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mbeddings/Microsoft_Visio_2003-2010___4.vsd" ContentType="application/vnd.visio"/>
  <Override PartName="/word/embeddings/Microsoft_Visio___1.vsdx" ContentType="application/vnd.ms-visio.drawing"/>
  <Override PartName="/word/embeddings/Microsoft_Visio___2.vsdx" ContentType="application/vnd.ms-visio.drawing"/>
  <Override PartName="/word/embeddings/Microsoft_Visio___3.vsdx" ContentType="application/vnd.ms-visio.drawing"/>
  <Override PartName="/word/embeddings/Microsoft_Visio___5.vsdx" ContentType="application/vnd.ms-visio.drawing"/>
  <Override PartName="/word/embeddings/Microsoft_Visio___6.vsdx" ContentType="application/vnd.ms-visio.drawing"/>
  <Override PartName="/word/embeddings/Microsoft_Visio___7.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12A13E">
      <w:pPr>
        <w:widowControl/>
        <w:adjustRightInd w:val="0"/>
        <w:snapToGrid w:val="0"/>
        <w:spacing w:before="240" w:beforeLines="100" w:after="240" w:afterLines="100" w:line="700" w:lineRule="exact"/>
        <w:ind w:firstLine="964"/>
        <w:jc w:val="center"/>
        <w:rPr>
          <w:rFonts w:eastAsia="黑体" w:cs="Times New Roman"/>
          <w:b/>
          <w:bCs/>
          <w:color w:val="auto"/>
          <w:kern w:val="0"/>
          <w:sz w:val="48"/>
          <w:szCs w:val="20"/>
        </w:rPr>
      </w:pPr>
    </w:p>
    <w:p w14:paraId="1CF0002B">
      <w:pPr>
        <w:widowControl/>
        <w:adjustRightInd w:val="0"/>
        <w:snapToGrid w:val="0"/>
        <w:spacing w:before="240" w:beforeLines="100" w:after="240" w:afterLines="100" w:line="700" w:lineRule="exact"/>
        <w:ind w:firstLine="964"/>
        <w:jc w:val="center"/>
        <w:rPr>
          <w:rFonts w:eastAsia="黑体" w:cs="Times New Roman"/>
          <w:b/>
          <w:bCs/>
          <w:color w:val="auto"/>
          <w:kern w:val="0"/>
          <w:sz w:val="48"/>
          <w:szCs w:val="20"/>
        </w:rPr>
      </w:pPr>
    </w:p>
    <w:p w14:paraId="6AE06E27">
      <w:pPr>
        <w:widowControl/>
        <w:adjustRightInd w:val="0"/>
        <w:snapToGrid w:val="0"/>
        <w:spacing w:before="240" w:beforeLines="100" w:after="240" w:afterLines="100" w:line="700" w:lineRule="exact"/>
        <w:ind w:firstLine="1124"/>
        <w:jc w:val="center"/>
        <w:rPr>
          <w:rFonts w:eastAsia="黑体" w:cs="Times New Roman"/>
          <w:b/>
          <w:bCs/>
          <w:color w:val="auto"/>
          <w:kern w:val="0"/>
          <w:sz w:val="56"/>
          <w:szCs w:val="20"/>
        </w:rPr>
      </w:pPr>
      <w:r>
        <w:rPr>
          <w:rFonts w:eastAsia="黑体" w:cs="Times New Roman"/>
          <w:b/>
          <w:bCs/>
          <w:color w:val="auto"/>
          <w:kern w:val="0"/>
          <w:sz w:val="56"/>
          <w:szCs w:val="20"/>
        </w:rPr>
        <w:t>广西</w:t>
      </w:r>
      <w:r>
        <w:rPr>
          <w:rFonts w:hint="eastAsia" w:eastAsia="黑体" w:cs="Times New Roman"/>
          <w:b/>
          <w:bCs/>
          <w:color w:val="auto"/>
          <w:kern w:val="0"/>
          <w:sz w:val="56"/>
          <w:szCs w:val="20"/>
        </w:rPr>
        <w:t>金桂浆纸业有限公司</w:t>
      </w:r>
    </w:p>
    <w:p w14:paraId="69956E16">
      <w:pPr>
        <w:widowControl/>
        <w:adjustRightInd w:val="0"/>
        <w:snapToGrid w:val="0"/>
        <w:spacing w:before="240" w:beforeLines="100" w:after="240" w:afterLines="100" w:line="700" w:lineRule="exact"/>
        <w:ind w:firstLine="1124"/>
        <w:jc w:val="center"/>
        <w:rPr>
          <w:rFonts w:eastAsia="黑体" w:cs="Times New Roman"/>
          <w:b/>
          <w:bCs/>
          <w:color w:val="auto"/>
          <w:kern w:val="0"/>
          <w:sz w:val="56"/>
          <w:szCs w:val="20"/>
        </w:rPr>
      </w:pPr>
      <w:r>
        <w:rPr>
          <w:rFonts w:hint="eastAsia" w:eastAsia="黑体" w:cs="Times New Roman"/>
          <w:b/>
          <w:bCs/>
          <w:color w:val="auto"/>
          <w:kern w:val="0"/>
          <w:sz w:val="56"/>
          <w:szCs w:val="20"/>
        </w:rPr>
        <w:t>高档纸板车间绿色升级改造项目</w:t>
      </w:r>
    </w:p>
    <w:p w14:paraId="7925DA0F">
      <w:pPr>
        <w:widowControl/>
        <w:adjustRightInd w:val="0"/>
        <w:snapToGrid w:val="0"/>
        <w:spacing w:before="240" w:beforeLines="100" w:after="240" w:afterLines="100" w:line="700" w:lineRule="exact"/>
        <w:ind w:firstLine="1124"/>
        <w:jc w:val="center"/>
        <w:rPr>
          <w:rFonts w:eastAsia="黑体" w:cs="Times New Roman"/>
          <w:b/>
          <w:bCs/>
          <w:color w:val="auto"/>
          <w:kern w:val="0"/>
          <w:sz w:val="56"/>
          <w:szCs w:val="20"/>
        </w:rPr>
      </w:pPr>
      <w:r>
        <w:rPr>
          <w:rFonts w:eastAsia="黑体" w:cs="Times New Roman"/>
          <w:b/>
          <w:bCs/>
          <w:color w:val="auto"/>
          <w:kern w:val="0"/>
          <w:sz w:val="56"/>
          <w:szCs w:val="20"/>
        </w:rPr>
        <w:t>环境影响报告书</w:t>
      </w:r>
    </w:p>
    <w:p w14:paraId="3C2B6CEE">
      <w:pPr>
        <w:widowControl/>
        <w:adjustRightInd w:val="0"/>
        <w:snapToGrid w:val="0"/>
        <w:spacing w:line="700" w:lineRule="exact"/>
        <w:ind w:firstLine="964"/>
        <w:jc w:val="center"/>
        <w:rPr>
          <w:rFonts w:eastAsia="黑体" w:cs="Times New Roman"/>
          <w:b/>
          <w:bCs/>
          <w:color w:val="auto"/>
          <w:kern w:val="0"/>
          <w:sz w:val="48"/>
          <w:szCs w:val="20"/>
        </w:rPr>
      </w:pPr>
      <w:r>
        <w:rPr>
          <w:rFonts w:eastAsia="黑体" w:cs="Times New Roman"/>
          <w:b/>
          <w:bCs/>
          <w:color w:val="auto"/>
          <w:kern w:val="0"/>
          <w:sz w:val="48"/>
          <w:szCs w:val="20"/>
        </w:rPr>
        <w:t>（</w:t>
      </w:r>
      <w:r>
        <w:rPr>
          <w:rFonts w:hint="eastAsia" w:eastAsia="黑体" w:cs="Times New Roman"/>
          <w:b/>
          <w:bCs/>
          <w:color w:val="auto"/>
          <w:kern w:val="0"/>
          <w:sz w:val="48"/>
          <w:szCs w:val="20"/>
          <w:lang w:val="en-US" w:eastAsia="zh-CN"/>
        </w:rPr>
        <w:t>公示</w:t>
      </w:r>
      <w:r>
        <w:rPr>
          <w:rFonts w:eastAsia="黑体" w:cs="Times New Roman"/>
          <w:b/>
          <w:bCs/>
          <w:color w:val="auto"/>
          <w:kern w:val="0"/>
          <w:sz w:val="48"/>
          <w:szCs w:val="20"/>
        </w:rPr>
        <w:t>稿）</w:t>
      </w:r>
    </w:p>
    <w:p w14:paraId="68FECD7C">
      <w:pPr>
        <w:adjustRightInd w:val="0"/>
        <w:snapToGrid w:val="0"/>
        <w:ind w:firstLine="0" w:firstLineChars="0"/>
        <w:jc w:val="center"/>
        <w:rPr>
          <w:rFonts w:eastAsia="黑体"/>
          <w:color w:val="auto"/>
          <w:sz w:val="72"/>
        </w:rPr>
      </w:pPr>
    </w:p>
    <w:p w14:paraId="495148CA">
      <w:pPr>
        <w:adjustRightInd w:val="0"/>
        <w:snapToGrid w:val="0"/>
        <w:ind w:firstLine="0" w:firstLineChars="0"/>
        <w:jc w:val="center"/>
        <w:rPr>
          <w:rFonts w:eastAsia="黑体"/>
          <w:color w:val="auto"/>
          <w:sz w:val="72"/>
        </w:rPr>
      </w:pPr>
    </w:p>
    <w:p w14:paraId="4E625981">
      <w:pPr>
        <w:adjustRightInd w:val="0"/>
        <w:snapToGrid w:val="0"/>
        <w:ind w:firstLine="0" w:firstLineChars="0"/>
        <w:jc w:val="center"/>
        <w:rPr>
          <w:rFonts w:eastAsia="黑体" w:cs="Times New Roman"/>
          <w:color w:val="auto"/>
          <w:sz w:val="72"/>
        </w:rPr>
      </w:pPr>
    </w:p>
    <w:p w14:paraId="2E1087D3">
      <w:pPr>
        <w:adjustRightInd w:val="0"/>
        <w:snapToGrid w:val="0"/>
        <w:ind w:firstLine="0" w:firstLineChars="0"/>
        <w:jc w:val="center"/>
        <w:rPr>
          <w:rFonts w:eastAsia="黑体" w:cs="Times New Roman"/>
          <w:color w:val="auto"/>
          <w:sz w:val="72"/>
        </w:rPr>
      </w:pPr>
    </w:p>
    <w:p w14:paraId="4B377AF3">
      <w:pPr>
        <w:adjustRightInd w:val="0"/>
        <w:snapToGrid w:val="0"/>
        <w:ind w:firstLine="1280" w:firstLineChars="400"/>
        <w:rPr>
          <w:rFonts w:eastAsia="黑体"/>
          <w:color w:val="auto"/>
          <w:sz w:val="32"/>
          <w:szCs w:val="32"/>
        </w:rPr>
      </w:pPr>
      <w:r>
        <w:rPr>
          <w:rFonts w:eastAsia="黑体"/>
          <w:color w:val="auto"/>
          <w:sz w:val="32"/>
          <w:szCs w:val="32"/>
        </w:rPr>
        <w:t>建设单位：广西</w:t>
      </w:r>
      <w:r>
        <w:rPr>
          <w:rFonts w:hint="eastAsia" w:eastAsia="黑体"/>
          <w:color w:val="auto"/>
          <w:sz w:val="32"/>
          <w:szCs w:val="32"/>
        </w:rPr>
        <w:t>金桂浆纸业</w:t>
      </w:r>
      <w:r>
        <w:rPr>
          <w:rFonts w:eastAsia="黑体"/>
          <w:color w:val="auto"/>
          <w:sz w:val="32"/>
          <w:szCs w:val="32"/>
        </w:rPr>
        <w:t>有限公司</w:t>
      </w:r>
    </w:p>
    <w:p w14:paraId="2A749931">
      <w:pPr>
        <w:adjustRightInd w:val="0"/>
        <w:snapToGrid w:val="0"/>
        <w:ind w:firstLine="1280" w:firstLineChars="400"/>
        <w:rPr>
          <w:rFonts w:eastAsia="黑体"/>
          <w:color w:val="auto"/>
          <w:sz w:val="32"/>
          <w:szCs w:val="32"/>
        </w:rPr>
      </w:pPr>
      <w:r>
        <w:rPr>
          <w:rFonts w:eastAsia="黑体"/>
          <w:color w:val="auto"/>
          <w:sz w:val="32"/>
          <w:szCs w:val="32"/>
        </w:rPr>
        <w:t>编制单位：广西博环环境咨询服务有限公司</w:t>
      </w:r>
    </w:p>
    <w:p w14:paraId="5625A944">
      <w:pPr>
        <w:adjustRightInd w:val="0"/>
        <w:snapToGrid w:val="0"/>
        <w:ind w:firstLine="1280" w:firstLineChars="400"/>
        <w:rPr>
          <w:rFonts w:eastAsia="黑体"/>
          <w:color w:val="auto"/>
          <w:sz w:val="32"/>
          <w:szCs w:val="32"/>
        </w:rPr>
      </w:pPr>
      <w:r>
        <w:rPr>
          <w:rFonts w:eastAsia="黑体"/>
          <w:color w:val="auto"/>
          <w:sz w:val="32"/>
          <w:szCs w:val="32"/>
        </w:rPr>
        <w:t>编制时间：二〇</w:t>
      </w:r>
      <w:r>
        <w:rPr>
          <w:rFonts w:hint="eastAsia" w:eastAsia="黑体"/>
          <w:color w:val="auto"/>
          <w:sz w:val="32"/>
          <w:szCs w:val="32"/>
        </w:rPr>
        <w:t>二六</w:t>
      </w:r>
      <w:r>
        <w:rPr>
          <w:rFonts w:eastAsia="黑体"/>
          <w:color w:val="auto"/>
          <w:sz w:val="32"/>
          <w:szCs w:val="32"/>
        </w:rPr>
        <w:t>年</w:t>
      </w:r>
      <w:r>
        <w:rPr>
          <w:rFonts w:hint="eastAsia" w:eastAsia="黑体"/>
          <w:color w:val="auto"/>
          <w:sz w:val="32"/>
          <w:szCs w:val="32"/>
        </w:rPr>
        <w:t>三</w:t>
      </w:r>
      <w:r>
        <w:rPr>
          <w:rFonts w:eastAsia="黑体"/>
          <w:color w:val="auto"/>
          <w:sz w:val="32"/>
          <w:szCs w:val="32"/>
        </w:rPr>
        <w:t>月</w:t>
      </w:r>
    </w:p>
    <w:p w14:paraId="7DDB85F1">
      <w:pPr>
        <w:adjustRightInd w:val="0"/>
        <w:snapToGrid w:val="0"/>
        <w:ind w:firstLine="600"/>
        <w:rPr>
          <w:color w:val="auto"/>
          <w:sz w:val="30"/>
        </w:rPr>
      </w:pPr>
    </w:p>
    <w:p w14:paraId="0378F828">
      <w:pPr>
        <w:adjustRightInd w:val="0"/>
        <w:snapToGrid w:val="0"/>
        <w:ind w:firstLine="600"/>
        <w:rPr>
          <w:color w:val="auto"/>
          <w:sz w:val="30"/>
        </w:rPr>
      </w:pPr>
    </w:p>
    <w:p w14:paraId="747AECB3">
      <w:pPr>
        <w:adjustRightInd w:val="0"/>
        <w:snapToGrid w:val="0"/>
        <w:ind w:firstLine="600"/>
        <w:rPr>
          <w:color w:val="auto"/>
          <w:sz w:val="30"/>
        </w:rPr>
      </w:pPr>
    </w:p>
    <w:p w14:paraId="26B928FC">
      <w:pPr>
        <w:adjustRightInd w:val="0"/>
        <w:snapToGrid w:val="0"/>
        <w:ind w:firstLine="600"/>
        <w:rPr>
          <w:color w:val="auto"/>
          <w:sz w:val="30"/>
        </w:rPr>
      </w:pPr>
    </w:p>
    <w:p w14:paraId="0A86E81F">
      <w:pPr>
        <w:adjustRightInd w:val="0"/>
        <w:snapToGrid w:val="0"/>
        <w:ind w:firstLine="600"/>
        <w:rPr>
          <w:color w:val="auto"/>
          <w:sz w:val="30"/>
        </w:rPr>
        <w:sectPr>
          <w:headerReference r:id="rId7" w:type="first"/>
          <w:footerReference r:id="rId10" w:type="first"/>
          <w:headerReference r:id="rId5" w:type="default"/>
          <w:footerReference r:id="rId8" w:type="default"/>
          <w:headerReference r:id="rId6" w:type="even"/>
          <w:footerReference r:id="rId9" w:type="even"/>
          <w:pgSz w:w="11906" w:h="16838"/>
          <w:pgMar w:top="1418" w:right="1418" w:bottom="1418" w:left="1418" w:header="851" w:footer="992" w:gutter="0"/>
          <w:cols w:space="720" w:num="1"/>
          <w:docGrid w:linePitch="312" w:charSpace="0"/>
        </w:sect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0"/>
        <w:gridCol w:w="4530"/>
      </w:tblGrid>
      <w:tr w14:paraId="1E190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56564288">
            <w:pPr>
              <w:pStyle w:val="33"/>
              <w:rPr>
                <w:color w:val="auto"/>
              </w:rPr>
            </w:pPr>
            <w:r>
              <w:rPr>
                <w:color w:val="auto"/>
              </w:rPr>
              <w:drawing>
                <wp:inline distT="0" distB="0" distL="0" distR="0">
                  <wp:extent cx="2776855" cy="2082800"/>
                  <wp:effectExtent l="0" t="0" r="4445" b="0"/>
                  <wp:docPr id="1030470778" name="图片 103047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70778" name="图片 103047077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786613" cy="2090727"/>
                          </a:xfrm>
                          <a:prstGeom prst="rect">
                            <a:avLst/>
                          </a:prstGeom>
                          <a:noFill/>
                          <a:ln>
                            <a:noFill/>
                          </a:ln>
                        </pic:spPr>
                      </pic:pic>
                    </a:graphicData>
                  </a:graphic>
                </wp:inline>
              </w:drawing>
            </w:r>
          </w:p>
        </w:tc>
        <w:tc>
          <w:tcPr>
            <w:tcW w:w="4530" w:type="dxa"/>
            <w:tcBorders>
              <w:top w:val="single" w:color="auto" w:sz="4" w:space="0"/>
              <w:left w:val="single" w:color="auto" w:sz="4" w:space="0"/>
              <w:bottom w:val="single" w:color="auto" w:sz="4" w:space="0"/>
              <w:right w:val="single" w:color="auto" w:sz="4" w:space="0"/>
            </w:tcBorders>
            <w:vAlign w:val="center"/>
          </w:tcPr>
          <w:p w14:paraId="46434774">
            <w:pPr>
              <w:pStyle w:val="33"/>
              <w:rPr>
                <w:rFonts w:eastAsia="黑体"/>
                <w:color w:val="auto"/>
              </w:rPr>
            </w:pPr>
            <w:r>
              <w:rPr>
                <w:rFonts w:eastAsia="黑体"/>
                <w:color w:val="auto"/>
              </w:rPr>
              <w:drawing>
                <wp:inline distT="0" distB="0" distL="0" distR="0">
                  <wp:extent cx="2739390" cy="2061845"/>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2739390" cy="2061845"/>
                          </a:xfrm>
                          <a:prstGeom prst="rect">
                            <a:avLst/>
                          </a:prstGeom>
                          <a:noFill/>
                          <a:ln>
                            <a:noFill/>
                          </a:ln>
                        </pic:spPr>
                      </pic:pic>
                    </a:graphicData>
                  </a:graphic>
                </wp:inline>
              </w:drawing>
            </w:r>
          </w:p>
        </w:tc>
      </w:tr>
      <w:tr w14:paraId="01AB8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40C061C5">
            <w:pPr>
              <w:pStyle w:val="33"/>
              <w:rPr>
                <w:color w:val="auto"/>
              </w:rPr>
            </w:pPr>
            <w:r>
              <w:rPr>
                <w:rFonts w:hint="eastAsia"/>
                <w:color w:val="auto"/>
              </w:rPr>
              <w:t>淋膜纸车间</w:t>
            </w:r>
          </w:p>
        </w:tc>
        <w:tc>
          <w:tcPr>
            <w:tcW w:w="4530" w:type="dxa"/>
            <w:tcBorders>
              <w:top w:val="single" w:color="auto" w:sz="4" w:space="0"/>
              <w:left w:val="single" w:color="auto" w:sz="4" w:space="0"/>
              <w:bottom w:val="single" w:color="auto" w:sz="4" w:space="0"/>
              <w:right w:val="single" w:color="auto" w:sz="4" w:space="0"/>
            </w:tcBorders>
            <w:vAlign w:val="center"/>
          </w:tcPr>
          <w:p w14:paraId="2F739F1B">
            <w:pPr>
              <w:pStyle w:val="33"/>
              <w:rPr>
                <w:rFonts w:eastAsia="黑体"/>
                <w:color w:val="auto"/>
              </w:rPr>
            </w:pPr>
            <w:r>
              <w:rPr>
                <w:rFonts w:hint="eastAsia" w:eastAsia="黑体"/>
                <w:color w:val="auto"/>
              </w:rPr>
              <w:t>P</w:t>
            </w:r>
            <w:r>
              <w:rPr>
                <w:rFonts w:eastAsia="黑体"/>
                <w:color w:val="auto"/>
              </w:rPr>
              <w:t>M2</w:t>
            </w:r>
            <w:r>
              <w:rPr>
                <w:rFonts w:hint="eastAsia" w:eastAsia="黑体"/>
                <w:color w:val="auto"/>
              </w:rPr>
              <w:t>车间-集气罩</w:t>
            </w:r>
          </w:p>
        </w:tc>
      </w:tr>
      <w:tr w14:paraId="51433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2D920698">
            <w:pPr>
              <w:pStyle w:val="33"/>
              <w:rPr>
                <w:color w:val="auto"/>
              </w:rPr>
            </w:pPr>
            <w:r>
              <w:rPr>
                <w:color w:val="auto"/>
              </w:rPr>
              <w:drawing>
                <wp:inline distT="0" distB="0" distL="0" distR="0">
                  <wp:extent cx="2776855" cy="2091055"/>
                  <wp:effectExtent l="0" t="0" r="4445" b="4445"/>
                  <wp:docPr id="579622503" name="图片 57962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622503" name="图片 57962250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778357" cy="2091886"/>
                          </a:xfrm>
                          <a:prstGeom prst="rect">
                            <a:avLst/>
                          </a:prstGeom>
                          <a:noFill/>
                          <a:ln>
                            <a:noFill/>
                          </a:ln>
                        </pic:spPr>
                      </pic:pic>
                    </a:graphicData>
                  </a:graphic>
                </wp:inline>
              </w:drawing>
            </w:r>
          </w:p>
        </w:tc>
        <w:tc>
          <w:tcPr>
            <w:tcW w:w="4530" w:type="dxa"/>
            <w:tcBorders>
              <w:top w:val="single" w:color="auto" w:sz="4" w:space="0"/>
              <w:left w:val="single" w:color="auto" w:sz="4" w:space="0"/>
              <w:bottom w:val="single" w:color="auto" w:sz="4" w:space="0"/>
              <w:right w:val="single" w:color="auto" w:sz="4" w:space="0"/>
            </w:tcBorders>
            <w:vAlign w:val="center"/>
          </w:tcPr>
          <w:p w14:paraId="5613D0EF">
            <w:pPr>
              <w:pStyle w:val="33"/>
              <w:rPr>
                <w:rFonts w:eastAsia="黑体"/>
                <w:color w:val="auto"/>
              </w:rPr>
            </w:pPr>
            <w:r>
              <w:rPr>
                <w:rFonts w:eastAsia="黑体"/>
                <w:color w:val="auto"/>
              </w:rPr>
              <w:drawing>
                <wp:inline distT="0" distB="0" distL="114300" distR="114300">
                  <wp:extent cx="2804160" cy="2134870"/>
                  <wp:effectExtent l="0" t="0" r="15240" b="1778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49"/>
                          <a:stretch>
                            <a:fillRect/>
                          </a:stretch>
                        </pic:blipFill>
                        <pic:spPr>
                          <a:xfrm>
                            <a:off x="0" y="0"/>
                            <a:ext cx="2804160" cy="2134870"/>
                          </a:xfrm>
                          <a:prstGeom prst="rect">
                            <a:avLst/>
                          </a:prstGeom>
                          <a:noFill/>
                          <a:ln>
                            <a:noFill/>
                          </a:ln>
                        </pic:spPr>
                      </pic:pic>
                    </a:graphicData>
                  </a:graphic>
                </wp:inline>
              </w:drawing>
            </w:r>
          </w:p>
        </w:tc>
      </w:tr>
      <w:tr w14:paraId="4A689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1AC40238">
            <w:pPr>
              <w:pStyle w:val="33"/>
              <w:rPr>
                <w:color w:val="auto"/>
              </w:rPr>
            </w:pPr>
            <w:r>
              <w:rPr>
                <w:rFonts w:hint="eastAsia"/>
                <w:color w:val="auto"/>
              </w:rPr>
              <w:t>固废暂存间</w:t>
            </w:r>
          </w:p>
        </w:tc>
        <w:tc>
          <w:tcPr>
            <w:tcW w:w="4530" w:type="dxa"/>
            <w:tcBorders>
              <w:top w:val="single" w:color="auto" w:sz="4" w:space="0"/>
              <w:left w:val="single" w:color="auto" w:sz="4" w:space="0"/>
              <w:bottom w:val="single" w:color="auto" w:sz="4" w:space="0"/>
              <w:right w:val="single" w:color="auto" w:sz="4" w:space="0"/>
            </w:tcBorders>
            <w:vAlign w:val="center"/>
          </w:tcPr>
          <w:p w14:paraId="6C95D065">
            <w:pPr>
              <w:pStyle w:val="33"/>
              <w:rPr>
                <w:rFonts w:eastAsia="黑体"/>
                <w:color w:val="auto"/>
              </w:rPr>
            </w:pPr>
            <w:r>
              <w:rPr>
                <w:rFonts w:hint="eastAsia" w:eastAsia="黑体"/>
                <w:color w:val="auto"/>
              </w:rPr>
              <w:t>现有污水处理站</w:t>
            </w:r>
          </w:p>
        </w:tc>
      </w:tr>
      <w:tr w14:paraId="51A68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29D278E9">
            <w:pPr>
              <w:pStyle w:val="33"/>
              <w:rPr>
                <w:color w:val="auto"/>
              </w:rPr>
            </w:pPr>
            <w:r>
              <w:rPr>
                <w:color w:val="auto"/>
              </w:rPr>
              <w:drawing>
                <wp:inline distT="0" distB="0" distL="0" distR="0">
                  <wp:extent cx="2739390" cy="3653790"/>
                  <wp:effectExtent l="0" t="0" r="3810" b="381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739390" cy="3653790"/>
                          </a:xfrm>
                          <a:prstGeom prst="rect">
                            <a:avLst/>
                          </a:prstGeom>
                          <a:noFill/>
                          <a:ln>
                            <a:noFill/>
                          </a:ln>
                        </pic:spPr>
                      </pic:pic>
                    </a:graphicData>
                  </a:graphic>
                </wp:inline>
              </w:drawing>
            </w:r>
          </w:p>
        </w:tc>
        <w:tc>
          <w:tcPr>
            <w:tcW w:w="4530" w:type="dxa"/>
            <w:tcBorders>
              <w:top w:val="single" w:color="auto" w:sz="4" w:space="0"/>
              <w:left w:val="single" w:color="auto" w:sz="4" w:space="0"/>
              <w:bottom w:val="single" w:color="auto" w:sz="4" w:space="0"/>
              <w:right w:val="single" w:color="auto" w:sz="4" w:space="0"/>
            </w:tcBorders>
            <w:vAlign w:val="center"/>
          </w:tcPr>
          <w:p w14:paraId="0A7550B9">
            <w:pPr>
              <w:pStyle w:val="33"/>
              <w:rPr>
                <w:rFonts w:eastAsia="黑体"/>
                <w:color w:val="auto"/>
              </w:rPr>
            </w:pPr>
            <w:r>
              <w:rPr>
                <w:rFonts w:eastAsia="黑体"/>
                <w:color w:val="auto"/>
              </w:rPr>
              <w:drawing>
                <wp:inline distT="0" distB="0" distL="0" distR="0">
                  <wp:extent cx="2540000" cy="2688590"/>
                  <wp:effectExtent l="0" t="0" r="0" b="0"/>
                  <wp:docPr id="1622095928" name="图片 162209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95928" name="图片 1622095928"/>
                          <pic:cNvPicPr>
                            <a:picLocks noChangeAspect="1" noChangeArrowheads="1"/>
                          </pic:cNvPicPr>
                        </pic:nvPicPr>
                        <pic:blipFill>
                          <a:blip r:embed="rId51" cstate="print">
                            <a:extLst>
                              <a:ext uri="{28A0092B-C50C-407E-A947-70E740481C1C}">
                                <a14:useLocalDpi xmlns:a14="http://schemas.microsoft.com/office/drawing/2010/main" val="0"/>
                              </a:ext>
                            </a:extLst>
                          </a:blip>
                          <a:srcRect t="20608"/>
                          <a:stretch>
                            <a:fillRect/>
                          </a:stretch>
                        </pic:blipFill>
                        <pic:spPr>
                          <a:xfrm>
                            <a:off x="0" y="0"/>
                            <a:ext cx="2570946" cy="2720745"/>
                          </a:xfrm>
                          <a:prstGeom prst="rect">
                            <a:avLst/>
                          </a:prstGeom>
                          <a:noFill/>
                          <a:ln>
                            <a:noFill/>
                          </a:ln>
                        </pic:spPr>
                      </pic:pic>
                    </a:graphicData>
                  </a:graphic>
                </wp:inline>
              </w:drawing>
            </w:r>
          </w:p>
        </w:tc>
      </w:tr>
      <w:tr w14:paraId="3F369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30" w:type="dxa"/>
            <w:tcBorders>
              <w:top w:val="single" w:color="auto" w:sz="4" w:space="0"/>
              <w:left w:val="single" w:color="auto" w:sz="4" w:space="0"/>
              <w:bottom w:val="single" w:color="auto" w:sz="4" w:space="0"/>
              <w:right w:val="single" w:color="auto" w:sz="4" w:space="0"/>
            </w:tcBorders>
            <w:vAlign w:val="center"/>
          </w:tcPr>
          <w:p w14:paraId="7C96C565">
            <w:pPr>
              <w:pStyle w:val="33"/>
              <w:rPr>
                <w:color w:val="auto"/>
              </w:rPr>
            </w:pPr>
            <w:r>
              <w:rPr>
                <w:rFonts w:hint="eastAsia"/>
                <w:color w:val="auto"/>
              </w:rPr>
              <w:t>造纸车间</w:t>
            </w:r>
          </w:p>
        </w:tc>
        <w:tc>
          <w:tcPr>
            <w:tcW w:w="4530" w:type="dxa"/>
            <w:tcBorders>
              <w:top w:val="single" w:color="auto" w:sz="4" w:space="0"/>
              <w:left w:val="single" w:color="auto" w:sz="4" w:space="0"/>
              <w:bottom w:val="single" w:color="auto" w:sz="4" w:space="0"/>
              <w:right w:val="single" w:color="auto" w:sz="4" w:space="0"/>
            </w:tcBorders>
            <w:vAlign w:val="center"/>
          </w:tcPr>
          <w:p w14:paraId="3F1FBA30">
            <w:pPr>
              <w:pStyle w:val="33"/>
              <w:rPr>
                <w:rFonts w:eastAsia="黑体"/>
                <w:color w:val="auto"/>
              </w:rPr>
            </w:pPr>
            <w:r>
              <w:rPr>
                <w:rFonts w:hint="eastAsia" w:eastAsia="黑体"/>
                <w:color w:val="auto"/>
              </w:rPr>
              <w:t>主持人照片</w:t>
            </w:r>
          </w:p>
        </w:tc>
      </w:tr>
    </w:tbl>
    <w:p w14:paraId="40EBB068">
      <w:pPr>
        <w:adjustRightInd w:val="0"/>
        <w:snapToGrid w:val="0"/>
        <w:spacing w:before="156" w:beforeLines="50" w:line="300" w:lineRule="exact"/>
        <w:ind w:firstLine="0" w:firstLineChars="0"/>
        <w:jc w:val="center"/>
        <w:rPr>
          <w:rFonts w:eastAsia="黑体"/>
          <w:color w:val="auto"/>
        </w:rPr>
      </w:pPr>
    </w:p>
    <w:p w14:paraId="543FC315">
      <w:pPr>
        <w:adjustRightInd w:val="0"/>
        <w:snapToGrid w:val="0"/>
        <w:spacing w:before="156" w:beforeLines="50" w:line="300" w:lineRule="exact"/>
        <w:ind w:firstLine="0" w:firstLineChars="0"/>
        <w:jc w:val="center"/>
        <w:rPr>
          <w:rFonts w:eastAsia="黑体"/>
          <w:color w:val="auto"/>
          <w:sz w:val="30"/>
          <w:szCs w:val="30"/>
        </w:rPr>
        <w:sectPr>
          <w:headerReference r:id="rId11" w:type="default"/>
          <w:footerReference r:id="rId12" w:type="default"/>
          <w:pgSz w:w="11906" w:h="16838"/>
          <w:pgMar w:top="1418" w:right="1418" w:bottom="1418" w:left="1418" w:header="851" w:footer="992" w:gutter="0"/>
          <w:pgNumType w:start="1"/>
          <w:cols w:space="425" w:num="1"/>
          <w:docGrid w:type="lines" w:linePitch="312" w:charSpace="0"/>
        </w:sectPr>
      </w:pPr>
    </w:p>
    <w:p w14:paraId="53D9D2AB">
      <w:pPr>
        <w:pStyle w:val="2"/>
        <w:numPr>
          <w:ilvl w:val="0"/>
          <w:numId w:val="0"/>
        </w:numPr>
        <w:jc w:val="center"/>
        <w:rPr>
          <w:color w:val="auto"/>
        </w:rPr>
      </w:pPr>
      <w:bookmarkStart w:id="0" w:name="_Toc225216637"/>
      <w:bookmarkStart w:id="1" w:name="_Toc221355688"/>
      <w:r>
        <w:rPr>
          <w:color w:val="auto"/>
        </w:rPr>
        <w:t>概  述</w:t>
      </w:r>
      <w:bookmarkEnd w:id="0"/>
      <w:bookmarkEnd w:id="1"/>
    </w:p>
    <w:p w14:paraId="6673DA5D">
      <w:pPr>
        <w:pStyle w:val="3"/>
        <w:numPr>
          <w:ilvl w:val="0"/>
          <w:numId w:val="0"/>
        </w:numPr>
        <w:rPr>
          <w:color w:val="auto"/>
          <w:szCs w:val="30"/>
        </w:rPr>
      </w:pPr>
      <w:bookmarkStart w:id="2" w:name="_Toc225216638"/>
      <w:bookmarkStart w:id="3" w:name="_Toc221355689"/>
      <w:r>
        <w:rPr>
          <w:color w:val="auto"/>
        </w:rPr>
        <w:t>一、项目由来</w:t>
      </w:r>
      <w:bookmarkEnd w:id="2"/>
      <w:bookmarkEnd w:id="3"/>
    </w:p>
    <w:p w14:paraId="058CFF60">
      <w:pPr>
        <w:ind w:firstLine="480"/>
        <w:rPr>
          <w:color w:val="auto"/>
        </w:rPr>
      </w:pPr>
      <w:r>
        <w:rPr>
          <w:rFonts w:hint="eastAsia"/>
          <w:color w:val="auto"/>
        </w:rPr>
        <w:t>随着我国国民经济的不断发展和商品出口贸易的不断增加，各行业对纸品包装材料的需求也在持续增长，在互联网、电商、建材、医药化工、烟草、日用化妆品、服装鞋帽、家电、食品、饮料等包装要求较高的各种出口商品上具有提高产品包装质量、增强市场竞争力、保护、促销产品的作用，增值效益明显。白卡纸具有质轻、表面平滑、韧性好、表面适印性好、美观大方等特点。白卡纸按其用途一般分为三种类型：烟卡、食品卡、社会卡。具体包括：烟盒、食品、液体食品、饮料、保健品、药品包装盒、化妆品盒、珠宝首饰盒、电器包装盒、衣服吊牌、手提袋、日用品包装、衬页、高档书的包装、精装书的封面、名片、证书、请柬、封皮、台历、邮政明信片等，应用十分广泛。</w:t>
      </w:r>
    </w:p>
    <w:p w14:paraId="2D6BEC09">
      <w:pPr>
        <w:ind w:firstLine="480"/>
        <w:rPr>
          <w:color w:val="auto"/>
        </w:rPr>
      </w:pPr>
      <w:r>
        <w:rPr>
          <w:rFonts w:hint="eastAsia"/>
          <w:color w:val="auto"/>
        </w:rPr>
        <w:t>广西金桂浆纸业有限公司为金光纸业（中国）投资有限公司与钦州市华晖林业有限责任公司共同出资组建的中外合资企业，成立于2003年9月。广西金桂浆纸业有限公司自成立以来，经过二十多年的建设，目前已建成3条化机浆生产线，2条高档白卡纸生产线，实际生产能力包括化机浆100万吨/年、涂布白卡纸190万吨/年，另有</w:t>
      </w:r>
      <w:r>
        <w:rPr>
          <w:color w:val="auto"/>
        </w:rPr>
        <w:t>年产180万吨高档纸板扩建项目</w:t>
      </w:r>
      <w:r>
        <w:rPr>
          <w:rFonts w:hint="eastAsia"/>
          <w:color w:val="auto"/>
        </w:rPr>
        <w:t>中的年产90万吨的食品卡纸生产线（3#纸机）和75万吨/年化机浆升级改造项目二期工程（4#化机浆线，50万t/a）在建。且已积累了丰富的生产、管理、营销经验，且拥有了一批生产技术人才和管理、营销人才。目前金桂浆纸业已为扩大再生产提供了有利条件，金桂浆纸决定对1#白卡纸生产线和2#高档社会卡纸生产线扩建。</w:t>
      </w:r>
    </w:p>
    <w:p w14:paraId="68A8487F">
      <w:pPr>
        <w:ind w:firstLine="480"/>
        <w:rPr>
          <w:color w:val="auto"/>
        </w:rPr>
      </w:pPr>
      <w:r>
        <w:rPr>
          <w:rFonts w:hint="eastAsia"/>
          <w:color w:val="auto"/>
        </w:rPr>
        <w:t>广西金桂浆纸业有限公司高档纸板车间绿色升级改造项目通过对现有造纸生产线进行改造提高产能，将广西金桂浆纸业有限公司白卡纸现有的年产190万吨生产产能（1#和2#纸机）增产至年产300万吨，其中，</w:t>
      </w:r>
      <w:r>
        <w:rPr>
          <w:color w:val="auto"/>
        </w:rPr>
        <w:t>1#</w:t>
      </w:r>
      <w:r>
        <w:rPr>
          <w:rFonts w:hint="eastAsia"/>
          <w:color w:val="auto"/>
        </w:rPr>
        <w:t>白卡纸生产线产能从</w:t>
      </w:r>
      <w:r>
        <w:rPr>
          <w:color w:val="auto"/>
        </w:rPr>
        <w:t>100</w:t>
      </w:r>
      <w:r>
        <w:rPr>
          <w:rFonts w:hint="eastAsia"/>
          <w:color w:val="auto"/>
        </w:rPr>
        <w:t>万吨</w:t>
      </w:r>
      <w:r>
        <w:rPr>
          <w:color w:val="auto"/>
        </w:rPr>
        <w:t>/</w:t>
      </w:r>
      <w:r>
        <w:rPr>
          <w:rFonts w:hint="eastAsia"/>
          <w:color w:val="auto"/>
        </w:rPr>
        <w:t>年提升到</w:t>
      </w:r>
      <w:r>
        <w:rPr>
          <w:color w:val="auto"/>
        </w:rPr>
        <w:t>150</w:t>
      </w:r>
      <w:r>
        <w:rPr>
          <w:rFonts w:hint="eastAsia"/>
          <w:color w:val="auto"/>
        </w:rPr>
        <w:t>万吨</w:t>
      </w:r>
      <w:r>
        <w:rPr>
          <w:color w:val="auto"/>
        </w:rPr>
        <w:t>/</w:t>
      </w:r>
      <w:r>
        <w:rPr>
          <w:rFonts w:hint="eastAsia"/>
          <w:color w:val="auto"/>
        </w:rPr>
        <w:t>年，</w:t>
      </w:r>
      <w:r>
        <w:rPr>
          <w:color w:val="auto"/>
        </w:rPr>
        <w:t>2#</w:t>
      </w:r>
      <w:r>
        <w:rPr>
          <w:rFonts w:hint="eastAsia"/>
          <w:color w:val="auto"/>
        </w:rPr>
        <w:t>白卡纸生产线产能从</w:t>
      </w:r>
      <w:r>
        <w:rPr>
          <w:color w:val="auto"/>
        </w:rPr>
        <w:t>90</w:t>
      </w:r>
      <w:r>
        <w:rPr>
          <w:rFonts w:hint="eastAsia"/>
          <w:color w:val="auto"/>
        </w:rPr>
        <w:t>万吨</w:t>
      </w:r>
      <w:r>
        <w:rPr>
          <w:color w:val="auto"/>
        </w:rPr>
        <w:t>/</w:t>
      </w:r>
      <w:r>
        <w:rPr>
          <w:rFonts w:hint="eastAsia"/>
          <w:color w:val="auto"/>
        </w:rPr>
        <w:t>年提升到</w:t>
      </w:r>
      <w:r>
        <w:rPr>
          <w:color w:val="auto"/>
        </w:rPr>
        <w:t>150</w:t>
      </w:r>
      <w:r>
        <w:rPr>
          <w:rFonts w:hint="eastAsia"/>
          <w:color w:val="auto"/>
        </w:rPr>
        <w:t>万吨</w:t>
      </w:r>
      <w:r>
        <w:rPr>
          <w:color w:val="auto"/>
        </w:rPr>
        <w:t>/</w:t>
      </w:r>
      <w:r>
        <w:rPr>
          <w:rFonts w:hint="eastAsia"/>
          <w:color w:val="auto"/>
        </w:rPr>
        <w:t>年。</w:t>
      </w:r>
    </w:p>
    <w:p w14:paraId="06EAA2EC">
      <w:pPr>
        <w:ind w:firstLine="480"/>
        <w:rPr>
          <w:color w:val="auto"/>
        </w:rPr>
      </w:pPr>
      <w:r>
        <w:rPr>
          <w:rFonts w:hint="eastAsia"/>
          <w:color w:val="auto"/>
        </w:rPr>
        <w:t>同时，完善现有的环保设施，具体包括：</w:t>
      </w:r>
    </w:p>
    <w:p w14:paraId="469F128D">
      <w:pPr>
        <w:ind w:firstLine="480" w:firstLineChars="0"/>
        <w:rPr>
          <w:color w:val="auto"/>
        </w:rPr>
      </w:pPr>
      <w:r>
        <w:rPr>
          <w:rFonts w:hint="eastAsia"/>
          <w:color w:val="auto"/>
        </w:rPr>
        <w:t>1、由于1#污水处理站已运行15年，部分设备设施已不能满足设计处理能力要求，在确保排放标准不降低的情况下，只能通过增加水力停留时间提高处理效率，实际处理能力已小于设计处理能力，为确保本项目及金桂年产180万吨高档纸板项目第二阶段项目废水达标排放，此次拟配套新建一座20000m</w:t>
      </w:r>
      <w:r>
        <w:rPr>
          <w:rFonts w:hint="eastAsia"/>
          <w:color w:val="auto"/>
          <w:vertAlign w:val="superscript"/>
        </w:rPr>
        <w:t>3</w:t>
      </w:r>
      <w:r>
        <w:rPr>
          <w:rFonts w:hint="eastAsia"/>
          <w:color w:val="auto"/>
        </w:rPr>
        <w:t>/d的废水处理站（含设计规模为5000m³/d的回用水系统）。生产废水经过3#污水处理站处理后，可容纳5000m</w:t>
      </w:r>
      <w:r>
        <w:rPr>
          <w:rFonts w:hint="eastAsia"/>
          <w:color w:val="auto"/>
          <w:vertAlign w:val="superscript"/>
        </w:rPr>
        <w:t>3</w:t>
      </w:r>
      <w:r>
        <w:rPr>
          <w:rFonts w:hint="eastAsia"/>
          <w:color w:val="auto"/>
        </w:rPr>
        <w:t>/d排水进入中水回用进一步处理后用于热电站冷却用水，项目不新增废水排放。</w:t>
      </w:r>
    </w:p>
    <w:p w14:paraId="29689D5B">
      <w:pPr>
        <w:ind w:firstLine="480" w:firstLineChars="0"/>
        <w:rPr>
          <w:color w:val="auto"/>
        </w:rPr>
      </w:pPr>
      <w:r>
        <w:rPr>
          <w:rFonts w:hint="eastAsia"/>
          <w:color w:val="auto"/>
        </w:rPr>
        <w:t>2、淋膜纸车间废气仅收集后排放，不满足挥发性有机物管理要求，此次拟增加废气处理设备并规范排气筒设置。</w:t>
      </w:r>
    </w:p>
    <w:p w14:paraId="71152CC5">
      <w:pPr>
        <w:ind w:firstLine="480"/>
        <w:rPr>
          <w:color w:val="auto"/>
        </w:rPr>
      </w:pPr>
      <w:r>
        <w:rPr>
          <w:rFonts w:hint="eastAsia"/>
          <w:color w:val="auto"/>
        </w:rPr>
        <w:t>项目已于2025年10月15日在中国-马来西亚钦州产业园区行政审批局进行了备案，项目代码：</w:t>
      </w:r>
      <w:r>
        <w:rPr>
          <w:color w:val="auto"/>
        </w:rPr>
        <w:t>2510-450704-04-02-521220</w:t>
      </w:r>
      <w:r>
        <w:rPr>
          <w:rFonts w:hint="eastAsia"/>
          <w:color w:val="auto"/>
        </w:rPr>
        <w:t>。</w:t>
      </w:r>
    </w:p>
    <w:p w14:paraId="54637973">
      <w:pPr>
        <w:pStyle w:val="3"/>
        <w:numPr>
          <w:ilvl w:val="0"/>
          <w:numId w:val="0"/>
        </w:numPr>
        <w:rPr>
          <w:color w:val="auto"/>
        </w:rPr>
      </w:pPr>
      <w:bookmarkStart w:id="4" w:name="_Toc221355690"/>
      <w:bookmarkStart w:id="5" w:name="_Toc225216639"/>
      <w:r>
        <w:rPr>
          <w:color w:val="auto"/>
        </w:rPr>
        <w:t>二、建设项目特点</w:t>
      </w:r>
      <w:bookmarkEnd w:id="4"/>
      <w:bookmarkEnd w:id="5"/>
    </w:p>
    <w:p w14:paraId="07372299">
      <w:pPr>
        <w:ind w:firstLine="480"/>
        <w:rPr>
          <w:color w:val="auto"/>
        </w:rPr>
      </w:pPr>
      <w:r>
        <w:rPr>
          <w:rFonts w:cs="Times New Roman"/>
          <w:color w:val="auto"/>
        </w:rPr>
        <w:t>广西</w:t>
      </w:r>
      <w:r>
        <w:rPr>
          <w:rFonts w:hint="eastAsia" w:cs="Times New Roman"/>
          <w:color w:val="auto"/>
        </w:rPr>
        <w:t>金桂浆纸业有限公司位于</w:t>
      </w:r>
      <w:r>
        <w:rPr>
          <w:rFonts w:hint="eastAsia"/>
          <w:color w:val="auto"/>
        </w:rPr>
        <w:t>广西钦州市钦州港金光产业园内，属于规划的钦州林浆纸产业园。本次主要通过对现有造纸生产线的部分设备进行改造提高产能，1#白卡纸生产线车速由1200m/min提高到1400m/min，2#白卡纸生产线车速由1100m/min提高到1350m/min，产品定量由250g/m</w:t>
      </w:r>
      <w:r>
        <w:rPr>
          <w:rFonts w:hint="eastAsia"/>
          <w:color w:val="auto"/>
          <w:vertAlign w:val="superscript"/>
        </w:rPr>
        <w:t>2</w:t>
      </w:r>
      <w:r>
        <w:rPr>
          <w:rFonts w:hint="eastAsia"/>
          <w:color w:val="auto"/>
        </w:rPr>
        <w:t>调整到290g/m</w:t>
      </w:r>
      <w:r>
        <w:rPr>
          <w:rFonts w:hint="eastAsia"/>
          <w:color w:val="auto"/>
          <w:vertAlign w:val="superscript"/>
        </w:rPr>
        <w:t>2</w:t>
      </w:r>
      <w:r>
        <w:rPr>
          <w:rFonts w:hint="eastAsia"/>
          <w:color w:val="auto"/>
        </w:rPr>
        <w:t>，</w:t>
      </w:r>
      <w:r>
        <w:rPr>
          <w:color w:val="auto"/>
        </w:rPr>
        <w:t>1#</w:t>
      </w:r>
      <w:r>
        <w:rPr>
          <w:rFonts w:hint="eastAsia"/>
          <w:color w:val="auto"/>
        </w:rPr>
        <w:t>白卡纸生产线产能从</w:t>
      </w:r>
      <w:r>
        <w:rPr>
          <w:color w:val="auto"/>
        </w:rPr>
        <w:t>100</w:t>
      </w:r>
      <w:r>
        <w:rPr>
          <w:rFonts w:hint="eastAsia"/>
          <w:color w:val="auto"/>
        </w:rPr>
        <w:t>万吨</w:t>
      </w:r>
      <w:r>
        <w:rPr>
          <w:color w:val="auto"/>
        </w:rPr>
        <w:t>/</w:t>
      </w:r>
      <w:r>
        <w:rPr>
          <w:rFonts w:hint="eastAsia"/>
          <w:color w:val="auto"/>
        </w:rPr>
        <w:t>年提升到</w:t>
      </w:r>
      <w:r>
        <w:rPr>
          <w:color w:val="auto"/>
        </w:rPr>
        <w:t>150</w:t>
      </w:r>
      <w:r>
        <w:rPr>
          <w:rFonts w:hint="eastAsia"/>
          <w:color w:val="auto"/>
        </w:rPr>
        <w:t>万吨</w:t>
      </w:r>
      <w:r>
        <w:rPr>
          <w:color w:val="auto"/>
        </w:rPr>
        <w:t>/</w:t>
      </w:r>
      <w:r>
        <w:rPr>
          <w:rFonts w:hint="eastAsia"/>
          <w:color w:val="auto"/>
        </w:rPr>
        <w:t>年，</w:t>
      </w:r>
      <w:r>
        <w:rPr>
          <w:color w:val="auto"/>
        </w:rPr>
        <w:t>2#</w:t>
      </w:r>
      <w:r>
        <w:rPr>
          <w:rFonts w:hint="eastAsia"/>
          <w:color w:val="auto"/>
        </w:rPr>
        <w:t>白卡纸生产线产能从</w:t>
      </w:r>
      <w:r>
        <w:rPr>
          <w:color w:val="auto"/>
        </w:rPr>
        <w:t>90</w:t>
      </w:r>
      <w:r>
        <w:rPr>
          <w:rFonts w:hint="eastAsia"/>
          <w:color w:val="auto"/>
        </w:rPr>
        <w:t>万吨</w:t>
      </w:r>
      <w:r>
        <w:rPr>
          <w:color w:val="auto"/>
        </w:rPr>
        <w:t>/</w:t>
      </w:r>
      <w:r>
        <w:rPr>
          <w:rFonts w:hint="eastAsia"/>
          <w:color w:val="auto"/>
        </w:rPr>
        <w:t>年提升到</w:t>
      </w:r>
      <w:r>
        <w:rPr>
          <w:color w:val="auto"/>
        </w:rPr>
        <w:t>150</w:t>
      </w:r>
      <w:r>
        <w:rPr>
          <w:rFonts w:hint="eastAsia"/>
          <w:color w:val="auto"/>
        </w:rPr>
        <w:t>万吨</w:t>
      </w:r>
      <w:r>
        <w:rPr>
          <w:color w:val="auto"/>
        </w:rPr>
        <w:t>/</w:t>
      </w:r>
      <w:r>
        <w:rPr>
          <w:rFonts w:hint="eastAsia"/>
          <w:color w:val="auto"/>
        </w:rPr>
        <w:t>年，不增加造纸生产线数量，造纸生产线无厂房等基础设施建设。项目新增废水3677.77m</w:t>
      </w:r>
      <w:r>
        <w:rPr>
          <w:rFonts w:hint="eastAsia"/>
          <w:color w:val="auto"/>
          <w:vertAlign w:val="superscript"/>
        </w:rPr>
        <w:t>3</w:t>
      </w:r>
      <w:r>
        <w:rPr>
          <w:rFonts w:hint="eastAsia"/>
          <w:color w:val="auto"/>
        </w:rPr>
        <w:t>/d，本工程拟新建废水处理站一座，设计规模20000m³/d，同时建设设计规模为5000m³/d的回用水系统，中水回用至冷却塔补水工段，不新增企业污水向外环境排放量。项目主要公辅设施均依托企业现有设施。</w:t>
      </w:r>
    </w:p>
    <w:p w14:paraId="6936F7AF">
      <w:pPr>
        <w:pStyle w:val="3"/>
        <w:numPr>
          <w:ilvl w:val="0"/>
          <w:numId w:val="0"/>
        </w:numPr>
        <w:rPr>
          <w:color w:val="auto"/>
        </w:rPr>
      </w:pPr>
      <w:bookmarkStart w:id="6" w:name="_Toc221355691"/>
      <w:bookmarkStart w:id="7" w:name="_Toc225216640"/>
      <w:r>
        <w:rPr>
          <w:color w:val="auto"/>
        </w:rPr>
        <w:t>三、评价工作过程</w:t>
      </w:r>
      <w:bookmarkEnd w:id="6"/>
      <w:bookmarkEnd w:id="7"/>
    </w:p>
    <w:p w14:paraId="7CC8E5F0">
      <w:pPr>
        <w:ind w:firstLine="480"/>
        <w:rPr>
          <w:color w:val="auto"/>
        </w:rPr>
      </w:pPr>
      <w:r>
        <w:rPr>
          <w:rFonts w:hint="eastAsia"/>
          <w:color w:val="auto"/>
        </w:rPr>
        <w:t>依据《中华人民共和国环境保护法》、《中华人民共和国环境影响评价法》和《建设项目环境保护管理条例》的有关要求，项目应进行环境影响评价。本项目为造纸项目，根据《建设项目环境影响评价分类管理名录（2021年版）》，项目属于“十九、造纸和纸制品业22”中的“纸浆制造221；造纸222（含废纸造纸）”，该类别全部（手工纸、加工纸制造除外）应编制环境影响报告书。广西金桂浆纸业有限公司委托我公司承担</w:t>
      </w:r>
      <w:r>
        <w:rPr>
          <w:color w:val="auto"/>
        </w:rPr>
        <w:t>广西</w:t>
      </w:r>
      <w:r>
        <w:rPr>
          <w:rFonts w:hint="eastAsia"/>
          <w:color w:val="auto"/>
        </w:rPr>
        <w:t>金桂浆纸业有限公司高档纸板车间绿色升级改造项目的环境影响评价工作，我公司接受委托后立即组织有关专业技术人员开展环境状况调查和收集相关资料，进行环境影响因素识别与评价因子筛选，明确了评价重点与环境保护目标，确定工作等级、评价范围和评价标准，制定了工作方案；根据工作方案，项目组对评价范围进行了现场勘查。通过对项目周围的自然环境进行调查评价以及项目的工程情况进行详细的调查分析，并在此基础上预测和分析项目对周围环境的影响程度、范围，分析和论证项目采取的环境保护措施以及在技术上的可行性的合理性以及处理效果，从环境保护的角度论证项目的合理性。同时，本着“以改善环境质量为核心，恪守生态保护红线、环境质量底线和资源利用上线”、“执行环境准入负面清单”等原则，提出切实可行的环保措施和防治污染对策，并完成项目送审稿的编制。在建设单位完成项目公众参与工作后，本报告对公众参与过程中公众提出的意见进行认真分析并给出是否采纳的意见及理由。整合上述工作成果，编制完成环境影响评价文件。</w:t>
      </w:r>
    </w:p>
    <w:p w14:paraId="422A2192">
      <w:pPr>
        <w:pStyle w:val="3"/>
        <w:numPr>
          <w:ilvl w:val="0"/>
          <w:numId w:val="0"/>
        </w:numPr>
        <w:rPr>
          <w:color w:val="auto"/>
        </w:rPr>
      </w:pPr>
      <w:bookmarkStart w:id="8" w:name="_Toc225216641"/>
      <w:bookmarkStart w:id="9" w:name="_Toc221355692"/>
      <w:r>
        <w:rPr>
          <w:color w:val="auto"/>
        </w:rPr>
        <w:t>四、分析判定相关情况</w:t>
      </w:r>
      <w:bookmarkEnd w:id="8"/>
      <w:bookmarkEnd w:id="9"/>
    </w:p>
    <w:p w14:paraId="6556C1C4">
      <w:pPr>
        <w:ind w:firstLine="480"/>
        <w:rPr>
          <w:color w:val="auto"/>
        </w:rPr>
      </w:pPr>
      <w:r>
        <w:rPr>
          <w:color w:val="auto"/>
        </w:rPr>
        <w:t>（</w:t>
      </w:r>
      <w:r>
        <w:rPr>
          <w:rFonts w:eastAsia="Times New Roman" w:cs="Times New Roman"/>
          <w:color w:val="auto"/>
        </w:rPr>
        <w:t>1</w:t>
      </w:r>
      <w:r>
        <w:rPr>
          <w:color w:val="auto"/>
        </w:rPr>
        <w:t>）产业政策符合性</w:t>
      </w:r>
    </w:p>
    <w:p w14:paraId="4C547357">
      <w:pPr>
        <w:ind w:firstLine="480"/>
        <w:rPr>
          <w:color w:val="auto"/>
        </w:rPr>
      </w:pPr>
      <w:r>
        <w:rPr>
          <w:rFonts w:hint="eastAsia"/>
          <w:color w:val="auto"/>
        </w:rPr>
        <w:t>本项目技改白卡纸生产线（1#纸机和2#纸机），不新增生产线，通过提升生产车速和产品定量，1#纸机产能由100万吨/年提升至150万吨/年，2#纸机产能由90万吨/年提升至150万吨/年，新增一座20000m</w:t>
      </w:r>
      <w:r>
        <w:rPr>
          <w:rFonts w:hint="eastAsia"/>
          <w:color w:val="auto"/>
          <w:vertAlign w:val="superscript"/>
        </w:rPr>
        <w:t>3</w:t>
      </w:r>
      <w:r>
        <w:rPr>
          <w:rFonts w:hint="eastAsia"/>
          <w:color w:val="auto"/>
        </w:rPr>
        <w:t>/d污水处理站（3#污水处理站）和1套5000m</w:t>
      </w:r>
      <w:r>
        <w:rPr>
          <w:rFonts w:hint="eastAsia"/>
          <w:color w:val="auto"/>
          <w:vertAlign w:val="superscript"/>
        </w:rPr>
        <w:t>3</w:t>
      </w:r>
      <w:r>
        <w:rPr>
          <w:rFonts w:hint="eastAsia"/>
          <w:color w:val="auto"/>
        </w:rPr>
        <w:t>/d中水回用系统</w:t>
      </w:r>
      <w:r>
        <w:rPr>
          <w:color w:val="auto"/>
        </w:rPr>
        <w:t>，属于《产业结构调整指导目录（2024年本）》</w:t>
      </w:r>
      <w:r>
        <w:rPr>
          <w:rFonts w:hint="eastAsia"/>
          <w:color w:val="auto"/>
        </w:rPr>
        <w:t>允许</w:t>
      </w:r>
      <w:r>
        <w:rPr>
          <w:color w:val="auto"/>
        </w:rPr>
        <w:t>类项目。同时，项目建设符合《造纸产业发展政策》、《造纸工业污染防治技术政策》、《制浆造纸工业污染防治可行技术指南》（HJ2302-2018）、《制浆造纸建设项目环境影响评价文件审批原则（试行）》、《造纸行业“十四五”及中长期高质量发展纲要》等相关文件要求。</w:t>
      </w:r>
      <w:r>
        <w:rPr>
          <w:rFonts w:hint="eastAsia"/>
          <w:color w:val="auto"/>
        </w:rPr>
        <w:t>项目</w:t>
      </w:r>
      <w:r>
        <w:rPr>
          <w:color w:val="auto"/>
        </w:rPr>
        <w:t>符合《北钦防一体化产业协同发展限制布局清单</w:t>
      </w:r>
      <w:r>
        <w:rPr>
          <w:color w:val="auto"/>
          <w:spacing w:val="-10"/>
        </w:rPr>
        <w:t>（工</w:t>
      </w:r>
      <w:r>
        <w:rPr>
          <w:color w:val="auto"/>
        </w:rPr>
        <w:t>业类2021年版）》相关要求</w:t>
      </w:r>
      <w:r>
        <w:rPr>
          <w:color w:val="auto"/>
          <w:spacing w:val="-10"/>
        </w:rPr>
        <w:t>。</w:t>
      </w:r>
    </w:p>
    <w:p w14:paraId="5ED9A31A">
      <w:pPr>
        <w:ind w:firstLine="480"/>
        <w:rPr>
          <w:color w:val="auto"/>
        </w:rPr>
      </w:pPr>
      <w:r>
        <w:rPr>
          <w:color w:val="auto"/>
        </w:rPr>
        <w:t>（</w:t>
      </w:r>
      <w:r>
        <w:rPr>
          <w:rFonts w:eastAsia="Times New Roman" w:cs="Times New Roman"/>
          <w:color w:val="auto"/>
        </w:rPr>
        <w:t>2</w:t>
      </w:r>
      <w:r>
        <w:rPr>
          <w:color w:val="auto"/>
        </w:rPr>
        <w:t>）规划符合性</w:t>
      </w:r>
    </w:p>
    <w:p w14:paraId="5E52F5C2">
      <w:pPr>
        <w:ind w:firstLine="480"/>
        <w:rPr>
          <w:color w:val="auto"/>
        </w:rPr>
      </w:pPr>
      <w:r>
        <w:rPr>
          <w:color w:val="auto"/>
        </w:rPr>
        <w:t>拟建项目位于广西钦州林浆纸产业园金桂浆纸现有厂址内，项目符合《广西工业和信息化高质量发展“十四五”规划》、《广西生态环境保护“十四五”规划》、《广西壮族自治区“十四五”空气质量全面改善规划》、《广西地下水污染防治“十四五”规划》、《广西壮族自治区土壤污染防治高质量发展“十四五”规划》、《广西壮族自治区固体废物污染环境防治条例》、《广西壮族自治区噪声污染防治实施方案（2023-2025年）》、《广西壮族自治区重金属污染防控工作方案》、《广西壮族自治区碳达峰实施方案》、《广西壮族自治区工业领域碳达峰实施方案》、《广西北部湾经济区北钦防一体化发展规划（2019-2025年）》等相关要求。符合《钦州港经济技术开发区总体规划（2014-2030）》、《广西钦州林浆纸产业园发展规划（2024-2035年）》</w:t>
      </w:r>
      <w:r>
        <w:rPr>
          <w:rFonts w:hint="eastAsia"/>
          <w:color w:val="auto"/>
        </w:rPr>
        <w:t>、《</w:t>
      </w:r>
      <w:r>
        <w:rPr>
          <w:rFonts w:ascii="宋体" w:hAnsi="宋体" w:cs="宋体"/>
          <w:color w:val="auto"/>
          <w:spacing w:val="-5"/>
          <w:szCs w:val="24"/>
        </w:rPr>
        <w:t>广西钦州林浆纸产业园发展规划（</w:t>
      </w:r>
      <w:r>
        <w:rPr>
          <w:rFonts w:eastAsia="Times New Roman" w:cs="Times New Roman"/>
          <w:color w:val="auto"/>
          <w:spacing w:val="-5"/>
          <w:szCs w:val="24"/>
        </w:rPr>
        <w:t>2024-2035</w:t>
      </w:r>
      <w:r>
        <w:rPr>
          <w:rFonts w:ascii="宋体" w:hAnsi="宋体" w:cs="宋体"/>
          <w:color w:val="auto"/>
          <w:spacing w:val="-5"/>
          <w:szCs w:val="24"/>
        </w:rPr>
        <w:t>）环境影响报告书</w:t>
      </w:r>
      <w:r>
        <w:rPr>
          <w:rFonts w:hint="eastAsia"/>
          <w:color w:val="auto"/>
        </w:rPr>
        <w:t>》</w:t>
      </w:r>
      <w:r>
        <w:rPr>
          <w:color w:val="auto"/>
        </w:rPr>
        <w:t>等涉及相关规划及规划环评要求</w:t>
      </w:r>
      <w:r>
        <w:rPr>
          <w:color w:val="auto"/>
          <w:spacing w:val="-9"/>
        </w:rPr>
        <w:t>。</w:t>
      </w:r>
    </w:p>
    <w:p w14:paraId="2FAB0119">
      <w:pPr>
        <w:ind w:firstLine="480"/>
        <w:rPr>
          <w:color w:val="auto"/>
        </w:rPr>
      </w:pPr>
      <w:r>
        <w:rPr>
          <w:color w:val="auto"/>
        </w:rPr>
        <w:t>（3）</w:t>
      </w:r>
      <w:r>
        <w:rPr>
          <w:rFonts w:hint="eastAsia"/>
          <w:color w:val="auto"/>
        </w:rPr>
        <w:t>生态环境分区管控</w:t>
      </w:r>
      <w:r>
        <w:rPr>
          <w:color w:val="auto"/>
        </w:rPr>
        <w:t>符合性</w:t>
      </w:r>
    </w:p>
    <w:p w14:paraId="4E55EBF4">
      <w:pPr>
        <w:ind w:firstLine="480"/>
        <w:rPr>
          <w:color w:val="auto"/>
        </w:rPr>
      </w:pPr>
      <w:r>
        <w:rPr>
          <w:color w:val="auto"/>
        </w:rPr>
        <w:t>金桂浆纸现有厂区不占用生态保护红线和一般生态空间等生态空间，位于“广西钦州石化产业园重点管控单元（ZH45070220003）”</w:t>
      </w:r>
      <w:r>
        <w:rPr>
          <w:rFonts w:hint="eastAsia"/>
          <w:color w:val="auto"/>
        </w:rPr>
        <w:t>，</w:t>
      </w:r>
      <w:r>
        <w:rPr>
          <w:color w:val="auto"/>
        </w:rPr>
        <w:t>符合</w:t>
      </w:r>
      <w:r>
        <w:rPr>
          <w:rFonts w:hint="eastAsia"/>
          <w:color w:val="auto"/>
        </w:rPr>
        <w:t>《钦州市生态环境分区管控动态更新成果（2023版）》</w:t>
      </w:r>
      <w:r>
        <w:rPr>
          <w:color w:val="auto"/>
        </w:rPr>
        <w:t>相关生态环境准入及管控要求</w:t>
      </w:r>
      <w:r>
        <w:rPr>
          <w:color w:val="auto"/>
          <w:spacing w:val="-6"/>
        </w:rPr>
        <w:t>。</w:t>
      </w:r>
    </w:p>
    <w:p w14:paraId="5149E19B">
      <w:pPr>
        <w:pStyle w:val="3"/>
        <w:numPr>
          <w:ilvl w:val="0"/>
          <w:numId w:val="0"/>
        </w:numPr>
        <w:rPr>
          <w:color w:val="auto"/>
        </w:rPr>
      </w:pPr>
      <w:bookmarkStart w:id="10" w:name="_Toc225216642"/>
      <w:bookmarkStart w:id="11" w:name="_Toc221355693"/>
      <w:r>
        <w:rPr>
          <w:color w:val="auto"/>
        </w:rPr>
        <w:t>五、关注的主要环境问题及环境影响</w:t>
      </w:r>
      <w:bookmarkEnd w:id="10"/>
      <w:bookmarkEnd w:id="11"/>
    </w:p>
    <w:p w14:paraId="1A60DBB7">
      <w:pPr>
        <w:ind w:firstLine="480"/>
        <w:rPr>
          <w:color w:val="auto"/>
        </w:rPr>
      </w:pPr>
      <w:bookmarkStart w:id="12" w:name="_Toc156289703"/>
      <w:r>
        <w:rPr>
          <w:color w:val="auto"/>
        </w:rPr>
        <w:t>根据项目的排污特性和排污种类，确定拟建项目施工期主要为废气、废水、固体废物和噪声对环境的影响；运营期主要为生产废水排海对海洋环境的影响</w:t>
      </w:r>
      <w:r>
        <w:rPr>
          <w:rFonts w:hint="eastAsia"/>
          <w:color w:val="auto"/>
        </w:rPr>
        <w:t>，污水处理站产生的恶臭、淋膜车间产生的非甲烷总烃、造纸车间烘干废气等产生的废气污染物排放对环境空气质量的影响，以及噪声对周边敏感点的影响和固体废物对环境的影响等</w:t>
      </w:r>
      <w:r>
        <w:rPr>
          <w:rFonts w:ascii="宋体" w:hAnsi="宋体" w:cs="宋体"/>
          <w:color w:val="auto"/>
          <w:spacing w:val="-3"/>
        </w:rPr>
        <w:t>。</w:t>
      </w:r>
    </w:p>
    <w:p w14:paraId="10D9BE3F">
      <w:pPr>
        <w:pStyle w:val="3"/>
        <w:numPr>
          <w:ilvl w:val="0"/>
          <w:numId w:val="0"/>
        </w:numPr>
        <w:rPr>
          <w:color w:val="auto"/>
        </w:rPr>
      </w:pPr>
      <w:bookmarkStart w:id="13" w:name="_Toc221355694"/>
      <w:bookmarkStart w:id="14" w:name="_Toc225216643"/>
      <w:r>
        <w:rPr>
          <w:color w:val="auto"/>
        </w:rPr>
        <w:t>六、报告书主要结论</w:t>
      </w:r>
      <w:bookmarkEnd w:id="12"/>
      <w:bookmarkEnd w:id="13"/>
      <w:bookmarkEnd w:id="14"/>
    </w:p>
    <w:p w14:paraId="0C64244C">
      <w:pPr>
        <w:ind w:firstLine="480"/>
        <w:rPr>
          <w:color w:val="auto"/>
        </w:rPr>
      </w:pPr>
      <w:r>
        <w:rPr>
          <w:color w:val="auto"/>
        </w:rPr>
        <w:t>广西</w:t>
      </w:r>
      <w:r>
        <w:rPr>
          <w:rFonts w:hint="eastAsia"/>
          <w:color w:val="auto"/>
        </w:rPr>
        <w:t>金桂浆纸业有限公司高档纸板车间绿色升级改造项目符合《</w:t>
      </w:r>
      <w:r>
        <w:rPr>
          <w:rFonts w:ascii="宋体" w:hAnsi="宋体" w:cs="宋体"/>
          <w:color w:val="auto"/>
          <w:spacing w:val="-5"/>
          <w:szCs w:val="24"/>
        </w:rPr>
        <w:t>广西钦州林浆纸产业园发展规划（</w:t>
      </w:r>
      <w:r>
        <w:rPr>
          <w:rFonts w:eastAsia="Times New Roman" w:cs="Times New Roman"/>
          <w:color w:val="auto"/>
          <w:spacing w:val="-5"/>
          <w:szCs w:val="24"/>
        </w:rPr>
        <w:t>2024-2035</w:t>
      </w:r>
      <w:r>
        <w:rPr>
          <w:rFonts w:ascii="宋体" w:hAnsi="宋体" w:cs="宋体"/>
          <w:color w:val="auto"/>
          <w:spacing w:val="-5"/>
          <w:szCs w:val="24"/>
        </w:rPr>
        <w:t>）环境影响报告书</w:t>
      </w:r>
      <w:r>
        <w:rPr>
          <w:rFonts w:hint="eastAsia"/>
          <w:color w:val="auto"/>
        </w:rPr>
        <w:t>》及审查意见的要求，符合生态环境准入及管控要求符合性。项目拟采取的污染防治措施技术可行，各项污染物能实现长期稳定达标排放并满足总量控制要求，未导致区域环境质量降级，对环境影响程度在可接受范围。只要在严格遵守项目“三同时”以及切实落实本环评报告提出的各项污染防治措施、环境风险防范措施以及环境管理制度，从环境保护角度分析，项目建设可行。</w:t>
      </w:r>
    </w:p>
    <w:p w14:paraId="1377A16A">
      <w:pPr>
        <w:adjustRightInd w:val="0"/>
        <w:snapToGrid w:val="0"/>
        <w:spacing w:before="156" w:beforeLines="50" w:line="300" w:lineRule="exact"/>
        <w:ind w:firstLine="0" w:firstLineChars="0"/>
        <w:jc w:val="center"/>
        <w:rPr>
          <w:rFonts w:eastAsia="黑体"/>
          <w:color w:val="auto"/>
          <w:sz w:val="30"/>
          <w:szCs w:val="30"/>
        </w:rPr>
      </w:pPr>
    </w:p>
    <w:p w14:paraId="5B2EA7FA">
      <w:pPr>
        <w:adjustRightInd w:val="0"/>
        <w:snapToGrid w:val="0"/>
        <w:spacing w:before="156" w:beforeLines="50" w:line="300" w:lineRule="exact"/>
        <w:ind w:firstLine="0" w:firstLineChars="0"/>
        <w:jc w:val="center"/>
        <w:rPr>
          <w:rFonts w:eastAsia="黑体"/>
          <w:color w:val="auto"/>
          <w:sz w:val="30"/>
          <w:szCs w:val="30"/>
        </w:rPr>
        <w:sectPr>
          <w:headerReference r:id="rId13" w:type="default"/>
          <w:footerReference r:id="rId14" w:type="default"/>
          <w:pgSz w:w="11906" w:h="16838"/>
          <w:pgMar w:top="1418" w:right="1418" w:bottom="1418" w:left="1418" w:header="851" w:footer="992" w:gutter="0"/>
          <w:pgNumType w:start="1"/>
          <w:cols w:space="425" w:num="1"/>
          <w:docGrid w:type="lines" w:linePitch="312" w:charSpace="0"/>
        </w:sectPr>
      </w:pPr>
    </w:p>
    <w:sdt>
      <w:sdtPr>
        <w:rPr>
          <w:rFonts w:ascii="Times New Roman" w:hAnsi="Times New Roman" w:eastAsia="宋体" w:cstheme="minorBidi"/>
          <w:color w:val="auto"/>
          <w:kern w:val="2"/>
          <w:sz w:val="24"/>
          <w:szCs w:val="22"/>
          <w:lang w:val="zh-CN"/>
        </w:rPr>
        <w:id w:val="-1486078343"/>
        <w:docPartObj>
          <w:docPartGallery w:val="Table of Contents"/>
          <w:docPartUnique/>
        </w:docPartObj>
      </w:sdtPr>
      <w:sdtEndPr>
        <w:rPr>
          <w:rFonts w:ascii="Times New Roman" w:hAnsi="Times New Roman" w:eastAsia="宋体" w:cstheme="minorBidi"/>
          <w:b/>
          <w:bCs/>
          <w:color w:val="auto"/>
          <w:kern w:val="2"/>
          <w:sz w:val="24"/>
          <w:szCs w:val="22"/>
          <w:lang w:val="zh-CN"/>
        </w:rPr>
      </w:sdtEndPr>
      <w:sdtContent>
        <w:p w14:paraId="138B6E8F">
          <w:pPr>
            <w:pStyle w:val="38"/>
            <w:ind w:firstLine="480"/>
            <w:rPr>
              <w:color w:val="auto"/>
            </w:rPr>
          </w:pPr>
          <w:r>
            <w:rPr>
              <w:color w:val="auto"/>
              <w:lang w:val="zh-CN"/>
            </w:rPr>
            <w:t>目录</w:t>
          </w:r>
        </w:p>
        <w:p w14:paraId="668285CE">
          <w:pPr>
            <w:pStyle w:val="20"/>
            <w:tabs>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TOC \o "1-3" \h \z \u </w:instrText>
          </w:r>
          <w:r>
            <w:rPr>
              <w:color w:val="auto"/>
            </w:rPr>
            <w:fldChar w:fldCharType="separate"/>
          </w:r>
          <w:r>
            <w:rPr>
              <w:color w:val="auto"/>
            </w:rPr>
            <w:fldChar w:fldCharType="begin"/>
          </w:r>
          <w:r>
            <w:rPr>
              <w:color w:val="auto"/>
            </w:rPr>
            <w:instrText xml:space="preserve"> HYPERLINK \l "_Toc225216637" </w:instrText>
          </w:r>
          <w:r>
            <w:rPr>
              <w:color w:val="auto"/>
            </w:rPr>
            <w:fldChar w:fldCharType="separate"/>
          </w:r>
          <w:r>
            <w:rPr>
              <w:rStyle w:val="29"/>
              <w:rFonts w:hint="eastAsia"/>
              <w:color w:val="auto"/>
            </w:rPr>
            <w:t>概  述</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_Toc225216637 \h</w:instrText>
          </w:r>
          <w:r>
            <w:rPr>
              <w:rFonts w:hint="eastAsia"/>
              <w:color w:val="auto"/>
            </w:rPr>
            <w:instrText xml:space="preserve"> </w:instrText>
          </w:r>
          <w:r>
            <w:rPr>
              <w:rFonts w:hint="eastAsia"/>
              <w:color w:val="auto"/>
            </w:rPr>
            <w:fldChar w:fldCharType="separate"/>
          </w:r>
          <w:r>
            <w:rPr>
              <w:color w:val="auto"/>
            </w:rPr>
            <w:t>1</w:t>
          </w:r>
          <w:r>
            <w:rPr>
              <w:rFonts w:hint="eastAsia"/>
              <w:color w:val="auto"/>
            </w:rPr>
            <w:fldChar w:fldCharType="end"/>
          </w:r>
          <w:r>
            <w:rPr>
              <w:rFonts w:hint="eastAsia"/>
              <w:color w:val="auto"/>
            </w:rPr>
            <w:fldChar w:fldCharType="end"/>
          </w:r>
        </w:p>
        <w:p w14:paraId="38540ACD">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"_Toc225216638" </w:instrText>
          </w:r>
          <w:r>
            <w:rPr>
              <w:color w:val="auto"/>
            </w:rPr>
            <w:fldChar w:fldCharType="separate"/>
          </w:r>
          <w:r>
            <w:rPr>
              <w:rStyle w:val="29"/>
              <w:rFonts w:hint="eastAsia"/>
              <w:color w:val="auto"/>
            </w:rPr>
            <w:t>一、项目由来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_Toc225216638 \h</w:instrText>
          </w:r>
          <w:r>
            <w:rPr>
              <w:rFonts w:hint="eastAsia"/>
              <w:color w:val="auto"/>
            </w:rPr>
            <w:instrText xml:space="preserve"> </w:instrText>
          </w:r>
          <w:r>
            <w:rPr>
              <w:rFonts w:hint="eastAsia"/>
              <w:color w:val="auto"/>
            </w:rPr>
            <w:fldChar w:fldCharType="separate"/>
          </w:r>
          <w:r>
            <w:rPr>
              <w:color w:val="auto"/>
            </w:rPr>
            <w:t>1</w:t>
          </w:r>
          <w:r>
            <w:rPr>
              <w:rFonts w:hint="eastAsia"/>
              <w:color w:val="auto"/>
            </w:rPr>
            <w:fldChar w:fldCharType="end"/>
          </w:r>
          <w:r>
            <w:rPr>
              <w:rFonts w:hint="eastAsia"/>
              <w:color w:val="auto"/>
            </w:rPr>
            <w:fldChar w:fldCharType="end"/>
          </w:r>
        </w:p>
        <w:p w14:paraId="0B2F2195">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"_Toc225216639" </w:instrText>
          </w:r>
          <w:r>
            <w:rPr>
              <w:color w:val="auto"/>
            </w:rPr>
            <w:fldChar w:fldCharType="separate"/>
          </w:r>
          <w:r>
            <w:rPr>
              <w:rStyle w:val="29"/>
              <w:rFonts w:hint="eastAsia"/>
              <w:color w:val="auto"/>
            </w:rPr>
            <w:t>二、建设项目特点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_Toc225216639 \h</w:instrText>
          </w:r>
          <w:r>
            <w:rPr>
              <w:rFonts w:hint="eastAsia"/>
              <w:color w:val="auto"/>
            </w:rPr>
            <w:instrText xml:space="preserve"> </w:instrText>
          </w:r>
          <w:r>
            <w:rPr>
              <w:rFonts w:hint="eastAsia"/>
              <w:color w:val="auto"/>
            </w:rPr>
            <w:fldChar w:fldCharType="separate"/>
          </w:r>
          <w:r>
            <w:rPr>
              <w:color w:val="auto"/>
            </w:rPr>
            <w:t>2</w:t>
          </w:r>
          <w:r>
            <w:rPr>
              <w:rFonts w:hint="eastAsia"/>
              <w:color w:val="auto"/>
            </w:rPr>
            <w:fldChar w:fldCharType="end"/>
          </w:r>
          <w:r>
            <w:rPr>
              <w:rFonts w:hint="eastAsia"/>
              <w:color w:val="auto"/>
            </w:rPr>
            <w:fldChar w:fldCharType="end"/>
          </w:r>
        </w:p>
        <w:p w14:paraId="2A281311">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"_Toc225216640" </w:instrText>
          </w:r>
          <w:r>
            <w:rPr>
              <w:color w:val="auto"/>
            </w:rPr>
            <w:fldChar w:fldCharType="separate"/>
          </w:r>
          <w:r>
            <w:rPr>
              <w:rStyle w:val="29"/>
              <w:rFonts w:hint="eastAsia"/>
              <w:color w:val="auto"/>
            </w:rPr>
            <w:t>三、评价工作过程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_Toc225216640 \h</w:instrText>
          </w:r>
          <w:r>
            <w:rPr>
              <w:rFonts w:hint="eastAsia"/>
              <w:color w:val="auto"/>
            </w:rPr>
            <w:instrText xml:space="preserve"> </w:instrText>
          </w:r>
          <w:r>
            <w:rPr>
              <w:rFonts w:hint="eastAsia"/>
              <w:color w:val="auto"/>
            </w:rPr>
            <w:fldChar w:fldCharType="separate"/>
          </w:r>
          <w:r>
            <w:rPr>
              <w:color w:val="auto"/>
            </w:rPr>
            <w:t>2</w:t>
          </w:r>
          <w:r>
            <w:rPr>
              <w:rFonts w:hint="eastAsia"/>
              <w:color w:val="auto"/>
            </w:rPr>
            <w:fldChar w:fldCharType="end"/>
          </w:r>
          <w:r>
            <w:rPr>
              <w:rFonts w:hint="eastAsia"/>
              <w:color w:val="auto"/>
            </w:rPr>
            <w:fldChar w:fldCharType="end"/>
          </w:r>
        </w:p>
        <w:p w14:paraId="5E704705">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"_Toc225216641" </w:instrText>
          </w:r>
          <w:r>
            <w:rPr>
              <w:color w:val="auto"/>
            </w:rPr>
            <w:fldChar w:fldCharType="separate"/>
          </w:r>
          <w:r>
            <w:rPr>
              <w:rStyle w:val="29"/>
              <w:rFonts w:hint="eastAsia"/>
              <w:color w:val="auto"/>
            </w:rPr>
            <w:t>四、分析判定相关情况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_Toc225216641 \h</w:instrText>
          </w:r>
          <w:r>
            <w:rPr>
              <w:rFonts w:hint="eastAsia"/>
              <w:color w:val="auto"/>
            </w:rPr>
            <w:instrText xml:space="preserve"> </w:instrText>
          </w:r>
          <w:r>
            <w:rPr>
              <w:rFonts w:hint="eastAsia"/>
              <w:color w:val="auto"/>
            </w:rPr>
            <w:fldChar w:fldCharType="separate"/>
          </w:r>
          <w:r>
            <w:rPr>
              <w:color w:val="auto"/>
            </w:rPr>
            <w:t>3</w:t>
          </w:r>
          <w:r>
            <w:rPr>
              <w:rFonts w:hint="eastAsia"/>
              <w:color w:val="auto"/>
            </w:rPr>
            <w:fldChar w:fldCharType="end"/>
          </w:r>
          <w:r>
            <w:rPr>
              <w:rFonts w:hint="eastAsia"/>
              <w:color w:val="auto"/>
            </w:rPr>
            <w:fldChar w:fldCharType="end"/>
          </w:r>
        </w:p>
        <w:p w14:paraId="14616E79">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"_Toc225216642" </w:instrText>
          </w:r>
          <w:r>
            <w:rPr>
              <w:color w:val="auto"/>
            </w:rPr>
            <w:fldChar w:fldCharType="separate"/>
          </w:r>
          <w:r>
            <w:rPr>
              <w:rStyle w:val="29"/>
              <w:rFonts w:hint="eastAsia"/>
              <w:color w:val="auto"/>
            </w:rPr>
            <w:t>五、关注的主要环境问题及环境影响</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_Toc225216642 \h</w:instrText>
          </w:r>
          <w:r>
            <w:rPr>
              <w:rFonts w:hint="eastAsia"/>
              <w:color w:val="auto"/>
            </w:rPr>
            <w:instrText xml:space="preserve"> </w:instrText>
          </w:r>
          <w:r>
            <w:rPr>
              <w:rFonts w:hint="eastAsia"/>
              <w:color w:val="auto"/>
            </w:rPr>
            <w:fldChar w:fldCharType="separate"/>
          </w:r>
          <w:r>
            <w:rPr>
              <w:color w:val="auto"/>
            </w:rPr>
            <w:t>4</w:t>
          </w:r>
          <w:r>
            <w:rPr>
              <w:rFonts w:hint="eastAsia"/>
              <w:color w:val="auto"/>
            </w:rPr>
            <w:fldChar w:fldCharType="end"/>
          </w:r>
          <w:r>
            <w:rPr>
              <w:rFonts w:hint="eastAsia"/>
              <w:color w:val="auto"/>
            </w:rPr>
            <w:fldChar w:fldCharType="end"/>
          </w:r>
        </w:p>
        <w:p w14:paraId="78D7E1C2">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"_Toc225216643" </w:instrText>
          </w:r>
          <w:r>
            <w:rPr>
              <w:color w:val="auto"/>
            </w:rPr>
            <w:fldChar w:fldCharType="separate"/>
          </w:r>
          <w:r>
            <w:rPr>
              <w:rStyle w:val="29"/>
              <w:rFonts w:hint="eastAsia"/>
              <w:color w:val="auto"/>
            </w:rPr>
            <w:t>六、报告书主要结论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_Toc225216643 \h</w:instrText>
          </w:r>
          <w:r>
            <w:rPr>
              <w:rFonts w:hint="eastAsia"/>
              <w:color w:val="auto"/>
            </w:rPr>
            <w:instrText xml:space="preserve"> </w:instrText>
          </w:r>
          <w:r>
            <w:rPr>
              <w:rFonts w:hint="eastAsia"/>
              <w:color w:val="auto"/>
            </w:rPr>
            <w:fldChar w:fldCharType="separate"/>
          </w:r>
          <w:r>
            <w:rPr>
              <w:color w:val="auto"/>
            </w:rPr>
            <w:t>4</w:t>
          </w:r>
          <w:r>
            <w:rPr>
              <w:rFonts w:hint="eastAsia"/>
              <w:color w:val="auto"/>
            </w:rPr>
            <w:fldChar w:fldCharType="end"/>
          </w:r>
          <w:r>
            <w:rPr>
              <w:rFonts w:hint="eastAsia"/>
              <w:color w:val="auto"/>
            </w:rPr>
            <w:fldChar w:fldCharType="end"/>
          </w:r>
        </w:p>
        <w:p w14:paraId="0CFCCC76">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"_Toc225216644" </w:instrText>
          </w:r>
          <w:r>
            <w:rPr>
              <w:color w:val="auto"/>
            </w:rPr>
            <w:fldChar w:fldCharType="separate"/>
          </w:r>
          <w:r>
            <w:rPr>
              <w:rStyle w:val="29"/>
              <w:rFonts w:hint="eastAsia"/>
              <w:color w:val="auto"/>
            </w:rPr>
            <w:t>附图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_Toc225216644 \h</w:instrText>
          </w:r>
          <w:r>
            <w:rPr>
              <w:rFonts w:hint="eastAsia"/>
              <w:color w:val="auto"/>
            </w:rPr>
            <w:instrText xml:space="preserve"> </w:instrText>
          </w:r>
          <w:r>
            <w:rPr>
              <w:rFonts w:hint="eastAsia"/>
              <w:color w:val="auto"/>
            </w:rPr>
            <w:fldChar w:fldCharType="separate"/>
          </w:r>
          <w:r>
            <w:rPr>
              <w:color w:val="auto"/>
            </w:rPr>
            <w:t>X</w:t>
          </w:r>
          <w:r>
            <w:rPr>
              <w:rFonts w:hint="eastAsia"/>
              <w:color w:val="auto"/>
            </w:rPr>
            <w:fldChar w:fldCharType="end"/>
          </w:r>
          <w:r>
            <w:rPr>
              <w:rFonts w:hint="eastAsia"/>
              <w:color w:val="auto"/>
            </w:rPr>
            <w:fldChar w:fldCharType="end"/>
          </w:r>
        </w:p>
        <w:p w14:paraId="593C7D71">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"_Toc225216645" </w:instrText>
          </w:r>
          <w:r>
            <w:rPr>
              <w:color w:val="auto"/>
            </w:rPr>
            <w:fldChar w:fldCharType="separate"/>
          </w:r>
          <w:r>
            <w:rPr>
              <w:rStyle w:val="29"/>
              <w:rFonts w:hint="eastAsia"/>
              <w:color w:val="auto"/>
            </w:rPr>
            <w:t>附件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_Toc225216645 \h</w:instrText>
          </w:r>
          <w:r>
            <w:rPr>
              <w:rFonts w:hint="eastAsia"/>
              <w:color w:val="auto"/>
            </w:rPr>
            <w:instrText xml:space="preserve"> </w:instrText>
          </w:r>
          <w:r>
            <w:rPr>
              <w:rFonts w:hint="eastAsia"/>
              <w:color w:val="auto"/>
            </w:rPr>
            <w:fldChar w:fldCharType="separate"/>
          </w:r>
          <w:r>
            <w:rPr>
              <w:color w:val="auto"/>
            </w:rPr>
            <w:t>XI</w:t>
          </w:r>
          <w:r>
            <w:rPr>
              <w:rFonts w:hint="eastAsia"/>
              <w:color w:val="auto"/>
            </w:rPr>
            <w:fldChar w:fldCharType="end"/>
          </w:r>
          <w:r>
            <w:rPr>
              <w:rFonts w:hint="eastAsia"/>
              <w:color w:val="auto"/>
            </w:rPr>
            <w:fldChar w:fldCharType="end"/>
          </w:r>
        </w:p>
        <w:p w14:paraId="00A54932">
          <w:pPr>
            <w:pStyle w:val="23"/>
            <w:tabs>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"_Toc225216646" </w:instrText>
          </w:r>
          <w:r>
            <w:rPr>
              <w:color w:val="auto"/>
            </w:rPr>
            <w:fldChar w:fldCharType="separate"/>
          </w:r>
          <w:r>
            <w:rPr>
              <w:rStyle w:val="29"/>
              <w:rFonts w:hint="eastAsia" w:cs="Times New Roman"/>
              <w:color w:val="auto"/>
            </w:rPr>
            <w:t>附表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_Toc225216646 \h</w:instrText>
          </w:r>
          <w:r>
            <w:rPr>
              <w:rFonts w:hint="eastAsia"/>
              <w:color w:val="auto"/>
            </w:rPr>
            <w:instrText xml:space="preserve"> </w:instrText>
          </w:r>
          <w:r>
            <w:rPr>
              <w:rFonts w:hint="eastAsia"/>
              <w:color w:val="auto"/>
            </w:rPr>
            <w:fldChar w:fldCharType="separate"/>
          </w:r>
          <w:r>
            <w:rPr>
              <w:color w:val="auto"/>
            </w:rPr>
            <w:t>XIII</w:t>
          </w:r>
          <w:r>
            <w:rPr>
              <w:rFonts w:hint="eastAsia"/>
              <w:color w:val="auto"/>
            </w:rPr>
            <w:fldChar w:fldCharType="end"/>
          </w:r>
          <w:r>
            <w:rPr>
              <w:rFonts w:hint="eastAsia"/>
              <w:color w:val="auto"/>
            </w:rPr>
            <w:fldChar w:fldCharType="end"/>
          </w:r>
        </w:p>
        <w:p w14:paraId="5FF5C147">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"_Toc225216647" </w:instrText>
          </w:r>
          <w:r>
            <w:rPr>
              <w:color w:val="auto"/>
            </w:rPr>
            <w:fldChar w:fldCharType="separate"/>
          </w:r>
          <w:r>
            <w:rPr>
              <w:rStyle w:val="29"/>
              <w:rFonts w:hint="eastAsia"/>
              <w:color w:val="auto"/>
            </w:rPr>
            <w:t>1</w:t>
          </w:r>
          <w:r>
            <w:rPr>
              <w:rFonts w:hint="eastAsia" w:asciiTheme="minorHAnsi" w:hAnsiTheme="minorHAnsi" w:eastAsiaTheme="minorEastAsia"/>
              <w:color w:val="auto"/>
              <w:sz w:val="22"/>
              <w:szCs w:val="24"/>
              <w14:ligatures w14:val="standardContextual"/>
            </w:rPr>
            <w:tab/>
          </w:r>
          <w:r>
            <w:rPr>
              <w:rStyle w:val="29"/>
              <w:rFonts w:hint="eastAsia"/>
              <w:color w:val="auto"/>
            </w:rPr>
            <w:t>总则</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_Toc225216647 \h</w:instrText>
          </w:r>
          <w:r>
            <w:rPr>
              <w:rFonts w:hint="eastAsia"/>
              <w:color w:val="auto"/>
            </w:rPr>
            <w:instrText xml:space="preserve"> </w:instrText>
          </w:r>
          <w:r>
            <w:rPr>
              <w:rFonts w:hint="eastAsia"/>
              <w:color w:val="auto"/>
            </w:rPr>
            <w:fldChar w:fldCharType="separate"/>
          </w:r>
          <w:r>
            <w:rPr>
              <w:color w:val="auto"/>
            </w:rPr>
            <w:t>15</w:t>
          </w:r>
          <w:r>
            <w:rPr>
              <w:rFonts w:hint="eastAsia"/>
              <w:color w:val="auto"/>
            </w:rPr>
            <w:fldChar w:fldCharType="end"/>
          </w:r>
          <w:r>
            <w:rPr>
              <w:rFonts w:hint="eastAsia"/>
              <w:color w:val="auto"/>
            </w:rPr>
            <w:fldChar w:fldCharType="end"/>
          </w:r>
        </w:p>
        <w:p w14:paraId="7204B0E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"_Toc225216648" </w:instrText>
          </w:r>
          <w:r>
            <w:rPr>
              <w:color w:val="auto"/>
            </w:rPr>
            <w:fldChar w:fldCharType="separate"/>
          </w:r>
          <w:r>
            <w:rPr>
              <w:rStyle w:val="29"/>
              <w:rFonts w:hint="eastAsia" w:cs="Times New Roman"/>
              <w:color w:val="auto"/>
            </w:rPr>
            <w:t>1.1.1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国家相关法律法规、政策依据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_Toc225216648 \h</w:instrText>
          </w:r>
          <w:r>
            <w:rPr>
              <w:rFonts w:hint="eastAsia"/>
              <w:color w:val="auto"/>
            </w:rPr>
            <w:instrText xml:space="preserve"> </w:instrText>
          </w:r>
          <w:r>
            <w:rPr>
              <w:rFonts w:hint="eastAsia"/>
              <w:color w:val="auto"/>
            </w:rPr>
            <w:fldChar w:fldCharType="separate"/>
          </w:r>
          <w:r>
            <w:rPr>
              <w:color w:val="auto"/>
            </w:rPr>
            <w:t>15</w:t>
          </w:r>
          <w:r>
            <w:rPr>
              <w:rFonts w:hint="eastAsia"/>
              <w:color w:val="auto"/>
            </w:rPr>
            <w:fldChar w:fldCharType="end"/>
          </w:r>
          <w:r>
            <w:rPr>
              <w:rFonts w:hint="eastAsia"/>
              <w:color w:val="auto"/>
            </w:rPr>
            <w:fldChar w:fldCharType="end"/>
          </w:r>
        </w:p>
        <w:p w14:paraId="3902CF9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"_Toc225216649" </w:instrText>
          </w:r>
          <w:r>
            <w:rPr>
              <w:color w:val="auto"/>
            </w:rPr>
            <w:fldChar w:fldCharType="separate"/>
          </w:r>
          <w:r>
            <w:rPr>
              <w:rStyle w:val="29"/>
              <w:rFonts w:hint="eastAsia" w:cs="Times New Roman"/>
              <w:color w:val="auto"/>
            </w:rPr>
            <w:t>1.1.2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地方性法规及规范性文件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_Toc225216649 \h</w:instrText>
          </w:r>
          <w:r>
            <w:rPr>
              <w:rFonts w:hint="eastAsia"/>
              <w:color w:val="auto"/>
            </w:rPr>
            <w:instrText xml:space="preserve"> </w:instrText>
          </w:r>
          <w:r>
            <w:rPr>
              <w:rFonts w:hint="eastAsia"/>
              <w:color w:val="auto"/>
            </w:rPr>
            <w:fldChar w:fldCharType="separate"/>
          </w:r>
          <w:r>
            <w:rPr>
              <w:color w:val="auto"/>
            </w:rPr>
            <w:t>18</w:t>
          </w:r>
          <w:r>
            <w:rPr>
              <w:rFonts w:hint="eastAsia"/>
              <w:color w:val="auto"/>
            </w:rPr>
            <w:fldChar w:fldCharType="end"/>
          </w:r>
          <w:r>
            <w:rPr>
              <w:rFonts w:hint="eastAsia"/>
              <w:color w:val="auto"/>
            </w:rPr>
            <w:fldChar w:fldCharType="end"/>
          </w:r>
        </w:p>
        <w:p w14:paraId="3BE235C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"_Toc225216650" </w:instrText>
          </w:r>
          <w:r>
            <w:rPr>
              <w:color w:val="auto"/>
            </w:rPr>
            <w:fldChar w:fldCharType="separate"/>
          </w:r>
          <w:r>
            <w:rPr>
              <w:rStyle w:val="29"/>
              <w:rFonts w:hint="eastAsia"/>
              <w:color w:val="auto"/>
            </w:rPr>
            <w:t>1.1.3</w:t>
          </w:r>
          <w:r>
            <w:rPr>
              <w:rFonts w:hint="eastAsia" w:asciiTheme="minorHAnsi" w:hAnsiTheme="minorHAnsi" w:eastAsiaTheme="minorEastAsia"/>
              <w:color w:val="auto"/>
              <w:sz w:val="22"/>
              <w:szCs w:val="24"/>
              <w14:ligatures w14:val="standardContextual"/>
            </w:rPr>
            <w:tab/>
          </w:r>
          <w:r>
            <w:rPr>
              <w:rStyle w:val="29"/>
              <w:rFonts w:hint="eastAsia"/>
              <w:color w:val="auto"/>
            </w:rPr>
            <w:t>规划依据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_Toc225216650 \h</w:instrText>
          </w:r>
          <w:r>
            <w:rPr>
              <w:rFonts w:hint="eastAsia"/>
              <w:color w:val="auto"/>
            </w:rPr>
            <w:instrText xml:space="preserve"> </w:instrText>
          </w:r>
          <w:r>
            <w:rPr>
              <w:rFonts w:hint="eastAsia"/>
              <w:color w:val="auto"/>
            </w:rPr>
            <w:fldChar w:fldCharType="separate"/>
          </w:r>
          <w:r>
            <w:rPr>
              <w:color w:val="auto"/>
            </w:rPr>
            <w:t>19</w:t>
          </w:r>
          <w:r>
            <w:rPr>
              <w:rFonts w:hint="eastAsia"/>
              <w:color w:val="auto"/>
            </w:rPr>
            <w:fldChar w:fldCharType="end"/>
          </w:r>
          <w:r>
            <w:rPr>
              <w:rFonts w:hint="eastAsia"/>
              <w:color w:val="auto"/>
            </w:rPr>
            <w:fldChar w:fldCharType="end"/>
          </w:r>
        </w:p>
        <w:p w14:paraId="7037264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"_Toc225216651" </w:instrText>
          </w:r>
          <w:r>
            <w:rPr>
              <w:color w:val="auto"/>
            </w:rPr>
            <w:fldChar w:fldCharType="separate"/>
          </w:r>
          <w:r>
            <w:rPr>
              <w:rStyle w:val="29"/>
              <w:rFonts w:hint="eastAsia"/>
              <w:color w:val="auto"/>
            </w:rPr>
            <w:t>1.1.4</w:t>
          </w:r>
          <w:r>
            <w:rPr>
              <w:rFonts w:hint="eastAsia" w:asciiTheme="minorHAnsi" w:hAnsiTheme="minorHAnsi" w:eastAsiaTheme="minorEastAsia"/>
              <w:color w:val="auto"/>
              <w:sz w:val="22"/>
              <w:szCs w:val="24"/>
              <w14:ligatures w14:val="standardContextual"/>
            </w:rPr>
            <w:tab/>
          </w:r>
          <w:r>
            <w:rPr>
              <w:rStyle w:val="29"/>
              <w:rFonts w:hint="eastAsia"/>
              <w:color w:val="auto"/>
            </w:rPr>
            <w:t>技术导则与规范</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_Toc225216651 \h</w:instrText>
          </w:r>
          <w:r>
            <w:rPr>
              <w:rFonts w:hint="eastAsia"/>
              <w:color w:val="auto"/>
            </w:rPr>
            <w:instrText xml:space="preserve"> </w:instrText>
          </w:r>
          <w:r>
            <w:rPr>
              <w:rFonts w:hint="eastAsia"/>
              <w:color w:val="auto"/>
            </w:rPr>
            <w:fldChar w:fldCharType="separate"/>
          </w:r>
          <w:r>
            <w:rPr>
              <w:color w:val="auto"/>
            </w:rPr>
            <w:t>20</w:t>
          </w:r>
          <w:r>
            <w:rPr>
              <w:rFonts w:hint="eastAsia"/>
              <w:color w:val="auto"/>
            </w:rPr>
            <w:fldChar w:fldCharType="end"/>
          </w:r>
          <w:r>
            <w:rPr>
              <w:rFonts w:hint="eastAsia"/>
              <w:color w:val="auto"/>
            </w:rPr>
            <w:fldChar w:fldCharType="end"/>
          </w:r>
        </w:p>
        <w:p w14:paraId="0EC3869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"_Toc225216652" </w:instrText>
          </w:r>
          <w:r>
            <w:rPr>
              <w:color w:val="auto"/>
            </w:rPr>
            <w:fldChar w:fldCharType="separate"/>
          </w:r>
          <w:r>
            <w:rPr>
              <w:rStyle w:val="29"/>
              <w:rFonts w:hint="eastAsia" w:cs="Times New Roman"/>
              <w:color w:val="auto"/>
            </w:rPr>
            <w:t>1.1.5</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项目依据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_Toc225216652 \h</w:instrText>
          </w:r>
          <w:r>
            <w:rPr>
              <w:rFonts w:hint="eastAsia"/>
              <w:color w:val="auto"/>
            </w:rPr>
            <w:instrText xml:space="preserve"> </w:instrText>
          </w:r>
          <w:r>
            <w:rPr>
              <w:rFonts w:hint="eastAsia"/>
              <w:color w:val="auto"/>
            </w:rPr>
            <w:fldChar w:fldCharType="separate"/>
          </w:r>
          <w:r>
            <w:rPr>
              <w:color w:val="auto"/>
            </w:rPr>
            <w:t>21</w:t>
          </w:r>
          <w:r>
            <w:rPr>
              <w:rFonts w:hint="eastAsia"/>
              <w:color w:val="auto"/>
            </w:rPr>
            <w:fldChar w:fldCharType="end"/>
          </w:r>
          <w:r>
            <w:rPr>
              <w:rFonts w:hint="eastAsia"/>
              <w:color w:val="auto"/>
            </w:rPr>
            <w:fldChar w:fldCharType="end"/>
          </w:r>
        </w:p>
        <w:p w14:paraId="7E0E6BB9">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"_Toc225216653" </w:instrText>
          </w:r>
          <w:r>
            <w:rPr>
              <w:color w:val="auto"/>
            </w:rPr>
            <w:fldChar w:fldCharType="separate"/>
          </w:r>
          <w:r>
            <w:rPr>
              <w:rStyle w:val="29"/>
              <w:rFonts w:hint="eastAsia" w:cs="Times New Roman"/>
              <w:color w:val="auto"/>
            </w:rPr>
            <w:t>1.2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环境影响识别及评价因子筛选</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_Toc225216653 \h</w:instrText>
          </w:r>
          <w:r>
            <w:rPr>
              <w:rFonts w:hint="eastAsia"/>
              <w:color w:val="auto"/>
            </w:rPr>
            <w:instrText xml:space="preserve"> </w:instrText>
          </w:r>
          <w:r>
            <w:rPr>
              <w:rFonts w:hint="eastAsia"/>
              <w:color w:val="auto"/>
            </w:rPr>
            <w:fldChar w:fldCharType="separate"/>
          </w:r>
          <w:r>
            <w:rPr>
              <w:color w:val="auto"/>
            </w:rPr>
            <w:t>22</w:t>
          </w:r>
          <w:r>
            <w:rPr>
              <w:rFonts w:hint="eastAsia"/>
              <w:color w:val="auto"/>
            </w:rPr>
            <w:fldChar w:fldCharType="end"/>
          </w:r>
          <w:r>
            <w:rPr>
              <w:rFonts w:hint="eastAsia"/>
              <w:color w:val="auto"/>
            </w:rPr>
            <w:fldChar w:fldCharType="end"/>
          </w:r>
        </w:p>
        <w:p w14:paraId="0A478C8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"_Toc225216654" </w:instrText>
          </w:r>
          <w:r>
            <w:rPr>
              <w:color w:val="auto"/>
            </w:rPr>
            <w:fldChar w:fldCharType="separate"/>
          </w:r>
          <w:r>
            <w:rPr>
              <w:rStyle w:val="29"/>
              <w:rFonts w:hint="eastAsia" w:cs="Times New Roman"/>
              <w:color w:val="auto"/>
            </w:rPr>
            <w:t>1.2.1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环境影响识别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_Toc225216654 \h</w:instrText>
          </w:r>
          <w:r>
            <w:rPr>
              <w:rFonts w:hint="eastAsia"/>
              <w:color w:val="auto"/>
            </w:rPr>
            <w:instrText xml:space="preserve"> </w:instrText>
          </w:r>
          <w:r>
            <w:rPr>
              <w:rFonts w:hint="eastAsia"/>
              <w:color w:val="auto"/>
            </w:rPr>
            <w:fldChar w:fldCharType="separate"/>
          </w:r>
          <w:r>
            <w:rPr>
              <w:color w:val="auto"/>
            </w:rPr>
            <w:t>22</w:t>
          </w:r>
          <w:r>
            <w:rPr>
              <w:rFonts w:hint="eastAsia"/>
              <w:color w:val="auto"/>
            </w:rPr>
            <w:fldChar w:fldCharType="end"/>
          </w:r>
          <w:r>
            <w:rPr>
              <w:rFonts w:hint="eastAsia"/>
              <w:color w:val="auto"/>
            </w:rPr>
            <w:fldChar w:fldCharType="end"/>
          </w:r>
        </w:p>
        <w:p w14:paraId="75E5BA6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"_Toc225216655" </w:instrText>
          </w:r>
          <w:r>
            <w:rPr>
              <w:color w:val="auto"/>
            </w:rPr>
            <w:fldChar w:fldCharType="separate"/>
          </w:r>
          <w:r>
            <w:rPr>
              <w:rStyle w:val="29"/>
              <w:rFonts w:hint="eastAsia" w:cs="Times New Roman"/>
              <w:color w:val="auto"/>
            </w:rPr>
            <w:t>1.2.2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评价因子筛选</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_Toc225216655 \h</w:instrText>
          </w:r>
          <w:r>
            <w:rPr>
              <w:rFonts w:hint="eastAsia"/>
              <w:color w:val="auto"/>
            </w:rPr>
            <w:instrText xml:space="preserve"> </w:instrText>
          </w:r>
          <w:r>
            <w:rPr>
              <w:rFonts w:hint="eastAsia"/>
              <w:color w:val="auto"/>
            </w:rPr>
            <w:fldChar w:fldCharType="separate"/>
          </w:r>
          <w:r>
            <w:rPr>
              <w:color w:val="auto"/>
            </w:rPr>
            <w:t>22</w:t>
          </w:r>
          <w:r>
            <w:rPr>
              <w:rFonts w:hint="eastAsia"/>
              <w:color w:val="auto"/>
            </w:rPr>
            <w:fldChar w:fldCharType="end"/>
          </w:r>
          <w:r>
            <w:rPr>
              <w:rFonts w:hint="eastAsia"/>
              <w:color w:val="auto"/>
            </w:rPr>
            <w:fldChar w:fldCharType="end"/>
          </w:r>
        </w:p>
        <w:p w14:paraId="092BF7B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"_Toc225216656" </w:instrText>
          </w:r>
          <w:r>
            <w:rPr>
              <w:color w:val="auto"/>
            </w:rPr>
            <w:fldChar w:fldCharType="separate"/>
          </w:r>
          <w:r>
            <w:rPr>
              <w:rStyle w:val="29"/>
              <w:rFonts w:hint="eastAsia" w:cs="Times New Roman"/>
              <w:color w:val="auto"/>
            </w:rPr>
            <w:t>1.3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环境功能区划及评价标准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_Toc225216656 \h</w:instrText>
          </w:r>
          <w:r>
            <w:rPr>
              <w:rFonts w:hint="eastAsia"/>
              <w:color w:val="auto"/>
            </w:rPr>
            <w:instrText xml:space="preserve"> </w:instrText>
          </w:r>
          <w:r>
            <w:rPr>
              <w:rFonts w:hint="eastAsia"/>
              <w:color w:val="auto"/>
            </w:rPr>
            <w:fldChar w:fldCharType="separate"/>
          </w:r>
          <w:r>
            <w:rPr>
              <w:color w:val="auto"/>
            </w:rPr>
            <w:t>24</w:t>
          </w:r>
          <w:r>
            <w:rPr>
              <w:rFonts w:hint="eastAsia"/>
              <w:color w:val="auto"/>
            </w:rPr>
            <w:fldChar w:fldCharType="end"/>
          </w:r>
          <w:r>
            <w:rPr>
              <w:rFonts w:hint="eastAsia"/>
              <w:color w:val="auto"/>
            </w:rPr>
            <w:fldChar w:fldCharType="end"/>
          </w:r>
        </w:p>
        <w:p w14:paraId="76CA6D8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"_Toc225216657" </w:instrText>
          </w:r>
          <w:r>
            <w:rPr>
              <w:color w:val="auto"/>
            </w:rPr>
            <w:fldChar w:fldCharType="separate"/>
          </w:r>
          <w:r>
            <w:rPr>
              <w:rStyle w:val="29"/>
              <w:rFonts w:hint="eastAsia" w:cs="Times New Roman"/>
              <w:color w:val="auto"/>
            </w:rPr>
            <w:t>1.3.1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环境功能区划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_Toc225216657 \h</w:instrText>
          </w:r>
          <w:r>
            <w:rPr>
              <w:rFonts w:hint="eastAsia"/>
              <w:color w:val="auto"/>
            </w:rPr>
            <w:instrText xml:space="preserve"> </w:instrText>
          </w:r>
          <w:r>
            <w:rPr>
              <w:rFonts w:hint="eastAsia"/>
              <w:color w:val="auto"/>
            </w:rPr>
            <w:fldChar w:fldCharType="separate"/>
          </w:r>
          <w:r>
            <w:rPr>
              <w:color w:val="auto"/>
            </w:rPr>
            <w:t>24</w:t>
          </w:r>
          <w:r>
            <w:rPr>
              <w:rFonts w:hint="eastAsia"/>
              <w:color w:val="auto"/>
            </w:rPr>
            <w:fldChar w:fldCharType="end"/>
          </w:r>
          <w:r>
            <w:rPr>
              <w:rFonts w:hint="eastAsia"/>
              <w:color w:val="auto"/>
            </w:rPr>
            <w:fldChar w:fldCharType="end"/>
          </w:r>
        </w:p>
        <w:p w14:paraId="4ED9F77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"_Toc225216658" </w:instrText>
          </w:r>
          <w:r>
            <w:rPr>
              <w:color w:val="auto"/>
            </w:rPr>
            <w:fldChar w:fldCharType="separate"/>
          </w:r>
          <w:r>
            <w:rPr>
              <w:rStyle w:val="29"/>
              <w:rFonts w:hint="eastAsia" w:cs="Times New Roman"/>
              <w:color w:val="auto"/>
            </w:rPr>
            <w:t>1.3.2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环境质量标准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_Toc225216658 \h</w:instrText>
          </w:r>
          <w:r>
            <w:rPr>
              <w:rFonts w:hint="eastAsia"/>
              <w:color w:val="auto"/>
            </w:rPr>
            <w:instrText xml:space="preserve"> </w:instrText>
          </w:r>
          <w:r>
            <w:rPr>
              <w:rFonts w:hint="eastAsia"/>
              <w:color w:val="auto"/>
            </w:rPr>
            <w:fldChar w:fldCharType="separate"/>
          </w:r>
          <w:r>
            <w:rPr>
              <w:color w:val="auto"/>
            </w:rPr>
            <w:t>25</w:t>
          </w:r>
          <w:r>
            <w:rPr>
              <w:rFonts w:hint="eastAsia"/>
              <w:color w:val="auto"/>
            </w:rPr>
            <w:fldChar w:fldCharType="end"/>
          </w:r>
          <w:r>
            <w:rPr>
              <w:rFonts w:hint="eastAsia"/>
              <w:color w:val="auto"/>
            </w:rPr>
            <w:fldChar w:fldCharType="end"/>
          </w:r>
        </w:p>
        <w:p w14:paraId="1AF8700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"_Toc225216659" </w:instrText>
          </w:r>
          <w:r>
            <w:rPr>
              <w:color w:val="auto"/>
            </w:rPr>
            <w:fldChar w:fldCharType="separate"/>
          </w:r>
          <w:r>
            <w:rPr>
              <w:rStyle w:val="29"/>
              <w:rFonts w:hint="eastAsia" w:cs="Times New Roman"/>
              <w:color w:val="auto"/>
            </w:rPr>
            <w:t>1.3.3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污染物排放标准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_Toc225216659 \h</w:instrText>
          </w:r>
          <w:r>
            <w:rPr>
              <w:rFonts w:hint="eastAsia"/>
              <w:color w:val="auto"/>
            </w:rPr>
            <w:instrText xml:space="preserve"> </w:instrText>
          </w:r>
          <w:r>
            <w:rPr>
              <w:rFonts w:hint="eastAsia"/>
              <w:color w:val="auto"/>
            </w:rPr>
            <w:fldChar w:fldCharType="separate"/>
          </w:r>
          <w:r>
            <w:rPr>
              <w:color w:val="auto"/>
            </w:rPr>
            <w:t>32</w:t>
          </w:r>
          <w:r>
            <w:rPr>
              <w:rFonts w:hint="eastAsia"/>
              <w:color w:val="auto"/>
            </w:rPr>
            <w:fldChar w:fldCharType="end"/>
          </w:r>
          <w:r>
            <w:rPr>
              <w:rFonts w:hint="eastAsia"/>
              <w:color w:val="auto"/>
            </w:rPr>
            <w:fldChar w:fldCharType="end"/>
          </w:r>
        </w:p>
        <w:p w14:paraId="47EE4216">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"_Toc225216660" </w:instrText>
          </w:r>
          <w:r>
            <w:rPr>
              <w:color w:val="auto"/>
            </w:rPr>
            <w:fldChar w:fldCharType="separate"/>
          </w:r>
          <w:r>
            <w:rPr>
              <w:rStyle w:val="29"/>
              <w:rFonts w:hint="eastAsia" w:cs="Times New Roman"/>
              <w:color w:val="auto"/>
            </w:rPr>
            <w:t>1.4</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评价工作等级及评价范围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_Toc225216660 \h</w:instrText>
          </w:r>
          <w:r>
            <w:rPr>
              <w:rFonts w:hint="eastAsia"/>
              <w:color w:val="auto"/>
            </w:rPr>
            <w:instrText xml:space="preserve"> </w:instrText>
          </w:r>
          <w:r>
            <w:rPr>
              <w:rFonts w:hint="eastAsia"/>
              <w:color w:val="auto"/>
            </w:rPr>
            <w:fldChar w:fldCharType="separate"/>
          </w:r>
          <w:r>
            <w:rPr>
              <w:color w:val="auto"/>
            </w:rPr>
            <w:t>36</w:t>
          </w:r>
          <w:r>
            <w:rPr>
              <w:rFonts w:hint="eastAsia"/>
              <w:color w:val="auto"/>
            </w:rPr>
            <w:fldChar w:fldCharType="end"/>
          </w:r>
          <w:r>
            <w:rPr>
              <w:rFonts w:hint="eastAsia"/>
              <w:color w:val="auto"/>
            </w:rPr>
            <w:fldChar w:fldCharType="end"/>
          </w:r>
        </w:p>
        <w:p w14:paraId="1A6A30C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"_Toc225216661" </w:instrText>
          </w:r>
          <w:r>
            <w:rPr>
              <w:color w:val="auto"/>
            </w:rPr>
            <w:fldChar w:fldCharType="separate"/>
          </w:r>
          <w:r>
            <w:rPr>
              <w:rStyle w:val="29"/>
              <w:rFonts w:hint="eastAsia" w:cs="Times New Roman"/>
              <w:color w:val="auto"/>
            </w:rPr>
            <w:t>1.4.1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评价工作等级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_Toc225216661 \h</w:instrText>
          </w:r>
          <w:r>
            <w:rPr>
              <w:rFonts w:hint="eastAsia"/>
              <w:color w:val="auto"/>
            </w:rPr>
            <w:instrText xml:space="preserve"> </w:instrText>
          </w:r>
          <w:r>
            <w:rPr>
              <w:rFonts w:hint="eastAsia"/>
              <w:color w:val="auto"/>
            </w:rPr>
            <w:fldChar w:fldCharType="separate"/>
          </w:r>
          <w:r>
            <w:rPr>
              <w:color w:val="auto"/>
            </w:rPr>
            <w:t>36</w:t>
          </w:r>
          <w:r>
            <w:rPr>
              <w:rFonts w:hint="eastAsia"/>
              <w:color w:val="auto"/>
            </w:rPr>
            <w:fldChar w:fldCharType="end"/>
          </w:r>
          <w:r>
            <w:rPr>
              <w:rFonts w:hint="eastAsia"/>
              <w:color w:val="auto"/>
            </w:rPr>
            <w:fldChar w:fldCharType="end"/>
          </w:r>
        </w:p>
        <w:p w14:paraId="76DDA2D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"_Toc225216662" </w:instrText>
          </w:r>
          <w:r>
            <w:rPr>
              <w:color w:val="auto"/>
            </w:rPr>
            <w:fldChar w:fldCharType="separate"/>
          </w:r>
          <w:r>
            <w:rPr>
              <w:rStyle w:val="29"/>
              <w:rFonts w:hint="eastAsia" w:cs="Times New Roman"/>
              <w:color w:val="auto"/>
            </w:rPr>
            <w:t>1.4.2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评价范围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_Toc225216662 \h</w:instrText>
          </w:r>
          <w:r>
            <w:rPr>
              <w:rFonts w:hint="eastAsia"/>
              <w:color w:val="auto"/>
            </w:rPr>
            <w:instrText xml:space="preserve"> </w:instrText>
          </w:r>
          <w:r>
            <w:rPr>
              <w:rFonts w:hint="eastAsia"/>
              <w:color w:val="auto"/>
            </w:rPr>
            <w:fldChar w:fldCharType="separate"/>
          </w:r>
          <w:r>
            <w:rPr>
              <w:color w:val="auto"/>
            </w:rPr>
            <w:t>42</w:t>
          </w:r>
          <w:r>
            <w:rPr>
              <w:rFonts w:hint="eastAsia"/>
              <w:color w:val="auto"/>
            </w:rPr>
            <w:fldChar w:fldCharType="end"/>
          </w:r>
          <w:r>
            <w:rPr>
              <w:rFonts w:hint="eastAsia"/>
              <w:color w:val="auto"/>
            </w:rPr>
            <w:fldChar w:fldCharType="end"/>
          </w:r>
        </w:p>
        <w:p w14:paraId="2FBC4767">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"_Toc225216663" </w:instrText>
          </w:r>
          <w:r>
            <w:rPr>
              <w:color w:val="auto"/>
            </w:rPr>
            <w:fldChar w:fldCharType="separate"/>
          </w:r>
          <w:r>
            <w:rPr>
              <w:rStyle w:val="29"/>
              <w:rFonts w:hint="eastAsia" w:cs="Times New Roman"/>
              <w:color w:val="auto"/>
            </w:rPr>
            <w:t>1.5</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环境保护目标和环境敏感目标</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_Toc225216663 \h</w:instrText>
          </w:r>
          <w:r>
            <w:rPr>
              <w:rFonts w:hint="eastAsia"/>
              <w:color w:val="auto"/>
            </w:rPr>
            <w:instrText xml:space="preserve"> </w:instrText>
          </w:r>
          <w:r>
            <w:rPr>
              <w:rFonts w:hint="eastAsia"/>
              <w:color w:val="auto"/>
            </w:rPr>
            <w:fldChar w:fldCharType="separate"/>
          </w:r>
          <w:r>
            <w:rPr>
              <w:color w:val="auto"/>
            </w:rPr>
            <w:t>43</w:t>
          </w:r>
          <w:r>
            <w:rPr>
              <w:rFonts w:hint="eastAsia"/>
              <w:color w:val="auto"/>
            </w:rPr>
            <w:fldChar w:fldCharType="end"/>
          </w:r>
          <w:r>
            <w:rPr>
              <w:rFonts w:hint="eastAsia"/>
              <w:color w:val="auto"/>
            </w:rPr>
            <w:fldChar w:fldCharType="end"/>
          </w:r>
        </w:p>
        <w:p w14:paraId="650C10A9">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"_Toc225216664" </w:instrText>
          </w:r>
          <w:r>
            <w:rPr>
              <w:color w:val="auto"/>
            </w:rPr>
            <w:fldChar w:fldCharType="separate"/>
          </w:r>
          <w:r>
            <w:rPr>
              <w:rStyle w:val="29"/>
              <w:rFonts w:hint="eastAsia" w:cs="Times New Roman"/>
              <w:color w:val="auto"/>
            </w:rPr>
            <w:t>1.6</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相关政策、规范相符性分析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_Toc225216664 \h</w:instrText>
          </w:r>
          <w:r>
            <w:rPr>
              <w:rFonts w:hint="eastAsia"/>
              <w:color w:val="auto"/>
            </w:rPr>
            <w:instrText xml:space="preserve"> </w:instrText>
          </w:r>
          <w:r>
            <w:rPr>
              <w:rFonts w:hint="eastAsia"/>
              <w:color w:val="auto"/>
            </w:rPr>
            <w:fldChar w:fldCharType="separate"/>
          </w:r>
          <w:r>
            <w:rPr>
              <w:color w:val="auto"/>
            </w:rPr>
            <w:t>44</w:t>
          </w:r>
          <w:r>
            <w:rPr>
              <w:rFonts w:hint="eastAsia"/>
              <w:color w:val="auto"/>
            </w:rPr>
            <w:fldChar w:fldCharType="end"/>
          </w:r>
          <w:r>
            <w:rPr>
              <w:rFonts w:hint="eastAsia"/>
              <w:color w:val="auto"/>
            </w:rPr>
            <w:fldChar w:fldCharType="end"/>
          </w:r>
        </w:p>
        <w:p w14:paraId="1AE7FFD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"_Toc225216665" </w:instrText>
          </w:r>
          <w:r>
            <w:rPr>
              <w:color w:val="auto"/>
            </w:rPr>
            <w:fldChar w:fldCharType="separate"/>
          </w:r>
          <w:r>
            <w:rPr>
              <w:rStyle w:val="29"/>
              <w:rFonts w:hint="eastAsia" w:cs="Times New Roman"/>
              <w:color w:val="auto"/>
            </w:rPr>
            <w:t>1.6.1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项目与相关产业政策符合性分析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_Toc225216665 \h</w:instrText>
          </w:r>
          <w:r>
            <w:rPr>
              <w:rFonts w:hint="eastAsia"/>
              <w:color w:val="auto"/>
            </w:rPr>
            <w:instrText xml:space="preserve"> </w:instrText>
          </w:r>
          <w:r>
            <w:rPr>
              <w:rFonts w:hint="eastAsia"/>
              <w:color w:val="auto"/>
            </w:rPr>
            <w:fldChar w:fldCharType="separate"/>
          </w:r>
          <w:r>
            <w:rPr>
              <w:color w:val="auto"/>
            </w:rPr>
            <w:t>44</w:t>
          </w:r>
          <w:r>
            <w:rPr>
              <w:rFonts w:hint="eastAsia"/>
              <w:color w:val="auto"/>
            </w:rPr>
            <w:fldChar w:fldCharType="end"/>
          </w:r>
          <w:r>
            <w:rPr>
              <w:rFonts w:hint="eastAsia"/>
              <w:color w:val="auto"/>
            </w:rPr>
            <w:fldChar w:fldCharType="end"/>
          </w:r>
        </w:p>
        <w:p w14:paraId="514F53F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"_Toc225216666" </w:instrText>
          </w:r>
          <w:r>
            <w:rPr>
              <w:color w:val="auto"/>
            </w:rPr>
            <w:fldChar w:fldCharType="separate"/>
          </w:r>
          <w:r>
            <w:rPr>
              <w:rStyle w:val="29"/>
              <w:rFonts w:hint="eastAsia" w:cs="Times New Roman"/>
              <w:color w:val="auto"/>
            </w:rPr>
            <w:t>1.6.2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项目与相关环保政策符合性分析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_Toc225216666 \h</w:instrText>
          </w:r>
          <w:r>
            <w:rPr>
              <w:rFonts w:hint="eastAsia"/>
              <w:color w:val="auto"/>
            </w:rPr>
            <w:instrText xml:space="preserve"> </w:instrText>
          </w:r>
          <w:r>
            <w:rPr>
              <w:rFonts w:hint="eastAsia"/>
              <w:color w:val="auto"/>
            </w:rPr>
            <w:fldChar w:fldCharType="separate"/>
          </w:r>
          <w:r>
            <w:rPr>
              <w:color w:val="auto"/>
            </w:rPr>
            <w:t>51</w:t>
          </w:r>
          <w:r>
            <w:rPr>
              <w:rFonts w:hint="eastAsia"/>
              <w:color w:val="auto"/>
            </w:rPr>
            <w:fldChar w:fldCharType="end"/>
          </w:r>
          <w:r>
            <w:rPr>
              <w:rFonts w:hint="eastAsia"/>
              <w:color w:val="auto"/>
            </w:rPr>
            <w:fldChar w:fldCharType="end"/>
          </w:r>
        </w:p>
        <w:p w14:paraId="6B54272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"_Toc225216667" </w:instrText>
          </w:r>
          <w:r>
            <w:rPr>
              <w:color w:val="auto"/>
            </w:rPr>
            <w:fldChar w:fldCharType="separate"/>
          </w:r>
          <w:r>
            <w:rPr>
              <w:rStyle w:val="29"/>
              <w:rFonts w:hint="eastAsia" w:cs="Times New Roman"/>
              <w:color w:val="auto"/>
            </w:rPr>
            <w:t>1.6.3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与区域规划符合性分析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_Toc225216667 \h</w:instrText>
          </w:r>
          <w:r>
            <w:rPr>
              <w:rFonts w:hint="eastAsia"/>
              <w:color w:val="auto"/>
            </w:rPr>
            <w:instrText xml:space="preserve"> </w:instrText>
          </w:r>
          <w:r>
            <w:rPr>
              <w:rFonts w:hint="eastAsia"/>
              <w:color w:val="auto"/>
            </w:rPr>
            <w:fldChar w:fldCharType="separate"/>
          </w:r>
          <w:r>
            <w:rPr>
              <w:color w:val="auto"/>
            </w:rPr>
            <w:t>67</w:t>
          </w:r>
          <w:r>
            <w:rPr>
              <w:rFonts w:hint="eastAsia"/>
              <w:color w:val="auto"/>
            </w:rPr>
            <w:fldChar w:fldCharType="end"/>
          </w:r>
          <w:r>
            <w:rPr>
              <w:rFonts w:hint="eastAsia"/>
              <w:color w:val="auto"/>
            </w:rPr>
            <w:fldChar w:fldCharType="end"/>
          </w:r>
        </w:p>
        <w:p w14:paraId="166F04DF">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"_Toc225216668" </w:instrText>
          </w:r>
          <w:r>
            <w:rPr>
              <w:color w:val="auto"/>
            </w:rPr>
            <w:fldChar w:fldCharType="separate"/>
          </w:r>
          <w:r>
            <w:rPr>
              <w:rStyle w:val="29"/>
              <w:rFonts w:hint="eastAsia"/>
              <w:color w:val="auto"/>
            </w:rPr>
            <w:t>2</w:t>
          </w:r>
          <w:r>
            <w:rPr>
              <w:rFonts w:hint="eastAsia" w:asciiTheme="minorHAnsi" w:hAnsiTheme="minorHAnsi" w:eastAsiaTheme="minorEastAsia"/>
              <w:color w:val="auto"/>
              <w:sz w:val="22"/>
              <w:szCs w:val="24"/>
              <w14:ligatures w14:val="standardContextual"/>
            </w:rPr>
            <w:tab/>
          </w:r>
          <w:r>
            <w:rPr>
              <w:rStyle w:val="29"/>
              <w:rFonts w:hint="eastAsia"/>
              <w:color w:val="auto"/>
            </w:rPr>
            <w:t>现有项目工程分析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_Toc225216668 \h</w:instrText>
          </w:r>
          <w:r>
            <w:rPr>
              <w:rFonts w:hint="eastAsia"/>
              <w:color w:val="auto"/>
            </w:rPr>
            <w:instrText xml:space="preserve"> </w:instrText>
          </w:r>
          <w:r>
            <w:rPr>
              <w:rFonts w:hint="eastAsia"/>
              <w:color w:val="auto"/>
            </w:rPr>
            <w:fldChar w:fldCharType="separate"/>
          </w:r>
          <w:r>
            <w:rPr>
              <w:color w:val="auto"/>
            </w:rPr>
            <w:t>- 75 -</w:t>
          </w:r>
          <w:r>
            <w:rPr>
              <w:rFonts w:hint="eastAsia"/>
              <w:color w:val="auto"/>
            </w:rPr>
            <w:fldChar w:fldCharType="end"/>
          </w:r>
          <w:r>
            <w:rPr>
              <w:rFonts w:hint="eastAsia"/>
              <w:color w:val="auto"/>
            </w:rPr>
            <w:fldChar w:fldCharType="end"/>
          </w:r>
        </w:p>
        <w:p w14:paraId="3C1AA2AC">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"_Toc225216669" </w:instrText>
          </w:r>
          <w:r>
            <w:rPr>
              <w:color w:val="auto"/>
            </w:rPr>
            <w:fldChar w:fldCharType="separate"/>
          </w:r>
          <w:r>
            <w:rPr>
              <w:rStyle w:val="29"/>
              <w:rFonts w:hint="eastAsia"/>
              <w:color w:val="auto"/>
            </w:rPr>
            <w:t>2.1</w:t>
          </w:r>
          <w:r>
            <w:rPr>
              <w:rFonts w:hint="eastAsia" w:asciiTheme="minorHAnsi" w:hAnsiTheme="minorHAnsi" w:eastAsiaTheme="minorEastAsia"/>
              <w:color w:val="auto"/>
              <w:sz w:val="22"/>
              <w:szCs w:val="24"/>
              <w14:ligatures w14:val="standardContextual"/>
            </w:rPr>
            <w:tab/>
          </w:r>
          <w:r>
            <w:rPr>
              <w:rStyle w:val="29"/>
              <w:rFonts w:hint="eastAsia"/>
              <w:color w:val="auto"/>
            </w:rPr>
            <w:t>现有工程环评、验收概况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_Toc225216669 \h</w:instrText>
          </w:r>
          <w:r>
            <w:rPr>
              <w:rFonts w:hint="eastAsia"/>
              <w:color w:val="auto"/>
            </w:rPr>
            <w:instrText xml:space="preserve"> </w:instrText>
          </w:r>
          <w:r>
            <w:rPr>
              <w:rFonts w:hint="eastAsia"/>
              <w:color w:val="auto"/>
            </w:rPr>
            <w:fldChar w:fldCharType="separate"/>
          </w:r>
          <w:r>
            <w:rPr>
              <w:color w:val="auto"/>
            </w:rPr>
            <w:t>- 75 -</w:t>
          </w:r>
          <w:r>
            <w:rPr>
              <w:rFonts w:hint="eastAsia"/>
              <w:color w:val="auto"/>
            </w:rPr>
            <w:fldChar w:fldCharType="end"/>
          </w:r>
          <w:r>
            <w:rPr>
              <w:rFonts w:hint="eastAsia"/>
              <w:color w:val="auto"/>
            </w:rPr>
            <w:fldChar w:fldCharType="end"/>
          </w:r>
        </w:p>
        <w:p w14:paraId="64DF7B2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"_Toc225216670" </w:instrText>
          </w:r>
          <w:r>
            <w:rPr>
              <w:color w:val="auto"/>
            </w:rPr>
            <w:fldChar w:fldCharType="separate"/>
          </w:r>
          <w:r>
            <w:rPr>
              <w:rStyle w:val="29"/>
              <w:rFonts w:hint="eastAsia"/>
              <w:color w:val="auto"/>
            </w:rPr>
            <w:t>2.2</w:t>
          </w:r>
          <w:r>
            <w:rPr>
              <w:rFonts w:hint="eastAsia" w:asciiTheme="minorHAnsi" w:hAnsiTheme="minorHAnsi" w:eastAsiaTheme="minorEastAsia"/>
              <w:color w:val="auto"/>
              <w:sz w:val="22"/>
              <w:szCs w:val="24"/>
              <w14:ligatures w14:val="standardContextual"/>
            </w:rPr>
            <w:tab/>
          </w:r>
          <w:r>
            <w:rPr>
              <w:rStyle w:val="29"/>
              <w:rFonts w:hint="eastAsia"/>
              <w:color w:val="auto"/>
            </w:rPr>
            <w:t>现有工程概况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_Toc225216670 \h</w:instrText>
          </w:r>
          <w:r>
            <w:rPr>
              <w:rFonts w:hint="eastAsia"/>
              <w:color w:val="auto"/>
            </w:rPr>
            <w:instrText xml:space="preserve"> </w:instrText>
          </w:r>
          <w:r>
            <w:rPr>
              <w:rFonts w:hint="eastAsia"/>
              <w:color w:val="auto"/>
            </w:rPr>
            <w:fldChar w:fldCharType="separate"/>
          </w:r>
          <w:r>
            <w:rPr>
              <w:color w:val="auto"/>
            </w:rPr>
            <w:t>- 82 -</w:t>
          </w:r>
          <w:r>
            <w:rPr>
              <w:rFonts w:hint="eastAsia"/>
              <w:color w:val="auto"/>
            </w:rPr>
            <w:fldChar w:fldCharType="end"/>
          </w:r>
          <w:r>
            <w:rPr>
              <w:rFonts w:hint="eastAsia"/>
              <w:color w:val="auto"/>
            </w:rPr>
            <w:fldChar w:fldCharType="end"/>
          </w:r>
        </w:p>
        <w:p w14:paraId="6C84326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"_Toc225216671" </w:instrText>
          </w:r>
          <w:r>
            <w:rPr>
              <w:color w:val="auto"/>
            </w:rPr>
            <w:fldChar w:fldCharType="separate"/>
          </w:r>
          <w:r>
            <w:rPr>
              <w:rStyle w:val="29"/>
              <w:rFonts w:hint="eastAsia"/>
              <w:color w:val="auto"/>
            </w:rPr>
            <w:t>2.2.1</w:t>
          </w:r>
          <w:r>
            <w:rPr>
              <w:rFonts w:hint="eastAsia" w:asciiTheme="minorHAnsi" w:hAnsiTheme="minorHAnsi" w:eastAsiaTheme="minorEastAsia"/>
              <w:color w:val="auto"/>
              <w:sz w:val="22"/>
              <w:szCs w:val="24"/>
              <w14:ligatures w14:val="standardContextual"/>
            </w:rPr>
            <w:tab/>
          </w:r>
          <w:r>
            <w:rPr>
              <w:rStyle w:val="29"/>
              <w:rFonts w:hint="eastAsia"/>
              <w:color w:val="auto"/>
            </w:rPr>
            <w:t>项目组成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_Toc225216671 \h</w:instrText>
          </w:r>
          <w:r>
            <w:rPr>
              <w:rFonts w:hint="eastAsia"/>
              <w:color w:val="auto"/>
            </w:rPr>
            <w:instrText xml:space="preserve"> </w:instrText>
          </w:r>
          <w:r>
            <w:rPr>
              <w:rFonts w:hint="eastAsia"/>
              <w:color w:val="auto"/>
            </w:rPr>
            <w:fldChar w:fldCharType="separate"/>
          </w:r>
          <w:r>
            <w:rPr>
              <w:color w:val="auto"/>
            </w:rPr>
            <w:t>- 82 -</w:t>
          </w:r>
          <w:r>
            <w:rPr>
              <w:rFonts w:hint="eastAsia"/>
              <w:color w:val="auto"/>
            </w:rPr>
            <w:fldChar w:fldCharType="end"/>
          </w:r>
          <w:r>
            <w:rPr>
              <w:rFonts w:hint="eastAsia"/>
              <w:color w:val="auto"/>
            </w:rPr>
            <w:fldChar w:fldCharType="end"/>
          </w:r>
        </w:p>
        <w:p w14:paraId="268E6BD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"_Toc225216672" </w:instrText>
          </w:r>
          <w:r>
            <w:rPr>
              <w:color w:val="auto"/>
            </w:rPr>
            <w:fldChar w:fldCharType="separate"/>
          </w:r>
          <w:r>
            <w:rPr>
              <w:rStyle w:val="29"/>
              <w:rFonts w:hint="eastAsia"/>
              <w:color w:val="auto"/>
            </w:rPr>
            <w:t>2.2.2</w:t>
          </w:r>
          <w:r>
            <w:rPr>
              <w:rFonts w:hint="eastAsia" w:asciiTheme="minorHAnsi" w:hAnsiTheme="minorHAnsi" w:eastAsiaTheme="minorEastAsia"/>
              <w:color w:val="auto"/>
              <w:sz w:val="22"/>
              <w:szCs w:val="24"/>
              <w14:ligatures w14:val="standardContextual"/>
            </w:rPr>
            <w:tab/>
          </w:r>
          <w:r>
            <w:rPr>
              <w:rStyle w:val="29"/>
              <w:rFonts w:hint="eastAsia"/>
              <w:color w:val="auto"/>
            </w:rPr>
            <w:t>主要原辅材料及能源消耗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_Toc225216672 \h</w:instrText>
          </w:r>
          <w:r>
            <w:rPr>
              <w:rFonts w:hint="eastAsia"/>
              <w:color w:val="auto"/>
            </w:rPr>
            <w:instrText xml:space="preserve"> </w:instrText>
          </w:r>
          <w:r>
            <w:rPr>
              <w:rFonts w:hint="eastAsia"/>
              <w:color w:val="auto"/>
            </w:rPr>
            <w:fldChar w:fldCharType="separate"/>
          </w:r>
          <w:r>
            <w:rPr>
              <w:color w:val="auto"/>
            </w:rPr>
            <w:t>- 84 -</w:t>
          </w:r>
          <w:r>
            <w:rPr>
              <w:rFonts w:hint="eastAsia"/>
              <w:color w:val="auto"/>
            </w:rPr>
            <w:fldChar w:fldCharType="end"/>
          </w:r>
          <w:r>
            <w:rPr>
              <w:rFonts w:hint="eastAsia"/>
              <w:color w:val="auto"/>
            </w:rPr>
            <w:fldChar w:fldCharType="end"/>
          </w:r>
        </w:p>
        <w:p w14:paraId="40CBE97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"_Toc225216673" </w:instrText>
          </w:r>
          <w:r>
            <w:rPr>
              <w:color w:val="auto"/>
            </w:rPr>
            <w:fldChar w:fldCharType="separate"/>
          </w:r>
          <w:r>
            <w:rPr>
              <w:rStyle w:val="29"/>
              <w:rFonts w:hint="eastAsia"/>
              <w:color w:val="auto"/>
            </w:rPr>
            <w:t>2.2.3</w:t>
          </w:r>
          <w:r>
            <w:rPr>
              <w:rFonts w:hint="eastAsia" w:asciiTheme="minorHAnsi" w:hAnsiTheme="minorHAnsi" w:eastAsiaTheme="minorEastAsia"/>
              <w:color w:val="auto"/>
              <w:sz w:val="22"/>
              <w:szCs w:val="24"/>
              <w14:ligatures w14:val="standardContextual"/>
            </w:rPr>
            <w:tab/>
          </w:r>
          <w:r>
            <w:rPr>
              <w:rStyle w:val="29"/>
              <w:rFonts w:hint="eastAsia"/>
              <w:color w:val="auto"/>
            </w:rPr>
            <w:t>工程分析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_Toc225216673 \h</w:instrText>
          </w:r>
          <w:r>
            <w:rPr>
              <w:rFonts w:hint="eastAsia"/>
              <w:color w:val="auto"/>
            </w:rPr>
            <w:instrText xml:space="preserve"> </w:instrText>
          </w:r>
          <w:r>
            <w:rPr>
              <w:rFonts w:hint="eastAsia"/>
              <w:color w:val="auto"/>
            </w:rPr>
            <w:fldChar w:fldCharType="separate"/>
          </w:r>
          <w:r>
            <w:rPr>
              <w:color w:val="auto"/>
            </w:rPr>
            <w:t>- 86 -</w:t>
          </w:r>
          <w:r>
            <w:rPr>
              <w:rFonts w:hint="eastAsia"/>
              <w:color w:val="auto"/>
            </w:rPr>
            <w:fldChar w:fldCharType="end"/>
          </w:r>
          <w:r>
            <w:rPr>
              <w:rFonts w:hint="eastAsia"/>
              <w:color w:val="auto"/>
            </w:rPr>
            <w:fldChar w:fldCharType="end"/>
          </w:r>
        </w:p>
        <w:p w14:paraId="69C7D28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"_Toc225216674" </w:instrText>
          </w:r>
          <w:r>
            <w:rPr>
              <w:color w:val="auto"/>
            </w:rPr>
            <w:fldChar w:fldCharType="separate"/>
          </w:r>
          <w:r>
            <w:rPr>
              <w:rStyle w:val="29"/>
              <w:rFonts w:hint="eastAsia"/>
              <w:color w:val="auto"/>
            </w:rPr>
            <w:t>2.2.4</w:t>
          </w:r>
          <w:r>
            <w:rPr>
              <w:rFonts w:hint="eastAsia" w:asciiTheme="minorHAnsi" w:hAnsiTheme="minorHAnsi" w:eastAsiaTheme="minorEastAsia"/>
              <w:color w:val="auto"/>
              <w:sz w:val="22"/>
              <w:szCs w:val="24"/>
              <w14:ligatures w14:val="standardContextual"/>
            </w:rPr>
            <w:tab/>
          </w:r>
          <w:r>
            <w:rPr>
              <w:rStyle w:val="29"/>
              <w:rFonts w:hint="eastAsia"/>
              <w:color w:val="auto"/>
            </w:rPr>
            <w:t>公用工程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_Toc225216674 \h</w:instrText>
          </w:r>
          <w:r>
            <w:rPr>
              <w:rFonts w:hint="eastAsia"/>
              <w:color w:val="auto"/>
            </w:rPr>
            <w:instrText xml:space="preserve"> </w:instrText>
          </w:r>
          <w:r>
            <w:rPr>
              <w:rFonts w:hint="eastAsia"/>
              <w:color w:val="auto"/>
            </w:rPr>
            <w:fldChar w:fldCharType="separate"/>
          </w:r>
          <w:r>
            <w:rPr>
              <w:color w:val="auto"/>
            </w:rPr>
            <w:t>- 88 -</w:t>
          </w:r>
          <w:r>
            <w:rPr>
              <w:rFonts w:hint="eastAsia"/>
              <w:color w:val="auto"/>
            </w:rPr>
            <w:fldChar w:fldCharType="end"/>
          </w:r>
          <w:r>
            <w:rPr>
              <w:rFonts w:hint="eastAsia"/>
              <w:color w:val="auto"/>
            </w:rPr>
            <w:fldChar w:fldCharType="end"/>
          </w:r>
        </w:p>
        <w:p w14:paraId="31E407D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"_Toc225216675" </w:instrText>
          </w:r>
          <w:r>
            <w:rPr>
              <w:color w:val="auto"/>
            </w:rPr>
            <w:fldChar w:fldCharType="separate"/>
          </w:r>
          <w:r>
            <w:rPr>
              <w:rStyle w:val="29"/>
              <w:rFonts w:hint="eastAsia"/>
              <w:color w:val="auto"/>
            </w:rPr>
            <w:t>2.2.5</w:t>
          </w:r>
          <w:r>
            <w:rPr>
              <w:rFonts w:hint="eastAsia" w:asciiTheme="minorHAnsi" w:hAnsiTheme="minorHAnsi" w:eastAsiaTheme="minorEastAsia"/>
              <w:color w:val="auto"/>
              <w:sz w:val="22"/>
              <w:szCs w:val="24"/>
              <w14:ligatures w14:val="standardContextual"/>
            </w:rPr>
            <w:tab/>
          </w:r>
          <w:r>
            <w:rPr>
              <w:rStyle w:val="29"/>
              <w:rFonts w:hint="eastAsia"/>
              <w:color w:val="auto"/>
            </w:rPr>
            <w:t>污染防治措施及达标情况分析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_Toc225216675 \h</w:instrText>
          </w:r>
          <w:r>
            <w:rPr>
              <w:rFonts w:hint="eastAsia"/>
              <w:color w:val="auto"/>
            </w:rPr>
            <w:instrText xml:space="preserve"> </w:instrText>
          </w:r>
          <w:r>
            <w:rPr>
              <w:rFonts w:hint="eastAsia"/>
              <w:color w:val="auto"/>
            </w:rPr>
            <w:fldChar w:fldCharType="separate"/>
          </w:r>
          <w:r>
            <w:rPr>
              <w:color w:val="auto"/>
            </w:rPr>
            <w:t>- 92 -</w:t>
          </w:r>
          <w:r>
            <w:rPr>
              <w:rFonts w:hint="eastAsia"/>
              <w:color w:val="auto"/>
            </w:rPr>
            <w:fldChar w:fldCharType="end"/>
          </w:r>
          <w:r>
            <w:rPr>
              <w:rFonts w:hint="eastAsia"/>
              <w:color w:val="auto"/>
            </w:rPr>
            <w:fldChar w:fldCharType="end"/>
          </w:r>
        </w:p>
        <w:p w14:paraId="140CAC0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"_Toc225216676" </w:instrText>
          </w:r>
          <w:r>
            <w:rPr>
              <w:color w:val="auto"/>
            </w:rPr>
            <w:fldChar w:fldCharType="separate"/>
          </w:r>
          <w:r>
            <w:rPr>
              <w:rStyle w:val="29"/>
              <w:rFonts w:hint="eastAsia"/>
              <w:color w:val="auto"/>
            </w:rPr>
            <w:t>2.2.6</w:t>
          </w:r>
          <w:r>
            <w:rPr>
              <w:rFonts w:hint="eastAsia" w:asciiTheme="minorHAnsi" w:hAnsiTheme="minorHAnsi" w:eastAsiaTheme="minorEastAsia"/>
              <w:color w:val="auto"/>
              <w:sz w:val="22"/>
              <w:szCs w:val="24"/>
              <w14:ligatures w14:val="standardContextual"/>
            </w:rPr>
            <w:tab/>
          </w:r>
          <w:r>
            <w:rPr>
              <w:rStyle w:val="29"/>
              <w:rFonts w:hint="eastAsia"/>
              <w:color w:val="auto"/>
            </w:rPr>
            <w:t>现有工程主要污染物排放量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_Toc225216676 \h</w:instrText>
          </w:r>
          <w:r>
            <w:rPr>
              <w:rFonts w:hint="eastAsia"/>
              <w:color w:val="auto"/>
            </w:rPr>
            <w:instrText xml:space="preserve"> </w:instrText>
          </w:r>
          <w:r>
            <w:rPr>
              <w:rFonts w:hint="eastAsia"/>
              <w:color w:val="auto"/>
            </w:rPr>
            <w:fldChar w:fldCharType="separate"/>
          </w:r>
          <w:r>
            <w:rPr>
              <w:color w:val="auto"/>
            </w:rPr>
            <w:t>- 103 -</w:t>
          </w:r>
          <w:r>
            <w:rPr>
              <w:rFonts w:hint="eastAsia"/>
              <w:color w:val="auto"/>
            </w:rPr>
            <w:fldChar w:fldCharType="end"/>
          </w:r>
          <w:r>
            <w:rPr>
              <w:rFonts w:hint="eastAsia"/>
              <w:color w:val="auto"/>
            </w:rPr>
            <w:fldChar w:fldCharType="end"/>
          </w:r>
        </w:p>
        <w:p w14:paraId="4531415E">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"_Toc225216677" </w:instrText>
          </w:r>
          <w:r>
            <w:rPr>
              <w:color w:val="auto"/>
            </w:rPr>
            <w:fldChar w:fldCharType="separate"/>
          </w:r>
          <w:r>
            <w:rPr>
              <w:rStyle w:val="29"/>
              <w:rFonts w:hint="eastAsia"/>
              <w:color w:val="auto"/>
            </w:rPr>
            <w:t>2.3</w:t>
          </w:r>
          <w:r>
            <w:rPr>
              <w:rFonts w:hint="eastAsia" w:asciiTheme="minorHAnsi" w:hAnsiTheme="minorHAnsi" w:eastAsiaTheme="minorEastAsia"/>
              <w:color w:val="auto"/>
              <w:sz w:val="22"/>
              <w:szCs w:val="24"/>
              <w14:ligatures w14:val="standardContextual"/>
            </w:rPr>
            <w:tab/>
          </w:r>
          <w:r>
            <w:rPr>
              <w:rStyle w:val="29"/>
              <w:rFonts w:hint="eastAsia"/>
              <w:color w:val="auto"/>
            </w:rPr>
            <w:t>已批在建项目概况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_Toc225216677 \h</w:instrText>
          </w:r>
          <w:r>
            <w:rPr>
              <w:rFonts w:hint="eastAsia"/>
              <w:color w:val="auto"/>
            </w:rPr>
            <w:instrText xml:space="preserve"> </w:instrText>
          </w:r>
          <w:r>
            <w:rPr>
              <w:rFonts w:hint="eastAsia"/>
              <w:color w:val="auto"/>
            </w:rPr>
            <w:fldChar w:fldCharType="separate"/>
          </w:r>
          <w:r>
            <w:rPr>
              <w:color w:val="auto"/>
            </w:rPr>
            <w:t>- 104 -</w:t>
          </w:r>
          <w:r>
            <w:rPr>
              <w:rFonts w:hint="eastAsia"/>
              <w:color w:val="auto"/>
            </w:rPr>
            <w:fldChar w:fldCharType="end"/>
          </w:r>
          <w:r>
            <w:rPr>
              <w:rFonts w:hint="eastAsia"/>
              <w:color w:val="auto"/>
            </w:rPr>
            <w:fldChar w:fldCharType="end"/>
          </w:r>
        </w:p>
        <w:p w14:paraId="0DA59A6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"_Toc225216678" </w:instrText>
          </w:r>
          <w:r>
            <w:rPr>
              <w:color w:val="auto"/>
            </w:rPr>
            <w:fldChar w:fldCharType="separate"/>
          </w:r>
          <w:r>
            <w:rPr>
              <w:rStyle w:val="29"/>
              <w:rFonts w:hint="eastAsia"/>
              <w:color w:val="auto"/>
            </w:rPr>
            <w:t>2.3.1</w:t>
          </w:r>
          <w:r>
            <w:rPr>
              <w:rFonts w:hint="eastAsia" w:asciiTheme="minorHAnsi" w:hAnsiTheme="minorHAnsi" w:eastAsiaTheme="minorEastAsia"/>
              <w:color w:val="auto"/>
              <w:sz w:val="22"/>
              <w:szCs w:val="24"/>
              <w14:ligatures w14:val="standardContextual"/>
            </w:rPr>
            <w:tab/>
          </w:r>
          <w:r>
            <w:rPr>
              <w:rStyle w:val="29"/>
              <w:rFonts w:hint="eastAsia"/>
              <w:color w:val="auto"/>
            </w:rPr>
            <w:t>在建年产</w:t>
          </w:r>
          <w:r>
            <w:rPr>
              <w:rStyle w:val="29"/>
              <w:rFonts w:hint="eastAsia" w:eastAsia="Times New Roman" w:cs="Times New Roman"/>
              <w:color w:val="auto"/>
            </w:rPr>
            <w:t>180</w:t>
          </w:r>
          <w:r>
            <w:rPr>
              <w:rStyle w:val="29"/>
              <w:rFonts w:hint="eastAsia"/>
              <w:color w:val="auto"/>
            </w:rPr>
            <w:t>万吨高档纸板扩建项目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_Toc225216678 \h</w:instrText>
          </w:r>
          <w:r>
            <w:rPr>
              <w:rFonts w:hint="eastAsia"/>
              <w:color w:val="auto"/>
            </w:rPr>
            <w:instrText xml:space="preserve"> </w:instrText>
          </w:r>
          <w:r>
            <w:rPr>
              <w:rFonts w:hint="eastAsia"/>
              <w:color w:val="auto"/>
            </w:rPr>
            <w:fldChar w:fldCharType="separate"/>
          </w:r>
          <w:r>
            <w:rPr>
              <w:color w:val="auto"/>
            </w:rPr>
            <w:t>- 104 -</w:t>
          </w:r>
          <w:r>
            <w:rPr>
              <w:rFonts w:hint="eastAsia"/>
              <w:color w:val="auto"/>
            </w:rPr>
            <w:fldChar w:fldCharType="end"/>
          </w:r>
          <w:r>
            <w:rPr>
              <w:rFonts w:hint="eastAsia"/>
              <w:color w:val="auto"/>
            </w:rPr>
            <w:fldChar w:fldCharType="end"/>
          </w:r>
        </w:p>
        <w:p w14:paraId="2521206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"_Toc225216679" </w:instrText>
          </w:r>
          <w:r>
            <w:rPr>
              <w:color w:val="auto"/>
            </w:rPr>
            <w:fldChar w:fldCharType="separate"/>
          </w:r>
          <w:r>
            <w:rPr>
              <w:rStyle w:val="29"/>
              <w:rFonts w:hint="eastAsia"/>
              <w:color w:val="auto"/>
            </w:rPr>
            <w:t>2.3.2</w:t>
          </w:r>
          <w:r>
            <w:rPr>
              <w:rFonts w:hint="eastAsia" w:asciiTheme="minorHAnsi" w:hAnsiTheme="minorHAnsi" w:eastAsiaTheme="minorEastAsia"/>
              <w:color w:val="auto"/>
              <w:sz w:val="22"/>
              <w:szCs w:val="24"/>
              <w14:ligatures w14:val="standardContextual"/>
            </w:rPr>
            <w:tab/>
          </w:r>
          <w:r>
            <w:rPr>
              <w:rStyle w:val="29"/>
              <w:rFonts w:hint="eastAsia"/>
              <w:color w:val="auto"/>
            </w:rPr>
            <w:t>在建年产</w:t>
          </w:r>
          <w:r>
            <w:rPr>
              <w:rStyle w:val="29"/>
              <w:rFonts w:hint="eastAsia" w:eastAsia="Times New Roman" w:cs="Times New Roman"/>
              <w:color w:val="auto"/>
            </w:rPr>
            <w:t>75</w:t>
          </w:r>
          <w:r>
            <w:rPr>
              <w:rStyle w:val="29"/>
              <w:rFonts w:hint="eastAsia"/>
              <w:color w:val="auto"/>
            </w:rPr>
            <w:t>万化机浆扩建项目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_Toc225216679 \h</w:instrText>
          </w:r>
          <w:r>
            <w:rPr>
              <w:rFonts w:hint="eastAsia"/>
              <w:color w:val="auto"/>
            </w:rPr>
            <w:instrText xml:space="preserve"> </w:instrText>
          </w:r>
          <w:r>
            <w:rPr>
              <w:rFonts w:hint="eastAsia"/>
              <w:color w:val="auto"/>
            </w:rPr>
            <w:fldChar w:fldCharType="separate"/>
          </w:r>
          <w:r>
            <w:rPr>
              <w:color w:val="auto"/>
            </w:rPr>
            <w:t>- 106 -</w:t>
          </w:r>
          <w:r>
            <w:rPr>
              <w:rFonts w:hint="eastAsia"/>
              <w:color w:val="auto"/>
            </w:rPr>
            <w:fldChar w:fldCharType="end"/>
          </w:r>
          <w:r>
            <w:rPr>
              <w:rFonts w:hint="eastAsia"/>
              <w:color w:val="auto"/>
            </w:rPr>
            <w:fldChar w:fldCharType="end"/>
          </w:r>
        </w:p>
        <w:p w14:paraId="02E612F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"_Toc225216680" </w:instrText>
          </w:r>
          <w:r>
            <w:rPr>
              <w:color w:val="auto"/>
            </w:rPr>
            <w:fldChar w:fldCharType="separate"/>
          </w:r>
          <w:r>
            <w:rPr>
              <w:rStyle w:val="29"/>
              <w:rFonts w:hint="eastAsia"/>
              <w:color w:val="auto"/>
            </w:rPr>
            <w:t>2.3.3</w:t>
          </w:r>
          <w:r>
            <w:rPr>
              <w:rFonts w:hint="eastAsia" w:asciiTheme="minorHAnsi" w:hAnsiTheme="minorHAnsi" w:eastAsiaTheme="minorEastAsia"/>
              <w:color w:val="auto"/>
              <w:sz w:val="22"/>
              <w:szCs w:val="24"/>
              <w14:ligatures w14:val="standardContextual"/>
            </w:rPr>
            <w:tab/>
          </w:r>
          <w:r>
            <w:rPr>
              <w:rStyle w:val="29"/>
              <w:rFonts w:hint="eastAsia"/>
              <w:color w:val="auto"/>
            </w:rPr>
            <w:t>在建备用锅炉排烟方式变更项目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_Toc225216680 \h</w:instrText>
          </w:r>
          <w:r>
            <w:rPr>
              <w:rFonts w:hint="eastAsia"/>
              <w:color w:val="auto"/>
            </w:rPr>
            <w:instrText xml:space="preserve"> </w:instrText>
          </w:r>
          <w:r>
            <w:rPr>
              <w:rFonts w:hint="eastAsia"/>
              <w:color w:val="auto"/>
            </w:rPr>
            <w:fldChar w:fldCharType="separate"/>
          </w:r>
          <w:r>
            <w:rPr>
              <w:color w:val="auto"/>
            </w:rPr>
            <w:t>- 109 -</w:t>
          </w:r>
          <w:r>
            <w:rPr>
              <w:rFonts w:hint="eastAsia"/>
              <w:color w:val="auto"/>
            </w:rPr>
            <w:fldChar w:fldCharType="end"/>
          </w:r>
          <w:r>
            <w:rPr>
              <w:rFonts w:hint="eastAsia"/>
              <w:color w:val="auto"/>
            </w:rPr>
            <w:fldChar w:fldCharType="end"/>
          </w:r>
        </w:p>
        <w:p w14:paraId="4F71B8D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"_Toc225216681" </w:instrText>
          </w:r>
          <w:r>
            <w:rPr>
              <w:color w:val="auto"/>
            </w:rPr>
            <w:fldChar w:fldCharType="separate"/>
          </w:r>
          <w:r>
            <w:rPr>
              <w:rStyle w:val="29"/>
              <w:rFonts w:hint="eastAsia"/>
              <w:color w:val="auto"/>
            </w:rPr>
            <w:t>2.3.4</w:t>
          </w:r>
          <w:r>
            <w:rPr>
              <w:rFonts w:hint="eastAsia" w:asciiTheme="minorHAnsi" w:hAnsiTheme="minorHAnsi" w:eastAsiaTheme="minorEastAsia"/>
              <w:color w:val="auto"/>
              <w:sz w:val="22"/>
              <w:szCs w:val="24"/>
              <w14:ligatures w14:val="standardContextual"/>
            </w:rPr>
            <w:tab/>
          </w:r>
          <w:r>
            <w:rPr>
              <w:rStyle w:val="29"/>
              <w:rFonts w:hint="eastAsia"/>
              <w:color w:val="auto"/>
            </w:rPr>
            <w:t>在建年产</w:t>
          </w:r>
          <w:r>
            <w:rPr>
              <w:rStyle w:val="29"/>
              <w:rFonts w:hint="eastAsia" w:eastAsia="Times New Roman" w:cs="Times New Roman"/>
              <w:color w:val="auto"/>
            </w:rPr>
            <w:t>25</w:t>
          </w:r>
          <w:r>
            <w:rPr>
              <w:rStyle w:val="29"/>
              <w:rFonts w:hint="eastAsia"/>
              <w:color w:val="auto"/>
            </w:rPr>
            <w:t>万吨丁苯胶乳项目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_Toc225216681 \h</w:instrText>
          </w:r>
          <w:r>
            <w:rPr>
              <w:rFonts w:hint="eastAsia"/>
              <w:color w:val="auto"/>
            </w:rPr>
            <w:instrText xml:space="preserve"> </w:instrText>
          </w:r>
          <w:r>
            <w:rPr>
              <w:rFonts w:hint="eastAsia"/>
              <w:color w:val="auto"/>
            </w:rPr>
            <w:fldChar w:fldCharType="separate"/>
          </w:r>
          <w:r>
            <w:rPr>
              <w:color w:val="auto"/>
            </w:rPr>
            <w:t>- 111 -</w:t>
          </w:r>
          <w:r>
            <w:rPr>
              <w:rFonts w:hint="eastAsia"/>
              <w:color w:val="auto"/>
            </w:rPr>
            <w:fldChar w:fldCharType="end"/>
          </w:r>
          <w:r>
            <w:rPr>
              <w:rFonts w:hint="eastAsia"/>
              <w:color w:val="auto"/>
            </w:rPr>
            <w:fldChar w:fldCharType="end"/>
          </w:r>
        </w:p>
        <w:p w14:paraId="58CCCB4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"_Toc225216682" </w:instrText>
          </w:r>
          <w:r>
            <w:rPr>
              <w:color w:val="auto"/>
            </w:rPr>
            <w:fldChar w:fldCharType="separate"/>
          </w:r>
          <w:r>
            <w:rPr>
              <w:rStyle w:val="29"/>
              <w:rFonts w:hint="eastAsia"/>
              <w:color w:val="auto"/>
            </w:rPr>
            <w:t>2.3.5</w:t>
          </w:r>
          <w:r>
            <w:rPr>
              <w:rFonts w:hint="eastAsia" w:asciiTheme="minorHAnsi" w:hAnsiTheme="minorHAnsi" w:eastAsiaTheme="minorEastAsia"/>
              <w:color w:val="auto"/>
              <w:sz w:val="22"/>
              <w:szCs w:val="24"/>
              <w14:ligatures w14:val="standardContextual"/>
            </w:rPr>
            <w:tab/>
          </w:r>
          <w:r>
            <w:rPr>
              <w:rStyle w:val="29"/>
              <w:rFonts w:hint="eastAsia"/>
              <w:color w:val="auto"/>
            </w:rPr>
            <w:t>污水处理站绿色升级改造项目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_Toc225216682 \h</w:instrText>
          </w:r>
          <w:r>
            <w:rPr>
              <w:rFonts w:hint="eastAsia"/>
              <w:color w:val="auto"/>
            </w:rPr>
            <w:instrText xml:space="preserve"> </w:instrText>
          </w:r>
          <w:r>
            <w:rPr>
              <w:rFonts w:hint="eastAsia"/>
              <w:color w:val="auto"/>
            </w:rPr>
            <w:fldChar w:fldCharType="separate"/>
          </w:r>
          <w:r>
            <w:rPr>
              <w:color w:val="auto"/>
            </w:rPr>
            <w:t>- 115 -</w:t>
          </w:r>
          <w:r>
            <w:rPr>
              <w:rFonts w:hint="eastAsia"/>
              <w:color w:val="auto"/>
            </w:rPr>
            <w:fldChar w:fldCharType="end"/>
          </w:r>
          <w:r>
            <w:rPr>
              <w:rFonts w:hint="eastAsia"/>
              <w:color w:val="auto"/>
            </w:rPr>
            <w:fldChar w:fldCharType="end"/>
          </w:r>
        </w:p>
        <w:p w14:paraId="43A0267C">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"_Toc225216683" </w:instrText>
          </w:r>
          <w:r>
            <w:rPr>
              <w:color w:val="auto"/>
            </w:rPr>
            <w:fldChar w:fldCharType="separate"/>
          </w:r>
          <w:r>
            <w:rPr>
              <w:rStyle w:val="29"/>
              <w:rFonts w:hint="eastAsia"/>
              <w:color w:val="auto"/>
            </w:rPr>
            <w:t>2.4</w:t>
          </w:r>
          <w:r>
            <w:rPr>
              <w:rFonts w:hint="eastAsia" w:asciiTheme="minorHAnsi" w:hAnsiTheme="minorHAnsi" w:eastAsiaTheme="minorEastAsia"/>
              <w:color w:val="auto"/>
              <w:sz w:val="22"/>
              <w:szCs w:val="24"/>
              <w14:ligatures w14:val="standardContextual"/>
            </w:rPr>
            <w:tab/>
          </w:r>
          <w:r>
            <w:rPr>
              <w:rStyle w:val="29"/>
              <w:rFonts w:hint="eastAsia"/>
              <w:color w:val="auto"/>
            </w:rPr>
            <w:t>现有及在建项目污染物排放量</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_Toc225216683 \h</w:instrText>
          </w:r>
          <w:r>
            <w:rPr>
              <w:rFonts w:hint="eastAsia"/>
              <w:color w:val="auto"/>
            </w:rPr>
            <w:instrText xml:space="preserve"> </w:instrText>
          </w:r>
          <w:r>
            <w:rPr>
              <w:rFonts w:hint="eastAsia"/>
              <w:color w:val="auto"/>
            </w:rPr>
            <w:fldChar w:fldCharType="separate"/>
          </w:r>
          <w:r>
            <w:rPr>
              <w:color w:val="auto"/>
            </w:rPr>
            <w:t>- 117 -</w:t>
          </w:r>
          <w:r>
            <w:rPr>
              <w:rFonts w:hint="eastAsia"/>
              <w:color w:val="auto"/>
            </w:rPr>
            <w:fldChar w:fldCharType="end"/>
          </w:r>
          <w:r>
            <w:rPr>
              <w:rFonts w:hint="eastAsia"/>
              <w:color w:val="auto"/>
            </w:rPr>
            <w:fldChar w:fldCharType="end"/>
          </w:r>
        </w:p>
        <w:p w14:paraId="71F130E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"_Toc225216684" </w:instrText>
          </w:r>
          <w:r>
            <w:rPr>
              <w:color w:val="auto"/>
            </w:rPr>
            <w:fldChar w:fldCharType="separate"/>
          </w:r>
          <w:r>
            <w:rPr>
              <w:rStyle w:val="29"/>
              <w:rFonts w:hint="eastAsia"/>
              <w:color w:val="auto"/>
            </w:rPr>
            <w:t>2.5</w:t>
          </w:r>
          <w:r>
            <w:rPr>
              <w:rFonts w:hint="eastAsia" w:asciiTheme="minorHAnsi" w:hAnsiTheme="minorHAnsi" w:eastAsiaTheme="minorEastAsia"/>
              <w:color w:val="auto"/>
              <w:sz w:val="22"/>
              <w:szCs w:val="24"/>
              <w14:ligatures w14:val="standardContextual"/>
            </w:rPr>
            <w:tab/>
          </w:r>
          <w:r>
            <w:rPr>
              <w:rStyle w:val="29"/>
              <w:rFonts w:hint="eastAsia"/>
              <w:color w:val="auto"/>
            </w:rPr>
            <w:t>排污许可证执行情况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_Toc225216684 \h</w:instrText>
          </w:r>
          <w:r>
            <w:rPr>
              <w:rFonts w:hint="eastAsia"/>
              <w:color w:val="auto"/>
            </w:rPr>
            <w:instrText xml:space="preserve"> </w:instrText>
          </w:r>
          <w:r>
            <w:rPr>
              <w:rFonts w:hint="eastAsia"/>
              <w:color w:val="auto"/>
            </w:rPr>
            <w:fldChar w:fldCharType="separate"/>
          </w:r>
          <w:r>
            <w:rPr>
              <w:color w:val="auto"/>
            </w:rPr>
            <w:t>- 117 -</w:t>
          </w:r>
          <w:r>
            <w:rPr>
              <w:rFonts w:hint="eastAsia"/>
              <w:color w:val="auto"/>
            </w:rPr>
            <w:fldChar w:fldCharType="end"/>
          </w:r>
          <w:r>
            <w:rPr>
              <w:rFonts w:hint="eastAsia"/>
              <w:color w:val="auto"/>
            </w:rPr>
            <w:fldChar w:fldCharType="end"/>
          </w:r>
        </w:p>
        <w:p w14:paraId="4CEDB6D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"_Toc225216685" </w:instrText>
          </w:r>
          <w:r>
            <w:rPr>
              <w:color w:val="auto"/>
            </w:rPr>
            <w:fldChar w:fldCharType="separate"/>
          </w:r>
          <w:r>
            <w:rPr>
              <w:rStyle w:val="29"/>
              <w:rFonts w:hint="eastAsia"/>
              <w:color w:val="auto"/>
            </w:rPr>
            <w:t>2.6</w:t>
          </w:r>
          <w:r>
            <w:rPr>
              <w:rFonts w:hint="eastAsia" w:asciiTheme="minorHAnsi" w:hAnsiTheme="minorHAnsi" w:eastAsiaTheme="minorEastAsia"/>
              <w:color w:val="auto"/>
              <w:sz w:val="22"/>
              <w:szCs w:val="24"/>
              <w14:ligatures w14:val="standardContextual"/>
            </w:rPr>
            <w:tab/>
          </w:r>
          <w:r>
            <w:rPr>
              <w:rStyle w:val="29"/>
              <w:rFonts w:hint="eastAsia"/>
              <w:color w:val="auto"/>
            </w:rPr>
            <w:t>环保投诉及整改情况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_Toc225216685 \h</w:instrText>
          </w:r>
          <w:r>
            <w:rPr>
              <w:rFonts w:hint="eastAsia"/>
              <w:color w:val="auto"/>
            </w:rPr>
            <w:instrText xml:space="preserve"> </w:instrText>
          </w:r>
          <w:r>
            <w:rPr>
              <w:rFonts w:hint="eastAsia"/>
              <w:color w:val="auto"/>
            </w:rPr>
            <w:fldChar w:fldCharType="separate"/>
          </w:r>
          <w:r>
            <w:rPr>
              <w:color w:val="auto"/>
            </w:rPr>
            <w:t>- 118 -</w:t>
          </w:r>
          <w:r>
            <w:rPr>
              <w:rFonts w:hint="eastAsia"/>
              <w:color w:val="auto"/>
            </w:rPr>
            <w:fldChar w:fldCharType="end"/>
          </w:r>
          <w:r>
            <w:rPr>
              <w:rFonts w:hint="eastAsia"/>
              <w:color w:val="auto"/>
            </w:rPr>
            <w:fldChar w:fldCharType="end"/>
          </w:r>
        </w:p>
        <w:p w14:paraId="568BC3B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"_Toc225216686" </w:instrText>
          </w:r>
          <w:r>
            <w:rPr>
              <w:color w:val="auto"/>
            </w:rPr>
            <w:fldChar w:fldCharType="separate"/>
          </w:r>
          <w:r>
            <w:rPr>
              <w:rStyle w:val="29"/>
              <w:rFonts w:hint="eastAsia"/>
              <w:color w:val="auto"/>
            </w:rPr>
            <w:t>2.7</w:t>
          </w:r>
          <w:r>
            <w:rPr>
              <w:rFonts w:hint="eastAsia" w:asciiTheme="minorHAnsi" w:hAnsiTheme="minorHAnsi" w:eastAsiaTheme="minorEastAsia"/>
              <w:color w:val="auto"/>
              <w:sz w:val="22"/>
              <w:szCs w:val="24"/>
              <w14:ligatures w14:val="standardContextual"/>
            </w:rPr>
            <w:tab/>
          </w:r>
          <w:r>
            <w:rPr>
              <w:rStyle w:val="29"/>
              <w:rFonts w:hint="eastAsia"/>
              <w:color w:val="auto"/>
            </w:rPr>
            <w:t>现有工程存在的环境问题及整改措施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_Toc225216686 \h</w:instrText>
          </w:r>
          <w:r>
            <w:rPr>
              <w:rFonts w:hint="eastAsia"/>
              <w:color w:val="auto"/>
            </w:rPr>
            <w:instrText xml:space="preserve"> </w:instrText>
          </w:r>
          <w:r>
            <w:rPr>
              <w:rFonts w:hint="eastAsia"/>
              <w:color w:val="auto"/>
            </w:rPr>
            <w:fldChar w:fldCharType="separate"/>
          </w:r>
          <w:r>
            <w:rPr>
              <w:color w:val="auto"/>
            </w:rPr>
            <w:t>- 119 -</w:t>
          </w:r>
          <w:r>
            <w:rPr>
              <w:rFonts w:hint="eastAsia"/>
              <w:color w:val="auto"/>
            </w:rPr>
            <w:fldChar w:fldCharType="end"/>
          </w:r>
          <w:r>
            <w:rPr>
              <w:rFonts w:hint="eastAsia"/>
              <w:color w:val="auto"/>
            </w:rPr>
            <w:fldChar w:fldCharType="end"/>
          </w:r>
        </w:p>
        <w:p w14:paraId="4AE1635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"_Toc225216687" </w:instrText>
          </w:r>
          <w:r>
            <w:rPr>
              <w:color w:val="auto"/>
            </w:rPr>
            <w:fldChar w:fldCharType="separate"/>
          </w:r>
          <w:r>
            <w:rPr>
              <w:rStyle w:val="29"/>
              <w:rFonts w:hint="eastAsia"/>
              <w:color w:val="auto"/>
            </w:rPr>
            <w:t>2.7.1</w:t>
          </w:r>
          <w:r>
            <w:rPr>
              <w:rFonts w:hint="eastAsia" w:asciiTheme="minorHAnsi" w:hAnsiTheme="minorHAnsi" w:eastAsiaTheme="minorEastAsia"/>
              <w:color w:val="auto"/>
              <w:sz w:val="22"/>
              <w:szCs w:val="24"/>
              <w14:ligatures w14:val="standardContextual"/>
            </w:rPr>
            <w:tab/>
          </w:r>
          <w:r>
            <w:rPr>
              <w:rStyle w:val="29"/>
              <w:rFonts w:hint="eastAsia"/>
              <w:color w:val="auto"/>
            </w:rPr>
            <w:t>淋膜纸生产线废气处理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_Toc225216687 \h</w:instrText>
          </w:r>
          <w:r>
            <w:rPr>
              <w:rFonts w:hint="eastAsia"/>
              <w:color w:val="auto"/>
            </w:rPr>
            <w:instrText xml:space="preserve"> </w:instrText>
          </w:r>
          <w:r>
            <w:rPr>
              <w:rFonts w:hint="eastAsia"/>
              <w:color w:val="auto"/>
            </w:rPr>
            <w:fldChar w:fldCharType="separate"/>
          </w:r>
          <w:r>
            <w:rPr>
              <w:color w:val="auto"/>
            </w:rPr>
            <w:t>- 119 -</w:t>
          </w:r>
          <w:r>
            <w:rPr>
              <w:rFonts w:hint="eastAsia"/>
              <w:color w:val="auto"/>
            </w:rPr>
            <w:fldChar w:fldCharType="end"/>
          </w:r>
          <w:r>
            <w:rPr>
              <w:rFonts w:hint="eastAsia"/>
              <w:color w:val="auto"/>
            </w:rPr>
            <w:fldChar w:fldCharType="end"/>
          </w:r>
        </w:p>
        <w:p w14:paraId="43AC91C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"_Toc225216688" </w:instrText>
          </w:r>
          <w:r>
            <w:rPr>
              <w:color w:val="auto"/>
            </w:rPr>
            <w:fldChar w:fldCharType="separate"/>
          </w:r>
          <w:r>
            <w:rPr>
              <w:rStyle w:val="29"/>
              <w:rFonts w:hint="eastAsia"/>
              <w:color w:val="auto"/>
            </w:rPr>
            <w:t>2.7.2</w:t>
          </w:r>
          <w:r>
            <w:rPr>
              <w:rFonts w:hint="eastAsia" w:asciiTheme="minorHAnsi" w:hAnsiTheme="minorHAnsi" w:eastAsiaTheme="minorEastAsia"/>
              <w:color w:val="auto"/>
              <w:sz w:val="22"/>
              <w:szCs w:val="24"/>
              <w14:ligatures w14:val="standardContextual"/>
            </w:rPr>
            <w:tab/>
          </w:r>
          <w:r>
            <w:rPr>
              <w:rStyle w:val="29"/>
              <w:rFonts w:hint="eastAsia"/>
              <w:color w:val="auto"/>
            </w:rPr>
            <w:t>污水处理系统</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_Toc225216688 \h</w:instrText>
          </w:r>
          <w:r>
            <w:rPr>
              <w:rFonts w:hint="eastAsia"/>
              <w:color w:val="auto"/>
            </w:rPr>
            <w:instrText xml:space="preserve"> </w:instrText>
          </w:r>
          <w:r>
            <w:rPr>
              <w:rFonts w:hint="eastAsia"/>
              <w:color w:val="auto"/>
            </w:rPr>
            <w:fldChar w:fldCharType="separate"/>
          </w:r>
          <w:r>
            <w:rPr>
              <w:color w:val="auto"/>
            </w:rPr>
            <w:t>- 119 -</w:t>
          </w:r>
          <w:r>
            <w:rPr>
              <w:rFonts w:hint="eastAsia"/>
              <w:color w:val="auto"/>
            </w:rPr>
            <w:fldChar w:fldCharType="end"/>
          </w:r>
          <w:r>
            <w:rPr>
              <w:rFonts w:hint="eastAsia"/>
              <w:color w:val="auto"/>
            </w:rPr>
            <w:fldChar w:fldCharType="end"/>
          </w:r>
        </w:p>
        <w:p w14:paraId="4E60D688">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"_Toc225216689" </w:instrText>
          </w:r>
          <w:r>
            <w:rPr>
              <w:color w:val="auto"/>
            </w:rPr>
            <w:fldChar w:fldCharType="separate"/>
          </w:r>
          <w:r>
            <w:rPr>
              <w:rStyle w:val="29"/>
              <w:rFonts w:hint="eastAsia"/>
              <w:color w:val="auto"/>
            </w:rPr>
            <w:t>3</w:t>
          </w:r>
          <w:r>
            <w:rPr>
              <w:rFonts w:hint="eastAsia" w:asciiTheme="minorHAnsi" w:hAnsiTheme="minorHAnsi" w:eastAsiaTheme="minorEastAsia"/>
              <w:color w:val="auto"/>
              <w:sz w:val="22"/>
              <w:szCs w:val="24"/>
              <w14:ligatures w14:val="standardContextual"/>
            </w:rPr>
            <w:tab/>
          </w:r>
          <w:r>
            <w:rPr>
              <w:rStyle w:val="29"/>
              <w:rFonts w:hint="eastAsia"/>
              <w:color w:val="auto"/>
            </w:rPr>
            <w:t>拟建项目工程分析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_Toc225216689 \h</w:instrText>
          </w:r>
          <w:r>
            <w:rPr>
              <w:rFonts w:hint="eastAsia"/>
              <w:color w:val="auto"/>
            </w:rPr>
            <w:instrText xml:space="preserve"> </w:instrText>
          </w:r>
          <w:r>
            <w:rPr>
              <w:rFonts w:hint="eastAsia"/>
              <w:color w:val="auto"/>
            </w:rPr>
            <w:fldChar w:fldCharType="separate"/>
          </w:r>
          <w:r>
            <w:rPr>
              <w:color w:val="auto"/>
            </w:rPr>
            <w:t>121</w:t>
          </w:r>
          <w:r>
            <w:rPr>
              <w:rFonts w:hint="eastAsia"/>
              <w:color w:val="auto"/>
            </w:rPr>
            <w:fldChar w:fldCharType="end"/>
          </w:r>
          <w:r>
            <w:rPr>
              <w:rFonts w:hint="eastAsia"/>
              <w:color w:val="auto"/>
            </w:rPr>
            <w:fldChar w:fldCharType="end"/>
          </w:r>
        </w:p>
        <w:p w14:paraId="7413006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"_Toc225216690" </w:instrText>
          </w:r>
          <w:r>
            <w:rPr>
              <w:color w:val="auto"/>
            </w:rPr>
            <w:fldChar w:fldCharType="separate"/>
          </w:r>
          <w:r>
            <w:rPr>
              <w:rStyle w:val="29"/>
              <w:rFonts w:hint="eastAsia"/>
              <w:color w:val="auto"/>
            </w:rPr>
            <w:t>3.1</w:t>
          </w:r>
          <w:r>
            <w:rPr>
              <w:rFonts w:hint="eastAsia" w:asciiTheme="minorHAnsi" w:hAnsiTheme="minorHAnsi" w:eastAsiaTheme="minorEastAsia"/>
              <w:color w:val="auto"/>
              <w:sz w:val="22"/>
              <w:szCs w:val="24"/>
              <w14:ligatures w14:val="standardContextual"/>
            </w:rPr>
            <w:tab/>
          </w:r>
          <w:r>
            <w:rPr>
              <w:rStyle w:val="29"/>
              <w:rFonts w:hint="eastAsia"/>
              <w:color w:val="auto"/>
            </w:rPr>
            <w:t>拟建工程项目概况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_Toc225216690 \h</w:instrText>
          </w:r>
          <w:r>
            <w:rPr>
              <w:rFonts w:hint="eastAsia"/>
              <w:color w:val="auto"/>
            </w:rPr>
            <w:instrText xml:space="preserve"> </w:instrText>
          </w:r>
          <w:r>
            <w:rPr>
              <w:rFonts w:hint="eastAsia"/>
              <w:color w:val="auto"/>
            </w:rPr>
            <w:fldChar w:fldCharType="separate"/>
          </w:r>
          <w:r>
            <w:rPr>
              <w:color w:val="auto"/>
            </w:rPr>
            <w:t>121</w:t>
          </w:r>
          <w:r>
            <w:rPr>
              <w:rFonts w:hint="eastAsia"/>
              <w:color w:val="auto"/>
            </w:rPr>
            <w:fldChar w:fldCharType="end"/>
          </w:r>
          <w:r>
            <w:rPr>
              <w:rFonts w:hint="eastAsia"/>
              <w:color w:val="auto"/>
            </w:rPr>
            <w:fldChar w:fldCharType="end"/>
          </w:r>
        </w:p>
        <w:p w14:paraId="1804AB2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"_Toc225216691" </w:instrText>
          </w:r>
          <w:r>
            <w:rPr>
              <w:color w:val="auto"/>
            </w:rPr>
            <w:fldChar w:fldCharType="separate"/>
          </w:r>
          <w:r>
            <w:rPr>
              <w:rStyle w:val="29"/>
              <w:rFonts w:hint="eastAsia"/>
              <w:color w:val="auto"/>
            </w:rPr>
            <w:t>3.1.1</w:t>
          </w:r>
          <w:r>
            <w:rPr>
              <w:rFonts w:hint="eastAsia" w:asciiTheme="minorHAnsi" w:hAnsiTheme="minorHAnsi" w:eastAsiaTheme="minorEastAsia"/>
              <w:color w:val="auto"/>
              <w:sz w:val="22"/>
              <w:szCs w:val="24"/>
              <w14:ligatures w14:val="standardContextual"/>
            </w:rPr>
            <w:tab/>
          </w:r>
          <w:r>
            <w:rPr>
              <w:rStyle w:val="29"/>
              <w:rFonts w:hint="eastAsia"/>
              <w:color w:val="auto"/>
            </w:rPr>
            <w:t>基本情况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_Toc225216691 \h</w:instrText>
          </w:r>
          <w:r>
            <w:rPr>
              <w:rFonts w:hint="eastAsia"/>
              <w:color w:val="auto"/>
            </w:rPr>
            <w:instrText xml:space="preserve"> </w:instrText>
          </w:r>
          <w:r>
            <w:rPr>
              <w:rFonts w:hint="eastAsia"/>
              <w:color w:val="auto"/>
            </w:rPr>
            <w:fldChar w:fldCharType="separate"/>
          </w:r>
          <w:r>
            <w:rPr>
              <w:color w:val="auto"/>
            </w:rPr>
            <w:t>121</w:t>
          </w:r>
          <w:r>
            <w:rPr>
              <w:rFonts w:hint="eastAsia"/>
              <w:color w:val="auto"/>
            </w:rPr>
            <w:fldChar w:fldCharType="end"/>
          </w:r>
          <w:r>
            <w:rPr>
              <w:rFonts w:hint="eastAsia"/>
              <w:color w:val="auto"/>
            </w:rPr>
            <w:fldChar w:fldCharType="end"/>
          </w:r>
        </w:p>
        <w:p w14:paraId="062677F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"_Toc225216692" </w:instrText>
          </w:r>
          <w:r>
            <w:rPr>
              <w:color w:val="auto"/>
            </w:rPr>
            <w:fldChar w:fldCharType="separate"/>
          </w:r>
          <w:r>
            <w:rPr>
              <w:rStyle w:val="29"/>
              <w:rFonts w:hint="eastAsia"/>
              <w:color w:val="auto"/>
            </w:rPr>
            <w:t>3.1.2</w:t>
          </w:r>
          <w:r>
            <w:rPr>
              <w:rFonts w:hint="eastAsia" w:asciiTheme="minorHAnsi" w:hAnsiTheme="minorHAnsi" w:eastAsiaTheme="minorEastAsia"/>
              <w:color w:val="auto"/>
              <w:sz w:val="22"/>
              <w:szCs w:val="24"/>
              <w14:ligatures w14:val="standardContextual"/>
            </w:rPr>
            <w:tab/>
          </w:r>
          <w:r>
            <w:rPr>
              <w:rStyle w:val="29"/>
              <w:rFonts w:hint="eastAsia"/>
              <w:color w:val="auto"/>
            </w:rPr>
            <w:t>项目建设内容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_Toc225216692 \h</w:instrText>
          </w:r>
          <w:r>
            <w:rPr>
              <w:rFonts w:hint="eastAsia"/>
              <w:color w:val="auto"/>
            </w:rPr>
            <w:instrText xml:space="preserve"> </w:instrText>
          </w:r>
          <w:r>
            <w:rPr>
              <w:rFonts w:hint="eastAsia"/>
              <w:color w:val="auto"/>
            </w:rPr>
            <w:fldChar w:fldCharType="separate"/>
          </w:r>
          <w:r>
            <w:rPr>
              <w:color w:val="auto"/>
            </w:rPr>
            <w:t>121</w:t>
          </w:r>
          <w:r>
            <w:rPr>
              <w:rFonts w:hint="eastAsia"/>
              <w:color w:val="auto"/>
            </w:rPr>
            <w:fldChar w:fldCharType="end"/>
          </w:r>
          <w:r>
            <w:rPr>
              <w:rFonts w:hint="eastAsia"/>
              <w:color w:val="auto"/>
            </w:rPr>
            <w:fldChar w:fldCharType="end"/>
          </w:r>
        </w:p>
        <w:p w14:paraId="0CD6250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"_Toc225216693" </w:instrText>
          </w:r>
          <w:r>
            <w:rPr>
              <w:color w:val="auto"/>
            </w:rPr>
            <w:fldChar w:fldCharType="separate"/>
          </w:r>
          <w:r>
            <w:rPr>
              <w:rStyle w:val="29"/>
              <w:rFonts w:hint="eastAsia"/>
              <w:color w:val="auto"/>
            </w:rPr>
            <w:t>3.1.3</w:t>
          </w:r>
          <w:r>
            <w:rPr>
              <w:rFonts w:hint="eastAsia" w:asciiTheme="minorHAnsi" w:hAnsiTheme="minorHAnsi" w:eastAsiaTheme="minorEastAsia"/>
              <w:color w:val="auto"/>
              <w:sz w:val="22"/>
              <w:szCs w:val="24"/>
              <w14:ligatures w14:val="standardContextual"/>
            </w:rPr>
            <w:tab/>
          </w:r>
          <w:r>
            <w:rPr>
              <w:rStyle w:val="29"/>
              <w:rFonts w:hint="eastAsia"/>
              <w:color w:val="auto"/>
            </w:rPr>
            <w:t>产品方案</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_Toc225216693 \h</w:instrText>
          </w:r>
          <w:r>
            <w:rPr>
              <w:rFonts w:hint="eastAsia"/>
              <w:color w:val="auto"/>
            </w:rPr>
            <w:instrText xml:space="preserve"> </w:instrText>
          </w:r>
          <w:r>
            <w:rPr>
              <w:rFonts w:hint="eastAsia"/>
              <w:color w:val="auto"/>
            </w:rPr>
            <w:fldChar w:fldCharType="separate"/>
          </w:r>
          <w:r>
            <w:rPr>
              <w:color w:val="auto"/>
            </w:rPr>
            <w:t>125</w:t>
          </w:r>
          <w:r>
            <w:rPr>
              <w:rFonts w:hint="eastAsia"/>
              <w:color w:val="auto"/>
            </w:rPr>
            <w:fldChar w:fldCharType="end"/>
          </w:r>
          <w:r>
            <w:rPr>
              <w:rFonts w:hint="eastAsia"/>
              <w:color w:val="auto"/>
            </w:rPr>
            <w:fldChar w:fldCharType="end"/>
          </w:r>
        </w:p>
        <w:p w14:paraId="0E57BB5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"_Toc225216694" </w:instrText>
          </w:r>
          <w:r>
            <w:rPr>
              <w:color w:val="auto"/>
            </w:rPr>
            <w:fldChar w:fldCharType="separate"/>
          </w:r>
          <w:r>
            <w:rPr>
              <w:rStyle w:val="29"/>
              <w:rFonts w:hint="eastAsia"/>
              <w:color w:val="auto"/>
            </w:rPr>
            <w:t>3.1.4</w:t>
          </w:r>
          <w:r>
            <w:rPr>
              <w:rFonts w:hint="eastAsia" w:asciiTheme="minorHAnsi" w:hAnsiTheme="minorHAnsi" w:eastAsiaTheme="minorEastAsia"/>
              <w:color w:val="auto"/>
              <w:sz w:val="22"/>
              <w:szCs w:val="24"/>
              <w14:ligatures w14:val="standardContextual"/>
            </w:rPr>
            <w:tab/>
          </w:r>
          <w:r>
            <w:rPr>
              <w:rStyle w:val="29"/>
              <w:rFonts w:hint="eastAsia"/>
              <w:color w:val="auto"/>
            </w:rPr>
            <w:t>总平面布置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_Toc225216694 \h</w:instrText>
          </w:r>
          <w:r>
            <w:rPr>
              <w:rFonts w:hint="eastAsia"/>
              <w:color w:val="auto"/>
            </w:rPr>
            <w:instrText xml:space="preserve"> </w:instrText>
          </w:r>
          <w:r>
            <w:rPr>
              <w:rFonts w:hint="eastAsia"/>
              <w:color w:val="auto"/>
            </w:rPr>
            <w:fldChar w:fldCharType="separate"/>
          </w:r>
          <w:r>
            <w:rPr>
              <w:color w:val="auto"/>
            </w:rPr>
            <w:t>127</w:t>
          </w:r>
          <w:r>
            <w:rPr>
              <w:rFonts w:hint="eastAsia"/>
              <w:color w:val="auto"/>
            </w:rPr>
            <w:fldChar w:fldCharType="end"/>
          </w:r>
          <w:r>
            <w:rPr>
              <w:rFonts w:hint="eastAsia"/>
              <w:color w:val="auto"/>
            </w:rPr>
            <w:fldChar w:fldCharType="end"/>
          </w:r>
        </w:p>
        <w:p w14:paraId="56BAAFC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"_Toc225216695" </w:instrText>
          </w:r>
          <w:r>
            <w:rPr>
              <w:color w:val="auto"/>
            </w:rPr>
            <w:fldChar w:fldCharType="separate"/>
          </w:r>
          <w:r>
            <w:rPr>
              <w:rStyle w:val="29"/>
              <w:rFonts w:hint="eastAsia"/>
              <w:color w:val="auto"/>
            </w:rPr>
            <w:t>3.1.5</w:t>
          </w:r>
          <w:r>
            <w:rPr>
              <w:rFonts w:hint="eastAsia" w:asciiTheme="minorHAnsi" w:hAnsiTheme="minorHAnsi" w:eastAsiaTheme="minorEastAsia"/>
              <w:color w:val="auto"/>
              <w:sz w:val="22"/>
              <w:szCs w:val="24"/>
              <w14:ligatures w14:val="standardContextual"/>
            </w:rPr>
            <w:tab/>
          </w:r>
          <w:r>
            <w:rPr>
              <w:rStyle w:val="29"/>
              <w:rFonts w:hint="eastAsia"/>
              <w:color w:val="auto"/>
            </w:rPr>
            <w:t>主要原辅料、能源消耗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_Toc225216695 \h</w:instrText>
          </w:r>
          <w:r>
            <w:rPr>
              <w:rFonts w:hint="eastAsia"/>
              <w:color w:val="auto"/>
            </w:rPr>
            <w:instrText xml:space="preserve"> </w:instrText>
          </w:r>
          <w:r>
            <w:rPr>
              <w:rFonts w:hint="eastAsia"/>
              <w:color w:val="auto"/>
            </w:rPr>
            <w:fldChar w:fldCharType="separate"/>
          </w:r>
          <w:r>
            <w:rPr>
              <w:color w:val="auto"/>
            </w:rPr>
            <w:t>128</w:t>
          </w:r>
          <w:r>
            <w:rPr>
              <w:rFonts w:hint="eastAsia"/>
              <w:color w:val="auto"/>
            </w:rPr>
            <w:fldChar w:fldCharType="end"/>
          </w:r>
          <w:r>
            <w:rPr>
              <w:rFonts w:hint="eastAsia"/>
              <w:color w:val="auto"/>
            </w:rPr>
            <w:fldChar w:fldCharType="end"/>
          </w:r>
        </w:p>
        <w:p w14:paraId="52F54CF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"_Toc225216696" </w:instrText>
          </w:r>
          <w:r>
            <w:rPr>
              <w:color w:val="auto"/>
            </w:rPr>
            <w:fldChar w:fldCharType="separate"/>
          </w:r>
          <w:r>
            <w:rPr>
              <w:rStyle w:val="29"/>
              <w:rFonts w:hint="eastAsia"/>
              <w:color w:val="auto"/>
            </w:rPr>
            <w:t>3.1.6</w:t>
          </w:r>
          <w:r>
            <w:rPr>
              <w:rFonts w:hint="eastAsia" w:asciiTheme="minorHAnsi" w:hAnsiTheme="minorHAnsi" w:eastAsiaTheme="minorEastAsia"/>
              <w:color w:val="auto"/>
              <w:sz w:val="22"/>
              <w:szCs w:val="24"/>
              <w14:ligatures w14:val="standardContextual"/>
            </w:rPr>
            <w:tab/>
          </w:r>
          <w:r>
            <w:rPr>
              <w:rStyle w:val="29"/>
              <w:rFonts w:hint="eastAsia"/>
              <w:color w:val="auto"/>
            </w:rPr>
            <w:t>主要生产设备</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_Toc225216696 \h</w:instrText>
          </w:r>
          <w:r>
            <w:rPr>
              <w:rFonts w:hint="eastAsia"/>
              <w:color w:val="auto"/>
            </w:rPr>
            <w:instrText xml:space="preserve"> </w:instrText>
          </w:r>
          <w:r>
            <w:rPr>
              <w:rFonts w:hint="eastAsia"/>
              <w:color w:val="auto"/>
            </w:rPr>
            <w:fldChar w:fldCharType="separate"/>
          </w:r>
          <w:r>
            <w:rPr>
              <w:color w:val="auto"/>
            </w:rPr>
            <w:t>133</w:t>
          </w:r>
          <w:r>
            <w:rPr>
              <w:rFonts w:hint="eastAsia"/>
              <w:color w:val="auto"/>
            </w:rPr>
            <w:fldChar w:fldCharType="end"/>
          </w:r>
          <w:r>
            <w:rPr>
              <w:rFonts w:hint="eastAsia"/>
              <w:color w:val="auto"/>
            </w:rPr>
            <w:fldChar w:fldCharType="end"/>
          </w:r>
        </w:p>
        <w:p w14:paraId="27966F0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"_Toc225216697" </w:instrText>
          </w:r>
          <w:r>
            <w:rPr>
              <w:color w:val="auto"/>
            </w:rPr>
            <w:fldChar w:fldCharType="separate"/>
          </w:r>
          <w:r>
            <w:rPr>
              <w:rStyle w:val="29"/>
              <w:rFonts w:hint="eastAsia"/>
              <w:color w:val="auto"/>
            </w:rPr>
            <w:t>3.1.7</w:t>
          </w:r>
          <w:r>
            <w:rPr>
              <w:rFonts w:hint="eastAsia" w:asciiTheme="minorHAnsi" w:hAnsiTheme="minorHAnsi" w:eastAsiaTheme="minorEastAsia"/>
              <w:color w:val="auto"/>
              <w:sz w:val="22"/>
              <w:szCs w:val="24"/>
              <w14:ligatures w14:val="standardContextual"/>
            </w:rPr>
            <w:tab/>
          </w:r>
          <w:r>
            <w:rPr>
              <w:rStyle w:val="29"/>
              <w:rFonts w:hint="eastAsia"/>
              <w:color w:val="auto"/>
            </w:rPr>
            <w:t>公用工程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_Toc225216697 \h</w:instrText>
          </w:r>
          <w:r>
            <w:rPr>
              <w:rFonts w:hint="eastAsia"/>
              <w:color w:val="auto"/>
            </w:rPr>
            <w:instrText xml:space="preserve"> </w:instrText>
          </w:r>
          <w:r>
            <w:rPr>
              <w:rFonts w:hint="eastAsia"/>
              <w:color w:val="auto"/>
            </w:rPr>
            <w:fldChar w:fldCharType="separate"/>
          </w:r>
          <w:r>
            <w:rPr>
              <w:color w:val="auto"/>
            </w:rPr>
            <w:t>134</w:t>
          </w:r>
          <w:r>
            <w:rPr>
              <w:rFonts w:hint="eastAsia"/>
              <w:color w:val="auto"/>
            </w:rPr>
            <w:fldChar w:fldCharType="end"/>
          </w:r>
          <w:r>
            <w:rPr>
              <w:rFonts w:hint="eastAsia"/>
              <w:color w:val="auto"/>
            </w:rPr>
            <w:fldChar w:fldCharType="end"/>
          </w:r>
        </w:p>
        <w:p w14:paraId="512D59F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"_Toc225216698" </w:instrText>
          </w:r>
          <w:r>
            <w:rPr>
              <w:color w:val="auto"/>
            </w:rPr>
            <w:fldChar w:fldCharType="separate"/>
          </w:r>
          <w:r>
            <w:rPr>
              <w:rStyle w:val="29"/>
              <w:rFonts w:hint="eastAsia"/>
              <w:color w:val="auto"/>
            </w:rPr>
            <w:t>3.1.8</w:t>
          </w:r>
          <w:r>
            <w:rPr>
              <w:rFonts w:hint="eastAsia" w:asciiTheme="minorHAnsi" w:hAnsiTheme="minorHAnsi" w:eastAsiaTheme="minorEastAsia"/>
              <w:color w:val="auto"/>
              <w:sz w:val="22"/>
              <w:szCs w:val="24"/>
              <w14:ligatures w14:val="standardContextual"/>
            </w:rPr>
            <w:tab/>
          </w:r>
          <w:r>
            <w:rPr>
              <w:rStyle w:val="29"/>
              <w:rFonts w:hint="eastAsia"/>
              <w:color w:val="auto"/>
            </w:rPr>
            <w:t>储运工程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_Toc225216698 \h</w:instrText>
          </w:r>
          <w:r>
            <w:rPr>
              <w:rFonts w:hint="eastAsia"/>
              <w:color w:val="auto"/>
            </w:rPr>
            <w:instrText xml:space="preserve"> </w:instrText>
          </w:r>
          <w:r>
            <w:rPr>
              <w:rFonts w:hint="eastAsia"/>
              <w:color w:val="auto"/>
            </w:rPr>
            <w:fldChar w:fldCharType="separate"/>
          </w:r>
          <w:r>
            <w:rPr>
              <w:color w:val="auto"/>
            </w:rPr>
            <w:t>136</w:t>
          </w:r>
          <w:r>
            <w:rPr>
              <w:rFonts w:hint="eastAsia"/>
              <w:color w:val="auto"/>
            </w:rPr>
            <w:fldChar w:fldCharType="end"/>
          </w:r>
          <w:r>
            <w:rPr>
              <w:rFonts w:hint="eastAsia"/>
              <w:color w:val="auto"/>
            </w:rPr>
            <w:fldChar w:fldCharType="end"/>
          </w:r>
        </w:p>
        <w:p w14:paraId="53E077E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"_Toc225216699" </w:instrText>
          </w:r>
          <w:r>
            <w:rPr>
              <w:color w:val="auto"/>
            </w:rPr>
            <w:fldChar w:fldCharType="separate"/>
          </w:r>
          <w:r>
            <w:rPr>
              <w:rStyle w:val="29"/>
              <w:rFonts w:hint="eastAsia"/>
              <w:color w:val="auto"/>
            </w:rPr>
            <w:t>3.1.9</w:t>
          </w:r>
          <w:r>
            <w:rPr>
              <w:rFonts w:hint="eastAsia" w:asciiTheme="minorHAnsi" w:hAnsiTheme="minorHAnsi" w:eastAsiaTheme="minorEastAsia"/>
              <w:color w:val="auto"/>
              <w:sz w:val="22"/>
              <w:szCs w:val="24"/>
              <w14:ligatures w14:val="standardContextual"/>
            </w:rPr>
            <w:tab/>
          </w:r>
          <w:r>
            <w:rPr>
              <w:rStyle w:val="29"/>
              <w:rFonts w:hint="eastAsia"/>
              <w:color w:val="auto"/>
            </w:rPr>
            <w:t>辅助工程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_Toc225216699 \h</w:instrText>
          </w:r>
          <w:r>
            <w:rPr>
              <w:rFonts w:hint="eastAsia"/>
              <w:color w:val="auto"/>
            </w:rPr>
            <w:instrText xml:space="preserve"> </w:instrText>
          </w:r>
          <w:r>
            <w:rPr>
              <w:rFonts w:hint="eastAsia"/>
              <w:color w:val="auto"/>
            </w:rPr>
            <w:fldChar w:fldCharType="separate"/>
          </w:r>
          <w:r>
            <w:rPr>
              <w:color w:val="auto"/>
            </w:rPr>
            <w:t>137</w:t>
          </w:r>
          <w:r>
            <w:rPr>
              <w:rFonts w:hint="eastAsia"/>
              <w:color w:val="auto"/>
            </w:rPr>
            <w:fldChar w:fldCharType="end"/>
          </w:r>
          <w:r>
            <w:rPr>
              <w:rFonts w:hint="eastAsia"/>
              <w:color w:val="auto"/>
            </w:rPr>
            <w:fldChar w:fldCharType="end"/>
          </w:r>
        </w:p>
        <w:p w14:paraId="65657ED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"_Toc225216700" </w:instrText>
          </w:r>
          <w:r>
            <w:rPr>
              <w:color w:val="auto"/>
            </w:rPr>
            <w:fldChar w:fldCharType="separate"/>
          </w:r>
          <w:r>
            <w:rPr>
              <w:rStyle w:val="29"/>
              <w:rFonts w:hint="eastAsia"/>
              <w:color w:val="auto"/>
            </w:rPr>
            <w:t>3.1.10</w:t>
          </w:r>
          <w:r>
            <w:rPr>
              <w:rFonts w:hint="eastAsia" w:asciiTheme="minorHAnsi" w:hAnsiTheme="minorHAnsi" w:eastAsiaTheme="minorEastAsia"/>
              <w:color w:val="auto"/>
              <w:sz w:val="22"/>
              <w:szCs w:val="24"/>
              <w14:ligatures w14:val="standardContextual"/>
            </w:rPr>
            <w:tab/>
          </w:r>
          <w:r>
            <w:rPr>
              <w:rStyle w:val="29"/>
              <w:rFonts w:hint="eastAsia"/>
              <w:color w:val="auto"/>
            </w:rPr>
            <w:t>环保工程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_Toc225216700 \h</w:instrText>
          </w:r>
          <w:r>
            <w:rPr>
              <w:rFonts w:hint="eastAsia"/>
              <w:color w:val="auto"/>
            </w:rPr>
            <w:instrText xml:space="preserve"> </w:instrText>
          </w:r>
          <w:r>
            <w:rPr>
              <w:rFonts w:hint="eastAsia"/>
              <w:color w:val="auto"/>
            </w:rPr>
            <w:fldChar w:fldCharType="separate"/>
          </w:r>
          <w:r>
            <w:rPr>
              <w:color w:val="auto"/>
            </w:rPr>
            <w:t>138</w:t>
          </w:r>
          <w:r>
            <w:rPr>
              <w:rFonts w:hint="eastAsia"/>
              <w:color w:val="auto"/>
            </w:rPr>
            <w:fldChar w:fldCharType="end"/>
          </w:r>
          <w:r>
            <w:rPr>
              <w:rFonts w:hint="eastAsia"/>
              <w:color w:val="auto"/>
            </w:rPr>
            <w:fldChar w:fldCharType="end"/>
          </w:r>
        </w:p>
        <w:p w14:paraId="01C0ADD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"_Toc225216701" </w:instrText>
          </w:r>
          <w:r>
            <w:rPr>
              <w:color w:val="auto"/>
            </w:rPr>
            <w:fldChar w:fldCharType="separate"/>
          </w:r>
          <w:r>
            <w:rPr>
              <w:rStyle w:val="29"/>
              <w:rFonts w:hint="eastAsia"/>
              <w:color w:val="auto"/>
            </w:rPr>
            <w:t>3.1.11</w:t>
          </w:r>
          <w:r>
            <w:rPr>
              <w:rFonts w:hint="eastAsia" w:asciiTheme="minorHAnsi" w:hAnsiTheme="minorHAnsi" w:eastAsiaTheme="minorEastAsia"/>
              <w:color w:val="auto"/>
              <w:sz w:val="22"/>
              <w:szCs w:val="24"/>
              <w14:ligatures w14:val="standardContextual"/>
            </w:rPr>
            <w:tab/>
          </w:r>
          <w:r>
            <w:rPr>
              <w:rStyle w:val="29"/>
              <w:rFonts w:hint="eastAsia"/>
              <w:color w:val="auto"/>
            </w:rPr>
            <w:t>依托工程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_Toc225216701 \h</w:instrText>
          </w:r>
          <w:r>
            <w:rPr>
              <w:rFonts w:hint="eastAsia"/>
              <w:color w:val="auto"/>
            </w:rPr>
            <w:instrText xml:space="preserve"> </w:instrText>
          </w:r>
          <w:r>
            <w:rPr>
              <w:rFonts w:hint="eastAsia"/>
              <w:color w:val="auto"/>
            </w:rPr>
            <w:fldChar w:fldCharType="separate"/>
          </w:r>
          <w:r>
            <w:rPr>
              <w:color w:val="auto"/>
            </w:rPr>
            <w:t>141</w:t>
          </w:r>
          <w:r>
            <w:rPr>
              <w:rFonts w:hint="eastAsia"/>
              <w:color w:val="auto"/>
            </w:rPr>
            <w:fldChar w:fldCharType="end"/>
          </w:r>
          <w:r>
            <w:rPr>
              <w:rFonts w:hint="eastAsia"/>
              <w:color w:val="auto"/>
            </w:rPr>
            <w:fldChar w:fldCharType="end"/>
          </w:r>
        </w:p>
        <w:p w14:paraId="57DADF5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"_Toc225216702" </w:instrText>
          </w:r>
          <w:r>
            <w:rPr>
              <w:color w:val="auto"/>
            </w:rPr>
            <w:fldChar w:fldCharType="separate"/>
          </w:r>
          <w:r>
            <w:rPr>
              <w:rStyle w:val="29"/>
              <w:rFonts w:hint="eastAsia"/>
              <w:color w:val="auto"/>
            </w:rPr>
            <w:t>3.1.12</w:t>
          </w:r>
          <w:r>
            <w:rPr>
              <w:rFonts w:hint="eastAsia" w:asciiTheme="minorHAnsi" w:hAnsiTheme="minorHAnsi" w:eastAsiaTheme="minorEastAsia"/>
              <w:color w:val="auto"/>
              <w:sz w:val="22"/>
              <w:szCs w:val="24"/>
              <w14:ligatures w14:val="standardContextual"/>
            </w:rPr>
            <w:tab/>
          </w:r>
          <w:r>
            <w:rPr>
              <w:rStyle w:val="29"/>
              <w:rFonts w:hint="eastAsia"/>
              <w:color w:val="auto"/>
            </w:rPr>
            <w:t>相关工程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_Toc225216702 \h</w:instrText>
          </w:r>
          <w:r>
            <w:rPr>
              <w:rFonts w:hint="eastAsia"/>
              <w:color w:val="auto"/>
            </w:rPr>
            <w:instrText xml:space="preserve"> </w:instrText>
          </w:r>
          <w:r>
            <w:rPr>
              <w:rFonts w:hint="eastAsia"/>
              <w:color w:val="auto"/>
            </w:rPr>
            <w:fldChar w:fldCharType="separate"/>
          </w:r>
          <w:r>
            <w:rPr>
              <w:color w:val="auto"/>
            </w:rPr>
            <w:t>141</w:t>
          </w:r>
          <w:r>
            <w:rPr>
              <w:rFonts w:hint="eastAsia"/>
              <w:color w:val="auto"/>
            </w:rPr>
            <w:fldChar w:fldCharType="end"/>
          </w:r>
          <w:r>
            <w:rPr>
              <w:rFonts w:hint="eastAsia"/>
              <w:color w:val="auto"/>
            </w:rPr>
            <w:fldChar w:fldCharType="end"/>
          </w:r>
        </w:p>
        <w:p w14:paraId="02B7B1BB">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"_Toc225216703" </w:instrText>
          </w:r>
          <w:r>
            <w:rPr>
              <w:color w:val="auto"/>
            </w:rPr>
            <w:fldChar w:fldCharType="separate"/>
          </w:r>
          <w:r>
            <w:rPr>
              <w:rStyle w:val="29"/>
              <w:rFonts w:hint="eastAsia"/>
              <w:color w:val="auto"/>
            </w:rPr>
            <w:t>3.2</w:t>
          </w:r>
          <w:r>
            <w:rPr>
              <w:rFonts w:hint="eastAsia" w:asciiTheme="minorHAnsi" w:hAnsiTheme="minorHAnsi" w:eastAsiaTheme="minorEastAsia"/>
              <w:color w:val="auto"/>
              <w:sz w:val="22"/>
              <w:szCs w:val="24"/>
              <w14:ligatures w14:val="standardContextual"/>
            </w:rPr>
            <w:tab/>
          </w:r>
          <w:r>
            <w:rPr>
              <w:rStyle w:val="29"/>
              <w:rFonts w:hint="eastAsia"/>
              <w:color w:val="auto"/>
            </w:rPr>
            <w:t>影响因素分析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_Toc225216703 \h</w:instrText>
          </w:r>
          <w:r>
            <w:rPr>
              <w:rFonts w:hint="eastAsia"/>
              <w:color w:val="auto"/>
            </w:rPr>
            <w:instrText xml:space="preserve"> </w:instrText>
          </w:r>
          <w:r>
            <w:rPr>
              <w:rFonts w:hint="eastAsia"/>
              <w:color w:val="auto"/>
            </w:rPr>
            <w:fldChar w:fldCharType="separate"/>
          </w:r>
          <w:r>
            <w:rPr>
              <w:color w:val="auto"/>
            </w:rPr>
            <w:t>142</w:t>
          </w:r>
          <w:r>
            <w:rPr>
              <w:rFonts w:hint="eastAsia"/>
              <w:color w:val="auto"/>
            </w:rPr>
            <w:fldChar w:fldCharType="end"/>
          </w:r>
          <w:r>
            <w:rPr>
              <w:rFonts w:hint="eastAsia"/>
              <w:color w:val="auto"/>
            </w:rPr>
            <w:fldChar w:fldCharType="end"/>
          </w:r>
        </w:p>
        <w:p w14:paraId="5C2A0D3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"_Toc225216704" </w:instrText>
          </w:r>
          <w:r>
            <w:rPr>
              <w:color w:val="auto"/>
            </w:rPr>
            <w:fldChar w:fldCharType="separate"/>
          </w:r>
          <w:r>
            <w:rPr>
              <w:rStyle w:val="29"/>
              <w:rFonts w:hint="eastAsia"/>
              <w:color w:val="auto"/>
            </w:rPr>
            <w:t>3.2.1</w:t>
          </w:r>
          <w:r>
            <w:rPr>
              <w:rFonts w:hint="eastAsia" w:asciiTheme="minorHAnsi" w:hAnsiTheme="minorHAnsi" w:eastAsiaTheme="minorEastAsia"/>
              <w:color w:val="auto"/>
              <w:sz w:val="22"/>
              <w:szCs w:val="24"/>
              <w14:ligatures w14:val="standardContextual"/>
            </w:rPr>
            <w:tab/>
          </w:r>
          <w:r>
            <w:rPr>
              <w:rStyle w:val="29"/>
              <w:rFonts w:hint="eastAsia"/>
              <w:color w:val="auto"/>
            </w:rPr>
            <w:t>生产工艺流程及产污节点分析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_Toc225216704 \h</w:instrText>
          </w:r>
          <w:r>
            <w:rPr>
              <w:rFonts w:hint="eastAsia"/>
              <w:color w:val="auto"/>
            </w:rPr>
            <w:instrText xml:space="preserve"> </w:instrText>
          </w:r>
          <w:r>
            <w:rPr>
              <w:rFonts w:hint="eastAsia"/>
              <w:color w:val="auto"/>
            </w:rPr>
            <w:fldChar w:fldCharType="separate"/>
          </w:r>
          <w:r>
            <w:rPr>
              <w:color w:val="auto"/>
            </w:rPr>
            <w:t>142</w:t>
          </w:r>
          <w:r>
            <w:rPr>
              <w:rFonts w:hint="eastAsia"/>
              <w:color w:val="auto"/>
            </w:rPr>
            <w:fldChar w:fldCharType="end"/>
          </w:r>
          <w:r>
            <w:rPr>
              <w:rFonts w:hint="eastAsia"/>
              <w:color w:val="auto"/>
            </w:rPr>
            <w:fldChar w:fldCharType="end"/>
          </w:r>
        </w:p>
        <w:p w14:paraId="544A500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"_Toc225216705" </w:instrText>
          </w:r>
          <w:r>
            <w:rPr>
              <w:color w:val="auto"/>
            </w:rPr>
            <w:fldChar w:fldCharType="separate"/>
          </w:r>
          <w:r>
            <w:rPr>
              <w:rStyle w:val="29"/>
              <w:rFonts w:hint="eastAsia"/>
              <w:color w:val="auto"/>
            </w:rPr>
            <w:t>3.2.2</w:t>
          </w:r>
          <w:r>
            <w:rPr>
              <w:rFonts w:hint="eastAsia" w:asciiTheme="minorHAnsi" w:hAnsiTheme="minorHAnsi" w:eastAsiaTheme="minorEastAsia"/>
              <w:color w:val="auto"/>
              <w:sz w:val="22"/>
              <w:szCs w:val="24"/>
              <w14:ligatures w14:val="standardContextual"/>
            </w:rPr>
            <w:tab/>
          </w:r>
          <w:r>
            <w:rPr>
              <w:rStyle w:val="29"/>
              <w:rFonts w:hint="eastAsia"/>
              <w:color w:val="auto"/>
            </w:rPr>
            <w:t>主要污染源分析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_Toc225216705 \h</w:instrText>
          </w:r>
          <w:r>
            <w:rPr>
              <w:rFonts w:hint="eastAsia"/>
              <w:color w:val="auto"/>
            </w:rPr>
            <w:instrText xml:space="preserve"> </w:instrText>
          </w:r>
          <w:r>
            <w:rPr>
              <w:rFonts w:hint="eastAsia"/>
              <w:color w:val="auto"/>
            </w:rPr>
            <w:fldChar w:fldCharType="separate"/>
          </w:r>
          <w:r>
            <w:rPr>
              <w:color w:val="auto"/>
            </w:rPr>
            <w:t>- 151 -</w:t>
          </w:r>
          <w:r>
            <w:rPr>
              <w:rFonts w:hint="eastAsia"/>
              <w:color w:val="auto"/>
            </w:rPr>
            <w:fldChar w:fldCharType="end"/>
          </w:r>
          <w:r>
            <w:rPr>
              <w:rFonts w:hint="eastAsia"/>
              <w:color w:val="auto"/>
            </w:rPr>
            <w:fldChar w:fldCharType="end"/>
          </w:r>
        </w:p>
        <w:p w14:paraId="41EDD55E">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"_Toc225216706" </w:instrText>
          </w:r>
          <w:r>
            <w:rPr>
              <w:color w:val="auto"/>
            </w:rPr>
            <w:fldChar w:fldCharType="separate"/>
          </w:r>
          <w:r>
            <w:rPr>
              <w:rStyle w:val="29"/>
              <w:rFonts w:hint="eastAsia"/>
              <w:color w:val="auto"/>
            </w:rPr>
            <w:t>3.3</w:t>
          </w:r>
          <w:r>
            <w:rPr>
              <w:rFonts w:hint="eastAsia" w:asciiTheme="minorHAnsi" w:hAnsiTheme="minorHAnsi" w:eastAsiaTheme="minorEastAsia"/>
              <w:color w:val="auto"/>
              <w:sz w:val="22"/>
              <w:szCs w:val="24"/>
              <w14:ligatures w14:val="standardContextual"/>
            </w:rPr>
            <w:tab/>
          </w:r>
          <w:r>
            <w:rPr>
              <w:rStyle w:val="29"/>
              <w:rFonts w:hint="eastAsia"/>
              <w:color w:val="auto"/>
            </w:rPr>
            <w:t>相关平衡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_Toc225216706 \h</w:instrText>
          </w:r>
          <w:r>
            <w:rPr>
              <w:rFonts w:hint="eastAsia"/>
              <w:color w:val="auto"/>
            </w:rPr>
            <w:instrText xml:space="preserve"> </w:instrText>
          </w:r>
          <w:r>
            <w:rPr>
              <w:rFonts w:hint="eastAsia"/>
              <w:color w:val="auto"/>
            </w:rPr>
            <w:fldChar w:fldCharType="separate"/>
          </w:r>
          <w:r>
            <w:rPr>
              <w:color w:val="auto"/>
            </w:rPr>
            <w:t>- 152 -</w:t>
          </w:r>
          <w:r>
            <w:rPr>
              <w:rFonts w:hint="eastAsia"/>
              <w:color w:val="auto"/>
            </w:rPr>
            <w:fldChar w:fldCharType="end"/>
          </w:r>
          <w:r>
            <w:rPr>
              <w:rFonts w:hint="eastAsia"/>
              <w:color w:val="auto"/>
            </w:rPr>
            <w:fldChar w:fldCharType="end"/>
          </w:r>
        </w:p>
        <w:p w14:paraId="5C1F5E6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"_Toc225216707" </w:instrText>
          </w:r>
          <w:r>
            <w:rPr>
              <w:color w:val="auto"/>
            </w:rPr>
            <w:fldChar w:fldCharType="separate"/>
          </w:r>
          <w:r>
            <w:rPr>
              <w:rStyle w:val="29"/>
              <w:rFonts w:hint="eastAsia"/>
              <w:color w:val="auto"/>
            </w:rPr>
            <w:t>3.3.1</w:t>
          </w:r>
          <w:r>
            <w:rPr>
              <w:rFonts w:hint="eastAsia" w:asciiTheme="minorHAnsi" w:hAnsiTheme="minorHAnsi" w:eastAsiaTheme="minorEastAsia"/>
              <w:color w:val="auto"/>
              <w:sz w:val="22"/>
              <w:szCs w:val="24"/>
              <w14:ligatures w14:val="standardContextual"/>
            </w:rPr>
            <w:tab/>
          </w:r>
          <w:r>
            <w:rPr>
              <w:rStyle w:val="29"/>
              <w:rFonts w:hint="eastAsia"/>
              <w:color w:val="auto"/>
            </w:rPr>
            <w:t>物料平衡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_Toc225216707 \h</w:instrText>
          </w:r>
          <w:r>
            <w:rPr>
              <w:rFonts w:hint="eastAsia"/>
              <w:color w:val="auto"/>
            </w:rPr>
            <w:instrText xml:space="preserve"> </w:instrText>
          </w:r>
          <w:r>
            <w:rPr>
              <w:rFonts w:hint="eastAsia"/>
              <w:color w:val="auto"/>
            </w:rPr>
            <w:fldChar w:fldCharType="separate"/>
          </w:r>
          <w:r>
            <w:rPr>
              <w:color w:val="auto"/>
            </w:rPr>
            <w:t>- 152 -</w:t>
          </w:r>
          <w:r>
            <w:rPr>
              <w:rFonts w:hint="eastAsia"/>
              <w:color w:val="auto"/>
            </w:rPr>
            <w:fldChar w:fldCharType="end"/>
          </w:r>
          <w:r>
            <w:rPr>
              <w:rFonts w:hint="eastAsia"/>
              <w:color w:val="auto"/>
            </w:rPr>
            <w:fldChar w:fldCharType="end"/>
          </w:r>
        </w:p>
        <w:p w14:paraId="3A75546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"_Toc225216708" </w:instrText>
          </w:r>
          <w:r>
            <w:rPr>
              <w:color w:val="auto"/>
            </w:rPr>
            <w:fldChar w:fldCharType="separate"/>
          </w:r>
          <w:r>
            <w:rPr>
              <w:rStyle w:val="29"/>
              <w:rFonts w:hint="eastAsia"/>
              <w:color w:val="auto"/>
            </w:rPr>
            <w:t>3.3.2</w:t>
          </w:r>
          <w:r>
            <w:rPr>
              <w:rFonts w:hint="eastAsia" w:asciiTheme="minorHAnsi" w:hAnsiTheme="minorHAnsi" w:eastAsiaTheme="minorEastAsia"/>
              <w:color w:val="auto"/>
              <w:sz w:val="22"/>
              <w:szCs w:val="24"/>
              <w14:ligatures w14:val="standardContextual"/>
            </w:rPr>
            <w:tab/>
          </w:r>
          <w:r>
            <w:rPr>
              <w:rStyle w:val="29"/>
              <w:rFonts w:hint="eastAsia"/>
              <w:color w:val="auto"/>
            </w:rPr>
            <w:t>水平衡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_Toc225216708 \h</w:instrText>
          </w:r>
          <w:r>
            <w:rPr>
              <w:rFonts w:hint="eastAsia"/>
              <w:color w:val="auto"/>
            </w:rPr>
            <w:instrText xml:space="preserve"> </w:instrText>
          </w:r>
          <w:r>
            <w:rPr>
              <w:rFonts w:hint="eastAsia"/>
              <w:color w:val="auto"/>
            </w:rPr>
            <w:fldChar w:fldCharType="separate"/>
          </w:r>
          <w:r>
            <w:rPr>
              <w:color w:val="auto"/>
            </w:rPr>
            <w:t>- 153 -</w:t>
          </w:r>
          <w:r>
            <w:rPr>
              <w:rFonts w:hint="eastAsia"/>
              <w:color w:val="auto"/>
            </w:rPr>
            <w:fldChar w:fldCharType="end"/>
          </w:r>
          <w:r>
            <w:rPr>
              <w:rFonts w:hint="eastAsia"/>
              <w:color w:val="auto"/>
            </w:rPr>
            <w:fldChar w:fldCharType="end"/>
          </w:r>
        </w:p>
        <w:p w14:paraId="4234F6F2">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"_Toc225216709" </w:instrText>
          </w:r>
          <w:r>
            <w:rPr>
              <w:color w:val="auto"/>
            </w:rPr>
            <w:fldChar w:fldCharType="separate"/>
          </w:r>
          <w:r>
            <w:rPr>
              <w:rStyle w:val="29"/>
              <w:rFonts w:hint="eastAsia"/>
              <w:color w:val="auto"/>
            </w:rPr>
            <w:t>3.4</w:t>
          </w:r>
          <w:r>
            <w:rPr>
              <w:rFonts w:hint="eastAsia" w:asciiTheme="minorHAnsi" w:hAnsiTheme="minorHAnsi" w:eastAsiaTheme="minorEastAsia"/>
              <w:color w:val="auto"/>
              <w:sz w:val="22"/>
              <w:szCs w:val="24"/>
              <w14:ligatures w14:val="standardContextual"/>
            </w:rPr>
            <w:tab/>
          </w:r>
          <w:r>
            <w:rPr>
              <w:rStyle w:val="29"/>
              <w:rFonts w:hint="eastAsia"/>
              <w:color w:val="auto"/>
            </w:rPr>
            <w:t>施工期污染源分析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_Toc225216709 \h</w:instrText>
          </w:r>
          <w:r>
            <w:rPr>
              <w:rFonts w:hint="eastAsia"/>
              <w:color w:val="auto"/>
            </w:rPr>
            <w:instrText xml:space="preserve"> </w:instrText>
          </w:r>
          <w:r>
            <w:rPr>
              <w:rFonts w:hint="eastAsia"/>
              <w:color w:val="auto"/>
            </w:rPr>
            <w:fldChar w:fldCharType="separate"/>
          </w:r>
          <w:r>
            <w:rPr>
              <w:color w:val="auto"/>
            </w:rPr>
            <w:t>- 158 -</w:t>
          </w:r>
          <w:r>
            <w:rPr>
              <w:rFonts w:hint="eastAsia"/>
              <w:color w:val="auto"/>
            </w:rPr>
            <w:fldChar w:fldCharType="end"/>
          </w:r>
          <w:r>
            <w:rPr>
              <w:rFonts w:hint="eastAsia"/>
              <w:color w:val="auto"/>
            </w:rPr>
            <w:fldChar w:fldCharType="end"/>
          </w:r>
        </w:p>
        <w:p w14:paraId="04F28CD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"_Toc225216710" </w:instrText>
          </w:r>
          <w:r>
            <w:rPr>
              <w:color w:val="auto"/>
            </w:rPr>
            <w:fldChar w:fldCharType="separate"/>
          </w:r>
          <w:r>
            <w:rPr>
              <w:rStyle w:val="29"/>
              <w:rFonts w:hint="eastAsia"/>
              <w:color w:val="auto"/>
            </w:rPr>
            <w:t>3.4.1</w:t>
          </w:r>
          <w:r>
            <w:rPr>
              <w:rFonts w:hint="eastAsia" w:asciiTheme="minorHAnsi" w:hAnsiTheme="minorHAnsi" w:eastAsiaTheme="minorEastAsia"/>
              <w:color w:val="auto"/>
              <w:sz w:val="22"/>
              <w:szCs w:val="24"/>
              <w14:ligatures w14:val="standardContextual"/>
            </w:rPr>
            <w:tab/>
          </w:r>
          <w:r>
            <w:rPr>
              <w:rStyle w:val="29"/>
              <w:rFonts w:hint="eastAsia"/>
              <w:color w:val="auto"/>
            </w:rPr>
            <w:t>施工期大气污染物</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_Toc225216710 \h</w:instrText>
          </w:r>
          <w:r>
            <w:rPr>
              <w:rFonts w:hint="eastAsia"/>
              <w:color w:val="auto"/>
            </w:rPr>
            <w:instrText xml:space="preserve"> </w:instrText>
          </w:r>
          <w:r>
            <w:rPr>
              <w:rFonts w:hint="eastAsia"/>
              <w:color w:val="auto"/>
            </w:rPr>
            <w:fldChar w:fldCharType="separate"/>
          </w:r>
          <w:r>
            <w:rPr>
              <w:color w:val="auto"/>
            </w:rPr>
            <w:t>- 158 -</w:t>
          </w:r>
          <w:r>
            <w:rPr>
              <w:rFonts w:hint="eastAsia"/>
              <w:color w:val="auto"/>
            </w:rPr>
            <w:fldChar w:fldCharType="end"/>
          </w:r>
          <w:r>
            <w:rPr>
              <w:rFonts w:hint="eastAsia"/>
              <w:color w:val="auto"/>
            </w:rPr>
            <w:fldChar w:fldCharType="end"/>
          </w:r>
        </w:p>
        <w:p w14:paraId="6811CF4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"_Toc225216711" </w:instrText>
          </w:r>
          <w:r>
            <w:rPr>
              <w:color w:val="auto"/>
            </w:rPr>
            <w:fldChar w:fldCharType="separate"/>
          </w:r>
          <w:r>
            <w:rPr>
              <w:rStyle w:val="29"/>
              <w:rFonts w:hint="eastAsia"/>
              <w:color w:val="auto"/>
            </w:rPr>
            <w:t>3.4.2</w:t>
          </w:r>
          <w:r>
            <w:rPr>
              <w:rFonts w:hint="eastAsia" w:asciiTheme="minorHAnsi" w:hAnsiTheme="minorHAnsi" w:eastAsiaTheme="minorEastAsia"/>
              <w:color w:val="auto"/>
              <w:sz w:val="22"/>
              <w:szCs w:val="24"/>
              <w14:ligatures w14:val="standardContextual"/>
            </w:rPr>
            <w:tab/>
          </w:r>
          <w:r>
            <w:rPr>
              <w:rStyle w:val="29"/>
              <w:rFonts w:hint="eastAsia"/>
              <w:color w:val="auto"/>
            </w:rPr>
            <w:t>施工期废水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_Toc225216711 \h</w:instrText>
          </w:r>
          <w:r>
            <w:rPr>
              <w:rFonts w:hint="eastAsia"/>
              <w:color w:val="auto"/>
            </w:rPr>
            <w:instrText xml:space="preserve"> </w:instrText>
          </w:r>
          <w:r>
            <w:rPr>
              <w:rFonts w:hint="eastAsia"/>
              <w:color w:val="auto"/>
            </w:rPr>
            <w:fldChar w:fldCharType="separate"/>
          </w:r>
          <w:r>
            <w:rPr>
              <w:color w:val="auto"/>
            </w:rPr>
            <w:t>- 159 -</w:t>
          </w:r>
          <w:r>
            <w:rPr>
              <w:rFonts w:hint="eastAsia"/>
              <w:color w:val="auto"/>
            </w:rPr>
            <w:fldChar w:fldCharType="end"/>
          </w:r>
          <w:r>
            <w:rPr>
              <w:rFonts w:hint="eastAsia"/>
              <w:color w:val="auto"/>
            </w:rPr>
            <w:fldChar w:fldCharType="end"/>
          </w:r>
        </w:p>
        <w:p w14:paraId="0E4A837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"_Toc225216712" </w:instrText>
          </w:r>
          <w:r>
            <w:rPr>
              <w:color w:val="auto"/>
            </w:rPr>
            <w:fldChar w:fldCharType="separate"/>
          </w:r>
          <w:r>
            <w:rPr>
              <w:rStyle w:val="29"/>
              <w:rFonts w:hint="eastAsia"/>
              <w:color w:val="auto"/>
            </w:rPr>
            <w:t>3.4.3</w:t>
          </w:r>
          <w:r>
            <w:rPr>
              <w:rFonts w:hint="eastAsia" w:asciiTheme="minorHAnsi" w:hAnsiTheme="minorHAnsi" w:eastAsiaTheme="minorEastAsia"/>
              <w:color w:val="auto"/>
              <w:sz w:val="22"/>
              <w:szCs w:val="24"/>
              <w14:ligatures w14:val="standardContextual"/>
            </w:rPr>
            <w:tab/>
          </w:r>
          <w:r>
            <w:rPr>
              <w:rStyle w:val="29"/>
              <w:rFonts w:hint="eastAsia"/>
              <w:color w:val="auto"/>
            </w:rPr>
            <w:t>施工期声污染源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_Toc225216712 \h</w:instrText>
          </w:r>
          <w:r>
            <w:rPr>
              <w:rFonts w:hint="eastAsia"/>
              <w:color w:val="auto"/>
            </w:rPr>
            <w:instrText xml:space="preserve"> </w:instrText>
          </w:r>
          <w:r>
            <w:rPr>
              <w:rFonts w:hint="eastAsia"/>
              <w:color w:val="auto"/>
            </w:rPr>
            <w:fldChar w:fldCharType="separate"/>
          </w:r>
          <w:r>
            <w:rPr>
              <w:color w:val="auto"/>
            </w:rPr>
            <w:t>- 160 -</w:t>
          </w:r>
          <w:r>
            <w:rPr>
              <w:rFonts w:hint="eastAsia"/>
              <w:color w:val="auto"/>
            </w:rPr>
            <w:fldChar w:fldCharType="end"/>
          </w:r>
          <w:r>
            <w:rPr>
              <w:rFonts w:hint="eastAsia"/>
              <w:color w:val="auto"/>
            </w:rPr>
            <w:fldChar w:fldCharType="end"/>
          </w:r>
        </w:p>
        <w:p w14:paraId="5BA2DC9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"_Toc225216713" </w:instrText>
          </w:r>
          <w:r>
            <w:rPr>
              <w:color w:val="auto"/>
            </w:rPr>
            <w:fldChar w:fldCharType="separate"/>
          </w:r>
          <w:r>
            <w:rPr>
              <w:rStyle w:val="29"/>
              <w:rFonts w:hint="eastAsia"/>
              <w:color w:val="auto"/>
            </w:rPr>
            <w:t>3.4.4</w:t>
          </w:r>
          <w:r>
            <w:rPr>
              <w:rFonts w:hint="eastAsia" w:asciiTheme="minorHAnsi" w:hAnsiTheme="minorHAnsi" w:eastAsiaTheme="minorEastAsia"/>
              <w:color w:val="auto"/>
              <w:sz w:val="22"/>
              <w:szCs w:val="24"/>
              <w14:ligatures w14:val="standardContextual"/>
            </w:rPr>
            <w:tab/>
          </w:r>
          <w:r>
            <w:rPr>
              <w:rStyle w:val="29"/>
              <w:rFonts w:hint="eastAsia"/>
              <w:color w:val="auto"/>
            </w:rPr>
            <w:t>施工期固体废物</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_Toc225216713 \h</w:instrText>
          </w:r>
          <w:r>
            <w:rPr>
              <w:rFonts w:hint="eastAsia"/>
              <w:color w:val="auto"/>
            </w:rPr>
            <w:instrText xml:space="preserve"> </w:instrText>
          </w:r>
          <w:r>
            <w:rPr>
              <w:rFonts w:hint="eastAsia"/>
              <w:color w:val="auto"/>
            </w:rPr>
            <w:fldChar w:fldCharType="separate"/>
          </w:r>
          <w:r>
            <w:rPr>
              <w:color w:val="auto"/>
            </w:rPr>
            <w:t>- 161 -</w:t>
          </w:r>
          <w:r>
            <w:rPr>
              <w:rFonts w:hint="eastAsia"/>
              <w:color w:val="auto"/>
            </w:rPr>
            <w:fldChar w:fldCharType="end"/>
          </w:r>
          <w:r>
            <w:rPr>
              <w:rFonts w:hint="eastAsia"/>
              <w:color w:val="auto"/>
            </w:rPr>
            <w:fldChar w:fldCharType="end"/>
          </w:r>
        </w:p>
        <w:p w14:paraId="11F5CE66">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"_Toc225216714" </w:instrText>
          </w:r>
          <w:r>
            <w:rPr>
              <w:color w:val="auto"/>
            </w:rPr>
            <w:fldChar w:fldCharType="separate"/>
          </w:r>
          <w:r>
            <w:rPr>
              <w:rStyle w:val="29"/>
              <w:rFonts w:hint="eastAsia"/>
              <w:color w:val="auto"/>
            </w:rPr>
            <w:t>3.5</w:t>
          </w:r>
          <w:r>
            <w:rPr>
              <w:rFonts w:hint="eastAsia" w:asciiTheme="minorHAnsi" w:hAnsiTheme="minorHAnsi" w:eastAsiaTheme="minorEastAsia"/>
              <w:color w:val="auto"/>
              <w:sz w:val="22"/>
              <w:szCs w:val="24"/>
              <w14:ligatures w14:val="standardContextual"/>
            </w:rPr>
            <w:tab/>
          </w:r>
          <w:r>
            <w:rPr>
              <w:rStyle w:val="29"/>
              <w:rFonts w:hint="eastAsia"/>
              <w:color w:val="auto"/>
            </w:rPr>
            <w:t>运营期污染源分析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_Toc225216714 \h</w:instrText>
          </w:r>
          <w:r>
            <w:rPr>
              <w:rFonts w:hint="eastAsia"/>
              <w:color w:val="auto"/>
            </w:rPr>
            <w:instrText xml:space="preserve"> </w:instrText>
          </w:r>
          <w:r>
            <w:rPr>
              <w:rFonts w:hint="eastAsia"/>
              <w:color w:val="auto"/>
            </w:rPr>
            <w:fldChar w:fldCharType="separate"/>
          </w:r>
          <w:r>
            <w:rPr>
              <w:color w:val="auto"/>
            </w:rPr>
            <w:t>- 162 -</w:t>
          </w:r>
          <w:r>
            <w:rPr>
              <w:rFonts w:hint="eastAsia"/>
              <w:color w:val="auto"/>
            </w:rPr>
            <w:fldChar w:fldCharType="end"/>
          </w:r>
          <w:r>
            <w:rPr>
              <w:rFonts w:hint="eastAsia"/>
              <w:color w:val="auto"/>
            </w:rPr>
            <w:fldChar w:fldCharType="end"/>
          </w:r>
        </w:p>
        <w:p w14:paraId="1DFBD95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"_Toc225216715" </w:instrText>
          </w:r>
          <w:r>
            <w:rPr>
              <w:color w:val="auto"/>
            </w:rPr>
            <w:fldChar w:fldCharType="separate"/>
          </w:r>
          <w:r>
            <w:rPr>
              <w:rStyle w:val="29"/>
              <w:rFonts w:hint="eastAsia"/>
              <w:color w:val="auto"/>
            </w:rPr>
            <w:t>3.5.1</w:t>
          </w:r>
          <w:r>
            <w:rPr>
              <w:rFonts w:hint="eastAsia" w:asciiTheme="minorHAnsi" w:hAnsiTheme="minorHAnsi" w:eastAsiaTheme="minorEastAsia"/>
              <w:color w:val="auto"/>
              <w:sz w:val="22"/>
              <w:szCs w:val="24"/>
              <w14:ligatures w14:val="standardContextual"/>
            </w:rPr>
            <w:tab/>
          </w:r>
          <w:r>
            <w:rPr>
              <w:rStyle w:val="29"/>
              <w:rFonts w:hint="eastAsia"/>
              <w:color w:val="auto"/>
            </w:rPr>
            <w:t>废气源强分析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_Toc225216715 \h</w:instrText>
          </w:r>
          <w:r>
            <w:rPr>
              <w:rFonts w:hint="eastAsia"/>
              <w:color w:val="auto"/>
            </w:rPr>
            <w:instrText xml:space="preserve"> </w:instrText>
          </w:r>
          <w:r>
            <w:rPr>
              <w:rFonts w:hint="eastAsia"/>
              <w:color w:val="auto"/>
            </w:rPr>
            <w:fldChar w:fldCharType="separate"/>
          </w:r>
          <w:r>
            <w:rPr>
              <w:color w:val="auto"/>
            </w:rPr>
            <w:t>- 162 -</w:t>
          </w:r>
          <w:r>
            <w:rPr>
              <w:rFonts w:hint="eastAsia"/>
              <w:color w:val="auto"/>
            </w:rPr>
            <w:fldChar w:fldCharType="end"/>
          </w:r>
          <w:r>
            <w:rPr>
              <w:rFonts w:hint="eastAsia"/>
              <w:color w:val="auto"/>
            </w:rPr>
            <w:fldChar w:fldCharType="end"/>
          </w:r>
        </w:p>
        <w:p w14:paraId="61CE114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"_Toc225216716" </w:instrText>
          </w:r>
          <w:r>
            <w:rPr>
              <w:color w:val="auto"/>
            </w:rPr>
            <w:fldChar w:fldCharType="separate"/>
          </w:r>
          <w:r>
            <w:rPr>
              <w:rStyle w:val="29"/>
              <w:rFonts w:hint="eastAsia"/>
              <w:color w:val="auto"/>
            </w:rPr>
            <w:t>3.5.2</w:t>
          </w:r>
          <w:r>
            <w:rPr>
              <w:rFonts w:hint="eastAsia" w:asciiTheme="minorHAnsi" w:hAnsiTheme="minorHAnsi" w:eastAsiaTheme="minorEastAsia"/>
              <w:color w:val="auto"/>
              <w:sz w:val="22"/>
              <w:szCs w:val="24"/>
              <w14:ligatures w14:val="standardContextual"/>
            </w:rPr>
            <w:tab/>
          </w:r>
          <w:r>
            <w:rPr>
              <w:rStyle w:val="29"/>
              <w:rFonts w:hint="eastAsia"/>
              <w:color w:val="auto"/>
            </w:rPr>
            <w:t>废水源强分析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_Toc225216716 \h</w:instrText>
          </w:r>
          <w:r>
            <w:rPr>
              <w:rFonts w:hint="eastAsia"/>
              <w:color w:val="auto"/>
            </w:rPr>
            <w:instrText xml:space="preserve"> </w:instrText>
          </w:r>
          <w:r>
            <w:rPr>
              <w:rFonts w:hint="eastAsia"/>
              <w:color w:val="auto"/>
            </w:rPr>
            <w:fldChar w:fldCharType="separate"/>
          </w:r>
          <w:r>
            <w:rPr>
              <w:color w:val="auto"/>
            </w:rPr>
            <w:t>175</w:t>
          </w:r>
          <w:r>
            <w:rPr>
              <w:rFonts w:hint="eastAsia"/>
              <w:color w:val="auto"/>
            </w:rPr>
            <w:fldChar w:fldCharType="end"/>
          </w:r>
          <w:r>
            <w:rPr>
              <w:rFonts w:hint="eastAsia"/>
              <w:color w:val="auto"/>
            </w:rPr>
            <w:fldChar w:fldCharType="end"/>
          </w:r>
        </w:p>
        <w:p w14:paraId="397AE5B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"_Toc225216717" </w:instrText>
          </w:r>
          <w:r>
            <w:rPr>
              <w:color w:val="auto"/>
            </w:rPr>
            <w:fldChar w:fldCharType="separate"/>
          </w:r>
          <w:r>
            <w:rPr>
              <w:rStyle w:val="29"/>
              <w:rFonts w:hint="eastAsia"/>
              <w:color w:val="auto"/>
            </w:rPr>
            <w:t>3.5.3</w:t>
          </w:r>
          <w:r>
            <w:rPr>
              <w:rFonts w:hint="eastAsia" w:asciiTheme="minorHAnsi" w:hAnsiTheme="minorHAnsi" w:eastAsiaTheme="minorEastAsia"/>
              <w:color w:val="auto"/>
              <w:sz w:val="22"/>
              <w:szCs w:val="24"/>
              <w14:ligatures w14:val="standardContextual"/>
            </w:rPr>
            <w:tab/>
          </w:r>
          <w:r>
            <w:rPr>
              <w:rStyle w:val="29"/>
              <w:rFonts w:hint="eastAsia"/>
              <w:color w:val="auto"/>
            </w:rPr>
            <w:t>噪声源强分析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_Toc225216717 \h</w:instrText>
          </w:r>
          <w:r>
            <w:rPr>
              <w:rFonts w:hint="eastAsia"/>
              <w:color w:val="auto"/>
            </w:rPr>
            <w:instrText xml:space="preserve"> </w:instrText>
          </w:r>
          <w:r>
            <w:rPr>
              <w:rFonts w:hint="eastAsia"/>
              <w:color w:val="auto"/>
            </w:rPr>
            <w:fldChar w:fldCharType="separate"/>
          </w:r>
          <w:r>
            <w:rPr>
              <w:color w:val="auto"/>
            </w:rPr>
            <w:t>178</w:t>
          </w:r>
          <w:r>
            <w:rPr>
              <w:rFonts w:hint="eastAsia"/>
              <w:color w:val="auto"/>
            </w:rPr>
            <w:fldChar w:fldCharType="end"/>
          </w:r>
          <w:r>
            <w:rPr>
              <w:rFonts w:hint="eastAsia"/>
              <w:color w:val="auto"/>
            </w:rPr>
            <w:fldChar w:fldCharType="end"/>
          </w:r>
        </w:p>
        <w:p w14:paraId="3ACB1AB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"_Toc225216718" </w:instrText>
          </w:r>
          <w:r>
            <w:rPr>
              <w:color w:val="auto"/>
            </w:rPr>
            <w:fldChar w:fldCharType="separate"/>
          </w:r>
          <w:r>
            <w:rPr>
              <w:rStyle w:val="29"/>
              <w:rFonts w:hint="eastAsia"/>
              <w:color w:val="auto"/>
            </w:rPr>
            <w:t>3.5.4</w:t>
          </w:r>
          <w:r>
            <w:rPr>
              <w:rFonts w:hint="eastAsia" w:asciiTheme="minorHAnsi" w:hAnsiTheme="minorHAnsi" w:eastAsiaTheme="minorEastAsia"/>
              <w:color w:val="auto"/>
              <w:sz w:val="22"/>
              <w:szCs w:val="24"/>
              <w14:ligatures w14:val="standardContextual"/>
            </w:rPr>
            <w:tab/>
          </w:r>
          <w:r>
            <w:rPr>
              <w:rStyle w:val="29"/>
              <w:rFonts w:hint="eastAsia"/>
              <w:color w:val="auto"/>
            </w:rPr>
            <w:t>固体废物源强分析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_Toc225216718 \h</w:instrText>
          </w:r>
          <w:r>
            <w:rPr>
              <w:rFonts w:hint="eastAsia"/>
              <w:color w:val="auto"/>
            </w:rPr>
            <w:instrText xml:space="preserve"> </w:instrText>
          </w:r>
          <w:r>
            <w:rPr>
              <w:rFonts w:hint="eastAsia"/>
              <w:color w:val="auto"/>
            </w:rPr>
            <w:fldChar w:fldCharType="separate"/>
          </w:r>
          <w:r>
            <w:rPr>
              <w:color w:val="auto"/>
            </w:rPr>
            <w:t>178</w:t>
          </w:r>
          <w:r>
            <w:rPr>
              <w:rFonts w:hint="eastAsia"/>
              <w:color w:val="auto"/>
            </w:rPr>
            <w:fldChar w:fldCharType="end"/>
          </w:r>
          <w:r>
            <w:rPr>
              <w:rFonts w:hint="eastAsia"/>
              <w:color w:val="auto"/>
            </w:rPr>
            <w:fldChar w:fldCharType="end"/>
          </w:r>
        </w:p>
        <w:p w14:paraId="1CCC764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"_Toc225216719" </w:instrText>
          </w:r>
          <w:r>
            <w:rPr>
              <w:color w:val="auto"/>
            </w:rPr>
            <w:fldChar w:fldCharType="separate"/>
          </w:r>
          <w:r>
            <w:rPr>
              <w:rStyle w:val="29"/>
              <w:rFonts w:hint="eastAsia"/>
              <w:color w:val="auto"/>
            </w:rPr>
            <w:t>3.5.5</w:t>
          </w:r>
          <w:r>
            <w:rPr>
              <w:rFonts w:hint="eastAsia" w:asciiTheme="minorHAnsi" w:hAnsiTheme="minorHAnsi" w:eastAsiaTheme="minorEastAsia"/>
              <w:color w:val="auto"/>
              <w:sz w:val="22"/>
              <w:szCs w:val="24"/>
              <w14:ligatures w14:val="standardContextual"/>
            </w:rPr>
            <w:tab/>
          </w:r>
          <w:r>
            <w:rPr>
              <w:rStyle w:val="29"/>
              <w:rFonts w:hint="eastAsia"/>
              <w:color w:val="auto"/>
            </w:rPr>
            <w:t>工程“三废”情况排放汇总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_Toc225216719 \h</w:instrText>
          </w:r>
          <w:r>
            <w:rPr>
              <w:rFonts w:hint="eastAsia"/>
              <w:color w:val="auto"/>
            </w:rPr>
            <w:instrText xml:space="preserve"> </w:instrText>
          </w:r>
          <w:r>
            <w:rPr>
              <w:rFonts w:hint="eastAsia"/>
              <w:color w:val="auto"/>
            </w:rPr>
            <w:fldChar w:fldCharType="separate"/>
          </w:r>
          <w:r>
            <w:rPr>
              <w:color w:val="auto"/>
            </w:rPr>
            <w:t>181</w:t>
          </w:r>
          <w:r>
            <w:rPr>
              <w:rFonts w:hint="eastAsia"/>
              <w:color w:val="auto"/>
            </w:rPr>
            <w:fldChar w:fldCharType="end"/>
          </w:r>
          <w:r>
            <w:rPr>
              <w:rFonts w:hint="eastAsia"/>
              <w:color w:val="auto"/>
            </w:rPr>
            <w:fldChar w:fldCharType="end"/>
          </w:r>
        </w:p>
        <w:p w14:paraId="6AE3856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"_Toc225216720" </w:instrText>
          </w:r>
          <w:r>
            <w:rPr>
              <w:color w:val="auto"/>
            </w:rPr>
            <w:fldChar w:fldCharType="separate"/>
          </w:r>
          <w:r>
            <w:rPr>
              <w:rStyle w:val="29"/>
              <w:rFonts w:hint="eastAsia"/>
              <w:color w:val="auto"/>
            </w:rPr>
            <w:t>3.6</w:t>
          </w:r>
          <w:r>
            <w:rPr>
              <w:rFonts w:hint="eastAsia" w:asciiTheme="minorHAnsi" w:hAnsiTheme="minorHAnsi" w:eastAsiaTheme="minorEastAsia"/>
              <w:color w:val="auto"/>
              <w:sz w:val="22"/>
              <w:szCs w:val="24"/>
              <w14:ligatures w14:val="standardContextual"/>
            </w:rPr>
            <w:tab/>
          </w:r>
          <w:r>
            <w:rPr>
              <w:rStyle w:val="29"/>
              <w:rFonts w:hint="eastAsia"/>
              <w:color w:val="auto"/>
            </w:rPr>
            <w:t>清洁生产分析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_Toc225216720 \h</w:instrText>
          </w:r>
          <w:r>
            <w:rPr>
              <w:rFonts w:hint="eastAsia"/>
              <w:color w:val="auto"/>
            </w:rPr>
            <w:instrText xml:space="preserve"> </w:instrText>
          </w:r>
          <w:r>
            <w:rPr>
              <w:rFonts w:hint="eastAsia"/>
              <w:color w:val="auto"/>
            </w:rPr>
            <w:fldChar w:fldCharType="separate"/>
          </w:r>
          <w:r>
            <w:rPr>
              <w:color w:val="auto"/>
            </w:rPr>
            <w:t>183</w:t>
          </w:r>
          <w:r>
            <w:rPr>
              <w:rFonts w:hint="eastAsia"/>
              <w:color w:val="auto"/>
            </w:rPr>
            <w:fldChar w:fldCharType="end"/>
          </w:r>
          <w:r>
            <w:rPr>
              <w:rFonts w:hint="eastAsia"/>
              <w:color w:val="auto"/>
            </w:rPr>
            <w:fldChar w:fldCharType="end"/>
          </w:r>
        </w:p>
        <w:p w14:paraId="35816595">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"_Toc225216721" </w:instrText>
          </w:r>
          <w:r>
            <w:rPr>
              <w:color w:val="auto"/>
            </w:rPr>
            <w:fldChar w:fldCharType="separate"/>
          </w:r>
          <w:r>
            <w:rPr>
              <w:rStyle w:val="29"/>
              <w:rFonts w:hint="eastAsia"/>
              <w:color w:val="auto"/>
            </w:rPr>
            <w:t>4</w:t>
          </w:r>
          <w:r>
            <w:rPr>
              <w:rFonts w:hint="eastAsia" w:asciiTheme="minorHAnsi" w:hAnsiTheme="minorHAnsi" w:eastAsiaTheme="minorEastAsia"/>
              <w:color w:val="auto"/>
              <w:sz w:val="22"/>
              <w:szCs w:val="24"/>
              <w14:ligatures w14:val="standardContextual"/>
            </w:rPr>
            <w:tab/>
          </w:r>
          <w:r>
            <w:rPr>
              <w:rStyle w:val="29"/>
              <w:rFonts w:hint="eastAsia"/>
              <w:color w:val="auto"/>
            </w:rPr>
            <w:t>环境现状调查与评价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_Toc225216721 \h</w:instrText>
          </w:r>
          <w:r>
            <w:rPr>
              <w:rFonts w:hint="eastAsia"/>
              <w:color w:val="auto"/>
            </w:rPr>
            <w:instrText xml:space="preserve"> </w:instrText>
          </w:r>
          <w:r>
            <w:rPr>
              <w:rFonts w:hint="eastAsia"/>
              <w:color w:val="auto"/>
            </w:rPr>
            <w:fldChar w:fldCharType="separate"/>
          </w:r>
          <w:r>
            <w:rPr>
              <w:color w:val="auto"/>
            </w:rPr>
            <w:t>187</w:t>
          </w:r>
          <w:r>
            <w:rPr>
              <w:rFonts w:hint="eastAsia"/>
              <w:color w:val="auto"/>
            </w:rPr>
            <w:fldChar w:fldCharType="end"/>
          </w:r>
          <w:r>
            <w:rPr>
              <w:rFonts w:hint="eastAsia"/>
              <w:color w:val="auto"/>
            </w:rPr>
            <w:fldChar w:fldCharType="end"/>
          </w:r>
        </w:p>
        <w:p w14:paraId="4022E291">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"_Toc225216722" </w:instrText>
          </w:r>
          <w:r>
            <w:rPr>
              <w:color w:val="auto"/>
            </w:rPr>
            <w:fldChar w:fldCharType="separate"/>
          </w:r>
          <w:r>
            <w:rPr>
              <w:rStyle w:val="29"/>
              <w:rFonts w:hint="eastAsia"/>
              <w:color w:val="auto"/>
            </w:rPr>
            <w:t>4.1</w:t>
          </w:r>
          <w:r>
            <w:rPr>
              <w:rFonts w:hint="eastAsia" w:asciiTheme="minorHAnsi" w:hAnsiTheme="minorHAnsi" w:eastAsiaTheme="minorEastAsia"/>
              <w:color w:val="auto"/>
              <w:sz w:val="22"/>
              <w:szCs w:val="24"/>
              <w14:ligatures w14:val="standardContextual"/>
            </w:rPr>
            <w:tab/>
          </w:r>
          <w:r>
            <w:rPr>
              <w:rStyle w:val="29"/>
              <w:rFonts w:hint="eastAsia"/>
              <w:color w:val="auto"/>
            </w:rPr>
            <w:t>自然环境调查与评价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_Toc225216722 \h</w:instrText>
          </w:r>
          <w:r>
            <w:rPr>
              <w:rFonts w:hint="eastAsia"/>
              <w:color w:val="auto"/>
            </w:rPr>
            <w:instrText xml:space="preserve"> </w:instrText>
          </w:r>
          <w:r>
            <w:rPr>
              <w:rFonts w:hint="eastAsia"/>
              <w:color w:val="auto"/>
            </w:rPr>
            <w:fldChar w:fldCharType="separate"/>
          </w:r>
          <w:r>
            <w:rPr>
              <w:color w:val="auto"/>
            </w:rPr>
            <w:t>187</w:t>
          </w:r>
          <w:r>
            <w:rPr>
              <w:rFonts w:hint="eastAsia"/>
              <w:color w:val="auto"/>
            </w:rPr>
            <w:fldChar w:fldCharType="end"/>
          </w:r>
          <w:r>
            <w:rPr>
              <w:rFonts w:hint="eastAsia"/>
              <w:color w:val="auto"/>
            </w:rPr>
            <w:fldChar w:fldCharType="end"/>
          </w:r>
        </w:p>
        <w:p w14:paraId="155A9B9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"_Toc225216723" </w:instrText>
          </w:r>
          <w:r>
            <w:rPr>
              <w:color w:val="auto"/>
            </w:rPr>
            <w:fldChar w:fldCharType="separate"/>
          </w:r>
          <w:r>
            <w:rPr>
              <w:rStyle w:val="29"/>
              <w:rFonts w:hint="eastAsia"/>
              <w:color w:val="auto"/>
            </w:rPr>
            <w:t>4.1.1</w:t>
          </w:r>
          <w:r>
            <w:rPr>
              <w:rFonts w:hint="eastAsia" w:asciiTheme="minorHAnsi" w:hAnsiTheme="minorHAnsi" w:eastAsiaTheme="minorEastAsia"/>
              <w:color w:val="auto"/>
              <w:sz w:val="22"/>
              <w:szCs w:val="24"/>
              <w14:ligatures w14:val="standardContextual"/>
            </w:rPr>
            <w:tab/>
          </w:r>
          <w:r>
            <w:rPr>
              <w:rStyle w:val="29"/>
              <w:rFonts w:hint="eastAsia"/>
              <w:color w:val="auto"/>
            </w:rPr>
            <w:t>地理位置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_Toc225216723 \h</w:instrText>
          </w:r>
          <w:r>
            <w:rPr>
              <w:rFonts w:hint="eastAsia"/>
              <w:color w:val="auto"/>
            </w:rPr>
            <w:instrText xml:space="preserve"> </w:instrText>
          </w:r>
          <w:r>
            <w:rPr>
              <w:rFonts w:hint="eastAsia"/>
              <w:color w:val="auto"/>
            </w:rPr>
            <w:fldChar w:fldCharType="separate"/>
          </w:r>
          <w:r>
            <w:rPr>
              <w:color w:val="auto"/>
            </w:rPr>
            <w:t>187</w:t>
          </w:r>
          <w:r>
            <w:rPr>
              <w:rFonts w:hint="eastAsia"/>
              <w:color w:val="auto"/>
            </w:rPr>
            <w:fldChar w:fldCharType="end"/>
          </w:r>
          <w:r>
            <w:rPr>
              <w:rFonts w:hint="eastAsia"/>
              <w:color w:val="auto"/>
            </w:rPr>
            <w:fldChar w:fldCharType="end"/>
          </w:r>
        </w:p>
        <w:p w14:paraId="500E905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"_Toc225216724" </w:instrText>
          </w:r>
          <w:r>
            <w:rPr>
              <w:color w:val="auto"/>
            </w:rPr>
            <w:fldChar w:fldCharType="separate"/>
          </w:r>
          <w:r>
            <w:rPr>
              <w:rStyle w:val="29"/>
              <w:rFonts w:hint="eastAsia"/>
              <w:color w:val="auto"/>
            </w:rPr>
            <w:t>4.1.2</w:t>
          </w:r>
          <w:r>
            <w:rPr>
              <w:rFonts w:hint="eastAsia" w:asciiTheme="minorHAnsi" w:hAnsiTheme="minorHAnsi" w:eastAsiaTheme="minorEastAsia"/>
              <w:color w:val="auto"/>
              <w:sz w:val="22"/>
              <w:szCs w:val="24"/>
              <w14:ligatures w14:val="standardContextual"/>
            </w:rPr>
            <w:tab/>
          </w:r>
          <w:r>
            <w:rPr>
              <w:rStyle w:val="29"/>
              <w:rFonts w:hint="eastAsia"/>
              <w:color w:val="auto"/>
            </w:rPr>
            <w:t>气候气象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_Toc225216724 \h</w:instrText>
          </w:r>
          <w:r>
            <w:rPr>
              <w:rFonts w:hint="eastAsia"/>
              <w:color w:val="auto"/>
            </w:rPr>
            <w:instrText xml:space="preserve"> </w:instrText>
          </w:r>
          <w:r>
            <w:rPr>
              <w:rFonts w:hint="eastAsia"/>
              <w:color w:val="auto"/>
            </w:rPr>
            <w:fldChar w:fldCharType="separate"/>
          </w:r>
          <w:r>
            <w:rPr>
              <w:color w:val="auto"/>
            </w:rPr>
            <w:t>187</w:t>
          </w:r>
          <w:r>
            <w:rPr>
              <w:rFonts w:hint="eastAsia"/>
              <w:color w:val="auto"/>
            </w:rPr>
            <w:fldChar w:fldCharType="end"/>
          </w:r>
          <w:r>
            <w:rPr>
              <w:rFonts w:hint="eastAsia"/>
              <w:color w:val="auto"/>
            </w:rPr>
            <w:fldChar w:fldCharType="end"/>
          </w:r>
        </w:p>
        <w:p w14:paraId="59C4602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"_Toc225216725" </w:instrText>
          </w:r>
          <w:r>
            <w:rPr>
              <w:color w:val="auto"/>
            </w:rPr>
            <w:fldChar w:fldCharType="separate"/>
          </w:r>
          <w:r>
            <w:rPr>
              <w:rStyle w:val="29"/>
              <w:rFonts w:hint="eastAsia"/>
              <w:color w:val="auto"/>
            </w:rPr>
            <w:t>4.1.3</w:t>
          </w:r>
          <w:r>
            <w:rPr>
              <w:rFonts w:hint="eastAsia" w:asciiTheme="minorHAnsi" w:hAnsiTheme="minorHAnsi" w:eastAsiaTheme="minorEastAsia"/>
              <w:color w:val="auto"/>
              <w:sz w:val="22"/>
              <w:szCs w:val="24"/>
              <w14:ligatures w14:val="standardContextual"/>
            </w:rPr>
            <w:tab/>
          </w:r>
          <w:r>
            <w:rPr>
              <w:rStyle w:val="29"/>
              <w:rFonts w:hint="eastAsia"/>
              <w:color w:val="auto"/>
            </w:rPr>
            <w:t>区域地形地貌</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_Toc225216725 \h</w:instrText>
          </w:r>
          <w:r>
            <w:rPr>
              <w:rFonts w:hint="eastAsia"/>
              <w:color w:val="auto"/>
            </w:rPr>
            <w:instrText xml:space="preserve"> </w:instrText>
          </w:r>
          <w:r>
            <w:rPr>
              <w:rFonts w:hint="eastAsia"/>
              <w:color w:val="auto"/>
            </w:rPr>
            <w:fldChar w:fldCharType="separate"/>
          </w:r>
          <w:r>
            <w:rPr>
              <w:color w:val="auto"/>
            </w:rPr>
            <w:t>187</w:t>
          </w:r>
          <w:r>
            <w:rPr>
              <w:rFonts w:hint="eastAsia"/>
              <w:color w:val="auto"/>
            </w:rPr>
            <w:fldChar w:fldCharType="end"/>
          </w:r>
          <w:r>
            <w:rPr>
              <w:rFonts w:hint="eastAsia"/>
              <w:color w:val="auto"/>
            </w:rPr>
            <w:fldChar w:fldCharType="end"/>
          </w:r>
        </w:p>
        <w:p w14:paraId="5DAA80E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"_Toc225216726" </w:instrText>
          </w:r>
          <w:r>
            <w:rPr>
              <w:color w:val="auto"/>
            </w:rPr>
            <w:fldChar w:fldCharType="separate"/>
          </w:r>
          <w:r>
            <w:rPr>
              <w:rStyle w:val="29"/>
              <w:rFonts w:hint="eastAsia"/>
              <w:color w:val="auto"/>
            </w:rPr>
            <w:t>4.1.4</w:t>
          </w:r>
          <w:r>
            <w:rPr>
              <w:rFonts w:hint="eastAsia" w:asciiTheme="minorHAnsi" w:hAnsiTheme="minorHAnsi" w:eastAsiaTheme="minorEastAsia"/>
              <w:color w:val="auto"/>
              <w:sz w:val="22"/>
              <w:szCs w:val="24"/>
              <w14:ligatures w14:val="standardContextual"/>
            </w:rPr>
            <w:tab/>
          </w:r>
          <w:r>
            <w:rPr>
              <w:rStyle w:val="29"/>
              <w:rFonts w:hint="eastAsia"/>
              <w:color w:val="auto"/>
            </w:rPr>
            <w:t>区域地质构造</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_Toc225216726 \h</w:instrText>
          </w:r>
          <w:r>
            <w:rPr>
              <w:rFonts w:hint="eastAsia"/>
              <w:color w:val="auto"/>
            </w:rPr>
            <w:instrText xml:space="preserve"> </w:instrText>
          </w:r>
          <w:r>
            <w:rPr>
              <w:rFonts w:hint="eastAsia"/>
              <w:color w:val="auto"/>
            </w:rPr>
            <w:fldChar w:fldCharType="separate"/>
          </w:r>
          <w:r>
            <w:rPr>
              <w:color w:val="auto"/>
            </w:rPr>
            <w:t>189</w:t>
          </w:r>
          <w:r>
            <w:rPr>
              <w:rFonts w:hint="eastAsia"/>
              <w:color w:val="auto"/>
            </w:rPr>
            <w:fldChar w:fldCharType="end"/>
          </w:r>
          <w:r>
            <w:rPr>
              <w:rFonts w:hint="eastAsia"/>
              <w:color w:val="auto"/>
            </w:rPr>
            <w:fldChar w:fldCharType="end"/>
          </w:r>
        </w:p>
        <w:p w14:paraId="711F0C1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"_Toc225216727" </w:instrText>
          </w:r>
          <w:r>
            <w:rPr>
              <w:color w:val="auto"/>
            </w:rPr>
            <w:fldChar w:fldCharType="separate"/>
          </w:r>
          <w:r>
            <w:rPr>
              <w:rStyle w:val="29"/>
              <w:rFonts w:hint="eastAsia"/>
              <w:color w:val="auto"/>
            </w:rPr>
            <w:t>4.1.5</w:t>
          </w:r>
          <w:r>
            <w:rPr>
              <w:rFonts w:hint="eastAsia" w:asciiTheme="minorHAnsi" w:hAnsiTheme="minorHAnsi" w:eastAsiaTheme="minorEastAsia"/>
              <w:color w:val="auto"/>
              <w:sz w:val="22"/>
              <w:szCs w:val="24"/>
              <w14:ligatures w14:val="standardContextual"/>
            </w:rPr>
            <w:tab/>
          </w:r>
          <w:r>
            <w:rPr>
              <w:rStyle w:val="29"/>
              <w:rFonts w:hint="eastAsia"/>
              <w:color w:val="auto"/>
            </w:rPr>
            <w:t>区域水文地质条件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_Toc225216727 \h</w:instrText>
          </w:r>
          <w:r>
            <w:rPr>
              <w:rFonts w:hint="eastAsia"/>
              <w:color w:val="auto"/>
            </w:rPr>
            <w:instrText xml:space="preserve"> </w:instrText>
          </w:r>
          <w:r>
            <w:rPr>
              <w:rFonts w:hint="eastAsia"/>
              <w:color w:val="auto"/>
            </w:rPr>
            <w:fldChar w:fldCharType="separate"/>
          </w:r>
          <w:r>
            <w:rPr>
              <w:color w:val="auto"/>
            </w:rPr>
            <w:t>190</w:t>
          </w:r>
          <w:r>
            <w:rPr>
              <w:rFonts w:hint="eastAsia"/>
              <w:color w:val="auto"/>
            </w:rPr>
            <w:fldChar w:fldCharType="end"/>
          </w:r>
          <w:r>
            <w:rPr>
              <w:rFonts w:hint="eastAsia"/>
              <w:color w:val="auto"/>
            </w:rPr>
            <w:fldChar w:fldCharType="end"/>
          </w:r>
        </w:p>
        <w:p w14:paraId="4F2055E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"_Toc225216728" </w:instrText>
          </w:r>
          <w:r>
            <w:rPr>
              <w:color w:val="auto"/>
            </w:rPr>
            <w:fldChar w:fldCharType="separate"/>
          </w:r>
          <w:r>
            <w:rPr>
              <w:rStyle w:val="29"/>
              <w:rFonts w:hint="eastAsia"/>
              <w:color w:val="auto"/>
            </w:rPr>
            <w:t>4.1.6</w:t>
          </w:r>
          <w:r>
            <w:rPr>
              <w:rFonts w:hint="eastAsia" w:asciiTheme="minorHAnsi" w:hAnsiTheme="minorHAnsi" w:eastAsiaTheme="minorEastAsia"/>
              <w:color w:val="auto"/>
              <w:sz w:val="22"/>
              <w:szCs w:val="24"/>
              <w14:ligatures w14:val="standardContextual"/>
            </w:rPr>
            <w:tab/>
          </w:r>
          <w:r>
            <w:rPr>
              <w:rStyle w:val="29"/>
              <w:rFonts w:hint="eastAsia"/>
              <w:color w:val="auto"/>
            </w:rPr>
            <w:t>场地水文地质条件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_Toc225216728 \h</w:instrText>
          </w:r>
          <w:r>
            <w:rPr>
              <w:rFonts w:hint="eastAsia"/>
              <w:color w:val="auto"/>
            </w:rPr>
            <w:instrText xml:space="preserve"> </w:instrText>
          </w:r>
          <w:r>
            <w:rPr>
              <w:rFonts w:hint="eastAsia"/>
              <w:color w:val="auto"/>
            </w:rPr>
            <w:fldChar w:fldCharType="separate"/>
          </w:r>
          <w:r>
            <w:rPr>
              <w:color w:val="auto"/>
            </w:rPr>
            <w:t>192</w:t>
          </w:r>
          <w:r>
            <w:rPr>
              <w:rFonts w:hint="eastAsia"/>
              <w:color w:val="auto"/>
            </w:rPr>
            <w:fldChar w:fldCharType="end"/>
          </w:r>
          <w:r>
            <w:rPr>
              <w:rFonts w:hint="eastAsia"/>
              <w:color w:val="auto"/>
            </w:rPr>
            <w:fldChar w:fldCharType="end"/>
          </w:r>
        </w:p>
        <w:p w14:paraId="268B6C2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"_Toc225216729" </w:instrText>
          </w:r>
          <w:r>
            <w:rPr>
              <w:color w:val="auto"/>
            </w:rPr>
            <w:fldChar w:fldCharType="separate"/>
          </w:r>
          <w:r>
            <w:rPr>
              <w:rStyle w:val="29"/>
              <w:rFonts w:hint="eastAsia"/>
              <w:color w:val="auto"/>
            </w:rPr>
            <w:t>4.1.7</w:t>
          </w:r>
          <w:r>
            <w:rPr>
              <w:rFonts w:hint="eastAsia" w:asciiTheme="minorHAnsi" w:hAnsiTheme="minorHAnsi" w:eastAsiaTheme="minorEastAsia"/>
              <w:color w:val="auto"/>
              <w:sz w:val="22"/>
              <w:szCs w:val="24"/>
              <w14:ligatures w14:val="standardContextual"/>
            </w:rPr>
            <w:tab/>
          </w:r>
          <w:r>
            <w:rPr>
              <w:rStyle w:val="29"/>
              <w:rFonts w:hint="eastAsia"/>
              <w:color w:val="auto"/>
            </w:rPr>
            <w:t>地下水开发利用现状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_Toc225216729 \h</w:instrText>
          </w:r>
          <w:r>
            <w:rPr>
              <w:rFonts w:hint="eastAsia"/>
              <w:color w:val="auto"/>
            </w:rPr>
            <w:instrText xml:space="preserve"> </w:instrText>
          </w:r>
          <w:r>
            <w:rPr>
              <w:rFonts w:hint="eastAsia"/>
              <w:color w:val="auto"/>
            </w:rPr>
            <w:fldChar w:fldCharType="separate"/>
          </w:r>
          <w:r>
            <w:rPr>
              <w:color w:val="auto"/>
            </w:rPr>
            <w:t>193</w:t>
          </w:r>
          <w:r>
            <w:rPr>
              <w:rFonts w:hint="eastAsia"/>
              <w:color w:val="auto"/>
            </w:rPr>
            <w:fldChar w:fldCharType="end"/>
          </w:r>
          <w:r>
            <w:rPr>
              <w:rFonts w:hint="eastAsia"/>
              <w:color w:val="auto"/>
            </w:rPr>
            <w:fldChar w:fldCharType="end"/>
          </w:r>
        </w:p>
        <w:p w14:paraId="4DC0348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"_Toc225216730" </w:instrText>
          </w:r>
          <w:r>
            <w:rPr>
              <w:color w:val="auto"/>
            </w:rPr>
            <w:fldChar w:fldCharType="separate"/>
          </w:r>
          <w:r>
            <w:rPr>
              <w:rStyle w:val="29"/>
              <w:rFonts w:hint="eastAsia"/>
              <w:color w:val="auto"/>
            </w:rPr>
            <w:t>4.1.8</w:t>
          </w:r>
          <w:r>
            <w:rPr>
              <w:rFonts w:hint="eastAsia" w:asciiTheme="minorHAnsi" w:hAnsiTheme="minorHAnsi" w:eastAsiaTheme="minorEastAsia"/>
              <w:color w:val="auto"/>
              <w:sz w:val="22"/>
              <w:szCs w:val="24"/>
              <w14:ligatures w14:val="standardContextual"/>
            </w:rPr>
            <w:tab/>
          </w:r>
          <w:r>
            <w:rPr>
              <w:rStyle w:val="29"/>
              <w:rFonts w:hint="eastAsia"/>
              <w:color w:val="auto"/>
            </w:rPr>
            <w:t>海洋水文特征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_Toc225216730 \h</w:instrText>
          </w:r>
          <w:r>
            <w:rPr>
              <w:rFonts w:hint="eastAsia"/>
              <w:color w:val="auto"/>
            </w:rPr>
            <w:instrText xml:space="preserve"> </w:instrText>
          </w:r>
          <w:r>
            <w:rPr>
              <w:rFonts w:hint="eastAsia"/>
              <w:color w:val="auto"/>
            </w:rPr>
            <w:fldChar w:fldCharType="separate"/>
          </w:r>
          <w:r>
            <w:rPr>
              <w:color w:val="auto"/>
            </w:rPr>
            <w:t>193</w:t>
          </w:r>
          <w:r>
            <w:rPr>
              <w:rFonts w:hint="eastAsia"/>
              <w:color w:val="auto"/>
            </w:rPr>
            <w:fldChar w:fldCharType="end"/>
          </w:r>
          <w:r>
            <w:rPr>
              <w:rFonts w:hint="eastAsia"/>
              <w:color w:val="auto"/>
            </w:rPr>
            <w:fldChar w:fldCharType="end"/>
          </w:r>
        </w:p>
        <w:p w14:paraId="61AD347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"_Toc225216731" </w:instrText>
          </w:r>
          <w:r>
            <w:rPr>
              <w:color w:val="auto"/>
            </w:rPr>
            <w:fldChar w:fldCharType="separate"/>
          </w:r>
          <w:r>
            <w:rPr>
              <w:rStyle w:val="29"/>
              <w:rFonts w:hint="eastAsia"/>
              <w:color w:val="auto"/>
            </w:rPr>
            <w:t>4.1.9</w:t>
          </w:r>
          <w:r>
            <w:rPr>
              <w:rFonts w:hint="eastAsia" w:asciiTheme="minorHAnsi" w:hAnsiTheme="minorHAnsi" w:eastAsiaTheme="minorEastAsia"/>
              <w:color w:val="auto"/>
              <w:sz w:val="22"/>
              <w:szCs w:val="24"/>
              <w14:ligatures w14:val="standardContextual"/>
            </w:rPr>
            <w:tab/>
          </w:r>
          <w:r>
            <w:rPr>
              <w:rStyle w:val="29"/>
              <w:rFonts w:hint="eastAsia"/>
              <w:color w:val="auto"/>
            </w:rPr>
            <w:t>动植物资源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_Toc225216731 \h</w:instrText>
          </w:r>
          <w:r>
            <w:rPr>
              <w:rFonts w:hint="eastAsia"/>
              <w:color w:val="auto"/>
            </w:rPr>
            <w:instrText xml:space="preserve"> </w:instrText>
          </w:r>
          <w:r>
            <w:rPr>
              <w:rFonts w:hint="eastAsia"/>
              <w:color w:val="auto"/>
            </w:rPr>
            <w:fldChar w:fldCharType="separate"/>
          </w:r>
          <w:r>
            <w:rPr>
              <w:color w:val="auto"/>
            </w:rPr>
            <w:t>195</w:t>
          </w:r>
          <w:r>
            <w:rPr>
              <w:rFonts w:hint="eastAsia"/>
              <w:color w:val="auto"/>
            </w:rPr>
            <w:fldChar w:fldCharType="end"/>
          </w:r>
          <w:r>
            <w:rPr>
              <w:rFonts w:hint="eastAsia"/>
              <w:color w:val="auto"/>
            </w:rPr>
            <w:fldChar w:fldCharType="end"/>
          </w:r>
        </w:p>
        <w:p w14:paraId="4CC3270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"_Toc225216732" </w:instrText>
          </w:r>
          <w:r>
            <w:rPr>
              <w:color w:val="auto"/>
            </w:rPr>
            <w:fldChar w:fldCharType="separate"/>
          </w:r>
          <w:r>
            <w:rPr>
              <w:rStyle w:val="29"/>
              <w:rFonts w:hint="eastAsia"/>
              <w:color w:val="auto"/>
            </w:rPr>
            <w:t>4.1.10</w:t>
          </w:r>
          <w:r>
            <w:rPr>
              <w:rFonts w:hint="eastAsia" w:asciiTheme="minorHAnsi" w:hAnsiTheme="minorHAnsi" w:eastAsiaTheme="minorEastAsia"/>
              <w:color w:val="auto"/>
              <w:sz w:val="22"/>
              <w:szCs w:val="24"/>
              <w14:ligatures w14:val="standardContextual"/>
            </w:rPr>
            <w:tab/>
          </w:r>
          <w:r>
            <w:rPr>
              <w:rStyle w:val="29"/>
              <w:rFonts w:hint="eastAsia"/>
              <w:color w:val="auto"/>
            </w:rPr>
            <w:t>自然保护区、风景名胜区及文物古迹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_Toc225216732 \h</w:instrText>
          </w:r>
          <w:r>
            <w:rPr>
              <w:rFonts w:hint="eastAsia"/>
              <w:color w:val="auto"/>
            </w:rPr>
            <w:instrText xml:space="preserve"> </w:instrText>
          </w:r>
          <w:r>
            <w:rPr>
              <w:rFonts w:hint="eastAsia"/>
              <w:color w:val="auto"/>
            </w:rPr>
            <w:fldChar w:fldCharType="separate"/>
          </w:r>
          <w:r>
            <w:rPr>
              <w:color w:val="auto"/>
            </w:rPr>
            <w:t>195</w:t>
          </w:r>
          <w:r>
            <w:rPr>
              <w:rFonts w:hint="eastAsia"/>
              <w:color w:val="auto"/>
            </w:rPr>
            <w:fldChar w:fldCharType="end"/>
          </w:r>
          <w:r>
            <w:rPr>
              <w:rFonts w:hint="eastAsia"/>
              <w:color w:val="auto"/>
            </w:rPr>
            <w:fldChar w:fldCharType="end"/>
          </w:r>
        </w:p>
        <w:p w14:paraId="75BE0BCA">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"_Toc225216733" </w:instrText>
          </w:r>
          <w:r>
            <w:rPr>
              <w:color w:val="auto"/>
            </w:rPr>
            <w:fldChar w:fldCharType="separate"/>
          </w:r>
          <w:r>
            <w:rPr>
              <w:rStyle w:val="29"/>
              <w:rFonts w:hint="eastAsia"/>
              <w:color w:val="auto"/>
            </w:rPr>
            <w:t>4.2</w:t>
          </w:r>
          <w:r>
            <w:rPr>
              <w:rFonts w:hint="eastAsia" w:asciiTheme="minorHAnsi" w:hAnsiTheme="minorHAnsi" w:eastAsiaTheme="minorEastAsia"/>
              <w:color w:val="auto"/>
              <w:sz w:val="22"/>
              <w:szCs w:val="24"/>
              <w14:ligatures w14:val="standardContextual"/>
            </w:rPr>
            <w:tab/>
          </w:r>
          <w:r>
            <w:rPr>
              <w:rStyle w:val="29"/>
              <w:rFonts w:hint="eastAsia"/>
              <w:color w:val="auto"/>
            </w:rPr>
            <w:t>广西钦州林浆纸产业园概况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_Toc225216733 \h</w:instrText>
          </w:r>
          <w:r>
            <w:rPr>
              <w:rFonts w:hint="eastAsia"/>
              <w:color w:val="auto"/>
            </w:rPr>
            <w:instrText xml:space="preserve"> </w:instrText>
          </w:r>
          <w:r>
            <w:rPr>
              <w:rFonts w:hint="eastAsia"/>
              <w:color w:val="auto"/>
            </w:rPr>
            <w:fldChar w:fldCharType="separate"/>
          </w:r>
          <w:r>
            <w:rPr>
              <w:color w:val="auto"/>
            </w:rPr>
            <w:t>197</w:t>
          </w:r>
          <w:r>
            <w:rPr>
              <w:rFonts w:hint="eastAsia"/>
              <w:color w:val="auto"/>
            </w:rPr>
            <w:fldChar w:fldCharType="end"/>
          </w:r>
          <w:r>
            <w:rPr>
              <w:rFonts w:hint="eastAsia"/>
              <w:color w:val="auto"/>
            </w:rPr>
            <w:fldChar w:fldCharType="end"/>
          </w:r>
        </w:p>
        <w:p w14:paraId="16D73E1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"_Toc225216734" </w:instrText>
          </w:r>
          <w:r>
            <w:rPr>
              <w:color w:val="auto"/>
            </w:rPr>
            <w:fldChar w:fldCharType="separate"/>
          </w:r>
          <w:r>
            <w:rPr>
              <w:rStyle w:val="29"/>
              <w:rFonts w:hint="eastAsia"/>
              <w:color w:val="auto"/>
            </w:rPr>
            <w:t>4.2.1</w:t>
          </w:r>
          <w:r>
            <w:rPr>
              <w:rFonts w:hint="eastAsia" w:asciiTheme="minorHAnsi" w:hAnsiTheme="minorHAnsi" w:eastAsiaTheme="minorEastAsia"/>
              <w:color w:val="auto"/>
              <w:sz w:val="22"/>
              <w:szCs w:val="24"/>
              <w14:ligatures w14:val="standardContextual"/>
            </w:rPr>
            <w:tab/>
          </w:r>
          <w:r>
            <w:rPr>
              <w:rStyle w:val="29"/>
              <w:rFonts w:hint="eastAsia"/>
              <w:color w:val="auto"/>
            </w:rPr>
            <w:t>规划范围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_Toc225216734 \h</w:instrText>
          </w:r>
          <w:r>
            <w:rPr>
              <w:rFonts w:hint="eastAsia"/>
              <w:color w:val="auto"/>
            </w:rPr>
            <w:instrText xml:space="preserve"> </w:instrText>
          </w:r>
          <w:r>
            <w:rPr>
              <w:rFonts w:hint="eastAsia"/>
              <w:color w:val="auto"/>
            </w:rPr>
            <w:fldChar w:fldCharType="separate"/>
          </w:r>
          <w:r>
            <w:rPr>
              <w:color w:val="auto"/>
            </w:rPr>
            <w:t>197</w:t>
          </w:r>
          <w:r>
            <w:rPr>
              <w:rFonts w:hint="eastAsia"/>
              <w:color w:val="auto"/>
            </w:rPr>
            <w:fldChar w:fldCharType="end"/>
          </w:r>
          <w:r>
            <w:rPr>
              <w:rFonts w:hint="eastAsia"/>
              <w:color w:val="auto"/>
            </w:rPr>
            <w:fldChar w:fldCharType="end"/>
          </w:r>
        </w:p>
        <w:p w14:paraId="5A74EB6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"_Toc225216735" </w:instrText>
          </w:r>
          <w:r>
            <w:rPr>
              <w:color w:val="auto"/>
            </w:rPr>
            <w:fldChar w:fldCharType="separate"/>
          </w:r>
          <w:r>
            <w:rPr>
              <w:rStyle w:val="29"/>
              <w:rFonts w:hint="eastAsia"/>
              <w:color w:val="auto"/>
            </w:rPr>
            <w:t>4.2.2</w:t>
          </w:r>
          <w:r>
            <w:rPr>
              <w:rFonts w:hint="eastAsia" w:asciiTheme="minorHAnsi" w:hAnsiTheme="minorHAnsi" w:eastAsiaTheme="minorEastAsia"/>
              <w:color w:val="auto"/>
              <w:sz w:val="22"/>
              <w:szCs w:val="24"/>
              <w14:ligatures w14:val="standardContextual"/>
            </w:rPr>
            <w:tab/>
          </w:r>
          <w:r>
            <w:rPr>
              <w:rStyle w:val="29"/>
              <w:rFonts w:hint="eastAsia"/>
              <w:color w:val="auto"/>
            </w:rPr>
            <w:t>规划期限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_Toc225216735 \h</w:instrText>
          </w:r>
          <w:r>
            <w:rPr>
              <w:rFonts w:hint="eastAsia"/>
              <w:color w:val="auto"/>
            </w:rPr>
            <w:instrText xml:space="preserve"> </w:instrText>
          </w:r>
          <w:r>
            <w:rPr>
              <w:rFonts w:hint="eastAsia"/>
              <w:color w:val="auto"/>
            </w:rPr>
            <w:fldChar w:fldCharType="separate"/>
          </w:r>
          <w:r>
            <w:rPr>
              <w:color w:val="auto"/>
            </w:rPr>
            <w:t>197</w:t>
          </w:r>
          <w:r>
            <w:rPr>
              <w:rFonts w:hint="eastAsia"/>
              <w:color w:val="auto"/>
            </w:rPr>
            <w:fldChar w:fldCharType="end"/>
          </w:r>
          <w:r>
            <w:rPr>
              <w:rFonts w:hint="eastAsia"/>
              <w:color w:val="auto"/>
            </w:rPr>
            <w:fldChar w:fldCharType="end"/>
          </w:r>
        </w:p>
        <w:p w14:paraId="5278282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"_Toc225216736" </w:instrText>
          </w:r>
          <w:r>
            <w:rPr>
              <w:color w:val="auto"/>
            </w:rPr>
            <w:fldChar w:fldCharType="separate"/>
          </w:r>
          <w:r>
            <w:rPr>
              <w:rStyle w:val="29"/>
              <w:rFonts w:hint="eastAsia"/>
              <w:color w:val="auto"/>
            </w:rPr>
            <w:t>4.2.3</w:t>
          </w:r>
          <w:r>
            <w:rPr>
              <w:rFonts w:hint="eastAsia" w:asciiTheme="minorHAnsi" w:hAnsiTheme="minorHAnsi" w:eastAsiaTheme="minorEastAsia"/>
              <w:color w:val="auto"/>
              <w:sz w:val="22"/>
              <w:szCs w:val="24"/>
              <w14:ligatures w14:val="standardContextual"/>
            </w:rPr>
            <w:tab/>
          </w:r>
          <w:r>
            <w:rPr>
              <w:rStyle w:val="29"/>
              <w:rFonts w:hint="eastAsia"/>
              <w:color w:val="auto"/>
            </w:rPr>
            <w:t>规划发展定位与规划目标</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_Toc225216736 \h</w:instrText>
          </w:r>
          <w:r>
            <w:rPr>
              <w:rFonts w:hint="eastAsia"/>
              <w:color w:val="auto"/>
            </w:rPr>
            <w:instrText xml:space="preserve"> </w:instrText>
          </w:r>
          <w:r>
            <w:rPr>
              <w:rFonts w:hint="eastAsia"/>
              <w:color w:val="auto"/>
            </w:rPr>
            <w:fldChar w:fldCharType="separate"/>
          </w:r>
          <w:r>
            <w:rPr>
              <w:color w:val="auto"/>
            </w:rPr>
            <w:t>197</w:t>
          </w:r>
          <w:r>
            <w:rPr>
              <w:rFonts w:hint="eastAsia"/>
              <w:color w:val="auto"/>
            </w:rPr>
            <w:fldChar w:fldCharType="end"/>
          </w:r>
          <w:r>
            <w:rPr>
              <w:rFonts w:hint="eastAsia"/>
              <w:color w:val="auto"/>
            </w:rPr>
            <w:fldChar w:fldCharType="end"/>
          </w:r>
        </w:p>
        <w:p w14:paraId="66A980E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"_Toc225216737" </w:instrText>
          </w:r>
          <w:r>
            <w:rPr>
              <w:color w:val="auto"/>
            </w:rPr>
            <w:fldChar w:fldCharType="separate"/>
          </w:r>
          <w:r>
            <w:rPr>
              <w:rStyle w:val="29"/>
              <w:rFonts w:hint="eastAsia"/>
              <w:color w:val="auto"/>
            </w:rPr>
            <w:t>4.2.4</w:t>
          </w:r>
          <w:r>
            <w:rPr>
              <w:rFonts w:hint="eastAsia" w:asciiTheme="minorHAnsi" w:hAnsiTheme="minorHAnsi" w:eastAsiaTheme="minorEastAsia"/>
              <w:color w:val="auto"/>
              <w:sz w:val="22"/>
              <w:szCs w:val="24"/>
              <w14:ligatures w14:val="standardContextual"/>
            </w:rPr>
            <w:tab/>
          </w:r>
          <w:r>
            <w:rPr>
              <w:rStyle w:val="29"/>
              <w:rFonts w:hint="eastAsia"/>
              <w:color w:val="auto"/>
            </w:rPr>
            <w:t>基础设施建设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_Toc225216737 \h</w:instrText>
          </w:r>
          <w:r>
            <w:rPr>
              <w:rFonts w:hint="eastAsia"/>
              <w:color w:val="auto"/>
            </w:rPr>
            <w:instrText xml:space="preserve"> </w:instrText>
          </w:r>
          <w:r>
            <w:rPr>
              <w:rFonts w:hint="eastAsia"/>
              <w:color w:val="auto"/>
            </w:rPr>
            <w:fldChar w:fldCharType="separate"/>
          </w:r>
          <w:r>
            <w:rPr>
              <w:color w:val="auto"/>
            </w:rPr>
            <w:t>198</w:t>
          </w:r>
          <w:r>
            <w:rPr>
              <w:rFonts w:hint="eastAsia"/>
              <w:color w:val="auto"/>
            </w:rPr>
            <w:fldChar w:fldCharType="end"/>
          </w:r>
          <w:r>
            <w:rPr>
              <w:rFonts w:hint="eastAsia"/>
              <w:color w:val="auto"/>
            </w:rPr>
            <w:fldChar w:fldCharType="end"/>
          </w:r>
        </w:p>
        <w:p w14:paraId="0FC2760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"_Toc225216738" </w:instrText>
          </w:r>
          <w:r>
            <w:rPr>
              <w:color w:val="auto"/>
            </w:rPr>
            <w:fldChar w:fldCharType="separate"/>
          </w:r>
          <w:r>
            <w:rPr>
              <w:rStyle w:val="29"/>
              <w:rFonts w:hint="eastAsia"/>
              <w:color w:val="auto"/>
            </w:rPr>
            <w:t>4.3</w:t>
          </w:r>
          <w:r>
            <w:rPr>
              <w:rFonts w:hint="eastAsia" w:asciiTheme="minorHAnsi" w:hAnsiTheme="minorHAnsi" w:eastAsiaTheme="minorEastAsia"/>
              <w:color w:val="auto"/>
              <w:sz w:val="22"/>
              <w:szCs w:val="24"/>
              <w14:ligatures w14:val="standardContextual"/>
            </w:rPr>
            <w:tab/>
          </w:r>
          <w:r>
            <w:rPr>
              <w:rStyle w:val="29"/>
              <w:rFonts w:hint="eastAsia"/>
              <w:color w:val="auto"/>
            </w:rPr>
            <w:t>区域主要污染源调查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_Toc225216738 \h</w:instrText>
          </w:r>
          <w:r>
            <w:rPr>
              <w:rFonts w:hint="eastAsia"/>
              <w:color w:val="auto"/>
            </w:rPr>
            <w:instrText xml:space="preserve"> </w:instrText>
          </w:r>
          <w:r>
            <w:rPr>
              <w:rFonts w:hint="eastAsia"/>
              <w:color w:val="auto"/>
            </w:rPr>
            <w:fldChar w:fldCharType="separate"/>
          </w:r>
          <w:r>
            <w:rPr>
              <w:color w:val="auto"/>
            </w:rPr>
            <w:t>202</w:t>
          </w:r>
          <w:r>
            <w:rPr>
              <w:rFonts w:hint="eastAsia"/>
              <w:color w:val="auto"/>
            </w:rPr>
            <w:fldChar w:fldCharType="end"/>
          </w:r>
          <w:r>
            <w:rPr>
              <w:rFonts w:hint="eastAsia"/>
              <w:color w:val="auto"/>
            </w:rPr>
            <w:fldChar w:fldCharType="end"/>
          </w:r>
        </w:p>
        <w:p w14:paraId="3237DF03">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"_Toc225216739" </w:instrText>
          </w:r>
          <w:r>
            <w:rPr>
              <w:color w:val="auto"/>
            </w:rPr>
            <w:fldChar w:fldCharType="separate"/>
          </w:r>
          <w:r>
            <w:rPr>
              <w:rStyle w:val="29"/>
              <w:rFonts w:hint="eastAsia"/>
              <w:color w:val="auto"/>
            </w:rPr>
            <w:t>4.4</w:t>
          </w:r>
          <w:r>
            <w:rPr>
              <w:rFonts w:hint="eastAsia" w:asciiTheme="minorHAnsi" w:hAnsiTheme="minorHAnsi" w:eastAsiaTheme="minorEastAsia"/>
              <w:color w:val="auto"/>
              <w:sz w:val="22"/>
              <w:szCs w:val="24"/>
              <w14:ligatures w14:val="standardContextual"/>
            </w:rPr>
            <w:tab/>
          </w:r>
          <w:r>
            <w:rPr>
              <w:rStyle w:val="29"/>
              <w:rFonts w:hint="eastAsia"/>
              <w:color w:val="auto"/>
            </w:rPr>
            <w:t>环境空气质量现状调查与评价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_Toc225216739 \h</w:instrText>
          </w:r>
          <w:r>
            <w:rPr>
              <w:rFonts w:hint="eastAsia"/>
              <w:color w:val="auto"/>
            </w:rPr>
            <w:instrText xml:space="preserve"> </w:instrText>
          </w:r>
          <w:r>
            <w:rPr>
              <w:rFonts w:hint="eastAsia"/>
              <w:color w:val="auto"/>
            </w:rPr>
            <w:fldChar w:fldCharType="separate"/>
          </w:r>
          <w:r>
            <w:rPr>
              <w:color w:val="auto"/>
            </w:rPr>
            <w:t>213</w:t>
          </w:r>
          <w:r>
            <w:rPr>
              <w:rFonts w:hint="eastAsia"/>
              <w:color w:val="auto"/>
            </w:rPr>
            <w:fldChar w:fldCharType="end"/>
          </w:r>
          <w:r>
            <w:rPr>
              <w:rFonts w:hint="eastAsia"/>
              <w:color w:val="auto"/>
            </w:rPr>
            <w:fldChar w:fldCharType="end"/>
          </w:r>
        </w:p>
        <w:p w14:paraId="24734D7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"_Toc225216740" </w:instrText>
          </w:r>
          <w:r>
            <w:rPr>
              <w:color w:val="auto"/>
            </w:rPr>
            <w:fldChar w:fldCharType="separate"/>
          </w:r>
          <w:r>
            <w:rPr>
              <w:rStyle w:val="29"/>
              <w:rFonts w:hint="eastAsia"/>
              <w:color w:val="auto"/>
            </w:rPr>
            <w:t>4.4.1</w:t>
          </w:r>
          <w:r>
            <w:rPr>
              <w:rFonts w:hint="eastAsia" w:asciiTheme="minorHAnsi" w:hAnsiTheme="minorHAnsi" w:eastAsiaTheme="minorEastAsia"/>
              <w:color w:val="auto"/>
              <w:sz w:val="22"/>
              <w:szCs w:val="24"/>
              <w14:ligatures w14:val="standardContextual"/>
            </w:rPr>
            <w:tab/>
          </w:r>
          <w:r>
            <w:rPr>
              <w:rStyle w:val="29"/>
              <w:rFonts w:hint="eastAsia"/>
              <w:color w:val="auto"/>
            </w:rPr>
            <w:t>空气质量达标区判定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_Toc225216740 \h</w:instrText>
          </w:r>
          <w:r>
            <w:rPr>
              <w:rFonts w:hint="eastAsia"/>
              <w:color w:val="auto"/>
            </w:rPr>
            <w:instrText xml:space="preserve"> </w:instrText>
          </w:r>
          <w:r>
            <w:rPr>
              <w:rFonts w:hint="eastAsia"/>
              <w:color w:val="auto"/>
            </w:rPr>
            <w:fldChar w:fldCharType="separate"/>
          </w:r>
          <w:r>
            <w:rPr>
              <w:color w:val="auto"/>
            </w:rPr>
            <w:t>213</w:t>
          </w:r>
          <w:r>
            <w:rPr>
              <w:rFonts w:hint="eastAsia"/>
              <w:color w:val="auto"/>
            </w:rPr>
            <w:fldChar w:fldCharType="end"/>
          </w:r>
          <w:r>
            <w:rPr>
              <w:rFonts w:hint="eastAsia"/>
              <w:color w:val="auto"/>
            </w:rPr>
            <w:fldChar w:fldCharType="end"/>
          </w:r>
        </w:p>
        <w:p w14:paraId="766F536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"_Toc225216741" </w:instrText>
          </w:r>
          <w:r>
            <w:rPr>
              <w:color w:val="auto"/>
            </w:rPr>
            <w:fldChar w:fldCharType="separate"/>
          </w:r>
          <w:r>
            <w:rPr>
              <w:rStyle w:val="29"/>
              <w:rFonts w:hint="eastAsia"/>
              <w:color w:val="auto"/>
            </w:rPr>
            <w:t>4.4.2</w:t>
          </w:r>
          <w:r>
            <w:rPr>
              <w:rFonts w:hint="eastAsia" w:asciiTheme="minorHAnsi" w:hAnsiTheme="minorHAnsi" w:eastAsiaTheme="minorEastAsia"/>
              <w:color w:val="auto"/>
              <w:sz w:val="22"/>
              <w:szCs w:val="24"/>
              <w14:ligatures w14:val="standardContextual"/>
            </w:rPr>
            <w:tab/>
          </w:r>
          <w:r>
            <w:rPr>
              <w:rStyle w:val="29"/>
              <w:rFonts w:hint="eastAsia"/>
              <w:color w:val="auto"/>
            </w:rPr>
            <w:t>基本污染物环境质量现状评价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_Toc225216741 \h</w:instrText>
          </w:r>
          <w:r>
            <w:rPr>
              <w:rFonts w:hint="eastAsia"/>
              <w:color w:val="auto"/>
            </w:rPr>
            <w:instrText xml:space="preserve"> </w:instrText>
          </w:r>
          <w:r>
            <w:rPr>
              <w:rFonts w:hint="eastAsia"/>
              <w:color w:val="auto"/>
            </w:rPr>
            <w:fldChar w:fldCharType="separate"/>
          </w:r>
          <w:r>
            <w:rPr>
              <w:color w:val="auto"/>
            </w:rPr>
            <w:t>213</w:t>
          </w:r>
          <w:r>
            <w:rPr>
              <w:rFonts w:hint="eastAsia"/>
              <w:color w:val="auto"/>
            </w:rPr>
            <w:fldChar w:fldCharType="end"/>
          </w:r>
          <w:r>
            <w:rPr>
              <w:rFonts w:hint="eastAsia"/>
              <w:color w:val="auto"/>
            </w:rPr>
            <w:fldChar w:fldCharType="end"/>
          </w:r>
        </w:p>
        <w:p w14:paraId="27DF5E5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"_Toc225216742" </w:instrText>
          </w:r>
          <w:r>
            <w:rPr>
              <w:color w:val="auto"/>
            </w:rPr>
            <w:fldChar w:fldCharType="separate"/>
          </w:r>
          <w:r>
            <w:rPr>
              <w:rStyle w:val="29"/>
              <w:rFonts w:hint="eastAsia"/>
              <w:color w:val="auto"/>
            </w:rPr>
            <w:t>4.4.3</w:t>
          </w:r>
          <w:r>
            <w:rPr>
              <w:rFonts w:hint="eastAsia" w:asciiTheme="minorHAnsi" w:hAnsiTheme="minorHAnsi" w:eastAsiaTheme="minorEastAsia"/>
              <w:color w:val="auto"/>
              <w:sz w:val="22"/>
              <w:szCs w:val="24"/>
              <w14:ligatures w14:val="standardContextual"/>
            </w:rPr>
            <w:tab/>
          </w:r>
          <w:r>
            <w:rPr>
              <w:rStyle w:val="29"/>
              <w:rFonts w:hint="eastAsia"/>
              <w:color w:val="auto"/>
            </w:rPr>
            <w:t>补充污染物环境质量现状评价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_Toc225216742 \h</w:instrText>
          </w:r>
          <w:r>
            <w:rPr>
              <w:rFonts w:hint="eastAsia"/>
              <w:color w:val="auto"/>
            </w:rPr>
            <w:instrText xml:space="preserve"> </w:instrText>
          </w:r>
          <w:r>
            <w:rPr>
              <w:rFonts w:hint="eastAsia"/>
              <w:color w:val="auto"/>
            </w:rPr>
            <w:fldChar w:fldCharType="separate"/>
          </w:r>
          <w:r>
            <w:rPr>
              <w:color w:val="auto"/>
            </w:rPr>
            <w:t>215</w:t>
          </w:r>
          <w:r>
            <w:rPr>
              <w:rFonts w:hint="eastAsia"/>
              <w:color w:val="auto"/>
            </w:rPr>
            <w:fldChar w:fldCharType="end"/>
          </w:r>
          <w:r>
            <w:rPr>
              <w:rFonts w:hint="eastAsia"/>
              <w:color w:val="auto"/>
            </w:rPr>
            <w:fldChar w:fldCharType="end"/>
          </w:r>
        </w:p>
        <w:p w14:paraId="3F33648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"_Toc225216743" </w:instrText>
          </w:r>
          <w:r>
            <w:rPr>
              <w:color w:val="auto"/>
            </w:rPr>
            <w:fldChar w:fldCharType="separate"/>
          </w:r>
          <w:r>
            <w:rPr>
              <w:rStyle w:val="29"/>
              <w:rFonts w:hint="eastAsia"/>
              <w:color w:val="auto"/>
            </w:rPr>
            <w:t>4.5</w:t>
          </w:r>
          <w:r>
            <w:rPr>
              <w:rFonts w:hint="eastAsia" w:asciiTheme="minorHAnsi" w:hAnsiTheme="minorHAnsi" w:eastAsiaTheme="minorEastAsia"/>
              <w:color w:val="auto"/>
              <w:sz w:val="22"/>
              <w:szCs w:val="24"/>
              <w14:ligatures w14:val="standardContextual"/>
            </w:rPr>
            <w:tab/>
          </w:r>
          <w:r>
            <w:rPr>
              <w:rStyle w:val="29"/>
              <w:rFonts w:hint="eastAsia"/>
              <w:color w:val="auto"/>
            </w:rPr>
            <w:t>近岸海域环境现状调查与评价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_Toc225216743 \h</w:instrText>
          </w:r>
          <w:r>
            <w:rPr>
              <w:rFonts w:hint="eastAsia"/>
              <w:color w:val="auto"/>
            </w:rPr>
            <w:instrText xml:space="preserve"> </w:instrText>
          </w:r>
          <w:r>
            <w:rPr>
              <w:rFonts w:hint="eastAsia"/>
              <w:color w:val="auto"/>
            </w:rPr>
            <w:fldChar w:fldCharType="separate"/>
          </w:r>
          <w:r>
            <w:rPr>
              <w:color w:val="auto"/>
            </w:rPr>
            <w:t>217</w:t>
          </w:r>
          <w:r>
            <w:rPr>
              <w:rFonts w:hint="eastAsia"/>
              <w:color w:val="auto"/>
            </w:rPr>
            <w:fldChar w:fldCharType="end"/>
          </w:r>
          <w:r>
            <w:rPr>
              <w:rFonts w:hint="eastAsia"/>
              <w:color w:val="auto"/>
            </w:rPr>
            <w:fldChar w:fldCharType="end"/>
          </w:r>
        </w:p>
        <w:p w14:paraId="31A58ED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"_Toc225216744" </w:instrText>
          </w:r>
          <w:r>
            <w:rPr>
              <w:color w:val="auto"/>
            </w:rPr>
            <w:fldChar w:fldCharType="separate"/>
          </w:r>
          <w:r>
            <w:rPr>
              <w:rStyle w:val="29"/>
              <w:rFonts w:hint="eastAsia"/>
              <w:color w:val="auto"/>
            </w:rPr>
            <w:t>4.5.1</w:t>
          </w:r>
          <w:r>
            <w:rPr>
              <w:rFonts w:hint="eastAsia" w:asciiTheme="minorHAnsi" w:hAnsiTheme="minorHAnsi" w:eastAsiaTheme="minorEastAsia"/>
              <w:color w:val="auto"/>
              <w:sz w:val="22"/>
              <w:szCs w:val="24"/>
              <w14:ligatures w14:val="standardContextual"/>
            </w:rPr>
            <w:tab/>
          </w:r>
          <w:r>
            <w:rPr>
              <w:rStyle w:val="29"/>
              <w:rFonts w:hint="eastAsia"/>
              <w:color w:val="auto"/>
            </w:rPr>
            <w:t>调查时间及站位</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_Toc225216744 \h</w:instrText>
          </w:r>
          <w:r>
            <w:rPr>
              <w:rFonts w:hint="eastAsia"/>
              <w:color w:val="auto"/>
            </w:rPr>
            <w:instrText xml:space="preserve"> </w:instrText>
          </w:r>
          <w:r>
            <w:rPr>
              <w:rFonts w:hint="eastAsia"/>
              <w:color w:val="auto"/>
            </w:rPr>
            <w:fldChar w:fldCharType="separate"/>
          </w:r>
          <w:r>
            <w:rPr>
              <w:color w:val="auto"/>
            </w:rPr>
            <w:t>218</w:t>
          </w:r>
          <w:r>
            <w:rPr>
              <w:rFonts w:hint="eastAsia"/>
              <w:color w:val="auto"/>
            </w:rPr>
            <w:fldChar w:fldCharType="end"/>
          </w:r>
          <w:r>
            <w:rPr>
              <w:rFonts w:hint="eastAsia"/>
              <w:color w:val="auto"/>
            </w:rPr>
            <w:fldChar w:fldCharType="end"/>
          </w:r>
        </w:p>
        <w:p w14:paraId="37651C6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"_Toc225216745" </w:instrText>
          </w:r>
          <w:r>
            <w:rPr>
              <w:color w:val="auto"/>
            </w:rPr>
            <w:fldChar w:fldCharType="separate"/>
          </w:r>
          <w:r>
            <w:rPr>
              <w:rStyle w:val="29"/>
              <w:rFonts w:hint="eastAsia"/>
              <w:color w:val="auto"/>
            </w:rPr>
            <w:t>4.5.2</w:t>
          </w:r>
          <w:r>
            <w:rPr>
              <w:rFonts w:hint="eastAsia" w:asciiTheme="minorHAnsi" w:hAnsiTheme="minorHAnsi" w:eastAsiaTheme="minorEastAsia"/>
              <w:color w:val="auto"/>
              <w:sz w:val="22"/>
              <w:szCs w:val="24"/>
              <w14:ligatures w14:val="standardContextual"/>
            </w:rPr>
            <w:tab/>
          </w:r>
          <w:r>
            <w:rPr>
              <w:rStyle w:val="29"/>
              <w:rFonts w:hint="eastAsia"/>
              <w:color w:val="auto"/>
            </w:rPr>
            <w:t>海洋水质监测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_Toc225216745 \h</w:instrText>
          </w:r>
          <w:r>
            <w:rPr>
              <w:rFonts w:hint="eastAsia"/>
              <w:color w:val="auto"/>
            </w:rPr>
            <w:instrText xml:space="preserve"> </w:instrText>
          </w:r>
          <w:r>
            <w:rPr>
              <w:rFonts w:hint="eastAsia"/>
              <w:color w:val="auto"/>
            </w:rPr>
            <w:fldChar w:fldCharType="separate"/>
          </w:r>
          <w:r>
            <w:rPr>
              <w:color w:val="auto"/>
            </w:rPr>
            <w:t>218</w:t>
          </w:r>
          <w:r>
            <w:rPr>
              <w:rFonts w:hint="eastAsia"/>
              <w:color w:val="auto"/>
            </w:rPr>
            <w:fldChar w:fldCharType="end"/>
          </w:r>
          <w:r>
            <w:rPr>
              <w:rFonts w:hint="eastAsia"/>
              <w:color w:val="auto"/>
            </w:rPr>
            <w:fldChar w:fldCharType="end"/>
          </w:r>
        </w:p>
        <w:p w14:paraId="3D00716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"_Toc225216746" </w:instrText>
          </w:r>
          <w:r>
            <w:rPr>
              <w:color w:val="auto"/>
            </w:rPr>
            <w:fldChar w:fldCharType="separate"/>
          </w:r>
          <w:r>
            <w:rPr>
              <w:rStyle w:val="29"/>
              <w:rFonts w:hint="eastAsia"/>
              <w:color w:val="auto"/>
            </w:rPr>
            <w:t>4.5.3</w:t>
          </w:r>
          <w:r>
            <w:rPr>
              <w:rFonts w:hint="eastAsia" w:asciiTheme="minorHAnsi" w:hAnsiTheme="minorHAnsi" w:eastAsiaTheme="minorEastAsia"/>
              <w:color w:val="auto"/>
              <w:sz w:val="22"/>
              <w:szCs w:val="24"/>
              <w14:ligatures w14:val="standardContextual"/>
            </w:rPr>
            <w:tab/>
          </w:r>
          <w:r>
            <w:rPr>
              <w:rStyle w:val="29"/>
              <w:rFonts w:hint="eastAsia"/>
              <w:color w:val="auto"/>
            </w:rPr>
            <w:t>海洋沉积物监测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_Toc225216746 \h</w:instrText>
          </w:r>
          <w:r>
            <w:rPr>
              <w:rFonts w:hint="eastAsia"/>
              <w:color w:val="auto"/>
            </w:rPr>
            <w:instrText xml:space="preserve"> </w:instrText>
          </w:r>
          <w:r>
            <w:rPr>
              <w:rFonts w:hint="eastAsia"/>
              <w:color w:val="auto"/>
            </w:rPr>
            <w:fldChar w:fldCharType="separate"/>
          </w:r>
          <w:r>
            <w:rPr>
              <w:color w:val="auto"/>
            </w:rPr>
            <w:t>226</w:t>
          </w:r>
          <w:r>
            <w:rPr>
              <w:rFonts w:hint="eastAsia"/>
              <w:color w:val="auto"/>
            </w:rPr>
            <w:fldChar w:fldCharType="end"/>
          </w:r>
          <w:r>
            <w:rPr>
              <w:rFonts w:hint="eastAsia"/>
              <w:color w:val="auto"/>
            </w:rPr>
            <w:fldChar w:fldCharType="end"/>
          </w:r>
        </w:p>
        <w:p w14:paraId="550AE37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"_Toc225216747" </w:instrText>
          </w:r>
          <w:r>
            <w:rPr>
              <w:color w:val="auto"/>
            </w:rPr>
            <w:fldChar w:fldCharType="separate"/>
          </w:r>
          <w:r>
            <w:rPr>
              <w:rStyle w:val="29"/>
              <w:rFonts w:hint="eastAsia"/>
              <w:color w:val="auto"/>
            </w:rPr>
            <w:t>4.5.4</w:t>
          </w:r>
          <w:r>
            <w:rPr>
              <w:rFonts w:hint="eastAsia" w:asciiTheme="minorHAnsi" w:hAnsiTheme="minorHAnsi" w:eastAsiaTheme="minorEastAsia"/>
              <w:color w:val="auto"/>
              <w:sz w:val="22"/>
              <w:szCs w:val="24"/>
              <w14:ligatures w14:val="standardContextual"/>
            </w:rPr>
            <w:tab/>
          </w:r>
          <w:r>
            <w:rPr>
              <w:rStyle w:val="29"/>
              <w:rFonts w:hint="eastAsia"/>
              <w:color w:val="auto"/>
            </w:rPr>
            <w:t>海洋生物质量监测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_Toc225216747 \h</w:instrText>
          </w:r>
          <w:r>
            <w:rPr>
              <w:rFonts w:hint="eastAsia"/>
              <w:color w:val="auto"/>
            </w:rPr>
            <w:instrText xml:space="preserve"> </w:instrText>
          </w:r>
          <w:r>
            <w:rPr>
              <w:rFonts w:hint="eastAsia"/>
              <w:color w:val="auto"/>
            </w:rPr>
            <w:fldChar w:fldCharType="separate"/>
          </w:r>
          <w:r>
            <w:rPr>
              <w:color w:val="auto"/>
            </w:rPr>
            <w:t>229</w:t>
          </w:r>
          <w:r>
            <w:rPr>
              <w:rFonts w:hint="eastAsia"/>
              <w:color w:val="auto"/>
            </w:rPr>
            <w:fldChar w:fldCharType="end"/>
          </w:r>
          <w:r>
            <w:rPr>
              <w:rFonts w:hint="eastAsia"/>
              <w:color w:val="auto"/>
            </w:rPr>
            <w:fldChar w:fldCharType="end"/>
          </w:r>
        </w:p>
        <w:p w14:paraId="1DC539C7">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"_Toc225216748" </w:instrText>
          </w:r>
          <w:r>
            <w:rPr>
              <w:color w:val="auto"/>
            </w:rPr>
            <w:fldChar w:fldCharType="separate"/>
          </w:r>
          <w:r>
            <w:rPr>
              <w:rStyle w:val="29"/>
              <w:rFonts w:hint="eastAsia"/>
              <w:color w:val="auto"/>
            </w:rPr>
            <w:t>4.6</w:t>
          </w:r>
          <w:r>
            <w:rPr>
              <w:rFonts w:hint="eastAsia" w:asciiTheme="minorHAnsi" w:hAnsiTheme="minorHAnsi" w:eastAsiaTheme="minorEastAsia"/>
              <w:color w:val="auto"/>
              <w:sz w:val="22"/>
              <w:szCs w:val="24"/>
              <w14:ligatures w14:val="standardContextual"/>
            </w:rPr>
            <w:tab/>
          </w:r>
          <w:r>
            <w:rPr>
              <w:rStyle w:val="29"/>
              <w:rFonts w:hint="eastAsia"/>
              <w:color w:val="auto"/>
            </w:rPr>
            <w:t>地下水环境质量现状调查及评价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_Toc225216748 \h</w:instrText>
          </w:r>
          <w:r>
            <w:rPr>
              <w:rFonts w:hint="eastAsia"/>
              <w:color w:val="auto"/>
            </w:rPr>
            <w:instrText xml:space="preserve"> </w:instrText>
          </w:r>
          <w:r>
            <w:rPr>
              <w:rFonts w:hint="eastAsia"/>
              <w:color w:val="auto"/>
            </w:rPr>
            <w:fldChar w:fldCharType="separate"/>
          </w:r>
          <w:r>
            <w:rPr>
              <w:color w:val="auto"/>
            </w:rPr>
            <w:t>231</w:t>
          </w:r>
          <w:r>
            <w:rPr>
              <w:rFonts w:hint="eastAsia"/>
              <w:color w:val="auto"/>
            </w:rPr>
            <w:fldChar w:fldCharType="end"/>
          </w:r>
          <w:r>
            <w:rPr>
              <w:rFonts w:hint="eastAsia"/>
              <w:color w:val="auto"/>
            </w:rPr>
            <w:fldChar w:fldCharType="end"/>
          </w:r>
        </w:p>
        <w:p w14:paraId="3246503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"_Toc225216749" </w:instrText>
          </w:r>
          <w:r>
            <w:rPr>
              <w:color w:val="auto"/>
            </w:rPr>
            <w:fldChar w:fldCharType="separate"/>
          </w:r>
          <w:r>
            <w:rPr>
              <w:rStyle w:val="29"/>
              <w:rFonts w:hint="eastAsia"/>
              <w:color w:val="auto"/>
            </w:rPr>
            <w:t>4.6.1</w:t>
          </w:r>
          <w:r>
            <w:rPr>
              <w:rFonts w:hint="eastAsia" w:asciiTheme="minorHAnsi" w:hAnsiTheme="minorHAnsi" w:eastAsiaTheme="minorEastAsia"/>
              <w:color w:val="auto"/>
              <w:sz w:val="22"/>
              <w:szCs w:val="24"/>
              <w14:ligatures w14:val="standardContextual"/>
            </w:rPr>
            <w:tab/>
          </w:r>
          <w:r>
            <w:rPr>
              <w:rStyle w:val="29"/>
              <w:rFonts w:hint="eastAsia"/>
              <w:color w:val="auto"/>
            </w:rPr>
            <w:t>监测布点及监测因子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_Toc225216749 \h</w:instrText>
          </w:r>
          <w:r>
            <w:rPr>
              <w:rFonts w:hint="eastAsia"/>
              <w:color w:val="auto"/>
            </w:rPr>
            <w:instrText xml:space="preserve"> </w:instrText>
          </w:r>
          <w:r>
            <w:rPr>
              <w:rFonts w:hint="eastAsia"/>
              <w:color w:val="auto"/>
            </w:rPr>
            <w:fldChar w:fldCharType="separate"/>
          </w:r>
          <w:r>
            <w:rPr>
              <w:color w:val="auto"/>
            </w:rPr>
            <w:t>231</w:t>
          </w:r>
          <w:r>
            <w:rPr>
              <w:rFonts w:hint="eastAsia"/>
              <w:color w:val="auto"/>
            </w:rPr>
            <w:fldChar w:fldCharType="end"/>
          </w:r>
          <w:r>
            <w:rPr>
              <w:rFonts w:hint="eastAsia"/>
              <w:color w:val="auto"/>
            </w:rPr>
            <w:fldChar w:fldCharType="end"/>
          </w:r>
        </w:p>
        <w:p w14:paraId="4E7F844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"_Toc225216750" </w:instrText>
          </w:r>
          <w:r>
            <w:rPr>
              <w:color w:val="auto"/>
            </w:rPr>
            <w:fldChar w:fldCharType="separate"/>
          </w:r>
          <w:r>
            <w:rPr>
              <w:rStyle w:val="29"/>
              <w:rFonts w:hint="eastAsia"/>
              <w:color w:val="auto"/>
            </w:rPr>
            <w:t>4.6.2</w:t>
          </w:r>
          <w:r>
            <w:rPr>
              <w:rFonts w:hint="eastAsia" w:asciiTheme="minorHAnsi" w:hAnsiTheme="minorHAnsi" w:eastAsiaTheme="minorEastAsia"/>
              <w:color w:val="auto"/>
              <w:sz w:val="22"/>
              <w:szCs w:val="24"/>
              <w14:ligatures w14:val="standardContextual"/>
            </w:rPr>
            <w:tab/>
          </w:r>
          <w:r>
            <w:rPr>
              <w:rStyle w:val="29"/>
              <w:rFonts w:hint="eastAsia"/>
              <w:color w:val="auto"/>
            </w:rPr>
            <w:t>监测因子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_Toc225216750 \h</w:instrText>
          </w:r>
          <w:r>
            <w:rPr>
              <w:rFonts w:hint="eastAsia"/>
              <w:color w:val="auto"/>
            </w:rPr>
            <w:instrText xml:space="preserve"> </w:instrText>
          </w:r>
          <w:r>
            <w:rPr>
              <w:rFonts w:hint="eastAsia"/>
              <w:color w:val="auto"/>
            </w:rPr>
            <w:fldChar w:fldCharType="separate"/>
          </w:r>
          <w:r>
            <w:rPr>
              <w:color w:val="auto"/>
            </w:rPr>
            <w:t>233</w:t>
          </w:r>
          <w:r>
            <w:rPr>
              <w:rFonts w:hint="eastAsia"/>
              <w:color w:val="auto"/>
            </w:rPr>
            <w:fldChar w:fldCharType="end"/>
          </w:r>
          <w:r>
            <w:rPr>
              <w:rFonts w:hint="eastAsia"/>
              <w:color w:val="auto"/>
            </w:rPr>
            <w:fldChar w:fldCharType="end"/>
          </w:r>
        </w:p>
        <w:p w14:paraId="0D016F4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"_Toc225216751" </w:instrText>
          </w:r>
          <w:r>
            <w:rPr>
              <w:color w:val="auto"/>
            </w:rPr>
            <w:fldChar w:fldCharType="separate"/>
          </w:r>
          <w:r>
            <w:rPr>
              <w:rStyle w:val="29"/>
              <w:rFonts w:hint="eastAsia"/>
              <w:color w:val="auto"/>
            </w:rPr>
            <w:t>4.6.3</w:t>
          </w:r>
          <w:r>
            <w:rPr>
              <w:rFonts w:hint="eastAsia" w:asciiTheme="minorHAnsi" w:hAnsiTheme="minorHAnsi" w:eastAsiaTheme="minorEastAsia"/>
              <w:color w:val="auto"/>
              <w:sz w:val="22"/>
              <w:szCs w:val="24"/>
              <w14:ligatures w14:val="standardContextual"/>
            </w:rPr>
            <w:tab/>
          </w:r>
          <w:r>
            <w:rPr>
              <w:rStyle w:val="29"/>
              <w:rFonts w:hint="eastAsia"/>
              <w:color w:val="auto"/>
            </w:rPr>
            <w:t>监测时间及频次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_Toc225216751 \h</w:instrText>
          </w:r>
          <w:r>
            <w:rPr>
              <w:rFonts w:hint="eastAsia"/>
              <w:color w:val="auto"/>
            </w:rPr>
            <w:instrText xml:space="preserve"> </w:instrText>
          </w:r>
          <w:r>
            <w:rPr>
              <w:rFonts w:hint="eastAsia"/>
              <w:color w:val="auto"/>
            </w:rPr>
            <w:fldChar w:fldCharType="separate"/>
          </w:r>
          <w:r>
            <w:rPr>
              <w:color w:val="auto"/>
            </w:rPr>
            <w:t>233</w:t>
          </w:r>
          <w:r>
            <w:rPr>
              <w:rFonts w:hint="eastAsia"/>
              <w:color w:val="auto"/>
            </w:rPr>
            <w:fldChar w:fldCharType="end"/>
          </w:r>
          <w:r>
            <w:rPr>
              <w:rFonts w:hint="eastAsia"/>
              <w:color w:val="auto"/>
            </w:rPr>
            <w:fldChar w:fldCharType="end"/>
          </w:r>
        </w:p>
        <w:p w14:paraId="0B16E37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"_Toc225216752" </w:instrText>
          </w:r>
          <w:r>
            <w:rPr>
              <w:color w:val="auto"/>
            </w:rPr>
            <w:fldChar w:fldCharType="separate"/>
          </w:r>
          <w:r>
            <w:rPr>
              <w:rStyle w:val="29"/>
              <w:rFonts w:hint="eastAsia"/>
              <w:color w:val="auto"/>
            </w:rPr>
            <w:t>4.6.4</w:t>
          </w:r>
          <w:r>
            <w:rPr>
              <w:rFonts w:hint="eastAsia" w:asciiTheme="minorHAnsi" w:hAnsiTheme="minorHAnsi" w:eastAsiaTheme="minorEastAsia"/>
              <w:color w:val="auto"/>
              <w:sz w:val="22"/>
              <w:szCs w:val="24"/>
              <w14:ligatures w14:val="standardContextual"/>
            </w:rPr>
            <w:tab/>
          </w:r>
          <w:r>
            <w:rPr>
              <w:rStyle w:val="29"/>
              <w:rFonts w:hint="eastAsia"/>
              <w:color w:val="auto"/>
            </w:rPr>
            <w:t>分析方法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_Toc225216752 \h</w:instrText>
          </w:r>
          <w:r>
            <w:rPr>
              <w:rFonts w:hint="eastAsia"/>
              <w:color w:val="auto"/>
            </w:rPr>
            <w:instrText xml:space="preserve"> </w:instrText>
          </w:r>
          <w:r>
            <w:rPr>
              <w:rFonts w:hint="eastAsia"/>
              <w:color w:val="auto"/>
            </w:rPr>
            <w:fldChar w:fldCharType="separate"/>
          </w:r>
          <w:r>
            <w:rPr>
              <w:color w:val="auto"/>
            </w:rPr>
            <w:t>234</w:t>
          </w:r>
          <w:r>
            <w:rPr>
              <w:rFonts w:hint="eastAsia"/>
              <w:color w:val="auto"/>
            </w:rPr>
            <w:fldChar w:fldCharType="end"/>
          </w:r>
          <w:r>
            <w:rPr>
              <w:rFonts w:hint="eastAsia"/>
              <w:color w:val="auto"/>
            </w:rPr>
            <w:fldChar w:fldCharType="end"/>
          </w:r>
        </w:p>
        <w:p w14:paraId="0820281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"_Toc225216753" </w:instrText>
          </w:r>
          <w:r>
            <w:rPr>
              <w:color w:val="auto"/>
            </w:rPr>
            <w:fldChar w:fldCharType="separate"/>
          </w:r>
          <w:r>
            <w:rPr>
              <w:rStyle w:val="29"/>
              <w:rFonts w:hint="eastAsia"/>
              <w:color w:val="auto"/>
            </w:rPr>
            <w:t>4.6.5</w:t>
          </w:r>
          <w:r>
            <w:rPr>
              <w:rFonts w:hint="eastAsia" w:asciiTheme="minorHAnsi" w:hAnsiTheme="minorHAnsi" w:eastAsiaTheme="minorEastAsia"/>
              <w:color w:val="auto"/>
              <w:sz w:val="22"/>
              <w:szCs w:val="24"/>
              <w14:ligatures w14:val="standardContextual"/>
            </w:rPr>
            <w:tab/>
          </w:r>
          <w:r>
            <w:rPr>
              <w:rStyle w:val="29"/>
              <w:rFonts w:hint="eastAsia"/>
              <w:color w:val="auto"/>
            </w:rPr>
            <w:t>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_Toc225216753 \h</w:instrText>
          </w:r>
          <w:r>
            <w:rPr>
              <w:rFonts w:hint="eastAsia"/>
              <w:color w:val="auto"/>
            </w:rPr>
            <w:instrText xml:space="preserve"> </w:instrText>
          </w:r>
          <w:r>
            <w:rPr>
              <w:rFonts w:hint="eastAsia"/>
              <w:color w:val="auto"/>
            </w:rPr>
            <w:fldChar w:fldCharType="separate"/>
          </w:r>
          <w:r>
            <w:rPr>
              <w:color w:val="auto"/>
            </w:rPr>
            <w:t>235</w:t>
          </w:r>
          <w:r>
            <w:rPr>
              <w:rFonts w:hint="eastAsia"/>
              <w:color w:val="auto"/>
            </w:rPr>
            <w:fldChar w:fldCharType="end"/>
          </w:r>
          <w:r>
            <w:rPr>
              <w:rFonts w:hint="eastAsia"/>
              <w:color w:val="auto"/>
            </w:rPr>
            <w:fldChar w:fldCharType="end"/>
          </w:r>
        </w:p>
        <w:p w14:paraId="54ADC8A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"_Toc225216754" </w:instrText>
          </w:r>
          <w:r>
            <w:rPr>
              <w:color w:val="auto"/>
            </w:rPr>
            <w:fldChar w:fldCharType="separate"/>
          </w:r>
          <w:r>
            <w:rPr>
              <w:rStyle w:val="29"/>
              <w:rFonts w:hint="eastAsia"/>
              <w:color w:val="auto"/>
            </w:rPr>
            <w:t>4.6.6</w:t>
          </w:r>
          <w:r>
            <w:rPr>
              <w:rFonts w:hint="eastAsia" w:asciiTheme="minorHAnsi" w:hAnsiTheme="minorHAnsi" w:eastAsiaTheme="minorEastAsia"/>
              <w:color w:val="auto"/>
              <w:sz w:val="22"/>
              <w:szCs w:val="24"/>
              <w14:ligatures w14:val="standardContextual"/>
            </w:rPr>
            <w:tab/>
          </w:r>
          <w:r>
            <w:rPr>
              <w:rStyle w:val="29"/>
              <w:rFonts w:hint="eastAsia"/>
              <w:color w:val="auto"/>
            </w:rPr>
            <w:t>评价方法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_Toc225216754 \h</w:instrText>
          </w:r>
          <w:r>
            <w:rPr>
              <w:rFonts w:hint="eastAsia"/>
              <w:color w:val="auto"/>
            </w:rPr>
            <w:instrText xml:space="preserve"> </w:instrText>
          </w:r>
          <w:r>
            <w:rPr>
              <w:rFonts w:hint="eastAsia"/>
              <w:color w:val="auto"/>
            </w:rPr>
            <w:fldChar w:fldCharType="separate"/>
          </w:r>
          <w:r>
            <w:rPr>
              <w:color w:val="auto"/>
            </w:rPr>
            <w:t>235</w:t>
          </w:r>
          <w:r>
            <w:rPr>
              <w:rFonts w:hint="eastAsia"/>
              <w:color w:val="auto"/>
            </w:rPr>
            <w:fldChar w:fldCharType="end"/>
          </w:r>
          <w:r>
            <w:rPr>
              <w:rFonts w:hint="eastAsia"/>
              <w:color w:val="auto"/>
            </w:rPr>
            <w:fldChar w:fldCharType="end"/>
          </w:r>
        </w:p>
        <w:p w14:paraId="29F681A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"_Toc225216755" </w:instrText>
          </w:r>
          <w:r>
            <w:rPr>
              <w:color w:val="auto"/>
            </w:rPr>
            <w:fldChar w:fldCharType="separate"/>
          </w:r>
          <w:r>
            <w:rPr>
              <w:rStyle w:val="29"/>
              <w:rFonts w:hint="eastAsia"/>
              <w:color w:val="auto"/>
            </w:rPr>
            <w:t>4.6.7</w:t>
          </w:r>
          <w:r>
            <w:rPr>
              <w:rFonts w:hint="eastAsia" w:asciiTheme="minorHAnsi" w:hAnsiTheme="minorHAnsi" w:eastAsiaTheme="minorEastAsia"/>
              <w:color w:val="auto"/>
              <w:sz w:val="22"/>
              <w:szCs w:val="24"/>
              <w14:ligatures w14:val="standardContextual"/>
            </w:rPr>
            <w:tab/>
          </w:r>
          <w:r>
            <w:rPr>
              <w:rStyle w:val="29"/>
              <w:rFonts w:hint="eastAsia"/>
              <w:color w:val="auto"/>
            </w:rPr>
            <w:t>监测结果及评价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_Toc225216755 \h</w:instrText>
          </w:r>
          <w:r>
            <w:rPr>
              <w:rFonts w:hint="eastAsia"/>
              <w:color w:val="auto"/>
            </w:rPr>
            <w:instrText xml:space="preserve"> </w:instrText>
          </w:r>
          <w:r>
            <w:rPr>
              <w:rFonts w:hint="eastAsia"/>
              <w:color w:val="auto"/>
            </w:rPr>
            <w:fldChar w:fldCharType="separate"/>
          </w:r>
          <w:r>
            <w:rPr>
              <w:color w:val="auto"/>
            </w:rPr>
            <w:t>236</w:t>
          </w:r>
          <w:r>
            <w:rPr>
              <w:rFonts w:hint="eastAsia"/>
              <w:color w:val="auto"/>
            </w:rPr>
            <w:fldChar w:fldCharType="end"/>
          </w:r>
          <w:r>
            <w:rPr>
              <w:rFonts w:hint="eastAsia"/>
              <w:color w:val="auto"/>
            </w:rPr>
            <w:fldChar w:fldCharType="end"/>
          </w:r>
        </w:p>
        <w:p w14:paraId="70D8FA92">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"_Toc225216756" </w:instrText>
          </w:r>
          <w:r>
            <w:rPr>
              <w:color w:val="auto"/>
            </w:rPr>
            <w:fldChar w:fldCharType="separate"/>
          </w:r>
          <w:r>
            <w:rPr>
              <w:rStyle w:val="29"/>
              <w:rFonts w:hint="eastAsia"/>
              <w:color w:val="auto"/>
            </w:rPr>
            <w:t>4.7</w:t>
          </w:r>
          <w:r>
            <w:rPr>
              <w:rFonts w:hint="eastAsia" w:asciiTheme="minorHAnsi" w:hAnsiTheme="minorHAnsi" w:eastAsiaTheme="minorEastAsia"/>
              <w:color w:val="auto"/>
              <w:sz w:val="22"/>
              <w:szCs w:val="24"/>
              <w14:ligatures w14:val="standardContextual"/>
            </w:rPr>
            <w:tab/>
          </w:r>
          <w:r>
            <w:rPr>
              <w:rStyle w:val="29"/>
              <w:rFonts w:hint="eastAsia"/>
              <w:color w:val="auto"/>
            </w:rPr>
            <w:t>包气带污染调查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_Toc225216756 \h</w:instrText>
          </w:r>
          <w:r>
            <w:rPr>
              <w:rFonts w:hint="eastAsia"/>
              <w:color w:val="auto"/>
            </w:rPr>
            <w:instrText xml:space="preserve"> </w:instrText>
          </w:r>
          <w:r>
            <w:rPr>
              <w:rFonts w:hint="eastAsia"/>
              <w:color w:val="auto"/>
            </w:rPr>
            <w:fldChar w:fldCharType="separate"/>
          </w:r>
          <w:r>
            <w:rPr>
              <w:color w:val="auto"/>
            </w:rPr>
            <w:t>239</w:t>
          </w:r>
          <w:r>
            <w:rPr>
              <w:rFonts w:hint="eastAsia"/>
              <w:color w:val="auto"/>
            </w:rPr>
            <w:fldChar w:fldCharType="end"/>
          </w:r>
          <w:r>
            <w:rPr>
              <w:rFonts w:hint="eastAsia"/>
              <w:color w:val="auto"/>
            </w:rPr>
            <w:fldChar w:fldCharType="end"/>
          </w:r>
        </w:p>
        <w:p w14:paraId="4F11AC7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"_Toc225216757" </w:instrText>
          </w:r>
          <w:r>
            <w:rPr>
              <w:color w:val="auto"/>
            </w:rPr>
            <w:fldChar w:fldCharType="separate"/>
          </w:r>
          <w:r>
            <w:rPr>
              <w:rStyle w:val="29"/>
              <w:rFonts w:hint="eastAsia"/>
              <w:color w:val="auto"/>
            </w:rPr>
            <w:t>4.7.1</w:t>
          </w:r>
          <w:r>
            <w:rPr>
              <w:rFonts w:hint="eastAsia" w:asciiTheme="minorHAnsi" w:hAnsiTheme="minorHAnsi" w:eastAsiaTheme="minorEastAsia"/>
              <w:color w:val="auto"/>
              <w:sz w:val="22"/>
              <w:szCs w:val="24"/>
              <w14:ligatures w14:val="standardContextual"/>
            </w:rPr>
            <w:tab/>
          </w:r>
          <w:r>
            <w:rPr>
              <w:rStyle w:val="29"/>
              <w:rFonts w:hint="eastAsia"/>
              <w:color w:val="auto"/>
            </w:rPr>
            <w:t>监测点位和监测因子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_Toc225216757 \h</w:instrText>
          </w:r>
          <w:r>
            <w:rPr>
              <w:rFonts w:hint="eastAsia"/>
              <w:color w:val="auto"/>
            </w:rPr>
            <w:instrText xml:space="preserve"> </w:instrText>
          </w:r>
          <w:r>
            <w:rPr>
              <w:rFonts w:hint="eastAsia"/>
              <w:color w:val="auto"/>
            </w:rPr>
            <w:fldChar w:fldCharType="separate"/>
          </w:r>
          <w:r>
            <w:rPr>
              <w:color w:val="auto"/>
            </w:rPr>
            <w:t>239</w:t>
          </w:r>
          <w:r>
            <w:rPr>
              <w:rFonts w:hint="eastAsia"/>
              <w:color w:val="auto"/>
            </w:rPr>
            <w:fldChar w:fldCharType="end"/>
          </w:r>
          <w:r>
            <w:rPr>
              <w:rFonts w:hint="eastAsia"/>
              <w:color w:val="auto"/>
            </w:rPr>
            <w:fldChar w:fldCharType="end"/>
          </w:r>
        </w:p>
        <w:p w14:paraId="74136EE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"_Toc225216758" </w:instrText>
          </w:r>
          <w:r>
            <w:rPr>
              <w:color w:val="auto"/>
            </w:rPr>
            <w:fldChar w:fldCharType="separate"/>
          </w:r>
          <w:r>
            <w:rPr>
              <w:rStyle w:val="29"/>
              <w:rFonts w:hint="eastAsia"/>
              <w:color w:val="auto"/>
            </w:rPr>
            <w:t>4.7.2</w:t>
          </w:r>
          <w:r>
            <w:rPr>
              <w:rFonts w:hint="eastAsia" w:asciiTheme="minorHAnsi" w:hAnsiTheme="minorHAnsi" w:eastAsiaTheme="minorEastAsia"/>
              <w:color w:val="auto"/>
              <w:sz w:val="22"/>
              <w:szCs w:val="24"/>
              <w14:ligatures w14:val="standardContextual"/>
            </w:rPr>
            <w:tab/>
          </w:r>
          <w:r>
            <w:rPr>
              <w:rStyle w:val="29"/>
              <w:rFonts w:hint="eastAsia"/>
              <w:color w:val="auto"/>
            </w:rPr>
            <w:t>分析方法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_Toc225216758 \h</w:instrText>
          </w:r>
          <w:r>
            <w:rPr>
              <w:rFonts w:hint="eastAsia"/>
              <w:color w:val="auto"/>
            </w:rPr>
            <w:instrText xml:space="preserve"> </w:instrText>
          </w:r>
          <w:r>
            <w:rPr>
              <w:rFonts w:hint="eastAsia"/>
              <w:color w:val="auto"/>
            </w:rPr>
            <w:fldChar w:fldCharType="separate"/>
          </w:r>
          <w:r>
            <w:rPr>
              <w:color w:val="auto"/>
            </w:rPr>
            <w:t>239</w:t>
          </w:r>
          <w:r>
            <w:rPr>
              <w:rFonts w:hint="eastAsia"/>
              <w:color w:val="auto"/>
            </w:rPr>
            <w:fldChar w:fldCharType="end"/>
          </w:r>
          <w:r>
            <w:rPr>
              <w:rFonts w:hint="eastAsia"/>
              <w:color w:val="auto"/>
            </w:rPr>
            <w:fldChar w:fldCharType="end"/>
          </w:r>
        </w:p>
        <w:p w14:paraId="2892B44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"_Toc225216759" </w:instrText>
          </w:r>
          <w:r>
            <w:rPr>
              <w:color w:val="auto"/>
            </w:rPr>
            <w:fldChar w:fldCharType="separate"/>
          </w:r>
          <w:r>
            <w:rPr>
              <w:rStyle w:val="29"/>
              <w:rFonts w:hint="eastAsia"/>
              <w:color w:val="auto"/>
            </w:rPr>
            <w:t>4.7.3</w:t>
          </w:r>
          <w:r>
            <w:rPr>
              <w:rFonts w:hint="eastAsia" w:asciiTheme="minorHAnsi" w:hAnsiTheme="minorHAnsi" w:eastAsiaTheme="minorEastAsia"/>
              <w:color w:val="auto"/>
              <w:sz w:val="22"/>
              <w:szCs w:val="24"/>
              <w14:ligatures w14:val="standardContextual"/>
            </w:rPr>
            <w:tab/>
          </w:r>
          <w:r>
            <w:rPr>
              <w:rStyle w:val="29"/>
              <w:rFonts w:hint="eastAsia"/>
              <w:color w:val="auto"/>
            </w:rPr>
            <w:t>监测和评价结果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_Toc225216759 \h</w:instrText>
          </w:r>
          <w:r>
            <w:rPr>
              <w:rFonts w:hint="eastAsia"/>
              <w:color w:val="auto"/>
            </w:rPr>
            <w:instrText xml:space="preserve"> </w:instrText>
          </w:r>
          <w:r>
            <w:rPr>
              <w:rFonts w:hint="eastAsia"/>
              <w:color w:val="auto"/>
            </w:rPr>
            <w:fldChar w:fldCharType="separate"/>
          </w:r>
          <w:r>
            <w:rPr>
              <w:color w:val="auto"/>
            </w:rPr>
            <w:t>241</w:t>
          </w:r>
          <w:r>
            <w:rPr>
              <w:rFonts w:hint="eastAsia"/>
              <w:color w:val="auto"/>
            </w:rPr>
            <w:fldChar w:fldCharType="end"/>
          </w:r>
          <w:r>
            <w:rPr>
              <w:rFonts w:hint="eastAsia"/>
              <w:color w:val="auto"/>
            </w:rPr>
            <w:fldChar w:fldCharType="end"/>
          </w:r>
        </w:p>
        <w:p w14:paraId="1F1A637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"_Toc225216760" </w:instrText>
          </w:r>
          <w:r>
            <w:rPr>
              <w:color w:val="auto"/>
            </w:rPr>
            <w:fldChar w:fldCharType="separate"/>
          </w:r>
          <w:r>
            <w:rPr>
              <w:rStyle w:val="29"/>
              <w:rFonts w:hint="eastAsia"/>
              <w:color w:val="auto"/>
            </w:rPr>
            <w:t>4.8</w:t>
          </w:r>
          <w:r>
            <w:rPr>
              <w:rFonts w:hint="eastAsia" w:asciiTheme="minorHAnsi" w:hAnsiTheme="minorHAnsi" w:eastAsiaTheme="minorEastAsia"/>
              <w:color w:val="auto"/>
              <w:sz w:val="22"/>
              <w:szCs w:val="24"/>
              <w14:ligatures w14:val="standardContextual"/>
            </w:rPr>
            <w:tab/>
          </w:r>
          <w:r>
            <w:rPr>
              <w:rStyle w:val="29"/>
              <w:rFonts w:hint="eastAsia"/>
              <w:color w:val="auto"/>
            </w:rPr>
            <w:t>声环境质量现状调查与评价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_Toc225216760 \h</w:instrText>
          </w:r>
          <w:r>
            <w:rPr>
              <w:rFonts w:hint="eastAsia"/>
              <w:color w:val="auto"/>
            </w:rPr>
            <w:instrText xml:space="preserve"> </w:instrText>
          </w:r>
          <w:r>
            <w:rPr>
              <w:rFonts w:hint="eastAsia"/>
              <w:color w:val="auto"/>
            </w:rPr>
            <w:fldChar w:fldCharType="separate"/>
          </w:r>
          <w:r>
            <w:rPr>
              <w:color w:val="auto"/>
            </w:rPr>
            <w:t>243</w:t>
          </w:r>
          <w:r>
            <w:rPr>
              <w:rFonts w:hint="eastAsia"/>
              <w:color w:val="auto"/>
            </w:rPr>
            <w:fldChar w:fldCharType="end"/>
          </w:r>
          <w:r>
            <w:rPr>
              <w:rFonts w:hint="eastAsia"/>
              <w:color w:val="auto"/>
            </w:rPr>
            <w:fldChar w:fldCharType="end"/>
          </w:r>
        </w:p>
        <w:p w14:paraId="52662F4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"_Toc225216761" </w:instrText>
          </w:r>
          <w:r>
            <w:rPr>
              <w:color w:val="auto"/>
            </w:rPr>
            <w:fldChar w:fldCharType="separate"/>
          </w:r>
          <w:r>
            <w:rPr>
              <w:rStyle w:val="29"/>
              <w:rFonts w:hint="eastAsia"/>
              <w:color w:val="auto"/>
            </w:rPr>
            <w:t>4.8.1</w:t>
          </w:r>
          <w:r>
            <w:rPr>
              <w:rFonts w:hint="eastAsia" w:asciiTheme="minorHAnsi" w:hAnsiTheme="minorHAnsi" w:eastAsiaTheme="minorEastAsia"/>
              <w:color w:val="auto"/>
              <w:sz w:val="22"/>
              <w:szCs w:val="24"/>
              <w14:ligatures w14:val="standardContextual"/>
            </w:rPr>
            <w:tab/>
          </w:r>
          <w:r>
            <w:rPr>
              <w:rStyle w:val="29"/>
              <w:rFonts w:hint="eastAsia"/>
              <w:color w:val="auto"/>
            </w:rPr>
            <w:t>监测点布设</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_Toc225216761 \h</w:instrText>
          </w:r>
          <w:r>
            <w:rPr>
              <w:rFonts w:hint="eastAsia"/>
              <w:color w:val="auto"/>
            </w:rPr>
            <w:instrText xml:space="preserve"> </w:instrText>
          </w:r>
          <w:r>
            <w:rPr>
              <w:rFonts w:hint="eastAsia"/>
              <w:color w:val="auto"/>
            </w:rPr>
            <w:fldChar w:fldCharType="separate"/>
          </w:r>
          <w:r>
            <w:rPr>
              <w:color w:val="auto"/>
            </w:rPr>
            <w:t>243</w:t>
          </w:r>
          <w:r>
            <w:rPr>
              <w:rFonts w:hint="eastAsia"/>
              <w:color w:val="auto"/>
            </w:rPr>
            <w:fldChar w:fldCharType="end"/>
          </w:r>
          <w:r>
            <w:rPr>
              <w:rFonts w:hint="eastAsia"/>
              <w:color w:val="auto"/>
            </w:rPr>
            <w:fldChar w:fldCharType="end"/>
          </w:r>
        </w:p>
        <w:p w14:paraId="3531BF3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"_Toc225216762" </w:instrText>
          </w:r>
          <w:r>
            <w:rPr>
              <w:color w:val="auto"/>
            </w:rPr>
            <w:fldChar w:fldCharType="separate"/>
          </w:r>
          <w:r>
            <w:rPr>
              <w:rStyle w:val="29"/>
              <w:rFonts w:hint="eastAsia"/>
              <w:color w:val="auto"/>
            </w:rPr>
            <w:t>4.8.2</w:t>
          </w:r>
          <w:r>
            <w:rPr>
              <w:rFonts w:hint="eastAsia" w:asciiTheme="minorHAnsi" w:hAnsiTheme="minorHAnsi" w:eastAsiaTheme="minorEastAsia"/>
              <w:color w:val="auto"/>
              <w:sz w:val="22"/>
              <w:szCs w:val="24"/>
              <w14:ligatures w14:val="standardContextual"/>
            </w:rPr>
            <w:tab/>
          </w:r>
          <w:r>
            <w:rPr>
              <w:rStyle w:val="29"/>
              <w:rFonts w:hint="eastAsia"/>
              <w:color w:val="auto"/>
            </w:rPr>
            <w:t>监测因子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_Toc225216762 \h</w:instrText>
          </w:r>
          <w:r>
            <w:rPr>
              <w:rFonts w:hint="eastAsia"/>
              <w:color w:val="auto"/>
            </w:rPr>
            <w:instrText xml:space="preserve"> </w:instrText>
          </w:r>
          <w:r>
            <w:rPr>
              <w:rFonts w:hint="eastAsia"/>
              <w:color w:val="auto"/>
            </w:rPr>
            <w:fldChar w:fldCharType="separate"/>
          </w:r>
          <w:r>
            <w:rPr>
              <w:color w:val="auto"/>
            </w:rPr>
            <w:t>243</w:t>
          </w:r>
          <w:r>
            <w:rPr>
              <w:rFonts w:hint="eastAsia"/>
              <w:color w:val="auto"/>
            </w:rPr>
            <w:fldChar w:fldCharType="end"/>
          </w:r>
          <w:r>
            <w:rPr>
              <w:rFonts w:hint="eastAsia"/>
              <w:color w:val="auto"/>
            </w:rPr>
            <w:fldChar w:fldCharType="end"/>
          </w:r>
        </w:p>
        <w:p w14:paraId="50809E4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"_Toc225216763" </w:instrText>
          </w:r>
          <w:r>
            <w:rPr>
              <w:color w:val="auto"/>
            </w:rPr>
            <w:fldChar w:fldCharType="separate"/>
          </w:r>
          <w:r>
            <w:rPr>
              <w:rStyle w:val="29"/>
              <w:rFonts w:hint="eastAsia"/>
              <w:color w:val="auto"/>
            </w:rPr>
            <w:t>4.8.3</w:t>
          </w:r>
          <w:r>
            <w:rPr>
              <w:rFonts w:hint="eastAsia" w:asciiTheme="minorHAnsi" w:hAnsiTheme="minorHAnsi" w:eastAsiaTheme="minorEastAsia"/>
              <w:color w:val="auto"/>
              <w:sz w:val="22"/>
              <w:szCs w:val="24"/>
              <w14:ligatures w14:val="standardContextual"/>
            </w:rPr>
            <w:tab/>
          </w:r>
          <w:r>
            <w:rPr>
              <w:rStyle w:val="29"/>
              <w:rFonts w:hint="eastAsia"/>
              <w:color w:val="auto"/>
            </w:rPr>
            <w:t>监测时间及频次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_Toc225216763 \h</w:instrText>
          </w:r>
          <w:r>
            <w:rPr>
              <w:rFonts w:hint="eastAsia"/>
              <w:color w:val="auto"/>
            </w:rPr>
            <w:instrText xml:space="preserve"> </w:instrText>
          </w:r>
          <w:r>
            <w:rPr>
              <w:rFonts w:hint="eastAsia"/>
              <w:color w:val="auto"/>
            </w:rPr>
            <w:fldChar w:fldCharType="separate"/>
          </w:r>
          <w:r>
            <w:rPr>
              <w:color w:val="auto"/>
            </w:rPr>
            <w:t>243</w:t>
          </w:r>
          <w:r>
            <w:rPr>
              <w:rFonts w:hint="eastAsia"/>
              <w:color w:val="auto"/>
            </w:rPr>
            <w:fldChar w:fldCharType="end"/>
          </w:r>
          <w:r>
            <w:rPr>
              <w:rFonts w:hint="eastAsia"/>
              <w:color w:val="auto"/>
            </w:rPr>
            <w:fldChar w:fldCharType="end"/>
          </w:r>
        </w:p>
        <w:p w14:paraId="7145F89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"_Toc225216764" </w:instrText>
          </w:r>
          <w:r>
            <w:rPr>
              <w:color w:val="auto"/>
            </w:rPr>
            <w:fldChar w:fldCharType="separate"/>
          </w:r>
          <w:r>
            <w:rPr>
              <w:rStyle w:val="29"/>
              <w:rFonts w:hint="eastAsia"/>
              <w:color w:val="auto"/>
            </w:rPr>
            <w:t>4.8.4</w:t>
          </w:r>
          <w:r>
            <w:rPr>
              <w:rFonts w:hint="eastAsia" w:asciiTheme="minorHAnsi" w:hAnsiTheme="minorHAnsi" w:eastAsiaTheme="minorEastAsia"/>
              <w:color w:val="auto"/>
              <w:sz w:val="22"/>
              <w:szCs w:val="24"/>
              <w14:ligatures w14:val="standardContextual"/>
            </w:rPr>
            <w:tab/>
          </w:r>
          <w:r>
            <w:rPr>
              <w:rStyle w:val="29"/>
              <w:rFonts w:hint="eastAsia"/>
              <w:color w:val="auto"/>
            </w:rPr>
            <w:t>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_Toc225216764 \h</w:instrText>
          </w:r>
          <w:r>
            <w:rPr>
              <w:rFonts w:hint="eastAsia"/>
              <w:color w:val="auto"/>
            </w:rPr>
            <w:instrText xml:space="preserve"> </w:instrText>
          </w:r>
          <w:r>
            <w:rPr>
              <w:rFonts w:hint="eastAsia"/>
              <w:color w:val="auto"/>
            </w:rPr>
            <w:fldChar w:fldCharType="separate"/>
          </w:r>
          <w:r>
            <w:rPr>
              <w:color w:val="auto"/>
            </w:rPr>
            <w:t>243</w:t>
          </w:r>
          <w:r>
            <w:rPr>
              <w:rFonts w:hint="eastAsia"/>
              <w:color w:val="auto"/>
            </w:rPr>
            <w:fldChar w:fldCharType="end"/>
          </w:r>
          <w:r>
            <w:rPr>
              <w:rFonts w:hint="eastAsia"/>
              <w:color w:val="auto"/>
            </w:rPr>
            <w:fldChar w:fldCharType="end"/>
          </w:r>
        </w:p>
        <w:p w14:paraId="245DB18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"_Toc225216765" </w:instrText>
          </w:r>
          <w:r>
            <w:rPr>
              <w:color w:val="auto"/>
            </w:rPr>
            <w:fldChar w:fldCharType="separate"/>
          </w:r>
          <w:r>
            <w:rPr>
              <w:rStyle w:val="29"/>
              <w:rFonts w:hint="eastAsia"/>
              <w:color w:val="auto"/>
            </w:rPr>
            <w:t>4.8.5</w:t>
          </w:r>
          <w:r>
            <w:rPr>
              <w:rFonts w:hint="eastAsia" w:asciiTheme="minorHAnsi" w:hAnsiTheme="minorHAnsi" w:eastAsiaTheme="minorEastAsia"/>
              <w:color w:val="auto"/>
              <w:sz w:val="22"/>
              <w:szCs w:val="24"/>
              <w14:ligatures w14:val="standardContextual"/>
            </w:rPr>
            <w:tab/>
          </w:r>
          <w:r>
            <w:rPr>
              <w:rStyle w:val="29"/>
              <w:rFonts w:hint="eastAsia"/>
              <w:color w:val="auto"/>
            </w:rPr>
            <w:t>监测结果及评价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_Toc225216765 \h</w:instrText>
          </w:r>
          <w:r>
            <w:rPr>
              <w:rFonts w:hint="eastAsia"/>
              <w:color w:val="auto"/>
            </w:rPr>
            <w:instrText xml:space="preserve"> </w:instrText>
          </w:r>
          <w:r>
            <w:rPr>
              <w:rFonts w:hint="eastAsia"/>
              <w:color w:val="auto"/>
            </w:rPr>
            <w:fldChar w:fldCharType="separate"/>
          </w:r>
          <w:r>
            <w:rPr>
              <w:color w:val="auto"/>
            </w:rPr>
            <w:t>244</w:t>
          </w:r>
          <w:r>
            <w:rPr>
              <w:rFonts w:hint="eastAsia"/>
              <w:color w:val="auto"/>
            </w:rPr>
            <w:fldChar w:fldCharType="end"/>
          </w:r>
          <w:r>
            <w:rPr>
              <w:rFonts w:hint="eastAsia"/>
              <w:color w:val="auto"/>
            </w:rPr>
            <w:fldChar w:fldCharType="end"/>
          </w:r>
        </w:p>
        <w:p w14:paraId="3970AD1C">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"_Toc225216766" </w:instrText>
          </w:r>
          <w:r>
            <w:rPr>
              <w:color w:val="auto"/>
            </w:rPr>
            <w:fldChar w:fldCharType="separate"/>
          </w:r>
          <w:r>
            <w:rPr>
              <w:rStyle w:val="29"/>
              <w:rFonts w:hint="eastAsia"/>
              <w:color w:val="auto"/>
            </w:rPr>
            <w:t>4.9</w:t>
          </w:r>
          <w:r>
            <w:rPr>
              <w:rFonts w:hint="eastAsia" w:asciiTheme="minorHAnsi" w:hAnsiTheme="minorHAnsi" w:eastAsiaTheme="minorEastAsia"/>
              <w:color w:val="auto"/>
              <w:sz w:val="22"/>
              <w:szCs w:val="24"/>
              <w14:ligatures w14:val="standardContextual"/>
            </w:rPr>
            <w:tab/>
          </w:r>
          <w:r>
            <w:rPr>
              <w:rStyle w:val="29"/>
              <w:rFonts w:hint="eastAsia"/>
              <w:color w:val="auto"/>
            </w:rPr>
            <w:t>土壤环境质量现状调查及评价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_Toc225216766 \h</w:instrText>
          </w:r>
          <w:r>
            <w:rPr>
              <w:rFonts w:hint="eastAsia"/>
              <w:color w:val="auto"/>
            </w:rPr>
            <w:instrText xml:space="preserve"> </w:instrText>
          </w:r>
          <w:r>
            <w:rPr>
              <w:rFonts w:hint="eastAsia"/>
              <w:color w:val="auto"/>
            </w:rPr>
            <w:fldChar w:fldCharType="separate"/>
          </w:r>
          <w:r>
            <w:rPr>
              <w:color w:val="auto"/>
            </w:rPr>
            <w:t>245</w:t>
          </w:r>
          <w:r>
            <w:rPr>
              <w:rFonts w:hint="eastAsia"/>
              <w:color w:val="auto"/>
            </w:rPr>
            <w:fldChar w:fldCharType="end"/>
          </w:r>
          <w:r>
            <w:rPr>
              <w:rFonts w:hint="eastAsia"/>
              <w:color w:val="auto"/>
            </w:rPr>
            <w:fldChar w:fldCharType="end"/>
          </w:r>
        </w:p>
        <w:p w14:paraId="32ADEAE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"_Toc225216767" </w:instrText>
          </w:r>
          <w:r>
            <w:rPr>
              <w:color w:val="auto"/>
            </w:rPr>
            <w:fldChar w:fldCharType="separate"/>
          </w:r>
          <w:r>
            <w:rPr>
              <w:rStyle w:val="29"/>
              <w:rFonts w:hint="eastAsia"/>
              <w:color w:val="auto"/>
            </w:rPr>
            <w:t>4.9.1</w:t>
          </w:r>
          <w:r>
            <w:rPr>
              <w:rFonts w:hint="eastAsia" w:asciiTheme="minorHAnsi" w:hAnsiTheme="minorHAnsi" w:eastAsiaTheme="minorEastAsia"/>
              <w:color w:val="auto"/>
              <w:sz w:val="22"/>
              <w:szCs w:val="24"/>
              <w14:ligatures w14:val="standardContextual"/>
            </w:rPr>
            <w:tab/>
          </w:r>
          <w:r>
            <w:rPr>
              <w:rStyle w:val="29"/>
              <w:rFonts w:hint="eastAsia"/>
              <w:color w:val="auto"/>
            </w:rPr>
            <w:t>监测布点及监测因子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_Toc225216767 \h</w:instrText>
          </w:r>
          <w:r>
            <w:rPr>
              <w:rFonts w:hint="eastAsia"/>
              <w:color w:val="auto"/>
            </w:rPr>
            <w:instrText xml:space="preserve"> </w:instrText>
          </w:r>
          <w:r>
            <w:rPr>
              <w:rFonts w:hint="eastAsia"/>
              <w:color w:val="auto"/>
            </w:rPr>
            <w:fldChar w:fldCharType="separate"/>
          </w:r>
          <w:r>
            <w:rPr>
              <w:color w:val="auto"/>
            </w:rPr>
            <w:t>245</w:t>
          </w:r>
          <w:r>
            <w:rPr>
              <w:rFonts w:hint="eastAsia"/>
              <w:color w:val="auto"/>
            </w:rPr>
            <w:fldChar w:fldCharType="end"/>
          </w:r>
          <w:r>
            <w:rPr>
              <w:rFonts w:hint="eastAsia"/>
              <w:color w:val="auto"/>
            </w:rPr>
            <w:fldChar w:fldCharType="end"/>
          </w:r>
        </w:p>
        <w:p w14:paraId="551A8B8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"_Toc225216768" </w:instrText>
          </w:r>
          <w:r>
            <w:rPr>
              <w:color w:val="auto"/>
            </w:rPr>
            <w:fldChar w:fldCharType="separate"/>
          </w:r>
          <w:r>
            <w:rPr>
              <w:rStyle w:val="29"/>
              <w:rFonts w:hint="eastAsia"/>
              <w:color w:val="auto"/>
            </w:rPr>
            <w:t>4.9.2</w:t>
          </w:r>
          <w:r>
            <w:rPr>
              <w:rFonts w:hint="eastAsia" w:asciiTheme="minorHAnsi" w:hAnsiTheme="minorHAnsi" w:eastAsiaTheme="minorEastAsia"/>
              <w:color w:val="auto"/>
              <w:sz w:val="22"/>
              <w:szCs w:val="24"/>
              <w14:ligatures w14:val="standardContextual"/>
            </w:rPr>
            <w:tab/>
          </w:r>
          <w:r>
            <w:rPr>
              <w:rStyle w:val="29"/>
              <w:rFonts w:hint="eastAsia"/>
              <w:color w:val="auto"/>
            </w:rPr>
            <w:t>监测时间及频次</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_Toc225216768 \h</w:instrText>
          </w:r>
          <w:r>
            <w:rPr>
              <w:rFonts w:hint="eastAsia"/>
              <w:color w:val="auto"/>
            </w:rPr>
            <w:instrText xml:space="preserve"> </w:instrText>
          </w:r>
          <w:r>
            <w:rPr>
              <w:rFonts w:hint="eastAsia"/>
              <w:color w:val="auto"/>
            </w:rPr>
            <w:fldChar w:fldCharType="separate"/>
          </w:r>
          <w:r>
            <w:rPr>
              <w:color w:val="auto"/>
            </w:rPr>
            <w:t>246</w:t>
          </w:r>
          <w:r>
            <w:rPr>
              <w:rFonts w:hint="eastAsia"/>
              <w:color w:val="auto"/>
            </w:rPr>
            <w:fldChar w:fldCharType="end"/>
          </w:r>
          <w:r>
            <w:rPr>
              <w:rFonts w:hint="eastAsia"/>
              <w:color w:val="auto"/>
            </w:rPr>
            <w:fldChar w:fldCharType="end"/>
          </w:r>
        </w:p>
        <w:p w14:paraId="7668409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"_Toc225216769" </w:instrText>
          </w:r>
          <w:r>
            <w:rPr>
              <w:color w:val="auto"/>
            </w:rPr>
            <w:fldChar w:fldCharType="separate"/>
          </w:r>
          <w:r>
            <w:rPr>
              <w:rStyle w:val="29"/>
              <w:rFonts w:hint="eastAsia"/>
              <w:color w:val="auto"/>
            </w:rPr>
            <w:t>4.9.3</w:t>
          </w:r>
          <w:r>
            <w:rPr>
              <w:rFonts w:hint="eastAsia" w:asciiTheme="minorHAnsi" w:hAnsiTheme="minorHAnsi" w:eastAsiaTheme="minorEastAsia"/>
              <w:color w:val="auto"/>
              <w:sz w:val="22"/>
              <w:szCs w:val="24"/>
              <w14:ligatures w14:val="standardContextual"/>
            </w:rPr>
            <w:tab/>
          </w:r>
          <w:r>
            <w:rPr>
              <w:rStyle w:val="29"/>
              <w:rFonts w:hint="eastAsia"/>
              <w:color w:val="auto"/>
            </w:rPr>
            <w:t>分析方法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_Toc225216769 \h</w:instrText>
          </w:r>
          <w:r>
            <w:rPr>
              <w:rFonts w:hint="eastAsia"/>
              <w:color w:val="auto"/>
            </w:rPr>
            <w:instrText xml:space="preserve"> </w:instrText>
          </w:r>
          <w:r>
            <w:rPr>
              <w:rFonts w:hint="eastAsia"/>
              <w:color w:val="auto"/>
            </w:rPr>
            <w:fldChar w:fldCharType="separate"/>
          </w:r>
          <w:r>
            <w:rPr>
              <w:color w:val="auto"/>
            </w:rPr>
            <w:t>246</w:t>
          </w:r>
          <w:r>
            <w:rPr>
              <w:rFonts w:hint="eastAsia"/>
              <w:color w:val="auto"/>
            </w:rPr>
            <w:fldChar w:fldCharType="end"/>
          </w:r>
          <w:r>
            <w:rPr>
              <w:rFonts w:hint="eastAsia"/>
              <w:color w:val="auto"/>
            </w:rPr>
            <w:fldChar w:fldCharType="end"/>
          </w:r>
        </w:p>
        <w:p w14:paraId="1882CCA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"_Toc225216770" </w:instrText>
          </w:r>
          <w:r>
            <w:rPr>
              <w:color w:val="auto"/>
            </w:rPr>
            <w:fldChar w:fldCharType="separate"/>
          </w:r>
          <w:r>
            <w:rPr>
              <w:rStyle w:val="29"/>
              <w:rFonts w:hint="eastAsia"/>
              <w:color w:val="auto"/>
            </w:rPr>
            <w:t>4.9.4</w:t>
          </w:r>
          <w:r>
            <w:rPr>
              <w:rFonts w:hint="eastAsia" w:asciiTheme="minorHAnsi" w:hAnsiTheme="minorHAnsi" w:eastAsiaTheme="minorEastAsia"/>
              <w:color w:val="auto"/>
              <w:sz w:val="22"/>
              <w:szCs w:val="24"/>
              <w14:ligatures w14:val="standardContextual"/>
            </w:rPr>
            <w:tab/>
          </w:r>
          <w:r>
            <w:rPr>
              <w:rStyle w:val="29"/>
              <w:rFonts w:hint="eastAsia"/>
              <w:color w:val="auto"/>
            </w:rPr>
            <w:t>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_Toc225216770 \h</w:instrText>
          </w:r>
          <w:r>
            <w:rPr>
              <w:rFonts w:hint="eastAsia"/>
              <w:color w:val="auto"/>
            </w:rPr>
            <w:instrText xml:space="preserve"> </w:instrText>
          </w:r>
          <w:r>
            <w:rPr>
              <w:rFonts w:hint="eastAsia"/>
              <w:color w:val="auto"/>
            </w:rPr>
            <w:fldChar w:fldCharType="separate"/>
          </w:r>
          <w:r>
            <w:rPr>
              <w:color w:val="auto"/>
            </w:rPr>
            <w:t>248</w:t>
          </w:r>
          <w:r>
            <w:rPr>
              <w:rFonts w:hint="eastAsia"/>
              <w:color w:val="auto"/>
            </w:rPr>
            <w:fldChar w:fldCharType="end"/>
          </w:r>
          <w:r>
            <w:rPr>
              <w:rFonts w:hint="eastAsia"/>
              <w:color w:val="auto"/>
            </w:rPr>
            <w:fldChar w:fldCharType="end"/>
          </w:r>
        </w:p>
        <w:p w14:paraId="6CF2F15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"_Toc225216771" </w:instrText>
          </w:r>
          <w:r>
            <w:rPr>
              <w:color w:val="auto"/>
            </w:rPr>
            <w:fldChar w:fldCharType="separate"/>
          </w:r>
          <w:r>
            <w:rPr>
              <w:rStyle w:val="29"/>
              <w:rFonts w:hint="eastAsia"/>
              <w:color w:val="auto"/>
            </w:rPr>
            <w:t>4.9.5</w:t>
          </w:r>
          <w:r>
            <w:rPr>
              <w:rFonts w:hint="eastAsia" w:asciiTheme="minorHAnsi" w:hAnsiTheme="minorHAnsi" w:eastAsiaTheme="minorEastAsia"/>
              <w:color w:val="auto"/>
              <w:sz w:val="22"/>
              <w:szCs w:val="24"/>
              <w14:ligatures w14:val="standardContextual"/>
            </w:rPr>
            <w:tab/>
          </w:r>
          <w:r>
            <w:rPr>
              <w:rStyle w:val="29"/>
              <w:rFonts w:hint="eastAsia"/>
              <w:color w:val="auto"/>
            </w:rPr>
            <w:t>评价方法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_Toc225216771 \h</w:instrText>
          </w:r>
          <w:r>
            <w:rPr>
              <w:rFonts w:hint="eastAsia"/>
              <w:color w:val="auto"/>
            </w:rPr>
            <w:instrText xml:space="preserve"> </w:instrText>
          </w:r>
          <w:r>
            <w:rPr>
              <w:rFonts w:hint="eastAsia"/>
              <w:color w:val="auto"/>
            </w:rPr>
            <w:fldChar w:fldCharType="separate"/>
          </w:r>
          <w:r>
            <w:rPr>
              <w:color w:val="auto"/>
            </w:rPr>
            <w:t>248</w:t>
          </w:r>
          <w:r>
            <w:rPr>
              <w:rFonts w:hint="eastAsia"/>
              <w:color w:val="auto"/>
            </w:rPr>
            <w:fldChar w:fldCharType="end"/>
          </w:r>
          <w:r>
            <w:rPr>
              <w:rFonts w:hint="eastAsia"/>
              <w:color w:val="auto"/>
            </w:rPr>
            <w:fldChar w:fldCharType="end"/>
          </w:r>
        </w:p>
        <w:p w14:paraId="3F22B24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"_Toc225216772" </w:instrText>
          </w:r>
          <w:r>
            <w:rPr>
              <w:color w:val="auto"/>
            </w:rPr>
            <w:fldChar w:fldCharType="separate"/>
          </w:r>
          <w:r>
            <w:rPr>
              <w:rStyle w:val="29"/>
              <w:rFonts w:hint="eastAsia"/>
              <w:color w:val="auto"/>
            </w:rPr>
            <w:t>4.9.6</w:t>
          </w:r>
          <w:r>
            <w:rPr>
              <w:rFonts w:hint="eastAsia" w:asciiTheme="minorHAnsi" w:hAnsiTheme="minorHAnsi" w:eastAsiaTheme="minorEastAsia"/>
              <w:color w:val="auto"/>
              <w:sz w:val="22"/>
              <w:szCs w:val="24"/>
              <w14:ligatures w14:val="standardContextual"/>
            </w:rPr>
            <w:tab/>
          </w:r>
          <w:r>
            <w:rPr>
              <w:rStyle w:val="29"/>
              <w:rFonts w:hint="eastAsia"/>
              <w:color w:val="auto"/>
            </w:rPr>
            <w:t>监测结果及评价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_Toc225216772 \h</w:instrText>
          </w:r>
          <w:r>
            <w:rPr>
              <w:rFonts w:hint="eastAsia"/>
              <w:color w:val="auto"/>
            </w:rPr>
            <w:instrText xml:space="preserve"> </w:instrText>
          </w:r>
          <w:r>
            <w:rPr>
              <w:rFonts w:hint="eastAsia"/>
              <w:color w:val="auto"/>
            </w:rPr>
            <w:fldChar w:fldCharType="separate"/>
          </w:r>
          <w:r>
            <w:rPr>
              <w:color w:val="auto"/>
            </w:rPr>
            <w:t>248</w:t>
          </w:r>
          <w:r>
            <w:rPr>
              <w:rFonts w:hint="eastAsia"/>
              <w:color w:val="auto"/>
            </w:rPr>
            <w:fldChar w:fldCharType="end"/>
          </w:r>
          <w:r>
            <w:rPr>
              <w:rFonts w:hint="eastAsia"/>
              <w:color w:val="auto"/>
            </w:rPr>
            <w:fldChar w:fldCharType="end"/>
          </w:r>
        </w:p>
        <w:p w14:paraId="311D8BC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"_Toc225216773" </w:instrText>
          </w:r>
          <w:r>
            <w:rPr>
              <w:color w:val="auto"/>
            </w:rPr>
            <w:fldChar w:fldCharType="separate"/>
          </w:r>
          <w:r>
            <w:rPr>
              <w:rStyle w:val="29"/>
              <w:rFonts w:hint="eastAsia"/>
              <w:color w:val="auto"/>
            </w:rPr>
            <w:t>4.9.7</w:t>
          </w:r>
          <w:r>
            <w:rPr>
              <w:rFonts w:hint="eastAsia" w:asciiTheme="minorHAnsi" w:hAnsiTheme="minorHAnsi" w:eastAsiaTheme="minorEastAsia"/>
              <w:color w:val="auto"/>
              <w:sz w:val="22"/>
              <w:szCs w:val="24"/>
              <w14:ligatures w14:val="standardContextual"/>
            </w:rPr>
            <w:tab/>
          </w:r>
          <w:r>
            <w:rPr>
              <w:rStyle w:val="29"/>
              <w:rFonts w:hint="eastAsia"/>
              <w:color w:val="auto"/>
            </w:rPr>
            <w:t>土壤的理化性质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_Toc225216773 \h</w:instrText>
          </w:r>
          <w:r>
            <w:rPr>
              <w:rFonts w:hint="eastAsia"/>
              <w:color w:val="auto"/>
            </w:rPr>
            <w:instrText xml:space="preserve"> </w:instrText>
          </w:r>
          <w:r>
            <w:rPr>
              <w:rFonts w:hint="eastAsia"/>
              <w:color w:val="auto"/>
            </w:rPr>
            <w:fldChar w:fldCharType="separate"/>
          </w:r>
          <w:r>
            <w:rPr>
              <w:color w:val="auto"/>
            </w:rPr>
            <w:t>255</w:t>
          </w:r>
          <w:r>
            <w:rPr>
              <w:rFonts w:hint="eastAsia"/>
              <w:color w:val="auto"/>
            </w:rPr>
            <w:fldChar w:fldCharType="end"/>
          </w:r>
          <w:r>
            <w:rPr>
              <w:rFonts w:hint="eastAsia"/>
              <w:color w:val="auto"/>
            </w:rPr>
            <w:fldChar w:fldCharType="end"/>
          </w:r>
        </w:p>
        <w:p w14:paraId="5588508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"_Toc225216774" </w:instrText>
          </w:r>
          <w:r>
            <w:rPr>
              <w:color w:val="auto"/>
            </w:rPr>
            <w:fldChar w:fldCharType="separate"/>
          </w:r>
          <w:r>
            <w:rPr>
              <w:rStyle w:val="29"/>
              <w:rFonts w:hint="eastAsia"/>
              <w:color w:val="auto"/>
            </w:rPr>
            <w:t>4.10</w:t>
          </w:r>
          <w:r>
            <w:rPr>
              <w:rFonts w:hint="eastAsia" w:asciiTheme="minorHAnsi" w:hAnsiTheme="minorHAnsi" w:eastAsiaTheme="minorEastAsia"/>
              <w:color w:val="auto"/>
              <w:sz w:val="22"/>
              <w:szCs w:val="24"/>
              <w14:ligatures w14:val="standardContextual"/>
            </w:rPr>
            <w:tab/>
          </w:r>
          <w:r>
            <w:rPr>
              <w:rStyle w:val="29"/>
              <w:rFonts w:hint="eastAsia"/>
              <w:color w:val="auto"/>
            </w:rPr>
            <w:t>生态环境现状调查与评价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_Toc225216774 \h</w:instrText>
          </w:r>
          <w:r>
            <w:rPr>
              <w:rFonts w:hint="eastAsia"/>
              <w:color w:val="auto"/>
            </w:rPr>
            <w:instrText xml:space="preserve"> </w:instrText>
          </w:r>
          <w:r>
            <w:rPr>
              <w:rFonts w:hint="eastAsia"/>
              <w:color w:val="auto"/>
            </w:rPr>
            <w:fldChar w:fldCharType="separate"/>
          </w:r>
          <w:r>
            <w:rPr>
              <w:color w:val="auto"/>
            </w:rPr>
            <w:t>256</w:t>
          </w:r>
          <w:r>
            <w:rPr>
              <w:rFonts w:hint="eastAsia"/>
              <w:color w:val="auto"/>
            </w:rPr>
            <w:fldChar w:fldCharType="end"/>
          </w:r>
          <w:r>
            <w:rPr>
              <w:rFonts w:hint="eastAsia"/>
              <w:color w:val="auto"/>
            </w:rPr>
            <w:fldChar w:fldCharType="end"/>
          </w:r>
        </w:p>
        <w:p w14:paraId="6985E87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"_Toc225216775" </w:instrText>
          </w:r>
          <w:r>
            <w:rPr>
              <w:color w:val="auto"/>
            </w:rPr>
            <w:fldChar w:fldCharType="separate"/>
          </w:r>
          <w:r>
            <w:rPr>
              <w:rStyle w:val="29"/>
              <w:rFonts w:hint="eastAsia"/>
              <w:color w:val="auto"/>
            </w:rPr>
            <w:t>4.10.1</w:t>
          </w:r>
          <w:r>
            <w:rPr>
              <w:rFonts w:hint="eastAsia" w:asciiTheme="minorHAnsi" w:hAnsiTheme="minorHAnsi" w:eastAsiaTheme="minorEastAsia"/>
              <w:color w:val="auto"/>
              <w:sz w:val="22"/>
              <w:szCs w:val="24"/>
              <w14:ligatures w14:val="standardContextual"/>
            </w:rPr>
            <w:tab/>
          </w:r>
          <w:r>
            <w:rPr>
              <w:rStyle w:val="29"/>
              <w:rFonts w:hint="eastAsia"/>
              <w:color w:val="auto"/>
            </w:rPr>
            <w:t>土地利用现状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_Toc225216775 \h</w:instrText>
          </w:r>
          <w:r>
            <w:rPr>
              <w:rFonts w:hint="eastAsia"/>
              <w:color w:val="auto"/>
            </w:rPr>
            <w:instrText xml:space="preserve"> </w:instrText>
          </w:r>
          <w:r>
            <w:rPr>
              <w:rFonts w:hint="eastAsia"/>
              <w:color w:val="auto"/>
            </w:rPr>
            <w:fldChar w:fldCharType="separate"/>
          </w:r>
          <w:r>
            <w:rPr>
              <w:color w:val="auto"/>
            </w:rPr>
            <w:t>256</w:t>
          </w:r>
          <w:r>
            <w:rPr>
              <w:rFonts w:hint="eastAsia"/>
              <w:color w:val="auto"/>
            </w:rPr>
            <w:fldChar w:fldCharType="end"/>
          </w:r>
          <w:r>
            <w:rPr>
              <w:rFonts w:hint="eastAsia"/>
              <w:color w:val="auto"/>
            </w:rPr>
            <w:fldChar w:fldCharType="end"/>
          </w:r>
        </w:p>
        <w:p w14:paraId="5134EC0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"_Toc225216776" </w:instrText>
          </w:r>
          <w:r>
            <w:rPr>
              <w:color w:val="auto"/>
            </w:rPr>
            <w:fldChar w:fldCharType="separate"/>
          </w:r>
          <w:r>
            <w:rPr>
              <w:rStyle w:val="29"/>
              <w:rFonts w:hint="eastAsia"/>
              <w:color w:val="auto"/>
            </w:rPr>
            <w:t>4.10.2</w:t>
          </w:r>
          <w:r>
            <w:rPr>
              <w:rFonts w:hint="eastAsia" w:asciiTheme="minorHAnsi" w:hAnsiTheme="minorHAnsi" w:eastAsiaTheme="minorEastAsia"/>
              <w:color w:val="auto"/>
              <w:sz w:val="22"/>
              <w:szCs w:val="24"/>
              <w14:ligatures w14:val="standardContextual"/>
            </w:rPr>
            <w:tab/>
          </w:r>
          <w:r>
            <w:rPr>
              <w:rStyle w:val="29"/>
              <w:rFonts w:hint="eastAsia"/>
              <w:color w:val="auto"/>
            </w:rPr>
            <w:t>野生动物及动物生境调查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_Toc225216776 \h</w:instrText>
          </w:r>
          <w:r>
            <w:rPr>
              <w:rFonts w:hint="eastAsia"/>
              <w:color w:val="auto"/>
            </w:rPr>
            <w:instrText xml:space="preserve"> </w:instrText>
          </w:r>
          <w:r>
            <w:rPr>
              <w:rFonts w:hint="eastAsia"/>
              <w:color w:val="auto"/>
            </w:rPr>
            <w:fldChar w:fldCharType="separate"/>
          </w:r>
          <w:r>
            <w:rPr>
              <w:color w:val="auto"/>
            </w:rPr>
            <w:t>256</w:t>
          </w:r>
          <w:r>
            <w:rPr>
              <w:rFonts w:hint="eastAsia"/>
              <w:color w:val="auto"/>
            </w:rPr>
            <w:fldChar w:fldCharType="end"/>
          </w:r>
          <w:r>
            <w:rPr>
              <w:rFonts w:hint="eastAsia"/>
              <w:color w:val="auto"/>
            </w:rPr>
            <w:fldChar w:fldCharType="end"/>
          </w:r>
        </w:p>
        <w:p w14:paraId="764EF87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"_Toc225216777" </w:instrText>
          </w:r>
          <w:r>
            <w:rPr>
              <w:color w:val="auto"/>
            </w:rPr>
            <w:fldChar w:fldCharType="separate"/>
          </w:r>
          <w:r>
            <w:rPr>
              <w:rStyle w:val="29"/>
              <w:rFonts w:hint="eastAsia"/>
              <w:color w:val="auto"/>
            </w:rPr>
            <w:t>4.10.3</w:t>
          </w:r>
          <w:r>
            <w:rPr>
              <w:rFonts w:hint="eastAsia" w:asciiTheme="minorHAnsi" w:hAnsiTheme="minorHAnsi" w:eastAsiaTheme="minorEastAsia"/>
              <w:color w:val="auto"/>
              <w:sz w:val="22"/>
              <w:szCs w:val="24"/>
              <w14:ligatures w14:val="standardContextual"/>
            </w:rPr>
            <w:tab/>
          </w:r>
          <w:r>
            <w:rPr>
              <w:rStyle w:val="29"/>
              <w:rFonts w:hint="eastAsia"/>
              <w:color w:val="auto"/>
            </w:rPr>
            <w:t>植物种类及类型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_Toc225216777 \h</w:instrText>
          </w:r>
          <w:r>
            <w:rPr>
              <w:rFonts w:hint="eastAsia"/>
              <w:color w:val="auto"/>
            </w:rPr>
            <w:instrText xml:space="preserve"> </w:instrText>
          </w:r>
          <w:r>
            <w:rPr>
              <w:rFonts w:hint="eastAsia"/>
              <w:color w:val="auto"/>
            </w:rPr>
            <w:fldChar w:fldCharType="separate"/>
          </w:r>
          <w:r>
            <w:rPr>
              <w:color w:val="auto"/>
            </w:rPr>
            <w:t>257</w:t>
          </w:r>
          <w:r>
            <w:rPr>
              <w:rFonts w:hint="eastAsia"/>
              <w:color w:val="auto"/>
            </w:rPr>
            <w:fldChar w:fldCharType="end"/>
          </w:r>
          <w:r>
            <w:rPr>
              <w:rFonts w:hint="eastAsia"/>
              <w:color w:val="auto"/>
            </w:rPr>
            <w:fldChar w:fldCharType="end"/>
          </w:r>
        </w:p>
        <w:p w14:paraId="4E9E009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"_Toc225216778" </w:instrText>
          </w:r>
          <w:r>
            <w:rPr>
              <w:color w:val="auto"/>
            </w:rPr>
            <w:fldChar w:fldCharType="separate"/>
          </w:r>
          <w:r>
            <w:rPr>
              <w:rStyle w:val="29"/>
              <w:rFonts w:hint="eastAsia"/>
              <w:color w:val="auto"/>
            </w:rPr>
            <w:t>4.10.4</w:t>
          </w:r>
          <w:r>
            <w:rPr>
              <w:rFonts w:hint="eastAsia" w:asciiTheme="minorHAnsi" w:hAnsiTheme="minorHAnsi" w:eastAsiaTheme="minorEastAsia"/>
              <w:color w:val="auto"/>
              <w:sz w:val="22"/>
              <w:szCs w:val="24"/>
              <w14:ligatures w14:val="standardContextual"/>
            </w:rPr>
            <w:tab/>
          </w:r>
          <w:r>
            <w:rPr>
              <w:rStyle w:val="29"/>
              <w:rFonts w:hint="eastAsia"/>
              <w:color w:val="auto"/>
            </w:rPr>
            <w:t>生态环境现状评价结论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_Toc225216778 \h</w:instrText>
          </w:r>
          <w:r>
            <w:rPr>
              <w:rFonts w:hint="eastAsia"/>
              <w:color w:val="auto"/>
            </w:rPr>
            <w:instrText xml:space="preserve"> </w:instrText>
          </w:r>
          <w:r>
            <w:rPr>
              <w:rFonts w:hint="eastAsia"/>
              <w:color w:val="auto"/>
            </w:rPr>
            <w:fldChar w:fldCharType="separate"/>
          </w:r>
          <w:r>
            <w:rPr>
              <w:color w:val="auto"/>
            </w:rPr>
            <w:t>257</w:t>
          </w:r>
          <w:r>
            <w:rPr>
              <w:rFonts w:hint="eastAsia"/>
              <w:color w:val="auto"/>
            </w:rPr>
            <w:fldChar w:fldCharType="end"/>
          </w:r>
          <w:r>
            <w:rPr>
              <w:rFonts w:hint="eastAsia"/>
              <w:color w:val="auto"/>
            </w:rPr>
            <w:fldChar w:fldCharType="end"/>
          </w:r>
        </w:p>
        <w:p w14:paraId="1E8945F3">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"_Toc225216779" </w:instrText>
          </w:r>
          <w:r>
            <w:rPr>
              <w:color w:val="auto"/>
            </w:rPr>
            <w:fldChar w:fldCharType="separate"/>
          </w:r>
          <w:r>
            <w:rPr>
              <w:rStyle w:val="29"/>
              <w:rFonts w:hint="eastAsia"/>
              <w:color w:val="auto"/>
              <w:lang w:val="zh-CN"/>
            </w:rPr>
            <w:t>5</w:t>
          </w:r>
          <w:r>
            <w:rPr>
              <w:rFonts w:hint="eastAsia" w:asciiTheme="minorHAnsi" w:hAnsiTheme="minorHAnsi" w:eastAsiaTheme="minorEastAsia"/>
              <w:color w:val="auto"/>
              <w:sz w:val="22"/>
              <w:szCs w:val="24"/>
              <w14:ligatures w14:val="standardContextual"/>
            </w:rPr>
            <w:tab/>
          </w:r>
          <w:r>
            <w:rPr>
              <w:rStyle w:val="29"/>
              <w:rFonts w:hint="eastAsia"/>
              <w:color w:val="auto"/>
              <w:lang w:val="zh-CN"/>
            </w:rPr>
            <w:t>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_Toc225216779 \h</w:instrText>
          </w:r>
          <w:r>
            <w:rPr>
              <w:rFonts w:hint="eastAsia"/>
              <w:color w:val="auto"/>
            </w:rPr>
            <w:instrText xml:space="preserve"> </w:instrText>
          </w:r>
          <w:r>
            <w:rPr>
              <w:rFonts w:hint="eastAsia"/>
              <w:color w:val="auto"/>
            </w:rPr>
            <w:fldChar w:fldCharType="separate"/>
          </w:r>
          <w:r>
            <w:rPr>
              <w:color w:val="auto"/>
            </w:rPr>
            <w:t>258</w:t>
          </w:r>
          <w:r>
            <w:rPr>
              <w:rFonts w:hint="eastAsia"/>
              <w:color w:val="auto"/>
            </w:rPr>
            <w:fldChar w:fldCharType="end"/>
          </w:r>
          <w:r>
            <w:rPr>
              <w:rFonts w:hint="eastAsia"/>
              <w:color w:val="auto"/>
            </w:rPr>
            <w:fldChar w:fldCharType="end"/>
          </w:r>
        </w:p>
        <w:p w14:paraId="134D2B62">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"_Toc225216780" </w:instrText>
          </w:r>
          <w:r>
            <w:rPr>
              <w:color w:val="auto"/>
            </w:rPr>
            <w:fldChar w:fldCharType="separate"/>
          </w:r>
          <w:r>
            <w:rPr>
              <w:rStyle w:val="29"/>
              <w:rFonts w:hint="eastAsia"/>
              <w:color w:val="auto"/>
            </w:rPr>
            <w:t>5.1</w:t>
          </w:r>
          <w:r>
            <w:rPr>
              <w:rFonts w:hint="eastAsia" w:asciiTheme="minorHAnsi" w:hAnsiTheme="minorHAnsi" w:eastAsiaTheme="minorEastAsia"/>
              <w:color w:val="auto"/>
              <w:sz w:val="22"/>
              <w:szCs w:val="24"/>
              <w14:ligatures w14:val="standardContextual"/>
            </w:rPr>
            <w:tab/>
          </w:r>
          <w:r>
            <w:rPr>
              <w:rStyle w:val="29"/>
              <w:rFonts w:hint="eastAsia"/>
              <w:color w:val="auto"/>
            </w:rPr>
            <w:t>施工期环境影响分析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_Toc225216780 \h</w:instrText>
          </w:r>
          <w:r>
            <w:rPr>
              <w:rFonts w:hint="eastAsia"/>
              <w:color w:val="auto"/>
            </w:rPr>
            <w:instrText xml:space="preserve"> </w:instrText>
          </w:r>
          <w:r>
            <w:rPr>
              <w:rFonts w:hint="eastAsia"/>
              <w:color w:val="auto"/>
            </w:rPr>
            <w:fldChar w:fldCharType="separate"/>
          </w:r>
          <w:r>
            <w:rPr>
              <w:color w:val="auto"/>
            </w:rPr>
            <w:t>258</w:t>
          </w:r>
          <w:r>
            <w:rPr>
              <w:rFonts w:hint="eastAsia"/>
              <w:color w:val="auto"/>
            </w:rPr>
            <w:fldChar w:fldCharType="end"/>
          </w:r>
          <w:r>
            <w:rPr>
              <w:rFonts w:hint="eastAsia"/>
              <w:color w:val="auto"/>
            </w:rPr>
            <w:fldChar w:fldCharType="end"/>
          </w:r>
        </w:p>
        <w:p w14:paraId="1286199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"_Toc225216781" </w:instrText>
          </w:r>
          <w:r>
            <w:rPr>
              <w:color w:val="auto"/>
            </w:rPr>
            <w:fldChar w:fldCharType="separate"/>
          </w:r>
          <w:r>
            <w:rPr>
              <w:rStyle w:val="29"/>
              <w:rFonts w:hint="eastAsia"/>
              <w:color w:val="auto"/>
            </w:rPr>
            <w:t>5.1.1</w:t>
          </w:r>
          <w:r>
            <w:rPr>
              <w:rFonts w:hint="eastAsia" w:asciiTheme="minorHAnsi" w:hAnsiTheme="minorHAnsi" w:eastAsiaTheme="minorEastAsia"/>
              <w:color w:val="auto"/>
              <w:sz w:val="22"/>
              <w:szCs w:val="24"/>
              <w14:ligatures w14:val="standardContextual"/>
            </w:rPr>
            <w:tab/>
          </w:r>
          <w:r>
            <w:rPr>
              <w:rStyle w:val="29"/>
              <w:rFonts w:hint="eastAsia"/>
              <w:color w:val="auto"/>
            </w:rPr>
            <w:t>施工期大气环境影响分析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_Toc225216781 \h</w:instrText>
          </w:r>
          <w:r>
            <w:rPr>
              <w:rFonts w:hint="eastAsia"/>
              <w:color w:val="auto"/>
            </w:rPr>
            <w:instrText xml:space="preserve"> </w:instrText>
          </w:r>
          <w:r>
            <w:rPr>
              <w:rFonts w:hint="eastAsia"/>
              <w:color w:val="auto"/>
            </w:rPr>
            <w:fldChar w:fldCharType="separate"/>
          </w:r>
          <w:r>
            <w:rPr>
              <w:color w:val="auto"/>
            </w:rPr>
            <w:t>258</w:t>
          </w:r>
          <w:r>
            <w:rPr>
              <w:rFonts w:hint="eastAsia"/>
              <w:color w:val="auto"/>
            </w:rPr>
            <w:fldChar w:fldCharType="end"/>
          </w:r>
          <w:r>
            <w:rPr>
              <w:rFonts w:hint="eastAsia"/>
              <w:color w:val="auto"/>
            </w:rPr>
            <w:fldChar w:fldCharType="end"/>
          </w:r>
        </w:p>
        <w:p w14:paraId="3D91225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"_Toc225216782" </w:instrText>
          </w:r>
          <w:r>
            <w:rPr>
              <w:color w:val="auto"/>
            </w:rPr>
            <w:fldChar w:fldCharType="separate"/>
          </w:r>
          <w:r>
            <w:rPr>
              <w:rStyle w:val="29"/>
              <w:rFonts w:hint="eastAsia"/>
              <w:color w:val="auto"/>
            </w:rPr>
            <w:t>5.1.2</w:t>
          </w:r>
          <w:r>
            <w:rPr>
              <w:rFonts w:hint="eastAsia" w:asciiTheme="minorHAnsi" w:hAnsiTheme="minorHAnsi" w:eastAsiaTheme="minorEastAsia"/>
              <w:color w:val="auto"/>
              <w:sz w:val="22"/>
              <w:szCs w:val="24"/>
              <w14:ligatures w14:val="standardContextual"/>
            </w:rPr>
            <w:tab/>
          </w:r>
          <w:r>
            <w:rPr>
              <w:rStyle w:val="29"/>
              <w:rFonts w:hint="eastAsia"/>
              <w:color w:val="auto"/>
            </w:rPr>
            <w:t>施工期废水环境影响分析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_Toc225216782 \h</w:instrText>
          </w:r>
          <w:r>
            <w:rPr>
              <w:rFonts w:hint="eastAsia"/>
              <w:color w:val="auto"/>
            </w:rPr>
            <w:instrText xml:space="preserve"> </w:instrText>
          </w:r>
          <w:r>
            <w:rPr>
              <w:rFonts w:hint="eastAsia"/>
              <w:color w:val="auto"/>
            </w:rPr>
            <w:fldChar w:fldCharType="separate"/>
          </w:r>
          <w:r>
            <w:rPr>
              <w:color w:val="auto"/>
            </w:rPr>
            <w:t>259</w:t>
          </w:r>
          <w:r>
            <w:rPr>
              <w:rFonts w:hint="eastAsia"/>
              <w:color w:val="auto"/>
            </w:rPr>
            <w:fldChar w:fldCharType="end"/>
          </w:r>
          <w:r>
            <w:rPr>
              <w:rFonts w:hint="eastAsia"/>
              <w:color w:val="auto"/>
            </w:rPr>
            <w:fldChar w:fldCharType="end"/>
          </w:r>
        </w:p>
        <w:p w14:paraId="03DED44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"_Toc225216783" </w:instrText>
          </w:r>
          <w:r>
            <w:rPr>
              <w:color w:val="auto"/>
            </w:rPr>
            <w:fldChar w:fldCharType="separate"/>
          </w:r>
          <w:r>
            <w:rPr>
              <w:rStyle w:val="29"/>
              <w:rFonts w:hint="eastAsia"/>
              <w:color w:val="auto"/>
            </w:rPr>
            <w:t>5.1.3</w:t>
          </w:r>
          <w:r>
            <w:rPr>
              <w:rFonts w:hint="eastAsia" w:asciiTheme="minorHAnsi" w:hAnsiTheme="minorHAnsi" w:eastAsiaTheme="minorEastAsia"/>
              <w:color w:val="auto"/>
              <w:sz w:val="22"/>
              <w:szCs w:val="24"/>
              <w14:ligatures w14:val="standardContextual"/>
            </w:rPr>
            <w:tab/>
          </w:r>
          <w:r>
            <w:rPr>
              <w:rStyle w:val="29"/>
              <w:rFonts w:hint="eastAsia"/>
              <w:color w:val="auto"/>
            </w:rPr>
            <w:t>施工期噪声环境影响分析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_Toc225216783 \h</w:instrText>
          </w:r>
          <w:r>
            <w:rPr>
              <w:rFonts w:hint="eastAsia"/>
              <w:color w:val="auto"/>
            </w:rPr>
            <w:instrText xml:space="preserve"> </w:instrText>
          </w:r>
          <w:r>
            <w:rPr>
              <w:rFonts w:hint="eastAsia"/>
              <w:color w:val="auto"/>
            </w:rPr>
            <w:fldChar w:fldCharType="separate"/>
          </w:r>
          <w:r>
            <w:rPr>
              <w:color w:val="auto"/>
            </w:rPr>
            <w:t>259</w:t>
          </w:r>
          <w:r>
            <w:rPr>
              <w:rFonts w:hint="eastAsia"/>
              <w:color w:val="auto"/>
            </w:rPr>
            <w:fldChar w:fldCharType="end"/>
          </w:r>
          <w:r>
            <w:rPr>
              <w:rFonts w:hint="eastAsia"/>
              <w:color w:val="auto"/>
            </w:rPr>
            <w:fldChar w:fldCharType="end"/>
          </w:r>
        </w:p>
        <w:p w14:paraId="168145A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"_Toc225216784" </w:instrText>
          </w:r>
          <w:r>
            <w:rPr>
              <w:color w:val="auto"/>
            </w:rPr>
            <w:fldChar w:fldCharType="separate"/>
          </w:r>
          <w:r>
            <w:rPr>
              <w:rStyle w:val="29"/>
              <w:rFonts w:hint="eastAsia"/>
              <w:color w:val="auto"/>
            </w:rPr>
            <w:t>5.1.4</w:t>
          </w:r>
          <w:r>
            <w:rPr>
              <w:rFonts w:hint="eastAsia" w:asciiTheme="minorHAnsi" w:hAnsiTheme="minorHAnsi" w:eastAsiaTheme="minorEastAsia"/>
              <w:color w:val="auto"/>
              <w:sz w:val="22"/>
              <w:szCs w:val="24"/>
              <w14:ligatures w14:val="standardContextual"/>
            </w:rPr>
            <w:tab/>
          </w:r>
          <w:r>
            <w:rPr>
              <w:rStyle w:val="29"/>
              <w:rFonts w:hint="eastAsia"/>
              <w:color w:val="auto"/>
            </w:rPr>
            <w:t>施工期固体废物环境影响分析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_Toc225216784 \h</w:instrText>
          </w:r>
          <w:r>
            <w:rPr>
              <w:rFonts w:hint="eastAsia"/>
              <w:color w:val="auto"/>
            </w:rPr>
            <w:instrText xml:space="preserve"> </w:instrText>
          </w:r>
          <w:r>
            <w:rPr>
              <w:rFonts w:hint="eastAsia"/>
              <w:color w:val="auto"/>
            </w:rPr>
            <w:fldChar w:fldCharType="separate"/>
          </w:r>
          <w:r>
            <w:rPr>
              <w:color w:val="auto"/>
            </w:rPr>
            <w:t>260</w:t>
          </w:r>
          <w:r>
            <w:rPr>
              <w:rFonts w:hint="eastAsia"/>
              <w:color w:val="auto"/>
            </w:rPr>
            <w:fldChar w:fldCharType="end"/>
          </w:r>
          <w:r>
            <w:rPr>
              <w:rFonts w:hint="eastAsia"/>
              <w:color w:val="auto"/>
            </w:rPr>
            <w:fldChar w:fldCharType="end"/>
          </w:r>
        </w:p>
        <w:p w14:paraId="785A36E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"_Toc225216785" </w:instrText>
          </w:r>
          <w:r>
            <w:rPr>
              <w:color w:val="auto"/>
            </w:rPr>
            <w:fldChar w:fldCharType="separate"/>
          </w:r>
          <w:r>
            <w:rPr>
              <w:rStyle w:val="29"/>
              <w:rFonts w:hint="eastAsia"/>
              <w:color w:val="auto"/>
            </w:rPr>
            <w:t>5.1.5</w:t>
          </w:r>
          <w:r>
            <w:rPr>
              <w:rFonts w:hint="eastAsia" w:asciiTheme="minorHAnsi" w:hAnsiTheme="minorHAnsi" w:eastAsiaTheme="minorEastAsia"/>
              <w:color w:val="auto"/>
              <w:sz w:val="22"/>
              <w:szCs w:val="24"/>
              <w14:ligatures w14:val="standardContextual"/>
            </w:rPr>
            <w:tab/>
          </w:r>
          <w:r>
            <w:rPr>
              <w:rStyle w:val="29"/>
              <w:rFonts w:hint="eastAsia"/>
              <w:color w:val="auto"/>
            </w:rPr>
            <w:t>施工期生态环境影响分析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_Toc225216785 \h</w:instrText>
          </w:r>
          <w:r>
            <w:rPr>
              <w:rFonts w:hint="eastAsia"/>
              <w:color w:val="auto"/>
            </w:rPr>
            <w:instrText xml:space="preserve"> </w:instrText>
          </w:r>
          <w:r>
            <w:rPr>
              <w:rFonts w:hint="eastAsia"/>
              <w:color w:val="auto"/>
            </w:rPr>
            <w:fldChar w:fldCharType="separate"/>
          </w:r>
          <w:r>
            <w:rPr>
              <w:color w:val="auto"/>
            </w:rPr>
            <w:t>261</w:t>
          </w:r>
          <w:r>
            <w:rPr>
              <w:rFonts w:hint="eastAsia"/>
              <w:color w:val="auto"/>
            </w:rPr>
            <w:fldChar w:fldCharType="end"/>
          </w:r>
          <w:r>
            <w:rPr>
              <w:rFonts w:hint="eastAsia"/>
              <w:color w:val="auto"/>
            </w:rPr>
            <w:fldChar w:fldCharType="end"/>
          </w:r>
        </w:p>
        <w:p w14:paraId="37F8A22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"_Toc225216786" </w:instrText>
          </w:r>
          <w:r>
            <w:rPr>
              <w:color w:val="auto"/>
            </w:rPr>
            <w:fldChar w:fldCharType="separate"/>
          </w:r>
          <w:r>
            <w:rPr>
              <w:rStyle w:val="29"/>
              <w:rFonts w:hint="eastAsia"/>
              <w:color w:val="auto"/>
            </w:rPr>
            <w:t>5.2</w:t>
          </w:r>
          <w:r>
            <w:rPr>
              <w:rFonts w:hint="eastAsia" w:asciiTheme="minorHAnsi" w:hAnsiTheme="minorHAnsi" w:eastAsiaTheme="minorEastAsia"/>
              <w:color w:val="auto"/>
              <w:sz w:val="22"/>
              <w:szCs w:val="24"/>
              <w14:ligatures w14:val="standardContextual"/>
            </w:rPr>
            <w:tab/>
          </w:r>
          <w:r>
            <w:rPr>
              <w:rStyle w:val="29"/>
              <w:rFonts w:hint="eastAsia"/>
              <w:color w:val="auto"/>
            </w:rPr>
            <w:t>运营期大气环境影响预测与评价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_Toc225216786 \h</w:instrText>
          </w:r>
          <w:r>
            <w:rPr>
              <w:rFonts w:hint="eastAsia"/>
              <w:color w:val="auto"/>
            </w:rPr>
            <w:instrText xml:space="preserve"> </w:instrText>
          </w:r>
          <w:r>
            <w:rPr>
              <w:rFonts w:hint="eastAsia"/>
              <w:color w:val="auto"/>
            </w:rPr>
            <w:fldChar w:fldCharType="separate"/>
          </w:r>
          <w:r>
            <w:rPr>
              <w:color w:val="auto"/>
            </w:rPr>
            <w:t>261</w:t>
          </w:r>
          <w:r>
            <w:rPr>
              <w:rFonts w:hint="eastAsia"/>
              <w:color w:val="auto"/>
            </w:rPr>
            <w:fldChar w:fldCharType="end"/>
          </w:r>
          <w:r>
            <w:rPr>
              <w:rFonts w:hint="eastAsia"/>
              <w:color w:val="auto"/>
            </w:rPr>
            <w:fldChar w:fldCharType="end"/>
          </w:r>
        </w:p>
        <w:p w14:paraId="58712CB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"_Toc225216787" </w:instrText>
          </w:r>
          <w:r>
            <w:rPr>
              <w:color w:val="auto"/>
            </w:rPr>
            <w:fldChar w:fldCharType="separate"/>
          </w:r>
          <w:r>
            <w:rPr>
              <w:rStyle w:val="29"/>
              <w:rFonts w:hint="eastAsia"/>
              <w:color w:val="auto"/>
            </w:rPr>
            <w:t>5.2.1</w:t>
          </w:r>
          <w:r>
            <w:rPr>
              <w:rFonts w:hint="eastAsia" w:asciiTheme="minorHAnsi" w:hAnsiTheme="minorHAnsi" w:eastAsiaTheme="minorEastAsia"/>
              <w:color w:val="auto"/>
              <w:sz w:val="22"/>
              <w:szCs w:val="24"/>
              <w14:ligatures w14:val="standardContextual"/>
            </w:rPr>
            <w:tab/>
          </w:r>
          <w:r>
            <w:rPr>
              <w:rStyle w:val="29"/>
              <w:rFonts w:hint="eastAsia"/>
              <w:color w:val="auto"/>
            </w:rPr>
            <w:t>污染源分布</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_Toc225216787 \h</w:instrText>
          </w:r>
          <w:r>
            <w:rPr>
              <w:rFonts w:hint="eastAsia"/>
              <w:color w:val="auto"/>
            </w:rPr>
            <w:instrText xml:space="preserve"> </w:instrText>
          </w:r>
          <w:r>
            <w:rPr>
              <w:rFonts w:hint="eastAsia"/>
              <w:color w:val="auto"/>
            </w:rPr>
            <w:fldChar w:fldCharType="separate"/>
          </w:r>
          <w:r>
            <w:rPr>
              <w:color w:val="auto"/>
            </w:rPr>
            <w:t>261</w:t>
          </w:r>
          <w:r>
            <w:rPr>
              <w:rFonts w:hint="eastAsia"/>
              <w:color w:val="auto"/>
            </w:rPr>
            <w:fldChar w:fldCharType="end"/>
          </w:r>
          <w:r>
            <w:rPr>
              <w:rFonts w:hint="eastAsia"/>
              <w:color w:val="auto"/>
            </w:rPr>
            <w:fldChar w:fldCharType="end"/>
          </w:r>
        </w:p>
        <w:p w14:paraId="08CC9EE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"_Toc225216788" </w:instrText>
          </w:r>
          <w:r>
            <w:rPr>
              <w:color w:val="auto"/>
            </w:rPr>
            <w:fldChar w:fldCharType="separate"/>
          </w:r>
          <w:r>
            <w:rPr>
              <w:rStyle w:val="29"/>
              <w:rFonts w:hint="eastAsia"/>
              <w:color w:val="auto"/>
            </w:rPr>
            <w:t>5.2.2</w:t>
          </w:r>
          <w:r>
            <w:rPr>
              <w:rFonts w:hint="eastAsia" w:asciiTheme="minorHAnsi" w:hAnsiTheme="minorHAnsi" w:eastAsiaTheme="minorEastAsia"/>
              <w:color w:val="auto"/>
              <w:sz w:val="22"/>
              <w:szCs w:val="24"/>
              <w14:ligatures w14:val="standardContextual"/>
            </w:rPr>
            <w:tab/>
          </w:r>
          <w:r>
            <w:rPr>
              <w:rStyle w:val="29"/>
              <w:rFonts w:hint="eastAsia"/>
              <w:color w:val="auto"/>
            </w:rPr>
            <w:t>污染源估算结果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_Toc225216788 \h</w:instrText>
          </w:r>
          <w:r>
            <w:rPr>
              <w:rFonts w:hint="eastAsia"/>
              <w:color w:val="auto"/>
            </w:rPr>
            <w:instrText xml:space="preserve"> </w:instrText>
          </w:r>
          <w:r>
            <w:rPr>
              <w:rFonts w:hint="eastAsia"/>
              <w:color w:val="auto"/>
            </w:rPr>
            <w:fldChar w:fldCharType="separate"/>
          </w:r>
          <w:r>
            <w:rPr>
              <w:color w:val="auto"/>
            </w:rPr>
            <w:t>264</w:t>
          </w:r>
          <w:r>
            <w:rPr>
              <w:rFonts w:hint="eastAsia"/>
              <w:color w:val="auto"/>
            </w:rPr>
            <w:fldChar w:fldCharType="end"/>
          </w:r>
          <w:r>
            <w:rPr>
              <w:rFonts w:hint="eastAsia"/>
              <w:color w:val="auto"/>
            </w:rPr>
            <w:fldChar w:fldCharType="end"/>
          </w:r>
        </w:p>
        <w:p w14:paraId="2CF8CF8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"_Toc225216789" </w:instrText>
          </w:r>
          <w:r>
            <w:rPr>
              <w:color w:val="auto"/>
            </w:rPr>
            <w:fldChar w:fldCharType="separate"/>
          </w:r>
          <w:r>
            <w:rPr>
              <w:rStyle w:val="29"/>
              <w:rFonts w:hint="eastAsia"/>
              <w:color w:val="auto"/>
            </w:rPr>
            <w:t>5.2.3</w:t>
          </w:r>
          <w:r>
            <w:rPr>
              <w:rFonts w:hint="eastAsia" w:asciiTheme="minorHAnsi" w:hAnsiTheme="minorHAnsi" w:eastAsiaTheme="minorEastAsia"/>
              <w:color w:val="auto"/>
              <w:sz w:val="22"/>
              <w:szCs w:val="24"/>
              <w14:ligatures w14:val="standardContextual"/>
            </w:rPr>
            <w:tab/>
          </w:r>
          <w:r>
            <w:rPr>
              <w:rStyle w:val="29"/>
              <w:rFonts w:hint="eastAsia"/>
              <w:color w:val="auto"/>
            </w:rPr>
            <w:t>污染物排放量核算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_Toc225216789 \h</w:instrText>
          </w:r>
          <w:r>
            <w:rPr>
              <w:rFonts w:hint="eastAsia"/>
              <w:color w:val="auto"/>
            </w:rPr>
            <w:instrText xml:space="preserve"> </w:instrText>
          </w:r>
          <w:r>
            <w:rPr>
              <w:rFonts w:hint="eastAsia"/>
              <w:color w:val="auto"/>
            </w:rPr>
            <w:fldChar w:fldCharType="separate"/>
          </w:r>
          <w:r>
            <w:rPr>
              <w:color w:val="auto"/>
            </w:rPr>
            <w:t>264</w:t>
          </w:r>
          <w:r>
            <w:rPr>
              <w:rFonts w:hint="eastAsia"/>
              <w:color w:val="auto"/>
            </w:rPr>
            <w:fldChar w:fldCharType="end"/>
          </w:r>
          <w:r>
            <w:rPr>
              <w:rFonts w:hint="eastAsia"/>
              <w:color w:val="auto"/>
            </w:rPr>
            <w:fldChar w:fldCharType="end"/>
          </w:r>
        </w:p>
        <w:p w14:paraId="603E05B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"_Toc225216790" </w:instrText>
          </w:r>
          <w:r>
            <w:rPr>
              <w:color w:val="auto"/>
            </w:rPr>
            <w:fldChar w:fldCharType="separate"/>
          </w:r>
          <w:r>
            <w:rPr>
              <w:rStyle w:val="29"/>
              <w:rFonts w:hint="eastAsia"/>
              <w:color w:val="auto"/>
            </w:rPr>
            <w:t>5.2.4</w:t>
          </w:r>
          <w:r>
            <w:rPr>
              <w:rFonts w:hint="eastAsia" w:asciiTheme="minorHAnsi" w:hAnsiTheme="minorHAnsi" w:eastAsiaTheme="minorEastAsia"/>
              <w:color w:val="auto"/>
              <w:sz w:val="22"/>
              <w:szCs w:val="24"/>
              <w14:ligatures w14:val="standardContextual"/>
            </w:rPr>
            <w:tab/>
          </w:r>
          <w:r>
            <w:rPr>
              <w:rStyle w:val="29"/>
              <w:rFonts w:hint="eastAsia"/>
              <w:color w:val="auto"/>
            </w:rPr>
            <w:t>大气防护距离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_Toc225216790 \h</w:instrText>
          </w:r>
          <w:r>
            <w:rPr>
              <w:rFonts w:hint="eastAsia"/>
              <w:color w:val="auto"/>
            </w:rPr>
            <w:instrText xml:space="preserve"> </w:instrText>
          </w:r>
          <w:r>
            <w:rPr>
              <w:rFonts w:hint="eastAsia"/>
              <w:color w:val="auto"/>
            </w:rPr>
            <w:fldChar w:fldCharType="separate"/>
          </w:r>
          <w:r>
            <w:rPr>
              <w:color w:val="auto"/>
            </w:rPr>
            <w:t>266</w:t>
          </w:r>
          <w:r>
            <w:rPr>
              <w:rFonts w:hint="eastAsia"/>
              <w:color w:val="auto"/>
            </w:rPr>
            <w:fldChar w:fldCharType="end"/>
          </w:r>
          <w:r>
            <w:rPr>
              <w:rFonts w:hint="eastAsia"/>
              <w:color w:val="auto"/>
            </w:rPr>
            <w:fldChar w:fldCharType="end"/>
          </w:r>
        </w:p>
        <w:p w14:paraId="466E4CF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"_Toc225216791" </w:instrText>
          </w:r>
          <w:r>
            <w:rPr>
              <w:color w:val="auto"/>
            </w:rPr>
            <w:fldChar w:fldCharType="separate"/>
          </w:r>
          <w:r>
            <w:rPr>
              <w:rStyle w:val="29"/>
              <w:rFonts w:hint="eastAsia"/>
              <w:color w:val="auto"/>
            </w:rPr>
            <w:t>5.2.5</w:t>
          </w:r>
          <w:r>
            <w:rPr>
              <w:rFonts w:hint="eastAsia" w:asciiTheme="minorHAnsi" w:hAnsiTheme="minorHAnsi" w:eastAsiaTheme="minorEastAsia"/>
              <w:color w:val="auto"/>
              <w:sz w:val="22"/>
              <w:szCs w:val="24"/>
              <w14:ligatures w14:val="standardContextual"/>
            </w:rPr>
            <w:tab/>
          </w:r>
          <w:r>
            <w:rPr>
              <w:rStyle w:val="29"/>
              <w:rFonts w:hint="eastAsia"/>
              <w:color w:val="auto"/>
            </w:rPr>
            <w:t>卫生防护距离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_Toc225216791 \h</w:instrText>
          </w:r>
          <w:r>
            <w:rPr>
              <w:rFonts w:hint="eastAsia"/>
              <w:color w:val="auto"/>
            </w:rPr>
            <w:instrText xml:space="preserve"> </w:instrText>
          </w:r>
          <w:r>
            <w:rPr>
              <w:rFonts w:hint="eastAsia"/>
              <w:color w:val="auto"/>
            </w:rPr>
            <w:fldChar w:fldCharType="separate"/>
          </w:r>
          <w:r>
            <w:rPr>
              <w:color w:val="auto"/>
            </w:rPr>
            <w:t>266</w:t>
          </w:r>
          <w:r>
            <w:rPr>
              <w:rFonts w:hint="eastAsia"/>
              <w:color w:val="auto"/>
            </w:rPr>
            <w:fldChar w:fldCharType="end"/>
          </w:r>
          <w:r>
            <w:rPr>
              <w:rFonts w:hint="eastAsia"/>
              <w:color w:val="auto"/>
            </w:rPr>
            <w:fldChar w:fldCharType="end"/>
          </w:r>
        </w:p>
        <w:p w14:paraId="108B99DE">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"_Toc225216792" </w:instrText>
          </w:r>
          <w:r>
            <w:rPr>
              <w:color w:val="auto"/>
            </w:rPr>
            <w:fldChar w:fldCharType="separate"/>
          </w:r>
          <w:r>
            <w:rPr>
              <w:rStyle w:val="29"/>
              <w:rFonts w:hint="eastAsia"/>
              <w:color w:val="auto"/>
            </w:rPr>
            <w:t>5.3</w:t>
          </w:r>
          <w:r>
            <w:rPr>
              <w:rFonts w:hint="eastAsia" w:asciiTheme="minorHAnsi" w:hAnsiTheme="minorHAnsi" w:eastAsiaTheme="minorEastAsia"/>
              <w:color w:val="auto"/>
              <w:sz w:val="22"/>
              <w:szCs w:val="24"/>
              <w14:ligatures w14:val="standardContextual"/>
            </w:rPr>
            <w:tab/>
          </w:r>
          <w:r>
            <w:rPr>
              <w:rStyle w:val="29"/>
              <w:rFonts w:hint="eastAsia"/>
              <w:color w:val="auto"/>
            </w:rPr>
            <w:t>运营期地表水环境影响分析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_Toc225216792 \h</w:instrText>
          </w:r>
          <w:r>
            <w:rPr>
              <w:rFonts w:hint="eastAsia"/>
              <w:color w:val="auto"/>
            </w:rPr>
            <w:instrText xml:space="preserve"> </w:instrText>
          </w:r>
          <w:r>
            <w:rPr>
              <w:rFonts w:hint="eastAsia"/>
              <w:color w:val="auto"/>
            </w:rPr>
            <w:fldChar w:fldCharType="separate"/>
          </w:r>
          <w:r>
            <w:rPr>
              <w:color w:val="auto"/>
            </w:rPr>
            <w:t>267</w:t>
          </w:r>
          <w:r>
            <w:rPr>
              <w:rFonts w:hint="eastAsia"/>
              <w:color w:val="auto"/>
            </w:rPr>
            <w:fldChar w:fldCharType="end"/>
          </w:r>
          <w:r>
            <w:rPr>
              <w:rFonts w:hint="eastAsia"/>
              <w:color w:val="auto"/>
            </w:rPr>
            <w:fldChar w:fldCharType="end"/>
          </w:r>
        </w:p>
        <w:p w14:paraId="569A8FF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"_Toc225216793" </w:instrText>
          </w:r>
          <w:r>
            <w:rPr>
              <w:color w:val="auto"/>
            </w:rPr>
            <w:fldChar w:fldCharType="separate"/>
          </w:r>
          <w:r>
            <w:rPr>
              <w:rStyle w:val="29"/>
              <w:rFonts w:hint="eastAsia"/>
              <w:color w:val="auto"/>
            </w:rPr>
            <w:t>5.3.1</w:t>
          </w:r>
          <w:r>
            <w:rPr>
              <w:rFonts w:hint="eastAsia" w:asciiTheme="minorHAnsi" w:hAnsiTheme="minorHAnsi" w:eastAsiaTheme="minorEastAsia"/>
              <w:color w:val="auto"/>
              <w:sz w:val="22"/>
              <w:szCs w:val="24"/>
              <w14:ligatures w14:val="standardContextual"/>
            </w:rPr>
            <w:tab/>
          </w:r>
          <w:r>
            <w:rPr>
              <w:rStyle w:val="29"/>
              <w:rFonts w:hint="eastAsia"/>
              <w:color w:val="auto"/>
            </w:rPr>
            <w:t>项目废水产排放情况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_Toc225216793 \h</w:instrText>
          </w:r>
          <w:r>
            <w:rPr>
              <w:rFonts w:hint="eastAsia"/>
              <w:color w:val="auto"/>
            </w:rPr>
            <w:instrText xml:space="preserve"> </w:instrText>
          </w:r>
          <w:r>
            <w:rPr>
              <w:rFonts w:hint="eastAsia"/>
              <w:color w:val="auto"/>
            </w:rPr>
            <w:fldChar w:fldCharType="separate"/>
          </w:r>
          <w:r>
            <w:rPr>
              <w:color w:val="auto"/>
            </w:rPr>
            <w:t>267</w:t>
          </w:r>
          <w:r>
            <w:rPr>
              <w:rFonts w:hint="eastAsia"/>
              <w:color w:val="auto"/>
            </w:rPr>
            <w:fldChar w:fldCharType="end"/>
          </w:r>
          <w:r>
            <w:rPr>
              <w:rFonts w:hint="eastAsia"/>
              <w:color w:val="auto"/>
            </w:rPr>
            <w:fldChar w:fldCharType="end"/>
          </w:r>
        </w:p>
        <w:p w14:paraId="0292116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"_Toc225216794" </w:instrText>
          </w:r>
          <w:r>
            <w:rPr>
              <w:color w:val="auto"/>
            </w:rPr>
            <w:fldChar w:fldCharType="separate"/>
          </w:r>
          <w:r>
            <w:rPr>
              <w:rStyle w:val="29"/>
              <w:rFonts w:hint="eastAsia"/>
              <w:color w:val="auto"/>
            </w:rPr>
            <w:t>5.3.2</w:t>
          </w:r>
          <w:r>
            <w:rPr>
              <w:rFonts w:hint="eastAsia" w:asciiTheme="minorHAnsi" w:hAnsiTheme="minorHAnsi" w:eastAsiaTheme="minorEastAsia"/>
              <w:color w:val="auto"/>
              <w:sz w:val="22"/>
              <w:szCs w:val="24"/>
              <w14:ligatures w14:val="standardContextual"/>
            </w:rPr>
            <w:tab/>
          </w:r>
          <w:r>
            <w:rPr>
              <w:rStyle w:val="29"/>
              <w:rFonts w:hint="eastAsia"/>
              <w:color w:val="auto"/>
            </w:rPr>
            <w:t>项目污水依托处理可行性分析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_Toc225216794 \h</w:instrText>
          </w:r>
          <w:r>
            <w:rPr>
              <w:rFonts w:hint="eastAsia"/>
              <w:color w:val="auto"/>
            </w:rPr>
            <w:instrText xml:space="preserve"> </w:instrText>
          </w:r>
          <w:r>
            <w:rPr>
              <w:rFonts w:hint="eastAsia"/>
              <w:color w:val="auto"/>
            </w:rPr>
            <w:fldChar w:fldCharType="separate"/>
          </w:r>
          <w:r>
            <w:rPr>
              <w:color w:val="auto"/>
            </w:rPr>
            <w:t>268</w:t>
          </w:r>
          <w:r>
            <w:rPr>
              <w:rFonts w:hint="eastAsia"/>
              <w:color w:val="auto"/>
            </w:rPr>
            <w:fldChar w:fldCharType="end"/>
          </w:r>
          <w:r>
            <w:rPr>
              <w:rFonts w:hint="eastAsia"/>
              <w:color w:val="auto"/>
            </w:rPr>
            <w:fldChar w:fldCharType="end"/>
          </w:r>
        </w:p>
        <w:p w14:paraId="38B1B2D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"_Toc225216795" </w:instrText>
          </w:r>
          <w:r>
            <w:rPr>
              <w:color w:val="auto"/>
            </w:rPr>
            <w:fldChar w:fldCharType="separate"/>
          </w:r>
          <w:r>
            <w:rPr>
              <w:rStyle w:val="29"/>
              <w:rFonts w:hint="eastAsia"/>
              <w:color w:val="auto"/>
            </w:rPr>
            <w:t>5.3.3</w:t>
          </w:r>
          <w:r>
            <w:rPr>
              <w:rFonts w:hint="eastAsia" w:asciiTheme="minorHAnsi" w:hAnsiTheme="minorHAnsi" w:eastAsiaTheme="minorEastAsia"/>
              <w:color w:val="auto"/>
              <w:sz w:val="22"/>
              <w:szCs w:val="24"/>
              <w14:ligatures w14:val="standardContextual"/>
            </w:rPr>
            <w:tab/>
          </w:r>
          <w:r>
            <w:rPr>
              <w:rStyle w:val="29"/>
              <w:rFonts w:hint="eastAsia"/>
              <w:color w:val="auto"/>
            </w:rPr>
            <w:t>地表水与海洋预测分析与结论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_Toc225216795 \h</w:instrText>
          </w:r>
          <w:r>
            <w:rPr>
              <w:rFonts w:hint="eastAsia"/>
              <w:color w:val="auto"/>
            </w:rPr>
            <w:instrText xml:space="preserve"> </w:instrText>
          </w:r>
          <w:r>
            <w:rPr>
              <w:rFonts w:hint="eastAsia"/>
              <w:color w:val="auto"/>
            </w:rPr>
            <w:fldChar w:fldCharType="separate"/>
          </w:r>
          <w:r>
            <w:rPr>
              <w:color w:val="auto"/>
            </w:rPr>
            <w:t>278</w:t>
          </w:r>
          <w:r>
            <w:rPr>
              <w:rFonts w:hint="eastAsia"/>
              <w:color w:val="auto"/>
            </w:rPr>
            <w:fldChar w:fldCharType="end"/>
          </w:r>
          <w:r>
            <w:rPr>
              <w:rFonts w:hint="eastAsia"/>
              <w:color w:val="auto"/>
            </w:rPr>
            <w:fldChar w:fldCharType="end"/>
          </w:r>
        </w:p>
        <w:p w14:paraId="1426E4F0">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"_Toc225216796" </w:instrText>
          </w:r>
          <w:r>
            <w:rPr>
              <w:color w:val="auto"/>
            </w:rPr>
            <w:fldChar w:fldCharType="separate"/>
          </w:r>
          <w:r>
            <w:rPr>
              <w:rStyle w:val="29"/>
              <w:rFonts w:hint="eastAsia"/>
              <w:color w:val="auto"/>
            </w:rPr>
            <w:t>5.4</w:t>
          </w:r>
          <w:r>
            <w:rPr>
              <w:rFonts w:hint="eastAsia" w:asciiTheme="minorHAnsi" w:hAnsiTheme="minorHAnsi" w:eastAsiaTheme="minorEastAsia"/>
              <w:color w:val="auto"/>
              <w:sz w:val="22"/>
              <w:szCs w:val="24"/>
              <w14:ligatures w14:val="standardContextual"/>
            </w:rPr>
            <w:tab/>
          </w:r>
          <w:r>
            <w:rPr>
              <w:rStyle w:val="29"/>
              <w:rFonts w:hint="eastAsia"/>
              <w:color w:val="auto"/>
            </w:rPr>
            <w:t>运营期地下水环境影响预测与评价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_Toc225216796 \h</w:instrText>
          </w:r>
          <w:r>
            <w:rPr>
              <w:rFonts w:hint="eastAsia"/>
              <w:color w:val="auto"/>
            </w:rPr>
            <w:instrText xml:space="preserve"> </w:instrText>
          </w:r>
          <w:r>
            <w:rPr>
              <w:rFonts w:hint="eastAsia"/>
              <w:color w:val="auto"/>
            </w:rPr>
            <w:fldChar w:fldCharType="separate"/>
          </w:r>
          <w:r>
            <w:rPr>
              <w:color w:val="auto"/>
            </w:rPr>
            <w:t>280</w:t>
          </w:r>
          <w:r>
            <w:rPr>
              <w:rFonts w:hint="eastAsia"/>
              <w:color w:val="auto"/>
            </w:rPr>
            <w:fldChar w:fldCharType="end"/>
          </w:r>
          <w:r>
            <w:rPr>
              <w:rFonts w:hint="eastAsia"/>
              <w:color w:val="auto"/>
            </w:rPr>
            <w:fldChar w:fldCharType="end"/>
          </w:r>
        </w:p>
        <w:p w14:paraId="332974D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"_Toc225216797" </w:instrText>
          </w:r>
          <w:r>
            <w:rPr>
              <w:color w:val="auto"/>
            </w:rPr>
            <w:fldChar w:fldCharType="separate"/>
          </w:r>
          <w:r>
            <w:rPr>
              <w:rStyle w:val="29"/>
              <w:rFonts w:hint="eastAsia"/>
              <w:color w:val="auto"/>
            </w:rPr>
            <w:t>5.4.1</w:t>
          </w:r>
          <w:r>
            <w:rPr>
              <w:rFonts w:hint="eastAsia" w:asciiTheme="minorHAnsi" w:hAnsiTheme="minorHAnsi" w:eastAsiaTheme="minorEastAsia"/>
              <w:color w:val="auto"/>
              <w:sz w:val="22"/>
              <w:szCs w:val="24"/>
              <w14:ligatures w14:val="standardContextual"/>
            </w:rPr>
            <w:tab/>
          </w:r>
          <w:r>
            <w:rPr>
              <w:rStyle w:val="29"/>
              <w:rFonts w:hint="eastAsia"/>
              <w:color w:val="auto"/>
            </w:rPr>
            <w:t>水文地质条件概述</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_Toc225216797 \h</w:instrText>
          </w:r>
          <w:r>
            <w:rPr>
              <w:rFonts w:hint="eastAsia"/>
              <w:color w:val="auto"/>
            </w:rPr>
            <w:instrText xml:space="preserve"> </w:instrText>
          </w:r>
          <w:r>
            <w:rPr>
              <w:rFonts w:hint="eastAsia"/>
              <w:color w:val="auto"/>
            </w:rPr>
            <w:fldChar w:fldCharType="separate"/>
          </w:r>
          <w:r>
            <w:rPr>
              <w:color w:val="auto"/>
            </w:rPr>
            <w:t>280</w:t>
          </w:r>
          <w:r>
            <w:rPr>
              <w:rFonts w:hint="eastAsia"/>
              <w:color w:val="auto"/>
            </w:rPr>
            <w:fldChar w:fldCharType="end"/>
          </w:r>
          <w:r>
            <w:rPr>
              <w:rFonts w:hint="eastAsia"/>
              <w:color w:val="auto"/>
            </w:rPr>
            <w:fldChar w:fldCharType="end"/>
          </w:r>
        </w:p>
        <w:p w14:paraId="5874825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"_Toc225216798" </w:instrText>
          </w:r>
          <w:r>
            <w:rPr>
              <w:color w:val="auto"/>
            </w:rPr>
            <w:fldChar w:fldCharType="separate"/>
          </w:r>
          <w:r>
            <w:rPr>
              <w:rStyle w:val="29"/>
              <w:rFonts w:hint="eastAsia"/>
              <w:color w:val="auto"/>
            </w:rPr>
            <w:t>5.4.2</w:t>
          </w:r>
          <w:r>
            <w:rPr>
              <w:rFonts w:hint="eastAsia" w:asciiTheme="minorHAnsi" w:hAnsiTheme="minorHAnsi" w:eastAsiaTheme="minorEastAsia"/>
              <w:color w:val="auto"/>
              <w:sz w:val="22"/>
              <w:szCs w:val="24"/>
              <w14:ligatures w14:val="standardContextual"/>
            </w:rPr>
            <w:tab/>
          </w:r>
          <w:r>
            <w:rPr>
              <w:rStyle w:val="29"/>
              <w:rFonts w:hint="eastAsia"/>
              <w:color w:val="auto"/>
            </w:rPr>
            <w:t>评价范围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_Toc225216798 \h</w:instrText>
          </w:r>
          <w:r>
            <w:rPr>
              <w:rFonts w:hint="eastAsia"/>
              <w:color w:val="auto"/>
            </w:rPr>
            <w:instrText xml:space="preserve"> </w:instrText>
          </w:r>
          <w:r>
            <w:rPr>
              <w:rFonts w:hint="eastAsia"/>
              <w:color w:val="auto"/>
            </w:rPr>
            <w:fldChar w:fldCharType="separate"/>
          </w:r>
          <w:r>
            <w:rPr>
              <w:color w:val="auto"/>
            </w:rPr>
            <w:t>281</w:t>
          </w:r>
          <w:r>
            <w:rPr>
              <w:rFonts w:hint="eastAsia"/>
              <w:color w:val="auto"/>
            </w:rPr>
            <w:fldChar w:fldCharType="end"/>
          </w:r>
          <w:r>
            <w:rPr>
              <w:rFonts w:hint="eastAsia"/>
              <w:color w:val="auto"/>
            </w:rPr>
            <w:fldChar w:fldCharType="end"/>
          </w:r>
        </w:p>
        <w:p w14:paraId="08BA52A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"_Toc225216799" </w:instrText>
          </w:r>
          <w:r>
            <w:rPr>
              <w:color w:val="auto"/>
            </w:rPr>
            <w:fldChar w:fldCharType="separate"/>
          </w:r>
          <w:r>
            <w:rPr>
              <w:rStyle w:val="29"/>
              <w:rFonts w:hint="eastAsia"/>
              <w:color w:val="auto"/>
            </w:rPr>
            <w:t>5.4.3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预测模型及参数</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_Toc225216799 \h</w:instrText>
          </w:r>
          <w:r>
            <w:rPr>
              <w:rFonts w:hint="eastAsia"/>
              <w:color w:val="auto"/>
            </w:rPr>
            <w:instrText xml:space="preserve"> </w:instrText>
          </w:r>
          <w:r>
            <w:rPr>
              <w:rFonts w:hint="eastAsia"/>
              <w:color w:val="auto"/>
            </w:rPr>
            <w:fldChar w:fldCharType="separate"/>
          </w:r>
          <w:r>
            <w:rPr>
              <w:color w:val="auto"/>
            </w:rPr>
            <w:t>281</w:t>
          </w:r>
          <w:r>
            <w:rPr>
              <w:rFonts w:hint="eastAsia"/>
              <w:color w:val="auto"/>
            </w:rPr>
            <w:fldChar w:fldCharType="end"/>
          </w:r>
          <w:r>
            <w:rPr>
              <w:rFonts w:hint="eastAsia"/>
              <w:color w:val="auto"/>
            </w:rPr>
            <w:fldChar w:fldCharType="end"/>
          </w:r>
        </w:p>
        <w:p w14:paraId="6F027A5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"_Toc225216800" </w:instrText>
          </w:r>
          <w:r>
            <w:rPr>
              <w:color w:val="auto"/>
            </w:rPr>
            <w:fldChar w:fldCharType="separate"/>
          </w:r>
          <w:r>
            <w:rPr>
              <w:rStyle w:val="29"/>
              <w:rFonts w:hint="eastAsia"/>
              <w:color w:val="auto"/>
            </w:rPr>
            <w:t>5.4.4</w:t>
          </w:r>
          <w:r>
            <w:rPr>
              <w:rFonts w:hint="eastAsia" w:asciiTheme="minorHAnsi" w:hAnsiTheme="minorHAnsi" w:eastAsiaTheme="minorEastAsia"/>
              <w:color w:val="auto"/>
              <w:sz w:val="22"/>
              <w:szCs w:val="24"/>
              <w14:ligatures w14:val="standardContextual"/>
            </w:rPr>
            <w:tab/>
          </w:r>
          <w:r>
            <w:rPr>
              <w:rStyle w:val="29"/>
              <w:rFonts w:hint="eastAsia"/>
              <w:color w:val="auto"/>
            </w:rPr>
            <w:t>地下水污染途径及污染范围分析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_Toc225216800 \h</w:instrText>
          </w:r>
          <w:r>
            <w:rPr>
              <w:rFonts w:hint="eastAsia"/>
              <w:color w:val="auto"/>
            </w:rPr>
            <w:instrText xml:space="preserve"> </w:instrText>
          </w:r>
          <w:r>
            <w:rPr>
              <w:rFonts w:hint="eastAsia"/>
              <w:color w:val="auto"/>
            </w:rPr>
            <w:fldChar w:fldCharType="separate"/>
          </w:r>
          <w:r>
            <w:rPr>
              <w:color w:val="auto"/>
            </w:rPr>
            <w:t>282</w:t>
          </w:r>
          <w:r>
            <w:rPr>
              <w:rFonts w:hint="eastAsia"/>
              <w:color w:val="auto"/>
            </w:rPr>
            <w:fldChar w:fldCharType="end"/>
          </w:r>
          <w:r>
            <w:rPr>
              <w:rFonts w:hint="eastAsia"/>
              <w:color w:val="auto"/>
            </w:rPr>
            <w:fldChar w:fldCharType="end"/>
          </w:r>
        </w:p>
        <w:p w14:paraId="4D1CE82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"_Toc225216801" </w:instrText>
          </w:r>
          <w:r>
            <w:rPr>
              <w:color w:val="auto"/>
            </w:rPr>
            <w:fldChar w:fldCharType="separate"/>
          </w:r>
          <w:r>
            <w:rPr>
              <w:rStyle w:val="29"/>
              <w:rFonts w:hint="eastAsia"/>
              <w:color w:val="auto"/>
            </w:rPr>
            <w:t>5.4.5</w:t>
          </w:r>
          <w:r>
            <w:rPr>
              <w:rFonts w:hint="eastAsia" w:asciiTheme="minorHAnsi" w:hAnsiTheme="minorHAnsi" w:eastAsiaTheme="minorEastAsia"/>
              <w:color w:val="auto"/>
              <w:sz w:val="22"/>
              <w:szCs w:val="24"/>
              <w14:ligatures w14:val="standardContextual"/>
            </w:rPr>
            <w:tab/>
          </w:r>
          <w:r>
            <w:rPr>
              <w:rStyle w:val="29"/>
              <w:rFonts w:hint="eastAsia"/>
              <w:color w:val="auto"/>
            </w:rPr>
            <w:t>预测情景设定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_Toc225216801 \h</w:instrText>
          </w:r>
          <w:r>
            <w:rPr>
              <w:rFonts w:hint="eastAsia"/>
              <w:color w:val="auto"/>
            </w:rPr>
            <w:instrText xml:space="preserve"> </w:instrText>
          </w:r>
          <w:r>
            <w:rPr>
              <w:rFonts w:hint="eastAsia"/>
              <w:color w:val="auto"/>
            </w:rPr>
            <w:fldChar w:fldCharType="separate"/>
          </w:r>
          <w:r>
            <w:rPr>
              <w:color w:val="auto"/>
            </w:rPr>
            <w:t>282</w:t>
          </w:r>
          <w:r>
            <w:rPr>
              <w:rFonts w:hint="eastAsia"/>
              <w:color w:val="auto"/>
            </w:rPr>
            <w:fldChar w:fldCharType="end"/>
          </w:r>
          <w:r>
            <w:rPr>
              <w:rFonts w:hint="eastAsia"/>
              <w:color w:val="auto"/>
            </w:rPr>
            <w:fldChar w:fldCharType="end"/>
          </w:r>
        </w:p>
        <w:p w14:paraId="6902D3A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"_Toc225216802" </w:instrText>
          </w:r>
          <w:r>
            <w:rPr>
              <w:color w:val="auto"/>
            </w:rPr>
            <w:fldChar w:fldCharType="separate"/>
          </w:r>
          <w:r>
            <w:rPr>
              <w:rStyle w:val="29"/>
              <w:rFonts w:hint="eastAsia"/>
              <w:color w:val="auto"/>
            </w:rPr>
            <w:t>5.4.6</w:t>
          </w:r>
          <w:r>
            <w:rPr>
              <w:rFonts w:hint="eastAsia" w:asciiTheme="minorHAnsi" w:hAnsiTheme="minorHAnsi" w:eastAsiaTheme="minorEastAsia"/>
              <w:color w:val="auto"/>
              <w:sz w:val="22"/>
              <w:szCs w:val="24"/>
              <w14:ligatures w14:val="standardContextual"/>
            </w:rPr>
            <w:tab/>
          </w:r>
          <w:r>
            <w:rPr>
              <w:rStyle w:val="29"/>
              <w:rFonts w:hint="eastAsia"/>
              <w:color w:val="auto"/>
            </w:rPr>
            <w:t>地下水预测结果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_Toc225216802 \h</w:instrText>
          </w:r>
          <w:r>
            <w:rPr>
              <w:rFonts w:hint="eastAsia"/>
              <w:color w:val="auto"/>
            </w:rPr>
            <w:instrText xml:space="preserve"> </w:instrText>
          </w:r>
          <w:r>
            <w:rPr>
              <w:rFonts w:hint="eastAsia"/>
              <w:color w:val="auto"/>
            </w:rPr>
            <w:fldChar w:fldCharType="separate"/>
          </w:r>
          <w:r>
            <w:rPr>
              <w:color w:val="auto"/>
            </w:rPr>
            <w:t>283</w:t>
          </w:r>
          <w:r>
            <w:rPr>
              <w:rFonts w:hint="eastAsia"/>
              <w:color w:val="auto"/>
            </w:rPr>
            <w:fldChar w:fldCharType="end"/>
          </w:r>
          <w:r>
            <w:rPr>
              <w:rFonts w:hint="eastAsia"/>
              <w:color w:val="auto"/>
            </w:rPr>
            <w:fldChar w:fldCharType="end"/>
          </w:r>
        </w:p>
        <w:p w14:paraId="2C7E329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"_Toc225216803" </w:instrText>
          </w:r>
          <w:r>
            <w:rPr>
              <w:color w:val="auto"/>
            </w:rPr>
            <w:fldChar w:fldCharType="separate"/>
          </w:r>
          <w:r>
            <w:rPr>
              <w:rStyle w:val="29"/>
              <w:rFonts w:hint="eastAsia"/>
              <w:color w:val="auto"/>
            </w:rPr>
            <w:t>5.4.7</w:t>
          </w:r>
          <w:r>
            <w:rPr>
              <w:rFonts w:hint="eastAsia" w:asciiTheme="minorHAnsi" w:hAnsiTheme="minorHAnsi" w:eastAsiaTheme="minorEastAsia"/>
              <w:color w:val="auto"/>
              <w:sz w:val="22"/>
              <w:szCs w:val="24"/>
              <w14:ligatures w14:val="standardContextual"/>
            </w:rPr>
            <w:tab/>
          </w:r>
          <w:r>
            <w:rPr>
              <w:rStyle w:val="29"/>
              <w:rFonts w:hint="eastAsia"/>
              <w:color w:val="auto"/>
            </w:rPr>
            <w:t>对周边敏感点影响分析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_Toc225216803 \h</w:instrText>
          </w:r>
          <w:r>
            <w:rPr>
              <w:rFonts w:hint="eastAsia"/>
              <w:color w:val="auto"/>
            </w:rPr>
            <w:instrText xml:space="preserve"> </w:instrText>
          </w:r>
          <w:r>
            <w:rPr>
              <w:rFonts w:hint="eastAsia"/>
              <w:color w:val="auto"/>
            </w:rPr>
            <w:fldChar w:fldCharType="separate"/>
          </w:r>
          <w:r>
            <w:rPr>
              <w:color w:val="auto"/>
            </w:rPr>
            <w:t>286</w:t>
          </w:r>
          <w:r>
            <w:rPr>
              <w:rFonts w:hint="eastAsia"/>
              <w:color w:val="auto"/>
            </w:rPr>
            <w:fldChar w:fldCharType="end"/>
          </w:r>
          <w:r>
            <w:rPr>
              <w:rFonts w:hint="eastAsia"/>
              <w:color w:val="auto"/>
            </w:rPr>
            <w:fldChar w:fldCharType="end"/>
          </w:r>
        </w:p>
        <w:p w14:paraId="00688A6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"_Toc225216804" </w:instrText>
          </w:r>
          <w:r>
            <w:rPr>
              <w:color w:val="auto"/>
            </w:rPr>
            <w:fldChar w:fldCharType="separate"/>
          </w:r>
          <w:r>
            <w:rPr>
              <w:rStyle w:val="29"/>
              <w:rFonts w:hint="eastAsia"/>
              <w:color w:val="auto"/>
            </w:rPr>
            <w:t>5.4.8</w:t>
          </w:r>
          <w:r>
            <w:rPr>
              <w:rFonts w:hint="eastAsia" w:asciiTheme="minorHAnsi" w:hAnsiTheme="minorHAnsi" w:eastAsiaTheme="minorEastAsia"/>
              <w:color w:val="auto"/>
              <w:sz w:val="22"/>
              <w:szCs w:val="24"/>
              <w14:ligatures w14:val="standardContextual"/>
            </w:rPr>
            <w:tab/>
          </w:r>
          <w:r>
            <w:rPr>
              <w:rStyle w:val="29"/>
              <w:rFonts w:hint="eastAsia"/>
              <w:color w:val="auto"/>
            </w:rPr>
            <w:t>小结</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_Toc225216804 \h</w:instrText>
          </w:r>
          <w:r>
            <w:rPr>
              <w:rFonts w:hint="eastAsia"/>
              <w:color w:val="auto"/>
            </w:rPr>
            <w:instrText xml:space="preserve"> </w:instrText>
          </w:r>
          <w:r>
            <w:rPr>
              <w:rFonts w:hint="eastAsia"/>
              <w:color w:val="auto"/>
            </w:rPr>
            <w:fldChar w:fldCharType="separate"/>
          </w:r>
          <w:r>
            <w:rPr>
              <w:color w:val="auto"/>
            </w:rPr>
            <w:t>286</w:t>
          </w:r>
          <w:r>
            <w:rPr>
              <w:rFonts w:hint="eastAsia"/>
              <w:color w:val="auto"/>
            </w:rPr>
            <w:fldChar w:fldCharType="end"/>
          </w:r>
          <w:r>
            <w:rPr>
              <w:rFonts w:hint="eastAsia"/>
              <w:color w:val="auto"/>
            </w:rPr>
            <w:fldChar w:fldCharType="end"/>
          </w:r>
        </w:p>
        <w:p w14:paraId="459345D3">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"_Toc225216805" </w:instrText>
          </w:r>
          <w:r>
            <w:rPr>
              <w:color w:val="auto"/>
            </w:rPr>
            <w:fldChar w:fldCharType="separate"/>
          </w:r>
          <w:r>
            <w:rPr>
              <w:rStyle w:val="29"/>
              <w:rFonts w:hint="eastAsia"/>
              <w:color w:val="auto"/>
            </w:rPr>
            <w:t>5.5</w:t>
          </w:r>
          <w:r>
            <w:rPr>
              <w:rFonts w:hint="eastAsia" w:asciiTheme="minorHAnsi" w:hAnsiTheme="minorHAnsi" w:eastAsiaTheme="minorEastAsia"/>
              <w:color w:val="auto"/>
              <w:sz w:val="22"/>
              <w:szCs w:val="24"/>
              <w14:ligatures w14:val="standardContextual"/>
            </w:rPr>
            <w:tab/>
          </w:r>
          <w:r>
            <w:rPr>
              <w:rStyle w:val="29"/>
              <w:rFonts w:hint="eastAsia"/>
              <w:color w:val="auto"/>
            </w:rPr>
            <w:t>运营期声环境影响预测与评价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_Toc225216805 \h</w:instrText>
          </w:r>
          <w:r>
            <w:rPr>
              <w:rFonts w:hint="eastAsia"/>
              <w:color w:val="auto"/>
            </w:rPr>
            <w:instrText xml:space="preserve"> </w:instrText>
          </w:r>
          <w:r>
            <w:rPr>
              <w:rFonts w:hint="eastAsia"/>
              <w:color w:val="auto"/>
            </w:rPr>
            <w:fldChar w:fldCharType="separate"/>
          </w:r>
          <w:r>
            <w:rPr>
              <w:color w:val="auto"/>
            </w:rPr>
            <w:t>287</w:t>
          </w:r>
          <w:r>
            <w:rPr>
              <w:rFonts w:hint="eastAsia"/>
              <w:color w:val="auto"/>
            </w:rPr>
            <w:fldChar w:fldCharType="end"/>
          </w:r>
          <w:r>
            <w:rPr>
              <w:rFonts w:hint="eastAsia"/>
              <w:color w:val="auto"/>
            </w:rPr>
            <w:fldChar w:fldCharType="end"/>
          </w:r>
        </w:p>
        <w:p w14:paraId="3DEA7B6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"_Toc225216806" </w:instrText>
          </w:r>
          <w:r>
            <w:rPr>
              <w:color w:val="auto"/>
            </w:rPr>
            <w:fldChar w:fldCharType="separate"/>
          </w:r>
          <w:r>
            <w:rPr>
              <w:rStyle w:val="29"/>
              <w:rFonts w:hint="eastAsia"/>
              <w:color w:val="auto"/>
            </w:rPr>
            <w:t>5.5.1</w:t>
          </w:r>
          <w:r>
            <w:rPr>
              <w:rFonts w:hint="eastAsia" w:asciiTheme="minorHAnsi" w:hAnsiTheme="minorHAnsi" w:eastAsiaTheme="minorEastAsia"/>
              <w:color w:val="auto"/>
              <w:sz w:val="22"/>
              <w:szCs w:val="24"/>
              <w14:ligatures w14:val="standardContextual"/>
            </w:rPr>
            <w:tab/>
          </w:r>
          <w:r>
            <w:rPr>
              <w:rStyle w:val="29"/>
              <w:rFonts w:hint="eastAsia"/>
              <w:color w:val="auto"/>
            </w:rPr>
            <w:t>噪声源强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_Toc225216806 \h</w:instrText>
          </w:r>
          <w:r>
            <w:rPr>
              <w:rFonts w:hint="eastAsia"/>
              <w:color w:val="auto"/>
            </w:rPr>
            <w:instrText xml:space="preserve"> </w:instrText>
          </w:r>
          <w:r>
            <w:rPr>
              <w:rFonts w:hint="eastAsia"/>
              <w:color w:val="auto"/>
            </w:rPr>
            <w:fldChar w:fldCharType="separate"/>
          </w:r>
          <w:r>
            <w:rPr>
              <w:color w:val="auto"/>
            </w:rPr>
            <w:t>287</w:t>
          </w:r>
          <w:r>
            <w:rPr>
              <w:rFonts w:hint="eastAsia"/>
              <w:color w:val="auto"/>
            </w:rPr>
            <w:fldChar w:fldCharType="end"/>
          </w:r>
          <w:r>
            <w:rPr>
              <w:rFonts w:hint="eastAsia"/>
              <w:color w:val="auto"/>
            </w:rPr>
            <w:fldChar w:fldCharType="end"/>
          </w:r>
        </w:p>
        <w:p w14:paraId="678D1F2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"_Toc225216807" </w:instrText>
          </w:r>
          <w:r>
            <w:rPr>
              <w:color w:val="auto"/>
            </w:rPr>
            <w:fldChar w:fldCharType="separate"/>
          </w:r>
          <w:r>
            <w:rPr>
              <w:rStyle w:val="29"/>
              <w:rFonts w:hint="eastAsia"/>
              <w:color w:val="auto"/>
            </w:rPr>
            <w:t>5.5.2</w:t>
          </w:r>
          <w:r>
            <w:rPr>
              <w:rFonts w:hint="eastAsia" w:asciiTheme="minorHAnsi" w:hAnsiTheme="minorHAnsi" w:eastAsiaTheme="minorEastAsia"/>
              <w:color w:val="auto"/>
              <w:sz w:val="22"/>
              <w:szCs w:val="24"/>
              <w14:ligatures w14:val="standardContextual"/>
            </w:rPr>
            <w:tab/>
          </w:r>
          <w:r>
            <w:rPr>
              <w:rStyle w:val="29"/>
              <w:rFonts w:hint="eastAsia"/>
              <w:color w:val="auto"/>
            </w:rPr>
            <w:t>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_Toc225216807 \h</w:instrText>
          </w:r>
          <w:r>
            <w:rPr>
              <w:rFonts w:hint="eastAsia"/>
              <w:color w:val="auto"/>
            </w:rPr>
            <w:instrText xml:space="preserve"> </w:instrText>
          </w:r>
          <w:r>
            <w:rPr>
              <w:rFonts w:hint="eastAsia"/>
              <w:color w:val="auto"/>
            </w:rPr>
            <w:fldChar w:fldCharType="separate"/>
          </w:r>
          <w:r>
            <w:rPr>
              <w:color w:val="auto"/>
            </w:rPr>
            <w:t>287</w:t>
          </w:r>
          <w:r>
            <w:rPr>
              <w:rFonts w:hint="eastAsia"/>
              <w:color w:val="auto"/>
            </w:rPr>
            <w:fldChar w:fldCharType="end"/>
          </w:r>
          <w:r>
            <w:rPr>
              <w:rFonts w:hint="eastAsia"/>
              <w:color w:val="auto"/>
            </w:rPr>
            <w:fldChar w:fldCharType="end"/>
          </w:r>
        </w:p>
        <w:p w14:paraId="2BF0AA8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"_Toc225216808" </w:instrText>
          </w:r>
          <w:r>
            <w:rPr>
              <w:color w:val="auto"/>
            </w:rPr>
            <w:fldChar w:fldCharType="separate"/>
          </w:r>
          <w:r>
            <w:rPr>
              <w:rStyle w:val="29"/>
              <w:rFonts w:hint="eastAsia"/>
              <w:color w:val="auto"/>
            </w:rPr>
            <w:t>5.5.3</w:t>
          </w:r>
          <w:r>
            <w:rPr>
              <w:rFonts w:hint="eastAsia" w:asciiTheme="minorHAnsi" w:hAnsiTheme="minorHAnsi" w:eastAsiaTheme="minorEastAsia"/>
              <w:color w:val="auto"/>
              <w:sz w:val="22"/>
              <w:szCs w:val="24"/>
              <w14:ligatures w14:val="standardContextual"/>
            </w:rPr>
            <w:tab/>
          </w:r>
          <w:r>
            <w:rPr>
              <w:rStyle w:val="29"/>
              <w:rFonts w:hint="eastAsia"/>
              <w:color w:val="auto"/>
            </w:rPr>
            <w:t>预测方法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_Toc225216808 \h</w:instrText>
          </w:r>
          <w:r>
            <w:rPr>
              <w:rFonts w:hint="eastAsia"/>
              <w:color w:val="auto"/>
            </w:rPr>
            <w:instrText xml:space="preserve"> </w:instrText>
          </w:r>
          <w:r>
            <w:rPr>
              <w:rFonts w:hint="eastAsia"/>
              <w:color w:val="auto"/>
            </w:rPr>
            <w:fldChar w:fldCharType="separate"/>
          </w:r>
          <w:r>
            <w:rPr>
              <w:color w:val="auto"/>
            </w:rPr>
            <w:t>289</w:t>
          </w:r>
          <w:r>
            <w:rPr>
              <w:rFonts w:hint="eastAsia"/>
              <w:color w:val="auto"/>
            </w:rPr>
            <w:fldChar w:fldCharType="end"/>
          </w:r>
          <w:r>
            <w:rPr>
              <w:rFonts w:hint="eastAsia"/>
              <w:color w:val="auto"/>
            </w:rPr>
            <w:fldChar w:fldCharType="end"/>
          </w:r>
        </w:p>
        <w:p w14:paraId="4ACADFF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"_Toc225216809" </w:instrText>
          </w:r>
          <w:r>
            <w:rPr>
              <w:color w:val="auto"/>
            </w:rPr>
            <w:fldChar w:fldCharType="separate"/>
          </w:r>
          <w:r>
            <w:rPr>
              <w:rStyle w:val="29"/>
              <w:rFonts w:hint="eastAsia"/>
              <w:color w:val="auto"/>
            </w:rPr>
            <w:t>5.5.4</w:t>
          </w:r>
          <w:r>
            <w:rPr>
              <w:rFonts w:hint="eastAsia" w:asciiTheme="minorHAnsi" w:hAnsiTheme="minorHAnsi" w:eastAsiaTheme="minorEastAsia"/>
              <w:color w:val="auto"/>
              <w:sz w:val="22"/>
              <w:szCs w:val="24"/>
              <w14:ligatures w14:val="standardContextual"/>
            </w:rPr>
            <w:tab/>
          </w:r>
          <w:r>
            <w:rPr>
              <w:rStyle w:val="29"/>
              <w:rFonts w:hint="eastAsia"/>
              <w:color w:val="auto"/>
            </w:rPr>
            <w:t>预测结果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_Toc225216809 \h</w:instrText>
          </w:r>
          <w:r>
            <w:rPr>
              <w:rFonts w:hint="eastAsia"/>
              <w:color w:val="auto"/>
            </w:rPr>
            <w:instrText xml:space="preserve"> </w:instrText>
          </w:r>
          <w:r>
            <w:rPr>
              <w:rFonts w:hint="eastAsia"/>
              <w:color w:val="auto"/>
            </w:rPr>
            <w:fldChar w:fldCharType="separate"/>
          </w:r>
          <w:r>
            <w:rPr>
              <w:color w:val="auto"/>
            </w:rPr>
            <w:t>290</w:t>
          </w:r>
          <w:r>
            <w:rPr>
              <w:rFonts w:hint="eastAsia"/>
              <w:color w:val="auto"/>
            </w:rPr>
            <w:fldChar w:fldCharType="end"/>
          </w:r>
          <w:r>
            <w:rPr>
              <w:rFonts w:hint="eastAsia"/>
              <w:color w:val="auto"/>
            </w:rPr>
            <w:fldChar w:fldCharType="end"/>
          </w:r>
        </w:p>
        <w:p w14:paraId="63FE3E2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"_Toc225216810" </w:instrText>
          </w:r>
          <w:r>
            <w:rPr>
              <w:color w:val="auto"/>
            </w:rPr>
            <w:fldChar w:fldCharType="separate"/>
          </w:r>
          <w:r>
            <w:rPr>
              <w:rStyle w:val="29"/>
              <w:rFonts w:hint="eastAsia"/>
              <w:color w:val="auto"/>
            </w:rPr>
            <w:t>5.5.5</w:t>
          </w:r>
          <w:r>
            <w:rPr>
              <w:rFonts w:hint="eastAsia" w:asciiTheme="minorHAnsi" w:hAnsiTheme="minorHAnsi" w:eastAsiaTheme="minorEastAsia"/>
              <w:color w:val="auto"/>
              <w:sz w:val="22"/>
              <w:szCs w:val="24"/>
              <w14:ligatures w14:val="standardContextual"/>
            </w:rPr>
            <w:tab/>
          </w:r>
          <w:r>
            <w:rPr>
              <w:rStyle w:val="29"/>
              <w:rFonts w:hint="eastAsia"/>
              <w:color w:val="auto"/>
            </w:rPr>
            <w:t>噪声预测结论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_Toc225216810 \h</w:instrText>
          </w:r>
          <w:r>
            <w:rPr>
              <w:rFonts w:hint="eastAsia"/>
              <w:color w:val="auto"/>
            </w:rPr>
            <w:instrText xml:space="preserve"> </w:instrText>
          </w:r>
          <w:r>
            <w:rPr>
              <w:rFonts w:hint="eastAsia"/>
              <w:color w:val="auto"/>
            </w:rPr>
            <w:fldChar w:fldCharType="separate"/>
          </w:r>
          <w:r>
            <w:rPr>
              <w:color w:val="auto"/>
            </w:rPr>
            <w:t>291</w:t>
          </w:r>
          <w:r>
            <w:rPr>
              <w:rFonts w:hint="eastAsia"/>
              <w:color w:val="auto"/>
            </w:rPr>
            <w:fldChar w:fldCharType="end"/>
          </w:r>
          <w:r>
            <w:rPr>
              <w:rFonts w:hint="eastAsia"/>
              <w:color w:val="auto"/>
            </w:rPr>
            <w:fldChar w:fldCharType="end"/>
          </w:r>
        </w:p>
        <w:p w14:paraId="2BA22B17">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"_Toc225216811" </w:instrText>
          </w:r>
          <w:r>
            <w:rPr>
              <w:color w:val="auto"/>
            </w:rPr>
            <w:fldChar w:fldCharType="separate"/>
          </w:r>
          <w:r>
            <w:rPr>
              <w:rStyle w:val="29"/>
              <w:rFonts w:hint="eastAsia"/>
              <w:color w:val="auto"/>
            </w:rPr>
            <w:t>5.6</w:t>
          </w:r>
          <w:r>
            <w:rPr>
              <w:rFonts w:hint="eastAsia" w:asciiTheme="minorHAnsi" w:hAnsiTheme="minorHAnsi" w:eastAsiaTheme="minorEastAsia"/>
              <w:color w:val="auto"/>
              <w:sz w:val="22"/>
              <w:szCs w:val="24"/>
              <w14:ligatures w14:val="standardContextual"/>
            </w:rPr>
            <w:tab/>
          </w:r>
          <w:r>
            <w:rPr>
              <w:rStyle w:val="29"/>
              <w:rFonts w:hint="eastAsia"/>
              <w:color w:val="auto"/>
            </w:rPr>
            <w:t>运营期土壤环境影响分析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_Toc225216811 \h</w:instrText>
          </w:r>
          <w:r>
            <w:rPr>
              <w:rFonts w:hint="eastAsia"/>
              <w:color w:val="auto"/>
            </w:rPr>
            <w:instrText xml:space="preserve"> </w:instrText>
          </w:r>
          <w:r>
            <w:rPr>
              <w:rFonts w:hint="eastAsia"/>
              <w:color w:val="auto"/>
            </w:rPr>
            <w:fldChar w:fldCharType="separate"/>
          </w:r>
          <w:r>
            <w:rPr>
              <w:color w:val="auto"/>
            </w:rPr>
            <w:t>291</w:t>
          </w:r>
          <w:r>
            <w:rPr>
              <w:rFonts w:hint="eastAsia"/>
              <w:color w:val="auto"/>
            </w:rPr>
            <w:fldChar w:fldCharType="end"/>
          </w:r>
          <w:r>
            <w:rPr>
              <w:rFonts w:hint="eastAsia"/>
              <w:color w:val="auto"/>
            </w:rPr>
            <w:fldChar w:fldCharType="end"/>
          </w:r>
        </w:p>
        <w:p w14:paraId="075BE68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"_Toc225216812" </w:instrText>
          </w:r>
          <w:r>
            <w:rPr>
              <w:color w:val="auto"/>
            </w:rPr>
            <w:fldChar w:fldCharType="separate"/>
          </w:r>
          <w:r>
            <w:rPr>
              <w:rStyle w:val="29"/>
              <w:rFonts w:hint="eastAsia"/>
              <w:color w:val="auto"/>
            </w:rPr>
            <w:t>5.6.1</w:t>
          </w:r>
          <w:r>
            <w:rPr>
              <w:rFonts w:hint="eastAsia" w:asciiTheme="minorHAnsi" w:hAnsiTheme="minorHAnsi" w:eastAsiaTheme="minorEastAsia"/>
              <w:color w:val="auto"/>
              <w:sz w:val="22"/>
              <w:szCs w:val="24"/>
              <w14:ligatures w14:val="standardContextual"/>
            </w:rPr>
            <w:tab/>
          </w:r>
          <w:r>
            <w:rPr>
              <w:rStyle w:val="29"/>
              <w:rFonts w:hint="eastAsia"/>
              <w:color w:val="auto"/>
            </w:rPr>
            <w:t>土壤环境影响识别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_Toc225216812 \h</w:instrText>
          </w:r>
          <w:r>
            <w:rPr>
              <w:rFonts w:hint="eastAsia"/>
              <w:color w:val="auto"/>
            </w:rPr>
            <w:instrText xml:space="preserve"> </w:instrText>
          </w:r>
          <w:r>
            <w:rPr>
              <w:rFonts w:hint="eastAsia"/>
              <w:color w:val="auto"/>
            </w:rPr>
            <w:fldChar w:fldCharType="separate"/>
          </w:r>
          <w:r>
            <w:rPr>
              <w:color w:val="auto"/>
            </w:rPr>
            <w:t>291</w:t>
          </w:r>
          <w:r>
            <w:rPr>
              <w:rFonts w:hint="eastAsia"/>
              <w:color w:val="auto"/>
            </w:rPr>
            <w:fldChar w:fldCharType="end"/>
          </w:r>
          <w:r>
            <w:rPr>
              <w:rFonts w:hint="eastAsia"/>
              <w:color w:val="auto"/>
            </w:rPr>
            <w:fldChar w:fldCharType="end"/>
          </w:r>
        </w:p>
        <w:p w14:paraId="6BA876D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"_Toc225216813" </w:instrText>
          </w:r>
          <w:r>
            <w:rPr>
              <w:color w:val="auto"/>
            </w:rPr>
            <w:fldChar w:fldCharType="separate"/>
          </w:r>
          <w:r>
            <w:rPr>
              <w:rStyle w:val="29"/>
              <w:rFonts w:hint="eastAsia"/>
              <w:color w:val="auto"/>
            </w:rPr>
            <w:t>5.6.2</w:t>
          </w:r>
          <w:r>
            <w:rPr>
              <w:rFonts w:hint="eastAsia" w:asciiTheme="minorHAnsi" w:hAnsiTheme="minorHAnsi" w:eastAsiaTheme="minorEastAsia"/>
              <w:color w:val="auto"/>
              <w:sz w:val="22"/>
              <w:szCs w:val="24"/>
              <w14:ligatures w14:val="standardContextual"/>
            </w:rPr>
            <w:tab/>
          </w:r>
          <w:r>
            <w:rPr>
              <w:rStyle w:val="29"/>
              <w:rFonts w:hint="eastAsia"/>
              <w:color w:val="auto"/>
            </w:rPr>
            <w:t>情景设置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_Toc225216813 \h</w:instrText>
          </w:r>
          <w:r>
            <w:rPr>
              <w:rFonts w:hint="eastAsia"/>
              <w:color w:val="auto"/>
            </w:rPr>
            <w:instrText xml:space="preserve"> </w:instrText>
          </w:r>
          <w:r>
            <w:rPr>
              <w:rFonts w:hint="eastAsia"/>
              <w:color w:val="auto"/>
            </w:rPr>
            <w:fldChar w:fldCharType="separate"/>
          </w:r>
          <w:r>
            <w:rPr>
              <w:color w:val="auto"/>
            </w:rPr>
            <w:t>292</w:t>
          </w:r>
          <w:r>
            <w:rPr>
              <w:rFonts w:hint="eastAsia"/>
              <w:color w:val="auto"/>
            </w:rPr>
            <w:fldChar w:fldCharType="end"/>
          </w:r>
          <w:r>
            <w:rPr>
              <w:rFonts w:hint="eastAsia"/>
              <w:color w:val="auto"/>
            </w:rPr>
            <w:fldChar w:fldCharType="end"/>
          </w:r>
        </w:p>
        <w:p w14:paraId="38E47BE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"_Toc225216814" </w:instrText>
          </w:r>
          <w:r>
            <w:rPr>
              <w:color w:val="auto"/>
            </w:rPr>
            <w:fldChar w:fldCharType="separate"/>
          </w:r>
          <w:r>
            <w:rPr>
              <w:rStyle w:val="29"/>
              <w:rFonts w:hint="eastAsia"/>
              <w:color w:val="auto"/>
            </w:rPr>
            <w:t>5.6.3</w:t>
          </w:r>
          <w:r>
            <w:rPr>
              <w:rFonts w:hint="eastAsia" w:asciiTheme="minorHAnsi" w:hAnsiTheme="minorHAnsi" w:eastAsiaTheme="minorEastAsia"/>
              <w:color w:val="auto"/>
              <w:sz w:val="22"/>
              <w:szCs w:val="24"/>
              <w14:ligatures w14:val="standardContextual"/>
            </w:rPr>
            <w:tab/>
          </w:r>
          <w:r>
            <w:rPr>
              <w:rStyle w:val="29"/>
              <w:rFonts w:hint="eastAsia"/>
              <w:color w:val="auto"/>
            </w:rPr>
            <w:t>预测范围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_Toc225216814 \h</w:instrText>
          </w:r>
          <w:r>
            <w:rPr>
              <w:rFonts w:hint="eastAsia"/>
              <w:color w:val="auto"/>
            </w:rPr>
            <w:instrText xml:space="preserve"> </w:instrText>
          </w:r>
          <w:r>
            <w:rPr>
              <w:rFonts w:hint="eastAsia"/>
              <w:color w:val="auto"/>
            </w:rPr>
            <w:fldChar w:fldCharType="separate"/>
          </w:r>
          <w:r>
            <w:rPr>
              <w:color w:val="auto"/>
            </w:rPr>
            <w:t>292</w:t>
          </w:r>
          <w:r>
            <w:rPr>
              <w:rFonts w:hint="eastAsia"/>
              <w:color w:val="auto"/>
            </w:rPr>
            <w:fldChar w:fldCharType="end"/>
          </w:r>
          <w:r>
            <w:rPr>
              <w:rFonts w:hint="eastAsia"/>
              <w:color w:val="auto"/>
            </w:rPr>
            <w:fldChar w:fldCharType="end"/>
          </w:r>
        </w:p>
        <w:p w14:paraId="3072771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"_Toc225216815" </w:instrText>
          </w:r>
          <w:r>
            <w:rPr>
              <w:color w:val="auto"/>
            </w:rPr>
            <w:fldChar w:fldCharType="separate"/>
          </w:r>
          <w:r>
            <w:rPr>
              <w:rStyle w:val="29"/>
              <w:rFonts w:hint="eastAsia"/>
              <w:color w:val="auto"/>
            </w:rPr>
            <w:t>5.6.4</w:t>
          </w:r>
          <w:r>
            <w:rPr>
              <w:rFonts w:hint="eastAsia" w:asciiTheme="minorHAnsi" w:hAnsiTheme="minorHAnsi" w:eastAsiaTheme="minorEastAsia"/>
              <w:color w:val="auto"/>
              <w:sz w:val="22"/>
              <w:szCs w:val="24"/>
              <w14:ligatures w14:val="standardContextual"/>
            </w:rPr>
            <w:tab/>
          </w:r>
          <w:r>
            <w:rPr>
              <w:rStyle w:val="29"/>
              <w:rFonts w:hint="eastAsia"/>
              <w:color w:val="auto"/>
            </w:rPr>
            <w:t>预测时间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_Toc225216815 \h</w:instrText>
          </w:r>
          <w:r>
            <w:rPr>
              <w:rFonts w:hint="eastAsia"/>
              <w:color w:val="auto"/>
            </w:rPr>
            <w:instrText xml:space="preserve"> </w:instrText>
          </w:r>
          <w:r>
            <w:rPr>
              <w:rFonts w:hint="eastAsia"/>
              <w:color w:val="auto"/>
            </w:rPr>
            <w:fldChar w:fldCharType="separate"/>
          </w:r>
          <w:r>
            <w:rPr>
              <w:color w:val="auto"/>
            </w:rPr>
            <w:t>292</w:t>
          </w:r>
          <w:r>
            <w:rPr>
              <w:rFonts w:hint="eastAsia"/>
              <w:color w:val="auto"/>
            </w:rPr>
            <w:fldChar w:fldCharType="end"/>
          </w:r>
          <w:r>
            <w:rPr>
              <w:rFonts w:hint="eastAsia"/>
              <w:color w:val="auto"/>
            </w:rPr>
            <w:fldChar w:fldCharType="end"/>
          </w:r>
        </w:p>
        <w:p w14:paraId="324F278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"_Toc225216816" </w:instrText>
          </w:r>
          <w:r>
            <w:rPr>
              <w:color w:val="auto"/>
            </w:rPr>
            <w:fldChar w:fldCharType="separate"/>
          </w:r>
          <w:r>
            <w:rPr>
              <w:rStyle w:val="29"/>
              <w:rFonts w:hint="eastAsia"/>
              <w:color w:val="auto"/>
            </w:rPr>
            <w:t>5.6.5</w:t>
          </w:r>
          <w:r>
            <w:rPr>
              <w:rFonts w:hint="eastAsia" w:asciiTheme="minorHAnsi" w:hAnsiTheme="minorHAnsi" w:eastAsiaTheme="minorEastAsia"/>
              <w:color w:val="auto"/>
              <w:sz w:val="22"/>
              <w:szCs w:val="24"/>
              <w14:ligatures w14:val="standardContextual"/>
            </w:rPr>
            <w:tab/>
          </w:r>
          <w:r>
            <w:rPr>
              <w:rStyle w:val="29"/>
              <w:rFonts w:hint="eastAsia"/>
              <w:color w:val="auto"/>
            </w:rPr>
            <w:t>预测因子及源强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_Toc225216816 \h</w:instrText>
          </w:r>
          <w:r>
            <w:rPr>
              <w:rFonts w:hint="eastAsia"/>
              <w:color w:val="auto"/>
            </w:rPr>
            <w:instrText xml:space="preserve"> </w:instrText>
          </w:r>
          <w:r>
            <w:rPr>
              <w:rFonts w:hint="eastAsia"/>
              <w:color w:val="auto"/>
            </w:rPr>
            <w:fldChar w:fldCharType="separate"/>
          </w:r>
          <w:r>
            <w:rPr>
              <w:color w:val="auto"/>
            </w:rPr>
            <w:t>292</w:t>
          </w:r>
          <w:r>
            <w:rPr>
              <w:rFonts w:hint="eastAsia"/>
              <w:color w:val="auto"/>
            </w:rPr>
            <w:fldChar w:fldCharType="end"/>
          </w:r>
          <w:r>
            <w:rPr>
              <w:rFonts w:hint="eastAsia"/>
              <w:color w:val="auto"/>
            </w:rPr>
            <w:fldChar w:fldCharType="end"/>
          </w:r>
        </w:p>
        <w:p w14:paraId="21AB9FF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"_Toc225216817" </w:instrText>
          </w:r>
          <w:r>
            <w:rPr>
              <w:color w:val="auto"/>
            </w:rPr>
            <w:fldChar w:fldCharType="separate"/>
          </w:r>
          <w:r>
            <w:rPr>
              <w:rStyle w:val="29"/>
              <w:rFonts w:hint="eastAsia"/>
              <w:color w:val="auto"/>
            </w:rPr>
            <w:t>5.6.6</w:t>
          </w:r>
          <w:r>
            <w:rPr>
              <w:rFonts w:hint="eastAsia" w:asciiTheme="minorHAnsi" w:hAnsiTheme="minorHAnsi" w:eastAsiaTheme="minorEastAsia"/>
              <w:color w:val="auto"/>
              <w:sz w:val="22"/>
              <w:szCs w:val="24"/>
              <w14:ligatures w14:val="standardContextual"/>
            </w:rPr>
            <w:tab/>
          </w:r>
          <w:r>
            <w:rPr>
              <w:rStyle w:val="29"/>
              <w:rFonts w:hint="eastAsia"/>
              <w:color w:val="auto"/>
            </w:rPr>
            <w:t>评价标准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_Toc225216817 \h</w:instrText>
          </w:r>
          <w:r>
            <w:rPr>
              <w:rFonts w:hint="eastAsia"/>
              <w:color w:val="auto"/>
            </w:rPr>
            <w:instrText xml:space="preserve"> </w:instrText>
          </w:r>
          <w:r>
            <w:rPr>
              <w:rFonts w:hint="eastAsia"/>
              <w:color w:val="auto"/>
            </w:rPr>
            <w:fldChar w:fldCharType="separate"/>
          </w:r>
          <w:r>
            <w:rPr>
              <w:color w:val="auto"/>
            </w:rPr>
            <w:t>293</w:t>
          </w:r>
          <w:r>
            <w:rPr>
              <w:rFonts w:hint="eastAsia"/>
              <w:color w:val="auto"/>
            </w:rPr>
            <w:fldChar w:fldCharType="end"/>
          </w:r>
          <w:r>
            <w:rPr>
              <w:rFonts w:hint="eastAsia"/>
              <w:color w:val="auto"/>
            </w:rPr>
            <w:fldChar w:fldCharType="end"/>
          </w:r>
        </w:p>
        <w:p w14:paraId="502566C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"_Toc225216818" </w:instrText>
          </w:r>
          <w:r>
            <w:rPr>
              <w:color w:val="auto"/>
            </w:rPr>
            <w:fldChar w:fldCharType="separate"/>
          </w:r>
          <w:r>
            <w:rPr>
              <w:rStyle w:val="29"/>
              <w:rFonts w:hint="eastAsia"/>
              <w:color w:val="auto"/>
            </w:rPr>
            <w:t>5.6.7</w:t>
          </w:r>
          <w:r>
            <w:rPr>
              <w:rFonts w:hint="eastAsia" w:asciiTheme="minorHAnsi" w:hAnsiTheme="minorHAnsi" w:eastAsiaTheme="minorEastAsia"/>
              <w:color w:val="auto"/>
              <w:sz w:val="22"/>
              <w:szCs w:val="24"/>
              <w14:ligatures w14:val="standardContextual"/>
            </w:rPr>
            <w:tab/>
          </w:r>
          <w:r>
            <w:rPr>
              <w:rStyle w:val="29"/>
              <w:rFonts w:hint="eastAsia"/>
              <w:color w:val="auto"/>
            </w:rPr>
            <w:t>预测方法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_Toc225216818 \h</w:instrText>
          </w:r>
          <w:r>
            <w:rPr>
              <w:rFonts w:hint="eastAsia"/>
              <w:color w:val="auto"/>
            </w:rPr>
            <w:instrText xml:space="preserve"> </w:instrText>
          </w:r>
          <w:r>
            <w:rPr>
              <w:rFonts w:hint="eastAsia"/>
              <w:color w:val="auto"/>
            </w:rPr>
            <w:fldChar w:fldCharType="separate"/>
          </w:r>
          <w:r>
            <w:rPr>
              <w:color w:val="auto"/>
            </w:rPr>
            <w:t>293</w:t>
          </w:r>
          <w:r>
            <w:rPr>
              <w:rFonts w:hint="eastAsia"/>
              <w:color w:val="auto"/>
            </w:rPr>
            <w:fldChar w:fldCharType="end"/>
          </w:r>
          <w:r>
            <w:rPr>
              <w:rFonts w:hint="eastAsia"/>
              <w:color w:val="auto"/>
            </w:rPr>
            <w:fldChar w:fldCharType="end"/>
          </w:r>
        </w:p>
        <w:p w14:paraId="45E3DCA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"_Toc225216819" </w:instrText>
          </w:r>
          <w:r>
            <w:rPr>
              <w:color w:val="auto"/>
            </w:rPr>
            <w:fldChar w:fldCharType="separate"/>
          </w:r>
          <w:r>
            <w:rPr>
              <w:rStyle w:val="29"/>
              <w:rFonts w:hint="eastAsia"/>
              <w:color w:val="auto"/>
            </w:rPr>
            <w:t>5.6.8</w:t>
          </w:r>
          <w:r>
            <w:rPr>
              <w:rFonts w:hint="eastAsia" w:asciiTheme="minorHAnsi" w:hAnsiTheme="minorHAnsi" w:eastAsiaTheme="minorEastAsia"/>
              <w:color w:val="auto"/>
              <w:sz w:val="22"/>
              <w:szCs w:val="24"/>
              <w14:ligatures w14:val="standardContextual"/>
            </w:rPr>
            <w:tab/>
          </w:r>
          <w:r>
            <w:rPr>
              <w:rStyle w:val="29"/>
              <w:rFonts w:hint="eastAsia"/>
              <w:color w:val="auto"/>
            </w:rPr>
            <w:t>预测结果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_Toc225216819 \h</w:instrText>
          </w:r>
          <w:r>
            <w:rPr>
              <w:rFonts w:hint="eastAsia"/>
              <w:color w:val="auto"/>
            </w:rPr>
            <w:instrText xml:space="preserve"> </w:instrText>
          </w:r>
          <w:r>
            <w:rPr>
              <w:rFonts w:hint="eastAsia"/>
              <w:color w:val="auto"/>
            </w:rPr>
            <w:fldChar w:fldCharType="separate"/>
          </w:r>
          <w:r>
            <w:rPr>
              <w:color w:val="auto"/>
            </w:rPr>
            <w:t>294</w:t>
          </w:r>
          <w:r>
            <w:rPr>
              <w:rFonts w:hint="eastAsia"/>
              <w:color w:val="auto"/>
            </w:rPr>
            <w:fldChar w:fldCharType="end"/>
          </w:r>
          <w:r>
            <w:rPr>
              <w:rFonts w:hint="eastAsia"/>
              <w:color w:val="auto"/>
            </w:rPr>
            <w:fldChar w:fldCharType="end"/>
          </w:r>
        </w:p>
        <w:p w14:paraId="51947A4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"_Toc225216820" </w:instrText>
          </w:r>
          <w:r>
            <w:rPr>
              <w:color w:val="auto"/>
            </w:rPr>
            <w:fldChar w:fldCharType="separate"/>
          </w:r>
          <w:r>
            <w:rPr>
              <w:rStyle w:val="29"/>
              <w:rFonts w:hint="eastAsia"/>
              <w:color w:val="auto"/>
            </w:rPr>
            <w:t>5.6.9</w:t>
          </w:r>
          <w:r>
            <w:rPr>
              <w:rFonts w:hint="eastAsia" w:asciiTheme="minorHAnsi" w:hAnsiTheme="minorHAnsi" w:eastAsiaTheme="minorEastAsia"/>
              <w:color w:val="auto"/>
              <w:sz w:val="22"/>
              <w:szCs w:val="24"/>
              <w14:ligatures w14:val="standardContextual"/>
            </w:rPr>
            <w:tab/>
          </w:r>
          <w:r>
            <w:rPr>
              <w:rStyle w:val="29"/>
              <w:rFonts w:hint="eastAsia"/>
              <w:color w:val="auto"/>
            </w:rPr>
            <w:t>小结</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_Toc225216820 \h</w:instrText>
          </w:r>
          <w:r>
            <w:rPr>
              <w:rFonts w:hint="eastAsia"/>
              <w:color w:val="auto"/>
            </w:rPr>
            <w:instrText xml:space="preserve"> </w:instrText>
          </w:r>
          <w:r>
            <w:rPr>
              <w:rFonts w:hint="eastAsia"/>
              <w:color w:val="auto"/>
            </w:rPr>
            <w:fldChar w:fldCharType="separate"/>
          </w:r>
          <w:r>
            <w:rPr>
              <w:color w:val="auto"/>
            </w:rPr>
            <w:t>294</w:t>
          </w:r>
          <w:r>
            <w:rPr>
              <w:rFonts w:hint="eastAsia"/>
              <w:color w:val="auto"/>
            </w:rPr>
            <w:fldChar w:fldCharType="end"/>
          </w:r>
          <w:r>
            <w:rPr>
              <w:rFonts w:hint="eastAsia"/>
              <w:color w:val="auto"/>
            </w:rPr>
            <w:fldChar w:fldCharType="end"/>
          </w:r>
        </w:p>
        <w:p w14:paraId="482516C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"_Toc225216821" </w:instrText>
          </w:r>
          <w:r>
            <w:rPr>
              <w:color w:val="auto"/>
            </w:rPr>
            <w:fldChar w:fldCharType="separate"/>
          </w:r>
          <w:r>
            <w:rPr>
              <w:rStyle w:val="29"/>
              <w:rFonts w:hint="eastAsia"/>
              <w:color w:val="auto"/>
            </w:rPr>
            <w:t>5.7</w:t>
          </w:r>
          <w:r>
            <w:rPr>
              <w:rFonts w:hint="eastAsia" w:asciiTheme="minorHAnsi" w:hAnsiTheme="minorHAnsi" w:eastAsiaTheme="minorEastAsia"/>
              <w:color w:val="auto"/>
              <w:sz w:val="22"/>
              <w:szCs w:val="24"/>
              <w14:ligatures w14:val="standardContextual"/>
            </w:rPr>
            <w:tab/>
          </w:r>
          <w:r>
            <w:rPr>
              <w:rStyle w:val="29"/>
              <w:rFonts w:hint="eastAsia"/>
              <w:color w:val="auto"/>
            </w:rPr>
            <w:t>运营期固体废物影响分析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_Toc225216821 \h</w:instrText>
          </w:r>
          <w:r>
            <w:rPr>
              <w:rFonts w:hint="eastAsia"/>
              <w:color w:val="auto"/>
            </w:rPr>
            <w:instrText xml:space="preserve"> </w:instrText>
          </w:r>
          <w:r>
            <w:rPr>
              <w:rFonts w:hint="eastAsia"/>
              <w:color w:val="auto"/>
            </w:rPr>
            <w:fldChar w:fldCharType="separate"/>
          </w:r>
          <w:r>
            <w:rPr>
              <w:color w:val="auto"/>
            </w:rPr>
            <w:t>295</w:t>
          </w:r>
          <w:r>
            <w:rPr>
              <w:rFonts w:hint="eastAsia"/>
              <w:color w:val="auto"/>
            </w:rPr>
            <w:fldChar w:fldCharType="end"/>
          </w:r>
          <w:r>
            <w:rPr>
              <w:rFonts w:hint="eastAsia"/>
              <w:color w:val="auto"/>
            </w:rPr>
            <w:fldChar w:fldCharType="end"/>
          </w:r>
        </w:p>
        <w:p w14:paraId="51E756E3">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"_Toc225216822" </w:instrText>
          </w:r>
          <w:r>
            <w:rPr>
              <w:color w:val="auto"/>
            </w:rPr>
            <w:fldChar w:fldCharType="separate"/>
          </w:r>
          <w:r>
            <w:rPr>
              <w:rStyle w:val="29"/>
              <w:rFonts w:hint="eastAsia"/>
              <w:color w:val="auto"/>
            </w:rPr>
            <w:t>5.8</w:t>
          </w:r>
          <w:r>
            <w:rPr>
              <w:rFonts w:hint="eastAsia" w:asciiTheme="minorHAnsi" w:hAnsiTheme="minorHAnsi" w:eastAsiaTheme="minorEastAsia"/>
              <w:color w:val="auto"/>
              <w:sz w:val="22"/>
              <w:szCs w:val="24"/>
              <w14:ligatures w14:val="standardContextual"/>
            </w:rPr>
            <w:tab/>
          </w:r>
          <w:r>
            <w:rPr>
              <w:rStyle w:val="29"/>
              <w:rFonts w:hint="eastAsia"/>
              <w:color w:val="auto"/>
            </w:rPr>
            <w:t>运营期生态环境影响分析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_Toc225216822 \h</w:instrText>
          </w:r>
          <w:r>
            <w:rPr>
              <w:rFonts w:hint="eastAsia"/>
              <w:color w:val="auto"/>
            </w:rPr>
            <w:instrText xml:space="preserve"> </w:instrText>
          </w:r>
          <w:r>
            <w:rPr>
              <w:rFonts w:hint="eastAsia"/>
              <w:color w:val="auto"/>
            </w:rPr>
            <w:fldChar w:fldCharType="separate"/>
          </w:r>
          <w:r>
            <w:rPr>
              <w:color w:val="auto"/>
            </w:rPr>
            <w:t>296</w:t>
          </w:r>
          <w:r>
            <w:rPr>
              <w:rFonts w:hint="eastAsia"/>
              <w:color w:val="auto"/>
            </w:rPr>
            <w:fldChar w:fldCharType="end"/>
          </w:r>
          <w:r>
            <w:rPr>
              <w:rFonts w:hint="eastAsia"/>
              <w:color w:val="auto"/>
            </w:rPr>
            <w:fldChar w:fldCharType="end"/>
          </w:r>
        </w:p>
        <w:p w14:paraId="32FD1BB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"_Toc225216823" </w:instrText>
          </w:r>
          <w:r>
            <w:rPr>
              <w:color w:val="auto"/>
            </w:rPr>
            <w:fldChar w:fldCharType="separate"/>
          </w:r>
          <w:r>
            <w:rPr>
              <w:rStyle w:val="29"/>
              <w:rFonts w:hint="eastAsia"/>
              <w:color w:val="auto"/>
            </w:rPr>
            <w:t>5.8.1</w:t>
          </w:r>
          <w:r>
            <w:rPr>
              <w:rFonts w:hint="eastAsia" w:asciiTheme="minorHAnsi" w:hAnsiTheme="minorHAnsi" w:eastAsiaTheme="minorEastAsia"/>
              <w:color w:val="auto"/>
              <w:sz w:val="22"/>
              <w:szCs w:val="24"/>
              <w14:ligatures w14:val="standardContextual"/>
            </w:rPr>
            <w:tab/>
          </w:r>
          <w:r>
            <w:rPr>
              <w:rStyle w:val="29"/>
              <w:rFonts w:hint="eastAsia"/>
              <w:color w:val="auto"/>
            </w:rPr>
            <w:t>陆生生态环境影响分析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_Toc225216823 \h</w:instrText>
          </w:r>
          <w:r>
            <w:rPr>
              <w:rFonts w:hint="eastAsia"/>
              <w:color w:val="auto"/>
            </w:rPr>
            <w:instrText xml:space="preserve"> </w:instrText>
          </w:r>
          <w:r>
            <w:rPr>
              <w:rFonts w:hint="eastAsia"/>
              <w:color w:val="auto"/>
            </w:rPr>
            <w:fldChar w:fldCharType="separate"/>
          </w:r>
          <w:r>
            <w:rPr>
              <w:color w:val="auto"/>
            </w:rPr>
            <w:t>296</w:t>
          </w:r>
          <w:r>
            <w:rPr>
              <w:rFonts w:hint="eastAsia"/>
              <w:color w:val="auto"/>
            </w:rPr>
            <w:fldChar w:fldCharType="end"/>
          </w:r>
          <w:r>
            <w:rPr>
              <w:rFonts w:hint="eastAsia"/>
              <w:color w:val="auto"/>
            </w:rPr>
            <w:fldChar w:fldCharType="end"/>
          </w:r>
        </w:p>
        <w:p w14:paraId="331CAF0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"_Toc225216824" </w:instrText>
          </w:r>
          <w:r>
            <w:rPr>
              <w:color w:val="auto"/>
            </w:rPr>
            <w:fldChar w:fldCharType="separate"/>
          </w:r>
          <w:r>
            <w:rPr>
              <w:rStyle w:val="29"/>
              <w:rFonts w:hint="eastAsia"/>
              <w:color w:val="auto"/>
            </w:rPr>
            <w:t>5.8.2</w:t>
          </w:r>
          <w:r>
            <w:rPr>
              <w:rFonts w:hint="eastAsia" w:asciiTheme="minorHAnsi" w:hAnsiTheme="minorHAnsi" w:eastAsiaTheme="minorEastAsia"/>
              <w:color w:val="auto"/>
              <w:sz w:val="22"/>
              <w:szCs w:val="24"/>
              <w14:ligatures w14:val="standardContextual"/>
            </w:rPr>
            <w:tab/>
          </w:r>
          <w:r>
            <w:rPr>
              <w:rStyle w:val="29"/>
              <w:rFonts w:hint="eastAsia"/>
              <w:color w:val="auto"/>
            </w:rPr>
            <w:t>海洋生态环境影响分析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_Toc225216824 \h</w:instrText>
          </w:r>
          <w:r>
            <w:rPr>
              <w:rFonts w:hint="eastAsia"/>
              <w:color w:val="auto"/>
            </w:rPr>
            <w:instrText xml:space="preserve"> </w:instrText>
          </w:r>
          <w:r>
            <w:rPr>
              <w:rFonts w:hint="eastAsia"/>
              <w:color w:val="auto"/>
            </w:rPr>
            <w:fldChar w:fldCharType="separate"/>
          </w:r>
          <w:r>
            <w:rPr>
              <w:color w:val="auto"/>
            </w:rPr>
            <w:t>297</w:t>
          </w:r>
          <w:r>
            <w:rPr>
              <w:rFonts w:hint="eastAsia"/>
              <w:color w:val="auto"/>
            </w:rPr>
            <w:fldChar w:fldCharType="end"/>
          </w:r>
          <w:r>
            <w:rPr>
              <w:rFonts w:hint="eastAsia"/>
              <w:color w:val="auto"/>
            </w:rPr>
            <w:fldChar w:fldCharType="end"/>
          </w:r>
        </w:p>
        <w:p w14:paraId="6E740CFD">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"_Toc225216825" </w:instrText>
          </w:r>
          <w:r>
            <w:rPr>
              <w:color w:val="auto"/>
            </w:rPr>
            <w:fldChar w:fldCharType="separate"/>
          </w:r>
          <w:r>
            <w:rPr>
              <w:rStyle w:val="29"/>
              <w:rFonts w:hint="eastAsia"/>
              <w:color w:val="auto"/>
            </w:rPr>
            <w:t>5.9</w:t>
          </w:r>
          <w:r>
            <w:rPr>
              <w:rFonts w:hint="eastAsia" w:asciiTheme="minorHAnsi" w:hAnsiTheme="minorHAnsi" w:eastAsiaTheme="minorEastAsia"/>
              <w:color w:val="auto"/>
              <w:sz w:val="22"/>
              <w:szCs w:val="24"/>
              <w14:ligatures w14:val="standardContextual"/>
            </w:rPr>
            <w:tab/>
          </w:r>
          <w:r>
            <w:rPr>
              <w:rStyle w:val="29"/>
              <w:rFonts w:hint="eastAsia"/>
              <w:color w:val="auto"/>
            </w:rPr>
            <w:t>运营期碳排放评价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_Toc225216825 \h</w:instrText>
          </w:r>
          <w:r>
            <w:rPr>
              <w:rFonts w:hint="eastAsia"/>
              <w:color w:val="auto"/>
            </w:rPr>
            <w:instrText xml:space="preserve"> </w:instrText>
          </w:r>
          <w:r>
            <w:rPr>
              <w:rFonts w:hint="eastAsia"/>
              <w:color w:val="auto"/>
            </w:rPr>
            <w:fldChar w:fldCharType="separate"/>
          </w:r>
          <w:r>
            <w:rPr>
              <w:color w:val="auto"/>
            </w:rPr>
            <w:t>297</w:t>
          </w:r>
          <w:r>
            <w:rPr>
              <w:rFonts w:hint="eastAsia"/>
              <w:color w:val="auto"/>
            </w:rPr>
            <w:fldChar w:fldCharType="end"/>
          </w:r>
          <w:r>
            <w:rPr>
              <w:rFonts w:hint="eastAsia"/>
              <w:color w:val="auto"/>
            </w:rPr>
            <w:fldChar w:fldCharType="end"/>
          </w:r>
        </w:p>
        <w:p w14:paraId="7523378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"_Toc225216826" </w:instrText>
          </w:r>
          <w:r>
            <w:rPr>
              <w:color w:val="auto"/>
            </w:rPr>
            <w:fldChar w:fldCharType="separate"/>
          </w:r>
          <w:r>
            <w:rPr>
              <w:rStyle w:val="29"/>
              <w:rFonts w:hint="eastAsia"/>
              <w:color w:val="auto"/>
            </w:rPr>
            <w:t>5.9.1</w:t>
          </w:r>
          <w:r>
            <w:rPr>
              <w:rFonts w:hint="eastAsia" w:asciiTheme="minorHAnsi" w:hAnsiTheme="minorHAnsi" w:eastAsiaTheme="minorEastAsia"/>
              <w:color w:val="auto"/>
              <w:sz w:val="22"/>
              <w:szCs w:val="24"/>
              <w14:ligatures w14:val="standardContextual"/>
            </w:rPr>
            <w:tab/>
          </w:r>
          <w:r>
            <w:rPr>
              <w:rStyle w:val="29"/>
              <w:rFonts w:hint="eastAsia"/>
              <w:color w:val="auto"/>
            </w:rPr>
            <w:t>核算边界</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_Toc225216826 \h</w:instrText>
          </w:r>
          <w:r>
            <w:rPr>
              <w:rFonts w:hint="eastAsia"/>
              <w:color w:val="auto"/>
            </w:rPr>
            <w:instrText xml:space="preserve"> </w:instrText>
          </w:r>
          <w:r>
            <w:rPr>
              <w:rFonts w:hint="eastAsia"/>
              <w:color w:val="auto"/>
            </w:rPr>
            <w:fldChar w:fldCharType="separate"/>
          </w:r>
          <w:r>
            <w:rPr>
              <w:color w:val="auto"/>
            </w:rPr>
            <w:t>297</w:t>
          </w:r>
          <w:r>
            <w:rPr>
              <w:rFonts w:hint="eastAsia"/>
              <w:color w:val="auto"/>
            </w:rPr>
            <w:fldChar w:fldCharType="end"/>
          </w:r>
          <w:r>
            <w:rPr>
              <w:rFonts w:hint="eastAsia"/>
              <w:color w:val="auto"/>
            </w:rPr>
            <w:fldChar w:fldCharType="end"/>
          </w:r>
        </w:p>
        <w:p w14:paraId="6315116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"_Toc225216827" </w:instrText>
          </w:r>
          <w:r>
            <w:rPr>
              <w:color w:val="auto"/>
            </w:rPr>
            <w:fldChar w:fldCharType="separate"/>
          </w:r>
          <w:r>
            <w:rPr>
              <w:rStyle w:val="29"/>
              <w:rFonts w:hint="eastAsia"/>
              <w:color w:val="auto"/>
            </w:rPr>
            <w:t>5.9.2</w:t>
          </w:r>
          <w:r>
            <w:rPr>
              <w:rFonts w:hint="eastAsia" w:asciiTheme="minorHAnsi" w:hAnsiTheme="minorHAnsi" w:eastAsiaTheme="minorEastAsia"/>
              <w:color w:val="auto"/>
              <w:sz w:val="22"/>
              <w:szCs w:val="24"/>
              <w14:ligatures w14:val="standardContextual"/>
            </w:rPr>
            <w:tab/>
          </w:r>
          <w:r>
            <w:rPr>
              <w:rStyle w:val="29"/>
              <w:rFonts w:hint="eastAsia"/>
              <w:color w:val="auto"/>
            </w:rPr>
            <w:t>排放源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_Toc225216827 \h</w:instrText>
          </w:r>
          <w:r>
            <w:rPr>
              <w:rFonts w:hint="eastAsia"/>
              <w:color w:val="auto"/>
            </w:rPr>
            <w:instrText xml:space="preserve"> </w:instrText>
          </w:r>
          <w:r>
            <w:rPr>
              <w:rFonts w:hint="eastAsia"/>
              <w:color w:val="auto"/>
            </w:rPr>
            <w:fldChar w:fldCharType="separate"/>
          </w:r>
          <w:r>
            <w:rPr>
              <w:color w:val="auto"/>
            </w:rPr>
            <w:t>298</w:t>
          </w:r>
          <w:r>
            <w:rPr>
              <w:rFonts w:hint="eastAsia"/>
              <w:color w:val="auto"/>
            </w:rPr>
            <w:fldChar w:fldCharType="end"/>
          </w:r>
          <w:r>
            <w:rPr>
              <w:rFonts w:hint="eastAsia"/>
              <w:color w:val="auto"/>
            </w:rPr>
            <w:fldChar w:fldCharType="end"/>
          </w:r>
        </w:p>
        <w:p w14:paraId="3A4A5A0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"_Toc225216828" </w:instrText>
          </w:r>
          <w:r>
            <w:rPr>
              <w:color w:val="auto"/>
            </w:rPr>
            <w:fldChar w:fldCharType="separate"/>
          </w:r>
          <w:r>
            <w:rPr>
              <w:rStyle w:val="29"/>
              <w:rFonts w:hint="eastAsia"/>
              <w:color w:val="auto"/>
            </w:rPr>
            <w:t>5.9.3</w:t>
          </w:r>
          <w:r>
            <w:rPr>
              <w:rFonts w:hint="eastAsia" w:asciiTheme="minorHAnsi" w:hAnsiTheme="minorHAnsi" w:eastAsiaTheme="minorEastAsia"/>
              <w:color w:val="auto"/>
              <w:sz w:val="22"/>
              <w:szCs w:val="24"/>
              <w14:ligatures w14:val="standardContextual"/>
            </w:rPr>
            <w:tab/>
          </w:r>
          <w:r>
            <w:rPr>
              <w:rStyle w:val="29"/>
              <w:rFonts w:hint="eastAsia"/>
              <w:color w:val="auto"/>
            </w:rPr>
            <w:t>二氧化碳源强核算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_Toc225216828 \h</w:instrText>
          </w:r>
          <w:r>
            <w:rPr>
              <w:rFonts w:hint="eastAsia"/>
              <w:color w:val="auto"/>
            </w:rPr>
            <w:instrText xml:space="preserve"> </w:instrText>
          </w:r>
          <w:r>
            <w:rPr>
              <w:rFonts w:hint="eastAsia"/>
              <w:color w:val="auto"/>
            </w:rPr>
            <w:fldChar w:fldCharType="separate"/>
          </w:r>
          <w:r>
            <w:rPr>
              <w:color w:val="auto"/>
            </w:rPr>
            <w:t>298</w:t>
          </w:r>
          <w:r>
            <w:rPr>
              <w:rFonts w:hint="eastAsia"/>
              <w:color w:val="auto"/>
            </w:rPr>
            <w:fldChar w:fldCharType="end"/>
          </w:r>
          <w:r>
            <w:rPr>
              <w:rFonts w:hint="eastAsia"/>
              <w:color w:val="auto"/>
            </w:rPr>
            <w:fldChar w:fldCharType="end"/>
          </w:r>
        </w:p>
        <w:p w14:paraId="516D0A7F">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"_Toc225216829" </w:instrText>
          </w:r>
          <w:r>
            <w:rPr>
              <w:color w:val="auto"/>
            </w:rPr>
            <w:fldChar w:fldCharType="separate"/>
          </w:r>
          <w:r>
            <w:rPr>
              <w:rStyle w:val="29"/>
              <w:rFonts w:hint="eastAsia"/>
              <w:color w:val="auto"/>
            </w:rPr>
            <w:t>6</w:t>
          </w:r>
          <w:r>
            <w:rPr>
              <w:rFonts w:hint="eastAsia" w:asciiTheme="minorHAnsi" w:hAnsiTheme="minorHAnsi" w:eastAsiaTheme="minorEastAsia"/>
              <w:color w:val="auto"/>
              <w:sz w:val="22"/>
              <w:szCs w:val="24"/>
              <w14:ligatures w14:val="standardContextual"/>
            </w:rPr>
            <w:tab/>
          </w:r>
          <w:r>
            <w:rPr>
              <w:rStyle w:val="29"/>
              <w:rFonts w:hint="eastAsia"/>
              <w:color w:val="auto"/>
            </w:rPr>
            <w:t>环境风险评价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_Toc225216829 \h</w:instrText>
          </w:r>
          <w:r>
            <w:rPr>
              <w:rFonts w:hint="eastAsia"/>
              <w:color w:val="auto"/>
            </w:rPr>
            <w:instrText xml:space="preserve"> </w:instrText>
          </w:r>
          <w:r>
            <w:rPr>
              <w:rFonts w:hint="eastAsia"/>
              <w:color w:val="auto"/>
            </w:rPr>
            <w:fldChar w:fldCharType="separate"/>
          </w:r>
          <w:r>
            <w:rPr>
              <w:color w:val="auto"/>
            </w:rPr>
            <w:t>302</w:t>
          </w:r>
          <w:r>
            <w:rPr>
              <w:rFonts w:hint="eastAsia"/>
              <w:color w:val="auto"/>
            </w:rPr>
            <w:fldChar w:fldCharType="end"/>
          </w:r>
          <w:r>
            <w:rPr>
              <w:rFonts w:hint="eastAsia"/>
              <w:color w:val="auto"/>
            </w:rPr>
            <w:fldChar w:fldCharType="end"/>
          </w:r>
        </w:p>
        <w:p w14:paraId="5F38944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"_Toc225216830" </w:instrText>
          </w:r>
          <w:r>
            <w:rPr>
              <w:color w:val="auto"/>
            </w:rPr>
            <w:fldChar w:fldCharType="separate"/>
          </w:r>
          <w:r>
            <w:rPr>
              <w:rStyle w:val="29"/>
              <w:rFonts w:hint="eastAsia" w:cs="Times New Roman"/>
              <w:color w:val="auto"/>
            </w:rPr>
            <w:t>6.1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现有工程环境风险回顾性评价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_Toc225216830 \h</w:instrText>
          </w:r>
          <w:r>
            <w:rPr>
              <w:rFonts w:hint="eastAsia"/>
              <w:color w:val="auto"/>
            </w:rPr>
            <w:instrText xml:space="preserve"> </w:instrText>
          </w:r>
          <w:r>
            <w:rPr>
              <w:rFonts w:hint="eastAsia"/>
              <w:color w:val="auto"/>
            </w:rPr>
            <w:fldChar w:fldCharType="separate"/>
          </w:r>
          <w:r>
            <w:rPr>
              <w:color w:val="auto"/>
            </w:rPr>
            <w:t>302</w:t>
          </w:r>
          <w:r>
            <w:rPr>
              <w:rFonts w:hint="eastAsia"/>
              <w:color w:val="auto"/>
            </w:rPr>
            <w:fldChar w:fldCharType="end"/>
          </w:r>
          <w:r>
            <w:rPr>
              <w:rFonts w:hint="eastAsia"/>
              <w:color w:val="auto"/>
            </w:rPr>
            <w:fldChar w:fldCharType="end"/>
          </w:r>
        </w:p>
        <w:p w14:paraId="189E834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"_Toc225216831" </w:instrText>
          </w:r>
          <w:r>
            <w:rPr>
              <w:color w:val="auto"/>
            </w:rPr>
            <w:fldChar w:fldCharType="separate"/>
          </w:r>
          <w:r>
            <w:rPr>
              <w:rStyle w:val="29"/>
              <w:rFonts w:hint="eastAsia" w:cs="Times New Roman"/>
              <w:color w:val="auto"/>
            </w:rPr>
            <w:t>6.1.1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现有工程风险识别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_Toc225216831 \h</w:instrText>
          </w:r>
          <w:r>
            <w:rPr>
              <w:rFonts w:hint="eastAsia"/>
              <w:color w:val="auto"/>
            </w:rPr>
            <w:instrText xml:space="preserve"> </w:instrText>
          </w:r>
          <w:r>
            <w:rPr>
              <w:rFonts w:hint="eastAsia"/>
              <w:color w:val="auto"/>
            </w:rPr>
            <w:fldChar w:fldCharType="separate"/>
          </w:r>
          <w:r>
            <w:rPr>
              <w:color w:val="auto"/>
            </w:rPr>
            <w:t>302</w:t>
          </w:r>
          <w:r>
            <w:rPr>
              <w:rFonts w:hint="eastAsia"/>
              <w:color w:val="auto"/>
            </w:rPr>
            <w:fldChar w:fldCharType="end"/>
          </w:r>
          <w:r>
            <w:rPr>
              <w:rFonts w:hint="eastAsia"/>
              <w:color w:val="auto"/>
            </w:rPr>
            <w:fldChar w:fldCharType="end"/>
          </w:r>
        </w:p>
        <w:p w14:paraId="141FEA55">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"_Toc225216832" </w:instrText>
          </w:r>
          <w:r>
            <w:rPr>
              <w:color w:val="auto"/>
            </w:rPr>
            <w:fldChar w:fldCharType="separate"/>
          </w:r>
          <w:r>
            <w:rPr>
              <w:rStyle w:val="29"/>
              <w:rFonts w:hint="eastAsia" w:cs="Times New Roman"/>
              <w:color w:val="auto"/>
            </w:rPr>
            <w:t>6.1.2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企业现有环境风险防控与应急措施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_Toc225216832 \h</w:instrText>
          </w:r>
          <w:r>
            <w:rPr>
              <w:rFonts w:hint="eastAsia"/>
              <w:color w:val="auto"/>
            </w:rPr>
            <w:instrText xml:space="preserve"> </w:instrText>
          </w:r>
          <w:r>
            <w:rPr>
              <w:rFonts w:hint="eastAsia"/>
              <w:color w:val="auto"/>
            </w:rPr>
            <w:fldChar w:fldCharType="separate"/>
          </w:r>
          <w:r>
            <w:rPr>
              <w:color w:val="auto"/>
            </w:rPr>
            <w:t>303</w:t>
          </w:r>
          <w:r>
            <w:rPr>
              <w:rFonts w:hint="eastAsia"/>
              <w:color w:val="auto"/>
            </w:rPr>
            <w:fldChar w:fldCharType="end"/>
          </w:r>
          <w:r>
            <w:rPr>
              <w:rFonts w:hint="eastAsia"/>
              <w:color w:val="auto"/>
            </w:rPr>
            <w:fldChar w:fldCharType="end"/>
          </w:r>
        </w:p>
        <w:p w14:paraId="276D6BB0">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"_Toc225216833" </w:instrText>
          </w:r>
          <w:r>
            <w:rPr>
              <w:color w:val="auto"/>
            </w:rPr>
            <w:fldChar w:fldCharType="separate"/>
          </w:r>
          <w:r>
            <w:rPr>
              <w:rStyle w:val="29"/>
              <w:rFonts w:hint="eastAsia" w:cs="Times New Roman"/>
              <w:color w:val="auto"/>
            </w:rPr>
            <w:t>6.2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建设项目风险源调查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_Toc225216833 \h</w:instrText>
          </w:r>
          <w:r>
            <w:rPr>
              <w:rFonts w:hint="eastAsia"/>
              <w:color w:val="auto"/>
            </w:rPr>
            <w:instrText xml:space="preserve"> </w:instrText>
          </w:r>
          <w:r>
            <w:rPr>
              <w:rFonts w:hint="eastAsia"/>
              <w:color w:val="auto"/>
            </w:rPr>
            <w:fldChar w:fldCharType="separate"/>
          </w:r>
          <w:r>
            <w:rPr>
              <w:color w:val="auto"/>
            </w:rPr>
            <w:t>305</w:t>
          </w:r>
          <w:r>
            <w:rPr>
              <w:rFonts w:hint="eastAsia"/>
              <w:color w:val="auto"/>
            </w:rPr>
            <w:fldChar w:fldCharType="end"/>
          </w:r>
          <w:r>
            <w:rPr>
              <w:rFonts w:hint="eastAsia"/>
              <w:color w:val="auto"/>
            </w:rPr>
            <w:fldChar w:fldCharType="end"/>
          </w:r>
        </w:p>
        <w:p w14:paraId="2BC90A3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"_Toc225216834" </w:instrText>
          </w:r>
          <w:r>
            <w:rPr>
              <w:color w:val="auto"/>
            </w:rPr>
            <w:fldChar w:fldCharType="separate"/>
          </w:r>
          <w:r>
            <w:rPr>
              <w:rStyle w:val="29"/>
              <w:rFonts w:hint="eastAsia"/>
              <w:color w:val="auto"/>
            </w:rPr>
            <w:t>6.2.1</w:t>
          </w:r>
          <w:r>
            <w:rPr>
              <w:rFonts w:hint="eastAsia" w:asciiTheme="minorHAnsi" w:hAnsiTheme="minorHAnsi" w:eastAsiaTheme="minorEastAsia"/>
              <w:color w:val="auto"/>
              <w:sz w:val="22"/>
              <w:szCs w:val="24"/>
              <w14:ligatures w14:val="standardContextual"/>
            </w:rPr>
            <w:tab/>
          </w:r>
          <w:r>
            <w:rPr>
              <w:rStyle w:val="29"/>
              <w:rFonts w:hint="eastAsia"/>
              <w:color w:val="auto"/>
            </w:rPr>
            <w:t>项目风险源调查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_Toc225216834 \h</w:instrText>
          </w:r>
          <w:r>
            <w:rPr>
              <w:rFonts w:hint="eastAsia"/>
              <w:color w:val="auto"/>
            </w:rPr>
            <w:instrText xml:space="preserve"> </w:instrText>
          </w:r>
          <w:r>
            <w:rPr>
              <w:rFonts w:hint="eastAsia"/>
              <w:color w:val="auto"/>
            </w:rPr>
            <w:fldChar w:fldCharType="separate"/>
          </w:r>
          <w:r>
            <w:rPr>
              <w:color w:val="auto"/>
            </w:rPr>
            <w:t>305</w:t>
          </w:r>
          <w:r>
            <w:rPr>
              <w:rFonts w:hint="eastAsia"/>
              <w:color w:val="auto"/>
            </w:rPr>
            <w:fldChar w:fldCharType="end"/>
          </w:r>
          <w:r>
            <w:rPr>
              <w:rFonts w:hint="eastAsia"/>
              <w:color w:val="auto"/>
            </w:rPr>
            <w:fldChar w:fldCharType="end"/>
          </w:r>
        </w:p>
        <w:p w14:paraId="5A9AB50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"_Toc225216835" </w:instrText>
          </w:r>
          <w:r>
            <w:rPr>
              <w:color w:val="auto"/>
            </w:rPr>
            <w:fldChar w:fldCharType="separate"/>
          </w:r>
          <w:r>
            <w:rPr>
              <w:rStyle w:val="29"/>
              <w:rFonts w:hint="eastAsia" w:cs="Times New Roman"/>
              <w:color w:val="auto"/>
            </w:rPr>
            <w:t>6.2.2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环境敏感目标调查</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_Toc225216835 \h</w:instrText>
          </w:r>
          <w:r>
            <w:rPr>
              <w:rFonts w:hint="eastAsia"/>
              <w:color w:val="auto"/>
            </w:rPr>
            <w:instrText xml:space="preserve"> </w:instrText>
          </w:r>
          <w:r>
            <w:rPr>
              <w:rFonts w:hint="eastAsia"/>
              <w:color w:val="auto"/>
            </w:rPr>
            <w:fldChar w:fldCharType="separate"/>
          </w:r>
          <w:r>
            <w:rPr>
              <w:color w:val="auto"/>
            </w:rPr>
            <w:t>310</w:t>
          </w:r>
          <w:r>
            <w:rPr>
              <w:rFonts w:hint="eastAsia"/>
              <w:color w:val="auto"/>
            </w:rPr>
            <w:fldChar w:fldCharType="end"/>
          </w:r>
          <w:r>
            <w:rPr>
              <w:rFonts w:hint="eastAsia"/>
              <w:color w:val="auto"/>
            </w:rPr>
            <w:fldChar w:fldCharType="end"/>
          </w:r>
        </w:p>
        <w:p w14:paraId="7C20AD5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"_Toc225216836" </w:instrText>
          </w:r>
          <w:r>
            <w:rPr>
              <w:color w:val="auto"/>
            </w:rPr>
            <w:fldChar w:fldCharType="separate"/>
          </w:r>
          <w:r>
            <w:rPr>
              <w:rStyle w:val="29"/>
              <w:rFonts w:hint="eastAsia" w:cs="Times New Roman"/>
              <w:color w:val="auto"/>
            </w:rPr>
            <w:t>6.3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环境风险评价工作等级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_Toc225216836 \h</w:instrText>
          </w:r>
          <w:r>
            <w:rPr>
              <w:rFonts w:hint="eastAsia"/>
              <w:color w:val="auto"/>
            </w:rPr>
            <w:instrText xml:space="preserve"> </w:instrText>
          </w:r>
          <w:r>
            <w:rPr>
              <w:rFonts w:hint="eastAsia"/>
              <w:color w:val="auto"/>
            </w:rPr>
            <w:fldChar w:fldCharType="separate"/>
          </w:r>
          <w:r>
            <w:rPr>
              <w:color w:val="auto"/>
            </w:rPr>
            <w:t>312</w:t>
          </w:r>
          <w:r>
            <w:rPr>
              <w:rFonts w:hint="eastAsia"/>
              <w:color w:val="auto"/>
            </w:rPr>
            <w:fldChar w:fldCharType="end"/>
          </w:r>
          <w:r>
            <w:rPr>
              <w:rFonts w:hint="eastAsia"/>
              <w:color w:val="auto"/>
            </w:rPr>
            <w:fldChar w:fldCharType="end"/>
          </w:r>
        </w:p>
        <w:p w14:paraId="0CA6682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"_Toc225216837" </w:instrText>
          </w:r>
          <w:r>
            <w:rPr>
              <w:color w:val="auto"/>
            </w:rPr>
            <w:fldChar w:fldCharType="separate"/>
          </w:r>
          <w:r>
            <w:rPr>
              <w:rStyle w:val="29"/>
              <w:rFonts w:hint="eastAsia" w:cs="Times New Roman"/>
              <w:color w:val="auto"/>
            </w:rPr>
            <w:t>6.3.1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环境风险潜势判定</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_Toc225216837 \h</w:instrText>
          </w:r>
          <w:r>
            <w:rPr>
              <w:rFonts w:hint="eastAsia"/>
              <w:color w:val="auto"/>
            </w:rPr>
            <w:instrText xml:space="preserve"> </w:instrText>
          </w:r>
          <w:r>
            <w:rPr>
              <w:rFonts w:hint="eastAsia"/>
              <w:color w:val="auto"/>
            </w:rPr>
            <w:fldChar w:fldCharType="separate"/>
          </w:r>
          <w:r>
            <w:rPr>
              <w:color w:val="auto"/>
            </w:rPr>
            <w:t>312</w:t>
          </w:r>
          <w:r>
            <w:rPr>
              <w:rFonts w:hint="eastAsia"/>
              <w:color w:val="auto"/>
            </w:rPr>
            <w:fldChar w:fldCharType="end"/>
          </w:r>
          <w:r>
            <w:rPr>
              <w:rFonts w:hint="eastAsia"/>
              <w:color w:val="auto"/>
            </w:rPr>
            <w:fldChar w:fldCharType="end"/>
          </w:r>
        </w:p>
        <w:p w14:paraId="66F664B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"_Toc225216838" </w:instrText>
          </w:r>
          <w:r>
            <w:rPr>
              <w:color w:val="auto"/>
            </w:rPr>
            <w:fldChar w:fldCharType="separate"/>
          </w:r>
          <w:r>
            <w:rPr>
              <w:rStyle w:val="29"/>
              <w:rFonts w:hint="eastAsia"/>
              <w:color w:val="auto"/>
            </w:rPr>
            <w:t>6.3.2</w:t>
          </w:r>
          <w:r>
            <w:rPr>
              <w:rFonts w:hint="eastAsia" w:asciiTheme="minorHAnsi" w:hAnsiTheme="minorHAnsi" w:eastAsiaTheme="minorEastAsia"/>
              <w:color w:val="auto"/>
              <w:sz w:val="22"/>
              <w:szCs w:val="24"/>
              <w14:ligatures w14:val="standardContextual"/>
            </w:rPr>
            <w:tab/>
          </w:r>
          <w:r>
            <w:rPr>
              <w:rStyle w:val="29"/>
              <w:rFonts w:hint="eastAsia"/>
              <w:color w:val="auto"/>
            </w:rPr>
            <w:t>评价等级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_Toc225216838 \h</w:instrText>
          </w:r>
          <w:r>
            <w:rPr>
              <w:rFonts w:hint="eastAsia"/>
              <w:color w:val="auto"/>
            </w:rPr>
            <w:instrText xml:space="preserve"> </w:instrText>
          </w:r>
          <w:r>
            <w:rPr>
              <w:rFonts w:hint="eastAsia"/>
              <w:color w:val="auto"/>
            </w:rPr>
            <w:fldChar w:fldCharType="separate"/>
          </w:r>
          <w:r>
            <w:rPr>
              <w:color w:val="auto"/>
            </w:rPr>
            <w:t>313</w:t>
          </w:r>
          <w:r>
            <w:rPr>
              <w:rFonts w:hint="eastAsia"/>
              <w:color w:val="auto"/>
            </w:rPr>
            <w:fldChar w:fldCharType="end"/>
          </w:r>
          <w:r>
            <w:rPr>
              <w:rFonts w:hint="eastAsia"/>
              <w:color w:val="auto"/>
            </w:rPr>
            <w:fldChar w:fldCharType="end"/>
          </w:r>
        </w:p>
        <w:p w14:paraId="1583152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"_Toc225216839" </w:instrText>
          </w:r>
          <w:r>
            <w:rPr>
              <w:color w:val="auto"/>
            </w:rPr>
            <w:fldChar w:fldCharType="separate"/>
          </w:r>
          <w:r>
            <w:rPr>
              <w:rStyle w:val="29"/>
              <w:rFonts w:hint="eastAsia"/>
              <w:color w:val="auto"/>
            </w:rPr>
            <w:t>6.3.3</w:t>
          </w:r>
          <w:r>
            <w:rPr>
              <w:rFonts w:hint="eastAsia" w:asciiTheme="minorHAnsi" w:hAnsiTheme="minorHAnsi" w:eastAsiaTheme="minorEastAsia"/>
              <w:color w:val="auto"/>
              <w:sz w:val="22"/>
              <w:szCs w:val="24"/>
              <w14:ligatures w14:val="standardContextual"/>
            </w:rPr>
            <w:tab/>
          </w:r>
          <w:r>
            <w:rPr>
              <w:rStyle w:val="29"/>
              <w:rFonts w:hint="eastAsia"/>
              <w:color w:val="auto"/>
            </w:rPr>
            <w:t>评价范围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_Toc225216839 \h</w:instrText>
          </w:r>
          <w:r>
            <w:rPr>
              <w:rFonts w:hint="eastAsia"/>
              <w:color w:val="auto"/>
            </w:rPr>
            <w:instrText xml:space="preserve"> </w:instrText>
          </w:r>
          <w:r>
            <w:rPr>
              <w:rFonts w:hint="eastAsia"/>
              <w:color w:val="auto"/>
            </w:rPr>
            <w:fldChar w:fldCharType="separate"/>
          </w:r>
          <w:r>
            <w:rPr>
              <w:color w:val="auto"/>
            </w:rPr>
            <w:t>313</w:t>
          </w:r>
          <w:r>
            <w:rPr>
              <w:rFonts w:hint="eastAsia"/>
              <w:color w:val="auto"/>
            </w:rPr>
            <w:fldChar w:fldCharType="end"/>
          </w:r>
          <w:r>
            <w:rPr>
              <w:rFonts w:hint="eastAsia"/>
              <w:color w:val="auto"/>
            </w:rPr>
            <w:fldChar w:fldCharType="end"/>
          </w:r>
        </w:p>
        <w:p w14:paraId="60CE597E">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"_Toc225216840" </w:instrText>
          </w:r>
          <w:r>
            <w:rPr>
              <w:color w:val="auto"/>
            </w:rPr>
            <w:fldChar w:fldCharType="separate"/>
          </w:r>
          <w:r>
            <w:rPr>
              <w:rStyle w:val="29"/>
              <w:rFonts w:hint="eastAsia"/>
              <w:color w:val="auto"/>
            </w:rPr>
            <w:t>6.4</w:t>
          </w:r>
          <w:r>
            <w:rPr>
              <w:rFonts w:hint="eastAsia" w:asciiTheme="minorHAnsi" w:hAnsiTheme="minorHAnsi" w:eastAsiaTheme="minorEastAsia"/>
              <w:color w:val="auto"/>
              <w:sz w:val="22"/>
              <w:szCs w:val="24"/>
              <w14:ligatures w14:val="standardContextual"/>
            </w:rPr>
            <w:tab/>
          </w:r>
          <w:r>
            <w:rPr>
              <w:rStyle w:val="29"/>
              <w:rFonts w:hint="eastAsia"/>
              <w:color w:val="auto"/>
            </w:rPr>
            <w:t>环境风险识别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_Toc225216840 \h</w:instrText>
          </w:r>
          <w:r>
            <w:rPr>
              <w:rFonts w:hint="eastAsia"/>
              <w:color w:val="auto"/>
            </w:rPr>
            <w:instrText xml:space="preserve"> </w:instrText>
          </w:r>
          <w:r>
            <w:rPr>
              <w:rFonts w:hint="eastAsia"/>
              <w:color w:val="auto"/>
            </w:rPr>
            <w:fldChar w:fldCharType="separate"/>
          </w:r>
          <w:r>
            <w:rPr>
              <w:color w:val="auto"/>
            </w:rPr>
            <w:t>313</w:t>
          </w:r>
          <w:r>
            <w:rPr>
              <w:rFonts w:hint="eastAsia"/>
              <w:color w:val="auto"/>
            </w:rPr>
            <w:fldChar w:fldCharType="end"/>
          </w:r>
          <w:r>
            <w:rPr>
              <w:rFonts w:hint="eastAsia"/>
              <w:color w:val="auto"/>
            </w:rPr>
            <w:fldChar w:fldCharType="end"/>
          </w:r>
        </w:p>
        <w:p w14:paraId="674C340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"_Toc225216841" </w:instrText>
          </w:r>
          <w:r>
            <w:rPr>
              <w:color w:val="auto"/>
            </w:rPr>
            <w:fldChar w:fldCharType="separate"/>
          </w:r>
          <w:r>
            <w:rPr>
              <w:rStyle w:val="29"/>
              <w:rFonts w:hint="eastAsia"/>
              <w:color w:val="auto"/>
            </w:rPr>
            <w:t>6.4.1</w:t>
          </w:r>
          <w:r>
            <w:rPr>
              <w:rFonts w:hint="eastAsia" w:asciiTheme="minorHAnsi" w:hAnsiTheme="minorHAnsi" w:eastAsiaTheme="minorEastAsia"/>
              <w:color w:val="auto"/>
              <w:sz w:val="22"/>
              <w:szCs w:val="24"/>
              <w14:ligatures w14:val="standardContextual"/>
            </w:rPr>
            <w:tab/>
          </w:r>
          <w:r>
            <w:rPr>
              <w:rStyle w:val="29"/>
              <w:rFonts w:hint="eastAsia"/>
              <w:color w:val="auto"/>
            </w:rPr>
            <w:t>环境风险识别范围</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_Toc225216841 \h</w:instrText>
          </w:r>
          <w:r>
            <w:rPr>
              <w:rFonts w:hint="eastAsia"/>
              <w:color w:val="auto"/>
            </w:rPr>
            <w:instrText xml:space="preserve"> </w:instrText>
          </w:r>
          <w:r>
            <w:rPr>
              <w:rFonts w:hint="eastAsia"/>
              <w:color w:val="auto"/>
            </w:rPr>
            <w:fldChar w:fldCharType="separate"/>
          </w:r>
          <w:r>
            <w:rPr>
              <w:color w:val="auto"/>
            </w:rPr>
            <w:t>313</w:t>
          </w:r>
          <w:r>
            <w:rPr>
              <w:rFonts w:hint="eastAsia"/>
              <w:color w:val="auto"/>
            </w:rPr>
            <w:fldChar w:fldCharType="end"/>
          </w:r>
          <w:r>
            <w:rPr>
              <w:rFonts w:hint="eastAsia"/>
              <w:color w:val="auto"/>
            </w:rPr>
            <w:fldChar w:fldCharType="end"/>
          </w:r>
        </w:p>
        <w:p w14:paraId="7175CB8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"_Toc225216842" </w:instrText>
          </w:r>
          <w:r>
            <w:rPr>
              <w:color w:val="auto"/>
            </w:rPr>
            <w:fldChar w:fldCharType="separate"/>
          </w:r>
          <w:r>
            <w:rPr>
              <w:rStyle w:val="29"/>
              <w:rFonts w:hint="eastAsia"/>
              <w:color w:val="auto"/>
            </w:rPr>
            <w:t>6.4.2</w:t>
          </w:r>
          <w:r>
            <w:rPr>
              <w:rFonts w:hint="eastAsia" w:asciiTheme="minorHAnsi" w:hAnsiTheme="minorHAnsi" w:eastAsiaTheme="minorEastAsia"/>
              <w:color w:val="auto"/>
              <w:sz w:val="22"/>
              <w:szCs w:val="24"/>
              <w14:ligatures w14:val="standardContextual"/>
            </w:rPr>
            <w:tab/>
          </w:r>
          <w:r>
            <w:rPr>
              <w:rStyle w:val="29"/>
              <w:rFonts w:hint="eastAsia"/>
              <w:color w:val="auto"/>
            </w:rPr>
            <w:t>物质危险性识别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_Toc225216842 \h</w:instrText>
          </w:r>
          <w:r>
            <w:rPr>
              <w:rFonts w:hint="eastAsia"/>
              <w:color w:val="auto"/>
            </w:rPr>
            <w:instrText xml:space="preserve"> </w:instrText>
          </w:r>
          <w:r>
            <w:rPr>
              <w:rFonts w:hint="eastAsia"/>
              <w:color w:val="auto"/>
            </w:rPr>
            <w:fldChar w:fldCharType="separate"/>
          </w:r>
          <w:r>
            <w:rPr>
              <w:color w:val="auto"/>
            </w:rPr>
            <w:t>313</w:t>
          </w:r>
          <w:r>
            <w:rPr>
              <w:rFonts w:hint="eastAsia"/>
              <w:color w:val="auto"/>
            </w:rPr>
            <w:fldChar w:fldCharType="end"/>
          </w:r>
          <w:r>
            <w:rPr>
              <w:rFonts w:hint="eastAsia"/>
              <w:color w:val="auto"/>
            </w:rPr>
            <w:fldChar w:fldCharType="end"/>
          </w:r>
        </w:p>
        <w:p w14:paraId="4F0E276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"_Toc225216843" </w:instrText>
          </w:r>
          <w:r>
            <w:rPr>
              <w:color w:val="auto"/>
            </w:rPr>
            <w:fldChar w:fldCharType="separate"/>
          </w:r>
          <w:r>
            <w:rPr>
              <w:rStyle w:val="29"/>
              <w:rFonts w:hint="eastAsia"/>
              <w:color w:val="auto"/>
            </w:rPr>
            <w:t>6.4.3</w:t>
          </w:r>
          <w:r>
            <w:rPr>
              <w:rFonts w:hint="eastAsia" w:asciiTheme="minorHAnsi" w:hAnsiTheme="minorHAnsi" w:eastAsiaTheme="minorEastAsia"/>
              <w:color w:val="auto"/>
              <w:sz w:val="22"/>
              <w:szCs w:val="24"/>
              <w14:ligatures w14:val="standardContextual"/>
            </w:rPr>
            <w:tab/>
          </w:r>
          <w:r>
            <w:rPr>
              <w:rStyle w:val="29"/>
              <w:rFonts w:hint="eastAsia"/>
              <w:color w:val="auto"/>
            </w:rPr>
            <w:t>生产系统危险性识别</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_Toc225216843 \h</w:instrText>
          </w:r>
          <w:r>
            <w:rPr>
              <w:rFonts w:hint="eastAsia"/>
              <w:color w:val="auto"/>
            </w:rPr>
            <w:instrText xml:space="preserve"> </w:instrText>
          </w:r>
          <w:r>
            <w:rPr>
              <w:rFonts w:hint="eastAsia"/>
              <w:color w:val="auto"/>
            </w:rPr>
            <w:fldChar w:fldCharType="separate"/>
          </w:r>
          <w:r>
            <w:rPr>
              <w:color w:val="auto"/>
            </w:rPr>
            <w:t>314</w:t>
          </w:r>
          <w:r>
            <w:rPr>
              <w:rFonts w:hint="eastAsia"/>
              <w:color w:val="auto"/>
            </w:rPr>
            <w:fldChar w:fldCharType="end"/>
          </w:r>
          <w:r>
            <w:rPr>
              <w:rFonts w:hint="eastAsia"/>
              <w:color w:val="auto"/>
            </w:rPr>
            <w:fldChar w:fldCharType="end"/>
          </w:r>
        </w:p>
        <w:p w14:paraId="6D0B66B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"_Toc225216844" </w:instrText>
          </w:r>
          <w:r>
            <w:rPr>
              <w:color w:val="auto"/>
            </w:rPr>
            <w:fldChar w:fldCharType="separate"/>
          </w:r>
          <w:r>
            <w:rPr>
              <w:rStyle w:val="29"/>
              <w:rFonts w:hint="eastAsia"/>
              <w:color w:val="auto"/>
            </w:rPr>
            <w:t>6.4.4</w:t>
          </w:r>
          <w:r>
            <w:rPr>
              <w:rFonts w:hint="eastAsia" w:asciiTheme="minorHAnsi" w:hAnsiTheme="minorHAnsi" w:eastAsiaTheme="minorEastAsia"/>
              <w:color w:val="auto"/>
              <w:sz w:val="22"/>
              <w:szCs w:val="24"/>
              <w14:ligatures w14:val="standardContextual"/>
            </w:rPr>
            <w:tab/>
          </w:r>
          <w:r>
            <w:rPr>
              <w:rStyle w:val="29"/>
              <w:rFonts w:hint="eastAsia"/>
              <w:color w:val="auto"/>
            </w:rPr>
            <w:t>环境风险类型</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_Toc225216844 \h</w:instrText>
          </w:r>
          <w:r>
            <w:rPr>
              <w:rFonts w:hint="eastAsia"/>
              <w:color w:val="auto"/>
            </w:rPr>
            <w:instrText xml:space="preserve"> </w:instrText>
          </w:r>
          <w:r>
            <w:rPr>
              <w:rFonts w:hint="eastAsia"/>
              <w:color w:val="auto"/>
            </w:rPr>
            <w:fldChar w:fldCharType="separate"/>
          </w:r>
          <w:r>
            <w:rPr>
              <w:color w:val="auto"/>
            </w:rPr>
            <w:t>315</w:t>
          </w:r>
          <w:r>
            <w:rPr>
              <w:rFonts w:hint="eastAsia"/>
              <w:color w:val="auto"/>
            </w:rPr>
            <w:fldChar w:fldCharType="end"/>
          </w:r>
          <w:r>
            <w:rPr>
              <w:rFonts w:hint="eastAsia"/>
              <w:color w:val="auto"/>
            </w:rPr>
            <w:fldChar w:fldCharType="end"/>
          </w:r>
        </w:p>
        <w:p w14:paraId="6970B72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"_Toc225216845" </w:instrText>
          </w:r>
          <w:r>
            <w:rPr>
              <w:color w:val="auto"/>
            </w:rPr>
            <w:fldChar w:fldCharType="separate"/>
          </w:r>
          <w:r>
            <w:rPr>
              <w:rStyle w:val="29"/>
              <w:rFonts w:hint="eastAsia"/>
              <w:color w:val="auto"/>
            </w:rPr>
            <w:t>6.4.5</w:t>
          </w:r>
          <w:r>
            <w:rPr>
              <w:rFonts w:hint="eastAsia" w:asciiTheme="minorHAnsi" w:hAnsiTheme="minorHAnsi" w:eastAsiaTheme="minorEastAsia"/>
              <w:color w:val="auto"/>
              <w:sz w:val="22"/>
              <w:szCs w:val="24"/>
              <w14:ligatures w14:val="standardContextual"/>
            </w:rPr>
            <w:tab/>
          </w:r>
          <w:r>
            <w:rPr>
              <w:rStyle w:val="29"/>
              <w:rFonts w:hint="eastAsia"/>
              <w:color w:val="auto"/>
            </w:rPr>
            <w:t>风险识别结果</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_Toc225216845 \h</w:instrText>
          </w:r>
          <w:r>
            <w:rPr>
              <w:rFonts w:hint="eastAsia"/>
              <w:color w:val="auto"/>
            </w:rPr>
            <w:instrText xml:space="preserve"> </w:instrText>
          </w:r>
          <w:r>
            <w:rPr>
              <w:rFonts w:hint="eastAsia"/>
              <w:color w:val="auto"/>
            </w:rPr>
            <w:fldChar w:fldCharType="separate"/>
          </w:r>
          <w:r>
            <w:rPr>
              <w:color w:val="auto"/>
            </w:rPr>
            <w:t>316</w:t>
          </w:r>
          <w:r>
            <w:rPr>
              <w:rFonts w:hint="eastAsia"/>
              <w:color w:val="auto"/>
            </w:rPr>
            <w:fldChar w:fldCharType="end"/>
          </w:r>
          <w:r>
            <w:rPr>
              <w:rFonts w:hint="eastAsia"/>
              <w:color w:val="auto"/>
            </w:rPr>
            <w:fldChar w:fldCharType="end"/>
          </w:r>
        </w:p>
        <w:p w14:paraId="242F1508">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"_Toc225216846" </w:instrText>
          </w:r>
          <w:r>
            <w:rPr>
              <w:color w:val="auto"/>
            </w:rPr>
            <w:fldChar w:fldCharType="separate"/>
          </w:r>
          <w:r>
            <w:rPr>
              <w:rStyle w:val="29"/>
              <w:rFonts w:hint="eastAsia"/>
              <w:color w:val="auto"/>
            </w:rPr>
            <w:t>6.5</w:t>
          </w:r>
          <w:r>
            <w:rPr>
              <w:rFonts w:hint="eastAsia" w:asciiTheme="minorHAnsi" w:hAnsiTheme="minorHAnsi" w:eastAsiaTheme="minorEastAsia"/>
              <w:color w:val="auto"/>
              <w:sz w:val="22"/>
              <w:szCs w:val="24"/>
              <w14:ligatures w14:val="standardContextual"/>
            </w:rPr>
            <w:tab/>
          </w:r>
          <w:r>
            <w:rPr>
              <w:rStyle w:val="29"/>
              <w:rFonts w:hint="eastAsia"/>
              <w:color w:val="auto"/>
            </w:rPr>
            <w:t>环境风险分析与评价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_Toc225216846 \h</w:instrText>
          </w:r>
          <w:r>
            <w:rPr>
              <w:rFonts w:hint="eastAsia"/>
              <w:color w:val="auto"/>
            </w:rPr>
            <w:instrText xml:space="preserve"> </w:instrText>
          </w:r>
          <w:r>
            <w:rPr>
              <w:rFonts w:hint="eastAsia"/>
              <w:color w:val="auto"/>
            </w:rPr>
            <w:fldChar w:fldCharType="separate"/>
          </w:r>
          <w:r>
            <w:rPr>
              <w:color w:val="auto"/>
            </w:rPr>
            <w:t>318</w:t>
          </w:r>
          <w:r>
            <w:rPr>
              <w:rFonts w:hint="eastAsia"/>
              <w:color w:val="auto"/>
            </w:rPr>
            <w:fldChar w:fldCharType="end"/>
          </w:r>
          <w:r>
            <w:rPr>
              <w:rFonts w:hint="eastAsia"/>
              <w:color w:val="auto"/>
            </w:rPr>
            <w:fldChar w:fldCharType="end"/>
          </w:r>
        </w:p>
        <w:p w14:paraId="3D46A0C8">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"_Toc225216847" </w:instrText>
          </w:r>
          <w:r>
            <w:rPr>
              <w:color w:val="auto"/>
            </w:rPr>
            <w:fldChar w:fldCharType="separate"/>
          </w:r>
          <w:r>
            <w:rPr>
              <w:rStyle w:val="29"/>
              <w:rFonts w:hint="eastAsia"/>
              <w:color w:val="auto"/>
            </w:rPr>
            <w:t>6.5.1</w:t>
          </w:r>
          <w:r>
            <w:rPr>
              <w:rFonts w:hint="eastAsia" w:asciiTheme="minorHAnsi" w:hAnsiTheme="minorHAnsi" w:eastAsiaTheme="minorEastAsia"/>
              <w:color w:val="auto"/>
              <w:sz w:val="22"/>
              <w:szCs w:val="24"/>
              <w14:ligatures w14:val="standardContextual"/>
            </w:rPr>
            <w:tab/>
          </w:r>
          <w:r>
            <w:rPr>
              <w:rStyle w:val="29"/>
              <w:rFonts w:hint="eastAsia"/>
              <w:color w:val="auto"/>
            </w:rPr>
            <w:t>大气风险事故影响分析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_Toc225216847 \h</w:instrText>
          </w:r>
          <w:r>
            <w:rPr>
              <w:rFonts w:hint="eastAsia"/>
              <w:color w:val="auto"/>
            </w:rPr>
            <w:instrText xml:space="preserve"> </w:instrText>
          </w:r>
          <w:r>
            <w:rPr>
              <w:rFonts w:hint="eastAsia"/>
              <w:color w:val="auto"/>
            </w:rPr>
            <w:fldChar w:fldCharType="separate"/>
          </w:r>
          <w:r>
            <w:rPr>
              <w:color w:val="auto"/>
            </w:rPr>
            <w:t>318</w:t>
          </w:r>
          <w:r>
            <w:rPr>
              <w:rFonts w:hint="eastAsia"/>
              <w:color w:val="auto"/>
            </w:rPr>
            <w:fldChar w:fldCharType="end"/>
          </w:r>
          <w:r>
            <w:rPr>
              <w:rFonts w:hint="eastAsia"/>
              <w:color w:val="auto"/>
            </w:rPr>
            <w:fldChar w:fldCharType="end"/>
          </w:r>
        </w:p>
        <w:p w14:paraId="5993006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"_Toc225216848" </w:instrText>
          </w:r>
          <w:r>
            <w:rPr>
              <w:color w:val="auto"/>
            </w:rPr>
            <w:fldChar w:fldCharType="separate"/>
          </w:r>
          <w:r>
            <w:rPr>
              <w:rStyle w:val="29"/>
              <w:rFonts w:hint="eastAsia"/>
              <w:color w:val="auto"/>
            </w:rPr>
            <w:t>6.5.2</w:t>
          </w:r>
          <w:r>
            <w:rPr>
              <w:rFonts w:hint="eastAsia" w:asciiTheme="minorHAnsi" w:hAnsiTheme="minorHAnsi" w:eastAsiaTheme="minorEastAsia"/>
              <w:color w:val="auto"/>
              <w:sz w:val="22"/>
              <w:szCs w:val="24"/>
              <w14:ligatures w14:val="standardContextual"/>
            </w:rPr>
            <w:tab/>
          </w:r>
          <w:r>
            <w:rPr>
              <w:rStyle w:val="29"/>
              <w:rFonts w:hint="eastAsia"/>
              <w:color w:val="auto"/>
            </w:rPr>
            <w:t>水环境风险事故影响分析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_Toc225216848 \h</w:instrText>
          </w:r>
          <w:r>
            <w:rPr>
              <w:rFonts w:hint="eastAsia"/>
              <w:color w:val="auto"/>
            </w:rPr>
            <w:instrText xml:space="preserve"> </w:instrText>
          </w:r>
          <w:r>
            <w:rPr>
              <w:rFonts w:hint="eastAsia"/>
              <w:color w:val="auto"/>
            </w:rPr>
            <w:fldChar w:fldCharType="separate"/>
          </w:r>
          <w:r>
            <w:rPr>
              <w:color w:val="auto"/>
            </w:rPr>
            <w:t>319</w:t>
          </w:r>
          <w:r>
            <w:rPr>
              <w:rFonts w:hint="eastAsia"/>
              <w:color w:val="auto"/>
            </w:rPr>
            <w:fldChar w:fldCharType="end"/>
          </w:r>
          <w:r>
            <w:rPr>
              <w:rFonts w:hint="eastAsia"/>
              <w:color w:val="auto"/>
            </w:rPr>
            <w:fldChar w:fldCharType="end"/>
          </w:r>
        </w:p>
        <w:p w14:paraId="77846BC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"_Toc225216849" </w:instrText>
          </w:r>
          <w:r>
            <w:rPr>
              <w:color w:val="auto"/>
            </w:rPr>
            <w:fldChar w:fldCharType="separate"/>
          </w:r>
          <w:r>
            <w:rPr>
              <w:rStyle w:val="29"/>
              <w:rFonts w:hint="eastAsia"/>
              <w:color w:val="auto"/>
            </w:rPr>
            <w:t>6.5.3</w:t>
          </w:r>
          <w:r>
            <w:rPr>
              <w:rFonts w:hint="eastAsia" w:asciiTheme="minorHAnsi" w:hAnsiTheme="minorHAnsi" w:eastAsiaTheme="minorEastAsia"/>
              <w:color w:val="auto"/>
              <w:sz w:val="22"/>
              <w:szCs w:val="24"/>
              <w14:ligatures w14:val="standardContextual"/>
            </w:rPr>
            <w:tab/>
          </w:r>
          <w:r>
            <w:rPr>
              <w:rStyle w:val="29"/>
              <w:rFonts w:hint="eastAsia"/>
              <w:color w:val="auto"/>
            </w:rPr>
            <w:t>原料在储运过程中发生泄漏事故的影响分析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_Toc225216849 \h</w:instrText>
          </w:r>
          <w:r>
            <w:rPr>
              <w:rFonts w:hint="eastAsia"/>
              <w:color w:val="auto"/>
            </w:rPr>
            <w:instrText xml:space="preserve"> </w:instrText>
          </w:r>
          <w:r>
            <w:rPr>
              <w:rFonts w:hint="eastAsia"/>
              <w:color w:val="auto"/>
            </w:rPr>
            <w:fldChar w:fldCharType="separate"/>
          </w:r>
          <w:r>
            <w:rPr>
              <w:color w:val="auto"/>
            </w:rPr>
            <w:t>320</w:t>
          </w:r>
          <w:r>
            <w:rPr>
              <w:rFonts w:hint="eastAsia"/>
              <w:color w:val="auto"/>
            </w:rPr>
            <w:fldChar w:fldCharType="end"/>
          </w:r>
          <w:r>
            <w:rPr>
              <w:rFonts w:hint="eastAsia"/>
              <w:color w:val="auto"/>
            </w:rPr>
            <w:fldChar w:fldCharType="end"/>
          </w:r>
        </w:p>
        <w:p w14:paraId="2E26A541">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"_Toc225216850" </w:instrText>
          </w:r>
          <w:r>
            <w:rPr>
              <w:color w:val="auto"/>
            </w:rPr>
            <w:fldChar w:fldCharType="separate"/>
          </w:r>
          <w:r>
            <w:rPr>
              <w:rStyle w:val="29"/>
              <w:rFonts w:hint="eastAsia"/>
              <w:color w:val="auto"/>
            </w:rPr>
            <w:t>6.6</w:t>
          </w:r>
          <w:r>
            <w:rPr>
              <w:rFonts w:hint="eastAsia" w:asciiTheme="minorHAnsi" w:hAnsiTheme="minorHAnsi" w:eastAsiaTheme="minorEastAsia"/>
              <w:color w:val="auto"/>
              <w:sz w:val="22"/>
              <w:szCs w:val="24"/>
              <w14:ligatures w14:val="standardContextual"/>
            </w:rPr>
            <w:tab/>
          </w:r>
          <w:r>
            <w:rPr>
              <w:rStyle w:val="29"/>
              <w:rFonts w:hint="eastAsia"/>
              <w:color w:val="auto"/>
            </w:rPr>
            <w:t>环境风险防范措施及应急要求</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_Toc225216850 \h</w:instrText>
          </w:r>
          <w:r>
            <w:rPr>
              <w:rFonts w:hint="eastAsia"/>
              <w:color w:val="auto"/>
            </w:rPr>
            <w:instrText xml:space="preserve"> </w:instrText>
          </w:r>
          <w:r>
            <w:rPr>
              <w:rFonts w:hint="eastAsia"/>
              <w:color w:val="auto"/>
            </w:rPr>
            <w:fldChar w:fldCharType="separate"/>
          </w:r>
          <w:r>
            <w:rPr>
              <w:color w:val="auto"/>
            </w:rPr>
            <w:t>321</w:t>
          </w:r>
          <w:r>
            <w:rPr>
              <w:rFonts w:hint="eastAsia"/>
              <w:color w:val="auto"/>
            </w:rPr>
            <w:fldChar w:fldCharType="end"/>
          </w:r>
          <w:r>
            <w:rPr>
              <w:rFonts w:hint="eastAsia"/>
              <w:color w:val="auto"/>
            </w:rPr>
            <w:fldChar w:fldCharType="end"/>
          </w:r>
        </w:p>
        <w:p w14:paraId="1B9E75D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"_Toc225216851" </w:instrText>
          </w:r>
          <w:r>
            <w:rPr>
              <w:color w:val="auto"/>
            </w:rPr>
            <w:fldChar w:fldCharType="separate"/>
          </w:r>
          <w:r>
            <w:rPr>
              <w:rStyle w:val="29"/>
              <w:rFonts w:hint="eastAsia"/>
              <w:color w:val="auto"/>
            </w:rPr>
            <w:t>6.6.1</w:t>
          </w:r>
          <w:r>
            <w:rPr>
              <w:rFonts w:hint="eastAsia" w:asciiTheme="minorHAnsi" w:hAnsiTheme="minorHAnsi" w:eastAsiaTheme="minorEastAsia"/>
              <w:color w:val="auto"/>
              <w:sz w:val="22"/>
              <w:szCs w:val="24"/>
              <w14:ligatures w14:val="standardContextual"/>
            </w:rPr>
            <w:tab/>
          </w:r>
          <w:r>
            <w:rPr>
              <w:rStyle w:val="29"/>
              <w:rFonts w:hint="eastAsia"/>
              <w:color w:val="auto"/>
            </w:rPr>
            <w:t>环境风险管理措施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_Toc225216851 \h</w:instrText>
          </w:r>
          <w:r>
            <w:rPr>
              <w:rFonts w:hint="eastAsia"/>
              <w:color w:val="auto"/>
            </w:rPr>
            <w:instrText xml:space="preserve"> </w:instrText>
          </w:r>
          <w:r>
            <w:rPr>
              <w:rFonts w:hint="eastAsia"/>
              <w:color w:val="auto"/>
            </w:rPr>
            <w:fldChar w:fldCharType="separate"/>
          </w:r>
          <w:r>
            <w:rPr>
              <w:color w:val="auto"/>
            </w:rPr>
            <w:t>321</w:t>
          </w:r>
          <w:r>
            <w:rPr>
              <w:rFonts w:hint="eastAsia"/>
              <w:color w:val="auto"/>
            </w:rPr>
            <w:fldChar w:fldCharType="end"/>
          </w:r>
          <w:r>
            <w:rPr>
              <w:rFonts w:hint="eastAsia"/>
              <w:color w:val="auto"/>
            </w:rPr>
            <w:fldChar w:fldCharType="end"/>
          </w:r>
        </w:p>
        <w:p w14:paraId="291CBBE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"_Toc225216852" </w:instrText>
          </w:r>
          <w:r>
            <w:rPr>
              <w:color w:val="auto"/>
            </w:rPr>
            <w:fldChar w:fldCharType="separate"/>
          </w:r>
          <w:r>
            <w:rPr>
              <w:rStyle w:val="29"/>
              <w:rFonts w:hint="eastAsia"/>
              <w:color w:val="auto"/>
            </w:rPr>
            <w:t>6.6.2</w:t>
          </w:r>
          <w:r>
            <w:rPr>
              <w:rFonts w:hint="eastAsia" w:asciiTheme="minorHAnsi" w:hAnsiTheme="minorHAnsi" w:eastAsiaTheme="minorEastAsia"/>
              <w:color w:val="auto"/>
              <w:sz w:val="22"/>
              <w:szCs w:val="24"/>
              <w14:ligatures w14:val="standardContextual"/>
            </w:rPr>
            <w:tab/>
          </w:r>
          <w:r>
            <w:rPr>
              <w:rStyle w:val="29"/>
              <w:rFonts w:hint="eastAsia"/>
              <w:color w:val="auto"/>
            </w:rPr>
            <w:t>环境风险防范措施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_Toc225216852 \h</w:instrText>
          </w:r>
          <w:r>
            <w:rPr>
              <w:rFonts w:hint="eastAsia"/>
              <w:color w:val="auto"/>
            </w:rPr>
            <w:instrText xml:space="preserve"> </w:instrText>
          </w:r>
          <w:r>
            <w:rPr>
              <w:rFonts w:hint="eastAsia"/>
              <w:color w:val="auto"/>
            </w:rPr>
            <w:fldChar w:fldCharType="separate"/>
          </w:r>
          <w:r>
            <w:rPr>
              <w:color w:val="auto"/>
            </w:rPr>
            <w:t>323</w:t>
          </w:r>
          <w:r>
            <w:rPr>
              <w:rFonts w:hint="eastAsia"/>
              <w:color w:val="auto"/>
            </w:rPr>
            <w:fldChar w:fldCharType="end"/>
          </w:r>
          <w:r>
            <w:rPr>
              <w:rFonts w:hint="eastAsia"/>
              <w:color w:val="auto"/>
            </w:rPr>
            <w:fldChar w:fldCharType="end"/>
          </w:r>
        </w:p>
        <w:p w14:paraId="4E60BF11">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"_Toc225216853" </w:instrText>
          </w:r>
          <w:r>
            <w:rPr>
              <w:color w:val="auto"/>
            </w:rPr>
            <w:fldChar w:fldCharType="separate"/>
          </w:r>
          <w:r>
            <w:rPr>
              <w:rStyle w:val="29"/>
              <w:rFonts w:hint="eastAsia" w:cs="Times New Roman"/>
              <w:color w:val="auto"/>
            </w:rPr>
            <w:t>6.7</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环境风险应急预案</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_Toc225216853 \h</w:instrText>
          </w:r>
          <w:r>
            <w:rPr>
              <w:rFonts w:hint="eastAsia"/>
              <w:color w:val="auto"/>
            </w:rPr>
            <w:instrText xml:space="preserve"> </w:instrText>
          </w:r>
          <w:r>
            <w:rPr>
              <w:rFonts w:hint="eastAsia"/>
              <w:color w:val="auto"/>
            </w:rPr>
            <w:fldChar w:fldCharType="separate"/>
          </w:r>
          <w:r>
            <w:rPr>
              <w:color w:val="auto"/>
            </w:rPr>
            <w:t>326</w:t>
          </w:r>
          <w:r>
            <w:rPr>
              <w:rFonts w:hint="eastAsia"/>
              <w:color w:val="auto"/>
            </w:rPr>
            <w:fldChar w:fldCharType="end"/>
          </w:r>
          <w:r>
            <w:rPr>
              <w:rFonts w:hint="eastAsia"/>
              <w:color w:val="auto"/>
            </w:rPr>
            <w:fldChar w:fldCharType="end"/>
          </w:r>
        </w:p>
        <w:p w14:paraId="708ED39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"_Toc225216854" </w:instrText>
          </w:r>
          <w:r>
            <w:rPr>
              <w:color w:val="auto"/>
            </w:rPr>
            <w:fldChar w:fldCharType="separate"/>
          </w:r>
          <w:r>
            <w:rPr>
              <w:rStyle w:val="29"/>
              <w:rFonts w:hint="eastAsia" w:cs="Times New Roman"/>
              <w:color w:val="auto"/>
            </w:rPr>
            <w:t>6.7.1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应急预案体系</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_Toc225216854 \h</w:instrText>
          </w:r>
          <w:r>
            <w:rPr>
              <w:rFonts w:hint="eastAsia"/>
              <w:color w:val="auto"/>
            </w:rPr>
            <w:instrText xml:space="preserve"> </w:instrText>
          </w:r>
          <w:r>
            <w:rPr>
              <w:rFonts w:hint="eastAsia"/>
              <w:color w:val="auto"/>
            </w:rPr>
            <w:fldChar w:fldCharType="separate"/>
          </w:r>
          <w:r>
            <w:rPr>
              <w:color w:val="auto"/>
            </w:rPr>
            <w:t>327</w:t>
          </w:r>
          <w:r>
            <w:rPr>
              <w:rFonts w:hint="eastAsia"/>
              <w:color w:val="auto"/>
            </w:rPr>
            <w:fldChar w:fldCharType="end"/>
          </w:r>
          <w:r>
            <w:rPr>
              <w:rFonts w:hint="eastAsia"/>
              <w:color w:val="auto"/>
            </w:rPr>
            <w:fldChar w:fldCharType="end"/>
          </w:r>
        </w:p>
        <w:p w14:paraId="3257BDE4">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"_Toc225216855" </w:instrText>
          </w:r>
          <w:r>
            <w:rPr>
              <w:color w:val="auto"/>
            </w:rPr>
            <w:fldChar w:fldCharType="separate"/>
          </w:r>
          <w:r>
            <w:rPr>
              <w:rStyle w:val="29"/>
              <w:rFonts w:hint="eastAsia" w:cs="Times New Roman"/>
              <w:color w:val="auto"/>
            </w:rPr>
            <w:t>6.7.2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应急响应</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_Toc225216855 \h</w:instrText>
          </w:r>
          <w:r>
            <w:rPr>
              <w:rFonts w:hint="eastAsia"/>
              <w:color w:val="auto"/>
            </w:rPr>
            <w:instrText xml:space="preserve"> </w:instrText>
          </w:r>
          <w:r>
            <w:rPr>
              <w:rFonts w:hint="eastAsia"/>
              <w:color w:val="auto"/>
            </w:rPr>
            <w:fldChar w:fldCharType="separate"/>
          </w:r>
          <w:r>
            <w:rPr>
              <w:color w:val="auto"/>
            </w:rPr>
            <w:t>327</w:t>
          </w:r>
          <w:r>
            <w:rPr>
              <w:rFonts w:hint="eastAsia"/>
              <w:color w:val="auto"/>
            </w:rPr>
            <w:fldChar w:fldCharType="end"/>
          </w:r>
          <w:r>
            <w:rPr>
              <w:rFonts w:hint="eastAsia"/>
              <w:color w:val="auto"/>
            </w:rPr>
            <w:fldChar w:fldCharType="end"/>
          </w:r>
        </w:p>
        <w:p w14:paraId="6B1CA7A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"_Toc225216856" </w:instrText>
          </w:r>
          <w:r>
            <w:rPr>
              <w:color w:val="auto"/>
            </w:rPr>
            <w:fldChar w:fldCharType="separate"/>
          </w:r>
          <w:r>
            <w:rPr>
              <w:rStyle w:val="29"/>
              <w:rFonts w:hint="eastAsia" w:cs="Times New Roman"/>
              <w:color w:val="auto"/>
            </w:rPr>
            <w:t>6.7.3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环境风险源监控</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_Toc225216856 \h</w:instrText>
          </w:r>
          <w:r>
            <w:rPr>
              <w:rFonts w:hint="eastAsia"/>
              <w:color w:val="auto"/>
            </w:rPr>
            <w:instrText xml:space="preserve"> </w:instrText>
          </w:r>
          <w:r>
            <w:rPr>
              <w:rFonts w:hint="eastAsia"/>
              <w:color w:val="auto"/>
            </w:rPr>
            <w:fldChar w:fldCharType="separate"/>
          </w:r>
          <w:r>
            <w:rPr>
              <w:color w:val="auto"/>
            </w:rPr>
            <w:t>330</w:t>
          </w:r>
          <w:r>
            <w:rPr>
              <w:rFonts w:hint="eastAsia"/>
              <w:color w:val="auto"/>
            </w:rPr>
            <w:fldChar w:fldCharType="end"/>
          </w:r>
          <w:r>
            <w:rPr>
              <w:rFonts w:hint="eastAsia"/>
              <w:color w:val="auto"/>
            </w:rPr>
            <w:fldChar w:fldCharType="end"/>
          </w:r>
        </w:p>
        <w:p w14:paraId="4559552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"_Toc225216857" </w:instrText>
          </w:r>
          <w:r>
            <w:rPr>
              <w:color w:val="auto"/>
            </w:rPr>
            <w:fldChar w:fldCharType="separate"/>
          </w:r>
          <w:r>
            <w:rPr>
              <w:rStyle w:val="29"/>
              <w:rFonts w:hint="eastAsia" w:cs="Times New Roman"/>
              <w:color w:val="auto"/>
            </w:rPr>
            <w:t>6.8</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现有风险防范措施和应急预案可行性分析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_Toc225216857 \h</w:instrText>
          </w:r>
          <w:r>
            <w:rPr>
              <w:rFonts w:hint="eastAsia"/>
              <w:color w:val="auto"/>
            </w:rPr>
            <w:instrText xml:space="preserve"> </w:instrText>
          </w:r>
          <w:r>
            <w:rPr>
              <w:rFonts w:hint="eastAsia"/>
              <w:color w:val="auto"/>
            </w:rPr>
            <w:fldChar w:fldCharType="separate"/>
          </w:r>
          <w:r>
            <w:rPr>
              <w:color w:val="auto"/>
            </w:rPr>
            <w:t>331</w:t>
          </w:r>
          <w:r>
            <w:rPr>
              <w:rFonts w:hint="eastAsia"/>
              <w:color w:val="auto"/>
            </w:rPr>
            <w:fldChar w:fldCharType="end"/>
          </w:r>
          <w:r>
            <w:rPr>
              <w:rFonts w:hint="eastAsia"/>
              <w:color w:val="auto"/>
            </w:rPr>
            <w:fldChar w:fldCharType="end"/>
          </w:r>
        </w:p>
        <w:p w14:paraId="0F241009">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"_Toc225216858" </w:instrText>
          </w:r>
          <w:r>
            <w:rPr>
              <w:color w:val="auto"/>
            </w:rPr>
            <w:fldChar w:fldCharType="separate"/>
          </w:r>
          <w:r>
            <w:rPr>
              <w:rStyle w:val="29"/>
              <w:rFonts w:hint="eastAsia" w:cs="Times New Roman"/>
              <w:color w:val="auto"/>
            </w:rPr>
            <w:t>6.9</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与区域风险应急救援预案的联动</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_Toc225216858 \h</w:instrText>
          </w:r>
          <w:r>
            <w:rPr>
              <w:rFonts w:hint="eastAsia"/>
              <w:color w:val="auto"/>
            </w:rPr>
            <w:instrText xml:space="preserve"> </w:instrText>
          </w:r>
          <w:r>
            <w:rPr>
              <w:rFonts w:hint="eastAsia"/>
              <w:color w:val="auto"/>
            </w:rPr>
            <w:fldChar w:fldCharType="separate"/>
          </w:r>
          <w:r>
            <w:rPr>
              <w:color w:val="auto"/>
            </w:rPr>
            <w:t>331</w:t>
          </w:r>
          <w:r>
            <w:rPr>
              <w:rFonts w:hint="eastAsia"/>
              <w:color w:val="auto"/>
            </w:rPr>
            <w:fldChar w:fldCharType="end"/>
          </w:r>
          <w:r>
            <w:rPr>
              <w:rFonts w:hint="eastAsia"/>
              <w:color w:val="auto"/>
            </w:rPr>
            <w:fldChar w:fldCharType="end"/>
          </w:r>
        </w:p>
        <w:p w14:paraId="7587E77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"_Toc225216859" </w:instrText>
          </w:r>
          <w:r>
            <w:rPr>
              <w:color w:val="auto"/>
            </w:rPr>
            <w:fldChar w:fldCharType="separate"/>
          </w:r>
          <w:r>
            <w:rPr>
              <w:rStyle w:val="29"/>
              <w:rFonts w:hint="eastAsia" w:cs="Times New Roman"/>
              <w:color w:val="auto"/>
            </w:rPr>
            <w:t>6.10</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rPr>
            <w:t>评价结论与建议</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_Toc225216859 \h</w:instrText>
          </w:r>
          <w:r>
            <w:rPr>
              <w:rFonts w:hint="eastAsia"/>
              <w:color w:val="auto"/>
            </w:rPr>
            <w:instrText xml:space="preserve"> </w:instrText>
          </w:r>
          <w:r>
            <w:rPr>
              <w:rFonts w:hint="eastAsia"/>
              <w:color w:val="auto"/>
            </w:rPr>
            <w:fldChar w:fldCharType="separate"/>
          </w:r>
          <w:r>
            <w:rPr>
              <w:color w:val="auto"/>
            </w:rPr>
            <w:t>332</w:t>
          </w:r>
          <w:r>
            <w:rPr>
              <w:rFonts w:hint="eastAsia"/>
              <w:color w:val="auto"/>
            </w:rPr>
            <w:fldChar w:fldCharType="end"/>
          </w:r>
          <w:r>
            <w:rPr>
              <w:rFonts w:hint="eastAsia"/>
              <w:color w:val="auto"/>
            </w:rPr>
            <w:fldChar w:fldCharType="end"/>
          </w:r>
        </w:p>
        <w:p w14:paraId="79C76A90">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"_Toc225216860" </w:instrText>
          </w:r>
          <w:r>
            <w:rPr>
              <w:color w:val="auto"/>
            </w:rPr>
            <w:fldChar w:fldCharType="separate"/>
          </w:r>
          <w:r>
            <w:rPr>
              <w:rStyle w:val="29"/>
              <w:rFonts w:hint="eastAsia"/>
              <w:color w:val="auto"/>
              <w:lang w:val="zh-CN"/>
            </w:rPr>
            <w:t>7</w:t>
          </w:r>
          <w:r>
            <w:rPr>
              <w:rFonts w:hint="eastAsia" w:asciiTheme="minorHAnsi" w:hAnsiTheme="minorHAnsi" w:eastAsiaTheme="minorEastAsia"/>
              <w:color w:val="auto"/>
              <w:sz w:val="22"/>
              <w:szCs w:val="24"/>
              <w14:ligatures w14:val="standardContextual"/>
            </w:rPr>
            <w:tab/>
          </w:r>
          <w:r>
            <w:rPr>
              <w:rStyle w:val="29"/>
              <w:rFonts w:hint="eastAsia"/>
              <w:color w:val="auto"/>
              <w:lang w:val="zh-CN"/>
            </w:rPr>
            <w:t>环境保护措施及其可行性论证</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_Toc225216860 \h</w:instrText>
          </w:r>
          <w:r>
            <w:rPr>
              <w:rFonts w:hint="eastAsia"/>
              <w:color w:val="auto"/>
            </w:rPr>
            <w:instrText xml:space="preserve"> </w:instrText>
          </w:r>
          <w:r>
            <w:rPr>
              <w:rFonts w:hint="eastAsia"/>
              <w:color w:val="auto"/>
            </w:rPr>
            <w:fldChar w:fldCharType="separate"/>
          </w:r>
          <w:r>
            <w:rPr>
              <w:color w:val="auto"/>
            </w:rPr>
            <w:t>334</w:t>
          </w:r>
          <w:r>
            <w:rPr>
              <w:rFonts w:hint="eastAsia"/>
              <w:color w:val="auto"/>
            </w:rPr>
            <w:fldChar w:fldCharType="end"/>
          </w:r>
          <w:r>
            <w:rPr>
              <w:rFonts w:hint="eastAsia"/>
              <w:color w:val="auto"/>
            </w:rPr>
            <w:fldChar w:fldCharType="end"/>
          </w:r>
        </w:p>
        <w:p w14:paraId="72500847">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"_Toc225216861" </w:instrText>
          </w:r>
          <w:r>
            <w:rPr>
              <w:color w:val="auto"/>
            </w:rPr>
            <w:fldChar w:fldCharType="separate"/>
          </w:r>
          <w:r>
            <w:rPr>
              <w:rStyle w:val="29"/>
              <w:rFonts w:hint="eastAsia"/>
              <w:color w:val="auto"/>
            </w:rPr>
            <w:t>7.1</w:t>
          </w:r>
          <w:r>
            <w:rPr>
              <w:rFonts w:hint="eastAsia" w:asciiTheme="minorHAnsi" w:hAnsiTheme="minorHAnsi" w:eastAsiaTheme="minorEastAsia"/>
              <w:color w:val="auto"/>
              <w:sz w:val="22"/>
              <w:szCs w:val="24"/>
              <w14:ligatures w14:val="standardContextual"/>
            </w:rPr>
            <w:tab/>
          </w:r>
          <w:r>
            <w:rPr>
              <w:rStyle w:val="29"/>
              <w:rFonts w:hint="eastAsia"/>
              <w:color w:val="auto"/>
            </w:rPr>
            <w:t>施工期环境保护措施及可行性分析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_Toc225216861 \h</w:instrText>
          </w:r>
          <w:r>
            <w:rPr>
              <w:rFonts w:hint="eastAsia"/>
              <w:color w:val="auto"/>
            </w:rPr>
            <w:instrText xml:space="preserve"> </w:instrText>
          </w:r>
          <w:r>
            <w:rPr>
              <w:rFonts w:hint="eastAsia"/>
              <w:color w:val="auto"/>
            </w:rPr>
            <w:fldChar w:fldCharType="separate"/>
          </w:r>
          <w:r>
            <w:rPr>
              <w:color w:val="auto"/>
            </w:rPr>
            <w:t>334</w:t>
          </w:r>
          <w:r>
            <w:rPr>
              <w:rFonts w:hint="eastAsia"/>
              <w:color w:val="auto"/>
            </w:rPr>
            <w:fldChar w:fldCharType="end"/>
          </w:r>
          <w:r>
            <w:rPr>
              <w:rFonts w:hint="eastAsia"/>
              <w:color w:val="auto"/>
            </w:rPr>
            <w:fldChar w:fldCharType="end"/>
          </w:r>
        </w:p>
        <w:p w14:paraId="035A704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"_Toc225216862" </w:instrText>
          </w:r>
          <w:r>
            <w:rPr>
              <w:color w:val="auto"/>
            </w:rPr>
            <w:fldChar w:fldCharType="separate"/>
          </w:r>
          <w:r>
            <w:rPr>
              <w:rStyle w:val="29"/>
              <w:rFonts w:hint="eastAsia"/>
              <w:color w:val="auto"/>
            </w:rPr>
            <w:t>7.1.1</w:t>
          </w:r>
          <w:r>
            <w:rPr>
              <w:rFonts w:hint="eastAsia" w:asciiTheme="minorHAnsi" w:hAnsiTheme="minorHAnsi" w:eastAsiaTheme="minorEastAsia"/>
              <w:color w:val="auto"/>
              <w:sz w:val="22"/>
              <w:szCs w:val="24"/>
              <w14:ligatures w14:val="standardContextual"/>
            </w:rPr>
            <w:tab/>
          </w:r>
          <w:r>
            <w:rPr>
              <w:rStyle w:val="29"/>
              <w:rFonts w:hint="eastAsia"/>
              <w:color w:val="auto"/>
            </w:rPr>
            <w:t>施工期空气环境影响防治措施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_Toc225216862 \h</w:instrText>
          </w:r>
          <w:r>
            <w:rPr>
              <w:rFonts w:hint="eastAsia"/>
              <w:color w:val="auto"/>
            </w:rPr>
            <w:instrText xml:space="preserve"> </w:instrText>
          </w:r>
          <w:r>
            <w:rPr>
              <w:rFonts w:hint="eastAsia"/>
              <w:color w:val="auto"/>
            </w:rPr>
            <w:fldChar w:fldCharType="separate"/>
          </w:r>
          <w:r>
            <w:rPr>
              <w:color w:val="auto"/>
            </w:rPr>
            <w:t>334</w:t>
          </w:r>
          <w:r>
            <w:rPr>
              <w:rFonts w:hint="eastAsia"/>
              <w:color w:val="auto"/>
            </w:rPr>
            <w:fldChar w:fldCharType="end"/>
          </w:r>
          <w:r>
            <w:rPr>
              <w:rFonts w:hint="eastAsia"/>
              <w:color w:val="auto"/>
            </w:rPr>
            <w:fldChar w:fldCharType="end"/>
          </w:r>
        </w:p>
        <w:p w14:paraId="3F91F73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"_Toc225216863" </w:instrText>
          </w:r>
          <w:r>
            <w:rPr>
              <w:color w:val="auto"/>
            </w:rPr>
            <w:fldChar w:fldCharType="separate"/>
          </w:r>
          <w:r>
            <w:rPr>
              <w:rStyle w:val="29"/>
              <w:rFonts w:hint="eastAsia"/>
              <w:color w:val="auto"/>
            </w:rPr>
            <w:t>7.1.2</w:t>
          </w:r>
          <w:r>
            <w:rPr>
              <w:rFonts w:hint="eastAsia" w:asciiTheme="minorHAnsi" w:hAnsiTheme="minorHAnsi" w:eastAsiaTheme="minorEastAsia"/>
              <w:color w:val="auto"/>
              <w:sz w:val="22"/>
              <w:szCs w:val="24"/>
              <w14:ligatures w14:val="standardContextual"/>
            </w:rPr>
            <w:tab/>
          </w:r>
          <w:r>
            <w:rPr>
              <w:rStyle w:val="29"/>
              <w:rFonts w:hint="eastAsia"/>
              <w:color w:val="auto"/>
            </w:rPr>
            <w:t>施工期水污染防治措施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_Toc225216863 \h</w:instrText>
          </w:r>
          <w:r>
            <w:rPr>
              <w:rFonts w:hint="eastAsia"/>
              <w:color w:val="auto"/>
            </w:rPr>
            <w:instrText xml:space="preserve"> </w:instrText>
          </w:r>
          <w:r>
            <w:rPr>
              <w:rFonts w:hint="eastAsia"/>
              <w:color w:val="auto"/>
            </w:rPr>
            <w:fldChar w:fldCharType="separate"/>
          </w:r>
          <w:r>
            <w:rPr>
              <w:color w:val="auto"/>
            </w:rPr>
            <w:t>335</w:t>
          </w:r>
          <w:r>
            <w:rPr>
              <w:rFonts w:hint="eastAsia"/>
              <w:color w:val="auto"/>
            </w:rPr>
            <w:fldChar w:fldCharType="end"/>
          </w:r>
          <w:r>
            <w:rPr>
              <w:rFonts w:hint="eastAsia"/>
              <w:color w:val="auto"/>
            </w:rPr>
            <w:fldChar w:fldCharType="end"/>
          </w:r>
        </w:p>
        <w:p w14:paraId="5DC68F6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"_Toc225216864" </w:instrText>
          </w:r>
          <w:r>
            <w:rPr>
              <w:color w:val="auto"/>
            </w:rPr>
            <w:fldChar w:fldCharType="separate"/>
          </w:r>
          <w:r>
            <w:rPr>
              <w:rStyle w:val="29"/>
              <w:rFonts w:hint="eastAsia"/>
              <w:color w:val="auto"/>
            </w:rPr>
            <w:t>7.1.3</w:t>
          </w:r>
          <w:r>
            <w:rPr>
              <w:rFonts w:hint="eastAsia" w:asciiTheme="minorHAnsi" w:hAnsiTheme="minorHAnsi" w:eastAsiaTheme="minorEastAsia"/>
              <w:color w:val="auto"/>
              <w:sz w:val="22"/>
              <w:szCs w:val="24"/>
              <w14:ligatures w14:val="standardContextual"/>
            </w:rPr>
            <w:tab/>
          </w:r>
          <w:r>
            <w:rPr>
              <w:rStyle w:val="29"/>
              <w:rFonts w:hint="eastAsia"/>
              <w:color w:val="auto"/>
            </w:rPr>
            <w:t>施工期噪声防治措施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_Toc225216864 \h</w:instrText>
          </w:r>
          <w:r>
            <w:rPr>
              <w:rFonts w:hint="eastAsia"/>
              <w:color w:val="auto"/>
            </w:rPr>
            <w:instrText xml:space="preserve"> </w:instrText>
          </w:r>
          <w:r>
            <w:rPr>
              <w:rFonts w:hint="eastAsia"/>
              <w:color w:val="auto"/>
            </w:rPr>
            <w:fldChar w:fldCharType="separate"/>
          </w:r>
          <w:r>
            <w:rPr>
              <w:color w:val="auto"/>
            </w:rPr>
            <w:t>336</w:t>
          </w:r>
          <w:r>
            <w:rPr>
              <w:rFonts w:hint="eastAsia"/>
              <w:color w:val="auto"/>
            </w:rPr>
            <w:fldChar w:fldCharType="end"/>
          </w:r>
          <w:r>
            <w:rPr>
              <w:rFonts w:hint="eastAsia"/>
              <w:color w:val="auto"/>
            </w:rPr>
            <w:fldChar w:fldCharType="end"/>
          </w:r>
        </w:p>
        <w:p w14:paraId="2578AE7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"_Toc225216865" </w:instrText>
          </w:r>
          <w:r>
            <w:rPr>
              <w:color w:val="auto"/>
            </w:rPr>
            <w:fldChar w:fldCharType="separate"/>
          </w:r>
          <w:r>
            <w:rPr>
              <w:rStyle w:val="29"/>
              <w:rFonts w:hint="eastAsia"/>
              <w:color w:val="auto"/>
            </w:rPr>
            <w:t>7.1.4</w:t>
          </w:r>
          <w:r>
            <w:rPr>
              <w:rFonts w:hint="eastAsia" w:asciiTheme="minorHAnsi" w:hAnsiTheme="minorHAnsi" w:eastAsiaTheme="minorEastAsia"/>
              <w:color w:val="auto"/>
              <w:sz w:val="22"/>
              <w:szCs w:val="24"/>
              <w14:ligatures w14:val="standardContextual"/>
            </w:rPr>
            <w:tab/>
          </w:r>
          <w:r>
            <w:rPr>
              <w:rStyle w:val="29"/>
              <w:rFonts w:hint="eastAsia"/>
              <w:color w:val="auto"/>
            </w:rPr>
            <w:t>施工期固体废物防治措施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_Toc225216865 \h</w:instrText>
          </w:r>
          <w:r>
            <w:rPr>
              <w:rFonts w:hint="eastAsia"/>
              <w:color w:val="auto"/>
            </w:rPr>
            <w:instrText xml:space="preserve"> </w:instrText>
          </w:r>
          <w:r>
            <w:rPr>
              <w:rFonts w:hint="eastAsia"/>
              <w:color w:val="auto"/>
            </w:rPr>
            <w:fldChar w:fldCharType="separate"/>
          </w:r>
          <w:r>
            <w:rPr>
              <w:color w:val="auto"/>
            </w:rPr>
            <w:t>336</w:t>
          </w:r>
          <w:r>
            <w:rPr>
              <w:rFonts w:hint="eastAsia"/>
              <w:color w:val="auto"/>
            </w:rPr>
            <w:fldChar w:fldCharType="end"/>
          </w:r>
          <w:r>
            <w:rPr>
              <w:rFonts w:hint="eastAsia"/>
              <w:color w:val="auto"/>
            </w:rPr>
            <w:fldChar w:fldCharType="end"/>
          </w:r>
        </w:p>
        <w:p w14:paraId="21C93C8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"_Toc225216866" </w:instrText>
          </w:r>
          <w:r>
            <w:rPr>
              <w:color w:val="auto"/>
            </w:rPr>
            <w:fldChar w:fldCharType="separate"/>
          </w:r>
          <w:r>
            <w:rPr>
              <w:rStyle w:val="29"/>
              <w:rFonts w:hint="eastAsia"/>
              <w:color w:val="auto"/>
            </w:rPr>
            <w:t>7.2</w:t>
          </w:r>
          <w:r>
            <w:rPr>
              <w:rFonts w:hint="eastAsia" w:asciiTheme="minorHAnsi" w:hAnsiTheme="minorHAnsi" w:eastAsiaTheme="minorEastAsia"/>
              <w:color w:val="auto"/>
              <w:sz w:val="22"/>
              <w:szCs w:val="24"/>
              <w14:ligatures w14:val="standardContextual"/>
            </w:rPr>
            <w:tab/>
          </w:r>
          <w:r>
            <w:rPr>
              <w:rStyle w:val="29"/>
              <w:rFonts w:hint="eastAsia"/>
              <w:color w:val="auto"/>
            </w:rPr>
            <w:t>运营期污染防治措施及可行性分析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_Toc225216866 \h</w:instrText>
          </w:r>
          <w:r>
            <w:rPr>
              <w:rFonts w:hint="eastAsia"/>
              <w:color w:val="auto"/>
            </w:rPr>
            <w:instrText xml:space="preserve"> </w:instrText>
          </w:r>
          <w:r>
            <w:rPr>
              <w:rFonts w:hint="eastAsia"/>
              <w:color w:val="auto"/>
            </w:rPr>
            <w:fldChar w:fldCharType="separate"/>
          </w:r>
          <w:r>
            <w:rPr>
              <w:color w:val="auto"/>
            </w:rPr>
            <w:t>337</w:t>
          </w:r>
          <w:r>
            <w:rPr>
              <w:rFonts w:hint="eastAsia"/>
              <w:color w:val="auto"/>
            </w:rPr>
            <w:fldChar w:fldCharType="end"/>
          </w:r>
          <w:r>
            <w:rPr>
              <w:rFonts w:hint="eastAsia"/>
              <w:color w:val="auto"/>
            </w:rPr>
            <w:fldChar w:fldCharType="end"/>
          </w:r>
        </w:p>
        <w:p w14:paraId="4024F81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"_Toc225216867" </w:instrText>
          </w:r>
          <w:r>
            <w:rPr>
              <w:color w:val="auto"/>
            </w:rPr>
            <w:fldChar w:fldCharType="separate"/>
          </w:r>
          <w:r>
            <w:rPr>
              <w:rStyle w:val="29"/>
              <w:rFonts w:hint="eastAsia"/>
              <w:color w:val="auto"/>
            </w:rPr>
            <w:t>7.2.1</w:t>
          </w:r>
          <w:r>
            <w:rPr>
              <w:rFonts w:hint="eastAsia" w:asciiTheme="minorHAnsi" w:hAnsiTheme="minorHAnsi" w:eastAsiaTheme="minorEastAsia"/>
              <w:color w:val="auto"/>
              <w:sz w:val="22"/>
              <w:szCs w:val="24"/>
              <w14:ligatures w14:val="standardContextual"/>
            </w:rPr>
            <w:tab/>
          </w:r>
          <w:r>
            <w:rPr>
              <w:rStyle w:val="29"/>
              <w:rFonts w:hint="eastAsia"/>
              <w:color w:val="auto"/>
            </w:rPr>
            <w:t>运营期大气污染物防治措施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_Toc225216867 \h</w:instrText>
          </w:r>
          <w:r>
            <w:rPr>
              <w:rFonts w:hint="eastAsia"/>
              <w:color w:val="auto"/>
            </w:rPr>
            <w:instrText xml:space="preserve"> </w:instrText>
          </w:r>
          <w:r>
            <w:rPr>
              <w:rFonts w:hint="eastAsia"/>
              <w:color w:val="auto"/>
            </w:rPr>
            <w:fldChar w:fldCharType="separate"/>
          </w:r>
          <w:r>
            <w:rPr>
              <w:color w:val="auto"/>
            </w:rPr>
            <w:t>337</w:t>
          </w:r>
          <w:r>
            <w:rPr>
              <w:rFonts w:hint="eastAsia"/>
              <w:color w:val="auto"/>
            </w:rPr>
            <w:fldChar w:fldCharType="end"/>
          </w:r>
          <w:r>
            <w:rPr>
              <w:rFonts w:hint="eastAsia"/>
              <w:color w:val="auto"/>
            </w:rPr>
            <w:fldChar w:fldCharType="end"/>
          </w:r>
        </w:p>
        <w:p w14:paraId="654D6DE7">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"_Toc225216868" </w:instrText>
          </w:r>
          <w:r>
            <w:rPr>
              <w:color w:val="auto"/>
            </w:rPr>
            <w:fldChar w:fldCharType="separate"/>
          </w:r>
          <w:r>
            <w:rPr>
              <w:rStyle w:val="29"/>
              <w:rFonts w:hint="eastAsia"/>
              <w:color w:val="auto"/>
            </w:rPr>
            <w:t>7.2.2</w:t>
          </w:r>
          <w:r>
            <w:rPr>
              <w:rFonts w:hint="eastAsia" w:asciiTheme="minorHAnsi" w:hAnsiTheme="minorHAnsi" w:eastAsiaTheme="minorEastAsia"/>
              <w:color w:val="auto"/>
              <w:sz w:val="22"/>
              <w:szCs w:val="24"/>
              <w14:ligatures w14:val="standardContextual"/>
            </w:rPr>
            <w:tab/>
          </w:r>
          <w:r>
            <w:rPr>
              <w:rStyle w:val="29"/>
              <w:rFonts w:hint="eastAsia"/>
              <w:color w:val="auto"/>
            </w:rPr>
            <w:t>运营期水污染物防治措施及可行性分析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_Toc225216868 \h</w:instrText>
          </w:r>
          <w:r>
            <w:rPr>
              <w:rFonts w:hint="eastAsia"/>
              <w:color w:val="auto"/>
            </w:rPr>
            <w:instrText xml:space="preserve"> </w:instrText>
          </w:r>
          <w:r>
            <w:rPr>
              <w:rFonts w:hint="eastAsia"/>
              <w:color w:val="auto"/>
            </w:rPr>
            <w:fldChar w:fldCharType="separate"/>
          </w:r>
          <w:r>
            <w:rPr>
              <w:color w:val="auto"/>
            </w:rPr>
            <w:t>344</w:t>
          </w:r>
          <w:r>
            <w:rPr>
              <w:rFonts w:hint="eastAsia"/>
              <w:color w:val="auto"/>
            </w:rPr>
            <w:fldChar w:fldCharType="end"/>
          </w:r>
          <w:r>
            <w:rPr>
              <w:rFonts w:hint="eastAsia"/>
              <w:color w:val="auto"/>
            </w:rPr>
            <w:fldChar w:fldCharType="end"/>
          </w:r>
        </w:p>
        <w:p w14:paraId="667E2CE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"_Toc225216869" </w:instrText>
          </w:r>
          <w:r>
            <w:rPr>
              <w:color w:val="auto"/>
            </w:rPr>
            <w:fldChar w:fldCharType="separate"/>
          </w:r>
          <w:r>
            <w:rPr>
              <w:rStyle w:val="29"/>
              <w:rFonts w:hint="eastAsia"/>
              <w:color w:val="auto"/>
            </w:rPr>
            <w:t>7.2.3</w:t>
          </w:r>
          <w:r>
            <w:rPr>
              <w:rFonts w:hint="eastAsia" w:asciiTheme="minorHAnsi" w:hAnsiTheme="minorHAnsi" w:eastAsiaTheme="minorEastAsia"/>
              <w:color w:val="auto"/>
              <w:sz w:val="22"/>
              <w:szCs w:val="24"/>
              <w14:ligatures w14:val="standardContextual"/>
            </w:rPr>
            <w:tab/>
          </w:r>
          <w:r>
            <w:rPr>
              <w:rStyle w:val="29"/>
              <w:rFonts w:hint="eastAsia"/>
              <w:color w:val="auto"/>
            </w:rPr>
            <w:t>固体废物处置措施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_Toc225216869 \h</w:instrText>
          </w:r>
          <w:r>
            <w:rPr>
              <w:rFonts w:hint="eastAsia"/>
              <w:color w:val="auto"/>
            </w:rPr>
            <w:instrText xml:space="preserve"> </w:instrText>
          </w:r>
          <w:r>
            <w:rPr>
              <w:rFonts w:hint="eastAsia"/>
              <w:color w:val="auto"/>
            </w:rPr>
            <w:fldChar w:fldCharType="separate"/>
          </w:r>
          <w:r>
            <w:rPr>
              <w:color w:val="auto"/>
            </w:rPr>
            <w:t>349</w:t>
          </w:r>
          <w:r>
            <w:rPr>
              <w:rFonts w:hint="eastAsia"/>
              <w:color w:val="auto"/>
            </w:rPr>
            <w:fldChar w:fldCharType="end"/>
          </w:r>
          <w:r>
            <w:rPr>
              <w:rFonts w:hint="eastAsia"/>
              <w:color w:val="auto"/>
            </w:rPr>
            <w:fldChar w:fldCharType="end"/>
          </w:r>
        </w:p>
        <w:p w14:paraId="118E838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"_Toc225216870" </w:instrText>
          </w:r>
          <w:r>
            <w:rPr>
              <w:color w:val="auto"/>
            </w:rPr>
            <w:fldChar w:fldCharType="separate"/>
          </w:r>
          <w:r>
            <w:rPr>
              <w:rStyle w:val="29"/>
              <w:rFonts w:hint="eastAsia"/>
              <w:color w:val="auto"/>
            </w:rPr>
            <w:t>7.2.4</w:t>
          </w:r>
          <w:r>
            <w:rPr>
              <w:rFonts w:hint="eastAsia" w:asciiTheme="minorHAnsi" w:hAnsiTheme="minorHAnsi" w:eastAsiaTheme="minorEastAsia"/>
              <w:color w:val="auto"/>
              <w:sz w:val="22"/>
              <w:szCs w:val="24"/>
              <w14:ligatures w14:val="standardContextual"/>
            </w:rPr>
            <w:tab/>
          </w:r>
          <w:r>
            <w:rPr>
              <w:rStyle w:val="29"/>
              <w:rFonts w:hint="eastAsia"/>
              <w:color w:val="auto"/>
            </w:rPr>
            <w:t>地下水环境污染防治措施及可行性分析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_Toc225216870 \h</w:instrText>
          </w:r>
          <w:r>
            <w:rPr>
              <w:rFonts w:hint="eastAsia"/>
              <w:color w:val="auto"/>
            </w:rPr>
            <w:instrText xml:space="preserve"> </w:instrText>
          </w:r>
          <w:r>
            <w:rPr>
              <w:rFonts w:hint="eastAsia"/>
              <w:color w:val="auto"/>
            </w:rPr>
            <w:fldChar w:fldCharType="separate"/>
          </w:r>
          <w:r>
            <w:rPr>
              <w:color w:val="auto"/>
            </w:rPr>
            <w:t>350</w:t>
          </w:r>
          <w:r>
            <w:rPr>
              <w:rFonts w:hint="eastAsia"/>
              <w:color w:val="auto"/>
            </w:rPr>
            <w:fldChar w:fldCharType="end"/>
          </w:r>
          <w:r>
            <w:rPr>
              <w:rFonts w:hint="eastAsia"/>
              <w:color w:val="auto"/>
            </w:rPr>
            <w:fldChar w:fldCharType="end"/>
          </w:r>
        </w:p>
        <w:p w14:paraId="2358761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"_Toc225216871" </w:instrText>
          </w:r>
          <w:r>
            <w:rPr>
              <w:color w:val="auto"/>
            </w:rPr>
            <w:fldChar w:fldCharType="separate"/>
          </w:r>
          <w:r>
            <w:rPr>
              <w:rStyle w:val="29"/>
              <w:rFonts w:hint="eastAsia"/>
              <w:color w:val="auto"/>
            </w:rPr>
            <w:t>7.2.5</w:t>
          </w:r>
          <w:r>
            <w:rPr>
              <w:rFonts w:hint="eastAsia" w:asciiTheme="minorHAnsi" w:hAnsiTheme="minorHAnsi" w:eastAsiaTheme="minorEastAsia"/>
              <w:color w:val="auto"/>
              <w:sz w:val="22"/>
              <w:szCs w:val="24"/>
              <w14:ligatures w14:val="standardContextual"/>
            </w:rPr>
            <w:tab/>
          </w:r>
          <w:r>
            <w:rPr>
              <w:rStyle w:val="29"/>
              <w:rFonts w:hint="eastAsia"/>
              <w:color w:val="auto"/>
            </w:rPr>
            <w:t>土壤污染防治措施及可行性分析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_Toc225216871 \h</w:instrText>
          </w:r>
          <w:r>
            <w:rPr>
              <w:rFonts w:hint="eastAsia"/>
              <w:color w:val="auto"/>
            </w:rPr>
            <w:instrText xml:space="preserve"> </w:instrText>
          </w:r>
          <w:r>
            <w:rPr>
              <w:rFonts w:hint="eastAsia"/>
              <w:color w:val="auto"/>
            </w:rPr>
            <w:fldChar w:fldCharType="separate"/>
          </w:r>
          <w:r>
            <w:rPr>
              <w:color w:val="auto"/>
            </w:rPr>
            <w:t>352</w:t>
          </w:r>
          <w:r>
            <w:rPr>
              <w:rFonts w:hint="eastAsia"/>
              <w:color w:val="auto"/>
            </w:rPr>
            <w:fldChar w:fldCharType="end"/>
          </w:r>
          <w:r>
            <w:rPr>
              <w:rFonts w:hint="eastAsia"/>
              <w:color w:val="auto"/>
            </w:rPr>
            <w:fldChar w:fldCharType="end"/>
          </w:r>
        </w:p>
        <w:p w14:paraId="13B6EBA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"_Toc225216872" </w:instrText>
          </w:r>
          <w:r>
            <w:rPr>
              <w:color w:val="auto"/>
            </w:rPr>
            <w:fldChar w:fldCharType="separate"/>
          </w:r>
          <w:r>
            <w:rPr>
              <w:rStyle w:val="29"/>
              <w:rFonts w:hint="eastAsia"/>
              <w:color w:val="auto"/>
            </w:rPr>
            <w:t>7.2.6</w:t>
          </w:r>
          <w:r>
            <w:rPr>
              <w:rFonts w:hint="eastAsia" w:asciiTheme="minorHAnsi" w:hAnsiTheme="minorHAnsi" w:eastAsiaTheme="minorEastAsia"/>
              <w:color w:val="auto"/>
              <w:sz w:val="22"/>
              <w:szCs w:val="24"/>
              <w14:ligatures w14:val="standardContextual"/>
            </w:rPr>
            <w:tab/>
          </w:r>
          <w:r>
            <w:rPr>
              <w:rStyle w:val="29"/>
              <w:rFonts w:hint="eastAsia"/>
              <w:color w:val="auto"/>
            </w:rPr>
            <w:t>环保投资估算</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_Toc225216872 \h</w:instrText>
          </w:r>
          <w:r>
            <w:rPr>
              <w:rFonts w:hint="eastAsia"/>
              <w:color w:val="auto"/>
            </w:rPr>
            <w:instrText xml:space="preserve"> </w:instrText>
          </w:r>
          <w:r>
            <w:rPr>
              <w:rFonts w:hint="eastAsia"/>
              <w:color w:val="auto"/>
            </w:rPr>
            <w:fldChar w:fldCharType="separate"/>
          </w:r>
          <w:r>
            <w:rPr>
              <w:color w:val="auto"/>
            </w:rPr>
            <w:t>352</w:t>
          </w:r>
          <w:r>
            <w:rPr>
              <w:rFonts w:hint="eastAsia"/>
              <w:color w:val="auto"/>
            </w:rPr>
            <w:fldChar w:fldCharType="end"/>
          </w:r>
          <w:r>
            <w:rPr>
              <w:rFonts w:hint="eastAsia"/>
              <w:color w:val="auto"/>
            </w:rPr>
            <w:fldChar w:fldCharType="end"/>
          </w:r>
        </w:p>
        <w:p w14:paraId="6B7A5DD2">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"_Toc225216873" </w:instrText>
          </w:r>
          <w:r>
            <w:rPr>
              <w:color w:val="auto"/>
            </w:rPr>
            <w:fldChar w:fldCharType="separate"/>
          </w:r>
          <w:r>
            <w:rPr>
              <w:rStyle w:val="29"/>
              <w:rFonts w:hint="eastAsia"/>
              <w:color w:val="auto"/>
              <w:lang w:val="zh-CN"/>
            </w:rPr>
            <w:t>8</w:t>
          </w:r>
          <w:r>
            <w:rPr>
              <w:rFonts w:hint="eastAsia" w:asciiTheme="minorHAnsi" w:hAnsiTheme="minorHAnsi" w:eastAsiaTheme="minorEastAsia"/>
              <w:color w:val="auto"/>
              <w:sz w:val="22"/>
              <w:szCs w:val="24"/>
              <w14:ligatures w14:val="standardContextual"/>
            </w:rPr>
            <w:tab/>
          </w:r>
          <w:r>
            <w:rPr>
              <w:rStyle w:val="29"/>
              <w:rFonts w:hint="eastAsia"/>
              <w:color w:val="auto"/>
              <w:lang w:val="zh-CN"/>
            </w:rPr>
            <w:t>环境影响经济损益分析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_Toc225216873 \h</w:instrText>
          </w:r>
          <w:r>
            <w:rPr>
              <w:rFonts w:hint="eastAsia"/>
              <w:color w:val="auto"/>
            </w:rPr>
            <w:instrText xml:space="preserve"> </w:instrText>
          </w:r>
          <w:r>
            <w:rPr>
              <w:rFonts w:hint="eastAsia"/>
              <w:color w:val="auto"/>
            </w:rPr>
            <w:fldChar w:fldCharType="separate"/>
          </w:r>
          <w:r>
            <w:rPr>
              <w:color w:val="auto"/>
            </w:rPr>
            <w:t>354</w:t>
          </w:r>
          <w:r>
            <w:rPr>
              <w:rFonts w:hint="eastAsia"/>
              <w:color w:val="auto"/>
            </w:rPr>
            <w:fldChar w:fldCharType="end"/>
          </w:r>
          <w:r>
            <w:rPr>
              <w:rFonts w:hint="eastAsia"/>
              <w:color w:val="auto"/>
            </w:rPr>
            <w:fldChar w:fldCharType="end"/>
          </w:r>
        </w:p>
        <w:p w14:paraId="506E356D">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"_Toc225216874" </w:instrText>
          </w:r>
          <w:r>
            <w:rPr>
              <w:color w:val="auto"/>
            </w:rPr>
            <w:fldChar w:fldCharType="separate"/>
          </w:r>
          <w:r>
            <w:rPr>
              <w:rStyle w:val="29"/>
              <w:rFonts w:hint="eastAsia"/>
              <w:color w:val="auto"/>
            </w:rPr>
            <w:t>8.1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分析方法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_Toc225216874 \h</w:instrText>
          </w:r>
          <w:r>
            <w:rPr>
              <w:rFonts w:hint="eastAsia"/>
              <w:color w:val="auto"/>
            </w:rPr>
            <w:instrText xml:space="preserve"> </w:instrText>
          </w:r>
          <w:r>
            <w:rPr>
              <w:rFonts w:hint="eastAsia"/>
              <w:color w:val="auto"/>
            </w:rPr>
            <w:fldChar w:fldCharType="separate"/>
          </w:r>
          <w:r>
            <w:rPr>
              <w:color w:val="auto"/>
            </w:rPr>
            <w:t>354</w:t>
          </w:r>
          <w:r>
            <w:rPr>
              <w:rFonts w:hint="eastAsia"/>
              <w:color w:val="auto"/>
            </w:rPr>
            <w:fldChar w:fldCharType="end"/>
          </w:r>
          <w:r>
            <w:rPr>
              <w:rFonts w:hint="eastAsia"/>
              <w:color w:val="auto"/>
            </w:rPr>
            <w:fldChar w:fldCharType="end"/>
          </w:r>
        </w:p>
        <w:p w14:paraId="2F04856B">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"_Toc225216875" </w:instrText>
          </w:r>
          <w:r>
            <w:rPr>
              <w:color w:val="auto"/>
            </w:rPr>
            <w:fldChar w:fldCharType="separate"/>
          </w:r>
          <w:r>
            <w:rPr>
              <w:rStyle w:val="29"/>
              <w:rFonts w:hint="eastAsia" w:cs="Times New Roman"/>
              <w:color w:val="auto"/>
              <w:lang w:val="zh-CN"/>
            </w:rPr>
            <w:t>8.2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环保投资</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_Toc225216875 \h</w:instrText>
          </w:r>
          <w:r>
            <w:rPr>
              <w:rFonts w:hint="eastAsia"/>
              <w:color w:val="auto"/>
            </w:rPr>
            <w:instrText xml:space="preserve"> </w:instrText>
          </w:r>
          <w:r>
            <w:rPr>
              <w:rFonts w:hint="eastAsia"/>
              <w:color w:val="auto"/>
            </w:rPr>
            <w:fldChar w:fldCharType="separate"/>
          </w:r>
          <w:r>
            <w:rPr>
              <w:color w:val="auto"/>
            </w:rPr>
            <w:t>354</w:t>
          </w:r>
          <w:r>
            <w:rPr>
              <w:rFonts w:hint="eastAsia"/>
              <w:color w:val="auto"/>
            </w:rPr>
            <w:fldChar w:fldCharType="end"/>
          </w:r>
          <w:r>
            <w:rPr>
              <w:rFonts w:hint="eastAsia"/>
              <w:color w:val="auto"/>
            </w:rPr>
            <w:fldChar w:fldCharType="end"/>
          </w:r>
        </w:p>
        <w:p w14:paraId="5B7F2626">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"_Toc225216876" </w:instrText>
          </w:r>
          <w:r>
            <w:rPr>
              <w:color w:val="auto"/>
            </w:rPr>
            <w:fldChar w:fldCharType="separate"/>
          </w:r>
          <w:r>
            <w:rPr>
              <w:rStyle w:val="29"/>
              <w:rFonts w:hint="eastAsia" w:cs="Times New Roman"/>
              <w:color w:val="auto"/>
              <w:lang w:val="zh-CN"/>
            </w:rPr>
            <w:t>8.2.1</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环境影响经济损益分析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_Toc225216876 \h</w:instrText>
          </w:r>
          <w:r>
            <w:rPr>
              <w:rFonts w:hint="eastAsia"/>
              <w:color w:val="auto"/>
            </w:rPr>
            <w:instrText xml:space="preserve"> </w:instrText>
          </w:r>
          <w:r>
            <w:rPr>
              <w:rFonts w:hint="eastAsia"/>
              <w:color w:val="auto"/>
            </w:rPr>
            <w:fldChar w:fldCharType="separate"/>
          </w:r>
          <w:r>
            <w:rPr>
              <w:color w:val="auto"/>
            </w:rPr>
            <w:t>354</w:t>
          </w:r>
          <w:r>
            <w:rPr>
              <w:rFonts w:hint="eastAsia"/>
              <w:color w:val="auto"/>
            </w:rPr>
            <w:fldChar w:fldCharType="end"/>
          </w:r>
          <w:r>
            <w:rPr>
              <w:rFonts w:hint="eastAsia"/>
              <w:color w:val="auto"/>
            </w:rPr>
            <w:fldChar w:fldCharType="end"/>
          </w:r>
        </w:p>
        <w:p w14:paraId="37E7563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"_Toc225216877" </w:instrText>
          </w:r>
          <w:r>
            <w:rPr>
              <w:color w:val="auto"/>
            </w:rPr>
            <w:fldChar w:fldCharType="separate"/>
          </w:r>
          <w:r>
            <w:rPr>
              <w:rStyle w:val="29"/>
              <w:rFonts w:hint="eastAsia" w:cs="Times New Roman"/>
              <w:color w:val="auto"/>
              <w:lang w:val="zh-CN"/>
            </w:rPr>
            <w:t>8.2.2</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环境保护经济效益</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_Toc225216877 \h</w:instrText>
          </w:r>
          <w:r>
            <w:rPr>
              <w:rFonts w:hint="eastAsia"/>
              <w:color w:val="auto"/>
            </w:rPr>
            <w:instrText xml:space="preserve"> </w:instrText>
          </w:r>
          <w:r>
            <w:rPr>
              <w:rFonts w:hint="eastAsia"/>
              <w:color w:val="auto"/>
            </w:rPr>
            <w:fldChar w:fldCharType="separate"/>
          </w:r>
          <w:r>
            <w:rPr>
              <w:color w:val="auto"/>
            </w:rPr>
            <w:t>355</w:t>
          </w:r>
          <w:r>
            <w:rPr>
              <w:rFonts w:hint="eastAsia"/>
              <w:color w:val="auto"/>
            </w:rPr>
            <w:fldChar w:fldCharType="end"/>
          </w:r>
          <w:r>
            <w:rPr>
              <w:rFonts w:hint="eastAsia"/>
              <w:color w:val="auto"/>
            </w:rPr>
            <w:fldChar w:fldCharType="end"/>
          </w:r>
        </w:p>
        <w:p w14:paraId="40E2A69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"_Toc225216878" </w:instrText>
          </w:r>
          <w:r>
            <w:rPr>
              <w:color w:val="auto"/>
            </w:rPr>
            <w:fldChar w:fldCharType="separate"/>
          </w:r>
          <w:r>
            <w:rPr>
              <w:rStyle w:val="29"/>
              <w:rFonts w:hint="eastAsia" w:cs="Times New Roman"/>
              <w:color w:val="auto"/>
              <w:lang w:val="zh-CN"/>
            </w:rPr>
            <w:t>8.2.3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环保治理费用经济效益</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_Toc225216878 \h</w:instrText>
          </w:r>
          <w:r>
            <w:rPr>
              <w:rFonts w:hint="eastAsia"/>
              <w:color w:val="auto"/>
            </w:rPr>
            <w:instrText xml:space="preserve"> </w:instrText>
          </w:r>
          <w:r>
            <w:rPr>
              <w:rFonts w:hint="eastAsia"/>
              <w:color w:val="auto"/>
            </w:rPr>
            <w:fldChar w:fldCharType="separate"/>
          </w:r>
          <w:r>
            <w:rPr>
              <w:color w:val="auto"/>
            </w:rPr>
            <w:t>355</w:t>
          </w:r>
          <w:r>
            <w:rPr>
              <w:rFonts w:hint="eastAsia"/>
              <w:color w:val="auto"/>
            </w:rPr>
            <w:fldChar w:fldCharType="end"/>
          </w:r>
          <w:r>
            <w:rPr>
              <w:rFonts w:hint="eastAsia"/>
              <w:color w:val="auto"/>
            </w:rPr>
            <w:fldChar w:fldCharType="end"/>
          </w:r>
        </w:p>
        <w:p w14:paraId="521CB97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"_Toc225216879" </w:instrText>
          </w:r>
          <w:r>
            <w:rPr>
              <w:color w:val="auto"/>
            </w:rPr>
            <w:fldChar w:fldCharType="separate"/>
          </w:r>
          <w:r>
            <w:rPr>
              <w:rStyle w:val="29"/>
              <w:rFonts w:hint="eastAsia" w:cs="Times New Roman"/>
              <w:color w:val="auto"/>
              <w:lang w:val="zh-CN"/>
            </w:rPr>
            <w:t>8.3</w:t>
          </w:r>
          <w:r>
            <w:rPr>
              <w:rFonts w:hint="eastAsia" w:asciiTheme="minorHAnsi" w:hAnsiTheme="minorHAnsi" w:eastAsiaTheme="minorEastAsia"/>
              <w:color w:val="auto"/>
              <w:sz w:val="22"/>
              <w:szCs w:val="24"/>
              <w14:ligatures w14:val="standardContextual"/>
            </w:rPr>
            <w:tab/>
          </w:r>
          <w:r>
            <w:rPr>
              <w:rStyle w:val="29"/>
              <w:rFonts w:hint="eastAsia" w:cs="Times New Roman"/>
              <w:color w:val="auto"/>
              <w:lang w:val="zh-CN"/>
            </w:rPr>
            <w:t>小结</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_Toc225216879 \h</w:instrText>
          </w:r>
          <w:r>
            <w:rPr>
              <w:rFonts w:hint="eastAsia"/>
              <w:color w:val="auto"/>
            </w:rPr>
            <w:instrText xml:space="preserve"> </w:instrText>
          </w:r>
          <w:r>
            <w:rPr>
              <w:rFonts w:hint="eastAsia"/>
              <w:color w:val="auto"/>
            </w:rPr>
            <w:fldChar w:fldCharType="separate"/>
          </w:r>
          <w:r>
            <w:rPr>
              <w:color w:val="auto"/>
            </w:rPr>
            <w:t>356</w:t>
          </w:r>
          <w:r>
            <w:rPr>
              <w:rFonts w:hint="eastAsia"/>
              <w:color w:val="auto"/>
            </w:rPr>
            <w:fldChar w:fldCharType="end"/>
          </w:r>
          <w:r>
            <w:rPr>
              <w:rFonts w:hint="eastAsia"/>
              <w:color w:val="auto"/>
            </w:rPr>
            <w:fldChar w:fldCharType="end"/>
          </w:r>
        </w:p>
        <w:p w14:paraId="33037A7F">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"_Toc225216880" </w:instrText>
          </w:r>
          <w:r>
            <w:rPr>
              <w:color w:val="auto"/>
            </w:rPr>
            <w:fldChar w:fldCharType="separate"/>
          </w:r>
          <w:r>
            <w:rPr>
              <w:rStyle w:val="29"/>
              <w:rFonts w:hint="eastAsia"/>
              <w:color w:val="auto"/>
              <w:lang w:val="zh-CN"/>
            </w:rPr>
            <w:t>9</w:t>
          </w:r>
          <w:r>
            <w:rPr>
              <w:rFonts w:hint="eastAsia" w:asciiTheme="minorHAnsi" w:hAnsiTheme="minorHAnsi" w:eastAsiaTheme="minorEastAsia"/>
              <w:color w:val="auto"/>
              <w:sz w:val="22"/>
              <w:szCs w:val="24"/>
              <w14:ligatures w14:val="standardContextual"/>
            </w:rPr>
            <w:tab/>
          </w:r>
          <w:r>
            <w:rPr>
              <w:rStyle w:val="29"/>
              <w:rFonts w:hint="eastAsia"/>
              <w:color w:val="auto"/>
            </w:rPr>
            <w:t>环境管理与监测计划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_Toc225216880 \h</w:instrText>
          </w:r>
          <w:r>
            <w:rPr>
              <w:rFonts w:hint="eastAsia"/>
              <w:color w:val="auto"/>
            </w:rPr>
            <w:instrText xml:space="preserve"> </w:instrText>
          </w:r>
          <w:r>
            <w:rPr>
              <w:rFonts w:hint="eastAsia"/>
              <w:color w:val="auto"/>
            </w:rPr>
            <w:fldChar w:fldCharType="separate"/>
          </w:r>
          <w:r>
            <w:rPr>
              <w:color w:val="auto"/>
            </w:rPr>
            <w:t>357</w:t>
          </w:r>
          <w:r>
            <w:rPr>
              <w:rFonts w:hint="eastAsia"/>
              <w:color w:val="auto"/>
            </w:rPr>
            <w:fldChar w:fldCharType="end"/>
          </w:r>
          <w:r>
            <w:rPr>
              <w:rFonts w:hint="eastAsia"/>
              <w:color w:val="auto"/>
            </w:rPr>
            <w:fldChar w:fldCharType="end"/>
          </w:r>
        </w:p>
        <w:p w14:paraId="277F2E6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"_Toc225216881" </w:instrText>
          </w:r>
          <w:r>
            <w:rPr>
              <w:color w:val="auto"/>
            </w:rPr>
            <w:fldChar w:fldCharType="separate"/>
          </w:r>
          <w:r>
            <w:rPr>
              <w:rStyle w:val="29"/>
              <w:rFonts w:hint="eastAsia"/>
              <w:color w:val="auto"/>
            </w:rPr>
            <w:t>9.1</w:t>
          </w:r>
          <w:r>
            <w:rPr>
              <w:rFonts w:hint="eastAsia" w:asciiTheme="minorHAnsi" w:hAnsiTheme="minorHAnsi" w:eastAsiaTheme="minorEastAsia"/>
              <w:color w:val="auto"/>
              <w:sz w:val="22"/>
              <w:szCs w:val="24"/>
              <w14:ligatures w14:val="standardContextual"/>
            </w:rPr>
            <w:tab/>
          </w:r>
          <w:r>
            <w:rPr>
              <w:rStyle w:val="29"/>
              <w:rFonts w:hint="eastAsia"/>
              <w:color w:val="auto"/>
            </w:rPr>
            <w:t>环境管理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_Toc225216881 \h</w:instrText>
          </w:r>
          <w:r>
            <w:rPr>
              <w:rFonts w:hint="eastAsia"/>
              <w:color w:val="auto"/>
            </w:rPr>
            <w:instrText xml:space="preserve"> </w:instrText>
          </w:r>
          <w:r>
            <w:rPr>
              <w:rFonts w:hint="eastAsia"/>
              <w:color w:val="auto"/>
            </w:rPr>
            <w:fldChar w:fldCharType="separate"/>
          </w:r>
          <w:r>
            <w:rPr>
              <w:color w:val="auto"/>
            </w:rPr>
            <w:t>357</w:t>
          </w:r>
          <w:r>
            <w:rPr>
              <w:rFonts w:hint="eastAsia"/>
              <w:color w:val="auto"/>
            </w:rPr>
            <w:fldChar w:fldCharType="end"/>
          </w:r>
          <w:r>
            <w:rPr>
              <w:rFonts w:hint="eastAsia"/>
              <w:color w:val="auto"/>
            </w:rPr>
            <w:fldChar w:fldCharType="end"/>
          </w:r>
        </w:p>
        <w:p w14:paraId="5525191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"_Toc225216882" </w:instrText>
          </w:r>
          <w:r>
            <w:rPr>
              <w:color w:val="auto"/>
            </w:rPr>
            <w:fldChar w:fldCharType="separate"/>
          </w:r>
          <w:r>
            <w:rPr>
              <w:rStyle w:val="29"/>
              <w:rFonts w:hint="eastAsia"/>
              <w:color w:val="auto"/>
            </w:rPr>
            <w:t>9.1.1</w:t>
          </w:r>
          <w:r>
            <w:rPr>
              <w:rFonts w:hint="eastAsia" w:asciiTheme="minorHAnsi" w:hAnsiTheme="minorHAnsi" w:eastAsiaTheme="minorEastAsia"/>
              <w:color w:val="auto"/>
              <w:sz w:val="22"/>
              <w:szCs w:val="24"/>
              <w14:ligatures w14:val="standardContextual"/>
            </w:rPr>
            <w:tab/>
          </w:r>
          <w:r>
            <w:rPr>
              <w:rStyle w:val="29"/>
              <w:rFonts w:hint="eastAsia"/>
              <w:color w:val="auto"/>
            </w:rPr>
            <w:t>环境管理要求</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_Toc225216882 \h</w:instrText>
          </w:r>
          <w:r>
            <w:rPr>
              <w:rFonts w:hint="eastAsia"/>
              <w:color w:val="auto"/>
            </w:rPr>
            <w:instrText xml:space="preserve"> </w:instrText>
          </w:r>
          <w:r>
            <w:rPr>
              <w:rFonts w:hint="eastAsia"/>
              <w:color w:val="auto"/>
            </w:rPr>
            <w:fldChar w:fldCharType="separate"/>
          </w:r>
          <w:r>
            <w:rPr>
              <w:color w:val="auto"/>
            </w:rPr>
            <w:t>357</w:t>
          </w:r>
          <w:r>
            <w:rPr>
              <w:rFonts w:hint="eastAsia"/>
              <w:color w:val="auto"/>
            </w:rPr>
            <w:fldChar w:fldCharType="end"/>
          </w:r>
          <w:r>
            <w:rPr>
              <w:rFonts w:hint="eastAsia"/>
              <w:color w:val="auto"/>
            </w:rPr>
            <w:fldChar w:fldCharType="end"/>
          </w:r>
        </w:p>
        <w:p w14:paraId="0B3F524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"_Toc225216883" </w:instrText>
          </w:r>
          <w:r>
            <w:rPr>
              <w:color w:val="auto"/>
            </w:rPr>
            <w:fldChar w:fldCharType="separate"/>
          </w:r>
          <w:r>
            <w:rPr>
              <w:rStyle w:val="29"/>
              <w:rFonts w:hint="eastAsia"/>
              <w:color w:val="auto"/>
            </w:rPr>
            <w:t>9.1.2</w:t>
          </w:r>
          <w:r>
            <w:rPr>
              <w:rFonts w:hint="eastAsia" w:asciiTheme="minorHAnsi" w:hAnsiTheme="minorHAnsi" w:eastAsiaTheme="minorEastAsia"/>
              <w:color w:val="auto"/>
              <w:sz w:val="22"/>
              <w:szCs w:val="24"/>
              <w14:ligatures w14:val="standardContextual"/>
            </w:rPr>
            <w:tab/>
          </w:r>
          <w:r>
            <w:rPr>
              <w:rStyle w:val="29"/>
              <w:rFonts w:hint="eastAsia"/>
              <w:color w:val="auto"/>
            </w:rPr>
            <w:t>环境管理体系及管理计划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_Toc225216883 \h</w:instrText>
          </w:r>
          <w:r>
            <w:rPr>
              <w:rFonts w:hint="eastAsia"/>
              <w:color w:val="auto"/>
            </w:rPr>
            <w:instrText xml:space="preserve"> </w:instrText>
          </w:r>
          <w:r>
            <w:rPr>
              <w:rFonts w:hint="eastAsia"/>
              <w:color w:val="auto"/>
            </w:rPr>
            <w:fldChar w:fldCharType="separate"/>
          </w:r>
          <w:r>
            <w:rPr>
              <w:color w:val="auto"/>
            </w:rPr>
            <w:t>362</w:t>
          </w:r>
          <w:r>
            <w:rPr>
              <w:rFonts w:hint="eastAsia"/>
              <w:color w:val="auto"/>
            </w:rPr>
            <w:fldChar w:fldCharType="end"/>
          </w:r>
          <w:r>
            <w:rPr>
              <w:rFonts w:hint="eastAsia"/>
              <w:color w:val="auto"/>
            </w:rPr>
            <w:fldChar w:fldCharType="end"/>
          </w:r>
        </w:p>
        <w:p w14:paraId="1743607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"_Toc225216884" </w:instrText>
          </w:r>
          <w:r>
            <w:rPr>
              <w:color w:val="auto"/>
            </w:rPr>
            <w:fldChar w:fldCharType="separate"/>
          </w:r>
          <w:r>
            <w:rPr>
              <w:rStyle w:val="29"/>
              <w:rFonts w:hint="eastAsia"/>
              <w:color w:val="auto"/>
            </w:rPr>
            <w:t>9.1.3</w:t>
          </w:r>
          <w:r>
            <w:rPr>
              <w:rFonts w:hint="eastAsia" w:asciiTheme="minorHAnsi" w:hAnsiTheme="minorHAnsi" w:eastAsiaTheme="minorEastAsia"/>
              <w:color w:val="auto"/>
              <w:sz w:val="22"/>
              <w:szCs w:val="24"/>
              <w14:ligatures w14:val="standardContextual"/>
            </w:rPr>
            <w:tab/>
          </w:r>
          <w:r>
            <w:rPr>
              <w:rStyle w:val="29"/>
              <w:rFonts w:hint="eastAsia"/>
              <w:color w:val="auto"/>
            </w:rPr>
            <w:t>项目运营期环境管理计划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_Toc225216884 \h</w:instrText>
          </w:r>
          <w:r>
            <w:rPr>
              <w:rFonts w:hint="eastAsia"/>
              <w:color w:val="auto"/>
            </w:rPr>
            <w:instrText xml:space="preserve"> </w:instrText>
          </w:r>
          <w:r>
            <w:rPr>
              <w:rFonts w:hint="eastAsia"/>
              <w:color w:val="auto"/>
            </w:rPr>
            <w:fldChar w:fldCharType="separate"/>
          </w:r>
          <w:r>
            <w:rPr>
              <w:color w:val="auto"/>
            </w:rPr>
            <w:t>363</w:t>
          </w:r>
          <w:r>
            <w:rPr>
              <w:rFonts w:hint="eastAsia"/>
              <w:color w:val="auto"/>
            </w:rPr>
            <w:fldChar w:fldCharType="end"/>
          </w:r>
          <w:r>
            <w:rPr>
              <w:rFonts w:hint="eastAsia"/>
              <w:color w:val="auto"/>
            </w:rPr>
            <w:fldChar w:fldCharType="end"/>
          </w:r>
        </w:p>
        <w:p w14:paraId="0ED9127F">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"_Toc225216885" </w:instrText>
          </w:r>
          <w:r>
            <w:rPr>
              <w:color w:val="auto"/>
            </w:rPr>
            <w:fldChar w:fldCharType="separate"/>
          </w:r>
          <w:r>
            <w:rPr>
              <w:rStyle w:val="29"/>
              <w:rFonts w:hint="eastAsia"/>
              <w:color w:val="auto"/>
            </w:rPr>
            <w:t>9.2</w:t>
          </w:r>
          <w:r>
            <w:rPr>
              <w:rFonts w:hint="eastAsia" w:asciiTheme="minorHAnsi" w:hAnsiTheme="minorHAnsi" w:eastAsiaTheme="minorEastAsia"/>
              <w:color w:val="auto"/>
              <w:sz w:val="22"/>
              <w:szCs w:val="24"/>
              <w14:ligatures w14:val="standardContextual"/>
            </w:rPr>
            <w:tab/>
          </w:r>
          <w:r>
            <w:rPr>
              <w:rStyle w:val="29"/>
              <w:rFonts w:hint="eastAsia"/>
              <w:color w:val="auto"/>
            </w:rPr>
            <w:t>污染物排放清单及管理措施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_Toc225216885 \h</w:instrText>
          </w:r>
          <w:r>
            <w:rPr>
              <w:rFonts w:hint="eastAsia"/>
              <w:color w:val="auto"/>
            </w:rPr>
            <w:instrText xml:space="preserve"> </w:instrText>
          </w:r>
          <w:r>
            <w:rPr>
              <w:rFonts w:hint="eastAsia"/>
              <w:color w:val="auto"/>
            </w:rPr>
            <w:fldChar w:fldCharType="separate"/>
          </w:r>
          <w:r>
            <w:rPr>
              <w:color w:val="auto"/>
            </w:rPr>
            <w:t>365</w:t>
          </w:r>
          <w:r>
            <w:rPr>
              <w:rFonts w:hint="eastAsia"/>
              <w:color w:val="auto"/>
            </w:rPr>
            <w:fldChar w:fldCharType="end"/>
          </w:r>
          <w:r>
            <w:rPr>
              <w:rFonts w:hint="eastAsia"/>
              <w:color w:val="auto"/>
            </w:rPr>
            <w:fldChar w:fldCharType="end"/>
          </w:r>
        </w:p>
        <w:p w14:paraId="38A75460">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"_Toc225216886" </w:instrText>
          </w:r>
          <w:r>
            <w:rPr>
              <w:color w:val="auto"/>
            </w:rPr>
            <w:fldChar w:fldCharType="separate"/>
          </w:r>
          <w:r>
            <w:rPr>
              <w:rStyle w:val="29"/>
              <w:rFonts w:hint="eastAsia"/>
              <w:color w:val="auto"/>
            </w:rPr>
            <w:t>9.2.1</w:t>
          </w:r>
          <w:r>
            <w:rPr>
              <w:rFonts w:hint="eastAsia" w:asciiTheme="minorHAnsi" w:hAnsiTheme="minorHAnsi" w:eastAsiaTheme="minorEastAsia"/>
              <w:color w:val="auto"/>
              <w:sz w:val="22"/>
              <w:szCs w:val="24"/>
              <w14:ligatures w14:val="standardContextual"/>
            </w:rPr>
            <w:tab/>
          </w:r>
          <w:r>
            <w:rPr>
              <w:rStyle w:val="29"/>
              <w:rFonts w:hint="eastAsia"/>
              <w:color w:val="auto"/>
            </w:rPr>
            <w:t>污染物排放清单</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_Toc225216886 \h</w:instrText>
          </w:r>
          <w:r>
            <w:rPr>
              <w:rFonts w:hint="eastAsia"/>
              <w:color w:val="auto"/>
            </w:rPr>
            <w:instrText xml:space="preserve"> </w:instrText>
          </w:r>
          <w:r>
            <w:rPr>
              <w:rFonts w:hint="eastAsia"/>
              <w:color w:val="auto"/>
            </w:rPr>
            <w:fldChar w:fldCharType="separate"/>
          </w:r>
          <w:r>
            <w:rPr>
              <w:color w:val="auto"/>
            </w:rPr>
            <w:t>365</w:t>
          </w:r>
          <w:r>
            <w:rPr>
              <w:rFonts w:hint="eastAsia"/>
              <w:color w:val="auto"/>
            </w:rPr>
            <w:fldChar w:fldCharType="end"/>
          </w:r>
          <w:r>
            <w:rPr>
              <w:rFonts w:hint="eastAsia"/>
              <w:color w:val="auto"/>
            </w:rPr>
            <w:fldChar w:fldCharType="end"/>
          </w:r>
        </w:p>
        <w:p w14:paraId="065CB03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"_Toc225216887" </w:instrText>
          </w:r>
          <w:r>
            <w:rPr>
              <w:color w:val="auto"/>
            </w:rPr>
            <w:fldChar w:fldCharType="separate"/>
          </w:r>
          <w:r>
            <w:rPr>
              <w:rStyle w:val="29"/>
              <w:rFonts w:hint="eastAsia"/>
              <w:color w:val="auto"/>
            </w:rPr>
            <w:t>9.2.2</w:t>
          </w:r>
          <w:r>
            <w:rPr>
              <w:rFonts w:hint="eastAsia" w:asciiTheme="minorHAnsi" w:hAnsiTheme="minorHAnsi" w:eastAsiaTheme="minorEastAsia"/>
              <w:color w:val="auto"/>
              <w:sz w:val="22"/>
              <w:szCs w:val="24"/>
              <w14:ligatures w14:val="standardContextual"/>
            </w:rPr>
            <w:tab/>
          </w:r>
          <w:r>
            <w:rPr>
              <w:rStyle w:val="29"/>
              <w:rFonts w:hint="eastAsia"/>
              <w:color w:val="auto"/>
            </w:rPr>
            <w:t>排污口规范化管理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_Toc225216887 \h</w:instrText>
          </w:r>
          <w:r>
            <w:rPr>
              <w:rFonts w:hint="eastAsia"/>
              <w:color w:val="auto"/>
            </w:rPr>
            <w:instrText xml:space="preserve"> </w:instrText>
          </w:r>
          <w:r>
            <w:rPr>
              <w:rFonts w:hint="eastAsia"/>
              <w:color w:val="auto"/>
            </w:rPr>
            <w:fldChar w:fldCharType="separate"/>
          </w:r>
          <w:r>
            <w:rPr>
              <w:color w:val="auto"/>
            </w:rPr>
            <w:t>370</w:t>
          </w:r>
          <w:r>
            <w:rPr>
              <w:rFonts w:hint="eastAsia"/>
              <w:color w:val="auto"/>
            </w:rPr>
            <w:fldChar w:fldCharType="end"/>
          </w:r>
          <w:r>
            <w:rPr>
              <w:rFonts w:hint="eastAsia"/>
              <w:color w:val="auto"/>
            </w:rPr>
            <w:fldChar w:fldCharType="end"/>
          </w:r>
        </w:p>
        <w:p w14:paraId="2CE19A9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"_Toc225216888" </w:instrText>
          </w:r>
          <w:r>
            <w:rPr>
              <w:color w:val="auto"/>
            </w:rPr>
            <w:fldChar w:fldCharType="separate"/>
          </w:r>
          <w:r>
            <w:rPr>
              <w:rStyle w:val="29"/>
              <w:rFonts w:hint="eastAsia"/>
              <w:color w:val="auto"/>
            </w:rPr>
            <w:t>9.2.3</w:t>
          </w:r>
          <w:r>
            <w:rPr>
              <w:rFonts w:hint="eastAsia" w:asciiTheme="minorHAnsi" w:hAnsiTheme="minorHAnsi" w:eastAsiaTheme="minorEastAsia"/>
              <w:color w:val="auto"/>
              <w:sz w:val="22"/>
              <w:szCs w:val="24"/>
              <w14:ligatures w14:val="standardContextual"/>
            </w:rPr>
            <w:tab/>
          </w:r>
          <w:r>
            <w:rPr>
              <w:rStyle w:val="29"/>
              <w:rFonts w:hint="eastAsia"/>
              <w:color w:val="auto"/>
            </w:rPr>
            <w:t>排污许可证申请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_Toc225216888 \h</w:instrText>
          </w:r>
          <w:r>
            <w:rPr>
              <w:rFonts w:hint="eastAsia"/>
              <w:color w:val="auto"/>
            </w:rPr>
            <w:instrText xml:space="preserve"> </w:instrText>
          </w:r>
          <w:r>
            <w:rPr>
              <w:rFonts w:hint="eastAsia"/>
              <w:color w:val="auto"/>
            </w:rPr>
            <w:fldChar w:fldCharType="separate"/>
          </w:r>
          <w:r>
            <w:rPr>
              <w:color w:val="auto"/>
            </w:rPr>
            <w:t>370</w:t>
          </w:r>
          <w:r>
            <w:rPr>
              <w:rFonts w:hint="eastAsia"/>
              <w:color w:val="auto"/>
            </w:rPr>
            <w:fldChar w:fldCharType="end"/>
          </w:r>
          <w:r>
            <w:rPr>
              <w:rFonts w:hint="eastAsia"/>
              <w:color w:val="auto"/>
            </w:rPr>
            <w:fldChar w:fldCharType="end"/>
          </w:r>
        </w:p>
        <w:p w14:paraId="65F4F79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"_Toc225216889" </w:instrText>
          </w:r>
          <w:r>
            <w:rPr>
              <w:color w:val="auto"/>
            </w:rPr>
            <w:fldChar w:fldCharType="separate"/>
          </w:r>
          <w:r>
            <w:rPr>
              <w:rStyle w:val="29"/>
              <w:rFonts w:hint="eastAsia"/>
              <w:color w:val="auto"/>
            </w:rPr>
            <w:t>9.2.4</w:t>
          </w:r>
          <w:r>
            <w:rPr>
              <w:rFonts w:hint="eastAsia" w:asciiTheme="minorHAnsi" w:hAnsiTheme="minorHAnsi" w:eastAsiaTheme="minorEastAsia"/>
              <w:color w:val="auto"/>
              <w:sz w:val="22"/>
              <w:szCs w:val="24"/>
              <w14:ligatures w14:val="standardContextual"/>
            </w:rPr>
            <w:tab/>
          </w:r>
          <w:r>
            <w:rPr>
              <w:rStyle w:val="29"/>
              <w:rFonts w:hint="eastAsia"/>
              <w:color w:val="auto"/>
            </w:rPr>
            <w:t>排污许可证管理</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_Toc225216889 \h</w:instrText>
          </w:r>
          <w:r>
            <w:rPr>
              <w:rFonts w:hint="eastAsia"/>
              <w:color w:val="auto"/>
            </w:rPr>
            <w:instrText xml:space="preserve"> </w:instrText>
          </w:r>
          <w:r>
            <w:rPr>
              <w:rFonts w:hint="eastAsia"/>
              <w:color w:val="auto"/>
            </w:rPr>
            <w:fldChar w:fldCharType="separate"/>
          </w:r>
          <w:r>
            <w:rPr>
              <w:color w:val="auto"/>
            </w:rPr>
            <w:t>370</w:t>
          </w:r>
          <w:r>
            <w:rPr>
              <w:rFonts w:hint="eastAsia"/>
              <w:color w:val="auto"/>
            </w:rPr>
            <w:fldChar w:fldCharType="end"/>
          </w:r>
          <w:r>
            <w:rPr>
              <w:rFonts w:hint="eastAsia"/>
              <w:color w:val="auto"/>
            </w:rPr>
            <w:fldChar w:fldCharType="end"/>
          </w:r>
        </w:p>
        <w:p w14:paraId="01CC0A9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"_Toc225216890" </w:instrText>
          </w:r>
          <w:r>
            <w:rPr>
              <w:color w:val="auto"/>
            </w:rPr>
            <w:fldChar w:fldCharType="separate"/>
          </w:r>
          <w:r>
            <w:rPr>
              <w:rStyle w:val="29"/>
              <w:rFonts w:hint="eastAsia"/>
              <w:color w:val="auto"/>
            </w:rPr>
            <w:t>9.2.5</w:t>
          </w:r>
          <w:r>
            <w:rPr>
              <w:rFonts w:hint="eastAsia" w:asciiTheme="minorHAnsi" w:hAnsiTheme="minorHAnsi" w:eastAsiaTheme="minorEastAsia"/>
              <w:color w:val="auto"/>
              <w:sz w:val="22"/>
              <w:szCs w:val="24"/>
              <w14:ligatures w14:val="standardContextual"/>
            </w:rPr>
            <w:tab/>
          </w:r>
          <w:r>
            <w:rPr>
              <w:rStyle w:val="29"/>
              <w:rFonts w:hint="eastAsia"/>
              <w:color w:val="auto"/>
            </w:rPr>
            <w:t>排污许可申请</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_Toc225216890 \h</w:instrText>
          </w:r>
          <w:r>
            <w:rPr>
              <w:rFonts w:hint="eastAsia"/>
              <w:color w:val="auto"/>
            </w:rPr>
            <w:instrText xml:space="preserve"> </w:instrText>
          </w:r>
          <w:r>
            <w:rPr>
              <w:rFonts w:hint="eastAsia"/>
              <w:color w:val="auto"/>
            </w:rPr>
            <w:fldChar w:fldCharType="separate"/>
          </w:r>
          <w:r>
            <w:rPr>
              <w:color w:val="auto"/>
            </w:rPr>
            <w:t>371</w:t>
          </w:r>
          <w:r>
            <w:rPr>
              <w:rFonts w:hint="eastAsia"/>
              <w:color w:val="auto"/>
            </w:rPr>
            <w:fldChar w:fldCharType="end"/>
          </w:r>
          <w:r>
            <w:rPr>
              <w:rFonts w:hint="eastAsia"/>
              <w:color w:val="auto"/>
            </w:rPr>
            <w:fldChar w:fldCharType="end"/>
          </w:r>
        </w:p>
        <w:p w14:paraId="0BBE2FED">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"_Toc225216891" </w:instrText>
          </w:r>
          <w:r>
            <w:rPr>
              <w:color w:val="auto"/>
            </w:rPr>
            <w:fldChar w:fldCharType="separate"/>
          </w:r>
          <w:r>
            <w:rPr>
              <w:rStyle w:val="29"/>
              <w:rFonts w:hint="eastAsia"/>
              <w:color w:val="auto"/>
            </w:rPr>
            <w:t>9.2.6</w:t>
          </w:r>
          <w:r>
            <w:rPr>
              <w:rFonts w:hint="eastAsia" w:asciiTheme="minorHAnsi" w:hAnsiTheme="minorHAnsi" w:eastAsiaTheme="minorEastAsia"/>
              <w:color w:val="auto"/>
              <w:sz w:val="22"/>
              <w:szCs w:val="24"/>
              <w14:ligatures w14:val="standardContextual"/>
            </w:rPr>
            <w:tab/>
          </w:r>
          <w:r>
            <w:rPr>
              <w:rStyle w:val="29"/>
              <w:rFonts w:hint="eastAsia"/>
              <w:color w:val="auto"/>
            </w:rPr>
            <w:t>社会公开信息内容</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_Toc225216891 \h</w:instrText>
          </w:r>
          <w:r>
            <w:rPr>
              <w:rFonts w:hint="eastAsia"/>
              <w:color w:val="auto"/>
            </w:rPr>
            <w:instrText xml:space="preserve"> </w:instrText>
          </w:r>
          <w:r>
            <w:rPr>
              <w:rFonts w:hint="eastAsia"/>
              <w:color w:val="auto"/>
            </w:rPr>
            <w:fldChar w:fldCharType="separate"/>
          </w:r>
          <w:r>
            <w:rPr>
              <w:color w:val="auto"/>
            </w:rPr>
            <w:t>372</w:t>
          </w:r>
          <w:r>
            <w:rPr>
              <w:rFonts w:hint="eastAsia"/>
              <w:color w:val="auto"/>
            </w:rPr>
            <w:fldChar w:fldCharType="end"/>
          </w:r>
          <w:r>
            <w:rPr>
              <w:rFonts w:hint="eastAsia"/>
              <w:color w:val="auto"/>
            </w:rPr>
            <w:fldChar w:fldCharType="end"/>
          </w:r>
        </w:p>
        <w:p w14:paraId="1A414303">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"_Toc225216892" </w:instrText>
          </w:r>
          <w:r>
            <w:rPr>
              <w:color w:val="auto"/>
            </w:rPr>
            <w:fldChar w:fldCharType="separate"/>
          </w:r>
          <w:r>
            <w:rPr>
              <w:rStyle w:val="29"/>
              <w:rFonts w:hint="eastAsia"/>
              <w:color w:val="auto"/>
            </w:rPr>
            <w:t>9.3</w:t>
          </w:r>
          <w:r>
            <w:rPr>
              <w:rFonts w:hint="eastAsia" w:asciiTheme="minorHAnsi" w:hAnsiTheme="minorHAnsi" w:eastAsiaTheme="minorEastAsia"/>
              <w:color w:val="auto"/>
              <w:sz w:val="22"/>
              <w:szCs w:val="24"/>
              <w14:ligatures w14:val="standardContextual"/>
            </w:rPr>
            <w:tab/>
          </w:r>
          <w:r>
            <w:rPr>
              <w:rStyle w:val="29"/>
              <w:rFonts w:hint="eastAsia"/>
              <w:color w:val="auto"/>
            </w:rPr>
            <w:t>环境监测计划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_Toc225216892 \h</w:instrText>
          </w:r>
          <w:r>
            <w:rPr>
              <w:rFonts w:hint="eastAsia"/>
              <w:color w:val="auto"/>
            </w:rPr>
            <w:instrText xml:space="preserve"> </w:instrText>
          </w:r>
          <w:r>
            <w:rPr>
              <w:rFonts w:hint="eastAsia"/>
              <w:color w:val="auto"/>
            </w:rPr>
            <w:fldChar w:fldCharType="separate"/>
          </w:r>
          <w:r>
            <w:rPr>
              <w:color w:val="auto"/>
            </w:rPr>
            <w:t>372</w:t>
          </w:r>
          <w:r>
            <w:rPr>
              <w:rFonts w:hint="eastAsia"/>
              <w:color w:val="auto"/>
            </w:rPr>
            <w:fldChar w:fldCharType="end"/>
          </w:r>
          <w:r>
            <w:rPr>
              <w:rFonts w:hint="eastAsia"/>
              <w:color w:val="auto"/>
            </w:rPr>
            <w:fldChar w:fldCharType="end"/>
          </w:r>
        </w:p>
        <w:p w14:paraId="54B47F2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"_Toc225216893" </w:instrText>
          </w:r>
          <w:r>
            <w:rPr>
              <w:color w:val="auto"/>
            </w:rPr>
            <w:fldChar w:fldCharType="separate"/>
          </w:r>
          <w:r>
            <w:rPr>
              <w:rStyle w:val="29"/>
              <w:rFonts w:hint="eastAsia"/>
              <w:color w:val="auto"/>
            </w:rPr>
            <w:t>9.3.1</w:t>
          </w:r>
          <w:r>
            <w:rPr>
              <w:rFonts w:hint="eastAsia" w:asciiTheme="minorHAnsi" w:hAnsiTheme="minorHAnsi" w:eastAsiaTheme="minorEastAsia"/>
              <w:color w:val="auto"/>
              <w:sz w:val="22"/>
              <w:szCs w:val="24"/>
              <w14:ligatures w14:val="standardContextual"/>
            </w:rPr>
            <w:tab/>
          </w:r>
          <w:r>
            <w:rPr>
              <w:rStyle w:val="29"/>
              <w:rFonts w:hint="eastAsia"/>
              <w:color w:val="auto"/>
            </w:rPr>
            <w:t>现有工程污染源监测计划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_Toc225216893 \h</w:instrText>
          </w:r>
          <w:r>
            <w:rPr>
              <w:rFonts w:hint="eastAsia"/>
              <w:color w:val="auto"/>
            </w:rPr>
            <w:instrText xml:space="preserve"> </w:instrText>
          </w:r>
          <w:r>
            <w:rPr>
              <w:rFonts w:hint="eastAsia"/>
              <w:color w:val="auto"/>
            </w:rPr>
            <w:fldChar w:fldCharType="separate"/>
          </w:r>
          <w:r>
            <w:rPr>
              <w:color w:val="auto"/>
            </w:rPr>
            <w:t>373</w:t>
          </w:r>
          <w:r>
            <w:rPr>
              <w:rFonts w:hint="eastAsia"/>
              <w:color w:val="auto"/>
            </w:rPr>
            <w:fldChar w:fldCharType="end"/>
          </w:r>
          <w:r>
            <w:rPr>
              <w:rFonts w:hint="eastAsia"/>
              <w:color w:val="auto"/>
            </w:rPr>
            <w:fldChar w:fldCharType="end"/>
          </w:r>
        </w:p>
        <w:p w14:paraId="2B7DF6A9">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"_Toc225216894" </w:instrText>
          </w:r>
          <w:r>
            <w:rPr>
              <w:color w:val="auto"/>
            </w:rPr>
            <w:fldChar w:fldCharType="separate"/>
          </w:r>
          <w:r>
            <w:rPr>
              <w:rStyle w:val="29"/>
              <w:rFonts w:hint="eastAsia"/>
              <w:color w:val="auto"/>
            </w:rPr>
            <w:t>9.3.2</w:t>
          </w:r>
          <w:r>
            <w:rPr>
              <w:rFonts w:hint="eastAsia" w:asciiTheme="minorHAnsi" w:hAnsiTheme="minorHAnsi" w:eastAsiaTheme="minorEastAsia"/>
              <w:color w:val="auto"/>
              <w:sz w:val="22"/>
              <w:szCs w:val="24"/>
              <w14:ligatures w14:val="standardContextual"/>
            </w:rPr>
            <w:tab/>
          </w:r>
          <w:r>
            <w:rPr>
              <w:rStyle w:val="29"/>
              <w:rFonts w:hint="eastAsia"/>
              <w:color w:val="auto"/>
            </w:rPr>
            <w:t>大气污染源监测计划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_Toc225216894 \h</w:instrText>
          </w:r>
          <w:r>
            <w:rPr>
              <w:rFonts w:hint="eastAsia"/>
              <w:color w:val="auto"/>
            </w:rPr>
            <w:instrText xml:space="preserve"> </w:instrText>
          </w:r>
          <w:r>
            <w:rPr>
              <w:rFonts w:hint="eastAsia"/>
              <w:color w:val="auto"/>
            </w:rPr>
            <w:fldChar w:fldCharType="separate"/>
          </w:r>
          <w:r>
            <w:rPr>
              <w:color w:val="auto"/>
            </w:rPr>
            <w:t>378</w:t>
          </w:r>
          <w:r>
            <w:rPr>
              <w:rFonts w:hint="eastAsia"/>
              <w:color w:val="auto"/>
            </w:rPr>
            <w:fldChar w:fldCharType="end"/>
          </w:r>
          <w:r>
            <w:rPr>
              <w:rFonts w:hint="eastAsia"/>
              <w:color w:val="auto"/>
            </w:rPr>
            <w:fldChar w:fldCharType="end"/>
          </w:r>
        </w:p>
        <w:p w14:paraId="1A6C6F23">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"_Toc225216895" </w:instrText>
          </w:r>
          <w:r>
            <w:rPr>
              <w:color w:val="auto"/>
            </w:rPr>
            <w:fldChar w:fldCharType="separate"/>
          </w:r>
          <w:r>
            <w:rPr>
              <w:rStyle w:val="29"/>
              <w:rFonts w:hint="eastAsia"/>
              <w:color w:val="auto"/>
            </w:rPr>
            <w:t>9.4</w:t>
          </w:r>
          <w:r>
            <w:rPr>
              <w:rFonts w:hint="eastAsia" w:asciiTheme="minorHAnsi" w:hAnsiTheme="minorHAnsi" w:eastAsiaTheme="minorEastAsia"/>
              <w:color w:val="auto"/>
              <w:sz w:val="22"/>
              <w:szCs w:val="24"/>
              <w14:ligatures w14:val="standardContextual"/>
            </w:rPr>
            <w:tab/>
          </w:r>
          <w:r>
            <w:rPr>
              <w:rStyle w:val="29"/>
              <w:rFonts w:hint="eastAsia"/>
              <w:color w:val="auto"/>
            </w:rPr>
            <w:t>竣工环境保护验收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_Toc225216895 \h</w:instrText>
          </w:r>
          <w:r>
            <w:rPr>
              <w:rFonts w:hint="eastAsia"/>
              <w:color w:val="auto"/>
            </w:rPr>
            <w:instrText xml:space="preserve"> </w:instrText>
          </w:r>
          <w:r>
            <w:rPr>
              <w:rFonts w:hint="eastAsia"/>
              <w:color w:val="auto"/>
            </w:rPr>
            <w:fldChar w:fldCharType="separate"/>
          </w:r>
          <w:r>
            <w:rPr>
              <w:color w:val="auto"/>
            </w:rPr>
            <w:t>378</w:t>
          </w:r>
          <w:r>
            <w:rPr>
              <w:rFonts w:hint="eastAsia"/>
              <w:color w:val="auto"/>
            </w:rPr>
            <w:fldChar w:fldCharType="end"/>
          </w:r>
          <w:r>
            <w:rPr>
              <w:rFonts w:hint="eastAsia"/>
              <w:color w:val="auto"/>
            </w:rPr>
            <w:fldChar w:fldCharType="end"/>
          </w:r>
        </w:p>
        <w:p w14:paraId="4CF05EF7">
          <w:pPr>
            <w:pStyle w:val="20"/>
            <w:tabs>
              <w:tab w:val="left" w:pos="1260"/>
              <w:tab w:val="right" w:leader="dot" w:pos="9060"/>
            </w:tabs>
            <w:ind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"_Toc225216896" </w:instrText>
          </w:r>
          <w:r>
            <w:rPr>
              <w:color w:val="auto"/>
            </w:rPr>
            <w:fldChar w:fldCharType="separate"/>
          </w:r>
          <w:r>
            <w:rPr>
              <w:rStyle w:val="29"/>
              <w:rFonts w:hint="eastAsia"/>
              <w:color w:val="auto"/>
            </w:rPr>
            <w:t>10</w:t>
          </w:r>
          <w:r>
            <w:rPr>
              <w:rFonts w:hint="eastAsia" w:asciiTheme="minorHAnsi" w:hAnsiTheme="minorHAnsi" w:eastAsiaTheme="minorEastAsia"/>
              <w:color w:val="auto"/>
              <w:sz w:val="22"/>
              <w:szCs w:val="24"/>
              <w14:ligatures w14:val="standardContextual"/>
            </w:rPr>
            <w:tab/>
          </w:r>
          <w:r>
            <w:rPr>
              <w:rStyle w:val="29"/>
              <w:rFonts w:hint="eastAsia"/>
              <w:color w:val="auto"/>
            </w:rPr>
            <w:t>环境影响评价结论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_Toc225216896 \h</w:instrText>
          </w:r>
          <w:r>
            <w:rPr>
              <w:rFonts w:hint="eastAsia"/>
              <w:color w:val="auto"/>
            </w:rPr>
            <w:instrText xml:space="preserve"> </w:instrText>
          </w:r>
          <w:r>
            <w:rPr>
              <w:rFonts w:hint="eastAsia"/>
              <w:color w:val="auto"/>
            </w:rPr>
            <w:fldChar w:fldCharType="separate"/>
          </w:r>
          <w:r>
            <w:rPr>
              <w:color w:val="auto"/>
            </w:rPr>
            <w:t>383</w:t>
          </w:r>
          <w:r>
            <w:rPr>
              <w:rFonts w:hint="eastAsia"/>
              <w:color w:val="auto"/>
            </w:rPr>
            <w:fldChar w:fldCharType="end"/>
          </w:r>
          <w:r>
            <w:rPr>
              <w:rFonts w:hint="eastAsia"/>
              <w:color w:val="auto"/>
            </w:rPr>
            <w:fldChar w:fldCharType="end"/>
          </w:r>
        </w:p>
        <w:p w14:paraId="3C780DFC">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"_Toc225216897" </w:instrText>
          </w:r>
          <w:r>
            <w:rPr>
              <w:color w:val="auto"/>
            </w:rPr>
            <w:fldChar w:fldCharType="separate"/>
          </w:r>
          <w:r>
            <w:rPr>
              <w:rStyle w:val="29"/>
              <w:rFonts w:hint="eastAsia"/>
              <w:color w:val="auto"/>
            </w:rPr>
            <w:t>10.1</w:t>
          </w:r>
          <w:r>
            <w:rPr>
              <w:rFonts w:hint="eastAsia" w:asciiTheme="minorHAnsi" w:hAnsiTheme="minorHAnsi" w:eastAsiaTheme="minorEastAsia"/>
              <w:color w:val="auto"/>
              <w:sz w:val="22"/>
              <w:szCs w:val="24"/>
              <w14:ligatures w14:val="standardContextual"/>
            </w:rPr>
            <w:tab/>
          </w:r>
          <w:r>
            <w:rPr>
              <w:rStyle w:val="29"/>
              <w:rFonts w:hint="eastAsia"/>
              <w:color w:val="auto"/>
            </w:rPr>
            <w:t>项目概况</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_Toc225216897 \h</w:instrText>
          </w:r>
          <w:r>
            <w:rPr>
              <w:rFonts w:hint="eastAsia"/>
              <w:color w:val="auto"/>
            </w:rPr>
            <w:instrText xml:space="preserve"> </w:instrText>
          </w:r>
          <w:r>
            <w:rPr>
              <w:rFonts w:hint="eastAsia"/>
              <w:color w:val="auto"/>
            </w:rPr>
            <w:fldChar w:fldCharType="separate"/>
          </w:r>
          <w:r>
            <w:rPr>
              <w:color w:val="auto"/>
            </w:rPr>
            <w:t>383</w:t>
          </w:r>
          <w:r>
            <w:rPr>
              <w:rFonts w:hint="eastAsia"/>
              <w:color w:val="auto"/>
            </w:rPr>
            <w:fldChar w:fldCharType="end"/>
          </w:r>
          <w:r>
            <w:rPr>
              <w:rFonts w:hint="eastAsia"/>
              <w:color w:val="auto"/>
            </w:rPr>
            <w:fldChar w:fldCharType="end"/>
          </w:r>
        </w:p>
        <w:p w14:paraId="64BD57BC">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"_Toc225216898" </w:instrText>
          </w:r>
          <w:r>
            <w:rPr>
              <w:color w:val="auto"/>
            </w:rPr>
            <w:fldChar w:fldCharType="separate"/>
          </w:r>
          <w:r>
            <w:rPr>
              <w:rStyle w:val="29"/>
              <w:rFonts w:hint="eastAsia"/>
              <w:color w:val="auto"/>
            </w:rPr>
            <w:t>10.2</w:t>
          </w:r>
          <w:r>
            <w:rPr>
              <w:rFonts w:hint="eastAsia" w:asciiTheme="minorHAnsi" w:hAnsiTheme="minorHAnsi" w:eastAsiaTheme="minorEastAsia"/>
              <w:color w:val="auto"/>
              <w:sz w:val="22"/>
              <w:szCs w:val="24"/>
              <w14:ligatures w14:val="standardContextual"/>
            </w:rPr>
            <w:tab/>
          </w:r>
          <w:r>
            <w:rPr>
              <w:rStyle w:val="29"/>
              <w:rFonts w:hint="eastAsia"/>
              <w:color w:val="auto"/>
            </w:rPr>
            <w:t>环境质量现状调查结论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_Toc225216898 \h</w:instrText>
          </w:r>
          <w:r>
            <w:rPr>
              <w:rFonts w:hint="eastAsia"/>
              <w:color w:val="auto"/>
            </w:rPr>
            <w:instrText xml:space="preserve"> </w:instrText>
          </w:r>
          <w:r>
            <w:rPr>
              <w:rFonts w:hint="eastAsia"/>
              <w:color w:val="auto"/>
            </w:rPr>
            <w:fldChar w:fldCharType="separate"/>
          </w:r>
          <w:r>
            <w:rPr>
              <w:color w:val="auto"/>
            </w:rPr>
            <w:t>383</w:t>
          </w:r>
          <w:r>
            <w:rPr>
              <w:rFonts w:hint="eastAsia"/>
              <w:color w:val="auto"/>
            </w:rPr>
            <w:fldChar w:fldCharType="end"/>
          </w:r>
          <w:r>
            <w:rPr>
              <w:rFonts w:hint="eastAsia"/>
              <w:color w:val="auto"/>
            </w:rPr>
            <w:fldChar w:fldCharType="end"/>
          </w:r>
        </w:p>
        <w:p w14:paraId="4EDBA34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"_Toc225216899" </w:instrText>
          </w:r>
          <w:r>
            <w:rPr>
              <w:color w:val="auto"/>
            </w:rPr>
            <w:fldChar w:fldCharType="separate"/>
          </w:r>
          <w:r>
            <w:rPr>
              <w:rStyle w:val="29"/>
              <w:rFonts w:hint="eastAsia"/>
              <w:color w:val="auto"/>
            </w:rPr>
            <w:t>10.2.1</w:t>
          </w:r>
          <w:r>
            <w:rPr>
              <w:rFonts w:hint="eastAsia" w:asciiTheme="minorHAnsi" w:hAnsiTheme="minorHAnsi" w:eastAsiaTheme="minorEastAsia"/>
              <w:color w:val="auto"/>
              <w:sz w:val="22"/>
              <w:szCs w:val="24"/>
              <w14:ligatures w14:val="standardContextual"/>
            </w:rPr>
            <w:tab/>
          </w:r>
          <w:r>
            <w:rPr>
              <w:rStyle w:val="29"/>
              <w:rFonts w:hint="eastAsia"/>
              <w:color w:val="auto"/>
            </w:rPr>
            <w:t>环境空气质量现状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_Toc225216899 \h</w:instrText>
          </w:r>
          <w:r>
            <w:rPr>
              <w:rFonts w:hint="eastAsia"/>
              <w:color w:val="auto"/>
            </w:rPr>
            <w:instrText xml:space="preserve"> </w:instrText>
          </w:r>
          <w:r>
            <w:rPr>
              <w:rFonts w:hint="eastAsia"/>
              <w:color w:val="auto"/>
            </w:rPr>
            <w:fldChar w:fldCharType="separate"/>
          </w:r>
          <w:r>
            <w:rPr>
              <w:color w:val="auto"/>
            </w:rPr>
            <w:t>383</w:t>
          </w:r>
          <w:r>
            <w:rPr>
              <w:rFonts w:hint="eastAsia"/>
              <w:color w:val="auto"/>
            </w:rPr>
            <w:fldChar w:fldCharType="end"/>
          </w:r>
          <w:r>
            <w:rPr>
              <w:rFonts w:hint="eastAsia"/>
              <w:color w:val="auto"/>
            </w:rPr>
            <w:fldChar w:fldCharType="end"/>
          </w:r>
        </w:p>
        <w:p w14:paraId="5B14E9A3">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"_Toc225216900" </w:instrText>
          </w:r>
          <w:r>
            <w:rPr>
              <w:color w:val="auto"/>
            </w:rPr>
            <w:fldChar w:fldCharType="separate"/>
          </w:r>
          <w:r>
            <w:rPr>
              <w:rStyle w:val="29"/>
              <w:rFonts w:hint="eastAsia"/>
              <w:color w:val="auto"/>
            </w:rPr>
            <w:t>10.2.2</w:t>
          </w:r>
          <w:r>
            <w:rPr>
              <w:rFonts w:hint="eastAsia" w:asciiTheme="minorHAnsi" w:hAnsiTheme="minorHAnsi" w:eastAsiaTheme="minorEastAsia"/>
              <w:color w:val="auto"/>
              <w:sz w:val="22"/>
              <w:szCs w:val="24"/>
              <w14:ligatures w14:val="standardContextual"/>
            </w:rPr>
            <w:tab/>
          </w:r>
          <w:r>
            <w:rPr>
              <w:rStyle w:val="29"/>
              <w:rFonts w:hint="eastAsia"/>
              <w:color w:val="auto"/>
            </w:rPr>
            <w:t>近岸海域环境质量现状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_Toc225216900 \h</w:instrText>
          </w:r>
          <w:r>
            <w:rPr>
              <w:rFonts w:hint="eastAsia"/>
              <w:color w:val="auto"/>
            </w:rPr>
            <w:instrText xml:space="preserve"> </w:instrText>
          </w:r>
          <w:r>
            <w:rPr>
              <w:rFonts w:hint="eastAsia"/>
              <w:color w:val="auto"/>
            </w:rPr>
            <w:fldChar w:fldCharType="separate"/>
          </w:r>
          <w:r>
            <w:rPr>
              <w:color w:val="auto"/>
            </w:rPr>
            <w:t>383</w:t>
          </w:r>
          <w:r>
            <w:rPr>
              <w:rFonts w:hint="eastAsia"/>
              <w:color w:val="auto"/>
            </w:rPr>
            <w:fldChar w:fldCharType="end"/>
          </w:r>
          <w:r>
            <w:rPr>
              <w:rFonts w:hint="eastAsia"/>
              <w:color w:val="auto"/>
            </w:rPr>
            <w:fldChar w:fldCharType="end"/>
          </w:r>
        </w:p>
        <w:p w14:paraId="4C53E72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"_Toc225216901" </w:instrText>
          </w:r>
          <w:r>
            <w:rPr>
              <w:color w:val="auto"/>
            </w:rPr>
            <w:fldChar w:fldCharType="separate"/>
          </w:r>
          <w:r>
            <w:rPr>
              <w:rStyle w:val="29"/>
              <w:rFonts w:hint="eastAsia"/>
              <w:color w:val="auto"/>
            </w:rPr>
            <w:t>10.2.3</w:t>
          </w:r>
          <w:r>
            <w:rPr>
              <w:rFonts w:hint="eastAsia" w:asciiTheme="minorHAnsi" w:hAnsiTheme="minorHAnsi" w:eastAsiaTheme="minorEastAsia"/>
              <w:color w:val="auto"/>
              <w:sz w:val="22"/>
              <w:szCs w:val="24"/>
              <w14:ligatures w14:val="standardContextual"/>
            </w:rPr>
            <w:tab/>
          </w:r>
          <w:r>
            <w:rPr>
              <w:rStyle w:val="29"/>
              <w:rFonts w:hint="eastAsia"/>
              <w:color w:val="auto"/>
            </w:rPr>
            <w:t>地下水环境质量现状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_Toc225216901 \h</w:instrText>
          </w:r>
          <w:r>
            <w:rPr>
              <w:rFonts w:hint="eastAsia"/>
              <w:color w:val="auto"/>
            </w:rPr>
            <w:instrText xml:space="preserve"> </w:instrText>
          </w:r>
          <w:r>
            <w:rPr>
              <w:rFonts w:hint="eastAsia"/>
              <w:color w:val="auto"/>
            </w:rPr>
            <w:fldChar w:fldCharType="separate"/>
          </w:r>
          <w:r>
            <w:rPr>
              <w:color w:val="auto"/>
            </w:rPr>
            <w:t>384</w:t>
          </w:r>
          <w:r>
            <w:rPr>
              <w:rFonts w:hint="eastAsia"/>
              <w:color w:val="auto"/>
            </w:rPr>
            <w:fldChar w:fldCharType="end"/>
          </w:r>
          <w:r>
            <w:rPr>
              <w:rFonts w:hint="eastAsia"/>
              <w:color w:val="auto"/>
            </w:rPr>
            <w:fldChar w:fldCharType="end"/>
          </w:r>
        </w:p>
        <w:p w14:paraId="49D8CF2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"_Toc225216902" </w:instrText>
          </w:r>
          <w:r>
            <w:rPr>
              <w:color w:val="auto"/>
            </w:rPr>
            <w:fldChar w:fldCharType="separate"/>
          </w:r>
          <w:r>
            <w:rPr>
              <w:rStyle w:val="29"/>
              <w:rFonts w:hint="eastAsia"/>
              <w:color w:val="auto"/>
            </w:rPr>
            <w:t>10.2.4</w:t>
          </w:r>
          <w:r>
            <w:rPr>
              <w:rFonts w:hint="eastAsia" w:asciiTheme="minorHAnsi" w:hAnsiTheme="minorHAnsi" w:eastAsiaTheme="minorEastAsia"/>
              <w:color w:val="auto"/>
              <w:sz w:val="22"/>
              <w:szCs w:val="24"/>
              <w14:ligatures w14:val="standardContextual"/>
            </w:rPr>
            <w:tab/>
          </w:r>
          <w:r>
            <w:rPr>
              <w:rStyle w:val="29"/>
              <w:rFonts w:hint="eastAsia"/>
              <w:color w:val="auto"/>
            </w:rPr>
            <w:t>声环境质量现状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_Toc225216902 \h</w:instrText>
          </w:r>
          <w:r>
            <w:rPr>
              <w:rFonts w:hint="eastAsia"/>
              <w:color w:val="auto"/>
            </w:rPr>
            <w:instrText xml:space="preserve"> </w:instrText>
          </w:r>
          <w:r>
            <w:rPr>
              <w:rFonts w:hint="eastAsia"/>
              <w:color w:val="auto"/>
            </w:rPr>
            <w:fldChar w:fldCharType="separate"/>
          </w:r>
          <w:r>
            <w:rPr>
              <w:color w:val="auto"/>
            </w:rPr>
            <w:t>384</w:t>
          </w:r>
          <w:r>
            <w:rPr>
              <w:rFonts w:hint="eastAsia"/>
              <w:color w:val="auto"/>
            </w:rPr>
            <w:fldChar w:fldCharType="end"/>
          </w:r>
          <w:r>
            <w:rPr>
              <w:rFonts w:hint="eastAsia"/>
              <w:color w:val="auto"/>
            </w:rPr>
            <w:fldChar w:fldCharType="end"/>
          </w:r>
        </w:p>
        <w:p w14:paraId="1D9056FA">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"_Toc225216903" </w:instrText>
          </w:r>
          <w:r>
            <w:rPr>
              <w:color w:val="auto"/>
            </w:rPr>
            <w:fldChar w:fldCharType="separate"/>
          </w:r>
          <w:r>
            <w:rPr>
              <w:rStyle w:val="29"/>
              <w:rFonts w:hint="eastAsia"/>
              <w:color w:val="auto"/>
            </w:rPr>
            <w:t>10.2.5</w:t>
          </w:r>
          <w:r>
            <w:rPr>
              <w:rFonts w:hint="eastAsia" w:asciiTheme="minorHAnsi" w:hAnsiTheme="minorHAnsi" w:eastAsiaTheme="minorEastAsia"/>
              <w:color w:val="auto"/>
              <w:sz w:val="22"/>
              <w:szCs w:val="24"/>
              <w14:ligatures w14:val="standardContextual"/>
            </w:rPr>
            <w:tab/>
          </w:r>
          <w:r>
            <w:rPr>
              <w:rStyle w:val="29"/>
              <w:rFonts w:hint="eastAsia"/>
              <w:color w:val="auto"/>
            </w:rPr>
            <w:t>土壤环境质量现状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_Toc225216903 \h</w:instrText>
          </w:r>
          <w:r>
            <w:rPr>
              <w:rFonts w:hint="eastAsia"/>
              <w:color w:val="auto"/>
            </w:rPr>
            <w:instrText xml:space="preserve"> </w:instrText>
          </w:r>
          <w:r>
            <w:rPr>
              <w:rFonts w:hint="eastAsia"/>
              <w:color w:val="auto"/>
            </w:rPr>
            <w:fldChar w:fldCharType="separate"/>
          </w:r>
          <w:r>
            <w:rPr>
              <w:color w:val="auto"/>
            </w:rPr>
            <w:t>385</w:t>
          </w:r>
          <w:r>
            <w:rPr>
              <w:rFonts w:hint="eastAsia"/>
              <w:color w:val="auto"/>
            </w:rPr>
            <w:fldChar w:fldCharType="end"/>
          </w:r>
          <w:r>
            <w:rPr>
              <w:rFonts w:hint="eastAsia"/>
              <w:color w:val="auto"/>
            </w:rPr>
            <w:fldChar w:fldCharType="end"/>
          </w:r>
        </w:p>
        <w:p w14:paraId="45656AB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"_Toc225216904" </w:instrText>
          </w:r>
          <w:r>
            <w:rPr>
              <w:color w:val="auto"/>
            </w:rPr>
            <w:fldChar w:fldCharType="separate"/>
          </w:r>
          <w:r>
            <w:rPr>
              <w:rStyle w:val="29"/>
              <w:rFonts w:hint="eastAsia"/>
              <w:color w:val="auto"/>
            </w:rPr>
            <w:t>10.2.6</w:t>
          </w:r>
          <w:r>
            <w:rPr>
              <w:rFonts w:hint="eastAsia" w:asciiTheme="minorHAnsi" w:hAnsiTheme="minorHAnsi" w:eastAsiaTheme="minorEastAsia"/>
              <w:color w:val="auto"/>
              <w:sz w:val="22"/>
              <w:szCs w:val="24"/>
              <w14:ligatures w14:val="standardContextual"/>
            </w:rPr>
            <w:tab/>
          </w:r>
          <w:r>
            <w:rPr>
              <w:rStyle w:val="29"/>
              <w:rFonts w:hint="eastAsia"/>
              <w:color w:val="auto"/>
            </w:rPr>
            <w:t>生态环境质量现状</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_Toc225216904 \h</w:instrText>
          </w:r>
          <w:r>
            <w:rPr>
              <w:rFonts w:hint="eastAsia"/>
              <w:color w:val="auto"/>
            </w:rPr>
            <w:instrText xml:space="preserve"> </w:instrText>
          </w:r>
          <w:r>
            <w:rPr>
              <w:rFonts w:hint="eastAsia"/>
              <w:color w:val="auto"/>
            </w:rPr>
            <w:fldChar w:fldCharType="separate"/>
          </w:r>
          <w:r>
            <w:rPr>
              <w:color w:val="auto"/>
            </w:rPr>
            <w:t>385</w:t>
          </w:r>
          <w:r>
            <w:rPr>
              <w:rFonts w:hint="eastAsia"/>
              <w:color w:val="auto"/>
            </w:rPr>
            <w:fldChar w:fldCharType="end"/>
          </w:r>
          <w:r>
            <w:rPr>
              <w:rFonts w:hint="eastAsia"/>
              <w:color w:val="auto"/>
            </w:rPr>
            <w:fldChar w:fldCharType="end"/>
          </w:r>
        </w:p>
        <w:p w14:paraId="5EBAF92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"_Toc225216905" </w:instrText>
          </w:r>
          <w:r>
            <w:rPr>
              <w:color w:val="auto"/>
            </w:rPr>
            <w:fldChar w:fldCharType="separate"/>
          </w:r>
          <w:r>
            <w:rPr>
              <w:rStyle w:val="29"/>
              <w:rFonts w:hint="eastAsia"/>
              <w:color w:val="auto"/>
            </w:rPr>
            <w:t>10.3</w:t>
          </w:r>
          <w:r>
            <w:rPr>
              <w:rFonts w:hint="eastAsia" w:asciiTheme="minorHAnsi" w:hAnsiTheme="minorHAnsi" w:eastAsiaTheme="minorEastAsia"/>
              <w:color w:val="auto"/>
              <w:sz w:val="22"/>
              <w:szCs w:val="24"/>
              <w14:ligatures w14:val="standardContextual"/>
            </w:rPr>
            <w:tab/>
          </w:r>
          <w:r>
            <w:rPr>
              <w:rStyle w:val="29"/>
              <w:rFonts w:hint="eastAsia"/>
              <w:color w:val="auto"/>
            </w:rPr>
            <w:t>污染物排放及主要环境影响及防治措施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_Toc225216905 \h</w:instrText>
          </w:r>
          <w:r>
            <w:rPr>
              <w:rFonts w:hint="eastAsia"/>
              <w:color w:val="auto"/>
            </w:rPr>
            <w:instrText xml:space="preserve"> </w:instrText>
          </w:r>
          <w:r>
            <w:rPr>
              <w:rFonts w:hint="eastAsia"/>
              <w:color w:val="auto"/>
            </w:rPr>
            <w:fldChar w:fldCharType="separate"/>
          </w:r>
          <w:r>
            <w:rPr>
              <w:color w:val="auto"/>
            </w:rPr>
            <w:t>385</w:t>
          </w:r>
          <w:r>
            <w:rPr>
              <w:rFonts w:hint="eastAsia"/>
              <w:color w:val="auto"/>
            </w:rPr>
            <w:fldChar w:fldCharType="end"/>
          </w:r>
          <w:r>
            <w:rPr>
              <w:rFonts w:hint="eastAsia"/>
              <w:color w:val="auto"/>
            </w:rPr>
            <w:fldChar w:fldCharType="end"/>
          </w:r>
        </w:p>
        <w:p w14:paraId="45F4C90C">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"_Toc225216906" </w:instrText>
          </w:r>
          <w:r>
            <w:rPr>
              <w:color w:val="auto"/>
            </w:rPr>
            <w:fldChar w:fldCharType="separate"/>
          </w:r>
          <w:r>
            <w:rPr>
              <w:rStyle w:val="29"/>
              <w:rFonts w:hint="eastAsia"/>
              <w:color w:val="auto"/>
            </w:rPr>
            <w:t>10.3.1</w:t>
          </w:r>
          <w:r>
            <w:rPr>
              <w:rFonts w:hint="eastAsia" w:asciiTheme="minorHAnsi" w:hAnsiTheme="minorHAnsi" w:eastAsiaTheme="minorEastAsia"/>
              <w:color w:val="auto"/>
              <w:sz w:val="22"/>
              <w:szCs w:val="24"/>
              <w14:ligatures w14:val="standardContextual"/>
            </w:rPr>
            <w:tab/>
          </w:r>
          <w:r>
            <w:rPr>
              <w:rStyle w:val="29"/>
              <w:rFonts w:hint="eastAsia"/>
              <w:color w:val="auto"/>
            </w:rPr>
            <w:t>大气环境影响及防治措施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_Toc225216906 \h</w:instrText>
          </w:r>
          <w:r>
            <w:rPr>
              <w:rFonts w:hint="eastAsia"/>
              <w:color w:val="auto"/>
            </w:rPr>
            <w:instrText xml:space="preserve"> </w:instrText>
          </w:r>
          <w:r>
            <w:rPr>
              <w:rFonts w:hint="eastAsia"/>
              <w:color w:val="auto"/>
            </w:rPr>
            <w:fldChar w:fldCharType="separate"/>
          </w:r>
          <w:r>
            <w:rPr>
              <w:color w:val="auto"/>
            </w:rPr>
            <w:t>385</w:t>
          </w:r>
          <w:r>
            <w:rPr>
              <w:rFonts w:hint="eastAsia"/>
              <w:color w:val="auto"/>
            </w:rPr>
            <w:fldChar w:fldCharType="end"/>
          </w:r>
          <w:r>
            <w:rPr>
              <w:rFonts w:hint="eastAsia"/>
              <w:color w:val="auto"/>
            </w:rPr>
            <w:fldChar w:fldCharType="end"/>
          </w:r>
        </w:p>
        <w:p w14:paraId="5AD1AB92">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"_Toc225216907" </w:instrText>
          </w:r>
          <w:r>
            <w:rPr>
              <w:color w:val="auto"/>
            </w:rPr>
            <w:fldChar w:fldCharType="separate"/>
          </w:r>
          <w:r>
            <w:rPr>
              <w:rStyle w:val="29"/>
              <w:rFonts w:hint="eastAsia"/>
              <w:color w:val="auto"/>
            </w:rPr>
            <w:t>10.3.2</w:t>
          </w:r>
          <w:r>
            <w:rPr>
              <w:rFonts w:hint="eastAsia" w:asciiTheme="minorHAnsi" w:hAnsiTheme="minorHAnsi" w:eastAsiaTheme="minorEastAsia"/>
              <w:color w:val="auto"/>
              <w:sz w:val="22"/>
              <w:szCs w:val="24"/>
              <w14:ligatures w14:val="standardContextual"/>
            </w:rPr>
            <w:tab/>
          </w:r>
          <w:r>
            <w:rPr>
              <w:rStyle w:val="29"/>
              <w:rFonts w:hint="eastAsia"/>
              <w:color w:val="auto"/>
            </w:rPr>
            <w:t>地表水环境影响及防治措施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_Toc225216907 \h</w:instrText>
          </w:r>
          <w:r>
            <w:rPr>
              <w:rFonts w:hint="eastAsia"/>
              <w:color w:val="auto"/>
            </w:rPr>
            <w:instrText xml:space="preserve"> </w:instrText>
          </w:r>
          <w:r>
            <w:rPr>
              <w:rFonts w:hint="eastAsia"/>
              <w:color w:val="auto"/>
            </w:rPr>
            <w:fldChar w:fldCharType="separate"/>
          </w:r>
          <w:r>
            <w:rPr>
              <w:color w:val="auto"/>
            </w:rPr>
            <w:t>385</w:t>
          </w:r>
          <w:r>
            <w:rPr>
              <w:rFonts w:hint="eastAsia"/>
              <w:color w:val="auto"/>
            </w:rPr>
            <w:fldChar w:fldCharType="end"/>
          </w:r>
          <w:r>
            <w:rPr>
              <w:rFonts w:hint="eastAsia"/>
              <w:color w:val="auto"/>
            </w:rPr>
            <w:fldChar w:fldCharType="end"/>
          </w:r>
        </w:p>
        <w:p w14:paraId="38AFF48E">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"_Toc225216908" </w:instrText>
          </w:r>
          <w:r>
            <w:rPr>
              <w:color w:val="auto"/>
            </w:rPr>
            <w:fldChar w:fldCharType="separate"/>
          </w:r>
          <w:r>
            <w:rPr>
              <w:rStyle w:val="29"/>
              <w:rFonts w:hint="eastAsia"/>
              <w:color w:val="auto"/>
            </w:rPr>
            <w:t>10.3.3</w:t>
          </w:r>
          <w:r>
            <w:rPr>
              <w:rFonts w:hint="eastAsia" w:asciiTheme="minorHAnsi" w:hAnsiTheme="minorHAnsi" w:eastAsiaTheme="minorEastAsia"/>
              <w:color w:val="auto"/>
              <w:sz w:val="22"/>
              <w:szCs w:val="24"/>
              <w14:ligatures w14:val="standardContextual"/>
            </w:rPr>
            <w:tab/>
          </w:r>
          <w:r>
            <w:rPr>
              <w:rStyle w:val="29"/>
              <w:rFonts w:hint="eastAsia"/>
              <w:color w:val="auto"/>
            </w:rPr>
            <w:t>地下水环境影响及防治措施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_Toc225216908 \h</w:instrText>
          </w:r>
          <w:r>
            <w:rPr>
              <w:rFonts w:hint="eastAsia"/>
              <w:color w:val="auto"/>
            </w:rPr>
            <w:instrText xml:space="preserve"> </w:instrText>
          </w:r>
          <w:r>
            <w:rPr>
              <w:rFonts w:hint="eastAsia"/>
              <w:color w:val="auto"/>
            </w:rPr>
            <w:fldChar w:fldCharType="separate"/>
          </w:r>
          <w:r>
            <w:rPr>
              <w:color w:val="auto"/>
            </w:rPr>
            <w:t>386</w:t>
          </w:r>
          <w:r>
            <w:rPr>
              <w:rFonts w:hint="eastAsia"/>
              <w:color w:val="auto"/>
            </w:rPr>
            <w:fldChar w:fldCharType="end"/>
          </w:r>
          <w:r>
            <w:rPr>
              <w:rFonts w:hint="eastAsia"/>
              <w:color w:val="auto"/>
            </w:rPr>
            <w:fldChar w:fldCharType="end"/>
          </w:r>
        </w:p>
        <w:p w14:paraId="5145B05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"_Toc225216909" </w:instrText>
          </w:r>
          <w:r>
            <w:rPr>
              <w:color w:val="auto"/>
            </w:rPr>
            <w:fldChar w:fldCharType="separate"/>
          </w:r>
          <w:r>
            <w:rPr>
              <w:rStyle w:val="29"/>
              <w:rFonts w:hint="eastAsia"/>
              <w:color w:val="auto"/>
            </w:rPr>
            <w:t>10.3.4</w:t>
          </w:r>
          <w:r>
            <w:rPr>
              <w:rFonts w:hint="eastAsia" w:asciiTheme="minorHAnsi" w:hAnsiTheme="minorHAnsi" w:eastAsiaTheme="minorEastAsia"/>
              <w:color w:val="auto"/>
              <w:sz w:val="22"/>
              <w:szCs w:val="24"/>
              <w14:ligatures w14:val="standardContextual"/>
            </w:rPr>
            <w:tab/>
          </w:r>
          <w:r>
            <w:rPr>
              <w:rStyle w:val="29"/>
              <w:rFonts w:hint="eastAsia"/>
              <w:color w:val="auto"/>
            </w:rPr>
            <w:t>土壤环境影响及防治措施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_Toc225216909 \h</w:instrText>
          </w:r>
          <w:r>
            <w:rPr>
              <w:rFonts w:hint="eastAsia"/>
              <w:color w:val="auto"/>
            </w:rPr>
            <w:instrText xml:space="preserve"> </w:instrText>
          </w:r>
          <w:r>
            <w:rPr>
              <w:rFonts w:hint="eastAsia"/>
              <w:color w:val="auto"/>
            </w:rPr>
            <w:fldChar w:fldCharType="separate"/>
          </w:r>
          <w:r>
            <w:rPr>
              <w:color w:val="auto"/>
            </w:rPr>
            <w:t>386</w:t>
          </w:r>
          <w:r>
            <w:rPr>
              <w:rFonts w:hint="eastAsia"/>
              <w:color w:val="auto"/>
            </w:rPr>
            <w:fldChar w:fldCharType="end"/>
          </w:r>
          <w:r>
            <w:rPr>
              <w:rFonts w:hint="eastAsia"/>
              <w:color w:val="auto"/>
            </w:rPr>
            <w:fldChar w:fldCharType="end"/>
          </w:r>
        </w:p>
        <w:p w14:paraId="798BFC9B">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"_Toc225216910" </w:instrText>
          </w:r>
          <w:r>
            <w:rPr>
              <w:color w:val="auto"/>
            </w:rPr>
            <w:fldChar w:fldCharType="separate"/>
          </w:r>
          <w:r>
            <w:rPr>
              <w:rStyle w:val="29"/>
              <w:rFonts w:hint="eastAsia"/>
              <w:color w:val="auto"/>
            </w:rPr>
            <w:t>10.3.5</w:t>
          </w:r>
          <w:r>
            <w:rPr>
              <w:rFonts w:hint="eastAsia" w:asciiTheme="minorHAnsi" w:hAnsiTheme="minorHAnsi" w:eastAsiaTheme="minorEastAsia"/>
              <w:color w:val="auto"/>
              <w:sz w:val="22"/>
              <w:szCs w:val="24"/>
              <w14:ligatures w14:val="standardContextual"/>
            </w:rPr>
            <w:tab/>
          </w:r>
          <w:r>
            <w:rPr>
              <w:rStyle w:val="29"/>
              <w:rFonts w:hint="eastAsia"/>
              <w:color w:val="auto"/>
            </w:rPr>
            <w:t>噪声环境影响及防治措施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_Toc225216910 \h</w:instrText>
          </w:r>
          <w:r>
            <w:rPr>
              <w:rFonts w:hint="eastAsia"/>
              <w:color w:val="auto"/>
            </w:rPr>
            <w:instrText xml:space="preserve"> </w:instrText>
          </w:r>
          <w:r>
            <w:rPr>
              <w:rFonts w:hint="eastAsia"/>
              <w:color w:val="auto"/>
            </w:rPr>
            <w:fldChar w:fldCharType="separate"/>
          </w:r>
          <w:r>
            <w:rPr>
              <w:color w:val="auto"/>
            </w:rPr>
            <w:t>387</w:t>
          </w:r>
          <w:r>
            <w:rPr>
              <w:rFonts w:hint="eastAsia"/>
              <w:color w:val="auto"/>
            </w:rPr>
            <w:fldChar w:fldCharType="end"/>
          </w:r>
          <w:r>
            <w:rPr>
              <w:rFonts w:hint="eastAsia"/>
              <w:color w:val="auto"/>
            </w:rPr>
            <w:fldChar w:fldCharType="end"/>
          </w:r>
        </w:p>
        <w:p w14:paraId="0A66CD2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"_Toc225216911" </w:instrText>
          </w:r>
          <w:r>
            <w:rPr>
              <w:color w:val="auto"/>
            </w:rPr>
            <w:fldChar w:fldCharType="separate"/>
          </w:r>
          <w:r>
            <w:rPr>
              <w:rStyle w:val="29"/>
              <w:rFonts w:hint="eastAsia"/>
              <w:color w:val="auto"/>
            </w:rPr>
            <w:t>10.3.6</w:t>
          </w:r>
          <w:r>
            <w:rPr>
              <w:rFonts w:hint="eastAsia" w:asciiTheme="minorHAnsi" w:hAnsiTheme="minorHAnsi" w:eastAsiaTheme="minorEastAsia"/>
              <w:color w:val="auto"/>
              <w:sz w:val="22"/>
              <w:szCs w:val="24"/>
              <w14:ligatures w14:val="standardContextual"/>
            </w:rPr>
            <w:tab/>
          </w:r>
          <w:r>
            <w:rPr>
              <w:rStyle w:val="29"/>
              <w:rFonts w:hint="eastAsia"/>
              <w:color w:val="auto"/>
            </w:rPr>
            <w:t>固体废物环境影响及处置措施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_Toc225216911 \h</w:instrText>
          </w:r>
          <w:r>
            <w:rPr>
              <w:rFonts w:hint="eastAsia"/>
              <w:color w:val="auto"/>
            </w:rPr>
            <w:instrText xml:space="preserve"> </w:instrText>
          </w:r>
          <w:r>
            <w:rPr>
              <w:rFonts w:hint="eastAsia"/>
              <w:color w:val="auto"/>
            </w:rPr>
            <w:fldChar w:fldCharType="separate"/>
          </w:r>
          <w:r>
            <w:rPr>
              <w:color w:val="auto"/>
            </w:rPr>
            <w:t>387</w:t>
          </w:r>
          <w:r>
            <w:rPr>
              <w:rFonts w:hint="eastAsia"/>
              <w:color w:val="auto"/>
            </w:rPr>
            <w:fldChar w:fldCharType="end"/>
          </w:r>
          <w:r>
            <w:rPr>
              <w:rFonts w:hint="eastAsia"/>
              <w:color w:val="auto"/>
            </w:rPr>
            <w:fldChar w:fldCharType="end"/>
          </w:r>
        </w:p>
        <w:p w14:paraId="24DA35C1">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"_Toc225216912" </w:instrText>
          </w:r>
          <w:r>
            <w:rPr>
              <w:color w:val="auto"/>
            </w:rPr>
            <w:fldChar w:fldCharType="separate"/>
          </w:r>
          <w:r>
            <w:rPr>
              <w:rStyle w:val="29"/>
              <w:rFonts w:hint="eastAsia"/>
              <w:color w:val="auto"/>
            </w:rPr>
            <w:t>10.3.7</w:t>
          </w:r>
          <w:r>
            <w:rPr>
              <w:rFonts w:hint="eastAsia" w:asciiTheme="minorHAnsi" w:hAnsiTheme="minorHAnsi" w:eastAsiaTheme="minorEastAsia"/>
              <w:color w:val="auto"/>
              <w:sz w:val="22"/>
              <w:szCs w:val="24"/>
              <w14:ligatures w14:val="standardContextual"/>
            </w:rPr>
            <w:tab/>
          </w:r>
          <w:r>
            <w:rPr>
              <w:rStyle w:val="29"/>
              <w:rFonts w:hint="eastAsia"/>
              <w:color w:val="auto"/>
            </w:rPr>
            <w:t>生态环境影响及措施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_Toc225216912 \h</w:instrText>
          </w:r>
          <w:r>
            <w:rPr>
              <w:rFonts w:hint="eastAsia"/>
              <w:color w:val="auto"/>
            </w:rPr>
            <w:instrText xml:space="preserve"> </w:instrText>
          </w:r>
          <w:r>
            <w:rPr>
              <w:rFonts w:hint="eastAsia"/>
              <w:color w:val="auto"/>
            </w:rPr>
            <w:fldChar w:fldCharType="separate"/>
          </w:r>
          <w:r>
            <w:rPr>
              <w:color w:val="auto"/>
            </w:rPr>
            <w:t>387</w:t>
          </w:r>
          <w:r>
            <w:rPr>
              <w:rFonts w:hint="eastAsia"/>
              <w:color w:val="auto"/>
            </w:rPr>
            <w:fldChar w:fldCharType="end"/>
          </w:r>
          <w:r>
            <w:rPr>
              <w:rFonts w:hint="eastAsia"/>
              <w:color w:val="auto"/>
            </w:rPr>
            <w:fldChar w:fldCharType="end"/>
          </w:r>
        </w:p>
        <w:p w14:paraId="624CF0FF">
          <w:pPr>
            <w:pStyle w:val="15"/>
            <w:tabs>
              <w:tab w:val="left" w:pos="2520"/>
              <w:tab w:val="right" w:leader="dot" w:pos="9060"/>
            </w:tabs>
            <w:ind w:left="96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"_Toc225216913" </w:instrText>
          </w:r>
          <w:r>
            <w:rPr>
              <w:color w:val="auto"/>
            </w:rPr>
            <w:fldChar w:fldCharType="separate"/>
          </w:r>
          <w:r>
            <w:rPr>
              <w:rStyle w:val="29"/>
              <w:rFonts w:hint="eastAsia"/>
              <w:color w:val="auto"/>
            </w:rPr>
            <w:t>10.3.8</w:t>
          </w:r>
          <w:r>
            <w:rPr>
              <w:rFonts w:hint="eastAsia" w:asciiTheme="minorHAnsi" w:hAnsiTheme="minorHAnsi" w:eastAsiaTheme="minorEastAsia"/>
              <w:color w:val="auto"/>
              <w:sz w:val="22"/>
              <w:szCs w:val="24"/>
              <w14:ligatures w14:val="standardContextual"/>
            </w:rPr>
            <w:tab/>
          </w:r>
          <w:r>
            <w:rPr>
              <w:rStyle w:val="29"/>
              <w:rFonts w:hint="eastAsia"/>
              <w:color w:val="auto"/>
            </w:rPr>
            <w:t>环境风险影响及防范措施</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_Toc225216913 \h</w:instrText>
          </w:r>
          <w:r>
            <w:rPr>
              <w:rFonts w:hint="eastAsia"/>
              <w:color w:val="auto"/>
            </w:rPr>
            <w:instrText xml:space="preserve"> </w:instrText>
          </w:r>
          <w:r>
            <w:rPr>
              <w:rFonts w:hint="eastAsia"/>
              <w:color w:val="auto"/>
            </w:rPr>
            <w:fldChar w:fldCharType="separate"/>
          </w:r>
          <w:r>
            <w:rPr>
              <w:color w:val="auto"/>
            </w:rPr>
            <w:t>388</w:t>
          </w:r>
          <w:r>
            <w:rPr>
              <w:rFonts w:hint="eastAsia"/>
              <w:color w:val="auto"/>
            </w:rPr>
            <w:fldChar w:fldCharType="end"/>
          </w:r>
          <w:r>
            <w:rPr>
              <w:rFonts w:hint="eastAsia"/>
              <w:color w:val="auto"/>
            </w:rPr>
            <w:fldChar w:fldCharType="end"/>
          </w:r>
        </w:p>
        <w:p w14:paraId="3CC65635">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"_Toc225216914" </w:instrText>
          </w:r>
          <w:r>
            <w:rPr>
              <w:color w:val="auto"/>
            </w:rPr>
            <w:fldChar w:fldCharType="separate"/>
          </w:r>
          <w:r>
            <w:rPr>
              <w:rStyle w:val="29"/>
              <w:rFonts w:hint="eastAsia"/>
              <w:color w:val="auto"/>
            </w:rPr>
            <w:t>10.4</w:t>
          </w:r>
          <w:r>
            <w:rPr>
              <w:rFonts w:hint="eastAsia" w:asciiTheme="minorHAnsi" w:hAnsiTheme="minorHAnsi" w:eastAsiaTheme="minorEastAsia"/>
              <w:color w:val="auto"/>
              <w:sz w:val="22"/>
              <w:szCs w:val="24"/>
              <w14:ligatures w14:val="standardContextual"/>
            </w:rPr>
            <w:tab/>
          </w:r>
          <w:r>
            <w:rPr>
              <w:rStyle w:val="29"/>
              <w:rFonts w:hint="eastAsia"/>
              <w:color w:val="auto"/>
            </w:rPr>
            <w:t>环境影响经济损益分析</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_Toc225216914 \h</w:instrText>
          </w:r>
          <w:r>
            <w:rPr>
              <w:rFonts w:hint="eastAsia"/>
              <w:color w:val="auto"/>
            </w:rPr>
            <w:instrText xml:space="preserve"> </w:instrText>
          </w:r>
          <w:r>
            <w:rPr>
              <w:rFonts w:hint="eastAsia"/>
              <w:color w:val="auto"/>
            </w:rPr>
            <w:fldChar w:fldCharType="separate"/>
          </w:r>
          <w:r>
            <w:rPr>
              <w:color w:val="auto"/>
            </w:rPr>
            <w:t>388</w:t>
          </w:r>
          <w:r>
            <w:rPr>
              <w:rFonts w:hint="eastAsia"/>
              <w:color w:val="auto"/>
            </w:rPr>
            <w:fldChar w:fldCharType="end"/>
          </w:r>
          <w:r>
            <w:rPr>
              <w:rFonts w:hint="eastAsia"/>
              <w:color w:val="auto"/>
            </w:rPr>
            <w:fldChar w:fldCharType="end"/>
          </w:r>
        </w:p>
        <w:p w14:paraId="1FE5F47D">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"_Toc225216915" </w:instrText>
          </w:r>
          <w:r>
            <w:rPr>
              <w:color w:val="auto"/>
            </w:rPr>
            <w:fldChar w:fldCharType="separate"/>
          </w:r>
          <w:r>
            <w:rPr>
              <w:rStyle w:val="29"/>
              <w:rFonts w:hint="eastAsia"/>
              <w:color w:val="auto"/>
            </w:rPr>
            <w:t>10.5</w:t>
          </w:r>
          <w:r>
            <w:rPr>
              <w:rFonts w:hint="eastAsia" w:asciiTheme="minorHAnsi" w:hAnsiTheme="minorHAnsi" w:eastAsiaTheme="minorEastAsia"/>
              <w:color w:val="auto"/>
              <w:sz w:val="22"/>
              <w:szCs w:val="24"/>
              <w14:ligatures w14:val="standardContextual"/>
            </w:rPr>
            <w:tab/>
          </w:r>
          <w:r>
            <w:rPr>
              <w:rStyle w:val="29"/>
              <w:rFonts w:hint="eastAsia"/>
              <w:color w:val="auto"/>
            </w:rPr>
            <w:t>环境管理与监测计划</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_Toc225216915 \h</w:instrText>
          </w:r>
          <w:r>
            <w:rPr>
              <w:rFonts w:hint="eastAsia"/>
              <w:color w:val="auto"/>
            </w:rPr>
            <w:instrText xml:space="preserve"> </w:instrText>
          </w:r>
          <w:r>
            <w:rPr>
              <w:rFonts w:hint="eastAsia"/>
              <w:color w:val="auto"/>
            </w:rPr>
            <w:fldChar w:fldCharType="separate"/>
          </w:r>
          <w:r>
            <w:rPr>
              <w:color w:val="auto"/>
            </w:rPr>
            <w:t>388</w:t>
          </w:r>
          <w:r>
            <w:rPr>
              <w:rFonts w:hint="eastAsia"/>
              <w:color w:val="auto"/>
            </w:rPr>
            <w:fldChar w:fldCharType="end"/>
          </w:r>
          <w:r>
            <w:rPr>
              <w:rFonts w:hint="eastAsia"/>
              <w:color w:val="auto"/>
            </w:rPr>
            <w:fldChar w:fldCharType="end"/>
          </w:r>
        </w:p>
        <w:p w14:paraId="53E132F4">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"_Toc225216916" </w:instrText>
          </w:r>
          <w:r>
            <w:rPr>
              <w:color w:val="auto"/>
            </w:rPr>
            <w:fldChar w:fldCharType="separate"/>
          </w:r>
          <w:r>
            <w:rPr>
              <w:rStyle w:val="29"/>
              <w:rFonts w:hint="eastAsia"/>
              <w:color w:val="auto"/>
            </w:rPr>
            <w:t>10.6</w:t>
          </w:r>
          <w:r>
            <w:rPr>
              <w:rFonts w:hint="eastAsia" w:asciiTheme="minorHAnsi" w:hAnsiTheme="minorHAnsi" w:eastAsiaTheme="minorEastAsia"/>
              <w:color w:val="auto"/>
              <w:sz w:val="22"/>
              <w:szCs w:val="24"/>
              <w14:ligatures w14:val="standardContextual"/>
            </w:rPr>
            <w:tab/>
          </w:r>
          <w:r>
            <w:rPr>
              <w:rStyle w:val="29"/>
              <w:rFonts w:hint="eastAsia"/>
              <w:color w:val="auto"/>
            </w:rPr>
            <w:t>公众参与结论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_Toc225216916 \h</w:instrText>
          </w:r>
          <w:r>
            <w:rPr>
              <w:rFonts w:hint="eastAsia"/>
              <w:color w:val="auto"/>
            </w:rPr>
            <w:instrText xml:space="preserve"> </w:instrText>
          </w:r>
          <w:r>
            <w:rPr>
              <w:rFonts w:hint="eastAsia"/>
              <w:color w:val="auto"/>
            </w:rPr>
            <w:fldChar w:fldCharType="separate"/>
          </w:r>
          <w:r>
            <w:rPr>
              <w:color w:val="auto"/>
            </w:rPr>
            <w:t>388</w:t>
          </w:r>
          <w:r>
            <w:rPr>
              <w:rFonts w:hint="eastAsia"/>
              <w:color w:val="auto"/>
            </w:rPr>
            <w:fldChar w:fldCharType="end"/>
          </w:r>
          <w:r>
            <w:rPr>
              <w:rFonts w:hint="eastAsia"/>
              <w:color w:val="auto"/>
            </w:rPr>
            <w:fldChar w:fldCharType="end"/>
          </w:r>
        </w:p>
        <w:p w14:paraId="016CA8CA">
          <w:pPr>
            <w:pStyle w:val="23"/>
            <w:tabs>
              <w:tab w:val="left" w:pos="1680"/>
              <w:tab w:val="right" w:leader="dot" w:pos="9060"/>
            </w:tabs>
            <w:ind w:left="480" w:firstLine="480"/>
            <w:rPr>
              <w:rFonts w:hint="eastAsia" w:asciiTheme="minorHAnsi" w:hAnsiTheme="minorHAnsi" w:eastAsiaTheme="minorEastAsia"/>
              <w:color w:val="auto"/>
              <w:sz w:val="22"/>
              <w:szCs w:val="24"/>
              <w14:ligatures w14:val="standardContextual"/>
            </w:rPr>
          </w:pPr>
          <w:r>
            <w:rPr>
              <w:color w:val="auto"/>
            </w:rPr>
            <w:fldChar w:fldCharType="begin"/>
          </w:r>
          <w:r>
            <w:rPr>
              <w:color w:val="auto"/>
            </w:rPr>
            <w:instrText xml:space="preserve"> HYPERLINK \l "_Toc225216917" </w:instrText>
          </w:r>
          <w:r>
            <w:rPr>
              <w:color w:val="auto"/>
            </w:rPr>
            <w:fldChar w:fldCharType="separate"/>
          </w:r>
          <w:r>
            <w:rPr>
              <w:rStyle w:val="29"/>
              <w:rFonts w:hint="eastAsia"/>
              <w:color w:val="auto"/>
            </w:rPr>
            <w:t>10.7</w:t>
          </w:r>
          <w:r>
            <w:rPr>
              <w:rFonts w:hint="eastAsia" w:asciiTheme="minorHAnsi" w:hAnsiTheme="minorHAnsi" w:eastAsiaTheme="minorEastAsia"/>
              <w:color w:val="auto"/>
              <w:sz w:val="22"/>
              <w:szCs w:val="24"/>
              <w14:ligatures w14:val="standardContextual"/>
            </w:rPr>
            <w:tab/>
          </w:r>
          <w:r>
            <w:rPr>
              <w:rStyle w:val="29"/>
              <w:rFonts w:hint="eastAsia"/>
              <w:color w:val="auto"/>
            </w:rPr>
            <w:t>综合结论</w:t>
          </w:r>
          <w:r>
            <w:rPr>
              <w:rFonts w:hint="eastAsia"/>
              <w:color w:val="auto"/>
            </w:rPr>
            <w:tab/>
          </w:r>
          <w:r>
            <w:rPr>
              <w:rFonts w:hint="eastAsia"/>
              <w:color w:val="auto"/>
            </w:rPr>
            <w:fldChar w:fldCharType="begin"/>
          </w:r>
          <w:r>
            <w:rPr>
              <w:rFonts w:hint="eastAsia"/>
              <w:color w:val="auto"/>
            </w:rPr>
            <w:instrText xml:space="preserve"> </w:instrText>
          </w:r>
          <w:r>
            <w:rPr>
              <w:color w:val="auto"/>
            </w:rPr>
            <w:instrText xml:space="preserve">PAGEREF _Toc225216917 \h</w:instrText>
          </w:r>
          <w:r>
            <w:rPr>
              <w:rFonts w:hint="eastAsia"/>
              <w:color w:val="auto"/>
            </w:rPr>
            <w:instrText xml:space="preserve"> </w:instrText>
          </w:r>
          <w:r>
            <w:rPr>
              <w:rFonts w:hint="eastAsia"/>
              <w:color w:val="auto"/>
            </w:rPr>
            <w:fldChar w:fldCharType="separate"/>
          </w:r>
          <w:r>
            <w:rPr>
              <w:color w:val="auto"/>
            </w:rPr>
            <w:t>389</w:t>
          </w:r>
          <w:r>
            <w:rPr>
              <w:rFonts w:hint="eastAsia"/>
              <w:color w:val="auto"/>
            </w:rPr>
            <w:fldChar w:fldCharType="end"/>
          </w:r>
          <w:r>
            <w:rPr>
              <w:rFonts w:hint="eastAsia"/>
              <w:color w:val="auto"/>
            </w:rPr>
            <w:fldChar w:fldCharType="end"/>
          </w:r>
        </w:p>
        <w:p w14:paraId="671D104E">
          <w:pPr>
            <w:ind w:firstLine="482"/>
            <w:rPr>
              <w:color w:val="auto"/>
            </w:rPr>
          </w:pPr>
          <w:r>
            <w:rPr>
              <w:b/>
              <w:bCs/>
              <w:color w:val="auto"/>
              <w:lang w:val="zh-CN"/>
            </w:rPr>
            <w:fldChar w:fldCharType="end"/>
          </w:r>
        </w:p>
      </w:sdtContent>
    </w:sdt>
    <w:p w14:paraId="425EE798">
      <w:pPr>
        <w:spacing w:line="400" w:lineRule="exact"/>
        <w:ind w:firstLine="0" w:firstLineChars="0"/>
        <w:rPr>
          <w:color w:val="auto"/>
          <w:sz w:val="32"/>
          <w:szCs w:val="32"/>
        </w:rPr>
      </w:pPr>
    </w:p>
    <w:p w14:paraId="461A76F3">
      <w:pPr>
        <w:spacing w:line="400" w:lineRule="exact"/>
        <w:ind w:firstLine="0" w:firstLineChars="0"/>
        <w:rPr>
          <w:color w:val="auto"/>
          <w:sz w:val="32"/>
          <w:szCs w:val="32"/>
        </w:rPr>
      </w:pPr>
    </w:p>
    <w:p w14:paraId="40CDED9E">
      <w:pPr>
        <w:pStyle w:val="3"/>
        <w:numPr>
          <w:ilvl w:val="0"/>
          <w:numId w:val="0"/>
        </w:numPr>
        <w:rPr>
          <w:color w:val="auto"/>
        </w:rPr>
      </w:pPr>
      <w:bookmarkStart w:id="15" w:name="_Toc225216644"/>
      <w:bookmarkStart w:id="16" w:name="_Toc221355685"/>
      <w:r>
        <w:rPr>
          <w:color w:val="auto"/>
        </w:rPr>
        <w:t>附图</w:t>
      </w:r>
      <w:bookmarkEnd w:id="15"/>
      <w:bookmarkEnd w:id="16"/>
    </w:p>
    <w:p w14:paraId="4FE2D945">
      <w:pPr>
        <w:ind w:firstLine="480"/>
        <w:rPr>
          <w:color w:val="auto"/>
        </w:rPr>
      </w:pPr>
      <w:r>
        <w:rPr>
          <w:rFonts w:hint="eastAsia"/>
          <w:color w:val="auto"/>
        </w:rPr>
        <w:t>附图1 项目地理位置图</w:t>
      </w:r>
    </w:p>
    <w:p w14:paraId="41A73D24">
      <w:pPr>
        <w:ind w:firstLine="480"/>
        <w:rPr>
          <w:color w:val="auto"/>
        </w:rPr>
      </w:pPr>
      <w:r>
        <w:rPr>
          <w:rFonts w:hint="eastAsia"/>
          <w:color w:val="auto"/>
        </w:rPr>
        <w:t>附图2-1 项目平面布置图</w:t>
      </w:r>
    </w:p>
    <w:p w14:paraId="37219573">
      <w:pPr>
        <w:ind w:firstLine="480"/>
        <w:rPr>
          <w:color w:val="auto"/>
        </w:rPr>
      </w:pPr>
      <w:r>
        <w:rPr>
          <w:rFonts w:hint="eastAsia"/>
          <w:color w:val="auto"/>
        </w:rPr>
        <w:t>附图2-2 项目分区防渗图</w:t>
      </w:r>
    </w:p>
    <w:p w14:paraId="2BB74414">
      <w:pPr>
        <w:ind w:firstLine="480"/>
        <w:rPr>
          <w:color w:val="auto"/>
        </w:rPr>
      </w:pPr>
      <w:r>
        <w:rPr>
          <w:rFonts w:hint="eastAsia"/>
          <w:color w:val="auto"/>
        </w:rPr>
        <w:t>附图3 项目评价范围和环境保护目标示意图</w:t>
      </w:r>
    </w:p>
    <w:p w14:paraId="1342672F">
      <w:pPr>
        <w:ind w:firstLine="480"/>
        <w:rPr>
          <w:color w:val="auto"/>
        </w:rPr>
      </w:pPr>
      <w:r>
        <w:rPr>
          <w:rFonts w:hint="eastAsia"/>
          <w:color w:val="auto"/>
        </w:rPr>
        <w:t>附图4-1 地下水、大气环境质量现状监测点布点图</w:t>
      </w:r>
    </w:p>
    <w:p w14:paraId="5EB56C20">
      <w:pPr>
        <w:ind w:firstLine="480"/>
        <w:rPr>
          <w:color w:val="auto"/>
        </w:rPr>
      </w:pPr>
      <w:r>
        <w:rPr>
          <w:rFonts w:hint="eastAsia"/>
          <w:color w:val="auto"/>
        </w:rPr>
        <w:t>附图4-2 土壤、噪声环境质量现状监测点布点图</w:t>
      </w:r>
    </w:p>
    <w:p w14:paraId="716F95AC">
      <w:pPr>
        <w:ind w:firstLine="480"/>
        <w:rPr>
          <w:color w:val="auto"/>
        </w:rPr>
      </w:pPr>
      <w:r>
        <w:rPr>
          <w:rFonts w:hint="eastAsia"/>
          <w:color w:val="auto"/>
        </w:rPr>
        <w:t>附图4-3 引用海水环境质量现状监测点布点图</w:t>
      </w:r>
    </w:p>
    <w:p w14:paraId="573B114D">
      <w:pPr>
        <w:ind w:firstLine="480"/>
        <w:rPr>
          <w:color w:val="auto"/>
        </w:rPr>
      </w:pPr>
      <w:r>
        <w:rPr>
          <w:rFonts w:hint="eastAsia"/>
          <w:color w:val="auto"/>
        </w:rPr>
        <w:t>附图4-4 海洋环境保护目标示意图</w:t>
      </w:r>
    </w:p>
    <w:p w14:paraId="5DC63DC5">
      <w:pPr>
        <w:ind w:firstLine="480"/>
        <w:rPr>
          <w:color w:val="auto"/>
        </w:rPr>
      </w:pPr>
      <w:r>
        <w:rPr>
          <w:rFonts w:hint="eastAsia"/>
          <w:color w:val="auto"/>
        </w:rPr>
        <w:t>附图5 项目区域污染源分布图</w:t>
      </w:r>
    </w:p>
    <w:p w14:paraId="45888A14">
      <w:pPr>
        <w:ind w:firstLine="480"/>
        <w:rPr>
          <w:color w:val="auto"/>
        </w:rPr>
      </w:pPr>
      <w:r>
        <w:rPr>
          <w:rFonts w:hint="eastAsia"/>
          <w:color w:val="auto"/>
        </w:rPr>
        <w:t>附图6 项目区域水文地质图</w:t>
      </w:r>
    </w:p>
    <w:p w14:paraId="0AF54D79">
      <w:pPr>
        <w:ind w:firstLine="480"/>
        <w:rPr>
          <w:color w:val="auto"/>
        </w:rPr>
      </w:pPr>
      <w:r>
        <w:rPr>
          <w:rFonts w:hint="eastAsia"/>
          <w:color w:val="auto"/>
        </w:rPr>
        <w:t>附图7 排污口在海洋海域功能区位置关系图</w:t>
      </w:r>
    </w:p>
    <w:p w14:paraId="25CBB03C">
      <w:pPr>
        <w:ind w:firstLine="480"/>
        <w:rPr>
          <w:color w:val="auto"/>
        </w:rPr>
      </w:pPr>
      <w:r>
        <w:rPr>
          <w:rFonts w:hint="eastAsia"/>
          <w:color w:val="auto"/>
        </w:rPr>
        <w:t>附图8 项目跟踪监测布点图</w:t>
      </w:r>
    </w:p>
    <w:p w14:paraId="08B42540">
      <w:pPr>
        <w:ind w:firstLine="480"/>
        <w:rPr>
          <w:color w:val="auto"/>
        </w:rPr>
      </w:pPr>
      <w:r>
        <w:rPr>
          <w:rFonts w:hint="eastAsia"/>
          <w:color w:val="auto"/>
        </w:rPr>
        <w:t>附图9 项目与钦州市生态环境分区管控单元位置关系图1</w:t>
      </w:r>
    </w:p>
    <w:p w14:paraId="1F0641C5">
      <w:pPr>
        <w:ind w:firstLine="480"/>
        <w:rPr>
          <w:color w:val="auto"/>
        </w:rPr>
      </w:pPr>
      <w:r>
        <w:rPr>
          <w:rFonts w:hint="eastAsia"/>
          <w:color w:val="auto"/>
        </w:rPr>
        <w:t>附图10 项目与林浆纸产业园的位置关系示意图</w:t>
      </w:r>
    </w:p>
    <w:p w14:paraId="3A5BEC28">
      <w:pPr>
        <w:ind w:firstLine="480"/>
        <w:rPr>
          <w:color w:val="auto"/>
        </w:rPr>
      </w:pPr>
      <w:r>
        <w:rPr>
          <w:rFonts w:hint="eastAsia"/>
          <w:color w:val="auto"/>
        </w:rPr>
        <w:t>附图11 钦州市中心城区声环境功能区划图</w:t>
      </w:r>
    </w:p>
    <w:p w14:paraId="4CB604B5">
      <w:pPr>
        <w:pStyle w:val="3"/>
        <w:numPr>
          <w:ilvl w:val="0"/>
          <w:numId w:val="0"/>
        </w:numPr>
        <w:rPr>
          <w:color w:val="auto"/>
        </w:rPr>
      </w:pPr>
      <w:bookmarkStart w:id="17" w:name="_Toc221355686"/>
      <w:bookmarkStart w:id="18" w:name="_Toc225216645"/>
      <w:r>
        <w:rPr>
          <w:color w:val="auto"/>
        </w:rPr>
        <w:t>附件</w:t>
      </w:r>
      <w:bookmarkEnd w:id="17"/>
      <w:bookmarkEnd w:id="18"/>
    </w:p>
    <w:p w14:paraId="62979F0B">
      <w:pPr>
        <w:ind w:firstLine="480"/>
        <w:rPr>
          <w:color w:val="auto"/>
        </w:rPr>
      </w:pPr>
      <w:r>
        <w:rPr>
          <w:color w:val="auto"/>
        </w:rPr>
        <w:t>附件1：项目委托书；</w:t>
      </w:r>
    </w:p>
    <w:p w14:paraId="6DBD5C91">
      <w:pPr>
        <w:ind w:firstLine="480"/>
        <w:rPr>
          <w:color w:val="auto"/>
        </w:rPr>
      </w:pPr>
      <w:r>
        <w:rPr>
          <w:color w:val="auto"/>
        </w:rPr>
        <w:t>附件2：广西金桂浆纸业有限公司高档纸板车间绿色升级改造项目备案表；</w:t>
      </w:r>
    </w:p>
    <w:p w14:paraId="14951306">
      <w:pPr>
        <w:ind w:firstLine="480"/>
        <w:rPr>
          <w:color w:val="auto"/>
        </w:rPr>
      </w:pPr>
      <w:r>
        <w:rPr>
          <w:color w:val="auto"/>
        </w:rPr>
        <w:t>附件3-1：关于广西金桂浆纸业有限公司林浆纸一体化工程年产60万吨高档纸板项目环境影响报告书审查意见的复函（环审〔2005〕105号）；</w:t>
      </w:r>
    </w:p>
    <w:p w14:paraId="360799D5">
      <w:pPr>
        <w:ind w:firstLine="480"/>
        <w:rPr>
          <w:color w:val="auto"/>
        </w:rPr>
      </w:pPr>
      <w:r>
        <w:rPr>
          <w:color w:val="auto"/>
        </w:rPr>
        <w:t>附件3-2：关于广西金桂浆纸业有限公司林浆纸一体化工程年产60万吨高档纸板项目变更环境影响报告书的批复（环审〔2010〕418号）；</w:t>
      </w:r>
    </w:p>
    <w:p w14:paraId="5CA55340">
      <w:pPr>
        <w:ind w:firstLine="480"/>
        <w:rPr>
          <w:color w:val="auto"/>
        </w:rPr>
      </w:pPr>
      <w:r>
        <w:rPr>
          <w:color w:val="auto"/>
        </w:rPr>
        <w:t>附件3-3：关于广西金桂浆纸业有限公司林浆纸一体化工程年产60万吨高档纸板项目（林基地和制浆、抄浆工程部分竣工环境保护验收意见的函（环验〔2011〕378号）；</w:t>
      </w:r>
    </w:p>
    <w:p w14:paraId="4D77940B">
      <w:pPr>
        <w:ind w:firstLine="480"/>
        <w:rPr>
          <w:color w:val="auto"/>
        </w:rPr>
      </w:pPr>
      <w:r>
        <w:rPr>
          <w:color w:val="auto"/>
        </w:rPr>
        <w:t>附件3-4：关于广西金桂浆纸业有限公司林浆纸一体化工程年产60万吨高档纸板项目（造纸工程部分）竣工环境保护验收合格的函（环验〔2014〕59号）；</w:t>
      </w:r>
    </w:p>
    <w:p w14:paraId="7F774302">
      <w:pPr>
        <w:ind w:firstLine="480"/>
        <w:rPr>
          <w:color w:val="auto"/>
        </w:rPr>
      </w:pPr>
      <w:r>
        <w:rPr>
          <w:color w:val="auto"/>
        </w:rPr>
        <w:t>附件3-5：关于广西金桂浆纸业有限公司GUANGXIBM1#配套LPG站项目环境影响报告表的批复（钦港环管字〔2011〕20号）；</w:t>
      </w:r>
    </w:p>
    <w:p w14:paraId="1D529BD7">
      <w:pPr>
        <w:ind w:firstLine="480"/>
        <w:rPr>
          <w:color w:val="auto"/>
        </w:rPr>
      </w:pPr>
      <w:r>
        <w:rPr>
          <w:color w:val="auto"/>
        </w:rPr>
        <w:t>附件3-6：关于广西金桂浆纸业有限公司GUANGXIBM1#配套LPG站项目竣工环境保护验收批复（钦港环验字〔2013〕5号）；</w:t>
      </w:r>
    </w:p>
    <w:p w14:paraId="0531412E">
      <w:pPr>
        <w:ind w:firstLine="480"/>
        <w:rPr>
          <w:color w:val="auto"/>
        </w:rPr>
      </w:pPr>
      <w:r>
        <w:rPr>
          <w:color w:val="auto"/>
        </w:rPr>
        <w:t>附件3-7：关于广西金桂浆纸业有限公司动力厂脱硫脱硝项目环境影响报告表的批复（钦港环管字〔2013〕22号）；</w:t>
      </w:r>
    </w:p>
    <w:p w14:paraId="4D9E2C6B">
      <w:pPr>
        <w:ind w:firstLine="480"/>
        <w:rPr>
          <w:color w:val="auto"/>
        </w:rPr>
      </w:pPr>
      <w:r>
        <w:rPr>
          <w:color w:val="auto"/>
        </w:rPr>
        <w:t>附件3-8：关于广西金桂浆纸业有限公司林浆纸一体化扩建工程年产25万吨化机浆项目环境影响报告书的批复（桂环审〔2015〕59号）；</w:t>
      </w:r>
    </w:p>
    <w:p w14:paraId="481AF33E">
      <w:pPr>
        <w:ind w:firstLine="480"/>
        <w:rPr>
          <w:color w:val="auto"/>
        </w:rPr>
      </w:pPr>
      <w:r>
        <w:rPr>
          <w:color w:val="auto"/>
        </w:rPr>
        <w:t>附件3-9：关于广西金桂浆纸业有限公司林浆纸一体化扩建工程年产25万吨化机浆项目竣工环保验收申请的批复（桂环验〔2015〕175号）；</w:t>
      </w:r>
    </w:p>
    <w:p w14:paraId="4CF25A5A">
      <w:pPr>
        <w:ind w:firstLine="480"/>
        <w:rPr>
          <w:color w:val="auto"/>
        </w:rPr>
      </w:pPr>
      <w:r>
        <w:rPr>
          <w:color w:val="auto"/>
        </w:rPr>
        <w:t>附件3-10：广西壮族自治区环境保护厅关于广西金桂浆纸业有限公司年产40万吨高档纸板扩建工程环境影响报告书的批复（桂环审〔2016〕66号）；</w:t>
      </w:r>
    </w:p>
    <w:p w14:paraId="08811DD1">
      <w:pPr>
        <w:ind w:firstLine="480"/>
        <w:rPr>
          <w:color w:val="auto"/>
        </w:rPr>
      </w:pPr>
      <w:r>
        <w:rPr>
          <w:color w:val="auto"/>
        </w:rPr>
        <w:t>附件3-11：广西壮族自治区环境保护厅关于广西金桂浆纸业有限公司年产40万吨高档纸板扩建项目竣工环境保护验收申请的批复（桂环验〔2017〕60号）；</w:t>
      </w:r>
    </w:p>
    <w:p w14:paraId="5C619CB6">
      <w:pPr>
        <w:ind w:firstLine="480"/>
        <w:rPr>
          <w:color w:val="auto"/>
        </w:rPr>
      </w:pPr>
      <w:r>
        <w:rPr>
          <w:color w:val="auto"/>
        </w:rPr>
        <w:t>附件3-12：钦州市环境保护局关于广西金桂将之有限公司年产180万吨高档纸版扩建项目环境影响报告书的批复（钦港环管字〔2017〕33号）；</w:t>
      </w:r>
    </w:p>
    <w:p w14:paraId="27C5DE64">
      <w:pPr>
        <w:ind w:firstLine="480"/>
        <w:rPr>
          <w:color w:val="auto"/>
        </w:rPr>
      </w:pPr>
      <w:r>
        <w:rPr>
          <w:color w:val="auto"/>
        </w:rPr>
        <w:t>附件3-13：广西金桂浆纸业有限公司年产180万吨高档纸板扩建项目（第一台纸机子项目）竣工环境保护自主验收意见（2023年1月11日）；</w:t>
      </w:r>
    </w:p>
    <w:p w14:paraId="6CF167DC">
      <w:pPr>
        <w:ind w:firstLine="480"/>
        <w:rPr>
          <w:color w:val="auto"/>
        </w:rPr>
      </w:pPr>
      <w:r>
        <w:rPr>
          <w:color w:val="auto"/>
        </w:rPr>
        <w:t>附件3-14：钦州市环境保护局关于广西金桂浆纸业有限公司热电站超低排放技改工程环境影响报告表的批复（钦港环管字〔2018]7号）；</w:t>
      </w:r>
    </w:p>
    <w:p w14:paraId="042A5258">
      <w:pPr>
        <w:ind w:firstLine="480"/>
        <w:rPr>
          <w:color w:val="auto"/>
        </w:rPr>
      </w:pPr>
      <w:r>
        <w:rPr>
          <w:color w:val="auto"/>
        </w:rPr>
        <w:t>附件3-15：钦州市环境保护局关于广西金桂浆纸业有限公司热电站超低排放技改工程固体废物环境保护设施竣工环境保护验收申请的批复（钦港环验〔2019〕7号）；</w:t>
      </w:r>
    </w:p>
    <w:p w14:paraId="66A5B157">
      <w:pPr>
        <w:ind w:firstLine="480"/>
        <w:rPr>
          <w:color w:val="auto"/>
        </w:rPr>
      </w:pPr>
      <w:r>
        <w:rPr>
          <w:color w:val="auto"/>
        </w:rPr>
        <w:t>附件3-16：广西金桂浆纸业有限公司热电站超低排放技改工程（废气、废水和噪声部分）验收组意见（2019年4月15日）；</w:t>
      </w:r>
    </w:p>
    <w:p w14:paraId="7D91395C">
      <w:pPr>
        <w:ind w:firstLine="480"/>
        <w:rPr>
          <w:color w:val="auto"/>
        </w:rPr>
      </w:pPr>
      <w:r>
        <w:rPr>
          <w:color w:val="auto"/>
        </w:rPr>
        <w:t>附件3-17：钦州市生态环境局关于广西金桂浆纸业有限公司公司年产30万吨过氧化氢（浓度27.5%）项目环境影响报告书的批复（钦港环管字〔2019〕4号）；</w:t>
      </w:r>
    </w:p>
    <w:p w14:paraId="475267B2">
      <w:pPr>
        <w:ind w:firstLine="480"/>
        <w:rPr>
          <w:color w:val="auto"/>
        </w:rPr>
      </w:pPr>
      <w:r>
        <w:rPr>
          <w:color w:val="auto"/>
        </w:rPr>
        <w:t>附件3-18：广西金桂浆纸业有限公司年产30万吨过氧化氢（浓度27.5%）项目竣工环境保护验收意见（2021年7月10日）；</w:t>
      </w:r>
    </w:p>
    <w:p w14:paraId="3F60F972">
      <w:pPr>
        <w:ind w:firstLine="480"/>
        <w:rPr>
          <w:color w:val="auto"/>
        </w:rPr>
      </w:pPr>
      <w:r>
        <w:rPr>
          <w:color w:val="auto"/>
        </w:rPr>
        <w:t>附件3-19：广西壮族自治区生态环境厅关于广西金桂浆纸业有限公司年产75万吨化浆扩建项目环境影响报告书的批复（桂环审〔2020〕152号）；</w:t>
      </w:r>
    </w:p>
    <w:p w14:paraId="064E65D5">
      <w:pPr>
        <w:ind w:firstLine="480"/>
        <w:rPr>
          <w:color w:val="auto"/>
        </w:rPr>
      </w:pPr>
      <w:r>
        <w:rPr>
          <w:color w:val="auto"/>
        </w:rPr>
        <w:t>附件3-20：广西金桂浆纸业有限公司年产75万吨化机浆扩建项目（一期）竣工环境保护验收意见；</w:t>
      </w:r>
    </w:p>
    <w:p w14:paraId="08A54093">
      <w:pPr>
        <w:ind w:firstLine="480"/>
        <w:rPr>
          <w:color w:val="auto"/>
        </w:rPr>
      </w:pPr>
      <w:r>
        <w:rPr>
          <w:color w:val="auto"/>
        </w:rPr>
        <w:t>附件3-21：钦州市生态环境局关于广西金桂浆纸业有限公司年产40万吨高档纸板扩建项目备用锅炉排烟方式变更项目环境影响报告书的批复（自贸钦港审批环〔2021〕6号）；</w:t>
      </w:r>
    </w:p>
    <w:p w14:paraId="46AAF09D">
      <w:pPr>
        <w:ind w:firstLine="480"/>
        <w:rPr>
          <w:color w:val="auto"/>
        </w:rPr>
      </w:pPr>
      <w:r>
        <w:rPr>
          <w:color w:val="auto"/>
        </w:rPr>
        <w:t>附件3-22：钦州市生态环境局关于广西金桂浆纸业有限公司年产25万吨丁苯胶乳项目环境影响报告书的批复（自贸钦审批环〔2022〕55号）；</w:t>
      </w:r>
    </w:p>
    <w:p w14:paraId="26DD8D21">
      <w:pPr>
        <w:ind w:firstLine="480"/>
        <w:rPr>
          <w:color w:val="auto"/>
        </w:rPr>
      </w:pPr>
      <w:r>
        <w:rPr>
          <w:color w:val="auto"/>
        </w:rPr>
        <w:t>附件3-23：中国（广西）自由贸易试验区钦州港片区行政审批局关于广西金桂浆纸业有限公司三期工程年产300万吨林浆纸一体化项目环境影响报告书的批复（自贸钦审批环〔2024〕50号）；</w:t>
      </w:r>
    </w:p>
    <w:p w14:paraId="1C7BF984">
      <w:pPr>
        <w:ind w:firstLine="480"/>
        <w:rPr>
          <w:color w:val="auto"/>
        </w:rPr>
      </w:pPr>
      <w:r>
        <w:rPr>
          <w:color w:val="auto"/>
        </w:rPr>
        <w:t>附件3-24：关于广西金桂浆纸业有限公司三期工程年产300万吨林浆纸一体化项目变更建设单位及相关批文有效期的意见；</w:t>
      </w:r>
    </w:p>
    <w:p w14:paraId="5B1FFE37">
      <w:pPr>
        <w:ind w:firstLine="480"/>
        <w:rPr>
          <w:color w:val="auto"/>
        </w:rPr>
      </w:pPr>
      <w:r>
        <w:rPr>
          <w:color w:val="auto"/>
        </w:rPr>
        <w:t>附件3-25：中国—马来西亚钦州产业园区行政审批局关于广西金桂浆纸业有限公司污水处理站绿色升级改造项目环境影响报告表的批复（中马园审批环〔2026〕1号）；</w:t>
      </w:r>
    </w:p>
    <w:p w14:paraId="756865D5">
      <w:pPr>
        <w:ind w:firstLine="480"/>
        <w:rPr>
          <w:color w:val="auto"/>
        </w:rPr>
      </w:pPr>
      <w:r>
        <w:rPr>
          <w:color w:val="auto"/>
        </w:rPr>
        <w:t>附件4：营业执照；</w:t>
      </w:r>
    </w:p>
    <w:p w14:paraId="4117A520">
      <w:pPr>
        <w:ind w:firstLine="480"/>
        <w:rPr>
          <w:color w:val="auto"/>
        </w:rPr>
      </w:pPr>
      <w:r>
        <w:rPr>
          <w:color w:val="auto"/>
        </w:rPr>
        <w:t>附件5：关于印发《广西钦州林浆纸产业园发展规划（2024—2035年）》的通知（钦政办[2024〕23号）；</w:t>
      </w:r>
    </w:p>
    <w:p w14:paraId="43268322">
      <w:pPr>
        <w:ind w:firstLine="480"/>
        <w:rPr>
          <w:color w:val="auto"/>
        </w:rPr>
      </w:pPr>
      <w:r>
        <w:rPr>
          <w:color w:val="auto"/>
        </w:rPr>
        <w:t>附件6：钦州市生态环境局关于《广西钦州林浆纸产业园发展规划（2024-2035年）环境影响报告书》审查意见的函（钦环审函〔2024〕12号）；</w:t>
      </w:r>
    </w:p>
    <w:p w14:paraId="37818645">
      <w:pPr>
        <w:ind w:firstLine="480"/>
        <w:rPr>
          <w:color w:val="auto"/>
        </w:rPr>
      </w:pPr>
      <w:r>
        <w:rPr>
          <w:color w:val="auto"/>
        </w:rPr>
        <w:t>附件7：关于钦州市林浆纸产业园规划范围与广西钦州石化产业园总体发展规划中鹿耳片区重叠区域的说明；</w:t>
      </w:r>
    </w:p>
    <w:p w14:paraId="7F08D383">
      <w:pPr>
        <w:ind w:firstLine="480"/>
        <w:rPr>
          <w:color w:val="auto"/>
        </w:rPr>
      </w:pPr>
      <w:r>
        <w:rPr>
          <w:color w:val="auto"/>
        </w:rPr>
        <w:t>附件8-1：碳酸钙制备工序杂质合同；</w:t>
      </w:r>
    </w:p>
    <w:p w14:paraId="10A74F9D">
      <w:pPr>
        <w:ind w:firstLine="480"/>
        <w:rPr>
          <w:color w:val="auto"/>
        </w:rPr>
      </w:pPr>
      <w:r>
        <w:rPr>
          <w:color w:val="auto"/>
        </w:rPr>
        <w:t>附件8-2：</w:t>
      </w:r>
      <w:r>
        <w:rPr>
          <w:rFonts w:hint="eastAsia"/>
          <w:color w:val="auto"/>
        </w:rPr>
        <w:t>废料独家购销合同</w:t>
      </w:r>
      <w:r>
        <w:rPr>
          <w:color w:val="auto"/>
        </w:rPr>
        <w:t>；</w:t>
      </w:r>
    </w:p>
    <w:p w14:paraId="7DA5F9CC">
      <w:pPr>
        <w:ind w:firstLine="480"/>
        <w:rPr>
          <w:color w:val="auto"/>
        </w:rPr>
      </w:pPr>
      <w:r>
        <w:rPr>
          <w:color w:val="auto"/>
        </w:rPr>
        <w:t>附件8-3：危险废物委托处置合同；</w:t>
      </w:r>
    </w:p>
    <w:p w14:paraId="636CF70D">
      <w:pPr>
        <w:ind w:firstLine="480"/>
        <w:rPr>
          <w:color w:val="auto"/>
        </w:rPr>
      </w:pPr>
      <w:r>
        <w:rPr>
          <w:color w:val="auto"/>
        </w:rPr>
        <w:t>附件9：固废锅炉浆渣、污泥、木屑成分检测报告；</w:t>
      </w:r>
    </w:p>
    <w:p w14:paraId="664E95F2">
      <w:pPr>
        <w:ind w:firstLine="480"/>
        <w:rPr>
          <w:color w:val="auto"/>
        </w:rPr>
      </w:pPr>
      <w:r>
        <w:rPr>
          <w:color w:val="auto"/>
        </w:rPr>
        <w:t>附件10：海洋生物调查种类名录；</w:t>
      </w:r>
    </w:p>
    <w:p w14:paraId="6FDB5827">
      <w:pPr>
        <w:ind w:firstLine="480"/>
        <w:rPr>
          <w:color w:val="auto"/>
        </w:rPr>
      </w:pPr>
      <w:r>
        <w:rPr>
          <w:color w:val="auto"/>
        </w:rPr>
        <w:t>附件11-1：环境质量现状监测报告（氯气）；</w:t>
      </w:r>
    </w:p>
    <w:p w14:paraId="4CD1B7F1">
      <w:pPr>
        <w:ind w:firstLine="480"/>
        <w:rPr>
          <w:color w:val="auto"/>
        </w:rPr>
      </w:pPr>
      <w:r>
        <w:rPr>
          <w:color w:val="auto"/>
        </w:rPr>
        <w:t>附件11-2：环境质量现状监测报告（环境空气+噪声+土壤）；</w:t>
      </w:r>
    </w:p>
    <w:p w14:paraId="248A886C">
      <w:pPr>
        <w:ind w:firstLine="480"/>
        <w:rPr>
          <w:color w:val="auto"/>
        </w:rPr>
      </w:pPr>
      <w:r>
        <w:rPr>
          <w:color w:val="auto"/>
        </w:rPr>
        <w:t>附件11-3：环境质量现状监测报告（土壤）；</w:t>
      </w:r>
    </w:p>
    <w:p w14:paraId="71A051FA">
      <w:pPr>
        <w:ind w:firstLine="480"/>
        <w:rPr>
          <w:color w:val="auto"/>
        </w:rPr>
      </w:pPr>
      <w:r>
        <w:rPr>
          <w:color w:val="auto"/>
        </w:rPr>
        <w:t>附件11-4：环境质量现状监测报告（地下水+噪声）；</w:t>
      </w:r>
    </w:p>
    <w:p w14:paraId="2E75CD3F">
      <w:pPr>
        <w:ind w:firstLine="480"/>
        <w:rPr>
          <w:color w:val="auto"/>
        </w:rPr>
      </w:pPr>
      <w:r>
        <w:rPr>
          <w:color w:val="auto"/>
        </w:rPr>
        <w:t>附件11-5：环境质量现状监测报告（AOX）；</w:t>
      </w:r>
    </w:p>
    <w:p w14:paraId="784FB33D">
      <w:pPr>
        <w:ind w:firstLine="480"/>
        <w:rPr>
          <w:color w:val="auto"/>
        </w:rPr>
      </w:pPr>
      <w:r>
        <w:rPr>
          <w:color w:val="auto"/>
        </w:rPr>
        <w:t>附件11-6：环境质量现状监测报告（总磷）；</w:t>
      </w:r>
    </w:p>
    <w:p w14:paraId="249C24B2">
      <w:pPr>
        <w:ind w:firstLine="480"/>
        <w:rPr>
          <w:color w:val="auto"/>
        </w:rPr>
      </w:pPr>
      <w:r>
        <w:rPr>
          <w:color w:val="auto"/>
        </w:rPr>
        <w:t>附件11-7：环境质量现状监测报告（二噁英）；</w:t>
      </w:r>
    </w:p>
    <w:p w14:paraId="15388C1F">
      <w:pPr>
        <w:ind w:firstLine="480"/>
        <w:rPr>
          <w:color w:val="auto"/>
        </w:rPr>
      </w:pPr>
      <w:r>
        <w:rPr>
          <w:color w:val="auto"/>
        </w:rPr>
        <w:t>附件11-8：引用环境质量现状监测报告（海洋）；</w:t>
      </w:r>
    </w:p>
    <w:p w14:paraId="3564315E">
      <w:pPr>
        <w:ind w:firstLine="480"/>
        <w:rPr>
          <w:color w:val="auto"/>
        </w:rPr>
      </w:pPr>
      <w:r>
        <w:rPr>
          <w:color w:val="auto"/>
        </w:rPr>
        <w:t>附件12：广西金桂环境应急预案备案表；</w:t>
      </w:r>
    </w:p>
    <w:p w14:paraId="5FC6AE26">
      <w:pPr>
        <w:ind w:firstLine="480"/>
        <w:rPr>
          <w:color w:val="auto"/>
        </w:rPr>
      </w:pPr>
      <w:r>
        <w:rPr>
          <w:color w:val="auto"/>
        </w:rPr>
        <w:t>附件13-1：板框污泥销售利用合同-力源宝；</w:t>
      </w:r>
    </w:p>
    <w:p w14:paraId="333F7E05">
      <w:pPr>
        <w:ind w:firstLine="480"/>
        <w:rPr>
          <w:color w:val="auto"/>
        </w:rPr>
      </w:pPr>
      <w:r>
        <w:rPr>
          <w:color w:val="auto"/>
        </w:rPr>
        <w:t>附件13-2：广西田东力源宝科技有限公司环评批复</w:t>
      </w:r>
      <w:r>
        <w:rPr>
          <w:rFonts w:hint="eastAsia"/>
          <w:color w:val="auto"/>
        </w:rPr>
        <w:t>；</w:t>
      </w:r>
    </w:p>
    <w:p w14:paraId="1A2B62F6">
      <w:pPr>
        <w:spacing w:line="400" w:lineRule="exact"/>
        <w:ind w:firstLine="480"/>
        <w:rPr>
          <w:color w:val="auto"/>
        </w:rPr>
      </w:pPr>
      <w:r>
        <w:rPr>
          <w:rFonts w:hint="eastAsia"/>
          <w:color w:val="auto"/>
        </w:rPr>
        <w:t>附件13-3：关于金桂浆纸业有限公司高档纸板车间绿色升级改造项目环项目研判初步结论；</w:t>
      </w:r>
    </w:p>
    <w:p w14:paraId="0D804200">
      <w:pPr>
        <w:spacing w:line="400" w:lineRule="exact"/>
        <w:ind w:firstLine="480"/>
        <w:rPr>
          <w:color w:val="auto"/>
        </w:rPr>
      </w:pPr>
      <w:r>
        <w:rPr>
          <w:rFonts w:hint="eastAsia"/>
          <w:color w:val="auto"/>
        </w:rPr>
        <w:t>附件14-1：淋膜项目环评登记表（备案号20174507000100000021）签字版；</w:t>
      </w:r>
    </w:p>
    <w:p w14:paraId="61CAE80B">
      <w:pPr>
        <w:spacing w:line="400" w:lineRule="exact"/>
        <w:ind w:firstLine="480"/>
        <w:rPr>
          <w:color w:val="auto"/>
        </w:rPr>
      </w:pPr>
      <w:r>
        <w:rPr>
          <w:rFonts w:hint="eastAsia"/>
          <w:color w:val="auto"/>
        </w:rPr>
        <w:t>附件14-2：淋膜项目备案批文（钦港审批备字</w:t>
      </w:r>
      <w:r>
        <w:rPr>
          <w:color w:val="auto"/>
        </w:rPr>
        <w:t>〔</w:t>
      </w:r>
      <w:r>
        <w:rPr>
          <w:rFonts w:hint="eastAsia"/>
          <w:color w:val="auto"/>
        </w:rPr>
        <w:t>2017</w:t>
      </w:r>
      <w:r>
        <w:rPr>
          <w:color w:val="auto"/>
        </w:rPr>
        <w:t>〕</w:t>
      </w:r>
      <w:r>
        <w:rPr>
          <w:rFonts w:hint="eastAsia"/>
          <w:color w:val="auto"/>
        </w:rPr>
        <w:t>37号）。</w:t>
      </w:r>
    </w:p>
    <w:p w14:paraId="45A39A3D">
      <w:pPr>
        <w:spacing w:line="400" w:lineRule="exact"/>
        <w:ind w:firstLine="480"/>
        <w:rPr>
          <w:color w:val="auto"/>
        </w:rPr>
      </w:pPr>
    </w:p>
    <w:p w14:paraId="3060F8D8">
      <w:pPr>
        <w:pStyle w:val="3"/>
        <w:numPr>
          <w:ilvl w:val="0"/>
          <w:numId w:val="0"/>
        </w:numPr>
        <w:rPr>
          <w:rFonts w:cs="Times New Roman"/>
          <w:color w:val="auto"/>
        </w:rPr>
      </w:pPr>
      <w:bookmarkStart w:id="19" w:name="_Toc225216646"/>
      <w:bookmarkStart w:id="20" w:name="_Toc221355687"/>
      <w:r>
        <w:rPr>
          <w:rFonts w:cs="Times New Roman"/>
          <w:color w:val="auto"/>
        </w:rPr>
        <w:t>附表</w:t>
      </w:r>
      <w:bookmarkEnd w:id="19"/>
      <w:bookmarkEnd w:id="20"/>
    </w:p>
    <w:p w14:paraId="1337326A">
      <w:pPr>
        <w:ind w:firstLine="480"/>
        <w:rPr>
          <w:color w:val="auto"/>
          <w:kern w:val="0"/>
        </w:rPr>
      </w:pPr>
      <w:r>
        <w:rPr>
          <w:rFonts w:hint="eastAsia" w:ascii="宋体" w:hAnsi="宋体"/>
          <w:color w:val="auto"/>
          <w:kern w:val="0"/>
        </w:rPr>
        <w:t>附表</w:t>
      </w:r>
      <w:r>
        <w:rPr>
          <w:rFonts w:hint="eastAsia"/>
          <w:color w:val="auto"/>
          <w:kern w:val="0"/>
        </w:rPr>
        <w:t>1</w:t>
      </w:r>
      <w:r>
        <w:rPr>
          <w:color w:val="auto"/>
          <w:kern w:val="0"/>
        </w:rPr>
        <w:t xml:space="preserve"> </w:t>
      </w:r>
      <w:r>
        <w:rPr>
          <w:rFonts w:hint="eastAsia" w:ascii="宋体" w:hAnsi="宋体"/>
          <w:color w:val="auto"/>
          <w:kern w:val="0"/>
        </w:rPr>
        <w:t>大气环境影响评价自查表</w:t>
      </w:r>
    </w:p>
    <w:p w14:paraId="4795CBF9">
      <w:pPr>
        <w:ind w:firstLine="480"/>
        <w:rPr>
          <w:color w:val="auto"/>
          <w:kern w:val="0"/>
        </w:rPr>
      </w:pPr>
      <w:r>
        <w:rPr>
          <w:rFonts w:hint="eastAsia" w:ascii="宋体" w:hAnsi="宋体"/>
          <w:color w:val="auto"/>
          <w:kern w:val="0"/>
        </w:rPr>
        <w:t>附表</w:t>
      </w:r>
      <w:r>
        <w:rPr>
          <w:rFonts w:hint="eastAsia"/>
          <w:color w:val="auto"/>
          <w:kern w:val="0"/>
        </w:rPr>
        <w:t>2</w:t>
      </w:r>
      <w:r>
        <w:rPr>
          <w:color w:val="auto"/>
          <w:kern w:val="0"/>
        </w:rPr>
        <w:t xml:space="preserve"> </w:t>
      </w:r>
      <w:r>
        <w:rPr>
          <w:rFonts w:hint="eastAsia" w:ascii="宋体" w:hAnsi="宋体"/>
          <w:color w:val="auto"/>
          <w:kern w:val="0"/>
        </w:rPr>
        <w:t>地表水环境影响评价自查表</w:t>
      </w:r>
    </w:p>
    <w:p w14:paraId="58BEE387">
      <w:pPr>
        <w:ind w:firstLine="480"/>
        <w:rPr>
          <w:color w:val="auto"/>
          <w:kern w:val="0"/>
        </w:rPr>
      </w:pPr>
      <w:r>
        <w:rPr>
          <w:rFonts w:hint="eastAsia" w:ascii="宋体" w:hAnsi="宋体"/>
          <w:color w:val="auto"/>
          <w:kern w:val="0"/>
        </w:rPr>
        <w:t>附表</w:t>
      </w:r>
      <w:r>
        <w:rPr>
          <w:rFonts w:hint="eastAsia"/>
          <w:color w:val="auto"/>
          <w:kern w:val="0"/>
        </w:rPr>
        <w:t>3</w:t>
      </w:r>
      <w:r>
        <w:rPr>
          <w:color w:val="auto"/>
          <w:kern w:val="0"/>
        </w:rPr>
        <w:t xml:space="preserve"> </w:t>
      </w:r>
      <w:r>
        <w:rPr>
          <w:rFonts w:hint="eastAsia" w:ascii="宋体" w:hAnsi="宋体"/>
          <w:color w:val="auto"/>
          <w:kern w:val="0"/>
        </w:rPr>
        <w:t>土壤环境影响评价自查表</w:t>
      </w:r>
    </w:p>
    <w:p w14:paraId="2E2B843E">
      <w:pPr>
        <w:ind w:firstLine="480"/>
        <w:rPr>
          <w:color w:val="auto"/>
        </w:rPr>
      </w:pPr>
      <w:r>
        <w:rPr>
          <w:rFonts w:hint="eastAsia" w:ascii="宋体" w:hAnsi="宋体"/>
          <w:color w:val="auto"/>
        </w:rPr>
        <w:t>附表</w:t>
      </w:r>
      <w:r>
        <w:rPr>
          <w:rFonts w:hint="eastAsia"/>
          <w:color w:val="auto"/>
        </w:rPr>
        <w:t>4</w:t>
      </w:r>
      <w:r>
        <w:rPr>
          <w:color w:val="auto"/>
        </w:rPr>
        <w:t xml:space="preserve"> </w:t>
      </w:r>
      <w:r>
        <w:rPr>
          <w:rFonts w:hint="eastAsia" w:ascii="宋体" w:hAnsi="宋体"/>
          <w:color w:val="auto"/>
        </w:rPr>
        <w:t>声环境影响评价自查表</w:t>
      </w:r>
    </w:p>
    <w:p w14:paraId="567CFBF7">
      <w:pPr>
        <w:ind w:firstLine="480"/>
        <w:rPr>
          <w:color w:val="auto"/>
        </w:rPr>
      </w:pPr>
      <w:r>
        <w:rPr>
          <w:rFonts w:hint="eastAsia" w:ascii="宋体" w:hAnsi="宋体"/>
          <w:color w:val="auto"/>
        </w:rPr>
        <w:t>附表</w:t>
      </w:r>
      <w:r>
        <w:rPr>
          <w:color w:val="auto"/>
        </w:rPr>
        <w:t xml:space="preserve">5 </w:t>
      </w:r>
      <w:r>
        <w:rPr>
          <w:rFonts w:hint="eastAsia" w:ascii="宋体" w:hAnsi="宋体"/>
          <w:color w:val="auto"/>
        </w:rPr>
        <w:t>生态环境影响评价自查表</w:t>
      </w:r>
    </w:p>
    <w:p w14:paraId="13DB0A79">
      <w:pPr>
        <w:ind w:firstLine="480"/>
        <w:rPr>
          <w:color w:val="auto"/>
        </w:rPr>
      </w:pPr>
      <w:r>
        <w:rPr>
          <w:snapToGrid w:val="0"/>
          <w:color w:val="auto"/>
        </w:rPr>
        <w:t>附表</w:t>
      </w:r>
      <w:r>
        <w:rPr>
          <w:rFonts w:hint="eastAsia"/>
          <w:snapToGrid w:val="0"/>
          <w:color w:val="auto"/>
        </w:rPr>
        <w:t>6</w:t>
      </w:r>
      <w:r>
        <w:rPr>
          <w:snapToGrid w:val="0"/>
          <w:color w:val="auto"/>
        </w:rPr>
        <w:t xml:space="preserve">  建设项目环境影响报告书审批基础信息表</w:t>
      </w:r>
    </w:p>
    <w:p w14:paraId="552D9255">
      <w:pPr>
        <w:spacing w:line="400" w:lineRule="exact"/>
        <w:ind w:firstLine="0" w:firstLineChars="0"/>
        <w:rPr>
          <w:b/>
          <w:color w:val="auto"/>
        </w:rPr>
      </w:pPr>
      <w:r>
        <w:rPr>
          <w:b/>
          <w:color w:val="auto"/>
        </w:rPr>
        <w:t xml:space="preserve"> </w:t>
      </w:r>
    </w:p>
    <w:p w14:paraId="5053A091">
      <w:pPr>
        <w:adjustRightInd w:val="0"/>
        <w:snapToGrid w:val="0"/>
        <w:spacing w:line="400" w:lineRule="exact"/>
        <w:ind w:firstLine="480"/>
        <w:rPr>
          <w:snapToGrid w:val="0"/>
          <w:color w:val="auto"/>
          <w:kern w:val="0"/>
        </w:rPr>
      </w:pPr>
    </w:p>
    <w:p w14:paraId="4B5F5698">
      <w:pPr>
        <w:adjustRightInd w:val="0"/>
        <w:snapToGrid w:val="0"/>
        <w:spacing w:line="400" w:lineRule="exact"/>
        <w:ind w:firstLine="480"/>
        <w:rPr>
          <w:color w:val="auto"/>
        </w:rPr>
        <w:sectPr>
          <w:headerReference r:id="rId15" w:type="default"/>
          <w:footerReference r:id="rId16" w:type="default"/>
          <w:pgSz w:w="11906" w:h="16838"/>
          <w:pgMar w:top="1418" w:right="1418" w:bottom="1418" w:left="1418" w:header="851" w:footer="992" w:gutter="0"/>
          <w:pgNumType w:fmt="upperRoman" w:start="1"/>
          <w:cols w:space="425" w:num="1"/>
          <w:docGrid w:type="lines" w:linePitch="312" w:charSpace="0"/>
        </w:sectPr>
      </w:pPr>
    </w:p>
    <w:p w14:paraId="0002DE2F">
      <w:pPr>
        <w:pStyle w:val="2"/>
        <w:rPr>
          <w:color w:val="auto"/>
        </w:rPr>
      </w:pPr>
      <w:bookmarkStart w:id="21" w:name="_Toc221355695"/>
      <w:bookmarkStart w:id="22" w:name="_Toc225216647"/>
      <w:r>
        <w:rPr>
          <w:rFonts w:hint="eastAsia"/>
          <w:color w:val="auto"/>
        </w:rPr>
        <w:t>总则</w:t>
      </w:r>
      <w:bookmarkEnd w:id="21"/>
      <w:bookmarkEnd w:id="22"/>
    </w:p>
    <w:p w14:paraId="5F2555CA">
      <w:pPr>
        <w:pStyle w:val="4"/>
        <w:rPr>
          <w:rFonts w:cs="Times New Roman"/>
          <w:color w:val="auto"/>
        </w:rPr>
      </w:pPr>
      <w:bookmarkStart w:id="23" w:name="_Toc198390515"/>
      <w:bookmarkStart w:id="24" w:name="_Toc225216648"/>
      <w:bookmarkStart w:id="25" w:name="_Toc199190407"/>
      <w:bookmarkStart w:id="26" w:name="_Toc199168870"/>
      <w:bookmarkStart w:id="27" w:name="_Toc198391168"/>
      <w:r>
        <w:rPr>
          <w:rFonts w:cs="Times New Roman"/>
          <w:color w:val="auto"/>
        </w:rPr>
        <w:t>国家相关法律法规、政策依据</w:t>
      </w:r>
      <w:bookmarkEnd w:id="23"/>
      <w:bookmarkEnd w:id="24"/>
      <w:bookmarkEnd w:id="25"/>
      <w:bookmarkEnd w:id="26"/>
      <w:bookmarkEnd w:id="27"/>
    </w:p>
    <w:p w14:paraId="777B4708">
      <w:pPr>
        <w:numPr>
          <w:ilvl w:val="0"/>
          <w:numId w:val="3"/>
        </w:numPr>
        <w:rPr>
          <w:rFonts w:cs="Times New Roman"/>
          <w:color w:val="auto"/>
        </w:rPr>
      </w:pPr>
      <w:r>
        <w:rPr>
          <w:rFonts w:hint="eastAsia" w:cs="Times New Roman"/>
          <w:color w:val="auto"/>
        </w:rPr>
        <w:t>《中华人民共和国生态环境法典》（</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日起施行）；</w:t>
      </w:r>
    </w:p>
    <w:p w14:paraId="36590278">
      <w:pPr>
        <w:numPr>
          <w:ilvl w:val="0"/>
          <w:numId w:val="3"/>
        </w:numPr>
        <w:rPr>
          <w:rFonts w:cs="Times New Roman"/>
          <w:color w:val="auto"/>
        </w:rPr>
      </w:pPr>
      <w:r>
        <w:rPr>
          <w:rFonts w:cs="Times New Roman"/>
          <w:color w:val="auto"/>
        </w:rPr>
        <w:t>《中华人民共和国环境保护法》（2014年修订，2015年1月1日施行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p>
    <w:p w14:paraId="0FC09881">
      <w:pPr>
        <w:numPr>
          <w:ilvl w:val="0"/>
          <w:numId w:val="3"/>
        </w:numPr>
        <w:ind w:firstLineChars="0"/>
        <w:rPr>
          <w:rFonts w:cs="Times New Roman"/>
          <w:color w:val="auto"/>
        </w:rPr>
      </w:pPr>
      <w:r>
        <w:rPr>
          <w:rFonts w:cs="Times New Roman"/>
          <w:color w:val="auto"/>
        </w:rPr>
        <w:t>《中华人民共和国环境影响评价法》（2018年12月修订，2018年12月29日起施行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r>
        <w:rPr>
          <w:rFonts w:cs="Times New Roman"/>
          <w:color w:val="auto"/>
        </w:rPr>
        <w:t>）；</w:t>
      </w:r>
    </w:p>
    <w:p w14:paraId="6AA73758">
      <w:pPr>
        <w:numPr>
          <w:ilvl w:val="0"/>
          <w:numId w:val="3"/>
        </w:numPr>
        <w:ind w:firstLineChars="0"/>
        <w:rPr>
          <w:rFonts w:cs="Times New Roman"/>
          <w:color w:val="auto"/>
        </w:rPr>
      </w:pPr>
      <w:r>
        <w:rPr>
          <w:rFonts w:cs="Times New Roman"/>
          <w:color w:val="auto"/>
        </w:rPr>
        <w:t>《中华人民共和国水污染防治法》（2017年6月修订，2018年1月1日起施行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r>
        <w:rPr>
          <w:rFonts w:cs="Times New Roman"/>
          <w:color w:val="auto"/>
        </w:rPr>
        <w:t>）；</w:t>
      </w:r>
    </w:p>
    <w:p w14:paraId="2C032ACC">
      <w:pPr>
        <w:numPr>
          <w:ilvl w:val="0"/>
          <w:numId w:val="3"/>
        </w:numPr>
        <w:ind w:firstLineChars="0"/>
        <w:rPr>
          <w:rFonts w:cs="Times New Roman"/>
          <w:color w:val="auto"/>
        </w:rPr>
      </w:pPr>
      <w:r>
        <w:rPr>
          <w:rFonts w:cs="Times New Roman"/>
          <w:color w:val="auto"/>
        </w:rPr>
        <w:t>《中华人民共和国大气污染防治法》（2018年10月修正，2018年10月26日起施行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r>
        <w:rPr>
          <w:rFonts w:cs="Times New Roman"/>
          <w:color w:val="auto"/>
        </w:rPr>
        <w:t>）；</w:t>
      </w:r>
    </w:p>
    <w:p w14:paraId="108DA94E">
      <w:pPr>
        <w:numPr>
          <w:ilvl w:val="0"/>
          <w:numId w:val="3"/>
        </w:numPr>
        <w:ind w:firstLineChars="0"/>
        <w:rPr>
          <w:rFonts w:cs="Times New Roman"/>
          <w:color w:val="auto"/>
        </w:rPr>
      </w:pPr>
      <w:r>
        <w:rPr>
          <w:rFonts w:cs="Times New Roman"/>
          <w:color w:val="auto"/>
        </w:rPr>
        <w:t>《中华人民共和国土壤污染防治法》（2018年8月修订，2019年1月1日起施行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r>
        <w:rPr>
          <w:rFonts w:cs="Times New Roman"/>
          <w:color w:val="auto"/>
        </w:rPr>
        <w:t>）；</w:t>
      </w:r>
    </w:p>
    <w:p w14:paraId="25A4DCF8">
      <w:pPr>
        <w:numPr>
          <w:ilvl w:val="0"/>
          <w:numId w:val="3"/>
        </w:numPr>
        <w:ind w:firstLineChars="0"/>
        <w:rPr>
          <w:rFonts w:cs="Times New Roman"/>
          <w:color w:val="auto"/>
        </w:rPr>
      </w:pPr>
      <w:r>
        <w:rPr>
          <w:rFonts w:cs="Times New Roman"/>
          <w:color w:val="auto"/>
        </w:rPr>
        <w:t>《中华人民共和国固体废物污染环境防治法》（2020年4月修订，自2020年9月1日起施行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p>
    <w:p w14:paraId="40BDE272">
      <w:pPr>
        <w:numPr>
          <w:ilvl w:val="0"/>
          <w:numId w:val="3"/>
        </w:numPr>
        <w:ind w:firstLineChars="0"/>
        <w:rPr>
          <w:rFonts w:cs="Times New Roman"/>
          <w:color w:val="auto"/>
        </w:rPr>
      </w:pPr>
      <w:r>
        <w:rPr>
          <w:rFonts w:cs="Times New Roman"/>
          <w:color w:val="auto"/>
        </w:rPr>
        <w:t>《中华人民共和国噪声污染防治法》（2022年6月5日起施行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p>
    <w:p w14:paraId="4FA50CC6">
      <w:pPr>
        <w:numPr>
          <w:ilvl w:val="0"/>
          <w:numId w:val="3"/>
        </w:numPr>
        <w:ind w:firstLineChars="0"/>
        <w:rPr>
          <w:rFonts w:cs="Times New Roman"/>
          <w:color w:val="auto"/>
        </w:rPr>
      </w:pPr>
      <w:r>
        <w:rPr>
          <w:rFonts w:hint="eastAsia" w:cs="Times New Roman"/>
          <w:color w:val="auto"/>
        </w:rPr>
        <w:t>《中华人民共和国海洋环境保护法》（2023年10月24日修订，自2024年1月1日起施行，</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p>
    <w:p w14:paraId="09E7EE36">
      <w:pPr>
        <w:numPr>
          <w:ilvl w:val="0"/>
          <w:numId w:val="3"/>
        </w:numPr>
        <w:ind w:firstLineChars="0"/>
        <w:rPr>
          <w:rFonts w:cs="Times New Roman"/>
          <w:color w:val="auto"/>
        </w:rPr>
      </w:pPr>
      <w:r>
        <w:rPr>
          <w:rFonts w:cs="Times New Roman"/>
          <w:color w:val="auto"/>
        </w:rPr>
        <w:t>《中华人民共和国环境保护税法》（2018年1月1日起施行）；</w:t>
      </w:r>
    </w:p>
    <w:p w14:paraId="21AA3EC6">
      <w:pPr>
        <w:numPr>
          <w:ilvl w:val="0"/>
          <w:numId w:val="3"/>
        </w:numPr>
        <w:ind w:firstLineChars="0"/>
        <w:rPr>
          <w:rFonts w:cs="Times New Roman"/>
          <w:color w:val="auto"/>
        </w:rPr>
      </w:pPr>
      <w:r>
        <w:rPr>
          <w:rFonts w:cs="Times New Roman"/>
          <w:color w:val="auto"/>
        </w:rPr>
        <w:t>《中华人民共和国可再生能源法》（2009年12月修订，自2010年4月1日起施行）；</w:t>
      </w:r>
    </w:p>
    <w:p w14:paraId="1B36EB67">
      <w:pPr>
        <w:numPr>
          <w:ilvl w:val="0"/>
          <w:numId w:val="3"/>
        </w:numPr>
        <w:ind w:firstLineChars="0"/>
        <w:rPr>
          <w:rFonts w:cs="Times New Roman"/>
          <w:color w:val="auto"/>
        </w:rPr>
      </w:pPr>
      <w:r>
        <w:rPr>
          <w:rFonts w:cs="Times New Roman"/>
          <w:color w:val="auto"/>
        </w:rPr>
        <w:t>《中华人民共和国渔业法》（2013年12月修正，自2014年3月1日起施行）；</w:t>
      </w:r>
    </w:p>
    <w:p w14:paraId="24F18E1C">
      <w:pPr>
        <w:numPr>
          <w:ilvl w:val="0"/>
          <w:numId w:val="3"/>
        </w:numPr>
        <w:ind w:firstLineChars="0"/>
        <w:rPr>
          <w:rFonts w:cs="Times New Roman"/>
          <w:color w:val="auto"/>
        </w:rPr>
      </w:pPr>
      <w:r>
        <w:rPr>
          <w:rFonts w:cs="Times New Roman"/>
          <w:color w:val="auto"/>
        </w:rPr>
        <w:t>《中华人民共和国清洁生产促进法》（2016年5月修订，2016年7月1日起施行</w:t>
      </w:r>
      <w:r>
        <w:rPr>
          <w:rFonts w:hint="eastAsia" w:cs="Times New Roman"/>
          <w:color w:val="auto"/>
        </w:rPr>
        <w:t>，</w:t>
      </w:r>
      <w:r>
        <w:rPr>
          <w:rFonts w:cs="Times New Roman"/>
          <w:color w:val="auto"/>
        </w:rPr>
        <w:t>2026</w:t>
      </w:r>
      <w:r>
        <w:rPr>
          <w:rFonts w:hint="eastAsia" w:cs="Times New Roman"/>
          <w:color w:val="auto"/>
        </w:rPr>
        <w:t>年</w:t>
      </w:r>
      <w:r>
        <w:rPr>
          <w:rFonts w:cs="Times New Roman"/>
          <w:color w:val="auto"/>
        </w:rPr>
        <w:t>8</w:t>
      </w:r>
      <w:r>
        <w:rPr>
          <w:rFonts w:hint="eastAsia" w:cs="Times New Roman"/>
          <w:color w:val="auto"/>
        </w:rPr>
        <w:t>月</w:t>
      </w:r>
      <w:r>
        <w:rPr>
          <w:rFonts w:cs="Times New Roman"/>
          <w:color w:val="auto"/>
        </w:rPr>
        <w:t>15</w:t>
      </w:r>
      <w:r>
        <w:rPr>
          <w:rFonts w:hint="eastAsia" w:cs="Times New Roman"/>
          <w:color w:val="auto"/>
        </w:rPr>
        <w:t>日起废止）；</w:t>
      </w:r>
    </w:p>
    <w:p w14:paraId="61E58AC8">
      <w:pPr>
        <w:numPr>
          <w:ilvl w:val="0"/>
          <w:numId w:val="3"/>
        </w:numPr>
        <w:ind w:firstLineChars="0"/>
        <w:rPr>
          <w:rFonts w:cs="Times New Roman"/>
          <w:color w:val="auto"/>
        </w:rPr>
      </w:pPr>
      <w:r>
        <w:rPr>
          <w:rFonts w:cs="Times New Roman"/>
          <w:color w:val="auto"/>
        </w:rPr>
        <w:t>《中华人民共和国节约能源法》（2018年修订，自2018年10月26日施行）；</w:t>
      </w:r>
    </w:p>
    <w:p w14:paraId="3E0A06DA">
      <w:pPr>
        <w:numPr>
          <w:ilvl w:val="0"/>
          <w:numId w:val="3"/>
        </w:numPr>
        <w:ind w:firstLineChars="0"/>
        <w:rPr>
          <w:rFonts w:cs="Times New Roman"/>
          <w:color w:val="auto"/>
        </w:rPr>
      </w:pPr>
      <w:r>
        <w:rPr>
          <w:rFonts w:cs="Times New Roman"/>
          <w:color w:val="auto"/>
        </w:rPr>
        <w:t xml:space="preserve">《中华人民共和国城乡规划法》（2019年4月修订，自2019年04月23起施行）； </w:t>
      </w:r>
    </w:p>
    <w:p w14:paraId="21B5BE20">
      <w:pPr>
        <w:numPr>
          <w:ilvl w:val="0"/>
          <w:numId w:val="3"/>
        </w:numPr>
        <w:ind w:firstLineChars="0"/>
        <w:rPr>
          <w:rFonts w:cs="Times New Roman"/>
          <w:color w:val="auto"/>
        </w:rPr>
      </w:pPr>
      <w:r>
        <w:rPr>
          <w:rFonts w:cs="Times New Roman"/>
          <w:color w:val="auto"/>
        </w:rPr>
        <w:t>《中华人民共和国土地管理法》（2019年8月修订，自2020年1月1日起施行）；</w:t>
      </w:r>
    </w:p>
    <w:p w14:paraId="544B9ECD">
      <w:pPr>
        <w:numPr>
          <w:ilvl w:val="0"/>
          <w:numId w:val="3"/>
        </w:numPr>
        <w:ind w:firstLineChars="0"/>
        <w:rPr>
          <w:rFonts w:cs="Times New Roman"/>
          <w:color w:val="auto"/>
        </w:rPr>
      </w:pPr>
      <w:r>
        <w:rPr>
          <w:rFonts w:hint="eastAsia" w:cs="Times New Roman"/>
          <w:color w:val="auto"/>
        </w:rPr>
        <w:t>《中华人民共和国水土保持法》（2010年12月25日修订，自2011年3月11日起施行）；</w:t>
      </w:r>
    </w:p>
    <w:p w14:paraId="7417FBC1">
      <w:pPr>
        <w:numPr>
          <w:ilvl w:val="0"/>
          <w:numId w:val="3"/>
        </w:numPr>
        <w:ind w:firstLineChars="0"/>
        <w:rPr>
          <w:rFonts w:cs="Times New Roman"/>
          <w:color w:val="auto"/>
        </w:rPr>
      </w:pPr>
      <w:r>
        <w:rPr>
          <w:rFonts w:cs="Times New Roman"/>
          <w:color w:val="auto"/>
        </w:rPr>
        <w:t>《建设项目环境保护管理条例》（国务院令第682号，2017年10月实施）；</w:t>
      </w:r>
    </w:p>
    <w:p w14:paraId="572220C9">
      <w:pPr>
        <w:numPr>
          <w:ilvl w:val="0"/>
          <w:numId w:val="3"/>
        </w:numPr>
        <w:ind w:firstLineChars="0"/>
        <w:rPr>
          <w:rFonts w:cs="Times New Roman"/>
          <w:color w:val="auto"/>
        </w:rPr>
      </w:pPr>
      <w:r>
        <w:rPr>
          <w:rFonts w:cs="Times New Roman"/>
          <w:color w:val="auto"/>
        </w:rPr>
        <w:t>《排污许可管理条例</w:t>
      </w:r>
      <w:r>
        <w:rPr>
          <w:rFonts w:hint="eastAsia" w:cs="Times New Roman"/>
          <w:color w:val="auto"/>
        </w:rPr>
        <w:t>》（</w:t>
      </w:r>
      <w:r>
        <w:rPr>
          <w:rFonts w:cs="Times New Roman"/>
          <w:color w:val="auto"/>
        </w:rPr>
        <w:t>国务院令第</w:t>
      </w:r>
      <w:r>
        <w:rPr>
          <w:rFonts w:hint="eastAsia" w:cs="Times New Roman"/>
          <w:color w:val="auto"/>
        </w:rPr>
        <w:t>736</w:t>
      </w:r>
      <w:r>
        <w:rPr>
          <w:rFonts w:cs="Times New Roman"/>
          <w:color w:val="auto"/>
        </w:rPr>
        <w:t>号，20</w:t>
      </w:r>
      <w:r>
        <w:rPr>
          <w:rFonts w:hint="eastAsia" w:cs="Times New Roman"/>
          <w:color w:val="auto"/>
        </w:rPr>
        <w:t>21</w:t>
      </w:r>
      <w:r>
        <w:rPr>
          <w:rFonts w:cs="Times New Roman"/>
          <w:color w:val="auto"/>
        </w:rPr>
        <w:t>年</w:t>
      </w:r>
      <w:r>
        <w:rPr>
          <w:rFonts w:hint="eastAsia" w:cs="Times New Roman"/>
          <w:color w:val="auto"/>
        </w:rPr>
        <w:t>3月1日</w:t>
      </w:r>
      <w:r>
        <w:rPr>
          <w:rFonts w:cs="Times New Roman"/>
          <w:color w:val="auto"/>
        </w:rPr>
        <w:t>实施）；</w:t>
      </w:r>
    </w:p>
    <w:p w14:paraId="53509AA8">
      <w:pPr>
        <w:numPr>
          <w:ilvl w:val="0"/>
          <w:numId w:val="3"/>
        </w:numPr>
        <w:ind w:firstLineChars="0"/>
        <w:rPr>
          <w:rFonts w:cs="Times New Roman"/>
          <w:color w:val="auto"/>
        </w:rPr>
      </w:pPr>
      <w:r>
        <w:rPr>
          <w:rFonts w:cs="Times New Roman"/>
          <w:color w:val="auto"/>
        </w:rPr>
        <w:t>《地下水管理条例》</w:t>
      </w:r>
      <w:r>
        <w:rPr>
          <w:rFonts w:hint="eastAsia" w:cs="Times New Roman"/>
          <w:color w:val="auto"/>
        </w:rPr>
        <w:t>（</w:t>
      </w:r>
      <w:r>
        <w:rPr>
          <w:rFonts w:cs="Times New Roman"/>
          <w:color w:val="auto"/>
        </w:rPr>
        <w:t>国务院令第748号</w:t>
      </w:r>
      <w:r>
        <w:rPr>
          <w:rFonts w:hint="eastAsia" w:cs="Times New Roman"/>
          <w:color w:val="auto"/>
        </w:rPr>
        <w:t>，</w:t>
      </w:r>
      <w:r>
        <w:rPr>
          <w:rFonts w:cs="Times New Roman"/>
          <w:color w:val="auto"/>
        </w:rPr>
        <w:t>自2021年12月1日起施行</w:t>
      </w:r>
      <w:r>
        <w:rPr>
          <w:rFonts w:hint="eastAsia" w:cs="Times New Roman"/>
          <w:color w:val="auto"/>
        </w:rPr>
        <w:t>）；</w:t>
      </w:r>
    </w:p>
    <w:p w14:paraId="5649FE7D">
      <w:pPr>
        <w:numPr>
          <w:ilvl w:val="0"/>
          <w:numId w:val="3"/>
        </w:numPr>
        <w:ind w:firstLineChars="0"/>
        <w:rPr>
          <w:rFonts w:cs="Times New Roman"/>
          <w:color w:val="auto"/>
        </w:rPr>
      </w:pPr>
      <w:r>
        <w:rPr>
          <w:rFonts w:cs="Times New Roman"/>
          <w:color w:val="auto"/>
        </w:rPr>
        <w:t>《国务院关于加强环境保护重点工作的意见》（国发〔2011〕35号）；</w:t>
      </w:r>
    </w:p>
    <w:p w14:paraId="6FB4EAFB">
      <w:pPr>
        <w:numPr>
          <w:ilvl w:val="0"/>
          <w:numId w:val="3"/>
        </w:numPr>
        <w:ind w:firstLineChars="0"/>
        <w:rPr>
          <w:rFonts w:cs="Times New Roman"/>
          <w:color w:val="auto"/>
        </w:rPr>
      </w:pPr>
      <w:r>
        <w:rPr>
          <w:rFonts w:hint="eastAsia" w:cs="Times New Roman"/>
          <w:color w:val="auto"/>
        </w:rPr>
        <w:t>《突发环境事件应急管理办法》（环境保护部令第34号，自2015年6月5日起施行）</w:t>
      </w:r>
    </w:p>
    <w:p w14:paraId="0AA79CC4">
      <w:pPr>
        <w:numPr>
          <w:ilvl w:val="0"/>
          <w:numId w:val="3"/>
        </w:numPr>
        <w:ind w:firstLineChars="0"/>
        <w:rPr>
          <w:rFonts w:cs="Times New Roman"/>
          <w:color w:val="auto"/>
        </w:rPr>
      </w:pPr>
      <w:r>
        <w:rPr>
          <w:rFonts w:cs="Times New Roman"/>
          <w:color w:val="auto"/>
        </w:rPr>
        <w:t>《工矿用地土壤环境管理办法（试行）》（生态环境部令第3号</w:t>
      </w:r>
      <w:r>
        <w:rPr>
          <w:rFonts w:hint="eastAsia" w:cs="Times New Roman"/>
          <w:color w:val="auto"/>
        </w:rPr>
        <w:t>，自2018年8月1日起施行</w:t>
      </w:r>
      <w:r>
        <w:rPr>
          <w:rFonts w:cs="Times New Roman"/>
          <w:color w:val="auto"/>
        </w:rPr>
        <w:t>）；</w:t>
      </w:r>
    </w:p>
    <w:p w14:paraId="5B35CF29">
      <w:pPr>
        <w:numPr>
          <w:ilvl w:val="0"/>
          <w:numId w:val="3"/>
        </w:numPr>
        <w:ind w:firstLineChars="0"/>
        <w:rPr>
          <w:rFonts w:cs="Times New Roman"/>
          <w:color w:val="auto"/>
        </w:rPr>
      </w:pPr>
      <w:r>
        <w:rPr>
          <w:rFonts w:cs="Times New Roman"/>
          <w:color w:val="auto"/>
        </w:rPr>
        <w:t>）《环境影响评价公众参与办法》（环境保护部令第4号，2019年1月1日起实施）；</w:t>
      </w:r>
    </w:p>
    <w:p w14:paraId="3A594E6F">
      <w:pPr>
        <w:numPr>
          <w:ilvl w:val="0"/>
          <w:numId w:val="3"/>
        </w:numPr>
        <w:ind w:firstLineChars="0"/>
        <w:rPr>
          <w:rFonts w:cs="Times New Roman"/>
          <w:color w:val="auto"/>
        </w:rPr>
      </w:pPr>
      <w:r>
        <w:rPr>
          <w:rFonts w:hint="eastAsia" w:cs="Times New Roman"/>
          <w:color w:val="auto"/>
        </w:rPr>
        <w:t>《固定污染源排污许可分类管理名录（2019年版）》（生态环境部令第11号，自2019年12月20日起施行）</w:t>
      </w:r>
    </w:p>
    <w:p w14:paraId="0F22B971">
      <w:pPr>
        <w:numPr>
          <w:ilvl w:val="0"/>
          <w:numId w:val="3"/>
        </w:numPr>
        <w:ind w:firstLineChars="0"/>
        <w:rPr>
          <w:rFonts w:cs="Times New Roman"/>
          <w:color w:val="auto"/>
        </w:rPr>
      </w:pPr>
      <w:r>
        <w:rPr>
          <w:rFonts w:cs="Times New Roman"/>
          <w:color w:val="auto"/>
        </w:rPr>
        <w:t>《建设项目环境影响评价分类管理名录（2021年版）》（</w:t>
      </w:r>
      <w:r>
        <w:rPr>
          <w:rFonts w:hint="eastAsia" w:cs="Times New Roman"/>
          <w:color w:val="auto"/>
        </w:rPr>
        <w:t>生态环境</w:t>
      </w:r>
      <w:r>
        <w:rPr>
          <w:rFonts w:cs="Times New Roman"/>
          <w:color w:val="auto"/>
        </w:rPr>
        <w:t>部令第16号</w:t>
      </w:r>
      <w:r>
        <w:rPr>
          <w:rFonts w:hint="eastAsia" w:cs="Times New Roman"/>
          <w:color w:val="auto"/>
        </w:rPr>
        <w:t>，2</w:t>
      </w:r>
      <w:r>
        <w:rPr>
          <w:rFonts w:cs="Times New Roman"/>
          <w:color w:val="auto"/>
        </w:rPr>
        <w:t>021年1月1日起施行）；</w:t>
      </w:r>
    </w:p>
    <w:p w14:paraId="4230D19B">
      <w:pPr>
        <w:numPr>
          <w:ilvl w:val="0"/>
          <w:numId w:val="3"/>
        </w:numPr>
        <w:ind w:firstLineChars="0"/>
        <w:rPr>
          <w:rFonts w:cs="Times New Roman"/>
          <w:color w:val="auto"/>
        </w:rPr>
      </w:pPr>
      <w:r>
        <w:rPr>
          <w:rFonts w:hint="eastAsia" w:cs="Times New Roman"/>
          <w:color w:val="auto"/>
        </w:rPr>
        <w:t>《危险废物转移管理办法》（生态环境部、公安部、交通运输部令第23号，自2022年1月1日起施行）；</w:t>
      </w:r>
    </w:p>
    <w:p w14:paraId="65E611EE">
      <w:pPr>
        <w:numPr>
          <w:ilvl w:val="0"/>
          <w:numId w:val="3"/>
        </w:numPr>
        <w:ind w:firstLineChars="0"/>
        <w:rPr>
          <w:rFonts w:cs="Times New Roman"/>
          <w:color w:val="auto"/>
        </w:rPr>
      </w:pPr>
      <w:r>
        <w:rPr>
          <w:rFonts w:hint="eastAsia" w:cs="Times New Roman"/>
          <w:color w:val="auto"/>
        </w:rPr>
        <w:t>《环境监管重点单位名录管理办法》（生态环境部令第27号，自2023年1月1日起施行）；</w:t>
      </w:r>
    </w:p>
    <w:p w14:paraId="464AC382">
      <w:pPr>
        <w:numPr>
          <w:ilvl w:val="0"/>
          <w:numId w:val="3"/>
        </w:numPr>
        <w:ind w:firstLineChars="0"/>
        <w:rPr>
          <w:rFonts w:cs="Times New Roman"/>
          <w:color w:val="auto"/>
        </w:rPr>
      </w:pPr>
      <w:r>
        <w:rPr>
          <w:rFonts w:hint="eastAsia" w:cs="Times New Roman"/>
          <w:color w:val="auto"/>
        </w:rPr>
        <w:t>《排污许可管理办法》（生态环境部令第32号，自2024年7月1日起施行）；</w:t>
      </w:r>
    </w:p>
    <w:p w14:paraId="3D3B2938">
      <w:pPr>
        <w:numPr>
          <w:ilvl w:val="0"/>
          <w:numId w:val="3"/>
        </w:numPr>
        <w:ind w:firstLineChars="0"/>
        <w:rPr>
          <w:rFonts w:cs="Times New Roman"/>
          <w:color w:val="auto"/>
        </w:rPr>
      </w:pPr>
      <w:r>
        <w:rPr>
          <w:rFonts w:hint="eastAsia" w:cs="Times New Roman"/>
          <w:color w:val="auto"/>
        </w:rPr>
        <w:t>《入海排污口监督管理办法（试行）》（环海洋〔2024〕72号，自2025年1月1日起施行）；</w:t>
      </w:r>
    </w:p>
    <w:p w14:paraId="21A91EC4">
      <w:pPr>
        <w:numPr>
          <w:ilvl w:val="0"/>
          <w:numId w:val="3"/>
        </w:numPr>
        <w:ind w:firstLineChars="0"/>
        <w:rPr>
          <w:rFonts w:cs="Times New Roman"/>
          <w:color w:val="auto"/>
        </w:rPr>
      </w:pPr>
      <w:r>
        <w:rPr>
          <w:rFonts w:hint="eastAsia" w:cs="Times New Roman"/>
          <w:color w:val="auto"/>
        </w:rPr>
        <w:t>《国家危险废物名录（2025年版）》（生态环境部、国家发展和改革委员会、公安部、交通运输部、国家卫生健康委员会令第36号，自2025年1月1日起施行）；</w:t>
      </w:r>
    </w:p>
    <w:p w14:paraId="700DFB60">
      <w:pPr>
        <w:numPr>
          <w:ilvl w:val="0"/>
          <w:numId w:val="3"/>
        </w:numPr>
        <w:ind w:firstLineChars="0"/>
        <w:rPr>
          <w:rFonts w:cs="Times New Roman"/>
          <w:color w:val="auto"/>
        </w:rPr>
      </w:pPr>
      <w:r>
        <w:rPr>
          <w:rFonts w:cs="Times New Roman"/>
          <w:color w:val="auto"/>
        </w:rPr>
        <w:t>《造纸产业发展政策》（国家发改委公告〔2007〕第71号</w:t>
      </w:r>
      <w:r>
        <w:rPr>
          <w:rFonts w:hint="eastAsia" w:cs="Times New Roman"/>
          <w:color w:val="auto"/>
        </w:rPr>
        <w:t>，自2007</w:t>
      </w:r>
      <w:r>
        <w:rPr>
          <w:rFonts w:cs="Times New Roman"/>
          <w:color w:val="auto"/>
        </w:rPr>
        <w:t>年</w:t>
      </w:r>
      <w:r>
        <w:rPr>
          <w:rFonts w:hint="eastAsia" w:cs="Times New Roman"/>
          <w:color w:val="auto"/>
        </w:rPr>
        <w:t>10</w:t>
      </w:r>
      <w:r>
        <w:rPr>
          <w:rFonts w:cs="Times New Roman"/>
          <w:color w:val="auto"/>
        </w:rPr>
        <w:t>月</w:t>
      </w:r>
      <w:r>
        <w:rPr>
          <w:rFonts w:hint="eastAsia" w:cs="Times New Roman"/>
          <w:color w:val="auto"/>
        </w:rPr>
        <w:t>15</w:t>
      </w:r>
      <w:r>
        <w:rPr>
          <w:rFonts w:cs="Times New Roman"/>
          <w:color w:val="auto"/>
        </w:rPr>
        <w:t>日</w:t>
      </w:r>
      <w:r>
        <w:rPr>
          <w:rFonts w:hint="eastAsia" w:cs="Times New Roman"/>
          <w:color w:val="auto"/>
        </w:rPr>
        <w:t>起实施</w:t>
      </w:r>
      <w:r>
        <w:rPr>
          <w:rFonts w:cs="Times New Roman"/>
          <w:color w:val="auto"/>
        </w:rPr>
        <w:t>）；</w:t>
      </w:r>
    </w:p>
    <w:p w14:paraId="6371783A">
      <w:pPr>
        <w:numPr>
          <w:ilvl w:val="0"/>
          <w:numId w:val="3"/>
        </w:numPr>
        <w:ind w:firstLineChars="0"/>
        <w:rPr>
          <w:rFonts w:cs="Times New Roman"/>
          <w:color w:val="auto"/>
        </w:rPr>
      </w:pPr>
      <w:r>
        <w:rPr>
          <w:rFonts w:cs="Times New Roman"/>
          <w:color w:val="auto"/>
        </w:rPr>
        <w:t>《制浆造纸行业清洁生产评价指标体系》（</w:t>
      </w:r>
      <w:r>
        <w:rPr>
          <w:rFonts w:hint="eastAsia" w:cs="Times New Roman"/>
          <w:color w:val="auto"/>
        </w:rPr>
        <w:t>国家发展和改革委员会、环境保护部、工业和信息化部公告</w:t>
      </w:r>
      <w:r>
        <w:rPr>
          <w:rFonts w:cs="Times New Roman"/>
          <w:color w:val="auto"/>
        </w:rPr>
        <w:t>2015年第9号</w:t>
      </w:r>
      <w:r>
        <w:rPr>
          <w:rFonts w:hint="eastAsia" w:cs="Times New Roman"/>
          <w:color w:val="auto"/>
        </w:rPr>
        <w:t>，自2015年4月15日起实施</w:t>
      </w:r>
      <w:r>
        <w:rPr>
          <w:rFonts w:cs="Times New Roman"/>
          <w:color w:val="auto"/>
        </w:rPr>
        <w:t>）；</w:t>
      </w:r>
    </w:p>
    <w:p w14:paraId="06E60E0B">
      <w:pPr>
        <w:numPr>
          <w:ilvl w:val="0"/>
          <w:numId w:val="3"/>
        </w:numPr>
        <w:ind w:firstLineChars="0"/>
        <w:rPr>
          <w:rFonts w:cs="Times New Roman"/>
          <w:color w:val="auto"/>
        </w:rPr>
      </w:pPr>
      <w:r>
        <w:rPr>
          <w:rFonts w:cs="Times New Roman"/>
          <w:color w:val="auto"/>
        </w:rPr>
        <w:t>《产业结构调整指导目录（2024年本）》（</w:t>
      </w:r>
      <w:r>
        <w:rPr>
          <w:rFonts w:hint="eastAsia" w:cs="Times New Roman"/>
          <w:color w:val="auto"/>
        </w:rPr>
        <w:t>国家发展改革委令第7号，</w:t>
      </w:r>
      <w:r>
        <w:rPr>
          <w:rFonts w:cs="Times New Roman"/>
          <w:color w:val="auto"/>
        </w:rPr>
        <w:t>自2024年2月1日起施行）；</w:t>
      </w:r>
    </w:p>
    <w:p w14:paraId="42B573D1">
      <w:pPr>
        <w:numPr>
          <w:ilvl w:val="0"/>
          <w:numId w:val="3"/>
        </w:numPr>
        <w:ind w:firstLineChars="0"/>
        <w:rPr>
          <w:rFonts w:cs="Times New Roman"/>
          <w:color w:val="auto"/>
        </w:rPr>
      </w:pPr>
      <w:r>
        <w:rPr>
          <w:rFonts w:cs="Times New Roman"/>
          <w:color w:val="auto"/>
        </w:rPr>
        <w:t>《国家重点保护野生动物名录》（国家林业和草原局 农业农村部</w:t>
      </w:r>
      <w:r>
        <w:rPr>
          <w:rFonts w:hint="eastAsia" w:cs="Times New Roman"/>
          <w:color w:val="auto"/>
        </w:rPr>
        <w:t>公告</w:t>
      </w:r>
      <w:r>
        <w:rPr>
          <w:rFonts w:cs="Times New Roman"/>
          <w:color w:val="auto"/>
        </w:rPr>
        <w:t>2021年第3号</w:t>
      </w:r>
      <w:r>
        <w:rPr>
          <w:rFonts w:hint="eastAsia" w:cs="Times New Roman"/>
          <w:color w:val="auto"/>
        </w:rPr>
        <w:t>，自2021年2月1日起实施</w:t>
      </w:r>
      <w:r>
        <w:rPr>
          <w:rFonts w:cs="Times New Roman"/>
          <w:color w:val="auto"/>
        </w:rPr>
        <w:t>）；</w:t>
      </w:r>
    </w:p>
    <w:p w14:paraId="4628FF21">
      <w:pPr>
        <w:numPr>
          <w:ilvl w:val="0"/>
          <w:numId w:val="3"/>
        </w:numPr>
        <w:ind w:firstLineChars="0"/>
        <w:rPr>
          <w:rFonts w:cs="Times New Roman"/>
          <w:color w:val="auto"/>
        </w:rPr>
      </w:pPr>
      <w:r>
        <w:rPr>
          <w:rFonts w:cs="Times New Roman"/>
          <w:color w:val="auto"/>
        </w:rPr>
        <w:t>《国家重点保护野生植物名录》（国家林业和草原局 农业农村部</w:t>
      </w:r>
      <w:r>
        <w:rPr>
          <w:rFonts w:hint="eastAsia" w:cs="Times New Roman"/>
          <w:color w:val="auto"/>
        </w:rPr>
        <w:t>公告</w:t>
      </w:r>
      <w:r>
        <w:rPr>
          <w:rFonts w:cs="Times New Roman"/>
          <w:color w:val="auto"/>
        </w:rPr>
        <w:t>2021年第15号</w:t>
      </w:r>
      <w:r>
        <w:rPr>
          <w:rFonts w:hint="eastAsia" w:cs="Times New Roman"/>
          <w:color w:val="auto"/>
        </w:rPr>
        <w:t>，自2021年9月7日起实施</w:t>
      </w:r>
      <w:r>
        <w:rPr>
          <w:rFonts w:cs="Times New Roman"/>
          <w:color w:val="auto"/>
        </w:rPr>
        <w:t>）；</w:t>
      </w:r>
    </w:p>
    <w:p w14:paraId="2ED41CBA">
      <w:pPr>
        <w:numPr>
          <w:ilvl w:val="0"/>
          <w:numId w:val="3"/>
        </w:numPr>
        <w:ind w:firstLineChars="0"/>
        <w:rPr>
          <w:rFonts w:cs="Times New Roman"/>
          <w:color w:val="auto"/>
        </w:rPr>
      </w:pPr>
      <w:r>
        <w:rPr>
          <w:rFonts w:cs="Times New Roman"/>
          <w:color w:val="auto"/>
        </w:rPr>
        <w:t>《关于进一步加强环境影响评价管理防范环境风险的通知》（环发〔2012〕77号）；</w:t>
      </w:r>
    </w:p>
    <w:p w14:paraId="1A5ECAE3">
      <w:pPr>
        <w:numPr>
          <w:ilvl w:val="0"/>
          <w:numId w:val="3"/>
        </w:numPr>
        <w:ind w:firstLineChars="0"/>
        <w:rPr>
          <w:rFonts w:cs="Times New Roman"/>
          <w:color w:val="auto"/>
        </w:rPr>
      </w:pPr>
      <w:r>
        <w:rPr>
          <w:rFonts w:cs="Times New Roman"/>
          <w:color w:val="auto"/>
        </w:rPr>
        <w:t>《关于切实加强风险防范严格环境影响评价管理的通知》（环发〔2012〕98号）；</w:t>
      </w:r>
    </w:p>
    <w:p w14:paraId="419A2C99">
      <w:pPr>
        <w:numPr>
          <w:ilvl w:val="0"/>
          <w:numId w:val="3"/>
        </w:numPr>
        <w:ind w:firstLineChars="0"/>
        <w:rPr>
          <w:rFonts w:cs="Times New Roman"/>
          <w:color w:val="auto"/>
        </w:rPr>
      </w:pPr>
      <w:r>
        <w:rPr>
          <w:rFonts w:cs="Times New Roman"/>
          <w:color w:val="auto"/>
        </w:rPr>
        <w:t>《关于进一步加强水生生物资源保护严格环境影响评价管理的通知》（环发〔2013〕86号）；</w:t>
      </w:r>
    </w:p>
    <w:p w14:paraId="52ADC405">
      <w:pPr>
        <w:numPr>
          <w:ilvl w:val="0"/>
          <w:numId w:val="3"/>
        </w:numPr>
        <w:ind w:firstLineChars="0"/>
        <w:rPr>
          <w:rFonts w:cs="Times New Roman"/>
          <w:color w:val="auto"/>
        </w:rPr>
      </w:pPr>
      <w:r>
        <w:rPr>
          <w:rFonts w:cs="Times New Roman"/>
          <w:color w:val="auto"/>
        </w:rPr>
        <w:t>）《关于落实大气污染防治行动计划严格环境影响评价准入的通知》（环办〔2014〕30号）；</w:t>
      </w:r>
    </w:p>
    <w:p w14:paraId="6F45D6DE">
      <w:pPr>
        <w:numPr>
          <w:ilvl w:val="0"/>
          <w:numId w:val="3"/>
        </w:numPr>
        <w:ind w:firstLineChars="0"/>
        <w:rPr>
          <w:rFonts w:cs="Times New Roman"/>
          <w:color w:val="auto"/>
        </w:rPr>
      </w:pPr>
      <w:r>
        <w:rPr>
          <w:rFonts w:cs="Times New Roman"/>
          <w:color w:val="auto"/>
        </w:rPr>
        <w:t>《企业事业单位突发环境事件应急预案备案管理办法（试行）》（环发〔2015〕4号）；</w:t>
      </w:r>
    </w:p>
    <w:p w14:paraId="655107CB">
      <w:pPr>
        <w:numPr>
          <w:ilvl w:val="0"/>
          <w:numId w:val="3"/>
        </w:numPr>
        <w:ind w:firstLineChars="0"/>
        <w:rPr>
          <w:rFonts w:cs="Times New Roman"/>
          <w:color w:val="auto"/>
        </w:rPr>
      </w:pPr>
      <w:r>
        <w:rPr>
          <w:rFonts w:cs="Times New Roman"/>
          <w:color w:val="auto"/>
        </w:rPr>
        <w:t>《制浆造纸建设项目环境影响评价文件审批原则（试行）》（环办〔2015〕112号）；</w:t>
      </w:r>
    </w:p>
    <w:p w14:paraId="70A4EE67">
      <w:pPr>
        <w:numPr>
          <w:ilvl w:val="0"/>
          <w:numId w:val="3"/>
        </w:numPr>
        <w:ind w:firstLineChars="0"/>
        <w:rPr>
          <w:rFonts w:cs="Times New Roman"/>
          <w:color w:val="auto"/>
        </w:rPr>
      </w:pPr>
      <w:r>
        <w:rPr>
          <w:rFonts w:cs="Times New Roman"/>
          <w:color w:val="auto"/>
        </w:rPr>
        <w:t>《关于印发&lt;制浆造纸企业环境守法导则&gt;的通知》（环办函〔2015〕882号）；</w:t>
      </w:r>
    </w:p>
    <w:p w14:paraId="749DB121">
      <w:pPr>
        <w:numPr>
          <w:ilvl w:val="0"/>
          <w:numId w:val="3"/>
        </w:numPr>
        <w:ind w:firstLineChars="0"/>
        <w:rPr>
          <w:rFonts w:cs="Times New Roman"/>
          <w:color w:val="auto"/>
        </w:rPr>
      </w:pPr>
      <w:r>
        <w:rPr>
          <w:rFonts w:cs="Times New Roman"/>
          <w:color w:val="auto"/>
        </w:rPr>
        <w:t>《关于强化建设项目环境影响评价事中事后监管的实施意见》（环环评〔2018〕11号）；</w:t>
      </w:r>
    </w:p>
    <w:p w14:paraId="60A12F3B">
      <w:pPr>
        <w:numPr>
          <w:ilvl w:val="0"/>
          <w:numId w:val="3"/>
        </w:numPr>
        <w:ind w:firstLineChars="0"/>
        <w:rPr>
          <w:rFonts w:cs="Times New Roman"/>
          <w:color w:val="auto"/>
        </w:rPr>
      </w:pPr>
      <w:r>
        <w:rPr>
          <w:rFonts w:cs="Times New Roman"/>
          <w:color w:val="auto"/>
        </w:rPr>
        <w:t>《关于印发地下水污染防治实施方案的通知》（环土壤〔2019〕25号）；</w:t>
      </w:r>
    </w:p>
    <w:p w14:paraId="229DDF19">
      <w:pPr>
        <w:numPr>
          <w:ilvl w:val="0"/>
          <w:numId w:val="3"/>
        </w:numPr>
        <w:ind w:firstLineChars="0"/>
        <w:rPr>
          <w:rFonts w:cs="Times New Roman"/>
          <w:color w:val="auto"/>
        </w:rPr>
      </w:pPr>
      <w:r>
        <w:rPr>
          <w:rFonts w:cs="Times New Roman"/>
          <w:color w:val="auto"/>
        </w:rPr>
        <w:t>《关于加强重点行业建设项目区域削减措施监督管理的通知》（环办环评〔2020〕第36号）；</w:t>
      </w:r>
    </w:p>
    <w:p w14:paraId="1D8494CE">
      <w:pPr>
        <w:numPr>
          <w:ilvl w:val="0"/>
          <w:numId w:val="3"/>
        </w:numPr>
        <w:ind w:firstLineChars="0"/>
        <w:rPr>
          <w:rFonts w:cs="Times New Roman"/>
          <w:color w:val="auto"/>
        </w:rPr>
      </w:pPr>
      <w:r>
        <w:rPr>
          <w:rFonts w:cs="Times New Roman"/>
          <w:color w:val="auto"/>
        </w:rPr>
        <w:t>《关于开展重点行业建设项目碳排放环境影响评价试点的通知》（环办环评函〔2021〕346号）；</w:t>
      </w:r>
    </w:p>
    <w:p w14:paraId="024D6AB2">
      <w:pPr>
        <w:numPr>
          <w:ilvl w:val="0"/>
          <w:numId w:val="3"/>
        </w:numPr>
        <w:ind w:firstLineChars="0"/>
        <w:rPr>
          <w:rFonts w:cs="Times New Roman"/>
          <w:color w:val="auto"/>
        </w:rPr>
      </w:pPr>
      <w:r>
        <w:rPr>
          <w:rFonts w:cs="Times New Roman"/>
          <w:color w:val="auto"/>
        </w:rPr>
        <w:t>）《生态环境部关于做好重大投资项目环评工作的通知》（环环评〔2022〕39号）；</w:t>
      </w:r>
    </w:p>
    <w:p w14:paraId="5DC6E3F3">
      <w:pPr>
        <w:numPr>
          <w:ilvl w:val="0"/>
          <w:numId w:val="3"/>
        </w:numPr>
        <w:ind w:firstLineChars="0"/>
        <w:rPr>
          <w:rFonts w:cs="Times New Roman"/>
          <w:color w:val="auto"/>
        </w:rPr>
      </w:pPr>
      <w:r>
        <w:rPr>
          <w:rFonts w:cs="Times New Roman"/>
          <w:color w:val="auto"/>
        </w:rPr>
        <w:t>《国务院办公厅关于加强入河入海排污口监督管理工作的实施意见》（国办函〔2022〕17号）；</w:t>
      </w:r>
    </w:p>
    <w:p w14:paraId="3223B952">
      <w:pPr>
        <w:numPr>
          <w:ilvl w:val="0"/>
          <w:numId w:val="3"/>
        </w:numPr>
        <w:ind w:firstLineChars="0"/>
        <w:rPr>
          <w:rFonts w:cs="Times New Roman"/>
          <w:color w:val="auto"/>
        </w:rPr>
      </w:pPr>
      <w:r>
        <w:rPr>
          <w:rFonts w:cs="Times New Roman"/>
          <w:color w:val="auto"/>
        </w:rPr>
        <w:t>《生态环境分区管控管理暂行规定》（环环评〔2024〕41号）；</w:t>
      </w:r>
    </w:p>
    <w:p w14:paraId="1F8942AD">
      <w:pPr>
        <w:numPr>
          <w:ilvl w:val="0"/>
          <w:numId w:val="3"/>
        </w:numPr>
        <w:ind w:firstLineChars="0"/>
        <w:rPr>
          <w:rFonts w:cs="Times New Roman"/>
          <w:color w:val="auto"/>
        </w:rPr>
      </w:pPr>
      <w:r>
        <w:rPr>
          <w:rFonts w:hint="eastAsia" w:cs="Times New Roman"/>
          <w:color w:val="auto"/>
        </w:rPr>
        <w:t>《全面实行排污许可制实施方案》（</w:t>
      </w:r>
      <w:r>
        <w:rPr>
          <w:rFonts w:cs="Times New Roman"/>
          <w:color w:val="auto"/>
        </w:rPr>
        <w:t>环环评〔2024〕79号</w:t>
      </w:r>
      <w:r>
        <w:rPr>
          <w:rFonts w:hint="eastAsia" w:cs="Times New Roman"/>
          <w:color w:val="auto"/>
        </w:rPr>
        <w:t>）；</w:t>
      </w:r>
    </w:p>
    <w:p w14:paraId="6FCFB00D">
      <w:pPr>
        <w:numPr>
          <w:ilvl w:val="0"/>
          <w:numId w:val="3"/>
        </w:numPr>
        <w:ind w:firstLineChars="0"/>
        <w:rPr>
          <w:rFonts w:cs="Times New Roman"/>
          <w:color w:val="auto"/>
        </w:rPr>
      </w:pPr>
      <w:r>
        <w:rPr>
          <w:rFonts w:hint="eastAsia" w:cs="Times New Roman"/>
          <w:color w:val="auto"/>
        </w:rPr>
        <w:t>《关于加强重点行业涉新污染物建设项目环境影响评价工作的意见》（环环评〔2025〕28号）</w:t>
      </w:r>
    </w:p>
    <w:p w14:paraId="0DA1CE53">
      <w:pPr>
        <w:numPr>
          <w:ilvl w:val="0"/>
          <w:numId w:val="3"/>
        </w:numPr>
        <w:ind w:firstLineChars="0"/>
        <w:rPr>
          <w:rFonts w:cs="Times New Roman"/>
          <w:color w:val="auto"/>
        </w:rPr>
      </w:pPr>
      <w:r>
        <w:rPr>
          <w:rFonts w:hint="eastAsia" w:cs="Times New Roman"/>
          <w:color w:val="auto"/>
        </w:rPr>
        <w:t>《海洋工程环境影响评价管理规定》（国海规范</w:t>
      </w:r>
      <w:r>
        <w:rPr>
          <w:rFonts w:cs="Times New Roman"/>
          <w:color w:val="auto"/>
        </w:rPr>
        <w:t>〔20</w:t>
      </w:r>
      <w:r>
        <w:rPr>
          <w:rFonts w:hint="eastAsia" w:cs="Times New Roman"/>
          <w:color w:val="auto"/>
        </w:rPr>
        <w:t>17</w:t>
      </w:r>
      <w:r>
        <w:rPr>
          <w:rFonts w:cs="Times New Roman"/>
          <w:color w:val="auto"/>
        </w:rPr>
        <w:t>〕</w:t>
      </w:r>
      <w:r>
        <w:rPr>
          <w:rFonts w:hint="eastAsia" w:cs="Times New Roman"/>
          <w:color w:val="auto"/>
        </w:rPr>
        <w:t>7号）。</w:t>
      </w:r>
    </w:p>
    <w:p w14:paraId="1374F356">
      <w:pPr>
        <w:pStyle w:val="4"/>
        <w:rPr>
          <w:rFonts w:cs="Times New Roman"/>
          <w:color w:val="auto"/>
        </w:rPr>
      </w:pPr>
      <w:bookmarkStart w:id="28" w:name="_Toc198391169"/>
      <w:bookmarkStart w:id="29" w:name="_Toc198390516"/>
      <w:bookmarkStart w:id="30" w:name="_Toc225216649"/>
      <w:bookmarkStart w:id="31" w:name="_Toc199190408"/>
      <w:bookmarkStart w:id="32" w:name="_Toc199168871"/>
      <w:r>
        <w:rPr>
          <w:rFonts w:cs="Times New Roman"/>
          <w:color w:val="auto"/>
        </w:rPr>
        <w:t>地方性法规及规范性文件</w:t>
      </w:r>
      <w:bookmarkEnd w:id="28"/>
      <w:bookmarkEnd w:id="29"/>
      <w:bookmarkEnd w:id="30"/>
      <w:bookmarkEnd w:id="31"/>
      <w:bookmarkEnd w:id="32"/>
    </w:p>
    <w:p w14:paraId="08A7F207">
      <w:pPr>
        <w:numPr>
          <w:ilvl w:val="0"/>
          <w:numId w:val="4"/>
        </w:numPr>
        <w:ind w:firstLineChars="0"/>
        <w:rPr>
          <w:rFonts w:cs="Times New Roman"/>
          <w:color w:val="auto"/>
        </w:rPr>
      </w:pPr>
      <w:r>
        <w:rPr>
          <w:rFonts w:hint="eastAsia" w:cs="Times New Roman"/>
          <w:color w:val="auto"/>
        </w:rPr>
        <w:t>《广西壮族自治区环境保护条例》（自2019年7月25日实施；</w:t>
      </w:r>
    </w:p>
    <w:p w14:paraId="2DFCAA78">
      <w:pPr>
        <w:numPr>
          <w:ilvl w:val="0"/>
          <w:numId w:val="4"/>
        </w:numPr>
        <w:ind w:firstLineChars="0"/>
        <w:rPr>
          <w:rFonts w:cs="Times New Roman"/>
          <w:color w:val="auto"/>
        </w:rPr>
      </w:pPr>
      <w:r>
        <w:rPr>
          <w:rFonts w:cs="Times New Roman"/>
          <w:color w:val="auto"/>
        </w:rPr>
        <w:t>《广西壮族自治区大气污染防治条例》（2019年1月1日施行）；</w:t>
      </w:r>
    </w:p>
    <w:p w14:paraId="512492B6">
      <w:pPr>
        <w:numPr>
          <w:ilvl w:val="0"/>
          <w:numId w:val="4"/>
        </w:numPr>
        <w:ind w:firstLineChars="0"/>
        <w:rPr>
          <w:rFonts w:cs="Times New Roman"/>
          <w:color w:val="auto"/>
        </w:rPr>
      </w:pPr>
      <w:r>
        <w:rPr>
          <w:rFonts w:cs="Times New Roman"/>
          <w:color w:val="auto"/>
        </w:rPr>
        <w:t>《广西壮族自治区水污染防治条例》（2020年5月1日施行）</w:t>
      </w:r>
      <w:r>
        <w:rPr>
          <w:rFonts w:hint="eastAsia" w:cs="Times New Roman"/>
          <w:color w:val="auto"/>
        </w:rPr>
        <w:t>；</w:t>
      </w:r>
    </w:p>
    <w:p w14:paraId="031D3726">
      <w:pPr>
        <w:numPr>
          <w:ilvl w:val="0"/>
          <w:numId w:val="4"/>
        </w:numPr>
        <w:ind w:firstLineChars="0"/>
        <w:rPr>
          <w:rFonts w:cs="Times New Roman"/>
          <w:color w:val="auto"/>
        </w:rPr>
      </w:pPr>
      <w:r>
        <w:rPr>
          <w:rFonts w:cs="Times New Roman"/>
          <w:color w:val="auto"/>
        </w:rPr>
        <w:t>《广西壮族自治区固体废物污染环境防治条例》（2022年7月1日实施）；</w:t>
      </w:r>
    </w:p>
    <w:p w14:paraId="12D956EB">
      <w:pPr>
        <w:numPr>
          <w:ilvl w:val="0"/>
          <w:numId w:val="4"/>
        </w:numPr>
        <w:ind w:firstLineChars="0"/>
        <w:rPr>
          <w:rFonts w:cs="Times New Roman"/>
          <w:color w:val="auto"/>
        </w:rPr>
      </w:pPr>
      <w:r>
        <w:rPr>
          <w:rFonts w:cs="Times New Roman"/>
          <w:color w:val="auto"/>
        </w:rPr>
        <w:t>《广西壮族自治区人民政府办公厅关于印发广西壮族自治区建设项目环境准入管理办法的通知》（桂政办发〔2012〕103号）；</w:t>
      </w:r>
    </w:p>
    <w:p w14:paraId="03ECB014">
      <w:pPr>
        <w:numPr>
          <w:ilvl w:val="0"/>
          <w:numId w:val="4"/>
        </w:numPr>
        <w:ind w:firstLineChars="0"/>
        <w:rPr>
          <w:rFonts w:cs="Times New Roman"/>
          <w:color w:val="auto"/>
        </w:rPr>
      </w:pPr>
      <w:r>
        <w:rPr>
          <w:rFonts w:cs="Times New Roman"/>
          <w:color w:val="auto"/>
        </w:rPr>
        <w:t>《广西壮族自治区人民政府办公厅关于印发广西水污染防治行动计划工作方案的通知》（桂政办发〔2015〕131号）；</w:t>
      </w:r>
    </w:p>
    <w:p w14:paraId="2A2BABF6">
      <w:pPr>
        <w:numPr>
          <w:ilvl w:val="0"/>
          <w:numId w:val="4"/>
        </w:numPr>
        <w:ind w:firstLineChars="0"/>
        <w:rPr>
          <w:rFonts w:cs="Times New Roman"/>
          <w:color w:val="auto"/>
        </w:rPr>
      </w:pPr>
      <w:r>
        <w:rPr>
          <w:rFonts w:cs="Times New Roman"/>
          <w:color w:val="auto"/>
        </w:rPr>
        <w:t>《广西壮族自治区人民政府办公厅关于印发广西土壤污染防治行动工作方案的通知》（桂政办发〔2016〕167号）；</w:t>
      </w:r>
    </w:p>
    <w:p w14:paraId="0BE2CC5F">
      <w:pPr>
        <w:numPr>
          <w:ilvl w:val="0"/>
          <w:numId w:val="4"/>
        </w:numPr>
        <w:ind w:firstLineChars="0"/>
        <w:rPr>
          <w:rFonts w:cs="Times New Roman"/>
          <w:color w:val="auto"/>
        </w:rPr>
      </w:pPr>
      <w:r>
        <w:rPr>
          <w:rFonts w:hint="eastAsia" w:cs="Times New Roman"/>
          <w:color w:val="auto"/>
        </w:rPr>
        <w:t>《</w:t>
      </w:r>
      <w:r>
        <w:rPr>
          <w:rFonts w:cs="Times New Roman"/>
          <w:color w:val="auto"/>
        </w:rPr>
        <w:t>2026</w:t>
      </w:r>
      <w:r>
        <w:rPr>
          <w:rFonts w:hint="eastAsia" w:cs="Times New Roman"/>
          <w:color w:val="auto"/>
        </w:rPr>
        <w:t>年广西生态环境工作要点》（桂环发〔</w:t>
      </w:r>
      <w:r>
        <w:rPr>
          <w:rFonts w:cs="Times New Roman"/>
          <w:color w:val="auto"/>
        </w:rPr>
        <w:t>2026</w:t>
      </w:r>
      <w:r>
        <w:rPr>
          <w:rFonts w:hint="eastAsia" w:cs="Times New Roman"/>
          <w:color w:val="auto"/>
        </w:rPr>
        <w:t>〕</w:t>
      </w:r>
      <w:r>
        <w:rPr>
          <w:rFonts w:cs="Times New Roman"/>
          <w:color w:val="auto"/>
        </w:rPr>
        <w:t>5</w:t>
      </w:r>
      <w:r>
        <w:rPr>
          <w:rFonts w:hint="eastAsia" w:cs="Times New Roman"/>
          <w:color w:val="auto"/>
        </w:rPr>
        <w:t>号）；</w:t>
      </w:r>
    </w:p>
    <w:p w14:paraId="5606ACB3">
      <w:pPr>
        <w:numPr>
          <w:ilvl w:val="0"/>
          <w:numId w:val="4"/>
        </w:numPr>
        <w:ind w:firstLineChars="0"/>
        <w:rPr>
          <w:color w:val="auto"/>
        </w:rPr>
      </w:pPr>
      <w:r>
        <w:rPr>
          <w:rFonts w:hint="eastAsia"/>
          <w:color w:val="auto"/>
        </w:rPr>
        <w:t>《广西</w:t>
      </w:r>
      <w:r>
        <w:rPr>
          <w:color w:val="auto"/>
        </w:rPr>
        <w:t>2025-2026</w:t>
      </w:r>
      <w:r>
        <w:rPr>
          <w:rFonts w:hint="eastAsia"/>
          <w:color w:val="auto"/>
        </w:rPr>
        <w:t>年秋冬季大气污染防治攻坚行动方案》；</w:t>
      </w:r>
    </w:p>
    <w:p w14:paraId="52761833">
      <w:pPr>
        <w:numPr>
          <w:ilvl w:val="0"/>
          <w:numId w:val="4"/>
        </w:numPr>
        <w:ind w:firstLineChars="0"/>
        <w:rPr>
          <w:color w:val="auto"/>
        </w:rPr>
      </w:pPr>
      <w:r>
        <w:rPr>
          <w:color w:val="auto"/>
        </w:rPr>
        <w:t>《广西空气质量持续改善行动实施方案》（桂政发〔2024〕19号）；</w:t>
      </w:r>
    </w:p>
    <w:p w14:paraId="178B4C66">
      <w:pPr>
        <w:numPr>
          <w:ilvl w:val="0"/>
          <w:numId w:val="4"/>
        </w:numPr>
        <w:ind w:firstLineChars="0"/>
        <w:rPr>
          <w:rFonts w:cs="Times New Roman"/>
          <w:color w:val="auto"/>
        </w:rPr>
      </w:pPr>
      <w:r>
        <w:rPr>
          <w:rFonts w:cs="Times New Roman"/>
          <w:color w:val="auto"/>
        </w:rPr>
        <w:t>《自治区环境保护厅工业和信息化委关于印发重点行业水专项治理方案的通知》（桂环函〔2018〕467号）；</w:t>
      </w:r>
    </w:p>
    <w:p w14:paraId="55FE9FCC">
      <w:pPr>
        <w:numPr>
          <w:ilvl w:val="0"/>
          <w:numId w:val="4"/>
        </w:numPr>
        <w:ind w:firstLineChars="0"/>
        <w:rPr>
          <w:color w:val="auto"/>
        </w:rPr>
      </w:pPr>
      <w:r>
        <w:rPr>
          <w:color w:val="auto"/>
        </w:rPr>
        <w:t>《广西壮族自治区生态环境厅关于推进碳排放环境影响评价工作的通知》（桂环函〔2021〕1693号）；</w:t>
      </w:r>
    </w:p>
    <w:p w14:paraId="24453E89">
      <w:pPr>
        <w:numPr>
          <w:ilvl w:val="0"/>
          <w:numId w:val="4"/>
        </w:numPr>
        <w:ind w:firstLineChars="0"/>
        <w:rPr>
          <w:rFonts w:cs="Times New Roman"/>
          <w:color w:val="auto"/>
        </w:rPr>
      </w:pPr>
      <w:r>
        <w:rPr>
          <w:rFonts w:cs="Times New Roman"/>
          <w:color w:val="auto"/>
        </w:rPr>
        <w:t>《广西壮族自治区生态环境厅关于印发〈</w:t>
      </w:r>
      <w:r>
        <w:rPr>
          <w:rFonts w:hint="eastAsia" w:cs="Times New Roman"/>
          <w:color w:val="auto"/>
        </w:rPr>
        <w:t>广西壮族自治区建设项目环境影响评价文件分级审批管理办法（2025年修订版）</w:t>
      </w:r>
      <w:r>
        <w:rPr>
          <w:rFonts w:cs="Times New Roman"/>
          <w:color w:val="auto"/>
        </w:rPr>
        <w:t>〉的通知》（</w:t>
      </w:r>
      <w:r>
        <w:rPr>
          <w:rFonts w:hint="eastAsia" w:cs="Times New Roman"/>
          <w:color w:val="auto"/>
        </w:rPr>
        <w:t>桂环规范〔2025〕2号</w:t>
      </w:r>
      <w:r>
        <w:rPr>
          <w:rFonts w:cs="Times New Roman"/>
          <w:color w:val="auto"/>
        </w:rPr>
        <w:t>）；</w:t>
      </w:r>
    </w:p>
    <w:p w14:paraId="0F7CD70D">
      <w:pPr>
        <w:numPr>
          <w:ilvl w:val="0"/>
          <w:numId w:val="4"/>
        </w:numPr>
        <w:ind w:firstLineChars="0"/>
        <w:rPr>
          <w:color w:val="auto"/>
        </w:rPr>
      </w:pPr>
      <w:r>
        <w:rPr>
          <w:color w:val="auto"/>
        </w:rPr>
        <w:t>《广西壮族自治区生态环境厅等部门关于印发〈广西生态保护正面清单（2022）〉和〈广西生态保护禁止事项清单（2022）〉的通知》（桂环发〔2022〕54号）；</w:t>
      </w:r>
    </w:p>
    <w:p w14:paraId="154264D7">
      <w:pPr>
        <w:numPr>
          <w:ilvl w:val="0"/>
          <w:numId w:val="4"/>
        </w:numPr>
        <w:ind w:firstLineChars="0"/>
        <w:rPr>
          <w:rFonts w:cs="Times New Roman"/>
          <w:color w:val="auto"/>
        </w:rPr>
      </w:pPr>
      <w:r>
        <w:rPr>
          <w:rFonts w:hint="eastAsia" w:cs="Times New Roman"/>
          <w:color w:val="auto"/>
        </w:rPr>
        <w:t>《广西壮族自治区生态环境厅关于印发&lt;广西壮族自治区入河排污口设置审批范围划分方案（暂行）&gt;的通知》</w:t>
      </w:r>
      <w:r>
        <w:rPr>
          <w:rFonts w:cs="Times New Roman"/>
          <w:color w:val="auto"/>
        </w:rPr>
        <w:t>（桂环规范〔2024〕</w:t>
      </w:r>
      <w:r>
        <w:rPr>
          <w:rFonts w:hint="eastAsia" w:cs="Times New Roman"/>
          <w:color w:val="auto"/>
        </w:rPr>
        <w:t>2</w:t>
      </w:r>
      <w:r>
        <w:rPr>
          <w:rFonts w:cs="Times New Roman"/>
          <w:color w:val="auto"/>
        </w:rPr>
        <w:t>号）</w:t>
      </w:r>
      <w:r>
        <w:rPr>
          <w:rFonts w:hint="eastAsia" w:cs="Times New Roman"/>
          <w:color w:val="auto"/>
        </w:rPr>
        <w:t>；</w:t>
      </w:r>
    </w:p>
    <w:p w14:paraId="2F233C83">
      <w:pPr>
        <w:numPr>
          <w:ilvl w:val="0"/>
          <w:numId w:val="4"/>
        </w:numPr>
        <w:ind w:firstLineChars="0"/>
        <w:rPr>
          <w:rFonts w:cs="Times New Roman"/>
          <w:color w:val="auto"/>
        </w:rPr>
      </w:pPr>
      <w:r>
        <w:rPr>
          <w:rFonts w:cs="Times New Roman"/>
          <w:color w:val="auto"/>
        </w:rPr>
        <w:t>《广西壮族自治区生态环境厅关于印发实施广西壮族自治区生态环境分区管控动态更新成果（2023年）的通知》（桂环规范〔2024〕3号）</w:t>
      </w:r>
      <w:r>
        <w:rPr>
          <w:rFonts w:hint="eastAsia" w:cs="Times New Roman"/>
          <w:color w:val="auto"/>
        </w:rPr>
        <w:t>；</w:t>
      </w:r>
    </w:p>
    <w:p w14:paraId="0E568459">
      <w:pPr>
        <w:numPr>
          <w:ilvl w:val="0"/>
          <w:numId w:val="4"/>
        </w:numPr>
        <w:ind w:firstLineChars="0"/>
        <w:rPr>
          <w:rFonts w:cs="Times New Roman"/>
          <w:color w:val="auto"/>
        </w:rPr>
      </w:pPr>
      <w:r>
        <w:rPr>
          <w:rFonts w:hint="eastAsia" w:cs="Times New Roman"/>
          <w:color w:val="auto"/>
        </w:rPr>
        <w:t>《广西壮族自治区生态环境厅关于发布广西环境保护税应税污染物施工扬尘排污特征值系数及排放量计算方法的通告》（桂环规范〔2025〕1号）；</w:t>
      </w:r>
    </w:p>
    <w:p w14:paraId="350FDADF">
      <w:pPr>
        <w:numPr>
          <w:ilvl w:val="0"/>
          <w:numId w:val="4"/>
        </w:numPr>
        <w:ind w:firstLineChars="0"/>
        <w:rPr>
          <w:rFonts w:cs="Times New Roman"/>
          <w:color w:val="auto"/>
        </w:rPr>
      </w:pPr>
      <w:r>
        <w:rPr>
          <w:rFonts w:hint="eastAsia" w:cs="Times New Roman"/>
          <w:color w:val="auto"/>
        </w:rPr>
        <w:t>《钦州市生态环境局关于印发〈钦州市生态环境分区管控动态更新成果（2023版）〉的通知》（2024年12月5日）；</w:t>
      </w:r>
    </w:p>
    <w:p w14:paraId="78038789">
      <w:pPr>
        <w:numPr>
          <w:ilvl w:val="0"/>
          <w:numId w:val="4"/>
        </w:numPr>
        <w:ind w:firstLineChars="0"/>
        <w:rPr>
          <w:rFonts w:cs="Times New Roman"/>
          <w:color w:val="auto"/>
        </w:rPr>
      </w:pPr>
      <w:r>
        <w:rPr>
          <w:rFonts w:hint="eastAsia" w:cs="Times New Roman"/>
          <w:color w:val="auto"/>
        </w:rPr>
        <w:t>《钦州市国土空间总体规划（2021—2035年）》。</w:t>
      </w:r>
    </w:p>
    <w:p w14:paraId="3A738DA7">
      <w:pPr>
        <w:pStyle w:val="4"/>
        <w:rPr>
          <w:color w:val="auto"/>
        </w:rPr>
      </w:pPr>
      <w:bookmarkStart w:id="33" w:name="_Toc199190409"/>
      <w:bookmarkStart w:id="34" w:name="_Toc198390517"/>
      <w:bookmarkStart w:id="35" w:name="_Toc199168872"/>
      <w:bookmarkStart w:id="36" w:name="_Toc225216650"/>
      <w:bookmarkStart w:id="37" w:name="_Toc198391170"/>
      <w:r>
        <w:rPr>
          <w:color w:val="auto"/>
        </w:rPr>
        <w:t>规划依据</w:t>
      </w:r>
      <w:bookmarkEnd w:id="33"/>
      <w:bookmarkEnd w:id="34"/>
      <w:bookmarkEnd w:id="35"/>
      <w:bookmarkEnd w:id="36"/>
      <w:bookmarkEnd w:id="37"/>
    </w:p>
    <w:p w14:paraId="503A086E">
      <w:pPr>
        <w:pStyle w:val="31"/>
        <w:numPr>
          <w:ilvl w:val="0"/>
          <w:numId w:val="5"/>
        </w:numPr>
        <w:ind w:firstLineChars="0"/>
        <w:rPr>
          <w:rFonts w:cs="Times New Roman"/>
          <w:color w:val="auto"/>
        </w:rPr>
      </w:pPr>
      <w:r>
        <w:rPr>
          <w:rFonts w:hint="eastAsia" w:cs="Times New Roman"/>
          <w:color w:val="auto"/>
        </w:rPr>
        <w:t>《中华人民共和国国民经济和社会发展第十五个五年规划纲要》（</w:t>
      </w:r>
      <w:r>
        <w:rPr>
          <w:rFonts w:cs="Times New Roman"/>
          <w:color w:val="auto"/>
        </w:rPr>
        <w:t>2026</w:t>
      </w:r>
      <w:r>
        <w:rPr>
          <w:rFonts w:hint="eastAsia" w:cs="Times New Roman"/>
          <w:color w:val="auto"/>
        </w:rPr>
        <w:t>年</w:t>
      </w:r>
      <w:r>
        <w:rPr>
          <w:rFonts w:cs="Times New Roman"/>
          <w:color w:val="auto"/>
        </w:rPr>
        <w:t>3</w:t>
      </w:r>
      <w:r>
        <w:rPr>
          <w:rFonts w:hint="eastAsia" w:cs="Times New Roman"/>
          <w:color w:val="auto"/>
        </w:rPr>
        <w:t>月）；</w:t>
      </w:r>
    </w:p>
    <w:p w14:paraId="524039CB">
      <w:pPr>
        <w:pStyle w:val="31"/>
        <w:numPr>
          <w:ilvl w:val="0"/>
          <w:numId w:val="5"/>
        </w:numPr>
        <w:ind w:firstLineChars="0"/>
        <w:rPr>
          <w:rFonts w:cs="Times New Roman"/>
          <w:color w:val="auto"/>
        </w:rPr>
      </w:pPr>
      <w:r>
        <w:rPr>
          <w:rFonts w:hint="eastAsia" w:cs="Times New Roman"/>
          <w:color w:val="auto"/>
        </w:rPr>
        <w:t>《广西壮族自治区国民经济和社会发展第十五个五年规划纲要》（</w:t>
      </w:r>
      <w:r>
        <w:rPr>
          <w:rFonts w:cs="Times New Roman"/>
          <w:color w:val="auto"/>
        </w:rPr>
        <w:t>2026</w:t>
      </w:r>
      <w:r>
        <w:rPr>
          <w:rFonts w:hint="eastAsia" w:cs="Times New Roman"/>
          <w:color w:val="auto"/>
        </w:rPr>
        <w:t>年</w:t>
      </w:r>
      <w:r>
        <w:rPr>
          <w:rFonts w:cs="Times New Roman"/>
          <w:color w:val="auto"/>
        </w:rPr>
        <w:t>2</w:t>
      </w:r>
      <w:r>
        <w:rPr>
          <w:rFonts w:hint="eastAsia" w:cs="Times New Roman"/>
          <w:color w:val="auto"/>
        </w:rPr>
        <w:t>月）；</w:t>
      </w:r>
    </w:p>
    <w:p w14:paraId="7D1E0E65">
      <w:pPr>
        <w:numPr>
          <w:ilvl w:val="0"/>
          <w:numId w:val="5"/>
        </w:numPr>
        <w:ind w:firstLineChars="0"/>
        <w:rPr>
          <w:rFonts w:cs="Times New Roman"/>
          <w:color w:val="auto"/>
        </w:rPr>
      </w:pPr>
      <w:r>
        <w:rPr>
          <w:rFonts w:hint="eastAsia" w:cs="Times New Roman"/>
          <w:color w:val="auto"/>
        </w:rPr>
        <w:t>《广西壮族自治区生态功能区划》（桂政办发〔2008〕8号）；</w:t>
      </w:r>
    </w:p>
    <w:p w14:paraId="051B3EF8">
      <w:pPr>
        <w:numPr>
          <w:ilvl w:val="0"/>
          <w:numId w:val="5"/>
        </w:numPr>
        <w:ind w:firstLineChars="0"/>
        <w:rPr>
          <w:rFonts w:cs="Times New Roman"/>
          <w:color w:val="auto"/>
        </w:rPr>
      </w:pPr>
      <w:r>
        <w:rPr>
          <w:rFonts w:hint="eastAsia" w:cs="Times New Roman"/>
          <w:color w:val="auto"/>
        </w:rPr>
        <w:t>《广西壮族自治区主体功能区规划》（桂政发〔2012〕89号）；</w:t>
      </w:r>
    </w:p>
    <w:p w14:paraId="4157CAD2">
      <w:pPr>
        <w:numPr>
          <w:ilvl w:val="0"/>
          <w:numId w:val="5"/>
        </w:numPr>
        <w:ind w:firstLineChars="0"/>
        <w:rPr>
          <w:rFonts w:cs="Times New Roman"/>
          <w:color w:val="auto"/>
        </w:rPr>
      </w:pPr>
      <w:r>
        <w:rPr>
          <w:rFonts w:hint="eastAsia" w:cs="Times New Roman"/>
          <w:color w:val="auto"/>
        </w:rPr>
        <w:t>《广西壮族自治区水功能区划》（2016年修订）；</w:t>
      </w:r>
    </w:p>
    <w:p w14:paraId="600CA07F">
      <w:pPr>
        <w:numPr>
          <w:ilvl w:val="0"/>
          <w:numId w:val="5"/>
        </w:numPr>
        <w:ind w:firstLineChars="0"/>
        <w:rPr>
          <w:rFonts w:cs="Times New Roman"/>
          <w:color w:val="auto"/>
        </w:rPr>
      </w:pPr>
      <w:r>
        <w:rPr>
          <w:rFonts w:hint="eastAsia" w:cs="Times New Roman"/>
          <w:color w:val="auto"/>
        </w:rPr>
        <w:t>《广西壮族自治区海洋主体功能区规划》（桂政发〔2018〕23号）；</w:t>
      </w:r>
    </w:p>
    <w:p w14:paraId="3FF63588">
      <w:pPr>
        <w:pStyle w:val="31"/>
        <w:numPr>
          <w:ilvl w:val="0"/>
          <w:numId w:val="5"/>
        </w:numPr>
        <w:ind w:firstLineChars="0"/>
        <w:rPr>
          <w:rFonts w:cs="Times New Roman"/>
          <w:color w:val="auto"/>
        </w:rPr>
      </w:pPr>
      <w:r>
        <w:rPr>
          <w:rFonts w:hint="eastAsia" w:cs="Times New Roman"/>
          <w:color w:val="auto"/>
        </w:rPr>
        <w:t>《钦州市国民经济和社会发展第十五个五年规划纲要》（2026年3月）；</w:t>
      </w:r>
    </w:p>
    <w:p w14:paraId="03CC28FD">
      <w:pPr>
        <w:numPr>
          <w:ilvl w:val="0"/>
          <w:numId w:val="5"/>
        </w:numPr>
        <w:ind w:firstLineChars="0"/>
        <w:rPr>
          <w:rFonts w:cs="Times New Roman"/>
          <w:color w:val="auto"/>
        </w:rPr>
      </w:pPr>
      <w:r>
        <w:rPr>
          <w:rFonts w:hint="eastAsia" w:cs="Times New Roman"/>
          <w:color w:val="auto"/>
        </w:rPr>
        <w:t>《钦州市国土空间总体规划（2021-2035年）》；</w:t>
      </w:r>
    </w:p>
    <w:p w14:paraId="2B02F34D">
      <w:pPr>
        <w:numPr>
          <w:ilvl w:val="0"/>
          <w:numId w:val="5"/>
        </w:numPr>
        <w:ind w:firstLineChars="0"/>
        <w:rPr>
          <w:rFonts w:cs="Times New Roman"/>
          <w:color w:val="auto"/>
        </w:rPr>
      </w:pPr>
      <w:r>
        <w:rPr>
          <w:rFonts w:hint="eastAsia" w:cs="Times New Roman"/>
          <w:color w:val="auto"/>
        </w:rPr>
        <w:t>《钦州市养殖水域滩涂规划（2019-2030年）》；</w:t>
      </w:r>
    </w:p>
    <w:p w14:paraId="2B3C9C81">
      <w:pPr>
        <w:numPr>
          <w:ilvl w:val="0"/>
          <w:numId w:val="5"/>
        </w:numPr>
        <w:ind w:firstLineChars="0"/>
        <w:rPr>
          <w:rFonts w:cs="Times New Roman"/>
          <w:color w:val="auto"/>
        </w:rPr>
      </w:pPr>
      <w:r>
        <w:rPr>
          <w:rFonts w:hint="eastAsia" w:cs="Times New Roman"/>
          <w:color w:val="auto"/>
        </w:rPr>
        <w:t>《关于钦州市市区饮用水水源保护区重新划定方案的批复》（桂政函〔2012〕116号）；</w:t>
      </w:r>
    </w:p>
    <w:p w14:paraId="4F4CB7EF">
      <w:pPr>
        <w:numPr>
          <w:ilvl w:val="0"/>
          <w:numId w:val="5"/>
        </w:numPr>
        <w:ind w:firstLineChars="0"/>
        <w:rPr>
          <w:rFonts w:cs="Times New Roman"/>
          <w:color w:val="auto"/>
        </w:rPr>
      </w:pPr>
      <w:r>
        <w:rPr>
          <w:rFonts w:hint="eastAsia" w:cs="Times New Roman"/>
          <w:color w:val="auto"/>
        </w:rPr>
        <w:t>《钦州港总体规划（2019-2035年）》；</w:t>
      </w:r>
    </w:p>
    <w:p w14:paraId="4D393912">
      <w:pPr>
        <w:numPr>
          <w:ilvl w:val="0"/>
          <w:numId w:val="5"/>
        </w:numPr>
        <w:ind w:firstLineChars="0"/>
        <w:rPr>
          <w:rFonts w:cs="Times New Roman"/>
          <w:color w:val="auto"/>
        </w:rPr>
      </w:pPr>
      <w:r>
        <w:rPr>
          <w:rFonts w:hint="eastAsia" w:cs="Times New Roman"/>
          <w:color w:val="auto"/>
        </w:rPr>
        <w:t>《钦州港经济技术开发区总体规划（2014-2030）》；</w:t>
      </w:r>
    </w:p>
    <w:p w14:paraId="274F3AF0">
      <w:pPr>
        <w:numPr>
          <w:ilvl w:val="0"/>
          <w:numId w:val="5"/>
        </w:numPr>
        <w:ind w:firstLineChars="0"/>
        <w:rPr>
          <w:rFonts w:cs="Times New Roman"/>
          <w:color w:val="auto"/>
        </w:rPr>
      </w:pPr>
      <w:r>
        <w:rPr>
          <w:rFonts w:hint="eastAsia" w:cs="Times New Roman"/>
          <w:color w:val="auto"/>
        </w:rPr>
        <w:t>《广西钦州林浆纸产业园发展规划（2024-2035）》；</w:t>
      </w:r>
    </w:p>
    <w:p w14:paraId="2594C309">
      <w:pPr>
        <w:numPr>
          <w:ilvl w:val="0"/>
          <w:numId w:val="5"/>
        </w:numPr>
        <w:ind w:firstLineChars="0"/>
        <w:rPr>
          <w:rFonts w:cs="Times New Roman"/>
          <w:color w:val="auto"/>
        </w:rPr>
      </w:pPr>
      <w:r>
        <w:rPr>
          <w:rFonts w:hint="eastAsia" w:cs="Times New Roman"/>
          <w:color w:val="auto"/>
        </w:rPr>
        <w:t>《广西钦州林浆纸产业园发展规划（2024-2035）环境影响报告书审查意见》；</w:t>
      </w:r>
    </w:p>
    <w:p w14:paraId="570AEC70">
      <w:pPr>
        <w:numPr>
          <w:ilvl w:val="0"/>
          <w:numId w:val="5"/>
        </w:numPr>
        <w:ind w:firstLineChars="0"/>
        <w:rPr>
          <w:rFonts w:cs="Times New Roman"/>
          <w:color w:val="auto"/>
        </w:rPr>
      </w:pPr>
      <w:r>
        <w:rPr>
          <w:rFonts w:hint="eastAsia" w:cs="Times New Roman"/>
          <w:color w:val="auto"/>
        </w:rPr>
        <w:t>《广西钦州石化产业园总体发展规划（2020-2035年）》。</w:t>
      </w:r>
    </w:p>
    <w:p w14:paraId="591D590E">
      <w:pPr>
        <w:pStyle w:val="4"/>
        <w:rPr>
          <w:color w:val="auto"/>
        </w:rPr>
      </w:pPr>
      <w:bookmarkStart w:id="38" w:name="_Toc198390518"/>
      <w:bookmarkStart w:id="39" w:name="_Toc198391171"/>
      <w:bookmarkStart w:id="40" w:name="_Toc199190410"/>
      <w:bookmarkStart w:id="41" w:name="_Toc225216651"/>
      <w:bookmarkStart w:id="42" w:name="_Toc199168873"/>
      <w:r>
        <w:rPr>
          <w:color w:val="auto"/>
        </w:rPr>
        <w:t>技术导则与规范</w:t>
      </w:r>
      <w:bookmarkEnd w:id="38"/>
      <w:bookmarkEnd w:id="39"/>
      <w:bookmarkEnd w:id="40"/>
      <w:bookmarkEnd w:id="41"/>
      <w:bookmarkEnd w:id="42"/>
    </w:p>
    <w:p w14:paraId="55EE5C28">
      <w:pPr>
        <w:numPr>
          <w:ilvl w:val="0"/>
          <w:numId w:val="6"/>
        </w:numPr>
        <w:ind w:firstLineChars="0"/>
        <w:rPr>
          <w:rFonts w:cs="Times New Roman"/>
          <w:color w:val="auto"/>
        </w:rPr>
      </w:pPr>
      <w:r>
        <w:rPr>
          <w:rFonts w:hint="eastAsia" w:cs="Times New Roman"/>
          <w:color w:val="auto"/>
        </w:rPr>
        <w:t>《建设项目环境影响评价技术导则 总纲》（HJ2.1-2016）；</w:t>
      </w:r>
    </w:p>
    <w:p w14:paraId="34523DDA">
      <w:pPr>
        <w:numPr>
          <w:ilvl w:val="0"/>
          <w:numId w:val="6"/>
        </w:numPr>
        <w:ind w:firstLineChars="0"/>
        <w:rPr>
          <w:rFonts w:cs="Times New Roman"/>
          <w:color w:val="auto"/>
        </w:rPr>
      </w:pPr>
      <w:r>
        <w:rPr>
          <w:rFonts w:cs="Times New Roman"/>
          <w:color w:val="auto"/>
        </w:rPr>
        <w:t>《环境影响评价技术导则 大气环境》（HJ2.2-2018）；</w:t>
      </w:r>
    </w:p>
    <w:p w14:paraId="521BAD6F">
      <w:pPr>
        <w:numPr>
          <w:ilvl w:val="0"/>
          <w:numId w:val="6"/>
        </w:numPr>
        <w:ind w:firstLineChars="0"/>
        <w:rPr>
          <w:rFonts w:cs="Times New Roman"/>
          <w:color w:val="auto"/>
        </w:rPr>
      </w:pPr>
      <w:r>
        <w:rPr>
          <w:rFonts w:cs="Times New Roman"/>
          <w:color w:val="auto"/>
        </w:rPr>
        <w:t>《环境影响评价技术导则 地表水环境》（HJ2.3-2018）；</w:t>
      </w:r>
    </w:p>
    <w:p w14:paraId="0AD961FB">
      <w:pPr>
        <w:numPr>
          <w:ilvl w:val="0"/>
          <w:numId w:val="6"/>
        </w:numPr>
        <w:ind w:firstLineChars="0"/>
        <w:rPr>
          <w:rFonts w:cs="Times New Roman"/>
          <w:color w:val="auto"/>
        </w:rPr>
      </w:pPr>
      <w:r>
        <w:rPr>
          <w:rFonts w:cs="Times New Roman"/>
          <w:color w:val="auto"/>
        </w:rPr>
        <w:t>《环境影响评价技术导则 地下水环境》（HJ610-2016）；</w:t>
      </w:r>
    </w:p>
    <w:p w14:paraId="509087D0">
      <w:pPr>
        <w:numPr>
          <w:ilvl w:val="0"/>
          <w:numId w:val="6"/>
        </w:numPr>
        <w:ind w:firstLineChars="0"/>
        <w:rPr>
          <w:rFonts w:cs="Times New Roman"/>
          <w:color w:val="auto"/>
        </w:rPr>
      </w:pPr>
      <w:r>
        <w:rPr>
          <w:rFonts w:cs="Times New Roman"/>
          <w:color w:val="auto"/>
        </w:rPr>
        <w:t>《环境影响评价技术导则 声环境》（HJ2.4-2021）；</w:t>
      </w:r>
    </w:p>
    <w:p w14:paraId="53B72827">
      <w:pPr>
        <w:numPr>
          <w:ilvl w:val="0"/>
          <w:numId w:val="6"/>
        </w:numPr>
        <w:ind w:firstLineChars="0"/>
        <w:rPr>
          <w:rFonts w:cs="Times New Roman"/>
          <w:color w:val="auto"/>
        </w:rPr>
      </w:pPr>
      <w:r>
        <w:rPr>
          <w:rFonts w:cs="Times New Roman"/>
          <w:color w:val="auto"/>
        </w:rPr>
        <w:t>《环境影响评价技术导则 土壤环境（试行）》（HJ964-2018）；</w:t>
      </w:r>
    </w:p>
    <w:p w14:paraId="348C4818">
      <w:pPr>
        <w:numPr>
          <w:ilvl w:val="0"/>
          <w:numId w:val="6"/>
        </w:numPr>
        <w:ind w:firstLineChars="0"/>
        <w:rPr>
          <w:rFonts w:cs="Times New Roman"/>
          <w:color w:val="auto"/>
        </w:rPr>
      </w:pPr>
      <w:r>
        <w:rPr>
          <w:rFonts w:cs="Times New Roman"/>
          <w:color w:val="auto"/>
        </w:rPr>
        <w:t>《环境影响评价技术导则 生态影响》（HJ19-2022）；</w:t>
      </w:r>
    </w:p>
    <w:p w14:paraId="6BF555E3">
      <w:pPr>
        <w:numPr>
          <w:ilvl w:val="0"/>
          <w:numId w:val="6"/>
        </w:numPr>
        <w:ind w:firstLineChars="0"/>
        <w:rPr>
          <w:rFonts w:cs="Times New Roman"/>
          <w:color w:val="auto"/>
        </w:rPr>
      </w:pPr>
      <w:r>
        <w:rPr>
          <w:rFonts w:cs="Times New Roman"/>
          <w:color w:val="auto"/>
        </w:rPr>
        <w:t>《建设项目环境风险评价技术导则》（HJ169-2018）；</w:t>
      </w:r>
    </w:p>
    <w:p w14:paraId="3DECD3C2">
      <w:pPr>
        <w:numPr>
          <w:ilvl w:val="0"/>
          <w:numId w:val="6"/>
        </w:numPr>
        <w:ind w:firstLineChars="0"/>
        <w:rPr>
          <w:rFonts w:cs="Times New Roman"/>
          <w:color w:val="auto"/>
        </w:rPr>
      </w:pPr>
      <w:r>
        <w:rPr>
          <w:rFonts w:cs="Times New Roman"/>
          <w:color w:val="auto"/>
        </w:rPr>
        <w:t>《大气污染物无组织排放监测技术导则》（HJ/T55-2000）；</w:t>
      </w:r>
    </w:p>
    <w:p w14:paraId="4184A1B4">
      <w:pPr>
        <w:numPr>
          <w:ilvl w:val="0"/>
          <w:numId w:val="6"/>
        </w:numPr>
        <w:ind w:firstLineChars="0"/>
        <w:rPr>
          <w:rFonts w:cs="Times New Roman"/>
          <w:color w:val="auto"/>
        </w:rPr>
      </w:pPr>
      <w:r>
        <w:rPr>
          <w:rFonts w:cs="Times New Roman"/>
          <w:color w:val="auto"/>
        </w:rPr>
        <w:t>《环境空气质量手工监测技术规范</w:t>
      </w:r>
      <w:r>
        <w:rPr>
          <w:rFonts w:hint="eastAsia" w:cs="Times New Roman"/>
          <w:color w:val="auto"/>
        </w:rPr>
        <w:t>》</w:t>
      </w:r>
      <w:r>
        <w:rPr>
          <w:rFonts w:cs="Times New Roman"/>
          <w:color w:val="auto"/>
        </w:rPr>
        <w:t>（HJ 194-2017</w:t>
      </w:r>
      <w:r>
        <w:rPr>
          <w:rFonts w:hint="eastAsia" w:cs="Times New Roman"/>
          <w:color w:val="auto"/>
        </w:rPr>
        <w:t>）</w:t>
      </w:r>
      <w:r>
        <w:rPr>
          <w:rFonts w:cs="Times New Roman"/>
          <w:color w:val="auto"/>
        </w:rPr>
        <w:t>及其修改单；</w:t>
      </w:r>
    </w:p>
    <w:p w14:paraId="183C4345">
      <w:pPr>
        <w:numPr>
          <w:ilvl w:val="0"/>
          <w:numId w:val="6"/>
        </w:numPr>
        <w:ind w:firstLineChars="0"/>
        <w:rPr>
          <w:rFonts w:cs="Times New Roman"/>
          <w:color w:val="auto"/>
        </w:rPr>
      </w:pPr>
      <w:r>
        <w:rPr>
          <w:rFonts w:cs="Times New Roman"/>
          <w:color w:val="auto"/>
        </w:rPr>
        <w:t>《地表水环境质量监测技术规范》（HJ 91.2-2022）；</w:t>
      </w:r>
    </w:p>
    <w:p w14:paraId="5AED6F7A">
      <w:pPr>
        <w:numPr>
          <w:ilvl w:val="0"/>
          <w:numId w:val="6"/>
        </w:numPr>
        <w:ind w:firstLineChars="0"/>
        <w:rPr>
          <w:rFonts w:cs="Times New Roman"/>
          <w:color w:val="auto"/>
        </w:rPr>
      </w:pPr>
      <w:r>
        <w:rPr>
          <w:rFonts w:cs="Times New Roman"/>
          <w:color w:val="auto"/>
        </w:rPr>
        <w:t>《污水监测技术规范》（HJ91.1-2019）；</w:t>
      </w:r>
    </w:p>
    <w:p w14:paraId="61DA8B1D">
      <w:pPr>
        <w:numPr>
          <w:ilvl w:val="0"/>
          <w:numId w:val="6"/>
        </w:numPr>
        <w:ind w:firstLineChars="0"/>
        <w:rPr>
          <w:rFonts w:cs="Times New Roman"/>
          <w:color w:val="auto"/>
        </w:rPr>
      </w:pPr>
      <w:r>
        <w:rPr>
          <w:rFonts w:cs="Times New Roman"/>
          <w:color w:val="auto"/>
        </w:rPr>
        <w:t>《地下水环境监测技术规范》（HJ164-2020）；</w:t>
      </w:r>
    </w:p>
    <w:p w14:paraId="1817B1AD">
      <w:pPr>
        <w:numPr>
          <w:ilvl w:val="0"/>
          <w:numId w:val="6"/>
        </w:numPr>
        <w:ind w:firstLineChars="0"/>
        <w:rPr>
          <w:rFonts w:cs="Times New Roman"/>
          <w:color w:val="auto"/>
        </w:rPr>
      </w:pPr>
      <w:r>
        <w:rPr>
          <w:rFonts w:cs="Times New Roman"/>
          <w:color w:val="auto"/>
        </w:rPr>
        <w:t>国家环保总局等编《水和废水监测分析方法》（第四版）；</w:t>
      </w:r>
    </w:p>
    <w:p w14:paraId="60080107">
      <w:pPr>
        <w:numPr>
          <w:ilvl w:val="0"/>
          <w:numId w:val="6"/>
        </w:numPr>
        <w:ind w:firstLineChars="0"/>
        <w:rPr>
          <w:rFonts w:cs="Times New Roman"/>
          <w:color w:val="auto"/>
        </w:rPr>
      </w:pPr>
      <w:r>
        <w:rPr>
          <w:rFonts w:cs="Times New Roman"/>
          <w:color w:val="auto"/>
        </w:rPr>
        <w:t>国家环保总局等编《空气和废气监测分析方法》（第四版）；</w:t>
      </w:r>
    </w:p>
    <w:p w14:paraId="2E1C58D0">
      <w:pPr>
        <w:numPr>
          <w:ilvl w:val="0"/>
          <w:numId w:val="6"/>
        </w:numPr>
        <w:ind w:firstLineChars="0"/>
        <w:rPr>
          <w:rFonts w:cs="Times New Roman"/>
          <w:color w:val="auto"/>
        </w:rPr>
      </w:pPr>
      <w:r>
        <w:rPr>
          <w:rFonts w:cs="Times New Roman"/>
          <w:color w:val="auto"/>
        </w:rPr>
        <w:t>《造纸工业污染防治技术对策》（环境保护部公告2017年第35号）；</w:t>
      </w:r>
    </w:p>
    <w:p w14:paraId="1087F34A">
      <w:pPr>
        <w:numPr>
          <w:ilvl w:val="0"/>
          <w:numId w:val="6"/>
        </w:numPr>
        <w:ind w:firstLineChars="0"/>
        <w:rPr>
          <w:rFonts w:cs="Times New Roman"/>
          <w:color w:val="auto"/>
        </w:rPr>
      </w:pPr>
      <w:r>
        <w:rPr>
          <w:rFonts w:cs="Times New Roman"/>
          <w:color w:val="auto"/>
        </w:rPr>
        <w:t>《制浆造纸工业污染防治可行性技术指南》（2018年3月1日实施）；</w:t>
      </w:r>
    </w:p>
    <w:p w14:paraId="4A8D1B8C">
      <w:pPr>
        <w:numPr>
          <w:ilvl w:val="0"/>
          <w:numId w:val="6"/>
        </w:numPr>
        <w:ind w:firstLineChars="0"/>
        <w:rPr>
          <w:rFonts w:cs="Times New Roman"/>
          <w:color w:val="auto"/>
        </w:rPr>
      </w:pPr>
      <w:r>
        <w:rPr>
          <w:rFonts w:cs="Times New Roman"/>
          <w:color w:val="auto"/>
        </w:rPr>
        <w:t>《污染源</w:t>
      </w:r>
      <w:r>
        <w:rPr>
          <w:rFonts w:hint="eastAsia" w:cs="Times New Roman"/>
          <w:color w:val="auto"/>
        </w:rPr>
        <w:t>源</w:t>
      </w:r>
      <w:r>
        <w:rPr>
          <w:rFonts w:cs="Times New Roman"/>
          <w:color w:val="auto"/>
        </w:rPr>
        <w:t>强核算技术指南 制浆造纸》（HJ887-2018）；</w:t>
      </w:r>
    </w:p>
    <w:p w14:paraId="2266B682">
      <w:pPr>
        <w:numPr>
          <w:ilvl w:val="0"/>
          <w:numId w:val="6"/>
        </w:numPr>
        <w:ind w:firstLineChars="0"/>
        <w:rPr>
          <w:rFonts w:cs="Times New Roman"/>
          <w:color w:val="auto"/>
        </w:rPr>
      </w:pPr>
      <w:r>
        <w:rPr>
          <w:rFonts w:cs="Times New Roman"/>
          <w:color w:val="auto"/>
        </w:rPr>
        <w:t>《污染源</w:t>
      </w:r>
      <w:r>
        <w:rPr>
          <w:rFonts w:hint="eastAsia" w:cs="Times New Roman"/>
          <w:color w:val="auto"/>
        </w:rPr>
        <w:t>源</w:t>
      </w:r>
      <w:r>
        <w:rPr>
          <w:rFonts w:cs="Times New Roman"/>
          <w:color w:val="auto"/>
        </w:rPr>
        <w:t>强核算技术指南 锅炉》（HJ991-2018）；</w:t>
      </w:r>
    </w:p>
    <w:p w14:paraId="59745B3D">
      <w:pPr>
        <w:numPr>
          <w:ilvl w:val="0"/>
          <w:numId w:val="6"/>
        </w:numPr>
        <w:ind w:firstLineChars="0"/>
        <w:rPr>
          <w:rFonts w:cs="Times New Roman"/>
          <w:color w:val="auto"/>
        </w:rPr>
      </w:pPr>
      <w:r>
        <w:rPr>
          <w:rFonts w:cs="Times New Roman"/>
          <w:color w:val="auto"/>
        </w:rPr>
        <w:t>《排污单位自行监测技术指南 造纸工业》（HJ821-2017）；</w:t>
      </w:r>
    </w:p>
    <w:p w14:paraId="5FDD0DF9">
      <w:pPr>
        <w:numPr>
          <w:ilvl w:val="0"/>
          <w:numId w:val="6"/>
        </w:numPr>
        <w:ind w:firstLineChars="0"/>
        <w:rPr>
          <w:rFonts w:cs="Times New Roman"/>
          <w:color w:val="auto"/>
        </w:rPr>
      </w:pPr>
      <w:r>
        <w:rPr>
          <w:rFonts w:cs="Times New Roman"/>
          <w:color w:val="auto"/>
        </w:rPr>
        <w:t>《造纸行业排污许可证申请与核发技术规范》（环水体〔2016〕189号）；</w:t>
      </w:r>
    </w:p>
    <w:p w14:paraId="3E6DE8FE">
      <w:pPr>
        <w:numPr>
          <w:ilvl w:val="0"/>
          <w:numId w:val="6"/>
        </w:numPr>
        <w:ind w:firstLineChars="0"/>
        <w:rPr>
          <w:rFonts w:cs="Times New Roman"/>
          <w:color w:val="auto"/>
        </w:rPr>
      </w:pPr>
      <w:r>
        <w:rPr>
          <w:rFonts w:cs="Times New Roman"/>
          <w:color w:val="auto"/>
        </w:rPr>
        <w:t>《造纸和纸制品生产企业 温室气体排放核算方法与报告指南》（试行）；</w:t>
      </w:r>
    </w:p>
    <w:p w14:paraId="19902275">
      <w:pPr>
        <w:numPr>
          <w:ilvl w:val="0"/>
          <w:numId w:val="6"/>
        </w:numPr>
        <w:ind w:firstLineChars="0"/>
        <w:rPr>
          <w:rFonts w:cs="Times New Roman"/>
          <w:color w:val="auto"/>
        </w:rPr>
      </w:pPr>
      <w:r>
        <w:rPr>
          <w:rFonts w:cs="Times New Roman"/>
          <w:color w:val="auto"/>
        </w:rPr>
        <w:t>《地下水污染模拟预测评估工作指南（试行）》（2014年10月）；</w:t>
      </w:r>
    </w:p>
    <w:p w14:paraId="49868F3C">
      <w:pPr>
        <w:numPr>
          <w:ilvl w:val="0"/>
          <w:numId w:val="6"/>
        </w:numPr>
        <w:ind w:firstLineChars="0"/>
        <w:rPr>
          <w:rFonts w:cs="Times New Roman"/>
          <w:color w:val="auto"/>
        </w:rPr>
      </w:pPr>
      <w:r>
        <w:rPr>
          <w:rFonts w:cs="Times New Roman"/>
          <w:color w:val="auto"/>
        </w:rPr>
        <w:t>《饮用水水源保护区划分技术规范》（HJ 338-2018）；</w:t>
      </w:r>
    </w:p>
    <w:p w14:paraId="4A31DB7F">
      <w:pPr>
        <w:numPr>
          <w:ilvl w:val="0"/>
          <w:numId w:val="6"/>
        </w:numPr>
        <w:ind w:firstLineChars="0"/>
        <w:rPr>
          <w:rFonts w:cs="Times New Roman"/>
          <w:color w:val="auto"/>
        </w:rPr>
      </w:pPr>
      <w:r>
        <w:rPr>
          <w:rFonts w:cs="Times New Roman"/>
          <w:color w:val="auto"/>
        </w:rPr>
        <w:t>《危险废物产生单位管理计划制定指南》（原环境保护部公告2016年第7号）；</w:t>
      </w:r>
    </w:p>
    <w:p w14:paraId="75BE63C9">
      <w:pPr>
        <w:numPr>
          <w:ilvl w:val="0"/>
          <w:numId w:val="6"/>
        </w:numPr>
        <w:ind w:firstLineChars="0"/>
        <w:rPr>
          <w:rFonts w:cs="Times New Roman"/>
          <w:color w:val="auto"/>
        </w:rPr>
      </w:pPr>
      <w:r>
        <w:rPr>
          <w:rFonts w:cs="Times New Roman"/>
          <w:color w:val="auto"/>
        </w:rPr>
        <w:t>《危险废物管理计划和管理台账制定技术导则》（HJ 1259-2022）；</w:t>
      </w:r>
    </w:p>
    <w:p w14:paraId="24070F41">
      <w:pPr>
        <w:numPr>
          <w:ilvl w:val="0"/>
          <w:numId w:val="6"/>
        </w:numPr>
        <w:ind w:firstLineChars="0"/>
        <w:rPr>
          <w:rFonts w:cs="Times New Roman"/>
          <w:color w:val="auto"/>
        </w:rPr>
      </w:pPr>
      <w:r>
        <w:rPr>
          <w:rFonts w:cs="Times New Roman"/>
          <w:color w:val="auto"/>
        </w:rPr>
        <w:t>《一般工业固体废物管理台账制定指南》（生态环境部公告2021年第82号）；</w:t>
      </w:r>
    </w:p>
    <w:p w14:paraId="7B5AC8B2">
      <w:pPr>
        <w:numPr>
          <w:ilvl w:val="0"/>
          <w:numId w:val="6"/>
        </w:numPr>
        <w:ind w:firstLineChars="0"/>
        <w:rPr>
          <w:rFonts w:cs="Times New Roman"/>
          <w:color w:val="auto"/>
        </w:rPr>
      </w:pPr>
      <w:r>
        <w:rPr>
          <w:rFonts w:hint="eastAsia" w:cs="Times New Roman"/>
          <w:color w:val="auto"/>
        </w:rPr>
        <w:t>《固体废物鉴别标准 通则》（GB 34330-2025）；</w:t>
      </w:r>
    </w:p>
    <w:p w14:paraId="3DE1068E">
      <w:pPr>
        <w:numPr>
          <w:ilvl w:val="0"/>
          <w:numId w:val="6"/>
        </w:numPr>
        <w:ind w:firstLineChars="0"/>
        <w:rPr>
          <w:rFonts w:cs="Times New Roman"/>
          <w:color w:val="auto"/>
        </w:rPr>
      </w:pPr>
      <w:r>
        <w:rPr>
          <w:rFonts w:cs="Times New Roman"/>
          <w:color w:val="auto"/>
        </w:rPr>
        <w:t>《地表水环境质量监测技术规范》（HJ91.2-2022）；</w:t>
      </w:r>
    </w:p>
    <w:p w14:paraId="7CC55C89">
      <w:pPr>
        <w:numPr>
          <w:ilvl w:val="0"/>
          <w:numId w:val="6"/>
        </w:numPr>
        <w:ind w:firstLineChars="0"/>
        <w:rPr>
          <w:rFonts w:cs="Times New Roman"/>
          <w:color w:val="auto"/>
        </w:rPr>
      </w:pPr>
      <w:r>
        <w:rPr>
          <w:rFonts w:cs="Times New Roman"/>
          <w:color w:val="auto"/>
        </w:rPr>
        <w:t>《造纸行业“十四五”及中长期高质量发展纲要》（中纸协</w:t>
      </w:r>
      <w:r>
        <w:rPr>
          <w:rFonts w:hint="eastAsia" w:cs="Times New Roman"/>
          <w:color w:val="auto"/>
        </w:rPr>
        <w:t>〔2021〕</w:t>
      </w:r>
      <w:r>
        <w:rPr>
          <w:rFonts w:cs="Times New Roman"/>
          <w:color w:val="auto"/>
        </w:rPr>
        <w:t>20号）；</w:t>
      </w:r>
    </w:p>
    <w:p w14:paraId="3A7BE3A3">
      <w:pPr>
        <w:numPr>
          <w:ilvl w:val="0"/>
          <w:numId w:val="6"/>
        </w:numPr>
        <w:ind w:firstLineChars="0"/>
        <w:rPr>
          <w:rFonts w:cs="Times New Roman"/>
          <w:color w:val="auto"/>
        </w:rPr>
      </w:pPr>
      <w:r>
        <w:rPr>
          <w:rFonts w:cs="Times New Roman"/>
          <w:color w:val="auto"/>
        </w:rPr>
        <w:t>《工业企业土壤和地下水自行监测 技术指南》（HJ1209-2021）；</w:t>
      </w:r>
    </w:p>
    <w:p w14:paraId="3DD8C566">
      <w:pPr>
        <w:numPr>
          <w:ilvl w:val="0"/>
          <w:numId w:val="6"/>
        </w:numPr>
        <w:ind w:firstLineChars="0"/>
        <w:rPr>
          <w:rFonts w:cs="Times New Roman"/>
          <w:color w:val="auto"/>
        </w:rPr>
      </w:pPr>
      <w:r>
        <w:rPr>
          <w:rFonts w:cs="Times New Roman"/>
          <w:color w:val="auto"/>
        </w:rPr>
        <w:t>《排污许可证申请与核发技术规范 工业固体废物（试行）》（HJ 1200-2021）；</w:t>
      </w:r>
    </w:p>
    <w:p w14:paraId="4019A416">
      <w:pPr>
        <w:numPr>
          <w:ilvl w:val="0"/>
          <w:numId w:val="6"/>
        </w:numPr>
        <w:ind w:firstLineChars="0"/>
        <w:rPr>
          <w:rFonts w:cs="Times New Roman"/>
          <w:color w:val="auto"/>
        </w:rPr>
      </w:pPr>
      <w:r>
        <w:rPr>
          <w:rFonts w:cs="Times New Roman"/>
          <w:color w:val="auto"/>
        </w:rPr>
        <w:t>《排污单位自行监测技术指南 工业固体废物和危险废物治理》（HJ 1250-2022）；</w:t>
      </w:r>
    </w:p>
    <w:p w14:paraId="32B8A527">
      <w:pPr>
        <w:numPr>
          <w:ilvl w:val="0"/>
          <w:numId w:val="6"/>
        </w:numPr>
        <w:ind w:firstLineChars="0"/>
        <w:rPr>
          <w:rFonts w:cs="Times New Roman"/>
          <w:color w:val="auto"/>
        </w:rPr>
      </w:pPr>
      <w:r>
        <w:rPr>
          <w:rFonts w:cs="Times New Roman"/>
          <w:color w:val="auto"/>
        </w:rPr>
        <w:t>《排污单位自行监测技术指南 总则》（HJ819-2017）；</w:t>
      </w:r>
    </w:p>
    <w:p w14:paraId="70A495BE">
      <w:pPr>
        <w:numPr>
          <w:ilvl w:val="0"/>
          <w:numId w:val="6"/>
        </w:numPr>
        <w:ind w:firstLineChars="0"/>
        <w:rPr>
          <w:rFonts w:cs="Times New Roman"/>
          <w:color w:val="auto"/>
        </w:rPr>
      </w:pPr>
      <w:r>
        <w:rPr>
          <w:rFonts w:cs="Times New Roman"/>
          <w:color w:val="auto"/>
        </w:rPr>
        <w:t>《排污单位自行监测技术指南 造纸工业》（HJ821-2017）；</w:t>
      </w:r>
    </w:p>
    <w:p w14:paraId="75118C49">
      <w:pPr>
        <w:numPr>
          <w:ilvl w:val="0"/>
          <w:numId w:val="6"/>
        </w:numPr>
        <w:ind w:firstLineChars="0"/>
        <w:rPr>
          <w:rFonts w:cs="Times New Roman"/>
          <w:color w:val="auto"/>
        </w:rPr>
      </w:pPr>
      <w:r>
        <w:rPr>
          <w:rFonts w:cs="Times New Roman"/>
          <w:color w:val="auto"/>
        </w:rPr>
        <w:t>《排污单位自行监测技术指南 火力发电及锅炉》（HJ 820-2017）；</w:t>
      </w:r>
    </w:p>
    <w:p w14:paraId="3EA792C8">
      <w:pPr>
        <w:numPr>
          <w:ilvl w:val="0"/>
          <w:numId w:val="6"/>
        </w:numPr>
        <w:ind w:firstLineChars="0"/>
        <w:rPr>
          <w:rFonts w:cs="Times New Roman"/>
          <w:color w:val="auto"/>
        </w:rPr>
      </w:pPr>
      <w:r>
        <w:rPr>
          <w:rFonts w:cs="Times New Roman"/>
          <w:color w:val="auto"/>
        </w:rPr>
        <w:t>《制浆造纸工业水污染物排放标准》（GB3544-2008）；</w:t>
      </w:r>
    </w:p>
    <w:p w14:paraId="3DB6CD83">
      <w:pPr>
        <w:numPr>
          <w:ilvl w:val="0"/>
          <w:numId w:val="6"/>
        </w:numPr>
        <w:ind w:firstLineChars="0"/>
        <w:rPr>
          <w:rFonts w:cs="Times New Roman"/>
          <w:color w:val="auto"/>
        </w:rPr>
      </w:pPr>
      <w:r>
        <w:rPr>
          <w:rFonts w:cs="Times New Roman"/>
          <w:color w:val="auto"/>
        </w:rPr>
        <w:t>《地下水质量标准》（GB-T-14848-2017）；</w:t>
      </w:r>
    </w:p>
    <w:p w14:paraId="28F6DFAD">
      <w:pPr>
        <w:numPr>
          <w:ilvl w:val="0"/>
          <w:numId w:val="6"/>
        </w:numPr>
        <w:ind w:firstLineChars="0"/>
        <w:rPr>
          <w:rFonts w:cs="Times New Roman"/>
          <w:color w:val="auto"/>
        </w:rPr>
      </w:pPr>
      <w:r>
        <w:rPr>
          <w:rFonts w:cs="Times New Roman"/>
          <w:color w:val="auto"/>
        </w:rPr>
        <w:t>《地下水监测工程技术规范》（GB-T51040-2014）；</w:t>
      </w:r>
    </w:p>
    <w:p w14:paraId="21EFB575">
      <w:pPr>
        <w:numPr>
          <w:ilvl w:val="0"/>
          <w:numId w:val="6"/>
        </w:numPr>
        <w:ind w:firstLineChars="0"/>
        <w:rPr>
          <w:rFonts w:cs="Times New Roman"/>
          <w:color w:val="auto"/>
        </w:rPr>
      </w:pPr>
      <w:r>
        <w:rPr>
          <w:rFonts w:cs="Times New Roman"/>
          <w:color w:val="auto"/>
        </w:rPr>
        <w:t>《建设用地土壤污染风险筛选值和管制值》（DB45/T2556-2022）。</w:t>
      </w:r>
    </w:p>
    <w:p w14:paraId="04111988">
      <w:pPr>
        <w:pStyle w:val="4"/>
        <w:rPr>
          <w:rFonts w:cs="Times New Roman"/>
          <w:color w:val="auto"/>
        </w:rPr>
      </w:pPr>
      <w:bookmarkStart w:id="43" w:name="_Toc199190411"/>
      <w:bookmarkStart w:id="44" w:name="_Toc199168874"/>
      <w:bookmarkStart w:id="45" w:name="_Toc225216652"/>
      <w:bookmarkStart w:id="46" w:name="_Toc198390519"/>
      <w:bookmarkStart w:id="47" w:name="_Toc198391172"/>
      <w:r>
        <w:rPr>
          <w:rFonts w:cs="Times New Roman"/>
          <w:color w:val="auto"/>
        </w:rPr>
        <w:t>项目依据</w:t>
      </w:r>
      <w:bookmarkEnd w:id="43"/>
      <w:bookmarkEnd w:id="44"/>
      <w:bookmarkEnd w:id="45"/>
      <w:bookmarkEnd w:id="46"/>
      <w:bookmarkEnd w:id="47"/>
    </w:p>
    <w:p w14:paraId="1F0D2996">
      <w:pPr>
        <w:numPr>
          <w:ilvl w:val="0"/>
          <w:numId w:val="7"/>
        </w:numPr>
        <w:ind w:firstLineChars="0"/>
        <w:rPr>
          <w:rFonts w:cs="Times New Roman"/>
          <w:color w:val="auto"/>
        </w:rPr>
      </w:pPr>
      <w:r>
        <w:rPr>
          <w:rFonts w:hint="eastAsia" w:cs="Times New Roman"/>
          <w:color w:val="auto"/>
        </w:rPr>
        <w:t>项目委托书；</w:t>
      </w:r>
    </w:p>
    <w:p w14:paraId="5701154A">
      <w:pPr>
        <w:numPr>
          <w:ilvl w:val="0"/>
          <w:numId w:val="7"/>
        </w:numPr>
        <w:ind w:firstLineChars="0"/>
        <w:rPr>
          <w:rFonts w:cs="Times New Roman"/>
          <w:color w:val="auto"/>
        </w:rPr>
      </w:pPr>
      <w:r>
        <w:rPr>
          <w:rFonts w:cs="Times New Roman"/>
          <w:color w:val="auto"/>
        </w:rPr>
        <w:t>项目备案；</w:t>
      </w:r>
    </w:p>
    <w:p w14:paraId="76DCB514">
      <w:pPr>
        <w:numPr>
          <w:ilvl w:val="0"/>
          <w:numId w:val="7"/>
        </w:numPr>
        <w:ind w:firstLineChars="0"/>
        <w:rPr>
          <w:rFonts w:cs="Times New Roman"/>
          <w:color w:val="auto"/>
        </w:rPr>
      </w:pPr>
      <w:r>
        <w:rPr>
          <w:rFonts w:hint="eastAsia" w:cs="Times New Roman"/>
          <w:color w:val="auto"/>
        </w:rPr>
        <w:t>广西金桂浆纸业有限公司历次项目环评批复及各项目竣工环保验收意见；</w:t>
      </w:r>
    </w:p>
    <w:p w14:paraId="5F9AA1C1">
      <w:pPr>
        <w:numPr>
          <w:ilvl w:val="0"/>
          <w:numId w:val="7"/>
        </w:numPr>
        <w:ind w:firstLineChars="0"/>
        <w:rPr>
          <w:rFonts w:cs="Times New Roman"/>
          <w:color w:val="auto"/>
        </w:rPr>
      </w:pPr>
      <w:r>
        <w:rPr>
          <w:rFonts w:hint="eastAsia" w:cs="Times New Roman"/>
          <w:color w:val="auto"/>
        </w:rPr>
        <w:t>《广西金桂浆纸业有限公司高档纸板车间绿色升级改造项目可行性研究报告》（中国轻工业长沙工程有限公司）；</w:t>
      </w:r>
    </w:p>
    <w:p w14:paraId="69929981">
      <w:pPr>
        <w:pStyle w:val="31"/>
        <w:numPr>
          <w:ilvl w:val="0"/>
          <w:numId w:val="7"/>
        </w:numPr>
        <w:ind w:firstLineChars="0"/>
        <w:rPr>
          <w:rFonts w:cs="Times New Roman"/>
          <w:color w:val="auto"/>
        </w:rPr>
      </w:pPr>
      <w:r>
        <w:rPr>
          <w:rFonts w:hint="eastAsia" w:cs="Times New Roman"/>
          <w:color w:val="auto"/>
        </w:rPr>
        <w:t>《广西钦州林浆纸产业园规划环境影响报告书》及其审查意见；</w:t>
      </w:r>
    </w:p>
    <w:p w14:paraId="093A028B">
      <w:pPr>
        <w:pStyle w:val="31"/>
        <w:numPr>
          <w:ilvl w:val="0"/>
          <w:numId w:val="7"/>
        </w:numPr>
        <w:ind w:firstLineChars="0"/>
        <w:rPr>
          <w:rFonts w:cs="Times New Roman"/>
          <w:color w:val="auto"/>
        </w:rPr>
      </w:pPr>
      <w:r>
        <w:rPr>
          <w:rFonts w:hint="eastAsia" w:cs="Times New Roman"/>
          <w:color w:val="auto"/>
        </w:rPr>
        <w:t>广西金桂浆纸业有限公司例行监测报告及在线监测数据；</w:t>
      </w:r>
    </w:p>
    <w:p w14:paraId="4A3C5C34">
      <w:pPr>
        <w:numPr>
          <w:ilvl w:val="0"/>
          <w:numId w:val="7"/>
        </w:numPr>
        <w:ind w:firstLineChars="0"/>
        <w:rPr>
          <w:rFonts w:cs="Times New Roman"/>
          <w:color w:val="auto"/>
        </w:rPr>
      </w:pPr>
      <w:r>
        <w:rPr>
          <w:rFonts w:cs="Times New Roman"/>
          <w:color w:val="auto"/>
        </w:rPr>
        <w:t>建设单位提供的其他资料。</w:t>
      </w:r>
    </w:p>
    <w:p w14:paraId="08AA10BC">
      <w:pPr>
        <w:pStyle w:val="3"/>
        <w:rPr>
          <w:rFonts w:cs="Times New Roman"/>
          <w:color w:val="auto"/>
        </w:rPr>
      </w:pPr>
      <w:bookmarkStart w:id="48" w:name="_Toc199168875"/>
      <w:bookmarkStart w:id="49" w:name="_Toc199190412"/>
      <w:bookmarkStart w:id="50" w:name="_Toc185257457"/>
      <w:bookmarkStart w:id="51" w:name="_Toc221355696"/>
      <w:bookmarkStart w:id="52" w:name="_Toc198391173"/>
      <w:bookmarkStart w:id="53" w:name="_Toc225216653"/>
      <w:bookmarkStart w:id="54" w:name="_Toc198390005"/>
      <w:bookmarkStart w:id="55" w:name="_Toc198390520"/>
      <w:r>
        <w:rPr>
          <w:rFonts w:cs="Times New Roman"/>
          <w:color w:val="auto"/>
        </w:rPr>
        <w:t>环境影响识别及评价因子筛选</w:t>
      </w:r>
      <w:bookmarkEnd w:id="48"/>
      <w:bookmarkEnd w:id="49"/>
      <w:bookmarkEnd w:id="50"/>
      <w:bookmarkEnd w:id="51"/>
      <w:bookmarkEnd w:id="52"/>
      <w:bookmarkEnd w:id="53"/>
      <w:bookmarkEnd w:id="54"/>
      <w:bookmarkEnd w:id="55"/>
    </w:p>
    <w:p w14:paraId="7F50A79A">
      <w:pPr>
        <w:pStyle w:val="4"/>
        <w:rPr>
          <w:rFonts w:cs="Times New Roman"/>
          <w:color w:val="auto"/>
        </w:rPr>
      </w:pPr>
      <w:bookmarkStart w:id="56" w:name="_Toc198390521"/>
      <w:bookmarkStart w:id="57" w:name="_Toc199168876"/>
      <w:bookmarkStart w:id="58" w:name="_Toc198391174"/>
      <w:bookmarkStart w:id="59" w:name="_Toc199190413"/>
      <w:bookmarkStart w:id="60" w:name="_Toc225216654"/>
      <w:r>
        <w:rPr>
          <w:rFonts w:cs="Times New Roman"/>
          <w:color w:val="auto"/>
        </w:rPr>
        <w:t>环境影响识别</w:t>
      </w:r>
      <w:bookmarkEnd w:id="56"/>
      <w:bookmarkEnd w:id="57"/>
      <w:bookmarkEnd w:id="58"/>
      <w:bookmarkEnd w:id="59"/>
      <w:bookmarkEnd w:id="60"/>
    </w:p>
    <w:p w14:paraId="543ABEB2">
      <w:pPr>
        <w:ind w:firstLine="480"/>
        <w:rPr>
          <w:rFonts w:cs="Times New Roman"/>
          <w:color w:val="auto"/>
        </w:rPr>
      </w:pPr>
      <w:r>
        <w:rPr>
          <w:rFonts w:hint="eastAsia" w:cs="Times New Roman"/>
          <w:color w:val="auto"/>
        </w:rPr>
        <w:t>项目施工期和运营期对各环境要素的影响类型和程度分析见下</w:t>
      </w:r>
      <w:r>
        <w:rPr>
          <w:rFonts w:cs="Times New Roman"/>
          <w:color w:val="auto"/>
        </w:rPr>
        <w:fldChar w:fldCharType="begin"/>
      </w:r>
      <w:r>
        <w:rPr>
          <w:rFonts w:cs="Times New Roman"/>
          <w:color w:val="auto"/>
        </w:rPr>
        <w:instrText xml:space="preserve"> REF _Ref185008168 \r \h  \* MERGEFORMAT </w:instrText>
      </w:r>
      <w:r>
        <w:rPr>
          <w:rFonts w:cs="Times New Roman"/>
          <w:color w:val="auto"/>
        </w:rPr>
        <w:fldChar w:fldCharType="separate"/>
      </w:r>
      <w:r>
        <w:rPr>
          <w:rFonts w:hint="eastAsia" w:cs="Times New Roman"/>
          <w:color w:val="auto"/>
        </w:rPr>
        <w:t>表1.2-1</w:t>
      </w:r>
      <w:r>
        <w:rPr>
          <w:rFonts w:cs="Times New Roman"/>
          <w:color w:val="auto"/>
        </w:rPr>
        <w:fldChar w:fldCharType="end"/>
      </w:r>
      <w:r>
        <w:rPr>
          <w:rFonts w:cs="Times New Roman"/>
          <w:color w:val="auto"/>
        </w:rPr>
        <w:t>。</w:t>
      </w:r>
    </w:p>
    <w:p w14:paraId="6CB2A753">
      <w:pPr>
        <w:pStyle w:val="7"/>
        <w:rPr>
          <w:color w:val="auto"/>
        </w:rPr>
      </w:pPr>
      <w:bookmarkStart w:id="61" w:name="_Ref185008168"/>
      <w:r>
        <w:rPr>
          <w:color w:val="auto"/>
        </w:rPr>
        <w:t>本项目环境影响因素识别矩阵表</w:t>
      </w:r>
      <w:bookmarkEnd w:id="61"/>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74"/>
        <w:gridCol w:w="1288"/>
        <w:gridCol w:w="531"/>
        <w:gridCol w:w="530"/>
        <w:gridCol w:w="530"/>
        <w:gridCol w:w="660"/>
        <w:gridCol w:w="441"/>
        <w:gridCol w:w="421"/>
        <w:gridCol w:w="421"/>
        <w:gridCol w:w="421"/>
        <w:gridCol w:w="421"/>
        <w:gridCol w:w="421"/>
        <w:gridCol w:w="612"/>
        <w:gridCol w:w="571"/>
        <w:gridCol w:w="398"/>
        <w:gridCol w:w="398"/>
        <w:gridCol w:w="453"/>
      </w:tblGrid>
      <w:tr w14:paraId="7FCB7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restart"/>
            <w:vAlign w:val="center"/>
          </w:tcPr>
          <w:p w14:paraId="1B5132F4">
            <w:pPr>
              <w:pStyle w:val="33"/>
              <w:rPr>
                <w:color w:val="auto"/>
              </w:rPr>
            </w:pPr>
            <w:r>
              <w:rPr>
                <w:color w:val="auto"/>
              </w:rPr>
              <w:t>影响类型</w:t>
            </w:r>
          </w:p>
          <w:p w14:paraId="151C8D5D">
            <w:pPr>
              <w:pStyle w:val="33"/>
              <w:rPr>
                <w:color w:val="auto"/>
              </w:rPr>
            </w:pPr>
            <w:r>
              <w:rPr>
                <w:color w:val="auto"/>
              </w:rPr>
              <w:t>影响阶段</w:t>
            </w:r>
          </w:p>
        </w:tc>
        <w:tc>
          <w:tcPr>
            <w:tcW w:w="4797" w:type="dxa"/>
            <w:gridSpan w:val="10"/>
            <w:vAlign w:val="center"/>
          </w:tcPr>
          <w:p w14:paraId="0367F0A5">
            <w:pPr>
              <w:pStyle w:val="33"/>
              <w:rPr>
                <w:color w:val="auto"/>
              </w:rPr>
            </w:pPr>
            <w:r>
              <w:rPr>
                <w:color w:val="auto"/>
              </w:rPr>
              <w:t>影响类型</w:t>
            </w:r>
          </w:p>
        </w:tc>
        <w:tc>
          <w:tcPr>
            <w:tcW w:w="2432" w:type="dxa"/>
            <w:gridSpan w:val="5"/>
            <w:vAlign w:val="center"/>
          </w:tcPr>
          <w:p w14:paraId="4587A4D6">
            <w:pPr>
              <w:pStyle w:val="33"/>
              <w:rPr>
                <w:color w:val="auto"/>
              </w:rPr>
            </w:pPr>
            <w:r>
              <w:rPr>
                <w:color w:val="auto"/>
              </w:rPr>
              <w:t>影响程度</w:t>
            </w:r>
          </w:p>
        </w:tc>
      </w:tr>
      <w:tr w14:paraId="053FB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14:paraId="3B971810">
            <w:pPr>
              <w:pStyle w:val="33"/>
              <w:rPr>
                <w:color w:val="auto"/>
              </w:rPr>
            </w:pPr>
          </w:p>
        </w:tc>
        <w:tc>
          <w:tcPr>
            <w:tcW w:w="531" w:type="dxa"/>
            <w:vMerge w:val="restart"/>
            <w:vAlign w:val="center"/>
          </w:tcPr>
          <w:p w14:paraId="2E82EAC4">
            <w:pPr>
              <w:pStyle w:val="33"/>
              <w:rPr>
                <w:color w:val="auto"/>
              </w:rPr>
            </w:pPr>
            <w:r>
              <w:rPr>
                <w:color w:val="auto"/>
              </w:rPr>
              <w:t>有利</w:t>
            </w:r>
          </w:p>
        </w:tc>
        <w:tc>
          <w:tcPr>
            <w:tcW w:w="530" w:type="dxa"/>
            <w:vMerge w:val="restart"/>
            <w:vAlign w:val="center"/>
          </w:tcPr>
          <w:p w14:paraId="6F752995">
            <w:pPr>
              <w:pStyle w:val="33"/>
              <w:rPr>
                <w:color w:val="auto"/>
              </w:rPr>
            </w:pPr>
            <w:r>
              <w:rPr>
                <w:color w:val="auto"/>
              </w:rPr>
              <w:t>不利</w:t>
            </w:r>
          </w:p>
        </w:tc>
        <w:tc>
          <w:tcPr>
            <w:tcW w:w="530" w:type="dxa"/>
            <w:vMerge w:val="restart"/>
            <w:vAlign w:val="center"/>
          </w:tcPr>
          <w:p w14:paraId="7CC924CC">
            <w:pPr>
              <w:pStyle w:val="33"/>
              <w:rPr>
                <w:color w:val="auto"/>
              </w:rPr>
            </w:pPr>
            <w:r>
              <w:rPr>
                <w:color w:val="auto"/>
              </w:rPr>
              <w:t>可逆</w:t>
            </w:r>
          </w:p>
        </w:tc>
        <w:tc>
          <w:tcPr>
            <w:tcW w:w="660" w:type="dxa"/>
            <w:vMerge w:val="restart"/>
            <w:vAlign w:val="center"/>
          </w:tcPr>
          <w:p w14:paraId="4B95A710">
            <w:pPr>
              <w:pStyle w:val="33"/>
              <w:rPr>
                <w:color w:val="auto"/>
              </w:rPr>
            </w:pPr>
            <w:r>
              <w:rPr>
                <w:color w:val="auto"/>
              </w:rPr>
              <w:t>不可逆</w:t>
            </w:r>
          </w:p>
        </w:tc>
        <w:tc>
          <w:tcPr>
            <w:tcW w:w="441" w:type="dxa"/>
            <w:vMerge w:val="restart"/>
            <w:vAlign w:val="center"/>
          </w:tcPr>
          <w:p w14:paraId="4736DB84">
            <w:pPr>
              <w:pStyle w:val="33"/>
              <w:rPr>
                <w:color w:val="auto"/>
              </w:rPr>
            </w:pPr>
            <w:r>
              <w:rPr>
                <w:color w:val="auto"/>
              </w:rPr>
              <w:t>短期</w:t>
            </w:r>
          </w:p>
        </w:tc>
        <w:tc>
          <w:tcPr>
            <w:tcW w:w="421" w:type="dxa"/>
            <w:vMerge w:val="restart"/>
            <w:vAlign w:val="center"/>
          </w:tcPr>
          <w:p w14:paraId="1E903477">
            <w:pPr>
              <w:pStyle w:val="33"/>
              <w:rPr>
                <w:color w:val="auto"/>
              </w:rPr>
            </w:pPr>
            <w:r>
              <w:rPr>
                <w:color w:val="auto"/>
              </w:rPr>
              <w:t>长期</w:t>
            </w:r>
          </w:p>
        </w:tc>
        <w:tc>
          <w:tcPr>
            <w:tcW w:w="421" w:type="dxa"/>
            <w:vMerge w:val="restart"/>
            <w:vAlign w:val="center"/>
          </w:tcPr>
          <w:p w14:paraId="1D398715">
            <w:pPr>
              <w:pStyle w:val="33"/>
              <w:rPr>
                <w:color w:val="auto"/>
              </w:rPr>
            </w:pPr>
            <w:r>
              <w:rPr>
                <w:color w:val="auto"/>
              </w:rPr>
              <w:t>直接</w:t>
            </w:r>
          </w:p>
        </w:tc>
        <w:tc>
          <w:tcPr>
            <w:tcW w:w="421" w:type="dxa"/>
            <w:vMerge w:val="restart"/>
            <w:vAlign w:val="center"/>
          </w:tcPr>
          <w:p w14:paraId="42FFFFE7">
            <w:pPr>
              <w:pStyle w:val="33"/>
              <w:rPr>
                <w:color w:val="auto"/>
              </w:rPr>
            </w:pPr>
            <w:r>
              <w:rPr>
                <w:color w:val="auto"/>
              </w:rPr>
              <w:t>间接</w:t>
            </w:r>
          </w:p>
        </w:tc>
        <w:tc>
          <w:tcPr>
            <w:tcW w:w="421" w:type="dxa"/>
            <w:vMerge w:val="restart"/>
            <w:vAlign w:val="center"/>
          </w:tcPr>
          <w:p w14:paraId="7209217F">
            <w:pPr>
              <w:pStyle w:val="33"/>
              <w:rPr>
                <w:color w:val="auto"/>
              </w:rPr>
            </w:pPr>
            <w:r>
              <w:rPr>
                <w:color w:val="auto"/>
              </w:rPr>
              <w:t>局部</w:t>
            </w:r>
          </w:p>
        </w:tc>
        <w:tc>
          <w:tcPr>
            <w:tcW w:w="421" w:type="dxa"/>
            <w:vMerge w:val="restart"/>
            <w:vAlign w:val="center"/>
          </w:tcPr>
          <w:p w14:paraId="63570A82">
            <w:pPr>
              <w:pStyle w:val="33"/>
              <w:rPr>
                <w:color w:val="auto"/>
              </w:rPr>
            </w:pPr>
            <w:r>
              <w:rPr>
                <w:color w:val="auto"/>
              </w:rPr>
              <w:t>区域</w:t>
            </w:r>
          </w:p>
        </w:tc>
        <w:tc>
          <w:tcPr>
            <w:tcW w:w="612" w:type="dxa"/>
            <w:vMerge w:val="restart"/>
            <w:vAlign w:val="center"/>
          </w:tcPr>
          <w:p w14:paraId="1D3B035B">
            <w:pPr>
              <w:pStyle w:val="33"/>
              <w:rPr>
                <w:color w:val="auto"/>
              </w:rPr>
            </w:pPr>
            <w:r>
              <w:rPr>
                <w:color w:val="auto"/>
              </w:rPr>
              <w:t>不确定</w:t>
            </w:r>
          </w:p>
        </w:tc>
        <w:tc>
          <w:tcPr>
            <w:tcW w:w="571" w:type="dxa"/>
            <w:vMerge w:val="restart"/>
            <w:vAlign w:val="center"/>
          </w:tcPr>
          <w:p w14:paraId="7BFC83A3">
            <w:pPr>
              <w:pStyle w:val="33"/>
              <w:rPr>
                <w:color w:val="auto"/>
              </w:rPr>
            </w:pPr>
            <w:r>
              <w:rPr>
                <w:color w:val="auto"/>
              </w:rPr>
              <w:t>不显著</w:t>
            </w:r>
          </w:p>
        </w:tc>
        <w:tc>
          <w:tcPr>
            <w:tcW w:w="1249" w:type="dxa"/>
            <w:gridSpan w:val="3"/>
            <w:vAlign w:val="center"/>
          </w:tcPr>
          <w:p w14:paraId="2152EC4B">
            <w:pPr>
              <w:pStyle w:val="33"/>
              <w:rPr>
                <w:color w:val="auto"/>
              </w:rPr>
            </w:pPr>
            <w:r>
              <w:rPr>
                <w:color w:val="auto"/>
              </w:rPr>
              <w:t>显著</w:t>
            </w:r>
          </w:p>
        </w:tc>
      </w:tr>
      <w:tr w14:paraId="4E324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tblHeader/>
          <w:jc w:val="center"/>
        </w:trPr>
        <w:tc>
          <w:tcPr>
            <w:tcW w:w="1662" w:type="dxa"/>
            <w:gridSpan w:val="2"/>
            <w:vMerge w:val="continue"/>
            <w:vAlign w:val="center"/>
          </w:tcPr>
          <w:p w14:paraId="788CB2F6">
            <w:pPr>
              <w:pStyle w:val="33"/>
              <w:rPr>
                <w:color w:val="auto"/>
              </w:rPr>
            </w:pPr>
          </w:p>
        </w:tc>
        <w:tc>
          <w:tcPr>
            <w:tcW w:w="531" w:type="dxa"/>
            <w:vMerge w:val="continue"/>
            <w:vAlign w:val="center"/>
          </w:tcPr>
          <w:p w14:paraId="48BA724A">
            <w:pPr>
              <w:pStyle w:val="33"/>
              <w:rPr>
                <w:color w:val="auto"/>
              </w:rPr>
            </w:pPr>
          </w:p>
        </w:tc>
        <w:tc>
          <w:tcPr>
            <w:tcW w:w="530" w:type="dxa"/>
            <w:vMerge w:val="continue"/>
            <w:vAlign w:val="center"/>
          </w:tcPr>
          <w:p w14:paraId="33BF6284">
            <w:pPr>
              <w:pStyle w:val="33"/>
              <w:rPr>
                <w:color w:val="auto"/>
              </w:rPr>
            </w:pPr>
          </w:p>
        </w:tc>
        <w:tc>
          <w:tcPr>
            <w:tcW w:w="530" w:type="dxa"/>
            <w:vMerge w:val="continue"/>
            <w:vAlign w:val="center"/>
          </w:tcPr>
          <w:p w14:paraId="50332F6E">
            <w:pPr>
              <w:pStyle w:val="33"/>
              <w:rPr>
                <w:color w:val="auto"/>
              </w:rPr>
            </w:pPr>
          </w:p>
        </w:tc>
        <w:tc>
          <w:tcPr>
            <w:tcW w:w="660" w:type="dxa"/>
            <w:vMerge w:val="continue"/>
            <w:vAlign w:val="center"/>
          </w:tcPr>
          <w:p w14:paraId="56AF61C1">
            <w:pPr>
              <w:pStyle w:val="33"/>
              <w:rPr>
                <w:color w:val="auto"/>
              </w:rPr>
            </w:pPr>
          </w:p>
        </w:tc>
        <w:tc>
          <w:tcPr>
            <w:tcW w:w="441" w:type="dxa"/>
            <w:vMerge w:val="continue"/>
            <w:vAlign w:val="center"/>
          </w:tcPr>
          <w:p w14:paraId="21461E4E">
            <w:pPr>
              <w:pStyle w:val="33"/>
              <w:rPr>
                <w:color w:val="auto"/>
              </w:rPr>
            </w:pPr>
          </w:p>
        </w:tc>
        <w:tc>
          <w:tcPr>
            <w:tcW w:w="421" w:type="dxa"/>
            <w:vMerge w:val="continue"/>
            <w:vAlign w:val="center"/>
          </w:tcPr>
          <w:p w14:paraId="1A054D1C">
            <w:pPr>
              <w:pStyle w:val="33"/>
              <w:rPr>
                <w:color w:val="auto"/>
              </w:rPr>
            </w:pPr>
          </w:p>
        </w:tc>
        <w:tc>
          <w:tcPr>
            <w:tcW w:w="421" w:type="dxa"/>
            <w:vMerge w:val="continue"/>
            <w:vAlign w:val="center"/>
          </w:tcPr>
          <w:p w14:paraId="586BFC8B">
            <w:pPr>
              <w:pStyle w:val="33"/>
              <w:rPr>
                <w:color w:val="auto"/>
              </w:rPr>
            </w:pPr>
          </w:p>
        </w:tc>
        <w:tc>
          <w:tcPr>
            <w:tcW w:w="421" w:type="dxa"/>
            <w:vMerge w:val="continue"/>
            <w:vAlign w:val="center"/>
          </w:tcPr>
          <w:p w14:paraId="41C44460">
            <w:pPr>
              <w:pStyle w:val="33"/>
              <w:rPr>
                <w:color w:val="auto"/>
              </w:rPr>
            </w:pPr>
          </w:p>
        </w:tc>
        <w:tc>
          <w:tcPr>
            <w:tcW w:w="421" w:type="dxa"/>
            <w:vMerge w:val="continue"/>
            <w:vAlign w:val="center"/>
          </w:tcPr>
          <w:p w14:paraId="217FF596">
            <w:pPr>
              <w:pStyle w:val="33"/>
              <w:rPr>
                <w:color w:val="auto"/>
              </w:rPr>
            </w:pPr>
          </w:p>
        </w:tc>
        <w:tc>
          <w:tcPr>
            <w:tcW w:w="421" w:type="dxa"/>
            <w:vMerge w:val="continue"/>
            <w:vAlign w:val="center"/>
          </w:tcPr>
          <w:p w14:paraId="44FD45BF">
            <w:pPr>
              <w:pStyle w:val="33"/>
              <w:rPr>
                <w:color w:val="auto"/>
              </w:rPr>
            </w:pPr>
          </w:p>
        </w:tc>
        <w:tc>
          <w:tcPr>
            <w:tcW w:w="612" w:type="dxa"/>
            <w:vMerge w:val="continue"/>
            <w:vAlign w:val="center"/>
          </w:tcPr>
          <w:p w14:paraId="43698A73">
            <w:pPr>
              <w:pStyle w:val="33"/>
              <w:rPr>
                <w:color w:val="auto"/>
              </w:rPr>
            </w:pPr>
          </w:p>
        </w:tc>
        <w:tc>
          <w:tcPr>
            <w:tcW w:w="571" w:type="dxa"/>
            <w:vMerge w:val="continue"/>
            <w:vAlign w:val="center"/>
          </w:tcPr>
          <w:p w14:paraId="42F1445B">
            <w:pPr>
              <w:pStyle w:val="33"/>
              <w:rPr>
                <w:color w:val="auto"/>
              </w:rPr>
            </w:pPr>
          </w:p>
        </w:tc>
        <w:tc>
          <w:tcPr>
            <w:tcW w:w="398" w:type="dxa"/>
            <w:vAlign w:val="center"/>
          </w:tcPr>
          <w:p w14:paraId="3CD82416">
            <w:pPr>
              <w:pStyle w:val="33"/>
              <w:rPr>
                <w:color w:val="auto"/>
              </w:rPr>
            </w:pPr>
            <w:r>
              <w:rPr>
                <w:color w:val="auto"/>
              </w:rPr>
              <w:t>小</w:t>
            </w:r>
          </w:p>
        </w:tc>
        <w:tc>
          <w:tcPr>
            <w:tcW w:w="398" w:type="dxa"/>
            <w:vAlign w:val="center"/>
          </w:tcPr>
          <w:p w14:paraId="4AED2F57">
            <w:pPr>
              <w:pStyle w:val="33"/>
              <w:rPr>
                <w:color w:val="auto"/>
              </w:rPr>
            </w:pPr>
            <w:r>
              <w:rPr>
                <w:color w:val="auto"/>
              </w:rPr>
              <w:t>中</w:t>
            </w:r>
          </w:p>
        </w:tc>
        <w:tc>
          <w:tcPr>
            <w:tcW w:w="453" w:type="dxa"/>
            <w:vAlign w:val="center"/>
          </w:tcPr>
          <w:p w14:paraId="083E0429">
            <w:pPr>
              <w:pStyle w:val="33"/>
              <w:rPr>
                <w:color w:val="auto"/>
              </w:rPr>
            </w:pPr>
            <w:r>
              <w:rPr>
                <w:color w:val="auto"/>
              </w:rPr>
              <w:t>大</w:t>
            </w:r>
          </w:p>
        </w:tc>
      </w:tr>
      <w:tr w14:paraId="03D1F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restart"/>
            <w:vAlign w:val="center"/>
          </w:tcPr>
          <w:p w14:paraId="7AD0E85F">
            <w:pPr>
              <w:pStyle w:val="33"/>
              <w:rPr>
                <w:color w:val="auto"/>
              </w:rPr>
            </w:pPr>
            <w:r>
              <w:rPr>
                <w:color w:val="auto"/>
              </w:rPr>
              <w:t>施工期</w:t>
            </w:r>
          </w:p>
        </w:tc>
        <w:tc>
          <w:tcPr>
            <w:tcW w:w="1288" w:type="dxa"/>
            <w:vAlign w:val="center"/>
          </w:tcPr>
          <w:p w14:paraId="3B6F70EF">
            <w:pPr>
              <w:pStyle w:val="33"/>
              <w:rPr>
                <w:color w:val="auto"/>
              </w:rPr>
            </w:pPr>
            <w:r>
              <w:rPr>
                <w:color w:val="auto"/>
              </w:rPr>
              <w:t>地表水环境</w:t>
            </w:r>
          </w:p>
        </w:tc>
        <w:tc>
          <w:tcPr>
            <w:tcW w:w="531" w:type="dxa"/>
            <w:vAlign w:val="center"/>
          </w:tcPr>
          <w:p w14:paraId="3D4C545F">
            <w:pPr>
              <w:pStyle w:val="33"/>
              <w:rPr>
                <w:color w:val="auto"/>
              </w:rPr>
            </w:pPr>
          </w:p>
        </w:tc>
        <w:tc>
          <w:tcPr>
            <w:tcW w:w="530" w:type="dxa"/>
            <w:vAlign w:val="center"/>
          </w:tcPr>
          <w:p w14:paraId="344D884B">
            <w:pPr>
              <w:pStyle w:val="33"/>
              <w:rPr>
                <w:color w:val="auto"/>
              </w:rPr>
            </w:pPr>
            <w:r>
              <w:rPr>
                <w:color w:val="auto"/>
              </w:rPr>
              <w:t>√</w:t>
            </w:r>
          </w:p>
        </w:tc>
        <w:tc>
          <w:tcPr>
            <w:tcW w:w="530" w:type="dxa"/>
            <w:vAlign w:val="center"/>
          </w:tcPr>
          <w:p w14:paraId="1D727F8A">
            <w:pPr>
              <w:pStyle w:val="33"/>
              <w:rPr>
                <w:color w:val="auto"/>
              </w:rPr>
            </w:pPr>
            <w:r>
              <w:rPr>
                <w:color w:val="auto"/>
              </w:rPr>
              <w:t>√</w:t>
            </w:r>
          </w:p>
        </w:tc>
        <w:tc>
          <w:tcPr>
            <w:tcW w:w="660" w:type="dxa"/>
            <w:vAlign w:val="center"/>
          </w:tcPr>
          <w:p w14:paraId="4C937FE3">
            <w:pPr>
              <w:pStyle w:val="33"/>
              <w:rPr>
                <w:color w:val="auto"/>
              </w:rPr>
            </w:pPr>
          </w:p>
        </w:tc>
        <w:tc>
          <w:tcPr>
            <w:tcW w:w="441" w:type="dxa"/>
            <w:vAlign w:val="center"/>
          </w:tcPr>
          <w:p w14:paraId="519E0E7E">
            <w:pPr>
              <w:pStyle w:val="33"/>
              <w:rPr>
                <w:color w:val="auto"/>
              </w:rPr>
            </w:pPr>
            <w:r>
              <w:rPr>
                <w:color w:val="auto"/>
              </w:rPr>
              <w:t>√</w:t>
            </w:r>
          </w:p>
        </w:tc>
        <w:tc>
          <w:tcPr>
            <w:tcW w:w="421" w:type="dxa"/>
            <w:vAlign w:val="center"/>
          </w:tcPr>
          <w:p w14:paraId="379EC83F">
            <w:pPr>
              <w:pStyle w:val="33"/>
              <w:rPr>
                <w:color w:val="auto"/>
              </w:rPr>
            </w:pPr>
          </w:p>
        </w:tc>
        <w:tc>
          <w:tcPr>
            <w:tcW w:w="421" w:type="dxa"/>
            <w:vAlign w:val="center"/>
          </w:tcPr>
          <w:p w14:paraId="6174F5DF">
            <w:pPr>
              <w:pStyle w:val="33"/>
              <w:rPr>
                <w:color w:val="auto"/>
              </w:rPr>
            </w:pPr>
          </w:p>
        </w:tc>
        <w:tc>
          <w:tcPr>
            <w:tcW w:w="421" w:type="dxa"/>
            <w:vAlign w:val="center"/>
          </w:tcPr>
          <w:p w14:paraId="5F0955CF">
            <w:pPr>
              <w:pStyle w:val="33"/>
              <w:rPr>
                <w:color w:val="auto"/>
              </w:rPr>
            </w:pPr>
            <w:r>
              <w:rPr>
                <w:color w:val="auto"/>
              </w:rPr>
              <w:t>√</w:t>
            </w:r>
          </w:p>
        </w:tc>
        <w:tc>
          <w:tcPr>
            <w:tcW w:w="421" w:type="dxa"/>
            <w:vAlign w:val="center"/>
          </w:tcPr>
          <w:p w14:paraId="042DD253">
            <w:pPr>
              <w:pStyle w:val="33"/>
              <w:rPr>
                <w:color w:val="auto"/>
              </w:rPr>
            </w:pPr>
            <w:r>
              <w:rPr>
                <w:color w:val="auto"/>
              </w:rPr>
              <w:t>√</w:t>
            </w:r>
          </w:p>
        </w:tc>
        <w:tc>
          <w:tcPr>
            <w:tcW w:w="421" w:type="dxa"/>
            <w:vAlign w:val="center"/>
          </w:tcPr>
          <w:p w14:paraId="6CEA71BF">
            <w:pPr>
              <w:pStyle w:val="33"/>
              <w:rPr>
                <w:color w:val="auto"/>
              </w:rPr>
            </w:pPr>
          </w:p>
        </w:tc>
        <w:tc>
          <w:tcPr>
            <w:tcW w:w="612" w:type="dxa"/>
            <w:vAlign w:val="center"/>
          </w:tcPr>
          <w:p w14:paraId="791AA40B">
            <w:pPr>
              <w:pStyle w:val="33"/>
              <w:rPr>
                <w:color w:val="auto"/>
              </w:rPr>
            </w:pPr>
          </w:p>
        </w:tc>
        <w:tc>
          <w:tcPr>
            <w:tcW w:w="571" w:type="dxa"/>
            <w:vAlign w:val="center"/>
          </w:tcPr>
          <w:p w14:paraId="0E143D59">
            <w:pPr>
              <w:pStyle w:val="33"/>
              <w:rPr>
                <w:color w:val="auto"/>
              </w:rPr>
            </w:pPr>
            <w:r>
              <w:rPr>
                <w:color w:val="auto"/>
              </w:rPr>
              <w:t>√</w:t>
            </w:r>
          </w:p>
        </w:tc>
        <w:tc>
          <w:tcPr>
            <w:tcW w:w="398" w:type="dxa"/>
            <w:vAlign w:val="center"/>
          </w:tcPr>
          <w:p w14:paraId="398242D8">
            <w:pPr>
              <w:pStyle w:val="33"/>
              <w:rPr>
                <w:color w:val="auto"/>
              </w:rPr>
            </w:pPr>
          </w:p>
        </w:tc>
        <w:tc>
          <w:tcPr>
            <w:tcW w:w="398" w:type="dxa"/>
            <w:vAlign w:val="center"/>
          </w:tcPr>
          <w:p w14:paraId="554B2532">
            <w:pPr>
              <w:pStyle w:val="33"/>
              <w:rPr>
                <w:color w:val="auto"/>
              </w:rPr>
            </w:pPr>
          </w:p>
        </w:tc>
        <w:tc>
          <w:tcPr>
            <w:tcW w:w="453" w:type="dxa"/>
            <w:vAlign w:val="center"/>
          </w:tcPr>
          <w:p w14:paraId="3EDEC901">
            <w:pPr>
              <w:pStyle w:val="33"/>
              <w:rPr>
                <w:color w:val="auto"/>
              </w:rPr>
            </w:pPr>
          </w:p>
        </w:tc>
      </w:tr>
      <w:tr w14:paraId="634F6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29E51BA9">
            <w:pPr>
              <w:pStyle w:val="33"/>
              <w:rPr>
                <w:color w:val="auto"/>
              </w:rPr>
            </w:pPr>
          </w:p>
        </w:tc>
        <w:tc>
          <w:tcPr>
            <w:tcW w:w="1288" w:type="dxa"/>
            <w:vAlign w:val="center"/>
          </w:tcPr>
          <w:p w14:paraId="5562F09E">
            <w:pPr>
              <w:pStyle w:val="33"/>
              <w:rPr>
                <w:color w:val="auto"/>
              </w:rPr>
            </w:pPr>
            <w:r>
              <w:rPr>
                <w:color w:val="auto"/>
              </w:rPr>
              <w:t>大气环境</w:t>
            </w:r>
          </w:p>
        </w:tc>
        <w:tc>
          <w:tcPr>
            <w:tcW w:w="531" w:type="dxa"/>
            <w:vAlign w:val="center"/>
          </w:tcPr>
          <w:p w14:paraId="4FB5CF83">
            <w:pPr>
              <w:pStyle w:val="33"/>
              <w:rPr>
                <w:color w:val="auto"/>
              </w:rPr>
            </w:pPr>
          </w:p>
        </w:tc>
        <w:tc>
          <w:tcPr>
            <w:tcW w:w="530" w:type="dxa"/>
            <w:vAlign w:val="center"/>
          </w:tcPr>
          <w:p w14:paraId="0CE6C6EF">
            <w:pPr>
              <w:pStyle w:val="33"/>
              <w:rPr>
                <w:color w:val="auto"/>
              </w:rPr>
            </w:pPr>
            <w:r>
              <w:rPr>
                <w:color w:val="auto"/>
              </w:rPr>
              <w:t>√</w:t>
            </w:r>
          </w:p>
        </w:tc>
        <w:tc>
          <w:tcPr>
            <w:tcW w:w="530" w:type="dxa"/>
            <w:vAlign w:val="center"/>
          </w:tcPr>
          <w:p w14:paraId="0C6A7959">
            <w:pPr>
              <w:pStyle w:val="33"/>
              <w:rPr>
                <w:color w:val="auto"/>
              </w:rPr>
            </w:pPr>
            <w:r>
              <w:rPr>
                <w:color w:val="auto"/>
              </w:rPr>
              <w:t>√</w:t>
            </w:r>
          </w:p>
        </w:tc>
        <w:tc>
          <w:tcPr>
            <w:tcW w:w="660" w:type="dxa"/>
            <w:vAlign w:val="center"/>
          </w:tcPr>
          <w:p w14:paraId="6BBDF97C">
            <w:pPr>
              <w:pStyle w:val="33"/>
              <w:rPr>
                <w:color w:val="auto"/>
              </w:rPr>
            </w:pPr>
          </w:p>
        </w:tc>
        <w:tc>
          <w:tcPr>
            <w:tcW w:w="441" w:type="dxa"/>
            <w:vAlign w:val="center"/>
          </w:tcPr>
          <w:p w14:paraId="7219060D">
            <w:pPr>
              <w:pStyle w:val="33"/>
              <w:rPr>
                <w:color w:val="auto"/>
              </w:rPr>
            </w:pPr>
            <w:r>
              <w:rPr>
                <w:color w:val="auto"/>
              </w:rPr>
              <w:t>√</w:t>
            </w:r>
          </w:p>
        </w:tc>
        <w:tc>
          <w:tcPr>
            <w:tcW w:w="421" w:type="dxa"/>
            <w:vAlign w:val="center"/>
          </w:tcPr>
          <w:p w14:paraId="450A123D">
            <w:pPr>
              <w:pStyle w:val="33"/>
              <w:rPr>
                <w:color w:val="auto"/>
              </w:rPr>
            </w:pPr>
          </w:p>
        </w:tc>
        <w:tc>
          <w:tcPr>
            <w:tcW w:w="421" w:type="dxa"/>
            <w:vAlign w:val="center"/>
          </w:tcPr>
          <w:p w14:paraId="2E6A8F32">
            <w:pPr>
              <w:pStyle w:val="33"/>
              <w:rPr>
                <w:color w:val="auto"/>
              </w:rPr>
            </w:pPr>
            <w:r>
              <w:rPr>
                <w:color w:val="auto"/>
              </w:rPr>
              <w:t>√</w:t>
            </w:r>
          </w:p>
        </w:tc>
        <w:tc>
          <w:tcPr>
            <w:tcW w:w="421" w:type="dxa"/>
            <w:vAlign w:val="center"/>
          </w:tcPr>
          <w:p w14:paraId="49042D42">
            <w:pPr>
              <w:pStyle w:val="33"/>
              <w:rPr>
                <w:color w:val="auto"/>
              </w:rPr>
            </w:pPr>
          </w:p>
        </w:tc>
        <w:tc>
          <w:tcPr>
            <w:tcW w:w="421" w:type="dxa"/>
            <w:vAlign w:val="center"/>
          </w:tcPr>
          <w:p w14:paraId="40490A61">
            <w:pPr>
              <w:pStyle w:val="33"/>
              <w:rPr>
                <w:color w:val="auto"/>
              </w:rPr>
            </w:pPr>
            <w:r>
              <w:rPr>
                <w:color w:val="auto"/>
              </w:rPr>
              <w:t>√</w:t>
            </w:r>
          </w:p>
        </w:tc>
        <w:tc>
          <w:tcPr>
            <w:tcW w:w="421" w:type="dxa"/>
            <w:vAlign w:val="center"/>
          </w:tcPr>
          <w:p w14:paraId="4D1FF711">
            <w:pPr>
              <w:pStyle w:val="33"/>
              <w:rPr>
                <w:color w:val="auto"/>
              </w:rPr>
            </w:pPr>
          </w:p>
        </w:tc>
        <w:tc>
          <w:tcPr>
            <w:tcW w:w="612" w:type="dxa"/>
            <w:vAlign w:val="center"/>
          </w:tcPr>
          <w:p w14:paraId="5E561A1F">
            <w:pPr>
              <w:pStyle w:val="33"/>
              <w:rPr>
                <w:color w:val="auto"/>
              </w:rPr>
            </w:pPr>
          </w:p>
        </w:tc>
        <w:tc>
          <w:tcPr>
            <w:tcW w:w="571" w:type="dxa"/>
            <w:vAlign w:val="center"/>
          </w:tcPr>
          <w:p w14:paraId="2834F406">
            <w:pPr>
              <w:pStyle w:val="33"/>
              <w:rPr>
                <w:color w:val="auto"/>
              </w:rPr>
            </w:pPr>
          </w:p>
        </w:tc>
        <w:tc>
          <w:tcPr>
            <w:tcW w:w="398" w:type="dxa"/>
            <w:vAlign w:val="center"/>
          </w:tcPr>
          <w:p w14:paraId="12825F14">
            <w:pPr>
              <w:pStyle w:val="33"/>
              <w:rPr>
                <w:color w:val="auto"/>
              </w:rPr>
            </w:pPr>
            <w:r>
              <w:rPr>
                <w:color w:val="auto"/>
              </w:rPr>
              <w:t>√</w:t>
            </w:r>
          </w:p>
        </w:tc>
        <w:tc>
          <w:tcPr>
            <w:tcW w:w="398" w:type="dxa"/>
            <w:vAlign w:val="center"/>
          </w:tcPr>
          <w:p w14:paraId="2E862E06">
            <w:pPr>
              <w:pStyle w:val="33"/>
              <w:rPr>
                <w:color w:val="auto"/>
              </w:rPr>
            </w:pPr>
          </w:p>
        </w:tc>
        <w:tc>
          <w:tcPr>
            <w:tcW w:w="453" w:type="dxa"/>
            <w:vAlign w:val="center"/>
          </w:tcPr>
          <w:p w14:paraId="6CA07903">
            <w:pPr>
              <w:pStyle w:val="33"/>
              <w:rPr>
                <w:color w:val="auto"/>
              </w:rPr>
            </w:pPr>
          </w:p>
        </w:tc>
      </w:tr>
      <w:tr w14:paraId="72AA8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78AE7393">
            <w:pPr>
              <w:pStyle w:val="33"/>
              <w:rPr>
                <w:color w:val="auto"/>
              </w:rPr>
            </w:pPr>
          </w:p>
        </w:tc>
        <w:tc>
          <w:tcPr>
            <w:tcW w:w="1288" w:type="dxa"/>
            <w:vAlign w:val="center"/>
          </w:tcPr>
          <w:p w14:paraId="5794B98C">
            <w:pPr>
              <w:pStyle w:val="33"/>
              <w:rPr>
                <w:color w:val="auto"/>
              </w:rPr>
            </w:pPr>
            <w:r>
              <w:rPr>
                <w:color w:val="auto"/>
              </w:rPr>
              <w:t>声环境</w:t>
            </w:r>
          </w:p>
        </w:tc>
        <w:tc>
          <w:tcPr>
            <w:tcW w:w="531" w:type="dxa"/>
            <w:vAlign w:val="center"/>
          </w:tcPr>
          <w:p w14:paraId="7F9F2678">
            <w:pPr>
              <w:pStyle w:val="33"/>
              <w:rPr>
                <w:color w:val="auto"/>
              </w:rPr>
            </w:pPr>
          </w:p>
        </w:tc>
        <w:tc>
          <w:tcPr>
            <w:tcW w:w="530" w:type="dxa"/>
            <w:vAlign w:val="center"/>
          </w:tcPr>
          <w:p w14:paraId="1793B80A">
            <w:pPr>
              <w:pStyle w:val="33"/>
              <w:rPr>
                <w:color w:val="auto"/>
              </w:rPr>
            </w:pPr>
            <w:r>
              <w:rPr>
                <w:color w:val="auto"/>
              </w:rPr>
              <w:t>√</w:t>
            </w:r>
          </w:p>
        </w:tc>
        <w:tc>
          <w:tcPr>
            <w:tcW w:w="530" w:type="dxa"/>
            <w:vAlign w:val="center"/>
          </w:tcPr>
          <w:p w14:paraId="19082796">
            <w:pPr>
              <w:pStyle w:val="33"/>
              <w:rPr>
                <w:color w:val="auto"/>
              </w:rPr>
            </w:pPr>
            <w:r>
              <w:rPr>
                <w:color w:val="auto"/>
              </w:rPr>
              <w:t>√</w:t>
            </w:r>
          </w:p>
        </w:tc>
        <w:tc>
          <w:tcPr>
            <w:tcW w:w="660" w:type="dxa"/>
            <w:vAlign w:val="center"/>
          </w:tcPr>
          <w:p w14:paraId="68E351B3">
            <w:pPr>
              <w:pStyle w:val="33"/>
              <w:rPr>
                <w:color w:val="auto"/>
              </w:rPr>
            </w:pPr>
          </w:p>
        </w:tc>
        <w:tc>
          <w:tcPr>
            <w:tcW w:w="441" w:type="dxa"/>
            <w:vAlign w:val="center"/>
          </w:tcPr>
          <w:p w14:paraId="73C2204F">
            <w:pPr>
              <w:pStyle w:val="33"/>
              <w:rPr>
                <w:color w:val="auto"/>
              </w:rPr>
            </w:pPr>
            <w:r>
              <w:rPr>
                <w:color w:val="auto"/>
              </w:rPr>
              <w:t>√</w:t>
            </w:r>
          </w:p>
        </w:tc>
        <w:tc>
          <w:tcPr>
            <w:tcW w:w="421" w:type="dxa"/>
            <w:vAlign w:val="center"/>
          </w:tcPr>
          <w:p w14:paraId="795E6032">
            <w:pPr>
              <w:pStyle w:val="33"/>
              <w:rPr>
                <w:color w:val="auto"/>
              </w:rPr>
            </w:pPr>
          </w:p>
        </w:tc>
        <w:tc>
          <w:tcPr>
            <w:tcW w:w="421" w:type="dxa"/>
            <w:vAlign w:val="center"/>
          </w:tcPr>
          <w:p w14:paraId="349D54C7">
            <w:pPr>
              <w:pStyle w:val="33"/>
              <w:rPr>
                <w:color w:val="auto"/>
              </w:rPr>
            </w:pPr>
            <w:r>
              <w:rPr>
                <w:color w:val="auto"/>
              </w:rPr>
              <w:t>√</w:t>
            </w:r>
          </w:p>
        </w:tc>
        <w:tc>
          <w:tcPr>
            <w:tcW w:w="421" w:type="dxa"/>
            <w:vAlign w:val="center"/>
          </w:tcPr>
          <w:p w14:paraId="12CA1E74">
            <w:pPr>
              <w:pStyle w:val="33"/>
              <w:rPr>
                <w:color w:val="auto"/>
              </w:rPr>
            </w:pPr>
          </w:p>
        </w:tc>
        <w:tc>
          <w:tcPr>
            <w:tcW w:w="421" w:type="dxa"/>
            <w:vAlign w:val="center"/>
          </w:tcPr>
          <w:p w14:paraId="6EFEF88B">
            <w:pPr>
              <w:pStyle w:val="33"/>
              <w:rPr>
                <w:color w:val="auto"/>
              </w:rPr>
            </w:pPr>
            <w:r>
              <w:rPr>
                <w:color w:val="auto"/>
              </w:rPr>
              <w:t>√</w:t>
            </w:r>
          </w:p>
        </w:tc>
        <w:tc>
          <w:tcPr>
            <w:tcW w:w="421" w:type="dxa"/>
            <w:vAlign w:val="center"/>
          </w:tcPr>
          <w:p w14:paraId="4691D35F">
            <w:pPr>
              <w:pStyle w:val="33"/>
              <w:rPr>
                <w:color w:val="auto"/>
              </w:rPr>
            </w:pPr>
          </w:p>
        </w:tc>
        <w:tc>
          <w:tcPr>
            <w:tcW w:w="612" w:type="dxa"/>
            <w:vAlign w:val="center"/>
          </w:tcPr>
          <w:p w14:paraId="6366CC7C">
            <w:pPr>
              <w:pStyle w:val="33"/>
              <w:rPr>
                <w:color w:val="auto"/>
              </w:rPr>
            </w:pPr>
          </w:p>
        </w:tc>
        <w:tc>
          <w:tcPr>
            <w:tcW w:w="571" w:type="dxa"/>
            <w:vAlign w:val="center"/>
          </w:tcPr>
          <w:p w14:paraId="79BF9D3D">
            <w:pPr>
              <w:pStyle w:val="33"/>
              <w:rPr>
                <w:color w:val="auto"/>
              </w:rPr>
            </w:pPr>
            <w:r>
              <w:rPr>
                <w:color w:val="auto"/>
              </w:rPr>
              <w:t>√</w:t>
            </w:r>
          </w:p>
        </w:tc>
        <w:tc>
          <w:tcPr>
            <w:tcW w:w="398" w:type="dxa"/>
            <w:vAlign w:val="center"/>
          </w:tcPr>
          <w:p w14:paraId="47003874">
            <w:pPr>
              <w:pStyle w:val="33"/>
              <w:rPr>
                <w:color w:val="auto"/>
              </w:rPr>
            </w:pPr>
          </w:p>
        </w:tc>
        <w:tc>
          <w:tcPr>
            <w:tcW w:w="398" w:type="dxa"/>
            <w:vAlign w:val="center"/>
          </w:tcPr>
          <w:p w14:paraId="6E828764">
            <w:pPr>
              <w:pStyle w:val="33"/>
              <w:rPr>
                <w:color w:val="auto"/>
              </w:rPr>
            </w:pPr>
          </w:p>
        </w:tc>
        <w:tc>
          <w:tcPr>
            <w:tcW w:w="453" w:type="dxa"/>
            <w:vAlign w:val="center"/>
          </w:tcPr>
          <w:p w14:paraId="2090EB96">
            <w:pPr>
              <w:pStyle w:val="33"/>
              <w:rPr>
                <w:color w:val="auto"/>
              </w:rPr>
            </w:pPr>
          </w:p>
        </w:tc>
      </w:tr>
      <w:tr w14:paraId="57291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1428552F">
            <w:pPr>
              <w:pStyle w:val="33"/>
              <w:rPr>
                <w:color w:val="auto"/>
              </w:rPr>
            </w:pPr>
          </w:p>
        </w:tc>
        <w:tc>
          <w:tcPr>
            <w:tcW w:w="1288" w:type="dxa"/>
            <w:vAlign w:val="center"/>
          </w:tcPr>
          <w:p w14:paraId="6A58998E">
            <w:pPr>
              <w:pStyle w:val="33"/>
              <w:rPr>
                <w:color w:val="auto"/>
              </w:rPr>
            </w:pPr>
            <w:r>
              <w:rPr>
                <w:color w:val="auto"/>
              </w:rPr>
              <w:t>生态环境</w:t>
            </w:r>
          </w:p>
        </w:tc>
        <w:tc>
          <w:tcPr>
            <w:tcW w:w="531" w:type="dxa"/>
            <w:vAlign w:val="center"/>
          </w:tcPr>
          <w:p w14:paraId="6407C03D">
            <w:pPr>
              <w:pStyle w:val="33"/>
              <w:rPr>
                <w:color w:val="auto"/>
              </w:rPr>
            </w:pPr>
          </w:p>
        </w:tc>
        <w:tc>
          <w:tcPr>
            <w:tcW w:w="530" w:type="dxa"/>
            <w:vAlign w:val="center"/>
          </w:tcPr>
          <w:p w14:paraId="1866D455">
            <w:pPr>
              <w:pStyle w:val="33"/>
              <w:rPr>
                <w:color w:val="auto"/>
              </w:rPr>
            </w:pPr>
            <w:r>
              <w:rPr>
                <w:color w:val="auto"/>
              </w:rPr>
              <w:t>√</w:t>
            </w:r>
          </w:p>
        </w:tc>
        <w:tc>
          <w:tcPr>
            <w:tcW w:w="530" w:type="dxa"/>
            <w:vAlign w:val="center"/>
          </w:tcPr>
          <w:p w14:paraId="3BEC7122">
            <w:pPr>
              <w:pStyle w:val="33"/>
              <w:rPr>
                <w:color w:val="auto"/>
              </w:rPr>
            </w:pPr>
          </w:p>
        </w:tc>
        <w:tc>
          <w:tcPr>
            <w:tcW w:w="660" w:type="dxa"/>
            <w:vAlign w:val="center"/>
          </w:tcPr>
          <w:p w14:paraId="78BCFE4A">
            <w:pPr>
              <w:pStyle w:val="33"/>
              <w:rPr>
                <w:color w:val="auto"/>
              </w:rPr>
            </w:pPr>
            <w:r>
              <w:rPr>
                <w:color w:val="auto"/>
              </w:rPr>
              <w:t>√</w:t>
            </w:r>
          </w:p>
        </w:tc>
        <w:tc>
          <w:tcPr>
            <w:tcW w:w="441" w:type="dxa"/>
            <w:vAlign w:val="center"/>
          </w:tcPr>
          <w:p w14:paraId="05744E07">
            <w:pPr>
              <w:pStyle w:val="33"/>
              <w:rPr>
                <w:color w:val="auto"/>
              </w:rPr>
            </w:pPr>
          </w:p>
        </w:tc>
        <w:tc>
          <w:tcPr>
            <w:tcW w:w="421" w:type="dxa"/>
            <w:vAlign w:val="center"/>
          </w:tcPr>
          <w:p w14:paraId="59E220CF">
            <w:pPr>
              <w:pStyle w:val="33"/>
              <w:rPr>
                <w:color w:val="auto"/>
              </w:rPr>
            </w:pPr>
            <w:r>
              <w:rPr>
                <w:color w:val="auto"/>
              </w:rPr>
              <w:t>√</w:t>
            </w:r>
          </w:p>
        </w:tc>
        <w:tc>
          <w:tcPr>
            <w:tcW w:w="421" w:type="dxa"/>
            <w:vAlign w:val="center"/>
          </w:tcPr>
          <w:p w14:paraId="53117CDD">
            <w:pPr>
              <w:pStyle w:val="33"/>
              <w:rPr>
                <w:color w:val="auto"/>
              </w:rPr>
            </w:pPr>
            <w:r>
              <w:rPr>
                <w:color w:val="auto"/>
              </w:rPr>
              <w:t>√</w:t>
            </w:r>
          </w:p>
        </w:tc>
        <w:tc>
          <w:tcPr>
            <w:tcW w:w="421" w:type="dxa"/>
            <w:vAlign w:val="center"/>
          </w:tcPr>
          <w:p w14:paraId="60F0180E">
            <w:pPr>
              <w:pStyle w:val="33"/>
              <w:rPr>
                <w:color w:val="auto"/>
              </w:rPr>
            </w:pPr>
          </w:p>
        </w:tc>
        <w:tc>
          <w:tcPr>
            <w:tcW w:w="421" w:type="dxa"/>
            <w:vAlign w:val="center"/>
          </w:tcPr>
          <w:p w14:paraId="75D7AEE5">
            <w:pPr>
              <w:pStyle w:val="33"/>
              <w:rPr>
                <w:color w:val="auto"/>
              </w:rPr>
            </w:pPr>
          </w:p>
        </w:tc>
        <w:tc>
          <w:tcPr>
            <w:tcW w:w="421" w:type="dxa"/>
            <w:vAlign w:val="center"/>
          </w:tcPr>
          <w:p w14:paraId="6E5D70EA">
            <w:pPr>
              <w:pStyle w:val="33"/>
              <w:rPr>
                <w:color w:val="auto"/>
              </w:rPr>
            </w:pPr>
            <w:r>
              <w:rPr>
                <w:color w:val="auto"/>
              </w:rPr>
              <w:t>√</w:t>
            </w:r>
          </w:p>
        </w:tc>
        <w:tc>
          <w:tcPr>
            <w:tcW w:w="612" w:type="dxa"/>
            <w:vAlign w:val="center"/>
          </w:tcPr>
          <w:p w14:paraId="11C1A63D">
            <w:pPr>
              <w:pStyle w:val="33"/>
              <w:rPr>
                <w:color w:val="auto"/>
              </w:rPr>
            </w:pPr>
          </w:p>
        </w:tc>
        <w:tc>
          <w:tcPr>
            <w:tcW w:w="571" w:type="dxa"/>
            <w:vAlign w:val="center"/>
          </w:tcPr>
          <w:p w14:paraId="4D1334EC">
            <w:pPr>
              <w:pStyle w:val="33"/>
              <w:rPr>
                <w:color w:val="auto"/>
              </w:rPr>
            </w:pPr>
            <w:r>
              <w:rPr>
                <w:color w:val="auto"/>
              </w:rPr>
              <w:t>√</w:t>
            </w:r>
          </w:p>
        </w:tc>
        <w:tc>
          <w:tcPr>
            <w:tcW w:w="398" w:type="dxa"/>
            <w:vAlign w:val="center"/>
          </w:tcPr>
          <w:p w14:paraId="74E21580">
            <w:pPr>
              <w:pStyle w:val="33"/>
              <w:rPr>
                <w:color w:val="auto"/>
              </w:rPr>
            </w:pPr>
          </w:p>
        </w:tc>
        <w:tc>
          <w:tcPr>
            <w:tcW w:w="398" w:type="dxa"/>
            <w:vAlign w:val="center"/>
          </w:tcPr>
          <w:p w14:paraId="205FD28D">
            <w:pPr>
              <w:pStyle w:val="33"/>
              <w:rPr>
                <w:color w:val="auto"/>
              </w:rPr>
            </w:pPr>
          </w:p>
        </w:tc>
        <w:tc>
          <w:tcPr>
            <w:tcW w:w="453" w:type="dxa"/>
            <w:vAlign w:val="center"/>
          </w:tcPr>
          <w:p w14:paraId="171D393A">
            <w:pPr>
              <w:pStyle w:val="33"/>
              <w:rPr>
                <w:color w:val="auto"/>
              </w:rPr>
            </w:pPr>
          </w:p>
        </w:tc>
      </w:tr>
      <w:tr w14:paraId="32637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5F473BB6">
            <w:pPr>
              <w:pStyle w:val="33"/>
              <w:rPr>
                <w:color w:val="auto"/>
              </w:rPr>
            </w:pPr>
          </w:p>
        </w:tc>
        <w:tc>
          <w:tcPr>
            <w:tcW w:w="1288" w:type="dxa"/>
            <w:vAlign w:val="center"/>
          </w:tcPr>
          <w:p w14:paraId="4ACA94E0">
            <w:pPr>
              <w:pStyle w:val="33"/>
              <w:rPr>
                <w:color w:val="auto"/>
              </w:rPr>
            </w:pPr>
            <w:r>
              <w:rPr>
                <w:color w:val="auto"/>
              </w:rPr>
              <w:t>地下水环境</w:t>
            </w:r>
          </w:p>
        </w:tc>
        <w:tc>
          <w:tcPr>
            <w:tcW w:w="531" w:type="dxa"/>
            <w:vAlign w:val="center"/>
          </w:tcPr>
          <w:p w14:paraId="58BE3475">
            <w:pPr>
              <w:pStyle w:val="33"/>
              <w:rPr>
                <w:color w:val="auto"/>
              </w:rPr>
            </w:pPr>
          </w:p>
        </w:tc>
        <w:tc>
          <w:tcPr>
            <w:tcW w:w="530" w:type="dxa"/>
            <w:vAlign w:val="center"/>
          </w:tcPr>
          <w:p w14:paraId="13EF599A">
            <w:pPr>
              <w:pStyle w:val="33"/>
              <w:rPr>
                <w:color w:val="auto"/>
              </w:rPr>
            </w:pPr>
            <w:r>
              <w:rPr>
                <w:color w:val="auto"/>
              </w:rPr>
              <w:t>√</w:t>
            </w:r>
          </w:p>
        </w:tc>
        <w:tc>
          <w:tcPr>
            <w:tcW w:w="530" w:type="dxa"/>
            <w:vAlign w:val="center"/>
          </w:tcPr>
          <w:p w14:paraId="604D2E67">
            <w:pPr>
              <w:pStyle w:val="33"/>
              <w:rPr>
                <w:color w:val="auto"/>
              </w:rPr>
            </w:pPr>
          </w:p>
        </w:tc>
        <w:tc>
          <w:tcPr>
            <w:tcW w:w="660" w:type="dxa"/>
            <w:vAlign w:val="center"/>
          </w:tcPr>
          <w:p w14:paraId="0BFA0DDF">
            <w:pPr>
              <w:pStyle w:val="33"/>
              <w:rPr>
                <w:color w:val="auto"/>
              </w:rPr>
            </w:pPr>
            <w:r>
              <w:rPr>
                <w:color w:val="auto"/>
              </w:rPr>
              <w:t>√</w:t>
            </w:r>
          </w:p>
        </w:tc>
        <w:tc>
          <w:tcPr>
            <w:tcW w:w="441" w:type="dxa"/>
            <w:vAlign w:val="center"/>
          </w:tcPr>
          <w:p w14:paraId="12F2DF6F">
            <w:pPr>
              <w:pStyle w:val="33"/>
              <w:rPr>
                <w:color w:val="auto"/>
              </w:rPr>
            </w:pPr>
            <w:r>
              <w:rPr>
                <w:color w:val="auto"/>
              </w:rPr>
              <w:t>√</w:t>
            </w:r>
          </w:p>
        </w:tc>
        <w:tc>
          <w:tcPr>
            <w:tcW w:w="421" w:type="dxa"/>
            <w:vAlign w:val="center"/>
          </w:tcPr>
          <w:p w14:paraId="0A725A61">
            <w:pPr>
              <w:pStyle w:val="33"/>
              <w:rPr>
                <w:color w:val="auto"/>
              </w:rPr>
            </w:pPr>
          </w:p>
        </w:tc>
        <w:tc>
          <w:tcPr>
            <w:tcW w:w="421" w:type="dxa"/>
            <w:vAlign w:val="center"/>
          </w:tcPr>
          <w:p w14:paraId="6001DF6D">
            <w:pPr>
              <w:pStyle w:val="33"/>
              <w:rPr>
                <w:color w:val="auto"/>
              </w:rPr>
            </w:pPr>
            <w:r>
              <w:rPr>
                <w:color w:val="auto"/>
              </w:rPr>
              <w:t>√</w:t>
            </w:r>
          </w:p>
        </w:tc>
        <w:tc>
          <w:tcPr>
            <w:tcW w:w="421" w:type="dxa"/>
            <w:vAlign w:val="center"/>
          </w:tcPr>
          <w:p w14:paraId="42E54E89">
            <w:pPr>
              <w:pStyle w:val="33"/>
              <w:rPr>
                <w:color w:val="auto"/>
              </w:rPr>
            </w:pPr>
          </w:p>
        </w:tc>
        <w:tc>
          <w:tcPr>
            <w:tcW w:w="421" w:type="dxa"/>
            <w:vAlign w:val="center"/>
          </w:tcPr>
          <w:p w14:paraId="7202B3DC">
            <w:pPr>
              <w:pStyle w:val="33"/>
              <w:rPr>
                <w:color w:val="auto"/>
              </w:rPr>
            </w:pPr>
            <w:r>
              <w:rPr>
                <w:color w:val="auto"/>
              </w:rPr>
              <w:t>√</w:t>
            </w:r>
          </w:p>
        </w:tc>
        <w:tc>
          <w:tcPr>
            <w:tcW w:w="421" w:type="dxa"/>
            <w:vAlign w:val="center"/>
          </w:tcPr>
          <w:p w14:paraId="6CBAF3CF">
            <w:pPr>
              <w:pStyle w:val="33"/>
              <w:rPr>
                <w:color w:val="auto"/>
              </w:rPr>
            </w:pPr>
          </w:p>
        </w:tc>
        <w:tc>
          <w:tcPr>
            <w:tcW w:w="612" w:type="dxa"/>
            <w:vAlign w:val="center"/>
          </w:tcPr>
          <w:p w14:paraId="5B2833D3">
            <w:pPr>
              <w:pStyle w:val="33"/>
              <w:rPr>
                <w:color w:val="auto"/>
              </w:rPr>
            </w:pPr>
          </w:p>
        </w:tc>
        <w:tc>
          <w:tcPr>
            <w:tcW w:w="571" w:type="dxa"/>
            <w:vAlign w:val="center"/>
          </w:tcPr>
          <w:p w14:paraId="30590796">
            <w:pPr>
              <w:pStyle w:val="33"/>
              <w:rPr>
                <w:color w:val="auto"/>
              </w:rPr>
            </w:pPr>
            <w:r>
              <w:rPr>
                <w:color w:val="auto"/>
              </w:rPr>
              <w:t>√</w:t>
            </w:r>
          </w:p>
        </w:tc>
        <w:tc>
          <w:tcPr>
            <w:tcW w:w="398" w:type="dxa"/>
            <w:vAlign w:val="center"/>
          </w:tcPr>
          <w:p w14:paraId="6284C87A">
            <w:pPr>
              <w:pStyle w:val="33"/>
              <w:rPr>
                <w:color w:val="auto"/>
              </w:rPr>
            </w:pPr>
          </w:p>
        </w:tc>
        <w:tc>
          <w:tcPr>
            <w:tcW w:w="398" w:type="dxa"/>
            <w:vAlign w:val="center"/>
          </w:tcPr>
          <w:p w14:paraId="1B0BD8FF">
            <w:pPr>
              <w:pStyle w:val="33"/>
              <w:rPr>
                <w:color w:val="auto"/>
              </w:rPr>
            </w:pPr>
          </w:p>
        </w:tc>
        <w:tc>
          <w:tcPr>
            <w:tcW w:w="453" w:type="dxa"/>
            <w:vAlign w:val="center"/>
          </w:tcPr>
          <w:p w14:paraId="30907EF6">
            <w:pPr>
              <w:pStyle w:val="33"/>
              <w:rPr>
                <w:color w:val="auto"/>
              </w:rPr>
            </w:pPr>
          </w:p>
        </w:tc>
      </w:tr>
      <w:tr w14:paraId="03C77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2C293E8D">
            <w:pPr>
              <w:pStyle w:val="33"/>
              <w:rPr>
                <w:color w:val="auto"/>
              </w:rPr>
            </w:pPr>
          </w:p>
        </w:tc>
        <w:tc>
          <w:tcPr>
            <w:tcW w:w="1288" w:type="dxa"/>
            <w:vAlign w:val="center"/>
          </w:tcPr>
          <w:p w14:paraId="45516C3B">
            <w:pPr>
              <w:pStyle w:val="33"/>
              <w:rPr>
                <w:color w:val="auto"/>
              </w:rPr>
            </w:pPr>
            <w:r>
              <w:rPr>
                <w:color w:val="auto"/>
              </w:rPr>
              <w:t>土壤环境</w:t>
            </w:r>
          </w:p>
        </w:tc>
        <w:tc>
          <w:tcPr>
            <w:tcW w:w="531" w:type="dxa"/>
            <w:vAlign w:val="center"/>
          </w:tcPr>
          <w:p w14:paraId="5FB1F86F">
            <w:pPr>
              <w:pStyle w:val="33"/>
              <w:rPr>
                <w:color w:val="auto"/>
              </w:rPr>
            </w:pPr>
          </w:p>
        </w:tc>
        <w:tc>
          <w:tcPr>
            <w:tcW w:w="530" w:type="dxa"/>
            <w:vAlign w:val="center"/>
          </w:tcPr>
          <w:p w14:paraId="4994B4D5">
            <w:pPr>
              <w:pStyle w:val="33"/>
              <w:rPr>
                <w:color w:val="auto"/>
              </w:rPr>
            </w:pPr>
            <w:r>
              <w:rPr>
                <w:color w:val="auto"/>
              </w:rPr>
              <w:t>√</w:t>
            </w:r>
          </w:p>
        </w:tc>
        <w:tc>
          <w:tcPr>
            <w:tcW w:w="530" w:type="dxa"/>
            <w:vAlign w:val="center"/>
          </w:tcPr>
          <w:p w14:paraId="68EA288B">
            <w:pPr>
              <w:pStyle w:val="33"/>
              <w:rPr>
                <w:color w:val="auto"/>
              </w:rPr>
            </w:pPr>
          </w:p>
        </w:tc>
        <w:tc>
          <w:tcPr>
            <w:tcW w:w="660" w:type="dxa"/>
            <w:vAlign w:val="center"/>
          </w:tcPr>
          <w:p w14:paraId="7A223C2D">
            <w:pPr>
              <w:pStyle w:val="33"/>
              <w:rPr>
                <w:color w:val="auto"/>
              </w:rPr>
            </w:pPr>
            <w:r>
              <w:rPr>
                <w:color w:val="auto"/>
              </w:rPr>
              <w:t>√</w:t>
            </w:r>
          </w:p>
        </w:tc>
        <w:tc>
          <w:tcPr>
            <w:tcW w:w="441" w:type="dxa"/>
            <w:vAlign w:val="center"/>
          </w:tcPr>
          <w:p w14:paraId="0E6B88D4">
            <w:pPr>
              <w:pStyle w:val="33"/>
              <w:rPr>
                <w:color w:val="auto"/>
              </w:rPr>
            </w:pPr>
          </w:p>
        </w:tc>
        <w:tc>
          <w:tcPr>
            <w:tcW w:w="421" w:type="dxa"/>
            <w:vAlign w:val="center"/>
          </w:tcPr>
          <w:p w14:paraId="4E6CF7DE">
            <w:pPr>
              <w:pStyle w:val="33"/>
              <w:rPr>
                <w:color w:val="auto"/>
              </w:rPr>
            </w:pPr>
            <w:r>
              <w:rPr>
                <w:color w:val="auto"/>
              </w:rPr>
              <w:t>√</w:t>
            </w:r>
          </w:p>
        </w:tc>
        <w:tc>
          <w:tcPr>
            <w:tcW w:w="421" w:type="dxa"/>
            <w:vAlign w:val="center"/>
          </w:tcPr>
          <w:p w14:paraId="456DEB18">
            <w:pPr>
              <w:pStyle w:val="33"/>
              <w:rPr>
                <w:color w:val="auto"/>
              </w:rPr>
            </w:pPr>
            <w:r>
              <w:rPr>
                <w:color w:val="auto"/>
              </w:rPr>
              <w:t>√</w:t>
            </w:r>
          </w:p>
        </w:tc>
        <w:tc>
          <w:tcPr>
            <w:tcW w:w="421" w:type="dxa"/>
            <w:vAlign w:val="center"/>
          </w:tcPr>
          <w:p w14:paraId="24E0E3B1">
            <w:pPr>
              <w:pStyle w:val="33"/>
              <w:rPr>
                <w:color w:val="auto"/>
              </w:rPr>
            </w:pPr>
          </w:p>
        </w:tc>
        <w:tc>
          <w:tcPr>
            <w:tcW w:w="421" w:type="dxa"/>
            <w:vAlign w:val="center"/>
          </w:tcPr>
          <w:p w14:paraId="628BCD53">
            <w:pPr>
              <w:pStyle w:val="33"/>
              <w:rPr>
                <w:color w:val="auto"/>
              </w:rPr>
            </w:pPr>
            <w:r>
              <w:rPr>
                <w:color w:val="auto"/>
              </w:rPr>
              <w:t>√</w:t>
            </w:r>
          </w:p>
        </w:tc>
        <w:tc>
          <w:tcPr>
            <w:tcW w:w="421" w:type="dxa"/>
            <w:vAlign w:val="center"/>
          </w:tcPr>
          <w:p w14:paraId="2850C2B2">
            <w:pPr>
              <w:pStyle w:val="33"/>
              <w:rPr>
                <w:color w:val="auto"/>
              </w:rPr>
            </w:pPr>
          </w:p>
        </w:tc>
        <w:tc>
          <w:tcPr>
            <w:tcW w:w="612" w:type="dxa"/>
            <w:vAlign w:val="center"/>
          </w:tcPr>
          <w:p w14:paraId="3D49DC77">
            <w:pPr>
              <w:pStyle w:val="33"/>
              <w:rPr>
                <w:color w:val="auto"/>
              </w:rPr>
            </w:pPr>
          </w:p>
        </w:tc>
        <w:tc>
          <w:tcPr>
            <w:tcW w:w="571" w:type="dxa"/>
            <w:vAlign w:val="center"/>
          </w:tcPr>
          <w:p w14:paraId="559B84BD">
            <w:pPr>
              <w:pStyle w:val="33"/>
              <w:rPr>
                <w:color w:val="auto"/>
              </w:rPr>
            </w:pPr>
            <w:r>
              <w:rPr>
                <w:color w:val="auto"/>
              </w:rPr>
              <w:t>√</w:t>
            </w:r>
          </w:p>
        </w:tc>
        <w:tc>
          <w:tcPr>
            <w:tcW w:w="398" w:type="dxa"/>
            <w:vAlign w:val="center"/>
          </w:tcPr>
          <w:p w14:paraId="4A4039C0">
            <w:pPr>
              <w:pStyle w:val="33"/>
              <w:rPr>
                <w:color w:val="auto"/>
              </w:rPr>
            </w:pPr>
          </w:p>
        </w:tc>
        <w:tc>
          <w:tcPr>
            <w:tcW w:w="398" w:type="dxa"/>
            <w:vAlign w:val="center"/>
          </w:tcPr>
          <w:p w14:paraId="1CF45497">
            <w:pPr>
              <w:pStyle w:val="33"/>
              <w:rPr>
                <w:color w:val="auto"/>
              </w:rPr>
            </w:pPr>
          </w:p>
        </w:tc>
        <w:tc>
          <w:tcPr>
            <w:tcW w:w="453" w:type="dxa"/>
            <w:vAlign w:val="center"/>
          </w:tcPr>
          <w:p w14:paraId="645DF687">
            <w:pPr>
              <w:pStyle w:val="33"/>
              <w:rPr>
                <w:color w:val="auto"/>
              </w:rPr>
            </w:pPr>
          </w:p>
        </w:tc>
      </w:tr>
      <w:tr w14:paraId="428B2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restart"/>
            <w:vAlign w:val="center"/>
          </w:tcPr>
          <w:p w14:paraId="157DDA8D">
            <w:pPr>
              <w:pStyle w:val="33"/>
              <w:rPr>
                <w:color w:val="auto"/>
              </w:rPr>
            </w:pPr>
            <w:r>
              <w:rPr>
                <w:color w:val="auto"/>
              </w:rPr>
              <w:t>营运期</w:t>
            </w:r>
          </w:p>
        </w:tc>
        <w:tc>
          <w:tcPr>
            <w:tcW w:w="1288" w:type="dxa"/>
            <w:vAlign w:val="center"/>
          </w:tcPr>
          <w:p w14:paraId="18361EFA">
            <w:pPr>
              <w:pStyle w:val="33"/>
              <w:rPr>
                <w:color w:val="auto"/>
              </w:rPr>
            </w:pPr>
            <w:r>
              <w:rPr>
                <w:color w:val="auto"/>
              </w:rPr>
              <w:t>地表水环境</w:t>
            </w:r>
          </w:p>
        </w:tc>
        <w:tc>
          <w:tcPr>
            <w:tcW w:w="531" w:type="dxa"/>
            <w:vAlign w:val="center"/>
          </w:tcPr>
          <w:p w14:paraId="6F4F28CC">
            <w:pPr>
              <w:pStyle w:val="33"/>
              <w:rPr>
                <w:color w:val="auto"/>
              </w:rPr>
            </w:pPr>
          </w:p>
        </w:tc>
        <w:tc>
          <w:tcPr>
            <w:tcW w:w="530" w:type="dxa"/>
            <w:vAlign w:val="center"/>
          </w:tcPr>
          <w:p w14:paraId="4ADCFAFE">
            <w:pPr>
              <w:pStyle w:val="33"/>
              <w:rPr>
                <w:color w:val="auto"/>
              </w:rPr>
            </w:pPr>
            <w:r>
              <w:rPr>
                <w:color w:val="auto"/>
              </w:rPr>
              <w:t>√</w:t>
            </w:r>
          </w:p>
        </w:tc>
        <w:tc>
          <w:tcPr>
            <w:tcW w:w="530" w:type="dxa"/>
            <w:vAlign w:val="center"/>
          </w:tcPr>
          <w:p w14:paraId="1A95B6DF">
            <w:pPr>
              <w:pStyle w:val="33"/>
              <w:rPr>
                <w:color w:val="auto"/>
              </w:rPr>
            </w:pPr>
          </w:p>
        </w:tc>
        <w:tc>
          <w:tcPr>
            <w:tcW w:w="660" w:type="dxa"/>
            <w:vAlign w:val="center"/>
          </w:tcPr>
          <w:p w14:paraId="7C953F42">
            <w:pPr>
              <w:pStyle w:val="33"/>
              <w:rPr>
                <w:color w:val="auto"/>
              </w:rPr>
            </w:pPr>
            <w:r>
              <w:rPr>
                <w:color w:val="auto"/>
              </w:rPr>
              <w:t>√</w:t>
            </w:r>
          </w:p>
        </w:tc>
        <w:tc>
          <w:tcPr>
            <w:tcW w:w="441" w:type="dxa"/>
            <w:vAlign w:val="center"/>
          </w:tcPr>
          <w:p w14:paraId="04A8B44D">
            <w:pPr>
              <w:pStyle w:val="33"/>
              <w:rPr>
                <w:color w:val="auto"/>
              </w:rPr>
            </w:pPr>
          </w:p>
        </w:tc>
        <w:tc>
          <w:tcPr>
            <w:tcW w:w="421" w:type="dxa"/>
            <w:vAlign w:val="center"/>
          </w:tcPr>
          <w:p w14:paraId="5719A20C">
            <w:pPr>
              <w:pStyle w:val="33"/>
              <w:rPr>
                <w:color w:val="auto"/>
              </w:rPr>
            </w:pPr>
            <w:r>
              <w:rPr>
                <w:color w:val="auto"/>
              </w:rPr>
              <w:t>√</w:t>
            </w:r>
          </w:p>
        </w:tc>
        <w:tc>
          <w:tcPr>
            <w:tcW w:w="421" w:type="dxa"/>
            <w:vAlign w:val="center"/>
          </w:tcPr>
          <w:p w14:paraId="0D6A896B">
            <w:pPr>
              <w:pStyle w:val="33"/>
              <w:rPr>
                <w:color w:val="auto"/>
              </w:rPr>
            </w:pPr>
          </w:p>
        </w:tc>
        <w:tc>
          <w:tcPr>
            <w:tcW w:w="421" w:type="dxa"/>
            <w:vAlign w:val="center"/>
          </w:tcPr>
          <w:p w14:paraId="4B26864B">
            <w:pPr>
              <w:pStyle w:val="33"/>
              <w:rPr>
                <w:color w:val="auto"/>
              </w:rPr>
            </w:pPr>
            <w:r>
              <w:rPr>
                <w:color w:val="auto"/>
              </w:rPr>
              <w:t>√</w:t>
            </w:r>
          </w:p>
        </w:tc>
        <w:tc>
          <w:tcPr>
            <w:tcW w:w="421" w:type="dxa"/>
            <w:vAlign w:val="center"/>
          </w:tcPr>
          <w:p w14:paraId="1FFABC78">
            <w:pPr>
              <w:pStyle w:val="33"/>
              <w:rPr>
                <w:color w:val="auto"/>
              </w:rPr>
            </w:pPr>
            <w:r>
              <w:rPr>
                <w:color w:val="auto"/>
              </w:rPr>
              <w:t>√</w:t>
            </w:r>
          </w:p>
        </w:tc>
        <w:tc>
          <w:tcPr>
            <w:tcW w:w="421" w:type="dxa"/>
            <w:vAlign w:val="center"/>
          </w:tcPr>
          <w:p w14:paraId="711D1D89">
            <w:pPr>
              <w:pStyle w:val="33"/>
              <w:rPr>
                <w:color w:val="auto"/>
              </w:rPr>
            </w:pPr>
          </w:p>
        </w:tc>
        <w:tc>
          <w:tcPr>
            <w:tcW w:w="612" w:type="dxa"/>
            <w:vAlign w:val="center"/>
          </w:tcPr>
          <w:p w14:paraId="0502F7BA">
            <w:pPr>
              <w:pStyle w:val="33"/>
              <w:rPr>
                <w:color w:val="auto"/>
              </w:rPr>
            </w:pPr>
          </w:p>
        </w:tc>
        <w:tc>
          <w:tcPr>
            <w:tcW w:w="571" w:type="dxa"/>
            <w:vAlign w:val="center"/>
          </w:tcPr>
          <w:p w14:paraId="5DE63DDC">
            <w:pPr>
              <w:pStyle w:val="33"/>
              <w:rPr>
                <w:color w:val="auto"/>
              </w:rPr>
            </w:pPr>
            <w:r>
              <w:rPr>
                <w:color w:val="auto"/>
              </w:rPr>
              <w:t>√</w:t>
            </w:r>
          </w:p>
        </w:tc>
        <w:tc>
          <w:tcPr>
            <w:tcW w:w="398" w:type="dxa"/>
            <w:vAlign w:val="center"/>
          </w:tcPr>
          <w:p w14:paraId="64E00FF7">
            <w:pPr>
              <w:pStyle w:val="33"/>
              <w:rPr>
                <w:color w:val="auto"/>
              </w:rPr>
            </w:pPr>
          </w:p>
        </w:tc>
        <w:tc>
          <w:tcPr>
            <w:tcW w:w="398" w:type="dxa"/>
            <w:vAlign w:val="center"/>
          </w:tcPr>
          <w:p w14:paraId="02D157EB">
            <w:pPr>
              <w:pStyle w:val="33"/>
              <w:rPr>
                <w:color w:val="auto"/>
              </w:rPr>
            </w:pPr>
          </w:p>
        </w:tc>
        <w:tc>
          <w:tcPr>
            <w:tcW w:w="453" w:type="dxa"/>
            <w:vAlign w:val="center"/>
          </w:tcPr>
          <w:p w14:paraId="3426760A">
            <w:pPr>
              <w:pStyle w:val="33"/>
              <w:rPr>
                <w:color w:val="auto"/>
              </w:rPr>
            </w:pPr>
          </w:p>
        </w:tc>
      </w:tr>
      <w:tr w14:paraId="5AAC4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6EC2A953">
            <w:pPr>
              <w:pStyle w:val="33"/>
              <w:rPr>
                <w:color w:val="auto"/>
              </w:rPr>
            </w:pPr>
          </w:p>
        </w:tc>
        <w:tc>
          <w:tcPr>
            <w:tcW w:w="1288" w:type="dxa"/>
            <w:vAlign w:val="center"/>
          </w:tcPr>
          <w:p w14:paraId="3CE6BE5A">
            <w:pPr>
              <w:pStyle w:val="33"/>
              <w:rPr>
                <w:color w:val="auto"/>
              </w:rPr>
            </w:pPr>
            <w:r>
              <w:rPr>
                <w:color w:val="auto"/>
              </w:rPr>
              <w:t>大气环境</w:t>
            </w:r>
          </w:p>
        </w:tc>
        <w:tc>
          <w:tcPr>
            <w:tcW w:w="531" w:type="dxa"/>
            <w:vAlign w:val="center"/>
          </w:tcPr>
          <w:p w14:paraId="7B215D6E">
            <w:pPr>
              <w:pStyle w:val="33"/>
              <w:rPr>
                <w:color w:val="auto"/>
              </w:rPr>
            </w:pPr>
          </w:p>
        </w:tc>
        <w:tc>
          <w:tcPr>
            <w:tcW w:w="530" w:type="dxa"/>
            <w:vAlign w:val="center"/>
          </w:tcPr>
          <w:p w14:paraId="4A0A43E4">
            <w:pPr>
              <w:pStyle w:val="33"/>
              <w:rPr>
                <w:color w:val="auto"/>
              </w:rPr>
            </w:pPr>
            <w:r>
              <w:rPr>
                <w:color w:val="auto"/>
              </w:rPr>
              <w:t>√</w:t>
            </w:r>
          </w:p>
        </w:tc>
        <w:tc>
          <w:tcPr>
            <w:tcW w:w="530" w:type="dxa"/>
            <w:vAlign w:val="center"/>
          </w:tcPr>
          <w:p w14:paraId="06DB5048">
            <w:pPr>
              <w:pStyle w:val="33"/>
              <w:rPr>
                <w:color w:val="auto"/>
              </w:rPr>
            </w:pPr>
          </w:p>
        </w:tc>
        <w:tc>
          <w:tcPr>
            <w:tcW w:w="660" w:type="dxa"/>
            <w:vAlign w:val="center"/>
          </w:tcPr>
          <w:p w14:paraId="26A39474">
            <w:pPr>
              <w:pStyle w:val="33"/>
              <w:rPr>
                <w:color w:val="auto"/>
              </w:rPr>
            </w:pPr>
            <w:r>
              <w:rPr>
                <w:color w:val="auto"/>
              </w:rPr>
              <w:t>√</w:t>
            </w:r>
          </w:p>
        </w:tc>
        <w:tc>
          <w:tcPr>
            <w:tcW w:w="441" w:type="dxa"/>
            <w:vAlign w:val="center"/>
          </w:tcPr>
          <w:p w14:paraId="6C82E5C1">
            <w:pPr>
              <w:pStyle w:val="33"/>
              <w:rPr>
                <w:color w:val="auto"/>
              </w:rPr>
            </w:pPr>
          </w:p>
        </w:tc>
        <w:tc>
          <w:tcPr>
            <w:tcW w:w="421" w:type="dxa"/>
            <w:vAlign w:val="center"/>
          </w:tcPr>
          <w:p w14:paraId="74B4FF1E">
            <w:pPr>
              <w:pStyle w:val="33"/>
              <w:rPr>
                <w:color w:val="auto"/>
              </w:rPr>
            </w:pPr>
            <w:r>
              <w:rPr>
                <w:color w:val="auto"/>
              </w:rPr>
              <w:t>√</w:t>
            </w:r>
          </w:p>
        </w:tc>
        <w:tc>
          <w:tcPr>
            <w:tcW w:w="421" w:type="dxa"/>
            <w:vAlign w:val="center"/>
          </w:tcPr>
          <w:p w14:paraId="5EAC1237">
            <w:pPr>
              <w:pStyle w:val="33"/>
              <w:rPr>
                <w:color w:val="auto"/>
              </w:rPr>
            </w:pPr>
            <w:r>
              <w:rPr>
                <w:color w:val="auto"/>
              </w:rPr>
              <w:t>√</w:t>
            </w:r>
          </w:p>
        </w:tc>
        <w:tc>
          <w:tcPr>
            <w:tcW w:w="421" w:type="dxa"/>
            <w:vAlign w:val="center"/>
          </w:tcPr>
          <w:p w14:paraId="0A43AC9D">
            <w:pPr>
              <w:pStyle w:val="33"/>
              <w:rPr>
                <w:color w:val="auto"/>
              </w:rPr>
            </w:pPr>
          </w:p>
        </w:tc>
        <w:tc>
          <w:tcPr>
            <w:tcW w:w="421" w:type="dxa"/>
            <w:vAlign w:val="center"/>
          </w:tcPr>
          <w:p w14:paraId="6141B456">
            <w:pPr>
              <w:pStyle w:val="33"/>
              <w:rPr>
                <w:color w:val="auto"/>
              </w:rPr>
            </w:pPr>
            <w:r>
              <w:rPr>
                <w:color w:val="auto"/>
              </w:rPr>
              <w:t>√</w:t>
            </w:r>
          </w:p>
        </w:tc>
        <w:tc>
          <w:tcPr>
            <w:tcW w:w="421" w:type="dxa"/>
            <w:vAlign w:val="center"/>
          </w:tcPr>
          <w:p w14:paraId="30B03503">
            <w:pPr>
              <w:pStyle w:val="33"/>
              <w:rPr>
                <w:color w:val="auto"/>
              </w:rPr>
            </w:pPr>
          </w:p>
        </w:tc>
        <w:tc>
          <w:tcPr>
            <w:tcW w:w="612" w:type="dxa"/>
            <w:vAlign w:val="center"/>
          </w:tcPr>
          <w:p w14:paraId="72EE91E6">
            <w:pPr>
              <w:pStyle w:val="33"/>
              <w:rPr>
                <w:color w:val="auto"/>
              </w:rPr>
            </w:pPr>
          </w:p>
        </w:tc>
        <w:tc>
          <w:tcPr>
            <w:tcW w:w="571" w:type="dxa"/>
            <w:vAlign w:val="center"/>
          </w:tcPr>
          <w:p w14:paraId="45600E47">
            <w:pPr>
              <w:pStyle w:val="33"/>
              <w:rPr>
                <w:color w:val="auto"/>
              </w:rPr>
            </w:pPr>
          </w:p>
        </w:tc>
        <w:tc>
          <w:tcPr>
            <w:tcW w:w="398" w:type="dxa"/>
            <w:vAlign w:val="center"/>
          </w:tcPr>
          <w:p w14:paraId="11109F06">
            <w:pPr>
              <w:pStyle w:val="33"/>
              <w:rPr>
                <w:color w:val="auto"/>
              </w:rPr>
            </w:pPr>
            <w:r>
              <w:rPr>
                <w:color w:val="auto"/>
              </w:rPr>
              <w:t>√</w:t>
            </w:r>
          </w:p>
        </w:tc>
        <w:tc>
          <w:tcPr>
            <w:tcW w:w="398" w:type="dxa"/>
            <w:vAlign w:val="center"/>
          </w:tcPr>
          <w:p w14:paraId="45B16BDE">
            <w:pPr>
              <w:pStyle w:val="33"/>
              <w:rPr>
                <w:color w:val="auto"/>
              </w:rPr>
            </w:pPr>
          </w:p>
        </w:tc>
        <w:tc>
          <w:tcPr>
            <w:tcW w:w="453" w:type="dxa"/>
            <w:vAlign w:val="center"/>
          </w:tcPr>
          <w:p w14:paraId="4283F073">
            <w:pPr>
              <w:pStyle w:val="33"/>
              <w:rPr>
                <w:color w:val="auto"/>
              </w:rPr>
            </w:pPr>
          </w:p>
        </w:tc>
      </w:tr>
      <w:tr w14:paraId="14E84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1F02E40C">
            <w:pPr>
              <w:pStyle w:val="33"/>
              <w:rPr>
                <w:color w:val="auto"/>
              </w:rPr>
            </w:pPr>
          </w:p>
        </w:tc>
        <w:tc>
          <w:tcPr>
            <w:tcW w:w="1288" w:type="dxa"/>
            <w:vAlign w:val="center"/>
          </w:tcPr>
          <w:p w14:paraId="4CF353C2">
            <w:pPr>
              <w:pStyle w:val="33"/>
              <w:rPr>
                <w:color w:val="auto"/>
              </w:rPr>
            </w:pPr>
            <w:r>
              <w:rPr>
                <w:color w:val="auto"/>
              </w:rPr>
              <w:t>声环境</w:t>
            </w:r>
          </w:p>
        </w:tc>
        <w:tc>
          <w:tcPr>
            <w:tcW w:w="531" w:type="dxa"/>
            <w:vAlign w:val="center"/>
          </w:tcPr>
          <w:p w14:paraId="2DE12A8B">
            <w:pPr>
              <w:pStyle w:val="33"/>
              <w:rPr>
                <w:color w:val="auto"/>
              </w:rPr>
            </w:pPr>
          </w:p>
        </w:tc>
        <w:tc>
          <w:tcPr>
            <w:tcW w:w="530" w:type="dxa"/>
            <w:vAlign w:val="center"/>
          </w:tcPr>
          <w:p w14:paraId="3229F402">
            <w:pPr>
              <w:pStyle w:val="33"/>
              <w:rPr>
                <w:color w:val="auto"/>
              </w:rPr>
            </w:pPr>
            <w:r>
              <w:rPr>
                <w:color w:val="auto"/>
              </w:rPr>
              <w:t>√</w:t>
            </w:r>
          </w:p>
        </w:tc>
        <w:tc>
          <w:tcPr>
            <w:tcW w:w="530" w:type="dxa"/>
            <w:vAlign w:val="center"/>
          </w:tcPr>
          <w:p w14:paraId="0E82BE95">
            <w:pPr>
              <w:pStyle w:val="33"/>
              <w:rPr>
                <w:color w:val="auto"/>
              </w:rPr>
            </w:pPr>
            <w:r>
              <w:rPr>
                <w:color w:val="auto"/>
              </w:rPr>
              <w:t>√</w:t>
            </w:r>
          </w:p>
        </w:tc>
        <w:tc>
          <w:tcPr>
            <w:tcW w:w="660" w:type="dxa"/>
            <w:vAlign w:val="center"/>
          </w:tcPr>
          <w:p w14:paraId="48D6030A">
            <w:pPr>
              <w:pStyle w:val="33"/>
              <w:rPr>
                <w:color w:val="auto"/>
              </w:rPr>
            </w:pPr>
          </w:p>
        </w:tc>
        <w:tc>
          <w:tcPr>
            <w:tcW w:w="441" w:type="dxa"/>
            <w:vAlign w:val="center"/>
          </w:tcPr>
          <w:p w14:paraId="553F7737">
            <w:pPr>
              <w:pStyle w:val="33"/>
              <w:rPr>
                <w:color w:val="auto"/>
              </w:rPr>
            </w:pPr>
          </w:p>
        </w:tc>
        <w:tc>
          <w:tcPr>
            <w:tcW w:w="421" w:type="dxa"/>
            <w:vAlign w:val="center"/>
          </w:tcPr>
          <w:p w14:paraId="7ECD57FC">
            <w:pPr>
              <w:pStyle w:val="33"/>
              <w:rPr>
                <w:color w:val="auto"/>
              </w:rPr>
            </w:pPr>
          </w:p>
        </w:tc>
        <w:tc>
          <w:tcPr>
            <w:tcW w:w="421" w:type="dxa"/>
            <w:vAlign w:val="center"/>
          </w:tcPr>
          <w:p w14:paraId="26B56B0A">
            <w:pPr>
              <w:pStyle w:val="33"/>
              <w:rPr>
                <w:color w:val="auto"/>
              </w:rPr>
            </w:pPr>
            <w:r>
              <w:rPr>
                <w:color w:val="auto"/>
              </w:rPr>
              <w:t>√</w:t>
            </w:r>
          </w:p>
        </w:tc>
        <w:tc>
          <w:tcPr>
            <w:tcW w:w="421" w:type="dxa"/>
            <w:vAlign w:val="center"/>
          </w:tcPr>
          <w:p w14:paraId="18D8284A">
            <w:pPr>
              <w:pStyle w:val="33"/>
              <w:rPr>
                <w:color w:val="auto"/>
              </w:rPr>
            </w:pPr>
          </w:p>
        </w:tc>
        <w:tc>
          <w:tcPr>
            <w:tcW w:w="421" w:type="dxa"/>
            <w:vAlign w:val="center"/>
          </w:tcPr>
          <w:p w14:paraId="378E6790">
            <w:pPr>
              <w:pStyle w:val="33"/>
              <w:rPr>
                <w:color w:val="auto"/>
              </w:rPr>
            </w:pPr>
            <w:r>
              <w:rPr>
                <w:color w:val="auto"/>
              </w:rPr>
              <w:t>√</w:t>
            </w:r>
          </w:p>
        </w:tc>
        <w:tc>
          <w:tcPr>
            <w:tcW w:w="421" w:type="dxa"/>
            <w:vAlign w:val="center"/>
          </w:tcPr>
          <w:p w14:paraId="6D27E07E">
            <w:pPr>
              <w:pStyle w:val="33"/>
              <w:rPr>
                <w:color w:val="auto"/>
              </w:rPr>
            </w:pPr>
          </w:p>
        </w:tc>
        <w:tc>
          <w:tcPr>
            <w:tcW w:w="612" w:type="dxa"/>
            <w:vAlign w:val="center"/>
          </w:tcPr>
          <w:p w14:paraId="2DDC322B">
            <w:pPr>
              <w:pStyle w:val="33"/>
              <w:rPr>
                <w:color w:val="auto"/>
              </w:rPr>
            </w:pPr>
          </w:p>
        </w:tc>
        <w:tc>
          <w:tcPr>
            <w:tcW w:w="571" w:type="dxa"/>
            <w:vAlign w:val="center"/>
          </w:tcPr>
          <w:p w14:paraId="737D60C7">
            <w:pPr>
              <w:pStyle w:val="33"/>
              <w:rPr>
                <w:color w:val="auto"/>
              </w:rPr>
            </w:pPr>
            <w:r>
              <w:rPr>
                <w:color w:val="auto"/>
              </w:rPr>
              <w:t>√</w:t>
            </w:r>
          </w:p>
        </w:tc>
        <w:tc>
          <w:tcPr>
            <w:tcW w:w="398" w:type="dxa"/>
            <w:vAlign w:val="center"/>
          </w:tcPr>
          <w:p w14:paraId="2BF6A53C">
            <w:pPr>
              <w:pStyle w:val="33"/>
              <w:rPr>
                <w:color w:val="auto"/>
              </w:rPr>
            </w:pPr>
          </w:p>
        </w:tc>
        <w:tc>
          <w:tcPr>
            <w:tcW w:w="398" w:type="dxa"/>
            <w:vAlign w:val="center"/>
          </w:tcPr>
          <w:p w14:paraId="302DBADA">
            <w:pPr>
              <w:pStyle w:val="33"/>
              <w:rPr>
                <w:color w:val="auto"/>
              </w:rPr>
            </w:pPr>
          </w:p>
        </w:tc>
        <w:tc>
          <w:tcPr>
            <w:tcW w:w="453" w:type="dxa"/>
            <w:vAlign w:val="center"/>
          </w:tcPr>
          <w:p w14:paraId="6565FEAE">
            <w:pPr>
              <w:pStyle w:val="33"/>
              <w:rPr>
                <w:color w:val="auto"/>
              </w:rPr>
            </w:pPr>
          </w:p>
        </w:tc>
      </w:tr>
      <w:tr w14:paraId="6F9BCE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2F50D97A">
            <w:pPr>
              <w:pStyle w:val="33"/>
              <w:rPr>
                <w:color w:val="auto"/>
              </w:rPr>
            </w:pPr>
          </w:p>
        </w:tc>
        <w:tc>
          <w:tcPr>
            <w:tcW w:w="1288" w:type="dxa"/>
            <w:vAlign w:val="center"/>
          </w:tcPr>
          <w:p w14:paraId="4BB3E4E0">
            <w:pPr>
              <w:pStyle w:val="33"/>
              <w:rPr>
                <w:color w:val="auto"/>
              </w:rPr>
            </w:pPr>
            <w:r>
              <w:rPr>
                <w:color w:val="auto"/>
              </w:rPr>
              <w:t>生态环境</w:t>
            </w:r>
          </w:p>
        </w:tc>
        <w:tc>
          <w:tcPr>
            <w:tcW w:w="531" w:type="dxa"/>
            <w:vAlign w:val="center"/>
          </w:tcPr>
          <w:p w14:paraId="4F60511F">
            <w:pPr>
              <w:pStyle w:val="33"/>
              <w:rPr>
                <w:color w:val="auto"/>
              </w:rPr>
            </w:pPr>
          </w:p>
        </w:tc>
        <w:tc>
          <w:tcPr>
            <w:tcW w:w="530" w:type="dxa"/>
            <w:vAlign w:val="center"/>
          </w:tcPr>
          <w:p w14:paraId="3D14F3BE">
            <w:pPr>
              <w:pStyle w:val="33"/>
              <w:rPr>
                <w:color w:val="auto"/>
              </w:rPr>
            </w:pPr>
            <w:r>
              <w:rPr>
                <w:color w:val="auto"/>
              </w:rPr>
              <w:t>√</w:t>
            </w:r>
          </w:p>
        </w:tc>
        <w:tc>
          <w:tcPr>
            <w:tcW w:w="530" w:type="dxa"/>
            <w:vAlign w:val="center"/>
          </w:tcPr>
          <w:p w14:paraId="67D7A5EC">
            <w:pPr>
              <w:pStyle w:val="33"/>
              <w:rPr>
                <w:color w:val="auto"/>
              </w:rPr>
            </w:pPr>
          </w:p>
        </w:tc>
        <w:tc>
          <w:tcPr>
            <w:tcW w:w="660" w:type="dxa"/>
            <w:vAlign w:val="center"/>
          </w:tcPr>
          <w:p w14:paraId="57055022">
            <w:pPr>
              <w:pStyle w:val="33"/>
              <w:rPr>
                <w:color w:val="auto"/>
              </w:rPr>
            </w:pPr>
            <w:r>
              <w:rPr>
                <w:color w:val="auto"/>
              </w:rPr>
              <w:t>√</w:t>
            </w:r>
          </w:p>
        </w:tc>
        <w:tc>
          <w:tcPr>
            <w:tcW w:w="441" w:type="dxa"/>
            <w:vAlign w:val="center"/>
          </w:tcPr>
          <w:p w14:paraId="01E01CCB">
            <w:pPr>
              <w:pStyle w:val="33"/>
              <w:rPr>
                <w:color w:val="auto"/>
              </w:rPr>
            </w:pPr>
          </w:p>
        </w:tc>
        <w:tc>
          <w:tcPr>
            <w:tcW w:w="421" w:type="dxa"/>
            <w:vAlign w:val="center"/>
          </w:tcPr>
          <w:p w14:paraId="0DBD5591">
            <w:pPr>
              <w:pStyle w:val="33"/>
              <w:rPr>
                <w:color w:val="auto"/>
              </w:rPr>
            </w:pPr>
            <w:r>
              <w:rPr>
                <w:color w:val="auto"/>
              </w:rPr>
              <w:t>√</w:t>
            </w:r>
          </w:p>
        </w:tc>
        <w:tc>
          <w:tcPr>
            <w:tcW w:w="421" w:type="dxa"/>
            <w:vAlign w:val="center"/>
          </w:tcPr>
          <w:p w14:paraId="33884989">
            <w:pPr>
              <w:pStyle w:val="33"/>
              <w:rPr>
                <w:color w:val="auto"/>
              </w:rPr>
            </w:pPr>
          </w:p>
        </w:tc>
        <w:tc>
          <w:tcPr>
            <w:tcW w:w="421" w:type="dxa"/>
            <w:vAlign w:val="center"/>
          </w:tcPr>
          <w:p w14:paraId="0E79DD8C">
            <w:pPr>
              <w:pStyle w:val="33"/>
              <w:rPr>
                <w:color w:val="auto"/>
              </w:rPr>
            </w:pPr>
            <w:r>
              <w:rPr>
                <w:color w:val="auto"/>
              </w:rPr>
              <w:t>√</w:t>
            </w:r>
          </w:p>
        </w:tc>
        <w:tc>
          <w:tcPr>
            <w:tcW w:w="421" w:type="dxa"/>
            <w:vAlign w:val="center"/>
          </w:tcPr>
          <w:p w14:paraId="7434EFFD">
            <w:pPr>
              <w:pStyle w:val="33"/>
              <w:rPr>
                <w:color w:val="auto"/>
              </w:rPr>
            </w:pPr>
          </w:p>
        </w:tc>
        <w:tc>
          <w:tcPr>
            <w:tcW w:w="421" w:type="dxa"/>
            <w:vAlign w:val="center"/>
          </w:tcPr>
          <w:p w14:paraId="2DE7BC97">
            <w:pPr>
              <w:pStyle w:val="33"/>
              <w:rPr>
                <w:color w:val="auto"/>
              </w:rPr>
            </w:pPr>
            <w:r>
              <w:rPr>
                <w:color w:val="auto"/>
              </w:rPr>
              <w:t>√</w:t>
            </w:r>
          </w:p>
        </w:tc>
        <w:tc>
          <w:tcPr>
            <w:tcW w:w="612" w:type="dxa"/>
            <w:vAlign w:val="center"/>
          </w:tcPr>
          <w:p w14:paraId="2E3AB41D">
            <w:pPr>
              <w:pStyle w:val="33"/>
              <w:rPr>
                <w:color w:val="auto"/>
              </w:rPr>
            </w:pPr>
          </w:p>
        </w:tc>
        <w:tc>
          <w:tcPr>
            <w:tcW w:w="571" w:type="dxa"/>
            <w:vAlign w:val="center"/>
          </w:tcPr>
          <w:p w14:paraId="1D1C8C69">
            <w:pPr>
              <w:pStyle w:val="33"/>
              <w:rPr>
                <w:color w:val="auto"/>
              </w:rPr>
            </w:pPr>
            <w:r>
              <w:rPr>
                <w:color w:val="auto"/>
              </w:rPr>
              <w:t>√</w:t>
            </w:r>
          </w:p>
        </w:tc>
        <w:tc>
          <w:tcPr>
            <w:tcW w:w="398" w:type="dxa"/>
            <w:vAlign w:val="center"/>
          </w:tcPr>
          <w:p w14:paraId="6B4363BF">
            <w:pPr>
              <w:pStyle w:val="33"/>
              <w:rPr>
                <w:color w:val="auto"/>
              </w:rPr>
            </w:pPr>
          </w:p>
        </w:tc>
        <w:tc>
          <w:tcPr>
            <w:tcW w:w="398" w:type="dxa"/>
            <w:vAlign w:val="center"/>
          </w:tcPr>
          <w:p w14:paraId="13567ACB">
            <w:pPr>
              <w:pStyle w:val="33"/>
              <w:rPr>
                <w:color w:val="auto"/>
              </w:rPr>
            </w:pPr>
          </w:p>
        </w:tc>
        <w:tc>
          <w:tcPr>
            <w:tcW w:w="453" w:type="dxa"/>
            <w:vAlign w:val="center"/>
          </w:tcPr>
          <w:p w14:paraId="77B18081">
            <w:pPr>
              <w:pStyle w:val="33"/>
              <w:rPr>
                <w:color w:val="auto"/>
              </w:rPr>
            </w:pPr>
          </w:p>
        </w:tc>
      </w:tr>
      <w:tr w14:paraId="6C629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4760E979">
            <w:pPr>
              <w:pStyle w:val="33"/>
              <w:rPr>
                <w:color w:val="auto"/>
              </w:rPr>
            </w:pPr>
          </w:p>
        </w:tc>
        <w:tc>
          <w:tcPr>
            <w:tcW w:w="1288" w:type="dxa"/>
            <w:vAlign w:val="center"/>
          </w:tcPr>
          <w:p w14:paraId="6BE9A2E4">
            <w:pPr>
              <w:pStyle w:val="33"/>
              <w:rPr>
                <w:color w:val="auto"/>
              </w:rPr>
            </w:pPr>
            <w:r>
              <w:rPr>
                <w:color w:val="auto"/>
              </w:rPr>
              <w:t>地下水环境</w:t>
            </w:r>
          </w:p>
        </w:tc>
        <w:tc>
          <w:tcPr>
            <w:tcW w:w="531" w:type="dxa"/>
            <w:vAlign w:val="center"/>
          </w:tcPr>
          <w:p w14:paraId="7D1B0028">
            <w:pPr>
              <w:pStyle w:val="33"/>
              <w:rPr>
                <w:color w:val="auto"/>
              </w:rPr>
            </w:pPr>
          </w:p>
        </w:tc>
        <w:tc>
          <w:tcPr>
            <w:tcW w:w="530" w:type="dxa"/>
            <w:vAlign w:val="center"/>
          </w:tcPr>
          <w:p w14:paraId="0FE1FE23">
            <w:pPr>
              <w:pStyle w:val="33"/>
              <w:rPr>
                <w:color w:val="auto"/>
              </w:rPr>
            </w:pPr>
            <w:r>
              <w:rPr>
                <w:color w:val="auto"/>
              </w:rPr>
              <w:t>√</w:t>
            </w:r>
          </w:p>
        </w:tc>
        <w:tc>
          <w:tcPr>
            <w:tcW w:w="530" w:type="dxa"/>
            <w:vAlign w:val="center"/>
          </w:tcPr>
          <w:p w14:paraId="6BDF4513">
            <w:pPr>
              <w:pStyle w:val="33"/>
              <w:rPr>
                <w:color w:val="auto"/>
              </w:rPr>
            </w:pPr>
          </w:p>
        </w:tc>
        <w:tc>
          <w:tcPr>
            <w:tcW w:w="660" w:type="dxa"/>
            <w:vAlign w:val="center"/>
          </w:tcPr>
          <w:p w14:paraId="6F69EB3A">
            <w:pPr>
              <w:pStyle w:val="33"/>
              <w:rPr>
                <w:color w:val="auto"/>
              </w:rPr>
            </w:pPr>
            <w:r>
              <w:rPr>
                <w:color w:val="auto"/>
              </w:rPr>
              <w:t>√</w:t>
            </w:r>
          </w:p>
        </w:tc>
        <w:tc>
          <w:tcPr>
            <w:tcW w:w="441" w:type="dxa"/>
            <w:vAlign w:val="center"/>
          </w:tcPr>
          <w:p w14:paraId="4D71FDB1">
            <w:pPr>
              <w:pStyle w:val="33"/>
              <w:rPr>
                <w:color w:val="auto"/>
              </w:rPr>
            </w:pPr>
          </w:p>
        </w:tc>
        <w:tc>
          <w:tcPr>
            <w:tcW w:w="421" w:type="dxa"/>
            <w:vAlign w:val="center"/>
          </w:tcPr>
          <w:p w14:paraId="291E3F40">
            <w:pPr>
              <w:pStyle w:val="33"/>
              <w:rPr>
                <w:color w:val="auto"/>
              </w:rPr>
            </w:pPr>
            <w:r>
              <w:rPr>
                <w:color w:val="auto"/>
              </w:rPr>
              <w:t>√</w:t>
            </w:r>
          </w:p>
        </w:tc>
        <w:tc>
          <w:tcPr>
            <w:tcW w:w="421" w:type="dxa"/>
            <w:vAlign w:val="center"/>
          </w:tcPr>
          <w:p w14:paraId="086D4CD3">
            <w:pPr>
              <w:pStyle w:val="33"/>
              <w:rPr>
                <w:color w:val="auto"/>
              </w:rPr>
            </w:pPr>
          </w:p>
        </w:tc>
        <w:tc>
          <w:tcPr>
            <w:tcW w:w="421" w:type="dxa"/>
            <w:vAlign w:val="center"/>
          </w:tcPr>
          <w:p w14:paraId="6428F492">
            <w:pPr>
              <w:pStyle w:val="33"/>
              <w:rPr>
                <w:color w:val="auto"/>
              </w:rPr>
            </w:pPr>
            <w:r>
              <w:rPr>
                <w:color w:val="auto"/>
              </w:rPr>
              <w:t>√</w:t>
            </w:r>
          </w:p>
        </w:tc>
        <w:tc>
          <w:tcPr>
            <w:tcW w:w="421" w:type="dxa"/>
            <w:vAlign w:val="center"/>
          </w:tcPr>
          <w:p w14:paraId="123B6E8B">
            <w:pPr>
              <w:pStyle w:val="33"/>
              <w:rPr>
                <w:color w:val="auto"/>
              </w:rPr>
            </w:pPr>
            <w:r>
              <w:rPr>
                <w:color w:val="auto"/>
              </w:rPr>
              <w:t>√</w:t>
            </w:r>
          </w:p>
        </w:tc>
        <w:tc>
          <w:tcPr>
            <w:tcW w:w="421" w:type="dxa"/>
            <w:vAlign w:val="center"/>
          </w:tcPr>
          <w:p w14:paraId="0D0C7462">
            <w:pPr>
              <w:pStyle w:val="33"/>
              <w:rPr>
                <w:color w:val="auto"/>
              </w:rPr>
            </w:pPr>
          </w:p>
        </w:tc>
        <w:tc>
          <w:tcPr>
            <w:tcW w:w="612" w:type="dxa"/>
            <w:vAlign w:val="center"/>
          </w:tcPr>
          <w:p w14:paraId="31D99BAF">
            <w:pPr>
              <w:pStyle w:val="33"/>
              <w:rPr>
                <w:color w:val="auto"/>
              </w:rPr>
            </w:pPr>
          </w:p>
        </w:tc>
        <w:tc>
          <w:tcPr>
            <w:tcW w:w="571" w:type="dxa"/>
            <w:vAlign w:val="center"/>
          </w:tcPr>
          <w:p w14:paraId="04365860">
            <w:pPr>
              <w:pStyle w:val="33"/>
              <w:rPr>
                <w:color w:val="auto"/>
              </w:rPr>
            </w:pPr>
            <w:r>
              <w:rPr>
                <w:rFonts w:hint="eastAsia"/>
                <w:color w:val="auto"/>
              </w:rPr>
              <w:t>√</w:t>
            </w:r>
          </w:p>
        </w:tc>
        <w:tc>
          <w:tcPr>
            <w:tcW w:w="398" w:type="dxa"/>
            <w:vAlign w:val="center"/>
          </w:tcPr>
          <w:p w14:paraId="33E91F83">
            <w:pPr>
              <w:pStyle w:val="33"/>
              <w:rPr>
                <w:color w:val="auto"/>
              </w:rPr>
            </w:pPr>
          </w:p>
        </w:tc>
        <w:tc>
          <w:tcPr>
            <w:tcW w:w="398" w:type="dxa"/>
            <w:vAlign w:val="center"/>
          </w:tcPr>
          <w:p w14:paraId="116AA6C1">
            <w:pPr>
              <w:pStyle w:val="33"/>
              <w:rPr>
                <w:color w:val="auto"/>
              </w:rPr>
            </w:pPr>
          </w:p>
        </w:tc>
        <w:tc>
          <w:tcPr>
            <w:tcW w:w="453" w:type="dxa"/>
            <w:vAlign w:val="center"/>
          </w:tcPr>
          <w:p w14:paraId="438BFC80">
            <w:pPr>
              <w:pStyle w:val="33"/>
              <w:rPr>
                <w:color w:val="auto"/>
              </w:rPr>
            </w:pPr>
          </w:p>
        </w:tc>
      </w:tr>
      <w:tr w14:paraId="77E17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74" w:type="dxa"/>
            <w:vMerge w:val="continue"/>
            <w:vAlign w:val="center"/>
          </w:tcPr>
          <w:p w14:paraId="1C7FE3AD">
            <w:pPr>
              <w:pStyle w:val="33"/>
              <w:rPr>
                <w:color w:val="auto"/>
              </w:rPr>
            </w:pPr>
          </w:p>
        </w:tc>
        <w:tc>
          <w:tcPr>
            <w:tcW w:w="1288" w:type="dxa"/>
            <w:vAlign w:val="center"/>
          </w:tcPr>
          <w:p w14:paraId="714E2FE6">
            <w:pPr>
              <w:pStyle w:val="33"/>
              <w:rPr>
                <w:color w:val="auto"/>
              </w:rPr>
            </w:pPr>
            <w:r>
              <w:rPr>
                <w:color w:val="auto"/>
              </w:rPr>
              <w:t>土壤环境</w:t>
            </w:r>
          </w:p>
        </w:tc>
        <w:tc>
          <w:tcPr>
            <w:tcW w:w="531" w:type="dxa"/>
            <w:vAlign w:val="center"/>
          </w:tcPr>
          <w:p w14:paraId="5F907267">
            <w:pPr>
              <w:pStyle w:val="33"/>
              <w:rPr>
                <w:color w:val="auto"/>
              </w:rPr>
            </w:pPr>
          </w:p>
        </w:tc>
        <w:tc>
          <w:tcPr>
            <w:tcW w:w="530" w:type="dxa"/>
            <w:vAlign w:val="center"/>
          </w:tcPr>
          <w:p w14:paraId="4381D054">
            <w:pPr>
              <w:pStyle w:val="33"/>
              <w:rPr>
                <w:color w:val="auto"/>
              </w:rPr>
            </w:pPr>
            <w:r>
              <w:rPr>
                <w:color w:val="auto"/>
              </w:rPr>
              <w:t>√</w:t>
            </w:r>
          </w:p>
        </w:tc>
        <w:tc>
          <w:tcPr>
            <w:tcW w:w="530" w:type="dxa"/>
            <w:vAlign w:val="center"/>
          </w:tcPr>
          <w:p w14:paraId="66220A78">
            <w:pPr>
              <w:pStyle w:val="33"/>
              <w:rPr>
                <w:color w:val="auto"/>
              </w:rPr>
            </w:pPr>
          </w:p>
        </w:tc>
        <w:tc>
          <w:tcPr>
            <w:tcW w:w="660" w:type="dxa"/>
            <w:vAlign w:val="center"/>
          </w:tcPr>
          <w:p w14:paraId="42F88346">
            <w:pPr>
              <w:pStyle w:val="33"/>
              <w:rPr>
                <w:color w:val="auto"/>
              </w:rPr>
            </w:pPr>
            <w:r>
              <w:rPr>
                <w:color w:val="auto"/>
              </w:rPr>
              <w:t>√</w:t>
            </w:r>
          </w:p>
        </w:tc>
        <w:tc>
          <w:tcPr>
            <w:tcW w:w="441" w:type="dxa"/>
            <w:vAlign w:val="center"/>
          </w:tcPr>
          <w:p w14:paraId="52D0DA90">
            <w:pPr>
              <w:pStyle w:val="33"/>
              <w:rPr>
                <w:color w:val="auto"/>
              </w:rPr>
            </w:pPr>
          </w:p>
        </w:tc>
        <w:tc>
          <w:tcPr>
            <w:tcW w:w="421" w:type="dxa"/>
            <w:vAlign w:val="center"/>
          </w:tcPr>
          <w:p w14:paraId="315DA0C1">
            <w:pPr>
              <w:pStyle w:val="33"/>
              <w:rPr>
                <w:color w:val="auto"/>
              </w:rPr>
            </w:pPr>
            <w:r>
              <w:rPr>
                <w:color w:val="auto"/>
              </w:rPr>
              <w:t>√</w:t>
            </w:r>
          </w:p>
        </w:tc>
        <w:tc>
          <w:tcPr>
            <w:tcW w:w="421" w:type="dxa"/>
            <w:vAlign w:val="center"/>
          </w:tcPr>
          <w:p w14:paraId="6FECC8CD">
            <w:pPr>
              <w:pStyle w:val="33"/>
              <w:rPr>
                <w:color w:val="auto"/>
              </w:rPr>
            </w:pPr>
            <w:r>
              <w:rPr>
                <w:color w:val="auto"/>
              </w:rPr>
              <w:t>√</w:t>
            </w:r>
          </w:p>
        </w:tc>
        <w:tc>
          <w:tcPr>
            <w:tcW w:w="421" w:type="dxa"/>
            <w:vAlign w:val="center"/>
          </w:tcPr>
          <w:p w14:paraId="69E0659E">
            <w:pPr>
              <w:pStyle w:val="33"/>
              <w:rPr>
                <w:color w:val="auto"/>
              </w:rPr>
            </w:pPr>
          </w:p>
        </w:tc>
        <w:tc>
          <w:tcPr>
            <w:tcW w:w="421" w:type="dxa"/>
            <w:vAlign w:val="center"/>
          </w:tcPr>
          <w:p w14:paraId="60A7560F">
            <w:pPr>
              <w:pStyle w:val="33"/>
              <w:rPr>
                <w:color w:val="auto"/>
              </w:rPr>
            </w:pPr>
            <w:r>
              <w:rPr>
                <w:color w:val="auto"/>
              </w:rPr>
              <w:t>√</w:t>
            </w:r>
          </w:p>
        </w:tc>
        <w:tc>
          <w:tcPr>
            <w:tcW w:w="421" w:type="dxa"/>
            <w:vAlign w:val="center"/>
          </w:tcPr>
          <w:p w14:paraId="0E9D5A5D">
            <w:pPr>
              <w:pStyle w:val="33"/>
              <w:rPr>
                <w:color w:val="auto"/>
              </w:rPr>
            </w:pPr>
          </w:p>
        </w:tc>
        <w:tc>
          <w:tcPr>
            <w:tcW w:w="612" w:type="dxa"/>
            <w:vAlign w:val="center"/>
          </w:tcPr>
          <w:p w14:paraId="45A05E41">
            <w:pPr>
              <w:pStyle w:val="33"/>
              <w:rPr>
                <w:color w:val="auto"/>
              </w:rPr>
            </w:pPr>
          </w:p>
        </w:tc>
        <w:tc>
          <w:tcPr>
            <w:tcW w:w="571" w:type="dxa"/>
            <w:vAlign w:val="center"/>
          </w:tcPr>
          <w:p w14:paraId="344CAD7E">
            <w:pPr>
              <w:pStyle w:val="33"/>
              <w:rPr>
                <w:color w:val="auto"/>
              </w:rPr>
            </w:pPr>
            <w:r>
              <w:rPr>
                <w:rFonts w:hint="eastAsia"/>
                <w:color w:val="auto"/>
              </w:rPr>
              <w:t>√</w:t>
            </w:r>
          </w:p>
        </w:tc>
        <w:tc>
          <w:tcPr>
            <w:tcW w:w="398" w:type="dxa"/>
            <w:vAlign w:val="center"/>
          </w:tcPr>
          <w:p w14:paraId="7CA8985B">
            <w:pPr>
              <w:pStyle w:val="33"/>
              <w:rPr>
                <w:color w:val="auto"/>
              </w:rPr>
            </w:pPr>
          </w:p>
        </w:tc>
        <w:tc>
          <w:tcPr>
            <w:tcW w:w="398" w:type="dxa"/>
            <w:vAlign w:val="center"/>
          </w:tcPr>
          <w:p w14:paraId="6AE9D63D">
            <w:pPr>
              <w:pStyle w:val="33"/>
              <w:rPr>
                <w:color w:val="auto"/>
              </w:rPr>
            </w:pPr>
          </w:p>
        </w:tc>
        <w:tc>
          <w:tcPr>
            <w:tcW w:w="453" w:type="dxa"/>
            <w:vAlign w:val="center"/>
          </w:tcPr>
          <w:p w14:paraId="27CCD3AE">
            <w:pPr>
              <w:pStyle w:val="33"/>
              <w:rPr>
                <w:color w:val="auto"/>
              </w:rPr>
            </w:pPr>
          </w:p>
        </w:tc>
      </w:tr>
    </w:tbl>
    <w:p w14:paraId="681F7ED2">
      <w:pPr>
        <w:ind w:firstLine="480"/>
        <w:rPr>
          <w:color w:val="auto"/>
        </w:rPr>
      </w:pPr>
    </w:p>
    <w:p w14:paraId="6B556CDA">
      <w:pPr>
        <w:ind w:firstLine="480"/>
        <w:rPr>
          <w:rFonts w:ascii="Calibri" w:hAnsi="Calibri"/>
          <w:color w:val="auto"/>
        </w:rPr>
      </w:pPr>
      <w:r>
        <w:rPr>
          <w:rFonts w:hint="eastAsia"/>
          <w:color w:val="auto"/>
        </w:rPr>
        <w:t>项目的实施，对环境的影响是综合性的。这些影响，既有可逆影响，也有不可逆影响；主要有短期影响；既有直接影响，也有间接影响；既有局部影响，也有区域影响</w:t>
      </w:r>
      <w:r>
        <w:rPr>
          <w:color w:val="auto"/>
        </w:rPr>
        <w:t>。</w:t>
      </w:r>
    </w:p>
    <w:p w14:paraId="473DE586">
      <w:pPr>
        <w:pStyle w:val="4"/>
        <w:rPr>
          <w:rFonts w:cs="Times New Roman"/>
          <w:color w:val="auto"/>
        </w:rPr>
      </w:pPr>
      <w:bookmarkStart w:id="62" w:name="_Toc198391175"/>
      <w:bookmarkStart w:id="63" w:name="_Toc199190414"/>
      <w:bookmarkStart w:id="64" w:name="_Toc225216655"/>
      <w:bookmarkStart w:id="65" w:name="_Toc199168877"/>
      <w:bookmarkStart w:id="66" w:name="_Toc198390522"/>
      <w:r>
        <w:rPr>
          <w:rFonts w:cs="Times New Roman"/>
          <w:color w:val="auto"/>
        </w:rPr>
        <w:t>评价因子筛选</w:t>
      </w:r>
      <w:bookmarkEnd w:id="62"/>
      <w:bookmarkEnd w:id="63"/>
      <w:bookmarkEnd w:id="64"/>
      <w:bookmarkEnd w:id="65"/>
      <w:bookmarkEnd w:id="66"/>
    </w:p>
    <w:p w14:paraId="2C9B291C">
      <w:pPr>
        <w:ind w:firstLine="480"/>
        <w:rPr>
          <w:rFonts w:cs="Times New Roman"/>
          <w:color w:val="auto"/>
        </w:rPr>
      </w:pPr>
      <w:r>
        <w:rPr>
          <w:rFonts w:cs="Times New Roman"/>
          <w:color w:val="auto"/>
        </w:rPr>
        <w:t>根据项目产排污特点、环境状况特征和环境影响识别，项目评价因子筛选结果见下</w:t>
      </w:r>
      <w:r>
        <w:rPr>
          <w:rFonts w:cs="Times New Roman"/>
          <w:color w:val="auto"/>
        </w:rPr>
        <w:fldChar w:fldCharType="begin"/>
      </w:r>
      <w:r>
        <w:rPr>
          <w:rFonts w:cs="Times New Roman"/>
          <w:color w:val="auto"/>
        </w:rPr>
        <w:instrText xml:space="preserve"> REF _Ref185008179 \r \h  \* MERGEFORMAT </w:instrText>
      </w:r>
      <w:r>
        <w:rPr>
          <w:rFonts w:cs="Times New Roman"/>
          <w:color w:val="auto"/>
        </w:rPr>
        <w:fldChar w:fldCharType="separate"/>
      </w:r>
      <w:r>
        <w:rPr>
          <w:rFonts w:hint="eastAsia" w:cs="Times New Roman"/>
          <w:color w:val="auto"/>
        </w:rPr>
        <w:t>表</w:t>
      </w:r>
      <w:r>
        <w:rPr>
          <w:rFonts w:cs="Times New Roman"/>
          <w:color w:val="auto"/>
        </w:rPr>
        <w:fldChar w:fldCharType="end"/>
      </w:r>
      <w:r>
        <w:rPr>
          <w:rFonts w:cs="Times New Roman"/>
          <w:color w:val="auto"/>
        </w:rPr>
        <w:t>。</w:t>
      </w:r>
    </w:p>
    <w:p w14:paraId="5784F26F">
      <w:pPr>
        <w:pStyle w:val="7"/>
        <w:rPr>
          <w:color w:val="auto"/>
        </w:rPr>
      </w:pPr>
      <w:bookmarkStart w:id="67" w:name="_Ref185008179"/>
      <w:r>
        <w:rPr>
          <w:rFonts w:hint="eastAsia"/>
          <w:color w:val="auto"/>
        </w:rPr>
        <w:t>拟建项目环境影响因子识别</w:t>
      </w:r>
      <w:r>
        <w:rPr>
          <w:color w:val="auto"/>
        </w:rPr>
        <w:t>表</w:t>
      </w:r>
      <w:bookmarkEnd w:id="67"/>
    </w:p>
    <w:tbl>
      <w:tblPr>
        <w:tblStyle w:val="26"/>
        <w:tblW w:w="917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199"/>
        <w:gridCol w:w="1200"/>
        <w:gridCol w:w="4598"/>
        <w:gridCol w:w="2175"/>
      </w:tblGrid>
      <w:tr w14:paraId="770E4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691" w:hRule="atLeast"/>
          <w:tblHeader/>
        </w:trPr>
        <w:tc>
          <w:tcPr>
            <w:tcW w:w="1199" w:type="dxa"/>
            <w:vAlign w:val="center"/>
          </w:tcPr>
          <w:p w14:paraId="22556F4E">
            <w:pPr>
              <w:pStyle w:val="33"/>
              <w:rPr>
                <w:color w:val="auto"/>
              </w:rPr>
            </w:pPr>
            <w:r>
              <w:rPr>
                <w:color w:val="auto"/>
              </w:rPr>
              <w:t>工程阶段</w:t>
            </w:r>
          </w:p>
        </w:tc>
        <w:tc>
          <w:tcPr>
            <w:tcW w:w="1200" w:type="dxa"/>
            <w:vAlign w:val="center"/>
          </w:tcPr>
          <w:p w14:paraId="429BDB27">
            <w:pPr>
              <w:pStyle w:val="33"/>
              <w:rPr>
                <w:color w:val="auto"/>
              </w:rPr>
            </w:pPr>
            <w:r>
              <w:rPr>
                <w:color w:val="auto"/>
              </w:rPr>
              <w:t>环境要素</w:t>
            </w:r>
          </w:p>
        </w:tc>
        <w:tc>
          <w:tcPr>
            <w:tcW w:w="4598" w:type="dxa"/>
            <w:vAlign w:val="center"/>
          </w:tcPr>
          <w:p w14:paraId="70333C82">
            <w:pPr>
              <w:pStyle w:val="33"/>
              <w:rPr>
                <w:color w:val="auto"/>
              </w:rPr>
            </w:pPr>
            <w:r>
              <w:rPr>
                <w:color w:val="auto"/>
              </w:rPr>
              <w:t>现状评价因子</w:t>
            </w:r>
          </w:p>
        </w:tc>
        <w:tc>
          <w:tcPr>
            <w:tcW w:w="2175" w:type="dxa"/>
            <w:vAlign w:val="center"/>
          </w:tcPr>
          <w:p w14:paraId="78A54328">
            <w:pPr>
              <w:pStyle w:val="33"/>
              <w:rPr>
                <w:color w:val="auto"/>
              </w:rPr>
            </w:pPr>
            <w:r>
              <w:rPr>
                <w:color w:val="auto"/>
              </w:rPr>
              <w:t>影响预测因子</w:t>
            </w:r>
          </w:p>
        </w:tc>
      </w:tr>
      <w:tr w14:paraId="238A9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exact"/>
        </w:trPr>
        <w:tc>
          <w:tcPr>
            <w:tcW w:w="1199" w:type="dxa"/>
            <w:vMerge w:val="restart"/>
            <w:vAlign w:val="center"/>
          </w:tcPr>
          <w:p w14:paraId="78C00449">
            <w:pPr>
              <w:pStyle w:val="33"/>
              <w:rPr>
                <w:color w:val="auto"/>
              </w:rPr>
            </w:pPr>
            <w:r>
              <w:rPr>
                <w:color w:val="auto"/>
              </w:rPr>
              <w:t>施工期</w:t>
            </w:r>
          </w:p>
        </w:tc>
        <w:tc>
          <w:tcPr>
            <w:tcW w:w="1200" w:type="dxa"/>
            <w:vAlign w:val="center"/>
          </w:tcPr>
          <w:p w14:paraId="797168EA">
            <w:pPr>
              <w:pStyle w:val="33"/>
              <w:rPr>
                <w:color w:val="auto"/>
              </w:rPr>
            </w:pPr>
            <w:r>
              <w:rPr>
                <w:color w:val="auto"/>
              </w:rPr>
              <w:t>大气环境</w:t>
            </w:r>
          </w:p>
        </w:tc>
        <w:tc>
          <w:tcPr>
            <w:tcW w:w="4598" w:type="dxa"/>
            <w:vAlign w:val="center"/>
          </w:tcPr>
          <w:p w14:paraId="0ED2D7B7">
            <w:pPr>
              <w:pStyle w:val="33"/>
              <w:rPr>
                <w:color w:val="auto"/>
              </w:rPr>
            </w:pPr>
            <w:r>
              <w:rPr>
                <w:color w:val="auto"/>
              </w:rPr>
              <w:t>TSP</w:t>
            </w:r>
          </w:p>
        </w:tc>
        <w:tc>
          <w:tcPr>
            <w:tcW w:w="2175" w:type="dxa"/>
            <w:vAlign w:val="center"/>
          </w:tcPr>
          <w:p w14:paraId="49AA40F3">
            <w:pPr>
              <w:pStyle w:val="33"/>
              <w:rPr>
                <w:color w:val="auto"/>
              </w:rPr>
            </w:pPr>
            <w:r>
              <w:rPr>
                <w:color w:val="auto"/>
              </w:rPr>
              <w:t>/</w:t>
            </w:r>
          </w:p>
        </w:tc>
      </w:tr>
      <w:tr w14:paraId="011EE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exact"/>
        </w:trPr>
        <w:tc>
          <w:tcPr>
            <w:tcW w:w="1199" w:type="dxa"/>
            <w:vMerge w:val="continue"/>
            <w:vAlign w:val="center"/>
          </w:tcPr>
          <w:p w14:paraId="15CFCF7E">
            <w:pPr>
              <w:pStyle w:val="33"/>
              <w:rPr>
                <w:color w:val="auto"/>
              </w:rPr>
            </w:pPr>
          </w:p>
        </w:tc>
        <w:tc>
          <w:tcPr>
            <w:tcW w:w="1200" w:type="dxa"/>
            <w:vAlign w:val="center"/>
          </w:tcPr>
          <w:p w14:paraId="6057DA9B">
            <w:pPr>
              <w:pStyle w:val="33"/>
              <w:rPr>
                <w:color w:val="auto"/>
              </w:rPr>
            </w:pPr>
            <w:r>
              <w:rPr>
                <w:color w:val="auto"/>
              </w:rPr>
              <w:t>水环境</w:t>
            </w:r>
          </w:p>
        </w:tc>
        <w:tc>
          <w:tcPr>
            <w:tcW w:w="4598" w:type="dxa"/>
            <w:vAlign w:val="center"/>
          </w:tcPr>
          <w:p w14:paraId="256A513D">
            <w:pPr>
              <w:pStyle w:val="33"/>
              <w:rPr>
                <w:color w:val="auto"/>
              </w:rPr>
            </w:pPr>
            <w:r>
              <w:rPr>
                <w:color w:val="auto"/>
              </w:rPr>
              <w:t>COD、SS</w:t>
            </w:r>
          </w:p>
        </w:tc>
        <w:tc>
          <w:tcPr>
            <w:tcW w:w="2175" w:type="dxa"/>
            <w:vAlign w:val="center"/>
          </w:tcPr>
          <w:p w14:paraId="7ABB5E55">
            <w:pPr>
              <w:pStyle w:val="33"/>
              <w:rPr>
                <w:color w:val="auto"/>
              </w:rPr>
            </w:pPr>
            <w:r>
              <w:rPr>
                <w:color w:val="auto"/>
              </w:rPr>
              <w:t>/</w:t>
            </w:r>
          </w:p>
        </w:tc>
      </w:tr>
      <w:tr w14:paraId="6B36F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exact"/>
        </w:trPr>
        <w:tc>
          <w:tcPr>
            <w:tcW w:w="1199" w:type="dxa"/>
            <w:vMerge w:val="continue"/>
            <w:vAlign w:val="center"/>
          </w:tcPr>
          <w:p w14:paraId="197EA86E">
            <w:pPr>
              <w:pStyle w:val="33"/>
              <w:rPr>
                <w:color w:val="auto"/>
              </w:rPr>
            </w:pPr>
          </w:p>
        </w:tc>
        <w:tc>
          <w:tcPr>
            <w:tcW w:w="1200" w:type="dxa"/>
            <w:vAlign w:val="center"/>
          </w:tcPr>
          <w:p w14:paraId="2B104035">
            <w:pPr>
              <w:pStyle w:val="33"/>
              <w:rPr>
                <w:color w:val="auto"/>
              </w:rPr>
            </w:pPr>
            <w:r>
              <w:rPr>
                <w:color w:val="auto"/>
              </w:rPr>
              <w:t>声环境</w:t>
            </w:r>
          </w:p>
        </w:tc>
        <w:tc>
          <w:tcPr>
            <w:tcW w:w="4598" w:type="dxa"/>
            <w:vAlign w:val="center"/>
          </w:tcPr>
          <w:p w14:paraId="297BF1BB">
            <w:pPr>
              <w:pStyle w:val="33"/>
              <w:rPr>
                <w:color w:val="auto"/>
              </w:rPr>
            </w:pPr>
            <w:r>
              <w:rPr>
                <w:color w:val="auto"/>
              </w:rPr>
              <w:t>等效连续A声级</w:t>
            </w:r>
          </w:p>
        </w:tc>
        <w:tc>
          <w:tcPr>
            <w:tcW w:w="2175" w:type="dxa"/>
            <w:vAlign w:val="center"/>
          </w:tcPr>
          <w:p w14:paraId="12F5652C">
            <w:pPr>
              <w:pStyle w:val="33"/>
              <w:rPr>
                <w:color w:val="auto"/>
              </w:rPr>
            </w:pPr>
            <w:r>
              <w:rPr>
                <w:color w:val="auto"/>
              </w:rPr>
              <w:t>/</w:t>
            </w:r>
          </w:p>
        </w:tc>
      </w:tr>
      <w:tr w14:paraId="2DF58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exact"/>
        </w:trPr>
        <w:tc>
          <w:tcPr>
            <w:tcW w:w="1199" w:type="dxa"/>
            <w:vMerge w:val="continue"/>
            <w:vAlign w:val="center"/>
          </w:tcPr>
          <w:p w14:paraId="36A4266F">
            <w:pPr>
              <w:pStyle w:val="33"/>
              <w:rPr>
                <w:color w:val="auto"/>
              </w:rPr>
            </w:pPr>
          </w:p>
        </w:tc>
        <w:tc>
          <w:tcPr>
            <w:tcW w:w="1200" w:type="dxa"/>
            <w:vAlign w:val="center"/>
          </w:tcPr>
          <w:p w14:paraId="52633EEC">
            <w:pPr>
              <w:pStyle w:val="33"/>
              <w:rPr>
                <w:color w:val="auto"/>
              </w:rPr>
            </w:pPr>
            <w:r>
              <w:rPr>
                <w:color w:val="auto"/>
              </w:rPr>
              <w:t>生态环境</w:t>
            </w:r>
          </w:p>
        </w:tc>
        <w:tc>
          <w:tcPr>
            <w:tcW w:w="4598" w:type="dxa"/>
            <w:vAlign w:val="center"/>
          </w:tcPr>
          <w:p w14:paraId="4471D254">
            <w:pPr>
              <w:pStyle w:val="33"/>
              <w:rPr>
                <w:color w:val="auto"/>
              </w:rPr>
            </w:pPr>
            <w:r>
              <w:rPr>
                <w:color w:val="auto"/>
              </w:rPr>
              <w:t>水土流失</w:t>
            </w:r>
          </w:p>
        </w:tc>
        <w:tc>
          <w:tcPr>
            <w:tcW w:w="2175" w:type="dxa"/>
            <w:vAlign w:val="center"/>
          </w:tcPr>
          <w:p w14:paraId="5D9EBE40">
            <w:pPr>
              <w:pStyle w:val="33"/>
              <w:rPr>
                <w:color w:val="auto"/>
              </w:rPr>
            </w:pPr>
            <w:r>
              <w:rPr>
                <w:color w:val="auto"/>
              </w:rPr>
              <w:t>/</w:t>
            </w:r>
          </w:p>
        </w:tc>
      </w:tr>
      <w:tr w14:paraId="1D3B3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1493" w:hRule="exact"/>
        </w:trPr>
        <w:tc>
          <w:tcPr>
            <w:tcW w:w="1199" w:type="dxa"/>
            <w:vMerge w:val="restart"/>
            <w:vAlign w:val="center"/>
          </w:tcPr>
          <w:p w14:paraId="3E3C8FA3">
            <w:pPr>
              <w:pStyle w:val="33"/>
              <w:rPr>
                <w:color w:val="auto"/>
              </w:rPr>
            </w:pPr>
            <w:r>
              <w:rPr>
                <w:color w:val="auto"/>
              </w:rPr>
              <w:t>营运期</w:t>
            </w:r>
          </w:p>
        </w:tc>
        <w:tc>
          <w:tcPr>
            <w:tcW w:w="1200" w:type="dxa"/>
            <w:vAlign w:val="center"/>
          </w:tcPr>
          <w:p w14:paraId="345F41EC">
            <w:pPr>
              <w:pStyle w:val="33"/>
              <w:rPr>
                <w:color w:val="auto"/>
              </w:rPr>
            </w:pPr>
            <w:r>
              <w:rPr>
                <w:color w:val="auto"/>
              </w:rPr>
              <w:t>大气环境</w:t>
            </w:r>
          </w:p>
        </w:tc>
        <w:tc>
          <w:tcPr>
            <w:tcW w:w="4598" w:type="dxa"/>
            <w:vAlign w:val="center"/>
          </w:tcPr>
          <w:p w14:paraId="4570CF2E">
            <w:pPr>
              <w:pStyle w:val="33"/>
              <w:rPr>
                <w:color w:val="auto"/>
              </w:rPr>
            </w:pPr>
            <w:r>
              <w:rPr>
                <w:color w:val="auto"/>
              </w:rPr>
              <w:t>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w:t>
            </w:r>
            <w:r>
              <w:rPr>
                <w:color w:val="auto"/>
              </w:rPr>
              <w:t>HC</w:t>
            </w:r>
            <w:r>
              <w:rPr>
                <w:rFonts w:hint="eastAsia"/>
                <w:color w:val="auto"/>
              </w:rPr>
              <w:t>l、非甲烷总烃、T</w:t>
            </w:r>
            <w:r>
              <w:rPr>
                <w:color w:val="auto"/>
              </w:rPr>
              <w:t>SP</w:t>
            </w:r>
            <w:r>
              <w:rPr>
                <w:rFonts w:hint="eastAsia"/>
                <w:color w:val="auto"/>
              </w:rPr>
              <w:t>、Cl</w:t>
            </w:r>
            <w:r>
              <w:rPr>
                <w:rFonts w:hint="eastAsia"/>
                <w:color w:val="auto"/>
                <w:vertAlign w:val="subscript"/>
              </w:rPr>
              <w:t>2</w:t>
            </w:r>
            <w:r>
              <w:rPr>
                <w:rFonts w:hint="eastAsia"/>
                <w:color w:val="auto"/>
              </w:rPr>
              <w:t>、臭气浓度</w:t>
            </w:r>
          </w:p>
        </w:tc>
        <w:tc>
          <w:tcPr>
            <w:tcW w:w="2175" w:type="dxa"/>
            <w:vAlign w:val="center"/>
          </w:tcPr>
          <w:p w14:paraId="13C8E663">
            <w:pPr>
              <w:pStyle w:val="33"/>
              <w:rPr>
                <w:color w:val="auto"/>
              </w:rPr>
            </w:pPr>
            <w:r>
              <w:rPr>
                <w:snapToGrid w:val="0"/>
                <w:color w:val="auto"/>
              </w:rPr>
              <w:t>SO</w:t>
            </w:r>
            <w:r>
              <w:rPr>
                <w:snapToGrid w:val="0"/>
                <w:color w:val="auto"/>
                <w:vertAlign w:val="subscript"/>
              </w:rPr>
              <w:t>2</w:t>
            </w:r>
            <w:r>
              <w:rPr>
                <w:snapToGrid w:val="0"/>
                <w:color w:val="auto"/>
              </w:rPr>
              <w:t>、NO</w:t>
            </w:r>
            <w:r>
              <w:rPr>
                <w:snapToGrid w:val="0"/>
                <w:color w:val="auto"/>
                <w:vertAlign w:val="subscript"/>
              </w:rPr>
              <w:t>2</w:t>
            </w:r>
            <w:r>
              <w:rPr>
                <w:snapToGrid w:val="0"/>
                <w:color w:val="auto"/>
              </w:rPr>
              <w:t>、PM</w:t>
            </w:r>
            <w:r>
              <w:rPr>
                <w:snapToGrid w:val="0"/>
                <w:color w:val="auto"/>
                <w:vertAlign w:val="subscript"/>
              </w:rPr>
              <w:t>10</w:t>
            </w:r>
            <w:r>
              <w:rPr>
                <w:snapToGrid w:val="0"/>
                <w:color w:val="auto"/>
              </w:rPr>
              <w:t>、PM</w:t>
            </w:r>
            <w:r>
              <w:rPr>
                <w:snapToGrid w:val="0"/>
                <w:color w:val="auto"/>
                <w:vertAlign w:val="subscript"/>
              </w:rPr>
              <w:t>2.5</w:t>
            </w:r>
            <w:r>
              <w:rPr>
                <w:snapToGrid w:val="0"/>
                <w:color w:val="auto"/>
              </w:rPr>
              <w:t>、H</w:t>
            </w:r>
            <w:r>
              <w:rPr>
                <w:snapToGrid w:val="0"/>
                <w:color w:val="auto"/>
                <w:vertAlign w:val="subscript"/>
              </w:rPr>
              <w:t>2</w:t>
            </w:r>
            <w:r>
              <w:rPr>
                <w:snapToGrid w:val="0"/>
                <w:color w:val="auto"/>
              </w:rPr>
              <w:t>S、TSP、NH</w:t>
            </w:r>
            <w:r>
              <w:rPr>
                <w:snapToGrid w:val="0"/>
                <w:color w:val="auto"/>
                <w:vertAlign w:val="subscript"/>
              </w:rPr>
              <w:t>3</w:t>
            </w:r>
            <w:r>
              <w:rPr>
                <w:rFonts w:hint="eastAsia"/>
                <w:snapToGrid w:val="0"/>
                <w:color w:val="auto"/>
              </w:rPr>
              <w:t>、非甲烷总烃</w:t>
            </w:r>
          </w:p>
        </w:tc>
      </w:tr>
      <w:tr w14:paraId="3043C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Pr>
        <w:tc>
          <w:tcPr>
            <w:tcW w:w="1199" w:type="dxa"/>
            <w:vMerge w:val="continue"/>
            <w:vAlign w:val="center"/>
          </w:tcPr>
          <w:p w14:paraId="0326ABE0">
            <w:pPr>
              <w:pStyle w:val="33"/>
              <w:rPr>
                <w:color w:val="auto"/>
              </w:rPr>
            </w:pPr>
          </w:p>
        </w:tc>
        <w:tc>
          <w:tcPr>
            <w:tcW w:w="1200" w:type="dxa"/>
            <w:vAlign w:val="center"/>
          </w:tcPr>
          <w:p w14:paraId="7D9C6D23">
            <w:pPr>
              <w:pStyle w:val="33"/>
              <w:rPr>
                <w:color w:val="auto"/>
              </w:rPr>
            </w:pPr>
            <w:r>
              <w:rPr>
                <w:rFonts w:hint="eastAsia"/>
                <w:color w:val="auto"/>
              </w:rPr>
              <w:t>海洋</w:t>
            </w:r>
            <w:r>
              <w:rPr>
                <w:color w:val="auto"/>
              </w:rPr>
              <w:t>环境</w:t>
            </w:r>
          </w:p>
        </w:tc>
        <w:tc>
          <w:tcPr>
            <w:tcW w:w="4598" w:type="dxa"/>
            <w:vAlign w:val="center"/>
          </w:tcPr>
          <w:p w14:paraId="7513E3D5">
            <w:pPr>
              <w:pStyle w:val="33"/>
              <w:jc w:val="both"/>
              <w:rPr>
                <w:rFonts w:cs="Times New Roman"/>
                <w:color w:val="auto"/>
                <w:szCs w:val="21"/>
              </w:rPr>
            </w:pPr>
            <w:r>
              <w:rPr>
                <w:rFonts w:cs="Times New Roman"/>
                <w:color w:val="auto"/>
                <w:szCs w:val="21"/>
                <w:lang w:val="zh-CN"/>
              </w:rPr>
              <w:t>海洋水质：pH、</w:t>
            </w:r>
            <w:r>
              <w:rPr>
                <w:rFonts w:cs="Times New Roman"/>
                <w:color w:val="auto"/>
                <w:szCs w:val="21"/>
              </w:rPr>
              <w:t>水温</w:t>
            </w:r>
            <w:r>
              <w:rPr>
                <w:rFonts w:cs="Times New Roman"/>
                <w:color w:val="auto"/>
                <w:szCs w:val="21"/>
                <w:lang w:val="zh-CN"/>
              </w:rPr>
              <w:t>、</w:t>
            </w:r>
            <w:r>
              <w:rPr>
                <w:rFonts w:cs="Times New Roman"/>
                <w:color w:val="auto"/>
                <w:szCs w:val="21"/>
              </w:rPr>
              <w:t>盐度</w:t>
            </w:r>
            <w:r>
              <w:rPr>
                <w:rFonts w:cs="Times New Roman"/>
                <w:color w:val="auto"/>
                <w:szCs w:val="21"/>
                <w:lang w:val="zh-CN"/>
              </w:rPr>
              <w:t>、</w:t>
            </w:r>
            <w:r>
              <w:rPr>
                <w:rFonts w:cs="Times New Roman"/>
                <w:color w:val="auto"/>
                <w:szCs w:val="21"/>
              </w:rPr>
              <w:t>悬浮物</w:t>
            </w:r>
            <w:r>
              <w:rPr>
                <w:rFonts w:cs="Times New Roman"/>
                <w:color w:val="auto"/>
                <w:szCs w:val="21"/>
                <w:lang w:val="zh-CN"/>
              </w:rPr>
              <w:t>、</w:t>
            </w:r>
            <w:r>
              <w:rPr>
                <w:rFonts w:cs="Times New Roman"/>
                <w:color w:val="auto"/>
                <w:szCs w:val="21"/>
              </w:rPr>
              <w:t>溶解氧</w:t>
            </w:r>
            <w:r>
              <w:rPr>
                <w:rFonts w:cs="Times New Roman"/>
                <w:color w:val="auto"/>
                <w:szCs w:val="21"/>
                <w:lang w:val="zh-CN"/>
              </w:rPr>
              <w:t>、</w:t>
            </w:r>
            <w:r>
              <w:rPr>
                <w:rFonts w:cs="Times New Roman"/>
                <w:color w:val="auto"/>
                <w:szCs w:val="21"/>
              </w:rPr>
              <w:t>无机氮</w:t>
            </w:r>
            <w:r>
              <w:rPr>
                <w:rFonts w:cs="Times New Roman"/>
                <w:color w:val="auto"/>
                <w:szCs w:val="21"/>
                <w:lang w:val="zh-CN"/>
              </w:rPr>
              <w:t>、</w:t>
            </w:r>
            <w:r>
              <w:rPr>
                <w:rFonts w:cs="Times New Roman"/>
                <w:color w:val="auto"/>
                <w:szCs w:val="21"/>
              </w:rPr>
              <w:t>活性磷酸盐</w:t>
            </w:r>
            <w:r>
              <w:rPr>
                <w:rFonts w:cs="Times New Roman"/>
                <w:color w:val="auto"/>
                <w:szCs w:val="21"/>
                <w:lang w:val="zh-CN"/>
              </w:rPr>
              <w:t>、</w:t>
            </w:r>
            <w:r>
              <w:rPr>
                <w:rFonts w:cs="Times New Roman"/>
                <w:color w:val="auto"/>
                <w:szCs w:val="21"/>
              </w:rPr>
              <w:t>油类</w:t>
            </w:r>
            <w:r>
              <w:rPr>
                <w:rFonts w:cs="Times New Roman"/>
                <w:color w:val="auto"/>
                <w:szCs w:val="21"/>
                <w:lang w:val="zh-CN"/>
              </w:rPr>
              <w:t>、</w:t>
            </w:r>
            <w:r>
              <w:rPr>
                <w:rFonts w:cs="Times New Roman"/>
                <w:color w:val="auto"/>
                <w:szCs w:val="21"/>
              </w:rPr>
              <w:t>铜</w:t>
            </w:r>
            <w:r>
              <w:rPr>
                <w:rFonts w:cs="Times New Roman"/>
                <w:color w:val="auto"/>
                <w:szCs w:val="21"/>
                <w:lang w:val="zh-CN"/>
              </w:rPr>
              <w:t>、</w:t>
            </w:r>
            <w:r>
              <w:rPr>
                <w:rFonts w:cs="Times New Roman"/>
                <w:color w:val="auto"/>
                <w:szCs w:val="21"/>
              </w:rPr>
              <w:t>铅</w:t>
            </w:r>
            <w:r>
              <w:rPr>
                <w:rFonts w:cs="Times New Roman"/>
                <w:color w:val="auto"/>
                <w:szCs w:val="21"/>
                <w:lang w:val="zh-CN"/>
              </w:rPr>
              <w:t>、</w:t>
            </w:r>
            <w:r>
              <w:rPr>
                <w:rFonts w:cs="Times New Roman"/>
                <w:color w:val="auto"/>
                <w:szCs w:val="21"/>
              </w:rPr>
              <w:t>镉</w:t>
            </w:r>
            <w:r>
              <w:rPr>
                <w:rFonts w:cs="Times New Roman"/>
                <w:color w:val="auto"/>
                <w:szCs w:val="21"/>
                <w:lang w:val="zh-CN"/>
              </w:rPr>
              <w:t>、</w:t>
            </w:r>
            <w:r>
              <w:rPr>
                <w:rFonts w:cs="Times New Roman"/>
                <w:color w:val="auto"/>
                <w:szCs w:val="21"/>
              </w:rPr>
              <w:t>汞</w:t>
            </w:r>
            <w:r>
              <w:rPr>
                <w:rFonts w:cs="Times New Roman"/>
                <w:color w:val="auto"/>
                <w:szCs w:val="21"/>
                <w:lang w:val="zh-CN"/>
              </w:rPr>
              <w:t>、</w:t>
            </w:r>
            <w:r>
              <w:rPr>
                <w:rFonts w:cs="Times New Roman"/>
                <w:color w:val="auto"/>
                <w:szCs w:val="21"/>
              </w:rPr>
              <w:t>锌</w:t>
            </w:r>
            <w:r>
              <w:rPr>
                <w:rFonts w:cs="Times New Roman"/>
                <w:color w:val="auto"/>
                <w:szCs w:val="21"/>
                <w:lang w:val="zh-CN"/>
              </w:rPr>
              <w:t>、</w:t>
            </w:r>
            <w:r>
              <w:rPr>
                <w:rFonts w:cs="Times New Roman"/>
                <w:color w:val="auto"/>
                <w:szCs w:val="21"/>
              </w:rPr>
              <w:t>铬</w:t>
            </w:r>
            <w:r>
              <w:rPr>
                <w:rFonts w:cs="Times New Roman"/>
                <w:color w:val="auto"/>
                <w:szCs w:val="21"/>
                <w:lang w:val="zh-CN"/>
              </w:rPr>
              <w:t>、</w:t>
            </w:r>
            <w:r>
              <w:rPr>
                <w:rFonts w:cs="Times New Roman"/>
                <w:color w:val="auto"/>
                <w:szCs w:val="21"/>
              </w:rPr>
              <w:t>砷</w:t>
            </w:r>
            <w:r>
              <w:rPr>
                <w:rFonts w:cs="Times New Roman"/>
                <w:color w:val="auto"/>
                <w:szCs w:val="21"/>
                <w:lang w:val="zh-CN"/>
              </w:rPr>
              <w:t>、</w:t>
            </w:r>
            <w:r>
              <w:rPr>
                <w:rFonts w:cs="Times New Roman"/>
                <w:color w:val="auto"/>
                <w:szCs w:val="21"/>
              </w:rPr>
              <w:t>镍</w:t>
            </w:r>
            <w:r>
              <w:rPr>
                <w:rFonts w:cs="Times New Roman"/>
                <w:color w:val="auto"/>
                <w:szCs w:val="21"/>
                <w:lang w:val="zh-CN"/>
              </w:rPr>
              <w:t>、</w:t>
            </w:r>
            <w:r>
              <w:rPr>
                <w:rFonts w:cs="Times New Roman"/>
                <w:color w:val="auto"/>
                <w:szCs w:val="21"/>
              </w:rPr>
              <w:t>锰</w:t>
            </w:r>
            <w:r>
              <w:rPr>
                <w:rFonts w:cs="Times New Roman"/>
                <w:color w:val="auto"/>
                <w:szCs w:val="21"/>
                <w:lang w:val="zh-CN"/>
              </w:rPr>
              <w:t>、</w:t>
            </w:r>
            <w:r>
              <w:rPr>
                <w:rFonts w:cs="Times New Roman"/>
                <w:color w:val="auto"/>
                <w:szCs w:val="21"/>
              </w:rPr>
              <w:t>硫酸盐</w:t>
            </w:r>
          </w:p>
          <w:p w14:paraId="17184690">
            <w:pPr>
              <w:pStyle w:val="33"/>
              <w:jc w:val="both"/>
              <w:rPr>
                <w:rFonts w:cs="Times New Roman"/>
                <w:color w:val="auto"/>
                <w:szCs w:val="21"/>
              </w:rPr>
            </w:pPr>
            <w:r>
              <w:rPr>
                <w:rFonts w:cs="Times New Roman"/>
                <w:color w:val="auto"/>
                <w:szCs w:val="21"/>
              </w:rPr>
              <w:t>海洋沉积物：硫化物、石油类、有机碳、汞、铜、铅、镉、锌、铬、铅、镍、锑</w:t>
            </w:r>
          </w:p>
          <w:p w14:paraId="1957B03F">
            <w:pPr>
              <w:pStyle w:val="33"/>
              <w:jc w:val="both"/>
              <w:rPr>
                <w:color w:val="auto"/>
              </w:rPr>
            </w:pPr>
            <w:r>
              <w:rPr>
                <w:rFonts w:cs="Times New Roman"/>
                <w:color w:val="auto"/>
                <w:szCs w:val="21"/>
              </w:rPr>
              <w:t>海洋生物质量：海洋生物为鱼和牡蛎，</w:t>
            </w:r>
            <w:r>
              <w:rPr>
                <w:rFonts w:cs="Times New Roman"/>
                <w:color w:val="auto"/>
                <w:szCs w:val="21"/>
                <w:lang w:val="zh-CN"/>
              </w:rPr>
              <w:t>监测项目：总汞、铜、铅、锌、铬、镉、砷、石油烃、镍、钴、锰</w:t>
            </w:r>
          </w:p>
        </w:tc>
        <w:tc>
          <w:tcPr>
            <w:tcW w:w="2175" w:type="dxa"/>
            <w:vAlign w:val="center"/>
          </w:tcPr>
          <w:p w14:paraId="541121A0">
            <w:pPr>
              <w:pStyle w:val="33"/>
              <w:rPr>
                <w:color w:val="auto"/>
              </w:rPr>
            </w:pPr>
            <w:r>
              <w:rPr>
                <w:rFonts w:hint="eastAsia"/>
                <w:color w:val="auto"/>
              </w:rPr>
              <w:t>/</w:t>
            </w:r>
          </w:p>
        </w:tc>
      </w:tr>
      <w:tr w14:paraId="0BB37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1381" w:hRule="atLeast"/>
        </w:trPr>
        <w:tc>
          <w:tcPr>
            <w:tcW w:w="1199" w:type="dxa"/>
            <w:vMerge w:val="continue"/>
            <w:vAlign w:val="center"/>
          </w:tcPr>
          <w:p w14:paraId="3458698B">
            <w:pPr>
              <w:pStyle w:val="33"/>
              <w:rPr>
                <w:color w:val="auto"/>
              </w:rPr>
            </w:pPr>
          </w:p>
        </w:tc>
        <w:tc>
          <w:tcPr>
            <w:tcW w:w="1200" w:type="dxa"/>
            <w:vAlign w:val="center"/>
          </w:tcPr>
          <w:p w14:paraId="3ED5BD4E">
            <w:pPr>
              <w:pStyle w:val="33"/>
              <w:rPr>
                <w:color w:val="auto"/>
              </w:rPr>
            </w:pPr>
            <w:r>
              <w:rPr>
                <w:color w:val="auto"/>
              </w:rPr>
              <w:t>地下水环境</w:t>
            </w:r>
          </w:p>
        </w:tc>
        <w:tc>
          <w:tcPr>
            <w:tcW w:w="4598" w:type="dxa"/>
            <w:vAlign w:val="center"/>
          </w:tcPr>
          <w:p w14:paraId="28CC41F0">
            <w:pPr>
              <w:pStyle w:val="33"/>
              <w:jc w:val="both"/>
              <w:rPr>
                <w:color w:val="auto"/>
                <w:szCs w:val="21"/>
              </w:rPr>
            </w:pPr>
            <w:r>
              <w:rPr>
                <w:rFonts w:hint="eastAsia"/>
                <w:color w:val="auto"/>
                <w:szCs w:val="21"/>
              </w:rPr>
              <w:t>K</w:t>
            </w:r>
            <w:r>
              <w:rPr>
                <w:rFonts w:hint="eastAsia"/>
                <w:color w:val="auto"/>
                <w:szCs w:val="21"/>
                <w:vertAlign w:val="superscript"/>
              </w:rPr>
              <w:t>+</w:t>
            </w:r>
            <w:r>
              <w:rPr>
                <w:rFonts w:hint="eastAsia"/>
                <w:color w:val="auto"/>
                <w:szCs w:val="21"/>
              </w:rPr>
              <w:t>、Na</w:t>
            </w:r>
            <w:r>
              <w:rPr>
                <w:rFonts w:hint="eastAsia"/>
                <w:color w:val="auto"/>
                <w:szCs w:val="21"/>
                <w:vertAlign w:val="superscript"/>
              </w:rPr>
              <w:t>+</w:t>
            </w:r>
            <w:r>
              <w:rPr>
                <w:rFonts w:hint="eastAsia"/>
                <w:color w:val="auto"/>
                <w:szCs w:val="21"/>
              </w:rPr>
              <w:t>、Ca</w:t>
            </w:r>
            <w:r>
              <w:rPr>
                <w:rFonts w:hint="eastAsia"/>
                <w:color w:val="auto"/>
                <w:szCs w:val="21"/>
                <w:vertAlign w:val="superscript"/>
              </w:rPr>
              <w:t>2+</w:t>
            </w:r>
            <w:r>
              <w:rPr>
                <w:rFonts w:hint="eastAsia"/>
                <w:color w:val="auto"/>
                <w:szCs w:val="21"/>
              </w:rPr>
              <w:t>、Mg</w:t>
            </w:r>
            <w:r>
              <w:rPr>
                <w:rFonts w:hint="eastAsia"/>
                <w:color w:val="auto"/>
                <w:szCs w:val="21"/>
                <w:vertAlign w:val="superscript"/>
              </w:rPr>
              <w:t>2+</w:t>
            </w:r>
            <w:r>
              <w:rPr>
                <w:rFonts w:hint="eastAsia"/>
                <w:color w:val="auto"/>
                <w:szCs w:val="21"/>
              </w:rPr>
              <w:t>、Cl</w:t>
            </w:r>
            <w:r>
              <w:rPr>
                <w:rFonts w:hint="eastAsia"/>
                <w:color w:val="auto"/>
                <w:szCs w:val="21"/>
                <w:vertAlign w:val="superscript"/>
              </w:rPr>
              <w:t>-</w:t>
            </w:r>
            <w:r>
              <w:rPr>
                <w:rFonts w:hint="eastAsia"/>
                <w:color w:val="auto"/>
                <w:szCs w:val="21"/>
              </w:rPr>
              <w:t>、SO</w:t>
            </w:r>
            <w:r>
              <w:rPr>
                <w:rFonts w:hint="eastAsia"/>
                <w:strike/>
                <w:color w:val="auto"/>
                <w:szCs w:val="21"/>
                <w:vertAlign w:val="subscript"/>
              </w:rPr>
              <w:t>4</w:t>
            </w:r>
            <w:r>
              <w:rPr>
                <w:rFonts w:hint="eastAsia"/>
                <w:color w:val="auto"/>
                <w:szCs w:val="21"/>
                <w:vertAlign w:val="superscript"/>
              </w:rPr>
              <w:t>2-</w:t>
            </w:r>
            <w:r>
              <w:rPr>
                <w:rFonts w:hint="eastAsia"/>
                <w:color w:val="auto"/>
                <w:szCs w:val="21"/>
              </w:rPr>
              <w:t>、CO</w:t>
            </w:r>
            <w:r>
              <w:rPr>
                <w:rFonts w:hint="eastAsia"/>
                <w:color w:val="auto"/>
                <w:szCs w:val="21"/>
                <w:vertAlign w:val="subscript"/>
              </w:rPr>
              <w:t>3</w:t>
            </w:r>
            <w:r>
              <w:rPr>
                <w:rFonts w:hint="eastAsia"/>
                <w:color w:val="auto"/>
                <w:szCs w:val="21"/>
                <w:vertAlign w:val="superscript"/>
              </w:rPr>
              <w:t>2-</w:t>
            </w:r>
            <w:r>
              <w:rPr>
                <w:rFonts w:hint="eastAsia"/>
                <w:color w:val="auto"/>
                <w:szCs w:val="21"/>
              </w:rPr>
              <w:t>、HCO</w:t>
            </w:r>
            <w:r>
              <w:rPr>
                <w:rFonts w:hint="eastAsia"/>
                <w:color w:val="auto"/>
                <w:szCs w:val="21"/>
                <w:vertAlign w:val="subscript"/>
              </w:rPr>
              <w:t>3</w:t>
            </w:r>
            <w:r>
              <w:rPr>
                <w:rFonts w:hint="eastAsia"/>
                <w:color w:val="auto"/>
                <w:szCs w:val="21"/>
                <w:vertAlign w:val="superscript"/>
              </w:rPr>
              <w:t>-</w:t>
            </w:r>
            <w:r>
              <w:rPr>
                <w:rFonts w:hint="eastAsia"/>
                <w:color w:val="auto"/>
                <w:szCs w:val="21"/>
              </w:rPr>
              <w:t>、pH值、氨氮、硝酸盐、亚硝酸盐、挥发性酚类、氰化物、砷、汞、铬（六价）、总硬度、铅、氟、镉、铜、锌、溶解性总固体、高锰酸盐指数、硫酸盐、氯化物、硫化物、阴离子表面活性剂、总磷、二噁英、</w:t>
            </w:r>
            <w:r>
              <w:rPr>
                <w:color w:val="auto"/>
                <w:szCs w:val="21"/>
              </w:rPr>
              <w:t>AOX</w:t>
            </w:r>
          </w:p>
        </w:tc>
        <w:tc>
          <w:tcPr>
            <w:tcW w:w="2175" w:type="dxa"/>
            <w:vAlign w:val="center"/>
          </w:tcPr>
          <w:p w14:paraId="3F0A5D8B">
            <w:pPr>
              <w:pStyle w:val="33"/>
              <w:rPr>
                <w:color w:val="auto"/>
              </w:rPr>
            </w:pPr>
            <w:r>
              <w:rPr>
                <w:color w:val="auto"/>
              </w:rPr>
              <w:t>COD、氨氮</w:t>
            </w:r>
          </w:p>
        </w:tc>
      </w:tr>
      <w:tr w14:paraId="450B5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397" w:hRule="exact"/>
        </w:trPr>
        <w:tc>
          <w:tcPr>
            <w:tcW w:w="1199" w:type="dxa"/>
            <w:vMerge w:val="continue"/>
            <w:vAlign w:val="center"/>
          </w:tcPr>
          <w:p w14:paraId="7DF61B6C">
            <w:pPr>
              <w:pStyle w:val="33"/>
              <w:rPr>
                <w:color w:val="auto"/>
              </w:rPr>
            </w:pPr>
          </w:p>
        </w:tc>
        <w:tc>
          <w:tcPr>
            <w:tcW w:w="1200" w:type="dxa"/>
            <w:vAlign w:val="center"/>
          </w:tcPr>
          <w:p w14:paraId="6586ED20">
            <w:pPr>
              <w:pStyle w:val="33"/>
              <w:rPr>
                <w:color w:val="auto"/>
              </w:rPr>
            </w:pPr>
            <w:r>
              <w:rPr>
                <w:color w:val="auto"/>
              </w:rPr>
              <w:t>声环境</w:t>
            </w:r>
          </w:p>
        </w:tc>
        <w:tc>
          <w:tcPr>
            <w:tcW w:w="4598" w:type="dxa"/>
            <w:vAlign w:val="center"/>
          </w:tcPr>
          <w:p w14:paraId="0443DE3D">
            <w:pPr>
              <w:pStyle w:val="33"/>
              <w:rPr>
                <w:color w:val="auto"/>
              </w:rPr>
            </w:pPr>
            <w:r>
              <w:rPr>
                <w:color w:val="auto"/>
              </w:rPr>
              <w:t>等效连续A声级</w:t>
            </w:r>
          </w:p>
        </w:tc>
        <w:tc>
          <w:tcPr>
            <w:tcW w:w="2175" w:type="dxa"/>
            <w:vAlign w:val="center"/>
          </w:tcPr>
          <w:p w14:paraId="3AB17612">
            <w:pPr>
              <w:pStyle w:val="33"/>
              <w:rPr>
                <w:color w:val="auto"/>
              </w:rPr>
            </w:pPr>
            <w:r>
              <w:rPr>
                <w:color w:val="auto"/>
              </w:rPr>
              <w:t>等效连续A声级</w:t>
            </w:r>
          </w:p>
        </w:tc>
      </w:tr>
      <w:tr w14:paraId="37BBED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4023" w:hRule="exact"/>
        </w:trPr>
        <w:tc>
          <w:tcPr>
            <w:tcW w:w="1199" w:type="dxa"/>
            <w:vMerge w:val="continue"/>
            <w:vAlign w:val="center"/>
          </w:tcPr>
          <w:p w14:paraId="5EC6C1E5">
            <w:pPr>
              <w:pStyle w:val="33"/>
              <w:rPr>
                <w:color w:val="auto"/>
              </w:rPr>
            </w:pPr>
          </w:p>
        </w:tc>
        <w:tc>
          <w:tcPr>
            <w:tcW w:w="1200" w:type="dxa"/>
            <w:vAlign w:val="center"/>
          </w:tcPr>
          <w:p w14:paraId="0A09634F">
            <w:pPr>
              <w:pStyle w:val="33"/>
              <w:rPr>
                <w:color w:val="auto"/>
              </w:rPr>
            </w:pPr>
            <w:r>
              <w:rPr>
                <w:color w:val="auto"/>
              </w:rPr>
              <w:t>土壤环境</w:t>
            </w:r>
          </w:p>
        </w:tc>
        <w:tc>
          <w:tcPr>
            <w:tcW w:w="4598" w:type="dxa"/>
            <w:vAlign w:val="center"/>
          </w:tcPr>
          <w:p w14:paraId="25337D81">
            <w:pPr>
              <w:pStyle w:val="33"/>
              <w:jc w:val="both"/>
              <w:rPr>
                <w:color w:val="auto"/>
              </w:rPr>
            </w:pPr>
            <w:r>
              <w:rPr>
                <w:color w:val="auto"/>
              </w:rPr>
              <w:t>pH值、铬、镉、铅、铜、镍、砷、汞、锌、铬（六价）、石油烃（C</w:t>
            </w:r>
            <w:r>
              <w:rPr>
                <w:color w:val="auto"/>
                <w:vertAlign w:val="subscript"/>
              </w:rPr>
              <w:t>10-</w:t>
            </w:r>
            <w:r>
              <w:rPr>
                <w:color w:val="auto"/>
              </w:rPr>
              <w:t>C</w:t>
            </w:r>
            <w:r>
              <w:rPr>
                <w:color w:val="auto"/>
                <w:vertAlign w:val="subscript"/>
              </w:rPr>
              <w:t>40</w:t>
            </w:r>
            <w:r>
              <w:rPr>
                <w:color w:val="auto"/>
              </w:rPr>
              <w:t>）、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c>
          <w:tcPr>
            <w:tcW w:w="2175" w:type="dxa"/>
            <w:vAlign w:val="center"/>
          </w:tcPr>
          <w:p w14:paraId="4362935B">
            <w:pPr>
              <w:pStyle w:val="33"/>
              <w:rPr>
                <w:color w:val="auto"/>
              </w:rPr>
            </w:pPr>
            <w:r>
              <w:rPr>
                <w:rFonts w:hint="eastAsia"/>
                <w:color w:val="auto"/>
              </w:rPr>
              <w:t>COD、NH</w:t>
            </w:r>
            <w:r>
              <w:rPr>
                <w:rFonts w:hint="eastAsia"/>
                <w:color w:val="auto"/>
                <w:vertAlign w:val="subscript"/>
              </w:rPr>
              <w:t>3</w:t>
            </w:r>
            <w:r>
              <w:rPr>
                <w:rFonts w:hint="eastAsia"/>
                <w:color w:val="auto"/>
              </w:rPr>
              <w:t>-N</w:t>
            </w:r>
            <w:r>
              <w:rPr>
                <w:color w:val="auto"/>
              </w:rPr>
              <w:t xml:space="preserve"> </w:t>
            </w:r>
          </w:p>
        </w:tc>
      </w:tr>
      <w:tr w14:paraId="39868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cantSplit/>
          <w:trHeight w:val="838" w:hRule="exact"/>
        </w:trPr>
        <w:tc>
          <w:tcPr>
            <w:tcW w:w="1199" w:type="dxa"/>
            <w:vMerge w:val="continue"/>
            <w:vAlign w:val="center"/>
          </w:tcPr>
          <w:p w14:paraId="3F958F8B">
            <w:pPr>
              <w:pStyle w:val="33"/>
              <w:rPr>
                <w:color w:val="auto"/>
              </w:rPr>
            </w:pPr>
          </w:p>
        </w:tc>
        <w:tc>
          <w:tcPr>
            <w:tcW w:w="1200" w:type="dxa"/>
            <w:vAlign w:val="center"/>
          </w:tcPr>
          <w:p w14:paraId="67B0A65A">
            <w:pPr>
              <w:pStyle w:val="33"/>
              <w:rPr>
                <w:color w:val="auto"/>
              </w:rPr>
            </w:pPr>
            <w:r>
              <w:rPr>
                <w:color w:val="auto"/>
              </w:rPr>
              <w:t>生态环境</w:t>
            </w:r>
          </w:p>
        </w:tc>
        <w:tc>
          <w:tcPr>
            <w:tcW w:w="4598" w:type="dxa"/>
            <w:vAlign w:val="center"/>
          </w:tcPr>
          <w:p w14:paraId="7EEAC93F">
            <w:pPr>
              <w:pStyle w:val="33"/>
              <w:rPr>
                <w:color w:val="auto"/>
              </w:rPr>
            </w:pPr>
            <w:r>
              <w:rPr>
                <w:rFonts w:cs="Times New Roman"/>
                <w:color w:val="auto"/>
                <w:szCs w:val="21"/>
              </w:rPr>
              <w:t>土地利用、水土流失、植被</w:t>
            </w:r>
          </w:p>
        </w:tc>
        <w:tc>
          <w:tcPr>
            <w:tcW w:w="2175" w:type="dxa"/>
            <w:vAlign w:val="center"/>
          </w:tcPr>
          <w:p w14:paraId="10376E13">
            <w:pPr>
              <w:pStyle w:val="33"/>
              <w:rPr>
                <w:color w:val="auto"/>
              </w:rPr>
            </w:pPr>
            <w:r>
              <w:rPr>
                <w:rFonts w:cs="Times New Roman"/>
                <w:color w:val="auto"/>
                <w:szCs w:val="21"/>
              </w:rPr>
              <w:t>简单分析</w:t>
            </w:r>
          </w:p>
        </w:tc>
      </w:tr>
    </w:tbl>
    <w:p w14:paraId="0393FC5B">
      <w:pPr>
        <w:pStyle w:val="3"/>
        <w:rPr>
          <w:rFonts w:cs="Times New Roman"/>
          <w:color w:val="auto"/>
        </w:rPr>
      </w:pPr>
      <w:bookmarkStart w:id="68" w:name="_Toc198390006"/>
      <w:bookmarkStart w:id="69" w:name="_Toc198390523"/>
      <w:bookmarkStart w:id="70" w:name="_Toc199168878"/>
      <w:bookmarkStart w:id="71" w:name="_Toc199190415"/>
      <w:bookmarkStart w:id="72" w:name="_Toc221355697"/>
      <w:bookmarkStart w:id="73" w:name="_Toc225216656"/>
      <w:bookmarkStart w:id="74" w:name="_Toc185257458"/>
      <w:bookmarkStart w:id="75" w:name="_Toc198391176"/>
      <w:r>
        <w:rPr>
          <w:rFonts w:cs="Times New Roman"/>
          <w:color w:val="auto"/>
        </w:rPr>
        <w:t>环境功能区划及评价标准</w:t>
      </w:r>
      <w:bookmarkEnd w:id="68"/>
      <w:bookmarkEnd w:id="69"/>
      <w:bookmarkEnd w:id="70"/>
      <w:bookmarkEnd w:id="71"/>
      <w:bookmarkEnd w:id="72"/>
      <w:bookmarkEnd w:id="73"/>
      <w:bookmarkEnd w:id="74"/>
      <w:bookmarkEnd w:id="75"/>
    </w:p>
    <w:p w14:paraId="5F44F411">
      <w:pPr>
        <w:pStyle w:val="4"/>
        <w:numPr>
          <w:ilvl w:val="0"/>
          <w:numId w:val="0"/>
        </w:numPr>
        <w:rPr>
          <w:rFonts w:cs="Times New Roman"/>
          <w:color w:val="auto"/>
        </w:rPr>
      </w:pPr>
      <w:bookmarkStart w:id="76" w:name="_Toc199190416"/>
      <w:bookmarkStart w:id="77" w:name="_Toc198390524"/>
      <w:bookmarkStart w:id="78" w:name="_Toc225216657"/>
      <w:bookmarkStart w:id="79" w:name="_Toc199168879"/>
      <w:bookmarkStart w:id="80" w:name="_Toc198391177"/>
      <w:r>
        <w:rPr>
          <w:rFonts w:cs="Times New Roman"/>
          <w:color w:val="auto"/>
        </w:rPr>
        <w:t>1.3.1</w:t>
      </w:r>
      <w:r>
        <w:rPr>
          <w:rFonts w:cs="Times New Roman"/>
          <w:color w:val="auto"/>
        </w:rPr>
        <w:tab/>
      </w:r>
      <w:r>
        <w:rPr>
          <w:rFonts w:cs="Times New Roman"/>
          <w:color w:val="auto"/>
        </w:rPr>
        <w:t>环境功能区划</w:t>
      </w:r>
      <w:bookmarkEnd w:id="76"/>
      <w:bookmarkEnd w:id="77"/>
      <w:bookmarkEnd w:id="78"/>
      <w:bookmarkEnd w:id="79"/>
      <w:bookmarkEnd w:id="80"/>
    </w:p>
    <w:p w14:paraId="7354152D">
      <w:pPr>
        <w:pStyle w:val="5"/>
        <w:rPr>
          <w:rFonts w:cs="Times New Roman"/>
          <w:color w:val="auto"/>
        </w:rPr>
      </w:pPr>
      <w:r>
        <w:rPr>
          <w:rFonts w:cs="Times New Roman"/>
          <w:color w:val="auto"/>
        </w:rPr>
        <w:t>大气环境功能区划</w:t>
      </w:r>
    </w:p>
    <w:p w14:paraId="7BBD59DA">
      <w:pPr>
        <w:ind w:firstLine="480"/>
        <w:rPr>
          <w:rFonts w:cs="Times New Roman"/>
          <w:color w:val="auto"/>
        </w:rPr>
      </w:pPr>
      <w:r>
        <w:rPr>
          <w:rFonts w:hint="eastAsia" w:cs="Times New Roman"/>
          <w:color w:val="auto"/>
        </w:rPr>
        <w:t>拟建项目位于钦州市钦州港金光工业园，所在区域环境空气为二类功能区。</w:t>
      </w:r>
    </w:p>
    <w:p w14:paraId="2A2CFFCD">
      <w:pPr>
        <w:pStyle w:val="5"/>
        <w:rPr>
          <w:rFonts w:cs="Times New Roman"/>
          <w:color w:val="auto"/>
        </w:rPr>
      </w:pPr>
      <w:r>
        <w:rPr>
          <w:rFonts w:hint="eastAsia" w:cs="Times New Roman"/>
          <w:color w:val="auto"/>
        </w:rPr>
        <w:t>海水</w:t>
      </w:r>
      <w:r>
        <w:rPr>
          <w:rFonts w:cs="Times New Roman"/>
          <w:color w:val="auto"/>
        </w:rPr>
        <w:t>环境功能区划</w:t>
      </w:r>
    </w:p>
    <w:p w14:paraId="1B5E1BD7">
      <w:pPr>
        <w:numPr>
          <w:ilvl w:val="255"/>
          <w:numId w:val="0"/>
        </w:numPr>
        <w:ind w:firstLine="480" w:firstLineChars="200"/>
        <w:rPr>
          <w:rFonts w:cs="Times New Roman"/>
          <w:color w:val="auto"/>
        </w:rPr>
      </w:pPr>
      <w:r>
        <w:rPr>
          <w:rFonts w:cs="Times New Roman"/>
          <w:color w:val="auto"/>
        </w:rPr>
        <w:t>根据《广西壮族自治区生态环境厅关于印发广西壮族自治区近岸海域环境功能区划调整方案的通知》（桂环发〔2023〕9号），项目所在区域周边海域主要包括茅尾海红树林生态区（GX065BⅡ）、茅尾海渔业用海区（GX069BⅡ）、钦州港大榄坪港口、工业区（GX055DⅣ）、钦州港金鼓江排污混合区（GX056DⅣ）、钦州港大榄坪排污混合区（GX057DⅣ）等区域。</w:t>
      </w:r>
    </w:p>
    <w:p w14:paraId="045EBBB6">
      <w:pPr>
        <w:numPr>
          <w:ilvl w:val="255"/>
          <w:numId w:val="0"/>
        </w:numPr>
        <w:ind w:firstLine="480" w:firstLineChars="200"/>
        <w:rPr>
          <w:rFonts w:cs="Times New Roman"/>
          <w:color w:val="auto"/>
        </w:rPr>
      </w:pPr>
      <w:r>
        <w:rPr>
          <w:rFonts w:cs="Times New Roman"/>
          <w:color w:val="auto"/>
        </w:rPr>
        <w:t>①茅尾海红树林生态区（GX065BⅡ）属二类环境功能区，水质保护目标为海水水质标准第二类；</w:t>
      </w:r>
    </w:p>
    <w:p w14:paraId="4153D5DC">
      <w:pPr>
        <w:numPr>
          <w:ilvl w:val="255"/>
          <w:numId w:val="0"/>
        </w:numPr>
        <w:ind w:firstLine="480" w:firstLineChars="200"/>
        <w:rPr>
          <w:rFonts w:cs="Times New Roman"/>
          <w:color w:val="auto"/>
        </w:rPr>
      </w:pPr>
      <w:r>
        <w:rPr>
          <w:rFonts w:cs="Times New Roman"/>
          <w:color w:val="auto"/>
        </w:rPr>
        <w:t>②广西茅尾海红树林自治区级自然保护区康熙岭、坚心围和七十二泾片区水质保护目标为海水水质标准第一类；</w:t>
      </w:r>
    </w:p>
    <w:p w14:paraId="48404139">
      <w:pPr>
        <w:numPr>
          <w:ilvl w:val="255"/>
          <w:numId w:val="0"/>
        </w:numPr>
        <w:ind w:firstLine="480" w:firstLineChars="200"/>
        <w:rPr>
          <w:rFonts w:cs="Times New Roman"/>
          <w:color w:val="auto"/>
        </w:rPr>
      </w:pPr>
      <w:r>
        <w:rPr>
          <w:rFonts w:cs="Times New Roman"/>
          <w:color w:val="auto"/>
        </w:rPr>
        <w:t>③茅尾海渔业用海区（GX069BⅡ）属二类环境功能区，水质保护目标为海水水质标准第二类；</w:t>
      </w:r>
    </w:p>
    <w:p w14:paraId="6412FB8D">
      <w:pPr>
        <w:numPr>
          <w:ilvl w:val="255"/>
          <w:numId w:val="0"/>
        </w:numPr>
        <w:ind w:firstLine="480" w:firstLineChars="200"/>
        <w:rPr>
          <w:rFonts w:cs="Times New Roman"/>
          <w:color w:val="auto"/>
        </w:rPr>
      </w:pPr>
      <w:r>
        <w:rPr>
          <w:rFonts w:cs="Times New Roman"/>
          <w:color w:val="auto"/>
        </w:rPr>
        <w:t>④钦州港大榄坪港口、工业区（GX055DⅣ）、钦州港金鼓江排污混合区（GX056DⅣ）和钦州港大榄坪排污混合区（GX057DⅣ）均属四类环境功能区，水质保护目标为海水水质标准第四类，周围0.5公里水质过渡带，水质保护目标为海水水质标准第三类。</w:t>
      </w:r>
    </w:p>
    <w:p w14:paraId="474933E1">
      <w:pPr>
        <w:numPr>
          <w:ilvl w:val="255"/>
          <w:numId w:val="0"/>
        </w:numPr>
        <w:ind w:firstLine="480" w:firstLineChars="200"/>
        <w:rPr>
          <w:rFonts w:cs="Times New Roman"/>
          <w:color w:val="auto"/>
        </w:rPr>
      </w:pPr>
      <w:r>
        <w:rPr>
          <w:rFonts w:cs="Times New Roman"/>
          <w:color w:val="auto"/>
        </w:rPr>
        <w:t>现有工程A2排放口位于钦州港大榄坪排污混合区（GX057DⅣ），海域执行第四类海水标准。</w:t>
      </w:r>
    </w:p>
    <w:p w14:paraId="5E58088B">
      <w:pPr>
        <w:pStyle w:val="5"/>
        <w:rPr>
          <w:rFonts w:cs="Times New Roman"/>
          <w:color w:val="auto"/>
        </w:rPr>
      </w:pPr>
      <w:r>
        <w:rPr>
          <w:rFonts w:cs="Times New Roman"/>
          <w:color w:val="auto"/>
        </w:rPr>
        <w:t>声环境功能区划</w:t>
      </w:r>
    </w:p>
    <w:p w14:paraId="724C931C">
      <w:pPr>
        <w:ind w:firstLine="480"/>
        <w:rPr>
          <w:rFonts w:cs="Times New Roman"/>
          <w:color w:val="auto"/>
        </w:rPr>
      </w:pPr>
      <w:r>
        <w:rPr>
          <w:rFonts w:hint="eastAsia" w:cs="Times New Roman"/>
          <w:color w:val="auto"/>
        </w:rPr>
        <w:t>根据《钦州市中心城区声环境功能区划》（钦政办规〔2023〕11号），项目所在地位于3类声环境功能区，项目声环境影响评价范围（厂界周边200m范围）内敏感目标除厂界南侧临时安置房紧邻滨海公路位于4a类声环境功能区（滨海公路两侧20m范围内）外，其余敏感目标均位于2类声环境功能区。</w:t>
      </w:r>
    </w:p>
    <w:p w14:paraId="7EB49879">
      <w:pPr>
        <w:pStyle w:val="5"/>
        <w:rPr>
          <w:rFonts w:cs="Times New Roman"/>
          <w:color w:val="auto"/>
        </w:rPr>
      </w:pPr>
      <w:r>
        <w:rPr>
          <w:rFonts w:cs="Times New Roman"/>
          <w:color w:val="auto"/>
        </w:rPr>
        <w:t>其他功能区划</w:t>
      </w:r>
    </w:p>
    <w:p w14:paraId="714A4B2C">
      <w:pPr>
        <w:ind w:firstLine="480"/>
        <w:rPr>
          <w:rFonts w:cs="Times New Roman"/>
          <w:color w:val="auto"/>
        </w:rPr>
      </w:pPr>
      <w:r>
        <w:rPr>
          <w:rFonts w:hint="eastAsia" w:cs="Times New Roman"/>
          <w:color w:val="auto"/>
        </w:rPr>
        <w:t>拟建项目位于钦州市钦州港金光工业园内，经对照钦州市陆域环境管控单元分布图，金桂浆纸厂区位于重点管控单元，不在</w:t>
      </w:r>
      <w:r>
        <w:rPr>
          <w:rFonts w:cs="Times New Roman"/>
          <w:color w:val="auto"/>
        </w:rPr>
        <w:t>重要生态功能区范围内。</w:t>
      </w:r>
      <w:r>
        <w:rPr>
          <w:rFonts w:hint="eastAsia" w:cs="Times New Roman"/>
          <w:color w:val="auto"/>
        </w:rPr>
        <w:t>根据《广西壮族自治区主体功能区划》，项目位于国家级重点开发区域。根据《广西壮族自治区生态功能区划》（桂政办发﹝2008﹞8号），项目不位于重要生态功能区范围。根据《广西海洋生态红线划定方案》，项目不涉及海洋生态禁止类红线和限制类红线区。</w:t>
      </w:r>
    </w:p>
    <w:p w14:paraId="4A32C282">
      <w:pPr>
        <w:pStyle w:val="4"/>
        <w:rPr>
          <w:rFonts w:cs="Times New Roman"/>
          <w:color w:val="auto"/>
        </w:rPr>
      </w:pPr>
      <w:bookmarkStart w:id="81" w:name="_Toc225216658"/>
      <w:bookmarkStart w:id="82" w:name="_Toc199190417"/>
      <w:bookmarkStart w:id="83" w:name="_Toc198390525"/>
      <w:bookmarkStart w:id="84" w:name="_Toc199168880"/>
      <w:bookmarkStart w:id="85" w:name="_Toc198391178"/>
      <w:r>
        <w:rPr>
          <w:rFonts w:cs="Times New Roman"/>
          <w:color w:val="auto"/>
        </w:rPr>
        <w:t>环境质量标准</w:t>
      </w:r>
      <w:bookmarkEnd w:id="81"/>
      <w:bookmarkEnd w:id="82"/>
      <w:bookmarkEnd w:id="83"/>
      <w:bookmarkEnd w:id="84"/>
      <w:bookmarkEnd w:id="85"/>
    </w:p>
    <w:p w14:paraId="185CC1E2">
      <w:pPr>
        <w:pStyle w:val="5"/>
        <w:rPr>
          <w:rFonts w:cs="Times New Roman"/>
          <w:color w:val="auto"/>
        </w:rPr>
      </w:pPr>
      <w:r>
        <w:rPr>
          <w:rFonts w:cs="Times New Roman"/>
          <w:color w:val="auto"/>
        </w:rPr>
        <w:t>环境空气质量标准</w:t>
      </w:r>
    </w:p>
    <w:p w14:paraId="3986A79C">
      <w:pPr>
        <w:ind w:firstLine="480"/>
        <w:rPr>
          <w:rFonts w:cs="Times New Roman"/>
          <w:color w:val="auto"/>
        </w:rPr>
      </w:pPr>
      <w:r>
        <w:rPr>
          <w:rFonts w:cs="Times New Roman"/>
          <w:color w:val="auto"/>
        </w:rPr>
        <w:t>项目选址所在区域为环境空气质量二类功能区，</w:t>
      </w:r>
      <w:r>
        <w:rPr>
          <w:rFonts w:hint="eastAsia" w:cs="Times New Roman"/>
          <w:color w:val="auto"/>
        </w:rPr>
        <w:t>现状环境空气执行</w:t>
      </w:r>
      <w:r>
        <w:rPr>
          <w:rFonts w:hint="eastAsia"/>
          <w:color w:val="auto"/>
        </w:rPr>
        <w:t>《环境空气质量标准》（GB3095-2012）二级标准，以《环境空气质量标准》（GB3095-2026）（2026-2030年）标准作为对照；运营期环境空气质量执行《环境空气质量标准》（G</w:t>
      </w:r>
      <w:r>
        <w:rPr>
          <w:color w:val="auto"/>
        </w:rPr>
        <w:t>B3095-2026</w:t>
      </w:r>
      <w:r>
        <w:rPr>
          <w:rFonts w:hint="eastAsia"/>
          <w:color w:val="auto"/>
        </w:rPr>
        <w:t>）中过渡阶段的二级标准限值；H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参考执行《环境影响评价技术导则 大气环境》（HJ 2.2-2018）附录D其他污染物空气质量浓度参考限值，非甲烷总烃参照《大气污染物综合排放标准详解》推荐值；臭气浓度参照执行《恶臭污染物排放标准》（GB14554-93）恶臭污染厂界标准二级标准值。</w:t>
      </w:r>
      <w:r>
        <w:rPr>
          <w:rFonts w:cs="Times New Roman"/>
          <w:color w:val="auto"/>
        </w:rPr>
        <w:t>具体取值见</w:t>
      </w:r>
      <w:r>
        <w:rPr>
          <w:rFonts w:hint="eastAsia" w:cs="Times New Roman"/>
          <w:color w:val="auto"/>
        </w:rPr>
        <w:t>下表</w:t>
      </w:r>
      <w:r>
        <w:rPr>
          <w:rFonts w:cs="Times New Roman"/>
          <w:color w:val="auto"/>
        </w:rPr>
        <w:t>。</w:t>
      </w:r>
    </w:p>
    <w:p w14:paraId="7DD8E176">
      <w:pPr>
        <w:pStyle w:val="7"/>
        <w:rPr>
          <w:color w:val="auto"/>
        </w:rPr>
      </w:pPr>
      <w:bookmarkStart w:id="86" w:name="_Ref185008195"/>
      <w:r>
        <w:rPr>
          <w:color w:val="auto"/>
        </w:rPr>
        <w:t>环境空气质量执行标准一览表（摘录）</w:t>
      </w:r>
      <w:bookmarkEnd w:id="86"/>
    </w:p>
    <w:tbl>
      <w:tblPr>
        <w:tblStyle w:val="26"/>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9"/>
        <w:gridCol w:w="1843"/>
        <w:gridCol w:w="851"/>
        <w:gridCol w:w="2409"/>
        <w:gridCol w:w="2374"/>
      </w:tblGrid>
      <w:tr w14:paraId="3F1FF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1488D4B3">
            <w:pPr>
              <w:pStyle w:val="33"/>
              <w:rPr>
                <w:color w:val="auto"/>
              </w:rPr>
            </w:pPr>
            <w:r>
              <w:rPr>
                <w:color w:val="auto"/>
              </w:rPr>
              <w:t>污染物</w:t>
            </w:r>
          </w:p>
        </w:tc>
        <w:tc>
          <w:tcPr>
            <w:tcW w:w="1843" w:type="dxa"/>
            <w:vMerge w:val="restart"/>
            <w:vAlign w:val="center"/>
          </w:tcPr>
          <w:p w14:paraId="6054A0AE">
            <w:pPr>
              <w:pStyle w:val="33"/>
              <w:rPr>
                <w:color w:val="auto"/>
              </w:rPr>
            </w:pPr>
            <w:r>
              <w:rPr>
                <w:color w:val="auto"/>
              </w:rPr>
              <w:t>取值时间</w:t>
            </w:r>
          </w:p>
        </w:tc>
        <w:tc>
          <w:tcPr>
            <w:tcW w:w="5634" w:type="dxa"/>
            <w:gridSpan w:val="3"/>
            <w:vAlign w:val="center"/>
          </w:tcPr>
          <w:p w14:paraId="29A52242">
            <w:pPr>
              <w:pStyle w:val="33"/>
              <w:rPr>
                <w:color w:val="auto"/>
              </w:rPr>
            </w:pPr>
            <w:r>
              <w:rPr>
                <w:color w:val="auto"/>
              </w:rPr>
              <w:t>浓度限值</w:t>
            </w:r>
          </w:p>
        </w:tc>
      </w:tr>
      <w:tr w14:paraId="49556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48987423">
            <w:pPr>
              <w:pStyle w:val="33"/>
              <w:rPr>
                <w:color w:val="auto"/>
              </w:rPr>
            </w:pPr>
          </w:p>
        </w:tc>
        <w:tc>
          <w:tcPr>
            <w:tcW w:w="1843" w:type="dxa"/>
            <w:vMerge w:val="continue"/>
            <w:vAlign w:val="center"/>
          </w:tcPr>
          <w:p w14:paraId="1BAC4E3D">
            <w:pPr>
              <w:pStyle w:val="33"/>
              <w:rPr>
                <w:color w:val="auto"/>
              </w:rPr>
            </w:pPr>
          </w:p>
        </w:tc>
        <w:tc>
          <w:tcPr>
            <w:tcW w:w="851" w:type="dxa"/>
            <w:vAlign w:val="center"/>
          </w:tcPr>
          <w:p w14:paraId="3C4246BD">
            <w:pPr>
              <w:pStyle w:val="33"/>
              <w:rPr>
                <w:color w:val="auto"/>
              </w:rPr>
            </w:pPr>
            <w:r>
              <w:rPr>
                <w:color w:val="auto"/>
              </w:rPr>
              <w:t>单位</w:t>
            </w:r>
          </w:p>
        </w:tc>
        <w:tc>
          <w:tcPr>
            <w:tcW w:w="2409" w:type="dxa"/>
            <w:vAlign w:val="center"/>
          </w:tcPr>
          <w:p w14:paraId="55A08C90">
            <w:pPr>
              <w:pStyle w:val="33"/>
              <w:rPr>
                <w:color w:val="auto"/>
              </w:rPr>
            </w:pPr>
            <w:r>
              <w:rPr>
                <w:color w:val="auto"/>
              </w:rPr>
              <w:t>二级标准</w:t>
            </w:r>
          </w:p>
        </w:tc>
        <w:tc>
          <w:tcPr>
            <w:tcW w:w="2374" w:type="dxa"/>
            <w:vAlign w:val="center"/>
          </w:tcPr>
          <w:p w14:paraId="0B3D4A3B">
            <w:pPr>
              <w:pStyle w:val="33"/>
              <w:rPr>
                <w:color w:val="auto"/>
              </w:rPr>
            </w:pPr>
            <w:r>
              <w:rPr>
                <w:color w:val="auto"/>
              </w:rPr>
              <w:t>来源</w:t>
            </w:r>
          </w:p>
        </w:tc>
      </w:tr>
      <w:tr w14:paraId="55B40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D11FA62">
            <w:pPr>
              <w:pStyle w:val="33"/>
              <w:rPr>
                <w:color w:val="auto"/>
              </w:rPr>
            </w:pPr>
            <w:r>
              <w:rPr>
                <w:color w:val="auto"/>
              </w:rPr>
              <w:t>二氧化硫</w:t>
            </w:r>
          </w:p>
          <w:p w14:paraId="65BF7690">
            <w:pPr>
              <w:pStyle w:val="33"/>
              <w:rPr>
                <w:color w:val="auto"/>
              </w:rPr>
            </w:pPr>
            <w:r>
              <w:rPr>
                <w:color w:val="auto"/>
              </w:rPr>
              <w:t>（SO</w:t>
            </w:r>
            <w:r>
              <w:rPr>
                <w:color w:val="auto"/>
                <w:vertAlign w:val="subscript"/>
              </w:rPr>
              <w:t>2</w:t>
            </w:r>
            <w:r>
              <w:rPr>
                <w:color w:val="auto"/>
              </w:rPr>
              <w:t>）</w:t>
            </w:r>
          </w:p>
        </w:tc>
        <w:tc>
          <w:tcPr>
            <w:tcW w:w="1843" w:type="dxa"/>
            <w:vAlign w:val="center"/>
          </w:tcPr>
          <w:p w14:paraId="7D3460FA">
            <w:pPr>
              <w:pStyle w:val="33"/>
              <w:rPr>
                <w:color w:val="auto"/>
              </w:rPr>
            </w:pPr>
            <w:r>
              <w:rPr>
                <w:color w:val="auto"/>
              </w:rPr>
              <w:t>年平均</w:t>
            </w:r>
          </w:p>
        </w:tc>
        <w:tc>
          <w:tcPr>
            <w:tcW w:w="851" w:type="dxa"/>
            <w:vMerge w:val="restart"/>
            <w:vAlign w:val="center"/>
          </w:tcPr>
          <w:p w14:paraId="5D7961E3">
            <w:pPr>
              <w:pStyle w:val="33"/>
              <w:rPr>
                <w:color w:val="auto"/>
              </w:rPr>
            </w:pPr>
            <w:r>
              <w:rPr>
                <w:color w:val="auto"/>
              </w:rPr>
              <w:t>μg/m</w:t>
            </w:r>
            <w:r>
              <w:rPr>
                <w:color w:val="auto"/>
                <w:vertAlign w:val="superscript"/>
              </w:rPr>
              <w:t>3</w:t>
            </w:r>
          </w:p>
        </w:tc>
        <w:tc>
          <w:tcPr>
            <w:tcW w:w="2409" w:type="dxa"/>
            <w:vAlign w:val="center"/>
          </w:tcPr>
          <w:p w14:paraId="14AD201A">
            <w:pPr>
              <w:pStyle w:val="33"/>
              <w:rPr>
                <w:color w:val="auto"/>
              </w:rPr>
            </w:pPr>
            <w:r>
              <w:rPr>
                <w:color w:val="auto"/>
              </w:rPr>
              <w:t>60</w:t>
            </w:r>
          </w:p>
        </w:tc>
        <w:tc>
          <w:tcPr>
            <w:tcW w:w="2374" w:type="dxa"/>
            <w:vMerge w:val="restart"/>
            <w:vAlign w:val="center"/>
          </w:tcPr>
          <w:p w14:paraId="50B548BB">
            <w:pPr>
              <w:pStyle w:val="33"/>
              <w:rPr>
                <w:color w:val="auto"/>
              </w:rPr>
            </w:pPr>
            <w:r>
              <w:rPr>
                <w:color w:val="auto"/>
              </w:rPr>
              <w:t>《环境空气质量标准》（GB3095-2012）</w:t>
            </w:r>
          </w:p>
        </w:tc>
      </w:tr>
      <w:tr w14:paraId="0896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7741C119">
            <w:pPr>
              <w:pStyle w:val="33"/>
              <w:rPr>
                <w:color w:val="auto"/>
              </w:rPr>
            </w:pPr>
          </w:p>
        </w:tc>
        <w:tc>
          <w:tcPr>
            <w:tcW w:w="1843" w:type="dxa"/>
            <w:vAlign w:val="center"/>
          </w:tcPr>
          <w:p w14:paraId="3099D2FF">
            <w:pPr>
              <w:pStyle w:val="33"/>
              <w:rPr>
                <w:color w:val="auto"/>
              </w:rPr>
            </w:pPr>
            <w:r>
              <w:rPr>
                <w:color w:val="auto"/>
              </w:rPr>
              <w:t>24小时平均</w:t>
            </w:r>
          </w:p>
        </w:tc>
        <w:tc>
          <w:tcPr>
            <w:tcW w:w="851" w:type="dxa"/>
            <w:vMerge w:val="continue"/>
            <w:vAlign w:val="center"/>
          </w:tcPr>
          <w:p w14:paraId="18403E4E">
            <w:pPr>
              <w:pStyle w:val="33"/>
              <w:rPr>
                <w:color w:val="auto"/>
              </w:rPr>
            </w:pPr>
          </w:p>
        </w:tc>
        <w:tc>
          <w:tcPr>
            <w:tcW w:w="2409" w:type="dxa"/>
            <w:vAlign w:val="center"/>
          </w:tcPr>
          <w:p w14:paraId="73A2FC9E">
            <w:pPr>
              <w:pStyle w:val="33"/>
              <w:rPr>
                <w:color w:val="auto"/>
              </w:rPr>
            </w:pPr>
            <w:r>
              <w:rPr>
                <w:color w:val="auto"/>
              </w:rPr>
              <w:t>150</w:t>
            </w:r>
          </w:p>
        </w:tc>
        <w:tc>
          <w:tcPr>
            <w:tcW w:w="2374" w:type="dxa"/>
            <w:vMerge w:val="continue"/>
            <w:vAlign w:val="center"/>
          </w:tcPr>
          <w:p w14:paraId="4EC221C6">
            <w:pPr>
              <w:pStyle w:val="33"/>
              <w:rPr>
                <w:color w:val="auto"/>
              </w:rPr>
            </w:pPr>
          </w:p>
        </w:tc>
      </w:tr>
      <w:tr w14:paraId="74415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114BCF6E">
            <w:pPr>
              <w:pStyle w:val="33"/>
              <w:rPr>
                <w:color w:val="auto"/>
              </w:rPr>
            </w:pPr>
          </w:p>
        </w:tc>
        <w:tc>
          <w:tcPr>
            <w:tcW w:w="1843" w:type="dxa"/>
            <w:vAlign w:val="center"/>
          </w:tcPr>
          <w:p w14:paraId="24617505">
            <w:pPr>
              <w:pStyle w:val="33"/>
              <w:rPr>
                <w:color w:val="auto"/>
              </w:rPr>
            </w:pPr>
            <w:r>
              <w:rPr>
                <w:color w:val="auto"/>
              </w:rPr>
              <w:t>1小时平均</w:t>
            </w:r>
          </w:p>
        </w:tc>
        <w:tc>
          <w:tcPr>
            <w:tcW w:w="851" w:type="dxa"/>
            <w:vMerge w:val="continue"/>
            <w:vAlign w:val="center"/>
          </w:tcPr>
          <w:p w14:paraId="49D31449">
            <w:pPr>
              <w:pStyle w:val="33"/>
              <w:rPr>
                <w:color w:val="auto"/>
              </w:rPr>
            </w:pPr>
          </w:p>
        </w:tc>
        <w:tc>
          <w:tcPr>
            <w:tcW w:w="2409" w:type="dxa"/>
            <w:vAlign w:val="center"/>
          </w:tcPr>
          <w:p w14:paraId="41BE1BB2">
            <w:pPr>
              <w:pStyle w:val="33"/>
              <w:rPr>
                <w:color w:val="auto"/>
              </w:rPr>
            </w:pPr>
            <w:r>
              <w:rPr>
                <w:color w:val="auto"/>
              </w:rPr>
              <w:t>500</w:t>
            </w:r>
          </w:p>
        </w:tc>
        <w:tc>
          <w:tcPr>
            <w:tcW w:w="2374" w:type="dxa"/>
            <w:vMerge w:val="continue"/>
            <w:vAlign w:val="center"/>
          </w:tcPr>
          <w:p w14:paraId="35395A13">
            <w:pPr>
              <w:pStyle w:val="33"/>
              <w:rPr>
                <w:color w:val="auto"/>
              </w:rPr>
            </w:pPr>
          </w:p>
        </w:tc>
      </w:tr>
      <w:tr w14:paraId="059F4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AFF277E">
            <w:pPr>
              <w:pStyle w:val="33"/>
              <w:rPr>
                <w:color w:val="auto"/>
              </w:rPr>
            </w:pPr>
            <w:r>
              <w:rPr>
                <w:color w:val="auto"/>
              </w:rPr>
              <w:t>二氧化氮</w:t>
            </w:r>
          </w:p>
          <w:p w14:paraId="799ACBA3">
            <w:pPr>
              <w:pStyle w:val="33"/>
              <w:rPr>
                <w:color w:val="auto"/>
              </w:rPr>
            </w:pPr>
            <w:r>
              <w:rPr>
                <w:color w:val="auto"/>
              </w:rPr>
              <w:t>（NO</w:t>
            </w:r>
            <w:r>
              <w:rPr>
                <w:color w:val="auto"/>
                <w:vertAlign w:val="subscript"/>
              </w:rPr>
              <w:t>2</w:t>
            </w:r>
            <w:r>
              <w:rPr>
                <w:color w:val="auto"/>
              </w:rPr>
              <w:t>）</w:t>
            </w:r>
          </w:p>
        </w:tc>
        <w:tc>
          <w:tcPr>
            <w:tcW w:w="1843" w:type="dxa"/>
            <w:vAlign w:val="center"/>
          </w:tcPr>
          <w:p w14:paraId="42831544">
            <w:pPr>
              <w:pStyle w:val="33"/>
              <w:rPr>
                <w:color w:val="auto"/>
              </w:rPr>
            </w:pPr>
            <w:r>
              <w:rPr>
                <w:color w:val="auto"/>
              </w:rPr>
              <w:t>年平均</w:t>
            </w:r>
          </w:p>
        </w:tc>
        <w:tc>
          <w:tcPr>
            <w:tcW w:w="851" w:type="dxa"/>
            <w:vMerge w:val="restart"/>
            <w:vAlign w:val="center"/>
          </w:tcPr>
          <w:p w14:paraId="39D39EA8">
            <w:pPr>
              <w:pStyle w:val="33"/>
              <w:rPr>
                <w:color w:val="auto"/>
              </w:rPr>
            </w:pPr>
            <w:r>
              <w:rPr>
                <w:color w:val="auto"/>
              </w:rPr>
              <w:t>μg/m</w:t>
            </w:r>
            <w:r>
              <w:rPr>
                <w:color w:val="auto"/>
                <w:vertAlign w:val="superscript"/>
              </w:rPr>
              <w:t>3</w:t>
            </w:r>
          </w:p>
        </w:tc>
        <w:tc>
          <w:tcPr>
            <w:tcW w:w="2409" w:type="dxa"/>
            <w:vAlign w:val="center"/>
          </w:tcPr>
          <w:p w14:paraId="067A5B6A">
            <w:pPr>
              <w:pStyle w:val="33"/>
              <w:rPr>
                <w:color w:val="auto"/>
              </w:rPr>
            </w:pPr>
            <w:r>
              <w:rPr>
                <w:color w:val="auto"/>
              </w:rPr>
              <w:t>40</w:t>
            </w:r>
          </w:p>
        </w:tc>
        <w:tc>
          <w:tcPr>
            <w:tcW w:w="2374" w:type="dxa"/>
            <w:vMerge w:val="continue"/>
            <w:vAlign w:val="center"/>
          </w:tcPr>
          <w:p w14:paraId="1F11B6D2">
            <w:pPr>
              <w:pStyle w:val="33"/>
              <w:rPr>
                <w:color w:val="auto"/>
              </w:rPr>
            </w:pPr>
          </w:p>
        </w:tc>
      </w:tr>
      <w:tr w14:paraId="7ADF3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4AF794B6">
            <w:pPr>
              <w:pStyle w:val="33"/>
              <w:rPr>
                <w:color w:val="auto"/>
              </w:rPr>
            </w:pPr>
          </w:p>
        </w:tc>
        <w:tc>
          <w:tcPr>
            <w:tcW w:w="1843" w:type="dxa"/>
            <w:vAlign w:val="center"/>
          </w:tcPr>
          <w:p w14:paraId="1710E4C9">
            <w:pPr>
              <w:pStyle w:val="33"/>
              <w:rPr>
                <w:color w:val="auto"/>
              </w:rPr>
            </w:pPr>
            <w:r>
              <w:rPr>
                <w:color w:val="auto"/>
              </w:rPr>
              <w:t>24小时平均</w:t>
            </w:r>
          </w:p>
        </w:tc>
        <w:tc>
          <w:tcPr>
            <w:tcW w:w="851" w:type="dxa"/>
            <w:vMerge w:val="continue"/>
            <w:vAlign w:val="center"/>
          </w:tcPr>
          <w:p w14:paraId="7E259E40">
            <w:pPr>
              <w:pStyle w:val="33"/>
              <w:rPr>
                <w:color w:val="auto"/>
              </w:rPr>
            </w:pPr>
          </w:p>
        </w:tc>
        <w:tc>
          <w:tcPr>
            <w:tcW w:w="2409" w:type="dxa"/>
            <w:vAlign w:val="center"/>
          </w:tcPr>
          <w:p w14:paraId="0434F60A">
            <w:pPr>
              <w:pStyle w:val="33"/>
              <w:rPr>
                <w:color w:val="auto"/>
              </w:rPr>
            </w:pPr>
            <w:r>
              <w:rPr>
                <w:color w:val="auto"/>
              </w:rPr>
              <w:t>80</w:t>
            </w:r>
          </w:p>
        </w:tc>
        <w:tc>
          <w:tcPr>
            <w:tcW w:w="2374" w:type="dxa"/>
            <w:vMerge w:val="continue"/>
            <w:vAlign w:val="center"/>
          </w:tcPr>
          <w:p w14:paraId="7ECF899D">
            <w:pPr>
              <w:pStyle w:val="33"/>
              <w:rPr>
                <w:color w:val="auto"/>
              </w:rPr>
            </w:pPr>
          </w:p>
        </w:tc>
      </w:tr>
      <w:tr w14:paraId="1E0C8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6151CAF1">
            <w:pPr>
              <w:pStyle w:val="33"/>
              <w:rPr>
                <w:color w:val="auto"/>
              </w:rPr>
            </w:pPr>
          </w:p>
        </w:tc>
        <w:tc>
          <w:tcPr>
            <w:tcW w:w="1843" w:type="dxa"/>
            <w:vAlign w:val="center"/>
          </w:tcPr>
          <w:p w14:paraId="19E35CB0">
            <w:pPr>
              <w:pStyle w:val="33"/>
              <w:rPr>
                <w:color w:val="auto"/>
              </w:rPr>
            </w:pPr>
            <w:r>
              <w:rPr>
                <w:color w:val="auto"/>
              </w:rPr>
              <w:t>1小时平均</w:t>
            </w:r>
          </w:p>
        </w:tc>
        <w:tc>
          <w:tcPr>
            <w:tcW w:w="851" w:type="dxa"/>
            <w:vAlign w:val="center"/>
          </w:tcPr>
          <w:p w14:paraId="42679D4F">
            <w:pPr>
              <w:pStyle w:val="33"/>
              <w:rPr>
                <w:color w:val="auto"/>
              </w:rPr>
            </w:pPr>
            <w:r>
              <w:rPr>
                <w:color w:val="auto"/>
              </w:rPr>
              <w:t>μg/m</w:t>
            </w:r>
            <w:r>
              <w:rPr>
                <w:color w:val="auto"/>
                <w:vertAlign w:val="superscript"/>
              </w:rPr>
              <w:t>3</w:t>
            </w:r>
          </w:p>
        </w:tc>
        <w:tc>
          <w:tcPr>
            <w:tcW w:w="2409" w:type="dxa"/>
            <w:vAlign w:val="center"/>
          </w:tcPr>
          <w:p w14:paraId="1C0AC395">
            <w:pPr>
              <w:pStyle w:val="33"/>
              <w:rPr>
                <w:color w:val="auto"/>
              </w:rPr>
            </w:pPr>
            <w:r>
              <w:rPr>
                <w:color w:val="auto"/>
              </w:rPr>
              <w:t>200</w:t>
            </w:r>
          </w:p>
        </w:tc>
        <w:tc>
          <w:tcPr>
            <w:tcW w:w="2374" w:type="dxa"/>
            <w:vMerge w:val="continue"/>
            <w:vAlign w:val="center"/>
          </w:tcPr>
          <w:p w14:paraId="63FDE379">
            <w:pPr>
              <w:pStyle w:val="33"/>
              <w:rPr>
                <w:color w:val="auto"/>
              </w:rPr>
            </w:pPr>
          </w:p>
        </w:tc>
      </w:tr>
      <w:tr w14:paraId="14F02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206A677">
            <w:pPr>
              <w:pStyle w:val="33"/>
              <w:rPr>
                <w:color w:val="auto"/>
              </w:rPr>
            </w:pPr>
            <w:r>
              <w:rPr>
                <w:rFonts w:hint="eastAsia"/>
                <w:color w:val="auto"/>
              </w:rPr>
              <w:t>颗粒物</w:t>
            </w:r>
            <w:r>
              <w:rPr>
                <w:color w:val="auto"/>
              </w:rPr>
              <w:t>（PM</w:t>
            </w:r>
            <w:r>
              <w:rPr>
                <w:color w:val="auto"/>
                <w:vertAlign w:val="subscript"/>
              </w:rPr>
              <w:t>10</w:t>
            </w:r>
            <w:r>
              <w:rPr>
                <w:color w:val="auto"/>
              </w:rPr>
              <w:t>）</w:t>
            </w:r>
          </w:p>
        </w:tc>
        <w:tc>
          <w:tcPr>
            <w:tcW w:w="1843" w:type="dxa"/>
            <w:vAlign w:val="center"/>
          </w:tcPr>
          <w:p w14:paraId="342D09CF">
            <w:pPr>
              <w:pStyle w:val="33"/>
              <w:rPr>
                <w:color w:val="auto"/>
              </w:rPr>
            </w:pPr>
            <w:r>
              <w:rPr>
                <w:color w:val="auto"/>
              </w:rPr>
              <w:t>年平均</w:t>
            </w:r>
          </w:p>
        </w:tc>
        <w:tc>
          <w:tcPr>
            <w:tcW w:w="851" w:type="dxa"/>
            <w:vAlign w:val="center"/>
          </w:tcPr>
          <w:p w14:paraId="3EDE173A">
            <w:pPr>
              <w:pStyle w:val="33"/>
              <w:rPr>
                <w:color w:val="auto"/>
              </w:rPr>
            </w:pPr>
            <w:r>
              <w:rPr>
                <w:color w:val="auto"/>
              </w:rPr>
              <w:t>μg/m</w:t>
            </w:r>
            <w:r>
              <w:rPr>
                <w:color w:val="auto"/>
                <w:vertAlign w:val="superscript"/>
              </w:rPr>
              <w:t>3</w:t>
            </w:r>
          </w:p>
        </w:tc>
        <w:tc>
          <w:tcPr>
            <w:tcW w:w="2409" w:type="dxa"/>
            <w:vAlign w:val="center"/>
          </w:tcPr>
          <w:p w14:paraId="692DDB6B">
            <w:pPr>
              <w:pStyle w:val="33"/>
              <w:rPr>
                <w:color w:val="auto"/>
              </w:rPr>
            </w:pPr>
            <w:r>
              <w:rPr>
                <w:color w:val="auto"/>
              </w:rPr>
              <w:t>70</w:t>
            </w:r>
          </w:p>
        </w:tc>
        <w:tc>
          <w:tcPr>
            <w:tcW w:w="2374" w:type="dxa"/>
            <w:vMerge w:val="continue"/>
            <w:vAlign w:val="center"/>
          </w:tcPr>
          <w:p w14:paraId="1F477F6D">
            <w:pPr>
              <w:pStyle w:val="33"/>
              <w:rPr>
                <w:color w:val="auto"/>
              </w:rPr>
            </w:pPr>
          </w:p>
        </w:tc>
      </w:tr>
      <w:tr w14:paraId="20184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CFFE4C3">
            <w:pPr>
              <w:pStyle w:val="33"/>
              <w:rPr>
                <w:color w:val="auto"/>
              </w:rPr>
            </w:pPr>
          </w:p>
        </w:tc>
        <w:tc>
          <w:tcPr>
            <w:tcW w:w="1843" w:type="dxa"/>
            <w:vAlign w:val="center"/>
          </w:tcPr>
          <w:p w14:paraId="5FF7F942">
            <w:pPr>
              <w:pStyle w:val="33"/>
              <w:rPr>
                <w:color w:val="auto"/>
              </w:rPr>
            </w:pPr>
            <w:r>
              <w:rPr>
                <w:color w:val="auto"/>
              </w:rPr>
              <w:t>24小时平均</w:t>
            </w:r>
          </w:p>
        </w:tc>
        <w:tc>
          <w:tcPr>
            <w:tcW w:w="851" w:type="dxa"/>
            <w:vAlign w:val="center"/>
          </w:tcPr>
          <w:p w14:paraId="472252CF">
            <w:pPr>
              <w:pStyle w:val="33"/>
              <w:rPr>
                <w:color w:val="auto"/>
              </w:rPr>
            </w:pPr>
            <w:r>
              <w:rPr>
                <w:color w:val="auto"/>
              </w:rPr>
              <w:t>μg/m</w:t>
            </w:r>
            <w:r>
              <w:rPr>
                <w:color w:val="auto"/>
                <w:vertAlign w:val="superscript"/>
              </w:rPr>
              <w:t>3</w:t>
            </w:r>
          </w:p>
        </w:tc>
        <w:tc>
          <w:tcPr>
            <w:tcW w:w="2409" w:type="dxa"/>
            <w:vAlign w:val="center"/>
          </w:tcPr>
          <w:p w14:paraId="0ACFB661">
            <w:pPr>
              <w:pStyle w:val="33"/>
              <w:rPr>
                <w:color w:val="auto"/>
              </w:rPr>
            </w:pPr>
            <w:r>
              <w:rPr>
                <w:color w:val="auto"/>
              </w:rPr>
              <w:t>150</w:t>
            </w:r>
          </w:p>
        </w:tc>
        <w:tc>
          <w:tcPr>
            <w:tcW w:w="2374" w:type="dxa"/>
            <w:vMerge w:val="continue"/>
            <w:vAlign w:val="center"/>
          </w:tcPr>
          <w:p w14:paraId="5D945F48">
            <w:pPr>
              <w:pStyle w:val="33"/>
              <w:rPr>
                <w:color w:val="auto"/>
              </w:rPr>
            </w:pPr>
          </w:p>
        </w:tc>
      </w:tr>
      <w:tr w14:paraId="5C564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5E991CE3">
            <w:pPr>
              <w:pStyle w:val="33"/>
              <w:rPr>
                <w:color w:val="auto"/>
              </w:rPr>
            </w:pPr>
            <w:r>
              <w:rPr>
                <w:color w:val="auto"/>
              </w:rPr>
              <w:t>颗粒物（PM</w:t>
            </w:r>
            <w:r>
              <w:rPr>
                <w:color w:val="auto"/>
                <w:vertAlign w:val="subscript"/>
              </w:rPr>
              <w:t>2.5</w:t>
            </w:r>
            <w:r>
              <w:rPr>
                <w:color w:val="auto"/>
              </w:rPr>
              <w:t>）</w:t>
            </w:r>
          </w:p>
        </w:tc>
        <w:tc>
          <w:tcPr>
            <w:tcW w:w="1843" w:type="dxa"/>
            <w:vAlign w:val="center"/>
          </w:tcPr>
          <w:p w14:paraId="32F6158B">
            <w:pPr>
              <w:pStyle w:val="33"/>
              <w:rPr>
                <w:color w:val="auto"/>
              </w:rPr>
            </w:pPr>
            <w:r>
              <w:rPr>
                <w:color w:val="auto"/>
              </w:rPr>
              <w:t>年平均</w:t>
            </w:r>
          </w:p>
        </w:tc>
        <w:tc>
          <w:tcPr>
            <w:tcW w:w="851" w:type="dxa"/>
            <w:vAlign w:val="center"/>
          </w:tcPr>
          <w:p w14:paraId="25A5509C">
            <w:pPr>
              <w:pStyle w:val="33"/>
              <w:rPr>
                <w:color w:val="auto"/>
              </w:rPr>
            </w:pPr>
            <w:r>
              <w:rPr>
                <w:color w:val="auto"/>
              </w:rPr>
              <w:t>μg/m</w:t>
            </w:r>
            <w:r>
              <w:rPr>
                <w:color w:val="auto"/>
                <w:vertAlign w:val="superscript"/>
              </w:rPr>
              <w:t>3</w:t>
            </w:r>
          </w:p>
        </w:tc>
        <w:tc>
          <w:tcPr>
            <w:tcW w:w="2409" w:type="dxa"/>
            <w:vAlign w:val="center"/>
          </w:tcPr>
          <w:p w14:paraId="521245B7">
            <w:pPr>
              <w:pStyle w:val="33"/>
              <w:rPr>
                <w:color w:val="auto"/>
              </w:rPr>
            </w:pPr>
            <w:r>
              <w:rPr>
                <w:color w:val="auto"/>
              </w:rPr>
              <w:t>35</w:t>
            </w:r>
          </w:p>
        </w:tc>
        <w:tc>
          <w:tcPr>
            <w:tcW w:w="2374" w:type="dxa"/>
            <w:vMerge w:val="continue"/>
            <w:vAlign w:val="center"/>
          </w:tcPr>
          <w:p w14:paraId="22095D8A">
            <w:pPr>
              <w:pStyle w:val="33"/>
              <w:rPr>
                <w:color w:val="auto"/>
              </w:rPr>
            </w:pPr>
          </w:p>
        </w:tc>
      </w:tr>
      <w:tr w14:paraId="2B080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75A3FB2E">
            <w:pPr>
              <w:pStyle w:val="33"/>
              <w:rPr>
                <w:color w:val="auto"/>
              </w:rPr>
            </w:pPr>
          </w:p>
        </w:tc>
        <w:tc>
          <w:tcPr>
            <w:tcW w:w="1843" w:type="dxa"/>
            <w:vAlign w:val="center"/>
          </w:tcPr>
          <w:p w14:paraId="2EE80108">
            <w:pPr>
              <w:pStyle w:val="33"/>
              <w:rPr>
                <w:color w:val="auto"/>
              </w:rPr>
            </w:pPr>
            <w:r>
              <w:rPr>
                <w:color w:val="auto"/>
              </w:rPr>
              <w:t>24小时平均</w:t>
            </w:r>
          </w:p>
        </w:tc>
        <w:tc>
          <w:tcPr>
            <w:tcW w:w="851" w:type="dxa"/>
            <w:vAlign w:val="center"/>
          </w:tcPr>
          <w:p w14:paraId="157C6A59">
            <w:pPr>
              <w:pStyle w:val="33"/>
              <w:rPr>
                <w:color w:val="auto"/>
              </w:rPr>
            </w:pPr>
            <w:r>
              <w:rPr>
                <w:color w:val="auto"/>
              </w:rPr>
              <w:t>μg/m</w:t>
            </w:r>
            <w:r>
              <w:rPr>
                <w:color w:val="auto"/>
                <w:vertAlign w:val="superscript"/>
              </w:rPr>
              <w:t>3</w:t>
            </w:r>
          </w:p>
        </w:tc>
        <w:tc>
          <w:tcPr>
            <w:tcW w:w="2409" w:type="dxa"/>
            <w:vAlign w:val="center"/>
          </w:tcPr>
          <w:p w14:paraId="61089506">
            <w:pPr>
              <w:pStyle w:val="33"/>
              <w:rPr>
                <w:color w:val="auto"/>
              </w:rPr>
            </w:pPr>
            <w:r>
              <w:rPr>
                <w:color w:val="auto"/>
              </w:rPr>
              <w:t>75</w:t>
            </w:r>
          </w:p>
        </w:tc>
        <w:tc>
          <w:tcPr>
            <w:tcW w:w="2374" w:type="dxa"/>
            <w:vMerge w:val="continue"/>
            <w:vAlign w:val="center"/>
          </w:tcPr>
          <w:p w14:paraId="2149E5F7">
            <w:pPr>
              <w:pStyle w:val="33"/>
              <w:rPr>
                <w:color w:val="auto"/>
              </w:rPr>
            </w:pPr>
          </w:p>
        </w:tc>
      </w:tr>
      <w:tr w14:paraId="11936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DD93795">
            <w:pPr>
              <w:pStyle w:val="33"/>
              <w:rPr>
                <w:color w:val="auto"/>
              </w:rPr>
            </w:pPr>
            <w:r>
              <w:rPr>
                <w:color w:val="auto"/>
              </w:rPr>
              <w:t>总悬浮颗粒物（TSP）</w:t>
            </w:r>
          </w:p>
        </w:tc>
        <w:tc>
          <w:tcPr>
            <w:tcW w:w="1843" w:type="dxa"/>
            <w:vAlign w:val="center"/>
          </w:tcPr>
          <w:p w14:paraId="41363615">
            <w:pPr>
              <w:pStyle w:val="33"/>
              <w:rPr>
                <w:color w:val="auto"/>
              </w:rPr>
            </w:pPr>
            <w:r>
              <w:rPr>
                <w:color w:val="auto"/>
              </w:rPr>
              <w:t>年平均</w:t>
            </w:r>
          </w:p>
        </w:tc>
        <w:tc>
          <w:tcPr>
            <w:tcW w:w="851" w:type="dxa"/>
            <w:vAlign w:val="center"/>
          </w:tcPr>
          <w:p w14:paraId="57C58D48">
            <w:pPr>
              <w:pStyle w:val="33"/>
              <w:rPr>
                <w:color w:val="auto"/>
              </w:rPr>
            </w:pPr>
            <w:r>
              <w:rPr>
                <w:color w:val="auto"/>
              </w:rPr>
              <w:t>μg/m</w:t>
            </w:r>
            <w:r>
              <w:rPr>
                <w:color w:val="auto"/>
                <w:vertAlign w:val="superscript"/>
              </w:rPr>
              <w:t>3</w:t>
            </w:r>
          </w:p>
        </w:tc>
        <w:tc>
          <w:tcPr>
            <w:tcW w:w="2409" w:type="dxa"/>
            <w:vAlign w:val="center"/>
          </w:tcPr>
          <w:p w14:paraId="50C9F233">
            <w:pPr>
              <w:pStyle w:val="33"/>
              <w:rPr>
                <w:color w:val="auto"/>
              </w:rPr>
            </w:pPr>
            <w:r>
              <w:rPr>
                <w:color w:val="auto"/>
              </w:rPr>
              <w:t>200</w:t>
            </w:r>
          </w:p>
        </w:tc>
        <w:tc>
          <w:tcPr>
            <w:tcW w:w="2374" w:type="dxa"/>
            <w:vMerge w:val="continue"/>
            <w:vAlign w:val="center"/>
          </w:tcPr>
          <w:p w14:paraId="6E5D6FB5">
            <w:pPr>
              <w:pStyle w:val="33"/>
              <w:rPr>
                <w:color w:val="auto"/>
              </w:rPr>
            </w:pPr>
          </w:p>
        </w:tc>
      </w:tr>
      <w:tr w14:paraId="33CEF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E4F6DF6">
            <w:pPr>
              <w:pStyle w:val="33"/>
              <w:rPr>
                <w:color w:val="auto"/>
              </w:rPr>
            </w:pPr>
          </w:p>
        </w:tc>
        <w:tc>
          <w:tcPr>
            <w:tcW w:w="1843" w:type="dxa"/>
            <w:vAlign w:val="center"/>
          </w:tcPr>
          <w:p w14:paraId="283A694F">
            <w:pPr>
              <w:pStyle w:val="33"/>
              <w:rPr>
                <w:color w:val="auto"/>
              </w:rPr>
            </w:pPr>
            <w:r>
              <w:rPr>
                <w:color w:val="auto"/>
              </w:rPr>
              <w:t>24小时平均</w:t>
            </w:r>
          </w:p>
        </w:tc>
        <w:tc>
          <w:tcPr>
            <w:tcW w:w="851" w:type="dxa"/>
            <w:vAlign w:val="center"/>
          </w:tcPr>
          <w:p w14:paraId="63E6C79A">
            <w:pPr>
              <w:pStyle w:val="33"/>
              <w:rPr>
                <w:color w:val="auto"/>
              </w:rPr>
            </w:pPr>
            <w:r>
              <w:rPr>
                <w:color w:val="auto"/>
              </w:rPr>
              <w:t>μg/m</w:t>
            </w:r>
            <w:r>
              <w:rPr>
                <w:color w:val="auto"/>
                <w:vertAlign w:val="superscript"/>
              </w:rPr>
              <w:t>3</w:t>
            </w:r>
          </w:p>
        </w:tc>
        <w:tc>
          <w:tcPr>
            <w:tcW w:w="2409" w:type="dxa"/>
            <w:vAlign w:val="center"/>
          </w:tcPr>
          <w:p w14:paraId="278438DC">
            <w:pPr>
              <w:pStyle w:val="33"/>
              <w:rPr>
                <w:color w:val="auto"/>
              </w:rPr>
            </w:pPr>
            <w:r>
              <w:rPr>
                <w:color w:val="auto"/>
              </w:rPr>
              <w:t>300</w:t>
            </w:r>
          </w:p>
        </w:tc>
        <w:tc>
          <w:tcPr>
            <w:tcW w:w="2374" w:type="dxa"/>
            <w:vMerge w:val="continue"/>
            <w:vAlign w:val="center"/>
          </w:tcPr>
          <w:p w14:paraId="16862891">
            <w:pPr>
              <w:pStyle w:val="33"/>
              <w:rPr>
                <w:color w:val="auto"/>
              </w:rPr>
            </w:pPr>
          </w:p>
        </w:tc>
      </w:tr>
      <w:tr w14:paraId="73A34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2516AFBB">
            <w:pPr>
              <w:pStyle w:val="33"/>
              <w:rPr>
                <w:color w:val="auto"/>
              </w:rPr>
            </w:pPr>
            <w:r>
              <w:rPr>
                <w:color w:val="auto"/>
              </w:rPr>
              <w:t>CO</w:t>
            </w:r>
          </w:p>
        </w:tc>
        <w:tc>
          <w:tcPr>
            <w:tcW w:w="1843" w:type="dxa"/>
            <w:vAlign w:val="center"/>
          </w:tcPr>
          <w:p w14:paraId="72606129">
            <w:pPr>
              <w:pStyle w:val="33"/>
              <w:rPr>
                <w:color w:val="auto"/>
              </w:rPr>
            </w:pPr>
            <w:r>
              <w:rPr>
                <w:color w:val="auto"/>
              </w:rPr>
              <w:t>24小时平均</w:t>
            </w:r>
          </w:p>
        </w:tc>
        <w:tc>
          <w:tcPr>
            <w:tcW w:w="851" w:type="dxa"/>
            <w:vAlign w:val="center"/>
          </w:tcPr>
          <w:p w14:paraId="767C65FD">
            <w:pPr>
              <w:pStyle w:val="33"/>
              <w:rPr>
                <w:color w:val="auto"/>
              </w:rPr>
            </w:pPr>
            <w:r>
              <w:rPr>
                <w:color w:val="auto"/>
              </w:rPr>
              <w:t>μg/m</w:t>
            </w:r>
            <w:r>
              <w:rPr>
                <w:color w:val="auto"/>
                <w:vertAlign w:val="superscript"/>
              </w:rPr>
              <w:t>3</w:t>
            </w:r>
          </w:p>
        </w:tc>
        <w:tc>
          <w:tcPr>
            <w:tcW w:w="2409" w:type="dxa"/>
            <w:vAlign w:val="center"/>
          </w:tcPr>
          <w:p w14:paraId="1D61A41B">
            <w:pPr>
              <w:pStyle w:val="33"/>
              <w:rPr>
                <w:color w:val="auto"/>
              </w:rPr>
            </w:pPr>
            <w:r>
              <w:rPr>
                <w:color w:val="auto"/>
              </w:rPr>
              <w:t>4</w:t>
            </w:r>
          </w:p>
        </w:tc>
        <w:tc>
          <w:tcPr>
            <w:tcW w:w="2374" w:type="dxa"/>
            <w:vMerge w:val="continue"/>
            <w:vAlign w:val="center"/>
          </w:tcPr>
          <w:p w14:paraId="45E169C3">
            <w:pPr>
              <w:pStyle w:val="33"/>
              <w:rPr>
                <w:color w:val="auto"/>
              </w:rPr>
            </w:pPr>
          </w:p>
        </w:tc>
      </w:tr>
      <w:tr w14:paraId="70A1E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936ED63">
            <w:pPr>
              <w:pStyle w:val="33"/>
              <w:rPr>
                <w:color w:val="auto"/>
              </w:rPr>
            </w:pPr>
          </w:p>
        </w:tc>
        <w:tc>
          <w:tcPr>
            <w:tcW w:w="1843" w:type="dxa"/>
            <w:vAlign w:val="center"/>
          </w:tcPr>
          <w:p w14:paraId="2B3DE0EF">
            <w:pPr>
              <w:pStyle w:val="33"/>
              <w:rPr>
                <w:color w:val="auto"/>
              </w:rPr>
            </w:pPr>
            <w:r>
              <w:rPr>
                <w:color w:val="auto"/>
              </w:rPr>
              <w:t>1小时平均</w:t>
            </w:r>
          </w:p>
        </w:tc>
        <w:tc>
          <w:tcPr>
            <w:tcW w:w="851" w:type="dxa"/>
            <w:vAlign w:val="center"/>
          </w:tcPr>
          <w:p w14:paraId="7FEAEEDC">
            <w:pPr>
              <w:pStyle w:val="33"/>
              <w:rPr>
                <w:color w:val="auto"/>
              </w:rPr>
            </w:pPr>
            <w:r>
              <w:rPr>
                <w:color w:val="auto"/>
              </w:rPr>
              <w:t>μg/m</w:t>
            </w:r>
            <w:r>
              <w:rPr>
                <w:color w:val="auto"/>
                <w:vertAlign w:val="superscript"/>
              </w:rPr>
              <w:t>3</w:t>
            </w:r>
          </w:p>
        </w:tc>
        <w:tc>
          <w:tcPr>
            <w:tcW w:w="2409" w:type="dxa"/>
            <w:vAlign w:val="center"/>
          </w:tcPr>
          <w:p w14:paraId="72DA7D68">
            <w:pPr>
              <w:pStyle w:val="33"/>
              <w:rPr>
                <w:color w:val="auto"/>
              </w:rPr>
            </w:pPr>
            <w:r>
              <w:rPr>
                <w:color w:val="auto"/>
              </w:rPr>
              <w:t>10</w:t>
            </w:r>
          </w:p>
        </w:tc>
        <w:tc>
          <w:tcPr>
            <w:tcW w:w="2374" w:type="dxa"/>
            <w:vMerge w:val="continue"/>
            <w:vAlign w:val="center"/>
          </w:tcPr>
          <w:p w14:paraId="4309F8FD">
            <w:pPr>
              <w:pStyle w:val="33"/>
              <w:rPr>
                <w:color w:val="auto"/>
              </w:rPr>
            </w:pPr>
          </w:p>
        </w:tc>
      </w:tr>
      <w:tr w14:paraId="5CE24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DF3955B">
            <w:pPr>
              <w:pStyle w:val="33"/>
              <w:rPr>
                <w:color w:val="auto"/>
              </w:rPr>
            </w:pPr>
            <w:r>
              <w:rPr>
                <w:color w:val="auto"/>
              </w:rPr>
              <w:t>O</w:t>
            </w:r>
            <w:r>
              <w:rPr>
                <w:color w:val="auto"/>
                <w:vertAlign w:val="subscript"/>
              </w:rPr>
              <w:t>3</w:t>
            </w:r>
          </w:p>
        </w:tc>
        <w:tc>
          <w:tcPr>
            <w:tcW w:w="1843" w:type="dxa"/>
            <w:vAlign w:val="center"/>
          </w:tcPr>
          <w:p w14:paraId="54B57057">
            <w:pPr>
              <w:pStyle w:val="33"/>
              <w:rPr>
                <w:color w:val="auto"/>
              </w:rPr>
            </w:pPr>
            <w:r>
              <w:rPr>
                <w:color w:val="auto"/>
              </w:rPr>
              <w:t>日最大8h平均</w:t>
            </w:r>
          </w:p>
        </w:tc>
        <w:tc>
          <w:tcPr>
            <w:tcW w:w="851" w:type="dxa"/>
            <w:vAlign w:val="center"/>
          </w:tcPr>
          <w:p w14:paraId="4FA3A0DB">
            <w:pPr>
              <w:pStyle w:val="33"/>
              <w:rPr>
                <w:color w:val="auto"/>
              </w:rPr>
            </w:pPr>
            <w:r>
              <w:rPr>
                <w:color w:val="auto"/>
              </w:rPr>
              <w:t>μg/m</w:t>
            </w:r>
            <w:r>
              <w:rPr>
                <w:color w:val="auto"/>
                <w:vertAlign w:val="superscript"/>
              </w:rPr>
              <w:t>3</w:t>
            </w:r>
          </w:p>
        </w:tc>
        <w:tc>
          <w:tcPr>
            <w:tcW w:w="2409" w:type="dxa"/>
            <w:vAlign w:val="center"/>
          </w:tcPr>
          <w:p w14:paraId="535ED6F0">
            <w:pPr>
              <w:pStyle w:val="33"/>
              <w:rPr>
                <w:color w:val="auto"/>
              </w:rPr>
            </w:pPr>
            <w:r>
              <w:rPr>
                <w:color w:val="auto"/>
              </w:rPr>
              <w:t>160</w:t>
            </w:r>
          </w:p>
        </w:tc>
        <w:tc>
          <w:tcPr>
            <w:tcW w:w="2374" w:type="dxa"/>
            <w:vMerge w:val="continue"/>
            <w:vAlign w:val="center"/>
          </w:tcPr>
          <w:p w14:paraId="786885CF">
            <w:pPr>
              <w:pStyle w:val="33"/>
              <w:rPr>
                <w:color w:val="auto"/>
              </w:rPr>
            </w:pPr>
          </w:p>
        </w:tc>
      </w:tr>
      <w:tr w14:paraId="6155A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6EE923E4">
            <w:pPr>
              <w:pStyle w:val="33"/>
              <w:rPr>
                <w:color w:val="auto"/>
              </w:rPr>
            </w:pPr>
          </w:p>
        </w:tc>
        <w:tc>
          <w:tcPr>
            <w:tcW w:w="1843" w:type="dxa"/>
            <w:vAlign w:val="center"/>
          </w:tcPr>
          <w:p w14:paraId="0112D5AC">
            <w:pPr>
              <w:pStyle w:val="33"/>
              <w:rPr>
                <w:color w:val="auto"/>
              </w:rPr>
            </w:pPr>
            <w:r>
              <w:rPr>
                <w:color w:val="auto"/>
              </w:rPr>
              <w:t>1小时平均</w:t>
            </w:r>
          </w:p>
        </w:tc>
        <w:tc>
          <w:tcPr>
            <w:tcW w:w="851" w:type="dxa"/>
            <w:vAlign w:val="center"/>
          </w:tcPr>
          <w:p w14:paraId="4A9BD411">
            <w:pPr>
              <w:pStyle w:val="33"/>
              <w:rPr>
                <w:color w:val="auto"/>
              </w:rPr>
            </w:pPr>
            <w:r>
              <w:rPr>
                <w:color w:val="auto"/>
              </w:rPr>
              <w:t>μg/m</w:t>
            </w:r>
            <w:r>
              <w:rPr>
                <w:color w:val="auto"/>
                <w:vertAlign w:val="superscript"/>
              </w:rPr>
              <w:t>3</w:t>
            </w:r>
          </w:p>
        </w:tc>
        <w:tc>
          <w:tcPr>
            <w:tcW w:w="2409" w:type="dxa"/>
            <w:vAlign w:val="center"/>
          </w:tcPr>
          <w:p w14:paraId="57236CF0">
            <w:pPr>
              <w:pStyle w:val="33"/>
              <w:rPr>
                <w:color w:val="auto"/>
              </w:rPr>
            </w:pPr>
            <w:r>
              <w:rPr>
                <w:color w:val="auto"/>
              </w:rPr>
              <w:t>200</w:t>
            </w:r>
          </w:p>
        </w:tc>
        <w:tc>
          <w:tcPr>
            <w:tcW w:w="2374" w:type="dxa"/>
            <w:vMerge w:val="continue"/>
            <w:vAlign w:val="center"/>
          </w:tcPr>
          <w:p w14:paraId="0517138D">
            <w:pPr>
              <w:pStyle w:val="33"/>
              <w:rPr>
                <w:color w:val="auto"/>
              </w:rPr>
            </w:pPr>
          </w:p>
        </w:tc>
      </w:tr>
      <w:tr w14:paraId="3C88F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2EB2EEDC">
            <w:pPr>
              <w:pStyle w:val="33"/>
              <w:rPr>
                <w:color w:val="auto"/>
              </w:rPr>
            </w:pPr>
            <w:r>
              <w:rPr>
                <w:color w:val="auto"/>
              </w:rPr>
              <w:t>二氧化硫</w:t>
            </w:r>
          </w:p>
          <w:p w14:paraId="21823661">
            <w:pPr>
              <w:pStyle w:val="33"/>
              <w:rPr>
                <w:color w:val="auto"/>
              </w:rPr>
            </w:pPr>
            <w:r>
              <w:rPr>
                <w:color w:val="auto"/>
              </w:rPr>
              <w:t>（SO</w:t>
            </w:r>
            <w:r>
              <w:rPr>
                <w:color w:val="auto"/>
                <w:vertAlign w:val="subscript"/>
              </w:rPr>
              <w:t>2</w:t>
            </w:r>
            <w:r>
              <w:rPr>
                <w:color w:val="auto"/>
              </w:rPr>
              <w:t>）</w:t>
            </w:r>
          </w:p>
        </w:tc>
        <w:tc>
          <w:tcPr>
            <w:tcW w:w="1843" w:type="dxa"/>
            <w:vAlign w:val="center"/>
          </w:tcPr>
          <w:p w14:paraId="1B6CF385">
            <w:pPr>
              <w:pStyle w:val="33"/>
              <w:rPr>
                <w:color w:val="auto"/>
              </w:rPr>
            </w:pPr>
            <w:r>
              <w:rPr>
                <w:color w:val="auto"/>
              </w:rPr>
              <w:t>年平均</w:t>
            </w:r>
          </w:p>
        </w:tc>
        <w:tc>
          <w:tcPr>
            <w:tcW w:w="851" w:type="dxa"/>
            <w:vMerge w:val="restart"/>
            <w:vAlign w:val="center"/>
          </w:tcPr>
          <w:p w14:paraId="3DC6E559">
            <w:pPr>
              <w:pStyle w:val="33"/>
              <w:rPr>
                <w:color w:val="auto"/>
              </w:rPr>
            </w:pPr>
            <w:r>
              <w:rPr>
                <w:color w:val="auto"/>
              </w:rPr>
              <w:t>μg/m</w:t>
            </w:r>
            <w:r>
              <w:rPr>
                <w:color w:val="auto"/>
                <w:vertAlign w:val="superscript"/>
              </w:rPr>
              <w:t>3</w:t>
            </w:r>
          </w:p>
        </w:tc>
        <w:tc>
          <w:tcPr>
            <w:tcW w:w="2409" w:type="dxa"/>
            <w:vAlign w:val="center"/>
          </w:tcPr>
          <w:p w14:paraId="12594B5F">
            <w:pPr>
              <w:pStyle w:val="33"/>
              <w:rPr>
                <w:color w:val="auto"/>
              </w:rPr>
            </w:pPr>
            <w:r>
              <w:rPr>
                <w:color w:val="auto"/>
              </w:rPr>
              <w:t>60</w:t>
            </w:r>
          </w:p>
        </w:tc>
        <w:tc>
          <w:tcPr>
            <w:tcW w:w="2374" w:type="dxa"/>
            <w:vMerge w:val="restart"/>
            <w:vAlign w:val="center"/>
          </w:tcPr>
          <w:p w14:paraId="06AD2C4B">
            <w:pPr>
              <w:pStyle w:val="33"/>
              <w:rPr>
                <w:color w:val="auto"/>
              </w:rPr>
            </w:pPr>
            <w:r>
              <w:rPr>
                <w:rFonts w:hint="eastAsia"/>
                <w:color w:val="auto"/>
              </w:rPr>
              <w:t>《环境空气质量标准》（G</w:t>
            </w:r>
            <w:r>
              <w:rPr>
                <w:color w:val="auto"/>
              </w:rPr>
              <w:t>B3095-2026</w:t>
            </w:r>
            <w:r>
              <w:rPr>
                <w:rFonts w:hint="eastAsia"/>
                <w:color w:val="auto"/>
              </w:rPr>
              <w:t>）过渡阶段（</w:t>
            </w:r>
            <w:r>
              <w:rPr>
                <w:color w:val="auto"/>
              </w:rPr>
              <w:t>2026-2030</w:t>
            </w:r>
            <w:r>
              <w:rPr>
                <w:rFonts w:hint="eastAsia"/>
                <w:color w:val="auto"/>
              </w:rPr>
              <w:t>年）</w:t>
            </w:r>
          </w:p>
        </w:tc>
      </w:tr>
      <w:tr w14:paraId="4CF0C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6D5B5674">
            <w:pPr>
              <w:pStyle w:val="33"/>
              <w:rPr>
                <w:color w:val="auto"/>
              </w:rPr>
            </w:pPr>
          </w:p>
        </w:tc>
        <w:tc>
          <w:tcPr>
            <w:tcW w:w="1843" w:type="dxa"/>
            <w:vAlign w:val="center"/>
          </w:tcPr>
          <w:p w14:paraId="6410873D">
            <w:pPr>
              <w:pStyle w:val="33"/>
              <w:rPr>
                <w:color w:val="auto"/>
              </w:rPr>
            </w:pPr>
            <w:r>
              <w:rPr>
                <w:color w:val="auto"/>
              </w:rPr>
              <w:t>24小时平均</w:t>
            </w:r>
          </w:p>
        </w:tc>
        <w:tc>
          <w:tcPr>
            <w:tcW w:w="851" w:type="dxa"/>
            <w:vMerge w:val="continue"/>
            <w:vAlign w:val="center"/>
          </w:tcPr>
          <w:p w14:paraId="69212CF6">
            <w:pPr>
              <w:pStyle w:val="33"/>
              <w:rPr>
                <w:color w:val="auto"/>
              </w:rPr>
            </w:pPr>
          </w:p>
        </w:tc>
        <w:tc>
          <w:tcPr>
            <w:tcW w:w="2409" w:type="dxa"/>
            <w:vAlign w:val="center"/>
          </w:tcPr>
          <w:p w14:paraId="38C6D899">
            <w:pPr>
              <w:pStyle w:val="33"/>
              <w:rPr>
                <w:color w:val="auto"/>
              </w:rPr>
            </w:pPr>
            <w:r>
              <w:rPr>
                <w:color w:val="auto"/>
              </w:rPr>
              <w:t>150</w:t>
            </w:r>
          </w:p>
        </w:tc>
        <w:tc>
          <w:tcPr>
            <w:tcW w:w="2374" w:type="dxa"/>
            <w:vMerge w:val="continue"/>
            <w:vAlign w:val="center"/>
          </w:tcPr>
          <w:p w14:paraId="3F702964">
            <w:pPr>
              <w:pStyle w:val="33"/>
              <w:rPr>
                <w:color w:val="auto"/>
              </w:rPr>
            </w:pPr>
          </w:p>
        </w:tc>
      </w:tr>
      <w:tr w14:paraId="7FB71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4C7F78D1">
            <w:pPr>
              <w:pStyle w:val="33"/>
              <w:rPr>
                <w:color w:val="auto"/>
              </w:rPr>
            </w:pPr>
          </w:p>
        </w:tc>
        <w:tc>
          <w:tcPr>
            <w:tcW w:w="1843" w:type="dxa"/>
            <w:vAlign w:val="center"/>
          </w:tcPr>
          <w:p w14:paraId="514ABD18">
            <w:pPr>
              <w:pStyle w:val="33"/>
              <w:rPr>
                <w:color w:val="auto"/>
              </w:rPr>
            </w:pPr>
            <w:r>
              <w:rPr>
                <w:color w:val="auto"/>
              </w:rPr>
              <w:t>1小时平均</w:t>
            </w:r>
          </w:p>
        </w:tc>
        <w:tc>
          <w:tcPr>
            <w:tcW w:w="851" w:type="dxa"/>
            <w:vMerge w:val="continue"/>
            <w:vAlign w:val="center"/>
          </w:tcPr>
          <w:p w14:paraId="3B453363">
            <w:pPr>
              <w:pStyle w:val="33"/>
              <w:rPr>
                <w:color w:val="auto"/>
              </w:rPr>
            </w:pPr>
          </w:p>
        </w:tc>
        <w:tc>
          <w:tcPr>
            <w:tcW w:w="2409" w:type="dxa"/>
            <w:vAlign w:val="center"/>
          </w:tcPr>
          <w:p w14:paraId="68D1257E">
            <w:pPr>
              <w:pStyle w:val="33"/>
              <w:rPr>
                <w:color w:val="auto"/>
              </w:rPr>
            </w:pPr>
            <w:r>
              <w:rPr>
                <w:color w:val="auto"/>
              </w:rPr>
              <w:t>500</w:t>
            </w:r>
          </w:p>
        </w:tc>
        <w:tc>
          <w:tcPr>
            <w:tcW w:w="2374" w:type="dxa"/>
            <w:vMerge w:val="continue"/>
            <w:vAlign w:val="center"/>
          </w:tcPr>
          <w:p w14:paraId="3A984C62">
            <w:pPr>
              <w:pStyle w:val="33"/>
              <w:rPr>
                <w:color w:val="auto"/>
              </w:rPr>
            </w:pPr>
          </w:p>
        </w:tc>
      </w:tr>
      <w:tr w14:paraId="553B2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2F01DEC9">
            <w:pPr>
              <w:pStyle w:val="33"/>
              <w:rPr>
                <w:color w:val="auto"/>
              </w:rPr>
            </w:pPr>
            <w:r>
              <w:rPr>
                <w:color w:val="auto"/>
              </w:rPr>
              <w:t>二氧化氮</w:t>
            </w:r>
          </w:p>
          <w:p w14:paraId="75CC98B6">
            <w:pPr>
              <w:pStyle w:val="33"/>
              <w:rPr>
                <w:color w:val="auto"/>
              </w:rPr>
            </w:pPr>
            <w:r>
              <w:rPr>
                <w:color w:val="auto"/>
              </w:rPr>
              <w:t>（NO</w:t>
            </w:r>
            <w:r>
              <w:rPr>
                <w:color w:val="auto"/>
                <w:vertAlign w:val="subscript"/>
              </w:rPr>
              <w:t>2</w:t>
            </w:r>
            <w:r>
              <w:rPr>
                <w:color w:val="auto"/>
              </w:rPr>
              <w:t>）</w:t>
            </w:r>
          </w:p>
        </w:tc>
        <w:tc>
          <w:tcPr>
            <w:tcW w:w="1843" w:type="dxa"/>
            <w:vAlign w:val="center"/>
          </w:tcPr>
          <w:p w14:paraId="450B7A33">
            <w:pPr>
              <w:pStyle w:val="33"/>
              <w:rPr>
                <w:color w:val="auto"/>
              </w:rPr>
            </w:pPr>
            <w:r>
              <w:rPr>
                <w:color w:val="auto"/>
              </w:rPr>
              <w:t>年平均</w:t>
            </w:r>
          </w:p>
        </w:tc>
        <w:tc>
          <w:tcPr>
            <w:tcW w:w="851" w:type="dxa"/>
            <w:vMerge w:val="restart"/>
            <w:vAlign w:val="center"/>
          </w:tcPr>
          <w:p w14:paraId="645BC892">
            <w:pPr>
              <w:pStyle w:val="33"/>
              <w:rPr>
                <w:color w:val="auto"/>
              </w:rPr>
            </w:pPr>
            <w:r>
              <w:rPr>
                <w:color w:val="auto"/>
              </w:rPr>
              <w:t>μg/m</w:t>
            </w:r>
            <w:r>
              <w:rPr>
                <w:color w:val="auto"/>
                <w:vertAlign w:val="superscript"/>
              </w:rPr>
              <w:t>3</w:t>
            </w:r>
          </w:p>
        </w:tc>
        <w:tc>
          <w:tcPr>
            <w:tcW w:w="2409" w:type="dxa"/>
            <w:vAlign w:val="center"/>
          </w:tcPr>
          <w:p w14:paraId="302A8545">
            <w:pPr>
              <w:pStyle w:val="33"/>
              <w:rPr>
                <w:color w:val="auto"/>
              </w:rPr>
            </w:pPr>
            <w:r>
              <w:rPr>
                <w:color w:val="auto"/>
              </w:rPr>
              <w:t>40</w:t>
            </w:r>
          </w:p>
        </w:tc>
        <w:tc>
          <w:tcPr>
            <w:tcW w:w="2374" w:type="dxa"/>
            <w:vMerge w:val="continue"/>
            <w:vAlign w:val="center"/>
          </w:tcPr>
          <w:p w14:paraId="6A47880C">
            <w:pPr>
              <w:pStyle w:val="33"/>
              <w:rPr>
                <w:color w:val="auto"/>
              </w:rPr>
            </w:pPr>
          </w:p>
        </w:tc>
      </w:tr>
      <w:tr w14:paraId="49E9D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987BF10">
            <w:pPr>
              <w:pStyle w:val="33"/>
              <w:rPr>
                <w:color w:val="auto"/>
              </w:rPr>
            </w:pPr>
          </w:p>
        </w:tc>
        <w:tc>
          <w:tcPr>
            <w:tcW w:w="1843" w:type="dxa"/>
            <w:vAlign w:val="center"/>
          </w:tcPr>
          <w:p w14:paraId="47B9B5C2">
            <w:pPr>
              <w:pStyle w:val="33"/>
              <w:rPr>
                <w:color w:val="auto"/>
              </w:rPr>
            </w:pPr>
            <w:r>
              <w:rPr>
                <w:color w:val="auto"/>
              </w:rPr>
              <w:t>24小时平均</w:t>
            </w:r>
          </w:p>
        </w:tc>
        <w:tc>
          <w:tcPr>
            <w:tcW w:w="851" w:type="dxa"/>
            <w:vMerge w:val="continue"/>
            <w:vAlign w:val="center"/>
          </w:tcPr>
          <w:p w14:paraId="3A7EB15D">
            <w:pPr>
              <w:pStyle w:val="33"/>
              <w:rPr>
                <w:color w:val="auto"/>
              </w:rPr>
            </w:pPr>
          </w:p>
        </w:tc>
        <w:tc>
          <w:tcPr>
            <w:tcW w:w="2409" w:type="dxa"/>
            <w:vAlign w:val="center"/>
          </w:tcPr>
          <w:p w14:paraId="2967071E">
            <w:pPr>
              <w:pStyle w:val="33"/>
              <w:rPr>
                <w:color w:val="auto"/>
              </w:rPr>
            </w:pPr>
            <w:r>
              <w:rPr>
                <w:color w:val="auto"/>
              </w:rPr>
              <w:t>80</w:t>
            </w:r>
          </w:p>
        </w:tc>
        <w:tc>
          <w:tcPr>
            <w:tcW w:w="2374" w:type="dxa"/>
            <w:vMerge w:val="continue"/>
            <w:vAlign w:val="center"/>
          </w:tcPr>
          <w:p w14:paraId="7088C491">
            <w:pPr>
              <w:pStyle w:val="33"/>
              <w:rPr>
                <w:color w:val="auto"/>
              </w:rPr>
            </w:pPr>
          </w:p>
        </w:tc>
      </w:tr>
      <w:tr w14:paraId="0E45B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2A08D2E7">
            <w:pPr>
              <w:pStyle w:val="33"/>
              <w:rPr>
                <w:color w:val="auto"/>
              </w:rPr>
            </w:pPr>
          </w:p>
        </w:tc>
        <w:tc>
          <w:tcPr>
            <w:tcW w:w="1843" w:type="dxa"/>
            <w:vAlign w:val="center"/>
          </w:tcPr>
          <w:p w14:paraId="2F8FC1AF">
            <w:pPr>
              <w:pStyle w:val="33"/>
              <w:rPr>
                <w:color w:val="auto"/>
              </w:rPr>
            </w:pPr>
            <w:r>
              <w:rPr>
                <w:color w:val="auto"/>
              </w:rPr>
              <w:t>1小时平均</w:t>
            </w:r>
          </w:p>
        </w:tc>
        <w:tc>
          <w:tcPr>
            <w:tcW w:w="851" w:type="dxa"/>
            <w:vAlign w:val="center"/>
          </w:tcPr>
          <w:p w14:paraId="39062147">
            <w:pPr>
              <w:pStyle w:val="33"/>
              <w:rPr>
                <w:color w:val="auto"/>
              </w:rPr>
            </w:pPr>
            <w:r>
              <w:rPr>
                <w:color w:val="auto"/>
              </w:rPr>
              <w:t>μg/m</w:t>
            </w:r>
            <w:r>
              <w:rPr>
                <w:color w:val="auto"/>
                <w:vertAlign w:val="superscript"/>
              </w:rPr>
              <w:t>3</w:t>
            </w:r>
          </w:p>
        </w:tc>
        <w:tc>
          <w:tcPr>
            <w:tcW w:w="2409" w:type="dxa"/>
            <w:vAlign w:val="center"/>
          </w:tcPr>
          <w:p w14:paraId="3B377E4E">
            <w:pPr>
              <w:pStyle w:val="33"/>
              <w:rPr>
                <w:color w:val="auto"/>
              </w:rPr>
            </w:pPr>
            <w:r>
              <w:rPr>
                <w:color w:val="auto"/>
              </w:rPr>
              <w:t>200</w:t>
            </w:r>
          </w:p>
        </w:tc>
        <w:tc>
          <w:tcPr>
            <w:tcW w:w="2374" w:type="dxa"/>
            <w:vMerge w:val="continue"/>
            <w:vAlign w:val="center"/>
          </w:tcPr>
          <w:p w14:paraId="5AF5442F">
            <w:pPr>
              <w:pStyle w:val="33"/>
              <w:rPr>
                <w:color w:val="auto"/>
              </w:rPr>
            </w:pPr>
          </w:p>
        </w:tc>
      </w:tr>
      <w:tr w14:paraId="65819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23328AB4">
            <w:pPr>
              <w:pStyle w:val="33"/>
              <w:rPr>
                <w:color w:val="auto"/>
              </w:rPr>
            </w:pPr>
            <w:r>
              <w:rPr>
                <w:rFonts w:hint="eastAsia"/>
                <w:color w:val="auto"/>
              </w:rPr>
              <w:t>颗粒物</w:t>
            </w:r>
            <w:r>
              <w:rPr>
                <w:color w:val="auto"/>
              </w:rPr>
              <w:t>（PM</w:t>
            </w:r>
            <w:r>
              <w:rPr>
                <w:color w:val="auto"/>
                <w:vertAlign w:val="subscript"/>
              </w:rPr>
              <w:t>10</w:t>
            </w:r>
            <w:r>
              <w:rPr>
                <w:color w:val="auto"/>
              </w:rPr>
              <w:t>）</w:t>
            </w:r>
          </w:p>
        </w:tc>
        <w:tc>
          <w:tcPr>
            <w:tcW w:w="1843" w:type="dxa"/>
            <w:vAlign w:val="center"/>
          </w:tcPr>
          <w:p w14:paraId="64FFD409">
            <w:pPr>
              <w:pStyle w:val="33"/>
              <w:rPr>
                <w:color w:val="auto"/>
              </w:rPr>
            </w:pPr>
            <w:r>
              <w:rPr>
                <w:color w:val="auto"/>
              </w:rPr>
              <w:t>年平均</w:t>
            </w:r>
          </w:p>
        </w:tc>
        <w:tc>
          <w:tcPr>
            <w:tcW w:w="851" w:type="dxa"/>
            <w:vAlign w:val="center"/>
          </w:tcPr>
          <w:p w14:paraId="45764366">
            <w:pPr>
              <w:pStyle w:val="33"/>
              <w:rPr>
                <w:color w:val="auto"/>
              </w:rPr>
            </w:pPr>
            <w:r>
              <w:rPr>
                <w:color w:val="auto"/>
              </w:rPr>
              <w:t>μg/m</w:t>
            </w:r>
            <w:r>
              <w:rPr>
                <w:color w:val="auto"/>
                <w:vertAlign w:val="superscript"/>
              </w:rPr>
              <w:t>3</w:t>
            </w:r>
          </w:p>
        </w:tc>
        <w:tc>
          <w:tcPr>
            <w:tcW w:w="2409" w:type="dxa"/>
            <w:vAlign w:val="center"/>
          </w:tcPr>
          <w:p w14:paraId="650469A2">
            <w:pPr>
              <w:pStyle w:val="33"/>
              <w:rPr>
                <w:color w:val="auto"/>
              </w:rPr>
            </w:pPr>
            <w:r>
              <w:rPr>
                <w:rFonts w:hint="eastAsia"/>
                <w:color w:val="auto"/>
              </w:rPr>
              <w:t>60</w:t>
            </w:r>
          </w:p>
        </w:tc>
        <w:tc>
          <w:tcPr>
            <w:tcW w:w="2374" w:type="dxa"/>
            <w:vMerge w:val="continue"/>
            <w:vAlign w:val="center"/>
          </w:tcPr>
          <w:p w14:paraId="755553ED">
            <w:pPr>
              <w:pStyle w:val="33"/>
              <w:rPr>
                <w:color w:val="auto"/>
              </w:rPr>
            </w:pPr>
          </w:p>
        </w:tc>
      </w:tr>
      <w:tr w14:paraId="1FD94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368D8913">
            <w:pPr>
              <w:pStyle w:val="33"/>
              <w:rPr>
                <w:color w:val="auto"/>
              </w:rPr>
            </w:pPr>
          </w:p>
        </w:tc>
        <w:tc>
          <w:tcPr>
            <w:tcW w:w="1843" w:type="dxa"/>
            <w:vAlign w:val="center"/>
          </w:tcPr>
          <w:p w14:paraId="6ED06695">
            <w:pPr>
              <w:pStyle w:val="33"/>
              <w:rPr>
                <w:color w:val="auto"/>
              </w:rPr>
            </w:pPr>
            <w:r>
              <w:rPr>
                <w:color w:val="auto"/>
              </w:rPr>
              <w:t>24小时平均</w:t>
            </w:r>
          </w:p>
        </w:tc>
        <w:tc>
          <w:tcPr>
            <w:tcW w:w="851" w:type="dxa"/>
            <w:vAlign w:val="center"/>
          </w:tcPr>
          <w:p w14:paraId="4BFC434F">
            <w:pPr>
              <w:pStyle w:val="33"/>
              <w:rPr>
                <w:color w:val="auto"/>
              </w:rPr>
            </w:pPr>
            <w:r>
              <w:rPr>
                <w:color w:val="auto"/>
              </w:rPr>
              <w:t>μg/m</w:t>
            </w:r>
            <w:r>
              <w:rPr>
                <w:color w:val="auto"/>
                <w:vertAlign w:val="superscript"/>
              </w:rPr>
              <w:t>3</w:t>
            </w:r>
          </w:p>
        </w:tc>
        <w:tc>
          <w:tcPr>
            <w:tcW w:w="2409" w:type="dxa"/>
            <w:vAlign w:val="center"/>
          </w:tcPr>
          <w:p w14:paraId="27AF1E2B">
            <w:pPr>
              <w:pStyle w:val="33"/>
              <w:rPr>
                <w:color w:val="auto"/>
              </w:rPr>
            </w:pPr>
            <w:r>
              <w:rPr>
                <w:rFonts w:hint="eastAsia"/>
                <w:color w:val="auto"/>
              </w:rPr>
              <w:t>120</w:t>
            </w:r>
          </w:p>
        </w:tc>
        <w:tc>
          <w:tcPr>
            <w:tcW w:w="2374" w:type="dxa"/>
            <w:vMerge w:val="continue"/>
            <w:vAlign w:val="center"/>
          </w:tcPr>
          <w:p w14:paraId="042523C1">
            <w:pPr>
              <w:pStyle w:val="33"/>
              <w:rPr>
                <w:color w:val="auto"/>
              </w:rPr>
            </w:pPr>
          </w:p>
        </w:tc>
      </w:tr>
      <w:tr w14:paraId="27585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D40CE87">
            <w:pPr>
              <w:pStyle w:val="33"/>
              <w:rPr>
                <w:color w:val="auto"/>
              </w:rPr>
            </w:pPr>
            <w:r>
              <w:rPr>
                <w:color w:val="auto"/>
              </w:rPr>
              <w:t>颗粒物（PM</w:t>
            </w:r>
            <w:r>
              <w:rPr>
                <w:color w:val="auto"/>
                <w:vertAlign w:val="subscript"/>
              </w:rPr>
              <w:t>2.5</w:t>
            </w:r>
            <w:r>
              <w:rPr>
                <w:color w:val="auto"/>
              </w:rPr>
              <w:t>）</w:t>
            </w:r>
          </w:p>
        </w:tc>
        <w:tc>
          <w:tcPr>
            <w:tcW w:w="1843" w:type="dxa"/>
            <w:vAlign w:val="center"/>
          </w:tcPr>
          <w:p w14:paraId="6A400DCC">
            <w:pPr>
              <w:pStyle w:val="33"/>
              <w:rPr>
                <w:color w:val="auto"/>
              </w:rPr>
            </w:pPr>
            <w:r>
              <w:rPr>
                <w:color w:val="auto"/>
              </w:rPr>
              <w:t>年平均</w:t>
            </w:r>
          </w:p>
        </w:tc>
        <w:tc>
          <w:tcPr>
            <w:tcW w:w="851" w:type="dxa"/>
            <w:vAlign w:val="center"/>
          </w:tcPr>
          <w:p w14:paraId="365E3595">
            <w:pPr>
              <w:pStyle w:val="33"/>
              <w:rPr>
                <w:color w:val="auto"/>
              </w:rPr>
            </w:pPr>
            <w:r>
              <w:rPr>
                <w:color w:val="auto"/>
              </w:rPr>
              <w:t>μg/m</w:t>
            </w:r>
            <w:r>
              <w:rPr>
                <w:color w:val="auto"/>
                <w:vertAlign w:val="superscript"/>
              </w:rPr>
              <w:t>3</w:t>
            </w:r>
          </w:p>
        </w:tc>
        <w:tc>
          <w:tcPr>
            <w:tcW w:w="2409" w:type="dxa"/>
            <w:vAlign w:val="center"/>
          </w:tcPr>
          <w:p w14:paraId="573A733D">
            <w:pPr>
              <w:pStyle w:val="33"/>
              <w:rPr>
                <w:color w:val="auto"/>
              </w:rPr>
            </w:pPr>
            <w:r>
              <w:rPr>
                <w:rFonts w:hint="eastAsia"/>
                <w:color w:val="auto"/>
              </w:rPr>
              <w:t>30</w:t>
            </w:r>
          </w:p>
        </w:tc>
        <w:tc>
          <w:tcPr>
            <w:tcW w:w="2374" w:type="dxa"/>
            <w:vMerge w:val="continue"/>
            <w:vAlign w:val="center"/>
          </w:tcPr>
          <w:p w14:paraId="7863CA64">
            <w:pPr>
              <w:pStyle w:val="33"/>
              <w:rPr>
                <w:color w:val="auto"/>
              </w:rPr>
            </w:pPr>
          </w:p>
        </w:tc>
      </w:tr>
      <w:tr w14:paraId="1F65E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03690228">
            <w:pPr>
              <w:pStyle w:val="33"/>
              <w:rPr>
                <w:color w:val="auto"/>
              </w:rPr>
            </w:pPr>
          </w:p>
        </w:tc>
        <w:tc>
          <w:tcPr>
            <w:tcW w:w="1843" w:type="dxa"/>
            <w:vAlign w:val="center"/>
          </w:tcPr>
          <w:p w14:paraId="6E8462F0">
            <w:pPr>
              <w:pStyle w:val="33"/>
              <w:rPr>
                <w:color w:val="auto"/>
              </w:rPr>
            </w:pPr>
            <w:r>
              <w:rPr>
                <w:color w:val="auto"/>
              </w:rPr>
              <w:t>24小时平均</w:t>
            </w:r>
          </w:p>
        </w:tc>
        <w:tc>
          <w:tcPr>
            <w:tcW w:w="851" w:type="dxa"/>
            <w:vAlign w:val="center"/>
          </w:tcPr>
          <w:p w14:paraId="67D48A0B">
            <w:pPr>
              <w:pStyle w:val="33"/>
              <w:rPr>
                <w:color w:val="auto"/>
              </w:rPr>
            </w:pPr>
            <w:r>
              <w:rPr>
                <w:color w:val="auto"/>
              </w:rPr>
              <w:t>μg/m</w:t>
            </w:r>
            <w:r>
              <w:rPr>
                <w:color w:val="auto"/>
                <w:vertAlign w:val="superscript"/>
              </w:rPr>
              <w:t>3</w:t>
            </w:r>
          </w:p>
        </w:tc>
        <w:tc>
          <w:tcPr>
            <w:tcW w:w="2409" w:type="dxa"/>
            <w:vAlign w:val="center"/>
          </w:tcPr>
          <w:p w14:paraId="5FC0C7BF">
            <w:pPr>
              <w:pStyle w:val="33"/>
              <w:rPr>
                <w:color w:val="auto"/>
              </w:rPr>
            </w:pPr>
            <w:r>
              <w:rPr>
                <w:rFonts w:hint="eastAsia"/>
                <w:color w:val="auto"/>
              </w:rPr>
              <w:t>60</w:t>
            </w:r>
          </w:p>
        </w:tc>
        <w:tc>
          <w:tcPr>
            <w:tcW w:w="2374" w:type="dxa"/>
            <w:vMerge w:val="continue"/>
            <w:vAlign w:val="center"/>
          </w:tcPr>
          <w:p w14:paraId="01BBDEFB">
            <w:pPr>
              <w:pStyle w:val="33"/>
              <w:rPr>
                <w:color w:val="auto"/>
              </w:rPr>
            </w:pPr>
          </w:p>
        </w:tc>
      </w:tr>
      <w:tr w14:paraId="76A95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23981B62">
            <w:pPr>
              <w:pStyle w:val="33"/>
              <w:rPr>
                <w:color w:val="auto"/>
              </w:rPr>
            </w:pPr>
            <w:r>
              <w:rPr>
                <w:color w:val="auto"/>
              </w:rPr>
              <w:t>总悬浮颗粒物（TSP）</w:t>
            </w:r>
          </w:p>
        </w:tc>
        <w:tc>
          <w:tcPr>
            <w:tcW w:w="1843" w:type="dxa"/>
            <w:vAlign w:val="center"/>
          </w:tcPr>
          <w:p w14:paraId="1D5F5020">
            <w:pPr>
              <w:pStyle w:val="33"/>
              <w:rPr>
                <w:color w:val="auto"/>
              </w:rPr>
            </w:pPr>
            <w:r>
              <w:rPr>
                <w:color w:val="auto"/>
              </w:rPr>
              <w:t>年平均</w:t>
            </w:r>
          </w:p>
        </w:tc>
        <w:tc>
          <w:tcPr>
            <w:tcW w:w="851" w:type="dxa"/>
            <w:vAlign w:val="center"/>
          </w:tcPr>
          <w:p w14:paraId="6C91A713">
            <w:pPr>
              <w:pStyle w:val="33"/>
              <w:rPr>
                <w:color w:val="auto"/>
              </w:rPr>
            </w:pPr>
            <w:r>
              <w:rPr>
                <w:color w:val="auto"/>
              </w:rPr>
              <w:t>μg/m</w:t>
            </w:r>
            <w:r>
              <w:rPr>
                <w:color w:val="auto"/>
                <w:vertAlign w:val="superscript"/>
              </w:rPr>
              <w:t>3</w:t>
            </w:r>
          </w:p>
        </w:tc>
        <w:tc>
          <w:tcPr>
            <w:tcW w:w="2409" w:type="dxa"/>
            <w:vAlign w:val="center"/>
          </w:tcPr>
          <w:p w14:paraId="2AC380BC">
            <w:pPr>
              <w:pStyle w:val="33"/>
              <w:rPr>
                <w:color w:val="auto"/>
              </w:rPr>
            </w:pPr>
            <w:r>
              <w:rPr>
                <w:color w:val="auto"/>
              </w:rPr>
              <w:t>200</w:t>
            </w:r>
          </w:p>
        </w:tc>
        <w:tc>
          <w:tcPr>
            <w:tcW w:w="2374" w:type="dxa"/>
            <w:vMerge w:val="continue"/>
            <w:vAlign w:val="center"/>
          </w:tcPr>
          <w:p w14:paraId="292E7774">
            <w:pPr>
              <w:pStyle w:val="33"/>
              <w:rPr>
                <w:color w:val="auto"/>
              </w:rPr>
            </w:pPr>
          </w:p>
        </w:tc>
      </w:tr>
      <w:tr w14:paraId="51468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997A2C8">
            <w:pPr>
              <w:pStyle w:val="33"/>
              <w:rPr>
                <w:color w:val="auto"/>
              </w:rPr>
            </w:pPr>
          </w:p>
        </w:tc>
        <w:tc>
          <w:tcPr>
            <w:tcW w:w="1843" w:type="dxa"/>
            <w:vAlign w:val="center"/>
          </w:tcPr>
          <w:p w14:paraId="294CCA9E">
            <w:pPr>
              <w:pStyle w:val="33"/>
              <w:rPr>
                <w:color w:val="auto"/>
              </w:rPr>
            </w:pPr>
            <w:r>
              <w:rPr>
                <w:color w:val="auto"/>
              </w:rPr>
              <w:t>24小时平均</w:t>
            </w:r>
          </w:p>
        </w:tc>
        <w:tc>
          <w:tcPr>
            <w:tcW w:w="851" w:type="dxa"/>
            <w:vAlign w:val="center"/>
          </w:tcPr>
          <w:p w14:paraId="0205E1D3">
            <w:pPr>
              <w:pStyle w:val="33"/>
              <w:rPr>
                <w:color w:val="auto"/>
              </w:rPr>
            </w:pPr>
            <w:r>
              <w:rPr>
                <w:color w:val="auto"/>
              </w:rPr>
              <w:t>μg/m</w:t>
            </w:r>
            <w:r>
              <w:rPr>
                <w:color w:val="auto"/>
                <w:vertAlign w:val="superscript"/>
              </w:rPr>
              <w:t>3</w:t>
            </w:r>
          </w:p>
        </w:tc>
        <w:tc>
          <w:tcPr>
            <w:tcW w:w="2409" w:type="dxa"/>
            <w:vAlign w:val="center"/>
          </w:tcPr>
          <w:p w14:paraId="36B507A3">
            <w:pPr>
              <w:pStyle w:val="33"/>
              <w:rPr>
                <w:color w:val="auto"/>
              </w:rPr>
            </w:pPr>
            <w:r>
              <w:rPr>
                <w:color w:val="auto"/>
              </w:rPr>
              <w:t>300</w:t>
            </w:r>
          </w:p>
        </w:tc>
        <w:tc>
          <w:tcPr>
            <w:tcW w:w="2374" w:type="dxa"/>
            <w:vMerge w:val="continue"/>
            <w:vAlign w:val="center"/>
          </w:tcPr>
          <w:p w14:paraId="59F2C398">
            <w:pPr>
              <w:pStyle w:val="33"/>
              <w:rPr>
                <w:color w:val="auto"/>
              </w:rPr>
            </w:pPr>
          </w:p>
        </w:tc>
      </w:tr>
      <w:tr w14:paraId="71BEC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195E7345">
            <w:pPr>
              <w:pStyle w:val="33"/>
              <w:rPr>
                <w:color w:val="auto"/>
              </w:rPr>
            </w:pPr>
            <w:r>
              <w:rPr>
                <w:color w:val="auto"/>
              </w:rPr>
              <w:t>CO</w:t>
            </w:r>
          </w:p>
        </w:tc>
        <w:tc>
          <w:tcPr>
            <w:tcW w:w="1843" w:type="dxa"/>
            <w:vAlign w:val="center"/>
          </w:tcPr>
          <w:p w14:paraId="5778CB2C">
            <w:pPr>
              <w:pStyle w:val="33"/>
              <w:rPr>
                <w:color w:val="auto"/>
              </w:rPr>
            </w:pPr>
            <w:r>
              <w:rPr>
                <w:color w:val="auto"/>
              </w:rPr>
              <w:t>24小时平均</w:t>
            </w:r>
          </w:p>
        </w:tc>
        <w:tc>
          <w:tcPr>
            <w:tcW w:w="851" w:type="dxa"/>
            <w:vAlign w:val="center"/>
          </w:tcPr>
          <w:p w14:paraId="50173E29">
            <w:pPr>
              <w:pStyle w:val="33"/>
              <w:rPr>
                <w:color w:val="auto"/>
              </w:rPr>
            </w:pPr>
            <w:r>
              <w:rPr>
                <w:color w:val="auto"/>
              </w:rPr>
              <w:t>μg/m</w:t>
            </w:r>
            <w:r>
              <w:rPr>
                <w:color w:val="auto"/>
                <w:vertAlign w:val="superscript"/>
              </w:rPr>
              <w:t>3</w:t>
            </w:r>
          </w:p>
        </w:tc>
        <w:tc>
          <w:tcPr>
            <w:tcW w:w="2409" w:type="dxa"/>
            <w:vAlign w:val="center"/>
          </w:tcPr>
          <w:p w14:paraId="26B8894E">
            <w:pPr>
              <w:pStyle w:val="33"/>
              <w:rPr>
                <w:color w:val="auto"/>
              </w:rPr>
            </w:pPr>
            <w:r>
              <w:rPr>
                <w:color w:val="auto"/>
              </w:rPr>
              <w:t>4</w:t>
            </w:r>
          </w:p>
        </w:tc>
        <w:tc>
          <w:tcPr>
            <w:tcW w:w="2374" w:type="dxa"/>
            <w:vMerge w:val="continue"/>
            <w:vAlign w:val="center"/>
          </w:tcPr>
          <w:p w14:paraId="10784A15">
            <w:pPr>
              <w:pStyle w:val="33"/>
              <w:rPr>
                <w:color w:val="auto"/>
              </w:rPr>
            </w:pPr>
          </w:p>
        </w:tc>
      </w:tr>
      <w:tr w14:paraId="36375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3F9DCFA4">
            <w:pPr>
              <w:pStyle w:val="33"/>
              <w:rPr>
                <w:color w:val="auto"/>
              </w:rPr>
            </w:pPr>
          </w:p>
        </w:tc>
        <w:tc>
          <w:tcPr>
            <w:tcW w:w="1843" w:type="dxa"/>
            <w:vAlign w:val="center"/>
          </w:tcPr>
          <w:p w14:paraId="2433A1C5">
            <w:pPr>
              <w:pStyle w:val="33"/>
              <w:rPr>
                <w:color w:val="auto"/>
              </w:rPr>
            </w:pPr>
            <w:r>
              <w:rPr>
                <w:color w:val="auto"/>
              </w:rPr>
              <w:t>1小时平均</w:t>
            </w:r>
          </w:p>
        </w:tc>
        <w:tc>
          <w:tcPr>
            <w:tcW w:w="851" w:type="dxa"/>
            <w:vAlign w:val="center"/>
          </w:tcPr>
          <w:p w14:paraId="6BD1B836">
            <w:pPr>
              <w:pStyle w:val="33"/>
              <w:rPr>
                <w:color w:val="auto"/>
              </w:rPr>
            </w:pPr>
            <w:r>
              <w:rPr>
                <w:color w:val="auto"/>
              </w:rPr>
              <w:t>μg/m</w:t>
            </w:r>
            <w:r>
              <w:rPr>
                <w:color w:val="auto"/>
                <w:vertAlign w:val="superscript"/>
              </w:rPr>
              <w:t>3</w:t>
            </w:r>
          </w:p>
        </w:tc>
        <w:tc>
          <w:tcPr>
            <w:tcW w:w="2409" w:type="dxa"/>
            <w:vAlign w:val="center"/>
          </w:tcPr>
          <w:p w14:paraId="6794F1EA">
            <w:pPr>
              <w:pStyle w:val="33"/>
              <w:rPr>
                <w:color w:val="auto"/>
              </w:rPr>
            </w:pPr>
            <w:r>
              <w:rPr>
                <w:color w:val="auto"/>
              </w:rPr>
              <w:t>10</w:t>
            </w:r>
          </w:p>
        </w:tc>
        <w:tc>
          <w:tcPr>
            <w:tcW w:w="2374" w:type="dxa"/>
            <w:vMerge w:val="continue"/>
            <w:vAlign w:val="center"/>
          </w:tcPr>
          <w:p w14:paraId="5811996A">
            <w:pPr>
              <w:pStyle w:val="33"/>
              <w:rPr>
                <w:color w:val="auto"/>
              </w:rPr>
            </w:pPr>
          </w:p>
        </w:tc>
      </w:tr>
      <w:tr w14:paraId="6E900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4272A46">
            <w:pPr>
              <w:pStyle w:val="33"/>
              <w:rPr>
                <w:color w:val="auto"/>
              </w:rPr>
            </w:pPr>
            <w:r>
              <w:rPr>
                <w:color w:val="auto"/>
              </w:rPr>
              <w:t>O</w:t>
            </w:r>
            <w:r>
              <w:rPr>
                <w:color w:val="auto"/>
                <w:vertAlign w:val="subscript"/>
              </w:rPr>
              <w:t>3</w:t>
            </w:r>
          </w:p>
        </w:tc>
        <w:tc>
          <w:tcPr>
            <w:tcW w:w="1843" w:type="dxa"/>
            <w:vAlign w:val="center"/>
          </w:tcPr>
          <w:p w14:paraId="6D8D75AD">
            <w:pPr>
              <w:pStyle w:val="33"/>
              <w:rPr>
                <w:color w:val="auto"/>
              </w:rPr>
            </w:pPr>
            <w:r>
              <w:rPr>
                <w:color w:val="auto"/>
              </w:rPr>
              <w:t>日最大8h平均</w:t>
            </w:r>
          </w:p>
        </w:tc>
        <w:tc>
          <w:tcPr>
            <w:tcW w:w="851" w:type="dxa"/>
            <w:vAlign w:val="center"/>
          </w:tcPr>
          <w:p w14:paraId="66E85B2A">
            <w:pPr>
              <w:pStyle w:val="33"/>
              <w:rPr>
                <w:color w:val="auto"/>
              </w:rPr>
            </w:pPr>
            <w:r>
              <w:rPr>
                <w:color w:val="auto"/>
              </w:rPr>
              <w:t>μg/m</w:t>
            </w:r>
            <w:r>
              <w:rPr>
                <w:color w:val="auto"/>
                <w:vertAlign w:val="superscript"/>
              </w:rPr>
              <w:t>3</w:t>
            </w:r>
          </w:p>
        </w:tc>
        <w:tc>
          <w:tcPr>
            <w:tcW w:w="2409" w:type="dxa"/>
            <w:vAlign w:val="center"/>
          </w:tcPr>
          <w:p w14:paraId="7AFE5B0E">
            <w:pPr>
              <w:pStyle w:val="33"/>
              <w:rPr>
                <w:color w:val="auto"/>
              </w:rPr>
            </w:pPr>
            <w:r>
              <w:rPr>
                <w:color w:val="auto"/>
              </w:rPr>
              <w:t>160</w:t>
            </w:r>
          </w:p>
        </w:tc>
        <w:tc>
          <w:tcPr>
            <w:tcW w:w="2374" w:type="dxa"/>
            <w:vMerge w:val="continue"/>
            <w:vAlign w:val="center"/>
          </w:tcPr>
          <w:p w14:paraId="0AF83182">
            <w:pPr>
              <w:pStyle w:val="33"/>
              <w:rPr>
                <w:color w:val="auto"/>
              </w:rPr>
            </w:pPr>
          </w:p>
        </w:tc>
      </w:tr>
      <w:tr w14:paraId="67AD9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257B7145">
            <w:pPr>
              <w:pStyle w:val="33"/>
              <w:rPr>
                <w:color w:val="auto"/>
              </w:rPr>
            </w:pPr>
          </w:p>
        </w:tc>
        <w:tc>
          <w:tcPr>
            <w:tcW w:w="1843" w:type="dxa"/>
            <w:vAlign w:val="center"/>
          </w:tcPr>
          <w:p w14:paraId="0BB531EC">
            <w:pPr>
              <w:pStyle w:val="33"/>
              <w:rPr>
                <w:color w:val="auto"/>
              </w:rPr>
            </w:pPr>
            <w:r>
              <w:rPr>
                <w:color w:val="auto"/>
              </w:rPr>
              <w:t>1小时平均</w:t>
            </w:r>
          </w:p>
        </w:tc>
        <w:tc>
          <w:tcPr>
            <w:tcW w:w="851" w:type="dxa"/>
            <w:vAlign w:val="center"/>
          </w:tcPr>
          <w:p w14:paraId="4148D3A5">
            <w:pPr>
              <w:pStyle w:val="33"/>
              <w:rPr>
                <w:color w:val="auto"/>
              </w:rPr>
            </w:pPr>
            <w:r>
              <w:rPr>
                <w:color w:val="auto"/>
              </w:rPr>
              <w:t>μg/m</w:t>
            </w:r>
            <w:r>
              <w:rPr>
                <w:color w:val="auto"/>
                <w:vertAlign w:val="superscript"/>
              </w:rPr>
              <w:t>3</w:t>
            </w:r>
          </w:p>
        </w:tc>
        <w:tc>
          <w:tcPr>
            <w:tcW w:w="2409" w:type="dxa"/>
            <w:vAlign w:val="center"/>
          </w:tcPr>
          <w:p w14:paraId="21EC4187">
            <w:pPr>
              <w:pStyle w:val="33"/>
              <w:rPr>
                <w:color w:val="auto"/>
              </w:rPr>
            </w:pPr>
            <w:r>
              <w:rPr>
                <w:color w:val="auto"/>
              </w:rPr>
              <w:t>200</w:t>
            </w:r>
          </w:p>
        </w:tc>
        <w:tc>
          <w:tcPr>
            <w:tcW w:w="2374" w:type="dxa"/>
            <w:vMerge w:val="continue"/>
            <w:vAlign w:val="center"/>
          </w:tcPr>
          <w:p w14:paraId="7F9A90AF">
            <w:pPr>
              <w:pStyle w:val="33"/>
              <w:rPr>
                <w:color w:val="auto"/>
              </w:rPr>
            </w:pPr>
          </w:p>
        </w:tc>
      </w:tr>
      <w:tr w14:paraId="3C506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962D3D5">
            <w:pPr>
              <w:pStyle w:val="33"/>
              <w:rPr>
                <w:color w:val="auto"/>
              </w:rPr>
            </w:pPr>
            <w:r>
              <w:rPr>
                <w:color w:val="auto"/>
              </w:rPr>
              <w:t>二氧化</w:t>
            </w:r>
            <w:r>
              <w:rPr>
                <w:rFonts w:hint="eastAsia"/>
                <w:color w:val="auto"/>
              </w:rPr>
              <w:t xml:space="preserve"> </w:t>
            </w:r>
            <w:r>
              <w:rPr>
                <w:color w:val="auto"/>
              </w:rPr>
              <w:t>硫</w:t>
            </w:r>
          </w:p>
          <w:p w14:paraId="2F655B10">
            <w:pPr>
              <w:pStyle w:val="33"/>
              <w:rPr>
                <w:color w:val="auto"/>
              </w:rPr>
            </w:pPr>
            <w:r>
              <w:rPr>
                <w:color w:val="auto"/>
              </w:rPr>
              <w:t>（SO</w:t>
            </w:r>
            <w:r>
              <w:rPr>
                <w:color w:val="auto"/>
                <w:vertAlign w:val="subscript"/>
              </w:rPr>
              <w:t>2</w:t>
            </w:r>
            <w:r>
              <w:rPr>
                <w:color w:val="auto"/>
              </w:rPr>
              <w:t>）</w:t>
            </w:r>
          </w:p>
        </w:tc>
        <w:tc>
          <w:tcPr>
            <w:tcW w:w="1843" w:type="dxa"/>
            <w:vAlign w:val="center"/>
          </w:tcPr>
          <w:p w14:paraId="5E632FA1">
            <w:pPr>
              <w:pStyle w:val="33"/>
              <w:rPr>
                <w:color w:val="auto"/>
              </w:rPr>
            </w:pPr>
            <w:r>
              <w:rPr>
                <w:color w:val="auto"/>
              </w:rPr>
              <w:t>年平均</w:t>
            </w:r>
          </w:p>
        </w:tc>
        <w:tc>
          <w:tcPr>
            <w:tcW w:w="851" w:type="dxa"/>
            <w:vMerge w:val="restart"/>
            <w:vAlign w:val="center"/>
          </w:tcPr>
          <w:p w14:paraId="1E2723E2">
            <w:pPr>
              <w:pStyle w:val="33"/>
              <w:rPr>
                <w:color w:val="auto"/>
              </w:rPr>
            </w:pPr>
            <w:r>
              <w:rPr>
                <w:color w:val="auto"/>
              </w:rPr>
              <w:t>μg/m</w:t>
            </w:r>
            <w:r>
              <w:rPr>
                <w:color w:val="auto"/>
                <w:vertAlign w:val="superscript"/>
              </w:rPr>
              <w:t>3</w:t>
            </w:r>
          </w:p>
        </w:tc>
        <w:tc>
          <w:tcPr>
            <w:tcW w:w="2409" w:type="dxa"/>
            <w:vAlign w:val="center"/>
          </w:tcPr>
          <w:p w14:paraId="5E985A42">
            <w:pPr>
              <w:pStyle w:val="33"/>
              <w:rPr>
                <w:color w:val="auto"/>
              </w:rPr>
            </w:pPr>
            <w:r>
              <w:rPr>
                <w:rFonts w:hint="eastAsia"/>
                <w:color w:val="auto"/>
              </w:rPr>
              <w:t>20</w:t>
            </w:r>
          </w:p>
        </w:tc>
        <w:tc>
          <w:tcPr>
            <w:tcW w:w="2374" w:type="dxa"/>
            <w:vMerge w:val="restart"/>
            <w:vAlign w:val="center"/>
          </w:tcPr>
          <w:p w14:paraId="15CB88EB">
            <w:pPr>
              <w:pStyle w:val="33"/>
              <w:rPr>
                <w:color w:val="auto"/>
              </w:rPr>
            </w:pPr>
            <w:r>
              <w:rPr>
                <w:rFonts w:hint="eastAsia"/>
                <w:color w:val="auto"/>
              </w:rPr>
              <w:t>《环境空气质量标准》（GB3095-2026）（</w:t>
            </w:r>
            <w:r>
              <w:rPr>
                <w:color w:val="auto"/>
              </w:rPr>
              <w:t>2031</w:t>
            </w:r>
            <w:r>
              <w:rPr>
                <w:rFonts w:hint="eastAsia"/>
                <w:color w:val="auto"/>
              </w:rPr>
              <w:t>年</w:t>
            </w:r>
            <w:r>
              <w:rPr>
                <w:color w:val="auto"/>
              </w:rPr>
              <w:t>1</w:t>
            </w:r>
            <w:r>
              <w:rPr>
                <w:rFonts w:hint="eastAsia"/>
                <w:color w:val="auto"/>
              </w:rPr>
              <w:t>月</w:t>
            </w:r>
            <w:r>
              <w:rPr>
                <w:color w:val="auto"/>
              </w:rPr>
              <w:t>1</w:t>
            </w:r>
            <w:r>
              <w:rPr>
                <w:rFonts w:hint="eastAsia"/>
                <w:color w:val="auto"/>
              </w:rPr>
              <w:t>日起）</w:t>
            </w:r>
          </w:p>
        </w:tc>
      </w:tr>
      <w:tr w14:paraId="77BAB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74303657">
            <w:pPr>
              <w:pStyle w:val="33"/>
              <w:rPr>
                <w:color w:val="auto"/>
              </w:rPr>
            </w:pPr>
          </w:p>
        </w:tc>
        <w:tc>
          <w:tcPr>
            <w:tcW w:w="1843" w:type="dxa"/>
            <w:vAlign w:val="center"/>
          </w:tcPr>
          <w:p w14:paraId="78A1A69B">
            <w:pPr>
              <w:pStyle w:val="33"/>
              <w:rPr>
                <w:color w:val="auto"/>
              </w:rPr>
            </w:pPr>
            <w:r>
              <w:rPr>
                <w:color w:val="auto"/>
              </w:rPr>
              <w:t>24小时平均</w:t>
            </w:r>
          </w:p>
        </w:tc>
        <w:tc>
          <w:tcPr>
            <w:tcW w:w="851" w:type="dxa"/>
            <w:vMerge w:val="continue"/>
            <w:vAlign w:val="center"/>
          </w:tcPr>
          <w:p w14:paraId="6C818403">
            <w:pPr>
              <w:pStyle w:val="33"/>
              <w:rPr>
                <w:color w:val="auto"/>
              </w:rPr>
            </w:pPr>
          </w:p>
        </w:tc>
        <w:tc>
          <w:tcPr>
            <w:tcW w:w="2409" w:type="dxa"/>
            <w:vAlign w:val="center"/>
          </w:tcPr>
          <w:p w14:paraId="3FB26319">
            <w:pPr>
              <w:pStyle w:val="33"/>
              <w:rPr>
                <w:color w:val="auto"/>
              </w:rPr>
            </w:pPr>
            <w:r>
              <w:rPr>
                <w:rFonts w:hint="eastAsia"/>
                <w:color w:val="auto"/>
              </w:rPr>
              <w:t>50</w:t>
            </w:r>
          </w:p>
        </w:tc>
        <w:tc>
          <w:tcPr>
            <w:tcW w:w="2374" w:type="dxa"/>
            <w:vMerge w:val="continue"/>
            <w:vAlign w:val="center"/>
          </w:tcPr>
          <w:p w14:paraId="3990813C">
            <w:pPr>
              <w:pStyle w:val="33"/>
              <w:rPr>
                <w:color w:val="auto"/>
              </w:rPr>
            </w:pPr>
          </w:p>
        </w:tc>
      </w:tr>
      <w:tr w14:paraId="7FD64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1C1B69A">
            <w:pPr>
              <w:pStyle w:val="33"/>
              <w:rPr>
                <w:color w:val="auto"/>
              </w:rPr>
            </w:pPr>
          </w:p>
        </w:tc>
        <w:tc>
          <w:tcPr>
            <w:tcW w:w="1843" w:type="dxa"/>
            <w:vAlign w:val="center"/>
          </w:tcPr>
          <w:p w14:paraId="0F87038C">
            <w:pPr>
              <w:pStyle w:val="33"/>
              <w:rPr>
                <w:color w:val="auto"/>
              </w:rPr>
            </w:pPr>
            <w:r>
              <w:rPr>
                <w:color w:val="auto"/>
              </w:rPr>
              <w:t>1小时平均</w:t>
            </w:r>
          </w:p>
        </w:tc>
        <w:tc>
          <w:tcPr>
            <w:tcW w:w="851" w:type="dxa"/>
            <w:vMerge w:val="continue"/>
            <w:vAlign w:val="center"/>
          </w:tcPr>
          <w:p w14:paraId="499FBDEB">
            <w:pPr>
              <w:pStyle w:val="33"/>
              <w:rPr>
                <w:color w:val="auto"/>
              </w:rPr>
            </w:pPr>
          </w:p>
        </w:tc>
        <w:tc>
          <w:tcPr>
            <w:tcW w:w="2409" w:type="dxa"/>
            <w:vAlign w:val="center"/>
          </w:tcPr>
          <w:p w14:paraId="1045B2B8">
            <w:pPr>
              <w:pStyle w:val="33"/>
              <w:rPr>
                <w:color w:val="auto"/>
              </w:rPr>
            </w:pPr>
            <w:r>
              <w:rPr>
                <w:rFonts w:hint="eastAsia"/>
                <w:color w:val="auto"/>
              </w:rPr>
              <w:t>150</w:t>
            </w:r>
          </w:p>
        </w:tc>
        <w:tc>
          <w:tcPr>
            <w:tcW w:w="2374" w:type="dxa"/>
            <w:vMerge w:val="continue"/>
            <w:vAlign w:val="center"/>
          </w:tcPr>
          <w:p w14:paraId="5CE60838">
            <w:pPr>
              <w:pStyle w:val="33"/>
              <w:rPr>
                <w:color w:val="auto"/>
              </w:rPr>
            </w:pPr>
          </w:p>
        </w:tc>
      </w:tr>
      <w:tr w14:paraId="33B0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59B6BA60">
            <w:pPr>
              <w:pStyle w:val="33"/>
              <w:rPr>
                <w:color w:val="auto"/>
              </w:rPr>
            </w:pPr>
            <w:r>
              <w:rPr>
                <w:color w:val="auto"/>
              </w:rPr>
              <w:t>二氧化氮</w:t>
            </w:r>
          </w:p>
          <w:p w14:paraId="5218EDE2">
            <w:pPr>
              <w:pStyle w:val="33"/>
              <w:rPr>
                <w:color w:val="auto"/>
              </w:rPr>
            </w:pPr>
            <w:r>
              <w:rPr>
                <w:color w:val="auto"/>
              </w:rPr>
              <w:t>（NO</w:t>
            </w:r>
            <w:r>
              <w:rPr>
                <w:color w:val="auto"/>
                <w:vertAlign w:val="subscript"/>
              </w:rPr>
              <w:t>2</w:t>
            </w:r>
            <w:r>
              <w:rPr>
                <w:color w:val="auto"/>
              </w:rPr>
              <w:t>）</w:t>
            </w:r>
          </w:p>
        </w:tc>
        <w:tc>
          <w:tcPr>
            <w:tcW w:w="1843" w:type="dxa"/>
            <w:vAlign w:val="center"/>
          </w:tcPr>
          <w:p w14:paraId="216ADE5B">
            <w:pPr>
              <w:pStyle w:val="33"/>
              <w:rPr>
                <w:color w:val="auto"/>
              </w:rPr>
            </w:pPr>
            <w:r>
              <w:rPr>
                <w:color w:val="auto"/>
              </w:rPr>
              <w:t>年平均</w:t>
            </w:r>
          </w:p>
        </w:tc>
        <w:tc>
          <w:tcPr>
            <w:tcW w:w="851" w:type="dxa"/>
            <w:vMerge w:val="restart"/>
            <w:vAlign w:val="center"/>
          </w:tcPr>
          <w:p w14:paraId="1BE10813">
            <w:pPr>
              <w:pStyle w:val="33"/>
              <w:rPr>
                <w:color w:val="auto"/>
              </w:rPr>
            </w:pPr>
            <w:r>
              <w:rPr>
                <w:color w:val="auto"/>
              </w:rPr>
              <w:t>μg/m</w:t>
            </w:r>
            <w:r>
              <w:rPr>
                <w:color w:val="auto"/>
                <w:vertAlign w:val="superscript"/>
              </w:rPr>
              <w:t>3</w:t>
            </w:r>
          </w:p>
        </w:tc>
        <w:tc>
          <w:tcPr>
            <w:tcW w:w="2409" w:type="dxa"/>
            <w:vAlign w:val="center"/>
          </w:tcPr>
          <w:p w14:paraId="22FF9187">
            <w:pPr>
              <w:pStyle w:val="33"/>
              <w:rPr>
                <w:color w:val="auto"/>
              </w:rPr>
            </w:pPr>
            <w:r>
              <w:rPr>
                <w:rFonts w:hint="eastAsia"/>
                <w:color w:val="auto"/>
              </w:rPr>
              <w:t>30</w:t>
            </w:r>
          </w:p>
        </w:tc>
        <w:tc>
          <w:tcPr>
            <w:tcW w:w="2374" w:type="dxa"/>
            <w:vMerge w:val="continue"/>
            <w:vAlign w:val="center"/>
          </w:tcPr>
          <w:p w14:paraId="417EAC9A">
            <w:pPr>
              <w:pStyle w:val="33"/>
              <w:rPr>
                <w:color w:val="auto"/>
              </w:rPr>
            </w:pPr>
          </w:p>
        </w:tc>
      </w:tr>
      <w:tr w14:paraId="34C6F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12FF2860">
            <w:pPr>
              <w:pStyle w:val="33"/>
              <w:rPr>
                <w:color w:val="auto"/>
              </w:rPr>
            </w:pPr>
          </w:p>
        </w:tc>
        <w:tc>
          <w:tcPr>
            <w:tcW w:w="1843" w:type="dxa"/>
            <w:vAlign w:val="center"/>
          </w:tcPr>
          <w:p w14:paraId="61BC9B6D">
            <w:pPr>
              <w:pStyle w:val="33"/>
              <w:rPr>
                <w:color w:val="auto"/>
              </w:rPr>
            </w:pPr>
            <w:r>
              <w:rPr>
                <w:color w:val="auto"/>
              </w:rPr>
              <w:t>24小时平均</w:t>
            </w:r>
          </w:p>
        </w:tc>
        <w:tc>
          <w:tcPr>
            <w:tcW w:w="851" w:type="dxa"/>
            <w:vMerge w:val="continue"/>
            <w:vAlign w:val="center"/>
          </w:tcPr>
          <w:p w14:paraId="1BA3996A">
            <w:pPr>
              <w:pStyle w:val="33"/>
              <w:rPr>
                <w:color w:val="auto"/>
              </w:rPr>
            </w:pPr>
          </w:p>
        </w:tc>
        <w:tc>
          <w:tcPr>
            <w:tcW w:w="2409" w:type="dxa"/>
            <w:vAlign w:val="center"/>
          </w:tcPr>
          <w:p w14:paraId="6E4131CD">
            <w:pPr>
              <w:pStyle w:val="33"/>
              <w:rPr>
                <w:color w:val="auto"/>
              </w:rPr>
            </w:pPr>
            <w:r>
              <w:rPr>
                <w:rFonts w:hint="eastAsia"/>
                <w:color w:val="auto"/>
              </w:rPr>
              <w:t>50</w:t>
            </w:r>
          </w:p>
        </w:tc>
        <w:tc>
          <w:tcPr>
            <w:tcW w:w="2374" w:type="dxa"/>
            <w:vMerge w:val="continue"/>
            <w:vAlign w:val="center"/>
          </w:tcPr>
          <w:p w14:paraId="56206B73">
            <w:pPr>
              <w:pStyle w:val="33"/>
              <w:rPr>
                <w:color w:val="auto"/>
              </w:rPr>
            </w:pPr>
          </w:p>
        </w:tc>
      </w:tr>
      <w:tr w14:paraId="5B01D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0DF54D8">
            <w:pPr>
              <w:pStyle w:val="33"/>
              <w:rPr>
                <w:color w:val="auto"/>
              </w:rPr>
            </w:pPr>
          </w:p>
        </w:tc>
        <w:tc>
          <w:tcPr>
            <w:tcW w:w="1843" w:type="dxa"/>
            <w:vAlign w:val="center"/>
          </w:tcPr>
          <w:p w14:paraId="22C6C2E7">
            <w:pPr>
              <w:pStyle w:val="33"/>
              <w:rPr>
                <w:color w:val="auto"/>
              </w:rPr>
            </w:pPr>
            <w:r>
              <w:rPr>
                <w:color w:val="auto"/>
              </w:rPr>
              <w:t>1小时平均</w:t>
            </w:r>
          </w:p>
        </w:tc>
        <w:tc>
          <w:tcPr>
            <w:tcW w:w="851" w:type="dxa"/>
            <w:vAlign w:val="center"/>
          </w:tcPr>
          <w:p w14:paraId="3E2FE8FE">
            <w:pPr>
              <w:pStyle w:val="33"/>
              <w:rPr>
                <w:color w:val="auto"/>
              </w:rPr>
            </w:pPr>
            <w:r>
              <w:rPr>
                <w:color w:val="auto"/>
              </w:rPr>
              <w:t>μg/m</w:t>
            </w:r>
            <w:r>
              <w:rPr>
                <w:color w:val="auto"/>
                <w:vertAlign w:val="superscript"/>
              </w:rPr>
              <w:t>3</w:t>
            </w:r>
          </w:p>
        </w:tc>
        <w:tc>
          <w:tcPr>
            <w:tcW w:w="2409" w:type="dxa"/>
            <w:vAlign w:val="center"/>
          </w:tcPr>
          <w:p w14:paraId="4F0A2047">
            <w:pPr>
              <w:pStyle w:val="33"/>
              <w:rPr>
                <w:color w:val="auto"/>
              </w:rPr>
            </w:pPr>
            <w:r>
              <w:rPr>
                <w:rFonts w:hint="eastAsia"/>
                <w:color w:val="auto"/>
              </w:rPr>
              <w:t>200</w:t>
            </w:r>
          </w:p>
        </w:tc>
        <w:tc>
          <w:tcPr>
            <w:tcW w:w="2374" w:type="dxa"/>
            <w:vMerge w:val="continue"/>
            <w:vAlign w:val="center"/>
          </w:tcPr>
          <w:p w14:paraId="528532FC">
            <w:pPr>
              <w:pStyle w:val="33"/>
              <w:rPr>
                <w:color w:val="auto"/>
              </w:rPr>
            </w:pPr>
          </w:p>
        </w:tc>
      </w:tr>
      <w:tr w14:paraId="09C06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717B4DE8">
            <w:pPr>
              <w:pStyle w:val="33"/>
              <w:rPr>
                <w:color w:val="auto"/>
              </w:rPr>
            </w:pPr>
            <w:r>
              <w:rPr>
                <w:rFonts w:hint="eastAsia"/>
                <w:color w:val="auto"/>
              </w:rPr>
              <w:t>颗粒物</w:t>
            </w:r>
            <w:r>
              <w:rPr>
                <w:color w:val="auto"/>
              </w:rPr>
              <w:t>（PM</w:t>
            </w:r>
            <w:r>
              <w:rPr>
                <w:color w:val="auto"/>
                <w:vertAlign w:val="subscript"/>
              </w:rPr>
              <w:t>10</w:t>
            </w:r>
            <w:r>
              <w:rPr>
                <w:color w:val="auto"/>
              </w:rPr>
              <w:t>）</w:t>
            </w:r>
          </w:p>
        </w:tc>
        <w:tc>
          <w:tcPr>
            <w:tcW w:w="1843" w:type="dxa"/>
            <w:vAlign w:val="center"/>
          </w:tcPr>
          <w:p w14:paraId="2268A98E">
            <w:pPr>
              <w:pStyle w:val="33"/>
              <w:rPr>
                <w:color w:val="auto"/>
              </w:rPr>
            </w:pPr>
            <w:r>
              <w:rPr>
                <w:color w:val="auto"/>
              </w:rPr>
              <w:t>年平均</w:t>
            </w:r>
          </w:p>
        </w:tc>
        <w:tc>
          <w:tcPr>
            <w:tcW w:w="851" w:type="dxa"/>
            <w:vAlign w:val="center"/>
          </w:tcPr>
          <w:p w14:paraId="243D7232">
            <w:pPr>
              <w:pStyle w:val="33"/>
              <w:rPr>
                <w:color w:val="auto"/>
              </w:rPr>
            </w:pPr>
            <w:r>
              <w:rPr>
                <w:color w:val="auto"/>
              </w:rPr>
              <w:t>μg/m</w:t>
            </w:r>
            <w:r>
              <w:rPr>
                <w:color w:val="auto"/>
                <w:vertAlign w:val="superscript"/>
              </w:rPr>
              <w:t>3</w:t>
            </w:r>
          </w:p>
        </w:tc>
        <w:tc>
          <w:tcPr>
            <w:tcW w:w="2409" w:type="dxa"/>
            <w:vAlign w:val="center"/>
          </w:tcPr>
          <w:p w14:paraId="6452B830">
            <w:pPr>
              <w:pStyle w:val="33"/>
              <w:rPr>
                <w:color w:val="auto"/>
              </w:rPr>
            </w:pPr>
            <w:r>
              <w:rPr>
                <w:rFonts w:hint="eastAsia"/>
                <w:color w:val="auto"/>
              </w:rPr>
              <w:t>50</w:t>
            </w:r>
          </w:p>
        </w:tc>
        <w:tc>
          <w:tcPr>
            <w:tcW w:w="2374" w:type="dxa"/>
            <w:vMerge w:val="continue"/>
            <w:vAlign w:val="center"/>
          </w:tcPr>
          <w:p w14:paraId="5470E2FA">
            <w:pPr>
              <w:pStyle w:val="33"/>
              <w:rPr>
                <w:color w:val="auto"/>
              </w:rPr>
            </w:pPr>
          </w:p>
        </w:tc>
      </w:tr>
      <w:tr w14:paraId="73970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3621C30F">
            <w:pPr>
              <w:pStyle w:val="33"/>
              <w:rPr>
                <w:color w:val="auto"/>
              </w:rPr>
            </w:pPr>
          </w:p>
        </w:tc>
        <w:tc>
          <w:tcPr>
            <w:tcW w:w="1843" w:type="dxa"/>
            <w:vAlign w:val="center"/>
          </w:tcPr>
          <w:p w14:paraId="4844E32D">
            <w:pPr>
              <w:pStyle w:val="33"/>
              <w:rPr>
                <w:color w:val="auto"/>
              </w:rPr>
            </w:pPr>
            <w:r>
              <w:rPr>
                <w:color w:val="auto"/>
              </w:rPr>
              <w:t>24小时平均</w:t>
            </w:r>
          </w:p>
        </w:tc>
        <w:tc>
          <w:tcPr>
            <w:tcW w:w="851" w:type="dxa"/>
            <w:vAlign w:val="center"/>
          </w:tcPr>
          <w:p w14:paraId="15CC0F31">
            <w:pPr>
              <w:pStyle w:val="33"/>
              <w:rPr>
                <w:color w:val="auto"/>
              </w:rPr>
            </w:pPr>
            <w:r>
              <w:rPr>
                <w:color w:val="auto"/>
              </w:rPr>
              <w:t>μg/m</w:t>
            </w:r>
            <w:r>
              <w:rPr>
                <w:color w:val="auto"/>
                <w:vertAlign w:val="superscript"/>
              </w:rPr>
              <w:t>3</w:t>
            </w:r>
          </w:p>
        </w:tc>
        <w:tc>
          <w:tcPr>
            <w:tcW w:w="2409" w:type="dxa"/>
            <w:vAlign w:val="center"/>
          </w:tcPr>
          <w:p w14:paraId="506F761C">
            <w:pPr>
              <w:pStyle w:val="33"/>
              <w:rPr>
                <w:color w:val="auto"/>
              </w:rPr>
            </w:pPr>
            <w:r>
              <w:rPr>
                <w:rFonts w:hint="eastAsia"/>
                <w:color w:val="auto"/>
              </w:rPr>
              <w:t>100</w:t>
            </w:r>
          </w:p>
        </w:tc>
        <w:tc>
          <w:tcPr>
            <w:tcW w:w="2374" w:type="dxa"/>
            <w:vMerge w:val="continue"/>
            <w:vAlign w:val="center"/>
          </w:tcPr>
          <w:p w14:paraId="5F12E98F">
            <w:pPr>
              <w:pStyle w:val="33"/>
              <w:rPr>
                <w:color w:val="auto"/>
              </w:rPr>
            </w:pPr>
          </w:p>
        </w:tc>
      </w:tr>
      <w:tr w14:paraId="3D771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40904E4">
            <w:pPr>
              <w:pStyle w:val="33"/>
              <w:rPr>
                <w:color w:val="auto"/>
              </w:rPr>
            </w:pPr>
            <w:r>
              <w:rPr>
                <w:color w:val="auto"/>
              </w:rPr>
              <w:t>颗粒物（PM</w:t>
            </w:r>
            <w:r>
              <w:rPr>
                <w:color w:val="auto"/>
                <w:vertAlign w:val="subscript"/>
              </w:rPr>
              <w:t>2.5</w:t>
            </w:r>
            <w:r>
              <w:rPr>
                <w:color w:val="auto"/>
              </w:rPr>
              <w:t>）</w:t>
            </w:r>
          </w:p>
        </w:tc>
        <w:tc>
          <w:tcPr>
            <w:tcW w:w="1843" w:type="dxa"/>
            <w:vAlign w:val="center"/>
          </w:tcPr>
          <w:p w14:paraId="690D4484">
            <w:pPr>
              <w:pStyle w:val="33"/>
              <w:rPr>
                <w:color w:val="auto"/>
              </w:rPr>
            </w:pPr>
            <w:r>
              <w:rPr>
                <w:color w:val="auto"/>
              </w:rPr>
              <w:t>年平均</w:t>
            </w:r>
          </w:p>
        </w:tc>
        <w:tc>
          <w:tcPr>
            <w:tcW w:w="851" w:type="dxa"/>
            <w:vAlign w:val="center"/>
          </w:tcPr>
          <w:p w14:paraId="3D0A63CE">
            <w:pPr>
              <w:pStyle w:val="33"/>
              <w:rPr>
                <w:color w:val="auto"/>
              </w:rPr>
            </w:pPr>
            <w:r>
              <w:rPr>
                <w:color w:val="auto"/>
              </w:rPr>
              <w:t>μg/m</w:t>
            </w:r>
            <w:r>
              <w:rPr>
                <w:color w:val="auto"/>
                <w:vertAlign w:val="superscript"/>
              </w:rPr>
              <w:t>3</w:t>
            </w:r>
          </w:p>
        </w:tc>
        <w:tc>
          <w:tcPr>
            <w:tcW w:w="2409" w:type="dxa"/>
            <w:vAlign w:val="center"/>
          </w:tcPr>
          <w:p w14:paraId="52A3A63C">
            <w:pPr>
              <w:pStyle w:val="33"/>
              <w:rPr>
                <w:color w:val="auto"/>
              </w:rPr>
            </w:pPr>
            <w:r>
              <w:rPr>
                <w:rFonts w:hint="eastAsia"/>
                <w:color w:val="auto"/>
              </w:rPr>
              <w:t>25</w:t>
            </w:r>
          </w:p>
        </w:tc>
        <w:tc>
          <w:tcPr>
            <w:tcW w:w="2374" w:type="dxa"/>
            <w:vMerge w:val="continue"/>
            <w:vAlign w:val="center"/>
          </w:tcPr>
          <w:p w14:paraId="6B2D21D0">
            <w:pPr>
              <w:pStyle w:val="33"/>
              <w:rPr>
                <w:color w:val="auto"/>
              </w:rPr>
            </w:pPr>
          </w:p>
        </w:tc>
      </w:tr>
      <w:tr w14:paraId="5408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1CA65882">
            <w:pPr>
              <w:pStyle w:val="33"/>
              <w:rPr>
                <w:color w:val="auto"/>
              </w:rPr>
            </w:pPr>
          </w:p>
        </w:tc>
        <w:tc>
          <w:tcPr>
            <w:tcW w:w="1843" w:type="dxa"/>
            <w:vAlign w:val="center"/>
          </w:tcPr>
          <w:p w14:paraId="349E3550">
            <w:pPr>
              <w:pStyle w:val="33"/>
              <w:rPr>
                <w:color w:val="auto"/>
              </w:rPr>
            </w:pPr>
            <w:r>
              <w:rPr>
                <w:color w:val="auto"/>
              </w:rPr>
              <w:t>24小时平均</w:t>
            </w:r>
          </w:p>
        </w:tc>
        <w:tc>
          <w:tcPr>
            <w:tcW w:w="851" w:type="dxa"/>
            <w:vAlign w:val="center"/>
          </w:tcPr>
          <w:p w14:paraId="34701FD8">
            <w:pPr>
              <w:pStyle w:val="33"/>
              <w:rPr>
                <w:color w:val="auto"/>
              </w:rPr>
            </w:pPr>
            <w:r>
              <w:rPr>
                <w:color w:val="auto"/>
              </w:rPr>
              <w:t>μg/m</w:t>
            </w:r>
            <w:r>
              <w:rPr>
                <w:color w:val="auto"/>
                <w:vertAlign w:val="superscript"/>
              </w:rPr>
              <w:t>3</w:t>
            </w:r>
          </w:p>
        </w:tc>
        <w:tc>
          <w:tcPr>
            <w:tcW w:w="2409" w:type="dxa"/>
            <w:vAlign w:val="center"/>
          </w:tcPr>
          <w:p w14:paraId="4C827CE1">
            <w:pPr>
              <w:pStyle w:val="33"/>
              <w:rPr>
                <w:color w:val="auto"/>
              </w:rPr>
            </w:pPr>
            <w:r>
              <w:rPr>
                <w:rFonts w:hint="eastAsia"/>
                <w:color w:val="auto"/>
              </w:rPr>
              <w:t>50</w:t>
            </w:r>
          </w:p>
        </w:tc>
        <w:tc>
          <w:tcPr>
            <w:tcW w:w="2374" w:type="dxa"/>
            <w:vMerge w:val="continue"/>
            <w:vAlign w:val="center"/>
          </w:tcPr>
          <w:p w14:paraId="44FDB4A8">
            <w:pPr>
              <w:pStyle w:val="33"/>
              <w:rPr>
                <w:color w:val="auto"/>
              </w:rPr>
            </w:pPr>
          </w:p>
        </w:tc>
      </w:tr>
      <w:tr w14:paraId="133AD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06EF066">
            <w:pPr>
              <w:pStyle w:val="33"/>
              <w:rPr>
                <w:color w:val="auto"/>
              </w:rPr>
            </w:pPr>
            <w:r>
              <w:rPr>
                <w:color w:val="auto"/>
              </w:rPr>
              <w:t>总悬浮颗粒物（TSP）</w:t>
            </w:r>
          </w:p>
        </w:tc>
        <w:tc>
          <w:tcPr>
            <w:tcW w:w="1843" w:type="dxa"/>
            <w:vAlign w:val="center"/>
          </w:tcPr>
          <w:p w14:paraId="1B096DF2">
            <w:pPr>
              <w:pStyle w:val="33"/>
              <w:rPr>
                <w:color w:val="auto"/>
              </w:rPr>
            </w:pPr>
            <w:r>
              <w:rPr>
                <w:color w:val="auto"/>
              </w:rPr>
              <w:t>年平均</w:t>
            </w:r>
          </w:p>
        </w:tc>
        <w:tc>
          <w:tcPr>
            <w:tcW w:w="851" w:type="dxa"/>
            <w:vAlign w:val="center"/>
          </w:tcPr>
          <w:p w14:paraId="53CB9E2D">
            <w:pPr>
              <w:pStyle w:val="33"/>
              <w:rPr>
                <w:color w:val="auto"/>
              </w:rPr>
            </w:pPr>
            <w:r>
              <w:rPr>
                <w:color w:val="auto"/>
              </w:rPr>
              <w:t>μg/m</w:t>
            </w:r>
            <w:r>
              <w:rPr>
                <w:color w:val="auto"/>
                <w:vertAlign w:val="superscript"/>
              </w:rPr>
              <w:t>3</w:t>
            </w:r>
          </w:p>
        </w:tc>
        <w:tc>
          <w:tcPr>
            <w:tcW w:w="2409" w:type="dxa"/>
            <w:vAlign w:val="center"/>
          </w:tcPr>
          <w:p w14:paraId="45800634">
            <w:pPr>
              <w:pStyle w:val="33"/>
              <w:rPr>
                <w:color w:val="auto"/>
              </w:rPr>
            </w:pPr>
            <w:r>
              <w:rPr>
                <w:rFonts w:hint="eastAsia"/>
                <w:color w:val="auto"/>
              </w:rPr>
              <w:t>200</w:t>
            </w:r>
          </w:p>
        </w:tc>
        <w:tc>
          <w:tcPr>
            <w:tcW w:w="2374" w:type="dxa"/>
            <w:vMerge w:val="continue"/>
            <w:vAlign w:val="center"/>
          </w:tcPr>
          <w:p w14:paraId="5B7ADB45">
            <w:pPr>
              <w:pStyle w:val="33"/>
              <w:rPr>
                <w:color w:val="auto"/>
              </w:rPr>
            </w:pPr>
          </w:p>
        </w:tc>
      </w:tr>
      <w:tr w14:paraId="01AE1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52B8383C">
            <w:pPr>
              <w:pStyle w:val="33"/>
              <w:rPr>
                <w:color w:val="auto"/>
              </w:rPr>
            </w:pPr>
          </w:p>
        </w:tc>
        <w:tc>
          <w:tcPr>
            <w:tcW w:w="1843" w:type="dxa"/>
            <w:vAlign w:val="center"/>
          </w:tcPr>
          <w:p w14:paraId="0052285F">
            <w:pPr>
              <w:pStyle w:val="33"/>
              <w:rPr>
                <w:color w:val="auto"/>
              </w:rPr>
            </w:pPr>
            <w:r>
              <w:rPr>
                <w:color w:val="auto"/>
              </w:rPr>
              <w:t>24小时平均</w:t>
            </w:r>
          </w:p>
        </w:tc>
        <w:tc>
          <w:tcPr>
            <w:tcW w:w="851" w:type="dxa"/>
            <w:vAlign w:val="center"/>
          </w:tcPr>
          <w:p w14:paraId="6AE37E6E">
            <w:pPr>
              <w:pStyle w:val="33"/>
              <w:rPr>
                <w:color w:val="auto"/>
              </w:rPr>
            </w:pPr>
            <w:r>
              <w:rPr>
                <w:color w:val="auto"/>
              </w:rPr>
              <w:t>μg/m</w:t>
            </w:r>
            <w:r>
              <w:rPr>
                <w:color w:val="auto"/>
                <w:vertAlign w:val="superscript"/>
              </w:rPr>
              <w:t>3</w:t>
            </w:r>
          </w:p>
        </w:tc>
        <w:tc>
          <w:tcPr>
            <w:tcW w:w="2409" w:type="dxa"/>
            <w:vAlign w:val="center"/>
          </w:tcPr>
          <w:p w14:paraId="34762B76">
            <w:pPr>
              <w:pStyle w:val="33"/>
              <w:rPr>
                <w:color w:val="auto"/>
              </w:rPr>
            </w:pPr>
            <w:r>
              <w:rPr>
                <w:rFonts w:hint="eastAsia"/>
                <w:color w:val="auto"/>
              </w:rPr>
              <w:t>300</w:t>
            </w:r>
          </w:p>
        </w:tc>
        <w:tc>
          <w:tcPr>
            <w:tcW w:w="2374" w:type="dxa"/>
            <w:vMerge w:val="continue"/>
            <w:vAlign w:val="center"/>
          </w:tcPr>
          <w:p w14:paraId="346E2C81">
            <w:pPr>
              <w:pStyle w:val="33"/>
              <w:rPr>
                <w:color w:val="auto"/>
              </w:rPr>
            </w:pPr>
          </w:p>
        </w:tc>
      </w:tr>
      <w:tr w14:paraId="11B68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E47D3FE">
            <w:pPr>
              <w:pStyle w:val="33"/>
              <w:rPr>
                <w:color w:val="auto"/>
              </w:rPr>
            </w:pPr>
            <w:r>
              <w:rPr>
                <w:color w:val="auto"/>
              </w:rPr>
              <w:t>CO</w:t>
            </w:r>
          </w:p>
        </w:tc>
        <w:tc>
          <w:tcPr>
            <w:tcW w:w="1843" w:type="dxa"/>
            <w:vAlign w:val="center"/>
          </w:tcPr>
          <w:p w14:paraId="749C771D">
            <w:pPr>
              <w:pStyle w:val="33"/>
              <w:rPr>
                <w:color w:val="auto"/>
              </w:rPr>
            </w:pPr>
            <w:r>
              <w:rPr>
                <w:color w:val="auto"/>
              </w:rPr>
              <w:t>24小时平均</w:t>
            </w:r>
          </w:p>
        </w:tc>
        <w:tc>
          <w:tcPr>
            <w:tcW w:w="851" w:type="dxa"/>
            <w:vAlign w:val="center"/>
          </w:tcPr>
          <w:p w14:paraId="31927B16">
            <w:pPr>
              <w:pStyle w:val="33"/>
              <w:rPr>
                <w:color w:val="auto"/>
              </w:rPr>
            </w:pPr>
            <w:r>
              <w:rPr>
                <w:color w:val="auto"/>
              </w:rPr>
              <w:t>μg/m</w:t>
            </w:r>
            <w:r>
              <w:rPr>
                <w:color w:val="auto"/>
                <w:vertAlign w:val="superscript"/>
              </w:rPr>
              <w:t>3</w:t>
            </w:r>
          </w:p>
        </w:tc>
        <w:tc>
          <w:tcPr>
            <w:tcW w:w="2409" w:type="dxa"/>
            <w:vAlign w:val="center"/>
          </w:tcPr>
          <w:p w14:paraId="5B88D607">
            <w:pPr>
              <w:pStyle w:val="33"/>
              <w:rPr>
                <w:color w:val="auto"/>
              </w:rPr>
            </w:pPr>
            <w:r>
              <w:rPr>
                <w:rFonts w:hint="eastAsia"/>
                <w:color w:val="auto"/>
              </w:rPr>
              <w:t>4</w:t>
            </w:r>
          </w:p>
        </w:tc>
        <w:tc>
          <w:tcPr>
            <w:tcW w:w="2374" w:type="dxa"/>
            <w:vMerge w:val="continue"/>
            <w:vAlign w:val="center"/>
          </w:tcPr>
          <w:p w14:paraId="2B87BEFC">
            <w:pPr>
              <w:pStyle w:val="33"/>
              <w:rPr>
                <w:color w:val="auto"/>
              </w:rPr>
            </w:pPr>
          </w:p>
        </w:tc>
      </w:tr>
      <w:tr w14:paraId="4187B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2273CF02">
            <w:pPr>
              <w:pStyle w:val="33"/>
              <w:rPr>
                <w:color w:val="auto"/>
              </w:rPr>
            </w:pPr>
          </w:p>
        </w:tc>
        <w:tc>
          <w:tcPr>
            <w:tcW w:w="1843" w:type="dxa"/>
            <w:vAlign w:val="center"/>
          </w:tcPr>
          <w:p w14:paraId="4FD9397F">
            <w:pPr>
              <w:pStyle w:val="33"/>
              <w:rPr>
                <w:color w:val="auto"/>
              </w:rPr>
            </w:pPr>
            <w:r>
              <w:rPr>
                <w:color w:val="auto"/>
              </w:rPr>
              <w:t>1小时平均</w:t>
            </w:r>
          </w:p>
        </w:tc>
        <w:tc>
          <w:tcPr>
            <w:tcW w:w="851" w:type="dxa"/>
            <w:vAlign w:val="center"/>
          </w:tcPr>
          <w:p w14:paraId="5B7F98B3">
            <w:pPr>
              <w:pStyle w:val="33"/>
              <w:rPr>
                <w:color w:val="auto"/>
              </w:rPr>
            </w:pPr>
            <w:r>
              <w:rPr>
                <w:color w:val="auto"/>
              </w:rPr>
              <w:t>μg/m</w:t>
            </w:r>
            <w:r>
              <w:rPr>
                <w:color w:val="auto"/>
                <w:vertAlign w:val="superscript"/>
              </w:rPr>
              <w:t>3</w:t>
            </w:r>
          </w:p>
        </w:tc>
        <w:tc>
          <w:tcPr>
            <w:tcW w:w="2409" w:type="dxa"/>
            <w:vAlign w:val="center"/>
          </w:tcPr>
          <w:p w14:paraId="4911E384">
            <w:pPr>
              <w:pStyle w:val="33"/>
              <w:rPr>
                <w:color w:val="auto"/>
              </w:rPr>
            </w:pPr>
            <w:r>
              <w:rPr>
                <w:rFonts w:hint="eastAsia"/>
                <w:color w:val="auto"/>
              </w:rPr>
              <w:t>10</w:t>
            </w:r>
          </w:p>
        </w:tc>
        <w:tc>
          <w:tcPr>
            <w:tcW w:w="2374" w:type="dxa"/>
            <w:vMerge w:val="continue"/>
            <w:vAlign w:val="center"/>
          </w:tcPr>
          <w:p w14:paraId="4E522CA6">
            <w:pPr>
              <w:pStyle w:val="33"/>
              <w:rPr>
                <w:color w:val="auto"/>
              </w:rPr>
            </w:pPr>
          </w:p>
        </w:tc>
      </w:tr>
      <w:tr w14:paraId="380FB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0DF0804A">
            <w:pPr>
              <w:pStyle w:val="33"/>
              <w:rPr>
                <w:color w:val="auto"/>
              </w:rPr>
            </w:pPr>
            <w:r>
              <w:rPr>
                <w:color w:val="auto"/>
              </w:rPr>
              <w:t>O</w:t>
            </w:r>
            <w:r>
              <w:rPr>
                <w:color w:val="auto"/>
                <w:vertAlign w:val="subscript"/>
              </w:rPr>
              <w:t>3</w:t>
            </w:r>
          </w:p>
        </w:tc>
        <w:tc>
          <w:tcPr>
            <w:tcW w:w="1843" w:type="dxa"/>
            <w:vAlign w:val="center"/>
          </w:tcPr>
          <w:p w14:paraId="5E76554C">
            <w:pPr>
              <w:pStyle w:val="33"/>
              <w:rPr>
                <w:color w:val="auto"/>
              </w:rPr>
            </w:pPr>
            <w:r>
              <w:rPr>
                <w:color w:val="auto"/>
              </w:rPr>
              <w:t>日最大8h平均</w:t>
            </w:r>
          </w:p>
        </w:tc>
        <w:tc>
          <w:tcPr>
            <w:tcW w:w="851" w:type="dxa"/>
            <w:vAlign w:val="center"/>
          </w:tcPr>
          <w:p w14:paraId="7CB32A35">
            <w:pPr>
              <w:pStyle w:val="33"/>
              <w:rPr>
                <w:color w:val="auto"/>
              </w:rPr>
            </w:pPr>
            <w:r>
              <w:rPr>
                <w:color w:val="auto"/>
              </w:rPr>
              <w:t>μg/m</w:t>
            </w:r>
            <w:r>
              <w:rPr>
                <w:color w:val="auto"/>
                <w:vertAlign w:val="superscript"/>
              </w:rPr>
              <w:t>3</w:t>
            </w:r>
          </w:p>
        </w:tc>
        <w:tc>
          <w:tcPr>
            <w:tcW w:w="2409" w:type="dxa"/>
            <w:vAlign w:val="center"/>
          </w:tcPr>
          <w:p w14:paraId="00673F26">
            <w:pPr>
              <w:pStyle w:val="33"/>
              <w:rPr>
                <w:color w:val="auto"/>
              </w:rPr>
            </w:pPr>
            <w:r>
              <w:rPr>
                <w:rFonts w:hint="eastAsia"/>
                <w:color w:val="auto"/>
              </w:rPr>
              <w:t>160</w:t>
            </w:r>
          </w:p>
        </w:tc>
        <w:tc>
          <w:tcPr>
            <w:tcW w:w="2374" w:type="dxa"/>
            <w:vMerge w:val="continue"/>
            <w:vAlign w:val="center"/>
          </w:tcPr>
          <w:p w14:paraId="13EE4D14">
            <w:pPr>
              <w:pStyle w:val="33"/>
              <w:rPr>
                <w:color w:val="auto"/>
              </w:rPr>
            </w:pPr>
          </w:p>
        </w:tc>
      </w:tr>
      <w:tr w14:paraId="30F94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4E9AFCC6">
            <w:pPr>
              <w:pStyle w:val="33"/>
              <w:rPr>
                <w:color w:val="auto"/>
              </w:rPr>
            </w:pPr>
          </w:p>
        </w:tc>
        <w:tc>
          <w:tcPr>
            <w:tcW w:w="1843" w:type="dxa"/>
            <w:vAlign w:val="center"/>
          </w:tcPr>
          <w:p w14:paraId="2AE02135">
            <w:pPr>
              <w:pStyle w:val="33"/>
              <w:rPr>
                <w:color w:val="auto"/>
              </w:rPr>
            </w:pPr>
            <w:r>
              <w:rPr>
                <w:color w:val="auto"/>
              </w:rPr>
              <w:t>1小时平均</w:t>
            </w:r>
          </w:p>
        </w:tc>
        <w:tc>
          <w:tcPr>
            <w:tcW w:w="851" w:type="dxa"/>
            <w:vAlign w:val="center"/>
          </w:tcPr>
          <w:p w14:paraId="7366A998">
            <w:pPr>
              <w:pStyle w:val="33"/>
              <w:rPr>
                <w:color w:val="auto"/>
              </w:rPr>
            </w:pPr>
            <w:r>
              <w:rPr>
                <w:color w:val="auto"/>
              </w:rPr>
              <w:t>μg/m</w:t>
            </w:r>
            <w:r>
              <w:rPr>
                <w:color w:val="auto"/>
                <w:vertAlign w:val="superscript"/>
              </w:rPr>
              <w:t>3</w:t>
            </w:r>
          </w:p>
        </w:tc>
        <w:tc>
          <w:tcPr>
            <w:tcW w:w="2409" w:type="dxa"/>
            <w:vAlign w:val="center"/>
          </w:tcPr>
          <w:p w14:paraId="44852707">
            <w:pPr>
              <w:pStyle w:val="33"/>
              <w:rPr>
                <w:color w:val="auto"/>
              </w:rPr>
            </w:pPr>
            <w:r>
              <w:rPr>
                <w:rFonts w:hint="eastAsia"/>
                <w:color w:val="auto"/>
              </w:rPr>
              <w:t>200</w:t>
            </w:r>
          </w:p>
        </w:tc>
        <w:tc>
          <w:tcPr>
            <w:tcW w:w="2374" w:type="dxa"/>
            <w:vMerge w:val="continue"/>
            <w:vAlign w:val="center"/>
          </w:tcPr>
          <w:p w14:paraId="4337064B">
            <w:pPr>
              <w:pStyle w:val="33"/>
              <w:rPr>
                <w:color w:val="auto"/>
              </w:rPr>
            </w:pPr>
          </w:p>
        </w:tc>
      </w:tr>
      <w:tr w14:paraId="59C1D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654F5500">
            <w:pPr>
              <w:pStyle w:val="33"/>
              <w:rPr>
                <w:color w:val="auto"/>
              </w:rPr>
            </w:pPr>
            <w:r>
              <w:rPr>
                <w:color w:val="auto"/>
              </w:rPr>
              <w:t>氯化氢</w:t>
            </w:r>
          </w:p>
        </w:tc>
        <w:tc>
          <w:tcPr>
            <w:tcW w:w="1843" w:type="dxa"/>
            <w:vAlign w:val="center"/>
          </w:tcPr>
          <w:p w14:paraId="2F7CC482">
            <w:pPr>
              <w:pStyle w:val="33"/>
              <w:rPr>
                <w:color w:val="auto"/>
              </w:rPr>
            </w:pPr>
            <w:r>
              <w:rPr>
                <w:color w:val="auto"/>
              </w:rPr>
              <w:t>1小时平均</w:t>
            </w:r>
          </w:p>
        </w:tc>
        <w:tc>
          <w:tcPr>
            <w:tcW w:w="851" w:type="dxa"/>
            <w:vAlign w:val="center"/>
          </w:tcPr>
          <w:p w14:paraId="608B6B18">
            <w:pPr>
              <w:pStyle w:val="33"/>
              <w:rPr>
                <w:color w:val="auto"/>
              </w:rPr>
            </w:pPr>
            <w:r>
              <w:rPr>
                <w:color w:val="auto"/>
              </w:rPr>
              <w:t>mg/m</w:t>
            </w:r>
            <w:r>
              <w:rPr>
                <w:color w:val="auto"/>
                <w:vertAlign w:val="superscript"/>
              </w:rPr>
              <w:t>3</w:t>
            </w:r>
          </w:p>
        </w:tc>
        <w:tc>
          <w:tcPr>
            <w:tcW w:w="2409" w:type="dxa"/>
            <w:vAlign w:val="center"/>
          </w:tcPr>
          <w:p w14:paraId="5F985694">
            <w:pPr>
              <w:pStyle w:val="33"/>
              <w:rPr>
                <w:color w:val="auto"/>
              </w:rPr>
            </w:pPr>
            <w:r>
              <w:rPr>
                <w:color w:val="auto"/>
              </w:rPr>
              <w:t>0.05</w:t>
            </w:r>
          </w:p>
        </w:tc>
        <w:tc>
          <w:tcPr>
            <w:tcW w:w="2374" w:type="dxa"/>
            <w:vMerge w:val="restart"/>
            <w:vAlign w:val="center"/>
          </w:tcPr>
          <w:p w14:paraId="723E43F4">
            <w:pPr>
              <w:pStyle w:val="33"/>
              <w:rPr>
                <w:color w:val="auto"/>
              </w:rPr>
            </w:pPr>
            <w:r>
              <w:rPr>
                <w:color w:val="auto"/>
              </w:rPr>
              <w:t>《环境影响评价技术导则 大气环境》（HJ 2.2-2018）附录D其他污染物空气质量浓度参考限值</w:t>
            </w:r>
          </w:p>
        </w:tc>
      </w:tr>
      <w:tr w14:paraId="24467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7DB488FA">
            <w:pPr>
              <w:pStyle w:val="33"/>
              <w:rPr>
                <w:color w:val="auto"/>
              </w:rPr>
            </w:pPr>
          </w:p>
        </w:tc>
        <w:tc>
          <w:tcPr>
            <w:tcW w:w="1843" w:type="dxa"/>
            <w:vAlign w:val="center"/>
          </w:tcPr>
          <w:p w14:paraId="11F7CB2B">
            <w:pPr>
              <w:pStyle w:val="33"/>
              <w:rPr>
                <w:color w:val="auto"/>
              </w:rPr>
            </w:pPr>
            <w:r>
              <w:rPr>
                <w:color w:val="auto"/>
              </w:rPr>
              <w:t>日平均</w:t>
            </w:r>
          </w:p>
        </w:tc>
        <w:tc>
          <w:tcPr>
            <w:tcW w:w="851" w:type="dxa"/>
            <w:vAlign w:val="center"/>
          </w:tcPr>
          <w:p w14:paraId="6A39FD45">
            <w:pPr>
              <w:pStyle w:val="33"/>
              <w:rPr>
                <w:color w:val="auto"/>
              </w:rPr>
            </w:pPr>
            <w:r>
              <w:rPr>
                <w:color w:val="auto"/>
              </w:rPr>
              <w:t>mg/m</w:t>
            </w:r>
            <w:r>
              <w:rPr>
                <w:color w:val="auto"/>
                <w:vertAlign w:val="superscript"/>
              </w:rPr>
              <w:t>3</w:t>
            </w:r>
          </w:p>
        </w:tc>
        <w:tc>
          <w:tcPr>
            <w:tcW w:w="2409" w:type="dxa"/>
            <w:vAlign w:val="center"/>
          </w:tcPr>
          <w:p w14:paraId="4DB6394D">
            <w:pPr>
              <w:pStyle w:val="33"/>
              <w:rPr>
                <w:color w:val="auto"/>
              </w:rPr>
            </w:pPr>
            <w:r>
              <w:rPr>
                <w:color w:val="auto"/>
              </w:rPr>
              <w:t>0.015</w:t>
            </w:r>
          </w:p>
        </w:tc>
        <w:tc>
          <w:tcPr>
            <w:tcW w:w="2374" w:type="dxa"/>
            <w:vMerge w:val="continue"/>
            <w:vAlign w:val="center"/>
          </w:tcPr>
          <w:p w14:paraId="62C114C4">
            <w:pPr>
              <w:pStyle w:val="33"/>
              <w:rPr>
                <w:color w:val="auto"/>
              </w:rPr>
            </w:pPr>
          </w:p>
        </w:tc>
      </w:tr>
      <w:tr w14:paraId="6D20E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restart"/>
            <w:vAlign w:val="center"/>
          </w:tcPr>
          <w:p w14:paraId="3F184217">
            <w:pPr>
              <w:pStyle w:val="33"/>
              <w:rPr>
                <w:color w:val="auto"/>
              </w:rPr>
            </w:pPr>
            <w:r>
              <w:rPr>
                <w:color w:val="auto"/>
              </w:rPr>
              <w:t>氯</w:t>
            </w:r>
          </w:p>
        </w:tc>
        <w:tc>
          <w:tcPr>
            <w:tcW w:w="1843" w:type="dxa"/>
            <w:vAlign w:val="center"/>
          </w:tcPr>
          <w:p w14:paraId="20AC4CB7">
            <w:pPr>
              <w:pStyle w:val="33"/>
              <w:rPr>
                <w:color w:val="auto"/>
              </w:rPr>
            </w:pPr>
            <w:r>
              <w:rPr>
                <w:color w:val="auto"/>
              </w:rPr>
              <w:t>1小时平均</w:t>
            </w:r>
          </w:p>
        </w:tc>
        <w:tc>
          <w:tcPr>
            <w:tcW w:w="851" w:type="dxa"/>
            <w:vAlign w:val="center"/>
          </w:tcPr>
          <w:p w14:paraId="0D07D297">
            <w:pPr>
              <w:pStyle w:val="33"/>
              <w:rPr>
                <w:color w:val="auto"/>
              </w:rPr>
            </w:pPr>
            <w:r>
              <w:rPr>
                <w:color w:val="auto"/>
              </w:rPr>
              <w:t>mg/m</w:t>
            </w:r>
            <w:r>
              <w:rPr>
                <w:color w:val="auto"/>
                <w:vertAlign w:val="superscript"/>
              </w:rPr>
              <w:t>3</w:t>
            </w:r>
          </w:p>
        </w:tc>
        <w:tc>
          <w:tcPr>
            <w:tcW w:w="2409" w:type="dxa"/>
            <w:vAlign w:val="center"/>
          </w:tcPr>
          <w:p w14:paraId="002690A0">
            <w:pPr>
              <w:pStyle w:val="33"/>
              <w:rPr>
                <w:color w:val="auto"/>
              </w:rPr>
            </w:pPr>
            <w:r>
              <w:rPr>
                <w:color w:val="auto"/>
              </w:rPr>
              <w:t>0.1</w:t>
            </w:r>
          </w:p>
        </w:tc>
        <w:tc>
          <w:tcPr>
            <w:tcW w:w="2374" w:type="dxa"/>
            <w:vMerge w:val="continue"/>
            <w:vAlign w:val="center"/>
          </w:tcPr>
          <w:p w14:paraId="6286EC37">
            <w:pPr>
              <w:pStyle w:val="33"/>
              <w:rPr>
                <w:color w:val="auto"/>
              </w:rPr>
            </w:pPr>
          </w:p>
        </w:tc>
      </w:tr>
      <w:tr w14:paraId="5B63D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Merge w:val="continue"/>
            <w:vAlign w:val="center"/>
          </w:tcPr>
          <w:p w14:paraId="2322748B">
            <w:pPr>
              <w:pStyle w:val="33"/>
              <w:rPr>
                <w:color w:val="auto"/>
              </w:rPr>
            </w:pPr>
          </w:p>
        </w:tc>
        <w:tc>
          <w:tcPr>
            <w:tcW w:w="1843" w:type="dxa"/>
            <w:vAlign w:val="center"/>
          </w:tcPr>
          <w:p w14:paraId="7BDDB7CF">
            <w:pPr>
              <w:pStyle w:val="33"/>
              <w:rPr>
                <w:color w:val="auto"/>
              </w:rPr>
            </w:pPr>
            <w:r>
              <w:rPr>
                <w:color w:val="auto"/>
              </w:rPr>
              <w:t>日平均</w:t>
            </w:r>
          </w:p>
        </w:tc>
        <w:tc>
          <w:tcPr>
            <w:tcW w:w="851" w:type="dxa"/>
            <w:vAlign w:val="center"/>
          </w:tcPr>
          <w:p w14:paraId="03E16CB3">
            <w:pPr>
              <w:pStyle w:val="33"/>
              <w:rPr>
                <w:color w:val="auto"/>
              </w:rPr>
            </w:pPr>
            <w:r>
              <w:rPr>
                <w:color w:val="auto"/>
              </w:rPr>
              <w:t>mg/m</w:t>
            </w:r>
            <w:r>
              <w:rPr>
                <w:color w:val="auto"/>
                <w:vertAlign w:val="superscript"/>
              </w:rPr>
              <w:t>3</w:t>
            </w:r>
          </w:p>
        </w:tc>
        <w:tc>
          <w:tcPr>
            <w:tcW w:w="2409" w:type="dxa"/>
            <w:vAlign w:val="center"/>
          </w:tcPr>
          <w:p w14:paraId="7A13C319">
            <w:pPr>
              <w:pStyle w:val="33"/>
              <w:rPr>
                <w:color w:val="auto"/>
              </w:rPr>
            </w:pPr>
            <w:r>
              <w:rPr>
                <w:color w:val="auto"/>
              </w:rPr>
              <w:t>0.03</w:t>
            </w:r>
          </w:p>
        </w:tc>
        <w:tc>
          <w:tcPr>
            <w:tcW w:w="2374" w:type="dxa"/>
            <w:vMerge w:val="continue"/>
            <w:vAlign w:val="center"/>
          </w:tcPr>
          <w:p w14:paraId="63309F80">
            <w:pPr>
              <w:pStyle w:val="33"/>
              <w:rPr>
                <w:color w:val="auto"/>
              </w:rPr>
            </w:pPr>
          </w:p>
        </w:tc>
      </w:tr>
      <w:tr w14:paraId="577E9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Align w:val="center"/>
          </w:tcPr>
          <w:p w14:paraId="1F40117C">
            <w:pPr>
              <w:pStyle w:val="33"/>
              <w:rPr>
                <w:color w:val="auto"/>
              </w:rPr>
            </w:pPr>
            <w:r>
              <w:rPr>
                <w:color w:val="auto"/>
              </w:rPr>
              <w:t>硫化氢</w:t>
            </w:r>
          </w:p>
        </w:tc>
        <w:tc>
          <w:tcPr>
            <w:tcW w:w="1843" w:type="dxa"/>
            <w:vAlign w:val="center"/>
          </w:tcPr>
          <w:p w14:paraId="77EB8FBF">
            <w:pPr>
              <w:pStyle w:val="33"/>
              <w:rPr>
                <w:color w:val="auto"/>
              </w:rPr>
            </w:pPr>
            <w:r>
              <w:rPr>
                <w:color w:val="auto"/>
              </w:rPr>
              <w:t>1小时平均</w:t>
            </w:r>
          </w:p>
        </w:tc>
        <w:tc>
          <w:tcPr>
            <w:tcW w:w="851" w:type="dxa"/>
            <w:vAlign w:val="center"/>
          </w:tcPr>
          <w:p w14:paraId="22F67A17">
            <w:pPr>
              <w:pStyle w:val="33"/>
              <w:rPr>
                <w:color w:val="auto"/>
              </w:rPr>
            </w:pPr>
            <w:r>
              <w:rPr>
                <w:color w:val="auto"/>
              </w:rPr>
              <w:t>mg/m</w:t>
            </w:r>
            <w:r>
              <w:rPr>
                <w:color w:val="auto"/>
                <w:vertAlign w:val="superscript"/>
              </w:rPr>
              <w:t>3</w:t>
            </w:r>
          </w:p>
        </w:tc>
        <w:tc>
          <w:tcPr>
            <w:tcW w:w="2409" w:type="dxa"/>
            <w:vAlign w:val="center"/>
          </w:tcPr>
          <w:p w14:paraId="64B686D1">
            <w:pPr>
              <w:pStyle w:val="33"/>
              <w:rPr>
                <w:color w:val="auto"/>
              </w:rPr>
            </w:pPr>
            <w:r>
              <w:rPr>
                <w:color w:val="auto"/>
              </w:rPr>
              <w:t>0.01</w:t>
            </w:r>
          </w:p>
        </w:tc>
        <w:tc>
          <w:tcPr>
            <w:tcW w:w="2374" w:type="dxa"/>
            <w:vMerge w:val="continue"/>
            <w:vAlign w:val="center"/>
          </w:tcPr>
          <w:p w14:paraId="495EDE2F">
            <w:pPr>
              <w:pStyle w:val="33"/>
              <w:rPr>
                <w:color w:val="auto"/>
              </w:rPr>
            </w:pPr>
          </w:p>
        </w:tc>
      </w:tr>
      <w:tr w14:paraId="368860F3">
        <w:tblPrEx>
          <w:tblCellMar>
            <w:top w:w="0" w:type="dxa"/>
            <w:left w:w="108" w:type="dxa"/>
            <w:bottom w:w="0" w:type="dxa"/>
            <w:right w:w="108" w:type="dxa"/>
          </w:tblCellMar>
        </w:tblPrEx>
        <w:trPr>
          <w:cantSplit/>
          <w:trHeight w:val="340" w:hRule="atLeast"/>
          <w:jc w:val="center"/>
        </w:trPr>
        <w:tc>
          <w:tcPr>
            <w:tcW w:w="1809" w:type="dxa"/>
            <w:vAlign w:val="center"/>
          </w:tcPr>
          <w:p w14:paraId="2F89A351">
            <w:pPr>
              <w:pStyle w:val="33"/>
              <w:rPr>
                <w:color w:val="auto"/>
              </w:rPr>
            </w:pPr>
            <w:r>
              <w:rPr>
                <w:color w:val="auto"/>
              </w:rPr>
              <w:t>氨</w:t>
            </w:r>
          </w:p>
        </w:tc>
        <w:tc>
          <w:tcPr>
            <w:tcW w:w="1843" w:type="dxa"/>
            <w:vAlign w:val="center"/>
          </w:tcPr>
          <w:p w14:paraId="4E4B1864">
            <w:pPr>
              <w:pStyle w:val="33"/>
              <w:rPr>
                <w:color w:val="auto"/>
              </w:rPr>
            </w:pPr>
            <w:r>
              <w:rPr>
                <w:color w:val="auto"/>
              </w:rPr>
              <w:t>1小时平均</w:t>
            </w:r>
          </w:p>
        </w:tc>
        <w:tc>
          <w:tcPr>
            <w:tcW w:w="851" w:type="dxa"/>
            <w:vAlign w:val="center"/>
          </w:tcPr>
          <w:p w14:paraId="31F3967C">
            <w:pPr>
              <w:pStyle w:val="33"/>
              <w:rPr>
                <w:color w:val="auto"/>
              </w:rPr>
            </w:pPr>
            <w:r>
              <w:rPr>
                <w:color w:val="auto"/>
              </w:rPr>
              <w:t>mg/m</w:t>
            </w:r>
            <w:r>
              <w:rPr>
                <w:color w:val="auto"/>
                <w:vertAlign w:val="superscript"/>
              </w:rPr>
              <w:t>3</w:t>
            </w:r>
          </w:p>
        </w:tc>
        <w:tc>
          <w:tcPr>
            <w:tcW w:w="2409" w:type="dxa"/>
            <w:vAlign w:val="center"/>
          </w:tcPr>
          <w:p w14:paraId="68E0EAF0">
            <w:pPr>
              <w:pStyle w:val="33"/>
              <w:rPr>
                <w:color w:val="auto"/>
              </w:rPr>
            </w:pPr>
            <w:r>
              <w:rPr>
                <w:color w:val="auto"/>
              </w:rPr>
              <w:t>0.20</w:t>
            </w:r>
          </w:p>
        </w:tc>
        <w:tc>
          <w:tcPr>
            <w:tcW w:w="2374" w:type="dxa"/>
            <w:vMerge w:val="continue"/>
            <w:vAlign w:val="center"/>
          </w:tcPr>
          <w:p w14:paraId="17A1D580">
            <w:pPr>
              <w:pStyle w:val="33"/>
              <w:rPr>
                <w:color w:val="auto"/>
              </w:rPr>
            </w:pPr>
          </w:p>
        </w:tc>
      </w:tr>
      <w:tr w14:paraId="09DDD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809" w:type="dxa"/>
            <w:vAlign w:val="center"/>
          </w:tcPr>
          <w:p w14:paraId="28FC0EC3">
            <w:pPr>
              <w:pStyle w:val="33"/>
              <w:rPr>
                <w:color w:val="auto"/>
              </w:rPr>
            </w:pPr>
            <w:r>
              <w:rPr>
                <w:color w:val="auto"/>
              </w:rPr>
              <w:t>非甲烷总烃</w:t>
            </w:r>
          </w:p>
        </w:tc>
        <w:tc>
          <w:tcPr>
            <w:tcW w:w="1843" w:type="dxa"/>
            <w:vAlign w:val="center"/>
          </w:tcPr>
          <w:p w14:paraId="68CF296D">
            <w:pPr>
              <w:pStyle w:val="33"/>
              <w:rPr>
                <w:color w:val="auto"/>
              </w:rPr>
            </w:pPr>
            <w:r>
              <w:rPr>
                <w:color w:val="auto"/>
              </w:rPr>
              <w:t>一次</w:t>
            </w:r>
          </w:p>
        </w:tc>
        <w:tc>
          <w:tcPr>
            <w:tcW w:w="851" w:type="dxa"/>
            <w:vAlign w:val="center"/>
          </w:tcPr>
          <w:p w14:paraId="6E752B96">
            <w:pPr>
              <w:pStyle w:val="33"/>
              <w:rPr>
                <w:color w:val="auto"/>
              </w:rPr>
            </w:pPr>
            <w:r>
              <w:rPr>
                <w:color w:val="auto"/>
              </w:rPr>
              <w:t>mg/m</w:t>
            </w:r>
            <w:r>
              <w:rPr>
                <w:color w:val="auto"/>
                <w:vertAlign w:val="superscript"/>
              </w:rPr>
              <w:t>3</w:t>
            </w:r>
          </w:p>
        </w:tc>
        <w:tc>
          <w:tcPr>
            <w:tcW w:w="2409" w:type="dxa"/>
            <w:vAlign w:val="center"/>
          </w:tcPr>
          <w:p w14:paraId="20161666">
            <w:pPr>
              <w:pStyle w:val="33"/>
              <w:rPr>
                <w:color w:val="auto"/>
              </w:rPr>
            </w:pPr>
            <w:r>
              <w:rPr>
                <w:color w:val="auto"/>
              </w:rPr>
              <w:t>2</w:t>
            </w:r>
          </w:p>
        </w:tc>
        <w:tc>
          <w:tcPr>
            <w:tcW w:w="2374" w:type="dxa"/>
            <w:vAlign w:val="center"/>
          </w:tcPr>
          <w:p w14:paraId="0A66191B">
            <w:pPr>
              <w:pStyle w:val="33"/>
              <w:rPr>
                <w:color w:val="auto"/>
              </w:rPr>
            </w:pPr>
            <w:r>
              <w:rPr>
                <w:color w:val="auto"/>
              </w:rPr>
              <w:t>参照《大气污染物综合排放标准详解》推荐值</w:t>
            </w:r>
          </w:p>
        </w:tc>
      </w:tr>
    </w:tbl>
    <w:p w14:paraId="2F650703">
      <w:pPr>
        <w:ind w:firstLine="480"/>
        <w:rPr>
          <w:color w:val="auto"/>
        </w:rPr>
      </w:pPr>
    </w:p>
    <w:p w14:paraId="2143B3F8">
      <w:pPr>
        <w:pStyle w:val="5"/>
        <w:rPr>
          <w:color w:val="auto"/>
        </w:rPr>
      </w:pPr>
      <w:r>
        <w:rPr>
          <w:rFonts w:hint="eastAsia"/>
          <w:color w:val="auto"/>
        </w:rPr>
        <w:t>海水</w:t>
      </w:r>
      <w:r>
        <w:rPr>
          <w:color w:val="auto"/>
        </w:rPr>
        <w:t>环境质量标准</w:t>
      </w:r>
    </w:p>
    <w:p w14:paraId="3D5BE83E">
      <w:pPr>
        <w:spacing w:line="500" w:lineRule="exact"/>
        <w:ind w:firstLine="480"/>
        <w:rPr>
          <w:rFonts w:cs="Times New Roman"/>
          <w:color w:val="auto"/>
        </w:rPr>
      </w:pPr>
      <w:r>
        <w:rPr>
          <w:rFonts w:cs="Times New Roman"/>
          <w:color w:val="auto"/>
        </w:rPr>
        <w:t>①海水水质标准</w:t>
      </w:r>
    </w:p>
    <w:p w14:paraId="09E96061">
      <w:pPr>
        <w:spacing w:line="500" w:lineRule="exact"/>
        <w:ind w:firstLine="480"/>
        <w:rPr>
          <w:rFonts w:cs="Times New Roman"/>
          <w:color w:val="auto"/>
          <w:spacing w:val="10"/>
          <w:szCs w:val="24"/>
        </w:rPr>
      </w:pPr>
      <w:r>
        <w:rPr>
          <w:rFonts w:cs="Times New Roman"/>
          <w:color w:val="auto"/>
        </w:rPr>
        <w:t>项目附近海域水质执行《海水水质标准》（GB3097-1997）第二类~第四类海水水质标准，其标准值见</w:t>
      </w:r>
      <w:r>
        <w:rPr>
          <w:rFonts w:hint="eastAsia" w:cs="Times New Roman"/>
          <w:color w:val="auto"/>
        </w:rPr>
        <w:t>下表</w:t>
      </w:r>
      <w:r>
        <w:rPr>
          <w:rFonts w:cs="Times New Roman"/>
          <w:color w:val="auto"/>
        </w:rPr>
        <w:t>。</w:t>
      </w:r>
    </w:p>
    <w:p w14:paraId="59231226">
      <w:pPr>
        <w:pStyle w:val="7"/>
        <w:rPr>
          <w:color w:val="auto"/>
        </w:rPr>
      </w:pPr>
      <w:r>
        <w:rPr>
          <w:color w:val="auto"/>
        </w:rPr>
        <w:t>《海水水质标准》（摘录）单位：mg/L，pH值除外</w:t>
      </w:r>
    </w:p>
    <w:tbl>
      <w:tblPr>
        <w:tblStyle w:val="2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41"/>
        <w:gridCol w:w="2524"/>
        <w:gridCol w:w="1508"/>
        <w:gridCol w:w="1177"/>
        <w:gridCol w:w="1580"/>
        <w:gridCol w:w="1856"/>
      </w:tblGrid>
      <w:tr w14:paraId="7A55C2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345" w:type="pct"/>
            <w:vMerge w:val="restart"/>
            <w:tcBorders>
              <w:top w:val="single" w:color="000000" w:sz="4" w:space="0"/>
              <w:left w:val="single" w:color="000000" w:sz="4" w:space="0"/>
              <w:bottom w:val="single" w:color="000000" w:sz="4" w:space="0"/>
              <w:right w:val="single" w:color="000000" w:sz="4" w:space="0"/>
            </w:tcBorders>
            <w:vAlign w:val="center"/>
          </w:tcPr>
          <w:p w14:paraId="317C1C63">
            <w:pPr>
              <w:spacing w:line="240" w:lineRule="auto"/>
              <w:ind w:firstLine="0" w:firstLineChars="0"/>
              <w:jc w:val="center"/>
              <w:rPr>
                <w:rFonts w:cs="Times New Roman"/>
                <w:b/>
                <w:bCs/>
                <w:color w:val="auto"/>
                <w:sz w:val="21"/>
                <w:szCs w:val="21"/>
              </w:rPr>
            </w:pPr>
            <w:r>
              <w:rPr>
                <w:rFonts w:cs="Times New Roman"/>
                <w:b/>
                <w:bCs/>
                <w:color w:val="auto"/>
                <w:sz w:val="21"/>
                <w:szCs w:val="21"/>
              </w:rPr>
              <w:t>序号</w:t>
            </w:r>
          </w:p>
        </w:tc>
        <w:tc>
          <w:tcPr>
            <w:tcW w:w="1359" w:type="pct"/>
            <w:vMerge w:val="restart"/>
            <w:tcBorders>
              <w:top w:val="single" w:color="000000" w:sz="4" w:space="0"/>
              <w:left w:val="single" w:color="000000" w:sz="4" w:space="0"/>
              <w:bottom w:val="single" w:color="000000" w:sz="4" w:space="0"/>
              <w:right w:val="single" w:color="000000" w:sz="4" w:space="0"/>
            </w:tcBorders>
            <w:vAlign w:val="center"/>
          </w:tcPr>
          <w:p w14:paraId="0159E0FA">
            <w:pPr>
              <w:spacing w:line="240" w:lineRule="auto"/>
              <w:ind w:firstLine="0" w:firstLineChars="0"/>
              <w:jc w:val="center"/>
              <w:rPr>
                <w:rFonts w:cs="Times New Roman"/>
                <w:b/>
                <w:bCs/>
                <w:color w:val="auto"/>
                <w:sz w:val="21"/>
                <w:szCs w:val="21"/>
              </w:rPr>
            </w:pPr>
            <w:r>
              <w:rPr>
                <w:rFonts w:cs="Times New Roman"/>
                <w:b/>
                <w:bCs/>
                <w:color w:val="auto"/>
                <w:sz w:val="21"/>
                <w:szCs w:val="21"/>
              </w:rPr>
              <w:t>项目</w:t>
            </w:r>
          </w:p>
        </w:tc>
        <w:tc>
          <w:tcPr>
            <w:tcW w:w="3296" w:type="pct"/>
            <w:gridSpan w:val="4"/>
            <w:tcBorders>
              <w:top w:val="single" w:color="000000" w:sz="4" w:space="0"/>
              <w:left w:val="single" w:color="000000" w:sz="4" w:space="0"/>
              <w:bottom w:val="single" w:color="000000" w:sz="4" w:space="0"/>
              <w:right w:val="single" w:color="000000" w:sz="4" w:space="0"/>
            </w:tcBorders>
            <w:vAlign w:val="center"/>
          </w:tcPr>
          <w:p w14:paraId="70189695">
            <w:pPr>
              <w:spacing w:line="240" w:lineRule="auto"/>
              <w:ind w:firstLine="0" w:firstLineChars="0"/>
              <w:jc w:val="center"/>
              <w:rPr>
                <w:rFonts w:cs="Times New Roman"/>
                <w:b/>
                <w:bCs/>
                <w:color w:val="auto"/>
                <w:sz w:val="21"/>
                <w:szCs w:val="21"/>
              </w:rPr>
            </w:pPr>
            <w:r>
              <w:rPr>
                <w:rFonts w:cs="Times New Roman"/>
                <w:b/>
                <w:bCs/>
                <w:color w:val="auto"/>
                <w:sz w:val="21"/>
                <w:szCs w:val="21"/>
              </w:rPr>
              <w:t>海水水质标准</w:t>
            </w:r>
          </w:p>
        </w:tc>
      </w:tr>
      <w:tr w14:paraId="58FAEF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47032027">
            <w:pPr>
              <w:spacing w:line="240" w:lineRule="auto"/>
              <w:ind w:firstLine="0" w:firstLineChars="0"/>
              <w:jc w:val="center"/>
              <w:rPr>
                <w:rFonts w:cs="Times New Roman"/>
                <w:b/>
                <w:bCs/>
                <w:color w:val="auto"/>
                <w:sz w:val="21"/>
                <w:szCs w:val="21"/>
              </w:rPr>
            </w:pPr>
          </w:p>
        </w:tc>
        <w:tc>
          <w:tcPr>
            <w:tcW w:w="0" w:type="auto"/>
            <w:vMerge w:val="continue"/>
            <w:tcBorders>
              <w:top w:val="single" w:color="000000" w:sz="4" w:space="0"/>
              <w:left w:val="single" w:color="000000" w:sz="4" w:space="0"/>
              <w:bottom w:val="single" w:color="000000" w:sz="4" w:space="0"/>
              <w:right w:val="single" w:color="000000" w:sz="4" w:space="0"/>
            </w:tcBorders>
            <w:vAlign w:val="center"/>
          </w:tcPr>
          <w:p w14:paraId="5DF55C7F">
            <w:pPr>
              <w:spacing w:line="240" w:lineRule="auto"/>
              <w:ind w:firstLine="0" w:firstLineChars="0"/>
              <w:jc w:val="center"/>
              <w:rPr>
                <w:rFonts w:cs="Times New Roman"/>
                <w:b/>
                <w:bCs/>
                <w:color w:val="auto"/>
                <w:sz w:val="21"/>
                <w:szCs w:val="21"/>
              </w:rPr>
            </w:pPr>
          </w:p>
        </w:tc>
        <w:tc>
          <w:tcPr>
            <w:tcW w:w="812" w:type="pct"/>
            <w:tcBorders>
              <w:top w:val="single" w:color="000000" w:sz="4" w:space="0"/>
              <w:left w:val="single" w:color="000000" w:sz="4" w:space="0"/>
              <w:bottom w:val="single" w:color="000000" w:sz="4" w:space="0"/>
              <w:right w:val="single" w:color="000000" w:sz="4" w:space="0"/>
            </w:tcBorders>
            <w:vAlign w:val="center"/>
          </w:tcPr>
          <w:p w14:paraId="28EA564B">
            <w:pPr>
              <w:spacing w:line="240" w:lineRule="auto"/>
              <w:ind w:firstLine="0" w:firstLineChars="0"/>
              <w:jc w:val="center"/>
              <w:rPr>
                <w:rFonts w:cs="Times New Roman"/>
                <w:b/>
                <w:bCs/>
                <w:color w:val="auto"/>
                <w:sz w:val="21"/>
                <w:szCs w:val="21"/>
              </w:rPr>
            </w:pPr>
            <w:r>
              <w:rPr>
                <w:rFonts w:cs="Times New Roman"/>
                <w:b/>
                <w:bCs/>
                <w:color w:val="auto"/>
                <w:sz w:val="21"/>
                <w:szCs w:val="21"/>
              </w:rPr>
              <w:t>第一类</w:t>
            </w:r>
          </w:p>
        </w:tc>
        <w:tc>
          <w:tcPr>
            <w:tcW w:w="634" w:type="pct"/>
            <w:tcBorders>
              <w:top w:val="single" w:color="000000" w:sz="4" w:space="0"/>
              <w:left w:val="single" w:color="000000" w:sz="4" w:space="0"/>
              <w:bottom w:val="single" w:color="000000" w:sz="4" w:space="0"/>
              <w:right w:val="single" w:color="000000" w:sz="4" w:space="0"/>
            </w:tcBorders>
            <w:vAlign w:val="center"/>
          </w:tcPr>
          <w:p w14:paraId="40FD5323">
            <w:pPr>
              <w:spacing w:line="240" w:lineRule="auto"/>
              <w:ind w:firstLine="0" w:firstLineChars="0"/>
              <w:jc w:val="center"/>
              <w:rPr>
                <w:rFonts w:cs="Times New Roman"/>
                <w:b/>
                <w:bCs/>
                <w:color w:val="auto"/>
                <w:sz w:val="21"/>
                <w:szCs w:val="21"/>
              </w:rPr>
            </w:pPr>
            <w:r>
              <w:rPr>
                <w:rFonts w:cs="Times New Roman"/>
                <w:b/>
                <w:bCs/>
                <w:color w:val="auto"/>
                <w:sz w:val="21"/>
                <w:szCs w:val="21"/>
              </w:rPr>
              <w:t>第二类</w:t>
            </w:r>
          </w:p>
        </w:tc>
        <w:tc>
          <w:tcPr>
            <w:tcW w:w="851" w:type="pct"/>
            <w:tcBorders>
              <w:top w:val="single" w:color="000000" w:sz="4" w:space="0"/>
              <w:left w:val="single" w:color="000000" w:sz="4" w:space="0"/>
              <w:bottom w:val="single" w:color="000000" w:sz="4" w:space="0"/>
              <w:right w:val="single" w:color="000000" w:sz="4" w:space="0"/>
            </w:tcBorders>
            <w:vAlign w:val="center"/>
          </w:tcPr>
          <w:p w14:paraId="516B4207">
            <w:pPr>
              <w:spacing w:line="240" w:lineRule="auto"/>
              <w:ind w:firstLine="0" w:firstLineChars="0"/>
              <w:jc w:val="center"/>
              <w:rPr>
                <w:rFonts w:cs="Times New Roman"/>
                <w:b/>
                <w:bCs/>
                <w:color w:val="auto"/>
                <w:sz w:val="21"/>
                <w:szCs w:val="21"/>
              </w:rPr>
            </w:pPr>
            <w:r>
              <w:rPr>
                <w:rFonts w:cs="Times New Roman"/>
                <w:b/>
                <w:bCs/>
                <w:color w:val="auto"/>
                <w:sz w:val="21"/>
                <w:szCs w:val="21"/>
              </w:rPr>
              <w:t>第三类</w:t>
            </w:r>
          </w:p>
        </w:tc>
        <w:tc>
          <w:tcPr>
            <w:tcW w:w="999" w:type="pct"/>
            <w:tcBorders>
              <w:top w:val="single" w:color="000000" w:sz="4" w:space="0"/>
              <w:left w:val="single" w:color="000000" w:sz="4" w:space="0"/>
              <w:bottom w:val="single" w:color="000000" w:sz="4" w:space="0"/>
              <w:right w:val="single" w:color="000000" w:sz="4" w:space="0"/>
            </w:tcBorders>
            <w:vAlign w:val="center"/>
          </w:tcPr>
          <w:p w14:paraId="1AD0D7FE">
            <w:pPr>
              <w:spacing w:line="240" w:lineRule="auto"/>
              <w:ind w:firstLine="0" w:firstLineChars="0"/>
              <w:jc w:val="center"/>
              <w:rPr>
                <w:rFonts w:cs="Times New Roman"/>
                <w:b/>
                <w:bCs/>
                <w:color w:val="auto"/>
                <w:sz w:val="21"/>
                <w:szCs w:val="21"/>
              </w:rPr>
            </w:pPr>
            <w:r>
              <w:rPr>
                <w:rFonts w:cs="Times New Roman"/>
                <w:b/>
                <w:bCs/>
                <w:color w:val="auto"/>
                <w:sz w:val="21"/>
                <w:szCs w:val="21"/>
              </w:rPr>
              <w:t>第四类</w:t>
            </w:r>
          </w:p>
        </w:tc>
      </w:tr>
      <w:tr w14:paraId="525E80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DCCC011">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359" w:type="pct"/>
            <w:tcBorders>
              <w:top w:val="single" w:color="000000" w:sz="4" w:space="0"/>
              <w:left w:val="single" w:color="000000" w:sz="4" w:space="0"/>
              <w:bottom w:val="single" w:color="000000" w:sz="4" w:space="0"/>
              <w:right w:val="single" w:color="000000" w:sz="4" w:space="0"/>
            </w:tcBorders>
            <w:vAlign w:val="center"/>
          </w:tcPr>
          <w:p w14:paraId="22F116CE">
            <w:pPr>
              <w:spacing w:line="240" w:lineRule="auto"/>
              <w:ind w:firstLine="0" w:firstLineChars="0"/>
              <w:jc w:val="center"/>
              <w:rPr>
                <w:rFonts w:cs="Times New Roman"/>
                <w:color w:val="auto"/>
                <w:sz w:val="21"/>
                <w:szCs w:val="21"/>
              </w:rPr>
            </w:pPr>
            <w:r>
              <w:rPr>
                <w:rFonts w:cs="Times New Roman"/>
                <w:color w:val="auto"/>
                <w:sz w:val="21"/>
                <w:szCs w:val="21"/>
              </w:rPr>
              <w:t>水温</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1604B362">
            <w:pPr>
              <w:spacing w:line="240" w:lineRule="auto"/>
              <w:ind w:firstLine="0" w:firstLineChars="0"/>
              <w:jc w:val="center"/>
              <w:rPr>
                <w:rFonts w:cs="Times New Roman"/>
                <w:color w:val="auto"/>
                <w:sz w:val="21"/>
                <w:szCs w:val="21"/>
              </w:rPr>
            </w:pPr>
            <w:r>
              <w:rPr>
                <w:rFonts w:cs="Times New Roman"/>
                <w:color w:val="auto"/>
                <w:sz w:val="21"/>
                <w:szCs w:val="21"/>
              </w:rPr>
              <w:t>人为造成当地水温升夏季不超过1℃，其他季节不超过 2℃</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4D626236">
            <w:pPr>
              <w:spacing w:line="240" w:lineRule="auto"/>
              <w:ind w:firstLine="0" w:firstLineChars="0"/>
              <w:jc w:val="center"/>
              <w:rPr>
                <w:rFonts w:cs="Times New Roman"/>
                <w:color w:val="auto"/>
                <w:sz w:val="21"/>
                <w:szCs w:val="21"/>
              </w:rPr>
            </w:pPr>
            <w:r>
              <w:rPr>
                <w:rFonts w:cs="Times New Roman"/>
                <w:color w:val="auto"/>
                <w:sz w:val="21"/>
                <w:szCs w:val="21"/>
              </w:rPr>
              <w:t>人为造成当地水温升不超过4℃</w:t>
            </w:r>
          </w:p>
        </w:tc>
      </w:tr>
      <w:tr w14:paraId="4180D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E752C10">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359" w:type="pct"/>
            <w:tcBorders>
              <w:top w:val="single" w:color="000000" w:sz="4" w:space="0"/>
              <w:left w:val="single" w:color="000000" w:sz="4" w:space="0"/>
              <w:bottom w:val="single" w:color="000000" w:sz="4" w:space="0"/>
              <w:right w:val="single" w:color="000000" w:sz="4" w:space="0"/>
            </w:tcBorders>
            <w:vAlign w:val="center"/>
          </w:tcPr>
          <w:p w14:paraId="402808B3">
            <w:pPr>
              <w:spacing w:line="240" w:lineRule="auto"/>
              <w:ind w:firstLine="0" w:firstLineChars="0"/>
              <w:jc w:val="center"/>
              <w:rPr>
                <w:rFonts w:cs="Times New Roman"/>
                <w:color w:val="auto"/>
                <w:sz w:val="21"/>
                <w:szCs w:val="21"/>
              </w:rPr>
            </w:pPr>
            <w:r>
              <w:rPr>
                <w:rFonts w:cs="Times New Roman"/>
                <w:color w:val="auto"/>
                <w:sz w:val="21"/>
                <w:szCs w:val="21"/>
              </w:rPr>
              <w:t>pH值</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5AE29F48">
            <w:pPr>
              <w:spacing w:line="240" w:lineRule="auto"/>
              <w:ind w:firstLine="0" w:firstLineChars="0"/>
              <w:jc w:val="center"/>
              <w:rPr>
                <w:rFonts w:cs="Times New Roman"/>
                <w:color w:val="auto"/>
                <w:sz w:val="21"/>
                <w:szCs w:val="21"/>
              </w:rPr>
            </w:pPr>
            <w:r>
              <w:rPr>
                <w:rFonts w:cs="Times New Roman"/>
                <w:color w:val="auto"/>
                <w:sz w:val="21"/>
                <w:szCs w:val="21"/>
              </w:rPr>
              <w:t>7.8～8.5，同时不超出该海域正常变动范围的0.2pH单位</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43056858">
            <w:pPr>
              <w:spacing w:line="240" w:lineRule="auto"/>
              <w:ind w:firstLine="0" w:firstLineChars="0"/>
              <w:jc w:val="center"/>
              <w:rPr>
                <w:rFonts w:cs="Times New Roman"/>
                <w:color w:val="auto"/>
                <w:sz w:val="21"/>
                <w:szCs w:val="21"/>
              </w:rPr>
            </w:pPr>
            <w:r>
              <w:rPr>
                <w:rFonts w:cs="Times New Roman"/>
                <w:color w:val="auto"/>
                <w:sz w:val="21"/>
                <w:szCs w:val="21"/>
              </w:rPr>
              <w:t>6.8～8.8，同时不超出该海域正常变动范围的0.5pH单位</w:t>
            </w:r>
          </w:p>
        </w:tc>
      </w:tr>
      <w:tr w14:paraId="0CD32B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6512020">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1359" w:type="pct"/>
            <w:tcBorders>
              <w:top w:val="single" w:color="000000" w:sz="4" w:space="0"/>
              <w:left w:val="single" w:color="000000" w:sz="4" w:space="0"/>
              <w:bottom w:val="single" w:color="000000" w:sz="4" w:space="0"/>
              <w:right w:val="single" w:color="000000" w:sz="4" w:space="0"/>
            </w:tcBorders>
            <w:vAlign w:val="center"/>
          </w:tcPr>
          <w:p w14:paraId="714A1A3A">
            <w:pPr>
              <w:spacing w:line="240" w:lineRule="auto"/>
              <w:ind w:firstLine="0" w:firstLineChars="0"/>
              <w:jc w:val="center"/>
              <w:rPr>
                <w:rFonts w:cs="Times New Roman"/>
                <w:color w:val="auto"/>
                <w:sz w:val="21"/>
                <w:szCs w:val="21"/>
              </w:rPr>
            </w:pPr>
            <w:r>
              <w:rPr>
                <w:rFonts w:cs="Times New Roman"/>
                <w:color w:val="auto"/>
                <w:sz w:val="21"/>
                <w:szCs w:val="21"/>
              </w:rPr>
              <w:t>悬浮物</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42DD2286">
            <w:pPr>
              <w:spacing w:line="240" w:lineRule="auto"/>
              <w:ind w:firstLine="0" w:firstLineChars="0"/>
              <w:jc w:val="center"/>
              <w:rPr>
                <w:rFonts w:cs="Times New Roman"/>
                <w:color w:val="auto"/>
                <w:sz w:val="21"/>
                <w:szCs w:val="21"/>
              </w:rPr>
            </w:pPr>
            <w:r>
              <w:rPr>
                <w:rFonts w:cs="Times New Roman"/>
                <w:color w:val="auto"/>
                <w:sz w:val="21"/>
                <w:szCs w:val="21"/>
              </w:rPr>
              <w:t>人为增加的量≤10</w:t>
            </w:r>
          </w:p>
        </w:tc>
        <w:tc>
          <w:tcPr>
            <w:tcW w:w="851" w:type="pct"/>
            <w:tcBorders>
              <w:top w:val="single" w:color="000000" w:sz="4" w:space="0"/>
              <w:left w:val="single" w:color="000000" w:sz="4" w:space="0"/>
              <w:bottom w:val="single" w:color="000000" w:sz="4" w:space="0"/>
              <w:right w:val="single" w:color="000000" w:sz="4" w:space="0"/>
            </w:tcBorders>
            <w:vAlign w:val="center"/>
          </w:tcPr>
          <w:p w14:paraId="38824778">
            <w:pPr>
              <w:spacing w:line="240" w:lineRule="auto"/>
              <w:ind w:firstLine="0" w:firstLineChars="0"/>
              <w:jc w:val="center"/>
              <w:rPr>
                <w:rFonts w:cs="Times New Roman"/>
                <w:color w:val="auto"/>
                <w:sz w:val="21"/>
                <w:szCs w:val="21"/>
              </w:rPr>
            </w:pPr>
            <w:r>
              <w:rPr>
                <w:rFonts w:cs="Times New Roman"/>
                <w:color w:val="auto"/>
                <w:sz w:val="21"/>
                <w:szCs w:val="21"/>
              </w:rPr>
              <w:t>人为增加的量</w:t>
            </w:r>
          </w:p>
          <w:p w14:paraId="78FCA9CC">
            <w:pPr>
              <w:spacing w:line="240" w:lineRule="auto"/>
              <w:ind w:firstLine="0" w:firstLineChars="0"/>
              <w:jc w:val="center"/>
              <w:rPr>
                <w:rFonts w:cs="Times New Roman"/>
                <w:color w:val="auto"/>
                <w:sz w:val="21"/>
                <w:szCs w:val="21"/>
              </w:rPr>
            </w:pPr>
            <w:r>
              <w:rPr>
                <w:rFonts w:cs="Times New Roman"/>
                <w:color w:val="auto"/>
                <w:sz w:val="21"/>
                <w:szCs w:val="21"/>
              </w:rPr>
              <w:t>≤100</w:t>
            </w:r>
          </w:p>
        </w:tc>
        <w:tc>
          <w:tcPr>
            <w:tcW w:w="999" w:type="pct"/>
            <w:tcBorders>
              <w:top w:val="single" w:color="000000" w:sz="4" w:space="0"/>
              <w:left w:val="single" w:color="000000" w:sz="4" w:space="0"/>
              <w:bottom w:val="single" w:color="000000" w:sz="4" w:space="0"/>
              <w:right w:val="single" w:color="000000" w:sz="4" w:space="0"/>
            </w:tcBorders>
            <w:vAlign w:val="center"/>
          </w:tcPr>
          <w:p w14:paraId="100AE3D5">
            <w:pPr>
              <w:spacing w:line="240" w:lineRule="auto"/>
              <w:ind w:firstLine="0" w:firstLineChars="0"/>
              <w:jc w:val="center"/>
              <w:rPr>
                <w:rFonts w:cs="Times New Roman"/>
                <w:color w:val="auto"/>
                <w:sz w:val="21"/>
                <w:szCs w:val="21"/>
              </w:rPr>
            </w:pPr>
            <w:r>
              <w:rPr>
                <w:rFonts w:cs="Times New Roman"/>
                <w:color w:val="auto"/>
                <w:sz w:val="21"/>
                <w:szCs w:val="21"/>
              </w:rPr>
              <w:t>人为增加量的≤150</w:t>
            </w:r>
          </w:p>
        </w:tc>
      </w:tr>
      <w:tr w14:paraId="6B6881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C361EFD">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1359" w:type="pct"/>
            <w:tcBorders>
              <w:top w:val="single" w:color="000000" w:sz="4" w:space="0"/>
              <w:left w:val="single" w:color="000000" w:sz="4" w:space="0"/>
              <w:bottom w:val="single" w:color="000000" w:sz="4" w:space="0"/>
              <w:right w:val="single" w:color="000000" w:sz="4" w:space="0"/>
            </w:tcBorders>
            <w:vAlign w:val="center"/>
          </w:tcPr>
          <w:p w14:paraId="634F8555">
            <w:pPr>
              <w:spacing w:line="240" w:lineRule="auto"/>
              <w:ind w:firstLine="0" w:firstLineChars="0"/>
              <w:jc w:val="center"/>
              <w:rPr>
                <w:rFonts w:cs="Times New Roman"/>
                <w:color w:val="auto"/>
                <w:sz w:val="21"/>
                <w:szCs w:val="21"/>
              </w:rPr>
            </w:pPr>
            <w:r>
              <w:rPr>
                <w:rFonts w:cs="Times New Roman"/>
                <w:color w:val="auto"/>
                <w:sz w:val="21"/>
                <w:szCs w:val="21"/>
              </w:rPr>
              <w:t>溶解氧</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7CBAFB45">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634" w:type="pct"/>
            <w:tcBorders>
              <w:top w:val="single" w:color="000000" w:sz="4" w:space="0"/>
              <w:left w:val="single" w:color="000000" w:sz="4" w:space="0"/>
              <w:bottom w:val="single" w:color="000000" w:sz="4" w:space="0"/>
              <w:right w:val="single" w:color="000000" w:sz="4" w:space="0"/>
            </w:tcBorders>
            <w:vAlign w:val="center"/>
          </w:tcPr>
          <w:p w14:paraId="2C468DC3">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851" w:type="pct"/>
            <w:tcBorders>
              <w:top w:val="single" w:color="000000" w:sz="4" w:space="0"/>
              <w:left w:val="single" w:color="000000" w:sz="4" w:space="0"/>
              <w:bottom w:val="single" w:color="000000" w:sz="4" w:space="0"/>
              <w:right w:val="single" w:color="000000" w:sz="4" w:space="0"/>
            </w:tcBorders>
            <w:vAlign w:val="center"/>
          </w:tcPr>
          <w:p w14:paraId="29B949E2">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999" w:type="pct"/>
            <w:tcBorders>
              <w:top w:val="single" w:color="000000" w:sz="4" w:space="0"/>
              <w:left w:val="single" w:color="000000" w:sz="4" w:space="0"/>
              <w:bottom w:val="single" w:color="000000" w:sz="4" w:space="0"/>
              <w:right w:val="single" w:color="000000" w:sz="4" w:space="0"/>
            </w:tcBorders>
            <w:vAlign w:val="center"/>
          </w:tcPr>
          <w:p w14:paraId="445426FD">
            <w:pPr>
              <w:spacing w:line="240" w:lineRule="auto"/>
              <w:ind w:firstLine="0" w:firstLineChars="0"/>
              <w:jc w:val="center"/>
              <w:rPr>
                <w:rFonts w:cs="Times New Roman"/>
                <w:color w:val="auto"/>
                <w:sz w:val="21"/>
                <w:szCs w:val="21"/>
              </w:rPr>
            </w:pPr>
            <w:r>
              <w:rPr>
                <w:rFonts w:cs="Times New Roman"/>
                <w:color w:val="auto"/>
                <w:sz w:val="21"/>
                <w:szCs w:val="21"/>
              </w:rPr>
              <w:t>3</w:t>
            </w:r>
          </w:p>
        </w:tc>
      </w:tr>
      <w:tr w14:paraId="76E66D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32E2122">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1359" w:type="pct"/>
            <w:tcBorders>
              <w:top w:val="single" w:color="000000" w:sz="4" w:space="0"/>
              <w:left w:val="single" w:color="000000" w:sz="4" w:space="0"/>
              <w:bottom w:val="single" w:color="000000" w:sz="4" w:space="0"/>
              <w:right w:val="single" w:color="000000" w:sz="4" w:space="0"/>
            </w:tcBorders>
            <w:vAlign w:val="center"/>
          </w:tcPr>
          <w:p w14:paraId="3BB9E8E6">
            <w:pPr>
              <w:spacing w:line="240" w:lineRule="auto"/>
              <w:ind w:firstLine="0" w:firstLineChars="0"/>
              <w:jc w:val="center"/>
              <w:rPr>
                <w:rFonts w:cs="Times New Roman"/>
                <w:color w:val="auto"/>
                <w:sz w:val="21"/>
                <w:szCs w:val="21"/>
              </w:rPr>
            </w:pPr>
            <w:r>
              <w:rPr>
                <w:rFonts w:cs="Times New Roman"/>
                <w:color w:val="auto"/>
                <w:sz w:val="21"/>
                <w:szCs w:val="21"/>
              </w:rPr>
              <w:t>化学需氧量</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66288756">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634" w:type="pct"/>
            <w:tcBorders>
              <w:top w:val="single" w:color="000000" w:sz="4" w:space="0"/>
              <w:left w:val="single" w:color="000000" w:sz="4" w:space="0"/>
              <w:bottom w:val="single" w:color="000000" w:sz="4" w:space="0"/>
              <w:right w:val="single" w:color="000000" w:sz="4" w:space="0"/>
            </w:tcBorders>
            <w:vAlign w:val="center"/>
          </w:tcPr>
          <w:p w14:paraId="3BDCC888">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851" w:type="pct"/>
            <w:tcBorders>
              <w:top w:val="single" w:color="000000" w:sz="4" w:space="0"/>
              <w:left w:val="single" w:color="000000" w:sz="4" w:space="0"/>
              <w:bottom w:val="single" w:color="000000" w:sz="4" w:space="0"/>
              <w:right w:val="single" w:color="000000" w:sz="4" w:space="0"/>
            </w:tcBorders>
            <w:vAlign w:val="center"/>
          </w:tcPr>
          <w:p w14:paraId="2005DE87">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999" w:type="pct"/>
            <w:tcBorders>
              <w:top w:val="single" w:color="000000" w:sz="4" w:space="0"/>
              <w:left w:val="single" w:color="000000" w:sz="4" w:space="0"/>
              <w:bottom w:val="single" w:color="000000" w:sz="4" w:space="0"/>
              <w:right w:val="single" w:color="000000" w:sz="4" w:space="0"/>
            </w:tcBorders>
            <w:vAlign w:val="center"/>
          </w:tcPr>
          <w:p w14:paraId="1C36A1B5">
            <w:pPr>
              <w:spacing w:line="240" w:lineRule="auto"/>
              <w:ind w:firstLine="0" w:firstLineChars="0"/>
              <w:jc w:val="center"/>
              <w:rPr>
                <w:rFonts w:cs="Times New Roman"/>
                <w:color w:val="auto"/>
                <w:sz w:val="21"/>
                <w:szCs w:val="21"/>
              </w:rPr>
            </w:pPr>
            <w:r>
              <w:rPr>
                <w:rFonts w:cs="Times New Roman"/>
                <w:color w:val="auto"/>
                <w:sz w:val="21"/>
                <w:szCs w:val="21"/>
              </w:rPr>
              <w:t>5</w:t>
            </w:r>
          </w:p>
        </w:tc>
      </w:tr>
      <w:tr w14:paraId="69612C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0F9270F">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1359" w:type="pct"/>
            <w:tcBorders>
              <w:top w:val="single" w:color="000000" w:sz="4" w:space="0"/>
              <w:left w:val="single" w:color="000000" w:sz="4" w:space="0"/>
              <w:bottom w:val="single" w:color="000000" w:sz="4" w:space="0"/>
              <w:right w:val="single" w:color="000000" w:sz="4" w:space="0"/>
            </w:tcBorders>
            <w:vAlign w:val="center"/>
          </w:tcPr>
          <w:p w14:paraId="715C2DF5">
            <w:pPr>
              <w:spacing w:line="240" w:lineRule="auto"/>
              <w:ind w:firstLine="0" w:firstLineChars="0"/>
              <w:jc w:val="center"/>
              <w:rPr>
                <w:rFonts w:cs="Times New Roman"/>
                <w:color w:val="auto"/>
                <w:sz w:val="21"/>
                <w:szCs w:val="21"/>
              </w:rPr>
            </w:pPr>
            <w:r>
              <w:rPr>
                <w:rFonts w:cs="Times New Roman"/>
                <w:color w:val="auto"/>
                <w:sz w:val="21"/>
                <w:szCs w:val="21"/>
              </w:rPr>
              <w:t>生化需氧量  ≤</w:t>
            </w:r>
          </w:p>
        </w:tc>
        <w:tc>
          <w:tcPr>
            <w:tcW w:w="812" w:type="pct"/>
            <w:tcBorders>
              <w:top w:val="single" w:color="000000" w:sz="4" w:space="0"/>
              <w:left w:val="single" w:color="000000" w:sz="4" w:space="0"/>
              <w:bottom w:val="single" w:color="000000" w:sz="4" w:space="0"/>
              <w:right w:val="single" w:color="000000" w:sz="4" w:space="0"/>
            </w:tcBorders>
            <w:vAlign w:val="center"/>
          </w:tcPr>
          <w:p w14:paraId="785C0318">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634" w:type="pct"/>
            <w:tcBorders>
              <w:top w:val="single" w:color="000000" w:sz="4" w:space="0"/>
              <w:left w:val="single" w:color="000000" w:sz="4" w:space="0"/>
              <w:bottom w:val="single" w:color="000000" w:sz="4" w:space="0"/>
              <w:right w:val="single" w:color="000000" w:sz="4" w:space="0"/>
            </w:tcBorders>
            <w:vAlign w:val="center"/>
          </w:tcPr>
          <w:p w14:paraId="7CEF9518">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851" w:type="pct"/>
            <w:tcBorders>
              <w:top w:val="single" w:color="000000" w:sz="4" w:space="0"/>
              <w:left w:val="single" w:color="000000" w:sz="4" w:space="0"/>
              <w:bottom w:val="single" w:color="000000" w:sz="4" w:space="0"/>
              <w:right w:val="single" w:color="000000" w:sz="4" w:space="0"/>
            </w:tcBorders>
            <w:vAlign w:val="center"/>
          </w:tcPr>
          <w:p w14:paraId="0E37B0C8">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999" w:type="pct"/>
            <w:tcBorders>
              <w:top w:val="single" w:color="000000" w:sz="4" w:space="0"/>
              <w:left w:val="single" w:color="000000" w:sz="4" w:space="0"/>
              <w:bottom w:val="single" w:color="000000" w:sz="4" w:space="0"/>
              <w:right w:val="single" w:color="000000" w:sz="4" w:space="0"/>
            </w:tcBorders>
            <w:vAlign w:val="center"/>
          </w:tcPr>
          <w:p w14:paraId="0985B443">
            <w:pPr>
              <w:spacing w:line="240" w:lineRule="auto"/>
              <w:ind w:firstLine="0" w:firstLineChars="0"/>
              <w:jc w:val="center"/>
              <w:rPr>
                <w:rFonts w:cs="Times New Roman"/>
                <w:color w:val="auto"/>
                <w:sz w:val="21"/>
                <w:szCs w:val="21"/>
              </w:rPr>
            </w:pPr>
            <w:r>
              <w:rPr>
                <w:rFonts w:cs="Times New Roman"/>
                <w:color w:val="auto"/>
                <w:sz w:val="21"/>
                <w:szCs w:val="21"/>
              </w:rPr>
              <w:t>5</w:t>
            </w:r>
          </w:p>
        </w:tc>
      </w:tr>
      <w:tr w14:paraId="3179B0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4FF06E5D">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1359" w:type="pct"/>
            <w:tcBorders>
              <w:top w:val="single" w:color="000000" w:sz="4" w:space="0"/>
              <w:left w:val="single" w:color="000000" w:sz="4" w:space="0"/>
              <w:bottom w:val="single" w:color="000000" w:sz="4" w:space="0"/>
              <w:right w:val="single" w:color="000000" w:sz="4" w:space="0"/>
            </w:tcBorders>
            <w:vAlign w:val="center"/>
          </w:tcPr>
          <w:p w14:paraId="55C6B98E">
            <w:pPr>
              <w:spacing w:line="240" w:lineRule="auto"/>
              <w:ind w:firstLine="0" w:firstLineChars="0"/>
              <w:jc w:val="center"/>
              <w:rPr>
                <w:rFonts w:cs="Times New Roman"/>
                <w:color w:val="auto"/>
                <w:sz w:val="21"/>
                <w:szCs w:val="21"/>
              </w:rPr>
            </w:pPr>
            <w:r>
              <w:rPr>
                <w:rFonts w:cs="Times New Roman"/>
                <w:color w:val="auto"/>
                <w:sz w:val="21"/>
                <w:szCs w:val="21"/>
              </w:rPr>
              <w:t>无机氮(以N计)</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3C95946">
            <w:pPr>
              <w:spacing w:line="240" w:lineRule="auto"/>
              <w:ind w:firstLine="0" w:firstLineChars="0"/>
              <w:jc w:val="center"/>
              <w:rPr>
                <w:rFonts w:cs="Times New Roman"/>
                <w:color w:val="auto"/>
                <w:sz w:val="21"/>
                <w:szCs w:val="21"/>
              </w:rPr>
            </w:pPr>
            <w:r>
              <w:rPr>
                <w:rFonts w:cs="Times New Roman"/>
                <w:color w:val="auto"/>
                <w:sz w:val="21"/>
                <w:szCs w:val="21"/>
              </w:rPr>
              <w:t>0.20</w:t>
            </w:r>
          </w:p>
        </w:tc>
        <w:tc>
          <w:tcPr>
            <w:tcW w:w="634" w:type="pct"/>
            <w:tcBorders>
              <w:top w:val="single" w:color="000000" w:sz="4" w:space="0"/>
              <w:left w:val="single" w:color="000000" w:sz="4" w:space="0"/>
              <w:bottom w:val="single" w:color="000000" w:sz="4" w:space="0"/>
              <w:right w:val="single" w:color="000000" w:sz="4" w:space="0"/>
            </w:tcBorders>
            <w:vAlign w:val="center"/>
          </w:tcPr>
          <w:p w14:paraId="1E72A05C">
            <w:pPr>
              <w:spacing w:line="240" w:lineRule="auto"/>
              <w:ind w:firstLine="0" w:firstLineChars="0"/>
              <w:jc w:val="center"/>
              <w:rPr>
                <w:rFonts w:cs="Times New Roman"/>
                <w:color w:val="auto"/>
                <w:sz w:val="21"/>
                <w:szCs w:val="21"/>
              </w:rPr>
            </w:pPr>
            <w:r>
              <w:rPr>
                <w:rFonts w:cs="Times New Roman"/>
                <w:color w:val="auto"/>
                <w:sz w:val="21"/>
                <w:szCs w:val="21"/>
              </w:rPr>
              <w:t>0.30</w:t>
            </w:r>
          </w:p>
        </w:tc>
        <w:tc>
          <w:tcPr>
            <w:tcW w:w="851" w:type="pct"/>
            <w:tcBorders>
              <w:top w:val="single" w:color="000000" w:sz="4" w:space="0"/>
              <w:left w:val="single" w:color="000000" w:sz="4" w:space="0"/>
              <w:bottom w:val="single" w:color="000000" w:sz="4" w:space="0"/>
              <w:right w:val="single" w:color="000000" w:sz="4" w:space="0"/>
            </w:tcBorders>
            <w:vAlign w:val="center"/>
          </w:tcPr>
          <w:p w14:paraId="2E7E994D">
            <w:pPr>
              <w:spacing w:line="240" w:lineRule="auto"/>
              <w:ind w:firstLine="0" w:firstLineChars="0"/>
              <w:jc w:val="center"/>
              <w:rPr>
                <w:rFonts w:cs="Times New Roman"/>
                <w:color w:val="auto"/>
                <w:sz w:val="21"/>
                <w:szCs w:val="21"/>
              </w:rPr>
            </w:pPr>
            <w:r>
              <w:rPr>
                <w:rFonts w:cs="Times New Roman"/>
                <w:color w:val="auto"/>
                <w:sz w:val="21"/>
                <w:szCs w:val="21"/>
              </w:rPr>
              <w:t>0.40</w:t>
            </w:r>
          </w:p>
        </w:tc>
        <w:tc>
          <w:tcPr>
            <w:tcW w:w="999" w:type="pct"/>
            <w:tcBorders>
              <w:top w:val="single" w:color="000000" w:sz="4" w:space="0"/>
              <w:left w:val="single" w:color="000000" w:sz="4" w:space="0"/>
              <w:bottom w:val="single" w:color="000000" w:sz="4" w:space="0"/>
              <w:right w:val="single" w:color="000000" w:sz="4" w:space="0"/>
            </w:tcBorders>
            <w:vAlign w:val="center"/>
          </w:tcPr>
          <w:p w14:paraId="49CBFB6F">
            <w:pPr>
              <w:spacing w:line="240" w:lineRule="auto"/>
              <w:ind w:firstLine="0" w:firstLineChars="0"/>
              <w:jc w:val="center"/>
              <w:rPr>
                <w:rFonts w:cs="Times New Roman"/>
                <w:color w:val="auto"/>
                <w:sz w:val="21"/>
                <w:szCs w:val="21"/>
              </w:rPr>
            </w:pPr>
            <w:r>
              <w:rPr>
                <w:rFonts w:cs="Times New Roman"/>
                <w:color w:val="auto"/>
                <w:sz w:val="21"/>
                <w:szCs w:val="21"/>
              </w:rPr>
              <w:t>0.50</w:t>
            </w:r>
          </w:p>
        </w:tc>
      </w:tr>
      <w:tr w14:paraId="4D4533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47CF25D">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1359" w:type="pct"/>
            <w:tcBorders>
              <w:top w:val="single" w:color="000000" w:sz="4" w:space="0"/>
              <w:left w:val="single" w:color="000000" w:sz="4" w:space="0"/>
              <w:bottom w:val="single" w:color="000000" w:sz="4" w:space="0"/>
              <w:right w:val="single" w:color="000000" w:sz="4" w:space="0"/>
            </w:tcBorders>
            <w:vAlign w:val="center"/>
          </w:tcPr>
          <w:p w14:paraId="686A8EC2">
            <w:pPr>
              <w:spacing w:line="240" w:lineRule="auto"/>
              <w:ind w:firstLine="0" w:firstLineChars="0"/>
              <w:jc w:val="center"/>
              <w:rPr>
                <w:rFonts w:cs="Times New Roman"/>
                <w:color w:val="auto"/>
                <w:sz w:val="21"/>
                <w:szCs w:val="21"/>
              </w:rPr>
            </w:pPr>
            <w:r>
              <w:rPr>
                <w:rFonts w:cs="Times New Roman"/>
                <w:color w:val="auto"/>
                <w:sz w:val="21"/>
                <w:szCs w:val="21"/>
              </w:rPr>
              <w:t>非离子氨(以N计)</w:t>
            </w:r>
            <w:r>
              <w:rPr>
                <w:rFonts w:cs="Times New Roman"/>
                <w:color w:val="auto"/>
                <w:sz w:val="21"/>
                <w:szCs w:val="21"/>
              </w:rPr>
              <w:tab/>
            </w:r>
            <w:r>
              <w:rPr>
                <w:rFonts w:cs="Times New Roman"/>
                <w:color w:val="auto"/>
                <w:sz w:val="21"/>
                <w:szCs w:val="21"/>
              </w:rPr>
              <w:t>≤</w:t>
            </w:r>
          </w:p>
        </w:tc>
        <w:tc>
          <w:tcPr>
            <w:tcW w:w="3296" w:type="pct"/>
            <w:gridSpan w:val="4"/>
            <w:tcBorders>
              <w:top w:val="single" w:color="000000" w:sz="4" w:space="0"/>
              <w:left w:val="single" w:color="000000" w:sz="4" w:space="0"/>
              <w:bottom w:val="single" w:color="000000" w:sz="4" w:space="0"/>
              <w:right w:val="single" w:color="000000" w:sz="4" w:space="0"/>
            </w:tcBorders>
            <w:vAlign w:val="center"/>
          </w:tcPr>
          <w:p w14:paraId="5AF3926D">
            <w:pPr>
              <w:spacing w:line="240" w:lineRule="auto"/>
              <w:ind w:firstLine="0" w:firstLineChars="0"/>
              <w:jc w:val="center"/>
              <w:rPr>
                <w:rFonts w:cs="Times New Roman"/>
                <w:color w:val="auto"/>
                <w:sz w:val="21"/>
                <w:szCs w:val="21"/>
              </w:rPr>
            </w:pPr>
            <w:r>
              <w:rPr>
                <w:rFonts w:cs="Times New Roman"/>
                <w:color w:val="auto"/>
                <w:sz w:val="21"/>
                <w:szCs w:val="21"/>
              </w:rPr>
              <w:t>0.020</w:t>
            </w:r>
          </w:p>
        </w:tc>
      </w:tr>
      <w:tr w14:paraId="241D27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72CD99F6">
            <w:pPr>
              <w:spacing w:line="240" w:lineRule="auto"/>
              <w:ind w:firstLine="0" w:firstLineChars="0"/>
              <w:jc w:val="center"/>
              <w:rPr>
                <w:rFonts w:cs="Times New Roman"/>
                <w:color w:val="auto"/>
                <w:sz w:val="21"/>
                <w:szCs w:val="21"/>
              </w:rPr>
            </w:pPr>
            <w:r>
              <w:rPr>
                <w:rFonts w:cs="Times New Roman"/>
                <w:color w:val="auto"/>
                <w:sz w:val="21"/>
                <w:szCs w:val="21"/>
              </w:rPr>
              <w:t>9</w:t>
            </w:r>
          </w:p>
        </w:tc>
        <w:tc>
          <w:tcPr>
            <w:tcW w:w="1359" w:type="pct"/>
            <w:tcBorders>
              <w:top w:val="single" w:color="000000" w:sz="4" w:space="0"/>
              <w:left w:val="single" w:color="000000" w:sz="4" w:space="0"/>
              <w:bottom w:val="single" w:color="000000" w:sz="4" w:space="0"/>
              <w:right w:val="single" w:color="000000" w:sz="4" w:space="0"/>
            </w:tcBorders>
            <w:vAlign w:val="center"/>
          </w:tcPr>
          <w:p w14:paraId="54986AC7">
            <w:pPr>
              <w:spacing w:line="240" w:lineRule="auto"/>
              <w:ind w:firstLine="0" w:firstLineChars="0"/>
              <w:jc w:val="center"/>
              <w:rPr>
                <w:rFonts w:cs="Times New Roman"/>
                <w:color w:val="auto"/>
                <w:sz w:val="21"/>
                <w:szCs w:val="21"/>
              </w:rPr>
            </w:pPr>
            <w:r>
              <w:rPr>
                <w:rFonts w:cs="Times New Roman"/>
                <w:color w:val="auto"/>
                <w:sz w:val="21"/>
                <w:szCs w:val="21"/>
              </w:rPr>
              <w:t>活性磷酸盐（以P计）≤</w:t>
            </w:r>
          </w:p>
        </w:tc>
        <w:tc>
          <w:tcPr>
            <w:tcW w:w="812" w:type="pct"/>
            <w:tcBorders>
              <w:top w:val="single" w:color="000000" w:sz="4" w:space="0"/>
              <w:left w:val="single" w:color="000000" w:sz="4" w:space="0"/>
              <w:bottom w:val="single" w:color="000000" w:sz="4" w:space="0"/>
              <w:right w:val="single" w:color="000000" w:sz="4" w:space="0"/>
            </w:tcBorders>
            <w:vAlign w:val="center"/>
          </w:tcPr>
          <w:p w14:paraId="76452A3C">
            <w:pPr>
              <w:spacing w:line="240" w:lineRule="auto"/>
              <w:ind w:firstLine="0" w:firstLineChars="0"/>
              <w:jc w:val="center"/>
              <w:rPr>
                <w:rFonts w:cs="Times New Roman"/>
                <w:color w:val="auto"/>
                <w:sz w:val="21"/>
                <w:szCs w:val="21"/>
              </w:rPr>
            </w:pPr>
            <w:r>
              <w:rPr>
                <w:rFonts w:cs="Times New Roman"/>
                <w:color w:val="auto"/>
                <w:sz w:val="21"/>
                <w:szCs w:val="21"/>
              </w:rPr>
              <w:t>0.015</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567226BF">
            <w:pPr>
              <w:spacing w:line="240" w:lineRule="auto"/>
              <w:ind w:firstLine="0" w:firstLineChars="0"/>
              <w:jc w:val="center"/>
              <w:rPr>
                <w:rFonts w:cs="Times New Roman"/>
                <w:color w:val="auto"/>
                <w:sz w:val="21"/>
                <w:szCs w:val="21"/>
              </w:rPr>
            </w:pPr>
            <w:r>
              <w:rPr>
                <w:rFonts w:cs="Times New Roman"/>
                <w:color w:val="auto"/>
                <w:sz w:val="21"/>
                <w:szCs w:val="21"/>
              </w:rPr>
              <w:t>0.030</w:t>
            </w:r>
          </w:p>
        </w:tc>
        <w:tc>
          <w:tcPr>
            <w:tcW w:w="999" w:type="pct"/>
            <w:tcBorders>
              <w:top w:val="single" w:color="000000" w:sz="4" w:space="0"/>
              <w:left w:val="single" w:color="000000" w:sz="4" w:space="0"/>
              <w:bottom w:val="single" w:color="000000" w:sz="4" w:space="0"/>
              <w:right w:val="single" w:color="000000" w:sz="4" w:space="0"/>
            </w:tcBorders>
            <w:vAlign w:val="center"/>
          </w:tcPr>
          <w:p w14:paraId="74455D67">
            <w:pPr>
              <w:spacing w:line="240" w:lineRule="auto"/>
              <w:ind w:firstLine="0" w:firstLineChars="0"/>
              <w:jc w:val="center"/>
              <w:rPr>
                <w:rFonts w:cs="Times New Roman"/>
                <w:color w:val="auto"/>
                <w:sz w:val="21"/>
                <w:szCs w:val="21"/>
              </w:rPr>
            </w:pPr>
            <w:r>
              <w:rPr>
                <w:rFonts w:cs="Times New Roman"/>
                <w:color w:val="auto"/>
                <w:sz w:val="21"/>
                <w:szCs w:val="21"/>
              </w:rPr>
              <w:t>0.045</w:t>
            </w:r>
          </w:p>
        </w:tc>
      </w:tr>
      <w:tr w14:paraId="74CCCC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D7FBB34">
            <w:pPr>
              <w:spacing w:line="240" w:lineRule="auto"/>
              <w:ind w:firstLine="0" w:firstLineChars="0"/>
              <w:jc w:val="center"/>
              <w:rPr>
                <w:rFonts w:cs="Times New Roman"/>
                <w:color w:val="auto"/>
                <w:sz w:val="21"/>
                <w:szCs w:val="21"/>
              </w:rPr>
            </w:pPr>
            <w:r>
              <w:rPr>
                <w:rFonts w:cs="Times New Roman"/>
                <w:color w:val="auto"/>
                <w:sz w:val="21"/>
                <w:szCs w:val="21"/>
              </w:rPr>
              <w:t>10</w:t>
            </w:r>
          </w:p>
        </w:tc>
        <w:tc>
          <w:tcPr>
            <w:tcW w:w="1359" w:type="pct"/>
            <w:tcBorders>
              <w:top w:val="single" w:color="000000" w:sz="4" w:space="0"/>
              <w:left w:val="single" w:color="000000" w:sz="4" w:space="0"/>
              <w:bottom w:val="single" w:color="000000" w:sz="4" w:space="0"/>
              <w:right w:val="single" w:color="000000" w:sz="4" w:space="0"/>
            </w:tcBorders>
            <w:vAlign w:val="center"/>
          </w:tcPr>
          <w:p w14:paraId="783D6B7D">
            <w:pPr>
              <w:spacing w:line="240" w:lineRule="auto"/>
              <w:ind w:firstLine="0" w:firstLineChars="0"/>
              <w:jc w:val="center"/>
              <w:rPr>
                <w:rFonts w:cs="Times New Roman"/>
                <w:color w:val="auto"/>
                <w:sz w:val="21"/>
                <w:szCs w:val="21"/>
              </w:rPr>
            </w:pPr>
            <w:r>
              <w:rPr>
                <w:rFonts w:cs="Times New Roman"/>
                <w:color w:val="auto"/>
                <w:sz w:val="21"/>
                <w:szCs w:val="21"/>
              </w:rPr>
              <w:t>石油类</w:t>
            </w:r>
            <w:r>
              <w:rPr>
                <w:rFonts w:cs="Times New Roman"/>
                <w:color w:val="auto"/>
                <w:sz w:val="21"/>
                <w:szCs w:val="21"/>
              </w:rPr>
              <w:tab/>
            </w:r>
            <w:r>
              <w:rPr>
                <w:rFonts w:cs="Times New Roman"/>
                <w:color w:val="auto"/>
                <w:sz w:val="21"/>
                <w:szCs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6751A40D">
            <w:pPr>
              <w:spacing w:line="240" w:lineRule="auto"/>
              <w:ind w:firstLine="0" w:firstLineChars="0"/>
              <w:jc w:val="center"/>
              <w:rPr>
                <w:rFonts w:cs="Times New Roman"/>
                <w:color w:val="auto"/>
                <w:sz w:val="21"/>
                <w:szCs w:val="21"/>
              </w:rPr>
            </w:pPr>
            <w:r>
              <w:rPr>
                <w:rFonts w:cs="Times New Roman"/>
                <w:color w:val="auto"/>
                <w:sz w:val="21"/>
                <w:szCs w:val="21"/>
              </w:rPr>
              <w:t>0.050</w:t>
            </w:r>
          </w:p>
        </w:tc>
        <w:tc>
          <w:tcPr>
            <w:tcW w:w="851" w:type="pct"/>
            <w:tcBorders>
              <w:top w:val="single" w:color="000000" w:sz="4" w:space="0"/>
              <w:left w:val="single" w:color="000000" w:sz="4" w:space="0"/>
              <w:bottom w:val="single" w:color="000000" w:sz="4" w:space="0"/>
              <w:right w:val="single" w:color="000000" w:sz="4" w:space="0"/>
            </w:tcBorders>
            <w:vAlign w:val="center"/>
          </w:tcPr>
          <w:p w14:paraId="420F7A7D">
            <w:pPr>
              <w:spacing w:line="240" w:lineRule="auto"/>
              <w:ind w:firstLine="0" w:firstLineChars="0"/>
              <w:jc w:val="center"/>
              <w:rPr>
                <w:rFonts w:cs="Times New Roman"/>
                <w:color w:val="auto"/>
                <w:sz w:val="21"/>
                <w:szCs w:val="21"/>
              </w:rPr>
            </w:pPr>
            <w:r>
              <w:rPr>
                <w:rFonts w:cs="Times New Roman"/>
                <w:color w:val="auto"/>
                <w:sz w:val="21"/>
                <w:szCs w:val="21"/>
              </w:rPr>
              <w:t>0.30</w:t>
            </w:r>
          </w:p>
        </w:tc>
        <w:tc>
          <w:tcPr>
            <w:tcW w:w="999" w:type="pct"/>
            <w:tcBorders>
              <w:top w:val="single" w:color="000000" w:sz="4" w:space="0"/>
              <w:left w:val="single" w:color="000000" w:sz="4" w:space="0"/>
              <w:bottom w:val="single" w:color="000000" w:sz="4" w:space="0"/>
              <w:right w:val="single" w:color="000000" w:sz="4" w:space="0"/>
            </w:tcBorders>
            <w:vAlign w:val="center"/>
          </w:tcPr>
          <w:p w14:paraId="66DAD93C">
            <w:pPr>
              <w:spacing w:line="240" w:lineRule="auto"/>
              <w:ind w:firstLine="0" w:firstLineChars="0"/>
              <w:jc w:val="center"/>
              <w:rPr>
                <w:rFonts w:cs="Times New Roman"/>
                <w:color w:val="auto"/>
                <w:sz w:val="21"/>
                <w:szCs w:val="21"/>
              </w:rPr>
            </w:pPr>
            <w:r>
              <w:rPr>
                <w:rFonts w:cs="Times New Roman"/>
                <w:color w:val="auto"/>
                <w:sz w:val="21"/>
                <w:szCs w:val="21"/>
              </w:rPr>
              <w:t>0.50</w:t>
            </w:r>
          </w:p>
        </w:tc>
      </w:tr>
      <w:tr w14:paraId="735C93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6FBF0491">
            <w:pPr>
              <w:spacing w:line="240" w:lineRule="auto"/>
              <w:ind w:firstLine="0" w:firstLineChars="0"/>
              <w:jc w:val="center"/>
              <w:rPr>
                <w:rFonts w:cs="Times New Roman"/>
                <w:color w:val="auto"/>
                <w:sz w:val="21"/>
                <w:szCs w:val="21"/>
              </w:rPr>
            </w:pPr>
            <w:r>
              <w:rPr>
                <w:rFonts w:cs="Times New Roman"/>
                <w:color w:val="auto"/>
                <w:sz w:val="21"/>
                <w:szCs w:val="21"/>
              </w:rPr>
              <w:t>11</w:t>
            </w:r>
          </w:p>
        </w:tc>
        <w:tc>
          <w:tcPr>
            <w:tcW w:w="1359" w:type="pct"/>
            <w:tcBorders>
              <w:top w:val="single" w:color="000000" w:sz="4" w:space="0"/>
              <w:left w:val="single" w:color="000000" w:sz="4" w:space="0"/>
              <w:bottom w:val="single" w:color="000000" w:sz="4" w:space="0"/>
              <w:right w:val="single" w:color="000000" w:sz="4" w:space="0"/>
            </w:tcBorders>
            <w:vAlign w:val="center"/>
          </w:tcPr>
          <w:p w14:paraId="0E1F2A16">
            <w:pPr>
              <w:spacing w:line="240" w:lineRule="auto"/>
              <w:ind w:firstLine="0" w:firstLineChars="0"/>
              <w:jc w:val="center"/>
              <w:rPr>
                <w:rFonts w:cs="Times New Roman"/>
                <w:color w:val="auto"/>
                <w:sz w:val="21"/>
                <w:szCs w:val="21"/>
              </w:rPr>
            </w:pPr>
            <w:r>
              <w:rPr>
                <w:rFonts w:cs="Times New Roman"/>
                <w:color w:val="auto"/>
                <w:sz w:val="21"/>
                <w:szCs w:val="21"/>
              </w:rPr>
              <w:t>汞</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C9E47C3">
            <w:pPr>
              <w:spacing w:line="240" w:lineRule="auto"/>
              <w:ind w:firstLine="0" w:firstLineChars="0"/>
              <w:jc w:val="center"/>
              <w:rPr>
                <w:rFonts w:cs="Times New Roman"/>
                <w:color w:val="auto"/>
                <w:sz w:val="21"/>
                <w:szCs w:val="21"/>
              </w:rPr>
            </w:pPr>
            <w:r>
              <w:rPr>
                <w:rFonts w:cs="Times New Roman"/>
                <w:color w:val="auto"/>
                <w:sz w:val="21"/>
                <w:szCs w:val="21"/>
              </w:rPr>
              <w:t>0.00005</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3F33DF67">
            <w:pPr>
              <w:spacing w:line="240" w:lineRule="auto"/>
              <w:ind w:firstLine="0" w:firstLineChars="0"/>
              <w:jc w:val="center"/>
              <w:rPr>
                <w:rFonts w:cs="Times New Roman"/>
                <w:color w:val="auto"/>
                <w:sz w:val="21"/>
                <w:szCs w:val="21"/>
              </w:rPr>
            </w:pPr>
            <w:r>
              <w:rPr>
                <w:rFonts w:cs="Times New Roman"/>
                <w:color w:val="auto"/>
                <w:sz w:val="21"/>
                <w:szCs w:val="21"/>
              </w:rPr>
              <w:t>0.0002</w:t>
            </w:r>
          </w:p>
        </w:tc>
        <w:tc>
          <w:tcPr>
            <w:tcW w:w="999" w:type="pct"/>
            <w:tcBorders>
              <w:top w:val="single" w:color="000000" w:sz="4" w:space="0"/>
              <w:left w:val="single" w:color="000000" w:sz="4" w:space="0"/>
              <w:bottom w:val="single" w:color="000000" w:sz="4" w:space="0"/>
              <w:right w:val="single" w:color="000000" w:sz="4" w:space="0"/>
            </w:tcBorders>
            <w:vAlign w:val="center"/>
          </w:tcPr>
          <w:p w14:paraId="440E4AE9">
            <w:pPr>
              <w:spacing w:line="240" w:lineRule="auto"/>
              <w:ind w:firstLine="0" w:firstLineChars="0"/>
              <w:jc w:val="center"/>
              <w:rPr>
                <w:rFonts w:cs="Times New Roman"/>
                <w:color w:val="auto"/>
                <w:sz w:val="21"/>
                <w:szCs w:val="21"/>
              </w:rPr>
            </w:pPr>
            <w:r>
              <w:rPr>
                <w:rFonts w:cs="Times New Roman"/>
                <w:color w:val="auto"/>
                <w:sz w:val="21"/>
                <w:szCs w:val="21"/>
              </w:rPr>
              <w:t>0.0005</w:t>
            </w:r>
          </w:p>
        </w:tc>
      </w:tr>
      <w:tr w14:paraId="5E3084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41A5B4AA">
            <w:pPr>
              <w:spacing w:line="240" w:lineRule="auto"/>
              <w:ind w:firstLine="0" w:firstLineChars="0"/>
              <w:jc w:val="center"/>
              <w:rPr>
                <w:rFonts w:cs="Times New Roman"/>
                <w:color w:val="auto"/>
                <w:sz w:val="21"/>
                <w:szCs w:val="21"/>
              </w:rPr>
            </w:pPr>
            <w:r>
              <w:rPr>
                <w:rFonts w:cs="Times New Roman"/>
                <w:color w:val="auto"/>
                <w:sz w:val="21"/>
                <w:szCs w:val="21"/>
              </w:rPr>
              <w:t>12</w:t>
            </w:r>
          </w:p>
        </w:tc>
        <w:tc>
          <w:tcPr>
            <w:tcW w:w="1359" w:type="pct"/>
            <w:tcBorders>
              <w:top w:val="single" w:color="000000" w:sz="4" w:space="0"/>
              <w:left w:val="single" w:color="000000" w:sz="4" w:space="0"/>
              <w:bottom w:val="single" w:color="000000" w:sz="4" w:space="0"/>
              <w:right w:val="single" w:color="000000" w:sz="4" w:space="0"/>
            </w:tcBorders>
            <w:vAlign w:val="center"/>
          </w:tcPr>
          <w:p w14:paraId="0D10A551">
            <w:pPr>
              <w:spacing w:line="240" w:lineRule="auto"/>
              <w:ind w:firstLine="0" w:firstLineChars="0"/>
              <w:jc w:val="center"/>
              <w:rPr>
                <w:rFonts w:cs="Times New Roman"/>
                <w:color w:val="auto"/>
                <w:sz w:val="21"/>
                <w:szCs w:val="21"/>
              </w:rPr>
            </w:pPr>
            <w:r>
              <w:rPr>
                <w:rFonts w:cs="Times New Roman"/>
                <w:color w:val="auto"/>
                <w:sz w:val="21"/>
                <w:szCs w:val="21"/>
              </w:rPr>
              <w:t>铅</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2A2D9CF">
            <w:pPr>
              <w:spacing w:line="240" w:lineRule="auto"/>
              <w:ind w:firstLine="0" w:firstLineChars="0"/>
              <w:jc w:val="center"/>
              <w:rPr>
                <w:rFonts w:cs="Times New Roman"/>
                <w:color w:val="auto"/>
                <w:sz w:val="21"/>
                <w:szCs w:val="21"/>
              </w:rPr>
            </w:pPr>
            <w:r>
              <w:rPr>
                <w:rFonts w:cs="Times New Roman"/>
                <w:color w:val="auto"/>
                <w:sz w:val="21"/>
                <w:szCs w:val="21"/>
              </w:rPr>
              <w:t>0.001</w:t>
            </w:r>
          </w:p>
        </w:tc>
        <w:tc>
          <w:tcPr>
            <w:tcW w:w="634" w:type="pct"/>
            <w:tcBorders>
              <w:top w:val="single" w:color="000000" w:sz="4" w:space="0"/>
              <w:left w:val="single" w:color="000000" w:sz="4" w:space="0"/>
              <w:bottom w:val="single" w:color="000000" w:sz="4" w:space="0"/>
              <w:right w:val="single" w:color="000000" w:sz="4" w:space="0"/>
            </w:tcBorders>
            <w:vAlign w:val="center"/>
          </w:tcPr>
          <w:p w14:paraId="4C8ABBAE">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014EE81E">
            <w:pPr>
              <w:spacing w:line="240" w:lineRule="auto"/>
              <w:ind w:firstLine="0" w:firstLineChars="0"/>
              <w:jc w:val="center"/>
              <w:rPr>
                <w:rFonts w:cs="Times New Roman"/>
                <w:color w:val="auto"/>
                <w:sz w:val="21"/>
                <w:szCs w:val="21"/>
              </w:rPr>
            </w:pPr>
            <w:r>
              <w:rPr>
                <w:rFonts w:cs="Times New Roman"/>
                <w:color w:val="auto"/>
                <w:sz w:val="21"/>
                <w:szCs w:val="21"/>
              </w:rPr>
              <w:t>0.010</w:t>
            </w:r>
          </w:p>
        </w:tc>
        <w:tc>
          <w:tcPr>
            <w:tcW w:w="999" w:type="pct"/>
            <w:tcBorders>
              <w:top w:val="single" w:color="000000" w:sz="4" w:space="0"/>
              <w:left w:val="single" w:color="000000" w:sz="4" w:space="0"/>
              <w:bottom w:val="single" w:color="000000" w:sz="4" w:space="0"/>
              <w:right w:val="single" w:color="000000" w:sz="4" w:space="0"/>
            </w:tcBorders>
            <w:vAlign w:val="center"/>
          </w:tcPr>
          <w:p w14:paraId="4B2B7B93">
            <w:pPr>
              <w:spacing w:line="240" w:lineRule="auto"/>
              <w:ind w:firstLine="0" w:firstLineChars="0"/>
              <w:jc w:val="center"/>
              <w:rPr>
                <w:rFonts w:cs="Times New Roman"/>
                <w:color w:val="auto"/>
                <w:sz w:val="21"/>
                <w:szCs w:val="21"/>
              </w:rPr>
            </w:pPr>
            <w:r>
              <w:rPr>
                <w:rFonts w:cs="Times New Roman"/>
                <w:color w:val="auto"/>
                <w:sz w:val="21"/>
                <w:szCs w:val="21"/>
              </w:rPr>
              <w:t>0.050</w:t>
            </w:r>
          </w:p>
        </w:tc>
      </w:tr>
      <w:tr w14:paraId="243EAE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6572BF8">
            <w:pPr>
              <w:spacing w:line="240" w:lineRule="auto"/>
              <w:ind w:firstLine="0" w:firstLineChars="0"/>
              <w:jc w:val="center"/>
              <w:rPr>
                <w:rFonts w:cs="Times New Roman"/>
                <w:color w:val="auto"/>
                <w:sz w:val="21"/>
                <w:szCs w:val="21"/>
              </w:rPr>
            </w:pPr>
            <w:r>
              <w:rPr>
                <w:rFonts w:cs="Times New Roman"/>
                <w:color w:val="auto"/>
                <w:sz w:val="21"/>
                <w:szCs w:val="21"/>
              </w:rPr>
              <w:t>13</w:t>
            </w:r>
          </w:p>
        </w:tc>
        <w:tc>
          <w:tcPr>
            <w:tcW w:w="1359" w:type="pct"/>
            <w:tcBorders>
              <w:top w:val="single" w:color="000000" w:sz="4" w:space="0"/>
              <w:left w:val="single" w:color="000000" w:sz="4" w:space="0"/>
              <w:bottom w:val="single" w:color="000000" w:sz="4" w:space="0"/>
              <w:right w:val="single" w:color="000000" w:sz="4" w:space="0"/>
            </w:tcBorders>
            <w:vAlign w:val="center"/>
          </w:tcPr>
          <w:p w14:paraId="593E6EEE">
            <w:pPr>
              <w:spacing w:line="240" w:lineRule="auto"/>
              <w:ind w:firstLine="0" w:firstLineChars="0"/>
              <w:jc w:val="center"/>
              <w:rPr>
                <w:rFonts w:cs="Times New Roman"/>
                <w:color w:val="auto"/>
                <w:sz w:val="21"/>
                <w:szCs w:val="21"/>
              </w:rPr>
            </w:pPr>
            <w:r>
              <w:rPr>
                <w:rFonts w:cs="Times New Roman"/>
                <w:color w:val="auto"/>
                <w:sz w:val="21"/>
                <w:szCs w:val="21"/>
              </w:rPr>
              <w:t>镍</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B32963F">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634" w:type="pct"/>
            <w:tcBorders>
              <w:top w:val="single" w:color="000000" w:sz="4" w:space="0"/>
              <w:left w:val="single" w:color="000000" w:sz="4" w:space="0"/>
              <w:bottom w:val="single" w:color="000000" w:sz="4" w:space="0"/>
              <w:right w:val="single" w:color="000000" w:sz="4" w:space="0"/>
            </w:tcBorders>
            <w:vAlign w:val="center"/>
          </w:tcPr>
          <w:p w14:paraId="6EBADD67">
            <w:pPr>
              <w:spacing w:line="240" w:lineRule="auto"/>
              <w:ind w:firstLine="0" w:firstLineChars="0"/>
              <w:jc w:val="center"/>
              <w:rPr>
                <w:rFonts w:cs="Times New Roman"/>
                <w:color w:val="auto"/>
                <w:sz w:val="21"/>
                <w:szCs w:val="21"/>
              </w:rPr>
            </w:pPr>
            <w:r>
              <w:rPr>
                <w:rFonts w:cs="Times New Roman"/>
                <w:color w:val="auto"/>
                <w:sz w:val="21"/>
                <w:szCs w:val="21"/>
              </w:rPr>
              <w:t>0.010</w:t>
            </w:r>
          </w:p>
        </w:tc>
        <w:tc>
          <w:tcPr>
            <w:tcW w:w="851" w:type="pct"/>
            <w:tcBorders>
              <w:top w:val="single" w:color="000000" w:sz="4" w:space="0"/>
              <w:left w:val="single" w:color="000000" w:sz="4" w:space="0"/>
              <w:bottom w:val="single" w:color="000000" w:sz="4" w:space="0"/>
              <w:right w:val="single" w:color="000000" w:sz="4" w:space="0"/>
            </w:tcBorders>
            <w:vAlign w:val="center"/>
          </w:tcPr>
          <w:p w14:paraId="11CCB58D">
            <w:pPr>
              <w:spacing w:line="240" w:lineRule="auto"/>
              <w:ind w:firstLine="0" w:firstLineChars="0"/>
              <w:jc w:val="center"/>
              <w:rPr>
                <w:rFonts w:cs="Times New Roman"/>
                <w:color w:val="auto"/>
                <w:sz w:val="21"/>
                <w:szCs w:val="21"/>
              </w:rPr>
            </w:pPr>
            <w:r>
              <w:rPr>
                <w:rFonts w:cs="Times New Roman"/>
                <w:color w:val="auto"/>
                <w:sz w:val="21"/>
                <w:szCs w:val="21"/>
              </w:rPr>
              <w:t>0.020</w:t>
            </w:r>
          </w:p>
        </w:tc>
        <w:tc>
          <w:tcPr>
            <w:tcW w:w="999" w:type="pct"/>
            <w:tcBorders>
              <w:top w:val="single" w:color="000000" w:sz="4" w:space="0"/>
              <w:left w:val="single" w:color="000000" w:sz="4" w:space="0"/>
              <w:bottom w:val="single" w:color="000000" w:sz="4" w:space="0"/>
              <w:right w:val="single" w:color="000000" w:sz="4" w:space="0"/>
            </w:tcBorders>
            <w:vAlign w:val="center"/>
          </w:tcPr>
          <w:p w14:paraId="755DA2E2">
            <w:pPr>
              <w:spacing w:line="240" w:lineRule="auto"/>
              <w:ind w:firstLine="0" w:firstLineChars="0"/>
              <w:jc w:val="center"/>
              <w:rPr>
                <w:rFonts w:cs="Times New Roman"/>
                <w:color w:val="auto"/>
                <w:sz w:val="21"/>
                <w:szCs w:val="21"/>
              </w:rPr>
            </w:pPr>
            <w:r>
              <w:rPr>
                <w:rFonts w:cs="Times New Roman"/>
                <w:color w:val="auto"/>
                <w:sz w:val="21"/>
                <w:szCs w:val="21"/>
              </w:rPr>
              <w:t>0.050</w:t>
            </w:r>
          </w:p>
        </w:tc>
      </w:tr>
      <w:tr w14:paraId="0BE31A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3CA0A54">
            <w:pPr>
              <w:spacing w:line="240" w:lineRule="auto"/>
              <w:ind w:firstLine="0" w:firstLineChars="0"/>
              <w:jc w:val="center"/>
              <w:rPr>
                <w:rFonts w:cs="Times New Roman"/>
                <w:color w:val="auto"/>
                <w:sz w:val="21"/>
                <w:szCs w:val="21"/>
              </w:rPr>
            </w:pPr>
            <w:r>
              <w:rPr>
                <w:rFonts w:cs="Times New Roman"/>
                <w:color w:val="auto"/>
                <w:sz w:val="21"/>
                <w:szCs w:val="21"/>
              </w:rPr>
              <w:t>14</w:t>
            </w:r>
          </w:p>
        </w:tc>
        <w:tc>
          <w:tcPr>
            <w:tcW w:w="1359" w:type="pct"/>
            <w:tcBorders>
              <w:top w:val="single" w:color="000000" w:sz="4" w:space="0"/>
              <w:left w:val="single" w:color="000000" w:sz="4" w:space="0"/>
              <w:bottom w:val="single" w:color="000000" w:sz="4" w:space="0"/>
              <w:right w:val="single" w:color="000000" w:sz="4" w:space="0"/>
            </w:tcBorders>
            <w:vAlign w:val="center"/>
          </w:tcPr>
          <w:p w14:paraId="48FAE386">
            <w:pPr>
              <w:spacing w:line="240" w:lineRule="auto"/>
              <w:ind w:firstLine="0" w:firstLineChars="0"/>
              <w:jc w:val="center"/>
              <w:rPr>
                <w:rFonts w:cs="Times New Roman"/>
                <w:color w:val="auto"/>
                <w:sz w:val="21"/>
                <w:szCs w:val="21"/>
              </w:rPr>
            </w:pPr>
            <w:r>
              <w:rPr>
                <w:rFonts w:cs="Times New Roman"/>
                <w:color w:val="auto"/>
                <w:sz w:val="21"/>
                <w:szCs w:val="21"/>
              </w:rPr>
              <w:t>砷</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BF76F8F">
            <w:pPr>
              <w:spacing w:line="240" w:lineRule="auto"/>
              <w:ind w:firstLine="0" w:firstLineChars="0"/>
              <w:jc w:val="center"/>
              <w:rPr>
                <w:rFonts w:cs="Times New Roman"/>
                <w:color w:val="auto"/>
                <w:sz w:val="21"/>
                <w:szCs w:val="21"/>
              </w:rPr>
            </w:pPr>
            <w:r>
              <w:rPr>
                <w:rFonts w:cs="Times New Roman"/>
                <w:color w:val="auto"/>
                <w:sz w:val="21"/>
                <w:szCs w:val="21"/>
              </w:rPr>
              <w:t>0.020</w:t>
            </w:r>
          </w:p>
        </w:tc>
        <w:tc>
          <w:tcPr>
            <w:tcW w:w="634" w:type="pct"/>
            <w:tcBorders>
              <w:top w:val="single" w:color="000000" w:sz="4" w:space="0"/>
              <w:left w:val="single" w:color="000000" w:sz="4" w:space="0"/>
              <w:bottom w:val="single" w:color="000000" w:sz="4" w:space="0"/>
              <w:right w:val="single" w:color="000000" w:sz="4" w:space="0"/>
            </w:tcBorders>
            <w:vAlign w:val="center"/>
          </w:tcPr>
          <w:p w14:paraId="3E7F9FA9">
            <w:pPr>
              <w:spacing w:line="240" w:lineRule="auto"/>
              <w:ind w:firstLine="0" w:firstLineChars="0"/>
              <w:jc w:val="center"/>
              <w:rPr>
                <w:rFonts w:cs="Times New Roman"/>
                <w:color w:val="auto"/>
                <w:sz w:val="21"/>
                <w:szCs w:val="21"/>
              </w:rPr>
            </w:pPr>
            <w:r>
              <w:rPr>
                <w:rFonts w:cs="Times New Roman"/>
                <w:color w:val="auto"/>
                <w:sz w:val="21"/>
                <w:szCs w:val="21"/>
              </w:rPr>
              <w:t>0.030</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411CE0A6">
            <w:pPr>
              <w:spacing w:line="240" w:lineRule="auto"/>
              <w:ind w:firstLine="0" w:firstLineChars="0"/>
              <w:jc w:val="center"/>
              <w:rPr>
                <w:rFonts w:cs="Times New Roman"/>
                <w:color w:val="auto"/>
                <w:sz w:val="21"/>
                <w:szCs w:val="21"/>
              </w:rPr>
            </w:pPr>
            <w:r>
              <w:rPr>
                <w:rFonts w:cs="Times New Roman"/>
                <w:color w:val="auto"/>
                <w:sz w:val="21"/>
                <w:szCs w:val="21"/>
              </w:rPr>
              <w:t>0.050</w:t>
            </w:r>
          </w:p>
        </w:tc>
      </w:tr>
      <w:tr w14:paraId="4951C43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2776EBA">
            <w:pPr>
              <w:spacing w:line="240" w:lineRule="auto"/>
              <w:ind w:firstLine="0" w:firstLineChars="0"/>
              <w:jc w:val="center"/>
              <w:rPr>
                <w:rFonts w:cs="Times New Roman"/>
                <w:color w:val="auto"/>
                <w:sz w:val="21"/>
                <w:szCs w:val="21"/>
              </w:rPr>
            </w:pPr>
            <w:r>
              <w:rPr>
                <w:rFonts w:cs="Times New Roman"/>
                <w:color w:val="auto"/>
                <w:sz w:val="21"/>
                <w:szCs w:val="21"/>
              </w:rPr>
              <w:t>15</w:t>
            </w:r>
          </w:p>
        </w:tc>
        <w:tc>
          <w:tcPr>
            <w:tcW w:w="1359" w:type="pct"/>
            <w:tcBorders>
              <w:top w:val="single" w:color="000000" w:sz="4" w:space="0"/>
              <w:left w:val="single" w:color="000000" w:sz="4" w:space="0"/>
              <w:bottom w:val="single" w:color="000000" w:sz="4" w:space="0"/>
              <w:right w:val="single" w:color="000000" w:sz="4" w:space="0"/>
            </w:tcBorders>
            <w:vAlign w:val="center"/>
          </w:tcPr>
          <w:p w14:paraId="5ADFA298">
            <w:pPr>
              <w:spacing w:line="240" w:lineRule="auto"/>
              <w:ind w:firstLine="0" w:firstLineChars="0"/>
              <w:jc w:val="center"/>
              <w:rPr>
                <w:rFonts w:cs="Times New Roman"/>
                <w:color w:val="auto"/>
                <w:sz w:val="21"/>
                <w:szCs w:val="21"/>
              </w:rPr>
            </w:pPr>
            <w:r>
              <w:rPr>
                <w:rFonts w:cs="Times New Roman"/>
                <w:color w:val="auto"/>
                <w:sz w:val="21"/>
                <w:szCs w:val="21"/>
              </w:rPr>
              <w:t>锌</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06D96EE">
            <w:pPr>
              <w:spacing w:line="240" w:lineRule="auto"/>
              <w:ind w:firstLine="0" w:firstLineChars="0"/>
              <w:jc w:val="center"/>
              <w:rPr>
                <w:rFonts w:cs="Times New Roman"/>
                <w:color w:val="auto"/>
                <w:sz w:val="21"/>
                <w:szCs w:val="21"/>
              </w:rPr>
            </w:pPr>
            <w:r>
              <w:rPr>
                <w:rFonts w:cs="Times New Roman"/>
                <w:color w:val="auto"/>
                <w:sz w:val="21"/>
                <w:szCs w:val="21"/>
              </w:rPr>
              <w:t>0.020</w:t>
            </w:r>
          </w:p>
        </w:tc>
        <w:tc>
          <w:tcPr>
            <w:tcW w:w="634" w:type="pct"/>
            <w:tcBorders>
              <w:top w:val="single" w:color="000000" w:sz="4" w:space="0"/>
              <w:left w:val="single" w:color="000000" w:sz="4" w:space="0"/>
              <w:bottom w:val="single" w:color="000000" w:sz="4" w:space="0"/>
              <w:right w:val="single" w:color="000000" w:sz="4" w:space="0"/>
            </w:tcBorders>
            <w:vAlign w:val="center"/>
          </w:tcPr>
          <w:p w14:paraId="17441004">
            <w:pPr>
              <w:spacing w:line="240" w:lineRule="auto"/>
              <w:ind w:firstLine="0" w:firstLineChars="0"/>
              <w:jc w:val="center"/>
              <w:rPr>
                <w:rFonts w:cs="Times New Roman"/>
                <w:color w:val="auto"/>
                <w:sz w:val="21"/>
                <w:szCs w:val="21"/>
              </w:rPr>
            </w:pPr>
            <w:r>
              <w:rPr>
                <w:rFonts w:cs="Times New Roman"/>
                <w:color w:val="auto"/>
                <w:sz w:val="21"/>
                <w:szCs w:val="21"/>
              </w:rPr>
              <w:t>0.050</w:t>
            </w:r>
          </w:p>
        </w:tc>
        <w:tc>
          <w:tcPr>
            <w:tcW w:w="851" w:type="pct"/>
            <w:tcBorders>
              <w:top w:val="single" w:color="000000" w:sz="4" w:space="0"/>
              <w:left w:val="single" w:color="000000" w:sz="4" w:space="0"/>
              <w:bottom w:val="single" w:color="000000" w:sz="4" w:space="0"/>
              <w:right w:val="single" w:color="000000" w:sz="4" w:space="0"/>
            </w:tcBorders>
            <w:vAlign w:val="center"/>
          </w:tcPr>
          <w:p w14:paraId="29271DFB">
            <w:pPr>
              <w:spacing w:line="240" w:lineRule="auto"/>
              <w:ind w:firstLine="0" w:firstLineChars="0"/>
              <w:jc w:val="center"/>
              <w:rPr>
                <w:rFonts w:cs="Times New Roman"/>
                <w:color w:val="auto"/>
                <w:sz w:val="21"/>
                <w:szCs w:val="21"/>
              </w:rPr>
            </w:pPr>
            <w:r>
              <w:rPr>
                <w:rFonts w:cs="Times New Roman"/>
                <w:color w:val="auto"/>
                <w:sz w:val="21"/>
                <w:szCs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5CB5E652">
            <w:pPr>
              <w:spacing w:line="240" w:lineRule="auto"/>
              <w:ind w:firstLine="0" w:firstLineChars="0"/>
              <w:jc w:val="center"/>
              <w:rPr>
                <w:rFonts w:cs="Times New Roman"/>
                <w:color w:val="auto"/>
                <w:sz w:val="21"/>
                <w:szCs w:val="21"/>
              </w:rPr>
            </w:pPr>
            <w:r>
              <w:rPr>
                <w:rFonts w:cs="Times New Roman"/>
                <w:color w:val="auto"/>
                <w:sz w:val="21"/>
                <w:szCs w:val="21"/>
              </w:rPr>
              <w:t>0.50</w:t>
            </w:r>
          </w:p>
        </w:tc>
      </w:tr>
      <w:tr w14:paraId="05DF57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60E11F16">
            <w:pPr>
              <w:spacing w:line="240" w:lineRule="auto"/>
              <w:ind w:firstLine="0" w:firstLineChars="0"/>
              <w:jc w:val="center"/>
              <w:rPr>
                <w:rFonts w:cs="Times New Roman"/>
                <w:color w:val="auto"/>
                <w:sz w:val="21"/>
                <w:szCs w:val="21"/>
              </w:rPr>
            </w:pPr>
            <w:r>
              <w:rPr>
                <w:rFonts w:cs="Times New Roman"/>
                <w:color w:val="auto"/>
                <w:sz w:val="21"/>
                <w:szCs w:val="21"/>
              </w:rPr>
              <w:t>16</w:t>
            </w:r>
          </w:p>
        </w:tc>
        <w:tc>
          <w:tcPr>
            <w:tcW w:w="1359" w:type="pct"/>
            <w:tcBorders>
              <w:top w:val="single" w:color="000000" w:sz="4" w:space="0"/>
              <w:left w:val="single" w:color="000000" w:sz="4" w:space="0"/>
              <w:bottom w:val="single" w:color="000000" w:sz="4" w:space="0"/>
              <w:right w:val="single" w:color="000000" w:sz="4" w:space="0"/>
            </w:tcBorders>
            <w:vAlign w:val="center"/>
          </w:tcPr>
          <w:p w14:paraId="3772762B">
            <w:pPr>
              <w:spacing w:line="240" w:lineRule="auto"/>
              <w:ind w:firstLine="0" w:firstLineChars="0"/>
              <w:jc w:val="center"/>
              <w:rPr>
                <w:rFonts w:cs="Times New Roman"/>
                <w:color w:val="auto"/>
                <w:sz w:val="21"/>
                <w:szCs w:val="21"/>
              </w:rPr>
            </w:pPr>
            <w:r>
              <w:rPr>
                <w:rFonts w:cs="Times New Roman"/>
                <w:color w:val="auto"/>
                <w:sz w:val="21"/>
                <w:szCs w:val="21"/>
              </w:rPr>
              <w:t>镉</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3D2C2E08">
            <w:pPr>
              <w:spacing w:line="240" w:lineRule="auto"/>
              <w:ind w:firstLine="0" w:firstLineChars="0"/>
              <w:jc w:val="center"/>
              <w:rPr>
                <w:rFonts w:cs="Times New Roman"/>
                <w:color w:val="auto"/>
                <w:sz w:val="21"/>
                <w:szCs w:val="21"/>
              </w:rPr>
            </w:pPr>
            <w:r>
              <w:rPr>
                <w:rFonts w:cs="Times New Roman"/>
                <w:color w:val="auto"/>
                <w:sz w:val="21"/>
                <w:szCs w:val="21"/>
              </w:rPr>
              <w:t>0.001</w:t>
            </w:r>
          </w:p>
        </w:tc>
        <w:tc>
          <w:tcPr>
            <w:tcW w:w="634" w:type="pct"/>
            <w:tcBorders>
              <w:top w:val="single" w:color="000000" w:sz="4" w:space="0"/>
              <w:left w:val="single" w:color="000000" w:sz="4" w:space="0"/>
              <w:bottom w:val="single" w:color="000000" w:sz="4" w:space="0"/>
              <w:right w:val="single" w:color="000000" w:sz="4" w:space="0"/>
            </w:tcBorders>
            <w:vAlign w:val="center"/>
          </w:tcPr>
          <w:p w14:paraId="62EEBDA6">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7BEE73D9">
            <w:pPr>
              <w:spacing w:line="240" w:lineRule="auto"/>
              <w:ind w:firstLine="0" w:firstLineChars="0"/>
              <w:jc w:val="center"/>
              <w:rPr>
                <w:rFonts w:cs="Times New Roman"/>
                <w:color w:val="auto"/>
                <w:sz w:val="21"/>
                <w:szCs w:val="21"/>
              </w:rPr>
            </w:pPr>
            <w:r>
              <w:rPr>
                <w:rFonts w:cs="Times New Roman"/>
                <w:color w:val="auto"/>
                <w:sz w:val="21"/>
                <w:szCs w:val="21"/>
              </w:rPr>
              <w:t>0.010</w:t>
            </w:r>
          </w:p>
        </w:tc>
      </w:tr>
      <w:tr w14:paraId="3FA49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6423F39E">
            <w:pPr>
              <w:spacing w:line="240" w:lineRule="auto"/>
              <w:ind w:firstLine="0" w:firstLineChars="0"/>
              <w:jc w:val="center"/>
              <w:rPr>
                <w:rFonts w:cs="Times New Roman"/>
                <w:color w:val="auto"/>
                <w:sz w:val="21"/>
                <w:szCs w:val="21"/>
              </w:rPr>
            </w:pPr>
            <w:r>
              <w:rPr>
                <w:rFonts w:cs="Times New Roman"/>
                <w:color w:val="auto"/>
                <w:sz w:val="21"/>
                <w:szCs w:val="21"/>
              </w:rPr>
              <w:t>17</w:t>
            </w:r>
          </w:p>
        </w:tc>
        <w:tc>
          <w:tcPr>
            <w:tcW w:w="1359" w:type="pct"/>
            <w:tcBorders>
              <w:top w:val="single" w:color="000000" w:sz="4" w:space="0"/>
              <w:left w:val="single" w:color="000000" w:sz="4" w:space="0"/>
              <w:bottom w:val="single" w:color="000000" w:sz="4" w:space="0"/>
              <w:right w:val="single" w:color="000000" w:sz="4" w:space="0"/>
            </w:tcBorders>
            <w:vAlign w:val="center"/>
          </w:tcPr>
          <w:p w14:paraId="5245D069">
            <w:pPr>
              <w:spacing w:line="240" w:lineRule="auto"/>
              <w:ind w:firstLine="0" w:firstLineChars="0"/>
              <w:jc w:val="center"/>
              <w:rPr>
                <w:rFonts w:cs="Times New Roman"/>
                <w:color w:val="auto"/>
                <w:sz w:val="21"/>
                <w:szCs w:val="21"/>
              </w:rPr>
            </w:pPr>
            <w:r>
              <w:rPr>
                <w:rFonts w:cs="Times New Roman"/>
                <w:color w:val="auto"/>
                <w:sz w:val="21"/>
                <w:szCs w:val="21"/>
              </w:rPr>
              <w:t>铜</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5B592815">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634" w:type="pct"/>
            <w:tcBorders>
              <w:top w:val="single" w:color="000000" w:sz="4" w:space="0"/>
              <w:left w:val="single" w:color="000000" w:sz="4" w:space="0"/>
              <w:bottom w:val="single" w:color="000000" w:sz="4" w:space="0"/>
              <w:right w:val="single" w:color="000000" w:sz="4" w:space="0"/>
            </w:tcBorders>
            <w:vAlign w:val="center"/>
          </w:tcPr>
          <w:p w14:paraId="0663829A">
            <w:pPr>
              <w:spacing w:line="240" w:lineRule="auto"/>
              <w:ind w:firstLine="0" w:firstLineChars="0"/>
              <w:jc w:val="center"/>
              <w:rPr>
                <w:rFonts w:cs="Times New Roman"/>
                <w:color w:val="auto"/>
                <w:sz w:val="21"/>
                <w:szCs w:val="21"/>
              </w:rPr>
            </w:pPr>
            <w:r>
              <w:rPr>
                <w:rFonts w:cs="Times New Roman"/>
                <w:color w:val="auto"/>
                <w:sz w:val="21"/>
                <w:szCs w:val="21"/>
              </w:rPr>
              <w:t>0.010</w:t>
            </w:r>
          </w:p>
        </w:tc>
        <w:tc>
          <w:tcPr>
            <w:tcW w:w="1850" w:type="pct"/>
            <w:gridSpan w:val="2"/>
            <w:tcBorders>
              <w:top w:val="single" w:color="000000" w:sz="4" w:space="0"/>
              <w:left w:val="single" w:color="000000" w:sz="4" w:space="0"/>
              <w:bottom w:val="single" w:color="000000" w:sz="4" w:space="0"/>
              <w:right w:val="single" w:color="000000" w:sz="4" w:space="0"/>
            </w:tcBorders>
            <w:vAlign w:val="center"/>
          </w:tcPr>
          <w:p w14:paraId="329600AC">
            <w:pPr>
              <w:spacing w:line="240" w:lineRule="auto"/>
              <w:ind w:firstLine="0" w:firstLineChars="0"/>
              <w:jc w:val="center"/>
              <w:rPr>
                <w:rFonts w:cs="Times New Roman"/>
                <w:color w:val="auto"/>
                <w:sz w:val="21"/>
                <w:szCs w:val="21"/>
              </w:rPr>
            </w:pPr>
            <w:r>
              <w:rPr>
                <w:rFonts w:cs="Times New Roman"/>
                <w:color w:val="auto"/>
                <w:sz w:val="21"/>
                <w:szCs w:val="21"/>
              </w:rPr>
              <w:t>0.050</w:t>
            </w:r>
          </w:p>
        </w:tc>
      </w:tr>
      <w:tr w14:paraId="6E7FCF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297C43C4">
            <w:pPr>
              <w:spacing w:line="240" w:lineRule="auto"/>
              <w:ind w:firstLine="0" w:firstLineChars="0"/>
              <w:jc w:val="center"/>
              <w:rPr>
                <w:rFonts w:cs="Times New Roman"/>
                <w:color w:val="auto"/>
                <w:sz w:val="21"/>
                <w:szCs w:val="21"/>
              </w:rPr>
            </w:pPr>
            <w:r>
              <w:rPr>
                <w:rFonts w:cs="Times New Roman"/>
                <w:color w:val="auto"/>
                <w:sz w:val="21"/>
                <w:szCs w:val="21"/>
              </w:rPr>
              <w:t>18</w:t>
            </w:r>
          </w:p>
        </w:tc>
        <w:tc>
          <w:tcPr>
            <w:tcW w:w="1359" w:type="pct"/>
            <w:tcBorders>
              <w:top w:val="single" w:color="000000" w:sz="4" w:space="0"/>
              <w:left w:val="single" w:color="000000" w:sz="4" w:space="0"/>
              <w:bottom w:val="single" w:color="000000" w:sz="4" w:space="0"/>
              <w:right w:val="single" w:color="000000" w:sz="4" w:space="0"/>
            </w:tcBorders>
            <w:vAlign w:val="center"/>
          </w:tcPr>
          <w:p w14:paraId="1F4080AF">
            <w:pPr>
              <w:spacing w:line="240" w:lineRule="auto"/>
              <w:ind w:firstLine="0" w:firstLineChars="0"/>
              <w:jc w:val="center"/>
              <w:rPr>
                <w:rFonts w:cs="Times New Roman"/>
                <w:color w:val="auto"/>
                <w:sz w:val="21"/>
                <w:szCs w:val="21"/>
              </w:rPr>
            </w:pPr>
            <w:r>
              <w:rPr>
                <w:rFonts w:cs="Times New Roman"/>
                <w:color w:val="auto"/>
                <w:sz w:val="21"/>
                <w:szCs w:val="21"/>
              </w:rPr>
              <w:t>总铬</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0895822F">
            <w:pPr>
              <w:spacing w:line="240" w:lineRule="auto"/>
              <w:ind w:firstLine="0" w:firstLineChars="0"/>
              <w:jc w:val="center"/>
              <w:rPr>
                <w:rFonts w:cs="Times New Roman"/>
                <w:color w:val="auto"/>
                <w:sz w:val="21"/>
                <w:szCs w:val="21"/>
              </w:rPr>
            </w:pPr>
            <w:r>
              <w:rPr>
                <w:rFonts w:cs="Times New Roman"/>
                <w:color w:val="auto"/>
                <w:sz w:val="21"/>
                <w:szCs w:val="21"/>
              </w:rPr>
              <w:t>0.05</w:t>
            </w:r>
          </w:p>
        </w:tc>
        <w:tc>
          <w:tcPr>
            <w:tcW w:w="634" w:type="pct"/>
            <w:tcBorders>
              <w:top w:val="single" w:color="000000" w:sz="4" w:space="0"/>
              <w:left w:val="single" w:color="000000" w:sz="4" w:space="0"/>
              <w:bottom w:val="single" w:color="000000" w:sz="4" w:space="0"/>
              <w:right w:val="single" w:color="000000" w:sz="4" w:space="0"/>
            </w:tcBorders>
            <w:vAlign w:val="center"/>
          </w:tcPr>
          <w:p w14:paraId="6AAFF8EC">
            <w:pPr>
              <w:spacing w:line="240" w:lineRule="auto"/>
              <w:ind w:firstLine="0" w:firstLineChars="0"/>
              <w:jc w:val="center"/>
              <w:rPr>
                <w:rFonts w:cs="Times New Roman"/>
                <w:color w:val="auto"/>
                <w:sz w:val="21"/>
                <w:szCs w:val="21"/>
              </w:rPr>
            </w:pPr>
            <w:r>
              <w:rPr>
                <w:rFonts w:cs="Times New Roman"/>
                <w:color w:val="auto"/>
                <w:sz w:val="21"/>
                <w:szCs w:val="21"/>
              </w:rPr>
              <w:t>0.10</w:t>
            </w:r>
          </w:p>
        </w:tc>
        <w:tc>
          <w:tcPr>
            <w:tcW w:w="851" w:type="pct"/>
            <w:tcBorders>
              <w:top w:val="single" w:color="000000" w:sz="4" w:space="0"/>
              <w:left w:val="single" w:color="000000" w:sz="4" w:space="0"/>
              <w:bottom w:val="single" w:color="000000" w:sz="4" w:space="0"/>
              <w:right w:val="single" w:color="000000" w:sz="4" w:space="0"/>
            </w:tcBorders>
            <w:vAlign w:val="center"/>
          </w:tcPr>
          <w:p w14:paraId="7BED6A3F">
            <w:pPr>
              <w:spacing w:line="240" w:lineRule="auto"/>
              <w:ind w:firstLine="0" w:firstLineChars="0"/>
              <w:jc w:val="center"/>
              <w:rPr>
                <w:rFonts w:cs="Times New Roman"/>
                <w:color w:val="auto"/>
                <w:sz w:val="21"/>
                <w:szCs w:val="21"/>
              </w:rPr>
            </w:pPr>
            <w:r>
              <w:rPr>
                <w:rFonts w:cs="Times New Roman"/>
                <w:color w:val="auto"/>
                <w:sz w:val="21"/>
                <w:szCs w:val="21"/>
              </w:rPr>
              <w:t>0.20</w:t>
            </w:r>
          </w:p>
        </w:tc>
        <w:tc>
          <w:tcPr>
            <w:tcW w:w="999" w:type="pct"/>
            <w:tcBorders>
              <w:top w:val="single" w:color="000000" w:sz="4" w:space="0"/>
              <w:left w:val="single" w:color="000000" w:sz="4" w:space="0"/>
              <w:bottom w:val="single" w:color="000000" w:sz="4" w:space="0"/>
              <w:right w:val="single" w:color="000000" w:sz="4" w:space="0"/>
            </w:tcBorders>
            <w:vAlign w:val="center"/>
          </w:tcPr>
          <w:p w14:paraId="5E11DE08">
            <w:pPr>
              <w:spacing w:line="240" w:lineRule="auto"/>
              <w:ind w:firstLine="0" w:firstLineChars="0"/>
              <w:jc w:val="center"/>
              <w:rPr>
                <w:rFonts w:cs="Times New Roman"/>
                <w:color w:val="auto"/>
                <w:sz w:val="21"/>
                <w:szCs w:val="21"/>
              </w:rPr>
            </w:pPr>
            <w:r>
              <w:rPr>
                <w:rFonts w:cs="Times New Roman"/>
                <w:color w:val="auto"/>
                <w:sz w:val="21"/>
                <w:szCs w:val="21"/>
              </w:rPr>
              <w:t>0.50</w:t>
            </w:r>
          </w:p>
        </w:tc>
      </w:tr>
      <w:tr w14:paraId="5FA91A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848E966">
            <w:pPr>
              <w:spacing w:line="240" w:lineRule="auto"/>
              <w:ind w:firstLine="0" w:firstLineChars="0"/>
              <w:jc w:val="center"/>
              <w:rPr>
                <w:rFonts w:cs="Times New Roman"/>
                <w:color w:val="auto"/>
                <w:sz w:val="21"/>
                <w:szCs w:val="21"/>
              </w:rPr>
            </w:pPr>
            <w:r>
              <w:rPr>
                <w:rFonts w:cs="Times New Roman"/>
                <w:color w:val="auto"/>
                <w:sz w:val="21"/>
                <w:szCs w:val="21"/>
              </w:rPr>
              <w:t>19</w:t>
            </w:r>
          </w:p>
        </w:tc>
        <w:tc>
          <w:tcPr>
            <w:tcW w:w="1359" w:type="pct"/>
            <w:tcBorders>
              <w:top w:val="single" w:color="000000" w:sz="4" w:space="0"/>
              <w:left w:val="single" w:color="000000" w:sz="4" w:space="0"/>
              <w:bottom w:val="single" w:color="000000" w:sz="4" w:space="0"/>
              <w:right w:val="single" w:color="000000" w:sz="4" w:space="0"/>
            </w:tcBorders>
            <w:vAlign w:val="center"/>
          </w:tcPr>
          <w:p w14:paraId="602EBE00">
            <w:pPr>
              <w:spacing w:line="240" w:lineRule="auto"/>
              <w:ind w:firstLine="0" w:firstLineChars="0"/>
              <w:jc w:val="center"/>
              <w:rPr>
                <w:rFonts w:cs="Times New Roman"/>
                <w:color w:val="auto"/>
                <w:sz w:val="21"/>
                <w:szCs w:val="21"/>
              </w:rPr>
            </w:pPr>
            <w:r>
              <w:rPr>
                <w:rFonts w:cs="Times New Roman"/>
                <w:color w:val="auto"/>
                <w:sz w:val="21"/>
                <w:szCs w:val="21"/>
              </w:rPr>
              <w:t>六价铬 ≤</w:t>
            </w:r>
          </w:p>
        </w:tc>
        <w:tc>
          <w:tcPr>
            <w:tcW w:w="812" w:type="pct"/>
            <w:tcBorders>
              <w:top w:val="single" w:color="000000" w:sz="4" w:space="0"/>
              <w:left w:val="single" w:color="000000" w:sz="4" w:space="0"/>
              <w:bottom w:val="single" w:color="000000" w:sz="4" w:space="0"/>
              <w:right w:val="single" w:color="000000" w:sz="4" w:space="0"/>
            </w:tcBorders>
            <w:vAlign w:val="center"/>
          </w:tcPr>
          <w:p w14:paraId="7C3BFEEE">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634" w:type="pct"/>
            <w:tcBorders>
              <w:top w:val="single" w:color="000000" w:sz="4" w:space="0"/>
              <w:left w:val="single" w:color="000000" w:sz="4" w:space="0"/>
              <w:bottom w:val="single" w:color="000000" w:sz="4" w:space="0"/>
              <w:right w:val="single" w:color="000000" w:sz="4" w:space="0"/>
            </w:tcBorders>
            <w:vAlign w:val="center"/>
          </w:tcPr>
          <w:p w14:paraId="24AFF71C">
            <w:pPr>
              <w:spacing w:line="240" w:lineRule="auto"/>
              <w:ind w:firstLine="0" w:firstLineChars="0"/>
              <w:jc w:val="center"/>
              <w:rPr>
                <w:rFonts w:cs="Times New Roman"/>
                <w:color w:val="auto"/>
                <w:sz w:val="21"/>
                <w:szCs w:val="21"/>
              </w:rPr>
            </w:pPr>
            <w:r>
              <w:rPr>
                <w:rFonts w:cs="Times New Roman"/>
                <w:color w:val="auto"/>
                <w:sz w:val="21"/>
                <w:szCs w:val="21"/>
              </w:rPr>
              <w:t>0.010</w:t>
            </w:r>
          </w:p>
        </w:tc>
        <w:tc>
          <w:tcPr>
            <w:tcW w:w="851" w:type="pct"/>
            <w:tcBorders>
              <w:top w:val="single" w:color="000000" w:sz="4" w:space="0"/>
              <w:left w:val="single" w:color="000000" w:sz="4" w:space="0"/>
              <w:bottom w:val="single" w:color="000000" w:sz="4" w:space="0"/>
              <w:right w:val="single" w:color="000000" w:sz="4" w:space="0"/>
            </w:tcBorders>
            <w:vAlign w:val="center"/>
          </w:tcPr>
          <w:p w14:paraId="0DA7B063">
            <w:pPr>
              <w:spacing w:line="240" w:lineRule="auto"/>
              <w:ind w:firstLine="0" w:firstLineChars="0"/>
              <w:jc w:val="center"/>
              <w:rPr>
                <w:rFonts w:cs="Times New Roman"/>
                <w:color w:val="auto"/>
                <w:sz w:val="21"/>
                <w:szCs w:val="21"/>
              </w:rPr>
            </w:pPr>
            <w:r>
              <w:rPr>
                <w:rFonts w:cs="Times New Roman"/>
                <w:color w:val="auto"/>
                <w:sz w:val="21"/>
                <w:szCs w:val="21"/>
              </w:rPr>
              <w:t>0.020</w:t>
            </w:r>
          </w:p>
        </w:tc>
        <w:tc>
          <w:tcPr>
            <w:tcW w:w="999" w:type="pct"/>
            <w:tcBorders>
              <w:top w:val="single" w:color="000000" w:sz="4" w:space="0"/>
              <w:left w:val="single" w:color="000000" w:sz="4" w:space="0"/>
              <w:bottom w:val="single" w:color="000000" w:sz="4" w:space="0"/>
              <w:right w:val="single" w:color="000000" w:sz="4" w:space="0"/>
            </w:tcBorders>
            <w:vAlign w:val="center"/>
          </w:tcPr>
          <w:p w14:paraId="752676D1">
            <w:pPr>
              <w:spacing w:line="240" w:lineRule="auto"/>
              <w:ind w:firstLine="0" w:firstLineChars="0"/>
              <w:jc w:val="center"/>
              <w:rPr>
                <w:rFonts w:cs="Times New Roman"/>
                <w:color w:val="auto"/>
                <w:sz w:val="21"/>
                <w:szCs w:val="21"/>
              </w:rPr>
            </w:pPr>
            <w:r>
              <w:rPr>
                <w:rFonts w:cs="Times New Roman"/>
                <w:color w:val="auto"/>
                <w:sz w:val="21"/>
                <w:szCs w:val="21"/>
              </w:rPr>
              <w:t>0.50</w:t>
            </w:r>
          </w:p>
        </w:tc>
      </w:tr>
      <w:tr w14:paraId="2CA360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7560D97F">
            <w:pPr>
              <w:spacing w:line="240" w:lineRule="auto"/>
              <w:ind w:firstLine="0" w:firstLineChars="0"/>
              <w:jc w:val="center"/>
              <w:rPr>
                <w:rFonts w:cs="Times New Roman"/>
                <w:color w:val="auto"/>
                <w:sz w:val="21"/>
                <w:szCs w:val="21"/>
              </w:rPr>
            </w:pPr>
            <w:r>
              <w:rPr>
                <w:rFonts w:cs="Times New Roman"/>
                <w:color w:val="auto"/>
                <w:sz w:val="21"/>
                <w:szCs w:val="21"/>
              </w:rPr>
              <w:t>20</w:t>
            </w:r>
          </w:p>
        </w:tc>
        <w:tc>
          <w:tcPr>
            <w:tcW w:w="1359" w:type="pct"/>
            <w:tcBorders>
              <w:top w:val="single" w:color="000000" w:sz="4" w:space="0"/>
              <w:left w:val="single" w:color="000000" w:sz="4" w:space="0"/>
              <w:bottom w:val="single" w:color="000000" w:sz="4" w:space="0"/>
              <w:right w:val="single" w:color="000000" w:sz="4" w:space="0"/>
            </w:tcBorders>
            <w:vAlign w:val="center"/>
          </w:tcPr>
          <w:p w14:paraId="1F84CB95">
            <w:pPr>
              <w:spacing w:line="240" w:lineRule="auto"/>
              <w:ind w:firstLine="0" w:firstLineChars="0"/>
              <w:jc w:val="center"/>
              <w:rPr>
                <w:rFonts w:cs="Times New Roman"/>
                <w:color w:val="auto"/>
                <w:sz w:val="21"/>
                <w:szCs w:val="21"/>
              </w:rPr>
            </w:pPr>
            <w:r>
              <w:rPr>
                <w:rFonts w:cs="Times New Roman"/>
                <w:color w:val="auto"/>
                <w:sz w:val="21"/>
                <w:szCs w:val="21"/>
              </w:rPr>
              <w:t>硫化物</w:t>
            </w:r>
            <w:r>
              <w:rPr>
                <w:rFonts w:cs="Times New Roman"/>
                <w:color w:val="auto"/>
                <w:sz w:val="21"/>
                <w:szCs w:val="21"/>
              </w:rPr>
              <w:tab/>
            </w:r>
            <w:r>
              <w:rPr>
                <w:rFonts w:cs="Times New Roman"/>
                <w:color w:val="auto"/>
                <w:sz w:val="21"/>
                <w:szCs w:val="21"/>
              </w:rPr>
              <w:t>≤</w:t>
            </w:r>
          </w:p>
        </w:tc>
        <w:tc>
          <w:tcPr>
            <w:tcW w:w="812" w:type="pct"/>
            <w:tcBorders>
              <w:top w:val="single" w:color="000000" w:sz="4" w:space="0"/>
              <w:left w:val="single" w:color="000000" w:sz="4" w:space="0"/>
              <w:bottom w:val="single" w:color="000000" w:sz="4" w:space="0"/>
              <w:right w:val="single" w:color="000000" w:sz="4" w:space="0"/>
            </w:tcBorders>
            <w:vAlign w:val="center"/>
          </w:tcPr>
          <w:p w14:paraId="4482E314">
            <w:pPr>
              <w:spacing w:line="240" w:lineRule="auto"/>
              <w:ind w:firstLine="0" w:firstLineChars="0"/>
              <w:jc w:val="center"/>
              <w:rPr>
                <w:rFonts w:cs="Times New Roman"/>
                <w:color w:val="auto"/>
                <w:sz w:val="21"/>
                <w:szCs w:val="21"/>
              </w:rPr>
            </w:pPr>
            <w:r>
              <w:rPr>
                <w:rFonts w:cs="Times New Roman"/>
                <w:color w:val="auto"/>
                <w:sz w:val="21"/>
                <w:szCs w:val="21"/>
              </w:rPr>
              <w:t>0.02</w:t>
            </w:r>
          </w:p>
        </w:tc>
        <w:tc>
          <w:tcPr>
            <w:tcW w:w="634" w:type="pct"/>
            <w:tcBorders>
              <w:top w:val="single" w:color="000000" w:sz="4" w:space="0"/>
              <w:left w:val="single" w:color="000000" w:sz="4" w:space="0"/>
              <w:bottom w:val="single" w:color="000000" w:sz="4" w:space="0"/>
              <w:right w:val="single" w:color="000000" w:sz="4" w:space="0"/>
            </w:tcBorders>
            <w:vAlign w:val="center"/>
          </w:tcPr>
          <w:p w14:paraId="6C4E48D6">
            <w:pPr>
              <w:spacing w:line="240" w:lineRule="auto"/>
              <w:ind w:firstLine="0" w:firstLineChars="0"/>
              <w:jc w:val="center"/>
              <w:rPr>
                <w:rFonts w:cs="Times New Roman"/>
                <w:color w:val="auto"/>
                <w:sz w:val="21"/>
                <w:szCs w:val="21"/>
              </w:rPr>
            </w:pPr>
            <w:r>
              <w:rPr>
                <w:rFonts w:cs="Times New Roman"/>
                <w:color w:val="auto"/>
                <w:sz w:val="21"/>
                <w:szCs w:val="21"/>
              </w:rPr>
              <w:t>0.05</w:t>
            </w:r>
          </w:p>
        </w:tc>
        <w:tc>
          <w:tcPr>
            <w:tcW w:w="851" w:type="pct"/>
            <w:tcBorders>
              <w:top w:val="single" w:color="000000" w:sz="4" w:space="0"/>
              <w:left w:val="single" w:color="000000" w:sz="4" w:space="0"/>
              <w:bottom w:val="single" w:color="000000" w:sz="4" w:space="0"/>
              <w:right w:val="single" w:color="000000" w:sz="4" w:space="0"/>
            </w:tcBorders>
            <w:vAlign w:val="center"/>
          </w:tcPr>
          <w:p w14:paraId="124D1A07">
            <w:pPr>
              <w:spacing w:line="240" w:lineRule="auto"/>
              <w:ind w:firstLine="0" w:firstLineChars="0"/>
              <w:jc w:val="center"/>
              <w:rPr>
                <w:rFonts w:cs="Times New Roman"/>
                <w:color w:val="auto"/>
                <w:sz w:val="21"/>
                <w:szCs w:val="21"/>
              </w:rPr>
            </w:pPr>
            <w:r>
              <w:rPr>
                <w:rFonts w:cs="Times New Roman"/>
                <w:color w:val="auto"/>
                <w:sz w:val="21"/>
                <w:szCs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32EC41C1">
            <w:pPr>
              <w:spacing w:line="240" w:lineRule="auto"/>
              <w:ind w:firstLine="0" w:firstLineChars="0"/>
              <w:jc w:val="center"/>
              <w:rPr>
                <w:rFonts w:cs="Times New Roman"/>
                <w:color w:val="auto"/>
                <w:sz w:val="21"/>
                <w:szCs w:val="21"/>
              </w:rPr>
            </w:pPr>
            <w:r>
              <w:rPr>
                <w:rFonts w:cs="Times New Roman"/>
                <w:color w:val="auto"/>
                <w:sz w:val="21"/>
                <w:szCs w:val="21"/>
              </w:rPr>
              <w:t>0.25</w:t>
            </w:r>
          </w:p>
        </w:tc>
      </w:tr>
      <w:tr w14:paraId="4D1BAC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12B360D8">
            <w:pPr>
              <w:spacing w:line="240" w:lineRule="auto"/>
              <w:ind w:firstLine="0" w:firstLineChars="0"/>
              <w:jc w:val="center"/>
              <w:rPr>
                <w:rFonts w:cs="Times New Roman"/>
                <w:color w:val="auto"/>
                <w:sz w:val="21"/>
                <w:szCs w:val="21"/>
              </w:rPr>
            </w:pPr>
            <w:r>
              <w:rPr>
                <w:rFonts w:cs="Times New Roman"/>
                <w:color w:val="auto"/>
                <w:sz w:val="21"/>
                <w:szCs w:val="21"/>
              </w:rPr>
              <w:t>21</w:t>
            </w:r>
          </w:p>
        </w:tc>
        <w:tc>
          <w:tcPr>
            <w:tcW w:w="1359" w:type="pct"/>
            <w:tcBorders>
              <w:top w:val="single" w:color="000000" w:sz="4" w:space="0"/>
              <w:left w:val="single" w:color="000000" w:sz="4" w:space="0"/>
              <w:bottom w:val="single" w:color="000000" w:sz="4" w:space="0"/>
              <w:right w:val="single" w:color="000000" w:sz="4" w:space="0"/>
            </w:tcBorders>
            <w:vAlign w:val="center"/>
          </w:tcPr>
          <w:p w14:paraId="0696E848">
            <w:pPr>
              <w:spacing w:line="240" w:lineRule="auto"/>
              <w:ind w:firstLine="0" w:firstLineChars="0"/>
              <w:jc w:val="center"/>
              <w:rPr>
                <w:rFonts w:cs="Times New Roman"/>
                <w:color w:val="auto"/>
                <w:sz w:val="21"/>
                <w:szCs w:val="21"/>
              </w:rPr>
            </w:pPr>
            <w:r>
              <w:rPr>
                <w:rFonts w:cs="Times New Roman"/>
                <w:color w:val="auto"/>
                <w:sz w:val="21"/>
                <w:szCs w:val="21"/>
              </w:rPr>
              <w:t>氰化物</w:t>
            </w:r>
            <w:r>
              <w:rPr>
                <w:rFonts w:cs="Times New Roman"/>
                <w:color w:val="auto"/>
                <w:sz w:val="21"/>
                <w:szCs w:val="21"/>
              </w:rPr>
              <w:tab/>
            </w:r>
            <w:r>
              <w:rPr>
                <w:rFonts w:cs="Times New Roman"/>
                <w:color w:val="auto"/>
                <w:sz w:val="21"/>
                <w:szCs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6659D344">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1F0AD1FD">
            <w:pPr>
              <w:spacing w:line="240" w:lineRule="auto"/>
              <w:ind w:firstLine="0" w:firstLineChars="0"/>
              <w:jc w:val="center"/>
              <w:rPr>
                <w:rFonts w:cs="Times New Roman"/>
                <w:color w:val="auto"/>
                <w:sz w:val="21"/>
                <w:szCs w:val="21"/>
              </w:rPr>
            </w:pPr>
            <w:r>
              <w:rPr>
                <w:rFonts w:cs="Times New Roman"/>
                <w:color w:val="auto"/>
                <w:sz w:val="21"/>
                <w:szCs w:val="21"/>
              </w:rPr>
              <w:t>0.10</w:t>
            </w:r>
          </w:p>
        </w:tc>
        <w:tc>
          <w:tcPr>
            <w:tcW w:w="999" w:type="pct"/>
            <w:tcBorders>
              <w:top w:val="single" w:color="000000" w:sz="4" w:space="0"/>
              <w:left w:val="single" w:color="000000" w:sz="4" w:space="0"/>
              <w:bottom w:val="single" w:color="000000" w:sz="4" w:space="0"/>
              <w:right w:val="single" w:color="000000" w:sz="4" w:space="0"/>
            </w:tcBorders>
            <w:vAlign w:val="center"/>
          </w:tcPr>
          <w:p w14:paraId="7D269B2B">
            <w:pPr>
              <w:spacing w:line="240" w:lineRule="auto"/>
              <w:ind w:firstLine="0" w:firstLineChars="0"/>
              <w:jc w:val="center"/>
              <w:rPr>
                <w:rFonts w:cs="Times New Roman"/>
                <w:color w:val="auto"/>
                <w:sz w:val="21"/>
                <w:szCs w:val="21"/>
              </w:rPr>
            </w:pPr>
            <w:r>
              <w:rPr>
                <w:rFonts w:cs="Times New Roman"/>
                <w:color w:val="auto"/>
                <w:sz w:val="21"/>
                <w:szCs w:val="21"/>
              </w:rPr>
              <w:t>0.20</w:t>
            </w:r>
          </w:p>
        </w:tc>
      </w:tr>
      <w:tr w14:paraId="3C185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39BBF343">
            <w:pPr>
              <w:spacing w:line="240" w:lineRule="auto"/>
              <w:ind w:firstLine="0" w:firstLineChars="0"/>
              <w:jc w:val="center"/>
              <w:rPr>
                <w:rFonts w:cs="Times New Roman"/>
                <w:color w:val="auto"/>
                <w:sz w:val="21"/>
                <w:szCs w:val="21"/>
              </w:rPr>
            </w:pPr>
            <w:r>
              <w:rPr>
                <w:rFonts w:cs="Times New Roman"/>
                <w:color w:val="auto"/>
                <w:sz w:val="21"/>
                <w:szCs w:val="21"/>
              </w:rPr>
              <w:t>22</w:t>
            </w:r>
          </w:p>
        </w:tc>
        <w:tc>
          <w:tcPr>
            <w:tcW w:w="1359" w:type="pct"/>
            <w:tcBorders>
              <w:top w:val="single" w:color="000000" w:sz="4" w:space="0"/>
              <w:left w:val="single" w:color="000000" w:sz="4" w:space="0"/>
              <w:bottom w:val="single" w:color="000000" w:sz="4" w:space="0"/>
              <w:right w:val="single" w:color="000000" w:sz="4" w:space="0"/>
            </w:tcBorders>
            <w:vAlign w:val="center"/>
          </w:tcPr>
          <w:p w14:paraId="7A7034B1">
            <w:pPr>
              <w:spacing w:line="240" w:lineRule="auto"/>
              <w:ind w:firstLine="0" w:firstLineChars="0"/>
              <w:jc w:val="center"/>
              <w:rPr>
                <w:rFonts w:cs="Times New Roman"/>
                <w:color w:val="auto"/>
                <w:sz w:val="21"/>
                <w:szCs w:val="21"/>
              </w:rPr>
            </w:pPr>
            <w:r>
              <w:rPr>
                <w:rFonts w:cs="Times New Roman"/>
                <w:color w:val="auto"/>
                <w:sz w:val="21"/>
                <w:szCs w:val="21"/>
              </w:rPr>
              <w:t>挥发性酚</w:t>
            </w:r>
            <w:r>
              <w:rPr>
                <w:rFonts w:cs="Times New Roman"/>
                <w:color w:val="auto"/>
                <w:sz w:val="21"/>
                <w:szCs w:val="21"/>
              </w:rPr>
              <w:tab/>
            </w:r>
            <w:r>
              <w:rPr>
                <w:rFonts w:cs="Times New Roman"/>
                <w:color w:val="auto"/>
                <w:sz w:val="21"/>
                <w:szCs w:val="21"/>
              </w:rPr>
              <w:t>≤</w:t>
            </w:r>
          </w:p>
        </w:tc>
        <w:tc>
          <w:tcPr>
            <w:tcW w:w="1446" w:type="pct"/>
            <w:gridSpan w:val="2"/>
            <w:tcBorders>
              <w:top w:val="single" w:color="000000" w:sz="4" w:space="0"/>
              <w:left w:val="single" w:color="000000" w:sz="4" w:space="0"/>
              <w:bottom w:val="single" w:color="000000" w:sz="4" w:space="0"/>
              <w:right w:val="single" w:color="000000" w:sz="4" w:space="0"/>
            </w:tcBorders>
            <w:vAlign w:val="center"/>
          </w:tcPr>
          <w:p w14:paraId="3DA264F5">
            <w:pPr>
              <w:spacing w:line="240" w:lineRule="auto"/>
              <w:ind w:firstLine="0" w:firstLineChars="0"/>
              <w:jc w:val="center"/>
              <w:rPr>
                <w:rFonts w:cs="Times New Roman"/>
                <w:color w:val="auto"/>
                <w:sz w:val="21"/>
                <w:szCs w:val="21"/>
              </w:rPr>
            </w:pPr>
            <w:r>
              <w:rPr>
                <w:rFonts w:cs="Times New Roman"/>
                <w:color w:val="auto"/>
                <w:sz w:val="21"/>
                <w:szCs w:val="21"/>
              </w:rPr>
              <w:t>0.005</w:t>
            </w:r>
          </w:p>
        </w:tc>
        <w:tc>
          <w:tcPr>
            <w:tcW w:w="851" w:type="pct"/>
            <w:tcBorders>
              <w:top w:val="single" w:color="000000" w:sz="4" w:space="0"/>
              <w:left w:val="single" w:color="000000" w:sz="4" w:space="0"/>
              <w:bottom w:val="single" w:color="000000" w:sz="4" w:space="0"/>
              <w:right w:val="single" w:color="000000" w:sz="4" w:space="0"/>
            </w:tcBorders>
            <w:vAlign w:val="center"/>
          </w:tcPr>
          <w:p w14:paraId="1A07F22F">
            <w:pPr>
              <w:spacing w:line="240" w:lineRule="auto"/>
              <w:ind w:firstLine="0" w:firstLineChars="0"/>
              <w:jc w:val="center"/>
              <w:rPr>
                <w:rFonts w:cs="Times New Roman"/>
                <w:color w:val="auto"/>
                <w:sz w:val="21"/>
                <w:szCs w:val="21"/>
              </w:rPr>
            </w:pPr>
            <w:r>
              <w:rPr>
                <w:rFonts w:cs="Times New Roman"/>
                <w:color w:val="auto"/>
                <w:sz w:val="21"/>
                <w:szCs w:val="21"/>
              </w:rPr>
              <w:t>0.010</w:t>
            </w:r>
          </w:p>
        </w:tc>
        <w:tc>
          <w:tcPr>
            <w:tcW w:w="999" w:type="pct"/>
            <w:tcBorders>
              <w:top w:val="single" w:color="000000" w:sz="4" w:space="0"/>
              <w:left w:val="single" w:color="000000" w:sz="4" w:space="0"/>
              <w:bottom w:val="single" w:color="000000" w:sz="4" w:space="0"/>
              <w:right w:val="single" w:color="000000" w:sz="4" w:space="0"/>
            </w:tcBorders>
            <w:vAlign w:val="center"/>
          </w:tcPr>
          <w:p w14:paraId="3DE2AD1F">
            <w:pPr>
              <w:spacing w:line="240" w:lineRule="auto"/>
              <w:ind w:firstLine="0" w:firstLineChars="0"/>
              <w:jc w:val="center"/>
              <w:rPr>
                <w:rFonts w:cs="Times New Roman"/>
                <w:color w:val="auto"/>
                <w:sz w:val="21"/>
                <w:szCs w:val="21"/>
              </w:rPr>
            </w:pPr>
            <w:r>
              <w:rPr>
                <w:rFonts w:cs="Times New Roman"/>
                <w:color w:val="auto"/>
                <w:sz w:val="21"/>
                <w:szCs w:val="21"/>
              </w:rPr>
              <w:t>0.050</w:t>
            </w:r>
          </w:p>
        </w:tc>
      </w:tr>
      <w:tr w14:paraId="1DCA98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45" w:type="pct"/>
            <w:tcBorders>
              <w:top w:val="single" w:color="000000" w:sz="4" w:space="0"/>
              <w:left w:val="single" w:color="000000" w:sz="4" w:space="0"/>
              <w:bottom w:val="single" w:color="000000" w:sz="4" w:space="0"/>
              <w:right w:val="single" w:color="000000" w:sz="4" w:space="0"/>
            </w:tcBorders>
            <w:vAlign w:val="center"/>
          </w:tcPr>
          <w:p w14:paraId="0C3537EA">
            <w:pPr>
              <w:spacing w:line="240" w:lineRule="auto"/>
              <w:ind w:firstLine="0" w:firstLineChars="0"/>
              <w:jc w:val="center"/>
              <w:rPr>
                <w:rFonts w:cs="Times New Roman"/>
                <w:color w:val="auto"/>
                <w:sz w:val="21"/>
                <w:szCs w:val="21"/>
              </w:rPr>
            </w:pPr>
            <w:r>
              <w:rPr>
                <w:rFonts w:cs="Times New Roman"/>
                <w:color w:val="auto"/>
                <w:sz w:val="21"/>
                <w:szCs w:val="21"/>
              </w:rPr>
              <w:t>23</w:t>
            </w:r>
          </w:p>
        </w:tc>
        <w:tc>
          <w:tcPr>
            <w:tcW w:w="1359" w:type="pct"/>
            <w:tcBorders>
              <w:top w:val="single" w:color="000000" w:sz="4" w:space="0"/>
              <w:left w:val="single" w:color="000000" w:sz="4" w:space="0"/>
              <w:bottom w:val="single" w:color="000000" w:sz="4" w:space="0"/>
              <w:right w:val="single" w:color="000000" w:sz="4" w:space="0"/>
            </w:tcBorders>
            <w:vAlign w:val="center"/>
          </w:tcPr>
          <w:p w14:paraId="70AECAB8">
            <w:pPr>
              <w:spacing w:line="240" w:lineRule="auto"/>
              <w:ind w:firstLine="0" w:firstLineChars="0"/>
              <w:jc w:val="center"/>
              <w:rPr>
                <w:rFonts w:cs="Times New Roman"/>
                <w:color w:val="auto"/>
                <w:sz w:val="21"/>
                <w:szCs w:val="21"/>
              </w:rPr>
            </w:pPr>
            <w:r>
              <w:rPr>
                <w:rFonts w:cs="Times New Roman"/>
                <w:color w:val="auto"/>
                <w:sz w:val="21"/>
                <w:szCs w:val="21"/>
              </w:rPr>
              <w:t>硒≤</w:t>
            </w:r>
          </w:p>
        </w:tc>
        <w:tc>
          <w:tcPr>
            <w:tcW w:w="812" w:type="pct"/>
            <w:tcBorders>
              <w:top w:val="single" w:color="000000" w:sz="4" w:space="0"/>
              <w:left w:val="single" w:color="000000" w:sz="4" w:space="0"/>
              <w:bottom w:val="single" w:color="000000" w:sz="4" w:space="0"/>
              <w:right w:val="single" w:color="000000" w:sz="4" w:space="0"/>
            </w:tcBorders>
            <w:vAlign w:val="center"/>
          </w:tcPr>
          <w:p w14:paraId="7CA3F651">
            <w:pPr>
              <w:spacing w:line="240" w:lineRule="auto"/>
              <w:ind w:firstLine="0" w:firstLineChars="0"/>
              <w:jc w:val="center"/>
              <w:rPr>
                <w:rFonts w:cs="Times New Roman"/>
                <w:color w:val="auto"/>
                <w:sz w:val="21"/>
                <w:szCs w:val="21"/>
              </w:rPr>
            </w:pPr>
            <w:r>
              <w:rPr>
                <w:rFonts w:cs="Times New Roman"/>
                <w:color w:val="auto"/>
                <w:sz w:val="21"/>
                <w:szCs w:val="21"/>
              </w:rPr>
              <w:t>0.001</w:t>
            </w:r>
          </w:p>
        </w:tc>
        <w:tc>
          <w:tcPr>
            <w:tcW w:w="1485" w:type="pct"/>
            <w:gridSpan w:val="2"/>
            <w:tcBorders>
              <w:top w:val="single" w:color="000000" w:sz="4" w:space="0"/>
              <w:left w:val="single" w:color="000000" w:sz="4" w:space="0"/>
              <w:bottom w:val="single" w:color="000000" w:sz="4" w:space="0"/>
              <w:right w:val="single" w:color="000000" w:sz="4" w:space="0"/>
            </w:tcBorders>
            <w:vAlign w:val="center"/>
          </w:tcPr>
          <w:p w14:paraId="392D7CD5">
            <w:pPr>
              <w:spacing w:line="240" w:lineRule="auto"/>
              <w:ind w:firstLine="0" w:firstLineChars="0"/>
              <w:jc w:val="center"/>
              <w:rPr>
                <w:rFonts w:cs="Times New Roman"/>
                <w:color w:val="auto"/>
                <w:sz w:val="21"/>
                <w:szCs w:val="21"/>
              </w:rPr>
            </w:pPr>
            <w:r>
              <w:rPr>
                <w:rFonts w:cs="Times New Roman"/>
                <w:color w:val="auto"/>
                <w:sz w:val="21"/>
                <w:szCs w:val="21"/>
              </w:rPr>
              <w:t>0.020</w:t>
            </w:r>
          </w:p>
        </w:tc>
        <w:tc>
          <w:tcPr>
            <w:tcW w:w="999" w:type="pct"/>
            <w:tcBorders>
              <w:top w:val="single" w:color="000000" w:sz="4" w:space="0"/>
              <w:left w:val="single" w:color="000000" w:sz="4" w:space="0"/>
              <w:bottom w:val="single" w:color="000000" w:sz="4" w:space="0"/>
              <w:right w:val="single" w:color="000000" w:sz="4" w:space="0"/>
            </w:tcBorders>
            <w:vAlign w:val="center"/>
          </w:tcPr>
          <w:p w14:paraId="211AD784">
            <w:pPr>
              <w:spacing w:line="240" w:lineRule="auto"/>
              <w:ind w:firstLine="0" w:firstLineChars="0"/>
              <w:jc w:val="center"/>
              <w:rPr>
                <w:rFonts w:cs="Times New Roman"/>
                <w:color w:val="auto"/>
                <w:sz w:val="21"/>
                <w:szCs w:val="21"/>
              </w:rPr>
            </w:pPr>
            <w:r>
              <w:rPr>
                <w:rFonts w:cs="Times New Roman"/>
                <w:color w:val="auto"/>
                <w:sz w:val="21"/>
                <w:szCs w:val="21"/>
              </w:rPr>
              <w:t>0.050</w:t>
            </w:r>
          </w:p>
        </w:tc>
      </w:tr>
    </w:tbl>
    <w:p w14:paraId="003BE8AA">
      <w:pPr>
        <w:spacing w:line="500" w:lineRule="exact"/>
        <w:ind w:firstLine="480"/>
        <w:rPr>
          <w:rFonts w:cs="Times New Roman"/>
          <w:color w:val="auto"/>
        </w:rPr>
      </w:pPr>
      <w:r>
        <w:rPr>
          <w:rFonts w:cs="Times New Roman"/>
          <w:color w:val="auto"/>
        </w:rPr>
        <w:t>②海域沉积物环境质量标准</w:t>
      </w:r>
    </w:p>
    <w:p w14:paraId="155962BB">
      <w:pPr>
        <w:spacing w:line="500" w:lineRule="exact"/>
        <w:ind w:firstLine="480"/>
        <w:rPr>
          <w:rFonts w:cs="Times New Roman"/>
          <w:color w:val="auto"/>
        </w:rPr>
      </w:pPr>
      <w:r>
        <w:rPr>
          <w:rFonts w:cs="Times New Roman"/>
          <w:color w:val="auto"/>
        </w:rPr>
        <w:t>海域沉积物执行《海洋沉积物质量》（GB18668-2002）</w:t>
      </w:r>
      <w:r>
        <w:rPr>
          <w:rFonts w:hint="eastAsia" w:cs="Times New Roman"/>
          <w:color w:val="auto"/>
        </w:rPr>
        <w:t>第一类~第三类</w:t>
      </w:r>
      <w:r>
        <w:rPr>
          <w:rFonts w:cs="Times New Roman"/>
          <w:color w:val="auto"/>
        </w:rPr>
        <w:t>标准，具体见下表。</w:t>
      </w:r>
    </w:p>
    <w:p w14:paraId="212D506A">
      <w:pPr>
        <w:pStyle w:val="7"/>
        <w:rPr>
          <w:color w:val="auto"/>
        </w:rPr>
      </w:pPr>
      <w:r>
        <w:rPr>
          <w:color w:val="auto"/>
        </w:rPr>
        <w:t xml:space="preserve"> 海洋沉积物质量标准</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7"/>
        <w:gridCol w:w="3134"/>
        <w:gridCol w:w="1361"/>
        <w:gridCol w:w="1361"/>
        <w:gridCol w:w="1359"/>
      </w:tblGrid>
      <w:tr w14:paraId="575D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114" w:type="pct"/>
            <w:vMerge w:val="restart"/>
            <w:vAlign w:val="center"/>
          </w:tcPr>
          <w:p w14:paraId="6272C85B">
            <w:pPr>
              <w:spacing w:line="240" w:lineRule="auto"/>
              <w:ind w:firstLine="0" w:firstLineChars="0"/>
              <w:jc w:val="center"/>
              <w:rPr>
                <w:rFonts w:cs="Times New Roman"/>
                <w:b/>
                <w:bCs/>
                <w:color w:val="auto"/>
                <w:sz w:val="21"/>
                <w:szCs w:val="21"/>
              </w:rPr>
            </w:pPr>
            <w:r>
              <w:rPr>
                <w:rFonts w:cs="Times New Roman"/>
                <w:b/>
                <w:bCs/>
                <w:color w:val="auto"/>
                <w:sz w:val="21"/>
                <w:szCs w:val="21"/>
              </w:rPr>
              <w:t>编号</w:t>
            </w:r>
          </w:p>
        </w:tc>
        <w:tc>
          <w:tcPr>
            <w:tcW w:w="1688" w:type="pct"/>
            <w:vMerge w:val="restart"/>
            <w:vAlign w:val="center"/>
          </w:tcPr>
          <w:p w14:paraId="687D32E8">
            <w:pPr>
              <w:spacing w:line="240" w:lineRule="auto"/>
              <w:ind w:firstLine="0" w:firstLineChars="0"/>
              <w:jc w:val="center"/>
              <w:rPr>
                <w:rFonts w:cs="Times New Roman"/>
                <w:b/>
                <w:bCs/>
                <w:color w:val="auto"/>
                <w:sz w:val="21"/>
                <w:szCs w:val="21"/>
              </w:rPr>
            </w:pPr>
            <w:r>
              <w:rPr>
                <w:rFonts w:cs="Times New Roman"/>
                <w:b/>
                <w:bCs/>
                <w:color w:val="auto"/>
                <w:sz w:val="21"/>
                <w:szCs w:val="21"/>
              </w:rPr>
              <w:t>监测项目</w:t>
            </w:r>
          </w:p>
        </w:tc>
        <w:tc>
          <w:tcPr>
            <w:tcW w:w="2199" w:type="pct"/>
            <w:gridSpan w:val="3"/>
            <w:vAlign w:val="center"/>
          </w:tcPr>
          <w:p w14:paraId="2616E50B">
            <w:pPr>
              <w:spacing w:line="240" w:lineRule="auto"/>
              <w:ind w:firstLine="0" w:firstLineChars="0"/>
              <w:jc w:val="center"/>
              <w:rPr>
                <w:rFonts w:cs="Times New Roman"/>
                <w:b/>
                <w:bCs/>
                <w:color w:val="auto"/>
                <w:sz w:val="21"/>
                <w:szCs w:val="21"/>
              </w:rPr>
            </w:pPr>
            <w:r>
              <w:rPr>
                <w:rFonts w:hint="eastAsia" w:cs="Times New Roman"/>
                <w:b/>
                <w:bCs/>
                <w:color w:val="auto"/>
                <w:sz w:val="21"/>
                <w:szCs w:val="21"/>
              </w:rPr>
              <w:t>指标</w:t>
            </w:r>
          </w:p>
        </w:tc>
      </w:tr>
      <w:tr w14:paraId="69ACD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Merge w:val="continue"/>
            <w:vAlign w:val="center"/>
          </w:tcPr>
          <w:p w14:paraId="3FC33A03">
            <w:pPr>
              <w:spacing w:line="240" w:lineRule="auto"/>
              <w:ind w:firstLine="0" w:firstLineChars="0"/>
              <w:jc w:val="center"/>
              <w:rPr>
                <w:rFonts w:cs="Times New Roman"/>
                <w:b/>
                <w:bCs/>
                <w:color w:val="auto"/>
                <w:sz w:val="21"/>
                <w:szCs w:val="21"/>
              </w:rPr>
            </w:pPr>
          </w:p>
        </w:tc>
        <w:tc>
          <w:tcPr>
            <w:tcW w:w="1688" w:type="pct"/>
            <w:vMerge w:val="continue"/>
            <w:vAlign w:val="center"/>
          </w:tcPr>
          <w:p w14:paraId="3F954A79">
            <w:pPr>
              <w:spacing w:line="240" w:lineRule="auto"/>
              <w:ind w:firstLine="0" w:firstLineChars="0"/>
              <w:jc w:val="center"/>
              <w:rPr>
                <w:rFonts w:cs="Times New Roman"/>
                <w:b/>
                <w:bCs/>
                <w:color w:val="auto"/>
                <w:sz w:val="21"/>
                <w:szCs w:val="21"/>
              </w:rPr>
            </w:pPr>
          </w:p>
        </w:tc>
        <w:tc>
          <w:tcPr>
            <w:tcW w:w="733" w:type="pct"/>
            <w:vAlign w:val="center"/>
          </w:tcPr>
          <w:p w14:paraId="7E06290C">
            <w:pPr>
              <w:spacing w:line="240" w:lineRule="auto"/>
              <w:ind w:firstLine="0" w:firstLineChars="0"/>
              <w:jc w:val="center"/>
              <w:rPr>
                <w:rFonts w:cs="Times New Roman"/>
                <w:b/>
                <w:bCs/>
                <w:color w:val="auto"/>
                <w:sz w:val="21"/>
                <w:szCs w:val="21"/>
              </w:rPr>
            </w:pPr>
            <w:r>
              <w:rPr>
                <w:rFonts w:cs="Times New Roman"/>
                <w:b/>
                <w:bCs/>
                <w:color w:val="auto"/>
                <w:sz w:val="21"/>
                <w:szCs w:val="21"/>
              </w:rPr>
              <w:t>第</w:t>
            </w:r>
            <w:r>
              <w:rPr>
                <w:rFonts w:hint="eastAsia" w:cs="Times New Roman"/>
                <w:b/>
                <w:bCs/>
                <w:color w:val="auto"/>
                <w:sz w:val="21"/>
                <w:szCs w:val="21"/>
              </w:rPr>
              <w:t>一</w:t>
            </w:r>
            <w:r>
              <w:rPr>
                <w:rFonts w:cs="Times New Roman"/>
                <w:b/>
                <w:bCs/>
                <w:color w:val="auto"/>
                <w:sz w:val="21"/>
                <w:szCs w:val="21"/>
              </w:rPr>
              <w:t>类</w:t>
            </w:r>
          </w:p>
        </w:tc>
        <w:tc>
          <w:tcPr>
            <w:tcW w:w="733" w:type="pct"/>
            <w:vAlign w:val="center"/>
          </w:tcPr>
          <w:p w14:paraId="4D61AB91">
            <w:pPr>
              <w:spacing w:line="240" w:lineRule="auto"/>
              <w:ind w:firstLine="0" w:firstLineChars="0"/>
              <w:jc w:val="center"/>
              <w:rPr>
                <w:rFonts w:cs="Times New Roman"/>
                <w:b/>
                <w:bCs/>
                <w:color w:val="auto"/>
                <w:sz w:val="21"/>
                <w:szCs w:val="21"/>
              </w:rPr>
            </w:pPr>
            <w:r>
              <w:rPr>
                <w:rFonts w:cs="Times New Roman"/>
                <w:b/>
                <w:bCs/>
                <w:color w:val="auto"/>
                <w:sz w:val="21"/>
                <w:szCs w:val="21"/>
              </w:rPr>
              <w:t>第二类</w:t>
            </w:r>
          </w:p>
        </w:tc>
        <w:tc>
          <w:tcPr>
            <w:tcW w:w="732" w:type="pct"/>
            <w:vAlign w:val="center"/>
          </w:tcPr>
          <w:p w14:paraId="5D56E570">
            <w:pPr>
              <w:spacing w:line="240" w:lineRule="auto"/>
              <w:ind w:firstLine="0" w:firstLineChars="0"/>
              <w:jc w:val="center"/>
              <w:rPr>
                <w:rFonts w:cs="Times New Roman"/>
                <w:b/>
                <w:bCs/>
                <w:color w:val="auto"/>
                <w:sz w:val="21"/>
                <w:szCs w:val="21"/>
              </w:rPr>
            </w:pPr>
            <w:r>
              <w:rPr>
                <w:rFonts w:cs="Times New Roman"/>
                <w:b/>
                <w:bCs/>
                <w:color w:val="auto"/>
                <w:sz w:val="21"/>
                <w:szCs w:val="21"/>
              </w:rPr>
              <w:t>第</w:t>
            </w:r>
            <w:r>
              <w:rPr>
                <w:rFonts w:hint="eastAsia" w:cs="Times New Roman"/>
                <w:b/>
                <w:bCs/>
                <w:color w:val="auto"/>
                <w:sz w:val="21"/>
                <w:szCs w:val="21"/>
              </w:rPr>
              <w:t>三</w:t>
            </w:r>
            <w:r>
              <w:rPr>
                <w:rFonts w:cs="Times New Roman"/>
                <w:b/>
                <w:bCs/>
                <w:color w:val="auto"/>
                <w:sz w:val="21"/>
                <w:szCs w:val="21"/>
              </w:rPr>
              <w:t>类</w:t>
            </w:r>
          </w:p>
        </w:tc>
      </w:tr>
      <w:tr w14:paraId="770FC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280A7EE5">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1688" w:type="pct"/>
            <w:vAlign w:val="center"/>
          </w:tcPr>
          <w:p w14:paraId="35B2E545">
            <w:pPr>
              <w:widowControl/>
              <w:ind w:firstLine="0" w:firstLineChars="0"/>
              <w:jc w:val="center"/>
              <w:rPr>
                <w:rFonts w:cs="Times New Roman"/>
                <w:color w:val="auto"/>
                <w:sz w:val="21"/>
                <w:szCs w:val="21"/>
              </w:rPr>
            </w:pPr>
            <w:r>
              <w:rPr>
                <w:rFonts w:cs="Times New Roman"/>
                <w:color w:val="auto"/>
                <w:sz w:val="21"/>
                <w:szCs w:val="21"/>
              </w:rPr>
              <w:t>汞</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443216AD">
            <w:pPr>
              <w:spacing w:line="240" w:lineRule="auto"/>
              <w:ind w:firstLine="0" w:firstLineChars="0"/>
              <w:jc w:val="center"/>
              <w:rPr>
                <w:rFonts w:cs="Times New Roman"/>
                <w:color w:val="auto"/>
                <w:sz w:val="21"/>
                <w:szCs w:val="21"/>
              </w:rPr>
            </w:pPr>
            <w:r>
              <w:rPr>
                <w:rFonts w:hint="eastAsia" w:cs="Times New Roman"/>
                <w:color w:val="auto"/>
                <w:sz w:val="21"/>
                <w:szCs w:val="21"/>
              </w:rPr>
              <w:t>0.20</w:t>
            </w:r>
          </w:p>
        </w:tc>
        <w:tc>
          <w:tcPr>
            <w:tcW w:w="733" w:type="pct"/>
            <w:vAlign w:val="center"/>
          </w:tcPr>
          <w:p w14:paraId="509CD2D9">
            <w:pPr>
              <w:spacing w:line="240" w:lineRule="auto"/>
              <w:ind w:firstLine="0" w:firstLineChars="0"/>
              <w:jc w:val="center"/>
              <w:rPr>
                <w:rFonts w:cs="Times New Roman"/>
                <w:color w:val="auto"/>
                <w:sz w:val="21"/>
                <w:szCs w:val="21"/>
              </w:rPr>
            </w:pPr>
            <w:r>
              <w:rPr>
                <w:rFonts w:cs="Times New Roman"/>
                <w:color w:val="auto"/>
                <w:sz w:val="21"/>
                <w:szCs w:val="21"/>
              </w:rPr>
              <w:t>0.5</w:t>
            </w:r>
            <w:r>
              <w:rPr>
                <w:rFonts w:hint="eastAsia" w:cs="Times New Roman"/>
                <w:color w:val="auto"/>
                <w:sz w:val="21"/>
                <w:szCs w:val="21"/>
              </w:rPr>
              <w:t>0</w:t>
            </w:r>
          </w:p>
        </w:tc>
        <w:tc>
          <w:tcPr>
            <w:tcW w:w="732" w:type="pct"/>
            <w:vAlign w:val="center"/>
          </w:tcPr>
          <w:p w14:paraId="2B1245E2">
            <w:pPr>
              <w:spacing w:line="240" w:lineRule="auto"/>
              <w:ind w:firstLine="0" w:firstLineChars="0"/>
              <w:jc w:val="center"/>
              <w:rPr>
                <w:rFonts w:cs="Times New Roman"/>
                <w:color w:val="auto"/>
                <w:sz w:val="21"/>
                <w:szCs w:val="21"/>
              </w:rPr>
            </w:pPr>
            <w:r>
              <w:rPr>
                <w:rFonts w:hint="eastAsia" w:cs="Times New Roman"/>
                <w:color w:val="auto"/>
                <w:sz w:val="21"/>
                <w:szCs w:val="21"/>
              </w:rPr>
              <w:t>1.00</w:t>
            </w:r>
          </w:p>
        </w:tc>
      </w:tr>
      <w:tr w14:paraId="59D7A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32C500EC">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1688" w:type="pct"/>
            <w:vAlign w:val="center"/>
          </w:tcPr>
          <w:p w14:paraId="4AC1395F">
            <w:pPr>
              <w:spacing w:line="240" w:lineRule="auto"/>
              <w:ind w:firstLine="0" w:firstLineChars="0"/>
              <w:jc w:val="center"/>
              <w:rPr>
                <w:rFonts w:cs="Times New Roman"/>
                <w:color w:val="auto"/>
                <w:sz w:val="21"/>
                <w:szCs w:val="21"/>
              </w:rPr>
            </w:pPr>
            <w:r>
              <w:rPr>
                <w:rFonts w:cs="Times New Roman"/>
                <w:color w:val="auto"/>
                <w:sz w:val="21"/>
                <w:szCs w:val="21"/>
              </w:rPr>
              <w:t>镉</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2B8B6FF4">
            <w:pPr>
              <w:spacing w:line="240" w:lineRule="auto"/>
              <w:ind w:firstLine="0" w:firstLineChars="0"/>
              <w:jc w:val="center"/>
              <w:rPr>
                <w:rFonts w:cs="Times New Roman"/>
                <w:color w:val="auto"/>
                <w:sz w:val="21"/>
                <w:szCs w:val="21"/>
              </w:rPr>
            </w:pPr>
            <w:r>
              <w:rPr>
                <w:rFonts w:hint="eastAsia" w:cs="Times New Roman"/>
                <w:color w:val="auto"/>
                <w:sz w:val="21"/>
                <w:szCs w:val="21"/>
              </w:rPr>
              <w:t>0.50</w:t>
            </w:r>
          </w:p>
        </w:tc>
        <w:tc>
          <w:tcPr>
            <w:tcW w:w="733" w:type="pct"/>
            <w:vAlign w:val="center"/>
          </w:tcPr>
          <w:p w14:paraId="1F52A2F5">
            <w:pPr>
              <w:spacing w:line="240" w:lineRule="auto"/>
              <w:ind w:firstLine="0" w:firstLineChars="0"/>
              <w:jc w:val="center"/>
              <w:rPr>
                <w:rFonts w:cs="Times New Roman"/>
                <w:color w:val="auto"/>
                <w:sz w:val="21"/>
                <w:szCs w:val="21"/>
              </w:rPr>
            </w:pPr>
            <w:r>
              <w:rPr>
                <w:rFonts w:cs="Times New Roman"/>
                <w:color w:val="auto"/>
                <w:sz w:val="21"/>
                <w:szCs w:val="21"/>
              </w:rPr>
              <w:t>1.5</w:t>
            </w:r>
            <w:r>
              <w:rPr>
                <w:rFonts w:hint="eastAsia" w:cs="Times New Roman"/>
                <w:color w:val="auto"/>
                <w:sz w:val="21"/>
                <w:szCs w:val="21"/>
              </w:rPr>
              <w:t>0</w:t>
            </w:r>
          </w:p>
        </w:tc>
        <w:tc>
          <w:tcPr>
            <w:tcW w:w="732" w:type="pct"/>
            <w:vAlign w:val="center"/>
          </w:tcPr>
          <w:p w14:paraId="71C2D0F8">
            <w:pPr>
              <w:spacing w:line="240" w:lineRule="auto"/>
              <w:ind w:firstLine="0" w:firstLineChars="0"/>
              <w:jc w:val="center"/>
              <w:rPr>
                <w:rFonts w:cs="Times New Roman"/>
                <w:color w:val="auto"/>
                <w:sz w:val="21"/>
                <w:szCs w:val="21"/>
              </w:rPr>
            </w:pPr>
            <w:r>
              <w:rPr>
                <w:rFonts w:hint="eastAsia" w:cs="Times New Roman"/>
                <w:color w:val="auto"/>
                <w:sz w:val="21"/>
                <w:szCs w:val="21"/>
              </w:rPr>
              <w:t>5.00</w:t>
            </w:r>
          </w:p>
        </w:tc>
      </w:tr>
      <w:tr w14:paraId="06763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40AEAE6A">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1688" w:type="pct"/>
            <w:vAlign w:val="center"/>
          </w:tcPr>
          <w:p w14:paraId="0865E371">
            <w:pPr>
              <w:spacing w:line="240" w:lineRule="auto"/>
              <w:ind w:firstLine="0" w:firstLineChars="0"/>
              <w:jc w:val="center"/>
              <w:rPr>
                <w:rFonts w:cs="Times New Roman"/>
                <w:color w:val="auto"/>
                <w:sz w:val="21"/>
                <w:szCs w:val="21"/>
              </w:rPr>
            </w:pPr>
            <w:r>
              <w:rPr>
                <w:rFonts w:cs="Times New Roman"/>
                <w:color w:val="auto"/>
                <w:sz w:val="21"/>
                <w:szCs w:val="21"/>
              </w:rPr>
              <w:t>铅</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4DF42F0D">
            <w:pPr>
              <w:spacing w:line="240" w:lineRule="auto"/>
              <w:ind w:firstLine="0" w:firstLineChars="0"/>
              <w:jc w:val="center"/>
              <w:rPr>
                <w:rFonts w:cs="Times New Roman"/>
                <w:color w:val="auto"/>
                <w:sz w:val="21"/>
                <w:szCs w:val="21"/>
              </w:rPr>
            </w:pPr>
            <w:r>
              <w:rPr>
                <w:rFonts w:hint="eastAsia" w:cs="Times New Roman"/>
                <w:color w:val="auto"/>
                <w:sz w:val="21"/>
                <w:szCs w:val="21"/>
              </w:rPr>
              <w:t>60.0</w:t>
            </w:r>
          </w:p>
        </w:tc>
        <w:tc>
          <w:tcPr>
            <w:tcW w:w="733" w:type="pct"/>
            <w:vAlign w:val="center"/>
          </w:tcPr>
          <w:p w14:paraId="2BBDE136">
            <w:pPr>
              <w:spacing w:line="240" w:lineRule="auto"/>
              <w:ind w:firstLine="0" w:firstLineChars="0"/>
              <w:jc w:val="center"/>
              <w:rPr>
                <w:rFonts w:cs="Times New Roman"/>
                <w:color w:val="auto"/>
                <w:sz w:val="21"/>
                <w:szCs w:val="21"/>
              </w:rPr>
            </w:pPr>
            <w:r>
              <w:rPr>
                <w:rFonts w:cs="Times New Roman"/>
                <w:color w:val="auto"/>
                <w:sz w:val="21"/>
                <w:szCs w:val="21"/>
              </w:rPr>
              <w:t>130.0</w:t>
            </w:r>
          </w:p>
        </w:tc>
        <w:tc>
          <w:tcPr>
            <w:tcW w:w="732" w:type="pct"/>
            <w:vAlign w:val="center"/>
          </w:tcPr>
          <w:p w14:paraId="47D30BBD">
            <w:pPr>
              <w:spacing w:line="240" w:lineRule="auto"/>
              <w:ind w:firstLine="0" w:firstLineChars="0"/>
              <w:jc w:val="center"/>
              <w:rPr>
                <w:rFonts w:cs="Times New Roman"/>
                <w:color w:val="auto"/>
                <w:sz w:val="21"/>
                <w:szCs w:val="21"/>
              </w:rPr>
            </w:pPr>
            <w:r>
              <w:rPr>
                <w:rFonts w:hint="eastAsia" w:cs="Times New Roman"/>
                <w:color w:val="auto"/>
                <w:sz w:val="21"/>
                <w:szCs w:val="21"/>
              </w:rPr>
              <w:t>250.0</w:t>
            </w:r>
          </w:p>
        </w:tc>
      </w:tr>
      <w:tr w14:paraId="79CBA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008926FE">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1688" w:type="pct"/>
            <w:vAlign w:val="center"/>
          </w:tcPr>
          <w:p w14:paraId="28A98DEE">
            <w:pPr>
              <w:spacing w:line="240" w:lineRule="auto"/>
              <w:ind w:firstLine="0" w:firstLineChars="0"/>
              <w:jc w:val="center"/>
              <w:rPr>
                <w:rFonts w:cs="Times New Roman"/>
                <w:color w:val="auto"/>
                <w:sz w:val="21"/>
                <w:szCs w:val="21"/>
              </w:rPr>
            </w:pPr>
            <w:r>
              <w:rPr>
                <w:rFonts w:cs="Times New Roman"/>
                <w:color w:val="auto"/>
                <w:sz w:val="21"/>
                <w:szCs w:val="21"/>
              </w:rPr>
              <w:t>锌</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4C17066C">
            <w:pPr>
              <w:spacing w:line="240" w:lineRule="auto"/>
              <w:ind w:firstLine="0" w:firstLineChars="0"/>
              <w:jc w:val="center"/>
              <w:rPr>
                <w:rFonts w:cs="Times New Roman"/>
                <w:color w:val="auto"/>
                <w:sz w:val="21"/>
                <w:szCs w:val="21"/>
              </w:rPr>
            </w:pPr>
            <w:r>
              <w:rPr>
                <w:rFonts w:hint="eastAsia" w:cs="Times New Roman"/>
                <w:color w:val="auto"/>
                <w:sz w:val="21"/>
                <w:szCs w:val="21"/>
              </w:rPr>
              <w:t>150.0</w:t>
            </w:r>
          </w:p>
        </w:tc>
        <w:tc>
          <w:tcPr>
            <w:tcW w:w="733" w:type="pct"/>
            <w:vAlign w:val="center"/>
          </w:tcPr>
          <w:p w14:paraId="2A5E2ED5">
            <w:pPr>
              <w:spacing w:line="240" w:lineRule="auto"/>
              <w:ind w:firstLine="0" w:firstLineChars="0"/>
              <w:jc w:val="center"/>
              <w:rPr>
                <w:rFonts w:cs="Times New Roman"/>
                <w:color w:val="auto"/>
                <w:sz w:val="21"/>
                <w:szCs w:val="21"/>
              </w:rPr>
            </w:pPr>
            <w:r>
              <w:rPr>
                <w:rFonts w:cs="Times New Roman"/>
                <w:color w:val="auto"/>
                <w:sz w:val="21"/>
                <w:szCs w:val="21"/>
              </w:rPr>
              <w:t>350.0</w:t>
            </w:r>
          </w:p>
        </w:tc>
        <w:tc>
          <w:tcPr>
            <w:tcW w:w="732" w:type="pct"/>
            <w:vAlign w:val="center"/>
          </w:tcPr>
          <w:p w14:paraId="0BB6AB06">
            <w:pPr>
              <w:spacing w:line="240" w:lineRule="auto"/>
              <w:ind w:firstLine="0" w:firstLineChars="0"/>
              <w:jc w:val="center"/>
              <w:rPr>
                <w:rFonts w:cs="Times New Roman"/>
                <w:color w:val="auto"/>
                <w:sz w:val="21"/>
                <w:szCs w:val="21"/>
              </w:rPr>
            </w:pPr>
            <w:r>
              <w:rPr>
                <w:rFonts w:hint="eastAsia" w:cs="Times New Roman"/>
                <w:color w:val="auto"/>
                <w:sz w:val="21"/>
                <w:szCs w:val="21"/>
              </w:rPr>
              <w:t>600.0</w:t>
            </w:r>
          </w:p>
        </w:tc>
      </w:tr>
      <w:tr w14:paraId="3D46B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16205629">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1688" w:type="pct"/>
            <w:vAlign w:val="center"/>
          </w:tcPr>
          <w:p w14:paraId="719622F5">
            <w:pPr>
              <w:spacing w:line="240" w:lineRule="auto"/>
              <w:ind w:firstLine="0" w:firstLineChars="0"/>
              <w:jc w:val="center"/>
              <w:rPr>
                <w:rFonts w:cs="Times New Roman"/>
                <w:color w:val="auto"/>
                <w:sz w:val="21"/>
                <w:szCs w:val="21"/>
              </w:rPr>
            </w:pPr>
            <w:r>
              <w:rPr>
                <w:rFonts w:cs="Times New Roman"/>
                <w:color w:val="auto"/>
                <w:sz w:val="21"/>
                <w:szCs w:val="21"/>
              </w:rPr>
              <w:t>铜</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0222A4AB">
            <w:pPr>
              <w:spacing w:line="240" w:lineRule="auto"/>
              <w:ind w:firstLine="0" w:firstLineChars="0"/>
              <w:jc w:val="center"/>
              <w:rPr>
                <w:rFonts w:cs="Times New Roman"/>
                <w:color w:val="auto"/>
                <w:sz w:val="21"/>
                <w:szCs w:val="21"/>
              </w:rPr>
            </w:pPr>
            <w:r>
              <w:rPr>
                <w:rFonts w:hint="eastAsia" w:cs="Times New Roman"/>
                <w:color w:val="auto"/>
                <w:sz w:val="21"/>
                <w:szCs w:val="21"/>
              </w:rPr>
              <w:t>35.0</w:t>
            </w:r>
          </w:p>
        </w:tc>
        <w:tc>
          <w:tcPr>
            <w:tcW w:w="733" w:type="pct"/>
            <w:vAlign w:val="center"/>
          </w:tcPr>
          <w:p w14:paraId="0613EE1F">
            <w:pPr>
              <w:spacing w:line="240" w:lineRule="auto"/>
              <w:ind w:firstLine="0" w:firstLineChars="0"/>
              <w:jc w:val="center"/>
              <w:rPr>
                <w:rFonts w:cs="Times New Roman"/>
                <w:color w:val="auto"/>
                <w:sz w:val="21"/>
                <w:szCs w:val="21"/>
              </w:rPr>
            </w:pPr>
            <w:r>
              <w:rPr>
                <w:rFonts w:cs="Times New Roman"/>
                <w:color w:val="auto"/>
                <w:sz w:val="21"/>
                <w:szCs w:val="21"/>
              </w:rPr>
              <w:t>100.0</w:t>
            </w:r>
          </w:p>
        </w:tc>
        <w:tc>
          <w:tcPr>
            <w:tcW w:w="732" w:type="pct"/>
            <w:vAlign w:val="center"/>
          </w:tcPr>
          <w:p w14:paraId="27C7F675">
            <w:pPr>
              <w:spacing w:line="240" w:lineRule="auto"/>
              <w:ind w:firstLine="0" w:firstLineChars="0"/>
              <w:jc w:val="center"/>
              <w:rPr>
                <w:rFonts w:cs="Times New Roman"/>
                <w:color w:val="auto"/>
                <w:sz w:val="21"/>
                <w:szCs w:val="21"/>
              </w:rPr>
            </w:pPr>
            <w:r>
              <w:rPr>
                <w:rFonts w:hint="eastAsia" w:cs="Times New Roman"/>
                <w:color w:val="auto"/>
                <w:sz w:val="21"/>
                <w:szCs w:val="21"/>
              </w:rPr>
              <w:t>200.0</w:t>
            </w:r>
          </w:p>
        </w:tc>
      </w:tr>
      <w:tr w14:paraId="5BE33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5DFD4543">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1688" w:type="pct"/>
            <w:vAlign w:val="center"/>
          </w:tcPr>
          <w:p w14:paraId="5856F507">
            <w:pPr>
              <w:spacing w:line="240" w:lineRule="auto"/>
              <w:ind w:firstLine="0" w:firstLineChars="0"/>
              <w:jc w:val="center"/>
              <w:rPr>
                <w:rFonts w:cs="Times New Roman"/>
                <w:color w:val="auto"/>
                <w:sz w:val="21"/>
                <w:szCs w:val="21"/>
              </w:rPr>
            </w:pPr>
            <w:r>
              <w:rPr>
                <w:rFonts w:cs="Times New Roman"/>
                <w:color w:val="auto"/>
                <w:sz w:val="21"/>
                <w:szCs w:val="21"/>
              </w:rPr>
              <w:t>铬</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20B8DF08">
            <w:pPr>
              <w:spacing w:line="240" w:lineRule="auto"/>
              <w:ind w:firstLine="0" w:firstLineChars="0"/>
              <w:jc w:val="center"/>
              <w:rPr>
                <w:rFonts w:cs="Times New Roman"/>
                <w:color w:val="auto"/>
                <w:sz w:val="21"/>
                <w:szCs w:val="21"/>
              </w:rPr>
            </w:pPr>
            <w:r>
              <w:rPr>
                <w:rFonts w:hint="eastAsia" w:cs="Times New Roman"/>
                <w:color w:val="auto"/>
                <w:sz w:val="21"/>
                <w:szCs w:val="21"/>
              </w:rPr>
              <w:t>80.0</w:t>
            </w:r>
          </w:p>
        </w:tc>
        <w:tc>
          <w:tcPr>
            <w:tcW w:w="733" w:type="pct"/>
            <w:vAlign w:val="center"/>
          </w:tcPr>
          <w:p w14:paraId="6F50F5D1">
            <w:pPr>
              <w:spacing w:line="240" w:lineRule="auto"/>
              <w:ind w:firstLine="0" w:firstLineChars="0"/>
              <w:jc w:val="center"/>
              <w:rPr>
                <w:rFonts w:cs="Times New Roman"/>
                <w:color w:val="auto"/>
                <w:sz w:val="21"/>
                <w:szCs w:val="21"/>
              </w:rPr>
            </w:pPr>
            <w:r>
              <w:rPr>
                <w:rFonts w:cs="Times New Roman"/>
                <w:color w:val="auto"/>
                <w:sz w:val="21"/>
                <w:szCs w:val="21"/>
              </w:rPr>
              <w:t>150.0</w:t>
            </w:r>
          </w:p>
        </w:tc>
        <w:tc>
          <w:tcPr>
            <w:tcW w:w="732" w:type="pct"/>
            <w:vAlign w:val="center"/>
          </w:tcPr>
          <w:p w14:paraId="1B02F7A5">
            <w:pPr>
              <w:spacing w:line="240" w:lineRule="auto"/>
              <w:ind w:firstLine="0" w:firstLineChars="0"/>
              <w:jc w:val="center"/>
              <w:rPr>
                <w:rFonts w:cs="Times New Roman"/>
                <w:color w:val="auto"/>
                <w:sz w:val="21"/>
                <w:szCs w:val="21"/>
              </w:rPr>
            </w:pPr>
            <w:r>
              <w:rPr>
                <w:rFonts w:hint="eastAsia" w:cs="Times New Roman"/>
                <w:color w:val="auto"/>
                <w:sz w:val="21"/>
                <w:szCs w:val="21"/>
              </w:rPr>
              <w:t>270.0</w:t>
            </w:r>
          </w:p>
        </w:tc>
      </w:tr>
      <w:tr w14:paraId="0642D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35BD5518">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1688" w:type="pct"/>
            <w:vAlign w:val="center"/>
          </w:tcPr>
          <w:p w14:paraId="3B764C84">
            <w:pPr>
              <w:spacing w:line="240" w:lineRule="auto"/>
              <w:ind w:firstLine="0" w:firstLineChars="0"/>
              <w:jc w:val="center"/>
              <w:rPr>
                <w:rFonts w:cs="Times New Roman"/>
                <w:color w:val="auto"/>
                <w:sz w:val="21"/>
                <w:szCs w:val="21"/>
              </w:rPr>
            </w:pPr>
            <w:r>
              <w:rPr>
                <w:rFonts w:cs="Times New Roman"/>
                <w:color w:val="auto"/>
                <w:sz w:val="21"/>
                <w:szCs w:val="21"/>
              </w:rPr>
              <w:t>砷</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208A5BDD">
            <w:pPr>
              <w:spacing w:line="240" w:lineRule="auto"/>
              <w:ind w:firstLine="0" w:firstLineChars="0"/>
              <w:jc w:val="center"/>
              <w:rPr>
                <w:rFonts w:cs="Times New Roman"/>
                <w:color w:val="auto"/>
                <w:sz w:val="21"/>
                <w:szCs w:val="21"/>
              </w:rPr>
            </w:pPr>
            <w:r>
              <w:rPr>
                <w:rFonts w:hint="eastAsia" w:cs="Times New Roman"/>
                <w:color w:val="auto"/>
                <w:sz w:val="21"/>
                <w:szCs w:val="21"/>
              </w:rPr>
              <w:t>20.0</w:t>
            </w:r>
          </w:p>
        </w:tc>
        <w:tc>
          <w:tcPr>
            <w:tcW w:w="733" w:type="pct"/>
            <w:vAlign w:val="center"/>
          </w:tcPr>
          <w:p w14:paraId="76F2FFEE">
            <w:pPr>
              <w:spacing w:line="240" w:lineRule="auto"/>
              <w:ind w:firstLine="0" w:firstLineChars="0"/>
              <w:jc w:val="center"/>
              <w:rPr>
                <w:rFonts w:cs="Times New Roman"/>
                <w:color w:val="auto"/>
                <w:sz w:val="21"/>
                <w:szCs w:val="21"/>
              </w:rPr>
            </w:pPr>
            <w:r>
              <w:rPr>
                <w:rFonts w:cs="Times New Roman"/>
                <w:color w:val="auto"/>
                <w:sz w:val="21"/>
                <w:szCs w:val="21"/>
              </w:rPr>
              <w:t>65.0</w:t>
            </w:r>
          </w:p>
        </w:tc>
        <w:tc>
          <w:tcPr>
            <w:tcW w:w="732" w:type="pct"/>
            <w:vAlign w:val="center"/>
          </w:tcPr>
          <w:p w14:paraId="446232C7">
            <w:pPr>
              <w:spacing w:line="240" w:lineRule="auto"/>
              <w:ind w:firstLine="0" w:firstLineChars="0"/>
              <w:jc w:val="center"/>
              <w:rPr>
                <w:rFonts w:cs="Times New Roman"/>
                <w:color w:val="auto"/>
                <w:sz w:val="21"/>
                <w:szCs w:val="21"/>
              </w:rPr>
            </w:pPr>
            <w:r>
              <w:rPr>
                <w:rFonts w:hint="eastAsia" w:cs="Times New Roman"/>
                <w:color w:val="auto"/>
                <w:sz w:val="21"/>
                <w:szCs w:val="21"/>
              </w:rPr>
              <w:t>93.0</w:t>
            </w:r>
          </w:p>
        </w:tc>
      </w:tr>
      <w:tr w14:paraId="49F1D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4D9C2255">
            <w:pPr>
              <w:spacing w:line="240" w:lineRule="auto"/>
              <w:ind w:firstLine="0" w:firstLineChars="0"/>
              <w:jc w:val="center"/>
              <w:rPr>
                <w:rFonts w:cs="Times New Roman"/>
                <w:color w:val="auto"/>
                <w:sz w:val="21"/>
                <w:szCs w:val="21"/>
              </w:rPr>
            </w:pPr>
            <w:r>
              <w:rPr>
                <w:rFonts w:cs="Times New Roman"/>
                <w:color w:val="auto"/>
                <w:sz w:val="21"/>
                <w:szCs w:val="21"/>
              </w:rPr>
              <w:t>8</w:t>
            </w:r>
          </w:p>
        </w:tc>
        <w:tc>
          <w:tcPr>
            <w:tcW w:w="1688" w:type="pct"/>
            <w:vAlign w:val="center"/>
          </w:tcPr>
          <w:p w14:paraId="79DDFAC1">
            <w:pPr>
              <w:spacing w:line="240" w:lineRule="auto"/>
              <w:ind w:firstLine="0" w:firstLineChars="0"/>
              <w:jc w:val="center"/>
              <w:rPr>
                <w:rFonts w:cs="Times New Roman"/>
                <w:color w:val="auto"/>
                <w:sz w:val="21"/>
                <w:szCs w:val="21"/>
              </w:rPr>
            </w:pPr>
            <w:r>
              <w:rPr>
                <w:rFonts w:cs="Times New Roman"/>
                <w:color w:val="auto"/>
                <w:sz w:val="21"/>
                <w:szCs w:val="21"/>
              </w:rPr>
              <w:t>有机碳</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0C8B963B">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c>
          <w:tcPr>
            <w:tcW w:w="733" w:type="pct"/>
            <w:vAlign w:val="center"/>
          </w:tcPr>
          <w:p w14:paraId="620F1C04">
            <w:pPr>
              <w:spacing w:line="240" w:lineRule="auto"/>
              <w:ind w:firstLine="0" w:firstLineChars="0"/>
              <w:jc w:val="center"/>
              <w:rPr>
                <w:rFonts w:cs="Times New Roman"/>
                <w:color w:val="auto"/>
                <w:sz w:val="21"/>
                <w:szCs w:val="21"/>
              </w:rPr>
            </w:pPr>
            <w:r>
              <w:rPr>
                <w:rFonts w:cs="Times New Roman"/>
                <w:color w:val="auto"/>
                <w:sz w:val="21"/>
                <w:szCs w:val="21"/>
              </w:rPr>
              <w:t>3.0</w:t>
            </w:r>
          </w:p>
        </w:tc>
        <w:tc>
          <w:tcPr>
            <w:tcW w:w="732" w:type="pct"/>
            <w:vAlign w:val="center"/>
          </w:tcPr>
          <w:p w14:paraId="53E9C32F">
            <w:pPr>
              <w:spacing w:line="240" w:lineRule="auto"/>
              <w:ind w:firstLine="0" w:firstLineChars="0"/>
              <w:jc w:val="center"/>
              <w:rPr>
                <w:rFonts w:cs="Times New Roman"/>
                <w:color w:val="auto"/>
                <w:sz w:val="21"/>
                <w:szCs w:val="21"/>
              </w:rPr>
            </w:pPr>
            <w:r>
              <w:rPr>
                <w:rFonts w:hint="eastAsia" w:cs="Times New Roman"/>
                <w:color w:val="auto"/>
                <w:sz w:val="21"/>
                <w:szCs w:val="21"/>
              </w:rPr>
              <w:t>4.0</w:t>
            </w:r>
          </w:p>
        </w:tc>
      </w:tr>
      <w:tr w14:paraId="02899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14" w:type="pct"/>
            <w:vAlign w:val="center"/>
          </w:tcPr>
          <w:p w14:paraId="5D2CAA5D">
            <w:pPr>
              <w:spacing w:line="240" w:lineRule="auto"/>
              <w:ind w:firstLine="0" w:firstLineChars="0"/>
              <w:jc w:val="center"/>
              <w:rPr>
                <w:rFonts w:cs="Times New Roman"/>
                <w:color w:val="auto"/>
                <w:sz w:val="21"/>
                <w:szCs w:val="21"/>
              </w:rPr>
            </w:pPr>
            <w:r>
              <w:rPr>
                <w:rFonts w:cs="Times New Roman"/>
                <w:color w:val="auto"/>
                <w:sz w:val="21"/>
                <w:szCs w:val="21"/>
              </w:rPr>
              <w:t>9</w:t>
            </w:r>
          </w:p>
        </w:tc>
        <w:tc>
          <w:tcPr>
            <w:tcW w:w="1688" w:type="pct"/>
            <w:vAlign w:val="center"/>
          </w:tcPr>
          <w:p w14:paraId="1590985D">
            <w:pPr>
              <w:spacing w:line="240" w:lineRule="auto"/>
              <w:ind w:firstLine="0" w:firstLineChars="0"/>
              <w:jc w:val="center"/>
              <w:rPr>
                <w:rFonts w:cs="Times New Roman"/>
                <w:color w:val="auto"/>
                <w:sz w:val="21"/>
                <w:szCs w:val="21"/>
              </w:rPr>
            </w:pPr>
            <w:r>
              <w:rPr>
                <w:rFonts w:cs="Times New Roman"/>
                <w:color w:val="auto"/>
                <w:sz w:val="21"/>
                <w:szCs w:val="21"/>
              </w:rPr>
              <w:t>石油类</w:t>
            </w:r>
            <w:r>
              <w:rPr>
                <w:rFonts w:cs="Times New Roman"/>
                <w:color w:val="auto"/>
                <w:kern w:val="0"/>
                <w:sz w:val="21"/>
                <w:szCs w:val="21"/>
                <w:lang w:bidi="ar"/>
              </w:rPr>
              <w:t>（×10</w:t>
            </w:r>
            <w:r>
              <w:rPr>
                <w:rFonts w:cs="Times New Roman"/>
                <w:color w:val="auto"/>
                <w:kern w:val="0"/>
                <w:sz w:val="21"/>
                <w:szCs w:val="21"/>
                <w:vertAlign w:val="superscript"/>
                <w:lang w:bidi="ar"/>
              </w:rPr>
              <w:t>-6</w:t>
            </w:r>
            <w:r>
              <w:rPr>
                <w:rFonts w:cs="Times New Roman"/>
                <w:color w:val="auto"/>
                <w:kern w:val="0"/>
                <w:sz w:val="21"/>
                <w:szCs w:val="21"/>
                <w:lang w:bidi="ar"/>
              </w:rPr>
              <w:t>）</w:t>
            </w:r>
            <w:r>
              <w:rPr>
                <w:rFonts w:cs="Times New Roman"/>
                <w:color w:val="auto"/>
                <w:sz w:val="21"/>
                <w:szCs w:val="21"/>
              </w:rPr>
              <w:t>≤</w:t>
            </w:r>
          </w:p>
        </w:tc>
        <w:tc>
          <w:tcPr>
            <w:tcW w:w="733" w:type="pct"/>
            <w:vAlign w:val="center"/>
          </w:tcPr>
          <w:p w14:paraId="5C6C26FD">
            <w:pPr>
              <w:spacing w:line="240" w:lineRule="auto"/>
              <w:ind w:firstLine="0" w:firstLineChars="0"/>
              <w:jc w:val="center"/>
              <w:rPr>
                <w:rFonts w:cs="Times New Roman"/>
                <w:color w:val="auto"/>
                <w:sz w:val="21"/>
                <w:szCs w:val="21"/>
              </w:rPr>
            </w:pPr>
            <w:r>
              <w:rPr>
                <w:rFonts w:hint="eastAsia" w:cs="Times New Roman"/>
                <w:color w:val="auto"/>
                <w:sz w:val="21"/>
                <w:szCs w:val="21"/>
              </w:rPr>
              <w:t>500.0</w:t>
            </w:r>
          </w:p>
        </w:tc>
        <w:tc>
          <w:tcPr>
            <w:tcW w:w="733" w:type="pct"/>
            <w:vAlign w:val="center"/>
          </w:tcPr>
          <w:p w14:paraId="3C20B185">
            <w:pPr>
              <w:spacing w:line="240" w:lineRule="auto"/>
              <w:ind w:firstLine="0" w:firstLineChars="0"/>
              <w:jc w:val="center"/>
              <w:rPr>
                <w:rFonts w:cs="Times New Roman"/>
                <w:color w:val="auto"/>
                <w:sz w:val="21"/>
                <w:szCs w:val="21"/>
              </w:rPr>
            </w:pPr>
            <w:r>
              <w:rPr>
                <w:rFonts w:cs="Times New Roman"/>
                <w:color w:val="auto"/>
                <w:sz w:val="21"/>
                <w:szCs w:val="21"/>
              </w:rPr>
              <w:t>1000.0</w:t>
            </w:r>
          </w:p>
        </w:tc>
        <w:tc>
          <w:tcPr>
            <w:tcW w:w="732" w:type="pct"/>
            <w:vAlign w:val="center"/>
          </w:tcPr>
          <w:p w14:paraId="6731F4CF">
            <w:pPr>
              <w:spacing w:line="240" w:lineRule="auto"/>
              <w:ind w:firstLine="0" w:firstLineChars="0"/>
              <w:jc w:val="center"/>
              <w:rPr>
                <w:rFonts w:cs="Times New Roman"/>
                <w:color w:val="auto"/>
                <w:sz w:val="21"/>
                <w:szCs w:val="21"/>
              </w:rPr>
            </w:pPr>
            <w:r>
              <w:rPr>
                <w:rFonts w:hint="eastAsia" w:cs="Times New Roman"/>
                <w:color w:val="auto"/>
                <w:sz w:val="21"/>
                <w:szCs w:val="21"/>
              </w:rPr>
              <w:t>1500.0</w:t>
            </w:r>
          </w:p>
        </w:tc>
      </w:tr>
    </w:tbl>
    <w:p w14:paraId="74A23831">
      <w:pPr>
        <w:ind w:firstLine="480"/>
        <w:rPr>
          <w:rFonts w:cs="Times New Roman"/>
          <w:color w:val="auto"/>
        </w:rPr>
      </w:pPr>
      <w:r>
        <w:rPr>
          <w:rFonts w:cs="Times New Roman"/>
          <w:color w:val="auto"/>
        </w:rPr>
        <w:t>③海洋生物质量标准</w:t>
      </w:r>
    </w:p>
    <w:p w14:paraId="0E52B10F">
      <w:pPr>
        <w:ind w:firstLine="480"/>
        <w:rPr>
          <w:rFonts w:cs="Times New Roman"/>
          <w:color w:val="auto"/>
          <w:lang w:val="zh-CN"/>
        </w:rPr>
      </w:pPr>
      <w:r>
        <w:rPr>
          <w:rFonts w:cs="Times New Roman"/>
          <w:color w:val="auto"/>
        </w:rPr>
        <w:t>文蛤和牡蛎属于双壳贝类，</w:t>
      </w:r>
      <w:r>
        <w:rPr>
          <w:rFonts w:hint="eastAsia" w:cs="Times New Roman"/>
          <w:color w:val="auto"/>
        </w:rPr>
        <w:t>参照</w:t>
      </w:r>
      <w:r>
        <w:rPr>
          <w:rFonts w:cs="Times New Roman"/>
          <w:color w:val="auto"/>
        </w:rPr>
        <w:t>《环境影响评价导则 海洋生态环境》（HJ1409-2025），</w:t>
      </w:r>
      <w:r>
        <w:rPr>
          <w:rFonts w:hint="eastAsia" w:cs="Times New Roman"/>
          <w:color w:val="auto"/>
        </w:rPr>
        <w:t>双壳贝类应采用《海洋生物质量》（GB 18421-2001）来进行评价。金鼓江水质保护目标为第四类，按《海洋生物质量》（GB 18421-2001）第三类标准进行评价；GX006水质保护目标为第三类，按《海洋生物质量》（GB 18421-2001）第二类标准评价；GX008的水质保护目标为第二类，按第一类标准进行评价。</w:t>
      </w:r>
      <w:r>
        <w:rPr>
          <w:rFonts w:cs="Times New Roman"/>
          <w:color w:val="auto"/>
        </w:rPr>
        <w:t>鱼类的重金属、石油烃的评价标准参考《环境影响评价导则 海洋生态环境》（HJ1409-2025）附录C进行评价</w:t>
      </w:r>
      <w:r>
        <w:rPr>
          <w:rFonts w:cs="Times New Roman"/>
          <w:color w:val="auto"/>
          <w:lang w:val="zh-CN"/>
        </w:rPr>
        <w:t>。</w:t>
      </w:r>
    </w:p>
    <w:p w14:paraId="5B5D9400">
      <w:pPr>
        <w:pStyle w:val="7"/>
        <w:rPr>
          <w:color w:val="auto"/>
          <w:lang w:val="zh-CN"/>
        </w:rPr>
      </w:pPr>
      <w:r>
        <w:rPr>
          <w:rFonts w:hint="eastAsia"/>
          <w:color w:val="auto"/>
          <w:lang w:val="zh-CN"/>
        </w:rPr>
        <w:t>海洋贝类生物质量标准值（鲜重）    单位：mg/kg</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2834"/>
        <w:gridCol w:w="1844"/>
        <w:gridCol w:w="2686"/>
      </w:tblGrid>
      <w:tr w14:paraId="6295C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4B30130A">
            <w:pPr>
              <w:pStyle w:val="33"/>
              <w:rPr>
                <w:color w:val="auto"/>
                <w:lang w:val="zh-CN"/>
              </w:rPr>
            </w:pPr>
            <w:r>
              <w:rPr>
                <w:rFonts w:hint="eastAsia"/>
                <w:color w:val="auto"/>
                <w:lang w:val="zh-CN"/>
              </w:rPr>
              <w:t>项目</w:t>
            </w:r>
          </w:p>
        </w:tc>
        <w:tc>
          <w:tcPr>
            <w:tcW w:w="2834" w:type="dxa"/>
            <w:vAlign w:val="center"/>
          </w:tcPr>
          <w:p w14:paraId="0E573C5B">
            <w:pPr>
              <w:pStyle w:val="33"/>
              <w:rPr>
                <w:color w:val="auto"/>
                <w:lang w:val="zh-CN"/>
              </w:rPr>
            </w:pPr>
            <w:r>
              <w:rPr>
                <w:rFonts w:hint="eastAsia"/>
                <w:color w:val="auto"/>
                <w:lang w:val="zh-CN"/>
              </w:rPr>
              <w:t>第一类</w:t>
            </w:r>
          </w:p>
        </w:tc>
        <w:tc>
          <w:tcPr>
            <w:tcW w:w="1844" w:type="dxa"/>
            <w:vAlign w:val="center"/>
          </w:tcPr>
          <w:p w14:paraId="43B31ABE">
            <w:pPr>
              <w:pStyle w:val="33"/>
              <w:rPr>
                <w:color w:val="auto"/>
                <w:lang w:val="zh-CN"/>
              </w:rPr>
            </w:pPr>
            <w:r>
              <w:rPr>
                <w:rFonts w:hint="eastAsia"/>
                <w:color w:val="auto"/>
                <w:lang w:val="zh-CN"/>
              </w:rPr>
              <w:t>第二类</w:t>
            </w:r>
          </w:p>
        </w:tc>
        <w:tc>
          <w:tcPr>
            <w:tcW w:w="2686" w:type="dxa"/>
            <w:vAlign w:val="center"/>
          </w:tcPr>
          <w:p w14:paraId="4915C0E4">
            <w:pPr>
              <w:pStyle w:val="33"/>
              <w:rPr>
                <w:color w:val="auto"/>
                <w:lang w:val="zh-CN"/>
              </w:rPr>
            </w:pPr>
            <w:r>
              <w:rPr>
                <w:rFonts w:hint="eastAsia"/>
                <w:color w:val="auto"/>
                <w:lang w:val="zh-CN"/>
              </w:rPr>
              <w:t>第三类</w:t>
            </w:r>
          </w:p>
        </w:tc>
      </w:tr>
      <w:tr w14:paraId="666C0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27925B31">
            <w:pPr>
              <w:pStyle w:val="33"/>
              <w:rPr>
                <w:color w:val="auto"/>
                <w:lang w:val="zh-CN"/>
              </w:rPr>
            </w:pPr>
            <w:r>
              <w:rPr>
                <w:rFonts w:hint="eastAsia"/>
                <w:color w:val="auto"/>
                <w:lang w:val="zh-CN"/>
              </w:rPr>
              <w:t>感官要求</w:t>
            </w:r>
          </w:p>
        </w:tc>
        <w:tc>
          <w:tcPr>
            <w:tcW w:w="4678" w:type="dxa"/>
            <w:gridSpan w:val="2"/>
            <w:vAlign w:val="center"/>
          </w:tcPr>
          <w:p w14:paraId="70225B90">
            <w:pPr>
              <w:pStyle w:val="33"/>
              <w:jc w:val="left"/>
              <w:rPr>
                <w:color w:val="auto"/>
              </w:rPr>
            </w:pPr>
            <w:r>
              <w:rPr>
                <w:rFonts w:hint="eastAsia"/>
                <w:color w:val="auto"/>
              </w:rPr>
              <w:t>贝类的生成和活动正常，贝体不得沾粘油污等异物，贝肉的色泽、气味正常，无异色、异臭、异味</w:t>
            </w:r>
          </w:p>
        </w:tc>
        <w:tc>
          <w:tcPr>
            <w:tcW w:w="2686" w:type="dxa"/>
            <w:vAlign w:val="center"/>
          </w:tcPr>
          <w:p w14:paraId="711FA78F">
            <w:pPr>
              <w:pStyle w:val="33"/>
              <w:rPr>
                <w:color w:val="auto"/>
              </w:rPr>
            </w:pPr>
            <w:r>
              <w:rPr>
                <w:rFonts w:hint="eastAsia"/>
                <w:color w:val="auto"/>
              </w:rPr>
              <w:t>贝类能生存，贝肉不得有明显的异色、异臭、异味</w:t>
            </w:r>
          </w:p>
        </w:tc>
      </w:tr>
      <w:tr w14:paraId="70020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056C54A4">
            <w:pPr>
              <w:pStyle w:val="33"/>
              <w:rPr>
                <w:color w:val="auto"/>
              </w:rPr>
            </w:pPr>
            <w:r>
              <w:rPr>
                <w:rFonts w:hint="eastAsia"/>
                <w:color w:val="auto"/>
              </w:rPr>
              <w:t>总汞       ≤</w:t>
            </w:r>
          </w:p>
        </w:tc>
        <w:tc>
          <w:tcPr>
            <w:tcW w:w="2834" w:type="dxa"/>
            <w:vAlign w:val="center"/>
          </w:tcPr>
          <w:p w14:paraId="27F7C67C">
            <w:pPr>
              <w:pStyle w:val="33"/>
              <w:rPr>
                <w:color w:val="auto"/>
              </w:rPr>
            </w:pPr>
            <w:r>
              <w:rPr>
                <w:rFonts w:hint="eastAsia"/>
                <w:color w:val="auto"/>
              </w:rPr>
              <w:t>0.05</w:t>
            </w:r>
          </w:p>
        </w:tc>
        <w:tc>
          <w:tcPr>
            <w:tcW w:w="1844" w:type="dxa"/>
            <w:vAlign w:val="center"/>
          </w:tcPr>
          <w:p w14:paraId="678651A5">
            <w:pPr>
              <w:pStyle w:val="33"/>
              <w:rPr>
                <w:color w:val="auto"/>
              </w:rPr>
            </w:pPr>
            <w:r>
              <w:rPr>
                <w:rFonts w:hint="eastAsia"/>
                <w:color w:val="auto"/>
              </w:rPr>
              <w:t>0.10</w:t>
            </w:r>
          </w:p>
        </w:tc>
        <w:tc>
          <w:tcPr>
            <w:tcW w:w="2686" w:type="dxa"/>
            <w:vAlign w:val="center"/>
          </w:tcPr>
          <w:p w14:paraId="26F7158A">
            <w:pPr>
              <w:pStyle w:val="33"/>
              <w:rPr>
                <w:color w:val="auto"/>
              </w:rPr>
            </w:pPr>
            <w:r>
              <w:rPr>
                <w:rFonts w:hint="eastAsia"/>
                <w:color w:val="auto"/>
              </w:rPr>
              <w:t>0.30</w:t>
            </w:r>
          </w:p>
        </w:tc>
      </w:tr>
      <w:tr w14:paraId="26892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18C0659F">
            <w:pPr>
              <w:pStyle w:val="33"/>
              <w:rPr>
                <w:color w:val="auto"/>
              </w:rPr>
            </w:pPr>
            <w:r>
              <w:rPr>
                <w:rFonts w:cs="Times New Roman"/>
                <w:color w:val="auto"/>
                <w:szCs w:val="21"/>
              </w:rPr>
              <w:t>镉</w:t>
            </w:r>
            <w:r>
              <w:rPr>
                <w:rFonts w:hint="eastAsia" w:cs="Times New Roman"/>
                <w:color w:val="auto"/>
                <w:szCs w:val="21"/>
              </w:rPr>
              <w:t xml:space="preserve">         </w:t>
            </w:r>
            <w:r>
              <w:rPr>
                <w:rFonts w:hint="eastAsia"/>
                <w:color w:val="auto"/>
              </w:rPr>
              <w:t>≤</w:t>
            </w:r>
          </w:p>
        </w:tc>
        <w:tc>
          <w:tcPr>
            <w:tcW w:w="2834" w:type="dxa"/>
            <w:vAlign w:val="center"/>
          </w:tcPr>
          <w:p w14:paraId="280747D3">
            <w:pPr>
              <w:pStyle w:val="33"/>
              <w:rPr>
                <w:color w:val="auto"/>
              </w:rPr>
            </w:pPr>
            <w:r>
              <w:rPr>
                <w:rFonts w:hint="eastAsia"/>
                <w:color w:val="auto"/>
              </w:rPr>
              <w:t>0.2</w:t>
            </w:r>
          </w:p>
        </w:tc>
        <w:tc>
          <w:tcPr>
            <w:tcW w:w="1844" w:type="dxa"/>
            <w:vAlign w:val="center"/>
          </w:tcPr>
          <w:p w14:paraId="3A5B32EF">
            <w:pPr>
              <w:pStyle w:val="33"/>
              <w:rPr>
                <w:color w:val="auto"/>
              </w:rPr>
            </w:pPr>
            <w:r>
              <w:rPr>
                <w:rFonts w:hint="eastAsia"/>
                <w:color w:val="auto"/>
              </w:rPr>
              <w:t>2.0</w:t>
            </w:r>
          </w:p>
        </w:tc>
        <w:tc>
          <w:tcPr>
            <w:tcW w:w="2686" w:type="dxa"/>
            <w:vAlign w:val="center"/>
          </w:tcPr>
          <w:p w14:paraId="57BDC706">
            <w:pPr>
              <w:pStyle w:val="33"/>
              <w:rPr>
                <w:color w:val="auto"/>
              </w:rPr>
            </w:pPr>
            <w:r>
              <w:rPr>
                <w:rFonts w:hint="eastAsia"/>
                <w:color w:val="auto"/>
              </w:rPr>
              <w:t>5.0</w:t>
            </w:r>
          </w:p>
        </w:tc>
      </w:tr>
      <w:tr w14:paraId="19413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711DEF91">
            <w:pPr>
              <w:pStyle w:val="33"/>
              <w:rPr>
                <w:rFonts w:cs="Times New Roman"/>
                <w:color w:val="auto"/>
                <w:szCs w:val="21"/>
              </w:rPr>
            </w:pPr>
            <w:r>
              <w:rPr>
                <w:rFonts w:cs="Times New Roman"/>
                <w:color w:val="auto"/>
                <w:szCs w:val="21"/>
              </w:rPr>
              <w:t>铅</w:t>
            </w:r>
            <w:r>
              <w:rPr>
                <w:rFonts w:hint="eastAsia" w:cs="Times New Roman"/>
                <w:color w:val="auto"/>
                <w:szCs w:val="21"/>
              </w:rPr>
              <w:t xml:space="preserve">         </w:t>
            </w:r>
            <w:r>
              <w:rPr>
                <w:rFonts w:hint="eastAsia"/>
                <w:color w:val="auto"/>
              </w:rPr>
              <w:t>≤</w:t>
            </w:r>
          </w:p>
        </w:tc>
        <w:tc>
          <w:tcPr>
            <w:tcW w:w="2834" w:type="dxa"/>
            <w:vAlign w:val="center"/>
          </w:tcPr>
          <w:p w14:paraId="247C92AD">
            <w:pPr>
              <w:pStyle w:val="33"/>
              <w:rPr>
                <w:color w:val="auto"/>
              </w:rPr>
            </w:pPr>
            <w:r>
              <w:rPr>
                <w:rFonts w:hint="eastAsia"/>
                <w:color w:val="auto"/>
              </w:rPr>
              <w:t>0.1</w:t>
            </w:r>
          </w:p>
        </w:tc>
        <w:tc>
          <w:tcPr>
            <w:tcW w:w="1844" w:type="dxa"/>
            <w:vAlign w:val="center"/>
          </w:tcPr>
          <w:p w14:paraId="5A13BA35">
            <w:pPr>
              <w:pStyle w:val="33"/>
              <w:rPr>
                <w:color w:val="auto"/>
              </w:rPr>
            </w:pPr>
            <w:r>
              <w:rPr>
                <w:rFonts w:hint="eastAsia"/>
                <w:color w:val="auto"/>
              </w:rPr>
              <w:t>2.0</w:t>
            </w:r>
          </w:p>
        </w:tc>
        <w:tc>
          <w:tcPr>
            <w:tcW w:w="2686" w:type="dxa"/>
            <w:vAlign w:val="center"/>
          </w:tcPr>
          <w:p w14:paraId="41DB6868">
            <w:pPr>
              <w:pStyle w:val="33"/>
              <w:rPr>
                <w:color w:val="auto"/>
              </w:rPr>
            </w:pPr>
            <w:r>
              <w:rPr>
                <w:rFonts w:hint="eastAsia"/>
                <w:color w:val="auto"/>
              </w:rPr>
              <w:t>6.0</w:t>
            </w:r>
          </w:p>
        </w:tc>
      </w:tr>
      <w:tr w14:paraId="39EEF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4F44B9B2">
            <w:pPr>
              <w:pStyle w:val="33"/>
              <w:rPr>
                <w:rFonts w:cs="Times New Roman"/>
                <w:color w:val="auto"/>
                <w:szCs w:val="21"/>
              </w:rPr>
            </w:pPr>
            <w:r>
              <w:rPr>
                <w:rFonts w:cs="Times New Roman"/>
                <w:color w:val="auto"/>
                <w:szCs w:val="21"/>
              </w:rPr>
              <w:t>铬</w:t>
            </w:r>
            <w:r>
              <w:rPr>
                <w:rFonts w:hint="eastAsia" w:cs="Times New Roman"/>
                <w:color w:val="auto"/>
                <w:szCs w:val="21"/>
              </w:rPr>
              <w:t xml:space="preserve">         </w:t>
            </w:r>
            <w:r>
              <w:rPr>
                <w:rFonts w:hint="eastAsia"/>
                <w:color w:val="auto"/>
              </w:rPr>
              <w:t>≤</w:t>
            </w:r>
          </w:p>
        </w:tc>
        <w:tc>
          <w:tcPr>
            <w:tcW w:w="2834" w:type="dxa"/>
            <w:vAlign w:val="center"/>
          </w:tcPr>
          <w:p w14:paraId="1A94C1CD">
            <w:pPr>
              <w:pStyle w:val="33"/>
              <w:rPr>
                <w:color w:val="auto"/>
              </w:rPr>
            </w:pPr>
            <w:r>
              <w:rPr>
                <w:rFonts w:hint="eastAsia"/>
                <w:color w:val="auto"/>
              </w:rPr>
              <w:t>0.5</w:t>
            </w:r>
          </w:p>
        </w:tc>
        <w:tc>
          <w:tcPr>
            <w:tcW w:w="1844" w:type="dxa"/>
            <w:vAlign w:val="center"/>
          </w:tcPr>
          <w:p w14:paraId="57DB8AAC">
            <w:pPr>
              <w:pStyle w:val="33"/>
              <w:rPr>
                <w:color w:val="auto"/>
              </w:rPr>
            </w:pPr>
            <w:r>
              <w:rPr>
                <w:rFonts w:hint="eastAsia"/>
                <w:color w:val="auto"/>
              </w:rPr>
              <w:t>2.0</w:t>
            </w:r>
          </w:p>
        </w:tc>
        <w:tc>
          <w:tcPr>
            <w:tcW w:w="2686" w:type="dxa"/>
            <w:vAlign w:val="center"/>
          </w:tcPr>
          <w:p w14:paraId="1C63C0FA">
            <w:pPr>
              <w:pStyle w:val="33"/>
              <w:rPr>
                <w:color w:val="auto"/>
              </w:rPr>
            </w:pPr>
            <w:r>
              <w:rPr>
                <w:rFonts w:hint="eastAsia"/>
                <w:color w:val="auto"/>
              </w:rPr>
              <w:t>6.0</w:t>
            </w:r>
          </w:p>
        </w:tc>
      </w:tr>
      <w:tr w14:paraId="6F6D5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3D9936C2">
            <w:pPr>
              <w:pStyle w:val="33"/>
              <w:rPr>
                <w:rFonts w:cs="Times New Roman"/>
                <w:color w:val="auto"/>
                <w:szCs w:val="21"/>
              </w:rPr>
            </w:pPr>
            <w:r>
              <w:rPr>
                <w:rFonts w:cs="Times New Roman"/>
                <w:color w:val="auto"/>
                <w:szCs w:val="21"/>
              </w:rPr>
              <w:t>砷</w:t>
            </w:r>
            <w:r>
              <w:rPr>
                <w:rFonts w:hint="eastAsia" w:cs="Times New Roman"/>
                <w:color w:val="auto"/>
                <w:szCs w:val="21"/>
              </w:rPr>
              <w:t xml:space="preserve">         </w:t>
            </w:r>
            <w:r>
              <w:rPr>
                <w:rFonts w:hint="eastAsia"/>
                <w:color w:val="auto"/>
              </w:rPr>
              <w:t>≤</w:t>
            </w:r>
          </w:p>
        </w:tc>
        <w:tc>
          <w:tcPr>
            <w:tcW w:w="2834" w:type="dxa"/>
            <w:vAlign w:val="center"/>
          </w:tcPr>
          <w:p w14:paraId="39D684D9">
            <w:pPr>
              <w:pStyle w:val="33"/>
              <w:rPr>
                <w:color w:val="auto"/>
              </w:rPr>
            </w:pPr>
            <w:r>
              <w:rPr>
                <w:rFonts w:hint="eastAsia"/>
                <w:color w:val="auto"/>
              </w:rPr>
              <w:t>1.0</w:t>
            </w:r>
          </w:p>
        </w:tc>
        <w:tc>
          <w:tcPr>
            <w:tcW w:w="1844" w:type="dxa"/>
            <w:vAlign w:val="center"/>
          </w:tcPr>
          <w:p w14:paraId="75B34089">
            <w:pPr>
              <w:pStyle w:val="33"/>
              <w:rPr>
                <w:color w:val="auto"/>
              </w:rPr>
            </w:pPr>
            <w:r>
              <w:rPr>
                <w:rFonts w:hint="eastAsia"/>
                <w:color w:val="auto"/>
              </w:rPr>
              <w:t>5.0</w:t>
            </w:r>
          </w:p>
        </w:tc>
        <w:tc>
          <w:tcPr>
            <w:tcW w:w="2686" w:type="dxa"/>
            <w:vAlign w:val="center"/>
          </w:tcPr>
          <w:p w14:paraId="78BFC173">
            <w:pPr>
              <w:pStyle w:val="33"/>
              <w:rPr>
                <w:color w:val="auto"/>
              </w:rPr>
            </w:pPr>
            <w:r>
              <w:rPr>
                <w:rFonts w:hint="eastAsia"/>
                <w:color w:val="auto"/>
              </w:rPr>
              <w:t>8.0</w:t>
            </w:r>
          </w:p>
        </w:tc>
      </w:tr>
      <w:tr w14:paraId="7AECE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62561359">
            <w:pPr>
              <w:pStyle w:val="33"/>
              <w:rPr>
                <w:rFonts w:cs="Times New Roman"/>
                <w:color w:val="auto"/>
                <w:szCs w:val="21"/>
              </w:rPr>
            </w:pPr>
            <w:r>
              <w:rPr>
                <w:rFonts w:cs="Times New Roman"/>
                <w:color w:val="auto"/>
                <w:szCs w:val="21"/>
              </w:rPr>
              <w:t>铜</w:t>
            </w:r>
            <w:r>
              <w:rPr>
                <w:rFonts w:hint="eastAsia" w:cs="Times New Roman"/>
                <w:color w:val="auto"/>
                <w:szCs w:val="21"/>
              </w:rPr>
              <w:t xml:space="preserve">         </w:t>
            </w:r>
            <w:r>
              <w:rPr>
                <w:rFonts w:hint="eastAsia"/>
                <w:color w:val="auto"/>
              </w:rPr>
              <w:t>≤</w:t>
            </w:r>
          </w:p>
        </w:tc>
        <w:tc>
          <w:tcPr>
            <w:tcW w:w="2834" w:type="dxa"/>
            <w:vAlign w:val="center"/>
          </w:tcPr>
          <w:p w14:paraId="1B3131EC">
            <w:pPr>
              <w:pStyle w:val="33"/>
              <w:rPr>
                <w:color w:val="auto"/>
              </w:rPr>
            </w:pPr>
            <w:r>
              <w:rPr>
                <w:rFonts w:hint="eastAsia"/>
                <w:color w:val="auto"/>
              </w:rPr>
              <w:t>10</w:t>
            </w:r>
          </w:p>
        </w:tc>
        <w:tc>
          <w:tcPr>
            <w:tcW w:w="1844" w:type="dxa"/>
            <w:vAlign w:val="center"/>
          </w:tcPr>
          <w:p w14:paraId="4954F67D">
            <w:pPr>
              <w:pStyle w:val="33"/>
              <w:rPr>
                <w:color w:val="auto"/>
              </w:rPr>
            </w:pPr>
            <w:r>
              <w:rPr>
                <w:rFonts w:hint="eastAsia"/>
                <w:color w:val="auto"/>
              </w:rPr>
              <w:t>25</w:t>
            </w:r>
          </w:p>
        </w:tc>
        <w:tc>
          <w:tcPr>
            <w:tcW w:w="2686" w:type="dxa"/>
            <w:vAlign w:val="center"/>
          </w:tcPr>
          <w:p w14:paraId="5B80E563">
            <w:pPr>
              <w:pStyle w:val="33"/>
              <w:rPr>
                <w:color w:val="auto"/>
              </w:rPr>
            </w:pPr>
            <w:r>
              <w:rPr>
                <w:rFonts w:hint="eastAsia"/>
                <w:color w:val="auto"/>
              </w:rPr>
              <w:t>50（牡蛎100）</w:t>
            </w:r>
          </w:p>
        </w:tc>
      </w:tr>
      <w:tr w14:paraId="1CE6C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48C0AE9F">
            <w:pPr>
              <w:pStyle w:val="33"/>
              <w:rPr>
                <w:rFonts w:cs="Times New Roman"/>
                <w:color w:val="auto"/>
                <w:szCs w:val="21"/>
              </w:rPr>
            </w:pPr>
            <w:r>
              <w:rPr>
                <w:rFonts w:cs="Times New Roman"/>
                <w:color w:val="auto"/>
                <w:szCs w:val="21"/>
              </w:rPr>
              <w:t>锌</w:t>
            </w:r>
            <w:r>
              <w:rPr>
                <w:rFonts w:hint="eastAsia" w:cs="Times New Roman"/>
                <w:color w:val="auto"/>
                <w:szCs w:val="21"/>
              </w:rPr>
              <w:t xml:space="preserve">         </w:t>
            </w:r>
            <w:r>
              <w:rPr>
                <w:rFonts w:hint="eastAsia"/>
                <w:color w:val="auto"/>
              </w:rPr>
              <w:t>≤</w:t>
            </w:r>
          </w:p>
        </w:tc>
        <w:tc>
          <w:tcPr>
            <w:tcW w:w="2834" w:type="dxa"/>
            <w:vAlign w:val="center"/>
          </w:tcPr>
          <w:p w14:paraId="22F7F5BC">
            <w:pPr>
              <w:pStyle w:val="33"/>
              <w:rPr>
                <w:color w:val="auto"/>
              </w:rPr>
            </w:pPr>
            <w:r>
              <w:rPr>
                <w:rFonts w:hint="eastAsia"/>
                <w:color w:val="auto"/>
              </w:rPr>
              <w:t>20</w:t>
            </w:r>
          </w:p>
        </w:tc>
        <w:tc>
          <w:tcPr>
            <w:tcW w:w="1844" w:type="dxa"/>
            <w:vAlign w:val="center"/>
          </w:tcPr>
          <w:p w14:paraId="1D9AFD53">
            <w:pPr>
              <w:pStyle w:val="33"/>
              <w:rPr>
                <w:color w:val="auto"/>
              </w:rPr>
            </w:pPr>
            <w:r>
              <w:rPr>
                <w:rFonts w:hint="eastAsia"/>
                <w:color w:val="auto"/>
              </w:rPr>
              <w:t>50</w:t>
            </w:r>
          </w:p>
        </w:tc>
        <w:tc>
          <w:tcPr>
            <w:tcW w:w="2686" w:type="dxa"/>
            <w:vAlign w:val="center"/>
          </w:tcPr>
          <w:p w14:paraId="5DF50C54">
            <w:pPr>
              <w:pStyle w:val="33"/>
              <w:rPr>
                <w:color w:val="auto"/>
              </w:rPr>
            </w:pPr>
            <w:r>
              <w:rPr>
                <w:rFonts w:hint="eastAsia"/>
                <w:color w:val="auto"/>
              </w:rPr>
              <w:t>100（牡蛎500）</w:t>
            </w:r>
          </w:p>
        </w:tc>
      </w:tr>
      <w:tr w14:paraId="3777C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14:paraId="6884CF23">
            <w:pPr>
              <w:pStyle w:val="33"/>
              <w:rPr>
                <w:rFonts w:cs="Times New Roman"/>
                <w:color w:val="auto"/>
                <w:szCs w:val="21"/>
              </w:rPr>
            </w:pPr>
            <w:r>
              <w:rPr>
                <w:rFonts w:cs="Times New Roman"/>
                <w:color w:val="auto"/>
                <w:szCs w:val="21"/>
              </w:rPr>
              <w:t>石油类</w:t>
            </w:r>
            <w:r>
              <w:rPr>
                <w:rFonts w:hint="eastAsia" w:cs="Times New Roman"/>
                <w:color w:val="auto"/>
                <w:szCs w:val="21"/>
              </w:rPr>
              <w:t xml:space="preserve">      </w:t>
            </w:r>
            <w:r>
              <w:rPr>
                <w:rFonts w:hint="eastAsia"/>
                <w:color w:val="auto"/>
              </w:rPr>
              <w:t>≤</w:t>
            </w:r>
          </w:p>
        </w:tc>
        <w:tc>
          <w:tcPr>
            <w:tcW w:w="2834" w:type="dxa"/>
            <w:vAlign w:val="center"/>
          </w:tcPr>
          <w:p w14:paraId="4A0B5B23">
            <w:pPr>
              <w:pStyle w:val="33"/>
              <w:rPr>
                <w:color w:val="auto"/>
              </w:rPr>
            </w:pPr>
            <w:r>
              <w:rPr>
                <w:rFonts w:hint="eastAsia"/>
                <w:color w:val="auto"/>
              </w:rPr>
              <w:t>15</w:t>
            </w:r>
          </w:p>
        </w:tc>
        <w:tc>
          <w:tcPr>
            <w:tcW w:w="1844" w:type="dxa"/>
            <w:vAlign w:val="center"/>
          </w:tcPr>
          <w:p w14:paraId="30B43D5C">
            <w:pPr>
              <w:pStyle w:val="33"/>
              <w:rPr>
                <w:color w:val="auto"/>
              </w:rPr>
            </w:pPr>
            <w:r>
              <w:rPr>
                <w:rFonts w:hint="eastAsia"/>
                <w:color w:val="auto"/>
              </w:rPr>
              <w:t>50</w:t>
            </w:r>
          </w:p>
        </w:tc>
        <w:tc>
          <w:tcPr>
            <w:tcW w:w="2686" w:type="dxa"/>
            <w:vAlign w:val="center"/>
          </w:tcPr>
          <w:p w14:paraId="0DA2BEA1">
            <w:pPr>
              <w:pStyle w:val="33"/>
              <w:rPr>
                <w:color w:val="auto"/>
              </w:rPr>
            </w:pPr>
            <w:r>
              <w:rPr>
                <w:rFonts w:hint="eastAsia"/>
                <w:color w:val="auto"/>
              </w:rPr>
              <w:t>80</w:t>
            </w:r>
          </w:p>
        </w:tc>
      </w:tr>
    </w:tbl>
    <w:p w14:paraId="16AB48B1">
      <w:pPr>
        <w:ind w:firstLine="0" w:firstLineChars="0"/>
        <w:rPr>
          <w:rFonts w:cs="Times New Roman"/>
          <w:color w:val="auto"/>
        </w:rPr>
      </w:pPr>
    </w:p>
    <w:p w14:paraId="155F3D3B">
      <w:pPr>
        <w:pStyle w:val="7"/>
        <w:rPr>
          <w:color w:val="auto"/>
        </w:rPr>
      </w:pPr>
      <w:r>
        <w:rPr>
          <w:rFonts w:hint="eastAsia"/>
          <w:color w:val="auto"/>
        </w:rPr>
        <w:t>其他</w:t>
      </w:r>
      <w:r>
        <w:rPr>
          <w:color w:val="auto"/>
        </w:rPr>
        <w:t>海洋生物质量标准（鲜重）</w:t>
      </w:r>
      <w:r>
        <w:rPr>
          <w:rFonts w:hint="eastAsia"/>
          <w:color w:val="auto"/>
          <w:lang w:val="zh-CN"/>
        </w:rPr>
        <w:t xml:space="preserve">    单位：mg/kg</w:t>
      </w:r>
    </w:p>
    <w:tbl>
      <w:tblPr>
        <w:tblStyle w:val="26"/>
        <w:tblW w:w="48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2"/>
        <w:gridCol w:w="1675"/>
        <w:gridCol w:w="1938"/>
        <w:gridCol w:w="2177"/>
        <w:gridCol w:w="2179"/>
      </w:tblGrid>
      <w:tr w14:paraId="0EA33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8" w:hRule="atLeast"/>
          <w:tblHeader/>
          <w:jc w:val="center"/>
        </w:trPr>
        <w:tc>
          <w:tcPr>
            <w:tcW w:w="608" w:type="pct"/>
            <w:vAlign w:val="center"/>
          </w:tcPr>
          <w:p w14:paraId="01BCBD6E">
            <w:pPr>
              <w:spacing w:line="240" w:lineRule="auto"/>
              <w:ind w:firstLine="0" w:firstLineChars="0"/>
              <w:jc w:val="center"/>
              <w:rPr>
                <w:rFonts w:cs="Times New Roman"/>
                <w:b/>
                <w:bCs/>
                <w:color w:val="auto"/>
                <w:sz w:val="21"/>
                <w:szCs w:val="21"/>
              </w:rPr>
            </w:pPr>
            <w:r>
              <w:rPr>
                <w:rFonts w:cs="Times New Roman"/>
                <w:b/>
                <w:bCs/>
                <w:color w:val="auto"/>
                <w:sz w:val="21"/>
                <w:szCs w:val="21"/>
              </w:rPr>
              <w:t>编号</w:t>
            </w:r>
          </w:p>
        </w:tc>
        <w:tc>
          <w:tcPr>
            <w:tcW w:w="923" w:type="pct"/>
            <w:vAlign w:val="center"/>
          </w:tcPr>
          <w:p w14:paraId="40BBD2E4">
            <w:pPr>
              <w:spacing w:line="240" w:lineRule="auto"/>
              <w:ind w:firstLine="0" w:firstLineChars="0"/>
              <w:jc w:val="center"/>
              <w:rPr>
                <w:rFonts w:cs="Times New Roman"/>
                <w:b/>
                <w:bCs/>
                <w:color w:val="auto"/>
                <w:sz w:val="21"/>
                <w:szCs w:val="21"/>
              </w:rPr>
            </w:pPr>
            <w:r>
              <w:rPr>
                <w:rFonts w:cs="Times New Roman"/>
                <w:b/>
                <w:bCs/>
                <w:color w:val="auto"/>
                <w:sz w:val="21"/>
                <w:szCs w:val="21"/>
              </w:rPr>
              <w:t>监测项目</w:t>
            </w:r>
          </w:p>
        </w:tc>
        <w:tc>
          <w:tcPr>
            <w:tcW w:w="1068" w:type="pct"/>
            <w:vAlign w:val="center"/>
          </w:tcPr>
          <w:p w14:paraId="00965BF0">
            <w:pPr>
              <w:ind w:firstLine="482"/>
              <w:rPr>
                <w:b/>
                <w:bCs/>
                <w:color w:val="auto"/>
              </w:rPr>
            </w:pPr>
            <w:r>
              <w:rPr>
                <w:rFonts w:hint="eastAsia"/>
                <w:b/>
                <w:bCs/>
                <w:color w:val="auto"/>
              </w:rPr>
              <w:t>软体动物（非甲壳贝类）</w:t>
            </w:r>
          </w:p>
        </w:tc>
        <w:tc>
          <w:tcPr>
            <w:tcW w:w="1200" w:type="pct"/>
            <w:vAlign w:val="center"/>
          </w:tcPr>
          <w:p w14:paraId="1AF6EAAE">
            <w:pPr>
              <w:ind w:firstLine="482"/>
              <w:rPr>
                <w:b/>
                <w:bCs/>
                <w:color w:val="auto"/>
              </w:rPr>
            </w:pPr>
            <w:r>
              <w:rPr>
                <w:b/>
                <w:bCs/>
                <w:color w:val="auto"/>
              </w:rPr>
              <w:t>甲壳类</w:t>
            </w:r>
          </w:p>
        </w:tc>
        <w:tc>
          <w:tcPr>
            <w:tcW w:w="1201" w:type="pct"/>
            <w:vAlign w:val="center"/>
          </w:tcPr>
          <w:p w14:paraId="2351A7E8">
            <w:pPr>
              <w:ind w:firstLine="482"/>
              <w:rPr>
                <w:b/>
                <w:bCs/>
                <w:color w:val="auto"/>
              </w:rPr>
            </w:pPr>
            <w:r>
              <w:rPr>
                <w:b/>
                <w:bCs/>
                <w:color w:val="auto"/>
              </w:rPr>
              <w:t>鱼类</w:t>
            </w:r>
          </w:p>
        </w:tc>
      </w:tr>
      <w:tr w14:paraId="76AF0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387C4A03">
            <w:pPr>
              <w:spacing w:line="240" w:lineRule="auto"/>
              <w:ind w:firstLine="0" w:firstLineChars="0"/>
              <w:jc w:val="center"/>
              <w:rPr>
                <w:rFonts w:cs="Times New Roman"/>
                <w:color w:val="auto"/>
                <w:sz w:val="21"/>
                <w:szCs w:val="21"/>
              </w:rPr>
            </w:pPr>
            <w:r>
              <w:rPr>
                <w:rFonts w:cs="Times New Roman"/>
                <w:color w:val="auto"/>
                <w:sz w:val="21"/>
                <w:szCs w:val="21"/>
              </w:rPr>
              <w:t>1</w:t>
            </w:r>
          </w:p>
        </w:tc>
        <w:tc>
          <w:tcPr>
            <w:tcW w:w="923" w:type="pct"/>
            <w:vAlign w:val="center"/>
          </w:tcPr>
          <w:p w14:paraId="133023C5">
            <w:pPr>
              <w:spacing w:line="240" w:lineRule="auto"/>
              <w:ind w:firstLine="0" w:firstLineChars="0"/>
              <w:jc w:val="center"/>
              <w:rPr>
                <w:rFonts w:cs="Times New Roman"/>
                <w:color w:val="auto"/>
                <w:sz w:val="21"/>
                <w:szCs w:val="21"/>
              </w:rPr>
            </w:pPr>
            <w:r>
              <w:rPr>
                <w:rFonts w:hint="eastAsia" w:cs="Times New Roman"/>
                <w:color w:val="auto"/>
                <w:sz w:val="21"/>
                <w:szCs w:val="21"/>
              </w:rPr>
              <w:t>总</w:t>
            </w:r>
            <w:r>
              <w:rPr>
                <w:rFonts w:cs="Times New Roman"/>
                <w:color w:val="auto"/>
                <w:sz w:val="21"/>
                <w:szCs w:val="21"/>
              </w:rPr>
              <w:t>汞</w:t>
            </w:r>
          </w:p>
        </w:tc>
        <w:tc>
          <w:tcPr>
            <w:tcW w:w="1068" w:type="pct"/>
            <w:vAlign w:val="center"/>
          </w:tcPr>
          <w:p w14:paraId="38D8E567">
            <w:pPr>
              <w:spacing w:line="240" w:lineRule="auto"/>
              <w:ind w:firstLine="0" w:firstLineChars="0"/>
              <w:jc w:val="center"/>
              <w:rPr>
                <w:rFonts w:cs="Times New Roman"/>
                <w:color w:val="auto"/>
                <w:sz w:val="21"/>
                <w:szCs w:val="21"/>
              </w:rPr>
            </w:pPr>
            <w:r>
              <w:rPr>
                <w:rFonts w:hint="eastAsia" w:cs="Times New Roman"/>
                <w:color w:val="auto"/>
                <w:sz w:val="21"/>
                <w:szCs w:val="21"/>
              </w:rPr>
              <w:t>0.3</w:t>
            </w:r>
          </w:p>
        </w:tc>
        <w:tc>
          <w:tcPr>
            <w:tcW w:w="1200" w:type="pct"/>
            <w:vAlign w:val="center"/>
          </w:tcPr>
          <w:p w14:paraId="73E57A08">
            <w:pPr>
              <w:spacing w:line="240" w:lineRule="auto"/>
              <w:ind w:firstLine="0" w:firstLineChars="0"/>
              <w:jc w:val="center"/>
              <w:rPr>
                <w:rFonts w:cs="Times New Roman"/>
                <w:color w:val="auto"/>
                <w:sz w:val="21"/>
                <w:szCs w:val="21"/>
              </w:rPr>
            </w:pPr>
            <w:r>
              <w:rPr>
                <w:rFonts w:hint="eastAsia" w:cs="Times New Roman"/>
                <w:color w:val="auto"/>
                <w:sz w:val="21"/>
                <w:szCs w:val="21"/>
              </w:rPr>
              <w:t>0.2</w:t>
            </w:r>
          </w:p>
        </w:tc>
        <w:tc>
          <w:tcPr>
            <w:tcW w:w="1201" w:type="pct"/>
            <w:vAlign w:val="center"/>
          </w:tcPr>
          <w:p w14:paraId="45876809">
            <w:pPr>
              <w:spacing w:line="240" w:lineRule="auto"/>
              <w:ind w:firstLine="0" w:firstLineChars="0"/>
              <w:jc w:val="center"/>
              <w:rPr>
                <w:rFonts w:cs="Times New Roman"/>
                <w:color w:val="auto"/>
                <w:sz w:val="21"/>
                <w:szCs w:val="21"/>
              </w:rPr>
            </w:pPr>
            <w:r>
              <w:rPr>
                <w:rFonts w:hint="eastAsia" w:cs="Times New Roman"/>
                <w:color w:val="auto"/>
                <w:sz w:val="21"/>
                <w:szCs w:val="21"/>
              </w:rPr>
              <w:t>0.3</w:t>
            </w:r>
          </w:p>
        </w:tc>
      </w:tr>
      <w:tr w14:paraId="2EB61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33B01E27">
            <w:pPr>
              <w:spacing w:line="240" w:lineRule="auto"/>
              <w:ind w:firstLine="0" w:firstLineChars="0"/>
              <w:jc w:val="center"/>
              <w:rPr>
                <w:rFonts w:cs="Times New Roman"/>
                <w:color w:val="auto"/>
                <w:sz w:val="21"/>
                <w:szCs w:val="21"/>
              </w:rPr>
            </w:pPr>
            <w:r>
              <w:rPr>
                <w:rFonts w:cs="Times New Roman"/>
                <w:color w:val="auto"/>
                <w:sz w:val="21"/>
                <w:szCs w:val="21"/>
              </w:rPr>
              <w:t>2</w:t>
            </w:r>
          </w:p>
        </w:tc>
        <w:tc>
          <w:tcPr>
            <w:tcW w:w="923" w:type="pct"/>
            <w:vAlign w:val="center"/>
          </w:tcPr>
          <w:p w14:paraId="06819085">
            <w:pPr>
              <w:spacing w:line="240" w:lineRule="auto"/>
              <w:ind w:firstLine="0" w:firstLineChars="0"/>
              <w:jc w:val="center"/>
              <w:rPr>
                <w:rFonts w:cs="Times New Roman"/>
                <w:color w:val="auto"/>
                <w:sz w:val="21"/>
                <w:szCs w:val="21"/>
              </w:rPr>
            </w:pPr>
            <w:r>
              <w:rPr>
                <w:rFonts w:cs="Times New Roman"/>
                <w:color w:val="auto"/>
                <w:sz w:val="21"/>
                <w:szCs w:val="21"/>
              </w:rPr>
              <w:t>镉</w:t>
            </w:r>
          </w:p>
        </w:tc>
        <w:tc>
          <w:tcPr>
            <w:tcW w:w="1068" w:type="pct"/>
            <w:vAlign w:val="center"/>
          </w:tcPr>
          <w:p w14:paraId="3391E355">
            <w:pPr>
              <w:spacing w:line="240" w:lineRule="auto"/>
              <w:ind w:firstLine="0" w:firstLineChars="0"/>
              <w:jc w:val="center"/>
              <w:rPr>
                <w:rFonts w:cs="Times New Roman"/>
                <w:color w:val="auto"/>
                <w:sz w:val="21"/>
                <w:szCs w:val="21"/>
              </w:rPr>
            </w:pPr>
            <w:r>
              <w:rPr>
                <w:rFonts w:hint="eastAsia" w:cs="Times New Roman"/>
                <w:color w:val="auto"/>
                <w:sz w:val="21"/>
                <w:szCs w:val="21"/>
              </w:rPr>
              <w:t>5.5</w:t>
            </w:r>
          </w:p>
        </w:tc>
        <w:tc>
          <w:tcPr>
            <w:tcW w:w="1200" w:type="pct"/>
            <w:vAlign w:val="center"/>
          </w:tcPr>
          <w:p w14:paraId="7ECB0360">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c>
          <w:tcPr>
            <w:tcW w:w="1201" w:type="pct"/>
            <w:vAlign w:val="center"/>
          </w:tcPr>
          <w:p w14:paraId="4D4D6F5D">
            <w:pPr>
              <w:spacing w:line="240" w:lineRule="auto"/>
              <w:ind w:firstLine="0" w:firstLineChars="0"/>
              <w:jc w:val="center"/>
              <w:rPr>
                <w:rFonts w:cs="Times New Roman"/>
                <w:color w:val="auto"/>
                <w:sz w:val="21"/>
                <w:szCs w:val="21"/>
              </w:rPr>
            </w:pPr>
            <w:r>
              <w:rPr>
                <w:rFonts w:hint="eastAsia" w:cs="Times New Roman"/>
                <w:color w:val="auto"/>
                <w:sz w:val="21"/>
                <w:szCs w:val="21"/>
              </w:rPr>
              <w:t>0.6</w:t>
            </w:r>
          </w:p>
        </w:tc>
      </w:tr>
      <w:tr w14:paraId="6A35C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1A610437">
            <w:pPr>
              <w:spacing w:line="240" w:lineRule="auto"/>
              <w:ind w:firstLine="0" w:firstLineChars="0"/>
              <w:jc w:val="center"/>
              <w:rPr>
                <w:rFonts w:cs="Times New Roman"/>
                <w:color w:val="auto"/>
                <w:sz w:val="21"/>
                <w:szCs w:val="21"/>
              </w:rPr>
            </w:pPr>
            <w:r>
              <w:rPr>
                <w:rFonts w:cs="Times New Roman"/>
                <w:color w:val="auto"/>
                <w:sz w:val="21"/>
                <w:szCs w:val="21"/>
              </w:rPr>
              <w:t>3</w:t>
            </w:r>
          </w:p>
        </w:tc>
        <w:tc>
          <w:tcPr>
            <w:tcW w:w="923" w:type="pct"/>
            <w:vAlign w:val="center"/>
          </w:tcPr>
          <w:p w14:paraId="16EB70FF">
            <w:pPr>
              <w:spacing w:line="240" w:lineRule="auto"/>
              <w:ind w:firstLine="0" w:firstLineChars="0"/>
              <w:jc w:val="center"/>
              <w:rPr>
                <w:rFonts w:cs="Times New Roman"/>
                <w:color w:val="auto"/>
                <w:sz w:val="21"/>
                <w:szCs w:val="21"/>
              </w:rPr>
            </w:pPr>
            <w:r>
              <w:rPr>
                <w:rFonts w:cs="Times New Roman"/>
                <w:color w:val="auto"/>
                <w:sz w:val="21"/>
                <w:szCs w:val="21"/>
              </w:rPr>
              <w:t>锌</w:t>
            </w:r>
          </w:p>
        </w:tc>
        <w:tc>
          <w:tcPr>
            <w:tcW w:w="1068" w:type="pct"/>
            <w:vAlign w:val="center"/>
          </w:tcPr>
          <w:p w14:paraId="615AB742">
            <w:pPr>
              <w:spacing w:line="240" w:lineRule="auto"/>
              <w:ind w:firstLine="0" w:firstLineChars="0"/>
              <w:jc w:val="center"/>
              <w:rPr>
                <w:rFonts w:cs="Times New Roman"/>
                <w:color w:val="auto"/>
                <w:sz w:val="21"/>
                <w:szCs w:val="21"/>
              </w:rPr>
            </w:pPr>
            <w:r>
              <w:rPr>
                <w:rFonts w:hint="eastAsia" w:cs="Times New Roman"/>
                <w:color w:val="auto"/>
                <w:sz w:val="21"/>
                <w:szCs w:val="21"/>
              </w:rPr>
              <w:t>250</w:t>
            </w:r>
          </w:p>
        </w:tc>
        <w:tc>
          <w:tcPr>
            <w:tcW w:w="1200" w:type="pct"/>
            <w:vAlign w:val="center"/>
          </w:tcPr>
          <w:p w14:paraId="703549E6">
            <w:pPr>
              <w:spacing w:line="240" w:lineRule="auto"/>
              <w:ind w:firstLine="0" w:firstLineChars="0"/>
              <w:jc w:val="center"/>
              <w:rPr>
                <w:rFonts w:cs="Times New Roman"/>
                <w:color w:val="auto"/>
                <w:sz w:val="21"/>
                <w:szCs w:val="21"/>
              </w:rPr>
            </w:pPr>
            <w:r>
              <w:rPr>
                <w:rFonts w:hint="eastAsia" w:cs="Times New Roman"/>
                <w:color w:val="auto"/>
                <w:sz w:val="21"/>
                <w:szCs w:val="21"/>
              </w:rPr>
              <w:t>150</w:t>
            </w:r>
          </w:p>
        </w:tc>
        <w:tc>
          <w:tcPr>
            <w:tcW w:w="1201" w:type="pct"/>
            <w:vAlign w:val="center"/>
          </w:tcPr>
          <w:p w14:paraId="4760DE1C">
            <w:pPr>
              <w:spacing w:line="240" w:lineRule="auto"/>
              <w:ind w:firstLine="0" w:firstLineChars="0"/>
              <w:jc w:val="center"/>
              <w:rPr>
                <w:rFonts w:cs="Times New Roman"/>
                <w:color w:val="auto"/>
                <w:sz w:val="21"/>
                <w:szCs w:val="21"/>
              </w:rPr>
            </w:pPr>
            <w:r>
              <w:rPr>
                <w:rFonts w:hint="eastAsia" w:cs="Times New Roman"/>
                <w:color w:val="auto"/>
                <w:sz w:val="21"/>
                <w:szCs w:val="21"/>
              </w:rPr>
              <w:t>40</w:t>
            </w:r>
          </w:p>
        </w:tc>
      </w:tr>
      <w:tr w14:paraId="20030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2BDACDA8">
            <w:pPr>
              <w:spacing w:line="240" w:lineRule="auto"/>
              <w:ind w:firstLine="0" w:firstLineChars="0"/>
              <w:jc w:val="center"/>
              <w:rPr>
                <w:rFonts w:cs="Times New Roman"/>
                <w:color w:val="auto"/>
                <w:sz w:val="21"/>
                <w:szCs w:val="21"/>
              </w:rPr>
            </w:pPr>
            <w:r>
              <w:rPr>
                <w:rFonts w:cs="Times New Roman"/>
                <w:color w:val="auto"/>
                <w:sz w:val="21"/>
                <w:szCs w:val="21"/>
              </w:rPr>
              <w:t>4</w:t>
            </w:r>
          </w:p>
        </w:tc>
        <w:tc>
          <w:tcPr>
            <w:tcW w:w="923" w:type="pct"/>
            <w:vAlign w:val="center"/>
          </w:tcPr>
          <w:p w14:paraId="04106C3E">
            <w:pPr>
              <w:spacing w:line="240" w:lineRule="auto"/>
              <w:ind w:firstLine="0" w:firstLineChars="0"/>
              <w:jc w:val="center"/>
              <w:rPr>
                <w:rFonts w:cs="Times New Roman"/>
                <w:color w:val="auto"/>
                <w:sz w:val="21"/>
                <w:szCs w:val="21"/>
              </w:rPr>
            </w:pPr>
            <w:r>
              <w:rPr>
                <w:rFonts w:cs="Times New Roman"/>
                <w:color w:val="auto"/>
                <w:sz w:val="21"/>
                <w:szCs w:val="21"/>
              </w:rPr>
              <w:t>铅</w:t>
            </w:r>
          </w:p>
        </w:tc>
        <w:tc>
          <w:tcPr>
            <w:tcW w:w="1068" w:type="pct"/>
            <w:vAlign w:val="center"/>
          </w:tcPr>
          <w:p w14:paraId="05154192">
            <w:pPr>
              <w:spacing w:line="240" w:lineRule="auto"/>
              <w:ind w:firstLine="0" w:firstLineChars="0"/>
              <w:jc w:val="center"/>
              <w:rPr>
                <w:rFonts w:cs="Times New Roman"/>
                <w:color w:val="auto"/>
                <w:sz w:val="21"/>
                <w:szCs w:val="21"/>
              </w:rPr>
            </w:pPr>
            <w:r>
              <w:rPr>
                <w:rFonts w:hint="eastAsia" w:cs="Times New Roman"/>
                <w:color w:val="auto"/>
                <w:sz w:val="21"/>
                <w:szCs w:val="21"/>
              </w:rPr>
              <w:t>10</w:t>
            </w:r>
          </w:p>
        </w:tc>
        <w:tc>
          <w:tcPr>
            <w:tcW w:w="1200" w:type="pct"/>
            <w:vAlign w:val="center"/>
          </w:tcPr>
          <w:p w14:paraId="1B81369D">
            <w:pPr>
              <w:spacing w:line="240" w:lineRule="auto"/>
              <w:ind w:firstLine="0" w:firstLineChars="0"/>
              <w:jc w:val="center"/>
              <w:rPr>
                <w:rFonts w:cs="Times New Roman"/>
                <w:color w:val="auto"/>
                <w:sz w:val="21"/>
                <w:szCs w:val="21"/>
              </w:rPr>
            </w:pPr>
            <w:r>
              <w:rPr>
                <w:rFonts w:hint="eastAsia" w:cs="Times New Roman"/>
                <w:color w:val="auto"/>
                <w:sz w:val="21"/>
                <w:szCs w:val="21"/>
              </w:rPr>
              <w:t>2</w:t>
            </w:r>
          </w:p>
        </w:tc>
        <w:tc>
          <w:tcPr>
            <w:tcW w:w="1201" w:type="pct"/>
            <w:vAlign w:val="center"/>
          </w:tcPr>
          <w:p w14:paraId="4718DDD5">
            <w:pPr>
              <w:spacing w:line="240" w:lineRule="auto"/>
              <w:ind w:firstLine="0" w:firstLineChars="0"/>
              <w:jc w:val="center"/>
              <w:rPr>
                <w:rFonts w:cs="Times New Roman"/>
                <w:color w:val="auto"/>
                <w:sz w:val="21"/>
                <w:szCs w:val="21"/>
              </w:rPr>
            </w:pPr>
            <w:r>
              <w:rPr>
                <w:rFonts w:hint="eastAsia" w:cs="Times New Roman"/>
                <w:color w:val="auto"/>
                <w:sz w:val="21"/>
                <w:szCs w:val="21"/>
              </w:rPr>
              <w:t>2</w:t>
            </w:r>
          </w:p>
        </w:tc>
      </w:tr>
      <w:tr w14:paraId="67A35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2E73A0F8">
            <w:pPr>
              <w:spacing w:line="240" w:lineRule="auto"/>
              <w:ind w:firstLine="0" w:firstLineChars="0"/>
              <w:jc w:val="center"/>
              <w:rPr>
                <w:rFonts w:cs="Times New Roman"/>
                <w:color w:val="auto"/>
                <w:sz w:val="21"/>
                <w:szCs w:val="21"/>
              </w:rPr>
            </w:pPr>
            <w:r>
              <w:rPr>
                <w:rFonts w:cs="Times New Roman"/>
                <w:color w:val="auto"/>
                <w:sz w:val="21"/>
                <w:szCs w:val="21"/>
              </w:rPr>
              <w:t>5</w:t>
            </w:r>
          </w:p>
        </w:tc>
        <w:tc>
          <w:tcPr>
            <w:tcW w:w="923" w:type="pct"/>
            <w:vAlign w:val="center"/>
          </w:tcPr>
          <w:p w14:paraId="24F30C8F">
            <w:pPr>
              <w:spacing w:line="240" w:lineRule="auto"/>
              <w:ind w:firstLine="0" w:firstLineChars="0"/>
              <w:jc w:val="center"/>
              <w:rPr>
                <w:rFonts w:cs="Times New Roman"/>
                <w:color w:val="auto"/>
                <w:sz w:val="21"/>
                <w:szCs w:val="21"/>
              </w:rPr>
            </w:pPr>
            <w:r>
              <w:rPr>
                <w:rFonts w:cs="Times New Roman"/>
                <w:color w:val="auto"/>
                <w:sz w:val="21"/>
                <w:szCs w:val="21"/>
              </w:rPr>
              <w:t>铜</w:t>
            </w:r>
          </w:p>
        </w:tc>
        <w:tc>
          <w:tcPr>
            <w:tcW w:w="1068" w:type="pct"/>
            <w:vAlign w:val="center"/>
          </w:tcPr>
          <w:p w14:paraId="1B3581D9">
            <w:pPr>
              <w:spacing w:line="240" w:lineRule="auto"/>
              <w:ind w:firstLine="0" w:firstLineChars="0"/>
              <w:jc w:val="center"/>
              <w:rPr>
                <w:rFonts w:cs="Times New Roman"/>
                <w:color w:val="auto"/>
                <w:sz w:val="21"/>
                <w:szCs w:val="21"/>
              </w:rPr>
            </w:pPr>
            <w:r>
              <w:rPr>
                <w:rFonts w:hint="eastAsia" w:cs="Times New Roman"/>
                <w:color w:val="auto"/>
                <w:sz w:val="21"/>
                <w:szCs w:val="21"/>
              </w:rPr>
              <w:t>100</w:t>
            </w:r>
          </w:p>
        </w:tc>
        <w:tc>
          <w:tcPr>
            <w:tcW w:w="1200" w:type="pct"/>
            <w:vAlign w:val="center"/>
          </w:tcPr>
          <w:p w14:paraId="6EC328A3">
            <w:pPr>
              <w:spacing w:line="240" w:lineRule="auto"/>
              <w:ind w:firstLine="0" w:firstLineChars="0"/>
              <w:jc w:val="center"/>
              <w:rPr>
                <w:rFonts w:cs="Times New Roman"/>
                <w:color w:val="auto"/>
                <w:sz w:val="21"/>
                <w:szCs w:val="21"/>
              </w:rPr>
            </w:pPr>
            <w:r>
              <w:rPr>
                <w:rFonts w:hint="eastAsia" w:cs="Times New Roman"/>
                <w:color w:val="auto"/>
                <w:sz w:val="21"/>
                <w:szCs w:val="21"/>
              </w:rPr>
              <w:t>100</w:t>
            </w:r>
          </w:p>
        </w:tc>
        <w:tc>
          <w:tcPr>
            <w:tcW w:w="1201" w:type="pct"/>
            <w:vAlign w:val="center"/>
          </w:tcPr>
          <w:p w14:paraId="4FFAE801">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r>
      <w:tr w14:paraId="295F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7FA83274">
            <w:pPr>
              <w:spacing w:line="240" w:lineRule="auto"/>
              <w:ind w:firstLine="0" w:firstLineChars="0"/>
              <w:jc w:val="center"/>
              <w:rPr>
                <w:rFonts w:cs="Times New Roman"/>
                <w:color w:val="auto"/>
                <w:sz w:val="21"/>
                <w:szCs w:val="21"/>
              </w:rPr>
            </w:pPr>
            <w:r>
              <w:rPr>
                <w:rFonts w:cs="Times New Roman"/>
                <w:color w:val="auto"/>
                <w:sz w:val="21"/>
                <w:szCs w:val="21"/>
              </w:rPr>
              <w:t>6</w:t>
            </w:r>
          </w:p>
        </w:tc>
        <w:tc>
          <w:tcPr>
            <w:tcW w:w="923" w:type="pct"/>
            <w:vAlign w:val="center"/>
          </w:tcPr>
          <w:p w14:paraId="72A48A64">
            <w:pPr>
              <w:spacing w:line="240" w:lineRule="auto"/>
              <w:ind w:firstLine="0" w:firstLineChars="0"/>
              <w:jc w:val="center"/>
              <w:rPr>
                <w:rFonts w:cs="Times New Roman"/>
                <w:color w:val="auto"/>
                <w:sz w:val="21"/>
                <w:szCs w:val="21"/>
              </w:rPr>
            </w:pPr>
            <w:r>
              <w:rPr>
                <w:rFonts w:cs="Times New Roman"/>
                <w:color w:val="auto"/>
                <w:sz w:val="21"/>
                <w:szCs w:val="21"/>
              </w:rPr>
              <w:t>砷</w:t>
            </w:r>
          </w:p>
        </w:tc>
        <w:tc>
          <w:tcPr>
            <w:tcW w:w="1068" w:type="pct"/>
            <w:vAlign w:val="center"/>
          </w:tcPr>
          <w:p w14:paraId="2D5E2114">
            <w:pPr>
              <w:spacing w:line="240" w:lineRule="auto"/>
              <w:ind w:firstLine="0" w:firstLineChars="0"/>
              <w:jc w:val="center"/>
              <w:rPr>
                <w:rFonts w:cs="Times New Roman"/>
                <w:color w:val="auto"/>
                <w:sz w:val="21"/>
                <w:szCs w:val="21"/>
              </w:rPr>
            </w:pPr>
            <w:r>
              <w:rPr>
                <w:rFonts w:hint="eastAsia" w:cs="Times New Roman"/>
                <w:color w:val="auto"/>
                <w:sz w:val="21"/>
                <w:szCs w:val="21"/>
              </w:rPr>
              <w:t>1</w:t>
            </w:r>
          </w:p>
        </w:tc>
        <w:tc>
          <w:tcPr>
            <w:tcW w:w="1200" w:type="pct"/>
            <w:vAlign w:val="center"/>
          </w:tcPr>
          <w:p w14:paraId="0F27D4C2">
            <w:pPr>
              <w:spacing w:line="240" w:lineRule="auto"/>
              <w:ind w:firstLine="0" w:firstLineChars="0"/>
              <w:jc w:val="center"/>
              <w:rPr>
                <w:rFonts w:cs="Times New Roman"/>
                <w:color w:val="auto"/>
                <w:sz w:val="21"/>
                <w:szCs w:val="21"/>
              </w:rPr>
            </w:pPr>
            <w:r>
              <w:rPr>
                <w:rFonts w:hint="eastAsia" w:cs="Times New Roman"/>
                <w:color w:val="auto"/>
                <w:sz w:val="21"/>
                <w:szCs w:val="21"/>
              </w:rPr>
              <w:t>1</w:t>
            </w:r>
          </w:p>
        </w:tc>
        <w:tc>
          <w:tcPr>
            <w:tcW w:w="1201" w:type="pct"/>
            <w:vAlign w:val="center"/>
          </w:tcPr>
          <w:p w14:paraId="0619DDD0">
            <w:pPr>
              <w:spacing w:line="240" w:lineRule="auto"/>
              <w:ind w:firstLine="0" w:firstLineChars="0"/>
              <w:jc w:val="center"/>
              <w:rPr>
                <w:rFonts w:cs="Times New Roman"/>
                <w:color w:val="auto"/>
                <w:sz w:val="21"/>
                <w:szCs w:val="21"/>
              </w:rPr>
            </w:pPr>
            <w:r>
              <w:rPr>
                <w:rFonts w:hint="eastAsia" w:cs="Times New Roman"/>
                <w:color w:val="auto"/>
                <w:sz w:val="21"/>
                <w:szCs w:val="21"/>
              </w:rPr>
              <w:t>1</w:t>
            </w:r>
          </w:p>
        </w:tc>
      </w:tr>
      <w:tr w14:paraId="109CE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608" w:type="pct"/>
            <w:vAlign w:val="center"/>
          </w:tcPr>
          <w:p w14:paraId="421CDE7A">
            <w:pPr>
              <w:spacing w:line="240" w:lineRule="auto"/>
              <w:ind w:firstLine="0" w:firstLineChars="0"/>
              <w:jc w:val="center"/>
              <w:rPr>
                <w:rFonts w:cs="Times New Roman"/>
                <w:color w:val="auto"/>
                <w:sz w:val="21"/>
                <w:szCs w:val="21"/>
              </w:rPr>
            </w:pPr>
            <w:r>
              <w:rPr>
                <w:rFonts w:cs="Times New Roman"/>
                <w:color w:val="auto"/>
                <w:sz w:val="21"/>
                <w:szCs w:val="21"/>
              </w:rPr>
              <w:t>7</w:t>
            </w:r>
          </w:p>
        </w:tc>
        <w:tc>
          <w:tcPr>
            <w:tcW w:w="923" w:type="pct"/>
            <w:vAlign w:val="center"/>
          </w:tcPr>
          <w:p w14:paraId="688FD319">
            <w:pPr>
              <w:spacing w:line="240" w:lineRule="auto"/>
              <w:ind w:firstLine="0" w:firstLineChars="0"/>
              <w:jc w:val="center"/>
              <w:rPr>
                <w:rFonts w:cs="Times New Roman"/>
                <w:color w:val="auto"/>
                <w:sz w:val="21"/>
                <w:szCs w:val="21"/>
              </w:rPr>
            </w:pPr>
            <w:r>
              <w:rPr>
                <w:rFonts w:cs="Times New Roman"/>
                <w:color w:val="auto"/>
                <w:sz w:val="21"/>
                <w:szCs w:val="21"/>
              </w:rPr>
              <w:t>石油</w:t>
            </w:r>
            <w:r>
              <w:rPr>
                <w:rFonts w:hint="eastAsia" w:cs="Times New Roman"/>
                <w:color w:val="auto"/>
                <w:sz w:val="21"/>
                <w:szCs w:val="21"/>
              </w:rPr>
              <w:t>烃</w:t>
            </w:r>
          </w:p>
        </w:tc>
        <w:tc>
          <w:tcPr>
            <w:tcW w:w="1068" w:type="pct"/>
            <w:vAlign w:val="center"/>
          </w:tcPr>
          <w:p w14:paraId="70A24BAF">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c>
          <w:tcPr>
            <w:tcW w:w="1200" w:type="pct"/>
            <w:vAlign w:val="center"/>
          </w:tcPr>
          <w:p w14:paraId="1D3E5E1B">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c>
          <w:tcPr>
            <w:tcW w:w="1201" w:type="pct"/>
            <w:vAlign w:val="center"/>
          </w:tcPr>
          <w:p w14:paraId="7CACEA14">
            <w:pPr>
              <w:spacing w:line="240" w:lineRule="auto"/>
              <w:ind w:firstLine="0" w:firstLineChars="0"/>
              <w:jc w:val="center"/>
              <w:rPr>
                <w:rFonts w:cs="Times New Roman"/>
                <w:color w:val="auto"/>
                <w:sz w:val="21"/>
                <w:szCs w:val="21"/>
              </w:rPr>
            </w:pPr>
            <w:r>
              <w:rPr>
                <w:rFonts w:hint="eastAsia" w:cs="Times New Roman"/>
                <w:color w:val="auto"/>
                <w:sz w:val="21"/>
                <w:szCs w:val="21"/>
              </w:rPr>
              <w:t>20</w:t>
            </w:r>
          </w:p>
        </w:tc>
      </w:tr>
    </w:tbl>
    <w:p w14:paraId="60423171">
      <w:pPr>
        <w:pStyle w:val="5"/>
        <w:rPr>
          <w:rFonts w:cs="Times New Roman"/>
          <w:color w:val="auto"/>
        </w:rPr>
      </w:pPr>
      <w:r>
        <w:rPr>
          <w:rFonts w:cs="Times New Roman"/>
          <w:color w:val="auto"/>
        </w:rPr>
        <w:t>地下水质量标准</w:t>
      </w:r>
    </w:p>
    <w:p w14:paraId="666F9F67">
      <w:pPr>
        <w:ind w:firstLine="480"/>
        <w:rPr>
          <w:rFonts w:cs="Times New Roman"/>
          <w:color w:val="auto"/>
        </w:rPr>
      </w:pPr>
      <w:r>
        <w:rPr>
          <w:rFonts w:cs="Times New Roman"/>
          <w:color w:val="auto"/>
        </w:rPr>
        <w:t>项目区域地下水执行《地下水质量标准》（GB/T 14848-2017）Ⅲ类标准，具体标准限值见</w:t>
      </w:r>
      <w:r>
        <w:rPr>
          <w:rFonts w:hint="eastAsia" w:cs="Times New Roman"/>
          <w:color w:val="auto"/>
        </w:rPr>
        <w:t>下表</w:t>
      </w:r>
      <w:r>
        <w:rPr>
          <w:rFonts w:cs="Times New Roman"/>
          <w:color w:val="auto"/>
        </w:rPr>
        <w:t>。</w:t>
      </w:r>
    </w:p>
    <w:p w14:paraId="63432D13">
      <w:pPr>
        <w:pStyle w:val="7"/>
        <w:rPr>
          <w:color w:val="auto"/>
        </w:rPr>
      </w:pPr>
      <w:bookmarkStart w:id="87" w:name="_Ref185008209"/>
      <w:r>
        <w:rPr>
          <w:color w:val="auto"/>
        </w:rPr>
        <w:t>《地下水质量标准》（摘录）（pH值单位无量纲；其余指标单位为mg/L）</w:t>
      </w:r>
      <w:bookmarkEnd w:id="87"/>
    </w:p>
    <w:tbl>
      <w:tblPr>
        <w:tblStyle w:val="26"/>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5126"/>
        <w:gridCol w:w="2716"/>
      </w:tblGrid>
      <w:tr w14:paraId="54705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01" w:type="pct"/>
            <w:tcBorders>
              <w:top w:val="single" w:color="auto" w:sz="4" w:space="0"/>
              <w:left w:val="single" w:color="auto" w:sz="4" w:space="0"/>
              <w:bottom w:val="single" w:color="auto" w:sz="4" w:space="0"/>
              <w:right w:val="single" w:color="auto" w:sz="4" w:space="0"/>
            </w:tcBorders>
            <w:vAlign w:val="center"/>
          </w:tcPr>
          <w:p w14:paraId="23251901">
            <w:pPr>
              <w:spacing w:line="240" w:lineRule="auto"/>
              <w:ind w:firstLine="0" w:firstLineChars="0"/>
              <w:jc w:val="center"/>
              <w:rPr>
                <w:rFonts w:cs="Times New Roman"/>
                <w:b/>
                <w:color w:val="auto"/>
                <w:sz w:val="21"/>
                <w:szCs w:val="21"/>
              </w:rPr>
            </w:pPr>
            <w:r>
              <w:rPr>
                <w:rFonts w:cs="Times New Roman"/>
                <w:b/>
                <w:color w:val="auto"/>
                <w:sz w:val="21"/>
                <w:szCs w:val="21"/>
              </w:rPr>
              <w:t>序号</w:t>
            </w:r>
          </w:p>
        </w:tc>
        <w:tc>
          <w:tcPr>
            <w:tcW w:w="2810" w:type="pct"/>
            <w:tcBorders>
              <w:top w:val="single" w:color="auto" w:sz="4" w:space="0"/>
              <w:left w:val="single" w:color="auto" w:sz="4" w:space="0"/>
              <w:bottom w:val="single" w:color="auto" w:sz="4" w:space="0"/>
              <w:right w:val="single" w:color="auto" w:sz="4" w:space="0"/>
            </w:tcBorders>
            <w:vAlign w:val="center"/>
          </w:tcPr>
          <w:p w14:paraId="613D12CE">
            <w:pPr>
              <w:spacing w:line="240" w:lineRule="auto"/>
              <w:ind w:firstLine="0" w:firstLineChars="0"/>
              <w:jc w:val="center"/>
              <w:rPr>
                <w:rFonts w:cs="Times New Roman"/>
                <w:b/>
                <w:color w:val="auto"/>
                <w:sz w:val="21"/>
                <w:szCs w:val="21"/>
              </w:rPr>
            </w:pPr>
            <w:r>
              <w:rPr>
                <w:rFonts w:cs="Times New Roman"/>
                <w:b/>
                <w:color w:val="auto"/>
                <w:sz w:val="21"/>
                <w:szCs w:val="21"/>
              </w:rPr>
              <w:t>项目</w:t>
            </w:r>
          </w:p>
        </w:tc>
        <w:tc>
          <w:tcPr>
            <w:tcW w:w="1489" w:type="pct"/>
            <w:tcBorders>
              <w:top w:val="single" w:color="auto" w:sz="4" w:space="0"/>
              <w:left w:val="single" w:color="auto" w:sz="4" w:space="0"/>
              <w:bottom w:val="single" w:color="auto" w:sz="4" w:space="0"/>
              <w:right w:val="single" w:color="auto" w:sz="4" w:space="0"/>
            </w:tcBorders>
            <w:vAlign w:val="center"/>
          </w:tcPr>
          <w:p w14:paraId="7F0741B3">
            <w:pPr>
              <w:spacing w:line="240" w:lineRule="auto"/>
              <w:ind w:firstLine="0" w:firstLineChars="0"/>
              <w:jc w:val="center"/>
              <w:rPr>
                <w:rFonts w:cs="Times New Roman"/>
                <w:b/>
                <w:color w:val="auto"/>
                <w:sz w:val="21"/>
                <w:szCs w:val="21"/>
              </w:rPr>
            </w:pPr>
            <w:r>
              <w:rPr>
                <w:rFonts w:cs="Times New Roman"/>
                <w:b/>
                <w:color w:val="auto"/>
                <w:sz w:val="21"/>
                <w:szCs w:val="21"/>
              </w:rPr>
              <w:t>Ⅲ类标准值</w:t>
            </w:r>
          </w:p>
        </w:tc>
      </w:tr>
      <w:tr w14:paraId="60BCA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75413F33">
            <w:pPr>
              <w:spacing w:line="240" w:lineRule="auto"/>
              <w:ind w:firstLine="0" w:firstLineChars="0"/>
              <w:jc w:val="center"/>
              <w:rPr>
                <w:rFonts w:cs="Times New Roman"/>
                <w:color w:val="auto"/>
                <w:sz w:val="21"/>
                <w:szCs w:val="21"/>
              </w:rPr>
            </w:pPr>
            <w:r>
              <w:rPr>
                <w:rFonts w:eastAsia="等线" w:cs="Times New Roman"/>
                <w:color w:val="auto"/>
                <w:sz w:val="21"/>
                <w:szCs w:val="21"/>
              </w:rPr>
              <w:t>1</w:t>
            </w:r>
          </w:p>
        </w:tc>
        <w:tc>
          <w:tcPr>
            <w:tcW w:w="2810" w:type="pct"/>
            <w:tcBorders>
              <w:top w:val="single" w:color="auto" w:sz="4" w:space="0"/>
              <w:left w:val="single" w:color="auto" w:sz="4" w:space="0"/>
              <w:bottom w:val="single" w:color="auto" w:sz="4" w:space="0"/>
              <w:right w:val="single" w:color="auto" w:sz="4" w:space="0"/>
            </w:tcBorders>
            <w:vAlign w:val="center"/>
          </w:tcPr>
          <w:p w14:paraId="63227E36">
            <w:pPr>
              <w:spacing w:line="240" w:lineRule="auto"/>
              <w:ind w:firstLine="0" w:firstLineChars="0"/>
              <w:jc w:val="center"/>
              <w:rPr>
                <w:rFonts w:cs="Times New Roman"/>
                <w:color w:val="auto"/>
                <w:sz w:val="21"/>
                <w:szCs w:val="21"/>
              </w:rPr>
            </w:pPr>
            <w:r>
              <w:rPr>
                <w:rFonts w:cs="Times New Roman"/>
                <w:color w:val="auto"/>
                <w:sz w:val="21"/>
                <w:szCs w:val="21"/>
              </w:rPr>
              <w:t>pH值</w:t>
            </w:r>
          </w:p>
        </w:tc>
        <w:tc>
          <w:tcPr>
            <w:tcW w:w="1489" w:type="pct"/>
            <w:tcBorders>
              <w:top w:val="single" w:color="auto" w:sz="4" w:space="0"/>
              <w:left w:val="single" w:color="auto" w:sz="4" w:space="0"/>
              <w:bottom w:val="single" w:color="auto" w:sz="4" w:space="0"/>
              <w:right w:val="single" w:color="auto" w:sz="4" w:space="0"/>
            </w:tcBorders>
            <w:vAlign w:val="center"/>
          </w:tcPr>
          <w:p w14:paraId="3D50D308">
            <w:pPr>
              <w:spacing w:line="240" w:lineRule="auto"/>
              <w:ind w:firstLine="0" w:firstLineChars="0"/>
              <w:jc w:val="center"/>
              <w:rPr>
                <w:rFonts w:cs="Times New Roman"/>
                <w:color w:val="auto"/>
                <w:sz w:val="21"/>
                <w:szCs w:val="21"/>
              </w:rPr>
            </w:pPr>
            <w:r>
              <w:rPr>
                <w:rFonts w:cs="Times New Roman"/>
                <w:color w:val="auto"/>
                <w:sz w:val="21"/>
                <w:szCs w:val="21"/>
              </w:rPr>
              <w:t>6.5≤pH≤8.5</w:t>
            </w:r>
          </w:p>
        </w:tc>
      </w:tr>
      <w:tr w14:paraId="6155E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40293080">
            <w:pPr>
              <w:spacing w:line="240" w:lineRule="auto"/>
              <w:ind w:firstLine="0" w:firstLineChars="0"/>
              <w:jc w:val="center"/>
              <w:rPr>
                <w:rFonts w:cs="Times New Roman"/>
                <w:color w:val="auto"/>
                <w:sz w:val="21"/>
                <w:szCs w:val="21"/>
              </w:rPr>
            </w:pPr>
            <w:r>
              <w:rPr>
                <w:rFonts w:eastAsia="等线" w:cs="Times New Roman"/>
                <w:color w:val="auto"/>
                <w:sz w:val="21"/>
                <w:szCs w:val="21"/>
              </w:rPr>
              <w:t>2</w:t>
            </w:r>
          </w:p>
        </w:tc>
        <w:tc>
          <w:tcPr>
            <w:tcW w:w="2810" w:type="pct"/>
            <w:tcBorders>
              <w:top w:val="single" w:color="auto" w:sz="4" w:space="0"/>
              <w:left w:val="single" w:color="auto" w:sz="4" w:space="0"/>
              <w:bottom w:val="single" w:color="auto" w:sz="4" w:space="0"/>
              <w:right w:val="single" w:color="auto" w:sz="4" w:space="0"/>
            </w:tcBorders>
            <w:vAlign w:val="center"/>
          </w:tcPr>
          <w:p w14:paraId="07368382">
            <w:pPr>
              <w:spacing w:line="240" w:lineRule="auto"/>
              <w:ind w:firstLine="0" w:firstLineChars="0"/>
              <w:jc w:val="center"/>
              <w:rPr>
                <w:rFonts w:cs="Times New Roman"/>
                <w:color w:val="auto"/>
                <w:sz w:val="21"/>
                <w:szCs w:val="21"/>
              </w:rPr>
            </w:pPr>
            <w:r>
              <w:rPr>
                <w:rFonts w:cs="Times New Roman"/>
                <w:color w:val="auto"/>
                <w:sz w:val="21"/>
                <w:szCs w:val="21"/>
              </w:rPr>
              <w:t>总硬度（以CaCO</w:t>
            </w:r>
            <w:r>
              <w:rPr>
                <w:rFonts w:cs="Times New Roman"/>
                <w:color w:val="auto"/>
                <w:sz w:val="21"/>
                <w:szCs w:val="21"/>
                <w:vertAlign w:val="subscript"/>
              </w:rPr>
              <w:t>3</w:t>
            </w:r>
            <w:r>
              <w:rPr>
                <w:rFonts w:cs="Times New Roman"/>
                <w:color w:val="auto"/>
                <w:sz w:val="21"/>
                <w:szCs w:val="21"/>
              </w:rPr>
              <w:t>计）</w:t>
            </w:r>
          </w:p>
        </w:tc>
        <w:tc>
          <w:tcPr>
            <w:tcW w:w="1489" w:type="pct"/>
            <w:tcBorders>
              <w:top w:val="single" w:color="auto" w:sz="4" w:space="0"/>
              <w:left w:val="single" w:color="auto" w:sz="4" w:space="0"/>
              <w:bottom w:val="single" w:color="auto" w:sz="4" w:space="0"/>
              <w:right w:val="single" w:color="auto" w:sz="4" w:space="0"/>
            </w:tcBorders>
            <w:vAlign w:val="center"/>
          </w:tcPr>
          <w:p w14:paraId="515FC002">
            <w:pPr>
              <w:spacing w:line="240" w:lineRule="auto"/>
              <w:ind w:firstLine="0" w:firstLineChars="0"/>
              <w:jc w:val="center"/>
              <w:rPr>
                <w:rFonts w:cs="Times New Roman"/>
                <w:color w:val="auto"/>
                <w:sz w:val="21"/>
                <w:szCs w:val="21"/>
              </w:rPr>
            </w:pPr>
            <w:r>
              <w:rPr>
                <w:rFonts w:cs="Times New Roman"/>
                <w:color w:val="auto"/>
                <w:sz w:val="21"/>
                <w:szCs w:val="21"/>
              </w:rPr>
              <w:t>≤450</w:t>
            </w:r>
          </w:p>
        </w:tc>
      </w:tr>
      <w:tr w14:paraId="1E324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37613B83">
            <w:pPr>
              <w:spacing w:line="240" w:lineRule="auto"/>
              <w:ind w:firstLine="0" w:firstLineChars="0"/>
              <w:jc w:val="center"/>
              <w:rPr>
                <w:rFonts w:cs="Times New Roman"/>
                <w:color w:val="auto"/>
                <w:sz w:val="21"/>
                <w:szCs w:val="21"/>
              </w:rPr>
            </w:pPr>
            <w:r>
              <w:rPr>
                <w:rFonts w:eastAsia="等线" w:cs="Times New Roman"/>
                <w:color w:val="auto"/>
                <w:sz w:val="21"/>
                <w:szCs w:val="21"/>
              </w:rPr>
              <w:t>3</w:t>
            </w:r>
          </w:p>
        </w:tc>
        <w:tc>
          <w:tcPr>
            <w:tcW w:w="2810" w:type="pct"/>
            <w:tcBorders>
              <w:top w:val="single" w:color="auto" w:sz="4" w:space="0"/>
              <w:left w:val="single" w:color="auto" w:sz="4" w:space="0"/>
              <w:bottom w:val="single" w:color="auto" w:sz="4" w:space="0"/>
              <w:right w:val="single" w:color="auto" w:sz="4" w:space="0"/>
            </w:tcBorders>
            <w:vAlign w:val="center"/>
          </w:tcPr>
          <w:p w14:paraId="2834E8B5">
            <w:pPr>
              <w:spacing w:line="240" w:lineRule="auto"/>
              <w:ind w:firstLine="0" w:firstLineChars="0"/>
              <w:jc w:val="center"/>
              <w:rPr>
                <w:rFonts w:cs="Times New Roman"/>
                <w:color w:val="auto"/>
                <w:sz w:val="21"/>
                <w:szCs w:val="21"/>
              </w:rPr>
            </w:pPr>
            <w:r>
              <w:rPr>
                <w:rFonts w:cs="Times New Roman"/>
                <w:color w:val="auto"/>
                <w:sz w:val="21"/>
                <w:szCs w:val="21"/>
              </w:rPr>
              <w:t>溶解性总固体</w:t>
            </w:r>
          </w:p>
        </w:tc>
        <w:tc>
          <w:tcPr>
            <w:tcW w:w="1489" w:type="pct"/>
            <w:tcBorders>
              <w:top w:val="single" w:color="auto" w:sz="4" w:space="0"/>
              <w:left w:val="single" w:color="auto" w:sz="4" w:space="0"/>
              <w:bottom w:val="single" w:color="auto" w:sz="4" w:space="0"/>
              <w:right w:val="single" w:color="auto" w:sz="4" w:space="0"/>
            </w:tcBorders>
            <w:vAlign w:val="center"/>
          </w:tcPr>
          <w:p w14:paraId="10D0329C">
            <w:pPr>
              <w:spacing w:line="240" w:lineRule="auto"/>
              <w:ind w:firstLine="0" w:firstLineChars="0"/>
              <w:jc w:val="center"/>
              <w:rPr>
                <w:rFonts w:cs="Times New Roman"/>
                <w:color w:val="auto"/>
                <w:sz w:val="21"/>
                <w:szCs w:val="21"/>
              </w:rPr>
            </w:pPr>
            <w:r>
              <w:rPr>
                <w:rFonts w:cs="Times New Roman"/>
                <w:color w:val="auto"/>
                <w:sz w:val="21"/>
                <w:szCs w:val="21"/>
              </w:rPr>
              <w:t>≤1000</w:t>
            </w:r>
          </w:p>
        </w:tc>
      </w:tr>
      <w:tr w14:paraId="7BC00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0B2A8B17">
            <w:pPr>
              <w:spacing w:line="240" w:lineRule="auto"/>
              <w:ind w:firstLine="0" w:firstLineChars="0"/>
              <w:jc w:val="center"/>
              <w:rPr>
                <w:rFonts w:cs="Times New Roman"/>
                <w:color w:val="auto"/>
                <w:sz w:val="21"/>
                <w:szCs w:val="21"/>
              </w:rPr>
            </w:pPr>
            <w:r>
              <w:rPr>
                <w:rFonts w:eastAsia="等线" w:cs="Times New Roman"/>
                <w:color w:val="auto"/>
                <w:sz w:val="21"/>
                <w:szCs w:val="21"/>
              </w:rPr>
              <w:t>4</w:t>
            </w:r>
          </w:p>
        </w:tc>
        <w:tc>
          <w:tcPr>
            <w:tcW w:w="2810" w:type="pct"/>
            <w:tcBorders>
              <w:top w:val="single" w:color="auto" w:sz="4" w:space="0"/>
              <w:left w:val="single" w:color="auto" w:sz="4" w:space="0"/>
              <w:bottom w:val="single" w:color="auto" w:sz="4" w:space="0"/>
              <w:right w:val="single" w:color="auto" w:sz="4" w:space="0"/>
            </w:tcBorders>
            <w:vAlign w:val="center"/>
          </w:tcPr>
          <w:p w14:paraId="7A269B03">
            <w:pPr>
              <w:spacing w:line="240" w:lineRule="auto"/>
              <w:ind w:firstLine="0" w:firstLineChars="0"/>
              <w:jc w:val="center"/>
              <w:rPr>
                <w:rFonts w:cs="Times New Roman"/>
                <w:color w:val="auto"/>
                <w:sz w:val="21"/>
                <w:szCs w:val="21"/>
              </w:rPr>
            </w:pPr>
            <w:r>
              <w:rPr>
                <w:rFonts w:cs="Times New Roman"/>
                <w:color w:val="auto"/>
                <w:sz w:val="21"/>
                <w:szCs w:val="21"/>
              </w:rPr>
              <w:t>铜</w:t>
            </w:r>
          </w:p>
        </w:tc>
        <w:tc>
          <w:tcPr>
            <w:tcW w:w="1489" w:type="pct"/>
            <w:tcBorders>
              <w:top w:val="single" w:color="auto" w:sz="4" w:space="0"/>
              <w:left w:val="single" w:color="auto" w:sz="4" w:space="0"/>
              <w:bottom w:val="single" w:color="auto" w:sz="4" w:space="0"/>
              <w:right w:val="single" w:color="auto" w:sz="4" w:space="0"/>
            </w:tcBorders>
            <w:vAlign w:val="center"/>
          </w:tcPr>
          <w:p w14:paraId="3615C1FE">
            <w:pPr>
              <w:spacing w:line="240" w:lineRule="auto"/>
              <w:ind w:firstLine="0" w:firstLineChars="0"/>
              <w:jc w:val="center"/>
              <w:rPr>
                <w:rFonts w:cs="Times New Roman"/>
                <w:color w:val="auto"/>
                <w:sz w:val="21"/>
                <w:szCs w:val="21"/>
              </w:rPr>
            </w:pPr>
            <w:r>
              <w:rPr>
                <w:rFonts w:cs="Times New Roman"/>
                <w:color w:val="auto"/>
                <w:sz w:val="21"/>
                <w:szCs w:val="21"/>
              </w:rPr>
              <w:t>≤1.00</w:t>
            </w:r>
          </w:p>
        </w:tc>
      </w:tr>
      <w:tr w14:paraId="45BE8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1139B112">
            <w:pPr>
              <w:spacing w:line="240" w:lineRule="auto"/>
              <w:ind w:firstLine="0" w:firstLineChars="0"/>
              <w:jc w:val="center"/>
              <w:rPr>
                <w:rFonts w:cs="Times New Roman"/>
                <w:color w:val="auto"/>
                <w:sz w:val="21"/>
                <w:szCs w:val="21"/>
              </w:rPr>
            </w:pPr>
            <w:r>
              <w:rPr>
                <w:rFonts w:eastAsia="等线" w:cs="Times New Roman"/>
                <w:color w:val="auto"/>
                <w:sz w:val="21"/>
                <w:szCs w:val="21"/>
              </w:rPr>
              <w:t>5</w:t>
            </w:r>
          </w:p>
        </w:tc>
        <w:tc>
          <w:tcPr>
            <w:tcW w:w="2810" w:type="pct"/>
            <w:tcBorders>
              <w:top w:val="single" w:color="auto" w:sz="4" w:space="0"/>
              <w:left w:val="single" w:color="auto" w:sz="4" w:space="0"/>
              <w:bottom w:val="single" w:color="auto" w:sz="4" w:space="0"/>
              <w:right w:val="single" w:color="auto" w:sz="4" w:space="0"/>
            </w:tcBorders>
          </w:tcPr>
          <w:p w14:paraId="6D4AC84B">
            <w:pPr>
              <w:spacing w:line="240" w:lineRule="auto"/>
              <w:ind w:firstLine="0" w:firstLineChars="0"/>
              <w:jc w:val="center"/>
              <w:rPr>
                <w:rFonts w:cs="Times New Roman"/>
                <w:color w:val="auto"/>
                <w:sz w:val="21"/>
                <w:szCs w:val="21"/>
              </w:rPr>
            </w:pPr>
            <w:r>
              <w:rPr>
                <w:rFonts w:cs="Times New Roman"/>
                <w:color w:val="auto"/>
                <w:sz w:val="21"/>
                <w:szCs w:val="21"/>
              </w:rPr>
              <w:t>锌</w:t>
            </w:r>
          </w:p>
        </w:tc>
        <w:tc>
          <w:tcPr>
            <w:tcW w:w="1489" w:type="pct"/>
            <w:tcBorders>
              <w:top w:val="single" w:color="auto" w:sz="4" w:space="0"/>
              <w:left w:val="single" w:color="auto" w:sz="4" w:space="0"/>
              <w:bottom w:val="single" w:color="auto" w:sz="4" w:space="0"/>
              <w:right w:val="single" w:color="auto" w:sz="4" w:space="0"/>
            </w:tcBorders>
          </w:tcPr>
          <w:p w14:paraId="68F2CD65">
            <w:pPr>
              <w:spacing w:line="240" w:lineRule="auto"/>
              <w:ind w:firstLine="0" w:firstLineChars="0"/>
              <w:jc w:val="center"/>
              <w:rPr>
                <w:rFonts w:cs="Times New Roman"/>
                <w:color w:val="auto"/>
                <w:sz w:val="21"/>
                <w:szCs w:val="21"/>
              </w:rPr>
            </w:pPr>
            <w:r>
              <w:rPr>
                <w:rFonts w:cs="Times New Roman"/>
                <w:color w:val="auto"/>
                <w:sz w:val="21"/>
                <w:szCs w:val="21"/>
              </w:rPr>
              <w:t>≤1.00</w:t>
            </w:r>
          </w:p>
        </w:tc>
      </w:tr>
      <w:tr w14:paraId="52EC9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39789402">
            <w:pPr>
              <w:spacing w:line="240" w:lineRule="auto"/>
              <w:ind w:firstLine="0" w:firstLineChars="0"/>
              <w:jc w:val="center"/>
              <w:rPr>
                <w:rFonts w:cs="Times New Roman"/>
                <w:color w:val="auto"/>
                <w:sz w:val="21"/>
                <w:szCs w:val="21"/>
              </w:rPr>
            </w:pPr>
            <w:r>
              <w:rPr>
                <w:rFonts w:eastAsia="等线" w:cs="Times New Roman"/>
                <w:color w:val="auto"/>
                <w:sz w:val="21"/>
                <w:szCs w:val="21"/>
              </w:rPr>
              <w:t>6</w:t>
            </w:r>
          </w:p>
        </w:tc>
        <w:tc>
          <w:tcPr>
            <w:tcW w:w="2810" w:type="pct"/>
            <w:tcBorders>
              <w:top w:val="single" w:color="auto" w:sz="4" w:space="0"/>
              <w:left w:val="single" w:color="auto" w:sz="4" w:space="0"/>
              <w:bottom w:val="single" w:color="auto" w:sz="4" w:space="0"/>
              <w:right w:val="single" w:color="auto" w:sz="4" w:space="0"/>
            </w:tcBorders>
            <w:vAlign w:val="center"/>
          </w:tcPr>
          <w:p w14:paraId="61D2D18A">
            <w:pPr>
              <w:spacing w:line="240" w:lineRule="auto"/>
              <w:ind w:firstLine="0" w:firstLineChars="0"/>
              <w:jc w:val="center"/>
              <w:rPr>
                <w:rFonts w:cs="Times New Roman"/>
                <w:color w:val="auto"/>
                <w:sz w:val="21"/>
                <w:szCs w:val="21"/>
              </w:rPr>
            </w:pPr>
            <w:r>
              <w:rPr>
                <w:rFonts w:cs="Times New Roman"/>
                <w:color w:val="auto"/>
                <w:sz w:val="21"/>
                <w:szCs w:val="21"/>
              </w:rPr>
              <w:t>挥发性酚类（以苯酚计）</w:t>
            </w:r>
          </w:p>
        </w:tc>
        <w:tc>
          <w:tcPr>
            <w:tcW w:w="1489" w:type="pct"/>
            <w:tcBorders>
              <w:top w:val="single" w:color="auto" w:sz="4" w:space="0"/>
              <w:left w:val="single" w:color="auto" w:sz="4" w:space="0"/>
              <w:bottom w:val="single" w:color="auto" w:sz="4" w:space="0"/>
              <w:right w:val="single" w:color="auto" w:sz="4" w:space="0"/>
            </w:tcBorders>
            <w:vAlign w:val="center"/>
          </w:tcPr>
          <w:p w14:paraId="6FBD798A">
            <w:pPr>
              <w:spacing w:line="240" w:lineRule="auto"/>
              <w:ind w:firstLine="0" w:firstLineChars="0"/>
              <w:jc w:val="center"/>
              <w:rPr>
                <w:rFonts w:cs="Times New Roman"/>
                <w:color w:val="auto"/>
                <w:sz w:val="21"/>
                <w:szCs w:val="21"/>
              </w:rPr>
            </w:pPr>
            <w:r>
              <w:rPr>
                <w:rFonts w:cs="Times New Roman"/>
                <w:color w:val="auto"/>
                <w:sz w:val="21"/>
                <w:szCs w:val="21"/>
              </w:rPr>
              <w:t>≤0.002</w:t>
            </w:r>
          </w:p>
        </w:tc>
      </w:tr>
      <w:tr w14:paraId="6F905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5A7F74C8">
            <w:pPr>
              <w:spacing w:line="240" w:lineRule="auto"/>
              <w:ind w:firstLine="0" w:firstLineChars="0"/>
              <w:jc w:val="center"/>
              <w:rPr>
                <w:rFonts w:cs="Times New Roman"/>
                <w:color w:val="auto"/>
                <w:sz w:val="21"/>
                <w:szCs w:val="21"/>
              </w:rPr>
            </w:pPr>
            <w:r>
              <w:rPr>
                <w:rFonts w:eastAsia="等线" w:cs="Times New Roman"/>
                <w:color w:val="auto"/>
                <w:sz w:val="21"/>
                <w:szCs w:val="21"/>
              </w:rPr>
              <w:t>7</w:t>
            </w:r>
          </w:p>
        </w:tc>
        <w:tc>
          <w:tcPr>
            <w:tcW w:w="2810" w:type="pct"/>
            <w:tcBorders>
              <w:top w:val="single" w:color="auto" w:sz="4" w:space="0"/>
              <w:left w:val="single" w:color="auto" w:sz="4" w:space="0"/>
              <w:bottom w:val="single" w:color="auto" w:sz="4" w:space="0"/>
              <w:right w:val="single" w:color="auto" w:sz="4" w:space="0"/>
            </w:tcBorders>
            <w:vAlign w:val="center"/>
          </w:tcPr>
          <w:p w14:paraId="66B008B3">
            <w:pPr>
              <w:spacing w:line="240" w:lineRule="auto"/>
              <w:ind w:firstLine="0" w:firstLineChars="0"/>
              <w:jc w:val="center"/>
              <w:rPr>
                <w:rFonts w:cs="Times New Roman"/>
                <w:color w:val="auto"/>
                <w:sz w:val="21"/>
                <w:szCs w:val="21"/>
              </w:rPr>
            </w:pPr>
            <w:r>
              <w:rPr>
                <w:rFonts w:cs="Times New Roman"/>
                <w:color w:val="auto"/>
                <w:sz w:val="21"/>
                <w:szCs w:val="21"/>
              </w:rPr>
              <w:t>耗氧量（COD</w:t>
            </w:r>
            <w:r>
              <w:rPr>
                <w:rFonts w:cs="Times New Roman"/>
                <w:color w:val="auto"/>
                <w:sz w:val="21"/>
                <w:szCs w:val="21"/>
                <w:vertAlign w:val="subscript"/>
              </w:rPr>
              <w:t>Mn</w:t>
            </w:r>
            <w:r>
              <w:rPr>
                <w:rFonts w:cs="Times New Roman"/>
                <w:color w:val="auto"/>
                <w:sz w:val="21"/>
                <w:szCs w:val="21"/>
              </w:rPr>
              <w:t>法，以O</w:t>
            </w:r>
            <w:r>
              <w:rPr>
                <w:rFonts w:cs="Times New Roman"/>
                <w:color w:val="auto"/>
                <w:sz w:val="21"/>
                <w:szCs w:val="21"/>
                <w:vertAlign w:val="subscript"/>
              </w:rPr>
              <w:t>2</w:t>
            </w:r>
            <w:r>
              <w:rPr>
                <w:rFonts w:cs="Times New Roman"/>
                <w:color w:val="auto"/>
                <w:sz w:val="21"/>
                <w:szCs w:val="21"/>
              </w:rPr>
              <w:t>计）</w:t>
            </w:r>
          </w:p>
        </w:tc>
        <w:tc>
          <w:tcPr>
            <w:tcW w:w="1489" w:type="pct"/>
            <w:tcBorders>
              <w:top w:val="single" w:color="auto" w:sz="4" w:space="0"/>
              <w:left w:val="single" w:color="auto" w:sz="4" w:space="0"/>
              <w:bottom w:val="single" w:color="auto" w:sz="4" w:space="0"/>
              <w:right w:val="single" w:color="auto" w:sz="4" w:space="0"/>
            </w:tcBorders>
            <w:vAlign w:val="center"/>
          </w:tcPr>
          <w:p w14:paraId="0A4AB863">
            <w:pPr>
              <w:spacing w:line="240" w:lineRule="auto"/>
              <w:ind w:firstLine="0" w:firstLineChars="0"/>
              <w:jc w:val="center"/>
              <w:rPr>
                <w:rFonts w:cs="Times New Roman"/>
                <w:color w:val="auto"/>
                <w:sz w:val="21"/>
                <w:szCs w:val="21"/>
              </w:rPr>
            </w:pPr>
            <w:r>
              <w:rPr>
                <w:rFonts w:cs="Times New Roman"/>
                <w:color w:val="auto"/>
                <w:sz w:val="21"/>
                <w:szCs w:val="21"/>
              </w:rPr>
              <w:t>≤3.0</w:t>
            </w:r>
          </w:p>
        </w:tc>
      </w:tr>
      <w:tr w14:paraId="323D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104D655B">
            <w:pPr>
              <w:spacing w:line="240" w:lineRule="auto"/>
              <w:ind w:firstLine="0" w:firstLineChars="0"/>
              <w:jc w:val="center"/>
              <w:rPr>
                <w:rFonts w:cs="Times New Roman"/>
                <w:color w:val="auto"/>
                <w:sz w:val="21"/>
                <w:szCs w:val="21"/>
              </w:rPr>
            </w:pPr>
            <w:r>
              <w:rPr>
                <w:rFonts w:eastAsia="等线" w:cs="Times New Roman"/>
                <w:color w:val="auto"/>
                <w:sz w:val="21"/>
                <w:szCs w:val="21"/>
              </w:rPr>
              <w:t>8</w:t>
            </w:r>
          </w:p>
        </w:tc>
        <w:tc>
          <w:tcPr>
            <w:tcW w:w="2810" w:type="pct"/>
            <w:tcBorders>
              <w:top w:val="single" w:color="auto" w:sz="4" w:space="0"/>
              <w:left w:val="single" w:color="auto" w:sz="4" w:space="0"/>
              <w:bottom w:val="single" w:color="auto" w:sz="4" w:space="0"/>
              <w:right w:val="single" w:color="auto" w:sz="4" w:space="0"/>
            </w:tcBorders>
            <w:vAlign w:val="center"/>
          </w:tcPr>
          <w:p w14:paraId="04361420">
            <w:pPr>
              <w:spacing w:line="240" w:lineRule="auto"/>
              <w:ind w:firstLine="0" w:firstLineChars="0"/>
              <w:jc w:val="center"/>
              <w:rPr>
                <w:rFonts w:cs="Times New Roman"/>
                <w:color w:val="auto"/>
                <w:sz w:val="21"/>
                <w:szCs w:val="21"/>
              </w:rPr>
            </w:pPr>
            <w:r>
              <w:rPr>
                <w:rFonts w:cs="Times New Roman"/>
                <w:color w:val="auto"/>
                <w:sz w:val="21"/>
                <w:szCs w:val="21"/>
              </w:rPr>
              <w:t>硝酸盐（以N计）</w:t>
            </w:r>
          </w:p>
        </w:tc>
        <w:tc>
          <w:tcPr>
            <w:tcW w:w="1489" w:type="pct"/>
            <w:tcBorders>
              <w:top w:val="single" w:color="auto" w:sz="4" w:space="0"/>
              <w:left w:val="single" w:color="auto" w:sz="4" w:space="0"/>
              <w:bottom w:val="single" w:color="auto" w:sz="4" w:space="0"/>
              <w:right w:val="single" w:color="auto" w:sz="4" w:space="0"/>
            </w:tcBorders>
            <w:vAlign w:val="center"/>
          </w:tcPr>
          <w:p w14:paraId="29AECEB7">
            <w:pPr>
              <w:spacing w:line="240" w:lineRule="auto"/>
              <w:ind w:firstLine="0" w:firstLineChars="0"/>
              <w:jc w:val="center"/>
              <w:rPr>
                <w:rFonts w:cs="Times New Roman"/>
                <w:color w:val="auto"/>
                <w:sz w:val="21"/>
                <w:szCs w:val="21"/>
              </w:rPr>
            </w:pPr>
            <w:r>
              <w:rPr>
                <w:rFonts w:cs="Times New Roman"/>
                <w:color w:val="auto"/>
                <w:sz w:val="21"/>
                <w:szCs w:val="21"/>
              </w:rPr>
              <w:t>≤20.0</w:t>
            </w:r>
          </w:p>
        </w:tc>
      </w:tr>
      <w:tr w14:paraId="57070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6D1E0B57">
            <w:pPr>
              <w:spacing w:line="240" w:lineRule="auto"/>
              <w:ind w:firstLine="0" w:firstLineChars="0"/>
              <w:jc w:val="center"/>
              <w:rPr>
                <w:rFonts w:cs="Times New Roman"/>
                <w:color w:val="auto"/>
                <w:sz w:val="21"/>
                <w:szCs w:val="21"/>
              </w:rPr>
            </w:pPr>
            <w:r>
              <w:rPr>
                <w:rFonts w:eastAsia="等线" w:cs="Times New Roman"/>
                <w:color w:val="auto"/>
                <w:sz w:val="21"/>
                <w:szCs w:val="21"/>
              </w:rPr>
              <w:t>9</w:t>
            </w:r>
          </w:p>
        </w:tc>
        <w:tc>
          <w:tcPr>
            <w:tcW w:w="2810" w:type="pct"/>
            <w:tcBorders>
              <w:top w:val="single" w:color="auto" w:sz="4" w:space="0"/>
              <w:left w:val="single" w:color="auto" w:sz="4" w:space="0"/>
              <w:bottom w:val="single" w:color="auto" w:sz="4" w:space="0"/>
              <w:right w:val="single" w:color="auto" w:sz="4" w:space="0"/>
            </w:tcBorders>
            <w:vAlign w:val="center"/>
          </w:tcPr>
          <w:p w14:paraId="34A5EA8A">
            <w:pPr>
              <w:spacing w:line="240" w:lineRule="auto"/>
              <w:ind w:firstLine="0" w:firstLineChars="0"/>
              <w:jc w:val="center"/>
              <w:rPr>
                <w:rFonts w:cs="Times New Roman"/>
                <w:color w:val="auto"/>
                <w:sz w:val="21"/>
                <w:szCs w:val="21"/>
              </w:rPr>
            </w:pPr>
            <w:r>
              <w:rPr>
                <w:rFonts w:cs="Times New Roman"/>
                <w:color w:val="auto"/>
                <w:sz w:val="21"/>
                <w:szCs w:val="21"/>
              </w:rPr>
              <w:t>亚硝酸盐（以N计）</w:t>
            </w:r>
          </w:p>
        </w:tc>
        <w:tc>
          <w:tcPr>
            <w:tcW w:w="1489" w:type="pct"/>
            <w:tcBorders>
              <w:top w:val="single" w:color="auto" w:sz="4" w:space="0"/>
              <w:left w:val="single" w:color="auto" w:sz="4" w:space="0"/>
              <w:bottom w:val="single" w:color="auto" w:sz="4" w:space="0"/>
              <w:right w:val="single" w:color="auto" w:sz="4" w:space="0"/>
            </w:tcBorders>
            <w:vAlign w:val="center"/>
          </w:tcPr>
          <w:p w14:paraId="5C237331">
            <w:pPr>
              <w:spacing w:line="240" w:lineRule="auto"/>
              <w:ind w:firstLine="0" w:firstLineChars="0"/>
              <w:jc w:val="center"/>
              <w:rPr>
                <w:rFonts w:cs="Times New Roman"/>
                <w:color w:val="auto"/>
                <w:sz w:val="21"/>
                <w:szCs w:val="21"/>
              </w:rPr>
            </w:pPr>
            <w:r>
              <w:rPr>
                <w:rFonts w:cs="Times New Roman"/>
                <w:color w:val="auto"/>
                <w:sz w:val="21"/>
                <w:szCs w:val="21"/>
              </w:rPr>
              <w:t>≤1.00</w:t>
            </w:r>
          </w:p>
        </w:tc>
      </w:tr>
      <w:tr w14:paraId="4A641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44C1F79E">
            <w:pPr>
              <w:spacing w:line="240" w:lineRule="auto"/>
              <w:ind w:firstLine="0" w:firstLineChars="0"/>
              <w:jc w:val="center"/>
              <w:rPr>
                <w:rFonts w:cs="Times New Roman"/>
                <w:color w:val="auto"/>
                <w:sz w:val="21"/>
                <w:szCs w:val="21"/>
              </w:rPr>
            </w:pPr>
            <w:r>
              <w:rPr>
                <w:rFonts w:eastAsia="等线" w:cs="Times New Roman"/>
                <w:color w:val="auto"/>
                <w:sz w:val="21"/>
                <w:szCs w:val="21"/>
              </w:rPr>
              <w:t>10</w:t>
            </w:r>
          </w:p>
        </w:tc>
        <w:tc>
          <w:tcPr>
            <w:tcW w:w="2810" w:type="pct"/>
            <w:tcBorders>
              <w:top w:val="single" w:color="auto" w:sz="4" w:space="0"/>
              <w:left w:val="single" w:color="auto" w:sz="4" w:space="0"/>
              <w:bottom w:val="single" w:color="auto" w:sz="4" w:space="0"/>
              <w:right w:val="single" w:color="auto" w:sz="4" w:space="0"/>
            </w:tcBorders>
            <w:vAlign w:val="center"/>
          </w:tcPr>
          <w:p w14:paraId="604537D2">
            <w:pPr>
              <w:spacing w:line="240" w:lineRule="auto"/>
              <w:ind w:firstLine="0" w:firstLineChars="0"/>
              <w:jc w:val="center"/>
              <w:rPr>
                <w:rFonts w:cs="Times New Roman"/>
                <w:color w:val="auto"/>
                <w:sz w:val="21"/>
                <w:szCs w:val="21"/>
              </w:rPr>
            </w:pPr>
            <w:r>
              <w:rPr>
                <w:rFonts w:cs="Times New Roman"/>
                <w:color w:val="auto"/>
                <w:sz w:val="21"/>
                <w:szCs w:val="21"/>
              </w:rPr>
              <w:t>氨氮</w:t>
            </w:r>
          </w:p>
        </w:tc>
        <w:tc>
          <w:tcPr>
            <w:tcW w:w="1489" w:type="pct"/>
            <w:tcBorders>
              <w:top w:val="single" w:color="auto" w:sz="4" w:space="0"/>
              <w:left w:val="single" w:color="auto" w:sz="4" w:space="0"/>
              <w:bottom w:val="single" w:color="auto" w:sz="4" w:space="0"/>
              <w:right w:val="single" w:color="auto" w:sz="4" w:space="0"/>
            </w:tcBorders>
            <w:vAlign w:val="center"/>
          </w:tcPr>
          <w:p w14:paraId="5A7B61CF">
            <w:pPr>
              <w:spacing w:line="240" w:lineRule="auto"/>
              <w:ind w:firstLine="0" w:firstLineChars="0"/>
              <w:jc w:val="center"/>
              <w:rPr>
                <w:rFonts w:cs="Times New Roman"/>
                <w:color w:val="auto"/>
                <w:sz w:val="21"/>
                <w:szCs w:val="21"/>
              </w:rPr>
            </w:pPr>
            <w:r>
              <w:rPr>
                <w:rFonts w:cs="Times New Roman"/>
                <w:color w:val="auto"/>
                <w:sz w:val="21"/>
                <w:szCs w:val="21"/>
              </w:rPr>
              <w:t>≤0.5</w:t>
            </w:r>
          </w:p>
        </w:tc>
      </w:tr>
      <w:tr w14:paraId="09D4B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7D1EA29B">
            <w:pPr>
              <w:spacing w:line="240" w:lineRule="auto"/>
              <w:ind w:firstLine="0" w:firstLineChars="0"/>
              <w:jc w:val="center"/>
              <w:rPr>
                <w:rFonts w:cs="Times New Roman"/>
                <w:color w:val="auto"/>
                <w:sz w:val="21"/>
                <w:szCs w:val="21"/>
              </w:rPr>
            </w:pPr>
            <w:r>
              <w:rPr>
                <w:rFonts w:eastAsia="等线" w:cs="Times New Roman"/>
                <w:color w:val="auto"/>
                <w:sz w:val="21"/>
                <w:szCs w:val="21"/>
              </w:rPr>
              <w:t>11</w:t>
            </w:r>
          </w:p>
        </w:tc>
        <w:tc>
          <w:tcPr>
            <w:tcW w:w="2810" w:type="pct"/>
            <w:tcBorders>
              <w:top w:val="single" w:color="auto" w:sz="4" w:space="0"/>
              <w:left w:val="single" w:color="auto" w:sz="4" w:space="0"/>
              <w:bottom w:val="single" w:color="auto" w:sz="4" w:space="0"/>
              <w:right w:val="single" w:color="auto" w:sz="4" w:space="0"/>
            </w:tcBorders>
            <w:vAlign w:val="center"/>
          </w:tcPr>
          <w:p w14:paraId="1B50FD36">
            <w:pPr>
              <w:spacing w:line="240" w:lineRule="auto"/>
              <w:ind w:firstLine="0" w:firstLineChars="0"/>
              <w:jc w:val="center"/>
              <w:rPr>
                <w:rFonts w:cs="Times New Roman"/>
                <w:color w:val="auto"/>
                <w:sz w:val="21"/>
                <w:szCs w:val="21"/>
              </w:rPr>
            </w:pPr>
            <w:r>
              <w:rPr>
                <w:rFonts w:cs="Times New Roman"/>
                <w:color w:val="auto"/>
                <w:sz w:val="21"/>
                <w:szCs w:val="21"/>
              </w:rPr>
              <w:t>氟化物</w:t>
            </w:r>
          </w:p>
        </w:tc>
        <w:tc>
          <w:tcPr>
            <w:tcW w:w="1489" w:type="pct"/>
            <w:tcBorders>
              <w:top w:val="single" w:color="auto" w:sz="4" w:space="0"/>
              <w:left w:val="single" w:color="auto" w:sz="4" w:space="0"/>
              <w:bottom w:val="single" w:color="auto" w:sz="4" w:space="0"/>
              <w:right w:val="single" w:color="auto" w:sz="4" w:space="0"/>
            </w:tcBorders>
            <w:vAlign w:val="center"/>
          </w:tcPr>
          <w:p w14:paraId="0D0EBF7C">
            <w:pPr>
              <w:spacing w:line="240" w:lineRule="auto"/>
              <w:ind w:firstLine="0" w:firstLineChars="0"/>
              <w:jc w:val="center"/>
              <w:rPr>
                <w:rFonts w:cs="Times New Roman"/>
                <w:color w:val="auto"/>
                <w:sz w:val="21"/>
                <w:szCs w:val="21"/>
              </w:rPr>
            </w:pPr>
            <w:r>
              <w:rPr>
                <w:rFonts w:cs="Times New Roman"/>
                <w:color w:val="auto"/>
                <w:sz w:val="21"/>
                <w:szCs w:val="21"/>
              </w:rPr>
              <w:t>≤1.0</w:t>
            </w:r>
          </w:p>
        </w:tc>
      </w:tr>
      <w:tr w14:paraId="3D420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410C8B19">
            <w:pPr>
              <w:spacing w:line="240" w:lineRule="auto"/>
              <w:ind w:firstLine="0" w:firstLineChars="0"/>
              <w:jc w:val="center"/>
              <w:rPr>
                <w:rFonts w:cs="Times New Roman"/>
                <w:color w:val="auto"/>
                <w:sz w:val="21"/>
                <w:szCs w:val="21"/>
              </w:rPr>
            </w:pPr>
            <w:r>
              <w:rPr>
                <w:rFonts w:eastAsia="等线" w:cs="Times New Roman"/>
                <w:color w:val="auto"/>
                <w:sz w:val="21"/>
                <w:szCs w:val="21"/>
              </w:rPr>
              <w:t>12</w:t>
            </w:r>
          </w:p>
        </w:tc>
        <w:tc>
          <w:tcPr>
            <w:tcW w:w="2810" w:type="pct"/>
            <w:tcBorders>
              <w:top w:val="single" w:color="auto" w:sz="4" w:space="0"/>
              <w:left w:val="single" w:color="auto" w:sz="4" w:space="0"/>
              <w:bottom w:val="single" w:color="auto" w:sz="4" w:space="0"/>
              <w:right w:val="single" w:color="auto" w:sz="4" w:space="0"/>
            </w:tcBorders>
            <w:vAlign w:val="center"/>
          </w:tcPr>
          <w:p w14:paraId="19411EE4">
            <w:pPr>
              <w:spacing w:line="240" w:lineRule="auto"/>
              <w:ind w:firstLine="0" w:firstLineChars="0"/>
              <w:jc w:val="center"/>
              <w:rPr>
                <w:rFonts w:cs="Times New Roman"/>
                <w:color w:val="auto"/>
                <w:sz w:val="21"/>
                <w:szCs w:val="21"/>
              </w:rPr>
            </w:pPr>
            <w:r>
              <w:rPr>
                <w:rFonts w:cs="Times New Roman"/>
                <w:color w:val="auto"/>
                <w:sz w:val="21"/>
                <w:szCs w:val="21"/>
              </w:rPr>
              <w:t>六价铬</w:t>
            </w:r>
          </w:p>
        </w:tc>
        <w:tc>
          <w:tcPr>
            <w:tcW w:w="1489" w:type="pct"/>
            <w:tcBorders>
              <w:top w:val="single" w:color="auto" w:sz="4" w:space="0"/>
              <w:left w:val="single" w:color="auto" w:sz="4" w:space="0"/>
              <w:bottom w:val="single" w:color="auto" w:sz="4" w:space="0"/>
              <w:right w:val="single" w:color="auto" w:sz="4" w:space="0"/>
            </w:tcBorders>
            <w:vAlign w:val="center"/>
          </w:tcPr>
          <w:p w14:paraId="724ADE60">
            <w:pPr>
              <w:spacing w:line="240" w:lineRule="auto"/>
              <w:ind w:firstLine="0" w:firstLineChars="0"/>
              <w:jc w:val="center"/>
              <w:rPr>
                <w:rFonts w:cs="Times New Roman"/>
                <w:color w:val="auto"/>
                <w:sz w:val="21"/>
                <w:szCs w:val="21"/>
              </w:rPr>
            </w:pPr>
            <w:r>
              <w:rPr>
                <w:rFonts w:cs="Times New Roman"/>
                <w:color w:val="auto"/>
                <w:sz w:val="21"/>
                <w:szCs w:val="21"/>
              </w:rPr>
              <w:t>≤0.05</w:t>
            </w:r>
          </w:p>
        </w:tc>
      </w:tr>
      <w:tr w14:paraId="415C8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29603638">
            <w:pPr>
              <w:spacing w:line="240" w:lineRule="auto"/>
              <w:ind w:firstLine="0" w:firstLineChars="0"/>
              <w:jc w:val="center"/>
              <w:rPr>
                <w:rFonts w:cs="Times New Roman"/>
                <w:color w:val="auto"/>
                <w:sz w:val="21"/>
                <w:szCs w:val="21"/>
              </w:rPr>
            </w:pPr>
            <w:r>
              <w:rPr>
                <w:rFonts w:eastAsia="等线" w:cs="Times New Roman"/>
                <w:color w:val="auto"/>
                <w:sz w:val="21"/>
                <w:szCs w:val="21"/>
              </w:rPr>
              <w:t>13</w:t>
            </w:r>
          </w:p>
        </w:tc>
        <w:tc>
          <w:tcPr>
            <w:tcW w:w="2810" w:type="pct"/>
            <w:tcBorders>
              <w:top w:val="single" w:color="auto" w:sz="4" w:space="0"/>
              <w:left w:val="single" w:color="auto" w:sz="4" w:space="0"/>
              <w:bottom w:val="single" w:color="auto" w:sz="4" w:space="0"/>
              <w:right w:val="single" w:color="auto" w:sz="4" w:space="0"/>
            </w:tcBorders>
            <w:vAlign w:val="center"/>
          </w:tcPr>
          <w:p w14:paraId="6B0CC76D">
            <w:pPr>
              <w:spacing w:line="240" w:lineRule="auto"/>
              <w:ind w:firstLine="0" w:firstLineChars="0"/>
              <w:jc w:val="center"/>
              <w:rPr>
                <w:rFonts w:cs="Times New Roman"/>
                <w:color w:val="auto"/>
                <w:sz w:val="21"/>
                <w:szCs w:val="21"/>
              </w:rPr>
            </w:pPr>
            <w:r>
              <w:rPr>
                <w:rFonts w:cs="Times New Roman"/>
                <w:color w:val="auto"/>
                <w:sz w:val="21"/>
                <w:szCs w:val="21"/>
              </w:rPr>
              <w:t>铅</w:t>
            </w:r>
          </w:p>
        </w:tc>
        <w:tc>
          <w:tcPr>
            <w:tcW w:w="1489" w:type="pct"/>
            <w:tcBorders>
              <w:top w:val="single" w:color="auto" w:sz="4" w:space="0"/>
              <w:left w:val="single" w:color="auto" w:sz="4" w:space="0"/>
              <w:bottom w:val="single" w:color="auto" w:sz="4" w:space="0"/>
              <w:right w:val="single" w:color="auto" w:sz="4" w:space="0"/>
            </w:tcBorders>
            <w:vAlign w:val="center"/>
          </w:tcPr>
          <w:p w14:paraId="644B8C91">
            <w:pPr>
              <w:spacing w:line="240" w:lineRule="auto"/>
              <w:ind w:firstLine="0" w:firstLineChars="0"/>
              <w:jc w:val="center"/>
              <w:rPr>
                <w:rFonts w:cs="Times New Roman"/>
                <w:color w:val="auto"/>
                <w:sz w:val="21"/>
                <w:szCs w:val="21"/>
              </w:rPr>
            </w:pPr>
            <w:r>
              <w:rPr>
                <w:rFonts w:cs="Times New Roman"/>
                <w:color w:val="auto"/>
                <w:sz w:val="21"/>
                <w:szCs w:val="21"/>
              </w:rPr>
              <w:t>≤0.01</w:t>
            </w:r>
          </w:p>
        </w:tc>
      </w:tr>
      <w:tr w14:paraId="4492A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169F583A">
            <w:pPr>
              <w:spacing w:line="240" w:lineRule="auto"/>
              <w:ind w:firstLine="0" w:firstLineChars="0"/>
              <w:jc w:val="center"/>
              <w:rPr>
                <w:rFonts w:cs="Times New Roman"/>
                <w:color w:val="auto"/>
                <w:sz w:val="21"/>
                <w:szCs w:val="21"/>
              </w:rPr>
            </w:pPr>
            <w:r>
              <w:rPr>
                <w:rFonts w:eastAsia="等线" w:cs="Times New Roman"/>
                <w:color w:val="auto"/>
                <w:sz w:val="21"/>
                <w:szCs w:val="21"/>
              </w:rPr>
              <w:t>14</w:t>
            </w:r>
          </w:p>
        </w:tc>
        <w:tc>
          <w:tcPr>
            <w:tcW w:w="2810" w:type="pct"/>
            <w:tcBorders>
              <w:top w:val="single" w:color="auto" w:sz="4" w:space="0"/>
              <w:left w:val="single" w:color="auto" w:sz="4" w:space="0"/>
              <w:bottom w:val="single" w:color="auto" w:sz="4" w:space="0"/>
              <w:right w:val="single" w:color="auto" w:sz="4" w:space="0"/>
            </w:tcBorders>
            <w:vAlign w:val="center"/>
          </w:tcPr>
          <w:p w14:paraId="7A085ABF">
            <w:pPr>
              <w:spacing w:line="240" w:lineRule="auto"/>
              <w:ind w:firstLine="0" w:firstLineChars="0"/>
              <w:jc w:val="center"/>
              <w:rPr>
                <w:rFonts w:cs="Times New Roman"/>
                <w:color w:val="auto"/>
                <w:sz w:val="21"/>
                <w:szCs w:val="21"/>
              </w:rPr>
            </w:pPr>
            <w:r>
              <w:rPr>
                <w:rFonts w:cs="Times New Roman"/>
                <w:color w:val="auto"/>
                <w:sz w:val="21"/>
                <w:szCs w:val="21"/>
              </w:rPr>
              <w:t>镉</w:t>
            </w:r>
          </w:p>
        </w:tc>
        <w:tc>
          <w:tcPr>
            <w:tcW w:w="1489" w:type="pct"/>
            <w:tcBorders>
              <w:top w:val="single" w:color="auto" w:sz="4" w:space="0"/>
              <w:left w:val="single" w:color="auto" w:sz="4" w:space="0"/>
              <w:bottom w:val="single" w:color="auto" w:sz="4" w:space="0"/>
              <w:right w:val="single" w:color="auto" w:sz="4" w:space="0"/>
            </w:tcBorders>
            <w:vAlign w:val="center"/>
          </w:tcPr>
          <w:p w14:paraId="2D8E3BA3">
            <w:pPr>
              <w:spacing w:line="240" w:lineRule="auto"/>
              <w:ind w:firstLine="0" w:firstLineChars="0"/>
              <w:jc w:val="center"/>
              <w:rPr>
                <w:rFonts w:cs="Times New Roman"/>
                <w:color w:val="auto"/>
                <w:sz w:val="21"/>
                <w:szCs w:val="21"/>
              </w:rPr>
            </w:pPr>
            <w:r>
              <w:rPr>
                <w:rFonts w:cs="Times New Roman"/>
                <w:color w:val="auto"/>
                <w:sz w:val="21"/>
                <w:szCs w:val="21"/>
              </w:rPr>
              <w:t>≤0.005</w:t>
            </w:r>
          </w:p>
        </w:tc>
      </w:tr>
      <w:tr w14:paraId="09E17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48E6A536">
            <w:pPr>
              <w:spacing w:line="240" w:lineRule="auto"/>
              <w:ind w:firstLine="0" w:firstLineChars="0"/>
              <w:jc w:val="center"/>
              <w:rPr>
                <w:rFonts w:cs="Times New Roman"/>
                <w:color w:val="auto"/>
                <w:sz w:val="21"/>
                <w:szCs w:val="21"/>
              </w:rPr>
            </w:pPr>
            <w:r>
              <w:rPr>
                <w:rFonts w:eastAsia="等线" w:cs="Times New Roman"/>
                <w:color w:val="auto"/>
                <w:sz w:val="21"/>
                <w:szCs w:val="21"/>
              </w:rPr>
              <w:t>15</w:t>
            </w:r>
          </w:p>
        </w:tc>
        <w:tc>
          <w:tcPr>
            <w:tcW w:w="2810" w:type="pct"/>
            <w:tcBorders>
              <w:top w:val="single" w:color="auto" w:sz="4" w:space="0"/>
              <w:left w:val="single" w:color="auto" w:sz="4" w:space="0"/>
              <w:bottom w:val="single" w:color="auto" w:sz="4" w:space="0"/>
              <w:right w:val="single" w:color="auto" w:sz="4" w:space="0"/>
            </w:tcBorders>
            <w:vAlign w:val="center"/>
          </w:tcPr>
          <w:p w14:paraId="535CD3EB">
            <w:pPr>
              <w:spacing w:line="240" w:lineRule="auto"/>
              <w:ind w:firstLine="0" w:firstLineChars="0"/>
              <w:jc w:val="center"/>
              <w:rPr>
                <w:rFonts w:cs="Times New Roman"/>
                <w:color w:val="auto"/>
                <w:sz w:val="21"/>
                <w:szCs w:val="21"/>
              </w:rPr>
            </w:pPr>
            <w:r>
              <w:rPr>
                <w:rFonts w:cs="Times New Roman"/>
                <w:color w:val="auto"/>
                <w:sz w:val="21"/>
                <w:szCs w:val="21"/>
              </w:rPr>
              <w:t>砷</w:t>
            </w:r>
          </w:p>
        </w:tc>
        <w:tc>
          <w:tcPr>
            <w:tcW w:w="1489" w:type="pct"/>
            <w:tcBorders>
              <w:top w:val="single" w:color="auto" w:sz="4" w:space="0"/>
              <w:left w:val="single" w:color="auto" w:sz="4" w:space="0"/>
              <w:bottom w:val="single" w:color="auto" w:sz="4" w:space="0"/>
              <w:right w:val="single" w:color="auto" w:sz="4" w:space="0"/>
            </w:tcBorders>
            <w:vAlign w:val="center"/>
          </w:tcPr>
          <w:p w14:paraId="2B3ACD44">
            <w:pPr>
              <w:spacing w:line="240" w:lineRule="auto"/>
              <w:ind w:firstLine="0" w:firstLineChars="0"/>
              <w:jc w:val="center"/>
              <w:rPr>
                <w:rFonts w:cs="Times New Roman"/>
                <w:color w:val="auto"/>
                <w:sz w:val="21"/>
                <w:szCs w:val="21"/>
              </w:rPr>
            </w:pPr>
            <w:r>
              <w:rPr>
                <w:rFonts w:cs="Times New Roman"/>
                <w:color w:val="auto"/>
                <w:sz w:val="21"/>
                <w:szCs w:val="21"/>
              </w:rPr>
              <w:t>≤0.01</w:t>
            </w:r>
          </w:p>
        </w:tc>
      </w:tr>
      <w:tr w14:paraId="64F39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2A83488D">
            <w:pPr>
              <w:spacing w:line="240" w:lineRule="auto"/>
              <w:ind w:firstLine="0" w:firstLineChars="0"/>
              <w:jc w:val="center"/>
              <w:rPr>
                <w:rFonts w:cs="Times New Roman"/>
                <w:color w:val="auto"/>
                <w:sz w:val="21"/>
                <w:szCs w:val="21"/>
              </w:rPr>
            </w:pPr>
            <w:r>
              <w:rPr>
                <w:rFonts w:eastAsia="等线" w:cs="Times New Roman"/>
                <w:color w:val="auto"/>
                <w:sz w:val="21"/>
                <w:szCs w:val="21"/>
              </w:rPr>
              <w:t>16</w:t>
            </w:r>
          </w:p>
        </w:tc>
        <w:tc>
          <w:tcPr>
            <w:tcW w:w="2810" w:type="pct"/>
            <w:tcBorders>
              <w:top w:val="single" w:color="auto" w:sz="4" w:space="0"/>
              <w:left w:val="single" w:color="auto" w:sz="4" w:space="0"/>
              <w:bottom w:val="single" w:color="auto" w:sz="4" w:space="0"/>
              <w:right w:val="single" w:color="auto" w:sz="4" w:space="0"/>
            </w:tcBorders>
            <w:vAlign w:val="center"/>
          </w:tcPr>
          <w:p w14:paraId="0CD800A1">
            <w:pPr>
              <w:spacing w:line="240" w:lineRule="auto"/>
              <w:ind w:firstLine="0" w:firstLineChars="0"/>
              <w:jc w:val="center"/>
              <w:rPr>
                <w:rFonts w:cs="Times New Roman"/>
                <w:color w:val="auto"/>
                <w:sz w:val="21"/>
                <w:szCs w:val="21"/>
              </w:rPr>
            </w:pPr>
            <w:r>
              <w:rPr>
                <w:rFonts w:cs="Times New Roman"/>
                <w:color w:val="auto"/>
                <w:sz w:val="21"/>
                <w:szCs w:val="21"/>
              </w:rPr>
              <w:t>汞</w:t>
            </w:r>
          </w:p>
        </w:tc>
        <w:tc>
          <w:tcPr>
            <w:tcW w:w="1489" w:type="pct"/>
            <w:tcBorders>
              <w:top w:val="single" w:color="auto" w:sz="4" w:space="0"/>
              <w:left w:val="single" w:color="auto" w:sz="4" w:space="0"/>
              <w:bottom w:val="single" w:color="auto" w:sz="4" w:space="0"/>
              <w:right w:val="single" w:color="auto" w:sz="4" w:space="0"/>
            </w:tcBorders>
            <w:vAlign w:val="center"/>
          </w:tcPr>
          <w:p w14:paraId="03AED37A">
            <w:pPr>
              <w:spacing w:line="240" w:lineRule="auto"/>
              <w:ind w:firstLine="0" w:firstLineChars="0"/>
              <w:jc w:val="center"/>
              <w:rPr>
                <w:rFonts w:cs="Times New Roman"/>
                <w:color w:val="auto"/>
                <w:sz w:val="21"/>
                <w:szCs w:val="21"/>
              </w:rPr>
            </w:pPr>
            <w:r>
              <w:rPr>
                <w:rFonts w:cs="Times New Roman"/>
                <w:color w:val="auto"/>
                <w:sz w:val="21"/>
                <w:szCs w:val="21"/>
              </w:rPr>
              <w:t>≤0.001</w:t>
            </w:r>
          </w:p>
        </w:tc>
      </w:tr>
      <w:tr w14:paraId="1C42A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700FD0EB">
            <w:pPr>
              <w:spacing w:line="240" w:lineRule="auto"/>
              <w:ind w:firstLine="0" w:firstLineChars="0"/>
              <w:jc w:val="center"/>
              <w:rPr>
                <w:rFonts w:cs="Times New Roman"/>
                <w:color w:val="auto"/>
                <w:sz w:val="21"/>
                <w:szCs w:val="21"/>
              </w:rPr>
            </w:pPr>
            <w:r>
              <w:rPr>
                <w:rFonts w:eastAsia="等线" w:cs="Times New Roman"/>
                <w:color w:val="auto"/>
                <w:sz w:val="21"/>
                <w:szCs w:val="21"/>
              </w:rPr>
              <w:t>17</w:t>
            </w:r>
          </w:p>
        </w:tc>
        <w:tc>
          <w:tcPr>
            <w:tcW w:w="2810" w:type="pct"/>
            <w:tcBorders>
              <w:top w:val="single" w:color="auto" w:sz="4" w:space="0"/>
              <w:left w:val="single" w:color="auto" w:sz="4" w:space="0"/>
              <w:bottom w:val="single" w:color="auto" w:sz="4" w:space="0"/>
              <w:right w:val="single" w:color="auto" w:sz="4" w:space="0"/>
            </w:tcBorders>
            <w:vAlign w:val="center"/>
          </w:tcPr>
          <w:p w14:paraId="29CEC33B">
            <w:pPr>
              <w:spacing w:line="240" w:lineRule="auto"/>
              <w:ind w:firstLine="0" w:firstLineChars="0"/>
              <w:jc w:val="center"/>
              <w:rPr>
                <w:rFonts w:cs="Times New Roman"/>
                <w:color w:val="auto"/>
                <w:sz w:val="21"/>
                <w:szCs w:val="21"/>
              </w:rPr>
            </w:pPr>
            <w:r>
              <w:rPr>
                <w:rFonts w:cs="Times New Roman"/>
                <w:color w:val="auto"/>
                <w:sz w:val="21"/>
                <w:szCs w:val="21"/>
              </w:rPr>
              <w:t>氰化物</w:t>
            </w:r>
          </w:p>
        </w:tc>
        <w:tc>
          <w:tcPr>
            <w:tcW w:w="1489" w:type="pct"/>
            <w:tcBorders>
              <w:top w:val="single" w:color="auto" w:sz="4" w:space="0"/>
              <w:left w:val="single" w:color="auto" w:sz="4" w:space="0"/>
              <w:bottom w:val="single" w:color="auto" w:sz="4" w:space="0"/>
              <w:right w:val="single" w:color="auto" w:sz="4" w:space="0"/>
            </w:tcBorders>
            <w:vAlign w:val="center"/>
          </w:tcPr>
          <w:p w14:paraId="7C246BA6">
            <w:pPr>
              <w:spacing w:line="240" w:lineRule="auto"/>
              <w:ind w:firstLine="0" w:firstLineChars="0"/>
              <w:jc w:val="center"/>
              <w:rPr>
                <w:rFonts w:cs="Times New Roman"/>
                <w:color w:val="auto"/>
                <w:sz w:val="21"/>
                <w:szCs w:val="21"/>
              </w:rPr>
            </w:pPr>
            <w:r>
              <w:rPr>
                <w:rFonts w:cs="Times New Roman"/>
                <w:color w:val="auto"/>
                <w:sz w:val="21"/>
                <w:szCs w:val="21"/>
              </w:rPr>
              <w:t>≤0.05</w:t>
            </w:r>
          </w:p>
        </w:tc>
      </w:tr>
      <w:tr w14:paraId="7C3DA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4447379A">
            <w:pPr>
              <w:spacing w:line="240" w:lineRule="auto"/>
              <w:ind w:firstLine="0" w:firstLineChars="0"/>
              <w:jc w:val="center"/>
              <w:rPr>
                <w:rFonts w:cs="Times New Roman"/>
                <w:color w:val="auto"/>
                <w:sz w:val="21"/>
                <w:szCs w:val="21"/>
              </w:rPr>
            </w:pPr>
            <w:r>
              <w:rPr>
                <w:rFonts w:eastAsia="等线" w:cs="Times New Roman"/>
                <w:color w:val="auto"/>
                <w:sz w:val="21"/>
                <w:szCs w:val="21"/>
              </w:rPr>
              <w:t>18</w:t>
            </w:r>
          </w:p>
        </w:tc>
        <w:tc>
          <w:tcPr>
            <w:tcW w:w="2810" w:type="pct"/>
            <w:tcBorders>
              <w:top w:val="single" w:color="auto" w:sz="4" w:space="0"/>
              <w:left w:val="single" w:color="auto" w:sz="4" w:space="0"/>
              <w:bottom w:val="single" w:color="auto" w:sz="4" w:space="0"/>
              <w:right w:val="single" w:color="auto" w:sz="4" w:space="0"/>
            </w:tcBorders>
            <w:vAlign w:val="center"/>
          </w:tcPr>
          <w:p w14:paraId="7B2CE782">
            <w:pPr>
              <w:spacing w:line="240" w:lineRule="auto"/>
              <w:ind w:firstLine="0" w:firstLineChars="0"/>
              <w:jc w:val="center"/>
              <w:rPr>
                <w:rFonts w:cs="Times New Roman"/>
                <w:color w:val="auto"/>
                <w:sz w:val="21"/>
                <w:szCs w:val="21"/>
              </w:rPr>
            </w:pPr>
            <w:r>
              <w:rPr>
                <w:rFonts w:cs="Times New Roman"/>
                <w:color w:val="auto"/>
                <w:sz w:val="21"/>
                <w:szCs w:val="21"/>
              </w:rPr>
              <w:t>氯化物</w:t>
            </w:r>
          </w:p>
        </w:tc>
        <w:tc>
          <w:tcPr>
            <w:tcW w:w="1489" w:type="pct"/>
            <w:tcBorders>
              <w:top w:val="single" w:color="auto" w:sz="4" w:space="0"/>
              <w:left w:val="single" w:color="auto" w:sz="4" w:space="0"/>
              <w:bottom w:val="single" w:color="auto" w:sz="4" w:space="0"/>
              <w:right w:val="single" w:color="auto" w:sz="4" w:space="0"/>
            </w:tcBorders>
            <w:vAlign w:val="center"/>
          </w:tcPr>
          <w:p w14:paraId="04BA5AE5">
            <w:pPr>
              <w:spacing w:line="240" w:lineRule="auto"/>
              <w:ind w:firstLine="0" w:firstLineChars="0"/>
              <w:jc w:val="center"/>
              <w:rPr>
                <w:rFonts w:cs="Times New Roman"/>
                <w:color w:val="auto"/>
                <w:sz w:val="21"/>
                <w:szCs w:val="21"/>
              </w:rPr>
            </w:pPr>
            <w:r>
              <w:rPr>
                <w:rFonts w:cs="Times New Roman"/>
                <w:color w:val="auto"/>
                <w:sz w:val="21"/>
                <w:szCs w:val="21"/>
              </w:rPr>
              <w:t>≤250</w:t>
            </w:r>
          </w:p>
        </w:tc>
      </w:tr>
      <w:tr w14:paraId="27062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65875BF3">
            <w:pPr>
              <w:spacing w:line="240" w:lineRule="auto"/>
              <w:ind w:firstLine="0" w:firstLineChars="0"/>
              <w:jc w:val="center"/>
              <w:rPr>
                <w:rFonts w:cs="Times New Roman"/>
                <w:color w:val="auto"/>
                <w:sz w:val="21"/>
                <w:szCs w:val="21"/>
              </w:rPr>
            </w:pPr>
            <w:r>
              <w:rPr>
                <w:rFonts w:eastAsia="等线" w:cs="Times New Roman"/>
                <w:color w:val="auto"/>
                <w:sz w:val="21"/>
                <w:szCs w:val="21"/>
              </w:rPr>
              <w:t>19</w:t>
            </w:r>
          </w:p>
        </w:tc>
        <w:tc>
          <w:tcPr>
            <w:tcW w:w="2810" w:type="pct"/>
            <w:tcBorders>
              <w:top w:val="single" w:color="auto" w:sz="4" w:space="0"/>
              <w:left w:val="single" w:color="auto" w:sz="4" w:space="0"/>
              <w:bottom w:val="single" w:color="auto" w:sz="4" w:space="0"/>
              <w:right w:val="single" w:color="auto" w:sz="4" w:space="0"/>
            </w:tcBorders>
            <w:vAlign w:val="center"/>
          </w:tcPr>
          <w:p w14:paraId="14DF566B">
            <w:pPr>
              <w:spacing w:line="240" w:lineRule="auto"/>
              <w:ind w:firstLine="0" w:firstLineChars="0"/>
              <w:jc w:val="center"/>
              <w:rPr>
                <w:rFonts w:cs="Times New Roman"/>
                <w:color w:val="auto"/>
                <w:sz w:val="21"/>
                <w:szCs w:val="21"/>
              </w:rPr>
            </w:pPr>
            <w:r>
              <w:rPr>
                <w:rFonts w:cs="Times New Roman"/>
                <w:color w:val="auto"/>
                <w:sz w:val="21"/>
                <w:szCs w:val="21"/>
              </w:rPr>
              <w:t>硫酸盐</w:t>
            </w:r>
          </w:p>
        </w:tc>
        <w:tc>
          <w:tcPr>
            <w:tcW w:w="1489" w:type="pct"/>
            <w:tcBorders>
              <w:top w:val="single" w:color="auto" w:sz="4" w:space="0"/>
              <w:left w:val="single" w:color="auto" w:sz="4" w:space="0"/>
              <w:bottom w:val="single" w:color="auto" w:sz="4" w:space="0"/>
              <w:right w:val="single" w:color="auto" w:sz="4" w:space="0"/>
            </w:tcBorders>
            <w:vAlign w:val="center"/>
          </w:tcPr>
          <w:p w14:paraId="5702F1E1">
            <w:pPr>
              <w:spacing w:line="240" w:lineRule="auto"/>
              <w:ind w:firstLine="0" w:firstLineChars="0"/>
              <w:jc w:val="center"/>
              <w:rPr>
                <w:rFonts w:cs="Times New Roman"/>
                <w:color w:val="auto"/>
                <w:sz w:val="21"/>
                <w:szCs w:val="21"/>
              </w:rPr>
            </w:pPr>
            <w:r>
              <w:rPr>
                <w:rFonts w:cs="Times New Roman"/>
                <w:color w:val="auto"/>
                <w:sz w:val="21"/>
                <w:szCs w:val="21"/>
              </w:rPr>
              <w:t>≤250</w:t>
            </w:r>
          </w:p>
        </w:tc>
      </w:tr>
      <w:tr w14:paraId="67518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1" w:type="pct"/>
            <w:tcBorders>
              <w:top w:val="single" w:color="auto" w:sz="4" w:space="0"/>
              <w:left w:val="single" w:color="auto" w:sz="4" w:space="0"/>
              <w:bottom w:val="single" w:color="auto" w:sz="4" w:space="0"/>
              <w:right w:val="single" w:color="auto" w:sz="4" w:space="0"/>
            </w:tcBorders>
            <w:vAlign w:val="center"/>
          </w:tcPr>
          <w:p w14:paraId="3251141C">
            <w:pPr>
              <w:spacing w:line="240" w:lineRule="auto"/>
              <w:ind w:firstLine="0" w:firstLineChars="0"/>
              <w:jc w:val="center"/>
              <w:rPr>
                <w:rFonts w:cs="Times New Roman"/>
                <w:color w:val="auto"/>
                <w:sz w:val="21"/>
                <w:szCs w:val="21"/>
              </w:rPr>
            </w:pPr>
            <w:r>
              <w:rPr>
                <w:rFonts w:eastAsia="等线" w:cs="Times New Roman"/>
                <w:color w:val="auto"/>
                <w:sz w:val="21"/>
                <w:szCs w:val="21"/>
              </w:rPr>
              <w:t>20</w:t>
            </w:r>
          </w:p>
        </w:tc>
        <w:tc>
          <w:tcPr>
            <w:tcW w:w="2810" w:type="pct"/>
            <w:tcBorders>
              <w:top w:val="single" w:color="auto" w:sz="4" w:space="0"/>
              <w:left w:val="single" w:color="auto" w:sz="4" w:space="0"/>
              <w:bottom w:val="single" w:color="auto" w:sz="4" w:space="0"/>
              <w:right w:val="single" w:color="auto" w:sz="4" w:space="0"/>
            </w:tcBorders>
          </w:tcPr>
          <w:p w14:paraId="6B7D406C">
            <w:pPr>
              <w:spacing w:line="240" w:lineRule="auto"/>
              <w:ind w:firstLine="0" w:firstLineChars="0"/>
              <w:jc w:val="center"/>
              <w:rPr>
                <w:rFonts w:cs="Times New Roman"/>
                <w:color w:val="auto"/>
                <w:sz w:val="21"/>
                <w:szCs w:val="21"/>
              </w:rPr>
            </w:pPr>
            <w:r>
              <w:rPr>
                <w:rFonts w:cs="Times New Roman"/>
                <w:color w:val="auto"/>
                <w:spacing w:val="7"/>
                <w:sz w:val="21"/>
                <w:szCs w:val="21"/>
              </w:rPr>
              <w:t>硫化物</w:t>
            </w:r>
          </w:p>
        </w:tc>
        <w:tc>
          <w:tcPr>
            <w:tcW w:w="1489" w:type="pct"/>
            <w:tcBorders>
              <w:top w:val="single" w:color="auto" w:sz="4" w:space="0"/>
              <w:left w:val="single" w:color="auto" w:sz="4" w:space="0"/>
              <w:bottom w:val="single" w:color="auto" w:sz="4" w:space="0"/>
              <w:right w:val="single" w:color="auto" w:sz="4" w:space="0"/>
            </w:tcBorders>
          </w:tcPr>
          <w:p w14:paraId="3F1D6FA9">
            <w:pPr>
              <w:spacing w:line="240" w:lineRule="auto"/>
              <w:ind w:firstLine="0" w:firstLineChars="0"/>
              <w:jc w:val="center"/>
              <w:rPr>
                <w:rFonts w:cs="Times New Roman"/>
                <w:color w:val="auto"/>
                <w:sz w:val="21"/>
                <w:szCs w:val="21"/>
              </w:rPr>
            </w:pPr>
            <w:r>
              <w:rPr>
                <w:rFonts w:cs="Times New Roman"/>
                <w:color w:val="auto"/>
                <w:spacing w:val="4"/>
                <w:sz w:val="21"/>
                <w:szCs w:val="21"/>
              </w:rPr>
              <w:t>≤0.02</w:t>
            </w:r>
          </w:p>
        </w:tc>
      </w:tr>
    </w:tbl>
    <w:p w14:paraId="3E9FB93A">
      <w:pPr>
        <w:pStyle w:val="5"/>
        <w:numPr>
          <w:ilvl w:val="0"/>
          <w:numId w:val="0"/>
        </w:numPr>
        <w:rPr>
          <w:rFonts w:cs="Times New Roman"/>
          <w:color w:val="auto"/>
        </w:rPr>
      </w:pPr>
      <w:r>
        <w:rPr>
          <w:rFonts w:cs="Times New Roman"/>
          <w:color w:val="auto"/>
        </w:rPr>
        <w:t>1.3.2.4</w:t>
      </w:r>
      <w:r>
        <w:rPr>
          <w:rFonts w:cs="Times New Roman"/>
          <w:color w:val="auto"/>
        </w:rPr>
        <w:tab/>
      </w:r>
      <w:r>
        <w:rPr>
          <w:rFonts w:cs="Times New Roman"/>
          <w:color w:val="auto"/>
        </w:rPr>
        <w:t>声环境质量标准</w:t>
      </w:r>
    </w:p>
    <w:p w14:paraId="1091AD2E">
      <w:pPr>
        <w:ind w:firstLine="480"/>
        <w:rPr>
          <w:rFonts w:cs="Times New Roman"/>
          <w:color w:val="auto"/>
        </w:rPr>
      </w:pPr>
      <w:r>
        <w:rPr>
          <w:rFonts w:hint="eastAsia"/>
          <w:color w:val="auto"/>
        </w:rPr>
        <w:t>本项目厂区东、西、北侧厂界声环境功能区划分为</w:t>
      </w:r>
      <w:r>
        <w:rPr>
          <w:color w:val="auto"/>
        </w:rPr>
        <w:t>3</w:t>
      </w:r>
      <w:r>
        <w:rPr>
          <w:rFonts w:hint="eastAsia"/>
          <w:color w:val="auto"/>
        </w:rPr>
        <w:t>类区，南侧厂界为</w:t>
      </w:r>
      <w:r>
        <w:rPr>
          <w:color w:val="auto"/>
        </w:rPr>
        <w:t>4</w:t>
      </w:r>
      <w:r>
        <w:rPr>
          <w:rFonts w:hint="eastAsia"/>
          <w:color w:val="auto"/>
        </w:rPr>
        <w:t>类区。东、西、北侧厂界执行《声环境质量标准》（</w:t>
      </w:r>
      <w:r>
        <w:rPr>
          <w:color w:val="auto"/>
        </w:rPr>
        <w:t>GB3096-2008</w:t>
      </w:r>
      <w:r>
        <w:rPr>
          <w:rFonts w:hint="eastAsia"/>
          <w:color w:val="auto"/>
        </w:rPr>
        <w:t>）中</w:t>
      </w:r>
      <w:r>
        <w:rPr>
          <w:color w:val="auto"/>
        </w:rPr>
        <w:t>3</w:t>
      </w:r>
      <w:r>
        <w:rPr>
          <w:rFonts w:hint="eastAsia"/>
          <w:color w:val="auto"/>
        </w:rPr>
        <w:t>类标准，南侧厂界执行</w:t>
      </w:r>
      <w:r>
        <w:rPr>
          <w:color w:val="auto"/>
        </w:rPr>
        <w:t>4a</w:t>
      </w:r>
      <w:r>
        <w:rPr>
          <w:rFonts w:hint="eastAsia"/>
          <w:color w:val="auto"/>
        </w:rPr>
        <w:t>类标准，厂区周边执行</w:t>
      </w:r>
      <w:r>
        <w:rPr>
          <w:color w:val="auto"/>
        </w:rPr>
        <w:t>3</w:t>
      </w:r>
      <w:r>
        <w:rPr>
          <w:rFonts w:hint="eastAsia"/>
          <w:color w:val="auto"/>
        </w:rPr>
        <w:t>类标准，敏感目标执行</w:t>
      </w:r>
      <w:r>
        <w:rPr>
          <w:color w:val="auto"/>
        </w:rPr>
        <w:t>2</w:t>
      </w:r>
      <w:r>
        <w:rPr>
          <w:rFonts w:hint="eastAsia"/>
          <w:color w:val="auto"/>
        </w:rPr>
        <w:t>类标准。具体见下表</w:t>
      </w:r>
      <w:r>
        <w:rPr>
          <w:rFonts w:hint="eastAsia" w:cs="Times New Roman"/>
          <w:color w:val="auto"/>
        </w:rPr>
        <w:t>。</w:t>
      </w:r>
    </w:p>
    <w:p w14:paraId="3FAD7FA6">
      <w:pPr>
        <w:pStyle w:val="7"/>
        <w:rPr>
          <w:color w:val="auto"/>
        </w:rPr>
      </w:pPr>
      <w:bookmarkStart w:id="88" w:name="_Ref185008214"/>
      <w:r>
        <w:rPr>
          <w:color w:val="auto"/>
        </w:rPr>
        <w:t>《声环境质量标准》（摘录）单位Leq：dB(A)</w:t>
      </w:r>
      <w:bookmarkEnd w:id="88"/>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82"/>
        <w:gridCol w:w="3482"/>
        <w:gridCol w:w="2322"/>
      </w:tblGrid>
      <w:tr w14:paraId="22C02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blHeader/>
        </w:trPr>
        <w:tc>
          <w:tcPr>
            <w:tcW w:w="1875" w:type="pct"/>
            <w:vAlign w:val="center"/>
          </w:tcPr>
          <w:p w14:paraId="7E06D725">
            <w:pPr>
              <w:pStyle w:val="33"/>
              <w:rPr>
                <w:color w:val="auto"/>
              </w:rPr>
            </w:pPr>
            <w:r>
              <w:rPr>
                <w:color w:val="auto"/>
              </w:rPr>
              <w:t>声环境功能区类别</w:t>
            </w:r>
          </w:p>
        </w:tc>
        <w:tc>
          <w:tcPr>
            <w:tcW w:w="1875" w:type="pct"/>
            <w:vAlign w:val="center"/>
          </w:tcPr>
          <w:p w14:paraId="6778B075">
            <w:pPr>
              <w:pStyle w:val="33"/>
              <w:rPr>
                <w:color w:val="auto"/>
              </w:rPr>
            </w:pPr>
            <w:r>
              <w:rPr>
                <w:color w:val="auto"/>
              </w:rPr>
              <w:t>昼间</w:t>
            </w:r>
          </w:p>
        </w:tc>
        <w:tc>
          <w:tcPr>
            <w:tcW w:w="1250" w:type="pct"/>
            <w:vAlign w:val="center"/>
          </w:tcPr>
          <w:p w14:paraId="1C1668D3">
            <w:pPr>
              <w:pStyle w:val="33"/>
              <w:rPr>
                <w:color w:val="auto"/>
              </w:rPr>
            </w:pPr>
            <w:r>
              <w:rPr>
                <w:color w:val="auto"/>
              </w:rPr>
              <w:t>夜间</w:t>
            </w:r>
          </w:p>
        </w:tc>
      </w:tr>
      <w:tr w14:paraId="6A253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trPr>
        <w:tc>
          <w:tcPr>
            <w:tcW w:w="1875" w:type="pct"/>
            <w:vAlign w:val="center"/>
          </w:tcPr>
          <w:p w14:paraId="4052432B">
            <w:pPr>
              <w:pStyle w:val="33"/>
              <w:rPr>
                <w:color w:val="auto"/>
              </w:rPr>
            </w:pPr>
            <w:r>
              <w:rPr>
                <w:color w:val="auto"/>
              </w:rPr>
              <w:t>2类</w:t>
            </w:r>
          </w:p>
        </w:tc>
        <w:tc>
          <w:tcPr>
            <w:tcW w:w="1875" w:type="pct"/>
            <w:vAlign w:val="center"/>
          </w:tcPr>
          <w:p w14:paraId="2EE79426">
            <w:pPr>
              <w:pStyle w:val="33"/>
              <w:rPr>
                <w:color w:val="auto"/>
              </w:rPr>
            </w:pPr>
            <w:r>
              <w:rPr>
                <w:color w:val="auto"/>
              </w:rPr>
              <w:t>60</w:t>
            </w:r>
          </w:p>
        </w:tc>
        <w:tc>
          <w:tcPr>
            <w:tcW w:w="1250" w:type="pct"/>
            <w:vAlign w:val="center"/>
          </w:tcPr>
          <w:p w14:paraId="052B533F">
            <w:pPr>
              <w:pStyle w:val="33"/>
              <w:rPr>
                <w:color w:val="auto"/>
              </w:rPr>
            </w:pPr>
            <w:r>
              <w:rPr>
                <w:color w:val="auto"/>
              </w:rPr>
              <w:t>50</w:t>
            </w:r>
          </w:p>
        </w:tc>
      </w:tr>
      <w:tr w14:paraId="0F446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875" w:type="pct"/>
            <w:vAlign w:val="center"/>
          </w:tcPr>
          <w:p w14:paraId="30F1C12D">
            <w:pPr>
              <w:pStyle w:val="33"/>
              <w:rPr>
                <w:color w:val="auto"/>
              </w:rPr>
            </w:pPr>
            <w:r>
              <w:rPr>
                <w:color w:val="auto"/>
              </w:rPr>
              <w:t>3类</w:t>
            </w:r>
          </w:p>
        </w:tc>
        <w:tc>
          <w:tcPr>
            <w:tcW w:w="1875" w:type="pct"/>
            <w:vAlign w:val="center"/>
          </w:tcPr>
          <w:p w14:paraId="458CBB8E">
            <w:pPr>
              <w:pStyle w:val="33"/>
              <w:rPr>
                <w:color w:val="auto"/>
              </w:rPr>
            </w:pPr>
            <w:r>
              <w:rPr>
                <w:color w:val="auto"/>
              </w:rPr>
              <w:t>65</w:t>
            </w:r>
          </w:p>
        </w:tc>
        <w:tc>
          <w:tcPr>
            <w:tcW w:w="1250" w:type="pct"/>
            <w:vAlign w:val="center"/>
          </w:tcPr>
          <w:p w14:paraId="4304191E">
            <w:pPr>
              <w:pStyle w:val="33"/>
              <w:rPr>
                <w:color w:val="auto"/>
              </w:rPr>
            </w:pPr>
            <w:r>
              <w:rPr>
                <w:color w:val="auto"/>
              </w:rPr>
              <w:t>55</w:t>
            </w:r>
          </w:p>
        </w:tc>
      </w:tr>
      <w:tr w14:paraId="2E9C2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1875" w:type="pct"/>
            <w:vAlign w:val="center"/>
          </w:tcPr>
          <w:p w14:paraId="76820D3F">
            <w:pPr>
              <w:pStyle w:val="33"/>
              <w:rPr>
                <w:color w:val="auto"/>
              </w:rPr>
            </w:pPr>
            <w:r>
              <w:rPr>
                <w:rFonts w:hint="eastAsia"/>
                <w:color w:val="auto"/>
              </w:rPr>
              <w:t>4a类</w:t>
            </w:r>
          </w:p>
        </w:tc>
        <w:tc>
          <w:tcPr>
            <w:tcW w:w="1875" w:type="pct"/>
            <w:vAlign w:val="center"/>
          </w:tcPr>
          <w:p w14:paraId="7643297D">
            <w:pPr>
              <w:pStyle w:val="33"/>
              <w:rPr>
                <w:color w:val="auto"/>
              </w:rPr>
            </w:pPr>
            <w:r>
              <w:rPr>
                <w:color w:val="auto"/>
              </w:rPr>
              <w:t>70</w:t>
            </w:r>
          </w:p>
        </w:tc>
        <w:tc>
          <w:tcPr>
            <w:tcW w:w="1250" w:type="pct"/>
            <w:vAlign w:val="center"/>
          </w:tcPr>
          <w:p w14:paraId="099B8724">
            <w:pPr>
              <w:pStyle w:val="33"/>
              <w:rPr>
                <w:color w:val="auto"/>
              </w:rPr>
            </w:pPr>
            <w:r>
              <w:rPr>
                <w:color w:val="auto"/>
              </w:rPr>
              <w:t>55</w:t>
            </w:r>
          </w:p>
        </w:tc>
      </w:tr>
    </w:tbl>
    <w:p w14:paraId="373ACE30">
      <w:pPr>
        <w:pStyle w:val="5"/>
        <w:rPr>
          <w:rFonts w:cs="Times New Roman"/>
          <w:color w:val="auto"/>
        </w:rPr>
      </w:pPr>
      <w:r>
        <w:rPr>
          <w:rFonts w:cs="Times New Roman"/>
          <w:color w:val="auto"/>
        </w:rPr>
        <w:t>土壤环境质量标准</w:t>
      </w:r>
    </w:p>
    <w:p w14:paraId="6604EB9D">
      <w:pPr>
        <w:ind w:firstLine="480"/>
        <w:rPr>
          <w:rFonts w:cs="Times New Roman"/>
          <w:color w:val="auto"/>
        </w:rPr>
      </w:pPr>
      <w:r>
        <w:rPr>
          <w:rFonts w:hint="eastAsia" w:cs="Times New Roman"/>
          <w:color w:val="auto"/>
        </w:rPr>
        <w:t>厂区内及厂区周边建设用地土壤环境质量执行《土壤环境质量 建设用地土壤污染风险管控标准（试行）》（GB36600-2018）表1基本项目和表2其他项目中第二类用地筛选值，厂区外农用地土壤环境质量执行《土壤环境质量 农用地土壤污染风险管控标准（试行）》（G</w:t>
      </w:r>
      <w:r>
        <w:rPr>
          <w:rFonts w:cs="Times New Roman"/>
          <w:color w:val="auto"/>
        </w:rPr>
        <w:t>B15618-2018</w:t>
      </w:r>
      <w:r>
        <w:rPr>
          <w:rFonts w:hint="eastAsia" w:cs="Times New Roman"/>
          <w:color w:val="auto"/>
        </w:rPr>
        <w:t>）风险筛选值。</w:t>
      </w:r>
      <w:r>
        <w:rPr>
          <w:rFonts w:cs="Times New Roman"/>
          <w:color w:val="auto"/>
        </w:rPr>
        <w:t>具体见</w:t>
      </w:r>
      <w:r>
        <w:rPr>
          <w:rFonts w:hint="eastAsia" w:cs="Times New Roman"/>
          <w:color w:val="auto"/>
        </w:rPr>
        <w:t>下表</w:t>
      </w:r>
      <w:r>
        <w:rPr>
          <w:rFonts w:cs="Times New Roman"/>
          <w:color w:val="auto"/>
        </w:rPr>
        <w:t>。</w:t>
      </w:r>
    </w:p>
    <w:p w14:paraId="65CFE09E">
      <w:pPr>
        <w:pStyle w:val="7"/>
        <w:rPr>
          <w:color w:val="auto"/>
        </w:rPr>
      </w:pPr>
      <w:bookmarkStart w:id="89" w:name="_Ref185008222"/>
      <w:r>
        <w:rPr>
          <w:color w:val="auto"/>
        </w:rPr>
        <w:t>《土壤环境质量 农用地土壤污染风险管控标准（试行）》（GB 15618-2018）（摘录）单位：mg/kg</w:t>
      </w:r>
      <w:bookmarkEnd w:id="89"/>
    </w:p>
    <w:tbl>
      <w:tblPr>
        <w:tblStyle w:val="26"/>
        <w:tblW w:w="9064" w:type="dxa"/>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895"/>
        <w:gridCol w:w="1643"/>
        <w:gridCol w:w="1632"/>
        <w:gridCol w:w="1632"/>
        <w:gridCol w:w="1632"/>
        <w:gridCol w:w="1630"/>
      </w:tblGrid>
      <w:tr w14:paraId="6CF9012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blHeader/>
        </w:trPr>
        <w:tc>
          <w:tcPr>
            <w:tcW w:w="895" w:type="dxa"/>
            <w:vMerge w:val="restart"/>
            <w:vAlign w:val="center"/>
          </w:tcPr>
          <w:p w14:paraId="72E8ED87">
            <w:pPr>
              <w:pStyle w:val="33"/>
              <w:rPr>
                <w:color w:val="auto"/>
              </w:rPr>
            </w:pPr>
            <w:r>
              <w:rPr>
                <w:color w:val="auto"/>
              </w:rPr>
              <w:t>序号</w:t>
            </w:r>
          </w:p>
        </w:tc>
        <w:tc>
          <w:tcPr>
            <w:tcW w:w="1643" w:type="dxa"/>
            <w:vMerge w:val="restart"/>
            <w:vAlign w:val="center"/>
          </w:tcPr>
          <w:p w14:paraId="6CED55F7">
            <w:pPr>
              <w:pStyle w:val="33"/>
              <w:rPr>
                <w:color w:val="auto"/>
              </w:rPr>
            </w:pPr>
            <w:r>
              <w:rPr>
                <w:color w:val="auto"/>
              </w:rPr>
              <w:t>污染物项目</w:t>
            </w:r>
          </w:p>
        </w:tc>
        <w:tc>
          <w:tcPr>
            <w:tcW w:w="6526" w:type="dxa"/>
            <w:gridSpan w:val="4"/>
            <w:vAlign w:val="center"/>
          </w:tcPr>
          <w:p w14:paraId="6807E3BB">
            <w:pPr>
              <w:pStyle w:val="33"/>
              <w:rPr>
                <w:color w:val="auto"/>
              </w:rPr>
            </w:pPr>
            <w:r>
              <w:rPr>
                <w:color w:val="auto"/>
              </w:rPr>
              <w:t>《土壤环境质量 农用地土壤污染风险管控标准（试行）》</w:t>
            </w:r>
          </w:p>
          <w:p w14:paraId="11B878A5">
            <w:pPr>
              <w:pStyle w:val="33"/>
              <w:rPr>
                <w:color w:val="auto"/>
              </w:rPr>
            </w:pPr>
            <w:r>
              <w:rPr>
                <w:color w:val="auto"/>
              </w:rPr>
              <w:t>（GB 15618-2018）风险筛选值</w:t>
            </w:r>
          </w:p>
        </w:tc>
      </w:tr>
      <w:tr w14:paraId="0D7266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Pr>
        <w:tc>
          <w:tcPr>
            <w:tcW w:w="895" w:type="dxa"/>
            <w:vMerge w:val="continue"/>
            <w:vAlign w:val="center"/>
          </w:tcPr>
          <w:p w14:paraId="27ADD2EB">
            <w:pPr>
              <w:pStyle w:val="33"/>
              <w:rPr>
                <w:color w:val="auto"/>
              </w:rPr>
            </w:pPr>
          </w:p>
        </w:tc>
        <w:tc>
          <w:tcPr>
            <w:tcW w:w="1643" w:type="dxa"/>
            <w:vMerge w:val="continue"/>
            <w:vAlign w:val="center"/>
          </w:tcPr>
          <w:p w14:paraId="52813931">
            <w:pPr>
              <w:pStyle w:val="33"/>
              <w:rPr>
                <w:color w:val="auto"/>
              </w:rPr>
            </w:pPr>
          </w:p>
        </w:tc>
        <w:tc>
          <w:tcPr>
            <w:tcW w:w="1632" w:type="dxa"/>
            <w:tcBorders>
              <w:right w:val="single" w:color="auto" w:sz="4" w:space="0"/>
            </w:tcBorders>
            <w:vAlign w:val="center"/>
          </w:tcPr>
          <w:p w14:paraId="427BF301">
            <w:pPr>
              <w:pStyle w:val="33"/>
              <w:rPr>
                <w:color w:val="auto"/>
              </w:rPr>
            </w:pPr>
            <w:r>
              <w:rPr>
                <w:color w:val="auto"/>
              </w:rPr>
              <w:t>pH≤5.5</w:t>
            </w:r>
          </w:p>
        </w:tc>
        <w:tc>
          <w:tcPr>
            <w:tcW w:w="1632" w:type="dxa"/>
            <w:tcBorders>
              <w:left w:val="single" w:color="auto" w:sz="4" w:space="0"/>
            </w:tcBorders>
            <w:vAlign w:val="center"/>
          </w:tcPr>
          <w:p w14:paraId="28263DEA">
            <w:pPr>
              <w:pStyle w:val="33"/>
              <w:rPr>
                <w:color w:val="auto"/>
              </w:rPr>
            </w:pPr>
            <w:r>
              <w:rPr>
                <w:color w:val="auto"/>
              </w:rPr>
              <w:t>5.5＜pH≤6.5</w:t>
            </w:r>
          </w:p>
        </w:tc>
        <w:tc>
          <w:tcPr>
            <w:tcW w:w="1632" w:type="dxa"/>
            <w:vAlign w:val="center"/>
          </w:tcPr>
          <w:p w14:paraId="5E21F799">
            <w:pPr>
              <w:pStyle w:val="33"/>
              <w:rPr>
                <w:color w:val="auto"/>
              </w:rPr>
            </w:pPr>
            <w:r>
              <w:rPr>
                <w:color w:val="auto"/>
              </w:rPr>
              <w:t>6.5＜pH≤7.5</w:t>
            </w:r>
          </w:p>
        </w:tc>
        <w:tc>
          <w:tcPr>
            <w:tcW w:w="1630" w:type="dxa"/>
            <w:vAlign w:val="center"/>
          </w:tcPr>
          <w:p w14:paraId="58248E42">
            <w:pPr>
              <w:pStyle w:val="33"/>
              <w:rPr>
                <w:color w:val="auto"/>
              </w:rPr>
            </w:pPr>
            <w:r>
              <w:rPr>
                <w:color w:val="auto"/>
              </w:rPr>
              <w:t>pH＞7.5</w:t>
            </w:r>
          </w:p>
        </w:tc>
      </w:tr>
      <w:tr w14:paraId="2EE8A9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78D20A64">
            <w:pPr>
              <w:pStyle w:val="33"/>
              <w:rPr>
                <w:color w:val="auto"/>
              </w:rPr>
            </w:pPr>
            <w:r>
              <w:rPr>
                <w:color w:val="auto"/>
              </w:rPr>
              <w:t>1</w:t>
            </w:r>
          </w:p>
        </w:tc>
        <w:tc>
          <w:tcPr>
            <w:tcW w:w="1643" w:type="dxa"/>
            <w:vAlign w:val="center"/>
          </w:tcPr>
          <w:p w14:paraId="2CE5A7C0">
            <w:pPr>
              <w:pStyle w:val="33"/>
              <w:rPr>
                <w:color w:val="auto"/>
              </w:rPr>
            </w:pPr>
            <w:r>
              <w:rPr>
                <w:color w:val="auto"/>
              </w:rPr>
              <w:t>镍≤</w:t>
            </w:r>
          </w:p>
        </w:tc>
        <w:tc>
          <w:tcPr>
            <w:tcW w:w="1632" w:type="dxa"/>
            <w:tcBorders>
              <w:right w:val="single" w:color="auto" w:sz="4" w:space="0"/>
            </w:tcBorders>
            <w:vAlign w:val="center"/>
          </w:tcPr>
          <w:p w14:paraId="01612953">
            <w:pPr>
              <w:pStyle w:val="33"/>
              <w:rPr>
                <w:color w:val="auto"/>
              </w:rPr>
            </w:pPr>
            <w:r>
              <w:rPr>
                <w:color w:val="auto"/>
              </w:rPr>
              <w:t>60</w:t>
            </w:r>
          </w:p>
        </w:tc>
        <w:tc>
          <w:tcPr>
            <w:tcW w:w="1632" w:type="dxa"/>
            <w:tcBorders>
              <w:left w:val="single" w:color="auto" w:sz="4" w:space="0"/>
            </w:tcBorders>
            <w:vAlign w:val="center"/>
          </w:tcPr>
          <w:p w14:paraId="077B0DF4">
            <w:pPr>
              <w:pStyle w:val="33"/>
              <w:rPr>
                <w:color w:val="auto"/>
              </w:rPr>
            </w:pPr>
            <w:r>
              <w:rPr>
                <w:color w:val="auto"/>
              </w:rPr>
              <w:t>70</w:t>
            </w:r>
          </w:p>
        </w:tc>
        <w:tc>
          <w:tcPr>
            <w:tcW w:w="1632" w:type="dxa"/>
            <w:vAlign w:val="center"/>
          </w:tcPr>
          <w:p w14:paraId="16D2F0FB">
            <w:pPr>
              <w:pStyle w:val="33"/>
              <w:rPr>
                <w:color w:val="auto"/>
              </w:rPr>
            </w:pPr>
            <w:r>
              <w:rPr>
                <w:color w:val="auto"/>
              </w:rPr>
              <w:t>100</w:t>
            </w:r>
          </w:p>
        </w:tc>
        <w:tc>
          <w:tcPr>
            <w:tcW w:w="1630" w:type="dxa"/>
            <w:vAlign w:val="center"/>
          </w:tcPr>
          <w:p w14:paraId="35739A06">
            <w:pPr>
              <w:pStyle w:val="33"/>
              <w:rPr>
                <w:color w:val="auto"/>
              </w:rPr>
            </w:pPr>
            <w:r>
              <w:rPr>
                <w:color w:val="auto"/>
              </w:rPr>
              <w:t>190</w:t>
            </w:r>
          </w:p>
        </w:tc>
      </w:tr>
      <w:tr w14:paraId="14A4EB3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2EB35A98">
            <w:pPr>
              <w:pStyle w:val="33"/>
              <w:rPr>
                <w:color w:val="auto"/>
              </w:rPr>
            </w:pPr>
            <w:r>
              <w:rPr>
                <w:color w:val="auto"/>
              </w:rPr>
              <w:t>2</w:t>
            </w:r>
          </w:p>
        </w:tc>
        <w:tc>
          <w:tcPr>
            <w:tcW w:w="1643" w:type="dxa"/>
            <w:vAlign w:val="center"/>
          </w:tcPr>
          <w:p w14:paraId="31A74379">
            <w:pPr>
              <w:pStyle w:val="33"/>
              <w:rPr>
                <w:color w:val="auto"/>
              </w:rPr>
            </w:pPr>
            <w:r>
              <w:rPr>
                <w:color w:val="auto"/>
              </w:rPr>
              <w:t>锌≤</w:t>
            </w:r>
          </w:p>
        </w:tc>
        <w:tc>
          <w:tcPr>
            <w:tcW w:w="1632" w:type="dxa"/>
            <w:tcBorders>
              <w:right w:val="single" w:color="auto" w:sz="4" w:space="0"/>
            </w:tcBorders>
            <w:vAlign w:val="center"/>
          </w:tcPr>
          <w:p w14:paraId="78D45305">
            <w:pPr>
              <w:pStyle w:val="33"/>
              <w:rPr>
                <w:color w:val="auto"/>
              </w:rPr>
            </w:pPr>
            <w:r>
              <w:rPr>
                <w:color w:val="auto"/>
              </w:rPr>
              <w:t>200</w:t>
            </w:r>
          </w:p>
        </w:tc>
        <w:tc>
          <w:tcPr>
            <w:tcW w:w="1632" w:type="dxa"/>
            <w:tcBorders>
              <w:left w:val="single" w:color="auto" w:sz="4" w:space="0"/>
            </w:tcBorders>
            <w:vAlign w:val="center"/>
          </w:tcPr>
          <w:p w14:paraId="0481CD66">
            <w:pPr>
              <w:pStyle w:val="33"/>
              <w:rPr>
                <w:color w:val="auto"/>
              </w:rPr>
            </w:pPr>
            <w:r>
              <w:rPr>
                <w:color w:val="auto"/>
              </w:rPr>
              <w:t>200</w:t>
            </w:r>
          </w:p>
        </w:tc>
        <w:tc>
          <w:tcPr>
            <w:tcW w:w="1632" w:type="dxa"/>
            <w:vAlign w:val="center"/>
          </w:tcPr>
          <w:p w14:paraId="02B168CC">
            <w:pPr>
              <w:pStyle w:val="33"/>
              <w:rPr>
                <w:color w:val="auto"/>
              </w:rPr>
            </w:pPr>
            <w:r>
              <w:rPr>
                <w:color w:val="auto"/>
              </w:rPr>
              <w:t>250</w:t>
            </w:r>
          </w:p>
        </w:tc>
        <w:tc>
          <w:tcPr>
            <w:tcW w:w="1630" w:type="dxa"/>
            <w:vAlign w:val="center"/>
          </w:tcPr>
          <w:p w14:paraId="6B0E0A10">
            <w:pPr>
              <w:pStyle w:val="33"/>
              <w:rPr>
                <w:color w:val="auto"/>
              </w:rPr>
            </w:pPr>
            <w:r>
              <w:rPr>
                <w:color w:val="auto"/>
              </w:rPr>
              <w:t>300</w:t>
            </w:r>
          </w:p>
        </w:tc>
      </w:tr>
      <w:tr w14:paraId="21521EA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15E19BCB">
            <w:pPr>
              <w:pStyle w:val="33"/>
              <w:rPr>
                <w:color w:val="auto"/>
              </w:rPr>
            </w:pPr>
            <w:r>
              <w:rPr>
                <w:color w:val="auto"/>
              </w:rPr>
              <w:t>3</w:t>
            </w:r>
          </w:p>
        </w:tc>
        <w:tc>
          <w:tcPr>
            <w:tcW w:w="1643" w:type="dxa"/>
            <w:vAlign w:val="center"/>
          </w:tcPr>
          <w:p w14:paraId="0B226E4D">
            <w:pPr>
              <w:pStyle w:val="33"/>
              <w:rPr>
                <w:color w:val="auto"/>
              </w:rPr>
            </w:pPr>
            <w:r>
              <w:rPr>
                <w:color w:val="auto"/>
              </w:rPr>
              <w:t>铬 其他≤</w:t>
            </w:r>
          </w:p>
        </w:tc>
        <w:tc>
          <w:tcPr>
            <w:tcW w:w="1632" w:type="dxa"/>
            <w:tcBorders>
              <w:right w:val="single" w:color="auto" w:sz="4" w:space="0"/>
            </w:tcBorders>
            <w:vAlign w:val="center"/>
          </w:tcPr>
          <w:p w14:paraId="42EE3240">
            <w:pPr>
              <w:pStyle w:val="33"/>
              <w:rPr>
                <w:color w:val="auto"/>
              </w:rPr>
            </w:pPr>
            <w:r>
              <w:rPr>
                <w:color w:val="auto"/>
              </w:rPr>
              <w:t>150</w:t>
            </w:r>
          </w:p>
        </w:tc>
        <w:tc>
          <w:tcPr>
            <w:tcW w:w="1632" w:type="dxa"/>
            <w:tcBorders>
              <w:left w:val="single" w:color="auto" w:sz="4" w:space="0"/>
            </w:tcBorders>
            <w:vAlign w:val="center"/>
          </w:tcPr>
          <w:p w14:paraId="470A9685">
            <w:pPr>
              <w:pStyle w:val="33"/>
              <w:rPr>
                <w:color w:val="auto"/>
              </w:rPr>
            </w:pPr>
            <w:r>
              <w:rPr>
                <w:color w:val="auto"/>
              </w:rPr>
              <w:t>150</w:t>
            </w:r>
          </w:p>
        </w:tc>
        <w:tc>
          <w:tcPr>
            <w:tcW w:w="1632" w:type="dxa"/>
            <w:vAlign w:val="center"/>
          </w:tcPr>
          <w:p w14:paraId="7C3D3AEA">
            <w:pPr>
              <w:pStyle w:val="33"/>
              <w:rPr>
                <w:color w:val="auto"/>
              </w:rPr>
            </w:pPr>
            <w:r>
              <w:rPr>
                <w:color w:val="auto"/>
              </w:rPr>
              <w:t>200</w:t>
            </w:r>
          </w:p>
        </w:tc>
        <w:tc>
          <w:tcPr>
            <w:tcW w:w="1630" w:type="dxa"/>
            <w:vAlign w:val="center"/>
          </w:tcPr>
          <w:p w14:paraId="540A119A">
            <w:pPr>
              <w:pStyle w:val="33"/>
              <w:rPr>
                <w:color w:val="auto"/>
              </w:rPr>
            </w:pPr>
            <w:r>
              <w:rPr>
                <w:color w:val="auto"/>
              </w:rPr>
              <w:t>250</w:t>
            </w:r>
          </w:p>
        </w:tc>
      </w:tr>
      <w:tr w14:paraId="409F86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666FDBF7">
            <w:pPr>
              <w:pStyle w:val="33"/>
              <w:rPr>
                <w:color w:val="auto"/>
              </w:rPr>
            </w:pPr>
            <w:r>
              <w:rPr>
                <w:color w:val="auto"/>
              </w:rPr>
              <w:t>4</w:t>
            </w:r>
          </w:p>
        </w:tc>
        <w:tc>
          <w:tcPr>
            <w:tcW w:w="1643" w:type="dxa"/>
            <w:vAlign w:val="center"/>
          </w:tcPr>
          <w:p w14:paraId="6C567C01">
            <w:pPr>
              <w:pStyle w:val="33"/>
              <w:rPr>
                <w:color w:val="auto"/>
              </w:rPr>
            </w:pPr>
            <w:r>
              <w:rPr>
                <w:color w:val="auto"/>
              </w:rPr>
              <w:t>砷 其他≤</w:t>
            </w:r>
          </w:p>
        </w:tc>
        <w:tc>
          <w:tcPr>
            <w:tcW w:w="1632" w:type="dxa"/>
            <w:tcBorders>
              <w:right w:val="single" w:color="auto" w:sz="4" w:space="0"/>
            </w:tcBorders>
            <w:vAlign w:val="center"/>
          </w:tcPr>
          <w:p w14:paraId="4CE01412">
            <w:pPr>
              <w:pStyle w:val="33"/>
              <w:rPr>
                <w:color w:val="auto"/>
              </w:rPr>
            </w:pPr>
            <w:r>
              <w:rPr>
                <w:color w:val="auto"/>
              </w:rPr>
              <w:t>40</w:t>
            </w:r>
          </w:p>
        </w:tc>
        <w:tc>
          <w:tcPr>
            <w:tcW w:w="1632" w:type="dxa"/>
            <w:tcBorders>
              <w:left w:val="single" w:color="auto" w:sz="4" w:space="0"/>
            </w:tcBorders>
            <w:vAlign w:val="center"/>
          </w:tcPr>
          <w:p w14:paraId="4B6ECAFC">
            <w:pPr>
              <w:pStyle w:val="33"/>
              <w:rPr>
                <w:color w:val="auto"/>
              </w:rPr>
            </w:pPr>
            <w:r>
              <w:rPr>
                <w:color w:val="auto"/>
              </w:rPr>
              <w:t>40</w:t>
            </w:r>
          </w:p>
        </w:tc>
        <w:tc>
          <w:tcPr>
            <w:tcW w:w="1632" w:type="dxa"/>
            <w:vAlign w:val="center"/>
          </w:tcPr>
          <w:p w14:paraId="746DF438">
            <w:pPr>
              <w:pStyle w:val="33"/>
              <w:rPr>
                <w:color w:val="auto"/>
              </w:rPr>
            </w:pPr>
            <w:r>
              <w:rPr>
                <w:color w:val="auto"/>
              </w:rPr>
              <w:t>30</w:t>
            </w:r>
          </w:p>
        </w:tc>
        <w:tc>
          <w:tcPr>
            <w:tcW w:w="1630" w:type="dxa"/>
            <w:vAlign w:val="center"/>
          </w:tcPr>
          <w:p w14:paraId="393EFDE8">
            <w:pPr>
              <w:pStyle w:val="33"/>
              <w:rPr>
                <w:color w:val="auto"/>
              </w:rPr>
            </w:pPr>
            <w:r>
              <w:rPr>
                <w:color w:val="auto"/>
              </w:rPr>
              <w:t>25</w:t>
            </w:r>
          </w:p>
        </w:tc>
      </w:tr>
      <w:tr w14:paraId="52197A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4309C231">
            <w:pPr>
              <w:pStyle w:val="33"/>
              <w:rPr>
                <w:color w:val="auto"/>
              </w:rPr>
            </w:pPr>
            <w:r>
              <w:rPr>
                <w:color w:val="auto"/>
              </w:rPr>
              <w:t>5</w:t>
            </w:r>
          </w:p>
        </w:tc>
        <w:tc>
          <w:tcPr>
            <w:tcW w:w="1643" w:type="dxa"/>
            <w:vAlign w:val="center"/>
          </w:tcPr>
          <w:p w14:paraId="686BB36E">
            <w:pPr>
              <w:pStyle w:val="33"/>
              <w:rPr>
                <w:color w:val="auto"/>
              </w:rPr>
            </w:pPr>
            <w:r>
              <w:rPr>
                <w:color w:val="auto"/>
              </w:rPr>
              <w:t>铜 其他≤</w:t>
            </w:r>
          </w:p>
        </w:tc>
        <w:tc>
          <w:tcPr>
            <w:tcW w:w="1632" w:type="dxa"/>
            <w:tcBorders>
              <w:right w:val="single" w:color="auto" w:sz="4" w:space="0"/>
            </w:tcBorders>
            <w:vAlign w:val="center"/>
          </w:tcPr>
          <w:p w14:paraId="06CF76CE">
            <w:pPr>
              <w:pStyle w:val="33"/>
              <w:rPr>
                <w:color w:val="auto"/>
              </w:rPr>
            </w:pPr>
            <w:r>
              <w:rPr>
                <w:color w:val="auto"/>
              </w:rPr>
              <w:t>50</w:t>
            </w:r>
          </w:p>
        </w:tc>
        <w:tc>
          <w:tcPr>
            <w:tcW w:w="1632" w:type="dxa"/>
            <w:tcBorders>
              <w:left w:val="single" w:color="auto" w:sz="4" w:space="0"/>
            </w:tcBorders>
            <w:vAlign w:val="center"/>
          </w:tcPr>
          <w:p w14:paraId="600D6944">
            <w:pPr>
              <w:pStyle w:val="33"/>
              <w:rPr>
                <w:color w:val="auto"/>
              </w:rPr>
            </w:pPr>
            <w:r>
              <w:rPr>
                <w:color w:val="auto"/>
              </w:rPr>
              <w:t>50</w:t>
            </w:r>
          </w:p>
        </w:tc>
        <w:tc>
          <w:tcPr>
            <w:tcW w:w="1632" w:type="dxa"/>
            <w:vAlign w:val="center"/>
          </w:tcPr>
          <w:p w14:paraId="7D8C4AE3">
            <w:pPr>
              <w:pStyle w:val="33"/>
              <w:rPr>
                <w:color w:val="auto"/>
              </w:rPr>
            </w:pPr>
            <w:r>
              <w:rPr>
                <w:color w:val="auto"/>
              </w:rPr>
              <w:t>100</w:t>
            </w:r>
          </w:p>
        </w:tc>
        <w:tc>
          <w:tcPr>
            <w:tcW w:w="1630" w:type="dxa"/>
            <w:vAlign w:val="center"/>
          </w:tcPr>
          <w:p w14:paraId="0A21E9F8">
            <w:pPr>
              <w:pStyle w:val="33"/>
              <w:rPr>
                <w:color w:val="auto"/>
              </w:rPr>
            </w:pPr>
            <w:r>
              <w:rPr>
                <w:color w:val="auto"/>
              </w:rPr>
              <w:t>100</w:t>
            </w:r>
          </w:p>
        </w:tc>
      </w:tr>
      <w:tr w14:paraId="497749F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3670FB32">
            <w:pPr>
              <w:pStyle w:val="33"/>
              <w:rPr>
                <w:color w:val="auto"/>
              </w:rPr>
            </w:pPr>
            <w:r>
              <w:rPr>
                <w:color w:val="auto"/>
              </w:rPr>
              <w:t>6</w:t>
            </w:r>
          </w:p>
        </w:tc>
        <w:tc>
          <w:tcPr>
            <w:tcW w:w="1643" w:type="dxa"/>
            <w:vAlign w:val="center"/>
          </w:tcPr>
          <w:p w14:paraId="276187C1">
            <w:pPr>
              <w:pStyle w:val="33"/>
              <w:rPr>
                <w:color w:val="auto"/>
              </w:rPr>
            </w:pPr>
            <w:r>
              <w:rPr>
                <w:color w:val="auto"/>
              </w:rPr>
              <w:t>铅 其他≤</w:t>
            </w:r>
          </w:p>
        </w:tc>
        <w:tc>
          <w:tcPr>
            <w:tcW w:w="1632" w:type="dxa"/>
            <w:tcBorders>
              <w:right w:val="single" w:color="auto" w:sz="4" w:space="0"/>
            </w:tcBorders>
            <w:vAlign w:val="center"/>
          </w:tcPr>
          <w:p w14:paraId="63A1C1BD">
            <w:pPr>
              <w:pStyle w:val="33"/>
              <w:rPr>
                <w:color w:val="auto"/>
              </w:rPr>
            </w:pPr>
            <w:r>
              <w:rPr>
                <w:color w:val="auto"/>
              </w:rPr>
              <w:t>70</w:t>
            </w:r>
          </w:p>
        </w:tc>
        <w:tc>
          <w:tcPr>
            <w:tcW w:w="1632" w:type="dxa"/>
            <w:tcBorders>
              <w:left w:val="single" w:color="auto" w:sz="4" w:space="0"/>
            </w:tcBorders>
            <w:vAlign w:val="center"/>
          </w:tcPr>
          <w:p w14:paraId="4F926C91">
            <w:pPr>
              <w:pStyle w:val="33"/>
              <w:rPr>
                <w:color w:val="auto"/>
              </w:rPr>
            </w:pPr>
            <w:r>
              <w:rPr>
                <w:color w:val="auto"/>
              </w:rPr>
              <w:t>90</w:t>
            </w:r>
          </w:p>
        </w:tc>
        <w:tc>
          <w:tcPr>
            <w:tcW w:w="1632" w:type="dxa"/>
            <w:vAlign w:val="center"/>
          </w:tcPr>
          <w:p w14:paraId="3F5BC8A6">
            <w:pPr>
              <w:pStyle w:val="33"/>
              <w:rPr>
                <w:color w:val="auto"/>
              </w:rPr>
            </w:pPr>
            <w:r>
              <w:rPr>
                <w:color w:val="auto"/>
              </w:rPr>
              <w:t>120</w:t>
            </w:r>
          </w:p>
        </w:tc>
        <w:tc>
          <w:tcPr>
            <w:tcW w:w="1630" w:type="dxa"/>
            <w:vAlign w:val="center"/>
          </w:tcPr>
          <w:p w14:paraId="3F2D5734">
            <w:pPr>
              <w:pStyle w:val="33"/>
              <w:rPr>
                <w:color w:val="auto"/>
              </w:rPr>
            </w:pPr>
            <w:r>
              <w:rPr>
                <w:color w:val="auto"/>
              </w:rPr>
              <w:t>170</w:t>
            </w:r>
          </w:p>
        </w:tc>
      </w:tr>
      <w:tr w14:paraId="2285AE0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005E88E4">
            <w:pPr>
              <w:pStyle w:val="33"/>
              <w:rPr>
                <w:color w:val="auto"/>
              </w:rPr>
            </w:pPr>
            <w:r>
              <w:rPr>
                <w:color w:val="auto"/>
              </w:rPr>
              <w:t>7</w:t>
            </w:r>
          </w:p>
        </w:tc>
        <w:tc>
          <w:tcPr>
            <w:tcW w:w="1643" w:type="dxa"/>
            <w:vAlign w:val="center"/>
          </w:tcPr>
          <w:p w14:paraId="45B650B8">
            <w:pPr>
              <w:pStyle w:val="33"/>
              <w:rPr>
                <w:color w:val="auto"/>
              </w:rPr>
            </w:pPr>
            <w:r>
              <w:rPr>
                <w:color w:val="auto"/>
              </w:rPr>
              <w:t>镉 其他≤</w:t>
            </w:r>
          </w:p>
        </w:tc>
        <w:tc>
          <w:tcPr>
            <w:tcW w:w="1632" w:type="dxa"/>
            <w:tcBorders>
              <w:right w:val="single" w:color="auto" w:sz="4" w:space="0"/>
            </w:tcBorders>
            <w:vAlign w:val="center"/>
          </w:tcPr>
          <w:p w14:paraId="7E437E08">
            <w:pPr>
              <w:pStyle w:val="33"/>
              <w:rPr>
                <w:color w:val="auto"/>
              </w:rPr>
            </w:pPr>
            <w:r>
              <w:rPr>
                <w:color w:val="auto"/>
              </w:rPr>
              <w:t>0.3</w:t>
            </w:r>
          </w:p>
        </w:tc>
        <w:tc>
          <w:tcPr>
            <w:tcW w:w="1632" w:type="dxa"/>
            <w:tcBorders>
              <w:left w:val="single" w:color="auto" w:sz="4" w:space="0"/>
            </w:tcBorders>
            <w:vAlign w:val="center"/>
          </w:tcPr>
          <w:p w14:paraId="7E46E34D">
            <w:pPr>
              <w:pStyle w:val="33"/>
              <w:rPr>
                <w:color w:val="auto"/>
              </w:rPr>
            </w:pPr>
            <w:r>
              <w:rPr>
                <w:color w:val="auto"/>
              </w:rPr>
              <w:t>0.3</w:t>
            </w:r>
          </w:p>
        </w:tc>
        <w:tc>
          <w:tcPr>
            <w:tcW w:w="1632" w:type="dxa"/>
            <w:vAlign w:val="center"/>
          </w:tcPr>
          <w:p w14:paraId="008AFE7B">
            <w:pPr>
              <w:pStyle w:val="33"/>
              <w:rPr>
                <w:color w:val="auto"/>
              </w:rPr>
            </w:pPr>
            <w:r>
              <w:rPr>
                <w:color w:val="auto"/>
              </w:rPr>
              <w:t>0.3</w:t>
            </w:r>
          </w:p>
        </w:tc>
        <w:tc>
          <w:tcPr>
            <w:tcW w:w="1630" w:type="dxa"/>
            <w:vAlign w:val="center"/>
          </w:tcPr>
          <w:p w14:paraId="6F5171BF">
            <w:pPr>
              <w:pStyle w:val="33"/>
              <w:rPr>
                <w:color w:val="auto"/>
              </w:rPr>
            </w:pPr>
            <w:r>
              <w:rPr>
                <w:color w:val="auto"/>
              </w:rPr>
              <w:t>0.6</w:t>
            </w:r>
          </w:p>
        </w:tc>
      </w:tr>
      <w:tr w14:paraId="13910AD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40" w:hRule="atLeast"/>
        </w:trPr>
        <w:tc>
          <w:tcPr>
            <w:tcW w:w="895" w:type="dxa"/>
            <w:vAlign w:val="center"/>
          </w:tcPr>
          <w:p w14:paraId="7D71979B">
            <w:pPr>
              <w:pStyle w:val="33"/>
              <w:rPr>
                <w:color w:val="auto"/>
              </w:rPr>
            </w:pPr>
            <w:r>
              <w:rPr>
                <w:color w:val="auto"/>
              </w:rPr>
              <w:t>8</w:t>
            </w:r>
          </w:p>
        </w:tc>
        <w:tc>
          <w:tcPr>
            <w:tcW w:w="1643" w:type="dxa"/>
            <w:vAlign w:val="center"/>
          </w:tcPr>
          <w:p w14:paraId="09D21271">
            <w:pPr>
              <w:pStyle w:val="33"/>
              <w:rPr>
                <w:color w:val="auto"/>
              </w:rPr>
            </w:pPr>
            <w:r>
              <w:rPr>
                <w:color w:val="auto"/>
              </w:rPr>
              <w:t>汞 其他≤</w:t>
            </w:r>
          </w:p>
        </w:tc>
        <w:tc>
          <w:tcPr>
            <w:tcW w:w="1632" w:type="dxa"/>
            <w:tcBorders>
              <w:right w:val="single" w:color="auto" w:sz="4" w:space="0"/>
            </w:tcBorders>
            <w:vAlign w:val="center"/>
          </w:tcPr>
          <w:p w14:paraId="5B1A39B6">
            <w:pPr>
              <w:pStyle w:val="33"/>
              <w:rPr>
                <w:color w:val="auto"/>
              </w:rPr>
            </w:pPr>
            <w:r>
              <w:rPr>
                <w:color w:val="auto"/>
              </w:rPr>
              <w:t>1.3</w:t>
            </w:r>
          </w:p>
        </w:tc>
        <w:tc>
          <w:tcPr>
            <w:tcW w:w="1632" w:type="dxa"/>
            <w:tcBorders>
              <w:left w:val="single" w:color="auto" w:sz="4" w:space="0"/>
            </w:tcBorders>
            <w:vAlign w:val="center"/>
          </w:tcPr>
          <w:p w14:paraId="1824F1F5">
            <w:pPr>
              <w:pStyle w:val="33"/>
              <w:rPr>
                <w:color w:val="auto"/>
              </w:rPr>
            </w:pPr>
            <w:r>
              <w:rPr>
                <w:color w:val="auto"/>
              </w:rPr>
              <w:t>1.8</w:t>
            </w:r>
          </w:p>
        </w:tc>
        <w:tc>
          <w:tcPr>
            <w:tcW w:w="1632" w:type="dxa"/>
            <w:vAlign w:val="center"/>
          </w:tcPr>
          <w:p w14:paraId="5C62FAA0">
            <w:pPr>
              <w:pStyle w:val="33"/>
              <w:rPr>
                <w:color w:val="auto"/>
              </w:rPr>
            </w:pPr>
            <w:r>
              <w:rPr>
                <w:color w:val="auto"/>
              </w:rPr>
              <w:t>2.4</w:t>
            </w:r>
          </w:p>
        </w:tc>
        <w:tc>
          <w:tcPr>
            <w:tcW w:w="1630" w:type="dxa"/>
            <w:vAlign w:val="center"/>
          </w:tcPr>
          <w:p w14:paraId="5C35B5EC">
            <w:pPr>
              <w:pStyle w:val="33"/>
              <w:rPr>
                <w:color w:val="auto"/>
              </w:rPr>
            </w:pPr>
            <w:r>
              <w:rPr>
                <w:color w:val="auto"/>
              </w:rPr>
              <w:t>3.4</w:t>
            </w:r>
          </w:p>
        </w:tc>
      </w:tr>
    </w:tbl>
    <w:p w14:paraId="3E5A5185">
      <w:pPr>
        <w:pStyle w:val="7"/>
        <w:rPr>
          <w:color w:val="auto"/>
        </w:rPr>
      </w:pPr>
      <w:bookmarkStart w:id="90" w:name="_Ref185008230"/>
      <w:r>
        <w:rPr>
          <w:color w:val="auto"/>
        </w:rPr>
        <w:t>《土壤环境质量 建设用地土壤污染风险管控标准（试行）》（摘录）单位：mg/kg</w:t>
      </w:r>
      <w:bookmarkEnd w:id="90"/>
    </w:p>
    <w:tbl>
      <w:tblPr>
        <w:tblStyle w:val="26"/>
        <w:tblW w:w="9081" w:type="dxa"/>
        <w:tblInd w:w="0" w:type="dxa"/>
        <w:tblLayout w:type="fixed"/>
        <w:tblCellMar>
          <w:top w:w="0" w:type="dxa"/>
          <w:left w:w="0" w:type="dxa"/>
          <w:bottom w:w="0" w:type="dxa"/>
          <w:right w:w="0" w:type="dxa"/>
        </w:tblCellMar>
      </w:tblPr>
      <w:tblGrid>
        <w:gridCol w:w="431"/>
        <w:gridCol w:w="1701"/>
        <w:gridCol w:w="1275"/>
        <w:gridCol w:w="1560"/>
        <w:gridCol w:w="1417"/>
        <w:gridCol w:w="1276"/>
        <w:gridCol w:w="1421"/>
      </w:tblGrid>
      <w:tr w14:paraId="10FABFB4">
        <w:tblPrEx>
          <w:tblCellMar>
            <w:top w:w="0" w:type="dxa"/>
            <w:left w:w="0" w:type="dxa"/>
            <w:bottom w:w="0" w:type="dxa"/>
            <w:right w:w="0" w:type="dxa"/>
          </w:tblCellMar>
        </w:tblPrEx>
        <w:trPr>
          <w:trHeight w:val="365" w:hRule="atLeast"/>
          <w:tblHeader/>
        </w:trPr>
        <w:tc>
          <w:tcPr>
            <w:tcW w:w="431" w:type="dxa"/>
            <w:vMerge w:val="restart"/>
            <w:tcBorders>
              <w:top w:val="single" w:color="000000" w:sz="4" w:space="0"/>
              <w:left w:val="single" w:color="000000" w:sz="4" w:space="0"/>
              <w:right w:val="single" w:color="000000" w:sz="4" w:space="0"/>
            </w:tcBorders>
            <w:shd w:val="clear" w:color="auto" w:fill="FFFFFF"/>
            <w:vAlign w:val="center"/>
          </w:tcPr>
          <w:p w14:paraId="29F62C9E">
            <w:pPr>
              <w:pStyle w:val="33"/>
              <w:rPr>
                <w:color w:val="auto"/>
                <w:lang w:eastAsia="en-US"/>
              </w:rPr>
            </w:pPr>
            <w:r>
              <w:rPr>
                <w:rFonts w:hint="eastAsia"/>
                <w:color w:val="auto"/>
              </w:rPr>
              <w:t>序号</w:t>
            </w:r>
          </w:p>
        </w:tc>
        <w:tc>
          <w:tcPr>
            <w:tcW w:w="1701" w:type="dxa"/>
            <w:vMerge w:val="restart"/>
            <w:tcBorders>
              <w:top w:val="single" w:color="000000" w:sz="4" w:space="0"/>
              <w:left w:val="single" w:color="000000" w:sz="4" w:space="0"/>
              <w:right w:val="single" w:color="000000" w:sz="4" w:space="0"/>
            </w:tcBorders>
            <w:shd w:val="clear" w:color="auto" w:fill="FFFFFF"/>
            <w:vAlign w:val="center"/>
          </w:tcPr>
          <w:p w14:paraId="641A5FF2">
            <w:pPr>
              <w:pStyle w:val="33"/>
              <w:rPr>
                <w:color w:val="auto"/>
                <w:lang w:eastAsia="en-US"/>
              </w:rPr>
            </w:pPr>
            <w:r>
              <w:rPr>
                <w:rFonts w:hint="eastAsia"/>
                <w:color w:val="auto"/>
              </w:rPr>
              <w:t>项目</w:t>
            </w:r>
          </w:p>
        </w:tc>
        <w:tc>
          <w:tcPr>
            <w:tcW w:w="1275" w:type="dxa"/>
            <w:vMerge w:val="restart"/>
            <w:tcBorders>
              <w:top w:val="single" w:color="000000" w:sz="4" w:space="0"/>
              <w:left w:val="single" w:color="000000" w:sz="4" w:space="0"/>
              <w:right w:val="single" w:color="000000" w:sz="4" w:space="0"/>
            </w:tcBorders>
            <w:shd w:val="clear" w:color="auto" w:fill="FFFFFF"/>
            <w:vAlign w:val="center"/>
          </w:tcPr>
          <w:p w14:paraId="62DFA9BE">
            <w:pPr>
              <w:pStyle w:val="33"/>
              <w:rPr>
                <w:color w:val="auto"/>
                <w:lang w:eastAsia="en-US"/>
              </w:rPr>
            </w:pPr>
            <w:r>
              <w:rPr>
                <w:rFonts w:hint="eastAsia"/>
                <w:color w:val="auto"/>
              </w:rPr>
              <w:t>CAS编号</w:t>
            </w:r>
          </w:p>
        </w:tc>
        <w:tc>
          <w:tcPr>
            <w:tcW w:w="297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397FCE44">
            <w:pPr>
              <w:pStyle w:val="33"/>
              <w:rPr>
                <w:color w:val="auto"/>
                <w:lang w:eastAsia="en-US"/>
              </w:rPr>
            </w:pPr>
            <w:r>
              <w:rPr>
                <w:rFonts w:hint="eastAsia"/>
                <w:color w:val="auto"/>
              </w:rPr>
              <w:t>筛选值</w:t>
            </w:r>
          </w:p>
        </w:tc>
        <w:tc>
          <w:tcPr>
            <w:tcW w:w="2697" w:type="dxa"/>
            <w:gridSpan w:val="2"/>
            <w:tcBorders>
              <w:top w:val="single" w:color="000000" w:sz="4" w:space="0"/>
              <w:left w:val="single" w:color="000000" w:sz="4" w:space="0"/>
              <w:bottom w:val="single" w:color="000000" w:sz="4" w:space="0"/>
              <w:right w:val="single" w:color="000000" w:sz="4" w:space="0"/>
            </w:tcBorders>
            <w:shd w:val="clear" w:color="auto" w:fill="FFFFFF"/>
            <w:vAlign w:val="center"/>
          </w:tcPr>
          <w:p w14:paraId="7718E449">
            <w:pPr>
              <w:pStyle w:val="33"/>
              <w:rPr>
                <w:color w:val="auto"/>
                <w:lang w:eastAsia="en-US"/>
              </w:rPr>
            </w:pPr>
            <w:r>
              <w:rPr>
                <w:rFonts w:hint="eastAsia"/>
                <w:color w:val="auto"/>
              </w:rPr>
              <w:t>管控制</w:t>
            </w:r>
          </w:p>
        </w:tc>
      </w:tr>
      <w:tr w14:paraId="1BD06006">
        <w:tblPrEx>
          <w:tblCellMar>
            <w:top w:w="0" w:type="dxa"/>
            <w:left w:w="0" w:type="dxa"/>
            <w:bottom w:w="0" w:type="dxa"/>
            <w:right w:w="0" w:type="dxa"/>
          </w:tblCellMar>
        </w:tblPrEx>
        <w:trPr>
          <w:trHeight w:val="413" w:hRule="exact"/>
          <w:tblHeader/>
        </w:trPr>
        <w:tc>
          <w:tcPr>
            <w:tcW w:w="431" w:type="dxa"/>
            <w:vMerge w:val="continue"/>
            <w:tcBorders>
              <w:left w:val="single" w:color="000000" w:sz="4" w:space="0"/>
              <w:bottom w:val="single" w:color="000000" w:sz="4" w:space="0"/>
              <w:right w:val="single" w:color="000000" w:sz="4" w:space="0"/>
            </w:tcBorders>
            <w:shd w:val="clear" w:color="auto" w:fill="FFFFFF"/>
            <w:vAlign w:val="center"/>
          </w:tcPr>
          <w:p w14:paraId="7E99278A">
            <w:pPr>
              <w:pStyle w:val="33"/>
              <w:rPr>
                <w:color w:val="auto"/>
                <w:lang w:eastAsia="en-US"/>
              </w:rPr>
            </w:pPr>
          </w:p>
        </w:tc>
        <w:tc>
          <w:tcPr>
            <w:tcW w:w="1701" w:type="dxa"/>
            <w:vMerge w:val="continue"/>
            <w:tcBorders>
              <w:left w:val="single" w:color="000000" w:sz="4" w:space="0"/>
              <w:bottom w:val="single" w:color="000000" w:sz="4" w:space="0"/>
              <w:right w:val="single" w:color="000000" w:sz="4" w:space="0"/>
            </w:tcBorders>
            <w:shd w:val="clear" w:color="auto" w:fill="FFFFFF"/>
            <w:vAlign w:val="center"/>
          </w:tcPr>
          <w:p w14:paraId="548EE074">
            <w:pPr>
              <w:pStyle w:val="33"/>
              <w:rPr>
                <w:color w:val="auto"/>
                <w:lang w:eastAsia="en-US"/>
              </w:rPr>
            </w:pPr>
          </w:p>
        </w:tc>
        <w:tc>
          <w:tcPr>
            <w:tcW w:w="1275" w:type="dxa"/>
            <w:vMerge w:val="continue"/>
            <w:tcBorders>
              <w:left w:val="single" w:color="000000" w:sz="4" w:space="0"/>
              <w:bottom w:val="single" w:color="000000" w:sz="4" w:space="0"/>
              <w:right w:val="single" w:color="000000" w:sz="4" w:space="0"/>
            </w:tcBorders>
            <w:shd w:val="clear" w:color="auto" w:fill="FFFFFF"/>
            <w:vAlign w:val="center"/>
          </w:tcPr>
          <w:p w14:paraId="08459DC8">
            <w:pPr>
              <w:pStyle w:val="33"/>
              <w:rPr>
                <w:color w:val="auto"/>
                <w:lang w:eastAsia="en-US"/>
              </w:rPr>
            </w:pP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C2BAC0">
            <w:pPr>
              <w:pStyle w:val="33"/>
              <w:rPr>
                <w:color w:val="auto"/>
                <w:lang w:eastAsia="en-US"/>
              </w:rPr>
            </w:pPr>
            <w:r>
              <w:rPr>
                <w:rFonts w:hint="eastAsia"/>
                <w:color w:val="auto"/>
              </w:rPr>
              <w:t>第一类用地</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834153">
            <w:pPr>
              <w:pStyle w:val="33"/>
              <w:rPr>
                <w:color w:val="auto"/>
                <w:lang w:eastAsia="en-US"/>
              </w:rPr>
            </w:pPr>
            <w:r>
              <w:rPr>
                <w:rFonts w:hint="eastAsia"/>
                <w:color w:val="auto"/>
              </w:rPr>
              <w:t>第二类用地</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6DE473">
            <w:pPr>
              <w:pStyle w:val="33"/>
              <w:rPr>
                <w:color w:val="auto"/>
                <w:lang w:eastAsia="en-US"/>
              </w:rPr>
            </w:pPr>
            <w:r>
              <w:rPr>
                <w:rFonts w:hint="eastAsia"/>
                <w:color w:val="auto"/>
              </w:rPr>
              <w:t>第一类用地</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E1B459">
            <w:pPr>
              <w:pStyle w:val="33"/>
              <w:rPr>
                <w:color w:val="auto"/>
                <w:lang w:eastAsia="en-US"/>
              </w:rPr>
            </w:pPr>
            <w:r>
              <w:rPr>
                <w:rFonts w:hint="eastAsia"/>
                <w:color w:val="auto"/>
              </w:rPr>
              <w:t>第二类用地</w:t>
            </w:r>
          </w:p>
        </w:tc>
      </w:tr>
      <w:tr w14:paraId="43617B85">
        <w:trPr>
          <w:trHeight w:val="317" w:hRule="exact"/>
        </w:trPr>
        <w:tc>
          <w:tcPr>
            <w:tcW w:w="9081"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14:paraId="240087AB">
            <w:pPr>
              <w:pStyle w:val="33"/>
              <w:rPr>
                <w:color w:val="auto"/>
                <w:lang w:eastAsia="en-US"/>
              </w:rPr>
            </w:pPr>
            <w:r>
              <w:rPr>
                <w:rFonts w:hint="eastAsia"/>
                <w:color w:val="auto"/>
              </w:rPr>
              <w:t>重金属和无机物</w:t>
            </w:r>
          </w:p>
        </w:tc>
      </w:tr>
      <w:tr w14:paraId="07CEE725">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CC7356">
            <w:pPr>
              <w:pStyle w:val="33"/>
              <w:rPr>
                <w:color w:val="auto"/>
                <w:lang w:eastAsia="en-US"/>
              </w:rPr>
            </w:pPr>
            <w:r>
              <w:rPr>
                <w:color w:val="auto"/>
                <w:lang w:eastAsia="en-US"/>
              </w:rPr>
              <w:t>1</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7171CC">
            <w:pPr>
              <w:pStyle w:val="33"/>
              <w:rPr>
                <w:color w:val="auto"/>
                <w:lang w:eastAsia="en-US"/>
              </w:rPr>
            </w:pPr>
            <w:r>
              <w:rPr>
                <w:color w:val="auto"/>
                <w:lang w:eastAsia="en-US"/>
              </w:rPr>
              <w:t>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6278ADB">
            <w:pPr>
              <w:pStyle w:val="33"/>
              <w:rPr>
                <w:color w:val="auto"/>
                <w:lang w:eastAsia="en-US"/>
              </w:rPr>
            </w:pPr>
            <w:r>
              <w:rPr>
                <w:color w:val="auto"/>
                <w:lang w:eastAsia="en-US"/>
              </w:rPr>
              <w:t>7440-38-2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06D531">
            <w:pPr>
              <w:pStyle w:val="33"/>
              <w:rPr>
                <w:color w:val="auto"/>
              </w:rPr>
            </w:pPr>
            <w:r>
              <w:rPr>
                <w:color w:val="auto"/>
                <w:lang w:eastAsia="en-US"/>
              </w:rPr>
              <w:t>20</w:t>
            </w:r>
          </w:p>
          <w:p w14:paraId="0F2D8648">
            <w:pPr>
              <w:pStyle w:val="33"/>
              <w:rPr>
                <w:color w:val="auto"/>
                <w:lang w:eastAsia="en-US"/>
              </w:rPr>
            </w:pPr>
            <w:r>
              <w:rPr>
                <w:color w:val="auto"/>
                <w:lang w:eastAsia="en-US"/>
              </w:rPr>
              <w:t>20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852496">
            <w:pPr>
              <w:pStyle w:val="33"/>
              <w:rPr>
                <w:color w:val="auto"/>
              </w:rPr>
            </w:pPr>
            <w:r>
              <w:rPr>
                <w:color w:val="auto"/>
                <w:lang w:eastAsia="en-US"/>
              </w:rPr>
              <w:t>60</w:t>
            </w:r>
          </w:p>
          <w:p w14:paraId="6ED983AD">
            <w:pPr>
              <w:pStyle w:val="33"/>
              <w:rPr>
                <w:color w:val="auto"/>
                <w:lang w:eastAsia="en-US"/>
              </w:rPr>
            </w:pPr>
            <w:r>
              <w:rPr>
                <w:color w:val="auto"/>
                <w:lang w:eastAsia="en-US"/>
              </w:rPr>
              <w:t>60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9D8759">
            <w:pPr>
              <w:pStyle w:val="33"/>
              <w:rPr>
                <w:color w:val="auto"/>
                <w:lang w:eastAsia="en-US"/>
              </w:rPr>
            </w:pPr>
            <w:r>
              <w:rPr>
                <w:color w:val="auto"/>
                <w:lang w:eastAsia="en-US"/>
              </w:rPr>
              <w:t>120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5E32C8">
            <w:pPr>
              <w:pStyle w:val="33"/>
              <w:rPr>
                <w:color w:val="auto"/>
                <w:lang w:eastAsia="en-US"/>
              </w:rPr>
            </w:pPr>
            <w:r>
              <w:rPr>
                <w:color w:val="auto"/>
                <w:lang w:eastAsia="en-US"/>
              </w:rPr>
              <w:t>140</w:t>
            </w:r>
          </w:p>
        </w:tc>
      </w:tr>
      <w:tr w14:paraId="05FDE3FE">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862AAB">
            <w:pPr>
              <w:pStyle w:val="33"/>
              <w:rPr>
                <w:color w:val="auto"/>
                <w:lang w:eastAsia="en-US"/>
              </w:rPr>
            </w:pPr>
            <w:r>
              <w:rPr>
                <w:color w:val="auto"/>
                <w:lang w:eastAsia="en-US"/>
              </w:rPr>
              <w:t>2</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11FACBF">
            <w:pPr>
              <w:pStyle w:val="33"/>
              <w:rPr>
                <w:color w:val="auto"/>
                <w:lang w:eastAsia="en-US"/>
              </w:rPr>
            </w:pPr>
            <w:r>
              <w:rPr>
                <w:color w:val="auto"/>
                <w:lang w:eastAsia="en-US"/>
              </w:rPr>
              <w:t>镉</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33184C">
            <w:pPr>
              <w:pStyle w:val="33"/>
              <w:rPr>
                <w:color w:val="auto"/>
                <w:lang w:eastAsia="en-US"/>
              </w:rPr>
            </w:pPr>
            <w:r>
              <w:rPr>
                <w:color w:val="auto"/>
                <w:lang w:eastAsia="en-US"/>
              </w:rPr>
              <w:t>7440-43-9</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37C738">
            <w:pPr>
              <w:pStyle w:val="33"/>
              <w:rPr>
                <w:color w:val="auto"/>
                <w:lang w:eastAsia="en-US"/>
              </w:rPr>
            </w:pPr>
            <w:r>
              <w:rPr>
                <w:color w:val="auto"/>
                <w:lang w:eastAsia="en-US"/>
              </w:rPr>
              <w:t>20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27E3E">
            <w:pPr>
              <w:pStyle w:val="33"/>
              <w:rPr>
                <w:color w:val="auto"/>
                <w:lang w:eastAsia="en-US"/>
              </w:rPr>
            </w:pPr>
            <w:r>
              <w:rPr>
                <w:color w:val="auto"/>
                <w:lang w:eastAsia="en-US"/>
              </w:rPr>
              <w:t>65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11F4A0">
            <w:pPr>
              <w:pStyle w:val="33"/>
              <w:rPr>
                <w:color w:val="auto"/>
                <w:lang w:eastAsia="en-US"/>
              </w:rPr>
            </w:pPr>
            <w:r>
              <w:rPr>
                <w:color w:val="auto"/>
                <w:lang w:eastAsia="en-US"/>
              </w:rPr>
              <w:t>47</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E291BD">
            <w:pPr>
              <w:pStyle w:val="33"/>
              <w:rPr>
                <w:color w:val="auto"/>
                <w:lang w:eastAsia="en-US"/>
              </w:rPr>
            </w:pPr>
            <w:r>
              <w:rPr>
                <w:color w:val="auto"/>
                <w:lang w:eastAsia="en-US"/>
              </w:rPr>
              <w:t>172</w:t>
            </w:r>
          </w:p>
        </w:tc>
      </w:tr>
      <w:tr w14:paraId="1AE87C88">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204310">
            <w:pPr>
              <w:pStyle w:val="33"/>
              <w:rPr>
                <w:color w:val="auto"/>
                <w:lang w:eastAsia="en-US"/>
              </w:rPr>
            </w:pPr>
            <w:r>
              <w:rPr>
                <w:color w:val="auto"/>
                <w:lang w:eastAsia="en-US"/>
              </w:rPr>
              <w:t>3</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B9BB12">
            <w:pPr>
              <w:pStyle w:val="33"/>
              <w:rPr>
                <w:color w:val="auto"/>
                <w:lang w:eastAsia="en-US"/>
              </w:rPr>
            </w:pPr>
            <w:r>
              <w:rPr>
                <w:rFonts w:hint="eastAsia"/>
                <w:color w:val="auto"/>
              </w:rPr>
              <w:t>铬</w:t>
            </w:r>
            <w:r>
              <w:rPr>
                <w:color w:val="auto"/>
                <w:lang w:eastAsia="en-US"/>
              </w:rPr>
              <w:t>（六价）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4A5790">
            <w:pPr>
              <w:pStyle w:val="33"/>
              <w:rPr>
                <w:color w:val="auto"/>
                <w:lang w:eastAsia="en-US"/>
              </w:rPr>
            </w:pPr>
            <w:r>
              <w:rPr>
                <w:color w:val="auto"/>
                <w:lang w:eastAsia="en-US"/>
              </w:rPr>
              <w:t>18540-29-9</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0E07BB">
            <w:pPr>
              <w:pStyle w:val="33"/>
              <w:rPr>
                <w:color w:val="auto"/>
                <w:lang w:eastAsia="en-US"/>
              </w:rPr>
            </w:pPr>
            <w:r>
              <w:rPr>
                <w:color w:val="auto"/>
                <w:lang w:eastAsia="en-US"/>
              </w:rPr>
              <w:t>3.0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4B514C">
            <w:pPr>
              <w:pStyle w:val="33"/>
              <w:rPr>
                <w:color w:val="auto"/>
                <w:lang w:eastAsia="en-US"/>
              </w:rPr>
            </w:pPr>
            <w:r>
              <w:rPr>
                <w:color w:val="auto"/>
                <w:lang w:eastAsia="en-US"/>
              </w:rPr>
              <w:t>5.7</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7AAB92">
            <w:pPr>
              <w:pStyle w:val="33"/>
              <w:rPr>
                <w:color w:val="auto"/>
                <w:lang w:eastAsia="en-US"/>
              </w:rPr>
            </w:pPr>
            <w:r>
              <w:rPr>
                <w:color w:val="auto"/>
                <w:lang w:eastAsia="en-US"/>
              </w:rPr>
              <w:t>30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14ED83">
            <w:pPr>
              <w:pStyle w:val="33"/>
              <w:rPr>
                <w:color w:val="auto"/>
                <w:lang w:eastAsia="en-US"/>
              </w:rPr>
            </w:pPr>
            <w:r>
              <w:rPr>
                <w:color w:val="auto"/>
                <w:lang w:eastAsia="en-US"/>
              </w:rPr>
              <w:t>78</w:t>
            </w:r>
          </w:p>
        </w:tc>
      </w:tr>
      <w:tr w14:paraId="5412FA8E">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FE1AE3">
            <w:pPr>
              <w:pStyle w:val="33"/>
              <w:rPr>
                <w:color w:val="auto"/>
                <w:lang w:eastAsia="en-US"/>
              </w:rPr>
            </w:pPr>
            <w:r>
              <w:rPr>
                <w:color w:val="auto"/>
                <w:lang w:eastAsia="en-US"/>
              </w:rPr>
              <w:t>4</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5A659F">
            <w:pPr>
              <w:pStyle w:val="33"/>
              <w:rPr>
                <w:color w:val="auto"/>
                <w:lang w:eastAsia="en-US"/>
              </w:rPr>
            </w:pPr>
            <w:r>
              <w:rPr>
                <w:color w:val="auto"/>
                <w:lang w:eastAsia="en-US"/>
              </w:rPr>
              <w:t>铜</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F95D2D">
            <w:pPr>
              <w:pStyle w:val="33"/>
              <w:rPr>
                <w:color w:val="auto"/>
                <w:lang w:eastAsia="en-US"/>
              </w:rPr>
            </w:pPr>
            <w:r>
              <w:rPr>
                <w:color w:val="auto"/>
                <w:lang w:eastAsia="en-US"/>
              </w:rPr>
              <w:t>7440-50-8</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786E14">
            <w:pPr>
              <w:pStyle w:val="33"/>
              <w:rPr>
                <w:color w:val="auto"/>
                <w:lang w:eastAsia="en-US"/>
              </w:rPr>
            </w:pPr>
            <w:r>
              <w:rPr>
                <w:color w:val="auto"/>
                <w:lang w:eastAsia="en-US"/>
              </w:rPr>
              <w:t>2000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23A9F1">
            <w:pPr>
              <w:pStyle w:val="33"/>
              <w:rPr>
                <w:color w:val="auto"/>
                <w:lang w:eastAsia="en-US"/>
              </w:rPr>
            </w:pPr>
            <w:r>
              <w:rPr>
                <w:color w:val="auto"/>
                <w:lang w:eastAsia="en-US"/>
              </w:rPr>
              <w:t>18000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3B50A0">
            <w:pPr>
              <w:pStyle w:val="33"/>
              <w:rPr>
                <w:color w:val="auto"/>
                <w:lang w:eastAsia="en-US"/>
              </w:rPr>
            </w:pPr>
            <w:r>
              <w:rPr>
                <w:color w:val="auto"/>
                <w:lang w:eastAsia="en-US"/>
              </w:rPr>
              <w:t>8000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90EE4D">
            <w:pPr>
              <w:pStyle w:val="33"/>
              <w:rPr>
                <w:color w:val="auto"/>
                <w:lang w:eastAsia="en-US"/>
              </w:rPr>
            </w:pPr>
            <w:r>
              <w:rPr>
                <w:color w:val="auto"/>
                <w:lang w:eastAsia="en-US"/>
              </w:rPr>
              <w:t>36000</w:t>
            </w:r>
          </w:p>
        </w:tc>
      </w:tr>
      <w:tr w14:paraId="465E0BB3">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22F9B7">
            <w:pPr>
              <w:pStyle w:val="33"/>
              <w:rPr>
                <w:color w:val="auto"/>
                <w:lang w:eastAsia="en-US"/>
              </w:rPr>
            </w:pPr>
            <w:r>
              <w:rPr>
                <w:color w:val="auto"/>
                <w:lang w:eastAsia="en-US"/>
              </w:rPr>
              <w:t>5</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D2E369">
            <w:pPr>
              <w:pStyle w:val="33"/>
              <w:rPr>
                <w:color w:val="auto"/>
                <w:lang w:eastAsia="en-US"/>
              </w:rPr>
            </w:pPr>
            <w:r>
              <w:rPr>
                <w:color w:val="auto"/>
                <w:lang w:eastAsia="en-US"/>
              </w:rPr>
              <w:t>铅</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6AE56D">
            <w:pPr>
              <w:pStyle w:val="33"/>
              <w:rPr>
                <w:color w:val="auto"/>
                <w:lang w:eastAsia="en-US"/>
              </w:rPr>
            </w:pPr>
            <w:r>
              <w:rPr>
                <w:color w:val="auto"/>
                <w:lang w:eastAsia="en-US"/>
              </w:rPr>
              <w:t>7439-92-1</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03581">
            <w:pPr>
              <w:pStyle w:val="33"/>
              <w:rPr>
                <w:color w:val="auto"/>
                <w:lang w:eastAsia="en-US"/>
              </w:rPr>
            </w:pPr>
            <w:r>
              <w:rPr>
                <w:color w:val="auto"/>
                <w:lang w:eastAsia="en-US"/>
              </w:rPr>
              <w:t>400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416476">
            <w:pPr>
              <w:pStyle w:val="33"/>
              <w:rPr>
                <w:color w:val="auto"/>
                <w:lang w:eastAsia="en-US"/>
              </w:rPr>
            </w:pPr>
            <w:r>
              <w:rPr>
                <w:color w:val="auto"/>
                <w:lang w:eastAsia="en-US"/>
              </w:rPr>
              <w:t>800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B7F176">
            <w:pPr>
              <w:pStyle w:val="33"/>
              <w:rPr>
                <w:color w:val="auto"/>
                <w:lang w:eastAsia="en-US"/>
              </w:rPr>
            </w:pPr>
            <w:r>
              <w:rPr>
                <w:color w:val="auto"/>
                <w:lang w:eastAsia="en-US"/>
              </w:rPr>
              <w:t>800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B71999">
            <w:pPr>
              <w:pStyle w:val="33"/>
              <w:rPr>
                <w:color w:val="auto"/>
                <w:lang w:eastAsia="en-US"/>
              </w:rPr>
            </w:pPr>
            <w:r>
              <w:rPr>
                <w:color w:val="auto"/>
                <w:lang w:eastAsia="en-US"/>
              </w:rPr>
              <w:t>2500</w:t>
            </w:r>
          </w:p>
        </w:tc>
      </w:tr>
      <w:tr w14:paraId="39B3489F">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F3BB74">
            <w:pPr>
              <w:pStyle w:val="33"/>
              <w:rPr>
                <w:color w:val="auto"/>
                <w:lang w:eastAsia="en-US"/>
              </w:rPr>
            </w:pPr>
            <w:r>
              <w:rPr>
                <w:color w:val="auto"/>
                <w:lang w:eastAsia="en-US"/>
              </w:rPr>
              <w:t>6</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6B1A6C">
            <w:pPr>
              <w:pStyle w:val="33"/>
              <w:rPr>
                <w:color w:val="auto"/>
                <w:lang w:eastAsia="en-US"/>
              </w:rPr>
            </w:pPr>
            <w:r>
              <w:rPr>
                <w:color w:val="auto"/>
                <w:lang w:eastAsia="en-US"/>
              </w:rPr>
              <w:t>汞</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E16D70">
            <w:pPr>
              <w:pStyle w:val="33"/>
              <w:rPr>
                <w:color w:val="auto"/>
                <w:lang w:eastAsia="en-US"/>
              </w:rPr>
            </w:pPr>
            <w:r>
              <w:rPr>
                <w:color w:val="auto"/>
                <w:lang w:eastAsia="en-US"/>
              </w:rPr>
              <w:t>7439-97-6</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30311D">
            <w:pPr>
              <w:pStyle w:val="33"/>
              <w:rPr>
                <w:color w:val="auto"/>
                <w:lang w:eastAsia="en-US"/>
              </w:rPr>
            </w:pPr>
            <w:r>
              <w:rPr>
                <w:color w:val="auto"/>
                <w:lang w:eastAsia="en-US"/>
              </w:rPr>
              <w:t>8</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D8EDB1">
            <w:pPr>
              <w:pStyle w:val="33"/>
              <w:rPr>
                <w:color w:val="auto"/>
                <w:lang w:eastAsia="en-US"/>
              </w:rPr>
            </w:pPr>
            <w:r>
              <w:rPr>
                <w:color w:val="auto"/>
                <w:lang w:eastAsia="en-US"/>
              </w:rPr>
              <w:t>38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237611">
            <w:pPr>
              <w:pStyle w:val="33"/>
              <w:rPr>
                <w:color w:val="auto"/>
                <w:lang w:eastAsia="en-US"/>
              </w:rPr>
            </w:pPr>
            <w:r>
              <w:rPr>
                <w:color w:val="auto"/>
                <w:lang w:eastAsia="en-US"/>
              </w:rPr>
              <w:t>33</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75510E">
            <w:pPr>
              <w:pStyle w:val="33"/>
              <w:rPr>
                <w:color w:val="auto"/>
                <w:lang w:eastAsia="en-US"/>
              </w:rPr>
            </w:pPr>
            <w:r>
              <w:rPr>
                <w:color w:val="auto"/>
                <w:lang w:eastAsia="en-US"/>
              </w:rPr>
              <w:t>82</w:t>
            </w:r>
          </w:p>
        </w:tc>
      </w:tr>
      <w:tr w14:paraId="0459A518">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F5E0FE">
            <w:pPr>
              <w:pStyle w:val="33"/>
              <w:rPr>
                <w:color w:val="auto"/>
                <w:lang w:eastAsia="en-US"/>
              </w:rPr>
            </w:pPr>
            <w:r>
              <w:rPr>
                <w:color w:val="auto"/>
                <w:lang w:eastAsia="en-US"/>
              </w:rPr>
              <w:t>7</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C532F6">
            <w:pPr>
              <w:pStyle w:val="33"/>
              <w:rPr>
                <w:color w:val="auto"/>
                <w:lang w:eastAsia="en-US"/>
              </w:rPr>
            </w:pPr>
            <w:r>
              <w:rPr>
                <w:color w:val="auto"/>
                <w:lang w:eastAsia="en-US"/>
              </w:rPr>
              <w:t>镍</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40D42B">
            <w:pPr>
              <w:pStyle w:val="33"/>
              <w:rPr>
                <w:color w:val="auto"/>
                <w:lang w:eastAsia="en-US"/>
              </w:rPr>
            </w:pPr>
            <w:r>
              <w:rPr>
                <w:color w:val="auto"/>
                <w:lang w:eastAsia="en-US"/>
              </w:rPr>
              <w:t>7440-02-0</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18566F">
            <w:pPr>
              <w:pStyle w:val="33"/>
              <w:rPr>
                <w:color w:val="auto"/>
                <w:lang w:eastAsia="en-US"/>
              </w:rPr>
            </w:pPr>
            <w:r>
              <w:rPr>
                <w:color w:val="auto"/>
                <w:lang w:eastAsia="en-US"/>
              </w:rPr>
              <w:t>150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B88782">
            <w:pPr>
              <w:pStyle w:val="33"/>
              <w:rPr>
                <w:color w:val="auto"/>
                <w:lang w:eastAsia="en-US"/>
              </w:rPr>
            </w:pPr>
            <w:r>
              <w:rPr>
                <w:color w:val="auto"/>
                <w:lang w:eastAsia="en-US"/>
              </w:rPr>
              <w:t>900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33865B">
            <w:pPr>
              <w:pStyle w:val="33"/>
              <w:rPr>
                <w:color w:val="auto"/>
                <w:lang w:eastAsia="en-US"/>
              </w:rPr>
            </w:pPr>
            <w:r>
              <w:rPr>
                <w:color w:val="auto"/>
                <w:lang w:eastAsia="en-US"/>
              </w:rPr>
              <w:t>600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B61BEA">
            <w:pPr>
              <w:pStyle w:val="33"/>
              <w:rPr>
                <w:color w:val="auto"/>
                <w:lang w:eastAsia="en-US"/>
              </w:rPr>
            </w:pPr>
            <w:r>
              <w:rPr>
                <w:color w:val="auto"/>
                <w:lang w:eastAsia="en-US"/>
              </w:rPr>
              <w:t>2000</w:t>
            </w:r>
          </w:p>
        </w:tc>
      </w:tr>
      <w:tr w14:paraId="1233198B">
        <w:trPr>
          <w:trHeight w:val="317" w:hRule="exact"/>
        </w:trPr>
        <w:tc>
          <w:tcPr>
            <w:tcW w:w="9081"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14:paraId="7E1F4F53">
            <w:pPr>
              <w:pStyle w:val="33"/>
              <w:rPr>
                <w:color w:val="auto"/>
                <w:lang w:eastAsia="en-US"/>
              </w:rPr>
            </w:pPr>
            <w:r>
              <w:rPr>
                <w:rFonts w:hint="eastAsia"/>
                <w:color w:val="auto"/>
              </w:rPr>
              <w:t>挥发性有机物</w:t>
            </w:r>
          </w:p>
        </w:tc>
      </w:tr>
      <w:tr w14:paraId="5E223123">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679CAC">
            <w:pPr>
              <w:pStyle w:val="33"/>
              <w:rPr>
                <w:color w:val="auto"/>
                <w:lang w:eastAsia="en-US"/>
              </w:rPr>
            </w:pPr>
            <w:r>
              <w:rPr>
                <w:color w:val="auto"/>
                <w:lang w:eastAsia="en-US"/>
              </w:rPr>
              <w:t>8</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F24EA6">
            <w:pPr>
              <w:pStyle w:val="33"/>
              <w:rPr>
                <w:color w:val="auto"/>
                <w:lang w:eastAsia="en-US"/>
              </w:rPr>
            </w:pPr>
            <w:r>
              <w:rPr>
                <w:rFonts w:hint="eastAsia"/>
                <w:color w:val="auto"/>
              </w:rPr>
              <w:t>四氯化碳</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BFF9D0">
            <w:pPr>
              <w:pStyle w:val="33"/>
              <w:rPr>
                <w:color w:val="auto"/>
                <w:lang w:eastAsia="en-US"/>
              </w:rPr>
            </w:pPr>
            <w:r>
              <w:rPr>
                <w:color w:val="auto"/>
                <w:lang w:eastAsia="en-US"/>
              </w:rPr>
              <w:t>56-23-5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DF93A7">
            <w:pPr>
              <w:pStyle w:val="33"/>
              <w:rPr>
                <w:color w:val="auto"/>
                <w:lang w:eastAsia="en-US"/>
              </w:rPr>
            </w:pPr>
            <w:r>
              <w:rPr>
                <w:color w:val="auto"/>
                <w:lang w:eastAsia="en-US"/>
              </w:rPr>
              <w:t>0.9</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304781">
            <w:pPr>
              <w:pStyle w:val="33"/>
              <w:rPr>
                <w:color w:val="auto"/>
                <w:lang w:eastAsia="en-US"/>
              </w:rPr>
            </w:pPr>
            <w:r>
              <w:rPr>
                <w:color w:val="auto"/>
                <w:lang w:eastAsia="en-US"/>
              </w:rPr>
              <w:t>2.8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63417E5">
            <w:pPr>
              <w:pStyle w:val="33"/>
              <w:rPr>
                <w:color w:val="auto"/>
                <w:lang w:eastAsia="en-US"/>
              </w:rPr>
            </w:pPr>
            <w:r>
              <w:rPr>
                <w:color w:val="auto"/>
                <w:lang w:eastAsia="en-US"/>
              </w:rPr>
              <w:t>9</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85ABF1">
            <w:pPr>
              <w:pStyle w:val="33"/>
              <w:rPr>
                <w:color w:val="auto"/>
                <w:lang w:eastAsia="en-US"/>
              </w:rPr>
            </w:pPr>
            <w:r>
              <w:rPr>
                <w:color w:val="auto"/>
                <w:lang w:eastAsia="en-US"/>
              </w:rPr>
              <w:t>36</w:t>
            </w:r>
          </w:p>
        </w:tc>
      </w:tr>
      <w:tr w14:paraId="42AFAF24">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C3FDD4">
            <w:pPr>
              <w:pStyle w:val="33"/>
              <w:rPr>
                <w:color w:val="auto"/>
                <w:lang w:eastAsia="en-US"/>
              </w:rPr>
            </w:pPr>
            <w:r>
              <w:rPr>
                <w:color w:val="auto"/>
                <w:lang w:eastAsia="en-US"/>
              </w:rPr>
              <w:t>9</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EDA05B">
            <w:pPr>
              <w:pStyle w:val="33"/>
              <w:rPr>
                <w:color w:val="auto"/>
                <w:lang w:eastAsia="en-US"/>
              </w:rPr>
            </w:pPr>
            <w:r>
              <w:rPr>
                <w:rFonts w:hint="eastAsia"/>
                <w:color w:val="auto"/>
              </w:rPr>
              <w:t>氯仿</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2DA3F2">
            <w:pPr>
              <w:pStyle w:val="33"/>
              <w:rPr>
                <w:color w:val="auto"/>
                <w:lang w:eastAsia="en-US"/>
              </w:rPr>
            </w:pPr>
            <w:r>
              <w:rPr>
                <w:color w:val="auto"/>
                <w:lang w:eastAsia="en-US"/>
              </w:rPr>
              <w:t>67-66-3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DF72912">
            <w:pPr>
              <w:pStyle w:val="33"/>
              <w:rPr>
                <w:color w:val="auto"/>
                <w:lang w:eastAsia="en-US"/>
              </w:rPr>
            </w:pPr>
            <w:r>
              <w:rPr>
                <w:color w:val="auto"/>
                <w:lang w:eastAsia="en-US"/>
              </w:rPr>
              <w:t>0.3</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F6D2F">
            <w:pPr>
              <w:pStyle w:val="33"/>
              <w:rPr>
                <w:color w:val="auto"/>
                <w:lang w:eastAsia="en-US"/>
              </w:rPr>
            </w:pPr>
            <w:r>
              <w:rPr>
                <w:color w:val="auto"/>
                <w:lang w:eastAsia="en-US"/>
              </w:rPr>
              <w:t>0.9</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3C6F28">
            <w:pPr>
              <w:pStyle w:val="33"/>
              <w:rPr>
                <w:color w:val="auto"/>
                <w:lang w:eastAsia="en-US"/>
              </w:rPr>
            </w:pPr>
            <w:r>
              <w:rPr>
                <w:color w:val="auto"/>
                <w:lang w:eastAsia="en-US"/>
              </w:rPr>
              <w:t>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A810527">
            <w:pPr>
              <w:pStyle w:val="33"/>
              <w:rPr>
                <w:color w:val="auto"/>
                <w:lang w:eastAsia="en-US"/>
              </w:rPr>
            </w:pPr>
            <w:r>
              <w:rPr>
                <w:color w:val="auto"/>
                <w:lang w:eastAsia="en-US"/>
              </w:rPr>
              <w:t>10</w:t>
            </w:r>
          </w:p>
        </w:tc>
      </w:tr>
      <w:tr w14:paraId="4E1DCBC0">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DEC939">
            <w:pPr>
              <w:pStyle w:val="33"/>
              <w:rPr>
                <w:color w:val="auto"/>
                <w:lang w:eastAsia="en-US"/>
              </w:rPr>
            </w:pPr>
            <w:r>
              <w:rPr>
                <w:color w:val="auto"/>
                <w:lang w:eastAsia="en-US"/>
              </w:rPr>
              <w:t>10</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DA850B">
            <w:pPr>
              <w:pStyle w:val="33"/>
              <w:rPr>
                <w:color w:val="auto"/>
                <w:lang w:eastAsia="en-US"/>
              </w:rPr>
            </w:pPr>
            <w:r>
              <w:rPr>
                <w:rFonts w:hint="eastAsia"/>
                <w:color w:val="auto"/>
              </w:rPr>
              <w:t>氯甲烷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2EE211">
            <w:pPr>
              <w:pStyle w:val="33"/>
              <w:rPr>
                <w:color w:val="auto"/>
                <w:lang w:eastAsia="en-US"/>
              </w:rPr>
            </w:pPr>
            <w:r>
              <w:rPr>
                <w:color w:val="auto"/>
                <w:lang w:eastAsia="en-US"/>
              </w:rPr>
              <w:t>74-87-3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A395AC">
            <w:pPr>
              <w:pStyle w:val="33"/>
              <w:rPr>
                <w:color w:val="auto"/>
                <w:lang w:eastAsia="en-US"/>
              </w:rPr>
            </w:pPr>
            <w:r>
              <w:rPr>
                <w:color w:val="auto"/>
                <w:lang w:eastAsia="en-US"/>
              </w:rPr>
              <w:t>12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B1A5C1">
            <w:pPr>
              <w:pStyle w:val="33"/>
              <w:rPr>
                <w:color w:val="auto"/>
                <w:lang w:eastAsia="en-US"/>
              </w:rPr>
            </w:pPr>
            <w:r>
              <w:rPr>
                <w:color w:val="auto"/>
                <w:lang w:eastAsia="en-US"/>
              </w:rPr>
              <w:t>37</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308E6B">
            <w:pPr>
              <w:pStyle w:val="33"/>
              <w:rPr>
                <w:color w:val="auto"/>
                <w:lang w:eastAsia="en-US"/>
              </w:rPr>
            </w:pPr>
            <w:r>
              <w:rPr>
                <w:color w:val="auto"/>
                <w:lang w:eastAsia="en-US"/>
              </w:rPr>
              <w:t>21</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D471C9">
            <w:pPr>
              <w:pStyle w:val="33"/>
              <w:rPr>
                <w:color w:val="auto"/>
                <w:lang w:eastAsia="en-US"/>
              </w:rPr>
            </w:pPr>
            <w:r>
              <w:rPr>
                <w:color w:val="auto"/>
                <w:lang w:eastAsia="en-US"/>
              </w:rPr>
              <w:t>120</w:t>
            </w:r>
          </w:p>
        </w:tc>
      </w:tr>
      <w:tr w14:paraId="26EBBA26">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1E6EE3">
            <w:pPr>
              <w:pStyle w:val="33"/>
              <w:rPr>
                <w:color w:val="auto"/>
                <w:lang w:eastAsia="en-US"/>
              </w:rPr>
            </w:pPr>
            <w:r>
              <w:rPr>
                <w:color w:val="auto"/>
                <w:lang w:eastAsia="en-US"/>
              </w:rPr>
              <w:t>11</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90E35D">
            <w:pPr>
              <w:pStyle w:val="33"/>
              <w:rPr>
                <w:color w:val="auto"/>
                <w:lang w:eastAsia="en-US"/>
              </w:rPr>
            </w:pPr>
            <w:r>
              <w:rPr>
                <w:color w:val="auto"/>
                <w:lang w:eastAsia="en-US"/>
              </w:rPr>
              <w:t>1,1-二氯乙烷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6F4C04">
            <w:pPr>
              <w:pStyle w:val="33"/>
              <w:rPr>
                <w:color w:val="auto"/>
                <w:lang w:eastAsia="en-US"/>
              </w:rPr>
            </w:pPr>
            <w:r>
              <w:rPr>
                <w:color w:val="auto"/>
                <w:lang w:eastAsia="en-US"/>
              </w:rPr>
              <w:t>75-34-3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C3F837">
            <w:pPr>
              <w:pStyle w:val="33"/>
              <w:rPr>
                <w:color w:val="auto"/>
                <w:lang w:eastAsia="en-US"/>
              </w:rPr>
            </w:pPr>
            <w:r>
              <w:rPr>
                <w:color w:val="auto"/>
                <w:lang w:eastAsia="en-US"/>
              </w:rPr>
              <w:t>3</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1629BF">
            <w:pPr>
              <w:pStyle w:val="33"/>
              <w:rPr>
                <w:color w:val="auto"/>
                <w:lang w:eastAsia="en-US"/>
              </w:rPr>
            </w:pPr>
            <w:r>
              <w:rPr>
                <w:color w:val="auto"/>
                <w:lang w:eastAsia="en-US"/>
              </w:rPr>
              <w:t>9</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4C8771">
            <w:pPr>
              <w:pStyle w:val="33"/>
              <w:rPr>
                <w:color w:val="auto"/>
                <w:lang w:eastAsia="en-US"/>
              </w:rPr>
            </w:pPr>
            <w:r>
              <w:rPr>
                <w:color w:val="auto"/>
                <w:lang w:eastAsia="en-US"/>
              </w:rPr>
              <w:t>20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FF4A1B0">
            <w:pPr>
              <w:pStyle w:val="33"/>
              <w:rPr>
                <w:color w:val="auto"/>
                <w:lang w:eastAsia="en-US"/>
              </w:rPr>
            </w:pPr>
            <w:r>
              <w:rPr>
                <w:color w:val="auto"/>
                <w:lang w:eastAsia="en-US"/>
              </w:rPr>
              <w:t>100</w:t>
            </w:r>
          </w:p>
        </w:tc>
      </w:tr>
      <w:tr w14:paraId="3709C439">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511C25">
            <w:pPr>
              <w:pStyle w:val="33"/>
              <w:rPr>
                <w:color w:val="auto"/>
                <w:lang w:eastAsia="en-US"/>
              </w:rPr>
            </w:pPr>
            <w:r>
              <w:rPr>
                <w:color w:val="auto"/>
                <w:lang w:eastAsia="en-US"/>
              </w:rPr>
              <w:t>12</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B19734">
            <w:pPr>
              <w:pStyle w:val="33"/>
              <w:rPr>
                <w:color w:val="auto"/>
                <w:lang w:eastAsia="en-US"/>
              </w:rPr>
            </w:pPr>
            <w:r>
              <w:rPr>
                <w:color w:val="auto"/>
                <w:lang w:eastAsia="en-US"/>
              </w:rPr>
              <w:t>1,2-二氯乙烷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025E9C">
            <w:pPr>
              <w:pStyle w:val="33"/>
              <w:rPr>
                <w:color w:val="auto"/>
                <w:lang w:eastAsia="en-US"/>
              </w:rPr>
            </w:pPr>
            <w:r>
              <w:rPr>
                <w:color w:val="auto"/>
                <w:lang w:eastAsia="en-US"/>
              </w:rPr>
              <w:t>107-06-2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F473C4">
            <w:pPr>
              <w:pStyle w:val="33"/>
              <w:rPr>
                <w:color w:val="auto"/>
                <w:lang w:eastAsia="en-US"/>
              </w:rPr>
            </w:pPr>
            <w:r>
              <w:rPr>
                <w:color w:val="auto"/>
                <w:lang w:eastAsia="en-US"/>
              </w:rPr>
              <w:t>0.52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0A1206">
            <w:pPr>
              <w:pStyle w:val="33"/>
              <w:rPr>
                <w:color w:val="auto"/>
                <w:lang w:eastAsia="en-US"/>
              </w:rPr>
            </w:pPr>
            <w:r>
              <w:rPr>
                <w:color w:val="auto"/>
                <w:lang w:eastAsia="en-US"/>
              </w:rPr>
              <w:t>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6258A2">
            <w:pPr>
              <w:pStyle w:val="33"/>
              <w:rPr>
                <w:color w:val="auto"/>
                <w:lang w:eastAsia="en-US"/>
              </w:rPr>
            </w:pPr>
            <w:r>
              <w:rPr>
                <w:color w:val="auto"/>
                <w:lang w:eastAsia="en-US"/>
              </w:rPr>
              <w:t>6</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EEFA6C">
            <w:pPr>
              <w:pStyle w:val="33"/>
              <w:rPr>
                <w:color w:val="auto"/>
                <w:lang w:eastAsia="en-US"/>
              </w:rPr>
            </w:pPr>
            <w:r>
              <w:rPr>
                <w:color w:val="auto"/>
                <w:lang w:eastAsia="en-US"/>
              </w:rPr>
              <w:t>21</w:t>
            </w:r>
          </w:p>
        </w:tc>
      </w:tr>
      <w:tr w14:paraId="4C02CB09">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CB98106">
            <w:pPr>
              <w:pStyle w:val="33"/>
              <w:rPr>
                <w:color w:val="auto"/>
                <w:lang w:eastAsia="en-US"/>
              </w:rPr>
            </w:pPr>
            <w:r>
              <w:rPr>
                <w:color w:val="auto"/>
                <w:lang w:eastAsia="en-US"/>
              </w:rPr>
              <w:t>13</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976D24">
            <w:pPr>
              <w:pStyle w:val="33"/>
              <w:rPr>
                <w:color w:val="auto"/>
                <w:lang w:eastAsia="en-US"/>
              </w:rPr>
            </w:pPr>
            <w:r>
              <w:rPr>
                <w:color w:val="auto"/>
                <w:lang w:eastAsia="en-US"/>
              </w:rPr>
              <w:t>1,1-二氯乙烯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42CD21">
            <w:pPr>
              <w:pStyle w:val="33"/>
              <w:rPr>
                <w:color w:val="auto"/>
                <w:lang w:eastAsia="en-US"/>
              </w:rPr>
            </w:pPr>
            <w:r>
              <w:rPr>
                <w:color w:val="auto"/>
                <w:lang w:eastAsia="en-US"/>
              </w:rPr>
              <w:t>75-35-4</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4C436AA">
            <w:pPr>
              <w:pStyle w:val="33"/>
              <w:rPr>
                <w:color w:val="auto"/>
                <w:lang w:eastAsia="en-US"/>
              </w:rPr>
            </w:pPr>
            <w:r>
              <w:rPr>
                <w:color w:val="auto"/>
                <w:lang w:eastAsia="en-US"/>
              </w:rPr>
              <w:t>12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720322">
            <w:pPr>
              <w:pStyle w:val="33"/>
              <w:rPr>
                <w:color w:val="auto"/>
                <w:lang w:eastAsia="en-US"/>
              </w:rPr>
            </w:pPr>
            <w:r>
              <w:rPr>
                <w:color w:val="auto"/>
                <w:lang w:eastAsia="en-US"/>
              </w:rPr>
              <w:t>66</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EEEEDFD">
            <w:pPr>
              <w:pStyle w:val="33"/>
              <w:rPr>
                <w:color w:val="auto"/>
                <w:lang w:eastAsia="en-US"/>
              </w:rPr>
            </w:pPr>
            <w:r>
              <w:rPr>
                <w:color w:val="auto"/>
                <w:lang w:eastAsia="en-US"/>
              </w:rPr>
              <w:t>40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2CFD6C">
            <w:pPr>
              <w:pStyle w:val="33"/>
              <w:rPr>
                <w:color w:val="auto"/>
                <w:lang w:eastAsia="en-US"/>
              </w:rPr>
            </w:pPr>
            <w:r>
              <w:rPr>
                <w:color w:val="auto"/>
                <w:lang w:eastAsia="en-US"/>
              </w:rPr>
              <w:t>200</w:t>
            </w:r>
          </w:p>
        </w:tc>
      </w:tr>
      <w:tr w14:paraId="06F6C799">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33F7F5">
            <w:pPr>
              <w:pStyle w:val="33"/>
              <w:rPr>
                <w:color w:val="auto"/>
                <w:lang w:eastAsia="en-US"/>
              </w:rPr>
            </w:pPr>
            <w:r>
              <w:rPr>
                <w:color w:val="auto"/>
                <w:lang w:eastAsia="en-US"/>
              </w:rPr>
              <w:t>14</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BC23C2">
            <w:pPr>
              <w:pStyle w:val="33"/>
              <w:rPr>
                <w:color w:val="auto"/>
                <w:lang w:eastAsia="en-US"/>
              </w:rPr>
            </w:pPr>
            <w:r>
              <w:rPr>
                <w:color w:val="auto"/>
                <w:lang w:eastAsia="en-US"/>
              </w:rPr>
              <w:t>顺-1,2-二氯乙烯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B49454">
            <w:pPr>
              <w:pStyle w:val="33"/>
              <w:rPr>
                <w:color w:val="auto"/>
                <w:lang w:eastAsia="en-US"/>
              </w:rPr>
            </w:pPr>
            <w:r>
              <w:rPr>
                <w:color w:val="auto"/>
                <w:lang w:eastAsia="en-US"/>
              </w:rPr>
              <w:t>156-59-2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AB45F6">
            <w:pPr>
              <w:pStyle w:val="33"/>
              <w:rPr>
                <w:color w:val="auto"/>
                <w:lang w:eastAsia="en-US"/>
              </w:rPr>
            </w:pPr>
            <w:r>
              <w:rPr>
                <w:color w:val="auto"/>
                <w:lang w:eastAsia="en-US"/>
              </w:rPr>
              <w:t>66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A7DA56">
            <w:pPr>
              <w:pStyle w:val="33"/>
              <w:rPr>
                <w:color w:val="auto"/>
                <w:lang w:eastAsia="en-US"/>
              </w:rPr>
            </w:pPr>
            <w:r>
              <w:rPr>
                <w:color w:val="auto"/>
                <w:lang w:eastAsia="en-US"/>
              </w:rPr>
              <w:t>596</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700BB4">
            <w:pPr>
              <w:pStyle w:val="33"/>
              <w:rPr>
                <w:color w:val="auto"/>
                <w:lang w:eastAsia="en-US"/>
              </w:rPr>
            </w:pPr>
            <w:r>
              <w:rPr>
                <w:color w:val="auto"/>
                <w:lang w:eastAsia="en-US"/>
              </w:rPr>
              <w:t>200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07DD8E6">
            <w:pPr>
              <w:pStyle w:val="33"/>
              <w:rPr>
                <w:color w:val="auto"/>
                <w:lang w:eastAsia="en-US"/>
              </w:rPr>
            </w:pPr>
            <w:r>
              <w:rPr>
                <w:color w:val="auto"/>
                <w:lang w:eastAsia="en-US"/>
              </w:rPr>
              <w:t>2000</w:t>
            </w:r>
          </w:p>
        </w:tc>
      </w:tr>
      <w:tr w14:paraId="7F9419CB">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53FC78">
            <w:pPr>
              <w:pStyle w:val="33"/>
              <w:rPr>
                <w:color w:val="auto"/>
                <w:lang w:eastAsia="en-US"/>
              </w:rPr>
            </w:pPr>
            <w:r>
              <w:rPr>
                <w:color w:val="auto"/>
                <w:lang w:eastAsia="en-US"/>
              </w:rPr>
              <w:t>15</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0950CC">
            <w:pPr>
              <w:pStyle w:val="33"/>
              <w:rPr>
                <w:color w:val="auto"/>
                <w:lang w:eastAsia="en-US"/>
              </w:rPr>
            </w:pPr>
            <w:r>
              <w:rPr>
                <w:color w:val="auto"/>
                <w:lang w:eastAsia="en-US"/>
              </w:rPr>
              <w:t>反-1,2-二氯乙烯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6D8DB5">
            <w:pPr>
              <w:pStyle w:val="33"/>
              <w:rPr>
                <w:color w:val="auto"/>
                <w:lang w:eastAsia="en-US"/>
              </w:rPr>
            </w:pPr>
            <w:r>
              <w:rPr>
                <w:color w:val="auto"/>
                <w:lang w:eastAsia="en-US"/>
              </w:rPr>
              <w:t>156-60-5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E22C4C">
            <w:pPr>
              <w:pStyle w:val="33"/>
              <w:rPr>
                <w:color w:val="auto"/>
                <w:lang w:eastAsia="en-US"/>
              </w:rPr>
            </w:pPr>
            <w:r>
              <w:rPr>
                <w:color w:val="auto"/>
                <w:lang w:eastAsia="en-US"/>
              </w:rPr>
              <w:t>10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CA4DC1">
            <w:pPr>
              <w:pStyle w:val="33"/>
              <w:rPr>
                <w:color w:val="auto"/>
                <w:lang w:eastAsia="en-US"/>
              </w:rPr>
            </w:pPr>
            <w:r>
              <w:rPr>
                <w:color w:val="auto"/>
                <w:lang w:eastAsia="en-US"/>
              </w:rPr>
              <w:t>54</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15BF66">
            <w:pPr>
              <w:pStyle w:val="33"/>
              <w:rPr>
                <w:color w:val="auto"/>
                <w:lang w:eastAsia="en-US"/>
              </w:rPr>
            </w:pPr>
            <w:r>
              <w:rPr>
                <w:color w:val="auto"/>
                <w:lang w:eastAsia="en-US"/>
              </w:rPr>
              <w:t>31</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A5CA789">
            <w:pPr>
              <w:pStyle w:val="33"/>
              <w:rPr>
                <w:color w:val="auto"/>
                <w:lang w:eastAsia="en-US"/>
              </w:rPr>
            </w:pPr>
            <w:r>
              <w:rPr>
                <w:color w:val="auto"/>
                <w:lang w:eastAsia="en-US"/>
              </w:rPr>
              <w:t>163</w:t>
            </w:r>
          </w:p>
        </w:tc>
      </w:tr>
      <w:tr w14:paraId="600CB2A5">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FAE7794">
            <w:pPr>
              <w:pStyle w:val="33"/>
              <w:rPr>
                <w:color w:val="auto"/>
                <w:lang w:eastAsia="en-US"/>
              </w:rPr>
            </w:pPr>
            <w:r>
              <w:rPr>
                <w:color w:val="auto"/>
                <w:lang w:eastAsia="en-US"/>
              </w:rPr>
              <w:t>16</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32E6C45">
            <w:pPr>
              <w:pStyle w:val="33"/>
              <w:rPr>
                <w:color w:val="auto"/>
                <w:lang w:eastAsia="en-US"/>
              </w:rPr>
            </w:pPr>
            <w:r>
              <w:rPr>
                <w:rFonts w:hint="eastAsia"/>
                <w:color w:val="auto"/>
              </w:rPr>
              <w:t>二氯甲烷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6FC3E26">
            <w:pPr>
              <w:pStyle w:val="33"/>
              <w:rPr>
                <w:color w:val="auto"/>
                <w:lang w:eastAsia="en-US"/>
              </w:rPr>
            </w:pPr>
            <w:r>
              <w:rPr>
                <w:color w:val="auto"/>
                <w:lang w:eastAsia="en-US"/>
              </w:rPr>
              <w:t>75-09-2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E922A7">
            <w:pPr>
              <w:pStyle w:val="33"/>
              <w:rPr>
                <w:color w:val="auto"/>
                <w:lang w:eastAsia="en-US"/>
              </w:rPr>
            </w:pPr>
            <w:r>
              <w:rPr>
                <w:color w:val="auto"/>
                <w:lang w:eastAsia="en-US"/>
              </w:rPr>
              <w:t>94</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E33B69">
            <w:pPr>
              <w:pStyle w:val="33"/>
              <w:rPr>
                <w:color w:val="auto"/>
                <w:lang w:eastAsia="en-US"/>
              </w:rPr>
            </w:pPr>
            <w:r>
              <w:rPr>
                <w:color w:val="auto"/>
                <w:lang w:eastAsia="en-US"/>
              </w:rPr>
              <w:t>616</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6ADD58">
            <w:pPr>
              <w:pStyle w:val="33"/>
              <w:rPr>
                <w:color w:val="auto"/>
                <w:lang w:eastAsia="en-US"/>
              </w:rPr>
            </w:pPr>
            <w:r>
              <w:rPr>
                <w:color w:val="auto"/>
                <w:lang w:eastAsia="en-US"/>
              </w:rPr>
              <w:t>300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9BA6DA2">
            <w:pPr>
              <w:pStyle w:val="33"/>
              <w:rPr>
                <w:color w:val="auto"/>
                <w:lang w:eastAsia="en-US"/>
              </w:rPr>
            </w:pPr>
            <w:r>
              <w:rPr>
                <w:color w:val="auto"/>
                <w:lang w:eastAsia="en-US"/>
              </w:rPr>
              <w:t>2000</w:t>
            </w:r>
          </w:p>
        </w:tc>
      </w:tr>
      <w:tr w14:paraId="1E2583BF">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2E5921">
            <w:pPr>
              <w:pStyle w:val="33"/>
              <w:rPr>
                <w:color w:val="auto"/>
                <w:lang w:eastAsia="en-US"/>
              </w:rPr>
            </w:pPr>
            <w:r>
              <w:rPr>
                <w:color w:val="auto"/>
                <w:lang w:eastAsia="en-US"/>
              </w:rPr>
              <w:t>17</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1E2420">
            <w:pPr>
              <w:pStyle w:val="33"/>
              <w:rPr>
                <w:color w:val="auto"/>
                <w:lang w:eastAsia="en-US"/>
              </w:rPr>
            </w:pPr>
            <w:r>
              <w:rPr>
                <w:color w:val="auto"/>
                <w:lang w:eastAsia="en-US"/>
              </w:rPr>
              <w:t>1,2-二氯丙烷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5CB0FF">
            <w:pPr>
              <w:pStyle w:val="33"/>
              <w:rPr>
                <w:color w:val="auto"/>
                <w:lang w:eastAsia="en-US"/>
              </w:rPr>
            </w:pPr>
            <w:r>
              <w:rPr>
                <w:color w:val="auto"/>
                <w:lang w:eastAsia="en-US"/>
              </w:rPr>
              <w:t>78-87-5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FF0A84">
            <w:pPr>
              <w:pStyle w:val="33"/>
              <w:rPr>
                <w:color w:val="auto"/>
                <w:lang w:eastAsia="en-US"/>
              </w:rPr>
            </w:pPr>
            <w:r>
              <w:rPr>
                <w:color w:val="auto"/>
                <w:lang w:eastAsia="en-US"/>
              </w:rPr>
              <w:t>1</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4348AA">
            <w:pPr>
              <w:pStyle w:val="33"/>
              <w:rPr>
                <w:color w:val="auto"/>
                <w:lang w:eastAsia="en-US"/>
              </w:rPr>
            </w:pPr>
            <w:r>
              <w:rPr>
                <w:color w:val="auto"/>
                <w:lang w:eastAsia="en-US"/>
              </w:rPr>
              <w:t>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476C03">
            <w:pPr>
              <w:pStyle w:val="33"/>
              <w:rPr>
                <w:color w:val="auto"/>
                <w:lang w:eastAsia="en-US"/>
              </w:rPr>
            </w:pPr>
            <w:r>
              <w:rPr>
                <w:color w:val="auto"/>
                <w:lang w:eastAsia="en-US"/>
              </w:rPr>
              <w:t>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078927">
            <w:pPr>
              <w:pStyle w:val="33"/>
              <w:rPr>
                <w:color w:val="auto"/>
                <w:lang w:eastAsia="en-US"/>
              </w:rPr>
            </w:pPr>
            <w:r>
              <w:rPr>
                <w:color w:val="auto"/>
                <w:lang w:eastAsia="en-US"/>
              </w:rPr>
              <w:t>47</w:t>
            </w:r>
          </w:p>
        </w:tc>
      </w:tr>
      <w:tr w14:paraId="4B66E650">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03C036A">
            <w:pPr>
              <w:pStyle w:val="33"/>
              <w:rPr>
                <w:color w:val="auto"/>
                <w:lang w:eastAsia="en-US"/>
              </w:rPr>
            </w:pPr>
            <w:r>
              <w:rPr>
                <w:color w:val="auto"/>
                <w:lang w:eastAsia="en-US"/>
              </w:rPr>
              <w:t>18</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5BC8DC">
            <w:pPr>
              <w:pStyle w:val="33"/>
              <w:rPr>
                <w:color w:val="auto"/>
                <w:lang w:eastAsia="en-US"/>
              </w:rPr>
            </w:pPr>
            <w:r>
              <w:rPr>
                <w:color w:val="auto"/>
                <w:lang w:eastAsia="en-US"/>
              </w:rPr>
              <w:t>1,1,1,2-四氯乙烷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35611D">
            <w:pPr>
              <w:pStyle w:val="33"/>
              <w:rPr>
                <w:color w:val="auto"/>
                <w:lang w:eastAsia="en-US"/>
              </w:rPr>
            </w:pPr>
            <w:r>
              <w:rPr>
                <w:color w:val="auto"/>
                <w:lang w:eastAsia="en-US"/>
              </w:rPr>
              <w:t>630-20-6</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DB4A0F">
            <w:pPr>
              <w:pStyle w:val="33"/>
              <w:rPr>
                <w:color w:val="auto"/>
                <w:lang w:eastAsia="en-US"/>
              </w:rPr>
            </w:pPr>
            <w:r>
              <w:rPr>
                <w:color w:val="auto"/>
                <w:lang w:eastAsia="en-US"/>
              </w:rPr>
              <w:t>2.6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B507F4">
            <w:pPr>
              <w:pStyle w:val="33"/>
              <w:rPr>
                <w:color w:val="auto"/>
                <w:lang w:eastAsia="en-US"/>
              </w:rPr>
            </w:pPr>
            <w:r>
              <w:rPr>
                <w:color w:val="auto"/>
                <w:lang w:eastAsia="en-US"/>
              </w:rPr>
              <w:t>10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FEE1B3">
            <w:pPr>
              <w:pStyle w:val="33"/>
              <w:rPr>
                <w:color w:val="auto"/>
                <w:lang w:eastAsia="en-US"/>
              </w:rPr>
            </w:pPr>
            <w:r>
              <w:rPr>
                <w:color w:val="auto"/>
                <w:lang w:eastAsia="en-US"/>
              </w:rPr>
              <w:t>26</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256380">
            <w:pPr>
              <w:pStyle w:val="33"/>
              <w:rPr>
                <w:color w:val="auto"/>
                <w:lang w:eastAsia="en-US"/>
              </w:rPr>
            </w:pPr>
            <w:r>
              <w:rPr>
                <w:color w:val="auto"/>
                <w:lang w:eastAsia="en-US"/>
              </w:rPr>
              <w:t>100</w:t>
            </w:r>
          </w:p>
        </w:tc>
      </w:tr>
      <w:tr w14:paraId="04C4ADD8">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9E6979">
            <w:pPr>
              <w:pStyle w:val="33"/>
              <w:rPr>
                <w:color w:val="auto"/>
                <w:lang w:eastAsia="en-US"/>
              </w:rPr>
            </w:pPr>
            <w:r>
              <w:rPr>
                <w:color w:val="auto"/>
                <w:lang w:eastAsia="en-US"/>
              </w:rPr>
              <w:t>19</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411BB3">
            <w:pPr>
              <w:pStyle w:val="33"/>
              <w:rPr>
                <w:color w:val="auto"/>
                <w:lang w:eastAsia="en-US"/>
              </w:rPr>
            </w:pPr>
            <w:r>
              <w:rPr>
                <w:color w:val="auto"/>
                <w:lang w:eastAsia="en-US"/>
              </w:rPr>
              <w:t>1,1,2,2-四氯乙烷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D08C94">
            <w:pPr>
              <w:pStyle w:val="33"/>
              <w:rPr>
                <w:color w:val="auto"/>
                <w:lang w:eastAsia="en-US"/>
              </w:rPr>
            </w:pPr>
            <w:r>
              <w:rPr>
                <w:color w:val="auto"/>
                <w:lang w:eastAsia="en-US"/>
              </w:rPr>
              <w:t>79-34-5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8ADC87B">
            <w:pPr>
              <w:pStyle w:val="33"/>
              <w:rPr>
                <w:color w:val="auto"/>
                <w:lang w:eastAsia="en-US"/>
              </w:rPr>
            </w:pPr>
            <w:r>
              <w:rPr>
                <w:color w:val="auto"/>
                <w:lang w:eastAsia="en-US"/>
              </w:rPr>
              <w:t>1.6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F0F1CC">
            <w:pPr>
              <w:pStyle w:val="33"/>
              <w:rPr>
                <w:color w:val="auto"/>
                <w:lang w:eastAsia="en-US"/>
              </w:rPr>
            </w:pPr>
            <w:r>
              <w:rPr>
                <w:color w:val="auto"/>
                <w:lang w:eastAsia="en-US"/>
              </w:rPr>
              <w:t>6.8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F790B29">
            <w:pPr>
              <w:pStyle w:val="33"/>
              <w:rPr>
                <w:color w:val="auto"/>
                <w:lang w:eastAsia="en-US"/>
              </w:rPr>
            </w:pPr>
            <w:r>
              <w:rPr>
                <w:color w:val="auto"/>
                <w:lang w:eastAsia="en-US"/>
              </w:rPr>
              <w:t>14</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ADD4AD">
            <w:pPr>
              <w:pStyle w:val="33"/>
              <w:rPr>
                <w:color w:val="auto"/>
                <w:lang w:eastAsia="en-US"/>
              </w:rPr>
            </w:pPr>
            <w:r>
              <w:rPr>
                <w:color w:val="auto"/>
                <w:lang w:eastAsia="en-US"/>
              </w:rPr>
              <w:t>50</w:t>
            </w:r>
          </w:p>
        </w:tc>
      </w:tr>
      <w:tr w14:paraId="47A12E45">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4DE568">
            <w:pPr>
              <w:pStyle w:val="33"/>
              <w:rPr>
                <w:color w:val="auto"/>
                <w:lang w:eastAsia="en-US"/>
              </w:rPr>
            </w:pPr>
            <w:r>
              <w:rPr>
                <w:color w:val="auto"/>
                <w:lang w:eastAsia="en-US"/>
              </w:rPr>
              <w:t>20</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F667827">
            <w:pPr>
              <w:pStyle w:val="33"/>
              <w:rPr>
                <w:color w:val="auto"/>
                <w:lang w:eastAsia="en-US"/>
              </w:rPr>
            </w:pPr>
            <w:r>
              <w:rPr>
                <w:rFonts w:hint="eastAsia"/>
                <w:color w:val="auto"/>
              </w:rPr>
              <w:t>四氯乙烯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1C2F4A">
            <w:pPr>
              <w:pStyle w:val="33"/>
              <w:rPr>
                <w:color w:val="auto"/>
                <w:lang w:eastAsia="en-US"/>
              </w:rPr>
            </w:pPr>
            <w:r>
              <w:rPr>
                <w:color w:val="auto"/>
                <w:lang w:eastAsia="en-US"/>
              </w:rPr>
              <w:t>127-18-4</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4EE288">
            <w:pPr>
              <w:pStyle w:val="33"/>
              <w:rPr>
                <w:color w:val="auto"/>
                <w:lang w:eastAsia="en-US"/>
              </w:rPr>
            </w:pPr>
            <w:r>
              <w:rPr>
                <w:color w:val="auto"/>
                <w:lang w:eastAsia="en-US"/>
              </w:rPr>
              <w:t>11</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2553B2D">
            <w:pPr>
              <w:pStyle w:val="33"/>
              <w:rPr>
                <w:color w:val="auto"/>
                <w:lang w:eastAsia="en-US"/>
              </w:rPr>
            </w:pPr>
            <w:r>
              <w:rPr>
                <w:color w:val="auto"/>
                <w:lang w:eastAsia="en-US"/>
              </w:rPr>
              <w:t>53</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CBD091">
            <w:pPr>
              <w:pStyle w:val="33"/>
              <w:rPr>
                <w:color w:val="auto"/>
                <w:lang w:eastAsia="en-US"/>
              </w:rPr>
            </w:pPr>
            <w:r>
              <w:rPr>
                <w:color w:val="auto"/>
                <w:lang w:eastAsia="en-US"/>
              </w:rPr>
              <w:t>34</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80D0C65">
            <w:pPr>
              <w:pStyle w:val="33"/>
              <w:rPr>
                <w:color w:val="auto"/>
                <w:lang w:eastAsia="en-US"/>
              </w:rPr>
            </w:pPr>
            <w:r>
              <w:rPr>
                <w:color w:val="auto"/>
                <w:lang w:eastAsia="en-US"/>
              </w:rPr>
              <w:t>183</w:t>
            </w:r>
          </w:p>
        </w:tc>
      </w:tr>
      <w:tr w14:paraId="31FBD327">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78F405">
            <w:pPr>
              <w:pStyle w:val="33"/>
              <w:rPr>
                <w:color w:val="auto"/>
                <w:lang w:eastAsia="en-US"/>
              </w:rPr>
            </w:pPr>
            <w:r>
              <w:rPr>
                <w:color w:val="auto"/>
                <w:lang w:eastAsia="en-US"/>
              </w:rPr>
              <w:t>21</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362D51">
            <w:pPr>
              <w:pStyle w:val="33"/>
              <w:rPr>
                <w:color w:val="auto"/>
                <w:lang w:eastAsia="en-US"/>
              </w:rPr>
            </w:pPr>
            <w:r>
              <w:rPr>
                <w:color w:val="auto"/>
                <w:lang w:eastAsia="en-US"/>
              </w:rPr>
              <w:t>1,1,1-三氯乙烷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583E5">
            <w:pPr>
              <w:pStyle w:val="33"/>
              <w:rPr>
                <w:color w:val="auto"/>
                <w:lang w:eastAsia="en-US"/>
              </w:rPr>
            </w:pPr>
            <w:r>
              <w:rPr>
                <w:color w:val="auto"/>
                <w:lang w:eastAsia="en-US"/>
              </w:rPr>
              <w:t>71-55-6</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1D19F">
            <w:pPr>
              <w:pStyle w:val="33"/>
              <w:rPr>
                <w:color w:val="auto"/>
                <w:lang w:eastAsia="en-US"/>
              </w:rPr>
            </w:pPr>
            <w:r>
              <w:rPr>
                <w:color w:val="auto"/>
                <w:lang w:eastAsia="en-US"/>
              </w:rPr>
              <w:t>701</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E363AD">
            <w:pPr>
              <w:pStyle w:val="33"/>
              <w:rPr>
                <w:color w:val="auto"/>
                <w:lang w:eastAsia="en-US"/>
              </w:rPr>
            </w:pPr>
            <w:r>
              <w:rPr>
                <w:color w:val="auto"/>
                <w:lang w:eastAsia="en-US"/>
              </w:rPr>
              <w:t>840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73D669">
            <w:pPr>
              <w:pStyle w:val="33"/>
              <w:rPr>
                <w:color w:val="auto"/>
                <w:lang w:eastAsia="en-US"/>
              </w:rPr>
            </w:pPr>
            <w:r>
              <w:rPr>
                <w:color w:val="auto"/>
                <w:lang w:eastAsia="en-US"/>
              </w:rPr>
              <w:t>840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F57E52">
            <w:pPr>
              <w:pStyle w:val="33"/>
              <w:rPr>
                <w:color w:val="auto"/>
                <w:lang w:eastAsia="en-US"/>
              </w:rPr>
            </w:pPr>
            <w:r>
              <w:rPr>
                <w:color w:val="auto"/>
                <w:lang w:eastAsia="en-US"/>
              </w:rPr>
              <w:t>840</w:t>
            </w:r>
          </w:p>
        </w:tc>
      </w:tr>
      <w:tr w14:paraId="15B71F34">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E03DF6">
            <w:pPr>
              <w:pStyle w:val="33"/>
              <w:rPr>
                <w:color w:val="auto"/>
                <w:lang w:eastAsia="en-US"/>
              </w:rPr>
            </w:pPr>
            <w:r>
              <w:rPr>
                <w:color w:val="auto"/>
                <w:lang w:eastAsia="en-US"/>
              </w:rPr>
              <w:t>22</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B5C216">
            <w:pPr>
              <w:pStyle w:val="33"/>
              <w:rPr>
                <w:color w:val="auto"/>
                <w:lang w:eastAsia="en-US"/>
              </w:rPr>
            </w:pPr>
            <w:r>
              <w:rPr>
                <w:color w:val="auto"/>
                <w:lang w:eastAsia="en-US"/>
              </w:rPr>
              <w:t>1,1,2-三氯乙烷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396EA">
            <w:pPr>
              <w:pStyle w:val="33"/>
              <w:rPr>
                <w:color w:val="auto"/>
                <w:lang w:eastAsia="en-US"/>
              </w:rPr>
            </w:pPr>
            <w:r>
              <w:rPr>
                <w:color w:val="auto"/>
                <w:lang w:eastAsia="en-US"/>
              </w:rPr>
              <w:t>79-00-5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2216F71">
            <w:pPr>
              <w:pStyle w:val="33"/>
              <w:rPr>
                <w:color w:val="auto"/>
                <w:lang w:eastAsia="en-US"/>
              </w:rPr>
            </w:pPr>
            <w:r>
              <w:rPr>
                <w:color w:val="auto"/>
                <w:lang w:eastAsia="en-US"/>
              </w:rPr>
              <w:t>0.6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BD131F">
            <w:pPr>
              <w:pStyle w:val="33"/>
              <w:rPr>
                <w:color w:val="auto"/>
                <w:lang w:eastAsia="en-US"/>
              </w:rPr>
            </w:pPr>
            <w:r>
              <w:rPr>
                <w:color w:val="auto"/>
                <w:lang w:eastAsia="en-US"/>
              </w:rPr>
              <w:t>2.8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937AA2">
            <w:pPr>
              <w:pStyle w:val="33"/>
              <w:rPr>
                <w:color w:val="auto"/>
                <w:lang w:eastAsia="en-US"/>
              </w:rPr>
            </w:pPr>
            <w:r>
              <w:rPr>
                <w:color w:val="auto"/>
                <w:lang w:eastAsia="en-US"/>
              </w:rPr>
              <w:t>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D461C2">
            <w:pPr>
              <w:pStyle w:val="33"/>
              <w:rPr>
                <w:color w:val="auto"/>
                <w:lang w:eastAsia="en-US"/>
              </w:rPr>
            </w:pPr>
            <w:r>
              <w:rPr>
                <w:color w:val="auto"/>
                <w:lang w:eastAsia="en-US"/>
              </w:rPr>
              <w:t>15</w:t>
            </w:r>
          </w:p>
        </w:tc>
      </w:tr>
      <w:tr w14:paraId="628D336B">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34CB8F">
            <w:pPr>
              <w:pStyle w:val="33"/>
              <w:rPr>
                <w:color w:val="auto"/>
                <w:lang w:eastAsia="en-US"/>
              </w:rPr>
            </w:pPr>
            <w:r>
              <w:rPr>
                <w:color w:val="auto"/>
                <w:lang w:eastAsia="en-US"/>
              </w:rPr>
              <w:t>23</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71F33B">
            <w:pPr>
              <w:pStyle w:val="33"/>
              <w:rPr>
                <w:color w:val="auto"/>
                <w:lang w:eastAsia="en-US"/>
              </w:rPr>
            </w:pPr>
            <w:r>
              <w:rPr>
                <w:rFonts w:hint="eastAsia"/>
                <w:color w:val="auto"/>
              </w:rPr>
              <w:t>三氯乙烯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78D06CE">
            <w:pPr>
              <w:pStyle w:val="33"/>
              <w:rPr>
                <w:color w:val="auto"/>
                <w:lang w:eastAsia="en-US"/>
              </w:rPr>
            </w:pPr>
            <w:r>
              <w:rPr>
                <w:color w:val="auto"/>
                <w:lang w:eastAsia="en-US"/>
              </w:rPr>
              <w:t>79-01-6</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4B0E02">
            <w:pPr>
              <w:pStyle w:val="33"/>
              <w:rPr>
                <w:color w:val="auto"/>
                <w:lang w:eastAsia="en-US"/>
              </w:rPr>
            </w:pPr>
            <w:r>
              <w:rPr>
                <w:color w:val="auto"/>
                <w:lang w:eastAsia="en-US"/>
              </w:rPr>
              <w:t>0.7</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65689F">
            <w:pPr>
              <w:pStyle w:val="33"/>
              <w:rPr>
                <w:color w:val="auto"/>
                <w:lang w:eastAsia="en-US"/>
              </w:rPr>
            </w:pPr>
            <w:r>
              <w:rPr>
                <w:color w:val="auto"/>
                <w:lang w:eastAsia="en-US"/>
              </w:rPr>
              <w:t>2.8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76B8C61">
            <w:pPr>
              <w:pStyle w:val="33"/>
              <w:rPr>
                <w:color w:val="auto"/>
                <w:lang w:eastAsia="en-US"/>
              </w:rPr>
            </w:pPr>
            <w:r>
              <w:rPr>
                <w:color w:val="auto"/>
                <w:lang w:eastAsia="en-US"/>
              </w:rPr>
              <w:t>7</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3F53F61">
            <w:pPr>
              <w:pStyle w:val="33"/>
              <w:rPr>
                <w:color w:val="auto"/>
                <w:lang w:eastAsia="en-US"/>
              </w:rPr>
            </w:pPr>
            <w:r>
              <w:rPr>
                <w:color w:val="auto"/>
                <w:lang w:eastAsia="en-US"/>
              </w:rPr>
              <w:t>20</w:t>
            </w:r>
          </w:p>
        </w:tc>
      </w:tr>
      <w:tr w14:paraId="393E0AB6">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FA7F23">
            <w:pPr>
              <w:pStyle w:val="33"/>
              <w:rPr>
                <w:color w:val="auto"/>
                <w:lang w:eastAsia="en-US"/>
              </w:rPr>
            </w:pPr>
            <w:r>
              <w:rPr>
                <w:color w:val="auto"/>
                <w:lang w:eastAsia="en-US"/>
              </w:rPr>
              <w:t>24</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EC57CD">
            <w:pPr>
              <w:pStyle w:val="33"/>
              <w:rPr>
                <w:color w:val="auto"/>
                <w:lang w:eastAsia="en-US"/>
              </w:rPr>
            </w:pPr>
            <w:r>
              <w:rPr>
                <w:color w:val="auto"/>
                <w:lang w:eastAsia="en-US"/>
              </w:rPr>
              <w:t>1,2,3-三氯丙烷</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F13781">
            <w:pPr>
              <w:pStyle w:val="33"/>
              <w:rPr>
                <w:color w:val="auto"/>
                <w:lang w:eastAsia="en-US"/>
              </w:rPr>
            </w:pPr>
            <w:r>
              <w:rPr>
                <w:color w:val="auto"/>
                <w:lang w:eastAsia="en-US"/>
              </w:rPr>
              <w:t>96-18-4</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EB1639">
            <w:pPr>
              <w:pStyle w:val="33"/>
              <w:rPr>
                <w:color w:val="auto"/>
                <w:lang w:eastAsia="en-US"/>
              </w:rPr>
            </w:pPr>
            <w:r>
              <w:rPr>
                <w:color w:val="auto"/>
                <w:lang w:eastAsia="en-US"/>
              </w:rPr>
              <w:t>0.05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C051B0">
            <w:pPr>
              <w:pStyle w:val="33"/>
              <w:rPr>
                <w:color w:val="auto"/>
                <w:lang w:eastAsia="en-US"/>
              </w:rPr>
            </w:pPr>
            <w:r>
              <w:rPr>
                <w:color w:val="auto"/>
                <w:lang w:eastAsia="en-US"/>
              </w:rPr>
              <w:t>0.5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0AA3A2">
            <w:pPr>
              <w:pStyle w:val="33"/>
              <w:rPr>
                <w:color w:val="auto"/>
                <w:lang w:eastAsia="en-US"/>
              </w:rPr>
            </w:pPr>
            <w:r>
              <w:rPr>
                <w:color w:val="auto"/>
                <w:lang w:eastAsia="en-US"/>
              </w:rPr>
              <w:t>0.5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343765">
            <w:pPr>
              <w:pStyle w:val="33"/>
              <w:rPr>
                <w:color w:val="auto"/>
                <w:lang w:eastAsia="en-US"/>
              </w:rPr>
            </w:pPr>
            <w:r>
              <w:rPr>
                <w:color w:val="auto"/>
                <w:lang w:eastAsia="en-US"/>
              </w:rPr>
              <w:t>5</w:t>
            </w:r>
          </w:p>
        </w:tc>
      </w:tr>
      <w:tr w14:paraId="1A0BFD34">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C2DCCF9">
            <w:pPr>
              <w:pStyle w:val="33"/>
              <w:rPr>
                <w:color w:val="auto"/>
                <w:lang w:eastAsia="en-US"/>
              </w:rPr>
            </w:pPr>
            <w:r>
              <w:rPr>
                <w:color w:val="auto"/>
                <w:lang w:eastAsia="en-US"/>
              </w:rPr>
              <w:t>25</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1D32AB">
            <w:pPr>
              <w:pStyle w:val="33"/>
              <w:rPr>
                <w:color w:val="auto"/>
                <w:lang w:eastAsia="en-US"/>
              </w:rPr>
            </w:pPr>
            <w:r>
              <w:rPr>
                <w:rFonts w:hint="eastAsia"/>
                <w:color w:val="auto"/>
              </w:rPr>
              <w:t>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2D852B">
            <w:pPr>
              <w:pStyle w:val="33"/>
              <w:rPr>
                <w:color w:val="auto"/>
                <w:lang w:eastAsia="en-US"/>
              </w:rPr>
            </w:pPr>
            <w:r>
              <w:rPr>
                <w:color w:val="auto"/>
                <w:lang w:eastAsia="en-US"/>
              </w:rPr>
              <w:t>75-01-4</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5A7B31">
            <w:pPr>
              <w:pStyle w:val="33"/>
              <w:rPr>
                <w:color w:val="auto"/>
                <w:lang w:eastAsia="en-US"/>
              </w:rPr>
            </w:pPr>
            <w:r>
              <w:rPr>
                <w:color w:val="auto"/>
                <w:lang w:eastAsia="en-US"/>
              </w:rPr>
              <w:t>0.12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34E5F7">
            <w:pPr>
              <w:pStyle w:val="33"/>
              <w:rPr>
                <w:color w:val="auto"/>
                <w:lang w:eastAsia="en-US"/>
              </w:rPr>
            </w:pPr>
            <w:r>
              <w:rPr>
                <w:color w:val="auto"/>
                <w:lang w:eastAsia="en-US"/>
              </w:rPr>
              <w:t>0.43</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66DC12">
            <w:pPr>
              <w:pStyle w:val="33"/>
              <w:rPr>
                <w:color w:val="auto"/>
                <w:lang w:eastAsia="en-US"/>
              </w:rPr>
            </w:pPr>
            <w:r>
              <w:rPr>
                <w:color w:val="auto"/>
                <w:lang w:eastAsia="en-US"/>
              </w:rPr>
              <w:t>1.2</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155FE0">
            <w:pPr>
              <w:pStyle w:val="33"/>
              <w:rPr>
                <w:color w:val="auto"/>
                <w:lang w:eastAsia="en-US"/>
              </w:rPr>
            </w:pPr>
            <w:r>
              <w:rPr>
                <w:color w:val="auto"/>
                <w:lang w:eastAsia="en-US"/>
              </w:rPr>
              <w:t>4.3</w:t>
            </w:r>
          </w:p>
        </w:tc>
      </w:tr>
      <w:tr w14:paraId="633C8494">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FD6BC9">
            <w:pPr>
              <w:pStyle w:val="33"/>
              <w:rPr>
                <w:color w:val="auto"/>
                <w:lang w:eastAsia="en-US"/>
              </w:rPr>
            </w:pPr>
            <w:r>
              <w:rPr>
                <w:color w:val="auto"/>
                <w:lang w:eastAsia="en-US"/>
              </w:rPr>
              <w:t>26</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1CEB32">
            <w:pPr>
              <w:pStyle w:val="33"/>
              <w:rPr>
                <w:color w:val="auto"/>
                <w:lang w:eastAsia="en-US"/>
              </w:rPr>
            </w:pPr>
            <w:r>
              <w:rPr>
                <w:color w:val="auto"/>
                <w:lang w:eastAsia="en-US"/>
              </w:rPr>
              <w:t>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977833B">
            <w:pPr>
              <w:pStyle w:val="33"/>
              <w:rPr>
                <w:color w:val="auto"/>
                <w:lang w:eastAsia="en-US"/>
              </w:rPr>
            </w:pPr>
            <w:r>
              <w:rPr>
                <w:color w:val="auto"/>
                <w:lang w:eastAsia="en-US"/>
              </w:rPr>
              <w:t>71-43-2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F22C66">
            <w:pPr>
              <w:pStyle w:val="33"/>
              <w:rPr>
                <w:color w:val="auto"/>
                <w:lang w:eastAsia="en-US"/>
              </w:rPr>
            </w:pPr>
            <w:r>
              <w:rPr>
                <w:color w:val="auto"/>
                <w:lang w:eastAsia="en-US"/>
              </w:rPr>
              <w:t>1</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D9E2736">
            <w:pPr>
              <w:pStyle w:val="33"/>
              <w:rPr>
                <w:color w:val="auto"/>
                <w:lang w:eastAsia="en-US"/>
              </w:rPr>
            </w:pPr>
            <w:r>
              <w:rPr>
                <w:color w:val="auto"/>
                <w:lang w:eastAsia="en-US"/>
              </w:rPr>
              <w:t>4</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7531A83">
            <w:pPr>
              <w:pStyle w:val="33"/>
              <w:rPr>
                <w:color w:val="auto"/>
                <w:lang w:eastAsia="en-US"/>
              </w:rPr>
            </w:pPr>
            <w:r>
              <w:rPr>
                <w:color w:val="auto"/>
                <w:lang w:eastAsia="en-US"/>
              </w:rPr>
              <w:t>10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2CC98A">
            <w:pPr>
              <w:pStyle w:val="33"/>
              <w:rPr>
                <w:color w:val="auto"/>
                <w:lang w:eastAsia="en-US"/>
              </w:rPr>
            </w:pPr>
            <w:r>
              <w:rPr>
                <w:color w:val="auto"/>
                <w:lang w:eastAsia="en-US"/>
              </w:rPr>
              <w:t>40</w:t>
            </w:r>
          </w:p>
        </w:tc>
      </w:tr>
      <w:tr w14:paraId="083BCC39">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3B70C9E">
            <w:pPr>
              <w:pStyle w:val="33"/>
              <w:rPr>
                <w:color w:val="auto"/>
                <w:lang w:eastAsia="en-US"/>
              </w:rPr>
            </w:pPr>
            <w:r>
              <w:rPr>
                <w:color w:val="auto"/>
                <w:lang w:eastAsia="en-US"/>
              </w:rPr>
              <w:t>27</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6BBDA0">
            <w:pPr>
              <w:pStyle w:val="33"/>
              <w:rPr>
                <w:color w:val="auto"/>
                <w:lang w:eastAsia="en-US"/>
              </w:rPr>
            </w:pPr>
            <w:r>
              <w:rPr>
                <w:rFonts w:hint="eastAsia"/>
                <w:color w:val="auto"/>
              </w:rPr>
              <w:t>氯苯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566DC2">
            <w:pPr>
              <w:pStyle w:val="33"/>
              <w:rPr>
                <w:color w:val="auto"/>
                <w:lang w:eastAsia="en-US"/>
              </w:rPr>
            </w:pPr>
            <w:r>
              <w:rPr>
                <w:color w:val="auto"/>
                <w:lang w:eastAsia="en-US"/>
              </w:rPr>
              <w:t>108-90-7</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BD5BA9">
            <w:pPr>
              <w:pStyle w:val="33"/>
              <w:rPr>
                <w:color w:val="auto"/>
                <w:lang w:eastAsia="en-US"/>
              </w:rPr>
            </w:pPr>
            <w:r>
              <w:rPr>
                <w:color w:val="auto"/>
                <w:lang w:eastAsia="en-US"/>
              </w:rPr>
              <w:t>68</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1720E02">
            <w:pPr>
              <w:pStyle w:val="33"/>
              <w:rPr>
                <w:color w:val="auto"/>
                <w:lang w:eastAsia="en-US"/>
              </w:rPr>
            </w:pPr>
            <w:r>
              <w:rPr>
                <w:color w:val="auto"/>
                <w:lang w:eastAsia="en-US"/>
              </w:rPr>
              <w:t>270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F9019A1">
            <w:pPr>
              <w:pStyle w:val="33"/>
              <w:rPr>
                <w:color w:val="auto"/>
                <w:lang w:eastAsia="en-US"/>
              </w:rPr>
            </w:pPr>
            <w:r>
              <w:rPr>
                <w:color w:val="auto"/>
                <w:lang w:eastAsia="en-US"/>
              </w:rPr>
              <w:t>200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341CA6">
            <w:pPr>
              <w:pStyle w:val="33"/>
              <w:rPr>
                <w:color w:val="auto"/>
                <w:lang w:eastAsia="en-US"/>
              </w:rPr>
            </w:pPr>
            <w:r>
              <w:rPr>
                <w:color w:val="auto"/>
                <w:lang w:eastAsia="en-US"/>
              </w:rPr>
              <w:t>1000</w:t>
            </w:r>
          </w:p>
        </w:tc>
      </w:tr>
      <w:tr w14:paraId="7E9A668C">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91657DB">
            <w:pPr>
              <w:pStyle w:val="33"/>
              <w:rPr>
                <w:color w:val="auto"/>
                <w:lang w:eastAsia="en-US"/>
              </w:rPr>
            </w:pPr>
            <w:r>
              <w:rPr>
                <w:color w:val="auto"/>
                <w:lang w:eastAsia="en-US"/>
              </w:rPr>
              <w:t>28</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3572C1">
            <w:pPr>
              <w:pStyle w:val="33"/>
              <w:rPr>
                <w:color w:val="auto"/>
                <w:lang w:eastAsia="en-US"/>
              </w:rPr>
            </w:pPr>
            <w:r>
              <w:rPr>
                <w:color w:val="auto"/>
                <w:lang w:eastAsia="en-US"/>
              </w:rPr>
              <w:t>1,2-二氯苯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803C3E">
            <w:pPr>
              <w:pStyle w:val="33"/>
              <w:rPr>
                <w:color w:val="auto"/>
                <w:lang w:eastAsia="en-US"/>
              </w:rPr>
            </w:pPr>
            <w:r>
              <w:rPr>
                <w:color w:val="auto"/>
                <w:lang w:eastAsia="en-US"/>
              </w:rPr>
              <w:t>95-50-1</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93E01A">
            <w:pPr>
              <w:pStyle w:val="33"/>
              <w:rPr>
                <w:color w:val="auto"/>
                <w:lang w:eastAsia="en-US"/>
              </w:rPr>
            </w:pPr>
            <w:r>
              <w:rPr>
                <w:color w:val="auto"/>
                <w:lang w:eastAsia="en-US"/>
              </w:rPr>
              <w:t>560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0092D85">
            <w:pPr>
              <w:pStyle w:val="33"/>
              <w:rPr>
                <w:color w:val="auto"/>
                <w:lang w:eastAsia="en-US"/>
              </w:rPr>
            </w:pPr>
            <w:r>
              <w:rPr>
                <w:color w:val="auto"/>
                <w:lang w:eastAsia="en-US"/>
              </w:rPr>
              <w:t>560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242C9E">
            <w:pPr>
              <w:pStyle w:val="33"/>
              <w:rPr>
                <w:color w:val="auto"/>
                <w:lang w:eastAsia="en-US"/>
              </w:rPr>
            </w:pPr>
            <w:r>
              <w:rPr>
                <w:color w:val="auto"/>
                <w:lang w:eastAsia="en-US"/>
              </w:rPr>
              <w:t>560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D0996B">
            <w:pPr>
              <w:pStyle w:val="33"/>
              <w:rPr>
                <w:color w:val="auto"/>
                <w:lang w:eastAsia="en-US"/>
              </w:rPr>
            </w:pPr>
            <w:r>
              <w:rPr>
                <w:color w:val="auto"/>
                <w:lang w:eastAsia="en-US"/>
              </w:rPr>
              <w:t>560</w:t>
            </w:r>
          </w:p>
        </w:tc>
      </w:tr>
      <w:tr w14:paraId="330EBD5C">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5D1069">
            <w:pPr>
              <w:pStyle w:val="33"/>
              <w:rPr>
                <w:color w:val="auto"/>
                <w:lang w:eastAsia="en-US"/>
              </w:rPr>
            </w:pPr>
            <w:r>
              <w:rPr>
                <w:color w:val="auto"/>
                <w:lang w:eastAsia="en-US"/>
              </w:rPr>
              <w:t>29</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4B2FE4">
            <w:pPr>
              <w:pStyle w:val="33"/>
              <w:rPr>
                <w:color w:val="auto"/>
                <w:lang w:eastAsia="en-US"/>
              </w:rPr>
            </w:pPr>
            <w:r>
              <w:rPr>
                <w:color w:val="auto"/>
                <w:lang w:eastAsia="en-US"/>
              </w:rPr>
              <w:t>1,4-二氯苯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C78E398">
            <w:pPr>
              <w:pStyle w:val="33"/>
              <w:rPr>
                <w:color w:val="auto"/>
                <w:lang w:eastAsia="en-US"/>
              </w:rPr>
            </w:pPr>
            <w:r>
              <w:rPr>
                <w:color w:val="auto"/>
                <w:lang w:eastAsia="en-US"/>
              </w:rPr>
              <w:t>106-46-7</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4C006AE">
            <w:pPr>
              <w:pStyle w:val="33"/>
              <w:rPr>
                <w:color w:val="auto"/>
                <w:lang w:eastAsia="en-US"/>
              </w:rPr>
            </w:pPr>
            <w:r>
              <w:rPr>
                <w:color w:val="auto"/>
                <w:lang w:eastAsia="en-US"/>
              </w:rPr>
              <w:t>5.6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5CCF296">
            <w:pPr>
              <w:pStyle w:val="33"/>
              <w:rPr>
                <w:color w:val="auto"/>
                <w:lang w:eastAsia="en-US"/>
              </w:rPr>
            </w:pPr>
            <w:r>
              <w:rPr>
                <w:color w:val="auto"/>
                <w:lang w:eastAsia="en-US"/>
              </w:rPr>
              <w:t>20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283593B">
            <w:pPr>
              <w:pStyle w:val="33"/>
              <w:rPr>
                <w:color w:val="auto"/>
                <w:lang w:eastAsia="en-US"/>
              </w:rPr>
            </w:pPr>
            <w:r>
              <w:rPr>
                <w:color w:val="auto"/>
                <w:lang w:eastAsia="en-US"/>
              </w:rPr>
              <w:t>56</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03061F">
            <w:pPr>
              <w:pStyle w:val="33"/>
              <w:rPr>
                <w:color w:val="auto"/>
                <w:lang w:eastAsia="en-US"/>
              </w:rPr>
            </w:pPr>
            <w:r>
              <w:rPr>
                <w:color w:val="auto"/>
                <w:lang w:eastAsia="en-US"/>
              </w:rPr>
              <w:t>200</w:t>
            </w:r>
          </w:p>
        </w:tc>
      </w:tr>
      <w:tr w14:paraId="5562C5CB">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83540D">
            <w:pPr>
              <w:pStyle w:val="33"/>
              <w:rPr>
                <w:color w:val="auto"/>
                <w:lang w:eastAsia="en-US"/>
              </w:rPr>
            </w:pPr>
            <w:r>
              <w:rPr>
                <w:color w:val="auto"/>
                <w:lang w:eastAsia="en-US"/>
              </w:rPr>
              <w:t>30</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3C6A8F">
            <w:pPr>
              <w:pStyle w:val="33"/>
              <w:rPr>
                <w:color w:val="auto"/>
                <w:lang w:eastAsia="en-US"/>
              </w:rPr>
            </w:pPr>
            <w:r>
              <w:rPr>
                <w:rFonts w:hint="eastAsia"/>
                <w:color w:val="auto"/>
              </w:rPr>
              <w:t>乙苯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CD0E91B">
            <w:pPr>
              <w:pStyle w:val="33"/>
              <w:rPr>
                <w:color w:val="auto"/>
                <w:lang w:eastAsia="en-US"/>
              </w:rPr>
            </w:pPr>
            <w:r>
              <w:rPr>
                <w:color w:val="auto"/>
                <w:lang w:eastAsia="en-US"/>
              </w:rPr>
              <w:t>100-41-4</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58BA5FE">
            <w:pPr>
              <w:pStyle w:val="33"/>
              <w:rPr>
                <w:color w:val="auto"/>
                <w:lang w:eastAsia="en-US"/>
              </w:rPr>
            </w:pPr>
            <w:r>
              <w:rPr>
                <w:color w:val="auto"/>
                <w:lang w:eastAsia="en-US"/>
              </w:rPr>
              <w:t>7.2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6C04C7">
            <w:pPr>
              <w:pStyle w:val="33"/>
              <w:rPr>
                <w:color w:val="auto"/>
                <w:lang w:eastAsia="en-US"/>
              </w:rPr>
            </w:pPr>
            <w:r>
              <w:rPr>
                <w:color w:val="auto"/>
                <w:lang w:eastAsia="en-US"/>
              </w:rPr>
              <w:t>28</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FFF161">
            <w:pPr>
              <w:pStyle w:val="33"/>
              <w:rPr>
                <w:color w:val="auto"/>
                <w:lang w:eastAsia="en-US"/>
              </w:rPr>
            </w:pPr>
            <w:r>
              <w:rPr>
                <w:color w:val="auto"/>
                <w:lang w:eastAsia="en-US"/>
              </w:rPr>
              <w:t>72</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DBDAB8">
            <w:pPr>
              <w:pStyle w:val="33"/>
              <w:rPr>
                <w:color w:val="auto"/>
                <w:lang w:eastAsia="en-US"/>
              </w:rPr>
            </w:pPr>
            <w:r>
              <w:rPr>
                <w:color w:val="auto"/>
                <w:lang w:eastAsia="en-US"/>
              </w:rPr>
              <w:t>280</w:t>
            </w:r>
          </w:p>
        </w:tc>
      </w:tr>
      <w:tr w14:paraId="6037CAF3">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4AEDBD">
            <w:pPr>
              <w:pStyle w:val="33"/>
              <w:rPr>
                <w:color w:val="auto"/>
                <w:lang w:eastAsia="en-US"/>
              </w:rPr>
            </w:pPr>
            <w:r>
              <w:rPr>
                <w:color w:val="auto"/>
                <w:lang w:eastAsia="en-US"/>
              </w:rPr>
              <w:t>31</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A8F4233">
            <w:pPr>
              <w:pStyle w:val="33"/>
              <w:rPr>
                <w:color w:val="auto"/>
                <w:lang w:eastAsia="en-US"/>
              </w:rPr>
            </w:pPr>
            <w:r>
              <w:rPr>
                <w:rFonts w:hint="eastAsia"/>
                <w:color w:val="auto"/>
              </w:rPr>
              <w:t>苯乙烯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4EB96DD">
            <w:pPr>
              <w:pStyle w:val="33"/>
              <w:rPr>
                <w:color w:val="auto"/>
                <w:lang w:eastAsia="en-US"/>
              </w:rPr>
            </w:pPr>
            <w:r>
              <w:rPr>
                <w:color w:val="auto"/>
                <w:lang w:eastAsia="en-US"/>
              </w:rPr>
              <w:t>100-42-5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076B30">
            <w:pPr>
              <w:pStyle w:val="33"/>
              <w:rPr>
                <w:color w:val="auto"/>
                <w:lang w:eastAsia="en-US"/>
              </w:rPr>
            </w:pPr>
            <w:r>
              <w:rPr>
                <w:color w:val="auto"/>
                <w:lang w:eastAsia="en-US"/>
              </w:rPr>
              <w:t>1290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A7CE2E">
            <w:pPr>
              <w:pStyle w:val="33"/>
              <w:rPr>
                <w:color w:val="auto"/>
                <w:lang w:eastAsia="en-US"/>
              </w:rPr>
            </w:pPr>
            <w:r>
              <w:rPr>
                <w:color w:val="auto"/>
                <w:lang w:eastAsia="en-US"/>
              </w:rPr>
              <w:t>1290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9D87F7">
            <w:pPr>
              <w:pStyle w:val="33"/>
              <w:rPr>
                <w:color w:val="auto"/>
                <w:lang w:eastAsia="en-US"/>
              </w:rPr>
            </w:pPr>
            <w:r>
              <w:rPr>
                <w:color w:val="auto"/>
                <w:lang w:eastAsia="en-US"/>
              </w:rPr>
              <w:t>1290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75CC9F">
            <w:pPr>
              <w:pStyle w:val="33"/>
              <w:rPr>
                <w:color w:val="auto"/>
                <w:lang w:eastAsia="en-US"/>
              </w:rPr>
            </w:pPr>
            <w:r>
              <w:rPr>
                <w:color w:val="auto"/>
                <w:lang w:eastAsia="en-US"/>
              </w:rPr>
              <w:t>1290</w:t>
            </w:r>
          </w:p>
        </w:tc>
      </w:tr>
      <w:tr w14:paraId="54D22F17">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71B3C1">
            <w:pPr>
              <w:pStyle w:val="33"/>
              <w:rPr>
                <w:color w:val="auto"/>
                <w:lang w:eastAsia="en-US"/>
              </w:rPr>
            </w:pPr>
            <w:r>
              <w:rPr>
                <w:color w:val="auto"/>
                <w:lang w:eastAsia="en-US"/>
              </w:rPr>
              <w:t>32</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009C709">
            <w:pPr>
              <w:pStyle w:val="33"/>
              <w:rPr>
                <w:color w:val="auto"/>
                <w:lang w:eastAsia="en-US"/>
              </w:rPr>
            </w:pPr>
            <w:r>
              <w:rPr>
                <w:rFonts w:hint="eastAsia"/>
                <w:color w:val="auto"/>
              </w:rPr>
              <w:t>甲苯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256887">
            <w:pPr>
              <w:pStyle w:val="33"/>
              <w:rPr>
                <w:color w:val="auto"/>
                <w:lang w:eastAsia="en-US"/>
              </w:rPr>
            </w:pPr>
            <w:r>
              <w:rPr>
                <w:color w:val="auto"/>
                <w:lang w:eastAsia="en-US"/>
              </w:rPr>
              <w:t>108-88-3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27EF18">
            <w:pPr>
              <w:pStyle w:val="33"/>
              <w:rPr>
                <w:color w:val="auto"/>
                <w:lang w:eastAsia="en-US"/>
              </w:rPr>
            </w:pPr>
            <w:r>
              <w:rPr>
                <w:color w:val="auto"/>
                <w:lang w:eastAsia="en-US"/>
              </w:rPr>
              <w:t>1200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0C1C5A">
            <w:pPr>
              <w:pStyle w:val="33"/>
              <w:rPr>
                <w:color w:val="auto"/>
                <w:lang w:eastAsia="en-US"/>
              </w:rPr>
            </w:pPr>
            <w:r>
              <w:rPr>
                <w:color w:val="auto"/>
                <w:lang w:eastAsia="en-US"/>
              </w:rPr>
              <w:t>1200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6A857C0">
            <w:pPr>
              <w:pStyle w:val="33"/>
              <w:rPr>
                <w:color w:val="auto"/>
                <w:lang w:eastAsia="en-US"/>
              </w:rPr>
            </w:pPr>
            <w:r>
              <w:rPr>
                <w:color w:val="auto"/>
                <w:lang w:eastAsia="en-US"/>
              </w:rPr>
              <w:t>1200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33B4BA7">
            <w:pPr>
              <w:pStyle w:val="33"/>
              <w:rPr>
                <w:color w:val="auto"/>
                <w:lang w:eastAsia="en-US"/>
              </w:rPr>
            </w:pPr>
            <w:r>
              <w:rPr>
                <w:color w:val="auto"/>
                <w:lang w:eastAsia="en-US"/>
              </w:rPr>
              <w:t>1200</w:t>
            </w:r>
          </w:p>
        </w:tc>
      </w:tr>
      <w:tr w14:paraId="5A5F73ED">
        <w:tblPrEx>
          <w:tblCellMar>
            <w:top w:w="0" w:type="dxa"/>
            <w:left w:w="0" w:type="dxa"/>
            <w:bottom w:w="0" w:type="dxa"/>
            <w:right w:w="0" w:type="dxa"/>
          </w:tblCellMar>
        </w:tblPrEx>
        <w:trPr>
          <w:trHeight w:val="710"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657500">
            <w:pPr>
              <w:pStyle w:val="33"/>
              <w:rPr>
                <w:color w:val="auto"/>
                <w:lang w:eastAsia="en-US"/>
              </w:rPr>
            </w:pPr>
            <w:r>
              <w:rPr>
                <w:color w:val="auto"/>
                <w:lang w:eastAsia="en-US"/>
              </w:rPr>
              <w:t>33</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5464D34">
            <w:pPr>
              <w:pStyle w:val="33"/>
              <w:rPr>
                <w:color w:val="auto"/>
                <w:lang w:eastAsia="en-US"/>
              </w:rPr>
            </w:pPr>
            <w:r>
              <w:rPr>
                <w:rFonts w:hint="eastAsia"/>
                <w:color w:val="auto"/>
              </w:rPr>
              <w:t>间二甲苯</w:t>
            </w:r>
            <w:r>
              <w:rPr>
                <w:color w:val="auto"/>
                <w:lang w:eastAsia="en-US"/>
              </w:rPr>
              <w:t>+</w:t>
            </w:r>
            <w:r>
              <w:rPr>
                <w:rFonts w:hint="eastAsia"/>
                <w:color w:val="auto"/>
              </w:rPr>
              <w:t>对二甲苯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50C9350">
            <w:pPr>
              <w:pStyle w:val="33"/>
              <w:rPr>
                <w:color w:val="auto"/>
                <w:lang w:eastAsia="en-US"/>
              </w:rPr>
            </w:pPr>
            <w:r>
              <w:rPr>
                <w:color w:val="auto"/>
                <w:lang w:eastAsia="en-US"/>
              </w:rPr>
              <w:t>108-38-3,</w:t>
            </w:r>
          </w:p>
          <w:p w14:paraId="2E7C5295">
            <w:pPr>
              <w:pStyle w:val="33"/>
              <w:rPr>
                <w:color w:val="auto"/>
                <w:lang w:eastAsia="en-US"/>
              </w:rPr>
            </w:pPr>
            <w:r>
              <w:rPr>
                <w:color w:val="auto"/>
                <w:lang w:eastAsia="en-US"/>
              </w:rPr>
              <w:t>106-42-3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78F4E5">
            <w:pPr>
              <w:pStyle w:val="33"/>
              <w:rPr>
                <w:color w:val="auto"/>
                <w:lang w:eastAsia="en-US"/>
              </w:rPr>
            </w:pPr>
            <w:r>
              <w:rPr>
                <w:color w:val="auto"/>
                <w:lang w:eastAsia="en-US"/>
              </w:rPr>
              <w:t>163</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557DC12">
            <w:pPr>
              <w:pStyle w:val="33"/>
              <w:rPr>
                <w:color w:val="auto"/>
                <w:lang w:eastAsia="en-US"/>
              </w:rPr>
            </w:pPr>
            <w:r>
              <w:rPr>
                <w:color w:val="auto"/>
                <w:lang w:eastAsia="en-US"/>
              </w:rPr>
              <w:t>570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6A26127">
            <w:pPr>
              <w:pStyle w:val="33"/>
              <w:rPr>
                <w:color w:val="auto"/>
                <w:lang w:eastAsia="en-US"/>
              </w:rPr>
            </w:pPr>
            <w:r>
              <w:rPr>
                <w:color w:val="auto"/>
                <w:lang w:eastAsia="en-US"/>
              </w:rPr>
              <w:t>500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75DB01">
            <w:pPr>
              <w:pStyle w:val="33"/>
              <w:rPr>
                <w:color w:val="auto"/>
                <w:lang w:eastAsia="en-US"/>
              </w:rPr>
            </w:pPr>
            <w:r>
              <w:rPr>
                <w:color w:val="auto"/>
                <w:lang w:eastAsia="en-US"/>
              </w:rPr>
              <w:t>570</w:t>
            </w:r>
          </w:p>
        </w:tc>
      </w:tr>
      <w:tr w14:paraId="55F4F5B7">
        <w:tblPrEx>
          <w:tblCellMar>
            <w:top w:w="0" w:type="dxa"/>
            <w:left w:w="0" w:type="dxa"/>
            <w:bottom w:w="0" w:type="dxa"/>
            <w:right w:w="0" w:type="dxa"/>
          </w:tblCellMar>
        </w:tblPrEx>
        <w:trPr>
          <w:trHeight w:val="315"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EF3EA4">
            <w:pPr>
              <w:pStyle w:val="33"/>
              <w:rPr>
                <w:color w:val="auto"/>
                <w:lang w:eastAsia="en-US"/>
              </w:rPr>
            </w:pPr>
            <w:r>
              <w:rPr>
                <w:color w:val="auto"/>
                <w:lang w:eastAsia="en-US"/>
              </w:rPr>
              <w:t>34</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742D080">
            <w:pPr>
              <w:pStyle w:val="33"/>
              <w:rPr>
                <w:color w:val="auto"/>
                <w:lang w:eastAsia="en-US"/>
              </w:rPr>
            </w:pPr>
            <w:r>
              <w:rPr>
                <w:rFonts w:hint="eastAsia"/>
                <w:color w:val="auto"/>
              </w:rPr>
              <w:t>邻二甲苯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9459DD0">
            <w:pPr>
              <w:pStyle w:val="33"/>
              <w:rPr>
                <w:color w:val="auto"/>
                <w:lang w:eastAsia="en-US"/>
              </w:rPr>
            </w:pPr>
            <w:r>
              <w:rPr>
                <w:color w:val="auto"/>
                <w:lang w:eastAsia="en-US"/>
              </w:rPr>
              <w:t>95-47-6</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EC3E9D6">
            <w:pPr>
              <w:pStyle w:val="33"/>
              <w:rPr>
                <w:color w:val="auto"/>
                <w:lang w:eastAsia="en-US"/>
              </w:rPr>
            </w:pPr>
            <w:r>
              <w:rPr>
                <w:color w:val="auto"/>
                <w:lang w:eastAsia="en-US"/>
              </w:rPr>
              <w:t>222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CEE9633">
            <w:pPr>
              <w:pStyle w:val="33"/>
              <w:rPr>
                <w:color w:val="auto"/>
                <w:lang w:eastAsia="en-US"/>
              </w:rPr>
            </w:pPr>
            <w:r>
              <w:rPr>
                <w:color w:val="auto"/>
                <w:lang w:eastAsia="en-US"/>
              </w:rPr>
              <w:t>640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050C19">
            <w:pPr>
              <w:pStyle w:val="33"/>
              <w:rPr>
                <w:color w:val="auto"/>
                <w:lang w:eastAsia="en-US"/>
              </w:rPr>
            </w:pPr>
            <w:r>
              <w:rPr>
                <w:color w:val="auto"/>
                <w:lang w:eastAsia="en-US"/>
              </w:rPr>
              <w:t>640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AE18A9">
            <w:pPr>
              <w:pStyle w:val="33"/>
              <w:rPr>
                <w:color w:val="auto"/>
                <w:lang w:eastAsia="en-US"/>
              </w:rPr>
            </w:pPr>
            <w:r>
              <w:rPr>
                <w:color w:val="auto"/>
                <w:lang w:eastAsia="en-US"/>
              </w:rPr>
              <w:t>640</w:t>
            </w:r>
          </w:p>
        </w:tc>
      </w:tr>
      <w:tr w14:paraId="18A3B4CD">
        <w:tblPrEx>
          <w:tblCellMar>
            <w:top w:w="0" w:type="dxa"/>
            <w:left w:w="0" w:type="dxa"/>
            <w:bottom w:w="0" w:type="dxa"/>
            <w:right w:w="0" w:type="dxa"/>
          </w:tblCellMar>
        </w:tblPrEx>
        <w:trPr>
          <w:trHeight w:val="317" w:hRule="exact"/>
        </w:trPr>
        <w:tc>
          <w:tcPr>
            <w:tcW w:w="9081"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14:paraId="31836418">
            <w:pPr>
              <w:pStyle w:val="33"/>
              <w:rPr>
                <w:color w:val="auto"/>
                <w:lang w:eastAsia="en-US"/>
              </w:rPr>
            </w:pPr>
            <w:r>
              <w:rPr>
                <w:rFonts w:hint="eastAsia"/>
                <w:color w:val="auto"/>
              </w:rPr>
              <w:t>半挥发性有机物</w:t>
            </w:r>
          </w:p>
        </w:tc>
      </w:tr>
      <w:tr w14:paraId="6FA3A1C0">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B5BEC45">
            <w:pPr>
              <w:pStyle w:val="33"/>
              <w:rPr>
                <w:color w:val="auto"/>
                <w:lang w:eastAsia="en-US"/>
              </w:rPr>
            </w:pPr>
            <w:r>
              <w:rPr>
                <w:color w:val="auto"/>
                <w:lang w:eastAsia="en-US"/>
              </w:rPr>
              <w:t>35</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083FE10">
            <w:pPr>
              <w:pStyle w:val="33"/>
              <w:rPr>
                <w:color w:val="auto"/>
                <w:lang w:eastAsia="en-US"/>
              </w:rPr>
            </w:pPr>
            <w:r>
              <w:rPr>
                <w:rFonts w:hint="eastAsia"/>
                <w:color w:val="auto"/>
              </w:rPr>
              <w:t>硝基苯</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2B69457">
            <w:pPr>
              <w:pStyle w:val="33"/>
              <w:rPr>
                <w:color w:val="auto"/>
                <w:lang w:eastAsia="en-US"/>
              </w:rPr>
            </w:pPr>
            <w:r>
              <w:rPr>
                <w:color w:val="auto"/>
                <w:lang w:eastAsia="en-US"/>
              </w:rPr>
              <w:t>98-95-3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1659012">
            <w:pPr>
              <w:pStyle w:val="33"/>
              <w:rPr>
                <w:color w:val="auto"/>
                <w:lang w:eastAsia="en-US"/>
              </w:rPr>
            </w:pPr>
            <w:r>
              <w:rPr>
                <w:color w:val="auto"/>
                <w:lang w:eastAsia="en-US"/>
              </w:rPr>
              <w:t>34</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054BA70">
            <w:pPr>
              <w:pStyle w:val="33"/>
              <w:rPr>
                <w:color w:val="auto"/>
                <w:lang w:eastAsia="en-US"/>
              </w:rPr>
            </w:pPr>
            <w:r>
              <w:rPr>
                <w:color w:val="auto"/>
                <w:lang w:eastAsia="en-US"/>
              </w:rPr>
              <w:t>76</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D81217F">
            <w:pPr>
              <w:pStyle w:val="33"/>
              <w:rPr>
                <w:color w:val="auto"/>
                <w:lang w:eastAsia="en-US"/>
              </w:rPr>
            </w:pPr>
            <w:r>
              <w:rPr>
                <w:color w:val="auto"/>
                <w:lang w:eastAsia="en-US"/>
              </w:rPr>
              <w:t>190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DEEDD11">
            <w:pPr>
              <w:pStyle w:val="33"/>
              <w:rPr>
                <w:color w:val="auto"/>
                <w:lang w:eastAsia="en-US"/>
              </w:rPr>
            </w:pPr>
            <w:r>
              <w:rPr>
                <w:color w:val="auto"/>
                <w:lang w:eastAsia="en-US"/>
              </w:rPr>
              <w:t>760</w:t>
            </w:r>
          </w:p>
        </w:tc>
      </w:tr>
      <w:tr w14:paraId="7F4B56C8">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3813503">
            <w:pPr>
              <w:pStyle w:val="33"/>
              <w:rPr>
                <w:color w:val="auto"/>
                <w:lang w:eastAsia="en-US"/>
              </w:rPr>
            </w:pPr>
            <w:r>
              <w:rPr>
                <w:color w:val="auto"/>
                <w:lang w:eastAsia="en-US"/>
              </w:rPr>
              <w:t>36</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EDBB471">
            <w:pPr>
              <w:pStyle w:val="33"/>
              <w:rPr>
                <w:color w:val="auto"/>
                <w:lang w:eastAsia="en-US"/>
              </w:rPr>
            </w:pPr>
            <w:r>
              <w:rPr>
                <w:rFonts w:hint="eastAsia"/>
                <w:color w:val="auto"/>
              </w:rPr>
              <w:t>苯胺</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A632BD">
            <w:pPr>
              <w:pStyle w:val="33"/>
              <w:rPr>
                <w:color w:val="auto"/>
                <w:lang w:eastAsia="en-US"/>
              </w:rPr>
            </w:pPr>
            <w:r>
              <w:rPr>
                <w:color w:val="auto"/>
                <w:lang w:eastAsia="en-US"/>
              </w:rPr>
              <w:t>62-53-3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BF52E6A">
            <w:pPr>
              <w:pStyle w:val="33"/>
              <w:rPr>
                <w:color w:val="auto"/>
                <w:lang w:eastAsia="en-US"/>
              </w:rPr>
            </w:pPr>
            <w:r>
              <w:rPr>
                <w:color w:val="auto"/>
                <w:lang w:eastAsia="en-US"/>
              </w:rPr>
              <w:t>92</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802635C">
            <w:pPr>
              <w:pStyle w:val="33"/>
              <w:rPr>
                <w:color w:val="auto"/>
                <w:lang w:eastAsia="en-US"/>
              </w:rPr>
            </w:pPr>
            <w:r>
              <w:rPr>
                <w:color w:val="auto"/>
                <w:lang w:eastAsia="en-US"/>
              </w:rPr>
              <w:t>260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AAABDF">
            <w:pPr>
              <w:pStyle w:val="33"/>
              <w:rPr>
                <w:color w:val="auto"/>
                <w:lang w:eastAsia="en-US"/>
              </w:rPr>
            </w:pPr>
            <w:r>
              <w:rPr>
                <w:color w:val="auto"/>
                <w:lang w:eastAsia="en-US"/>
              </w:rPr>
              <w:t>211</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4904FA0">
            <w:pPr>
              <w:pStyle w:val="33"/>
              <w:rPr>
                <w:color w:val="auto"/>
                <w:lang w:eastAsia="en-US"/>
              </w:rPr>
            </w:pPr>
            <w:r>
              <w:rPr>
                <w:color w:val="auto"/>
                <w:lang w:eastAsia="en-US"/>
              </w:rPr>
              <w:t>663</w:t>
            </w:r>
          </w:p>
        </w:tc>
      </w:tr>
      <w:tr w14:paraId="55099DEA">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84D3690">
            <w:pPr>
              <w:pStyle w:val="33"/>
              <w:rPr>
                <w:color w:val="auto"/>
                <w:lang w:eastAsia="en-US"/>
              </w:rPr>
            </w:pPr>
            <w:r>
              <w:rPr>
                <w:color w:val="auto"/>
                <w:lang w:eastAsia="en-US"/>
              </w:rPr>
              <w:t>37</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532E830">
            <w:pPr>
              <w:pStyle w:val="33"/>
              <w:rPr>
                <w:color w:val="auto"/>
                <w:lang w:eastAsia="en-US"/>
              </w:rPr>
            </w:pPr>
            <w:r>
              <w:rPr>
                <w:color w:val="auto"/>
                <w:lang w:eastAsia="en-US"/>
              </w:rPr>
              <w:t>2-氯酚</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D0243EA">
            <w:pPr>
              <w:pStyle w:val="33"/>
              <w:rPr>
                <w:color w:val="auto"/>
                <w:lang w:eastAsia="en-US"/>
              </w:rPr>
            </w:pPr>
            <w:r>
              <w:rPr>
                <w:color w:val="auto"/>
                <w:lang w:eastAsia="en-US"/>
              </w:rPr>
              <w:t>95-57-8</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AF456FA">
            <w:pPr>
              <w:pStyle w:val="33"/>
              <w:rPr>
                <w:color w:val="auto"/>
                <w:lang w:eastAsia="en-US"/>
              </w:rPr>
            </w:pPr>
            <w:r>
              <w:rPr>
                <w:color w:val="auto"/>
                <w:lang w:eastAsia="en-US"/>
              </w:rPr>
              <w:t>250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B98F09">
            <w:pPr>
              <w:pStyle w:val="33"/>
              <w:rPr>
                <w:color w:val="auto"/>
                <w:lang w:eastAsia="en-US"/>
              </w:rPr>
            </w:pPr>
            <w:r>
              <w:rPr>
                <w:color w:val="auto"/>
                <w:lang w:eastAsia="en-US"/>
              </w:rPr>
              <w:t>2256</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BB11A6B">
            <w:pPr>
              <w:pStyle w:val="33"/>
              <w:rPr>
                <w:color w:val="auto"/>
                <w:lang w:eastAsia="en-US"/>
              </w:rPr>
            </w:pPr>
            <w:r>
              <w:rPr>
                <w:color w:val="auto"/>
                <w:lang w:eastAsia="en-US"/>
              </w:rPr>
              <w:t>500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4F6604">
            <w:pPr>
              <w:pStyle w:val="33"/>
              <w:rPr>
                <w:color w:val="auto"/>
                <w:lang w:eastAsia="en-US"/>
              </w:rPr>
            </w:pPr>
            <w:r>
              <w:rPr>
                <w:color w:val="auto"/>
                <w:lang w:eastAsia="en-US"/>
              </w:rPr>
              <w:t>4500</w:t>
            </w:r>
          </w:p>
        </w:tc>
      </w:tr>
      <w:tr w14:paraId="1FD2E66B">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CFBFA83">
            <w:pPr>
              <w:pStyle w:val="33"/>
              <w:rPr>
                <w:color w:val="auto"/>
                <w:lang w:eastAsia="en-US"/>
              </w:rPr>
            </w:pPr>
            <w:r>
              <w:rPr>
                <w:color w:val="auto"/>
                <w:lang w:eastAsia="en-US"/>
              </w:rPr>
              <w:t>38</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9C671FF">
            <w:pPr>
              <w:pStyle w:val="33"/>
              <w:rPr>
                <w:color w:val="auto"/>
                <w:lang w:eastAsia="en-US"/>
              </w:rPr>
            </w:pPr>
            <w:r>
              <w:rPr>
                <w:rFonts w:hint="eastAsia"/>
                <w:color w:val="auto"/>
              </w:rPr>
              <w:t>苯</w:t>
            </w:r>
            <w:r>
              <w:rPr>
                <w:color w:val="auto"/>
                <w:lang w:eastAsia="en-US"/>
              </w:rPr>
              <w:t>并[a]</w:t>
            </w:r>
            <w:r>
              <w:rPr>
                <w:rFonts w:hint="eastAsia"/>
                <w:color w:val="auto"/>
              </w:rPr>
              <w:t>蒽</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D100798">
            <w:pPr>
              <w:pStyle w:val="33"/>
              <w:rPr>
                <w:color w:val="auto"/>
                <w:lang w:eastAsia="en-US"/>
              </w:rPr>
            </w:pPr>
            <w:r>
              <w:rPr>
                <w:color w:val="auto"/>
                <w:lang w:eastAsia="en-US"/>
              </w:rPr>
              <w:t>56-55-3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0048C2">
            <w:pPr>
              <w:pStyle w:val="33"/>
              <w:rPr>
                <w:color w:val="auto"/>
                <w:lang w:eastAsia="en-US"/>
              </w:rPr>
            </w:pPr>
            <w:r>
              <w:rPr>
                <w:color w:val="auto"/>
                <w:lang w:eastAsia="en-US"/>
              </w:rPr>
              <w:t>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4F3FBBC">
            <w:pPr>
              <w:pStyle w:val="33"/>
              <w:rPr>
                <w:color w:val="auto"/>
                <w:lang w:eastAsia="en-US"/>
              </w:rPr>
            </w:pPr>
            <w:r>
              <w:rPr>
                <w:color w:val="auto"/>
                <w:lang w:eastAsia="en-US"/>
              </w:rPr>
              <w:t>15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0D6384">
            <w:pPr>
              <w:pStyle w:val="33"/>
              <w:rPr>
                <w:color w:val="auto"/>
                <w:lang w:eastAsia="en-US"/>
              </w:rPr>
            </w:pPr>
            <w:r>
              <w:rPr>
                <w:color w:val="auto"/>
                <w:lang w:eastAsia="en-US"/>
              </w:rPr>
              <w:t>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AFA17C">
            <w:pPr>
              <w:pStyle w:val="33"/>
              <w:rPr>
                <w:color w:val="auto"/>
                <w:lang w:eastAsia="en-US"/>
              </w:rPr>
            </w:pPr>
            <w:r>
              <w:rPr>
                <w:color w:val="auto"/>
                <w:lang w:eastAsia="en-US"/>
              </w:rPr>
              <w:t>151</w:t>
            </w:r>
          </w:p>
        </w:tc>
      </w:tr>
      <w:tr w14:paraId="75261F04">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8DE5E93">
            <w:pPr>
              <w:pStyle w:val="33"/>
              <w:rPr>
                <w:color w:val="auto"/>
                <w:lang w:eastAsia="en-US"/>
              </w:rPr>
            </w:pPr>
            <w:r>
              <w:rPr>
                <w:color w:val="auto"/>
                <w:lang w:eastAsia="en-US"/>
              </w:rPr>
              <w:t>39</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5DF2717">
            <w:pPr>
              <w:pStyle w:val="33"/>
              <w:rPr>
                <w:color w:val="auto"/>
                <w:lang w:eastAsia="en-US"/>
              </w:rPr>
            </w:pPr>
            <w:r>
              <w:rPr>
                <w:rFonts w:hint="eastAsia"/>
                <w:color w:val="auto"/>
              </w:rPr>
              <w:t>苯</w:t>
            </w:r>
            <w:r>
              <w:rPr>
                <w:color w:val="auto"/>
                <w:lang w:eastAsia="en-US"/>
              </w:rPr>
              <w:t>并[a]</w:t>
            </w:r>
            <w:r>
              <w:rPr>
                <w:rFonts w:hint="eastAsia"/>
                <w:color w:val="auto"/>
              </w:rPr>
              <w:t>芘</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EB503B">
            <w:pPr>
              <w:pStyle w:val="33"/>
              <w:rPr>
                <w:color w:val="auto"/>
                <w:lang w:eastAsia="en-US"/>
              </w:rPr>
            </w:pPr>
            <w:r>
              <w:rPr>
                <w:color w:val="auto"/>
                <w:lang w:eastAsia="en-US"/>
              </w:rPr>
              <w:t>50-32-8</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71CE16">
            <w:pPr>
              <w:pStyle w:val="33"/>
              <w:rPr>
                <w:color w:val="auto"/>
                <w:lang w:eastAsia="en-US"/>
              </w:rPr>
            </w:pPr>
            <w:r>
              <w:rPr>
                <w:color w:val="auto"/>
                <w:lang w:eastAsia="en-US"/>
              </w:rPr>
              <w:t>0.55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FBF5FE">
            <w:pPr>
              <w:pStyle w:val="33"/>
              <w:rPr>
                <w:color w:val="auto"/>
                <w:lang w:eastAsia="en-US"/>
              </w:rPr>
            </w:pPr>
            <w:r>
              <w:rPr>
                <w:color w:val="auto"/>
                <w:lang w:eastAsia="en-US"/>
              </w:rPr>
              <w:t>1.5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F18B622">
            <w:pPr>
              <w:pStyle w:val="33"/>
              <w:rPr>
                <w:color w:val="auto"/>
                <w:lang w:eastAsia="en-US"/>
              </w:rPr>
            </w:pPr>
            <w:r>
              <w:rPr>
                <w:color w:val="auto"/>
                <w:lang w:eastAsia="en-US"/>
              </w:rPr>
              <w:t>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21044A3">
            <w:pPr>
              <w:pStyle w:val="33"/>
              <w:rPr>
                <w:color w:val="auto"/>
                <w:lang w:eastAsia="en-US"/>
              </w:rPr>
            </w:pPr>
            <w:r>
              <w:rPr>
                <w:color w:val="auto"/>
                <w:lang w:eastAsia="en-US"/>
              </w:rPr>
              <w:t>15</w:t>
            </w:r>
          </w:p>
        </w:tc>
      </w:tr>
      <w:tr w14:paraId="183F1478">
        <w:tblPrEx>
          <w:tblCellMar>
            <w:top w:w="0" w:type="dxa"/>
            <w:left w:w="0" w:type="dxa"/>
            <w:bottom w:w="0" w:type="dxa"/>
            <w:right w:w="0" w:type="dxa"/>
          </w:tblCellMar>
        </w:tblPrEx>
        <w:trPr>
          <w:trHeight w:val="654"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280DBC1">
            <w:pPr>
              <w:pStyle w:val="33"/>
              <w:rPr>
                <w:color w:val="auto"/>
                <w:lang w:eastAsia="en-US"/>
              </w:rPr>
            </w:pPr>
            <w:r>
              <w:rPr>
                <w:color w:val="auto"/>
                <w:lang w:eastAsia="en-US"/>
              </w:rPr>
              <w:t>40</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47B6C55">
            <w:pPr>
              <w:pStyle w:val="33"/>
              <w:rPr>
                <w:color w:val="auto"/>
                <w:lang w:eastAsia="en-US"/>
              </w:rPr>
            </w:pPr>
            <w:r>
              <w:rPr>
                <w:rFonts w:hint="eastAsia"/>
                <w:color w:val="auto"/>
              </w:rPr>
              <w:t>苯</w:t>
            </w:r>
            <w:r>
              <w:rPr>
                <w:color w:val="auto"/>
                <w:lang w:eastAsia="en-US"/>
              </w:rPr>
              <w:t>并[b]</w:t>
            </w:r>
            <w:r>
              <w:rPr>
                <w:rFonts w:hint="eastAsia"/>
                <w:color w:val="auto"/>
              </w:rPr>
              <w:t>荧蒽</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F7BDF6">
            <w:pPr>
              <w:pStyle w:val="33"/>
              <w:rPr>
                <w:color w:val="auto"/>
                <w:lang w:eastAsia="en-US"/>
              </w:rPr>
            </w:pPr>
            <w:r>
              <w:rPr>
                <w:color w:val="auto"/>
                <w:lang w:eastAsia="en-US"/>
              </w:rPr>
              <w:t>205-99-2</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3F7257">
            <w:pPr>
              <w:pStyle w:val="33"/>
              <w:rPr>
                <w:color w:val="auto"/>
                <w:lang w:eastAsia="en-US"/>
              </w:rPr>
            </w:pPr>
            <w:r>
              <w:rPr>
                <w:color w:val="auto"/>
                <w:lang w:eastAsia="en-US"/>
              </w:rPr>
              <w:t>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11243B4">
            <w:pPr>
              <w:pStyle w:val="33"/>
              <w:rPr>
                <w:color w:val="auto"/>
                <w:lang w:eastAsia="en-US"/>
              </w:rPr>
            </w:pPr>
            <w:r>
              <w:rPr>
                <w:color w:val="auto"/>
                <w:lang w:eastAsia="en-US"/>
              </w:rPr>
              <w:t>15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4BC30E6">
            <w:pPr>
              <w:pStyle w:val="33"/>
              <w:rPr>
                <w:color w:val="auto"/>
                <w:lang w:eastAsia="en-US"/>
              </w:rPr>
            </w:pPr>
            <w:r>
              <w:rPr>
                <w:color w:val="auto"/>
                <w:lang w:eastAsia="en-US"/>
              </w:rPr>
              <w:t>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ACBF98">
            <w:pPr>
              <w:pStyle w:val="33"/>
              <w:rPr>
                <w:color w:val="auto"/>
                <w:lang w:eastAsia="en-US"/>
              </w:rPr>
            </w:pPr>
            <w:r>
              <w:rPr>
                <w:color w:val="auto"/>
                <w:lang w:eastAsia="en-US"/>
              </w:rPr>
              <w:t>151</w:t>
            </w:r>
          </w:p>
        </w:tc>
      </w:tr>
      <w:tr w14:paraId="6AC88F95">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70108CC">
            <w:pPr>
              <w:pStyle w:val="33"/>
              <w:rPr>
                <w:color w:val="auto"/>
                <w:lang w:eastAsia="en-US"/>
              </w:rPr>
            </w:pPr>
            <w:r>
              <w:rPr>
                <w:color w:val="auto"/>
                <w:lang w:eastAsia="en-US"/>
              </w:rPr>
              <w:t>41</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DBB65B6">
            <w:pPr>
              <w:pStyle w:val="33"/>
              <w:rPr>
                <w:color w:val="auto"/>
                <w:lang w:eastAsia="en-US"/>
              </w:rPr>
            </w:pPr>
            <w:r>
              <w:rPr>
                <w:rFonts w:hint="eastAsia"/>
                <w:color w:val="auto"/>
              </w:rPr>
              <w:t>苯并</w:t>
            </w:r>
            <w:r>
              <w:rPr>
                <w:color w:val="auto"/>
                <w:lang w:eastAsia="en-US"/>
              </w:rPr>
              <w:t>[k]</w:t>
            </w:r>
            <w:r>
              <w:rPr>
                <w:rFonts w:hint="eastAsia"/>
                <w:color w:val="auto"/>
              </w:rPr>
              <w:t>荧蒽</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939A44C">
            <w:pPr>
              <w:pStyle w:val="33"/>
              <w:rPr>
                <w:color w:val="auto"/>
                <w:lang w:eastAsia="en-US"/>
              </w:rPr>
            </w:pPr>
            <w:r>
              <w:rPr>
                <w:color w:val="auto"/>
                <w:lang w:eastAsia="en-US"/>
              </w:rPr>
              <w:t>207-08-9</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360E5C1">
            <w:pPr>
              <w:pStyle w:val="33"/>
              <w:rPr>
                <w:color w:val="auto"/>
                <w:lang w:eastAsia="en-US"/>
              </w:rPr>
            </w:pPr>
            <w:r>
              <w:rPr>
                <w:color w:val="auto"/>
                <w:lang w:eastAsia="en-US"/>
              </w:rPr>
              <w:t>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5AF768">
            <w:pPr>
              <w:pStyle w:val="33"/>
              <w:rPr>
                <w:color w:val="auto"/>
                <w:lang w:eastAsia="en-US"/>
              </w:rPr>
            </w:pPr>
            <w:r>
              <w:rPr>
                <w:color w:val="auto"/>
                <w:lang w:eastAsia="en-US"/>
              </w:rPr>
              <w:t>151</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7D1FF8A">
            <w:pPr>
              <w:pStyle w:val="33"/>
              <w:rPr>
                <w:color w:val="auto"/>
                <w:lang w:eastAsia="en-US"/>
              </w:rPr>
            </w:pPr>
            <w:r>
              <w:rPr>
                <w:color w:val="auto"/>
                <w:lang w:eastAsia="en-US"/>
              </w:rPr>
              <w:t>550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E4511CB">
            <w:pPr>
              <w:pStyle w:val="33"/>
              <w:rPr>
                <w:color w:val="auto"/>
                <w:lang w:eastAsia="en-US"/>
              </w:rPr>
            </w:pPr>
            <w:r>
              <w:rPr>
                <w:color w:val="auto"/>
                <w:lang w:eastAsia="en-US"/>
              </w:rPr>
              <w:t>1500</w:t>
            </w:r>
          </w:p>
        </w:tc>
      </w:tr>
      <w:tr w14:paraId="1C92E286">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B392444">
            <w:pPr>
              <w:pStyle w:val="33"/>
              <w:rPr>
                <w:color w:val="auto"/>
                <w:lang w:eastAsia="en-US"/>
              </w:rPr>
            </w:pPr>
            <w:r>
              <w:rPr>
                <w:color w:val="auto"/>
                <w:lang w:eastAsia="en-US"/>
              </w:rPr>
              <w:t>42</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311626">
            <w:pPr>
              <w:pStyle w:val="33"/>
              <w:rPr>
                <w:color w:val="auto"/>
                <w:lang w:eastAsia="en-US"/>
              </w:rPr>
            </w:pPr>
            <w:r>
              <w:rPr>
                <w:color w:val="auto"/>
                <w:lang w:eastAsia="en-US"/>
              </w:rPr>
              <w:t>䓛</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82B9AA7">
            <w:pPr>
              <w:pStyle w:val="33"/>
              <w:rPr>
                <w:color w:val="auto"/>
                <w:lang w:eastAsia="en-US"/>
              </w:rPr>
            </w:pPr>
            <w:r>
              <w:rPr>
                <w:color w:val="auto"/>
                <w:lang w:eastAsia="en-US"/>
              </w:rPr>
              <w:t>218-01-9</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BD8D342">
            <w:pPr>
              <w:pStyle w:val="33"/>
              <w:rPr>
                <w:color w:val="auto"/>
                <w:lang w:eastAsia="en-US"/>
              </w:rPr>
            </w:pPr>
            <w:r>
              <w:rPr>
                <w:color w:val="auto"/>
                <w:lang w:eastAsia="en-US"/>
              </w:rPr>
              <w:t>490</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82D559A">
            <w:pPr>
              <w:pStyle w:val="33"/>
              <w:rPr>
                <w:color w:val="auto"/>
                <w:lang w:eastAsia="en-US"/>
              </w:rPr>
            </w:pPr>
            <w:r>
              <w:rPr>
                <w:color w:val="auto"/>
                <w:lang w:eastAsia="en-US"/>
              </w:rPr>
              <w:t>1293</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E39F1DA">
            <w:pPr>
              <w:pStyle w:val="33"/>
              <w:rPr>
                <w:color w:val="auto"/>
                <w:lang w:eastAsia="en-US"/>
              </w:rPr>
            </w:pPr>
            <w:r>
              <w:rPr>
                <w:color w:val="auto"/>
                <w:lang w:eastAsia="en-US"/>
              </w:rPr>
              <w:t>4900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0000A2C">
            <w:pPr>
              <w:pStyle w:val="33"/>
              <w:rPr>
                <w:color w:val="auto"/>
                <w:lang w:eastAsia="en-US"/>
              </w:rPr>
            </w:pPr>
            <w:r>
              <w:rPr>
                <w:color w:val="auto"/>
                <w:lang w:eastAsia="en-US"/>
              </w:rPr>
              <w:t>12900</w:t>
            </w:r>
          </w:p>
        </w:tc>
      </w:tr>
      <w:tr w14:paraId="48C2B992">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A08EC6C">
            <w:pPr>
              <w:pStyle w:val="33"/>
              <w:rPr>
                <w:color w:val="auto"/>
                <w:lang w:eastAsia="en-US"/>
              </w:rPr>
            </w:pPr>
            <w:r>
              <w:rPr>
                <w:color w:val="auto"/>
                <w:lang w:eastAsia="en-US"/>
              </w:rPr>
              <w:t>43</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362C645">
            <w:pPr>
              <w:pStyle w:val="33"/>
              <w:rPr>
                <w:color w:val="auto"/>
                <w:lang w:eastAsia="en-US"/>
              </w:rPr>
            </w:pPr>
            <w:r>
              <w:rPr>
                <w:rFonts w:hint="eastAsia"/>
                <w:color w:val="auto"/>
              </w:rPr>
              <w:t>二苯并</w:t>
            </w:r>
            <w:r>
              <w:rPr>
                <w:color w:val="auto"/>
                <w:lang w:eastAsia="en-US"/>
              </w:rPr>
              <w:t>[a,h]蒽</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F5D3982">
            <w:pPr>
              <w:pStyle w:val="33"/>
              <w:rPr>
                <w:color w:val="auto"/>
                <w:lang w:eastAsia="en-US"/>
              </w:rPr>
            </w:pPr>
            <w:r>
              <w:rPr>
                <w:color w:val="auto"/>
                <w:lang w:eastAsia="en-US"/>
              </w:rPr>
              <w:t>53-70-3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673EE0C">
            <w:pPr>
              <w:pStyle w:val="33"/>
              <w:rPr>
                <w:color w:val="auto"/>
                <w:lang w:eastAsia="en-US"/>
              </w:rPr>
            </w:pPr>
            <w:r>
              <w:rPr>
                <w:color w:val="auto"/>
                <w:lang w:eastAsia="en-US"/>
              </w:rPr>
              <w:t>0.55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87FF038">
            <w:pPr>
              <w:pStyle w:val="33"/>
              <w:rPr>
                <w:color w:val="auto"/>
                <w:lang w:eastAsia="en-US"/>
              </w:rPr>
            </w:pPr>
            <w:r>
              <w:rPr>
                <w:color w:val="auto"/>
                <w:lang w:eastAsia="en-US"/>
              </w:rPr>
              <w:t>1.5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F2F4E1D">
            <w:pPr>
              <w:pStyle w:val="33"/>
              <w:rPr>
                <w:color w:val="auto"/>
                <w:lang w:eastAsia="en-US"/>
              </w:rPr>
            </w:pPr>
            <w:r>
              <w:rPr>
                <w:color w:val="auto"/>
                <w:lang w:eastAsia="en-US"/>
              </w:rPr>
              <w:t>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D48A18">
            <w:pPr>
              <w:pStyle w:val="33"/>
              <w:rPr>
                <w:color w:val="auto"/>
                <w:lang w:eastAsia="en-US"/>
              </w:rPr>
            </w:pPr>
            <w:r>
              <w:rPr>
                <w:color w:val="auto"/>
                <w:lang w:eastAsia="en-US"/>
              </w:rPr>
              <w:t>15</w:t>
            </w:r>
          </w:p>
        </w:tc>
      </w:tr>
      <w:tr w14:paraId="20238D65">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15603BB">
            <w:pPr>
              <w:pStyle w:val="33"/>
              <w:rPr>
                <w:color w:val="auto"/>
                <w:lang w:eastAsia="en-US"/>
              </w:rPr>
            </w:pPr>
            <w:r>
              <w:rPr>
                <w:color w:val="auto"/>
                <w:lang w:eastAsia="en-US"/>
              </w:rPr>
              <w:t>44</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BDA1A24">
            <w:pPr>
              <w:pStyle w:val="33"/>
              <w:rPr>
                <w:color w:val="auto"/>
                <w:lang w:eastAsia="en-US"/>
              </w:rPr>
            </w:pPr>
            <w:r>
              <w:rPr>
                <w:rFonts w:hint="eastAsia"/>
                <w:color w:val="auto"/>
              </w:rPr>
              <w:t>茆并</w:t>
            </w:r>
            <w:r>
              <w:rPr>
                <w:color w:val="auto"/>
                <w:lang w:eastAsia="en-US"/>
              </w:rPr>
              <w:t>[1,2,3-cd]芘</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9299EA2">
            <w:pPr>
              <w:pStyle w:val="33"/>
              <w:rPr>
                <w:color w:val="auto"/>
                <w:lang w:eastAsia="en-US"/>
              </w:rPr>
            </w:pPr>
            <w:r>
              <w:rPr>
                <w:color w:val="auto"/>
                <w:lang w:eastAsia="en-US"/>
              </w:rPr>
              <w:t>193-39-5</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CB79899">
            <w:pPr>
              <w:pStyle w:val="33"/>
              <w:rPr>
                <w:color w:val="auto"/>
                <w:lang w:eastAsia="en-US"/>
              </w:rPr>
            </w:pPr>
            <w:r>
              <w:rPr>
                <w:color w:val="auto"/>
                <w:lang w:eastAsia="en-US"/>
              </w:rPr>
              <w:t>5.5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A660711">
            <w:pPr>
              <w:pStyle w:val="33"/>
              <w:rPr>
                <w:color w:val="auto"/>
                <w:lang w:eastAsia="en-US"/>
              </w:rPr>
            </w:pPr>
            <w:r>
              <w:rPr>
                <w:color w:val="auto"/>
                <w:lang w:eastAsia="en-US"/>
              </w:rPr>
              <w:t>15</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729D6B8">
            <w:pPr>
              <w:pStyle w:val="33"/>
              <w:rPr>
                <w:color w:val="auto"/>
                <w:lang w:eastAsia="en-US"/>
              </w:rPr>
            </w:pPr>
            <w:r>
              <w:rPr>
                <w:color w:val="auto"/>
                <w:lang w:eastAsia="en-US"/>
              </w:rPr>
              <w:t>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B1F0584">
            <w:pPr>
              <w:pStyle w:val="33"/>
              <w:rPr>
                <w:color w:val="auto"/>
                <w:lang w:eastAsia="en-US"/>
              </w:rPr>
            </w:pPr>
            <w:r>
              <w:rPr>
                <w:color w:val="auto"/>
                <w:lang w:eastAsia="en-US"/>
              </w:rPr>
              <w:t>151</w:t>
            </w:r>
          </w:p>
        </w:tc>
      </w:tr>
      <w:tr w14:paraId="69B6422A">
        <w:tblPrEx>
          <w:tblCellMar>
            <w:top w:w="0" w:type="dxa"/>
            <w:left w:w="0" w:type="dxa"/>
            <w:bottom w:w="0" w:type="dxa"/>
            <w:right w:w="0" w:type="dxa"/>
          </w:tblCellMar>
        </w:tblPrEx>
        <w:trPr>
          <w:trHeight w:val="317"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0EF419A9">
            <w:pPr>
              <w:pStyle w:val="33"/>
              <w:rPr>
                <w:color w:val="auto"/>
                <w:lang w:eastAsia="en-US"/>
              </w:rPr>
            </w:pPr>
            <w:r>
              <w:rPr>
                <w:color w:val="auto"/>
                <w:lang w:eastAsia="en-US"/>
              </w:rPr>
              <w:t>45</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5892430">
            <w:pPr>
              <w:pStyle w:val="33"/>
              <w:rPr>
                <w:color w:val="auto"/>
                <w:lang w:eastAsia="en-US"/>
              </w:rPr>
            </w:pPr>
            <w:r>
              <w:rPr>
                <w:color w:val="auto"/>
                <w:lang w:eastAsia="en-US"/>
              </w:rPr>
              <w:t>萘</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393E1D54">
            <w:pPr>
              <w:pStyle w:val="33"/>
              <w:rPr>
                <w:color w:val="auto"/>
                <w:lang w:eastAsia="en-US"/>
              </w:rPr>
            </w:pPr>
            <w:r>
              <w:rPr>
                <w:color w:val="auto"/>
                <w:lang w:eastAsia="en-US"/>
              </w:rPr>
              <w:t>91-20-3</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EF7FBD4">
            <w:pPr>
              <w:pStyle w:val="33"/>
              <w:rPr>
                <w:color w:val="auto"/>
                <w:lang w:eastAsia="en-US"/>
              </w:rPr>
            </w:pPr>
            <w:r>
              <w:rPr>
                <w:color w:val="auto"/>
                <w:lang w:eastAsia="en-US"/>
              </w:rPr>
              <w:t>25</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A84C577">
            <w:pPr>
              <w:pStyle w:val="33"/>
              <w:rPr>
                <w:color w:val="auto"/>
                <w:lang w:eastAsia="en-US"/>
              </w:rPr>
            </w:pPr>
            <w:r>
              <w:rPr>
                <w:color w:val="auto"/>
                <w:lang w:eastAsia="en-US"/>
              </w:rPr>
              <w:t>70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2982AB7">
            <w:pPr>
              <w:pStyle w:val="33"/>
              <w:rPr>
                <w:color w:val="auto"/>
                <w:lang w:eastAsia="en-US"/>
              </w:rPr>
            </w:pPr>
            <w:r>
              <w:rPr>
                <w:color w:val="auto"/>
                <w:lang w:eastAsia="en-US"/>
              </w:rPr>
              <w:t>255</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2AB8911">
            <w:pPr>
              <w:pStyle w:val="33"/>
              <w:rPr>
                <w:color w:val="auto"/>
                <w:lang w:eastAsia="en-US"/>
              </w:rPr>
            </w:pPr>
            <w:r>
              <w:rPr>
                <w:color w:val="auto"/>
                <w:lang w:eastAsia="en-US"/>
              </w:rPr>
              <w:t>700</w:t>
            </w:r>
          </w:p>
        </w:tc>
      </w:tr>
      <w:tr w14:paraId="1A98173B">
        <w:tblPrEx>
          <w:tblCellMar>
            <w:top w:w="0" w:type="dxa"/>
            <w:left w:w="0" w:type="dxa"/>
            <w:bottom w:w="0" w:type="dxa"/>
            <w:right w:w="0" w:type="dxa"/>
          </w:tblCellMar>
        </w:tblPrEx>
        <w:trPr>
          <w:trHeight w:val="317" w:hRule="exact"/>
        </w:trPr>
        <w:tc>
          <w:tcPr>
            <w:tcW w:w="9081" w:type="dxa"/>
            <w:gridSpan w:val="7"/>
            <w:tcBorders>
              <w:top w:val="single" w:color="000000" w:sz="4" w:space="0"/>
              <w:left w:val="single" w:color="000000" w:sz="4" w:space="0"/>
              <w:bottom w:val="single" w:color="000000" w:sz="4" w:space="0"/>
              <w:right w:val="single" w:color="000000" w:sz="4" w:space="0"/>
            </w:tcBorders>
            <w:shd w:val="clear" w:color="auto" w:fill="FFFFFF"/>
            <w:vAlign w:val="center"/>
          </w:tcPr>
          <w:p w14:paraId="1015422B">
            <w:pPr>
              <w:pStyle w:val="33"/>
              <w:rPr>
                <w:color w:val="auto"/>
                <w:lang w:eastAsia="en-US"/>
              </w:rPr>
            </w:pPr>
            <w:r>
              <w:rPr>
                <w:rFonts w:hint="eastAsia"/>
                <w:color w:val="auto"/>
              </w:rPr>
              <w:t>其他项目</w:t>
            </w:r>
          </w:p>
        </w:tc>
      </w:tr>
      <w:tr w14:paraId="612DE19D">
        <w:tblPrEx>
          <w:tblCellMar>
            <w:top w:w="0" w:type="dxa"/>
            <w:left w:w="0" w:type="dxa"/>
            <w:bottom w:w="0" w:type="dxa"/>
            <w:right w:w="0" w:type="dxa"/>
          </w:tblCellMar>
        </w:tblPrEx>
        <w:trPr>
          <w:trHeight w:val="424" w:hRule="exact"/>
        </w:trPr>
        <w:tc>
          <w:tcPr>
            <w:tcW w:w="43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57C00155">
            <w:pPr>
              <w:pStyle w:val="33"/>
              <w:rPr>
                <w:color w:val="auto"/>
                <w:lang w:eastAsia="en-US"/>
              </w:rPr>
            </w:pPr>
            <w:r>
              <w:rPr>
                <w:rFonts w:hint="eastAsia"/>
                <w:color w:val="auto"/>
              </w:rPr>
              <w:t>46</w:t>
            </w:r>
          </w:p>
        </w:tc>
        <w:tc>
          <w:tcPr>
            <w:tcW w:w="170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BFFFDFB">
            <w:pPr>
              <w:pStyle w:val="33"/>
              <w:rPr>
                <w:color w:val="auto"/>
              </w:rPr>
            </w:pPr>
            <w:r>
              <w:rPr>
                <w:color w:val="auto"/>
              </w:rPr>
              <w:t>石油烃（C</w:t>
            </w:r>
            <w:r>
              <w:rPr>
                <w:color w:val="auto"/>
                <w:vertAlign w:val="subscript"/>
              </w:rPr>
              <w:t>10</w:t>
            </w:r>
            <w:r>
              <w:rPr>
                <w:color w:val="auto"/>
              </w:rPr>
              <w:t>-C</w:t>
            </w:r>
            <w:r>
              <w:rPr>
                <w:color w:val="auto"/>
                <w:vertAlign w:val="subscript"/>
              </w:rPr>
              <w:t>40</w:t>
            </w:r>
            <w:r>
              <w:rPr>
                <w:color w:val="auto"/>
              </w:rPr>
              <w:t>）</w:t>
            </w:r>
          </w:p>
        </w:tc>
        <w:tc>
          <w:tcPr>
            <w:tcW w:w="1275"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26BF79CD">
            <w:pPr>
              <w:pStyle w:val="33"/>
              <w:rPr>
                <w:color w:val="auto"/>
                <w:lang w:eastAsia="en-US"/>
              </w:rPr>
            </w:pPr>
            <w:r>
              <w:rPr>
                <w:color w:val="auto"/>
              </w:rPr>
              <w:t>-</w:t>
            </w:r>
          </w:p>
        </w:tc>
        <w:tc>
          <w:tcPr>
            <w:tcW w:w="1560"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1AB06B71">
            <w:pPr>
              <w:pStyle w:val="33"/>
              <w:rPr>
                <w:color w:val="auto"/>
                <w:lang w:eastAsia="en-US"/>
              </w:rPr>
            </w:pPr>
            <w:r>
              <w:rPr>
                <w:color w:val="auto"/>
              </w:rPr>
              <w:t>826</w:t>
            </w:r>
          </w:p>
        </w:tc>
        <w:tc>
          <w:tcPr>
            <w:tcW w:w="1417"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7D1689D7">
            <w:pPr>
              <w:pStyle w:val="33"/>
              <w:rPr>
                <w:color w:val="auto"/>
                <w:lang w:eastAsia="en-US"/>
              </w:rPr>
            </w:pPr>
            <w:r>
              <w:rPr>
                <w:color w:val="auto"/>
              </w:rPr>
              <w:t>4500</w:t>
            </w:r>
          </w:p>
        </w:tc>
        <w:tc>
          <w:tcPr>
            <w:tcW w:w="1276"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64B2FB5C">
            <w:pPr>
              <w:pStyle w:val="33"/>
              <w:rPr>
                <w:color w:val="auto"/>
                <w:lang w:eastAsia="en-US"/>
              </w:rPr>
            </w:pPr>
            <w:r>
              <w:rPr>
                <w:color w:val="auto"/>
              </w:rPr>
              <w:t>5000</w:t>
            </w:r>
          </w:p>
        </w:tc>
        <w:tc>
          <w:tcPr>
            <w:tcW w:w="1421" w:type="dxa"/>
            <w:tcBorders>
              <w:top w:val="single" w:color="000000" w:sz="4" w:space="0"/>
              <w:left w:val="single" w:color="000000" w:sz="4" w:space="0"/>
              <w:bottom w:val="single" w:color="000000" w:sz="4" w:space="0"/>
              <w:right w:val="single" w:color="000000" w:sz="4" w:space="0"/>
            </w:tcBorders>
            <w:shd w:val="clear" w:color="auto" w:fill="FFFFFF"/>
            <w:vAlign w:val="center"/>
          </w:tcPr>
          <w:p w14:paraId="4161D4CF">
            <w:pPr>
              <w:pStyle w:val="33"/>
              <w:rPr>
                <w:color w:val="auto"/>
                <w:lang w:eastAsia="en-US"/>
              </w:rPr>
            </w:pPr>
            <w:r>
              <w:rPr>
                <w:color w:val="auto"/>
              </w:rPr>
              <w:t>9000</w:t>
            </w:r>
          </w:p>
        </w:tc>
      </w:tr>
    </w:tbl>
    <w:p w14:paraId="700686F1">
      <w:pPr>
        <w:pStyle w:val="4"/>
        <w:rPr>
          <w:rFonts w:cs="Times New Roman"/>
          <w:color w:val="auto"/>
        </w:rPr>
      </w:pPr>
      <w:bookmarkStart w:id="91" w:name="_Toc198391179"/>
      <w:bookmarkStart w:id="92" w:name="_Toc199190418"/>
      <w:bookmarkStart w:id="93" w:name="_Toc199168881"/>
      <w:bookmarkStart w:id="94" w:name="_Toc225216659"/>
      <w:bookmarkStart w:id="95" w:name="_Toc198390526"/>
      <w:r>
        <w:rPr>
          <w:rFonts w:cs="Times New Roman"/>
          <w:color w:val="auto"/>
        </w:rPr>
        <w:t>污染物排放标准</w:t>
      </w:r>
      <w:bookmarkEnd w:id="91"/>
      <w:bookmarkEnd w:id="92"/>
      <w:bookmarkEnd w:id="93"/>
      <w:bookmarkEnd w:id="94"/>
      <w:bookmarkEnd w:id="95"/>
    </w:p>
    <w:p w14:paraId="4573B3DA">
      <w:pPr>
        <w:pStyle w:val="5"/>
        <w:rPr>
          <w:rFonts w:cs="Times New Roman"/>
          <w:color w:val="auto"/>
        </w:rPr>
      </w:pPr>
      <w:r>
        <w:rPr>
          <w:rFonts w:cs="Times New Roman"/>
          <w:color w:val="auto"/>
        </w:rPr>
        <w:t>废气排放标准</w:t>
      </w:r>
    </w:p>
    <w:p w14:paraId="7687F137">
      <w:pPr>
        <w:ind w:firstLine="480"/>
        <w:rPr>
          <w:color w:val="auto"/>
        </w:rPr>
      </w:pPr>
      <w:r>
        <w:rPr>
          <w:rFonts w:hint="eastAsia"/>
          <w:color w:val="auto"/>
        </w:rPr>
        <w:t>1、施工期</w:t>
      </w:r>
    </w:p>
    <w:p w14:paraId="583DD54C">
      <w:pPr>
        <w:ind w:firstLine="480"/>
        <w:rPr>
          <w:color w:val="auto"/>
        </w:rPr>
      </w:pPr>
      <w:r>
        <w:rPr>
          <w:rFonts w:hint="eastAsia"/>
          <w:color w:val="auto"/>
        </w:rPr>
        <w:t>施工期废气排放执行《大气污染物综合排放标准》（GB16297-1996）表2中新污染源无组织排放监控浓度限值，详见下表。</w:t>
      </w:r>
    </w:p>
    <w:p w14:paraId="572CAA70">
      <w:pPr>
        <w:pStyle w:val="7"/>
        <w:rPr>
          <w:color w:val="auto"/>
        </w:rPr>
      </w:pPr>
      <w:r>
        <w:rPr>
          <w:rFonts w:hint="eastAsia"/>
          <w:color w:val="auto"/>
        </w:rPr>
        <w:t>《大气污染物综合排放标准》（GB16297-1996）（摘录）</w:t>
      </w:r>
    </w:p>
    <w:tbl>
      <w:tblPr>
        <w:tblStyle w:val="26"/>
        <w:tblW w:w="88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962"/>
        <w:gridCol w:w="4004"/>
        <w:gridCol w:w="2878"/>
      </w:tblGrid>
      <w:tr w14:paraId="72514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62" w:type="dxa"/>
            <w:vMerge w:val="restart"/>
            <w:vAlign w:val="center"/>
          </w:tcPr>
          <w:p w14:paraId="67935EC1">
            <w:pPr>
              <w:pStyle w:val="33"/>
              <w:rPr>
                <w:color w:val="auto"/>
              </w:rPr>
            </w:pPr>
            <w:r>
              <w:rPr>
                <w:color w:val="auto"/>
              </w:rPr>
              <w:t>污染物</w:t>
            </w:r>
          </w:p>
        </w:tc>
        <w:tc>
          <w:tcPr>
            <w:tcW w:w="6882" w:type="dxa"/>
            <w:gridSpan w:val="2"/>
            <w:vAlign w:val="center"/>
          </w:tcPr>
          <w:p w14:paraId="1BA70AAD">
            <w:pPr>
              <w:pStyle w:val="33"/>
              <w:rPr>
                <w:color w:val="auto"/>
              </w:rPr>
            </w:pPr>
            <w:r>
              <w:rPr>
                <w:color w:val="auto"/>
              </w:rPr>
              <w:t>无组织排放监控浓度限值（mg/m</w:t>
            </w:r>
            <w:r>
              <w:rPr>
                <w:color w:val="auto"/>
                <w:vertAlign w:val="superscript"/>
              </w:rPr>
              <w:t>3</w:t>
            </w:r>
            <w:r>
              <w:rPr>
                <w:color w:val="auto"/>
              </w:rPr>
              <w:t>）</w:t>
            </w:r>
          </w:p>
        </w:tc>
      </w:tr>
      <w:tr w14:paraId="42112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62" w:type="dxa"/>
            <w:vMerge w:val="continue"/>
            <w:vAlign w:val="center"/>
          </w:tcPr>
          <w:p w14:paraId="33E88AA0">
            <w:pPr>
              <w:pStyle w:val="33"/>
              <w:rPr>
                <w:color w:val="auto"/>
              </w:rPr>
            </w:pPr>
          </w:p>
        </w:tc>
        <w:tc>
          <w:tcPr>
            <w:tcW w:w="4004" w:type="dxa"/>
            <w:vAlign w:val="center"/>
          </w:tcPr>
          <w:p w14:paraId="7B1AEA92">
            <w:pPr>
              <w:pStyle w:val="33"/>
              <w:rPr>
                <w:color w:val="auto"/>
              </w:rPr>
            </w:pPr>
            <w:r>
              <w:rPr>
                <w:color w:val="auto"/>
              </w:rPr>
              <w:t>监控点</w:t>
            </w:r>
          </w:p>
        </w:tc>
        <w:tc>
          <w:tcPr>
            <w:tcW w:w="2878" w:type="dxa"/>
            <w:vAlign w:val="center"/>
          </w:tcPr>
          <w:p w14:paraId="52A5EA0F">
            <w:pPr>
              <w:pStyle w:val="33"/>
              <w:rPr>
                <w:color w:val="auto"/>
              </w:rPr>
            </w:pPr>
            <w:r>
              <w:rPr>
                <w:color w:val="auto"/>
              </w:rPr>
              <w:t>浓度</w:t>
            </w:r>
          </w:p>
        </w:tc>
      </w:tr>
      <w:tr w14:paraId="2F905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62" w:type="dxa"/>
            <w:vAlign w:val="center"/>
          </w:tcPr>
          <w:p w14:paraId="27282259">
            <w:pPr>
              <w:pStyle w:val="33"/>
              <w:rPr>
                <w:color w:val="auto"/>
              </w:rPr>
            </w:pPr>
            <w:r>
              <w:rPr>
                <w:color w:val="auto"/>
              </w:rPr>
              <w:t>颗粒物</w:t>
            </w:r>
          </w:p>
        </w:tc>
        <w:tc>
          <w:tcPr>
            <w:tcW w:w="4004" w:type="dxa"/>
            <w:vAlign w:val="center"/>
          </w:tcPr>
          <w:p w14:paraId="49BA720B">
            <w:pPr>
              <w:pStyle w:val="33"/>
              <w:rPr>
                <w:color w:val="auto"/>
              </w:rPr>
            </w:pPr>
            <w:r>
              <w:rPr>
                <w:color w:val="auto"/>
              </w:rPr>
              <w:t>周界外浓度最高点</w:t>
            </w:r>
          </w:p>
        </w:tc>
        <w:tc>
          <w:tcPr>
            <w:tcW w:w="2878" w:type="dxa"/>
            <w:vAlign w:val="center"/>
          </w:tcPr>
          <w:p w14:paraId="10B5F54D">
            <w:pPr>
              <w:pStyle w:val="33"/>
              <w:rPr>
                <w:color w:val="auto"/>
              </w:rPr>
            </w:pPr>
            <w:r>
              <w:rPr>
                <w:color w:val="auto"/>
              </w:rPr>
              <w:t>1.0</w:t>
            </w:r>
          </w:p>
        </w:tc>
      </w:tr>
      <w:tr w14:paraId="25BAF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62" w:type="dxa"/>
            <w:vAlign w:val="center"/>
          </w:tcPr>
          <w:p w14:paraId="4B6537B6">
            <w:pPr>
              <w:pStyle w:val="33"/>
              <w:rPr>
                <w:color w:val="auto"/>
              </w:rPr>
            </w:pPr>
            <w:r>
              <w:rPr>
                <w:rFonts w:hint="eastAsia"/>
                <w:color w:val="auto"/>
              </w:rPr>
              <w:t>氮氧化物</w:t>
            </w:r>
          </w:p>
        </w:tc>
        <w:tc>
          <w:tcPr>
            <w:tcW w:w="4004" w:type="dxa"/>
            <w:vAlign w:val="center"/>
          </w:tcPr>
          <w:p w14:paraId="05172E97">
            <w:pPr>
              <w:pStyle w:val="33"/>
              <w:rPr>
                <w:color w:val="auto"/>
              </w:rPr>
            </w:pPr>
            <w:r>
              <w:rPr>
                <w:color w:val="auto"/>
              </w:rPr>
              <w:t>周界外浓度最高点</w:t>
            </w:r>
          </w:p>
        </w:tc>
        <w:tc>
          <w:tcPr>
            <w:tcW w:w="2878" w:type="dxa"/>
            <w:vAlign w:val="center"/>
          </w:tcPr>
          <w:p w14:paraId="656318CA">
            <w:pPr>
              <w:pStyle w:val="33"/>
              <w:rPr>
                <w:color w:val="auto"/>
              </w:rPr>
            </w:pPr>
            <w:r>
              <w:rPr>
                <w:rFonts w:hint="eastAsia"/>
                <w:color w:val="auto"/>
              </w:rPr>
              <w:t>0.12</w:t>
            </w:r>
          </w:p>
        </w:tc>
      </w:tr>
      <w:tr w14:paraId="02559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1962" w:type="dxa"/>
            <w:vAlign w:val="center"/>
          </w:tcPr>
          <w:p w14:paraId="1A8B8E06">
            <w:pPr>
              <w:pStyle w:val="33"/>
              <w:rPr>
                <w:color w:val="auto"/>
              </w:rPr>
            </w:pPr>
            <w:r>
              <w:rPr>
                <w:rFonts w:hint="eastAsia"/>
                <w:color w:val="auto"/>
              </w:rPr>
              <w:t>NMHC</w:t>
            </w:r>
          </w:p>
        </w:tc>
        <w:tc>
          <w:tcPr>
            <w:tcW w:w="4004" w:type="dxa"/>
            <w:vAlign w:val="center"/>
          </w:tcPr>
          <w:p w14:paraId="76D43306">
            <w:pPr>
              <w:pStyle w:val="33"/>
              <w:rPr>
                <w:color w:val="auto"/>
              </w:rPr>
            </w:pPr>
            <w:r>
              <w:rPr>
                <w:color w:val="auto"/>
              </w:rPr>
              <w:t>周界外浓度最高点</w:t>
            </w:r>
          </w:p>
        </w:tc>
        <w:tc>
          <w:tcPr>
            <w:tcW w:w="2878" w:type="dxa"/>
            <w:vAlign w:val="center"/>
          </w:tcPr>
          <w:p w14:paraId="45B66BE2">
            <w:pPr>
              <w:pStyle w:val="33"/>
              <w:rPr>
                <w:color w:val="auto"/>
              </w:rPr>
            </w:pPr>
            <w:r>
              <w:rPr>
                <w:rFonts w:hint="eastAsia"/>
                <w:color w:val="auto"/>
              </w:rPr>
              <w:t>4.0</w:t>
            </w:r>
          </w:p>
        </w:tc>
      </w:tr>
    </w:tbl>
    <w:p w14:paraId="4F0B6D2B">
      <w:pPr>
        <w:ind w:firstLine="480"/>
        <w:rPr>
          <w:rFonts w:cs="Times New Roman"/>
          <w:color w:val="auto"/>
        </w:rPr>
      </w:pPr>
      <w:r>
        <w:rPr>
          <w:rFonts w:hint="eastAsia" w:cs="Times New Roman"/>
          <w:color w:val="auto"/>
        </w:rPr>
        <w:t>2、运营期</w:t>
      </w:r>
    </w:p>
    <w:p w14:paraId="02C7860B">
      <w:pPr>
        <w:ind w:firstLine="480"/>
        <w:rPr>
          <w:color w:val="auto"/>
          <w:szCs w:val="24"/>
        </w:rPr>
      </w:pPr>
      <w:r>
        <w:rPr>
          <w:rFonts w:hint="eastAsia" w:cs="Times New Roman"/>
          <w:color w:val="auto"/>
        </w:rPr>
        <w:t>（1）1#造纸车间和2#造纸车间烘干工段产生的废气分别通过</w:t>
      </w:r>
      <w:r>
        <w:rPr>
          <w:rFonts w:hint="eastAsia"/>
          <w:color w:val="auto"/>
        </w:rPr>
        <w:t>纸车间顶部10根排气筒排放，其中，1#造纸车间排气筒为D</w:t>
      </w:r>
      <w:r>
        <w:rPr>
          <w:color w:val="auto"/>
        </w:rPr>
        <w:t>A029</w:t>
      </w:r>
      <w:r>
        <w:rPr>
          <w:rFonts w:hint="eastAsia"/>
          <w:color w:val="auto"/>
        </w:rPr>
        <w:t>、</w:t>
      </w:r>
      <w:r>
        <w:rPr>
          <w:color w:val="auto"/>
        </w:rPr>
        <w:t>DA033</w:t>
      </w:r>
      <w:r>
        <w:rPr>
          <w:rFonts w:hint="eastAsia"/>
          <w:color w:val="auto"/>
        </w:rPr>
        <w:t>、</w:t>
      </w:r>
      <w:r>
        <w:rPr>
          <w:color w:val="auto"/>
        </w:rPr>
        <w:t>DA035</w:t>
      </w:r>
      <w:r>
        <w:rPr>
          <w:rFonts w:hint="eastAsia"/>
          <w:color w:val="auto"/>
        </w:rPr>
        <w:t>、</w:t>
      </w:r>
      <w:r>
        <w:rPr>
          <w:color w:val="auto"/>
        </w:rPr>
        <w:t>DA037</w:t>
      </w:r>
      <w:r>
        <w:rPr>
          <w:rFonts w:hint="eastAsia"/>
          <w:color w:val="auto"/>
        </w:rPr>
        <w:t>和</w:t>
      </w:r>
      <w:r>
        <w:rPr>
          <w:color w:val="auto"/>
        </w:rPr>
        <w:t>DA039</w:t>
      </w:r>
      <w:r>
        <w:rPr>
          <w:rFonts w:hint="eastAsia"/>
          <w:color w:val="auto"/>
        </w:rPr>
        <w:t>；2#造纸车间排气筒为D</w:t>
      </w:r>
      <w:r>
        <w:rPr>
          <w:color w:val="auto"/>
        </w:rPr>
        <w:t>A032</w:t>
      </w:r>
      <w:r>
        <w:rPr>
          <w:rFonts w:hint="eastAsia"/>
          <w:color w:val="auto"/>
        </w:rPr>
        <w:t>、</w:t>
      </w:r>
      <w:r>
        <w:rPr>
          <w:color w:val="auto"/>
        </w:rPr>
        <w:t>DA034</w:t>
      </w:r>
      <w:r>
        <w:rPr>
          <w:rFonts w:hint="eastAsia"/>
          <w:color w:val="auto"/>
        </w:rPr>
        <w:t>、</w:t>
      </w:r>
      <w:r>
        <w:rPr>
          <w:color w:val="auto"/>
        </w:rPr>
        <w:t>DA036</w:t>
      </w:r>
      <w:r>
        <w:rPr>
          <w:rFonts w:hint="eastAsia"/>
          <w:color w:val="auto"/>
        </w:rPr>
        <w:t>、</w:t>
      </w:r>
      <w:r>
        <w:rPr>
          <w:color w:val="auto"/>
        </w:rPr>
        <w:t>DA038</w:t>
      </w:r>
      <w:r>
        <w:rPr>
          <w:rFonts w:hint="eastAsia"/>
          <w:color w:val="auto"/>
        </w:rPr>
        <w:t>和</w:t>
      </w:r>
      <w:r>
        <w:rPr>
          <w:color w:val="auto"/>
        </w:rPr>
        <w:t>DA040</w:t>
      </w:r>
      <w:r>
        <w:rPr>
          <w:rFonts w:hint="eastAsia"/>
          <w:color w:val="auto"/>
        </w:rPr>
        <w:t>，执行《大气污染物综合排放标准》（GB16297-1996）表2新污染源大气污染物排放限值中最高允许排放浓度和最高允许排放速率二级要求；1#造纸车间导热油炉排气筒（D</w:t>
      </w:r>
      <w:r>
        <w:rPr>
          <w:color w:val="auto"/>
        </w:rPr>
        <w:t>A041</w:t>
      </w:r>
      <w:r>
        <w:rPr>
          <w:rFonts w:hint="eastAsia"/>
          <w:color w:val="auto"/>
        </w:rPr>
        <w:t>、</w:t>
      </w:r>
      <w:r>
        <w:rPr>
          <w:color w:val="auto"/>
        </w:rPr>
        <w:t>DA043</w:t>
      </w:r>
      <w:r>
        <w:rPr>
          <w:rFonts w:hint="eastAsia"/>
          <w:color w:val="auto"/>
        </w:rPr>
        <w:t>）与2#造纸车间导热油炉排气筒（D</w:t>
      </w:r>
      <w:r>
        <w:rPr>
          <w:color w:val="auto"/>
        </w:rPr>
        <w:t>A042</w:t>
      </w:r>
      <w:r>
        <w:rPr>
          <w:rFonts w:hint="eastAsia"/>
          <w:color w:val="auto"/>
        </w:rPr>
        <w:t>、</w:t>
      </w:r>
      <w:r>
        <w:rPr>
          <w:color w:val="auto"/>
        </w:rPr>
        <w:t>DA044</w:t>
      </w:r>
      <w:r>
        <w:rPr>
          <w:rFonts w:hint="eastAsia"/>
          <w:color w:val="auto"/>
        </w:rPr>
        <w:t>）排放的废气，执行《锅炉大气污染物排放标准》（</w:t>
      </w:r>
      <w:r>
        <w:rPr>
          <w:color w:val="auto"/>
        </w:rPr>
        <w:t>GB 13271-2014</w:t>
      </w:r>
      <w:r>
        <w:rPr>
          <w:rFonts w:hint="eastAsia"/>
          <w:color w:val="auto"/>
        </w:rPr>
        <w:t>）中燃气锅炉排放限值。本次改造工程完成后，淋膜纸车间聚乙烯颗粒生产聚乙烯薄膜及覆膜过程废气经二级活性炭吸附处理后，通过一根18m高排气筒</w:t>
      </w:r>
      <w:r>
        <w:rPr>
          <w:color w:val="auto"/>
        </w:rPr>
        <w:t>（DA0</w:t>
      </w:r>
      <w:r>
        <w:rPr>
          <w:rFonts w:hint="eastAsia"/>
          <w:color w:val="auto"/>
        </w:rPr>
        <w:t>46</w:t>
      </w:r>
      <w:r>
        <w:rPr>
          <w:color w:val="auto"/>
        </w:rPr>
        <w:t>）</w:t>
      </w:r>
      <w:r>
        <w:rPr>
          <w:rFonts w:hint="eastAsia"/>
          <w:color w:val="auto"/>
        </w:rPr>
        <w:t>排放，废气排放执行《大气污染物综合排放标准》（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集水池、初沉池、曝气池、混凝反应池、二沉池、终沉池、脱水机房、污泥浓缩池等污水处理站废气，经负压收集后经碱喷淋+生物除臭滤池技术处理后</w:t>
      </w:r>
      <w:r>
        <w:rPr>
          <w:color w:val="auto"/>
        </w:rPr>
        <w:t>通过</w:t>
      </w:r>
      <w:r>
        <w:rPr>
          <w:rFonts w:hint="eastAsia"/>
          <w:color w:val="auto"/>
        </w:rPr>
        <w:t>1</w:t>
      </w:r>
      <w:r>
        <w:rPr>
          <w:color w:val="auto"/>
        </w:rPr>
        <w:t>5m高排气筒（DA0</w:t>
      </w:r>
      <w:r>
        <w:rPr>
          <w:rFonts w:hint="eastAsia"/>
          <w:color w:val="auto"/>
        </w:rPr>
        <w:t>47</w:t>
      </w:r>
      <w:r>
        <w:rPr>
          <w:color w:val="auto"/>
        </w:rPr>
        <w:t>）排放</w:t>
      </w:r>
      <w:r>
        <w:rPr>
          <w:rFonts w:hint="eastAsia"/>
          <w:color w:val="auto"/>
        </w:rPr>
        <w:t>，</w:t>
      </w:r>
      <w:r>
        <w:rPr>
          <w:color w:val="auto"/>
          <w:szCs w:val="24"/>
        </w:rPr>
        <w:t>运营期产生</w:t>
      </w:r>
      <w:r>
        <w:rPr>
          <w:rFonts w:hint="eastAsia"/>
          <w:color w:val="auto"/>
          <w:szCs w:val="24"/>
        </w:rPr>
        <w:t>废气</w:t>
      </w:r>
      <w:r>
        <w:rPr>
          <w:color w:val="auto"/>
          <w:szCs w:val="24"/>
        </w:rPr>
        <w:t>的执行《恶臭污染物排放标准》（GB14554-93）表2限值</w:t>
      </w:r>
      <w:r>
        <w:rPr>
          <w:rFonts w:hint="eastAsia"/>
          <w:color w:val="auto"/>
        </w:rPr>
        <w:t>。</w:t>
      </w:r>
      <w:r>
        <w:rPr>
          <w:color w:val="auto"/>
          <w:szCs w:val="24"/>
        </w:rPr>
        <w:t>项目产生的无组织废气排放执行《恶臭污染物排放标准》（GB14554-93）厂界浓度执行表1中“新改扩建”二级标准。</w:t>
      </w:r>
    </w:p>
    <w:p w14:paraId="3B6E114A">
      <w:pPr>
        <w:ind w:firstLine="480"/>
        <w:rPr>
          <w:rFonts w:cs="Times New Roman"/>
          <w:color w:val="auto"/>
        </w:rPr>
      </w:pPr>
      <w:r>
        <w:rPr>
          <w:rFonts w:cs="Times New Roman"/>
          <w:color w:val="auto"/>
        </w:rPr>
        <w:t>各排放源对应执行的废气污染物排放标准</w:t>
      </w:r>
      <w:r>
        <w:rPr>
          <w:rFonts w:hint="eastAsia" w:cs="Times New Roman"/>
          <w:color w:val="auto"/>
        </w:rPr>
        <w:t>见下表</w:t>
      </w:r>
      <w:r>
        <w:rPr>
          <w:rFonts w:cs="Times New Roman"/>
          <w:color w:val="auto"/>
        </w:rPr>
        <w:t>。</w:t>
      </w:r>
    </w:p>
    <w:p w14:paraId="089A0DB1">
      <w:pPr>
        <w:pStyle w:val="7"/>
        <w:rPr>
          <w:color w:val="auto"/>
        </w:rPr>
      </w:pPr>
      <w:bookmarkStart w:id="96" w:name="_Ref185008240"/>
      <w:r>
        <w:rPr>
          <w:color w:val="auto"/>
        </w:rPr>
        <w:t>项目各大气污染物执行标准情况表</w:t>
      </w:r>
      <w:bookmarkEnd w:id="96"/>
    </w:p>
    <w:tbl>
      <w:tblPr>
        <w:tblStyle w:val="26"/>
        <w:tblW w:w="91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986"/>
        <w:gridCol w:w="1417"/>
        <w:gridCol w:w="709"/>
        <w:gridCol w:w="1177"/>
        <w:gridCol w:w="1092"/>
        <w:gridCol w:w="1226"/>
        <w:gridCol w:w="2119"/>
      </w:tblGrid>
      <w:tr w14:paraId="41E81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14:paraId="15C02995">
            <w:pPr>
              <w:pStyle w:val="33"/>
              <w:rPr>
                <w:color w:val="auto"/>
              </w:rPr>
            </w:pPr>
            <w:r>
              <w:rPr>
                <w:rFonts w:hint="eastAsia"/>
                <w:color w:val="auto"/>
              </w:rPr>
              <w:t>序号</w:t>
            </w:r>
          </w:p>
        </w:tc>
        <w:tc>
          <w:tcPr>
            <w:tcW w:w="2403" w:type="dxa"/>
            <w:gridSpan w:val="2"/>
            <w:vAlign w:val="center"/>
          </w:tcPr>
          <w:p w14:paraId="0807F0CE">
            <w:pPr>
              <w:pStyle w:val="33"/>
              <w:rPr>
                <w:color w:val="auto"/>
              </w:rPr>
            </w:pPr>
            <w:r>
              <w:rPr>
                <w:rFonts w:hint="eastAsia"/>
                <w:color w:val="auto"/>
              </w:rPr>
              <w:t>产污节点</w:t>
            </w:r>
          </w:p>
        </w:tc>
        <w:tc>
          <w:tcPr>
            <w:tcW w:w="709" w:type="dxa"/>
            <w:vAlign w:val="center"/>
          </w:tcPr>
          <w:p w14:paraId="33ADC0BD">
            <w:pPr>
              <w:pStyle w:val="33"/>
              <w:rPr>
                <w:color w:val="auto"/>
              </w:rPr>
            </w:pPr>
          </w:p>
        </w:tc>
        <w:tc>
          <w:tcPr>
            <w:tcW w:w="1177" w:type="dxa"/>
            <w:vMerge w:val="restart"/>
            <w:vAlign w:val="center"/>
          </w:tcPr>
          <w:p w14:paraId="2BC7EB74">
            <w:pPr>
              <w:pStyle w:val="33"/>
              <w:rPr>
                <w:color w:val="auto"/>
              </w:rPr>
            </w:pPr>
            <w:r>
              <w:rPr>
                <w:rFonts w:hint="eastAsia"/>
                <w:color w:val="auto"/>
              </w:rPr>
              <w:t>污染物</w:t>
            </w:r>
          </w:p>
        </w:tc>
        <w:tc>
          <w:tcPr>
            <w:tcW w:w="1092" w:type="dxa"/>
            <w:vMerge w:val="restart"/>
            <w:vAlign w:val="center"/>
          </w:tcPr>
          <w:p w14:paraId="2FA07DFC">
            <w:pPr>
              <w:pStyle w:val="33"/>
              <w:rPr>
                <w:color w:val="auto"/>
              </w:rPr>
            </w:pPr>
            <w:r>
              <w:rPr>
                <w:color w:val="auto"/>
              </w:rPr>
              <w:t>排放浓度（mg/m</w:t>
            </w:r>
            <w:r>
              <w:rPr>
                <w:color w:val="auto"/>
                <w:vertAlign w:val="superscript"/>
              </w:rPr>
              <w:t>3</w:t>
            </w:r>
            <w:r>
              <w:rPr>
                <w:color w:val="auto"/>
              </w:rPr>
              <w:t>）</w:t>
            </w:r>
          </w:p>
        </w:tc>
        <w:tc>
          <w:tcPr>
            <w:tcW w:w="1226" w:type="dxa"/>
            <w:vMerge w:val="restart"/>
            <w:vAlign w:val="center"/>
          </w:tcPr>
          <w:p w14:paraId="3B0DF2E8">
            <w:pPr>
              <w:pStyle w:val="33"/>
              <w:rPr>
                <w:color w:val="auto"/>
              </w:rPr>
            </w:pPr>
            <w:r>
              <w:rPr>
                <w:color w:val="auto"/>
              </w:rPr>
              <w:t>排放速率（kg/h）</w:t>
            </w:r>
          </w:p>
        </w:tc>
        <w:tc>
          <w:tcPr>
            <w:tcW w:w="2119" w:type="dxa"/>
            <w:vMerge w:val="restart"/>
            <w:vAlign w:val="center"/>
          </w:tcPr>
          <w:p w14:paraId="212C7743">
            <w:pPr>
              <w:pStyle w:val="33"/>
              <w:rPr>
                <w:color w:val="auto"/>
              </w:rPr>
            </w:pPr>
            <w:r>
              <w:rPr>
                <w:color w:val="auto"/>
              </w:rPr>
              <w:t>排放限值</w:t>
            </w:r>
          </w:p>
        </w:tc>
      </w:tr>
      <w:tr w14:paraId="4B404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00883ED2">
            <w:pPr>
              <w:pStyle w:val="33"/>
              <w:rPr>
                <w:color w:val="auto"/>
              </w:rPr>
            </w:pPr>
          </w:p>
        </w:tc>
        <w:tc>
          <w:tcPr>
            <w:tcW w:w="986" w:type="dxa"/>
            <w:vAlign w:val="center"/>
          </w:tcPr>
          <w:p w14:paraId="05DE9E96">
            <w:pPr>
              <w:pStyle w:val="33"/>
              <w:rPr>
                <w:color w:val="auto"/>
              </w:rPr>
            </w:pPr>
            <w:r>
              <w:rPr>
                <w:rFonts w:hint="eastAsia"/>
                <w:color w:val="auto"/>
              </w:rPr>
              <w:t>污染源</w:t>
            </w:r>
          </w:p>
        </w:tc>
        <w:tc>
          <w:tcPr>
            <w:tcW w:w="1417" w:type="dxa"/>
            <w:vAlign w:val="center"/>
          </w:tcPr>
          <w:p w14:paraId="48769EFC">
            <w:pPr>
              <w:pStyle w:val="33"/>
              <w:rPr>
                <w:color w:val="auto"/>
              </w:rPr>
            </w:pPr>
            <w:r>
              <w:rPr>
                <w:rFonts w:hint="eastAsia"/>
                <w:color w:val="auto"/>
              </w:rPr>
              <w:t>排气筒</w:t>
            </w:r>
          </w:p>
        </w:tc>
        <w:tc>
          <w:tcPr>
            <w:tcW w:w="709" w:type="dxa"/>
            <w:vAlign w:val="center"/>
          </w:tcPr>
          <w:p w14:paraId="09BDFB41">
            <w:pPr>
              <w:pStyle w:val="33"/>
              <w:rPr>
                <w:color w:val="auto"/>
              </w:rPr>
            </w:pPr>
            <w:r>
              <w:rPr>
                <w:rFonts w:hint="eastAsia"/>
                <w:color w:val="auto"/>
              </w:rPr>
              <w:t>高度（m）</w:t>
            </w:r>
          </w:p>
        </w:tc>
        <w:tc>
          <w:tcPr>
            <w:tcW w:w="1177" w:type="dxa"/>
            <w:vMerge w:val="continue"/>
            <w:vAlign w:val="center"/>
          </w:tcPr>
          <w:p w14:paraId="585CAEB3">
            <w:pPr>
              <w:pStyle w:val="33"/>
              <w:rPr>
                <w:color w:val="auto"/>
              </w:rPr>
            </w:pPr>
          </w:p>
        </w:tc>
        <w:tc>
          <w:tcPr>
            <w:tcW w:w="1092" w:type="dxa"/>
            <w:vMerge w:val="continue"/>
            <w:vAlign w:val="center"/>
          </w:tcPr>
          <w:p w14:paraId="76A6EACE">
            <w:pPr>
              <w:pStyle w:val="33"/>
              <w:rPr>
                <w:color w:val="auto"/>
              </w:rPr>
            </w:pPr>
          </w:p>
        </w:tc>
        <w:tc>
          <w:tcPr>
            <w:tcW w:w="1226" w:type="dxa"/>
            <w:vMerge w:val="continue"/>
            <w:vAlign w:val="center"/>
          </w:tcPr>
          <w:p w14:paraId="7C8AE29C">
            <w:pPr>
              <w:pStyle w:val="33"/>
              <w:rPr>
                <w:color w:val="auto"/>
              </w:rPr>
            </w:pPr>
          </w:p>
        </w:tc>
        <w:tc>
          <w:tcPr>
            <w:tcW w:w="2119" w:type="dxa"/>
            <w:vMerge w:val="continue"/>
            <w:vAlign w:val="center"/>
          </w:tcPr>
          <w:p w14:paraId="77246B96">
            <w:pPr>
              <w:pStyle w:val="33"/>
              <w:rPr>
                <w:color w:val="auto"/>
              </w:rPr>
            </w:pPr>
          </w:p>
        </w:tc>
      </w:tr>
      <w:tr w14:paraId="65B39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14:paraId="7D36E4FF">
            <w:pPr>
              <w:pStyle w:val="33"/>
              <w:rPr>
                <w:color w:val="auto"/>
              </w:rPr>
            </w:pPr>
            <w:r>
              <w:rPr>
                <w:rFonts w:hint="eastAsia"/>
                <w:color w:val="auto"/>
              </w:rPr>
              <w:t>1</w:t>
            </w:r>
          </w:p>
        </w:tc>
        <w:tc>
          <w:tcPr>
            <w:tcW w:w="986" w:type="dxa"/>
            <w:vMerge w:val="restart"/>
            <w:vAlign w:val="center"/>
          </w:tcPr>
          <w:p w14:paraId="3DFC025F">
            <w:pPr>
              <w:pStyle w:val="33"/>
              <w:rPr>
                <w:color w:val="auto"/>
              </w:rPr>
            </w:pPr>
            <w:r>
              <w:rPr>
                <w:rFonts w:hint="eastAsia"/>
                <w:color w:val="auto"/>
              </w:rPr>
              <w:t>1#造纸车间烘干废气</w:t>
            </w:r>
          </w:p>
        </w:tc>
        <w:tc>
          <w:tcPr>
            <w:tcW w:w="1417" w:type="dxa"/>
            <w:vMerge w:val="restart"/>
            <w:vAlign w:val="center"/>
          </w:tcPr>
          <w:p w14:paraId="07F3DA8B">
            <w:pPr>
              <w:pStyle w:val="33"/>
              <w:rPr>
                <w:color w:val="auto"/>
              </w:rPr>
            </w:pPr>
            <w:r>
              <w:rPr>
                <w:rFonts w:hint="eastAsia"/>
                <w:color w:val="auto"/>
              </w:rPr>
              <w:t>DA029、D</w:t>
            </w:r>
            <w:r>
              <w:rPr>
                <w:color w:val="auto"/>
              </w:rPr>
              <w:t>A033</w:t>
            </w:r>
            <w:r>
              <w:rPr>
                <w:rFonts w:hint="eastAsia"/>
                <w:color w:val="auto"/>
              </w:rPr>
              <w:t>、D</w:t>
            </w:r>
            <w:r>
              <w:rPr>
                <w:color w:val="auto"/>
              </w:rPr>
              <w:t>A035</w:t>
            </w:r>
            <w:r>
              <w:rPr>
                <w:rFonts w:hint="eastAsia"/>
                <w:color w:val="auto"/>
              </w:rPr>
              <w:t>、</w:t>
            </w:r>
            <w:r>
              <w:rPr>
                <w:color w:val="auto"/>
              </w:rPr>
              <w:t>DA037</w:t>
            </w:r>
            <w:r>
              <w:rPr>
                <w:rFonts w:hint="eastAsia"/>
                <w:color w:val="auto"/>
              </w:rPr>
              <w:t>、D</w:t>
            </w:r>
            <w:r>
              <w:rPr>
                <w:color w:val="auto"/>
              </w:rPr>
              <w:t>A039</w:t>
            </w:r>
          </w:p>
        </w:tc>
        <w:tc>
          <w:tcPr>
            <w:tcW w:w="709" w:type="dxa"/>
            <w:vMerge w:val="restart"/>
            <w:vAlign w:val="center"/>
          </w:tcPr>
          <w:p w14:paraId="3113CCC8">
            <w:pPr>
              <w:pStyle w:val="33"/>
              <w:rPr>
                <w:color w:val="auto"/>
              </w:rPr>
            </w:pPr>
            <w:r>
              <w:rPr>
                <w:rFonts w:hint="eastAsia"/>
                <w:color w:val="auto"/>
              </w:rPr>
              <w:t>30</w:t>
            </w:r>
          </w:p>
        </w:tc>
        <w:tc>
          <w:tcPr>
            <w:tcW w:w="1177" w:type="dxa"/>
            <w:vAlign w:val="center"/>
          </w:tcPr>
          <w:p w14:paraId="5FA3D6AB">
            <w:pPr>
              <w:pStyle w:val="33"/>
              <w:rPr>
                <w:color w:val="auto"/>
              </w:rPr>
            </w:pPr>
            <w:r>
              <w:rPr>
                <w:rFonts w:hint="eastAsia"/>
                <w:color w:val="auto"/>
              </w:rPr>
              <w:t>二氧化硫</w:t>
            </w:r>
          </w:p>
        </w:tc>
        <w:tc>
          <w:tcPr>
            <w:tcW w:w="1092" w:type="dxa"/>
            <w:vAlign w:val="center"/>
          </w:tcPr>
          <w:p w14:paraId="2B6F38F0">
            <w:pPr>
              <w:pStyle w:val="33"/>
              <w:rPr>
                <w:color w:val="auto"/>
              </w:rPr>
            </w:pPr>
            <w:r>
              <w:rPr>
                <w:rFonts w:hint="eastAsia"/>
                <w:color w:val="auto"/>
              </w:rPr>
              <w:t>550</w:t>
            </w:r>
          </w:p>
        </w:tc>
        <w:tc>
          <w:tcPr>
            <w:tcW w:w="1226" w:type="dxa"/>
            <w:vAlign w:val="center"/>
          </w:tcPr>
          <w:p w14:paraId="64E8085B">
            <w:pPr>
              <w:pStyle w:val="33"/>
              <w:rPr>
                <w:color w:val="auto"/>
              </w:rPr>
            </w:pPr>
            <w:r>
              <w:rPr>
                <w:rFonts w:hint="eastAsia"/>
                <w:color w:val="auto"/>
              </w:rPr>
              <w:t>15</w:t>
            </w:r>
          </w:p>
        </w:tc>
        <w:tc>
          <w:tcPr>
            <w:tcW w:w="2119" w:type="dxa"/>
            <w:vMerge w:val="restart"/>
            <w:vAlign w:val="center"/>
          </w:tcPr>
          <w:p w14:paraId="34957B9A">
            <w:pPr>
              <w:pStyle w:val="33"/>
              <w:rPr>
                <w:color w:val="auto"/>
              </w:rPr>
            </w:pPr>
            <w:r>
              <w:rPr>
                <w:rFonts w:hint="eastAsia"/>
                <w:color w:val="auto"/>
              </w:rPr>
              <w:t>《大气污染物综合排放标准》（GB16297-1996）表2新污染源大气污染物排放限值中最高允许排放浓度和最高允许排放速率二级要求</w:t>
            </w:r>
          </w:p>
        </w:tc>
      </w:tr>
      <w:tr w14:paraId="0C6B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358FE855">
            <w:pPr>
              <w:pStyle w:val="33"/>
              <w:rPr>
                <w:color w:val="auto"/>
              </w:rPr>
            </w:pPr>
          </w:p>
        </w:tc>
        <w:tc>
          <w:tcPr>
            <w:tcW w:w="986" w:type="dxa"/>
            <w:vMerge w:val="continue"/>
            <w:vAlign w:val="center"/>
          </w:tcPr>
          <w:p w14:paraId="6CD0D187">
            <w:pPr>
              <w:pStyle w:val="33"/>
              <w:rPr>
                <w:color w:val="auto"/>
              </w:rPr>
            </w:pPr>
          </w:p>
        </w:tc>
        <w:tc>
          <w:tcPr>
            <w:tcW w:w="1417" w:type="dxa"/>
            <w:vMerge w:val="continue"/>
            <w:vAlign w:val="center"/>
          </w:tcPr>
          <w:p w14:paraId="22032147">
            <w:pPr>
              <w:pStyle w:val="33"/>
              <w:rPr>
                <w:color w:val="auto"/>
              </w:rPr>
            </w:pPr>
          </w:p>
        </w:tc>
        <w:tc>
          <w:tcPr>
            <w:tcW w:w="709" w:type="dxa"/>
            <w:vMerge w:val="continue"/>
            <w:vAlign w:val="center"/>
          </w:tcPr>
          <w:p w14:paraId="6D2076BC">
            <w:pPr>
              <w:pStyle w:val="33"/>
              <w:rPr>
                <w:color w:val="auto"/>
              </w:rPr>
            </w:pPr>
          </w:p>
        </w:tc>
        <w:tc>
          <w:tcPr>
            <w:tcW w:w="1177" w:type="dxa"/>
            <w:vAlign w:val="center"/>
          </w:tcPr>
          <w:p w14:paraId="1177F140">
            <w:pPr>
              <w:pStyle w:val="33"/>
              <w:rPr>
                <w:color w:val="auto"/>
              </w:rPr>
            </w:pPr>
            <w:r>
              <w:rPr>
                <w:rFonts w:hint="eastAsia"/>
                <w:color w:val="auto"/>
              </w:rPr>
              <w:t>氮氧化物</w:t>
            </w:r>
          </w:p>
        </w:tc>
        <w:tc>
          <w:tcPr>
            <w:tcW w:w="1092" w:type="dxa"/>
            <w:vAlign w:val="center"/>
          </w:tcPr>
          <w:p w14:paraId="416EEDE8">
            <w:pPr>
              <w:pStyle w:val="33"/>
              <w:rPr>
                <w:color w:val="auto"/>
              </w:rPr>
            </w:pPr>
            <w:r>
              <w:rPr>
                <w:rFonts w:hint="eastAsia"/>
                <w:color w:val="auto"/>
              </w:rPr>
              <w:t>240</w:t>
            </w:r>
          </w:p>
        </w:tc>
        <w:tc>
          <w:tcPr>
            <w:tcW w:w="1226" w:type="dxa"/>
            <w:vAlign w:val="center"/>
          </w:tcPr>
          <w:p w14:paraId="57A9A5F6">
            <w:pPr>
              <w:pStyle w:val="33"/>
              <w:rPr>
                <w:color w:val="auto"/>
              </w:rPr>
            </w:pPr>
            <w:r>
              <w:rPr>
                <w:rFonts w:hint="eastAsia"/>
                <w:color w:val="auto"/>
              </w:rPr>
              <w:t>4.4</w:t>
            </w:r>
          </w:p>
        </w:tc>
        <w:tc>
          <w:tcPr>
            <w:tcW w:w="2119" w:type="dxa"/>
            <w:vMerge w:val="continue"/>
            <w:vAlign w:val="center"/>
          </w:tcPr>
          <w:p w14:paraId="2250AF8D">
            <w:pPr>
              <w:pStyle w:val="33"/>
              <w:rPr>
                <w:color w:val="auto"/>
              </w:rPr>
            </w:pPr>
          </w:p>
        </w:tc>
      </w:tr>
      <w:tr w14:paraId="4382A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12D748C6">
            <w:pPr>
              <w:pStyle w:val="33"/>
              <w:rPr>
                <w:color w:val="auto"/>
              </w:rPr>
            </w:pPr>
          </w:p>
        </w:tc>
        <w:tc>
          <w:tcPr>
            <w:tcW w:w="986" w:type="dxa"/>
            <w:vMerge w:val="continue"/>
            <w:vAlign w:val="center"/>
          </w:tcPr>
          <w:p w14:paraId="680FA081">
            <w:pPr>
              <w:pStyle w:val="33"/>
              <w:rPr>
                <w:color w:val="auto"/>
              </w:rPr>
            </w:pPr>
          </w:p>
        </w:tc>
        <w:tc>
          <w:tcPr>
            <w:tcW w:w="1417" w:type="dxa"/>
            <w:vMerge w:val="continue"/>
            <w:vAlign w:val="center"/>
          </w:tcPr>
          <w:p w14:paraId="3A8D6721">
            <w:pPr>
              <w:pStyle w:val="33"/>
              <w:rPr>
                <w:color w:val="auto"/>
              </w:rPr>
            </w:pPr>
          </w:p>
        </w:tc>
        <w:tc>
          <w:tcPr>
            <w:tcW w:w="709" w:type="dxa"/>
            <w:vMerge w:val="continue"/>
            <w:vAlign w:val="center"/>
          </w:tcPr>
          <w:p w14:paraId="5DBA36E7">
            <w:pPr>
              <w:pStyle w:val="33"/>
              <w:rPr>
                <w:color w:val="auto"/>
              </w:rPr>
            </w:pPr>
          </w:p>
        </w:tc>
        <w:tc>
          <w:tcPr>
            <w:tcW w:w="1177" w:type="dxa"/>
            <w:vAlign w:val="center"/>
          </w:tcPr>
          <w:p w14:paraId="4BD9148F">
            <w:pPr>
              <w:pStyle w:val="33"/>
              <w:rPr>
                <w:color w:val="auto"/>
              </w:rPr>
            </w:pPr>
            <w:r>
              <w:rPr>
                <w:rFonts w:hint="eastAsia"/>
                <w:color w:val="auto"/>
              </w:rPr>
              <w:t>烟尘</w:t>
            </w:r>
          </w:p>
        </w:tc>
        <w:tc>
          <w:tcPr>
            <w:tcW w:w="1092" w:type="dxa"/>
            <w:vAlign w:val="center"/>
          </w:tcPr>
          <w:p w14:paraId="61F68737">
            <w:pPr>
              <w:pStyle w:val="33"/>
              <w:rPr>
                <w:color w:val="auto"/>
              </w:rPr>
            </w:pPr>
            <w:r>
              <w:rPr>
                <w:rFonts w:hint="eastAsia"/>
                <w:color w:val="auto"/>
              </w:rPr>
              <w:t>120</w:t>
            </w:r>
          </w:p>
        </w:tc>
        <w:tc>
          <w:tcPr>
            <w:tcW w:w="1226" w:type="dxa"/>
            <w:vAlign w:val="center"/>
          </w:tcPr>
          <w:p w14:paraId="49AE3DF1">
            <w:pPr>
              <w:pStyle w:val="33"/>
              <w:rPr>
                <w:color w:val="auto"/>
              </w:rPr>
            </w:pPr>
            <w:r>
              <w:rPr>
                <w:rFonts w:hint="eastAsia"/>
                <w:color w:val="auto"/>
              </w:rPr>
              <w:t>23</w:t>
            </w:r>
          </w:p>
        </w:tc>
        <w:tc>
          <w:tcPr>
            <w:tcW w:w="2119" w:type="dxa"/>
            <w:vMerge w:val="continue"/>
            <w:vAlign w:val="center"/>
          </w:tcPr>
          <w:p w14:paraId="3C8B3525">
            <w:pPr>
              <w:pStyle w:val="33"/>
              <w:rPr>
                <w:color w:val="auto"/>
              </w:rPr>
            </w:pPr>
          </w:p>
        </w:tc>
      </w:tr>
      <w:tr w14:paraId="6361C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 w:type="dxa"/>
            <w:vMerge w:val="restart"/>
            <w:vAlign w:val="center"/>
          </w:tcPr>
          <w:p w14:paraId="06C7631B">
            <w:pPr>
              <w:pStyle w:val="33"/>
              <w:rPr>
                <w:color w:val="auto"/>
              </w:rPr>
            </w:pPr>
            <w:r>
              <w:rPr>
                <w:rFonts w:hint="eastAsia"/>
                <w:color w:val="auto"/>
              </w:rPr>
              <w:t>2</w:t>
            </w:r>
          </w:p>
        </w:tc>
        <w:tc>
          <w:tcPr>
            <w:tcW w:w="986" w:type="dxa"/>
            <w:vMerge w:val="restart"/>
            <w:vAlign w:val="center"/>
          </w:tcPr>
          <w:p w14:paraId="2A31C5B9">
            <w:pPr>
              <w:pStyle w:val="33"/>
              <w:rPr>
                <w:color w:val="auto"/>
              </w:rPr>
            </w:pPr>
            <w:r>
              <w:rPr>
                <w:rFonts w:hint="eastAsia"/>
                <w:color w:val="auto"/>
              </w:rPr>
              <w:t>2#造纸车间烘干废气</w:t>
            </w:r>
          </w:p>
        </w:tc>
        <w:tc>
          <w:tcPr>
            <w:tcW w:w="1417" w:type="dxa"/>
            <w:vMerge w:val="restart"/>
            <w:vAlign w:val="center"/>
          </w:tcPr>
          <w:p w14:paraId="527B058D">
            <w:pPr>
              <w:pStyle w:val="33"/>
              <w:rPr>
                <w:color w:val="auto"/>
              </w:rPr>
            </w:pPr>
            <w:r>
              <w:rPr>
                <w:rFonts w:hint="eastAsia"/>
                <w:color w:val="auto"/>
              </w:rPr>
              <w:t>D</w:t>
            </w:r>
            <w:r>
              <w:rPr>
                <w:color w:val="auto"/>
              </w:rPr>
              <w:t>A032</w:t>
            </w:r>
            <w:r>
              <w:rPr>
                <w:rFonts w:hint="eastAsia"/>
                <w:color w:val="auto"/>
              </w:rPr>
              <w:t>、</w:t>
            </w:r>
            <w:r>
              <w:rPr>
                <w:color w:val="auto"/>
              </w:rPr>
              <w:t>DA034</w:t>
            </w:r>
            <w:r>
              <w:rPr>
                <w:rFonts w:hint="eastAsia"/>
                <w:color w:val="auto"/>
              </w:rPr>
              <w:t>、</w:t>
            </w:r>
            <w:r>
              <w:rPr>
                <w:color w:val="auto"/>
              </w:rPr>
              <w:t>DA036</w:t>
            </w:r>
            <w:r>
              <w:rPr>
                <w:rFonts w:hint="eastAsia"/>
                <w:color w:val="auto"/>
              </w:rPr>
              <w:t>、</w:t>
            </w:r>
            <w:r>
              <w:rPr>
                <w:color w:val="auto"/>
              </w:rPr>
              <w:t>DA038</w:t>
            </w:r>
          </w:p>
        </w:tc>
        <w:tc>
          <w:tcPr>
            <w:tcW w:w="709" w:type="dxa"/>
            <w:vMerge w:val="restart"/>
            <w:vAlign w:val="center"/>
          </w:tcPr>
          <w:p w14:paraId="5490C6AA">
            <w:pPr>
              <w:pStyle w:val="33"/>
              <w:rPr>
                <w:color w:val="auto"/>
              </w:rPr>
            </w:pPr>
            <w:r>
              <w:rPr>
                <w:rFonts w:hint="eastAsia"/>
                <w:color w:val="auto"/>
              </w:rPr>
              <w:t>2</w:t>
            </w:r>
            <w:r>
              <w:rPr>
                <w:color w:val="auto"/>
              </w:rPr>
              <w:t>4</w:t>
            </w:r>
          </w:p>
        </w:tc>
        <w:tc>
          <w:tcPr>
            <w:tcW w:w="1177" w:type="dxa"/>
            <w:vAlign w:val="center"/>
          </w:tcPr>
          <w:p w14:paraId="51225CCC">
            <w:pPr>
              <w:pStyle w:val="33"/>
              <w:rPr>
                <w:color w:val="auto"/>
              </w:rPr>
            </w:pPr>
            <w:r>
              <w:rPr>
                <w:rFonts w:hint="eastAsia"/>
                <w:color w:val="auto"/>
              </w:rPr>
              <w:t>二氧化硫</w:t>
            </w:r>
          </w:p>
        </w:tc>
        <w:tc>
          <w:tcPr>
            <w:tcW w:w="1092" w:type="dxa"/>
            <w:vAlign w:val="center"/>
          </w:tcPr>
          <w:p w14:paraId="2E4ECD4F">
            <w:pPr>
              <w:pStyle w:val="33"/>
              <w:rPr>
                <w:color w:val="auto"/>
              </w:rPr>
            </w:pPr>
            <w:r>
              <w:rPr>
                <w:rFonts w:hint="eastAsia"/>
                <w:color w:val="auto"/>
              </w:rPr>
              <w:t>550</w:t>
            </w:r>
          </w:p>
        </w:tc>
        <w:tc>
          <w:tcPr>
            <w:tcW w:w="1226" w:type="dxa"/>
            <w:vAlign w:val="center"/>
          </w:tcPr>
          <w:p w14:paraId="20272951">
            <w:pPr>
              <w:pStyle w:val="33"/>
              <w:rPr>
                <w:color w:val="auto"/>
              </w:rPr>
            </w:pPr>
            <w:r>
              <w:rPr>
                <w:rFonts w:hint="eastAsia"/>
                <w:color w:val="auto"/>
              </w:rPr>
              <w:t>8.58</w:t>
            </w:r>
          </w:p>
        </w:tc>
        <w:tc>
          <w:tcPr>
            <w:tcW w:w="2119" w:type="dxa"/>
            <w:vMerge w:val="continue"/>
            <w:vAlign w:val="center"/>
          </w:tcPr>
          <w:p w14:paraId="1968C532">
            <w:pPr>
              <w:pStyle w:val="33"/>
              <w:rPr>
                <w:color w:val="auto"/>
              </w:rPr>
            </w:pPr>
          </w:p>
        </w:tc>
      </w:tr>
      <w:tr w14:paraId="2A620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3A3DEAB0">
            <w:pPr>
              <w:pStyle w:val="33"/>
              <w:rPr>
                <w:color w:val="auto"/>
              </w:rPr>
            </w:pPr>
          </w:p>
        </w:tc>
        <w:tc>
          <w:tcPr>
            <w:tcW w:w="986" w:type="dxa"/>
            <w:vMerge w:val="continue"/>
            <w:vAlign w:val="center"/>
          </w:tcPr>
          <w:p w14:paraId="74613841">
            <w:pPr>
              <w:pStyle w:val="33"/>
              <w:rPr>
                <w:color w:val="auto"/>
              </w:rPr>
            </w:pPr>
          </w:p>
        </w:tc>
        <w:tc>
          <w:tcPr>
            <w:tcW w:w="1417" w:type="dxa"/>
            <w:vMerge w:val="continue"/>
            <w:vAlign w:val="center"/>
          </w:tcPr>
          <w:p w14:paraId="50B7F90B">
            <w:pPr>
              <w:pStyle w:val="33"/>
              <w:rPr>
                <w:color w:val="auto"/>
              </w:rPr>
            </w:pPr>
          </w:p>
        </w:tc>
        <w:tc>
          <w:tcPr>
            <w:tcW w:w="709" w:type="dxa"/>
            <w:vMerge w:val="continue"/>
            <w:vAlign w:val="center"/>
          </w:tcPr>
          <w:p w14:paraId="3CD9F656">
            <w:pPr>
              <w:pStyle w:val="33"/>
              <w:rPr>
                <w:color w:val="auto"/>
              </w:rPr>
            </w:pPr>
          </w:p>
        </w:tc>
        <w:tc>
          <w:tcPr>
            <w:tcW w:w="1177" w:type="dxa"/>
            <w:vAlign w:val="center"/>
          </w:tcPr>
          <w:p w14:paraId="10CC04D5">
            <w:pPr>
              <w:pStyle w:val="33"/>
              <w:rPr>
                <w:color w:val="auto"/>
              </w:rPr>
            </w:pPr>
            <w:r>
              <w:rPr>
                <w:rFonts w:hint="eastAsia"/>
                <w:color w:val="auto"/>
              </w:rPr>
              <w:t>氮氧化物</w:t>
            </w:r>
          </w:p>
        </w:tc>
        <w:tc>
          <w:tcPr>
            <w:tcW w:w="1092" w:type="dxa"/>
            <w:vAlign w:val="center"/>
          </w:tcPr>
          <w:p w14:paraId="7DE20CB5">
            <w:pPr>
              <w:pStyle w:val="33"/>
              <w:rPr>
                <w:color w:val="auto"/>
              </w:rPr>
            </w:pPr>
            <w:r>
              <w:rPr>
                <w:rFonts w:hint="eastAsia"/>
                <w:color w:val="auto"/>
              </w:rPr>
              <w:t>240</w:t>
            </w:r>
          </w:p>
        </w:tc>
        <w:tc>
          <w:tcPr>
            <w:tcW w:w="1226" w:type="dxa"/>
            <w:vAlign w:val="center"/>
          </w:tcPr>
          <w:p w14:paraId="640E77D5">
            <w:pPr>
              <w:pStyle w:val="33"/>
              <w:rPr>
                <w:color w:val="auto"/>
              </w:rPr>
            </w:pPr>
            <w:r>
              <w:rPr>
                <w:rFonts w:hint="eastAsia"/>
                <w:color w:val="auto"/>
              </w:rPr>
              <w:t>2.54</w:t>
            </w:r>
          </w:p>
        </w:tc>
        <w:tc>
          <w:tcPr>
            <w:tcW w:w="2119" w:type="dxa"/>
            <w:vMerge w:val="continue"/>
            <w:vAlign w:val="center"/>
          </w:tcPr>
          <w:p w14:paraId="1A181ECB">
            <w:pPr>
              <w:pStyle w:val="33"/>
              <w:rPr>
                <w:color w:val="auto"/>
              </w:rPr>
            </w:pPr>
          </w:p>
        </w:tc>
      </w:tr>
      <w:tr w14:paraId="7BC66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0CD6D43D">
            <w:pPr>
              <w:pStyle w:val="33"/>
              <w:rPr>
                <w:color w:val="auto"/>
              </w:rPr>
            </w:pPr>
          </w:p>
        </w:tc>
        <w:tc>
          <w:tcPr>
            <w:tcW w:w="986" w:type="dxa"/>
            <w:vMerge w:val="continue"/>
            <w:vAlign w:val="center"/>
          </w:tcPr>
          <w:p w14:paraId="2898CF6D">
            <w:pPr>
              <w:pStyle w:val="33"/>
              <w:rPr>
                <w:color w:val="auto"/>
              </w:rPr>
            </w:pPr>
          </w:p>
        </w:tc>
        <w:tc>
          <w:tcPr>
            <w:tcW w:w="1417" w:type="dxa"/>
            <w:vMerge w:val="continue"/>
            <w:vAlign w:val="center"/>
          </w:tcPr>
          <w:p w14:paraId="095A42F8">
            <w:pPr>
              <w:pStyle w:val="33"/>
              <w:rPr>
                <w:color w:val="auto"/>
              </w:rPr>
            </w:pPr>
          </w:p>
        </w:tc>
        <w:tc>
          <w:tcPr>
            <w:tcW w:w="709" w:type="dxa"/>
            <w:vMerge w:val="continue"/>
            <w:vAlign w:val="center"/>
          </w:tcPr>
          <w:p w14:paraId="66C7EAAD">
            <w:pPr>
              <w:pStyle w:val="33"/>
              <w:rPr>
                <w:color w:val="auto"/>
              </w:rPr>
            </w:pPr>
          </w:p>
        </w:tc>
        <w:tc>
          <w:tcPr>
            <w:tcW w:w="1177" w:type="dxa"/>
            <w:vAlign w:val="center"/>
          </w:tcPr>
          <w:p w14:paraId="1E82CCBC">
            <w:pPr>
              <w:pStyle w:val="33"/>
              <w:rPr>
                <w:color w:val="auto"/>
              </w:rPr>
            </w:pPr>
            <w:r>
              <w:rPr>
                <w:rFonts w:hint="eastAsia"/>
                <w:color w:val="auto"/>
              </w:rPr>
              <w:t>烟尘</w:t>
            </w:r>
          </w:p>
        </w:tc>
        <w:tc>
          <w:tcPr>
            <w:tcW w:w="1092" w:type="dxa"/>
            <w:vAlign w:val="center"/>
          </w:tcPr>
          <w:p w14:paraId="1AF512A1">
            <w:pPr>
              <w:pStyle w:val="33"/>
              <w:rPr>
                <w:color w:val="auto"/>
              </w:rPr>
            </w:pPr>
            <w:r>
              <w:rPr>
                <w:rFonts w:hint="eastAsia"/>
                <w:color w:val="auto"/>
              </w:rPr>
              <w:t>120</w:t>
            </w:r>
          </w:p>
        </w:tc>
        <w:tc>
          <w:tcPr>
            <w:tcW w:w="1226" w:type="dxa"/>
            <w:vAlign w:val="center"/>
          </w:tcPr>
          <w:p w14:paraId="46D86528">
            <w:pPr>
              <w:pStyle w:val="33"/>
              <w:rPr>
                <w:color w:val="auto"/>
              </w:rPr>
            </w:pPr>
            <w:r>
              <w:rPr>
                <w:rFonts w:hint="eastAsia"/>
                <w:color w:val="auto"/>
              </w:rPr>
              <w:t>12.74</w:t>
            </w:r>
          </w:p>
        </w:tc>
        <w:tc>
          <w:tcPr>
            <w:tcW w:w="2119" w:type="dxa"/>
            <w:vMerge w:val="continue"/>
            <w:vAlign w:val="center"/>
          </w:tcPr>
          <w:p w14:paraId="76AD91FC">
            <w:pPr>
              <w:pStyle w:val="33"/>
              <w:rPr>
                <w:color w:val="auto"/>
              </w:rPr>
            </w:pPr>
          </w:p>
        </w:tc>
      </w:tr>
      <w:tr w14:paraId="309F8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05031CF8">
            <w:pPr>
              <w:pStyle w:val="33"/>
              <w:rPr>
                <w:color w:val="auto"/>
              </w:rPr>
            </w:pPr>
          </w:p>
        </w:tc>
        <w:tc>
          <w:tcPr>
            <w:tcW w:w="986" w:type="dxa"/>
            <w:vMerge w:val="continue"/>
            <w:vAlign w:val="center"/>
          </w:tcPr>
          <w:p w14:paraId="637B09B8">
            <w:pPr>
              <w:pStyle w:val="33"/>
              <w:rPr>
                <w:color w:val="auto"/>
              </w:rPr>
            </w:pPr>
          </w:p>
        </w:tc>
        <w:tc>
          <w:tcPr>
            <w:tcW w:w="1417" w:type="dxa"/>
            <w:vMerge w:val="restart"/>
            <w:vAlign w:val="center"/>
          </w:tcPr>
          <w:p w14:paraId="0230B775">
            <w:pPr>
              <w:pStyle w:val="33"/>
              <w:rPr>
                <w:color w:val="auto"/>
              </w:rPr>
            </w:pPr>
            <w:r>
              <w:rPr>
                <w:rFonts w:hint="eastAsia"/>
                <w:color w:val="auto"/>
              </w:rPr>
              <w:t>D</w:t>
            </w:r>
            <w:r>
              <w:rPr>
                <w:color w:val="auto"/>
              </w:rPr>
              <w:t>A040</w:t>
            </w:r>
          </w:p>
        </w:tc>
        <w:tc>
          <w:tcPr>
            <w:tcW w:w="709" w:type="dxa"/>
            <w:vMerge w:val="restart"/>
            <w:vAlign w:val="center"/>
          </w:tcPr>
          <w:p w14:paraId="21FAAE4A">
            <w:pPr>
              <w:pStyle w:val="33"/>
              <w:rPr>
                <w:color w:val="auto"/>
              </w:rPr>
            </w:pPr>
            <w:r>
              <w:rPr>
                <w:rFonts w:hint="eastAsia"/>
                <w:color w:val="auto"/>
              </w:rPr>
              <w:t>2</w:t>
            </w:r>
            <w:r>
              <w:rPr>
                <w:color w:val="auto"/>
              </w:rPr>
              <w:t>6</w:t>
            </w:r>
          </w:p>
        </w:tc>
        <w:tc>
          <w:tcPr>
            <w:tcW w:w="1177" w:type="dxa"/>
            <w:vAlign w:val="center"/>
          </w:tcPr>
          <w:p w14:paraId="28FD1BDC">
            <w:pPr>
              <w:pStyle w:val="33"/>
              <w:rPr>
                <w:color w:val="auto"/>
              </w:rPr>
            </w:pPr>
            <w:r>
              <w:rPr>
                <w:rFonts w:hint="eastAsia"/>
                <w:color w:val="auto"/>
              </w:rPr>
              <w:t>二氧化硫</w:t>
            </w:r>
          </w:p>
        </w:tc>
        <w:tc>
          <w:tcPr>
            <w:tcW w:w="1092" w:type="dxa"/>
            <w:vAlign w:val="center"/>
          </w:tcPr>
          <w:p w14:paraId="1122A2A3">
            <w:pPr>
              <w:pStyle w:val="33"/>
              <w:rPr>
                <w:color w:val="auto"/>
              </w:rPr>
            </w:pPr>
            <w:r>
              <w:rPr>
                <w:rFonts w:hint="eastAsia"/>
                <w:color w:val="auto"/>
              </w:rPr>
              <w:t>550</w:t>
            </w:r>
          </w:p>
        </w:tc>
        <w:tc>
          <w:tcPr>
            <w:tcW w:w="1226" w:type="dxa"/>
            <w:vAlign w:val="center"/>
          </w:tcPr>
          <w:p w14:paraId="78C60747">
            <w:pPr>
              <w:pStyle w:val="33"/>
              <w:rPr>
                <w:color w:val="auto"/>
              </w:rPr>
            </w:pPr>
            <w:r>
              <w:rPr>
                <w:rFonts w:hint="eastAsia"/>
                <w:color w:val="auto"/>
              </w:rPr>
              <w:t>10.72</w:t>
            </w:r>
          </w:p>
        </w:tc>
        <w:tc>
          <w:tcPr>
            <w:tcW w:w="2119" w:type="dxa"/>
            <w:vMerge w:val="continue"/>
            <w:vAlign w:val="center"/>
          </w:tcPr>
          <w:p w14:paraId="6012143F">
            <w:pPr>
              <w:pStyle w:val="33"/>
              <w:rPr>
                <w:color w:val="auto"/>
              </w:rPr>
            </w:pPr>
          </w:p>
        </w:tc>
      </w:tr>
      <w:tr w14:paraId="529FE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73E2CADC">
            <w:pPr>
              <w:pStyle w:val="33"/>
              <w:rPr>
                <w:color w:val="auto"/>
              </w:rPr>
            </w:pPr>
          </w:p>
        </w:tc>
        <w:tc>
          <w:tcPr>
            <w:tcW w:w="986" w:type="dxa"/>
            <w:vMerge w:val="continue"/>
            <w:vAlign w:val="center"/>
          </w:tcPr>
          <w:p w14:paraId="5E8D59F9">
            <w:pPr>
              <w:pStyle w:val="33"/>
              <w:rPr>
                <w:color w:val="auto"/>
              </w:rPr>
            </w:pPr>
          </w:p>
        </w:tc>
        <w:tc>
          <w:tcPr>
            <w:tcW w:w="1417" w:type="dxa"/>
            <w:vMerge w:val="continue"/>
            <w:vAlign w:val="center"/>
          </w:tcPr>
          <w:p w14:paraId="6FC18FA1">
            <w:pPr>
              <w:pStyle w:val="33"/>
              <w:rPr>
                <w:color w:val="auto"/>
              </w:rPr>
            </w:pPr>
          </w:p>
        </w:tc>
        <w:tc>
          <w:tcPr>
            <w:tcW w:w="709" w:type="dxa"/>
            <w:vMerge w:val="continue"/>
            <w:vAlign w:val="center"/>
          </w:tcPr>
          <w:p w14:paraId="6FAFFC16">
            <w:pPr>
              <w:pStyle w:val="33"/>
              <w:rPr>
                <w:color w:val="auto"/>
              </w:rPr>
            </w:pPr>
          </w:p>
        </w:tc>
        <w:tc>
          <w:tcPr>
            <w:tcW w:w="1177" w:type="dxa"/>
            <w:vAlign w:val="center"/>
          </w:tcPr>
          <w:p w14:paraId="4D66C7B6">
            <w:pPr>
              <w:pStyle w:val="33"/>
              <w:rPr>
                <w:color w:val="auto"/>
              </w:rPr>
            </w:pPr>
            <w:r>
              <w:rPr>
                <w:rFonts w:hint="eastAsia"/>
                <w:color w:val="auto"/>
              </w:rPr>
              <w:t>氮氧化物</w:t>
            </w:r>
          </w:p>
        </w:tc>
        <w:tc>
          <w:tcPr>
            <w:tcW w:w="1092" w:type="dxa"/>
            <w:vAlign w:val="center"/>
          </w:tcPr>
          <w:p w14:paraId="7B08645C">
            <w:pPr>
              <w:pStyle w:val="33"/>
              <w:rPr>
                <w:color w:val="auto"/>
              </w:rPr>
            </w:pPr>
            <w:r>
              <w:rPr>
                <w:rFonts w:hint="eastAsia"/>
                <w:color w:val="auto"/>
              </w:rPr>
              <w:t>240</w:t>
            </w:r>
          </w:p>
        </w:tc>
        <w:tc>
          <w:tcPr>
            <w:tcW w:w="1226" w:type="dxa"/>
            <w:vAlign w:val="center"/>
          </w:tcPr>
          <w:p w14:paraId="0BFF160F">
            <w:pPr>
              <w:pStyle w:val="33"/>
              <w:rPr>
                <w:color w:val="auto"/>
              </w:rPr>
            </w:pPr>
            <w:r>
              <w:rPr>
                <w:rFonts w:hint="eastAsia"/>
                <w:color w:val="auto"/>
              </w:rPr>
              <w:t>3.16</w:t>
            </w:r>
          </w:p>
        </w:tc>
        <w:tc>
          <w:tcPr>
            <w:tcW w:w="2119" w:type="dxa"/>
            <w:vMerge w:val="continue"/>
            <w:vAlign w:val="center"/>
          </w:tcPr>
          <w:p w14:paraId="53FE0202">
            <w:pPr>
              <w:pStyle w:val="33"/>
              <w:rPr>
                <w:color w:val="auto"/>
              </w:rPr>
            </w:pPr>
          </w:p>
        </w:tc>
      </w:tr>
      <w:tr w14:paraId="05559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7" w:type="dxa"/>
            <w:vMerge w:val="continue"/>
            <w:vAlign w:val="center"/>
          </w:tcPr>
          <w:p w14:paraId="5B9EFF07">
            <w:pPr>
              <w:pStyle w:val="33"/>
              <w:rPr>
                <w:color w:val="auto"/>
              </w:rPr>
            </w:pPr>
          </w:p>
        </w:tc>
        <w:tc>
          <w:tcPr>
            <w:tcW w:w="986" w:type="dxa"/>
            <w:vMerge w:val="continue"/>
            <w:vAlign w:val="center"/>
          </w:tcPr>
          <w:p w14:paraId="7DAA8675">
            <w:pPr>
              <w:pStyle w:val="33"/>
              <w:rPr>
                <w:color w:val="auto"/>
              </w:rPr>
            </w:pPr>
          </w:p>
        </w:tc>
        <w:tc>
          <w:tcPr>
            <w:tcW w:w="1417" w:type="dxa"/>
            <w:vMerge w:val="continue"/>
            <w:vAlign w:val="center"/>
          </w:tcPr>
          <w:p w14:paraId="11F52B52">
            <w:pPr>
              <w:pStyle w:val="33"/>
              <w:rPr>
                <w:color w:val="auto"/>
              </w:rPr>
            </w:pPr>
          </w:p>
        </w:tc>
        <w:tc>
          <w:tcPr>
            <w:tcW w:w="709" w:type="dxa"/>
            <w:vMerge w:val="continue"/>
            <w:vAlign w:val="center"/>
          </w:tcPr>
          <w:p w14:paraId="058BA329">
            <w:pPr>
              <w:pStyle w:val="33"/>
              <w:rPr>
                <w:color w:val="auto"/>
              </w:rPr>
            </w:pPr>
          </w:p>
        </w:tc>
        <w:tc>
          <w:tcPr>
            <w:tcW w:w="1177" w:type="dxa"/>
            <w:vAlign w:val="center"/>
          </w:tcPr>
          <w:p w14:paraId="58FF227A">
            <w:pPr>
              <w:pStyle w:val="33"/>
              <w:rPr>
                <w:color w:val="auto"/>
              </w:rPr>
            </w:pPr>
            <w:r>
              <w:rPr>
                <w:rFonts w:hint="eastAsia"/>
                <w:color w:val="auto"/>
              </w:rPr>
              <w:t>烟尘</w:t>
            </w:r>
          </w:p>
        </w:tc>
        <w:tc>
          <w:tcPr>
            <w:tcW w:w="1092" w:type="dxa"/>
            <w:vAlign w:val="center"/>
          </w:tcPr>
          <w:p w14:paraId="4EDA8034">
            <w:pPr>
              <w:pStyle w:val="33"/>
              <w:rPr>
                <w:color w:val="auto"/>
              </w:rPr>
            </w:pPr>
            <w:r>
              <w:rPr>
                <w:rFonts w:hint="eastAsia"/>
                <w:color w:val="auto"/>
              </w:rPr>
              <w:t>120</w:t>
            </w:r>
          </w:p>
        </w:tc>
        <w:tc>
          <w:tcPr>
            <w:tcW w:w="1226" w:type="dxa"/>
            <w:vAlign w:val="center"/>
          </w:tcPr>
          <w:p w14:paraId="2F753B96">
            <w:pPr>
              <w:pStyle w:val="33"/>
              <w:rPr>
                <w:color w:val="auto"/>
              </w:rPr>
            </w:pPr>
            <w:r>
              <w:rPr>
                <w:rFonts w:hint="eastAsia"/>
                <w:color w:val="auto"/>
              </w:rPr>
              <w:t>16.16</w:t>
            </w:r>
          </w:p>
        </w:tc>
        <w:tc>
          <w:tcPr>
            <w:tcW w:w="2119" w:type="dxa"/>
            <w:vMerge w:val="continue"/>
            <w:vAlign w:val="center"/>
          </w:tcPr>
          <w:p w14:paraId="3F7BA429">
            <w:pPr>
              <w:pStyle w:val="33"/>
              <w:rPr>
                <w:color w:val="auto"/>
              </w:rPr>
            </w:pPr>
          </w:p>
        </w:tc>
      </w:tr>
      <w:tr w14:paraId="6AD77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14:paraId="40359919">
            <w:pPr>
              <w:pStyle w:val="33"/>
              <w:rPr>
                <w:color w:val="auto"/>
              </w:rPr>
            </w:pPr>
            <w:r>
              <w:rPr>
                <w:rFonts w:hint="eastAsia"/>
                <w:color w:val="auto"/>
              </w:rPr>
              <w:t>3</w:t>
            </w:r>
          </w:p>
        </w:tc>
        <w:tc>
          <w:tcPr>
            <w:tcW w:w="986" w:type="dxa"/>
            <w:vMerge w:val="restart"/>
            <w:vAlign w:val="center"/>
          </w:tcPr>
          <w:p w14:paraId="633F1FE8">
            <w:pPr>
              <w:pStyle w:val="33"/>
              <w:rPr>
                <w:color w:val="auto"/>
              </w:rPr>
            </w:pPr>
            <w:r>
              <w:rPr>
                <w:rFonts w:hint="eastAsia"/>
                <w:color w:val="auto"/>
              </w:rPr>
              <w:t>1#造纸车间导热油炉排气筒</w:t>
            </w:r>
          </w:p>
        </w:tc>
        <w:tc>
          <w:tcPr>
            <w:tcW w:w="1417" w:type="dxa"/>
            <w:vMerge w:val="restart"/>
            <w:vAlign w:val="center"/>
          </w:tcPr>
          <w:p w14:paraId="07B80098">
            <w:pPr>
              <w:pStyle w:val="33"/>
              <w:rPr>
                <w:color w:val="auto"/>
              </w:rPr>
            </w:pPr>
            <w:r>
              <w:rPr>
                <w:rFonts w:hint="eastAsia"/>
                <w:color w:val="auto"/>
              </w:rPr>
              <w:t>DA041、DA043</w:t>
            </w:r>
          </w:p>
        </w:tc>
        <w:tc>
          <w:tcPr>
            <w:tcW w:w="709" w:type="dxa"/>
            <w:vMerge w:val="restart"/>
            <w:vAlign w:val="center"/>
          </w:tcPr>
          <w:p w14:paraId="38FB7D9E">
            <w:pPr>
              <w:pStyle w:val="33"/>
              <w:rPr>
                <w:color w:val="auto"/>
              </w:rPr>
            </w:pPr>
            <w:r>
              <w:rPr>
                <w:rFonts w:hint="eastAsia"/>
                <w:color w:val="auto"/>
              </w:rPr>
              <w:t>20</w:t>
            </w:r>
          </w:p>
        </w:tc>
        <w:tc>
          <w:tcPr>
            <w:tcW w:w="1177" w:type="dxa"/>
            <w:vAlign w:val="center"/>
          </w:tcPr>
          <w:p w14:paraId="230EEB4B">
            <w:pPr>
              <w:pStyle w:val="33"/>
              <w:rPr>
                <w:color w:val="auto"/>
              </w:rPr>
            </w:pPr>
            <w:r>
              <w:rPr>
                <w:rFonts w:hint="eastAsia"/>
                <w:color w:val="auto"/>
              </w:rPr>
              <w:t>二氧化硫</w:t>
            </w:r>
          </w:p>
        </w:tc>
        <w:tc>
          <w:tcPr>
            <w:tcW w:w="1092" w:type="dxa"/>
            <w:vAlign w:val="center"/>
          </w:tcPr>
          <w:p w14:paraId="0E656E5F">
            <w:pPr>
              <w:pStyle w:val="33"/>
              <w:rPr>
                <w:color w:val="auto"/>
              </w:rPr>
            </w:pPr>
            <w:r>
              <w:rPr>
                <w:rFonts w:hint="eastAsia"/>
                <w:color w:val="auto"/>
              </w:rPr>
              <w:t>50</w:t>
            </w:r>
          </w:p>
        </w:tc>
        <w:tc>
          <w:tcPr>
            <w:tcW w:w="1226" w:type="dxa"/>
            <w:vAlign w:val="center"/>
          </w:tcPr>
          <w:p w14:paraId="6447E8FC">
            <w:pPr>
              <w:pStyle w:val="33"/>
              <w:rPr>
                <w:color w:val="auto"/>
              </w:rPr>
            </w:pPr>
            <w:r>
              <w:rPr>
                <w:rFonts w:hint="eastAsia"/>
                <w:color w:val="auto"/>
              </w:rPr>
              <w:t>/</w:t>
            </w:r>
          </w:p>
        </w:tc>
        <w:tc>
          <w:tcPr>
            <w:tcW w:w="2119" w:type="dxa"/>
            <w:vMerge w:val="restart"/>
            <w:vAlign w:val="center"/>
          </w:tcPr>
          <w:p w14:paraId="35C1E769">
            <w:pPr>
              <w:pStyle w:val="33"/>
              <w:rPr>
                <w:color w:val="auto"/>
              </w:rPr>
            </w:pPr>
            <w:r>
              <w:rPr>
                <w:rFonts w:hint="eastAsia"/>
                <w:color w:val="auto"/>
              </w:rPr>
              <w:t>《锅炉大气污染物排放标准》（GB 13271-2014）中燃气锅炉排放限值</w:t>
            </w:r>
          </w:p>
        </w:tc>
      </w:tr>
      <w:tr w14:paraId="245B9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66B5E9A6">
            <w:pPr>
              <w:pStyle w:val="33"/>
              <w:rPr>
                <w:color w:val="auto"/>
              </w:rPr>
            </w:pPr>
          </w:p>
        </w:tc>
        <w:tc>
          <w:tcPr>
            <w:tcW w:w="986" w:type="dxa"/>
            <w:vMerge w:val="continue"/>
            <w:vAlign w:val="center"/>
          </w:tcPr>
          <w:p w14:paraId="6BD18402">
            <w:pPr>
              <w:pStyle w:val="33"/>
              <w:rPr>
                <w:color w:val="auto"/>
              </w:rPr>
            </w:pPr>
          </w:p>
        </w:tc>
        <w:tc>
          <w:tcPr>
            <w:tcW w:w="1417" w:type="dxa"/>
            <w:vMerge w:val="continue"/>
            <w:vAlign w:val="center"/>
          </w:tcPr>
          <w:p w14:paraId="5FC2207C">
            <w:pPr>
              <w:pStyle w:val="33"/>
              <w:rPr>
                <w:color w:val="auto"/>
              </w:rPr>
            </w:pPr>
          </w:p>
        </w:tc>
        <w:tc>
          <w:tcPr>
            <w:tcW w:w="709" w:type="dxa"/>
            <w:vMerge w:val="continue"/>
            <w:vAlign w:val="center"/>
          </w:tcPr>
          <w:p w14:paraId="35651448">
            <w:pPr>
              <w:pStyle w:val="33"/>
              <w:rPr>
                <w:color w:val="auto"/>
              </w:rPr>
            </w:pPr>
          </w:p>
        </w:tc>
        <w:tc>
          <w:tcPr>
            <w:tcW w:w="1177" w:type="dxa"/>
            <w:vAlign w:val="center"/>
          </w:tcPr>
          <w:p w14:paraId="01C7E2D4">
            <w:pPr>
              <w:pStyle w:val="33"/>
              <w:rPr>
                <w:color w:val="auto"/>
              </w:rPr>
            </w:pPr>
            <w:r>
              <w:rPr>
                <w:rFonts w:hint="eastAsia"/>
                <w:color w:val="auto"/>
              </w:rPr>
              <w:t>氮氧化物</w:t>
            </w:r>
          </w:p>
        </w:tc>
        <w:tc>
          <w:tcPr>
            <w:tcW w:w="1092" w:type="dxa"/>
            <w:vAlign w:val="center"/>
          </w:tcPr>
          <w:p w14:paraId="6C559C3B">
            <w:pPr>
              <w:pStyle w:val="33"/>
              <w:rPr>
                <w:color w:val="auto"/>
              </w:rPr>
            </w:pPr>
            <w:r>
              <w:rPr>
                <w:rFonts w:hint="eastAsia"/>
                <w:color w:val="auto"/>
              </w:rPr>
              <w:t>200</w:t>
            </w:r>
          </w:p>
        </w:tc>
        <w:tc>
          <w:tcPr>
            <w:tcW w:w="1226" w:type="dxa"/>
            <w:vAlign w:val="center"/>
          </w:tcPr>
          <w:p w14:paraId="2B576CA3">
            <w:pPr>
              <w:pStyle w:val="33"/>
              <w:rPr>
                <w:color w:val="auto"/>
              </w:rPr>
            </w:pPr>
            <w:r>
              <w:rPr>
                <w:rFonts w:hint="eastAsia"/>
                <w:color w:val="auto"/>
              </w:rPr>
              <w:t>/</w:t>
            </w:r>
          </w:p>
        </w:tc>
        <w:tc>
          <w:tcPr>
            <w:tcW w:w="2119" w:type="dxa"/>
            <w:vMerge w:val="continue"/>
            <w:vAlign w:val="center"/>
          </w:tcPr>
          <w:p w14:paraId="53EF74AB">
            <w:pPr>
              <w:pStyle w:val="33"/>
              <w:rPr>
                <w:color w:val="auto"/>
              </w:rPr>
            </w:pPr>
          </w:p>
        </w:tc>
      </w:tr>
      <w:tr w14:paraId="0F139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69465DDB">
            <w:pPr>
              <w:pStyle w:val="33"/>
              <w:rPr>
                <w:color w:val="auto"/>
              </w:rPr>
            </w:pPr>
          </w:p>
        </w:tc>
        <w:tc>
          <w:tcPr>
            <w:tcW w:w="986" w:type="dxa"/>
            <w:vMerge w:val="continue"/>
            <w:vAlign w:val="center"/>
          </w:tcPr>
          <w:p w14:paraId="4B8B93F1">
            <w:pPr>
              <w:pStyle w:val="33"/>
              <w:rPr>
                <w:color w:val="auto"/>
              </w:rPr>
            </w:pPr>
          </w:p>
        </w:tc>
        <w:tc>
          <w:tcPr>
            <w:tcW w:w="1417" w:type="dxa"/>
            <w:vMerge w:val="continue"/>
            <w:vAlign w:val="center"/>
          </w:tcPr>
          <w:p w14:paraId="44B76848">
            <w:pPr>
              <w:pStyle w:val="33"/>
              <w:rPr>
                <w:color w:val="auto"/>
              </w:rPr>
            </w:pPr>
          </w:p>
        </w:tc>
        <w:tc>
          <w:tcPr>
            <w:tcW w:w="709" w:type="dxa"/>
            <w:vMerge w:val="continue"/>
            <w:vAlign w:val="center"/>
          </w:tcPr>
          <w:p w14:paraId="4B2862EE">
            <w:pPr>
              <w:pStyle w:val="33"/>
              <w:rPr>
                <w:color w:val="auto"/>
              </w:rPr>
            </w:pPr>
          </w:p>
        </w:tc>
        <w:tc>
          <w:tcPr>
            <w:tcW w:w="1177" w:type="dxa"/>
            <w:vAlign w:val="center"/>
          </w:tcPr>
          <w:p w14:paraId="676816F4">
            <w:pPr>
              <w:pStyle w:val="33"/>
              <w:rPr>
                <w:color w:val="auto"/>
              </w:rPr>
            </w:pPr>
            <w:r>
              <w:rPr>
                <w:rFonts w:hint="eastAsia"/>
                <w:color w:val="auto"/>
              </w:rPr>
              <w:t>烟尘</w:t>
            </w:r>
          </w:p>
        </w:tc>
        <w:tc>
          <w:tcPr>
            <w:tcW w:w="1092" w:type="dxa"/>
            <w:vAlign w:val="center"/>
          </w:tcPr>
          <w:p w14:paraId="1F458E52">
            <w:pPr>
              <w:pStyle w:val="33"/>
              <w:rPr>
                <w:color w:val="auto"/>
              </w:rPr>
            </w:pPr>
            <w:r>
              <w:rPr>
                <w:rFonts w:hint="eastAsia"/>
                <w:color w:val="auto"/>
              </w:rPr>
              <w:t>20</w:t>
            </w:r>
          </w:p>
        </w:tc>
        <w:tc>
          <w:tcPr>
            <w:tcW w:w="1226" w:type="dxa"/>
            <w:vAlign w:val="center"/>
          </w:tcPr>
          <w:p w14:paraId="4A71A70C">
            <w:pPr>
              <w:pStyle w:val="33"/>
              <w:rPr>
                <w:color w:val="auto"/>
              </w:rPr>
            </w:pPr>
            <w:r>
              <w:rPr>
                <w:rFonts w:hint="eastAsia"/>
                <w:color w:val="auto"/>
              </w:rPr>
              <w:t>/</w:t>
            </w:r>
          </w:p>
        </w:tc>
        <w:tc>
          <w:tcPr>
            <w:tcW w:w="2119" w:type="dxa"/>
            <w:vMerge w:val="continue"/>
            <w:vAlign w:val="center"/>
          </w:tcPr>
          <w:p w14:paraId="0522473D">
            <w:pPr>
              <w:pStyle w:val="33"/>
              <w:rPr>
                <w:color w:val="auto"/>
              </w:rPr>
            </w:pPr>
          </w:p>
        </w:tc>
      </w:tr>
      <w:tr w14:paraId="22DF1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3FB16552">
            <w:pPr>
              <w:pStyle w:val="33"/>
              <w:rPr>
                <w:color w:val="auto"/>
              </w:rPr>
            </w:pPr>
          </w:p>
        </w:tc>
        <w:tc>
          <w:tcPr>
            <w:tcW w:w="986" w:type="dxa"/>
            <w:vMerge w:val="continue"/>
            <w:vAlign w:val="center"/>
          </w:tcPr>
          <w:p w14:paraId="1388DDEC">
            <w:pPr>
              <w:pStyle w:val="33"/>
              <w:rPr>
                <w:color w:val="auto"/>
              </w:rPr>
            </w:pPr>
          </w:p>
        </w:tc>
        <w:tc>
          <w:tcPr>
            <w:tcW w:w="1417" w:type="dxa"/>
            <w:vMerge w:val="continue"/>
            <w:vAlign w:val="center"/>
          </w:tcPr>
          <w:p w14:paraId="04B66621">
            <w:pPr>
              <w:pStyle w:val="33"/>
              <w:rPr>
                <w:color w:val="auto"/>
              </w:rPr>
            </w:pPr>
          </w:p>
        </w:tc>
        <w:tc>
          <w:tcPr>
            <w:tcW w:w="709" w:type="dxa"/>
            <w:vMerge w:val="continue"/>
            <w:vAlign w:val="center"/>
          </w:tcPr>
          <w:p w14:paraId="6478A6B9">
            <w:pPr>
              <w:pStyle w:val="33"/>
              <w:rPr>
                <w:color w:val="auto"/>
              </w:rPr>
            </w:pPr>
          </w:p>
        </w:tc>
        <w:tc>
          <w:tcPr>
            <w:tcW w:w="1177" w:type="dxa"/>
            <w:vAlign w:val="center"/>
          </w:tcPr>
          <w:p w14:paraId="03A103E4">
            <w:pPr>
              <w:pStyle w:val="33"/>
              <w:rPr>
                <w:color w:val="auto"/>
              </w:rPr>
            </w:pPr>
            <w:r>
              <w:rPr>
                <w:rFonts w:hint="eastAsia"/>
                <w:color w:val="auto"/>
              </w:rPr>
              <w:t>烟气黑度（林格曼黑度，级）</w:t>
            </w:r>
          </w:p>
        </w:tc>
        <w:tc>
          <w:tcPr>
            <w:tcW w:w="1092" w:type="dxa"/>
            <w:vAlign w:val="center"/>
          </w:tcPr>
          <w:p w14:paraId="531EFEE5">
            <w:pPr>
              <w:pStyle w:val="33"/>
              <w:rPr>
                <w:color w:val="auto"/>
              </w:rPr>
            </w:pPr>
            <w:r>
              <w:rPr>
                <w:rFonts w:hint="eastAsia"/>
                <w:color w:val="auto"/>
              </w:rPr>
              <w:t>≤1</w:t>
            </w:r>
          </w:p>
        </w:tc>
        <w:tc>
          <w:tcPr>
            <w:tcW w:w="1226" w:type="dxa"/>
            <w:vAlign w:val="center"/>
          </w:tcPr>
          <w:p w14:paraId="67257274">
            <w:pPr>
              <w:pStyle w:val="33"/>
              <w:rPr>
                <w:color w:val="auto"/>
              </w:rPr>
            </w:pPr>
            <w:r>
              <w:rPr>
                <w:rFonts w:hint="eastAsia"/>
                <w:color w:val="auto"/>
              </w:rPr>
              <w:t>/</w:t>
            </w:r>
          </w:p>
        </w:tc>
        <w:tc>
          <w:tcPr>
            <w:tcW w:w="2119" w:type="dxa"/>
            <w:vMerge w:val="continue"/>
            <w:vAlign w:val="center"/>
          </w:tcPr>
          <w:p w14:paraId="22A4AF1F">
            <w:pPr>
              <w:pStyle w:val="33"/>
              <w:rPr>
                <w:color w:val="auto"/>
              </w:rPr>
            </w:pPr>
          </w:p>
        </w:tc>
      </w:tr>
      <w:tr w14:paraId="5379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14:paraId="7D30F175">
            <w:pPr>
              <w:pStyle w:val="33"/>
              <w:rPr>
                <w:color w:val="auto"/>
              </w:rPr>
            </w:pPr>
            <w:r>
              <w:rPr>
                <w:rFonts w:hint="eastAsia"/>
                <w:color w:val="auto"/>
              </w:rPr>
              <w:t>4</w:t>
            </w:r>
          </w:p>
        </w:tc>
        <w:tc>
          <w:tcPr>
            <w:tcW w:w="986" w:type="dxa"/>
            <w:vMerge w:val="restart"/>
            <w:vAlign w:val="center"/>
          </w:tcPr>
          <w:p w14:paraId="59ABFEA1">
            <w:pPr>
              <w:pStyle w:val="33"/>
              <w:rPr>
                <w:color w:val="auto"/>
              </w:rPr>
            </w:pPr>
            <w:r>
              <w:rPr>
                <w:rFonts w:hint="eastAsia"/>
                <w:color w:val="auto"/>
              </w:rPr>
              <w:t>2#造纸车间导热油炉排气筒</w:t>
            </w:r>
          </w:p>
        </w:tc>
        <w:tc>
          <w:tcPr>
            <w:tcW w:w="1417" w:type="dxa"/>
            <w:vMerge w:val="restart"/>
            <w:vAlign w:val="center"/>
          </w:tcPr>
          <w:p w14:paraId="36543A55">
            <w:pPr>
              <w:pStyle w:val="33"/>
              <w:rPr>
                <w:color w:val="auto"/>
              </w:rPr>
            </w:pPr>
            <w:r>
              <w:rPr>
                <w:rFonts w:hint="eastAsia"/>
                <w:color w:val="auto"/>
              </w:rPr>
              <w:t>DA042、DA044</w:t>
            </w:r>
          </w:p>
        </w:tc>
        <w:tc>
          <w:tcPr>
            <w:tcW w:w="709" w:type="dxa"/>
            <w:vMerge w:val="restart"/>
            <w:vAlign w:val="center"/>
          </w:tcPr>
          <w:p w14:paraId="584EB288">
            <w:pPr>
              <w:pStyle w:val="33"/>
              <w:rPr>
                <w:color w:val="auto"/>
              </w:rPr>
            </w:pPr>
            <w:r>
              <w:rPr>
                <w:rFonts w:hint="eastAsia"/>
                <w:color w:val="auto"/>
              </w:rPr>
              <w:t>16</w:t>
            </w:r>
          </w:p>
        </w:tc>
        <w:tc>
          <w:tcPr>
            <w:tcW w:w="1177" w:type="dxa"/>
            <w:vAlign w:val="center"/>
          </w:tcPr>
          <w:p w14:paraId="5E23FB93">
            <w:pPr>
              <w:pStyle w:val="33"/>
              <w:rPr>
                <w:color w:val="auto"/>
              </w:rPr>
            </w:pPr>
            <w:r>
              <w:rPr>
                <w:rFonts w:hint="eastAsia"/>
                <w:color w:val="auto"/>
              </w:rPr>
              <w:t>二氧化硫</w:t>
            </w:r>
          </w:p>
        </w:tc>
        <w:tc>
          <w:tcPr>
            <w:tcW w:w="1092" w:type="dxa"/>
            <w:vAlign w:val="center"/>
          </w:tcPr>
          <w:p w14:paraId="25770D05">
            <w:pPr>
              <w:pStyle w:val="33"/>
              <w:rPr>
                <w:color w:val="auto"/>
              </w:rPr>
            </w:pPr>
            <w:r>
              <w:rPr>
                <w:rFonts w:hint="eastAsia"/>
                <w:color w:val="auto"/>
              </w:rPr>
              <w:t>50</w:t>
            </w:r>
          </w:p>
        </w:tc>
        <w:tc>
          <w:tcPr>
            <w:tcW w:w="1226" w:type="dxa"/>
            <w:vAlign w:val="center"/>
          </w:tcPr>
          <w:p w14:paraId="633B51C1">
            <w:pPr>
              <w:pStyle w:val="33"/>
              <w:rPr>
                <w:color w:val="auto"/>
              </w:rPr>
            </w:pPr>
            <w:r>
              <w:rPr>
                <w:rFonts w:hint="eastAsia"/>
                <w:color w:val="auto"/>
              </w:rPr>
              <w:t>/</w:t>
            </w:r>
          </w:p>
        </w:tc>
        <w:tc>
          <w:tcPr>
            <w:tcW w:w="2119" w:type="dxa"/>
            <w:vMerge w:val="continue"/>
            <w:vAlign w:val="center"/>
          </w:tcPr>
          <w:p w14:paraId="75BC4A41">
            <w:pPr>
              <w:pStyle w:val="33"/>
              <w:rPr>
                <w:color w:val="auto"/>
              </w:rPr>
            </w:pPr>
          </w:p>
        </w:tc>
      </w:tr>
      <w:tr w14:paraId="2FCFD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77CD5685">
            <w:pPr>
              <w:pStyle w:val="33"/>
              <w:rPr>
                <w:color w:val="auto"/>
              </w:rPr>
            </w:pPr>
          </w:p>
        </w:tc>
        <w:tc>
          <w:tcPr>
            <w:tcW w:w="986" w:type="dxa"/>
            <w:vMerge w:val="continue"/>
            <w:vAlign w:val="center"/>
          </w:tcPr>
          <w:p w14:paraId="1B7D294D">
            <w:pPr>
              <w:pStyle w:val="33"/>
              <w:rPr>
                <w:color w:val="auto"/>
              </w:rPr>
            </w:pPr>
          </w:p>
        </w:tc>
        <w:tc>
          <w:tcPr>
            <w:tcW w:w="1417" w:type="dxa"/>
            <w:vMerge w:val="continue"/>
            <w:vAlign w:val="center"/>
          </w:tcPr>
          <w:p w14:paraId="2BA6218D">
            <w:pPr>
              <w:pStyle w:val="33"/>
              <w:rPr>
                <w:color w:val="auto"/>
              </w:rPr>
            </w:pPr>
          </w:p>
        </w:tc>
        <w:tc>
          <w:tcPr>
            <w:tcW w:w="709" w:type="dxa"/>
            <w:vMerge w:val="continue"/>
            <w:vAlign w:val="center"/>
          </w:tcPr>
          <w:p w14:paraId="1F61E901">
            <w:pPr>
              <w:pStyle w:val="33"/>
              <w:rPr>
                <w:color w:val="auto"/>
              </w:rPr>
            </w:pPr>
          </w:p>
        </w:tc>
        <w:tc>
          <w:tcPr>
            <w:tcW w:w="1177" w:type="dxa"/>
            <w:vAlign w:val="center"/>
          </w:tcPr>
          <w:p w14:paraId="0A34897C">
            <w:pPr>
              <w:pStyle w:val="33"/>
              <w:rPr>
                <w:color w:val="auto"/>
              </w:rPr>
            </w:pPr>
            <w:r>
              <w:rPr>
                <w:rFonts w:hint="eastAsia"/>
                <w:color w:val="auto"/>
              </w:rPr>
              <w:t>氮氧化物</w:t>
            </w:r>
          </w:p>
        </w:tc>
        <w:tc>
          <w:tcPr>
            <w:tcW w:w="1092" w:type="dxa"/>
            <w:vAlign w:val="center"/>
          </w:tcPr>
          <w:p w14:paraId="1C8AFD6A">
            <w:pPr>
              <w:pStyle w:val="33"/>
              <w:rPr>
                <w:color w:val="auto"/>
              </w:rPr>
            </w:pPr>
            <w:r>
              <w:rPr>
                <w:rFonts w:hint="eastAsia"/>
                <w:color w:val="auto"/>
              </w:rPr>
              <w:t>200</w:t>
            </w:r>
          </w:p>
        </w:tc>
        <w:tc>
          <w:tcPr>
            <w:tcW w:w="1226" w:type="dxa"/>
            <w:vAlign w:val="center"/>
          </w:tcPr>
          <w:p w14:paraId="1B289B29">
            <w:pPr>
              <w:pStyle w:val="33"/>
              <w:rPr>
                <w:color w:val="auto"/>
              </w:rPr>
            </w:pPr>
            <w:r>
              <w:rPr>
                <w:rFonts w:hint="eastAsia"/>
                <w:color w:val="auto"/>
              </w:rPr>
              <w:t>/</w:t>
            </w:r>
          </w:p>
        </w:tc>
        <w:tc>
          <w:tcPr>
            <w:tcW w:w="2119" w:type="dxa"/>
            <w:vMerge w:val="continue"/>
            <w:vAlign w:val="center"/>
          </w:tcPr>
          <w:p w14:paraId="7FD52A97">
            <w:pPr>
              <w:pStyle w:val="33"/>
              <w:rPr>
                <w:color w:val="auto"/>
              </w:rPr>
            </w:pPr>
          </w:p>
        </w:tc>
      </w:tr>
      <w:tr w14:paraId="16D47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52F662D6">
            <w:pPr>
              <w:pStyle w:val="33"/>
              <w:rPr>
                <w:color w:val="auto"/>
              </w:rPr>
            </w:pPr>
          </w:p>
        </w:tc>
        <w:tc>
          <w:tcPr>
            <w:tcW w:w="986" w:type="dxa"/>
            <w:vMerge w:val="continue"/>
            <w:vAlign w:val="center"/>
          </w:tcPr>
          <w:p w14:paraId="513A910B">
            <w:pPr>
              <w:pStyle w:val="33"/>
              <w:rPr>
                <w:color w:val="auto"/>
              </w:rPr>
            </w:pPr>
          </w:p>
        </w:tc>
        <w:tc>
          <w:tcPr>
            <w:tcW w:w="1417" w:type="dxa"/>
            <w:vMerge w:val="continue"/>
            <w:vAlign w:val="center"/>
          </w:tcPr>
          <w:p w14:paraId="4EDB4303">
            <w:pPr>
              <w:pStyle w:val="33"/>
              <w:rPr>
                <w:color w:val="auto"/>
              </w:rPr>
            </w:pPr>
          </w:p>
        </w:tc>
        <w:tc>
          <w:tcPr>
            <w:tcW w:w="709" w:type="dxa"/>
            <w:vMerge w:val="continue"/>
            <w:vAlign w:val="center"/>
          </w:tcPr>
          <w:p w14:paraId="4CA6B922">
            <w:pPr>
              <w:pStyle w:val="33"/>
              <w:rPr>
                <w:color w:val="auto"/>
              </w:rPr>
            </w:pPr>
          </w:p>
        </w:tc>
        <w:tc>
          <w:tcPr>
            <w:tcW w:w="1177" w:type="dxa"/>
            <w:vAlign w:val="center"/>
          </w:tcPr>
          <w:p w14:paraId="33192E89">
            <w:pPr>
              <w:pStyle w:val="33"/>
              <w:rPr>
                <w:color w:val="auto"/>
              </w:rPr>
            </w:pPr>
            <w:r>
              <w:rPr>
                <w:rFonts w:hint="eastAsia"/>
                <w:color w:val="auto"/>
              </w:rPr>
              <w:t>烟尘</w:t>
            </w:r>
          </w:p>
        </w:tc>
        <w:tc>
          <w:tcPr>
            <w:tcW w:w="1092" w:type="dxa"/>
            <w:vAlign w:val="center"/>
          </w:tcPr>
          <w:p w14:paraId="681B07CC">
            <w:pPr>
              <w:pStyle w:val="33"/>
              <w:rPr>
                <w:color w:val="auto"/>
              </w:rPr>
            </w:pPr>
            <w:r>
              <w:rPr>
                <w:rFonts w:hint="eastAsia"/>
                <w:color w:val="auto"/>
              </w:rPr>
              <w:t>20</w:t>
            </w:r>
          </w:p>
        </w:tc>
        <w:tc>
          <w:tcPr>
            <w:tcW w:w="1226" w:type="dxa"/>
            <w:vAlign w:val="center"/>
          </w:tcPr>
          <w:p w14:paraId="700708A1">
            <w:pPr>
              <w:pStyle w:val="33"/>
              <w:rPr>
                <w:color w:val="auto"/>
              </w:rPr>
            </w:pPr>
            <w:r>
              <w:rPr>
                <w:rFonts w:hint="eastAsia"/>
                <w:color w:val="auto"/>
              </w:rPr>
              <w:t>/</w:t>
            </w:r>
          </w:p>
        </w:tc>
        <w:tc>
          <w:tcPr>
            <w:tcW w:w="2119" w:type="dxa"/>
            <w:vMerge w:val="continue"/>
            <w:vAlign w:val="center"/>
          </w:tcPr>
          <w:p w14:paraId="58E2FB6D">
            <w:pPr>
              <w:pStyle w:val="33"/>
              <w:rPr>
                <w:color w:val="auto"/>
              </w:rPr>
            </w:pPr>
          </w:p>
        </w:tc>
      </w:tr>
      <w:tr w14:paraId="03363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043BEA69">
            <w:pPr>
              <w:pStyle w:val="33"/>
              <w:rPr>
                <w:color w:val="auto"/>
              </w:rPr>
            </w:pPr>
          </w:p>
        </w:tc>
        <w:tc>
          <w:tcPr>
            <w:tcW w:w="986" w:type="dxa"/>
            <w:vMerge w:val="continue"/>
            <w:vAlign w:val="center"/>
          </w:tcPr>
          <w:p w14:paraId="099C6C3B">
            <w:pPr>
              <w:pStyle w:val="33"/>
              <w:rPr>
                <w:color w:val="auto"/>
              </w:rPr>
            </w:pPr>
          </w:p>
        </w:tc>
        <w:tc>
          <w:tcPr>
            <w:tcW w:w="1417" w:type="dxa"/>
            <w:vMerge w:val="continue"/>
            <w:vAlign w:val="center"/>
          </w:tcPr>
          <w:p w14:paraId="50F0BBBF">
            <w:pPr>
              <w:pStyle w:val="33"/>
              <w:rPr>
                <w:color w:val="auto"/>
              </w:rPr>
            </w:pPr>
          </w:p>
        </w:tc>
        <w:tc>
          <w:tcPr>
            <w:tcW w:w="709" w:type="dxa"/>
            <w:vMerge w:val="continue"/>
            <w:vAlign w:val="center"/>
          </w:tcPr>
          <w:p w14:paraId="3E5F5D96">
            <w:pPr>
              <w:pStyle w:val="33"/>
              <w:rPr>
                <w:color w:val="auto"/>
              </w:rPr>
            </w:pPr>
          </w:p>
        </w:tc>
        <w:tc>
          <w:tcPr>
            <w:tcW w:w="1177" w:type="dxa"/>
            <w:vAlign w:val="center"/>
          </w:tcPr>
          <w:p w14:paraId="6B961D1B">
            <w:pPr>
              <w:pStyle w:val="33"/>
              <w:rPr>
                <w:color w:val="auto"/>
              </w:rPr>
            </w:pPr>
            <w:r>
              <w:rPr>
                <w:rFonts w:hint="eastAsia"/>
                <w:color w:val="auto"/>
              </w:rPr>
              <w:t>烟气黑度（林格曼黑度，级）</w:t>
            </w:r>
          </w:p>
        </w:tc>
        <w:tc>
          <w:tcPr>
            <w:tcW w:w="1092" w:type="dxa"/>
            <w:vAlign w:val="center"/>
          </w:tcPr>
          <w:p w14:paraId="78E777F0">
            <w:pPr>
              <w:pStyle w:val="33"/>
              <w:rPr>
                <w:color w:val="auto"/>
              </w:rPr>
            </w:pPr>
            <w:r>
              <w:rPr>
                <w:rFonts w:hint="eastAsia"/>
                <w:color w:val="auto"/>
              </w:rPr>
              <w:t>≤1</w:t>
            </w:r>
          </w:p>
        </w:tc>
        <w:tc>
          <w:tcPr>
            <w:tcW w:w="1226" w:type="dxa"/>
            <w:vAlign w:val="center"/>
          </w:tcPr>
          <w:p w14:paraId="62F11803">
            <w:pPr>
              <w:pStyle w:val="33"/>
              <w:rPr>
                <w:color w:val="auto"/>
              </w:rPr>
            </w:pPr>
            <w:r>
              <w:rPr>
                <w:rFonts w:hint="eastAsia"/>
                <w:color w:val="auto"/>
              </w:rPr>
              <w:t>/</w:t>
            </w:r>
          </w:p>
        </w:tc>
        <w:tc>
          <w:tcPr>
            <w:tcW w:w="2119" w:type="dxa"/>
            <w:vMerge w:val="continue"/>
            <w:vAlign w:val="center"/>
          </w:tcPr>
          <w:p w14:paraId="56332599">
            <w:pPr>
              <w:pStyle w:val="33"/>
              <w:rPr>
                <w:color w:val="auto"/>
              </w:rPr>
            </w:pPr>
          </w:p>
        </w:tc>
      </w:tr>
      <w:tr w14:paraId="68501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Align w:val="center"/>
          </w:tcPr>
          <w:p w14:paraId="6FE695F0">
            <w:pPr>
              <w:pStyle w:val="33"/>
              <w:rPr>
                <w:color w:val="auto"/>
              </w:rPr>
            </w:pPr>
            <w:r>
              <w:rPr>
                <w:rFonts w:hint="eastAsia"/>
                <w:color w:val="auto"/>
              </w:rPr>
              <w:t>5</w:t>
            </w:r>
          </w:p>
        </w:tc>
        <w:tc>
          <w:tcPr>
            <w:tcW w:w="986" w:type="dxa"/>
            <w:vAlign w:val="center"/>
          </w:tcPr>
          <w:p w14:paraId="7C130EF2">
            <w:pPr>
              <w:pStyle w:val="33"/>
              <w:rPr>
                <w:color w:val="auto"/>
              </w:rPr>
            </w:pPr>
            <w:r>
              <w:rPr>
                <w:rFonts w:hint="eastAsia"/>
                <w:color w:val="auto"/>
              </w:rPr>
              <w:t>淋膜车间</w:t>
            </w:r>
          </w:p>
        </w:tc>
        <w:tc>
          <w:tcPr>
            <w:tcW w:w="1417" w:type="dxa"/>
            <w:vAlign w:val="center"/>
          </w:tcPr>
          <w:p w14:paraId="02315660">
            <w:pPr>
              <w:pStyle w:val="33"/>
              <w:rPr>
                <w:color w:val="auto"/>
              </w:rPr>
            </w:pPr>
            <w:r>
              <w:rPr>
                <w:rFonts w:hint="eastAsia"/>
                <w:color w:val="auto"/>
              </w:rPr>
              <w:t>D</w:t>
            </w:r>
            <w:r>
              <w:rPr>
                <w:color w:val="auto"/>
              </w:rPr>
              <w:t>A046</w:t>
            </w:r>
          </w:p>
        </w:tc>
        <w:tc>
          <w:tcPr>
            <w:tcW w:w="709" w:type="dxa"/>
            <w:vAlign w:val="center"/>
          </w:tcPr>
          <w:p w14:paraId="39CB491D">
            <w:pPr>
              <w:pStyle w:val="33"/>
              <w:rPr>
                <w:color w:val="auto"/>
              </w:rPr>
            </w:pPr>
            <w:r>
              <w:rPr>
                <w:rFonts w:hint="eastAsia"/>
                <w:color w:val="auto"/>
              </w:rPr>
              <w:t>1</w:t>
            </w:r>
            <w:r>
              <w:rPr>
                <w:color w:val="auto"/>
              </w:rPr>
              <w:t>5</w:t>
            </w:r>
          </w:p>
        </w:tc>
        <w:tc>
          <w:tcPr>
            <w:tcW w:w="1177" w:type="dxa"/>
            <w:vAlign w:val="center"/>
          </w:tcPr>
          <w:p w14:paraId="46C0A5C5">
            <w:pPr>
              <w:pStyle w:val="33"/>
              <w:rPr>
                <w:color w:val="auto"/>
              </w:rPr>
            </w:pPr>
            <w:r>
              <w:rPr>
                <w:rFonts w:hint="eastAsia"/>
                <w:color w:val="auto"/>
              </w:rPr>
              <w:t>非甲烷总烃</w:t>
            </w:r>
          </w:p>
        </w:tc>
        <w:tc>
          <w:tcPr>
            <w:tcW w:w="1092" w:type="dxa"/>
            <w:vAlign w:val="center"/>
          </w:tcPr>
          <w:p w14:paraId="67A444F0">
            <w:pPr>
              <w:pStyle w:val="33"/>
              <w:rPr>
                <w:color w:val="auto"/>
              </w:rPr>
            </w:pPr>
            <w:r>
              <w:rPr>
                <w:color w:val="auto"/>
              </w:rPr>
              <w:t>120</w:t>
            </w:r>
          </w:p>
        </w:tc>
        <w:tc>
          <w:tcPr>
            <w:tcW w:w="1226" w:type="dxa"/>
            <w:vAlign w:val="center"/>
          </w:tcPr>
          <w:p w14:paraId="23F5AB3E">
            <w:pPr>
              <w:pStyle w:val="33"/>
              <w:rPr>
                <w:color w:val="auto"/>
              </w:rPr>
            </w:pPr>
            <w:r>
              <w:rPr>
                <w:color w:val="auto"/>
              </w:rPr>
              <w:t>10</w:t>
            </w:r>
          </w:p>
        </w:tc>
        <w:tc>
          <w:tcPr>
            <w:tcW w:w="2119" w:type="dxa"/>
            <w:vAlign w:val="center"/>
          </w:tcPr>
          <w:p w14:paraId="22B72D43">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tc>
      </w:tr>
      <w:tr w14:paraId="5CCBA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restart"/>
            <w:vAlign w:val="center"/>
          </w:tcPr>
          <w:p w14:paraId="64B31425">
            <w:pPr>
              <w:pStyle w:val="33"/>
              <w:rPr>
                <w:color w:val="auto"/>
              </w:rPr>
            </w:pPr>
            <w:r>
              <w:rPr>
                <w:rFonts w:hint="eastAsia"/>
                <w:color w:val="auto"/>
              </w:rPr>
              <w:t>6</w:t>
            </w:r>
          </w:p>
        </w:tc>
        <w:tc>
          <w:tcPr>
            <w:tcW w:w="986" w:type="dxa"/>
            <w:vMerge w:val="restart"/>
            <w:vAlign w:val="center"/>
          </w:tcPr>
          <w:p w14:paraId="4518C89A">
            <w:pPr>
              <w:pStyle w:val="33"/>
              <w:rPr>
                <w:color w:val="auto"/>
              </w:rPr>
            </w:pPr>
            <w:r>
              <w:rPr>
                <w:rFonts w:hint="eastAsia"/>
                <w:color w:val="auto"/>
              </w:rPr>
              <w:t>污水处理站</w:t>
            </w:r>
          </w:p>
        </w:tc>
        <w:tc>
          <w:tcPr>
            <w:tcW w:w="1417" w:type="dxa"/>
            <w:vMerge w:val="restart"/>
            <w:vAlign w:val="center"/>
          </w:tcPr>
          <w:p w14:paraId="62D48AC5">
            <w:pPr>
              <w:pStyle w:val="33"/>
              <w:rPr>
                <w:color w:val="auto"/>
              </w:rPr>
            </w:pPr>
            <w:r>
              <w:rPr>
                <w:rFonts w:hint="eastAsia"/>
                <w:color w:val="auto"/>
              </w:rPr>
              <w:t>D</w:t>
            </w:r>
            <w:r>
              <w:rPr>
                <w:color w:val="auto"/>
              </w:rPr>
              <w:t>A047</w:t>
            </w:r>
          </w:p>
        </w:tc>
        <w:tc>
          <w:tcPr>
            <w:tcW w:w="709" w:type="dxa"/>
            <w:vMerge w:val="restart"/>
            <w:vAlign w:val="center"/>
          </w:tcPr>
          <w:p w14:paraId="0EDC84B5">
            <w:pPr>
              <w:pStyle w:val="33"/>
              <w:rPr>
                <w:color w:val="auto"/>
              </w:rPr>
            </w:pPr>
            <w:r>
              <w:rPr>
                <w:rFonts w:hint="eastAsia"/>
                <w:color w:val="auto"/>
              </w:rPr>
              <w:t>1</w:t>
            </w:r>
            <w:r>
              <w:rPr>
                <w:color w:val="auto"/>
              </w:rPr>
              <w:t>5</w:t>
            </w:r>
          </w:p>
        </w:tc>
        <w:tc>
          <w:tcPr>
            <w:tcW w:w="1177" w:type="dxa"/>
            <w:vAlign w:val="center"/>
          </w:tcPr>
          <w:p w14:paraId="3CDBBEC3">
            <w:pPr>
              <w:pStyle w:val="33"/>
              <w:rPr>
                <w:color w:val="auto"/>
              </w:rPr>
            </w:pPr>
            <w:r>
              <w:rPr>
                <w:color w:val="auto"/>
              </w:rPr>
              <w:t>H2S</w:t>
            </w:r>
          </w:p>
        </w:tc>
        <w:tc>
          <w:tcPr>
            <w:tcW w:w="1092" w:type="dxa"/>
            <w:vAlign w:val="center"/>
          </w:tcPr>
          <w:p w14:paraId="553222B8">
            <w:pPr>
              <w:pStyle w:val="33"/>
              <w:rPr>
                <w:color w:val="auto"/>
              </w:rPr>
            </w:pPr>
            <w:r>
              <w:rPr>
                <w:rFonts w:hint="eastAsia"/>
                <w:color w:val="auto"/>
              </w:rPr>
              <w:t>/</w:t>
            </w:r>
          </w:p>
        </w:tc>
        <w:tc>
          <w:tcPr>
            <w:tcW w:w="1226" w:type="dxa"/>
            <w:vAlign w:val="center"/>
          </w:tcPr>
          <w:p w14:paraId="7F6ACB8D">
            <w:pPr>
              <w:pStyle w:val="33"/>
              <w:rPr>
                <w:color w:val="auto"/>
              </w:rPr>
            </w:pPr>
            <w:r>
              <w:rPr>
                <w:rFonts w:hint="eastAsia"/>
                <w:color w:val="auto"/>
              </w:rPr>
              <w:t>0.33</w:t>
            </w:r>
          </w:p>
        </w:tc>
        <w:tc>
          <w:tcPr>
            <w:tcW w:w="2119" w:type="dxa"/>
            <w:vMerge w:val="restart"/>
            <w:vAlign w:val="center"/>
          </w:tcPr>
          <w:p w14:paraId="3F0FD0D7">
            <w:pPr>
              <w:pStyle w:val="33"/>
              <w:rPr>
                <w:color w:val="auto"/>
              </w:rPr>
            </w:pPr>
            <w:r>
              <w:rPr>
                <w:rFonts w:hint="eastAsia"/>
                <w:color w:val="auto"/>
              </w:rPr>
              <w:t>《恶臭污染物排放标准》（GB14554-93）表2限值</w:t>
            </w:r>
          </w:p>
        </w:tc>
      </w:tr>
      <w:tr w14:paraId="304FB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0B1C1212">
            <w:pPr>
              <w:pStyle w:val="33"/>
              <w:rPr>
                <w:color w:val="auto"/>
              </w:rPr>
            </w:pPr>
          </w:p>
        </w:tc>
        <w:tc>
          <w:tcPr>
            <w:tcW w:w="986" w:type="dxa"/>
            <w:vMerge w:val="continue"/>
            <w:vAlign w:val="center"/>
          </w:tcPr>
          <w:p w14:paraId="4EEE0572">
            <w:pPr>
              <w:pStyle w:val="33"/>
              <w:rPr>
                <w:color w:val="auto"/>
              </w:rPr>
            </w:pPr>
          </w:p>
        </w:tc>
        <w:tc>
          <w:tcPr>
            <w:tcW w:w="1417" w:type="dxa"/>
            <w:vMerge w:val="continue"/>
            <w:vAlign w:val="center"/>
          </w:tcPr>
          <w:p w14:paraId="1C53B624">
            <w:pPr>
              <w:pStyle w:val="33"/>
              <w:rPr>
                <w:color w:val="auto"/>
              </w:rPr>
            </w:pPr>
          </w:p>
        </w:tc>
        <w:tc>
          <w:tcPr>
            <w:tcW w:w="709" w:type="dxa"/>
            <w:vMerge w:val="continue"/>
            <w:vAlign w:val="center"/>
          </w:tcPr>
          <w:p w14:paraId="527F40BE">
            <w:pPr>
              <w:pStyle w:val="33"/>
              <w:rPr>
                <w:color w:val="auto"/>
              </w:rPr>
            </w:pPr>
          </w:p>
        </w:tc>
        <w:tc>
          <w:tcPr>
            <w:tcW w:w="1177" w:type="dxa"/>
            <w:vAlign w:val="center"/>
          </w:tcPr>
          <w:p w14:paraId="76E3A5AB">
            <w:pPr>
              <w:pStyle w:val="33"/>
              <w:rPr>
                <w:color w:val="auto"/>
              </w:rPr>
            </w:pPr>
            <w:r>
              <w:rPr>
                <w:color w:val="auto"/>
              </w:rPr>
              <w:t>NH3</w:t>
            </w:r>
          </w:p>
        </w:tc>
        <w:tc>
          <w:tcPr>
            <w:tcW w:w="1092" w:type="dxa"/>
            <w:vAlign w:val="center"/>
          </w:tcPr>
          <w:p w14:paraId="16577980">
            <w:pPr>
              <w:pStyle w:val="33"/>
              <w:rPr>
                <w:color w:val="auto"/>
              </w:rPr>
            </w:pPr>
            <w:r>
              <w:rPr>
                <w:rFonts w:hint="eastAsia"/>
                <w:color w:val="auto"/>
              </w:rPr>
              <w:t>/</w:t>
            </w:r>
          </w:p>
        </w:tc>
        <w:tc>
          <w:tcPr>
            <w:tcW w:w="1226" w:type="dxa"/>
            <w:vAlign w:val="center"/>
          </w:tcPr>
          <w:p w14:paraId="34DCD807">
            <w:pPr>
              <w:pStyle w:val="33"/>
              <w:rPr>
                <w:color w:val="auto"/>
              </w:rPr>
            </w:pPr>
            <w:r>
              <w:rPr>
                <w:rFonts w:hint="eastAsia"/>
                <w:color w:val="auto"/>
              </w:rPr>
              <w:t>4.9</w:t>
            </w:r>
          </w:p>
        </w:tc>
        <w:tc>
          <w:tcPr>
            <w:tcW w:w="2119" w:type="dxa"/>
            <w:vMerge w:val="continue"/>
            <w:vAlign w:val="center"/>
          </w:tcPr>
          <w:p w14:paraId="175844AF">
            <w:pPr>
              <w:pStyle w:val="33"/>
              <w:rPr>
                <w:color w:val="auto"/>
              </w:rPr>
            </w:pPr>
          </w:p>
        </w:tc>
      </w:tr>
      <w:tr w14:paraId="5EF18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 w:type="dxa"/>
            <w:vMerge w:val="continue"/>
            <w:vAlign w:val="center"/>
          </w:tcPr>
          <w:p w14:paraId="7CAB2151">
            <w:pPr>
              <w:pStyle w:val="33"/>
              <w:rPr>
                <w:color w:val="auto"/>
              </w:rPr>
            </w:pPr>
          </w:p>
        </w:tc>
        <w:tc>
          <w:tcPr>
            <w:tcW w:w="986" w:type="dxa"/>
            <w:vMerge w:val="continue"/>
            <w:vAlign w:val="center"/>
          </w:tcPr>
          <w:p w14:paraId="4C2A2DF7">
            <w:pPr>
              <w:pStyle w:val="33"/>
              <w:rPr>
                <w:color w:val="auto"/>
              </w:rPr>
            </w:pPr>
          </w:p>
        </w:tc>
        <w:tc>
          <w:tcPr>
            <w:tcW w:w="1417" w:type="dxa"/>
            <w:vMerge w:val="continue"/>
            <w:vAlign w:val="center"/>
          </w:tcPr>
          <w:p w14:paraId="09323B38">
            <w:pPr>
              <w:pStyle w:val="33"/>
              <w:rPr>
                <w:color w:val="auto"/>
              </w:rPr>
            </w:pPr>
          </w:p>
        </w:tc>
        <w:tc>
          <w:tcPr>
            <w:tcW w:w="709" w:type="dxa"/>
            <w:vMerge w:val="continue"/>
            <w:vAlign w:val="center"/>
          </w:tcPr>
          <w:p w14:paraId="671688B1">
            <w:pPr>
              <w:pStyle w:val="33"/>
              <w:rPr>
                <w:color w:val="auto"/>
              </w:rPr>
            </w:pPr>
          </w:p>
        </w:tc>
        <w:tc>
          <w:tcPr>
            <w:tcW w:w="1177" w:type="dxa"/>
            <w:vAlign w:val="center"/>
          </w:tcPr>
          <w:p w14:paraId="6686D4BA">
            <w:pPr>
              <w:pStyle w:val="33"/>
              <w:rPr>
                <w:color w:val="auto"/>
              </w:rPr>
            </w:pPr>
            <w:r>
              <w:rPr>
                <w:rFonts w:hint="eastAsia"/>
                <w:color w:val="auto"/>
              </w:rPr>
              <w:t>臭气浓度</w:t>
            </w:r>
          </w:p>
        </w:tc>
        <w:tc>
          <w:tcPr>
            <w:tcW w:w="1092" w:type="dxa"/>
            <w:vAlign w:val="center"/>
          </w:tcPr>
          <w:p w14:paraId="5D9BC906">
            <w:pPr>
              <w:pStyle w:val="33"/>
              <w:rPr>
                <w:color w:val="auto"/>
              </w:rPr>
            </w:pPr>
            <w:r>
              <w:rPr>
                <w:rFonts w:hint="eastAsia"/>
                <w:color w:val="auto"/>
              </w:rPr>
              <w:t>/</w:t>
            </w:r>
          </w:p>
        </w:tc>
        <w:tc>
          <w:tcPr>
            <w:tcW w:w="1226" w:type="dxa"/>
            <w:vAlign w:val="center"/>
          </w:tcPr>
          <w:p w14:paraId="3C7BC2C5">
            <w:pPr>
              <w:pStyle w:val="33"/>
              <w:rPr>
                <w:color w:val="auto"/>
              </w:rPr>
            </w:pPr>
            <w:r>
              <w:rPr>
                <w:rFonts w:hint="eastAsia"/>
                <w:color w:val="auto"/>
              </w:rPr>
              <w:t>2000</w:t>
            </w:r>
          </w:p>
        </w:tc>
        <w:tc>
          <w:tcPr>
            <w:tcW w:w="2119" w:type="dxa"/>
            <w:vMerge w:val="continue"/>
            <w:vAlign w:val="center"/>
          </w:tcPr>
          <w:p w14:paraId="72EBE65E">
            <w:pPr>
              <w:pStyle w:val="33"/>
              <w:rPr>
                <w:color w:val="auto"/>
              </w:rPr>
            </w:pPr>
          </w:p>
        </w:tc>
      </w:tr>
    </w:tbl>
    <w:p w14:paraId="5BCACE6D">
      <w:pPr>
        <w:ind w:firstLine="480"/>
        <w:rPr>
          <w:color w:val="auto"/>
        </w:rPr>
      </w:pPr>
      <w:bookmarkStart w:id="97" w:name="_Ref185008257"/>
      <w:r>
        <w:rPr>
          <w:rFonts w:hint="eastAsia"/>
          <w:color w:val="auto"/>
        </w:rPr>
        <w:t>（2）</w:t>
      </w:r>
      <w:r>
        <w:rPr>
          <w:color w:val="auto"/>
          <w:szCs w:val="24"/>
        </w:rPr>
        <w:t>项目产生的无组织废气</w:t>
      </w:r>
      <w:r>
        <w:rPr>
          <w:rFonts w:hint="eastAsia"/>
          <w:color w:val="auto"/>
          <w:szCs w:val="24"/>
        </w:rPr>
        <w:t>中，颗粒物、非甲烷总烃执行《大气污染物综合排放标准》（GB16297-1996）表2新污染源大气污染物排放限值中无组织排放监控浓度限值；恶臭废气执行《恶臭污染物排放标准》（GB14554-93）表1中“新扩改建”二级标准。</w:t>
      </w:r>
    </w:p>
    <w:p w14:paraId="0A7EF105">
      <w:pPr>
        <w:pStyle w:val="7"/>
        <w:rPr>
          <w:color w:val="auto"/>
        </w:rPr>
      </w:pPr>
      <w:r>
        <w:rPr>
          <w:color w:val="auto"/>
        </w:rPr>
        <w:t>污染物无组织排放标准限值</w:t>
      </w:r>
      <w:bookmarkEnd w:id="97"/>
    </w:p>
    <w:tbl>
      <w:tblPr>
        <w:tblStyle w:val="26"/>
        <w:tblW w:w="92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1842"/>
        <w:gridCol w:w="5245"/>
      </w:tblGrid>
      <w:tr w14:paraId="7DA05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42F0F0A2">
            <w:pPr>
              <w:pStyle w:val="33"/>
              <w:rPr>
                <w:color w:val="auto"/>
              </w:rPr>
            </w:pPr>
            <w:r>
              <w:rPr>
                <w:rFonts w:hint="eastAsia"/>
                <w:color w:val="auto"/>
              </w:rPr>
              <w:t>污染物</w:t>
            </w:r>
          </w:p>
        </w:tc>
        <w:tc>
          <w:tcPr>
            <w:tcW w:w="1842" w:type="dxa"/>
            <w:vAlign w:val="center"/>
          </w:tcPr>
          <w:p w14:paraId="304C49F3">
            <w:pPr>
              <w:pStyle w:val="33"/>
              <w:rPr>
                <w:color w:val="auto"/>
              </w:rPr>
            </w:pPr>
            <w:r>
              <w:rPr>
                <w:color w:val="auto"/>
              </w:rPr>
              <w:t>企业厂界排放监控浓度（mg/m</w:t>
            </w:r>
            <w:r>
              <w:rPr>
                <w:color w:val="auto"/>
                <w:vertAlign w:val="superscript"/>
              </w:rPr>
              <w:t>3</w:t>
            </w:r>
            <w:r>
              <w:rPr>
                <w:color w:val="auto"/>
              </w:rPr>
              <w:t>）</w:t>
            </w:r>
          </w:p>
        </w:tc>
        <w:tc>
          <w:tcPr>
            <w:tcW w:w="5245" w:type="dxa"/>
            <w:vAlign w:val="center"/>
          </w:tcPr>
          <w:p w14:paraId="79BDB39C">
            <w:pPr>
              <w:pStyle w:val="33"/>
              <w:rPr>
                <w:color w:val="auto"/>
              </w:rPr>
            </w:pPr>
            <w:r>
              <w:rPr>
                <w:color w:val="auto"/>
              </w:rPr>
              <w:t>备注</w:t>
            </w:r>
          </w:p>
        </w:tc>
      </w:tr>
      <w:tr w14:paraId="0912E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0BC3E4E3">
            <w:pPr>
              <w:pStyle w:val="33"/>
              <w:rPr>
                <w:color w:val="auto"/>
              </w:rPr>
            </w:pPr>
            <w:r>
              <w:rPr>
                <w:color w:val="auto"/>
              </w:rPr>
              <w:t>颗粒物</w:t>
            </w:r>
          </w:p>
        </w:tc>
        <w:tc>
          <w:tcPr>
            <w:tcW w:w="1842" w:type="dxa"/>
            <w:vAlign w:val="center"/>
          </w:tcPr>
          <w:p w14:paraId="75308EEF">
            <w:pPr>
              <w:pStyle w:val="33"/>
              <w:rPr>
                <w:color w:val="auto"/>
              </w:rPr>
            </w:pPr>
            <w:r>
              <w:rPr>
                <w:color w:val="auto"/>
              </w:rPr>
              <w:t>1.0</w:t>
            </w:r>
          </w:p>
        </w:tc>
        <w:tc>
          <w:tcPr>
            <w:tcW w:w="5245" w:type="dxa"/>
            <w:vAlign w:val="center"/>
          </w:tcPr>
          <w:p w14:paraId="62E8690C">
            <w:pPr>
              <w:pStyle w:val="33"/>
              <w:jc w:val="both"/>
              <w:rPr>
                <w:color w:val="auto"/>
              </w:rPr>
            </w:pPr>
            <w:r>
              <w:rPr>
                <w:color w:val="auto"/>
              </w:rPr>
              <w:t>《大气污染物综合排放标准》（GB16297-1996）</w:t>
            </w:r>
            <w:r>
              <w:rPr>
                <w:rFonts w:hint="eastAsia"/>
                <w:color w:val="auto"/>
              </w:rPr>
              <w:t>表2新污染源大气污染物排放限值中无组织排放监控浓度限值</w:t>
            </w:r>
          </w:p>
        </w:tc>
      </w:tr>
      <w:tr w14:paraId="7C350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5C45B1CA">
            <w:pPr>
              <w:pStyle w:val="33"/>
              <w:rPr>
                <w:color w:val="auto"/>
              </w:rPr>
            </w:pPr>
            <w:r>
              <w:rPr>
                <w:rFonts w:hint="eastAsia"/>
                <w:color w:val="auto"/>
              </w:rPr>
              <w:t>非甲烷总烃</w:t>
            </w:r>
          </w:p>
        </w:tc>
        <w:tc>
          <w:tcPr>
            <w:tcW w:w="1842" w:type="dxa"/>
            <w:vAlign w:val="center"/>
          </w:tcPr>
          <w:p w14:paraId="78C26A1F">
            <w:pPr>
              <w:pStyle w:val="33"/>
              <w:rPr>
                <w:color w:val="auto"/>
              </w:rPr>
            </w:pPr>
            <w:r>
              <w:rPr>
                <w:rFonts w:hint="eastAsia"/>
                <w:color w:val="auto"/>
              </w:rPr>
              <w:t>4.0</w:t>
            </w:r>
          </w:p>
        </w:tc>
        <w:tc>
          <w:tcPr>
            <w:tcW w:w="5245" w:type="dxa"/>
            <w:vAlign w:val="center"/>
          </w:tcPr>
          <w:p w14:paraId="556E1C00">
            <w:pPr>
              <w:pStyle w:val="33"/>
              <w:jc w:val="both"/>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新污染源大气污染物排放限值中无组织排放监控浓度限值</w:t>
            </w:r>
          </w:p>
        </w:tc>
      </w:tr>
      <w:tr w14:paraId="17F93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35098729">
            <w:pPr>
              <w:pStyle w:val="33"/>
              <w:rPr>
                <w:color w:val="auto"/>
              </w:rPr>
            </w:pPr>
            <w:r>
              <w:rPr>
                <w:color w:val="auto"/>
              </w:rPr>
              <w:t>H</w:t>
            </w:r>
            <w:r>
              <w:rPr>
                <w:color w:val="auto"/>
                <w:vertAlign w:val="subscript"/>
              </w:rPr>
              <w:t>2</w:t>
            </w:r>
            <w:r>
              <w:rPr>
                <w:color w:val="auto"/>
              </w:rPr>
              <w:t>S</w:t>
            </w:r>
          </w:p>
        </w:tc>
        <w:tc>
          <w:tcPr>
            <w:tcW w:w="1842" w:type="dxa"/>
            <w:vAlign w:val="center"/>
          </w:tcPr>
          <w:p w14:paraId="4992FFFE">
            <w:pPr>
              <w:pStyle w:val="33"/>
              <w:rPr>
                <w:color w:val="auto"/>
              </w:rPr>
            </w:pPr>
            <w:r>
              <w:rPr>
                <w:rFonts w:hint="eastAsia"/>
                <w:color w:val="auto"/>
              </w:rPr>
              <w:t>0.06</w:t>
            </w:r>
          </w:p>
        </w:tc>
        <w:tc>
          <w:tcPr>
            <w:tcW w:w="5245" w:type="dxa"/>
            <w:vMerge w:val="restart"/>
            <w:vAlign w:val="center"/>
          </w:tcPr>
          <w:p w14:paraId="277393C8">
            <w:pPr>
              <w:pStyle w:val="33"/>
              <w:jc w:val="both"/>
              <w:rPr>
                <w:color w:val="auto"/>
              </w:rPr>
            </w:pPr>
            <w:r>
              <w:rPr>
                <w:rFonts w:hint="eastAsia"/>
                <w:color w:val="auto"/>
              </w:rPr>
              <w:t>《恶臭污染物排放标准》（GB14554-93）表1中“新扩改建”二级标准</w:t>
            </w:r>
          </w:p>
        </w:tc>
      </w:tr>
      <w:tr w14:paraId="313A2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4EDA91E9">
            <w:pPr>
              <w:pStyle w:val="33"/>
              <w:rPr>
                <w:color w:val="auto"/>
              </w:rPr>
            </w:pPr>
            <w:r>
              <w:rPr>
                <w:color w:val="auto"/>
              </w:rPr>
              <w:t>NH</w:t>
            </w:r>
            <w:r>
              <w:rPr>
                <w:color w:val="auto"/>
                <w:vertAlign w:val="subscript"/>
              </w:rPr>
              <w:t>3</w:t>
            </w:r>
          </w:p>
        </w:tc>
        <w:tc>
          <w:tcPr>
            <w:tcW w:w="1842" w:type="dxa"/>
            <w:vAlign w:val="center"/>
          </w:tcPr>
          <w:p w14:paraId="321C8737">
            <w:pPr>
              <w:pStyle w:val="33"/>
              <w:rPr>
                <w:color w:val="auto"/>
              </w:rPr>
            </w:pPr>
            <w:r>
              <w:rPr>
                <w:rFonts w:hint="eastAsia"/>
                <w:color w:val="auto"/>
              </w:rPr>
              <w:t>1.5</w:t>
            </w:r>
          </w:p>
        </w:tc>
        <w:tc>
          <w:tcPr>
            <w:tcW w:w="5245" w:type="dxa"/>
            <w:vMerge w:val="continue"/>
            <w:vAlign w:val="center"/>
          </w:tcPr>
          <w:p w14:paraId="0B7C0E38">
            <w:pPr>
              <w:pStyle w:val="33"/>
              <w:rPr>
                <w:color w:val="auto"/>
              </w:rPr>
            </w:pPr>
          </w:p>
        </w:tc>
      </w:tr>
      <w:tr w14:paraId="651FC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vAlign w:val="center"/>
          </w:tcPr>
          <w:p w14:paraId="39FC67FC">
            <w:pPr>
              <w:pStyle w:val="33"/>
              <w:rPr>
                <w:color w:val="auto"/>
              </w:rPr>
            </w:pPr>
            <w:r>
              <w:rPr>
                <w:color w:val="auto"/>
                <w:szCs w:val="21"/>
              </w:rPr>
              <w:t>臭气浓度（无量纲）</w:t>
            </w:r>
          </w:p>
        </w:tc>
        <w:tc>
          <w:tcPr>
            <w:tcW w:w="1842" w:type="dxa"/>
            <w:vAlign w:val="center"/>
          </w:tcPr>
          <w:p w14:paraId="232E02B2">
            <w:pPr>
              <w:pStyle w:val="33"/>
              <w:rPr>
                <w:color w:val="auto"/>
              </w:rPr>
            </w:pPr>
            <w:r>
              <w:rPr>
                <w:color w:val="auto"/>
                <w:szCs w:val="21"/>
              </w:rPr>
              <w:t>20</w:t>
            </w:r>
          </w:p>
        </w:tc>
        <w:tc>
          <w:tcPr>
            <w:tcW w:w="5245" w:type="dxa"/>
            <w:vMerge w:val="continue"/>
            <w:vAlign w:val="center"/>
          </w:tcPr>
          <w:p w14:paraId="372A1977">
            <w:pPr>
              <w:pStyle w:val="33"/>
              <w:rPr>
                <w:color w:val="auto"/>
              </w:rPr>
            </w:pPr>
          </w:p>
        </w:tc>
      </w:tr>
    </w:tbl>
    <w:p w14:paraId="1F0B2DD4">
      <w:pPr>
        <w:pStyle w:val="5"/>
        <w:rPr>
          <w:rFonts w:cs="Times New Roman"/>
          <w:color w:val="auto"/>
        </w:rPr>
      </w:pPr>
      <w:r>
        <w:rPr>
          <w:rFonts w:cs="Times New Roman"/>
          <w:color w:val="auto"/>
        </w:rPr>
        <w:t>废水排放标准</w:t>
      </w:r>
    </w:p>
    <w:p w14:paraId="0AE9D1F2">
      <w:pPr>
        <w:ind w:firstLine="480"/>
        <w:rPr>
          <w:rFonts w:cs="Times New Roman"/>
          <w:color w:val="auto"/>
        </w:rPr>
      </w:pPr>
      <w:r>
        <w:rPr>
          <w:color w:val="auto"/>
          <w:szCs w:val="24"/>
        </w:rPr>
        <w:t>施工期废水主要为施工人员的生活污水与施工活动中的生产废水</w:t>
      </w:r>
      <w:r>
        <w:rPr>
          <w:rFonts w:hint="eastAsia"/>
          <w:color w:val="auto"/>
          <w:szCs w:val="24"/>
        </w:rPr>
        <w:t>，</w:t>
      </w:r>
      <w:r>
        <w:rPr>
          <w:color w:val="auto"/>
          <w:szCs w:val="24"/>
        </w:rPr>
        <w:t>施工期废水依托厂区污水处理站进行处理。</w:t>
      </w:r>
      <w:r>
        <w:rPr>
          <w:rFonts w:hint="eastAsia"/>
          <w:color w:val="auto"/>
          <w:szCs w:val="24"/>
        </w:rPr>
        <w:t>施工期、运营期</w:t>
      </w:r>
      <w:r>
        <w:rPr>
          <w:color w:val="auto"/>
          <w:szCs w:val="24"/>
        </w:rPr>
        <w:t>项目处理废水依托现有A2排污口排放，位于钦州港</w:t>
      </w:r>
      <w:r>
        <w:rPr>
          <w:rFonts w:hint="eastAsia"/>
          <w:color w:val="auto"/>
          <w:szCs w:val="24"/>
        </w:rPr>
        <w:t>大榄坪排放混合区</w:t>
      </w:r>
      <w:r>
        <w:rPr>
          <w:color w:val="auto"/>
          <w:szCs w:val="24"/>
        </w:rPr>
        <w:t>（GX</w:t>
      </w:r>
      <w:r>
        <w:rPr>
          <w:rFonts w:hint="eastAsia"/>
          <w:color w:val="auto"/>
          <w:szCs w:val="24"/>
        </w:rPr>
        <w:t>057</w:t>
      </w:r>
      <w:r>
        <w:rPr>
          <w:color w:val="auto"/>
          <w:szCs w:val="24"/>
        </w:rPr>
        <w:t>DIV）：位置是以E108˚39′12.0″、N21˚39′15.0″为中心，半径1km的海域，周围设0.5km水质过渡带。</w:t>
      </w:r>
      <w:r>
        <w:rPr>
          <w:rFonts w:hint="eastAsia" w:cs="Times New Roman"/>
          <w:color w:val="auto"/>
        </w:rPr>
        <w:t>项目废水排放执行</w:t>
      </w:r>
      <w:r>
        <w:rPr>
          <w:rFonts w:hint="eastAsia"/>
          <w:color w:val="auto"/>
        </w:rPr>
        <w:t>《制浆造纸工业水污染物排放标准》（GB3544-2008）表2中制浆和造纸联合生产企业排放限值要求，其中</w:t>
      </w:r>
      <w:r>
        <w:rPr>
          <w:rFonts w:cs="Times New Roman"/>
          <w:color w:val="auto"/>
        </w:rPr>
        <w:t>COD</w:t>
      </w:r>
      <w:r>
        <w:rPr>
          <w:rFonts w:hint="eastAsia" w:cs="Times New Roman"/>
          <w:color w:val="auto"/>
        </w:rPr>
        <w:t>、氨氮按照《广西钦州林浆纸产业园发展规划（</w:t>
      </w:r>
      <w:r>
        <w:rPr>
          <w:rFonts w:cs="Times New Roman"/>
          <w:color w:val="auto"/>
        </w:rPr>
        <w:t>2024-2035</w:t>
      </w:r>
      <w:r>
        <w:rPr>
          <w:rFonts w:hint="eastAsia" w:cs="Times New Roman"/>
          <w:color w:val="auto"/>
        </w:rPr>
        <w:t>）环境影响报告书》审查意见中的浓度要求严格执行，</w:t>
      </w:r>
      <w:r>
        <w:rPr>
          <w:rFonts w:hint="eastAsia"/>
          <w:color w:val="auto"/>
        </w:rPr>
        <w:t>详见</w:t>
      </w:r>
      <w:r>
        <w:rPr>
          <w:rFonts w:hint="eastAsia" w:cs="Times New Roman"/>
          <w:color w:val="auto"/>
        </w:rPr>
        <w:t>下表</w:t>
      </w:r>
      <w:r>
        <w:rPr>
          <w:rFonts w:hint="eastAsia"/>
          <w:color w:val="auto"/>
        </w:rPr>
        <w:t>。</w:t>
      </w:r>
    </w:p>
    <w:p w14:paraId="4727DFAB">
      <w:pPr>
        <w:pStyle w:val="7"/>
        <w:rPr>
          <w:color w:val="auto"/>
        </w:rPr>
      </w:pPr>
      <w:r>
        <w:rPr>
          <w:rFonts w:hint="eastAsia"/>
          <w:color w:val="auto"/>
        </w:rPr>
        <w:t>水污染物排放标准</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2"/>
        <w:gridCol w:w="2274"/>
        <w:gridCol w:w="1137"/>
        <w:gridCol w:w="2274"/>
        <w:gridCol w:w="2833"/>
      </w:tblGrid>
      <w:tr w14:paraId="4E75C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031CC1D7">
            <w:pPr>
              <w:pStyle w:val="33"/>
              <w:rPr>
                <w:color w:val="auto"/>
              </w:rPr>
            </w:pPr>
            <w:r>
              <w:rPr>
                <w:rFonts w:hint="eastAsia"/>
                <w:color w:val="auto"/>
              </w:rPr>
              <w:t>序号</w:t>
            </w:r>
          </w:p>
        </w:tc>
        <w:tc>
          <w:tcPr>
            <w:tcW w:w="1252" w:type="pct"/>
            <w:vAlign w:val="center"/>
          </w:tcPr>
          <w:p w14:paraId="01451972">
            <w:pPr>
              <w:pStyle w:val="33"/>
              <w:rPr>
                <w:color w:val="auto"/>
              </w:rPr>
            </w:pPr>
            <w:r>
              <w:rPr>
                <w:color w:val="auto"/>
              </w:rPr>
              <w:t>项目</w:t>
            </w:r>
          </w:p>
        </w:tc>
        <w:tc>
          <w:tcPr>
            <w:tcW w:w="626" w:type="pct"/>
            <w:vAlign w:val="center"/>
          </w:tcPr>
          <w:p w14:paraId="52EDD0B4">
            <w:pPr>
              <w:pStyle w:val="33"/>
              <w:rPr>
                <w:color w:val="auto"/>
              </w:rPr>
            </w:pPr>
            <w:r>
              <w:rPr>
                <w:rFonts w:hint="eastAsia"/>
                <w:color w:val="auto"/>
              </w:rPr>
              <w:t>标准</w:t>
            </w:r>
          </w:p>
        </w:tc>
        <w:tc>
          <w:tcPr>
            <w:tcW w:w="1252" w:type="pct"/>
            <w:vAlign w:val="center"/>
          </w:tcPr>
          <w:p w14:paraId="086C7343">
            <w:pPr>
              <w:pStyle w:val="33"/>
              <w:rPr>
                <w:color w:val="auto"/>
              </w:rPr>
            </w:pPr>
            <w:r>
              <w:rPr>
                <w:rFonts w:hint="eastAsia"/>
                <w:color w:val="auto"/>
              </w:rPr>
              <w:t>污染物排放监控位置</w:t>
            </w:r>
          </w:p>
        </w:tc>
        <w:tc>
          <w:tcPr>
            <w:tcW w:w="1561" w:type="pct"/>
            <w:vAlign w:val="center"/>
          </w:tcPr>
          <w:p w14:paraId="438E8AF6">
            <w:pPr>
              <w:pStyle w:val="33"/>
              <w:rPr>
                <w:color w:val="auto"/>
              </w:rPr>
            </w:pPr>
            <w:r>
              <w:rPr>
                <w:rFonts w:hint="eastAsia"/>
                <w:color w:val="auto"/>
              </w:rPr>
              <w:t>执行标准/文件</w:t>
            </w:r>
          </w:p>
        </w:tc>
      </w:tr>
      <w:tr w14:paraId="4C22F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18460D02">
            <w:pPr>
              <w:pStyle w:val="33"/>
              <w:rPr>
                <w:color w:val="auto"/>
              </w:rPr>
            </w:pPr>
            <w:r>
              <w:rPr>
                <w:rFonts w:hint="eastAsia"/>
                <w:color w:val="auto"/>
              </w:rPr>
              <w:t>1</w:t>
            </w:r>
          </w:p>
        </w:tc>
        <w:tc>
          <w:tcPr>
            <w:tcW w:w="1252" w:type="pct"/>
            <w:vAlign w:val="center"/>
          </w:tcPr>
          <w:p w14:paraId="526DCC4F">
            <w:pPr>
              <w:pStyle w:val="33"/>
              <w:rPr>
                <w:color w:val="auto"/>
              </w:rPr>
            </w:pPr>
            <w:r>
              <w:rPr>
                <w:rFonts w:hint="eastAsia"/>
                <w:color w:val="auto"/>
              </w:rPr>
              <w:t>pH值</w:t>
            </w:r>
          </w:p>
        </w:tc>
        <w:tc>
          <w:tcPr>
            <w:tcW w:w="626" w:type="pct"/>
            <w:vAlign w:val="center"/>
          </w:tcPr>
          <w:p w14:paraId="5943D095">
            <w:pPr>
              <w:pStyle w:val="33"/>
              <w:rPr>
                <w:color w:val="auto"/>
              </w:rPr>
            </w:pPr>
            <w:r>
              <w:rPr>
                <w:rFonts w:hint="eastAsia"/>
                <w:color w:val="auto"/>
              </w:rPr>
              <w:t>6-9</w:t>
            </w:r>
          </w:p>
        </w:tc>
        <w:tc>
          <w:tcPr>
            <w:tcW w:w="1252" w:type="pct"/>
            <w:vAlign w:val="center"/>
          </w:tcPr>
          <w:p w14:paraId="19A5D4D3">
            <w:pPr>
              <w:pStyle w:val="33"/>
              <w:rPr>
                <w:color w:val="auto"/>
              </w:rPr>
            </w:pPr>
            <w:r>
              <w:rPr>
                <w:rFonts w:hint="eastAsia"/>
                <w:color w:val="auto"/>
              </w:rPr>
              <w:t>企业废水总排放口</w:t>
            </w:r>
          </w:p>
        </w:tc>
        <w:tc>
          <w:tcPr>
            <w:tcW w:w="1561" w:type="pct"/>
            <w:vMerge w:val="restart"/>
            <w:vAlign w:val="center"/>
          </w:tcPr>
          <w:p w14:paraId="09E25D53">
            <w:pPr>
              <w:pStyle w:val="33"/>
              <w:rPr>
                <w:color w:val="auto"/>
              </w:rPr>
            </w:pPr>
            <w:r>
              <w:rPr>
                <w:rFonts w:hint="eastAsia"/>
                <w:color w:val="auto"/>
              </w:rPr>
              <w:t>《制浆造纸工业水污染物排放标准》（G</w:t>
            </w:r>
            <w:r>
              <w:rPr>
                <w:color w:val="auto"/>
              </w:rPr>
              <w:t>B3544-2008</w:t>
            </w:r>
            <w:r>
              <w:rPr>
                <w:rFonts w:hint="eastAsia"/>
                <w:color w:val="auto"/>
              </w:rPr>
              <w:t>）表2新建制浆和造纸联合生产企业水污染物排放浓度限值</w:t>
            </w:r>
          </w:p>
        </w:tc>
      </w:tr>
      <w:tr w14:paraId="01764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74273F49">
            <w:pPr>
              <w:pStyle w:val="33"/>
              <w:rPr>
                <w:color w:val="auto"/>
              </w:rPr>
            </w:pPr>
            <w:r>
              <w:rPr>
                <w:rFonts w:hint="eastAsia"/>
                <w:color w:val="auto"/>
              </w:rPr>
              <w:t>2</w:t>
            </w:r>
          </w:p>
        </w:tc>
        <w:tc>
          <w:tcPr>
            <w:tcW w:w="1252" w:type="pct"/>
            <w:vAlign w:val="center"/>
          </w:tcPr>
          <w:p w14:paraId="20B3C5B6">
            <w:pPr>
              <w:pStyle w:val="33"/>
              <w:rPr>
                <w:color w:val="auto"/>
              </w:rPr>
            </w:pPr>
            <w:r>
              <w:rPr>
                <w:rFonts w:hint="eastAsia"/>
                <w:color w:val="auto"/>
              </w:rPr>
              <w:t>色度（稀释倍数）</w:t>
            </w:r>
          </w:p>
        </w:tc>
        <w:tc>
          <w:tcPr>
            <w:tcW w:w="626" w:type="pct"/>
            <w:vAlign w:val="center"/>
          </w:tcPr>
          <w:p w14:paraId="2BB4AA10">
            <w:pPr>
              <w:pStyle w:val="33"/>
              <w:rPr>
                <w:color w:val="auto"/>
              </w:rPr>
            </w:pPr>
            <w:r>
              <w:rPr>
                <w:rFonts w:hint="eastAsia"/>
                <w:color w:val="auto"/>
              </w:rPr>
              <w:t>50</w:t>
            </w:r>
          </w:p>
        </w:tc>
        <w:tc>
          <w:tcPr>
            <w:tcW w:w="1252" w:type="pct"/>
            <w:vAlign w:val="center"/>
          </w:tcPr>
          <w:p w14:paraId="4CED0493">
            <w:pPr>
              <w:pStyle w:val="33"/>
              <w:rPr>
                <w:color w:val="auto"/>
              </w:rPr>
            </w:pPr>
            <w:r>
              <w:rPr>
                <w:rFonts w:hint="eastAsia"/>
                <w:color w:val="auto"/>
              </w:rPr>
              <w:t>企业废水总排放口</w:t>
            </w:r>
          </w:p>
        </w:tc>
        <w:tc>
          <w:tcPr>
            <w:tcW w:w="1561" w:type="pct"/>
            <w:vMerge w:val="continue"/>
            <w:vAlign w:val="center"/>
          </w:tcPr>
          <w:p w14:paraId="3BD5504C">
            <w:pPr>
              <w:pStyle w:val="33"/>
              <w:rPr>
                <w:color w:val="auto"/>
              </w:rPr>
            </w:pPr>
          </w:p>
        </w:tc>
      </w:tr>
      <w:tr w14:paraId="2A5F6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315DF3C5">
            <w:pPr>
              <w:pStyle w:val="33"/>
              <w:rPr>
                <w:color w:val="auto"/>
              </w:rPr>
            </w:pPr>
            <w:r>
              <w:rPr>
                <w:rFonts w:hint="eastAsia"/>
                <w:color w:val="auto"/>
              </w:rPr>
              <w:t>3</w:t>
            </w:r>
          </w:p>
        </w:tc>
        <w:tc>
          <w:tcPr>
            <w:tcW w:w="1252" w:type="pct"/>
            <w:vAlign w:val="center"/>
          </w:tcPr>
          <w:p w14:paraId="7C5DA86D">
            <w:pPr>
              <w:pStyle w:val="33"/>
              <w:rPr>
                <w:color w:val="auto"/>
              </w:rPr>
            </w:pPr>
            <w:r>
              <w:rPr>
                <w:rFonts w:hint="eastAsia"/>
                <w:color w:val="auto"/>
              </w:rPr>
              <w:t>悬浮物（mg/L）</w:t>
            </w:r>
          </w:p>
        </w:tc>
        <w:tc>
          <w:tcPr>
            <w:tcW w:w="626" w:type="pct"/>
            <w:vAlign w:val="center"/>
          </w:tcPr>
          <w:p w14:paraId="30135D77">
            <w:pPr>
              <w:pStyle w:val="33"/>
              <w:rPr>
                <w:color w:val="auto"/>
              </w:rPr>
            </w:pPr>
            <w:r>
              <w:rPr>
                <w:rFonts w:hint="eastAsia"/>
                <w:color w:val="auto"/>
              </w:rPr>
              <w:t>30</w:t>
            </w:r>
          </w:p>
        </w:tc>
        <w:tc>
          <w:tcPr>
            <w:tcW w:w="1252" w:type="pct"/>
            <w:vAlign w:val="center"/>
          </w:tcPr>
          <w:p w14:paraId="71F563D6">
            <w:pPr>
              <w:pStyle w:val="33"/>
              <w:rPr>
                <w:color w:val="auto"/>
              </w:rPr>
            </w:pPr>
            <w:r>
              <w:rPr>
                <w:rFonts w:hint="eastAsia"/>
                <w:color w:val="auto"/>
              </w:rPr>
              <w:t>企业废水总排放口</w:t>
            </w:r>
          </w:p>
        </w:tc>
        <w:tc>
          <w:tcPr>
            <w:tcW w:w="1561" w:type="pct"/>
            <w:vMerge w:val="continue"/>
            <w:vAlign w:val="center"/>
          </w:tcPr>
          <w:p w14:paraId="6E03FF20">
            <w:pPr>
              <w:pStyle w:val="33"/>
              <w:rPr>
                <w:color w:val="auto"/>
              </w:rPr>
            </w:pPr>
          </w:p>
        </w:tc>
      </w:tr>
      <w:tr w14:paraId="39685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2A200D48">
            <w:pPr>
              <w:pStyle w:val="33"/>
              <w:rPr>
                <w:color w:val="auto"/>
              </w:rPr>
            </w:pPr>
            <w:r>
              <w:rPr>
                <w:rFonts w:hint="eastAsia"/>
                <w:color w:val="auto"/>
              </w:rPr>
              <w:t>4</w:t>
            </w:r>
          </w:p>
        </w:tc>
        <w:tc>
          <w:tcPr>
            <w:tcW w:w="1252" w:type="pct"/>
            <w:vAlign w:val="center"/>
          </w:tcPr>
          <w:p w14:paraId="2AAA4DA3">
            <w:pPr>
              <w:pStyle w:val="33"/>
              <w:rPr>
                <w:color w:val="auto"/>
              </w:rPr>
            </w:pPr>
            <w:r>
              <w:rPr>
                <w:rFonts w:hint="eastAsia"/>
                <w:color w:val="auto"/>
              </w:rPr>
              <w:t>BOD</w:t>
            </w:r>
            <w:r>
              <w:rPr>
                <w:rFonts w:hint="eastAsia"/>
                <w:color w:val="auto"/>
                <w:vertAlign w:val="subscript"/>
              </w:rPr>
              <w:t>5</w:t>
            </w:r>
            <w:r>
              <w:rPr>
                <w:rFonts w:hint="eastAsia"/>
                <w:color w:val="auto"/>
              </w:rPr>
              <w:t>（mg/L）</w:t>
            </w:r>
          </w:p>
        </w:tc>
        <w:tc>
          <w:tcPr>
            <w:tcW w:w="626" w:type="pct"/>
            <w:vAlign w:val="center"/>
          </w:tcPr>
          <w:p w14:paraId="62712ED2">
            <w:pPr>
              <w:pStyle w:val="33"/>
              <w:rPr>
                <w:color w:val="auto"/>
              </w:rPr>
            </w:pPr>
            <w:r>
              <w:rPr>
                <w:rFonts w:hint="eastAsia"/>
                <w:color w:val="auto"/>
              </w:rPr>
              <w:t>20</w:t>
            </w:r>
          </w:p>
        </w:tc>
        <w:tc>
          <w:tcPr>
            <w:tcW w:w="1252" w:type="pct"/>
            <w:vAlign w:val="center"/>
          </w:tcPr>
          <w:p w14:paraId="2B1E0881">
            <w:pPr>
              <w:pStyle w:val="33"/>
              <w:rPr>
                <w:color w:val="auto"/>
              </w:rPr>
            </w:pPr>
            <w:r>
              <w:rPr>
                <w:rFonts w:hint="eastAsia"/>
                <w:color w:val="auto"/>
              </w:rPr>
              <w:t>企业废水总排放口</w:t>
            </w:r>
          </w:p>
        </w:tc>
        <w:tc>
          <w:tcPr>
            <w:tcW w:w="1561" w:type="pct"/>
            <w:vMerge w:val="continue"/>
            <w:vAlign w:val="center"/>
          </w:tcPr>
          <w:p w14:paraId="3A390B04">
            <w:pPr>
              <w:pStyle w:val="33"/>
              <w:rPr>
                <w:color w:val="auto"/>
              </w:rPr>
            </w:pPr>
          </w:p>
        </w:tc>
      </w:tr>
      <w:tr w14:paraId="2F133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73CDBD41">
            <w:pPr>
              <w:pStyle w:val="33"/>
              <w:rPr>
                <w:color w:val="auto"/>
              </w:rPr>
            </w:pPr>
            <w:r>
              <w:rPr>
                <w:rFonts w:hint="eastAsia"/>
                <w:color w:val="auto"/>
              </w:rPr>
              <w:t>5</w:t>
            </w:r>
          </w:p>
        </w:tc>
        <w:tc>
          <w:tcPr>
            <w:tcW w:w="1252" w:type="pct"/>
            <w:vAlign w:val="center"/>
          </w:tcPr>
          <w:p w14:paraId="36E26D7C">
            <w:pPr>
              <w:pStyle w:val="33"/>
              <w:rPr>
                <w:color w:val="auto"/>
              </w:rPr>
            </w:pPr>
            <w:r>
              <w:rPr>
                <w:rFonts w:hint="eastAsia"/>
                <w:color w:val="auto"/>
              </w:rPr>
              <w:t>总氮（mg/L）</w:t>
            </w:r>
          </w:p>
        </w:tc>
        <w:tc>
          <w:tcPr>
            <w:tcW w:w="626" w:type="pct"/>
            <w:vAlign w:val="center"/>
          </w:tcPr>
          <w:p w14:paraId="278F0617">
            <w:pPr>
              <w:pStyle w:val="33"/>
              <w:rPr>
                <w:color w:val="auto"/>
              </w:rPr>
            </w:pPr>
            <w:r>
              <w:rPr>
                <w:rFonts w:hint="eastAsia"/>
                <w:color w:val="auto"/>
              </w:rPr>
              <w:t>12</w:t>
            </w:r>
          </w:p>
        </w:tc>
        <w:tc>
          <w:tcPr>
            <w:tcW w:w="1252" w:type="pct"/>
            <w:vAlign w:val="center"/>
          </w:tcPr>
          <w:p w14:paraId="34E9643E">
            <w:pPr>
              <w:pStyle w:val="33"/>
              <w:rPr>
                <w:color w:val="auto"/>
              </w:rPr>
            </w:pPr>
            <w:r>
              <w:rPr>
                <w:rFonts w:hint="eastAsia"/>
                <w:color w:val="auto"/>
              </w:rPr>
              <w:t>企业废水总排放口</w:t>
            </w:r>
          </w:p>
        </w:tc>
        <w:tc>
          <w:tcPr>
            <w:tcW w:w="1561" w:type="pct"/>
            <w:vMerge w:val="continue"/>
            <w:vAlign w:val="center"/>
          </w:tcPr>
          <w:p w14:paraId="78B767BA">
            <w:pPr>
              <w:pStyle w:val="33"/>
              <w:rPr>
                <w:color w:val="auto"/>
              </w:rPr>
            </w:pPr>
          </w:p>
        </w:tc>
      </w:tr>
      <w:tr w14:paraId="5B09C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0F11E32B">
            <w:pPr>
              <w:pStyle w:val="33"/>
              <w:rPr>
                <w:color w:val="auto"/>
              </w:rPr>
            </w:pPr>
            <w:r>
              <w:rPr>
                <w:rFonts w:hint="eastAsia"/>
                <w:color w:val="auto"/>
              </w:rPr>
              <w:t>6</w:t>
            </w:r>
          </w:p>
        </w:tc>
        <w:tc>
          <w:tcPr>
            <w:tcW w:w="1252" w:type="pct"/>
            <w:vAlign w:val="center"/>
          </w:tcPr>
          <w:p w14:paraId="3C44B067">
            <w:pPr>
              <w:pStyle w:val="33"/>
              <w:rPr>
                <w:color w:val="auto"/>
              </w:rPr>
            </w:pPr>
            <w:r>
              <w:rPr>
                <w:rFonts w:hint="eastAsia"/>
                <w:color w:val="auto"/>
              </w:rPr>
              <w:t>总磷（mg/L）</w:t>
            </w:r>
          </w:p>
        </w:tc>
        <w:tc>
          <w:tcPr>
            <w:tcW w:w="626" w:type="pct"/>
            <w:vAlign w:val="center"/>
          </w:tcPr>
          <w:p w14:paraId="323039B5">
            <w:pPr>
              <w:pStyle w:val="33"/>
              <w:rPr>
                <w:color w:val="auto"/>
              </w:rPr>
            </w:pPr>
            <w:r>
              <w:rPr>
                <w:rFonts w:hint="eastAsia"/>
                <w:color w:val="auto"/>
              </w:rPr>
              <w:t>0.8</w:t>
            </w:r>
          </w:p>
        </w:tc>
        <w:tc>
          <w:tcPr>
            <w:tcW w:w="1252" w:type="pct"/>
            <w:vAlign w:val="center"/>
          </w:tcPr>
          <w:p w14:paraId="7F22A9DE">
            <w:pPr>
              <w:pStyle w:val="33"/>
              <w:rPr>
                <w:color w:val="auto"/>
              </w:rPr>
            </w:pPr>
            <w:r>
              <w:rPr>
                <w:rFonts w:hint="eastAsia"/>
                <w:color w:val="auto"/>
              </w:rPr>
              <w:t>企业废水总排放口</w:t>
            </w:r>
          </w:p>
        </w:tc>
        <w:tc>
          <w:tcPr>
            <w:tcW w:w="1561" w:type="pct"/>
            <w:vMerge w:val="continue"/>
            <w:vAlign w:val="center"/>
          </w:tcPr>
          <w:p w14:paraId="6FDBB709">
            <w:pPr>
              <w:pStyle w:val="33"/>
              <w:rPr>
                <w:color w:val="auto"/>
              </w:rPr>
            </w:pPr>
          </w:p>
        </w:tc>
      </w:tr>
      <w:tr w14:paraId="05A14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21C487BE">
            <w:pPr>
              <w:pStyle w:val="33"/>
              <w:rPr>
                <w:color w:val="auto"/>
              </w:rPr>
            </w:pPr>
            <w:r>
              <w:rPr>
                <w:rFonts w:hint="eastAsia"/>
                <w:color w:val="auto"/>
              </w:rPr>
              <w:t>7</w:t>
            </w:r>
          </w:p>
        </w:tc>
        <w:tc>
          <w:tcPr>
            <w:tcW w:w="1252" w:type="pct"/>
            <w:vAlign w:val="center"/>
          </w:tcPr>
          <w:p w14:paraId="0B984A4F">
            <w:pPr>
              <w:pStyle w:val="33"/>
              <w:rPr>
                <w:color w:val="auto"/>
              </w:rPr>
            </w:pPr>
            <w:r>
              <w:rPr>
                <w:rFonts w:hint="eastAsia"/>
                <w:color w:val="auto"/>
              </w:rPr>
              <w:t>单位产品基准排水量，吨/吨（浆）</w:t>
            </w:r>
          </w:p>
        </w:tc>
        <w:tc>
          <w:tcPr>
            <w:tcW w:w="626" w:type="pct"/>
            <w:vAlign w:val="center"/>
          </w:tcPr>
          <w:p w14:paraId="6C677AB5">
            <w:pPr>
              <w:pStyle w:val="33"/>
              <w:rPr>
                <w:color w:val="auto"/>
              </w:rPr>
            </w:pPr>
            <w:r>
              <w:rPr>
                <w:rFonts w:hint="eastAsia"/>
                <w:color w:val="auto"/>
              </w:rPr>
              <w:t>40</w:t>
            </w:r>
          </w:p>
        </w:tc>
        <w:tc>
          <w:tcPr>
            <w:tcW w:w="1252" w:type="pct"/>
            <w:vAlign w:val="center"/>
          </w:tcPr>
          <w:p w14:paraId="58DB72EE">
            <w:pPr>
              <w:pStyle w:val="33"/>
              <w:rPr>
                <w:color w:val="auto"/>
              </w:rPr>
            </w:pPr>
            <w:r>
              <w:rPr>
                <w:rFonts w:hint="eastAsia"/>
                <w:color w:val="auto"/>
              </w:rPr>
              <w:t>排水量计量位置与污染物排放监控位置一致</w:t>
            </w:r>
          </w:p>
        </w:tc>
        <w:tc>
          <w:tcPr>
            <w:tcW w:w="1561" w:type="pct"/>
            <w:vMerge w:val="continue"/>
            <w:vAlign w:val="center"/>
          </w:tcPr>
          <w:p w14:paraId="75D4F3FE">
            <w:pPr>
              <w:pStyle w:val="33"/>
              <w:rPr>
                <w:color w:val="auto"/>
              </w:rPr>
            </w:pPr>
          </w:p>
        </w:tc>
      </w:tr>
      <w:tr w14:paraId="7D2EA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1" w:hRule="atLeast"/>
          <w:jc w:val="center"/>
        </w:trPr>
        <w:tc>
          <w:tcPr>
            <w:tcW w:w="310" w:type="pct"/>
            <w:vAlign w:val="center"/>
          </w:tcPr>
          <w:p w14:paraId="174CF02D">
            <w:pPr>
              <w:pStyle w:val="33"/>
              <w:rPr>
                <w:color w:val="auto"/>
              </w:rPr>
            </w:pPr>
            <w:r>
              <w:rPr>
                <w:rFonts w:hint="eastAsia"/>
                <w:color w:val="auto"/>
              </w:rPr>
              <w:t>8</w:t>
            </w:r>
          </w:p>
        </w:tc>
        <w:tc>
          <w:tcPr>
            <w:tcW w:w="1252" w:type="pct"/>
            <w:vAlign w:val="center"/>
          </w:tcPr>
          <w:p w14:paraId="7DA69A41">
            <w:pPr>
              <w:pStyle w:val="33"/>
              <w:rPr>
                <w:color w:val="auto"/>
              </w:rPr>
            </w:pPr>
            <w:r>
              <w:rPr>
                <w:color w:val="auto"/>
              </w:rPr>
              <w:t>COD</w:t>
            </w:r>
            <w:r>
              <w:rPr>
                <w:color w:val="auto"/>
                <w:vertAlign w:val="subscript"/>
              </w:rPr>
              <w:t>Cr</w:t>
            </w:r>
            <w:r>
              <w:rPr>
                <w:rFonts w:hint="eastAsia"/>
                <w:color w:val="auto"/>
              </w:rPr>
              <w:t>（</w:t>
            </w:r>
            <w:r>
              <w:rPr>
                <w:color w:val="auto"/>
              </w:rPr>
              <w:t>mg/L</w:t>
            </w:r>
            <w:r>
              <w:rPr>
                <w:rFonts w:hint="eastAsia"/>
                <w:color w:val="auto"/>
              </w:rPr>
              <w:t>）</w:t>
            </w:r>
          </w:p>
        </w:tc>
        <w:tc>
          <w:tcPr>
            <w:tcW w:w="626" w:type="pct"/>
            <w:vAlign w:val="center"/>
          </w:tcPr>
          <w:p w14:paraId="7B789A62">
            <w:pPr>
              <w:pStyle w:val="33"/>
              <w:rPr>
                <w:color w:val="auto"/>
              </w:rPr>
            </w:pPr>
            <w:r>
              <w:rPr>
                <w:color w:val="auto"/>
              </w:rPr>
              <w:t>65</w:t>
            </w:r>
          </w:p>
        </w:tc>
        <w:tc>
          <w:tcPr>
            <w:tcW w:w="1252" w:type="pct"/>
            <w:vAlign w:val="center"/>
          </w:tcPr>
          <w:p w14:paraId="5CC79BA9">
            <w:pPr>
              <w:pStyle w:val="33"/>
              <w:rPr>
                <w:color w:val="auto"/>
              </w:rPr>
            </w:pPr>
            <w:r>
              <w:rPr>
                <w:rFonts w:hint="eastAsia"/>
                <w:color w:val="auto"/>
              </w:rPr>
              <w:t>企业废水总排放口</w:t>
            </w:r>
          </w:p>
        </w:tc>
        <w:tc>
          <w:tcPr>
            <w:tcW w:w="1561" w:type="pct"/>
            <w:vMerge w:val="restart"/>
            <w:vAlign w:val="center"/>
          </w:tcPr>
          <w:p w14:paraId="70AB782F">
            <w:pPr>
              <w:pStyle w:val="33"/>
              <w:rPr>
                <w:color w:val="auto"/>
              </w:rPr>
            </w:pPr>
            <w:r>
              <w:rPr>
                <w:rFonts w:hint="eastAsia"/>
                <w:color w:val="auto"/>
              </w:rPr>
              <w:t>《广西钦州林浆纸产业园发展规划（</w:t>
            </w:r>
            <w:r>
              <w:rPr>
                <w:color w:val="auto"/>
              </w:rPr>
              <w:t>2024-2035</w:t>
            </w:r>
            <w:r>
              <w:rPr>
                <w:rFonts w:hint="eastAsia"/>
                <w:color w:val="auto"/>
              </w:rPr>
              <w:t>）环境影响报告书》审查意见</w:t>
            </w:r>
          </w:p>
        </w:tc>
      </w:tr>
      <w:tr w14:paraId="07021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310" w:type="pct"/>
            <w:vAlign w:val="center"/>
          </w:tcPr>
          <w:p w14:paraId="011B0DE4">
            <w:pPr>
              <w:pStyle w:val="33"/>
              <w:rPr>
                <w:color w:val="auto"/>
              </w:rPr>
            </w:pPr>
            <w:r>
              <w:rPr>
                <w:rFonts w:hint="eastAsia"/>
                <w:color w:val="auto"/>
              </w:rPr>
              <w:t>9</w:t>
            </w:r>
          </w:p>
        </w:tc>
        <w:tc>
          <w:tcPr>
            <w:tcW w:w="1252" w:type="pct"/>
            <w:vAlign w:val="center"/>
          </w:tcPr>
          <w:p w14:paraId="05F09DE7">
            <w:pPr>
              <w:pStyle w:val="33"/>
              <w:rPr>
                <w:color w:val="auto"/>
              </w:rPr>
            </w:pPr>
            <w:r>
              <w:rPr>
                <w:rFonts w:hint="eastAsia"/>
                <w:color w:val="auto"/>
              </w:rPr>
              <w:t>氨氮（</w:t>
            </w:r>
            <w:r>
              <w:rPr>
                <w:color w:val="auto"/>
              </w:rPr>
              <w:t>mg/L</w:t>
            </w:r>
            <w:r>
              <w:rPr>
                <w:rFonts w:hint="eastAsia"/>
                <w:color w:val="auto"/>
              </w:rPr>
              <w:t>）</w:t>
            </w:r>
          </w:p>
        </w:tc>
        <w:tc>
          <w:tcPr>
            <w:tcW w:w="626" w:type="pct"/>
            <w:vAlign w:val="center"/>
          </w:tcPr>
          <w:p w14:paraId="7AE651A0">
            <w:pPr>
              <w:pStyle w:val="33"/>
              <w:rPr>
                <w:color w:val="auto"/>
              </w:rPr>
            </w:pPr>
            <w:r>
              <w:rPr>
                <w:color w:val="auto"/>
              </w:rPr>
              <w:t>5</w:t>
            </w:r>
          </w:p>
        </w:tc>
        <w:tc>
          <w:tcPr>
            <w:tcW w:w="1252" w:type="pct"/>
            <w:vAlign w:val="center"/>
          </w:tcPr>
          <w:p w14:paraId="70D660FD">
            <w:pPr>
              <w:pStyle w:val="33"/>
              <w:rPr>
                <w:color w:val="auto"/>
              </w:rPr>
            </w:pPr>
            <w:r>
              <w:rPr>
                <w:rFonts w:hint="eastAsia"/>
                <w:color w:val="auto"/>
              </w:rPr>
              <w:t>企业废水总排放口</w:t>
            </w:r>
          </w:p>
        </w:tc>
        <w:tc>
          <w:tcPr>
            <w:tcW w:w="1561" w:type="pct"/>
            <w:vMerge w:val="continue"/>
            <w:vAlign w:val="center"/>
          </w:tcPr>
          <w:p w14:paraId="6B53C038">
            <w:pPr>
              <w:pStyle w:val="33"/>
              <w:rPr>
                <w:color w:val="auto"/>
              </w:rPr>
            </w:pPr>
          </w:p>
        </w:tc>
      </w:tr>
      <w:tr w14:paraId="06D1A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9" w:hRule="atLeast"/>
          <w:jc w:val="center"/>
        </w:trPr>
        <w:tc>
          <w:tcPr>
            <w:tcW w:w="5000" w:type="pct"/>
            <w:gridSpan w:val="5"/>
            <w:vAlign w:val="center"/>
          </w:tcPr>
          <w:p w14:paraId="772CED05">
            <w:pPr>
              <w:pStyle w:val="33"/>
              <w:jc w:val="left"/>
              <w:rPr>
                <w:color w:val="auto"/>
              </w:rPr>
            </w:pPr>
            <w:r>
              <w:rPr>
                <w:rFonts w:hint="eastAsia"/>
                <w:color w:val="auto"/>
              </w:rPr>
              <w:t>注：</w:t>
            </w:r>
            <w:r>
              <w:rPr>
                <w:color w:val="auto"/>
              </w:rPr>
              <w:t>1</w:t>
            </w:r>
            <w:r>
              <w:rPr>
                <w:rFonts w:hint="eastAsia"/>
                <w:color w:val="auto"/>
              </w:rPr>
              <w:t>、纸浆量以绝干浆计。</w:t>
            </w:r>
          </w:p>
          <w:p w14:paraId="118DC52A">
            <w:pPr>
              <w:pStyle w:val="33"/>
              <w:jc w:val="left"/>
              <w:rPr>
                <w:color w:val="auto"/>
              </w:rPr>
            </w:pPr>
            <w:r>
              <w:rPr>
                <w:rFonts w:hint="eastAsia"/>
                <w:color w:val="auto"/>
              </w:rPr>
              <w:t xml:space="preserve">    2、核定制浆和造纸联合生产企业单位产品实际排水量，以企业纸浆产量与外购商品浆数量的总和为依据。</w:t>
            </w:r>
          </w:p>
        </w:tc>
      </w:tr>
    </w:tbl>
    <w:p w14:paraId="475781D6">
      <w:pPr>
        <w:ind w:firstLine="480"/>
        <w:rPr>
          <w:color w:val="auto"/>
        </w:rPr>
      </w:pPr>
    </w:p>
    <w:p w14:paraId="58F703F2">
      <w:pPr>
        <w:ind w:firstLine="480"/>
        <w:rPr>
          <w:color w:val="auto"/>
        </w:rPr>
      </w:pPr>
      <w:r>
        <w:rPr>
          <w:rFonts w:hint="eastAsia"/>
          <w:color w:val="auto"/>
        </w:rPr>
        <w:t>本次新建污水处理站处理后的生产废水，部分经新建的中水回用系统处理后达标后，用于冷却塔补水。回用冷却塔补水参照《城市污水再生利用 工业用水水质》（</w:t>
      </w:r>
      <w:r>
        <w:rPr>
          <w:color w:val="auto"/>
        </w:rPr>
        <w:t>GB/T 19923—2024</w:t>
      </w:r>
      <w:r>
        <w:rPr>
          <w:rFonts w:hint="eastAsia"/>
          <w:color w:val="auto"/>
        </w:rPr>
        <w:t>）表1中的控制限值。</w:t>
      </w:r>
    </w:p>
    <w:p w14:paraId="4B3EBB15">
      <w:pPr>
        <w:pStyle w:val="7"/>
        <w:rPr>
          <w:color w:val="auto"/>
        </w:rPr>
      </w:pPr>
      <w:r>
        <w:rPr>
          <w:rFonts w:hint="eastAsia"/>
          <w:color w:val="auto"/>
        </w:rPr>
        <w:t>再生水用作工业用水水质基本控制项目及限值</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402"/>
        <w:gridCol w:w="4961"/>
      </w:tblGrid>
      <w:tr w14:paraId="69AFC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E4BDE3A">
            <w:pPr>
              <w:pStyle w:val="33"/>
              <w:rPr>
                <w:color w:val="auto"/>
              </w:rPr>
            </w:pPr>
            <w:r>
              <w:rPr>
                <w:rFonts w:hint="eastAsia"/>
                <w:color w:val="auto"/>
              </w:rPr>
              <w:t>序号</w:t>
            </w:r>
          </w:p>
        </w:tc>
        <w:tc>
          <w:tcPr>
            <w:tcW w:w="3402" w:type="dxa"/>
            <w:vAlign w:val="center"/>
          </w:tcPr>
          <w:p w14:paraId="0F991EA1">
            <w:pPr>
              <w:pStyle w:val="33"/>
              <w:rPr>
                <w:color w:val="auto"/>
              </w:rPr>
            </w:pPr>
            <w:r>
              <w:rPr>
                <w:rFonts w:hint="eastAsia"/>
                <w:color w:val="auto"/>
              </w:rPr>
              <w:t>控制项目</w:t>
            </w:r>
          </w:p>
        </w:tc>
        <w:tc>
          <w:tcPr>
            <w:tcW w:w="4961" w:type="dxa"/>
            <w:vAlign w:val="center"/>
          </w:tcPr>
          <w:p w14:paraId="0038CBE0">
            <w:pPr>
              <w:pStyle w:val="33"/>
              <w:rPr>
                <w:color w:val="auto"/>
              </w:rPr>
            </w:pPr>
            <w:r>
              <w:rPr>
                <w:rFonts w:hint="eastAsia"/>
                <w:color w:val="auto"/>
              </w:rPr>
              <w:t>间冷开式循环冷却水补充水、锅炉补给水、工艺用水、产品用水</w:t>
            </w:r>
          </w:p>
        </w:tc>
      </w:tr>
      <w:tr w14:paraId="68B58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2B6725D6">
            <w:pPr>
              <w:pStyle w:val="33"/>
              <w:rPr>
                <w:color w:val="auto"/>
              </w:rPr>
            </w:pPr>
            <w:r>
              <w:rPr>
                <w:rFonts w:hint="eastAsia"/>
                <w:color w:val="auto"/>
              </w:rPr>
              <w:t>1</w:t>
            </w:r>
          </w:p>
        </w:tc>
        <w:tc>
          <w:tcPr>
            <w:tcW w:w="3402" w:type="dxa"/>
            <w:vAlign w:val="center"/>
          </w:tcPr>
          <w:p w14:paraId="2F2340DC">
            <w:pPr>
              <w:pStyle w:val="33"/>
              <w:rPr>
                <w:color w:val="auto"/>
              </w:rPr>
            </w:pPr>
            <w:r>
              <w:rPr>
                <w:rFonts w:hint="eastAsia"/>
                <w:color w:val="auto"/>
              </w:rPr>
              <w:t>pH(无量纲)</w:t>
            </w:r>
          </w:p>
        </w:tc>
        <w:tc>
          <w:tcPr>
            <w:tcW w:w="4961" w:type="dxa"/>
            <w:vAlign w:val="center"/>
          </w:tcPr>
          <w:p w14:paraId="767C01A6">
            <w:pPr>
              <w:pStyle w:val="33"/>
              <w:rPr>
                <w:color w:val="auto"/>
              </w:rPr>
            </w:pPr>
            <w:r>
              <w:rPr>
                <w:color w:val="auto"/>
              </w:rPr>
              <w:t>6.0~9.</w:t>
            </w:r>
            <w:r>
              <w:rPr>
                <w:rFonts w:hint="eastAsia"/>
                <w:color w:val="auto"/>
              </w:rPr>
              <w:t>0</w:t>
            </w:r>
          </w:p>
        </w:tc>
      </w:tr>
      <w:tr w14:paraId="304EA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E259A42">
            <w:pPr>
              <w:pStyle w:val="33"/>
              <w:rPr>
                <w:color w:val="auto"/>
              </w:rPr>
            </w:pPr>
            <w:r>
              <w:rPr>
                <w:rFonts w:hint="eastAsia"/>
                <w:color w:val="auto"/>
              </w:rPr>
              <w:t>2</w:t>
            </w:r>
          </w:p>
        </w:tc>
        <w:tc>
          <w:tcPr>
            <w:tcW w:w="3402" w:type="dxa"/>
            <w:vAlign w:val="center"/>
          </w:tcPr>
          <w:p w14:paraId="439BB0F1">
            <w:pPr>
              <w:pStyle w:val="33"/>
              <w:rPr>
                <w:color w:val="auto"/>
              </w:rPr>
            </w:pPr>
            <w:r>
              <w:rPr>
                <w:rFonts w:hint="eastAsia"/>
                <w:color w:val="auto"/>
              </w:rPr>
              <w:t>色度/度</w:t>
            </w:r>
          </w:p>
        </w:tc>
        <w:tc>
          <w:tcPr>
            <w:tcW w:w="4961" w:type="dxa"/>
            <w:vAlign w:val="center"/>
          </w:tcPr>
          <w:p w14:paraId="46DFD4A8">
            <w:pPr>
              <w:pStyle w:val="33"/>
              <w:rPr>
                <w:color w:val="auto"/>
              </w:rPr>
            </w:pPr>
            <w:r>
              <w:rPr>
                <w:rFonts w:hint="eastAsia"/>
                <w:color w:val="auto"/>
              </w:rPr>
              <w:t>20</w:t>
            </w:r>
          </w:p>
        </w:tc>
      </w:tr>
      <w:tr w14:paraId="5B55C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4" w:type="dxa"/>
            <w:vAlign w:val="center"/>
          </w:tcPr>
          <w:p w14:paraId="11FF3C96">
            <w:pPr>
              <w:pStyle w:val="33"/>
              <w:rPr>
                <w:color w:val="auto"/>
              </w:rPr>
            </w:pPr>
            <w:r>
              <w:rPr>
                <w:rFonts w:hint="eastAsia"/>
                <w:color w:val="auto"/>
              </w:rPr>
              <w:t>3</w:t>
            </w:r>
          </w:p>
        </w:tc>
        <w:tc>
          <w:tcPr>
            <w:tcW w:w="3402" w:type="dxa"/>
            <w:vAlign w:val="center"/>
          </w:tcPr>
          <w:p w14:paraId="07C4006A">
            <w:pPr>
              <w:pStyle w:val="33"/>
              <w:rPr>
                <w:color w:val="auto"/>
              </w:rPr>
            </w:pPr>
            <w:r>
              <w:rPr>
                <w:rFonts w:hint="eastAsia"/>
                <w:color w:val="auto"/>
              </w:rPr>
              <w:t>浊度/NTU</w:t>
            </w:r>
          </w:p>
        </w:tc>
        <w:tc>
          <w:tcPr>
            <w:tcW w:w="4961" w:type="dxa"/>
            <w:vAlign w:val="center"/>
          </w:tcPr>
          <w:p w14:paraId="0550A5A6">
            <w:pPr>
              <w:pStyle w:val="33"/>
              <w:rPr>
                <w:color w:val="auto"/>
              </w:rPr>
            </w:pPr>
            <w:r>
              <w:rPr>
                <w:rFonts w:hint="eastAsia"/>
                <w:color w:val="auto"/>
              </w:rPr>
              <w:t>5</w:t>
            </w:r>
          </w:p>
        </w:tc>
      </w:tr>
      <w:tr w14:paraId="25E1B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6A85E66A">
            <w:pPr>
              <w:pStyle w:val="33"/>
              <w:rPr>
                <w:color w:val="auto"/>
              </w:rPr>
            </w:pPr>
            <w:r>
              <w:rPr>
                <w:rFonts w:hint="eastAsia"/>
                <w:color w:val="auto"/>
              </w:rPr>
              <w:t>4</w:t>
            </w:r>
          </w:p>
        </w:tc>
        <w:tc>
          <w:tcPr>
            <w:tcW w:w="3402" w:type="dxa"/>
            <w:vAlign w:val="center"/>
          </w:tcPr>
          <w:p w14:paraId="2DE56672">
            <w:pPr>
              <w:pStyle w:val="33"/>
              <w:rPr>
                <w:color w:val="auto"/>
              </w:rPr>
            </w:pPr>
            <w:r>
              <w:rPr>
                <w:rFonts w:hint="eastAsia"/>
                <w:color w:val="auto"/>
              </w:rPr>
              <w:t>五日生化需氧量(BOD</w:t>
            </w:r>
            <w:r>
              <w:rPr>
                <w:rFonts w:hint="eastAsia"/>
                <w:color w:val="auto"/>
                <w:vertAlign w:val="subscript"/>
              </w:rPr>
              <w:t>5</w:t>
            </w:r>
            <w:r>
              <w:rPr>
                <w:rFonts w:hint="eastAsia"/>
                <w:color w:val="auto"/>
              </w:rPr>
              <w:t>)/(mg/L)</w:t>
            </w:r>
          </w:p>
        </w:tc>
        <w:tc>
          <w:tcPr>
            <w:tcW w:w="4961" w:type="dxa"/>
            <w:vAlign w:val="center"/>
          </w:tcPr>
          <w:p w14:paraId="5497F981">
            <w:pPr>
              <w:pStyle w:val="33"/>
              <w:rPr>
                <w:color w:val="auto"/>
              </w:rPr>
            </w:pPr>
            <w:r>
              <w:rPr>
                <w:rFonts w:hint="eastAsia"/>
                <w:color w:val="auto"/>
              </w:rPr>
              <w:t>10</w:t>
            </w:r>
          </w:p>
        </w:tc>
      </w:tr>
      <w:tr w14:paraId="258A1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4BFB9A66">
            <w:pPr>
              <w:pStyle w:val="33"/>
              <w:rPr>
                <w:color w:val="auto"/>
              </w:rPr>
            </w:pPr>
            <w:r>
              <w:rPr>
                <w:rFonts w:hint="eastAsia"/>
                <w:color w:val="auto"/>
              </w:rPr>
              <w:t>5</w:t>
            </w:r>
          </w:p>
        </w:tc>
        <w:tc>
          <w:tcPr>
            <w:tcW w:w="3402" w:type="dxa"/>
            <w:vAlign w:val="center"/>
          </w:tcPr>
          <w:p w14:paraId="0E5F1F50">
            <w:pPr>
              <w:pStyle w:val="33"/>
              <w:rPr>
                <w:color w:val="auto"/>
              </w:rPr>
            </w:pPr>
            <w:r>
              <w:rPr>
                <w:rFonts w:hint="eastAsia"/>
                <w:color w:val="auto"/>
              </w:rPr>
              <w:t>化学需氧量(COD)/(mg/L)</w:t>
            </w:r>
          </w:p>
        </w:tc>
        <w:tc>
          <w:tcPr>
            <w:tcW w:w="4961" w:type="dxa"/>
            <w:vAlign w:val="center"/>
          </w:tcPr>
          <w:p w14:paraId="7240F4E2">
            <w:pPr>
              <w:pStyle w:val="33"/>
              <w:rPr>
                <w:color w:val="auto"/>
              </w:rPr>
            </w:pPr>
            <w:r>
              <w:rPr>
                <w:rFonts w:hint="eastAsia"/>
                <w:color w:val="auto"/>
              </w:rPr>
              <w:t>50</w:t>
            </w:r>
          </w:p>
        </w:tc>
      </w:tr>
      <w:tr w14:paraId="13A16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413CE80">
            <w:pPr>
              <w:pStyle w:val="33"/>
              <w:rPr>
                <w:color w:val="auto"/>
              </w:rPr>
            </w:pPr>
            <w:r>
              <w:rPr>
                <w:rFonts w:hint="eastAsia"/>
                <w:color w:val="auto"/>
              </w:rPr>
              <w:t>6</w:t>
            </w:r>
          </w:p>
        </w:tc>
        <w:tc>
          <w:tcPr>
            <w:tcW w:w="3402" w:type="dxa"/>
            <w:vAlign w:val="center"/>
          </w:tcPr>
          <w:p w14:paraId="76E5CCE1">
            <w:pPr>
              <w:pStyle w:val="33"/>
              <w:rPr>
                <w:color w:val="auto"/>
              </w:rPr>
            </w:pPr>
            <w:r>
              <w:rPr>
                <w:rFonts w:hint="eastAsia"/>
                <w:color w:val="auto"/>
              </w:rPr>
              <w:t>氨氮(以N计)/(mg/L)</w:t>
            </w:r>
          </w:p>
        </w:tc>
        <w:tc>
          <w:tcPr>
            <w:tcW w:w="4961" w:type="dxa"/>
            <w:vAlign w:val="center"/>
          </w:tcPr>
          <w:p w14:paraId="68F1BF68">
            <w:pPr>
              <w:pStyle w:val="33"/>
              <w:rPr>
                <w:color w:val="auto"/>
              </w:rPr>
            </w:pPr>
            <w:r>
              <w:rPr>
                <w:rFonts w:hint="eastAsia"/>
                <w:color w:val="auto"/>
              </w:rPr>
              <w:t>5</w:t>
            </w:r>
          </w:p>
        </w:tc>
      </w:tr>
      <w:tr w14:paraId="4B8F4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24C68770">
            <w:pPr>
              <w:pStyle w:val="33"/>
              <w:rPr>
                <w:color w:val="auto"/>
              </w:rPr>
            </w:pPr>
            <w:r>
              <w:rPr>
                <w:rFonts w:hint="eastAsia"/>
                <w:color w:val="auto"/>
              </w:rPr>
              <w:t>7</w:t>
            </w:r>
          </w:p>
        </w:tc>
        <w:tc>
          <w:tcPr>
            <w:tcW w:w="3402" w:type="dxa"/>
            <w:vAlign w:val="center"/>
          </w:tcPr>
          <w:p w14:paraId="6F468BE2">
            <w:pPr>
              <w:pStyle w:val="33"/>
              <w:rPr>
                <w:color w:val="auto"/>
              </w:rPr>
            </w:pPr>
            <w:r>
              <w:rPr>
                <w:rFonts w:hint="eastAsia"/>
                <w:color w:val="auto"/>
              </w:rPr>
              <w:t>总氮(以N计)/(mg/L)</w:t>
            </w:r>
          </w:p>
        </w:tc>
        <w:tc>
          <w:tcPr>
            <w:tcW w:w="4961" w:type="dxa"/>
            <w:vAlign w:val="center"/>
          </w:tcPr>
          <w:p w14:paraId="00713FC9">
            <w:pPr>
              <w:pStyle w:val="33"/>
              <w:rPr>
                <w:color w:val="auto"/>
              </w:rPr>
            </w:pPr>
            <w:r>
              <w:rPr>
                <w:rFonts w:hint="eastAsia"/>
                <w:color w:val="auto"/>
              </w:rPr>
              <w:t>15</w:t>
            </w:r>
          </w:p>
        </w:tc>
      </w:tr>
      <w:tr w14:paraId="47525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5D33762C">
            <w:pPr>
              <w:pStyle w:val="33"/>
              <w:rPr>
                <w:color w:val="auto"/>
              </w:rPr>
            </w:pPr>
            <w:r>
              <w:rPr>
                <w:rFonts w:hint="eastAsia"/>
                <w:color w:val="auto"/>
              </w:rPr>
              <w:t>8</w:t>
            </w:r>
          </w:p>
        </w:tc>
        <w:tc>
          <w:tcPr>
            <w:tcW w:w="3402" w:type="dxa"/>
            <w:vAlign w:val="center"/>
          </w:tcPr>
          <w:p w14:paraId="1A4969D3">
            <w:pPr>
              <w:pStyle w:val="33"/>
              <w:rPr>
                <w:color w:val="auto"/>
              </w:rPr>
            </w:pPr>
            <w:r>
              <w:rPr>
                <w:rFonts w:hint="eastAsia"/>
                <w:color w:val="auto"/>
              </w:rPr>
              <w:t>总磷(以P计)/(mg/L)</w:t>
            </w:r>
          </w:p>
        </w:tc>
        <w:tc>
          <w:tcPr>
            <w:tcW w:w="4961" w:type="dxa"/>
            <w:vAlign w:val="center"/>
          </w:tcPr>
          <w:p w14:paraId="0D6D9674">
            <w:pPr>
              <w:pStyle w:val="33"/>
              <w:rPr>
                <w:color w:val="auto"/>
              </w:rPr>
            </w:pPr>
            <w:r>
              <w:rPr>
                <w:rFonts w:hint="eastAsia"/>
                <w:color w:val="auto"/>
              </w:rPr>
              <w:t>0.5</w:t>
            </w:r>
          </w:p>
        </w:tc>
      </w:tr>
      <w:tr w14:paraId="5B99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9B5990A">
            <w:pPr>
              <w:pStyle w:val="33"/>
              <w:rPr>
                <w:color w:val="auto"/>
              </w:rPr>
            </w:pPr>
            <w:r>
              <w:rPr>
                <w:rFonts w:hint="eastAsia"/>
                <w:color w:val="auto"/>
              </w:rPr>
              <w:t>9</w:t>
            </w:r>
          </w:p>
        </w:tc>
        <w:tc>
          <w:tcPr>
            <w:tcW w:w="3402" w:type="dxa"/>
            <w:vAlign w:val="center"/>
          </w:tcPr>
          <w:p w14:paraId="06BCFA77">
            <w:pPr>
              <w:pStyle w:val="33"/>
              <w:rPr>
                <w:color w:val="auto"/>
              </w:rPr>
            </w:pPr>
            <w:r>
              <w:rPr>
                <w:rFonts w:hint="eastAsia"/>
                <w:color w:val="auto"/>
              </w:rPr>
              <w:t>阴离子表面活性剂/(mg/L)</w:t>
            </w:r>
          </w:p>
        </w:tc>
        <w:tc>
          <w:tcPr>
            <w:tcW w:w="4961" w:type="dxa"/>
            <w:vAlign w:val="center"/>
          </w:tcPr>
          <w:p w14:paraId="1AE154F0">
            <w:pPr>
              <w:pStyle w:val="33"/>
              <w:rPr>
                <w:color w:val="auto"/>
              </w:rPr>
            </w:pPr>
            <w:r>
              <w:rPr>
                <w:rFonts w:hint="eastAsia"/>
                <w:color w:val="auto"/>
              </w:rPr>
              <w:t>0.5</w:t>
            </w:r>
          </w:p>
        </w:tc>
      </w:tr>
      <w:tr w14:paraId="77A1C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0898C82">
            <w:pPr>
              <w:pStyle w:val="33"/>
              <w:rPr>
                <w:color w:val="auto"/>
              </w:rPr>
            </w:pPr>
            <w:r>
              <w:rPr>
                <w:rFonts w:hint="eastAsia"/>
                <w:color w:val="auto"/>
              </w:rPr>
              <w:t>10</w:t>
            </w:r>
          </w:p>
        </w:tc>
        <w:tc>
          <w:tcPr>
            <w:tcW w:w="3402" w:type="dxa"/>
            <w:vAlign w:val="center"/>
          </w:tcPr>
          <w:p w14:paraId="27E033C4">
            <w:pPr>
              <w:pStyle w:val="33"/>
              <w:rPr>
                <w:color w:val="auto"/>
              </w:rPr>
            </w:pPr>
            <w:r>
              <w:rPr>
                <w:rFonts w:hint="eastAsia"/>
                <w:color w:val="auto"/>
              </w:rPr>
              <w:t>石油类/(mg/L)</w:t>
            </w:r>
          </w:p>
        </w:tc>
        <w:tc>
          <w:tcPr>
            <w:tcW w:w="4961" w:type="dxa"/>
            <w:vAlign w:val="center"/>
          </w:tcPr>
          <w:p w14:paraId="5F2EA631">
            <w:pPr>
              <w:pStyle w:val="33"/>
              <w:rPr>
                <w:color w:val="auto"/>
              </w:rPr>
            </w:pPr>
            <w:r>
              <w:rPr>
                <w:rFonts w:hint="eastAsia"/>
                <w:color w:val="auto"/>
              </w:rPr>
              <w:t>1.0</w:t>
            </w:r>
          </w:p>
        </w:tc>
      </w:tr>
      <w:tr w14:paraId="73FC0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565978E">
            <w:pPr>
              <w:pStyle w:val="33"/>
              <w:rPr>
                <w:color w:val="auto"/>
              </w:rPr>
            </w:pPr>
            <w:r>
              <w:rPr>
                <w:rFonts w:hint="eastAsia"/>
                <w:color w:val="auto"/>
              </w:rPr>
              <w:t>11</w:t>
            </w:r>
          </w:p>
        </w:tc>
        <w:tc>
          <w:tcPr>
            <w:tcW w:w="3402" w:type="dxa"/>
            <w:vAlign w:val="center"/>
          </w:tcPr>
          <w:p w14:paraId="7573E56B">
            <w:pPr>
              <w:pStyle w:val="33"/>
              <w:rPr>
                <w:color w:val="auto"/>
              </w:rPr>
            </w:pPr>
            <w:r>
              <w:rPr>
                <w:rFonts w:hint="eastAsia"/>
                <w:color w:val="auto"/>
              </w:rPr>
              <w:t>总碱度(以CaCO</w:t>
            </w:r>
            <w:r>
              <w:rPr>
                <w:rFonts w:hint="eastAsia"/>
                <w:color w:val="auto"/>
                <w:vertAlign w:val="subscript"/>
              </w:rPr>
              <w:t>3</w:t>
            </w:r>
            <w:r>
              <w:rPr>
                <w:rFonts w:hint="eastAsia"/>
                <w:color w:val="auto"/>
              </w:rPr>
              <w:t>计)/(mg/L)</w:t>
            </w:r>
          </w:p>
        </w:tc>
        <w:tc>
          <w:tcPr>
            <w:tcW w:w="4961" w:type="dxa"/>
            <w:vAlign w:val="center"/>
          </w:tcPr>
          <w:p w14:paraId="7A353AF8">
            <w:pPr>
              <w:pStyle w:val="33"/>
              <w:rPr>
                <w:color w:val="auto"/>
              </w:rPr>
            </w:pPr>
            <w:r>
              <w:rPr>
                <w:rFonts w:hint="eastAsia"/>
                <w:color w:val="auto"/>
              </w:rPr>
              <w:t>350</w:t>
            </w:r>
          </w:p>
        </w:tc>
      </w:tr>
      <w:tr w14:paraId="40825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7000CA2F">
            <w:pPr>
              <w:pStyle w:val="33"/>
              <w:rPr>
                <w:color w:val="auto"/>
              </w:rPr>
            </w:pPr>
            <w:r>
              <w:rPr>
                <w:rFonts w:hint="eastAsia"/>
                <w:color w:val="auto"/>
              </w:rPr>
              <w:t>12</w:t>
            </w:r>
          </w:p>
        </w:tc>
        <w:tc>
          <w:tcPr>
            <w:tcW w:w="3402" w:type="dxa"/>
            <w:vAlign w:val="center"/>
          </w:tcPr>
          <w:p w14:paraId="69595CCA">
            <w:pPr>
              <w:pStyle w:val="33"/>
              <w:rPr>
                <w:color w:val="auto"/>
              </w:rPr>
            </w:pPr>
            <w:r>
              <w:rPr>
                <w:rFonts w:hint="eastAsia"/>
                <w:color w:val="auto"/>
              </w:rPr>
              <w:t>总硬度(以CaCO</w:t>
            </w:r>
            <w:r>
              <w:rPr>
                <w:rFonts w:hint="eastAsia"/>
                <w:color w:val="auto"/>
                <w:vertAlign w:val="subscript"/>
              </w:rPr>
              <w:t>3</w:t>
            </w:r>
            <w:r>
              <w:rPr>
                <w:rFonts w:hint="eastAsia"/>
                <w:color w:val="auto"/>
              </w:rPr>
              <w:t>计)/(mg/L)</w:t>
            </w:r>
          </w:p>
        </w:tc>
        <w:tc>
          <w:tcPr>
            <w:tcW w:w="4961" w:type="dxa"/>
            <w:vAlign w:val="center"/>
          </w:tcPr>
          <w:p w14:paraId="2449AAFE">
            <w:pPr>
              <w:pStyle w:val="33"/>
              <w:rPr>
                <w:color w:val="auto"/>
              </w:rPr>
            </w:pPr>
            <w:r>
              <w:rPr>
                <w:rFonts w:hint="eastAsia"/>
                <w:color w:val="auto"/>
              </w:rPr>
              <w:t>450</w:t>
            </w:r>
          </w:p>
        </w:tc>
      </w:tr>
      <w:tr w14:paraId="76BE9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765C446">
            <w:pPr>
              <w:pStyle w:val="33"/>
              <w:rPr>
                <w:color w:val="auto"/>
              </w:rPr>
            </w:pPr>
            <w:r>
              <w:rPr>
                <w:rFonts w:hint="eastAsia"/>
                <w:color w:val="auto"/>
              </w:rPr>
              <w:t>13</w:t>
            </w:r>
          </w:p>
        </w:tc>
        <w:tc>
          <w:tcPr>
            <w:tcW w:w="3402" w:type="dxa"/>
            <w:vAlign w:val="center"/>
          </w:tcPr>
          <w:p w14:paraId="36277AB6">
            <w:pPr>
              <w:pStyle w:val="33"/>
              <w:rPr>
                <w:color w:val="auto"/>
              </w:rPr>
            </w:pPr>
            <w:r>
              <w:rPr>
                <w:rFonts w:hint="eastAsia"/>
                <w:color w:val="auto"/>
              </w:rPr>
              <w:t>溶解性总固体/(mg/L)</w:t>
            </w:r>
          </w:p>
        </w:tc>
        <w:tc>
          <w:tcPr>
            <w:tcW w:w="4961" w:type="dxa"/>
            <w:vAlign w:val="center"/>
          </w:tcPr>
          <w:p w14:paraId="239B6452">
            <w:pPr>
              <w:pStyle w:val="33"/>
              <w:rPr>
                <w:color w:val="auto"/>
              </w:rPr>
            </w:pPr>
            <w:r>
              <w:rPr>
                <w:rFonts w:hint="eastAsia"/>
                <w:color w:val="auto"/>
              </w:rPr>
              <w:t>1000</w:t>
            </w:r>
          </w:p>
        </w:tc>
      </w:tr>
      <w:tr w14:paraId="1ECED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09EBD87C">
            <w:pPr>
              <w:pStyle w:val="33"/>
              <w:rPr>
                <w:color w:val="auto"/>
              </w:rPr>
            </w:pPr>
            <w:r>
              <w:rPr>
                <w:rFonts w:hint="eastAsia"/>
                <w:color w:val="auto"/>
              </w:rPr>
              <w:t>14</w:t>
            </w:r>
          </w:p>
        </w:tc>
        <w:tc>
          <w:tcPr>
            <w:tcW w:w="3402" w:type="dxa"/>
            <w:vAlign w:val="center"/>
          </w:tcPr>
          <w:p w14:paraId="37DCCDB6">
            <w:pPr>
              <w:pStyle w:val="33"/>
              <w:rPr>
                <w:color w:val="auto"/>
              </w:rPr>
            </w:pPr>
            <w:r>
              <w:rPr>
                <w:rFonts w:hint="eastAsia"/>
                <w:color w:val="auto"/>
              </w:rPr>
              <w:t>氯化物/(mg/L)</w:t>
            </w:r>
          </w:p>
        </w:tc>
        <w:tc>
          <w:tcPr>
            <w:tcW w:w="4961" w:type="dxa"/>
            <w:vAlign w:val="center"/>
          </w:tcPr>
          <w:p w14:paraId="2CCC8F97">
            <w:pPr>
              <w:pStyle w:val="33"/>
              <w:rPr>
                <w:color w:val="auto"/>
              </w:rPr>
            </w:pPr>
            <w:r>
              <w:rPr>
                <w:rFonts w:hint="eastAsia"/>
                <w:color w:val="auto"/>
              </w:rPr>
              <w:t>250</w:t>
            </w:r>
          </w:p>
        </w:tc>
      </w:tr>
      <w:tr w14:paraId="1751B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7F577709">
            <w:pPr>
              <w:pStyle w:val="33"/>
              <w:rPr>
                <w:color w:val="auto"/>
              </w:rPr>
            </w:pPr>
            <w:r>
              <w:rPr>
                <w:rFonts w:hint="eastAsia"/>
                <w:color w:val="auto"/>
              </w:rPr>
              <w:t>15</w:t>
            </w:r>
          </w:p>
        </w:tc>
        <w:tc>
          <w:tcPr>
            <w:tcW w:w="3402" w:type="dxa"/>
            <w:vAlign w:val="center"/>
          </w:tcPr>
          <w:p w14:paraId="597E9897">
            <w:pPr>
              <w:pStyle w:val="33"/>
              <w:rPr>
                <w:color w:val="auto"/>
              </w:rPr>
            </w:pPr>
            <w:r>
              <w:rPr>
                <w:rFonts w:hint="eastAsia"/>
                <w:color w:val="auto"/>
              </w:rPr>
              <w:t>硫酸盐(以SO</w:t>
            </w:r>
            <w:r>
              <w:rPr>
                <w:rFonts w:hint="eastAsia"/>
                <w:color w:val="auto"/>
                <w:vertAlign w:val="subscript"/>
              </w:rPr>
              <w:t>4</w:t>
            </w:r>
            <w:r>
              <w:rPr>
                <w:rFonts w:hint="eastAsia"/>
                <w:color w:val="auto"/>
                <w:vertAlign w:val="superscript"/>
              </w:rPr>
              <w:t>2-</w:t>
            </w:r>
            <w:r>
              <w:rPr>
                <w:rFonts w:hint="eastAsia"/>
                <w:color w:val="auto"/>
              </w:rPr>
              <w:t>计)/(mg/L)</w:t>
            </w:r>
          </w:p>
        </w:tc>
        <w:tc>
          <w:tcPr>
            <w:tcW w:w="4961" w:type="dxa"/>
            <w:vAlign w:val="center"/>
          </w:tcPr>
          <w:p w14:paraId="68B0D0AA">
            <w:pPr>
              <w:pStyle w:val="33"/>
              <w:rPr>
                <w:color w:val="auto"/>
              </w:rPr>
            </w:pPr>
            <w:r>
              <w:rPr>
                <w:rFonts w:hint="eastAsia"/>
                <w:color w:val="auto"/>
              </w:rPr>
              <w:t>250</w:t>
            </w:r>
          </w:p>
        </w:tc>
      </w:tr>
      <w:tr w14:paraId="1B17B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52F1A2F">
            <w:pPr>
              <w:pStyle w:val="33"/>
              <w:rPr>
                <w:color w:val="auto"/>
              </w:rPr>
            </w:pPr>
            <w:r>
              <w:rPr>
                <w:rFonts w:hint="eastAsia"/>
                <w:color w:val="auto"/>
              </w:rPr>
              <w:t>16</w:t>
            </w:r>
          </w:p>
        </w:tc>
        <w:tc>
          <w:tcPr>
            <w:tcW w:w="3402" w:type="dxa"/>
            <w:vAlign w:val="center"/>
          </w:tcPr>
          <w:p w14:paraId="6B0C539D">
            <w:pPr>
              <w:pStyle w:val="33"/>
              <w:rPr>
                <w:color w:val="auto"/>
              </w:rPr>
            </w:pPr>
            <w:r>
              <w:rPr>
                <w:rFonts w:hint="eastAsia"/>
                <w:color w:val="auto"/>
              </w:rPr>
              <w:t>铁/(mg/L)</w:t>
            </w:r>
          </w:p>
        </w:tc>
        <w:tc>
          <w:tcPr>
            <w:tcW w:w="4961" w:type="dxa"/>
            <w:vAlign w:val="center"/>
          </w:tcPr>
          <w:p w14:paraId="52F0A65F">
            <w:pPr>
              <w:pStyle w:val="33"/>
              <w:rPr>
                <w:color w:val="auto"/>
              </w:rPr>
            </w:pPr>
            <w:r>
              <w:rPr>
                <w:rFonts w:hint="eastAsia"/>
                <w:color w:val="auto"/>
              </w:rPr>
              <w:t>0.3</w:t>
            </w:r>
          </w:p>
        </w:tc>
      </w:tr>
      <w:tr w14:paraId="677D6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7787396E">
            <w:pPr>
              <w:pStyle w:val="33"/>
              <w:rPr>
                <w:color w:val="auto"/>
              </w:rPr>
            </w:pPr>
            <w:r>
              <w:rPr>
                <w:rFonts w:hint="eastAsia"/>
                <w:color w:val="auto"/>
              </w:rPr>
              <w:t>17</w:t>
            </w:r>
          </w:p>
        </w:tc>
        <w:tc>
          <w:tcPr>
            <w:tcW w:w="3402" w:type="dxa"/>
            <w:vAlign w:val="center"/>
          </w:tcPr>
          <w:p w14:paraId="19B323E7">
            <w:pPr>
              <w:pStyle w:val="33"/>
              <w:rPr>
                <w:color w:val="auto"/>
              </w:rPr>
            </w:pPr>
            <w:r>
              <w:rPr>
                <w:rFonts w:hint="eastAsia"/>
                <w:color w:val="auto"/>
              </w:rPr>
              <w:t>锰/(mg/L)</w:t>
            </w:r>
          </w:p>
        </w:tc>
        <w:tc>
          <w:tcPr>
            <w:tcW w:w="4961" w:type="dxa"/>
            <w:vAlign w:val="center"/>
          </w:tcPr>
          <w:p w14:paraId="087520F9">
            <w:pPr>
              <w:pStyle w:val="33"/>
              <w:rPr>
                <w:color w:val="auto"/>
              </w:rPr>
            </w:pPr>
            <w:r>
              <w:rPr>
                <w:rFonts w:hint="eastAsia"/>
                <w:color w:val="auto"/>
              </w:rPr>
              <w:t>0.1</w:t>
            </w:r>
          </w:p>
        </w:tc>
      </w:tr>
      <w:tr w14:paraId="083B5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12ADF82D">
            <w:pPr>
              <w:pStyle w:val="33"/>
              <w:rPr>
                <w:color w:val="auto"/>
              </w:rPr>
            </w:pPr>
            <w:r>
              <w:rPr>
                <w:rFonts w:hint="eastAsia"/>
                <w:color w:val="auto"/>
              </w:rPr>
              <w:t>18</w:t>
            </w:r>
          </w:p>
        </w:tc>
        <w:tc>
          <w:tcPr>
            <w:tcW w:w="3402" w:type="dxa"/>
            <w:vAlign w:val="center"/>
          </w:tcPr>
          <w:p w14:paraId="37168C26">
            <w:pPr>
              <w:pStyle w:val="33"/>
              <w:rPr>
                <w:color w:val="auto"/>
              </w:rPr>
            </w:pPr>
            <w:r>
              <w:rPr>
                <w:rFonts w:hint="eastAsia"/>
                <w:color w:val="auto"/>
              </w:rPr>
              <w:t>二氧化硅/(mg/L)</w:t>
            </w:r>
          </w:p>
        </w:tc>
        <w:tc>
          <w:tcPr>
            <w:tcW w:w="4961" w:type="dxa"/>
            <w:vAlign w:val="center"/>
          </w:tcPr>
          <w:p w14:paraId="770B5150">
            <w:pPr>
              <w:pStyle w:val="33"/>
              <w:rPr>
                <w:color w:val="auto"/>
              </w:rPr>
            </w:pPr>
            <w:r>
              <w:rPr>
                <w:rFonts w:hint="eastAsia"/>
                <w:color w:val="auto"/>
              </w:rPr>
              <w:t>30</w:t>
            </w:r>
          </w:p>
        </w:tc>
      </w:tr>
      <w:tr w14:paraId="43A11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303F3EDA">
            <w:pPr>
              <w:pStyle w:val="33"/>
              <w:rPr>
                <w:color w:val="auto"/>
              </w:rPr>
            </w:pPr>
            <w:r>
              <w:rPr>
                <w:rFonts w:hint="eastAsia"/>
                <w:color w:val="auto"/>
              </w:rPr>
              <w:t>19</w:t>
            </w:r>
          </w:p>
        </w:tc>
        <w:tc>
          <w:tcPr>
            <w:tcW w:w="3402" w:type="dxa"/>
            <w:vAlign w:val="center"/>
          </w:tcPr>
          <w:p w14:paraId="055B10E2">
            <w:pPr>
              <w:pStyle w:val="33"/>
              <w:rPr>
                <w:color w:val="auto"/>
              </w:rPr>
            </w:pPr>
            <w:r>
              <w:rPr>
                <w:rFonts w:hint="eastAsia"/>
                <w:color w:val="auto"/>
              </w:rPr>
              <w:t>粪大肠菌群/(MPN/L)</w:t>
            </w:r>
          </w:p>
        </w:tc>
        <w:tc>
          <w:tcPr>
            <w:tcW w:w="4961" w:type="dxa"/>
            <w:vAlign w:val="center"/>
          </w:tcPr>
          <w:p w14:paraId="11A35FDB">
            <w:pPr>
              <w:pStyle w:val="33"/>
              <w:rPr>
                <w:color w:val="auto"/>
              </w:rPr>
            </w:pPr>
            <w:r>
              <w:rPr>
                <w:rFonts w:hint="eastAsia"/>
                <w:color w:val="auto"/>
              </w:rPr>
              <w:t>1000</w:t>
            </w:r>
          </w:p>
        </w:tc>
      </w:tr>
      <w:tr w14:paraId="516E8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dxa"/>
            <w:vAlign w:val="center"/>
          </w:tcPr>
          <w:p w14:paraId="6B8A21D1">
            <w:pPr>
              <w:pStyle w:val="33"/>
              <w:rPr>
                <w:color w:val="auto"/>
              </w:rPr>
            </w:pPr>
            <w:r>
              <w:rPr>
                <w:rFonts w:hint="eastAsia"/>
                <w:color w:val="auto"/>
              </w:rPr>
              <w:t>20</w:t>
            </w:r>
          </w:p>
        </w:tc>
        <w:tc>
          <w:tcPr>
            <w:tcW w:w="3402" w:type="dxa"/>
            <w:vAlign w:val="center"/>
          </w:tcPr>
          <w:p w14:paraId="2D40459D">
            <w:pPr>
              <w:pStyle w:val="33"/>
              <w:rPr>
                <w:color w:val="auto"/>
              </w:rPr>
            </w:pPr>
            <w:r>
              <w:rPr>
                <w:rFonts w:hint="eastAsia"/>
                <w:color w:val="auto"/>
              </w:rPr>
              <w:t>总余氯(mg/L)</w:t>
            </w:r>
          </w:p>
        </w:tc>
        <w:tc>
          <w:tcPr>
            <w:tcW w:w="4961" w:type="dxa"/>
            <w:vAlign w:val="center"/>
          </w:tcPr>
          <w:p w14:paraId="15BB6716">
            <w:pPr>
              <w:pStyle w:val="33"/>
              <w:rPr>
                <w:color w:val="auto"/>
              </w:rPr>
            </w:pPr>
            <w:r>
              <w:rPr>
                <w:rFonts w:hint="eastAsia"/>
                <w:color w:val="auto"/>
              </w:rPr>
              <w:t>0.1~0.2</w:t>
            </w:r>
          </w:p>
        </w:tc>
      </w:tr>
    </w:tbl>
    <w:p w14:paraId="73A15E43">
      <w:pPr>
        <w:pStyle w:val="5"/>
        <w:rPr>
          <w:rFonts w:cs="Times New Roman"/>
          <w:color w:val="auto"/>
        </w:rPr>
      </w:pPr>
      <w:r>
        <w:rPr>
          <w:rFonts w:cs="Times New Roman"/>
          <w:color w:val="auto"/>
        </w:rPr>
        <w:t>噪声排放标准</w:t>
      </w:r>
    </w:p>
    <w:p w14:paraId="10AA14AC">
      <w:pPr>
        <w:ind w:firstLine="480"/>
        <w:rPr>
          <w:rFonts w:cs="Times New Roman"/>
          <w:color w:val="auto"/>
        </w:rPr>
      </w:pPr>
      <w:r>
        <w:rPr>
          <w:rFonts w:cs="Times New Roman"/>
          <w:color w:val="auto"/>
        </w:rPr>
        <w:t>项目施工期噪声排放执行《</w:t>
      </w:r>
      <w:r>
        <w:rPr>
          <w:rFonts w:hint="eastAsia" w:cs="Times New Roman"/>
          <w:color w:val="auto"/>
        </w:rPr>
        <w:t>建筑施工噪声排放标准</w:t>
      </w:r>
      <w:r>
        <w:rPr>
          <w:rFonts w:cs="Times New Roman"/>
          <w:color w:val="auto"/>
        </w:rPr>
        <w:t>》（GB12523-</w:t>
      </w:r>
      <w:r>
        <w:rPr>
          <w:rFonts w:hint="eastAsia"/>
          <w:color w:val="auto"/>
          <w:szCs w:val="24"/>
        </w:rPr>
        <w:t>2025</w:t>
      </w:r>
      <w:r>
        <w:rPr>
          <w:rFonts w:cs="Times New Roman"/>
          <w:color w:val="auto"/>
        </w:rPr>
        <w:t>），见</w:t>
      </w:r>
      <w:r>
        <w:rPr>
          <w:rFonts w:hint="eastAsia" w:cs="Times New Roman"/>
          <w:color w:val="auto"/>
        </w:rPr>
        <w:t>下表</w:t>
      </w:r>
      <w:r>
        <w:rPr>
          <w:rFonts w:cs="Times New Roman"/>
          <w:color w:val="auto"/>
        </w:rPr>
        <w:t>。</w:t>
      </w:r>
    </w:p>
    <w:p w14:paraId="67E7C65A">
      <w:pPr>
        <w:pStyle w:val="7"/>
        <w:rPr>
          <w:color w:val="auto"/>
        </w:rPr>
      </w:pPr>
      <w:bookmarkStart w:id="98" w:name="_Ref185008299"/>
      <w:r>
        <w:rPr>
          <w:color w:val="auto"/>
        </w:rPr>
        <w:t>建筑施工场界环境噪声排放限值</w:t>
      </w:r>
      <w:r>
        <w:rPr>
          <w:rFonts w:hint="eastAsia"/>
          <w:color w:val="auto"/>
        </w:rPr>
        <w:t xml:space="preserve">    </w:t>
      </w:r>
      <w:r>
        <w:rPr>
          <w:color w:val="auto"/>
        </w:rPr>
        <w:t>单位：dB</w:t>
      </w:r>
      <w:bookmarkEnd w:id="98"/>
    </w:p>
    <w:tbl>
      <w:tblPr>
        <w:tblStyle w:val="26"/>
        <w:tblW w:w="5000" w:type="pct"/>
        <w:tblInd w:w="0" w:type="dxa"/>
        <w:tblLayout w:type="autofit"/>
        <w:tblCellMar>
          <w:top w:w="0" w:type="dxa"/>
          <w:left w:w="0" w:type="dxa"/>
          <w:bottom w:w="0" w:type="dxa"/>
          <w:right w:w="0" w:type="dxa"/>
        </w:tblCellMar>
      </w:tblPr>
      <w:tblGrid>
        <w:gridCol w:w="3063"/>
        <w:gridCol w:w="3064"/>
        <w:gridCol w:w="2953"/>
      </w:tblGrid>
      <w:tr w14:paraId="621297DC">
        <w:tblPrEx>
          <w:tblCellMar>
            <w:top w:w="0" w:type="dxa"/>
            <w:left w:w="0" w:type="dxa"/>
            <w:bottom w:w="0" w:type="dxa"/>
            <w:right w:w="0" w:type="dxa"/>
          </w:tblCellMar>
        </w:tblPrEx>
        <w:trPr>
          <w:trHeight w:val="393" w:hRule="atLeast"/>
        </w:trPr>
        <w:tc>
          <w:tcPr>
            <w:tcW w:w="1687" w:type="pct"/>
            <w:tcBorders>
              <w:top w:val="single" w:color="000000" w:sz="4" w:space="0"/>
              <w:left w:val="single" w:color="000000" w:sz="4" w:space="0"/>
              <w:bottom w:val="single" w:color="000000" w:sz="4" w:space="0"/>
              <w:right w:val="single" w:color="000000" w:sz="4" w:space="0"/>
            </w:tcBorders>
            <w:vAlign w:val="center"/>
          </w:tcPr>
          <w:p w14:paraId="41B1498E">
            <w:pPr>
              <w:pStyle w:val="33"/>
              <w:rPr>
                <w:color w:val="auto"/>
              </w:rPr>
            </w:pPr>
            <w:r>
              <w:rPr>
                <w:rFonts w:hint="eastAsia"/>
                <w:color w:val="auto"/>
              </w:rPr>
              <w:t>项目</w:t>
            </w:r>
          </w:p>
        </w:tc>
        <w:tc>
          <w:tcPr>
            <w:tcW w:w="1687" w:type="pct"/>
            <w:tcBorders>
              <w:top w:val="single" w:color="000000" w:sz="4" w:space="0"/>
              <w:left w:val="single" w:color="000000" w:sz="4" w:space="0"/>
              <w:bottom w:val="single" w:color="000000" w:sz="4" w:space="0"/>
              <w:right w:val="single" w:color="000000" w:sz="4" w:space="0"/>
            </w:tcBorders>
            <w:vAlign w:val="center"/>
          </w:tcPr>
          <w:p w14:paraId="495FA4C7">
            <w:pPr>
              <w:pStyle w:val="33"/>
              <w:rPr>
                <w:color w:val="auto"/>
              </w:rPr>
            </w:pPr>
            <w:r>
              <w:rPr>
                <w:color w:val="auto"/>
              </w:rPr>
              <w:t>昼间</w:t>
            </w:r>
          </w:p>
        </w:tc>
        <w:tc>
          <w:tcPr>
            <w:tcW w:w="1626" w:type="pct"/>
            <w:tcBorders>
              <w:top w:val="single" w:color="000000" w:sz="4" w:space="0"/>
              <w:left w:val="single" w:color="000000" w:sz="4" w:space="0"/>
              <w:bottom w:val="single" w:color="000000" w:sz="4" w:space="0"/>
              <w:right w:val="single" w:color="000000" w:sz="4" w:space="0"/>
            </w:tcBorders>
            <w:vAlign w:val="center"/>
          </w:tcPr>
          <w:p w14:paraId="7541381D">
            <w:pPr>
              <w:pStyle w:val="33"/>
              <w:rPr>
                <w:color w:val="auto"/>
              </w:rPr>
            </w:pPr>
            <w:r>
              <w:rPr>
                <w:color w:val="auto"/>
              </w:rPr>
              <w:t>夜间</w:t>
            </w:r>
          </w:p>
        </w:tc>
      </w:tr>
      <w:tr w14:paraId="4F8D656F">
        <w:tblPrEx>
          <w:tblCellMar>
            <w:top w:w="0" w:type="dxa"/>
            <w:left w:w="0" w:type="dxa"/>
            <w:bottom w:w="0" w:type="dxa"/>
            <w:right w:w="0" w:type="dxa"/>
          </w:tblCellMar>
        </w:tblPrEx>
        <w:trPr>
          <w:trHeight w:val="340" w:hRule="exact"/>
        </w:trPr>
        <w:tc>
          <w:tcPr>
            <w:tcW w:w="1687" w:type="pct"/>
            <w:tcBorders>
              <w:top w:val="single" w:color="000000" w:sz="4" w:space="0"/>
              <w:left w:val="single" w:color="000000" w:sz="4" w:space="0"/>
              <w:bottom w:val="single" w:color="000000" w:sz="4" w:space="0"/>
              <w:right w:val="single" w:color="000000" w:sz="4" w:space="0"/>
            </w:tcBorders>
            <w:vAlign w:val="center"/>
          </w:tcPr>
          <w:p w14:paraId="7E58BF57">
            <w:pPr>
              <w:pStyle w:val="33"/>
              <w:rPr>
                <w:color w:val="auto"/>
              </w:rPr>
            </w:pPr>
            <w:r>
              <w:rPr>
                <w:rFonts w:hint="eastAsia"/>
                <w:color w:val="auto"/>
              </w:rPr>
              <w:t>标准值</w:t>
            </w:r>
          </w:p>
        </w:tc>
        <w:tc>
          <w:tcPr>
            <w:tcW w:w="1687" w:type="pct"/>
            <w:tcBorders>
              <w:top w:val="single" w:color="000000" w:sz="4" w:space="0"/>
              <w:left w:val="single" w:color="000000" w:sz="4" w:space="0"/>
              <w:bottom w:val="single" w:color="000000" w:sz="4" w:space="0"/>
              <w:right w:val="single" w:color="000000" w:sz="4" w:space="0"/>
            </w:tcBorders>
            <w:vAlign w:val="center"/>
          </w:tcPr>
          <w:p w14:paraId="2DB16671">
            <w:pPr>
              <w:pStyle w:val="33"/>
              <w:rPr>
                <w:color w:val="auto"/>
              </w:rPr>
            </w:pPr>
            <w:r>
              <w:rPr>
                <w:color w:val="auto"/>
              </w:rPr>
              <w:t>70</w:t>
            </w:r>
          </w:p>
        </w:tc>
        <w:tc>
          <w:tcPr>
            <w:tcW w:w="1626" w:type="pct"/>
            <w:tcBorders>
              <w:top w:val="single" w:color="000000" w:sz="4" w:space="0"/>
              <w:left w:val="single" w:color="000000" w:sz="4" w:space="0"/>
              <w:bottom w:val="single" w:color="000000" w:sz="4" w:space="0"/>
              <w:right w:val="single" w:color="000000" w:sz="4" w:space="0"/>
            </w:tcBorders>
            <w:vAlign w:val="center"/>
          </w:tcPr>
          <w:p w14:paraId="09B3BE04">
            <w:pPr>
              <w:pStyle w:val="33"/>
              <w:rPr>
                <w:color w:val="auto"/>
              </w:rPr>
            </w:pPr>
            <w:r>
              <w:rPr>
                <w:color w:val="auto"/>
              </w:rPr>
              <w:t>55</w:t>
            </w:r>
          </w:p>
        </w:tc>
      </w:tr>
      <w:tr w14:paraId="7D852C54">
        <w:tblPrEx>
          <w:tblCellMar>
            <w:top w:w="0" w:type="dxa"/>
            <w:left w:w="0" w:type="dxa"/>
            <w:bottom w:w="0" w:type="dxa"/>
            <w:right w:w="0" w:type="dxa"/>
          </w:tblCellMar>
        </w:tblPrEx>
        <w:trPr>
          <w:trHeight w:val="724" w:hRule="exact"/>
        </w:trPr>
        <w:tc>
          <w:tcPr>
            <w:tcW w:w="3374" w:type="pct"/>
            <w:gridSpan w:val="2"/>
            <w:tcBorders>
              <w:top w:val="single" w:color="000000" w:sz="4" w:space="0"/>
              <w:left w:val="single" w:color="000000" w:sz="4" w:space="0"/>
              <w:bottom w:val="single" w:color="000000" w:sz="4" w:space="0"/>
              <w:right w:val="single" w:color="000000" w:sz="4" w:space="0"/>
            </w:tcBorders>
            <w:vAlign w:val="center"/>
          </w:tcPr>
          <w:p w14:paraId="7E794630">
            <w:pPr>
              <w:pStyle w:val="33"/>
              <w:rPr>
                <w:color w:val="auto"/>
              </w:rPr>
            </w:pPr>
            <w:r>
              <w:rPr>
                <w:rFonts w:hint="eastAsia"/>
                <w:color w:val="auto"/>
              </w:rPr>
              <w:t>/</w:t>
            </w:r>
          </w:p>
        </w:tc>
        <w:tc>
          <w:tcPr>
            <w:tcW w:w="1626" w:type="pct"/>
            <w:tcBorders>
              <w:top w:val="single" w:color="000000" w:sz="4" w:space="0"/>
              <w:left w:val="single" w:color="000000" w:sz="4" w:space="0"/>
              <w:bottom w:val="single" w:color="000000" w:sz="4" w:space="0"/>
              <w:right w:val="single" w:color="000000" w:sz="4" w:space="0"/>
            </w:tcBorders>
            <w:vAlign w:val="center"/>
          </w:tcPr>
          <w:p w14:paraId="0D868ABD">
            <w:pPr>
              <w:pStyle w:val="33"/>
              <w:rPr>
                <w:color w:val="auto"/>
              </w:rPr>
            </w:pPr>
            <w:r>
              <w:rPr>
                <w:rFonts w:hint="eastAsia"/>
                <w:color w:val="auto"/>
              </w:rPr>
              <w:t>夜间噪声最大声级超过限值的幅度不得高于15dB(A)</w:t>
            </w:r>
          </w:p>
        </w:tc>
      </w:tr>
    </w:tbl>
    <w:p w14:paraId="79029124">
      <w:pPr>
        <w:ind w:firstLine="480"/>
        <w:rPr>
          <w:rFonts w:cs="Times New Roman"/>
          <w:color w:val="auto"/>
        </w:rPr>
      </w:pPr>
      <w:r>
        <w:rPr>
          <w:rFonts w:hint="eastAsia" w:cs="Times New Roman"/>
          <w:color w:val="auto"/>
        </w:rPr>
        <w:t>运营期厂界噪声执行《工业企业厂界环境噪声排放标准》（GB12348-2008）中3类类和4类标准。</w:t>
      </w:r>
      <w:r>
        <w:rPr>
          <w:rFonts w:cs="Times New Roman"/>
          <w:color w:val="auto"/>
        </w:rPr>
        <w:t>具体标准限值见下表。</w:t>
      </w:r>
    </w:p>
    <w:p w14:paraId="72871161">
      <w:pPr>
        <w:pStyle w:val="7"/>
        <w:rPr>
          <w:color w:val="auto"/>
        </w:rPr>
      </w:pPr>
      <w:r>
        <w:rPr>
          <w:color w:val="auto"/>
        </w:rPr>
        <w:t>《工业企业厂界环境噪声排放标准》（摘录）  Leq：dB(A)</w:t>
      </w:r>
    </w:p>
    <w:tbl>
      <w:tblPr>
        <w:tblStyle w:val="26"/>
        <w:tblW w:w="9075"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140"/>
        <w:gridCol w:w="2868"/>
        <w:gridCol w:w="3067"/>
      </w:tblGrid>
      <w:tr w14:paraId="47FDD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1" w:hRule="atLeast"/>
        </w:trPr>
        <w:tc>
          <w:tcPr>
            <w:tcW w:w="3140" w:type="dxa"/>
            <w:tcBorders>
              <w:top w:val="single" w:color="000000" w:sz="4" w:space="0"/>
              <w:left w:val="single" w:color="000000" w:sz="4" w:space="0"/>
              <w:bottom w:val="single" w:color="000000" w:sz="4" w:space="0"/>
              <w:right w:val="single" w:color="000000" w:sz="4" w:space="0"/>
            </w:tcBorders>
            <w:vAlign w:val="center"/>
          </w:tcPr>
          <w:p w14:paraId="42B2A775">
            <w:pPr>
              <w:pStyle w:val="33"/>
              <w:rPr>
                <w:color w:val="auto"/>
              </w:rPr>
            </w:pPr>
            <w:r>
              <w:rPr>
                <w:color w:val="auto"/>
              </w:rPr>
              <w:t>厂界外声环境功能区类别</w:t>
            </w:r>
          </w:p>
        </w:tc>
        <w:tc>
          <w:tcPr>
            <w:tcW w:w="2868" w:type="dxa"/>
            <w:tcBorders>
              <w:top w:val="single" w:color="000000" w:sz="4" w:space="0"/>
              <w:left w:val="single" w:color="000000" w:sz="4" w:space="0"/>
              <w:bottom w:val="single" w:color="000000" w:sz="4" w:space="0"/>
              <w:right w:val="single" w:color="000000" w:sz="4" w:space="0"/>
            </w:tcBorders>
            <w:vAlign w:val="center"/>
          </w:tcPr>
          <w:p w14:paraId="5ACEF8A9">
            <w:pPr>
              <w:pStyle w:val="33"/>
              <w:rPr>
                <w:color w:val="auto"/>
              </w:rPr>
            </w:pPr>
            <w:r>
              <w:rPr>
                <w:color w:val="auto"/>
              </w:rPr>
              <w:t>昼间</w:t>
            </w:r>
          </w:p>
        </w:tc>
        <w:tc>
          <w:tcPr>
            <w:tcW w:w="3067" w:type="dxa"/>
            <w:tcBorders>
              <w:top w:val="single" w:color="000000" w:sz="4" w:space="0"/>
              <w:left w:val="single" w:color="000000" w:sz="4" w:space="0"/>
              <w:bottom w:val="single" w:color="000000" w:sz="4" w:space="0"/>
              <w:right w:val="single" w:color="000000" w:sz="4" w:space="0"/>
            </w:tcBorders>
            <w:vAlign w:val="center"/>
          </w:tcPr>
          <w:p w14:paraId="51265E55">
            <w:pPr>
              <w:pStyle w:val="33"/>
              <w:rPr>
                <w:color w:val="auto"/>
              </w:rPr>
            </w:pPr>
            <w:r>
              <w:rPr>
                <w:color w:val="auto"/>
              </w:rPr>
              <w:t>夜间</w:t>
            </w:r>
          </w:p>
        </w:tc>
      </w:tr>
      <w:tr w14:paraId="213E8B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3140" w:type="dxa"/>
            <w:tcBorders>
              <w:top w:val="single" w:color="000000" w:sz="4" w:space="0"/>
              <w:left w:val="single" w:color="000000" w:sz="4" w:space="0"/>
              <w:bottom w:val="single" w:color="000000" w:sz="4" w:space="0"/>
              <w:right w:val="single" w:color="000000" w:sz="4" w:space="0"/>
            </w:tcBorders>
            <w:vAlign w:val="center"/>
          </w:tcPr>
          <w:p w14:paraId="6FE6C65A">
            <w:pPr>
              <w:pStyle w:val="33"/>
              <w:rPr>
                <w:color w:val="auto"/>
              </w:rPr>
            </w:pPr>
            <w:r>
              <w:rPr>
                <w:color w:val="auto"/>
              </w:rPr>
              <w:t>3类</w:t>
            </w:r>
          </w:p>
        </w:tc>
        <w:tc>
          <w:tcPr>
            <w:tcW w:w="2868" w:type="dxa"/>
            <w:tcBorders>
              <w:top w:val="single" w:color="000000" w:sz="4" w:space="0"/>
              <w:left w:val="single" w:color="000000" w:sz="4" w:space="0"/>
              <w:bottom w:val="single" w:color="000000" w:sz="4" w:space="0"/>
              <w:right w:val="single" w:color="000000" w:sz="4" w:space="0"/>
            </w:tcBorders>
            <w:vAlign w:val="center"/>
          </w:tcPr>
          <w:p w14:paraId="035469B4">
            <w:pPr>
              <w:pStyle w:val="33"/>
              <w:rPr>
                <w:color w:val="auto"/>
              </w:rPr>
            </w:pPr>
            <w:r>
              <w:rPr>
                <w:color w:val="auto"/>
              </w:rPr>
              <w:t>65</w:t>
            </w:r>
          </w:p>
        </w:tc>
        <w:tc>
          <w:tcPr>
            <w:tcW w:w="3067" w:type="dxa"/>
            <w:tcBorders>
              <w:top w:val="single" w:color="000000" w:sz="4" w:space="0"/>
              <w:left w:val="single" w:color="000000" w:sz="4" w:space="0"/>
              <w:bottom w:val="single" w:color="000000" w:sz="4" w:space="0"/>
              <w:right w:val="single" w:color="000000" w:sz="4" w:space="0"/>
            </w:tcBorders>
            <w:vAlign w:val="center"/>
          </w:tcPr>
          <w:p w14:paraId="5867CD5F">
            <w:pPr>
              <w:pStyle w:val="33"/>
              <w:rPr>
                <w:color w:val="auto"/>
              </w:rPr>
            </w:pPr>
            <w:r>
              <w:rPr>
                <w:color w:val="auto"/>
              </w:rPr>
              <w:t>55</w:t>
            </w:r>
          </w:p>
        </w:tc>
      </w:tr>
      <w:tr w14:paraId="26C88C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exact"/>
        </w:trPr>
        <w:tc>
          <w:tcPr>
            <w:tcW w:w="3140" w:type="dxa"/>
            <w:tcBorders>
              <w:top w:val="single" w:color="000000" w:sz="4" w:space="0"/>
              <w:left w:val="single" w:color="000000" w:sz="4" w:space="0"/>
              <w:bottom w:val="single" w:color="000000" w:sz="4" w:space="0"/>
              <w:right w:val="single" w:color="000000" w:sz="4" w:space="0"/>
            </w:tcBorders>
            <w:vAlign w:val="center"/>
          </w:tcPr>
          <w:p w14:paraId="3667935D">
            <w:pPr>
              <w:pStyle w:val="33"/>
              <w:rPr>
                <w:color w:val="auto"/>
              </w:rPr>
            </w:pPr>
            <w:r>
              <w:rPr>
                <w:rFonts w:hint="eastAsia"/>
                <w:color w:val="auto"/>
              </w:rPr>
              <w:t>4类</w:t>
            </w:r>
          </w:p>
        </w:tc>
        <w:tc>
          <w:tcPr>
            <w:tcW w:w="2868" w:type="dxa"/>
            <w:tcBorders>
              <w:top w:val="single" w:color="000000" w:sz="4" w:space="0"/>
              <w:left w:val="single" w:color="000000" w:sz="4" w:space="0"/>
              <w:bottom w:val="single" w:color="000000" w:sz="4" w:space="0"/>
              <w:right w:val="single" w:color="000000" w:sz="4" w:space="0"/>
            </w:tcBorders>
            <w:vAlign w:val="center"/>
          </w:tcPr>
          <w:p w14:paraId="3E8D2DDA">
            <w:pPr>
              <w:pStyle w:val="33"/>
              <w:rPr>
                <w:color w:val="auto"/>
              </w:rPr>
            </w:pPr>
            <w:r>
              <w:rPr>
                <w:rFonts w:hint="eastAsia"/>
                <w:color w:val="auto"/>
              </w:rPr>
              <w:t>70</w:t>
            </w:r>
          </w:p>
        </w:tc>
        <w:tc>
          <w:tcPr>
            <w:tcW w:w="3067" w:type="dxa"/>
            <w:tcBorders>
              <w:top w:val="single" w:color="000000" w:sz="4" w:space="0"/>
              <w:left w:val="single" w:color="000000" w:sz="4" w:space="0"/>
              <w:bottom w:val="single" w:color="000000" w:sz="4" w:space="0"/>
              <w:right w:val="single" w:color="000000" w:sz="4" w:space="0"/>
            </w:tcBorders>
            <w:vAlign w:val="center"/>
          </w:tcPr>
          <w:p w14:paraId="4924E095">
            <w:pPr>
              <w:pStyle w:val="33"/>
              <w:rPr>
                <w:color w:val="auto"/>
              </w:rPr>
            </w:pPr>
            <w:r>
              <w:rPr>
                <w:rFonts w:hint="eastAsia"/>
                <w:color w:val="auto"/>
              </w:rPr>
              <w:t>55</w:t>
            </w:r>
          </w:p>
        </w:tc>
      </w:tr>
    </w:tbl>
    <w:p w14:paraId="211C8DD5">
      <w:pPr>
        <w:pStyle w:val="5"/>
        <w:rPr>
          <w:rFonts w:cs="Times New Roman"/>
          <w:color w:val="auto"/>
        </w:rPr>
      </w:pPr>
      <w:r>
        <w:rPr>
          <w:rFonts w:cs="Times New Roman"/>
          <w:color w:val="auto"/>
        </w:rPr>
        <w:t>固体废物</w:t>
      </w:r>
    </w:p>
    <w:p w14:paraId="5F79EBC9">
      <w:pPr>
        <w:ind w:firstLine="480"/>
        <w:rPr>
          <w:rFonts w:cs="Times New Roman"/>
          <w:color w:val="auto"/>
        </w:rPr>
      </w:pPr>
      <w:r>
        <w:rPr>
          <w:rFonts w:hint="eastAsia" w:cs="Times New Roman"/>
          <w:color w:val="auto"/>
        </w:rPr>
        <w:t>拟建项目产生的一般工业固体废物应满足</w:t>
      </w:r>
      <w:r>
        <w:rPr>
          <w:rFonts w:cs="Times New Roman"/>
          <w:color w:val="auto"/>
        </w:rPr>
        <w:t>《中华人民共和国固体废物污染环境防治法》</w:t>
      </w:r>
      <w:r>
        <w:rPr>
          <w:rFonts w:hint="eastAsia" w:cs="Times New Roman"/>
          <w:color w:val="auto"/>
        </w:rPr>
        <w:t>和</w:t>
      </w:r>
      <w:r>
        <w:rPr>
          <w:rFonts w:hint="eastAsia"/>
          <w:color w:val="auto"/>
        </w:rPr>
        <w:t>《生态环境部办公厅印发关于&lt;一般工业固体废物环境管理工作指南&gt;的通知》（环办固体函〔2026〕18号）</w:t>
      </w:r>
      <w:r>
        <w:rPr>
          <w:rFonts w:hint="eastAsia" w:cs="Times New Roman"/>
          <w:color w:val="auto"/>
        </w:rPr>
        <w:t>的相关要求，危险废物执行</w:t>
      </w:r>
      <w:r>
        <w:rPr>
          <w:rFonts w:cs="Times New Roman"/>
          <w:color w:val="auto"/>
        </w:rPr>
        <w:t>《危险废物贮存污染控制标准》（GB18597-2023）</w:t>
      </w:r>
      <w:r>
        <w:rPr>
          <w:rFonts w:hint="eastAsia" w:cs="Times New Roman"/>
          <w:color w:val="auto"/>
        </w:rPr>
        <w:t>、《危险废物转移管理办法》（生态环境部、公安部、交通运输部令第</w:t>
      </w:r>
      <w:r>
        <w:rPr>
          <w:rFonts w:cs="Times New Roman"/>
          <w:color w:val="auto"/>
        </w:rPr>
        <w:t>23</w:t>
      </w:r>
      <w:r>
        <w:rPr>
          <w:rFonts w:hint="eastAsia" w:cs="Times New Roman"/>
          <w:color w:val="auto"/>
        </w:rPr>
        <w:t>号）。</w:t>
      </w:r>
    </w:p>
    <w:p w14:paraId="63575BD4">
      <w:pPr>
        <w:pStyle w:val="3"/>
        <w:rPr>
          <w:rFonts w:cs="Times New Roman"/>
          <w:color w:val="auto"/>
        </w:rPr>
      </w:pPr>
      <w:bookmarkStart w:id="99" w:name="_Toc225216660"/>
      <w:bookmarkStart w:id="100" w:name="_Toc198390007"/>
      <w:bookmarkStart w:id="101" w:name="_Toc198391180"/>
      <w:bookmarkStart w:id="102" w:name="_Toc198390527"/>
      <w:bookmarkStart w:id="103" w:name="_Toc199168882"/>
      <w:bookmarkStart w:id="104" w:name="_Toc185257459"/>
      <w:bookmarkStart w:id="105" w:name="_Toc221355698"/>
      <w:bookmarkStart w:id="106" w:name="_Toc199190419"/>
      <w:r>
        <w:rPr>
          <w:rFonts w:cs="Times New Roman"/>
          <w:color w:val="auto"/>
        </w:rPr>
        <w:t>评价工作等级及评价范围</w:t>
      </w:r>
      <w:bookmarkEnd w:id="99"/>
      <w:bookmarkEnd w:id="100"/>
      <w:bookmarkEnd w:id="101"/>
      <w:bookmarkEnd w:id="102"/>
      <w:bookmarkEnd w:id="103"/>
      <w:bookmarkEnd w:id="104"/>
      <w:bookmarkEnd w:id="105"/>
      <w:bookmarkEnd w:id="106"/>
    </w:p>
    <w:p w14:paraId="296ABDBE">
      <w:pPr>
        <w:pStyle w:val="4"/>
        <w:rPr>
          <w:rFonts w:cs="Times New Roman"/>
          <w:color w:val="auto"/>
        </w:rPr>
      </w:pPr>
      <w:bookmarkStart w:id="107" w:name="_Toc199190420"/>
      <w:bookmarkStart w:id="108" w:name="_Toc199168883"/>
      <w:bookmarkStart w:id="109" w:name="_Toc198391181"/>
      <w:bookmarkStart w:id="110" w:name="_Toc225216661"/>
      <w:bookmarkStart w:id="111" w:name="_Toc198390528"/>
      <w:r>
        <w:rPr>
          <w:rFonts w:cs="Times New Roman"/>
          <w:color w:val="auto"/>
        </w:rPr>
        <w:t>评价工作等级</w:t>
      </w:r>
      <w:bookmarkEnd w:id="107"/>
      <w:bookmarkEnd w:id="108"/>
      <w:bookmarkEnd w:id="109"/>
      <w:bookmarkEnd w:id="110"/>
      <w:bookmarkEnd w:id="111"/>
    </w:p>
    <w:p w14:paraId="7EFDE0CF">
      <w:pPr>
        <w:pStyle w:val="5"/>
        <w:rPr>
          <w:rFonts w:cs="Times New Roman"/>
          <w:color w:val="auto"/>
        </w:rPr>
      </w:pPr>
      <w:r>
        <w:rPr>
          <w:rFonts w:cs="Times New Roman"/>
          <w:color w:val="auto"/>
        </w:rPr>
        <w:t>大气环境评价等级</w:t>
      </w:r>
    </w:p>
    <w:p w14:paraId="6CA66DA4">
      <w:pPr>
        <w:ind w:firstLine="480"/>
        <w:rPr>
          <w:color w:val="auto"/>
        </w:rPr>
      </w:pPr>
      <w:r>
        <w:rPr>
          <w:rFonts w:hint="eastAsia"/>
          <w:color w:val="auto"/>
        </w:rPr>
        <w:t>根据《环境影响评价技术导则 大气环境》（HJ 2.2-2018），结合项目工程分析结果，选择正常排放的主要大气污染物及排放参数，采用附录A推荐AERMOD模型中的AERSCREEN模式计算项目污染源的最大环境影响，然后按评价工作分级判据进行分级。</w:t>
      </w:r>
    </w:p>
    <w:p w14:paraId="47C923F0">
      <w:pPr>
        <w:ind w:firstLine="480"/>
        <w:rPr>
          <w:color w:val="auto"/>
        </w:rPr>
      </w:pPr>
      <w:r>
        <w:rPr>
          <w:rFonts w:hint="eastAsia"/>
          <w:color w:val="auto"/>
        </w:rPr>
        <w:t>1</w:t>
      </w:r>
      <w:r>
        <w:rPr>
          <w:color w:val="auto"/>
        </w:rPr>
        <w:t>.</w:t>
      </w:r>
      <w:r>
        <w:rPr>
          <w:rFonts w:hint="eastAsia"/>
          <w:color w:val="auto"/>
        </w:rPr>
        <w:t>评价等级判定</w:t>
      </w:r>
    </w:p>
    <w:p w14:paraId="0A7495AB">
      <w:pPr>
        <w:ind w:firstLine="480"/>
        <w:rPr>
          <w:color w:val="auto"/>
        </w:rPr>
      </w:pPr>
      <w:r>
        <w:rPr>
          <w:rFonts w:hint="eastAsia"/>
          <w:color w:val="auto"/>
        </w:rPr>
        <w:t>根据项目工程分析结果，项目排放的空气污染物主要为SO</w:t>
      </w:r>
      <w:r>
        <w:rPr>
          <w:rFonts w:hint="eastAsia"/>
          <w:color w:val="auto"/>
          <w:vertAlign w:val="subscript"/>
        </w:rPr>
        <w:t>2</w:t>
      </w:r>
      <w:r>
        <w:rPr>
          <w:rFonts w:hint="eastAsia"/>
          <w:color w:val="auto"/>
        </w:rPr>
        <w:t>、NOx、非甲烷总烃、颗粒物、H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等，故选择以上因子作为主要污染物，计算污染物的最大地面浓度占标率P</w:t>
      </w:r>
      <w:r>
        <w:rPr>
          <w:rFonts w:hint="eastAsia"/>
          <w:color w:val="auto"/>
          <w:vertAlign w:val="subscript"/>
        </w:rPr>
        <w:t>i</w:t>
      </w:r>
      <w:r>
        <w:rPr>
          <w:rFonts w:hint="eastAsia"/>
          <w:color w:val="auto"/>
        </w:rPr>
        <w:t>（第i个污染物）及地面浓度达标准限值10%时所对应的最远距离D10%。</w:t>
      </w:r>
    </w:p>
    <w:p w14:paraId="359E6EAE">
      <w:pPr>
        <w:ind w:firstLine="480"/>
        <w:rPr>
          <w:color w:val="auto"/>
        </w:rPr>
      </w:pPr>
      <w:r>
        <w:rPr>
          <w:rFonts w:hint="eastAsia"/>
          <w:color w:val="auto"/>
        </w:rPr>
        <w:t>其中Pi定义为：</w:t>
      </w:r>
    </w:p>
    <w:p w14:paraId="1A08CD79">
      <w:pPr>
        <w:adjustRightInd w:val="0"/>
        <w:snapToGrid w:val="0"/>
        <w:ind w:firstLine="480"/>
        <w:jc w:val="center"/>
        <w:textAlignment w:val="baseline"/>
        <w:rPr>
          <w:color w:val="auto"/>
        </w:rPr>
      </w:pPr>
      <w:r>
        <w:rPr>
          <w:color w:val="auto"/>
        </w:rPr>
        <w:drawing>
          <wp:inline distT="0" distB="0" distL="0" distR="0">
            <wp:extent cx="1216660" cy="214630"/>
            <wp:effectExtent l="0" t="0" r="0" b="0"/>
            <wp:docPr id="24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8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1216660" cy="214630"/>
                    </a:xfrm>
                    <a:prstGeom prst="rect">
                      <a:avLst/>
                    </a:prstGeom>
                    <a:noFill/>
                    <a:ln>
                      <a:noFill/>
                    </a:ln>
                  </pic:spPr>
                </pic:pic>
              </a:graphicData>
            </a:graphic>
          </wp:inline>
        </w:drawing>
      </w:r>
    </w:p>
    <w:p w14:paraId="5EBF60A4">
      <w:pPr>
        <w:ind w:firstLine="480"/>
        <w:rPr>
          <w:color w:val="auto"/>
        </w:rPr>
      </w:pPr>
      <w:r>
        <w:rPr>
          <w:rFonts w:hint="eastAsia"/>
          <w:color w:val="auto"/>
        </w:rPr>
        <w:t>式中：P</w:t>
      </w:r>
      <w:r>
        <w:rPr>
          <w:rFonts w:hint="eastAsia"/>
          <w:color w:val="auto"/>
          <w:vertAlign w:val="subscript"/>
        </w:rPr>
        <w:t>i</w:t>
      </w:r>
      <w:r>
        <w:rPr>
          <w:rFonts w:hint="eastAsia"/>
          <w:color w:val="auto"/>
        </w:rPr>
        <w:t>—第i个污染物的最大地面空气质量浓度占标率，%；</w:t>
      </w:r>
    </w:p>
    <w:p w14:paraId="6EEB4A91">
      <w:pPr>
        <w:ind w:firstLine="1200" w:firstLineChars="500"/>
        <w:rPr>
          <w:color w:val="auto"/>
        </w:rPr>
      </w:pPr>
      <w:r>
        <w:rPr>
          <w:rFonts w:hint="eastAsia"/>
          <w:color w:val="auto"/>
        </w:rPr>
        <w:t>C</w:t>
      </w:r>
      <w:r>
        <w:rPr>
          <w:rFonts w:hint="eastAsia"/>
          <w:color w:val="auto"/>
          <w:vertAlign w:val="subscript"/>
        </w:rPr>
        <w:t>i</w:t>
      </w:r>
      <w:r>
        <w:rPr>
          <w:rFonts w:hint="eastAsia"/>
          <w:color w:val="auto"/>
        </w:rPr>
        <w:t>—采用估算模型计算出的第i个污染物的最大1h地面空气质量浓度，</w:t>
      </w:r>
      <w:r>
        <w:rPr>
          <w:color w:val="auto"/>
        </w:rPr>
        <w:t>μg/m</w:t>
      </w:r>
      <w:r>
        <w:rPr>
          <w:color w:val="auto"/>
          <w:vertAlign w:val="superscript"/>
        </w:rPr>
        <w:t>3</w:t>
      </w:r>
      <w:r>
        <w:rPr>
          <w:color w:val="auto"/>
        </w:rPr>
        <w:t>；</w:t>
      </w:r>
    </w:p>
    <w:p w14:paraId="53989875">
      <w:pPr>
        <w:ind w:firstLine="480"/>
        <w:rPr>
          <w:rFonts w:cs="Times New Roman"/>
          <w:color w:val="auto"/>
        </w:rPr>
      </w:pPr>
      <w:r>
        <w:rPr>
          <w:rFonts w:hint="eastAsia"/>
          <w:color w:val="auto"/>
        </w:rPr>
        <w:t>C</w:t>
      </w:r>
      <w:r>
        <w:rPr>
          <w:rFonts w:hint="eastAsia"/>
          <w:color w:val="auto"/>
          <w:vertAlign w:val="subscript"/>
        </w:rPr>
        <w:t>oi</w:t>
      </w:r>
      <w:r>
        <w:rPr>
          <w:rFonts w:hint="eastAsia"/>
          <w:color w:val="auto"/>
        </w:rPr>
        <w:t>—第i个污染物的环境空气质量浓度标准，</w:t>
      </w:r>
      <w:r>
        <w:rPr>
          <w:color w:val="auto"/>
        </w:rPr>
        <w:t>μg/m</w:t>
      </w:r>
      <w:r>
        <w:rPr>
          <w:rFonts w:hint="eastAsia"/>
          <w:color w:val="auto"/>
          <w:vertAlign w:val="superscript"/>
        </w:rPr>
        <w:t>3</w:t>
      </w:r>
      <w:r>
        <w:rPr>
          <w:rFonts w:hint="eastAsia"/>
          <w:color w:val="auto"/>
        </w:rPr>
        <w:t>。对仅有8h平均质量浓度限值、日平均质量浓度限值或年平均质量浓度限值的，可分别按2倍、3倍、6倍折算为1h平均质量浓度限值。本项目TSP、PM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选用GB3095中日平均浓度二级标准的三倍；H</w:t>
      </w:r>
      <w:r>
        <w:rPr>
          <w:rFonts w:hint="eastAsia"/>
          <w:color w:val="auto"/>
          <w:vertAlign w:val="subscript"/>
        </w:rPr>
        <w:t>2</w:t>
      </w:r>
      <w:r>
        <w:rPr>
          <w:rFonts w:hint="eastAsia"/>
          <w:color w:val="auto"/>
        </w:rPr>
        <w:t>S、NH</w:t>
      </w:r>
      <w:r>
        <w:rPr>
          <w:rFonts w:hint="eastAsia"/>
          <w:color w:val="auto"/>
          <w:vertAlign w:val="subscript"/>
        </w:rPr>
        <w:t>3</w:t>
      </w:r>
      <w:r>
        <w:rPr>
          <w:rFonts w:hint="eastAsia"/>
          <w:color w:val="auto"/>
        </w:rPr>
        <w:t>选用HJ2.2-2018附录D参考限值，非甲烷总烃选用《大气污染物综合排放标准详解》推荐值。</w:t>
      </w:r>
    </w:p>
    <w:p w14:paraId="201D9D0B">
      <w:pPr>
        <w:pStyle w:val="7"/>
        <w:rPr>
          <w:color w:val="auto"/>
        </w:rPr>
      </w:pPr>
      <w:r>
        <w:rPr>
          <w:color w:val="auto"/>
        </w:rPr>
        <w:t>大气评价等级判别表</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56"/>
        <w:gridCol w:w="5811"/>
      </w:tblGrid>
      <w:tr w14:paraId="64994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3256" w:type="dxa"/>
            <w:vAlign w:val="center"/>
          </w:tcPr>
          <w:p w14:paraId="2B1E6EFD">
            <w:pPr>
              <w:pStyle w:val="33"/>
              <w:rPr>
                <w:color w:val="auto"/>
              </w:rPr>
            </w:pPr>
            <w:r>
              <w:rPr>
                <w:color w:val="auto"/>
              </w:rPr>
              <w:t>评价工作等级</w:t>
            </w:r>
          </w:p>
        </w:tc>
        <w:tc>
          <w:tcPr>
            <w:tcW w:w="5811" w:type="dxa"/>
            <w:vAlign w:val="center"/>
          </w:tcPr>
          <w:p w14:paraId="49949808">
            <w:pPr>
              <w:pStyle w:val="33"/>
              <w:rPr>
                <w:color w:val="auto"/>
              </w:rPr>
            </w:pPr>
            <w:r>
              <w:rPr>
                <w:color w:val="auto"/>
              </w:rPr>
              <w:t>评价工作等级分级判据</w:t>
            </w:r>
          </w:p>
        </w:tc>
      </w:tr>
      <w:tr w14:paraId="7AC1A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6" w:type="dxa"/>
            <w:vAlign w:val="center"/>
          </w:tcPr>
          <w:p w14:paraId="673701D3">
            <w:pPr>
              <w:pStyle w:val="33"/>
              <w:rPr>
                <w:color w:val="auto"/>
              </w:rPr>
            </w:pPr>
            <w:r>
              <w:rPr>
                <w:color w:val="auto"/>
              </w:rPr>
              <w:t>一级</w:t>
            </w:r>
          </w:p>
        </w:tc>
        <w:tc>
          <w:tcPr>
            <w:tcW w:w="5811" w:type="dxa"/>
            <w:vAlign w:val="center"/>
          </w:tcPr>
          <w:p w14:paraId="444DE11B">
            <w:pPr>
              <w:pStyle w:val="33"/>
              <w:rPr>
                <w:color w:val="auto"/>
              </w:rPr>
            </w:pPr>
            <w:r>
              <w:rPr>
                <w:color w:val="auto"/>
              </w:rPr>
              <w:t>P</w:t>
            </w:r>
            <w:r>
              <w:rPr>
                <w:color w:val="auto"/>
                <w:vertAlign w:val="subscript"/>
              </w:rPr>
              <w:t>max</w:t>
            </w:r>
            <w:r>
              <w:rPr>
                <w:color w:val="auto"/>
              </w:rPr>
              <w:t>≥10%</w:t>
            </w:r>
          </w:p>
        </w:tc>
      </w:tr>
      <w:tr w14:paraId="76E7B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6" w:type="dxa"/>
            <w:vAlign w:val="center"/>
          </w:tcPr>
          <w:p w14:paraId="71334FDB">
            <w:pPr>
              <w:pStyle w:val="33"/>
              <w:rPr>
                <w:color w:val="auto"/>
              </w:rPr>
            </w:pPr>
            <w:r>
              <w:rPr>
                <w:color w:val="auto"/>
              </w:rPr>
              <w:t>二级</w:t>
            </w:r>
          </w:p>
        </w:tc>
        <w:tc>
          <w:tcPr>
            <w:tcW w:w="5811" w:type="dxa"/>
            <w:vAlign w:val="center"/>
          </w:tcPr>
          <w:p w14:paraId="588B667D">
            <w:pPr>
              <w:pStyle w:val="33"/>
              <w:rPr>
                <w:color w:val="auto"/>
              </w:rPr>
            </w:pPr>
            <w:r>
              <w:rPr>
                <w:color w:val="auto"/>
              </w:rPr>
              <w:t>1%≤P</w:t>
            </w:r>
            <w:r>
              <w:rPr>
                <w:color w:val="auto"/>
                <w:vertAlign w:val="subscript"/>
              </w:rPr>
              <w:t>max</w:t>
            </w:r>
            <w:r>
              <w:rPr>
                <w:color w:val="auto"/>
              </w:rPr>
              <w:t>＜10%</w:t>
            </w:r>
          </w:p>
        </w:tc>
      </w:tr>
      <w:tr w14:paraId="5C04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256" w:type="dxa"/>
            <w:vAlign w:val="center"/>
          </w:tcPr>
          <w:p w14:paraId="31C48506">
            <w:pPr>
              <w:pStyle w:val="33"/>
              <w:rPr>
                <w:color w:val="auto"/>
              </w:rPr>
            </w:pPr>
            <w:r>
              <w:rPr>
                <w:color w:val="auto"/>
              </w:rPr>
              <w:t>三级</w:t>
            </w:r>
          </w:p>
        </w:tc>
        <w:tc>
          <w:tcPr>
            <w:tcW w:w="5811" w:type="dxa"/>
            <w:vAlign w:val="center"/>
          </w:tcPr>
          <w:p w14:paraId="5B300388">
            <w:pPr>
              <w:pStyle w:val="33"/>
              <w:rPr>
                <w:color w:val="auto"/>
              </w:rPr>
            </w:pPr>
            <w:r>
              <w:rPr>
                <w:color w:val="auto"/>
              </w:rPr>
              <w:t>P</w:t>
            </w:r>
            <w:r>
              <w:rPr>
                <w:color w:val="auto"/>
                <w:vertAlign w:val="subscript"/>
              </w:rPr>
              <w:t>max</w:t>
            </w:r>
            <w:r>
              <w:rPr>
                <w:color w:val="auto"/>
              </w:rPr>
              <w:t>＜10%</w:t>
            </w:r>
          </w:p>
        </w:tc>
      </w:tr>
    </w:tbl>
    <w:p w14:paraId="2D5B267B">
      <w:pPr>
        <w:ind w:firstLine="480"/>
        <w:rPr>
          <w:rFonts w:cs="Times New Roman"/>
          <w:color w:val="auto"/>
        </w:rPr>
      </w:pPr>
      <w:r>
        <w:rPr>
          <w:rFonts w:hint="eastAsia" w:cs="Times New Roman"/>
          <w:color w:val="auto"/>
        </w:rPr>
        <w:t>2.估算模式选取参数</w:t>
      </w:r>
    </w:p>
    <w:p w14:paraId="1CE01434">
      <w:pPr>
        <w:ind w:firstLine="480"/>
        <w:rPr>
          <w:rFonts w:cs="Times New Roman"/>
          <w:color w:val="auto"/>
        </w:rPr>
      </w:pPr>
      <w:r>
        <w:rPr>
          <w:rFonts w:hint="eastAsia" w:cs="Times New Roman"/>
          <w:color w:val="auto"/>
        </w:rPr>
        <w:t xml:space="preserve">本项目估算模式选取参数情况详见下表。 </w:t>
      </w:r>
    </w:p>
    <w:p w14:paraId="5B73C85C">
      <w:pPr>
        <w:pStyle w:val="7"/>
        <w:rPr>
          <w:color w:val="auto"/>
        </w:rPr>
      </w:pPr>
      <w:r>
        <w:rPr>
          <w:color w:val="auto"/>
        </w:rPr>
        <w:t>估算模型参数表</w:t>
      </w:r>
    </w:p>
    <w:tbl>
      <w:tblPr>
        <w:tblStyle w:val="26"/>
        <w:tblW w:w="9286" w:type="dxa"/>
        <w:jc w:val="center"/>
        <w:tblLayout w:type="fixed"/>
        <w:tblCellMar>
          <w:top w:w="0" w:type="dxa"/>
          <w:left w:w="108" w:type="dxa"/>
          <w:bottom w:w="0" w:type="dxa"/>
          <w:right w:w="108" w:type="dxa"/>
        </w:tblCellMar>
      </w:tblPr>
      <w:tblGrid>
        <w:gridCol w:w="1762"/>
        <w:gridCol w:w="3733"/>
        <w:gridCol w:w="3791"/>
      </w:tblGrid>
      <w:tr w14:paraId="329C87A9">
        <w:tblPrEx>
          <w:tblCellMar>
            <w:top w:w="0" w:type="dxa"/>
            <w:left w:w="108" w:type="dxa"/>
            <w:bottom w:w="0" w:type="dxa"/>
            <w:right w:w="108" w:type="dxa"/>
          </w:tblCellMar>
        </w:tblPrEx>
        <w:trPr>
          <w:trHeight w:val="733" w:hRule="atLeast"/>
          <w:tblHeader/>
          <w:jc w:val="center"/>
        </w:trPr>
        <w:tc>
          <w:tcPr>
            <w:tcW w:w="5495" w:type="dxa"/>
            <w:gridSpan w:val="2"/>
            <w:tcBorders>
              <w:top w:val="single" w:color="auto" w:sz="4" w:space="0"/>
              <w:left w:val="single" w:color="auto" w:sz="4" w:space="0"/>
              <w:bottom w:val="single" w:color="auto" w:sz="4" w:space="0"/>
              <w:right w:val="single" w:color="auto" w:sz="4" w:space="0"/>
            </w:tcBorders>
            <w:vAlign w:val="center"/>
          </w:tcPr>
          <w:p w14:paraId="03DA577A">
            <w:pPr>
              <w:pStyle w:val="33"/>
              <w:rPr>
                <w:color w:val="auto"/>
              </w:rPr>
            </w:pPr>
            <w:r>
              <w:rPr>
                <w:color w:val="auto"/>
              </w:rPr>
              <w:t>参数</w:t>
            </w:r>
          </w:p>
        </w:tc>
        <w:tc>
          <w:tcPr>
            <w:tcW w:w="3791" w:type="dxa"/>
            <w:tcBorders>
              <w:top w:val="single" w:color="auto" w:sz="4" w:space="0"/>
              <w:left w:val="nil"/>
              <w:bottom w:val="single" w:color="auto" w:sz="4" w:space="0"/>
              <w:right w:val="single" w:color="auto" w:sz="4" w:space="0"/>
            </w:tcBorders>
            <w:vAlign w:val="center"/>
          </w:tcPr>
          <w:p w14:paraId="6A5AA5EE">
            <w:pPr>
              <w:pStyle w:val="33"/>
              <w:rPr>
                <w:color w:val="auto"/>
              </w:rPr>
            </w:pPr>
            <w:r>
              <w:rPr>
                <w:color w:val="auto"/>
              </w:rPr>
              <w:t>取值</w:t>
            </w:r>
          </w:p>
        </w:tc>
      </w:tr>
      <w:tr w14:paraId="45502AF7">
        <w:tblPrEx>
          <w:tblCellMar>
            <w:top w:w="0" w:type="dxa"/>
            <w:left w:w="108" w:type="dxa"/>
            <w:bottom w:w="0" w:type="dxa"/>
            <w:right w:w="108" w:type="dxa"/>
          </w:tblCellMar>
        </w:tblPrEx>
        <w:trPr>
          <w:trHeight w:val="281" w:hRule="atLeast"/>
          <w:jc w:val="center"/>
        </w:trPr>
        <w:tc>
          <w:tcPr>
            <w:tcW w:w="1762" w:type="dxa"/>
            <w:vMerge w:val="restart"/>
            <w:tcBorders>
              <w:top w:val="nil"/>
              <w:left w:val="single" w:color="auto" w:sz="4" w:space="0"/>
              <w:bottom w:val="single" w:color="auto" w:sz="4" w:space="0"/>
              <w:right w:val="single" w:color="auto" w:sz="4" w:space="0"/>
            </w:tcBorders>
            <w:vAlign w:val="center"/>
          </w:tcPr>
          <w:p w14:paraId="3A0D1CF6">
            <w:pPr>
              <w:pStyle w:val="33"/>
              <w:rPr>
                <w:bCs/>
                <w:color w:val="auto"/>
              </w:rPr>
            </w:pPr>
            <w:r>
              <w:rPr>
                <w:bCs/>
                <w:color w:val="auto"/>
              </w:rPr>
              <w:t>城市/农村选项</w:t>
            </w:r>
          </w:p>
        </w:tc>
        <w:tc>
          <w:tcPr>
            <w:tcW w:w="3733" w:type="dxa"/>
            <w:tcBorders>
              <w:top w:val="single" w:color="auto" w:sz="4" w:space="0"/>
              <w:left w:val="nil"/>
              <w:bottom w:val="single" w:color="auto" w:sz="4" w:space="0"/>
              <w:right w:val="single" w:color="auto" w:sz="4" w:space="0"/>
            </w:tcBorders>
            <w:vAlign w:val="center"/>
          </w:tcPr>
          <w:p w14:paraId="241CD68C">
            <w:pPr>
              <w:pStyle w:val="33"/>
              <w:rPr>
                <w:bCs/>
                <w:color w:val="auto"/>
              </w:rPr>
            </w:pPr>
            <w:r>
              <w:rPr>
                <w:bCs/>
                <w:color w:val="auto"/>
              </w:rPr>
              <w:t>城市/农村</w:t>
            </w:r>
          </w:p>
        </w:tc>
        <w:tc>
          <w:tcPr>
            <w:tcW w:w="3791" w:type="dxa"/>
            <w:tcBorders>
              <w:top w:val="single" w:color="auto" w:sz="4" w:space="0"/>
              <w:left w:val="nil"/>
              <w:bottom w:val="single" w:color="auto" w:sz="4" w:space="0"/>
              <w:right w:val="single" w:color="auto" w:sz="4" w:space="0"/>
            </w:tcBorders>
            <w:vAlign w:val="center"/>
          </w:tcPr>
          <w:p w14:paraId="015F6FC9">
            <w:pPr>
              <w:pStyle w:val="33"/>
              <w:rPr>
                <w:bCs/>
                <w:color w:val="auto"/>
              </w:rPr>
            </w:pPr>
            <w:r>
              <w:rPr>
                <w:rFonts w:hint="eastAsia"/>
                <w:bCs/>
                <w:color w:val="auto"/>
              </w:rPr>
              <w:t>城市</w:t>
            </w:r>
          </w:p>
        </w:tc>
      </w:tr>
      <w:tr w14:paraId="192BB798">
        <w:tblPrEx>
          <w:tblCellMar>
            <w:top w:w="0" w:type="dxa"/>
            <w:left w:w="108" w:type="dxa"/>
            <w:bottom w:w="0" w:type="dxa"/>
            <w:right w:w="108" w:type="dxa"/>
          </w:tblCellMar>
        </w:tblPrEx>
        <w:trPr>
          <w:trHeight w:val="281" w:hRule="atLeast"/>
          <w:jc w:val="center"/>
        </w:trPr>
        <w:tc>
          <w:tcPr>
            <w:tcW w:w="1762" w:type="dxa"/>
            <w:vMerge w:val="continue"/>
            <w:tcBorders>
              <w:top w:val="nil"/>
              <w:left w:val="single" w:color="auto" w:sz="4" w:space="0"/>
              <w:bottom w:val="single" w:color="auto" w:sz="4" w:space="0"/>
              <w:right w:val="single" w:color="auto" w:sz="4" w:space="0"/>
            </w:tcBorders>
            <w:vAlign w:val="center"/>
          </w:tcPr>
          <w:p w14:paraId="2F8D215F">
            <w:pPr>
              <w:pStyle w:val="33"/>
              <w:rPr>
                <w:bCs/>
                <w:color w:val="auto"/>
              </w:rPr>
            </w:pPr>
          </w:p>
        </w:tc>
        <w:tc>
          <w:tcPr>
            <w:tcW w:w="3733" w:type="dxa"/>
            <w:tcBorders>
              <w:top w:val="single" w:color="auto" w:sz="4" w:space="0"/>
              <w:left w:val="nil"/>
              <w:bottom w:val="single" w:color="auto" w:sz="4" w:space="0"/>
              <w:right w:val="single" w:color="auto" w:sz="4" w:space="0"/>
            </w:tcBorders>
            <w:vAlign w:val="center"/>
          </w:tcPr>
          <w:p w14:paraId="5445FE12">
            <w:pPr>
              <w:pStyle w:val="33"/>
              <w:rPr>
                <w:bCs/>
                <w:color w:val="auto"/>
              </w:rPr>
            </w:pPr>
            <w:r>
              <w:rPr>
                <w:bCs/>
                <w:color w:val="auto"/>
              </w:rPr>
              <w:t>人口数（城市选项时）</w:t>
            </w:r>
          </w:p>
        </w:tc>
        <w:tc>
          <w:tcPr>
            <w:tcW w:w="3791" w:type="dxa"/>
            <w:tcBorders>
              <w:top w:val="single" w:color="auto" w:sz="4" w:space="0"/>
              <w:left w:val="nil"/>
              <w:bottom w:val="single" w:color="auto" w:sz="4" w:space="0"/>
              <w:right w:val="single" w:color="auto" w:sz="4" w:space="0"/>
            </w:tcBorders>
            <w:vAlign w:val="center"/>
          </w:tcPr>
          <w:p w14:paraId="1C30DA19">
            <w:pPr>
              <w:pStyle w:val="33"/>
              <w:rPr>
                <w:bCs/>
                <w:color w:val="auto"/>
              </w:rPr>
            </w:pPr>
            <w:r>
              <w:rPr>
                <w:rFonts w:hint="eastAsia"/>
                <w:bCs/>
                <w:color w:val="auto"/>
              </w:rPr>
              <w:t>28</w:t>
            </w:r>
          </w:p>
        </w:tc>
      </w:tr>
      <w:tr w14:paraId="082BBDE6">
        <w:tblPrEx>
          <w:tblCellMar>
            <w:top w:w="0" w:type="dxa"/>
            <w:left w:w="108" w:type="dxa"/>
            <w:bottom w:w="0" w:type="dxa"/>
            <w:right w:w="108" w:type="dxa"/>
          </w:tblCellMar>
        </w:tblPrEx>
        <w:trPr>
          <w:trHeight w:val="281" w:hRule="atLeast"/>
          <w:jc w:val="center"/>
        </w:trPr>
        <w:tc>
          <w:tcPr>
            <w:tcW w:w="5495" w:type="dxa"/>
            <w:gridSpan w:val="2"/>
            <w:tcBorders>
              <w:top w:val="single" w:color="auto" w:sz="4" w:space="0"/>
              <w:left w:val="single" w:color="auto" w:sz="4" w:space="0"/>
              <w:bottom w:val="single" w:color="auto" w:sz="4" w:space="0"/>
              <w:right w:val="single" w:color="auto" w:sz="4" w:space="0"/>
            </w:tcBorders>
            <w:vAlign w:val="center"/>
          </w:tcPr>
          <w:p w14:paraId="3D2EF2C6">
            <w:pPr>
              <w:pStyle w:val="33"/>
              <w:rPr>
                <w:bCs/>
                <w:color w:val="auto"/>
              </w:rPr>
            </w:pPr>
            <w:r>
              <w:rPr>
                <w:bCs/>
                <w:color w:val="auto"/>
              </w:rPr>
              <w:t>最高环境温度/</w:t>
            </w:r>
            <w:r>
              <w:rPr>
                <w:bCs/>
                <w:color w:val="auto"/>
                <w:vertAlign w:val="superscript"/>
              </w:rPr>
              <w:t>o</w:t>
            </w:r>
            <w:r>
              <w:rPr>
                <w:bCs/>
                <w:color w:val="auto"/>
              </w:rPr>
              <w:t>C</w:t>
            </w:r>
          </w:p>
        </w:tc>
        <w:tc>
          <w:tcPr>
            <w:tcW w:w="3791" w:type="dxa"/>
            <w:tcBorders>
              <w:top w:val="single" w:color="auto" w:sz="4" w:space="0"/>
              <w:left w:val="nil"/>
              <w:bottom w:val="single" w:color="auto" w:sz="4" w:space="0"/>
              <w:right w:val="single" w:color="auto" w:sz="4" w:space="0"/>
            </w:tcBorders>
            <w:vAlign w:val="center"/>
          </w:tcPr>
          <w:p w14:paraId="4D246461">
            <w:pPr>
              <w:pStyle w:val="33"/>
              <w:rPr>
                <w:bCs/>
                <w:color w:val="auto"/>
              </w:rPr>
            </w:pPr>
            <w:r>
              <w:rPr>
                <w:bCs/>
                <w:color w:val="auto"/>
              </w:rPr>
              <w:t>37.4</w:t>
            </w:r>
          </w:p>
        </w:tc>
      </w:tr>
      <w:tr w14:paraId="27ABF172">
        <w:tblPrEx>
          <w:tblCellMar>
            <w:top w:w="0" w:type="dxa"/>
            <w:left w:w="108" w:type="dxa"/>
            <w:bottom w:w="0" w:type="dxa"/>
            <w:right w:w="108" w:type="dxa"/>
          </w:tblCellMar>
        </w:tblPrEx>
        <w:trPr>
          <w:trHeight w:val="281" w:hRule="atLeast"/>
          <w:jc w:val="center"/>
        </w:trPr>
        <w:tc>
          <w:tcPr>
            <w:tcW w:w="5495" w:type="dxa"/>
            <w:gridSpan w:val="2"/>
            <w:tcBorders>
              <w:top w:val="single" w:color="auto" w:sz="4" w:space="0"/>
              <w:left w:val="single" w:color="auto" w:sz="4" w:space="0"/>
              <w:bottom w:val="single" w:color="auto" w:sz="4" w:space="0"/>
              <w:right w:val="single" w:color="auto" w:sz="4" w:space="0"/>
            </w:tcBorders>
            <w:vAlign w:val="center"/>
          </w:tcPr>
          <w:p w14:paraId="1120E02C">
            <w:pPr>
              <w:pStyle w:val="33"/>
              <w:rPr>
                <w:bCs/>
                <w:color w:val="auto"/>
              </w:rPr>
            </w:pPr>
            <w:r>
              <w:rPr>
                <w:bCs/>
                <w:color w:val="auto"/>
              </w:rPr>
              <w:t>最低环境温度/</w:t>
            </w:r>
            <w:r>
              <w:rPr>
                <w:bCs/>
                <w:color w:val="auto"/>
                <w:vertAlign w:val="superscript"/>
              </w:rPr>
              <w:t>o</w:t>
            </w:r>
            <w:r>
              <w:rPr>
                <w:bCs/>
                <w:color w:val="auto"/>
              </w:rPr>
              <w:t>C</w:t>
            </w:r>
          </w:p>
        </w:tc>
        <w:tc>
          <w:tcPr>
            <w:tcW w:w="3791" w:type="dxa"/>
            <w:tcBorders>
              <w:top w:val="single" w:color="auto" w:sz="4" w:space="0"/>
              <w:left w:val="nil"/>
              <w:bottom w:val="single" w:color="auto" w:sz="4" w:space="0"/>
              <w:right w:val="single" w:color="auto" w:sz="4" w:space="0"/>
            </w:tcBorders>
            <w:vAlign w:val="center"/>
          </w:tcPr>
          <w:p w14:paraId="3544B3A1">
            <w:pPr>
              <w:pStyle w:val="33"/>
              <w:rPr>
                <w:bCs/>
                <w:color w:val="auto"/>
              </w:rPr>
            </w:pPr>
            <w:r>
              <w:rPr>
                <w:bCs/>
                <w:color w:val="auto"/>
              </w:rPr>
              <w:t>1.7</w:t>
            </w:r>
          </w:p>
        </w:tc>
      </w:tr>
      <w:tr w14:paraId="4A9C7741">
        <w:tblPrEx>
          <w:tblCellMar>
            <w:top w:w="0" w:type="dxa"/>
            <w:left w:w="108" w:type="dxa"/>
            <w:bottom w:w="0" w:type="dxa"/>
            <w:right w:w="108" w:type="dxa"/>
          </w:tblCellMar>
        </w:tblPrEx>
        <w:trPr>
          <w:trHeight w:val="281" w:hRule="atLeast"/>
          <w:jc w:val="center"/>
        </w:trPr>
        <w:tc>
          <w:tcPr>
            <w:tcW w:w="5495" w:type="dxa"/>
            <w:gridSpan w:val="2"/>
            <w:tcBorders>
              <w:top w:val="single" w:color="auto" w:sz="4" w:space="0"/>
              <w:left w:val="single" w:color="auto" w:sz="4" w:space="0"/>
              <w:bottom w:val="single" w:color="auto" w:sz="4" w:space="0"/>
              <w:right w:val="single" w:color="auto" w:sz="4" w:space="0"/>
            </w:tcBorders>
            <w:vAlign w:val="center"/>
          </w:tcPr>
          <w:p w14:paraId="0A5A609C">
            <w:pPr>
              <w:pStyle w:val="33"/>
              <w:rPr>
                <w:bCs/>
                <w:color w:val="auto"/>
              </w:rPr>
            </w:pPr>
            <w:r>
              <w:rPr>
                <w:bCs/>
                <w:color w:val="auto"/>
              </w:rPr>
              <w:t>土地利用类型</w:t>
            </w:r>
          </w:p>
        </w:tc>
        <w:tc>
          <w:tcPr>
            <w:tcW w:w="3791" w:type="dxa"/>
            <w:tcBorders>
              <w:top w:val="single" w:color="auto" w:sz="4" w:space="0"/>
              <w:left w:val="nil"/>
              <w:bottom w:val="single" w:color="auto" w:sz="4" w:space="0"/>
              <w:right w:val="single" w:color="auto" w:sz="4" w:space="0"/>
            </w:tcBorders>
            <w:vAlign w:val="center"/>
          </w:tcPr>
          <w:p w14:paraId="4838EB02">
            <w:pPr>
              <w:pStyle w:val="33"/>
              <w:rPr>
                <w:bCs/>
                <w:color w:val="auto"/>
              </w:rPr>
            </w:pPr>
            <w:r>
              <w:rPr>
                <w:bCs/>
                <w:color w:val="auto"/>
              </w:rPr>
              <w:t>城市</w:t>
            </w:r>
            <w:r>
              <w:rPr>
                <w:rFonts w:hint="eastAsia"/>
                <w:bCs/>
                <w:color w:val="auto"/>
              </w:rPr>
              <w:t>、农作地</w:t>
            </w:r>
            <w:r>
              <w:rPr>
                <w:bCs/>
                <w:color w:val="auto"/>
              </w:rPr>
              <w:t>、</w:t>
            </w:r>
            <w:r>
              <w:rPr>
                <w:rFonts w:hint="eastAsia"/>
                <w:bCs/>
                <w:color w:val="auto"/>
              </w:rPr>
              <w:t>落叶林</w:t>
            </w:r>
          </w:p>
        </w:tc>
      </w:tr>
      <w:tr w14:paraId="002848DC">
        <w:tblPrEx>
          <w:tblCellMar>
            <w:top w:w="0" w:type="dxa"/>
            <w:left w:w="108" w:type="dxa"/>
            <w:bottom w:w="0" w:type="dxa"/>
            <w:right w:w="108" w:type="dxa"/>
          </w:tblCellMar>
        </w:tblPrEx>
        <w:trPr>
          <w:trHeight w:val="281" w:hRule="atLeast"/>
          <w:jc w:val="center"/>
        </w:trPr>
        <w:tc>
          <w:tcPr>
            <w:tcW w:w="5495" w:type="dxa"/>
            <w:gridSpan w:val="2"/>
            <w:tcBorders>
              <w:top w:val="single" w:color="auto" w:sz="4" w:space="0"/>
              <w:left w:val="single" w:color="auto" w:sz="4" w:space="0"/>
              <w:bottom w:val="single" w:color="auto" w:sz="4" w:space="0"/>
              <w:right w:val="single" w:color="auto" w:sz="4" w:space="0"/>
            </w:tcBorders>
            <w:vAlign w:val="center"/>
          </w:tcPr>
          <w:p w14:paraId="6F97D60C">
            <w:pPr>
              <w:pStyle w:val="33"/>
              <w:rPr>
                <w:bCs/>
                <w:color w:val="auto"/>
              </w:rPr>
            </w:pPr>
            <w:r>
              <w:rPr>
                <w:bCs/>
                <w:color w:val="auto"/>
              </w:rPr>
              <w:t>区域湿度条件</w:t>
            </w:r>
          </w:p>
        </w:tc>
        <w:tc>
          <w:tcPr>
            <w:tcW w:w="3791" w:type="dxa"/>
            <w:tcBorders>
              <w:top w:val="single" w:color="auto" w:sz="4" w:space="0"/>
              <w:left w:val="nil"/>
              <w:bottom w:val="single" w:color="auto" w:sz="4" w:space="0"/>
              <w:right w:val="single" w:color="auto" w:sz="4" w:space="0"/>
            </w:tcBorders>
            <w:vAlign w:val="center"/>
          </w:tcPr>
          <w:p w14:paraId="2EFB779B">
            <w:pPr>
              <w:pStyle w:val="33"/>
              <w:rPr>
                <w:bCs/>
                <w:color w:val="auto"/>
              </w:rPr>
            </w:pPr>
            <w:r>
              <w:rPr>
                <w:bCs/>
                <w:color w:val="auto"/>
              </w:rPr>
              <w:t>潮湿气候</w:t>
            </w:r>
          </w:p>
        </w:tc>
      </w:tr>
      <w:tr w14:paraId="563672E5">
        <w:tblPrEx>
          <w:tblCellMar>
            <w:top w:w="0" w:type="dxa"/>
            <w:left w:w="108" w:type="dxa"/>
            <w:bottom w:w="0" w:type="dxa"/>
            <w:right w:w="108" w:type="dxa"/>
          </w:tblCellMar>
        </w:tblPrEx>
        <w:trPr>
          <w:trHeight w:val="281" w:hRule="atLeast"/>
          <w:jc w:val="center"/>
        </w:trPr>
        <w:tc>
          <w:tcPr>
            <w:tcW w:w="1762" w:type="dxa"/>
            <w:vMerge w:val="restart"/>
            <w:tcBorders>
              <w:top w:val="nil"/>
              <w:left w:val="single" w:color="auto" w:sz="4" w:space="0"/>
              <w:bottom w:val="single" w:color="auto" w:sz="4" w:space="0"/>
              <w:right w:val="single" w:color="auto" w:sz="4" w:space="0"/>
            </w:tcBorders>
            <w:vAlign w:val="center"/>
          </w:tcPr>
          <w:p w14:paraId="247FC158">
            <w:pPr>
              <w:pStyle w:val="33"/>
              <w:rPr>
                <w:bCs/>
                <w:color w:val="auto"/>
              </w:rPr>
            </w:pPr>
            <w:r>
              <w:rPr>
                <w:bCs/>
                <w:color w:val="auto"/>
              </w:rPr>
              <w:t>是否考虑地形</w:t>
            </w:r>
          </w:p>
        </w:tc>
        <w:tc>
          <w:tcPr>
            <w:tcW w:w="3733" w:type="dxa"/>
            <w:tcBorders>
              <w:top w:val="single" w:color="auto" w:sz="4" w:space="0"/>
              <w:left w:val="nil"/>
              <w:bottom w:val="single" w:color="auto" w:sz="4" w:space="0"/>
              <w:right w:val="single" w:color="auto" w:sz="4" w:space="0"/>
            </w:tcBorders>
            <w:vAlign w:val="center"/>
          </w:tcPr>
          <w:p w14:paraId="542900E5">
            <w:pPr>
              <w:pStyle w:val="33"/>
              <w:rPr>
                <w:bCs/>
                <w:color w:val="auto"/>
              </w:rPr>
            </w:pPr>
            <w:r>
              <w:rPr>
                <w:bCs/>
                <w:color w:val="auto"/>
              </w:rPr>
              <w:t>考虑地形</w:t>
            </w:r>
          </w:p>
        </w:tc>
        <w:tc>
          <w:tcPr>
            <w:tcW w:w="3791" w:type="dxa"/>
            <w:tcBorders>
              <w:top w:val="single" w:color="auto" w:sz="4" w:space="0"/>
              <w:left w:val="nil"/>
              <w:bottom w:val="single" w:color="auto" w:sz="4" w:space="0"/>
              <w:right w:val="single" w:color="auto" w:sz="4" w:space="0"/>
            </w:tcBorders>
            <w:vAlign w:val="center"/>
          </w:tcPr>
          <w:p w14:paraId="441434B2">
            <w:pPr>
              <w:pStyle w:val="33"/>
              <w:rPr>
                <w:bCs/>
                <w:color w:val="auto"/>
              </w:rPr>
            </w:pPr>
            <w:r>
              <w:rPr>
                <w:bCs/>
                <w:color w:val="auto"/>
              </w:rPr>
              <w:t>■是  □否</w:t>
            </w:r>
          </w:p>
        </w:tc>
      </w:tr>
      <w:tr w14:paraId="7699796B">
        <w:tblPrEx>
          <w:tblCellMar>
            <w:top w:w="0" w:type="dxa"/>
            <w:left w:w="108" w:type="dxa"/>
            <w:bottom w:w="0" w:type="dxa"/>
            <w:right w:w="108" w:type="dxa"/>
          </w:tblCellMar>
        </w:tblPrEx>
        <w:trPr>
          <w:trHeight w:val="281" w:hRule="atLeast"/>
          <w:jc w:val="center"/>
        </w:trPr>
        <w:tc>
          <w:tcPr>
            <w:tcW w:w="1762" w:type="dxa"/>
            <w:vMerge w:val="continue"/>
            <w:tcBorders>
              <w:top w:val="nil"/>
              <w:left w:val="single" w:color="auto" w:sz="4" w:space="0"/>
              <w:bottom w:val="single" w:color="auto" w:sz="4" w:space="0"/>
              <w:right w:val="single" w:color="auto" w:sz="4" w:space="0"/>
            </w:tcBorders>
            <w:vAlign w:val="center"/>
          </w:tcPr>
          <w:p w14:paraId="01E29A0E">
            <w:pPr>
              <w:pStyle w:val="33"/>
              <w:rPr>
                <w:bCs/>
                <w:color w:val="auto"/>
              </w:rPr>
            </w:pPr>
          </w:p>
        </w:tc>
        <w:tc>
          <w:tcPr>
            <w:tcW w:w="3733" w:type="dxa"/>
            <w:tcBorders>
              <w:top w:val="single" w:color="auto" w:sz="4" w:space="0"/>
              <w:left w:val="nil"/>
              <w:bottom w:val="single" w:color="auto" w:sz="4" w:space="0"/>
              <w:right w:val="single" w:color="auto" w:sz="4" w:space="0"/>
            </w:tcBorders>
            <w:vAlign w:val="center"/>
          </w:tcPr>
          <w:p w14:paraId="6D3CBCE9">
            <w:pPr>
              <w:pStyle w:val="33"/>
              <w:rPr>
                <w:bCs/>
                <w:color w:val="auto"/>
              </w:rPr>
            </w:pPr>
            <w:r>
              <w:rPr>
                <w:bCs/>
                <w:color w:val="auto"/>
              </w:rPr>
              <w:t>地形数据分辨率/m</w:t>
            </w:r>
          </w:p>
        </w:tc>
        <w:tc>
          <w:tcPr>
            <w:tcW w:w="3791" w:type="dxa"/>
            <w:tcBorders>
              <w:top w:val="single" w:color="auto" w:sz="4" w:space="0"/>
              <w:left w:val="nil"/>
              <w:bottom w:val="single" w:color="auto" w:sz="4" w:space="0"/>
              <w:right w:val="single" w:color="auto" w:sz="4" w:space="0"/>
            </w:tcBorders>
            <w:vAlign w:val="center"/>
          </w:tcPr>
          <w:p w14:paraId="4E282ED5">
            <w:pPr>
              <w:pStyle w:val="33"/>
              <w:rPr>
                <w:bCs/>
                <w:color w:val="auto"/>
              </w:rPr>
            </w:pPr>
            <w:r>
              <w:rPr>
                <w:bCs/>
                <w:color w:val="auto"/>
              </w:rPr>
              <w:t>90m</w:t>
            </w:r>
          </w:p>
        </w:tc>
      </w:tr>
      <w:tr w14:paraId="034BCC57">
        <w:tblPrEx>
          <w:tblCellMar>
            <w:top w:w="0" w:type="dxa"/>
            <w:left w:w="108" w:type="dxa"/>
            <w:bottom w:w="0" w:type="dxa"/>
            <w:right w:w="108" w:type="dxa"/>
          </w:tblCellMar>
        </w:tblPrEx>
        <w:trPr>
          <w:trHeight w:val="281" w:hRule="atLeast"/>
          <w:jc w:val="center"/>
        </w:trPr>
        <w:tc>
          <w:tcPr>
            <w:tcW w:w="1762" w:type="dxa"/>
            <w:vMerge w:val="restart"/>
            <w:tcBorders>
              <w:top w:val="nil"/>
              <w:left w:val="single" w:color="auto" w:sz="4" w:space="0"/>
              <w:bottom w:val="single" w:color="auto" w:sz="4" w:space="0"/>
              <w:right w:val="single" w:color="auto" w:sz="4" w:space="0"/>
            </w:tcBorders>
            <w:vAlign w:val="center"/>
          </w:tcPr>
          <w:p w14:paraId="78D3E81E">
            <w:pPr>
              <w:pStyle w:val="33"/>
              <w:rPr>
                <w:bCs/>
                <w:color w:val="auto"/>
              </w:rPr>
            </w:pPr>
            <w:r>
              <w:rPr>
                <w:bCs/>
                <w:color w:val="auto"/>
              </w:rPr>
              <w:t>是否考虑岸线</w:t>
            </w:r>
          </w:p>
          <w:p w14:paraId="747CB69D">
            <w:pPr>
              <w:pStyle w:val="33"/>
              <w:rPr>
                <w:bCs/>
                <w:color w:val="auto"/>
              </w:rPr>
            </w:pPr>
            <w:r>
              <w:rPr>
                <w:bCs/>
                <w:color w:val="auto"/>
              </w:rPr>
              <w:t>熏烟</w:t>
            </w:r>
          </w:p>
        </w:tc>
        <w:tc>
          <w:tcPr>
            <w:tcW w:w="3733" w:type="dxa"/>
            <w:tcBorders>
              <w:top w:val="single" w:color="auto" w:sz="4" w:space="0"/>
              <w:left w:val="nil"/>
              <w:bottom w:val="single" w:color="auto" w:sz="4" w:space="0"/>
              <w:right w:val="single" w:color="auto" w:sz="4" w:space="0"/>
            </w:tcBorders>
            <w:vAlign w:val="center"/>
          </w:tcPr>
          <w:p w14:paraId="6F769EA4">
            <w:pPr>
              <w:pStyle w:val="33"/>
              <w:rPr>
                <w:bCs/>
                <w:color w:val="auto"/>
              </w:rPr>
            </w:pPr>
            <w:r>
              <w:rPr>
                <w:bCs/>
                <w:color w:val="auto"/>
              </w:rPr>
              <w:t>考虑岸线熏烟</w:t>
            </w:r>
          </w:p>
        </w:tc>
        <w:tc>
          <w:tcPr>
            <w:tcW w:w="3791" w:type="dxa"/>
            <w:tcBorders>
              <w:top w:val="single" w:color="auto" w:sz="4" w:space="0"/>
              <w:left w:val="nil"/>
              <w:bottom w:val="single" w:color="auto" w:sz="4" w:space="0"/>
              <w:right w:val="single" w:color="auto" w:sz="4" w:space="0"/>
            </w:tcBorders>
            <w:vAlign w:val="center"/>
          </w:tcPr>
          <w:p w14:paraId="34B0F24A">
            <w:pPr>
              <w:pStyle w:val="33"/>
              <w:rPr>
                <w:bCs/>
                <w:color w:val="auto"/>
              </w:rPr>
            </w:pPr>
            <w:r>
              <w:rPr>
                <w:bCs/>
                <w:color w:val="auto"/>
              </w:rPr>
              <w:t>■是  □否</w:t>
            </w:r>
          </w:p>
        </w:tc>
      </w:tr>
      <w:tr w14:paraId="6CB3402E">
        <w:tblPrEx>
          <w:tblCellMar>
            <w:top w:w="0" w:type="dxa"/>
            <w:left w:w="108" w:type="dxa"/>
            <w:bottom w:w="0" w:type="dxa"/>
            <w:right w:w="108" w:type="dxa"/>
          </w:tblCellMar>
        </w:tblPrEx>
        <w:trPr>
          <w:trHeight w:val="281" w:hRule="atLeast"/>
          <w:jc w:val="center"/>
        </w:trPr>
        <w:tc>
          <w:tcPr>
            <w:tcW w:w="1762" w:type="dxa"/>
            <w:vMerge w:val="continue"/>
            <w:tcBorders>
              <w:top w:val="nil"/>
              <w:left w:val="single" w:color="auto" w:sz="4" w:space="0"/>
              <w:bottom w:val="single" w:color="auto" w:sz="4" w:space="0"/>
              <w:right w:val="single" w:color="auto" w:sz="4" w:space="0"/>
            </w:tcBorders>
            <w:vAlign w:val="center"/>
          </w:tcPr>
          <w:p w14:paraId="0DEAD5B6">
            <w:pPr>
              <w:pStyle w:val="33"/>
              <w:rPr>
                <w:bCs/>
                <w:color w:val="auto"/>
              </w:rPr>
            </w:pPr>
          </w:p>
        </w:tc>
        <w:tc>
          <w:tcPr>
            <w:tcW w:w="3733" w:type="dxa"/>
            <w:tcBorders>
              <w:top w:val="single" w:color="auto" w:sz="4" w:space="0"/>
              <w:left w:val="nil"/>
              <w:bottom w:val="single" w:color="auto" w:sz="4" w:space="0"/>
              <w:right w:val="single" w:color="auto" w:sz="4" w:space="0"/>
            </w:tcBorders>
            <w:vAlign w:val="center"/>
          </w:tcPr>
          <w:p w14:paraId="05157220">
            <w:pPr>
              <w:pStyle w:val="33"/>
              <w:rPr>
                <w:bCs/>
                <w:color w:val="auto"/>
              </w:rPr>
            </w:pPr>
            <w:r>
              <w:rPr>
                <w:bCs/>
                <w:color w:val="auto"/>
              </w:rPr>
              <w:t>岸线距离/km</w:t>
            </w:r>
          </w:p>
        </w:tc>
        <w:tc>
          <w:tcPr>
            <w:tcW w:w="3791" w:type="dxa"/>
            <w:tcBorders>
              <w:top w:val="single" w:color="auto" w:sz="4" w:space="0"/>
              <w:left w:val="nil"/>
              <w:bottom w:val="single" w:color="auto" w:sz="4" w:space="0"/>
              <w:right w:val="single" w:color="auto" w:sz="4" w:space="0"/>
            </w:tcBorders>
            <w:vAlign w:val="center"/>
          </w:tcPr>
          <w:p w14:paraId="22C7F94A">
            <w:pPr>
              <w:pStyle w:val="33"/>
              <w:rPr>
                <w:bCs/>
                <w:color w:val="auto"/>
              </w:rPr>
            </w:pPr>
            <w:r>
              <w:rPr>
                <w:rFonts w:hint="eastAsia"/>
                <w:bCs/>
                <w:color w:val="auto"/>
              </w:rPr>
              <w:t>1</w:t>
            </w:r>
            <w:r>
              <w:rPr>
                <w:bCs/>
                <w:color w:val="auto"/>
              </w:rPr>
              <w:t>km</w:t>
            </w:r>
          </w:p>
        </w:tc>
      </w:tr>
      <w:tr w14:paraId="6DD8B7C1">
        <w:tblPrEx>
          <w:tblCellMar>
            <w:top w:w="0" w:type="dxa"/>
            <w:left w:w="108" w:type="dxa"/>
            <w:bottom w:w="0" w:type="dxa"/>
            <w:right w:w="108" w:type="dxa"/>
          </w:tblCellMar>
        </w:tblPrEx>
        <w:trPr>
          <w:trHeight w:val="281" w:hRule="atLeast"/>
          <w:jc w:val="center"/>
        </w:trPr>
        <w:tc>
          <w:tcPr>
            <w:tcW w:w="1762" w:type="dxa"/>
            <w:vMerge w:val="continue"/>
            <w:tcBorders>
              <w:top w:val="nil"/>
              <w:left w:val="single" w:color="auto" w:sz="4" w:space="0"/>
              <w:bottom w:val="single" w:color="auto" w:sz="4" w:space="0"/>
              <w:right w:val="single" w:color="auto" w:sz="4" w:space="0"/>
            </w:tcBorders>
            <w:vAlign w:val="center"/>
          </w:tcPr>
          <w:p w14:paraId="33B21CAC">
            <w:pPr>
              <w:pStyle w:val="33"/>
              <w:rPr>
                <w:bCs/>
                <w:color w:val="auto"/>
              </w:rPr>
            </w:pPr>
          </w:p>
        </w:tc>
        <w:tc>
          <w:tcPr>
            <w:tcW w:w="3733" w:type="dxa"/>
            <w:tcBorders>
              <w:top w:val="single" w:color="auto" w:sz="4" w:space="0"/>
              <w:left w:val="nil"/>
              <w:bottom w:val="single" w:color="auto" w:sz="4" w:space="0"/>
              <w:right w:val="single" w:color="auto" w:sz="4" w:space="0"/>
            </w:tcBorders>
            <w:vAlign w:val="center"/>
          </w:tcPr>
          <w:p w14:paraId="5302C4FB">
            <w:pPr>
              <w:pStyle w:val="33"/>
              <w:rPr>
                <w:bCs/>
                <w:color w:val="auto"/>
              </w:rPr>
            </w:pPr>
            <w:r>
              <w:rPr>
                <w:bCs/>
                <w:color w:val="auto"/>
              </w:rPr>
              <w:t>岸线方向/°</w:t>
            </w:r>
          </w:p>
        </w:tc>
        <w:tc>
          <w:tcPr>
            <w:tcW w:w="3791" w:type="dxa"/>
            <w:tcBorders>
              <w:top w:val="single" w:color="auto" w:sz="4" w:space="0"/>
              <w:left w:val="nil"/>
              <w:bottom w:val="single" w:color="auto" w:sz="4" w:space="0"/>
              <w:right w:val="single" w:color="auto" w:sz="4" w:space="0"/>
            </w:tcBorders>
            <w:vAlign w:val="center"/>
          </w:tcPr>
          <w:p w14:paraId="2C4BAA80">
            <w:pPr>
              <w:pStyle w:val="33"/>
              <w:rPr>
                <w:bCs/>
                <w:color w:val="auto"/>
              </w:rPr>
            </w:pPr>
            <w:r>
              <w:rPr>
                <w:rFonts w:hint="eastAsia"/>
                <w:bCs/>
                <w:color w:val="auto"/>
              </w:rPr>
              <w:t>90</w:t>
            </w:r>
          </w:p>
        </w:tc>
      </w:tr>
    </w:tbl>
    <w:p w14:paraId="78201172">
      <w:pPr>
        <w:ind w:firstLine="480"/>
        <w:rPr>
          <w:rFonts w:cs="Times New Roman"/>
          <w:color w:val="auto"/>
        </w:rPr>
      </w:pPr>
      <w:r>
        <w:rPr>
          <w:rFonts w:hint="eastAsia" w:cs="Times New Roman"/>
          <w:color w:val="auto"/>
        </w:rPr>
        <w:t>以本项目全厂建成后的源强设置AERSCREEN模型污染源参数，计算得出的估算结果表明，最大占标率P</w:t>
      </w:r>
      <w:r>
        <w:rPr>
          <w:rFonts w:hint="eastAsia" w:cs="Times New Roman"/>
          <w:color w:val="auto"/>
          <w:vertAlign w:val="subscript"/>
        </w:rPr>
        <w:t>max</w:t>
      </w:r>
      <w:r>
        <w:rPr>
          <w:rFonts w:hint="eastAsia" w:cs="Times New Roman"/>
          <w:color w:val="auto"/>
        </w:rPr>
        <w:t>为7.01%，根据大气导则判定环境空气评价工作等级为二级。本项目大气评价范围为以项目厂址为中心区域，边长5km的矩形区域。</w:t>
      </w:r>
    </w:p>
    <w:p w14:paraId="7C4DABAA">
      <w:pPr>
        <w:pStyle w:val="7"/>
        <w:rPr>
          <w:color w:val="auto"/>
        </w:rPr>
      </w:pPr>
      <w:r>
        <w:rPr>
          <w:rFonts w:hint="eastAsia"/>
          <w:color w:val="auto"/>
        </w:rPr>
        <w:t>污染源估算模型计算结果表</w:t>
      </w:r>
    </w:p>
    <w:tbl>
      <w:tblPr>
        <w:tblStyle w:val="26"/>
        <w:tblW w:w="92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99"/>
        <w:gridCol w:w="1417"/>
        <w:gridCol w:w="1560"/>
        <w:gridCol w:w="992"/>
        <w:gridCol w:w="1977"/>
      </w:tblGrid>
      <w:tr w14:paraId="65CFB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tblHeader/>
        </w:trPr>
        <w:tc>
          <w:tcPr>
            <w:tcW w:w="3299" w:type="dxa"/>
            <w:tcMar>
              <w:top w:w="15" w:type="dxa"/>
              <w:left w:w="15" w:type="dxa"/>
              <w:bottom w:w="0" w:type="dxa"/>
              <w:right w:w="15" w:type="dxa"/>
            </w:tcMar>
            <w:vAlign w:val="center"/>
          </w:tcPr>
          <w:p w14:paraId="4ABF8960">
            <w:pPr>
              <w:pStyle w:val="33"/>
              <w:rPr>
                <w:color w:val="auto"/>
              </w:rPr>
            </w:pPr>
            <w:r>
              <w:rPr>
                <w:color w:val="auto"/>
              </w:rPr>
              <w:t>污染源</w:t>
            </w:r>
          </w:p>
        </w:tc>
        <w:tc>
          <w:tcPr>
            <w:tcW w:w="1417" w:type="dxa"/>
            <w:tcMar>
              <w:top w:w="15" w:type="dxa"/>
              <w:left w:w="15" w:type="dxa"/>
              <w:bottom w:w="0" w:type="dxa"/>
              <w:right w:w="15" w:type="dxa"/>
            </w:tcMar>
            <w:vAlign w:val="center"/>
          </w:tcPr>
          <w:p w14:paraId="31060204">
            <w:pPr>
              <w:pStyle w:val="33"/>
              <w:rPr>
                <w:color w:val="auto"/>
              </w:rPr>
            </w:pPr>
            <w:r>
              <w:rPr>
                <w:color w:val="auto"/>
              </w:rPr>
              <w:t>污染因子</w:t>
            </w:r>
          </w:p>
        </w:tc>
        <w:tc>
          <w:tcPr>
            <w:tcW w:w="1560" w:type="dxa"/>
            <w:tcMar>
              <w:top w:w="15" w:type="dxa"/>
              <w:left w:w="15" w:type="dxa"/>
              <w:bottom w:w="0" w:type="dxa"/>
              <w:right w:w="15" w:type="dxa"/>
            </w:tcMar>
            <w:vAlign w:val="center"/>
          </w:tcPr>
          <w:p w14:paraId="4E881AA2">
            <w:pPr>
              <w:pStyle w:val="33"/>
              <w:rPr>
                <w:color w:val="auto"/>
              </w:rPr>
            </w:pPr>
            <w:r>
              <w:rPr>
                <w:color w:val="auto"/>
              </w:rPr>
              <w:t>下风向最大质量浓度/（μg/m</w:t>
            </w:r>
            <w:r>
              <w:rPr>
                <w:color w:val="auto"/>
                <w:vertAlign w:val="superscript"/>
              </w:rPr>
              <w:t>3</w:t>
            </w:r>
            <w:r>
              <w:rPr>
                <w:color w:val="auto"/>
              </w:rPr>
              <w:t>）</w:t>
            </w:r>
          </w:p>
        </w:tc>
        <w:tc>
          <w:tcPr>
            <w:tcW w:w="992" w:type="dxa"/>
            <w:tcMar>
              <w:top w:w="15" w:type="dxa"/>
              <w:left w:w="15" w:type="dxa"/>
              <w:bottom w:w="0" w:type="dxa"/>
              <w:right w:w="15" w:type="dxa"/>
            </w:tcMar>
            <w:vAlign w:val="center"/>
          </w:tcPr>
          <w:p w14:paraId="5672A81E">
            <w:pPr>
              <w:pStyle w:val="33"/>
              <w:rPr>
                <w:color w:val="auto"/>
              </w:rPr>
            </w:pPr>
            <w:r>
              <w:rPr>
                <w:color w:val="auto"/>
              </w:rPr>
              <w:t>最大浓度占标率/%</w:t>
            </w:r>
          </w:p>
        </w:tc>
        <w:tc>
          <w:tcPr>
            <w:tcW w:w="1977" w:type="dxa"/>
            <w:tcMar>
              <w:top w:w="15" w:type="dxa"/>
              <w:left w:w="15" w:type="dxa"/>
              <w:bottom w:w="0" w:type="dxa"/>
              <w:right w:w="15" w:type="dxa"/>
            </w:tcMar>
            <w:vAlign w:val="center"/>
          </w:tcPr>
          <w:p w14:paraId="07A87CFD">
            <w:pPr>
              <w:pStyle w:val="33"/>
              <w:rPr>
                <w:color w:val="auto"/>
              </w:rPr>
            </w:pPr>
            <w:r>
              <w:rPr>
                <w:color w:val="auto"/>
              </w:rPr>
              <w:t>占标准10%对应D10%/m</w:t>
            </w:r>
          </w:p>
        </w:tc>
      </w:tr>
      <w:tr w14:paraId="14AF4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3FFFA4A4">
            <w:pPr>
              <w:pStyle w:val="33"/>
              <w:rPr>
                <w:color w:val="auto"/>
              </w:rPr>
            </w:pPr>
            <w:r>
              <w:rPr>
                <w:rFonts w:hint="eastAsia"/>
                <w:color w:val="auto"/>
              </w:rPr>
              <w:t>1#造纸车间烘干</w:t>
            </w:r>
            <w:r>
              <w:rPr>
                <w:color w:val="auto"/>
              </w:rPr>
              <w:t>废气</w:t>
            </w:r>
          </w:p>
        </w:tc>
        <w:tc>
          <w:tcPr>
            <w:tcW w:w="1417" w:type="dxa"/>
            <w:noWrap/>
            <w:tcMar>
              <w:top w:w="15" w:type="dxa"/>
              <w:left w:w="15" w:type="dxa"/>
              <w:bottom w:w="0" w:type="dxa"/>
              <w:right w:w="15" w:type="dxa"/>
            </w:tcMar>
            <w:vAlign w:val="center"/>
          </w:tcPr>
          <w:p w14:paraId="4D5C0277">
            <w:pPr>
              <w:pStyle w:val="33"/>
              <w:rPr>
                <w:color w:val="auto"/>
                <w:vertAlign w:val="subscript"/>
              </w:rPr>
            </w:pPr>
            <w:r>
              <w:rPr>
                <w:color w:val="auto"/>
              </w:rPr>
              <w:t>SO</w:t>
            </w:r>
            <w:r>
              <w:rPr>
                <w:color w:val="auto"/>
                <w:vertAlign w:val="subscript"/>
              </w:rPr>
              <w:t>2</w:t>
            </w:r>
          </w:p>
        </w:tc>
        <w:tc>
          <w:tcPr>
            <w:tcW w:w="1560" w:type="dxa"/>
            <w:noWrap/>
            <w:tcMar>
              <w:top w:w="15" w:type="dxa"/>
              <w:left w:w="15" w:type="dxa"/>
              <w:bottom w:w="0" w:type="dxa"/>
              <w:right w:w="15" w:type="dxa"/>
            </w:tcMar>
          </w:tcPr>
          <w:p w14:paraId="5DD775BB">
            <w:pPr>
              <w:pStyle w:val="33"/>
              <w:rPr>
                <w:color w:val="auto"/>
              </w:rPr>
            </w:pPr>
            <w:r>
              <w:rPr>
                <w:color w:val="auto"/>
              </w:rPr>
              <w:t>1.2533</w:t>
            </w:r>
          </w:p>
        </w:tc>
        <w:tc>
          <w:tcPr>
            <w:tcW w:w="992" w:type="dxa"/>
            <w:noWrap/>
            <w:tcMar>
              <w:top w:w="15" w:type="dxa"/>
              <w:left w:w="15" w:type="dxa"/>
              <w:bottom w:w="0" w:type="dxa"/>
              <w:right w:w="15" w:type="dxa"/>
            </w:tcMar>
          </w:tcPr>
          <w:p w14:paraId="2DCC735B">
            <w:pPr>
              <w:pStyle w:val="33"/>
              <w:rPr>
                <w:color w:val="auto"/>
              </w:rPr>
            </w:pPr>
            <w:r>
              <w:rPr>
                <w:color w:val="auto"/>
              </w:rPr>
              <w:t>0.05</w:t>
            </w:r>
          </w:p>
        </w:tc>
        <w:tc>
          <w:tcPr>
            <w:tcW w:w="1977" w:type="dxa"/>
            <w:noWrap/>
            <w:tcMar>
              <w:top w:w="15" w:type="dxa"/>
              <w:left w:w="15" w:type="dxa"/>
              <w:bottom w:w="0" w:type="dxa"/>
              <w:right w:w="15" w:type="dxa"/>
            </w:tcMar>
            <w:vAlign w:val="center"/>
          </w:tcPr>
          <w:p w14:paraId="17723D88">
            <w:pPr>
              <w:pStyle w:val="33"/>
              <w:rPr>
                <w:color w:val="auto"/>
              </w:rPr>
            </w:pPr>
            <w:r>
              <w:rPr>
                <w:rFonts w:hint="eastAsia"/>
                <w:color w:val="auto"/>
              </w:rPr>
              <w:t>0</w:t>
            </w:r>
          </w:p>
        </w:tc>
      </w:tr>
      <w:tr w14:paraId="660F4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3E581C1">
            <w:pPr>
              <w:pStyle w:val="33"/>
              <w:rPr>
                <w:color w:val="auto"/>
              </w:rPr>
            </w:pPr>
          </w:p>
        </w:tc>
        <w:tc>
          <w:tcPr>
            <w:tcW w:w="1417" w:type="dxa"/>
            <w:noWrap/>
            <w:tcMar>
              <w:top w:w="15" w:type="dxa"/>
              <w:left w:w="15" w:type="dxa"/>
              <w:bottom w:w="0" w:type="dxa"/>
              <w:right w:w="15" w:type="dxa"/>
            </w:tcMar>
            <w:vAlign w:val="center"/>
          </w:tcPr>
          <w:p w14:paraId="36AF9DDC">
            <w:pPr>
              <w:pStyle w:val="33"/>
              <w:rPr>
                <w:color w:val="auto"/>
                <w:vertAlign w:val="subscript"/>
              </w:rPr>
            </w:pPr>
            <w:r>
              <w:rPr>
                <w:color w:val="auto"/>
              </w:rPr>
              <w:t>NO</w:t>
            </w:r>
            <w:r>
              <w:rPr>
                <w:color w:val="auto"/>
                <w:vertAlign w:val="subscript"/>
              </w:rPr>
              <w:t>2</w:t>
            </w:r>
          </w:p>
        </w:tc>
        <w:tc>
          <w:tcPr>
            <w:tcW w:w="1560" w:type="dxa"/>
            <w:noWrap/>
            <w:tcMar>
              <w:top w:w="15" w:type="dxa"/>
              <w:left w:w="15" w:type="dxa"/>
              <w:bottom w:w="0" w:type="dxa"/>
              <w:right w:w="15" w:type="dxa"/>
            </w:tcMar>
          </w:tcPr>
          <w:p w14:paraId="0A47C51C">
            <w:pPr>
              <w:pStyle w:val="33"/>
              <w:rPr>
                <w:color w:val="auto"/>
              </w:rPr>
            </w:pPr>
            <w:r>
              <w:rPr>
                <w:color w:val="auto"/>
              </w:rPr>
              <w:t>6.7567</w:t>
            </w:r>
          </w:p>
        </w:tc>
        <w:tc>
          <w:tcPr>
            <w:tcW w:w="992" w:type="dxa"/>
            <w:noWrap/>
            <w:tcMar>
              <w:top w:w="15" w:type="dxa"/>
              <w:left w:w="15" w:type="dxa"/>
              <w:bottom w:w="0" w:type="dxa"/>
              <w:right w:w="15" w:type="dxa"/>
            </w:tcMar>
          </w:tcPr>
          <w:p w14:paraId="7E6181E2">
            <w:pPr>
              <w:pStyle w:val="33"/>
              <w:rPr>
                <w:color w:val="auto"/>
              </w:rPr>
            </w:pPr>
            <w:r>
              <w:rPr>
                <w:color w:val="auto"/>
              </w:rPr>
              <w:t>0.68</w:t>
            </w:r>
          </w:p>
        </w:tc>
        <w:tc>
          <w:tcPr>
            <w:tcW w:w="1977" w:type="dxa"/>
            <w:noWrap/>
            <w:tcMar>
              <w:top w:w="15" w:type="dxa"/>
              <w:left w:w="15" w:type="dxa"/>
              <w:bottom w:w="0" w:type="dxa"/>
              <w:right w:w="15" w:type="dxa"/>
            </w:tcMar>
          </w:tcPr>
          <w:p w14:paraId="7DC0BC93">
            <w:pPr>
              <w:pStyle w:val="33"/>
              <w:rPr>
                <w:color w:val="auto"/>
              </w:rPr>
            </w:pPr>
            <w:r>
              <w:rPr>
                <w:rFonts w:hint="eastAsia"/>
                <w:color w:val="auto"/>
              </w:rPr>
              <w:t>0</w:t>
            </w:r>
          </w:p>
        </w:tc>
      </w:tr>
      <w:tr w14:paraId="1495F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744F3B54">
            <w:pPr>
              <w:pStyle w:val="33"/>
              <w:rPr>
                <w:color w:val="auto"/>
              </w:rPr>
            </w:pPr>
          </w:p>
        </w:tc>
        <w:tc>
          <w:tcPr>
            <w:tcW w:w="1417" w:type="dxa"/>
            <w:noWrap/>
            <w:tcMar>
              <w:top w:w="15" w:type="dxa"/>
              <w:left w:w="15" w:type="dxa"/>
              <w:bottom w:w="0" w:type="dxa"/>
              <w:right w:w="15" w:type="dxa"/>
            </w:tcMar>
            <w:vAlign w:val="center"/>
          </w:tcPr>
          <w:p w14:paraId="1EA40772">
            <w:pPr>
              <w:pStyle w:val="33"/>
              <w:rPr>
                <w:color w:val="auto"/>
                <w:vertAlign w:val="subscript"/>
              </w:rPr>
            </w:pPr>
            <w:r>
              <w:rPr>
                <w:color w:val="auto"/>
              </w:rPr>
              <w:t>PM</w:t>
            </w:r>
            <w:r>
              <w:rPr>
                <w:color w:val="auto"/>
                <w:vertAlign w:val="subscript"/>
              </w:rPr>
              <w:t>10</w:t>
            </w:r>
          </w:p>
        </w:tc>
        <w:tc>
          <w:tcPr>
            <w:tcW w:w="1560" w:type="dxa"/>
            <w:noWrap/>
            <w:tcMar>
              <w:top w:w="15" w:type="dxa"/>
              <w:left w:w="15" w:type="dxa"/>
              <w:bottom w:w="0" w:type="dxa"/>
              <w:right w:w="15" w:type="dxa"/>
            </w:tcMar>
          </w:tcPr>
          <w:p w14:paraId="15BE52B2">
            <w:pPr>
              <w:pStyle w:val="33"/>
              <w:rPr>
                <w:color w:val="auto"/>
              </w:rPr>
            </w:pPr>
            <w:r>
              <w:rPr>
                <w:color w:val="auto"/>
              </w:rPr>
              <w:t>0.6539</w:t>
            </w:r>
          </w:p>
        </w:tc>
        <w:tc>
          <w:tcPr>
            <w:tcW w:w="992" w:type="dxa"/>
            <w:noWrap/>
            <w:tcMar>
              <w:top w:w="15" w:type="dxa"/>
              <w:left w:w="15" w:type="dxa"/>
              <w:bottom w:w="0" w:type="dxa"/>
              <w:right w:w="15" w:type="dxa"/>
            </w:tcMar>
          </w:tcPr>
          <w:p w14:paraId="41772592">
            <w:pPr>
              <w:pStyle w:val="33"/>
              <w:rPr>
                <w:color w:val="auto"/>
              </w:rPr>
            </w:pPr>
            <w:r>
              <w:rPr>
                <w:color w:val="auto"/>
              </w:rPr>
              <w:t>0.04</w:t>
            </w:r>
          </w:p>
        </w:tc>
        <w:tc>
          <w:tcPr>
            <w:tcW w:w="1977" w:type="dxa"/>
            <w:noWrap/>
            <w:tcMar>
              <w:top w:w="15" w:type="dxa"/>
              <w:left w:w="15" w:type="dxa"/>
              <w:bottom w:w="0" w:type="dxa"/>
              <w:right w:w="15" w:type="dxa"/>
            </w:tcMar>
          </w:tcPr>
          <w:p w14:paraId="12E920A4">
            <w:pPr>
              <w:pStyle w:val="33"/>
              <w:rPr>
                <w:color w:val="auto"/>
              </w:rPr>
            </w:pPr>
            <w:r>
              <w:rPr>
                <w:rFonts w:hint="eastAsia"/>
                <w:color w:val="auto"/>
              </w:rPr>
              <w:t>0</w:t>
            </w:r>
          </w:p>
        </w:tc>
      </w:tr>
      <w:tr w14:paraId="59EBE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58EA11EF">
            <w:pPr>
              <w:pStyle w:val="33"/>
              <w:rPr>
                <w:color w:val="auto"/>
              </w:rPr>
            </w:pPr>
          </w:p>
        </w:tc>
        <w:tc>
          <w:tcPr>
            <w:tcW w:w="1417" w:type="dxa"/>
            <w:noWrap/>
            <w:tcMar>
              <w:top w:w="15" w:type="dxa"/>
              <w:left w:w="15" w:type="dxa"/>
              <w:bottom w:w="0" w:type="dxa"/>
              <w:right w:w="15" w:type="dxa"/>
            </w:tcMar>
            <w:vAlign w:val="center"/>
          </w:tcPr>
          <w:p w14:paraId="26BEE095">
            <w:pPr>
              <w:pStyle w:val="33"/>
              <w:rPr>
                <w:color w:val="auto"/>
                <w:vertAlign w:val="subscript"/>
              </w:rPr>
            </w:pPr>
            <w:r>
              <w:rPr>
                <w:color w:val="auto"/>
              </w:rPr>
              <w:t>PM</w:t>
            </w:r>
            <w:r>
              <w:rPr>
                <w:color w:val="auto"/>
                <w:vertAlign w:val="subscript"/>
              </w:rPr>
              <w:t>2.5</w:t>
            </w:r>
          </w:p>
        </w:tc>
        <w:tc>
          <w:tcPr>
            <w:tcW w:w="1560" w:type="dxa"/>
            <w:noWrap/>
            <w:tcMar>
              <w:top w:w="15" w:type="dxa"/>
              <w:left w:w="15" w:type="dxa"/>
              <w:bottom w:w="0" w:type="dxa"/>
              <w:right w:w="15" w:type="dxa"/>
            </w:tcMar>
          </w:tcPr>
          <w:p w14:paraId="03BA770B">
            <w:pPr>
              <w:pStyle w:val="33"/>
              <w:rPr>
                <w:color w:val="auto"/>
              </w:rPr>
            </w:pPr>
            <w:r>
              <w:rPr>
                <w:color w:val="auto"/>
              </w:rPr>
              <w:t>0.3270</w:t>
            </w:r>
          </w:p>
        </w:tc>
        <w:tc>
          <w:tcPr>
            <w:tcW w:w="992" w:type="dxa"/>
            <w:noWrap/>
            <w:tcMar>
              <w:top w:w="15" w:type="dxa"/>
              <w:left w:w="15" w:type="dxa"/>
              <w:bottom w:w="0" w:type="dxa"/>
              <w:right w:w="15" w:type="dxa"/>
            </w:tcMar>
          </w:tcPr>
          <w:p w14:paraId="23759C57">
            <w:pPr>
              <w:pStyle w:val="33"/>
              <w:rPr>
                <w:color w:val="auto"/>
              </w:rPr>
            </w:pPr>
            <w:r>
              <w:rPr>
                <w:color w:val="auto"/>
              </w:rPr>
              <w:t>0.04</w:t>
            </w:r>
          </w:p>
        </w:tc>
        <w:tc>
          <w:tcPr>
            <w:tcW w:w="1977" w:type="dxa"/>
            <w:noWrap/>
            <w:tcMar>
              <w:top w:w="15" w:type="dxa"/>
              <w:left w:w="15" w:type="dxa"/>
              <w:bottom w:w="0" w:type="dxa"/>
              <w:right w:w="15" w:type="dxa"/>
            </w:tcMar>
          </w:tcPr>
          <w:p w14:paraId="71FB8A0C">
            <w:pPr>
              <w:pStyle w:val="33"/>
              <w:rPr>
                <w:color w:val="auto"/>
              </w:rPr>
            </w:pPr>
            <w:r>
              <w:rPr>
                <w:rFonts w:hint="eastAsia"/>
                <w:color w:val="auto"/>
              </w:rPr>
              <w:t>0</w:t>
            </w:r>
          </w:p>
        </w:tc>
      </w:tr>
      <w:tr w14:paraId="14C5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7BA9B041">
            <w:pPr>
              <w:pStyle w:val="33"/>
              <w:rPr>
                <w:color w:val="auto"/>
              </w:rPr>
            </w:pPr>
            <w:r>
              <w:rPr>
                <w:rFonts w:hint="eastAsia"/>
                <w:color w:val="auto"/>
              </w:rPr>
              <w:t>2#造纸车间烘干</w:t>
            </w:r>
            <w:r>
              <w:rPr>
                <w:color w:val="auto"/>
              </w:rPr>
              <w:t>废气</w:t>
            </w:r>
          </w:p>
        </w:tc>
        <w:tc>
          <w:tcPr>
            <w:tcW w:w="1417" w:type="dxa"/>
            <w:noWrap/>
            <w:tcMar>
              <w:top w:w="15" w:type="dxa"/>
              <w:left w:w="15" w:type="dxa"/>
              <w:bottom w:w="0" w:type="dxa"/>
              <w:right w:w="15" w:type="dxa"/>
            </w:tcMar>
            <w:vAlign w:val="center"/>
          </w:tcPr>
          <w:p w14:paraId="37DBB72F">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030F4C70">
            <w:pPr>
              <w:pStyle w:val="33"/>
              <w:rPr>
                <w:color w:val="auto"/>
              </w:rPr>
            </w:pPr>
            <w:r>
              <w:rPr>
                <w:color w:val="auto"/>
              </w:rPr>
              <w:t>1.3528</w:t>
            </w:r>
          </w:p>
        </w:tc>
        <w:tc>
          <w:tcPr>
            <w:tcW w:w="992" w:type="dxa"/>
            <w:noWrap/>
            <w:tcMar>
              <w:top w:w="15" w:type="dxa"/>
              <w:left w:w="15" w:type="dxa"/>
              <w:bottom w:w="0" w:type="dxa"/>
              <w:right w:w="15" w:type="dxa"/>
            </w:tcMar>
          </w:tcPr>
          <w:p w14:paraId="7CF4074D">
            <w:pPr>
              <w:pStyle w:val="33"/>
              <w:rPr>
                <w:color w:val="auto"/>
              </w:rPr>
            </w:pPr>
            <w:r>
              <w:rPr>
                <w:color w:val="auto"/>
              </w:rPr>
              <w:t>0.05</w:t>
            </w:r>
          </w:p>
        </w:tc>
        <w:tc>
          <w:tcPr>
            <w:tcW w:w="1977" w:type="dxa"/>
            <w:noWrap/>
            <w:tcMar>
              <w:top w:w="15" w:type="dxa"/>
              <w:left w:w="15" w:type="dxa"/>
              <w:bottom w:w="0" w:type="dxa"/>
              <w:right w:w="15" w:type="dxa"/>
            </w:tcMar>
          </w:tcPr>
          <w:p w14:paraId="38C91208">
            <w:pPr>
              <w:pStyle w:val="33"/>
              <w:rPr>
                <w:color w:val="auto"/>
              </w:rPr>
            </w:pPr>
            <w:r>
              <w:rPr>
                <w:rFonts w:hint="eastAsia"/>
                <w:color w:val="auto"/>
              </w:rPr>
              <w:t>0</w:t>
            </w:r>
          </w:p>
        </w:tc>
      </w:tr>
      <w:tr w14:paraId="28142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79D07F17">
            <w:pPr>
              <w:pStyle w:val="33"/>
              <w:rPr>
                <w:color w:val="auto"/>
              </w:rPr>
            </w:pPr>
          </w:p>
        </w:tc>
        <w:tc>
          <w:tcPr>
            <w:tcW w:w="1417" w:type="dxa"/>
            <w:noWrap/>
            <w:tcMar>
              <w:top w:w="15" w:type="dxa"/>
              <w:left w:w="15" w:type="dxa"/>
              <w:bottom w:w="0" w:type="dxa"/>
              <w:right w:w="15" w:type="dxa"/>
            </w:tcMar>
            <w:vAlign w:val="center"/>
          </w:tcPr>
          <w:p w14:paraId="4EA8A165">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36448C43">
            <w:pPr>
              <w:pStyle w:val="33"/>
              <w:rPr>
                <w:color w:val="auto"/>
              </w:rPr>
            </w:pPr>
            <w:r>
              <w:rPr>
                <w:color w:val="auto"/>
              </w:rPr>
              <w:t>7.3704</w:t>
            </w:r>
          </w:p>
        </w:tc>
        <w:tc>
          <w:tcPr>
            <w:tcW w:w="992" w:type="dxa"/>
            <w:noWrap/>
            <w:tcMar>
              <w:top w:w="15" w:type="dxa"/>
              <w:left w:w="15" w:type="dxa"/>
              <w:bottom w:w="0" w:type="dxa"/>
              <w:right w:w="15" w:type="dxa"/>
            </w:tcMar>
          </w:tcPr>
          <w:p w14:paraId="7EC5C7BE">
            <w:pPr>
              <w:pStyle w:val="33"/>
              <w:rPr>
                <w:color w:val="auto"/>
              </w:rPr>
            </w:pPr>
            <w:r>
              <w:rPr>
                <w:color w:val="auto"/>
              </w:rPr>
              <w:t>0.74</w:t>
            </w:r>
          </w:p>
        </w:tc>
        <w:tc>
          <w:tcPr>
            <w:tcW w:w="1977" w:type="dxa"/>
            <w:noWrap/>
            <w:tcMar>
              <w:top w:w="15" w:type="dxa"/>
              <w:left w:w="15" w:type="dxa"/>
              <w:bottom w:w="0" w:type="dxa"/>
              <w:right w:w="15" w:type="dxa"/>
            </w:tcMar>
          </w:tcPr>
          <w:p w14:paraId="048CC953">
            <w:pPr>
              <w:pStyle w:val="33"/>
              <w:rPr>
                <w:color w:val="auto"/>
              </w:rPr>
            </w:pPr>
            <w:r>
              <w:rPr>
                <w:rFonts w:hint="eastAsia"/>
                <w:color w:val="auto"/>
              </w:rPr>
              <w:t>0</w:t>
            </w:r>
          </w:p>
        </w:tc>
      </w:tr>
      <w:tr w14:paraId="7C48D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93670DA">
            <w:pPr>
              <w:pStyle w:val="33"/>
              <w:rPr>
                <w:color w:val="auto"/>
              </w:rPr>
            </w:pPr>
          </w:p>
        </w:tc>
        <w:tc>
          <w:tcPr>
            <w:tcW w:w="1417" w:type="dxa"/>
            <w:noWrap/>
            <w:tcMar>
              <w:top w:w="15" w:type="dxa"/>
              <w:left w:w="15" w:type="dxa"/>
              <w:bottom w:w="0" w:type="dxa"/>
              <w:right w:w="15" w:type="dxa"/>
            </w:tcMar>
            <w:vAlign w:val="center"/>
          </w:tcPr>
          <w:p w14:paraId="2894186A">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54795D58">
            <w:pPr>
              <w:pStyle w:val="33"/>
              <w:rPr>
                <w:color w:val="auto"/>
              </w:rPr>
            </w:pPr>
            <w:r>
              <w:rPr>
                <w:color w:val="auto"/>
              </w:rPr>
              <w:t>0.7464</w:t>
            </w:r>
          </w:p>
        </w:tc>
        <w:tc>
          <w:tcPr>
            <w:tcW w:w="992" w:type="dxa"/>
            <w:noWrap/>
            <w:tcMar>
              <w:top w:w="15" w:type="dxa"/>
              <w:left w:w="15" w:type="dxa"/>
              <w:bottom w:w="0" w:type="dxa"/>
              <w:right w:w="15" w:type="dxa"/>
            </w:tcMar>
          </w:tcPr>
          <w:p w14:paraId="4EFED3B5">
            <w:pPr>
              <w:pStyle w:val="33"/>
              <w:rPr>
                <w:color w:val="auto"/>
              </w:rPr>
            </w:pPr>
            <w:r>
              <w:rPr>
                <w:color w:val="auto"/>
              </w:rPr>
              <w:t>0.04</w:t>
            </w:r>
          </w:p>
        </w:tc>
        <w:tc>
          <w:tcPr>
            <w:tcW w:w="1977" w:type="dxa"/>
            <w:noWrap/>
            <w:tcMar>
              <w:top w:w="15" w:type="dxa"/>
              <w:left w:w="15" w:type="dxa"/>
              <w:bottom w:w="0" w:type="dxa"/>
              <w:right w:w="15" w:type="dxa"/>
            </w:tcMar>
          </w:tcPr>
          <w:p w14:paraId="210C9F52">
            <w:pPr>
              <w:pStyle w:val="33"/>
              <w:rPr>
                <w:color w:val="auto"/>
              </w:rPr>
            </w:pPr>
            <w:r>
              <w:rPr>
                <w:rFonts w:hint="eastAsia"/>
                <w:color w:val="auto"/>
              </w:rPr>
              <w:t>0</w:t>
            </w:r>
          </w:p>
        </w:tc>
      </w:tr>
      <w:tr w14:paraId="1D7DC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1209D414">
            <w:pPr>
              <w:pStyle w:val="33"/>
              <w:rPr>
                <w:color w:val="auto"/>
              </w:rPr>
            </w:pPr>
          </w:p>
        </w:tc>
        <w:tc>
          <w:tcPr>
            <w:tcW w:w="1417" w:type="dxa"/>
            <w:noWrap/>
            <w:tcMar>
              <w:top w:w="15" w:type="dxa"/>
              <w:left w:w="15" w:type="dxa"/>
              <w:bottom w:w="0" w:type="dxa"/>
              <w:right w:w="15" w:type="dxa"/>
            </w:tcMar>
            <w:vAlign w:val="center"/>
          </w:tcPr>
          <w:p w14:paraId="1E19CB20">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5E924584">
            <w:pPr>
              <w:pStyle w:val="33"/>
              <w:rPr>
                <w:color w:val="auto"/>
              </w:rPr>
            </w:pPr>
            <w:r>
              <w:rPr>
                <w:color w:val="auto"/>
              </w:rPr>
              <w:t>0.3731</w:t>
            </w:r>
          </w:p>
        </w:tc>
        <w:tc>
          <w:tcPr>
            <w:tcW w:w="992" w:type="dxa"/>
            <w:noWrap/>
            <w:tcMar>
              <w:top w:w="15" w:type="dxa"/>
              <w:left w:w="15" w:type="dxa"/>
              <w:bottom w:w="0" w:type="dxa"/>
              <w:right w:w="15" w:type="dxa"/>
            </w:tcMar>
          </w:tcPr>
          <w:p w14:paraId="2C81D051">
            <w:pPr>
              <w:pStyle w:val="33"/>
              <w:rPr>
                <w:color w:val="auto"/>
              </w:rPr>
            </w:pPr>
            <w:r>
              <w:rPr>
                <w:color w:val="auto"/>
              </w:rPr>
              <w:t>0.04</w:t>
            </w:r>
          </w:p>
        </w:tc>
        <w:tc>
          <w:tcPr>
            <w:tcW w:w="1977" w:type="dxa"/>
            <w:noWrap/>
            <w:tcMar>
              <w:top w:w="15" w:type="dxa"/>
              <w:left w:w="15" w:type="dxa"/>
              <w:bottom w:w="0" w:type="dxa"/>
              <w:right w:w="15" w:type="dxa"/>
            </w:tcMar>
          </w:tcPr>
          <w:p w14:paraId="0B217478">
            <w:pPr>
              <w:pStyle w:val="33"/>
              <w:rPr>
                <w:color w:val="auto"/>
              </w:rPr>
            </w:pPr>
            <w:r>
              <w:rPr>
                <w:rFonts w:hint="eastAsia"/>
                <w:color w:val="auto"/>
              </w:rPr>
              <w:t>0</w:t>
            </w:r>
          </w:p>
        </w:tc>
      </w:tr>
      <w:tr w14:paraId="2AC65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3ACE7E1C">
            <w:pPr>
              <w:pStyle w:val="33"/>
              <w:rPr>
                <w:color w:val="auto"/>
              </w:rPr>
            </w:pPr>
            <w:r>
              <w:rPr>
                <w:rFonts w:hint="eastAsia"/>
                <w:color w:val="auto"/>
              </w:rPr>
              <w:t>1#造纸车间导热排气筒</w:t>
            </w:r>
          </w:p>
        </w:tc>
        <w:tc>
          <w:tcPr>
            <w:tcW w:w="1417" w:type="dxa"/>
            <w:noWrap/>
            <w:tcMar>
              <w:top w:w="15" w:type="dxa"/>
              <w:left w:w="15" w:type="dxa"/>
              <w:bottom w:w="0" w:type="dxa"/>
              <w:right w:w="15" w:type="dxa"/>
            </w:tcMar>
            <w:vAlign w:val="center"/>
          </w:tcPr>
          <w:p w14:paraId="1EC8C0DB">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169B4C61">
            <w:pPr>
              <w:pStyle w:val="33"/>
              <w:rPr>
                <w:color w:val="auto"/>
              </w:rPr>
            </w:pPr>
            <w:r>
              <w:rPr>
                <w:color w:val="auto"/>
              </w:rPr>
              <w:t>0.8358</w:t>
            </w:r>
          </w:p>
        </w:tc>
        <w:tc>
          <w:tcPr>
            <w:tcW w:w="992" w:type="dxa"/>
            <w:noWrap/>
            <w:tcMar>
              <w:top w:w="15" w:type="dxa"/>
              <w:left w:w="15" w:type="dxa"/>
              <w:bottom w:w="0" w:type="dxa"/>
              <w:right w:w="15" w:type="dxa"/>
            </w:tcMar>
          </w:tcPr>
          <w:p w14:paraId="5ECDEF44">
            <w:pPr>
              <w:pStyle w:val="33"/>
              <w:rPr>
                <w:color w:val="auto"/>
              </w:rPr>
            </w:pPr>
            <w:r>
              <w:rPr>
                <w:color w:val="auto"/>
              </w:rPr>
              <w:t>0.06</w:t>
            </w:r>
          </w:p>
        </w:tc>
        <w:tc>
          <w:tcPr>
            <w:tcW w:w="1977" w:type="dxa"/>
            <w:noWrap/>
            <w:tcMar>
              <w:top w:w="15" w:type="dxa"/>
              <w:left w:w="15" w:type="dxa"/>
              <w:bottom w:w="0" w:type="dxa"/>
              <w:right w:w="15" w:type="dxa"/>
            </w:tcMar>
            <w:vAlign w:val="center"/>
          </w:tcPr>
          <w:p w14:paraId="1D60EF3A">
            <w:pPr>
              <w:pStyle w:val="33"/>
              <w:rPr>
                <w:color w:val="auto"/>
              </w:rPr>
            </w:pPr>
            <w:r>
              <w:rPr>
                <w:rFonts w:hint="eastAsia"/>
                <w:color w:val="auto"/>
              </w:rPr>
              <w:t>0</w:t>
            </w:r>
          </w:p>
        </w:tc>
      </w:tr>
      <w:tr w14:paraId="350A6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6C653675">
            <w:pPr>
              <w:pStyle w:val="33"/>
              <w:rPr>
                <w:color w:val="auto"/>
              </w:rPr>
            </w:pPr>
          </w:p>
        </w:tc>
        <w:tc>
          <w:tcPr>
            <w:tcW w:w="1417" w:type="dxa"/>
            <w:noWrap/>
            <w:tcMar>
              <w:top w:w="15" w:type="dxa"/>
              <w:left w:w="15" w:type="dxa"/>
              <w:bottom w:w="0" w:type="dxa"/>
              <w:right w:w="15" w:type="dxa"/>
            </w:tcMar>
            <w:vAlign w:val="center"/>
          </w:tcPr>
          <w:p w14:paraId="01E7207E">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1AD62A2A">
            <w:pPr>
              <w:pStyle w:val="33"/>
              <w:rPr>
                <w:color w:val="auto"/>
              </w:rPr>
            </w:pPr>
            <w:r>
              <w:rPr>
                <w:color w:val="auto"/>
              </w:rPr>
              <w:t>4.5042</w:t>
            </w:r>
          </w:p>
        </w:tc>
        <w:tc>
          <w:tcPr>
            <w:tcW w:w="992" w:type="dxa"/>
            <w:noWrap/>
            <w:tcMar>
              <w:top w:w="15" w:type="dxa"/>
              <w:left w:w="15" w:type="dxa"/>
              <w:bottom w:w="0" w:type="dxa"/>
              <w:right w:w="15" w:type="dxa"/>
            </w:tcMar>
          </w:tcPr>
          <w:p w14:paraId="251C3D11">
            <w:pPr>
              <w:pStyle w:val="33"/>
              <w:rPr>
                <w:color w:val="auto"/>
              </w:rPr>
            </w:pPr>
            <w:r>
              <w:rPr>
                <w:color w:val="auto"/>
              </w:rPr>
              <w:t>1.14</w:t>
            </w:r>
          </w:p>
        </w:tc>
        <w:tc>
          <w:tcPr>
            <w:tcW w:w="1977" w:type="dxa"/>
            <w:noWrap/>
            <w:tcMar>
              <w:top w:w="15" w:type="dxa"/>
              <w:left w:w="15" w:type="dxa"/>
              <w:bottom w:w="0" w:type="dxa"/>
              <w:right w:w="15" w:type="dxa"/>
            </w:tcMar>
          </w:tcPr>
          <w:p w14:paraId="475F7B4F">
            <w:pPr>
              <w:pStyle w:val="33"/>
              <w:rPr>
                <w:color w:val="auto"/>
              </w:rPr>
            </w:pPr>
            <w:r>
              <w:rPr>
                <w:rFonts w:hint="eastAsia"/>
                <w:color w:val="auto"/>
              </w:rPr>
              <w:t>0</w:t>
            </w:r>
          </w:p>
        </w:tc>
      </w:tr>
      <w:tr w14:paraId="3939E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7309C99">
            <w:pPr>
              <w:pStyle w:val="33"/>
              <w:rPr>
                <w:color w:val="auto"/>
              </w:rPr>
            </w:pPr>
          </w:p>
        </w:tc>
        <w:tc>
          <w:tcPr>
            <w:tcW w:w="1417" w:type="dxa"/>
            <w:noWrap/>
            <w:tcMar>
              <w:top w:w="15" w:type="dxa"/>
              <w:left w:w="15" w:type="dxa"/>
              <w:bottom w:w="0" w:type="dxa"/>
              <w:right w:w="15" w:type="dxa"/>
            </w:tcMar>
            <w:vAlign w:val="center"/>
          </w:tcPr>
          <w:p w14:paraId="0EF4517B">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4DE6A27E">
            <w:pPr>
              <w:pStyle w:val="33"/>
              <w:rPr>
                <w:color w:val="auto"/>
              </w:rPr>
            </w:pPr>
            <w:r>
              <w:rPr>
                <w:color w:val="auto"/>
              </w:rPr>
              <w:t>0.4362</w:t>
            </w:r>
          </w:p>
        </w:tc>
        <w:tc>
          <w:tcPr>
            <w:tcW w:w="992" w:type="dxa"/>
            <w:noWrap/>
            <w:tcMar>
              <w:top w:w="15" w:type="dxa"/>
              <w:left w:w="15" w:type="dxa"/>
              <w:bottom w:w="0" w:type="dxa"/>
              <w:right w:w="15" w:type="dxa"/>
            </w:tcMar>
          </w:tcPr>
          <w:p w14:paraId="23F48834">
            <w:pPr>
              <w:pStyle w:val="33"/>
              <w:rPr>
                <w:color w:val="auto"/>
              </w:rPr>
            </w:pPr>
            <w:r>
              <w:rPr>
                <w:color w:val="auto"/>
              </w:rPr>
              <w:t>0.06</w:t>
            </w:r>
          </w:p>
        </w:tc>
        <w:tc>
          <w:tcPr>
            <w:tcW w:w="1977" w:type="dxa"/>
            <w:noWrap/>
            <w:tcMar>
              <w:top w:w="15" w:type="dxa"/>
              <w:left w:w="15" w:type="dxa"/>
              <w:bottom w:w="0" w:type="dxa"/>
              <w:right w:w="15" w:type="dxa"/>
            </w:tcMar>
          </w:tcPr>
          <w:p w14:paraId="7719F0DA">
            <w:pPr>
              <w:pStyle w:val="33"/>
              <w:rPr>
                <w:color w:val="auto"/>
              </w:rPr>
            </w:pPr>
            <w:r>
              <w:rPr>
                <w:rFonts w:hint="eastAsia"/>
                <w:color w:val="auto"/>
              </w:rPr>
              <w:t>0</w:t>
            </w:r>
          </w:p>
        </w:tc>
      </w:tr>
      <w:tr w14:paraId="0499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4C871D08">
            <w:pPr>
              <w:pStyle w:val="33"/>
              <w:rPr>
                <w:color w:val="auto"/>
              </w:rPr>
            </w:pPr>
          </w:p>
        </w:tc>
        <w:tc>
          <w:tcPr>
            <w:tcW w:w="1417" w:type="dxa"/>
            <w:noWrap/>
            <w:tcMar>
              <w:top w:w="15" w:type="dxa"/>
              <w:left w:w="15" w:type="dxa"/>
              <w:bottom w:w="0" w:type="dxa"/>
              <w:right w:w="15" w:type="dxa"/>
            </w:tcMar>
            <w:vAlign w:val="center"/>
          </w:tcPr>
          <w:p w14:paraId="7671A182">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004DDDC2">
            <w:pPr>
              <w:pStyle w:val="33"/>
              <w:rPr>
                <w:color w:val="auto"/>
              </w:rPr>
            </w:pPr>
            <w:r>
              <w:rPr>
                <w:color w:val="auto"/>
              </w:rPr>
              <w:t>0.2178</w:t>
            </w:r>
          </w:p>
        </w:tc>
        <w:tc>
          <w:tcPr>
            <w:tcW w:w="992" w:type="dxa"/>
            <w:noWrap/>
            <w:tcMar>
              <w:top w:w="15" w:type="dxa"/>
              <w:left w:w="15" w:type="dxa"/>
              <w:bottom w:w="0" w:type="dxa"/>
              <w:right w:w="15" w:type="dxa"/>
            </w:tcMar>
          </w:tcPr>
          <w:p w14:paraId="464113BF">
            <w:pPr>
              <w:pStyle w:val="33"/>
              <w:rPr>
                <w:color w:val="auto"/>
              </w:rPr>
            </w:pPr>
            <w:r>
              <w:rPr>
                <w:color w:val="auto"/>
              </w:rPr>
              <w:t>0.06</w:t>
            </w:r>
          </w:p>
        </w:tc>
        <w:tc>
          <w:tcPr>
            <w:tcW w:w="1977" w:type="dxa"/>
            <w:noWrap/>
            <w:tcMar>
              <w:top w:w="15" w:type="dxa"/>
              <w:left w:w="15" w:type="dxa"/>
              <w:bottom w:w="0" w:type="dxa"/>
              <w:right w:w="15" w:type="dxa"/>
            </w:tcMar>
          </w:tcPr>
          <w:p w14:paraId="499F7009">
            <w:pPr>
              <w:pStyle w:val="33"/>
              <w:rPr>
                <w:color w:val="auto"/>
              </w:rPr>
            </w:pPr>
            <w:r>
              <w:rPr>
                <w:rFonts w:hint="eastAsia"/>
                <w:color w:val="auto"/>
              </w:rPr>
              <w:t>0</w:t>
            </w:r>
          </w:p>
        </w:tc>
      </w:tr>
      <w:tr w14:paraId="67340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47B467AC">
            <w:pPr>
              <w:pStyle w:val="33"/>
              <w:rPr>
                <w:color w:val="auto"/>
              </w:rPr>
            </w:pPr>
            <w:r>
              <w:rPr>
                <w:rFonts w:hint="eastAsia"/>
                <w:color w:val="auto"/>
              </w:rPr>
              <w:t>2#造纸车间导热排气筒</w:t>
            </w:r>
          </w:p>
        </w:tc>
        <w:tc>
          <w:tcPr>
            <w:tcW w:w="1417" w:type="dxa"/>
            <w:noWrap/>
            <w:tcMar>
              <w:top w:w="15" w:type="dxa"/>
              <w:left w:w="15" w:type="dxa"/>
              <w:bottom w:w="0" w:type="dxa"/>
              <w:right w:w="15" w:type="dxa"/>
            </w:tcMar>
            <w:vAlign w:val="center"/>
          </w:tcPr>
          <w:p w14:paraId="6EFA0374">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08636E68">
            <w:pPr>
              <w:pStyle w:val="33"/>
              <w:rPr>
                <w:color w:val="auto"/>
              </w:rPr>
            </w:pPr>
            <w:r>
              <w:rPr>
                <w:color w:val="auto"/>
              </w:rPr>
              <w:t>0.9018</w:t>
            </w:r>
          </w:p>
        </w:tc>
        <w:tc>
          <w:tcPr>
            <w:tcW w:w="992" w:type="dxa"/>
            <w:noWrap/>
            <w:tcMar>
              <w:top w:w="15" w:type="dxa"/>
              <w:left w:w="15" w:type="dxa"/>
              <w:bottom w:w="0" w:type="dxa"/>
              <w:right w:w="15" w:type="dxa"/>
            </w:tcMar>
          </w:tcPr>
          <w:p w14:paraId="698F4998">
            <w:pPr>
              <w:pStyle w:val="33"/>
              <w:rPr>
                <w:color w:val="auto"/>
              </w:rPr>
            </w:pPr>
            <w:r>
              <w:rPr>
                <w:color w:val="auto"/>
              </w:rPr>
              <w:t>0.12</w:t>
            </w:r>
          </w:p>
        </w:tc>
        <w:tc>
          <w:tcPr>
            <w:tcW w:w="1977" w:type="dxa"/>
            <w:noWrap/>
            <w:tcMar>
              <w:top w:w="15" w:type="dxa"/>
              <w:left w:w="15" w:type="dxa"/>
              <w:bottom w:w="0" w:type="dxa"/>
              <w:right w:w="15" w:type="dxa"/>
            </w:tcMar>
          </w:tcPr>
          <w:p w14:paraId="390746CD">
            <w:pPr>
              <w:pStyle w:val="33"/>
              <w:rPr>
                <w:color w:val="auto"/>
              </w:rPr>
            </w:pPr>
            <w:r>
              <w:rPr>
                <w:rFonts w:hint="eastAsia"/>
                <w:color w:val="auto"/>
              </w:rPr>
              <w:t>0</w:t>
            </w:r>
          </w:p>
        </w:tc>
      </w:tr>
      <w:tr w14:paraId="71BE9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30F42C55">
            <w:pPr>
              <w:pStyle w:val="33"/>
              <w:rPr>
                <w:color w:val="auto"/>
              </w:rPr>
            </w:pPr>
          </w:p>
        </w:tc>
        <w:tc>
          <w:tcPr>
            <w:tcW w:w="1417" w:type="dxa"/>
            <w:noWrap/>
            <w:tcMar>
              <w:top w:w="15" w:type="dxa"/>
              <w:left w:w="15" w:type="dxa"/>
              <w:bottom w:w="0" w:type="dxa"/>
              <w:right w:w="15" w:type="dxa"/>
            </w:tcMar>
            <w:vAlign w:val="center"/>
          </w:tcPr>
          <w:p w14:paraId="22557C18">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44866113">
            <w:pPr>
              <w:pStyle w:val="33"/>
              <w:rPr>
                <w:color w:val="auto"/>
              </w:rPr>
            </w:pPr>
            <w:r>
              <w:rPr>
                <w:color w:val="auto"/>
              </w:rPr>
              <w:t>4.9134</w:t>
            </w:r>
          </w:p>
        </w:tc>
        <w:tc>
          <w:tcPr>
            <w:tcW w:w="992" w:type="dxa"/>
            <w:noWrap/>
            <w:tcMar>
              <w:top w:w="15" w:type="dxa"/>
              <w:left w:w="15" w:type="dxa"/>
              <w:bottom w:w="0" w:type="dxa"/>
              <w:right w:w="15" w:type="dxa"/>
            </w:tcMar>
          </w:tcPr>
          <w:p w14:paraId="7246E882">
            <w:pPr>
              <w:pStyle w:val="33"/>
              <w:rPr>
                <w:color w:val="auto"/>
              </w:rPr>
            </w:pPr>
            <w:r>
              <w:rPr>
                <w:color w:val="auto"/>
              </w:rPr>
              <w:t>1.2</w:t>
            </w:r>
          </w:p>
        </w:tc>
        <w:tc>
          <w:tcPr>
            <w:tcW w:w="1977" w:type="dxa"/>
            <w:noWrap/>
            <w:tcMar>
              <w:top w:w="15" w:type="dxa"/>
              <w:left w:w="15" w:type="dxa"/>
              <w:bottom w:w="0" w:type="dxa"/>
              <w:right w:w="15" w:type="dxa"/>
            </w:tcMar>
          </w:tcPr>
          <w:p w14:paraId="2552BA37">
            <w:pPr>
              <w:pStyle w:val="33"/>
              <w:rPr>
                <w:color w:val="auto"/>
              </w:rPr>
            </w:pPr>
            <w:r>
              <w:rPr>
                <w:rFonts w:hint="eastAsia"/>
                <w:color w:val="auto"/>
              </w:rPr>
              <w:t>0</w:t>
            </w:r>
          </w:p>
        </w:tc>
      </w:tr>
      <w:tr w14:paraId="747E0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14C665E6">
            <w:pPr>
              <w:pStyle w:val="33"/>
              <w:rPr>
                <w:color w:val="auto"/>
              </w:rPr>
            </w:pPr>
          </w:p>
        </w:tc>
        <w:tc>
          <w:tcPr>
            <w:tcW w:w="1417" w:type="dxa"/>
            <w:noWrap/>
            <w:tcMar>
              <w:top w:w="15" w:type="dxa"/>
              <w:left w:w="15" w:type="dxa"/>
              <w:bottom w:w="0" w:type="dxa"/>
              <w:right w:w="15" w:type="dxa"/>
            </w:tcMar>
            <w:vAlign w:val="center"/>
          </w:tcPr>
          <w:p w14:paraId="1A3FE76C">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209DDCEC">
            <w:pPr>
              <w:pStyle w:val="33"/>
              <w:rPr>
                <w:color w:val="auto"/>
              </w:rPr>
            </w:pPr>
            <w:r>
              <w:rPr>
                <w:color w:val="auto"/>
              </w:rPr>
              <w:t>0.4974</w:t>
            </w:r>
          </w:p>
        </w:tc>
        <w:tc>
          <w:tcPr>
            <w:tcW w:w="992" w:type="dxa"/>
            <w:noWrap/>
            <w:tcMar>
              <w:top w:w="15" w:type="dxa"/>
              <w:left w:w="15" w:type="dxa"/>
              <w:bottom w:w="0" w:type="dxa"/>
              <w:right w:w="15" w:type="dxa"/>
            </w:tcMar>
          </w:tcPr>
          <w:p w14:paraId="63311689">
            <w:pPr>
              <w:pStyle w:val="33"/>
              <w:rPr>
                <w:color w:val="auto"/>
              </w:rPr>
            </w:pPr>
            <w:r>
              <w:rPr>
                <w:color w:val="auto"/>
              </w:rPr>
              <w:t>0.06</w:t>
            </w:r>
          </w:p>
        </w:tc>
        <w:tc>
          <w:tcPr>
            <w:tcW w:w="1977" w:type="dxa"/>
            <w:noWrap/>
            <w:tcMar>
              <w:top w:w="15" w:type="dxa"/>
              <w:left w:w="15" w:type="dxa"/>
              <w:bottom w:w="0" w:type="dxa"/>
              <w:right w:w="15" w:type="dxa"/>
            </w:tcMar>
          </w:tcPr>
          <w:p w14:paraId="6D3A6693">
            <w:pPr>
              <w:pStyle w:val="33"/>
              <w:rPr>
                <w:color w:val="auto"/>
              </w:rPr>
            </w:pPr>
            <w:r>
              <w:rPr>
                <w:rFonts w:hint="eastAsia"/>
                <w:color w:val="auto"/>
              </w:rPr>
              <w:t>0</w:t>
            </w:r>
          </w:p>
        </w:tc>
      </w:tr>
      <w:tr w14:paraId="34D51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34D6AE8A">
            <w:pPr>
              <w:pStyle w:val="33"/>
              <w:rPr>
                <w:color w:val="auto"/>
              </w:rPr>
            </w:pPr>
          </w:p>
        </w:tc>
        <w:tc>
          <w:tcPr>
            <w:tcW w:w="1417" w:type="dxa"/>
            <w:noWrap/>
            <w:tcMar>
              <w:top w:w="15" w:type="dxa"/>
              <w:left w:w="15" w:type="dxa"/>
              <w:bottom w:w="0" w:type="dxa"/>
              <w:right w:w="15" w:type="dxa"/>
            </w:tcMar>
            <w:vAlign w:val="center"/>
          </w:tcPr>
          <w:p w14:paraId="2AF2A4B9">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39A616B6">
            <w:pPr>
              <w:pStyle w:val="33"/>
              <w:rPr>
                <w:color w:val="auto"/>
              </w:rPr>
            </w:pPr>
            <w:r>
              <w:rPr>
                <w:color w:val="auto"/>
              </w:rPr>
              <w:t>0.249</w:t>
            </w:r>
          </w:p>
        </w:tc>
        <w:tc>
          <w:tcPr>
            <w:tcW w:w="992" w:type="dxa"/>
            <w:noWrap/>
            <w:tcMar>
              <w:top w:w="15" w:type="dxa"/>
              <w:left w:w="15" w:type="dxa"/>
              <w:bottom w:w="0" w:type="dxa"/>
              <w:right w:w="15" w:type="dxa"/>
            </w:tcMar>
          </w:tcPr>
          <w:p w14:paraId="33C2253A">
            <w:pPr>
              <w:pStyle w:val="33"/>
              <w:rPr>
                <w:color w:val="auto"/>
              </w:rPr>
            </w:pPr>
            <w:r>
              <w:rPr>
                <w:color w:val="auto"/>
              </w:rPr>
              <w:t>0.06</w:t>
            </w:r>
          </w:p>
        </w:tc>
        <w:tc>
          <w:tcPr>
            <w:tcW w:w="1977" w:type="dxa"/>
            <w:noWrap/>
            <w:tcMar>
              <w:top w:w="15" w:type="dxa"/>
              <w:left w:w="15" w:type="dxa"/>
              <w:bottom w:w="0" w:type="dxa"/>
              <w:right w:w="15" w:type="dxa"/>
            </w:tcMar>
          </w:tcPr>
          <w:p w14:paraId="3A1AE522">
            <w:pPr>
              <w:pStyle w:val="33"/>
              <w:rPr>
                <w:color w:val="auto"/>
              </w:rPr>
            </w:pPr>
            <w:r>
              <w:rPr>
                <w:rFonts w:hint="eastAsia"/>
                <w:color w:val="auto"/>
              </w:rPr>
              <w:t>0</w:t>
            </w:r>
          </w:p>
        </w:tc>
      </w:tr>
      <w:tr w14:paraId="0CD55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1C80945A">
            <w:pPr>
              <w:pStyle w:val="33"/>
              <w:rPr>
                <w:color w:val="auto"/>
              </w:rPr>
            </w:pPr>
            <w:r>
              <w:rPr>
                <w:rFonts w:hint="eastAsia"/>
                <w:color w:val="auto"/>
              </w:rPr>
              <w:t>淋膜纸车间废气</w:t>
            </w:r>
          </w:p>
        </w:tc>
        <w:tc>
          <w:tcPr>
            <w:tcW w:w="1417" w:type="dxa"/>
            <w:noWrap/>
            <w:tcMar>
              <w:top w:w="15" w:type="dxa"/>
              <w:left w:w="15" w:type="dxa"/>
              <w:bottom w:w="0" w:type="dxa"/>
              <w:right w:w="15" w:type="dxa"/>
            </w:tcMar>
            <w:vAlign w:val="center"/>
          </w:tcPr>
          <w:p w14:paraId="0BC7FA52">
            <w:pPr>
              <w:pStyle w:val="33"/>
              <w:rPr>
                <w:color w:val="auto"/>
              </w:rPr>
            </w:pPr>
            <w:r>
              <w:rPr>
                <w:color w:val="auto"/>
              </w:rPr>
              <w:t>非甲烷总烃</w:t>
            </w:r>
          </w:p>
        </w:tc>
        <w:tc>
          <w:tcPr>
            <w:tcW w:w="1560" w:type="dxa"/>
            <w:noWrap/>
            <w:tcMar>
              <w:top w:w="15" w:type="dxa"/>
              <w:left w:w="15" w:type="dxa"/>
              <w:bottom w:w="0" w:type="dxa"/>
              <w:right w:w="15" w:type="dxa"/>
            </w:tcMar>
            <w:vAlign w:val="center"/>
          </w:tcPr>
          <w:p w14:paraId="11DAC30E">
            <w:pPr>
              <w:pStyle w:val="33"/>
              <w:rPr>
                <w:color w:val="auto"/>
              </w:rPr>
            </w:pPr>
            <w:r>
              <w:rPr>
                <w:rFonts w:hint="eastAsia"/>
                <w:color w:val="auto"/>
              </w:rPr>
              <w:t>1.6809</w:t>
            </w:r>
          </w:p>
        </w:tc>
        <w:tc>
          <w:tcPr>
            <w:tcW w:w="992" w:type="dxa"/>
            <w:noWrap/>
            <w:tcMar>
              <w:top w:w="15" w:type="dxa"/>
              <w:left w:w="15" w:type="dxa"/>
              <w:bottom w:w="0" w:type="dxa"/>
              <w:right w:w="15" w:type="dxa"/>
            </w:tcMar>
            <w:vAlign w:val="center"/>
          </w:tcPr>
          <w:p w14:paraId="1079AA75">
            <w:pPr>
              <w:pStyle w:val="33"/>
              <w:rPr>
                <w:color w:val="auto"/>
              </w:rPr>
            </w:pPr>
            <w:r>
              <w:rPr>
                <w:rFonts w:hint="eastAsia"/>
                <w:color w:val="auto"/>
              </w:rPr>
              <w:t>0.08</w:t>
            </w:r>
          </w:p>
        </w:tc>
        <w:tc>
          <w:tcPr>
            <w:tcW w:w="1977" w:type="dxa"/>
            <w:noWrap/>
            <w:tcMar>
              <w:top w:w="15" w:type="dxa"/>
              <w:left w:w="15" w:type="dxa"/>
              <w:bottom w:w="0" w:type="dxa"/>
              <w:right w:w="15" w:type="dxa"/>
            </w:tcMar>
            <w:vAlign w:val="center"/>
          </w:tcPr>
          <w:p w14:paraId="268D1117">
            <w:pPr>
              <w:pStyle w:val="33"/>
              <w:rPr>
                <w:color w:val="auto"/>
              </w:rPr>
            </w:pPr>
            <w:r>
              <w:rPr>
                <w:color w:val="auto"/>
              </w:rPr>
              <w:t>0</w:t>
            </w:r>
          </w:p>
        </w:tc>
      </w:tr>
      <w:tr w14:paraId="48E32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179AC193">
            <w:pPr>
              <w:pStyle w:val="33"/>
              <w:rPr>
                <w:color w:val="auto"/>
              </w:rPr>
            </w:pPr>
            <w:r>
              <w:rPr>
                <w:rFonts w:hint="eastAsia"/>
                <w:color w:val="auto"/>
              </w:rPr>
              <w:t>废水处理站废气</w:t>
            </w:r>
          </w:p>
        </w:tc>
        <w:tc>
          <w:tcPr>
            <w:tcW w:w="1417" w:type="dxa"/>
            <w:noWrap/>
            <w:tcMar>
              <w:top w:w="15" w:type="dxa"/>
              <w:left w:w="15" w:type="dxa"/>
              <w:bottom w:w="0" w:type="dxa"/>
              <w:right w:w="15" w:type="dxa"/>
            </w:tcMar>
            <w:vAlign w:val="center"/>
          </w:tcPr>
          <w:p w14:paraId="2700F1CE">
            <w:pPr>
              <w:pStyle w:val="33"/>
              <w:rPr>
                <w:color w:val="auto"/>
              </w:rPr>
            </w:pPr>
            <w:r>
              <w:rPr>
                <w:color w:val="auto"/>
              </w:rPr>
              <w:t>H</w:t>
            </w:r>
            <w:r>
              <w:rPr>
                <w:color w:val="auto"/>
                <w:vertAlign w:val="subscript"/>
              </w:rPr>
              <w:t>2</w:t>
            </w:r>
            <w:r>
              <w:rPr>
                <w:color w:val="auto"/>
              </w:rPr>
              <w:t>S</w:t>
            </w:r>
          </w:p>
        </w:tc>
        <w:tc>
          <w:tcPr>
            <w:tcW w:w="1560" w:type="dxa"/>
            <w:noWrap/>
            <w:tcMar>
              <w:top w:w="15" w:type="dxa"/>
              <w:left w:w="15" w:type="dxa"/>
              <w:bottom w:w="0" w:type="dxa"/>
              <w:right w:w="15" w:type="dxa"/>
            </w:tcMar>
            <w:vAlign w:val="center"/>
          </w:tcPr>
          <w:p w14:paraId="6A4937A9">
            <w:pPr>
              <w:pStyle w:val="33"/>
              <w:rPr>
                <w:color w:val="auto"/>
              </w:rPr>
            </w:pPr>
            <w:r>
              <w:rPr>
                <w:rFonts w:hint="eastAsia"/>
                <w:color w:val="auto"/>
              </w:rPr>
              <w:t>0.0420</w:t>
            </w:r>
          </w:p>
        </w:tc>
        <w:tc>
          <w:tcPr>
            <w:tcW w:w="992" w:type="dxa"/>
            <w:noWrap/>
            <w:tcMar>
              <w:top w:w="15" w:type="dxa"/>
              <w:left w:w="15" w:type="dxa"/>
              <w:bottom w:w="0" w:type="dxa"/>
              <w:right w:w="15" w:type="dxa"/>
            </w:tcMar>
            <w:vAlign w:val="center"/>
          </w:tcPr>
          <w:p w14:paraId="15E947B5">
            <w:pPr>
              <w:pStyle w:val="33"/>
              <w:rPr>
                <w:color w:val="auto"/>
              </w:rPr>
            </w:pPr>
            <w:r>
              <w:rPr>
                <w:rFonts w:hint="eastAsia"/>
                <w:color w:val="auto"/>
              </w:rPr>
              <w:t>0.42</w:t>
            </w:r>
          </w:p>
        </w:tc>
        <w:tc>
          <w:tcPr>
            <w:tcW w:w="1977" w:type="dxa"/>
            <w:noWrap/>
            <w:tcMar>
              <w:top w:w="15" w:type="dxa"/>
              <w:left w:w="15" w:type="dxa"/>
              <w:bottom w:w="0" w:type="dxa"/>
              <w:right w:w="15" w:type="dxa"/>
            </w:tcMar>
            <w:vAlign w:val="center"/>
          </w:tcPr>
          <w:p w14:paraId="3170A127">
            <w:pPr>
              <w:pStyle w:val="33"/>
              <w:rPr>
                <w:color w:val="auto"/>
              </w:rPr>
            </w:pPr>
            <w:r>
              <w:rPr>
                <w:color w:val="auto"/>
              </w:rPr>
              <w:t>0</w:t>
            </w:r>
          </w:p>
        </w:tc>
      </w:tr>
      <w:tr w14:paraId="05718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4DD179EF">
            <w:pPr>
              <w:pStyle w:val="33"/>
              <w:rPr>
                <w:color w:val="auto"/>
              </w:rPr>
            </w:pPr>
          </w:p>
        </w:tc>
        <w:tc>
          <w:tcPr>
            <w:tcW w:w="1417" w:type="dxa"/>
            <w:noWrap/>
            <w:tcMar>
              <w:top w:w="15" w:type="dxa"/>
              <w:left w:w="15" w:type="dxa"/>
              <w:bottom w:w="0" w:type="dxa"/>
              <w:right w:w="15" w:type="dxa"/>
            </w:tcMar>
            <w:vAlign w:val="center"/>
          </w:tcPr>
          <w:p w14:paraId="783FA2A8">
            <w:pPr>
              <w:pStyle w:val="33"/>
              <w:rPr>
                <w:color w:val="auto"/>
              </w:rPr>
            </w:pPr>
            <w:r>
              <w:rPr>
                <w:color w:val="auto"/>
              </w:rPr>
              <w:t>NH</w:t>
            </w:r>
            <w:r>
              <w:rPr>
                <w:color w:val="auto"/>
                <w:vertAlign w:val="subscript"/>
              </w:rPr>
              <w:t>3</w:t>
            </w:r>
          </w:p>
        </w:tc>
        <w:tc>
          <w:tcPr>
            <w:tcW w:w="1560" w:type="dxa"/>
            <w:noWrap/>
            <w:tcMar>
              <w:top w:w="15" w:type="dxa"/>
              <w:left w:w="15" w:type="dxa"/>
              <w:bottom w:w="0" w:type="dxa"/>
              <w:right w:w="15" w:type="dxa"/>
            </w:tcMar>
            <w:vAlign w:val="center"/>
          </w:tcPr>
          <w:p w14:paraId="3C500942">
            <w:pPr>
              <w:pStyle w:val="33"/>
              <w:rPr>
                <w:color w:val="auto"/>
              </w:rPr>
            </w:pPr>
            <w:r>
              <w:rPr>
                <w:rFonts w:hint="eastAsia"/>
                <w:color w:val="auto"/>
              </w:rPr>
              <w:t>0.8963</w:t>
            </w:r>
          </w:p>
        </w:tc>
        <w:tc>
          <w:tcPr>
            <w:tcW w:w="992" w:type="dxa"/>
            <w:noWrap/>
            <w:tcMar>
              <w:top w:w="15" w:type="dxa"/>
              <w:left w:w="15" w:type="dxa"/>
              <w:bottom w:w="0" w:type="dxa"/>
              <w:right w:w="15" w:type="dxa"/>
            </w:tcMar>
            <w:vAlign w:val="center"/>
          </w:tcPr>
          <w:p w14:paraId="657FF720">
            <w:pPr>
              <w:pStyle w:val="33"/>
              <w:rPr>
                <w:color w:val="auto"/>
              </w:rPr>
            </w:pPr>
            <w:r>
              <w:rPr>
                <w:rFonts w:hint="eastAsia"/>
                <w:color w:val="auto"/>
              </w:rPr>
              <w:t>0.04</w:t>
            </w:r>
          </w:p>
        </w:tc>
        <w:tc>
          <w:tcPr>
            <w:tcW w:w="1977" w:type="dxa"/>
            <w:noWrap/>
            <w:tcMar>
              <w:top w:w="15" w:type="dxa"/>
              <w:left w:w="15" w:type="dxa"/>
              <w:bottom w:w="0" w:type="dxa"/>
              <w:right w:w="15" w:type="dxa"/>
            </w:tcMar>
            <w:vAlign w:val="center"/>
          </w:tcPr>
          <w:p w14:paraId="793871C5">
            <w:pPr>
              <w:pStyle w:val="33"/>
              <w:rPr>
                <w:color w:val="auto"/>
              </w:rPr>
            </w:pPr>
            <w:r>
              <w:rPr>
                <w:color w:val="auto"/>
              </w:rPr>
              <w:t>0</w:t>
            </w:r>
          </w:p>
        </w:tc>
      </w:tr>
      <w:tr w14:paraId="49368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252AF2B8">
            <w:pPr>
              <w:pStyle w:val="33"/>
              <w:rPr>
                <w:color w:val="auto"/>
              </w:rPr>
            </w:pPr>
            <w:r>
              <w:rPr>
                <w:rFonts w:hint="eastAsia"/>
                <w:color w:val="auto"/>
              </w:rPr>
              <w:t>废水处理站无组织废气</w:t>
            </w:r>
          </w:p>
        </w:tc>
        <w:tc>
          <w:tcPr>
            <w:tcW w:w="1417" w:type="dxa"/>
            <w:noWrap/>
            <w:tcMar>
              <w:top w:w="15" w:type="dxa"/>
              <w:left w:w="15" w:type="dxa"/>
              <w:bottom w:w="0" w:type="dxa"/>
              <w:right w:w="15" w:type="dxa"/>
            </w:tcMar>
            <w:vAlign w:val="center"/>
          </w:tcPr>
          <w:p w14:paraId="7BAE4599">
            <w:pPr>
              <w:pStyle w:val="33"/>
              <w:rPr>
                <w:color w:val="auto"/>
              </w:rPr>
            </w:pPr>
            <w:r>
              <w:rPr>
                <w:color w:val="auto"/>
              </w:rPr>
              <w:t>H</w:t>
            </w:r>
            <w:r>
              <w:rPr>
                <w:color w:val="auto"/>
                <w:vertAlign w:val="subscript"/>
              </w:rPr>
              <w:t>2</w:t>
            </w:r>
            <w:r>
              <w:rPr>
                <w:color w:val="auto"/>
              </w:rPr>
              <w:t>S</w:t>
            </w:r>
          </w:p>
        </w:tc>
        <w:tc>
          <w:tcPr>
            <w:tcW w:w="1560" w:type="dxa"/>
            <w:noWrap/>
            <w:tcMar>
              <w:top w:w="15" w:type="dxa"/>
              <w:left w:w="15" w:type="dxa"/>
              <w:bottom w:w="0" w:type="dxa"/>
              <w:right w:w="15" w:type="dxa"/>
            </w:tcMar>
            <w:vAlign w:val="center"/>
          </w:tcPr>
          <w:p w14:paraId="67B0E6BB">
            <w:pPr>
              <w:pStyle w:val="33"/>
              <w:rPr>
                <w:color w:val="auto"/>
              </w:rPr>
            </w:pPr>
            <w:r>
              <w:rPr>
                <w:rFonts w:hint="eastAsia"/>
                <w:color w:val="auto"/>
              </w:rPr>
              <w:t>0.7010</w:t>
            </w:r>
          </w:p>
        </w:tc>
        <w:tc>
          <w:tcPr>
            <w:tcW w:w="992" w:type="dxa"/>
            <w:noWrap/>
            <w:tcMar>
              <w:top w:w="15" w:type="dxa"/>
              <w:left w:w="15" w:type="dxa"/>
              <w:bottom w:w="0" w:type="dxa"/>
              <w:right w:w="15" w:type="dxa"/>
            </w:tcMar>
            <w:vAlign w:val="center"/>
          </w:tcPr>
          <w:p w14:paraId="0890805C">
            <w:pPr>
              <w:pStyle w:val="33"/>
              <w:rPr>
                <w:color w:val="auto"/>
              </w:rPr>
            </w:pPr>
            <w:r>
              <w:rPr>
                <w:rFonts w:hint="eastAsia"/>
                <w:color w:val="auto"/>
              </w:rPr>
              <w:t>7.01</w:t>
            </w:r>
          </w:p>
        </w:tc>
        <w:tc>
          <w:tcPr>
            <w:tcW w:w="1977" w:type="dxa"/>
            <w:noWrap/>
            <w:tcMar>
              <w:top w:w="15" w:type="dxa"/>
              <w:left w:w="15" w:type="dxa"/>
              <w:bottom w:w="0" w:type="dxa"/>
              <w:right w:w="15" w:type="dxa"/>
            </w:tcMar>
            <w:vAlign w:val="center"/>
          </w:tcPr>
          <w:p w14:paraId="2A98F688">
            <w:pPr>
              <w:pStyle w:val="33"/>
              <w:rPr>
                <w:color w:val="auto"/>
              </w:rPr>
            </w:pPr>
            <w:r>
              <w:rPr>
                <w:color w:val="auto"/>
              </w:rPr>
              <w:t>0</w:t>
            </w:r>
          </w:p>
        </w:tc>
      </w:tr>
      <w:tr w14:paraId="6B537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4AE1C2C1">
            <w:pPr>
              <w:pStyle w:val="33"/>
              <w:rPr>
                <w:color w:val="auto"/>
              </w:rPr>
            </w:pPr>
          </w:p>
        </w:tc>
        <w:tc>
          <w:tcPr>
            <w:tcW w:w="1417" w:type="dxa"/>
            <w:noWrap/>
            <w:tcMar>
              <w:top w:w="15" w:type="dxa"/>
              <w:left w:w="15" w:type="dxa"/>
              <w:bottom w:w="0" w:type="dxa"/>
              <w:right w:w="15" w:type="dxa"/>
            </w:tcMar>
            <w:vAlign w:val="center"/>
          </w:tcPr>
          <w:p w14:paraId="51F93ADB">
            <w:pPr>
              <w:pStyle w:val="33"/>
              <w:rPr>
                <w:color w:val="auto"/>
              </w:rPr>
            </w:pPr>
            <w:r>
              <w:rPr>
                <w:color w:val="auto"/>
              </w:rPr>
              <w:t>NH</w:t>
            </w:r>
            <w:r>
              <w:rPr>
                <w:color w:val="auto"/>
                <w:vertAlign w:val="subscript"/>
              </w:rPr>
              <w:t>3</w:t>
            </w:r>
          </w:p>
        </w:tc>
        <w:tc>
          <w:tcPr>
            <w:tcW w:w="1560" w:type="dxa"/>
            <w:noWrap/>
            <w:tcMar>
              <w:top w:w="15" w:type="dxa"/>
              <w:left w:w="15" w:type="dxa"/>
              <w:bottom w:w="0" w:type="dxa"/>
              <w:right w:w="15" w:type="dxa"/>
            </w:tcMar>
            <w:vAlign w:val="center"/>
          </w:tcPr>
          <w:p w14:paraId="6153CE1B">
            <w:pPr>
              <w:pStyle w:val="33"/>
              <w:rPr>
                <w:color w:val="auto"/>
              </w:rPr>
            </w:pPr>
            <w:r>
              <w:rPr>
                <w:rFonts w:hint="eastAsia"/>
                <w:color w:val="auto"/>
              </w:rPr>
              <w:t>0.7615</w:t>
            </w:r>
          </w:p>
        </w:tc>
        <w:tc>
          <w:tcPr>
            <w:tcW w:w="992" w:type="dxa"/>
            <w:noWrap/>
            <w:tcMar>
              <w:top w:w="15" w:type="dxa"/>
              <w:left w:w="15" w:type="dxa"/>
              <w:bottom w:w="0" w:type="dxa"/>
              <w:right w:w="15" w:type="dxa"/>
            </w:tcMar>
            <w:vAlign w:val="center"/>
          </w:tcPr>
          <w:p w14:paraId="6716C6E3">
            <w:pPr>
              <w:pStyle w:val="33"/>
              <w:rPr>
                <w:color w:val="auto"/>
              </w:rPr>
            </w:pPr>
            <w:r>
              <w:rPr>
                <w:rFonts w:hint="eastAsia"/>
                <w:color w:val="auto"/>
              </w:rPr>
              <w:t>0.38</w:t>
            </w:r>
          </w:p>
        </w:tc>
        <w:tc>
          <w:tcPr>
            <w:tcW w:w="1977" w:type="dxa"/>
            <w:noWrap/>
            <w:tcMar>
              <w:top w:w="15" w:type="dxa"/>
              <w:left w:w="15" w:type="dxa"/>
              <w:bottom w:w="0" w:type="dxa"/>
              <w:right w:w="15" w:type="dxa"/>
            </w:tcMar>
            <w:vAlign w:val="center"/>
          </w:tcPr>
          <w:p w14:paraId="6FD8CD93">
            <w:pPr>
              <w:pStyle w:val="33"/>
              <w:rPr>
                <w:color w:val="auto"/>
              </w:rPr>
            </w:pPr>
            <w:r>
              <w:rPr>
                <w:rFonts w:hint="eastAsia"/>
                <w:color w:val="auto"/>
              </w:rPr>
              <w:t>0</w:t>
            </w:r>
          </w:p>
        </w:tc>
      </w:tr>
      <w:tr w14:paraId="6122E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7CC19454">
            <w:pPr>
              <w:pStyle w:val="33"/>
              <w:rPr>
                <w:color w:val="auto"/>
              </w:rPr>
            </w:pPr>
            <w:r>
              <w:rPr>
                <w:rFonts w:hint="eastAsia"/>
                <w:color w:val="auto"/>
              </w:rPr>
              <w:t>淋膜纸车间无组织废气</w:t>
            </w:r>
          </w:p>
        </w:tc>
        <w:tc>
          <w:tcPr>
            <w:tcW w:w="1417" w:type="dxa"/>
            <w:noWrap/>
            <w:tcMar>
              <w:top w:w="15" w:type="dxa"/>
              <w:left w:w="15" w:type="dxa"/>
              <w:bottom w:w="0" w:type="dxa"/>
              <w:right w:w="15" w:type="dxa"/>
            </w:tcMar>
            <w:vAlign w:val="center"/>
          </w:tcPr>
          <w:p w14:paraId="29645C85">
            <w:pPr>
              <w:pStyle w:val="33"/>
              <w:rPr>
                <w:color w:val="auto"/>
              </w:rPr>
            </w:pPr>
            <w:r>
              <w:rPr>
                <w:color w:val="auto"/>
              </w:rPr>
              <w:t>非甲烷总烃</w:t>
            </w:r>
          </w:p>
        </w:tc>
        <w:tc>
          <w:tcPr>
            <w:tcW w:w="1560" w:type="dxa"/>
            <w:noWrap/>
            <w:tcMar>
              <w:top w:w="15" w:type="dxa"/>
              <w:left w:w="15" w:type="dxa"/>
              <w:bottom w:w="0" w:type="dxa"/>
              <w:right w:w="15" w:type="dxa"/>
            </w:tcMar>
            <w:vAlign w:val="center"/>
          </w:tcPr>
          <w:p w14:paraId="0A3E137E">
            <w:pPr>
              <w:pStyle w:val="33"/>
              <w:rPr>
                <w:color w:val="auto"/>
              </w:rPr>
            </w:pPr>
            <w:r>
              <w:rPr>
                <w:rFonts w:hint="eastAsia"/>
                <w:color w:val="auto"/>
              </w:rPr>
              <w:t>8.8053</w:t>
            </w:r>
          </w:p>
        </w:tc>
        <w:tc>
          <w:tcPr>
            <w:tcW w:w="992" w:type="dxa"/>
            <w:noWrap/>
            <w:tcMar>
              <w:top w:w="15" w:type="dxa"/>
              <w:left w:w="15" w:type="dxa"/>
              <w:bottom w:w="0" w:type="dxa"/>
              <w:right w:w="15" w:type="dxa"/>
            </w:tcMar>
            <w:vAlign w:val="center"/>
          </w:tcPr>
          <w:p w14:paraId="0A7E6C98">
            <w:pPr>
              <w:pStyle w:val="33"/>
              <w:rPr>
                <w:color w:val="auto"/>
              </w:rPr>
            </w:pPr>
            <w:r>
              <w:rPr>
                <w:rFonts w:hint="eastAsia"/>
                <w:color w:val="auto"/>
              </w:rPr>
              <w:t>0.44</w:t>
            </w:r>
          </w:p>
        </w:tc>
        <w:tc>
          <w:tcPr>
            <w:tcW w:w="1977" w:type="dxa"/>
            <w:noWrap/>
            <w:tcMar>
              <w:top w:w="15" w:type="dxa"/>
              <w:left w:w="15" w:type="dxa"/>
              <w:bottom w:w="0" w:type="dxa"/>
              <w:right w:w="15" w:type="dxa"/>
            </w:tcMar>
            <w:vAlign w:val="center"/>
          </w:tcPr>
          <w:p w14:paraId="2F18AFF4">
            <w:pPr>
              <w:pStyle w:val="33"/>
              <w:rPr>
                <w:color w:val="auto"/>
              </w:rPr>
            </w:pPr>
            <w:r>
              <w:rPr>
                <w:color w:val="auto"/>
              </w:rPr>
              <w:t>0</w:t>
            </w:r>
          </w:p>
        </w:tc>
      </w:tr>
      <w:tr w14:paraId="7935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39274E80">
            <w:pPr>
              <w:pStyle w:val="33"/>
              <w:rPr>
                <w:color w:val="auto"/>
              </w:rPr>
            </w:pPr>
            <w:r>
              <w:rPr>
                <w:rFonts w:hint="eastAsia"/>
                <w:color w:val="auto"/>
              </w:rPr>
              <w:t>1#GCC（研磨碳酸钙）车间</w:t>
            </w:r>
          </w:p>
        </w:tc>
        <w:tc>
          <w:tcPr>
            <w:tcW w:w="1417" w:type="dxa"/>
            <w:noWrap/>
            <w:tcMar>
              <w:top w:w="15" w:type="dxa"/>
              <w:left w:w="15" w:type="dxa"/>
              <w:bottom w:w="0" w:type="dxa"/>
              <w:right w:w="15" w:type="dxa"/>
            </w:tcMar>
            <w:vAlign w:val="center"/>
          </w:tcPr>
          <w:p w14:paraId="33FB5A72">
            <w:pPr>
              <w:pStyle w:val="33"/>
              <w:rPr>
                <w:color w:val="auto"/>
              </w:rPr>
            </w:pPr>
            <w:r>
              <w:rPr>
                <w:color w:val="auto"/>
              </w:rPr>
              <w:t>TSP</w:t>
            </w:r>
          </w:p>
        </w:tc>
        <w:tc>
          <w:tcPr>
            <w:tcW w:w="1560" w:type="dxa"/>
            <w:noWrap/>
            <w:tcMar>
              <w:top w:w="15" w:type="dxa"/>
              <w:left w:w="15" w:type="dxa"/>
              <w:bottom w:w="0" w:type="dxa"/>
              <w:right w:w="15" w:type="dxa"/>
            </w:tcMar>
            <w:vAlign w:val="center"/>
          </w:tcPr>
          <w:p w14:paraId="4CC98800">
            <w:pPr>
              <w:pStyle w:val="33"/>
              <w:rPr>
                <w:color w:val="auto"/>
              </w:rPr>
            </w:pPr>
            <w:r>
              <w:rPr>
                <w:rFonts w:hint="eastAsia"/>
                <w:color w:val="auto"/>
              </w:rPr>
              <w:t>26.287</w:t>
            </w:r>
          </w:p>
        </w:tc>
        <w:tc>
          <w:tcPr>
            <w:tcW w:w="992" w:type="dxa"/>
            <w:noWrap/>
            <w:tcMar>
              <w:top w:w="15" w:type="dxa"/>
              <w:left w:w="15" w:type="dxa"/>
              <w:bottom w:w="0" w:type="dxa"/>
              <w:right w:w="15" w:type="dxa"/>
            </w:tcMar>
            <w:vAlign w:val="center"/>
          </w:tcPr>
          <w:p w14:paraId="6A7357DE">
            <w:pPr>
              <w:pStyle w:val="33"/>
              <w:rPr>
                <w:color w:val="auto"/>
              </w:rPr>
            </w:pPr>
            <w:r>
              <w:rPr>
                <w:rFonts w:hint="eastAsia"/>
                <w:color w:val="auto"/>
              </w:rPr>
              <w:t>2.92</w:t>
            </w:r>
          </w:p>
        </w:tc>
        <w:tc>
          <w:tcPr>
            <w:tcW w:w="1977" w:type="dxa"/>
            <w:noWrap/>
            <w:tcMar>
              <w:top w:w="15" w:type="dxa"/>
              <w:left w:w="15" w:type="dxa"/>
              <w:bottom w:w="0" w:type="dxa"/>
              <w:right w:w="15" w:type="dxa"/>
            </w:tcMar>
            <w:vAlign w:val="center"/>
          </w:tcPr>
          <w:p w14:paraId="65FEC0C1">
            <w:pPr>
              <w:pStyle w:val="33"/>
              <w:rPr>
                <w:color w:val="auto"/>
              </w:rPr>
            </w:pPr>
            <w:r>
              <w:rPr>
                <w:color w:val="auto"/>
              </w:rPr>
              <w:t>0</w:t>
            </w:r>
          </w:p>
        </w:tc>
      </w:tr>
      <w:tr w14:paraId="14C52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17B6986A">
            <w:pPr>
              <w:pStyle w:val="33"/>
              <w:rPr>
                <w:color w:val="auto"/>
              </w:rPr>
            </w:pPr>
            <w:r>
              <w:rPr>
                <w:rFonts w:hint="eastAsia"/>
                <w:color w:val="auto"/>
              </w:rPr>
              <w:t>2#GCC（研磨碳酸钙）车间</w:t>
            </w:r>
          </w:p>
        </w:tc>
        <w:tc>
          <w:tcPr>
            <w:tcW w:w="1417" w:type="dxa"/>
            <w:noWrap/>
            <w:tcMar>
              <w:top w:w="15" w:type="dxa"/>
              <w:left w:w="15" w:type="dxa"/>
              <w:bottom w:w="0" w:type="dxa"/>
              <w:right w:w="15" w:type="dxa"/>
            </w:tcMar>
            <w:vAlign w:val="center"/>
          </w:tcPr>
          <w:p w14:paraId="5301E6DC">
            <w:pPr>
              <w:pStyle w:val="33"/>
              <w:rPr>
                <w:color w:val="auto"/>
              </w:rPr>
            </w:pPr>
            <w:r>
              <w:rPr>
                <w:color w:val="auto"/>
              </w:rPr>
              <w:t>TSP</w:t>
            </w:r>
          </w:p>
        </w:tc>
        <w:tc>
          <w:tcPr>
            <w:tcW w:w="1560" w:type="dxa"/>
            <w:noWrap/>
            <w:tcMar>
              <w:top w:w="15" w:type="dxa"/>
              <w:left w:w="15" w:type="dxa"/>
              <w:bottom w:w="0" w:type="dxa"/>
              <w:right w:w="15" w:type="dxa"/>
            </w:tcMar>
            <w:vAlign w:val="center"/>
          </w:tcPr>
          <w:p w14:paraId="0B026349">
            <w:pPr>
              <w:pStyle w:val="33"/>
              <w:rPr>
                <w:color w:val="auto"/>
              </w:rPr>
            </w:pPr>
            <w:r>
              <w:rPr>
                <w:rFonts w:hint="eastAsia"/>
                <w:color w:val="auto"/>
              </w:rPr>
              <w:t>53.014</w:t>
            </w:r>
          </w:p>
        </w:tc>
        <w:tc>
          <w:tcPr>
            <w:tcW w:w="992" w:type="dxa"/>
            <w:noWrap/>
            <w:tcMar>
              <w:top w:w="15" w:type="dxa"/>
              <w:left w:w="15" w:type="dxa"/>
              <w:bottom w:w="0" w:type="dxa"/>
              <w:right w:w="15" w:type="dxa"/>
            </w:tcMar>
            <w:vAlign w:val="center"/>
          </w:tcPr>
          <w:p w14:paraId="75A7A76E">
            <w:pPr>
              <w:pStyle w:val="33"/>
              <w:rPr>
                <w:color w:val="auto"/>
              </w:rPr>
            </w:pPr>
            <w:r>
              <w:rPr>
                <w:rFonts w:hint="eastAsia"/>
                <w:color w:val="auto"/>
              </w:rPr>
              <w:t>5.89</w:t>
            </w:r>
          </w:p>
        </w:tc>
        <w:tc>
          <w:tcPr>
            <w:tcW w:w="1977" w:type="dxa"/>
            <w:noWrap/>
            <w:tcMar>
              <w:top w:w="15" w:type="dxa"/>
              <w:left w:w="15" w:type="dxa"/>
              <w:bottom w:w="0" w:type="dxa"/>
              <w:right w:w="15" w:type="dxa"/>
            </w:tcMar>
            <w:vAlign w:val="center"/>
          </w:tcPr>
          <w:p w14:paraId="3BCF24D7">
            <w:pPr>
              <w:pStyle w:val="33"/>
              <w:rPr>
                <w:color w:val="auto"/>
              </w:rPr>
            </w:pPr>
            <w:r>
              <w:rPr>
                <w:color w:val="auto"/>
              </w:rPr>
              <w:t>0</w:t>
            </w:r>
          </w:p>
        </w:tc>
      </w:tr>
    </w:tbl>
    <w:p w14:paraId="34334476">
      <w:pPr>
        <w:ind w:firstLine="480"/>
        <w:rPr>
          <w:rFonts w:cs="Times New Roman"/>
          <w:color w:val="auto"/>
        </w:rPr>
      </w:pPr>
    </w:p>
    <w:p w14:paraId="014A34C2">
      <w:pPr>
        <w:pStyle w:val="5"/>
        <w:rPr>
          <w:rFonts w:cs="Times New Roman"/>
          <w:color w:val="auto"/>
        </w:rPr>
      </w:pPr>
      <w:r>
        <w:rPr>
          <w:rFonts w:hint="eastAsia" w:cs="Times New Roman"/>
          <w:color w:val="auto"/>
        </w:rPr>
        <w:t>地表水</w:t>
      </w:r>
      <w:r>
        <w:rPr>
          <w:rFonts w:cs="Times New Roman"/>
          <w:color w:val="auto"/>
        </w:rPr>
        <w:t>环境评价等级</w:t>
      </w:r>
    </w:p>
    <w:p w14:paraId="16D6B126">
      <w:pPr>
        <w:ind w:firstLine="480"/>
        <w:rPr>
          <w:rFonts w:cs="Times New Roman"/>
          <w:color w:val="auto"/>
        </w:rPr>
      </w:pPr>
      <w:r>
        <w:rPr>
          <w:rFonts w:hint="eastAsia" w:cs="Times New Roman"/>
          <w:color w:val="auto"/>
        </w:rPr>
        <w:t>项目新增废水3677.77m</w:t>
      </w:r>
      <w:r>
        <w:rPr>
          <w:rFonts w:hint="eastAsia" w:cs="Times New Roman"/>
          <w:color w:val="auto"/>
          <w:vertAlign w:val="superscript"/>
        </w:rPr>
        <w:t>3</w:t>
      </w:r>
      <w:r>
        <w:rPr>
          <w:rFonts w:hint="eastAsia" w:cs="Times New Roman"/>
          <w:color w:val="auto"/>
        </w:rPr>
        <w:t>/d，经处理后新增水量全部回用于冷却塔补水，不外排。根据《环境影响评价技术导则 地表水环境》（H</w:t>
      </w:r>
      <w:r>
        <w:rPr>
          <w:rFonts w:cs="Times New Roman"/>
          <w:color w:val="auto"/>
        </w:rPr>
        <w:t>J2.3-2018</w:t>
      </w:r>
      <w:r>
        <w:rPr>
          <w:rFonts w:hint="eastAsia" w:cs="Times New Roman"/>
          <w:color w:val="auto"/>
        </w:rPr>
        <w:t>），依托现有排放口，且对外环境未新增排放污染物的直接排放，评价等级参照间接排放，因此本项目地表水环境影响评价等级为三级B。</w:t>
      </w:r>
    </w:p>
    <w:p w14:paraId="4556BAE6">
      <w:pPr>
        <w:pStyle w:val="7"/>
        <w:rPr>
          <w:color w:val="auto"/>
        </w:rPr>
      </w:pPr>
      <w:r>
        <w:rPr>
          <w:rFonts w:hint="eastAsia"/>
          <w:color w:val="auto"/>
        </w:rPr>
        <w:t>水污染影响型建设项目评价等级判定表</w:t>
      </w:r>
    </w:p>
    <w:tbl>
      <w:tblPr>
        <w:tblStyle w:val="26"/>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6"/>
        <w:gridCol w:w="2616"/>
        <w:gridCol w:w="3408"/>
      </w:tblGrid>
      <w:tr w14:paraId="5800EC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vMerge w:val="restart"/>
            <w:vAlign w:val="center"/>
          </w:tcPr>
          <w:p w14:paraId="2B4CE275">
            <w:pPr>
              <w:pStyle w:val="33"/>
              <w:rPr>
                <w:color w:val="auto"/>
              </w:rPr>
            </w:pPr>
            <w:r>
              <w:rPr>
                <w:color w:val="auto"/>
              </w:rPr>
              <w:t>评价等级</w:t>
            </w:r>
          </w:p>
        </w:tc>
        <w:tc>
          <w:tcPr>
            <w:tcW w:w="6024" w:type="dxa"/>
            <w:gridSpan w:val="2"/>
            <w:vAlign w:val="center"/>
          </w:tcPr>
          <w:p w14:paraId="3F987D05">
            <w:pPr>
              <w:pStyle w:val="33"/>
              <w:rPr>
                <w:color w:val="auto"/>
              </w:rPr>
            </w:pPr>
            <w:r>
              <w:rPr>
                <w:color w:val="auto"/>
              </w:rPr>
              <w:t>判定依据</w:t>
            </w:r>
          </w:p>
        </w:tc>
      </w:tr>
      <w:tr w14:paraId="54316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vMerge w:val="continue"/>
            <w:vAlign w:val="center"/>
          </w:tcPr>
          <w:p w14:paraId="367CDEFC">
            <w:pPr>
              <w:pStyle w:val="33"/>
              <w:rPr>
                <w:color w:val="auto"/>
              </w:rPr>
            </w:pPr>
          </w:p>
        </w:tc>
        <w:tc>
          <w:tcPr>
            <w:tcW w:w="2616" w:type="dxa"/>
            <w:vAlign w:val="center"/>
          </w:tcPr>
          <w:p w14:paraId="6F833B24">
            <w:pPr>
              <w:pStyle w:val="33"/>
              <w:rPr>
                <w:color w:val="auto"/>
              </w:rPr>
            </w:pPr>
            <w:r>
              <w:rPr>
                <w:color w:val="auto"/>
              </w:rPr>
              <w:t>排放方式</w:t>
            </w:r>
          </w:p>
        </w:tc>
        <w:tc>
          <w:tcPr>
            <w:tcW w:w="3408" w:type="dxa"/>
            <w:vAlign w:val="center"/>
          </w:tcPr>
          <w:p w14:paraId="1880CCDE">
            <w:pPr>
              <w:pStyle w:val="33"/>
              <w:rPr>
                <w:color w:val="auto"/>
              </w:rPr>
            </w:pPr>
            <w:r>
              <w:rPr>
                <w:color w:val="auto"/>
              </w:rPr>
              <w:t>废水排放量Q/（m</w:t>
            </w:r>
            <w:r>
              <w:rPr>
                <w:color w:val="auto"/>
                <w:vertAlign w:val="superscript"/>
              </w:rPr>
              <w:t>3</w:t>
            </w:r>
            <w:r>
              <w:rPr>
                <w:color w:val="auto"/>
              </w:rPr>
              <w:t>/d）；</w:t>
            </w:r>
          </w:p>
          <w:p w14:paraId="20400CA2">
            <w:pPr>
              <w:pStyle w:val="33"/>
              <w:rPr>
                <w:color w:val="auto"/>
              </w:rPr>
            </w:pPr>
            <w:r>
              <w:rPr>
                <w:color w:val="auto"/>
              </w:rPr>
              <w:t>水污染物当量数W/（无量纲）</w:t>
            </w:r>
          </w:p>
        </w:tc>
      </w:tr>
      <w:tr w14:paraId="4D43F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vAlign w:val="center"/>
          </w:tcPr>
          <w:p w14:paraId="075E9CF0">
            <w:pPr>
              <w:pStyle w:val="33"/>
              <w:rPr>
                <w:color w:val="auto"/>
              </w:rPr>
            </w:pPr>
            <w:r>
              <w:rPr>
                <w:color w:val="auto"/>
              </w:rPr>
              <w:t>一级</w:t>
            </w:r>
          </w:p>
        </w:tc>
        <w:tc>
          <w:tcPr>
            <w:tcW w:w="2616" w:type="dxa"/>
            <w:vAlign w:val="center"/>
          </w:tcPr>
          <w:p w14:paraId="53B74BF3">
            <w:pPr>
              <w:pStyle w:val="33"/>
              <w:rPr>
                <w:color w:val="auto"/>
              </w:rPr>
            </w:pPr>
            <w:r>
              <w:rPr>
                <w:color w:val="auto"/>
              </w:rPr>
              <w:t>直接排放</w:t>
            </w:r>
          </w:p>
        </w:tc>
        <w:tc>
          <w:tcPr>
            <w:tcW w:w="3408" w:type="dxa"/>
            <w:vAlign w:val="center"/>
          </w:tcPr>
          <w:p w14:paraId="39E97BED">
            <w:pPr>
              <w:pStyle w:val="33"/>
              <w:rPr>
                <w:color w:val="auto"/>
              </w:rPr>
            </w:pPr>
            <w:r>
              <w:rPr>
                <w:color w:val="auto"/>
              </w:rPr>
              <w:t>Q≥20000或W≥600000</w:t>
            </w:r>
          </w:p>
        </w:tc>
      </w:tr>
      <w:tr w14:paraId="0CDF4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vAlign w:val="center"/>
          </w:tcPr>
          <w:p w14:paraId="42F3EFED">
            <w:pPr>
              <w:pStyle w:val="33"/>
              <w:rPr>
                <w:color w:val="auto"/>
              </w:rPr>
            </w:pPr>
            <w:r>
              <w:rPr>
                <w:color w:val="auto"/>
              </w:rPr>
              <w:t>二级</w:t>
            </w:r>
          </w:p>
        </w:tc>
        <w:tc>
          <w:tcPr>
            <w:tcW w:w="2616" w:type="dxa"/>
            <w:vAlign w:val="center"/>
          </w:tcPr>
          <w:p w14:paraId="234827B9">
            <w:pPr>
              <w:pStyle w:val="33"/>
              <w:rPr>
                <w:color w:val="auto"/>
              </w:rPr>
            </w:pPr>
            <w:r>
              <w:rPr>
                <w:color w:val="auto"/>
              </w:rPr>
              <w:t>直接排放</w:t>
            </w:r>
          </w:p>
        </w:tc>
        <w:tc>
          <w:tcPr>
            <w:tcW w:w="3408" w:type="dxa"/>
            <w:vAlign w:val="center"/>
          </w:tcPr>
          <w:p w14:paraId="2228A8C5">
            <w:pPr>
              <w:pStyle w:val="33"/>
              <w:rPr>
                <w:color w:val="auto"/>
              </w:rPr>
            </w:pPr>
            <w:r>
              <w:rPr>
                <w:color w:val="auto"/>
              </w:rPr>
              <w:t>其他</w:t>
            </w:r>
          </w:p>
        </w:tc>
      </w:tr>
      <w:tr w14:paraId="4F5A7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vAlign w:val="center"/>
          </w:tcPr>
          <w:p w14:paraId="6CF72758">
            <w:pPr>
              <w:pStyle w:val="33"/>
              <w:rPr>
                <w:color w:val="auto"/>
              </w:rPr>
            </w:pPr>
            <w:r>
              <w:rPr>
                <w:color w:val="auto"/>
              </w:rPr>
              <w:t>三级A</w:t>
            </w:r>
          </w:p>
        </w:tc>
        <w:tc>
          <w:tcPr>
            <w:tcW w:w="2616" w:type="dxa"/>
            <w:vAlign w:val="center"/>
          </w:tcPr>
          <w:p w14:paraId="60AD583F">
            <w:pPr>
              <w:pStyle w:val="33"/>
              <w:rPr>
                <w:color w:val="auto"/>
              </w:rPr>
            </w:pPr>
            <w:r>
              <w:rPr>
                <w:color w:val="auto"/>
              </w:rPr>
              <w:t>直接排放</w:t>
            </w:r>
          </w:p>
        </w:tc>
        <w:tc>
          <w:tcPr>
            <w:tcW w:w="3408" w:type="dxa"/>
            <w:vAlign w:val="center"/>
          </w:tcPr>
          <w:p w14:paraId="751F5DB2">
            <w:pPr>
              <w:pStyle w:val="33"/>
              <w:rPr>
                <w:color w:val="auto"/>
              </w:rPr>
            </w:pPr>
            <w:r>
              <w:rPr>
                <w:color w:val="auto"/>
              </w:rPr>
              <w:t>Q＜200且W＜6000</w:t>
            </w:r>
          </w:p>
        </w:tc>
      </w:tr>
      <w:tr w14:paraId="2B200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16" w:type="dxa"/>
            <w:shd w:val="clear" w:color="auto" w:fill="E6E6E6"/>
            <w:vAlign w:val="center"/>
          </w:tcPr>
          <w:p w14:paraId="5D6E2BB3">
            <w:pPr>
              <w:pStyle w:val="33"/>
              <w:rPr>
                <w:color w:val="auto"/>
              </w:rPr>
            </w:pPr>
            <w:r>
              <w:rPr>
                <w:color w:val="auto"/>
              </w:rPr>
              <w:t>三级B</w:t>
            </w:r>
          </w:p>
        </w:tc>
        <w:tc>
          <w:tcPr>
            <w:tcW w:w="2616" w:type="dxa"/>
            <w:shd w:val="clear" w:color="auto" w:fill="E6E6E6"/>
            <w:vAlign w:val="center"/>
          </w:tcPr>
          <w:p w14:paraId="668F61F8">
            <w:pPr>
              <w:pStyle w:val="33"/>
              <w:rPr>
                <w:color w:val="auto"/>
              </w:rPr>
            </w:pPr>
            <w:r>
              <w:rPr>
                <w:color w:val="auto"/>
              </w:rPr>
              <w:t>间接排放</w:t>
            </w:r>
          </w:p>
        </w:tc>
        <w:tc>
          <w:tcPr>
            <w:tcW w:w="3408" w:type="dxa"/>
            <w:shd w:val="clear" w:color="auto" w:fill="E6E6E6"/>
            <w:vAlign w:val="center"/>
          </w:tcPr>
          <w:p w14:paraId="25AE4F2C">
            <w:pPr>
              <w:pStyle w:val="33"/>
              <w:rPr>
                <w:color w:val="auto"/>
              </w:rPr>
            </w:pPr>
            <w:r>
              <w:rPr>
                <w:color w:val="auto"/>
              </w:rPr>
              <w:t>—</w:t>
            </w:r>
          </w:p>
        </w:tc>
      </w:tr>
      <w:tr w14:paraId="1ACF8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640" w:type="dxa"/>
            <w:gridSpan w:val="3"/>
            <w:vAlign w:val="center"/>
          </w:tcPr>
          <w:p w14:paraId="072992C2">
            <w:pPr>
              <w:pStyle w:val="33"/>
              <w:jc w:val="left"/>
              <w:rPr>
                <w:color w:val="auto"/>
              </w:rPr>
            </w:pPr>
            <w:r>
              <w:rPr>
                <w:color w:val="auto"/>
              </w:rPr>
              <w:t>注1：水污染物当量数等于该污染物的年排放量除以该污染物的污染当量值，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60EFBECB">
            <w:pPr>
              <w:pStyle w:val="33"/>
              <w:jc w:val="left"/>
              <w:rPr>
                <w:color w:val="auto"/>
              </w:rPr>
            </w:pPr>
            <w:r>
              <w:rPr>
                <w:color w:val="auto"/>
              </w:rPr>
              <w:t>注2：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14:paraId="687752ED">
            <w:pPr>
              <w:pStyle w:val="33"/>
              <w:jc w:val="left"/>
              <w:rPr>
                <w:color w:val="auto"/>
              </w:rPr>
            </w:pPr>
            <w:r>
              <w:rPr>
                <w:color w:val="auto"/>
              </w:rPr>
              <w:t>注3：厂区存在堆积物（露天堆放的原料、燃料、废渣等以及垃圾堆放场）、降尘污染的，应将初期雨污水纳入废水排放量，相应的主要污染物纳入水污染当量计算。</w:t>
            </w:r>
          </w:p>
          <w:p w14:paraId="44B53E7D">
            <w:pPr>
              <w:pStyle w:val="33"/>
              <w:jc w:val="left"/>
              <w:rPr>
                <w:color w:val="auto"/>
              </w:rPr>
            </w:pPr>
            <w:r>
              <w:rPr>
                <w:color w:val="auto"/>
              </w:rPr>
              <w:t>注4：建设项目直接排放第一类污染物的，其评价等级为一级；建设项目直接排放的污染物为受纳水体超标因子的，评价等级不低于二级。</w:t>
            </w:r>
          </w:p>
          <w:p w14:paraId="782B2CEE">
            <w:pPr>
              <w:pStyle w:val="33"/>
              <w:jc w:val="left"/>
              <w:rPr>
                <w:color w:val="auto"/>
              </w:rPr>
            </w:pPr>
            <w:r>
              <w:rPr>
                <w:color w:val="auto"/>
              </w:rPr>
              <w:t>注5：直接排放受纳水体影响范围涉及饮用水水源保护区、饮用水取水口、重点保护与珍稀水生生物的栖息地、重要水生生物的自然产卵场等保护目标时，评价等级不低于二级。</w:t>
            </w:r>
          </w:p>
          <w:p w14:paraId="2B679967">
            <w:pPr>
              <w:pStyle w:val="33"/>
              <w:jc w:val="left"/>
              <w:rPr>
                <w:color w:val="auto"/>
              </w:rPr>
            </w:pPr>
            <w:r>
              <w:rPr>
                <w:color w:val="auto"/>
              </w:rPr>
              <w:t>注6：建设项目向河流、湖库排放温排水引起受纳水体水温变化超过水环境质量标准要求，且评价范围有水温敏感目标时，评价等级为一级。</w:t>
            </w:r>
          </w:p>
          <w:p w14:paraId="4074D078">
            <w:pPr>
              <w:pStyle w:val="33"/>
              <w:jc w:val="left"/>
              <w:rPr>
                <w:color w:val="auto"/>
              </w:rPr>
            </w:pPr>
            <w:r>
              <w:rPr>
                <w:color w:val="auto"/>
              </w:rPr>
              <w:t>注7：建设项目利用海水作为调节温度介质，排水量≥500万m</w:t>
            </w:r>
            <w:r>
              <w:rPr>
                <w:color w:val="auto"/>
                <w:vertAlign w:val="superscript"/>
              </w:rPr>
              <w:t>3</w:t>
            </w:r>
            <w:r>
              <w:rPr>
                <w:color w:val="auto"/>
              </w:rPr>
              <w:t>/d，评价等级为一级；排水量&lt;500万m</w:t>
            </w:r>
            <w:r>
              <w:rPr>
                <w:color w:val="auto"/>
                <w:vertAlign w:val="superscript"/>
              </w:rPr>
              <w:t>3</w:t>
            </w:r>
            <w:r>
              <w:rPr>
                <w:color w:val="auto"/>
              </w:rPr>
              <w:t>/d，评价等级为二级。</w:t>
            </w:r>
          </w:p>
          <w:p w14:paraId="5C6E7371">
            <w:pPr>
              <w:pStyle w:val="33"/>
              <w:jc w:val="left"/>
              <w:rPr>
                <w:color w:val="auto"/>
              </w:rPr>
            </w:pPr>
            <w:r>
              <w:rPr>
                <w:color w:val="auto"/>
              </w:rPr>
              <w:t>注8：仅涉及清净下水排放的，如其排放水质满足受纳水体水环境质量标准要求的，评价等级为三级A。</w:t>
            </w:r>
          </w:p>
          <w:p w14:paraId="144FACD1">
            <w:pPr>
              <w:pStyle w:val="33"/>
              <w:jc w:val="left"/>
              <w:rPr>
                <w:color w:val="auto"/>
              </w:rPr>
            </w:pPr>
            <w:r>
              <w:rPr>
                <w:color w:val="auto"/>
              </w:rPr>
              <w:t>注9：依托现有排放口，且对外环境未新增排放污染物的直接排放建设项目，评价等级参照间接排放，定为三级B。</w:t>
            </w:r>
          </w:p>
          <w:p w14:paraId="4FA57D94">
            <w:pPr>
              <w:pStyle w:val="33"/>
              <w:jc w:val="left"/>
              <w:rPr>
                <w:color w:val="auto"/>
              </w:rPr>
            </w:pPr>
            <w:r>
              <w:rPr>
                <w:color w:val="auto"/>
              </w:rPr>
              <w:t>注10：建设项目生产工艺中有废水产生，但作为回水利用，不排放到外环境的，按三级B评价。</w:t>
            </w:r>
          </w:p>
        </w:tc>
      </w:tr>
    </w:tbl>
    <w:p w14:paraId="26221953">
      <w:pPr>
        <w:pStyle w:val="5"/>
        <w:rPr>
          <w:rFonts w:cs="Times New Roman"/>
          <w:color w:val="auto"/>
        </w:rPr>
      </w:pPr>
      <w:r>
        <w:rPr>
          <w:rFonts w:cs="Times New Roman"/>
          <w:color w:val="auto"/>
        </w:rPr>
        <w:t>地下水环境评价等级</w:t>
      </w:r>
    </w:p>
    <w:p w14:paraId="05324046">
      <w:pPr>
        <w:ind w:firstLine="480"/>
        <w:rPr>
          <w:rFonts w:cs="Times New Roman"/>
          <w:color w:val="auto"/>
        </w:rPr>
      </w:pPr>
      <w:r>
        <w:rPr>
          <w:rFonts w:cs="Times New Roman"/>
          <w:color w:val="auto"/>
        </w:rPr>
        <w:t>本项目行业类别属于《环境影响评价技术导则</w:t>
      </w:r>
      <w:r>
        <w:rPr>
          <w:rFonts w:hint="eastAsia" w:cs="Times New Roman"/>
          <w:color w:val="auto"/>
        </w:rPr>
        <w:t xml:space="preserve"> </w:t>
      </w:r>
      <w:r>
        <w:rPr>
          <w:rFonts w:cs="Times New Roman"/>
          <w:color w:val="auto"/>
        </w:rPr>
        <w:t>地下水环境》（HJ610-2016）附录A中“轻工，第112小类，纸浆、溶解浆、纤维浆等制造；造纸（含废纸造纸）”，属地下水环境影响评价Ⅱ类项目。</w:t>
      </w:r>
    </w:p>
    <w:p w14:paraId="73D87CF7">
      <w:pPr>
        <w:ind w:firstLine="480"/>
        <w:rPr>
          <w:rFonts w:cs="Times New Roman"/>
          <w:color w:val="auto"/>
        </w:rPr>
      </w:pPr>
      <w:r>
        <w:rPr>
          <w:rFonts w:hint="eastAsia" w:cs="Times New Roman"/>
          <w:color w:val="auto"/>
        </w:rPr>
        <w:t>拟建项目场地没有集中式供水水源地准保护区，也没有热水、矿泉水、温泉等特殊地下水资源保护区，也不在集中式供水水源地准保护区外的补给径流区。评价区大部分通了自来水，由钦州港供水公司统一供水，水源为金窝水库，大多数民井用于灌溉，存在少数的民井（分散式饮用水源）仍在饮用（U2、U7等），因此地下水环境敏感程度为较敏感。根据</w:t>
      </w:r>
      <w:r>
        <w:rPr>
          <w:rFonts w:cs="Times New Roman"/>
          <w:color w:val="auto"/>
        </w:rPr>
        <w:t>《环境影响评价技术导则</w:t>
      </w:r>
      <w:r>
        <w:rPr>
          <w:rFonts w:hint="eastAsia" w:cs="Times New Roman"/>
          <w:color w:val="auto"/>
        </w:rPr>
        <w:t xml:space="preserve"> </w:t>
      </w:r>
      <w:r>
        <w:rPr>
          <w:rFonts w:cs="Times New Roman"/>
          <w:color w:val="auto"/>
        </w:rPr>
        <w:t>地下水环境》（HJ610-2016）表2（见下</w:t>
      </w:r>
      <w:r>
        <w:rPr>
          <w:rFonts w:cs="Times New Roman"/>
          <w:color w:val="auto"/>
        </w:rPr>
        <w:fldChar w:fldCharType="begin"/>
      </w:r>
      <w:r>
        <w:rPr>
          <w:rFonts w:cs="Times New Roman"/>
          <w:color w:val="auto"/>
        </w:rPr>
        <w:instrText xml:space="preserve"> REF _Ref185008357 \r \h  \* MERGEFORMAT </w:instrText>
      </w:r>
      <w:r>
        <w:rPr>
          <w:rFonts w:cs="Times New Roman"/>
          <w:color w:val="auto"/>
        </w:rPr>
        <w:fldChar w:fldCharType="separate"/>
      </w:r>
      <w:r>
        <w:rPr>
          <w:rFonts w:hint="eastAsia" w:cs="Times New Roman"/>
          <w:color w:val="auto"/>
        </w:rPr>
        <w:t>表1.4-5</w:t>
      </w:r>
      <w:r>
        <w:rPr>
          <w:rFonts w:cs="Times New Roman"/>
          <w:color w:val="auto"/>
        </w:rPr>
        <w:fldChar w:fldCharType="end"/>
      </w:r>
      <w:r>
        <w:rPr>
          <w:rFonts w:cs="Times New Roman"/>
          <w:color w:val="auto"/>
        </w:rPr>
        <w:t>）判定，本建设项目地下水环境影响评价工作等级为</w:t>
      </w:r>
      <w:r>
        <w:rPr>
          <w:rFonts w:hint="eastAsia" w:cs="Times New Roman"/>
          <w:color w:val="auto"/>
        </w:rPr>
        <w:t>“二级”</w:t>
      </w:r>
      <w:r>
        <w:rPr>
          <w:rFonts w:cs="Times New Roman"/>
          <w:color w:val="auto"/>
        </w:rPr>
        <w:t>。</w:t>
      </w:r>
    </w:p>
    <w:p w14:paraId="533F1121">
      <w:pPr>
        <w:pStyle w:val="7"/>
        <w:rPr>
          <w:color w:val="auto"/>
        </w:rPr>
      </w:pPr>
      <w:bookmarkStart w:id="112" w:name="_Ref185008357"/>
      <w:r>
        <w:rPr>
          <w:color w:val="auto"/>
        </w:rPr>
        <w:t>地下水评价等级划分</w:t>
      </w:r>
      <w:bookmarkEnd w:id="112"/>
    </w:p>
    <w:tbl>
      <w:tblPr>
        <w:tblStyle w:val="26"/>
        <w:tblW w:w="9299" w:type="dxa"/>
        <w:jc w:val="center"/>
        <w:tblLayout w:type="fixed"/>
        <w:tblCellMar>
          <w:top w:w="0" w:type="dxa"/>
          <w:left w:w="108" w:type="dxa"/>
          <w:bottom w:w="0" w:type="dxa"/>
          <w:right w:w="108" w:type="dxa"/>
        </w:tblCellMar>
      </w:tblPr>
      <w:tblGrid>
        <w:gridCol w:w="2379"/>
        <w:gridCol w:w="2052"/>
        <w:gridCol w:w="2349"/>
        <w:gridCol w:w="2519"/>
      </w:tblGrid>
      <w:tr w14:paraId="3ECB0BF7">
        <w:tblPrEx>
          <w:tblCellMar>
            <w:top w:w="0" w:type="dxa"/>
            <w:left w:w="108" w:type="dxa"/>
            <w:bottom w:w="0" w:type="dxa"/>
            <w:right w:w="108" w:type="dxa"/>
          </w:tblCellMar>
        </w:tblPrEx>
        <w:trPr>
          <w:trHeight w:val="340" w:hRule="atLeast"/>
          <w:tblHeader/>
          <w:jc w:val="center"/>
        </w:trPr>
        <w:tc>
          <w:tcPr>
            <w:tcW w:w="2379" w:type="dxa"/>
            <w:tcBorders>
              <w:top w:val="single" w:color="auto" w:sz="4" w:space="0"/>
              <w:left w:val="single" w:color="auto" w:sz="4" w:space="0"/>
              <w:bottom w:val="single" w:color="auto" w:sz="6" w:space="0"/>
              <w:right w:val="single" w:color="auto" w:sz="6" w:space="0"/>
              <w:tl2br w:val="single" w:color="auto" w:sz="6" w:space="0"/>
            </w:tcBorders>
            <w:vAlign w:val="center"/>
          </w:tcPr>
          <w:p w14:paraId="35811381">
            <w:pPr>
              <w:pStyle w:val="33"/>
              <w:rPr>
                <w:color w:val="auto"/>
              </w:rPr>
            </w:pPr>
            <w:r>
              <w:rPr>
                <w:color w:val="auto"/>
              </w:rPr>
              <w:t xml:space="preserve">           项目类别</w:t>
            </w:r>
          </w:p>
          <w:p w14:paraId="33D600A6">
            <w:pPr>
              <w:pStyle w:val="33"/>
              <w:rPr>
                <w:color w:val="auto"/>
              </w:rPr>
            </w:pPr>
            <w:r>
              <w:rPr>
                <w:color w:val="auto"/>
              </w:rPr>
              <w:t>环境敏感程度</w:t>
            </w:r>
          </w:p>
        </w:tc>
        <w:tc>
          <w:tcPr>
            <w:tcW w:w="2052" w:type="dxa"/>
            <w:tcBorders>
              <w:top w:val="single" w:color="auto" w:sz="4" w:space="0"/>
              <w:left w:val="single" w:color="auto" w:sz="6" w:space="0"/>
              <w:bottom w:val="single" w:color="auto" w:sz="6" w:space="0"/>
              <w:right w:val="single" w:color="auto" w:sz="4" w:space="0"/>
            </w:tcBorders>
            <w:vAlign w:val="center"/>
          </w:tcPr>
          <w:p w14:paraId="33E3B067">
            <w:pPr>
              <w:pStyle w:val="33"/>
              <w:rPr>
                <w:color w:val="auto"/>
              </w:rPr>
            </w:pPr>
            <w:r>
              <w:rPr>
                <w:color w:val="auto"/>
              </w:rPr>
              <w:t>Ⅰ类项目</w:t>
            </w:r>
          </w:p>
        </w:tc>
        <w:tc>
          <w:tcPr>
            <w:tcW w:w="2349" w:type="dxa"/>
            <w:tcBorders>
              <w:top w:val="single" w:color="auto" w:sz="4" w:space="0"/>
              <w:left w:val="nil"/>
              <w:bottom w:val="single" w:color="auto" w:sz="6" w:space="0"/>
              <w:right w:val="single" w:color="auto" w:sz="4" w:space="0"/>
            </w:tcBorders>
            <w:vAlign w:val="center"/>
          </w:tcPr>
          <w:p w14:paraId="40F33FED">
            <w:pPr>
              <w:pStyle w:val="33"/>
              <w:rPr>
                <w:color w:val="auto"/>
              </w:rPr>
            </w:pPr>
            <w:r>
              <w:rPr>
                <w:color w:val="auto"/>
              </w:rPr>
              <w:t>Ⅱ类项目</w:t>
            </w:r>
          </w:p>
        </w:tc>
        <w:tc>
          <w:tcPr>
            <w:tcW w:w="2519" w:type="dxa"/>
            <w:tcBorders>
              <w:top w:val="single" w:color="auto" w:sz="4" w:space="0"/>
              <w:left w:val="nil"/>
              <w:bottom w:val="single" w:color="auto" w:sz="6" w:space="0"/>
              <w:right w:val="single" w:color="auto" w:sz="4" w:space="0"/>
            </w:tcBorders>
            <w:vAlign w:val="center"/>
          </w:tcPr>
          <w:p w14:paraId="4EE83F23">
            <w:pPr>
              <w:pStyle w:val="33"/>
              <w:rPr>
                <w:color w:val="auto"/>
              </w:rPr>
            </w:pPr>
            <w:r>
              <w:rPr>
                <w:color w:val="auto"/>
              </w:rPr>
              <w:t>Ⅲ类项目</w:t>
            </w:r>
          </w:p>
        </w:tc>
      </w:tr>
      <w:tr w14:paraId="08025C21">
        <w:tblPrEx>
          <w:tblCellMar>
            <w:top w:w="0" w:type="dxa"/>
            <w:left w:w="108" w:type="dxa"/>
            <w:bottom w:w="0" w:type="dxa"/>
            <w:right w:w="108" w:type="dxa"/>
          </w:tblCellMar>
        </w:tblPrEx>
        <w:trPr>
          <w:trHeight w:val="312" w:hRule="exact"/>
          <w:jc w:val="center"/>
        </w:trPr>
        <w:tc>
          <w:tcPr>
            <w:tcW w:w="2379" w:type="dxa"/>
            <w:tcBorders>
              <w:top w:val="single" w:color="auto" w:sz="6" w:space="0"/>
              <w:left w:val="single" w:color="auto" w:sz="4" w:space="0"/>
              <w:bottom w:val="single" w:color="auto" w:sz="6" w:space="0"/>
              <w:right w:val="single" w:color="auto" w:sz="6" w:space="0"/>
            </w:tcBorders>
            <w:vAlign w:val="center"/>
          </w:tcPr>
          <w:p w14:paraId="0E96CBF0">
            <w:pPr>
              <w:pStyle w:val="33"/>
              <w:rPr>
                <w:color w:val="auto"/>
              </w:rPr>
            </w:pPr>
            <w:r>
              <w:rPr>
                <w:color w:val="auto"/>
              </w:rPr>
              <w:t>敏感</w:t>
            </w:r>
          </w:p>
        </w:tc>
        <w:tc>
          <w:tcPr>
            <w:tcW w:w="2052" w:type="dxa"/>
            <w:tcBorders>
              <w:top w:val="single" w:color="auto" w:sz="6" w:space="0"/>
              <w:left w:val="single" w:color="auto" w:sz="6" w:space="0"/>
              <w:bottom w:val="single" w:color="auto" w:sz="6" w:space="0"/>
              <w:right w:val="single" w:color="auto" w:sz="4" w:space="0"/>
            </w:tcBorders>
            <w:vAlign w:val="center"/>
          </w:tcPr>
          <w:p w14:paraId="4A1A7B6C">
            <w:pPr>
              <w:pStyle w:val="33"/>
              <w:rPr>
                <w:color w:val="auto"/>
              </w:rPr>
            </w:pPr>
            <w:r>
              <w:rPr>
                <w:color w:val="auto"/>
              </w:rPr>
              <w:t>一</w:t>
            </w:r>
          </w:p>
        </w:tc>
        <w:tc>
          <w:tcPr>
            <w:tcW w:w="2349" w:type="dxa"/>
            <w:tcBorders>
              <w:top w:val="single" w:color="auto" w:sz="6" w:space="0"/>
              <w:left w:val="nil"/>
              <w:bottom w:val="single" w:color="auto" w:sz="6" w:space="0"/>
              <w:right w:val="single" w:color="auto" w:sz="4" w:space="0"/>
            </w:tcBorders>
            <w:vAlign w:val="center"/>
          </w:tcPr>
          <w:p w14:paraId="74FDB1C7">
            <w:pPr>
              <w:pStyle w:val="33"/>
              <w:rPr>
                <w:color w:val="auto"/>
              </w:rPr>
            </w:pPr>
            <w:r>
              <w:rPr>
                <w:color w:val="auto"/>
              </w:rPr>
              <w:t>一</w:t>
            </w:r>
          </w:p>
        </w:tc>
        <w:tc>
          <w:tcPr>
            <w:tcW w:w="2519" w:type="dxa"/>
            <w:tcBorders>
              <w:top w:val="single" w:color="auto" w:sz="6" w:space="0"/>
              <w:left w:val="nil"/>
              <w:bottom w:val="single" w:color="auto" w:sz="6" w:space="0"/>
              <w:right w:val="single" w:color="auto" w:sz="4" w:space="0"/>
            </w:tcBorders>
            <w:vAlign w:val="center"/>
          </w:tcPr>
          <w:p w14:paraId="439A0D70">
            <w:pPr>
              <w:pStyle w:val="33"/>
              <w:rPr>
                <w:color w:val="auto"/>
              </w:rPr>
            </w:pPr>
            <w:r>
              <w:rPr>
                <w:color w:val="auto"/>
              </w:rPr>
              <w:t>二</w:t>
            </w:r>
          </w:p>
        </w:tc>
      </w:tr>
      <w:tr w14:paraId="42B5EC3D">
        <w:tblPrEx>
          <w:tblCellMar>
            <w:top w:w="0" w:type="dxa"/>
            <w:left w:w="108" w:type="dxa"/>
            <w:bottom w:w="0" w:type="dxa"/>
            <w:right w:w="108" w:type="dxa"/>
          </w:tblCellMar>
        </w:tblPrEx>
        <w:trPr>
          <w:trHeight w:val="312" w:hRule="exact"/>
          <w:jc w:val="center"/>
        </w:trPr>
        <w:tc>
          <w:tcPr>
            <w:tcW w:w="2379" w:type="dxa"/>
            <w:tcBorders>
              <w:top w:val="single" w:color="auto" w:sz="6" w:space="0"/>
              <w:left w:val="single" w:color="auto" w:sz="4" w:space="0"/>
              <w:bottom w:val="single" w:color="auto" w:sz="6" w:space="0"/>
              <w:right w:val="single" w:color="auto" w:sz="6" w:space="0"/>
            </w:tcBorders>
            <w:vAlign w:val="center"/>
          </w:tcPr>
          <w:p w14:paraId="5D951AAE">
            <w:pPr>
              <w:pStyle w:val="33"/>
              <w:rPr>
                <w:color w:val="auto"/>
              </w:rPr>
            </w:pPr>
            <w:r>
              <w:rPr>
                <w:color w:val="auto"/>
              </w:rPr>
              <w:t>较敏感</w:t>
            </w:r>
          </w:p>
        </w:tc>
        <w:tc>
          <w:tcPr>
            <w:tcW w:w="2052" w:type="dxa"/>
            <w:tcBorders>
              <w:top w:val="single" w:color="auto" w:sz="6" w:space="0"/>
              <w:left w:val="single" w:color="auto" w:sz="6" w:space="0"/>
              <w:bottom w:val="single" w:color="auto" w:sz="6" w:space="0"/>
              <w:right w:val="single" w:color="auto" w:sz="4" w:space="0"/>
            </w:tcBorders>
            <w:vAlign w:val="center"/>
          </w:tcPr>
          <w:p w14:paraId="3C2D63FF">
            <w:pPr>
              <w:pStyle w:val="33"/>
              <w:rPr>
                <w:color w:val="auto"/>
              </w:rPr>
            </w:pPr>
            <w:r>
              <w:rPr>
                <w:color w:val="auto"/>
              </w:rPr>
              <w:t>一</w:t>
            </w:r>
          </w:p>
        </w:tc>
        <w:tc>
          <w:tcPr>
            <w:tcW w:w="2349" w:type="dxa"/>
            <w:tcBorders>
              <w:top w:val="single" w:color="auto" w:sz="6" w:space="0"/>
              <w:left w:val="nil"/>
              <w:bottom w:val="single" w:color="auto" w:sz="6" w:space="0"/>
              <w:right w:val="single" w:color="auto" w:sz="4" w:space="0"/>
            </w:tcBorders>
            <w:shd w:val="clear" w:color="auto" w:fill="D8D8D8" w:themeFill="background1" w:themeFillShade="D9"/>
            <w:vAlign w:val="center"/>
          </w:tcPr>
          <w:p w14:paraId="3461FEDC">
            <w:pPr>
              <w:pStyle w:val="33"/>
              <w:rPr>
                <w:color w:val="auto"/>
              </w:rPr>
            </w:pPr>
            <w:r>
              <w:rPr>
                <w:color w:val="auto"/>
              </w:rPr>
              <w:t>二</w:t>
            </w:r>
          </w:p>
        </w:tc>
        <w:tc>
          <w:tcPr>
            <w:tcW w:w="2519" w:type="dxa"/>
            <w:tcBorders>
              <w:top w:val="single" w:color="auto" w:sz="6" w:space="0"/>
              <w:left w:val="nil"/>
              <w:bottom w:val="single" w:color="auto" w:sz="6" w:space="0"/>
              <w:right w:val="single" w:color="auto" w:sz="4" w:space="0"/>
            </w:tcBorders>
            <w:vAlign w:val="center"/>
          </w:tcPr>
          <w:p w14:paraId="2E7B13DE">
            <w:pPr>
              <w:pStyle w:val="33"/>
              <w:rPr>
                <w:color w:val="auto"/>
              </w:rPr>
            </w:pPr>
            <w:r>
              <w:rPr>
                <w:color w:val="auto"/>
              </w:rPr>
              <w:t>三</w:t>
            </w:r>
          </w:p>
        </w:tc>
      </w:tr>
      <w:tr w14:paraId="7541A220">
        <w:tblPrEx>
          <w:tblCellMar>
            <w:top w:w="0" w:type="dxa"/>
            <w:left w:w="108" w:type="dxa"/>
            <w:bottom w:w="0" w:type="dxa"/>
            <w:right w:w="108" w:type="dxa"/>
          </w:tblCellMar>
        </w:tblPrEx>
        <w:trPr>
          <w:trHeight w:val="312" w:hRule="exact"/>
          <w:jc w:val="center"/>
        </w:trPr>
        <w:tc>
          <w:tcPr>
            <w:tcW w:w="2379" w:type="dxa"/>
            <w:tcBorders>
              <w:top w:val="single" w:color="auto" w:sz="6" w:space="0"/>
              <w:left w:val="single" w:color="auto" w:sz="4" w:space="0"/>
              <w:bottom w:val="single" w:color="auto" w:sz="4" w:space="0"/>
              <w:right w:val="single" w:color="auto" w:sz="6" w:space="0"/>
            </w:tcBorders>
            <w:vAlign w:val="center"/>
          </w:tcPr>
          <w:p w14:paraId="5834A9AA">
            <w:pPr>
              <w:pStyle w:val="33"/>
              <w:rPr>
                <w:color w:val="auto"/>
              </w:rPr>
            </w:pPr>
            <w:r>
              <w:rPr>
                <w:color w:val="auto"/>
              </w:rPr>
              <w:t>不敏感</w:t>
            </w:r>
          </w:p>
        </w:tc>
        <w:tc>
          <w:tcPr>
            <w:tcW w:w="2052" w:type="dxa"/>
            <w:tcBorders>
              <w:top w:val="single" w:color="auto" w:sz="6" w:space="0"/>
              <w:left w:val="single" w:color="auto" w:sz="6" w:space="0"/>
              <w:bottom w:val="single" w:color="auto" w:sz="4" w:space="0"/>
              <w:right w:val="single" w:color="auto" w:sz="4" w:space="0"/>
            </w:tcBorders>
            <w:vAlign w:val="center"/>
          </w:tcPr>
          <w:p w14:paraId="775DBFDD">
            <w:pPr>
              <w:pStyle w:val="33"/>
              <w:rPr>
                <w:color w:val="auto"/>
              </w:rPr>
            </w:pPr>
            <w:r>
              <w:rPr>
                <w:color w:val="auto"/>
              </w:rPr>
              <w:t>二</w:t>
            </w:r>
          </w:p>
        </w:tc>
        <w:tc>
          <w:tcPr>
            <w:tcW w:w="2349" w:type="dxa"/>
            <w:tcBorders>
              <w:top w:val="single" w:color="auto" w:sz="6" w:space="0"/>
              <w:left w:val="nil"/>
              <w:bottom w:val="single" w:color="auto" w:sz="4" w:space="0"/>
              <w:right w:val="single" w:color="auto" w:sz="4" w:space="0"/>
            </w:tcBorders>
            <w:shd w:val="clear" w:color="auto" w:fill="FFFFFF" w:themeFill="background1"/>
            <w:vAlign w:val="center"/>
          </w:tcPr>
          <w:p w14:paraId="62966AB5">
            <w:pPr>
              <w:pStyle w:val="33"/>
              <w:rPr>
                <w:color w:val="auto"/>
              </w:rPr>
            </w:pPr>
            <w:r>
              <w:rPr>
                <w:color w:val="auto"/>
              </w:rPr>
              <w:t>三</w:t>
            </w:r>
          </w:p>
        </w:tc>
        <w:tc>
          <w:tcPr>
            <w:tcW w:w="2519" w:type="dxa"/>
            <w:tcBorders>
              <w:top w:val="single" w:color="auto" w:sz="6" w:space="0"/>
              <w:left w:val="nil"/>
              <w:bottom w:val="single" w:color="auto" w:sz="4" w:space="0"/>
              <w:right w:val="single" w:color="auto" w:sz="4" w:space="0"/>
            </w:tcBorders>
            <w:vAlign w:val="center"/>
          </w:tcPr>
          <w:p w14:paraId="3F889179">
            <w:pPr>
              <w:pStyle w:val="33"/>
              <w:rPr>
                <w:color w:val="auto"/>
              </w:rPr>
            </w:pPr>
            <w:r>
              <w:rPr>
                <w:color w:val="auto"/>
              </w:rPr>
              <w:t>三</w:t>
            </w:r>
          </w:p>
        </w:tc>
      </w:tr>
    </w:tbl>
    <w:p w14:paraId="71F5974A">
      <w:pPr>
        <w:pStyle w:val="5"/>
        <w:rPr>
          <w:rFonts w:cs="Times New Roman"/>
          <w:color w:val="auto"/>
        </w:rPr>
      </w:pPr>
      <w:r>
        <w:rPr>
          <w:rFonts w:cs="Times New Roman"/>
          <w:color w:val="auto"/>
        </w:rPr>
        <w:t>声环境评价等级</w:t>
      </w:r>
    </w:p>
    <w:p w14:paraId="75B9E0D9">
      <w:pPr>
        <w:ind w:firstLine="480"/>
        <w:rPr>
          <w:rFonts w:cs="Times New Roman"/>
          <w:color w:val="auto"/>
        </w:rPr>
      </w:pPr>
      <w:r>
        <w:rPr>
          <w:rFonts w:hint="eastAsia" w:cs="Times New Roman"/>
          <w:color w:val="auto"/>
        </w:rPr>
        <w:t>项目所处的声环境功能区属于</w:t>
      </w:r>
      <w:r>
        <w:rPr>
          <w:rFonts w:cs="Times New Roman"/>
          <w:color w:val="auto"/>
        </w:rPr>
        <w:t>《声环境质量标准》（GB3096-2008）</w:t>
      </w:r>
      <w:r>
        <w:rPr>
          <w:rFonts w:hint="eastAsia" w:cs="Times New Roman"/>
          <w:color w:val="auto"/>
        </w:rPr>
        <w:t>规定的3类地区，</w:t>
      </w:r>
      <w:r>
        <w:rPr>
          <w:rFonts w:cs="Times New Roman"/>
          <w:color w:val="auto"/>
        </w:rPr>
        <w:t>依据《环境影响评价技术导则</w:t>
      </w:r>
      <w:r>
        <w:rPr>
          <w:rFonts w:hint="eastAsia" w:cs="Times New Roman"/>
          <w:color w:val="auto"/>
        </w:rPr>
        <w:t xml:space="preserve"> </w:t>
      </w:r>
      <w:r>
        <w:rPr>
          <w:rFonts w:cs="Times New Roman"/>
          <w:color w:val="auto"/>
        </w:rPr>
        <w:t>声环境》（HJ2.4-2021）对评价级别的规定，</w:t>
      </w:r>
      <w:r>
        <w:rPr>
          <w:rFonts w:hint="eastAsia" w:cs="Times New Roman"/>
          <w:color w:val="auto"/>
        </w:rPr>
        <w:t>项目建设前后声环境保护目标处的噪声级增量在3dB(A)以下，且受影响人口数量变化不大，</w:t>
      </w:r>
      <w:r>
        <w:rPr>
          <w:rFonts w:cs="Times New Roman"/>
          <w:color w:val="auto"/>
        </w:rPr>
        <w:t>本工程声环境影响评价工作等级为三级。</w:t>
      </w:r>
    </w:p>
    <w:p w14:paraId="76F3E57B">
      <w:pPr>
        <w:pStyle w:val="7"/>
        <w:rPr>
          <w:color w:val="auto"/>
        </w:rPr>
      </w:pPr>
      <w:bookmarkStart w:id="113" w:name="_Ref185008365"/>
      <w:r>
        <w:rPr>
          <w:color w:val="auto"/>
        </w:rPr>
        <w:t>声环境评价等级判定表</w:t>
      </w:r>
      <w:bookmarkEnd w:id="113"/>
    </w:p>
    <w:tbl>
      <w:tblPr>
        <w:tblStyle w:val="26"/>
        <w:tblW w:w="9080" w:type="dxa"/>
        <w:tblInd w:w="0" w:type="dxa"/>
        <w:tblLayout w:type="fixed"/>
        <w:tblCellMar>
          <w:top w:w="0" w:type="dxa"/>
          <w:left w:w="0" w:type="dxa"/>
          <w:bottom w:w="0" w:type="dxa"/>
          <w:right w:w="0" w:type="dxa"/>
        </w:tblCellMar>
      </w:tblPr>
      <w:tblGrid>
        <w:gridCol w:w="870"/>
        <w:gridCol w:w="755"/>
        <w:gridCol w:w="2116"/>
        <w:gridCol w:w="3020"/>
        <w:gridCol w:w="2319"/>
      </w:tblGrid>
      <w:tr w14:paraId="4ACA5359">
        <w:tblPrEx>
          <w:tblCellMar>
            <w:top w:w="0" w:type="dxa"/>
            <w:left w:w="0" w:type="dxa"/>
            <w:bottom w:w="0" w:type="dxa"/>
            <w:right w:w="0" w:type="dxa"/>
          </w:tblCellMar>
        </w:tblPrEx>
        <w:trPr>
          <w:trHeight w:val="611" w:hRule="atLeast"/>
        </w:trPr>
        <w:tc>
          <w:tcPr>
            <w:tcW w:w="1625" w:type="dxa"/>
            <w:gridSpan w:val="2"/>
            <w:tcBorders>
              <w:top w:val="single" w:color="000000" w:sz="4" w:space="0"/>
              <w:left w:val="single" w:color="000000" w:sz="4" w:space="0"/>
              <w:bottom w:val="single" w:color="000000" w:sz="6" w:space="0"/>
              <w:right w:val="single" w:color="000000" w:sz="6" w:space="0"/>
            </w:tcBorders>
            <w:vAlign w:val="center"/>
          </w:tcPr>
          <w:p w14:paraId="05B79B3F">
            <w:pPr>
              <w:pStyle w:val="33"/>
              <w:rPr>
                <w:color w:val="auto"/>
              </w:rPr>
            </w:pPr>
            <w:r>
              <w:rPr>
                <w:color w:val="auto"/>
              </w:rPr>
              <w:t>评价等级</w:t>
            </w:r>
          </w:p>
        </w:tc>
        <w:tc>
          <w:tcPr>
            <w:tcW w:w="2116" w:type="dxa"/>
            <w:tcBorders>
              <w:top w:val="single" w:color="000000" w:sz="4" w:space="0"/>
              <w:left w:val="single" w:color="000000" w:sz="6" w:space="0"/>
              <w:bottom w:val="single" w:color="000000" w:sz="6" w:space="0"/>
              <w:right w:val="single" w:color="000000" w:sz="6" w:space="0"/>
            </w:tcBorders>
            <w:vAlign w:val="center"/>
          </w:tcPr>
          <w:p w14:paraId="6FCB613A">
            <w:pPr>
              <w:pStyle w:val="33"/>
              <w:rPr>
                <w:color w:val="auto"/>
              </w:rPr>
            </w:pPr>
            <w:r>
              <w:rPr>
                <w:color w:val="auto"/>
              </w:rPr>
              <w:t>声环境功能区类别</w:t>
            </w:r>
          </w:p>
        </w:tc>
        <w:tc>
          <w:tcPr>
            <w:tcW w:w="3020" w:type="dxa"/>
            <w:tcBorders>
              <w:top w:val="single" w:color="000000" w:sz="4" w:space="0"/>
              <w:left w:val="single" w:color="000000" w:sz="6" w:space="0"/>
              <w:bottom w:val="single" w:color="000000" w:sz="6" w:space="0"/>
              <w:right w:val="single" w:color="000000" w:sz="6" w:space="0"/>
            </w:tcBorders>
            <w:vAlign w:val="center"/>
          </w:tcPr>
          <w:p w14:paraId="685DE7C0">
            <w:pPr>
              <w:pStyle w:val="33"/>
              <w:rPr>
                <w:color w:val="auto"/>
              </w:rPr>
            </w:pPr>
            <w:r>
              <w:rPr>
                <w:color w:val="auto"/>
              </w:rPr>
              <w:t>敏感点噪声值变化情况</w:t>
            </w:r>
          </w:p>
        </w:tc>
        <w:tc>
          <w:tcPr>
            <w:tcW w:w="2319" w:type="dxa"/>
            <w:tcBorders>
              <w:top w:val="single" w:color="000000" w:sz="4" w:space="0"/>
              <w:left w:val="single" w:color="000000" w:sz="6" w:space="0"/>
              <w:bottom w:val="single" w:color="000000" w:sz="6" w:space="0"/>
              <w:right w:val="single" w:color="000000" w:sz="4" w:space="0"/>
            </w:tcBorders>
            <w:vAlign w:val="center"/>
          </w:tcPr>
          <w:p w14:paraId="7590B05A">
            <w:pPr>
              <w:pStyle w:val="33"/>
              <w:rPr>
                <w:color w:val="auto"/>
              </w:rPr>
            </w:pPr>
            <w:r>
              <w:rPr>
                <w:color w:val="auto"/>
              </w:rPr>
              <w:t>受影响人口数量</w:t>
            </w:r>
          </w:p>
        </w:tc>
      </w:tr>
      <w:tr w14:paraId="6BB91BEC">
        <w:tblPrEx>
          <w:tblCellMar>
            <w:top w:w="0" w:type="dxa"/>
            <w:left w:w="0" w:type="dxa"/>
            <w:bottom w:w="0" w:type="dxa"/>
            <w:right w:w="0" w:type="dxa"/>
          </w:tblCellMar>
        </w:tblPrEx>
        <w:trPr>
          <w:trHeight w:val="20" w:hRule="atLeast"/>
        </w:trPr>
        <w:tc>
          <w:tcPr>
            <w:tcW w:w="870" w:type="dxa"/>
            <w:vMerge w:val="restart"/>
            <w:tcBorders>
              <w:top w:val="single" w:color="000000" w:sz="6" w:space="0"/>
              <w:left w:val="single" w:color="000000" w:sz="4" w:space="0"/>
              <w:bottom w:val="single" w:color="000000" w:sz="6" w:space="0"/>
              <w:right w:val="single" w:color="000000" w:sz="6" w:space="0"/>
            </w:tcBorders>
            <w:vAlign w:val="center"/>
          </w:tcPr>
          <w:p w14:paraId="4EEC517A">
            <w:pPr>
              <w:pStyle w:val="33"/>
              <w:rPr>
                <w:color w:val="auto"/>
              </w:rPr>
            </w:pPr>
            <w:r>
              <w:rPr>
                <w:color w:val="auto"/>
              </w:rPr>
              <w:t>导则判据</w:t>
            </w:r>
          </w:p>
        </w:tc>
        <w:tc>
          <w:tcPr>
            <w:tcW w:w="755" w:type="dxa"/>
            <w:tcBorders>
              <w:top w:val="single" w:color="000000" w:sz="6" w:space="0"/>
              <w:left w:val="single" w:color="000000" w:sz="6" w:space="0"/>
              <w:bottom w:val="single" w:color="000000" w:sz="6" w:space="0"/>
              <w:right w:val="single" w:color="000000" w:sz="6" w:space="0"/>
            </w:tcBorders>
            <w:vAlign w:val="center"/>
          </w:tcPr>
          <w:p w14:paraId="5AFE8E7C">
            <w:pPr>
              <w:pStyle w:val="33"/>
              <w:rPr>
                <w:color w:val="auto"/>
              </w:rPr>
            </w:pPr>
            <w:r>
              <w:rPr>
                <w:color w:val="auto"/>
              </w:rPr>
              <w:t>一级</w:t>
            </w:r>
          </w:p>
        </w:tc>
        <w:tc>
          <w:tcPr>
            <w:tcW w:w="2116" w:type="dxa"/>
            <w:tcBorders>
              <w:top w:val="single" w:color="000000" w:sz="6" w:space="0"/>
              <w:left w:val="single" w:color="000000" w:sz="6" w:space="0"/>
              <w:bottom w:val="single" w:color="000000" w:sz="6" w:space="0"/>
              <w:right w:val="single" w:color="000000" w:sz="6" w:space="0"/>
            </w:tcBorders>
            <w:vAlign w:val="center"/>
          </w:tcPr>
          <w:p w14:paraId="72AD0ABA">
            <w:pPr>
              <w:pStyle w:val="33"/>
              <w:rPr>
                <w:color w:val="auto"/>
              </w:rPr>
            </w:pPr>
            <w:r>
              <w:rPr>
                <w:color w:val="auto"/>
              </w:rPr>
              <w:t>0类</w:t>
            </w:r>
          </w:p>
        </w:tc>
        <w:tc>
          <w:tcPr>
            <w:tcW w:w="3020" w:type="dxa"/>
            <w:tcBorders>
              <w:top w:val="single" w:color="000000" w:sz="6" w:space="0"/>
              <w:left w:val="single" w:color="000000" w:sz="6" w:space="0"/>
              <w:bottom w:val="single" w:color="000000" w:sz="6" w:space="0"/>
              <w:right w:val="single" w:color="000000" w:sz="6" w:space="0"/>
            </w:tcBorders>
            <w:vAlign w:val="center"/>
          </w:tcPr>
          <w:p w14:paraId="7381800C">
            <w:pPr>
              <w:pStyle w:val="33"/>
              <w:rPr>
                <w:color w:val="auto"/>
              </w:rPr>
            </w:pPr>
            <w:r>
              <w:rPr>
                <w:color w:val="auto"/>
              </w:rPr>
              <w:t>&gt;5dB(A)</w:t>
            </w:r>
          </w:p>
        </w:tc>
        <w:tc>
          <w:tcPr>
            <w:tcW w:w="2319" w:type="dxa"/>
            <w:tcBorders>
              <w:top w:val="single" w:color="000000" w:sz="6" w:space="0"/>
              <w:left w:val="single" w:color="000000" w:sz="6" w:space="0"/>
              <w:bottom w:val="single" w:color="000000" w:sz="6" w:space="0"/>
              <w:right w:val="single" w:color="000000" w:sz="4" w:space="0"/>
            </w:tcBorders>
            <w:vAlign w:val="center"/>
          </w:tcPr>
          <w:p w14:paraId="4A1A3D93">
            <w:pPr>
              <w:pStyle w:val="33"/>
              <w:rPr>
                <w:color w:val="auto"/>
              </w:rPr>
            </w:pPr>
            <w:r>
              <w:rPr>
                <w:color w:val="auto"/>
              </w:rPr>
              <w:t>显著增多</w:t>
            </w:r>
          </w:p>
        </w:tc>
      </w:tr>
      <w:tr w14:paraId="47D03B7D">
        <w:tblPrEx>
          <w:tblCellMar>
            <w:top w:w="0" w:type="dxa"/>
            <w:left w:w="0" w:type="dxa"/>
            <w:bottom w:w="0" w:type="dxa"/>
            <w:right w:w="0" w:type="dxa"/>
          </w:tblCellMar>
        </w:tblPrEx>
        <w:trPr>
          <w:trHeight w:val="20" w:hRule="atLeast"/>
        </w:trPr>
        <w:tc>
          <w:tcPr>
            <w:tcW w:w="870" w:type="dxa"/>
            <w:vMerge w:val="continue"/>
            <w:tcBorders>
              <w:top w:val="single" w:color="000000" w:sz="6" w:space="0"/>
              <w:left w:val="single" w:color="000000" w:sz="4" w:space="0"/>
              <w:bottom w:val="single" w:color="000000" w:sz="6" w:space="0"/>
              <w:right w:val="single" w:color="000000" w:sz="6" w:space="0"/>
            </w:tcBorders>
            <w:vAlign w:val="center"/>
          </w:tcPr>
          <w:p w14:paraId="37711FAD">
            <w:pPr>
              <w:pStyle w:val="33"/>
              <w:rPr>
                <w:color w:val="auto"/>
              </w:rPr>
            </w:pPr>
          </w:p>
        </w:tc>
        <w:tc>
          <w:tcPr>
            <w:tcW w:w="755" w:type="dxa"/>
            <w:tcBorders>
              <w:top w:val="single" w:color="000000" w:sz="6" w:space="0"/>
              <w:left w:val="single" w:color="000000" w:sz="6" w:space="0"/>
              <w:bottom w:val="single" w:color="000000" w:sz="6" w:space="0"/>
              <w:right w:val="single" w:color="000000" w:sz="6" w:space="0"/>
            </w:tcBorders>
            <w:vAlign w:val="center"/>
          </w:tcPr>
          <w:p w14:paraId="09D8FBE7">
            <w:pPr>
              <w:pStyle w:val="33"/>
              <w:rPr>
                <w:color w:val="auto"/>
              </w:rPr>
            </w:pPr>
            <w:r>
              <w:rPr>
                <w:color w:val="auto"/>
              </w:rPr>
              <w:t>二级</w:t>
            </w:r>
          </w:p>
        </w:tc>
        <w:tc>
          <w:tcPr>
            <w:tcW w:w="2116" w:type="dxa"/>
            <w:tcBorders>
              <w:top w:val="single" w:color="000000" w:sz="6" w:space="0"/>
              <w:left w:val="single" w:color="000000" w:sz="6" w:space="0"/>
              <w:bottom w:val="single" w:color="000000" w:sz="6" w:space="0"/>
              <w:right w:val="single" w:color="000000" w:sz="6" w:space="0"/>
            </w:tcBorders>
            <w:vAlign w:val="center"/>
          </w:tcPr>
          <w:p w14:paraId="64448E67">
            <w:pPr>
              <w:pStyle w:val="33"/>
              <w:rPr>
                <w:color w:val="auto"/>
              </w:rPr>
            </w:pPr>
            <w:r>
              <w:rPr>
                <w:color w:val="auto"/>
              </w:rPr>
              <w:t>1、2类</w:t>
            </w:r>
          </w:p>
        </w:tc>
        <w:tc>
          <w:tcPr>
            <w:tcW w:w="3020" w:type="dxa"/>
            <w:tcBorders>
              <w:top w:val="single" w:color="000000" w:sz="6" w:space="0"/>
              <w:left w:val="single" w:color="000000" w:sz="6" w:space="0"/>
              <w:bottom w:val="single" w:color="000000" w:sz="6" w:space="0"/>
              <w:right w:val="single" w:color="000000" w:sz="6" w:space="0"/>
            </w:tcBorders>
            <w:vAlign w:val="center"/>
          </w:tcPr>
          <w:p w14:paraId="3517FC2E">
            <w:pPr>
              <w:pStyle w:val="33"/>
              <w:rPr>
                <w:color w:val="auto"/>
              </w:rPr>
            </w:pPr>
            <w:r>
              <w:rPr>
                <w:color w:val="auto"/>
              </w:rPr>
              <w:t>≥3dB(A)，且≤5dB(A)</w:t>
            </w:r>
          </w:p>
        </w:tc>
        <w:tc>
          <w:tcPr>
            <w:tcW w:w="2319" w:type="dxa"/>
            <w:tcBorders>
              <w:top w:val="single" w:color="000000" w:sz="6" w:space="0"/>
              <w:left w:val="single" w:color="000000" w:sz="6" w:space="0"/>
              <w:bottom w:val="single" w:color="000000" w:sz="6" w:space="0"/>
              <w:right w:val="single" w:color="000000" w:sz="4" w:space="0"/>
            </w:tcBorders>
            <w:vAlign w:val="center"/>
          </w:tcPr>
          <w:p w14:paraId="743246BA">
            <w:pPr>
              <w:pStyle w:val="33"/>
              <w:rPr>
                <w:color w:val="auto"/>
              </w:rPr>
            </w:pPr>
            <w:r>
              <w:rPr>
                <w:color w:val="auto"/>
              </w:rPr>
              <w:t>增加较多</w:t>
            </w:r>
          </w:p>
        </w:tc>
      </w:tr>
      <w:tr w14:paraId="16D89DE1">
        <w:tblPrEx>
          <w:tblCellMar>
            <w:top w:w="0" w:type="dxa"/>
            <w:left w:w="0" w:type="dxa"/>
            <w:bottom w:w="0" w:type="dxa"/>
            <w:right w:w="0" w:type="dxa"/>
          </w:tblCellMar>
        </w:tblPrEx>
        <w:trPr>
          <w:trHeight w:val="20" w:hRule="atLeast"/>
        </w:trPr>
        <w:tc>
          <w:tcPr>
            <w:tcW w:w="870" w:type="dxa"/>
            <w:vMerge w:val="continue"/>
            <w:tcBorders>
              <w:top w:val="single" w:color="000000" w:sz="6" w:space="0"/>
              <w:left w:val="single" w:color="000000" w:sz="4" w:space="0"/>
              <w:bottom w:val="single" w:color="000000" w:sz="6" w:space="0"/>
              <w:right w:val="single" w:color="000000" w:sz="6" w:space="0"/>
            </w:tcBorders>
            <w:vAlign w:val="center"/>
          </w:tcPr>
          <w:p w14:paraId="1A87163C">
            <w:pPr>
              <w:pStyle w:val="33"/>
              <w:rPr>
                <w:color w:val="auto"/>
              </w:rPr>
            </w:pPr>
          </w:p>
        </w:tc>
        <w:tc>
          <w:tcPr>
            <w:tcW w:w="755" w:type="dxa"/>
            <w:tcBorders>
              <w:top w:val="single" w:color="000000" w:sz="6" w:space="0"/>
              <w:left w:val="single" w:color="000000" w:sz="6" w:space="0"/>
              <w:bottom w:val="single" w:color="000000" w:sz="6" w:space="0"/>
              <w:right w:val="single" w:color="000000" w:sz="6" w:space="0"/>
            </w:tcBorders>
            <w:vAlign w:val="center"/>
          </w:tcPr>
          <w:p w14:paraId="4B6CBDE2">
            <w:pPr>
              <w:pStyle w:val="33"/>
              <w:rPr>
                <w:color w:val="auto"/>
              </w:rPr>
            </w:pPr>
            <w:r>
              <w:rPr>
                <w:color w:val="auto"/>
              </w:rPr>
              <w:t>三级</w:t>
            </w:r>
          </w:p>
        </w:tc>
        <w:tc>
          <w:tcPr>
            <w:tcW w:w="2116" w:type="dxa"/>
            <w:tcBorders>
              <w:top w:val="single" w:color="000000" w:sz="6" w:space="0"/>
              <w:left w:val="single" w:color="000000" w:sz="6" w:space="0"/>
              <w:bottom w:val="single" w:color="000000" w:sz="6" w:space="0"/>
              <w:right w:val="single" w:color="000000" w:sz="6" w:space="0"/>
            </w:tcBorders>
            <w:vAlign w:val="center"/>
          </w:tcPr>
          <w:p w14:paraId="25BD68E3">
            <w:pPr>
              <w:pStyle w:val="33"/>
              <w:rPr>
                <w:color w:val="auto"/>
              </w:rPr>
            </w:pPr>
            <w:r>
              <w:rPr>
                <w:color w:val="auto"/>
              </w:rPr>
              <w:t>3、4类</w:t>
            </w:r>
          </w:p>
        </w:tc>
        <w:tc>
          <w:tcPr>
            <w:tcW w:w="3020" w:type="dxa"/>
            <w:tcBorders>
              <w:top w:val="single" w:color="000000" w:sz="6" w:space="0"/>
              <w:left w:val="single" w:color="000000" w:sz="6" w:space="0"/>
              <w:bottom w:val="single" w:color="000000" w:sz="6" w:space="0"/>
              <w:right w:val="single" w:color="000000" w:sz="6" w:space="0"/>
            </w:tcBorders>
            <w:shd w:val="clear" w:color="auto" w:fill="D8D8D8" w:themeFill="background1" w:themeFillShade="D9"/>
            <w:vAlign w:val="center"/>
          </w:tcPr>
          <w:p w14:paraId="6E6D8183">
            <w:pPr>
              <w:pStyle w:val="33"/>
              <w:rPr>
                <w:color w:val="auto"/>
              </w:rPr>
            </w:pPr>
            <w:r>
              <w:rPr>
                <w:color w:val="auto"/>
              </w:rPr>
              <w:t>&lt;3dB(A)</w:t>
            </w:r>
          </w:p>
        </w:tc>
        <w:tc>
          <w:tcPr>
            <w:tcW w:w="2319" w:type="dxa"/>
            <w:tcBorders>
              <w:top w:val="single" w:color="000000" w:sz="6" w:space="0"/>
              <w:left w:val="single" w:color="000000" w:sz="6" w:space="0"/>
              <w:bottom w:val="single" w:color="000000" w:sz="6" w:space="0"/>
              <w:right w:val="single" w:color="000000" w:sz="4" w:space="0"/>
            </w:tcBorders>
            <w:vAlign w:val="center"/>
          </w:tcPr>
          <w:p w14:paraId="7A0E6F81">
            <w:pPr>
              <w:pStyle w:val="33"/>
              <w:rPr>
                <w:color w:val="auto"/>
              </w:rPr>
            </w:pPr>
            <w:r>
              <w:rPr>
                <w:color w:val="auto"/>
              </w:rPr>
              <w:t>变化不大</w:t>
            </w:r>
          </w:p>
        </w:tc>
      </w:tr>
    </w:tbl>
    <w:p w14:paraId="0F2D7784">
      <w:pPr>
        <w:pStyle w:val="5"/>
        <w:rPr>
          <w:rFonts w:cs="Times New Roman"/>
          <w:color w:val="auto"/>
        </w:rPr>
      </w:pPr>
      <w:r>
        <w:rPr>
          <w:rFonts w:cs="Times New Roman"/>
          <w:color w:val="auto"/>
        </w:rPr>
        <w:t>土壤环境评价等级</w:t>
      </w:r>
    </w:p>
    <w:p w14:paraId="5E4EADF6">
      <w:pPr>
        <w:ind w:firstLine="480"/>
        <w:rPr>
          <w:rFonts w:cs="Times New Roman"/>
          <w:color w:val="auto"/>
        </w:rPr>
      </w:pPr>
      <w:r>
        <w:rPr>
          <w:rFonts w:cs="Times New Roman"/>
          <w:color w:val="auto"/>
        </w:rPr>
        <w:t>根据</w:t>
      </w:r>
      <w:bookmarkStart w:id="114" w:name="OLE_LINK3"/>
      <w:r>
        <w:rPr>
          <w:rFonts w:cs="Times New Roman"/>
          <w:color w:val="auto"/>
        </w:rPr>
        <w:t>《环境影响评价技术导则 土壤环境》（HJ610-2018）</w:t>
      </w:r>
      <w:bookmarkEnd w:id="114"/>
      <w:r>
        <w:rPr>
          <w:rFonts w:cs="Times New Roman"/>
          <w:color w:val="auto"/>
        </w:rPr>
        <w:t>附录A，本项目属于污染影响型，造纸和纸制品-造纸（含制浆工艺）项目，属Ⅱ类项目。项目</w:t>
      </w:r>
      <w:r>
        <w:rPr>
          <w:rFonts w:hint="eastAsia" w:cs="Times New Roman"/>
          <w:color w:val="auto"/>
        </w:rPr>
        <w:t>北侧存在农田，</w:t>
      </w:r>
      <w:r>
        <w:rPr>
          <w:rFonts w:cs="Times New Roman"/>
          <w:color w:val="auto"/>
        </w:rPr>
        <w:t>敏感程度为敏感；项目占地面积为</w:t>
      </w:r>
      <w:r>
        <w:rPr>
          <w:rFonts w:hint="eastAsia" w:cs="Times New Roman"/>
          <w:color w:val="auto"/>
        </w:rPr>
        <w:t>33.24</w:t>
      </w:r>
      <w:r>
        <w:rPr>
          <w:rFonts w:cs="Times New Roman"/>
          <w:color w:val="auto"/>
        </w:rPr>
        <w:t>hm</w:t>
      </w:r>
      <w:r>
        <w:rPr>
          <w:rFonts w:cs="Times New Roman"/>
          <w:color w:val="auto"/>
          <w:vertAlign w:val="superscript"/>
        </w:rPr>
        <w:t>2</w:t>
      </w:r>
      <w:r>
        <w:rPr>
          <w:rFonts w:cs="Times New Roman"/>
          <w:color w:val="auto"/>
        </w:rPr>
        <w:t>，占地规模为</w:t>
      </w:r>
      <w:r>
        <w:rPr>
          <w:rFonts w:hint="eastAsia" w:cs="Times New Roman"/>
          <w:color w:val="auto"/>
        </w:rPr>
        <w:t>中型</w:t>
      </w:r>
      <w:r>
        <w:rPr>
          <w:rFonts w:cs="Times New Roman"/>
          <w:color w:val="auto"/>
        </w:rPr>
        <w:t>（</w:t>
      </w:r>
      <w:r>
        <w:rPr>
          <w:rFonts w:hint="eastAsia" w:cs="Times New Roman"/>
          <w:color w:val="auto"/>
        </w:rPr>
        <w:t>5~50</w:t>
      </w:r>
      <w:r>
        <w:rPr>
          <w:rFonts w:cs="Times New Roman"/>
          <w:color w:val="auto"/>
        </w:rPr>
        <w:t>hm</w:t>
      </w:r>
      <w:r>
        <w:rPr>
          <w:rFonts w:cs="Times New Roman"/>
          <w:color w:val="auto"/>
          <w:vertAlign w:val="superscript"/>
        </w:rPr>
        <w:t>2</w:t>
      </w:r>
      <w:r>
        <w:rPr>
          <w:rFonts w:cs="Times New Roman"/>
          <w:color w:val="auto"/>
        </w:rPr>
        <w:t>），本项目土壤评价等级为二级。</w:t>
      </w:r>
    </w:p>
    <w:p w14:paraId="0B749A40">
      <w:pPr>
        <w:pStyle w:val="7"/>
        <w:rPr>
          <w:color w:val="auto"/>
        </w:rPr>
      </w:pPr>
      <w:bookmarkStart w:id="115" w:name="_Ref185008370"/>
      <w:r>
        <w:rPr>
          <w:color w:val="auto"/>
        </w:rPr>
        <w:t>污染影响型评价工作等级表</w:t>
      </w:r>
      <w:bookmarkEnd w:id="115"/>
    </w:p>
    <w:tbl>
      <w:tblPr>
        <w:tblStyle w:val="26"/>
        <w:tblW w:w="0" w:type="auto"/>
        <w:tblInd w:w="0" w:type="dxa"/>
        <w:tblLayout w:type="autofit"/>
        <w:tblCellMar>
          <w:top w:w="0" w:type="dxa"/>
          <w:left w:w="108" w:type="dxa"/>
          <w:bottom w:w="0" w:type="dxa"/>
          <w:right w:w="108" w:type="dxa"/>
        </w:tblCellMar>
      </w:tblPr>
      <w:tblGrid>
        <w:gridCol w:w="1980"/>
        <w:gridCol w:w="850"/>
        <w:gridCol w:w="851"/>
        <w:gridCol w:w="850"/>
        <w:gridCol w:w="709"/>
        <w:gridCol w:w="709"/>
        <w:gridCol w:w="850"/>
        <w:gridCol w:w="851"/>
        <w:gridCol w:w="709"/>
        <w:gridCol w:w="701"/>
      </w:tblGrid>
      <w:tr w14:paraId="13C5C21F">
        <w:tblPrEx>
          <w:tblCellMar>
            <w:top w:w="0" w:type="dxa"/>
            <w:left w:w="108" w:type="dxa"/>
            <w:bottom w:w="0" w:type="dxa"/>
            <w:right w:w="108" w:type="dxa"/>
          </w:tblCellMar>
        </w:tblPrEx>
        <w:tc>
          <w:tcPr>
            <w:tcW w:w="1980" w:type="dxa"/>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14:paraId="134E4199">
            <w:pPr>
              <w:pStyle w:val="33"/>
              <w:rPr>
                <w:color w:val="auto"/>
              </w:rPr>
            </w:pPr>
            <w:r>
              <w:rPr>
                <w:rFonts w:hint="eastAsia"/>
                <w:color w:val="auto"/>
              </w:rPr>
              <w:t>占地规模</w:t>
            </w:r>
          </w:p>
          <w:p w14:paraId="3C3754D6">
            <w:pPr>
              <w:pStyle w:val="33"/>
              <w:rPr>
                <w:color w:val="auto"/>
              </w:rPr>
            </w:pPr>
            <w:r>
              <w:rPr>
                <w:rFonts w:hint="eastAsia"/>
                <w:color w:val="auto"/>
              </w:rPr>
              <w:t>敏感程度</w:t>
            </w:r>
          </w:p>
        </w:tc>
        <w:tc>
          <w:tcPr>
            <w:tcW w:w="2551" w:type="dxa"/>
            <w:gridSpan w:val="3"/>
            <w:tcBorders>
              <w:top w:val="single" w:color="auto" w:sz="4" w:space="0"/>
              <w:left w:val="single" w:color="auto" w:sz="4" w:space="0"/>
              <w:bottom w:val="single" w:color="auto" w:sz="4" w:space="0"/>
              <w:right w:val="single" w:color="auto" w:sz="4" w:space="0"/>
            </w:tcBorders>
            <w:vAlign w:val="center"/>
          </w:tcPr>
          <w:p w14:paraId="31BE6FCF">
            <w:pPr>
              <w:pStyle w:val="33"/>
              <w:rPr>
                <w:color w:val="auto"/>
              </w:rPr>
            </w:pPr>
            <w:r>
              <w:rPr>
                <w:rFonts w:hint="eastAsia"/>
                <w:color w:val="auto"/>
              </w:rPr>
              <w:t>Ⅰ类</w:t>
            </w:r>
          </w:p>
        </w:tc>
        <w:tc>
          <w:tcPr>
            <w:tcW w:w="2268" w:type="dxa"/>
            <w:gridSpan w:val="3"/>
            <w:tcBorders>
              <w:top w:val="single" w:color="auto" w:sz="4" w:space="0"/>
              <w:left w:val="single" w:color="auto" w:sz="4" w:space="0"/>
              <w:bottom w:val="single" w:color="auto" w:sz="4" w:space="0"/>
              <w:right w:val="single" w:color="auto" w:sz="4" w:space="0"/>
            </w:tcBorders>
            <w:vAlign w:val="center"/>
          </w:tcPr>
          <w:p w14:paraId="71D41869">
            <w:pPr>
              <w:pStyle w:val="33"/>
              <w:rPr>
                <w:color w:val="auto"/>
              </w:rPr>
            </w:pPr>
            <w:r>
              <w:rPr>
                <w:rFonts w:hint="eastAsia"/>
                <w:color w:val="auto"/>
              </w:rPr>
              <w:t>Ⅱ类</w:t>
            </w:r>
          </w:p>
        </w:tc>
        <w:tc>
          <w:tcPr>
            <w:tcW w:w="2261" w:type="dxa"/>
            <w:gridSpan w:val="3"/>
            <w:tcBorders>
              <w:top w:val="single" w:color="auto" w:sz="4" w:space="0"/>
              <w:left w:val="single" w:color="auto" w:sz="4" w:space="0"/>
              <w:bottom w:val="single" w:color="auto" w:sz="4" w:space="0"/>
              <w:right w:val="single" w:color="auto" w:sz="4" w:space="0"/>
            </w:tcBorders>
            <w:vAlign w:val="center"/>
          </w:tcPr>
          <w:p w14:paraId="70B96788">
            <w:pPr>
              <w:pStyle w:val="33"/>
              <w:rPr>
                <w:color w:val="auto"/>
              </w:rPr>
            </w:pPr>
            <w:r>
              <w:rPr>
                <w:rFonts w:hint="eastAsia"/>
                <w:color w:val="auto"/>
              </w:rPr>
              <w:t>Ⅲ类</w:t>
            </w:r>
          </w:p>
        </w:tc>
      </w:tr>
      <w:tr w14:paraId="76F71A7C">
        <w:tblPrEx>
          <w:tblCellMar>
            <w:top w:w="0" w:type="dxa"/>
            <w:left w:w="108" w:type="dxa"/>
            <w:bottom w:w="0" w:type="dxa"/>
            <w:right w:w="108" w:type="dxa"/>
          </w:tblCellMar>
        </w:tblPrEx>
        <w:tc>
          <w:tcPr>
            <w:tcW w:w="1980" w:type="dxa"/>
            <w:vMerge w:val="continue"/>
            <w:tcBorders>
              <w:top w:val="single" w:color="auto" w:sz="4" w:space="0"/>
              <w:left w:val="single" w:color="auto" w:sz="4" w:space="0"/>
              <w:bottom w:val="single" w:color="auto" w:sz="4" w:space="0"/>
              <w:right w:val="single" w:color="auto" w:sz="4" w:space="0"/>
              <w:tl2br w:val="single" w:color="auto" w:sz="4" w:space="0"/>
            </w:tcBorders>
            <w:vAlign w:val="center"/>
          </w:tcPr>
          <w:p w14:paraId="24B4E087">
            <w:pPr>
              <w:pStyle w:val="33"/>
              <w:rPr>
                <w:color w:val="auto"/>
              </w:rPr>
            </w:pPr>
          </w:p>
        </w:tc>
        <w:tc>
          <w:tcPr>
            <w:tcW w:w="850" w:type="dxa"/>
            <w:tcBorders>
              <w:top w:val="single" w:color="auto" w:sz="4" w:space="0"/>
              <w:left w:val="single" w:color="auto" w:sz="4" w:space="0"/>
              <w:bottom w:val="single" w:color="auto" w:sz="4" w:space="0"/>
              <w:right w:val="single" w:color="auto" w:sz="4" w:space="0"/>
            </w:tcBorders>
            <w:vAlign w:val="center"/>
          </w:tcPr>
          <w:p w14:paraId="4A165689">
            <w:pPr>
              <w:pStyle w:val="33"/>
              <w:rPr>
                <w:color w:val="auto"/>
              </w:rPr>
            </w:pPr>
            <w:r>
              <w:rPr>
                <w:rFonts w:hint="eastAsia"/>
                <w:color w:val="auto"/>
              </w:rPr>
              <w:t>大</w:t>
            </w:r>
          </w:p>
        </w:tc>
        <w:tc>
          <w:tcPr>
            <w:tcW w:w="851" w:type="dxa"/>
            <w:tcBorders>
              <w:top w:val="single" w:color="auto" w:sz="4" w:space="0"/>
              <w:left w:val="single" w:color="auto" w:sz="4" w:space="0"/>
              <w:bottom w:val="single" w:color="auto" w:sz="4" w:space="0"/>
              <w:right w:val="single" w:color="auto" w:sz="4" w:space="0"/>
            </w:tcBorders>
            <w:vAlign w:val="center"/>
          </w:tcPr>
          <w:p w14:paraId="5602A826">
            <w:pPr>
              <w:pStyle w:val="33"/>
              <w:rPr>
                <w:color w:val="auto"/>
              </w:rPr>
            </w:pPr>
            <w:r>
              <w:rPr>
                <w:rFonts w:hint="eastAsia"/>
                <w:color w:val="auto"/>
              </w:rPr>
              <w:t>中</w:t>
            </w:r>
          </w:p>
        </w:tc>
        <w:tc>
          <w:tcPr>
            <w:tcW w:w="850" w:type="dxa"/>
            <w:tcBorders>
              <w:top w:val="single" w:color="auto" w:sz="4" w:space="0"/>
              <w:left w:val="single" w:color="auto" w:sz="4" w:space="0"/>
              <w:bottom w:val="single" w:color="auto" w:sz="4" w:space="0"/>
              <w:right w:val="single" w:color="auto" w:sz="4" w:space="0"/>
            </w:tcBorders>
            <w:vAlign w:val="center"/>
          </w:tcPr>
          <w:p w14:paraId="3EF9A69A">
            <w:pPr>
              <w:pStyle w:val="33"/>
              <w:rPr>
                <w:color w:val="auto"/>
              </w:rPr>
            </w:pPr>
            <w:r>
              <w:rPr>
                <w:rFonts w:hint="eastAsia"/>
                <w:color w:val="auto"/>
              </w:rPr>
              <w:t>小</w:t>
            </w:r>
          </w:p>
        </w:tc>
        <w:tc>
          <w:tcPr>
            <w:tcW w:w="709" w:type="dxa"/>
            <w:tcBorders>
              <w:top w:val="single" w:color="auto" w:sz="4" w:space="0"/>
              <w:left w:val="single" w:color="auto" w:sz="4" w:space="0"/>
              <w:bottom w:val="single" w:color="auto" w:sz="4" w:space="0"/>
              <w:right w:val="single" w:color="auto" w:sz="4" w:space="0"/>
            </w:tcBorders>
            <w:vAlign w:val="center"/>
          </w:tcPr>
          <w:p w14:paraId="0A7931E6">
            <w:pPr>
              <w:pStyle w:val="33"/>
              <w:rPr>
                <w:color w:val="auto"/>
              </w:rPr>
            </w:pPr>
            <w:r>
              <w:rPr>
                <w:rFonts w:hint="eastAsia"/>
                <w:color w:val="auto"/>
              </w:rPr>
              <w:t>大</w:t>
            </w:r>
          </w:p>
        </w:tc>
        <w:tc>
          <w:tcPr>
            <w:tcW w:w="709" w:type="dxa"/>
            <w:tcBorders>
              <w:top w:val="single" w:color="auto" w:sz="4" w:space="0"/>
              <w:left w:val="single" w:color="auto" w:sz="4" w:space="0"/>
              <w:bottom w:val="single" w:color="auto" w:sz="4" w:space="0"/>
              <w:right w:val="single" w:color="auto" w:sz="4" w:space="0"/>
            </w:tcBorders>
            <w:vAlign w:val="center"/>
          </w:tcPr>
          <w:p w14:paraId="667BF0C3">
            <w:pPr>
              <w:pStyle w:val="33"/>
              <w:rPr>
                <w:color w:val="auto"/>
              </w:rPr>
            </w:pPr>
            <w:r>
              <w:rPr>
                <w:rFonts w:hint="eastAsia"/>
                <w:color w:val="auto"/>
              </w:rPr>
              <w:t>中</w:t>
            </w:r>
          </w:p>
        </w:tc>
        <w:tc>
          <w:tcPr>
            <w:tcW w:w="850" w:type="dxa"/>
            <w:tcBorders>
              <w:top w:val="single" w:color="auto" w:sz="4" w:space="0"/>
              <w:left w:val="single" w:color="auto" w:sz="4" w:space="0"/>
              <w:bottom w:val="single" w:color="auto" w:sz="4" w:space="0"/>
              <w:right w:val="single" w:color="auto" w:sz="4" w:space="0"/>
            </w:tcBorders>
            <w:vAlign w:val="center"/>
          </w:tcPr>
          <w:p w14:paraId="3BD04920">
            <w:pPr>
              <w:pStyle w:val="33"/>
              <w:rPr>
                <w:color w:val="auto"/>
              </w:rPr>
            </w:pPr>
            <w:r>
              <w:rPr>
                <w:rFonts w:hint="eastAsia"/>
                <w:color w:val="auto"/>
              </w:rPr>
              <w:t>小</w:t>
            </w:r>
          </w:p>
        </w:tc>
        <w:tc>
          <w:tcPr>
            <w:tcW w:w="851" w:type="dxa"/>
            <w:tcBorders>
              <w:top w:val="single" w:color="auto" w:sz="4" w:space="0"/>
              <w:left w:val="single" w:color="auto" w:sz="4" w:space="0"/>
              <w:bottom w:val="single" w:color="auto" w:sz="4" w:space="0"/>
              <w:right w:val="single" w:color="auto" w:sz="4" w:space="0"/>
            </w:tcBorders>
            <w:vAlign w:val="center"/>
          </w:tcPr>
          <w:p w14:paraId="409213C3">
            <w:pPr>
              <w:pStyle w:val="33"/>
              <w:rPr>
                <w:color w:val="auto"/>
              </w:rPr>
            </w:pPr>
            <w:r>
              <w:rPr>
                <w:rFonts w:hint="eastAsia"/>
                <w:color w:val="auto"/>
              </w:rPr>
              <w:t>大</w:t>
            </w:r>
          </w:p>
        </w:tc>
        <w:tc>
          <w:tcPr>
            <w:tcW w:w="709" w:type="dxa"/>
            <w:tcBorders>
              <w:top w:val="single" w:color="auto" w:sz="4" w:space="0"/>
              <w:left w:val="single" w:color="auto" w:sz="4" w:space="0"/>
              <w:bottom w:val="single" w:color="auto" w:sz="4" w:space="0"/>
              <w:right w:val="single" w:color="auto" w:sz="4" w:space="0"/>
            </w:tcBorders>
            <w:vAlign w:val="center"/>
          </w:tcPr>
          <w:p w14:paraId="3F0CF017">
            <w:pPr>
              <w:pStyle w:val="33"/>
              <w:rPr>
                <w:color w:val="auto"/>
              </w:rPr>
            </w:pPr>
            <w:r>
              <w:rPr>
                <w:rFonts w:hint="eastAsia"/>
                <w:color w:val="auto"/>
              </w:rPr>
              <w:t>中</w:t>
            </w:r>
          </w:p>
        </w:tc>
        <w:tc>
          <w:tcPr>
            <w:tcW w:w="701" w:type="dxa"/>
            <w:tcBorders>
              <w:top w:val="single" w:color="auto" w:sz="4" w:space="0"/>
              <w:left w:val="single" w:color="auto" w:sz="4" w:space="0"/>
              <w:bottom w:val="single" w:color="auto" w:sz="4" w:space="0"/>
              <w:right w:val="single" w:color="auto" w:sz="4" w:space="0"/>
            </w:tcBorders>
            <w:vAlign w:val="center"/>
          </w:tcPr>
          <w:p w14:paraId="6E636A6F">
            <w:pPr>
              <w:pStyle w:val="33"/>
              <w:rPr>
                <w:color w:val="auto"/>
              </w:rPr>
            </w:pPr>
            <w:r>
              <w:rPr>
                <w:rFonts w:hint="eastAsia"/>
                <w:color w:val="auto"/>
              </w:rPr>
              <w:t>小</w:t>
            </w:r>
          </w:p>
        </w:tc>
      </w:tr>
      <w:tr w14:paraId="553E6E57">
        <w:tblPrEx>
          <w:tblCellMar>
            <w:top w:w="0" w:type="dxa"/>
            <w:left w:w="108" w:type="dxa"/>
            <w:bottom w:w="0" w:type="dxa"/>
            <w:right w:w="108" w:type="dxa"/>
          </w:tblCellMar>
        </w:tblPrEx>
        <w:tc>
          <w:tcPr>
            <w:tcW w:w="1980" w:type="dxa"/>
            <w:tcBorders>
              <w:top w:val="single" w:color="auto" w:sz="4" w:space="0"/>
              <w:left w:val="single" w:color="auto" w:sz="4" w:space="0"/>
              <w:bottom w:val="single" w:color="auto" w:sz="4" w:space="0"/>
              <w:right w:val="single" w:color="auto" w:sz="4" w:space="0"/>
            </w:tcBorders>
            <w:vAlign w:val="center"/>
          </w:tcPr>
          <w:p w14:paraId="00BFF220">
            <w:pPr>
              <w:pStyle w:val="33"/>
              <w:rPr>
                <w:color w:val="auto"/>
              </w:rPr>
            </w:pPr>
            <w:r>
              <w:rPr>
                <w:rFonts w:hint="eastAsia"/>
                <w:color w:val="auto"/>
              </w:rPr>
              <w:t>敏感</w:t>
            </w:r>
          </w:p>
        </w:tc>
        <w:tc>
          <w:tcPr>
            <w:tcW w:w="850" w:type="dxa"/>
            <w:tcBorders>
              <w:top w:val="single" w:color="auto" w:sz="4" w:space="0"/>
              <w:left w:val="single" w:color="auto" w:sz="4" w:space="0"/>
              <w:bottom w:val="single" w:color="auto" w:sz="4" w:space="0"/>
              <w:right w:val="single" w:color="auto" w:sz="4" w:space="0"/>
            </w:tcBorders>
            <w:vAlign w:val="center"/>
          </w:tcPr>
          <w:p w14:paraId="5EB85877">
            <w:pPr>
              <w:pStyle w:val="33"/>
              <w:rPr>
                <w:color w:val="auto"/>
              </w:rPr>
            </w:pPr>
            <w:r>
              <w:rPr>
                <w:rFonts w:hint="eastAsia"/>
                <w:color w:val="auto"/>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6126B8D4">
            <w:pPr>
              <w:pStyle w:val="33"/>
              <w:rPr>
                <w:color w:val="auto"/>
              </w:rPr>
            </w:pPr>
            <w:r>
              <w:rPr>
                <w:rFonts w:hint="eastAsia"/>
                <w:color w:val="auto"/>
              </w:rPr>
              <w:t>一级</w:t>
            </w:r>
          </w:p>
        </w:tc>
        <w:tc>
          <w:tcPr>
            <w:tcW w:w="850" w:type="dxa"/>
            <w:tcBorders>
              <w:top w:val="single" w:color="auto" w:sz="4" w:space="0"/>
              <w:left w:val="single" w:color="auto" w:sz="4" w:space="0"/>
              <w:bottom w:val="single" w:color="auto" w:sz="4" w:space="0"/>
              <w:right w:val="single" w:color="auto" w:sz="4" w:space="0"/>
            </w:tcBorders>
            <w:vAlign w:val="center"/>
          </w:tcPr>
          <w:p w14:paraId="258D7C07">
            <w:pPr>
              <w:pStyle w:val="33"/>
              <w:rPr>
                <w:color w:val="auto"/>
              </w:rPr>
            </w:pPr>
            <w:r>
              <w:rPr>
                <w:rFonts w:hint="eastAsia"/>
                <w:color w:val="auto"/>
              </w:rPr>
              <w:t>一级</w:t>
            </w:r>
          </w:p>
        </w:tc>
        <w:tc>
          <w:tcPr>
            <w:tcW w:w="709" w:type="dxa"/>
            <w:tcBorders>
              <w:top w:val="single" w:color="auto" w:sz="4" w:space="0"/>
              <w:left w:val="single" w:color="auto" w:sz="4" w:space="0"/>
              <w:bottom w:val="single" w:color="auto" w:sz="4" w:space="0"/>
              <w:right w:val="single" w:color="auto" w:sz="4" w:space="0"/>
            </w:tcBorders>
            <w:vAlign w:val="center"/>
          </w:tcPr>
          <w:p w14:paraId="3FDBD84F">
            <w:pPr>
              <w:pStyle w:val="33"/>
              <w:rPr>
                <w:color w:val="auto"/>
              </w:rPr>
            </w:pPr>
            <w:r>
              <w:rPr>
                <w:rFonts w:hint="eastAsia"/>
                <w:color w:val="auto"/>
              </w:rPr>
              <w:t>二级</w:t>
            </w:r>
          </w:p>
        </w:tc>
        <w:tc>
          <w:tcPr>
            <w:tcW w:w="709" w:type="dxa"/>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14:paraId="70061847">
            <w:pPr>
              <w:pStyle w:val="33"/>
              <w:rPr>
                <w:color w:val="auto"/>
              </w:rPr>
            </w:pPr>
            <w:r>
              <w:rPr>
                <w:rFonts w:hint="eastAsia"/>
                <w:color w:val="auto"/>
              </w:rPr>
              <w:t>二级</w:t>
            </w:r>
          </w:p>
        </w:tc>
        <w:tc>
          <w:tcPr>
            <w:tcW w:w="850" w:type="dxa"/>
            <w:tcBorders>
              <w:top w:val="single" w:color="auto" w:sz="4" w:space="0"/>
              <w:left w:val="single" w:color="auto" w:sz="4" w:space="0"/>
              <w:bottom w:val="single" w:color="auto" w:sz="4" w:space="0"/>
              <w:right w:val="single" w:color="auto" w:sz="4" w:space="0"/>
            </w:tcBorders>
            <w:vAlign w:val="center"/>
          </w:tcPr>
          <w:p w14:paraId="34DE43DF">
            <w:pPr>
              <w:pStyle w:val="33"/>
              <w:rPr>
                <w:color w:val="auto"/>
              </w:rPr>
            </w:pPr>
            <w:r>
              <w:rPr>
                <w:rFonts w:hint="eastAsia"/>
                <w:color w:val="auto"/>
              </w:rPr>
              <w:t>二级</w:t>
            </w:r>
          </w:p>
        </w:tc>
        <w:tc>
          <w:tcPr>
            <w:tcW w:w="851" w:type="dxa"/>
            <w:tcBorders>
              <w:top w:val="single" w:color="auto" w:sz="4" w:space="0"/>
              <w:left w:val="single" w:color="auto" w:sz="4" w:space="0"/>
              <w:bottom w:val="single" w:color="auto" w:sz="4" w:space="0"/>
              <w:right w:val="single" w:color="auto" w:sz="4" w:space="0"/>
            </w:tcBorders>
            <w:vAlign w:val="center"/>
          </w:tcPr>
          <w:p w14:paraId="4DDE8107">
            <w:pPr>
              <w:pStyle w:val="33"/>
              <w:rPr>
                <w:color w:val="auto"/>
              </w:rPr>
            </w:pPr>
            <w:r>
              <w:rPr>
                <w:rFonts w:hint="eastAsia"/>
                <w:color w:val="auto"/>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6C08BA2A">
            <w:pPr>
              <w:pStyle w:val="33"/>
              <w:rPr>
                <w:color w:val="auto"/>
              </w:rPr>
            </w:pPr>
            <w:r>
              <w:rPr>
                <w:rFonts w:hint="eastAsia"/>
                <w:color w:val="auto"/>
              </w:rPr>
              <w:t>三级</w:t>
            </w:r>
          </w:p>
        </w:tc>
        <w:tc>
          <w:tcPr>
            <w:tcW w:w="701" w:type="dxa"/>
            <w:tcBorders>
              <w:top w:val="single" w:color="auto" w:sz="4" w:space="0"/>
              <w:left w:val="single" w:color="auto" w:sz="4" w:space="0"/>
              <w:bottom w:val="single" w:color="auto" w:sz="4" w:space="0"/>
              <w:right w:val="single" w:color="auto" w:sz="4" w:space="0"/>
            </w:tcBorders>
            <w:vAlign w:val="center"/>
          </w:tcPr>
          <w:p w14:paraId="25DAC82F">
            <w:pPr>
              <w:pStyle w:val="33"/>
              <w:rPr>
                <w:color w:val="auto"/>
              </w:rPr>
            </w:pPr>
            <w:r>
              <w:rPr>
                <w:rFonts w:hint="eastAsia"/>
                <w:color w:val="auto"/>
              </w:rPr>
              <w:t>三级</w:t>
            </w:r>
          </w:p>
        </w:tc>
      </w:tr>
      <w:tr w14:paraId="3106BF9E">
        <w:tblPrEx>
          <w:tblCellMar>
            <w:top w:w="0" w:type="dxa"/>
            <w:left w:w="108" w:type="dxa"/>
            <w:bottom w:w="0" w:type="dxa"/>
            <w:right w:w="108" w:type="dxa"/>
          </w:tblCellMar>
        </w:tblPrEx>
        <w:tc>
          <w:tcPr>
            <w:tcW w:w="1980" w:type="dxa"/>
            <w:tcBorders>
              <w:top w:val="single" w:color="auto" w:sz="4" w:space="0"/>
              <w:left w:val="single" w:color="auto" w:sz="4" w:space="0"/>
              <w:bottom w:val="single" w:color="auto" w:sz="4" w:space="0"/>
              <w:right w:val="single" w:color="auto" w:sz="4" w:space="0"/>
            </w:tcBorders>
            <w:vAlign w:val="center"/>
          </w:tcPr>
          <w:p w14:paraId="571BF372">
            <w:pPr>
              <w:pStyle w:val="33"/>
              <w:rPr>
                <w:color w:val="auto"/>
              </w:rPr>
            </w:pPr>
            <w:r>
              <w:rPr>
                <w:rFonts w:hint="eastAsia"/>
                <w:color w:val="auto"/>
              </w:rPr>
              <w:t>较敏感</w:t>
            </w:r>
          </w:p>
        </w:tc>
        <w:tc>
          <w:tcPr>
            <w:tcW w:w="850" w:type="dxa"/>
            <w:tcBorders>
              <w:top w:val="single" w:color="auto" w:sz="4" w:space="0"/>
              <w:left w:val="single" w:color="auto" w:sz="4" w:space="0"/>
              <w:bottom w:val="single" w:color="auto" w:sz="4" w:space="0"/>
              <w:right w:val="single" w:color="auto" w:sz="4" w:space="0"/>
            </w:tcBorders>
            <w:vAlign w:val="center"/>
          </w:tcPr>
          <w:p w14:paraId="66572F35">
            <w:pPr>
              <w:pStyle w:val="33"/>
              <w:rPr>
                <w:color w:val="auto"/>
              </w:rPr>
            </w:pPr>
            <w:r>
              <w:rPr>
                <w:rFonts w:hint="eastAsia"/>
                <w:color w:val="auto"/>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39BAF971">
            <w:pPr>
              <w:pStyle w:val="33"/>
              <w:rPr>
                <w:color w:val="auto"/>
              </w:rPr>
            </w:pPr>
            <w:r>
              <w:rPr>
                <w:rFonts w:hint="eastAsia"/>
                <w:color w:val="auto"/>
              </w:rPr>
              <w:t>一级</w:t>
            </w:r>
          </w:p>
        </w:tc>
        <w:tc>
          <w:tcPr>
            <w:tcW w:w="850" w:type="dxa"/>
            <w:tcBorders>
              <w:top w:val="single" w:color="auto" w:sz="4" w:space="0"/>
              <w:left w:val="single" w:color="auto" w:sz="4" w:space="0"/>
              <w:bottom w:val="single" w:color="auto" w:sz="4" w:space="0"/>
              <w:right w:val="single" w:color="auto" w:sz="4" w:space="0"/>
            </w:tcBorders>
            <w:vAlign w:val="center"/>
          </w:tcPr>
          <w:p w14:paraId="55004130">
            <w:pPr>
              <w:pStyle w:val="33"/>
              <w:rPr>
                <w:color w:val="auto"/>
              </w:rPr>
            </w:pPr>
            <w:r>
              <w:rPr>
                <w:rFonts w:hint="eastAsia"/>
                <w:color w:val="auto"/>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05D19FD0">
            <w:pPr>
              <w:pStyle w:val="33"/>
              <w:rPr>
                <w:color w:val="auto"/>
              </w:rPr>
            </w:pPr>
            <w:r>
              <w:rPr>
                <w:rFonts w:hint="eastAsia"/>
                <w:color w:val="auto"/>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55ECAC14">
            <w:pPr>
              <w:pStyle w:val="33"/>
              <w:rPr>
                <w:color w:val="auto"/>
              </w:rPr>
            </w:pPr>
            <w:r>
              <w:rPr>
                <w:rFonts w:hint="eastAsia"/>
                <w:color w:val="auto"/>
              </w:rPr>
              <w:t>二级</w:t>
            </w:r>
          </w:p>
        </w:tc>
        <w:tc>
          <w:tcPr>
            <w:tcW w:w="850" w:type="dxa"/>
            <w:tcBorders>
              <w:top w:val="single" w:color="auto" w:sz="4" w:space="0"/>
              <w:left w:val="single" w:color="auto" w:sz="4" w:space="0"/>
              <w:bottom w:val="single" w:color="auto" w:sz="4" w:space="0"/>
              <w:right w:val="single" w:color="auto" w:sz="4" w:space="0"/>
            </w:tcBorders>
            <w:vAlign w:val="center"/>
          </w:tcPr>
          <w:p w14:paraId="739259F9">
            <w:pPr>
              <w:pStyle w:val="33"/>
              <w:rPr>
                <w:color w:val="auto"/>
              </w:rPr>
            </w:pPr>
            <w:r>
              <w:rPr>
                <w:rFonts w:hint="eastAsia"/>
                <w:color w:val="auto"/>
              </w:rPr>
              <w:t>三级</w:t>
            </w:r>
          </w:p>
        </w:tc>
        <w:tc>
          <w:tcPr>
            <w:tcW w:w="851" w:type="dxa"/>
            <w:tcBorders>
              <w:top w:val="single" w:color="auto" w:sz="4" w:space="0"/>
              <w:left w:val="single" w:color="auto" w:sz="4" w:space="0"/>
              <w:bottom w:val="single" w:color="auto" w:sz="4" w:space="0"/>
              <w:right w:val="single" w:color="auto" w:sz="4" w:space="0"/>
            </w:tcBorders>
            <w:vAlign w:val="center"/>
          </w:tcPr>
          <w:p w14:paraId="50929613">
            <w:pPr>
              <w:pStyle w:val="33"/>
              <w:rPr>
                <w:color w:val="auto"/>
              </w:rPr>
            </w:pPr>
            <w:r>
              <w:rPr>
                <w:rFonts w:hint="eastAsia"/>
                <w:color w:val="auto"/>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2294310B">
            <w:pPr>
              <w:pStyle w:val="33"/>
              <w:rPr>
                <w:color w:val="auto"/>
              </w:rPr>
            </w:pPr>
            <w:r>
              <w:rPr>
                <w:rFonts w:hint="eastAsia"/>
                <w:color w:val="auto"/>
              </w:rPr>
              <w:t>三级</w:t>
            </w:r>
          </w:p>
        </w:tc>
        <w:tc>
          <w:tcPr>
            <w:tcW w:w="701" w:type="dxa"/>
            <w:tcBorders>
              <w:top w:val="single" w:color="auto" w:sz="4" w:space="0"/>
              <w:left w:val="single" w:color="auto" w:sz="4" w:space="0"/>
              <w:bottom w:val="single" w:color="auto" w:sz="4" w:space="0"/>
              <w:right w:val="single" w:color="auto" w:sz="4" w:space="0"/>
            </w:tcBorders>
            <w:vAlign w:val="center"/>
          </w:tcPr>
          <w:p w14:paraId="2A2A3A2E">
            <w:pPr>
              <w:pStyle w:val="33"/>
              <w:rPr>
                <w:color w:val="auto"/>
              </w:rPr>
            </w:pPr>
            <w:r>
              <w:rPr>
                <w:rFonts w:hint="eastAsia"/>
                <w:color w:val="auto"/>
              </w:rPr>
              <w:t>-</w:t>
            </w:r>
          </w:p>
        </w:tc>
      </w:tr>
      <w:tr w14:paraId="76B53AD2">
        <w:tblPrEx>
          <w:tblCellMar>
            <w:top w:w="0" w:type="dxa"/>
            <w:left w:w="108" w:type="dxa"/>
            <w:bottom w:w="0" w:type="dxa"/>
            <w:right w:w="108" w:type="dxa"/>
          </w:tblCellMar>
        </w:tblPrEx>
        <w:tc>
          <w:tcPr>
            <w:tcW w:w="1980" w:type="dxa"/>
            <w:tcBorders>
              <w:top w:val="single" w:color="auto" w:sz="4" w:space="0"/>
              <w:left w:val="single" w:color="auto" w:sz="4" w:space="0"/>
              <w:bottom w:val="single" w:color="auto" w:sz="4" w:space="0"/>
              <w:right w:val="single" w:color="auto" w:sz="4" w:space="0"/>
            </w:tcBorders>
            <w:vAlign w:val="center"/>
          </w:tcPr>
          <w:p w14:paraId="6AF1E01F">
            <w:pPr>
              <w:pStyle w:val="33"/>
              <w:rPr>
                <w:color w:val="auto"/>
              </w:rPr>
            </w:pPr>
            <w:r>
              <w:rPr>
                <w:rFonts w:hint="eastAsia"/>
                <w:color w:val="auto"/>
              </w:rPr>
              <w:t>不敏感</w:t>
            </w:r>
          </w:p>
        </w:tc>
        <w:tc>
          <w:tcPr>
            <w:tcW w:w="850" w:type="dxa"/>
            <w:tcBorders>
              <w:top w:val="single" w:color="auto" w:sz="4" w:space="0"/>
              <w:left w:val="single" w:color="auto" w:sz="4" w:space="0"/>
              <w:bottom w:val="single" w:color="auto" w:sz="4" w:space="0"/>
              <w:right w:val="single" w:color="auto" w:sz="4" w:space="0"/>
            </w:tcBorders>
            <w:vAlign w:val="center"/>
          </w:tcPr>
          <w:p w14:paraId="5C2FE94A">
            <w:pPr>
              <w:pStyle w:val="33"/>
              <w:rPr>
                <w:color w:val="auto"/>
              </w:rPr>
            </w:pPr>
            <w:r>
              <w:rPr>
                <w:rFonts w:hint="eastAsia"/>
                <w:color w:val="auto"/>
              </w:rPr>
              <w:t>一级</w:t>
            </w:r>
          </w:p>
        </w:tc>
        <w:tc>
          <w:tcPr>
            <w:tcW w:w="851" w:type="dxa"/>
            <w:tcBorders>
              <w:top w:val="single" w:color="auto" w:sz="4" w:space="0"/>
              <w:left w:val="single" w:color="auto" w:sz="4" w:space="0"/>
              <w:bottom w:val="single" w:color="auto" w:sz="4" w:space="0"/>
              <w:right w:val="single" w:color="auto" w:sz="4" w:space="0"/>
            </w:tcBorders>
            <w:vAlign w:val="center"/>
          </w:tcPr>
          <w:p w14:paraId="3515A89B">
            <w:pPr>
              <w:pStyle w:val="33"/>
              <w:rPr>
                <w:color w:val="auto"/>
              </w:rPr>
            </w:pPr>
            <w:r>
              <w:rPr>
                <w:rFonts w:hint="eastAsia"/>
                <w:color w:val="auto"/>
              </w:rPr>
              <w:t>二级</w:t>
            </w:r>
          </w:p>
        </w:tc>
        <w:tc>
          <w:tcPr>
            <w:tcW w:w="850" w:type="dxa"/>
            <w:tcBorders>
              <w:top w:val="single" w:color="auto" w:sz="4" w:space="0"/>
              <w:left w:val="single" w:color="auto" w:sz="4" w:space="0"/>
              <w:bottom w:val="single" w:color="auto" w:sz="4" w:space="0"/>
              <w:right w:val="single" w:color="auto" w:sz="4" w:space="0"/>
            </w:tcBorders>
            <w:vAlign w:val="center"/>
          </w:tcPr>
          <w:p w14:paraId="1AF20B4B">
            <w:pPr>
              <w:pStyle w:val="33"/>
              <w:rPr>
                <w:color w:val="auto"/>
              </w:rPr>
            </w:pPr>
            <w:r>
              <w:rPr>
                <w:rFonts w:hint="eastAsia"/>
                <w:color w:val="auto"/>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52A7EC93">
            <w:pPr>
              <w:pStyle w:val="33"/>
              <w:rPr>
                <w:color w:val="auto"/>
              </w:rPr>
            </w:pPr>
            <w:r>
              <w:rPr>
                <w:rFonts w:hint="eastAsia"/>
                <w:color w:val="auto"/>
              </w:rPr>
              <w:t>二级</w:t>
            </w:r>
          </w:p>
        </w:tc>
        <w:tc>
          <w:tcPr>
            <w:tcW w:w="709" w:type="dxa"/>
            <w:tcBorders>
              <w:top w:val="single" w:color="auto" w:sz="4" w:space="0"/>
              <w:left w:val="single" w:color="auto" w:sz="4" w:space="0"/>
              <w:bottom w:val="single" w:color="auto" w:sz="4" w:space="0"/>
              <w:right w:val="single" w:color="auto" w:sz="4" w:space="0"/>
            </w:tcBorders>
            <w:vAlign w:val="center"/>
          </w:tcPr>
          <w:p w14:paraId="0F2BA350">
            <w:pPr>
              <w:pStyle w:val="33"/>
              <w:rPr>
                <w:color w:val="auto"/>
              </w:rPr>
            </w:pPr>
            <w:r>
              <w:rPr>
                <w:rFonts w:hint="eastAsia"/>
                <w:color w:val="auto"/>
              </w:rPr>
              <w:t>三级</w:t>
            </w:r>
          </w:p>
        </w:tc>
        <w:tc>
          <w:tcPr>
            <w:tcW w:w="850" w:type="dxa"/>
            <w:tcBorders>
              <w:top w:val="single" w:color="auto" w:sz="4" w:space="0"/>
              <w:left w:val="single" w:color="auto" w:sz="4" w:space="0"/>
              <w:bottom w:val="single" w:color="auto" w:sz="4" w:space="0"/>
              <w:right w:val="single" w:color="auto" w:sz="4" w:space="0"/>
            </w:tcBorders>
            <w:vAlign w:val="center"/>
          </w:tcPr>
          <w:p w14:paraId="1824FAB9">
            <w:pPr>
              <w:pStyle w:val="33"/>
              <w:rPr>
                <w:color w:val="auto"/>
              </w:rPr>
            </w:pPr>
            <w:r>
              <w:rPr>
                <w:rFonts w:hint="eastAsia"/>
                <w:color w:val="auto"/>
              </w:rPr>
              <w:t>三级</w:t>
            </w:r>
          </w:p>
        </w:tc>
        <w:tc>
          <w:tcPr>
            <w:tcW w:w="851" w:type="dxa"/>
            <w:tcBorders>
              <w:top w:val="single" w:color="auto" w:sz="4" w:space="0"/>
              <w:left w:val="single" w:color="auto" w:sz="4" w:space="0"/>
              <w:bottom w:val="single" w:color="auto" w:sz="4" w:space="0"/>
              <w:right w:val="single" w:color="auto" w:sz="4" w:space="0"/>
            </w:tcBorders>
            <w:vAlign w:val="center"/>
          </w:tcPr>
          <w:p w14:paraId="5DB349B2">
            <w:pPr>
              <w:pStyle w:val="33"/>
              <w:rPr>
                <w:color w:val="auto"/>
              </w:rPr>
            </w:pPr>
            <w:r>
              <w:rPr>
                <w:rFonts w:hint="eastAsia"/>
                <w:color w:val="auto"/>
              </w:rPr>
              <w:t>三级</w:t>
            </w:r>
          </w:p>
        </w:tc>
        <w:tc>
          <w:tcPr>
            <w:tcW w:w="709" w:type="dxa"/>
            <w:tcBorders>
              <w:top w:val="single" w:color="auto" w:sz="4" w:space="0"/>
              <w:left w:val="single" w:color="auto" w:sz="4" w:space="0"/>
              <w:bottom w:val="single" w:color="auto" w:sz="4" w:space="0"/>
              <w:right w:val="single" w:color="auto" w:sz="4" w:space="0"/>
            </w:tcBorders>
            <w:vAlign w:val="center"/>
          </w:tcPr>
          <w:p w14:paraId="421F1E3C">
            <w:pPr>
              <w:pStyle w:val="33"/>
              <w:rPr>
                <w:color w:val="auto"/>
              </w:rPr>
            </w:pPr>
            <w:r>
              <w:rPr>
                <w:rFonts w:hint="eastAsia"/>
                <w:color w:val="auto"/>
              </w:rPr>
              <w:t>-</w:t>
            </w:r>
          </w:p>
        </w:tc>
        <w:tc>
          <w:tcPr>
            <w:tcW w:w="701" w:type="dxa"/>
            <w:tcBorders>
              <w:top w:val="single" w:color="auto" w:sz="4" w:space="0"/>
              <w:left w:val="single" w:color="auto" w:sz="4" w:space="0"/>
              <w:bottom w:val="single" w:color="auto" w:sz="4" w:space="0"/>
              <w:right w:val="single" w:color="auto" w:sz="4" w:space="0"/>
            </w:tcBorders>
            <w:vAlign w:val="center"/>
          </w:tcPr>
          <w:p w14:paraId="3ED7C534">
            <w:pPr>
              <w:pStyle w:val="33"/>
              <w:rPr>
                <w:color w:val="auto"/>
              </w:rPr>
            </w:pPr>
            <w:r>
              <w:rPr>
                <w:rFonts w:hint="eastAsia"/>
                <w:color w:val="auto"/>
              </w:rPr>
              <w:t>-</w:t>
            </w:r>
          </w:p>
        </w:tc>
      </w:tr>
      <w:tr w14:paraId="5AFFEC69">
        <w:tblPrEx>
          <w:tblCellMar>
            <w:top w:w="0" w:type="dxa"/>
            <w:left w:w="108" w:type="dxa"/>
            <w:bottom w:w="0" w:type="dxa"/>
            <w:right w:w="108" w:type="dxa"/>
          </w:tblCellMar>
        </w:tblPrEx>
        <w:tc>
          <w:tcPr>
            <w:tcW w:w="9060" w:type="dxa"/>
            <w:gridSpan w:val="10"/>
            <w:tcBorders>
              <w:top w:val="single" w:color="auto" w:sz="4" w:space="0"/>
              <w:left w:val="single" w:color="auto" w:sz="4" w:space="0"/>
              <w:bottom w:val="single" w:color="auto" w:sz="4" w:space="0"/>
              <w:right w:val="single" w:color="auto" w:sz="4" w:space="0"/>
            </w:tcBorders>
            <w:vAlign w:val="center"/>
          </w:tcPr>
          <w:p w14:paraId="219E8FD0">
            <w:pPr>
              <w:pStyle w:val="33"/>
              <w:rPr>
                <w:color w:val="auto"/>
              </w:rPr>
            </w:pPr>
            <w:r>
              <w:rPr>
                <w:rFonts w:hint="eastAsia"/>
                <w:color w:val="auto"/>
              </w:rPr>
              <w:t>注：“-“表示可不开展土壤环境影响评价工作。</w:t>
            </w:r>
          </w:p>
        </w:tc>
      </w:tr>
    </w:tbl>
    <w:p w14:paraId="271D6DC9">
      <w:pPr>
        <w:pStyle w:val="5"/>
        <w:rPr>
          <w:rFonts w:cs="Times New Roman"/>
          <w:color w:val="auto"/>
        </w:rPr>
      </w:pPr>
      <w:r>
        <w:rPr>
          <w:rFonts w:cs="Times New Roman"/>
          <w:color w:val="auto"/>
        </w:rPr>
        <w:t>生态环境评价等级</w:t>
      </w:r>
    </w:p>
    <w:p w14:paraId="2F09723D">
      <w:pPr>
        <w:ind w:firstLine="480"/>
        <w:rPr>
          <w:rFonts w:cs="Times New Roman"/>
          <w:color w:val="auto"/>
        </w:rPr>
      </w:pPr>
      <w:r>
        <w:rPr>
          <w:rFonts w:hint="eastAsia" w:cs="Times New Roman"/>
          <w:color w:val="auto"/>
        </w:rPr>
        <w:t>拟建项目位于广西钦州林浆纸产业园范围内，《广西钦州林浆纸产业园发展规划（2024-2035年）》已通过专家审查，且项目工程范围内无特殊生态敏感区及重要生态敏感区，属于一般区域。依据《环境影响评价技术导则 生态影响》（HJ19-2022），位于已批准规划环评的产业园区内且符合规划环评要求、不涉及生态敏感区的污染影响类建设项目，可不确定评价等级，直接进行生态影响简单分析。因此，拟建项目做生态影响分析，生态环境影响分析的范围为工程拟用地及周边相邻区域。</w:t>
      </w:r>
    </w:p>
    <w:p w14:paraId="18706D2C">
      <w:pPr>
        <w:pStyle w:val="5"/>
        <w:rPr>
          <w:rFonts w:cs="Times New Roman"/>
          <w:color w:val="auto"/>
        </w:rPr>
      </w:pPr>
      <w:r>
        <w:rPr>
          <w:rFonts w:cs="Times New Roman"/>
          <w:color w:val="auto"/>
        </w:rPr>
        <w:t>环境风险评价等级</w:t>
      </w:r>
    </w:p>
    <w:p w14:paraId="2C18F0C0">
      <w:pPr>
        <w:ind w:firstLine="480"/>
        <w:rPr>
          <w:rFonts w:cs="Times New Roman"/>
          <w:color w:val="auto"/>
        </w:rPr>
      </w:pPr>
      <w:r>
        <w:rPr>
          <w:rFonts w:cs="Times New Roman"/>
          <w:color w:val="auto"/>
        </w:rPr>
        <w:t>根据《建设项目环境风险评价技术导则》（HJ169-2018）附录B及附录C，本项目Q值为</w:t>
      </w:r>
      <w:r>
        <w:rPr>
          <w:color w:val="auto"/>
        </w:rPr>
        <w:t>Q＜1</w:t>
      </w:r>
      <w:r>
        <w:rPr>
          <w:rFonts w:cs="Times New Roman"/>
          <w:color w:val="auto"/>
        </w:rPr>
        <w:t>。</w:t>
      </w:r>
      <w:r>
        <w:rPr>
          <w:color w:val="auto"/>
        </w:rPr>
        <w:t>项目环境风险潜势最高为</w:t>
      </w:r>
      <w:r>
        <w:rPr>
          <w:rFonts w:hint="eastAsia" w:ascii="宋体" w:hAnsi="宋体" w:cs="宋体"/>
          <w:color w:val="auto"/>
        </w:rPr>
        <w:t>Ⅰ</w:t>
      </w:r>
      <w:r>
        <w:rPr>
          <w:color w:val="auto"/>
        </w:rPr>
        <w:t>，则环境风险评价工作等级为简单分析。</w:t>
      </w:r>
    </w:p>
    <w:p w14:paraId="187A3CD0">
      <w:pPr>
        <w:pStyle w:val="5"/>
        <w:rPr>
          <w:rFonts w:cs="Times New Roman"/>
          <w:color w:val="auto"/>
        </w:rPr>
      </w:pPr>
      <w:r>
        <w:rPr>
          <w:rFonts w:cs="Times New Roman"/>
          <w:color w:val="auto"/>
        </w:rPr>
        <w:t>评价等级汇总</w:t>
      </w:r>
    </w:p>
    <w:p w14:paraId="247BC783">
      <w:pPr>
        <w:pStyle w:val="7"/>
        <w:rPr>
          <w:color w:val="auto"/>
        </w:rPr>
      </w:pPr>
      <w:r>
        <w:rPr>
          <w:color w:val="auto"/>
        </w:rPr>
        <w:t>项目评价工作等级划分</w:t>
      </w:r>
    </w:p>
    <w:tbl>
      <w:tblPr>
        <w:tblStyle w:val="26"/>
        <w:tblW w:w="92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8"/>
        <w:gridCol w:w="1174"/>
        <w:gridCol w:w="3383"/>
        <w:gridCol w:w="3624"/>
      </w:tblGrid>
      <w:tr w14:paraId="380B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 w:hRule="atLeast"/>
          <w:tblHeader/>
          <w:jc w:val="center"/>
        </w:trPr>
        <w:tc>
          <w:tcPr>
            <w:tcW w:w="1098" w:type="dxa"/>
            <w:vAlign w:val="center"/>
          </w:tcPr>
          <w:p w14:paraId="3BA1BF29">
            <w:pPr>
              <w:pStyle w:val="33"/>
              <w:rPr>
                <w:color w:val="auto"/>
              </w:rPr>
            </w:pPr>
            <w:r>
              <w:rPr>
                <w:color w:val="auto"/>
              </w:rPr>
              <w:t>评价内容</w:t>
            </w:r>
          </w:p>
        </w:tc>
        <w:tc>
          <w:tcPr>
            <w:tcW w:w="1174" w:type="dxa"/>
            <w:vAlign w:val="center"/>
          </w:tcPr>
          <w:p w14:paraId="472F682D">
            <w:pPr>
              <w:pStyle w:val="33"/>
              <w:rPr>
                <w:color w:val="auto"/>
              </w:rPr>
            </w:pPr>
            <w:r>
              <w:rPr>
                <w:color w:val="auto"/>
              </w:rPr>
              <w:t>工作等级</w:t>
            </w:r>
          </w:p>
        </w:tc>
        <w:tc>
          <w:tcPr>
            <w:tcW w:w="3383" w:type="dxa"/>
            <w:vAlign w:val="center"/>
          </w:tcPr>
          <w:p w14:paraId="00BC6FDA">
            <w:pPr>
              <w:pStyle w:val="33"/>
              <w:rPr>
                <w:color w:val="auto"/>
              </w:rPr>
            </w:pPr>
            <w:r>
              <w:rPr>
                <w:color w:val="auto"/>
              </w:rPr>
              <w:t>判定依据</w:t>
            </w:r>
          </w:p>
        </w:tc>
        <w:tc>
          <w:tcPr>
            <w:tcW w:w="3624" w:type="dxa"/>
            <w:vAlign w:val="center"/>
          </w:tcPr>
          <w:p w14:paraId="581BA814">
            <w:pPr>
              <w:pStyle w:val="33"/>
              <w:rPr>
                <w:color w:val="auto"/>
              </w:rPr>
            </w:pPr>
            <w:r>
              <w:rPr>
                <w:color w:val="auto"/>
              </w:rPr>
              <w:t>建设项目情况</w:t>
            </w:r>
          </w:p>
        </w:tc>
      </w:tr>
      <w:tr w14:paraId="3F543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1098" w:type="dxa"/>
            <w:vAlign w:val="center"/>
          </w:tcPr>
          <w:p w14:paraId="3DDE2261">
            <w:pPr>
              <w:pStyle w:val="33"/>
              <w:rPr>
                <w:color w:val="auto"/>
              </w:rPr>
            </w:pPr>
            <w:r>
              <w:rPr>
                <w:color w:val="auto"/>
              </w:rPr>
              <w:t>空气环境</w:t>
            </w:r>
          </w:p>
        </w:tc>
        <w:tc>
          <w:tcPr>
            <w:tcW w:w="1174" w:type="dxa"/>
            <w:vAlign w:val="center"/>
          </w:tcPr>
          <w:p w14:paraId="0DD9C639">
            <w:pPr>
              <w:pStyle w:val="33"/>
              <w:rPr>
                <w:color w:val="auto"/>
              </w:rPr>
            </w:pPr>
            <w:r>
              <w:rPr>
                <w:rFonts w:hint="eastAsia"/>
                <w:color w:val="auto"/>
              </w:rPr>
              <w:t>二</w:t>
            </w:r>
            <w:r>
              <w:rPr>
                <w:color w:val="auto"/>
              </w:rPr>
              <w:t>级</w:t>
            </w:r>
          </w:p>
        </w:tc>
        <w:tc>
          <w:tcPr>
            <w:tcW w:w="3383" w:type="dxa"/>
            <w:vAlign w:val="center"/>
          </w:tcPr>
          <w:p w14:paraId="76962A28">
            <w:pPr>
              <w:pStyle w:val="33"/>
              <w:jc w:val="left"/>
              <w:rPr>
                <w:color w:val="auto"/>
              </w:rPr>
            </w:pPr>
            <w:r>
              <w:rPr>
                <w:color w:val="auto"/>
              </w:rPr>
              <w:t>根据HJ2.2-2018，</w:t>
            </w:r>
            <w:r>
              <w:rPr>
                <w:rFonts w:hint="eastAsia"/>
                <w:color w:val="auto"/>
              </w:rPr>
              <w:t>1%≤</w:t>
            </w:r>
            <w:r>
              <w:rPr>
                <w:color w:val="auto"/>
              </w:rPr>
              <w:t>P</w:t>
            </w:r>
            <w:r>
              <w:rPr>
                <w:color w:val="auto"/>
                <w:vertAlign w:val="subscript"/>
              </w:rPr>
              <w:t>max</w:t>
            </w:r>
            <w:r>
              <w:rPr>
                <w:rFonts w:hint="eastAsia"/>
                <w:color w:val="auto"/>
              </w:rPr>
              <w:t>＜</w:t>
            </w:r>
            <w:r>
              <w:rPr>
                <w:color w:val="auto"/>
              </w:rPr>
              <w:t>10%，大气评价等级为</w:t>
            </w:r>
            <w:r>
              <w:rPr>
                <w:rFonts w:hint="eastAsia"/>
                <w:color w:val="auto"/>
              </w:rPr>
              <w:t>二</w:t>
            </w:r>
            <w:r>
              <w:rPr>
                <w:color w:val="auto"/>
              </w:rPr>
              <w:t>级。</w:t>
            </w:r>
          </w:p>
        </w:tc>
        <w:tc>
          <w:tcPr>
            <w:tcW w:w="3624" w:type="dxa"/>
            <w:vAlign w:val="center"/>
          </w:tcPr>
          <w:p w14:paraId="79DC3C3C">
            <w:pPr>
              <w:pStyle w:val="33"/>
              <w:jc w:val="left"/>
              <w:rPr>
                <w:color w:val="auto"/>
              </w:rPr>
            </w:pPr>
            <w:r>
              <w:rPr>
                <w:color w:val="auto"/>
              </w:rPr>
              <w:t>项目废气最大占标率</w:t>
            </w:r>
          </w:p>
          <w:p w14:paraId="10FFC5CE">
            <w:pPr>
              <w:pStyle w:val="33"/>
              <w:jc w:val="left"/>
              <w:rPr>
                <w:color w:val="auto"/>
              </w:rPr>
            </w:pPr>
            <w:r>
              <w:rPr>
                <w:rFonts w:hint="eastAsia"/>
                <w:color w:val="auto"/>
              </w:rPr>
              <w:t>1%≤</w:t>
            </w:r>
            <w:r>
              <w:rPr>
                <w:color w:val="auto"/>
              </w:rPr>
              <w:t>P</w:t>
            </w:r>
            <w:r>
              <w:rPr>
                <w:color w:val="auto"/>
                <w:vertAlign w:val="subscript"/>
              </w:rPr>
              <w:t>max</w:t>
            </w:r>
            <w:r>
              <w:rPr>
                <w:color w:val="auto"/>
              </w:rPr>
              <w:t>=</w:t>
            </w:r>
            <w:r>
              <w:rPr>
                <w:rFonts w:hint="eastAsia"/>
                <w:color w:val="auto"/>
              </w:rPr>
              <w:t>7.01</w:t>
            </w:r>
            <w:r>
              <w:rPr>
                <w:color w:val="auto"/>
              </w:rPr>
              <w:t>%</w:t>
            </w:r>
            <w:r>
              <w:rPr>
                <w:rFonts w:hint="eastAsia"/>
                <w:color w:val="auto"/>
              </w:rPr>
              <w:t>＜</w:t>
            </w:r>
            <w:r>
              <w:rPr>
                <w:color w:val="auto"/>
              </w:rPr>
              <w:t>10%</w:t>
            </w:r>
          </w:p>
        </w:tc>
      </w:tr>
      <w:tr w14:paraId="76C9F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98" w:type="dxa"/>
            <w:vAlign w:val="center"/>
          </w:tcPr>
          <w:p w14:paraId="1D67DCDF">
            <w:pPr>
              <w:pStyle w:val="33"/>
              <w:rPr>
                <w:color w:val="auto"/>
              </w:rPr>
            </w:pPr>
            <w:r>
              <w:rPr>
                <w:rFonts w:hint="eastAsia"/>
                <w:color w:val="auto"/>
              </w:rPr>
              <w:t>地表水</w:t>
            </w:r>
            <w:r>
              <w:rPr>
                <w:color w:val="auto"/>
              </w:rPr>
              <w:t>环境</w:t>
            </w:r>
          </w:p>
        </w:tc>
        <w:tc>
          <w:tcPr>
            <w:tcW w:w="1174" w:type="dxa"/>
            <w:vAlign w:val="center"/>
          </w:tcPr>
          <w:p w14:paraId="34910C23">
            <w:pPr>
              <w:pStyle w:val="33"/>
              <w:rPr>
                <w:color w:val="auto"/>
              </w:rPr>
            </w:pPr>
            <w:r>
              <w:rPr>
                <w:rFonts w:hint="eastAsia"/>
                <w:color w:val="auto"/>
              </w:rPr>
              <w:t>三级B</w:t>
            </w:r>
          </w:p>
        </w:tc>
        <w:tc>
          <w:tcPr>
            <w:tcW w:w="3383" w:type="dxa"/>
            <w:vAlign w:val="center"/>
          </w:tcPr>
          <w:p w14:paraId="3B8B6C3D">
            <w:pPr>
              <w:pStyle w:val="33"/>
              <w:jc w:val="left"/>
              <w:rPr>
                <w:color w:val="auto"/>
              </w:rPr>
            </w:pPr>
            <w:r>
              <w:rPr>
                <w:color w:val="auto"/>
              </w:rPr>
              <w:t>根据《环境影响评价技术导则</w:t>
            </w:r>
            <w:r>
              <w:rPr>
                <w:rFonts w:hint="eastAsia"/>
                <w:color w:val="auto"/>
              </w:rPr>
              <w:t xml:space="preserve"> </w:t>
            </w:r>
            <w:r>
              <w:rPr>
                <w:color w:val="auto"/>
              </w:rPr>
              <w:t>地表水环境》（HJ2.3-2018），</w:t>
            </w:r>
            <w:r>
              <w:rPr>
                <w:rFonts w:hint="eastAsia"/>
                <w:color w:val="auto"/>
              </w:rPr>
              <w:t>评价等级为三级B。</w:t>
            </w:r>
          </w:p>
        </w:tc>
        <w:tc>
          <w:tcPr>
            <w:tcW w:w="3624" w:type="dxa"/>
            <w:vAlign w:val="center"/>
          </w:tcPr>
          <w:p w14:paraId="6EC42B9C">
            <w:pPr>
              <w:pStyle w:val="33"/>
              <w:jc w:val="left"/>
              <w:rPr>
                <w:color w:val="auto"/>
              </w:rPr>
            </w:pPr>
            <w:r>
              <w:rPr>
                <w:rFonts w:hint="eastAsia"/>
                <w:color w:val="auto"/>
              </w:rPr>
              <w:t>本项目依托现有排放口，且对外环境未新增生产废水外排，评价等级参照间接排放。</w:t>
            </w:r>
          </w:p>
        </w:tc>
      </w:tr>
      <w:tr w14:paraId="4F1A9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jc w:val="center"/>
        </w:trPr>
        <w:tc>
          <w:tcPr>
            <w:tcW w:w="1098" w:type="dxa"/>
            <w:vAlign w:val="center"/>
          </w:tcPr>
          <w:p w14:paraId="3DE8AC04">
            <w:pPr>
              <w:pStyle w:val="33"/>
              <w:rPr>
                <w:color w:val="auto"/>
              </w:rPr>
            </w:pPr>
            <w:r>
              <w:rPr>
                <w:color w:val="auto"/>
              </w:rPr>
              <w:t>地下水环境</w:t>
            </w:r>
          </w:p>
        </w:tc>
        <w:tc>
          <w:tcPr>
            <w:tcW w:w="1174" w:type="dxa"/>
            <w:vAlign w:val="center"/>
          </w:tcPr>
          <w:p w14:paraId="221BF67D">
            <w:pPr>
              <w:pStyle w:val="33"/>
              <w:rPr>
                <w:color w:val="auto"/>
              </w:rPr>
            </w:pPr>
            <w:r>
              <w:rPr>
                <w:rFonts w:hint="eastAsia"/>
                <w:color w:val="auto"/>
              </w:rPr>
              <w:t>二级</w:t>
            </w:r>
          </w:p>
        </w:tc>
        <w:tc>
          <w:tcPr>
            <w:tcW w:w="3383" w:type="dxa"/>
            <w:vAlign w:val="center"/>
          </w:tcPr>
          <w:p w14:paraId="25CBD581">
            <w:pPr>
              <w:pStyle w:val="33"/>
              <w:jc w:val="left"/>
              <w:rPr>
                <w:color w:val="auto"/>
              </w:rPr>
            </w:pPr>
            <w:r>
              <w:rPr>
                <w:color w:val="auto"/>
              </w:rPr>
              <w:t>根据《环境影响评价技术导则 地下水环境》（HJ610-2016），建设项目类别为Ⅱ类，项目地下水</w:t>
            </w:r>
            <w:r>
              <w:rPr>
                <w:rFonts w:hint="eastAsia"/>
                <w:color w:val="auto"/>
              </w:rPr>
              <w:t>较敏感</w:t>
            </w:r>
            <w:r>
              <w:rPr>
                <w:color w:val="auto"/>
              </w:rPr>
              <w:t>。</w:t>
            </w:r>
          </w:p>
        </w:tc>
        <w:tc>
          <w:tcPr>
            <w:tcW w:w="3624" w:type="dxa"/>
            <w:vAlign w:val="center"/>
          </w:tcPr>
          <w:p w14:paraId="17CA8344">
            <w:pPr>
              <w:pStyle w:val="33"/>
              <w:jc w:val="left"/>
              <w:rPr>
                <w:color w:val="auto"/>
              </w:rPr>
            </w:pPr>
            <w:r>
              <w:rPr>
                <w:color w:val="auto"/>
              </w:rPr>
              <w:t>本项目行业类别为II类，</w:t>
            </w:r>
            <w:r>
              <w:rPr>
                <w:rFonts w:hint="eastAsia"/>
                <w:color w:val="auto"/>
              </w:rPr>
              <w:t>集中式供水水源地准保护区</w:t>
            </w:r>
            <w:r>
              <w:rPr>
                <w:color w:val="auto"/>
              </w:rPr>
              <w:t>，无热水、矿泉水、温泉等特殊地下水资源保护区，</w:t>
            </w:r>
            <w:r>
              <w:rPr>
                <w:rFonts w:hint="eastAsia"/>
                <w:color w:val="auto"/>
              </w:rPr>
              <w:t>也不在集中式供水水源地准保护区外的补给径流区。评价区大多数民井用于灌溉，少数民井还在引用，因此</w:t>
            </w:r>
            <w:r>
              <w:rPr>
                <w:color w:val="auto"/>
              </w:rPr>
              <w:t>地下水环境敏感特征为“</w:t>
            </w:r>
            <w:r>
              <w:rPr>
                <w:rFonts w:hint="eastAsia"/>
                <w:color w:val="auto"/>
              </w:rPr>
              <w:t>较</w:t>
            </w:r>
            <w:r>
              <w:rPr>
                <w:color w:val="auto"/>
              </w:rPr>
              <w:t>敏感”。</w:t>
            </w:r>
          </w:p>
        </w:tc>
      </w:tr>
      <w:tr w14:paraId="5C6CB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1098" w:type="dxa"/>
            <w:vAlign w:val="center"/>
          </w:tcPr>
          <w:p w14:paraId="499A9B5A">
            <w:pPr>
              <w:pStyle w:val="33"/>
              <w:rPr>
                <w:color w:val="auto"/>
              </w:rPr>
            </w:pPr>
            <w:r>
              <w:rPr>
                <w:color w:val="auto"/>
              </w:rPr>
              <w:t>声环境</w:t>
            </w:r>
          </w:p>
        </w:tc>
        <w:tc>
          <w:tcPr>
            <w:tcW w:w="1174" w:type="dxa"/>
            <w:vAlign w:val="center"/>
          </w:tcPr>
          <w:p w14:paraId="4B46A875">
            <w:pPr>
              <w:pStyle w:val="33"/>
              <w:rPr>
                <w:color w:val="auto"/>
              </w:rPr>
            </w:pPr>
            <w:r>
              <w:rPr>
                <w:color w:val="auto"/>
              </w:rPr>
              <w:t>三级</w:t>
            </w:r>
          </w:p>
        </w:tc>
        <w:tc>
          <w:tcPr>
            <w:tcW w:w="3383" w:type="dxa"/>
            <w:vAlign w:val="center"/>
          </w:tcPr>
          <w:p w14:paraId="70B96565">
            <w:pPr>
              <w:pStyle w:val="33"/>
              <w:jc w:val="left"/>
              <w:rPr>
                <w:color w:val="auto"/>
              </w:rPr>
            </w:pPr>
            <w:r>
              <w:rPr>
                <w:color w:val="auto"/>
              </w:rPr>
              <w:t>《环境影响评价技术导则（声环境）》（HJ2.4-2021），项目用地范围为3类区。</w:t>
            </w:r>
          </w:p>
        </w:tc>
        <w:tc>
          <w:tcPr>
            <w:tcW w:w="3624" w:type="dxa"/>
            <w:vAlign w:val="center"/>
          </w:tcPr>
          <w:p w14:paraId="1373CC2E">
            <w:pPr>
              <w:pStyle w:val="33"/>
              <w:jc w:val="left"/>
              <w:rPr>
                <w:color w:val="auto"/>
              </w:rPr>
            </w:pPr>
            <w:r>
              <w:rPr>
                <w:color w:val="auto"/>
              </w:rPr>
              <w:t>工程建设前后评价范围内敏感点噪声等价增高量达3dB（A）以下，受影响人口数量变化不大。</w:t>
            </w:r>
          </w:p>
        </w:tc>
      </w:tr>
      <w:tr w14:paraId="3AEC7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1098" w:type="dxa"/>
            <w:vAlign w:val="center"/>
          </w:tcPr>
          <w:p w14:paraId="51BC61F0">
            <w:pPr>
              <w:pStyle w:val="33"/>
              <w:rPr>
                <w:color w:val="auto"/>
              </w:rPr>
            </w:pPr>
            <w:r>
              <w:rPr>
                <w:color w:val="auto"/>
              </w:rPr>
              <w:t>土壤</w:t>
            </w:r>
            <w:r>
              <w:rPr>
                <w:rFonts w:hint="eastAsia"/>
                <w:color w:val="auto"/>
              </w:rPr>
              <w:t>环境</w:t>
            </w:r>
          </w:p>
        </w:tc>
        <w:tc>
          <w:tcPr>
            <w:tcW w:w="1174" w:type="dxa"/>
            <w:vAlign w:val="center"/>
          </w:tcPr>
          <w:p w14:paraId="43060230">
            <w:pPr>
              <w:pStyle w:val="33"/>
              <w:rPr>
                <w:color w:val="auto"/>
              </w:rPr>
            </w:pPr>
            <w:r>
              <w:rPr>
                <w:color w:val="auto"/>
              </w:rPr>
              <w:t>二级</w:t>
            </w:r>
          </w:p>
        </w:tc>
        <w:tc>
          <w:tcPr>
            <w:tcW w:w="3383" w:type="dxa"/>
            <w:vAlign w:val="center"/>
          </w:tcPr>
          <w:p w14:paraId="588EC8A6">
            <w:pPr>
              <w:pStyle w:val="33"/>
              <w:jc w:val="left"/>
              <w:rPr>
                <w:color w:val="auto"/>
              </w:rPr>
            </w:pPr>
            <w:r>
              <w:rPr>
                <w:color w:val="auto"/>
              </w:rPr>
              <w:t>根据HJ964-2018，建设项目Ⅱ类，占地规模</w:t>
            </w:r>
            <w:r>
              <w:rPr>
                <w:rFonts w:hint="eastAsia"/>
                <w:color w:val="auto"/>
              </w:rPr>
              <w:t>中型</w:t>
            </w:r>
            <w:r>
              <w:rPr>
                <w:color w:val="auto"/>
              </w:rPr>
              <w:t>，敏感程度为敏感，判定为二级评价。</w:t>
            </w:r>
          </w:p>
        </w:tc>
        <w:tc>
          <w:tcPr>
            <w:tcW w:w="3624" w:type="dxa"/>
            <w:vAlign w:val="center"/>
          </w:tcPr>
          <w:p w14:paraId="78B460A4">
            <w:pPr>
              <w:pStyle w:val="33"/>
              <w:jc w:val="left"/>
              <w:rPr>
                <w:color w:val="auto"/>
              </w:rPr>
            </w:pPr>
            <w:r>
              <w:rPr>
                <w:color w:val="auto"/>
              </w:rPr>
              <w:t>项目属于Ⅱ类项目，</w:t>
            </w:r>
            <w:r>
              <w:rPr>
                <w:rFonts w:hint="eastAsia"/>
                <w:color w:val="auto"/>
              </w:rPr>
              <w:t>项目北侧存在农田，敏感程度为敏感</w:t>
            </w:r>
            <w:r>
              <w:rPr>
                <w:color w:val="auto"/>
              </w:rPr>
              <w:t>；本项目占地面积为</w:t>
            </w:r>
            <w:r>
              <w:rPr>
                <w:rFonts w:hint="eastAsia"/>
                <w:color w:val="auto"/>
              </w:rPr>
              <w:t>33.24</w:t>
            </w:r>
            <w:r>
              <w:rPr>
                <w:color w:val="auto"/>
              </w:rPr>
              <w:t>hm</w:t>
            </w:r>
            <w:r>
              <w:rPr>
                <w:color w:val="auto"/>
                <w:vertAlign w:val="superscript"/>
              </w:rPr>
              <w:t>2</w:t>
            </w:r>
            <w:r>
              <w:rPr>
                <w:rFonts w:hint="eastAsia"/>
                <w:color w:val="auto"/>
              </w:rPr>
              <w:t>，占地规模为中型</w:t>
            </w:r>
            <w:r>
              <w:rPr>
                <w:color w:val="auto"/>
              </w:rPr>
              <w:t>。</w:t>
            </w:r>
          </w:p>
        </w:tc>
      </w:tr>
      <w:tr w14:paraId="6E0D3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098" w:type="dxa"/>
            <w:vAlign w:val="center"/>
          </w:tcPr>
          <w:p w14:paraId="1D05A743">
            <w:pPr>
              <w:pStyle w:val="33"/>
              <w:rPr>
                <w:color w:val="auto"/>
              </w:rPr>
            </w:pPr>
            <w:r>
              <w:rPr>
                <w:color w:val="auto"/>
              </w:rPr>
              <w:t>生态环境</w:t>
            </w:r>
          </w:p>
        </w:tc>
        <w:tc>
          <w:tcPr>
            <w:tcW w:w="1174" w:type="dxa"/>
            <w:vAlign w:val="center"/>
          </w:tcPr>
          <w:p w14:paraId="7CEE8A01">
            <w:pPr>
              <w:pStyle w:val="33"/>
              <w:rPr>
                <w:color w:val="auto"/>
              </w:rPr>
            </w:pPr>
            <w:r>
              <w:rPr>
                <w:color w:val="auto"/>
              </w:rPr>
              <w:t>简单分析</w:t>
            </w:r>
          </w:p>
        </w:tc>
        <w:tc>
          <w:tcPr>
            <w:tcW w:w="3383" w:type="dxa"/>
            <w:vAlign w:val="center"/>
          </w:tcPr>
          <w:p w14:paraId="6631524E">
            <w:pPr>
              <w:pStyle w:val="33"/>
              <w:jc w:val="left"/>
              <w:rPr>
                <w:color w:val="auto"/>
              </w:rPr>
            </w:pPr>
            <w:r>
              <w:rPr>
                <w:rFonts w:hint="eastAsia" w:cs="Times New Roman"/>
                <w:color w:val="auto"/>
                <w:szCs w:val="21"/>
              </w:rPr>
              <w:t>根据《环境影响评价技术导则 生态影响》（HJ19-2022），位于已批准规划环评的产业园区内且符合规划环评要求、不涉及生态敏感区的污染影响类建设项目，可不确定评价等级，直接进行生态影响简单分析。</w:t>
            </w:r>
          </w:p>
        </w:tc>
        <w:tc>
          <w:tcPr>
            <w:tcW w:w="3624" w:type="dxa"/>
            <w:vAlign w:val="center"/>
          </w:tcPr>
          <w:p w14:paraId="0D2F639D">
            <w:pPr>
              <w:pStyle w:val="33"/>
              <w:jc w:val="left"/>
              <w:rPr>
                <w:color w:val="auto"/>
              </w:rPr>
            </w:pPr>
            <w:r>
              <w:rPr>
                <w:rFonts w:hint="eastAsia"/>
                <w:color w:val="auto"/>
              </w:rPr>
              <w:t>项目位于广西钦州林浆纸产业园范围内，《广西钦州林浆纸产业园发展规划（2024-2035年）》已通过专家审查，且项目工程范围内无特殊生态敏感区及重要生态敏感区，属一般区域。</w:t>
            </w:r>
          </w:p>
        </w:tc>
      </w:tr>
      <w:tr w14:paraId="0F36C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2" w:hRule="atLeast"/>
          <w:jc w:val="center"/>
        </w:trPr>
        <w:tc>
          <w:tcPr>
            <w:tcW w:w="1098" w:type="dxa"/>
            <w:vAlign w:val="center"/>
          </w:tcPr>
          <w:p w14:paraId="0C5F12B0">
            <w:pPr>
              <w:pStyle w:val="33"/>
              <w:rPr>
                <w:color w:val="auto"/>
              </w:rPr>
            </w:pPr>
            <w:r>
              <w:rPr>
                <w:color w:val="auto"/>
              </w:rPr>
              <w:t>环境风险</w:t>
            </w:r>
          </w:p>
        </w:tc>
        <w:tc>
          <w:tcPr>
            <w:tcW w:w="1174" w:type="dxa"/>
            <w:vAlign w:val="center"/>
          </w:tcPr>
          <w:p w14:paraId="365C9253">
            <w:pPr>
              <w:pStyle w:val="33"/>
              <w:rPr>
                <w:color w:val="auto"/>
              </w:rPr>
            </w:pPr>
            <w:r>
              <w:rPr>
                <w:color w:val="auto"/>
              </w:rPr>
              <w:t>简单分析</w:t>
            </w:r>
          </w:p>
        </w:tc>
        <w:tc>
          <w:tcPr>
            <w:tcW w:w="3383" w:type="dxa"/>
            <w:vAlign w:val="center"/>
          </w:tcPr>
          <w:p w14:paraId="18665053">
            <w:pPr>
              <w:pStyle w:val="33"/>
              <w:jc w:val="left"/>
              <w:rPr>
                <w:color w:val="auto"/>
              </w:rPr>
            </w:pPr>
            <w:r>
              <w:rPr>
                <w:color w:val="auto"/>
              </w:rPr>
              <w:t>项目环境风险潜势最高为</w:t>
            </w:r>
            <w:r>
              <w:rPr>
                <w:rFonts w:hint="eastAsia" w:ascii="宋体" w:hAnsi="宋体" w:cs="宋体"/>
                <w:color w:val="auto"/>
              </w:rPr>
              <w:t>Ⅰ，</w:t>
            </w:r>
            <w:r>
              <w:rPr>
                <w:color w:val="auto"/>
              </w:rPr>
              <w:t>环境风险评价工作等级为简单分析。</w:t>
            </w:r>
          </w:p>
        </w:tc>
        <w:tc>
          <w:tcPr>
            <w:tcW w:w="3624" w:type="dxa"/>
            <w:vAlign w:val="center"/>
          </w:tcPr>
          <w:p w14:paraId="28242F49">
            <w:pPr>
              <w:pStyle w:val="33"/>
              <w:jc w:val="left"/>
              <w:rPr>
                <w:color w:val="auto"/>
              </w:rPr>
            </w:pPr>
            <w:r>
              <w:rPr>
                <w:rFonts w:cs="Times New Roman"/>
                <w:color w:val="auto"/>
              </w:rPr>
              <w:t>Q值为</w:t>
            </w:r>
            <w:r>
              <w:rPr>
                <w:color w:val="auto"/>
              </w:rPr>
              <w:t>Q＜1</w:t>
            </w:r>
            <w:r>
              <w:rPr>
                <w:rFonts w:hint="eastAsia"/>
                <w:color w:val="auto"/>
              </w:rPr>
              <w:t>，</w:t>
            </w:r>
            <w:r>
              <w:rPr>
                <w:rFonts w:cs="Times New Roman"/>
                <w:color w:val="auto"/>
              </w:rPr>
              <w:t>环境风险潜势为</w:t>
            </w:r>
            <w:r>
              <w:rPr>
                <w:rFonts w:hint="eastAsia" w:ascii="宋体" w:hAnsi="宋体" w:cs="宋体"/>
                <w:color w:val="auto"/>
              </w:rPr>
              <w:t>Ⅰ。</w:t>
            </w:r>
          </w:p>
        </w:tc>
      </w:tr>
    </w:tbl>
    <w:p w14:paraId="4289F5A0">
      <w:pPr>
        <w:pStyle w:val="4"/>
        <w:rPr>
          <w:rFonts w:cs="Times New Roman"/>
          <w:color w:val="auto"/>
        </w:rPr>
      </w:pPr>
      <w:bookmarkStart w:id="116" w:name="_Toc199168884"/>
      <w:bookmarkStart w:id="117" w:name="_Toc198390529"/>
      <w:bookmarkStart w:id="118" w:name="_Toc198391182"/>
      <w:bookmarkStart w:id="119" w:name="_Toc225216662"/>
      <w:bookmarkStart w:id="120" w:name="_Toc199190421"/>
      <w:r>
        <w:rPr>
          <w:rFonts w:cs="Times New Roman"/>
          <w:color w:val="auto"/>
        </w:rPr>
        <w:t>评价范围</w:t>
      </w:r>
      <w:bookmarkEnd w:id="116"/>
      <w:bookmarkEnd w:id="117"/>
      <w:bookmarkEnd w:id="118"/>
      <w:bookmarkEnd w:id="119"/>
      <w:bookmarkEnd w:id="120"/>
    </w:p>
    <w:p w14:paraId="41A0D9FC">
      <w:pPr>
        <w:pStyle w:val="5"/>
        <w:numPr>
          <w:ilvl w:val="0"/>
          <w:numId w:val="0"/>
        </w:numPr>
        <w:rPr>
          <w:rFonts w:cs="Times New Roman"/>
          <w:color w:val="auto"/>
        </w:rPr>
      </w:pPr>
      <w:r>
        <w:rPr>
          <w:rFonts w:cs="Times New Roman"/>
          <w:color w:val="auto"/>
        </w:rPr>
        <w:t>1.4.2.1</w:t>
      </w:r>
      <w:r>
        <w:rPr>
          <w:rFonts w:cs="Times New Roman"/>
          <w:color w:val="auto"/>
        </w:rPr>
        <w:tab/>
      </w:r>
      <w:r>
        <w:rPr>
          <w:rFonts w:cs="Times New Roman"/>
          <w:color w:val="auto"/>
        </w:rPr>
        <w:t>大气环境评价范围</w:t>
      </w:r>
    </w:p>
    <w:p w14:paraId="52D770BD">
      <w:pPr>
        <w:ind w:firstLine="480"/>
        <w:rPr>
          <w:rFonts w:cs="Times New Roman"/>
          <w:color w:val="auto"/>
        </w:rPr>
      </w:pPr>
      <w:r>
        <w:rPr>
          <w:rFonts w:cs="Times New Roman"/>
          <w:color w:val="auto"/>
        </w:rPr>
        <w:t>根据导则要求，</w:t>
      </w:r>
      <w:r>
        <w:rPr>
          <w:rFonts w:hint="eastAsia" w:cs="Times New Roman"/>
          <w:color w:val="auto"/>
        </w:rPr>
        <w:t>二</w:t>
      </w:r>
      <w:r>
        <w:rPr>
          <w:rFonts w:cs="Times New Roman"/>
          <w:color w:val="auto"/>
        </w:rPr>
        <w:t>级评价项目即以项目厂址为中心区域，</w:t>
      </w:r>
      <w:r>
        <w:rPr>
          <w:rFonts w:hint="eastAsia" w:cs="Times New Roman"/>
          <w:color w:val="auto"/>
        </w:rPr>
        <w:t>边长为5km的矩形区域</w:t>
      </w:r>
      <w:r>
        <w:rPr>
          <w:rFonts w:cs="Times New Roman"/>
          <w:color w:val="auto"/>
        </w:rPr>
        <w:t>。</w:t>
      </w:r>
    </w:p>
    <w:p w14:paraId="2E0CD47C">
      <w:pPr>
        <w:pStyle w:val="5"/>
        <w:rPr>
          <w:rFonts w:cs="Times New Roman"/>
          <w:color w:val="auto"/>
        </w:rPr>
      </w:pPr>
      <w:r>
        <w:rPr>
          <w:rFonts w:cs="Times New Roman"/>
          <w:color w:val="auto"/>
        </w:rPr>
        <w:t>地表水环境评价范围</w:t>
      </w:r>
    </w:p>
    <w:p w14:paraId="3D405A03">
      <w:pPr>
        <w:ind w:firstLine="480"/>
        <w:rPr>
          <w:rFonts w:cs="Times New Roman"/>
          <w:color w:val="auto"/>
        </w:rPr>
      </w:pPr>
      <w:r>
        <w:rPr>
          <w:rFonts w:hint="eastAsia" w:cs="Times New Roman"/>
          <w:color w:val="auto"/>
        </w:rPr>
        <w:t>根据《环境影响评价技术导则 地表水环境》（HJ2.3-2018）要求，本项目无新增生产废水排放，不设置地表水环境评价范围</w:t>
      </w:r>
      <w:r>
        <w:rPr>
          <w:rFonts w:cs="Times New Roman"/>
          <w:color w:val="auto"/>
        </w:rPr>
        <w:t>。</w:t>
      </w:r>
    </w:p>
    <w:p w14:paraId="68C9EB12">
      <w:pPr>
        <w:pStyle w:val="5"/>
        <w:rPr>
          <w:rFonts w:cs="Times New Roman"/>
          <w:color w:val="auto"/>
        </w:rPr>
      </w:pPr>
      <w:r>
        <w:rPr>
          <w:rFonts w:cs="Times New Roman"/>
          <w:color w:val="auto"/>
        </w:rPr>
        <w:t>地下水环境评价范围</w:t>
      </w:r>
    </w:p>
    <w:p w14:paraId="254C0468">
      <w:pPr>
        <w:ind w:firstLine="480"/>
        <w:rPr>
          <w:rFonts w:cs="Times New Roman"/>
          <w:color w:val="auto"/>
        </w:rPr>
      </w:pPr>
      <w:r>
        <w:rPr>
          <w:rFonts w:cs="Times New Roman"/>
          <w:color w:val="auto"/>
        </w:rPr>
        <w:t>本项目地下水评价范围</w:t>
      </w:r>
      <w:r>
        <w:rPr>
          <w:rFonts w:hint="eastAsia" w:cs="Times New Roman"/>
          <w:color w:val="auto"/>
        </w:rPr>
        <w:t>采用自定义法，根据场地所在的水文地质单元确定评价范围，北侧、东侧、西侧以分水岭为边界，南侧以边界侏罗系地层与填海区地层分界线和地表溪流为界，评价面积约7km</w:t>
      </w:r>
      <w:r>
        <w:rPr>
          <w:rFonts w:hint="eastAsia" w:cs="Times New Roman"/>
          <w:color w:val="auto"/>
          <w:vertAlign w:val="superscript"/>
        </w:rPr>
        <w:t>2</w:t>
      </w:r>
      <w:r>
        <w:rPr>
          <w:rFonts w:hint="eastAsia" w:cs="Times New Roman"/>
          <w:color w:val="auto"/>
        </w:rPr>
        <w:t>。</w:t>
      </w:r>
    </w:p>
    <w:p w14:paraId="7051CEB6">
      <w:pPr>
        <w:pStyle w:val="5"/>
        <w:rPr>
          <w:rFonts w:cs="Times New Roman"/>
          <w:color w:val="auto"/>
        </w:rPr>
      </w:pPr>
      <w:r>
        <w:rPr>
          <w:rFonts w:cs="Times New Roman"/>
          <w:color w:val="auto"/>
        </w:rPr>
        <w:t>声环境评价范围</w:t>
      </w:r>
    </w:p>
    <w:p w14:paraId="0D742085">
      <w:pPr>
        <w:ind w:firstLine="480"/>
        <w:rPr>
          <w:rFonts w:cs="Times New Roman"/>
          <w:color w:val="auto"/>
        </w:rPr>
      </w:pPr>
      <w:r>
        <w:rPr>
          <w:rFonts w:hint="eastAsia" w:cs="Times New Roman"/>
          <w:color w:val="auto"/>
        </w:rPr>
        <w:t>广西金桂浆纸业有限公司厂界</w:t>
      </w:r>
      <w:r>
        <w:rPr>
          <w:rFonts w:cs="Times New Roman"/>
          <w:color w:val="auto"/>
        </w:rPr>
        <w:t>向外200m范围内。</w:t>
      </w:r>
    </w:p>
    <w:p w14:paraId="3B10404B">
      <w:pPr>
        <w:pStyle w:val="5"/>
        <w:rPr>
          <w:rFonts w:cs="Times New Roman"/>
          <w:color w:val="auto"/>
        </w:rPr>
      </w:pPr>
      <w:r>
        <w:rPr>
          <w:rFonts w:cs="Times New Roman"/>
          <w:color w:val="auto"/>
        </w:rPr>
        <w:t>土壤环境评价范围</w:t>
      </w:r>
    </w:p>
    <w:p w14:paraId="797F5D00">
      <w:pPr>
        <w:ind w:firstLine="480"/>
        <w:rPr>
          <w:rFonts w:cs="Times New Roman"/>
          <w:color w:val="auto"/>
        </w:rPr>
      </w:pPr>
      <w:r>
        <w:rPr>
          <w:rFonts w:cs="Times New Roman"/>
          <w:color w:val="auto"/>
        </w:rPr>
        <w:t>项目边界外200m范围的区域。</w:t>
      </w:r>
    </w:p>
    <w:p w14:paraId="261FCE73">
      <w:pPr>
        <w:pStyle w:val="5"/>
        <w:rPr>
          <w:rFonts w:cs="Times New Roman"/>
          <w:color w:val="auto"/>
        </w:rPr>
      </w:pPr>
      <w:r>
        <w:rPr>
          <w:rFonts w:cs="Times New Roman"/>
          <w:color w:val="auto"/>
        </w:rPr>
        <w:t>生态环境评价范围</w:t>
      </w:r>
    </w:p>
    <w:p w14:paraId="2D3FD896">
      <w:pPr>
        <w:ind w:firstLine="480"/>
        <w:rPr>
          <w:rFonts w:cs="Times New Roman"/>
          <w:color w:val="auto"/>
        </w:rPr>
      </w:pPr>
      <w:r>
        <w:rPr>
          <w:rFonts w:hint="eastAsia" w:cs="Times New Roman"/>
          <w:color w:val="auto"/>
        </w:rPr>
        <w:t>全厂厂界范围内。</w:t>
      </w:r>
    </w:p>
    <w:p w14:paraId="0564BEEC">
      <w:pPr>
        <w:ind w:firstLine="480"/>
        <w:rPr>
          <w:rFonts w:cs="Times New Roman"/>
          <w:color w:val="auto"/>
        </w:rPr>
      </w:pPr>
      <w:r>
        <w:rPr>
          <w:rFonts w:hint="eastAsia" w:cs="Times New Roman"/>
          <w:color w:val="auto"/>
        </w:rPr>
        <w:t>本次各环境要素的评价范围见下表。</w:t>
      </w:r>
    </w:p>
    <w:p w14:paraId="04FD21B4">
      <w:pPr>
        <w:pStyle w:val="7"/>
        <w:rPr>
          <w:color w:val="auto"/>
        </w:rPr>
      </w:pPr>
      <w:r>
        <w:rPr>
          <w:rFonts w:hint="eastAsia"/>
          <w:color w:val="auto"/>
        </w:rPr>
        <w:t>各环境要素评价范围</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417"/>
        <w:gridCol w:w="6655"/>
      </w:tblGrid>
      <w:tr w14:paraId="3903A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7E02B22E">
            <w:pPr>
              <w:pStyle w:val="33"/>
              <w:rPr>
                <w:color w:val="auto"/>
              </w:rPr>
            </w:pPr>
            <w:r>
              <w:rPr>
                <w:rFonts w:hint="eastAsia"/>
                <w:color w:val="auto"/>
              </w:rPr>
              <w:t>编号</w:t>
            </w:r>
          </w:p>
        </w:tc>
        <w:tc>
          <w:tcPr>
            <w:tcW w:w="1417" w:type="dxa"/>
          </w:tcPr>
          <w:p w14:paraId="487A8CF7">
            <w:pPr>
              <w:pStyle w:val="33"/>
              <w:rPr>
                <w:color w:val="auto"/>
              </w:rPr>
            </w:pPr>
            <w:r>
              <w:rPr>
                <w:rFonts w:hint="eastAsia"/>
                <w:color w:val="auto"/>
              </w:rPr>
              <w:t>项目</w:t>
            </w:r>
          </w:p>
        </w:tc>
        <w:tc>
          <w:tcPr>
            <w:tcW w:w="6655" w:type="dxa"/>
          </w:tcPr>
          <w:p w14:paraId="207EBC1F">
            <w:pPr>
              <w:pStyle w:val="33"/>
              <w:rPr>
                <w:color w:val="auto"/>
              </w:rPr>
            </w:pPr>
            <w:r>
              <w:rPr>
                <w:rFonts w:hint="eastAsia"/>
                <w:color w:val="auto"/>
              </w:rPr>
              <w:t>评价范围</w:t>
            </w:r>
          </w:p>
        </w:tc>
      </w:tr>
      <w:tr w14:paraId="53C5D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5B9D1ACA">
            <w:pPr>
              <w:pStyle w:val="33"/>
              <w:rPr>
                <w:color w:val="auto"/>
              </w:rPr>
            </w:pPr>
            <w:r>
              <w:rPr>
                <w:rFonts w:hint="eastAsia"/>
                <w:color w:val="auto"/>
              </w:rPr>
              <w:t>1</w:t>
            </w:r>
          </w:p>
        </w:tc>
        <w:tc>
          <w:tcPr>
            <w:tcW w:w="1417" w:type="dxa"/>
          </w:tcPr>
          <w:p w14:paraId="35199259">
            <w:pPr>
              <w:pStyle w:val="33"/>
              <w:rPr>
                <w:color w:val="auto"/>
              </w:rPr>
            </w:pPr>
            <w:r>
              <w:rPr>
                <w:rFonts w:hint="eastAsia"/>
                <w:color w:val="auto"/>
              </w:rPr>
              <w:t>大气环境</w:t>
            </w:r>
          </w:p>
        </w:tc>
        <w:tc>
          <w:tcPr>
            <w:tcW w:w="6655" w:type="dxa"/>
          </w:tcPr>
          <w:p w14:paraId="31102771">
            <w:pPr>
              <w:pStyle w:val="33"/>
              <w:rPr>
                <w:color w:val="auto"/>
              </w:rPr>
            </w:pPr>
            <w:r>
              <w:rPr>
                <w:rFonts w:hint="eastAsia"/>
                <w:color w:val="auto"/>
              </w:rPr>
              <w:t>以厂址为中心区域，东西5.0km×南北5.0km的矩形区域。</w:t>
            </w:r>
          </w:p>
        </w:tc>
      </w:tr>
      <w:tr w14:paraId="3624C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68954CC1">
            <w:pPr>
              <w:pStyle w:val="33"/>
              <w:rPr>
                <w:color w:val="auto"/>
              </w:rPr>
            </w:pPr>
            <w:r>
              <w:rPr>
                <w:rFonts w:hint="eastAsia"/>
                <w:color w:val="auto"/>
              </w:rPr>
              <w:t>2</w:t>
            </w:r>
          </w:p>
        </w:tc>
        <w:tc>
          <w:tcPr>
            <w:tcW w:w="1417" w:type="dxa"/>
          </w:tcPr>
          <w:p w14:paraId="42AE6BC5">
            <w:pPr>
              <w:pStyle w:val="33"/>
              <w:rPr>
                <w:color w:val="auto"/>
              </w:rPr>
            </w:pPr>
            <w:r>
              <w:rPr>
                <w:rFonts w:hint="eastAsia"/>
                <w:color w:val="auto"/>
              </w:rPr>
              <w:t>地表水环境</w:t>
            </w:r>
          </w:p>
        </w:tc>
        <w:tc>
          <w:tcPr>
            <w:tcW w:w="6655" w:type="dxa"/>
          </w:tcPr>
          <w:p w14:paraId="38692E5F">
            <w:pPr>
              <w:pStyle w:val="33"/>
              <w:rPr>
                <w:color w:val="auto"/>
              </w:rPr>
            </w:pPr>
            <w:r>
              <w:rPr>
                <w:rFonts w:hint="eastAsia"/>
                <w:color w:val="auto"/>
              </w:rPr>
              <w:t>/</w:t>
            </w:r>
          </w:p>
        </w:tc>
      </w:tr>
      <w:tr w14:paraId="2DD32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3C44CFEE">
            <w:pPr>
              <w:pStyle w:val="33"/>
              <w:rPr>
                <w:color w:val="auto"/>
              </w:rPr>
            </w:pPr>
            <w:r>
              <w:rPr>
                <w:rFonts w:hint="eastAsia"/>
                <w:color w:val="auto"/>
              </w:rPr>
              <w:t>3</w:t>
            </w:r>
          </w:p>
        </w:tc>
        <w:tc>
          <w:tcPr>
            <w:tcW w:w="1417" w:type="dxa"/>
          </w:tcPr>
          <w:p w14:paraId="36E9A83E">
            <w:pPr>
              <w:pStyle w:val="33"/>
              <w:rPr>
                <w:color w:val="auto"/>
              </w:rPr>
            </w:pPr>
            <w:r>
              <w:rPr>
                <w:rFonts w:hint="eastAsia"/>
                <w:color w:val="auto"/>
              </w:rPr>
              <w:t>地下水环境</w:t>
            </w:r>
          </w:p>
        </w:tc>
        <w:tc>
          <w:tcPr>
            <w:tcW w:w="6655" w:type="dxa"/>
          </w:tcPr>
          <w:p w14:paraId="3CE810A4">
            <w:pPr>
              <w:pStyle w:val="33"/>
              <w:rPr>
                <w:color w:val="auto"/>
              </w:rPr>
            </w:pPr>
            <w:r>
              <w:rPr>
                <w:rFonts w:hint="eastAsia"/>
                <w:color w:val="auto"/>
              </w:rPr>
              <w:t>北侧、东侧、西侧以分水岭为边界，南侧以边界侏罗系地层与填海区地层分界线和地表溪流为界，评价面积约7km2</w:t>
            </w:r>
          </w:p>
        </w:tc>
      </w:tr>
      <w:tr w14:paraId="614A9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197DFF5A">
            <w:pPr>
              <w:pStyle w:val="33"/>
              <w:rPr>
                <w:color w:val="auto"/>
              </w:rPr>
            </w:pPr>
            <w:r>
              <w:rPr>
                <w:rFonts w:hint="eastAsia"/>
                <w:color w:val="auto"/>
              </w:rPr>
              <w:t>4</w:t>
            </w:r>
          </w:p>
        </w:tc>
        <w:tc>
          <w:tcPr>
            <w:tcW w:w="1417" w:type="dxa"/>
          </w:tcPr>
          <w:p w14:paraId="11B9D665">
            <w:pPr>
              <w:pStyle w:val="33"/>
              <w:rPr>
                <w:color w:val="auto"/>
              </w:rPr>
            </w:pPr>
            <w:r>
              <w:rPr>
                <w:rFonts w:hint="eastAsia"/>
                <w:color w:val="auto"/>
              </w:rPr>
              <w:t>声环境</w:t>
            </w:r>
          </w:p>
        </w:tc>
        <w:tc>
          <w:tcPr>
            <w:tcW w:w="6655" w:type="dxa"/>
          </w:tcPr>
          <w:p w14:paraId="2162AB19">
            <w:pPr>
              <w:pStyle w:val="33"/>
              <w:rPr>
                <w:color w:val="auto"/>
              </w:rPr>
            </w:pPr>
            <w:r>
              <w:rPr>
                <w:rFonts w:hint="eastAsia"/>
                <w:color w:val="auto"/>
              </w:rPr>
              <w:t>全厂厂界外扩200m范围内。</w:t>
            </w:r>
          </w:p>
        </w:tc>
      </w:tr>
      <w:tr w14:paraId="54E4A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06DE342F">
            <w:pPr>
              <w:pStyle w:val="33"/>
              <w:rPr>
                <w:color w:val="auto"/>
              </w:rPr>
            </w:pPr>
            <w:r>
              <w:rPr>
                <w:rFonts w:hint="eastAsia"/>
                <w:color w:val="auto"/>
              </w:rPr>
              <w:t>5</w:t>
            </w:r>
          </w:p>
        </w:tc>
        <w:tc>
          <w:tcPr>
            <w:tcW w:w="1417" w:type="dxa"/>
          </w:tcPr>
          <w:p w14:paraId="1584967D">
            <w:pPr>
              <w:pStyle w:val="33"/>
              <w:rPr>
                <w:color w:val="auto"/>
              </w:rPr>
            </w:pPr>
            <w:r>
              <w:rPr>
                <w:rFonts w:hint="eastAsia"/>
                <w:color w:val="auto"/>
              </w:rPr>
              <w:t>土壤环境</w:t>
            </w:r>
          </w:p>
        </w:tc>
        <w:tc>
          <w:tcPr>
            <w:tcW w:w="6655" w:type="dxa"/>
          </w:tcPr>
          <w:p w14:paraId="1A8E01B8">
            <w:pPr>
              <w:pStyle w:val="33"/>
              <w:rPr>
                <w:color w:val="auto"/>
              </w:rPr>
            </w:pPr>
            <w:r>
              <w:rPr>
                <w:rFonts w:hint="eastAsia"/>
                <w:color w:val="auto"/>
              </w:rPr>
              <w:t>占地范围内及全厂厂界外200m范围。</w:t>
            </w:r>
          </w:p>
        </w:tc>
      </w:tr>
      <w:tr w14:paraId="594BF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tcPr>
          <w:p w14:paraId="7996BD34">
            <w:pPr>
              <w:pStyle w:val="33"/>
              <w:rPr>
                <w:color w:val="auto"/>
              </w:rPr>
            </w:pPr>
            <w:r>
              <w:rPr>
                <w:rFonts w:hint="eastAsia"/>
                <w:color w:val="auto"/>
              </w:rPr>
              <w:t>6</w:t>
            </w:r>
          </w:p>
        </w:tc>
        <w:tc>
          <w:tcPr>
            <w:tcW w:w="1417" w:type="dxa"/>
          </w:tcPr>
          <w:p w14:paraId="26E55B38">
            <w:pPr>
              <w:pStyle w:val="33"/>
              <w:rPr>
                <w:color w:val="auto"/>
              </w:rPr>
            </w:pPr>
            <w:r>
              <w:rPr>
                <w:rFonts w:hint="eastAsia"/>
                <w:color w:val="auto"/>
              </w:rPr>
              <w:t>生态环境</w:t>
            </w:r>
          </w:p>
        </w:tc>
        <w:tc>
          <w:tcPr>
            <w:tcW w:w="6655" w:type="dxa"/>
          </w:tcPr>
          <w:p w14:paraId="47E93967">
            <w:pPr>
              <w:pStyle w:val="33"/>
              <w:rPr>
                <w:color w:val="auto"/>
              </w:rPr>
            </w:pPr>
            <w:r>
              <w:rPr>
                <w:rFonts w:hint="eastAsia"/>
                <w:color w:val="auto"/>
              </w:rPr>
              <w:t>工程用地及周边相邻区域。</w:t>
            </w:r>
          </w:p>
        </w:tc>
      </w:tr>
    </w:tbl>
    <w:p w14:paraId="63FB1FB5">
      <w:pPr>
        <w:pStyle w:val="3"/>
        <w:rPr>
          <w:rFonts w:cs="Times New Roman"/>
          <w:color w:val="auto"/>
        </w:rPr>
      </w:pPr>
      <w:bookmarkStart w:id="121" w:name="_Toc199168885"/>
      <w:bookmarkStart w:id="122" w:name="_Toc199190422"/>
      <w:bookmarkStart w:id="123" w:name="_Toc225216663"/>
      <w:bookmarkStart w:id="124" w:name="_Toc185257460"/>
      <w:bookmarkStart w:id="125" w:name="_Toc198390530"/>
      <w:bookmarkStart w:id="126" w:name="_Toc221355699"/>
      <w:bookmarkStart w:id="127" w:name="_Toc198390008"/>
      <w:bookmarkStart w:id="128" w:name="_Toc198391183"/>
      <w:r>
        <w:rPr>
          <w:rFonts w:cs="Times New Roman"/>
          <w:color w:val="auto"/>
        </w:rPr>
        <w:t>环境保护目标和环境敏感目标</w:t>
      </w:r>
      <w:bookmarkEnd w:id="121"/>
      <w:bookmarkEnd w:id="122"/>
      <w:bookmarkEnd w:id="123"/>
      <w:bookmarkEnd w:id="124"/>
      <w:bookmarkEnd w:id="125"/>
      <w:bookmarkEnd w:id="126"/>
      <w:bookmarkEnd w:id="127"/>
      <w:bookmarkEnd w:id="128"/>
    </w:p>
    <w:p w14:paraId="33FC4C67">
      <w:pPr>
        <w:ind w:firstLine="480"/>
        <w:rPr>
          <w:rFonts w:cs="Times New Roman"/>
          <w:color w:val="auto"/>
        </w:rPr>
      </w:pPr>
      <w:r>
        <w:rPr>
          <w:rFonts w:hint="eastAsia" w:cs="Times New Roman"/>
          <w:color w:val="auto"/>
        </w:rPr>
        <w:t>项目场地周边主要环境保护目标的保护类型为陆域大气环境、声环境、地下水环境、土壤环境。根据调查，项目周边大多数民井已不作饮用水源，侧游存在少数分散式饮用水源。陆域主要环境保护目标见下表、附图。</w:t>
      </w:r>
    </w:p>
    <w:p w14:paraId="710BE99A">
      <w:pPr>
        <w:pStyle w:val="7"/>
        <w:rPr>
          <w:color w:val="auto"/>
        </w:rPr>
      </w:pPr>
      <w:r>
        <w:rPr>
          <w:rFonts w:hint="eastAsia"/>
          <w:color w:val="auto"/>
        </w:rPr>
        <w:t>环境敏感目标</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458"/>
        <w:gridCol w:w="873"/>
        <w:gridCol w:w="1306"/>
        <w:gridCol w:w="871"/>
        <w:gridCol w:w="1744"/>
        <w:gridCol w:w="2318"/>
      </w:tblGrid>
      <w:tr w14:paraId="3F0B6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Align w:val="center"/>
          </w:tcPr>
          <w:p w14:paraId="542292A0">
            <w:pPr>
              <w:pStyle w:val="33"/>
              <w:rPr>
                <w:color w:val="auto"/>
              </w:rPr>
            </w:pPr>
            <w:r>
              <w:rPr>
                <w:color w:val="auto"/>
              </w:rPr>
              <w:t>环境要素</w:t>
            </w:r>
          </w:p>
        </w:tc>
        <w:tc>
          <w:tcPr>
            <w:tcW w:w="785" w:type="pct"/>
            <w:tcBorders>
              <w:top w:val="single" w:color="auto" w:sz="4" w:space="0"/>
              <w:left w:val="single" w:color="auto" w:sz="4" w:space="0"/>
              <w:bottom w:val="single" w:color="auto" w:sz="4" w:space="0"/>
              <w:right w:val="single" w:color="auto" w:sz="4" w:space="0"/>
            </w:tcBorders>
            <w:vAlign w:val="center"/>
          </w:tcPr>
          <w:p w14:paraId="4D5FF737">
            <w:pPr>
              <w:pStyle w:val="33"/>
              <w:rPr>
                <w:color w:val="auto"/>
              </w:rPr>
            </w:pPr>
            <w:r>
              <w:rPr>
                <w:color w:val="auto"/>
              </w:rPr>
              <w:t>名称</w:t>
            </w:r>
          </w:p>
        </w:tc>
        <w:tc>
          <w:tcPr>
            <w:tcW w:w="470" w:type="pct"/>
            <w:tcBorders>
              <w:top w:val="single" w:color="auto" w:sz="4" w:space="0"/>
              <w:left w:val="single" w:color="auto" w:sz="4" w:space="0"/>
              <w:bottom w:val="single" w:color="auto" w:sz="4" w:space="0"/>
              <w:right w:val="single" w:color="auto" w:sz="4" w:space="0"/>
            </w:tcBorders>
            <w:vAlign w:val="center"/>
          </w:tcPr>
          <w:p w14:paraId="759BD2D1">
            <w:pPr>
              <w:pStyle w:val="33"/>
              <w:rPr>
                <w:color w:val="auto"/>
              </w:rPr>
            </w:pPr>
            <w:r>
              <w:rPr>
                <w:color w:val="auto"/>
              </w:rPr>
              <w:t>相对厂址方位</w:t>
            </w:r>
          </w:p>
        </w:tc>
        <w:tc>
          <w:tcPr>
            <w:tcW w:w="703" w:type="pct"/>
            <w:tcBorders>
              <w:top w:val="single" w:color="auto" w:sz="4" w:space="0"/>
              <w:left w:val="single" w:color="auto" w:sz="4" w:space="0"/>
              <w:bottom w:val="single" w:color="auto" w:sz="4" w:space="0"/>
              <w:right w:val="single" w:color="auto" w:sz="4" w:space="0"/>
            </w:tcBorders>
            <w:vAlign w:val="center"/>
          </w:tcPr>
          <w:p w14:paraId="75F393F5">
            <w:pPr>
              <w:pStyle w:val="33"/>
              <w:rPr>
                <w:color w:val="auto"/>
              </w:rPr>
            </w:pPr>
            <w:r>
              <w:rPr>
                <w:color w:val="auto"/>
              </w:rPr>
              <w:t>离厂界最近距离（m）</w:t>
            </w:r>
          </w:p>
        </w:tc>
        <w:tc>
          <w:tcPr>
            <w:tcW w:w="469" w:type="pct"/>
            <w:tcBorders>
              <w:top w:val="single" w:color="auto" w:sz="4" w:space="0"/>
              <w:left w:val="single" w:color="auto" w:sz="4" w:space="0"/>
              <w:bottom w:val="single" w:color="auto" w:sz="4" w:space="0"/>
              <w:right w:val="single" w:color="auto" w:sz="4" w:space="0"/>
            </w:tcBorders>
            <w:vAlign w:val="center"/>
          </w:tcPr>
          <w:p w14:paraId="1C801DE9">
            <w:pPr>
              <w:pStyle w:val="33"/>
              <w:rPr>
                <w:color w:val="auto"/>
              </w:rPr>
            </w:pPr>
            <w:r>
              <w:rPr>
                <w:color w:val="auto"/>
              </w:rPr>
              <w:t>规模（人）</w:t>
            </w:r>
          </w:p>
        </w:tc>
        <w:tc>
          <w:tcPr>
            <w:tcW w:w="939" w:type="pct"/>
            <w:vAlign w:val="center"/>
          </w:tcPr>
          <w:p w14:paraId="7A082984">
            <w:pPr>
              <w:pStyle w:val="33"/>
              <w:rPr>
                <w:color w:val="auto"/>
              </w:rPr>
            </w:pPr>
            <w:r>
              <w:rPr>
                <w:color w:val="auto"/>
              </w:rPr>
              <w:t>属性</w:t>
            </w:r>
          </w:p>
        </w:tc>
        <w:tc>
          <w:tcPr>
            <w:tcW w:w="1248" w:type="pct"/>
            <w:vAlign w:val="center"/>
          </w:tcPr>
          <w:p w14:paraId="262D9DCC">
            <w:pPr>
              <w:pStyle w:val="33"/>
              <w:rPr>
                <w:color w:val="auto"/>
              </w:rPr>
            </w:pPr>
            <w:r>
              <w:rPr>
                <w:rFonts w:hint="eastAsia"/>
                <w:color w:val="auto"/>
              </w:rPr>
              <w:t>保护级别</w:t>
            </w:r>
          </w:p>
        </w:tc>
      </w:tr>
      <w:tr w14:paraId="21AAA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restart"/>
            <w:vAlign w:val="center"/>
          </w:tcPr>
          <w:p w14:paraId="3302FD70">
            <w:pPr>
              <w:pStyle w:val="33"/>
              <w:rPr>
                <w:color w:val="auto"/>
              </w:rPr>
            </w:pPr>
            <w:r>
              <w:rPr>
                <w:color w:val="auto"/>
              </w:rPr>
              <w:t>大气环境、环境风险</w:t>
            </w: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4C17799">
            <w:pPr>
              <w:pStyle w:val="33"/>
              <w:rPr>
                <w:color w:val="auto"/>
              </w:rPr>
            </w:pPr>
            <w:r>
              <w:rPr>
                <w:color w:val="auto"/>
              </w:rPr>
              <w:t>老鸭坑</w:t>
            </w:r>
          </w:p>
        </w:tc>
        <w:tc>
          <w:tcPr>
            <w:tcW w:w="470" w:type="pct"/>
            <w:tcBorders>
              <w:top w:val="single" w:color="auto" w:sz="4" w:space="0"/>
              <w:left w:val="single" w:color="auto" w:sz="4" w:space="0"/>
              <w:bottom w:val="single" w:color="auto" w:sz="4" w:space="0"/>
              <w:right w:val="single" w:color="auto" w:sz="4" w:space="0"/>
            </w:tcBorders>
            <w:vAlign w:val="center"/>
          </w:tcPr>
          <w:p w14:paraId="5D15EE1D">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2D5CBDF4">
            <w:pPr>
              <w:pStyle w:val="33"/>
              <w:rPr>
                <w:color w:val="auto"/>
              </w:rPr>
            </w:pPr>
            <w:r>
              <w:rPr>
                <w:color w:val="auto"/>
              </w:rPr>
              <w:t>15</w:t>
            </w:r>
          </w:p>
        </w:tc>
        <w:tc>
          <w:tcPr>
            <w:tcW w:w="469" w:type="pct"/>
            <w:tcBorders>
              <w:top w:val="single" w:color="auto" w:sz="4" w:space="0"/>
              <w:left w:val="single" w:color="auto" w:sz="4" w:space="0"/>
              <w:bottom w:val="single" w:color="auto" w:sz="4" w:space="0"/>
              <w:right w:val="single" w:color="auto" w:sz="4" w:space="0"/>
            </w:tcBorders>
            <w:vAlign w:val="center"/>
          </w:tcPr>
          <w:p w14:paraId="59F0174D">
            <w:pPr>
              <w:pStyle w:val="33"/>
              <w:rPr>
                <w:color w:val="auto"/>
              </w:rPr>
            </w:pPr>
            <w:r>
              <w:rPr>
                <w:color w:val="auto"/>
              </w:rPr>
              <w:t>300</w:t>
            </w:r>
          </w:p>
        </w:tc>
        <w:tc>
          <w:tcPr>
            <w:tcW w:w="939" w:type="pct"/>
            <w:vAlign w:val="center"/>
          </w:tcPr>
          <w:p w14:paraId="6ABAC0C2">
            <w:pPr>
              <w:pStyle w:val="33"/>
              <w:rPr>
                <w:color w:val="auto"/>
              </w:rPr>
            </w:pPr>
            <w:r>
              <w:rPr>
                <w:rFonts w:hint="eastAsia"/>
                <w:color w:val="auto"/>
              </w:rPr>
              <w:t>居民区</w:t>
            </w:r>
          </w:p>
        </w:tc>
        <w:tc>
          <w:tcPr>
            <w:tcW w:w="1248" w:type="pct"/>
            <w:vMerge w:val="restart"/>
            <w:vAlign w:val="center"/>
          </w:tcPr>
          <w:p w14:paraId="1981BFE0">
            <w:pPr>
              <w:pStyle w:val="33"/>
              <w:rPr>
                <w:color w:val="auto"/>
              </w:rPr>
            </w:pPr>
            <w:r>
              <w:rPr>
                <w:rFonts w:hint="eastAsia"/>
                <w:color w:val="auto"/>
              </w:rPr>
              <w:t>《环境空气质量标准》（GB3095-2012）及其修改单二级标准</w:t>
            </w:r>
          </w:p>
        </w:tc>
      </w:tr>
      <w:tr w14:paraId="5D120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2C159AF0">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3E5A61A">
            <w:pPr>
              <w:pStyle w:val="33"/>
              <w:rPr>
                <w:color w:val="auto"/>
              </w:rPr>
            </w:pPr>
            <w:r>
              <w:rPr>
                <w:color w:val="auto"/>
              </w:rPr>
              <w:t>鲎泊潭</w:t>
            </w:r>
          </w:p>
        </w:tc>
        <w:tc>
          <w:tcPr>
            <w:tcW w:w="470" w:type="pct"/>
            <w:tcBorders>
              <w:top w:val="single" w:color="auto" w:sz="4" w:space="0"/>
              <w:left w:val="single" w:color="auto" w:sz="4" w:space="0"/>
              <w:bottom w:val="single" w:color="auto" w:sz="4" w:space="0"/>
              <w:right w:val="single" w:color="auto" w:sz="4" w:space="0"/>
            </w:tcBorders>
            <w:vAlign w:val="center"/>
          </w:tcPr>
          <w:p w14:paraId="2C222723">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35442E93">
            <w:pPr>
              <w:pStyle w:val="33"/>
              <w:rPr>
                <w:color w:val="auto"/>
              </w:rPr>
            </w:pPr>
            <w:r>
              <w:rPr>
                <w:color w:val="auto"/>
              </w:rPr>
              <w:t>750</w:t>
            </w:r>
          </w:p>
        </w:tc>
        <w:tc>
          <w:tcPr>
            <w:tcW w:w="469" w:type="pct"/>
            <w:tcBorders>
              <w:top w:val="single" w:color="auto" w:sz="4" w:space="0"/>
              <w:left w:val="single" w:color="auto" w:sz="4" w:space="0"/>
              <w:bottom w:val="single" w:color="auto" w:sz="4" w:space="0"/>
              <w:right w:val="single" w:color="auto" w:sz="4" w:space="0"/>
            </w:tcBorders>
            <w:vAlign w:val="center"/>
          </w:tcPr>
          <w:p w14:paraId="13BB9479">
            <w:pPr>
              <w:pStyle w:val="33"/>
              <w:rPr>
                <w:color w:val="auto"/>
              </w:rPr>
            </w:pPr>
            <w:r>
              <w:rPr>
                <w:color w:val="auto"/>
              </w:rPr>
              <w:t>240</w:t>
            </w:r>
          </w:p>
        </w:tc>
        <w:tc>
          <w:tcPr>
            <w:tcW w:w="939" w:type="pct"/>
          </w:tcPr>
          <w:p w14:paraId="1E3B9BFC">
            <w:pPr>
              <w:pStyle w:val="33"/>
              <w:rPr>
                <w:color w:val="auto"/>
              </w:rPr>
            </w:pPr>
            <w:r>
              <w:rPr>
                <w:rFonts w:hint="eastAsia"/>
                <w:color w:val="auto"/>
              </w:rPr>
              <w:t>居民区</w:t>
            </w:r>
          </w:p>
        </w:tc>
        <w:tc>
          <w:tcPr>
            <w:tcW w:w="1248" w:type="pct"/>
            <w:vMerge w:val="continue"/>
            <w:vAlign w:val="center"/>
          </w:tcPr>
          <w:p w14:paraId="6FDBC499">
            <w:pPr>
              <w:pStyle w:val="33"/>
              <w:rPr>
                <w:color w:val="auto"/>
              </w:rPr>
            </w:pPr>
          </w:p>
        </w:tc>
      </w:tr>
      <w:tr w14:paraId="4F23E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7D599BD">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877B5BB">
            <w:pPr>
              <w:pStyle w:val="33"/>
              <w:rPr>
                <w:color w:val="auto"/>
              </w:rPr>
            </w:pPr>
            <w:r>
              <w:rPr>
                <w:color w:val="auto"/>
              </w:rPr>
              <w:t>鸡墩头（鸡丁头）</w:t>
            </w:r>
          </w:p>
        </w:tc>
        <w:tc>
          <w:tcPr>
            <w:tcW w:w="470" w:type="pct"/>
            <w:tcBorders>
              <w:top w:val="single" w:color="auto" w:sz="4" w:space="0"/>
              <w:left w:val="single" w:color="auto" w:sz="4" w:space="0"/>
              <w:bottom w:val="single" w:color="auto" w:sz="4" w:space="0"/>
              <w:right w:val="single" w:color="auto" w:sz="4" w:space="0"/>
            </w:tcBorders>
            <w:vAlign w:val="center"/>
          </w:tcPr>
          <w:p w14:paraId="2383D17A">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1308099E">
            <w:pPr>
              <w:pStyle w:val="33"/>
              <w:rPr>
                <w:color w:val="auto"/>
              </w:rPr>
            </w:pPr>
            <w:r>
              <w:rPr>
                <w:color w:val="auto"/>
              </w:rPr>
              <w:t>160</w:t>
            </w:r>
          </w:p>
        </w:tc>
        <w:tc>
          <w:tcPr>
            <w:tcW w:w="469" w:type="pct"/>
            <w:tcBorders>
              <w:top w:val="single" w:color="auto" w:sz="4" w:space="0"/>
              <w:left w:val="single" w:color="auto" w:sz="4" w:space="0"/>
              <w:bottom w:val="single" w:color="auto" w:sz="4" w:space="0"/>
              <w:right w:val="single" w:color="auto" w:sz="4" w:space="0"/>
            </w:tcBorders>
            <w:vAlign w:val="center"/>
          </w:tcPr>
          <w:p w14:paraId="3665B323">
            <w:pPr>
              <w:pStyle w:val="33"/>
              <w:rPr>
                <w:color w:val="auto"/>
              </w:rPr>
            </w:pPr>
            <w:r>
              <w:rPr>
                <w:color w:val="auto"/>
              </w:rPr>
              <w:t>2780</w:t>
            </w:r>
          </w:p>
        </w:tc>
        <w:tc>
          <w:tcPr>
            <w:tcW w:w="939" w:type="pct"/>
          </w:tcPr>
          <w:p w14:paraId="76961D27">
            <w:pPr>
              <w:pStyle w:val="33"/>
              <w:rPr>
                <w:color w:val="auto"/>
              </w:rPr>
            </w:pPr>
            <w:r>
              <w:rPr>
                <w:rFonts w:hint="eastAsia"/>
                <w:color w:val="auto"/>
              </w:rPr>
              <w:t>居民区</w:t>
            </w:r>
          </w:p>
        </w:tc>
        <w:tc>
          <w:tcPr>
            <w:tcW w:w="1248" w:type="pct"/>
            <w:vMerge w:val="continue"/>
            <w:vAlign w:val="center"/>
          </w:tcPr>
          <w:p w14:paraId="77E96065">
            <w:pPr>
              <w:pStyle w:val="33"/>
              <w:rPr>
                <w:color w:val="auto"/>
              </w:rPr>
            </w:pPr>
          </w:p>
        </w:tc>
      </w:tr>
      <w:tr w14:paraId="31F6B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40" w:hRule="atLeast"/>
        </w:trPr>
        <w:tc>
          <w:tcPr>
            <w:tcW w:w="386" w:type="pct"/>
            <w:vMerge w:val="continue"/>
            <w:vAlign w:val="center"/>
          </w:tcPr>
          <w:p w14:paraId="304882B4">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8CAFB78">
            <w:pPr>
              <w:pStyle w:val="33"/>
              <w:rPr>
                <w:color w:val="auto"/>
              </w:rPr>
            </w:pPr>
            <w:r>
              <w:rPr>
                <w:color w:val="auto"/>
              </w:rPr>
              <w:t>钦州港开发</w:t>
            </w:r>
          </w:p>
          <w:p w14:paraId="4E1E20C1">
            <w:pPr>
              <w:pStyle w:val="33"/>
              <w:rPr>
                <w:color w:val="auto"/>
              </w:rPr>
            </w:pPr>
            <w:r>
              <w:rPr>
                <w:color w:val="auto"/>
              </w:rPr>
              <w:t>区第五小学</w:t>
            </w:r>
          </w:p>
        </w:tc>
        <w:tc>
          <w:tcPr>
            <w:tcW w:w="470" w:type="pct"/>
            <w:tcBorders>
              <w:top w:val="single" w:color="auto" w:sz="4" w:space="0"/>
              <w:left w:val="single" w:color="auto" w:sz="4" w:space="0"/>
              <w:bottom w:val="single" w:color="auto" w:sz="4" w:space="0"/>
              <w:right w:val="single" w:color="auto" w:sz="4" w:space="0"/>
            </w:tcBorders>
            <w:vAlign w:val="center"/>
          </w:tcPr>
          <w:p w14:paraId="74DB771C">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227555B3">
            <w:pPr>
              <w:pStyle w:val="33"/>
              <w:rPr>
                <w:color w:val="auto"/>
              </w:rPr>
            </w:pPr>
            <w:r>
              <w:rPr>
                <w:color w:val="auto"/>
              </w:rPr>
              <w:t>325</w:t>
            </w:r>
          </w:p>
        </w:tc>
        <w:tc>
          <w:tcPr>
            <w:tcW w:w="469" w:type="pct"/>
            <w:tcBorders>
              <w:top w:val="single" w:color="auto" w:sz="4" w:space="0"/>
              <w:left w:val="single" w:color="auto" w:sz="4" w:space="0"/>
              <w:bottom w:val="single" w:color="auto" w:sz="4" w:space="0"/>
              <w:right w:val="single" w:color="auto" w:sz="4" w:space="0"/>
            </w:tcBorders>
            <w:vAlign w:val="center"/>
          </w:tcPr>
          <w:p w14:paraId="0A65767E">
            <w:pPr>
              <w:pStyle w:val="33"/>
              <w:rPr>
                <w:color w:val="auto"/>
              </w:rPr>
            </w:pPr>
            <w:r>
              <w:rPr>
                <w:color w:val="auto"/>
              </w:rPr>
              <w:t>700</w:t>
            </w:r>
          </w:p>
        </w:tc>
        <w:tc>
          <w:tcPr>
            <w:tcW w:w="939" w:type="pct"/>
            <w:vAlign w:val="center"/>
          </w:tcPr>
          <w:p w14:paraId="717F77AB">
            <w:pPr>
              <w:pStyle w:val="33"/>
              <w:rPr>
                <w:color w:val="auto"/>
              </w:rPr>
            </w:pPr>
            <w:r>
              <w:rPr>
                <w:color w:val="auto"/>
              </w:rPr>
              <w:t>学校</w:t>
            </w:r>
          </w:p>
        </w:tc>
        <w:tc>
          <w:tcPr>
            <w:tcW w:w="1248" w:type="pct"/>
            <w:vMerge w:val="continue"/>
            <w:vAlign w:val="center"/>
          </w:tcPr>
          <w:p w14:paraId="421EC84B">
            <w:pPr>
              <w:pStyle w:val="33"/>
              <w:rPr>
                <w:color w:val="auto"/>
              </w:rPr>
            </w:pPr>
          </w:p>
        </w:tc>
      </w:tr>
      <w:tr w14:paraId="3384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600DD7AF">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E18329D">
            <w:pPr>
              <w:pStyle w:val="33"/>
              <w:rPr>
                <w:color w:val="auto"/>
              </w:rPr>
            </w:pPr>
            <w:r>
              <w:rPr>
                <w:color w:val="auto"/>
              </w:rPr>
              <w:t>蚝蜊坳</w:t>
            </w:r>
          </w:p>
        </w:tc>
        <w:tc>
          <w:tcPr>
            <w:tcW w:w="470" w:type="pct"/>
            <w:tcBorders>
              <w:top w:val="single" w:color="auto" w:sz="4" w:space="0"/>
              <w:left w:val="single" w:color="auto" w:sz="4" w:space="0"/>
              <w:bottom w:val="single" w:color="auto" w:sz="4" w:space="0"/>
              <w:right w:val="single" w:color="auto" w:sz="4" w:space="0"/>
            </w:tcBorders>
            <w:vAlign w:val="center"/>
          </w:tcPr>
          <w:p w14:paraId="515A62F0">
            <w:pPr>
              <w:pStyle w:val="33"/>
              <w:rPr>
                <w:color w:val="auto"/>
              </w:rPr>
            </w:pPr>
            <w:r>
              <w:rPr>
                <w:color w:val="auto"/>
              </w:rPr>
              <w:t>NW</w:t>
            </w:r>
          </w:p>
        </w:tc>
        <w:tc>
          <w:tcPr>
            <w:tcW w:w="703" w:type="pct"/>
            <w:tcBorders>
              <w:top w:val="single" w:color="auto" w:sz="4" w:space="0"/>
              <w:left w:val="single" w:color="auto" w:sz="4" w:space="0"/>
              <w:bottom w:val="single" w:color="auto" w:sz="4" w:space="0"/>
              <w:right w:val="single" w:color="auto" w:sz="4" w:space="0"/>
            </w:tcBorders>
            <w:vAlign w:val="center"/>
          </w:tcPr>
          <w:p w14:paraId="139269FB">
            <w:pPr>
              <w:pStyle w:val="33"/>
              <w:rPr>
                <w:color w:val="auto"/>
              </w:rPr>
            </w:pPr>
            <w:r>
              <w:rPr>
                <w:color w:val="auto"/>
              </w:rPr>
              <w:t>291</w:t>
            </w:r>
          </w:p>
        </w:tc>
        <w:tc>
          <w:tcPr>
            <w:tcW w:w="469" w:type="pct"/>
            <w:tcBorders>
              <w:top w:val="single" w:color="auto" w:sz="4" w:space="0"/>
              <w:left w:val="single" w:color="auto" w:sz="4" w:space="0"/>
              <w:bottom w:val="single" w:color="auto" w:sz="4" w:space="0"/>
              <w:right w:val="single" w:color="auto" w:sz="4" w:space="0"/>
            </w:tcBorders>
            <w:vAlign w:val="center"/>
          </w:tcPr>
          <w:p w14:paraId="72F87F06">
            <w:pPr>
              <w:pStyle w:val="33"/>
              <w:rPr>
                <w:color w:val="auto"/>
              </w:rPr>
            </w:pPr>
            <w:r>
              <w:rPr>
                <w:color w:val="auto"/>
              </w:rPr>
              <w:t>808</w:t>
            </w:r>
          </w:p>
        </w:tc>
        <w:tc>
          <w:tcPr>
            <w:tcW w:w="939" w:type="pct"/>
          </w:tcPr>
          <w:p w14:paraId="422DF5E7">
            <w:pPr>
              <w:pStyle w:val="33"/>
              <w:rPr>
                <w:color w:val="auto"/>
              </w:rPr>
            </w:pPr>
            <w:r>
              <w:rPr>
                <w:rFonts w:hint="eastAsia"/>
                <w:color w:val="auto"/>
              </w:rPr>
              <w:t>居民区</w:t>
            </w:r>
          </w:p>
        </w:tc>
        <w:tc>
          <w:tcPr>
            <w:tcW w:w="1248" w:type="pct"/>
            <w:vMerge w:val="continue"/>
            <w:vAlign w:val="center"/>
          </w:tcPr>
          <w:p w14:paraId="783F67F8">
            <w:pPr>
              <w:pStyle w:val="33"/>
              <w:rPr>
                <w:color w:val="auto"/>
              </w:rPr>
            </w:pPr>
          </w:p>
        </w:tc>
      </w:tr>
      <w:tr w14:paraId="0C3BA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00F2EFD7">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2E7B9B7">
            <w:pPr>
              <w:pStyle w:val="33"/>
              <w:rPr>
                <w:color w:val="auto"/>
              </w:rPr>
            </w:pPr>
            <w:r>
              <w:rPr>
                <w:color w:val="auto"/>
              </w:rPr>
              <w:t>临时安置房</w:t>
            </w:r>
          </w:p>
        </w:tc>
        <w:tc>
          <w:tcPr>
            <w:tcW w:w="470" w:type="pct"/>
            <w:tcBorders>
              <w:top w:val="single" w:color="auto" w:sz="4" w:space="0"/>
              <w:left w:val="single" w:color="auto" w:sz="4" w:space="0"/>
              <w:bottom w:val="single" w:color="auto" w:sz="4" w:space="0"/>
              <w:right w:val="single" w:color="auto" w:sz="4" w:space="0"/>
            </w:tcBorders>
            <w:vAlign w:val="center"/>
          </w:tcPr>
          <w:p w14:paraId="0ECC5436">
            <w:pPr>
              <w:pStyle w:val="33"/>
              <w:rPr>
                <w:color w:val="auto"/>
              </w:rPr>
            </w:pPr>
            <w:r>
              <w:rPr>
                <w:color w:val="auto"/>
              </w:rPr>
              <w:t>S</w:t>
            </w:r>
          </w:p>
        </w:tc>
        <w:tc>
          <w:tcPr>
            <w:tcW w:w="703" w:type="pct"/>
            <w:tcBorders>
              <w:top w:val="single" w:color="auto" w:sz="4" w:space="0"/>
              <w:left w:val="single" w:color="auto" w:sz="4" w:space="0"/>
              <w:bottom w:val="single" w:color="auto" w:sz="4" w:space="0"/>
              <w:right w:val="single" w:color="auto" w:sz="4" w:space="0"/>
            </w:tcBorders>
            <w:vAlign w:val="center"/>
          </w:tcPr>
          <w:p w14:paraId="4FC75978">
            <w:pPr>
              <w:pStyle w:val="33"/>
              <w:rPr>
                <w:color w:val="auto"/>
              </w:rPr>
            </w:pPr>
            <w:r>
              <w:rPr>
                <w:color w:val="auto"/>
              </w:rPr>
              <w:t>50</w:t>
            </w:r>
          </w:p>
        </w:tc>
        <w:tc>
          <w:tcPr>
            <w:tcW w:w="469" w:type="pct"/>
            <w:tcBorders>
              <w:top w:val="single" w:color="auto" w:sz="4" w:space="0"/>
              <w:left w:val="single" w:color="auto" w:sz="4" w:space="0"/>
              <w:bottom w:val="single" w:color="auto" w:sz="4" w:space="0"/>
              <w:right w:val="single" w:color="auto" w:sz="4" w:space="0"/>
            </w:tcBorders>
            <w:vAlign w:val="center"/>
          </w:tcPr>
          <w:p w14:paraId="2DC0247A">
            <w:pPr>
              <w:pStyle w:val="33"/>
              <w:rPr>
                <w:color w:val="auto"/>
              </w:rPr>
            </w:pPr>
            <w:r>
              <w:rPr>
                <w:color w:val="auto"/>
              </w:rPr>
              <w:t>30</w:t>
            </w:r>
          </w:p>
        </w:tc>
        <w:tc>
          <w:tcPr>
            <w:tcW w:w="939" w:type="pct"/>
          </w:tcPr>
          <w:p w14:paraId="3F44303E">
            <w:pPr>
              <w:pStyle w:val="33"/>
              <w:rPr>
                <w:color w:val="auto"/>
              </w:rPr>
            </w:pPr>
            <w:r>
              <w:rPr>
                <w:rFonts w:hint="eastAsia"/>
                <w:color w:val="auto"/>
              </w:rPr>
              <w:t>居民区</w:t>
            </w:r>
          </w:p>
        </w:tc>
        <w:tc>
          <w:tcPr>
            <w:tcW w:w="1248" w:type="pct"/>
            <w:vMerge w:val="continue"/>
            <w:vAlign w:val="center"/>
          </w:tcPr>
          <w:p w14:paraId="35FB7EC9">
            <w:pPr>
              <w:pStyle w:val="33"/>
              <w:rPr>
                <w:color w:val="auto"/>
              </w:rPr>
            </w:pPr>
          </w:p>
        </w:tc>
      </w:tr>
      <w:tr w14:paraId="6D85F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68109261">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ECC8F05">
            <w:pPr>
              <w:pStyle w:val="33"/>
              <w:rPr>
                <w:color w:val="auto"/>
              </w:rPr>
            </w:pPr>
            <w:r>
              <w:rPr>
                <w:color w:val="auto"/>
              </w:rPr>
              <w:t>硫磺山</w:t>
            </w:r>
          </w:p>
        </w:tc>
        <w:tc>
          <w:tcPr>
            <w:tcW w:w="470" w:type="pct"/>
            <w:tcBorders>
              <w:top w:val="single" w:color="auto" w:sz="4" w:space="0"/>
              <w:left w:val="single" w:color="auto" w:sz="4" w:space="0"/>
              <w:bottom w:val="single" w:color="auto" w:sz="4" w:space="0"/>
              <w:right w:val="single" w:color="auto" w:sz="4" w:space="0"/>
            </w:tcBorders>
            <w:vAlign w:val="center"/>
          </w:tcPr>
          <w:p w14:paraId="68978F5A">
            <w:pPr>
              <w:pStyle w:val="33"/>
              <w:rPr>
                <w:color w:val="auto"/>
              </w:rPr>
            </w:pPr>
            <w:r>
              <w:rPr>
                <w:color w:val="auto"/>
              </w:rPr>
              <w:t>S</w:t>
            </w:r>
          </w:p>
        </w:tc>
        <w:tc>
          <w:tcPr>
            <w:tcW w:w="703" w:type="pct"/>
            <w:tcBorders>
              <w:top w:val="single" w:color="auto" w:sz="4" w:space="0"/>
              <w:left w:val="single" w:color="auto" w:sz="4" w:space="0"/>
              <w:bottom w:val="single" w:color="auto" w:sz="4" w:space="0"/>
              <w:right w:val="single" w:color="auto" w:sz="4" w:space="0"/>
            </w:tcBorders>
            <w:vAlign w:val="center"/>
          </w:tcPr>
          <w:p w14:paraId="1963560D">
            <w:pPr>
              <w:pStyle w:val="33"/>
              <w:rPr>
                <w:color w:val="auto"/>
              </w:rPr>
            </w:pPr>
            <w:r>
              <w:rPr>
                <w:color w:val="auto"/>
              </w:rPr>
              <w:t>250</w:t>
            </w:r>
          </w:p>
        </w:tc>
        <w:tc>
          <w:tcPr>
            <w:tcW w:w="469" w:type="pct"/>
            <w:tcBorders>
              <w:top w:val="single" w:color="auto" w:sz="4" w:space="0"/>
              <w:left w:val="single" w:color="auto" w:sz="4" w:space="0"/>
              <w:bottom w:val="single" w:color="auto" w:sz="4" w:space="0"/>
              <w:right w:val="single" w:color="auto" w:sz="4" w:space="0"/>
            </w:tcBorders>
            <w:vAlign w:val="center"/>
          </w:tcPr>
          <w:p w14:paraId="12E8E8D9">
            <w:pPr>
              <w:pStyle w:val="33"/>
              <w:rPr>
                <w:color w:val="auto"/>
              </w:rPr>
            </w:pPr>
            <w:r>
              <w:rPr>
                <w:color w:val="auto"/>
              </w:rPr>
              <w:t>495</w:t>
            </w:r>
          </w:p>
        </w:tc>
        <w:tc>
          <w:tcPr>
            <w:tcW w:w="939" w:type="pct"/>
          </w:tcPr>
          <w:p w14:paraId="0C39822F">
            <w:pPr>
              <w:pStyle w:val="33"/>
              <w:rPr>
                <w:color w:val="auto"/>
              </w:rPr>
            </w:pPr>
            <w:r>
              <w:rPr>
                <w:rFonts w:hint="eastAsia"/>
                <w:color w:val="auto"/>
              </w:rPr>
              <w:t>居民区</w:t>
            </w:r>
          </w:p>
        </w:tc>
        <w:tc>
          <w:tcPr>
            <w:tcW w:w="1248" w:type="pct"/>
            <w:vMerge w:val="continue"/>
            <w:vAlign w:val="center"/>
          </w:tcPr>
          <w:p w14:paraId="15440524">
            <w:pPr>
              <w:pStyle w:val="33"/>
              <w:rPr>
                <w:color w:val="auto"/>
              </w:rPr>
            </w:pPr>
          </w:p>
        </w:tc>
      </w:tr>
      <w:tr w14:paraId="7DEC2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471B4A36">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CFAE07E">
            <w:pPr>
              <w:pStyle w:val="33"/>
              <w:rPr>
                <w:color w:val="auto"/>
              </w:rPr>
            </w:pPr>
            <w:r>
              <w:rPr>
                <w:color w:val="auto"/>
              </w:rPr>
              <w:t>钦州港开发</w:t>
            </w:r>
          </w:p>
          <w:p w14:paraId="3F832AAC">
            <w:pPr>
              <w:pStyle w:val="33"/>
              <w:rPr>
                <w:color w:val="auto"/>
              </w:rPr>
            </w:pPr>
            <w:r>
              <w:rPr>
                <w:color w:val="auto"/>
              </w:rPr>
              <w:t>区第七小学</w:t>
            </w:r>
          </w:p>
        </w:tc>
        <w:tc>
          <w:tcPr>
            <w:tcW w:w="470" w:type="pct"/>
            <w:tcBorders>
              <w:top w:val="single" w:color="auto" w:sz="4" w:space="0"/>
              <w:left w:val="single" w:color="auto" w:sz="4" w:space="0"/>
              <w:bottom w:val="single" w:color="auto" w:sz="4" w:space="0"/>
              <w:right w:val="single" w:color="auto" w:sz="4" w:space="0"/>
            </w:tcBorders>
            <w:vAlign w:val="center"/>
          </w:tcPr>
          <w:p w14:paraId="2608EDB7">
            <w:pPr>
              <w:pStyle w:val="33"/>
              <w:rPr>
                <w:color w:val="auto"/>
              </w:rPr>
            </w:pPr>
            <w:r>
              <w:rPr>
                <w:color w:val="auto"/>
              </w:rPr>
              <w:t>S</w:t>
            </w:r>
          </w:p>
        </w:tc>
        <w:tc>
          <w:tcPr>
            <w:tcW w:w="703" w:type="pct"/>
            <w:tcBorders>
              <w:top w:val="single" w:color="auto" w:sz="4" w:space="0"/>
              <w:left w:val="single" w:color="auto" w:sz="4" w:space="0"/>
              <w:bottom w:val="single" w:color="auto" w:sz="4" w:space="0"/>
              <w:right w:val="single" w:color="auto" w:sz="4" w:space="0"/>
            </w:tcBorders>
            <w:vAlign w:val="center"/>
          </w:tcPr>
          <w:p w14:paraId="3F94482B">
            <w:pPr>
              <w:pStyle w:val="33"/>
              <w:rPr>
                <w:color w:val="auto"/>
              </w:rPr>
            </w:pPr>
            <w:r>
              <w:rPr>
                <w:color w:val="auto"/>
              </w:rPr>
              <w:t>500</w:t>
            </w:r>
          </w:p>
        </w:tc>
        <w:tc>
          <w:tcPr>
            <w:tcW w:w="469" w:type="pct"/>
            <w:tcBorders>
              <w:top w:val="single" w:color="auto" w:sz="4" w:space="0"/>
              <w:left w:val="single" w:color="auto" w:sz="4" w:space="0"/>
              <w:bottom w:val="single" w:color="auto" w:sz="4" w:space="0"/>
              <w:right w:val="single" w:color="auto" w:sz="4" w:space="0"/>
            </w:tcBorders>
            <w:vAlign w:val="center"/>
          </w:tcPr>
          <w:p w14:paraId="36A1666C">
            <w:pPr>
              <w:pStyle w:val="33"/>
              <w:rPr>
                <w:color w:val="auto"/>
              </w:rPr>
            </w:pPr>
            <w:r>
              <w:rPr>
                <w:color w:val="auto"/>
              </w:rPr>
              <w:t>600</w:t>
            </w:r>
          </w:p>
        </w:tc>
        <w:tc>
          <w:tcPr>
            <w:tcW w:w="939" w:type="pct"/>
            <w:vAlign w:val="center"/>
          </w:tcPr>
          <w:p w14:paraId="68E31E0A">
            <w:pPr>
              <w:pStyle w:val="33"/>
              <w:rPr>
                <w:color w:val="auto"/>
              </w:rPr>
            </w:pPr>
            <w:r>
              <w:rPr>
                <w:color w:val="auto"/>
              </w:rPr>
              <w:t>学校</w:t>
            </w:r>
          </w:p>
        </w:tc>
        <w:tc>
          <w:tcPr>
            <w:tcW w:w="1248" w:type="pct"/>
            <w:vMerge w:val="continue"/>
            <w:vAlign w:val="center"/>
          </w:tcPr>
          <w:p w14:paraId="6C04598B">
            <w:pPr>
              <w:pStyle w:val="33"/>
              <w:rPr>
                <w:color w:val="auto"/>
              </w:rPr>
            </w:pPr>
          </w:p>
        </w:tc>
      </w:tr>
      <w:tr w14:paraId="07D51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6805A9FA">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C56C758">
            <w:pPr>
              <w:pStyle w:val="33"/>
              <w:rPr>
                <w:color w:val="auto"/>
              </w:rPr>
            </w:pPr>
            <w:r>
              <w:rPr>
                <w:color w:val="auto"/>
              </w:rPr>
              <w:t>大坑</w:t>
            </w:r>
          </w:p>
        </w:tc>
        <w:tc>
          <w:tcPr>
            <w:tcW w:w="470" w:type="pct"/>
            <w:tcBorders>
              <w:top w:val="single" w:color="auto" w:sz="4" w:space="0"/>
              <w:left w:val="single" w:color="auto" w:sz="4" w:space="0"/>
              <w:bottom w:val="single" w:color="auto" w:sz="4" w:space="0"/>
              <w:right w:val="single" w:color="auto" w:sz="4" w:space="0"/>
            </w:tcBorders>
            <w:vAlign w:val="center"/>
          </w:tcPr>
          <w:p w14:paraId="682A478B">
            <w:pPr>
              <w:pStyle w:val="33"/>
              <w:rPr>
                <w:color w:val="auto"/>
              </w:rPr>
            </w:pPr>
            <w:r>
              <w:rPr>
                <w:color w:val="auto"/>
              </w:rPr>
              <w:t>SE</w:t>
            </w:r>
          </w:p>
        </w:tc>
        <w:tc>
          <w:tcPr>
            <w:tcW w:w="703" w:type="pct"/>
            <w:tcBorders>
              <w:top w:val="single" w:color="auto" w:sz="4" w:space="0"/>
              <w:left w:val="single" w:color="auto" w:sz="4" w:space="0"/>
              <w:bottom w:val="single" w:color="auto" w:sz="4" w:space="0"/>
              <w:right w:val="single" w:color="auto" w:sz="4" w:space="0"/>
            </w:tcBorders>
            <w:vAlign w:val="center"/>
          </w:tcPr>
          <w:p w14:paraId="390791C3">
            <w:pPr>
              <w:pStyle w:val="33"/>
              <w:rPr>
                <w:color w:val="auto"/>
              </w:rPr>
            </w:pPr>
            <w:r>
              <w:rPr>
                <w:color w:val="auto"/>
              </w:rPr>
              <w:t>1100</w:t>
            </w:r>
          </w:p>
        </w:tc>
        <w:tc>
          <w:tcPr>
            <w:tcW w:w="469" w:type="pct"/>
            <w:tcBorders>
              <w:top w:val="single" w:color="auto" w:sz="4" w:space="0"/>
              <w:left w:val="single" w:color="auto" w:sz="4" w:space="0"/>
              <w:bottom w:val="single" w:color="auto" w:sz="4" w:space="0"/>
              <w:right w:val="single" w:color="auto" w:sz="4" w:space="0"/>
            </w:tcBorders>
            <w:vAlign w:val="center"/>
          </w:tcPr>
          <w:p w14:paraId="726FBFC0">
            <w:pPr>
              <w:pStyle w:val="33"/>
              <w:rPr>
                <w:color w:val="auto"/>
              </w:rPr>
            </w:pPr>
            <w:r>
              <w:rPr>
                <w:color w:val="auto"/>
              </w:rPr>
              <w:t>450</w:t>
            </w:r>
          </w:p>
        </w:tc>
        <w:tc>
          <w:tcPr>
            <w:tcW w:w="939" w:type="pct"/>
            <w:vAlign w:val="center"/>
          </w:tcPr>
          <w:p w14:paraId="441C27C1">
            <w:pPr>
              <w:pStyle w:val="33"/>
              <w:rPr>
                <w:color w:val="auto"/>
              </w:rPr>
            </w:pPr>
            <w:r>
              <w:rPr>
                <w:rFonts w:hint="eastAsia"/>
                <w:color w:val="auto"/>
              </w:rPr>
              <w:t>居民区</w:t>
            </w:r>
          </w:p>
        </w:tc>
        <w:tc>
          <w:tcPr>
            <w:tcW w:w="1248" w:type="pct"/>
            <w:vMerge w:val="continue"/>
            <w:vAlign w:val="center"/>
          </w:tcPr>
          <w:p w14:paraId="072DEC76">
            <w:pPr>
              <w:pStyle w:val="33"/>
              <w:rPr>
                <w:color w:val="auto"/>
              </w:rPr>
            </w:pPr>
          </w:p>
        </w:tc>
      </w:tr>
      <w:tr w14:paraId="63C14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5560F04">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18AC434">
            <w:pPr>
              <w:pStyle w:val="33"/>
              <w:rPr>
                <w:color w:val="auto"/>
              </w:rPr>
            </w:pPr>
            <w:r>
              <w:rPr>
                <w:color w:val="auto"/>
              </w:rPr>
              <w:t>钦州港开发</w:t>
            </w:r>
          </w:p>
          <w:p w14:paraId="6395B7C2">
            <w:pPr>
              <w:pStyle w:val="33"/>
              <w:rPr>
                <w:color w:val="auto"/>
              </w:rPr>
            </w:pPr>
            <w:r>
              <w:rPr>
                <w:color w:val="auto"/>
              </w:rPr>
              <w:t>区第六小学</w:t>
            </w:r>
          </w:p>
        </w:tc>
        <w:tc>
          <w:tcPr>
            <w:tcW w:w="470" w:type="pct"/>
            <w:tcBorders>
              <w:top w:val="single" w:color="auto" w:sz="4" w:space="0"/>
              <w:left w:val="single" w:color="auto" w:sz="4" w:space="0"/>
              <w:bottom w:val="single" w:color="auto" w:sz="4" w:space="0"/>
              <w:right w:val="single" w:color="auto" w:sz="4" w:space="0"/>
            </w:tcBorders>
            <w:vAlign w:val="center"/>
          </w:tcPr>
          <w:p w14:paraId="01B78883">
            <w:pPr>
              <w:pStyle w:val="33"/>
              <w:rPr>
                <w:color w:val="auto"/>
              </w:rPr>
            </w:pPr>
            <w:r>
              <w:rPr>
                <w:color w:val="auto"/>
              </w:rPr>
              <w:t>E</w:t>
            </w:r>
          </w:p>
        </w:tc>
        <w:tc>
          <w:tcPr>
            <w:tcW w:w="703" w:type="pct"/>
            <w:tcBorders>
              <w:top w:val="single" w:color="auto" w:sz="4" w:space="0"/>
              <w:left w:val="single" w:color="auto" w:sz="4" w:space="0"/>
              <w:bottom w:val="single" w:color="auto" w:sz="4" w:space="0"/>
              <w:right w:val="single" w:color="auto" w:sz="4" w:space="0"/>
            </w:tcBorders>
            <w:vAlign w:val="center"/>
          </w:tcPr>
          <w:p w14:paraId="78FCC6CE">
            <w:pPr>
              <w:pStyle w:val="33"/>
              <w:rPr>
                <w:color w:val="auto"/>
              </w:rPr>
            </w:pPr>
            <w:r>
              <w:rPr>
                <w:color w:val="auto"/>
              </w:rPr>
              <w:t>100</w:t>
            </w:r>
          </w:p>
        </w:tc>
        <w:tc>
          <w:tcPr>
            <w:tcW w:w="469" w:type="pct"/>
            <w:tcBorders>
              <w:top w:val="single" w:color="auto" w:sz="4" w:space="0"/>
              <w:left w:val="single" w:color="auto" w:sz="4" w:space="0"/>
              <w:bottom w:val="single" w:color="auto" w:sz="4" w:space="0"/>
              <w:right w:val="single" w:color="auto" w:sz="4" w:space="0"/>
            </w:tcBorders>
            <w:vAlign w:val="center"/>
          </w:tcPr>
          <w:p w14:paraId="1463B60A">
            <w:pPr>
              <w:pStyle w:val="33"/>
              <w:rPr>
                <w:color w:val="auto"/>
              </w:rPr>
            </w:pPr>
            <w:r>
              <w:rPr>
                <w:color w:val="auto"/>
              </w:rPr>
              <w:t>119</w:t>
            </w:r>
          </w:p>
        </w:tc>
        <w:tc>
          <w:tcPr>
            <w:tcW w:w="939" w:type="pct"/>
            <w:vAlign w:val="center"/>
          </w:tcPr>
          <w:p w14:paraId="504B6916">
            <w:pPr>
              <w:pStyle w:val="33"/>
              <w:rPr>
                <w:color w:val="auto"/>
              </w:rPr>
            </w:pPr>
            <w:r>
              <w:rPr>
                <w:color w:val="auto"/>
              </w:rPr>
              <w:t>学校</w:t>
            </w:r>
          </w:p>
        </w:tc>
        <w:tc>
          <w:tcPr>
            <w:tcW w:w="1248" w:type="pct"/>
            <w:vMerge w:val="continue"/>
            <w:vAlign w:val="center"/>
          </w:tcPr>
          <w:p w14:paraId="780B4775">
            <w:pPr>
              <w:pStyle w:val="33"/>
              <w:rPr>
                <w:color w:val="auto"/>
              </w:rPr>
            </w:pPr>
          </w:p>
        </w:tc>
      </w:tr>
      <w:tr w14:paraId="4164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087BF21C">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603E082">
            <w:pPr>
              <w:pStyle w:val="33"/>
              <w:rPr>
                <w:color w:val="auto"/>
              </w:rPr>
            </w:pPr>
            <w:r>
              <w:rPr>
                <w:color w:val="auto"/>
              </w:rPr>
              <w:t>鹿耳环</w:t>
            </w:r>
          </w:p>
        </w:tc>
        <w:tc>
          <w:tcPr>
            <w:tcW w:w="470" w:type="pct"/>
            <w:tcBorders>
              <w:top w:val="single" w:color="auto" w:sz="4" w:space="0"/>
              <w:left w:val="single" w:color="auto" w:sz="4" w:space="0"/>
              <w:bottom w:val="single" w:color="auto" w:sz="4" w:space="0"/>
              <w:right w:val="single" w:color="auto" w:sz="4" w:space="0"/>
            </w:tcBorders>
            <w:vAlign w:val="center"/>
          </w:tcPr>
          <w:p w14:paraId="2DC8A7E1">
            <w:pPr>
              <w:pStyle w:val="33"/>
              <w:rPr>
                <w:color w:val="auto"/>
              </w:rPr>
            </w:pPr>
            <w:r>
              <w:rPr>
                <w:color w:val="auto"/>
              </w:rPr>
              <w:t>E</w:t>
            </w:r>
          </w:p>
        </w:tc>
        <w:tc>
          <w:tcPr>
            <w:tcW w:w="703" w:type="pct"/>
            <w:tcBorders>
              <w:top w:val="single" w:color="auto" w:sz="4" w:space="0"/>
              <w:left w:val="single" w:color="auto" w:sz="4" w:space="0"/>
              <w:bottom w:val="single" w:color="auto" w:sz="4" w:space="0"/>
              <w:right w:val="single" w:color="auto" w:sz="4" w:space="0"/>
            </w:tcBorders>
            <w:vAlign w:val="center"/>
          </w:tcPr>
          <w:p w14:paraId="05DD359D">
            <w:pPr>
              <w:pStyle w:val="33"/>
              <w:rPr>
                <w:color w:val="auto"/>
              </w:rPr>
            </w:pPr>
            <w:r>
              <w:rPr>
                <w:color w:val="auto"/>
              </w:rPr>
              <w:t>120</w:t>
            </w:r>
          </w:p>
        </w:tc>
        <w:tc>
          <w:tcPr>
            <w:tcW w:w="469" w:type="pct"/>
            <w:tcBorders>
              <w:top w:val="single" w:color="auto" w:sz="4" w:space="0"/>
              <w:left w:val="single" w:color="auto" w:sz="4" w:space="0"/>
              <w:bottom w:val="single" w:color="auto" w:sz="4" w:space="0"/>
              <w:right w:val="single" w:color="auto" w:sz="4" w:space="0"/>
            </w:tcBorders>
            <w:vAlign w:val="center"/>
          </w:tcPr>
          <w:p w14:paraId="125E7778">
            <w:pPr>
              <w:pStyle w:val="33"/>
              <w:rPr>
                <w:color w:val="auto"/>
              </w:rPr>
            </w:pPr>
            <w:r>
              <w:rPr>
                <w:color w:val="auto"/>
              </w:rPr>
              <w:t>1331</w:t>
            </w:r>
          </w:p>
        </w:tc>
        <w:tc>
          <w:tcPr>
            <w:tcW w:w="939" w:type="pct"/>
          </w:tcPr>
          <w:p w14:paraId="4D19E93F">
            <w:pPr>
              <w:pStyle w:val="33"/>
              <w:rPr>
                <w:color w:val="auto"/>
              </w:rPr>
            </w:pPr>
            <w:r>
              <w:rPr>
                <w:rFonts w:hint="eastAsia"/>
                <w:color w:val="auto"/>
              </w:rPr>
              <w:t>居民区</w:t>
            </w:r>
          </w:p>
        </w:tc>
        <w:tc>
          <w:tcPr>
            <w:tcW w:w="1248" w:type="pct"/>
            <w:vMerge w:val="continue"/>
            <w:vAlign w:val="center"/>
          </w:tcPr>
          <w:p w14:paraId="7615E7A1">
            <w:pPr>
              <w:pStyle w:val="33"/>
              <w:rPr>
                <w:color w:val="auto"/>
              </w:rPr>
            </w:pPr>
          </w:p>
        </w:tc>
      </w:tr>
      <w:tr w14:paraId="43573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371B6BDF">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2062414">
            <w:pPr>
              <w:pStyle w:val="33"/>
              <w:rPr>
                <w:color w:val="auto"/>
              </w:rPr>
            </w:pPr>
            <w:r>
              <w:rPr>
                <w:color w:val="auto"/>
              </w:rPr>
              <w:t>蚝蜊墩</w:t>
            </w:r>
          </w:p>
        </w:tc>
        <w:tc>
          <w:tcPr>
            <w:tcW w:w="470" w:type="pct"/>
            <w:tcBorders>
              <w:top w:val="single" w:color="auto" w:sz="4" w:space="0"/>
              <w:left w:val="single" w:color="auto" w:sz="4" w:space="0"/>
              <w:bottom w:val="single" w:color="auto" w:sz="4" w:space="0"/>
              <w:right w:val="single" w:color="auto" w:sz="4" w:space="0"/>
            </w:tcBorders>
            <w:vAlign w:val="center"/>
          </w:tcPr>
          <w:p w14:paraId="30A2D37B">
            <w:pPr>
              <w:pStyle w:val="33"/>
              <w:rPr>
                <w:color w:val="auto"/>
              </w:rPr>
            </w:pPr>
            <w:r>
              <w:rPr>
                <w:color w:val="auto"/>
              </w:rPr>
              <w:t>N</w:t>
            </w:r>
          </w:p>
        </w:tc>
        <w:tc>
          <w:tcPr>
            <w:tcW w:w="703" w:type="pct"/>
            <w:tcBorders>
              <w:top w:val="single" w:color="auto" w:sz="4" w:space="0"/>
              <w:left w:val="single" w:color="auto" w:sz="4" w:space="0"/>
              <w:bottom w:val="single" w:color="auto" w:sz="4" w:space="0"/>
              <w:right w:val="single" w:color="auto" w:sz="4" w:space="0"/>
            </w:tcBorders>
            <w:vAlign w:val="center"/>
          </w:tcPr>
          <w:p w14:paraId="7197E2B5">
            <w:pPr>
              <w:pStyle w:val="33"/>
              <w:rPr>
                <w:color w:val="auto"/>
              </w:rPr>
            </w:pPr>
            <w:r>
              <w:rPr>
                <w:color w:val="auto"/>
              </w:rPr>
              <w:t>1500</w:t>
            </w:r>
          </w:p>
        </w:tc>
        <w:tc>
          <w:tcPr>
            <w:tcW w:w="469" w:type="pct"/>
            <w:tcBorders>
              <w:top w:val="single" w:color="auto" w:sz="4" w:space="0"/>
              <w:left w:val="single" w:color="auto" w:sz="4" w:space="0"/>
              <w:bottom w:val="single" w:color="auto" w:sz="4" w:space="0"/>
              <w:right w:val="single" w:color="auto" w:sz="4" w:space="0"/>
            </w:tcBorders>
            <w:vAlign w:val="center"/>
          </w:tcPr>
          <w:p w14:paraId="6AE12F77">
            <w:pPr>
              <w:pStyle w:val="33"/>
              <w:rPr>
                <w:color w:val="auto"/>
              </w:rPr>
            </w:pPr>
            <w:r>
              <w:rPr>
                <w:color w:val="auto"/>
              </w:rPr>
              <w:t>330</w:t>
            </w:r>
          </w:p>
        </w:tc>
        <w:tc>
          <w:tcPr>
            <w:tcW w:w="939" w:type="pct"/>
          </w:tcPr>
          <w:p w14:paraId="5BE6CFDB">
            <w:pPr>
              <w:pStyle w:val="33"/>
              <w:rPr>
                <w:color w:val="auto"/>
              </w:rPr>
            </w:pPr>
            <w:r>
              <w:rPr>
                <w:rFonts w:hint="eastAsia"/>
                <w:color w:val="auto"/>
              </w:rPr>
              <w:t>居民区</w:t>
            </w:r>
          </w:p>
        </w:tc>
        <w:tc>
          <w:tcPr>
            <w:tcW w:w="1248" w:type="pct"/>
            <w:vMerge w:val="continue"/>
            <w:vAlign w:val="center"/>
          </w:tcPr>
          <w:p w14:paraId="40C0E67D">
            <w:pPr>
              <w:pStyle w:val="33"/>
              <w:rPr>
                <w:color w:val="auto"/>
              </w:rPr>
            </w:pPr>
          </w:p>
        </w:tc>
      </w:tr>
      <w:tr w14:paraId="78225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03432528">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1F5197E">
            <w:pPr>
              <w:pStyle w:val="33"/>
              <w:rPr>
                <w:color w:val="auto"/>
              </w:rPr>
            </w:pPr>
            <w:r>
              <w:rPr>
                <w:color w:val="auto"/>
              </w:rPr>
              <w:t>新联村</w:t>
            </w:r>
          </w:p>
        </w:tc>
        <w:tc>
          <w:tcPr>
            <w:tcW w:w="470" w:type="pct"/>
            <w:tcBorders>
              <w:top w:val="single" w:color="auto" w:sz="4" w:space="0"/>
              <w:left w:val="single" w:color="auto" w:sz="4" w:space="0"/>
              <w:bottom w:val="single" w:color="auto" w:sz="4" w:space="0"/>
              <w:right w:val="single" w:color="auto" w:sz="4" w:space="0"/>
            </w:tcBorders>
            <w:vAlign w:val="center"/>
          </w:tcPr>
          <w:p w14:paraId="72DFC5D3">
            <w:pPr>
              <w:pStyle w:val="33"/>
              <w:rPr>
                <w:color w:val="auto"/>
              </w:rPr>
            </w:pPr>
            <w:r>
              <w:rPr>
                <w:color w:val="auto"/>
              </w:rPr>
              <w:t>NE</w:t>
            </w:r>
          </w:p>
        </w:tc>
        <w:tc>
          <w:tcPr>
            <w:tcW w:w="703" w:type="pct"/>
            <w:tcBorders>
              <w:top w:val="single" w:color="auto" w:sz="4" w:space="0"/>
              <w:left w:val="single" w:color="auto" w:sz="4" w:space="0"/>
              <w:bottom w:val="single" w:color="auto" w:sz="4" w:space="0"/>
              <w:right w:val="single" w:color="auto" w:sz="4" w:space="0"/>
            </w:tcBorders>
            <w:vAlign w:val="center"/>
          </w:tcPr>
          <w:p w14:paraId="0DB51256">
            <w:pPr>
              <w:pStyle w:val="33"/>
              <w:rPr>
                <w:color w:val="auto"/>
              </w:rPr>
            </w:pPr>
            <w:r>
              <w:rPr>
                <w:color w:val="auto"/>
              </w:rPr>
              <w:t>1500</w:t>
            </w:r>
          </w:p>
        </w:tc>
        <w:tc>
          <w:tcPr>
            <w:tcW w:w="469" w:type="pct"/>
            <w:tcBorders>
              <w:top w:val="single" w:color="auto" w:sz="4" w:space="0"/>
              <w:left w:val="single" w:color="auto" w:sz="4" w:space="0"/>
              <w:bottom w:val="single" w:color="auto" w:sz="4" w:space="0"/>
              <w:right w:val="single" w:color="auto" w:sz="4" w:space="0"/>
            </w:tcBorders>
            <w:vAlign w:val="center"/>
          </w:tcPr>
          <w:p w14:paraId="768D2942">
            <w:pPr>
              <w:pStyle w:val="33"/>
              <w:rPr>
                <w:color w:val="auto"/>
              </w:rPr>
            </w:pPr>
            <w:r>
              <w:rPr>
                <w:color w:val="auto"/>
              </w:rPr>
              <w:t>700</w:t>
            </w:r>
          </w:p>
        </w:tc>
        <w:tc>
          <w:tcPr>
            <w:tcW w:w="939" w:type="pct"/>
          </w:tcPr>
          <w:p w14:paraId="2074B5C6">
            <w:pPr>
              <w:pStyle w:val="33"/>
              <w:rPr>
                <w:color w:val="auto"/>
              </w:rPr>
            </w:pPr>
            <w:r>
              <w:rPr>
                <w:rFonts w:hint="eastAsia"/>
                <w:color w:val="auto"/>
              </w:rPr>
              <w:t>居民区</w:t>
            </w:r>
          </w:p>
        </w:tc>
        <w:tc>
          <w:tcPr>
            <w:tcW w:w="1248" w:type="pct"/>
            <w:vMerge w:val="continue"/>
            <w:vAlign w:val="center"/>
          </w:tcPr>
          <w:p w14:paraId="386E3CE1">
            <w:pPr>
              <w:pStyle w:val="33"/>
              <w:rPr>
                <w:color w:val="auto"/>
              </w:rPr>
            </w:pPr>
          </w:p>
        </w:tc>
      </w:tr>
      <w:tr w14:paraId="2EF22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5855F4FB">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4A42AC1">
            <w:pPr>
              <w:pStyle w:val="33"/>
              <w:rPr>
                <w:color w:val="auto"/>
              </w:rPr>
            </w:pPr>
            <w:r>
              <w:rPr>
                <w:color w:val="auto"/>
              </w:rPr>
              <w:t>榕树灶</w:t>
            </w:r>
          </w:p>
        </w:tc>
        <w:tc>
          <w:tcPr>
            <w:tcW w:w="470" w:type="pct"/>
            <w:tcBorders>
              <w:top w:val="single" w:color="auto" w:sz="4" w:space="0"/>
              <w:left w:val="single" w:color="auto" w:sz="4" w:space="0"/>
              <w:bottom w:val="single" w:color="auto" w:sz="4" w:space="0"/>
              <w:right w:val="single" w:color="auto" w:sz="4" w:space="0"/>
            </w:tcBorders>
            <w:vAlign w:val="center"/>
          </w:tcPr>
          <w:p w14:paraId="59092BB1">
            <w:pPr>
              <w:pStyle w:val="33"/>
              <w:rPr>
                <w:color w:val="auto"/>
              </w:rPr>
            </w:pPr>
            <w:r>
              <w:rPr>
                <w:color w:val="auto"/>
              </w:rPr>
              <w:t>NE</w:t>
            </w:r>
          </w:p>
        </w:tc>
        <w:tc>
          <w:tcPr>
            <w:tcW w:w="703" w:type="pct"/>
            <w:tcBorders>
              <w:top w:val="single" w:color="auto" w:sz="4" w:space="0"/>
              <w:left w:val="single" w:color="auto" w:sz="4" w:space="0"/>
              <w:bottom w:val="single" w:color="auto" w:sz="4" w:space="0"/>
              <w:right w:val="single" w:color="auto" w:sz="4" w:space="0"/>
            </w:tcBorders>
            <w:vAlign w:val="center"/>
          </w:tcPr>
          <w:p w14:paraId="4FDE0FA0">
            <w:pPr>
              <w:pStyle w:val="33"/>
              <w:rPr>
                <w:color w:val="auto"/>
              </w:rPr>
            </w:pPr>
            <w:r>
              <w:rPr>
                <w:color w:val="auto"/>
              </w:rPr>
              <w:t>2300</w:t>
            </w:r>
          </w:p>
        </w:tc>
        <w:tc>
          <w:tcPr>
            <w:tcW w:w="469" w:type="pct"/>
            <w:tcBorders>
              <w:top w:val="single" w:color="auto" w:sz="4" w:space="0"/>
              <w:left w:val="single" w:color="auto" w:sz="4" w:space="0"/>
              <w:bottom w:val="single" w:color="auto" w:sz="4" w:space="0"/>
              <w:right w:val="single" w:color="auto" w:sz="4" w:space="0"/>
            </w:tcBorders>
            <w:vAlign w:val="center"/>
          </w:tcPr>
          <w:p w14:paraId="150A3D4D">
            <w:pPr>
              <w:pStyle w:val="33"/>
              <w:rPr>
                <w:color w:val="auto"/>
              </w:rPr>
            </w:pPr>
            <w:r>
              <w:rPr>
                <w:color w:val="auto"/>
              </w:rPr>
              <w:t>810</w:t>
            </w:r>
          </w:p>
        </w:tc>
        <w:tc>
          <w:tcPr>
            <w:tcW w:w="939" w:type="pct"/>
          </w:tcPr>
          <w:p w14:paraId="44DE7416">
            <w:pPr>
              <w:pStyle w:val="33"/>
              <w:rPr>
                <w:color w:val="auto"/>
              </w:rPr>
            </w:pPr>
            <w:r>
              <w:rPr>
                <w:rFonts w:hint="eastAsia"/>
                <w:color w:val="auto"/>
              </w:rPr>
              <w:t>居民区</w:t>
            </w:r>
          </w:p>
        </w:tc>
        <w:tc>
          <w:tcPr>
            <w:tcW w:w="1248" w:type="pct"/>
            <w:vMerge w:val="continue"/>
            <w:vAlign w:val="center"/>
          </w:tcPr>
          <w:p w14:paraId="251843EA">
            <w:pPr>
              <w:pStyle w:val="33"/>
              <w:rPr>
                <w:color w:val="auto"/>
              </w:rPr>
            </w:pPr>
          </w:p>
        </w:tc>
      </w:tr>
      <w:tr w14:paraId="7B709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B9918C1">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B5754BE">
            <w:pPr>
              <w:pStyle w:val="33"/>
              <w:rPr>
                <w:color w:val="auto"/>
              </w:rPr>
            </w:pPr>
            <w:r>
              <w:rPr>
                <w:color w:val="auto"/>
              </w:rPr>
              <w:t>粟地脚</w:t>
            </w:r>
          </w:p>
        </w:tc>
        <w:tc>
          <w:tcPr>
            <w:tcW w:w="470" w:type="pct"/>
            <w:tcBorders>
              <w:top w:val="single" w:color="auto" w:sz="4" w:space="0"/>
              <w:left w:val="single" w:color="auto" w:sz="4" w:space="0"/>
              <w:bottom w:val="single" w:color="auto" w:sz="4" w:space="0"/>
              <w:right w:val="single" w:color="auto" w:sz="4" w:space="0"/>
            </w:tcBorders>
            <w:vAlign w:val="center"/>
          </w:tcPr>
          <w:p w14:paraId="405AD271">
            <w:pPr>
              <w:pStyle w:val="33"/>
              <w:rPr>
                <w:color w:val="auto"/>
              </w:rPr>
            </w:pPr>
            <w:r>
              <w:rPr>
                <w:color w:val="auto"/>
              </w:rPr>
              <w:t>E</w:t>
            </w:r>
          </w:p>
        </w:tc>
        <w:tc>
          <w:tcPr>
            <w:tcW w:w="703" w:type="pct"/>
            <w:tcBorders>
              <w:top w:val="single" w:color="auto" w:sz="4" w:space="0"/>
              <w:left w:val="single" w:color="auto" w:sz="4" w:space="0"/>
              <w:bottom w:val="single" w:color="auto" w:sz="4" w:space="0"/>
              <w:right w:val="single" w:color="auto" w:sz="4" w:space="0"/>
            </w:tcBorders>
            <w:vAlign w:val="center"/>
          </w:tcPr>
          <w:p w14:paraId="77481596">
            <w:pPr>
              <w:pStyle w:val="33"/>
              <w:rPr>
                <w:color w:val="auto"/>
              </w:rPr>
            </w:pPr>
            <w:r>
              <w:rPr>
                <w:color w:val="auto"/>
              </w:rPr>
              <w:t>2200</w:t>
            </w:r>
          </w:p>
        </w:tc>
        <w:tc>
          <w:tcPr>
            <w:tcW w:w="469" w:type="pct"/>
            <w:tcBorders>
              <w:top w:val="single" w:color="auto" w:sz="4" w:space="0"/>
              <w:left w:val="single" w:color="auto" w:sz="4" w:space="0"/>
              <w:bottom w:val="single" w:color="auto" w:sz="4" w:space="0"/>
              <w:right w:val="single" w:color="auto" w:sz="4" w:space="0"/>
            </w:tcBorders>
            <w:vAlign w:val="center"/>
          </w:tcPr>
          <w:p w14:paraId="237101D9">
            <w:pPr>
              <w:pStyle w:val="33"/>
              <w:rPr>
                <w:color w:val="auto"/>
              </w:rPr>
            </w:pPr>
            <w:r>
              <w:rPr>
                <w:color w:val="auto"/>
              </w:rPr>
              <w:t>365</w:t>
            </w:r>
          </w:p>
        </w:tc>
        <w:tc>
          <w:tcPr>
            <w:tcW w:w="939" w:type="pct"/>
          </w:tcPr>
          <w:p w14:paraId="41609A1A">
            <w:pPr>
              <w:pStyle w:val="33"/>
              <w:rPr>
                <w:color w:val="auto"/>
              </w:rPr>
            </w:pPr>
            <w:r>
              <w:rPr>
                <w:rFonts w:hint="eastAsia"/>
                <w:color w:val="auto"/>
              </w:rPr>
              <w:t>居民区</w:t>
            </w:r>
          </w:p>
        </w:tc>
        <w:tc>
          <w:tcPr>
            <w:tcW w:w="1248" w:type="pct"/>
            <w:vMerge w:val="continue"/>
            <w:vAlign w:val="center"/>
          </w:tcPr>
          <w:p w14:paraId="3204C118">
            <w:pPr>
              <w:pStyle w:val="33"/>
              <w:rPr>
                <w:color w:val="auto"/>
              </w:rPr>
            </w:pPr>
          </w:p>
        </w:tc>
      </w:tr>
      <w:tr w14:paraId="4B051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28E6EB1F">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DD6D4CF">
            <w:pPr>
              <w:pStyle w:val="33"/>
              <w:rPr>
                <w:color w:val="auto"/>
              </w:rPr>
            </w:pPr>
            <w:r>
              <w:rPr>
                <w:color w:val="auto"/>
              </w:rPr>
              <w:t>犀牛角镇新联小学幼儿园</w:t>
            </w:r>
          </w:p>
        </w:tc>
        <w:tc>
          <w:tcPr>
            <w:tcW w:w="470" w:type="pct"/>
            <w:tcBorders>
              <w:top w:val="single" w:color="auto" w:sz="4" w:space="0"/>
              <w:left w:val="single" w:color="auto" w:sz="4" w:space="0"/>
              <w:bottom w:val="single" w:color="auto" w:sz="4" w:space="0"/>
              <w:right w:val="single" w:color="auto" w:sz="4" w:space="0"/>
            </w:tcBorders>
            <w:vAlign w:val="center"/>
          </w:tcPr>
          <w:p w14:paraId="75AEED27">
            <w:pPr>
              <w:pStyle w:val="33"/>
              <w:rPr>
                <w:color w:val="auto"/>
              </w:rPr>
            </w:pPr>
            <w:r>
              <w:rPr>
                <w:color w:val="auto"/>
              </w:rPr>
              <w:t>N</w:t>
            </w:r>
          </w:p>
        </w:tc>
        <w:tc>
          <w:tcPr>
            <w:tcW w:w="703" w:type="pct"/>
            <w:tcBorders>
              <w:top w:val="single" w:color="auto" w:sz="4" w:space="0"/>
              <w:left w:val="single" w:color="auto" w:sz="4" w:space="0"/>
              <w:bottom w:val="single" w:color="auto" w:sz="4" w:space="0"/>
              <w:right w:val="single" w:color="auto" w:sz="4" w:space="0"/>
            </w:tcBorders>
            <w:vAlign w:val="center"/>
          </w:tcPr>
          <w:p w14:paraId="52CCD6D8">
            <w:pPr>
              <w:pStyle w:val="33"/>
              <w:rPr>
                <w:color w:val="auto"/>
              </w:rPr>
            </w:pPr>
            <w:r>
              <w:rPr>
                <w:color w:val="auto"/>
              </w:rPr>
              <w:t>950</w:t>
            </w:r>
          </w:p>
        </w:tc>
        <w:tc>
          <w:tcPr>
            <w:tcW w:w="469" w:type="pct"/>
            <w:tcBorders>
              <w:top w:val="single" w:color="auto" w:sz="4" w:space="0"/>
              <w:left w:val="single" w:color="auto" w:sz="4" w:space="0"/>
              <w:bottom w:val="single" w:color="auto" w:sz="4" w:space="0"/>
              <w:right w:val="single" w:color="auto" w:sz="4" w:space="0"/>
            </w:tcBorders>
            <w:vAlign w:val="center"/>
          </w:tcPr>
          <w:p w14:paraId="175B090B">
            <w:pPr>
              <w:pStyle w:val="33"/>
              <w:rPr>
                <w:color w:val="auto"/>
              </w:rPr>
            </w:pPr>
            <w:r>
              <w:rPr>
                <w:color w:val="auto"/>
              </w:rPr>
              <w:t>200</w:t>
            </w:r>
          </w:p>
        </w:tc>
        <w:tc>
          <w:tcPr>
            <w:tcW w:w="939" w:type="pct"/>
            <w:vAlign w:val="center"/>
          </w:tcPr>
          <w:p w14:paraId="1A76A60B">
            <w:pPr>
              <w:pStyle w:val="33"/>
              <w:rPr>
                <w:color w:val="auto"/>
              </w:rPr>
            </w:pPr>
            <w:r>
              <w:rPr>
                <w:color w:val="auto"/>
              </w:rPr>
              <w:t>学校</w:t>
            </w:r>
          </w:p>
        </w:tc>
        <w:tc>
          <w:tcPr>
            <w:tcW w:w="1248" w:type="pct"/>
            <w:vMerge w:val="continue"/>
            <w:vAlign w:val="center"/>
          </w:tcPr>
          <w:p w14:paraId="54CCAC91">
            <w:pPr>
              <w:pStyle w:val="33"/>
              <w:rPr>
                <w:color w:val="auto"/>
              </w:rPr>
            </w:pPr>
          </w:p>
        </w:tc>
      </w:tr>
      <w:tr w14:paraId="5604D4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D238072">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60356C0">
            <w:pPr>
              <w:pStyle w:val="33"/>
              <w:rPr>
                <w:color w:val="auto"/>
              </w:rPr>
            </w:pPr>
            <w:r>
              <w:rPr>
                <w:color w:val="auto"/>
              </w:rPr>
              <w:t>黄竹根</w:t>
            </w:r>
          </w:p>
        </w:tc>
        <w:tc>
          <w:tcPr>
            <w:tcW w:w="470" w:type="pct"/>
            <w:tcBorders>
              <w:top w:val="single" w:color="auto" w:sz="4" w:space="0"/>
              <w:left w:val="single" w:color="auto" w:sz="4" w:space="0"/>
              <w:bottom w:val="single" w:color="auto" w:sz="4" w:space="0"/>
              <w:right w:val="single" w:color="auto" w:sz="4" w:space="0"/>
            </w:tcBorders>
            <w:vAlign w:val="center"/>
          </w:tcPr>
          <w:p w14:paraId="7923EC92">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7237A1BC">
            <w:pPr>
              <w:pStyle w:val="33"/>
              <w:rPr>
                <w:color w:val="auto"/>
              </w:rPr>
            </w:pPr>
            <w:r>
              <w:rPr>
                <w:color w:val="auto"/>
              </w:rPr>
              <w:t>10</w:t>
            </w:r>
          </w:p>
        </w:tc>
        <w:tc>
          <w:tcPr>
            <w:tcW w:w="469" w:type="pct"/>
            <w:tcBorders>
              <w:top w:val="single" w:color="auto" w:sz="4" w:space="0"/>
              <w:left w:val="single" w:color="auto" w:sz="4" w:space="0"/>
              <w:bottom w:val="single" w:color="auto" w:sz="4" w:space="0"/>
              <w:right w:val="single" w:color="auto" w:sz="4" w:space="0"/>
            </w:tcBorders>
            <w:vAlign w:val="center"/>
          </w:tcPr>
          <w:p w14:paraId="5B449D82">
            <w:pPr>
              <w:pStyle w:val="33"/>
              <w:rPr>
                <w:color w:val="auto"/>
              </w:rPr>
            </w:pPr>
            <w:r>
              <w:rPr>
                <w:color w:val="auto"/>
              </w:rPr>
              <w:t>100</w:t>
            </w:r>
          </w:p>
        </w:tc>
        <w:tc>
          <w:tcPr>
            <w:tcW w:w="939" w:type="pct"/>
          </w:tcPr>
          <w:p w14:paraId="725B79F0">
            <w:pPr>
              <w:pStyle w:val="33"/>
              <w:rPr>
                <w:color w:val="auto"/>
              </w:rPr>
            </w:pPr>
            <w:r>
              <w:rPr>
                <w:rFonts w:hint="eastAsia"/>
                <w:color w:val="auto"/>
              </w:rPr>
              <w:t>居民区</w:t>
            </w:r>
          </w:p>
        </w:tc>
        <w:tc>
          <w:tcPr>
            <w:tcW w:w="1248" w:type="pct"/>
            <w:vMerge w:val="continue"/>
            <w:vAlign w:val="center"/>
          </w:tcPr>
          <w:p w14:paraId="3A61D3BD">
            <w:pPr>
              <w:pStyle w:val="33"/>
              <w:rPr>
                <w:color w:val="auto"/>
              </w:rPr>
            </w:pPr>
          </w:p>
        </w:tc>
      </w:tr>
      <w:tr w14:paraId="26D62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260A51B">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0AABAA0">
            <w:pPr>
              <w:pStyle w:val="33"/>
              <w:rPr>
                <w:color w:val="auto"/>
              </w:rPr>
            </w:pPr>
            <w:r>
              <w:rPr>
                <w:rFonts w:hint="eastAsia"/>
                <w:color w:val="auto"/>
              </w:rPr>
              <w:t>平山</w:t>
            </w:r>
          </w:p>
        </w:tc>
        <w:tc>
          <w:tcPr>
            <w:tcW w:w="470" w:type="pct"/>
            <w:tcBorders>
              <w:top w:val="single" w:color="auto" w:sz="4" w:space="0"/>
              <w:left w:val="single" w:color="auto" w:sz="4" w:space="0"/>
              <w:bottom w:val="single" w:color="auto" w:sz="4" w:space="0"/>
              <w:right w:val="single" w:color="auto" w:sz="4" w:space="0"/>
            </w:tcBorders>
            <w:vAlign w:val="center"/>
          </w:tcPr>
          <w:p w14:paraId="50C66058">
            <w:pPr>
              <w:pStyle w:val="33"/>
              <w:rPr>
                <w:color w:val="auto"/>
              </w:rPr>
            </w:pPr>
            <w:r>
              <w:rPr>
                <w:color w:val="auto"/>
              </w:rPr>
              <w:t>SE</w:t>
            </w:r>
          </w:p>
        </w:tc>
        <w:tc>
          <w:tcPr>
            <w:tcW w:w="703" w:type="pct"/>
            <w:tcBorders>
              <w:top w:val="single" w:color="auto" w:sz="4" w:space="0"/>
              <w:left w:val="single" w:color="auto" w:sz="4" w:space="0"/>
              <w:bottom w:val="single" w:color="auto" w:sz="4" w:space="0"/>
              <w:right w:val="single" w:color="auto" w:sz="4" w:space="0"/>
            </w:tcBorders>
            <w:vAlign w:val="center"/>
          </w:tcPr>
          <w:p w14:paraId="656AF01A">
            <w:pPr>
              <w:pStyle w:val="33"/>
              <w:rPr>
                <w:color w:val="auto"/>
              </w:rPr>
            </w:pPr>
            <w:r>
              <w:rPr>
                <w:color w:val="auto"/>
              </w:rPr>
              <w:t>3400</w:t>
            </w:r>
          </w:p>
        </w:tc>
        <w:tc>
          <w:tcPr>
            <w:tcW w:w="469" w:type="pct"/>
            <w:tcBorders>
              <w:top w:val="single" w:color="auto" w:sz="4" w:space="0"/>
              <w:left w:val="single" w:color="auto" w:sz="4" w:space="0"/>
              <w:bottom w:val="single" w:color="auto" w:sz="4" w:space="0"/>
              <w:right w:val="single" w:color="auto" w:sz="4" w:space="0"/>
            </w:tcBorders>
            <w:vAlign w:val="center"/>
          </w:tcPr>
          <w:p w14:paraId="5289F102">
            <w:pPr>
              <w:pStyle w:val="33"/>
              <w:rPr>
                <w:color w:val="auto"/>
              </w:rPr>
            </w:pPr>
            <w:r>
              <w:rPr>
                <w:color w:val="auto"/>
              </w:rPr>
              <w:t>1600</w:t>
            </w:r>
          </w:p>
        </w:tc>
        <w:tc>
          <w:tcPr>
            <w:tcW w:w="939" w:type="pct"/>
          </w:tcPr>
          <w:p w14:paraId="10EFB238">
            <w:pPr>
              <w:pStyle w:val="33"/>
              <w:rPr>
                <w:color w:val="auto"/>
              </w:rPr>
            </w:pPr>
            <w:r>
              <w:rPr>
                <w:rFonts w:hint="eastAsia"/>
                <w:color w:val="auto"/>
              </w:rPr>
              <w:t>居民区</w:t>
            </w:r>
          </w:p>
        </w:tc>
        <w:tc>
          <w:tcPr>
            <w:tcW w:w="1248" w:type="pct"/>
            <w:vMerge w:val="continue"/>
            <w:vAlign w:val="center"/>
          </w:tcPr>
          <w:p w14:paraId="5694D5AD">
            <w:pPr>
              <w:pStyle w:val="33"/>
              <w:rPr>
                <w:color w:val="auto"/>
              </w:rPr>
            </w:pPr>
          </w:p>
        </w:tc>
      </w:tr>
      <w:tr w14:paraId="5286B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004A61C9">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0961A6F">
            <w:pPr>
              <w:pStyle w:val="33"/>
              <w:rPr>
                <w:color w:val="auto"/>
              </w:rPr>
            </w:pPr>
            <w:r>
              <w:rPr>
                <w:rFonts w:hint="eastAsia"/>
                <w:color w:val="auto"/>
              </w:rPr>
              <w:t>淡水湾</w:t>
            </w:r>
          </w:p>
        </w:tc>
        <w:tc>
          <w:tcPr>
            <w:tcW w:w="470" w:type="pct"/>
            <w:tcBorders>
              <w:top w:val="single" w:color="auto" w:sz="4" w:space="0"/>
              <w:left w:val="single" w:color="auto" w:sz="4" w:space="0"/>
              <w:bottom w:val="single" w:color="auto" w:sz="4" w:space="0"/>
              <w:right w:val="single" w:color="auto" w:sz="4" w:space="0"/>
            </w:tcBorders>
            <w:vAlign w:val="center"/>
          </w:tcPr>
          <w:p w14:paraId="5980F9ED">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4400ED03">
            <w:pPr>
              <w:pStyle w:val="33"/>
              <w:rPr>
                <w:color w:val="auto"/>
              </w:rPr>
            </w:pPr>
            <w:r>
              <w:rPr>
                <w:color w:val="auto"/>
              </w:rPr>
              <w:t>2678</w:t>
            </w:r>
          </w:p>
        </w:tc>
        <w:tc>
          <w:tcPr>
            <w:tcW w:w="469" w:type="pct"/>
            <w:tcBorders>
              <w:top w:val="single" w:color="auto" w:sz="4" w:space="0"/>
              <w:left w:val="single" w:color="auto" w:sz="4" w:space="0"/>
              <w:bottom w:val="single" w:color="auto" w:sz="4" w:space="0"/>
              <w:right w:val="single" w:color="auto" w:sz="4" w:space="0"/>
            </w:tcBorders>
            <w:vAlign w:val="center"/>
          </w:tcPr>
          <w:p w14:paraId="729165DA">
            <w:pPr>
              <w:pStyle w:val="33"/>
              <w:rPr>
                <w:color w:val="auto"/>
              </w:rPr>
            </w:pPr>
            <w:r>
              <w:rPr>
                <w:color w:val="auto"/>
              </w:rPr>
              <w:t>1280</w:t>
            </w:r>
          </w:p>
        </w:tc>
        <w:tc>
          <w:tcPr>
            <w:tcW w:w="939" w:type="pct"/>
          </w:tcPr>
          <w:p w14:paraId="4EFD4D43">
            <w:pPr>
              <w:pStyle w:val="33"/>
              <w:rPr>
                <w:color w:val="auto"/>
              </w:rPr>
            </w:pPr>
            <w:r>
              <w:rPr>
                <w:rFonts w:hint="eastAsia"/>
                <w:color w:val="auto"/>
              </w:rPr>
              <w:t>居民区</w:t>
            </w:r>
          </w:p>
        </w:tc>
        <w:tc>
          <w:tcPr>
            <w:tcW w:w="1248" w:type="pct"/>
            <w:vMerge w:val="continue"/>
            <w:vAlign w:val="center"/>
          </w:tcPr>
          <w:p w14:paraId="6689E0EC">
            <w:pPr>
              <w:pStyle w:val="33"/>
              <w:rPr>
                <w:color w:val="auto"/>
              </w:rPr>
            </w:pPr>
          </w:p>
        </w:tc>
      </w:tr>
      <w:tr w14:paraId="3D2A9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1570DA87">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57C27A4">
            <w:pPr>
              <w:pStyle w:val="33"/>
              <w:rPr>
                <w:color w:val="auto"/>
              </w:rPr>
            </w:pPr>
            <w:r>
              <w:rPr>
                <w:rFonts w:hint="eastAsia"/>
                <w:color w:val="auto"/>
              </w:rPr>
              <w:t>金鼓社区</w:t>
            </w:r>
          </w:p>
        </w:tc>
        <w:tc>
          <w:tcPr>
            <w:tcW w:w="470" w:type="pct"/>
            <w:tcBorders>
              <w:top w:val="single" w:color="auto" w:sz="4" w:space="0"/>
              <w:left w:val="single" w:color="auto" w:sz="4" w:space="0"/>
              <w:bottom w:val="single" w:color="auto" w:sz="4" w:space="0"/>
              <w:right w:val="single" w:color="auto" w:sz="4" w:space="0"/>
            </w:tcBorders>
            <w:vAlign w:val="center"/>
          </w:tcPr>
          <w:p w14:paraId="270973B4">
            <w:pPr>
              <w:pStyle w:val="33"/>
              <w:rPr>
                <w:color w:val="auto"/>
              </w:rPr>
            </w:pPr>
            <w:r>
              <w:rPr>
                <w:color w:val="auto"/>
              </w:rPr>
              <w:t>W</w:t>
            </w:r>
          </w:p>
        </w:tc>
        <w:tc>
          <w:tcPr>
            <w:tcW w:w="703" w:type="pct"/>
            <w:tcBorders>
              <w:top w:val="single" w:color="auto" w:sz="4" w:space="0"/>
              <w:left w:val="single" w:color="auto" w:sz="4" w:space="0"/>
              <w:bottom w:val="single" w:color="auto" w:sz="4" w:space="0"/>
              <w:right w:val="single" w:color="auto" w:sz="4" w:space="0"/>
            </w:tcBorders>
            <w:vAlign w:val="center"/>
          </w:tcPr>
          <w:p w14:paraId="30A891EA">
            <w:pPr>
              <w:pStyle w:val="33"/>
              <w:rPr>
                <w:color w:val="auto"/>
              </w:rPr>
            </w:pPr>
            <w:r>
              <w:rPr>
                <w:color w:val="auto"/>
              </w:rPr>
              <w:t>3714</w:t>
            </w:r>
          </w:p>
        </w:tc>
        <w:tc>
          <w:tcPr>
            <w:tcW w:w="469" w:type="pct"/>
            <w:tcBorders>
              <w:top w:val="single" w:color="auto" w:sz="4" w:space="0"/>
              <w:left w:val="single" w:color="auto" w:sz="4" w:space="0"/>
              <w:bottom w:val="single" w:color="auto" w:sz="4" w:space="0"/>
              <w:right w:val="single" w:color="auto" w:sz="4" w:space="0"/>
            </w:tcBorders>
            <w:vAlign w:val="center"/>
          </w:tcPr>
          <w:p w14:paraId="4DF28976">
            <w:pPr>
              <w:pStyle w:val="33"/>
              <w:rPr>
                <w:color w:val="auto"/>
              </w:rPr>
            </w:pPr>
            <w:r>
              <w:rPr>
                <w:color w:val="auto"/>
              </w:rPr>
              <w:t>850</w:t>
            </w:r>
          </w:p>
        </w:tc>
        <w:tc>
          <w:tcPr>
            <w:tcW w:w="939" w:type="pct"/>
          </w:tcPr>
          <w:p w14:paraId="6C904A55">
            <w:pPr>
              <w:pStyle w:val="33"/>
              <w:rPr>
                <w:color w:val="auto"/>
              </w:rPr>
            </w:pPr>
            <w:r>
              <w:rPr>
                <w:rFonts w:hint="eastAsia"/>
                <w:color w:val="auto"/>
              </w:rPr>
              <w:t>居民区</w:t>
            </w:r>
          </w:p>
        </w:tc>
        <w:tc>
          <w:tcPr>
            <w:tcW w:w="1248" w:type="pct"/>
            <w:vMerge w:val="continue"/>
            <w:vAlign w:val="center"/>
          </w:tcPr>
          <w:p w14:paraId="7680903E">
            <w:pPr>
              <w:pStyle w:val="33"/>
              <w:rPr>
                <w:color w:val="auto"/>
              </w:rPr>
            </w:pPr>
          </w:p>
        </w:tc>
      </w:tr>
      <w:tr w14:paraId="6373E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257BEEF5">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E8B00A0">
            <w:pPr>
              <w:pStyle w:val="33"/>
              <w:rPr>
                <w:color w:val="auto"/>
              </w:rPr>
            </w:pPr>
            <w:r>
              <w:rPr>
                <w:rFonts w:hint="eastAsia"/>
                <w:color w:val="auto"/>
              </w:rPr>
              <w:t>松柏港村</w:t>
            </w:r>
          </w:p>
        </w:tc>
        <w:tc>
          <w:tcPr>
            <w:tcW w:w="470" w:type="pct"/>
            <w:tcBorders>
              <w:top w:val="single" w:color="auto" w:sz="4" w:space="0"/>
              <w:left w:val="single" w:color="auto" w:sz="4" w:space="0"/>
              <w:bottom w:val="single" w:color="auto" w:sz="4" w:space="0"/>
              <w:right w:val="single" w:color="auto" w:sz="4" w:space="0"/>
            </w:tcBorders>
            <w:vAlign w:val="center"/>
          </w:tcPr>
          <w:p w14:paraId="55A3C8E0">
            <w:pPr>
              <w:pStyle w:val="33"/>
              <w:rPr>
                <w:color w:val="auto"/>
              </w:rPr>
            </w:pPr>
            <w:r>
              <w:rPr>
                <w:color w:val="auto"/>
              </w:rPr>
              <w:t>NW</w:t>
            </w:r>
          </w:p>
        </w:tc>
        <w:tc>
          <w:tcPr>
            <w:tcW w:w="703" w:type="pct"/>
            <w:tcBorders>
              <w:top w:val="single" w:color="auto" w:sz="4" w:space="0"/>
              <w:left w:val="single" w:color="auto" w:sz="4" w:space="0"/>
              <w:bottom w:val="single" w:color="auto" w:sz="4" w:space="0"/>
              <w:right w:val="single" w:color="auto" w:sz="4" w:space="0"/>
            </w:tcBorders>
            <w:vAlign w:val="center"/>
          </w:tcPr>
          <w:p w14:paraId="075E0F8C">
            <w:pPr>
              <w:pStyle w:val="33"/>
              <w:rPr>
                <w:color w:val="auto"/>
              </w:rPr>
            </w:pPr>
            <w:r>
              <w:rPr>
                <w:color w:val="auto"/>
              </w:rPr>
              <w:t>3700</w:t>
            </w:r>
          </w:p>
        </w:tc>
        <w:tc>
          <w:tcPr>
            <w:tcW w:w="469" w:type="pct"/>
            <w:tcBorders>
              <w:top w:val="single" w:color="auto" w:sz="4" w:space="0"/>
              <w:left w:val="single" w:color="auto" w:sz="4" w:space="0"/>
              <w:bottom w:val="single" w:color="auto" w:sz="4" w:space="0"/>
              <w:right w:val="single" w:color="auto" w:sz="4" w:space="0"/>
            </w:tcBorders>
            <w:vAlign w:val="center"/>
          </w:tcPr>
          <w:p w14:paraId="3E871CFD">
            <w:pPr>
              <w:pStyle w:val="33"/>
              <w:rPr>
                <w:color w:val="auto"/>
              </w:rPr>
            </w:pPr>
            <w:r>
              <w:rPr>
                <w:color w:val="auto"/>
              </w:rPr>
              <w:t>280</w:t>
            </w:r>
          </w:p>
        </w:tc>
        <w:tc>
          <w:tcPr>
            <w:tcW w:w="939" w:type="pct"/>
          </w:tcPr>
          <w:p w14:paraId="606FF96A">
            <w:pPr>
              <w:pStyle w:val="33"/>
              <w:rPr>
                <w:color w:val="auto"/>
              </w:rPr>
            </w:pPr>
            <w:r>
              <w:rPr>
                <w:rFonts w:hint="eastAsia"/>
                <w:color w:val="auto"/>
              </w:rPr>
              <w:t>居民区</w:t>
            </w:r>
          </w:p>
        </w:tc>
        <w:tc>
          <w:tcPr>
            <w:tcW w:w="1248" w:type="pct"/>
            <w:vMerge w:val="continue"/>
            <w:vAlign w:val="center"/>
          </w:tcPr>
          <w:p w14:paraId="42C039BD">
            <w:pPr>
              <w:pStyle w:val="33"/>
              <w:rPr>
                <w:color w:val="auto"/>
              </w:rPr>
            </w:pPr>
          </w:p>
        </w:tc>
      </w:tr>
      <w:tr w14:paraId="05FF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705F5481">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439D10D">
            <w:pPr>
              <w:pStyle w:val="33"/>
              <w:rPr>
                <w:color w:val="auto"/>
              </w:rPr>
            </w:pPr>
            <w:r>
              <w:rPr>
                <w:rFonts w:hint="eastAsia"/>
                <w:color w:val="auto"/>
              </w:rPr>
              <w:t>中马阳光高级中学</w:t>
            </w:r>
          </w:p>
        </w:tc>
        <w:tc>
          <w:tcPr>
            <w:tcW w:w="470" w:type="pct"/>
            <w:tcBorders>
              <w:top w:val="single" w:color="auto" w:sz="4" w:space="0"/>
              <w:left w:val="single" w:color="auto" w:sz="4" w:space="0"/>
              <w:bottom w:val="single" w:color="auto" w:sz="4" w:space="0"/>
              <w:right w:val="single" w:color="auto" w:sz="4" w:space="0"/>
            </w:tcBorders>
            <w:vAlign w:val="center"/>
          </w:tcPr>
          <w:p w14:paraId="0915A0B0">
            <w:pPr>
              <w:pStyle w:val="33"/>
              <w:rPr>
                <w:color w:val="auto"/>
              </w:rPr>
            </w:pPr>
            <w:r>
              <w:rPr>
                <w:color w:val="auto"/>
              </w:rPr>
              <w:t>NW</w:t>
            </w:r>
          </w:p>
        </w:tc>
        <w:tc>
          <w:tcPr>
            <w:tcW w:w="703" w:type="pct"/>
            <w:tcBorders>
              <w:top w:val="single" w:color="auto" w:sz="4" w:space="0"/>
              <w:left w:val="single" w:color="auto" w:sz="4" w:space="0"/>
              <w:bottom w:val="single" w:color="auto" w:sz="4" w:space="0"/>
              <w:right w:val="single" w:color="auto" w:sz="4" w:space="0"/>
            </w:tcBorders>
            <w:vAlign w:val="center"/>
          </w:tcPr>
          <w:p w14:paraId="1DC245EC">
            <w:pPr>
              <w:pStyle w:val="33"/>
              <w:rPr>
                <w:color w:val="auto"/>
              </w:rPr>
            </w:pPr>
            <w:r>
              <w:rPr>
                <w:color w:val="auto"/>
              </w:rPr>
              <w:t>4218</w:t>
            </w:r>
          </w:p>
        </w:tc>
        <w:tc>
          <w:tcPr>
            <w:tcW w:w="469" w:type="pct"/>
            <w:tcBorders>
              <w:top w:val="single" w:color="auto" w:sz="4" w:space="0"/>
              <w:left w:val="single" w:color="auto" w:sz="4" w:space="0"/>
              <w:bottom w:val="single" w:color="auto" w:sz="4" w:space="0"/>
              <w:right w:val="single" w:color="auto" w:sz="4" w:space="0"/>
            </w:tcBorders>
            <w:vAlign w:val="center"/>
          </w:tcPr>
          <w:p w14:paraId="41013B3D">
            <w:pPr>
              <w:pStyle w:val="33"/>
              <w:rPr>
                <w:color w:val="auto"/>
              </w:rPr>
            </w:pPr>
            <w:r>
              <w:rPr>
                <w:color w:val="auto"/>
              </w:rPr>
              <w:t>190</w:t>
            </w:r>
          </w:p>
        </w:tc>
        <w:tc>
          <w:tcPr>
            <w:tcW w:w="939" w:type="pct"/>
            <w:vAlign w:val="center"/>
          </w:tcPr>
          <w:p w14:paraId="674A5818">
            <w:pPr>
              <w:pStyle w:val="33"/>
              <w:rPr>
                <w:color w:val="auto"/>
              </w:rPr>
            </w:pPr>
            <w:r>
              <w:rPr>
                <w:color w:val="auto"/>
              </w:rPr>
              <w:t>学校</w:t>
            </w:r>
          </w:p>
        </w:tc>
        <w:tc>
          <w:tcPr>
            <w:tcW w:w="1248" w:type="pct"/>
            <w:vMerge w:val="continue"/>
            <w:vAlign w:val="center"/>
          </w:tcPr>
          <w:p w14:paraId="2A226EC1">
            <w:pPr>
              <w:pStyle w:val="33"/>
              <w:rPr>
                <w:color w:val="auto"/>
              </w:rPr>
            </w:pPr>
          </w:p>
        </w:tc>
      </w:tr>
      <w:tr w14:paraId="5EAA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3E9DF407">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CA793BF">
            <w:pPr>
              <w:pStyle w:val="33"/>
              <w:rPr>
                <w:color w:val="auto"/>
              </w:rPr>
            </w:pPr>
            <w:r>
              <w:rPr>
                <w:rFonts w:hint="eastAsia"/>
                <w:color w:val="auto"/>
              </w:rPr>
              <w:t>独连车</w:t>
            </w:r>
          </w:p>
        </w:tc>
        <w:tc>
          <w:tcPr>
            <w:tcW w:w="470" w:type="pct"/>
            <w:tcBorders>
              <w:top w:val="single" w:color="auto" w:sz="4" w:space="0"/>
              <w:left w:val="single" w:color="auto" w:sz="4" w:space="0"/>
              <w:bottom w:val="single" w:color="auto" w:sz="4" w:space="0"/>
              <w:right w:val="single" w:color="auto" w:sz="4" w:space="0"/>
            </w:tcBorders>
            <w:vAlign w:val="center"/>
          </w:tcPr>
          <w:p w14:paraId="53DBF31B">
            <w:pPr>
              <w:pStyle w:val="33"/>
              <w:rPr>
                <w:color w:val="auto"/>
              </w:rPr>
            </w:pPr>
            <w:r>
              <w:rPr>
                <w:color w:val="auto"/>
              </w:rPr>
              <w:t>NW</w:t>
            </w:r>
          </w:p>
        </w:tc>
        <w:tc>
          <w:tcPr>
            <w:tcW w:w="703" w:type="pct"/>
            <w:tcBorders>
              <w:top w:val="single" w:color="auto" w:sz="4" w:space="0"/>
              <w:left w:val="single" w:color="auto" w:sz="4" w:space="0"/>
              <w:bottom w:val="single" w:color="auto" w:sz="4" w:space="0"/>
              <w:right w:val="single" w:color="auto" w:sz="4" w:space="0"/>
            </w:tcBorders>
            <w:vAlign w:val="center"/>
          </w:tcPr>
          <w:p w14:paraId="380A4227">
            <w:pPr>
              <w:pStyle w:val="33"/>
              <w:rPr>
                <w:color w:val="auto"/>
              </w:rPr>
            </w:pPr>
            <w:r>
              <w:rPr>
                <w:color w:val="auto"/>
              </w:rPr>
              <w:t>2445</w:t>
            </w:r>
          </w:p>
        </w:tc>
        <w:tc>
          <w:tcPr>
            <w:tcW w:w="469" w:type="pct"/>
            <w:tcBorders>
              <w:top w:val="single" w:color="auto" w:sz="4" w:space="0"/>
              <w:left w:val="single" w:color="auto" w:sz="4" w:space="0"/>
              <w:bottom w:val="single" w:color="auto" w:sz="4" w:space="0"/>
              <w:right w:val="single" w:color="auto" w:sz="4" w:space="0"/>
            </w:tcBorders>
            <w:vAlign w:val="center"/>
          </w:tcPr>
          <w:p w14:paraId="7C98A8DB">
            <w:pPr>
              <w:pStyle w:val="33"/>
              <w:rPr>
                <w:color w:val="auto"/>
              </w:rPr>
            </w:pPr>
            <w:r>
              <w:rPr>
                <w:color w:val="auto"/>
              </w:rPr>
              <w:t>1698</w:t>
            </w:r>
          </w:p>
        </w:tc>
        <w:tc>
          <w:tcPr>
            <w:tcW w:w="939" w:type="pct"/>
          </w:tcPr>
          <w:p w14:paraId="0792DFD5">
            <w:pPr>
              <w:pStyle w:val="33"/>
              <w:rPr>
                <w:color w:val="auto"/>
              </w:rPr>
            </w:pPr>
            <w:r>
              <w:rPr>
                <w:rFonts w:hint="eastAsia"/>
                <w:color w:val="auto"/>
              </w:rPr>
              <w:t>居民区</w:t>
            </w:r>
          </w:p>
        </w:tc>
        <w:tc>
          <w:tcPr>
            <w:tcW w:w="1248" w:type="pct"/>
            <w:vMerge w:val="continue"/>
            <w:vAlign w:val="center"/>
          </w:tcPr>
          <w:p w14:paraId="28A1B50A">
            <w:pPr>
              <w:pStyle w:val="33"/>
              <w:rPr>
                <w:color w:val="auto"/>
              </w:rPr>
            </w:pPr>
          </w:p>
        </w:tc>
      </w:tr>
      <w:tr w14:paraId="7499D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610A34D5">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F99B0C9">
            <w:pPr>
              <w:pStyle w:val="33"/>
              <w:rPr>
                <w:color w:val="auto"/>
              </w:rPr>
            </w:pPr>
            <w:r>
              <w:rPr>
                <w:rFonts w:hint="eastAsia"/>
                <w:color w:val="auto"/>
              </w:rPr>
              <w:t>大灶村</w:t>
            </w:r>
          </w:p>
        </w:tc>
        <w:tc>
          <w:tcPr>
            <w:tcW w:w="470" w:type="pct"/>
            <w:tcBorders>
              <w:top w:val="single" w:color="auto" w:sz="4" w:space="0"/>
              <w:left w:val="single" w:color="auto" w:sz="4" w:space="0"/>
              <w:bottom w:val="single" w:color="auto" w:sz="4" w:space="0"/>
              <w:right w:val="single" w:color="auto" w:sz="4" w:space="0"/>
            </w:tcBorders>
            <w:vAlign w:val="center"/>
          </w:tcPr>
          <w:p w14:paraId="261FEDF5">
            <w:pPr>
              <w:pStyle w:val="33"/>
              <w:rPr>
                <w:color w:val="auto"/>
              </w:rPr>
            </w:pPr>
            <w:r>
              <w:rPr>
                <w:color w:val="auto"/>
              </w:rPr>
              <w:t>SE</w:t>
            </w:r>
          </w:p>
        </w:tc>
        <w:tc>
          <w:tcPr>
            <w:tcW w:w="703" w:type="pct"/>
            <w:tcBorders>
              <w:top w:val="single" w:color="auto" w:sz="4" w:space="0"/>
              <w:left w:val="single" w:color="auto" w:sz="4" w:space="0"/>
              <w:bottom w:val="single" w:color="auto" w:sz="4" w:space="0"/>
              <w:right w:val="single" w:color="auto" w:sz="4" w:space="0"/>
            </w:tcBorders>
            <w:vAlign w:val="center"/>
          </w:tcPr>
          <w:p w14:paraId="31F888CD">
            <w:pPr>
              <w:pStyle w:val="33"/>
              <w:rPr>
                <w:color w:val="auto"/>
              </w:rPr>
            </w:pPr>
            <w:r>
              <w:rPr>
                <w:color w:val="auto"/>
              </w:rPr>
              <w:t>5435</w:t>
            </w:r>
          </w:p>
        </w:tc>
        <w:tc>
          <w:tcPr>
            <w:tcW w:w="469" w:type="pct"/>
            <w:tcBorders>
              <w:top w:val="single" w:color="auto" w:sz="4" w:space="0"/>
              <w:left w:val="single" w:color="auto" w:sz="4" w:space="0"/>
              <w:bottom w:val="single" w:color="auto" w:sz="4" w:space="0"/>
              <w:right w:val="single" w:color="auto" w:sz="4" w:space="0"/>
            </w:tcBorders>
            <w:vAlign w:val="center"/>
          </w:tcPr>
          <w:p w14:paraId="26A4EE2D">
            <w:pPr>
              <w:pStyle w:val="33"/>
              <w:rPr>
                <w:color w:val="auto"/>
              </w:rPr>
            </w:pPr>
            <w:r>
              <w:rPr>
                <w:color w:val="auto"/>
              </w:rPr>
              <w:t>2000</w:t>
            </w:r>
          </w:p>
        </w:tc>
        <w:tc>
          <w:tcPr>
            <w:tcW w:w="939" w:type="pct"/>
          </w:tcPr>
          <w:p w14:paraId="2051F5B0">
            <w:pPr>
              <w:pStyle w:val="33"/>
              <w:rPr>
                <w:color w:val="auto"/>
              </w:rPr>
            </w:pPr>
            <w:r>
              <w:rPr>
                <w:rFonts w:hint="eastAsia"/>
                <w:color w:val="auto"/>
              </w:rPr>
              <w:t>居民区</w:t>
            </w:r>
          </w:p>
        </w:tc>
        <w:tc>
          <w:tcPr>
            <w:tcW w:w="1248" w:type="pct"/>
            <w:vMerge w:val="continue"/>
            <w:vAlign w:val="center"/>
          </w:tcPr>
          <w:p w14:paraId="034B2367">
            <w:pPr>
              <w:pStyle w:val="33"/>
              <w:rPr>
                <w:color w:val="auto"/>
              </w:rPr>
            </w:pPr>
          </w:p>
        </w:tc>
      </w:tr>
      <w:tr w14:paraId="52D01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Merge w:val="continue"/>
            <w:vAlign w:val="center"/>
          </w:tcPr>
          <w:p w14:paraId="4DF2903C">
            <w:pPr>
              <w:pStyle w:val="33"/>
              <w:rPr>
                <w:color w:val="auto"/>
              </w:rPr>
            </w:pPr>
          </w:p>
        </w:tc>
        <w:tc>
          <w:tcPr>
            <w:tcW w:w="785"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D943139">
            <w:pPr>
              <w:pStyle w:val="33"/>
              <w:rPr>
                <w:color w:val="auto"/>
              </w:rPr>
            </w:pPr>
            <w:r>
              <w:rPr>
                <w:rFonts w:hint="eastAsia"/>
                <w:color w:val="auto"/>
              </w:rPr>
              <w:t>谷茅村</w:t>
            </w:r>
          </w:p>
        </w:tc>
        <w:tc>
          <w:tcPr>
            <w:tcW w:w="470" w:type="pct"/>
            <w:tcBorders>
              <w:top w:val="single" w:color="auto" w:sz="4" w:space="0"/>
              <w:left w:val="single" w:color="auto" w:sz="4" w:space="0"/>
              <w:bottom w:val="single" w:color="auto" w:sz="4" w:space="0"/>
              <w:right w:val="single" w:color="auto" w:sz="4" w:space="0"/>
            </w:tcBorders>
            <w:vAlign w:val="center"/>
          </w:tcPr>
          <w:p w14:paraId="69315955">
            <w:pPr>
              <w:pStyle w:val="33"/>
              <w:rPr>
                <w:color w:val="auto"/>
              </w:rPr>
            </w:pPr>
            <w:r>
              <w:rPr>
                <w:color w:val="auto"/>
              </w:rPr>
              <w:t>E</w:t>
            </w:r>
          </w:p>
        </w:tc>
        <w:tc>
          <w:tcPr>
            <w:tcW w:w="703" w:type="pct"/>
            <w:tcBorders>
              <w:top w:val="single" w:color="auto" w:sz="4" w:space="0"/>
              <w:left w:val="single" w:color="auto" w:sz="4" w:space="0"/>
              <w:bottom w:val="single" w:color="auto" w:sz="4" w:space="0"/>
              <w:right w:val="single" w:color="auto" w:sz="4" w:space="0"/>
            </w:tcBorders>
            <w:vAlign w:val="center"/>
          </w:tcPr>
          <w:p w14:paraId="253CF503">
            <w:pPr>
              <w:pStyle w:val="33"/>
              <w:rPr>
                <w:color w:val="auto"/>
              </w:rPr>
            </w:pPr>
            <w:r>
              <w:rPr>
                <w:color w:val="auto"/>
              </w:rPr>
              <w:t>5570</w:t>
            </w:r>
          </w:p>
        </w:tc>
        <w:tc>
          <w:tcPr>
            <w:tcW w:w="469" w:type="pct"/>
            <w:tcBorders>
              <w:top w:val="single" w:color="auto" w:sz="4" w:space="0"/>
              <w:left w:val="single" w:color="auto" w:sz="4" w:space="0"/>
              <w:bottom w:val="single" w:color="auto" w:sz="4" w:space="0"/>
              <w:right w:val="single" w:color="auto" w:sz="4" w:space="0"/>
            </w:tcBorders>
            <w:vAlign w:val="center"/>
          </w:tcPr>
          <w:p w14:paraId="2E90337B">
            <w:pPr>
              <w:pStyle w:val="33"/>
              <w:rPr>
                <w:color w:val="auto"/>
              </w:rPr>
            </w:pPr>
            <w:r>
              <w:rPr>
                <w:color w:val="auto"/>
              </w:rPr>
              <w:t>550</w:t>
            </w:r>
          </w:p>
        </w:tc>
        <w:tc>
          <w:tcPr>
            <w:tcW w:w="939" w:type="pct"/>
          </w:tcPr>
          <w:p w14:paraId="6D13C2C8">
            <w:pPr>
              <w:pStyle w:val="33"/>
              <w:rPr>
                <w:color w:val="auto"/>
              </w:rPr>
            </w:pPr>
            <w:r>
              <w:rPr>
                <w:rFonts w:hint="eastAsia"/>
                <w:color w:val="auto"/>
              </w:rPr>
              <w:t>居民区</w:t>
            </w:r>
          </w:p>
        </w:tc>
        <w:tc>
          <w:tcPr>
            <w:tcW w:w="1248" w:type="pct"/>
            <w:vMerge w:val="continue"/>
            <w:vAlign w:val="center"/>
          </w:tcPr>
          <w:p w14:paraId="2A246F57">
            <w:pPr>
              <w:pStyle w:val="33"/>
              <w:rPr>
                <w:color w:val="auto"/>
              </w:rPr>
            </w:pPr>
          </w:p>
        </w:tc>
      </w:tr>
      <w:tr w14:paraId="48359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Align w:val="center"/>
          </w:tcPr>
          <w:p w14:paraId="1475B6C0">
            <w:pPr>
              <w:pStyle w:val="33"/>
              <w:rPr>
                <w:color w:val="auto"/>
              </w:rPr>
            </w:pPr>
            <w:r>
              <w:rPr>
                <w:rFonts w:hint="eastAsia"/>
                <w:color w:val="auto"/>
              </w:rPr>
              <w:t>声环境</w:t>
            </w:r>
          </w:p>
        </w:tc>
        <w:tc>
          <w:tcPr>
            <w:tcW w:w="3366" w:type="pct"/>
            <w:gridSpan w:val="5"/>
            <w:tcBorders>
              <w:top w:val="single" w:color="auto" w:sz="4" w:space="0"/>
              <w:left w:val="single" w:color="auto" w:sz="4" w:space="0"/>
              <w:bottom w:val="single" w:color="auto" w:sz="4" w:space="0"/>
            </w:tcBorders>
            <w:tcMar>
              <w:top w:w="15" w:type="dxa"/>
              <w:left w:w="15" w:type="dxa"/>
              <w:bottom w:w="15" w:type="dxa"/>
              <w:right w:w="15" w:type="dxa"/>
            </w:tcMar>
            <w:vAlign w:val="center"/>
          </w:tcPr>
          <w:p w14:paraId="02F0A05F">
            <w:pPr>
              <w:pStyle w:val="33"/>
              <w:jc w:val="both"/>
              <w:rPr>
                <w:color w:val="auto"/>
              </w:rPr>
            </w:pPr>
            <w:r>
              <w:rPr>
                <w:rFonts w:hint="eastAsia"/>
                <w:color w:val="auto"/>
              </w:rPr>
              <w:t>黄竹根、老鸭坑、鸡墩头、鹿耳环、钦州港开发区第六小学、临时安置房</w:t>
            </w:r>
          </w:p>
        </w:tc>
        <w:tc>
          <w:tcPr>
            <w:tcW w:w="1248" w:type="pct"/>
            <w:vAlign w:val="center"/>
          </w:tcPr>
          <w:p w14:paraId="64450DF6">
            <w:pPr>
              <w:pStyle w:val="33"/>
              <w:jc w:val="both"/>
              <w:rPr>
                <w:color w:val="auto"/>
              </w:rPr>
            </w:pPr>
            <w:r>
              <w:rPr>
                <w:rFonts w:hint="eastAsia"/>
                <w:color w:val="auto"/>
              </w:rPr>
              <w:t>《声环境质量标准》（GB3096-2008）2类标准</w:t>
            </w:r>
          </w:p>
        </w:tc>
      </w:tr>
      <w:tr w14:paraId="55BAA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Align w:val="center"/>
          </w:tcPr>
          <w:p w14:paraId="4A31CF79">
            <w:pPr>
              <w:pStyle w:val="33"/>
              <w:rPr>
                <w:color w:val="auto"/>
              </w:rPr>
            </w:pPr>
            <w:r>
              <w:rPr>
                <w:rFonts w:hint="eastAsia"/>
                <w:color w:val="auto"/>
              </w:rPr>
              <w:t>地下水</w:t>
            </w:r>
          </w:p>
        </w:tc>
        <w:tc>
          <w:tcPr>
            <w:tcW w:w="3366" w:type="pct"/>
            <w:gridSpan w:val="5"/>
            <w:tcBorders>
              <w:top w:val="single" w:color="auto" w:sz="4" w:space="0"/>
              <w:left w:val="single" w:color="auto" w:sz="4" w:space="0"/>
              <w:bottom w:val="single" w:color="auto" w:sz="4" w:space="0"/>
            </w:tcBorders>
            <w:tcMar>
              <w:top w:w="15" w:type="dxa"/>
              <w:left w:w="15" w:type="dxa"/>
              <w:bottom w:w="15" w:type="dxa"/>
              <w:right w:w="15" w:type="dxa"/>
            </w:tcMar>
            <w:vAlign w:val="center"/>
          </w:tcPr>
          <w:p w14:paraId="73F1365C">
            <w:pPr>
              <w:pStyle w:val="33"/>
              <w:jc w:val="both"/>
              <w:rPr>
                <w:color w:val="auto"/>
              </w:rPr>
            </w:pPr>
            <w:r>
              <w:rPr>
                <w:rFonts w:hint="eastAsia"/>
                <w:color w:val="auto"/>
              </w:rPr>
              <w:t>评价范围内区域地下水和分散式饮用水源（</w:t>
            </w:r>
            <w:r>
              <w:rPr>
                <w:rFonts w:hint="eastAsia" w:cs="Times New Roman"/>
                <w:color w:val="auto"/>
              </w:rPr>
              <w:t>老鸦坑民井U2、龙狗坑民井U7、鸡墩头民井U9</w:t>
            </w:r>
            <w:r>
              <w:rPr>
                <w:rFonts w:hint="eastAsia"/>
                <w:color w:val="auto"/>
              </w:rPr>
              <w:t>）</w:t>
            </w:r>
          </w:p>
        </w:tc>
        <w:tc>
          <w:tcPr>
            <w:tcW w:w="1248" w:type="pct"/>
            <w:vAlign w:val="center"/>
          </w:tcPr>
          <w:p w14:paraId="07BF6CB9">
            <w:pPr>
              <w:pStyle w:val="33"/>
              <w:jc w:val="both"/>
              <w:rPr>
                <w:color w:val="auto"/>
              </w:rPr>
            </w:pPr>
            <w:r>
              <w:rPr>
                <w:rFonts w:hint="eastAsia"/>
                <w:color w:val="auto"/>
              </w:rPr>
              <w:t>《地下水环境质量标准》（GB/T 14848-2017）Ⅲ类标准</w:t>
            </w:r>
          </w:p>
        </w:tc>
      </w:tr>
      <w:tr w14:paraId="6A35E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86" w:type="pct"/>
            <w:vAlign w:val="center"/>
          </w:tcPr>
          <w:p w14:paraId="75B509EF">
            <w:pPr>
              <w:pStyle w:val="33"/>
              <w:rPr>
                <w:color w:val="auto"/>
              </w:rPr>
            </w:pPr>
            <w:r>
              <w:rPr>
                <w:rFonts w:hint="eastAsia"/>
                <w:color w:val="auto"/>
              </w:rPr>
              <w:t>土壤环境</w:t>
            </w:r>
          </w:p>
        </w:tc>
        <w:tc>
          <w:tcPr>
            <w:tcW w:w="3366" w:type="pct"/>
            <w:gridSpan w:val="5"/>
            <w:tcBorders>
              <w:top w:val="single" w:color="auto" w:sz="4" w:space="0"/>
              <w:left w:val="single" w:color="auto" w:sz="4" w:space="0"/>
              <w:bottom w:val="single" w:color="auto" w:sz="4" w:space="0"/>
            </w:tcBorders>
            <w:tcMar>
              <w:top w:w="15" w:type="dxa"/>
              <w:left w:w="15" w:type="dxa"/>
              <w:bottom w:w="15" w:type="dxa"/>
              <w:right w:w="15" w:type="dxa"/>
            </w:tcMar>
            <w:vAlign w:val="center"/>
          </w:tcPr>
          <w:p w14:paraId="3D4AF968">
            <w:pPr>
              <w:pStyle w:val="33"/>
              <w:jc w:val="both"/>
              <w:rPr>
                <w:color w:val="auto"/>
              </w:rPr>
            </w:pPr>
            <w:r>
              <w:rPr>
                <w:rFonts w:hint="eastAsia"/>
                <w:color w:val="auto"/>
              </w:rPr>
              <w:t>项目厂界外1000m范围内耕地、农田等</w:t>
            </w:r>
          </w:p>
        </w:tc>
        <w:tc>
          <w:tcPr>
            <w:tcW w:w="1248" w:type="pct"/>
            <w:vAlign w:val="center"/>
          </w:tcPr>
          <w:p w14:paraId="004ECDB2">
            <w:pPr>
              <w:pStyle w:val="33"/>
              <w:jc w:val="both"/>
              <w:rPr>
                <w:color w:val="auto"/>
              </w:rPr>
            </w:pPr>
            <w:r>
              <w:rPr>
                <w:rFonts w:hint="eastAsia"/>
                <w:color w:val="auto"/>
              </w:rPr>
              <w:t>《土壤环境质量 农用地土壤污染风险管控标准（试行）》（GB 15618-2018）中的风险筛选值</w:t>
            </w:r>
          </w:p>
        </w:tc>
      </w:tr>
    </w:tbl>
    <w:p w14:paraId="6AFB5ABD">
      <w:pPr>
        <w:ind w:firstLine="0" w:firstLineChars="0"/>
        <w:rPr>
          <w:rFonts w:cs="Times New Roman"/>
          <w:color w:val="auto"/>
        </w:rPr>
      </w:pPr>
    </w:p>
    <w:p w14:paraId="77001B6F">
      <w:pPr>
        <w:pStyle w:val="7"/>
        <w:rPr>
          <w:color w:val="auto"/>
        </w:rPr>
      </w:pPr>
      <w:r>
        <w:rPr>
          <w:color w:val="auto"/>
        </w:rPr>
        <w:t>主要海域环境敏感保护目标</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8"/>
        <w:gridCol w:w="3280"/>
        <w:gridCol w:w="836"/>
        <w:gridCol w:w="2416"/>
        <w:gridCol w:w="1506"/>
      </w:tblGrid>
      <w:tr w14:paraId="1DFB1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672" w:type="pct"/>
            <w:vAlign w:val="center"/>
          </w:tcPr>
          <w:p w14:paraId="600A248F">
            <w:pPr>
              <w:pStyle w:val="33"/>
              <w:rPr>
                <w:color w:val="auto"/>
              </w:rPr>
            </w:pPr>
            <w:r>
              <w:rPr>
                <w:color w:val="auto"/>
              </w:rPr>
              <w:t>类型</w:t>
            </w:r>
          </w:p>
        </w:tc>
        <w:tc>
          <w:tcPr>
            <w:tcW w:w="1766" w:type="pct"/>
            <w:vAlign w:val="center"/>
          </w:tcPr>
          <w:p w14:paraId="00295A12">
            <w:pPr>
              <w:pStyle w:val="33"/>
              <w:rPr>
                <w:color w:val="auto"/>
              </w:rPr>
            </w:pPr>
            <w:r>
              <w:rPr>
                <w:color w:val="auto"/>
              </w:rPr>
              <w:t>名称</w:t>
            </w:r>
          </w:p>
        </w:tc>
        <w:tc>
          <w:tcPr>
            <w:tcW w:w="450" w:type="pct"/>
            <w:vAlign w:val="center"/>
          </w:tcPr>
          <w:p w14:paraId="4D710907">
            <w:pPr>
              <w:pStyle w:val="33"/>
              <w:rPr>
                <w:color w:val="auto"/>
              </w:rPr>
            </w:pPr>
            <w:r>
              <w:rPr>
                <w:color w:val="auto"/>
              </w:rPr>
              <w:t>方位</w:t>
            </w:r>
          </w:p>
        </w:tc>
        <w:tc>
          <w:tcPr>
            <w:tcW w:w="1301" w:type="pct"/>
            <w:vAlign w:val="center"/>
          </w:tcPr>
          <w:p w14:paraId="04743CFF">
            <w:pPr>
              <w:pStyle w:val="33"/>
              <w:rPr>
                <w:color w:val="auto"/>
              </w:rPr>
            </w:pPr>
            <w:r>
              <w:rPr>
                <w:color w:val="auto"/>
              </w:rPr>
              <w:t>保护内容</w:t>
            </w:r>
          </w:p>
        </w:tc>
        <w:tc>
          <w:tcPr>
            <w:tcW w:w="811" w:type="pct"/>
            <w:vAlign w:val="center"/>
          </w:tcPr>
          <w:p w14:paraId="7A54B044">
            <w:pPr>
              <w:pStyle w:val="33"/>
              <w:rPr>
                <w:color w:val="auto"/>
              </w:rPr>
            </w:pPr>
            <w:r>
              <w:rPr>
                <w:rFonts w:hint="eastAsia"/>
                <w:color w:val="auto"/>
              </w:rPr>
              <w:t>最近距离（</w:t>
            </w:r>
            <w:r>
              <w:rPr>
                <w:color w:val="auto"/>
              </w:rPr>
              <w:t>km</w:t>
            </w:r>
            <w:r>
              <w:rPr>
                <w:rFonts w:hint="eastAsia"/>
                <w:color w:val="auto"/>
              </w:rPr>
              <w:t>）</w:t>
            </w:r>
          </w:p>
        </w:tc>
      </w:tr>
      <w:tr w14:paraId="5BCF6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Merge w:val="restart"/>
            <w:vAlign w:val="center"/>
          </w:tcPr>
          <w:p w14:paraId="43F9AF2C">
            <w:pPr>
              <w:pStyle w:val="33"/>
              <w:rPr>
                <w:color w:val="auto"/>
              </w:rPr>
            </w:pPr>
            <w:r>
              <w:rPr>
                <w:color w:val="auto"/>
              </w:rPr>
              <w:t>红树林分布区</w:t>
            </w:r>
          </w:p>
        </w:tc>
        <w:tc>
          <w:tcPr>
            <w:tcW w:w="1766" w:type="pct"/>
            <w:vAlign w:val="center"/>
          </w:tcPr>
          <w:p w14:paraId="5CC20259">
            <w:pPr>
              <w:pStyle w:val="33"/>
              <w:rPr>
                <w:color w:val="auto"/>
              </w:rPr>
            </w:pPr>
            <w:r>
              <w:rPr>
                <w:color w:val="auto"/>
              </w:rPr>
              <w:t>鹿耳环江红树林区</w:t>
            </w:r>
          </w:p>
        </w:tc>
        <w:tc>
          <w:tcPr>
            <w:tcW w:w="450" w:type="pct"/>
            <w:vAlign w:val="center"/>
          </w:tcPr>
          <w:p w14:paraId="19E10898">
            <w:pPr>
              <w:pStyle w:val="33"/>
              <w:rPr>
                <w:color w:val="auto"/>
              </w:rPr>
            </w:pPr>
            <w:r>
              <w:rPr>
                <w:color w:val="auto"/>
              </w:rPr>
              <w:t>东</w:t>
            </w:r>
          </w:p>
        </w:tc>
        <w:tc>
          <w:tcPr>
            <w:tcW w:w="1301" w:type="pct"/>
            <w:vAlign w:val="center"/>
          </w:tcPr>
          <w:p w14:paraId="69137726">
            <w:pPr>
              <w:pStyle w:val="33"/>
              <w:rPr>
                <w:color w:val="auto"/>
              </w:rPr>
            </w:pPr>
            <w:r>
              <w:rPr>
                <w:color w:val="auto"/>
              </w:rPr>
              <w:t>水质、生态环境</w:t>
            </w:r>
          </w:p>
        </w:tc>
        <w:tc>
          <w:tcPr>
            <w:tcW w:w="811" w:type="pct"/>
            <w:vAlign w:val="center"/>
          </w:tcPr>
          <w:p w14:paraId="2ACED508">
            <w:pPr>
              <w:pStyle w:val="33"/>
              <w:rPr>
                <w:color w:val="auto"/>
              </w:rPr>
            </w:pPr>
            <w:r>
              <w:rPr>
                <w:rFonts w:hint="eastAsia"/>
                <w:color w:val="auto"/>
              </w:rPr>
              <w:t>1.4</w:t>
            </w:r>
          </w:p>
        </w:tc>
      </w:tr>
      <w:tr w14:paraId="37751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Merge w:val="continue"/>
            <w:vAlign w:val="center"/>
          </w:tcPr>
          <w:p w14:paraId="3DC0C06F">
            <w:pPr>
              <w:pStyle w:val="33"/>
              <w:rPr>
                <w:color w:val="auto"/>
              </w:rPr>
            </w:pPr>
          </w:p>
        </w:tc>
        <w:tc>
          <w:tcPr>
            <w:tcW w:w="1766" w:type="pct"/>
            <w:vAlign w:val="center"/>
          </w:tcPr>
          <w:p w14:paraId="26A32BC1">
            <w:pPr>
              <w:pStyle w:val="33"/>
              <w:rPr>
                <w:color w:val="auto"/>
              </w:rPr>
            </w:pPr>
            <w:r>
              <w:rPr>
                <w:color w:val="auto"/>
              </w:rPr>
              <w:t>金鼓江红树林区</w:t>
            </w:r>
          </w:p>
        </w:tc>
        <w:tc>
          <w:tcPr>
            <w:tcW w:w="450" w:type="pct"/>
            <w:vAlign w:val="center"/>
          </w:tcPr>
          <w:p w14:paraId="5CD26540">
            <w:pPr>
              <w:pStyle w:val="33"/>
              <w:rPr>
                <w:color w:val="auto"/>
              </w:rPr>
            </w:pPr>
            <w:r>
              <w:rPr>
                <w:color w:val="auto"/>
              </w:rPr>
              <w:t>西北</w:t>
            </w:r>
          </w:p>
        </w:tc>
        <w:tc>
          <w:tcPr>
            <w:tcW w:w="1301" w:type="pct"/>
            <w:vAlign w:val="center"/>
          </w:tcPr>
          <w:p w14:paraId="0E8335CC">
            <w:pPr>
              <w:pStyle w:val="33"/>
              <w:rPr>
                <w:color w:val="auto"/>
              </w:rPr>
            </w:pPr>
            <w:r>
              <w:rPr>
                <w:color w:val="auto"/>
              </w:rPr>
              <w:t>水质、生态环境</w:t>
            </w:r>
          </w:p>
        </w:tc>
        <w:tc>
          <w:tcPr>
            <w:tcW w:w="811" w:type="pct"/>
            <w:vAlign w:val="center"/>
          </w:tcPr>
          <w:p w14:paraId="5AB39C03">
            <w:pPr>
              <w:pStyle w:val="33"/>
              <w:rPr>
                <w:color w:val="auto"/>
              </w:rPr>
            </w:pPr>
            <w:r>
              <w:rPr>
                <w:rFonts w:hint="eastAsia"/>
                <w:color w:val="auto"/>
              </w:rPr>
              <w:t>6.3</w:t>
            </w:r>
          </w:p>
        </w:tc>
      </w:tr>
      <w:tr w14:paraId="612B0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Merge w:val="continue"/>
            <w:vAlign w:val="center"/>
          </w:tcPr>
          <w:p w14:paraId="21BA4361">
            <w:pPr>
              <w:pStyle w:val="33"/>
              <w:rPr>
                <w:color w:val="auto"/>
              </w:rPr>
            </w:pPr>
          </w:p>
        </w:tc>
        <w:tc>
          <w:tcPr>
            <w:tcW w:w="1766" w:type="pct"/>
            <w:vAlign w:val="center"/>
          </w:tcPr>
          <w:p w14:paraId="01B7A686">
            <w:pPr>
              <w:pStyle w:val="33"/>
              <w:rPr>
                <w:color w:val="auto"/>
              </w:rPr>
            </w:pPr>
            <w:r>
              <w:rPr>
                <w:color w:val="auto"/>
              </w:rPr>
              <w:t>七十二泾红树林区</w:t>
            </w:r>
          </w:p>
        </w:tc>
        <w:tc>
          <w:tcPr>
            <w:tcW w:w="450" w:type="pct"/>
            <w:vAlign w:val="center"/>
          </w:tcPr>
          <w:p w14:paraId="7D7C24B0">
            <w:pPr>
              <w:pStyle w:val="33"/>
              <w:rPr>
                <w:color w:val="auto"/>
              </w:rPr>
            </w:pPr>
            <w:r>
              <w:rPr>
                <w:color w:val="auto"/>
              </w:rPr>
              <w:t>西北</w:t>
            </w:r>
          </w:p>
        </w:tc>
        <w:tc>
          <w:tcPr>
            <w:tcW w:w="1301" w:type="pct"/>
            <w:vAlign w:val="center"/>
          </w:tcPr>
          <w:p w14:paraId="1E98751E">
            <w:pPr>
              <w:pStyle w:val="33"/>
              <w:rPr>
                <w:color w:val="auto"/>
              </w:rPr>
            </w:pPr>
            <w:r>
              <w:rPr>
                <w:color w:val="auto"/>
              </w:rPr>
              <w:t>水质、生态环境</w:t>
            </w:r>
          </w:p>
        </w:tc>
        <w:tc>
          <w:tcPr>
            <w:tcW w:w="811" w:type="pct"/>
            <w:vAlign w:val="center"/>
          </w:tcPr>
          <w:p w14:paraId="59D1D025">
            <w:pPr>
              <w:pStyle w:val="33"/>
              <w:rPr>
                <w:color w:val="auto"/>
              </w:rPr>
            </w:pPr>
            <w:r>
              <w:rPr>
                <w:rFonts w:hint="eastAsia"/>
                <w:color w:val="auto"/>
              </w:rPr>
              <w:t>10.9</w:t>
            </w:r>
          </w:p>
        </w:tc>
      </w:tr>
      <w:tr w14:paraId="1601E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Align w:val="center"/>
          </w:tcPr>
          <w:p w14:paraId="4B271943">
            <w:pPr>
              <w:pStyle w:val="33"/>
              <w:rPr>
                <w:color w:val="auto"/>
              </w:rPr>
            </w:pPr>
            <w:r>
              <w:rPr>
                <w:color w:val="auto"/>
              </w:rPr>
              <w:t>海洋保护区</w:t>
            </w:r>
          </w:p>
        </w:tc>
        <w:tc>
          <w:tcPr>
            <w:tcW w:w="1766" w:type="pct"/>
            <w:vAlign w:val="center"/>
          </w:tcPr>
          <w:p w14:paraId="36010A57">
            <w:pPr>
              <w:pStyle w:val="33"/>
              <w:rPr>
                <w:color w:val="auto"/>
              </w:rPr>
            </w:pPr>
            <w:r>
              <w:rPr>
                <w:color w:val="auto"/>
              </w:rPr>
              <w:t>茅尾海红树林自然保护区</w:t>
            </w:r>
          </w:p>
        </w:tc>
        <w:tc>
          <w:tcPr>
            <w:tcW w:w="450" w:type="pct"/>
            <w:vAlign w:val="center"/>
          </w:tcPr>
          <w:p w14:paraId="60F66DC4">
            <w:pPr>
              <w:pStyle w:val="33"/>
              <w:rPr>
                <w:color w:val="auto"/>
              </w:rPr>
            </w:pPr>
            <w:r>
              <w:rPr>
                <w:color w:val="auto"/>
              </w:rPr>
              <w:t>西北、东北</w:t>
            </w:r>
          </w:p>
        </w:tc>
        <w:tc>
          <w:tcPr>
            <w:tcW w:w="1301" w:type="pct"/>
            <w:vAlign w:val="center"/>
          </w:tcPr>
          <w:p w14:paraId="68DDE0F3">
            <w:pPr>
              <w:pStyle w:val="33"/>
              <w:rPr>
                <w:color w:val="auto"/>
              </w:rPr>
            </w:pPr>
            <w:r>
              <w:rPr>
                <w:color w:val="auto"/>
              </w:rPr>
              <w:t>水质、生态环境</w:t>
            </w:r>
          </w:p>
        </w:tc>
        <w:tc>
          <w:tcPr>
            <w:tcW w:w="811" w:type="pct"/>
            <w:vAlign w:val="center"/>
          </w:tcPr>
          <w:p w14:paraId="230BC7EF">
            <w:pPr>
              <w:pStyle w:val="33"/>
              <w:rPr>
                <w:color w:val="auto"/>
              </w:rPr>
            </w:pPr>
            <w:r>
              <w:rPr>
                <w:rFonts w:hint="eastAsia"/>
                <w:color w:val="auto"/>
              </w:rPr>
              <w:t>9.8</w:t>
            </w:r>
          </w:p>
        </w:tc>
      </w:tr>
      <w:tr w14:paraId="44153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Align w:val="center"/>
          </w:tcPr>
          <w:p w14:paraId="61FE462A">
            <w:pPr>
              <w:pStyle w:val="33"/>
              <w:rPr>
                <w:color w:val="auto"/>
              </w:rPr>
            </w:pPr>
            <w:r>
              <w:rPr>
                <w:color w:val="auto"/>
              </w:rPr>
              <w:t>种质资源保护区</w:t>
            </w:r>
          </w:p>
        </w:tc>
        <w:tc>
          <w:tcPr>
            <w:tcW w:w="1766" w:type="pct"/>
            <w:vAlign w:val="center"/>
          </w:tcPr>
          <w:p w14:paraId="72D6A11B">
            <w:pPr>
              <w:pStyle w:val="33"/>
              <w:rPr>
                <w:color w:val="auto"/>
              </w:rPr>
            </w:pPr>
            <w:r>
              <w:rPr>
                <w:color w:val="auto"/>
              </w:rPr>
              <w:t>北部湾二长棘鲷长毛对虾国家级种质资源保护区（实验区）</w:t>
            </w:r>
          </w:p>
        </w:tc>
        <w:tc>
          <w:tcPr>
            <w:tcW w:w="450" w:type="pct"/>
            <w:vAlign w:val="center"/>
          </w:tcPr>
          <w:p w14:paraId="2EEF7F92">
            <w:pPr>
              <w:pStyle w:val="33"/>
              <w:rPr>
                <w:color w:val="auto"/>
              </w:rPr>
            </w:pPr>
            <w:r>
              <w:rPr>
                <w:color w:val="auto"/>
              </w:rPr>
              <w:t>南</w:t>
            </w:r>
          </w:p>
        </w:tc>
        <w:tc>
          <w:tcPr>
            <w:tcW w:w="1301" w:type="pct"/>
            <w:vAlign w:val="center"/>
          </w:tcPr>
          <w:p w14:paraId="34FDDA22">
            <w:pPr>
              <w:pStyle w:val="33"/>
              <w:rPr>
                <w:color w:val="auto"/>
              </w:rPr>
            </w:pPr>
            <w:r>
              <w:rPr>
                <w:color w:val="auto"/>
              </w:rPr>
              <w:t>海洋生态环境和物种多样性</w:t>
            </w:r>
          </w:p>
        </w:tc>
        <w:tc>
          <w:tcPr>
            <w:tcW w:w="811" w:type="pct"/>
            <w:vAlign w:val="center"/>
          </w:tcPr>
          <w:p w14:paraId="09A618E1">
            <w:pPr>
              <w:pStyle w:val="33"/>
              <w:rPr>
                <w:color w:val="auto"/>
              </w:rPr>
            </w:pPr>
            <w:r>
              <w:rPr>
                <w:rFonts w:hint="eastAsia"/>
                <w:color w:val="auto"/>
              </w:rPr>
              <w:t>23.8</w:t>
            </w:r>
          </w:p>
        </w:tc>
      </w:tr>
      <w:tr w14:paraId="1A02D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Merge w:val="restart"/>
            <w:vAlign w:val="center"/>
          </w:tcPr>
          <w:p w14:paraId="7C05AEDA">
            <w:pPr>
              <w:pStyle w:val="33"/>
              <w:rPr>
                <w:color w:val="auto"/>
              </w:rPr>
            </w:pPr>
            <w:r>
              <w:rPr>
                <w:color w:val="auto"/>
              </w:rPr>
              <w:t>旅游娱乐区</w:t>
            </w:r>
          </w:p>
        </w:tc>
        <w:tc>
          <w:tcPr>
            <w:tcW w:w="1766" w:type="pct"/>
            <w:vAlign w:val="center"/>
          </w:tcPr>
          <w:p w14:paraId="0111E9F2">
            <w:pPr>
              <w:pStyle w:val="33"/>
              <w:rPr>
                <w:color w:val="auto"/>
              </w:rPr>
            </w:pPr>
            <w:r>
              <w:rPr>
                <w:color w:val="auto"/>
              </w:rPr>
              <w:t>七十二泾风景区</w:t>
            </w:r>
          </w:p>
        </w:tc>
        <w:tc>
          <w:tcPr>
            <w:tcW w:w="450" w:type="pct"/>
            <w:vAlign w:val="center"/>
          </w:tcPr>
          <w:p w14:paraId="2748890F">
            <w:pPr>
              <w:pStyle w:val="33"/>
              <w:rPr>
                <w:color w:val="auto"/>
              </w:rPr>
            </w:pPr>
            <w:r>
              <w:rPr>
                <w:color w:val="auto"/>
              </w:rPr>
              <w:t>西北</w:t>
            </w:r>
          </w:p>
        </w:tc>
        <w:tc>
          <w:tcPr>
            <w:tcW w:w="1301" w:type="pct"/>
            <w:vAlign w:val="center"/>
          </w:tcPr>
          <w:p w14:paraId="24BEDB5F">
            <w:pPr>
              <w:pStyle w:val="33"/>
              <w:rPr>
                <w:color w:val="auto"/>
              </w:rPr>
            </w:pPr>
            <w:r>
              <w:rPr>
                <w:color w:val="auto"/>
              </w:rPr>
              <w:t>水质、生态环境</w:t>
            </w:r>
          </w:p>
        </w:tc>
        <w:tc>
          <w:tcPr>
            <w:tcW w:w="811" w:type="pct"/>
            <w:vAlign w:val="center"/>
          </w:tcPr>
          <w:p w14:paraId="48F27F1A">
            <w:pPr>
              <w:pStyle w:val="33"/>
              <w:rPr>
                <w:color w:val="auto"/>
              </w:rPr>
            </w:pPr>
            <w:r>
              <w:rPr>
                <w:rFonts w:hint="eastAsia"/>
                <w:color w:val="auto"/>
              </w:rPr>
              <w:t>11.8</w:t>
            </w:r>
          </w:p>
        </w:tc>
      </w:tr>
      <w:tr w14:paraId="3FEE9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Merge w:val="continue"/>
            <w:vAlign w:val="center"/>
          </w:tcPr>
          <w:p w14:paraId="7927A950">
            <w:pPr>
              <w:pStyle w:val="33"/>
              <w:rPr>
                <w:color w:val="auto"/>
              </w:rPr>
            </w:pPr>
          </w:p>
        </w:tc>
        <w:tc>
          <w:tcPr>
            <w:tcW w:w="1766" w:type="pct"/>
            <w:vAlign w:val="center"/>
          </w:tcPr>
          <w:p w14:paraId="019766EA">
            <w:pPr>
              <w:pStyle w:val="33"/>
              <w:rPr>
                <w:color w:val="auto"/>
              </w:rPr>
            </w:pPr>
            <w:r>
              <w:rPr>
                <w:color w:val="auto"/>
              </w:rPr>
              <w:t>鹿耳环、麻蓝岛风景旅游区</w:t>
            </w:r>
          </w:p>
        </w:tc>
        <w:tc>
          <w:tcPr>
            <w:tcW w:w="450" w:type="pct"/>
            <w:vAlign w:val="center"/>
          </w:tcPr>
          <w:p w14:paraId="2853D46F">
            <w:pPr>
              <w:pStyle w:val="33"/>
              <w:rPr>
                <w:color w:val="auto"/>
              </w:rPr>
            </w:pPr>
            <w:r>
              <w:rPr>
                <w:color w:val="auto"/>
              </w:rPr>
              <w:t>东南</w:t>
            </w:r>
          </w:p>
        </w:tc>
        <w:tc>
          <w:tcPr>
            <w:tcW w:w="1301" w:type="pct"/>
            <w:vAlign w:val="center"/>
          </w:tcPr>
          <w:p w14:paraId="33096D5C">
            <w:pPr>
              <w:pStyle w:val="33"/>
              <w:rPr>
                <w:color w:val="auto"/>
              </w:rPr>
            </w:pPr>
            <w:r>
              <w:rPr>
                <w:color w:val="auto"/>
              </w:rPr>
              <w:t>水质、生态环境</w:t>
            </w:r>
          </w:p>
        </w:tc>
        <w:tc>
          <w:tcPr>
            <w:tcW w:w="811" w:type="pct"/>
            <w:vAlign w:val="center"/>
          </w:tcPr>
          <w:p w14:paraId="0BB528E5">
            <w:pPr>
              <w:pStyle w:val="33"/>
              <w:rPr>
                <w:color w:val="auto"/>
              </w:rPr>
            </w:pPr>
            <w:r>
              <w:rPr>
                <w:rFonts w:hint="eastAsia"/>
                <w:color w:val="auto"/>
              </w:rPr>
              <w:t>0.66</w:t>
            </w:r>
          </w:p>
        </w:tc>
      </w:tr>
      <w:tr w14:paraId="11E31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672" w:type="pct"/>
            <w:vMerge w:val="continue"/>
            <w:vAlign w:val="center"/>
          </w:tcPr>
          <w:p w14:paraId="3F8167BE">
            <w:pPr>
              <w:pStyle w:val="33"/>
              <w:rPr>
                <w:color w:val="auto"/>
              </w:rPr>
            </w:pPr>
          </w:p>
        </w:tc>
        <w:tc>
          <w:tcPr>
            <w:tcW w:w="1766" w:type="pct"/>
            <w:vAlign w:val="center"/>
          </w:tcPr>
          <w:p w14:paraId="6275C488">
            <w:pPr>
              <w:pStyle w:val="33"/>
              <w:rPr>
                <w:color w:val="auto"/>
              </w:rPr>
            </w:pPr>
            <w:r>
              <w:rPr>
                <w:color w:val="auto"/>
              </w:rPr>
              <w:t>三娘湾度假旅游区</w:t>
            </w:r>
          </w:p>
        </w:tc>
        <w:tc>
          <w:tcPr>
            <w:tcW w:w="450" w:type="pct"/>
            <w:vAlign w:val="center"/>
          </w:tcPr>
          <w:p w14:paraId="5B016D72">
            <w:pPr>
              <w:pStyle w:val="33"/>
              <w:rPr>
                <w:color w:val="auto"/>
              </w:rPr>
            </w:pPr>
            <w:r>
              <w:rPr>
                <w:color w:val="auto"/>
              </w:rPr>
              <w:t>东南</w:t>
            </w:r>
          </w:p>
        </w:tc>
        <w:tc>
          <w:tcPr>
            <w:tcW w:w="1301" w:type="pct"/>
            <w:vAlign w:val="center"/>
          </w:tcPr>
          <w:p w14:paraId="60D098A9">
            <w:pPr>
              <w:pStyle w:val="33"/>
              <w:rPr>
                <w:color w:val="auto"/>
              </w:rPr>
            </w:pPr>
            <w:r>
              <w:rPr>
                <w:color w:val="auto"/>
              </w:rPr>
              <w:t>水质、生态环境</w:t>
            </w:r>
          </w:p>
        </w:tc>
        <w:tc>
          <w:tcPr>
            <w:tcW w:w="811" w:type="pct"/>
            <w:vAlign w:val="center"/>
          </w:tcPr>
          <w:p w14:paraId="3D7D7AF7">
            <w:pPr>
              <w:pStyle w:val="33"/>
              <w:rPr>
                <w:color w:val="auto"/>
              </w:rPr>
            </w:pPr>
            <w:r>
              <w:rPr>
                <w:rFonts w:hint="eastAsia"/>
                <w:color w:val="auto"/>
              </w:rPr>
              <w:t>9.6</w:t>
            </w:r>
          </w:p>
        </w:tc>
      </w:tr>
      <w:tr w14:paraId="477F4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2" w:type="pct"/>
            <w:vAlign w:val="center"/>
          </w:tcPr>
          <w:p w14:paraId="508E4946">
            <w:pPr>
              <w:pStyle w:val="33"/>
              <w:rPr>
                <w:color w:val="auto"/>
              </w:rPr>
            </w:pPr>
            <w:r>
              <w:rPr>
                <w:color w:val="auto"/>
              </w:rPr>
              <w:t>其他保护目标</w:t>
            </w:r>
          </w:p>
        </w:tc>
        <w:tc>
          <w:tcPr>
            <w:tcW w:w="1766" w:type="pct"/>
            <w:vAlign w:val="center"/>
          </w:tcPr>
          <w:p w14:paraId="7D9DF092">
            <w:pPr>
              <w:pStyle w:val="33"/>
              <w:rPr>
                <w:color w:val="auto"/>
              </w:rPr>
            </w:pPr>
            <w:r>
              <w:rPr>
                <w:color w:val="auto"/>
              </w:rPr>
              <w:t>白海豚主要活动区</w:t>
            </w:r>
          </w:p>
        </w:tc>
        <w:tc>
          <w:tcPr>
            <w:tcW w:w="450" w:type="pct"/>
            <w:vAlign w:val="center"/>
          </w:tcPr>
          <w:p w14:paraId="2F2311B1">
            <w:pPr>
              <w:pStyle w:val="33"/>
              <w:rPr>
                <w:color w:val="auto"/>
              </w:rPr>
            </w:pPr>
            <w:r>
              <w:rPr>
                <w:color w:val="auto"/>
              </w:rPr>
              <w:t>东南</w:t>
            </w:r>
          </w:p>
        </w:tc>
        <w:tc>
          <w:tcPr>
            <w:tcW w:w="1301" w:type="pct"/>
            <w:vAlign w:val="center"/>
          </w:tcPr>
          <w:p w14:paraId="6F6A887E">
            <w:pPr>
              <w:pStyle w:val="33"/>
              <w:rPr>
                <w:color w:val="auto"/>
              </w:rPr>
            </w:pPr>
            <w:r>
              <w:rPr>
                <w:color w:val="auto"/>
              </w:rPr>
              <w:t>水质、生态环境</w:t>
            </w:r>
          </w:p>
        </w:tc>
        <w:tc>
          <w:tcPr>
            <w:tcW w:w="811" w:type="pct"/>
            <w:vAlign w:val="center"/>
          </w:tcPr>
          <w:p w14:paraId="650337C4">
            <w:pPr>
              <w:pStyle w:val="33"/>
              <w:rPr>
                <w:color w:val="auto"/>
              </w:rPr>
            </w:pPr>
            <w:r>
              <w:rPr>
                <w:rFonts w:hint="eastAsia"/>
                <w:color w:val="auto"/>
              </w:rPr>
              <w:t>24</w:t>
            </w:r>
          </w:p>
        </w:tc>
      </w:tr>
    </w:tbl>
    <w:p w14:paraId="505F5885">
      <w:pPr>
        <w:pStyle w:val="3"/>
        <w:rPr>
          <w:rFonts w:cs="Times New Roman"/>
          <w:color w:val="auto"/>
        </w:rPr>
      </w:pPr>
      <w:bookmarkStart w:id="129" w:name="_Toc225216664"/>
      <w:bookmarkStart w:id="130" w:name="_Toc198390531"/>
      <w:bookmarkStart w:id="131" w:name="_Toc199190423"/>
      <w:bookmarkStart w:id="132" w:name="_Toc185257461"/>
      <w:bookmarkStart w:id="133" w:name="_Toc198390009"/>
      <w:bookmarkStart w:id="134" w:name="_Toc199168886"/>
      <w:bookmarkStart w:id="135" w:name="_Toc221355700"/>
      <w:bookmarkStart w:id="136" w:name="_Toc198391184"/>
      <w:r>
        <w:rPr>
          <w:rFonts w:cs="Times New Roman"/>
          <w:color w:val="auto"/>
        </w:rPr>
        <w:t>相关政策、规范相符性分析</w:t>
      </w:r>
      <w:bookmarkEnd w:id="129"/>
      <w:bookmarkEnd w:id="130"/>
      <w:bookmarkEnd w:id="131"/>
      <w:bookmarkEnd w:id="132"/>
      <w:bookmarkEnd w:id="133"/>
      <w:bookmarkEnd w:id="134"/>
      <w:bookmarkEnd w:id="135"/>
      <w:bookmarkEnd w:id="136"/>
    </w:p>
    <w:p w14:paraId="74D3C2C6">
      <w:pPr>
        <w:pStyle w:val="4"/>
        <w:rPr>
          <w:rFonts w:cs="Times New Roman"/>
          <w:color w:val="auto"/>
        </w:rPr>
      </w:pPr>
      <w:bookmarkStart w:id="137" w:name="_Toc199168887"/>
      <w:bookmarkStart w:id="138" w:name="_Toc199190424"/>
      <w:bookmarkStart w:id="139" w:name="_Toc198390532"/>
      <w:bookmarkStart w:id="140" w:name="_Toc198391185"/>
      <w:bookmarkStart w:id="141" w:name="_Toc225216665"/>
      <w:r>
        <w:rPr>
          <w:rFonts w:cs="Times New Roman"/>
          <w:color w:val="auto"/>
        </w:rPr>
        <w:t>项目与相关产业政策符合性分析</w:t>
      </w:r>
      <w:bookmarkEnd w:id="137"/>
      <w:bookmarkEnd w:id="138"/>
      <w:bookmarkEnd w:id="139"/>
      <w:bookmarkEnd w:id="140"/>
      <w:bookmarkEnd w:id="141"/>
    </w:p>
    <w:p w14:paraId="7AE42BAC">
      <w:pPr>
        <w:pStyle w:val="5"/>
        <w:rPr>
          <w:rFonts w:cs="Times New Roman"/>
          <w:color w:val="auto"/>
        </w:rPr>
      </w:pPr>
      <w:r>
        <w:rPr>
          <w:rFonts w:cs="Times New Roman"/>
          <w:color w:val="auto"/>
        </w:rPr>
        <w:t>与《产业结构调整指导目录》符合性分析</w:t>
      </w:r>
    </w:p>
    <w:p w14:paraId="1E6C6E88">
      <w:pPr>
        <w:ind w:firstLine="480"/>
        <w:rPr>
          <w:rFonts w:cs="Times New Roman"/>
          <w:color w:val="auto"/>
        </w:rPr>
      </w:pPr>
      <w:r>
        <w:rPr>
          <w:rFonts w:cs="Times New Roman"/>
          <w:color w:val="auto"/>
        </w:rPr>
        <w:t>根据《产业结构调整指导目录（2024年本）》，与本项目有关要求如下：</w:t>
      </w:r>
    </w:p>
    <w:p w14:paraId="40D9136D">
      <w:pPr>
        <w:ind w:firstLine="480"/>
        <w:rPr>
          <w:rFonts w:cs="Times New Roman"/>
          <w:color w:val="auto"/>
        </w:rPr>
      </w:pPr>
      <w:r>
        <w:rPr>
          <w:rFonts w:cs="Times New Roman"/>
          <w:color w:val="auto"/>
        </w:rPr>
        <w:t>鼓励类：单条化学木浆30万吨/年及以上、化学机械木浆10万吨/年及以上、化学竹浆10万吨/年及以上的林纸一体化生产线及相应配套的纸及纸板生产线（新闻纸、铜版纸、餐巾纸原纸、面巾纸原纸、卫生纸原纸、白纸板除外）建设，采用清洁生产工艺、以非木纤维为原料、单条10万吨/年及以上的纸浆生产线建设，先进制浆、造纸设备开发与制造，无元素氯（ECF）和全无氯（TCF）化学纸浆漂白工艺开发及应用。</w:t>
      </w:r>
    </w:p>
    <w:p w14:paraId="62CB0307">
      <w:pPr>
        <w:ind w:firstLine="480"/>
        <w:rPr>
          <w:rFonts w:cs="Times New Roman"/>
          <w:color w:val="auto"/>
        </w:rPr>
      </w:pPr>
      <w:r>
        <w:rPr>
          <w:rFonts w:cs="Times New Roman"/>
          <w:color w:val="auto"/>
        </w:rPr>
        <w:t>限制类：单条化学木浆30万吨/年以下、化学机械木浆10万吨/年以下、化学竹浆10万吨/年以下的生产线。</w:t>
      </w:r>
    </w:p>
    <w:p w14:paraId="214019DB">
      <w:pPr>
        <w:ind w:firstLine="480"/>
        <w:rPr>
          <w:rFonts w:cs="Times New Roman"/>
          <w:color w:val="auto"/>
        </w:rPr>
      </w:pPr>
      <w:r>
        <w:rPr>
          <w:rFonts w:cs="Times New Roman"/>
          <w:color w:val="auto"/>
        </w:rPr>
        <w:t>淘汰类：5.1万吨/年以下的化学木浆生产线；单条3.4万吨/年以下的非木浆生产线；单条1万吨/年及以下、以废纸为原料的制浆生产线；幅宽在1.76米及以下并且车速为 120米/分以下的文化纸生产线；元素氯漂白制浆工艺。</w:t>
      </w:r>
    </w:p>
    <w:p w14:paraId="332CB921">
      <w:pPr>
        <w:ind w:firstLine="480"/>
        <w:rPr>
          <w:color w:val="auto"/>
        </w:rPr>
      </w:pPr>
      <w:r>
        <w:rPr>
          <w:rFonts w:cs="Times New Roman"/>
          <w:color w:val="auto"/>
        </w:rPr>
        <w:t>本项目</w:t>
      </w:r>
      <w:r>
        <w:rPr>
          <w:rFonts w:hint="eastAsia" w:cs="Times New Roman"/>
          <w:color w:val="auto"/>
        </w:rPr>
        <w:t>扩建</w:t>
      </w:r>
      <w:r>
        <w:rPr>
          <w:rFonts w:hint="eastAsia"/>
          <w:color w:val="auto"/>
        </w:rPr>
        <w:t>白卡纸</w:t>
      </w:r>
      <w:r>
        <w:rPr>
          <w:rFonts w:hint="eastAsia" w:cs="Times New Roman"/>
          <w:color w:val="auto"/>
        </w:rPr>
        <w:t>生产线（</w:t>
      </w:r>
      <w:r>
        <w:rPr>
          <w:rFonts w:hint="eastAsia"/>
          <w:color w:val="auto"/>
        </w:rPr>
        <w:t>1#</w:t>
      </w:r>
      <w:r>
        <w:rPr>
          <w:rFonts w:hint="eastAsia" w:cs="Times New Roman"/>
          <w:color w:val="auto"/>
        </w:rPr>
        <w:t>纸机和</w:t>
      </w:r>
      <w:r>
        <w:rPr>
          <w:rFonts w:hint="eastAsia"/>
          <w:color w:val="auto"/>
        </w:rPr>
        <w:t>2#</w:t>
      </w:r>
      <w:r>
        <w:rPr>
          <w:rFonts w:hint="eastAsia" w:cs="Times New Roman"/>
          <w:color w:val="auto"/>
        </w:rPr>
        <w:t>纸机），根据</w:t>
      </w:r>
      <w:r>
        <w:rPr>
          <w:rFonts w:hint="eastAsia"/>
          <w:color w:val="auto"/>
        </w:rPr>
        <w:t>《产业结构调整指导目录（2024年本）》</w:t>
      </w:r>
      <w:r>
        <w:rPr>
          <w:rFonts w:hint="eastAsia" w:cs="Times New Roman"/>
          <w:color w:val="auto"/>
        </w:rPr>
        <w:t>，本项目不在现行产业政策中规定的鼓励类、限制类及淘汰类项目范围内，本项目使用的生产工艺、生产设备均不在《产业结构调整指导目录（2024年本）》中淘汰落后工艺技术、装备范围内。根据《产业结构调整指导目录（2024年本）》，项目生产工艺、生产设备、生产产品不属于国家淘汰类和限制类，因此本项目为允许类</w:t>
      </w:r>
      <w:r>
        <w:rPr>
          <w:rFonts w:hint="eastAsia"/>
          <w:color w:val="auto"/>
        </w:rPr>
        <w:t>，项目建设内容与《产业结构调整指导目录（2024年本）》相符。</w:t>
      </w:r>
    </w:p>
    <w:p w14:paraId="55C70745">
      <w:pPr>
        <w:pStyle w:val="5"/>
        <w:rPr>
          <w:rFonts w:cs="Times New Roman"/>
          <w:color w:val="auto"/>
        </w:rPr>
      </w:pPr>
      <w:r>
        <w:rPr>
          <w:rFonts w:cs="Times New Roman"/>
          <w:color w:val="auto"/>
        </w:rPr>
        <w:t>与《造纸产业发展政策》符合性分析</w:t>
      </w:r>
    </w:p>
    <w:p w14:paraId="4F6ECB91">
      <w:pPr>
        <w:ind w:firstLine="480"/>
        <w:rPr>
          <w:rFonts w:cs="Times New Roman"/>
          <w:color w:val="auto"/>
        </w:rPr>
      </w:pPr>
      <w:r>
        <w:rPr>
          <w:rFonts w:cs="Times New Roman"/>
          <w:color w:val="auto"/>
        </w:rPr>
        <w:t>《造纸产业发展政策》由国家发改委于2007年发布，本项目与《造纸产业发展政策》相符，相符性分析见下表。</w:t>
      </w:r>
    </w:p>
    <w:p w14:paraId="688449EC">
      <w:pPr>
        <w:pStyle w:val="7"/>
        <w:rPr>
          <w:color w:val="auto"/>
        </w:rPr>
      </w:pPr>
      <w:r>
        <w:rPr>
          <w:color w:val="auto"/>
        </w:rPr>
        <w:t xml:space="preserve"> 项目与《造纸产业发展政策》的相符性分析</w:t>
      </w:r>
    </w:p>
    <w:tbl>
      <w:tblPr>
        <w:tblStyle w:val="26"/>
        <w:tblW w:w="92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1"/>
        <w:gridCol w:w="4850"/>
        <w:gridCol w:w="2409"/>
        <w:gridCol w:w="785"/>
      </w:tblGrid>
      <w:tr w14:paraId="740AE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blHeader/>
          <w:jc w:val="center"/>
        </w:trPr>
        <w:tc>
          <w:tcPr>
            <w:tcW w:w="6091" w:type="dxa"/>
            <w:gridSpan w:val="2"/>
            <w:tcBorders>
              <w:top w:val="single" w:color="auto" w:sz="4" w:space="0"/>
              <w:left w:val="single" w:color="auto" w:sz="4" w:space="0"/>
              <w:bottom w:val="single" w:color="auto" w:sz="4" w:space="0"/>
              <w:right w:val="single" w:color="auto" w:sz="4" w:space="0"/>
            </w:tcBorders>
            <w:vAlign w:val="center"/>
          </w:tcPr>
          <w:p w14:paraId="3614D12E">
            <w:pPr>
              <w:pStyle w:val="33"/>
              <w:rPr>
                <w:snapToGrid w:val="0"/>
                <w:color w:val="auto"/>
              </w:rPr>
            </w:pPr>
            <w:r>
              <w:rPr>
                <w:snapToGrid w:val="0"/>
                <w:color w:val="auto"/>
              </w:rPr>
              <w:t>《造纸产业发展政策》</w:t>
            </w:r>
          </w:p>
        </w:tc>
        <w:tc>
          <w:tcPr>
            <w:tcW w:w="2409" w:type="dxa"/>
            <w:tcBorders>
              <w:top w:val="single" w:color="auto" w:sz="4" w:space="0"/>
              <w:left w:val="single" w:color="auto" w:sz="4" w:space="0"/>
              <w:bottom w:val="single" w:color="auto" w:sz="4" w:space="0"/>
              <w:right w:val="single" w:color="auto" w:sz="4" w:space="0"/>
            </w:tcBorders>
            <w:vAlign w:val="center"/>
          </w:tcPr>
          <w:p w14:paraId="57A9A182">
            <w:pPr>
              <w:pStyle w:val="33"/>
              <w:rPr>
                <w:snapToGrid w:val="0"/>
                <w:color w:val="auto"/>
              </w:rPr>
            </w:pPr>
            <w:r>
              <w:rPr>
                <w:snapToGrid w:val="0"/>
                <w:color w:val="auto"/>
              </w:rPr>
              <w:t>项目情况</w:t>
            </w:r>
          </w:p>
        </w:tc>
        <w:tc>
          <w:tcPr>
            <w:tcW w:w="785" w:type="dxa"/>
            <w:tcBorders>
              <w:top w:val="single" w:color="auto" w:sz="4" w:space="0"/>
              <w:left w:val="single" w:color="auto" w:sz="4" w:space="0"/>
              <w:bottom w:val="single" w:color="auto" w:sz="4" w:space="0"/>
              <w:right w:val="single" w:color="auto" w:sz="4" w:space="0"/>
            </w:tcBorders>
            <w:vAlign w:val="center"/>
          </w:tcPr>
          <w:p w14:paraId="21A5E33A">
            <w:pPr>
              <w:pStyle w:val="33"/>
              <w:rPr>
                <w:snapToGrid w:val="0"/>
                <w:color w:val="auto"/>
              </w:rPr>
            </w:pPr>
            <w:r>
              <w:rPr>
                <w:snapToGrid w:val="0"/>
                <w:color w:val="auto"/>
              </w:rPr>
              <w:t>符合性</w:t>
            </w:r>
          </w:p>
        </w:tc>
      </w:tr>
      <w:tr w14:paraId="7EB59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restart"/>
            <w:tcBorders>
              <w:top w:val="single" w:color="auto" w:sz="4" w:space="0"/>
              <w:left w:val="single" w:color="auto" w:sz="4" w:space="0"/>
              <w:bottom w:val="single" w:color="auto" w:sz="4" w:space="0"/>
              <w:right w:val="single" w:color="auto" w:sz="4" w:space="0"/>
            </w:tcBorders>
            <w:vAlign w:val="center"/>
          </w:tcPr>
          <w:p w14:paraId="61C8C22E">
            <w:pPr>
              <w:pStyle w:val="33"/>
              <w:rPr>
                <w:color w:val="auto"/>
              </w:rPr>
            </w:pPr>
            <w:r>
              <w:rPr>
                <w:color w:val="auto"/>
              </w:rPr>
              <w:t>产业布局</w:t>
            </w:r>
          </w:p>
        </w:tc>
        <w:tc>
          <w:tcPr>
            <w:tcW w:w="4850" w:type="dxa"/>
            <w:tcBorders>
              <w:top w:val="single" w:color="auto" w:sz="4" w:space="0"/>
              <w:left w:val="single" w:color="auto" w:sz="4" w:space="0"/>
              <w:bottom w:val="single" w:color="auto" w:sz="4" w:space="0"/>
              <w:right w:val="single" w:color="auto" w:sz="4" w:space="0"/>
            </w:tcBorders>
            <w:vAlign w:val="center"/>
          </w:tcPr>
          <w:p w14:paraId="6DCE5C83">
            <w:pPr>
              <w:pStyle w:val="33"/>
              <w:jc w:val="left"/>
              <w:rPr>
                <w:color w:val="auto"/>
              </w:rPr>
            </w:pPr>
            <w:r>
              <w:rPr>
                <w:color w:val="auto"/>
              </w:rPr>
              <w:t>西南地区要合理利用木、竹资源，变资源优势为经济优势，坚持木浆、竹浆并举；</w:t>
            </w:r>
          </w:p>
        </w:tc>
        <w:tc>
          <w:tcPr>
            <w:tcW w:w="2409" w:type="dxa"/>
            <w:tcBorders>
              <w:top w:val="single" w:color="auto" w:sz="4" w:space="0"/>
              <w:left w:val="single" w:color="auto" w:sz="4" w:space="0"/>
              <w:bottom w:val="single" w:color="auto" w:sz="4" w:space="0"/>
              <w:right w:val="single" w:color="auto" w:sz="4" w:space="0"/>
            </w:tcBorders>
            <w:vAlign w:val="center"/>
          </w:tcPr>
          <w:p w14:paraId="20C00CD2">
            <w:pPr>
              <w:pStyle w:val="33"/>
              <w:jc w:val="left"/>
              <w:rPr>
                <w:color w:val="auto"/>
              </w:rPr>
            </w:pPr>
            <w:r>
              <w:rPr>
                <w:rFonts w:hint="eastAsia"/>
                <w:color w:val="auto"/>
              </w:rPr>
              <w:t>本项目为造纸项目。</w:t>
            </w:r>
          </w:p>
        </w:tc>
        <w:tc>
          <w:tcPr>
            <w:tcW w:w="785" w:type="dxa"/>
            <w:tcBorders>
              <w:top w:val="single" w:color="auto" w:sz="4" w:space="0"/>
              <w:left w:val="single" w:color="auto" w:sz="4" w:space="0"/>
              <w:bottom w:val="single" w:color="auto" w:sz="4" w:space="0"/>
              <w:right w:val="single" w:color="auto" w:sz="4" w:space="0"/>
            </w:tcBorders>
            <w:vAlign w:val="center"/>
          </w:tcPr>
          <w:p w14:paraId="02B89841">
            <w:pPr>
              <w:pStyle w:val="33"/>
              <w:rPr>
                <w:color w:val="auto"/>
              </w:rPr>
            </w:pPr>
            <w:r>
              <w:rPr>
                <w:color w:val="auto"/>
              </w:rPr>
              <w:t>符合</w:t>
            </w:r>
          </w:p>
        </w:tc>
      </w:tr>
      <w:tr w14:paraId="515A9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vMerge w:val="continue"/>
            <w:tcBorders>
              <w:top w:val="single" w:color="auto" w:sz="4" w:space="0"/>
              <w:left w:val="single" w:color="auto" w:sz="4" w:space="0"/>
              <w:bottom w:val="single" w:color="auto" w:sz="4" w:space="0"/>
              <w:right w:val="single" w:color="auto" w:sz="4" w:space="0"/>
            </w:tcBorders>
            <w:vAlign w:val="center"/>
          </w:tcPr>
          <w:p w14:paraId="18B1D9B7">
            <w:pPr>
              <w:pStyle w:val="33"/>
              <w:rPr>
                <w:color w:val="auto"/>
              </w:rPr>
            </w:pPr>
          </w:p>
        </w:tc>
        <w:tc>
          <w:tcPr>
            <w:tcW w:w="4850" w:type="dxa"/>
            <w:tcBorders>
              <w:top w:val="single" w:color="auto" w:sz="4" w:space="0"/>
              <w:left w:val="single" w:color="auto" w:sz="4" w:space="0"/>
              <w:bottom w:val="single" w:color="auto" w:sz="4" w:space="0"/>
              <w:right w:val="single" w:color="auto" w:sz="4" w:space="0"/>
            </w:tcBorders>
            <w:vAlign w:val="center"/>
          </w:tcPr>
          <w:p w14:paraId="79FA0609">
            <w:pPr>
              <w:pStyle w:val="33"/>
              <w:jc w:val="left"/>
              <w:rPr>
                <w:color w:val="auto"/>
              </w:rPr>
            </w:pPr>
            <w:r>
              <w:rPr>
                <w:color w:val="auto"/>
              </w:rPr>
              <w:t>重点环境保护地区、严重缺水地区、大城市市区，不再布局制浆造纸项目</w:t>
            </w:r>
          </w:p>
        </w:tc>
        <w:tc>
          <w:tcPr>
            <w:tcW w:w="2409" w:type="dxa"/>
            <w:tcBorders>
              <w:top w:val="single" w:color="auto" w:sz="4" w:space="0"/>
              <w:left w:val="single" w:color="auto" w:sz="4" w:space="0"/>
              <w:bottom w:val="single" w:color="auto" w:sz="4" w:space="0"/>
              <w:right w:val="single" w:color="auto" w:sz="4" w:space="0"/>
            </w:tcBorders>
            <w:vAlign w:val="center"/>
          </w:tcPr>
          <w:p w14:paraId="07C68F31">
            <w:pPr>
              <w:pStyle w:val="33"/>
              <w:jc w:val="left"/>
              <w:rPr>
                <w:color w:val="auto"/>
              </w:rPr>
            </w:pPr>
            <w:r>
              <w:rPr>
                <w:color w:val="auto"/>
              </w:rPr>
              <w:t>本项目位于</w:t>
            </w:r>
            <w:r>
              <w:rPr>
                <w:rFonts w:hint="eastAsia"/>
                <w:color w:val="auto"/>
              </w:rPr>
              <w:t>钦州港经济技术开发区、广西钦州林浆纸产业园，</w:t>
            </w:r>
            <w:r>
              <w:rPr>
                <w:color w:val="auto"/>
              </w:rPr>
              <w:t>不属于重点环境保护地区、严重缺水地区、大城市市区。</w:t>
            </w:r>
          </w:p>
        </w:tc>
        <w:tc>
          <w:tcPr>
            <w:tcW w:w="785" w:type="dxa"/>
            <w:tcBorders>
              <w:top w:val="single" w:color="auto" w:sz="4" w:space="0"/>
              <w:left w:val="single" w:color="auto" w:sz="4" w:space="0"/>
              <w:bottom w:val="single" w:color="auto" w:sz="4" w:space="0"/>
              <w:right w:val="single" w:color="auto" w:sz="4" w:space="0"/>
            </w:tcBorders>
            <w:vAlign w:val="center"/>
          </w:tcPr>
          <w:p w14:paraId="67701175">
            <w:pPr>
              <w:pStyle w:val="33"/>
              <w:rPr>
                <w:color w:val="auto"/>
              </w:rPr>
            </w:pPr>
            <w:r>
              <w:rPr>
                <w:color w:val="auto"/>
              </w:rPr>
              <w:t>符合</w:t>
            </w:r>
          </w:p>
        </w:tc>
      </w:tr>
      <w:tr w14:paraId="07FFB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Borders>
              <w:top w:val="single" w:color="auto" w:sz="4" w:space="0"/>
              <w:left w:val="single" w:color="auto" w:sz="4" w:space="0"/>
              <w:bottom w:val="single" w:color="auto" w:sz="4" w:space="0"/>
              <w:right w:val="single" w:color="auto" w:sz="4" w:space="0"/>
            </w:tcBorders>
            <w:vAlign w:val="center"/>
          </w:tcPr>
          <w:p w14:paraId="1BE081A2">
            <w:pPr>
              <w:pStyle w:val="33"/>
              <w:rPr>
                <w:color w:val="auto"/>
              </w:rPr>
            </w:pPr>
            <w:r>
              <w:rPr>
                <w:color w:val="auto"/>
              </w:rPr>
              <w:t>纤维原料</w:t>
            </w:r>
          </w:p>
        </w:tc>
        <w:tc>
          <w:tcPr>
            <w:tcW w:w="4850" w:type="dxa"/>
            <w:tcBorders>
              <w:top w:val="single" w:color="auto" w:sz="4" w:space="0"/>
              <w:left w:val="single" w:color="auto" w:sz="4" w:space="0"/>
              <w:bottom w:val="single" w:color="auto" w:sz="4" w:space="0"/>
              <w:right w:val="single" w:color="auto" w:sz="4" w:space="0"/>
            </w:tcBorders>
            <w:vAlign w:val="center"/>
          </w:tcPr>
          <w:p w14:paraId="0ED9DEE6">
            <w:pPr>
              <w:pStyle w:val="33"/>
              <w:jc w:val="left"/>
              <w:rPr>
                <w:color w:val="auto"/>
              </w:rPr>
            </w:pPr>
            <w:r>
              <w:rPr>
                <w:color w:val="auto"/>
              </w:rPr>
              <w:t>加快推进林纸一体化工程建设，大力发展木浆，鼓励利用木材采伐剩余物、木材加工剩余物、进口木材和木片等生产木浆，合理进口国外木浆。</w:t>
            </w:r>
          </w:p>
        </w:tc>
        <w:tc>
          <w:tcPr>
            <w:tcW w:w="2409" w:type="dxa"/>
            <w:tcBorders>
              <w:top w:val="single" w:color="auto" w:sz="4" w:space="0"/>
              <w:left w:val="single" w:color="auto" w:sz="4" w:space="0"/>
              <w:bottom w:val="single" w:color="auto" w:sz="4" w:space="0"/>
              <w:right w:val="single" w:color="auto" w:sz="4" w:space="0"/>
            </w:tcBorders>
            <w:vAlign w:val="center"/>
          </w:tcPr>
          <w:p w14:paraId="5748D620">
            <w:pPr>
              <w:pStyle w:val="33"/>
              <w:jc w:val="left"/>
              <w:rPr>
                <w:color w:val="auto"/>
              </w:rPr>
            </w:pPr>
            <w:r>
              <w:rPr>
                <w:rFonts w:hint="eastAsia"/>
                <w:color w:val="auto"/>
              </w:rPr>
              <w:t>本项目利用自制化机浆和商品化机浆为原料生产白卡纸。</w:t>
            </w:r>
          </w:p>
        </w:tc>
        <w:tc>
          <w:tcPr>
            <w:tcW w:w="785" w:type="dxa"/>
            <w:tcBorders>
              <w:top w:val="single" w:color="auto" w:sz="4" w:space="0"/>
              <w:left w:val="single" w:color="auto" w:sz="4" w:space="0"/>
              <w:bottom w:val="single" w:color="auto" w:sz="4" w:space="0"/>
              <w:right w:val="single" w:color="auto" w:sz="4" w:space="0"/>
            </w:tcBorders>
            <w:vAlign w:val="center"/>
          </w:tcPr>
          <w:p w14:paraId="204B68C9">
            <w:pPr>
              <w:pStyle w:val="33"/>
              <w:rPr>
                <w:color w:val="auto"/>
              </w:rPr>
            </w:pPr>
            <w:r>
              <w:rPr>
                <w:color w:val="auto"/>
              </w:rPr>
              <w:t>符合</w:t>
            </w:r>
          </w:p>
        </w:tc>
      </w:tr>
      <w:tr w14:paraId="25DB2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Borders>
              <w:top w:val="single" w:color="auto" w:sz="4" w:space="0"/>
              <w:left w:val="single" w:color="auto" w:sz="4" w:space="0"/>
              <w:bottom w:val="single" w:color="auto" w:sz="4" w:space="0"/>
              <w:right w:val="single" w:color="auto" w:sz="4" w:space="0"/>
            </w:tcBorders>
            <w:vAlign w:val="center"/>
          </w:tcPr>
          <w:p w14:paraId="77C4DE8B">
            <w:pPr>
              <w:pStyle w:val="33"/>
              <w:rPr>
                <w:color w:val="auto"/>
              </w:rPr>
            </w:pPr>
            <w:r>
              <w:rPr>
                <w:color w:val="auto"/>
              </w:rPr>
              <w:t>技术与设备</w:t>
            </w:r>
          </w:p>
        </w:tc>
        <w:tc>
          <w:tcPr>
            <w:tcW w:w="4850" w:type="dxa"/>
            <w:tcBorders>
              <w:top w:val="single" w:color="auto" w:sz="4" w:space="0"/>
              <w:left w:val="single" w:color="auto" w:sz="4" w:space="0"/>
              <w:bottom w:val="single" w:color="auto" w:sz="4" w:space="0"/>
              <w:right w:val="single" w:color="auto" w:sz="4" w:space="0"/>
            </w:tcBorders>
            <w:vAlign w:val="center"/>
          </w:tcPr>
          <w:p w14:paraId="569A6352">
            <w:pPr>
              <w:pStyle w:val="33"/>
              <w:jc w:val="left"/>
              <w:rPr>
                <w:color w:val="auto"/>
              </w:rPr>
            </w:pPr>
            <w:r>
              <w:rPr>
                <w:color w:val="auto"/>
              </w:rPr>
              <w:t>造纸产业技术应向高水平、低消耗、少污染的方向发展。鼓励发展应用高得率制浆技术，生物技术，低污染制浆技术，中浓技术，无元素氯或全无氯漂白技术，低能耗机械制浆技术，高效废纸脱墨技术等以及相应的装备。优先发展应用低定量、高填料造纸技术，涂布加工技术，中性造纸技术，水封闭循环技术，化学品应用技术以及宽幅、高速造纸技术，高效废水处理和固体废物回收处理技术。</w:t>
            </w:r>
          </w:p>
        </w:tc>
        <w:tc>
          <w:tcPr>
            <w:tcW w:w="2409" w:type="dxa"/>
            <w:tcBorders>
              <w:top w:val="single" w:color="auto" w:sz="4" w:space="0"/>
              <w:left w:val="single" w:color="auto" w:sz="4" w:space="0"/>
              <w:bottom w:val="single" w:color="auto" w:sz="4" w:space="0"/>
              <w:right w:val="single" w:color="auto" w:sz="4" w:space="0"/>
            </w:tcBorders>
            <w:vAlign w:val="center"/>
          </w:tcPr>
          <w:p w14:paraId="7BE11F1F">
            <w:pPr>
              <w:pStyle w:val="33"/>
              <w:jc w:val="left"/>
              <w:rPr>
                <w:color w:val="auto"/>
              </w:rPr>
            </w:pPr>
            <w:r>
              <w:rPr>
                <w:color w:val="auto"/>
              </w:rPr>
              <w:t>本项目不属于</w:t>
            </w:r>
            <w:r>
              <w:rPr>
                <w:rFonts w:hint="eastAsia"/>
                <w:color w:val="auto"/>
              </w:rPr>
              <w:t>《</w:t>
            </w:r>
            <w:r>
              <w:rPr>
                <w:color w:val="auto"/>
              </w:rPr>
              <w:t>产业结构调整指导目录（20</w:t>
            </w:r>
            <w:r>
              <w:rPr>
                <w:rFonts w:hint="eastAsia"/>
                <w:color w:val="auto"/>
              </w:rPr>
              <w:t>24</w:t>
            </w:r>
            <w:r>
              <w:rPr>
                <w:color w:val="auto"/>
              </w:rPr>
              <w:t>年本）》</w:t>
            </w:r>
            <w:r>
              <w:rPr>
                <w:rFonts w:hint="eastAsia"/>
                <w:color w:val="auto"/>
              </w:rPr>
              <w:t>中限制</w:t>
            </w:r>
            <w:r>
              <w:rPr>
                <w:color w:val="auto"/>
              </w:rPr>
              <w:t>及淘汰类。</w:t>
            </w:r>
            <w:r>
              <w:rPr>
                <w:rFonts w:cs="Times New Roman"/>
                <w:color w:val="auto"/>
              </w:rPr>
              <w:t>本项目采取先进的造纸技术，单位产品产排污、能耗均较小。无淘汰和禁止使用的设备。</w:t>
            </w:r>
          </w:p>
        </w:tc>
        <w:tc>
          <w:tcPr>
            <w:tcW w:w="785" w:type="dxa"/>
            <w:tcBorders>
              <w:top w:val="single" w:color="auto" w:sz="4" w:space="0"/>
              <w:left w:val="single" w:color="auto" w:sz="4" w:space="0"/>
              <w:bottom w:val="single" w:color="auto" w:sz="4" w:space="0"/>
              <w:right w:val="single" w:color="auto" w:sz="4" w:space="0"/>
            </w:tcBorders>
            <w:vAlign w:val="center"/>
          </w:tcPr>
          <w:p w14:paraId="0673DC68">
            <w:pPr>
              <w:pStyle w:val="33"/>
              <w:rPr>
                <w:color w:val="auto"/>
              </w:rPr>
            </w:pPr>
            <w:r>
              <w:rPr>
                <w:color w:val="auto"/>
              </w:rPr>
              <w:t>符合</w:t>
            </w:r>
          </w:p>
        </w:tc>
      </w:tr>
      <w:tr w14:paraId="3C981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1" w:type="dxa"/>
            <w:tcBorders>
              <w:top w:val="single" w:color="auto" w:sz="4" w:space="0"/>
              <w:left w:val="single" w:color="auto" w:sz="4" w:space="0"/>
              <w:bottom w:val="single" w:color="auto" w:sz="4" w:space="0"/>
              <w:right w:val="single" w:color="auto" w:sz="4" w:space="0"/>
            </w:tcBorders>
            <w:vAlign w:val="center"/>
          </w:tcPr>
          <w:p w14:paraId="62FC14A6">
            <w:pPr>
              <w:pStyle w:val="33"/>
              <w:rPr>
                <w:color w:val="auto"/>
              </w:rPr>
            </w:pPr>
            <w:r>
              <w:rPr>
                <w:color w:val="auto"/>
              </w:rPr>
              <w:t>行业准入</w:t>
            </w:r>
          </w:p>
        </w:tc>
        <w:tc>
          <w:tcPr>
            <w:tcW w:w="4850" w:type="dxa"/>
            <w:tcBorders>
              <w:top w:val="single" w:color="auto" w:sz="4" w:space="0"/>
              <w:left w:val="single" w:color="auto" w:sz="4" w:space="0"/>
              <w:bottom w:val="single" w:color="auto" w:sz="4" w:space="0"/>
              <w:right w:val="single" w:color="auto" w:sz="4" w:space="0"/>
            </w:tcBorders>
            <w:vAlign w:val="center"/>
          </w:tcPr>
          <w:p w14:paraId="7BB1210F">
            <w:pPr>
              <w:pStyle w:val="33"/>
              <w:jc w:val="left"/>
              <w:rPr>
                <w:color w:val="auto"/>
              </w:rPr>
            </w:pPr>
            <w:r>
              <w:rPr>
                <w:color w:val="auto"/>
              </w:rPr>
              <w:t>造纸产业发展要实现规模经济，突出起始规模。新建、扩建制浆项目单条生产线起始规模要求达到：化学木浆年产30万吨、化学机械木浆年产10万吨、化学竹浆年产10万吨、非木浆年产5万吨；新建、扩建造纸项目单条生产线起始规模要求达到：新闻纸年产30万吨、文化用纸年产10万吨、箱纸板和白纸板年产30万吨、其他纸板项目年产10万吨。薄页纸、特种纸及纸板项目以及现有生产线的改造不受规模准入条件限制。</w:t>
            </w:r>
          </w:p>
        </w:tc>
        <w:tc>
          <w:tcPr>
            <w:tcW w:w="2409" w:type="dxa"/>
            <w:tcBorders>
              <w:top w:val="single" w:color="auto" w:sz="4" w:space="0"/>
              <w:left w:val="single" w:color="auto" w:sz="4" w:space="0"/>
              <w:bottom w:val="single" w:color="auto" w:sz="4" w:space="0"/>
              <w:right w:val="single" w:color="auto" w:sz="4" w:space="0"/>
            </w:tcBorders>
            <w:vAlign w:val="center"/>
          </w:tcPr>
          <w:p w14:paraId="554E26D9">
            <w:pPr>
              <w:pStyle w:val="33"/>
              <w:jc w:val="left"/>
              <w:rPr>
                <w:color w:val="auto"/>
              </w:rPr>
            </w:pPr>
            <w:r>
              <w:rPr>
                <w:rFonts w:hint="eastAsia"/>
                <w:color w:val="auto"/>
              </w:rPr>
              <w:t>拟建设年产300万吨白卡纸，其中1#白卡纸生产线产能从100万吨/年提升到150万吨/年，2#白卡纸生产线产能从90万吨/年提升到150万吨/年。</w:t>
            </w:r>
          </w:p>
        </w:tc>
        <w:tc>
          <w:tcPr>
            <w:tcW w:w="785" w:type="dxa"/>
            <w:tcBorders>
              <w:top w:val="single" w:color="auto" w:sz="4" w:space="0"/>
              <w:left w:val="single" w:color="auto" w:sz="4" w:space="0"/>
              <w:bottom w:val="single" w:color="auto" w:sz="4" w:space="0"/>
              <w:right w:val="single" w:color="auto" w:sz="4" w:space="0"/>
            </w:tcBorders>
            <w:vAlign w:val="center"/>
          </w:tcPr>
          <w:p w14:paraId="323529FA">
            <w:pPr>
              <w:pStyle w:val="33"/>
              <w:rPr>
                <w:color w:val="auto"/>
              </w:rPr>
            </w:pPr>
            <w:r>
              <w:rPr>
                <w:color w:val="auto"/>
              </w:rPr>
              <w:t>符合</w:t>
            </w:r>
          </w:p>
        </w:tc>
      </w:tr>
    </w:tbl>
    <w:p w14:paraId="34E19A49">
      <w:pPr>
        <w:pStyle w:val="5"/>
        <w:rPr>
          <w:rFonts w:cs="Times New Roman"/>
          <w:color w:val="auto"/>
        </w:rPr>
      </w:pPr>
      <w:r>
        <w:rPr>
          <w:rFonts w:cs="Times New Roman"/>
          <w:color w:val="auto"/>
        </w:rPr>
        <w:t>与相关政策符合性分析</w:t>
      </w:r>
    </w:p>
    <w:p w14:paraId="4DE8ABE0">
      <w:pPr>
        <w:ind w:firstLine="480"/>
        <w:rPr>
          <w:rFonts w:cs="Times New Roman"/>
          <w:color w:val="auto"/>
        </w:rPr>
      </w:pPr>
      <w:r>
        <w:rPr>
          <w:rFonts w:cs="Times New Roman"/>
          <w:color w:val="auto"/>
        </w:rPr>
        <w:t>与《产业结构调整指导目录》</w:t>
      </w:r>
      <w:r>
        <w:rPr>
          <w:rFonts w:hint="eastAsia" w:cs="Times New Roman"/>
          <w:color w:val="auto"/>
        </w:rPr>
        <w:t>（2024版）</w:t>
      </w:r>
      <w:r>
        <w:rPr>
          <w:rFonts w:cs="Times New Roman"/>
          <w:color w:val="auto"/>
        </w:rPr>
        <w:t>、《淘汰落后生产能力、工艺和产品的目录》、《造纸产业发展政策》中造纸产业中相关淘汰落后产能和生产设备的对比分析可知，本项目的生产设备均不在限制和淘汰类，因此，本项目的设备符合国家相关政策。分析见下表。</w:t>
      </w:r>
    </w:p>
    <w:p w14:paraId="7216838B">
      <w:pPr>
        <w:pStyle w:val="7"/>
        <w:rPr>
          <w:color w:val="auto"/>
        </w:rPr>
      </w:pPr>
      <w:r>
        <w:rPr>
          <w:color w:val="auto"/>
        </w:rPr>
        <w:t>项目工艺、设备、产品与相关政策符合性对比分析表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698"/>
        <w:gridCol w:w="2414"/>
        <w:gridCol w:w="3400"/>
        <w:gridCol w:w="1134"/>
      </w:tblGrid>
      <w:tr w14:paraId="49DB5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blHeader/>
          <w:jc w:val="center"/>
        </w:trPr>
        <w:tc>
          <w:tcPr>
            <w:tcW w:w="1698" w:type="dxa"/>
            <w:tcBorders>
              <w:top w:val="single" w:color="auto" w:sz="4" w:space="0"/>
              <w:left w:val="single" w:color="auto" w:sz="4" w:space="0"/>
              <w:bottom w:val="single" w:color="auto" w:sz="4" w:space="0"/>
              <w:right w:val="single" w:color="auto" w:sz="4" w:space="0"/>
            </w:tcBorders>
            <w:noWrap/>
            <w:vAlign w:val="center"/>
          </w:tcPr>
          <w:p w14:paraId="64C15D29">
            <w:pPr>
              <w:pStyle w:val="33"/>
              <w:rPr>
                <w:color w:val="auto"/>
              </w:rPr>
            </w:pPr>
            <w:r>
              <w:rPr>
                <w:color w:val="auto"/>
              </w:rPr>
              <w:t>类别</w:t>
            </w:r>
          </w:p>
        </w:tc>
        <w:tc>
          <w:tcPr>
            <w:tcW w:w="2414" w:type="dxa"/>
            <w:tcBorders>
              <w:top w:val="single" w:color="auto" w:sz="4" w:space="0"/>
              <w:left w:val="single" w:color="auto" w:sz="4" w:space="0"/>
              <w:bottom w:val="single" w:color="auto" w:sz="4" w:space="0"/>
              <w:right w:val="single" w:color="auto" w:sz="4" w:space="0"/>
            </w:tcBorders>
            <w:noWrap/>
            <w:vAlign w:val="center"/>
          </w:tcPr>
          <w:p w14:paraId="691FDCDC">
            <w:pPr>
              <w:pStyle w:val="33"/>
              <w:rPr>
                <w:color w:val="auto"/>
              </w:rPr>
            </w:pPr>
            <w:r>
              <w:rPr>
                <w:color w:val="auto"/>
              </w:rPr>
              <w:t>内容</w:t>
            </w:r>
          </w:p>
        </w:tc>
        <w:tc>
          <w:tcPr>
            <w:tcW w:w="3400" w:type="dxa"/>
            <w:tcBorders>
              <w:top w:val="single" w:color="auto" w:sz="4" w:space="0"/>
              <w:left w:val="single" w:color="auto" w:sz="4" w:space="0"/>
              <w:bottom w:val="single" w:color="auto" w:sz="4" w:space="0"/>
              <w:right w:val="single" w:color="auto" w:sz="4" w:space="0"/>
            </w:tcBorders>
            <w:noWrap/>
            <w:vAlign w:val="center"/>
          </w:tcPr>
          <w:p w14:paraId="0668E481">
            <w:pPr>
              <w:pStyle w:val="33"/>
              <w:rPr>
                <w:color w:val="auto"/>
              </w:rPr>
            </w:pPr>
            <w:r>
              <w:rPr>
                <w:color w:val="auto"/>
              </w:rPr>
              <w:t>本项目情况</w:t>
            </w:r>
          </w:p>
        </w:tc>
        <w:tc>
          <w:tcPr>
            <w:tcW w:w="1134" w:type="dxa"/>
            <w:tcBorders>
              <w:top w:val="single" w:color="auto" w:sz="4" w:space="0"/>
              <w:left w:val="single" w:color="auto" w:sz="4" w:space="0"/>
              <w:bottom w:val="single" w:color="auto" w:sz="4" w:space="0"/>
              <w:right w:val="single" w:color="auto" w:sz="4" w:space="0"/>
            </w:tcBorders>
            <w:noWrap/>
            <w:vAlign w:val="center"/>
          </w:tcPr>
          <w:p w14:paraId="0112D0A8">
            <w:pPr>
              <w:pStyle w:val="33"/>
              <w:rPr>
                <w:color w:val="auto"/>
              </w:rPr>
            </w:pPr>
            <w:r>
              <w:rPr>
                <w:color w:val="auto"/>
              </w:rPr>
              <w:t>是否涉及相关内容</w:t>
            </w:r>
          </w:p>
        </w:tc>
      </w:tr>
      <w:tr w14:paraId="4D217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698" w:type="dxa"/>
            <w:vMerge w:val="restart"/>
            <w:tcBorders>
              <w:top w:val="single" w:color="auto" w:sz="4" w:space="0"/>
              <w:left w:val="single" w:color="auto" w:sz="4" w:space="0"/>
              <w:bottom w:val="single" w:color="auto" w:sz="4" w:space="0"/>
              <w:right w:val="single" w:color="auto" w:sz="4" w:space="0"/>
            </w:tcBorders>
            <w:noWrap/>
            <w:vAlign w:val="center"/>
          </w:tcPr>
          <w:p w14:paraId="7F50413D">
            <w:pPr>
              <w:pStyle w:val="33"/>
              <w:rPr>
                <w:color w:val="auto"/>
              </w:rPr>
            </w:pPr>
            <w:r>
              <w:rPr>
                <w:color w:val="auto"/>
              </w:rPr>
              <w:t>《产业结构调整指导目录》</w:t>
            </w:r>
            <w:r>
              <w:rPr>
                <w:rFonts w:hint="eastAsia"/>
                <w:color w:val="auto"/>
              </w:rPr>
              <w:t>（2024版）</w:t>
            </w:r>
            <w:r>
              <w:rPr>
                <w:color w:val="auto"/>
              </w:rPr>
              <w:t>中淘汰类</w:t>
            </w:r>
          </w:p>
        </w:tc>
        <w:tc>
          <w:tcPr>
            <w:tcW w:w="2414" w:type="dxa"/>
            <w:tcBorders>
              <w:top w:val="single" w:color="auto" w:sz="4" w:space="0"/>
              <w:left w:val="single" w:color="auto" w:sz="4" w:space="0"/>
              <w:bottom w:val="single" w:color="auto" w:sz="4" w:space="0"/>
              <w:right w:val="single" w:color="auto" w:sz="4" w:space="0"/>
            </w:tcBorders>
            <w:noWrap/>
            <w:vAlign w:val="center"/>
          </w:tcPr>
          <w:p w14:paraId="44E3AD22">
            <w:pPr>
              <w:pStyle w:val="33"/>
              <w:jc w:val="left"/>
              <w:rPr>
                <w:color w:val="auto"/>
              </w:rPr>
            </w:pPr>
            <w:r>
              <w:rPr>
                <w:color w:val="auto"/>
              </w:rPr>
              <w:t>5.1万吨/年以下的化学木浆生产线</w:t>
            </w:r>
          </w:p>
        </w:tc>
        <w:tc>
          <w:tcPr>
            <w:tcW w:w="3400" w:type="dxa"/>
            <w:tcBorders>
              <w:top w:val="single" w:color="auto" w:sz="4" w:space="0"/>
              <w:left w:val="single" w:color="auto" w:sz="4" w:space="0"/>
              <w:bottom w:val="single" w:color="auto" w:sz="4" w:space="0"/>
              <w:right w:val="single" w:color="auto" w:sz="4" w:space="0"/>
            </w:tcBorders>
            <w:noWrap/>
            <w:vAlign w:val="center"/>
          </w:tcPr>
          <w:p w14:paraId="6D75C173">
            <w:pPr>
              <w:pStyle w:val="33"/>
              <w:rPr>
                <w:color w:val="auto"/>
              </w:rPr>
            </w:pPr>
            <w:r>
              <w:rPr>
                <w:rFonts w:hint="eastAsia"/>
                <w:color w:val="auto"/>
              </w:rPr>
              <w:t>本项目不涉及。</w:t>
            </w:r>
          </w:p>
        </w:tc>
        <w:tc>
          <w:tcPr>
            <w:tcW w:w="1134" w:type="dxa"/>
            <w:tcBorders>
              <w:top w:val="single" w:color="auto" w:sz="4" w:space="0"/>
              <w:left w:val="single" w:color="auto" w:sz="4" w:space="0"/>
              <w:bottom w:val="single" w:color="auto" w:sz="4" w:space="0"/>
              <w:right w:val="single" w:color="auto" w:sz="4" w:space="0"/>
            </w:tcBorders>
            <w:noWrap/>
            <w:vAlign w:val="center"/>
          </w:tcPr>
          <w:p w14:paraId="598B3949">
            <w:pPr>
              <w:pStyle w:val="33"/>
              <w:rPr>
                <w:color w:val="auto"/>
              </w:rPr>
            </w:pPr>
            <w:r>
              <w:rPr>
                <w:color w:val="auto"/>
              </w:rPr>
              <w:t>无</w:t>
            </w:r>
          </w:p>
        </w:tc>
      </w:tr>
      <w:tr w14:paraId="01D82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698" w:type="dxa"/>
            <w:vMerge w:val="continue"/>
            <w:tcBorders>
              <w:top w:val="single" w:color="auto" w:sz="4" w:space="0"/>
              <w:left w:val="single" w:color="auto" w:sz="4" w:space="0"/>
              <w:bottom w:val="single" w:color="auto" w:sz="4" w:space="0"/>
              <w:right w:val="single" w:color="auto" w:sz="4" w:space="0"/>
            </w:tcBorders>
            <w:vAlign w:val="center"/>
          </w:tcPr>
          <w:p w14:paraId="18DAC133">
            <w:pPr>
              <w:pStyle w:val="33"/>
              <w:rPr>
                <w:color w:val="auto"/>
              </w:rPr>
            </w:pPr>
          </w:p>
        </w:tc>
        <w:tc>
          <w:tcPr>
            <w:tcW w:w="2414" w:type="dxa"/>
            <w:tcBorders>
              <w:top w:val="single" w:color="auto" w:sz="4" w:space="0"/>
              <w:left w:val="single" w:color="auto" w:sz="4" w:space="0"/>
              <w:bottom w:val="single" w:color="auto" w:sz="4" w:space="0"/>
              <w:right w:val="single" w:color="auto" w:sz="4" w:space="0"/>
            </w:tcBorders>
            <w:noWrap/>
            <w:vAlign w:val="center"/>
          </w:tcPr>
          <w:p w14:paraId="1B328ABC">
            <w:pPr>
              <w:pStyle w:val="33"/>
              <w:jc w:val="left"/>
              <w:rPr>
                <w:color w:val="auto"/>
              </w:rPr>
            </w:pPr>
            <w:r>
              <w:rPr>
                <w:color w:val="auto"/>
              </w:rPr>
              <w:t>单条3.4万吨/年以下的非木浆生产线</w:t>
            </w:r>
          </w:p>
        </w:tc>
        <w:tc>
          <w:tcPr>
            <w:tcW w:w="3400" w:type="dxa"/>
            <w:tcBorders>
              <w:top w:val="single" w:color="auto" w:sz="4" w:space="0"/>
              <w:left w:val="single" w:color="auto" w:sz="4" w:space="0"/>
              <w:bottom w:val="single" w:color="auto" w:sz="4" w:space="0"/>
              <w:right w:val="single" w:color="auto" w:sz="4" w:space="0"/>
            </w:tcBorders>
            <w:noWrap/>
            <w:vAlign w:val="center"/>
          </w:tcPr>
          <w:p w14:paraId="7D011387">
            <w:pPr>
              <w:pStyle w:val="33"/>
              <w:rPr>
                <w:color w:val="auto"/>
              </w:rPr>
            </w:pPr>
            <w:r>
              <w:rPr>
                <w:rFonts w:hint="eastAsia"/>
                <w:color w:val="auto"/>
              </w:rPr>
              <w:t>本项目不涉及。</w:t>
            </w:r>
          </w:p>
        </w:tc>
        <w:tc>
          <w:tcPr>
            <w:tcW w:w="1134" w:type="dxa"/>
            <w:tcBorders>
              <w:top w:val="single" w:color="auto" w:sz="4" w:space="0"/>
              <w:left w:val="single" w:color="auto" w:sz="4" w:space="0"/>
              <w:bottom w:val="single" w:color="auto" w:sz="4" w:space="0"/>
              <w:right w:val="single" w:color="auto" w:sz="4" w:space="0"/>
            </w:tcBorders>
            <w:noWrap/>
            <w:vAlign w:val="center"/>
          </w:tcPr>
          <w:p w14:paraId="2D571BF4">
            <w:pPr>
              <w:pStyle w:val="33"/>
              <w:rPr>
                <w:color w:val="auto"/>
              </w:rPr>
            </w:pPr>
            <w:r>
              <w:rPr>
                <w:color w:val="auto"/>
              </w:rPr>
              <w:t>无</w:t>
            </w:r>
          </w:p>
        </w:tc>
      </w:tr>
      <w:tr w14:paraId="07EBC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698" w:type="dxa"/>
            <w:vMerge w:val="continue"/>
            <w:tcBorders>
              <w:top w:val="single" w:color="auto" w:sz="4" w:space="0"/>
              <w:left w:val="single" w:color="auto" w:sz="4" w:space="0"/>
              <w:bottom w:val="single" w:color="auto" w:sz="4" w:space="0"/>
              <w:right w:val="single" w:color="auto" w:sz="4" w:space="0"/>
            </w:tcBorders>
            <w:vAlign w:val="center"/>
          </w:tcPr>
          <w:p w14:paraId="5C701464">
            <w:pPr>
              <w:pStyle w:val="33"/>
              <w:rPr>
                <w:color w:val="auto"/>
              </w:rPr>
            </w:pPr>
          </w:p>
        </w:tc>
        <w:tc>
          <w:tcPr>
            <w:tcW w:w="2414" w:type="dxa"/>
            <w:tcBorders>
              <w:top w:val="single" w:color="auto" w:sz="4" w:space="0"/>
              <w:left w:val="single" w:color="auto" w:sz="4" w:space="0"/>
              <w:bottom w:val="single" w:color="auto" w:sz="4" w:space="0"/>
              <w:right w:val="single" w:color="auto" w:sz="4" w:space="0"/>
            </w:tcBorders>
            <w:noWrap/>
            <w:vAlign w:val="center"/>
          </w:tcPr>
          <w:p w14:paraId="52CB37B1">
            <w:pPr>
              <w:pStyle w:val="33"/>
              <w:jc w:val="left"/>
              <w:rPr>
                <w:color w:val="auto"/>
              </w:rPr>
            </w:pPr>
            <w:r>
              <w:rPr>
                <w:color w:val="auto"/>
              </w:rPr>
              <w:t>单条1万吨/年及以下、以废纸为原料的制浆生产线</w:t>
            </w:r>
          </w:p>
        </w:tc>
        <w:tc>
          <w:tcPr>
            <w:tcW w:w="3400" w:type="dxa"/>
            <w:tcBorders>
              <w:top w:val="single" w:color="auto" w:sz="4" w:space="0"/>
              <w:left w:val="single" w:color="auto" w:sz="4" w:space="0"/>
              <w:bottom w:val="single" w:color="auto" w:sz="4" w:space="0"/>
              <w:right w:val="single" w:color="auto" w:sz="4" w:space="0"/>
            </w:tcBorders>
            <w:noWrap/>
            <w:vAlign w:val="center"/>
          </w:tcPr>
          <w:p w14:paraId="59245957">
            <w:pPr>
              <w:pStyle w:val="33"/>
              <w:rPr>
                <w:color w:val="auto"/>
              </w:rPr>
            </w:pPr>
            <w:r>
              <w:rPr>
                <w:rFonts w:hint="eastAsia"/>
                <w:color w:val="auto"/>
              </w:rPr>
              <w:t>本项目不涉及。</w:t>
            </w:r>
          </w:p>
        </w:tc>
        <w:tc>
          <w:tcPr>
            <w:tcW w:w="1134" w:type="dxa"/>
            <w:tcBorders>
              <w:top w:val="single" w:color="auto" w:sz="4" w:space="0"/>
              <w:left w:val="single" w:color="auto" w:sz="4" w:space="0"/>
              <w:bottom w:val="single" w:color="auto" w:sz="4" w:space="0"/>
              <w:right w:val="single" w:color="auto" w:sz="4" w:space="0"/>
            </w:tcBorders>
            <w:noWrap/>
            <w:vAlign w:val="center"/>
          </w:tcPr>
          <w:p w14:paraId="628448DA">
            <w:pPr>
              <w:pStyle w:val="33"/>
              <w:rPr>
                <w:color w:val="auto"/>
              </w:rPr>
            </w:pPr>
            <w:r>
              <w:rPr>
                <w:color w:val="auto"/>
              </w:rPr>
              <w:t>无</w:t>
            </w:r>
          </w:p>
        </w:tc>
      </w:tr>
      <w:tr w14:paraId="1CD9F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698" w:type="dxa"/>
            <w:vMerge w:val="continue"/>
            <w:tcBorders>
              <w:top w:val="single" w:color="auto" w:sz="4" w:space="0"/>
              <w:left w:val="single" w:color="auto" w:sz="4" w:space="0"/>
              <w:bottom w:val="single" w:color="auto" w:sz="4" w:space="0"/>
              <w:right w:val="single" w:color="auto" w:sz="4" w:space="0"/>
            </w:tcBorders>
            <w:vAlign w:val="center"/>
          </w:tcPr>
          <w:p w14:paraId="7A9B9E6F">
            <w:pPr>
              <w:pStyle w:val="33"/>
              <w:rPr>
                <w:color w:val="auto"/>
              </w:rPr>
            </w:pPr>
          </w:p>
        </w:tc>
        <w:tc>
          <w:tcPr>
            <w:tcW w:w="2414" w:type="dxa"/>
            <w:tcBorders>
              <w:top w:val="single" w:color="auto" w:sz="4" w:space="0"/>
              <w:left w:val="single" w:color="auto" w:sz="4" w:space="0"/>
              <w:bottom w:val="single" w:color="auto" w:sz="4" w:space="0"/>
              <w:right w:val="single" w:color="auto" w:sz="4" w:space="0"/>
            </w:tcBorders>
            <w:noWrap/>
            <w:vAlign w:val="center"/>
          </w:tcPr>
          <w:p w14:paraId="3F1A023C">
            <w:pPr>
              <w:pStyle w:val="33"/>
              <w:jc w:val="left"/>
              <w:rPr>
                <w:color w:val="auto"/>
              </w:rPr>
            </w:pPr>
            <w:r>
              <w:rPr>
                <w:color w:val="auto"/>
              </w:rPr>
              <w:t>幅宽在1.76米及以下并且车速为120米/分以下的文化纸生产线</w:t>
            </w:r>
          </w:p>
        </w:tc>
        <w:tc>
          <w:tcPr>
            <w:tcW w:w="3400" w:type="dxa"/>
            <w:tcBorders>
              <w:top w:val="single" w:color="auto" w:sz="4" w:space="0"/>
              <w:left w:val="single" w:color="auto" w:sz="4" w:space="0"/>
              <w:bottom w:val="single" w:color="auto" w:sz="4" w:space="0"/>
              <w:right w:val="single" w:color="auto" w:sz="4" w:space="0"/>
            </w:tcBorders>
            <w:noWrap/>
            <w:vAlign w:val="center"/>
          </w:tcPr>
          <w:p w14:paraId="63D47FA7">
            <w:pPr>
              <w:pStyle w:val="33"/>
              <w:rPr>
                <w:color w:val="auto"/>
              </w:rPr>
            </w:pPr>
            <w:r>
              <w:rPr>
                <w:rFonts w:hint="eastAsia"/>
                <w:color w:val="auto"/>
              </w:rPr>
              <w:t>本项目不涉及文化纸生产。</w:t>
            </w:r>
          </w:p>
        </w:tc>
        <w:tc>
          <w:tcPr>
            <w:tcW w:w="1134" w:type="dxa"/>
            <w:tcBorders>
              <w:top w:val="single" w:color="auto" w:sz="4" w:space="0"/>
              <w:left w:val="single" w:color="auto" w:sz="4" w:space="0"/>
              <w:bottom w:val="single" w:color="auto" w:sz="4" w:space="0"/>
              <w:right w:val="single" w:color="auto" w:sz="4" w:space="0"/>
            </w:tcBorders>
            <w:noWrap/>
            <w:vAlign w:val="center"/>
          </w:tcPr>
          <w:p w14:paraId="6A320AEC">
            <w:pPr>
              <w:pStyle w:val="33"/>
              <w:rPr>
                <w:color w:val="auto"/>
              </w:rPr>
            </w:pPr>
            <w:r>
              <w:rPr>
                <w:color w:val="auto"/>
              </w:rPr>
              <w:t>无</w:t>
            </w:r>
          </w:p>
        </w:tc>
      </w:tr>
      <w:tr w14:paraId="1F65B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698" w:type="dxa"/>
            <w:vMerge w:val="continue"/>
            <w:tcBorders>
              <w:top w:val="single" w:color="auto" w:sz="4" w:space="0"/>
              <w:left w:val="single" w:color="auto" w:sz="4" w:space="0"/>
              <w:bottom w:val="single" w:color="auto" w:sz="4" w:space="0"/>
              <w:right w:val="single" w:color="auto" w:sz="4" w:space="0"/>
            </w:tcBorders>
            <w:vAlign w:val="center"/>
          </w:tcPr>
          <w:p w14:paraId="70E93B1E">
            <w:pPr>
              <w:pStyle w:val="33"/>
              <w:rPr>
                <w:color w:val="auto"/>
              </w:rPr>
            </w:pPr>
          </w:p>
        </w:tc>
        <w:tc>
          <w:tcPr>
            <w:tcW w:w="2414" w:type="dxa"/>
            <w:tcBorders>
              <w:top w:val="single" w:color="auto" w:sz="4" w:space="0"/>
              <w:left w:val="single" w:color="auto" w:sz="4" w:space="0"/>
              <w:bottom w:val="single" w:color="auto" w:sz="4" w:space="0"/>
              <w:right w:val="single" w:color="auto" w:sz="4" w:space="0"/>
            </w:tcBorders>
            <w:noWrap/>
            <w:vAlign w:val="center"/>
          </w:tcPr>
          <w:p w14:paraId="3E8DE137">
            <w:pPr>
              <w:pStyle w:val="33"/>
              <w:jc w:val="left"/>
              <w:rPr>
                <w:color w:val="auto"/>
              </w:rPr>
            </w:pPr>
            <w:r>
              <w:rPr>
                <w:color w:val="auto"/>
              </w:rPr>
              <w:t>幅宽在2米及以下并且车速为80米/分以下的白板纸、箱板纸及瓦楞纸生产线</w:t>
            </w:r>
          </w:p>
        </w:tc>
        <w:tc>
          <w:tcPr>
            <w:tcW w:w="3400" w:type="dxa"/>
            <w:tcBorders>
              <w:top w:val="single" w:color="auto" w:sz="4" w:space="0"/>
              <w:left w:val="single" w:color="auto" w:sz="4" w:space="0"/>
              <w:bottom w:val="single" w:color="auto" w:sz="4" w:space="0"/>
              <w:right w:val="single" w:color="auto" w:sz="4" w:space="0"/>
            </w:tcBorders>
            <w:noWrap/>
            <w:vAlign w:val="center"/>
          </w:tcPr>
          <w:p w14:paraId="6405C36F">
            <w:pPr>
              <w:pStyle w:val="33"/>
              <w:jc w:val="left"/>
              <w:rPr>
                <w:color w:val="auto"/>
              </w:rPr>
            </w:pPr>
            <w:r>
              <w:rPr>
                <w:color w:val="auto"/>
              </w:rPr>
              <w:t>本项目</w:t>
            </w:r>
            <w:r>
              <w:rPr>
                <w:rFonts w:hint="eastAsia"/>
                <w:color w:val="auto"/>
              </w:rPr>
              <w:t>1#白卡纸生产线</w:t>
            </w:r>
            <w:r>
              <w:rPr>
                <w:rFonts w:hint="eastAsia"/>
                <w:color w:val="auto"/>
                <w:szCs w:val="28"/>
              </w:rPr>
              <w:t>幅宽为8100mm、工作</w:t>
            </w:r>
            <w:r>
              <w:rPr>
                <w:rFonts w:hint="eastAsia"/>
                <w:color w:val="auto"/>
              </w:rPr>
              <w:t>车速1400m/min，2#白卡纸生产线</w:t>
            </w:r>
            <w:r>
              <w:rPr>
                <w:rFonts w:hint="eastAsia"/>
                <w:color w:val="auto"/>
                <w:szCs w:val="28"/>
              </w:rPr>
              <w:t>幅宽为8100mm、工作</w:t>
            </w:r>
            <w:r>
              <w:rPr>
                <w:rFonts w:hint="eastAsia"/>
                <w:color w:val="auto"/>
              </w:rPr>
              <w:t>车速</w:t>
            </w:r>
            <w:r>
              <w:rPr>
                <w:color w:val="auto"/>
              </w:rPr>
              <w:t>1350m/min。</w:t>
            </w:r>
          </w:p>
        </w:tc>
        <w:tc>
          <w:tcPr>
            <w:tcW w:w="1134" w:type="dxa"/>
            <w:tcBorders>
              <w:top w:val="single" w:color="auto" w:sz="4" w:space="0"/>
              <w:left w:val="single" w:color="auto" w:sz="4" w:space="0"/>
              <w:bottom w:val="single" w:color="auto" w:sz="4" w:space="0"/>
              <w:right w:val="single" w:color="auto" w:sz="4" w:space="0"/>
            </w:tcBorders>
            <w:noWrap/>
            <w:vAlign w:val="center"/>
          </w:tcPr>
          <w:p w14:paraId="4C276BF7">
            <w:pPr>
              <w:pStyle w:val="33"/>
              <w:rPr>
                <w:color w:val="auto"/>
              </w:rPr>
            </w:pPr>
            <w:r>
              <w:rPr>
                <w:color w:val="auto"/>
              </w:rPr>
              <w:t>无</w:t>
            </w:r>
          </w:p>
        </w:tc>
      </w:tr>
      <w:tr w14:paraId="5FE2B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1698" w:type="dxa"/>
            <w:tcBorders>
              <w:top w:val="single" w:color="auto" w:sz="4" w:space="0"/>
              <w:left w:val="single" w:color="auto" w:sz="4" w:space="0"/>
              <w:bottom w:val="single" w:color="auto" w:sz="4" w:space="0"/>
              <w:right w:val="single" w:color="auto" w:sz="4" w:space="0"/>
            </w:tcBorders>
            <w:noWrap/>
            <w:vAlign w:val="center"/>
          </w:tcPr>
          <w:p w14:paraId="1C7BC4AA">
            <w:pPr>
              <w:pStyle w:val="33"/>
              <w:rPr>
                <w:color w:val="auto"/>
              </w:rPr>
            </w:pPr>
            <w:r>
              <w:rPr>
                <w:color w:val="auto"/>
              </w:rPr>
              <w:t>《淘汰落后生产能力、工艺和产品的目录》</w:t>
            </w:r>
          </w:p>
        </w:tc>
        <w:tc>
          <w:tcPr>
            <w:tcW w:w="2414" w:type="dxa"/>
            <w:tcBorders>
              <w:top w:val="single" w:color="auto" w:sz="4" w:space="0"/>
              <w:left w:val="single" w:color="auto" w:sz="4" w:space="0"/>
              <w:bottom w:val="single" w:color="auto" w:sz="4" w:space="0"/>
              <w:right w:val="single" w:color="auto" w:sz="4" w:space="0"/>
            </w:tcBorders>
            <w:noWrap/>
            <w:vAlign w:val="center"/>
          </w:tcPr>
          <w:p w14:paraId="53345E89">
            <w:pPr>
              <w:pStyle w:val="33"/>
              <w:jc w:val="left"/>
              <w:rPr>
                <w:color w:val="auto"/>
              </w:rPr>
            </w:pPr>
            <w:r>
              <w:rPr>
                <w:color w:val="auto"/>
              </w:rPr>
              <w:t>年生产能力小于1万吨的化学制浆造纸生产装置</w:t>
            </w:r>
          </w:p>
        </w:tc>
        <w:tc>
          <w:tcPr>
            <w:tcW w:w="3400" w:type="dxa"/>
            <w:tcBorders>
              <w:top w:val="single" w:color="auto" w:sz="4" w:space="0"/>
              <w:left w:val="single" w:color="auto" w:sz="4" w:space="0"/>
              <w:bottom w:val="single" w:color="auto" w:sz="4" w:space="0"/>
              <w:right w:val="single" w:color="auto" w:sz="4" w:space="0"/>
            </w:tcBorders>
            <w:noWrap/>
            <w:vAlign w:val="center"/>
          </w:tcPr>
          <w:p w14:paraId="1B1B9121">
            <w:pPr>
              <w:pStyle w:val="33"/>
              <w:rPr>
                <w:color w:val="auto"/>
              </w:rPr>
            </w:pPr>
            <w:r>
              <w:rPr>
                <w:rFonts w:hint="eastAsia"/>
                <w:color w:val="auto"/>
              </w:rPr>
              <w:t>项目建设年产300万吨白卡纸。</w:t>
            </w:r>
          </w:p>
        </w:tc>
        <w:tc>
          <w:tcPr>
            <w:tcW w:w="1134" w:type="dxa"/>
            <w:tcBorders>
              <w:top w:val="single" w:color="auto" w:sz="4" w:space="0"/>
              <w:left w:val="single" w:color="auto" w:sz="4" w:space="0"/>
              <w:bottom w:val="single" w:color="auto" w:sz="4" w:space="0"/>
              <w:right w:val="single" w:color="auto" w:sz="4" w:space="0"/>
            </w:tcBorders>
            <w:noWrap/>
            <w:vAlign w:val="center"/>
          </w:tcPr>
          <w:p w14:paraId="0B9B4CEC">
            <w:pPr>
              <w:pStyle w:val="33"/>
              <w:rPr>
                <w:color w:val="auto"/>
              </w:rPr>
            </w:pPr>
            <w:r>
              <w:rPr>
                <w:color w:val="auto"/>
              </w:rPr>
              <w:t>无</w:t>
            </w:r>
          </w:p>
        </w:tc>
      </w:tr>
      <w:tr w14:paraId="18D24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1698" w:type="dxa"/>
            <w:tcBorders>
              <w:top w:val="single" w:color="auto" w:sz="4" w:space="0"/>
              <w:left w:val="single" w:color="auto" w:sz="4" w:space="0"/>
              <w:bottom w:val="single" w:color="auto" w:sz="4" w:space="0"/>
              <w:right w:val="single" w:color="auto" w:sz="4" w:space="0"/>
            </w:tcBorders>
            <w:noWrap/>
            <w:vAlign w:val="center"/>
          </w:tcPr>
          <w:p w14:paraId="18188B67">
            <w:pPr>
              <w:pStyle w:val="33"/>
              <w:rPr>
                <w:color w:val="auto"/>
              </w:rPr>
            </w:pPr>
            <w:r>
              <w:rPr>
                <w:color w:val="auto"/>
              </w:rPr>
              <w:t>《造纸产业发展政策》</w:t>
            </w:r>
          </w:p>
        </w:tc>
        <w:tc>
          <w:tcPr>
            <w:tcW w:w="2414" w:type="dxa"/>
            <w:tcBorders>
              <w:top w:val="single" w:color="auto" w:sz="4" w:space="0"/>
              <w:left w:val="single" w:color="auto" w:sz="4" w:space="0"/>
              <w:bottom w:val="single" w:color="auto" w:sz="4" w:space="0"/>
              <w:right w:val="single" w:color="auto" w:sz="4" w:space="0"/>
            </w:tcBorders>
            <w:noWrap/>
            <w:vAlign w:val="center"/>
          </w:tcPr>
          <w:p w14:paraId="00A8A0ED">
            <w:pPr>
              <w:pStyle w:val="33"/>
              <w:jc w:val="left"/>
              <w:rPr>
                <w:color w:val="auto"/>
              </w:rPr>
            </w:pPr>
            <w:r>
              <w:rPr>
                <w:color w:val="auto"/>
              </w:rPr>
              <w:t>淘汰年产3.4万吨及以下化学草浆生产装置、蒸球等制浆生产技术与装备，以及窄幅宽、低车速的高消耗、低水平造纸机。禁止采用石灰法制浆，禁止新上项目采用元素氯漂白工艺（现有企业应逐步淘汰）。禁止进口淘汰落后的二手制浆造纸设备。</w:t>
            </w:r>
          </w:p>
        </w:tc>
        <w:tc>
          <w:tcPr>
            <w:tcW w:w="3400" w:type="dxa"/>
            <w:tcBorders>
              <w:top w:val="single" w:color="auto" w:sz="4" w:space="0"/>
              <w:left w:val="single" w:color="auto" w:sz="4" w:space="0"/>
              <w:bottom w:val="single" w:color="auto" w:sz="4" w:space="0"/>
              <w:right w:val="single" w:color="auto" w:sz="4" w:space="0"/>
            </w:tcBorders>
            <w:noWrap/>
            <w:vAlign w:val="center"/>
          </w:tcPr>
          <w:p w14:paraId="6032418B">
            <w:pPr>
              <w:pStyle w:val="33"/>
              <w:jc w:val="left"/>
              <w:rPr>
                <w:color w:val="auto"/>
              </w:rPr>
            </w:pPr>
            <w:r>
              <w:rPr>
                <w:color w:val="auto"/>
              </w:rPr>
              <w:t>本项目未涉及草浆制浆，未使用蒸球等制浆生产技术与装备以及窄幅宽、低车速的高消耗、低水平造纸机，未采用石灰法制浆和元素氯漂白工艺，没有采用淘汰落后的二手制浆造纸设备。</w:t>
            </w:r>
          </w:p>
        </w:tc>
        <w:tc>
          <w:tcPr>
            <w:tcW w:w="1134" w:type="dxa"/>
            <w:tcBorders>
              <w:top w:val="single" w:color="auto" w:sz="4" w:space="0"/>
              <w:left w:val="single" w:color="auto" w:sz="4" w:space="0"/>
              <w:bottom w:val="single" w:color="auto" w:sz="4" w:space="0"/>
              <w:right w:val="single" w:color="auto" w:sz="4" w:space="0"/>
            </w:tcBorders>
            <w:noWrap/>
            <w:vAlign w:val="center"/>
          </w:tcPr>
          <w:p w14:paraId="03095A1A">
            <w:pPr>
              <w:pStyle w:val="33"/>
              <w:rPr>
                <w:color w:val="auto"/>
              </w:rPr>
            </w:pPr>
            <w:r>
              <w:rPr>
                <w:color w:val="auto"/>
              </w:rPr>
              <w:t>无</w:t>
            </w:r>
          </w:p>
        </w:tc>
      </w:tr>
    </w:tbl>
    <w:p w14:paraId="55D07A13">
      <w:pPr>
        <w:pStyle w:val="5"/>
        <w:rPr>
          <w:rFonts w:cs="Times New Roman"/>
          <w:color w:val="auto"/>
        </w:rPr>
      </w:pPr>
      <w:r>
        <w:rPr>
          <w:rFonts w:cs="Times New Roman"/>
          <w:color w:val="auto"/>
        </w:rPr>
        <w:t>与《造纸行业“十四五”及中长期高质量发展纲要》（中纸协</w:t>
      </w:r>
      <w:r>
        <w:rPr>
          <w:rFonts w:hint="eastAsia" w:cs="Times New Roman"/>
          <w:color w:val="auto"/>
        </w:rPr>
        <w:t>〔</w:t>
      </w:r>
      <w:r>
        <w:rPr>
          <w:rFonts w:cs="Times New Roman"/>
          <w:color w:val="auto"/>
        </w:rPr>
        <w:t>2021</w:t>
      </w:r>
      <w:r>
        <w:rPr>
          <w:rFonts w:ascii="黑体" w:hAnsi="黑体"/>
          <w:color w:val="auto"/>
        </w:rPr>
        <w:t>〕</w:t>
      </w:r>
      <w:r>
        <w:rPr>
          <w:rFonts w:cs="Times New Roman"/>
          <w:color w:val="auto"/>
        </w:rPr>
        <w:t>20号）符合性分析</w:t>
      </w:r>
    </w:p>
    <w:p w14:paraId="39E7FC80">
      <w:pPr>
        <w:ind w:firstLine="480"/>
        <w:rPr>
          <w:rFonts w:cs="Times New Roman"/>
          <w:color w:val="auto"/>
        </w:rPr>
      </w:pPr>
      <w:r>
        <w:rPr>
          <w:rFonts w:cs="Times New Roman"/>
          <w:color w:val="auto"/>
        </w:rPr>
        <w:t>项目与《造纸行业“十四五”及中长期高质量发展纲要》（中纸协</w:t>
      </w:r>
      <w:r>
        <w:rPr>
          <w:color w:val="auto"/>
        </w:rPr>
        <w:t>〔</w:t>
      </w:r>
      <w:r>
        <w:rPr>
          <w:rFonts w:cs="Times New Roman"/>
          <w:color w:val="auto"/>
        </w:rPr>
        <w:t>2021</w:t>
      </w:r>
      <w:r>
        <w:rPr>
          <w:rFonts w:hint="eastAsia" w:cs="Times New Roman"/>
          <w:color w:val="auto"/>
        </w:rPr>
        <w:t>〕</w:t>
      </w:r>
      <w:r>
        <w:rPr>
          <w:rFonts w:cs="Times New Roman"/>
          <w:color w:val="auto"/>
        </w:rPr>
        <w:t>20号）相符，符合性分析见下表。</w:t>
      </w:r>
    </w:p>
    <w:p w14:paraId="13CE8CED">
      <w:pPr>
        <w:pStyle w:val="7"/>
        <w:rPr>
          <w:color w:val="auto"/>
        </w:rPr>
      </w:pPr>
      <w:r>
        <w:rPr>
          <w:color w:val="auto"/>
        </w:rPr>
        <w:t>与《造纸行业“十四五”及中长期高质量发展纲要》符合性分析表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4"/>
        <w:gridCol w:w="3828"/>
        <w:gridCol w:w="3968"/>
        <w:gridCol w:w="570"/>
      </w:tblGrid>
      <w:tr w14:paraId="2FAE2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5" w:hRule="atLeast"/>
          <w:jc w:val="center"/>
        </w:trPr>
        <w:tc>
          <w:tcPr>
            <w:tcW w:w="393" w:type="pct"/>
            <w:tcBorders>
              <w:top w:val="single" w:color="auto" w:sz="4" w:space="0"/>
              <w:left w:val="single" w:color="auto" w:sz="4" w:space="0"/>
              <w:bottom w:val="single" w:color="auto" w:sz="4" w:space="0"/>
              <w:right w:val="single" w:color="auto" w:sz="4" w:space="0"/>
            </w:tcBorders>
            <w:noWrap/>
            <w:vAlign w:val="center"/>
          </w:tcPr>
          <w:p w14:paraId="76010C14">
            <w:pPr>
              <w:pStyle w:val="33"/>
              <w:rPr>
                <w:color w:val="auto"/>
              </w:rPr>
            </w:pPr>
            <w:r>
              <w:rPr>
                <w:color w:val="auto"/>
              </w:rPr>
              <w:t>类别</w:t>
            </w:r>
          </w:p>
        </w:tc>
        <w:tc>
          <w:tcPr>
            <w:tcW w:w="2108" w:type="pct"/>
            <w:tcBorders>
              <w:top w:val="single" w:color="auto" w:sz="4" w:space="0"/>
              <w:left w:val="single" w:color="auto" w:sz="4" w:space="0"/>
              <w:bottom w:val="single" w:color="auto" w:sz="4" w:space="0"/>
              <w:right w:val="single" w:color="auto" w:sz="4" w:space="0"/>
            </w:tcBorders>
            <w:noWrap/>
            <w:vAlign w:val="center"/>
          </w:tcPr>
          <w:p w14:paraId="21394D02">
            <w:pPr>
              <w:pStyle w:val="33"/>
              <w:rPr>
                <w:color w:val="auto"/>
              </w:rPr>
            </w:pPr>
            <w:r>
              <w:rPr>
                <w:color w:val="auto"/>
              </w:rPr>
              <w:t>内容</w:t>
            </w:r>
          </w:p>
        </w:tc>
        <w:tc>
          <w:tcPr>
            <w:tcW w:w="2185" w:type="pct"/>
            <w:tcBorders>
              <w:top w:val="single" w:color="auto" w:sz="4" w:space="0"/>
              <w:left w:val="single" w:color="auto" w:sz="4" w:space="0"/>
              <w:bottom w:val="single" w:color="auto" w:sz="4" w:space="0"/>
              <w:right w:val="single" w:color="auto" w:sz="4" w:space="0"/>
            </w:tcBorders>
            <w:noWrap/>
            <w:vAlign w:val="center"/>
          </w:tcPr>
          <w:p w14:paraId="2E4C1560">
            <w:pPr>
              <w:pStyle w:val="33"/>
              <w:rPr>
                <w:color w:val="auto"/>
              </w:rPr>
            </w:pPr>
            <w:r>
              <w:rPr>
                <w:color w:val="auto"/>
              </w:rPr>
              <w:t>本项目情况</w:t>
            </w:r>
          </w:p>
        </w:tc>
        <w:tc>
          <w:tcPr>
            <w:tcW w:w="314" w:type="pct"/>
            <w:tcBorders>
              <w:top w:val="single" w:color="auto" w:sz="4" w:space="0"/>
              <w:left w:val="single" w:color="auto" w:sz="4" w:space="0"/>
              <w:bottom w:val="single" w:color="auto" w:sz="4" w:space="0"/>
              <w:right w:val="single" w:color="auto" w:sz="4" w:space="0"/>
            </w:tcBorders>
            <w:noWrap/>
            <w:vAlign w:val="center"/>
          </w:tcPr>
          <w:p w14:paraId="37DCE0F0">
            <w:pPr>
              <w:pStyle w:val="33"/>
              <w:rPr>
                <w:color w:val="auto"/>
              </w:rPr>
            </w:pPr>
            <w:r>
              <w:rPr>
                <w:color w:val="auto"/>
              </w:rPr>
              <w:t>符合性</w:t>
            </w:r>
          </w:p>
        </w:tc>
      </w:tr>
      <w:tr w14:paraId="32A6E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93" w:type="pct"/>
            <w:vMerge w:val="restart"/>
            <w:tcBorders>
              <w:top w:val="single" w:color="auto" w:sz="4" w:space="0"/>
              <w:left w:val="single" w:color="auto" w:sz="4" w:space="0"/>
              <w:bottom w:val="single" w:color="auto" w:sz="4" w:space="0"/>
              <w:right w:val="single" w:color="auto" w:sz="4" w:space="0"/>
            </w:tcBorders>
            <w:noWrap/>
            <w:vAlign w:val="center"/>
          </w:tcPr>
          <w:p w14:paraId="761FBCDD">
            <w:pPr>
              <w:pStyle w:val="33"/>
              <w:rPr>
                <w:color w:val="auto"/>
              </w:rPr>
            </w:pPr>
            <w:r>
              <w:rPr>
                <w:color w:val="auto"/>
              </w:rPr>
              <w:t>优化企业结构</w:t>
            </w:r>
          </w:p>
        </w:tc>
        <w:tc>
          <w:tcPr>
            <w:tcW w:w="2108" w:type="pct"/>
            <w:tcBorders>
              <w:top w:val="single" w:color="auto" w:sz="4" w:space="0"/>
              <w:left w:val="single" w:color="auto" w:sz="4" w:space="0"/>
              <w:bottom w:val="single" w:color="auto" w:sz="4" w:space="0"/>
              <w:right w:val="single" w:color="auto" w:sz="4" w:space="0"/>
            </w:tcBorders>
            <w:noWrap/>
            <w:vAlign w:val="center"/>
          </w:tcPr>
          <w:p w14:paraId="3A9D5F79">
            <w:pPr>
              <w:pStyle w:val="33"/>
              <w:jc w:val="left"/>
              <w:rPr>
                <w:color w:val="auto"/>
              </w:rPr>
            </w:pPr>
            <w:r>
              <w:rPr>
                <w:color w:val="auto"/>
              </w:rPr>
              <w:t>大中小专业化分工：引导大宗产品生产专业化、规模化，引导中小造纸企业向专、精、特、新方向发展，实施横向联合，提高专业化水平和抗风险能力。</w:t>
            </w:r>
          </w:p>
        </w:tc>
        <w:tc>
          <w:tcPr>
            <w:tcW w:w="2185" w:type="pct"/>
            <w:tcBorders>
              <w:top w:val="single" w:color="auto" w:sz="4" w:space="0"/>
              <w:left w:val="single" w:color="auto" w:sz="4" w:space="0"/>
              <w:bottom w:val="single" w:color="auto" w:sz="4" w:space="0"/>
              <w:right w:val="single" w:color="auto" w:sz="4" w:space="0"/>
            </w:tcBorders>
            <w:noWrap/>
            <w:vAlign w:val="center"/>
          </w:tcPr>
          <w:p w14:paraId="42648218">
            <w:pPr>
              <w:pStyle w:val="33"/>
              <w:jc w:val="left"/>
              <w:rPr>
                <w:color w:val="auto"/>
              </w:rPr>
            </w:pPr>
            <w:r>
              <w:rPr>
                <w:color w:val="auto"/>
              </w:rPr>
              <w:t>企业积极应用数字化、智能化、集约化等新兴技术，引导生产专业化、规模化</w:t>
            </w:r>
            <w:r>
              <w:rPr>
                <w:rFonts w:hint="eastAsia"/>
                <w:color w:val="auto"/>
              </w:rPr>
              <w:t>，提高了项目抗风险能力。</w:t>
            </w:r>
          </w:p>
        </w:tc>
        <w:tc>
          <w:tcPr>
            <w:tcW w:w="314" w:type="pct"/>
            <w:tcBorders>
              <w:top w:val="single" w:color="auto" w:sz="4" w:space="0"/>
              <w:left w:val="single" w:color="auto" w:sz="4" w:space="0"/>
              <w:bottom w:val="single" w:color="auto" w:sz="4" w:space="0"/>
              <w:right w:val="single" w:color="auto" w:sz="4" w:space="0"/>
            </w:tcBorders>
            <w:noWrap/>
            <w:vAlign w:val="center"/>
          </w:tcPr>
          <w:p w14:paraId="24DFA418">
            <w:pPr>
              <w:pStyle w:val="33"/>
              <w:rPr>
                <w:color w:val="auto"/>
              </w:rPr>
            </w:pPr>
            <w:r>
              <w:rPr>
                <w:color w:val="auto"/>
              </w:rPr>
              <w:t>符合</w:t>
            </w:r>
          </w:p>
        </w:tc>
      </w:tr>
      <w:tr w14:paraId="48014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93" w:type="pct"/>
            <w:vMerge w:val="continue"/>
            <w:tcBorders>
              <w:top w:val="single" w:color="auto" w:sz="4" w:space="0"/>
              <w:left w:val="single" w:color="auto" w:sz="4" w:space="0"/>
              <w:bottom w:val="single" w:color="auto" w:sz="4" w:space="0"/>
              <w:right w:val="single" w:color="auto" w:sz="4" w:space="0"/>
            </w:tcBorders>
            <w:vAlign w:val="center"/>
          </w:tcPr>
          <w:p w14:paraId="4874DE82">
            <w:pPr>
              <w:pStyle w:val="33"/>
              <w:rPr>
                <w:color w:val="auto"/>
              </w:rPr>
            </w:pPr>
          </w:p>
        </w:tc>
        <w:tc>
          <w:tcPr>
            <w:tcW w:w="2108" w:type="pct"/>
            <w:tcBorders>
              <w:top w:val="single" w:color="auto" w:sz="4" w:space="0"/>
              <w:left w:val="single" w:color="auto" w:sz="4" w:space="0"/>
              <w:bottom w:val="single" w:color="auto" w:sz="4" w:space="0"/>
              <w:right w:val="single" w:color="auto" w:sz="4" w:space="0"/>
            </w:tcBorders>
            <w:noWrap/>
            <w:vAlign w:val="center"/>
          </w:tcPr>
          <w:p w14:paraId="4688EB7B">
            <w:pPr>
              <w:pStyle w:val="33"/>
              <w:jc w:val="left"/>
              <w:rPr>
                <w:color w:val="auto"/>
              </w:rPr>
            </w:pPr>
            <w:r>
              <w:rPr>
                <w:color w:val="auto"/>
              </w:rPr>
              <w:t>提高产能集中度：引导大型制浆造纸企业通过兼并重组与合资合作等形式发展，形成具有国际竞争力的综合性制浆造纸企业集团。培育纸制品龙头企业，提高纸制品企业集中度，提升企业规模效益。</w:t>
            </w:r>
          </w:p>
        </w:tc>
        <w:tc>
          <w:tcPr>
            <w:tcW w:w="2185" w:type="pct"/>
            <w:tcBorders>
              <w:top w:val="single" w:color="auto" w:sz="4" w:space="0"/>
              <w:left w:val="single" w:color="auto" w:sz="4" w:space="0"/>
              <w:bottom w:val="single" w:color="auto" w:sz="4" w:space="0"/>
              <w:right w:val="single" w:color="auto" w:sz="4" w:space="0"/>
            </w:tcBorders>
            <w:noWrap/>
            <w:vAlign w:val="center"/>
          </w:tcPr>
          <w:p w14:paraId="0DBEA7C0">
            <w:pPr>
              <w:pStyle w:val="33"/>
              <w:jc w:val="left"/>
              <w:rPr>
                <w:color w:val="auto"/>
              </w:rPr>
            </w:pPr>
            <w:r>
              <w:rPr>
                <w:rFonts w:hint="eastAsia"/>
                <w:color w:val="auto"/>
              </w:rPr>
              <w:t>本项目位于</w:t>
            </w:r>
            <w:r>
              <w:rPr>
                <w:color w:val="auto"/>
              </w:rPr>
              <w:t>中国（广西）自由贸易试验区钦州港片区</w:t>
            </w:r>
            <w:r>
              <w:rPr>
                <w:rFonts w:hint="eastAsia"/>
                <w:color w:val="auto"/>
              </w:rPr>
              <w:t>钦州林浆纸产业园，</w:t>
            </w:r>
            <w:r>
              <w:rPr>
                <w:color w:val="auto"/>
              </w:rPr>
              <w:t>项目不属于被兼并重组小型制浆造纸企业。</w:t>
            </w:r>
          </w:p>
        </w:tc>
        <w:tc>
          <w:tcPr>
            <w:tcW w:w="314" w:type="pct"/>
            <w:tcBorders>
              <w:top w:val="single" w:color="auto" w:sz="4" w:space="0"/>
              <w:left w:val="single" w:color="auto" w:sz="4" w:space="0"/>
              <w:bottom w:val="single" w:color="auto" w:sz="4" w:space="0"/>
              <w:right w:val="single" w:color="auto" w:sz="4" w:space="0"/>
            </w:tcBorders>
            <w:noWrap/>
            <w:vAlign w:val="center"/>
          </w:tcPr>
          <w:p w14:paraId="663630F6">
            <w:pPr>
              <w:pStyle w:val="33"/>
              <w:rPr>
                <w:color w:val="auto"/>
              </w:rPr>
            </w:pPr>
            <w:r>
              <w:rPr>
                <w:color w:val="auto"/>
              </w:rPr>
              <w:t>符合</w:t>
            </w:r>
          </w:p>
        </w:tc>
      </w:tr>
      <w:tr w14:paraId="47021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93" w:type="pct"/>
            <w:vMerge w:val="continue"/>
            <w:tcBorders>
              <w:top w:val="single" w:color="auto" w:sz="4" w:space="0"/>
              <w:left w:val="single" w:color="auto" w:sz="4" w:space="0"/>
              <w:bottom w:val="single" w:color="auto" w:sz="4" w:space="0"/>
              <w:right w:val="single" w:color="auto" w:sz="4" w:space="0"/>
            </w:tcBorders>
            <w:vAlign w:val="center"/>
          </w:tcPr>
          <w:p w14:paraId="731E21D3">
            <w:pPr>
              <w:pStyle w:val="33"/>
              <w:rPr>
                <w:color w:val="auto"/>
              </w:rPr>
            </w:pPr>
          </w:p>
        </w:tc>
        <w:tc>
          <w:tcPr>
            <w:tcW w:w="2108" w:type="pct"/>
            <w:tcBorders>
              <w:top w:val="single" w:color="auto" w:sz="4" w:space="0"/>
              <w:left w:val="single" w:color="auto" w:sz="4" w:space="0"/>
              <w:bottom w:val="single" w:color="auto" w:sz="4" w:space="0"/>
              <w:right w:val="single" w:color="auto" w:sz="4" w:space="0"/>
            </w:tcBorders>
            <w:noWrap/>
            <w:vAlign w:val="center"/>
          </w:tcPr>
          <w:p w14:paraId="66048334">
            <w:pPr>
              <w:pStyle w:val="33"/>
              <w:jc w:val="left"/>
              <w:rPr>
                <w:color w:val="auto"/>
              </w:rPr>
            </w:pPr>
            <w:r>
              <w:rPr>
                <w:color w:val="auto"/>
              </w:rPr>
              <w:t>主动淘汰落后产能：关停不能达标排放、能耗水平相对落后、产品竞争力弱的生产设施，确保已关闭的落后产能或生产设施不再复产。持续技术改造，持续对产能进行优化提升，保持产能技术水平和竞争力处于国际先进水平。</w:t>
            </w:r>
          </w:p>
        </w:tc>
        <w:tc>
          <w:tcPr>
            <w:tcW w:w="2185" w:type="pct"/>
            <w:tcBorders>
              <w:top w:val="single" w:color="auto" w:sz="4" w:space="0"/>
              <w:left w:val="single" w:color="auto" w:sz="4" w:space="0"/>
              <w:bottom w:val="single" w:color="auto" w:sz="4" w:space="0"/>
              <w:right w:val="single" w:color="auto" w:sz="4" w:space="0"/>
            </w:tcBorders>
            <w:noWrap/>
            <w:vAlign w:val="center"/>
          </w:tcPr>
          <w:p w14:paraId="562A3CED">
            <w:pPr>
              <w:pStyle w:val="33"/>
              <w:jc w:val="left"/>
              <w:rPr>
                <w:color w:val="auto"/>
              </w:rPr>
            </w:pPr>
            <w:r>
              <w:rPr>
                <w:rFonts w:hint="eastAsia"/>
                <w:color w:val="auto"/>
              </w:rPr>
              <w:t>本项目采用目前国内先进成熟的生产技术和设备，采用先进的白水循环使用工艺流程，减少清水的消耗量。</w:t>
            </w:r>
            <w:r>
              <w:rPr>
                <w:color w:val="auto"/>
              </w:rPr>
              <w:t>本项目采用生产设备和生产工艺均不属于《产业结构调整指导目录》、《淘汰落后生产能力、工艺和产品的目录》、《造纸产业发展政策》中造纸产业中相关淘汰落后产能和生产设备，产能技术水平和竞争力处于国际先进水平。</w:t>
            </w:r>
          </w:p>
        </w:tc>
        <w:tc>
          <w:tcPr>
            <w:tcW w:w="314" w:type="pct"/>
            <w:tcBorders>
              <w:top w:val="single" w:color="auto" w:sz="4" w:space="0"/>
              <w:left w:val="single" w:color="auto" w:sz="4" w:space="0"/>
              <w:bottom w:val="single" w:color="auto" w:sz="4" w:space="0"/>
              <w:right w:val="single" w:color="auto" w:sz="4" w:space="0"/>
            </w:tcBorders>
            <w:noWrap/>
            <w:vAlign w:val="center"/>
          </w:tcPr>
          <w:p w14:paraId="2D70448A">
            <w:pPr>
              <w:pStyle w:val="33"/>
              <w:rPr>
                <w:color w:val="auto"/>
              </w:rPr>
            </w:pPr>
            <w:r>
              <w:rPr>
                <w:color w:val="auto"/>
              </w:rPr>
              <w:t>符合</w:t>
            </w:r>
          </w:p>
        </w:tc>
      </w:tr>
      <w:tr w14:paraId="75509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93" w:type="pct"/>
            <w:vMerge w:val="restart"/>
            <w:tcBorders>
              <w:top w:val="single" w:color="auto" w:sz="4" w:space="0"/>
              <w:left w:val="single" w:color="auto" w:sz="4" w:space="0"/>
              <w:bottom w:val="single" w:color="auto" w:sz="4" w:space="0"/>
              <w:right w:val="single" w:color="auto" w:sz="4" w:space="0"/>
            </w:tcBorders>
            <w:noWrap/>
            <w:vAlign w:val="center"/>
          </w:tcPr>
          <w:p w14:paraId="3790817F">
            <w:pPr>
              <w:pStyle w:val="33"/>
              <w:rPr>
                <w:color w:val="auto"/>
              </w:rPr>
            </w:pPr>
            <w:r>
              <w:rPr>
                <w:color w:val="auto"/>
              </w:rPr>
              <w:t>坚持节能减排</w:t>
            </w:r>
          </w:p>
        </w:tc>
        <w:tc>
          <w:tcPr>
            <w:tcW w:w="2108" w:type="pct"/>
            <w:tcBorders>
              <w:top w:val="single" w:color="auto" w:sz="4" w:space="0"/>
              <w:left w:val="single" w:color="auto" w:sz="4" w:space="0"/>
              <w:bottom w:val="single" w:color="auto" w:sz="4" w:space="0"/>
              <w:right w:val="single" w:color="auto" w:sz="4" w:space="0"/>
            </w:tcBorders>
            <w:noWrap/>
            <w:vAlign w:val="center"/>
          </w:tcPr>
          <w:p w14:paraId="3DC4C545">
            <w:pPr>
              <w:pStyle w:val="33"/>
              <w:jc w:val="left"/>
              <w:rPr>
                <w:color w:val="auto"/>
              </w:rPr>
            </w:pPr>
            <w:r>
              <w:rPr>
                <w:color w:val="auto"/>
              </w:rPr>
              <w:t>节能目标：“十四五”期间，造纸行业要加大投资节能改造，充分发挥热电联产作用，充分利用生产环节产生的余压、余热等能源，加大有机废液、有机废物、生物质气体的回收利用，固体废物近零排放，最大限度实现资源化。力争“十四五”期间行业单位产品实际工艺综合能耗（外购和自产能源合计）纸浆由350kgce/t降为320kgce/t，纸及纸板由480kgce/t降为450kgce/t，达到国际较先进水平。</w:t>
            </w:r>
          </w:p>
        </w:tc>
        <w:tc>
          <w:tcPr>
            <w:tcW w:w="2185" w:type="pct"/>
            <w:tcBorders>
              <w:top w:val="single" w:color="auto" w:sz="4" w:space="0"/>
              <w:left w:val="single" w:color="auto" w:sz="4" w:space="0"/>
              <w:bottom w:val="single" w:color="auto" w:sz="4" w:space="0"/>
              <w:right w:val="single" w:color="auto" w:sz="4" w:space="0"/>
            </w:tcBorders>
            <w:noWrap/>
            <w:vAlign w:val="center"/>
          </w:tcPr>
          <w:p w14:paraId="40D0C3A1">
            <w:pPr>
              <w:pStyle w:val="33"/>
              <w:jc w:val="left"/>
              <w:rPr>
                <w:color w:val="auto"/>
              </w:rPr>
            </w:pPr>
            <w:r>
              <w:rPr>
                <w:rFonts w:hint="eastAsia"/>
                <w:color w:val="auto"/>
              </w:rPr>
              <w:t>项目产生的固体废物均进行综合利用。改造后本项目白卡纸综合能耗，1#白卡纸生产线为189.80kgce/t产品，2#白卡纸生产线为166.45kgce/t产品，达到国际较先进水平。</w:t>
            </w:r>
          </w:p>
        </w:tc>
        <w:tc>
          <w:tcPr>
            <w:tcW w:w="314" w:type="pct"/>
            <w:tcBorders>
              <w:top w:val="single" w:color="auto" w:sz="4" w:space="0"/>
              <w:left w:val="single" w:color="auto" w:sz="4" w:space="0"/>
              <w:bottom w:val="single" w:color="auto" w:sz="4" w:space="0"/>
              <w:right w:val="single" w:color="auto" w:sz="4" w:space="0"/>
            </w:tcBorders>
            <w:noWrap/>
            <w:vAlign w:val="center"/>
          </w:tcPr>
          <w:p w14:paraId="23EDCFFB">
            <w:pPr>
              <w:pStyle w:val="33"/>
              <w:rPr>
                <w:color w:val="auto"/>
              </w:rPr>
            </w:pPr>
            <w:r>
              <w:rPr>
                <w:color w:val="auto"/>
              </w:rPr>
              <w:t>符合</w:t>
            </w:r>
          </w:p>
        </w:tc>
      </w:tr>
      <w:tr w14:paraId="749B8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393" w:type="pct"/>
            <w:vMerge w:val="continue"/>
            <w:tcBorders>
              <w:top w:val="single" w:color="auto" w:sz="4" w:space="0"/>
              <w:left w:val="single" w:color="auto" w:sz="4" w:space="0"/>
              <w:bottom w:val="single" w:color="auto" w:sz="4" w:space="0"/>
              <w:right w:val="single" w:color="auto" w:sz="4" w:space="0"/>
            </w:tcBorders>
            <w:vAlign w:val="center"/>
          </w:tcPr>
          <w:p w14:paraId="2FD179CC">
            <w:pPr>
              <w:pStyle w:val="33"/>
              <w:rPr>
                <w:color w:val="auto"/>
              </w:rPr>
            </w:pPr>
          </w:p>
        </w:tc>
        <w:tc>
          <w:tcPr>
            <w:tcW w:w="2108" w:type="pct"/>
            <w:tcBorders>
              <w:top w:val="single" w:color="auto" w:sz="4" w:space="0"/>
              <w:left w:val="single" w:color="auto" w:sz="4" w:space="0"/>
              <w:bottom w:val="single" w:color="auto" w:sz="4" w:space="0"/>
              <w:right w:val="single" w:color="auto" w:sz="4" w:space="0"/>
            </w:tcBorders>
            <w:noWrap/>
            <w:vAlign w:val="center"/>
          </w:tcPr>
          <w:p w14:paraId="123A4EAB">
            <w:pPr>
              <w:pStyle w:val="33"/>
              <w:jc w:val="left"/>
              <w:rPr>
                <w:color w:val="auto"/>
              </w:rPr>
            </w:pPr>
            <w:r>
              <w:rPr>
                <w:color w:val="auto"/>
              </w:rPr>
              <w:t>污染物减排：巩固减排成果，保持污染物低排放水平，加大固体废物的综合利用和固、液、气废物中生物质的能源化利用。加强无组织逸散污染物的收集和处理，提高环保设施的自动化和运行管理水平。持证排污，依法依规申请排污许可证，做好自行监测。依法诚信排放，按时提交执行报告并及时公开信息。维持单位产品排污量处于国际先进水平。</w:t>
            </w:r>
          </w:p>
        </w:tc>
        <w:tc>
          <w:tcPr>
            <w:tcW w:w="2185" w:type="pct"/>
            <w:tcBorders>
              <w:top w:val="single" w:color="auto" w:sz="4" w:space="0"/>
              <w:left w:val="single" w:color="auto" w:sz="4" w:space="0"/>
              <w:bottom w:val="single" w:color="auto" w:sz="4" w:space="0"/>
              <w:right w:val="single" w:color="auto" w:sz="4" w:space="0"/>
            </w:tcBorders>
            <w:noWrap/>
            <w:vAlign w:val="center"/>
          </w:tcPr>
          <w:p w14:paraId="61E8BB81">
            <w:pPr>
              <w:pStyle w:val="33"/>
              <w:jc w:val="left"/>
              <w:rPr>
                <w:color w:val="auto"/>
              </w:rPr>
            </w:pPr>
            <w:r>
              <w:rPr>
                <w:rFonts w:hint="eastAsia"/>
                <w:color w:val="auto"/>
              </w:rPr>
              <w:t>项目产生的固体废物均进行综合利用；项目对产生的废气进行有效收集处理，减少无组织废气排放；项目按要求进行环保管理，按要求做好监测计划；项目清洁生产能达到国际先进水平。</w:t>
            </w:r>
          </w:p>
        </w:tc>
        <w:tc>
          <w:tcPr>
            <w:tcW w:w="314" w:type="pct"/>
            <w:tcBorders>
              <w:top w:val="single" w:color="auto" w:sz="4" w:space="0"/>
              <w:left w:val="single" w:color="auto" w:sz="4" w:space="0"/>
              <w:bottom w:val="single" w:color="auto" w:sz="4" w:space="0"/>
              <w:right w:val="single" w:color="auto" w:sz="4" w:space="0"/>
            </w:tcBorders>
            <w:noWrap/>
            <w:vAlign w:val="center"/>
          </w:tcPr>
          <w:p w14:paraId="386E2559">
            <w:pPr>
              <w:pStyle w:val="33"/>
              <w:rPr>
                <w:color w:val="auto"/>
              </w:rPr>
            </w:pPr>
            <w:r>
              <w:rPr>
                <w:color w:val="auto"/>
              </w:rPr>
              <w:t>符合</w:t>
            </w:r>
          </w:p>
        </w:tc>
      </w:tr>
    </w:tbl>
    <w:p w14:paraId="0D91F40E">
      <w:pPr>
        <w:pStyle w:val="5"/>
        <w:rPr>
          <w:rFonts w:cs="Times New Roman"/>
          <w:color w:val="auto"/>
        </w:rPr>
      </w:pPr>
      <w:r>
        <w:rPr>
          <w:rFonts w:cs="Times New Roman"/>
          <w:color w:val="auto"/>
        </w:rPr>
        <w:t>与《造纸工业污染防治技术政策》符合性分析</w:t>
      </w:r>
    </w:p>
    <w:p w14:paraId="334C64E0">
      <w:pPr>
        <w:ind w:firstLine="480"/>
        <w:rPr>
          <w:rFonts w:cs="Times New Roman"/>
          <w:color w:val="auto"/>
        </w:rPr>
      </w:pPr>
      <w:r>
        <w:rPr>
          <w:rFonts w:cs="Times New Roman"/>
          <w:color w:val="auto"/>
        </w:rPr>
        <w:t>根据《造纸工业污染防治技术政策》要求：“造纸工业应坚持绿色低碳发展；提高准入门槛、淘汰落后产能，推动生产方式转变和产业结构优化调整；加强清洁生产，注重节能减排，推进资源高效循环利用；开展废水、废气和固体废物的综合防治，构建全防全控污染防治体系。”本项目与《造纸工业污染防治技术政策》的指导性意见对应情况说明见下表。</w:t>
      </w:r>
    </w:p>
    <w:p w14:paraId="14C6AA2A">
      <w:pPr>
        <w:pStyle w:val="7"/>
        <w:rPr>
          <w:color w:val="auto"/>
        </w:rPr>
      </w:pPr>
      <w:r>
        <w:rPr>
          <w:color w:val="auto"/>
        </w:rPr>
        <w:t>本项目与《造纸工业污染防治技术政策》对比</w:t>
      </w:r>
    </w:p>
    <w:tbl>
      <w:tblPr>
        <w:tblStyle w:val="26"/>
        <w:tblW w:w="49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4231"/>
        <w:gridCol w:w="3487"/>
        <w:gridCol w:w="727"/>
      </w:tblGrid>
      <w:tr w14:paraId="71592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87" w:type="dxa"/>
            <w:tcBorders>
              <w:top w:val="single" w:color="auto" w:sz="4" w:space="0"/>
              <w:left w:val="single" w:color="auto" w:sz="4" w:space="0"/>
              <w:bottom w:val="single" w:color="auto" w:sz="4" w:space="0"/>
              <w:right w:val="single" w:color="auto" w:sz="4" w:space="0"/>
            </w:tcBorders>
            <w:noWrap/>
            <w:vAlign w:val="center"/>
          </w:tcPr>
          <w:p w14:paraId="247AB6FF">
            <w:pPr>
              <w:pStyle w:val="33"/>
              <w:rPr>
                <w:color w:val="auto"/>
              </w:rPr>
            </w:pPr>
            <w:r>
              <w:rPr>
                <w:color w:val="auto"/>
              </w:rPr>
              <w:t>类别</w:t>
            </w:r>
          </w:p>
        </w:tc>
        <w:tc>
          <w:tcPr>
            <w:tcW w:w="4128" w:type="dxa"/>
            <w:tcBorders>
              <w:top w:val="single" w:color="auto" w:sz="4" w:space="0"/>
              <w:left w:val="single" w:color="auto" w:sz="4" w:space="0"/>
              <w:bottom w:val="single" w:color="auto" w:sz="4" w:space="0"/>
              <w:right w:val="single" w:color="auto" w:sz="4" w:space="0"/>
            </w:tcBorders>
            <w:noWrap/>
            <w:vAlign w:val="center"/>
          </w:tcPr>
          <w:p w14:paraId="12CB0EC9">
            <w:pPr>
              <w:pStyle w:val="33"/>
              <w:rPr>
                <w:color w:val="auto"/>
              </w:rPr>
            </w:pPr>
            <w:r>
              <w:rPr>
                <w:color w:val="auto"/>
              </w:rPr>
              <w:t>《造纸工业污染防治技术政策》意见</w:t>
            </w:r>
          </w:p>
        </w:tc>
        <w:tc>
          <w:tcPr>
            <w:tcW w:w="3402" w:type="dxa"/>
            <w:tcBorders>
              <w:top w:val="single" w:color="auto" w:sz="4" w:space="0"/>
              <w:left w:val="single" w:color="auto" w:sz="4" w:space="0"/>
              <w:bottom w:val="single" w:color="auto" w:sz="4" w:space="0"/>
              <w:right w:val="single" w:color="auto" w:sz="4" w:space="0"/>
            </w:tcBorders>
            <w:noWrap/>
            <w:vAlign w:val="center"/>
          </w:tcPr>
          <w:p w14:paraId="1302E6B3">
            <w:pPr>
              <w:pStyle w:val="33"/>
              <w:rPr>
                <w:color w:val="auto"/>
              </w:rPr>
            </w:pPr>
            <w:r>
              <w:rPr>
                <w:color w:val="auto"/>
              </w:rPr>
              <w:t>本项目情况</w:t>
            </w:r>
          </w:p>
        </w:tc>
        <w:tc>
          <w:tcPr>
            <w:tcW w:w="709" w:type="dxa"/>
            <w:vAlign w:val="center"/>
          </w:tcPr>
          <w:p w14:paraId="330FDF15">
            <w:pPr>
              <w:pStyle w:val="33"/>
              <w:rPr>
                <w:color w:val="auto"/>
              </w:rPr>
            </w:pPr>
            <w:r>
              <w:rPr>
                <w:color w:val="auto"/>
              </w:rPr>
              <w:t>符合性</w:t>
            </w:r>
          </w:p>
        </w:tc>
      </w:tr>
      <w:tr w14:paraId="03CC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left w:val="single" w:color="auto" w:sz="4" w:space="0"/>
              <w:right w:val="single" w:color="auto" w:sz="4" w:space="0"/>
            </w:tcBorders>
            <w:noWrap/>
            <w:vAlign w:val="center"/>
          </w:tcPr>
          <w:p w14:paraId="03E9EE37">
            <w:pPr>
              <w:pStyle w:val="33"/>
              <w:rPr>
                <w:color w:val="auto"/>
              </w:rPr>
            </w:pPr>
            <w:r>
              <w:rPr>
                <w:rFonts w:hint="eastAsia"/>
                <w:color w:val="auto"/>
              </w:rPr>
              <w:t>生产过程污染防控</w:t>
            </w:r>
          </w:p>
        </w:tc>
        <w:tc>
          <w:tcPr>
            <w:tcW w:w="4128" w:type="dxa"/>
            <w:tcBorders>
              <w:top w:val="single" w:color="auto" w:sz="4" w:space="0"/>
              <w:left w:val="single" w:color="auto" w:sz="4" w:space="0"/>
              <w:bottom w:val="single" w:color="auto" w:sz="4" w:space="0"/>
              <w:right w:val="single" w:color="auto" w:sz="4" w:space="0"/>
            </w:tcBorders>
            <w:noWrap/>
            <w:vAlign w:val="center"/>
          </w:tcPr>
          <w:p w14:paraId="4064794A">
            <w:pPr>
              <w:pStyle w:val="33"/>
              <w:jc w:val="left"/>
              <w:rPr>
                <w:color w:val="auto"/>
              </w:rPr>
            </w:pPr>
            <w:r>
              <w:rPr>
                <w:color w:val="auto"/>
              </w:rPr>
              <w:t>（六）造纸生产线应配套完善的白水回收利用系统及余热回收系统，大中型纸机应配套全封闭密闭气罩。</w:t>
            </w:r>
          </w:p>
        </w:tc>
        <w:tc>
          <w:tcPr>
            <w:tcW w:w="3402" w:type="dxa"/>
            <w:tcBorders>
              <w:top w:val="single" w:color="auto" w:sz="4" w:space="0"/>
              <w:left w:val="single" w:color="auto" w:sz="4" w:space="0"/>
              <w:bottom w:val="single" w:color="auto" w:sz="4" w:space="0"/>
              <w:right w:val="single" w:color="auto" w:sz="4" w:space="0"/>
            </w:tcBorders>
            <w:noWrap/>
            <w:vAlign w:val="center"/>
          </w:tcPr>
          <w:p w14:paraId="698DE665">
            <w:pPr>
              <w:pStyle w:val="33"/>
              <w:jc w:val="left"/>
              <w:rPr>
                <w:color w:val="auto"/>
              </w:rPr>
            </w:pPr>
            <w:r>
              <w:rPr>
                <w:color w:val="auto"/>
              </w:rPr>
              <w:t>本项目配套有完善的白水回收利用系统和余热回收系统。</w:t>
            </w:r>
          </w:p>
        </w:tc>
        <w:tc>
          <w:tcPr>
            <w:tcW w:w="709" w:type="dxa"/>
            <w:vAlign w:val="center"/>
          </w:tcPr>
          <w:p w14:paraId="6C0A7664">
            <w:pPr>
              <w:pStyle w:val="33"/>
              <w:rPr>
                <w:color w:val="auto"/>
              </w:rPr>
            </w:pPr>
            <w:r>
              <w:rPr>
                <w:rFonts w:hint="eastAsia"/>
                <w:color w:val="auto"/>
              </w:rPr>
              <w:t>符合</w:t>
            </w:r>
          </w:p>
        </w:tc>
      </w:tr>
      <w:tr w14:paraId="72C75C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left w:val="single" w:color="auto" w:sz="4" w:space="0"/>
              <w:bottom w:val="single" w:color="auto" w:sz="4" w:space="0"/>
              <w:right w:val="single" w:color="auto" w:sz="4" w:space="0"/>
            </w:tcBorders>
            <w:vAlign w:val="center"/>
          </w:tcPr>
          <w:p w14:paraId="5E2C88B3">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6D853109">
            <w:pPr>
              <w:pStyle w:val="33"/>
              <w:jc w:val="left"/>
              <w:rPr>
                <w:color w:val="auto"/>
              </w:rPr>
            </w:pPr>
            <w:r>
              <w:rPr>
                <w:color w:val="auto"/>
              </w:rPr>
              <w:t>（八）鼓励采用热电联产等节能降耗技术，充分利用黑液、废料（渣）以及生物质气体等生物质能源。</w:t>
            </w:r>
          </w:p>
        </w:tc>
        <w:tc>
          <w:tcPr>
            <w:tcW w:w="3402" w:type="dxa"/>
            <w:tcBorders>
              <w:top w:val="single" w:color="auto" w:sz="4" w:space="0"/>
              <w:left w:val="single" w:color="auto" w:sz="4" w:space="0"/>
              <w:bottom w:val="single" w:color="auto" w:sz="4" w:space="0"/>
              <w:right w:val="single" w:color="auto" w:sz="4" w:space="0"/>
            </w:tcBorders>
            <w:noWrap/>
            <w:vAlign w:val="center"/>
          </w:tcPr>
          <w:p w14:paraId="29B729B2">
            <w:pPr>
              <w:pStyle w:val="33"/>
              <w:jc w:val="left"/>
              <w:rPr>
                <w:color w:val="auto"/>
              </w:rPr>
            </w:pPr>
            <w:r>
              <w:rPr>
                <w:rFonts w:hint="eastAsia"/>
                <w:color w:val="auto"/>
              </w:rPr>
              <w:t>金桂纸业一期、二期项目内已经设置热电联产配套设施和碱回收炉。</w:t>
            </w:r>
          </w:p>
        </w:tc>
        <w:tc>
          <w:tcPr>
            <w:tcW w:w="709" w:type="dxa"/>
            <w:vAlign w:val="center"/>
          </w:tcPr>
          <w:p w14:paraId="29696AB2">
            <w:pPr>
              <w:pStyle w:val="33"/>
              <w:rPr>
                <w:color w:val="auto"/>
              </w:rPr>
            </w:pPr>
            <w:r>
              <w:rPr>
                <w:rFonts w:hint="eastAsia"/>
                <w:color w:val="auto"/>
              </w:rPr>
              <w:t>符合</w:t>
            </w:r>
          </w:p>
        </w:tc>
      </w:tr>
      <w:tr w14:paraId="78478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top w:val="nil"/>
              <w:left w:val="single" w:color="auto" w:sz="4" w:space="0"/>
              <w:bottom w:val="single" w:color="auto" w:sz="4" w:space="0"/>
              <w:right w:val="single" w:color="auto" w:sz="4" w:space="0"/>
            </w:tcBorders>
            <w:noWrap/>
            <w:vAlign w:val="center"/>
          </w:tcPr>
          <w:p w14:paraId="65299FEA">
            <w:pPr>
              <w:pStyle w:val="33"/>
              <w:rPr>
                <w:color w:val="auto"/>
              </w:rPr>
            </w:pPr>
            <w:r>
              <w:rPr>
                <w:color w:val="auto"/>
              </w:rPr>
              <w:t>污染治理及综合利用</w:t>
            </w:r>
          </w:p>
        </w:tc>
        <w:tc>
          <w:tcPr>
            <w:tcW w:w="4128" w:type="dxa"/>
            <w:tcBorders>
              <w:top w:val="single" w:color="auto" w:sz="4" w:space="0"/>
              <w:left w:val="single" w:color="auto" w:sz="4" w:space="0"/>
              <w:bottom w:val="single" w:color="auto" w:sz="4" w:space="0"/>
              <w:right w:val="single" w:color="auto" w:sz="4" w:space="0"/>
            </w:tcBorders>
            <w:noWrap/>
            <w:vAlign w:val="center"/>
          </w:tcPr>
          <w:p w14:paraId="08E8D09E">
            <w:pPr>
              <w:pStyle w:val="33"/>
              <w:jc w:val="left"/>
              <w:rPr>
                <w:color w:val="auto"/>
                <w:szCs w:val="21"/>
              </w:rPr>
            </w:pPr>
            <w:r>
              <w:rPr>
                <w:color w:val="auto"/>
              </w:rPr>
              <w:t>（一）水污染治理</w:t>
            </w:r>
          </w:p>
          <w:p w14:paraId="6697F37F">
            <w:pPr>
              <w:pStyle w:val="33"/>
              <w:jc w:val="left"/>
              <w:rPr>
                <w:color w:val="auto"/>
              </w:rPr>
            </w:pPr>
            <w:r>
              <w:rPr>
                <w:color w:val="auto"/>
              </w:rPr>
              <w:t>2.生产过程中产生的污冷凝水应根据实际生产情况最大化回用。</w:t>
            </w:r>
          </w:p>
          <w:p w14:paraId="6E652E85">
            <w:pPr>
              <w:pStyle w:val="33"/>
              <w:jc w:val="left"/>
              <w:rPr>
                <w:color w:val="auto"/>
              </w:rPr>
            </w:pPr>
            <w:r>
              <w:rPr>
                <w:color w:val="auto"/>
              </w:rPr>
              <w:t>3.制浆造纸企业综合废水应采用二级或三级处理后达标排放。其中，三级处理宜采用混凝沉淀、气浮或高级氧化等技术。有条件的地区和企业可在达标排放的基础上，因地制宜地采用人工湿地等深度处理技术进一步减排。</w:t>
            </w:r>
          </w:p>
        </w:tc>
        <w:tc>
          <w:tcPr>
            <w:tcW w:w="3402" w:type="dxa"/>
            <w:tcBorders>
              <w:top w:val="single" w:color="auto" w:sz="4" w:space="0"/>
              <w:left w:val="single" w:color="auto" w:sz="4" w:space="0"/>
              <w:bottom w:val="single" w:color="auto" w:sz="4" w:space="0"/>
              <w:right w:val="single" w:color="auto" w:sz="4" w:space="0"/>
            </w:tcBorders>
            <w:noWrap/>
            <w:vAlign w:val="center"/>
          </w:tcPr>
          <w:p w14:paraId="3AB686EC">
            <w:pPr>
              <w:pStyle w:val="33"/>
              <w:jc w:val="left"/>
              <w:rPr>
                <w:color w:val="auto"/>
              </w:rPr>
            </w:pPr>
            <w:r>
              <w:rPr>
                <w:rFonts w:hint="eastAsia"/>
                <w:color w:val="auto"/>
              </w:rPr>
              <w:t>2.拟建项目配套建设一套20000m</w:t>
            </w:r>
            <w:r>
              <w:rPr>
                <w:rFonts w:hint="eastAsia"/>
                <w:color w:val="auto"/>
                <w:vertAlign w:val="superscript"/>
              </w:rPr>
              <w:t>3</w:t>
            </w:r>
            <w:r>
              <w:rPr>
                <w:color w:val="auto"/>
              </w:rPr>
              <w:t>/d</w:t>
            </w:r>
            <w:r>
              <w:rPr>
                <w:rFonts w:hint="eastAsia"/>
                <w:color w:val="auto"/>
              </w:rPr>
              <w:t>的污水处理设施，末端增加5000m</w:t>
            </w:r>
            <w:r>
              <w:rPr>
                <w:rFonts w:hint="eastAsia"/>
                <w:color w:val="auto"/>
                <w:vertAlign w:val="superscript"/>
              </w:rPr>
              <w:t>3</w:t>
            </w:r>
            <w:r>
              <w:rPr>
                <w:color w:val="auto"/>
              </w:rPr>
              <w:t>/d</w:t>
            </w:r>
            <w:r>
              <w:rPr>
                <w:rFonts w:hint="eastAsia"/>
                <w:color w:val="auto"/>
              </w:rPr>
              <w:t>的中水回用工段。根据工程分析，改造完成后全厂新增回用水3677.77m</w:t>
            </w:r>
            <w:r>
              <w:rPr>
                <w:rFonts w:hint="eastAsia"/>
                <w:color w:val="auto"/>
                <w:vertAlign w:val="superscript"/>
              </w:rPr>
              <w:t>3</w:t>
            </w:r>
            <w:r>
              <w:rPr>
                <w:color w:val="auto"/>
              </w:rPr>
              <w:t>/d</w:t>
            </w:r>
            <w:r>
              <w:rPr>
                <w:rFonts w:hint="eastAsia"/>
                <w:color w:val="auto"/>
              </w:rPr>
              <w:t>，实现了最大化回用。</w:t>
            </w:r>
          </w:p>
          <w:p w14:paraId="0762E713">
            <w:pPr>
              <w:pStyle w:val="33"/>
              <w:jc w:val="left"/>
              <w:rPr>
                <w:color w:val="auto"/>
              </w:rPr>
            </w:pPr>
            <w:r>
              <w:rPr>
                <w:rFonts w:hint="eastAsia"/>
                <w:color w:val="auto"/>
              </w:rPr>
              <w:t>3.新增3#污水处理站采用三级处理工艺，其中三级处理采用絮凝沉淀技术。</w:t>
            </w:r>
          </w:p>
        </w:tc>
        <w:tc>
          <w:tcPr>
            <w:tcW w:w="709" w:type="dxa"/>
            <w:vAlign w:val="center"/>
          </w:tcPr>
          <w:p w14:paraId="5DD0237B">
            <w:pPr>
              <w:pStyle w:val="33"/>
              <w:rPr>
                <w:color w:val="auto"/>
              </w:rPr>
            </w:pPr>
            <w:r>
              <w:rPr>
                <w:rFonts w:hint="eastAsia"/>
                <w:color w:val="auto"/>
              </w:rPr>
              <w:t>符合</w:t>
            </w:r>
          </w:p>
        </w:tc>
      </w:tr>
      <w:tr w14:paraId="3793A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op w:val="nil"/>
              <w:left w:val="single" w:color="auto" w:sz="4" w:space="0"/>
              <w:bottom w:val="single" w:color="auto" w:sz="4" w:space="0"/>
              <w:right w:val="single" w:color="auto" w:sz="4" w:space="0"/>
            </w:tcBorders>
            <w:vAlign w:val="center"/>
          </w:tcPr>
          <w:p w14:paraId="6B259A1A">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1C95D39B">
            <w:pPr>
              <w:pStyle w:val="33"/>
              <w:jc w:val="left"/>
              <w:rPr>
                <w:color w:val="auto"/>
                <w:szCs w:val="21"/>
              </w:rPr>
            </w:pPr>
            <w:r>
              <w:rPr>
                <w:color w:val="auto"/>
              </w:rPr>
              <w:t>（二）大气污染治理</w:t>
            </w:r>
          </w:p>
          <w:p w14:paraId="3AE39409">
            <w:pPr>
              <w:pStyle w:val="33"/>
              <w:jc w:val="left"/>
              <w:rPr>
                <w:color w:val="auto"/>
              </w:rPr>
            </w:pPr>
            <w:r>
              <w:rPr>
                <w:color w:val="auto"/>
              </w:rPr>
              <w:t>3.位于产业集聚区的造纸企业，宜使用集聚区热电联产机组，逐步淘汰分散燃煤锅炉。</w:t>
            </w:r>
          </w:p>
        </w:tc>
        <w:tc>
          <w:tcPr>
            <w:tcW w:w="3402" w:type="dxa"/>
            <w:tcBorders>
              <w:top w:val="single" w:color="auto" w:sz="4" w:space="0"/>
              <w:left w:val="single" w:color="auto" w:sz="4" w:space="0"/>
              <w:bottom w:val="single" w:color="auto" w:sz="4" w:space="0"/>
              <w:right w:val="single" w:color="auto" w:sz="4" w:space="0"/>
            </w:tcBorders>
            <w:noWrap/>
            <w:vAlign w:val="center"/>
          </w:tcPr>
          <w:p w14:paraId="47B2F5FC">
            <w:pPr>
              <w:pStyle w:val="33"/>
              <w:jc w:val="left"/>
              <w:rPr>
                <w:color w:val="auto"/>
              </w:rPr>
            </w:pPr>
            <w:r>
              <w:rPr>
                <w:rFonts w:hint="eastAsia"/>
                <w:color w:val="auto"/>
              </w:rPr>
              <w:t>拟建项目新增用电负荷依托厂区现有热电站供电，并已通过220k</w:t>
            </w:r>
            <w:r>
              <w:rPr>
                <w:color w:val="auto"/>
              </w:rPr>
              <w:t>V</w:t>
            </w:r>
            <w:r>
              <w:rPr>
                <w:rFonts w:hint="eastAsia"/>
                <w:color w:val="auto"/>
              </w:rPr>
              <w:t>线路与钦州港榄坪变电站连接并网，本项目不使用燃煤锅炉。</w:t>
            </w:r>
          </w:p>
        </w:tc>
        <w:tc>
          <w:tcPr>
            <w:tcW w:w="709" w:type="dxa"/>
            <w:vAlign w:val="center"/>
          </w:tcPr>
          <w:p w14:paraId="768CBE5C">
            <w:pPr>
              <w:pStyle w:val="33"/>
              <w:rPr>
                <w:color w:val="auto"/>
              </w:rPr>
            </w:pPr>
            <w:r>
              <w:rPr>
                <w:rFonts w:hint="eastAsia"/>
                <w:color w:val="auto"/>
              </w:rPr>
              <w:t>符合</w:t>
            </w:r>
          </w:p>
        </w:tc>
      </w:tr>
      <w:tr w14:paraId="1068A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op w:val="nil"/>
              <w:left w:val="single" w:color="auto" w:sz="4" w:space="0"/>
              <w:bottom w:val="single" w:color="auto" w:sz="4" w:space="0"/>
              <w:right w:val="single" w:color="auto" w:sz="4" w:space="0"/>
            </w:tcBorders>
            <w:vAlign w:val="center"/>
          </w:tcPr>
          <w:p w14:paraId="358C0980">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58553C1B">
            <w:pPr>
              <w:pStyle w:val="33"/>
              <w:jc w:val="left"/>
              <w:rPr>
                <w:color w:val="auto"/>
                <w:szCs w:val="21"/>
              </w:rPr>
            </w:pPr>
            <w:r>
              <w:rPr>
                <w:color w:val="auto"/>
              </w:rPr>
              <w:t>（三）固体废物处理处置</w:t>
            </w:r>
          </w:p>
          <w:p w14:paraId="58EFB205">
            <w:pPr>
              <w:pStyle w:val="33"/>
              <w:jc w:val="left"/>
              <w:rPr>
                <w:color w:val="auto"/>
              </w:rPr>
            </w:pPr>
            <w:r>
              <w:rPr>
                <w:color w:val="auto"/>
              </w:rPr>
              <w:t>1.木材和非木材备料废渣等有机固体废物和废纸制浆固体废物（不含脱墨污泥）应分类处理后综合利用。</w:t>
            </w:r>
          </w:p>
        </w:tc>
        <w:tc>
          <w:tcPr>
            <w:tcW w:w="3402" w:type="dxa"/>
            <w:tcBorders>
              <w:top w:val="single" w:color="auto" w:sz="4" w:space="0"/>
              <w:left w:val="single" w:color="auto" w:sz="4" w:space="0"/>
              <w:bottom w:val="single" w:color="auto" w:sz="4" w:space="0"/>
              <w:right w:val="single" w:color="auto" w:sz="4" w:space="0"/>
            </w:tcBorders>
            <w:noWrap/>
            <w:vAlign w:val="center"/>
          </w:tcPr>
          <w:p w14:paraId="7E8D5E54">
            <w:pPr>
              <w:pStyle w:val="33"/>
              <w:jc w:val="left"/>
              <w:rPr>
                <w:color w:val="auto"/>
              </w:rPr>
            </w:pPr>
            <w:r>
              <w:rPr>
                <w:rFonts w:hint="eastAsia"/>
                <w:color w:val="auto"/>
              </w:rPr>
              <w:t>拟建项目造纸浆渣综合利用，原纸成形阶段产生的废聚酯网收集后交由相关资源回收公司回收利用。</w:t>
            </w:r>
          </w:p>
        </w:tc>
        <w:tc>
          <w:tcPr>
            <w:tcW w:w="709" w:type="dxa"/>
            <w:vAlign w:val="center"/>
          </w:tcPr>
          <w:p w14:paraId="3831D42D">
            <w:pPr>
              <w:pStyle w:val="33"/>
              <w:rPr>
                <w:color w:val="auto"/>
              </w:rPr>
            </w:pPr>
            <w:r>
              <w:rPr>
                <w:rFonts w:hint="eastAsia"/>
                <w:color w:val="auto"/>
              </w:rPr>
              <w:t>符合</w:t>
            </w:r>
          </w:p>
        </w:tc>
      </w:tr>
      <w:tr w14:paraId="0AFC0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op w:val="nil"/>
              <w:left w:val="single" w:color="auto" w:sz="4" w:space="0"/>
              <w:bottom w:val="single" w:color="auto" w:sz="4" w:space="0"/>
              <w:right w:val="single" w:color="auto" w:sz="4" w:space="0"/>
            </w:tcBorders>
            <w:vAlign w:val="center"/>
          </w:tcPr>
          <w:p w14:paraId="19F4F502">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656815CE">
            <w:pPr>
              <w:pStyle w:val="33"/>
              <w:jc w:val="left"/>
              <w:rPr>
                <w:color w:val="auto"/>
                <w:szCs w:val="21"/>
              </w:rPr>
            </w:pPr>
            <w:r>
              <w:rPr>
                <w:color w:val="auto"/>
              </w:rPr>
              <w:t>（四）噪声污染防控</w:t>
            </w:r>
          </w:p>
          <w:p w14:paraId="651975FF">
            <w:pPr>
              <w:pStyle w:val="33"/>
              <w:jc w:val="left"/>
              <w:rPr>
                <w:color w:val="auto"/>
              </w:rPr>
            </w:pPr>
            <w:r>
              <w:rPr>
                <w:color w:val="auto"/>
              </w:rPr>
              <w:t>造纸企业应通过合理的生产布局减少对厂界外噪声敏感目标的影响。鼓励采用低噪音设备，对高噪音设备应采取隔音、消音等降噪措施。厂界噪声稳定达到排放标准要求。</w:t>
            </w:r>
          </w:p>
        </w:tc>
        <w:tc>
          <w:tcPr>
            <w:tcW w:w="3402" w:type="dxa"/>
            <w:tcBorders>
              <w:top w:val="single" w:color="auto" w:sz="4" w:space="0"/>
              <w:left w:val="single" w:color="auto" w:sz="4" w:space="0"/>
              <w:bottom w:val="single" w:color="auto" w:sz="4" w:space="0"/>
              <w:right w:val="single" w:color="auto" w:sz="4" w:space="0"/>
            </w:tcBorders>
            <w:noWrap/>
            <w:vAlign w:val="center"/>
          </w:tcPr>
          <w:p w14:paraId="1CD0A2A3">
            <w:pPr>
              <w:pStyle w:val="33"/>
              <w:jc w:val="left"/>
              <w:rPr>
                <w:color w:val="auto"/>
              </w:rPr>
            </w:pPr>
            <w:r>
              <w:rPr>
                <w:rFonts w:hint="eastAsia"/>
                <w:color w:val="auto"/>
              </w:rPr>
              <w:t>监测结果显示，现有厂界噪声能够满足相应标准限值要求；拟建项目采取隔声降噪、消声措施，根据预测结果，项目建成后厂界噪声仍可达到相应限值要求。</w:t>
            </w:r>
          </w:p>
        </w:tc>
        <w:tc>
          <w:tcPr>
            <w:tcW w:w="709" w:type="dxa"/>
            <w:vAlign w:val="center"/>
          </w:tcPr>
          <w:p w14:paraId="122DE50F">
            <w:pPr>
              <w:pStyle w:val="33"/>
              <w:rPr>
                <w:color w:val="auto"/>
              </w:rPr>
            </w:pPr>
            <w:r>
              <w:rPr>
                <w:rFonts w:hint="eastAsia"/>
                <w:color w:val="auto"/>
              </w:rPr>
              <w:t>符合</w:t>
            </w:r>
          </w:p>
        </w:tc>
      </w:tr>
      <w:tr w14:paraId="53AE2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restart"/>
            <w:tcBorders>
              <w:top w:val="nil"/>
              <w:left w:val="single" w:color="auto" w:sz="4" w:space="0"/>
              <w:bottom w:val="single" w:color="auto" w:sz="4" w:space="0"/>
              <w:right w:val="single" w:color="auto" w:sz="4" w:space="0"/>
            </w:tcBorders>
            <w:noWrap/>
            <w:vAlign w:val="center"/>
          </w:tcPr>
          <w:p w14:paraId="020090A1">
            <w:pPr>
              <w:pStyle w:val="33"/>
              <w:rPr>
                <w:color w:val="auto"/>
              </w:rPr>
            </w:pPr>
            <w:r>
              <w:rPr>
                <w:color w:val="auto"/>
              </w:rPr>
              <w:t>二次污染防治</w:t>
            </w:r>
          </w:p>
        </w:tc>
        <w:tc>
          <w:tcPr>
            <w:tcW w:w="4128" w:type="dxa"/>
            <w:tcBorders>
              <w:top w:val="single" w:color="auto" w:sz="4" w:space="0"/>
              <w:left w:val="single" w:color="auto" w:sz="4" w:space="0"/>
              <w:bottom w:val="single" w:color="auto" w:sz="4" w:space="0"/>
              <w:right w:val="single" w:color="auto" w:sz="4" w:space="0"/>
            </w:tcBorders>
            <w:noWrap/>
            <w:vAlign w:val="center"/>
          </w:tcPr>
          <w:p w14:paraId="6AB9216A">
            <w:pPr>
              <w:pStyle w:val="33"/>
              <w:jc w:val="left"/>
              <w:rPr>
                <w:color w:val="auto"/>
              </w:rPr>
            </w:pPr>
            <w:r>
              <w:rPr>
                <w:color w:val="auto"/>
              </w:rPr>
              <w:t>（一）废水处理产生的污泥应浓缩脱水后安全处理处置。</w:t>
            </w:r>
          </w:p>
        </w:tc>
        <w:tc>
          <w:tcPr>
            <w:tcW w:w="3402" w:type="dxa"/>
            <w:tcBorders>
              <w:top w:val="single" w:color="auto" w:sz="4" w:space="0"/>
              <w:left w:val="single" w:color="auto" w:sz="4" w:space="0"/>
              <w:bottom w:val="single" w:color="auto" w:sz="4" w:space="0"/>
              <w:right w:val="single" w:color="auto" w:sz="4" w:space="0"/>
            </w:tcBorders>
            <w:noWrap/>
            <w:vAlign w:val="center"/>
          </w:tcPr>
          <w:p w14:paraId="5B43D0CD">
            <w:pPr>
              <w:pStyle w:val="33"/>
              <w:jc w:val="left"/>
              <w:rPr>
                <w:color w:val="auto"/>
              </w:rPr>
            </w:pPr>
            <w:r>
              <w:rPr>
                <w:rFonts w:hint="eastAsia"/>
                <w:color w:val="auto"/>
              </w:rPr>
              <w:t>污水处理站初沉污泥经螺旋压榨机处理后外售；浓缩池污泥经板框压滤机+污泥干化系统处理后送动力厂焚烧。</w:t>
            </w:r>
          </w:p>
        </w:tc>
        <w:tc>
          <w:tcPr>
            <w:tcW w:w="709" w:type="dxa"/>
            <w:vAlign w:val="center"/>
          </w:tcPr>
          <w:p w14:paraId="6CB6B063">
            <w:pPr>
              <w:pStyle w:val="33"/>
              <w:rPr>
                <w:color w:val="auto"/>
              </w:rPr>
            </w:pPr>
            <w:r>
              <w:rPr>
                <w:rFonts w:hint="eastAsia"/>
                <w:color w:val="auto"/>
              </w:rPr>
              <w:t>符合</w:t>
            </w:r>
          </w:p>
        </w:tc>
      </w:tr>
      <w:tr w14:paraId="2293F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op w:val="nil"/>
              <w:left w:val="single" w:color="auto" w:sz="4" w:space="0"/>
              <w:bottom w:val="single" w:color="auto" w:sz="4" w:space="0"/>
              <w:right w:val="single" w:color="auto" w:sz="4" w:space="0"/>
            </w:tcBorders>
            <w:vAlign w:val="center"/>
          </w:tcPr>
          <w:p w14:paraId="5BC8B8D3">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3E676E3D">
            <w:pPr>
              <w:pStyle w:val="33"/>
              <w:jc w:val="left"/>
              <w:rPr>
                <w:color w:val="auto"/>
              </w:rPr>
            </w:pPr>
            <w:r>
              <w:rPr>
                <w:color w:val="auto"/>
              </w:rPr>
              <w:t>（二）废水厌氧生物处理产生的沼气应回收，可用作燃料或发电，并应设置事故火炬。</w:t>
            </w:r>
          </w:p>
        </w:tc>
        <w:tc>
          <w:tcPr>
            <w:tcW w:w="3402" w:type="dxa"/>
            <w:tcBorders>
              <w:top w:val="single" w:color="auto" w:sz="4" w:space="0"/>
              <w:left w:val="single" w:color="auto" w:sz="4" w:space="0"/>
              <w:bottom w:val="single" w:color="auto" w:sz="4" w:space="0"/>
              <w:right w:val="single" w:color="auto" w:sz="4" w:space="0"/>
            </w:tcBorders>
            <w:noWrap/>
            <w:vAlign w:val="center"/>
          </w:tcPr>
          <w:p w14:paraId="20FCF01B">
            <w:pPr>
              <w:pStyle w:val="33"/>
              <w:jc w:val="left"/>
              <w:rPr>
                <w:color w:val="auto"/>
              </w:rPr>
            </w:pPr>
            <w:r>
              <w:rPr>
                <w:rFonts w:hint="eastAsia"/>
                <w:color w:val="auto"/>
              </w:rPr>
              <w:t>本项目不涉及。</w:t>
            </w:r>
          </w:p>
        </w:tc>
        <w:tc>
          <w:tcPr>
            <w:tcW w:w="709" w:type="dxa"/>
            <w:vAlign w:val="center"/>
          </w:tcPr>
          <w:p w14:paraId="41B13605">
            <w:pPr>
              <w:pStyle w:val="33"/>
              <w:rPr>
                <w:color w:val="auto"/>
              </w:rPr>
            </w:pPr>
            <w:r>
              <w:rPr>
                <w:rFonts w:hint="eastAsia"/>
                <w:color w:val="auto"/>
              </w:rPr>
              <w:t>符合</w:t>
            </w:r>
          </w:p>
        </w:tc>
      </w:tr>
      <w:tr w14:paraId="4DF44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dxa"/>
            <w:vMerge w:val="continue"/>
            <w:tcBorders>
              <w:top w:val="nil"/>
              <w:left w:val="single" w:color="auto" w:sz="4" w:space="0"/>
              <w:bottom w:val="single" w:color="auto" w:sz="4" w:space="0"/>
              <w:right w:val="single" w:color="auto" w:sz="4" w:space="0"/>
            </w:tcBorders>
            <w:vAlign w:val="center"/>
          </w:tcPr>
          <w:p w14:paraId="22469E90">
            <w:pPr>
              <w:pStyle w:val="33"/>
              <w:rPr>
                <w:color w:val="auto"/>
                <w:szCs w:val="21"/>
              </w:rPr>
            </w:pPr>
          </w:p>
        </w:tc>
        <w:tc>
          <w:tcPr>
            <w:tcW w:w="4128" w:type="dxa"/>
            <w:tcBorders>
              <w:top w:val="single" w:color="auto" w:sz="4" w:space="0"/>
              <w:left w:val="single" w:color="auto" w:sz="4" w:space="0"/>
              <w:bottom w:val="single" w:color="auto" w:sz="4" w:space="0"/>
              <w:right w:val="single" w:color="auto" w:sz="4" w:space="0"/>
            </w:tcBorders>
            <w:noWrap/>
            <w:vAlign w:val="center"/>
          </w:tcPr>
          <w:p w14:paraId="0A3DB50F">
            <w:pPr>
              <w:pStyle w:val="33"/>
              <w:jc w:val="left"/>
              <w:rPr>
                <w:color w:val="auto"/>
              </w:rPr>
            </w:pPr>
            <w:r>
              <w:rPr>
                <w:color w:val="auto"/>
              </w:rPr>
              <w:t>（三）造纸厂区涉水和固体废物堆场应做好防渗，宜采取清污分流、雨污分流和管网防渗、防漏等措施，有效防范对地下水环境的不利影响。</w:t>
            </w:r>
          </w:p>
        </w:tc>
        <w:tc>
          <w:tcPr>
            <w:tcW w:w="3402" w:type="dxa"/>
            <w:tcBorders>
              <w:top w:val="single" w:color="auto" w:sz="4" w:space="0"/>
              <w:left w:val="single" w:color="auto" w:sz="4" w:space="0"/>
              <w:bottom w:val="single" w:color="auto" w:sz="4" w:space="0"/>
              <w:right w:val="single" w:color="auto" w:sz="4" w:space="0"/>
            </w:tcBorders>
            <w:noWrap/>
            <w:vAlign w:val="center"/>
          </w:tcPr>
          <w:p w14:paraId="7C57C382">
            <w:pPr>
              <w:pStyle w:val="33"/>
              <w:jc w:val="left"/>
              <w:rPr>
                <w:color w:val="auto"/>
              </w:rPr>
            </w:pPr>
            <w:r>
              <w:rPr>
                <w:color w:val="auto"/>
              </w:rPr>
              <w:t>造纸厂区涉水和固体废物堆场按照相关要求做好防渗措施，厂区采取清污分流、雨污分流和管网防渗、防漏等措施，能够有效防范地下水环境的不利影响。</w:t>
            </w:r>
          </w:p>
        </w:tc>
        <w:tc>
          <w:tcPr>
            <w:tcW w:w="709" w:type="dxa"/>
            <w:vAlign w:val="center"/>
          </w:tcPr>
          <w:p w14:paraId="014E8753">
            <w:pPr>
              <w:pStyle w:val="33"/>
              <w:rPr>
                <w:color w:val="auto"/>
              </w:rPr>
            </w:pPr>
            <w:r>
              <w:rPr>
                <w:rFonts w:hint="eastAsia"/>
                <w:color w:val="auto"/>
              </w:rPr>
              <w:t>符合</w:t>
            </w:r>
          </w:p>
        </w:tc>
      </w:tr>
    </w:tbl>
    <w:p w14:paraId="2E8FD45D">
      <w:pPr>
        <w:ind w:firstLine="480"/>
        <w:rPr>
          <w:rFonts w:cs="Times New Roman"/>
          <w:color w:val="auto"/>
        </w:rPr>
      </w:pPr>
      <w:r>
        <w:rPr>
          <w:rFonts w:hint="eastAsia" w:cs="Times New Roman"/>
          <w:color w:val="auto"/>
        </w:rPr>
        <w:t>根据上述分析，本项目采取的污染防治措施与《造纸工业污染防治技术政策》的相关要求是相符的。</w:t>
      </w:r>
    </w:p>
    <w:p w14:paraId="00CC293E">
      <w:pPr>
        <w:pStyle w:val="5"/>
        <w:rPr>
          <w:rFonts w:cs="Times New Roman"/>
          <w:color w:val="auto"/>
        </w:rPr>
      </w:pPr>
      <w:r>
        <w:rPr>
          <w:rFonts w:hint="eastAsia" w:cs="Times New Roman"/>
          <w:color w:val="auto"/>
        </w:rPr>
        <w:t>与《制浆造纸工业污染防治可行技术指南》（HJ2302-2018）符合性分析</w:t>
      </w:r>
    </w:p>
    <w:p w14:paraId="3356EF23">
      <w:pPr>
        <w:ind w:firstLine="480"/>
        <w:rPr>
          <w:rFonts w:cs="Times New Roman"/>
          <w:color w:val="auto"/>
        </w:rPr>
      </w:pPr>
      <w:r>
        <w:rPr>
          <w:rFonts w:hint="eastAsia" w:cs="Times New Roman"/>
          <w:color w:val="auto"/>
        </w:rPr>
        <w:t>拟建项目与《制浆造纸工业污染防治可行技术指南》（HJ2302-2018）的相符性分析见下表。</w:t>
      </w:r>
    </w:p>
    <w:p w14:paraId="2920F3B9">
      <w:pPr>
        <w:pStyle w:val="7"/>
        <w:numPr>
          <w:ilvl w:val="5"/>
          <w:numId w:val="1"/>
        </w:numPr>
        <w:rPr>
          <w:rFonts w:cs="Times New Roman"/>
          <w:color w:val="auto"/>
        </w:rPr>
      </w:pPr>
      <w:r>
        <w:rPr>
          <w:rFonts w:hint="eastAsia" w:cs="Times New Roman"/>
          <w:color w:val="auto"/>
        </w:rPr>
        <w:t>拟建项目与《制浆造纸工业污染防治可行技术指南》的相符性</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3401"/>
        <w:gridCol w:w="3403"/>
        <w:gridCol w:w="1127"/>
      </w:tblGrid>
      <w:tr w14:paraId="4A752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7032D5A9">
            <w:pPr>
              <w:pStyle w:val="33"/>
              <w:rPr>
                <w:color w:val="auto"/>
              </w:rPr>
            </w:pPr>
            <w:r>
              <w:rPr>
                <w:rFonts w:hint="eastAsia"/>
                <w:color w:val="auto"/>
              </w:rPr>
              <w:t>序号</w:t>
            </w:r>
          </w:p>
        </w:tc>
        <w:tc>
          <w:tcPr>
            <w:tcW w:w="3401" w:type="dxa"/>
            <w:vAlign w:val="center"/>
          </w:tcPr>
          <w:p w14:paraId="693BA798">
            <w:pPr>
              <w:pStyle w:val="33"/>
              <w:rPr>
                <w:color w:val="auto"/>
              </w:rPr>
            </w:pPr>
            <w:r>
              <w:rPr>
                <w:rFonts w:hint="eastAsia"/>
                <w:color w:val="auto"/>
              </w:rPr>
              <w:t>可行技术路线</w:t>
            </w:r>
          </w:p>
        </w:tc>
        <w:tc>
          <w:tcPr>
            <w:tcW w:w="3403" w:type="dxa"/>
            <w:vAlign w:val="center"/>
          </w:tcPr>
          <w:p w14:paraId="309969BB">
            <w:pPr>
              <w:pStyle w:val="33"/>
              <w:rPr>
                <w:color w:val="auto"/>
              </w:rPr>
            </w:pPr>
            <w:r>
              <w:rPr>
                <w:rFonts w:hint="eastAsia"/>
                <w:color w:val="auto"/>
              </w:rPr>
              <w:t>本项目情况</w:t>
            </w:r>
          </w:p>
        </w:tc>
        <w:tc>
          <w:tcPr>
            <w:tcW w:w="1127" w:type="dxa"/>
            <w:vAlign w:val="center"/>
          </w:tcPr>
          <w:p w14:paraId="0879F9E9">
            <w:pPr>
              <w:pStyle w:val="33"/>
              <w:rPr>
                <w:color w:val="auto"/>
              </w:rPr>
            </w:pPr>
            <w:r>
              <w:rPr>
                <w:rFonts w:hint="eastAsia"/>
                <w:color w:val="auto"/>
              </w:rPr>
              <w:t>符合性</w:t>
            </w:r>
          </w:p>
        </w:tc>
      </w:tr>
      <w:tr w14:paraId="606A0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4"/>
            <w:vAlign w:val="center"/>
          </w:tcPr>
          <w:p w14:paraId="3B9BBB37">
            <w:pPr>
              <w:pStyle w:val="33"/>
              <w:rPr>
                <w:color w:val="auto"/>
              </w:rPr>
            </w:pPr>
            <w:r>
              <w:rPr>
                <w:rFonts w:hint="eastAsia"/>
                <w:color w:val="auto"/>
              </w:rPr>
              <w:t>污染预防技术</w:t>
            </w:r>
          </w:p>
        </w:tc>
      </w:tr>
      <w:tr w14:paraId="0344D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97841ED">
            <w:pPr>
              <w:pStyle w:val="33"/>
              <w:rPr>
                <w:color w:val="auto"/>
              </w:rPr>
            </w:pPr>
            <w:r>
              <w:rPr>
                <w:rFonts w:hint="eastAsia"/>
                <w:color w:val="auto"/>
              </w:rPr>
              <w:t>1</w:t>
            </w:r>
          </w:p>
        </w:tc>
        <w:tc>
          <w:tcPr>
            <w:tcW w:w="3401" w:type="dxa"/>
            <w:vAlign w:val="center"/>
          </w:tcPr>
          <w:p w14:paraId="695D3654">
            <w:pPr>
              <w:pStyle w:val="33"/>
              <w:rPr>
                <w:color w:val="auto"/>
              </w:rPr>
            </w:pPr>
            <w:r>
              <w:rPr>
                <w:rFonts w:hint="eastAsia"/>
                <w:color w:val="auto"/>
              </w:rPr>
              <w:t>烘缸封闭气罩技术：</w:t>
            </w:r>
          </w:p>
          <w:p w14:paraId="7585FE9B">
            <w:pPr>
              <w:pStyle w:val="33"/>
              <w:rPr>
                <w:color w:val="auto"/>
              </w:rPr>
            </w:pPr>
            <w:r>
              <w:rPr>
                <w:rFonts w:hint="eastAsia"/>
                <w:color w:val="auto"/>
              </w:rPr>
              <w:t>用封闭式烘缸气罩代替敞开式烘缸气罩。通过回收干燥纸页蒸发水蒸汽中的热量和水分，提高送风温度，减少进、排风量，有效调节罩内气流，改善操作条件。该技术可降低干燥能耗及车间噪声，适用于中高速纸机。</w:t>
            </w:r>
          </w:p>
        </w:tc>
        <w:tc>
          <w:tcPr>
            <w:tcW w:w="3403" w:type="dxa"/>
            <w:vAlign w:val="center"/>
          </w:tcPr>
          <w:p w14:paraId="30857486">
            <w:pPr>
              <w:pStyle w:val="33"/>
              <w:rPr>
                <w:color w:val="auto"/>
              </w:rPr>
            </w:pPr>
            <w:r>
              <w:rPr>
                <w:rFonts w:hint="eastAsia"/>
                <w:color w:val="auto"/>
              </w:rPr>
              <w:t>设置烘缸封闭气罩技术，部分干燥后的热风回用于掺风。</w:t>
            </w:r>
          </w:p>
        </w:tc>
        <w:tc>
          <w:tcPr>
            <w:tcW w:w="1127" w:type="dxa"/>
            <w:vAlign w:val="center"/>
          </w:tcPr>
          <w:p w14:paraId="0AD40808">
            <w:pPr>
              <w:pStyle w:val="33"/>
              <w:rPr>
                <w:color w:val="auto"/>
              </w:rPr>
            </w:pPr>
            <w:r>
              <w:rPr>
                <w:rFonts w:hint="eastAsia"/>
                <w:color w:val="auto"/>
              </w:rPr>
              <w:t>符合</w:t>
            </w:r>
          </w:p>
        </w:tc>
      </w:tr>
      <w:tr w14:paraId="3B689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9A1D248">
            <w:pPr>
              <w:pStyle w:val="33"/>
              <w:rPr>
                <w:color w:val="auto"/>
              </w:rPr>
            </w:pPr>
            <w:r>
              <w:rPr>
                <w:rFonts w:hint="eastAsia"/>
                <w:color w:val="auto"/>
              </w:rPr>
              <w:t>2</w:t>
            </w:r>
          </w:p>
        </w:tc>
        <w:tc>
          <w:tcPr>
            <w:tcW w:w="3401" w:type="dxa"/>
            <w:vAlign w:val="center"/>
          </w:tcPr>
          <w:p w14:paraId="4EEE1B24">
            <w:pPr>
              <w:pStyle w:val="33"/>
              <w:rPr>
                <w:color w:val="auto"/>
              </w:rPr>
            </w:pPr>
            <w:r>
              <w:rPr>
                <w:rFonts w:hint="eastAsia"/>
                <w:color w:val="auto"/>
              </w:rPr>
              <w:t>纸机白水回收及纤维利用技术：</w:t>
            </w:r>
          </w:p>
          <w:p w14:paraId="300CFB09">
            <w:pPr>
              <w:pStyle w:val="33"/>
              <w:rPr>
                <w:color w:val="auto"/>
              </w:rPr>
            </w:pPr>
            <w:r>
              <w:rPr>
                <w:rFonts w:hint="eastAsia"/>
                <w:color w:val="auto"/>
              </w:rPr>
              <w:t>对成型、压榨部白水，直接或通过处理后回收利用。其中，浓白水可用于上浆系统浆的稀释，或用于打浆工段；稀白水可通过多圆盘回收机、圆网浓缩机、沉淀塔或气浮装置等处理后作为纸机网部、压榨部清洗水或生产工艺补充水等；其余可回用于制浆车间或其他造纸车间、密封水补水等。回收的纤维直接进配浆系统。该技术可减少清水用量，降低废水产生量，提高原料利用率。</w:t>
            </w:r>
          </w:p>
        </w:tc>
        <w:tc>
          <w:tcPr>
            <w:tcW w:w="3403" w:type="dxa"/>
            <w:vAlign w:val="center"/>
          </w:tcPr>
          <w:p w14:paraId="7D074ACD">
            <w:pPr>
              <w:pStyle w:val="33"/>
              <w:rPr>
                <w:color w:val="auto"/>
              </w:rPr>
            </w:pPr>
            <w:r>
              <w:rPr>
                <w:rFonts w:hint="eastAsia"/>
                <w:color w:val="auto"/>
              </w:rPr>
              <w:t>项目配套有完善的白水回收利用系统和余热回收系统。回收的白水用于制浆生产线及上浆系统浆的稀释等。</w:t>
            </w:r>
          </w:p>
        </w:tc>
        <w:tc>
          <w:tcPr>
            <w:tcW w:w="1127" w:type="dxa"/>
            <w:vAlign w:val="center"/>
          </w:tcPr>
          <w:p w14:paraId="1BCDA611">
            <w:pPr>
              <w:pStyle w:val="33"/>
              <w:rPr>
                <w:color w:val="auto"/>
              </w:rPr>
            </w:pPr>
            <w:r>
              <w:rPr>
                <w:rFonts w:hint="eastAsia"/>
                <w:color w:val="auto"/>
              </w:rPr>
              <w:t>符合</w:t>
            </w:r>
          </w:p>
        </w:tc>
      </w:tr>
      <w:tr w14:paraId="2D429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4"/>
            <w:vAlign w:val="center"/>
          </w:tcPr>
          <w:p w14:paraId="0B008031">
            <w:pPr>
              <w:pStyle w:val="33"/>
              <w:rPr>
                <w:color w:val="auto"/>
              </w:rPr>
            </w:pPr>
            <w:r>
              <w:rPr>
                <w:rFonts w:hint="eastAsia"/>
                <w:color w:val="auto"/>
              </w:rPr>
              <w:t>废水污染防治技术</w:t>
            </w:r>
          </w:p>
        </w:tc>
      </w:tr>
      <w:tr w14:paraId="0BC48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6E83E1D7">
            <w:pPr>
              <w:pStyle w:val="33"/>
              <w:rPr>
                <w:color w:val="auto"/>
              </w:rPr>
            </w:pPr>
            <w:r>
              <w:rPr>
                <w:color w:val="auto"/>
              </w:rPr>
              <w:t>1</w:t>
            </w:r>
          </w:p>
        </w:tc>
        <w:tc>
          <w:tcPr>
            <w:tcW w:w="3401" w:type="dxa"/>
            <w:vAlign w:val="center"/>
          </w:tcPr>
          <w:p w14:paraId="488D99AB">
            <w:pPr>
              <w:pStyle w:val="33"/>
              <w:jc w:val="left"/>
              <w:rPr>
                <w:color w:val="auto"/>
              </w:rPr>
            </w:pPr>
            <w:r>
              <w:rPr>
                <w:rFonts w:hint="eastAsia"/>
                <w:color w:val="auto"/>
              </w:rPr>
              <w:t>治理技术：①一级（混凝沉淀或气浮）</w:t>
            </w:r>
            <w:r>
              <w:rPr>
                <w:color w:val="auto"/>
              </w:rPr>
              <w:t>+</w:t>
            </w:r>
            <w:r>
              <w:rPr>
                <w:rFonts w:hint="eastAsia"/>
                <w:color w:val="auto"/>
              </w:rPr>
              <w:t>②二级（活性污泥法）</w:t>
            </w:r>
            <w:r>
              <w:rPr>
                <w:color w:val="auto"/>
              </w:rPr>
              <w:t>+</w:t>
            </w:r>
            <w:r>
              <w:rPr>
                <w:rFonts w:hint="eastAsia"/>
                <w:color w:val="auto"/>
              </w:rPr>
              <w:t>③三级（混凝沉淀或气浮）</w:t>
            </w:r>
          </w:p>
        </w:tc>
        <w:tc>
          <w:tcPr>
            <w:tcW w:w="3403" w:type="dxa"/>
            <w:vAlign w:val="center"/>
          </w:tcPr>
          <w:p w14:paraId="5757B89F">
            <w:pPr>
              <w:pStyle w:val="33"/>
              <w:jc w:val="left"/>
              <w:rPr>
                <w:color w:val="auto"/>
              </w:rPr>
            </w:pPr>
            <w:r>
              <w:rPr>
                <w:rFonts w:hint="eastAsia"/>
                <w:color w:val="auto"/>
              </w:rPr>
              <w:t>治理技术：新增</w:t>
            </w:r>
            <w:r>
              <w:rPr>
                <w:color w:val="auto"/>
              </w:rPr>
              <w:t>3#</w:t>
            </w:r>
            <w:r>
              <w:rPr>
                <w:rFonts w:hint="eastAsia"/>
                <w:color w:val="auto"/>
              </w:rPr>
              <w:t>污水处理站采用“絮凝沉淀</w:t>
            </w:r>
            <w:r>
              <w:rPr>
                <w:color w:val="auto"/>
              </w:rPr>
              <w:t>+A/O+</w:t>
            </w:r>
            <w:r>
              <w:rPr>
                <w:rFonts w:hint="eastAsia"/>
                <w:color w:val="auto"/>
              </w:rPr>
              <w:t>絮凝沉淀”工艺。</w:t>
            </w:r>
          </w:p>
        </w:tc>
        <w:tc>
          <w:tcPr>
            <w:tcW w:w="1127" w:type="dxa"/>
            <w:vAlign w:val="center"/>
          </w:tcPr>
          <w:p w14:paraId="5B529FAD">
            <w:pPr>
              <w:pStyle w:val="33"/>
              <w:rPr>
                <w:color w:val="auto"/>
              </w:rPr>
            </w:pPr>
            <w:r>
              <w:rPr>
                <w:rFonts w:hint="eastAsia"/>
                <w:color w:val="auto"/>
              </w:rPr>
              <w:t>符合</w:t>
            </w:r>
          </w:p>
        </w:tc>
      </w:tr>
      <w:tr w14:paraId="68D52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4"/>
            <w:vAlign w:val="center"/>
          </w:tcPr>
          <w:p w14:paraId="0DE016BE">
            <w:pPr>
              <w:pStyle w:val="33"/>
              <w:rPr>
                <w:color w:val="auto"/>
              </w:rPr>
            </w:pPr>
            <w:r>
              <w:rPr>
                <w:rFonts w:hint="eastAsia"/>
                <w:color w:val="auto"/>
              </w:rPr>
              <w:t>废气污染防治技术</w:t>
            </w:r>
          </w:p>
        </w:tc>
      </w:tr>
      <w:tr w14:paraId="347D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55591BD5">
            <w:pPr>
              <w:pStyle w:val="33"/>
              <w:rPr>
                <w:color w:val="auto"/>
              </w:rPr>
            </w:pPr>
            <w:r>
              <w:rPr>
                <w:rFonts w:hint="eastAsia"/>
                <w:color w:val="auto"/>
              </w:rPr>
              <w:t>1</w:t>
            </w:r>
          </w:p>
        </w:tc>
        <w:tc>
          <w:tcPr>
            <w:tcW w:w="3401" w:type="dxa"/>
            <w:vAlign w:val="center"/>
          </w:tcPr>
          <w:p w14:paraId="568DB004">
            <w:pPr>
              <w:pStyle w:val="33"/>
              <w:jc w:val="left"/>
              <w:rPr>
                <w:color w:val="auto"/>
              </w:rPr>
            </w:pPr>
            <w:r>
              <w:rPr>
                <w:rFonts w:hint="eastAsia"/>
                <w:color w:val="auto"/>
              </w:rPr>
              <w:t>石灰石/石灰-石膏湿法脱硫：以含石灰石粉、生石灰或消石灰的浆液为吸收剂，吸收烟气中的二氧化硫</w:t>
            </w:r>
          </w:p>
        </w:tc>
        <w:tc>
          <w:tcPr>
            <w:tcW w:w="3403" w:type="dxa"/>
            <w:vAlign w:val="center"/>
          </w:tcPr>
          <w:p w14:paraId="14A66A0A">
            <w:pPr>
              <w:pStyle w:val="33"/>
              <w:jc w:val="left"/>
              <w:rPr>
                <w:color w:val="auto"/>
              </w:rPr>
            </w:pPr>
            <w:r>
              <w:rPr>
                <w:rFonts w:hint="eastAsia"/>
                <w:color w:val="auto"/>
              </w:rPr>
              <w:t>本项目依托现有热电站，</w:t>
            </w:r>
            <w:r>
              <w:rPr>
                <w:color w:val="auto"/>
              </w:rPr>
              <w:t>1#</w:t>
            </w:r>
            <w:r>
              <w:rPr>
                <w:rFonts w:hint="eastAsia"/>
                <w:color w:val="auto"/>
              </w:rPr>
              <w:t>、</w:t>
            </w:r>
            <w:r>
              <w:rPr>
                <w:color w:val="auto"/>
              </w:rPr>
              <w:t>2#</w:t>
            </w:r>
            <w:r>
              <w:rPr>
                <w:rFonts w:hint="eastAsia"/>
                <w:color w:val="auto"/>
              </w:rPr>
              <w:t>锅炉烟气采用双室五电场静电除尘器除尘、炉外石灰石</w:t>
            </w:r>
            <w:r>
              <w:rPr>
                <w:color w:val="auto"/>
              </w:rPr>
              <w:t>-</w:t>
            </w:r>
            <w:r>
              <w:rPr>
                <w:rFonts w:hint="eastAsia"/>
                <w:color w:val="auto"/>
              </w:rPr>
              <w:t>石膏湿法脱硫、低氮燃烧</w:t>
            </w:r>
            <w:r>
              <w:rPr>
                <w:color w:val="auto"/>
              </w:rPr>
              <w:t>+SCR</w:t>
            </w:r>
            <w:r>
              <w:rPr>
                <w:rFonts w:hint="eastAsia"/>
                <w:color w:val="auto"/>
              </w:rPr>
              <w:t>脱硝，</w:t>
            </w:r>
            <w:r>
              <w:rPr>
                <w:color w:val="auto"/>
              </w:rPr>
              <w:t>3#</w:t>
            </w:r>
            <w:r>
              <w:rPr>
                <w:rFonts w:hint="eastAsia"/>
                <w:color w:val="auto"/>
              </w:rPr>
              <w:t>锅炉</w:t>
            </w:r>
            <w:r>
              <w:rPr>
                <w:rFonts w:hint="eastAsia"/>
                <w:color w:val="auto"/>
                <w:spacing w:val="3"/>
                <w:szCs w:val="21"/>
              </w:rPr>
              <w:t>烟气采用高效静电除尘器</w:t>
            </w:r>
            <w:r>
              <w:rPr>
                <w:rFonts w:eastAsia="Times New Roman"/>
                <w:color w:val="auto"/>
                <w:spacing w:val="3"/>
                <w:szCs w:val="21"/>
              </w:rPr>
              <w:t>+</w:t>
            </w:r>
            <w:r>
              <w:rPr>
                <w:rFonts w:hint="eastAsia"/>
                <w:color w:val="auto"/>
                <w:spacing w:val="3"/>
                <w:szCs w:val="21"/>
              </w:rPr>
              <w:t>脱硫出口湿式静电除</w:t>
            </w:r>
            <w:r>
              <w:rPr>
                <w:rFonts w:hint="eastAsia"/>
                <w:color w:val="auto"/>
                <w:spacing w:val="2"/>
                <w:szCs w:val="21"/>
              </w:rPr>
              <w:t>尘器</w:t>
            </w:r>
            <w:r>
              <w:rPr>
                <w:rFonts w:hint="eastAsia"/>
                <w:color w:val="auto"/>
                <w:spacing w:val="-5"/>
                <w:szCs w:val="21"/>
              </w:rPr>
              <w:t>除尘、炉外石灰石</w:t>
            </w:r>
            <w:r>
              <w:rPr>
                <w:rFonts w:eastAsia="Times New Roman"/>
                <w:color w:val="auto"/>
                <w:spacing w:val="-5"/>
                <w:szCs w:val="21"/>
              </w:rPr>
              <w:t>-</w:t>
            </w:r>
            <w:r>
              <w:rPr>
                <w:rFonts w:hint="eastAsia"/>
                <w:color w:val="auto"/>
                <w:spacing w:val="-5"/>
                <w:szCs w:val="21"/>
              </w:rPr>
              <w:t>石膏湿法脱硫、低氮燃烧</w:t>
            </w:r>
            <w:r>
              <w:rPr>
                <w:rFonts w:eastAsia="Times New Roman"/>
                <w:color w:val="auto"/>
                <w:spacing w:val="-5"/>
                <w:szCs w:val="21"/>
              </w:rPr>
              <w:t>+SCR</w:t>
            </w:r>
            <w:r>
              <w:rPr>
                <w:rFonts w:hint="eastAsia"/>
                <w:color w:val="auto"/>
                <w:spacing w:val="-5"/>
                <w:szCs w:val="21"/>
              </w:rPr>
              <w:t>脱硝。</w:t>
            </w:r>
          </w:p>
        </w:tc>
        <w:tc>
          <w:tcPr>
            <w:tcW w:w="1127" w:type="dxa"/>
            <w:vAlign w:val="center"/>
          </w:tcPr>
          <w:p w14:paraId="4F3EBA47">
            <w:pPr>
              <w:pStyle w:val="33"/>
              <w:rPr>
                <w:color w:val="auto"/>
              </w:rPr>
            </w:pPr>
            <w:r>
              <w:rPr>
                <w:rFonts w:hint="eastAsia"/>
                <w:color w:val="auto"/>
              </w:rPr>
              <w:t>符合</w:t>
            </w:r>
          </w:p>
        </w:tc>
      </w:tr>
      <w:tr w14:paraId="598A4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gridSpan w:val="4"/>
            <w:vAlign w:val="center"/>
          </w:tcPr>
          <w:p w14:paraId="3EA4F650">
            <w:pPr>
              <w:pStyle w:val="33"/>
              <w:rPr>
                <w:color w:val="auto"/>
              </w:rPr>
            </w:pPr>
            <w:r>
              <w:rPr>
                <w:rFonts w:hint="eastAsia"/>
                <w:color w:val="auto"/>
              </w:rPr>
              <w:t>固体废物污染防治技术</w:t>
            </w:r>
          </w:p>
        </w:tc>
      </w:tr>
      <w:tr w14:paraId="19104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283E7B05">
            <w:pPr>
              <w:pStyle w:val="33"/>
              <w:rPr>
                <w:color w:val="auto"/>
              </w:rPr>
            </w:pPr>
            <w:r>
              <w:rPr>
                <w:rFonts w:hint="eastAsia"/>
                <w:color w:val="auto"/>
              </w:rPr>
              <w:t>1</w:t>
            </w:r>
          </w:p>
        </w:tc>
        <w:tc>
          <w:tcPr>
            <w:tcW w:w="3401" w:type="dxa"/>
            <w:vAlign w:val="center"/>
          </w:tcPr>
          <w:p w14:paraId="0002387A">
            <w:pPr>
              <w:pStyle w:val="33"/>
              <w:jc w:val="left"/>
              <w:rPr>
                <w:color w:val="auto"/>
              </w:rPr>
            </w:pPr>
            <w:r>
              <w:rPr>
                <w:rFonts w:hint="eastAsia"/>
                <w:color w:val="auto"/>
              </w:rPr>
              <w:t>制浆造纸生产过程中产生的热值较高的废渣，如备料废渣、浆渣及污水处理厂污泥等，可直接或通过干化处理后送入锅炉或焚烧炉燃烧。</w:t>
            </w:r>
          </w:p>
        </w:tc>
        <w:tc>
          <w:tcPr>
            <w:tcW w:w="3403" w:type="dxa"/>
            <w:vAlign w:val="center"/>
          </w:tcPr>
          <w:p w14:paraId="703D42A3">
            <w:pPr>
              <w:pStyle w:val="33"/>
              <w:jc w:val="left"/>
              <w:rPr>
                <w:color w:val="auto"/>
              </w:rPr>
            </w:pPr>
            <w:r>
              <w:rPr>
                <w:rFonts w:hint="eastAsia"/>
                <w:color w:val="auto"/>
              </w:rPr>
              <w:t>本项目不涉及热值高的备料废渣、浆渣等，浓缩池污泥经板框压滤机+污泥干化系统处理后送动力厂焚烧。</w:t>
            </w:r>
          </w:p>
        </w:tc>
        <w:tc>
          <w:tcPr>
            <w:tcW w:w="1127" w:type="dxa"/>
            <w:vAlign w:val="center"/>
          </w:tcPr>
          <w:p w14:paraId="79324865">
            <w:pPr>
              <w:pStyle w:val="33"/>
              <w:rPr>
                <w:color w:val="auto"/>
              </w:rPr>
            </w:pPr>
            <w:r>
              <w:rPr>
                <w:rFonts w:hint="eastAsia"/>
                <w:color w:val="auto"/>
              </w:rPr>
              <w:t>符合</w:t>
            </w:r>
          </w:p>
        </w:tc>
      </w:tr>
      <w:tr w14:paraId="41558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20CB484E">
            <w:pPr>
              <w:pStyle w:val="33"/>
              <w:rPr>
                <w:color w:val="auto"/>
              </w:rPr>
            </w:pPr>
            <w:r>
              <w:rPr>
                <w:rFonts w:hint="eastAsia"/>
                <w:color w:val="auto"/>
              </w:rPr>
              <w:t>2</w:t>
            </w:r>
          </w:p>
        </w:tc>
        <w:tc>
          <w:tcPr>
            <w:tcW w:w="3401" w:type="dxa"/>
            <w:vAlign w:val="center"/>
          </w:tcPr>
          <w:p w14:paraId="31A18A64">
            <w:pPr>
              <w:pStyle w:val="33"/>
              <w:jc w:val="left"/>
              <w:rPr>
                <w:color w:val="auto"/>
              </w:rPr>
            </w:pPr>
            <w:r>
              <w:rPr>
                <w:rFonts w:hint="eastAsia"/>
                <w:color w:val="auto"/>
              </w:rPr>
              <w:t>废纸浆生产过程中，原材料中的塑料、金属等固体废物，机制纸及纸板生产过程中产生的废聚酯网，均可回收实现资源化利用。</w:t>
            </w:r>
          </w:p>
        </w:tc>
        <w:tc>
          <w:tcPr>
            <w:tcW w:w="3403" w:type="dxa"/>
            <w:vAlign w:val="center"/>
          </w:tcPr>
          <w:p w14:paraId="1D46DEB2">
            <w:pPr>
              <w:pStyle w:val="33"/>
              <w:jc w:val="left"/>
              <w:rPr>
                <w:color w:val="auto"/>
              </w:rPr>
            </w:pPr>
            <w:r>
              <w:rPr>
                <w:rFonts w:hint="eastAsia"/>
                <w:color w:val="auto"/>
              </w:rPr>
              <w:t>本项目废纸浆生产过程中不产生塑料，捆绑外购浆板产生的废铁丝、原纸成形阶段产生的废聚酯网收集后交由相关资源回收公司回收利用。</w:t>
            </w:r>
          </w:p>
        </w:tc>
        <w:tc>
          <w:tcPr>
            <w:tcW w:w="1127" w:type="dxa"/>
            <w:vAlign w:val="center"/>
          </w:tcPr>
          <w:p w14:paraId="42DA0744">
            <w:pPr>
              <w:pStyle w:val="33"/>
              <w:rPr>
                <w:color w:val="auto"/>
              </w:rPr>
            </w:pPr>
            <w:r>
              <w:rPr>
                <w:rFonts w:hint="eastAsia"/>
                <w:color w:val="auto"/>
              </w:rPr>
              <w:t>符合</w:t>
            </w:r>
          </w:p>
        </w:tc>
      </w:tr>
    </w:tbl>
    <w:p w14:paraId="08882781">
      <w:pPr>
        <w:pStyle w:val="5"/>
        <w:rPr>
          <w:rFonts w:cs="Times New Roman"/>
          <w:color w:val="auto"/>
        </w:rPr>
      </w:pPr>
      <w:r>
        <w:rPr>
          <w:rFonts w:hint="eastAsia" w:cs="Times New Roman"/>
          <w:color w:val="auto"/>
        </w:rPr>
        <w:t>与《北钦防一体化产业协同发展限制布局清单（工业类2021年版）》符合性分析</w:t>
      </w:r>
    </w:p>
    <w:p w14:paraId="6A602D58">
      <w:pPr>
        <w:ind w:firstLine="480"/>
        <w:rPr>
          <w:rFonts w:cs="Times New Roman"/>
          <w:color w:val="auto"/>
        </w:rPr>
      </w:pPr>
      <w:r>
        <w:rPr>
          <w:rFonts w:hint="eastAsia" w:cs="Times New Roman"/>
          <w:color w:val="auto"/>
        </w:rPr>
        <w:t>根据《北钦防一体化产业协同发展限制布局清单（工业类2021年版）》（桂政办函〔2021〕4号），钦州市全市限制布局炼铁、炼钢，铝冶炼，平板玻璃制造行业，拟建项目属于造纸行业，不属于上述限制布局行业，符合上述清单要求。</w:t>
      </w:r>
    </w:p>
    <w:p w14:paraId="1DACEC87">
      <w:pPr>
        <w:ind w:firstLine="480"/>
        <w:rPr>
          <w:rFonts w:cs="Times New Roman"/>
          <w:color w:val="auto"/>
        </w:rPr>
      </w:pPr>
    </w:p>
    <w:p w14:paraId="5ED2D125">
      <w:pPr>
        <w:pStyle w:val="4"/>
        <w:rPr>
          <w:rFonts w:cs="Times New Roman"/>
          <w:color w:val="auto"/>
        </w:rPr>
      </w:pPr>
      <w:bookmarkStart w:id="142" w:name="_Toc198390533"/>
      <w:bookmarkStart w:id="143" w:name="_Toc199190425"/>
      <w:bookmarkStart w:id="144" w:name="_Toc199168888"/>
      <w:bookmarkStart w:id="145" w:name="_Toc198391186"/>
      <w:bookmarkStart w:id="146" w:name="_Toc225216666"/>
      <w:r>
        <w:rPr>
          <w:rFonts w:cs="Times New Roman"/>
          <w:color w:val="auto"/>
        </w:rPr>
        <w:t>项目与相关环保政策符合性分析</w:t>
      </w:r>
      <w:bookmarkEnd w:id="142"/>
      <w:bookmarkEnd w:id="143"/>
      <w:bookmarkEnd w:id="144"/>
      <w:bookmarkEnd w:id="145"/>
      <w:bookmarkEnd w:id="146"/>
    </w:p>
    <w:p w14:paraId="58AE5EB8">
      <w:pPr>
        <w:pStyle w:val="5"/>
        <w:rPr>
          <w:rFonts w:cs="Times New Roman"/>
          <w:color w:val="auto"/>
        </w:rPr>
      </w:pPr>
      <w:r>
        <w:rPr>
          <w:rFonts w:cs="Times New Roman"/>
          <w:color w:val="auto"/>
        </w:rPr>
        <w:t>与制浆造纸建设项目环境影响评价文件审批原则的符合性分析</w:t>
      </w:r>
    </w:p>
    <w:p w14:paraId="3474905C">
      <w:pPr>
        <w:ind w:firstLine="480"/>
        <w:rPr>
          <w:rFonts w:cs="Times New Roman"/>
          <w:color w:val="auto"/>
        </w:rPr>
      </w:pPr>
      <w:r>
        <w:rPr>
          <w:rFonts w:cs="Times New Roman"/>
          <w:color w:val="auto"/>
        </w:rPr>
        <w:t>为进一步规范建设项目环境影响评价文件审批，2015年12月，原</w:t>
      </w:r>
      <w:r>
        <w:rPr>
          <w:rFonts w:hint="eastAsia" w:cs="Times New Roman"/>
          <w:color w:val="auto"/>
        </w:rPr>
        <w:t>环境保护部</w:t>
      </w:r>
      <w:r>
        <w:rPr>
          <w:rFonts w:cs="Times New Roman"/>
          <w:color w:val="auto"/>
        </w:rPr>
        <w:t>以环办〔2015〕112号文发布了《关于规范火电等七个行业建设项目环境影响评价文件审批的通知》，在该通知中对制浆造纸建设项目环境影响评价文件审批原则进行了相应的规定，本项目符合相关要求。</w:t>
      </w:r>
    </w:p>
    <w:p w14:paraId="76D2F941">
      <w:pPr>
        <w:pStyle w:val="7"/>
        <w:rPr>
          <w:color w:val="auto"/>
        </w:rPr>
      </w:pPr>
      <w:r>
        <w:rPr>
          <w:color w:val="auto"/>
        </w:rPr>
        <w:t>项目与制浆造纸建设项目环境影响评价文件审批原则的相符性分析</w:t>
      </w:r>
    </w:p>
    <w:tbl>
      <w:tblPr>
        <w:tblStyle w:val="26"/>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3828"/>
        <w:gridCol w:w="3781"/>
        <w:gridCol w:w="1002"/>
      </w:tblGrid>
      <w:tr w14:paraId="4A63E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675" w:type="dxa"/>
            <w:tcBorders>
              <w:top w:val="single" w:color="auto" w:sz="4" w:space="0"/>
              <w:left w:val="single" w:color="auto" w:sz="4" w:space="0"/>
              <w:bottom w:val="single" w:color="auto" w:sz="4" w:space="0"/>
              <w:right w:val="single" w:color="auto" w:sz="4" w:space="0"/>
            </w:tcBorders>
            <w:vAlign w:val="center"/>
          </w:tcPr>
          <w:p w14:paraId="16B118AB">
            <w:pPr>
              <w:pStyle w:val="33"/>
              <w:rPr>
                <w:color w:val="auto"/>
              </w:rPr>
            </w:pPr>
            <w:r>
              <w:rPr>
                <w:color w:val="auto"/>
              </w:rPr>
              <w:t>序号</w:t>
            </w:r>
          </w:p>
        </w:tc>
        <w:tc>
          <w:tcPr>
            <w:tcW w:w="3828" w:type="dxa"/>
            <w:tcBorders>
              <w:top w:val="single" w:color="auto" w:sz="4" w:space="0"/>
              <w:left w:val="single" w:color="auto" w:sz="4" w:space="0"/>
              <w:bottom w:val="single" w:color="auto" w:sz="4" w:space="0"/>
              <w:right w:val="single" w:color="auto" w:sz="4" w:space="0"/>
            </w:tcBorders>
            <w:vAlign w:val="center"/>
          </w:tcPr>
          <w:p w14:paraId="230C1AE2">
            <w:pPr>
              <w:pStyle w:val="33"/>
              <w:rPr>
                <w:color w:val="auto"/>
              </w:rPr>
            </w:pPr>
            <w:r>
              <w:rPr>
                <w:color w:val="auto"/>
              </w:rPr>
              <w:t>《制浆造纸建设项目环境影响评价文件审批原则》</w:t>
            </w:r>
          </w:p>
        </w:tc>
        <w:tc>
          <w:tcPr>
            <w:tcW w:w="3781" w:type="dxa"/>
            <w:tcBorders>
              <w:top w:val="single" w:color="auto" w:sz="4" w:space="0"/>
              <w:left w:val="single" w:color="auto" w:sz="4" w:space="0"/>
              <w:bottom w:val="single" w:color="auto" w:sz="4" w:space="0"/>
              <w:right w:val="single" w:color="auto" w:sz="4" w:space="0"/>
            </w:tcBorders>
            <w:vAlign w:val="center"/>
          </w:tcPr>
          <w:p w14:paraId="227023E0">
            <w:pPr>
              <w:pStyle w:val="33"/>
              <w:rPr>
                <w:color w:val="auto"/>
              </w:rPr>
            </w:pPr>
            <w:r>
              <w:rPr>
                <w:color w:val="auto"/>
              </w:rPr>
              <w:t>项目情况</w:t>
            </w:r>
          </w:p>
        </w:tc>
        <w:tc>
          <w:tcPr>
            <w:tcW w:w="1002" w:type="dxa"/>
            <w:tcBorders>
              <w:top w:val="single" w:color="auto" w:sz="4" w:space="0"/>
              <w:left w:val="single" w:color="auto" w:sz="4" w:space="0"/>
              <w:bottom w:val="single" w:color="auto" w:sz="4" w:space="0"/>
              <w:right w:val="single" w:color="auto" w:sz="4" w:space="0"/>
            </w:tcBorders>
            <w:vAlign w:val="center"/>
          </w:tcPr>
          <w:p w14:paraId="431CFEB3">
            <w:pPr>
              <w:pStyle w:val="33"/>
              <w:rPr>
                <w:color w:val="auto"/>
              </w:rPr>
            </w:pPr>
            <w:r>
              <w:rPr>
                <w:color w:val="auto"/>
              </w:rPr>
              <w:t>符合性</w:t>
            </w:r>
          </w:p>
        </w:tc>
      </w:tr>
      <w:tr w14:paraId="782C1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759FF4E1">
            <w:pPr>
              <w:pStyle w:val="33"/>
              <w:rPr>
                <w:color w:val="auto"/>
              </w:rPr>
            </w:pPr>
            <w:r>
              <w:rPr>
                <w:color w:val="auto"/>
              </w:rPr>
              <w:t>1</w:t>
            </w:r>
          </w:p>
        </w:tc>
        <w:tc>
          <w:tcPr>
            <w:tcW w:w="3828" w:type="dxa"/>
            <w:tcBorders>
              <w:top w:val="single" w:color="auto" w:sz="4" w:space="0"/>
              <w:left w:val="single" w:color="auto" w:sz="4" w:space="0"/>
              <w:bottom w:val="single" w:color="auto" w:sz="4" w:space="0"/>
              <w:right w:val="single" w:color="auto" w:sz="4" w:space="0"/>
            </w:tcBorders>
            <w:vAlign w:val="center"/>
          </w:tcPr>
          <w:p w14:paraId="14825E91">
            <w:pPr>
              <w:pStyle w:val="33"/>
              <w:jc w:val="left"/>
              <w:rPr>
                <w:color w:val="auto"/>
              </w:rPr>
            </w:pPr>
            <w:r>
              <w:rPr>
                <w:color w:val="auto"/>
              </w:rPr>
              <w:t>项目符合国家环境保护相关法律法规和政策要求，符合造纸行业相关产业结构调整、落后产能淘汰要求</w:t>
            </w:r>
          </w:p>
        </w:tc>
        <w:tc>
          <w:tcPr>
            <w:tcW w:w="3781" w:type="dxa"/>
            <w:tcBorders>
              <w:top w:val="single" w:color="auto" w:sz="4" w:space="0"/>
              <w:left w:val="single" w:color="auto" w:sz="4" w:space="0"/>
              <w:bottom w:val="single" w:color="auto" w:sz="4" w:space="0"/>
              <w:right w:val="single" w:color="auto" w:sz="4" w:space="0"/>
            </w:tcBorders>
            <w:vAlign w:val="center"/>
          </w:tcPr>
          <w:p w14:paraId="687299D8">
            <w:pPr>
              <w:pStyle w:val="33"/>
              <w:jc w:val="left"/>
              <w:rPr>
                <w:color w:val="auto"/>
              </w:rPr>
            </w:pPr>
            <w:r>
              <w:rPr>
                <w:rFonts w:hint="eastAsia"/>
                <w:color w:val="auto"/>
              </w:rPr>
              <w:t>拟建项目符合各项法律法规政策要求，符合国家、广西壮族自治区相关产业政策要求，不涉及落后产能。</w:t>
            </w:r>
          </w:p>
        </w:tc>
        <w:tc>
          <w:tcPr>
            <w:tcW w:w="1002" w:type="dxa"/>
            <w:tcBorders>
              <w:top w:val="single" w:color="auto" w:sz="4" w:space="0"/>
              <w:left w:val="single" w:color="auto" w:sz="4" w:space="0"/>
              <w:bottom w:val="single" w:color="auto" w:sz="4" w:space="0"/>
              <w:right w:val="single" w:color="auto" w:sz="4" w:space="0"/>
            </w:tcBorders>
            <w:vAlign w:val="center"/>
          </w:tcPr>
          <w:p w14:paraId="0F84E404">
            <w:pPr>
              <w:pStyle w:val="33"/>
              <w:rPr>
                <w:color w:val="auto"/>
              </w:rPr>
            </w:pPr>
            <w:r>
              <w:rPr>
                <w:color w:val="auto"/>
              </w:rPr>
              <w:t>符合</w:t>
            </w:r>
          </w:p>
        </w:tc>
      </w:tr>
      <w:tr w14:paraId="6235B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4EF567C6">
            <w:pPr>
              <w:pStyle w:val="33"/>
              <w:rPr>
                <w:color w:val="auto"/>
              </w:rPr>
            </w:pPr>
            <w:r>
              <w:rPr>
                <w:color w:val="auto"/>
              </w:rPr>
              <w:t>2</w:t>
            </w:r>
          </w:p>
        </w:tc>
        <w:tc>
          <w:tcPr>
            <w:tcW w:w="3828" w:type="dxa"/>
            <w:tcBorders>
              <w:top w:val="single" w:color="auto" w:sz="4" w:space="0"/>
              <w:left w:val="single" w:color="auto" w:sz="4" w:space="0"/>
              <w:bottom w:val="single" w:color="auto" w:sz="4" w:space="0"/>
              <w:right w:val="single" w:color="auto" w:sz="4" w:space="0"/>
            </w:tcBorders>
            <w:vAlign w:val="center"/>
          </w:tcPr>
          <w:p w14:paraId="379AE395">
            <w:pPr>
              <w:pStyle w:val="33"/>
              <w:jc w:val="left"/>
              <w:rPr>
                <w:color w:val="auto"/>
              </w:rPr>
            </w:pPr>
            <w:r>
              <w:rPr>
                <w:color w:val="auto"/>
              </w:rPr>
              <w:t>项目选址符合主体功能区规划、环境保护规划、造纸发展规划、城市总体规划、土地利用规划、环境功能区划及其他相关规划要求，涉海项目符合近岸海域环境功能区划及海洋功能区划要求。</w:t>
            </w:r>
          </w:p>
        </w:tc>
        <w:tc>
          <w:tcPr>
            <w:tcW w:w="3781" w:type="dxa"/>
            <w:tcBorders>
              <w:top w:val="single" w:color="auto" w:sz="4" w:space="0"/>
              <w:left w:val="single" w:color="auto" w:sz="4" w:space="0"/>
              <w:bottom w:val="single" w:color="auto" w:sz="4" w:space="0"/>
              <w:right w:val="single" w:color="auto" w:sz="4" w:space="0"/>
            </w:tcBorders>
            <w:vAlign w:val="center"/>
          </w:tcPr>
          <w:p w14:paraId="4C199E00">
            <w:pPr>
              <w:pStyle w:val="33"/>
              <w:jc w:val="left"/>
              <w:rPr>
                <w:color w:val="auto"/>
              </w:rPr>
            </w:pPr>
            <w:r>
              <w:rPr>
                <w:rFonts w:hint="eastAsia"/>
                <w:color w:val="auto"/>
              </w:rPr>
              <w:t>拟建项目位于广西钦州林浆纸产业园内，符合相关规划、环境功能区划要求，项目废水排放符合近岸海域环境功能区划及海洋功能区划。</w:t>
            </w:r>
          </w:p>
        </w:tc>
        <w:tc>
          <w:tcPr>
            <w:tcW w:w="1002" w:type="dxa"/>
            <w:tcBorders>
              <w:top w:val="single" w:color="auto" w:sz="4" w:space="0"/>
              <w:left w:val="single" w:color="auto" w:sz="4" w:space="0"/>
              <w:bottom w:val="single" w:color="auto" w:sz="4" w:space="0"/>
              <w:right w:val="single" w:color="auto" w:sz="4" w:space="0"/>
            </w:tcBorders>
            <w:vAlign w:val="center"/>
          </w:tcPr>
          <w:p w14:paraId="0DCF3BCC">
            <w:pPr>
              <w:pStyle w:val="33"/>
              <w:rPr>
                <w:color w:val="auto"/>
              </w:rPr>
            </w:pPr>
            <w:r>
              <w:rPr>
                <w:color w:val="auto"/>
              </w:rPr>
              <w:t>符合</w:t>
            </w:r>
          </w:p>
        </w:tc>
      </w:tr>
      <w:tr w14:paraId="71416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413E1196">
            <w:pPr>
              <w:pStyle w:val="33"/>
              <w:rPr>
                <w:color w:val="auto"/>
              </w:rPr>
            </w:pPr>
            <w:r>
              <w:rPr>
                <w:color w:val="auto"/>
              </w:rPr>
              <w:t>3</w:t>
            </w:r>
          </w:p>
        </w:tc>
        <w:tc>
          <w:tcPr>
            <w:tcW w:w="3828" w:type="dxa"/>
            <w:tcBorders>
              <w:top w:val="single" w:color="auto" w:sz="4" w:space="0"/>
              <w:left w:val="single" w:color="auto" w:sz="4" w:space="0"/>
              <w:bottom w:val="single" w:color="auto" w:sz="4" w:space="0"/>
              <w:right w:val="single" w:color="auto" w:sz="4" w:space="0"/>
            </w:tcBorders>
            <w:vAlign w:val="center"/>
          </w:tcPr>
          <w:p w14:paraId="053587DB">
            <w:pPr>
              <w:pStyle w:val="33"/>
              <w:jc w:val="left"/>
              <w:rPr>
                <w:color w:val="auto"/>
              </w:rPr>
            </w:pPr>
            <w:r>
              <w:rPr>
                <w:color w:val="auto"/>
              </w:rPr>
              <w:t>新建、扩建项目应位于产业园区，并符合园区规划及规划环境影响评价要求；原则上避开居民集中区、医院、学校等环境敏感区。不予批准位于自然保护区、风景名胜区、饮用水水源保护区、永久基本农田等环境敏感区的项目和严重缺水地区、城市建成区内的新建、扩建项目。</w:t>
            </w:r>
          </w:p>
        </w:tc>
        <w:tc>
          <w:tcPr>
            <w:tcW w:w="3781" w:type="dxa"/>
            <w:tcBorders>
              <w:top w:val="single" w:color="auto" w:sz="4" w:space="0"/>
              <w:left w:val="single" w:color="auto" w:sz="4" w:space="0"/>
              <w:bottom w:val="single" w:color="auto" w:sz="4" w:space="0"/>
              <w:right w:val="single" w:color="auto" w:sz="4" w:space="0"/>
            </w:tcBorders>
            <w:vAlign w:val="center"/>
          </w:tcPr>
          <w:p w14:paraId="71A9804C">
            <w:pPr>
              <w:pStyle w:val="33"/>
              <w:jc w:val="left"/>
              <w:rPr>
                <w:color w:val="auto"/>
              </w:rPr>
            </w:pPr>
            <w:r>
              <w:rPr>
                <w:rFonts w:hint="eastAsia"/>
                <w:color w:val="auto"/>
              </w:rPr>
              <w:t>拟建项目位于广西钦州林浆纸产业园内，符合园区规划及规划环评要求。项目防护距离内无环境敏感目标，</w:t>
            </w:r>
            <w:r>
              <w:rPr>
                <w:color w:val="auto"/>
              </w:rPr>
              <w:t>周边未分布</w:t>
            </w:r>
            <w:r>
              <w:rPr>
                <w:rFonts w:hint="eastAsia"/>
                <w:color w:val="auto"/>
              </w:rPr>
              <w:t>居民集中区、</w:t>
            </w:r>
            <w:r>
              <w:rPr>
                <w:color w:val="auto"/>
              </w:rPr>
              <w:t>医院、学校等环境敏感区。项目用地不涉及自然保护区、风景名胜区、饮用水水源保护区、永久基本农田等环境敏感区的项目，</w:t>
            </w:r>
            <w:r>
              <w:rPr>
                <w:rFonts w:hint="eastAsia"/>
                <w:color w:val="auto"/>
              </w:rPr>
              <w:t>钦州市</w:t>
            </w:r>
            <w:r>
              <w:rPr>
                <w:color w:val="auto"/>
              </w:rPr>
              <w:t>不属于严重缺水地区。</w:t>
            </w:r>
          </w:p>
        </w:tc>
        <w:tc>
          <w:tcPr>
            <w:tcW w:w="1002" w:type="dxa"/>
            <w:tcBorders>
              <w:top w:val="single" w:color="auto" w:sz="4" w:space="0"/>
              <w:left w:val="single" w:color="auto" w:sz="4" w:space="0"/>
              <w:bottom w:val="single" w:color="auto" w:sz="4" w:space="0"/>
              <w:right w:val="single" w:color="auto" w:sz="4" w:space="0"/>
            </w:tcBorders>
            <w:vAlign w:val="center"/>
          </w:tcPr>
          <w:p w14:paraId="0EABD61A">
            <w:pPr>
              <w:pStyle w:val="33"/>
              <w:rPr>
                <w:color w:val="auto"/>
              </w:rPr>
            </w:pPr>
            <w:r>
              <w:rPr>
                <w:color w:val="auto"/>
              </w:rPr>
              <w:t>符合</w:t>
            </w:r>
          </w:p>
        </w:tc>
      </w:tr>
      <w:tr w14:paraId="57CEF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75D54931">
            <w:pPr>
              <w:pStyle w:val="33"/>
              <w:rPr>
                <w:color w:val="auto"/>
              </w:rPr>
            </w:pPr>
            <w:r>
              <w:rPr>
                <w:color w:val="auto"/>
              </w:rPr>
              <w:t>4</w:t>
            </w:r>
          </w:p>
        </w:tc>
        <w:tc>
          <w:tcPr>
            <w:tcW w:w="3828" w:type="dxa"/>
            <w:tcBorders>
              <w:top w:val="single" w:color="auto" w:sz="4" w:space="0"/>
              <w:left w:val="single" w:color="auto" w:sz="4" w:space="0"/>
              <w:bottom w:val="single" w:color="auto" w:sz="4" w:space="0"/>
              <w:right w:val="single" w:color="auto" w:sz="4" w:space="0"/>
            </w:tcBorders>
            <w:vAlign w:val="center"/>
          </w:tcPr>
          <w:p w14:paraId="1265D9B6">
            <w:pPr>
              <w:pStyle w:val="33"/>
              <w:jc w:val="left"/>
              <w:rPr>
                <w:color w:val="auto"/>
              </w:rPr>
            </w:pPr>
            <w:r>
              <w:rPr>
                <w:color w:val="auto"/>
              </w:rPr>
              <w:t>采用先进适用的技术、工艺和装备，清洁生产水平达到国内同行业清洁生产先进水平。</w:t>
            </w:r>
          </w:p>
        </w:tc>
        <w:tc>
          <w:tcPr>
            <w:tcW w:w="3781" w:type="dxa"/>
            <w:tcBorders>
              <w:top w:val="single" w:color="auto" w:sz="4" w:space="0"/>
              <w:left w:val="single" w:color="auto" w:sz="4" w:space="0"/>
              <w:bottom w:val="single" w:color="auto" w:sz="4" w:space="0"/>
              <w:right w:val="single" w:color="auto" w:sz="4" w:space="0"/>
            </w:tcBorders>
            <w:vAlign w:val="center"/>
          </w:tcPr>
          <w:p w14:paraId="685DC6CC">
            <w:pPr>
              <w:pStyle w:val="33"/>
              <w:jc w:val="left"/>
              <w:rPr>
                <w:color w:val="auto"/>
              </w:rPr>
            </w:pPr>
            <w:r>
              <w:rPr>
                <w:rFonts w:hint="eastAsia"/>
                <w:color w:val="auto"/>
              </w:rPr>
              <w:t>拟建项目采用先进适用的技术、工艺和装备，清洁生产水平达到国内同行业清洁生产先进水平。</w:t>
            </w:r>
          </w:p>
        </w:tc>
        <w:tc>
          <w:tcPr>
            <w:tcW w:w="1002" w:type="dxa"/>
            <w:tcBorders>
              <w:top w:val="single" w:color="auto" w:sz="4" w:space="0"/>
              <w:left w:val="single" w:color="auto" w:sz="4" w:space="0"/>
              <w:bottom w:val="single" w:color="auto" w:sz="4" w:space="0"/>
              <w:right w:val="single" w:color="auto" w:sz="4" w:space="0"/>
            </w:tcBorders>
            <w:vAlign w:val="center"/>
          </w:tcPr>
          <w:p w14:paraId="70A07C56">
            <w:pPr>
              <w:pStyle w:val="33"/>
              <w:rPr>
                <w:color w:val="auto"/>
              </w:rPr>
            </w:pPr>
            <w:r>
              <w:rPr>
                <w:color w:val="auto"/>
              </w:rPr>
              <w:t>符合</w:t>
            </w:r>
          </w:p>
        </w:tc>
      </w:tr>
      <w:tr w14:paraId="08A59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39B06F8F">
            <w:pPr>
              <w:pStyle w:val="33"/>
              <w:rPr>
                <w:color w:val="auto"/>
              </w:rPr>
            </w:pPr>
            <w:r>
              <w:rPr>
                <w:color w:val="auto"/>
              </w:rPr>
              <w:t>5</w:t>
            </w:r>
          </w:p>
        </w:tc>
        <w:tc>
          <w:tcPr>
            <w:tcW w:w="3828" w:type="dxa"/>
            <w:tcBorders>
              <w:top w:val="single" w:color="auto" w:sz="4" w:space="0"/>
              <w:left w:val="single" w:color="auto" w:sz="4" w:space="0"/>
              <w:bottom w:val="single" w:color="auto" w:sz="4" w:space="0"/>
              <w:right w:val="single" w:color="auto" w:sz="4" w:space="0"/>
            </w:tcBorders>
            <w:vAlign w:val="center"/>
          </w:tcPr>
          <w:p w14:paraId="40B48249">
            <w:pPr>
              <w:pStyle w:val="33"/>
              <w:jc w:val="left"/>
              <w:rPr>
                <w:color w:val="auto"/>
              </w:rPr>
            </w:pPr>
            <w:r>
              <w:rPr>
                <w:color w:val="auto"/>
              </w:rPr>
              <w:t>自备热电站锅炉、碱回收炉、石灰窑炉、硫酸制备装置采取合理的脱硫、脱硝和除尘措施，漂白、二氧化氯制备等环节采取有效的废气治理措施；优化蒸煮、洗涤、蒸发、碱回收等的设备选型，具有恶臭、VOCs等无组织气体排放的环节密闭收集废气并采取先进技术妥善处理，减少恶臭和VOCs等无组织废气排放。热电站锅炉满足《火电厂大气污染物排放标准》( GB 13223)要求，65蒸吨/小时以上碱回收炉参照《火电厂大气污染物排放标准》(G B13223)要求，65蒸吨/小时及以下碱回收炉参照《锅炉大气污染物排放标准》(GB13271)中生物质成型燃料锅炉的排放控制要求执行，其他常规和特征污染物排放满足《大气污染物综合排放标准》(G B16297工《工业炉窑大气污染物排放标准》(GB9078)《恶臭污染物排放标准》(GB14554)等要求。国家和地方另有严格要求的按其规定执行。京津冀、长三角、珠三角等区域新建项目不得配套建设自备燃煤电站。</w:t>
            </w:r>
          </w:p>
        </w:tc>
        <w:tc>
          <w:tcPr>
            <w:tcW w:w="3781" w:type="dxa"/>
            <w:tcBorders>
              <w:top w:val="single" w:color="auto" w:sz="4" w:space="0"/>
              <w:left w:val="single" w:color="auto" w:sz="4" w:space="0"/>
              <w:bottom w:val="single" w:color="auto" w:sz="4" w:space="0"/>
              <w:right w:val="single" w:color="auto" w:sz="4" w:space="0"/>
            </w:tcBorders>
            <w:vAlign w:val="center"/>
          </w:tcPr>
          <w:p w14:paraId="67F71358">
            <w:pPr>
              <w:pStyle w:val="33"/>
              <w:jc w:val="left"/>
              <w:rPr>
                <w:color w:val="auto"/>
              </w:rPr>
            </w:pPr>
            <w:r>
              <w:rPr>
                <w:rFonts w:hint="eastAsia"/>
                <w:color w:val="auto"/>
              </w:rPr>
              <w:t>项目不涉及锅炉，碱回收炉、石灰窑、固废锅炉、漂白、二氧化氯制备等设施。污水处理系统采取封闭、臭气集中处理措施，减少臭气排放。</w:t>
            </w:r>
          </w:p>
        </w:tc>
        <w:tc>
          <w:tcPr>
            <w:tcW w:w="1002" w:type="dxa"/>
            <w:tcBorders>
              <w:top w:val="single" w:color="auto" w:sz="4" w:space="0"/>
              <w:left w:val="single" w:color="auto" w:sz="4" w:space="0"/>
              <w:bottom w:val="single" w:color="auto" w:sz="4" w:space="0"/>
              <w:right w:val="single" w:color="auto" w:sz="4" w:space="0"/>
            </w:tcBorders>
            <w:vAlign w:val="center"/>
          </w:tcPr>
          <w:p w14:paraId="0CADF53B">
            <w:pPr>
              <w:pStyle w:val="33"/>
              <w:rPr>
                <w:color w:val="auto"/>
              </w:rPr>
            </w:pPr>
            <w:r>
              <w:rPr>
                <w:color w:val="auto"/>
              </w:rPr>
              <w:t>符合</w:t>
            </w:r>
          </w:p>
        </w:tc>
      </w:tr>
      <w:tr w14:paraId="29D0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54DAD9F3">
            <w:pPr>
              <w:pStyle w:val="33"/>
              <w:rPr>
                <w:color w:val="auto"/>
              </w:rPr>
            </w:pPr>
            <w:r>
              <w:rPr>
                <w:color w:val="auto"/>
              </w:rPr>
              <w:t>6</w:t>
            </w:r>
          </w:p>
        </w:tc>
        <w:tc>
          <w:tcPr>
            <w:tcW w:w="3828" w:type="dxa"/>
            <w:tcBorders>
              <w:top w:val="single" w:color="auto" w:sz="4" w:space="0"/>
              <w:left w:val="single" w:color="auto" w:sz="4" w:space="0"/>
              <w:bottom w:val="single" w:color="auto" w:sz="4" w:space="0"/>
              <w:right w:val="single" w:color="auto" w:sz="4" w:space="0"/>
            </w:tcBorders>
            <w:vAlign w:val="center"/>
          </w:tcPr>
          <w:p w14:paraId="6AE8239B">
            <w:pPr>
              <w:pStyle w:val="33"/>
              <w:jc w:val="left"/>
              <w:rPr>
                <w:color w:val="auto"/>
              </w:rPr>
            </w:pPr>
            <w:r>
              <w:rPr>
                <w:color w:val="auto"/>
              </w:rPr>
              <w:t>合理设置环境防护距离，环境防护距离内已有居民区、学校、医院等环境敏感目标的，应提出可行的处置方案。</w:t>
            </w:r>
          </w:p>
        </w:tc>
        <w:tc>
          <w:tcPr>
            <w:tcW w:w="3781" w:type="dxa"/>
            <w:tcBorders>
              <w:top w:val="single" w:color="auto" w:sz="4" w:space="0"/>
              <w:left w:val="single" w:color="auto" w:sz="4" w:space="0"/>
              <w:bottom w:val="single" w:color="auto" w:sz="4" w:space="0"/>
              <w:right w:val="single" w:color="auto" w:sz="4" w:space="0"/>
            </w:tcBorders>
            <w:vAlign w:val="center"/>
          </w:tcPr>
          <w:p w14:paraId="66AAD376">
            <w:pPr>
              <w:pStyle w:val="33"/>
              <w:jc w:val="left"/>
              <w:rPr>
                <w:color w:val="auto"/>
              </w:rPr>
            </w:pPr>
            <w:r>
              <w:rPr>
                <w:color w:val="auto"/>
              </w:rPr>
              <w:t>项目位于工业园区，周边规划为工业用地，</w:t>
            </w:r>
            <w:r>
              <w:rPr>
                <w:rFonts w:hint="eastAsia"/>
                <w:color w:val="auto"/>
              </w:rPr>
              <w:t>根据大气模拟预测结果，拟建项目无需设置大气环境防护距离，卫生防护距离内无居民区、学校、医院等环境敏感目标。</w:t>
            </w:r>
          </w:p>
        </w:tc>
        <w:tc>
          <w:tcPr>
            <w:tcW w:w="1002" w:type="dxa"/>
            <w:tcBorders>
              <w:top w:val="single" w:color="auto" w:sz="4" w:space="0"/>
              <w:left w:val="single" w:color="auto" w:sz="4" w:space="0"/>
              <w:bottom w:val="single" w:color="auto" w:sz="4" w:space="0"/>
              <w:right w:val="single" w:color="auto" w:sz="4" w:space="0"/>
            </w:tcBorders>
            <w:vAlign w:val="center"/>
          </w:tcPr>
          <w:p w14:paraId="427F5445">
            <w:pPr>
              <w:pStyle w:val="33"/>
              <w:rPr>
                <w:color w:val="auto"/>
              </w:rPr>
            </w:pPr>
            <w:r>
              <w:rPr>
                <w:color w:val="auto"/>
              </w:rPr>
              <w:t>符合</w:t>
            </w:r>
          </w:p>
        </w:tc>
      </w:tr>
      <w:tr w14:paraId="25990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492E7DA1">
            <w:pPr>
              <w:pStyle w:val="33"/>
              <w:rPr>
                <w:color w:val="auto"/>
              </w:rPr>
            </w:pPr>
            <w:r>
              <w:rPr>
                <w:color w:val="auto"/>
              </w:rPr>
              <w:t>7</w:t>
            </w:r>
          </w:p>
        </w:tc>
        <w:tc>
          <w:tcPr>
            <w:tcW w:w="3828" w:type="dxa"/>
            <w:tcBorders>
              <w:top w:val="single" w:color="auto" w:sz="4" w:space="0"/>
              <w:left w:val="single" w:color="auto" w:sz="4" w:space="0"/>
              <w:bottom w:val="single" w:color="auto" w:sz="4" w:space="0"/>
              <w:right w:val="single" w:color="auto" w:sz="4" w:space="0"/>
            </w:tcBorders>
            <w:vAlign w:val="center"/>
          </w:tcPr>
          <w:p w14:paraId="17967517">
            <w:pPr>
              <w:pStyle w:val="33"/>
              <w:jc w:val="left"/>
              <w:rPr>
                <w:color w:val="auto"/>
              </w:rPr>
            </w:pPr>
            <w:r>
              <w:rPr>
                <w:color w:val="auto"/>
              </w:rPr>
              <w:t>强化节水措施，减少新鲜水用量。取用地表水不得挤占生态用水、生活用水、农业用水等。废水分类收集、分质处理、优先回用。</w:t>
            </w:r>
          </w:p>
        </w:tc>
        <w:tc>
          <w:tcPr>
            <w:tcW w:w="3781" w:type="dxa"/>
            <w:tcBorders>
              <w:top w:val="single" w:color="auto" w:sz="4" w:space="0"/>
              <w:left w:val="single" w:color="auto" w:sz="4" w:space="0"/>
              <w:bottom w:val="single" w:color="auto" w:sz="4" w:space="0"/>
              <w:right w:val="single" w:color="auto" w:sz="4" w:space="0"/>
            </w:tcBorders>
            <w:vAlign w:val="center"/>
          </w:tcPr>
          <w:p w14:paraId="0216A08B">
            <w:pPr>
              <w:pStyle w:val="33"/>
              <w:jc w:val="left"/>
              <w:rPr>
                <w:color w:val="auto"/>
              </w:rPr>
            </w:pPr>
            <w:r>
              <w:rPr>
                <w:rFonts w:hint="eastAsia"/>
                <w:color w:val="auto"/>
              </w:rPr>
              <w:t>拟建项目各生产线清洁生产水平达到国际领先水平。项目生产所需清水和厂区生活用水都由公司现有给水站提供，供水能力完全满足拟建项目需求，不挤占生态用水、生活用水、农业用水等。本次建设有中水回用系统，回用部分中水。</w:t>
            </w:r>
          </w:p>
        </w:tc>
        <w:tc>
          <w:tcPr>
            <w:tcW w:w="1002" w:type="dxa"/>
            <w:tcBorders>
              <w:top w:val="single" w:color="auto" w:sz="4" w:space="0"/>
              <w:left w:val="single" w:color="auto" w:sz="4" w:space="0"/>
              <w:bottom w:val="single" w:color="auto" w:sz="4" w:space="0"/>
              <w:right w:val="single" w:color="auto" w:sz="4" w:space="0"/>
            </w:tcBorders>
            <w:vAlign w:val="center"/>
          </w:tcPr>
          <w:p w14:paraId="391995EA">
            <w:pPr>
              <w:pStyle w:val="33"/>
              <w:rPr>
                <w:color w:val="auto"/>
              </w:rPr>
            </w:pPr>
            <w:r>
              <w:rPr>
                <w:color w:val="auto"/>
              </w:rPr>
              <w:t>符合</w:t>
            </w:r>
          </w:p>
        </w:tc>
      </w:tr>
      <w:tr w14:paraId="3911F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7B79ABBA">
            <w:pPr>
              <w:pStyle w:val="33"/>
              <w:rPr>
                <w:color w:val="auto"/>
              </w:rPr>
            </w:pPr>
            <w:r>
              <w:rPr>
                <w:color w:val="auto"/>
              </w:rPr>
              <w:t>8</w:t>
            </w:r>
          </w:p>
        </w:tc>
        <w:tc>
          <w:tcPr>
            <w:tcW w:w="3828" w:type="dxa"/>
            <w:tcBorders>
              <w:top w:val="single" w:color="auto" w:sz="4" w:space="0"/>
              <w:left w:val="single" w:color="auto" w:sz="4" w:space="0"/>
              <w:bottom w:val="single" w:color="auto" w:sz="4" w:space="0"/>
              <w:right w:val="single" w:color="auto" w:sz="4" w:space="0"/>
            </w:tcBorders>
            <w:vAlign w:val="center"/>
          </w:tcPr>
          <w:p w14:paraId="05BE02E6">
            <w:pPr>
              <w:pStyle w:val="33"/>
              <w:jc w:val="left"/>
              <w:rPr>
                <w:color w:val="auto"/>
              </w:rPr>
            </w:pPr>
            <w:r>
              <w:rPr>
                <w:color w:val="auto"/>
              </w:rPr>
              <w:t>制浆工艺采取低污染制浆技术，碱法制浆设置碱回收系统，按法制浆设置木质素提取系统。漂白工艺不得采用元素氯漂白工艺。外排废水满足《制浆造纸工业水污染物排放标准》(GB3544)要求。采取分区防渗等措施，有效防范对地下水环境的不利影响。</w:t>
            </w:r>
          </w:p>
        </w:tc>
        <w:tc>
          <w:tcPr>
            <w:tcW w:w="3781" w:type="dxa"/>
            <w:tcBorders>
              <w:top w:val="single" w:color="auto" w:sz="4" w:space="0"/>
              <w:left w:val="single" w:color="auto" w:sz="4" w:space="0"/>
              <w:bottom w:val="single" w:color="auto" w:sz="4" w:space="0"/>
              <w:right w:val="single" w:color="auto" w:sz="4" w:space="0"/>
            </w:tcBorders>
            <w:vAlign w:val="center"/>
          </w:tcPr>
          <w:p w14:paraId="6581DCA3">
            <w:pPr>
              <w:pStyle w:val="33"/>
              <w:jc w:val="left"/>
              <w:rPr>
                <w:color w:val="auto"/>
              </w:rPr>
            </w:pPr>
            <w:r>
              <w:rPr>
                <w:rFonts w:hint="eastAsia"/>
                <w:color w:val="auto"/>
              </w:rPr>
              <w:t>本项目无新增制浆产能。外排废水污染物满足《制浆造纸工业水污染物排放标准》（GB3544-2008）表2中制浆和造纸联合生产企业排放限值要求，拟建项目采取分区防渗措施，运营期开展地下水环境质量自行监测，有效降低地下水环境影响</w:t>
            </w:r>
          </w:p>
        </w:tc>
        <w:tc>
          <w:tcPr>
            <w:tcW w:w="1002" w:type="dxa"/>
            <w:tcBorders>
              <w:top w:val="single" w:color="auto" w:sz="4" w:space="0"/>
              <w:left w:val="single" w:color="auto" w:sz="4" w:space="0"/>
              <w:bottom w:val="single" w:color="auto" w:sz="4" w:space="0"/>
              <w:right w:val="single" w:color="auto" w:sz="4" w:space="0"/>
            </w:tcBorders>
            <w:vAlign w:val="center"/>
          </w:tcPr>
          <w:p w14:paraId="41FA4410">
            <w:pPr>
              <w:pStyle w:val="33"/>
              <w:rPr>
                <w:color w:val="auto"/>
              </w:rPr>
            </w:pPr>
            <w:r>
              <w:rPr>
                <w:color w:val="auto"/>
              </w:rPr>
              <w:t>符合</w:t>
            </w:r>
          </w:p>
        </w:tc>
      </w:tr>
      <w:tr w14:paraId="3A219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00D9DE0D">
            <w:pPr>
              <w:pStyle w:val="33"/>
              <w:rPr>
                <w:color w:val="auto"/>
              </w:rPr>
            </w:pPr>
            <w:r>
              <w:rPr>
                <w:color w:val="auto"/>
              </w:rPr>
              <w:t>9</w:t>
            </w:r>
          </w:p>
        </w:tc>
        <w:tc>
          <w:tcPr>
            <w:tcW w:w="3828" w:type="dxa"/>
            <w:tcBorders>
              <w:top w:val="single" w:color="auto" w:sz="4" w:space="0"/>
              <w:left w:val="single" w:color="auto" w:sz="4" w:space="0"/>
              <w:bottom w:val="single" w:color="auto" w:sz="4" w:space="0"/>
              <w:right w:val="single" w:color="auto" w:sz="4" w:space="0"/>
            </w:tcBorders>
            <w:vAlign w:val="center"/>
          </w:tcPr>
          <w:p w14:paraId="412848E7">
            <w:pPr>
              <w:pStyle w:val="33"/>
              <w:jc w:val="left"/>
              <w:rPr>
                <w:color w:val="auto"/>
              </w:rPr>
            </w:pPr>
            <w:r>
              <w:rPr>
                <w:color w:val="auto"/>
              </w:rPr>
              <w:t>按照“减量化、资源化、无害化”的原则，对固体废物进行处理处置。固体废物贮存和处置满足相关污染控制技术规范和标准要求。</w:t>
            </w:r>
          </w:p>
        </w:tc>
        <w:tc>
          <w:tcPr>
            <w:tcW w:w="3781" w:type="dxa"/>
            <w:tcBorders>
              <w:top w:val="single" w:color="auto" w:sz="4" w:space="0"/>
              <w:left w:val="single" w:color="auto" w:sz="4" w:space="0"/>
              <w:bottom w:val="single" w:color="auto" w:sz="4" w:space="0"/>
              <w:right w:val="single" w:color="auto" w:sz="4" w:space="0"/>
            </w:tcBorders>
            <w:vAlign w:val="center"/>
          </w:tcPr>
          <w:p w14:paraId="418197E4">
            <w:pPr>
              <w:pStyle w:val="33"/>
              <w:jc w:val="left"/>
              <w:rPr>
                <w:color w:val="auto"/>
              </w:rPr>
            </w:pPr>
            <w:r>
              <w:rPr>
                <w:rFonts w:hint="eastAsia"/>
                <w:color w:val="auto"/>
              </w:rPr>
              <w:t>拟建项目产生的各类一般工业固体废物均得到综合利用或处理，危险废物均委托有资质单位处置，均采用相关规范规定的可行技术。固体废物暂存设施应按相关标准要求建设、运行和管理。</w:t>
            </w:r>
          </w:p>
        </w:tc>
        <w:tc>
          <w:tcPr>
            <w:tcW w:w="1002" w:type="dxa"/>
            <w:tcBorders>
              <w:top w:val="single" w:color="auto" w:sz="4" w:space="0"/>
              <w:left w:val="single" w:color="auto" w:sz="4" w:space="0"/>
              <w:bottom w:val="single" w:color="auto" w:sz="4" w:space="0"/>
              <w:right w:val="single" w:color="auto" w:sz="4" w:space="0"/>
            </w:tcBorders>
            <w:vAlign w:val="center"/>
          </w:tcPr>
          <w:p w14:paraId="23ACE032">
            <w:pPr>
              <w:pStyle w:val="33"/>
              <w:rPr>
                <w:color w:val="auto"/>
              </w:rPr>
            </w:pPr>
            <w:r>
              <w:rPr>
                <w:color w:val="auto"/>
              </w:rPr>
              <w:t>符合</w:t>
            </w:r>
          </w:p>
        </w:tc>
      </w:tr>
      <w:tr w14:paraId="72D81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75" w:type="dxa"/>
            <w:tcBorders>
              <w:top w:val="single" w:color="auto" w:sz="4" w:space="0"/>
              <w:left w:val="single" w:color="auto" w:sz="4" w:space="0"/>
              <w:bottom w:val="single" w:color="auto" w:sz="4" w:space="0"/>
              <w:right w:val="single" w:color="auto" w:sz="4" w:space="0"/>
            </w:tcBorders>
            <w:vAlign w:val="center"/>
          </w:tcPr>
          <w:p w14:paraId="35334E5F">
            <w:pPr>
              <w:pStyle w:val="33"/>
              <w:rPr>
                <w:color w:val="auto"/>
              </w:rPr>
            </w:pPr>
            <w:r>
              <w:rPr>
                <w:color w:val="auto"/>
              </w:rPr>
              <w:t>10</w:t>
            </w:r>
          </w:p>
        </w:tc>
        <w:tc>
          <w:tcPr>
            <w:tcW w:w="3828" w:type="dxa"/>
            <w:tcBorders>
              <w:top w:val="single" w:color="auto" w:sz="4" w:space="0"/>
              <w:left w:val="single" w:color="auto" w:sz="4" w:space="0"/>
              <w:bottom w:val="single" w:color="auto" w:sz="4" w:space="0"/>
              <w:right w:val="single" w:color="auto" w:sz="4" w:space="0"/>
            </w:tcBorders>
            <w:vAlign w:val="center"/>
          </w:tcPr>
          <w:p w14:paraId="0C52635D">
            <w:pPr>
              <w:pStyle w:val="33"/>
              <w:jc w:val="left"/>
              <w:rPr>
                <w:color w:val="auto"/>
              </w:rPr>
            </w:pPr>
            <w:r>
              <w:rPr>
                <w:color w:val="auto"/>
              </w:rPr>
              <w:t>厂区内重大危险源布局合理，提出有效的环境风险防范和应急措施。事故废水有效收集和妥善处理，不</w:t>
            </w:r>
            <w:r>
              <w:rPr>
                <w:rFonts w:hint="eastAsia"/>
                <w:color w:val="auto"/>
              </w:rPr>
              <w:t>直</w:t>
            </w:r>
            <w:r>
              <w:rPr>
                <w:color w:val="auto"/>
              </w:rPr>
              <w:t>接进</w:t>
            </w:r>
            <w:r>
              <w:rPr>
                <w:rFonts w:hint="eastAsia"/>
                <w:color w:val="auto"/>
              </w:rPr>
              <w:t>入</w:t>
            </w:r>
            <w:r>
              <w:rPr>
                <w:color w:val="auto"/>
              </w:rPr>
              <w:t>外环境。针对项目可能产生的环境风险制定有效的风险防范和应急措施，建立项目及区域环境风险防范与应急管理体系，提出运行期环境风险应急预案编制要求。</w:t>
            </w:r>
          </w:p>
        </w:tc>
        <w:tc>
          <w:tcPr>
            <w:tcW w:w="3781" w:type="dxa"/>
            <w:tcBorders>
              <w:top w:val="single" w:color="auto" w:sz="4" w:space="0"/>
              <w:left w:val="single" w:color="auto" w:sz="4" w:space="0"/>
              <w:bottom w:val="single" w:color="auto" w:sz="4" w:space="0"/>
              <w:right w:val="single" w:color="auto" w:sz="4" w:space="0"/>
            </w:tcBorders>
            <w:vAlign w:val="center"/>
          </w:tcPr>
          <w:p w14:paraId="4FBA99E3">
            <w:pPr>
              <w:pStyle w:val="33"/>
              <w:jc w:val="left"/>
              <w:rPr>
                <w:color w:val="auto"/>
              </w:rPr>
            </w:pPr>
            <w:bookmarkStart w:id="147" w:name="_Hlk101511700"/>
            <w:r>
              <w:rPr>
                <w:color w:val="auto"/>
              </w:rPr>
              <w:t>项目采取有效的风险防范和应急措施，建立环境风险应急管理体系。</w:t>
            </w:r>
            <w:bookmarkEnd w:id="147"/>
          </w:p>
        </w:tc>
        <w:tc>
          <w:tcPr>
            <w:tcW w:w="1002" w:type="dxa"/>
            <w:tcBorders>
              <w:top w:val="single" w:color="auto" w:sz="4" w:space="0"/>
              <w:left w:val="single" w:color="auto" w:sz="4" w:space="0"/>
              <w:bottom w:val="single" w:color="auto" w:sz="4" w:space="0"/>
              <w:right w:val="single" w:color="auto" w:sz="4" w:space="0"/>
            </w:tcBorders>
            <w:vAlign w:val="center"/>
          </w:tcPr>
          <w:p w14:paraId="44AE6EA9">
            <w:pPr>
              <w:pStyle w:val="33"/>
              <w:rPr>
                <w:color w:val="auto"/>
              </w:rPr>
            </w:pPr>
            <w:r>
              <w:rPr>
                <w:color w:val="auto"/>
              </w:rPr>
              <w:t>符合</w:t>
            </w:r>
          </w:p>
        </w:tc>
      </w:tr>
      <w:tr w14:paraId="62577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tcBorders>
              <w:top w:val="single" w:color="auto" w:sz="4" w:space="0"/>
              <w:left w:val="single" w:color="auto" w:sz="4" w:space="0"/>
              <w:bottom w:val="single" w:color="auto" w:sz="4" w:space="0"/>
              <w:right w:val="single" w:color="auto" w:sz="4" w:space="0"/>
            </w:tcBorders>
            <w:vAlign w:val="center"/>
          </w:tcPr>
          <w:p w14:paraId="661205E5">
            <w:pPr>
              <w:pStyle w:val="33"/>
              <w:rPr>
                <w:color w:val="auto"/>
              </w:rPr>
            </w:pPr>
            <w:r>
              <w:rPr>
                <w:color w:val="auto"/>
              </w:rPr>
              <w:t>11</w:t>
            </w:r>
          </w:p>
        </w:tc>
        <w:tc>
          <w:tcPr>
            <w:tcW w:w="3828" w:type="dxa"/>
            <w:tcBorders>
              <w:top w:val="single" w:color="auto" w:sz="4" w:space="0"/>
              <w:left w:val="single" w:color="auto" w:sz="4" w:space="0"/>
              <w:bottom w:val="single" w:color="auto" w:sz="4" w:space="0"/>
              <w:right w:val="single" w:color="auto" w:sz="4" w:space="0"/>
            </w:tcBorders>
            <w:vAlign w:val="center"/>
          </w:tcPr>
          <w:p w14:paraId="5C78FFA0">
            <w:pPr>
              <w:pStyle w:val="33"/>
              <w:jc w:val="left"/>
              <w:rPr>
                <w:color w:val="auto"/>
              </w:rPr>
            </w:pPr>
            <w:r>
              <w:rPr>
                <w:color w:val="auto"/>
              </w:rPr>
              <w:t>环境质量现状满足环境功能区要求的区域，项目实施后环境质量仍满足功能区要求；环境质量现状不能满足环境功能区要求的区域，进一步强化项目污染防治措施，并提出有效的区域削减措施，改善区域环境质量。</w:t>
            </w:r>
          </w:p>
        </w:tc>
        <w:tc>
          <w:tcPr>
            <w:tcW w:w="3781" w:type="dxa"/>
            <w:tcBorders>
              <w:top w:val="single" w:color="auto" w:sz="4" w:space="0"/>
              <w:left w:val="single" w:color="auto" w:sz="4" w:space="0"/>
              <w:bottom w:val="single" w:color="auto" w:sz="4" w:space="0"/>
              <w:right w:val="single" w:color="auto" w:sz="4" w:space="0"/>
            </w:tcBorders>
            <w:vAlign w:val="center"/>
          </w:tcPr>
          <w:p w14:paraId="28F38A5F">
            <w:pPr>
              <w:pStyle w:val="33"/>
              <w:jc w:val="left"/>
              <w:rPr>
                <w:color w:val="auto"/>
              </w:rPr>
            </w:pPr>
            <w:r>
              <w:rPr>
                <w:rFonts w:hint="eastAsia"/>
                <w:color w:val="auto"/>
              </w:rPr>
              <w:t>根据各要素环境质量现状情况，均可基本满足环境功能区要求，同时根据模拟预测结果，拟建项目建成后，对周边环境影响较小，不会导致区域环境质量恶化。</w:t>
            </w:r>
          </w:p>
        </w:tc>
        <w:tc>
          <w:tcPr>
            <w:tcW w:w="1002" w:type="dxa"/>
            <w:tcBorders>
              <w:top w:val="single" w:color="auto" w:sz="4" w:space="0"/>
              <w:left w:val="single" w:color="auto" w:sz="4" w:space="0"/>
              <w:bottom w:val="single" w:color="auto" w:sz="4" w:space="0"/>
              <w:right w:val="single" w:color="auto" w:sz="4" w:space="0"/>
            </w:tcBorders>
            <w:vAlign w:val="center"/>
          </w:tcPr>
          <w:p w14:paraId="221031E9">
            <w:pPr>
              <w:pStyle w:val="33"/>
              <w:rPr>
                <w:color w:val="auto"/>
              </w:rPr>
            </w:pPr>
            <w:r>
              <w:rPr>
                <w:color w:val="auto"/>
              </w:rPr>
              <w:t>符合</w:t>
            </w:r>
          </w:p>
        </w:tc>
      </w:tr>
      <w:tr w14:paraId="52FB1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5" w:type="dxa"/>
            <w:tcBorders>
              <w:top w:val="single" w:color="auto" w:sz="4" w:space="0"/>
              <w:left w:val="single" w:color="auto" w:sz="4" w:space="0"/>
              <w:bottom w:val="single" w:color="auto" w:sz="4" w:space="0"/>
              <w:right w:val="single" w:color="auto" w:sz="4" w:space="0"/>
            </w:tcBorders>
            <w:vAlign w:val="center"/>
          </w:tcPr>
          <w:p w14:paraId="4FA9AAF1">
            <w:pPr>
              <w:pStyle w:val="33"/>
              <w:rPr>
                <w:color w:val="auto"/>
              </w:rPr>
            </w:pPr>
            <w:r>
              <w:rPr>
                <w:color w:val="auto"/>
              </w:rPr>
              <w:t>12</w:t>
            </w:r>
          </w:p>
        </w:tc>
        <w:tc>
          <w:tcPr>
            <w:tcW w:w="3828" w:type="dxa"/>
            <w:tcBorders>
              <w:top w:val="single" w:color="auto" w:sz="4" w:space="0"/>
              <w:left w:val="single" w:color="auto" w:sz="4" w:space="0"/>
              <w:bottom w:val="single" w:color="auto" w:sz="4" w:space="0"/>
              <w:right w:val="single" w:color="auto" w:sz="4" w:space="0"/>
            </w:tcBorders>
            <w:vAlign w:val="center"/>
          </w:tcPr>
          <w:p w14:paraId="3B0FB3EC">
            <w:pPr>
              <w:pStyle w:val="33"/>
              <w:jc w:val="left"/>
              <w:rPr>
                <w:color w:val="auto"/>
              </w:rPr>
            </w:pPr>
            <w:r>
              <w:rPr>
                <w:color w:val="auto"/>
              </w:rPr>
              <w:t>明确项目实施后的环境管理要求和环境监测计划。制定完善的环境质量、常规和特征污染物排放、生态等的监测计划。按照国家规定，提出污染物排放自动监控要求并与环保部门联网。</w:t>
            </w:r>
          </w:p>
        </w:tc>
        <w:tc>
          <w:tcPr>
            <w:tcW w:w="3781" w:type="dxa"/>
            <w:tcBorders>
              <w:top w:val="single" w:color="auto" w:sz="4" w:space="0"/>
              <w:left w:val="single" w:color="auto" w:sz="4" w:space="0"/>
              <w:bottom w:val="single" w:color="auto" w:sz="4" w:space="0"/>
              <w:right w:val="single" w:color="auto" w:sz="4" w:space="0"/>
            </w:tcBorders>
            <w:vAlign w:val="center"/>
          </w:tcPr>
          <w:p w14:paraId="64762C70">
            <w:pPr>
              <w:pStyle w:val="33"/>
              <w:jc w:val="left"/>
              <w:rPr>
                <w:color w:val="auto"/>
              </w:rPr>
            </w:pPr>
            <w:r>
              <w:rPr>
                <w:color w:val="auto"/>
              </w:rPr>
              <w:t>本项目按相关管理要求制定详尽的环境管理要求和环境监测计划。</w:t>
            </w:r>
          </w:p>
        </w:tc>
        <w:tc>
          <w:tcPr>
            <w:tcW w:w="1002" w:type="dxa"/>
            <w:tcBorders>
              <w:top w:val="single" w:color="auto" w:sz="4" w:space="0"/>
              <w:left w:val="single" w:color="auto" w:sz="4" w:space="0"/>
              <w:bottom w:val="single" w:color="auto" w:sz="4" w:space="0"/>
              <w:right w:val="single" w:color="auto" w:sz="4" w:space="0"/>
            </w:tcBorders>
            <w:vAlign w:val="center"/>
          </w:tcPr>
          <w:p w14:paraId="2493BE5F">
            <w:pPr>
              <w:pStyle w:val="33"/>
              <w:rPr>
                <w:color w:val="auto"/>
              </w:rPr>
            </w:pPr>
            <w:r>
              <w:rPr>
                <w:color w:val="auto"/>
              </w:rPr>
              <w:t>符合</w:t>
            </w:r>
          </w:p>
        </w:tc>
      </w:tr>
    </w:tbl>
    <w:p w14:paraId="06647B68">
      <w:pPr>
        <w:pStyle w:val="5"/>
        <w:rPr>
          <w:rFonts w:cs="Times New Roman"/>
          <w:color w:val="auto"/>
        </w:rPr>
      </w:pPr>
      <w:r>
        <w:rPr>
          <w:rFonts w:hint="eastAsia" w:cs="Times New Roman"/>
          <w:color w:val="auto"/>
        </w:rPr>
        <w:t>与《空气质量持续改善行动计划》（国发〔2023〕24号）相符性分析</w:t>
      </w:r>
    </w:p>
    <w:p w14:paraId="57DEF269">
      <w:pPr>
        <w:ind w:firstLine="480"/>
        <w:rPr>
          <w:color w:val="auto"/>
        </w:rPr>
      </w:pPr>
      <w:r>
        <w:rPr>
          <w:rFonts w:hint="eastAsia"/>
          <w:color w:val="auto"/>
        </w:rPr>
        <w:t>行动计划总体要求：以习近平新时代中国特色社会主义思想为指导，全面贯彻党的二十大精神，深入贯彻习近平生态文明思想，落实全国生态环境保护大会部署，坚持稳中求进工作总基调，协同推进降碳、减污、扩绿、增长，以改善空气质量为核心，以减少重污染天气和解决人民群众身边的突出大气环境问题为重点，以降低细颗粒物（PM</w:t>
      </w:r>
      <w:r>
        <w:rPr>
          <w:color w:val="auto"/>
          <w:vertAlign w:val="subscript"/>
        </w:rPr>
        <w:t>2.5</w:t>
      </w:r>
      <w:r>
        <w:rPr>
          <w:rFonts w:hint="eastAsia"/>
          <w:color w:val="auto"/>
        </w:rPr>
        <w:t>）浓度为主线，大力推动氮氧化物和挥发性有机物（VOCs）减排；开展区域协同治理，突出精准、科学、依法治污，完善大气环境管理体系，提升污染防治能力；远近结合研究谋划大气污染防治路径，扎实推进产业、能源、交通绿色低碳转型，强化面源污染治理，加强源头防控，加快形成绿色低碳生产生活方式，实现环境效益、经济效益和社会效益多赢。到2025年，全国地级及以上城市PM</w:t>
      </w:r>
      <w:r>
        <w:rPr>
          <w:rFonts w:hint="eastAsia"/>
          <w:color w:val="auto"/>
          <w:vertAlign w:val="subscript"/>
        </w:rPr>
        <w:t>2.5</w:t>
      </w:r>
      <w:r>
        <w:rPr>
          <w:rFonts w:hint="eastAsia"/>
          <w:color w:val="auto"/>
        </w:rPr>
        <w:t>浓度比2020年下降10%，重度及以上污染天数比率控制在1%以内；氮氧化物和VOCs排放总量比2020年分别下降10%以上。</w:t>
      </w:r>
    </w:p>
    <w:p w14:paraId="1F0697BD">
      <w:pPr>
        <w:ind w:firstLine="480"/>
        <w:rPr>
          <w:color w:val="auto"/>
        </w:rPr>
      </w:pPr>
      <w:r>
        <w:rPr>
          <w:rFonts w:hint="eastAsia"/>
          <w:color w:val="auto"/>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p w14:paraId="5AF7EF39">
      <w:pPr>
        <w:ind w:firstLine="480"/>
        <w:rPr>
          <w:color w:val="auto"/>
        </w:rPr>
      </w:pPr>
      <w:r>
        <w:rPr>
          <w:rFonts w:hint="eastAsia"/>
          <w:color w:val="auto"/>
        </w:rPr>
        <w:t>本项目为造纸项目，不属于“两高”项目。项目建设符合国家及地方产业政策要求，符合《钦州市生态环境分区管控动态更新成果（2023版）》相关生态环境准入及管控要求，且与《广西钦州林浆纸产业园发展规划（2024-2035）环境影响报告书》及审查意见相符。项目造纸车间天然气燃烧工段产生的含氮氧化物烟气经车间顶部排气筒排放。在运输方式上，项目建成后主要依托铁路及公路运输。由此，本项目符合《空气质量持续改善行动计划》（国发〔2023〕24号）相关要求。</w:t>
      </w:r>
    </w:p>
    <w:p w14:paraId="6F54A9FE">
      <w:pPr>
        <w:pStyle w:val="5"/>
        <w:rPr>
          <w:color w:val="auto"/>
        </w:rPr>
      </w:pPr>
      <w:r>
        <w:rPr>
          <w:rFonts w:hint="eastAsia"/>
          <w:color w:val="auto"/>
        </w:rPr>
        <w:t>项目与“两高”政策符合性分析</w:t>
      </w:r>
    </w:p>
    <w:p w14:paraId="1E0A7148">
      <w:pPr>
        <w:ind w:firstLine="480"/>
        <w:rPr>
          <w:color w:val="auto"/>
        </w:rPr>
      </w:pPr>
      <w:r>
        <w:rPr>
          <w:rFonts w:hint="eastAsia"/>
          <w:color w:val="auto"/>
        </w:rPr>
        <w:t>根据生态环境部《关于加强重点行业建设项目区域削减措施监督管理的通知》（环办环评〔2020〕36 号），为改善区域环境质量，严格控制重点行业建设项目（石化、煤化工、燃煤发电（含热电）、钢铁、有色金属冶炼、制浆造纸行业）新增主要污染物排放，所在区域、流域控制单元环境质量达到国家或者地方环境质量标准的，原则上建设项目主要污染物实行区域等量削减，确保项目投产后区域环境质量不恶化。</w:t>
      </w:r>
    </w:p>
    <w:p w14:paraId="5E7E838F">
      <w:pPr>
        <w:ind w:firstLine="480"/>
        <w:rPr>
          <w:color w:val="auto"/>
        </w:rPr>
      </w:pPr>
      <w:r>
        <w:rPr>
          <w:rFonts w:hint="eastAsia"/>
          <w:color w:val="auto"/>
        </w:rPr>
        <w:t>本项目为造纸项目，采用外购浆板进行抄纸，不涉及制浆工艺，不属于上述文件界定的“制浆造纸行业”中的制浆环节，故根据广西生态环境厅管理要求，本项目可不进行主要污染物区域等量削减、调剂与分配。根据生态环境部《关于加强高耗能、高排放建设项目生态环境源头防控的指导意见》（环环评〔2021〕45号），“两高”项目暂按煤电、石化、化工、钢铁、有色金属冶炼、建材等六个行业类别统计，造纸行业不在上述“两高”行业范围内。综上本项目符合《关于加强重点行业建设项目区域削减措施监督管理的通知》（环办环评〔2020〕36号）及相关“两高”政策要求。</w:t>
      </w:r>
    </w:p>
    <w:p w14:paraId="74A13512">
      <w:pPr>
        <w:pStyle w:val="5"/>
        <w:rPr>
          <w:rFonts w:cs="Times New Roman"/>
          <w:color w:val="auto"/>
        </w:rPr>
      </w:pPr>
      <w:r>
        <w:rPr>
          <w:rFonts w:cs="Times New Roman"/>
          <w:color w:val="auto"/>
        </w:rPr>
        <w:t>与《地下水管理条例》的符合性分析</w:t>
      </w:r>
    </w:p>
    <w:p w14:paraId="677DEBCC">
      <w:pPr>
        <w:ind w:firstLine="480"/>
        <w:rPr>
          <w:rFonts w:cs="Times New Roman"/>
          <w:color w:val="auto"/>
        </w:rPr>
      </w:pPr>
      <w:r>
        <w:rPr>
          <w:rFonts w:cs="Times New Roman"/>
          <w:color w:val="auto"/>
        </w:rPr>
        <w:t>项目与《地下水管理条例》（国令第748号，2021年12月1日施行）相符，符合性分析见下表。</w:t>
      </w:r>
    </w:p>
    <w:p w14:paraId="64CBDF7A">
      <w:pPr>
        <w:pStyle w:val="7"/>
        <w:rPr>
          <w:color w:val="auto"/>
        </w:rPr>
      </w:pPr>
      <w:r>
        <w:rPr>
          <w:color w:val="auto"/>
        </w:rPr>
        <w:t>与《地下水管理条例》符合性分析</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51"/>
        <w:gridCol w:w="3260"/>
        <w:gridCol w:w="675"/>
      </w:tblGrid>
      <w:tr w14:paraId="21662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tblHeader/>
        </w:trPr>
        <w:tc>
          <w:tcPr>
            <w:tcW w:w="5351" w:type="dxa"/>
            <w:vAlign w:val="center"/>
          </w:tcPr>
          <w:p w14:paraId="7C493A83">
            <w:pPr>
              <w:pStyle w:val="33"/>
              <w:rPr>
                <w:color w:val="auto"/>
              </w:rPr>
            </w:pPr>
            <w:r>
              <w:rPr>
                <w:color w:val="auto"/>
              </w:rPr>
              <w:t>《地下水管理条例》要求</w:t>
            </w:r>
          </w:p>
        </w:tc>
        <w:tc>
          <w:tcPr>
            <w:tcW w:w="3260" w:type="dxa"/>
            <w:vAlign w:val="center"/>
          </w:tcPr>
          <w:p w14:paraId="2056A2B6">
            <w:pPr>
              <w:pStyle w:val="33"/>
              <w:rPr>
                <w:color w:val="auto"/>
              </w:rPr>
            </w:pPr>
            <w:r>
              <w:rPr>
                <w:color w:val="auto"/>
              </w:rPr>
              <w:t>本项目情况</w:t>
            </w:r>
          </w:p>
        </w:tc>
        <w:tc>
          <w:tcPr>
            <w:tcW w:w="675" w:type="dxa"/>
            <w:vAlign w:val="center"/>
          </w:tcPr>
          <w:p w14:paraId="36ACE1FB">
            <w:pPr>
              <w:pStyle w:val="33"/>
              <w:rPr>
                <w:color w:val="auto"/>
              </w:rPr>
            </w:pPr>
            <w:r>
              <w:rPr>
                <w:color w:val="auto"/>
              </w:rPr>
              <w:t>符合性</w:t>
            </w:r>
          </w:p>
        </w:tc>
      </w:tr>
      <w:tr w14:paraId="1CC1A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66F55239">
            <w:pPr>
              <w:pStyle w:val="33"/>
              <w:jc w:val="left"/>
              <w:rPr>
                <w:color w:val="auto"/>
              </w:rPr>
            </w:pPr>
            <w:r>
              <w:rPr>
                <w:color w:val="auto"/>
              </w:rPr>
              <w:t>利用地下水的单位和个人应当加强地下水取水工程管理，节约、保护地下水，防止地下水污染。</w:t>
            </w:r>
          </w:p>
        </w:tc>
        <w:tc>
          <w:tcPr>
            <w:tcW w:w="3260" w:type="dxa"/>
            <w:vAlign w:val="center"/>
          </w:tcPr>
          <w:p w14:paraId="6C60447F">
            <w:pPr>
              <w:pStyle w:val="33"/>
              <w:jc w:val="left"/>
              <w:rPr>
                <w:color w:val="auto"/>
              </w:rPr>
            </w:pPr>
            <w:r>
              <w:rPr>
                <w:rFonts w:hint="eastAsia"/>
                <w:color w:val="auto"/>
              </w:rPr>
              <w:t>项目生产所需清水和厂区生活用水都由公司现有给水站提供，</w:t>
            </w:r>
            <w:r>
              <w:rPr>
                <w:color w:val="auto"/>
              </w:rPr>
              <w:t>未涉及地下水取水。</w:t>
            </w:r>
          </w:p>
        </w:tc>
        <w:tc>
          <w:tcPr>
            <w:tcW w:w="675" w:type="dxa"/>
            <w:vAlign w:val="center"/>
          </w:tcPr>
          <w:p w14:paraId="4430BCA4">
            <w:pPr>
              <w:pStyle w:val="33"/>
              <w:rPr>
                <w:color w:val="auto"/>
              </w:rPr>
            </w:pPr>
            <w:r>
              <w:rPr>
                <w:color w:val="auto"/>
              </w:rPr>
              <w:t>符合</w:t>
            </w:r>
          </w:p>
        </w:tc>
      </w:tr>
      <w:tr w14:paraId="4F886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4C2A2F9E">
            <w:pPr>
              <w:pStyle w:val="33"/>
              <w:jc w:val="left"/>
              <w:rPr>
                <w:color w:val="auto"/>
              </w:rPr>
            </w:pPr>
            <w:r>
              <w:rPr>
                <w:color w:val="auto"/>
              </w:rPr>
              <w:t>取用地下水的单位和个人应当遵守取水总量控制和定额管理要求，使用先进节约用水技术、工艺和设备，采取循环用水、综合利用及废水处理回用等措施，实施技术改造，降低用水消耗。</w:t>
            </w:r>
          </w:p>
          <w:p w14:paraId="09718C01">
            <w:pPr>
              <w:pStyle w:val="33"/>
              <w:jc w:val="left"/>
              <w:rPr>
                <w:color w:val="auto"/>
              </w:rPr>
            </w:pPr>
            <w:r>
              <w:rPr>
                <w:color w:val="auto"/>
              </w:rPr>
              <w:t>对下列工艺、设备和产品，应当在规定的期限内停止生产、销售、进口或者使用：1.列入淘汰落后的、耗水量高的工艺、设备和产品名录的；2.列入限期禁止采用的严重污染水环境的工艺名录和限期禁止生产、销售、进口、使用的严重污染水环境的设备名录的。</w:t>
            </w:r>
          </w:p>
        </w:tc>
        <w:tc>
          <w:tcPr>
            <w:tcW w:w="3260" w:type="dxa"/>
            <w:vAlign w:val="center"/>
          </w:tcPr>
          <w:p w14:paraId="6414C067">
            <w:pPr>
              <w:pStyle w:val="33"/>
              <w:jc w:val="left"/>
              <w:rPr>
                <w:color w:val="auto"/>
              </w:rPr>
            </w:pPr>
            <w:r>
              <w:rPr>
                <w:rFonts w:hint="eastAsia"/>
                <w:color w:val="auto"/>
              </w:rPr>
              <w:t>项目生产所需清水和厂区生活用水都由公司现有给水站提供，</w:t>
            </w:r>
            <w:r>
              <w:rPr>
                <w:color w:val="auto"/>
              </w:rPr>
              <w:t>未涉及地下水取水。项目不涉及国家产业政策中规定的限制类、淘汰类，项目采用先进的技术、工艺，达到国内同行业领先水平或国际先进水平。</w:t>
            </w:r>
          </w:p>
        </w:tc>
        <w:tc>
          <w:tcPr>
            <w:tcW w:w="675" w:type="dxa"/>
            <w:vAlign w:val="center"/>
          </w:tcPr>
          <w:p w14:paraId="0B26188C">
            <w:pPr>
              <w:pStyle w:val="33"/>
              <w:rPr>
                <w:color w:val="auto"/>
              </w:rPr>
            </w:pPr>
            <w:r>
              <w:rPr>
                <w:color w:val="auto"/>
              </w:rPr>
              <w:t>符合</w:t>
            </w:r>
          </w:p>
        </w:tc>
      </w:tr>
      <w:tr w14:paraId="5CB85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3DE1ED64">
            <w:pPr>
              <w:pStyle w:val="33"/>
              <w:jc w:val="left"/>
              <w:rPr>
                <w:color w:val="auto"/>
              </w:rPr>
            </w:pPr>
            <w:r>
              <w:rPr>
                <w:color w:val="auto"/>
              </w:rPr>
              <w:t>新建、改建、扩建地下水取水工程，应当同时安装计量设施。已有地下水取水工程未安装计量设施的，应当按照县级以上地方人民政府水行政主管部门规定的期限安装。单位和个人取用地下水量达到取水规模以上的，应当安装地下水取水在线计量设施，并将计量数据实时传输到有管理权限的水行政主管部门。取水规模由省、自治区、直辖市人民政府水行政主管部门制定、公布，并报国务院水行政主管部门备案。</w:t>
            </w:r>
          </w:p>
        </w:tc>
        <w:tc>
          <w:tcPr>
            <w:tcW w:w="3260" w:type="dxa"/>
            <w:vAlign w:val="center"/>
          </w:tcPr>
          <w:p w14:paraId="1F5CE342">
            <w:pPr>
              <w:pStyle w:val="33"/>
              <w:jc w:val="left"/>
              <w:rPr>
                <w:color w:val="auto"/>
              </w:rPr>
            </w:pPr>
            <w:r>
              <w:rPr>
                <w:rFonts w:hint="eastAsia"/>
                <w:color w:val="auto"/>
              </w:rPr>
              <w:t>项目生产所需清水和厂区生活用水都由公司现有给水站提供，</w:t>
            </w:r>
            <w:r>
              <w:rPr>
                <w:color w:val="auto"/>
              </w:rPr>
              <w:t>未涉及地下水取水。</w:t>
            </w:r>
          </w:p>
        </w:tc>
        <w:tc>
          <w:tcPr>
            <w:tcW w:w="675" w:type="dxa"/>
            <w:vAlign w:val="center"/>
          </w:tcPr>
          <w:p w14:paraId="49870ADB">
            <w:pPr>
              <w:pStyle w:val="33"/>
              <w:rPr>
                <w:color w:val="auto"/>
              </w:rPr>
            </w:pPr>
            <w:r>
              <w:rPr>
                <w:color w:val="auto"/>
              </w:rPr>
              <w:t>符合</w:t>
            </w:r>
          </w:p>
        </w:tc>
      </w:tr>
      <w:tr w14:paraId="51ACF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25E2AF34">
            <w:pPr>
              <w:pStyle w:val="33"/>
              <w:jc w:val="left"/>
              <w:rPr>
                <w:color w:val="auto"/>
              </w:rPr>
            </w:pPr>
            <w:r>
              <w:rPr>
                <w:color w:val="auto"/>
              </w:rPr>
              <w:t>建设单位和个人应当采取措施防止地下工程建设对地下水补给、径流、排泄等造成重大不利影响。对开挖达到一定深度或者达到一定排水规模的地下工程，建设单位和个人应当于工程开工前，将工程建设方案和防止对地下水产生不利影响的措施方案报有管理权限的水行政主管部门备案。开挖深度和排水规模由省、自治区、直辖市人民政府制定、公布。</w:t>
            </w:r>
          </w:p>
        </w:tc>
        <w:tc>
          <w:tcPr>
            <w:tcW w:w="3260" w:type="dxa"/>
            <w:vAlign w:val="center"/>
          </w:tcPr>
          <w:p w14:paraId="04681A23">
            <w:pPr>
              <w:pStyle w:val="33"/>
              <w:jc w:val="left"/>
              <w:rPr>
                <w:color w:val="auto"/>
              </w:rPr>
            </w:pPr>
            <w:r>
              <w:rPr>
                <w:color w:val="auto"/>
              </w:rPr>
              <w:t>本项目地下工程建设深度较浅，绝大部分均为地面工程，规范设计施工，不会对地下水补给、径流、排泄等造成重大不利影响。</w:t>
            </w:r>
          </w:p>
        </w:tc>
        <w:tc>
          <w:tcPr>
            <w:tcW w:w="675" w:type="dxa"/>
            <w:vAlign w:val="center"/>
          </w:tcPr>
          <w:p w14:paraId="28BF65B1">
            <w:pPr>
              <w:pStyle w:val="33"/>
              <w:rPr>
                <w:color w:val="auto"/>
              </w:rPr>
            </w:pPr>
            <w:r>
              <w:rPr>
                <w:color w:val="auto"/>
              </w:rPr>
              <w:t>符合</w:t>
            </w:r>
          </w:p>
        </w:tc>
      </w:tr>
      <w:tr w14:paraId="60165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7421AA28">
            <w:pPr>
              <w:pStyle w:val="33"/>
              <w:jc w:val="left"/>
              <w:rPr>
                <w:color w:val="auto"/>
              </w:rPr>
            </w:pPr>
            <w:r>
              <w:rPr>
                <w:color w:val="auto"/>
              </w:rPr>
              <w:t>禁止下列污染或者可能污染地下水的行为：</w:t>
            </w:r>
          </w:p>
          <w:p w14:paraId="4A89BC9D">
            <w:pPr>
              <w:pStyle w:val="33"/>
              <w:jc w:val="left"/>
              <w:rPr>
                <w:color w:val="auto"/>
              </w:rPr>
            </w:pPr>
            <w:r>
              <w:rPr>
                <w:color w:val="auto"/>
              </w:rPr>
              <w:t>1.利用渗井、渗坑、裂隙、溶洞以及私设暗管等逃避监管的方式排放水污染物；</w:t>
            </w:r>
          </w:p>
          <w:p w14:paraId="2115A515">
            <w:pPr>
              <w:pStyle w:val="33"/>
              <w:jc w:val="left"/>
              <w:rPr>
                <w:color w:val="auto"/>
              </w:rPr>
            </w:pPr>
            <w:r>
              <w:rPr>
                <w:color w:val="auto"/>
              </w:rPr>
              <w:t>2.利用岩层孔隙、裂隙、溶洞、废弃矿坑等贮存石化原料及产品、农药、危险废物、城镇污水处理设施产生的污泥和处理后的污泥或者其他有毒有害物质；</w:t>
            </w:r>
          </w:p>
          <w:p w14:paraId="566AEC7F">
            <w:pPr>
              <w:pStyle w:val="33"/>
              <w:jc w:val="left"/>
              <w:rPr>
                <w:color w:val="auto"/>
              </w:rPr>
            </w:pPr>
            <w:r>
              <w:rPr>
                <w:color w:val="auto"/>
              </w:rPr>
              <w:t>3.利用无防渗漏措施的沟渠、坑塘等输送或者贮存含有毒污染物的废水、含病原体的污水和其他废弃物；</w:t>
            </w:r>
          </w:p>
          <w:p w14:paraId="5EFFA41E">
            <w:pPr>
              <w:pStyle w:val="33"/>
              <w:jc w:val="left"/>
              <w:rPr>
                <w:color w:val="auto"/>
              </w:rPr>
            </w:pPr>
            <w:r>
              <w:rPr>
                <w:color w:val="auto"/>
              </w:rPr>
              <w:t>4.法律、法规禁止的其他污染或者可能污染地下水的行为。</w:t>
            </w:r>
          </w:p>
        </w:tc>
        <w:tc>
          <w:tcPr>
            <w:tcW w:w="3260" w:type="dxa"/>
            <w:vAlign w:val="center"/>
          </w:tcPr>
          <w:p w14:paraId="104806E4">
            <w:pPr>
              <w:pStyle w:val="33"/>
              <w:jc w:val="left"/>
              <w:rPr>
                <w:color w:val="auto"/>
              </w:rPr>
            </w:pPr>
            <w:r>
              <w:rPr>
                <w:color w:val="auto"/>
              </w:rPr>
              <w:t>项目废水排入</w:t>
            </w:r>
            <w:r>
              <w:rPr>
                <w:rFonts w:hint="eastAsia"/>
                <w:color w:val="auto"/>
              </w:rPr>
              <w:t>厂区内污水处理站处理达标后由A2排污区深海排放；</w:t>
            </w:r>
            <w:r>
              <w:rPr>
                <w:color w:val="auto"/>
              </w:rPr>
              <w:t>项目产生的一般工业固废贮存满足</w:t>
            </w:r>
            <w:r>
              <w:rPr>
                <w:rFonts w:hint="eastAsia"/>
                <w:color w:val="auto"/>
              </w:rPr>
              <w:t>《生态环境部办公厅印发关于&lt;一般工业固体废物环境管理工作指南&gt;的通知》（环办固体函〔2026〕18号）</w:t>
            </w:r>
            <w:r>
              <w:rPr>
                <w:color w:val="auto"/>
              </w:rPr>
              <w:t>；危险废物贮存满足《危险废物贮存污染控制标准》（GB18597-2023）要求。本项目固体废物均能得到妥善处置，不会对地下水造成不良影响。</w:t>
            </w:r>
          </w:p>
        </w:tc>
        <w:tc>
          <w:tcPr>
            <w:tcW w:w="675" w:type="dxa"/>
            <w:vAlign w:val="center"/>
          </w:tcPr>
          <w:p w14:paraId="363D1333">
            <w:pPr>
              <w:pStyle w:val="33"/>
              <w:rPr>
                <w:color w:val="auto"/>
              </w:rPr>
            </w:pPr>
            <w:r>
              <w:rPr>
                <w:color w:val="auto"/>
              </w:rPr>
              <w:t>符合</w:t>
            </w:r>
          </w:p>
        </w:tc>
      </w:tr>
      <w:tr w14:paraId="18ADA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5358DA0E">
            <w:pPr>
              <w:pStyle w:val="33"/>
              <w:jc w:val="left"/>
              <w:rPr>
                <w:color w:val="auto"/>
              </w:rPr>
            </w:pPr>
            <w:r>
              <w:rPr>
                <w:color w:val="auto"/>
              </w:rPr>
              <w:t>企业事业单位和其他生产经营者应当采取下列措施，防止地下水污染：1.兴建地下工程设施或者进行地下勘探、采矿等活动，依法编制的环境影响评价文件中，应当包括地下水污染防治的内容，并采取防护性措施；2.化学品生产企业以及工业集聚区、矿山开采区、尾矿库、危险废物处置场、垃圾填埋场等的运营、管理单位，应当采取防渗漏等措施，并建设地下水水质监测井进行监测；3.加油站等的地下油罐应当使用双层罐或者采取建造防渗池等其他有效措施，并进行防渗漏监测；4.存放可溶性剧毒废渣的场所，应当采取防水、防渗漏、防流失的措施；5.法律、法规规定应当采取的其他防止地下水污染的措施。</w:t>
            </w:r>
          </w:p>
        </w:tc>
        <w:tc>
          <w:tcPr>
            <w:tcW w:w="3260" w:type="dxa"/>
            <w:vAlign w:val="center"/>
          </w:tcPr>
          <w:p w14:paraId="12B23BC8">
            <w:pPr>
              <w:pStyle w:val="33"/>
              <w:jc w:val="left"/>
              <w:rPr>
                <w:color w:val="auto"/>
              </w:rPr>
            </w:pPr>
            <w:r>
              <w:rPr>
                <w:color w:val="auto"/>
              </w:rPr>
              <w:t>本项目从污染物的产生、入渗、扩散、应急响应全方位进行控制。采取分区防渗措施，对危废暂存间、罐区等进行重点防渗，对一般固废暂存间等进行一般防渗。防止对区域地下水环境的影响。</w:t>
            </w:r>
          </w:p>
        </w:tc>
        <w:tc>
          <w:tcPr>
            <w:tcW w:w="675" w:type="dxa"/>
            <w:vAlign w:val="center"/>
          </w:tcPr>
          <w:p w14:paraId="5AAC2253">
            <w:pPr>
              <w:pStyle w:val="33"/>
              <w:rPr>
                <w:color w:val="auto"/>
              </w:rPr>
            </w:pPr>
            <w:r>
              <w:rPr>
                <w:color w:val="auto"/>
              </w:rPr>
              <w:t>符合</w:t>
            </w:r>
          </w:p>
        </w:tc>
      </w:tr>
      <w:tr w14:paraId="6C132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59C3AA12">
            <w:pPr>
              <w:pStyle w:val="33"/>
              <w:jc w:val="left"/>
              <w:rPr>
                <w:color w:val="auto"/>
              </w:rPr>
            </w:pPr>
            <w:r>
              <w:rPr>
                <w:color w:val="auto"/>
              </w:rPr>
              <w:t>在泉域保护范围以及岩溶强发育、存在较多落水洞和岩溶漏斗的区域内，不得新建、改建、扩建可能造成地下水污染的建设项目。</w:t>
            </w:r>
          </w:p>
        </w:tc>
        <w:tc>
          <w:tcPr>
            <w:tcW w:w="3260" w:type="dxa"/>
            <w:vAlign w:val="center"/>
          </w:tcPr>
          <w:p w14:paraId="426066BB">
            <w:pPr>
              <w:pStyle w:val="33"/>
              <w:jc w:val="left"/>
              <w:rPr>
                <w:color w:val="auto"/>
              </w:rPr>
            </w:pPr>
            <w:r>
              <w:rPr>
                <w:rFonts w:hint="eastAsia"/>
                <w:color w:val="auto"/>
              </w:rPr>
              <w:t>本项目位于香炉墩水文地质单元I</w:t>
            </w:r>
            <w:r>
              <w:rPr>
                <w:rFonts w:hint="eastAsia"/>
                <w:color w:val="auto"/>
                <w:vertAlign w:val="subscript"/>
              </w:rPr>
              <w:t>2</w:t>
            </w:r>
            <w:r>
              <w:rPr>
                <w:rFonts w:hint="eastAsia"/>
                <w:color w:val="auto"/>
              </w:rPr>
              <w:t>，该水文地质单元地下水类型区域南部为松散岩类孔隙水，北部为碎屑岩类裂隙孔隙水，地下水呈放射状最终汇入钦州湾。</w:t>
            </w:r>
            <w:r>
              <w:rPr>
                <w:color w:val="auto"/>
              </w:rPr>
              <w:t>项目所在区域不在泉域保护范围，不属于岩溶强发育、存在较多落水洞和岩溶漏斗的区域。</w:t>
            </w:r>
          </w:p>
        </w:tc>
        <w:tc>
          <w:tcPr>
            <w:tcW w:w="675" w:type="dxa"/>
            <w:vAlign w:val="center"/>
          </w:tcPr>
          <w:p w14:paraId="0751E6E2">
            <w:pPr>
              <w:pStyle w:val="33"/>
              <w:rPr>
                <w:color w:val="auto"/>
              </w:rPr>
            </w:pPr>
            <w:r>
              <w:rPr>
                <w:color w:val="auto"/>
              </w:rPr>
              <w:t>符合</w:t>
            </w:r>
          </w:p>
        </w:tc>
      </w:tr>
      <w:tr w14:paraId="1AECD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51" w:type="dxa"/>
            <w:vAlign w:val="center"/>
          </w:tcPr>
          <w:p w14:paraId="351F5D65">
            <w:pPr>
              <w:pStyle w:val="33"/>
              <w:jc w:val="left"/>
              <w:rPr>
                <w:color w:val="auto"/>
              </w:rPr>
            </w:pPr>
            <w:r>
              <w:rPr>
                <w:color w:val="auto"/>
              </w:rPr>
              <w:t>任何单位和个人不得侵占、毁坏或者擅自移动地下水监测设施设备及其标志。新建、改建、扩建建设工程应当避开地下水监测设施设备；确实无法避开、需要拆除地下水监测设施设备的，应当由县级以上人民政府水行政、自然资源、生态环境等主管部门按照有关技术要求组织迁建，迁建费用由建设单位承担。任何单位和个人不得篡改、伪造地下水监测数据。</w:t>
            </w:r>
          </w:p>
        </w:tc>
        <w:tc>
          <w:tcPr>
            <w:tcW w:w="3260" w:type="dxa"/>
            <w:vAlign w:val="center"/>
          </w:tcPr>
          <w:p w14:paraId="0F4EBDE4">
            <w:pPr>
              <w:pStyle w:val="33"/>
              <w:jc w:val="left"/>
              <w:rPr>
                <w:color w:val="auto"/>
              </w:rPr>
            </w:pPr>
            <w:r>
              <w:rPr>
                <w:color w:val="auto"/>
              </w:rPr>
              <w:t>项目于合适位置设置监测井进行跟踪监测，不会对已有地下水监测设施设备造成影响。</w:t>
            </w:r>
          </w:p>
        </w:tc>
        <w:tc>
          <w:tcPr>
            <w:tcW w:w="675" w:type="dxa"/>
            <w:vAlign w:val="center"/>
          </w:tcPr>
          <w:p w14:paraId="5AD79145">
            <w:pPr>
              <w:pStyle w:val="33"/>
              <w:rPr>
                <w:color w:val="auto"/>
              </w:rPr>
            </w:pPr>
            <w:r>
              <w:rPr>
                <w:color w:val="auto"/>
              </w:rPr>
              <w:t>符合</w:t>
            </w:r>
          </w:p>
        </w:tc>
      </w:tr>
    </w:tbl>
    <w:p w14:paraId="0BB96294">
      <w:pPr>
        <w:ind w:firstLine="480"/>
        <w:rPr>
          <w:rFonts w:cs="Times New Roman"/>
          <w:color w:val="auto"/>
        </w:rPr>
      </w:pPr>
    </w:p>
    <w:p w14:paraId="62077B17">
      <w:pPr>
        <w:pStyle w:val="5"/>
        <w:rPr>
          <w:rFonts w:cs="Times New Roman"/>
          <w:color w:val="auto"/>
        </w:rPr>
      </w:pPr>
      <w:r>
        <w:rPr>
          <w:rFonts w:cs="Times New Roman"/>
          <w:color w:val="auto"/>
        </w:rPr>
        <w:t>与《广西壮族自治区生态环境分区管控动态更新成果（2023年）》相符性分析</w:t>
      </w:r>
    </w:p>
    <w:p w14:paraId="540A0B74">
      <w:pPr>
        <w:ind w:firstLine="480"/>
        <w:rPr>
          <w:rFonts w:cs="Times New Roman"/>
          <w:color w:val="auto"/>
        </w:rPr>
      </w:pPr>
      <w:r>
        <w:rPr>
          <w:rFonts w:cs="Times New Roman"/>
          <w:color w:val="auto"/>
        </w:rPr>
        <w:t>项目与《广西壮族自治区生态环境分区管控动态更新成果（2023年）》相符，分析如下：</w:t>
      </w:r>
    </w:p>
    <w:p w14:paraId="206642C6">
      <w:pPr>
        <w:pStyle w:val="7"/>
        <w:rPr>
          <w:color w:val="auto"/>
        </w:rPr>
      </w:pPr>
      <w:r>
        <w:rPr>
          <w:color w:val="auto"/>
        </w:rPr>
        <w:t>与《广西壮族自治区生态环境分区管控动态更新成果（2023年）》相符性分析</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4374"/>
        <w:gridCol w:w="3119"/>
        <w:gridCol w:w="708"/>
      </w:tblGrid>
      <w:tr w14:paraId="4BBCF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6" w:type="dxa"/>
            <w:tcBorders>
              <w:top w:val="single" w:color="auto" w:sz="4" w:space="0"/>
              <w:left w:val="single" w:color="auto" w:sz="4" w:space="0"/>
              <w:bottom w:val="single" w:color="auto" w:sz="4" w:space="0"/>
              <w:right w:val="single" w:color="auto" w:sz="4" w:space="0"/>
            </w:tcBorders>
            <w:vAlign w:val="center"/>
          </w:tcPr>
          <w:p w14:paraId="0E1C7369">
            <w:pPr>
              <w:pStyle w:val="33"/>
              <w:rPr>
                <w:color w:val="auto"/>
              </w:rPr>
            </w:pPr>
            <w:r>
              <w:rPr>
                <w:color w:val="auto"/>
              </w:rPr>
              <w:t>管控类别</w:t>
            </w:r>
          </w:p>
        </w:tc>
        <w:tc>
          <w:tcPr>
            <w:tcW w:w="4374" w:type="dxa"/>
            <w:tcBorders>
              <w:top w:val="single" w:color="auto" w:sz="4" w:space="0"/>
              <w:left w:val="nil"/>
              <w:bottom w:val="single" w:color="auto" w:sz="4" w:space="0"/>
              <w:right w:val="single" w:color="auto" w:sz="4" w:space="0"/>
            </w:tcBorders>
            <w:vAlign w:val="center"/>
          </w:tcPr>
          <w:p w14:paraId="74842F93">
            <w:pPr>
              <w:pStyle w:val="33"/>
              <w:rPr>
                <w:color w:val="auto"/>
              </w:rPr>
            </w:pPr>
            <w:r>
              <w:rPr>
                <w:color w:val="auto"/>
              </w:rPr>
              <w:t>生态环境准入及管控要求</w:t>
            </w:r>
          </w:p>
        </w:tc>
        <w:tc>
          <w:tcPr>
            <w:tcW w:w="3119" w:type="dxa"/>
            <w:tcBorders>
              <w:top w:val="single" w:color="auto" w:sz="4" w:space="0"/>
              <w:left w:val="nil"/>
              <w:bottom w:val="single" w:color="auto" w:sz="4" w:space="0"/>
              <w:right w:val="single" w:color="auto" w:sz="4" w:space="0"/>
            </w:tcBorders>
            <w:vAlign w:val="center"/>
          </w:tcPr>
          <w:p w14:paraId="0E220F98">
            <w:pPr>
              <w:pStyle w:val="33"/>
              <w:rPr>
                <w:color w:val="auto"/>
              </w:rPr>
            </w:pPr>
            <w:r>
              <w:rPr>
                <w:color w:val="auto"/>
              </w:rPr>
              <w:t>项目情况</w:t>
            </w:r>
          </w:p>
        </w:tc>
        <w:tc>
          <w:tcPr>
            <w:tcW w:w="708" w:type="dxa"/>
            <w:vAlign w:val="center"/>
          </w:tcPr>
          <w:p w14:paraId="657B6EA4">
            <w:pPr>
              <w:pStyle w:val="33"/>
              <w:rPr>
                <w:color w:val="auto"/>
              </w:rPr>
            </w:pPr>
            <w:r>
              <w:rPr>
                <w:rFonts w:hint="eastAsia"/>
                <w:color w:val="auto"/>
              </w:rPr>
              <w:t>符合性</w:t>
            </w:r>
          </w:p>
        </w:tc>
      </w:tr>
      <w:tr w14:paraId="5C19F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trPr>
        <w:tc>
          <w:tcPr>
            <w:tcW w:w="866" w:type="dxa"/>
            <w:vMerge w:val="restart"/>
            <w:tcBorders>
              <w:top w:val="nil"/>
              <w:left w:val="single" w:color="auto" w:sz="4" w:space="0"/>
              <w:right w:val="single" w:color="auto" w:sz="4" w:space="0"/>
            </w:tcBorders>
            <w:vAlign w:val="center"/>
          </w:tcPr>
          <w:p w14:paraId="2A7611A6">
            <w:pPr>
              <w:pStyle w:val="33"/>
              <w:rPr>
                <w:color w:val="auto"/>
              </w:rPr>
            </w:pPr>
            <w:r>
              <w:rPr>
                <w:color w:val="auto"/>
              </w:rPr>
              <w:t>全区空间布局约束</w:t>
            </w:r>
          </w:p>
        </w:tc>
        <w:tc>
          <w:tcPr>
            <w:tcW w:w="4374" w:type="dxa"/>
            <w:tcBorders>
              <w:top w:val="single" w:color="auto" w:sz="4" w:space="0"/>
              <w:left w:val="nil"/>
              <w:bottom w:val="single" w:color="auto" w:sz="4" w:space="0"/>
              <w:right w:val="single" w:color="auto" w:sz="4" w:space="0"/>
            </w:tcBorders>
            <w:vAlign w:val="center"/>
          </w:tcPr>
          <w:p w14:paraId="0E8FCAD3">
            <w:pPr>
              <w:pStyle w:val="33"/>
              <w:jc w:val="left"/>
              <w:rPr>
                <w:color w:val="auto"/>
              </w:rPr>
            </w:pPr>
            <w:r>
              <w:rPr>
                <w:color w:val="auto"/>
              </w:rPr>
              <w:t>1．新建、改建、扩建工业项目应按照国家、自治区相关行业建设项目环境影响评价文件审批原则入园。新建企业应符合批准实施的国土空间规划、“十四五”规划纲要和相关专项规划。</w:t>
            </w:r>
          </w:p>
        </w:tc>
        <w:tc>
          <w:tcPr>
            <w:tcW w:w="3119" w:type="dxa"/>
            <w:tcBorders>
              <w:top w:val="single" w:color="auto" w:sz="4" w:space="0"/>
              <w:left w:val="nil"/>
              <w:bottom w:val="single" w:color="auto" w:sz="4" w:space="0"/>
              <w:right w:val="single" w:color="auto" w:sz="4" w:space="0"/>
            </w:tcBorders>
            <w:vAlign w:val="center"/>
          </w:tcPr>
          <w:p w14:paraId="3D64B900">
            <w:pPr>
              <w:pStyle w:val="33"/>
              <w:jc w:val="left"/>
              <w:rPr>
                <w:color w:val="auto"/>
              </w:rPr>
            </w:pPr>
            <w:r>
              <w:rPr>
                <w:color w:val="auto"/>
              </w:rPr>
              <w:t>本项目符合行业建设项目环境影响评价文件审批原则，符合国土空间规划、自治区发展规划及行业发展规划</w:t>
            </w:r>
          </w:p>
        </w:tc>
        <w:tc>
          <w:tcPr>
            <w:tcW w:w="708" w:type="dxa"/>
            <w:vAlign w:val="center"/>
          </w:tcPr>
          <w:p w14:paraId="05548272">
            <w:pPr>
              <w:pStyle w:val="33"/>
              <w:rPr>
                <w:color w:val="auto"/>
              </w:rPr>
            </w:pPr>
            <w:r>
              <w:rPr>
                <w:rFonts w:hint="eastAsia"/>
                <w:color w:val="auto"/>
              </w:rPr>
              <w:t>符合</w:t>
            </w:r>
          </w:p>
        </w:tc>
      </w:tr>
      <w:tr w14:paraId="5946D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5" w:hRule="atLeast"/>
        </w:trPr>
        <w:tc>
          <w:tcPr>
            <w:tcW w:w="866" w:type="dxa"/>
            <w:vMerge w:val="continue"/>
            <w:tcBorders>
              <w:left w:val="single" w:color="auto" w:sz="4" w:space="0"/>
              <w:right w:val="single" w:color="auto" w:sz="4" w:space="0"/>
            </w:tcBorders>
            <w:vAlign w:val="center"/>
          </w:tcPr>
          <w:p w14:paraId="6C623AAD">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0F71E56E">
            <w:pPr>
              <w:pStyle w:val="33"/>
              <w:jc w:val="left"/>
              <w:rPr>
                <w:color w:val="auto"/>
              </w:rPr>
            </w:pPr>
            <w:r>
              <w:rPr>
                <w:color w:val="auto"/>
              </w:rPr>
              <w:t>2．禁止新建、扩建现行《产业结构调整指导目录》《广西工业产业结构调整指导目录》明确的淘汰类、禁止类项目；禁止引入不符合现行《市场准入负面清单》禁止准入类事项。新建项目要严格落实国家有关产业重大生产力规划布局要求，并符合广西优化主导产业布局、新发展格局下广西重点产业布局规划、广西制造强区建设中长期规划及相关产业规划布局。</w:t>
            </w:r>
          </w:p>
        </w:tc>
        <w:tc>
          <w:tcPr>
            <w:tcW w:w="3119" w:type="dxa"/>
            <w:tcBorders>
              <w:top w:val="single" w:color="auto" w:sz="4" w:space="0"/>
              <w:left w:val="nil"/>
              <w:bottom w:val="single" w:color="auto" w:sz="4" w:space="0"/>
              <w:right w:val="single" w:color="auto" w:sz="4" w:space="0"/>
            </w:tcBorders>
            <w:vAlign w:val="center"/>
          </w:tcPr>
          <w:p w14:paraId="1F7B53B4">
            <w:pPr>
              <w:pStyle w:val="33"/>
              <w:jc w:val="left"/>
              <w:rPr>
                <w:color w:val="auto"/>
              </w:rPr>
            </w:pPr>
            <w:r>
              <w:rPr>
                <w:rFonts w:hint="eastAsia"/>
                <w:color w:val="auto"/>
              </w:rPr>
              <w:t>拟建项目建设内容属于《产业结构调整指导目录（2024年本）》允许类，不涉及《市场准入负面清单》禁止准入类事项。符合《造纸产业发展政策》中的产业规划布局。</w:t>
            </w:r>
          </w:p>
        </w:tc>
        <w:tc>
          <w:tcPr>
            <w:tcW w:w="708" w:type="dxa"/>
            <w:vAlign w:val="center"/>
          </w:tcPr>
          <w:p w14:paraId="2BA14407">
            <w:pPr>
              <w:pStyle w:val="33"/>
              <w:rPr>
                <w:color w:val="auto"/>
              </w:rPr>
            </w:pPr>
            <w:r>
              <w:rPr>
                <w:rFonts w:hint="eastAsia"/>
                <w:color w:val="auto"/>
              </w:rPr>
              <w:t>符合</w:t>
            </w:r>
          </w:p>
        </w:tc>
      </w:tr>
      <w:tr w14:paraId="059E0E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trPr>
        <w:tc>
          <w:tcPr>
            <w:tcW w:w="866" w:type="dxa"/>
            <w:vMerge w:val="continue"/>
            <w:tcBorders>
              <w:left w:val="single" w:color="auto" w:sz="4" w:space="0"/>
              <w:right w:val="single" w:color="auto" w:sz="4" w:space="0"/>
            </w:tcBorders>
            <w:vAlign w:val="center"/>
          </w:tcPr>
          <w:p w14:paraId="0CB3A367">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62905B51">
            <w:pPr>
              <w:pStyle w:val="33"/>
              <w:jc w:val="left"/>
              <w:rPr>
                <w:color w:val="auto"/>
              </w:rPr>
            </w:pPr>
            <w:r>
              <w:rPr>
                <w:color w:val="auto"/>
              </w:rPr>
              <w:t>3．鼓励和引导新建涉挥发性有机物VOCs排放的工业企业入园区（含工业园区、工业集中区、工业集聚区）。未纳入《石化产业规划布局方案》的新建炼化项目一律不得建设。</w:t>
            </w:r>
          </w:p>
        </w:tc>
        <w:tc>
          <w:tcPr>
            <w:tcW w:w="3119" w:type="dxa"/>
            <w:tcBorders>
              <w:top w:val="single" w:color="auto" w:sz="4" w:space="0"/>
              <w:left w:val="nil"/>
              <w:bottom w:val="single" w:color="auto" w:sz="4" w:space="0"/>
              <w:right w:val="single" w:color="auto" w:sz="4" w:space="0"/>
            </w:tcBorders>
            <w:vAlign w:val="center"/>
          </w:tcPr>
          <w:p w14:paraId="570C1568">
            <w:pPr>
              <w:pStyle w:val="33"/>
              <w:jc w:val="left"/>
              <w:rPr>
                <w:color w:val="auto"/>
              </w:rPr>
            </w:pPr>
            <w:r>
              <w:rPr>
                <w:color w:val="auto"/>
              </w:rPr>
              <w:t>项目不涉及挥发性有机物</w:t>
            </w:r>
            <w:r>
              <w:rPr>
                <w:rFonts w:hint="eastAsia"/>
                <w:color w:val="auto"/>
              </w:rPr>
              <w:t>。</w:t>
            </w:r>
          </w:p>
        </w:tc>
        <w:tc>
          <w:tcPr>
            <w:tcW w:w="708" w:type="dxa"/>
            <w:vAlign w:val="center"/>
          </w:tcPr>
          <w:p w14:paraId="45E29931">
            <w:pPr>
              <w:pStyle w:val="33"/>
              <w:rPr>
                <w:color w:val="auto"/>
              </w:rPr>
            </w:pPr>
            <w:r>
              <w:rPr>
                <w:rFonts w:hint="eastAsia"/>
                <w:color w:val="auto"/>
              </w:rPr>
              <w:t>符合</w:t>
            </w:r>
          </w:p>
        </w:tc>
      </w:tr>
      <w:tr w14:paraId="6779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866" w:type="dxa"/>
            <w:vMerge w:val="continue"/>
            <w:tcBorders>
              <w:left w:val="single" w:color="auto" w:sz="4" w:space="0"/>
              <w:right w:val="single" w:color="auto" w:sz="4" w:space="0"/>
            </w:tcBorders>
            <w:vAlign w:val="center"/>
          </w:tcPr>
          <w:p w14:paraId="1BA2D8EE">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5168D1AA">
            <w:pPr>
              <w:pStyle w:val="33"/>
              <w:jc w:val="left"/>
              <w:rPr>
                <w:color w:val="auto"/>
              </w:rPr>
            </w:pPr>
            <w:r>
              <w:rPr>
                <w:color w:val="auto"/>
              </w:rPr>
              <w:t>4．建设项目使用林地，应当按照《建设项目使用林地审核审批管理办法》审核和审批，严格保护和合理利用林地，促进生态林业和民生林业发展。公益林、天然林依据《中华人民共和国森林法》《中华人民共和国森林法实施条例》《国家级公益林管理办法》《国家级公益林区划界定办法》《天然林保护修复制度方案》等国家和自治区有关规定进行管理。</w:t>
            </w:r>
          </w:p>
        </w:tc>
        <w:tc>
          <w:tcPr>
            <w:tcW w:w="3119" w:type="dxa"/>
            <w:vMerge w:val="restart"/>
            <w:tcBorders>
              <w:top w:val="single" w:color="auto" w:sz="4" w:space="0"/>
              <w:left w:val="nil"/>
              <w:right w:val="single" w:color="auto" w:sz="4" w:space="0"/>
            </w:tcBorders>
            <w:vAlign w:val="center"/>
          </w:tcPr>
          <w:p w14:paraId="3D40513B">
            <w:pPr>
              <w:pStyle w:val="33"/>
              <w:jc w:val="left"/>
              <w:rPr>
                <w:color w:val="auto"/>
              </w:rPr>
            </w:pPr>
            <w:r>
              <w:rPr>
                <w:rFonts w:hint="eastAsia"/>
                <w:color w:val="auto"/>
              </w:rPr>
              <w:t>拟建项目不涉及公益林、天然林、天然牧草地、人工牧草地。项目使用一般林地、其他草地按照相关规定进行审核和审批。</w:t>
            </w:r>
          </w:p>
        </w:tc>
        <w:tc>
          <w:tcPr>
            <w:tcW w:w="708" w:type="dxa"/>
            <w:vAlign w:val="center"/>
          </w:tcPr>
          <w:p w14:paraId="7A656AFA">
            <w:pPr>
              <w:pStyle w:val="33"/>
              <w:rPr>
                <w:color w:val="auto"/>
              </w:rPr>
            </w:pPr>
            <w:r>
              <w:rPr>
                <w:rFonts w:hint="eastAsia"/>
                <w:color w:val="auto"/>
              </w:rPr>
              <w:t>符合</w:t>
            </w:r>
          </w:p>
        </w:tc>
      </w:tr>
      <w:tr w14:paraId="4AF42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trPr>
        <w:tc>
          <w:tcPr>
            <w:tcW w:w="866" w:type="dxa"/>
            <w:vMerge w:val="continue"/>
            <w:tcBorders>
              <w:left w:val="single" w:color="auto" w:sz="4" w:space="0"/>
              <w:right w:val="single" w:color="auto" w:sz="4" w:space="0"/>
            </w:tcBorders>
            <w:vAlign w:val="center"/>
          </w:tcPr>
          <w:p w14:paraId="2D2F0DBB">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012E939B">
            <w:pPr>
              <w:pStyle w:val="33"/>
              <w:jc w:val="left"/>
              <w:rPr>
                <w:color w:val="auto"/>
              </w:rPr>
            </w:pPr>
            <w:r>
              <w:rPr>
                <w:color w:val="auto"/>
              </w:rPr>
              <w:t>5．建设项目使用草地，应当按照《草原征占用审核审批管理规范》审核和审批，严格保护和合理利用草地。</w:t>
            </w:r>
          </w:p>
        </w:tc>
        <w:tc>
          <w:tcPr>
            <w:tcW w:w="3119" w:type="dxa"/>
            <w:vMerge w:val="continue"/>
            <w:tcBorders>
              <w:left w:val="nil"/>
              <w:bottom w:val="single" w:color="auto" w:sz="4" w:space="0"/>
              <w:right w:val="single" w:color="auto" w:sz="4" w:space="0"/>
            </w:tcBorders>
            <w:vAlign w:val="center"/>
          </w:tcPr>
          <w:p w14:paraId="72E15E86">
            <w:pPr>
              <w:pStyle w:val="33"/>
              <w:jc w:val="left"/>
              <w:rPr>
                <w:color w:val="auto"/>
              </w:rPr>
            </w:pPr>
          </w:p>
        </w:tc>
        <w:tc>
          <w:tcPr>
            <w:tcW w:w="708" w:type="dxa"/>
            <w:vAlign w:val="center"/>
          </w:tcPr>
          <w:p w14:paraId="7283D454">
            <w:pPr>
              <w:pStyle w:val="33"/>
              <w:rPr>
                <w:color w:val="auto"/>
              </w:rPr>
            </w:pPr>
            <w:r>
              <w:rPr>
                <w:rFonts w:hint="eastAsia"/>
                <w:color w:val="auto"/>
              </w:rPr>
              <w:t>符合</w:t>
            </w:r>
          </w:p>
        </w:tc>
      </w:tr>
      <w:tr w14:paraId="1BAF4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866" w:type="dxa"/>
            <w:vMerge w:val="continue"/>
            <w:tcBorders>
              <w:left w:val="single" w:color="auto" w:sz="4" w:space="0"/>
              <w:right w:val="single" w:color="auto" w:sz="4" w:space="0"/>
            </w:tcBorders>
            <w:vAlign w:val="center"/>
          </w:tcPr>
          <w:p w14:paraId="13115505">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1AF751F9">
            <w:pPr>
              <w:pStyle w:val="33"/>
              <w:jc w:val="left"/>
              <w:rPr>
                <w:color w:val="auto"/>
              </w:rPr>
            </w:pPr>
            <w:r>
              <w:rPr>
                <w:color w:val="auto"/>
              </w:rPr>
              <w:t>6．严格执行能耗“双控”、碳排放强度、碳达峰和碳中和目标要求，新建项目能源利用效率应达到国内先进水平。</w:t>
            </w:r>
          </w:p>
        </w:tc>
        <w:tc>
          <w:tcPr>
            <w:tcW w:w="3119" w:type="dxa"/>
            <w:tcBorders>
              <w:top w:val="single" w:color="auto" w:sz="4" w:space="0"/>
              <w:left w:val="nil"/>
              <w:bottom w:val="single" w:color="auto" w:sz="4" w:space="0"/>
              <w:right w:val="single" w:color="auto" w:sz="4" w:space="0"/>
            </w:tcBorders>
            <w:vAlign w:val="center"/>
          </w:tcPr>
          <w:p w14:paraId="1D1076EE">
            <w:pPr>
              <w:pStyle w:val="33"/>
              <w:jc w:val="left"/>
              <w:rPr>
                <w:color w:val="auto"/>
              </w:rPr>
            </w:pPr>
            <w:r>
              <w:rPr>
                <w:color w:val="auto"/>
              </w:rPr>
              <w:t>项目严格控制能耗、碳排放强度，能源利用效率可达到国内先进水平。</w:t>
            </w:r>
          </w:p>
        </w:tc>
        <w:tc>
          <w:tcPr>
            <w:tcW w:w="708" w:type="dxa"/>
            <w:vAlign w:val="center"/>
          </w:tcPr>
          <w:p w14:paraId="4439D982">
            <w:pPr>
              <w:pStyle w:val="33"/>
              <w:rPr>
                <w:color w:val="auto"/>
              </w:rPr>
            </w:pPr>
            <w:r>
              <w:rPr>
                <w:rFonts w:hint="eastAsia"/>
                <w:color w:val="auto"/>
              </w:rPr>
              <w:t>符合</w:t>
            </w:r>
          </w:p>
        </w:tc>
      </w:tr>
      <w:tr w14:paraId="69EAE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7" w:hRule="atLeast"/>
        </w:trPr>
        <w:tc>
          <w:tcPr>
            <w:tcW w:w="866" w:type="dxa"/>
            <w:vMerge w:val="continue"/>
            <w:tcBorders>
              <w:left w:val="single" w:color="auto" w:sz="4" w:space="0"/>
              <w:right w:val="single" w:color="auto" w:sz="4" w:space="0"/>
            </w:tcBorders>
            <w:vAlign w:val="center"/>
          </w:tcPr>
          <w:p w14:paraId="2E6FC2C8">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1090387E">
            <w:pPr>
              <w:pStyle w:val="33"/>
              <w:jc w:val="left"/>
              <w:rPr>
                <w:color w:val="auto"/>
              </w:rPr>
            </w:pPr>
            <w:r>
              <w:rPr>
                <w:color w:val="auto"/>
              </w:rPr>
              <w:t>7．新建、改建、扩建“两高”项目须符合生态环境保护法律法规和相关法定规划，满足重点污染物排放总量控制、碳排放达峰目标、生态环境准入清单、相关规划环评和相应行业建设项目环境准入条件、环评文件审批原则要求。拟建、在建项目，应对照能效标杆水平建设实施；能效介于标杆水平和基准水平之间的存量项目，鼓励加强绿色低碳工艺技术装备应用，引导企业应改尽改、应提尽提；能效低于基准水平的存量项目，有序开展节能降碳技术改造或淘汰退出。</w:t>
            </w:r>
          </w:p>
        </w:tc>
        <w:tc>
          <w:tcPr>
            <w:tcW w:w="3119" w:type="dxa"/>
            <w:tcBorders>
              <w:top w:val="single" w:color="auto" w:sz="4" w:space="0"/>
              <w:left w:val="nil"/>
              <w:bottom w:val="single" w:color="auto" w:sz="4" w:space="0"/>
              <w:right w:val="single" w:color="auto" w:sz="4" w:space="0"/>
            </w:tcBorders>
            <w:vAlign w:val="center"/>
          </w:tcPr>
          <w:p w14:paraId="07D3F858">
            <w:pPr>
              <w:pStyle w:val="33"/>
              <w:jc w:val="left"/>
              <w:rPr>
                <w:color w:val="auto"/>
              </w:rPr>
            </w:pPr>
            <w:r>
              <w:rPr>
                <w:color w:val="auto"/>
              </w:rPr>
              <w:t>本项目不属于两高项目，项目符合生态环境保护法律法规和相关法定规划，满足重点污染物排放总量控制、碳排放达峰目标、生态环境准入清单、相关规划环评和相应行业建设项目环境准入条件、环评文件审批原则要求。</w:t>
            </w:r>
          </w:p>
        </w:tc>
        <w:tc>
          <w:tcPr>
            <w:tcW w:w="708" w:type="dxa"/>
            <w:vAlign w:val="center"/>
          </w:tcPr>
          <w:p w14:paraId="45DA384B">
            <w:pPr>
              <w:pStyle w:val="33"/>
              <w:rPr>
                <w:color w:val="auto"/>
              </w:rPr>
            </w:pPr>
            <w:r>
              <w:rPr>
                <w:rFonts w:hint="eastAsia"/>
                <w:color w:val="auto"/>
              </w:rPr>
              <w:t>符合</w:t>
            </w:r>
          </w:p>
        </w:tc>
      </w:tr>
      <w:tr w14:paraId="1B684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2" w:hRule="atLeast"/>
        </w:trPr>
        <w:tc>
          <w:tcPr>
            <w:tcW w:w="866" w:type="dxa"/>
            <w:vMerge w:val="continue"/>
            <w:tcBorders>
              <w:left w:val="single" w:color="auto" w:sz="4" w:space="0"/>
              <w:right w:val="single" w:color="auto" w:sz="4" w:space="0"/>
            </w:tcBorders>
            <w:vAlign w:val="center"/>
          </w:tcPr>
          <w:p w14:paraId="74D74BF0">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02893BDD">
            <w:pPr>
              <w:pStyle w:val="33"/>
              <w:jc w:val="left"/>
              <w:rPr>
                <w:color w:val="auto"/>
              </w:rPr>
            </w:pPr>
            <w:r>
              <w:rPr>
                <w:color w:val="auto"/>
              </w:rPr>
              <w:t>8．石化、煤化工、燃煤发电（含热电）、钢铁、有色金属冶炼、制浆造纸行业新增主要污染物排放量的建设项目，应满足区域、流域控制单元环境质量改善目标管理要求，主要污染物实行区域倍量削减或等量削减；市级生态环境主管部门审批的编制环境影响报告书的重点行业建设项目可参照执行。</w:t>
            </w:r>
          </w:p>
        </w:tc>
        <w:tc>
          <w:tcPr>
            <w:tcW w:w="3119" w:type="dxa"/>
            <w:tcBorders>
              <w:top w:val="single" w:color="auto" w:sz="4" w:space="0"/>
              <w:left w:val="nil"/>
              <w:bottom w:val="single" w:color="auto" w:sz="4" w:space="0"/>
              <w:right w:val="single" w:color="auto" w:sz="4" w:space="0"/>
            </w:tcBorders>
            <w:vAlign w:val="center"/>
          </w:tcPr>
          <w:p w14:paraId="65CA428F">
            <w:pPr>
              <w:pStyle w:val="33"/>
              <w:jc w:val="left"/>
              <w:rPr>
                <w:color w:val="auto"/>
              </w:rPr>
            </w:pPr>
            <w:r>
              <w:rPr>
                <w:color w:val="auto"/>
              </w:rPr>
              <w:t>本项目为造纸</w:t>
            </w:r>
            <w:r>
              <w:rPr>
                <w:rFonts w:hint="eastAsia"/>
                <w:color w:val="auto"/>
              </w:rPr>
              <w:t>项目</w:t>
            </w:r>
            <w:r>
              <w:rPr>
                <w:color w:val="auto"/>
              </w:rPr>
              <w:t>，</w:t>
            </w:r>
            <w:r>
              <w:rPr>
                <w:rFonts w:hint="eastAsia"/>
                <w:color w:val="auto"/>
              </w:rPr>
              <w:t>不涉及纸浆制造，不属于重点行业，不涉及</w:t>
            </w:r>
            <w:r>
              <w:rPr>
                <w:color w:val="auto"/>
              </w:rPr>
              <w:t>区域</w:t>
            </w:r>
            <w:r>
              <w:rPr>
                <w:rFonts w:hint="eastAsia"/>
                <w:color w:val="auto"/>
              </w:rPr>
              <w:t>削减。</w:t>
            </w:r>
          </w:p>
        </w:tc>
        <w:tc>
          <w:tcPr>
            <w:tcW w:w="708" w:type="dxa"/>
            <w:vAlign w:val="center"/>
          </w:tcPr>
          <w:p w14:paraId="21BDB83B">
            <w:pPr>
              <w:pStyle w:val="33"/>
              <w:rPr>
                <w:color w:val="auto"/>
              </w:rPr>
            </w:pPr>
            <w:r>
              <w:rPr>
                <w:rFonts w:hint="eastAsia"/>
                <w:color w:val="auto"/>
              </w:rPr>
              <w:t>符合</w:t>
            </w:r>
          </w:p>
        </w:tc>
      </w:tr>
      <w:tr w14:paraId="66CD9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3" w:hRule="atLeast"/>
        </w:trPr>
        <w:tc>
          <w:tcPr>
            <w:tcW w:w="866" w:type="dxa"/>
            <w:vMerge w:val="continue"/>
            <w:tcBorders>
              <w:left w:val="single" w:color="auto" w:sz="4" w:space="0"/>
              <w:right w:val="single" w:color="auto" w:sz="4" w:space="0"/>
            </w:tcBorders>
            <w:vAlign w:val="center"/>
          </w:tcPr>
          <w:p w14:paraId="0A88615D">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2D0BD493">
            <w:pPr>
              <w:pStyle w:val="33"/>
              <w:jc w:val="left"/>
              <w:rPr>
                <w:color w:val="auto"/>
              </w:rPr>
            </w:pPr>
            <w:r>
              <w:rPr>
                <w:color w:val="auto"/>
              </w:rPr>
              <w:t>9．依据国土空间规划和“三区三线”，明确减污降碳重点管控区域和相关管控要求，将碳达峰碳中和要求纳入“三线一单”（生态保护红线、环境质量底线、资源利用上线和生态环境准入清单）分区管控体系。</w:t>
            </w:r>
          </w:p>
        </w:tc>
        <w:tc>
          <w:tcPr>
            <w:tcW w:w="3119" w:type="dxa"/>
            <w:tcBorders>
              <w:top w:val="single" w:color="auto" w:sz="4" w:space="0"/>
              <w:left w:val="nil"/>
              <w:bottom w:val="single" w:color="auto" w:sz="4" w:space="0"/>
              <w:right w:val="single" w:color="auto" w:sz="4" w:space="0"/>
            </w:tcBorders>
            <w:vAlign w:val="center"/>
          </w:tcPr>
          <w:p w14:paraId="39E6D030">
            <w:pPr>
              <w:pStyle w:val="33"/>
              <w:jc w:val="left"/>
              <w:rPr>
                <w:color w:val="auto"/>
              </w:rPr>
            </w:pPr>
            <w:r>
              <w:rPr>
                <w:color w:val="auto"/>
              </w:rPr>
              <w:t>项目符合国土空间规划和“三区三线”，已明确减污降碳重点管控区域和相关管控要求</w:t>
            </w:r>
          </w:p>
        </w:tc>
        <w:tc>
          <w:tcPr>
            <w:tcW w:w="708" w:type="dxa"/>
            <w:vAlign w:val="center"/>
          </w:tcPr>
          <w:p w14:paraId="310EC4D3">
            <w:pPr>
              <w:pStyle w:val="33"/>
              <w:rPr>
                <w:color w:val="auto"/>
              </w:rPr>
            </w:pPr>
            <w:r>
              <w:rPr>
                <w:rFonts w:hint="eastAsia"/>
                <w:color w:val="auto"/>
              </w:rPr>
              <w:t>符合</w:t>
            </w:r>
          </w:p>
        </w:tc>
      </w:tr>
      <w:tr w14:paraId="1E5F2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9" w:hRule="atLeast"/>
        </w:trPr>
        <w:tc>
          <w:tcPr>
            <w:tcW w:w="866" w:type="dxa"/>
            <w:vMerge w:val="continue"/>
            <w:tcBorders>
              <w:left w:val="single" w:color="auto" w:sz="4" w:space="0"/>
              <w:right w:val="single" w:color="auto" w:sz="4" w:space="0"/>
            </w:tcBorders>
            <w:vAlign w:val="center"/>
          </w:tcPr>
          <w:p w14:paraId="77551546">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161E1CD6">
            <w:pPr>
              <w:pStyle w:val="33"/>
              <w:jc w:val="left"/>
              <w:rPr>
                <w:color w:val="auto"/>
              </w:rPr>
            </w:pPr>
            <w:r>
              <w:rPr>
                <w:color w:val="auto"/>
              </w:rPr>
              <w:t>10．增强区域环境质量改善目标对能源和产业布局的引导作用。加大污染严重地区结构调整和布局优化力度，依法依规加快推动重点区域、重点流域落后和过剩产能退出。依法加快城市建成区重污染企业搬迁改造或关闭退出。</w:t>
            </w:r>
          </w:p>
        </w:tc>
        <w:tc>
          <w:tcPr>
            <w:tcW w:w="3119" w:type="dxa"/>
            <w:tcBorders>
              <w:top w:val="single" w:color="auto" w:sz="4" w:space="0"/>
              <w:left w:val="nil"/>
              <w:bottom w:val="single" w:color="auto" w:sz="4" w:space="0"/>
              <w:right w:val="single" w:color="auto" w:sz="4" w:space="0"/>
            </w:tcBorders>
            <w:vAlign w:val="center"/>
          </w:tcPr>
          <w:p w14:paraId="1C4501B4">
            <w:pPr>
              <w:pStyle w:val="33"/>
              <w:jc w:val="left"/>
              <w:rPr>
                <w:color w:val="auto"/>
                <w:szCs w:val="21"/>
              </w:rPr>
            </w:pPr>
            <w:r>
              <w:rPr>
                <w:color w:val="auto"/>
              </w:rPr>
              <w:t>项目区域为达标区。项目建设过程中，</w:t>
            </w:r>
            <w:r>
              <w:rPr>
                <w:rFonts w:hint="eastAsia"/>
                <w:color w:val="auto"/>
              </w:rPr>
              <w:t>产生</w:t>
            </w:r>
            <w:r>
              <w:rPr>
                <w:color w:val="auto"/>
              </w:rPr>
              <w:t>一定的废气、废水、噪声和固体废物，经过妥善处置后，对周围环境的影响很小。</w:t>
            </w:r>
          </w:p>
        </w:tc>
        <w:tc>
          <w:tcPr>
            <w:tcW w:w="708" w:type="dxa"/>
            <w:vAlign w:val="center"/>
          </w:tcPr>
          <w:p w14:paraId="651BB35E">
            <w:pPr>
              <w:pStyle w:val="33"/>
              <w:rPr>
                <w:color w:val="auto"/>
              </w:rPr>
            </w:pPr>
            <w:r>
              <w:rPr>
                <w:rFonts w:hint="eastAsia"/>
                <w:color w:val="auto"/>
              </w:rPr>
              <w:t>符合</w:t>
            </w:r>
          </w:p>
        </w:tc>
      </w:tr>
      <w:tr w14:paraId="0E45E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trPr>
        <w:tc>
          <w:tcPr>
            <w:tcW w:w="866" w:type="dxa"/>
            <w:vMerge w:val="continue"/>
            <w:tcBorders>
              <w:left w:val="single" w:color="auto" w:sz="4" w:space="0"/>
              <w:right w:val="single" w:color="auto" w:sz="4" w:space="0"/>
            </w:tcBorders>
            <w:vAlign w:val="center"/>
          </w:tcPr>
          <w:p w14:paraId="435749CA">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06B69E4E">
            <w:pPr>
              <w:pStyle w:val="33"/>
              <w:jc w:val="left"/>
              <w:rPr>
                <w:color w:val="auto"/>
              </w:rPr>
            </w:pPr>
            <w:r>
              <w:rPr>
                <w:color w:val="auto"/>
              </w:rPr>
              <w:t>11．严格执行《广西生态保护正面清单（2022）》和《广西生态保护禁止事项清单（2022）》。</w:t>
            </w:r>
          </w:p>
        </w:tc>
        <w:tc>
          <w:tcPr>
            <w:tcW w:w="3119" w:type="dxa"/>
            <w:tcBorders>
              <w:top w:val="single" w:color="auto" w:sz="4" w:space="0"/>
              <w:left w:val="nil"/>
              <w:bottom w:val="single" w:color="auto" w:sz="4" w:space="0"/>
              <w:right w:val="single" w:color="auto" w:sz="4" w:space="0"/>
            </w:tcBorders>
            <w:vAlign w:val="center"/>
          </w:tcPr>
          <w:p w14:paraId="26E3DA99">
            <w:pPr>
              <w:pStyle w:val="33"/>
              <w:jc w:val="left"/>
              <w:rPr>
                <w:color w:val="auto"/>
              </w:rPr>
            </w:pPr>
            <w:r>
              <w:rPr>
                <w:color w:val="auto"/>
              </w:rPr>
              <w:t>项目不在《广西壮族自治区重点生态功能区县产业准入负面清单调整方案》和《广西生态保护禁止事项清单（2022）》内</w:t>
            </w:r>
          </w:p>
        </w:tc>
        <w:tc>
          <w:tcPr>
            <w:tcW w:w="708" w:type="dxa"/>
            <w:vAlign w:val="center"/>
          </w:tcPr>
          <w:p w14:paraId="016BCB27">
            <w:pPr>
              <w:pStyle w:val="33"/>
              <w:rPr>
                <w:color w:val="auto"/>
              </w:rPr>
            </w:pPr>
            <w:r>
              <w:rPr>
                <w:rFonts w:hint="eastAsia"/>
                <w:color w:val="auto"/>
              </w:rPr>
              <w:t>符合</w:t>
            </w:r>
          </w:p>
        </w:tc>
      </w:tr>
      <w:tr w14:paraId="7B4D1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866" w:type="dxa"/>
            <w:vMerge w:val="continue"/>
            <w:tcBorders>
              <w:left w:val="single" w:color="auto" w:sz="4" w:space="0"/>
              <w:right w:val="single" w:color="auto" w:sz="4" w:space="0"/>
            </w:tcBorders>
            <w:vAlign w:val="center"/>
          </w:tcPr>
          <w:p w14:paraId="2A7938B2">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0780DA16">
            <w:pPr>
              <w:pStyle w:val="33"/>
              <w:jc w:val="left"/>
              <w:rPr>
                <w:color w:val="auto"/>
              </w:rPr>
            </w:pPr>
            <w:r>
              <w:rPr>
                <w:color w:val="auto"/>
              </w:rPr>
              <w:t>12．“准入及管控要求”涉及跨省（市）界有协议或相关规定的，从其规定。</w:t>
            </w:r>
          </w:p>
        </w:tc>
        <w:tc>
          <w:tcPr>
            <w:tcW w:w="3119" w:type="dxa"/>
            <w:tcBorders>
              <w:top w:val="single" w:color="auto" w:sz="4" w:space="0"/>
              <w:left w:val="nil"/>
              <w:bottom w:val="single" w:color="auto" w:sz="4" w:space="0"/>
              <w:right w:val="single" w:color="auto" w:sz="4" w:space="0"/>
            </w:tcBorders>
            <w:vAlign w:val="center"/>
          </w:tcPr>
          <w:p w14:paraId="753B342A">
            <w:pPr>
              <w:pStyle w:val="33"/>
              <w:jc w:val="left"/>
              <w:rPr>
                <w:color w:val="auto"/>
              </w:rPr>
            </w:pPr>
            <w:r>
              <w:rPr>
                <w:rFonts w:hint="eastAsia"/>
                <w:color w:val="auto"/>
              </w:rPr>
              <w:t>拟建项目不涉及。</w:t>
            </w:r>
          </w:p>
        </w:tc>
        <w:tc>
          <w:tcPr>
            <w:tcW w:w="708" w:type="dxa"/>
            <w:vAlign w:val="center"/>
          </w:tcPr>
          <w:p w14:paraId="4709FF2F">
            <w:pPr>
              <w:pStyle w:val="33"/>
              <w:rPr>
                <w:color w:val="auto"/>
              </w:rPr>
            </w:pPr>
            <w:r>
              <w:rPr>
                <w:rFonts w:hint="eastAsia"/>
                <w:color w:val="auto"/>
              </w:rPr>
              <w:t>符合</w:t>
            </w:r>
          </w:p>
        </w:tc>
      </w:tr>
      <w:tr w14:paraId="184D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866" w:type="dxa"/>
            <w:vMerge w:val="continue"/>
            <w:tcBorders>
              <w:left w:val="single" w:color="auto" w:sz="4" w:space="0"/>
              <w:bottom w:val="single" w:color="auto" w:sz="4" w:space="0"/>
              <w:right w:val="single" w:color="auto" w:sz="4" w:space="0"/>
            </w:tcBorders>
            <w:vAlign w:val="center"/>
          </w:tcPr>
          <w:p w14:paraId="5742E04E">
            <w:pPr>
              <w:pStyle w:val="33"/>
              <w:rPr>
                <w:color w:val="auto"/>
              </w:rPr>
            </w:pPr>
          </w:p>
        </w:tc>
        <w:tc>
          <w:tcPr>
            <w:tcW w:w="4374" w:type="dxa"/>
            <w:tcBorders>
              <w:top w:val="single" w:color="auto" w:sz="4" w:space="0"/>
              <w:left w:val="nil"/>
              <w:bottom w:val="single" w:color="auto" w:sz="4" w:space="0"/>
              <w:right w:val="single" w:color="auto" w:sz="4" w:space="0"/>
            </w:tcBorders>
            <w:vAlign w:val="center"/>
          </w:tcPr>
          <w:p w14:paraId="3BA3FA0F">
            <w:pPr>
              <w:pStyle w:val="33"/>
              <w:jc w:val="left"/>
              <w:rPr>
                <w:color w:val="auto"/>
              </w:rPr>
            </w:pPr>
            <w:r>
              <w:rPr>
                <w:color w:val="auto"/>
              </w:rPr>
              <w:t>13．“准入及管控要求”规定依据的法规、规章等发生变更的，从其规定。</w:t>
            </w:r>
          </w:p>
        </w:tc>
        <w:tc>
          <w:tcPr>
            <w:tcW w:w="3119" w:type="dxa"/>
            <w:tcBorders>
              <w:top w:val="single" w:color="auto" w:sz="4" w:space="0"/>
              <w:left w:val="nil"/>
              <w:bottom w:val="single" w:color="auto" w:sz="4" w:space="0"/>
              <w:right w:val="single" w:color="auto" w:sz="4" w:space="0"/>
            </w:tcBorders>
            <w:vAlign w:val="center"/>
          </w:tcPr>
          <w:p w14:paraId="1CBCF69B">
            <w:pPr>
              <w:pStyle w:val="33"/>
              <w:jc w:val="left"/>
              <w:rPr>
                <w:color w:val="auto"/>
              </w:rPr>
            </w:pPr>
            <w:r>
              <w:rPr>
                <w:rFonts w:hint="eastAsia"/>
                <w:color w:val="auto"/>
              </w:rPr>
              <w:t>拟建项目不涉及。</w:t>
            </w:r>
          </w:p>
        </w:tc>
        <w:tc>
          <w:tcPr>
            <w:tcW w:w="708" w:type="dxa"/>
            <w:vAlign w:val="center"/>
          </w:tcPr>
          <w:p w14:paraId="5F7E41C5">
            <w:pPr>
              <w:pStyle w:val="33"/>
              <w:rPr>
                <w:color w:val="auto"/>
              </w:rPr>
            </w:pPr>
            <w:r>
              <w:rPr>
                <w:rFonts w:hint="eastAsia"/>
                <w:color w:val="auto"/>
              </w:rPr>
              <w:t>符合</w:t>
            </w:r>
          </w:p>
        </w:tc>
      </w:tr>
    </w:tbl>
    <w:p w14:paraId="27B71403">
      <w:pPr>
        <w:pStyle w:val="5"/>
        <w:rPr>
          <w:color w:val="auto"/>
        </w:rPr>
      </w:pPr>
      <w:bookmarkStart w:id="148" w:name="_Toc199190426"/>
      <w:bookmarkStart w:id="149" w:name="_Toc198390534"/>
      <w:bookmarkStart w:id="150" w:name="_Toc198391187"/>
      <w:bookmarkStart w:id="151" w:name="_Toc199168889"/>
      <w:r>
        <w:rPr>
          <w:rFonts w:hint="eastAsia"/>
          <w:color w:val="auto"/>
        </w:rPr>
        <w:t>与钦州市生态环境分区管控动态更新成果的符合性分析</w:t>
      </w:r>
    </w:p>
    <w:p w14:paraId="77762468">
      <w:pPr>
        <w:ind w:firstLine="480"/>
        <w:rPr>
          <w:color w:val="auto"/>
        </w:rPr>
      </w:pPr>
      <w:r>
        <w:rPr>
          <w:rFonts w:hint="eastAsia"/>
          <w:color w:val="auto"/>
        </w:rPr>
        <w:t>根据钦州市生态环境局关于印发《钦州市生态环境分区管控动态更新成果（2023版）》的通知，项目所在位置属钦州石化产业园重点管控单元，不涉及自然保护区、饮用水源保护区等生态保护目标，不在生态保护红线内，符合钦州市生态环境分区管控要求。详见下表。</w:t>
      </w:r>
    </w:p>
    <w:p w14:paraId="0F8542DA">
      <w:pPr>
        <w:pStyle w:val="7"/>
        <w:rPr>
          <w:color w:val="auto"/>
        </w:rPr>
      </w:pPr>
      <w:r>
        <w:rPr>
          <w:rFonts w:hint="eastAsia"/>
          <w:color w:val="auto"/>
        </w:rPr>
        <w:t>项目与钦州市生态环境分区管控动态更新成果的符合性分析</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5375"/>
        <w:gridCol w:w="2327"/>
        <w:gridCol w:w="717"/>
      </w:tblGrid>
      <w:tr w14:paraId="2324E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467" w:type="pct"/>
            <w:tcBorders>
              <w:top w:val="single" w:color="auto" w:sz="4" w:space="0"/>
              <w:left w:val="single" w:color="auto" w:sz="4" w:space="0"/>
              <w:bottom w:val="single" w:color="auto" w:sz="4" w:space="0"/>
              <w:right w:val="single" w:color="auto" w:sz="4" w:space="0"/>
            </w:tcBorders>
            <w:vAlign w:val="center"/>
          </w:tcPr>
          <w:p w14:paraId="642D08E2">
            <w:pPr>
              <w:pStyle w:val="33"/>
              <w:rPr>
                <w:color w:val="auto"/>
              </w:rPr>
            </w:pPr>
            <w:r>
              <w:rPr>
                <w:color w:val="auto"/>
              </w:rPr>
              <w:t>管控</w:t>
            </w:r>
          </w:p>
          <w:p w14:paraId="2EBAA2A4">
            <w:pPr>
              <w:pStyle w:val="33"/>
              <w:rPr>
                <w:color w:val="auto"/>
              </w:rPr>
            </w:pPr>
            <w:r>
              <w:rPr>
                <w:color w:val="auto"/>
              </w:rPr>
              <w:t>类别</w:t>
            </w:r>
          </w:p>
        </w:tc>
        <w:tc>
          <w:tcPr>
            <w:tcW w:w="2894" w:type="pct"/>
            <w:tcBorders>
              <w:top w:val="single" w:color="auto" w:sz="4" w:space="0"/>
              <w:left w:val="single" w:color="auto" w:sz="4" w:space="0"/>
              <w:bottom w:val="single" w:color="auto" w:sz="4" w:space="0"/>
              <w:right w:val="single" w:color="auto" w:sz="4" w:space="0"/>
            </w:tcBorders>
            <w:vAlign w:val="center"/>
          </w:tcPr>
          <w:p w14:paraId="48FE2D91">
            <w:pPr>
              <w:pStyle w:val="33"/>
              <w:rPr>
                <w:color w:val="auto"/>
              </w:rPr>
            </w:pPr>
            <w:r>
              <w:rPr>
                <w:color w:val="auto"/>
              </w:rPr>
              <w:t>生态环境准入及管控要求</w:t>
            </w:r>
          </w:p>
        </w:tc>
        <w:tc>
          <w:tcPr>
            <w:tcW w:w="1253" w:type="pct"/>
            <w:tcBorders>
              <w:top w:val="single" w:color="auto" w:sz="4" w:space="0"/>
              <w:left w:val="single" w:color="auto" w:sz="4" w:space="0"/>
              <w:bottom w:val="single" w:color="auto" w:sz="4" w:space="0"/>
              <w:right w:val="single" w:color="auto" w:sz="4" w:space="0"/>
            </w:tcBorders>
            <w:vAlign w:val="center"/>
          </w:tcPr>
          <w:p w14:paraId="5A26F229">
            <w:pPr>
              <w:pStyle w:val="33"/>
              <w:rPr>
                <w:color w:val="auto"/>
              </w:rPr>
            </w:pPr>
            <w:r>
              <w:rPr>
                <w:color w:val="auto"/>
              </w:rPr>
              <w:t>项目情况</w:t>
            </w:r>
          </w:p>
        </w:tc>
        <w:tc>
          <w:tcPr>
            <w:tcW w:w="386" w:type="pct"/>
            <w:vAlign w:val="center"/>
          </w:tcPr>
          <w:p w14:paraId="402974C1">
            <w:pPr>
              <w:pStyle w:val="33"/>
              <w:rPr>
                <w:color w:val="auto"/>
              </w:rPr>
            </w:pPr>
            <w:r>
              <w:rPr>
                <w:rFonts w:hint="eastAsia"/>
                <w:color w:val="auto"/>
              </w:rPr>
              <w:t>符合性</w:t>
            </w:r>
          </w:p>
        </w:tc>
      </w:tr>
      <w:tr w14:paraId="664EF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restart"/>
            <w:tcBorders>
              <w:top w:val="single" w:color="auto" w:sz="4" w:space="0"/>
              <w:left w:val="single" w:color="auto" w:sz="4" w:space="0"/>
              <w:bottom w:val="single" w:color="auto" w:sz="4" w:space="0"/>
              <w:right w:val="single" w:color="auto" w:sz="4" w:space="0"/>
            </w:tcBorders>
            <w:vAlign w:val="center"/>
          </w:tcPr>
          <w:p w14:paraId="5A4922BC">
            <w:pPr>
              <w:pStyle w:val="33"/>
              <w:rPr>
                <w:color w:val="auto"/>
              </w:rPr>
            </w:pPr>
            <w:r>
              <w:rPr>
                <w:color w:val="auto"/>
              </w:rPr>
              <w:t>空间布局约束</w:t>
            </w:r>
          </w:p>
        </w:tc>
        <w:tc>
          <w:tcPr>
            <w:tcW w:w="2894" w:type="pct"/>
            <w:tcBorders>
              <w:top w:val="single" w:color="auto" w:sz="4" w:space="0"/>
              <w:left w:val="single" w:color="auto" w:sz="4" w:space="0"/>
              <w:bottom w:val="single" w:color="auto" w:sz="4" w:space="0"/>
              <w:right w:val="single" w:color="auto" w:sz="4" w:space="0"/>
            </w:tcBorders>
            <w:vAlign w:val="center"/>
          </w:tcPr>
          <w:p w14:paraId="42C66BC0">
            <w:pPr>
              <w:pStyle w:val="33"/>
              <w:jc w:val="left"/>
              <w:rPr>
                <w:color w:val="auto"/>
              </w:rPr>
            </w:pPr>
            <w:r>
              <w:rPr>
                <w:color w:val="auto"/>
              </w:rPr>
              <w:t>1</w:t>
            </w:r>
            <w:r>
              <w:rPr>
                <w:rFonts w:hint="eastAsia"/>
                <w:color w:val="auto"/>
              </w:rPr>
              <w:t>.</w:t>
            </w:r>
            <w:r>
              <w:rPr>
                <w:color w:val="auto"/>
              </w:rPr>
              <w:t>自然保护地、水源保护区、公益林、天然林等具有法律地位，有管理条例、规定、办法的各类保护地，其管控要求原则上按照各类保护地的现行规定进行管理，重叠区域以最严格的要求进行管理。纳入生态保护红线管理的各类自然保护地，还应执行国家、自治区有关生态保护红线内各类开发活动的准入及管控规定和要求。</w:t>
            </w:r>
          </w:p>
        </w:tc>
        <w:tc>
          <w:tcPr>
            <w:tcW w:w="1253" w:type="pct"/>
            <w:tcBorders>
              <w:top w:val="single" w:color="auto" w:sz="4" w:space="0"/>
              <w:left w:val="single" w:color="auto" w:sz="4" w:space="0"/>
              <w:bottom w:val="single" w:color="auto" w:sz="4" w:space="0"/>
              <w:right w:val="single" w:color="auto" w:sz="4" w:space="0"/>
            </w:tcBorders>
            <w:vAlign w:val="center"/>
          </w:tcPr>
          <w:p w14:paraId="51207C57">
            <w:pPr>
              <w:pStyle w:val="33"/>
              <w:jc w:val="left"/>
              <w:rPr>
                <w:color w:val="auto"/>
              </w:rPr>
            </w:pPr>
            <w:r>
              <w:rPr>
                <w:color w:val="auto"/>
              </w:rPr>
              <w:t>项目不涉及自然保护地、森林公园、湿地公园、水源保护区、公益林、天然林等生态保护红线管理的各类自然保护地。</w:t>
            </w:r>
          </w:p>
        </w:tc>
        <w:tc>
          <w:tcPr>
            <w:tcW w:w="386" w:type="pct"/>
            <w:vAlign w:val="center"/>
          </w:tcPr>
          <w:p w14:paraId="5C6938B3">
            <w:pPr>
              <w:pStyle w:val="33"/>
              <w:rPr>
                <w:color w:val="auto"/>
              </w:rPr>
            </w:pPr>
            <w:r>
              <w:rPr>
                <w:rFonts w:hint="eastAsia"/>
                <w:color w:val="auto"/>
              </w:rPr>
              <w:t>符合</w:t>
            </w:r>
          </w:p>
        </w:tc>
      </w:tr>
      <w:tr w14:paraId="3B13F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F3603B6">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56394677">
            <w:pPr>
              <w:pStyle w:val="33"/>
              <w:jc w:val="left"/>
              <w:rPr>
                <w:color w:val="auto"/>
              </w:rPr>
            </w:pPr>
            <w:r>
              <w:rPr>
                <w:color w:val="auto"/>
              </w:rPr>
              <w:t>2.红树林依据《广西壮族自治区红树林资源保护条例》进行管理。开展红树林修复要依法依规进行，并符合红树林资源保护规划等相关要求。</w:t>
            </w:r>
          </w:p>
        </w:tc>
        <w:tc>
          <w:tcPr>
            <w:tcW w:w="1253" w:type="pct"/>
            <w:tcBorders>
              <w:top w:val="single" w:color="auto" w:sz="4" w:space="0"/>
              <w:left w:val="single" w:color="auto" w:sz="4" w:space="0"/>
              <w:bottom w:val="single" w:color="auto" w:sz="4" w:space="0"/>
              <w:right w:val="single" w:color="auto" w:sz="4" w:space="0"/>
            </w:tcBorders>
            <w:vAlign w:val="center"/>
          </w:tcPr>
          <w:p w14:paraId="6E512C0D">
            <w:pPr>
              <w:pStyle w:val="33"/>
              <w:jc w:val="left"/>
              <w:rPr>
                <w:color w:val="auto"/>
              </w:rPr>
            </w:pPr>
            <w:r>
              <w:rPr>
                <w:color w:val="auto"/>
              </w:rPr>
              <w:t>项目用地范围不涉及红树林。</w:t>
            </w:r>
          </w:p>
        </w:tc>
        <w:tc>
          <w:tcPr>
            <w:tcW w:w="386" w:type="pct"/>
            <w:vAlign w:val="center"/>
          </w:tcPr>
          <w:p w14:paraId="6FFD2130">
            <w:pPr>
              <w:pStyle w:val="33"/>
              <w:rPr>
                <w:color w:val="auto"/>
              </w:rPr>
            </w:pPr>
            <w:r>
              <w:rPr>
                <w:rFonts w:hint="eastAsia"/>
                <w:color w:val="auto"/>
              </w:rPr>
              <w:t>符合</w:t>
            </w:r>
          </w:p>
        </w:tc>
      </w:tr>
      <w:tr w14:paraId="7A85F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076B644B">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3DF3453F">
            <w:pPr>
              <w:pStyle w:val="33"/>
              <w:jc w:val="left"/>
              <w:rPr>
                <w:color w:val="auto"/>
              </w:rPr>
            </w:pPr>
            <w:r>
              <w:rPr>
                <w:color w:val="auto"/>
              </w:rPr>
              <w:t>3.重要湿地依据《中华人民共和国湿地保护法》《国家湿地公园管理办法》《广西壮族自治区湿地保护条例》进行管理。</w:t>
            </w:r>
          </w:p>
        </w:tc>
        <w:tc>
          <w:tcPr>
            <w:tcW w:w="1253" w:type="pct"/>
            <w:tcBorders>
              <w:top w:val="single" w:color="auto" w:sz="4" w:space="0"/>
              <w:left w:val="single" w:color="auto" w:sz="4" w:space="0"/>
              <w:bottom w:val="single" w:color="auto" w:sz="4" w:space="0"/>
              <w:right w:val="single" w:color="auto" w:sz="4" w:space="0"/>
            </w:tcBorders>
            <w:vAlign w:val="center"/>
          </w:tcPr>
          <w:p w14:paraId="38B45DF9">
            <w:pPr>
              <w:pStyle w:val="33"/>
              <w:jc w:val="left"/>
              <w:rPr>
                <w:color w:val="auto"/>
              </w:rPr>
            </w:pPr>
            <w:r>
              <w:rPr>
                <w:color w:val="auto"/>
              </w:rPr>
              <w:t>项目不涉及重要湿地。</w:t>
            </w:r>
          </w:p>
        </w:tc>
        <w:tc>
          <w:tcPr>
            <w:tcW w:w="386" w:type="pct"/>
            <w:vAlign w:val="center"/>
          </w:tcPr>
          <w:p w14:paraId="634A7151">
            <w:pPr>
              <w:pStyle w:val="33"/>
              <w:rPr>
                <w:color w:val="auto"/>
              </w:rPr>
            </w:pPr>
            <w:r>
              <w:rPr>
                <w:rFonts w:hint="eastAsia"/>
                <w:color w:val="auto"/>
              </w:rPr>
              <w:t>符合</w:t>
            </w:r>
          </w:p>
        </w:tc>
      </w:tr>
      <w:tr w14:paraId="4C5FC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012F4CA3">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0E9BBC65">
            <w:pPr>
              <w:pStyle w:val="33"/>
              <w:jc w:val="left"/>
              <w:rPr>
                <w:color w:val="auto"/>
              </w:rPr>
            </w:pPr>
            <w:r>
              <w:rPr>
                <w:color w:val="auto"/>
              </w:rPr>
              <w:t>4.禁止城镇和工业发展占用自然保护区、湿地保护区及生态环境极为敏感地区，对已有的工业企业逐步搬迁，减缓城镇空间和生态空间叠加布局对生态空间的破坏和侵占程度。禁止在水源保护区、湿地、永久基本农田、陡坡区、地质灾害高易发区等地区建设和开发，严格限制自然保护区和湿地保护核心区人类活动；严格限制“两高”产业在十万大山、五皇山、六万大山、茅尾海等生物多样性保护区及水源涵养区等重点生态功能区的布局，鼓励发展生态保护型旅游业、生态农业，统筹推进特色农业和旅游业融合发展。</w:t>
            </w:r>
          </w:p>
        </w:tc>
        <w:tc>
          <w:tcPr>
            <w:tcW w:w="1253" w:type="pct"/>
            <w:tcBorders>
              <w:top w:val="single" w:color="auto" w:sz="4" w:space="0"/>
              <w:left w:val="single" w:color="auto" w:sz="4" w:space="0"/>
              <w:bottom w:val="single" w:color="auto" w:sz="4" w:space="0"/>
              <w:right w:val="single" w:color="auto" w:sz="4" w:space="0"/>
            </w:tcBorders>
            <w:vAlign w:val="center"/>
          </w:tcPr>
          <w:p w14:paraId="0797247F">
            <w:pPr>
              <w:pStyle w:val="33"/>
              <w:jc w:val="left"/>
              <w:rPr>
                <w:color w:val="auto"/>
              </w:rPr>
            </w:pPr>
            <w:r>
              <w:rPr>
                <w:color w:val="auto"/>
              </w:rPr>
              <w:t>项目在现有厂区内建设，用地不占用自然保护区、湿地保护区及生态环境极为敏感地区；项目选址不在水源保护区、湿地、永久基本农田、陡坡区、地质灾害高易发区等地区；项目选址不在十万大山、五皇山、六万大山、茅尾海等生物多样性保护区及水源涵养区等重点生态功能。</w:t>
            </w:r>
          </w:p>
        </w:tc>
        <w:tc>
          <w:tcPr>
            <w:tcW w:w="386" w:type="pct"/>
            <w:vAlign w:val="center"/>
          </w:tcPr>
          <w:p w14:paraId="7751B096">
            <w:pPr>
              <w:pStyle w:val="33"/>
              <w:rPr>
                <w:color w:val="auto"/>
              </w:rPr>
            </w:pPr>
            <w:r>
              <w:rPr>
                <w:rFonts w:hint="eastAsia"/>
                <w:color w:val="auto"/>
              </w:rPr>
              <w:t>符合</w:t>
            </w:r>
          </w:p>
        </w:tc>
      </w:tr>
      <w:tr w14:paraId="0C483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110D2E66">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1B9B2E8">
            <w:pPr>
              <w:pStyle w:val="33"/>
              <w:jc w:val="left"/>
              <w:rPr>
                <w:color w:val="auto"/>
              </w:rPr>
            </w:pPr>
            <w:r>
              <w:rPr>
                <w:color w:val="auto"/>
              </w:rPr>
              <w:t>5.以供给侧结构性改革为导向，坚持培育新增产能与淘汰落后产能相结合，严格审批，防止新增落后产能。严格控制“两高”和产能过剩行业新上项目，遏制高耗能产业无序发展和低水平扩张。</w:t>
            </w:r>
          </w:p>
        </w:tc>
        <w:tc>
          <w:tcPr>
            <w:tcW w:w="1253" w:type="pct"/>
            <w:tcBorders>
              <w:top w:val="single" w:color="auto" w:sz="4" w:space="0"/>
              <w:left w:val="single" w:color="auto" w:sz="4" w:space="0"/>
              <w:bottom w:val="single" w:color="auto" w:sz="4" w:space="0"/>
              <w:right w:val="single" w:color="auto" w:sz="4" w:space="0"/>
            </w:tcBorders>
            <w:vAlign w:val="center"/>
          </w:tcPr>
          <w:p w14:paraId="0C113C6F">
            <w:pPr>
              <w:pStyle w:val="33"/>
              <w:jc w:val="left"/>
              <w:rPr>
                <w:color w:val="auto"/>
              </w:rPr>
            </w:pPr>
            <w:r>
              <w:rPr>
                <w:color w:val="auto"/>
              </w:rPr>
              <w:t>项目不属于产能过剩行业。</w:t>
            </w:r>
          </w:p>
        </w:tc>
        <w:tc>
          <w:tcPr>
            <w:tcW w:w="386" w:type="pct"/>
            <w:vAlign w:val="center"/>
          </w:tcPr>
          <w:p w14:paraId="03D7680F">
            <w:pPr>
              <w:pStyle w:val="33"/>
              <w:rPr>
                <w:color w:val="auto"/>
              </w:rPr>
            </w:pPr>
            <w:r>
              <w:rPr>
                <w:rFonts w:hint="eastAsia"/>
                <w:color w:val="auto"/>
              </w:rPr>
              <w:t>符合</w:t>
            </w:r>
          </w:p>
        </w:tc>
      </w:tr>
      <w:tr w14:paraId="0013B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48DD8945">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5E7FC92">
            <w:pPr>
              <w:pStyle w:val="33"/>
              <w:jc w:val="left"/>
              <w:rPr>
                <w:color w:val="auto"/>
              </w:rPr>
            </w:pPr>
            <w:r>
              <w:rPr>
                <w:color w:val="auto"/>
              </w:rPr>
              <w:t>6.全市产业准入执行《广西壮族自治区人民政府办公厅关于印发北钦防一体化产业协同发展限制布局清单（工业类2021年版）的通知》（桂政办函〔2021〕4号）要求，限制布局炼铁、炼钢、铝冶炼、平板玻璃制造。</w:t>
            </w:r>
          </w:p>
        </w:tc>
        <w:tc>
          <w:tcPr>
            <w:tcW w:w="1253" w:type="pct"/>
            <w:tcBorders>
              <w:top w:val="single" w:color="auto" w:sz="4" w:space="0"/>
              <w:left w:val="single" w:color="auto" w:sz="4" w:space="0"/>
              <w:bottom w:val="single" w:color="auto" w:sz="4" w:space="0"/>
              <w:right w:val="single" w:color="auto" w:sz="4" w:space="0"/>
            </w:tcBorders>
            <w:vAlign w:val="center"/>
          </w:tcPr>
          <w:p w14:paraId="5FD16B71">
            <w:pPr>
              <w:pStyle w:val="33"/>
              <w:jc w:val="left"/>
              <w:rPr>
                <w:color w:val="auto"/>
              </w:rPr>
            </w:pPr>
            <w:r>
              <w:rPr>
                <w:color w:val="auto"/>
              </w:rPr>
              <w:t>项目不属于其中的钦州市“全市”及“自贸区钦州港片区（钦州港经济技术开发区）”的限制产业。</w:t>
            </w:r>
          </w:p>
        </w:tc>
        <w:tc>
          <w:tcPr>
            <w:tcW w:w="386" w:type="pct"/>
            <w:vAlign w:val="center"/>
          </w:tcPr>
          <w:p w14:paraId="41789369">
            <w:pPr>
              <w:pStyle w:val="33"/>
              <w:rPr>
                <w:color w:val="auto"/>
              </w:rPr>
            </w:pPr>
            <w:r>
              <w:rPr>
                <w:rFonts w:hint="eastAsia"/>
                <w:color w:val="auto"/>
              </w:rPr>
              <w:t>符合</w:t>
            </w:r>
          </w:p>
        </w:tc>
      </w:tr>
      <w:tr w14:paraId="1BB21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0F950B0D">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3D5B2D6">
            <w:pPr>
              <w:pStyle w:val="33"/>
              <w:jc w:val="left"/>
              <w:rPr>
                <w:color w:val="auto"/>
              </w:rPr>
            </w:pPr>
            <w:r>
              <w:rPr>
                <w:color w:val="auto"/>
              </w:rPr>
              <w:t>7.新建、扩建的石化、化工、焦化项目应按照《关于加强高耗能、高排放建设项目生态环境源头防控的指导意见》布设在依法合规设立并经规划环评的产业园区。</w:t>
            </w:r>
          </w:p>
        </w:tc>
        <w:tc>
          <w:tcPr>
            <w:tcW w:w="1253" w:type="pct"/>
            <w:tcBorders>
              <w:top w:val="single" w:color="auto" w:sz="4" w:space="0"/>
              <w:left w:val="single" w:color="auto" w:sz="4" w:space="0"/>
              <w:bottom w:val="single" w:color="auto" w:sz="4" w:space="0"/>
              <w:right w:val="single" w:color="auto" w:sz="4" w:space="0"/>
            </w:tcBorders>
            <w:vAlign w:val="center"/>
          </w:tcPr>
          <w:p w14:paraId="183A9D52">
            <w:pPr>
              <w:pStyle w:val="33"/>
              <w:jc w:val="left"/>
              <w:rPr>
                <w:color w:val="auto"/>
              </w:rPr>
            </w:pPr>
            <w:r>
              <w:rPr>
                <w:color w:val="auto"/>
              </w:rPr>
              <w:t>项目不属于“两高”项目。</w:t>
            </w:r>
          </w:p>
        </w:tc>
        <w:tc>
          <w:tcPr>
            <w:tcW w:w="386" w:type="pct"/>
            <w:vAlign w:val="center"/>
          </w:tcPr>
          <w:p w14:paraId="083A9E4C">
            <w:pPr>
              <w:pStyle w:val="33"/>
              <w:rPr>
                <w:color w:val="auto"/>
              </w:rPr>
            </w:pPr>
            <w:r>
              <w:rPr>
                <w:rFonts w:hint="eastAsia"/>
                <w:color w:val="auto"/>
              </w:rPr>
              <w:t>符合</w:t>
            </w:r>
          </w:p>
        </w:tc>
      </w:tr>
      <w:tr w14:paraId="034E2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19537D1C">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32F34DF9">
            <w:pPr>
              <w:pStyle w:val="33"/>
              <w:jc w:val="left"/>
              <w:rPr>
                <w:color w:val="auto"/>
              </w:rPr>
            </w:pPr>
            <w:r>
              <w:rPr>
                <w:color w:val="auto"/>
              </w:rPr>
              <w:t>8.禁止违法占用、损害自然岸线。海洋开发和海岸开发各类活动，大陆自然岸线保有率标准不低于35%、无居民海岛岸线长度保有率标准不低于85%。</w:t>
            </w:r>
          </w:p>
        </w:tc>
        <w:tc>
          <w:tcPr>
            <w:tcW w:w="1253" w:type="pct"/>
            <w:tcBorders>
              <w:top w:val="single" w:color="auto" w:sz="4" w:space="0"/>
              <w:left w:val="single" w:color="auto" w:sz="4" w:space="0"/>
              <w:bottom w:val="single" w:color="auto" w:sz="4" w:space="0"/>
              <w:right w:val="single" w:color="auto" w:sz="4" w:space="0"/>
            </w:tcBorders>
            <w:vAlign w:val="center"/>
          </w:tcPr>
          <w:p w14:paraId="3B032924">
            <w:pPr>
              <w:pStyle w:val="33"/>
              <w:jc w:val="left"/>
              <w:rPr>
                <w:color w:val="auto"/>
              </w:rPr>
            </w:pPr>
            <w:r>
              <w:rPr>
                <w:color w:val="auto"/>
              </w:rPr>
              <w:t>项目不涉及海洋开发和海岸开发。</w:t>
            </w:r>
          </w:p>
        </w:tc>
        <w:tc>
          <w:tcPr>
            <w:tcW w:w="386" w:type="pct"/>
            <w:vAlign w:val="center"/>
          </w:tcPr>
          <w:p w14:paraId="6977AF9C">
            <w:pPr>
              <w:pStyle w:val="33"/>
              <w:rPr>
                <w:color w:val="auto"/>
              </w:rPr>
            </w:pPr>
            <w:r>
              <w:rPr>
                <w:rFonts w:hint="eastAsia"/>
                <w:color w:val="auto"/>
              </w:rPr>
              <w:t>符合</w:t>
            </w:r>
          </w:p>
        </w:tc>
      </w:tr>
      <w:tr w14:paraId="29724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782A304">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19B4BBE8">
            <w:pPr>
              <w:pStyle w:val="33"/>
              <w:jc w:val="left"/>
              <w:rPr>
                <w:color w:val="auto"/>
              </w:rPr>
            </w:pPr>
            <w:r>
              <w:rPr>
                <w:color w:val="auto"/>
              </w:rPr>
              <w:t>9.推进海域资源市场化配置，严控新增围填海造地，完善围填海总量管控，除国家重大战略项目外，全面停止新增围填海项目审批，全面清理非法占用海洋生态保护红线区域的围填海项目。</w:t>
            </w:r>
          </w:p>
        </w:tc>
        <w:tc>
          <w:tcPr>
            <w:tcW w:w="1253" w:type="pct"/>
            <w:tcBorders>
              <w:top w:val="single" w:color="auto" w:sz="4" w:space="0"/>
              <w:left w:val="single" w:color="auto" w:sz="4" w:space="0"/>
              <w:bottom w:val="single" w:color="auto" w:sz="4" w:space="0"/>
              <w:right w:val="single" w:color="auto" w:sz="4" w:space="0"/>
            </w:tcBorders>
            <w:vAlign w:val="center"/>
          </w:tcPr>
          <w:p w14:paraId="45996988">
            <w:pPr>
              <w:pStyle w:val="33"/>
              <w:jc w:val="left"/>
              <w:rPr>
                <w:color w:val="auto"/>
              </w:rPr>
            </w:pPr>
            <w:r>
              <w:rPr>
                <w:color w:val="auto"/>
              </w:rPr>
              <w:t>项目在现有厂区内建设，不新增用地，不涉及围填海造地。</w:t>
            </w:r>
          </w:p>
        </w:tc>
        <w:tc>
          <w:tcPr>
            <w:tcW w:w="386" w:type="pct"/>
            <w:vAlign w:val="center"/>
          </w:tcPr>
          <w:p w14:paraId="757FEB6F">
            <w:pPr>
              <w:pStyle w:val="33"/>
              <w:rPr>
                <w:color w:val="auto"/>
              </w:rPr>
            </w:pPr>
            <w:r>
              <w:rPr>
                <w:rFonts w:hint="eastAsia"/>
                <w:color w:val="auto"/>
              </w:rPr>
              <w:t>符合</w:t>
            </w:r>
          </w:p>
        </w:tc>
      </w:tr>
      <w:tr w14:paraId="047A3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10EC32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E6164E4">
            <w:pPr>
              <w:pStyle w:val="33"/>
              <w:jc w:val="left"/>
              <w:rPr>
                <w:color w:val="auto"/>
              </w:rPr>
            </w:pPr>
            <w:r>
              <w:rPr>
                <w:color w:val="auto"/>
              </w:rPr>
              <w:t>10.科学论证在三娘湾海洋保护区、茅尾海中部海洋保护区及周边区域的开发利用活动，严格落实保护区管理要求。</w:t>
            </w:r>
          </w:p>
        </w:tc>
        <w:tc>
          <w:tcPr>
            <w:tcW w:w="1253" w:type="pct"/>
            <w:tcBorders>
              <w:top w:val="single" w:color="auto" w:sz="4" w:space="0"/>
              <w:left w:val="single" w:color="auto" w:sz="4" w:space="0"/>
              <w:bottom w:val="single" w:color="auto" w:sz="4" w:space="0"/>
              <w:right w:val="single" w:color="auto" w:sz="4" w:space="0"/>
            </w:tcBorders>
            <w:vAlign w:val="center"/>
          </w:tcPr>
          <w:p w14:paraId="096861BD">
            <w:pPr>
              <w:pStyle w:val="33"/>
              <w:jc w:val="left"/>
              <w:rPr>
                <w:color w:val="auto"/>
              </w:rPr>
            </w:pPr>
            <w:r>
              <w:rPr>
                <w:color w:val="auto"/>
              </w:rPr>
              <w:t>项目不涉及三娘湾海洋保护区、茅尾海中部海洋保护区。</w:t>
            </w:r>
          </w:p>
        </w:tc>
        <w:tc>
          <w:tcPr>
            <w:tcW w:w="386" w:type="pct"/>
            <w:vAlign w:val="center"/>
          </w:tcPr>
          <w:p w14:paraId="65CA6C5A">
            <w:pPr>
              <w:pStyle w:val="33"/>
              <w:rPr>
                <w:color w:val="auto"/>
              </w:rPr>
            </w:pPr>
            <w:r>
              <w:rPr>
                <w:rFonts w:hint="eastAsia"/>
                <w:color w:val="auto"/>
              </w:rPr>
              <w:t>符合</w:t>
            </w:r>
          </w:p>
        </w:tc>
      </w:tr>
      <w:tr w14:paraId="1BA3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01576E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327F777A">
            <w:pPr>
              <w:pStyle w:val="33"/>
              <w:jc w:val="left"/>
              <w:rPr>
                <w:color w:val="auto"/>
              </w:rPr>
            </w:pPr>
            <w:r>
              <w:rPr>
                <w:color w:val="auto"/>
              </w:rPr>
              <w:t>11.严格按照相关法律法规及国土空间规划等要求，规范设置和监管入海排污口。禁止采挖海砂、设置直排排污口及其他破坏河口生态功能的开发活动。</w:t>
            </w:r>
          </w:p>
        </w:tc>
        <w:tc>
          <w:tcPr>
            <w:tcW w:w="1253" w:type="pct"/>
            <w:tcBorders>
              <w:top w:val="single" w:color="auto" w:sz="4" w:space="0"/>
              <w:left w:val="single" w:color="auto" w:sz="4" w:space="0"/>
              <w:bottom w:val="single" w:color="auto" w:sz="4" w:space="0"/>
              <w:right w:val="single" w:color="auto" w:sz="4" w:space="0"/>
            </w:tcBorders>
            <w:vAlign w:val="center"/>
          </w:tcPr>
          <w:p w14:paraId="5F174AF3">
            <w:pPr>
              <w:pStyle w:val="33"/>
              <w:jc w:val="left"/>
              <w:rPr>
                <w:color w:val="auto"/>
              </w:rPr>
            </w:pPr>
            <w:r>
              <w:rPr>
                <w:color w:val="auto"/>
              </w:rPr>
              <w:t>项目不新增直排排污口。</w:t>
            </w:r>
          </w:p>
        </w:tc>
        <w:tc>
          <w:tcPr>
            <w:tcW w:w="386" w:type="pct"/>
            <w:vAlign w:val="center"/>
          </w:tcPr>
          <w:p w14:paraId="08E1F373">
            <w:pPr>
              <w:pStyle w:val="33"/>
              <w:rPr>
                <w:color w:val="auto"/>
              </w:rPr>
            </w:pPr>
            <w:r>
              <w:rPr>
                <w:rFonts w:hint="eastAsia"/>
                <w:color w:val="auto"/>
              </w:rPr>
              <w:t>符合</w:t>
            </w:r>
          </w:p>
        </w:tc>
      </w:tr>
      <w:tr w14:paraId="1033C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0B473A2">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05C4F422">
            <w:pPr>
              <w:pStyle w:val="33"/>
              <w:jc w:val="left"/>
              <w:rPr>
                <w:color w:val="auto"/>
              </w:rPr>
            </w:pPr>
            <w:r>
              <w:rPr>
                <w:color w:val="auto"/>
              </w:rPr>
              <w:t>12.严禁圈占沙滩和红树林，禁止红树林海岸带内陆采石等破坏性活动。对红树林、海草床、滨海湿地等重要海洋生态系统实行最严格的保护措施，加强珍稀濒危物种及重要海洋生态系统的生境保护，加大滨海湿地的保护和修复力度。禁止红树林海岸带内陆采石等破坏性活动。禁止毁坏海岸防护设施、沿海防护林、沿海城镇园林和绿地。</w:t>
            </w:r>
          </w:p>
        </w:tc>
        <w:tc>
          <w:tcPr>
            <w:tcW w:w="1253" w:type="pct"/>
            <w:tcBorders>
              <w:top w:val="single" w:color="auto" w:sz="4" w:space="0"/>
              <w:left w:val="single" w:color="auto" w:sz="4" w:space="0"/>
              <w:bottom w:val="single" w:color="auto" w:sz="4" w:space="0"/>
              <w:right w:val="single" w:color="auto" w:sz="4" w:space="0"/>
            </w:tcBorders>
            <w:vAlign w:val="center"/>
          </w:tcPr>
          <w:p w14:paraId="6FD66D80">
            <w:pPr>
              <w:pStyle w:val="33"/>
              <w:jc w:val="left"/>
              <w:rPr>
                <w:color w:val="auto"/>
              </w:rPr>
            </w:pPr>
            <w:r>
              <w:rPr>
                <w:color w:val="auto"/>
              </w:rPr>
              <w:t>项目不占用沙滩和红树林，不涉及红树林海岸带内陆采石等破坏性活动。</w:t>
            </w:r>
          </w:p>
        </w:tc>
        <w:tc>
          <w:tcPr>
            <w:tcW w:w="386" w:type="pct"/>
            <w:vAlign w:val="center"/>
          </w:tcPr>
          <w:p w14:paraId="2AB8A4CA">
            <w:pPr>
              <w:pStyle w:val="33"/>
              <w:rPr>
                <w:color w:val="auto"/>
              </w:rPr>
            </w:pPr>
            <w:r>
              <w:rPr>
                <w:rFonts w:hint="eastAsia"/>
                <w:color w:val="auto"/>
              </w:rPr>
              <w:t>符合</w:t>
            </w:r>
          </w:p>
        </w:tc>
      </w:tr>
      <w:tr w14:paraId="76036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E670BCB">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23C3453">
            <w:pPr>
              <w:pStyle w:val="33"/>
              <w:jc w:val="left"/>
              <w:rPr>
                <w:color w:val="auto"/>
              </w:rPr>
            </w:pPr>
            <w:r>
              <w:rPr>
                <w:color w:val="auto"/>
              </w:rPr>
              <w:t>13.严格用途管制，坚持陆海统筹，严禁国家产业政策淘汰类、限制类项目在滨海湿地布局，实现山水林田湖草整体保护、系统修复、综合治理。</w:t>
            </w:r>
          </w:p>
        </w:tc>
        <w:tc>
          <w:tcPr>
            <w:tcW w:w="1253" w:type="pct"/>
            <w:tcBorders>
              <w:top w:val="single" w:color="auto" w:sz="4" w:space="0"/>
              <w:left w:val="single" w:color="auto" w:sz="4" w:space="0"/>
              <w:bottom w:val="single" w:color="auto" w:sz="4" w:space="0"/>
              <w:right w:val="single" w:color="auto" w:sz="4" w:space="0"/>
            </w:tcBorders>
            <w:vAlign w:val="center"/>
          </w:tcPr>
          <w:p w14:paraId="1AB03C3B">
            <w:pPr>
              <w:pStyle w:val="33"/>
              <w:jc w:val="left"/>
              <w:rPr>
                <w:color w:val="auto"/>
              </w:rPr>
            </w:pPr>
            <w:r>
              <w:rPr>
                <w:color w:val="auto"/>
              </w:rPr>
              <w:t>项目不涉及滨海湿地布局。</w:t>
            </w:r>
          </w:p>
        </w:tc>
        <w:tc>
          <w:tcPr>
            <w:tcW w:w="386" w:type="pct"/>
            <w:vAlign w:val="center"/>
          </w:tcPr>
          <w:p w14:paraId="63DFF857">
            <w:pPr>
              <w:pStyle w:val="33"/>
              <w:rPr>
                <w:color w:val="auto"/>
              </w:rPr>
            </w:pPr>
            <w:r>
              <w:rPr>
                <w:rFonts w:hint="eastAsia"/>
                <w:color w:val="auto"/>
              </w:rPr>
              <w:t>符合</w:t>
            </w:r>
          </w:p>
        </w:tc>
      </w:tr>
      <w:tr w14:paraId="5F100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AE1C68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28A1829">
            <w:pPr>
              <w:pStyle w:val="33"/>
              <w:jc w:val="left"/>
              <w:rPr>
                <w:color w:val="auto"/>
              </w:rPr>
            </w:pPr>
            <w:r>
              <w:rPr>
                <w:color w:val="auto"/>
              </w:rPr>
              <w:t>14</w:t>
            </w:r>
            <w:r>
              <w:rPr>
                <w:rFonts w:hint="eastAsia"/>
                <w:color w:val="auto"/>
              </w:rPr>
              <w:t>.</w:t>
            </w:r>
            <w:r>
              <w:rPr>
                <w:color w:val="auto"/>
              </w:rPr>
              <w:t>禁止在氮磷浓度严重超标的近岸海域新增或者扩大投饵、投肥海水养殖规模。</w:t>
            </w:r>
          </w:p>
        </w:tc>
        <w:tc>
          <w:tcPr>
            <w:tcW w:w="1253" w:type="pct"/>
            <w:tcBorders>
              <w:top w:val="single" w:color="auto" w:sz="4" w:space="0"/>
              <w:left w:val="single" w:color="auto" w:sz="4" w:space="0"/>
              <w:bottom w:val="single" w:color="auto" w:sz="4" w:space="0"/>
              <w:right w:val="single" w:color="auto" w:sz="4" w:space="0"/>
            </w:tcBorders>
            <w:vAlign w:val="center"/>
          </w:tcPr>
          <w:p w14:paraId="46CDC51F">
            <w:pPr>
              <w:pStyle w:val="33"/>
              <w:jc w:val="left"/>
              <w:rPr>
                <w:color w:val="auto"/>
              </w:rPr>
            </w:pPr>
            <w:r>
              <w:rPr>
                <w:color w:val="auto"/>
              </w:rPr>
              <w:t>项目不属于养殖项目</w:t>
            </w:r>
          </w:p>
        </w:tc>
        <w:tc>
          <w:tcPr>
            <w:tcW w:w="386" w:type="pct"/>
            <w:vAlign w:val="center"/>
          </w:tcPr>
          <w:p w14:paraId="37D74777">
            <w:pPr>
              <w:pStyle w:val="33"/>
              <w:rPr>
                <w:color w:val="auto"/>
              </w:rPr>
            </w:pPr>
            <w:r>
              <w:rPr>
                <w:rFonts w:hint="eastAsia"/>
                <w:color w:val="auto"/>
              </w:rPr>
              <w:t>符合</w:t>
            </w:r>
          </w:p>
        </w:tc>
      </w:tr>
      <w:tr w14:paraId="387A5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04553D7F">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5524D434">
            <w:pPr>
              <w:pStyle w:val="33"/>
              <w:jc w:val="left"/>
              <w:rPr>
                <w:color w:val="auto"/>
              </w:rPr>
            </w:pPr>
            <w:r>
              <w:rPr>
                <w:color w:val="auto"/>
              </w:rPr>
              <w:t>15</w:t>
            </w:r>
            <w:r>
              <w:rPr>
                <w:rFonts w:hint="eastAsia"/>
                <w:color w:val="auto"/>
              </w:rPr>
              <w:t>.</w:t>
            </w:r>
            <w:r>
              <w:rPr>
                <w:color w:val="auto"/>
              </w:rPr>
              <w:t>平陆运河沿线两岸原则上预留1公里作为生态廊道构建用地，将平陆运河沿线建设成为维护当地自然与文化特色的区域生物廊道、生境走廊、休闲绿道、风景廊道和绿色运河经济带等。</w:t>
            </w:r>
          </w:p>
        </w:tc>
        <w:tc>
          <w:tcPr>
            <w:tcW w:w="1253" w:type="pct"/>
            <w:tcBorders>
              <w:top w:val="single" w:color="auto" w:sz="4" w:space="0"/>
              <w:left w:val="single" w:color="auto" w:sz="4" w:space="0"/>
              <w:bottom w:val="single" w:color="auto" w:sz="4" w:space="0"/>
              <w:right w:val="single" w:color="auto" w:sz="4" w:space="0"/>
            </w:tcBorders>
            <w:vAlign w:val="center"/>
          </w:tcPr>
          <w:p w14:paraId="00EDA909">
            <w:pPr>
              <w:pStyle w:val="33"/>
              <w:jc w:val="left"/>
              <w:rPr>
                <w:color w:val="auto"/>
              </w:rPr>
            </w:pPr>
            <w:r>
              <w:rPr>
                <w:color w:val="auto"/>
              </w:rPr>
              <w:t>项目不在平陆运河沿线两岸1公里范围</w:t>
            </w:r>
          </w:p>
        </w:tc>
        <w:tc>
          <w:tcPr>
            <w:tcW w:w="386" w:type="pct"/>
            <w:vAlign w:val="center"/>
          </w:tcPr>
          <w:p w14:paraId="5C26C3C2">
            <w:pPr>
              <w:pStyle w:val="33"/>
              <w:rPr>
                <w:color w:val="auto"/>
              </w:rPr>
            </w:pPr>
            <w:r>
              <w:rPr>
                <w:rFonts w:hint="eastAsia"/>
                <w:color w:val="auto"/>
              </w:rPr>
              <w:t>符合</w:t>
            </w:r>
          </w:p>
        </w:tc>
      </w:tr>
      <w:tr w14:paraId="7512D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499EBE43">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9F5EB86">
            <w:pPr>
              <w:pStyle w:val="33"/>
              <w:jc w:val="left"/>
              <w:rPr>
                <w:color w:val="auto"/>
              </w:rPr>
            </w:pPr>
            <w:r>
              <w:rPr>
                <w:color w:val="auto"/>
              </w:rPr>
              <w:t>16</w:t>
            </w:r>
            <w:r>
              <w:rPr>
                <w:rFonts w:hint="eastAsia"/>
                <w:color w:val="auto"/>
              </w:rPr>
              <w:t>.</w:t>
            </w:r>
            <w:r>
              <w:rPr>
                <w:color w:val="auto"/>
              </w:rPr>
              <w:t>禁止平陆运河建设违规占用环评批复范围之外的红树林，严格落实红树林生态恢复和管护要求。</w:t>
            </w:r>
          </w:p>
        </w:tc>
        <w:tc>
          <w:tcPr>
            <w:tcW w:w="1253" w:type="pct"/>
            <w:tcBorders>
              <w:top w:val="single" w:color="auto" w:sz="4" w:space="0"/>
              <w:left w:val="single" w:color="auto" w:sz="4" w:space="0"/>
              <w:bottom w:val="single" w:color="auto" w:sz="4" w:space="0"/>
              <w:right w:val="single" w:color="auto" w:sz="4" w:space="0"/>
            </w:tcBorders>
            <w:vAlign w:val="center"/>
          </w:tcPr>
          <w:p w14:paraId="1A59760F">
            <w:pPr>
              <w:pStyle w:val="33"/>
              <w:jc w:val="left"/>
              <w:rPr>
                <w:color w:val="auto"/>
              </w:rPr>
            </w:pPr>
            <w:r>
              <w:rPr>
                <w:color w:val="auto"/>
              </w:rPr>
              <w:t>项目不属于平陆运河建设内容</w:t>
            </w:r>
          </w:p>
        </w:tc>
        <w:tc>
          <w:tcPr>
            <w:tcW w:w="386" w:type="pct"/>
            <w:vAlign w:val="center"/>
          </w:tcPr>
          <w:p w14:paraId="44803228">
            <w:pPr>
              <w:pStyle w:val="33"/>
              <w:rPr>
                <w:color w:val="auto"/>
              </w:rPr>
            </w:pPr>
            <w:r>
              <w:rPr>
                <w:rFonts w:hint="eastAsia"/>
                <w:color w:val="auto"/>
              </w:rPr>
              <w:t>符合</w:t>
            </w:r>
          </w:p>
        </w:tc>
      </w:tr>
      <w:tr w14:paraId="29077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E366225">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3760250C">
            <w:pPr>
              <w:pStyle w:val="33"/>
              <w:jc w:val="left"/>
              <w:rPr>
                <w:color w:val="auto"/>
              </w:rPr>
            </w:pPr>
            <w:r>
              <w:rPr>
                <w:color w:val="auto"/>
              </w:rPr>
              <w:t>17</w:t>
            </w:r>
            <w:r>
              <w:rPr>
                <w:rFonts w:hint="eastAsia"/>
                <w:color w:val="auto"/>
              </w:rPr>
              <w:t>.</w:t>
            </w:r>
            <w:r>
              <w:rPr>
                <w:color w:val="auto"/>
              </w:rPr>
              <w:t>除上述空间布局约束外，还应遵循国土空间规划管控要求。</w:t>
            </w:r>
          </w:p>
        </w:tc>
        <w:tc>
          <w:tcPr>
            <w:tcW w:w="1253" w:type="pct"/>
            <w:tcBorders>
              <w:top w:val="single" w:color="auto" w:sz="4" w:space="0"/>
              <w:left w:val="single" w:color="auto" w:sz="4" w:space="0"/>
              <w:bottom w:val="single" w:color="auto" w:sz="4" w:space="0"/>
              <w:right w:val="single" w:color="auto" w:sz="4" w:space="0"/>
            </w:tcBorders>
            <w:vAlign w:val="center"/>
          </w:tcPr>
          <w:p w14:paraId="7E79FDB8">
            <w:pPr>
              <w:pStyle w:val="33"/>
              <w:jc w:val="left"/>
              <w:rPr>
                <w:color w:val="auto"/>
              </w:rPr>
            </w:pPr>
            <w:r>
              <w:rPr>
                <w:color w:val="auto"/>
              </w:rPr>
              <w:t>项目在现有厂区内建设，厂区</w:t>
            </w:r>
            <w:r>
              <w:rPr>
                <w:rFonts w:hint="eastAsia"/>
                <w:color w:val="auto"/>
              </w:rPr>
              <w:t>位于钦州港金光工业园</w:t>
            </w:r>
            <w:r>
              <w:rPr>
                <w:color w:val="auto"/>
              </w:rPr>
              <w:t>范围内</w:t>
            </w:r>
            <w:r>
              <w:rPr>
                <w:rFonts w:hint="eastAsia"/>
                <w:color w:val="auto"/>
              </w:rPr>
              <w:t>符合</w:t>
            </w:r>
            <w:r>
              <w:rPr>
                <w:color w:val="auto"/>
              </w:rPr>
              <w:t>国土空间规划管控要求</w:t>
            </w:r>
          </w:p>
        </w:tc>
        <w:tc>
          <w:tcPr>
            <w:tcW w:w="386" w:type="pct"/>
            <w:vAlign w:val="center"/>
          </w:tcPr>
          <w:p w14:paraId="698A6D67">
            <w:pPr>
              <w:pStyle w:val="33"/>
              <w:rPr>
                <w:color w:val="auto"/>
              </w:rPr>
            </w:pPr>
            <w:r>
              <w:rPr>
                <w:rFonts w:hint="eastAsia"/>
                <w:color w:val="auto"/>
              </w:rPr>
              <w:t>符合</w:t>
            </w:r>
          </w:p>
        </w:tc>
      </w:tr>
      <w:tr w14:paraId="33DEA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restart"/>
            <w:tcBorders>
              <w:top w:val="single" w:color="auto" w:sz="4" w:space="0"/>
              <w:left w:val="single" w:color="auto" w:sz="4" w:space="0"/>
              <w:bottom w:val="single" w:color="auto" w:sz="4" w:space="0"/>
              <w:right w:val="single" w:color="auto" w:sz="4" w:space="0"/>
            </w:tcBorders>
            <w:vAlign w:val="center"/>
          </w:tcPr>
          <w:p w14:paraId="1F59C83E">
            <w:pPr>
              <w:pStyle w:val="33"/>
              <w:rPr>
                <w:color w:val="auto"/>
              </w:rPr>
            </w:pPr>
            <w:r>
              <w:rPr>
                <w:color w:val="auto"/>
              </w:rPr>
              <w:t>污染物排放管控</w:t>
            </w:r>
          </w:p>
        </w:tc>
        <w:tc>
          <w:tcPr>
            <w:tcW w:w="2894" w:type="pct"/>
            <w:tcBorders>
              <w:top w:val="single" w:color="auto" w:sz="4" w:space="0"/>
              <w:left w:val="single" w:color="auto" w:sz="4" w:space="0"/>
              <w:bottom w:val="single" w:color="auto" w:sz="4" w:space="0"/>
              <w:right w:val="single" w:color="auto" w:sz="4" w:space="0"/>
            </w:tcBorders>
            <w:vAlign w:val="center"/>
          </w:tcPr>
          <w:p w14:paraId="5263C265">
            <w:pPr>
              <w:pStyle w:val="33"/>
              <w:jc w:val="left"/>
              <w:rPr>
                <w:color w:val="auto"/>
              </w:rPr>
            </w:pPr>
            <w:r>
              <w:rPr>
                <w:color w:val="auto"/>
              </w:rPr>
              <w:t>1.以有色金属、建材、制糖、石化化工、造纸等行业为重点，推进节能改造和污染物深度治理；新建、改建、扩建的制浆造纸、印染、纺织、煤化工、石化、煤电等建设项目新增主要污染物排放应控制在区域总量的要求，确保环境质量达标。</w:t>
            </w:r>
          </w:p>
        </w:tc>
        <w:tc>
          <w:tcPr>
            <w:tcW w:w="1253" w:type="pct"/>
            <w:tcBorders>
              <w:top w:val="single" w:color="auto" w:sz="4" w:space="0"/>
              <w:left w:val="single" w:color="auto" w:sz="4" w:space="0"/>
              <w:bottom w:val="single" w:color="auto" w:sz="4" w:space="0"/>
              <w:right w:val="single" w:color="auto" w:sz="4" w:space="0"/>
            </w:tcBorders>
            <w:vAlign w:val="center"/>
          </w:tcPr>
          <w:p w14:paraId="58258EA8">
            <w:pPr>
              <w:pStyle w:val="33"/>
              <w:jc w:val="left"/>
              <w:rPr>
                <w:color w:val="auto"/>
              </w:rPr>
            </w:pPr>
            <w:r>
              <w:rPr>
                <w:color w:val="auto"/>
              </w:rPr>
              <w:t>项目污染物可达标排放，污染物排放符合总量控制的要求。</w:t>
            </w:r>
          </w:p>
        </w:tc>
        <w:tc>
          <w:tcPr>
            <w:tcW w:w="386" w:type="pct"/>
            <w:vAlign w:val="center"/>
          </w:tcPr>
          <w:p w14:paraId="24F181FD">
            <w:pPr>
              <w:pStyle w:val="33"/>
              <w:rPr>
                <w:color w:val="auto"/>
              </w:rPr>
            </w:pPr>
            <w:r>
              <w:rPr>
                <w:rFonts w:hint="eastAsia"/>
                <w:color w:val="auto"/>
              </w:rPr>
              <w:t>符合</w:t>
            </w:r>
          </w:p>
        </w:tc>
      </w:tr>
      <w:tr w14:paraId="242C7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FCA3672">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0B97AD8D">
            <w:pPr>
              <w:pStyle w:val="33"/>
              <w:jc w:val="left"/>
              <w:rPr>
                <w:color w:val="auto"/>
              </w:rPr>
            </w:pPr>
            <w:r>
              <w:rPr>
                <w:color w:val="auto"/>
              </w:rPr>
              <w:t>2.持续加强工业集聚区污水集中处理设施建设，提高工业企业水循环利用率、污染物预处理能力及污染集中治理能力，补齐基础设施短板，按照“清污分流、雨污分流”原则，实施废水分类收集、分质处理，入园企业在达到国家或地方规定的排放标准后接入园区集中式污水处理设施稳定达标排放；加快推进深海排放基础设施建设。</w:t>
            </w:r>
          </w:p>
        </w:tc>
        <w:tc>
          <w:tcPr>
            <w:tcW w:w="1253" w:type="pct"/>
            <w:tcBorders>
              <w:top w:val="single" w:color="auto" w:sz="4" w:space="0"/>
              <w:left w:val="single" w:color="auto" w:sz="4" w:space="0"/>
              <w:bottom w:val="single" w:color="auto" w:sz="4" w:space="0"/>
              <w:right w:val="single" w:color="auto" w:sz="4" w:space="0"/>
            </w:tcBorders>
            <w:vAlign w:val="center"/>
          </w:tcPr>
          <w:p w14:paraId="54E9B0B2">
            <w:pPr>
              <w:pStyle w:val="33"/>
              <w:jc w:val="left"/>
              <w:rPr>
                <w:color w:val="auto"/>
              </w:rPr>
            </w:pPr>
            <w:r>
              <w:rPr>
                <w:rFonts w:hint="eastAsia"/>
                <w:color w:val="auto"/>
              </w:rPr>
              <w:t>项目按照“清污分流、雨污分流”原则进行废水处理，达标废水经A2排污口排放；</w:t>
            </w:r>
            <w:r>
              <w:rPr>
                <w:color w:val="auto"/>
              </w:rPr>
              <w:t>本项目不新增生产废水外排。</w:t>
            </w:r>
          </w:p>
        </w:tc>
        <w:tc>
          <w:tcPr>
            <w:tcW w:w="386" w:type="pct"/>
            <w:vAlign w:val="center"/>
          </w:tcPr>
          <w:p w14:paraId="0E1E7454">
            <w:pPr>
              <w:pStyle w:val="33"/>
              <w:rPr>
                <w:color w:val="auto"/>
              </w:rPr>
            </w:pPr>
            <w:r>
              <w:rPr>
                <w:rFonts w:hint="eastAsia"/>
                <w:color w:val="auto"/>
              </w:rPr>
              <w:t>符合</w:t>
            </w:r>
          </w:p>
        </w:tc>
      </w:tr>
      <w:tr w14:paraId="67E5A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5918A10B">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20E70036">
            <w:pPr>
              <w:pStyle w:val="33"/>
              <w:jc w:val="left"/>
              <w:rPr>
                <w:color w:val="auto"/>
              </w:rPr>
            </w:pPr>
            <w:r>
              <w:rPr>
                <w:color w:val="auto"/>
              </w:rPr>
              <w:t>3. 开展陆海统筹流域治理，深化钦江、大风江、茅岭江、南流江等流域水环境综合整治，钦江、南流江流域切实开展截污、拔污、清污、治污专项行动，以“控磷除氮”为重点，抓好养殖、生活、工业、农业面源等污染综合治理和河道生态修复，推进河流入海断面水质持续改善，进一步削减入海河流总氮、总磷等的排海量。全面开展茅尾海、钦州湾等重点海域综合整治。严厉打击非法用海抽砂行为，优化茅尾海等海域养殖规划布局，整治非法养殖。完善钦州港区污水截流及雨污分流、海上水产养殖尾水整治。</w:t>
            </w:r>
          </w:p>
        </w:tc>
        <w:tc>
          <w:tcPr>
            <w:tcW w:w="1253" w:type="pct"/>
            <w:tcBorders>
              <w:top w:val="single" w:color="auto" w:sz="4" w:space="0"/>
              <w:left w:val="single" w:color="auto" w:sz="4" w:space="0"/>
              <w:bottom w:val="single" w:color="auto" w:sz="4" w:space="0"/>
              <w:right w:val="single" w:color="auto" w:sz="4" w:space="0"/>
            </w:tcBorders>
            <w:vAlign w:val="center"/>
          </w:tcPr>
          <w:p w14:paraId="58FFC998">
            <w:pPr>
              <w:pStyle w:val="33"/>
              <w:jc w:val="left"/>
              <w:rPr>
                <w:color w:val="auto"/>
              </w:rPr>
            </w:pPr>
            <w:r>
              <w:rPr>
                <w:color w:val="auto"/>
              </w:rPr>
              <w:t>项目</w:t>
            </w:r>
            <w:r>
              <w:rPr>
                <w:rFonts w:hint="eastAsia"/>
                <w:color w:val="auto"/>
              </w:rPr>
              <w:t>向等</w:t>
            </w:r>
            <w:r>
              <w:rPr>
                <w:color w:val="auto"/>
              </w:rPr>
              <w:t>钦江、大风江、茅岭江、南流江等流域</w:t>
            </w:r>
            <w:r>
              <w:rPr>
                <w:rFonts w:hint="eastAsia"/>
                <w:color w:val="auto"/>
              </w:rPr>
              <w:t>排污</w:t>
            </w:r>
            <w:r>
              <w:rPr>
                <w:color w:val="auto"/>
              </w:rPr>
              <w:t>；项目不涉及海域养殖。</w:t>
            </w:r>
          </w:p>
        </w:tc>
        <w:tc>
          <w:tcPr>
            <w:tcW w:w="386" w:type="pct"/>
            <w:vAlign w:val="center"/>
          </w:tcPr>
          <w:p w14:paraId="3C94AF9C">
            <w:pPr>
              <w:pStyle w:val="33"/>
              <w:rPr>
                <w:color w:val="auto"/>
              </w:rPr>
            </w:pPr>
            <w:r>
              <w:rPr>
                <w:rFonts w:hint="eastAsia"/>
                <w:color w:val="auto"/>
              </w:rPr>
              <w:t>符合</w:t>
            </w:r>
          </w:p>
        </w:tc>
      </w:tr>
      <w:tr w14:paraId="15A36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10374E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2CA8AF04">
            <w:pPr>
              <w:pStyle w:val="33"/>
              <w:jc w:val="left"/>
              <w:rPr>
                <w:color w:val="auto"/>
              </w:rPr>
            </w:pPr>
            <w:r>
              <w:rPr>
                <w:color w:val="auto"/>
              </w:rPr>
              <w:t>4.完善城镇污水处理厂配套管网建设，加强乡镇级污水处理设施及配套管网建设和改造，实施雨污分流改造，持续开展入河排污口整治，强化城镇生活污染源治理，建立健全生活污水收集、处理体系，推进城镇污水处理设施和服务向农村延伸，提高污水收集处理率，污水处理设施应增加脱氮、除磷工序。持续推进市、县级城市黑臭水体整治。</w:t>
            </w:r>
          </w:p>
        </w:tc>
        <w:tc>
          <w:tcPr>
            <w:tcW w:w="1253" w:type="pct"/>
            <w:tcBorders>
              <w:top w:val="single" w:color="auto" w:sz="4" w:space="0"/>
              <w:left w:val="single" w:color="auto" w:sz="4" w:space="0"/>
              <w:bottom w:val="single" w:color="auto" w:sz="4" w:space="0"/>
              <w:right w:val="single" w:color="auto" w:sz="4" w:space="0"/>
            </w:tcBorders>
            <w:vAlign w:val="center"/>
          </w:tcPr>
          <w:p w14:paraId="5E4EF1E9">
            <w:pPr>
              <w:pStyle w:val="33"/>
              <w:jc w:val="left"/>
              <w:rPr>
                <w:color w:val="auto"/>
              </w:rPr>
            </w:pPr>
            <w:r>
              <w:rPr>
                <w:color w:val="auto"/>
              </w:rPr>
              <w:t>项目不涉及。</w:t>
            </w:r>
          </w:p>
        </w:tc>
        <w:tc>
          <w:tcPr>
            <w:tcW w:w="386" w:type="pct"/>
            <w:vAlign w:val="center"/>
          </w:tcPr>
          <w:p w14:paraId="3434E81E">
            <w:pPr>
              <w:pStyle w:val="33"/>
              <w:rPr>
                <w:color w:val="auto"/>
              </w:rPr>
            </w:pPr>
            <w:r>
              <w:rPr>
                <w:rFonts w:hint="eastAsia"/>
                <w:color w:val="auto"/>
              </w:rPr>
              <w:t>/</w:t>
            </w:r>
          </w:p>
        </w:tc>
      </w:tr>
      <w:tr w14:paraId="1A76C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37AA5A80">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1D5EBBEA">
            <w:pPr>
              <w:pStyle w:val="33"/>
              <w:jc w:val="left"/>
              <w:rPr>
                <w:color w:val="auto"/>
              </w:rPr>
            </w:pPr>
            <w:r>
              <w:rPr>
                <w:color w:val="auto"/>
              </w:rPr>
              <w:t>5.加强工业企业无组织废气排放控制，加强挥发性有机物（VOCs）排放企业综合防治，加快高效VOCs收集治理设施建设，大力提升VOCs排放收集率、去除率和治理设施运行率。推进工业涂装、石化、包装印刷、木材加工、汽修等行业和油品储运销的VOCs综合治理。</w:t>
            </w:r>
          </w:p>
        </w:tc>
        <w:tc>
          <w:tcPr>
            <w:tcW w:w="1253" w:type="pct"/>
            <w:tcBorders>
              <w:top w:val="single" w:color="auto" w:sz="4" w:space="0"/>
              <w:left w:val="single" w:color="auto" w:sz="4" w:space="0"/>
              <w:bottom w:val="single" w:color="auto" w:sz="4" w:space="0"/>
              <w:right w:val="single" w:color="auto" w:sz="4" w:space="0"/>
            </w:tcBorders>
            <w:vAlign w:val="center"/>
          </w:tcPr>
          <w:p w14:paraId="565BCA8F">
            <w:pPr>
              <w:pStyle w:val="33"/>
              <w:jc w:val="left"/>
              <w:rPr>
                <w:color w:val="auto"/>
              </w:rPr>
            </w:pPr>
            <w:r>
              <w:rPr>
                <w:rFonts w:hint="eastAsia"/>
                <w:color w:val="auto"/>
              </w:rPr>
              <w:t>本次建设淋膜纸生产线废气处理设施，加强</w:t>
            </w:r>
            <w:r>
              <w:rPr>
                <w:color w:val="auto"/>
              </w:rPr>
              <w:t>挥发性有机物（VOCs）治理</w:t>
            </w:r>
            <w:r>
              <w:rPr>
                <w:rFonts w:hint="eastAsia"/>
                <w:color w:val="auto"/>
              </w:rPr>
              <w:t>。</w:t>
            </w:r>
          </w:p>
        </w:tc>
        <w:tc>
          <w:tcPr>
            <w:tcW w:w="386" w:type="pct"/>
            <w:vAlign w:val="center"/>
          </w:tcPr>
          <w:p w14:paraId="5C727FBB">
            <w:pPr>
              <w:pStyle w:val="33"/>
              <w:rPr>
                <w:color w:val="auto"/>
              </w:rPr>
            </w:pPr>
            <w:r>
              <w:rPr>
                <w:rFonts w:hint="eastAsia"/>
                <w:color w:val="auto"/>
              </w:rPr>
              <w:t>符合</w:t>
            </w:r>
          </w:p>
        </w:tc>
      </w:tr>
      <w:tr w14:paraId="3D60A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59926B8E">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1351B79">
            <w:pPr>
              <w:pStyle w:val="33"/>
              <w:jc w:val="left"/>
              <w:rPr>
                <w:color w:val="auto"/>
              </w:rPr>
            </w:pPr>
            <w:r>
              <w:rPr>
                <w:color w:val="auto"/>
              </w:rPr>
              <w:t>6.完善园区集中供热设施，积极推广集中供热，有条件的工业聚集区建设集中喷涂工程中心，配备高效治污设施，替代企业独立喷涂工序。</w:t>
            </w:r>
          </w:p>
        </w:tc>
        <w:tc>
          <w:tcPr>
            <w:tcW w:w="1253" w:type="pct"/>
            <w:tcBorders>
              <w:top w:val="single" w:color="auto" w:sz="4" w:space="0"/>
              <w:left w:val="single" w:color="auto" w:sz="4" w:space="0"/>
              <w:bottom w:val="single" w:color="auto" w:sz="4" w:space="0"/>
              <w:right w:val="single" w:color="auto" w:sz="4" w:space="0"/>
            </w:tcBorders>
            <w:vAlign w:val="center"/>
          </w:tcPr>
          <w:p w14:paraId="4D6BD895">
            <w:pPr>
              <w:pStyle w:val="33"/>
              <w:jc w:val="left"/>
              <w:rPr>
                <w:color w:val="auto"/>
              </w:rPr>
            </w:pPr>
            <w:r>
              <w:rPr>
                <w:color w:val="auto"/>
              </w:rPr>
              <w:t>项目不涉及。</w:t>
            </w:r>
          </w:p>
        </w:tc>
        <w:tc>
          <w:tcPr>
            <w:tcW w:w="386" w:type="pct"/>
            <w:vAlign w:val="center"/>
          </w:tcPr>
          <w:p w14:paraId="33DCE491">
            <w:pPr>
              <w:pStyle w:val="33"/>
              <w:rPr>
                <w:color w:val="auto"/>
              </w:rPr>
            </w:pPr>
            <w:r>
              <w:rPr>
                <w:rFonts w:hint="eastAsia"/>
                <w:color w:val="auto"/>
              </w:rPr>
              <w:t>/</w:t>
            </w:r>
          </w:p>
        </w:tc>
      </w:tr>
      <w:tr w14:paraId="5F3C9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40FF7EEE">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24B536E5">
            <w:pPr>
              <w:pStyle w:val="33"/>
              <w:jc w:val="left"/>
              <w:rPr>
                <w:color w:val="auto"/>
              </w:rPr>
            </w:pPr>
            <w:r>
              <w:rPr>
                <w:color w:val="auto"/>
              </w:rPr>
              <w:t>7.推进城镇生活垃圾处理基础设施扩能建设，强化渗滤液处理设施运营管理，防止渗滤液积存或违规倾倒垃圾渗滤液至市政管网；加强农村生活垃圾收运、处理体系建设，降低农村垃圾焚烧污染。</w:t>
            </w:r>
          </w:p>
        </w:tc>
        <w:tc>
          <w:tcPr>
            <w:tcW w:w="1253" w:type="pct"/>
            <w:tcBorders>
              <w:top w:val="single" w:color="auto" w:sz="4" w:space="0"/>
              <w:left w:val="single" w:color="auto" w:sz="4" w:space="0"/>
              <w:bottom w:val="single" w:color="auto" w:sz="4" w:space="0"/>
              <w:right w:val="single" w:color="auto" w:sz="4" w:space="0"/>
            </w:tcBorders>
            <w:vAlign w:val="center"/>
          </w:tcPr>
          <w:p w14:paraId="5707BF24">
            <w:pPr>
              <w:pStyle w:val="33"/>
              <w:jc w:val="left"/>
              <w:rPr>
                <w:color w:val="auto"/>
              </w:rPr>
            </w:pPr>
            <w:r>
              <w:rPr>
                <w:color w:val="auto"/>
              </w:rPr>
              <w:t>项目不涉及。</w:t>
            </w:r>
          </w:p>
        </w:tc>
        <w:tc>
          <w:tcPr>
            <w:tcW w:w="386" w:type="pct"/>
            <w:vAlign w:val="center"/>
          </w:tcPr>
          <w:p w14:paraId="371796C5">
            <w:pPr>
              <w:pStyle w:val="33"/>
              <w:rPr>
                <w:color w:val="auto"/>
              </w:rPr>
            </w:pPr>
            <w:r>
              <w:rPr>
                <w:rFonts w:hint="eastAsia"/>
                <w:color w:val="auto"/>
              </w:rPr>
              <w:t>/</w:t>
            </w:r>
          </w:p>
        </w:tc>
      </w:tr>
      <w:tr w14:paraId="7DE87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3305B29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CA10DFD">
            <w:pPr>
              <w:pStyle w:val="33"/>
              <w:jc w:val="left"/>
              <w:rPr>
                <w:color w:val="auto"/>
              </w:rPr>
            </w:pPr>
            <w:r>
              <w:rPr>
                <w:color w:val="auto"/>
              </w:rPr>
              <w:t>8.新建、改建、扩建涉及重点重金属排放建设项目依照相关规定实行总量控制。</w:t>
            </w:r>
          </w:p>
        </w:tc>
        <w:tc>
          <w:tcPr>
            <w:tcW w:w="1253" w:type="pct"/>
            <w:tcBorders>
              <w:top w:val="single" w:color="auto" w:sz="4" w:space="0"/>
              <w:left w:val="single" w:color="auto" w:sz="4" w:space="0"/>
              <w:bottom w:val="single" w:color="auto" w:sz="4" w:space="0"/>
              <w:right w:val="single" w:color="auto" w:sz="4" w:space="0"/>
            </w:tcBorders>
            <w:vAlign w:val="center"/>
          </w:tcPr>
          <w:p w14:paraId="49A29985">
            <w:pPr>
              <w:pStyle w:val="33"/>
              <w:jc w:val="left"/>
              <w:rPr>
                <w:color w:val="auto"/>
              </w:rPr>
            </w:pPr>
            <w:r>
              <w:rPr>
                <w:color w:val="auto"/>
              </w:rPr>
              <w:t>项目不涉及重点重金属排放。</w:t>
            </w:r>
          </w:p>
        </w:tc>
        <w:tc>
          <w:tcPr>
            <w:tcW w:w="386" w:type="pct"/>
            <w:vAlign w:val="center"/>
          </w:tcPr>
          <w:p w14:paraId="17DB151B">
            <w:pPr>
              <w:pStyle w:val="33"/>
              <w:rPr>
                <w:color w:val="auto"/>
              </w:rPr>
            </w:pPr>
            <w:r>
              <w:rPr>
                <w:rFonts w:hint="eastAsia"/>
                <w:color w:val="auto"/>
              </w:rPr>
              <w:t>/</w:t>
            </w:r>
          </w:p>
        </w:tc>
      </w:tr>
      <w:tr w14:paraId="63787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5963F582">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ACE6340">
            <w:pPr>
              <w:pStyle w:val="33"/>
              <w:jc w:val="both"/>
              <w:rPr>
                <w:color w:val="auto"/>
              </w:rPr>
            </w:pPr>
            <w:r>
              <w:rPr>
                <w:color w:val="auto"/>
              </w:rPr>
              <w:t>9.新建“两高”项目应采用先进适用的工艺技术和装备，单位产品物耗、能耗、水耗等达到清洁生产先进水平，依法制定并严格落实防治土壤与地下水污染的措施。按照《关于加强重点行业建设项目区域削减措施监督管理的通知》要求，依据区域环境质量改善目标，制定配套区域污染物削减方案，采取有效的污染物区域削减措施，腾出足够的环境容量。</w:t>
            </w:r>
          </w:p>
        </w:tc>
        <w:tc>
          <w:tcPr>
            <w:tcW w:w="1253" w:type="pct"/>
            <w:tcBorders>
              <w:top w:val="single" w:color="auto" w:sz="4" w:space="0"/>
              <w:left w:val="single" w:color="auto" w:sz="4" w:space="0"/>
              <w:bottom w:val="single" w:color="auto" w:sz="4" w:space="0"/>
              <w:right w:val="single" w:color="auto" w:sz="4" w:space="0"/>
            </w:tcBorders>
            <w:vAlign w:val="center"/>
          </w:tcPr>
          <w:p w14:paraId="0AC28517">
            <w:pPr>
              <w:pStyle w:val="33"/>
              <w:jc w:val="both"/>
              <w:rPr>
                <w:color w:val="auto"/>
              </w:rPr>
            </w:pPr>
            <w:r>
              <w:rPr>
                <w:color w:val="auto"/>
              </w:rPr>
              <w:t>项目不属于“两高”项目。</w:t>
            </w:r>
          </w:p>
        </w:tc>
        <w:tc>
          <w:tcPr>
            <w:tcW w:w="386" w:type="pct"/>
            <w:vAlign w:val="center"/>
          </w:tcPr>
          <w:p w14:paraId="6E5FAF8C">
            <w:pPr>
              <w:pStyle w:val="33"/>
              <w:rPr>
                <w:color w:val="auto"/>
              </w:rPr>
            </w:pPr>
            <w:r>
              <w:rPr>
                <w:rFonts w:hint="eastAsia"/>
                <w:color w:val="auto"/>
              </w:rPr>
              <w:t>/</w:t>
            </w:r>
          </w:p>
        </w:tc>
      </w:tr>
      <w:tr w14:paraId="2E420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1FF2155D">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252A4E4E">
            <w:pPr>
              <w:pStyle w:val="33"/>
              <w:jc w:val="both"/>
              <w:rPr>
                <w:color w:val="auto"/>
              </w:rPr>
            </w:pPr>
            <w:r>
              <w:rPr>
                <w:color w:val="auto"/>
              </w:rPr>
              <w:t>10.加强海陆联动，严格控制陆源污染物排放。规范入海排污口设置，全面清理非法或设置不合理的入海排污口。加快推进钦州港三墩作业区配套深海排放管道工程。</w:t>
            </w:r>
          </w:p>
        </w:tc>
        <w:tc>
          <w:tcPr>
            <w:tcW w:w="1253" w:type="pct"/>
            <w:tcBorders>
              <w:top w:val="single" w:color="auto" w:sz="4" w:space="0"/>
              <w:left w:val="single" w:color="auto" w:sz="4" w:space="0"/>
              <w:bottom w:val="single" w:color="auto" w:sz="4" w:space="0"/>
              <w:right w:val="single" w:color="auto" w:sz="4" w:space="0"/>
            </w:tcBorders>
            <w:vAlign w:val="center"/>
          </w:tcPr>
          <w:p w14:paraId="630ABEAE">
            <w:pPr>
              <w:pStyle w:val="33"/>
              <w:jc w:val="both"/>
              <w:rPr>
                <w:color w:val="auto"/>
              </w:rPr>
            </w:pPr>
            <w:r>
              <w:rPr>
                <w:color w:val="auto"/>
              </w:rPr>
              <w:t>项目不新增入海排污口</w:t>
            </w:r>
            <w:r>
              <w:rPr>
                <w:rFonts w:hint="eastAsia"/>
                <w:color w:val="auto"/>
              </w:rPr>
              <w:t>，不新增入海污水排放量</w:t>
            </w:r>
            <w:r>
              <w:rPr>
                <w:color w:val="auto"/>
              </w:rPr>
              <w:t>。</w:t>
            </w:r>
          </w:p>
        </w:tc>
        <w:tc>
          <w:tcPr>
            <w:tcW w:w="386" w:type="pct"/>
            <w:vAlign w:val="center"/>
          </w:tcPr>
          <w:p w14:paraId="4FB05D78">
            <w:pPr>
              <w:pStyle w:val="33"/>
              <w:rPr>
                <w:color w:val="auto"/>
              </w:rPr>
            </w:pPr>
            <w:r>
              <w:rPr>
                <w:rFonts w:hint="eastAsia"/>
                <w:color w:val="auto"/>
              </w:rPr>
              <w:t>符合</w:t>
            </w:r>
          </w:p>
        </w:tc>
      </w:tr>
      <w:tr w14:paraId="6C15B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367FE415">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35DB9D7">
            <w:pPr>
              <w:pStyle w:val="33"/>
              <w:jc w:val="both"/>
              <w:rPr>
                <w:color w:val="auto"/>
              </w:rPr>
            </w:pPr>
            <w:r>
              <w:rPr>
                <w:color w:val="auto"/>
              </w:rPr>
              <w:t>11.积极治理船舶污染，推进与城市公共转运及处置设施的有效衔接，全面贯彻落实《广西北部湾港船舶污染物接收、转运、处置能力评估及相应设施建设方案》，建设完善船舶污染物接收处理设施，提高含油污水、化学品洗舱水、船舶垃圾等接收处置能力及污染事故应急能力。加强钦州港码头和船舶修造厂等绿色岸电、环卫设施、污水处理设施建设使用。</w:t>
            </w:r>
          </w:p>
        </w:tc>
        <w:tc>
          <w:tcPr>
            <w:tcW w:w="1253" w:type="pct"/>
            <w:tcBorders>
              <w:top w:val="single" w:color="auto" w:sz="4" w:space="0"/>
              <w:left w:val="single" w:color="auto" w:sz="4" w:space="0"/>
              <w:bottom w:val="single" w:color="auto" w:sz="4" w:space="0"/>
              <w:right w:val="single" w:color="auto" w:sz="4" w:space="0"/>
            </w:tcBorders>
            <w:vAlign w:val="center"/>
          </w:tcPr>
          <w:p w14:paraId="1DAF607F">
            <w:pPr>
              <w:pStyle w:val="33"/>
              <w:jc w:val="both"/>
              <w:rPr>
                <w:color w:val="auto"/>
              </w:rPr>
            </w:pPr>
            <w:r>
              <w:rPr>
                <w:color w:val="auto"/>
              </w:rPr>
              <w:t>项目不涉及船舶污染。</w:t>
            </w:r>
          </w:p>
        </w:tc>
        <w:tc>
          <w:tcPr>
            <w:tcW w:w="386" w:type="pct"/>
            <w:vAlign w:val="center"/>
          </w:tcPr>
          <w:p w14:paraId="5B864555">
            <w:pPr>
              <w:pStyle w:val="33"/>
              <w:rPr>
                <w:color w:val="auto"/>
              </w:rPr>
            </w:pPr>
            <w:r>
              <w:rPr>
                <w:rFonts w:hint="eastAsia"/>
                <w:color w:val="auto"/>
              </w:rPr>
              <w:t>/</w:t>
            </w:r>
          </w:p>
        </w:tc>
      </w:tr>
      <w:tr w14:paraId="07FA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182CF79A">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102383A0">
            <w:pPr>
              <w:pStyle w:val="33"/>
              <w:jc w:val="both"/>
              <w:rPr>
                <w:color w:val="auto"/>
              </w:rPr>
            </w:pPr>
            <w:r>
              <w:rPr>
                <w:color w:val="auto"/>
              </w:rPr>
              <w:t>12.加强港口码头环保基础设施处理和建设。完善堆场防风抑尘设施，降低扬尘污染。港区实行雨污分流和污水分质处理，防止堆场废水通过雨水沟直排入海，完善配套污水处理设施和管网建设，实现污水集中处理、回用或达标排放。</w:t>
            </w:r>
          </w:p>
        </w:tc>
        <w:tc>
          <w:tcPr>
            <w:tcW w:w="1253" w:type="pct"/>
            <w:tcBorders>
              <w:top w:val="single" w:color="auto" w:sz="4" w:space="0"/>
              <w:left w:val="single" w:color="auto" w:sz="4" w:space="0"/>
              <w:bottom w:val="single" w:color="auto" w:sz="4" w:space="0"/>
              <w:right w:val="single" w:color="auto" w:sz="4" w:space="0"/>
            </w:tcBorders>
            <w:vAlign w:val="center"/>
          </w:tcPr>
          <w:p w14:paraId="3D7D38D6">
            <w:pPr>
              <w:pStyle w:val="33"/>
              <w:jc w:val="both"/>
              <w:rPr>
                <w:color w:val="auto"/>
              </w:rPr>
            </w:pPr>
            <w:r>
              <w:rPr>
                <w:color w:val="auto"/>
              </w:rPr>
              <w:t>项目不涉及港口码头环保基础设施。</w:t>
            </w:r>
          </w:p>
        </w:tc>
        <w:tc>
          <w:tcPr>
            <w:tcW w:w="386" w:type="pct"/>
            <w:vAlign w:val="center"/>
          </w:tcPr>
          <w:p w14:paraId="72C4E6BF">
            <w:pPr>
              <w:pStyle w:val="33"/>
              <w:rPr>
                <w:color w:val="auto"/>
              </w:rPr>
            </w:pPr>
            <w:r>
              <w:rPr>
                <w:rFonts w:hint="eastAsia"/>
                <w:color w:val="auto"/>
              </w:rPr>
              <w:t>/</w:t>
            </w:r>
          </w:p>
        </w:tc>
      </w:tr>
      <w:tr w14:paraId="55140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88C2AF5">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9CF317D">
            <w:pPr>
              <w:pStyle w:val="33"/>
              <w:jc w:val="both"/>
              <w:rPr>
                <w:color w:val="auto"/>
              </w:rPr>
            </w:pPr>
            <w:r>
              <w:rPr>
                <w:color w:val="auto"/>
              </w:rPr>
              <w:t>13.污水离岸排放不得超过国家或者地方规定的排放标准。禁止向海域排放油类、酸液、碱液、剧毒废液和高、中水平放射性废水，严格控制向海域排放含有不易降解的有机物和重金属的废水，排放低水平放射性废水应当符合国家放射性污染防治标准，其他污染物的排放应当符合国家或者地方标准。含病原体的医疗污水、生活污水和工业废水必须经过处理，符合国家有关排放标准后，方能排入海域。含有机物和营养物质的工业废水、生活污水，应当严格控制向海湾、半封闭海及其他自净能力较差的海域排放。向海域排放含热废水，必须采取有效措施，保证邻近渔业水域的水温符合国家海洋环境质量标准，避免热污染对水产资源的危害。</w:t>
            </w:r>
          </w:p>
        </w:tc>
        <w:tc>
          <w:tcPr>
            <w:tcW w:w="1253" w:type="pct"/>
            <w:tcBorders>
              <w:top w:val="single" w:color="auto" w:sz="4" w:space="0"/>
              <w:left w:val="single" w:color="auto" w:sz="4" w:space="0"/>
              <w:bottom w:val="single" w:color="auto" w:sz="4" w:space="0"/>
              <w:right w:val="single" w:color="auto" w:sz="4" w:space="0"/>
            </w:tcBorders>
            <w:vAlign w:val="center"/>
          </w:tcPr>
          <w:p w14:paraId="1CAA8744">
            <w:pPr>
              <w:pStyle w:val="33"/>
              <w:jc w:val="both"/>
              <w:rPr>
                <w:color w:val="auto"/>
              </w:rPr>
            </w:pPr>
            <w:r>
              <w:rPr>
                <w:rFonts w:hint="eastAsia"/>
                <w:color w:val="auto"/>
              </w:rPr>
              <w:t>企业污水排放符合</w:t>
            </w:r>
            <w:r>
              <w:rPr>
                <w:color w:val="auto"/>
              </w:rPr>
              <w:t>国家或者地方规定的排放标准。本项目</w:t>
            </w:r>
            <w:r>
              <w:rPr>
                <w:rFonts w:hint="eastAsia"/>
                <w:color w:val="auto"/>
              </w:rPr>
              <w:t>建成后，</w:t>
            </w:r>
            <w:r>
              <w:rPr>
                <w:color w:val="auto"/>
              </w:rPr>
              <w:t>不新增生产废水外排</w:t>
            </w:r>
            <w:r>
              <w:rPr>
                <w:rFonts w:hint="eastAsia"/>
                <w:color w:val="auto"/>
              </w:rPr>
              <w:t>量</w:t>
            </w:r>
            <w:r>
              <w:rPr>
                <w:color w:val="auto"/>
              </w:rPr>
              <w:t>。</w:t>
            </w:r>
          </w:p>
        </w:tc>
        <w:tc>
          <w:tcPr>
            <w:tcW w:w="386" w:type="pct"/>
            <w:vAlign w:val="center"/>
          </w:tcPr>
          <w:p w14:paraId="67BE646E">
            <w:pPr>
              <w:pStyle w:val="33"/>
              <w:rPr>
                <w:color w:val="auto"/>
              </w:rPr>
            </w:pPr>
            <w:r>
              <w:rPr>
                <w:rFonts w:hint="eastAsia"/>
                <w:color w:val="auto"/>
              </w:rPr>
              <w:t>符合</w:t>
            </w:r>
          </w:p>
        </w:tc>
      </w:tr>
      <w:tr w14:paraId="4AB8B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BC826FB">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88C54E8">
            <w:pPr>
              <w:pStyle w:val="33"/>
              <w:jc w:val="both"/>
              <w:rPr>
                <w:color w:val="auto"/>
              </w:rPr>
            </w:pPr>
            <w:r>
              <w:rPr>
                <w:color w:val="auto"/>
              </w:rPr>
              <w:t>14.按照养殖容量控制养殖规模和养殖密度，发展健康、生态养殖方式，推动海水养殖环保设施建设，规范海水养殖尾水排放，加强对蓝圆鲹和二长棘鲷产卵场的保护。旅游休闲娱乐区的污水和垃圾应科学处置、达标排放，禁止直接排入海域。</w:t>
            </w:r>
          </w:p>
        </w:tc>
        <w:tc>
          <w:tcPr>
            <w:tcW w:w="1253" w:type="pct"/>
            <w:tcBorders>
              <w:top w:val="single" w:color="auto" w:sz="4" w:space="0"/>
              <w:left w:val="single" w:color="auto" w:sz="4" w:space="0"/>
              <w:bottom w:val="single" w:color="auto" w:sz="4" w:space="0"/>
              <w:right w:val="single" w:color="auto" w:sz="4" w:space="0"/>
            </w:tcBorders>
            <w:vAlign w:val="center"/>
          </w:tcPr>
          <w:p w14:paraId="4AA22D82">
            <w:pPr>
              <w:pStyle w:val="33"/>
              <w:jc w:val="both"/>
              <w:rPr>
                <w:color w:val="auto"/>
              </w:rPr>
            </w:pPr>
            <w:r>
              <w:rPr>
                <w:color w:val="auto"/>
              </w:rPr>
              <w:t>项目不涉及。</w:t>
            </w:r>
          </w:p>
        </w:tc>
        <w:tc>
          <w:tcPr>
            <w:tcW w:w="386" w:type="pct"/>
            <w:vAlign w:val="center"/>
          </w:tcPr>
          <w:p w14:paraId="23063E86">
            <w:pPr>
              <w:pStyle w:val="33"/>
              <w:rPr>
                <w:color w:val="auto"/>
              </w:rPr>
            </w:pPr>
            <w:r>
              <w:rPr>
                <w:rFonts w:hint="eastAsia"/>
                <w:color w:val="auto"/>
              </w:rPr>
              <w:t>/</w:t>
            </w:r>
          </w:p>
        </w:tc>
      </w:tr>
      <w:tr w14:paraId="134E0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C421999">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EDCBD06">
            <w:pPr>
              <w:pStyle w:val="33"/>
              <w:jc w:val="both"/>
              <w:rPr>
                <w:color w:val="auto"/>
              </w:rPr>
            </w:pPr>
            <w:r>
              <w:rPr>
                <w:color w:val="auto"/>
              </w:rPr>
              <w:t>15．推动造纸行业节能改造，加大有机废液、有机废物、生物质气体的回收利用，固体废物近零排放。</w:t>
            </w:r>
          </w:p>
        </w:tc>
        <w:tc>
          <w:tcPr>
            <w:tcW w:w="1253" w:type="pct"/>
            <w:tcBorders>
              <w:top w:val="single" w:color="auto" w:sz="4" w:space="0"/>
              <w:left w:val="single" w:color="auto" w:sz="4" w:space="0"/>
              <w:bottom w:val="single" w:color="auto" w:sz="4" w:space="0"/>
              <w:right w:val="single" w:color="auto" w:sz="4" w:space="0"/>
            </w:tcBorders>
            <w:vAlign w:val="center"/>
          </w:tcPr>
          <w:p w14:paraId="754C8317">
            <w:pPr>
              <w:pStyle w:val="33"/>
              <w:jc w:val="both"/>
              <w:rPr>
                <w:color w:val="auto"/>
              </w:rPr>
            </w:pPr>
            <w:r>
              <w:rPr>
                <w:rFonts w:hint="eastAsia"/>
                <w:color w:val="auto"/>
              </w:rPr>
              <w:t>项目建设有中水回用设施，项目产生的固体废物均进行综合利用。</w:t>
            </w:r>
          </w:p>
        </w:tc>
        <w:tc>
          <w:tcPr>
            <w:tcW w:w="386" w:type="pct"/>
            <w:vAlign w:val="center"/>
          </w:tcPr>
          <w:p w14:paraId="1806CF74">
            <w:pPr>
              <w:pStyle w:val="33"/>
              <w:rPr>
                <w:color w:val="auto"/>
              </w:rPr>
            </w:pPr>
            <w:r>
              <w:rPr>
                <w:rFonts w:hint="eastAsia"/>
                <w:color w:val="auto"/>
              </w:rPr>
              <w:t>符合</w:t>
            </w:r>
          </w:p>
        </w:tc>
      </w:tr>
      <w:tr w14:paraId="2D8EF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restart"/>
            <w:tcBorders>
              <w:top w:val="single" w:color="auto" w:sz="4" w:space="0"/>
              <w:left w:val="single" w:color="auto" w:sz="4" w:space="0"/>
              <w:bottom w:val="single" w:color="auto" w:sz="4" w:space="0"/>
              <w:right w:val="single" w:color="auto" w:sz="4" w:space="0"/>
            </w:tcBorders>
            <w:vAlign w:val="center"/>
          </w:tcPr>
          <w:p w14:paraId="33D184B2">
            <w:pPr>
              <w:pStyle w:val="33"/>
              <w:rPr>
                <w:color w:val="auto"/>
              </w:rPr>
            </w:pPr>
            <w:r>
              <w:rPr>
                <w:color w:val="auto"/>
              </w:rPr>
              <w:t>环境风险防控</w:t>
            </w:r>
          </w:p>
        </w:tc>
        <w:tc>
          <w:tcPr>
            <w:tcW w:w="2894" w:type="pct"/>
            <w:tcBorders>
              <w:top w:val="single" w:color="auto" w:sz="4" w:space="0"/>
              <w:left w:val="single" w:color="auto" w:sz="4" w:space="0"/>
              <w:bottom w:val="single" w:color="auto" w:sz="4" w:space="0"/>
              <w:right w:val="single" w:color="auto" w:sz="4" w:space="0"/>
            </w:tcBorders>
            <w:vAlign w:val="center"/>
          </w:tcPr>
          <w:p w14:paraId="07DC8107">
            <w:pPr>
              <w:pStyle w:val="33"/>
              <w:jc w:val="both"/>
              <w:rPr>
                <w:color w:val="auto"/>
              </w:rPr>
            </w:pPr>
            <w:r>
              <w:rPr>
                <w:color w:val="auto"/>
              </w:rPr>
              <w:t>1.强化环境风险源精准化管理，健全企业突发环境事件风险评估制度，动态更新重点环境风险源管理目录清单，建立信息齐全、数据准确的风险源及敏感保护目标的数据库，准确掌握重点环境风险源分布情况，重点加强较大及以上风险等级风险源的环境风险防范和应急预警管理。</w:t>
            </w:r>
          </w:p>
        </w:tc>
        <w:tc>
          <w:tcPr>
            <w:tcW w:w="1253" w:type="pct"/>
            <w:vMerge w:val="restart"/>
            <w:tcBorders>
              <w:top w:val="single" w:color="auto" w:sz="4" w:space="0"/>
              <w:left w:val="single" w:color="auto" w:sz="4" w:space="0"/>
              <w:right w:val="single" w:color="auto" w:sz="4" w:space="0"/>
            </w:tcBorders>
            <w:vAlign w:val="center"/>
          </w:tcPr>
          <w:p w14:paraId="314E8D49">
            <w:pPr>
              <w:pStyle w:val="33"/>
              <w:jc w:val="both"/>
              <w:rPr>
                <w:color w:val="auto"/>
              </w:rPr>
            </w:pPr>
            <w:r>
              <w:rPr>
                <w:rFonts w:hint="eastAsia"/>
                <w:color w:val="auto"/>
              </w:rPr>
              <w:t>金桂浆纸按照相关规定编制环境风险应急预案并进行了备案，拟建项目建成后，将进行进一步的完善，实现了企业环境风险应急预案与园区预案的衔接。</w:t>
            </w:r>
          </w:p>
        </w:tc>
        <w:tc>
          <w:tcPr>
            <w:tcW w:w="386" w:type="pct"/>
            <w:vAlign w:val="center"/>
          </w:tcPr>
          <w:p w14:paraId="1BBCFA65">
            <w:pPr>
              <w:pStyle w:val="33"/>
              <w:rPr>
                <w:color w:val="auto"/>
              </w:rPr>
            </w:pPr>
            <w:r>
              <w:rPr>
                <w:rFonts w:hint="eastAsia"/>
                <w:color w:val="auto"/>
              </w:rPr>
              <w:t>符合</w:t>
            </w:r>
          </w:p>
        </w:tc>
      </w:tr>
      <w:tr w14:paraId="58F61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072A9C2">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29E76A1E">
            <w:pPr>
              <w:pStyle w:val="33"/>
              <w:jc w:val="both"/>
              <w:rPr>
                <w:color w:val="auto"/>
              </w:rPr>
            </w:pPr>
            <w:r>
              <w:rPr>
                <w:color w:val="auto"/>
              </w:rPr>
              <w:t>2.选择涉重涉危企业、化工园区、集中式饮用水水源地等重要区域开展突发环境事件风险、环境健康风险评估，实施分类分级风险管控。</w:t>
            </w:r>
          </w:p>
        </w:tc>
        <w:tc>
          <w:tcPr>
            <w:tcW w:w="1253" w:type="pct"/>
            <w:vMerge w:val="continue"/>
            <w:tcBorders>
              <w:left w:val="single" w:color="auto" w:sz="4" w:space="0"/>
              <w:bottom w:val="single" w:color="auto" w:sz="4" w:space="0"/>
              <w:right w:val="single" w:color="auto" w:sz="4" w:space="0"/>
            </w:tcBorders>
            <w:vAlign w:val="center"/>
          </w:tcPr>
          <w:p w14:paraId="2DDED74B">
            <w:pPr>
              <w:pStyle w:val="33"/>
              <w:jc w:val="both"/>
              <w:rPr>
                <w:color w:val="auto"/>
              </w:rPr>
            </w:pPr>
          </w:p>
        </w:tc>
        <w:tc>
          <w:tcPr>
            <w:tcW w:w="386" w:type="pct"/>
            <w:vAlign w:val="center"/>
          </w:tcPr>
          <w:p w14:paraId="0FA123C3">
            <w:pPr>
              <w:pStyle w:val="33"/>
              <w:rPr>
                <w:color w:val="auto"/>
              </w:rPr>
            </w:pPr>
            <w:r>
              <w:rPr>
                <w:rFonts w:hint="eastAsia"/>
                <w:color w:val="auto"/>
              </w:rPr>
              <w:t>符合</w:t>
            </w:r>
          </w:p>
        </w:tc>
      </w:tr>
      <w:tr w14:paraId="246A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4A7CD4C">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47BBFF6">
            <w:pPr>
              <w:pStyle w:val="33"/>
              <w:jc w:val="both"/>
              <w:rPr>
                <w:color w:val="auto"/>
              </w:rPr>
            </w:pPr>
            <w:r>
              <w:rPr>
                <w:color w:val="auto"/>
              </w:rPr>
              <w:t>3.强化饮用水水源地环境风险排查，加强环境风险源管理，建立健 全饮用水水源地应急预案。推进县级及以上饮用水水源地自动监测 预警能力建设，实施水源地应急防护工程。加强大气污染防治协作和部门联动，建立健全大气污染联防联控机制。建立健全用地土壤 环境联动监督管理机制，实行联动监管。</w:t>
            </w:r>
          </w:p>
        </w:tc>
        <w:tc>
          <w:tcPr>
            <w:tcW w:w="1253" w:type="pct"/>
            <w:tcBorders>
              <w:top w:val="single" w:color="auto" w:sz="4" w:space="0"/>
              <w:left w:val="single" w:color="auto" w:sz="4" w:space="0"/>
              <w:bottom w:val="single" w:color="auto" w:sz="4" w:space="0"/>
              <w:right w:val="single" w:color="auto" w:sz="4" w:space="0"/>
            </w:tcBorders>
            <w:vAlign w:val="center"/>
          </w:tcPr>
          <w:p w14:paraId="7A803B2C">
            <w:pPr>
              <w:pStyle w:val="33"/>
              <w:jc w:val="both"/>
              <w:rPr>
                <w:color w:val="auto"/>
              </w:rPr>
            </w:pPr>
            <w:r>
              <w:rPr>
                <w:color w:val="auto"/>
              </w:rPr>
              <w:t>项目不涉及饮用水源地。</w:t>
            </w:r>
          </w:p>
        </w:tc>
        <w:tc>
          <w:tcPr>
            <w:tcW w:w="386" w:type="pct"/>
            <w:vAlign w:val="center"/>
          </w:tcPr>
          <w:p w14:paraId="29A3EC17">
            <w:pPr>
              <w:pStyle w:val="33"/>
              <w:rPr>
                <w:color w:val="auto"/>
              </w:rPr>
            </w:pPr>
            <w:r>
              <w:rPr>
                <w:rFonts w:hint="eastAsia"/>
                <w:color w:val="auto"/>
              </w:rPr>
              <w:t>/</w:t>
            </w:r>
          </w:p>
        </w:tc>
      </w:tr>
      <w:tr w14:paraId="1494C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37534188">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1005BF99">
            <w:pPr>
              <w:pStyle w:val="33"/>
              <w:jc w:val="both"/>
              <w:rPr>
                <w:color w:val="auto"/>
              </w:rPr>
            </w:pPr>
            <w:r>
              <w:rPr>
                <w:color w:val="auto"/>
              </w:rPr>
              <w:t>4.严格建设项目环境准入，永久基本农田集中区域禁止规划新建可能造成土壤污染的建设项目；新（改、扩）建涉有毒有害物质可能造成防控土壤污染的建设项目，提出并落实污染防治要求。</w:t>
            </w:r>
          </w:p>
        </w:tc>
        <w:tc>
          <w:tcPr>
            <w:tcW w:w="1253" w:type="pct"/>
            <w:tcBorders>
              <w:top w:val="single" w:color="auto" w:sz="4" w:space="0"/>
              <w:left w:val="single" w:color="auto" w:sz="4" w:space="0"/>
              <w:bottom w:val="single" w:color="auto" w:sz="4" w:space="0"/>
              <w:right w:val="single" w:color="auto" w:sz="4" w:space="0"/>
            </w:tcBorders>
            <w:vAlign w:val="center"/>
          </w:tcPr>
          <w:p w14:paraId="4794051B">
            <w:pPr>
              <w:pStyle w:val="33"/>
              <w:jc w:val="both"/>
              <w:rPr>
                <w:color w:val="auto"/>
              </w:rPr>
            </w:pPr>
            <w:r>
              <w:rPr>
                <w:color w:val="auto"/>
              </w:rPr>
              <w:t>项目选址不在永久基本农田集中区域，项目建成前后对土壤定期展开现状监测、跟踪监测，采取严格的环保措施，加强土壤污染风险管控。</w:t>
            </w:r>
          </w:p>
        </w:tc>
        <w:tc>
          <w:tcPr>
            <w:tcW w:w="386" w:type="pct"/>
            <w:vAlign w:val="center"/>
          </w:tcPr>
          <w:p w14:paraId="0A0FEA0E">
            <w:pPr>
              <w:pStyle w:val="33"/>
              <w:rPr>
                <w:color w:val="auto"/>
              </w:rPr>
            </w:pPr>
            <w:r>
              <w:rPr>
                <w:rFonts w:hint="eastAsia"/>
                <w:color w:val="auto"/>
              </w:rPr>
              <w:t>符合</w:t>
            </w:r>
          </w:p>
        </w:tc>
      </w:tr>
      <w:tr w14:paraId="5B28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A159A1F">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19C66ABC">
            <w:pPr>
              <w:pStyle w:val="33"/>
              <w:jc w:val="both"/>
              <w:rPr>
                <w:color w:val="auto"/>
              </w:rPr>
            </w:pPr>
            <w:r>
              <w:rPr>
                <w:color w:val="auto"/>
              </w:rPr>
              <w:t>5.强化全域矿产资源开发监管，建立矿石生态环境动态监测网络，禁止矿山废水、废气、废渣的无序排放。</w:t>
            </w:r>
          </w:p>
        </w:tc>
        <w:tc>
          <w:tcPr>
            <w:tcW w:w="1253" w:type="pct"/>
            <w:tcBorders>
              <w:top w:val="single" w:color="auto" w:sz="4" w:space="0"/>
              <w:left w:val="single" w:color="auto" w:sz="4" w:space="0"/>
              <w:bottom w:val="single" w:color="auto" w:sz="4" w:space="0"/>
              <w:right w:val="single" w:color="auto" w:sz="4" w:space="0"/>
            </w:tcBorders>
            <w:vAlign w:val="center"/>
          </w:tcPr>
          <w:p w14:paraId="6BF96F1C">
            <w:pPr>
              <w:pStyle w:val="33"/>
              <w:jc w:val="both"/>
              <w:rPr>
                <w:color w:val="auto"/>
              </w:rPr>
            </w:pPr>
            <w:r>
              <w:rPr>
                <w:color w:val="auto"/>
              </w:rPr>
              <w:t>项目不涉及。</w:t>
            </w:r>
          </w:p>
        </w:tc>
        <w:tc>
          <w:tcPr>
            <w:tcW w:w="386" w:type="pct"/>
            <w:vAlign w:val="center"/>
          </w:tcPr>
          <w:p w14:paraId="2DF4D4A3">
            <w:pPr>
              <w:pStyle w:val="33"/>
              <w:rPr>
                <w:color w:val="auto"/>
              </w:rPr>
            </w:pPr>
            <w:r>
              <w:rPr>
                <w:rFonts w:hint="eastAsia"/>
                <w:color w:val="auto"/>
              </w:rPr>
              <w:t>/</w:t>
            </w:r>
          </w:p>
        </w:tc>
      </w:tr>
      <w:tr w14:paraId="08B76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37811FE0">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FB0988F">
            <w:pPr>
              <w:pStyle w:val="33"/>
              <w:jc w:val="both"/>
              <w:rPr>
                <w:color w:val="auto"/>
              </w:rPr>
            </w:pPr>
            <w:r>
              <w:rPr>
                <w:color w:val="auto"/>
              </w:rPr>
              <w:t>6.严格管控涉海重大工程环境风险，全面排查陆域环境风险源、海上溢油、危险化学品泄漏等环境风险隐患，健全完善海上溢油及危化品泄漏污染环境应急响应机制，完善分类分级的海上应急监测及处置预案，在石化基地、危化品储存区等邻近海域部署快速监测能力和应急处置物资设备。建立健全海洋生态补偿和生态损害赔偿制度。</w:t>
            </w:r>
          </w:p>
        </w:tc>
        <w:tc>
          <w:tcPr>
            <w:tcW w:w="1253" w:type="pct"/>
            <w:tcBorders>
              <w:top w:val="single" w:color="auto" w:sz="4" w:space="0"/>
              <w:left w:val="single" w:color="auto" w:sz="4" w:space="0"/>
              <w:bottom w:val="single" w:color="auto" w:sz="4" w:space="0"/>
              <w:right w:val="single" w:color="auto" w:sz="4" w:space="0"/>
            </w:tcBorders>
            <w:vAlign w:val="center"/>
          </w:tcPr>
          <w:p w14:paraId="64D98B07">
            <w:pPr>
              <w:pStyle w:val="33"/>
              <w:jc w:val="both"/>
              <w:rPr>
                <w:color w:val="auto"/>
              </w:rPr>
            </w:pPr>
            <w:r>
              <w:rPr>
                <w:color w:val="auto"/>
              </w:rPr>
              <w:t>项目不涉及。</w:t>
            </w:r>
          </w:p>
        </w:tc>
        <w:tc>
          <w:tcPr>
            <w:tcW w:w="386" w:type="pct"/>
            <w:vAlign w:val="center"/>
          </w:tcPr>
          <w:p w14:paraId="0B9F9925">
            <w:pPr>
              <w:pStyle w:val="33"/>
              <w:rPr>
                <w:color w:val="auto"/>
              </w:rPr>
            </w:pPr>
            <w:r>
              <w:rPr>
                <w:rFonts w:hint="eastAsia"/>
                <w:color w:val="auto"/>
              </w:rPr>
              <w:t>/</w:t>
            </w:r>
          </w:p>
        </w:tc>
      </w:tr>
      <w:tr w14:paraId="0C6A8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7EECEFF1">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2BDF2D9">
            <w:pPr>
              <w:pStyle w:val="33"/>
              <w:jc w:val="both"/>
              <w:rPr>
                <w:color w:val="auto"/>
              </w:rPr>
            </w:pPr>
            <w:r>
              <w:rPr>
                <w:color w:val="auto"/>
              </w:rPr>
              <w:t>7.强化沿海工业园区和沿海石油、石化、化工、冶炼及危化品储运等企业的环境风险防控，加强企业和园区环境应急物资储备。</w:t>
            </w:r>
          </w:p>
        </w:tc>
        <w:tc>
          <w:tcPr>
            <w:tcW w:w="1253" w:type="pct"/>
            <w:tcBorders>
              <w:top w:val="single" w:color="auto" w:sz="4" w:space="0"/>
              <w:left w:val="single" w:color="auto" w:sz="4" w:space="0"/>
              <w:bottom w:val="single" w:color="auto" w:sz="4" w:space="0"/>
              <w:right w:val="single" w:color="auto" w:sz="4" w:space="0"/>
            </w:tcBorders>
            <w:vAlign w:val="center"/>
          </w:tcPr>
          <w:p w14:paraId="2C1A6A3E">
            <w:pPr>
              <w:pStyle w:val="33"/>
              <w:jc w:val="both"/>
              <w:rPr>
                <w:color w:val="auto"/>
              </w:rPr>
            </w:pPr>
            <w:r>
              <w:rPr>
                <w:rFonts w:hint="eastAsia"/>
                <w:color w:val="auto"/>
              </w:rPr>
              <w:t>金桂浆纸按照相关规定编制环境风险应急预案并进行了备案，拟建项目建成后，将进行进一步的完善，实现了企业环境风险应急预案与园区预案的衔接。</w:t>
            </w:r>
          </w:p>
        </w:tc>
        <w:tc>
          <w:tcPr>
            <w:tcW w:w="386" w:type="pct"/>
            <w:vAlign w:val="center"/>
          </w:tcPr>
          <w:p w14:paraId="541C9EEA">
            <w:pPr>
              <w:pStyle w:val="33"/>
              <w:rPr>
                <w:color w:val="auto"/>
              </w:rPr>
            </w:pPr>
            <w:r>
              <w:rPr>
                <w:rFonts w:hint="eastAsia"/>
                <w:color w:val="auto"/>
              </w:rPr>
              <w:t>符合</w:t>
            </w:r>
          </w:p>
        </w:tc>
      </w:tr>
      <w:tr w14:paraId="42EC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6DABE6EF">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6C761CC">
            <w:pPr>
              <w:pStyle w:val="33"/>
              <w:jc w:val="both"/>
              <w:rPr>
                <w:color w:val="auto"/>
              </w:rPr>
            </w:pPr>
            <w:r>
              <w:rPr>
                <w:color w:val="auto"/>
              </w:rPr>
              <w:t>8.加强海洋生态灾害应急体系建设，强化海水浴场、电厂取排水口等海洋生态灾害高风险区域的联防联控。</w:t>
            </w:r>
          </w:p>
        </w:tc>
        <w:tc>
          <w:tcPr>
            <w:tcW w:w="1253" w:type="pct"/>
            <w:tcBorders>
              <w:top w:val="single" w:color="auto" w:sz="4" w:space="0"/>
              <w:left w:val="single" w:color="auto" w:sz="4" w:space="0"/>
              <w:bottom w:val="single" w:color="auto" w:sz="4" w:space="0"/>
              <w:right w:val="single" w:color="auto" w:sz="4" w:space="0"/>
            </w:tcBorders>
            <w:vAlign w:val="center"/>
          </w:tcPr>
          <w:p w14:paraId="59FFBC6E">
            <w:pPr>
              <w:pStyle w:val="33"/>
              <w:jc w:val="both"/>
              <w:rPr>
                <w:color w:val="auto"/>
              </w:rPr>
            </w:pPr>
            <w:r>
              <w:rPr>
                <w:color w:val="auto"/>
              </w:rPr>
              <w:t>项目不涉及。</w:t>
            </w:r>
          </w:p>
        </w:tc>
        <w:tc>
          <w:tcPr>
            <w:tcW w:w="386" w:type="pct"/>
            <w:vAlign w:val="center"/>
          </w:tcPr>
          <w:p w14:paraId="026C1920">
            <w:pPr>
              <w:pStyle w:val="33"/>
              <w:rPr>
                <w:color w:val="auto"/>
              </w:rPr>
            </w:pPr>
            <w:r>
              <w:rPr>
                <w:rFonts w:hint="eastAsia"/>
                <w:color w:val="auto"/>
              </w:rPr>
              <w:t>/</w:t>
            </w:r>
          </w:p>
        </w:tc>
      </w:tr>
      <w:tr w14:paraId="05C49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0B1F061D">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403A3EF5">
            <w:pPr>
              <w:pStyle w:val="33"/>
              <w:jc w:val="both"/>
              <w:rPr>
                <w:color w:val="auto"/>
              </w:rPr>
            </w:pPr>
            <w:r>
              <w:rPr>
                <w:color w:val="auto"/>
              </w:rPr>
              <w:t>9．加强倾倒区使用状况监督管理工作，做好废弃物向海洋倾倒活动的风险管控。</w:t>
            </w:r>
          </w:p>
        </w:tc>
        <w:tc>
          <w:tcPr>
            <w:tcW w:w="1253" w:type="pct"/>
            <w:tcBorders>
              <w:top w:val="single" w:color="auto" w:sz="4" w:space="0"/>
              <w:left w:val="single" w:color="auto" w:sz="4" w:space="0"/>
              <w:bottom w:val="single" w:color="auto" w:sz="4" w:space="0"/>
              <w:right w:val="single" w:color="auto" w:sz="4" w:space="0"/>
            </w:tcBorders>
            <w:vAlign w:val="center"/>
          </w:tcPr>
          <w:p w14:paraId="158E0E3B">
            <w:pPr>
              <w:pStyle w:val="33"/>
              <w:jc w:val="both"/>
              <w:rPr>
                <w:color w:val="auto"/>
              </w:rPr>
            </w:pPr>
            <w:r>
              <w:rPr>
                <w:color w:val="auto"/>
              </w:rPr>
              <w:t>项目各类固废分类妥善处置，不向外倾倒。</w:t>
            </w:r>
          </w:p>
        </w:tc>
        <w:tc>
          <w:tcPr>
            <w:tcW w:w="386" w:type="pct"/>
            <w:vAlign w:val="center"/>
          </w:tcPr>
          <w:p w14:paraId="021D2B25">
            <w:pPr>
              <w:pStyle w:val="33"/>
              <w:rPr>
                <w:color w:val="auto"/>
              </w:rPr>
            </w:pPr>
            <w:r>
              <w:rPr>
                <w:rFonts w:hint="eastAsia"/>
                <w:color w:val="auto"/>
              </w:rPr>
              <w:t>符合</w:t>
            </w:r>
          </w:p>
        </w:tc>
      </w:tr>
      <w:tr w14:paraId="6D287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restart"/>
            <w:tcBorders>
              <w:top w:val="single" w:color="auto" w:sz="4" w:space="0"/>
              <w:left w:val="single" w:color="auto" w:sz="4" w:space="0"/>
              <w:bottom w:val="single" w:color="auto" w:sz="4" w:space="0"/>
              <w:right w:val="single" w:color="auto" w:sz="4" w:space="0"/>
            </w:tcBorders>
            <w:vAlign w:val="center"/>
          </w:tcPr>
          <w:p w14:paraId="62C8630A">
            <w:pPr>
              <w:pStyle w:val="33"/>
              <w:rPr>
                <w:color w:val="auto"/>
              </w:rPr>
            </w:pPr>
            <w:r>
              <w:rPr>
                <w:color w:val="auto"/>
              </w:rPr>
              <w:t>资源开发利用效率要求</w:t>
            </w:r>
          </w:p>
        </w:tc>
        <w:tc>
          <w:tcPr>
            <w:tcW w:w="2894" w:type="pct"/>
            <w:tcBorders>
              <w:top w:val="single" w:color="auto" w:sz="4" w:space="0"/>
              <w:left w:val="single" w:color="auto" w:sz="4" w:space="0"/>
              <w:bottom w:val="single" w:color="auto" w:sz="4" w:space="0"/>
              <w:right w:val="single" w:color="auto" w:sz="4" w:space="0"/>
            </w:tcBorders>
            <w:vAlign w:val="center"/>
          </w:tcPr>
          <w:p w14:paraId="71451D9B">
            <w:pPr>
              <w:pStyle w:val="33"/>
              <w:jc w:val="both"/>
              <w:rPr>
                <w:color w:val="auto"/>
              </w:rPr>
            </w:pPr>
            <w:r>
              <w:rPr>
                <w:color w:val="auto"/>
              </w:rPr>
              <w:t>1.能源：强化和完善能耗双控制度，严格落实《石化化工重点行业严格能效约束推动节能降碳行动方案（2021－2025 年）》等有关要求。推进绿色清洁能源生产，推进重点行业和重要领域绿色化改造，打造绿色园区和绿色企业，促进工业园区、产业集聚区低碳循环化发展。推动能源多元清洁发展，培育发展清洁能源和可再生能源产业，锂电池制造及风电、光伏发电、生物质发电等清洁能源产业发展要符合相应能源规划和国土空间规划的要求；推动能源清洁低碳安全高效利用，合理控制煤炭消费。落实国家碳排放达峰行动方案，降低碳排放强度。海洋石油勘探开发严格执行《中华人民共和国海洋石油勘探开发环境保护管理条例》要求。</w:t>
            </w:r>
          </w:p>
        </w:tc>
        <w:tc>
          <w:tcPr>
            <w:tcW w:w="1253" w:type="pct"/>
            <w:tcBorders>
              <w:top w:val="single" w:color="auto" w:sz="4" w:space="0"/>
              <w:left w:val="single" w:color="auto" w:sz="4" w:space="0"/>
              <w:bottom w:val="single" w:color="auto" w:sz="4" w:space="0"/>
              <w:right w:val="single" w:color="auto" w:sz="4" w:space="0"/>
            </w:tcBorders>
            <w:vAlign w:val="center"/>
          </w:tcPr>
          <w:p w14:paraId="038DACBD">
            <w:pPr>
              <w:pStyle w:val="33"/>
              <w:jc w:val="both"/>
              <w:rPr>
                <w:color w:val="auto"/>
              </w:rPr>
            </w:pPr>
            <w:r>
              <w:rPr>
                <w:color w:val="auto"/>
              </w:rPr>
              <w:t>项目不属于列入自治区“两高”项目目录范围的项目。</w:t>
            </w:r>
          </w:p>
        </w:tc>
        <w:tc>
          <w:tcPr>
            <w:tcW w:w="386" w:type="pct"/>
            <w:vAlign w:val="center"/>
          </w:tcPr>
          <w:p w14:paraId="102D2D9A">
            <w:pPr>
              <w:pStyle w:val="33"/>
              <w:rPr>
                <w:color w:val="auto"/>
              </w:rPr>
            </w:pPr>
            <w:r>
              <w:rPr>
                <w:rFonts w:hint="eastAsia"/>
                <w:color w:val="auto"/>
              </w:rPr>
              <w:t>/</w:t>
            </w:r>
          </w:p>
        </w:tc>
      </w:tr>
      <w:tr w14:paraId="52F66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439CE6D7">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7550918E">
            <w:pPr>
              <w:pStyle w:val="33"/>
              <w:jc w:val="both"/>
              <w:rPr>
                <w:color w:val="auto"/>
              </w:rPr>
            </w:pPr>
            <w:r>
              <w:rPr>
                <w:color w:val="auto"/>
              </w:rPr>
              <w:t>2.土地资源：严格执行自治区下达的土地资源利用总量及效率管控指标要求。突出节约集约用海原则，合理控制规模，优化空间布局，提高海域空间资源的整体使用效能。</w:t>
            </w:r>
          </w:p>
        </w:tc>
        <w:tc>
          <w:tcPr>
            <w:tcW w:w="1253" w:type="pct"/>
            <w:tcBorders>
              <w:top w:val="single" w:color="auto" w:sz="4" w:space="0"/>
              <w:left w:val="single" w:color="auto" w:sz="4" w:space="0"/>
              <w:bottom w:val="single" w:color="auto" w:sz="4" w:space="0"/>
              <w:right w:val="single" w:color="auto" w:sz="4" w:space="0"/>
            </w:tcBorders>
            <w:vAlign w:val="center"/>
          </w:tcPr>
          <w:p w14:paraId="2EECF16B">
            <w:pPr>
              <w:pStyle w:val="33"/>
              <w:jc w:val="both"/>
              <w:rPr>
                <w:color w:val="auto"/>
              </w:rPr>
            </w:pPr>
            <w:r>
              <w:rPr>
                <w:color w:val="auto"/>
              </w:rPr>
              <w:t>项目不新增用地。</w:t>
            </w:r>
          </w:p>
        </w:tc>
        <w:tc>
          <w:tcPr>
            <w:tcW w:w="386" w:type="pct"/>
            <w:vAlign w:val="center"/>
          </w:tcPr>
          <w:p w14:paraId="1CC59393">
            <w:pPr>
              <w:pStyle w:val="33"/>
              <w:rPr>
                <w:color w:val="auto"/>
              </w:rPr>
            </w:pPr>
            <w:r>
              <w:rPr>
                <w:rFonts w:hint="eastAsia"/>
                <w:color w:val="auto"/>
              </w:rPr>
              <w:t>符合</w:t>
            </w:r>
          </w:p>
        </w:tc>
      </w:tr>
      <w:tr w14:paraId="5112D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50F50423">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62AC8E33">
            <w:pPr>
              <w:pStyle w:val="33"/>
              <w:jc w:val="both"/>
              <w:rPr>
                <w:color w:val="auto"/>
              </w:rPr>
            </w:pPr>
            <w:r>
              <w:rPr>
                <w:color w:val="auto"/>
              </w:rPr>
              <w:t>3. 水资源：实行水资源消耗总量和强度“双控”。严格用水总量指标管理，健全市、县（区、市）行政区域的用水总量控制指标体系，统筹生活、生产、生态用水，大力推进农业、工业、城镇等领域节水。严格按照地下水开发利用控制目标控制地下水资源开采。</w:t>
            </w:r>
          </w:p>
        </w:tc>
        <w:tc>
          <w:tcPr>
            <w:tcW w:w="1253" w:type="pct"/>
            <w:tcBorders>
              <w:top w:val="single" w:color="auto" w:sz="4" w:space="0"/>
              <w:left w:val="single" w:color="auto" w:sz="4" w:space="0"/>
              <w:bottom w:val="single" w:color="auto" w:sz="4" w:space="0"/>
              <w:right w:val="single" w:color="auto" w:sz="4" w:space="0"/>
            </w:tcBorders>
            <w:vAlign w:val="center"/>
          </w:tcPr>
          <w:p w14:paraId="10D8326A">
            <w:pPr>
              <w:pStyle w:val="33"/>
              <w:jc w:val="both"/>
              <w:rPr>
                <w:color w:val="auto"/>
              </w:rPr>
            </w:pPr>
            <w:r>
              <w:rPr>
                <w:rFonts w:hint="eastAsia"/>
                <w:color w:val="auto"/>
              </w:rPr>
              <w:t>拟建项目各生产线清洁生产水平达到国际领先水平。项目生产所需清水和厂区生活用水都由公司现有给水站提供，供水能力完全满足拟建项目需求，不挤占生态用水、生活用水、农业用水等</w:t>
            </w:r>
            <w:r>
              <w:rPr>
                <w:color w:val="auto"/>
              </w:rPr>
              <w:t>，符合相关要求。</w:t>
            </w:r>
          </w:p>
        </w:tc>
        <w:tc>
          <w:tcPr>
            <w:tcW w:w="386" w:type="pct"/>
            <w:vAlign w:val="center"/>
          </w:tcPr>
          <w:p w14:paraId="66BB641C">
            <w:pPr>
              <w:pStyle w:val="33"/>
              <w:rPr>
                <w:color w:val="auto"/>
              </w:rPr>
            </w:pPr>
            <w:r>
              <w:rPr>
                <w:rFonts w:hint="eastAsia"/>
                <w:color w:val="auto"/>
              </w:rPr>
              <w:t>符合</w:t>
            </w:r>
          </w:p>
        </w:tc>
      </w:tr>
      <w:tr w14:paraId="426EA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5AF3CED5">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5652B2BF">
            <w:pPr>
              <w:pStyle w:val="33"/>
              <w:jc w:val="both"/>
              <w:rPr>
                <w:color w:val="auto"/>
              </w:rPr>
            </w:pPr>
            <w:r>
              <w:rPr>
                <w:color w:val="auto"/>
              </w:rPr>
              <w:t>4.矿产资源：严格执行自治区、市、县矿产资源总体规划中关于矿产资源开发管控和矿产资源高效利用的目标要求。着力提高资源开发利用效率和水平，加快发展绿色矿业；严格控制海岸线的开发建设、海砂开采活动，规范海砂资源开发秩序，加强海岸沙滩保护和矿产开发监管。</w:t>
            </w:r>
          </w:p>
        </w:tc>
        <w:tc>
          <w:tcPr>
            <w:tcW w:w="1253" w:type="pct"/>
            <w:tcBorders>
              <w:top w:val="single" w:color="auto" w:sz="4" w:space="0"/>
              <w:left w:val="single" w:color="auto" w:sz="4" w:space="0"/>
              <w:bottom w:val="single" w:color="auto" w:sz="4" w:space="0"/>
              <w:right w:val="single" w:color="auto" w:sz="4" w:space="0"/>
            </w:tcBorders>
            <w:vAlign w:val="center"/>
          </w:tcPr>
          <w:p w14:paraId="3DA01C68">
            <w:pPr>
              <w:pStyle w:val="33"/>
              <w:jc w:val="both"/>
              <w:rPr>
                <w:color w:val="auto"/>
              </w:rPr>
            </w:pPr>
            <w:r>
              <w:rPr>
                <w:color w:val="auto"/>
              </w:rPr>
              <w:t>项目不涉及。</w:t>
            </w:r>
          </w:p>
        </w:tc>
        <w:tc>
          <w:tcPr>
            <w:tcW w:w="386" w:type="pct"/>
            <w:vAlign w:val="center"/>
          </w:tcPr>
          <w:p w14:paraId="19396519">
            <w:pPr>
              <w:pStyle w:val="33"/>
              <w:rPr>
                <w:color w:val="auto"/>
              </w:rPr>
            </w:pPr>
            <w:r>
              <w:rPr>
                <w:rFonts w:hint="eastAsia"/>
                <w:color w:val="auto"/>
              </w:rPr>
              <w:t>/</w:t>
            </w:r>
          </w:p>
        </w:tc>
      </w:tr>
      <w:tr w14:paraId="738D6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29D0635D">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3A80B948">
            <w:pPr>
              <w:pStyle w:val="33"/>
              <w:jc w:val="both"/>
              <w:rPr>
                <w:color w:val="auto"/>
              </w:rPr>
            </w:pPr>
            <w:r>
              <w:rPr>
                <w:color w:val="auto"/>
              </w:rPr>
              <w:t>5.岸线资源：涉及岸线开发的工业区和港区，应严格按照相关规划实施，控制占用岸线长度，提高岸线利用效率，加强污染防治。建设海岸生态隔离带；有效保护自然岸线和典型海洋生态系统，提高海洋生态服务功能，增强海洋碳汇功能。合理控制滨海旅游开发强度，科学有序发展海洋生态旅游。规范海岛资源开发，科学规划海岛岸线开发，保护海岛自然岸线。</w:t>
            </w:r>
          </w:p>
        </w:tc>
        <w:tc>
          <w:tcPr>
            <w:tcW w:w="1253" w:type="pct"/>
            <w:tcBorders>
              <w:top w:val="single" w:color="auto" w:sz="4" w:space="0"/>
              <w:left w:val="single" w:color="auto" w:sz="4" w:space="0"/>
              <w:bottom w:val="single" w:color="auto" w:sz="4" w:space="0"/>
              <w:right w:val="single" w:color="auto" w:sz="4" w:space="0"/>
            </w:tcBorders>
            <w:vAlign w:val="center"/>
          </w:tcPr>
          <w:p w14:paraId="7750D878">
            <w:pPr>
              <w:pStyle w:val="33"/>
              <w:jc w:val="both"/>
              <w:rPr>
                <w:color w:val="auto"/>
              </w:rPr>
            </w:pPr>
            <w:r>
              <w:rPr>
                <w:color w:val="auto"/>
              </w:rPr>
              <w:t>项目不涉及。</w:t>
            </w:r>
          </w:p>
        </w:tc>
        <w:tc>
          <w:tcPr>
            <w:tcW w:w="386" w:type="pct"/>
            <w:vAlign w:val="center"/>
          </w:tcPr>
          <w:p w14:paraId="0509121E">
            <w:pPr>
              <w:pStyle w:val="33"/>
              <w:rPr>
                <w:color w:val="auto"/>
              </w:rPr>
            </w:pPr>
            <w:r>
              <w:rPr>
                <w:rFonts w:hint="eastAsia"/>
                <w:color w:val="auto"/>
              </w:rPr>
              <w:t>/</w:t>
            </w:r>
          </w:p>
        </w:tc>
      </w:tr>
      <w:tr w14:paraId="65A902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67" w:type="pct"/>
            <w:vMerge w:val="continue"/>
            <w:tcBorders>
              <w:top w:val="single" w:color="auto" w:sz="4" w:space="0"/>
              <w:left w:val="single" w:color="auto" w:sz="4" w:space="0"/>
              <w:bottom w:val="single" w:color="auto" w:sz="4" w:space="0"/>
              <w:right w:val="single" w:color="auto" w:sz="4" w:space="0"/>
            </w:tcBorders>
            <w:vAlign w:val="center"/>
          </w:tcPr>
          <w:p w14:paraId="11D74AEF">
            <w:pPr>
              <w:pStyle w:val="33"/>
              <w:rPr>
                <w:color w:val="auto"/>
              </w:rPr>
            </w:pPr>
          </w:p>
        </w:tc>
        <w:tc>
          <w:tcPr>
            <w:tcW w:w="2894" w:type="pct"/>
            <w:tcBorders>
              <w:top w:val="single" w:color="auto" w:sz="4" w:space="0"/>
              <w:left w:val="single" w:color="auto" w:sz="4" w:space="0"/>
              <w:bottom w:val="single" w:color="auto" w:sz="4" w:space="0"/>
              <w:right w:val="single" w:color="auto" w:sz="4" w:space="0"/>
            </w:tcBorders>
            <w:vAlign w:val="center"/>
          </w:tcPr>
          <w:p w14:paraId="0B625F1C">
            <w:pPr>
              <w:pStyle w:val="33"/>
              <w:jc w:val="both"/>
              <w:rPr>
                <w:color w:val="auto"/>
              </w:rPr>
            </w:pPr>
            <w:r>
              <w:rPr>
                <w:color w:val="auto"/>
              </w:rPr>
              <w:t>6.高污染燃料禁燃区：禁止新建、扩建燃用高污染燃料的项目和设施，已经建成的应逐步或依法限期改用天然气、电或其他清洁能源。</w:t>
            </w:r>
          </w:p>
        </w:tc>
        <w:tc>
          <w:tcPr>
            <w:tcW w:w="1253" w:type="pct"/>
            <w:tcBorders>
              <w:top w:val="single" w:color="auto" w:sz="4" w:space="0"/>
              <w:left w:val="single" w:color="auto" w:sz="4" w:space="0"/>
              <w:bottom w:val="single" w:color="auto" w:sz="4" w:space="0"/>
              <w:right w:val="single" w:color="auto" w:sz="4" w:space="0"/>
            </w:tcBorders>
            <w:vAlign w:val="center"/>
          </w:tcPr>
          <w:p w14:paraId="57E7760F">
            <w:pPr>
              <w:pStyle w:val="33"/>
              <w:jc w:val="both"/>
              <w:rPr>
                <w:color w:val="auto"/>
              </w:rPr>
            </w:pPr>
            <w:r>
              <w:rPr>
                <w:color w:val="auto"/>
              </w:rPr>
              <w:t>项目不在高污染燃料禁燃区。</w:t>
            </w:r>
          </w:p>
        </w:tc>
        <w:tc>
          <w:tcPr>
            <w:tcW w:w="386" w:type="pct"/>
            <w:vAlign w:val="center"/>
          </w:tcPr>
          <w:p w14:paraId="173A6571">
            <w:pPr>
              <w:pStyle w:val="33"/>
              <w:rPr>
                <w:color w:val="auto"/>
              </w:rPr>
            </w:pPr>
          </w:p>
        </w:tc>
      </w:tr>
    </w:tbl>
    <w:p w14:paraId="3CA92F4B">
      <w:pPr>
        <w:pStyle w:val="7"/>
        <w:numPr>
          <w:ilvl w:val="5"/>
          <w:numId w:val="1"/>
        </w:numPr>
        <w:rPr>
          <w:color w:val="auto"/>
        </w:rPr>
      </w:pPr>
      <w:r>
        <w:rPr>
          <w:rFonts w:hint="eastAsia"/>
          <w:color w:val="auto"/>
        </w:rPr>
        <w:t>与石化产业园重点管控单元生态环境分区管控的相符性分析</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5692"/>
        <w:gridCol w:w="2216"/>
        <w:gridCol w:w="682"/>
      </w:tblGrid>
      <w:tr w14:paraId="3EAA5E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75" w:type="pct"/>
            <w:tcBorders>
              <w:top w:val="single" w:color="auto" w:sz="4" w:space="0"/>
              <w:left w:val="single" w:color="auto" w:sz="4" w:space="0"/>
              <w:bottom w:val="single" w:color="auto" w:sz="4" w:space="0"/>
              <w:right w:val="single" w:color="auto" w:sz="4" w:space="0"/>
            </w:tcBorders>
            <w:vAlign w:val="center"/>
          </w:tcPr>
          <w:p w14:paraId="27E3C5A9">
            <w:pPr>
              <w:pStyle w:val="33"/>
              <w:rPr>
                <w:color w:val="auto"/>
              </w:rPr>
            </w:pPr>
            <w:r>
              <w:rPr>
                <w:color w:val="auto"/>
              </w:rPr>
              <w:t>管控</w:t>
            </w:r>
          </w:p>
          <w:p w14:paraId="6822A308">
            <w:pPr>
              <w:pStyle w:val="33"/>
              <w:rPr>
                <w:color w:val="auto"/>
              </w:rPr>
            </w:pPr>
            <w:r>
              <w:rPr>
                <w:color w:val="auto"/>
              </w:rPr>
              <w:t>类别</w:t>
            </w:r>
          </w:p>
        </w:tc>
        <w:tc>
          <w:tcPr>
            <w:tcW w:w="3065" w:type="pct"/>
            <w:tcBorders>
              <w:top w:val="single" w:color="auto" w:sz="4" w:space="0"/>
              <w:left w:val="single" w:color="auto" w:sz="4" w:space="0"/>
              <w:bottom w:val="single" w:color="auto" w:sz="4" w:space="0"/>
              <w:right w:val="single" w:color="auto" w:sz="4" w:space="0"/>
            </w:tcBorders>
            <w:vAlign w:val="center"/>
          </w:tcPr>
          <w:p w14:paraId="13D5646B">
            <w:pPr>
              <w:pStyle w:val="33"/>
              <w:rPr>
                <w:color w:val="auto"/>
              </w:rPr>
            </w:pPr>
            <w:r>
              <w:rPr>
                <w:color w:val="auto"/>
              </w:rPr>
              <w:t>生态环境准入及管控要求</w:t>
            </w:r>
          </w:p>
        </w:tc>
        <w:tc>
          <w:tcPr>
            <w:tcW w:w="1193" w:type="pct"/>
            <w:tcBorders>
              <w:top w:val="single" w:color="auto" w:sz="4" w:space="0"/>
              <w:left w:val="single" w:color="auto" w:sz="4" w:space="0"/>
              <w:bottom w:val="single" w:color="auto" w:sz="4" w:space="0"/>
              <w:right w:val="single" w:color="auto" w:sz="4" w:space="0"/>
            </w:tcBorders>
            <w:vAlign w:val="center"/>
          </w:tcPr>
          <w:p w14:paraId="7C7A0FAB">
            <w:pPr>
              <w:pStyle w:val="33"/>
              <w:rPr>
                <w:color w:val="auto"/>
              </w:rPr>
            </w:pPr>
            <w:r>
              <w:rPr>
                <w:color w:val="auto"/>
              </w:rPr>
              <w:t>项目情况</w:t>
            </w:r>
          </w:p>
        </w:tc>
        <w:tc>
          <w:tcPr>
            <w:tcW w:w="368" w:type="pct"/>
            <w:tcBorders>
              <w:top w:val="single" w:color="auto" w:sz="4" w:space="0"/>
              <w:left w:val="single" w:color="auto" w:sz="4" w:space="0"/>
              <w:bottom w:val="single" w:color="auto" w:sz="4" w:space="0"/>
              <w:right w:val="single" w:color="auto" w:sz="4" w:space="0"/>
            </w:tcBorders>
            <w:vAlign w:val="center"/>
          </w:tcPr>
          <w:p w14:paraId="71B8192A">
            <w:pPr>
              <w:pStyle w:val="33"/>
              <w:rPr>
                <w:color w:val="auto"/>
              </w:rPr>
            </w:pPr>
            <w:r>
              <w:rPr>
                <w:color w:val="auto"/>
              </w:rPr>
              <w:t>相符性</w:t>
            </w:r>
          </w:p>
        </w:tc>
      </w:tr>
      <w:tr w14:paraId="68F72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29042376">
            <w:pPr>
              <w:pStyle w:val="33"/>
              <w:rPr>
                <w:color w:val="auto"/>
              </w:rPr>
            </w:pPr>
            <w:r>
              <w:rPr>
                <w:color w:val="auto"/>
              </w:rPr>
              <w:t xml:space="preserve">空间布局约束 </w:t>
            </w:r>
          </w:p>
        </w:tc>
        <w:tc>
          <w:tcPr>
            <w:tcW w:w="3065" w:type="pct"/>
            <w:tcBorders>
              <w:top w:val="single" w:color="auto" w:sz="4" w:space="0"/>
              <w:left w:val="single" w:color="auto" w:sz="4" w:space="0"/>
              <w:bottom w:val="single" w:color="auto" w:sz="4" w:space="0"/>
              <w:right w:val="single" w:color="auto" w:sz="4" w:space="0"/>
            </w:tcBorders>
            <w:vAlign w:val="center"/>
          </w:tcPr>
          <w:p w14:paraId="1ED12DCD">
            <w:pPr>
              <w:pStyle w:val="33"/>
              <w:jc w:val="both"/>
              <w:rPr>
                <w:color w:val="auto"/>
              </w:rPr>
            </w:pPr>
            <w:r>
              <w:rPr>
                <w:color w:val="auto"/>
              </w:rPr>
              <w:t>1.依据《国务院关于加强滨海湿地保护严格管控围填海的通知》，除国家重大战略项目外，原则上禁止新增围填海项目。三墩片区布局国家重大项目确需新增围填海的，须严格论证对中华白海豚等重点保护动物及其生境的影响，审慎决策，最大限度减轻不良环境影响。</w:t>
            </w:r>
          </w:p>
          <w:p w14:paraId="59D6D355">
            <w:pPr>
              <w:pStyle w:val="33"/>
              <w:jc w:val="both"/>
              <w:rPr>
                <w:color w:val="auto"/>
              </w:rPr>
            </w:pPr>
            <w:r>
              <w:rPr>
                <w:color w:val="auto"/>
              </w:rPr>
              <w:t>2</w:t>
            </w:r>
            <w:r>
              <w:rPr>
                <w:rFonts w:hint="eastAsia"/>
                <w:color w:val="auto"/>
              </w:rPr>
              <w:t>.</w:t>
            </w:r>
            <w:r>
              <w:rPr>
                <w:color w:val="auto"/>
              </w:rPr>
              <w:t>加强行业源头管控，严格执行《广西工业产业结构调整指导目录（2021年本）》，入园项目需符合国家产业政策、行业规范、地方发展规划和绿色发展等要求；建设项目应为石化产业园区产业链范围内的项目，选址应符合石化产业园区规划的功能分区。禁止引进不符合国家产业政策和相关行业准入条件，清洁生产水平不达标、装置单位产品能源消耗限额不达标、污染物排放不达标的项目。</w:t>
            </w:r>
          </w:p>
          <w:p w14:paraId="2176571F">
            <w:pPr>
              <w:pStyle w:val="33"/>
              <w:jc w:val="both"/>
              <w:rPr>
                <w:color w:val="auto"/>
              </w:rPr>
            </w:pPr>
            <w:r>
              <w:rPr>
                <w:color w:val="auto"/>
              </w:rPr>
              <w:t>3</w:t>
            </w:r>
            <w:r>
              <w:rPr>
                <w:rFonts w:hint="eastAsia"/>
                <w:color w:val="auto"/>
              </w:rPr>
              <w:t>.</w:t>
            </w:r>
            <w:r>
              <w:rPr>
                <w:color w:val="auto"/>
              </w:rPr>
              <w:t>优化园区规划空间布局，对丙烯腈、苯乙烯、环氧丙烷等新引进项目加强源头风险管控；丙烯腈装置原则上应配套 MMA 装置同步建设，及时消耗丙烯腈装置产生的氢氰酸和废酸，降低环境风险。</w:t>
            </w:r>
          </w:p>
          <w:p w14:paraId="53F901AC">
            <w:pPr>
              <w:pStyle w:val="33"/>
              <w:jc w:val="both"/>
              <w:rPr>
                <w:color w:val="auto"/>
              </w:rPr>
            </w:pPr>
            <w:r>
              <w:rPr>
                <w:color w:val="auto"/>
              </w:rPr>
              <w:t>4</w:t>
            </w:r>
            <w:r>
              <w:rPr>
                <w:rFonts w:hint="eastAsia"/>
                <w:color w:val="auto"/>
              </w:rPr>
              <w:t>.</w:t>
            </w:r>
            <w:r>
              <w:rPr>
                <w:color w:val="auto"/>
              </w:rPr>
              <w:t>严格控制炼油规模，禁止建设未列入国家批准的相关规划的新建炼油及扩建一次炼油项目；新建石化和化工生产项目应符合《广西新建石化和化工生产项目准入管理办法（试行）》《化工园区开发建设导则》（GB/T 42078-2022）相关要求。</w:t>
            </w:r>
          </w:p>
          <w:p w14:paraId="12C21348">
            <w:pPr>
              <w:pStyle w:val="33"/>
              <w:jc w:val="both"/>
              <w:rPr>
                <w:color w:val="auto"/>
              </w:rPr>
            </w:pPr>
            <w:r>
              <w:rPr>
                <w:color w:val="auto"/>
              </w:rPr>
              <w:t>5</w:t>
            </w:r>
            <w:r>
              <w:rPr>
                <w:rFonts w:hint="eastAsia"/>
                <w:color w:val="auto"/>
              </w:rPr>
              <w:t>.</w:t>
            </w:r>
            <w:r>
              <w:rPr>
                <w:color w:val="auto"/>
              </w:rPr>
              <w:t>严格“两高”建设项目环境准入，新建、改建、扩建“两高”项目须符合生态环境保护法律法规和相关法定规划，满足重点污染物总量控制、相关规划环评和相应行业建设项目环境准入条件等要求。</w:t>
            </w:r>
          </w:p>
          <w:p w14:paraId="3A6A64EF">
            <w:pPr>
              <w:pStyle w:val="33"/>
              <w:jc w:val="both"/>
              <w:rPr>
                <w:color w:val="auto"/>
              </w:rPr>
            </w:pPr>
            <w:r>
              <w:rPr>
                <w:color w:val="auto"/>
              </w:rPr>
              <w:t>6</w:t>
            </w:r>
            <w:r>
              <w:rPr>
                <w:rFonts w:hint="eastAsia"/>
                <w:color w:val="auto"/>
              </w:rPr>
              <w:t>.</w:t>
            </w:r>
            <w:r>
              <w:rPr>
                <w:color w:val="auto"/>
              </w:rPr>
              <w:t>园区周边1公里范围内临近生态保护红线（广西茅尾海红树林自治区级自然保护区）生态环境敏感区域，应优化产业布局，控制开发强度，新建、改建、扩建项目要采取切实可行的环保措施，降低对周边生态环境敏感区域的影响。</w:t>
            </w:r>
          </w:p>
        </w:tc>
        <w:tc>
          <w:tcPr>
            <w:tcW w:w="1193" w:type="pct"/>
            <w:tcBorders>
              <w:top w:val="single" w:color="auto" w:sz="4" w:space="0"/>
              <w:left w:val="single" w:color="auto" w:sz="4" w:space="0"/>
              <w:bottom w:val="single" w:color="auto" w:sz="4" w:space="0"/>
              <w:right w:val="single" w:color="auto" w:sz="4" w:space="0"/>
            </w:tcBorders>
            <w:vAlign w:val="center"/>
          </w:tcPr>
          <w:p w14:paraId="1EAEEC02">
            <w:pPr>
              <w:pStyle w:val="33"/>
              <w:jc w:val="both"/>
              <w:rPr>
                <w:color w:val="auto"/>
              </w:rPr>
            </w:pPr>
            <w:r>
              <w:rPr>
                <w:color w:val="auto"/>
              </w:rPr>
              <w:t>1.项目不涉及围填海。</w:t>
            </w:r>
          </w:p>
          <w:p w14:paraId="37A0D1A2">
            <w:pPr>
              <w:pStyle w:val="33"/>
              <w:jc w:val="both"/>
              <w:rPr>
                <w:color w:val="auto"/>
              </w:rPr>
            </w:pPr>
            <w:r>
              <w:rPr>
                <w:color w:val="auto"/>
              </w:rPr>
              <w:t>2.项目符合石化产业园区规划及规划环评要求；清洁生产达国内先进水平；污染物均达标排放。</w:t>
            </w:r>
          </w:p>
          <w:p w14:paraId="2F970394">
            <w:pPr>
              <w:pStyle w:val="33"/>
              <w:jc w:val="both"/>
              <w:rPr>
                <w:color w:val="auto"/>
              </w:rPr>
            </w:pPr>
            <w:r>
              <w:rPr>
                <w:color w:val="auto"/>
              </w:rPr>
              <w:t>3.</w:t>
            </w:r>
            <w:r>
              <w:rPr>
                <w:rFonts w:hint="eastAsia"/>
                <w:color w:val="auto"/>
              </w:rPr>
              <w:t>4</w:t>
            </w:r>
            <w:r>
              <w:rPr>
                <w:color w:val="auto"/>
              </w:rPr>
              <w:t>项目不涉及。</w:t>
            </w:r>
          </w:p>
          <w:p w14:paraId="4F71026E">
            <w:pPr>
              <w:pStyle w:val="33"/>
              <w:jc w:val="both"/>
              <w:rPr>
                <w:color w:val="auto"/>
              </w:rPr>
            </w:pPr>
            <w:r>
              <w:rPr>
                <w:color w:val="auto"/>
              </w:rPr>
              <w:t>5.项目不属于“两高”项目。</w:t>
            </w:r>
          </w:p>
          <w:p w14:paraId="3D77229C">
            <w:pPr>
              <w:pStyle w:val="33"/>
              <w:jc w:val="both"/>
              <w:rPr>
                <w:color w:val="auto"/>
              </w:rPr>
            </w:pPr>
            <w:r>
              <w:rPr>
                <w:color w:val="auto"/>
              </w:rPr>
              <w:t>6.项目不新增用地，对周边生态环境影响较小。</w:t>
            </w:r>
          </w:p>
        </w:tc>
        <w:tc>
          <w:tcPr>
            <w:tcW w:w="368" w:type="pct"/>
            <w:tcBorders>
              <w:top w:val="single" w:color="auto" w:sz="4" w:space="0"/>
              <w:left w:val="single" w:color="auto" w:sz="4" w:space="0"/>
              <w:bottom w:val="single" w:color="auto" w:sz="4" w:space="0"/>
              <w:right w:val="single" w:color="auto" w:sz="4" w:space="0"/>
            </w:tcBorders>
            <w:vAlign w:val="center"/>
          </w:tcPr>
          <w:p w14:paraId="1E777CB0">
            <w:pPr>
              <w:pStyle w:val="33"/>
              <w:rPr>
                <w:color w:val="auto"/>
              </w:rPr>
            </w:pPr>
            <w:r>
              <w:rPr>
                <w:color w:val="auto"/>
              </w:rPr>
              <w:t>符合</w:t>
            </w:r>
          </w:p>
        </w:tc>
      </w:tr>
      <w:tr w14:paraId="0B8D8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6BA2557F">
            <w:pPr>
              <w:pStyle w:val="33"/>
              <w:rPr>
                <w:color w:val="auto"/>
              </w:rPr>
            </w:pPr>
            <w:r>
              <w:rPr>
                <w:color w:val="auto"/>
              </w:rPr>
              <w:t xml:space="preserve">污染物排放管控 </w:t>
            </w:r>
          </w:p>
        </w:tc>
        <w:tc>
          <w:tcPr>
            <w:tcW w:w="3065" w:type="pct"/>
            <w:tcBorders>
              <w:top w:val="single" w:color="auto" w:sz="4" w:space="0"/>
              <w:left w:val="single" w:color="auto" w:sz="4" w:space="0"/>
              <w:bottom w:val="single" w:color="auto" w:sz="4" w:space="0"/>
              <w:right w:val="single" w:color="auto" w:sz="4" w:space="0"/>
            </w:tcBorders>
            <w:vAlign w:val="center"/>
          </w:tcPr>
          <w:p w14:paraId="4DB6D9AE">
            <w:pPr>
              <w:pStyle w:val="33"/>
              <w:jc w:val="both"/>
              <w:rPr>
                <w:color w:val="auto"/>
              </w:rPr>
            </w:pPr>
            <w:r>
              <w:rPr>
                <w:color w:val="auto"/>
              </w:rPr>
              <w:t>1</w:t>
            </w:r>
            <w:r>
              <w:rPr>
                <w:rFonts w:hint="eastAsia"/>
                <w:color w:val="auto"/>
              </w:rPr>
              <w:t>.</w:t>
            </w:r>
            <w:r>
              <w:rPr>
                <w:color w:val="auto"/>
              </w:rPr>
              <w:t>大力推进低氮燃烧和烟气脱硝，有序推进园区集中供热。</w:t>
            </w:r>
          </w:p>
          <w:p w14:paraId="7AC9BB74">
            <w:pPr>
              <w:pStyle w:val="33"/>
              <w:jc w:val="both"/>
              <w:rPr>
                <w:color w:val="auto"/>
              </w:rPr>
            </w:pPr>
            <w:r>
              <w:rPr>
                <w:color w:val="auto"/>
              </w:rPr>
              <w:t>2</w:t>
            </w:r>
            <w:r>
              <w:rPr>
                <w:rFonts w:hint="eastAsia"/>
                <w:color w:val="auto"/>
              </w:rPr>
              <w:t>.</w:t>
            </w:r>
            <w:r>
              <w:rPr>
                <w:color w:val="auto"/>
              </w:rPr>
              <w:t>持续推进石化、化工等行业节能降碳改造；推动石化、化工等重点行业挥发性有机物（VOCs）污染防治。推动石化行业 VOCs 泄漏检测与修复行动、VOCs 削减和有毒有害原料替代。</w:t>
            </w:r>
          </w:p>
          <w:p w14:paraId="282949C7">
            <w:pPr>
              <w:pStyle w:val="33"/>
              <w:jc w:val="both"/>
              <w:rPr>
                <w:color w:val="auto"/>
              </w:rPr>
            </w:pPr>
            <w:r>
              <w:rPr>
                <w:color w:val="auto"/>
              </w:rPr>
              <w:t>3</w:t>
            </w:r>
            <w:r>
              <w:rPr>
                <w:rFonts w:hint="eastAsia"/>
                <w:color w:val="auto"/>
              </w:rPr>
              <w:t>.</w:t>
            </w:r>
            <w:r>
              <w:rPr>
                <w:color w:val="auto"/>
              </w:rPr>
              <w:t>石化、化工行业全面推进行业达标排放改造，鼓励采用先进的清洁生产技术，提高原油的转化和利用效率；新建石化和化工生产项目污染物排放必须同时满足污染物排放标准和主要污染物总量控制要求，必须配套固废综合利用或无害化处理设施，危险废物必须按照国家及自治区相关危险废物的管理规定进行贮存、转移、安全处置。</w:t>
            </w:r>
          </w:p>
          <w:p w14:paraId="53001BDA">
            <w:pPr>
              <w:pStyle w:val="33"/>
              <w:jc w:val="both"/>
              <w:rPr>
                <w:color w:val="auto"/>
              </w:rPr>
            </w:pPr>
            <w:r>
              <w:rPr>
                <w:color w:val="auto"/>
              </w:rPr>
              <w:t>4．逐步完成工业集聚区集中式污水处理设施建设，确保已建污水处理设施稳定运行及达标排放。园区集中式污水处理设施总排口安装自动监控系统、视频监控系统，并与生态环境主管部门联网。按照“清污分流、雨污分流”原则，实施废水分类收集、分质处理。</w:t>
            </w:r>
          </w:p>
          <w:p w14:paraId="46395BC0">
            <w:pPr>
              <w:pStyle w:val="33"/>
              <w:jc w:val="both"/>
              <w:rPr>
                <w:color w:val="auto"/>
              </w:rPr>
            </w:pPr>
            <w:r>
              <w:rPr>
                <w:color w:val="auto"/>
              </w:rPr>
              <w:t>5．园区及园区企业排放水污染物，要满足国家或者地方规定的水污染物排放标准和重点水污染物排放总量控制指标。直接外排水环境的，执行国家或者地方规定的标准要求；经城镇污水集中处理设施处理后排放的，执行市政部门管理要求；经园区污水集中处理设施处理后排放的，执行园区管理部门相关要求。</w:t>
            </w:r>
          </w:p>
          <w:p w14:paraId="2181C19F">
            <w:pPr>
              <w:pStyle w:val="33"/>
              <w:jc w:val="both"/>
              <w:rPr>
                <w:color w:val="auto"/>
              </w:rPr>
            </w:pPr>
            <w:r>
              <w:rPr>
                <w:color w:val="auto"/>
              </w:rPr>
              <w:t>6．鼓励建设高盐废水集中处理设施，回收固体盐类，降低外排水量和含盐浓度。</w:t>
            </w:r>
          </w:p>
          <w:p w14:paraId="09EDC7AF">
            <w:pPr>
              <w:pStyle w:val="33"/>
              <w:jc w:val="both"/>
              <w:rPr>
                <w:color w:val="auto"/>
              </w:rPr>
            </w:pPr>
            <w:r>
              <w:rPr>
                <w:color w:val="auto"/>
              </w:rPr>
              <w:t>7．严格控制石油类、氨氮、总磷等污染物排放浓度及排放量，采取有效措施减少挥发性有机化合物（VOCs）、氮氧化物（NOx）等污染物排放量。</w:t>
            </w:r>
          </w:p>
        </w:tc>
        <w:tc>
          <w:tcPr>
            <w:tcW w:w="1193" w:type="pct"/>
            <w:tcBorders>
              <w:top w:val="single" w:color="auto" w:sz="4" w:space="0"/>
              <w:left w:val="single" w:color="auto" w:sz="4" w:space="0"/>
              <w:bottom w:val="single" w:color="auto" w:sz="4" w:space="0"/>
              <w:right w:val="single" w:color="auto" w:sz="4" w:space="0"/>
            </w:tcBorders>
            <w:vAlign w:val="center"/>
          </w:tcPr>
          <w:p w14:paraId="02122CAA">
            <w:pPr>
              <w:pStyle w:val="33"/>
              <w:jc w:val="both"/>
              <w:rPr>
                <w:color w:val="auto"/>
              </w:rPr>
            </w:pPr>
            <w:r>
              <w:rPr>
                <w:rFonts w:hint="eastAsia"/>
                <w:color w:val="auto"/>
              </w:rPr>
              <w:t>1.2.3.拟建项目不涉及。</w:t>
            </w:r>
          </w:p>
          <w:p w14:paraId="0E48300E">
            <w:pPr>
              <w:pStyle w:val="33"/>
              <w:jc w:val="both"/>
              <w:rPr>
                <w:color w:val="auto"/>
              </w:rPr>
            </w:pPr>
            <w:r>
              <w:rPr>
                <w:color w:val="auto"/>
              </w:rPr>
              <w:t>4.</w:t>
            </w:r>
            <w:r>
              <w:rPr>
                <w:rFonts w:hint="eastAsia"/>
                <w:color w:val="auto"/>
              </w:rPr>
              <w:t xml:space="preserve"> 拟建项目按照“清污分流、雨污分流”原则进行废水处理，污水处理站出水安装自动监控系统，并与生态环境主管部门联网。达标废水经A2排污口排放。</w:t>
            </w:r>
          </w:p>
          <w:p w14:paraId="026848B5">
            <w:pPr>
              <w:pStyle w:val="33"/>
              <w:jc w:val="both"/>
              <w:rPr>
                <w:color w:val="auto"/>
              </w:rPr>
            </w:pPr>
            <w:r>
              <w:rPr>
                <w:color w:val="auto"/>
              </w:rPr>
              <w:t>5.</w:t>
            </w:r>
            <w:r>
              <w:rPr>
                <w:rFonts w:hint="eastAsia"/>
                <w:color w:val="auto"/>
              </w:rPr>
              <w:t xml:space="preserve"> 拟建项目各类废水污染物排放浓度可满足标准限值要求，废水经处理达标后，依托钦州港大榄坪排污混合区（GX057DIV，即A2排污区）深海排放。</w:t>
            </w:r>
          </w:p>
          <w:p w14:paraId="75B9F409">
            <w:pPr>
              <w:pStyle w:val="33"/>
              <w:jc w:val="both"/>
              <w:rPr>
                <w:color w:val="auto"/>
              </w:rPr>
            </w:pPr>
            <w:r>
              <w:rPr>
                <w:color w:val="auto"/>
              </w:rPr>
              <w:t>6.</w:t>
            </w:r>
            <w:r>
              <w:rPr>
                <w:rFonts w:hint="eastAsia"/>
                <w:color w:val="auto"/>
              </w:rPr>
              <w:t>拟建项目不涉及。</w:t>
            </w:r>
          </w:p>
          <w:p w14:paraId="79D3E485">
            <w:pPr>
              <w:pStyle w:val="33"/>
              <w:jc w:val="both"/>
              <w:rPr>
                <w:color w:val="auto"/>
              </w:rPr>
            </w:pPr>
            <w:r>
              <w:rPr>
                <w:color w:val="auto"/>
              </w:rPr>
              <w:t>7.</w:t>
            </w:r>
            <w:r>
              <w:rPr>
                <w:rFonts w:hint="eastAsia"/>
                <w:color w:val="auto"/>
              </w:rPr>
              <w:t xml:space="preserve"> 经处理后氮氧化物可达到相应限值要求。</w:t>
            </w:r>
          </w:p>
        </w:tc>
        <w:tc>
          <w:tcPr>
            <w:tcW w:w="368" w:type="pct"/>
            <w:tcBorders>
              <w:top w:val="single" w:color="auto" w:sz="4" w:space="0"/>
              <w:left w:val="single" w:color="auto" w:sz="4" w:space="0"/>
              <w:bottom w:val="single" w:color="auto" w:sz="4" w:space="0"/>
              <w:right w:val="single" w:color="auto" w:sz="4" w:space="0"/>
            </w:tcBorders>
            <w:vAlign w:val="center"/>
          </w:tcPr>
          <w:p w14:paraId="50F2BEC6">
            <w:pPr>
              <w:pStyle w:val="33"/>
              <w:rPr>
                <w:color w:val="auto"/>
              </w:rPr>
            </w:pPr>
            <w:r>
              <w:rPr>
                <w:color w:val="auto"/>
              </w:rPr>
              <w:t>符合</w:t>
            </w:r>
          </w:p>
        </w:tc>
      </w:tr>
      <w:tr w14:paraId="240AE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4E88A9A3">
            <w:pPr>
              <w:pStyle w:val="33"/>
              <w:rPr>
                <w:color w:val="auto"/>
              </w:rPr>
            </w:pPr>
            <w:r>
              <w:rPr>
                <w:color w:val="auto"/>
              </w:rPr>
              <w:t>环境风险防控</w:t>
            </w:r>
          </w:p>
        </w:tc>
        <w:tc>
          <w:tcPr>
            <w:tcW w:w="3065" w:type="pct"/>
            <w:tcBorders>
              <w:top w:val="single" w:color="auto" w:sz="4" w:space="0"/>
              <w:left w:val="single" w:color="auto" w:sz="4" w:space="0"/>
              <w:bottom w:val="single" w:color="auto" w:sz="4" w:space="0"/>
              <w:right w:val="single" w:color="auto" w:sz="4" w:space="0"/>
            </w:tcBorders>
            <w:vAlign w:val="center"/>
          </w:tcPr>
          <w:p w14:paraId="6BE0AFF3">
            <w:pPr>
              <w:pStyle w:val="33"/>
              <w:jc w:val="both"/>
              <w:rPr>
                <w:color w:val="auto"/>
              </w:rPr>
            </w:pPr>
            <w:r>
              <w:rPr>
                <w:color w:val="auto"/>
              </w:rPr>
              <w:t>1．建设项目应严格落实环境保护措施和环境风险防范措施，减缓对周边海域和陆域生态环境敏感区的不良环境影响。</w:t>
            </w:r>
          </w:p>
          <w:p w14:paraId="25CAE009">
            <w:pPr>
              <w:pStyle w:val="33"/>
              <w:jc w:val="both"/>
              <w:rPr>
                <w:color w:val="auto"/>
              </w:rPr>
            </w:pPr>
            <w:r>
              <w:rPr>
                <w:color w:val="auto"/>
              </w:rPr>
              <w:t>2．三墩片区实行封闭式管理。开展环境风险评估，制定突发环境事件应急预案并备案，配备应急能力和物资，建设环境应急队伍，并定期演练。企业、园区与地方人民政府环境应急预案应当有机衔接。</w:t>
            </w:r>
          </w:p>
          <w:p w14:paraId="73017C54">
            <w:pPr>
              <w:pStyle w:val="33"/>
              <w:jc w:val="both"/>
              <w:rPr>
                <w:color w:val="auto"/>
              </w:rPr>
            </w:pPr>
            <w:r>
              <w:rPr>
                <w:color w:val="auto"/>
              </w:rPr>
              <w:t>3．土壤环境监管重点单位应当严格控制有毒有害物质排放，并按年度向所在地设区的市人民政府生态环境主管部门报告排放情况；建立土壤污染隐患排查制度，保证持续有效防止有毒有害物质渗漏、流失、扬散。</w:t>
            </w:r>
          </w:p>
        </w:tc>
        <w:tc>
          <w:tcPr>
            <w:tcW w:w="1193" w:type="pct"/>
            <w:tcBorders>
              <w:top w:val="single" w:color="auto" w:sz="4" w:space="0"/>
              <w:left w:val="single" w:color="auto" w:sz="4" w:space="0"/>
              <w:bottom w:val="single" w:color="auto" w:sz="4" w:space="0"/>
              <w:right w:val="single" w:color="auto" w:sz="4" w:space="0"/>
            </w:tcBorders>
            <w:vAlign w:val="center"/>
          </w:tcPr>
          <w:p w14:paraId="1B0B9229">
            <w:pPr>
              <w:pStyle w:val="33"/>
              <w:jc w:val="both"/>
              <w:rPr>
                <w:bCs/>
                <w:color w:val="auto"/>
              </w:rPr>
            </w:pPr>
            <w:r>
              <w:rPr>
                <w:rFonts w:hint="eastAsia"/>
                <w:bCs/>
                <w:color w:val="auto"/>
              </w:rPr>
              <w:t>1.拟建项目严格落实环境保护措施和环境风险防范措施，根据各环境要素影响预测结果，项目的建设对周边海域和陆域生态环境敏感区的影响较小。</w:t>
            </w:r>
          </w:p>
          <w:p w14:paraId="25F2FB40">
            <w:pPr>
              <w:pStyle w:val="33"/>
              <w:jc w:val="both"/>
              <w:rPr>
                <w:bCs/>
                <w:color w:val="auto"/>
              </w:rPr>
            </w:pPr>
            <w:r>
              <w:rPr>
                <w:rFonts w:hint="eastAsia"/>
                <w:bCs/>
                <w:color w:val="auto"/>
              </w:rPr>
              <w:t>2.金桂浆纸按照相关规定编制环境风险应急预案并进行了备案，拟建项目建成后，将进行进一步的完善，实现了企业环境风险应急预案与园区预案的衔接。</w:t>
            </w:r>
          </w:p>
          <w:p w14:paraId="759D7D3F">
            <w:pPr>
              <w:pStyle w:val="33"/>
              <w:jc w:val="both"/>
              <w:rPr>
                <w:bCs/>
                <w:color w:val="auto"/>
              </w:rPr>
            </w:pPr>
            <w:r>
              <w:rPr>
                <w:rFonts w:hint="eastAsia"/>
                <w:bCs/>
                <w:color w:val="auto"/>
              </w:rPr>
              <w:t>3.拟建项目不涉及。</w:t>
            </w:r>
          </w:p>
        </w:tc>
        <w:tc>
          <w:tcPr>
            <w:tcW w:w="368" w:type="pct"/>
            <w:tcBorders>
              <w:top w:val="single" w:color="auto" w:sz="4" w:space="0"/>
              <w:left w:val="single" w:color="auto" w:sz="4" w:space="0"/>
              <w:bottom w:val="single" w:color="auto" w:sz="4" w:space="0"/>
              <w:right w:val="single" w:color="auto" w:sz="4" w:space="0"/>
            </w:tcBorders>
            <w:vAlign w:val="center"/>
          </w:tcPr>
          <w:p w14:paraId="35DAC02A">
            <w:pPr>
              <w:pStyle w:val="33"/>
              <w:rPr>
                <w:color w:val="auto"/>
              </w:rPr>
            </w:pPr>
            <w:r>
              <w:rPr>
                <w:color w:val="auto"/>
              </w:rPr>
              <w:t>符合</w:t>
            </w:r>
          </w:p>
        </w:tc>
      </w:tr>
      <w:tr w14:paraId="47881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5" w:type="pct"/>
            <w:tcBorders>
              <w:top w:val="single" w:color="auto" w:sz="4" w:space="0"/>
              <w:left w:val="single" w:color="auto" w:sz="4" w:space="0"/>
              <w:bottom w:val="single" w:color="auto" w:sz="4" w:space="0"/>
              <w:right w:val="single" w:color="auto" w:sz="4" w:space="0"/>
            </w:tcBorders>
            <w:vAlign w:val="center"/>
          </w:tcPr>
          <w:p w14:paraId="50AD85A2">
            <w:pPr>
              <w:pStyle w:val="33"/>
              <w:rPr>
                <w:color w:val="auto"/>
              </w:rPr>
            </w:pPr>
            <w:r>
              <w:rPr>
                <w:color w:val="auto"/>
              </w:rPr>
              <w:t xml:space="preserve">资源开发利用效率要求 </w:t>
            </w:r>
          </w:p>
        </w:tc>
        <w:tc>
          <w:tcPr>
            <w:tcW w:w="3065" w:type="pct"/>
            <w:tcBorders>
              <w:top w:val="single" w:color="auto" w:sz="4" w:space="0"/>
              <w:left w:val="single" w:color="auto" w:sz="4" w:space="0"/>
              <w:bottom w:val="single" w:color="auto" w:sz="4" w:space="0"/>
              <w:right w:val="single" w:color="auto" w:sz="4" w:space="0"/>
            </w:tcBorders>
            <w:vAlign w:val="center"/>
          </w:tcPr>
          <w:p w14:paraId="2BEC79C9">
            <w:pPr>
              <w:pStyle w:val="33"/>
              <w:jc w:val="both"/>
              <w:rPr>
                <w:color w:val="auto"/>
              </w:rPr>
            </w:pPr>
            <w:r>
              <w:rPr>
                <w:color w:val="auto"/>
              </w:rPr>
              <w:t>1．在禁燃区内，禁止销售、燃用高污染燃料；禁止新建、扩建燃用高污染燃料的设施，已建成的，应当在城市人民政府规定的期限内改用天然气、页岩气、液化石油气、电或者其他清洁能源。其余按照《钦州市人民政府关于划定高污染燃料禁燃区的通告》要求实施管理。</w:t>
            </w:r>
          </w:p>
          <w:p w14:paraId="2A08D702">
            <w:pPr>
              <w:pStyle w:val="33"/>
              <w:jc w:val="both"/>
              <w:rPr>
                <w:color w:val="auto"/>
              </w:rPr>
            </w:pPr>
            <w:r>
              <w:rPr>
                <w:color w:val="auto"/>
              </w:rPr>
              <w:t>2．加强水资源消耗总量与强度控制，推进节水减排，提升水资源利用效率和效益。</w:t>
            </w:r>
          </w:p>
          <w:p w14:paraId="302D2A0A">
            <w:pPr>
              <w:pStyle w:val="33"/>
              <w:jc w:val="both"/>
              <w:rPr>
                <w:color w:val="auto"/>
              </w:rPr>
            </w:pPr>
            <w:r>
              <w:rPr>
                <w:color w:val="auto"/>
              </w:rPr>
              <w:t>3．坚持节约集约用地，提高土地利用效率。</w:t>
            </w:r>
          </w:p>
        </w:tc>
        <w:tc>
          <w:tcPr>
            <w:tcW w:w="1193" w:type="pct"/>
            <w:tcBorders>
              <w:top w:val="single" w:color="auto" w:sz="4" w:space="0"/>
              <w:left w:val="single" w:color="auto" w:sz="4" w:space="0"/>
              <w:bottom w:val="single" w:color="auto" w:sz="4" w:space="0"/>
              <w:right w:val="single" w:color="auto" w:sz="4" w:space="0"/>
            </w:tcBorders>
            <w:vAlign w:val="center"/>
          </w:tcPr>
          <w:p w14:paraId="4FB291F5">
            <w:pPr>
              <w:pStyle w:val="33"/>
              <w:jc w:val="both"/>
              <w:rPr>
                <w:color w:val="auto"/>
              </w:rPr>
            </w:pPr>
            <w:r>
              <w:rPr>
                <w:color w:val="auto"/>
              </w:rPr>
              <w:t>1. 项目不在高污染燃料禁燃区；</w:t>
            </w:r>
          </w:p>
          <w:p w14:paraId="1096330E">
            <w:pPr>
              <w:pStyle w:val="33"/>
              <w:jc w:val="both"/>
              <w:rPr>
                <w:color w:val="auto"/>
              </w:rPr>
            </w:pPr>
            <w:r>
              <w:rPr>
                <w:color w:val="auto"/>
              </w:rPr>
              <w:t>2.</w:t>
            </w:r>
            <w:r>
              <w:rPr>
                <w:rFonts w:hint="eastAsia"/>
                <w:color w:val="auto"/>
              </w:rPr>
              <w:t xml:space="preserve"> 拟建项目新增排水均回用。</w:t>
            </w:r>
          </w:p>
          <w:p w14:paraId="6D316BC3">
            <w:pPr>
              <w:pStyle w:val="33"/>
              <w:jc w:val="both"/>
              <w:rPr>
                <w:color w:val="auto"/>
              </w:rPr>
            </w:pPr>
            <w:r>
              <w:rPr>
                <w:color w:val="auto"/>
              </w:rPr>
              <w:t>3.项目不新增用地。</w:t>
            </w:r>
          </w:p>
        </w:tc>
        <w:tc>
          <w:tcPr>
            <w:tcW w:w="368" w:type="pct"/>
            <w:tcBorders>
              <w:top w:val="single" w:color="auto" w:sz="4" w:space="0"/>
              <w:left w:val="single" w:color="auto" w:sz="4" w:space="0"/>
              <w:bottom w:val="single" w:color="auto" w:sz="4" w:space="0"/>
              <w:right w:val="single" w:color="auto" w:sz="4" w:space="0"/>
            </w:tcBorders>
            <w:vAlign w:val="center"/>
          </w:tcPr>
          <w:p w14:paraId="1C000337">
            <w:pPr>
              <w:pStyle w:val="33"/>
              <w:rPr>
                <w:color w:val="auto"/>
              </w:rPr>
            </w:pPr>
            <w:r>
              <w:rPr>
                <w:color w:val="auto"/>
              </w:rPr>
              <w:t>符合</w:t>
            </w:r>
          </w:p>
        </w:tc>
      </w:tr>
    </w:tbl>
    <w:p w14:paraId="699D6177">
      <w:pPr>
        <w:pStyle w:val="4"/>
        <w:rPr>
          <w:rFonts w:cs="Times New Roman"/>
          <w:color w:val="auto"/>
        </w:rPr>
      </w:pPr>
      <w:bookmarkStart w:id="152" w:name="_Toc225216667"/>
      <w:r>
        <w:rPr>
          <w:rFonts w:cs="Times New Roman"/>
          <w:color w:val="auto"/>
        </w:rPr>
        <w:t>与区域规划符合性分析</w:t>
      </w:r>
      <w:bookmarkEnd w:id="148"/>
      <w:bookmarkEnd w:id="149"/>
      <w:bookmarkEnd w:id="150"/>
      <w:bookmarkEnd w:id="151"/>
      <w:bookmarkEnd w:id="152"/>
    </w:p>
    <w:p w14:paraId="3A097487">
      <w:pPr>
        <w:pStyle w:val="5"/>
        <w:rPr>
          <w:rFonts w:cs="Times New Roman"/>
          <w:color w:val="auto"/>
        </w:rPr>
      </w:pPr>
      <w:r>
        <w:rPr>
          <w:rFonts w:hint="eastAsia" w:cs="Times New Roman"/>
          <w:color w:val="auto"/>
        </w:rPr>
        <w:t>《广西壮族自治区固体废物污染环境防治条例》</w:t>
      </w:r>
      <w:r>
        <w:rPr>
          <w:rFonts w:cs="Times New Roman"/>
          <w:color w:val="auto"/>
        </w:rPr>
        <w:t>符合性分析</w:t>
      </w:r>
    </w:p>
    <w:p w14:paraId="17C8324B">
      <w:pPr>
        <w:ind w:firstLine="480"/>
        <w:rPr>
          <w:rFonts w:cs="Times New Roman"/>
          <w:color w:val="auto"/>
        </w:rPr>
      </w:pPr>
      <w:r>
        <w:rPr>
          <w:rFonts w:hint="eastAsia" w:cs="Times New Roman"/>
          <w:color w:val="auto"/>
        </w:rPr>
        <w:t>《广西壮族自治区固体废物污染环境防治条例》指出，产生工业固体废物的单位应当加强固体废物资源化综合利用，逐步消纳固体废物历史堆存量。产生工业固体废物的单位确定生产计划应当综合考虑固体废物综合利用量。工程施工单位应当编制建筑垃圾处理方案，将建筑垃圾产生时间、地点、种类、数量、处置方式等事项报所在地县级人民政府环境卫生主管部门备案；采取污染防治措施，及时清运施工过程中产生的建筑垃圾，并按照规定进行利用或者处置。危险废物应当按照特性分类贮存，采用专用容器或者包装物，并采取符合国家环境保护标准的防护措施。产生危险废物的单位贮存具有易燃性或者反应性的危险废物，贮存期限不得超过一年。产生危险废物的单位应当按照国家有关规定制定危险废物管理计划；建立危险废物管理台账，如实记录危险废物的种类、产生量、流向、贮存、处置等信息。</w:t>
      </w:r>
    </w:p>
    <w:p w14:paraId="763E1327">
      <w:pPr>
        <w:ind w:firstLine="480"/>
        <w:rPr>
          <w:rFonts w:cs="Times New Roman"/>
          <w:color w:val="auto"/>
        </w:rPr>
      </w:pPr>
      <w:r>
        <w:rPr>
          <w:rFonts w:hint="eastAsia" w:cs="Times New Roman"/>
          <w:color w:val="auto"/>
        </w:rPr>
        <w:t>拟建项目产生的一般工业固体废物均通过外委综合利用或厂内回用方式落实去向；危险废物（废矿物油）按照特性采用专用容器于危废暂存间暂存，委托有资质单位处置。项目运营期按照相关规定制定危险废物管理计划，建立危险废物管理台账。项目施工期根据相关规定编制建筑垃圾处理方案并备案，按规定的地点处置建筑垃圾，不得随意堆置在耕地、林地、河道等地。项目的建设符合该条例要求。</w:t>
      </w:r>
    </w:p>
    <w:p w14:paraId="1DB83978">
      <w:pPr>
        <w:pStyle w:val="5"/>
        <w:rPr>
          <w:rFonts w:cs="Times New Roman"/>
          <w:color w:val="auto"/>
        </w:rPr>
      </w:pPr>
      <w:r>
        <w:rPr>
          <w:rFonts w:hint="eastAsia" w:cs="Times New Roman"/>
          <w:color w:val="auto"/>
        </w:rPr>
        <w:t>《广西壮族自治区重金属污染防控工作方案》</w:t>
      </w:r>
      <w:r>
        <w:rPr>
          <w:rFonts w:cs="Times New Roman"/>
          <w:color w:val="auto"/>
        </w:rPr>
        <w:t>符合性分析</w:t>
      </w:r>
    </w:p>
    <w:p w14:paraId="3F8174A1">
      <w:pPr>
        <w:ind w:firstLine="480"/>
        <w:rPr>
          <w:rFonts w:cs="Times New Roman"/>
          <w:color w:val="auto"/>
        </w:rPr>
      </w:pPr>
      <w:r>
        <w:rPr>
          <w:rFonts w:hint="eastAsia" w:cs="Times New Roman"/>
          <w:color w:val="auto"/>
        </w:rPr>
        <w:t>根据《广西壮族自治区重金属污染防控工作方案》，拟建项目不涉及自治区重金属污染防控重点行业。该方案指出，排放镉等重金属的企事业单位，应当对周边大气镉等重金属沉降及耕地土壤重金属进行定期监测，评估大气重金属沉降造成耕地土壤中镉等重金属累积的风险，并采取防范措施。</w:t>
      </w:r>
    </w:p>
    <w:p w14:paraId="64641BA1">
      <w:pPr>
        <w:ind w:firstLine="480"/>
        <w:rPr>
          <w:rFonts w:cs="Times New Roman"/>
          <w:color w:val="auto"/>
        </w:rPr>
      </w:pPr>
      <w:r>
        <w:rPr>
          <w:rFonts w:hint="eastAsia" w:cs="Times New Roman"/>
          <w:color w:val="auto"/>
        </w:rPr>
        <w:t>本项目属于造纸行业，不属于自治区重金属污染防控重点行业，且项目产生的废气不涉及重金属。项目的建设符合该工作方案要求。</w:t>
      </w:r>
    </w:p>
    <w:p w14:paraId="023A005C">
      <w:pPr>
        <w:pStyle w:val="5"/>
        <w:rPr>
          <w:rFonts w:cs="Times New Roman"/>
          <w:color w:val="auto"/>
        </w:rPr>
      </w:pPr>
      <w:r>
        <w:rPr>
          <w:rFonts w:hint="eastAsia" w:cs="Times New Roman"/>
          <w:color w:val="auto"/>
        </w:rPr>
        <w:t>《广西壮族自治区碳达峰实施方案》、《广西壮族自治区工业领域碳达峰实施方案》</w:t>
      </w:r>
      <w:r>
        <w:rPr>
          <w:rFonts w:cs="Times New Roman"/>
          <w:color w:val="auto"/>
        </w:rPr>
        <w:t>符合性分析</w:t>
      </w:r>
    </w:p>
    <w:p w14:paraId="062C78EE">
      <w:pPr>
        <w:ind w:firstLine="480"/>
        <w:rPr>
          <w:rFonts w:cs="Times New Roman"/>
          <w:color w:val="auto"/>
        </w:rPr>
      </w:pPr>
      <w:r>
        <w:rPr>
          <w:rFonts w:hint="eastAsia" w:cs="Times New Roman"/>
          <w:color w:val="auto"/>
        </w:rPr>
        <w:t>《广西壮族自治区碳达峰实施方案》指出，推动工业领域绿色低碳发展。促进工业能源消费低碳化，推动化石能源清洁高效利用，提高可再生能源应用比重，加强电力需求侧管理，提升工业电气化水平，推进清洁能源替代，加快工业行业煤改电、煤改气。</w:t>
      </w:r>
    </w:p>
    <w:p w14:paraId="7327FC15">
      <w:pPr>
        <w:ind w:firstLine="480"/>
        <w:rPr>
          <w:rFonts w:cs="Times New Roman"/>
          <w:color w:val="auto"/>
        </w:rPr>
      </w:pPr>
      <w:r>
        <w:rPr>
          <w:rFonts w:hint="eastAsia" w:cs="Times New Roman"/>
          <w:color w:val="auto"/>
        </w:rPr>
        <w:t>《广西壮族自治区工业领域碳达峰实施方案》指出，高耗能行业重点领域之外新建、改建、扩建项目的单位产品能耗要达到国家能耗限额标准的先进水平、国内同行业领先水平。</w:t>
      </w:r>
    </w:p>
    <w:p w14:paraId="5FFE963F">
      <w:pPr>
        <w:ind w:firstLine="480"/>
        <w:rPr>
          <w:rFonts w:cs="Times New Roman"/>
          <w:color w:val="auto"/>
        </w:rPr>
      </w:pPr>
      <w:r>
        <w:rPr>
          <w:rFonts w:hint="eastAsia" w:cs="Times New Roman"/>
          <w:color w:val="auto"/>
        </w:rPr>
        <w:t>拟建项目供气完全依托金桂公司现有天然气计量站，由管道接入，其燃料为天然气；同时拟建项目各生产线清洁生产均达到国际领先水平，各生产线能耗水平达到各类产业政策能耗限额标准。项目的建设符合上述实施方案要求。</w:t>
      </w:r>
    </w:p>
    <w:p w14:paraId="44D6DDB5">
      <w:pPr>
        <w:pStyle w:val="5"/>
        <w:rPr>
          <w:rFonts w:cs="Times New Roman"/>
          <w:color w:val="auto"/>
        </w:rPr>
      </w:pPr>
      <w:r>
        <w:rPr>
          <w:rFonts w:hint="eastAsia" w:cs="Times New Roman"/>
          <w:color w:val="auto"/>
        </w:rPr>
        <w:t>《钦州市国土空间总体规划（2021-2035年）》</w:t>
      </w:r>
      <w:r>
        <w:rPr>
          <w:rFonts w:cs="Times New Roman"/>
          <w:color w:val="auto"/>
        </w:rPr>
        <w:t>符合性分析</w:t>
      </w:r>
    </w:p>
    <w:p w14:paraId="02043509">
      <w:pPr>
        <w:ind w:firstLine="480"/>
        <w:rPr>
          <w:rFonts w:cs="Times New Roman"/>
          <w:color w:val="auto"/>
        </w:rPr>
      </w:pPr>
      <w:r>
        <w:rPr>
          <w:rFonts w:hint="eastAsia" w:cs="Times New Roman"/>
          <w:color w:val="auto"/>
        </w:rPr>
        <w:t>《钦州市国土空间总体规划（2021-2035年）》指出，集约适度增加城镇用地规模，保障工业化、城镇化发展用地，合理引导人口和产业向资源环境承载能力较高的区域集聚，促进工业项目向工业园区或集中区集中。提高水资源利用效率，加大对食品、化工等高耗水工业行业节水技术改造力度，大力推广工业水循环利用、高效冷却、热力系统节水、洗涤节水等节水工艺和技术，加快淘汰落后用水工艺和技术。</w:t>
      </w:r>
    </w:p>
    <w:p w14:paraId="3FF63003">
      <w:pPr>
        <w:ind w:firstLine="480"/>
        <w:rPr>
          <w:rFonts w:cs="Times New Roman"/>
          <w:color w:val="auto"/>
        </w:rPr>
      </w:pPr>
      <w:r>
        <w:rPr>
          <w:rFonts w:hint="eastAsia" w:cs="Times New Roman"/>
          <w:color w:val="auto"/>
        </w:rPr>
        <w:t>根据《钦州市国土空间总体规划（2021-2035年）》及《广西钦州林浆纸产业园发展规划（2024-2035年）》，本项目位于林浆纸产业园范围内，用地类别为三类工业用地，项目用地不涉及永久基本农田，不涉及生态保护红线。拟建项目各条生产线清洁生产水平达到国际领先水平，符合国土空间总体规划要求。</w:t>
      </w:r>
    </w:p>
    <w:p w14:paraId="3B1AEBDF">
      <w:pPr>
        <w:pStyle w:val="5"/>
        <w:rPr>
          <w:rFonts w:cs="Times New Roman"/>
          <w:color w:val="auto"/>
        </w:rPr>
      </w:pPr>
      <w:r>
        <w:rPr>
          <w:rFonts w:hint="eastAsia" w:cs="Times New Roman"/>
          <w:color w:val="auto"/>
        </w:rPr>
        <w:t>《钦州港经济技术开发区总体规划（2014-2030）》</w:t>
      </w:r>
      <w:r>
        <w:rPr>
          <w:rFonts w:cs="Times New Roman"/>
          <w:color w:val="auto"/>
        </w:rPr>
        <w:t>符合性分析</w:t>
      </w:r>
    </w:p>
    <w:p w14:paraId="12D7964B">
      <w:pPr>
        <w:ind w:firstLine="480"/>
        <w:rPr>
          <w:rFonts w:cs="Times New Roman"/>
          <w:color w:val="auto"/>
        </w:rPr>
      </w:pPr>
      <w:r>
        <w:rPr>
          <w:rFonts w:hint="eastAsia" w:cs="Times New Roman"/>
          <w:color w:val="auto"/>
        </w:rPr>
        <w:t>金桂浆纸现有厂区位于钦州港经济技术开发区。根据《中国开发区审核公告目录（2018年版）》，国务院于2010年11月批准设立钦州港经济技术开发区（编号G451186），核准面积1000公顷，主导产业为石化、粮油和林浆纸。</w:t>
      </w:r>
    </w:p>
    <w:p w14:paraId="73AD6B46">
      <w:pPr>
        <w:ind w:firstLine="480"/>
        <w:rPr>
          <w:rFonts w:cs="Times New Roman"/>
          <w:color w:val="auto"/>
        </w:rPr>
      </w:pPr>
      <w:r>
        <w:rPr>
          <w:rFonts w:hint="eastAsia" w:cs="Times New Roman"/>
          <w:color w:val="auto"/>
        </w:rPr>
        <w:t>根据《钦州港经济技术开发区总体规划（2014-2030）》，规划要做大做强造纸产业，以金光综合产业园为载体，推进林桨纸一体化，积极发展浆、纸和纸品等系列产品。重点发展高得率的化学木浆、竹浆等浆种；发展液体包装纸、高档生活纸、轻量涂布纸、高档信息用纸、高档办公用纸、特种复合纸等纸品精深加工，提高纸和纸板中高档产品比重。</w:t>
      </w:r>
    </w:p>
    <w:p w14:paraId="5EF946D4">
      <w:pPr>
        <w:ind w:firstLine="480"/>
        <w:rPr>
          <w:rFonts w:cs="Times New Roman"/>
          <w:color w:val="auto"/>
        </w:rPr>
      </w:pPr>
      <w:r>
        <w:rPr>
          <w:rFonts w:hint="eastAsia" w:cs="Times New Roman"/>
          <w:color w:val="auto"/>
        </w:rPr>
        <w:t>规划依据不同产业的类型，把产业空间划分为两区两带，分别为现代产业带，休闲旅游产业带，综合服务产业区和生态综合区。金桂浆纸现有厂区位于现代产业带中的造纸产业园。</w:t>
      </w:r>
    </w:p>
    <w:p w14:paraId="1C07BD0E">
      <w:pPr>
        <w:ind w:firstLine="480"/>
        <w:rPr>
          <w:rFonts w:cs="Times New Roman"/>
          <w:color w:val="auto"/>
        </w:rPr>
      </w:pPr>
      <w:r>
        <w:rPr>
          <w:rFonts w:hint="eastAsia" w:cs="Times New Roman"/>
          <w:color w:val="auto"/>
        </w:rPr>
        <w:t>根据规划及《钦州港临海工业园区发展环境影响跟踪评价报告书（2014年）》，开发区废水依托胜科污水处理处理厂、大榄坪污水处理厂进行处理，同时，工业区内大型企业、港口各作业区的污水不计于污水处理厂规模，各大型企业及作业区污水必须自行处理达标后排放。各大型企业主要是指中石油炼油项目、金桂林浆纸一体化项目、钦州燃煤电厂项目，其中钦州燃煤电厂废水主要是温排水，不计算其污染物排放情况。钦州湾推荐污水排放方案为：近期，胜科污水处理厂一期污水处理后由A1排污口承担，大榄坪污水处理厂一期处理后的污水和金桂浆纸业一期处理后的污水由A2排污口承担；远期，胜科污水处理厂处理后污水和中石油处理后污水由A1排污口承担，大榄坪污水处理厂处理后的污水和金桂浆纸业处理后的污水均（集中排污）由A3排污口承担，同时废止A2排污口的使用。</w:t>
      </w:r>
    </w:p>
    <w:p w14:paraId="0A994CA8">
      <w:pPr>
        <w:ind w:firstLine="480"/>
        <w:rPr>
          <w:rFonts w:cs="Times New Roman"/>
          <w:color w:val="auto"/>
        </w:rPr>
      </w:pPr>
      <w:r>
        <w:rPr>
          <w:rFonts w:hint="eastAsia" w:cs="Times New Roman"/>
          <w:color w:val="auto"/>
        </w:rPr>
        <w:t>拟设置的深海排放口尚未投入使用，本项目废水依托A2排污区进行排放，符合规划要求。规划跟踪评价中给出的林浆纸产业园远期废水量为30万t/d，金桂浆纸全厂废水量将近8.95万t/d，在上述规划废水量范围内，符合规划要求。</w:t>
      </w:r>
    </w:p>
    <w:p w14:paraId="361E8114">
      <w:pPr>
        <w:ind w:firstLine="480"/>
        <w:rPr>
          <w:rFonts w:cs="Times New Roman"/>
          <w:color w:val="auto"/>
        </w:rPr>
      </w:pPr>
      <w:r>
        <w:rPr>
          <w:rFonts w:hint="eastAsia" w:cs="Times New Roman"/>
          <w:color w:val="auto"/>
        </w:rPr>
        <w:t>规划跟踪评价中给出工业区规划实施后，广西金桂浆纸有限公司规划期大气污染物排放量分别为SO</w:t>
      </w:r>
      <w:r>
        <w:rPr>
          <w:rFonts w:hint="eastAsia" w:cs="Times New Roman"/>
          <w:color w:val="auto"/>
          <w:vertAlign w:val="subscript"/>
        </w:rPr>
        <w:t>2</w:t>
      </w:r>
      <w:r>
        <w:rPr>
          <w:rFonts w:hint="eastAsia" w:cs="Times New Roman"/>
          <w:color w:val="auto"/>
        </w:rPr>
        <w:t>6686.4t/a、烟尘1002.96t/a、NOx3343.2t/a。根据规划跟踪评价大气环境影响预测结果及承载力分析，远期开发区达到规划年限总产值时其空气质量均能满足规划环境保护指标，大气主要污染物预测排放量均没有超出大气环境的承载能力。</w:t>
      </w:r>
    </w:p>
    <w:p w14:paraId="4B4AB102">
      <w:pPr>
        <w:pStyle w:val="5"/>
        <w:rPr>
          <w:rFonts w:cs="Times New Roman"/>
          <w:color w:val="auto"/>
        </w:rPr>
      </w:pPr>
      <w:r>
        <w:rPr>
          <w:rFonts w:hint="eastAsia" w:cs="Times New Roman"/>
          <w:color w:val="auto"/>
        </w:rPr>
        <w:t>《广西钦州石化产业园总体发展规划（</w:t>
      </w:r>
      <w:r>
        <w:rPr>
          <w:rFonts w:cs="Times New Roman"/>
          <w:color w:val="auto"/>
        </w:rPr>
        <w:t>2020-2035</w:t>
      </w:r>
      <w:r>
        <w:rPr>
          <w:rFonts w:hint="eastAsia" w:cs="Times New Roman"/>
          <w:color w:val="auto"/>
        </w:rPr>
        <w:t>）》</w:t>
      </w:r>
      <w:r>
        <w:rPr>
          <w:rFonts w:cs="Times New Roman"/>
          <w:color w:val="auto"/>
        </w:rPr>
        <w:t>符合性分析</w:t>
      </w:r>
    </w:p>
    <w:p w14:paraId="0B758447">
      <w:pPr>
        <w:ind w:firstLine="480"/>
        <w:rPr>
          <w:rFonts w:cs="Times New Roman"/>
          <w:color w:val="auto"/>
        </w:rPr>
      </w:pPr>
      <w:r>
        <w:rPr>
          <w:rFonts w:hint="eastAsia" w:cs="Times New Roman"/>
          <w:color w:val="auto"/>
        </w:rPr>
        <w:t>根据《广西钦州石化产业园总体发展规划（2020-2035）》，拟建项目位于鹿耳片区工业用地内（详见下图1.6-3），项目用地于金桂浆纸现状用地。</w:t>
      </w:r>
    </w:p>
    <w:p w14:paraId="36605682">
      <w:pPr>
        <w:ind w:firstLine="480"/>
        <w:rPr>
          <w:rFonts w:cs="Times New Roman"/>
          <w:color w:val="auto"/>
        </w:rPr>
      </w:pPr>
      <w:r>
        <w:rPr>
          <w:rFonts w:hint="eastAsia" w:cs="Times New Roman"/>
          <w:color w:val="auto"/>
        </w:rPr>
        <w:t>根据中国（广西）自由贸易试验区钦州港片区管理委员会出具的《关于钦州市林浆纸产业园规划范围与广西钦州石化产业园总体发展规划中鹿耳片区重叠区域的说明》，在两个产业规划重叠区域执行本次钦州市林浆纸产业园规划（修编）产业定位，优先发展林浆纸产业及下游产业链。</w:t>
      </w:r>
    </w:p>
    <w:p w14:paraId="28E39457">
      <w:pPr>
        <w:ind w:firstLine="0" w:firstLineChars="0"/>
        <w:jc w:val="center"/>
        <w:rPr>
          <w:rFonts w:cs="Times New Roman"/>
          <w:color w:val="auto"/>
        </w:rPr>
      </w:pPr>
      <w:r>
        <w:rPr>
          <w:rFonts w:cs="Times New Roman"/>
          <w:color w:val="auto"/>
        </w:rPr>
        <w:drawing>
          <wp:inline distT="0" distB="0" distL="0" distR="0">
            <wp:extent cx="2329815" cy="3352800"/>
            <wp:effectExtent l="0" t="0" r="0" b="0"/>
            <wp:docPr id="10" name="图片 10"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图&#10;&#10;AI 生成的内容可能不正确。"/>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2338227" cy="3364323"/>
                    </a:xfrm>
                    <a:prstGeom prst="rect">
                      <a:avLst/>
                    </a:prstGeom>
                    <a:noFill/>
                    <a:ln>
                      <a:noFill/>
                    </a:ln>
                  </pic:spPr>
                </pic:pic>
              </a:graphicData>
            </a:graphic>
          </wp:inline>
        </w:drawing>
      </w:r>
    </w:p>
    <w:p w14:paraId="3DBEA2A6">
      <w:pPr>
        <w:pStyle w:val="8"/>
        <w:rPr>
          <w:color w:val="auto"/>
        </w:rPr>
      </w:pPr>
      <w:r>
        <w:rPr>
          <w:rFonts w:hint="eastAsia"/>
          <w:color w:val="auto"/>
        </w:rPr>
        <w:t>钦州石化产业园鹿耳片区用地规划图</w:t>
      </w:r>
    </w:p>
    <w:p w14:paraId="55729A5D">
      <w:pPr>
        <w:pStyle w:val="5"/>
        <w:rPr>
          <w:rFonts w:cs="Times New Roman"/>
          <w:color w:val="auto"/>
        </w:rPr>
      </w:pPr>
      <w:r>
        <w:rPr>
          <w:rFonts w:hint="eastAsia" w:cs="Times New Roman"/>
          <w:color w:val="auto"/>
        </w:rPr>
        <w:t>《广西钦州林浆纸产业园发展规划（2024-2035 年）》</w:t>
      </w:r>
      <w:r>
        <w:rPr>
          <w:rFonts w:cs="Times New Roman"/>
          <w:color w:val="auto"/>
        </w:rPr>
        <w:t>符合性分析</w:t>
      </w:r>
    </w:p>
    <w:p w14:paraId="2898B662">
      <w:pPr>
        <w:ind w:firstLine="480"/>
        <w:rPr>
          <w:rFonts w:cs="Times New Roman"/>
          <w:color w:val="auto"/>
        </w:rPr>
      </w:pPr>
      <w:r>
        <w:rPr>
          <w:rFonts w:hint="eastAsia" w:cs="Times New Roman"/>
          <w:color w:val="auto"/>
        </w:rPr>
        <w:t>根据《广西钦州林浆纸产业园发展规划（2024-2035年）》，拟建项目位于产业园工业用地内（详见附图）。</w:t>
      </w:r>
    </w:p>
    <w:p w14:paraId="059983DB">
      <w:pPr>
        <w:ind w:firstLine="480"/>
        <w:rPr>
          <w:rFonts w:cs="Times New Roman"/>
          <w:color w:val="auto"/>
        </w:rPr>
      </w:pPr>
      <w:r>
        <w:rPr>
          <w:rFonts w:hint="eastAsia" w:cs="Times New Roman"/>
          <w:color w:val="auto"/>
        </w:rPr>
        <w:t>①与规划及规划环评的符合性</w:t>
      </w:r>
    </w:p>
    <w:p w14:paraId="6D640926">
      <w:pPr>
        <w:ind w:firstLine="480"/>
        <w:rPr>
          <w:rFonts w:cs="Times New Roman"/>
          <w:color w:val="auto"/>
        </w:rPr>
      </w:pPr>
      <w:r>
        <w:rPr>
          <w:rFonts w:hint="eastAsia" w:cs="Times New Roman"/>
          <w:color w:val="auto"/>
        </w:rPr>
        <w:t>拟建项目为基于金桂浆纸现有、在建工程需求，进一步扩大金桂浆纸产业链，配套建设</w:t>
      </w:r>
      <w:r>
        <w:rPr>
          <w:bCs/>
          <w:color w:val="auto"/>
        </w:rPr>
        <w:t>一套2万立方米/日的污水处理设施，末端增加5000立方米/日的中水回用工段</w:t>
      </w:r>
      <w:r>
        <w:rPr>
          <w:rFonts w:hint="eastAsia"/>
          <w:bCs/>
          <w:color w:val="auto"/>
        </w:rPr>
        <w:t>，</w:t>
      </w:r>
      <w:r>
        <w:rPr>
          <w:rFonts w:hint="eastAsia" w:cs="Times New Roman"/>
          <w:color w:val="auto"/>
        </w:rPr>
        <w:t>项目建成后，实现金桂浆纸厂区湿浆自产自用、内部平衡，实现钦州市林浆纸产业提质增效可持续发展。</w:t>
      </w:r>
    </w:p>
    <w:p w14:paraId="31BFF788">
      <w:pPr>
        <w:ind w:firstLine="480"/>
        <w:rPr>
          <w:rFonts w:cs="Times New Roman"/>
          <w:color w:val="auto"/>
        </w:rPr>
      </w:pPr>
      <w:r>
        <w:rPr>
          <w:rFonts w:hint="eastAsia" w:cs="Times New Roman"/>
          <w:color w:val="auto"/>
        </w:rPr>
        <w:t>根据项目大气、地表水环境预测</w:t>
      </w:r>
      <w:r>
        <w:rPr>
          <w:rFonts w:hint="eastAsia"/>
          <w:color w:val="auto"/>
        </w:rPr>
        <w:t>结果</w:t>
      </w:r>
      <w:r>
        <w:rPr>
          <w:rFonts w:hint="eastAsia" w:cs="Times New Roman"/>
          <w:color w:val="auto"/>
        </w:rPr>
        <w:t>，项目建成后，区域环境质量均可达到环境功能要求。</w:t>
      </w:r>
    </w:p>
    <w:p w14:paraId="2C87F8A5">
      <w:pPr>
        <w:ind w:firstLine="480"/>
        <w:rPr>
          <w:rFonts w:cs="Times New Roman"/>
          <w:color w:val="auto"/>
        </w:rPr>
      </w:pPr>
      <w:r>
        <w:rPr>
          <w:rFonts w:hint="eastAsia" w:cs="Times New Roman"/>
          <w:color w:val="auto"/>
        </w:rPr>
        <w:t>根据《广西钦州林浆纸产业园发展规划（2024-2035年）环境影响报告书》，拟建项目符合林浆纸产业园环境影响报告书提出的入园项目生态环境准入要求，符合性分析详见下表。同时，拟建项目符合入园区项目正面清单要求。</w:t>
      </w:r>
    </w:p>
    <w:p w14:paraId="775A9C6B">
      <w:pPr>
        <w:pStyle w:val="7"/>
        <w:rPr>
          <w:color w:val="auto"/>
        </w:rPr>
      </w:pPr>
      <w:r>
        <w:rPr>
          <w:rFonts w:hint="eastAsia"/>
          <w:color w:val="auto"/>
        </w:rPr>
        <w:t>拟建项目与广西钦州林浆纸产业园产业准入正面清单符合性分析</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38"/>
        <w:gridCol w:w="2410"/>
        <w:gridCol w:w="3969"/>
        <w:gridCol w:w="843"/>
      </w:tblGrid>
      <w:tr w14:paraId="48F1F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48" w:type="dxa"/>
            <w:gridSpan w:val="2"/>
            <w:vAlign w:val="center"/>
          </w:tcPr>
          <w:p w14:paraId="6A2FA3D6">
            <w:pPr>
              <w:pStyle w:val="33"/>
              <w:rPr>
                <w:color w:val="auto"/>
              </w:rPr>
            </w:pPr>
            <w:r>
              <w:rPr>
                <w:rFonts w:hint="eastAsia"/>
                <w:color w:val="auto"/>
              </w:rPr>
              <w:t>鼓励引进的产业或项目</w:t>
            </w:r>
          </w:p>
        </w:tc>
        <w:tc>
          <w:tcPr>
            <w:tcW w:w="3969" w:type="dxa"/>
            <w:vAlign w:val="center"/>
          </w:tcPr>
          <w:p w14:paraId="40AD4965">
            <w:pPr>
              <w:pStyle w:val="33"/>
              <w:rPr>
                <w:color w:val="auto"/>
              </w:rPr>
            </w:pPr>
            <w:r>
              <w:rPr>
                <w:rFonts w:hint="eastAsia"/>
                <w:color w:val="auto"/>
              </w:rPr>
              <w:t>拟建项目情况</w:t>
            </w:r>
          </w:p>
        </w:tc>
        <w:tc>
          <w:tcPr>
            <w:tcW w:w="843" w:type="dxa"/>
            <w:vAlign w:val="center"/>
          </w:tcPr>
          <w:p w14:paraId="52E57CCF">
            <w:pPr>
              <w:pStyle w:val="33"/>
              <w:rPr>
                <w:color w:val="auto"/>
              </w:rPr>
            </w:pPr>
            <w:r>
              <w:rPr>
                <w:rFonts w:hint="eastAsia"/>
                <w:color w:val="auto"/>
              </w:rPr>
              <w:t>符合性</w:t>
            </w:r>
          </w:p>
        </w:tc>
      </w:tr>
      <w:tr w14:paraId="0CE13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38" w:type="dxa"/>
            <w:vAlign w:val="center"/>
          </w:tcPr>
          <w:p w14:paraId="152B467C">
            <w:pPr>
              <w:pStyle w:val="33"/>
              <w:jc w:val="both"/>
              <w:rPr>
                <w:color w:val="auto"/>
              </w:rPr>
            </w:pPr>
            <w:r>
              <w:rPr>
                <w:rFonts w:hint="eastAsia"/>
                <w:color w:val="auto"/>
              </w:rPr>
              <w:t>十、造纸与木材加工</w:t>
            </w:r>
          </w:p>
        </w:tc>
        <w:tc>
          <w:tcPr>
            <w:tcW w:w="2410" w:type="dxa"/>
            <w:vAlign w:val="center"/>
          </w:tcPr>
          <w:p w14:paraId="383BC67C">
            <w:pPr>
              <w:pStyle w:val="33"/>
              <w:jc w:val="both"/>
              <w:rPr>
                <w:color w:val="auto"/>
              </w:rPr>
            </w:pPr>
            <w:r>
              <w:rPr>
                <w:rFonts w:hint="eastAsia"/>
                <w:color w:val="auto"/>
              </w:rPr>
              <w:t>1.高档纸制品、纸浆模塑制品、纸质妇幼卫生产品生产</w:t>
            </w:r>
          </w:p>
        </w:tc>
        <w:tc>
          <w:tcPr>
            <w:tcW w:w="3969" w:type="dxa"/>
            <w:vAlign w:val="center"/>
          </w:tcPr>
          <w:p w14:paraId="683A48CE">
            <w:pPr>
              <w:pStyle w:val="33"/>
              <w:jc w:val="both"/>
              <w:rPr>
                <w:color w:val="auto"/>
              </w:rPr>
            </w:pPr>
            <w:r>
              <w:rPr>
                <w:rFonts w:hint="eastAsia"/>
                <w:color w:val="auto"/>
              </w:rPr>
              <w:t>项目将1#白卡纸生产线产能从100万吨/年提升到150万吨/年，2#白卡纸生产线产能从90万吨/年提升到150万吨/年。</w:t>
            </w:r>
          </w:p>
        </w:tc>
        <w:tc>
          <w:tcPr>
            <w:tcW w:w="843" w:type="dxa"/>
            <w:vAlign w:val="center"/>
          </w:tcPr>
          <w:p w14:paraId="1F07E4CC">
            <w:pPr>
              <w:pStyle w:val="33"/>
              <w:rPr>
                <w:color w:val="auto"/>
              </w:rPr>
            </w:pPr>
            <w:r>
              <w:rPr>
                <w:rFonts w:hint="eastAsia"/>
                <w:color w:val="auto"/>
              </w:rPr>
              <w:t>符合</w:t>
            </w:r>
          </w:p>
        </w:tc>
      </w:tr>
    </w:tbl>
    <w:p w14:paraId="37176DB1">
      <w:pPr>
        <w:ind w:firstLine="480"/>
        <w:rPr>
          <w:rFonts w:cs="Times New Roman"/>
          <w:color w:val="auto"/>
        </w:rPr>
      </w:pPr>
      <w:r>
        <w:rPr>
          <w:rFonts w:hint="eastAsia" w:cs="Times New Roman"/>
          <w:color w:val="auto"/>
        </w:rPr>
        <w:t>根据林浆纸产业园规划，至规划远期2035年，广西钦州林浆纸产业园将实现制浆规模565万吨/年，造纸规模730万吨/年。拟建项目将白卡纸产能从190万吨/年提升到300万吨/年，与上述规划相符。</w:t>
      </w:r>
    </w:p>
    <w:p w14:paraId="18D80222">
      <w:pPr>
        <w:ind w:firstLine="480"/>
        <w:rPr>
          <w:rFonts w:cs="Times New Roman"/>
          <w:color w:val="auto"/>
        </w:rPr>
      </w:pPr>
      <w:r>
        <w:rPr>
          <w:rFonts w:hint="eastAsia" w:cs="Times New Roman"/>
          <w:color w:val="auto"/>
        </w:rPr>
        <w:t>拟建项目采用先进的生产工艺和设备，各生产线清洁生产水平达到国际领先水平。拟建项目建成后，金桂浆纸全厂主要污染物排放量为COD20417t/a、总氮110.1t/a、总磷6t/a、SO</w:t>
      </w:r>
      <w:r>
        <w:rPr>
          <w:rFonts w:hint="eastAsia" w:cs="Times New Roman"/>
          <w:color w:val="auto"/>
          <w:vertAlign w:val="subscript"/>
        </w:rPr>
        <w:t>2</w:t>
      </w:r>
      <w:r>
        <w:rPr>
          <w:rFonts w:hint="eastAsia" w:cs="Times New Roman"/>
          <w:color w:val="auto"/>
        </w:rPr>
        <w:t>468.672t/a、颗粒物526.513t/a、NOx2222.767t/a，均在规划环评确定的允许排放量（COD10287.42t/a、总氮2424.828t/a、总磷116.002t/a、SO</w:t>
      </w:r>
      <w:r>
        <w:rPr>
          <w:rFonts w:hint="eastAsia" w:cs="Times New Roman"/>
          <w:color w:val="auto"/>
          <w:vertAlign w:val="subscript"/>
        </w:rPr>
        <w:t>2</w:t>
      </w:r>
      <w:r>
        <w:rPr>
          <w:rFonts w:hint="eastAsia" w:cs="Times New Roman"/>
          <w:color w:val="auto"/>
        </w:rPr>
        <w:t>4831.87t/a、颗粒物2415.93t/a、NOx3424.312t/a）范围内。同时项目建成后全厂各类主要污染物排放量均在规划环评允许排放量、规划环评核算的环境容量范围内，且占比较小，仍有较大空间供给园区后续发展。</w:t>
      </w:r>
    </w:p>
    <w:p w14:paraId="31D69C3B">
      <w:pPr>
        <w:ind w:firstLine="480"/>
        <w:rPr>
          <w:rFonts w:cs="Times New Roman"/>
          <w:color w:val="auto"/>
        </w:rPr>
      </w:pPr>
      <w:r>
        <w:rPr>
          <w:rFonts w:hint="eastAsia" w:cs="Times New Roman"/>
          <w:color w:val="auto"/>
        </w:rPr>
        <w:t>②与规划环评审查意见的符合性</w:t>
      </w:r>
    </w:p>
    <w:p w14:paraId="285344FF">
      <w:pPr>
        <w:ind w:firstLine="480"/>
        <w:rPr>
          <w:rFonts w:cs="Times New Roman"/>
          <w:color w:val="auto"/>
        </w:rPr>
        <w:sectPr>
          <w:headerReference r:id="rId17" w:type="default"/>
          <w:footerReference r:id="rId18" w:type="default"/>
          <w:pgSz w:w="11906" w:h="16838"/>
          <w:pgMar w:top="1418" w:right="1418" w:bottom="1418" w:left="1418" w:header="851" w:footer="850" w:gutter="0"/>
          <w:cols w:space="425" w:num="1"/>
          <w:docGrid w:type="lines" w:linePitch="326" w:charSpace="0"/>
        </w:sectPr>
      </w:pPr>
      <w:r>
        <w:rPr>
          <w:rFonts w:hint="eastAsia" w:cs="Times New Roman"/>
          <w:color w:val="auto"/>
        </w:rPr>
        <w:t>钦州市生态环境局于2024年5月27日出具了《钦州市生态环境局关于&lt;广西钦州林浆纸产业园发展规划（2024-2035年）环境影响报告书&gt;审查意见的函》（钦环审函[2024]12号）。拟建项目与《广西钦州林浆纸产业园发展规划（2024-2035年）环境影响报告书》审查意见中“规划方案的优化调整建议”的符合性分析见下表。</w:t>
      </w:r>
    </w:p>
    <w:p w14:paraId="217AD1A3">
      <w:pPr>
        <w:pStyle w:val="7"/>
        <w:rPr>
          <w:color w:val="auto"/>
        </w:rPr>
      </w:pPr>
      <w:r>
        <w:rPr>
          <w:rFonts w:hint="eastAsia"/>
          <w:color w:val="auto"/>
        </w:rPr>
        <w:t>拟建项目与审查意见中规划方案优化调整建议的符合性分析</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16"/>
        <w:gridCol w:w="5953"/>
        <w:gridCol w:w="1523"/>
      </w:tblGrid>
      <w:tr w14:paraId="0EE88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7FC9255D">
            <w:pPr>
              <w:pStyle w:val="33"/>
              <w:rPr>
                <w:color w:val="auto"/>
              </w:rPr>
            </w:pPr>
            <w:r>
              <w:rPr>
                <w:rFonts w:hint="eastAsia"/>
                <w:color w:val="auto"/>
              </w:rPr>
              <w:t>优化调整建议</w:t>
            </w:r>
          </w:p>
        </w:tc>
        <w:tc>
          <w:tcPr>
            <w:tcW w:w="5953" w:type="dxa"/>
            <w:vAlign w:val="center"/>
          </w:tcPr>
          <w:p w14:paraId="62AB681B">
            <w:pPr>
              <w:pStyle w:val="33"/>
              <w:rPr>
                <w:color w:val="auto"/>
              </w:rPr>
            </w:pPr>
            <w:r>
              <w:rPr>
                <w:rFonts w:hint="eastAsia"/>
                <w:color w:val="auto"/>
              </w:rPr>
              <w:t>拟建项目情况</w:t>
            </w:r>
          </w:p>
        </w:tc>
        <w:tc>
          <w:tcPr>
            <w:tcW w:w="1523" w:type="dxa"/>
            <w:vAlign w:val="center"/>
          </w:tcPr>
          <w:p w14:paraId="64C5AF72">
            <w:pPr>
              <w:pStyle w:val="33"/>
              <w:rPr>
                <w:b/>
                <w:bCs/>
                <w:color w:val="auto"/>
              </w:rPr>
            </w:pPr>
            <w:r>
              <w:rPr>
                <w:rFonts w:hint="eastAsia"/>
                <w:b/>
                <w:bCs/>
                <w:color w:val="auto"/>
              </w:rPr>
              <w:t>符合性</w:t>
            </w:r>
          </w:p>
        </w:tc>
      </w:tr>
      <w:tr w14:paraId="4A4DE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09B15F97">
            <w:pPr>
              <w:pStyle w:val="33"/>
              <w:jc w:val="both"/>
              <w:rPr>
                <w:color w:val="auto"/>
              </w:rPr>
            </w:pPr>
            <w:r>
              <w:rPr>
                <w:rFonts w:hint="eastAsia"/>
                <w:color w:val="auto"/>
              </w:rPr>
              <w:t>（1）与钦州市政府、钦州港园区协商调整钦州市“三区三线”划分方案，将本次规划范围划入钦州市“三区三线”划分方案；或缩减本次规划范围，将不在“三区三线”划分方案划出园区。在“三区三线”划分方案完成调整前，与“三区三线”划分方案不协调区域不得开发使用。</w:t>
            </w:r>
          </w:p>
        </w:tc>
        <w:tc>
          <w:tcPr>
            <w:tcW w:w="5953" w:type="dxa"/>
            <w:vAlign w:val="center"/>
          </w:tcPr>
          <w:p w14:paraId="74ACD4B5">
            <w:pPr>
              <w:pStyle w:val="33"/>
              <w:jc w:val="both"/>
              <w:rPr>
                <w:color w:val="auto"/>
              </w:rPr>
            </w:pPr>
            <w:r>
              <w:rPr>
                <w:rFonts w:hint="eastAsia"/>
                <w:color w:val="auto"/>
              </w:rPr>
              <w:t>本项目位于广西金桂浆纸业有限公司现有车间内，在原有工程基础上扩建，其规划用地已纳入园区已开发范围，不涉及新增占用“三区三线”中禁止或限制建设区域。</w:t>
            </w:r>
          </w:p>
        </w:tc>
        <w:tc>
          <w:tcPr>
            <w:tcW w:w="1523" w:type="dxa"/>
            <w:vAlign w:val="center"/>
          </w:tcPr>
          <w:p w14:paraId="25690E14">
            <w:pPr>
              <w:pStyle w:val="33"/>
              <w:rPr>
                <w:color w:val="auto"/>
              </w:rPr>
            </w:pPr>
            <w:r>
              <w:rPr>
                <w:rFonts w:hint="eastAsia"/>
                <w:color w:val="auto"/>
              </w:rPr>
              <w:t>符合</w:t>
            </w:r>
          </w:p>
        </w:tc>
      </w:tr>
      <w:tr w14:paraId="4D9CB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296AC109">
            <w:pPr>
              <w:pStyle w:val="33"/>
              <w:jc w:val="both"/>
              <w:rPr>
                <w:color w:val="auto"/>
              </w:rPr>
            </w:pPr>
            <w:r>
              <w:rPr>
                <w:rFonts w:hint="eastAsia"/>
                <w:color w:val="auto"/>
              </w:rPr>
              <w:t>（2）根据《广西钦州石化产业园总体发展规划（2020-2035）》及其环境影响报告书，本轮广西钦州林浆纸产业园与钦州石化产业园总体发展规划（2020-2035）中鹿耳片区重叠，重叠面积6.432km</w:t>
            </w:r>
            <w:r>
              <w:rPr>
                <w:rFonts w:hint="eastAsia"/>
                <w:color w:val="auto"/>
                <w:vertAlign w:val="superscript"/>
              </w:rPr>
              <w:t>2</w:t>
            </w:r>
            <w:r>
              <w:rPr>
                <w:rFonts w:hint="eastAsia"/>
                <w:color w:val="auto"/>
              </w:rPr>
              <w:t>。明确产业园区规划范围内产业和发展定位执行本轮林浆纸规划。</w:t>
            </w:r>
          </w:p>
        </w:tc>
        <w:tc>
          <w:tcPr>
            <w:tcW w:w="5953" w:type="dxa"/>
            <w:vAlign w:val="center"/>
          </w:tcPr>
          <w:p w14:paraId="7F7C4611">
            <w:pPr>
              <w:pStyle w:val="33"/>
              <w:jc w:val="both"/>
              <w:rPr>
                <w:color w:val="auto"/>
              </w:rPr>
            </w:pPr>
            <w:r>
              <w:rPr>
                <w:rFonts w:hint="eastAsia"/>
                <w:color w:val="auto"/>
              </w:rPr>
              <w:t>本项目符合本轮林浆纸规划定位和规模、污染防治等要求。</w:t>
            </w:r>
          </w:p>
        </w:tc>
        <w:tc>
          <w:tcPr>
            <w:tcW w:w="1523" w:type="dxa"/>
            <w:vAlign w:val="center"/>
          </w:tcPr>
          <w:p w14:paraId="5D98E52C">
            <w:pPr>
              <w:pStyle w:val="33"/>
              <w:rPr>
                <w:color w:val="auto"/>
              </w:rPr>
            </w:pPr>
            <w:r>
              <w:rPr>
                <w:rFonts w:hint="eastAsia"/>
                <w:color w:val="auto"/>
              </w:rPr>
              <w:t>符合</w:t>
            </w:r>
          </w:p>
        </w:tc>
      </w:tr>
      <w:tr w14:paraId="21BD0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0F52B0FB">
            <w:pPr>
              <w:pStyle w:val="33"/>
              <w:jc w:val="both"/>
              <w:rPr>
                <w:color w:val="auto"/>
              </w:rPr>
            </w:pPr>
            <w:r>
              <w:rPr>
                <w:rFonts w:hint="eastAsia"/>
                <w:color w:val="auto"/>
              </w:rPr>
              <w:t>（3）明确在近期规划的金桂浆三期四期项目外引入的其他项目或企业其产业类型和定位与本轮规划的发展目标相符，并着力于在突破水资源和环境容量上限的前提下补短板，促进并推动林浆纸产业园产业链的完善与升级；林浆纸产业园不再引入非规划推荐产业外产业入驻。</w:t>
            </w:r>
          </w:p>
        </w:tc>
        <w:tc>
          <w:tcPr>
            <w:tcW w:w="5953" w:type="dxa"/>
            <w:vAlign w:val="center"/>
          </w:tcPr>
          <w:p w14:paraId="725C3E1C">
            <w:pPr>
              <w:pStyle w:val="33"/>
              <w:jc w:val="both"/>
              <w:rPr>
                <w:color w:val="auto"/>
              </w:rPr>
            </w:pPr>
            <w:r>
              <w:rPr>
                <w:rFonts w:hint="eastAsia"/>
                <w:color w:val="auto"/>
              </w:rPr>
              <w:t>本项目不涉及金桂浆三期四期项目。</w:t>
            </w:r>
          </w:p>
        </w:tc>
        <w:tc>
          <w:tcPr>
            <w:tcW w:w="1523" w:type="dxa"/>
            <w:vAlign w:val="center"/>
          </w:tcPr>
          <w:p w14:paraId="57C7A976">
            <w:pPr>
              <w:pStyle w:val="33"/>
              <w:rPr>
                <w:color w:val="auto"/>
              </w:rPr>
            </w:pPr>
            <w:r>
              <w:rPr>
                <w:rFonts w:hint="eastAsia"/>
                <w:color w:val="auto"/>
              </w:rPr>
              <w:t>符合</w:t>
            </w:r>
          </w:p>
        </w:tc>
      </w:tr>
      <w:tr w14:paraId="366D0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6BA6E001">
            <w:pPr>
              <w:pStyle w:val="33"/>
              <w:jc w:val="both"/>
              <w:rPr>
                <w:color w:val="auto"/>
              </w:rPr>
            </w:pPr>
            <w:r>
              <w:rPr>
                <w:rFonts w:hint="eastAsia"/>
                <w:color w:val="auto"/>
              </w:rPr>
              <w:t>（4）建议新鲜用水量不突破30.88万m</w:t>
            </w:r>
            <w:r>
              <w:rPr>
                <w:rFonts w:hint="eastAsia"/>
                <w:color w:val="auto"/>
                <w:vertAlign w:val="superscript"/>
              </w:rPr>
              <w:t>3</w:t>
            </w:r>
            <w:r>
              <w:rPr>
                <w:rFonts w:hint="eastAsia"/>
                <w:color w:val="auto"/>
              </w:rPr>
              <w:t>/d。</w:t>
            </w:r>
          </w:p>
        </w:tc>
        <w:tc>
          <w:tcPr>
            <w:tcW w:w="5953" w:type="dxa"/>
            <w:vAlign w:val="center"/>
          </w:tcPr>
          <w:p w14:paraId="7BEC7D1F">
            <w:pPr>
              <w:pStyle w:val="33"/>
              <w:jc w:val="both"/>
              <w:rPr>
                <w:color w:val="auto"/>
              </w:rPr>
            </w:pPr>
            <w:r>
              <w:rPr>
                <w:rFonts w:hint="eastAsia"/>
                <w:color w:val="auto"/>
              </w:rPr>
              <w:t>本项目完成后，金桂浆纸全厂用水量为12万m</w:t>
            </w:r>
            <w:r>
              <w:rPr>
                <w:rFonts w:hint="eastAsia"/>
                <w:color w:val="auto"/>
                <w:vertAlign w:val="superscript"/>
              </w:rPr>
              <w:t>3</w:t>
            </w:r>
            <w:r>
              <w:rPr>
                <w:rFonts w:hint="eastAsia"/>
                <w:color w:val="auto"/>
              </w:rPr>
              <w:t>/d。</w:t>
            </w:r>
          </w:p>
        </w:tc>
        <w:tc>
          <w:tcPr>
            <w:tcW w:w="1523" w:type="dxa"/>
            <w:vAlign w:val="center"/>
          </w:tcPr>
          <w:p w14:paraId="3A890AB8">
            <w:pPr>
              <w:pStyle w:val="33"/>
              <w:rPr>
                <w:color w:val="auto"/>
              </w:rPr>
            </w:pPr>
            <w:r>
              <w:rPr>
                <w:rFonts w:hint="eastAsia"/>
                <w:color w:val="auto"/>
              </w:rPr>
              <w:t>符合</w:t>
            </w:r>
          </w:p>
        </w:tc>
      </w:tr>
      <w:tr w14:paraId="23678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0F29F4A6">
            <w:pPr>
              <w:pStyle w:val="33"/>
              <w:jc w:val="both"/>
              <w:rPr>
                <w:color w:val="auto"/>
              </w:rPr>
            </w:pPr>
            <w:r>
              <w:rPr>
                <w:rFonts w:hint="eastAsia"/>
                <w:color w:val="auto"/>
              </w:rPr>
              <w:t>（5）建议广西钦州林浆纸产业园废水排海量为24.13万m</w:t>
            </w:r>
            <w:r>
              <w:rPr>
                <w:rFonts w:hint="eastAsia"/>
                <w:color w:val="auto"/>
                <w:vertAlign w:val="superscript"/>
              </w:rPr>
              <w:t>3</w:t>
            </w:r>
            <w:r>
              <w:rPr>
                <w:rFonts w:hint="eastAsia"/>
                <w:color w:val="auto"/>
              </w:rPr>
              <w:t>/d。</w:t>
            </w:r>
          </w:p>
        </w:tc>
        <w:tc>
          <w:tcPr>
            <w:tcW w:w="5953" w:type="dxa"/>
            <w:vAlign w:val="center"/>
          </w:tcPr>
          <w:p w14:paraId="579B3BAD">
            <w:pPr>
              <w:pStyle w:val="33"/>
              <w:jc w:val="both"/>
              <w:rPr>
                <w:color w:val="auto"/>
              </w:rPr>
            </w:pPr>
            <w:r>
              <w:rPr>
                <w:rFonts w:hint="eastAsia"/>
                <w:color w:val="auto"/>
              </w:rPr>
              <w:t>本项目完成后，金桂浆纸全厂废水量为8.95万m</w:t>
            </w:r>
            <w:r>
              <w:rPr>
                <w:rFonts w:hint="eastAsia"/>
                <w:color w:val="auto"/>
                <w:vertAlign w:val="superscript"/>
              </w:rPr>
              <w:t>3</w:t>
            </w:r>
            <w:r>
              <w:rPr>
                <w:rFonts w:hint="eastAsia"/>
                <w:color w:val="auto"/>
              </w:rPr>
              <w:t>/d。</w:t>
            </w:r>
          </w:p>
        </w:tc>
        <w:tc>
          <w:tcPr>
            <w:tcW w:w="1523" w:type="dxa"/>
            <w:vAlign w:val="center"/>
          </w:tcPr>
          <w:p w14:paraId="794D3E9A">
            <w:pPr>
              <w:pStyle w:val="33"/>
              <w:rPr>
                <w:color w:val="auto"/>
              </w:rPr>
            </w:pPr>
            <w:r>
              <w:rPr>
                <w:rFonts w:hint="eastAsia"/>
                <w:color w:val="auto"/>
              </w:rPr>
              <w:t>符合</w:t>
            </w:r>
          </w:p>
        </w:tc>
      </w:tr>
      <w:tr w14:paraId="35B95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5521DD20">
            <w:pPr>
              <w:pStyle w:val="33"/>
              <w:jc w:val="both"/>
              <w:rPr>
                <w:color w:val="auto"/>
              </w:rPr>
            </w:pPr>
            <w:r>
              <w:rPr>
                <w:rFonts w:hint="eastAsia"/>
                <w:color w:val="auto"/>
              </w:rPr>
              <w:t>（6）建议在A4或A17排污区设置完成，深海排放管道建设完毕前，规划三期与四期项目不得排污。</w:t>
            </w:r>
          </w:p>
        </w:tc>
        <w:tc>
          <w:tcPr>
            <w:tcW w:w="5953" w:type="dxa"/>
            <w:vAlign w:val="center"/>
          </w:tcPr>
          <w:p w14:paraId="0F2CF00A">
            <w:pPr>
              <w:pStyle w:val="33"/>
              <w:jc w:val="both"/>
              <w:rPr>
                <w:color w:val="auto"/>
              </w:rPr>
            </w:pPr>
            <w:r>
              <w:rPr>
                <w:rFonts w:hint="eastAsia"/>
                <w:color w:val="auto"/>
              </w:rPr>
              <w:t>本项目不涉及金桂浆三期四期项目，排污口处于钦州港大榄坪排污混合区（GX057DIV，即A2排污区）。根据规划A17排污区设置完成后，改经A17排放。</w:t>
            </w:r>
          </w:p>
        </w:tc>
        <w:tc>
          <w:tcPr>
            <w:tcW w:w="1523" w:type="dxa"/>
            <w:vAlign w:val="center"/>
          </w:tcPr>
          <w:p w14:paraId="4A017A30">
            <w:pPr>
              <w:pStyle w:val="33"/>
              <w:rPr>
                <w:color w:val="auto"/>
              </w:rPr>
            </w:pPr>
            <w:r>
              <w:rPr>
                <w:rFonts w:hint="eastAsia"/>
                <w:color w:val="auto"/>
              </w:rPr>
              <w:t>符合</w:t>
            </w:r>
          </w:p>
        </w:tc>
      </w:tr>
      <w:tr w14:paraId="797DC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21B2702F">
            <w:pPr>
              <w:pStyle w:val="33"/>
              <w:jc w:val="both"/>
              <w:rPr>
                <w:color w:val="auto"/>
              </w:rPr>
            </w:pPr>
            <w:r>
              <w:rPr>
                <w:rFonts w:hint="eastAsia"/>
                <w:color w:val="auto"/>
              </w:rPr>
              <w:t>（7）园区规划设置公共事故应急池；事故应急池建设于园区雨水总排口附近，园区雨水排口设置转换阀门及水泵。</w:t>
            </w:r>
          </w:p>
        </w:tc>
        <w:tc>
          <w:tcPr>
            <w:tcW w:w="5953" w:type="dxa"/>
            <w:vAlign w:val="center"/>
          </w:tcPr>
          <w:p w14:paraId="55868999">
            <w:pPr>
              <w:pStyle w:val="33"/>
              <w:jc w:val="both"/>
              <w:rPr>
                <w:color w:val="auto"/>
              </w:rPr>
            </w:pPr>
            <w:r>
              <w:rPr>
                <w:rFonts w:hint="eastAsia"/>
                <w:color w:val="auto"/>
              </w:rPr>
              <w:t>本项目依托厂区内现有3×10000m</w:t>
            </w:r>
            <w:r>
              <w:rPr>
                <w:rFonts w:hint="eastAsia"/>
                <w:color w:val="auto"/>
                <w:vertAlign w:val="superscript"/>
              </w:rPr>
              <w:t>3</w:t>
            </w:r>
            <w:r>
              <w:rPr>
                <w:rFonts w:hint="eastAsia"/>
                <w:color w:val="auto"/>
              </w:rPr>
              <w:t>事故池以及过氧化氢项目设置1座2000m</w:t>
            </w:r>
            <w:r>
              <w:rPr>
                <w:rFonts w:hint="eastAsia"/>
                <w:color w:val="auto"/>
                <w:vertAlign w:val="superscript"/>
              </w:rPr>
              <w:t>3</w:t>
            </w:r>
            <w:r>
              <w:rPr>
                <w:rFonts w:hint="eastAsia"/>
                <w:color w:val="auto"/>
              </w:rPr>
              <w:t>事故池。</w:t>
            </w:r>
          </w:p>
        </w:tc>
        <w:tc>
          <w:tcPr>
            <w:tcW w:w="1523" w:type="dxa"/>
            <w:vAlign w:val="center"/>
          </w:tcPr>
          <w:p w14:paraId="25599A36">
            <w:pPr>
              <w:pStyle w:val="33"/>
              <w:rPr>
                <w:color w:val="auto"/>
              </w:rPr>
            </w:pPr>
            <w:r>
              <w:rPr>
                <w:rFonts w:hint="eastAsia"/>
                <w:color w:val="auto"/>
              </w:rPr>
              <w:t>符合</w:t>
            </w:r>
          </w:p>
        </w:tc>
      </w:tr>
      <w:tr w14:paraId="0990C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68FFA58D">
            <w:pPr>
              <w:pStyle w:val="33"/>
              <w:jc w:val="both"/>
              <w:rPr>
                <w:color w:val="auto"/>
              </w:rPr>
            </w:pPr>
            <w:r>
              <w:rPr>
                <w:rFonts w:hint="eastAsia"/>
                <w:color w:val="auto"/>
              </w:rPr>
              <w:t>（8）进一步优化雨水收集方式。园区企业后期雨水及公共区域雨水通过区内的雨水管道汇集，采用重力流，流向南侧滨海大道市政雨水管道。</w:t>
            </w:r>
          </w:p>
        </w:tc>
        <w:tc>
          <w:tcPr>
            <w:tcW w:w="5953" w:type="dxa"/>
            <w:vAlign w:val="center"/>
          </w:tcPr>
          <w:p w14:paraId="327EFF18">
            <w:pPr>
              <w:pStyle w:val="33"/>
              <w:jc w:val="both"/>
              <w:rPr>
                <w:color w:val="auto"/>
              </w:rPr>
            </w:pPr>
            <w:r>
              <w:rPr>
                <w:rFonts w:hint="eastAsia"/>
                <w:color w:val="auto"/>
              </w:rPr>
              <w:t>本项目依托过氧化氢项目建设的1座500m</w:t>
            </w:r>
            <w:r>
              <w:rPr>
                <w:rFonts w:hint="eastAsia"/>
                <w:color w:val="auto"/>
                <w:vertAlign w:val="superscript"/>
              </w:rPr>
              <w:t>3</w:t>
            </w:r>
            <w:r>
              <w:rPr>
                <w:rFonts w:hint="eastAsia"/>
                <w:color w:val="auto"/>
              </w:rPr>
              <w:t>初期雨水池。</w:t>
            </w:r>
          </w:p>
        </w:tc>
        <w:tc>
          <w:tcPr>
            <w:tcW w:w="1523" w:type="dxa"/>
            <w:vAlign w:val="center"/>
          </w:tcPr>
          <w:p w14:paraId="4D0D12A3">
            <w:pPr>
              <w:pStyle w:val="33"/>
              <w:rPr>
                <w:color w:val="auto"/>
              </w:rPr>
            </w:pPr>
            <w:r>
              <w:rPr>
                <w:rFonts w:hint="eastAsia"/>
                <w:color w:val="auto"/>
              </w:rPr>
              <w:t>符合</w:t>
            </w:r>
          </w:p>
        </w:tc>
      </w:tr>
      <w:tr w14:paraId="3AC00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11FBEB6B">
            <w:pPr>
              <w:pStyle w:val="33"/>
              <w:jc w:val="both"/>
              <w:rPr>
                <w:color w:val="auto"/>
              </w:rPr>
            </w:pPr>
            <w:r>
              <w:rPr>
                <w:rFonts w:hint="eastAsia"/>
                <w:color w:val="auto"/>
              </w:rPr>
              <w:t>（9）落实金桂企业正在开展现有污水处理站的提标改造工程，完成改造后企业外排废水中COD≤65mg/L，NH</w:t>
            </w:r>
            <w:r>
              <w:rPr>
                <w:rFonts w:hint="eastAsia"/>
                <w:color w:val="auto"/>
                <w:vertAlign w:val="subscript"/>
              </w:rPr>
              <w:t>3</w:t>
            </w:r>
            <w:r>
              <w:rPr>
                <w:rFonts w:hint="eastAsia"/>
                <w:color w:val="auto"/>
              </w:rPr>
              <w:t>-N≤5mg/L，其它污染因子满足《制浆造纸工业水污染物排放标准》（GB3544-2008）表2新建制浆和造纸联合生产企业水污染物排放浓度限值。规划项目也需按照提标后现有污水站出水标准执行，并逐步提高水循环利用率和出水标准，经济条件允许情况下出水标准执行《城镇污水处理厂污染物排放</w:t>
            </w:r>
          </w:p>
          <w:p w14:paraId="0883277D">
            <w:pPr>
              <w:pStyle w:val="33"/>
              <w:jc w:val="both"/>
              <w:rPr>
                <w:color w:val="auto"/>
              </w:rPr>
            </w:pPr>
            <w:r>
              <w:rPr>
                <w:rFonts w:hint="eastAsia"/>
                <w:color w:val="auto"/>
              </w:rPr>
              <w:t>标准》中一级A标准，其中无机氮≤10mg/L。</w:t>
            </w:r>
          </w:p>
        </w:tc>
        <w:tc>
          <w:tcPr>
            <w:tcW w:w="5953" w:type="dxa"/>
            <w:vAlign w:val="center"/>
          </w:tcPr>
          <w:p w14:paraId="2A8EA20E">
            <w:pPr>
              <w:pStyle w:val="33"/>
              <w:jc w:val="both"/>
              <w:rPr>
                <w:color w:val="auto"/>
              </w:rPr>
            </w:pPr>
            <w:r>
              <w:rPr>
                <w:rFonts w:hint="eastAsia"/>
                <w:color w:val="auto"/>
              </w:rPr>
              <w:t>拟建项目各条生产线清洁生产水平达到国际领先水平，外排废水满足《制浆造纸工业水污染物排放标准》（GB3544-2008）相关要求，同时拟建项目废水污染物COD、氨氮、浓度分别按照 65mg/L、5mg/L从严控制。</w:t>
            </w:r>
          </w:p>
        </w:tc>
        <w:tc>
          <w:tcPr>
            <w:tcW w:w="1523" w:type="dxa"/>
            <w:vAlign w:val="center"/>
          </w:tcPr>
          <w:p w14:paraId="3CEBBD0A">
            <w:pPr>
              <w:pStyle w:val="33"/>
              <w:rPr>
                <w:color w:val="auto"/>
              </w:rPr>
            </w:pPr>
            <w:r>
              <w:rPr>
                <w:rFonts w:hint="eastAsia"/>
                <w:color w:val="auto"/>
              </w:rPr>
              <w:t>符合</w:t>
            </w:r>
          </w:p>
        </w:tc>
      </w:tr>
      <w:tr w14:paraId="6F8D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74C6BB22">
            <w:pPr>
              <w:pStyle w:val="33"/>
              <w:jc w:val="both"/>
              <w:rPr>
                <w:color w:val="auto"/>
              </w:rPr>
            </w:pPr>
            <w:r>
              <w:rPr>
                <w:rFonts w:hint="eastAsia"/>
                <w:color w:val="auto"/>
              </w:rPr>
              <w:t>（10）与自治区林业厅等有关主管部门进一步沟通协商，在“十五五”期间，落实三期四期规划产能纳入林草产业发展的产能中。</w:t>
            </w:r>
          </w:p>
        </w:tc>
        <w:tc>
          <w:tcPr>
            <w:tcW w:w="5953" w:type="dxa"/>
            <w:vAlign w:val="center"/>
          </w:tcPr>
          <w:p w14:paraId="0705F93F">
            <w:pPr>
              <w:pStyle w:val="33"/>
              <w:jc w:val="both"/>
              <w:rPr>
                <w:color w:val="auto"/>
              </w:rPr>
            </w:pPr>
            <w:r>
              <w:rPr>
                <w:rFonts w:hint="eastAsia"/>
                <w:color w:val="auto"/>
              </w:rPr>
              <w:t>本项目不涉及。</w:t>
            </w:r>
          </w:p>
        </w:tc>
        <w:tc>
          <w:tcPr>
            <w:tcW w:w="1523" w:type="dxa"/>
            <w:vAlign w:val="center"/>
          </w:tcPr>
          <w:p w14:paraId="0B379CF6">
            <w:pPr>
              <w:pStyle w:val="33"/>
              <w:rPr>
                <w:color w:val="auto"/>
              </w:rPr>
            </w:pPr>
            <w:r>
              <w:rPr>
                <w:rFonts w:hint="eastAsia"/>
                <w:color w:val="auto"/>
              </w:rPr>
              <w:t>符合</w:t>
            </w:r>
          </w:p>
        </w:tc>
      </w:tr>
      <w:tr w14:paraId="1AE79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1B4C7AA6">
            <w:pPr>
              <w:pStyle w:val="33"/>
              <w:jc w:val="both"/>
              <w:rPr>
                <w:color w:val="auto"/>
              </w:rPr>
            </w:pPr>
            <w:r>
              <w:rPr>
                <w:rFonts w:hint="eastAsia"/>
                <w:color w:val="auto"/>
              </w:rPr>
              <w:t>（11）园区应妥善处理制浆过程产生的各类固体废物，危险废物应集中收集、暂存、并交由有资质危险废物处理单位接收处置；一般工业固体废物应按照“资源化、减量化、无害化”原则进行处置；考虑到近期规划项目新增化学浆产能，其产生的绿泥和白泥收储及处置应予以重视；鼓励近期规划项目依托碱回收工艺与苛化工艺完全消纳处理绿泥、白泥，如不能完全处置，则应提前考虑委外处置去向或自行处置</w:t>
            </w:r>
          </w:p>
          <w:p w14:paraId="6009EC39">
            <w:pPr>
              <w:pStyle w:val="33"/>
              <w:jc w:val="both"/>
              <w:rPr>
                <w:color w:val="auto"/>
              </w:rPr>
            </w:pPr>
            <w:r>
              <w:rPr>
                <w:rFonts w:hint="eastAsia"/>
                <w:color w:val="auto"/>
              </w:rPr>
              <w:t>方式；如有需要，建议提前选址布局一般工业固体废物填埋场以处理生产过程产生且不能完全消纳的一般工业固体废物。</w:t>
            </w:r>
          </w:p>
        </w:tc>
        <w:tc>
          <w:tcPr>
            <w:tcW w:w="5953" w:type="dxa"/>
            <w:vAlign w:val="center"/>
          </w:tcPr>
          <w:p w14:paraId="77B83034">
            <w:pPr>
              <w:pStyle w:val="33"/>
              <w:jc w:val="both"/>
              <w:rPr>
                <w:color w:val="auto"/>
              </w:rPr>
            </w:pPr>
            <w:r>
              <w:rPr>
                <w:rFonts w:hint="eastAsia"/>
                <w:color w:val="auto"/>
              </w:rPr>
              <w:t>拟建项目产生的各类一般工业固体废物均得到综合利用或处理，危险废物均委托有资质单位处置，均采用相关规范规定的可行技术。固体废物暂存设施应按相关标准要求建设、运行和管理。</w:t>
            </w:r>
          </w:p>
          <w:p w14:paraId="701E3180">
            <w:pPr>
              <w:pStyle w:val="33"/>
              <w:jc w:val="both"/>
              <w:rPr>
                <w:color w:val="auto"/>
              </w:rPr>
            </w:pPr>
          </w:p>
        </w:tc>
        <w:tc>
          <w:tcPr>
            <w:tcW w:w="1523" w:type="dxa"/>
            <w:vAlign w:val="center"/>
          </w:tcPr>
          <w:p w14:paraId="515DEA05">
            <w:pPr>
              <w:pStyle w:val="33"/>
              <w:rPr>
                <w:color w:val="auto"/>
              </w:rPr>
            </w:pPr>
            <w:r>
              <w:rPr>
                <w:rFonts w:hint="eastAsia"/>
                <w:color w:val="auto"/>
              </w:rPr>
              <w:t>符合</w:t>
            </w:r>
          </w:p>
        </w:tc>
      </w:tr>
      <w:tr w14:paraId="46E95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16" w:type="dxa"/>
            <w:vAlign w:val="center"/>
          </w:tcPr>
          <w:p w14:paraId="41D852E0">
            <w:pPr>
              <w:pStyle w:val="33"/>
              <w:jc w:val="both"/>
              <w:rPr>
                <w:color w:val="auto"/>
              </w:rPr>
            </w:pPr>
            <w:r>
              <w:rPr>
                <w:rFonts w:hint="eastAsia"/>
                <w:color w:val="auto"/>
              </w:rPr>
              <w:t>（12）在各方面条件成熟前提下，建议在近期规划范围内设置园区集中污水处理设施，进一步处理现有项目污水处理站和规划项目污水处理站处理的废水，对于现状存在的问题以及前期收到的环保投诉的集中点，园区与金桂浆应予以重视。对于现状问题，企业应在三期工程开始建设前完成整改；对于环保投诉中提到的废气、恶臭和噪声问题，虽然执法部门监督性检查显示无组织废气、恶臭浓度、噪声厂界达标，企业仍应进一步提高污染防治措施的效率，同时做好周边群众安抚和劝导工作。</w:t>
            </w:r>
          </w:p>
        </w:tc>
        <w:tc>
          <w:tcPr>
            <w:tcW w:w="5953" w:type="dxa"/>
            <w:vAlign w:val="center"/>
          </w:tcPr>
          <w:p w14:paraId="22F04028">
            <w:pPr>
              <w:pStyle w:val="33"/>
              <w:jc w:val="both"/>
              <w:rPr>
                <w:color w:val="auto"/>
              </w:rPr>
            </w:pPr>
            <w:r>
              <w:rPr>
                <w:rFonts w:hint="eastAsia"/>
                <w:color w:val="auto"/>
              </w:rPr>
              <w:t>本次评价针对金桂浆纸现有工程进行了全面梳理，提出了存在的问题，相关整改措施应与此次项目一并开展竣工环保验收。</w:t>
            </w:r>
          </w:p>
        </w:tc>
        <w:tc>
          <w:tcPr>
            <w:tcW w:w="1523" w:type="dxa"/>
            <w:vAlign w:val="center"/>
          </w:tcPr>
          <w:p w14:paraId="75D9FDC5">
            <w:pPr>
              <w:pStyle w:val="33"/>
              <w:rPr>
                <w:color w:val="auto"/>
              </w:rPr>
            </w:pPr>
            <w:r>
              <w:rPr>
                <w:rFonts w:hint="eastAsia"/>
                <w:color w:val="auto"/>
              </w:rPr>
              <w:t>符合</w:t>
            </w:r>
          </w:p>
        </w:tc>
      </w:tr>
    </w:tbl>
    <w:p w14:paraId="7CC86024">
      <w:pPr>
        <w:ind w:firstLine="0" w:firstLineChars="0"/>
        <w:rPr>
          <w:rFonts w:cs="Times New Roman"/>
          <w:color w:val="auto"/>
        </w:rPr>
        <w:sectPr>
          <w:footerReference r:id="rId19" w:type="default"/>
          <w:pgSz w:w="16838" w:h="11906" w:orient="landscape"/>
          <w:pgMar w:top="1418" w:right="1418" w:bottom="1418" w:left="1418" w:header="851" w:footer="850" w:gutter="0"/>
          <w:cols w:space="425" w:num="1"/>
          <w:docGrid w:type="lines" w:linePitch="326" w:charSpace="0"/>
        </w:sectPr>
      </w:pPr>
    </w:p>
    <w:p w14:paraId="1BEC9DF4">
      <w:pPr>
        <w:pStyle w:val="2"/>
        <w:rPr>
          <w:color w:val="auto"/>
        </w:rPr>
      </w:pPr>
      <w:bookmarkStart w:id="153" w:name="_Toc225216668"/>
      <w:bookmarkStart w:id="154" w:name="_Toc221355701"/>
      <w:r>
        <w:rPr>
          <w:rFonts w:hint="eastAsia"/>
          <w:color w:val="auto"/>
        </w:rPr>
        <w:t>现有项目</w:t>
      </w:r>
      <w:r>
        <w:rPr>
          <w:color w:val="auto"/>
        </w:rPr>
        <w:t>工程分析</w:t>
      </w:r>
      <w:bookmarkEnd w:id="153"/>
      <w:bookmarkEnd w:id="154"/>
    </w:p>
    <w:p w14:paraId="7E2693AF">
      <w:pPr>
        <w:pStyle w:val="3"/>
        <w:rPr>
          <w:color w:val="auto"/>
        </w:rPr>
      </w:pPr>
      <w:bookmarkStart w:id="155" w:name="_Toc225216669"/>
      <w:bookmarkStart w:id="156" w:name="_Toc221355702"/>
      <w:r>
        <w:rPr>
          <w:rFonts w:hint="eastAsia"/>
          <w:color w:val="auto"/>
        </w:rPr>
        <w:t>现有工程环评、验收概况</w:t>
      </w:r>
      <w:bookmarkEnd w:id="155"/>
      <w:bookmarkEnd w:id="156"/>
    </w:p>
    <w:p w14:paraId="5C57F04E">
      <w:pPr>
        <w:ind w:firstLine="480"/>
        <w:rPr>
          <w:color w:val="auto"/>
        </w:rPr>
      </w:pPr>
      <w:r>
        <w:rPr>
          <w:rFonts w:hint="eastAsia"/>
          <w:color w:val="auto"/>
        </w:rPr>
        <w:t>广西金桂浆纸业有限公司位于广西壮族自治区钦州市钦州港金光工业园。</w:t>
      </w:r>
    </w:p>
    <w:p w14:paraId="34AAB89A">
      <w:pPr>
        <w:ind w:firstLine="480"/>
        <w:rPr>
          <w:color w:val="auto"/>
        </w:rPr>
      </w:pPr>
      <w:r>
        <w:rPr>
          <w:rFonts w:cs="Times New Roman"/>
          <w:color w:val="auto"/>
        </w:rPr>
        <w:t>2005</w:t>
      </w:r>
      <w:r>
        <w:rPr>
          <w:rFonts w:hint="eastAsia"/>
          <w:color w:val="auto"/>
        </w:rPr>
        <w:t>年</w:t>
      </w:r>
      <w:r>
        <w:rPr>
          <w:rFonts w:cs="Times New Roman"/>
          <w:color w:val="auto"/>
        </w:rPr>
        <w:t>1</w:t>
      </w:r>
      <w:r>
        <w:rPr>
          <w:rFonts w:hint="eastAsia"/>
          <w:color w:val="auto"/>
        </w:rPr>
        <w:t>月</w:t>
      </w:r>
      <w:r>
        <w:rPr>
          <w:rFonts w:cs="Times New Roman"/>
          <w:color w:val="auto"/>
        </w:rPr>
        <w:t>27</w:t>
      </w:r>
      <w:r>
        <w:rPr>
          <w:rFonts w:hint="eastAsia"/>
          <w:color w:val="auto"/>
        </w:rPr>
        <w:t>日获得原国家环境保护总局《关于广西金桂浆纸业有限公司林浆纸一体化工程年产</w:t>
      </w:r>
      <w:r>
        <w:rPr>
          <w:rFonts w:cs="Times New Roman"/>
          <w:color w:val="auto"/>
        </w:rPr>
        <w:t>60</w:t>
      </w:r>
      <w:r>
        <w:rPr>
          <w:rFonts w:hint="eastAsia"/>
          <w:color w:val="auto"/>
        </w:rPr>
        <w:t>万吨高档纸板项目环境影响报告书审查意见的复函》（环审〔</w:t>
      </w:r>
      <w:r>
        <w:rPr>
          <w:rFonts w:cs="Times New Roman"/>
          <w:color w:val="auto"/>
        </w:rPr>
        <w:t>2005</w:t>
      </w:r>
      <w:r>
        <w:rPr>
          <w:rFonts w:hint="eastAsia"/>
          <w:color w:val="auto"/>
        </w:rPr>
        <w:t>〕</w:t>
      </w:r>
      <w:r>
        <w:rPr>
          <w:rFonts w:cs="Times New Roman"/>
          <w:color w:val="auto"/>
        </w:rPr>
        <w:t>105</w:t>
      </w:r>
      <w:r>
        <w:rPr>
          <w:rFonts w:hint="eastAsia"/>
          <w:color w:val="auto"/>
        </w:rPr>
        <w:t>号）（附件3-1），广西金桂浆纸业有限公司林浆纸一体化工程年产</w:t>
      </w:r>
      <w:r>
        <w:rPr>
          <w:rFonts w:cs="Times New Roman"/>
          <w:color w:val="auto"/>
        </w:rPr>
        <w:t>60</w:t>
      </w:r>
      <w:r>
        <w:rPr>
          <w:rFonts w:hint="eastAsia"/>
          <w:color w:val="auto"/>
        </w:rPr>
        <w:t>万吨高档纸板项目新建产品及规模为</w:t>
      </w:r>
      <w:r>
        <w:rPr>
          <w:rFonts w:cs="Times New Roman"/>
          <w:color w:val="auto"/>
        </w:rPr>
        <w:t>30</w:t>
      </w:r>
      <w:r>
        <w:rPr>
          <w:rFonts w:hint="eastAsia"/>
          <w:color w:val="auto"/>
        </w:rPr>
        <w:t>万</w:t>
      </w:r>
      <w:r>
        <w:rPr>
          <w:rFonts w:cs="Times New Roman"/>
          <w:color w:val="auto"/>
        </w:rPr>
        <w:t>t/a</w:t>
      </w:r>
      <w:r>
        <w:rPr>
          <w:rFonts w:hint="eastAsia"/>
          <w:color w:val="auto"/>
        </w:rPr>
        <w:t>化机浆，配套</w:t>
      </w:r>
      <w:r>
        <w:rPr>
          <w:rFonts w:cs="Times New Roman"/>
          <w:color w:val="auto"/>
        </w:rPr>
        <w:t>60</w:t>
      </w:r>
      <w:r>
        <w:rPr>
          <w:rFonts w:hint="eastAsia"/>
          <w:color w:val="auto"/>
        </w:rPr>
        <w:t>万</w:t>
      </w:r>
      <w:r>
        <w:rPr>
          <w:rFonts w:cs="Times New Roman"/>
          <w:color w:val="auto"/>
        </w:rPr>
        <w:t>t/a</w:t>
      </w:r>
      <w:r>
        <w:rPr>
          <w:rFonts w:hint="eastAsia"/>
          <w:color w:val="auto"/>
        </w:rPr>
        <w:t>白卡纸。项目在建设过程中进行了变更，</w:t>
      </w:r>
      <w:r>
        <w:rPr>
          <w:rFonts w:cs="Times New Roman"/>
          <w:color w:val="auto"/>
        </w:rPr>
        <w:t>2010</w:t>
      </w:r>
      <w:r>
        <w:rPr>
          <w:rFonts w:hint="eastAsia"/>
          <w:color w:val="auto"/>
        </w:rPr>
        <w:t>年</w:t>
      </w:r>
      <w:r>
        <w:rPr>
          <w:rFonts w:cs="Times New Roman"/>
          <w:color w:val="auto"/>
        </w:rPr>
        <w:t>12</w:t>
      </w:r>
      <w:r>
        <w:rPr>
          <w:rFonts w:hint="eastAsia"/>
          <w:color w:val="auto"/>
        </w:rPr>
        <w:t>月</w:t>
      </w:r>
      <w:r>
        <w:rPr>
          <w:rFonts w:cs="Times New Roman"/>
          <w:color w:val="auto"/>
        </w:rPr>
        <w:t>27</w:t>
      </w:r>
      <w:r>
        <w:rPr>
          <w:rFonts w:hint="eastAsia"/>
          <w:color w:val="auto"/>
        </w:rPr>
        <w:t>日获得原环境保护部《关于广西金桂浆纸业有限公司林浆纸一体化工程年产</w:t>
      </w:r>
      <w:r>
        <w:rPr>
          <w:rFonts w:cs="Times New Roman"/>
          <w:color w:val="auto"/>
        </w:rPr>
        <w:t>60</w:t>
      </w:r>
      <w:r>
        <w:rPr>
          <w:rFonts w:hint="eastAsia"/>
          <w:color w:val="auto"/>
        </w:rPr>
        <w:t>万吨高档纸板项目变更环境影响报告书的批复》（环审〔</w:t>
      </w:r>
      <w:r>
        <w:rPr>
          <w:rFonts w:cs="Times New Roman"/>
          <w:color w:val="auto"/>
        </w:rPr>
        <w:t>2010</w:t>
      </w:r>
      <w:r>
        <w:rPr>
          <w:rFonts w:hint="eastAsia"/>
          <w:color w:val="auto"/>
        </w:rPr>
        <w:t>〕</w:t>
      </w:r>
      <w:r>
        <w:rPr>
          <w:rFonts w:cs="Times New Roman"/>
          <w:color w:val="auto"/>
        </w:rPr>
        <w:t>418</w:t>
      </w:r>
      <w:r>
        <w:rPr>
          <w:rFonts w:hint="eastAsia"/>
          <w:color w:val="auto"/>
        </w:rPr>
        <w:t>号）（附件3-2），变更主要内容为单条</w:t>
      </w:r>
      <w:r>
        <w:rPr>
          <w:rFonts w:cs="Times New Roman"/>
          <w:color w:val="auto"/>
        </w:rPr>
        <w:t>30</w:t>
      </w:r>
      <w:r>
        <w:rPr>
          <w:rFonts w:hint="eastAsia"/>
          <w:color w:val="auto"/>
        </w:rPr>
        <w:t>万</w:t>
      </w:r>
      <w:r>
        <w:rPr>
          <w:rFonts w:cs="Times New Roman"/>
          <w:color w:val="auto"/>
        </w:rPr>
        <w:t>t/a</w:t>
      </w:r>
      <w:r>
        <w:rPr>
          <w:rFonts w:hint="eastAsia"/>
          <w:color w:val="auto"/>
        </w:rPr>
        <w:t>化机浆生产线调整为</w:t>
      </w:r>
      <w:r>
        <w:rPr>
          <w:rFonts w:cs="Times New Roman"/>
          <w:color w:val="auto"/>
        </w:rPr>
        <w:t>2</w:t>
      </w:r>
      <w:r>
        <w:rPr>
          <w:rFonts w:hint="eastAsia"/>
          <w:color w:val="auto"/>
        </w:rPr>
        <w:t>×</w:t>
      </w:r>
      <w:r>
        <w:rPr>
          <w:rFonts w:cs="Times New Roman"/>
          <w:color w:val="auto"/>
        </w:rPr>
        <w:t>15</w:t>
      </w:r>
      <w:r>
        <w:rPr>
          <w:rFonts w:hint="eastAsia"/>
          <w:color w:val="auto"/>
        </w:rPr>
        <w:t>万</w:t>
      </w:r>
      <w:r>
        <w:rPr>
          <w:rFonts w:cs="Times New Roman"/>
          <w:color w:val="auto"/>
        </w:rPr>
        <w:t>t/a</w:t>
      </w:r>
      <w:r>
        <w:rPr>
          <w:rFonts w:hint="eastAsia"/>
          <w:color w:val="auto"/>
        </w:rPr>
        <w:t>化机浆生产线（</w:t>
      </w:r>
      <w:r>
        <w:rPr>
          <w:rFonts w:cs="Times New Roman"/>
          <w:color w:val="auto"/>
        </w:rPr>
        <w:t>1#</w:t>
      </w:r>
      <w:r>
        <w:rPr>
          <w:rFonts w:hint="eastAsia"/>
          <w:color w:val="auto"/>
        </w:rPr>
        <w:t>化机浆线、</w:t>
      </w:r>
      <w:r>
        <w:rPr>
          <w:rFonts w:cs="Times New Roman"/>
          <w:color w:val="auto"/>
        </w:rPr>
        <w:t>2#</w:t>
      </w:r>
      <w:r>
        <w:rPr>
          <w:rFonts w:hint="eastAsia"/>
          <w:color w:val="auto"/>
        </w:rPr>
        <w:t>化机浆线），</w:t>
      </w:r>
      <w:r>
        <w:rPr>
          <w:rFonts w:cs="Times New Roman"/>
          <w:color w:val="auto"/>
        </w:rPr>
        <w:t>60</w:t>
      </w:r>
      <w:r>
        <w:rPr>
          <w:rFonts w:hint="eastAsia"/>
          <w:color w:val="auto"/>
        </w:rPr>
        <w:t>万</w:t>
      </w:r>
      <w:r>
        <w:rPr>
          <w:rFonts w:cs="Times New Roman"/>
          <w:color w:val="auto"/>
        </w:rPr>
        <w:t>t/a</w:t>
      </w:r>
      <w:r>
        <w:rPr>
          <w:rFonts w:hint="eastAsia"/>
          <w:color w:val="auto"/>
        </w:rPr>
        <w:t>白卡纸未变（</w:t>
      </w:r>
      <w:r>
        <w:rPr>
          <w:rFonts w:cs="Times New Roman"/>
          <w:color w:val="auto"/>
        </w:rPr>
        <w:t>1#</w:t>
      </w:r>
      <w:r>
        <w:rPr>
          <w:rFonts w:hint="eastAsia"/>
          <w:color w:val="auto"/>
        </w:rPr>
        <w:t>纸机），产品及产能未变，</w:t>
      </w:r>
      <w:r>
        <w:rPr>
          <w:color w:val="auto"/>
        </w:rPr>
        <w:t>热电站由2台410</w:t>
      </w:r>
      <w:r>
        <w:rPr>
          <w:rFonts w:hint="eastAsia"/>
          <w:color w:val="auto"/>
        </w:rPr>
        <w:t>t/h</w:t>
      </w:r>
      <w:r>
        <w:rPr>
          <w:color w:val="auto"/>
        </w:rPr>
        <w:t>循环流化床锅炉配2台100兆瓦双抽凝式机组变更为1台670</w:t>
      </w:r>
      <w:r>
        <w:rPr>
          <w:rFonts w:hint="eastAsia"/>
          <w:color w:val="auto"/>
        </w:rPr>
        <w:t>t/h</w:t>
      </w:r>
      <w:r>
        <w:rPr>
          <w:color w:val="auto"/>
        </w:rPr>
        <w:t>循环流化床锅炉</w:t>
      </w:r>
      <w:r>
        <w:rPr>
          <w:rFonts w:hint="eastAsia"/>
          <w:color w:val="auto"/>
        </w:rPr>
        <w:t>（</w:t>
      </w:r>
      <w:r>
        <w:rPr>
          <w:rFonts w:cs="Times New Roman"/>
          <w:color w:val="auto"/>
        </w:rPr>
        <w:t>1#</w:t>
      </w:r>
      <w:r>
        <w:rPr>
          <w:rFonts w:hint="eastAsia"/>
          <w:color w:val="auto"/>
        </w:rPr>
        <w:t>锅炉）</w:t>
      </w:r>
      <w:r>
        <w:rPr>
          <w:color w:val="auto"/>
        </w:rPr>
        <w:t>配1台150兆瓦双抽凝式机组，</w:t>
      </w:r>
      <w:r>
        <w:rPr>
          <w:rFonts w:hint="eastAsia"/>
          <w:color w:val="auto"/>
        </w:rPr>
        <w:t>新增</w:t>
      </w:r>
      <w:r>
        <w:rPr>
          <w:color w:val="auto"/>
        </w:rPr>
        <w:t>30万</w:t>
      </w:r>
      <w:r>
        <w:rPr>
          <w:rFonts w:hint="eastAsia"/>
          <w:color w:val="auto"/>
        </w:rPr>
        <w:t>t/a</w:t>
      </w:r>
      <w:r>
        <w:rPr>
          <w:color w:val="auto"/>
        </w:rPr>
        <w:t>浆包的抄浆车间和处理能力为400吨固形物/日的碱回收车间，</w:t>
      </w:r>
      <w:r>
        <w:rPr>
          <w:rFonts w:hint="eastAsia"/>
          <w:color w:val="auto"/>
        </w:rPr>
        <w:t>新增</w:t>
      </w:r>
      <w:r>
        <w:rPr>
          <w:rFonts w:cs="Times New Roman"/>
          <w:color w:val="auto"/>
        </w:rPr>
        <w:t>6</w:t>
      </w:r>
      <w:r>
        <w:rPr>
          <w:rFonts w:hint="eastAsia"/>
          <w:color w:val="auto"/>
        </w:rPr>
        <w:t>万</w:t>
      </w:r>
      <w:r>
        <w:rPr>
          <w:rFonts w:cs="Times New Roman"/>
          <w:color w:val="auto"/>
        </w:rPr>
        <w:t>m</w:t>
      </w:r>
      <w:r>
        <w:rPr>
          <w:rFonts w:hint="eastAsia" w:cs="Times New Roman"/>
          <w:color w:val="auto"/>
          <w:vertAlign w:val="superscript"/>
        </w:rPr>
        <w:t>3</w:t>
      </w:r>
      <w:r>
        <w:rPr>
          <w:rFonts w:cs="Times New Roman"/>
          <w:color w:val="auto"/>
        </w:rPr>
        <w:t>/d</w:t>
      </w:r>
      <w:r>
        <w:rPr>
          <w:rFonts w:hint="eastAsia"/>
          <w:color w:val="auto"/>
        </w:rPr>
        <w:t>污水处理站（</w:t>
      </w:r>
      <w:r>
        <w:rPr>
          <w:rFonts w:cs="Times New Roman"/>
          <w:color w:val="auto"/>
        </w:rPr>
        <w:t>1#</w:t>
      </w:r>
      <w:r>
        <w:rPr>
          <w:rFonts w:hint="eastAsia"/>
          <w:color w:val="auto"/>
        </w:rPr>
        <w:t>污水处理站）。</w:t>
      </w:r>
      <w:r>
        <w:rPr>
          <w:rFonts w:cs="Times New Roman"/>
          <w:color w:val="auto"/>
        </w:rPr>
        <w:t>2011</w:t>
      </w:r>
      <w:r>
        <w:rPr>
          <w:rFonts w:hint="eastAsia"/>
          <w:color w:val="auto"/>
        </w:rPr>
        <w:t>年</w:t>
      </w:r>
      <w:r>
        <w:rPr>
          <w:rFonts w:cs="Times New Roman"/>
          <w:color w:val="auto"/>
        </w:rPr>
        <w:t>12</w:t>
      </w:r>
      <w:r>
        <w:rPr>
          <w:rFonts w:hint="eastAsia"/>
          <w:color w:val="auto"/>
        </w:rPr>
        <w:t>月</w:t>
      </w:r>
      <w:r>
        <w:rPr>
          <w:rFonts w:cs="Times New Roman"/>
          <w:color w:val="auto"/>
        </w:rPr>
        <w:t>30</w:t>
      </w:r>
      <w:r>
        <w:rPr>
          <w:rFonts w:hint="eastAsia"/>
          <w:color w:val="auto"/>
        </w:rPr>
        <w:t>日获得原环境保护部《关于广西金桂浆纸业有限公司林浆纸一体化工程年产</w:t>
      </w:r>
      <w:r>
        <w:rPr>
          <w:rFonts w:cs="Times New Roman"/>
          <w:color w:val="auto"/>
        </w:rPr>
        <w:t>60</w:t>
      </w:r>
      <w:r>
        <w:rPr>
          <w:rFonts w:hint="eastAsia"/>
          <w:color w:val="auto"/>
        </w:rPr>
        <w:t>万吨高档纸板项目（林基地和制浆、抄浆工程部分）竣工环境保护验收意见的函》（环验〔</w:t>
      </w:r>
      <w:r>
        <w:rPr>
          <w:rFonts w:cs="Times New Roman"/>
          <w:color w:val="auto"/>
        </w:rPr>
        <w:t>2011</w:t>
      </w:r>
      <w:r>
        <w:rPr>
          <w:rFonts w:hint="eastAsia"/>
          <w:color w:val="auto"/>
        </w:rPr>
        <w:t>〕</w:t>
      </w:r>
      <w:r>
        <w:rPr>
          <w:rFonts w:cs="Times New Roman"/>
          <w:color w:val="auto"/>
        </w:rPr>
        <w:t>378</w:t>
      </w:r>
      <w:r>
        <w:rPr>
          <w:rFonts w:hint="eastAsia"/>
          <w:color w:val="auto"/>
        </w:rPr>
        <w:t>号）（附件3-3），</w:t>
      </w:r>
      <w:r>
        <w:rPr>
          <w:rFonts w:cs="Times New Roman"/>
          <w:color w:val="auto"/>
        </w:rPr>
        <w:t>2014</w:t>
      </w:r>
      <w:r>
        <w:rPr>
          <w:rFonts w:hint="eastAsia"/>
          <w:color w:val="auto"/>
        </w:rPr>
        <w:t>年</w:t>
      </w:r>
      <w:r>
        <w:rPr>
          <w:rFonts w:cs="Times New Roman"/>
          <w:color w:val="auto"/>
        </w:rPr>
        <w:t>4</w:t>
      </w:r>
      <w:r>
        <w:rPr>
          <w:rFonts w:hint="eastAsia"/>
          <w:color w:val="auto"/>
        </w:rPr>
        <w:t>月</w:t>
      </w:r>
      <w:r>
        <w:rPr>
          <w:rFonts w:cs="Times New Roman"/>
          <w:color w:val="auto"/>
        </w:rPr>
        <w:t>9</w:t>
      </w:r>
      <w:r>
        <w:rPr>
          <w:rFonts w:hint="eastAsia"/>
          <w:color w:val="auto"/>
        </w:rPr>
        <w:t>日获得原环境保护部《关于广西金桂浆纸业有限公司林浆纸一体化工程年产</w:t>
      </w:r>
      <w:r>
        <w:rPr>
          <w:rFonts w:cs="Times New Roman"/>
          <w:color w:val="auto"/>
        </w:rPr>
        <w:t>60</w:t>
      </w:r>
      <w:r>
        <w:rPr>
          <w:rFonts w:hint="eastAsia"/>
          <w:color w:val="auto"/>
        </w:rPr>
        <w:t>万吨高档纸板项目（造纸工程部份）竣工环境保护验收意见的函》（环验〔</w:t>
      </w:r>
      <w:r>
        <w:rPr>
          <w:rFonts w:cs="Times New Roman"/>
          <w:color w:val="auto"/>
        </w:rPr>
        <w:t>2014</w:t>
      </w:r>
      <w:r>
        <w:rPr>
          <w:rFonts w:hint="eastAsia"/>
          <w:color w:val="auto"/>
        </w:rPr>
        <w:t>〕</w:t>
      </w:r>
      <w:r>
        <w:rPr>
          <w:rFonts w:cs="Times New Roman"/>
          <w:color w:val="auto"/>
        </w:rPr>
        <w:t>59</w:t>
      </w:r>
      <w:r>
        <w:rPr>
          <w:rFonts w:hint="eastAsia"/>
          <w:color w:val="auto"/>
        </w:rPr>
        <w:t>号）（附件3-4）。</w:t>
      </w:r>
    </w:p>
    <w:p w14:paraId="1478C4BD">
      <w:pPr>
        <w:ind w:firstLine="480"/>
        <w:rPr>
          <w:color w:val="auto"/>
        </w:rPr>
      </w:pPr>
      <w:r>
        <w:rPr>
          <w:rFonts w:hint="eastAsia"/>
          <w:color w:val="auto"/>
        </w:rPr>
        <w:t>2011年12月12日获得原钦州市环境保护局《关于广西金桂浆纸业有限公司GUANGXIBM1#配套LPG站项目环境影响报告表的批复》（钦港环管字〔</w:t>
      </w:r>
      <w:r>
        <w:rPr>
          <w:rFonts w:cs="Times New Roman"/>
          <w:color w:val="auto"/>
        </w:rPr>
        <w:t>2011</w:t>
      </w:r>
      <w:r>
        <w:rPr>
          <w:rFonts w:hint="eastAsia"/>
          <w:color w:val="auto"/>
        </w:rPr>
        <w:t>〕</w:t>
      </w:r>
      <w:r>
        <w:rPr>
          <w:rFonts w:cs="Times New Roman"/>
          <w:color w:val="auto"/>
        </w:rPr>
        <w:t>20</w:t>
      </w:r>
      <w:r>
        <w:rPr>
          <w:rFonts w:hint="eastAsia"/>
          <w:color w:val="auto"/>
        </w:rPr>
        <w:t>号）（附件3-5），金桂浆纸配套建设了</w:t>
      </w:r>
      <w:r>
        <w:rPr>
          <w:rFonts w:cs="Times New Roman"/>
          <w:color w:val="auto"/>
        </w:rPr>
        <w:t>LPG</w:t>
      </w:r>
      <w:r>
        <w:rPr>
          <w:rFonts w:hint="eastAsia"/>
          <w:color w:val="auto"/>
        </w:rPr>
        <w:t>站，用于干燥</w:t>
      </w:r>
      <w:r>
        <w:rPr>
          <w:rFonts w:cs="Times New Roman"/>
          <w:color w:val="auto"/>
        </w:rPr>
        <w:t>60</w:t>
      </w:r>
      <w:r>
        <w:rPr>
          <w:rFonts w:hint="eastAsia"/>
          <w:color w:val="auto"/>
        </w:rPr>
        <w:t>万吨白卡纸生产线纸幅，代替常规的电加热干燥方式，2013年8月5日获得原钦州市环境保护局《关于广西金桂浆纸业有限公司GUANGXIBM1#配套LPG站项目竣工环境保护验收批复》（钦港环验字〔</w:t>
      </w:r>
      <w:r>
        <w:rPr>
          <w:rFonts w:cs="Times New Roman"/>
          <w:color w:val="auto"/>
        </w:rPr>
        <w:t>2013</w:t>
      </w:r>
      <w:r>
        <w:rPr>
          <w:rFonts w:hint="eastAsia"/>
          <w:color w:val="auto"/>
        </w:rPr>
        <w:t>〕</w:t>
      </w:r>
      <w:r>
        <w:rPr>
          <w:rFonts w:cs="Times New Roman"/>
          <w:color w:val="auto"/>
        </w:rPr>
        <w:t>5</w:t>
      </w:r>
      <w:r>
        <w:rPr>
          <w:rFonts w:hint="eastAsia"/>
          <w:color w:val="auto"/>
        </w:rPr>
        <w:t>号）（附件3-6）。</w:t>
      </w:r>
    </w:p>
    <w:p w14:paraId="78204380">
      <w:pPr>
        <w:ind w:firstLine="480"/>
        <w:rPr>
          <w:color w:val="auto"/>
        </w:rPr>
      </w:pPr>
      <w:r>
        <w:rPr>
          <w:rFonts w:hint="eastAsia"/>
          <w:color w:val="auto"/>
        </w:rPr>
        <w:t>2013年10月24日获得原钦州市环境保护局《关于广西金桂浆纸业有限公司动力厂脱硫脱硝项目环境影响报告表的批复》（钦港环管字〔</w:t>
      </w:r>
      <w:r>
        <w:rPr>
          <w:rFonts w:cs="Times New Roman"/>
          <w:color w:val="auto"/>
        </w:rPr>
        <w:t>2013</w:t>
      </w:r>
      <w:r>
        <w:rPr>
          <w:rFonts w:hint="eastAsia"/>
          <w:color w:val="auto"/>
        </w:rPr>
        <w:t>〕</w:t>
      </w:r>
      <w:r>
        <w:rPr>
          <w:rFonts w:cs="Times New Roman"/>
          <w:color w:val="auto"/>
        </w:rPr>
        <w:t>22</w:t>
      </w:r>
      <w:r>
        <w:rPr>
          <w:rFonts w:hint="eastAsia"/>
          <w:color w:val="auto"/>
        </w:rPr>
        <w:t>号）（附件3-7），为满足</w:t>
      </w:r>
      <w:r>
        <w:rPr>
          <w:rFonts w:cs="Times New Roman"/>
          <w:color w:val="auto"/>
        </w:rPr>
        <w:t>2014</w:t>
      </w:r>
      <w:r>
        <w:rPr>
          <w:rFonts w:hint="eastAsia"/>
          <w:color w:val="auto"/>
        </w:rPr>
        <w:t>年</w:t>
      </w:r>
      <w:r>
        <w:rPr>
          <w:rFonts w:cs="Times New Roman"/>
          <w:color w:val="auto"/>
        </w:rPr>
        <w:t>7</w:t>
      </w:r>
      <w:r>
        <w:rPr>
          <w:rFonts w:hint="eastAsia"/>
          <w:color w:val="auto"/>
        </w:rPr>
        <w:t>月</w:t>
      </w:r>
      <w:r>
        <w:rPr>
          <w:rFonts w:cs="Times New Roman"/>
          <w:color w:val="auto"/>
        </w:rPr>
        <w:t>1</w:t>
      </w:r>
      <w:r>
        <w:rPr>
          <w:rFonts w:hint="eastAsia"/>
          <w:color w:val="auto"/>
        </w:rPr>
        <w:t>日全面实施的《火电厂大气污染物排放标准》（</w:t>
      </w:r>
      <w:r>
        <w:rPr>
          <w:rFonts w:cs="Times New Roman"/>
          <w:color w:val="auto"/>
        </w:rPr>
        <w:t>GB13223-2011</w:t>
      </w:r>
      <w:r>
        <w:rPr>
          <w:rFonts w:hint="eastAsia"/>
          <w:color w:val="auto"/>
        </w:rPr>
        <w:t>）要求，金桂浆纸对动力厂进行脱硫脱硝改造。</w:t>
      </w:r>
    </w:p>
    <w:p w14:paraId="08CA723A">
      <w:pPr>
        <w:ind w:firstLine="480"/>
        <w:rPr>
          <w:color w:val="auto"/>
        </w:rPr>
      </w:pPr>
      <w:r>
        <w:rPr>
          <w:rFonts w:cs="Times New Roman"/>
          <w:color w:val="auto"/>
        </w:rPr>
        <w:t>2015</w:t>
      </w:r>
      <w:r>
        <w:rPr>
          <w:rFonts w:hint="eastAsia"/>
          <w:color w:val="auto"/>
        </w:rPr>
        <w:t>年</w:t>
      </w:r>
      <w:r>
        <w:rPr>
          <w:rFonts w:cs="Times New Roman"/>
          <w:color w:val="auto"/>
        </w:rPr>
        <w:t>5</w:t>
      </w:r>
      <w:r>
        <w:rPr>
          <w:rFonts w:hint="eastAsia"/>
          <w:color w:val="auto"/>
        </w:rPr>
        <w:t>月</w:t>
      </w:r>
      <w:r>
        <w:rPr>
          <w:rFonts w:cs="Times New Roman"/>
          <w:color w:val="auto"/>
        </w:rPr>
        <w:t>4</w:t>
      </w:r>
      <w:r>
        <w:rPr>
          <w:rFonts w:hint="eastAsia"/>
          <w:color w:val="auto"/>
        </w:rPr>
        <w:t>日获得原广西壮族自治区环境保护厅《广西壮族自治区环境保护厅关于广西金桂浆纸业有限公司林浆纸一体化扩建工程年产25万吨化机浆项目环境影响报告书的批复》（桂环审〔</w:t>
      </w:r>
      <w:r>
        <w:rPr>
          <w:rFonts w:cs="Times New Roman"/>
          <w:color w:val="auto"/>
        </w:rPr>
        <w:t>2015</w:t>
      </w:r>
      <w:r>
        <w:rPr>
          <w:rFonts w:hint="eastAsia"/>
          <w:color w:val="auto"/>
        </w:rPr>
        <w:t>〕</w:t>
      </w:r>
      <w:r>
        <w:rPr>
          <w:rFonts w:cs="Times New Roman"/>
          <w:color w:val="auto"/>
        </w:rPr>
        <w:t>59</w:t>
      </w:r>
      <w:r>
        <w:rPr>
          <w:rFonts w:hint="eastAsia"/>
          <w:color w:val="auto"/>
        </w:rPr>
        <w:t>号）（附件3-8），新增1条</w:t>
      </w:r>
      <w:r>
        <w:rPr>
          <w:rFonts w:cs="Times New Roman"/>
          <w:color w:val="auto"/>
        </w:rPr>
        <w:t>25</w:t>
      </w:r>
      <w:r>
        <w:rPr>
          <w:rFonts w:hint="eastAsia"/>
          <w:color w:val="auto"/>
        </w:rPr>
        <w:t>万</w:t>
      </w:r>
      <w:r>
        <w:rPr>
          <w:rFonts w:cs="Times New Roman"/>
          <w:color w:val="auto"/>
        </w:rPr>
        <w:t>t/a</w:t>
      </w:r>
      <w:r>
        <w:rPr>
          <w:rFonts w:hint="eastAsia"/>
          <w:color w:val="auto"/>
        </w:rPr>
        <w:t>化机浆生产线（</w:t>
      </w:r>
      <w:r>
        <w:rPr>
          <w:rFonts w:cs="Times New Roman"/>
          <w:color w:val="auto"/>
        </w:rPr>
        <w:t>3#</w:t>
      </w:r>
      <w:r>
        <w:rPr>
          <w:rFonts w:hint="eastAsia"/>
          <w:color w:val="auto"/>
        </w:rPr>
        <w:t>化机浆线），新增抄浆车间、热电站备用设施（</w:t>
      </w:r>
      <w:r>
        <w:rPr>
          <w:rFonts w:cs="Times New Roman"/>
          <w:color w:val="auto"/>
        </w:rPr>
        <w:t>1</w:t>
      </w:r>
      <w:r>
        <w:rPr>
          <w:rFonts w:hint="eastAsia"/>
          <w:color w:val="auto"/>
        </w:rPr>
        <w:t>×</w:t>
      </w:r>
      <w:r>
        <w:rPr>
          <w:rFonts w:cs="Times New Roman"/>
          <w:color w:val="auto"/>
        </w:rPr>
        <w:t>670t/h</w:t>
      </w:r>
      <w:r>
        <w:rPr>
          <w:rFonts w:hint="eastAsia"/>
          <w:color w:val="auto"/>
        </w:rPr>
        <w:t>循环流化床锅炉，</w:t>
      </w:r>
      <w:r>
        <w:rPr>
          <w:rFonts w:cs="Times New Roman"/>
          <w:color w:val="auto"/>
        </w:rPr>
        <w:t>2#</w:t>
      </w:r>
      <w:r>
        <w:rPr>
          <w:rFonts w:hint="eastAsia"/>
          <w:color w:val="auto"/>
        </w:rPr>
        <w:t>锅炉）、1套800t/h碱回收车间蒸发站。</w:t>
      </w:r>
      <w:r>
        <w:rPr>
          <w:rFonts w:cs="Times New Roman"/>
          <w:color w:val="auto"/>
        </w:rPr>
        <w:t>2015</w:t>
      </w:r>
      <w:r>
        <w:rPr>
          <w:rFonts w:hint="eastAsia"/>
          <w:color w:val="auto"/>
        </w:rPr>
        <w:t>年</w:t>
      </w:r>
      <w:r>
        <w:rPr>
          <w:rFonts w:cs="Times New Roman"/>
          <w:color w:val="auto"/>
        </w:rPr>
        <w:t>12</w:t>
      </w:r>
      <w:r>
        <w:rPr>
          <w:rFonts w:hint="eastAsia"/>
          <w:color w:val="auto"/>
        </w:rPr>
        <w:t>月</w:t>
      </w:r>
      <w:r>
        <w:rPr>
          <w:rFonts w:cs="Times New Roman"/>
          <w:color w:val="auto"/>
        </w:rPr>
        <w:t>14</w:t>
      </w:r>
      <w:r>
        <w:rPr>
          <w:rFonts w:hint="eastAsia"/>
          <w:color w:val="auto"/>
        </w:rPr>
        <w:t>日获得原广西壮族自治区环境保护厅《广西壮族自治区环境保护厅关于广西金桂浆纸业有限公司林浆纸一体化扩建工程年产25万吨化机浆项目竣工环境保护验收申请的批复》（桂环验〔</w:t>
      </w:r>
      <w:r>
        <w:rPr>
          <w:rFonts w:cs="Times New Roman"/>
          <w:color w:val="auto"/>
        </w:rPr>
        <w:t>2015</w:t>
      </w:r>
      <w:r>
        <w:rPr>
          <w:rFonts w:hint="eastAsia"/>
          <w:color w:val="auto"/>
        </w:rPr>
        <w:t>〕</w:t>
      </w:r>
      <w:r>
        <w:rPr>
          <w:rFonts w:cs="Times New Roman"/>
          <w:color w:val="auto"/>
        </w:rPr>
        <w:t>175</w:t>
      </w:r>
      <w:r>
        <w:rPr>
          <w:rFonts w:hint="eastAsia"/>
          <w:color w:val="auto"/>
        </w:rPr>
        <w:t>号）（附件3-9）。</w:t>
      </w:r>
    </w:p>
    <w:p w14:paraId="598CBDC3">
      <w:pPr>
        <w:ind w:firstLine="480"/>
        <w:rPr>
          <w:color w:val="auto"/>
        </w:rPr>
      </w:pPr>
      <w:r>
        <w:rPr>
          <w:rFonts w:cs="Times New Roman"/>
          <w:color w:val="auto"/>
        </w:rPr>
        <w:t>2016</w:t>
      </w:r>
      <w:r>
        <w:rPr>
          <w:rFonts w:hint="eastAsia"/>
          <w:color w:val="auto"/>
        </w:rPr>
        <w:t>年</w:t>
      </w:r>
      <w:r>
        <w:rPr>
          <w:rFonts w:cs="Times New Roman"/>
          <w:color w:val="auto"/>
        </w:rPr>
        <w:t>6</w:t>
      </w:r>
      <w:r>
        <w:rPr>
          <w:rFonts w:hint="eastAsia"/>
          <w:color w:val="auto"/>
        </w:rPr>
        <w:t>月</w:t>
      </w:r>
      <w:r>
        <w:rPr>
          <w:rFonts w:cs="Times New Roman"/>
          <w:color w:val="auto"/>
        </w:rPr>
        <w:t>14</w:t>
      </w:r>
      <w:r>
        <w:rPr>
          <w:rFonts w:hint="eastAsia"/>
          <w:color w:val="auto"/>
        </w:rPr>
        <w:t>日获得原广西壮族自治区环境保护厅《广西壮族自治区环境保护厅关于广西金桂浆纸业有限公司年产40万吨高档纸板扩建工程环境影响报告书的批复》（桂环审〔</w:t>
      </w:r>
      <w:r>
        <w:rPr>
          <w:rFonts w:cs="Times New Roman"/>
          <w:color w:val="auto"/>
        </w:rPr>
        <w:t>2016</w:t>
      </w:r>
      <w:r>
        <w:rPr>
          <w:rFonts w:hint="eastAsia"/>
          <w:color w:val="auto"/>
        </w:rPr>
        <w:t>〕</w:t>
      </w:r>
      <w:r>
        <w:rPr>
          <w:rFonts w:cs="Times New Roman"/>
          <w:color w:val="auto"/>
        </w:rPr>
        <w:t>66</w:t>
      </w:r>
      <w:r>
        <w:rPr>
          <w:rFonts w:hint="eastAsia"/>
          <w:color w:val="auto"/>
        </w:rPr>
        <w:t>号）（附件3-10），项目对现有的</w:t>
      </w:r>
      <w:r>
        <w:rPr>
          <w:rFonts w:cs="Times New Roman"/>
          <w:color w:val="auto"/>
        </w:rPr>
        <w:t>1#</w:t>
      </w:r>
      <w:r>
        <w:rPr>
          <w:rFonts w:hint="eastAsia"/>
          <w:color w:val="auto"/>
        </w:rPr>
        <w:t>化机浆线、</w:t>
      </w:r>
      <w:r>
        <w:rPr>
          <w:rFonts w:cs="Times New Roman"/>
          <w:color w:val="auto"/>
        </w:rPr>
        <w:t>2#</w:t>
      </w:r>
      <w:r>
        <w:rPr>
          <w:rFonts w:hint="eastAsia"/>
          <w:color w:val="auto"/>
        </w:rPr>
        <w:t>化机浆线和</w:t>
      </w:r>
      <w:r>
        <w:rPr>
          <w:rFonts w:cs="Times New Roman"/>
          <w:color w:val="auto"/>
        </w:rPr>
        <w:t>1#</w:t>
      </w:r>
      <w:r>
        <w:rPr>
          <w:rFonts w:hint="eastAsia"/>
          <w:color w:val="auto"/>
        </w:rPr>
        <w:t>纸机进行扩建，扩建后</w:t>
      </w:r>
      <w:r>
        <w:rPr>
          <w:rFonts w:cs="Times New Roman"/>
          <w:color w:val="auto"/>
        </w:rPr>
        <w:t>1#</w:t>
      </w:r>
      <w:r>
        <w:rPr>
          <w:rFonts w:hint="eastAsia"/>
          <w:color w:val="auto"/>
        </w:rPr>
        <w:t>化机浆线、</w:t>
      </w:r>
      <w:r>
        <w:rPr>
          <w:rFonts w:cs="Times New Roman"/>
          <w:color w:val="auto"/>
        </w:rPr>
        <w:t>2#</w:t>
      </w:r>
      <w:r>
        <w:rPr>
          <w:rFonts w:hint="eastAsia"/>
          <w:color w:val="auto"/>
        </w:rPr>
        <w:t>化机浆线制浆规模均为</w:t>
      </w:r>
      <w:r>
        <w:rPr>
          <w:rFonts w:cs="Times New Roman"/>
          <w:color w:val="auto"/>
        </w:rPr>
        <w:t>25</w:t>
      </w:r>
      <w:r>
        <w:rPr>
          <w:rFonts w:hint="eastAsia"/>
          <w:color w:val="auto"/>
        </w:rPr>
        <w:t>万</w:t>
      </w:r>
      <w:r>
        <w:rPr>
          <w:rFonts w:cs="Times New Roman"/>
          <w:color w:val="auto"/>
        </w:rPr>
        <w:t>t/a</w:t>
      </w:r>
      <w:r>
        <w:rPr>
          <w:rFonts w:hint="eastAsia"/>
          <w:color w:val="auto"/>
        </w:rPr>
        <w:t>，</w:t>
      </w:r>
      <w:r>
        <w:rPr>
          <w:rFonts w:cs="Times New Roman"/>
          <w:color w:val="auto"/>
        </w:rPr>
        <w:t>1#</w:t>
      </w:r>
      <w:r>
        <w:rPr>
          <w:rFonts w:hint="eastAsia"/>
          <w:color w:val="auto"/>
        </w:rPr>
        <w:t>纸机规模为</w:t>
      </w:r>
      <w:r>
        <w:rPr>
          <w:rFonts w:cs="Times New Roman"/>
          <w:color w:val="auto"/>
        </w:rPr>
        <w:t>100</w:t>
      </w:r>
      <w:r>
        <w:rPr>
          <w:rFonts w:hint="eastAsia"/>
          <w:color w:val="auto"/>
        </w:rPr>
        <w:t>万</w:t>
      </w:r>
      <w:r>
        <w:rPr>
          <w:rFonts w:cs="Times New Roman"/>
          <w:color w:val="auto"/>
        </w:rPr>
        <w:t>t/a</w:t>
      </w:r>
      <w:r>
        <w:rPr>
          <w:rFonts w:hint="eastAsia"/>
          <w:color w:val="auto"/>
        </w:rPr>
        <w:t>；配套建设备用</w:t>
      </w:r>
      <w:r>
        <w:rPr>
          <w:rFonts w:cs="Times New Roman"/>
          <w:color w:val="auto"/>
        </w:rPr>
        <w:t>1</w:t>
      </w:r>
      <w:r>
        <w:rPr>
          <w:rFonts w:hint="eastAsia"/>
          <w:color w:val="auto"/>
        </w:rPr>
        <w:t>×</w:t>
      </w:r>
      <w:r>
        <w:rPr>
          <w:rFonts w:cs="Times New Roman"/>
          <w:color w:val="auto"/>
        </w:rPr>
        <w:t>670t/h</w:t>
      </w:r>
      <w:r>
        <w:rPr>
          <w:rFonts w:hint="eastAsia"/>
          <w:color w:val="auto"/>
        </w:rPr>
        <w:t>循环流化床锅炉（</w:t>
      </w:r>
      <w:r>
        <w:rPr>
          <w:rFonts w:cs="Times New Roman"/>
          <w:color w:val="auto"/>
        </w:rPr>
        <w:t>4#</w:t>
      </w:r>
      <w:r>
        <w:rPr>
          <w:rFonts w:hint="eastAsia"/>
          <w:color w:val="auto"/>
        </w:rPr>
        <w:t>锅炉），</w:t>
      </w:r>
      <w:r>
        <w:rPr>
          <w:rFonts w:cs="Times New Roman"/>
          <w:color w:val="auto"/>
        </w:rPr>
        <w:t>2#</w:t>
      </w:r>
      <w:r>
        <w:rPr>
          <w:rFonts w:hint="eastAsia"/>
          <w:color w:val="auto"/>
        </w:rPr>
        <w:t>锅炉由备用改为常用。</w:t>
      </w:r>
      <w:r>
        <w:rPr>
          <w:rFonts w:cs="Times New Roman"/>
          <w:color w:val="auto"/>
        </w:rPr>
        <w:t>2017</w:t>
      </w:r>
      <w:r>
        <w:rPr>
          <w:rFonts w:hint="eastAsia"/>
          <w:color w:val="auto"/>
        </w:rPr>
        <w:t>年</w:t>
      </w:r>
      <w:r>
        <w:rPr>
          <w:rFonts w:cs="Times New Roman"/>
          <w:color w:val="auto"/>
        </w:rPr>
        <w:t>6</w:t>
      </w:r>
      <w:r>
        <w:rPr>
          <w:rFonts w:hint="eastAsia"/>
          <w:color w:val="auto"/>
        </w:rPr>
        <w:t>月</w:t>
      </w:r>
      <w:r>
        <w:rPr>
          <w:rFonts w:cs="Times New Roman"/>
          <w:color w:val="auto"/>
        </w:rPr>
        <w:t>3</w:t>
      </w:r>
      <w:r>
        <w:rPr>
          <w:rFonts w:hint="eastAsia"/>
          <w:color w:val="auto"/>
        </w:rPr>
        <w:t>日获得广西壮族自治区环境保护厅《广西壮族自治区环境保护厅关于广西金桂浆纸业有限公司年产40万吨高档纸板扩建项目竣工环境保护验收申请的批复》（桂环验〔</w:t>
      </w:r>
      <w:r>
        <w:rPr>
          <w:rFonts w:cs="Times New Roman"/>
          <w:color w:val="auto"/>
        </w:rPr>
        <w:t>2017</w:t>
      </w:r>
      <w:r>
        <w:rPr>
          <w:rFonts w:hint="eastAsia"/>
          <w:color w:val="auto"/>
        </w:rPr>
        <w:t>〕</w:t>
      </w:r>
      <w:r>
        <w:rPr>
          <w:rFonts w:cs="Times New Roman"/>
          <w:color w:val="auto"/>
        </w:rPr>
        <w:t>60</w:t>
      </w:r>
      <w:r>
        <w:rPr>
          <w:rFonts w:hint="eastAsia"/>
          <w:color w:val="auto"/>
        </w:rPr>
        <w:t>号）（附件3-11），项目验收时，备用</w:t>
      </w:r>
      <w:r>
        <w:rPr>
          <w:rFonts w:cs="Times New Roman"/>
          <w:color w:val="auto"/>
        </w:rPr>
        <w:t>4#</w:t>
      </w:r>
      <w:r>
        <w:rPr>
          <w:rFonts w:hint="eastAsia"/>
          <w:color w:val="auto"/>
        </w:rPr>
        <w:t>锅炉尚未建设，同时对广西金桂浆纸业有限公司动力厂脱硫脱硝项目竣工环境保护验收。</w:t>
      </w:r>
    </w:p>
    <w:p w14:paraId="0758BF81">
      <w:pPr>
        <w:ind w:firstLine="480"/>
        <w:rPr>
          <w:color w:val="auto"/>
        </w:rPr>
      </w:pPr>
      <w:r>
        <w:rPr>
          <w:rFonts w:cs="Times New Roman"/>
          <w:color w:val="auto"/>
        </w:rPr>
        <w:t>2017</w:t>
      </w:r>
      <w:r>
        <w:rPr>
          <w:rFonts w:hint="eastAsia"/>
          <w:color w:val="auto"/>
        </w:rPr>
        <w:t>年</w:t>
      </w:r>
      <w:r>
        <w:rPr>
          <w:rFonts w:cs="Times New Roman"/>
          <w:color w:val="auto"/>
        </w:rPr>
        <w:t>12</w:t>
      </w:r>
      <w:r>
        <w:rPr>
          <w:rFonts w:hint="eastAsia"/>
          <w:color w:val="auto"/>
        </w:rPr>
        <w:t>月</w:t>
      </w:r>
      <w:r>
        <w:rPr>
          <w:rFonts w:cs="Times New Roman"/>
          <w:color w:val="auto"/>
        </w:rPr>
        <w:t>29</w:t>
      </w:r>
      <w:r>
        <w:rPr>
          <w:rFonts w:hint="eastAsia"/>
          <w:color w:val="auto"/>
        </w:rPr>
        <w:t>日获得原钦州市环境保护局《关于广西金桂浆纸业有限公司年产180万吨高档纸板扩建项目环境影响报告书的批复》（钦港环管字〔</w:t>
      </w:r>
      <w:r>
        <w:rPr>
          <w:rFonts w:cs="Times New Roman"/>
          <w:color w:val="auto"/>
        </w:rPr>
        <w:t>2017</w:t>
      </w:r>
      <w:r>
        <w:rPr>
          <w:rFonts w:hint="eastAsia"/>
          <w:color w:val="auto"/>
        </w:rPr>
        <w:t>〕</w:t>
      </w:r>
      <w:r>
        <w:rPr>
          <w:rFonts w:cs="Times New Roman"/>
          <w:color w:val="auto"/>
        </w:rPr>
        <w:t>33</w:t>
      </w:r>
      <w:r>
        <w:rPr>
          <w:rFonts w:hint="eastAsia"/>
          <w:color w:val="auto"/>
        </w:rPr>
        <w:t>号）（附件3-12），实施</w:t>
      </w:r>
      <w:r>
        <w:rPr>
          <w:rFonts w:cs="Times New Roman"/>
          <w:color w:val="auto"/>
        </w:rPr>
        <w:t>180</w:t>
      </w:r>
      <w:r>
        <w:rPr>
          <w:rFonts w:hint="eastAsia"/>
          <w:color w:val="auto"/>
        </w:rPr>
        <w:t>万</w:t>
      </w:r>
      <w:r>
        <w:rPr>
          <w:rFonts w:cs="Times New Roman"/>
          <w:color w:val="auto"/>
        </w:rPr>
        <w:t>t/a</w:t>
      </w:r>
      <w:r>
        <w:rPr>
          <w:rFonts w:hint="eastAsia"/>
          <w:color w:val="auto"/>
        </w:rPr>
        <w:t>高档纸板扩建项目，主要包括</w:t>
      </w:r>
      <w:r>
        <w:rPr>
          <w:rFonts w:cs="Times New Roman"/>
          <w:color w:val="auto"/>
        </w:rPr>
        <w:t>1</w:t>
      </w:r>
      <w:r>
        <w:rPr>
          <w:rFonts w:hint="eastAsia"/>
          <w:color w:val="auto"/>
        </w:rPr>
        <w:t>条</w:t>
      </w:r>
      <w:r>
        <w:rPr>
          <w:rFonts w:cs="Times New Roman"/>
          <w:color w:val="auto"/>
        </w:rPr>
        <w:t>90</w:t>
      </w:r>
      <w:r>
        <w:rPr>
          <w:rFonts w:hint="eastAsia"/>
          <w:color w:val="auto"/>
        </w:rPr>
        <w:t>万</w:t>
      </w:r>
      <w:r>
        <w:rPr>
          <w:rFonts w:cs="Times New Roman"/>
          <w:color w:val="auto"/>
        </w:rPr>
        <w:t>t/a</w:t>
      </w:r>
      <w:r>
        <w:rPr>
          <w:rFonts w:hint="eastAsia"/>
          <w:color w:val="auto"/>
        </w:rPr>
        <w:t>高档社会卡生产线、</w:t>
      </w:r>
      <w:r>
        <w:rPr>
          <w:rFonts w:cs="Times New Roman"/>
          <w:color w:val="auto"/>
        </w:rPr>
        <w:t>1</w:t>
      </w:r>
      <w:r>
        <w:rPr>
          <w:rFonts w:hint="eastAsia"/>
          <w:color w:val="auto"/>
        </w:rPr>
        <w:t>条</w:t>
      </w:r>
      <w:r>
        <w:rPr>
          <w:rFonts w:cs="Times New Roman"/>
          <w:color w:val="auto"/>
        </w:rPr>
        <w:t>90</w:t>
      </w:r>
      <w:r>
        <w:rPr>
          <w:rFonts w:hint="eastAsia"/>
          <w:color w:val="auto"/>
        </w:rPr>
        <w:t>万</w:t>
      </w:r>
      <w:r>
        <w:rPr>
          <w:rFonts w:cs="Times New Roman"/>
          <w:color w:val="auto"/>
        </w:rPr>
        <w:t>t/a</w:t>
      </w:r>
      <w:r>
        <w:rPr>
          <w:rFonts w:hint="eastAsia"/>
          <w:color w:val="auto"/>
        </w:rPr>
        <w:t>食品卡纸生产线，热电站（</w:t>
      </w:r>
      <w:r>
        <w:rPr>
          <w:rFonts w:cs="Times New Roman"/>
          <w:color w:val="auto"/>
        </w:rPr>
        <w:t>1</w:t>
      </w:r>
      <w:r>
        <w:rPr>
          <w:rFonts w:hint="eastAsia"/>
          <w:color w:val="auto"/>
        </w:rPr>
        <w:t>×</w:t>
      </w:r>
      <w:r>
        <w:rPr>
          <w:rFonts w:cs="Times New Roman"/>
          <w:color w:val="auto"/>
        </w:rPr>
        <w:t>670t/h</w:t>
      </w:r>
      <w:r>
        <w:rPr>
          <w:rFonts w:hint="eastAsia"/>
          <w:color w:val="auto"/>
        </w:rPr>
        <w:t>循环流化床锅炉，</w:t>
      </w:r>
      <w:r>
        <w:rPr>
          <w:rFonts w:cs="Times New Roman"/>
          <w:color w:val="auto"/>
        </w:rPr>
        <w:t>3#</w:t>
      </w:r>
      <w:r>
        <w:rPr>
          <w:rFonts w:hint="eastAsia"/>
          <w:color w:val="auto"/>
        </w:rPr>
        <w:t>锅炉）、</w:t>
      </w:r>
      <w:r>
        <w:rPr>
          <w:rFonts w:cs="Times New Roman"/>
          <w:color w:val="auto"/>
        </w:rPr>
        <w:t>4.5</w:t>
      </w:r>
      <w:r>
        <w:rPr>
          <w:rFonts w:hint="eastAsia"/>
          <w:color w:val="auto"/>
        </w:rPr>
        <w:t>万</w:t>
      </w:r>
      <w:r>
        <w:rPr>
          <w:rFonts w:cs="Times New Roman"/>
          <w:color w:val="auto"/>
        </w:rPr>
        <w:t>m</w:t>
      </w:r>
      <w:r>
        <w:rPr>
          <w:rFonts w:hint="eastAsia" w:cs="Times New Roman"/>
          <w:color w:val="auto"/>
          <w:vertAlign w:val="superscript"/>
        </w:rPr>
        <w:t>3</w:t>
      </w:r>
      <w:r>
        <w:rPr>
          <w:rFonts w:cs="Times New Roman"/>
          <w:color w:val="auto"/>
        </w:rPr>
        <w:t>/d</w:t>
      </w:r>
      <w:r>
        <w:rPr>
          <w:rFonts w:hint="eastAsia"/>
          <w:color w:val="auto"/>
        </w:rPr>
        <w:t>污水处理站（</w:t>
      </w:r>
      <w:r>
        <w:rPr>
          <w:rFonts w:cs="Times New Roman"/>
          <w:color w:val="auto"/>
        </w:rPr>
        <w:t>2#</w:t>
      </w:r>
      <w:r>
        <w:rPr>
          <w:rFonts w:hint="eastAsia"/>
          <w:color w:val="auto"/>
        </w:rPr>
        <w:t>污水处理站）等。</w:t>
      </w:r>
      <w:r>
        <w:rPr>
          <w:rFonts w:cs="Times New Roman"/>
          <w:color w:val="auto"/>
        </w:rPr>
        <w:t>2023</w:t>
      </w:r>
      <w:r>
        <w:rPr>
          <w:rFonts w:hint="eastAsia"/>
          <w:color w:val="auto"/>
        </w:rPr>
        <w:t>年</w:t>
      </w:r>
      <w:r>
        <w:rPr>
          <w:rFonts w:cs="Times New Roman"/>
          <w:color w:val="auto"/>
        </w:rPr>
        <w:t>1</w:t>
      </w:r>
      <w:r>
        <w:rPr>
          <w:rFonts w:hint="eastAsia"/>
          <w:color w:val="auto"/>
        </w:rPr>
        <w:t>月</w:t>
      </w:r>
      <w:r>
        <w:rPr>
          <w:rFonts w:cs="Times New Roman"/>
          <w:color w:val="auto"/>
        </w:rPr>
        <w:t>11</w:t>
      </w:r>
      <w:r>
        <w:rPr>
          <w:rFonts w:hint="eastAsia"/>
          <w:color w:val="auto"/>
        </w:rPr>
        <w:t>日通过了第一台纸机子项目自主验收（附件3-13），建设内容主要包括</w:t>
      </w:r>
      <w:r>
        <w:rPr>
          <w:rFonts w:cs="Times New Roman"/>
          <w:color w:val="auto"/>
        </w:rPr>
        <w:t>90</w:t>
      </w:r>
      <w:r>
        <w:rPr>
          <w:rFonts w:hint="eastAsia"/>
          <w:color w:val="auto"/>
        </w:rPr>
        <w:t>万吨</w:t>
      </w:r>
      <w:r>
        <w:rPr>
          <w:rFonts w:cs="Times New Roman"/>
          <w:color w:val="auto"/>
        </w:rPr>
        <w:t>/</w:t>
      </w:r>
      <w:r>
        <w:rPr>
          <w:rFonts w:hint="eastAsia"/>
          <w:color w:val="auto"/>
        </w:rPr>
        <w:t>年高档社会卡生产线（</w:t>
      </w:r>
      <w:r>
        <w:rPr>
          <w:rFonts w:cs="Times New Roman"/>
          <w:color w:val="auto"/>
        </w:rPr>
        <w:t>2#</w:t>
      </w:r>
      <w:r>
        <w:rPr>
          <w:rFonts w:hint="eastAsia"/>
          <w:color w:val="auto"/>
        </w:rPr>
        <w:t>纸机）、</w:t>
      </w:r>
      <w:r>
        <w:rPr>
          <w:rFonts w:cs="Times New Roman"/>
          <w:color w:val="auto"/>
        </w:rPr>
        <w:t>1</w:t>
      </w:r>
      <w:r>
        <w:rPr>
          <w:rFonts w:hint="eastAsia"/>
          <w:color w:val="auto"/>
        </w:rPr>
        <w:t>×</w:t>
      </w:r>
      <w:r>
        <w:rPr>
          <w:rFonts w:cs="Times New Roman"/>
          <w:color w:val="auto"/>
        </w:rPr>
        <w:t>670t/h</w:t>
      </w:r>
      <w:r>
        <w:rPr>
          <w:rFonts w:hint="eastAsia"/>
          <w:color w:val="auto"/>
        </w:rPr>
        <w:t>循环流化床锅炉（</w:t>
      </w:r>
      <w:r>
        <w:rPr>
          <w:rFonts w:cs="Times New Roman"/>
          <w:color w:val="auto"/>
        </w:rPr>
        <w:t>3#</w:t>
      </w:r>
      <w:r>
        <w:rPr>
          <w:rFonts w:hint="eastAsia"/>
          <w:color w:val="auto"/>
        </w:rPr>
        <w:t>锅炉），</w:t>
      </w:r>
      <w:r>
        <w:rPr>
          <w:rFonts w:cs="Times New Roman"/>
          <w:color w:val="auto"/>
        </w:rPr>
        <w:t>4.5</w:t>
      </w:r>
      <w:r>
        <w:rPr>
          <w:rFonts w:hint="eastAsia"/>
          <w:color w:val="auto"/>
        </w:rPr>
        <w:t>万</w:t>
      </w:r>
      <w:r>
        <w:rPr>
          <w:rFonts w:cs="Times New Roman"/>
          <w:color w:val="auto"/>
        </w:rPr>
        <w:t>m</w:t>
      </w:r>
      <w:r>
        <w:rPr>
          <w:rFonts w:hint="eastAsia" w:cs="Times New Roman"/>
          <w:color w:val="auto"/>
          <w:vertAlign w:val="superscript"/>
        </w:rPr>
        <w:t>3</w:t>
      </w:r>
      <w:r>
        <w:rPr>
          <w:rFonts w:cs="Times New Roman"/>
          <w:color w:val="auto"/>
        </w:rPr>
        <w:t>/d</w:t>
      </w:r>
      <w:r>
        <w:rPr>
          <w:rFonts w:hint="eastAsia"/>
          <w:color w:val="auto"/>
        </w:rPr>
        <w:t>污水处理站（</w:t>
      </w:r>
      <w:r>
        <w:rPr>
          <w:rFonts w:cs="Times New Roman"/>
          <w:color w:val="auto"/>
        </w:rPr>
        <w:t>2#</w:t>
      </w:r>
      <w:r>
        <w:rPr>
          <w:rFonts w:hint="eastAsia"/>
          <w:color w:val="auto"/>
        </w:rPr>
        <w:t>污水处理站），</w:t>
      </w:r>
      <w:r>
        <w:rPr>
          <w:rFonts w:cs="Times New Roman"/>
          <w:color w:val="auto"/>
        </w:rPr>
        <w:t>3#</w:t>
      </w:r>
      <w:r>
        <w:rPr>
          <w:rFonts w:hint="eastAsia"/>
          <w:color w:val="auto"/>
        </w:rPr>
        <w:t>锅炉执行超低排放限值。该项目其余部分（建设内容主要为</w:t>
      </w:r>
      <w:r>
        <w:rPr>
          <w:rFonts w:cs="Times New Roman"/>
          <w:color w:val="auto"/>
        </w:rPr>
        <w:t>90</w:t>
      </w:r>
      <w:r>
        <w:rPr>
          <w:rFonts w:hint="eastAsia"/>
          <w:color w:val="auto"/>
        </w:rPr>
        <w:t>万吨</w:t>
      </w:r>
      <w:r>
        <w:rPr>
          <w:rFonts w:cs="Times New Roman"/>
          <w:color w:val="auto"/>
        </w:rPr>
        <w:t>/</w:t>
      </w:r>
      <w:r>
        <w:rPr>
          <w:rFonts w:hint="eastAsia"/>
          <w:color w:val="auto"/>
        </w:rPr>
        <w:t>年食品卡纸生产线，即</w:t>
      </w:r>
      <w:r>
        <w:rPr>
          <w:rFonts w:cs="Times New Roman"/>
          <w:color w:val="auto"/>
        </w:rPr>
        <w:t>3#</w:t>
      </w:r>
      <w:r>
        <w:rPr>
          <w:rFonts w:hint="eastAsia"/>
          <w:color w:val="auto"/>
        </w:rPr>
        <w:t>纸机）正在建设中。</w:t>
      </w:r>
    </w:p>
    <w:p w14:paraId="72B76D49">
      <w:pPr>
        <w:ind w:firstLine="480"/>
        <w:rPr>
          <w:color w:val="auto"/>
        </w:rPr>
      </w:pPr>
      <w:r>
        <w:rPr>
          <w:rFonts w:cs="Times New Roman"/>
          <w:color w:val="auto"/>
        </w:rPr>
        <w:t>2018</w:t>
      </w:r>
      <w:r>
        <w:rPr>
          <w:rFonts w:hint="eastAsia"/>
          <w:color w:val="auto"/>
        </w:rPr>
        <w:t>年3月8日获得原钦州市环境保护局《关于广西金桂浆纸业有限公司热电站超低排放技改工程环境影响报告表的批复》（钦港环管字〔</w:t>
      </w:r>
      <w:r>
        <w:rPr>
          <w:rFonts w:cs="Times New Roman"/>
          <w:color w:val="auto"/>
        </w:rPr>
        <w:t>2018</w:t>
      </w:r>
      <w:r>
        <w:rPr>
          <w:rFonts w:hint="eastAsia"/>
          <w:color w:val="auto"/>
        </w:rPr>
        <w:t>〕</w:t>
      </w:r>
      <w:r>
        <w:rPr>
          <w:rFonts w:cs="Times New Roman"/>
          <w:color w:val="auto"/>
        </w:rPr>
        <w:t>7</w:t>
      </w:r>
      <w:r>
        <w:rPr>
          <w:rFonts w:hint="eastAsia"/>
          <w:color w:val="auto"/>
        </w:rPr>
        <w:t>号）（附件3-14），为贯彻国家《全面实施燃煤电厂超低排放和节能改造工作方案》（环发〔</w:t>
      </w:r>
      <w:r>
        <w:rPr>
          <w:rFonts w:cs="Times New Roman"/>
          <w:color w:val="auto"/>
        </w:rPr>
        <w:t>2015</w:t>
      </w:r>
      <w:r>
        <w:rPr>
          <w:rFonts w:hint="eastAsia"/>
          <w:color w:val="auto"/>
        </w:rPr>
        <w:t>〕</w:t>
      </w:r>
      <w:r>
        <w:rPr>
          <w:rFonts w:cs="Times New Roman"/>
          <w:color w:val="auto"/>
        </w:rPr>
        <w:t>164</w:t>
      </w:r>
      <w:r>
        <w:rPr>
          <w:rFonts w:hint="eastAsia"/>
          <w:color w:val="auto"/>
        </w:rPr>
        <w:t>号）文件精神及有关规定，对</w:t>
      </w:r>
      <w:r>
        <w:rPr>
          <w:rFonts w:cs="Times New Roman"/>
          <w:color w:val="auto"/>
        </w:rPr>
        <w:t>1#</w:t>
      </w:r>
      <w:r>
        <w:rPr>
          <w:rFonts w:hint="eastAsia"/>
          <w:color w:val="auto"/>
        </w:rPr>
        <w:t>、</w:t>
      </w:r>
      <w:r>
        <w:rPr>
          <w:rFonts w:cs="Times New Roman"/>
          <w:color w:val="auto"/>
        </w:rPr>
        <w:t>2#</w:t>
      </w:r>
      <w:r>
        <w:rPr>
          <w:rFonts w:hint="eastAsia"/>
          <w:color w:val="auto"/>
        </w:rPr>
        <w:t>共</w:t>
      </w:r>
      <w:r>
        <w:rPr>
          <w:rFonts w:cs="Times New Roman"/>
          <w:color w:val="auto"/>
        </w:rPr>
        <w:t>2</w:t>
      </w:r>
      <w:r>
        <w:rPr>
          <w:rFonts w:hint="eastAsia"/>
          <w:color w:val="auto"/>
        </w:rPr>
        <w:t>台</w:t>
      </w:r>
      <w:r>
        <w:rPr>
          <w:rFonts w:cs="Times New Roman"/>
          <w:color w:val="auto"/>
        </w:rPr>
        <w:t>670t/h</w:t>
      </w:r>
      <w:r>
        <w:rPr>
          <w:rFonts w:hint="eastAsia"/>
          <w:color w:val="auto"/>
        </w:rPr>
        <w:t>循环流化床燃煤锅炉进行超低排放改造。2019年4月15日通过了关于广西金桂浆纸业有限公司热电站超低排放技改工程（废气、废水和噪声部分）自主验收（附件3-16），</w:t>
      </w:r>
      <w:r>
        <w:rPr>
          <w:rFonts w:cs="Times New Roman"/>
          <w:color w:val="auto"/>
        </w:rPr>
        <w:t>2019</w:t>
      </w:r>
      <w:r>
        <w:rPr>
          <w:rFonts w:hint="eastAsia"/>
          <w:color w:val="auto"/>
        </w:rPr>
        <w:t>年</w:t>
      </w:r>
      <w:r>
        <w:rPr>
          <w:rFonts w:cs="Times New Roman"/>
          <w:color w:val="auto"/>
        </w:rPr>
        <w:t>5</w:t>
      </w:r>
      <w:r>
        <w:rPr>
          <w:rFonts w:hint="eastAsia"/>
          <w:color w:val="auto"/>
        </w:rPr>
        <w:t>月</w:t>
      </w:r>
      <w:r>
        <w:rPr>
          <w:rFonts w:cs="Times New Roman"/>
          <w:color w:val="auto"/>
        </w:rPr>
        <w:t>27</w:t>
      </w:r>
      <w:r>
        <w:rPr>
          <w:rFonts w:hint="eastAsia"/>
          <w:color w:val="auto"/>
        </w:rPr>
        <w:t>日获得钦州市生态环境局《关于广西金桂浆纸业有限公司热电站超低排放技改工程固体废物环境保护设施竣工验收申请的批复》（钦港环验字〔</w:t>
      </w:r>
      <w:r>
        <w:rPr>
          <w:rFonts w:cs="Times New Roman"/>
          <w:color w:val="auto"/>
        </w:rPr>
        <w:t>2019</w:t>
      </w:r>
      <w:r>
        <w:rPr>
          <w:rFonts w:hint="eastAsia"/>
          <w:color w:val="auto"/>
        </w:rPr>
        <w:t>〕</w:t>
      </w:r>
      <w:r>
        <w:rPr>
          <w:rFonts w:cs="Times New Roman"/>
          <w:color w:val="auto"/>
        </w:rPr>
        <w:t>7</w:t>
      </w:r>
      <w:r>
        <w:rPr>
          <w:rFonts w:hint="eastAsia"/>
          <w:color w:val="auto"/>
        </w:rPr>
        <w:t>号）（附件3-15）。</w:t>
      </w:r>
    </w:p>
    <w:p w14:paraId="01E876EB">
      <w:pPr>
        <w:ind w:firstLine="480"/>
        <w:rPr>
          <w:color w:val="auto"/>
        </w:rPr>
      </w:pPr>
      <w:r>
        <w:rPr>
          <w:rFonts w:cs="Times New Roman"/>
          <w:color w:val="auto"/>
        </w:rPr>
        <w:t>2019</w:t>
      </w:r>
      <w:r>
        <w:rPr>
          <w:rFonts w:hint="eastAsia"/>
          <w:color w:val="auto"/>
        </w:rPr>
        <w:t>年</w:t>
      </w:r>
      <w:r>
        <w:rPr>
          <w:rFonts w:cs="Times New Roman"/>
          <w:color w:val="auto"/>
        </w:rPr>
        <w:t>3</w:t>
      </w:r>
      <w:r>
        <w:rPr>
          <w:rFonts w:hint="eastAsia"/>
          <w:color w:val="auto"/>
        </w:rPr>
        <w:t>月</w:t>
      </w:r>
      <w:r>
        <w:rPr>
          <w:rFonts w:cs="Times New Roman"/>
          <w:color w:val="auto"/>
        </w:rPr>
        <w:t>15</w:t>
      </w:r>
      <w:r>
        <w:rPr>
          <w:rFonts w:hint="eastAsia"/>
          <w:color w:val="auto"/>
        </w:rPr>
        <w:t>日获得钦州市生态环境局《关于广西金桂浆纸业有限公司年产30万吨过氧化氢（浓度</w:t>
      </w:r>
      <w:r>
        <w:rPr>
          <w:rFonts w:cs="Times New Roman"/>
          <w:color w:val="auto"/>
        </w:rPr>
        <w:t>27.5%</w:t>
      </w:r>
      <w:r>
        <w:rPr>
          <w:rFonts w:hint="eastAsia"/>
          <w:color w:val="auto"/>
        </w:rPr>
        <w:t>）项目环境影响报告书的批复》（钦港环管字〔</w:t>
      </w:r>
      <w:r>
        <w:rPr>
          <w:rFonts w:cs="Times New Roman"/>
          <w:color w:val="auto"/>
        </w:rPr>
        <w:t>2019</w:t>
      </w:r>
      <w:r>
        <w:rPr>
          <w:rFonts w:hint="eastAsia"/>
          <w:color w:val="auto"/>
        </w:rPr>
        <w:t>〕</w:t>
      </w:r>
      <w:r>
        <w:rPr>
          <w:rFonts w:cs="Times New Roman"/>
          <w:color w:val="auto"/>
        </w:rPr>
        <w:t>4</w:t>
      </w:r>
      <w:r>
        <w:rPr>
          <w:rFonts w:hint="eastAsia"/>
          <w:color w:val="auto"/>
        </w:rPr>
        <w:t>号）（附件3-17），在现有厂区内主要建设一套</w:t>
      </w:r>
      <w:r>
        <w:rPr>
          <w:rFonts w:cs="Times New Roman"/>
          <w:color w:val="auto"/>
        </w:rPr>
        <w:t>7500m</w:t>
      </w:r>
      <w:r>
        <w:rPr>
          <w:rFonts w:hint="eastAsia" w:cs="Times New Roman"/>
          <w:color w:val="auto"/>
          <w:vertAlign w:val="superscript"/>
        </w:rPr>
        <w:t>3</w:t>
      </w:r>
      <w:r>
        <w:rPr>
          <w:rFonts w:cs="Times New Roman"/>
          <w:color w:val="auto"/>
        </w:rPr>
        <w:t>/h</w:t>
      </w:r>
      <w:r>
        <w:rPr>
          <w:rFonts w:hint="eastAsia"/>
          <w:color w:val="auto"/>
        </w:rPr>
        <w:t>天然气制氢装置、一套</w:t>
      </w:r>
      <w:r>
        <w:rPr>
          <w:rFonts w:cs="Times New Roman"/>
          <w:color w:val="auto"/>
        </w:rPr>
        <w:t>30</w:t>
      </w:r>
      <w:r>
        <w:rPr>
          <w:rFonts w:hint="eastAsia"/>
          <w:color w:val="auto"/>
        </w:rPr>
        <w:t>万t/a双氧水装置（浓度</w:t>
      </w:r>
      <w:r>
        <w:rPr>
          <w:rFonts w:cs="Times New Roman"/>
          <w:color w:val="auto"/>
        </w:rPr>
        <w:t>27.5%</w:t>
      </w:r>
      <w:r>
        <w:rPr>
          <w:rFonts w:hint="eastAsia"/>
          <w:color w:val="auto"/>
        </w:rPr>
        <w:t>）及其配套工程。</w:t>
      </w:r>
      <w:r>
        <w:rPr>
          <w:rFonts w:cs="Times New Roman"/>
          <w:color w:val="auto"/>
        </w:rPr>
        <w:t>2021</w:t>
      </w:r>
      <w:r>
        <w:rPr>
          <w:rFonts w:hint="eastAsia"/>
          <w:color w:val="auto"/>
        </w:rPr>
        <w:t>年</w:t>
      </w:r>
      <w:r>
        <w:rPr>
          <w:rFonts w:cs="Times New Roman"/>
          <w:color w:val="auto"/>
        </w:rPr>
        <w:t>7</w:t>
      </w:r>
      <w:r>
        <w:rPr>
          <w:rFonts w:hint="eastAsia"/>
          <w:color w:val="auto"/>
        </w:rPr>
        <w:t>月</w:t>
      </w:r>
      <w:r>
        <w:rPr>
          <w:rFonts w:cs="Times New Roman"/>
          <w:color w:val="auto"/>
        </w:rPr>
        <w:t>10</w:t>
      </w:r>
      <w:r>
        <w:rPr>
          <w:rFonts w:hint="eastAsia"/>
          <w:color w:val="auto"/>
        </w:rPr>
        <w:t>日，进行了自主验收（附件3-18）。</w:t>
      </w:r>
    </w:p>
    <w:p w14:paraId="4E26D057">
      <w:pPr>
        <w:ind w:firstLine="480"/>
        <w:rPr>
          <w:color w:val="auto"/>
        </w:rPr>
      </w:pPr>
      <w:r>
        <w:rPr>
          <w:rFonts w:cs="Times New Roman"/>
          <w:color w:val="auto"/>
        </w:rPr>
        <w:t>2020</w:t>
      </w:r>
      <w:r>
        <w:rPr>
          <w:rFonts w:hint="eastAsia"/>
          <w:color w:val="auto"/>
        </w:rPr>
        <w:t>年5月25日获得广西壮族自治区生态环境厅《广西壮族自治区生态环境厅关于广西金桂浆纸业有限公司年产75万吨化机浆扩建项目环境影响报告书的批复》（桂环审〔</w:t>
      </w:r>
      <w:r>
        <w:rPr>
          <w:rFonts w:cs="Times New Roman"/>
          <w:color w:val="auto"/>
        </w:rPr>
        <w:t>2020</w:t>
      </w:r>
      <w:r>
        <w:rPr>
          <w:rFonts w:hint="eastAsia"/>
          <w:color w:val="auto"/>
        </w:rPr>
        <w:t>〕</w:t>
      </w:r>
      <w:r>
        <w:rPr>
          <w:rFonts w:cs="Times New Roman"/>
          <w:color w:val="auto"/>
        </w:rPr>
        <w:t>152</w:t>
      </w:r>
      <w:r>
        <w:rPr>
          <w:rFonts w:hint="eastAsia"/>
          <w:color w:val="auto"/>
        </w:rPr>
        <w:t>号）（附件3-19），项目分两期进行：一期建设内容是对现有工程的</w:t>
      </w:r>
      <w:r>
        <w:rPr>
          <w:rFonts w:cs="Times New Roman"/>
          <w:color w:val="auto"/>
        </w:rPr>
        <w:t>1#~3#</w:t>
      </w:r>
      <w:r>
        <w:rPr>
          <w:rFonts w:hint="eastAsia"/>
          <w:color w:val="auto"/>
        </w:rPr>
        <w:t>化机浆生产线进行技改（包括改造</w:t>
      </w:r>
      <w:r>
        <w:rPr>
          <w:rFonts w:cs="Times New Roman"/>
          <w:color w:val="auto"/>
        </w:rPr>
        <w:t>1#~2#</w:t>
      </w:r>
      <w:r>
        <w:rPr>
          <w:rFonts w:hint="eastAsia"/>
          <w:color w:val="auto"/>
        </w:rPr>
        <w:t>化机浆生产线，产能分别由原来的</w:t>
      </w:r>
      <w:r>
        <w:rPr>
          <w:rFonts w:cs="Times New Roman"/>
          <w:color w:val="auto"/>
        </w:rPr>
        <w:t>25</w:t>
      </w:r>
      <w:r>
        <w:rPr>
          <w:rFonts w:hint="eastAsia"/>
          <w:color w:val="auto"/>
        </w:rPr>
        <w:t>万</w:t>
      </w:r>
      <w:r>
        <w:rPr>
          <w:rFonts w:cs="Times New Roman"/>
          <w:color w:val="auto"/>
        </w:rPr>
        <w:t>t/a</w:t>
      </w:r>
      <w:r>
        <w:rPr>
          <w:rFonts w:hint="eastAsia"/>
          <w:color w:val="auto"/>
        </w:rPr>
        <w:t>扩建为</w:t>
      </w:r>
      <w:r>
        <w:rPr>
          <w:rFonts w:cs="Times New Roman"/>
          <w:color w:val="auto"/>
        </w:rPr>
        <w:t>30</w:t>
      </w:r>
      <w:r>
        <w:rPr>
          <w:rFonts w:hint="eastAsia"/>
          <w:color w:val="auto"/>
        </w:rPr>
        <w:t>万</w:t>
      </w:r>
      <w:r>
        <w:rPr>
          <w:rFonts w:cs="Times New Roman"/>
          <w:color w:val="auto"/>
        </w:rPr>
        <w:t>t/a</w:t>
      </w:r>
      <w:r>
        <w:rPr>
          <w:rFonts w:hint="eastAsia"/>
          <w:color w:val="auto"/>
        </w:rPr>
        <w:t>，改造</w:t>
      </w:r>
      <w:r>
        <w:rPr>
          <w:rFonts w:cs="Times New Roman"/>
          <w:color w:val="auto"/>
        </w:rPr>
        <w:t>3#</w:t>
      </w:r>
      <w:r>
        <w:rPr>
          <w:rFonts w:hint="eastAsia"/>
          <w:color w:val="auto"/>
        </w:rPr>
        <w:t>化机浆生产线，产能由原来的</w:t>
      </w:r>
      <w:r>
        <w:rPr>
          <w:rFonts w:cs="Times New Roman"/>
          <w:color w:val="auto"/>
        </w:rPr>
        <w:t>25</w:t>
      </w:r>
      <w:r>
        <w:rPr>
          <w:rFonts w:hint="eastAsia"/>
          <w:color w:val="auto"/>
        </w:rPr>
        <w:t>万</w:t>
      </w:r>
      <w:r>
        <w:rPr>
          <w:rFonts w:cs="Times New Roman"/>
          <w:color w:val="auto"/>
        </w:rPr>
        <w:t>t/a</w:t>
      </w:r>
      <w:r>
        <w:rPr>
          <w:rFonts w:hint="eastAsia"/>
          <w:color w:val="auto"/>
        </w:rPr>
        <w:t>扩建为</w:t>
      </w:r>
      <w:r>
        <w:rPr>
          <w:rFonts w:cs="Times New Roman"/>
          <w:color w:val="auto"/>
        </w:rPr>
        <w:t>40</w:t>
      </w:r>
      <w:r>
        <w:rPr>
          <w:rFonts w:hint="eastAsia"/>
          <w:color w:val="auto"/>
        </w:rPr>
        <w:t>万</w:t>
      </w:r>
      <w:r>
        <w:rPr>
          <w:rFonts w:cs="Times New Roman"/>
          <w:color w:val="auto"/>
        </w:rPr>
        <w:t>t/a</w:t>
      </w:r>
      <w:r>
        <w:rPr>
          <w:rFonts w:hint="eastAsia"/>
          <w:color w:val="auto"/>
        </w:rPr>
        <w:t>）及现有</w:t>
      </w:r>
      <w:r>
        <w:rPr>
          <w:rFonts w:cs="Times New Roman"/>
          <w:color w:val="auto"/>
        </w:rPr>
        <w:t>1#</w:t>
      </w:r>
      <w:r>
        <w:rPr>
          <w:rFonts w:hint="eastAsia"/>
          <w:color w:val="auto"/>
        </w:rPr>
        <w:t>污水处理站增加一套深度处理设施；二期建设内容是新增</w:t>
      </w:r>
      <w:r>
        <w:rPr>
          <w:rFonts w:cs="Times New Roman"/>
          <w:color w:val="auto"/>
        </w:rPr>
        <w:t>50</w:t>
      </w:r>
      <w:r>
        <w:rPr>
          <w:rFonts w:hint="eastAsia"/>
          <w:color w:val="auto"/>
        </w:rPr>
        <w:t>万</w:t>
      </w:r>
      <w:r>
        <w:rPr>
          <w:rFonts w:cs="Times New Roman"/>
          <w:color w:val="auto"/>
        </w:rPr>
        <w:t>t/a</w:t>
      </w:r>
      <w:r>
        <w:rPr>
          <w:rFonts w:hint="eastAsia"/>
          <w:color w:val="auto"/>
        </w:rPr>
        <w:t>化机浆生产线（</w:t>
      </w:r>
      <w:r>
        <w:rPr>
          <w:rFonts w:cs="Times New Roman"/>
          <w:color w:val="auto"/>
        </w:rPr>
        <w:t>4#</w:t>
      </w:r>
      <w:r>
        <w:rPr>
          <w:rFonts w:hint="eastAsia"/>
          <w:color w:val="auto"/>
        </w:rPr>
        <w:t>化机浆线）、新增备料系统及碱回收车间等工程。项目完成后，全厂的化机浆产能将达到</w:t>
      </w:r>
      <w:r>
        <w:rPr>
          <w:rFonts w:cs="Times New Roman"/>
          <w:color w:val="auto"/>
        </w:rPr>
        <w:t>150</w:t>
      </w:r>
      <w:r>
        <w:rPr>
          <w:rFonts w:hint="eastAsia"/>
          <w:color w:val="auto"/>
        </w:rPr>
        <w:t>万</w:t>
      </w:r>
      <w:r>
        <w:rPr>
          <w:rFonts w:cs="Times New Roman"/>
          <w:color w:val="auto"/>
        </w:rPr>
        <w:t>t/a</w:t>
      </w:r>
      <w:r>
        <w:rPr>
          <w:rFonts w:hint="eastAsia"/>
          <w:color w:val="auto"/>
        </w:rPr>
        <w:t>。2024年12月18日对一期工程进行了自主验收（附件3-20），二期4#化机浆生产线正在建设中。</w:t>
      </w:r>
    </w:p>
    <w:p w14:paraId="42137193">
      <w:pPr>
        <w:ind w:firstLine="480"/>
        <w:rPr>
          <w:color w:val="auto"/>
        </w:rPr>
      </w:pPr>
      <w:r>
        <w:rPr>
          <w:rFonts w:cs="Times New Roman"/>
          <w:color w:val="auto"/>
        </w:rPr>
        <w:t>2021</w:t>
      </w:r>
      <w:r>
        <w:rPr>
          <w:rFonts w:hint="eastAsia"/>
          <w:color w:val="auto"/>
        </w:rPr>
        <w:t>年</w:t>
      </w:r>
      <w:r>
        <w:rPr>
          <w:rFonts w:cs="Times New Roman"/>
          <w:color w:val="auto"/>
        </w:rPr>
        <w:t>10</w:t>
      </w:r>
      <w:r>
        <w:rPr>
          <w:rFonts w:hint="eastAsia"/>
          <w:color w:val="auto"/>
        </w:rPr>
        <w:t>月</w:t>
      </w:r>
      <w:r>
        <w:rPr>
          <w:rFonts w:cs="Times New Roman"/>
          <w:color w:val="auto"/>
        </w:rPr>
        <w:t>18</w:t>
      </w:r>
      <w:r>
        <w:rPr>
          <w:rFonts w:hint="eastAsia"/>
          <w:color w:val="auto"/>
        </w:rPr>
        <w:t>日获得钦州市生态环境局《钦州市生态环境局关于广西金桂浆纸业有限公司年产40万吨高档纸板扩建项目备用锅炉排烟方式变更项目环境影响报告书的批复》（自贸钦港审批环〔</w:t>
      </w:r>
      <w:r>
        <w:rPr>
          <w:rFonts w:cs="Times New Roman"/>
          <w:color w:val="auto"/>
        </w:rPr>
        <w:t>2021</w:t>
      </w:r>
      <w:r>
        <w:rPr>
          <w:rFonts w:hint="eastAsia"/>
          <w:color w:val="auto"/>
        </w:rPr>
        <w:t>〕</w:t>
      </w:r>
      <w:r>
        <w:rPr>
          <w:rFonts w:cs="Times New Roman"/>
          <w:color w:val="auto"/>
        </w:rPr>
        <w:t>6</w:t>
      </w:r>
      <w:r>
        <w:rPr>
          <w:rFonts w:hint="eastAsia"/>
          <w:color w:val="auto"/>
        </w:rPr>
        <w:t>号）（附件3-21），为使现有锅炉在停机检修时不影响纸机的正常生产，补建年产</w:t>
      </w:r>
      <w:r>
        <w:rPr>
          <w:rFonts w:cs="Times New Roman"/>
          <w:color w:val="auto"/>
        </w:rPr>
        <w:t>40</w:t>
      </w:r>
      <w:r>
        <w:rPr>
          <w:rFonts w:hint="eastAsia"/>
          <w:color w:val="auto"/>
        </w:rPr>
        <w:t>万吨高档纸板扩建项目的备用锅炉（</w:t>
      </w:r>
      <w:r>
        <w:rPr>
          <w:rFonts w:cs="Times New Roman"/>
          <w:color w:val="auto"/>
        </w:rPr>
        <w:t>4#</w:t>
      </w:r>
      <w:r>
        <w:rPr>
          <w:rFonts w:hint="eastAsia"/>
          <w:color w:val="auto"/>
        </w:rPr>
        <w:t>锅炉），形成锅炉三用一备的格局。但该锅炉的拟建位置、环境保护措施等已发生变动，因此企业开展年产</w:t>
      </w:r>
      <w:r>
        <w:rPr>
          <w:rFonts w:cs="Times New Roman"/>
          <w:color w:val="auto"/>
        </w:rPr>
        <w:t>40</w:t>
      </w:r>
      <w:r>
        <w:rPr>
          <w:rFonts w:hint="eastAsia"/>
          <w:color w:val="auto"/>
        </w:rPr>
        <w:t>万吨高档纸板扩建项目备用锅炉排烟方式变更项目环评，主要建设</w:t>
      </w:r>
      <w:r>
        <w:rPr>
          <w:rFonts w:cs="Times New Roman"/>
          <w:color w:val="auto"/>
        </w:rPr>
        <w:t>1</w:t>
      </w:r>
      <w:r>
        <w:rPr>
          <w:rFonts w:hint="eastAsia"/>
          <w:color w:val="auto"/>
        </w:rPr>
        <w:t>台</w:t>
      </w:r>
      <w:r>
        <w:rPr>
          <w:rFonts w:cs="Times New Roman"/>
          <w:color w:val="auto"/>
        </w:rPr>
        <w:t>670t/h</w:t>
      </w:r>
      <w:r>
        <w:rPr>
          <w:rFonts w:hint="eastAsia"/>
          <w:color w:val="auto"/>
        </w:rPr>
        <w:t>循环流化床锅炉（</w:t>
      </w:r>
      <w:r>
        <w:rPr>
          <w:rFonts w:cs="Times New Roman"/>
          <w:color w:val="auto"/>
        </w:rPr>
        <w:t>4#</w:t>
      </w:r>
      <w:r>
        <w:rPr>
          <w:rFonts w:hint="eastAsia"/>
          <w:color w:val="auto"/>
        </w:rPr>
        <w:t>锅炉），配套建设相应的烟气处理设施并同步进行超低排放改造，其他均依托现有项目。该锅炉建成后仍作为备用锅炉，热电联产规模不发生变化。目前该项目正在建设中。</w:t>
      </w:r>
    </w:p>
    <w:p w14:paraId="7EF8E852">
      <w:pPr>
        <w:ind w:firstLine="480"/>
        <w:rPr>
          <w:color w:val="auto"/>
        </w:rPr>
      </w:pPr>
      <w:r>
        <w:rPr>
          <w:rFonts w:cs="Times New Roman"/>
          <w:color w:val="auto"/>
        </w:rPr>
        <w:t>2022</w:t>
      </w:r>
      <w:r>
        <w:rPr>
          <w:rFonts w:hint="eastAsia"/>
          <w:color w:val="auto"/>
        </w:rPr>
        <w:t>年</w:t>
      </w:r>
      <w:r>
        <w:rPr>
          <w:rFonts w:cs="Times New Roman"/>
          <w:color w:val="auto"/>
        </w:rPr>
        <w:t>12</w:t>
      </w:r>
      <w:r>
        <w:rPr>
          <w:rFonts w:hint="eastAsia"/>
          <w:color w:val="auto"/>
        </w:rPr>
        <w:t>月</w:t>
      </w:r>
      <w:r>
        <w:rPr>
          <w:rFonts w:cs="Times New Roman"/>
          <w:color w:val="auto"/>
        </w:rPr>
        <w:t>30</w:t>
      </w:r>
      <w:r>
        <w:rPr>
          <w:rFonts w:hint="eastAsia"/>
          <w:color w:val="auto"/>
        </w:rPr>
        <w:t>日获得钦州市生态环境局《钦州市生态环境局关于广西金桂浆纸业有限公司年产25万吨丁苯胶乳项目环境影响报告书的批复》（自贸钦审批环〔</w:t>
      </w:r>
      <w:r>
        <w:rPr>
          <w:rFonts w:cs="Times New Roman"/>
          <w:color w:val="auto"/>
        </w:rPr>
        <w:t>2022</w:t>
      </w:r>
      <w:r>
        <w:rPr>
          <w:rFonts w:hint="eastAsia"/>
          <w:color w:val="auto"/>
        </w:rPr>
        <w:t>〕</w:t>
      </w:r>
      <w:r>
        <w:rPr>
          <w:rFonts w:cs="Times New Roman"/>
          <w:color w:val="auto"/>
        </w:rPr>
        <w:t>55</w:t>
      </w:r>
      <w:r>
        <w:rPr>
          <w:rFonts w:hint="eastAsia"/>
          <w:color w:val="auto"/>
        </w:rPr>
        <w:t>号）（附件3-22），新建年产</w:t>
      </w:r>
      <w:r>
        <w:rPr>
          <w:rFonts w:cs="Times New Roman"/>
          <w:color w:val="auto"/>
        </w:rPr>
        <w:t>25</w:t>
      </w:r>
      <w:r>
        <w:rPr>
          <w:rFonts w:hint="eastAsia"/>
          <w:color w:val="auto"/>
        </w:rPr>
        <w:t>万吨丁苯胶乳项目，主要建设聚合反应车间、产品后处理车间、</w:t>
      </w:r>
      <w:r>
        <w:rPr>
          <w:rFonts w:cs="Times New Roman"/>
          <w:color w:val="auto"/>
        </w:rPr>
        <w:t>RTO</w:t>
      </w:r>
      <w:r>
        <w:rPr>
          <w:rFonts w:hint="eastAsia"/>
          <w:color w:val="auto"/>
        </w:rPr>
        <w:t>装置、封闭式火柜等。目前该项目正在建设中。</w:t>
      </w:r>
    </w:p>
    <w:p w14:paraId="2DF57C6A">
      <w:pPr>
        <w:ind w:firstLine="480"/>
        <w:rPr>
          <w:color w:val="auto"/>
        </w:rPr>
      </w:pPr>
      <w:r>
        <w:rPr>
          <w:rFonts w:hint="eastAsia"/>
          <w:color w:val="auto"/>
        </w:rPr>
        <w:t>2024年11月6日获得中国（广西）自由贸易试验区钦州港片区行政审批局《</w:t>
      </w:r>
      <w:r>
        <w:rPr>
          <w:color w:val="auto"/>
        </w:rPr>
        <w:t>中国</w:t>
      </w:r>
      <w:r>
        <w:rPr>
          <w:rFonts w:hint="eastAsia"/>
          <w:color w:val="auto"/>
        </w:rPr>
        <w:t>（</w:t>
      </w:r>
      <w:r>
        <w:rPr>
          <w:color w:val="auto"/>
        </w:rPr>
        <w:t>广西</w:t>
      </w:r>
      <w:r>
        <w:rPr>
          <w:rFonts w:hint="eastAsia"/>
          <w:color w:val="auto"/>
        </w:rPr>
        <w:t>）</w:t>
      </w:r>
      <w:r>
        <w:rPr>
          <w:color w:val="auto"/>
        </w:rPr>
        <w:t>自由贸易试验区钦州港片区行政审批局关于广西金桂浆纸业有限公司三期工程年产300万吨林浆纸一体化项目环境影响报告书的批复</w:t>
      </w:r>
      <w:r>
        <w:rPr>
          <w:rFonts w:hint="eastAsia"/>
          <w:color w:val="auto"/>
        </w:rPr>
        <w:t>》（</w:t>
      </w:r>
      <w:r>
        <w:rPr>
          <w:color w:val="auto"/>
        </w:rPr>
        <w:t>自贸钦审批环〔2024〕50号</w:t>
      </w:r>
      <w:r>
        <w:rPr>
          <w:rFonts w:hint="eastAsia"/>
          <w:color w:val="auto"/>
        </w:rPr>
        <w:t>）（附件3-23），</w:t>
      </w:r>
      <w:r>
        <w:rPr>
          <w:color w:val="auto"/>
        </w:rPr>
        <w:t>新建1条160万吨/年化学浆（漂白阔叶木浆）生产线、1条40万吨/年化机浆（漂白化机浆）生产线、1条100万吨/年白纸板（涂布白卡纸）生产线等。202</w:t>
      </w:r>
      <w:r>
        <w:rPr>
          <w:rFonts w:hint="eastAsia"/>
          <w:color w:val="auto"/>
        </w:rPr>
        <w:t>4年12月3日获得中国（广西）自由贸易试验区钦州港片区行政审批局《关于广西金桂浆纸业有限公司三期工程年产300万吨林浆纸一体化项目变更建设单位及相关批文有效期的意见》（附件3-24），</w:t>
      </w:r>
      <w:r>
        <w:rPr>
          <w:color w:val="auto"/>
        </w:rPr>
        <w:t>广西金桂浆纸业有限公司三期工程年产300万吨林浆纸一体化项目建设单位由</w:t>
      </w:r>
      <w:r>
        <w:rPr>
          <w:rFonts w:hint="eastAsia"/>
          <w:color w:val="auto"/>
        </w:rPr>
        <w:t>“</w:t>
      </w:r>
      <w:r>
        <w:rPr>
          <w:color w:val="auto"/>
        </w:rPr>
        <w:t>广西金桂浆纸业有限公司</w:t>
      </w:r>
      <w:r>
        <w:rPr>
          <w:rFonts w:hint="eastAsia"/>
          <w:color w:val="auto"/>
        </w:rPr>
        <w:t>”</w:t>
      </w:r>
      <w:r>
        <w:rPr>
          <w:color w:val="auto"/>
        </w:rPr>
        <w:t>变更为</w:t>
      </w:r>
      <w:r>
        <w:rPr>
          <w:rFonts w:hint="eastAsia"/>
          <w:color w:val="auto"/>
        </w:rPr>
        <w:t>“</w:t>
      </w:r>
      <w:r>
        <w:rPr>
          <w:color w:val="auto"/>
        </w:rPr>
        <w:t>广西金洲浆纸业有限公司</w:t>
      </w:r>
      <w:r>
        <w:rPr>
          <w:rFonts w:hint="eastAsia"/>
          <w:color w:val="auto"/>
        </w:rPr>
        <w:t>”</w:t>
      </w:r>
      <w:r>
        <w:rPr>
          <w:color w:val="auto"/>
        </w:rPr>
        <w:t>，项目名称由</w:t>
      </w:r>
      <w:r>
        <w:rPr>
          <w:rFonts w:hint="eastAsia"/>
          <w:color w:val="auto"/>
        </w:rPr>
        <w:t>“</w:t>
      </w:r>
      <w:r>
        <w:rPr>
          <w:color w:val="auto"/>
        </w:rPr>
        <w:t>广西金桂浆纸业有限公司三期工程年产300万吨林浆纸一体化项目</w:t>
      </w:r>
      <w:r>
        <w:rPr>
          <w:rFonts w:hint="eastAsia"/>
          <w:color w:val="auto"/>
        </w:rPr>
        <w:t>”</w:t>
      </w:r>
      <w:r>
        <w:rPr>
          <w:color w:val="auto"/>
        </w:rPr>
        <w:t>变更为</w:t>
      </w:r>
      <w:r>
        <w:rPr>
          <w:rFonts w:hint="eastAsia"/>
          <w:color w:val="auto"/>
        </w:rPr>
        <w:t>“</w:t>
      </w:r>
      <w:r>
        <w:rPr>
          <w:color w:val="auto"/>
        </w:rPr>
        <w:t>广西金洲浆纸业有限公司年产300万吨林浆纸一体化项目</w:t>
      </w:r>
      <w:r>
        <w:rPr>
          <w:rFonts w:hint="eastAsia"/>
          <w:color w:val="auto"/>
        </w:rPr>
        <w:t>”</w:t>
      </w:r>
      <w:r>
        <w:rPr>
          <w:color w:val="auto"/>
        </w:rPr>
        <w:t>。</w:t>
      </w:r>
    </w:p>
    <w:p w14:paraId="3DB2B444">
      <w:pPr>
        <w:ind w:firstLine="480"/>
        <w:rPr>
          <w:color w:val="auto"/>
        </w:rPr>
      </w:pPr>
      <w:r>
        <w:rPr>
          <w:rFonts w:hint="eastAsia"/>
          <w:color w:val="auto"/>
        </w:rPr>
        <w:t>2026年1月4日获得《</w:t>
      </w:r>
      <w:r>
        <w:rPr>
          <w:color w:val="auto"/>
        </w:rPr>
        <w:t>中国一马来西亚钦州产业园区行政审批局关于广西金桂浆纸业有限公司污水处理站绿色升级改造项目环境影响报告表的批复</w:t>
      </w:r>
      <w:r>
        <w:rPr>
          <w:rFonts w:hint="eastAsia"/>
          <w:color w:val="auto"/>
        </w:rPr>
        <w:t>》（中马园审批环〔</w:t>
      </w:r>
      <w:r>
        <w:rPr>
          <w:rFonts w:cs="Times New Roman"/>
          <w:color w:val="auto"/>
        </w:rPr>
        <w:t>202</w:t>
      </w:r>
      <w:r>
        <w:rPr>
          <w:rFonts w:hint="eastAsia" w:cs="Times New Roman"/>
          <w:color w:val="auto"/>
        </w:rPr>
        <w:t>6</w:t>
      </w:r>
      <w:r>
        <w:rPr>
          <w:rFonts w:hint="eastAsia"/>
          <w:color w:val="auto"/>
        </w:rPr>
        <w:t>〕</w:t>
      </w:r>
      <w:r>
        <w:rPr>
          <w:rFonts w:hint="eastAsia" w:cs="Times New Roman"/>
          <w:color w:val="auto"/>
        </w:rPr>
        <w:t>1</w:t>
      </w:r>
      <w:r>
        <w:rPr>
          <w:rFonts w:hint="eastAsia"/>
          <w:color w:val="auto"/>
        </w:rPr>
        <w:t>号）（附件3-25），</w:t>
      </w:r>
      <w:r>
        <w:rPr>
          <w:color w:val="auto"/>
        </w:rPr>
        <w:t>新建一套污水处理系统及对1#污水处理站部分老旧设备进行改造升级</w:t>
      </w:r>
      <w:r>
        <w:rPr>
          <w:rFonts w:hint="eastAsia"/>
          <w:color w:val="auto"/>
        </w:rPr>
        <w:t>，</w:t>
      </w:r>
      <w:r>
        <w:rPr>
          <w:color w:val="auto"/>
        </w:rPr>
        <w:t>1#污水处理站</w:t>
      </w:r>
      <w:r>
        <w:rPr>
          <w:rFonts w:hint="eastAsia"/>
          <w:color w:val="auto"/>
        </w:rPr>
        <w:t>60000</w:t>
      </w:r>
      <w:r>
        <w:rPr>
          <w:color w:val="auto"/>
        </w:rPr>
        <w:t>m</w:t>
      </w:r>
      <w:r>
        <w:rPr>
          <w:color w:val="auto"/>
          <w:vertAlign w:val="superscript"/>
        </w:rPr>
        <w:t>3</w:t>
      </w:r>
      <w:r>
        <w:rPr>
          <w:color w:val="auto"/>
        </w:rPr>
        <w:t>/d</w:t>
      </w:r>
      <w:r>
        <w:rPr>
          <w:rFonts w:hint="eastAsia"/>
          <w:color w:val="auto"/>
        </w:rPr>
        <w:t>处理和排放</w:t>
      </w:r>
      <w:r>
        <w:rPr>
          <w:color w:val="auto"/>
        </w:rPr>
        <w:t>规模不变，</w:t>
      </w:r>
      <w:r>
        <w:rPr>
          <w:rFonts w:hint="eastAsia"/>
          <w:color w:val="auto"/>
        </w:rPr>
        <w:t>其中21000</w:t>
      </w:r>
      <w:r>
        <w:rPr>
          <w:color w:val="auto"/>
        </w:rPr>
        <w:t>m</w:t>
      </w:r>
      <w:r>
        <w:rPr>
          <w:color w:val="auto"/>
          <w:vertAlign w:val="superscript"/>
        </w:rPr>
        <w:t>3</w:t>
      </w:r>
      <w:r>
        <w:rPr>
          <w:color w:val="auto"/>
        </w:rPr>
        <w:t>/d</w:t>
      </w:r>
      <w:r>
        <w:rPr>
          <w:rFonts w:hint="eastAsia"/>
          <w:color w:val="auto"/>
        </w:rPr>
        <w:t>经过本次新增污水处理设施，39000</w:t>
      </w:r>
      <w:r>
        <w:rPr>
          <w:color w:val="auto"/>
        </w:rPr>
        <w:t>m</w:t>
      </w:r>
      <w:r>
        <w:rPr>
          <w:color w:val="auto"/>
          <w:vertAlign w:val="superscript"/>
        </w:rPr>
        <w:t>3</w:t>
      </w:r>
      <w:r>
        <w:rPr>
          <w:color w:val="auto"/>
        </w:rPr>
        <w:t>/d</w:t>
      </w:r>
      <w:r>
        <w:rPr>
          <w:rFonts w:hint="eastAsia"/>
          <w:color w:val="auto"/>
        </w:rPr>
        <w:t>仍经过原污水处理设施。项目正在建设中。</w:t>
      </w:r>
    </w:p>
    <w:p w14:paraId="7E2D5828">
      <w:pPr>
        <w:ind w:firstLine="480"/>
        <w:rPr>
          <w:color w:val="auto"/>
        </w:rPr>
      </w:pPr>
      <w:r>
        <w:rPr>
          <w:rFonts w:hint="eastAsia"/>
          <w:color w:val="auto"/>
        </w:rPr>
        <w:t>广西金桂浆纸业有限公司现有及已批在建项目环评审批及竣工验收情况见表</w:t>
      </w:r>
      <w:r>
        <w:rPr>
          <w:rFonts w:hint="eastAsia" w:cs="Times New Roman"/>
          <w:color w:val="auto"/>
        </w:rPr>
        <w:t>2</w:t>
      </w:r>
      <w:r>
        <w:rPr>
          <w:rFonts w:cs="Times New Roman"/>
          <w:color w:val="auto"/>
        </w:rPr>
        <w:t>.1</w:t>
      </w:r>
      <w:r>
        <w:rPr>
          <w:rFonts w:hint="eastAsia" w:cs="Times New Roman"/>
          <w:color w:val="auto"/>
        </w:rPr>
        <w:t>-</w:t>
      </w:r>
      <w:r>
        <w:rPr>
          <w:rFonts w:cs="Times New Roman"/>
          <w:color w:val="auto"/>
        </w:rPr>
        <w:t>1</w:t>
      </w:r>
      <w:r>
        <w:rPr>
          <w:rFonts w:hint="eastAsia"/>
          <w:color w:val="auto"/>
        </w:rPr>
        <w:t>。综上，广西金桂浆纸业有限公司现有工程具有</w:t>
      </w:r>
      <w:r>
        <w:rPr>
          <w:rFonts w:hint="eastAsia" w:cs="Times New Roman"/>
          <w:color w:val="auto"/>
        </w:rPr>
        <w:t>100</w:t>
      </w:r>
      <w:r>
        <w:rPr>
          <w:rFonts w:hint="eastAsia"/>
          <w:color w:val="auto"/>
        </w:rPr>
        <w:t>万</w:t>
      </w:r>
      <w:r>
        <w:rPr>
          <w:rFonts w:cs="Times New Roman"/>
          <w:color w:val="auto"/>
        </w:rPr>
        <w:t>t/a</w:t>
      </w:r>
      <w:r>
        <w:rPr>
          <w:rFonts w:hint="eastAsia"/>
          <w:color w:val="auto"/>
        </w:rPr>
        <w:t>化机浆产能，</w:t>
      </w:r>
      <w:r>
        <w:rPr>
          <w:rFonts w:cs="Times New Roman"/>
          <w:color w:val="auto"/>
        </w:rPr>
        <w:t>100</w:t>
      </w:r>
      <w:r>
        <w:rPr>
          <w:rFonts w:hint="eastAsia"/>
          <w:color w:val="auto"/>
        </w:rPr>
        <w:t>万</w:t>
      </w:r>
      <w:r>
        <w:rPr>
          <w:rFonts w:cs="Times New Roman"/>
          <w:color w:val="auto"/>
        </w:rPr>
        <w:t>t/a</w:t>
      </w:r>
      <w:r>
        <w:rPr>
          <w:rFonts w:hint="eastAsia"/>
          <w:color w:val="auto"/>
        </w:rPr>
        <w:t>白卡纸产能，</w:t>
      </w:r>
      <w:r>
        <w:rPr>
          <w:rFonts w:cs="Times New Roman"/>
          <w:color w:val="auto"/>
        </w:rPr>
        <w:t>90</w:t>
      </w:r>
      <w:r>
        <w:rPr>
          <w:rFonts w:hint="eastAsia"/>
          <w:color w:val="auto"/>
        </w:rPr>
        <w:t>万</w:t>
      </w:r>
      <w:r>
        <w:rPr>
          <w:rFonts w:cs="Times New Roman"/>
          <w:color w:val="auto"/>
        </w:rPr>
        <w:t>t/a</w:t>
      </w:r>
      <w:r>
        <w:rPr>
          <w:rFonts w:hint="eastAsia"/>
          <w:color w:val="auto"/>
        </w:rPr>
        <w:t>高档社会卡纸产能，</w:t>
      </w:r>
      <w:r>
        <w:rPr>
          <w:rFonts w:cs="Times New Roman"/>
          <w:color w:val="auto"/>
        </w:rPr>
        <w:t>30</w:t>
      </w:r>
      <w:r>
        <w:rPr>
          <w:rFonts w:hint="eastAsia"/>
          <w:color w:val="auto"/>
        </w:rPr>
        <w:t>万</w:t>
      </w:r>
      <w:r>
        <w:rPr>
          <w:rFonts w:cs="Times New Roman"/>
          <w:color w:val="auto"/>
        </w:rPr>
        <w:t>t/a</w:t>
      </w:r>
      <w:r>
        <w:rPr>
          <w:rFonts w:hint="eastAsia"/>
          <w:color w:val="auto"/>
        </w:rPr>
        <w:t>过氧化氢（浓度</w:t>
      </w:r>
      <w:r>
        <w:rPr>
          <w:rFonts w:cs="Times New Roman"/>
          <w:color w:val="auto"/>
        </w:rPr>
        <w:t>27.5%</w:t>
      </w:r>
      <w:r>
        <w:rPr>
          <w:rFonts w:hint="eastAsia"/>
          <w:color w:val="auto"/>
        </w:rPr>
        <w:t>）产能。已批在建项目包括</w:t>
      </w:r>
      <w:r>
        <w:rPr>
          <w:rFonts w:cs="Times New Roman"/>
          <w:color w:val="auto"/>
        </w:rPr>
        <w:t>90</w:t>
      </w:r>
      <w:r>
        <w:rPr>
          <w:rFonts w:hint="eastAsia"/>
          <w:color w:val="auto"/>
        </w:rPr>
        <w:t>万</w:t>
      </w:r>
      <w:r>
        <w:rPr>
          <w:rFonts w:cs="Times New Roman"/>
          <w:color w:val="auto"/>
        </w:rPr>
        <w:t>t/a</w:t>
      </w:r>
      <w:r>
        <w:rPr>
          <w:rFonts w:hint="eastAsia"/>
          <w:color w:val="auto"/>
        </w:rPr>
        <w:t>食品卡纸生产线、1台670t/h循环流化床锅炉（4#备用锅炉）、</w:t>
      </w:r>
      <w:r>
        <w:rPr>
          <w:rFonts w:cs="Times New Roman"/>
          <w:color w:val="auto"/>
        </w:rPr>
        <w:t>25</w:t>
      </w:r>
      <w:r>
        <w:rPr>
          <w:rFonts w:hint="eastAsia"/>
          <w:color w:val="auto"/>
        </w:rPr>
        <w:t>万</w:t>
      </w:r>
      <w:r>
        <w:rPr>
          <w:rFonts w:cs="Times New Roman"/>
          <w:color w:val="auto"/>
        </w:rPr>
        <w:t>t/a</w:t>
      </w:r>
      <w:r>
        <w:rPr>
          <w:rFonts w:hint="eastAsia"/>
          <w:color w:val="auto"/>
        </w:rPr>
        <w:t>丁苯胶乳项目、</w:t>
      </w:r>
      <w:r>
        <w:rPr>
          <w:color w:val="auto"/>
        </w:rPr>
        <w:t>年产75万吨化机浆扩建项目</w:t>
      </w:r>
      <w:r>
        <w:rPr>
          <w:rFonts w:hint="eastAsia"/>
          <w:color w:val="auto"/>
        </w:rPr>
        <w:t>二期项目（4#化机浆，50万t/a）和</w:t>
      </w:r>
      <w:r>
        <w:rPr>
          <w:color w:val="auto"/>
        </w:rPr>
        <w:t>污水处理站绿色升级改造项目</w:t>
      </w:r>
      <w:r>
        <w:rPr>
          <w:rFonts w:hint="eastAsia"/>
          <w:color w:val="auto"/>
        </w:rPr>
        <w:t>。</w:t>
      </w:r>
    </w:p>
    <w:p w14:paraId="2C9BE414">
      <w:pPr>
        <w:ind w:firstLine="480"/>
        <w:rPr>
          <w:color w:val="auto"/>
        </w:rPr>
      </w:pPr>
      <w:r>
        <w:rPr>
          <w:rFonts w:hint="eastAsia"/>
          <w:color w:val="auto"/>
        </w:rPr>
        <w:t>现有工程及已批在建工程项目环评及竣工验收情况汇总详见下表。</w:t>
      </w:r>
    </w:p>
    <w:p w14:paraId="0ACDB50F">
      <w:pPr>
        <w:ind w:firstLine="480"/>
        <w:rPr>
          <w:color w:val="auto"/>
        </w:rPr>
      </w:pPr>
    </w:p>
    <w:p w14:paraId="66080DD4">
      <w:pPr>
        <w:ind w:firstLine="480"/>
        <w:rPr>
          <w:color w:val="auto"/>
        </w:rPr>
        <w:sectPr>
          <w:headerReference r:id="rId20" w:type="default"/>
          <w:footerReference r:id="rId21" w:type="default"/>
          <w:pgSz w:w="11906" w:h="16838"/>
          <w:pgMar w:top="1418" w:right="1418" w:bottom="1418" w:left="1418" w:header="851" w:footer="992" w:gutter="0"/>
          <w:pgNumType w:fmt="numberInDash"/>
          <w:cols w:space="425" w:num="1"/>
          <w:docGrid w:type="lines" w:linePitch="312" w:charSpace="0"/>
        </w:sectPr>
      </w:pPr>
    </w:p>
    <w:p w14:paraId="0D243778">
      <w:pPr>
        <w:pStyle w:val="7"/>
        <w:rPr>
          <w:color w:val="auto"/>
        </w:rPr>
      </w:pPr>
      <w:r>
        <w:rPr>
          <w:rFonts w:hint="eastAsia"/>
          <w:color w:val="auto"/>
        </w:rPr>
        <w:t>现有工程及已批在建工程项目环评及竣工验收情况表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
        <w:gridCol w:w="1973"/>
        <w:gridCol w:w="1041"/>
        <w:gridCol w:w="1510"/>
        <w:gridCol w:w="1376"/>
        <w:gridCol w:w="3313"/>
        <w:gridCol w:w="1151"/>
        <w:gridCol w:w="865"/>
        <w:gridCol w:w="865"/>
        <w:gridCol w:w="1692"/>
      </w:tblGrid>
      <w:tr w14:paraId="1AD7F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2" w:type="pct"/>
            <w:vMerge w:val="restart"/>
            <w:vAlign w:val="center"/>
          </w:tcPr>
          <w:p w14:paraId="4170C079">
            <w:pPr>
              <w:pStyle w:val="33"/>
              <w:rPr>
                <w:color w:val="auto"/>
              </w:rPr>
            </w:pPr>
            <w:r>
              <w:rPr>
                <w:color w:val="auto"/>
              </w:rPr>
              <w:t>序号</w:t>
            </w:r>
          </w:p>
        </w:tc>
        <w:tc>
          <w:tcPr>
            <w:tcW w:w="694" w:type="pct"/>
            <w:vMerge w:val="restart"/>
            <w:vAlign w:val="center"/>
          </w:tcPr>
          <w:p w14:paraId="1D94BF8B">
            <w:pPr>
              <w:pStyle w:val="33"/>
              <w:rPr>
                <w:color w:val="auto"/>
              </w:rPr>
            </w:pPr>
            <w:r>
              <w:rPr>
                <w:color w:val="auto"/>
              </w:rPr>
              <w:t>项目名称</w:t>
            </w:r>
          </w:p>
        </w:tc>
        <w:tc>
          <w:tcPr>
            <w:tcW w:w="2546" w:type="pct"/>
            <w:gridSpan w:val="4"/>
            <w:vAlign w:val="center"/>
          </w:tcPr>
          <w:p w14:paraId="6E850C50">
            <w:pPr>
              <w:pStyle w:val="33"/>
              <w:rPr>
                <w:color w:val="auto"/>
              </w:rPr>
            </w:pPr>
            <w:r>
              <w:rPr>
                <w:color w:val="auto"/>
              </w:rPr>
              <w:t>环评审批情况</w:t>
            </w:r>
          </w:p>
        </w:tc>
        <w:tc>
          <w:tcPr>
            <w:tcW w:w="1608" w:type="pct"/>
            <w:gridSpan w:val="4"/>
            <w:vAlign w:val="center"/>
          </w:tcPr>
          <w:p w14:paraId="01364A95">
            <w:pPr>
              <w:pStyle w:val="33"/>
              <w:rPr>
                <w:color w:val="auto"/>
              </w:rPr>
            </w:pPr>
            <w:r>
              <w:rPr>
                <w:color w:val="auto"/>
              </w:rPr>
              <w:t>竣工验收情况</w:t>
            </w:r>
          </w:p>
        </w:tc>
      </w:tr>
      <w:tr w14:paraId="33AAB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2" w:type="pct"/>
            <w:vMerge w:val="continue"/>
            <w:vAlign w:val="center"/>
          </w:tcPr>
          <w:p w14:paraId="693DA490">
            <w:pPr>
              <w:pStyle w:val="33"/>
              <w:rPr>
                <w:color w:val="auto"/>
              </w:rPr>
            </w:pPr>
          </w:p>
        </w:tc>
        <w:tc>
          <w:tcPr>
            <w:tcW w:w="694" w:type="pct"/>
            <w:vMerge w:val="continue"/>
            <w:vAlign w:val="center"/>
          </w:tcPr>
          <w:p w14:paraId="7CDF2793">
            <w:pPr>
              <w:pStyle w:val="33"/>
              <w:rPr>
                <w:color w:val="auto"/>
              </w:rPr>
            </w:pPr>
          </w:p>
        </w:tc>
        <w:tc>
          <w:tcPr>
            <w:tcW w:w="366" w:type="pct"/>
            <w:vAlign w:val="center"/>
          </w:tcPr>
          <w:p w14:paraId="17FE3348">
            <w:pPr>
              <w:pStyle w:val="33"/>
              <w:rPr>
                <w:color w:val="auto"/>
              </w:rPr>
            </w:pPr>
            <w:r>
              <w:rPr>
                <w:rFonts w:hint="eastAsia"/>
                <w:color w:val="auto"/>
              </w:rPr>
              <w:t>时间</w:t>
            </w:r>
          </w:p>
        </w:tc>
        <w:tc>
          <w:tcPr>
            <w:tcW w:w="531" w:type="pct"/>
            <w:vAlign w:val="center"/>
          </w:tcPr>
          <w:p w14:paraId="0E0214D2">
            <w:pPr>
              <w:pStyle w:val="33"/>
              <w:rPr>
                <w:color w:val="auto"/>
              </w:rPr>
            </w:pPr>
            <w:r>
              <w:rPr>
                <w:rFonts w:hint="eastAsia"/>
                <w:color w:val="auto"/>
              </w:rPr>
              <w:t>部门</w:t>
            </w:r>
          </w:p>
        </w:tc>
        <w:tc>
          <w:tcPr>
            <w:tcW w:w="484" w:type="pct"/>
            <w:vAlign w:val="center"/>
          </w:tcPr>
          <w:p w14:paraId="00E57098">
            <w:pPr>
              <w:pStyle w:val="33"/>
              <w:rPr>
                <w:color w:val="auto"/>
              </w:rPr>
            </w:pPr>
            <w:r>
              <w:rPr>
                <w:rFonts w:hint="eastAsia"/>
                <w:color w:val="auto"/>
              </w:rPr>
              <w:t>批文号</w:t>
            </w:r>
          </w:p>
        </w:tc>
        <w:tc>
          <w:tcPr>
            <w:tcW w:w="1165" w:type="pct"/>
            <w:vAlign w:val="center"/>
          </w:tcPr>
          <w:p w14:paraId="7D1D2273">
            <w:pPr>
              <w:pStyle w:val="33"/>
              <w:rPr>
                <w:color w:val="auto"/>
              </w:rPr>
            </w:pPr>
            <w:r>
              <w:rPr>
                <w:rFonts w:hint="eastAsia"/>
                <w:color w:val="auto"/>
              </w:rPr>
              <w:t>主要建设内容</w:t>
            </w:r>
          </w:p>
        </w:tc>
        <w:tc>
          <w:tcPr>
            <w:tcW w:w="405" w:type="pct"/>
            <w:vAlign w:val="center"/>
          </w:tcPr>
          <w:p w14:paraId="61BF8E90">
            <w:pPr>
              <w:pStyle w:val="33"/>
              <w:rPr>
                <w:color w:val="auto"/>
              </w:rPr>
            </w:pPr>
            <w:r>
              <w:rPr>
                <w:rFonts w:hint="eastAsia"/>
                <w:color w:val="auto"/>
              </w:rPr>
              <w:t>时间</w:t>
            </w:r>
          </w:p>
        </w:tc>
        <w:tc>
          <w:tcPr>
            <w:tcW w:w="304" w:type="pct"/>
            <w:vAlign w:val="center"/>
          </w:tcPr>
          <w:p w14:paraId="0CCD0833">
            <w:pPr>
              <w:pStyle w:val="33"/>
              <w:rPr>
                <w:color w:val="auto"/>
              </w:rPr>
            </w:pPr>
            <w:r>
              <w:rPr>
                <w:rFonts w:hint="eastAsia"/>
                <w:color w:val="auto"/>
              </w:rPr>
              <w:t>部门</w:t>
            </w:r>
          </w:p>
        </w:tc>
        <w:tc>
          <w:tcPr>
            <w:tcW w:w="304" w:type="pct"/>
            <w:vAlign w:val="center"/>
          </w:tcPr>
          <w:p w14:paraId="30C056DC">
            <w:pPr>
              <w:pStyle w:val="33"/>
              <w:rPr>
                <w:color w:val="auto"/>
              </w:rPr>
            </w:pPr>
            <w:r>
              <w:rPr>
                <w:rFonts w:hint="eastAsia"/>
                <w:color w:val="auto"/>
              </w:rPr>
              <w:t>批文号</w:t>
            </w:r>
          </w:p>
        </w:tc>
        <w:tc>
          <w:tcPr>
            <w:tcW w:w="595" w:type="pct"/>
            <w:vAlign w:val="center"/>
          </w:tcPr>
          <w:p w14:paraId="5DD0F097">
            <w:pPr>
              <w:pStyle w:val="33"/>
              <w:rPr>
                <w:color w:val="auto"/>
              </w:rPr>
            </w:pPr>
            <w:r>
              <w:rPr>
                <w:rFonts w:hint="eastAsia"/>
                <w:color w:val="auto"/>
              </w:rPr>
              <w:t>主要验收内容</w:t>
            </w:r>
          </w:p>
        </w:tc>
      </w:tr>
      <w:tr w14:paraId="4A71D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36ADD177">
            <w:pPr>
              <w:pStyle w:val="33"/>
              <w:rPr>
                <w:color w:val="auto"/>
              </w:rPr>
            </w:pPr>
            <w:r>
              <w:rPr>
                <w:color w:val="auto"/>
              </w:rPr>
              <w:t>1</w:t>
            </w:r>
          </w:p>
        </w:tc>
        <w:tc>
          <w:tcPr>
            <w:tcW w:w="694" w:type="pct"/>
            <w:vAlign w:val="center"/>
          </w:tcPr>
          <w:p w14:paraId="45498E0F">
            <w:pPr>
              <w:pStyle w:val="33"/>
              <w:rPr>
                <w:color w:val="auto"/>
              </w:rPr>
            </w:pPr>
            <w:r>
              <w:rPr>
                <w:color w:val="auto"/>
              </w:rPr>
              <w:t>广西金桂浆纸业有限公司林浆纸一体化工程年产60万吨高档纸板项目</w:t>
            </w:r>
          </w:p>
        </w:tc>
        <w:tc>
          <w:tcPr>
            <w:tcW w:w="366" w:type="pct"/>
            <w:vAlign w:val="center"/>
          </w:tcPr>
          <w:p w14:paraId="31DBA865">
            <w:pPr>
              <w:pStyle w:val="33"/>
              <w:rPr>
                <w:color w:val="auto"/>
              </w:rPr>
            </w:pPr>
            <w:r>
              <w:rPr>
                <w:color w:val="auto"/>
              </w:rPr>
              <w:t>2005年1月27日</w:t>
            </w:r>
          </w:p>
        </w:tc>
        <w:tc>
          <w:tcPr>
            <w:tcW w:w="531" w:type="pct"/>
            <w:vAlign w:val="center"/>
          </w:tcPr>
          <w:p w14:paraId="52D80774">
            <w:pPr>
              <w:pStyle w:val="33"/>
              <w:rPr>
                <w:color w:val="auto"/>
              </w:rPr>
            </w:pPr>
            <w:r>
              <w:rPr>
                <w:color w:val="auto"/>
              </w:rPr>
              <w:t>原国家环境保护总局</w:t>
            </w:r>
          </w:p>
        </w:tc>
        <w:tc>
          <w:tcPr>
            <w:tcW w:w="484" w:type="pct"/>
            <w:vAlign w:val="center"/>
          </w:tcPr>
          <w:p w14:paraId="44A2C209">
            <w:pPr>
              <w:pStyle w:val="33"/>
              <w:rPr>
                <w:color w:val="auto"/>
              </w:rPr>
            </w:pPr>
            <w:r>
              <w:rPr>
                <w:color w:val="auto"/>
              </w:rPr>
              <w:t>环审〔2005〕105号</w:t>
            </w:r>
          </w:p>
        </w:tc>
        <w:tc>
          <w:tcPr>
            <w:tcW w:w="1165" w:type="pct"/>
            <w:vAlign w:val="center"/>
          </w:tcPr>
          <w:p w14:paraId="32FAA564">
            <w:pPr>
              <w:pStyle w:val="33"/>
              <w:jc w:val="both"/>
              <w:rPr>
                <w:color w:val="auto"/>
              </w:rPr>
            </w:pPr>
            <w:r>
              <w:rPr>
                <w:color w:val="auto"/>
              </w:rPr>
              <w:t>1条30万t/a化机浆，1条60万t/a白卡纸</w:t>
            </w:r>
          </w:p>
        </w:tc>
        <w:tc>
          <w:tcPr>
            <w:tcW w:w="405" w:type="pct"/>
            <w:vAlign w:val="center"/>
          </w:tcPr>
          <w:p w14:paraId="54A7CA2A">
            <w:pPr>
              <w:pStyle w:val="33"/>
              <w:rPr>
                <w:color w:val="auto"/>
              </w:rPr>
            </w:pPr>
            <w:r>
              <w:rPr>
                <w:color w:val="auto"/>
              </w:rPr>
              <w:t>/</w:t>
            </w:r>
          </w:p>
        </w:tc>
        <w:tc>
          <w:tcPr>
            <w:tcW w:w="304" w:type="pct"/>
            <w:vAlign w:val="center"/>
          </w:tcPr>
          <w:p w14:paraId="4403891F">
            <w:pPr>
              <w:pStyle w:val="33"/>
              <w:rPr>
                <w:color w:val="auto"/>
              </w:rPr>
            </w:pPr>
            <w:r>
              <w:rPr>
                <w:color w:val="auto"/>
              </w:rPr>
              <w:t>/</w:t>
            </w:r>
          </w:p>
        </w:tc>
        <w:tc>
          <w:tcPr>
            <w:tcW w:w="304" w:type="pct"/>
            <w:vAlign w:val="center"/>
          </w:tcPr>
          <w:p w14:paraId="56B03843">
            <w:pPr>
              <w:pStyle w:val="33"/>
              <w:rPr>
                <w:color w:val="auto"/>
              </w:rPr>
            </w:pPr>
            <w:r>
              <w:rPr>
                <w:color w:val="auto"/>
              </w:rPr>
              <w:t>/</w:t>
            </w:r>
          </w:p>
        </w:tc>
        <w:tc>
          <w:tcPr>
            <w:tcW w:w="595" w:type="pct"/>
            <w:vAlign w:val="center"/>
          </w:tcPr>
          <w:p w14:paraId="416B3F8D">
            <w:pPr>
              <w:pStyle w:val="33"/>
              <w:rPr>
                <w:color w:val="auto"/>
              </w:rPr>
            </w:pPr>
            <w:r>
              <w:rPr>
                <w:color w:val="auto"/>
              </w:rPr>
              <w:t>/</w:t>
            </w:r>
          </w:p>
        </w:tc>
      </w:tr>
      <w:tr w14:paraId="1DAF2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vAlign w:val="center"/>
          </w:tcPr>
          <w:p w14:paraId="0D276013">
            <w:pPr>
              <w:pStyle w:val="33"/>
              <w:rPr>
                <w:color w:val="auto"/>
              </w:rPr>
            </w:pPr>
            <w:r>
              <w:rPr>
                <w:color w:val="auto"/>
              </w:rPr>
              <w:t>2</w:t>
            </w:r>
          </w:p>
        </w:tc>
        <w:tc>
          <w:tcPr>
            <w:tcW w:w="694" w:type="pct"/>
            <w:vMerge w:val="restart"/>
            <w:vAlign w:val="center"/>
          </w:tcPr>
          <w:p w14:paraId="3A9D71A0">
            <w:pPr>
              <w:pStyle w:val="33"/>
              <w:rPr>
                <w:color w:val="auto"/>
              </w:rPr>
            </w:pPr>
            <w:r>
              <w:rPr>
                <w:color w:val="auto"/>
              </w:rPr>
              <w:t>广西金桂浆纸业有限公司林浆纸一体化工程年产60万吨高档纸板项目变更</w:t>
            </w:r>
          </w:p>
        </w:tc>
        <w:tc>
          <w:tcPr>
            <w:tcW w:w="366" w:type="pct"/>
            <w:vMerge w:val="restart"/>
            <w:vAlign w:val="center"/>
          </w:tcPr>
          <w:p w14:paraId="451CCDDB">
            <w:pPr>
              <w:pStyle w:val="33"/>
              <w:rPr>
                <w:color w:val="auto"/>
              </w:rPr>
            </w:pPr>
            <w:r>
              <w:rPr>
                <w:color w:val="auto"/>
              </w:rPr>
              <w:t>2010年12月27日</w:t>
            </w:r>
          </w:p>
        </w:tc>
        <w:tc>
          <w:tcPr>
            <w:tcW w:w="531" w:type="pct"/>
            <w:vMerge w:val="restart"/>
            <w:vAlign w:val="center"/>
          </w:tcPr>
          <w:p w14:paraId="7D123661">
            <w:pPr>
              <w:pStyle w:val="33"/>
              <w:rPr>
                <w:color w:val="auto"/>
              </w:rPr>
            </w:pPr>
            <w:r>
              <w:rPr>
                <w:color w:val="auto"/>
              </w:rPr>
              <w:t>原环境保护部</w:t>
            </w:r>
          </w:p>
        </w:tc>
        <w:tc>
          <w:tcPr>
            <w:tcW w:w="484" w:type="pct"/>
            <w:vMerge w:val="restart"/>
            <w:vAlign w:val="center"/>
          </w:tcPr>
          <w:p w14:paraId="3EBD0FB0">
            <w:pPr>
              <w:pStyle w:val="33"/>
              <w:rPr>
                <w:color w:val="auto"/>
              </w:rPr>
            </w:pPr>
            <w:r>
              <w:rPr>
                <w:color w:val="auto"/>
              </w:rPr>
              <w:t>环审〔2010〕</w:t>
            </w:r>
          </w:p>
          <w:p w14:paraId="760FB4DE">
            <w:pPr>
              <w:pStyle w:val="33"/>
              <w:rPr>
                <w:color w:val="auto"/>
              </w:rPr>
            </w:pPr>
            <w:r>
              <w:rPr>
                <w:color w:val="auto"/>
              </w:rPr>
              <w:t>418号</w:t>
            </w:r>
          </w:p>
        </w:tc>
        <w:tc>
          <w:tcPr>
            <w:tcW w:w="1165" w:type="pct"/>
            <w:vMerge w:val="restart"/>
            <w:vAlign w:val="center"/>
          </w:tcPr>
          <w:p w14:paraId="539A91FF">
            <w:pPr>
              <w:pStyle w:val="33"/>
              <w:jc w:val="both"/>
              <w:rPr>
                <w:color w:val="auto"/>
              </w:rPr>
            </w:pPr>
            <w:r>
              <w:rPr>
                <w:color w:val="auto"/>
              </w:rPr>
              <w:t>2条15万t/a化机浆生产线（1#化机浆线、2#化机浆线），1条60万t/a白卡纸（1#纸机），热电站变更为1台670t/h循环流化床锅炉（1#锅炉），新增30万t/a浆包的抄浆车间和400吨固形物/日的碱回收车间，新增6万m3/d污水处理站（1#污水处理站）</w:t>
            </w:r>
          </w:p>
        </w:tc>
        <w:tc>
          <w:tcPr>
            <w:tcW w:w="405" w:type="pct"/>
            <w:vAlign w:val="center"/>
          </w:tcPr>
          <w:p w14:paraId="6BDFCC76">
            <w:pPr>
              <w:pStyle w:val="33"/>
              <w:rPr>
                <w:color w:val="auto"/>
              </w:rPr>
            </w:pPr>
            <w:r>
              <w:rPr>
                <w:color w:val="auto"/>
              </w:rPr>
              <w:t>2011年12月30日</w:t>
            </w:r>
          </w:p>
        </w:tc>
        <w:tc>
          <w:tcPr>
            <w:tcW w:w="304" w:type="pct"/>
            <w:vAlign w:val="center"/>
          </w:tcPr>
          <w:p w14:paraId="03B3A922">
            <w:pPr>
              <w:pStyle w:val="33"/>
              <w:rPr>
                <w:color w:val="auto"/>
              </w:rPr>
            </w:pPr>
            <w:r>
              <w:rPr>
                <w:color w:val="auto"/>
              </w:rPr>
              <w:t>原环境保护部</w:t>
            </w:r>
          </w:p>
        </w:tc>
        <w:tc>
          <w:tcPr>
            <w:tcW w:w="304" w:type="pct"/>
            <w:vAlign w:val="center"/>
          </w:tcPr>
          <w:p w14:paraId="1E6C1DF3">
            <w:pPr>
              <w:pStyle w:val="33"/>
              <w:rPr>
                <w:color w:val="auto"/>
              </w:rPr>
            </w:pPr>
            <w:r>
              <w:rPr>
                <w:color w:val="auto"/>
              </w:rPr>
              <w:t>环验〔2011〕378号</w:t>
            </w:r>
          </w:p>
        </w:tc>
        <w:tc>
          <w:tcPr>
            <w:tcW w:w="595" w:type="pct"/>
            <w:vAlign w:val="center"/>
          </w:tcPr>
          <w:p w14:paraId="34C5A747">
            <w:pPr>
              <w:pStyle w:val="33"/>
              <w:rPr>
                <w:color w:val="auto"/>
              </w:rPr>
            </w:pPr>
            <w:r>
              <w:rPr>
                <w:color w:val="auto"/>
              </w:rPr>
              <w:t>对项目（制浆、抄浆工程部分）予以验收</w:t>
            </w:r>
          </w:p>
        </w:tc>
      </w:tr>
      <w:tr w14:paraId="05E0A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640CDCA4">
            <w:pPr>
              <w:pStyle w:val="33"/>
              <w:rPr>
                <w:color w:val="auto"/>
              </w:rPr>
            </w:pPr>
          </w:p>
        </w:tc>
        <w:tc>
          <w:tcPr>
            <w:tcW w:w="694" w:type="pct"/>
            <w:vMerge w:val="continue"/>
            <w:vAlign w:val="center"/>
          </w:tcPr>
          <w:p w14:paraId="5C7976CA">
            <w:pPr>
              <w:pStyle w:val="33"/>
              <w:rPr>
                <w:color w:val="auto"/>
              </w:rPr>
            </w:pPr>
          </w:p>
        </w:tc>
        <w:tc>
          <w:tcPr>
            <w:tcW w:w="366" w:type="pct"/>
            <w:vMerge w:val="continue"/>
            <w:vAlign w:val="center"/>
          </w:tcPr>
          <w:p w14:paraId="3ACEFCD9">
            <w:pPr>
              <w:pStyle w:val="33"/>
              <w:rPr>
                <w:color w:val="auto"/>
              </w:rPr>
            </w:pPr>
          </w:p>
        </w:tc>
        <w:tc>
          <w:tcPr>
            <w:tcW w:w="531" w:type="pct"/>
            <w:vMerge w:val="continue"/>
            <w:vAlign w:val="center"/>
          </w:tcPr>
          <w:p w14:paraId="31C6E607">
            <w:pPr>
              <w:pStyle w:val="33"/>
              <w:rPr>
                <w:color w:val="auto"/>
              </w:rPr>
            </w:pPr>
          </w:p>
        </w:tc>
        <w:tc>
          <w:tcPr>
            <w:tcW w:w="484" w:type="pct"/>
            <w:vMerge w:val="continue"/>
            <w:vAlign w:val="center"/>
          </w:tcPr>
          <w:p w14:paraId="3673622D">
            <w:pPr>
              <w:pStyle w:val="33"/>
              <w:rPr>
                <w:color w:val="auto"/>
              </w:rPr>
            </w:pPr>
          </w:p>
        </w:tc>
        <w:tc>
          <w:tcPr>
            <w:tcW w:w="1165" w:type="pct"/>
            <w:vMerge w:val="continue"/>
            <w:vAlign w:val="center"/>
          </w:tcPr>
          <w:p w14:paraId="038A24B4">
            <w:pPr>
              <w:pStyle w:val="33"/>
              <w:rPr>
                <w:color w:val="auto"/>
              </w:rPr>
            </w:pPr>
          </w:p>
        </w:tc>
        <w:tc>
          <w:tcPr>
            <w:tcW w:w="405" w:type="pct"/>
            <w:vAlign w:val="center"/>
          </w:tcPr>
          <w:p w14:paraId="65AEC463">
            <w:pPr>
              <w:pStyle w:val="33"/>
              <w:rPr>
                <w:color w:val="auto"/>
              </w:rPr>
            </w:pPr>
            <w:r>
              <w:rPr>
                <w:color w:val="auto"/>
              </w:rPr>
              <w:t>2014年4月9日</w:t>
            </w:r>
          </w:p>
        </w:tc>
        <w:tc>
          <w:tcPr>
            <w:tcW w:w="304" w:type="pct"/>
            <w:vAlign w:val="center"/>
          </w:tcPr>
          <w:p w14:paraId="7CB0F03D">
            <w:pPr>
              <w:pStyle w:val="33"/>
              <w:rPr>
                <w:color w:val="auto"/>
              </w:rPr>
            </w:pPr>
            <w:r>
              <w:rPr>
                <w:color w:val="auto"/>
              </w:rPr>
              <w:t>原环境保护部</w:t>
            </w:r>
          </w:p>
        </w:tc>
        <w:tc>
          <w:tcPr>
            <w:tcW w:w="304" w:type="pct"/>
            <w:vAlign w:val="center"/>
          </w:tcPr>
          <w:p w14:paraId="2AFD520B">
            <w:pPr>
              <w:pStyle w:val="33"/>
              <w:rPr>
                <w:color w:val="auto"/>
              </w:rPr>
            </w:pPr>
            <w:r>
              <w:rPr>
                <w:color w:val="auto"/>
              </w:rPr>
              <w:t>环验〔2014〕59号</w:t>
            </w:r>
          </w:p>
        </w:tc>
        <w:tc>
          <w:tcPr>
            <w:tcW w:w="595" w:type="pct"/>
            <w:vAlign w:val="center"/>
          </w:tcPr>
          <w:p w14:paraId="53412977">
            <w:pPr>
              <w:pStyle w:val="33"/>
              <w:rPr>
                <w:color w:val="auto"/>
              </w:rPr>
            </w:pPr>
            <w:r>
              <w:rPr>
                <w:color w:val="auto"/>
              </w:rPr>
              <w:t>对项目（造纸工程部分）予以验收</w:t>
            </w:r>
          </w:p>
        </w:tc>
      </w:tr>
      <w:tr w14:paraId="3C43F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1571D322">
            <w:pPr>
              <w:pStyle w:val="33"/>
              <w:rPr>
                <w:color w:val="auto"/>
              </w:rPr>
            </w:pPr>
            <w:r>
              <w:rPr>
                <w:color w:val="auto"/>
              </w:rPr>
              <w:t>3</w:t>
            </w:r>
          </w:p>
        </w:tc>
        <w:tc>
          <w:tcPr>
            <w:tcW w:w="694" w:type="pct"/>
            <w:vAlign w:val="center"/>
          </w:tcPr>
          <w:p w14:paraId="4ABD852F">
            <w:pPr>
              <w:pStyle w:val="33"/>
              <w:rPr>
                <w:color w:val="auto"/>
              </w:rPr>
            </w:pPr>
            <w:r>
              <w:rPr>
                <w:color w:val="auto"/>
              </w:rPr>
              <w:t>广西金桂浆纸业有限公司GUANGXIBM1#配套LPG站项目</w:t>
            </w:r>
          </w:p>
        </w:tc>
        <w:tc>
          <w:tcPr>
            <w:tcW w:w="366" w:type="pct"/>
            <w:vAlign w:val="center"/>
          </w:tcPr>
          <w:p w14:paraId="63AB4100">
            <w:pPr>
              <w:pStyle w:val="33"/>
              <w:rPr>
                <w:color w:val="auto"/>
              </w:rPr>
            </w:pPr>
            <w:r>
              <w:rPr>
                <w:color w:val="auto"/>
              </w:rPr>
              <w:t>2011年12月12日</w:t>
            </w:r>
          </w:p>
        </w:tc>
        <w:tc>
          <w:tcPr>
            <w:tcW w:w="531" w:type="pct"/>
            <w:vAlign w:val="center"/>
          </w:tcPr>
          <w:p w14:paraId="3BE9908A">
            <w:pPr>
              <w:pStyle w:val="33"/>
              <w:rPr>
                <w:color w:val="auto"/>
              </w:rPr>
            </w:pPr>
            <w:r>
              <w:rPr>
                <w:color w:val="auto"/>
              </w:rPr>
              <w:t>原钦州市环境保护局</w:t>
            </w:r>
          </w:p>
        </w:tc>
        <w:tc>
          <w:tcPr>
            <w:tcW w:w="484" w:type="pct"/>
            <w:vAlign w:val="center"/>
          </w:tcPr>
          <w:p w14:paraId="0A5ADB6C">
            <w:pPr>
              <w:pStyle w:val="33"/>
              <w:rPr>
                <w:color w:val="auto"/>
              </w:rPr>
            </w:pPr>
            <w:r>
              <w:rPr>
                <w:color w:val="auto"/>
              </w:rPr>
              <w:t>钦港环管字〔2011〕20号</w:t>
            </w:r>
          </w:p>
        </w:tc>
        <w:tc>
          <w:tcPr>
            <w:tcW w:w="1165" w:type="pct"/>
            <w:vAlign w:val="center"/>
          </w:tcPr>
          <w:p w14:paraId="5AA0772E">
            <w:pPr>
              <w:pStyle w:val="33"/>
              <w:rPr>
                <w:color w:val="auto"/>
              </w:rPr>
            </w:pPr>
            <w:r>
              <w:rPr>
                <w:color w:val="auto"/>
              </w:rPr>
              <w:t>建设LPG站</w:t>
            </w:r>
          </w:p>
        </w:tc>
        <w:tc>
          <w:tcPr>
            <w:tcW w:w="405" w:type="pct"/>
            <w:vAlign w:val="center"/>
          </w:tcPr>
          <w:p w14:paraId="5908FB59">
            <w:pPr>
              <w:pStyle w:val="33"/>
              <w:rPr>
                <w:color w:val="auto"/>
              </w:rPr>
            </w:pPr>
            <w:r>
              <w:rPr>
                <w:color w:val="auto"/>
              </w:rPr>
              <w:t>2013年8月5日</w:t>
            </w:r>
          </w:p>
        </w:tc>
        <w:tc>
          <w:tcPr>
            <w:tcW w:w="304" w:type="pct"/>
            <w:vAlign w:val="center"/>
          </w:tcPr>
          <w:p w14:paraId="489F64CA">
            <w:pPr>
              <w:pStyle w:val="33"/>
              <w:rPr>
                <w:color w:val="auto"/>
              </w:rPr>
            </w:pPr>
            <w:r>
              <w:rPr>
                <w:color w:val="auto"/>
              </w:rPr>
              <w:t>原钦州市环境保护局</w:t>
            </w:r>
          </w:p>
        </w:tc>
        <w:tc>
          <w:tcPr>
            <w:tcW w:w="304" w:type="pct"/>
            <w:vAlign w:val="center"/>
          </w:tcPr>
          <w:p w14:paraId="25EA82F5">
            <w:pPr>
              <w:pStyle w:val="33"/>
              <w:rPr>
                <w:color w:val="auto"/>
              </w:rPr>
            </w:pPr>
            <w:r>
              <w:rPr>
                <w:color w:val="auto"/>
              </w:rPr>
              <w:t>钦港环验字〔2013〕5号</w:t>
            </w:r>
          </w:p>
        </w:tc>
        <w:tc>
          <w:tcPr>
            <w:tcW w:w="595" w:type="pct"/>
            <w:vAlign w:val="center"/>
          </w:tcPr>
          <w:p w14:paraId="30AEC839">
            <w:pPr>
              <w:pStyle w:val="33"/>
              <w:rPr>
                <w:color w:val="auto"/>
              </w:rPr>
            </w:pPr>
            <w:r>
              <w:rPr>
                <w:color w:val="auto"/>
              </w:rPr>
              <w:t>与环评一致</w:t>
            </w:r>
          </w:p>
        </w:tc>
      </w:tr>
      <w:tr w14:paraId="2C89B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165ACE4C">
            <w:pPr>
              <w:pStyle w:val="33"/>
              <w:rPr>
                <w:color w:val="auto"/>
              </w:rPr>
            </w:pPr>
            <w:r>
              <w:rPr>
                <w:color w:val="auto"/>
              </w:rPr>
              <w:t>4</w:t>
            </w:r>
          </w:p>
        </w:tc>
        <w:tc>
          <w:tcPr>
            <w:tcW w:w="694" w:type="pct"/>
            <w:vAlign w:val="center"/>
          </w:tcPr>
          <w:p w14:paraId="51A75F20">
            <w:pPr>
              <w:pStyle w:val="33"/>
              <w:rPr>
                <w:color w:val="auto"/>
              </w:rPr>
            </w:pPr>
            <w:r>
              <w:rPr>
                <w:color w:val="auto"/>
              </w:rPr>
              <w:t>广西金桂浆纸业有限公司动力厂脱硫脱硝项目</w:t>
            </w:r>
          </w:p>
        </w:tc>
        <w:tc>
          <w:tcPr>
            <w:tcW w:w="366" w:type="pct"/>
            <w:vAlign w:val="center"/>
          </w:tcPr>
          <w:p w14:paraId="1CF93940">
            <w:pPr>
              <w:pStyle w:val="33"/>
              <w:rPr>
                <w:color w:val="auto"/>
              </w:rPr>
            </w:pPr>
            <w:r>
              <w:rPr>
                <w:color w:val="auto"/>
              </w:rPr>
              <w:t>2013年10月24日</w:t>
            </w:r>
          </w:p>
        </w:tc>
        <w:tc>
          <w:tcPr>
            <w:tcW w:w="531" w:type="pct"/>
            <w:vAlign w:val="center"/>
          </w:tcPr>
          <w:p w14:paraId="201611F0">
            <w:pPr>
              <w:pStyle w:val="33"/>
              <w:rPr>
                <w:color w:val="auto"/>
              </w:rPr>
            </w:pPr>
            <w:r>
              <w:rPr>
                <w:color w:val="auto"/>
              </w:rPr>
              <w:t>原钦州市环境保护局</w:t>
            </w:r>
          </w:p>
        </w:tc>
        <w:tc>
          <w:tcPr>
            <w:tcW w:w="484" w:type="pct"/>
            <w:vAlign w:val="center"/>
          </w:tcPr>
          <w:p w14:paraId="09BAD4D2">
            <w:pPr>
              <w:pStyle w:val="33"/>
              <w:rPr>
                <w:color w:val="auto"/>
              </w:rPr>
            </w:pPr>
            <w:r>
              <w:rPr>
                <w:color w:val="auto"/>
              </w:rPr>
              <w:t>钦港环管字〔2013〕22号</w:t>
            </w:r>
          </w:p>
        </w:tc>
        <w:tc>
          <w:tcPr>
            <w:tcW w:w="1165" w:type="pct"/>
            <w:vAlign w:val="center"/>
          </w:tcPr>
          <w:p w14:paraId="5F832B58">
            <w:pPr>
              <w:pStyle w:val="33"/>
              <w:rPr>
                <w:color w:val="auto"/>
              </w:rPr>
            </w:pPr>
            <w:r>
              <w:rPr>
                <w:color w:val="auto"/>
              </w:rPr>
              <w:t>动力厂进行脱硫脱硝改造</w:t>
            </w:r>
          </w:p>
        </w:tc>
        <w:tc>
          <w:tcPr>
            <w:tcW w:w="405" w:type="pct"/>
            <w:vAlign w:val="center"/>
          </w:tcPr>
          <w:p w14:paraId="4622AB81">
            <w:pPr>
              <w:pStyle w:val="33"/>
              <w:rPr>
                <w:color w:val="auto"/>
              </w:rPr>
            </w:pPr>
            <w:r>
              <w:rPr>
                <w:color w:val="auto"/>
              </w:rPr>
              <w:t>2017年6月3日</w:t>
            </w:r>
          </w:p>
        </w:tc>
        <w:tc>
          <w:tcPr>
            <w:tcW w:w="304" w:type="pct"/>
            <w:vAlign w:val="center"/>
          </w:tcPr>
          <w:p w14:paraId="3B1A5A37">
            <w:pPr>
              <w:pStyle w:val="33"/>
              <w:rPr>
                <w:color w:val="auto"/>
              </w:rPr>
            </w:pPr>
            <w:r>
              <w:rPr>
                <w:color w:val="auto"/>
              </w:rPr>
              <w:t>原广西壮族自治区环境保护厅</w:t>
            </w:r>
          </w:p>
        </w:tc>
        <w:tc>
          <w:tcPr>
            <w:tcW w:w="304" w:type="pct"/>
            <w:vAlign w:val="center"/>
          </w:tcPr>
          <w:p w14:paraId="7D03CE76">
            <w:pPr>
              <w:pStyle w:val="33"/>
              <w:rPr>
                <w:color w:val="auto"/>
              </w:rPr>
            </w:pPr>
            <w:r>
              <w:rPr>
                <w:color w:val="auto"/>
              </w:rPr>
              <w:t>桂环验〔2017〕60号</w:t>
            </w:r>
          </w:p>
        </w:tc>
        <w:tc>
          <w:tcPr>
            <w:tcW w:w="595" w:type="pct"/>
            <w:vAlign w:val="center"/>
          </w:tcPr>
          <w:p w14:paraId="161486F2">
            <w:pPr>
              <w:pStyle w:val="33"/>
              <w:rPr>
                <w:color w:val="auto"/>
              </w:rPr>
            </w:pPr>
            <w:r>
              <w:rPr>
                <w:color w:val="auto"/>
              </w:rPr>
              <w:t>与环评一致</w:t>
            </w:r>
          </w:p>
        </w:tc>
      </w:tr>
      <w:tr w14:paraId="49397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397DA946">
            <w:pPr>
              <w:pStyle w:val="33"/>
              <w:rPr>
                <w:color w:val="auto"/>
              </w:rPr>
            </w:pPr>
            <w:r>
              <w:rPr>
                <w:color w:val="auto"/>
              </w:rPr>
              <w:t>5</w:t>
            </w:r>
          </w:p>
        </w:tc>
        <w:tc>
          <w:tcPr>
            <w:tcW w:w="694" w:type="pct"/>
            <w:vAlign w:val="center"/>
          </w:tcPr>
          <w:p w14:paraId="24D3BA06">
            <w:pPr>
              <w:pStyle w:val="33"/>
              <w:rPr>
                <w:color w:val="auto"/>
              </w:rPr>
            </w:pPr>
            <w:r>
              <w:rPr>
                <w:color w:val="auto"/>
              </w:rPr>
              <w:t>广西金桂浆纸业有限公司林浆纸一体化扩建工程年产25万吨化机浆项目</w:t>
            </w:r>
          </w:p>
        </w:tc>
        <w:tc>
          <w:tcPr>
            <w:tcW w:w="366" w:type="pct"/>
            <w:vAlign w:val="center"/>
          </w:tcPr>
          <w:p w14:paraId="6994389E">
            <w:pPr>
              <w:pStyle w:val="33"/>
              <w:rPr>
                <w:color w:val="auto"/>
              </w:rPr>
            </w:pPr>
            <w:r>
              <w:rPr>
                <w:color w:val="auto"/>
              </w:rPr>
              <w:t>2015年5月4日</w:t>
            </w:r>
          </w:p>
        </w:tc>
        <w:tc>
          <w:tcPr>
            <w:tcW w:w="531" w:type="pct"/>
            <w:vAlign w:val="center"/>
          </w:tcPr>
          <w:p w14:paraId="764CE754">
            <w:pPr>
              <w:pStyle w:val="33"/>
              <w:rPr>
                <w:color w:val="auto"/>
              </w:rPr>
            </w:pPr>
            <w:r>
              <w:rPr>
                <w:color w:val="auto"/>
              </w:rPr>
              <w:t>原广西壮族自治区环境保护厅</w:t>
            </w:r>
          </w:p>
        </w:tc>
        <w:tc>
          <w:tcPr>
            <w:tcW w:w="484" w:type="pct"/>
            <w:vAlign w:val="center"/>
          </w:tcPr>
          <w:p w14:paraId="7F536ADC">
            <w:pPr>
              <w:pStyle w:val="33"/>
              <w:rPr>
                <w:color w:val="auto"/>
              </w:rPr>
            </w:pPr>
            <w:r>
              <w:rPr>
                <w:color w:val="auto"/>
              </w:rPr>
              <w:t>桂环审〔2015〕59号</w:t>
            </w:r>
          </w:p>
        </w:tc>
        <w:tc>
          <w:tcPr>
            <w:tcW w:w="1165" w:type="pct"/>
            <w:vAlign w:val="center"/>
          </w:tcPr>
          <w:p w14:paraId="3E37891C">
            <w:pPr>
              <w:pStyle w:val="33"/>
              <w:jc w:val="both"/>
              <w:rPr>
                <w:color w:val="auto"/>
              </w:rPr>
            </w:pPr>
            <w:r>
              <w:rPr>
                <w:color w:val="auto"/>
              </w:rPr>
              <w:t>新增1条25万t/a化机浆生产线（3#化机浆线），新增1×670t/h循环流化床备用锅炉，2#锅炉）、1套800t/h碱回收车间蒸发站</w:t>
            </w:r>
          </w:p>
        </w:tc>
        <w:tc>
          <w:tcPr>
            <w:tcW w:w="405" w:type="pct"/>
            <w:vAlign w:val="center"/>
          </w:tcPr>
          <w:p w14:paraId="7393D581">
            <w:pPr>
              <w:pStyle w:val="33"/>
              <w:rPr>
                <w:color w:val="auto"/>
              </w:rPr>
            </w:pPr>
            <w:r>
              <w:rPr>
                <w:color w:val="auto"/>
              </w:rPr>
              <w:t>2015年12月14日</w:t>
            </w:r>
          </w:p>
        </w:tc>
        <w:tc>
          <w:tcPr>
            <w:tcW w:w="304" w:type="pct"/>
            <w:vAlign w:val="center"/>
          </w:tcPr>
          <w:p w14:paraId="0972AA01">
            <w:pPr>
              <w:pStyle w:val="33"/>
              <w:rPr>
                <w:color w:val="auto"/>
              </w:rPr>
            </w:pPr>
            <w:r>
              <w:rPr>
                <w:color w:val="auto"/>
              </w:rPr>
              <w:t>原广西壮族自治区环境保护厅</w:t>
            </w:r>
          </w:p>
        </w:tc>
        <w:tc>
          <w:tcPr>
            <w:tcW w:w="304" w:type="pct"/>
            <w:vAlign w:val="center"/>
          </w:tcPr>
          <w:p w14:paraId="0EF0B0D2">
            <w:pPr>
              <w:pStyle w:val="33"/>
              <w:rPr>
                <w:color w:val="auto"/>
              </w:rPr>
            </w:pPr>
            <w:r>
              <w:rPr>
                <w:color w:val="auto"/>
              </w:rPr>
              <w:t>桂环验〔2015〕175号</w:t>
            </w:r>
          </w:p>
        </w:tc>
        <w:tc>
          <w:tcPr>
            <w:tcW w:w="595" w:type="pct"/>
            <w:vAlign w:val="center"/>
          </w:tcPr>
          <w:p w14:paraId="42BC3491">
            <w:pPr>
              <w:pStyle w:val="33"/>
              <w:rPr>
                <w:color w:val="auto"/>
              </w:rPr>
            </w:pPr>
            <w:r>
              <w:rPr>
                <w:color w:val="auto"/>
              </w:rPr>
              <w:t>与环评一致</w:t>
            </w:r>
          </w:p>
        </w:tc>
      </w:tr>
      <w:tr w14:paraId="0B4A0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3C4CF793">
            <w:pPr>
              <w:pStyle w:val="33"/>
              <w:rPr>
                <w:color w:val="auto"/>
              </w:rPr>
            </w:pPr>
            <w:r>
              <w:rPr>
                <w:color w:val="auto"/>
              </w:rPr>
              <w:t>6</w:t>
            </w:r>
          </w:p>
        </w:tc>
        <w:tc>
          <w:tcPr>
            <w:tcW w:w="694" w:type="pct"/>
            <w:vAlign w:val="center"/>
          </w:tcPr>
          <w:p w14:paraId="6FC2998B">
            <w:pPr>
              <w:pStyle w:val="33"/>
              <w:rPr>
                <w:color w:val="auto"/>
              </w:rPr>
            </w:pPr>
            <w:r>
              <w:rPr>
                <w:color w:val="auto"/>
              </w:rPr>
              <w:t>广西金桂浆纸业有限公司年产40万吨高档纸板扩建工程</w:t>
            </w:r>
          </w:p>
        </w:tc>
        <w:tc>
          <w:tcPr>
            <w:tcW w:w="366" w:type="pct"/>
            <w:vAlign w:val="center"/>
          </w:tcPr>
          <w:p w14:paraId="17894CDB">
            <w:pPr>
              <w:pStyle w:val="33"/>
              <w:rPr>
                <w:color w:val="auto"/>
              </w:rPr>
            </w:pPr>
            <w:r>
              <w:rPr>
                <w:color w:val="auto"/>
              </w:rPr>
              <w:t>2016年6月14日</w:t>
            </w:r>
          </w:p>
        </w:tc>
        <w:tc>
          <w:tcPr>
            <w:tcW w:w="531" w:type="pct"/>
            <w:vAlign w:val="center"/>
          </w:tcPr>
          <w:p w14:paraId="09561BA5">
            <w:pPr>
              <w:pStyle w:val="33"/>
              <w:rPr>
                <w:color w:val="auto"/>
              </w:rPr>
            </w:pPr>
            <w:r>
              <w:rPr>
                <w:color w:val="auto"/>
              </w:rPr>
              <w:t>原广西壮族自治区环境保护厅</w:t>
            </w:r>
          </w:p>
        </w:tc>
        <w:tc>
          <w:tcPr>
            <w:tcW w:w="484" w:type="pct"/>
            <w:vAlign w:val="center"/>
          </w:tcPr>
          <w:p w14:paraId="476F3141">
            <w:pPr>
              <w:pStyle w:val="33"/>
              <w:rPr>
                <w:color w:val="auto"/>
              </w:rPr>
            </w:pPr>
            <w:r>
              <w:rPr>
                <w:color w:val="auto"/>
              </w:rPr>
              <w:t>桂环审〔2016〕66号</w:t>
            </w:r>
          </w:p>
        </w:tc>
        <w:tc>
          <w:tcPr>
            <w:tcW w:w="1165" w:type="pct"/>
            <w:vAlign w:val="center"/>
          </w:tcPr>
          <w:p w14:paraId="0FC159D1">
            <w:pPr>
              <w:pStyle w:val="33"/>
              <w:jc w:val="both"/>
              <w:rPr>
                <w:color w:val="auto"/>
              </w:rPr>
            </w:pPr>
            <w:r>
              <w:rPr>
                <w:color w:val="auto"/>
              </w:rPr>
              <w:t>1#化机浆线、2#化机浆线制浆规模均为25万t/a，1#纸机规模为100万t/a；建设备用1×670t/h循环流化床锅炉（4#锅炉），2#锅炉由备用改为常用</w:t>
            </w:r>
          </w:p>
        </w:tc>
        <w:tc>
          <w:tcPr>
            <w:tcW w:w="405" w:type="pct"/>
            <w:vAlign w:val="center"/>
          </w:tcPr>
          <w:p w14:paraId="079F5A2E">
            <w:pPr>
              <w:pStyle w:val="33"/>
              <w:rPr>
                <w:color w:val="auto"/>
              </w:rPr>
            </w:pPr>
            <w:r>
              <w:rPr>
                <w:color w:val="auto"/>
              </w:rPr>
              <w:t>2017年6月3日</w:t>
            </w:r>
          </w:p>
        </w:tc>
        <w:tc>
          <w:tcPr>
            <w:tcW w:w="304" w:type="pct"/>
            <w:vAlign w:val="center"/>
          </w:tcPr>
          <w:p w14:paraId="0753537B">
            <w:pPr>
              <w:pStyle w:val="33"/>
              <w:rPr>
                <w:color w:val="auto"/>
              </w:rPr>
            </w:pPr>
            <w:r>
              <w:rPr>
                <w:color w:val="auto"/>
              </w:rPr>
              <w:t>原广西壮族自治区环境保护厅</w:t>
            </w:r>
          </w:p>
        </w:tc>
        <w:tc>
          <w:tcPr>
            <w:tcW w:w="304" w:type="pct"/>
            <w:vAlign w:val="center"/>
          </w:tcPr>
          <w:p w14:paraId="22B65513">
            <w:pPr>
              <w:pStyle w:val="33"/>
              <w:rPr>
                <w:color w:val="auto"/>
              </w:rPr>
            </w:pPr>
            <w:r>
              <w:rPr>
                <w:color w:val="auto"/>
              </w:rPr>
              <w:t>桂环验〔2017〕60号</w:t>
            </w:r>
          </w:p>
        </w:tc>
        <w:tc>
          <w:tcPr>
            <w:tcW w:w="595" w:type="pct"/>
            <w:vAlign w:val="center"/>
          </w:tcPr>
          <w:p w14:paraId="47EA8701">
            <w:pPr>
              <w:pStyle w:val="33"/>
              <w:jc w:val="both"/>
              <w:rPr>
                <w:color w:val="auto"/>
              </w:rPr>
            </w:pPr>
            <w:r>
              <w:rPr>
                <w:color w:val="auto"/>
              </w:rPr>
              <w:t>4#锅炉尚未建设</w:t>
            </w:r>
          </w:p>
        </w:tc>
      </w:tr>
      <w:tr w14:paraId="45881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0CAEBA2E">
            <w:pPr>
              <w:pStyle w:val="33"/>
              <w:rPr>
                <w:color w:val="auto"/>
              </w:rPr>
            </w:pPr>
            <w:r>
              <w:rPr>
                <w:color w:val="auto"/>
              </w:rPr>
              <w:t>7</w:t>
            </w:r>
          </w:p>
        </w:tc>
        <w:tc>
          <w:tcPr>
            <w:tcW w:w="694" w:type="pct"/>
            <w:vAlign w:val="center"/>
          </w:tcPr>
          <w:p w14:paraId="262925D8">
            <w:pPr>
              <w:pStyle w:val="33"/>
              <w:rPr>
                <w:color w:val="auto"/>
              </w:rPr>
            </w:pPr>
            <w:r>
              <w:rPr>
                <w:color w:val="auto"/>
              </w:rPr>
              <w:t>广西金桂浆纸业有限公司年产</w:t>
            </w:r>
            <w:r>
              <w:rPr>
                <w:rFonts w:hint="eastAsia"/>
                <w:color w:val="auto"/>
              </w:rPr>
              <w:t>6</w:t>
            </w:r>
            <w:r>
              <w:rPr>
                <w:color w:val="auto"/>
              </w:rPr>
              <w:t>万吨</w:t>
            </w:r>
            <w:r>
              <w:rPr>
                <w:rFonts w:hint="eastAsia"/>
                <w:color w:val="auto"/>
              </w:rPr>
              <w:t>淋膜食品级白卡纸技改工程</w:t>
            </w:r>
          </w:p>
        </w:tc>
        <w:tc>
          <w:tcPr>
            <w:tcW w:w="366" w:type="pct"/>
            <w:vAlign w:val="center"/>
          </w:tcPr>
          <w:p w14:paraId="139D8C9D">
            <w:pPr>
              <w:pStyle w:val="33"/>
              <w:rPr>
                <w:color w:val="auto"/>
              </w:rPr>
            </w:pPr>
            <w:r>
              <w:rPr>
                <w:color w:val="auto"/>
              </w:rPr>
              <w:t>2017年1</w:t>
            </w:r>
            <w:r>
              <w:rPr>
                <w:rFonts w:hint="eastAsia"/>
                <w:color w:val="auto"/>
              </w:rPr>
              <w:t>1</w:t>
            </w:r>
            <w:r>
              <w:rPr>
                <w:color w:val="auto"/>
              </w:rPr>
              <w:t>月9日</w:t>
            </w:r>
          </w:p>
        </w:tc>
        <w:tc>
          <w:tcPr>
            <w:tcW w:w="531" w:type="pct"/>
            <w:vAlign w:val="center"/>
          </w:tcPr>
          <w:p w14:paraId="1E281EE8">
            <w:pPr>
              <w:pStyle w:val="33"/>
              <w:rPr>
                <w:color w:val="auto"/>
              </w:rPr>
            </w:pPr>
            <w:r>
              <w:rPr>
                <w:rFonts w:hint="eastAsia"/>
                <w:color w:val="auto"/>
              </w:rPr>
              <w:t>环境影响登记表</w:t>
            </w:r>
          </w:p>
        </w:tc>
        <w:tc>
          <w:tcPr>
            <w:tcW w:w="484" w:type="pct"/>
            <w:vAlign w:val="center"/>
          </w:tcPr>
          <w:p w14:paraId="043662C8">
            <w:pPr>
              <w:pStyle w:val="33"/>
              <w:rPr>
                <w:color w:val="auto"/>
              </w:rPr>
            </w:pPr>
            <w:r>
              <w:rPr>
                <w:rFonts w:hint="eastAsia"/>
                <w:color w:val="auto"/>
              </w:rPr>
              <w:t>备案号：20174507000100000021</w:t>
            </w:r>
          </w:p>
        </w:tc>
        <w:tc>
          <w:tcPr>
            <w:tcW w:w="1165" w:type="pct"/>
            <w:vAlign w:val="center"/>
          </w:tcPr>
          <w:p w14:paraId="3578447C">
            <w:pPr>
              <w:pStyle w:val="33"/>
              <w:jc w:val="both"/>
              <w:rPr>
                <w:color w:val="auto"/>
              </w:rPr>
            </w:pPr>
            <w:r>
              <w:rPr>
                <w:rFonts w:hint="eastAsia"/>
                <w:color w:val="auto"/>
              </w:rPr>
              <w:t>新增4台食品级白卡纸淋膜机，年产食品级淋膜纸6万吨</w:t>
            </w:r>
          </w:p>
        </w:tc>
        <w:tc>
          <w:tcPr>
            <w:tcW w:w="405" w:type="pct"/>
            <w:vAlign w:val="center"/>
          </w:tcPr>
          <w:p w14:paraId="61E81ADE">
            <w:pPr>
              <w:pStyle w:val="33"/>
              <w:rPr>
                <w:color w:val="auto"/>
              </w:rPr>
            </w:pPr>
            <w:r>
              <w:rPr>
                <w:rFonts w:hint="eastAsia"/>
                <w:color w:val="auto"/>
              </w:rPr>
              <w:t>/</w:t>
            </w:r>
          </w:p>
        </w:tc>
        <w:tc>
          <w:tcPr>
            <w:tcW w:w="304" w:type="pct"/>
            <w:vAlign w:val="center"/>
          </w:tcPr>
          <w:p w14:paraId="205B9DFA">
            <w:pPr>
              <w:pStyle w:val="33"/>
              <w:rPr>
                <w:color w:val="auto"/>
              </w:rPr>
            </w:pPr>
            <w:r>
              <w:rPr>
                <w:rFonts w:hint="eastAsia"/>
                <w:color w:val="auto"/>
              </w:rPr>
              <w:t>/</w:t>
            </w:r>
          </w:p>
        </w:tc>
        <w:tc>
          <w:tcPr>
            <w:tcW w:w="304" w:type="pct"/>
            <w:vAlign w:val="center"/>
          </w:tcPr>
          <w:p w14:paraId="75C845CD">
            <w:pPr>
              <w:pStyle w:val="33"/>
              <w:rPr>
                <w:color w:val="auto"/>
              </w:rPr>
            </w:pPr>
            <w:r>
              <w:rPr>
                <w:rFonts w:hint="eastAsia"/>
                <w:color w:val="auto"/>
              </w:rPr>
              <w:t>/</w:t>
            </w:r>
          </w:p>
        </w:tc>
        <w:tc>
          <w:tcPr>
            <w:tcW w:w="595" w:type="pct"/>
            <w:vAlign w:val="center"/>
          </w:tcPr>
          <w:p w14:paraId="1F2ABC57">
            <w:pPr>
              <w:pStyle w:val="33"/>
              <w:rPr>
                <w:color w:val="auto"/>
              </w:rPr>
            </w:pPr>
            <w:r>
              <w:rPr>
                <w:rFonts w:hint="eastAsia"/>
                <w:color w:val="auto"/>
              </w:rPr>
              <w:t>环境影响登记表不需要验收</w:t>
            </w:r>
          </w:p>
        </w:tc>
      </w:tr>
      <w:tr w14:paraId="3AEEC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321581A4">
            <w:pPr>
              <w:pStyle w:val="33"/>
              <w:rPr>
                <w:color w:val="auto"/>
              </w:rPr>
            </w:pPr>
            <w:r>
              <w:rPr>
                <w:color w:val="auto"/>
              </w:rPr>
              <w:t>8</w:t>
            </w:r>
          </w:p>
        </w:tc>
        <w:tc>
          <w:tcPr>
            <w:tcW w:w="694" w:type="pct"/>
            <w:vAlign w:val="center"/>
          </w:tcPr>
          <w:p w14:paraId="7E1B4BD6">
            <w:pPr>
              <w:pStyle w:val="33"/>
              <w:rPr>
                <w:color w:val="auto"/>
              </w:rPr>
            </w:pPr>
            <w:r>
              <w:rPr>
                <w:color w:val="auto"/>
              </w:rPr>
              <w:t>广西金桂浆纸业有限公司年产180万吨高档纸板扩建项目</w:t>
            </w:r>
          </w:p>
        </w:tc>
        <w:tc>
          <w:tcPr>
            <w:tcW w:w="366" w:type="pct"/>
            <w:vAlign w:val="center"/>
          </w:tcPr>
          <w:p w14:paraId="78395A15">
            <w:pPr>
              <w:pStyle w:val="33"/>
              <w:rPr>
                <w:color w:val="auto"/>
              </w:rPr>
            </w:pPr>
            <w:r>
              <w:rPr>
                <w:color w:val="auto"/>
              </w:rPr>
              <w:t>2017年12月29日</w:t>
            </w:r>
          </w:p>
        </w:tc>
        <w:tc>
          <w:tcPr>
            <w:tcW w:w="531" w:type="pct"/>
            <w:vAlign w:val="center"/>
          </w:tcPr>
          <w:p w14:paraId="4B41D5E2">
            <w:pPr>
              <w:pStyle w:val="33"/>
              <w:rPr>
                <w:color w:val="auto"/>
              </w:rPr>
            </w:pPr>
            <w:r>
              <w:rPr>
                <w:color w:val="auto"/>
              </w:rPr>
              <w:t>原钦州市环境保护局</w:t>
            </w:r>
          </w:p>
        </w:tc>
        <w:tc>
          <w:tcPr>
            <w:tcW w:w="484" w:type="pct"/>
            <w:vAlign w:val="center"/>
          </w:tcPr>
          <w:p w14:paraId="37B71B7D">
            <w:pPr>
              <w:pStyle w:val="33"/>
              <w:rPr>
                <w:color w:val="auto"/>
              </w:rPr>
            </w:pPr>
            <w:r>
              <w:rPr>
                <w:color w:val="auto"/>
              </w:rPr>
              <w:t>钦港环管字〔2017〕33号</w:t>
            </w:r>
          </w:p>
        </w:tc>
        <w:tc>
          <w:tcPr>
            <w:tcW w:w="1165" w:type="pct"/>
            <w:vAlign w:val="center"/>
          </w:tcPr>
          <w:p w14:paraId="06A662D4">
            <w:pPr>
              <w:pStyle w:val="33"/>
              <w:jc w:val="both"/>
              <w:rPr>
                <w:color w:val="auto"/>
              </w:rPr>
            </w:pPr>
            <w:r>
              <w:rPr>
                <w:color w:val="auto"/>
              </w:rPr>
              <w:t>1条90万t/a高档社会卡生产线、1条90万t/a食品卡纸生产线，1×670t/h循环流化床锅炉（3#锅炉）、4.5万m3/d污水处理站（2#污水处理站）</w:t>
            </w:r>
          </w:p>
        </w:tc>
        <w:tc>
          <w:tcPr>
            <w:tcW w:w="405" w:type="pct"/>
            <w:vAlign w:val="center"/>
          </w:tcPr>
          <w:p w14:paraId="382A1F61">
            <w:pPr>
              <w:pStyle w:val="33"/>
              <w:rPr>
                <w:color w:val="auto"/>
              </w:rPr>
            </w:pPr>
            <w:r>
              <w:rPr>
                <w:color w:val="auto"/>
              </w:rPr>
              <w:t>2023年1月11日</w:t>
            </w:r>
          </w:p>
        </w:tc>
        <w:tc>
          <w:tcPr>
            <w:tcW w:w="304" w:type="pct"/>
            <w:vAlign w:val="center"/>
          </w:tcPr>
          <w:p w14:paraId="4302A734">
            <w:pPr>
              <w:pStyle w:val="33"/>
              <w:rPr>
                <w:color w:val="auto"/>
              </w:rPr>
            </w:pPr>
            <w:r>
              <w:rPr>
                <w:color w:val="auto"/>
              </w:rPr>
              <w:t>自主验收</w:t>
            </w:r>
          </w:p>
        </w:tc>
        <w:tc>
          <w:tcPr>
            <w:tcW w:w="304" w:type="pct"/>
            <w:vAlign w:val="center"/>
          </w:tcPr>
          <w:p w14:paraId="57D53CFF">
            <w:pPr>
              <w:pStyle w:val="33"/>
              <w:rPr>
                <w:color w:val="auto"/>
              </w:rPr>
            </w:pPr>
            <w:r>
              <w:rPr>
                <w:color w:val="auto"/>
              </w:rPr>
              <w:t>/</w:t>
            </w:r>
          </w:p>
        </w:tc>
        <w:tc>
          <w:tcPr>
            <w:tcW w:w="595" w:type="pct"/>
            <w:vAlign w:val="center"/>
          </w:tcPr>
          <w:p w14:paraId="2A91EAF0">
            <w:pPr>
              <w:pStyle w:val="33"/>
              <w:jc w:val="both"/>
              <w:rPr>
                <w:color w:val="auto"/>
              </w:rPr>
            </w:pPr>
            <w:r>
              <w:rPr>
                <w:color w:val="auto"/>
              </w:rPr>
              <w:t>90万t/a高档社会卡生产线完成验收，90万t/a食品卡纸生产线在建。</w:t>
            </w:r>
          </w:p>
        </w:tc>
      </w:tr>
      <w:tr w14:paraId="6875E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vAlign w:val="center"/>
          </w:tcPr>
          <w:p w14:paraId="763C8F8F">
            <w:pPr>
              <w:pStyle w:val="33"/>
              <w:rPr>
                <w:color w:val="auto"/>
              </w:rPr>
            </w:pPr>
            <w:r>
              <w:rPr>
                <w:color w:val="auto"/>
              </w:rPr>
              <w:t>9</w:t>
            </w:r>
          </w:p>
        </w:tc>
        <w:tc>
          <w:tcPr>
            <w:tcW w:w="694" w:type="pct"/>
            <w:vMerge w:val="restart"/>
            <w:vAlign w:val="center"/>
          </w:tcPr>
          <w:p w14:paraId="0C5C511F">
            <w:pPr>
              <w:pStyle w:val="33"/>
              <w:rPr>
                <w:color w:val="auto"/>
              </w:rPr>
            </w:pPr>
            <w:r>
              <w:rPr>
                <w:color w:val="auto"/>
              </w:rPr>
              <w:t>广西金桂浆纸业有限公司热电站超低排放技改工程</w:t>
            </w:r>
          </w:p>
        </w:tc>
        <w:tc>
          <w:tcPr>
            <w:tcW w:w="366" w:type="pct"/>
            <w:vMerge w:val="restart"/>
            <w:vAlign w:val="center"/>
          </w:tcPr>
          <w:p w14:paraId="4CA0C297">
            <w:pPr>
              <w:pStyle w:val="33"/>
              <w:rPr>
                <w:color w:val="auto"/>
              </w:rPr>
            </w:pPr>
            <w:r>
              <w:rPr>
                <w:color w:val="auto"/>
              </w:rPr>
              <w:t>2018年3月8日</w:t>
            </w:r>
          </w:p>
        </w:tc>
        <w:tc>
          <w:tcPr>
            <w:tcW w:w="531" w:type="pct"/>
            <w:vMerge w:val="restart"/>
            <w:vAlign w:val="center"/>
          </w:tcPr>
          <w:p w14:paraId="4E55FAC3">
            <w:pPr>
              <w:pStyle w:val="33"/>
              <w:rPr>
                <w:color w:val="auto"/>
              </w:rPr>
            </w:pPr>
            <w:r>
              <w:rPr>
                <w:color w:val="auto"/>
              </w:rPr>
              <w:t>原钦州市环境保护局</w:t>
            </w:r>
          </w:p>
        </w:tc>
        <w:tc>
          <w:tcPr>
            <w:tcW w:w="484" w:type="pct"/>
            <w:vMerge w:val="restart"/>
            <w:vAlign w:val="center"/>
          </w:tcPr>
          <w:p w14:paraId="5381F7DC">
            <w:pPr>
              <w:pStyle w:val="33"/>
              <w:rPr>
                <w:color w:val="auto"/>
              </w:rPr>
            </w:pPr>
            <w:r>
              <w:rPr>
                <w:color w:val="auto"/>
              </w:rPr>
              <w:t>钦港环管字〔2018〕7号</w:t>
            </w:r>
          </w:p>
        </w:tc>
        <w:tc>
          <w:tcPr>
            <w:tcW w:w="1165" w:type="pct"/>
            <w:vMerge w:val="restart"/>
            <w:vAlign w:val="center"/>
          </w:tcPr>
          <w:p w14:paraId="3C0E97C7">
            <w:pPr>
              <w:pStyle w:val="33"/>
              <w:jc w:val="both"/>
              <w:rPr>
                <w:color w:val="auto"/>
              </w:rPr>
            </w:pPr>
            <w:r>
              <w:rPr>
                <w:color w:val="auto"/>
              </w:rPr>
              <w:t>1#、2#共2台670t/h循环流化床燃煤锅炉进行超低排放改造</w:t>
            </w:r>
          </w:p>
        </w:tc>
        <w:tc>
          <w:tcPr>
            <w:tcW w:w="405" w:type="pct"/>
            <w:vAlign w:val="center"/>
          </w:tcPr>
          <w:p w14:paraId="16E17381">
            <w:pPr>
              <w:pStyle w:val="33"/>
              <w:rPr>
                <w:color w:val="auto"/>
              </w:rPr>
            </w:pPr>
            <w:r>
              <w:rPr>
                <w:color w:val="auto"/>
              </w:rPr>
              <w:t>2019年4月15日</w:t>
            </w:r>
          </w:p>
        </w:tc>
        <w:tc>
          <w:tcPr>
            <w:tcW w:w="304" w:type="pct"/>
            <w:vAlign w:val="center"/>
          </w:tcPr>
          <w:p w14:paraId="6218D6E8">
            <w:pPr>
              <w:pStyle w:val="33"/>
              <w:rPr>
                <w:color w:val="auto"/>
              </w:rPr>
            </w:pPr>
            <w:r>
              <w:rPr>
                <w:color w:val="auto"/>
              </w:rPr>
              <w:t>自主验收</w:t>
            </w:r>
          </w:p>
        </w:tc>
        <w:tc>
          <w:tcPr>
            <w:tcW w:w="304" w:type="pct"/>
            <w:vAlign w:val="center"/>
          </w:tcPr>
          <w:p w14:paraId="6DF96137">
            <w:pPr>
              <w:pStyle w:val="33"/>
              <w:rPr>
                <w:color w:val="auto"/>
              </w:rPr>
            </w:pPr>
            <w:r>
              <w:rPr>
                <w:color w:val="auto"/>
              </w:rPr>
              <w:t>/</w:t>
            </w:r>
          </w:p>
        </w:tc>
        <w:tc>
          <w:tcPr>
            <w:tcW w:w="595" w:type="pct"/>
            <w:vAlign w:val="center"/>
          </w:tcPr>
          <w:p w14:paraId="13135A24">
            <w:pPr>
              <w:pStyle w:val="33"/>
              <w:jc w:val="both"/>
              <w:rPr>
                <w:color w:val="auto"/>
              </w:rPr>
            </w:pPr>
            <w:r>
              <w:rPr>
                <w:color w:val="auto"/>
              </w:rPr>
              <w:t>废气、废水和噪声部分环境保护设施竣工验收</w:t>
            </w:r>
          </w:p>
        </w:tc>
      </w:tr>
      <w:tr w14:paraId="038AF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0DDC4DBD">
            <w:pPr>
              <w:pStyle w:val="33"/>
              <w:rPr>
                <w:color w:val="auto"/>
              </w:rPr>
            </w:pPr>
          </w:p>
        </w:tc>
        <w:tc>
          <w:tcPr>
            <w:tcW w:w="694" w:type="pct"/>
            <w:vMerge w:val="continue"/>
            <w:vAlign w:val="center"/>
          </w:tcPr>
          <w:p w14:paraId="579F05E1">
            <w:pPr>
              <w:pStyle w:val="33"/>
              <w:rPr>
                <w:color w:val="auto"/>
              </w:rPr>
            </w:pPr>
          </w:p>
        </w:tc>
        <w:tc>
          <w:tcPr>
            <w:tcW w:w="366" w:type="pct"/>
            <w:vMerge w:val="continue"/>
            <w:vAlign w:val="center"/>
          </w:tcPr>
          <w:p w14:paraId="0AB167C0">
            <w:pPr>
              <w:pStyle w:val="33"/>
              <w:rPr>
                <w:color w:val="auto"/>
              </w:rPr>
            </w:pPr>
          </w:p>
        </w:tc>
        <w:tc>
          <w:tcPr>
            <w:tcW w:w="531" w:type="pct"/>
            <w:vMerge w:val="continue"/>
            <w:vAlign w:val="center"/>
          </w:tcPr>
          <w:p w14:paraId="52E5F083">
            <w:pPr>
              <w:pStyle w:val="33"/>
              <w:rPr>
                <w:color w:val="auto"/>
              </w:rPr>
            </w:pPr>
          </w:p>
        </w:tc>
        <w:tc>
          <w:tcPr>
            <w:tcW w:w="484" w:type="pct"/>
            <w:vMerge w:val="continue"/>
            <w:vAlign w:val="center"/>
          </w:tcPr>
          <w:p w14:paraId="5A48C188">
            <w:pPr>
              <w:pStyle w:val="33"/>
              <w:rPr>
                <w:color w:val="auto"/>
              </w:rPr>
            </w:pPr>
          </w:p>
        </w:tc>
        <w:tc>
          <w:tcPr>
            <w:tcW w:w="1165" w:type="pct"/>
            <w:vMerge w:val="continue"/>
            <w:vAlign w:val="center"/>
          </w:tcPr>
          <w:p w14:paraId="3435667C">
            <w:pPr>
              <w:pStyle w:val="33"/>
              <w:rPr>
                <w:color w:val="auto"/>
              </w:rPr>
            </w:pPr>
          </w:p>
        </w:tc>
        <w:tc>
          <w:tcPr>
            <w:tcW w:w="405" w:type="pct"/>
            <w:vAlign w:val="center"/>
          </w:tcPr>
          <w:p w14:paraId="7FA961FC">
            <w:pPr>
              <w:pStyle w:val="33"/>
              <w:rPr>
                <w:color w:val="auto"/>
              </w:rPr>
            </w:pPr>
            <w:r>
              <w:rPr>
                <w:color w:val="auto"/>
              </w:rPr>
              <w:t>2019年5月27日</w:t>
            </w:r>
          </w:p>
        </w:tc>
        <w:tc>
          <w:tcPr>
            <w:tcW w:w="304" w:type="pct"/>
            <w:vAlign w:val="center"/>
          </w:tcPr>
          <w:p w14:paraId="2020F091">
            <w:pPr>
              <w:pStyle w:val="33"/>
              <w:rPr>
                <w:color w:val="auto"/>
              </w:rPr>
            </w:pPr>
            <w:r>
              <w:rPr>
                <w:color w:val="auto"/>
              </w:rPr>
              <w:t>钦州市生态环境局</w:t>
            </w:r>
          </w:p>
        </w:tc>
        <w:tc>
          <w:tcPr>
            <w:tcW w:w="304" w:type="pct"/>
            <w:vAlign w:val="center"/>
          </w:tcPr>
          <w:p w14:paraId="2AB9B36F">
            <w:pPr>
              <w:pStyle w:val="33"/>
              <w:rPr>
                <w:color w:val="auto"/>
              </w:rPr>
            </w:pPr>
            <w:r>
              <w:rPr>
                <w:color w:val="auto"/>
              </w:rPr>
              <w:t>钦港环验字〔2019〕7号</w:t>
            </w:r>
          </w:p>
        </w:tc>
        <w:tc>
          <w:tcPr>
            <w:tcW w:w="595" w:type="pct"/>
            <w:vAlign w:val="center"/>
          </w:tcPr>
          <w:p w14:paraId="31256B1D">
            <w:pPr>
              <w:pStyle w:val="33"/>
              <w:jc w:val="both"/>
              <w:rPr>
                <w:color w:val="auto"/>
              </w:rPr>
            </w:pPr>
            <w:r>
              <w:rPr>
                <w:color w:val="auto"/>
              </w:rPr>
              <w:t>固体废物环境保护设施竣工验收</w:t>
            </w:r>
          </w:p>
        </w:tc>
      </w:tr>
      <w:tr w14:paraId="3DCA7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0629C3F4">
            <w:pPr>
              <w:pStyle w:val="33"/>
              <w:rPr>
                <w:color w:val="auto"/>
              </w:rPr>
            </w:pPr>
            <w:r>
              <w:rPr>
                <w:color w:val="auto"/>
              </w:rPr>
              <w:t>10</w:t>
            </w:r>
          </w:p>
        </w:tc>
        <w:tc>
          <w:tcPr>
            <w:tcW w:w="694" w:type="pct"/>
            <w:vAlign w:val="center"/>
          </w:tcPr>
          <w:p w14:paraId="0B4F0A56">
            <w:pPr>
              <w:pStyle w:val="33"/>
              <w:rPr>
                <w:color w:val="auto"/>
              </w:rPr>
            </w:pPr>
            <w:r>
              <w:rPr>
                <w:color w:val="auto"/>
              </w:rPr>
              <w:t>广西金桂浆纸业有限公司年产30万吨过氧化氢（浓度27.5%）项目</w:t>
            </w:r>
          </w:p>
        </w:tc>
        <w:tc>
          <w:tcPr>
            <w:tcW w:w="366" w:type="pct"/>
            <w:vAlign w:val="center"/>
          </w:tcPr>
          <w:p w14:paraId="724C3C89">
            <w:pPr>
              <w:pStyle w:val="33"/>
              <w:rPr>
                <w:color w:val="auto"/>
              </w:rPr>
            </w:pPr>
            <w:r>
              <w:rPr>
                <w:color w:val="auto"/>
              </w:rPr>
              <w:t>2019年3月15日</w:t>
            </w:r>
          </w:p>
        </w:tc>
        <w:tc>
          <w:tcPr>
            <w:tcW w:w="531" w:type="pct"/>
            <w:vAlign w:val="center"/>
          </w:tcPr>
          <w:p w14:paraId="71BB55EB">
            <w:pPr>
              <w:pStyle w:val="33"/>
              <w:rPr>
                <w:color w:val="auto"/>
              </w:rPr>
            </w:pPr>
            <w:r>
              <w:rPr>
                <w:color w:val="auto"/>
              </w:rPr>
              <w:t>钦州市生态环境局</w:t>
            </w:r>
          </w:p>
        </w:tc>
        <w:tc>
          <w:tcPr>
            <w:tcW w:w="484" w:type="pct"/>
            <w:vAlign w:val="center"/>
          </w:tcPr>
          <w:p w14:paraId="3ADC05D8">
            <w:pPr>
              <w:pStyle w:val="33"/>
              <w:rPr>
                <w:color w:val="auto"/>
              </w:rPr>
            </w:pPr>
            <w:r>
              <w:rPr>
                <w:color w:val="auto"/>
              </w:rPr>
              <w:t>钦港环管字〔2019〕4号</w:t>
            </w:r>
          </w:p>
        </w:tc>
        <w:tc>
          <w:tcPr>
            <w:tcW w:w="1165" w:type="pct"/>
            <w:vAlign w:val="center"/>
          </w:tcPr>
          <w:p w14:paraId="25D8F17C">
            <w:pPr>
              <w:pStyle w:val="33"/>
              <w:jc w:val="both"/>
              <w:rPr>
                <w:color w:val="auto"/>
              </w:rPr>
            </w:pPr>
            <w:r>
              <w:rPr>
                <w:color w:val="auto"/>
              </w:rPr>
              <w:t>1套7500m</w:t>
            </w:r>
            <w:r>
              <w:rPr>
                <w:color w:val="auto"/>
                <w:vertAlign w:val="superscript"/>
              </w:rPr>
              <w:t>3</w:t>
            </w:r>
            <w:r>
              <w:rPr>
                <w:color w:val="auto"/>
              </w:rPr>
              <w:t>/h天然气制氢装置、1套30万t/a双氧水装置（浓度27.5%）</w:t>
            </w:r>
          </w:p>
        </w:tc>
        <w:tc>
          <w:tcPr>
            <w:tcW w:w="405" w:type="pct"/>
            <w:vAlign w:val="center"/>
          </w:tcPr>
          <w:p w14:paraId="0EB4D680">
            <w:pPr>
              <w:pStyle w:val="33"/>
              <w:rPr>
                <w:color w:val="auto"/>
              </w:rPr>
            </w:pPr>
            <w:r>
              <w:rPr>
                <w:color w:val="auto"/>
              </w:rPr>
              <w:t>2021年7月10日</w:t>
            </w:r>
          </w:p>
        </w:tc>
        <w:tc>
          <w:tcPr>
            <w:tcW w:w="304" w:type="pct"/>
            <w:vAlign w:val="center"/>
          </w:tcPr>
          <w:p w14:paraId="4A95A5AC">
            <w:pPr>
              <w:pStyle w:val="33"/>
              <w:rPr>
                <w:color w:val="auto"/>
              </w:rPr>
            </w:pPr>
            <w:r>
              <w:rPr>
                <w:color w:val="auto"/>
              </w:rPr>
              <w:t>自主验收</w:t>
            </w:r>
          </w:p>
        </w:tc>
        <w:tc>
          <w:tcPr>
            <w:tcW w:w="304" w:type="pct"/>
            <w:vAlign w:val="center"/>
          </w:tcPr>
          <w:p w14:paraId="6A0181A9">
            <w:pPr>
              <w:pStyle w:val="33"/>
              <w:rPr>
                <w:color w:val="auto"/>
              </w:rPr>
            </w:pPr>
            <w:r>
              <w:rPr>
                <w:color w:val="auto"/>
              </w:rPr>
              <w:t>/</w:t>
            </w:r>
          </w:p>
        </w:tc>
        <w:tc>
          <w:tcPr>
            <w:tcW w:w="595" w:type="pct"/>
            <w:vAlign w:val="center"/>
          </w:tcPr>
          <w:p w14:paraId="56D829DA">
            <w:pPr>
              <w:pStyle w:val="33"/>
              <w:rPr>
                <w:color w:val="auto"/>
              </w:rPr>
            </w:pPr>
            <w:r>
              <w:rPr>
                <w:color w:val="auto"/>
              </w:rPr>
              <w:t>与环评一致</w:t>
            </w:r>
          </w:p>
        </w:tc>
      </w:tr>
      <w:tr w14:paraId="0708A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restart"/>
            <w:vAlign w:val="center"/>
          </w:tcPr>
          <w:p w14:paraId="76176D54">
            <w:pPr>
              <w:pStyle w:val="33"/>
              <w:rPr>
                <w:color w:val="auto"/>
              </w:rPr>
            </w:pPr>
          </w:p>
          <w:p w14:paraId="1BD96FD8">
            <w:pPr>
              <w:pStyle w:val="33"/>
              <w:rPr>
                <w:color w:val="auto"/>
              </w:rPr>
            </w:pPr>
            <w:r>
              <w:rPr>
                <w:rFonts w:eastAsia="Times New Roman"/>
                <w:color w:val="auto"/>
                <w:spacing w:val="-13"/>
              </w:rPr>
              <w:t>11</w:t>
            </w:r>
          </w:p>
        </w:tc>
        <w:tc>
          <w:tcPr>
            <w:tcW w:w="694" w:type="pct"/>
            <w:vMerge w:val="restart"/>
            <w:vAlign w:val="center"/>
          </w:tcPr>
          <w:p w14:paraId="7FA48456">
            <w:pPr>
              <w:pStyle w:val="33"/>
              <w:rPr>
                <w:color w:val="auto"/>
              </w:rPr>
            </w:pPr>
            <w:r>
              <w:rPr>
                <w:color w:val="auto"/>
              </w:rPr>
              <w:t>广西金桂浆纸业有限公司年产75万吨化机浆扩建项目</w:t>
            </w:r>
          </w:p>
        </w:tc>
        <w:tc>
          <w:tcPr>
            <w:tcW w:w="366" w:type="pct"/>
            <w:vMerge w:val="restart"/>
            <w:vAlign w:val="center"/>
          </w:tcPr>
          <w:p w14:paraId="6575D365">
            <w:pPr>
              <w:pStyle w:val="33"/>
              <w:rPr>
                <w:color w:val="auto"/>
              </w:rPr>
            </w:pPr>
            <w:r>
              <w:rPr>
                <w:color w:val="auto"/>
              </w:rPr>
              <w:t>2020年5月25日</w:t>
            </w:r>
          </w:p>
        </w:tc>
        <w:tc>
          <w:tcPr>
            <w:tcW w:w="531" w:type="pct"/>
            <w:vMerge w:val="restart"/>
            <w:vAlign w:val="center"/>
          </w:tcPr>
          <w:p w14:paraId="743BC924">
            <w:pPr>
              <w:pStyle w:val="33"/>
              <w:rPr>
                <w:color w:val="auto"/>
              </w:rPr>
            </w:pPr>
            <w:r>
              <w:rPr>
                <w:color w:val="auto"/>
              </w:rPr>
              <w:t>广西壮族自治区生态环境厅</w:t>
            </w:r>
          </w:p>
        </w:tc>
        <w:tc>
          <w:tcPr>
            <w:tcW w:w="484" w:type="pct"/>
            <w:vMerge w:val="restart"/>
            <w:vAlign w:val="center"/>
          </w:tcPr>
          <w:p w14:paraId="34A06928">
            <w:pPr>
              <w:pStyle w:val="33"/>
              <w:rPr>
                <w:color w:val="auto"/>
              </w:rPr>
            </w:pPr>
            <w:r>
              <w:rPr>
                <w:color w:val="auto"/>
              </w:rPr>
              <w:t>桂环审〔2020〕152号</w:t>
            </w:r>
          </w:p>
        </w:tc>
        <w:tc>
          <w:tcPr>
            <w:tcW w:w="1165" w:type="pct"/>
            <w:vMerge w:val="restart"/>
            <w:vAlign w:val="center"/>
          </w:tcPr>
          <w:p w14:paraId="08EEFFC6">
            <w:pPr>
              <w:pStyle w:val="33"/>
              <w:jc w:val="both"/>
              <w:rPr>
                <w:color w:val="auto"/>
              </w:rPr>
            </w:pPr>
            <w:r>
              <w:rPr>
                <w:color w:val="auto"/>
              </w:rPr>
              <w:t>一期建设内容：1#~2#化机浆生产线扩建为30万t/a，3#化机浆生产线扩建为40万t/a。二期建设内容：新增50万t/a化机浆生产线（4#化机浆线）</w:t>
            </w:r>
          </w:p>
        </w:tc>
        <w:tc>
          <w:tcPr>
            <w:tcW w:w="405" w:type="pct"/>
            <w:vAlign w:val="center"/>
          </w:tcPr>
          <w:p w14:paraId="53D6F30B">
            <w:pPr>
              <w:pStyle w:val="33"/>
              <w:rPr>
                <w:color w:val="auto"/>
              </w:rPr>
            </w:pPr>
            <w:r>
              <w:rPr>
                <w:rFonts w:hint="eastAsia"/>
                <w:color w:val="auto"/>
              </w:rPr>
              <w:t>2024年12月18日</w:t>
            </w:r>
          </w:p>
        </w:tc>
        <w:tc>
          <w:tcPr>
            <w:tcW w:w="304" w:type="pct"/>
            <w:vAlign w:val="center"/>
          </w:tcPr>
          <w:p w14:paraId="7836DBF6">
            <w:pPr>
              <w:pStyle w:val="33"/>
              <w:rPr>
                <w:color w:val="auto"/>
              </w:rPr>
            </w:pPr>
            <w:r>
              <w:rPr>
                <w:color w:val="auto"/>
              </w:rPr>
              <w:t>自主验收</w:t>
            </w:r>
          </w:p>
        </w:tc>
        <w:tc>
          <w:tcPr>
            <w:tcW w:w="304" w:type="pct"/>
            <w:vAlign w:val="center"/>
          </w:tcPr>
          <w:p w14:paraId="6BA16CF1">
            <w:pPr>
              <w:pStyle w:val="33"/>
              <w:rPr>
                <w:color w:val="auto"/>
              </w:rPr>
            </w:pPr>
            <w:r>
              <w:rPr>
                <w:rFonts w:hint="eastAsia"/>
                <w:color w:val="auto"/>
              </w:rPr>
              <w:t>/</w:t>
            </w:r>
          </w:p>
        </w:tc>
        <w:tc>
          <w:tcPr>
            <w:tcW w:w="595" w:type="pct"/>
            <w:vAlign w:val="center"/>
          </w:tcPr>
          <w:p w14:paraId="2ADD4E11">
            <w:pPr>
              <w:pStyle w:val="33"/>
              <w:jc w:val="both"/>
              <w:rPr>
                <w:color w:val="auto"/>
              </w:rPr>
            </w:pPr>
            <w:r>
              <w:rPr>
                <w:rFonts w:hint="eastAsia"/>
                <w:color w:val="auto"/>
              </w:rPr>
              <w:t>一期</w:t>
            </w:r>
            <w:r>
              <w:rPr>
                <w:color w:val="auto"/>
              </w:rPr>
              <w:t>1#~2#化机浆生产线扩建为30万t/a，3#化机浆生产线扩建为40万t/a</w:t>
            </w:r>
          </w:p>
        </w:tc>
      </w:tr>
      <w:tr w14:paraId="355B4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Merge w:val="continue"/>
            <w:vAlign w:val="center"/>
          </w:tcPr>
          <w:p w14:paraId="71FCDB55">
            <w:pPr>
              <w:pStyle w:val="33"/>
              <w:rPr>
                <w:color w:val="auto"/>
              </w:rPr>
            </w:pPr>
          </w:p>
        </w:tc>
        <w:tc>
          <w:tcPr>
            <w:tcW w:w="694" w:type="pct"/>
            <w:vMerge w:val="continue"/>
            <w:vAlign w:val="center"/>
          </w:tcPr>
          <w:p w14:paraId="0C774EA2">
            <w:pPr>
              <w:pStyle w:val="33"/>
              <w:rPr>
                <w:color w:val="auto"/>
              </w:rPr>
            </w:pPr>
          </w:p>
        </w:tc>
        <w:tc>
          <w:tcPr>
            <w:tcW w:w="366" w:type="pct"/>
            <w:vMerge w:val="continue"/>
            <w:vAlign w:val="center"/>
          </w:tcPr>
          <w:p w14:paraId="58104EFA">
            <w:pPr>
              <w:pStyle w:val="33"/>
              <w:rPr>
                <w:color w:val="auto"/>
              </w:rPr>
            </w:pPr>
          </w:p>
        </w:tc>
        <w:tc>
          <w:tcPr>
            <w:tcW w:w="531" w:type="pct"/>
            <w:vMerge w:val="continue"/>
            <w:vAlign w:val="center"/>
          </w:tcPr>
          <w:p w14:paraId="04B2BA85">
            <w:pPr>
              <w:pStyle w:val="33"/>
              <w:rPr>
                <w:color w:val="auto"/>
              </w:rPr>
            </w:pPr>
          </w:p>
        </w:tc>
        <w:tc>
          <w:tcPr>
            <w:tcW w:w="484" w:type="pct"/>
            <w:vMerge w:val="continue"/>
            <w:vAlign w:val="center"/>
          </w:tcPr>
          <w:p w14:paraId="57AA30CB">
            <w:pPr>
              <w:pStyle w:val="33"/>
              <w:rPr>
                <w:color w:val="auto"/>
              </w:rPr>
            </w:pPr>
          </w:p>
        </w:tc>
        <w:tc>
          <w:tcPr>
            <w:tcW w:w="1165" w:type="pct"/>
            <w:vMerge w:val="continue"/>
            <w:vAlign w:val="center"/>
          </w:tcPr>
          <w:p w14:paraId="371EC998">
            <w:pPr>
              <w:pStyle w:val="33"/>
              <w:jc w:val="both"/>
              <w:rPr>
                <w:color w:val="auto"/>
              </w:rPr>
            </w:pPr>
          </w:p>
        </w:tc>
        <w:tc>
          <w:tcPr>
            <w:tcW w:w="1608" w:type="pct"/>
            <w:gridSpan w:val="4"/>
            <w:vAlign w:val="center"/>
          </w:tcPr>
          <w:p w14:paraId="33288AA3">
            <w:pPr>
              <w:pStyle w:val="33"/>
              <w:rPr>
                <w:color w:val="auto"/>
              </w:rPr>
            </w:pPr>
            <w:r>
              <w:rPr>
                <w:rFonts w:hint="eastAsia"/>
                <w:color w:val="auto"/>
              </w:rPr>
              <w:t>二期</w:t>
            </w:r>
            <w:r>
              <w:rPr>
                <w:color w:val="auto"/>
              </w:rPr>
              <w:t>在建</w:t>
            </w:r>
          </w:p>
        </w:tc>
      </w:tr>
      <w:tr w14:paraId="16242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0ADD9DAC">
            <w:pPr>
              <w:pStyle w:val="33"/>
              <w:rPr>
                <w:rFonts w:eastAsia="Times New Roman"/>
                <w:color w:val="auto"/>
              </w:rPr>
            </w:pPr>
            <w:r>
              <w:rPr>
                <w:rFonts w:eastAsia="Times New Roman"/>
                <w:color w:val="auto"/>
                <w:spacing w:val="-6"/>
              </w:rPr>
              <w:t>12</w:t>
            </w:r>
          </w:p>
        </w:tc>
        <w:tc>
          <w:tcPr>
            <w:tcW w:w="694" w:type="pct"/>
            <w:vAlign w:val="center"/>
          </w:tcPr>
          <w:p w14:paraId="72F687AE">
            <w:pPr>
              <w:pStyle w:val="33"/>
              <w:rPr>
                <w:color w:val="auto"/>
              </w:rPr>
            </w:pPr>
            <w:r>
              <w:rPr>
                <w:color w:val="auto"/>
                <w:spacing w:val="-2"/>
              </w:rPr>
              <w:t>广西金桂浆纸业有限公司年产</w:t>
            </w:r>
            <w:r>
              <w:rPr>
                <w:rFonts w:eastAsia="Times New Roman"/>
                <w:color w:val="auto"/>
                <w:spacing w:val="-2"/>
              </w:rPr>
              <w:t>40</w:t>
            </w:r>
            <w:r>
              <w:rPr>
                <w:color w:val="auto"/>
                <w:spacing w:val="-2"/>
              </w:rPr>
              <w:t>万吨</w:t>
            </w:r>
            <w:r>
              <w:rPr>
                <w:color w:val="auto"/>
                <w:spacing w:val="-1"/>
              </w:rPr>
              <w:t>高档纸板扩建项目备用锅炉排烟方式</w:t>
            </w:r>
            <w:r>
              <w:rPr>
                <w:color w:val="auto"/>
                <w:spacing w:val="-2"/>
              </w:rPr>
              <w:t>变更项目</w:t>
            </w:r>
          </w:p>
        </w:tc>
        <w:tc>
          <w:tcPr>
            <w:tcW w:w="366" w:type="pct"/>
            <w:vAlign w:val="center"/>
          </w:tcPr>
          <w:p w14:paraId="76C000E3">
            <w:pPr>
              <w:pStyle w:val="33"/>
              <w:rPr>
                <w:color w:val="auto"/>
              </w:rPr>
            </w:pPr>
            <w:r>
              <w:rPr>
                <w:rFonts w:eastAsia="Times New Roman"/>
                <w:color w:val="auto"/>
                <w:spacing w:val="-5"/>
              </w:rPr>
              <w:t>2021</w:t>
            </w:r>
            <w:r>
              <w:rPr>
                <w:color w:val="auto"/>
                <w:spacing w:val="-5"/>
              </w:rPr>
              <w:t>年</w:t>
            </w:r>
            <w:r>
              <w:rPr>
                <w:rFonts w:eastAsia="Times New Roman"/>
                <w:color w:val="auto"/>
                <w:spacing w:val="-5"/>
              </w:rPr>
              <w:t>10</w:t>
            </w:r>
            <w:r>
              <w:rPr>
                <w:color w:val="auto"/>
                <w:spacing w:val="-5"/>
              </w:rPr>
              <w:t>月</w:t>
            </w:r>
            <w:r>
              <w:rPr>
                <w:rFonts w:eastAsia="Times New Roman"/>
                <w:color w:val="auto"/>
                <w:spacing w:val="-5"/>
              </w:rPr>
              <w:t>18</w:t>
            </w:r>
            <w:r>
              <w:rPr>
                <w:color w:val="auto"/>
                <w:spacing w:val="-5"/>
              </w:rPr>
              <w:t>日</w:t>
            </w:r>
          </w:p>
        </w:tc>
        <w:tc>
          <w:tcPr>
            <w:tcW w:w="531" w:type="pct"/>
            <w:vAlign w:val="center"/>
          </w:tcPr>
          <w:p w14:paraId="3EEF0D36">
            <w:pPr>
              <w:pStyle w:val="33"/>
              <w:rPr>
                <w:color w:val="auto"/>
                <w:spacing w:val="-2"/>
              </w:rPr>
            </w:pPr>
            <w:r>
              <w:rPr>
                <w:color w:val="auto"/>
                <w:spacing w:val="-5"/>
              </w:rPr>
              <w:t>钦州市生态环境局</w:t>
            </w:r>
          </w:p>
        </w:tc>
        <w:tc>
          <w:tcPr>
            <w:tcW w:w="484" w:type="pct"/>
            <w:vAlign w:val="center"/>
          </w:tcPr>
          <w:p w14:paraId="73DA971F">
            <w:pPr>
              <w:pStyle w:val="33"/>
              <w:rPr>
                <w:color w:val="auto"/>
                <w:spacing w:val="-2"/>
              </w:rPr>
            </w:pPr>
            <w:r>
              <w:rPr>
                <w:color w:val="auto"/>
                <w:spacing w:val="-5"/>
              </w:rPr>
              <w:t>自贸</w:t>
            </w:r>
            <w:r>
              <w:rPr>
                <w:color w:val="auto"/>
                <w:spacing w:val="-3"/>
              </w:rPr>
              <w:t>钦港审批环〔</w:t>
            </w:r>
            <w:r>
              <w:rPr>
                <w:rFonts w:eastAsia="Times New Roman"/>
                <w:color w:val="auto"/>
                <w:spacing w:val="-3"/>
              </w:rPr>
              <w:t>2021</w:t>
            </w:r>
            <w:r>
              <w:rPr>
                <w:color w:val="auto"/>
                <w:spacing w:val="-3"/>
              </w:rPr>
              <w:t>〕</w:t>
            </w:r>
            <w:r>
              <w:rPr>
                <w:rFonts w:eastAsia="Times New Roman"/>
                <w:color w:val="auto"/>
                <w:spacing w:val="-3"/>
              </w:rPr>
              <w:t>6</w:t>
            </w:r>
            <w:r>
              <w:rPr>
                <w:color w:val="auto"/>
                <w:spacing w:val="-3"/>
              </w:rPr>
              <w:t>号</w:t>
            </w:r>
          </w:p>
        </w:tc>
        <w:tc>
          <w:tcPr>
            <w:tcW w:w="1165" w:type="pct"/>
            <w:vAlign w:val="center"/>
          </w:tcPr>
          <w:p w14:paraId="23E47D8B">
            <w:pPr>
              <w:pStyle w:val="33"/>
              <w:jc w:val="both"/>
              <w:rPr>
                <w:color w:val="auto"/>
                <w:spacing w:val="-2"/>
              </w:rPr>
            </w:pPr>
            <w:r>
              <w:rPr>
                <w:rFonts w:hint="eastAsia"/>
                <w:color w:val="auto"/>
              </w:rPr>
              <w:t>补建年产</w:t>
            </w:r>
            <w:r>
              <w:rPr>
                <w:color w:val="auto"/>
              </w:rPr>
              <w:t>40</w:t>
            </w:r>
            <w:r>
              <w:rPr>
                <w:rFonts w:hint="eastAsia"/>
                <w:color w:val="auto"/>
              </w:rPr>
              <w:t>万吨高档纸板扩建项目的备用</w:t>
            </w:r>
            <w:r>
              <w:rPr>
                <w:color w:val="auto"/>
              </w:rPr>
              <w:t>1</w:t>
            </w:r>
            <w:r>
              <w:rPr>
                <w:rFonts w:hint="eastAsia"/>
                <w:color w:val="auto"/>
              </w:rPr>
              <w:t>台</w:t>
            </w:r>
            <w:r>
              <w:rPr>
                <w:color w:val="auto"/>
              </w:rPr>
              <w:t>670t/h</w:t>
            </w:r>
            <w:r>
              <w:rPr>
                <w:rFonts w:hint="eastAsia"/>
                <w:color w:val="auto"/>
              </w:rPr>
              <w:t>循环流化床锅炉（</w:t>
            </w:r>
            <w:r>
              <w:rPr>
                <w:color w:val="auto"/>
              </w:rPr>
              <w:t>4#</w:t>
            </w:r>
            <w:r>
              <w:rPr>
                <w:rFonts w:hint="eastAsia"/>
                <w:color w:val="auto"/>
              </w:rPr>
              <w:t>锅炉）</w:t>
            </w:r>
          </w:p>
        </w:tc>
        <w:tc>
          <w:tcPr>
            <w:tcW w:w="1608" w:type="pct"/>
            <w:gridSpan w:val="4"/>
            <w:vAlign w:val="center"/>
          </w:tcPr>
          <w:p w14:paraId="0FB10BF3">
            <w:pPr>
              <w:pStyle w:val="33"/>
              <w:rPr>
                <w:color w:val="auto"/>
                <w:spacing w:val="-2"/>
              </w:rPr>
            </w:pPr>
            <w:r>
              <w:rPr>
                <w:color w:val="auto"/>
                <w:spacing w:val="-2"/>
              </w:rPr>
              <w:t>在建</w:t>
            </w:r>
          </w:p>
        </w:tc>
      </w:tr>
      <w:tr w14:paraId="5A226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03757E05">
            <w:pPr>
              <w:pStyle w:val="33"/>
              <w:rPr>
                <w:rFonts w:eastAsia="Times New Roman"/>
                <w:color w:val="auto"/>
              </w:rPr>
            </w:pPr>
            <w:r>
              <w:rPr>
                <w:color w:val="auto"/>
              </w:rPr>
              <w:t>13</w:t>
            </w:r>
          </w:p>
        </w:tc>
        <w:tc>
          <w:tcPr>
            <w:tcW w:w="694" w:type="pct"/>
            <w:vAlign w:val="center"/>
          </w:tcPr>
          <w:p w14:paraId="4D704175">
            <w:pPr>
              <w:pStyle w:val="33"/>
              <w:rPr>
                <w:color w:val="auto"/>
              </w:rPr>
            </w:pPr>
            <w:r>
              <w:rPr>
                <w:color w:val="auto"/>
                <w:spacing w:val="-2"/>
              </w:rPr>
              <w:t>广西金桂浆纸业有限公司年产</w:t>
            </w:r>
            <w:r>
              <w:rPr>
                <w:rFonts w:eastAsia="Times New Roman"/>
                <w:color w:val="auto"/>
                <w:spacing w:val="-2"/>
              </w:rPr>
              <w:t>25</w:t>
            </w:r>
            <w:r>
              <w:rPr>
                <w:color w:val="auto"/>
                <w:spacing w:val="-2"/>
              </w:rPr>
              <w:t>万吨丁苯胶乳项目</w:t>
            </w:r>
          </w:p>
        </w:tc>
        <w:tc>
          <w:tcPr>
            <w:tcW w:w="366" w:type="pct"/>
            <w:vAlign w:val="center"/>
          </w:tcPr>
          <w:p w14:paraId="668C15D2">
            <w:pPr>
              <w:pStyle w:val="33"/>
              <w:rPr>
                <w:color w:val="auto"/>
              </w:rPr>
            </w:pPr>
            <w:r>
              <w:rPr>
                <w:rFonts w:eastAsia="Times New Roman"/>
                <w:color w:val="auto"/>
              </w:rPr>
              <w:t>2022</w:t>
            </w:r>
            <w:r>
              <w:rPr>
                <w:color w:val="auto"/>
              </w:rPr>
              <w:t>年</w:t>
            </w:r>
            <w:r>
              <w:rPr>
                <w:rFonts w:eastAsia="Times New Roman"/>
                <w:color w:val="auto"/>
              </w:rPr>
              <w:t>12</w:t>
            </w:r>
            <w:r>
              <w:rPr>
                <w:color w:val="auto"/>
              </w:rPr>
              <w:t>月</w:t>
            </w:r>
            <w:r>
              <w:rPr>
                <w:rFonts w:eastAsia="Times New Roman"/>
                <w:color w:val="auto"/>
              </w:rPr>
              <w:t>30</w:t>
            </w:r>
            <w:r>
              <w:rPr>
                <w:color w:val="auto"/>
              </w:rPr>
              <w:t>日</w:t>
            </w:r>
          </w:p>
        </w:tc>
        <w:tc>
          <w:tcPr>
            <w:tcW w:w="531" w:type="pct"/>
            <w:vAlign w:val="center"/>
          </w:tcPr>
          <w:p w14:paraId="272DFDD8">
            <w:pPr>
              <w:pStyle w:val="33"/>
              <w:rPr>
                <w:color w:val="auto"/>
              </w:rPr>
            </w:pPr>
            <w:r>
              <w:rPr>
                <w:color w:val="auto"/>
              </w:rPr>
              <w:t>钦州市生态环境局</w:t>
            </w:r>
          </w:p>
        </w:tc>
        <w:tc>
          <w:tcPr>
            <w:tcW w:w="484" w:type="pct"/>
            <w:vAlign w:val="center"/>
          </w:tcPr>
          <w:p w14:paraId="2A70182B">
            <w:pPr>
              <w:pStyle w:val="33"/>
              <w:rPr>
                <w:color w:val="auto"/>
              </w:rPr>
            </w:pPr>
            <w:r>
              <w:rPr>
                <w:color w:val="auto"/>
                <w:spacing w:val="-5"/>
              </w:rPr>
              <w:t>自贸</w:t>
            </w:r>
            <w:r>
              <w:rPr>
                <w:color w:val="auto"/>
                <w:spacing w:val="-1"/>
              </w:rPr>
              <w:t>钦审批环〔</w:t>
            </w:r>
            <w:r>
              <w:rPr>
                <w:rFonts w:eastAsia="Times New Roman"/>
                <w:color w:val="auto"/>
                <w:spacing w:val="-1"/>
              </w:rPr>
              <w:t>2022</w:t>
            </w:r>
            <w:r>
              <w:rPr>
                <w:color w:val="auto"/>
                <w:spacing w:val="-1"/>
              </w:rPr>
              <w:t>〕</w:t>
            </w:r>
            <w:r>
              <w:rPr>
                <w:rFonts w:eastAsia="Times New Roman"/>
                <w:color w:val="auto"/>
                <w:spacing w:val="-1"/>
              </w:rPr>
              <w:t>55</w:t>
            </w:r>
            <w:r>
              <w:rPr>
                <w:color w:val="auto"/>
                <w:spacing w:val="-1"/>
              </w:rPr>
              <w:t>号</w:t>
            </w:r>
          </w:p>
        </w:tc>
        <w:tc>
          <w:tcPr>
            <w:tcW w:w="1165" w:type="pct"/>
            <w:vAlign w:val="center"/>
          </w:tcPr>
          <w:p w14:paraId="295BF527">
            <w:pPr>
              <w:pStyle w:val="33"/>
              <w:rPr>
                <w:color w:val="auto"/>
              </w:rPr>
            </w:pPr>
            <w:r>
              <w:rPr>
                <w:rFonts w:hint="eastAsia"/>
                <w:color w:val="auto"/>
              </w:rPr>
              <w:t>年产</w:t>
            </w:r>
            <w:r>
              <w:rPr>
                <w:color w:val="auto"/>
              </w:rPr>
              <w:t>25</w:t>
            </w:r>
            <w:r>
              <w:rPr>
                <w:rFonts w:hint="eastAsia"/>
                <w:color w:val="auto"/>
              </w:rPr>
              <w:t>万吨丁苯胶乳项目</w:t>
            </w:r>
          </w:p>
        </w:tc>
        <w:tc>
          <w:tcPr>
            <w:tcW w:w="1608" w:type="pct"/>
            <w:gridSpan w:val="4"/>
            <w:vAlign w:val="center"/>
          </w:tcPr>
          <w:p w14:paraId="47D8903D">
            <w:pPr>
              <w:pStyle w:val="33"/>
              <w:rPr>
                <w:color w:val="auto"/>
              </w:rPr>
            </w:pPr>
            <w:r>
              <w:rPr>
                <w:color w:val="auto"/>
              </w:rPr>
              <w:t>在建</w:t>
            </w:r>
          </w:p>
        </w:tc>
      </w:tr>
      <w:tr w14:paraId="41B0B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2" w:type="pct"/>
            <w:vAlign w:val="center"/>
          </w:tcPr>
          <w:p w14:paraId="73FFA62C">
            <w:pPr>
              <w:pStyle w:val="33"/>
              <w:rPr>
                <w:color w:val="auto"/>
              </w:rPr>
            </w:pPr>
            <w:r>
              <w:rPr>
                <w:rFonts w:hint="eastAsia"/>
                <w:color w:val="auto"/>
              </w:rPr>
              <w:t>14</w:t>
            </w:r>
          </w:p>
        </w:tc>
        <w:tc>
          <w:tcPr>
            <w:tcW w:w="694" w:type="pct"/>
            <w:vAlign w:val="center"/>
          </w:tcPr>
          <w:p w14:paraId="3196EC8F">
            <w:pPr>
              <w:pStyle w:val="33"/>
              <w:rPr>
                <w:color w:val="auto"/>
              </w:rPr>
            </w:pPr>
            <w:r>
              <w:rPr>
                <w:color w:val="auto"/>
              </w:rPr>
              <w:t>广西金桂浆纸业有限公司污水处理站绿色升级改造项目</w:t>
            </w:r>
          </w:p>
        </w:tc>
        <w:tc>
          <w:tcPr>
            <w:tcW w:w="366" w:type="pct"/>
            <w:vAlign w:val="center"/>
          </w:tcPr>
          <w:p w14:paraId="05FDE61F">
            <w:pPr>
              <w:pStyle w:val="33"/>
              <w:rPr>
                <w:color w:val="auto"/>
              </w:rPr>
            </w:pPr>
            <w:r>
              <w:rPr>
                <w:color w:val="auto"/>
              </w:rPr>
              <w:t>2026年1月4日</w:t>
            </w:r>
          </w:p>
        </w:tc>
        <w:tc>
          <w:tcPr>
            <w:tcW w:w="531" w:type="pct"/>
            <w:vAlign w:val="center"/>
          </w:tcPr>
          <w:p w14:paraId="7871E144">
            <w:pPr>
              <w:pStyle w:val="33"/>
              <w:rPr>
                <w:color w:val="auto"/>
              </w:rPr>
            </w:pPr>
            <w:r>
              <w:rPr>
                <w:color w:val="auto"/>
              </w:rPr>
              <w:t>中国一马来西亚钦州产业园区行政审批局</w:t>
            </w:r>
          </w:p>
        </w:tc>
        <w:tc>
          <w:tcPr>
            <w:tcW w:w="484" w:type="pct"/>
            <w:vAlign w:val="center"/>
          </w:tcPr>
          <w:p w14:paraId="43DBDBC6">
            <w:pPr>
              <w:pStyle w:val="33"/>
              <w:rPr>
                <w:color w:val="auto"/>
                <w:spacing w:val="-5"/>
              </w:rPr>
            </w:pPr>
            <w:r>
              <w:rPr>
                <w:rFonts w:hint="eastAsia"/>
                <w:color w:val="auto"/>
              </w:rPr>
              <w:t>中马园审批环〔</w:t>
            </w:r>
            <w:r>
              <w:rPr>
                <w:color w:val="auto"/>
              </w:rPr>
              <w:t>202</w:t>
            </w:r>
            <w:r>
              <w:rPr>
                <w:rFonts w:hint="eastAsia"/>
                <w:color w:val="auto"/>
              </w:rPr>
              <w:t>6〕1号</w:t>
            </w:r>
          </w:p>
        </w:tc>
        <w:tc>
          <w:tcPr>
            <w:tcW w:w="1165" w:type="pct"/>
            <w:vAlign w:val="center"/>
          </w:tcPr>
          <w:p w14:paraId="648B0E53">
            <w:pPr>
              <w:pStyle w:val="33"/>
              <w:jc w:val="both"/>
              <w:rPr>
                <w:color w:val="auto"/>
              </w:rPr>
            </w:pPr>
            <w:r>
              <w:rPr>
                <w:color w:val="auto"/>
              </w:rPr>
              <w:t>新建一套污水处理系统及对1#污水处理站部分老旧设备进行改造升级</w:t>
            </w:r>
            <w:r>
              <w:rPr>
                <w:rFonts w:hint="eastAsia"/>
                <w:color w:val="auto"/>
              </w:rPr>
              <w:t>，</w:t>
            </w:r>
            <w:r>
              <w:rPr>
                <w:color w:val="auto"/>
              </w:rPr>
              <w:t>1#污水处理站</w:t>
            </w:r>
            <w:r>
              <w:rPr>
                <w:rFonts w:hint="eastAsia"/>
                <w:color w:val="auto"/>
              </w:rPr>
              <w:t>60000</w:t>
            </w:r>
            <w:r>
              <w:rPr>
                <w:color w:val="auto"/>
              </w:rPr>
              <w:t>m</w:t>
            </w:r>
            <w:r>
              <w:rPr>
                <w:color w:val="auto"/>
                <w:vertAlign w:val="superscript"/>
              </w:rPr>
              <w:t>3</w:t>
            </w:r>
            <w:r>
              <w:rPr>
                <w:color w:val="auto"/>
              </w:rPr>
              <w:t>/d</w:t>
            </w:r>
            <w:r>
              <w:rPr>
                <w:rFonts w:hint="eastAsia"/>
                <w:color w:val="auto"/>
              </w:rPr>
              <w:t>处理和排放</w:t>
            </w:r>
            <w:r>
              <w:rPr>
                <w:color w:val="auto"/>
              </w:rPr>
              <w:t>规模不变，</w:t>
            </w:r>
            <w:r>
              <w:rPr>
                <w:rFonts w:hint="eastAsia"/>
                <w:color w:val="auto"/>
              </w:rPr>
              <w:t>其中21000</w:t>
            </w:r>
            <w:r>
              <w:rPr>
                <w:color w:val="auto"/>
              </w:rPr>
              <w:t>m</w:t>
            </w:r>
            <w:r>
              <w:rPr>
                <w:color w:val="auto"/>
                <w:vertAlign w:val="superscript"/>
              </w:rPr>
              <w:t>3</w:t>
            </w:r>
            <w:r>
              <w:rPr>
                <w:color w:val="auto"/>
              </w:rPr>
              <w:t>/d</w:t>
            </w:r>
            <w:r>
              <w:rPr>
                <w:rFonts w:hint="eastAsia"/>
                <w:color w:val="auto"/>
              </w:rPr>
              <w:t>经过本次新增污水处理设施，39000</w:t>
            </w:r>
            <w:r>
              <w:rPr>
                <w:color w:val="auto"/>
              </w:rPr>
              <w:t>m</w:t>
            </w:r>
            <w:r>
              <w:rPr>
                <w:color w:val="auto"/>
                <w:vertAlign w:val="superscript"/>
              </w:rPr>
              <w:t>3</w:t>
            </w:r>
            <w:r>
              <w:rPr>
                <w:color w:val="auto"/>
              </w:rPr>
              <w:t>/d</w:t>
            </w:r>
            <w:r>
              <w:rPr>
                <w:rFonts w:hint="eastAsia"/>
                <w:color w:val="auto"/>
              </w:rPr>
              <w:t>仍经过原污水处理设施</w:t>
            </w:r>
          </w:p>
        </w:tc>
        <w:tc>
          <w:tcPr>
            <w:tcW w:w="1608" w:type="pct"/>
            <w:gridSpan w:val="4"/>
            <w:vAlign w:val="center"/>
          </w:tcPr>
          <w:p w14:paraId="45B1665C">
            <w:pPr>
              <w:pStyle w:val="33"/>
              <w:rPr>
                <w:color w:val="auto"/>
              </w:rPr>
            </w:pPr>
            <w:r>
              <w:rPr>
                <w:rFonts w:hint="eastAsia"/>
                <w:color w:val="auto"/>
              </w:rPr>
              <w:t>在建</w:t>
            </w:r>
          </w:p>
        </w:tc>
      </w:tr>
    </w:tbl>
    <w:p w14:paraId="2DDB5563">
      <w:pPr>
        <w:ind w:firstLine="480"/>
        <w:rPr>
          <w:color w:val="auto"/>
        </w:rPr>
        <w:sectPr>
          <w:headerReference r:id="rId22" w:type="default"/>
          <w:footerReference r:id="rId23" w:type="default"/>
          <w:pgSz w:w="16838" w:h="11906" w:orient="landscape"/>
          <w:pgMar w:top="1418" w:right="1418" w:bottom="1418" w:left="1418" w:header="851" w:footer="992" w:gutter="0"/>
          <w:pgNumType w:fmt="numberInDash"/>
          <w:cols w:space="425" w:num="1"/>
          <w:docGrid w:type="lines" w:linePitch="326" w:charSpace="0"/>
        </w:sectPr>
      </w:pPr>
    </w:p>
    <w:p w14:paraId="6BA89233">
      <w:pPr>
        <w:pStyle w:val="3"/>
        <w:rPr>
          <w:color w:val="auto"/>
        </w:rPr>
      </w:pPr>
      <w:bookmarkStart w:id="157" w:name="_Toc225216670"/>
      <w:bookmarkStart w:id="158" w:name="_Toc221355703"/>
      <w:r>
        <w:rPr>
          <w:color w:val="auto"/>
        </w:rPr>
        <w:t>现有工程概况</w:t>
      </w:r>
      <w:bookmarkEnd w:id="157"/>
      <w:bookmarkEnd w:id="158"/>
    </w:p>
    <w:p w14:paraId="3CFD952E">
      <w:pPr>
        <w:pStyle w:val="4"/>
        <w:rPr>
          <w:color w:val="auto"/>
        </w:rPr>
      </w:pPr>
      <w:bookmarkStart w:id="159" w:name="_Toc225216671"/>
      <w:r>
        <w:rPr>
          <w:color w:val="auto"/>
        </w:rPr>
        <w:t>项目组成</w:t>
      </w:r>
      <w:bookmarkEnd w:id="159"/>
    </w:p>
    <w:p w14:paraId="6750D9DA">
      <w:pPr>
        <w:ind w:firstLine="480"/>
        <w:rPr>
          <w:color w:val="auto"/>
        </w:rPr>
      </w:pPr>
      <w:r>
        <w:rPr>
          <w:color w:val="auto"/>
        </w:rPr>
        <w:t>广西金桂浆纸业有限公司厂区现有工程主要包括</w:t>
      </w:r>
      <w:r>
        <w:rPr>
          <w:rFonts w:hint="eastAsia"/>
          <w:color w:val="auto"/>
        </w:rPr>
        <w:t>100</w:t>
      </w:r>
      <w:r>
        <w:rPr>
          <w:color w:val="auto"/>
        </w:rPr>
        <w:t>万t/a化机浆（1#、2#化机浆线</w:t>
      </w:r>
      <w:r>
        <w:rPr>
          <w:rFonts w:hint="eastAsia"/>
          <w:color w:val="auto"/>
        </w:rPr>
        <w:t>均30</w:t>
      </w:r>
      <w:r>
        <w:rPr>
          <w:color w:val="auto"/>
        </w:rPr>
        <w:t>万t/a</w:t>
      </w:r>
      <w:r>
        <w:rPr>
          <w:rFonts w:hint="eastAsia"/>
          <w:color w:val="auto"/>
        </w:rPr>
        <w:t>、3#化机浆线40万t/a</w:t>
      </w:r>
      <w:r>
        <w:rPr>
          <w:color w:val="auto"/>
        </w:rPr>
        <w:t>），100万t/a白卡纸（1#纸机），90万t/a高档社会卡纸（2#纸机），30万t/a过氧化氢（浓度27.5%）装置以及相关公辅环保设施。现有工程建设内容包括主体工程、辅助工程、公用工程、储运设施等，具</w:t>
      </w:r>
      <w:r>
        <w:rPr>
          <w:color w:val="auto"/>
          <w:spacing w:val="-7"/>
        </w:rPr>
        <w:t>体</w:t>
      </w:r>
      <w:r>
        <w:rPr>
          <w:color w:val="auto"/>
        </w:rPr>
        <w:t>组成情况见</w:t>
      </w:r>
      <w:r>
        <w:rPr>
          <w:rFonts w:hint="eastAsia"/>
          <w:color w:val="auto"/>
        </w:rPr>
        <w:t>下表</w:t>
      </w:r>
      <w:r>
        <w:rPr>
          <w:color w:val="auto"/>
          <w:spacing w:val="-2"/>
        </w:rPr>
        <w:t>。</w:t>
      </w:r>
    </w:p>
    <w:p w14:paraId="23C27FBA">
      <w:pPr>
        <w:pStyle w:val="7"/>
        <w:rPr>
          <w:color w:val="auto"/>
        </w:rPr>
      </w:pPr>
      <w:r>
        <w:rPr>
          <w:color w:val="auto"/>
        </w:rPr>
        <w:t>现有工程主要组成情况一览表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79"/>
        <w:gridCol w:w="1020"/>
        <w:gridCol w:w="6524"/>
        <w:gridCol w:w="1163"/>
      </w:tblGrid>
      <w:tr w14:paraId="6E7641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312" w:type="pct"/>
            <w:vAlign w:val="center"/>
          </w:tcPr>
          <w:p w14:paraId="77AABBE3">
            <w:pPr>
              <w:pStyle w:val="33"/>
              <w:rPr>
                <w:color w:val="auto"/>
              </w:rPr>
            </w:pPr>
            <w:r>
              <w:rPr>
                <w:color w:val="auto"/>
              </w:rPr>
              <w:t>序号</w:t>
            </w:r>
          </w:p>
        </w:tc>
        <w:tc>
          <w:tcPr>
            <w:tcW w:w="549" w:type="pct"/>
            <w:vAlign w:val="center"/>
          </w:tcPr>
          <w:p w14:paraId="6BF6F1F1">
            <w:pPr>
              <w:pStyle w:val="33"/>
              <w:rPr>
                <w:color w:val="auto"/>
              </w:rPr>
            </w:pPr>
            <w:r>
              <w:rPr>
                <w:color w:val="auto"/>
                <w:spacing w:val="-4"/>
              </w:rPr>
              <w:t>工程名称</w:t>
            </w:r>
          </w:p>
        </w:tc>
        <w:tc>
          <w:tcPr>
            <w:tcW w:w="3513" w:type="pct"/>
            <w:vAlign w:val="center"/>
          </w:tcPr>
          <w:p w14:paraId="7BAC9BC4">
            <w:pPr>
              <w:pStyle w:val="33"/>
              <w:rPr>
                <w:color w:val="auto"/>
              </w:rPr>
            </w:pPr>
            <w:r>
              <w:rPr>
                <w:color w:val="auto"/>
              </w:rPr>
              <w:t>内容及规模</w:t>
            </w:r>
          </w:p>
        </w:tc>
        <w:tc>
          <w:tcPr>
            <w:tcW w:w="626" w:type="pct"/>
            <w:vAlign w:val="center"/>
          </w:tcPr>
          <w:p w14:paraId="27E099BA">
            <w:pPr>
              <w:pStyle w:val="33"/>
              <w:rPr>
                <w:color w:val="auto"/>
              </w:rPr>
            </w:pPr>
            <w:r>
              <w:rPr>
                <w:color w:val="auto"/>
                <w:spacing w:val="-5"/>
              </w:rPr>
              <w:t>备注</w:t>
            </w:r>
          </w:p>
        </w:tc>
      </w:tr>
      <w:tr w14:paraId="2589D5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9B0FA94">
            <w:pPr>
              <w:pStyle w:val="33"/>
              <w:jc w:val="both"/>
              <w:rPr>
                <w:color w:val="auto"/>
              </w:rPr>
            </w:pPr>
            <w:r>
              <w:rPr>
                <w:rFonts w:eastAsia="Times New Roman"/>
                <w:color w:val="auto"/>
                <w:spacing w:val="-5"/>
              </w:rPr>
              <w:t>1</w:t>
            </w:r>
            <w:r>
              <w:rPr>
                <w:color w:val="auto"/>
                <w:spacing w:val="-5"/>
              </w:rPr>
              <w:t>、主体工程</w:t>
            </w:r>
          </w:p>
        </w:tc>
      </w:tr>
      <w:tr w14:paraId="675CA6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33D867B5">
            <w:pPr>
              <w:pStyle w:val="33"/>
              <w:rPr>
                <w:rFonts w:eastAsia="Times New Roman"/>
                <w:color w:val="auto"/>
              </w:rPr>
            </w:pPr>
            <w:r>
              <w:rPr>
                <w:rFonts w:eastAsia="Times New Roman"/>
                <w:color w:val="auto"/>
                <w:spacing w:val="-8"/>
              </w:rPr>
              <w:t>1.1</w:t>
            </w:r>
          </w:p>
        </w:tc>
        <w:tc>
          <w:tcPr>
            <w:tcW w:w="549" w:type="pct"/>
            <w:vAlign w:val="center"/>
          </w:tcPr>
          <w:p w14:paraId="100F5443">
            <w:pPr>
              <w:pStyle w:val="33"/>
              <w:rPr>
                <w:color w:val="auto"/>
              </w:rPr>
            </w:pPr>
            <w:r>
              <w:rPr>
                <w:color w:val="auto"/>
                <w:spacing w:val="-3"/>
              </w:rPr>
              <w:t>备料车间</w:t>
            </w:r>
          </w:p>
        </w:tc>
        <w:tc>
          <w:tcPr>
            <w:tcW w:w="3513" w:type="pct"/>
            <w:vAlign w:val="center"/>
          </w:tcPr>
          <w:p w14:paraId="37204916">
            <w:pPr>
              <w:pStyle w:val="33"/>
              <w:jc w:val="both"/>
              <w:rPr>
                <w:color w:val="auto"/>
              </w:rPr>
            </w:pPr>
            <w:r>
              <w:rPr>
                <w:color w:val="auto"/>
                <w:spacing w:val="-5"/>
              </w:rPr>
              <w:t>含原木切片、筛选、木片存储和送料。建有</w:t>
            </w:r>
            <w:r>
              <w:rPr>
                <w:rFonts w:eastAsia="Times New Roman"/>
                <w:color w:val="auto"/>
                <w:spacing w:val="-5"/>
              </w:rPr>
              <w:t>4</w:t>
            </w:r>
            <w:r>
              <w:rPr>
                <w:color w:val="auto"/>
                <w:spacing w:val="-5"/>
              </w:rPr>
              <w:t>条切片生产</w:t>
            </w:r>
            <w:r>
              <w:rPr>
                <w:color w:val="auto"/>
                <w:spacing w:val="-1"/>
              </w:rPr>
              <w:t>线（</w:t>
            </w:r>
            <w:r>
              <w:rPr>
                <w:rFonts w:eastAsia="Times New Roman"/>
                <w:color w:val="auto"/>
                <w:spacing w:val="-1"/>
              </w:rPr>
              <w:t>1</w:t>
            </w:r>
            <w:r>
              <w:rPr>
                <w:color w:val="auto"/>
                <w:spacing w:val="-1"/>
              </w:rPr>
              <w:t>条</w:t>
            </w:r>
            <w:r>
              <w:rPr>
                <w:rFonts w:eastAsia="Times New Roman"/>
                <w:color w:val="auto"/>
                <w:spacing w:val="-1"/>
              </w:rPr>
              <w:t>110m</w:t>
            </w:r>
            <w:r>
              <w:rPr>
                <w:rFonts w:eastAsia="Times New Roman"/>
                <w:color w:val="auto"/>
                <w:spacing w:val="-1"/>
                <w:position w:val="7"/>
                <w:sz w:val="14"/>
                <w:szCs w:val="14"/>
              </w:rPr>
              <w:t>3</w:t>
            </w:r>
            <w:r>
              <w:rPr>
                <w:rFonts w:eastAsia="Times New Roman"/>
                <w:color w:val="auto"/>
                <w:spacing w:val="-1"/>
              </w:rPr>
              <w:t>sub/h</w:t>
            </w:r>
            <w:r>
              <w:rPr>
                <w:color w:val="auto"/>
                <w:spacing w:val="-1"/>
              </w:rPr>
              <w:t>鼓式切片机线，</w:t>
            </w:r>
            <w:r>
              <w:rPr>
                <w:rFonts w:eastAsia="Times New Roman"/>
                <w:color w:val="auto"/>
                <w:spacing w:val="-1"/>
              </w:rPr>
              <w:t>3</w:t>
            </w:r>
            <w:r>
              <w:rPr>
                <w:color w:val="auto"/>
                <w:spacing w:val="-1"/>
              </w:rPr>
              <w:t>条</w:t>
            </w:r>
            <w:r>
              <w:rPr>
                <w:rFonts w:eastAsia="Times New Roman"/>
                <w:color w:val="auto"/>
                <w:spacing w:val="-1"/>
              </w:rPr>
              <w:t>160m</w:t>
            </w:r>
            <w:r>
              <w:rPr>
                <w:rFonts w:eastAsia="Times New Roman"/>
                <w:color w:val="auto"/>
                <w:spacing w:val="-1"/>
                <w:position w:val="7"/>
                <w:sz w:val="14"/>
                <w:szCs w:val="14"/>
              </w:rPr>
              <w:t>3</w:t>
            </w:r>
            <w:r>
              <w:rPr>
                <w:rFonts w:eastAsia="Times New Roman"/>
                <w:color w:val="auto"/>
                <w:spacing w:val="-1"/>
              </w:rPr>
              <w:t>sub/h</w:t>
            </w:r>
            <w:r>
              <w:rPr>
                <w:color w:val="auto"/>
                <w:spacing w:val="-1"/>
              </w:rPr>
              <w:t>盘</w:t>
            </w:r>
            <w:r>
              <w:rPr>
                <w:color w:val="auto"/>
                <w:spacing w:val="-8"/>
              </w:rPr>
              <w:t>式切片机线）和</w:t>
            </w:r>
            <w:r>
              <w:rPr>
                <w:rFonts w:eastAsia="Times New Roman"/>
                <w:color w:val="auto"/>
                <w:spacing w:val="-8"/>
              </w:rPr>
              <w:t>1</w:t>
            </w:r>
            <w:r>
              <w:rPr>
                <w:color w:val="auto"/>
                <w:spacing w:val="-8"/>
              </w:rPr>
              <w:t>条外购木片处理线（能力为</w:t>
            </w:r>
            <w:r>
              <w:rPr>
                <w:rFonts w:eastAsia="Times New Roman"/>
                <w:color w:val="auto"/>
                <w:spacing w:val="-3"/>
              </w:rPr>
              <w:t>1000m</w:t>
            </w:r>
            <w:r>
              <w:rPr>
                <w:rFonts w:eastAsia="Times New Roman"/>
                <w:color w:val="auto"/>
                <w:spacing w:val="-3"/>
                <w:position w:val="7"/>
                <w:sz w:val="14"/>
                <w:szCs w:val="14"/>
              </w:rPr>
              <w:t>3</w:t>
            </w:r>
            <w:r>
              <w:rPr>
                <w:rFonts w:eastAsia="Times New Roman"/>
                <w:color w:val="auto"/>
                <w:spacing w:val="-3"/>
              </w:rPr>
              <w:t>lc/h</w:t>
            </w:r>
            <w:r>
              <w:rPr>
                <w:color w:val="auto"/>
                <w:spacing w:val="-3"/>
              </w:rPr>
              <w:t>）。</w:t>
            </w:r>
          </w:p>
        </w:tc>
        <w:tc>
          <w:tcPr>
            <w:tcW w:w="626" w:type="pct"/>
            <w:vAlign w:val="center"/>
          </w:tcPr>
          <w:p w14:paraId="6CA0940D">
            <w:pPr>
              <w:pStyle w:val="33"/>
              <w:rPr>
                <w:rFonts w:eastAsia="Times New Roman"/>
                <w:color w:val="auto"/>
              </w:rPr>
            </w:pPr>
            <w:r>
              <w:rPr>
                <w:rFonts w:eastAsia="Times New Roman"/>
                <w:color w:val="auto"/>
              </w:rPr>
              <w:t>/</w:t>
            </w:r>
          </w:p>
        </w:tc>
      </w:tr>
      <w:tr w14:paraId="061F8A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68673080">
            <w:pPr>
              <w:pStyle w:val="33"/>
              <w:rPr>
                <w:rFonts w:eastAsia="Times New Roman"/>
                <w:color w:val="auto"/>
              </w:rPr>
            </w:pPr>
            <w:r>
              <w:rPr>
                <w:rFonts w:eastAsia="Times New Roman"/>
                <w:color w:val="auto"/>
                <w:spacing w:val="-8"/>
              </w:rPr>
              <w:t>1.2</w:t>
            </w:r>
          </w:p>
        </w:tc>
        <w:tc>
          <w:tcPr>
            <w:tcW w:w="549" w:type="pct"/>
            <w:vAlign w:val="center"/>
          </w:tcPr>
          <w:p w14:paraId="59BC7BDC">
            <w:pPr>
              <w:pStyle w:val="33"/>
              <w:rPr>
                <w:color w:val="auto"/>
              </w:rPr>
            </w:pPr>
            <w:r>
              <w:rPr>
                <w:color w:val="auto"/>
                <w:spacing w:val="-3"/>
              </w:rPr>
              <w:t>化机浆车</w:t>
            </w:r>
            <w:r>
              <w:rPr>
                <w:color w:val="auto"/>
              </w:rPr>
              <w:t>间</w:t>
            </w:r>
          </w:p>
        </w:tc>
        <w:tc>
          <w:tcPr>
            <w:tcW w:w="3513" w:type="pct"/>
            <w:vAlign w:val="center"/>
          </w:tcPr>
          <w:p w14:paraId="2EE88D33">
            <w:pPr>
              <w:pStyle w:val="33"/>
              <w:jc w:val="both"/>
              <w:rPr>
                <w:color w:val="auto"/>
              </w:rPr>
            </w:pPr>
            <w:r>
              <w:rPr>
                <w:color w:val="auto"/>
              </w:rPr>
              <w:t>1#，</w:t>
            </w:r>
            <w:r>
              <w:rPr>
                <w:rFonts w:hint="eastAsia"/>
                <w:color w:val="auto"/>
              </w:rPr>
              <w:t>30</w:t>
            </w:r>
            <w:r>
              <w:rPr>
                <w:color w:val="auto"/>
              </w:rPr>
              <w:t>万t/aPRC-APMP化机浆</w:t>
            </w:r>
            <w:r>
              <w:rPr>
                <w:color w:val="auto"/>
                <w:spacing w:val="-2"/>
              </w:rPr>
              <w:t>制浆生产线；</w:t>
            </w:r>
          </w:p>
          <w:p w14:paraId="2A7DB50C">
            <w:pPr>
              <w:pStyle w:val="33"/>
              <w:jc w:val="both"/>
              <w:rPr>
                <w:color w:val="auto"/>
                <w:spacing w:val="-3"/>
              </w:rPr>
            </w:pPr>
            <w:r>
              <w:rPr>
                <w:color w:val="auto"/>
                <w:spacing w:val="-2"/>
              </w:rPr>
              <w:t>2#，</w:t>
            </w:r>
            <w:r>
              <w:rPr>
                <w:rFonts w:hint="eastAsia"/>
                <w:color w:val="auto"/>
              </w:rPr>
              <w:t>30</w:t>
            </w:r>
            <w:r>
              <w:rPr>
                <w:color w:val="auto"/>
              </w:rPr>
              <w:t>万</w:t>
            </w:r>
            <w:r>
              <w:rPr>
                <w:color w:val="auto"/>
                <w:spacing w:val="-2"/>
              </w:rPr>
              <w:t>t/aPRC-APMP化机浆制浆生产线</w:t>
            </w:r>
            <w:r>
              <w:rPr>
                <w:color w:val="auto"/>
                <w:spacing w:val="-3"/>
              </w:rPr>
              <w:t>；</w:t>
            </w:r>
          </w:p>
          <w:p w14:paraId="339746D5">
            <w:pPr>
              <w:pStyle w:val="33"/>
              <w:jc w:val="both"/>
              <w:rPr>
                <w:color w:val="auto"/>
              </w:rPr>
            </w:pPr>
            <w:r>
              <w:rPr>
                <w:rFonts w:eastAsia="Times New Roman"/>
                <w:color w:val="auto"/>
                <w:spacing w:val="-1"/>
              </w:rPr>
              <w:t>3#</w:t>
            </w:r>
            <w:r>
              <w:rPr>
                <w:color w:val="auto"/>
                <w:spacing w:val="-1"/>
              </w:rPr>
              <w:t>，</w:t>
            </w:r>
            <w:r>
              <w:rPr>
                <w:color w:val="auto"/>
              </w:rPr>
              <w:t>40</w:t>
            </w:r>
            <w:r>
              <w:rPr>
                <w:color w:val="auto"/>
                <w:spacing w:val="-1"/>
              </w:rPr>
              <w:t>万</w:t>
            </w:r>
            <w:r>
              <w:rPr>
                <w:rFonts w:eastAsia="Times New Roman"/>
                <w:color w:val="auto"/>
                <w:spacing w:val="-1"/>
              </w:rPr>
              <w:t>t/aBCTMP</w:t>
            </w:r>
            <w:r>
              <w:rPr>
                <w:color w:val="auto"/>
                <w:spacing w:val="-1"/>
              </w:rPr>
              <w:t>化机浆制浆生产线</w:t>
            </w:r>
            <w:r>
              <w:rPr>
                <w:color w:val="auto"/>
                <w:spacing w:val="-2"/>
              </w:rPr>
              <w:t>。</w:t>
            </w:r>
          </w:p>
        </w:tc>
        <w:tc>
          <w:tcPr>
            <w:tcW w:w="626" w:type="pct"/>
            <w:vAlign w:val="center"/>
          </w:tcPr>
          <w:p w14:paraId="4D851911">
            <w:pPr>
              <w:pStyle w:val="33"/>
              <w:rPr>
                <w:rFonts w:eastAsia="Times New Roman"/>
                <w:color w:val="auto"/>
              </w:rPr>
            </w:pPr>
            <w:r>
              <w:rPr>
                <w:rFonts w:eastAsia="Times New Roman"/>
                <w:color w:val="auto"/>
              </w:rPr>
              <w:t>/</w:t>
            </w:r>
          </w:p>
        </w:tc>
      </w:tr>
      <w:tr w14:paraId="6BB30B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0303C001">
            <w:pPr>
              <w:pStyle w:val="33"/>
              <w:rPr>
                <w:rFonts w:eastAsia="Times New Roman"/>
                <w:color w:val="auto"/>
              </w:rPr>
            </w:pPr>
            <w:r>
              <w:rPr>
                <w:rFonts w:eastAsia="Times New Roman"/>
                <w:color w:val="auto"/>
                <w:spacing w:val="-8"/>
              </w:rPr>
              <w:t>1.3</w:t>
            </w:r>
          </w:p>
        </w:tc>
        <w:tc>
          <w:tcPr>
            <w:tcW w:w="549" w:type="pct"/>
            <w:vAlign w:val="center"/>
          </w:tcPr>
          <w:p w14:paraId="41E9A4EE">
            <w:pPr>
              <w:pStyle w:val="33"/>
              <w:rPr>
                <w:color w:val="auto"/>
              </w:rPr>
            </w:pPr>
            <w:r>
              <w:rPr>
                <w:rFonts w:eastAsia="Times New Roman"/>
                <w:color w:val="auto"/>
                <w:spacing w:val="-5"/>
              </w:rPr>
              <w:t>1#</w:t>
            </w:r>
            <w:r>
              <w:rPr>
                <w:color w:val="auto"/>
                <w:spacing w:val="-5"/>
              </w:rPr>
              <w:t>造纸车</w:t>
            </w:r>
            <w:r>
              <w:rPr>
                <w:color w:val="auto"/>
              </w:rPr>
              <w:t>间</w:t>
            </w:r>
          </w:p>
        </w:tc>
        <w:tc>
          <w:tcPr>
            <w:tcW w:w="3513" w:type="pct"/>
            <w:vAlign w:val="center"/>
          </w:tcPr>
          <w:p w14:paraId="3B690BA4">
            <w:pPr>
              <w:pStyle w:val="33"/>
              <w:jc w:val="both"/>
              <w:rPr>
                <w:color w:val="auto"/>
              </w:rPr>
            </w:pPr>
            <w:r>
              <w:rPr>
                <w:rFonts w:eastAsia="Times New Roman"/>
                <w:color w:val="auto"/>
                <w:spacing w:val="-3"/>
              </w:rPr>
              <w:t>1#</w:t>
            </w:r>
            <w:r>
              <w:rPr>
                <w:color w:val="auto"/>
                <w:spacing w:val="-3"/>
              </w:rPr>
              <w:t>，</w:t>
            </w:r>
            <w:r>
              <w:rPr>
                <w:rFonts w:eastAsia="Times New Roman"/>
                <w:color w:val="auto"/>
                <w:spacing w:val="-3"/>
              </w:rPr>
              <w:t>100</w:t>
            </w:r>
            <w:r>
              <w:rPr>
                <w:color w:val="auto"/>
                <w:spacing w:val="-3"/>
              </w:rPr>
              <w:t>万</w:t>
            </w:r>
            <w:r>
              <w:rPr>
                <w:rFonts w:eastAsia="Times New Roman"/>
                <w:color w:val="auto"/>
                <w:spacing w:val="-3"/>
              </w:rPr>
              <w:t>t/a</w:t>
            </w:r>
            <w:r>
              <w:rPr>
                <w:color w:val="auto"/>
                <w:spacing w:val="-3"/>
              </w:rPr>
              <w:t>食品级白卡纸生产线，纸机幅宽</w:t>
            </w:r>
            <w:r>
              <w:rPr>
                <w:rFonts w:eastAsia="Times New Roman"/>
                <w:color w:val="auto"/>
                <w:spacing w:val="-4"/>
              </w:rPr>
              <w:t>8100mm</w:t>
            </w:r>
            <w:r>
              <w:rPr>
                <w:color w:val="auto"/>
                <w:spacing w:val="-4"/>
              </w:rPr>
              <w:t>，</w:t>
            </w:r>
            <w:r>
              <w:rPr>
                <w:rFonts w:eastAsia="Times New Roman"/>
                <w:color w:val="auto"/>
                <w:spacing w:val="-2"/>
              </w:rPr>
              <w:t>3529t/d</w:t>
            </w:r>
            <w:r>
              <w:rPr>
                <w:color w:val="auto"/>
                <w:spacing w:val="-2"/>
              </w:rPr>
              <w:t>，</w:t>
            </w:r>
            <w:r>
              <w:rPr>
                <w:rFonts w:hint="eastAsia"/>
                <w:color w:val="auto"/>
                <w:spacing w:val="-2"/>
              </w:rPr>
              <w:t>车速1200m/min，定量250g/m</w:t>
            </w:r>
            <w:r>
              <w:rPr>
                <w:rFonts w:hint="eastAsia"/>
                <w:color w:val="auto"/>
                <w:spacing w:val="-2"/>
                <w:vertAlign w:val="superscript"/>
              </w:rPr>
              <w:t>2</w:t>
            </w:r>
            <w:r>
              <w:rPr>
                <w:color w:val="auto"/>
                <w:spacing w:val="-2"/>
              </w:rPr>
              <w:t>。</w:t>
            </w:r>
          </w:p>
        </w:tc>
        <w:tc>
          <w:tcPr>
            <w:tcW w:w="626" w:type="pct"/>
            <w:vAlign w:val="center"/>
          </w:tcPr>
          <w:p w14:paraId="47F06081">
            <w:pPr>
              <w:pStyle w:val="33"/>
              <w:rPr>
                <w:rFonts w:eastAsia="Times New Roman"/>
                <w:color w:val="auto"/>
              </w:rPr>
            </w:pPr>
            <w:r>
              <w:rPr>
                <w:rFonts w:eastAsia="Times New Roman"/>
                <w:color w:val="auto"/>
              </w:rPr>
              <w:t>/</w:t>
            </w:r>
          </w:p>
        </w:tc>
      </w:tr>
      <w:tr w14:paraId="36B0D6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4EBDE745">
            <w:pPr>
              <w:pStyle w:val="33"/>
              <w:rPr>
                <w:rFonts w:eastAsia="Times New Roman"/>
                <w:color w:val="auto"/>
              </w:rPr>
            </w:pPr>
            <w:r>
              <w:rPr>
                <w:rFonts w:eastAsia="Times New Roman"/>
                <w:color w:val="auto"/>
                <w:spacing w:val="-8"/>
              </w:rPr>
              <w:t>1.4</w:t>
            </w:r>
          </w:p>
        </w:tc>
        <w:tc>
          <w:tcPr>
            <w:tcW w:w="549" w:type="pct"/>
            <w:vAlign w:val="center"/>
          </w:tcPr>
          <w:p w14:paraId="665E2199">
            <w:pPr>
              <w:pStyle w:val="33"/>
              <w:rPr>
                <w:color w:val="auto"/>
              </w:rPr>
            </w:pPr>
            <w:r>
              <w:rPr>
                <w:rFonts w:eastAsia="Times New Roman"/>
                <w:color w:val="auto"/>
                <w:spacing w:val="-1"/>
              </w:rPr>
              <w:t>2#</w:t>
            </w:r>
            <w:r>
              <w:rPr>
                <w:color w:val="auto"/>
                <w:spacing w:val="-1"/>
              </w:rPr>
              <w:t>造纸车</w:t>
            </w:r>
            <w:r>
              <w:rPr>
                <w:color w:val="auto"/>
              </w:rPr>
              <w:t>间</w:t>
            </w:r>
          </w:p>
        </w:tc>
        <w:tc>
          <w:tcPr>
            <w:tcW w:w="3513" w:type="pct"/>
            <w:vAlign w:val="center"/>
          </w:tcPr>
          <w:p w14:paraId="443BDB20">
            <w:pPr>
              <w:pStyle w:val="33"/>
              <w:jc w:val="both"/>
              <w:rPr>
                <w:color w:val="auto"/>
              </w:rPr>
            </w:pPr>
            <w:r>
              <w:rPr>
                <w:rFonts w:eastAsia="Times New Roman"/>
                <w:color w:val="auto"/>
                <w:spacing w:val="-5"/>
              </w:rPr>
              <w:t>2#</w:t>
            </w:r>
            <w:r>
              <w:rPr>
                <w:color w:val="auto"/>
                <w:spacing w:val="-5"/>
              </w:rPr>
              <w:t>，</w:t>
            </w:r>
            <w:r>
              <w:rPr>
                <w:rFonts w:eastAsia="Times New Roman"/>
                <w:color w:val="auto"/>
                <w:spacing w:val="-5"/>
              </w:rPr>
              <w:t>90</w:t>
            </w:r>
            <w:r>
              <w:rPr>
                <w:color w:val="auto"/>
                <w:spacing w:val="-5"/>
              </w:rPr>
              <w:t>万</w:t>
            </w:r>
            <w:r>
              <w:rPr>
                <w:rFonts w:eastAsia="Times New Roman"/>
                <w:color w:val="auto"/>
                <w:spacing w:val="-5"/>
              </w:rPr>
              <w:t>t/a</w:t>
            </w:r>
            <w:r>
              <w:rPr>
                <w:color w:val="auto"/>
                <w:spacing w:val="-5"/>
              </w:rPr>
              <w:t>高档社会卡纸生产线，纸机幅宽</w:t>
            </w:r>
            <w:r>
              <w:rPr>
                <w:rFonts w:eastAsia="Times New Roman"/>
                <w:color w:val="auto"/>
                <w:spacing w:val="-5"/>
              </w:rPr>
              <w:t>8100mm</w:t>
            </w:r>
            <w:r>
              <w:rPr>
                <w:color w:val="auto"/>
                <w:spacing w:val="-5"/>
              </w:rPr>
              <w:t>，工</w:t>
            </w:r>
            <w:r>
              <w:rPr>
                <w:color w:val="auto"/>
                <w:spacing w:val="-1"/>
              </w:rPr>
              <w:t>作车速</w:t>
            </w:r>
            <w:r>
              <w:rPr>
                <w:rFonts w:eastAsia="Times New Roman"/>
                <w:color w:val="auto"/>
                <w:spacing w:val="-1"/>
              </w:rPr>
              <w:t>1300m/min</w:t>
            </w:r>
            <w:r>
              <w:rPr>
                <w:color w:val="auto"/>
                <w:spacing w:val="-1"/>
              </w:rPr>
              <w:t>，设计结构车速</w:t>
            </w:r>
            <w:r>
              <w:rPr>
                <w:rFonts w:eastAsia="Times New Roman"/>
                <w:color w:val="auto"/>
                <w:spacing w:val="-1"/>
              </w:rPr>
              <w:t>1450m/min</w:t>
            </w:r>
            <w:r>
              <w:rPr>
                <w:color w:val="auto"/>
                <w:spacing w:val="-1"/>
              </w:rPr>
              <w:t>。定量</w:t>
            </w:r>
            <w:r>
              <w:rPr>
                <w:rFonts w:eastAsia="Times New Roman"/>
                <w:color w:val="auto"/>
                <w:spacing w:val="-1"/>
              </w:rPr>
              <w:t>190-</w:t>
            </w:r>
            <w:r>
              <w:rPr>
                <w:rFonts w:eastAsia="Times New Roman"/>
                <w:color w:val="auto"/>
                <w:spacing w:val="-2"/>
              </w:rPr>
              <w:t>300g/m</w:t>
            </w:r>
            <w:r>
              <w:rPr>
                <w:rFonts w:eastAsia="Times New Roman"/>
                <w:color w:val="auto"/>
                <w:spacing w:val="-2"/>
                <w:position w:val="7"/>
                <w:sz w:val="14"/>
                <w:szCs w:val="14"/>
              </w:rPr>
              <w:t>2</w:t>
            </w:r>
            <w:r>
              <w:rPr>
                <w:color w:val="auto"/>
                <w:spacing w:val="-2"/>
              </w:rPr>
              <w:t>。</w:t>
            </w:r>
          </w:p>
        </w:tc>
        <w:tc>
          <w:tcPr>
            <w:tcW w:w="626" w:type="pct"/>
            <w:vAlign w:val="center"/>
          </w:tcPr>
          <w:p w14:paraId="47522DB8">
            <w:pPr>
              <w:pStyle w:val="33"/>
              <w:rPr>
                <w:rFonts w:eastAsia="Times New Roman"/>
                <w:color w:val="auto"/>
              </w:rPr>
            </w:pPr>
            <w:r>
              <w:rPr>
                <w:rFonts w:eastAsia="Times New Roman"/>
                <w:color w:val="auto"/>
              </w:rPr>
              <w:t>/</w:t>
            </w:r>
          </w:p>
        </w:tc>
      </w:tr>
      <w:tr w14:paraId="1D0607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39235F26">
            <w:pPr>
              <w:pStyle w:val="33"/>
              <w:jc w:val="both"/>
              <w:rPr>
                <w:color w:val="auto"/>
              </w:rPr>
            </w:pPr>
            <w:r>
              <w:rPr>
                <w:rFonts w:eastAsia="Times New Roman"/>
                <w:color w:val="auto"/>
                <w:spacing w:val="-2"/>
              </w:rPr>
              <w:t>2</w:t>
            </w:r>
            <w:r>
              <w:rPr>
                <w:color w:val="auto"/>
                <w:spacing w:val="-2"/>
              </w:rPr>
              <w:t>、辅助工程</w:t>
            </w:r>
          </w:p>
        </w:tc>
      </w:tr>
      <w:tr w14:paraId="490F7B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0B614DA5">
            <w:pPr>
              <w:pStyle w:val="33"/>
              <w:rPr>
                <w:rFonts w:eastAsia="Times New Roman"/>
                <w:color w:val="auto"/>
              </w:rPr>
            </w:pPr>
            <w:r>
              <w:rPr>
                <w:rFonts w:eastAsia="Times New Roman"/>
                <w:color w:val="auto"/>
                <w:spacing w:val="-2"/>
              </w:rPr>
              <w:t>2.1</w:t>
            </w:r>
          </w:p>
        </w:tc>
        <w:tc>
          <w:tcPr>
            <w:tcW w:w="549" w:type="pct"/>
            <w:vAlign w:val="center"/>
          </w:tcPr>
          <w:p w14:paraId="2EEC6598">
            <w:pPr>
              <w:pStyle w:val="33"/>
              <w:rPr>
                <w:color w:val="auto"/>
              </w:rPr>
            </w:pPr>
            <w:r>
              <w:rPr>
                <w:rFonts w:hint="eastAsia"/>
                <w:color w:val="auto"/>
                <w:spacing w:val="-2"/>
              </w:rPr>
              <w:t>1#</w:t>
            </w:r>
            <w:r>
              <w:rPr>
                <w:color w:val="auto"/>
                <w:spacing w:val="-2"/>
              </w:rPr>
              <w:t>碱回收车</w:t>
            </w:r>
            <w:r>
              <w:rPr>
                <w:color w:val="auto"/>
              </w:rPr>
              <w:t>间</w:t>
            </w:r>
          </w:p>
        </w:tc>
        <w:tc>
          <w:tcPr>
            <w:tcW w:w="3513" w:type="pct"/>
            <w:vAlign w:val="center"/>
          </w:tcPr>
          <w:p w14:paraId="3E0249F7">
            <w:pPr>
              <w:pStyle w:val="33"/>
              <w:jc w:val="both"/>
              <w:rPr>
                <w:color w:val="auto"/>
              </w:rPr>
            </w:pPr>
            <w:r>
              <w:rPr>
                <w:color w:val="auto"/>
                <w:spacing w:val="-8"/>
              </w:rPr>
              <w:t>主要包括蒸发、燃烧、苛化工段，固形物设计处理</w:t>
            </w:r>
            <w:r>
              <w:rPr>
                <w:color w:val="auto"/>
              </w:rPr>
              <w:t>能力</w:t>
            </w:r>
            <w:r>
              <w:rPr>
                <w:rFonts w:eastAsia="Times New Roman"/>
                <w:color w:val="auto"/>
                <w:spacing w:val="-1"/>
              </w:rPr>
              <w:t>400tD.S/d</w:t>
            </w:r>
            <w:r>
              <w:rPr>
                <w:color w:val="auto"/>
                <w:spacing w:val="-1"/>
              </w:rPr>
              <w:t>。</w:t>
            </w:r>
          </w:p>
          <w:p w14:paraId="78DC6916">
            <w:pPr>
              <w:pStyle w:val="33"/>
              <w:jc w:val="both"/>
              <w:rPr>
                <w:color w:val="auto"/>
                <w:spacing w:val="-2"/>
              </w:rPr>
            </w:pPr>
            <w:r>
              <w:rPr>
                <w:rFonts w:hint="eastAsia" w:ascii="宋体" w:hAnsi="宋体" w:cs="宋体"/>
                <w:color w:val="auto"/>
                <w:spacing w:val="-1"/>
              </w:rPr>
              <w:t>①</w:t>
            </w:r>
            <w:r>
              <w:rPr>
                <w:color w:val="auto"/>
                <w:spacing w:val="-1"/>
              </w:rPr>
              <w:t>蒸发工段：</w:t>
            </w:r>
            <w:r>
              <w:rPr>
                <w:rFonts w:eastAsia="Times New Roman"/>
                <w:color w:val="auto"/>
                <w:spacing w:val="-1"/>
              </w:rPr>
              <w:t>2</w:t>
            </w:r>
            <w:r>
              <w:rPr>
                <w:color w:val="auto"/>
                <w:spacing w:val="-1"/>
              </w:rPr>
              <w:t>套</w:t>
            </w:r>
            <w:r>
              <w:rPr>
                <w:rFonts w:eastAsia="Times New Roman"/>
                <w:color w:val="auto"/>
                <w:spacing w:val="-1"/>
              </w:rPr>
              <w:t>10</w:t>
            </w:r>
            <w:r>
              <w:rPr>
                <w:color w:val="auto"/>
                <w:spacing w:val="-1"/>
              </w:rPr>
              <w:t>体</w:t>
            </w:r>
            <w:r>
              <w:rPr>
                <w:rFonts w:eastAsia="Times New Roman"/>
                <w:color w:val="auto"/>
                <w:spacing w:val="-1"/>
              </w:rPr>
              <w:t>8</w:t>
            </w:r>
            <w:r>
              <w:rPr>
                <w:color w:val="auto"/>
                <w:spacing w:val="-1"/>
              </w:rPr>
              <w:t>效管式降膜蒸发器组，设计蒸发</w:t>
            </w:r>
            <w:r>
              <w:rPr>
                <w:color w:val="auto"/>
                <w:spacing w:val="-2"/>
              </w:rPr>
              <w:t>水量</w:t>
            </w:r>
            <w:r>
              <w:rPr>
                <w:rFonts w:eastAsia="Times New Roman"/>
                <w:color w:val="auto"/>
                <w:spacing w:val="-2"/>
              </w:rPr>
              <w:t>2</w:t>
            </w:r>
            <w:r>
              <w:rPr>
                <w:color w:val="auto"/>
                <w:spacing w:val="-2"/>
              </w:rPr>
              <w:t>×</w:t>
            </w:r>
            <w:r>
              <w:rPr>
                <w:rFonts w:eastAsia="Times New Roman"/>
                <w:color w:val="auto"/>
                <w:spacing w:val="-2"/>
              </w:rPr>
              <w:t>800t/h</w:t>
            </w:r>
            <w:r>
              <w:rPr>
                <w:color w:val="auto"/>
                <w:spacing w:val="-2"/>
              </w:rPr>
              <w:t>；</w:t>
            </w:r>
          </w:p>
          <w:p w14:paraId="3AB86176">
            <w:pPr>
              <w:pStyle w:val="33"/>
              <w:jc w:val="both"/>
              <w:rPr>
                <w:color w:val="auto"/>
                <w:spacing w:val="-1"/>
              </w:rPr>
            </w:pPr>
            <w:r>
              <w:rPr>
                <w:rFonts w:hint="eastAsia" w:ascii="宋体" w:hAnsi="宋体" w:cs="宋体"/>
                <w:color w:val="auto"/>
                <w:spacing w:val="5"/>
              </w:rPr>
              <w:t>②</w:t>
            </w:r>
            <w:r>
              <w:rPr>
                <w:color w:val="auto"/>
                <w:spacing w:val="5"/>
              </w:rPr>
              <w:t>碱回收炉：单汽包低臭型碱回收炉，处理能力</w:t>
            </w:r>
            <w:r>
              <w:rPr>
                <w:rFonts w:eastAsia="Times New Roman"/>
                <w:color w:val="auto"/>
                <w:spacing w:val="-2"/>
              </w:rPr>
              <w:t>400tD.S/d</w:t>
            </w:r>
            <w:r>
              <w:rPr>
                <w:color w:val="auto"/>
                <w:spacing w:val="-2"/>
              </w:rPr>
              <w:t>，额定蒸发量</w:t>
            </w:r>
            <w:r>
              <w:rPr>
                <w:rFonts w:eastAsia="Times New Roman"/>
                <w:color w:val="auto"/>
                <w:spacing w:val="-2"/>
              </w:rPr>
              <w:t>40t/h</w:t>
            </w:r>
            <w:r>
              <w:rPr>
                <w:color w:val="auto"/>
                <w:spacing w:val="-2"/>
              </w:rPr>
              <w:t>，配套双列四电场静电除尘</w:t>
            </w:r>
            <w:r>
              <w:rPr>
                <w:color w:val="auto"/>
                <w:spacing w:val="-1"/>
              </w:rPr>
              <w:t>器，烟囱</w:t>
            </w:r>
            <w:r>
              <w:rPr>
                <w:rFonts w:eastAsia="Times New Roman"/>
                <w:color w:val="auto"/>
                <w:spacing w:val="-1"/>
              </w:rPr>
              <w:t>100mH</w:t>
            </w:r>
            <w:r>
              <w:rPr>
                <w:color w:val="auto"/>
                <w:spacing w:val="-1"/>
              </w:rPr>
              <w:t>×Ф</w:t>
            </w:r>
            <w:r>
              <w:rPr>
                <w:rFonts w:eastAsia="Times New Roman"/>
                <w:color w:val="auto"/>
                <w:spacing w:val="-1"/>
              </w:rPr>
              <w:t>2.60m</w:t>
            </w:r>
            <w:r>
              <w:rPr>
                <w:color w:val="auto"/>
                <w:spacing w:val="-1"/>
              </w:rPr>
              <w:t>；</w:t>
            </w:r>
          </w:p>
          <w:p w14:paraId="4E7FB812">
            <w:pPr>
              <w:pStyle w:val="33"/>
              <w:jc w:val="both"/>
              <w:rPr>
                <w:color w:val="auto"/>
              </w:rPr>
            </w:pPr>
            <w:r>
              <w:rPr>
                <w:rFonts w:hint="eastAsia" w:ascii="宋体" w:hAnsi="宋体" w:cs="宋体"/>
                <w:color w:val="auto"/>
                <w:spacing w:val="-1"/>
              </w:rPr>
              <w:t>③</w:t>
            </w:r>
            <w:r>
              <w:rPr>
                <w:color w:val="auto"/>
                <w:spacing w:val="-1"/>
              </w:rPr>
              <w:t>苛化工段：苛化率</w:t>
            </w:r>
            <w:r>
              <w:rPr>
                <w:rFonts w:eastAsia="Times New Roman"/>
                <w:color w:val="auto"/>
                <w:spacing w:val="-1"/>
              </w:rPr>
              <w:t>85%</w:t>
            </w:r>
            <w:r>
              <w:rPr>
                <w:color w:val="auto"/>
                <w:spacing w:val="-1"/>
              </w:rPr>
              <w:t>，碱回收率≥</w:t>
            </w:r>
            <w:r>
              <w:rPr>
                <w:rFonts w:eastAsia="Times New Roman"/>
                <w:color w:val="auto"/>
                <w:spacing w:val="-1"/>
              </w:rPr>
              <w:t>80%</w:t>
            </w:r>
            <w:r>
              <w:rPr>
                <w:color w:val="auto"/>
                <w:spacing w:val="-1"/>
              </w:rPr>
              <w:t>。</w:t>
            </w:r>
          </w:p>
        </w:tc>
        <w:tc>
          <w:tcPr>
            <w:tcW w:w="626" w:type="pct"/>
            <w:vAlign w:val="center"/>
          </w:tcPr>
          <w:p w14:paraId="721920E2">
            <w:pPr>
              <w:pStyle w:val="33"/>
              <w:rPr>
                <w:rFonts w:eastAsia="Times New Roman"/>
                <w:color w:val="auto"/>
              </w:rPr>
            </w:pPr>
            <w:r>
              <w:rPr>
                <w:rFonts w:eastAsia="Times New Roman"/>
                <w:color w:val="auto"/>
              </w:rPr>
              <w:t>/</w:t>
            </w:r>
          </w:p>
        </w:tc>
      </w:tr>
      <w:tr w14:paraId="59E6F6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71F76D75">
            <w:pPr>
              <w:pStyle w:val="33"/>
              <w:rPr>
                <w:rFonts w:eastAsia="Times New Roman"/>
                <w:color w:val="auto"/>
              </w:rPr>
            </w:pPr>
            <w:r>
              <w:rPr>
                <w:rFonts w:eastAsia="Times New Roman"/>
                <w:color w:val="auto"/>
                <w:spacing w:val="-2"/>
              </w:rPr>
              <w:t>2.2</w:t>
            </w:r>
          </w:p>
        </w:tc>
        <w:tc>
          <w:tcPr>
            <w:tcW w:w="549" w:type="pct"/>
            <w:vAlign w:val="center"/>
          </w:tcPr>
          <w:p w14:paraId="3C2F1857">
            <w:pPr>
              <w:pStyle w:val="33"/>
              <w:rPr>
                <w:color w:val="auto"/>
              </w:rPr>
            </w:pPr>
            <w:r>
              <w:rPr>
                <w:color w:val="auto"/>
                <w:spacing w:val="-3"/>
              </w:rPr>
              <w:t>压缩空气</w:t>
            </w:r>
            <w:r>
              <w:rPr>
                <w:color w:val="auto"/>
              </w:rPr>
              <w:t>站</w:t>
            </w:r>
          </w:p>
        </w:tc>
        <w:tc>
          <w:tcPr>
            <w:tcW w:w="3513" w:type="pct"/>
            <w:vAlign w:val="center"/>
          </w:tcPr>
          <w:p w14:paraId="75C59EBD">
            <w:pPr>
              <w:pStyle w:val="33"/>
              <w:jc w:val="both"/>
              <w:rPr>
                <w:color w:val="auto"/>
              </w:rPr>
            </w:pPr>
            <w:r>
              <w:rPr>
                <w:rFonts w:eastAsia="Times New Roman"/>
                <w:color w:val="auto"/>
                <w:spacing w:val="-2"/>
              </w:rPr>
              <w:t>0.7-0.8Mpa</w:t>
            </w:r>
            <w:r>
              <w:rPr>
                <w:color w:val="auto"/>
                <w:spacing w:val="-2"/>
              </w:rPr>
              <w:t>，</w:t>
            </w:r>
            <w:r>
              <w:rPr>
                <w:rFonts w:eastAsia="Times New Roman"/>
                <w:color w:val="auto"/>
                <w:spacing w:val="-2"/>
              </w:rPr>
              <w:t>400m</w:t>
            </w:r>
            <w:r>
              <w:rPr>
                <w:rFonts w:eastAsia="Times New Roman"/>
                <w:color w:val="auto"/>
                <w:spacing w:val="-2"/>
                <w:position w:val="7"/>
                <w:sz w:val="14"/>
                <w:szCs w:val="14"/>
              </w:rPr>
              <w:t>3</w:t>
            </w:r>
            <w:r>
              <w:rPr>
                <w:rFonts w:eastAsia="Times New Roman"/>
                <w:color w:val="auto"/>
                <w:spacing w:val="-2"/>
              </w:rPr>
              <w:t>/min</w:t>
            </w:r>
            <w:r>
              <w:rPr>
                <w:color w:val="auto"/>
                <w:spacing w:val="-2"/>
              </w:rPr>
              <w:t>。</w:t>
            </w:r>
          </w:p>
        </w:tc>
        <w:tc>
          <w:tcPr>
            <w:tcW w:w="626" w:type="pct"/>
            <w:vAlign w:val="center"/>
          </w:tcPr>
          <w:p w14:paraId="3967B065">
            <w:pPr>
              <w:pStyle w:val="33"/>
              <w:rPr>
                <w:rFonts w:eastAsia="Times New Roman"/>
                <w:color w:val="auto"/>
              </w:rPr>
            </w:pPr>
            <w:r>
              <w:rPr>
                <w:rFonts w:eastAsia="Times New Roman"/>
                <w:color w:val="auto"/>
              </w:rPr>
              <w:t>/</w:t>
            </w:r>
          </w:p>
        </w:tc>
      </w:tr>
      <w:tr w14:paraId="709C5A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0C93DD7E">
            <w:pPr>
              <w:pStyle w:val="33"/>
              <w:rPr>
                <w:rFonts w:eastAsia="Times New Roman"/>
                <w:color w:val="auto"/>
              </w:rPr>
            </w:pPr>
            <w:r>
              <w:rPr>
                <w:rFonts w:eastAsia="Times New Roman"/>
                <w:color w:val="auto"/>
                <w:spacing w:val="-2"/>
              </w:rPr>
              <w:t>2.3</w:t>
            </w:r>
          </w:p>
        </w:tc>
        <w:tc>
          <w:tcPr>
            <w:tcW w:w="549" w:type="pct"/>
            <w:vAlign w:val="center"/>
          </w:tcPr>
          <w:p w14:paraId="1FA4ECCA">
            <w:pPr>
              <w:pStyle w:val="33"/>
              <w:rPr>
                <w:color w:val="auto"/>
              </w:rPr>
            </w:pPr>
            <w:r>
              <w:rPr>
                <w:rFonts w:eastAsia="Times New Roman"/>
                <w:color w:val="auto"/>
                <w:spacing w:val="-1"/>
              </w:rPr>
              <w:t>LPG</w:t>
            </w:r>
            <w:r>
              <w:rPr>
                <w:color w:val="auto"/>
                <w:spacing w:val="-1"/>
              </w:rPr>
              <w:t>车间</w:t>
            </w:r>
          </w:p>
        </w:tc>
        <w:tc>
          <w:tcPr>
            <w:tcW w:w="3513" w:type="pct"/>
            <w:vAlign w:val="center"/>
          </w:tcPr>
          <w:p w14:paraId="151CB5D6">
            <w:pPr>
              <w:pStyle w:val="33"/>
              <w:jc w:val="both"/>
              <w:rPr>
                <w:color w:val="auto"/>
              </w:rPr>
            </w:pPr>
            <w:r>
              <w:rPr>
                <w:color w:val="auto"/>
                <w:spacing w:val="6"/>
              </w:rPr>
              <w:t>用于纸机干燥纸幅。包括：</w:t>
            </w:r>
            <w:r>
              <w:rPr>
                <w:rFonts w:eastAsia="Times New Roman"/>
                <w:color w:val="auto"/>
              </w:rPr>
              <w:t>LPG</w:t>
            </w:r>
            <w:r>
              <w:rPr>
                <w:color w:val="auto"/>
                <w:spacing w:val="6"/>
              </w:rPr>
              <w:t>储罐区（内设</w:t>
            </w:r>
            <w:r>
              <w:rPr>
                <w:rFonts w:eastAsia="Times New Roman"/>
                <w:color w:val="auto"/>
                <w:spacing w:val="6"/>
              </w:rPr>
              <w:t>3</w:t>
            </w:r>
            <w:r>
              <w:rPr>
                <w:color w:val="auto"/>
                <w:spacing w:val="6"/>
              </w:rPr>
              <w:t>台</w:t>
            </w:r>
            <w:r>
              <w:rPr>
                <w:rFonts w:eastAsia="Times New Roman"/>
                <w:color w:val="auto"/>
                <w:spacing w:val="-6"/>
              </w:rPr>
              <w:t>100m</w:t>
            </w:r>
            <w:r>
              <w:rPr>
                <w:rFonts w:eastAsia="Times New Roman"/>
                <w:color w:val="auto"/>
                <w:spacing w:val="-6"/>
                <w:position w:val="7"/>
                <w:sz w:val="14"/>
                <w:szCs w:val="14"/>
              </w:rPr>
              <w:t>3</w:t>
            </w:r>
            <w:r>
              <w:rPr>
                <w:rFonts w:eastAsia="Times New Roman"/>
                <w:color w:val="auto"/>
                <w:spacing w:val="-6"/>
              </w:rPr>
              <w:t>LPG</w:t>
            </w:r>
            <w:r>
              <w:rPr>
                <w:color w:val="auto"/>
                <w:spacing w:val="-6"/>
              </w:rPr>
              <w:t>卧罐、</w:t>
            </w:r>
            <w:r>
              <w:rPr>
                <w:rFonts w:eastAsia="Times New Roman"/>
                <w:color w:val="auto"/>
                <w:spacing w:val="-6"/>
              </w:rPr>
              <w:t>1</w:t>
            </w:r>
            <w:r>
              <w:rPr>
                <w:color w:val="auto"/>
                <w:spacing w:val="-6"/>
              </w:rPr>
              <w:t>台</w:t>
            </w:r>
            <w:r>
              <w:rPr>
                <w:rFonts w:eastAsia="Times New Roman"/>
                <w:color w:val="auto"/>
                <w:spacing w:val="-6"/>
              </w:rPr>
              <w:t>50m</w:t>
            </w:r>
            <w:r>
              <w:rPr>
                <w:rFonts w:eastAsia="Times New Roman"/>
                <w:color w:val="auto"/>
                <w:spacing w:val="-6"/>
                <w:position w:val="7"/>
                <w:sz w:val="14"/>
                <w:szCs w:val="14"/>
              </w:rPr>
              <w:t>3</w:t>
            </w:r>
            <w:r>
              <w:rPr>
                <w:color w:val="auto"/>
                <w:spacing w:val="-6"/>
              </w:rPr>
              <w:t>混合气缓冲罐、</w:t>
            </w:r>
            <w:r>
              <w:rPr>
                <w:rFonts w:eastAsia="Times New Roman"/>
                <w:color w:val="auto"/>
                <w:spacing w:val="-6"/>
              </w:rPr>
              <w:t>1</w:t>
            </w:r>
            <w:r>
              <w:rPr>
                <w:color w:val="auto"/>
                <w:spacing w:val="-6"/>
              </w:rPr>
              <w:t>台</w:t>
            </w:r>
            <w:r>
              <w:rPr>
                <w:rFonts w:eastAsia="Times New Roman"/>
                <w:color w:val="auto"/>
                <w:spacing w:val="-6"/>
              </w:rPr>
              <w:t>10m</w:t>
            </w:r>
            <w:r>
              <w:rPr>
                <w:rFonts w:eastAsia="Times New Roman"/>
                <w:color w:val="auto"/>
                <w:spacing w:val="-6"/>
                <w:position w:val="7"/>
                <w:sz w:val="14"/>
                <w:szCs w:val="14"/>
              </w:rPr>
              <w:t>3</w:t>
            </w:r>
            <w:r>
              <w:rPr>
                <w:color w:val="auto"/>
                <w:spacing w:val="-6"/>
              </w:rPr>
              <w:t>空气缓</w:t>
            </w:r>
            <w:r>
              <w:rPr>
                <w:color w:val="auto"/>
                <w:spacing w:val="-3"/>
              </w:rPr>
              <w:t>冲罐及</w:t>
            </w:r>
            <w:r>
              <w:rPr>
                <w:rFonts w:eastAsia="Times New Roman"/>
                <w:color w:val="auto"/>
                <w:spacing w:val="-3"/>
              </w:rPr>
              <w:t>2</w:t>
            </w:r>
            <w:r>
              <w:rPr>
                <w:color w:val="auto"/>
                <w:spacing w:val="-3"/>
              </w:rPr>
              <w:t>台稳压烃泵）、</w:t>
            </w:r>
            <w:r>
              <w:rPr>
                <w:rFonts w:eastAsia="Times New Roman"/>
                <w:color w:val="auto"/>
                <w:spacing w:val="-3"/>
              </w:rPr>
              <w:t>LPG</w:t>
            </w:r>
            <w:r>
              <w:rPr>
                <w:color w:val="auto"/>
                <w:spacing w:val="-3"/>
              </w:rPr>
              <w:t>装卸区、</w:t>
            </w:r>
            <w:r>
              <w:rPr>
                <w:rFonts w:eastAsia="Times New Roman"/>
                <w:color w:val="auto"/>
                <w:spacing w:val="-3"/>
              </w:rPr>
              <w:t>LPG</w:t>
            </w:r>
            <w:r>
              <w:rPr>
                <w:color w:val="auto"/>
                <w:spacing w:val="-3"/>
              </w:rPr>
              <w:t>生</w:t>
            </w:r>
            <w:r>
              <w:rPr>
                <w:color w:val="auto"/>
                <w:spacing w:val="-4"/>
              </w:rPr>
              <w:t>产区（内设</w:t>
            </w:r>
            <w:r>
              <w:rPr>
                <w:rFonts w:eastAsia="Times New Roman"/>
                <w:color w:val="auto"/>
                <w:spacing w:val="-1"/>
              </w:rPr>
              <w:t>2</w:t>
            </w:r>
            <w:r>
              <w:rPr>
                <w:color w:val="auto"/>
                <w:spacing w:val="-1"/>
              </w:rPr>
              <w:t>台卸车压缩机、</w:t>
            </w:r>
            <w:r>
              <w:rPr>
                <w:rFonts w:eastAsia="Times New Roman"/>
                <w:color w:val="auto"/>
                <w:spacing w:val="-1"/>
              </w:rPr>
              <w:t>2</w:t>
            </w:r>
            <w:r>
              <w:rPr>
                <w:color w:val="auto"/>
                <w:spacing w:val="-1"/>
              </w:rPr>
              <w:t>台气化能力为</w:t>
            </w:r>
            <w:r>
              <w:rPr>
                <w:rFonts w:eastAsia="Times New Roman"/>
                <w:color w:val="auto"/>
                <w:spacing w:val="-1"/>
              </w:rPr>
              <w:t>5t/h</w:t>
            </w:r>
            <w:r>
              <w:rPr>
                <w:color w:val="auto"/>
                <w:spacing w:val="-1"/>
              </w:rPr>
              <w:t>的蒸汽化器、</w:t>
            </w:r>
            <w:r>
              <w:rPr>
                <w:rFonts w:eastAsia="Times New Roman"/>
                <w:color w:val="auto"/>
                <w:spacing w:val="-1"/>
              </w:rPr>
              <w:t>2</w:t>
            </w:r>
            <w:r>
              <w:rPr>
                <w:color w:val="auto"/>
                <w:spacing w:val="-1"/>
              </w:rPr>
              <w:t>台高</w:t>
            </w:r>
            <w:r>
              <w:rPr>
                <w:color w:val="auto"/>
                <w:spacing w:val="-2"/>
                <w:szCs w:val="21"/>
              </w:rPr>
              <w:t>压比例式混汽机）、生产辅助区及公用工程等设施。</w:t>
            </w:r>
          </w:p>
        </w:tc>
        <w:tc>
          <w:tcPr>
            <w:tcW w:w="626" w:type="pct"/>
            <w:vAlign w:val="center"/>
          </w:tcPr>
          <w:p w14:paraId="09788BEB">
            <w:pPr>
              <w:pStyle w:val="33"/>
              <w:rPr>
                <w:rFonts w:hint="eastAsia" w:ascii="宋体" w:hAnsi="宋体" w:cs="宋体"/>
                <w:color w:val="auto"/>
              </w:rPr>
            </w:pPr>
            <w:r>
              <w:rPr>
                <w:rFonts w:hint="eastAsia" w:ascii="宋体" w:hAnsi="宋体" w:cs="宋体"/>
                <w:color w:val="auto"/>
              </w:rPr>
              <w:t>已停用，改用管道天然气</w:t>
            </w:r>
          </w:p>
        </w:tc>
      </w:tr>
      <w:tr w14:paraId="6E32FF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393CB689">
            <w:pPr>
              <w:pStyle w:val="33"/>
              <w:rPr>
                <w:rFonts w:eastAsia="Times New Roman"/>
                <w:color w:val="auto"/>
              </w:rPr>
            </w:pPr>
            <w:r>
              <w:rPr>
                <w:rFonts w:eastAsia="Times New Roman"/>
                <w:color w:val="auto"/>
                <w:spacing w:val="-2"/>
                <w:szCs w:val="21"/>
              </w:rPr>
              <w:t>2.4</w:t>
            </w:r>
          </w:p>
        </w:tc>
        <w:tc>
          <w:tcPr>
            <w:tcW w:w="549" w:type="pct"/>
            <w:vAlign w:val="center"/>
          </w:tcPr>
          <w:p w14:paraId="69336A2D">
            <w:pPr>
              <w:pStyle w:val="33"/>
              <w:rPr>
                <w:color w:val="auto"/>
                <w:szCs w:val="21"/>
              </w:rPr>
            </w:pPr>
            <w:r>
              <w:rPr>
                <w:color w:val="auto"/>
                <w:spacing w:val="-3"/>
                <w:szCs w:val="21"/>
              </w:rPr>
              <w:t>过氧化氢车间</w:t>
            </w:r>
          </w:p>
        </w:tc>
        <w:tc>
          <w:tcPr>
            <w:tcW w:w="3513" w:type="pct"/>
            <w:vAlign w:val="center"/>
          </w:tcPr>
          <w:p w14:paraId="747D3A54">
            <w:pPr>
              <w:pStyle w:val="33"/>
              <w:jc w:val="both"/>
              <w:rPr>
                <w:color w:val="auto"/>
                <w:szCs w:val="21"/>
              </w:rPr>
            </w:pPr>
            <w:r>
              <w:rPr>
                <w:rFonts w:eastAsia="Times New Roman"/>
                <w:color w:val="auto"/>
                <w:spacing w:val="-1"/>
                <w:szCs w:val="21"/>
              </w:rPr>
              <w:t>1</w:t>
            </w:r>
            <w:r>
              <w:rPr>
                <w:color w:val="auto"/>
                <w:spacing w:val="-1"/>
                <w:szCs w:val="21"/>
              </w:rPr>
              <w:t>套</w:t>
            </w:r>
            <w:r>
              <w:rPr>
                <w:rFonts w:eastAsia="Times New Roman"/>
                <w:color w:val="auto"/>
                <w:spacing w:val="-1"/>
                <w:szCs w:val="21"/>
              </w:rPr>
              <w:t>7500m</w:t>
            </w:r>
            <w:r>
              <w:rPr>
                <w:rFonts w:eastAsia="Times New Roman"/>
                <w:color w:val="auto"/>
                <w:spacing w:val="-1"/>
                <w:position w:val="7"/>
                <w:sz w:val="14"/>
                <w:szCs w:val="14"/>
              </w:rPr>
              <w:t>3</w:t>
            </w:r>
            <w:r>
              <w:rPr>
                <w:rFonts w:eastAsia="Times New Roman"/>
                <w:color w:val="auto"/>
                <w:spacing w:val="-1"/>
                <w:szCs w:val="21"/>
              </w:rPr>
              <w:t>/h</w:t>
            </w:r>
            <w:r>
              <w:rPr>
                <w:color w:val="auto"/>
                <w:spacing w:val="-1"/>
                <w:szCs w:val="21"/>
              </w:rPr>
              <w:t>天然气制氢装置为双氧水装置提供氢气，</w:t>
            </w:r>
            <w:r>
              <w:rPr>
                <w:rFonts w:eastAsia="Times New Roman"/>
                <w:color w:val="auto"/>
                <w:spacing w:val="-1"/>
                <w:szCs w:val="21"/>
              </w:rPr>
              <w:t>1</w:t>
            </w:r>
            <w:r>
              <w:rPr>
                <w:color w:val="auto"/>
                <w:spacing w:val="-1"/>
                <w:szCs w:val="21"/>
              </w:rPr>
              <w:t>套</w:t>
            </w:r>
            <w:r>
              <w:rPr>
                <w:rFonts w:eastAsia="Times New Roman"/>
                <w:color w:val="auto"/>
                <w:spacing w:val="-1"/>
                <w:szCs w:val="21"/>
              </w:rPr>
              <w:t>30</w:t>
            </w:r>
            <w:r>
              <w:rPr>
                <w:color w:val="auto"/>
                <w:spacing w:val="-1"/>
                <w:szCs w:val="21"/>
              </w:rPr>
              <w:t>万</w:t>
            </w:r>
            <w:r>
              <w:rPr>
                <w:rFonts w:eastAsia="Times New Roman"/>
                <w:color w:val="auto"/>
                <w:spacing w:val="-1"/>
                <w:szCs w:val="21"/>
              </w:rPr>
              <w:t>t/a</w:t>
            </w:r>
            <w:r>
              <w:rPr>
                <w:color w:val="auto"/>
                <w:spacing w:val="-1"/>
                <w:szCs w:val="21"/>
              </w:rPr>
              <w:t>双氧水装置（浓度</w:t>
            </w:r>
            <w:r>
              <w:rPr>
                <w:rFonts w:eastAsia="Times New Roman"/>
                <w:color w:val="auto"/>
                <w:spacing w:val="-1"/>
                <w:szCs w:val="21"/>
              </w:rPr>
              <w:t>27.5%</w:t>
            </w:r>
            <w:r>
              <w:rPr>
                <w:color w:val="auto"/>
                <w:spacing w:val="-1"/>
                <w:szCs w:val="21"/>
              </w:rPr>
              <w:t>）。</w:t>
            </w:r>
          </w:p>
        </w:tc>
        <w:tc>
          <w:tcPr>
            <w:tcW w:w="626" w:type="pct"/>
            <w:vAlign w:val="center"/>
          </w:tcPr>
          <w:p w14:paraId="03339DA2">
            <w:pPr>
              <w:pStyle w:val="33"/>
              <w:rPr>
                <w:color w:val="auto"/>
                <w:szCs w:val="21"/>
              </w:rPr>
            </w:pPr>
            <w:r>
              <w:rPr>
                <w:color w:val="auto"/>
                <w:spacing w:val="-3"/>
                <w:szCs w:val="21"/>
              </w:rPr>
              <w:t>双氧水全部自用</w:t>
            </w:r>
          </w:p>
        </w:tc>
      </w:tr>
      <w:tr w14:paraId="3C4504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25E74B8C">
            <w:pPr>
              <w:pStyle w:val="33"/>
              <w:rPr>
                <w:rFonts w:eastAsiaTheme="minorEastAsia"/>
                <w:color w:val="auto"/>
                <w:spacing w:val="-2"/>
                <w:szCs w:val="21"/>
              </w:rPr>
            </w:pPr>
            <w:r>
              <w:rPr>
                <w:rFonts w:hint="eastAsia" w:eastAsiaTheme="minorEastAsia"/>
                <w:color w:val="auto"/>
                <w:spacing w:val="-2"/>
                <w:szCs w:val="21"/>
              </w:rPr>
              <w:t>2.5</w:t>
            </w:r>
          </w:p>
        </w:tc>
        <w:tc>
          <w:tcPr>
            <w:tcW w:w="549" w:type="pct"/>
            <w:vAlign w:val="center"/>
          </w:tcPr>
          <w:p w14:paraId="354A12E0">
            <w:pPr>
              <w:pStyle w:val="33"/>
              <w:rPr>
                <w:color w:val="auto"/>
                <w:spacing w:val="-3"/>
                <w:szCs w:val="21"/>
              </w:rPr>
            </w:pPr>
            <w:r>
              <w:rPr>
                <w:rFonts w:hint="eastAsia"/>
                <w:color w:val="auto"/>
                <w:spacing w:val="-3"/>
                <w:szCs w:val="21"/>
              </w:rPr>
              <w:t>淋膜纸生产线</w:t>
            </w:r>
          </w:p>
        </w:tc>
        <w:tc>
          <w:tcPr>
            <w:tcW w:w="3513" w:type="pct"/>
            <w:vAlign w:val="center"/>
          </w:tcPr>
          <w:p w14:paraId="75C2ED1E">
            <w:pPr>
              <w:pStyle w:val="33"/>
              <w:jc w:val="both"/>
              <w:rPr>
                <w:rFonts w:eastAsia="Times New Roman"/>
                <w:color w:val="auto"/>
                <w:spacing w:val="-1"/>
                <w:szCs w:val="21"/>
              </w:rPr>
            </w:pPr>
            <w:r>
              <w:rPr>
                <w:rFonts w:hint="eastAsia"/>
                <w:color w:val="auto"/>
              </w:rPr>
              <w:t>4台食品级白卡纸淋膜机，年产食品级单淋淋膜纸6万</w:t>
            </w:r>
            <w:r>
              <w:rPr>
                <w:rFonts w:eastAsia="Times New Roman"/>
                <w:color w:val="auto"/>
                <w:spacing w:val="-1"/>
                <w:szCs w:val="21"/>
              </w:rPr>
              <w:t>t/a</w:t>
            </w:r>
            <w:r>
              <w:rPr>
                <w:rFonts w:hint="eastAsia"/>
                <w:color w:val="auto"/>
              </w:rPr>
              <w:t>，双淋淋膜纸4.8万</w:t>
            </w:r>
            <w:r>
              <w:rPr>
                <w:rFonts w:eastAsia="Times New Roman"/>
                <w:color w:val="auto"/>
                <w:spacing w:val="-1"/>
                <w:szCs w:val="21"/>
              </w:rPr>
              <w:t>t/a</w:t>
            </w:r>
          </w:p>
        </w:tc>
        <w:tc>
          <w:tcPr>
            <w:tcW w:w="626" w:type="pct"/>
            <w:vAlign w:val="center"/>
          </w:tcPr>
          <w:p w14:paraId="520F9E9E">
            <w:pPr>
              <w:pStyle w:val="33"/>
              <w:rPr>
                <w:color w:val="auto"/>
                <w:spacing w:val="-3"/>
                <w:szCs w:val="21"/>
              </w:rPr>
            </w:pPr>
            <w:r>
              <w:rPr>
                <w:rFonts w:eastAsia="Times New Roman"/>
                <w:color w:val="auto"/>
                <w:szCs w:val="21"/>
              </w:rPr>
              <w:t>/</w:t>
            </w:r>
          </w:p>
        </w:tc>
      </w:tr>
      <w:tr w14:paraId="77CF6A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35898566">
            <w:pPr>
              <w:pStyle w:val="33"/>
              <w:jc w:val="both"/>
              <w:rPr>
                <w:color w:val="auto"/>
                <w:szCs w:val="21"/>
              </w:rPr>
            </w:pPr>
            <w:r>
              <w:rPr>
                <w:rFonts w:eastAsia="Times New Roman"/>
                <w:color w:val="auto"/>
                <w:spacing w:val="-3"/>
                <w:szCs w:val="21"/>
              </w:rPr>
              <w:t>3</w:t>
            </w:r>
            <w:r>
              <w:rPr>
                <w:color w:val="auto"/>
                <w:spacing w:val="-3"/>
                <w:szCs w:val="21"/>
              </w:rPr>
              <w:t>、公用工程</w:t>
            </w:r>
          </w:p>
        </w:tc>
      </w:tr>
      <w:tr w14:paraId="3684E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6B283AAC">
            <w:pPr>
              <w:pStyle w:val="33"/>
              <w:rPr>
                <w:rFonts w:eastAsia="Times New Roman"/>
                <w:color w:val="auto"/>
              </w:rPr>
            </w:pPr>
            <w:r>
              <w:rPr>
                <w:rFonts w:eastAsia="Times New Roman"/>
                <w:color w:val="auto"/>
                <w:spacing w:val="-3"/>
                <w:szCs w:val="21"/>
              </w:rPr>
              <w:t>3.1</w:t>
            </w:r>
          </w:p>
        </w:tc>
        <w:tc>
          <w:tcPr>
            <w:tcW w:w="549" w:type="pct"/>
            <w:vAlign w:val="center"/>
          </w:tcPr>
          <w:p w14:paraId="015FD6E4">
            <w:pPr>
              <w:pStyle w:val="33"/>
              <w:rPr>
                <w:color w:val="auto"/>
                <w:szCs w:val="21"/>
              </w:rPr>
            </w:pPr>
            <w:r>
              <w:rPr>
                <w:color w:val="auto"/>
                <w:spacing w:val="-3"/>
                <w:szCs w:val="21"/>
              </w:rPr>
              <w:t>热电站</w:t>
            </w:r>
          </w:p>
        </w:tc>
        <w:tc>
          <w:tcPr>
            <w:tcW w:w="3513" w:type="pct"/>
            <w:vAlign w:val="center"/>
          </w:tcPr>
          <w:p w14:paraId="54C3ACCA">
            <w:pPr>
              <w:pStyle w:val="33"/>
              <w:jc w:val="both"/>
              <w:rPr>
                <w:color w:val="auto"/>
                <w:szCs w:val="21"/>
              </w:rPr>
            </w:pPr>
            <w:r>
              <w:rPr>
                <w:rFonts w:eastAsia="Times New Roman"/>
                <w:color w:val="auto"/>
                <w:spacing w:val="-4"/>
                <w:szCs w:val="21"/>
              </w:rPr>
              <w:t>1#</w:t>
            </w:r>
            <w:r>
              <w:rPr>
                <w:color w:val="auto"/>
                <w:spacing w:val="-4"/>
                <w:szCs w:val="21"/>
              </w:rPr>
              <w:t>、</w:t>
            </w:r>
            <w:r>
              <w:rPr>
                <w:rFonts w:eastAsia="Times New Roman"/>
                <w:color w:val="auto"/>
                <w:spacing w:val="-4"/>
                <w:szCs w:val="21"/>
              </w:rPr>
              <w:t>2#670t/h</w:t>
            </w:r>
            <w:r>
              <w:rPr>
                <w:color w:val="auto"/>
                <w:spacing w:val="-4"/>
                <w:szCs w:val="21"/>
              </w:rPr>
              <w:t>循环流化床锅炉，配套</w:t>
            </w:r>
            <w:r>
              <w:rPr>
                <w:rFonts w:eastAsia="Times New Roman"/>
                <w:color w:val="auto"/>
                <w:spacing w:val="-4"/>
                <w:szCs w:val="21"/>
              </w:rPr>
              <w:t>2</w:t>
            </w:r>
            <w:r>
              <w:rPr>
                <w:color w:val="auto"/>
                <w:spacing w:val="-4"/>
                <w:szCs w:val="21"/>
              </w:rPr>
              <w:t>×</w:t>
            </w:r>
            <w:r>
              <w:rPr>
                <w:rFonts w:eastAsia="Times New Roman"/>
                <w:color w:val="auto"/>
                <w:spacing w:val="-4"/>
                <w:szCs w:val="21"/>
              </w:rPr>
              <w:t>150MW</w:t>
            </w:r>
            <w:r>
              <w:rPr>
                <w:color w:val="auto"/>
                <w:spacing w:val="-4"/>
                <w:szCs w:val="21"/>
              </w:rPr>
              <w:t>超高压抽</w:t>
            </w:r>
            <w:r>
              <w:rPr>
                <w:color w:val="auto"/>
                <w:spacing w:val="-1"/>
                <w:szCs w:val="21"/>
              </w:rPr>
              <w:t>凝式汽轮发电机组</w:t>
            </w:r>
            <w:r>
              <w:rPr>
                <w:rFonts w:hint="eastAsia"/>
                <w:color w:val="auto"/>
                <w:spacing w:val="-1"/>
                <w:szCs w:val="21"/>
              </w:rPr>
              <w:t>；</w:t>
            </w:r>
            <w:r>
              <w:rPr>
                <w:color w:val="auto"/>
                <w:spacing w:val="-1"/>
                <w:szCs w:val="21"/>
              </w:rPr>
              <w:t>锅炉烟气采用双室五电场静电除尘</w:t>
            </w:r>
            <w:r>
              <w:rPr>
                <w:color w:val="auto"/>
                <w:spacing w:val="1"/>
                <w:szCs w:val="21"/>
              </w:rPr>
              <w:t>器除尘、炉外石灰石</w:t>
            </w:r>
            <w:r>
              <w:rPr>
                <w:rFonts w:eastAsia="Times New Roman"/>
                <w:color w:val="auto"/>
                <w:spacing w:val="1"/>
                <w:szCs w:val="21"/>
              </w:rPr>
              <w:t>-</w:t>
            </w:r>
            <w:r>
              <w:rPr>
                <w:color w:val="auto"/>
                <w:spacing w:val="1"/>
                <w:szCs w:val="21"/>
              </w:rPr>
              <w:t>石膏湿法脱硫、低氮燃烧</w:t>
            </w:r>
            <w:r>
              <w:rPr>
                <w:rFonts w:eastAsia="Times New Roman"/>
                <w:color w:val="auto"/>
                <w:spacing w:val="1"/>
                <w:szCs w:val="21"/>
              </w:rPr>
              <w:t>+</w:t>
            </w:r>
            <w:r>
              <w:rPr>
                <w:rFonts w:eastAsia="Times New Roman"/>
                <w:color w:val="auto"/>
                <w:szCs w:val="21"/>
              </w:rPr>
              <w:t>SCR</w:t>
            </w:r>
            <w:r>
              <w:rPr>
                <w:color w:val="auto"/>
                <w:spacing w:val="1"/>
                <w:szCs w:val="21"/>
              </w:rPr>
              <w:t>脱</w:t>
            </w:r>
            <w:r>
              <w:rPr>
                <w:color w:val="auto"/>
                <w:spacing w:val="-1"/>
                <w:szCs w:val="21"/>
              </w:rPr>
              <w:t>硝，共用</w:t>
            </w:r>
            <w:r>
              <w:rPr>
                <w:rFonts w:eastAsia="Times New Roman"/>
                <w:color w:val="auto"/>
                <w:spacing w:val="-1"/>
                <w:szCs w:val="21"/>
              </w:rPr>
              <w:t>1</w:t>
            </w:r>
            <w:r>
              <w:rPr>
                <w:color w:val="auto"/>
                <w:spacing w:val="-1"/>
                <w:szCs w:val="21"/>
              </w:rPr>
              <w:t>根烟囱</w:t>
            </w:r>
            <w:r>
              <w:rPr>
                <w:rFonts w:eastAsia="Times New Roman"/>
                <w:color w:val="auto"/>
                <w:spacing w:val="-1"/>
                <w:szCs w:val="21"/>
              </w:rPr>
              <w:t>180mH×Ф6.44m</w:t>
            </w:r>
            <w:r>
              <w:rPr>
                <w:color w:val="auto"/>
                <w:spacing w:val="-1"/>
                <w:szCs w:val="21"/>
              </w:rPr>
              <w:t>。</w:t>
            </w:r>
            <w:r>
              <w:rPr>
                <w:rFonts w:eastAsia="Times New Roman"/>
                <w:color w:val="auto"/>
                <w:szCs w:val="21"/>
              </w:rPr>
              <w:t>3#670t/h</w:t>
            </w:r>
            <w:r>
              <w:rPr>
                <w:color w:val="auto"/>
                <w:szCs w:val="21"/>
              </w:rPr>
              <w:t>循环流化床锅炉，配套</w:t>
            </w:r>
            <w:r>
              <w:rPr>
                <w:rFonts w:eastAsia="Times New Roman"/>
                <w:color w:val="auto"/>
                <w:szCs w:val="21"/>
              </w:rPr>
              <w:t>1</w:t>
            </w:r>
            <w:r>
              <w:rPr>
                <w:color w:val="auto"/>
                <w:szCs w:val="21"/>
              </w:rPr>
              <w:t>×</w:t>
            </w:r>
            <w:r>
              <w:rPr>
                <w:rFonts w:eastAsia="Times New Roman"/>
                <w:color w:val="auto"/>
                <w:szCs w:val="21"/>
              </w:rPr>
              <w:t>90MW</w:t>
            </w:r>
            <w:r>
              <w:rPr>
                <w:color w:val="auto"/>
                <w:szCs w:val="21"/>
              </w:rPr>
              <w:t>背压机组</w:t>
            </w:r>
            <w:r>
              <w:rPr>
                <w:rFonts w:hint="eastAsia"/>
                <w:color w:val="auto"/>
                <w:szCs w:val="21"/>
              </w:rPr>
              <w:t>；</w:t>
            </w:r>
            <w:r>
              <w:rPr>
                <w:color w:val="auto"/>
                <w:szCs w:val="21"/>
              </w:rPr>
              <w:t>锅</w:t>
            </w:r>
            <w:r>
              <w:rPr>
                <w:color w:val="auto"/>
                <w:spacing w:val="3"/>
                <w:szCs w:val="21"/>
              </w:rPr>
              <w:t>炉烟气采用高效静电除尘器</w:t>
            </w:r>
            <w:r>
              <w:rPr>
                <w:rFonts w:eastAsia="Times New Roman"/>
                <w:color w:val="auto"/>
                <w:spacing w:val="3"/>
                <w:szCs w:val="21"/>
              </w:rPr>
              <w:t>+</w:t>
            </w:r>
            <w:r>
              <w:rPr>
                <w:color w:val="auto"/>
                <w:spacing w:val="3"/>
                <w:szCs w:val="21"/>
              </w:rPr>
              <w:t>脱硫出口湿式静电除</w:t>
            </w:r>
            <w:r>
              <w:rPr>
                <w:color w:val="auto"/>
                <w:spacing w:val="2"/>
                <w:szCs w:val="21"/>
              </w:rPr>
              <w:t>尘器</w:t>
            </w:r>
            <w:r>
              <w:rPr>
                <w:color w:val="auto"/>
                <w:spacing w:val="-5"/>
                <w:szCs w:val="21"/>
              </w:rPr>
              <w:t>除尘、炉外石灰石</w:t>
            </w:r>
            <w:r>
              <w:rPr>
                <w:rFonts w:eastAsia="Times New Roman"/>
                <w:color w:val="auto"/>
                <w:spacing w:val="-5"/>
                <w:szCs w:val="21"/>
              </w:rPr>
              <w:t>-</w:t>
            </w:r>
            <w:r>
              <w:rPr>
                <w:color w:val="auto"/>
                <w:spacing w:val="-5"/>
                <w:szCs w:val="21"/>
              </w:rPr>
              <w:t>石膏湿法脱硫、低氮燃烧</w:t>
            </w:r>
            <w:r>
              <w:rPr>
                <w:rFonts w:eastAsia="Times New Roman"/>
                <w:color w:val="auto"/>
                <w:spacing w:val="-5"/>
                <w:szCs w:val="21"/>
              </w:rPr>
              <w:t>+SCR</w:t>
            </w:r>
            <w:r>
              <w:rPr>
                <w:color w:val="auto"/>
                <w:spacing w:val="-5"/>
                <w:szCs w:val="21"/>
              </w:rPr>
              <w:t>脱硝，</w:t>
            </w:r>
            <w:r>
              <w:rPr>
                <w:color w:val="auto"/>
                <w:spacing w:val="-1"/>
                <w:szCs w:val="21"/>
              </w:rPr>
              <w:t>配套</w:t>
            </w:r>
            <w:r>
              <w:rPr>
                <w:rFonts w:eastAsia="Times New Roman"/>
                <w:color w:val="auto"/>
                <w:spacing w:val="-1"/>
                <w:szCs w:val="21"/>
              </w:rPr>
              <w:t>120mH</w:t>
            </w:r>
            <w:r>
              <w:rPr>
                <w:color w:val="auto"/>
                <w:spacing w:val="-1"/>
                <w:szCs w:val="21"/>
              </w:rPr>
              <w:t>×</w:t>
            </w:r>
            <w:r>
              <w:rPr>
                <w:rFonts w:eastAsia="Times New Roman"/>
                <w:color w:val="auto"/>
                <w:spacing w:val="-1"/>
                <w:szCs w:val="21"/>
              </w:rPr>
              <w:t>Ф5.8m</w:t>
            </w:r>
            <w:r>
              <w:rPr>
                <w:color w:val="auto"/>
                <w:spacing w:val="-1"/>
                <w:szCs w:val="21"/>
              </w:rPr>
              <w:t>烟囱。</w:t>
            </w:r>
          </w:p>
        </w:tc>
        <w:tc>
          <w:tcPr>
            <w:tcW w:w="626" w:type="pct"/>
            <w:vAlign w:val="center"/>
          </w:tcPr>
          <w:p w14:paraId="71C8918E">
            <w:pPr>
              <w:pStyle w:val="33"/>
              <w:rPr>
                <w:rFonts w:eastAsia="Times New Roman"/>
                <w:color w:val="auto"/>
              </w:rPr>
            </w:pPr>
            <w:r>
              <w:rPr>
                <w:rFonts w:eastAsia="Times New Roman"/>
                <w:color w:val="auto"/>
                <w:szCs w:val="21"/>
              </w:rPr>
              <w:t>/</w:t>
            </w:r>
          </w:p>
        </w:tc>
      </w:tr>
      <w:tr w14:paraId="241058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23B2F219">
            <w:pPr>
              <w:pStyle w:val="33"/>
              <w:rPr>
                <w:rFonts w:eastAsia="Times New Roman"/>
                <w:color w:val="auto"/>
              </w:rPr>
            </w:pPr>
            <w:r>
              <w:rPr>
                <w:rFonts w:eastAsia="Times New Roman"/>
                <w:color w:val="auto"/>
                <w:spacing w:val="-3"/>
                <w:szCs w:val="21"/>
              </w:rPr>
              <w:t>3.2</w:t>
            </w:r>
          </w:p>
        </w:tc>
        <w:tc>
          <w:tcPr>
            <w:tcW w:w="549" w:type="pct"/>
            <w:vAlign w:val="center"/>
          </w:tcPr>
          <w:p w14:paraId="22FE6A92">
            <w:pPr>
              <w:pStyle w:val="33"/>
              <w:rPr>
                <w:color w:val="auto"/>
                <w:szCs w:val="21"/>
              </w:rPr>
            </w:pPr>
            <w:r>
              <w:rPr>
                <w:color w:val="auto"/>
                <w:spacing w:val="-2"/>
                <w:szCs w:val="21"/>
              </w:rPr>
              <w:t>给水工程</w:t>
            </w:r>
          </w:p>
        </w:tc>
        <w:tc>
          <w:tcPr>
            <w:tcW w:w="3513" w:type="pct"/>
            <w:vAlign w:val="center"/>
          </w:tcPr>
          <w:p w14:paraId="154B3371">
            <w:pPr>
              <w:pStyle w:val="33"/>
              <w:jc w:val="both"/>
              <w:rPr>
                <w:color w:val="auto"/>
                <w:szCs w:val="21"/>
              </w:rPr>
            </w:pPr>
            <w:r>
              <w:rPr>
                <w:rFonts w:eastAsia="Times New Roman"/>
                <w:color w:val="auto"/>
                <w:spacing w:val="-2"/>
                <w:szCs w:val="21"/>
              </w:rPr>
              <w:t>1</w:t>
            </w:r>
            <w:r>
              <w:rPr>
                <w:color w:val="auto"/>
                <w:spacing w:val="-2"/>
                <w:szCs w:val="21"/>
              </w:rPr>
              <w:t>座</w:t>
            </w:r>
            <w:r>
              <w:rPr>
                <w:rFonts w:eastAsia="Times New Roman"/>
                <w:color w:val="auto"/>
                <w:spacing w:val="-2"/>
                <w:szCs w:val="21"/>
              </w:rPr>
              <w:t>80000m</w:t>
            </w:r>
            <w:r>
              <w:rPr>
                <w:rFonts w:eastAsia="Times New Roman"/>
                <w:color w:val="auto"/>
                <w:spacing w:val="-2"/>
                <w:position w:val="7"/>
                <w:sz w:val="14"/>
                <w:szCs w:val="14"/>
              </w:rPr>
              <w:t>3</w:t>
            </w:r>
            <w:r>
              <w:rPr>
                <w:rFonts w:eastAsia="Times New Roman"/>
                <w:color w:val="auto"/>
                <w:spacing w:val="-2"/>
                <w:szCs w:val="21"/>
              </w:rPr>
              <w:t>/d</w:t>
            </w:r>
            <w:r>
              <w:rPr>
                <w:color w:val="auto"/>
                <w:spacing w:val="-2"/>
                <w:szCs w:val="21"/>
              </w:rPr>
              <w:t>给水处理站，</w:t>
            </w:r>
            <w:r>
              <w:rPr>
                <w:rFonts w:eastAsia="Times New Roman"/>
                <w:color w:val="auto"/>
                <w:spacing w:val="-2"/>
                <w:szCs w:val="21"/>
              </w:rPr>
              <w:t>1</w:t>
            </w:r>
            <w:r>
              <w:rPr>
                <w:color w:val="auto"/>
                <w:spacing w:val="-2"/>
                <w:szCs w:val="21"/>
              </w:rPr>
              <w:t>座</w:t>
            </w:r>
            <w:r>
              <w:rPr>
                <w:rFonts w:eastAsia="Times New Roman"/>
                <w:color w:val="auto"/>
                <w:spacing w:val="-2"/>
                <w:szCs w:val="21"/>
              </w:rPr>
              <w:t>25000m</w:t>
            </w:r>
            <w:r>
              <w:rPr>
                <w:rFonts w:eastAsia="Times New Roman"/>
                <w:color w:val="auto"/>
                <w:spacing w:val="-2"/>
                <w:position w:val="7"/>
                <w:sz w:val="14"/>
                <w:szCs w:val="14"/>
              </w:rPr>
              <w:t>3</w:t>
            </w:r>
            <w:r>
              <w:rPr>
                <w:rFonts w:eastAsia="Times New Roman"/>
                <w:color w:val="auto"/>
                <w:spacing w:val="-2"/>
                <w:szCs w:val="21"/>
              </w:rPr>
              <w:t>/d</w:t>
            </w:r>
            <w:r>
              <w:rPr>
                <w:color w:val="auto"/>
                <w:spacing w:val="-2"/>
                <w:szCs w:val="21"/>
              </w:rPr>
              <w:t>给水</w:t>
            </w:r>
            <w:r>
              <w:rPr>
                <w:color w:val="auto"/>
                <w:spacing w:val="-3"/>
                <w:szCs w:val="21"/>
              </w:rPr>
              <w:t>处理站，</w:t>
            </w:r>
            <w:r>
              <w:rPr>
                <w:color w:val="auto"/>
                <w:spacing w:val="-2"/>
                <w:szCs w:val="21"/>
              </w:rPr>
              <w:t>原水由金窝水库供给。</w:t>
            </w:r>
          </w:p>
        </w:tc>
        <w:tc>
          <w:tcPr>
            <w:tcW w:w="626" w:type="pct"/>
            <w:vAlign w:val="center"/>
          </w:tcPr>
          <w:p w14:paraId="010125B6">
            <w:pPr>
              <w:pStyle w:val="33"/>
              <w:rPr>
                <w:rFonts w:eastAsia="Times New Roman"/>
                <w:color w:val="auto"/>
              </w:rPr>
            </w:pPr>
            <w:r>
              <w:rPr>
                <w:rFonts w:eastAsia="Times New Roman"/>
                <w:color w:val="auto"/>
                <w:szCs w:val="21"/>
              </w:rPr>
              <w:t>/</w:t>
            </w:r>
          </w:p>
        </w:tc>
      </w:tr>
      <w:tr w14:paraId="19B155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2218BA73">
            <w:pPr>
              <w:pStyle w:val="33"/>
              <w:rPr>
                <w:rFonts w:eastAsia="Times New Roman"/>
                <w:color w:val="auto"/>
              </w:rPr>
            </w:pPr>
            <w:r>
              <w:rPr>
                <w:rFonts w:eastAsia="Times New Roman"/>
                <w:color w:val="auto"/>
                <w:spacing w:val="-3"/>
                <w:szCs w:val="21"/>
              </w:rPr>
              <w:t>3.3</w:t>
            </w:r>
          </w:p>
        </w:tc>
        <w:tc>
          <w:tcPr>
            <w:tcW w:w="549" w:type="pct"/>
            <w:vAlign w:val="center"/>
          </w:tcPr>
          <w:p w14:paraId="29B59466">
            <w:pPr>
              <w:pStyle w:val="33"/>
              <w:rPr>
                <w:color w:val="auto"/>
                <w:szCs w:val="21"/>
              </w:rPr>
            </w:pPr>
            <w:r>
              <w:rPr>
                <w:color w:val="auto"/>
                <w:spacing w:val="-3"/>
                <w:szCs w:val="21"/>
              </w:rPr>
              <w:t>污水处理</w:t>
            </w:r>
            <w:r>
              <w:rPr>
                <w:color w:val="auto"/>
                <w:szCs w:val="21"/>
              </w:rPr>
              <w:t>站</w:t>
            </w:r>
          </w:p>
        </w:tc>
        <w:tc>
          <w:tcPr>
            <w:tcW w:w="3513" w:type="pct"/>
            <w:vAlign w:val="center"/>
          </w:tcPr>
          <w:p w14:paraId="28B19640">
            <w:pPr>
              <w:pStyle w:val="33"/>
              <w:jc w:val="both"/>
              <w:rPr>
                <w:rFonts w:eastAsia="Times New Roman"/>
                <w:color w:val="auto"/>
                <w:spacing w:val="-1"/>
                <w:szCs w:val="21"/>
              </w:rPr>
            </w:pPr>
            <w:r>
              <w:rPr>
                <w:rFonts w:hint="eastAsia" w:ascii="宋体" w:hAnsi="宋体" w:cs="宋体"/>
                <w:color w:val="auto"/>
                <w:spacing w:val="-1"/>
                <w:szCs w:val="21"/>
              </w:rPr>
              <w:t>过氧化氢车间配套</w:t>
            </w:r>
            <w:r>
              <w:rPr>
                <w:rFonts w:hint="eastAsia" w:eastAsia="Times New Roman"/>
                <w:color w:val="auto"/>
                <w:spacing w:val="-1"/>
                <w:szCs w:val="21"/>
              </w:rPr>
              <w:t>200m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地埋式废水预处理设施，采用</w:t>
            </w:r>
            <w:r>
              <w:rPr>
                <w:rFonts w:eastAsia="Times New Roman" w:cs="Times New Roman"/>
                <w:color w:val="auto"/>
                <w:spacing w:val="-1"/>
                <w:szCs w:val="21"/>
              </w:rPr>
              <w:t>“</w:t>
            </w:r>
            <w:r>
              <w:rPr>
                <w:rFonts w:hint="eastAsia" w:ascii="宋体" w:hAnsi="宋体" w:cs="宋体"/>
                <w:color w:val="auto"/>
                <w:spacing w:val="-1"/>
                <w:szCs w:val="21"/>
              </w:rPr>
              <w:t>隔油</w:t>
            </w:r>
            <w:r>
              <w:rPr>
                <w:rFonts w:hint="eastAsia" w:eastAsia="Times New Roman"/>
                <w:color w:val="auto"/>
                <w:spacing w:val="-1"/>
                <w:szCs w:val="21"/>
              </w:rPr>
              <w:t>+</w:t>
            </w:r>
            <w:r>
              <w:rPr>
                <w:rFonts w:hint="eastAsia" w:ascii="宋体" w:hAnsi="宋体" w:cs="宋体"/>
                <w:color w:val="auto"/>
                <w:spacing w:val="-1"/>
                <w:szCs w:val="21"/>
              </w:rPr>
              <w:t>芬顿</w:t>
            </w:r>
            <w:r>
              <w:rPr>
                <w:rFonts w:hint="eastAsia" w:eastAsia="Times New Roman"/>
                <w:color w:val="auto"/>
                <w:spacing w:val="-1"/>
                <w:szCs w:val="21"/>
              </w:rPr>
              <w:t>+</w:t>
            </w:r>
            <w:r>
              <w:rPr>
                <w:rFonts w:hint="eastAsia" w:ascii="宋体" w:hAnsi="宋体" w:cs="宋体"/>
                <w:color w:val="auto"/>
                <w:spacing w:val="-1"/>
                <w:szCs w:val="21"/>
              </w:rPr>
              <w:t>絮凝沉淀</w:t>
            </w:r>
            <w:r>
              <w:rPr>
                <w:rFonts w:eastAsia="Times New Roman" w:cs="Times New Roman"/>
                <w:color w:val="auto"/>
                <w:spacing w:val="-1"/>
                <w:szCs w:val="21"/>
              </w:rPr>
              <w:t>”</w:t>
            </w:r>
            <w:r>
              <w:rPr>
                <w:rFonts w:hint="eastAsia" w:ascii="宋体" w:hAnsi="宋体" w:cs="宋体"/>
                <w:color w:val="auto"/>
                <w:spacing w:val="-1"/>
                <w:szCs w:val="21"/>
              </w:rPr>
              <w:t>工艺，处理后的废水排入</w:t>
            </w:r>
            <w:r>
              <w:rPr>
                <w:rFonts w:hint="eastAsia" w:eastAsia="Times New Roman"/>
                <w:color w:val="auto"/>
                <w:spacing w:val="-1"/>
                <w:szCs w:val="21"/>
              </w:rPr>
              <w:t>1#</w:t>
            </w:r>
            <w:r>
              <w:rPr>
                <w:rFonts w:hint="eastAsia" w:ascii="宋体" w:hAnsi="宋体" w:cs="宋体"/>
                <w:color w:val="auto"/>
                <w:spacing w:val="-1"/>
                <w:szCs w:val="21"/>
              </w:rPr>
              <w:t>污水处理站进一步处理。</w:t>
            </w:r>
          </w:p>
          <w:p w14:paraId="3FDDE8F2">
            <w:pPr>
              <w:pStyle w:val="33"/>
              <w:jc w:val="both"/>
              <w:rPr>
                <w:rFonts w:eastAsia="Times New Roman"/>
                <w:color w:val="auto"/>
                <w:spacing w:val="-1"/>
                <w:szCs w:val="21"/>
              </w:rPr>
            </w:pPr>
            <w:r>
              <w:rPr>
                <w:rFonts w:hint="eastAsia" w:eastAsia="Times New Roman"/>
                <w:color w:val="auto"/>
                <w:spacing w:val="-1"/>
                <w:szCs w:val="21"/>
              </w:rPr>
              <w:t>1#</w:t>
            </w:r>
            <w:r>
              <w:rPr>
                <w:rFonts w:hint="eastAsia" w:ascii="宋体" w:hAnsi="宋体" w:cs="宋体"/>
                <w:color w:val="auto"/>
                <w:spacing w:val="-1"/>
                <w:szCs w:val="21"/>
              </w:rPr>
              <w:t>污水处理站规模</w:t>
            </w:r>
            <w:r>
              <w:rPr>
                <w:rFonts w:hint="eastAsia" w:eastAsia="Times New Roman"/>
                <w:color w:val="auto"/>
                <w:spacing w:val="-1"/>
                <w:szCs w:val="21"/>
              </w:rPr>
              <w:t>60000m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，采用</w:t>
            </w:r>
            <w:r>
              <w:rPr>
                <w:rFonts w:eastAsia="Times New Roman" w:cs="Times New Roman"/>
                <w:color w:val="auto"/>
                <w:spacing w:val="-1"/>
                <w:szCs w:val="21"/>
              </w:rPr>
              <w:t>“</w:t>
            </w:r>
            <w:r>
              <w:rPr>
                <w:rFonts w:hint="eastAsia" w:ascii="宋体" w:hAnsi="宋体" w:cs="宋体"/>
                <w:color w:val="auto"/>
                <w:spacing w:val="-1"/>
                <w:szCs w:val="21"/>
              </w:rPr>
              <w:t>物化</w:t>
            </w:r>
            <w:r>
              <w:rPr>
                <w:rFonts w:hint="eastAsia" w:eastAsia="Times New Roman"/>
                <w:color w:val="auto"/>
                <w:spacing w:val="-1"/>
                <w:szCs w:val="21"/>
              </w:rPr>
              <w:t>+</w:t>
            </w:r>
            <w:r>
              <w:rPr>
                <w:rFonts w:hint="eastAsia" w:ascii="宋体" w:hAnsi="宋体" w:cs="宋体"/>
                <w:color w:val="auto"/>
                <w:spacing w:val="-1"/>
                <w:szCs w:val="21"/>
              </w:rPr>
              <w:t>好氧处理（</w:t>
            </w:r>
            <w:r>
              <w:rPr>
                <w:rFonts w:hint="eastAsia" w:eastAsia="Times New Roman"/>
                <w:color w:val="auto"/>
                <w:spacing w:val="-1"/>
                <w:szCs w:val="21"/>
              </w:rPr>
              <w:t>SBR</w:t>
            </w:r>
            <w:r>
              <w:rPr>
                <w:rFonts w:hint="eastAsia" w:ascii="宋体" w:hAnsi="宋体" w:cs="宋体"/>
                <w:color w:val="auto"/>
                <w:spacing w:val="-1"/>
                <w:szCs w:val="21"/>
              </w:rPr>
              <w:t>工艺）</w:t>
            </w:r>
            <w:r>
              <w:rPr>
                <w:rFonts w:hint="eastAsia" w:eastAsia="Times New Roman"/>
                <w:color w:val="auto"/>
                <w:spacing w:val="-1"/>
                <w:szCs w:val="21"/>
              </w:rPr>
              <w:t>+</w:t>
            </w:r>
            <w:r>
              <w:rPr>
                <w:rFonts w:hint="eastAsia" w:ascii="宋体" w:hAnsi="宋体" w:cs="宋体"/>
                <w:color w:val="auto"/>
                <w:spacing w:val="-1"/>
                <w:szCs w:val="21"/>
              </w:rPr>
              <w:t>深度处理（</w:t>
            </w:r>
            <w:r>
              <w:rPr>
                <w:rFonts w:hint="eastAsia" w:eastAsia="Times New Roman"/>
                <w:color w:val="auto"/>
                <w:spacing w:val="-1"/>
                <w:szCs w:val="21"/>
              </w:rPr>
              <w:t>Fenton</w:t>
            </w:r>
            <w:r>
              <w:rPr>
                <w:rFonts w:hint="eastAsia" w:ascii="宋体" w:hAnsi="宋体" w:cs="宋体"/>
                <w:color w:val="auto"/>
                <w:spacing w:val="-1"/>
                <w:szCs w:val="21"/>
              </w:rPr>
              <w:t>）</w:t>
            </w:r>
            <w:r>
              <w:rPr>
                <w:rFonts w:hint="eastAsia" w:eastAsia="Times New Roman"/>
                <w:color w:val="auto"/>
                <w:spacing w:val="-1"/>
                <w:szCs w:val="21"/>
              </w:rPr>
              <w:t>+</w:t>
            </w:r>
            <w:r>
              <w:rPr>
                <w:rFonts w:hint="eastAsia" w:ascii="宋体" w:hAnsi="宋体" w:cs="宋体"/>
                <w:color w:val="auto"/>
                <w:spacing w:val="-1"/>
                <w:szCs w:val="21"/>
              </w:rPr>
              <w:t>高效浅层气浮</w:t>
            </w:r>
            <w:r>
              <w:rPr>
                <w:rFonts w:eastAsia="Times New Roman" w:cs="Times New Roman"/>
                <w:color w:val="auto"/>
                <w:spacing w:val="-1"/>
                <w:szCs w:val="21"/>
              </w:rPr>
              <w:t>”</w:t>
            </w:r>
            <w:r>
              <w:rPr>
                <w:rFonts w:hint="eastAsia" w:ascii="宋体" w:hAnsi="宋体" w:cs="宋体"/>
                <w:color w:val="auto"/>
                <w:spacing w:val="-1"/>
                <w:szCs w:val="21"/>
              </w:rPr>
              <w:t>工艺，主要处理现有</w:t>
            </w:r>
            <w:r>
              <w:rPr>
                <w:rFonts w:hint="eastAsia" w:eastAsia="Times New Roman"/>
                <w:color w:val="auto"/>
                <w:spacing w:val="-1"/>
                <w:szCs w:val="21"/>
              </w:rPr>
              <w:t>1#~3#</w:t>
            </w:r>
            <w:r>
              <w:rPr>
                <w:rFonts w:hint="eastAsia" w:ascii="宋体" w:hAnsi="宋体" w:cs="宋体"/>
                <w:color w:val="auto"/>
                <w:spacing w:val="-1"/>
                <w:szCs w:val="21"/>
              </w:rPr>
              <w:t>化机浆线、</w:t>
            </w:r>
            <w:r>
              <w:rPr>
                <w:rFonts w:hint="eastAsia" w:eastAsia="Times New Roman"/>
                <w:color w:val="auto"/>
                <w:spacing w:val="-1"/>
                <w:szCs w:val="21"/>
              </w:rPr>
              <w:t>1#</w:t>
            </w:r>
            <w:r>
              <w:rPr>
                <w:rFonts w:hint="eastAsia" w:ascii="宋体" w:hAnsi="宋体" w:cs="宋体"/>
                <w:color w:val="auto"/>
                <w:spacing w:val="-1"/>
                <w:szCs w:val="21"/>
              </w:rPr>
              <w:t>纸机及其配套辅助设施废水。新增</w:t>
            </w:r>
            <w:r>
              <w:rPr>
                <w:rFonts w:hint="eastAsia" w:eastAsia="Times New Roman"/>
                <w:color w:val="auto"/>
                <w:spacing w:val="-1"/>
                <w:szCs w:val="21"/>
              </w:rPr>
              <w:t>21000m3/d</w:t>
            </w:r>
            <w:r>
              <w:rPr>
                <w:rFonts w:hint="eastAsia" w:ascii="宋体" w:hAnsi="宋体" w:cs="宋体"/>
                <w:color w:val="auto"/>
                <w:spacing w:val="-1"/>
                <w:szCs w:val="21"/>
              </w:rPr>
              <w:t>处理设施，用于处理</w:t>
            </w:r>
            <w:r>
              <w:rPr>
                <w:rFonts w:hint="eastAsia" w:eastAsia="Times New Roman"/>
                <w:color w:val="auto"/>
                <w:spacing w:val="-1"/>
                <w:szCs w:val="21"/>
              </w:rPr>
              <w:t>1#</w:t>
            </w:r>
            <w:r>
              <w:rPr>
                <w:rFonts w:hint="eastAsia" w:ascii="宋体" w:hAnsi="宋体" w:cs="宋体"/>
                <w:color w:val="auto"/>
                <w:spacing w:val="-1"/>
                <w:szCs w:val="21"/>
              </w:rPr>
              <w:t>污水处理站废水，经</w:t>
            </w:r>
            <w:r>
              <w:rPr>
                <w:rFonts w:eastAsia="Times New Roman" w:cs="Times New Roman"/>
                <w:color w:val="auto"/>
                <w:spacing w:val="-1"/>
                <w:szCs w:val="21"/>
              </w:rPr>
              <w:t>“</w:t>
            </w:r>
            <w:r>
              <w:rPr>
                <w:rFonts w:hint="eastAsia" w:ascii="宋体" w:hAnsi="宋体" w:cs="宋体"/>
                <w:color w:val="auto"/>
                <w:spacing w:val="-1"/>
                <w:szCs w:val="21"/>
              </w:rPr>
              <w:t>格栅</w:t>
            </w:r>
            <w:r>
              <w:rPr>
                <w:rFonts w:hint="eastAsia" w:eastAsia="Times New Roman"/>
                <w:color w:val="auto"/>
                <w:spacing w:val="-1"/>
                <w:szCs w:val="21"/>
              </w:rPr>
              <w:t>+</w:t>
            </w:r>
            <w:r>
              <w:rPr>
                <w:rFonts w:hint="eastAsia" w:ascii="宋体" w:hAnsi="宋体" w:cs="宋体"/>
                <w:color w:val="auto"/>
                <w:spacing w:val="-1"/>
                <w:szCs w:val="21"/>
              </w:rPr>
              <w:t>气浮</w:t>
            </w:r>
            <w:r>
              <w:rPr>
                <w:rFonts w:hint="eastAsia" w:eastAsia="Times New Roman"/>
                <w:color w:val="auto"/>
                <w:spacing w:val="-1"/>
                <w:szCs w:val="21"/>
              </w:rPr>
              <w:t>+</w:t>
            </w:r>
            <w:r>
              <w:rPr>
                <w:rFonts w:hint="eastAsia" w:ascii="宋体" w:hAnsi="宋体" w:cs="宋体"/>
                <w:color w:val="auto"/>
                <w:spacing w:val="-1"/>
                <w:szCs w:val="21"/>
              </w:rPr>
              <w:t>絮凝沉淀</w:t>
            </w:r>
            <w:r>
              <w:rPr>
                <w:rFonts w:hint="eastAsia" w:eastAsia="Times New Roman"/>
                <w:color w:val="auto"/>
                <w:spacing w:val="-1"/>
                <w:szCs w:val="21"/>
              </w:rPr>
              <w:t>+UMAR</w:t>
            </w:r>
            <w:r>
              <w:rPr>
                <w:rFonts w:hint="eastAsia" w:ascii="宋体" w:hAnsi="宋体" w:cs="宋体"/>
                <w:color w:val="auto"/>
                <w:spacing w:val="-1"/>
                <w:szCs w:val="21"/>
              </w:rPr>
              <w:t>厌氧反应器</w:t>
            </w:r>
            <w:r>
              <w:rPr>
                <w:rFonts w:hint="eastAsia" w:eastAsia="Times New Roman"/>
                <w:color w:val="auto"/>
                <w:spacing w:val="-1"/>
                <w:szCs w:val="21"/>
              </w:rPr>
              <w:t>+</w:t>
            </w:r>
            <w:r>
              <w:rPr>
                <w:rFonts w:hint="eastAsia" w:ascii="宋体" w:hAnsi="宋体" w:cs="宋体"/>
                <w:color w:val="auto"/>
                <w:spacing w:val="-1"/>
                <w:szCs w:val="21"/>
              </w:rPr>
              <w:t>二级</w:t>
            </w:r>
            <w:r>
              <w:rPr>
                <w:rFonts w:hint="eastAsia" w:eastAsia="Times New Roman"/>
                <w:color w:val="auto"/>
                <w:spacing w:val="-1"/>
                <w:szCs w:val="21"/>
              </w:rPr>
              <w:t>AO+Fenton</w:t>
            </w:r>
            <w:r>
              <w:rPr>
                <w:rFonts w:hint="eastAsia" w:ascii="宋体" w:hAnsi="宋体" w:cs="宋体"/>
                <w:color w:val="auto"/>
                <w:spacing w:val="-1"/>
                <w:szCs w:val="21"/>
              </w:rPr>
              <w:t>氧化</w:t>
            </w:r>
            <w:r>
              <w:rPr>
                <w:rFonts w:eastAsia="Times New Roman" w:cs="Times New Roman"/>
                <w:color w:val="auto"/>
                <w:spacing w:val="-1"/>
                <w:szCs w:val="21"/>
              </w:rPr>
              <w:t>”</w:t>
            </w:r>
            <w:r>
              <w:rPr>
                <w:rFonts w:hint="eastAsia" w:ascii="宋体" w:hAnsi="宋体" w:cs="宋体"/>
                <w:color w:val="auto"/>
                <w:spacing w:val="-1"/>
                <w:szCs w:val="21"/>
              </w:rPr>
              <w:t>后汇入现有中间水池，</w:t>
            </w:r>
            <w:r>
              <w:rPr>
                <w:rFonts w:hint="eastAsia" w:eastAsia="Times New Roman"/>
                <w:color w:val="auto"/>
                <w:spacing w:val="-1"/>
                <w:szCs w:val="21"/>
              </w:rPr>
              <w:t>1#</w:t>
            </w:r>
            <w:r>
              <w:rPr>
                <w:rFonts w:hint="eastAsia" w:ascii="宋体" w:hAnsi="宋体" w:cs="宋体"/>
                <w:color w:val="auto"/>
                <w:spacing w:val="-1"/>
                <w:szCs w:val="21"/>
              </w:rPr>
              <w:t>污水处理站总处理规模</w:t>
            </w:r>
            <w:r>
              <w:rPr>
                <w:rFonts w:hint="eastAsia" w:eastAsia="Times New Roman"/>
                <w:color w:val="auto"/>
                <w:spacing w:val="-1"/>
                <w:szCs w:val="21"/>
              </w:rPr>
              <w:t>60000m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不变。</w:t>
            </w:r>
          </w:p>
          <w:p w14:paraId="3F3E61A2">
            <w:pPr>
              <w:pStyle w:val="33"/>
              <w:jc w:val="both"/>
              <w:rPr>
                <w:rFonts w:eastAsia="Times New Roman"/>
                <w:color w:val="auto"/>
                <w:spacing w:val="-1"/>
                <w:szCs w:val="21"/>
              </w:rPr>
            </w:pPr>
            <w:r>
              <w:rPr>
                <w:rFonts w:hint="eastAsia" w:eastAsia="Times New Roman"/>
                <w:color w:val="auto"/>
                <w:spacing w:val="-1"/>
                <w:szCs w:val="21"/>
              </w:rPr>
              <w:t>2#</w:t>
            </w:r>
            <w:r>
              <w:rPr>
                <w:rFonts w:hint="eastAsia" w:ascii="宋体" w:hAnsi="宋体" w:cs="宋体"/>
                <w:color w:val="auto"/>
                <w:spacing w:val="-1"/>
                <w:szCs w:val="21"/>
              </w:rPr>
              <w:t>污水处理站规模</w:t>
            </w:r>
            <w:r>
              <w:rPr>
                <w:rFonts w:hint="eastAsia" w:eastAsia="Times New Roman"/>
                <w:color w:val="auto"/>
                <w:spacing w:val="-1"/>
                <w:szCs w:val="21"/>
              </w:rPr>
              <w:t>45000m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，采用</w:t>
            </w:r>
            <w:r>
              <w:rPr>
                <w:rFonts w:eastAsia="Times New Roman" w:cs="Times New Roman"/>
                <w:color w:val="auto"/>
                <w:spacing w:val="-1"/>
                <w:szCs w:val="21"/>
              </w:rPr>
              <w:t>“</w:t>
            </w:r>
            <w:r>
              <w:rPr>
                <w:rFonts w:hint="eastAsia" w:ascii="宋体" w:hAnsi="宋体" w:cs="宋体"/>
                <w:color w:val="auto"/>
                <w:spacing w:val="-1"/>
                <w:szCs w:val="21"/>
              </w:rPr>
              <w:t>絮凝沉淀</w:t>
            </w:r>
            <w:r>
              <w:rPr>
                <w:rFonts w:hint="eastAsia" w:eastAsia="Times New Roman"/>
                <w:color w:val="auto"/>
                <w:spacing w:val="-1"/>
                <w:szCs w:val="21"/>
              </w:rPr>
              <w:t>+A/O+</w:t>
            </w:r>
            <w:r>
              <w:rPr>
                <w:rFonts w:hint="eastAsia" w:ascii="宋体" w:hAnsi="宋体" w:cs="宋体"/>
                <w:color w:val="auto"/>
                <w:spacing w:val="-1"/>
                <w:szCs w:val="21"/>
              </w:rPr>
              <w:t>絮凝沉淀</w:t>
            </w:r>
            <w:r>
              <w:rPr>
                <w:rFonts w:hint="eastAsia" w:eastAsia="Times New Roman"/>
                <w:color w:val="auto"/>
                <w:spacing w:val="-1"/>
                <w:szCs w:val="21"/>
              </w:rPr>
              <w:t>/</w:t>
            </w:r>
            <w:r>
              <w:rPr>
                <w:rFonts w:hint="eastAsia" w:ascii="宋体" w:hAnsi="宋体" w:cs="宋体"/>
                <w:color w:val="auto"/>
                <w:spacing w:val="-1"/>
                <w:szCs w:val="21"/>
              </w:rPr>
              <w:t>芬顿处理</w:t>
            </w:r>
            <w:r>
              <w:rPr>
                <w:rFonts w:eastAsia="Times New Roman" w:cs="Times New Roman"/>
                <w:color w:val="auto"/>
                <w:spacing w:val="-1"/>
                <w:szCs w:val="21"/>
              </w:rPr>
              <w:t>”</w:t>
            </w:r>
            <w:r>
              <w:rPr>
                <w:rFonts w:hint="eastAsia" w:ascii="宋体" w:hAnsi="宋体" w:cs="宋体"/>
                <w:color w:val="auto"/>
                <w:spacing w:val="-1"/>
                <w:szCs w:val="21"/>
              </w:rPr>
              <w:t>工艺，主要处理</w:t>
            </w:r>
            <w:r>
              <w:rPr>
                <w:rFonts w:hint="eastAsia" w:eastAsia="Times New Roman"/>
                <w:color w:val="auto"/>
                <w:spacing w:val="-1"/>
                <w:szCs w:val="21"/>
              </w:rPr>
              <w:t>2#</w:t>
            </w:r>
            <w:r>
              <w:rPr>
                <w:rFonts w:hint="eastAsia" w:ascii="宋体" w:hAnsi="宋体" w:cs="宋体"/>
                <w:color w:val="auto"/>
                <w:spacing w:val="-1"/>
                <w:szCs w:val="21"/>
              </w:rPr>
              <w:t>纸机及其配套辅助设施废水。</w:t>
            </w:r>
          </w:p>
          <w:p w14:paraId="12F095B8">
            <w:pPr>
              <w:pStyle w:val="33"/>
              <w:jc w:val="both"/>
              <w:rPr>
                <w:color w:val="auto"/>
                <w:szCs w:val="21"/>
              </w:rPr>
            </w:pPr>
            <w:r>
              <w:rPr>
                <w:rFonts w:hint="eastAsia" w:eastAsia="Times New Roman"/>
                <w:color w:val="auto"/>
                <w:spacing w:val="-1"/>
                <w:szCs w:val="21"/>
              </w:rPr>
              <w:t>1#</w:t>
            </w:r>
            <w:r>
              <w:rPr>
                <w:rFonts w:hint="eastAsia" w:ascii="宋体" w:hAnsi="宋体" w:cs="宋体"/>
                <w:color w:val="auto"/>
                <w:spacing w:val="-1"/>
                <w:szCs w:val="21"/>
              </w:rPr>
              <w:t>、</w:t>
            </w:r>
            <w:r>
              <w:rPr>
                <w:rFonts w:hint="eastAsia" w:eastAsia="Times New Roman"/>
                <w:color w:val="auto"/>
                <w:spacing w:val="-1"/>
                <w:szCs w:val="21"/>
              </w:rPr>
              <w:t>2#</w:t>
            </w:r>
            <w:r>
              <w:rPr>
                <w:rFonts w:hint="eastAsia" w:ascii="宋体" w:hAnsi="宋体" w:cs="宋体"/>
                <w:color w:val="auto"/>
                <w:spacing w:val="-1"/>
                <w:szCs w:val="21"/>
              </w:rPr>
              <w:t>污水处理站出水达到《制浆造纸工业水污染物排放标准》（</w:t>
            </w:r>
            <w:r>
              <w:rPr>
                <w:rFonts w:hint="eastAsia" w:eastAsia="Times New Roman"/>
                <w:color w:val="auto"/>
                <w:spacing w:val="-1"/>
                <w:szCs w:val="21"/>
              </w:rPr>
              <w:t>GB3544-2008</w:t>
            </w:r>
            <w:r>
              <w:rPr>
                <w:rFonts w:hint="eastAsia" w:ascii="宋体" w:hAnsi="宋体" w:cs="宋体"/>
                <w:color w:val="auto"/>
                <w:spacing w:val="-1"/>
                <w:szCs w:val="21"/>
              </w:rPr>
              <w:t>）表</w:t>
            </w:r>
            <w:r>
              <w:rPr>
                <w:rFonts w:hint="eastAsia" w:eastAsia="Times New Roman"/>
                <w:color w:val="auto"/>
                <w:spacing w:val="-1"/>
                <w:szCs w:val="21"/>
              </w:rPr>
              <w:t>2</w:t>
            </w:r>
            <w:r>
              <w:rPr>
                <w:rFonts w:hint="eastAsia" w:ascii="宋体" w:hAnsi="宋体" w:cs="宋体"/>
                <w:color w:val="auto"/>
                <w:spacing w:val="-1"/>
                <w:szCs w:val="21"/>
              </w:rPr>
              <w:t>中制浆和造纸联合生产企业排放限值后，由</w:t>
            </w:r>
            <w:r>
              <w:rPr>
                <w:rFonts w:hint="eastAsia" w:eastAsia="Times New Roman"/>
                <w:color w:val="auto"/>
                <w:spacing w:val="-1"/>
                <w:szCs w:val="21"/>
              </w:rPr>
              <w:t>A2</w:t>
            </w:r>
            <w:r>
              <w:rPr>
                <w:rFonts w:hint="eastAsia" w:ascii="宋体" w:hAnsi="宋体" w:cs="宋体"/>
                <w:color w:val="auto"/>
                <w:spacing w:val="-1"/>
                <w:szCs w:val="21"/>
              </w:rPr>
              <w:t>排污区排放</w:t>
            </w:r>
            <w:r>
              <w:rPr>
                <w:color w:val="auto"/>
                <w:spacing w:val="-2"/>
                <w:szCs w:val="21"/>
              </w:rPr>
              <w:t>。</w:t>
            </w:r>
          </w:p>
        </w:tc>
        <w:tc>
          <w:tcPr>
            <w:tcW w:w="626" w:type="pct"/>
            <w:vAlign w:val="center"/>
          </w:tcPr>
          <w:p w14:paraId="32AC5E7B">
            <w:pPr>
              <w:pStyle w:val="33"/>
              <w:rPr>
                <w:rFonts w:eastAsia="Times New Roman"/>
                <w:color w:val="auto"/>
              </w:rPr>
            </w:pPr>
            <w:r>
              <w:rPr>
                <w:rFonts w:hint="eastAsia"/>
                <w:color w:val="auto"/>
              </w:rPr>
              <w:t>新增21000</w:t>
            </w:r>
            <w:r>
              <w:rPr>
                <w:rFonts w:eastAsia="Times New Roman"/>
                <w:color w:val="auto"/>
                <w:spacing w:val="-1"/>
                <w:szCs w:val="21"/>
              </w:rPr>
              <w:t>m</w:t>
            </w:r>
            <w:r>
              <w:rPr>
                <w:rFonts w:eastAsia="Times New Roman"/>
                <w:color w:val="auto"/>
                <w:spacing w:val="-1"/>
                <w:position w:val="7"/>
                <w:sz w:val="14"/>
                <w:szCs w:val="14"/>
              </w:rPr>
              <w:t>3</w:t>
            </w:r>
            <w:r>
              <w:rPr>
                <w:rFonts w:eastAsia="Times New Roman"/>
                <w:color w:val="auto"/>
                <w:spacing w:val="-1"/>
                <w:szCs w:val="21"/>
              </w:rPr>
              <w:t>/d</w:t>
            </w:r>
            <w:r>
              <w:rPr>
                <w:rFonts w:hint="eastAsia" w:eastAsiaTheme="minorEastAsia"/>
                <w:color w:val="auto"/>
                <w:spacing w:val="-1"/>
                <w:szCs w:val="21"/>
              </w:rPr>
              <w:t>工程，已批在建。</w:t>
            </w:r>
          </w:p>
        </w:tc>
      </w:tr>
      <w:tr w14:paraId="7CA80C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43326729">
            <w:pPr>
              <w:pStyle w:val="33"/>
              <w:rPr>
                <w:rFonts w:eastAsia="Times New Roman"/>
                <w:color w:val="auto"/>
              </w:rPr>
            </w:pPr>
            <w:r>
              <w:rPr>
                <w:rFonts w:eastAsia="Times New Roman"/>
                <w:color w:val="auto"/>
                <w:spacing w:val="-3"/>
                <w:szCs w:val="21"/>
              </w:rPr>
              <w:t>3.4</w:t>
            </w:r>
          </w:p>
        </w:tc>
        <w:tc>
          <w:tcPr>
            <w:tcW w:w="549" w:type="pct"/>
            <w:vAlign w:val="center"/>
          </w:tcPr>
          <w:p w14:paraId="7FAC5846">
            <w:pPr>
              <w:pStyle w:val="33"/>
              <w:rPr>
                <w:color w:val="auto"/>
                <w:szCs w:val="21"/>
              </w:rPr>
            </w:pPr>
            <w:r>
              <w:rPr>
                <w:color w:val="auto"/>
                <w:spacing w:val="-2"/>
                <w:szCs w:val="21"/>
              </w:rPr>
              <w:t>供电工程</w:t>
            </w:r>
          </w:p>
        </w:tc>
        <w:tc>
          <w:tcPr>
            <w:tcW w:w="3513" w:type="pct"/>
            <w:vAlign w:val="center"/>
          </w:tcPr>
          <w:p w14:paraId="11C3611B">
            <w:pPr>
              <w:pStyle w:val="33"/>
              <w:jc w:val="both"/>
              <w:rPr>
                <w:color w:val="auto"/>
                <w:szCs w:val="21"/>
              </w:rPr>
            </w:pPr>
            <w:r>
              <w:rPr>
                <w:color w:val="auto"/>
                <w:szCs w:val="21"/>
              </w:rPr>
              <w:t>热电站机组规模为</w:t>
            </w:r>
            <w:r>
              <w:rPr>
                <w:rFonts w:eastAsia="Times New Roman"/>
                <w:color w:val="auto"/>
                <w:szCs w:val="21"/>
              </w:rPr>
              <w:t>2</w:t>
            </w:r>
            <w:r>
              <w:rPr>
                <w:color w:val="auto"/>
                <w:szCs w:val="21"/>
              </w:rPr>
              <w:t>×</w:t>
            </w:r>
            <w:r>
              <w:rPr>
                <w:rFonts w:eastAsia="Times New Roman"/>
                <w:color w:val="auto"/>
                <w:szCs w:val="21"/>
              </w:rPr>
              <w:t>150MW</w:t>
            </w:r>
            <w:r>
              <w:rPr>
                <w:color w:val="auto"/>
                <w:szCs w:val="21"/>
              </w:rPr>
              <w:t>超高压抽凝式汽轮发电机</w:t>
            </w:r>
            <w:r>
              <w:rPr>
                <w:color w:val="auto"/>
                <w:spacing w:val="-5"/>
                <w:szCs w:val="21"/>
              </w:rPr>
              <w:t>组</w:t>
            </w:r>
            <w:r>
              <w:rPr>
                <w:rFonts w:eastAsia="Times New Roman"/>
                <w:color w:val="auto"/>
                <w:spacing w:val="-5"/>
                <w:szCs w:val="21"/>
              </w:rPr>
              <w:t>+90MW</w:t>
            </w:r>
            <w:r>
              <w:rPr>
                <w:color w:val="auto"/>
                <w:spacing w:val="-5"/>
                <w:szCs w:val="21"/>
              </w:rPr>
              <w:t>背压机组。目前，</w:t>
            </w:r>
            <w:r>
              <w:rPr>
                <w:rFonts w:eastAsia="Times New Roman"/>
                <w:color w:val="auto"/>
                <w:spacing w:val="-5"/>
                <w:szCs w:val="21"/>
              </w:rPr>
              <w:t>220kV</w:t>
            </w:r>
            <w:r>
              <w:rPr>
                <w:color w:val="auto"/>
                <w:spacing w:val="-5"/>
                <w:szCs w:val="21"/>
              </w:rPr>
              <w:t>金桂变</w:t>
            </w:r>
            <w:r>
              <w:rPr>
                <w:color w:val="auto"/>
                <w:spacing w:val="-6"/>
                <w:szCs w:val="21"/>
              </w:rPr>
              <w:t>电站已与钦州</w:t>
            </w:r>
            <w:r>
              <w:rPr>
                <w:color w:val="auto"/>
                <w:spacing w:val="-1"/>
                <w:szCs w:val="21"/>
              </w:rPr>
              <w:t>港榄坪变电站连接并网，外电源作为全厂的补充电源和</w:t>
            </w:r>
            <w:r>
              <w:rPr>
                <w:color w:val="auto"/>
                <w:spacing w:val="-6"/>
                <w:szCs w:val="21"/>
              </w:rPr>
              <w:t>第二路电源。</w:t>
            </w:r>
          </w:p>
        </w:tc>
        <w:tc>
          <w:tcPr>
            <w:tcW w:w="626" w:type="pct"/>
            <w:vAlign w:val="center"/>
          </w:tcPr>
          <w:p w14:paraId="0F70FD09">
            <w:pPr>
              <w:pStyle w:val="33"/>
              <w:rPr>
                <w:rFonts w:eastAsia="Times New Roman"/>
                <w:color w:val="auto"/>
              </w:rPr>
            </w:pPr>
            <w:r>
              <w:rPr>
                <w:rFonts w:eastAsia="Times New Roman"/>
                <w:color w:val="auto"/>
                <w:szCs w:val="21"/>
              </w:rPr>
              <w:t>/</w:t>
            </w:r>
          </w:p>
        </w:tc>
      </w:tr>
      <w:tr w14:paraId="0ADFCD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5603AA19">
            <w:pPr>
              <w:pStyle w:val="33"/>
              <w:rPr>
                <w:rFonts w:eastAsia="Times New Roman"/>
                <w:color w:val="auto"/>
              </w:rPr>
            </w:pPr>
            <w:r>
              <w:rPr>
                <w:rFonts w:eastAsia="Times New Roman"/>
                <w:color w:val="auto"/>
                <w:spacing w:val="-3"/>
                <w:szCs w:val="21"/>
              </w:rPr>
              <w:t>3.5</w:t>
            </w:r>
          </w:p>
        </w:tc>
        <w:tc>
          <w:tcPr>
            <w:tcW w:w="549" w:type="pct"/>
            <w:vAlign w:val="center"/>
          </w:tcPr>
          <w:p w14:paraId="65A15320">
            <w:pPr>
              <w:pStyle w:val="33"/>
              <w:rPr>
                <w:color w:val="auto"/>
                <w:szCs w:val="21"/>
              </w:rPr>
            </w:pPr>
            <w:r>
              <w:rPr>
                <w:color w:val="auto"/>
                <w:spacing w:val="-2"/>
                <w:szCs w:val="21"/>
              </w:rPr>
              <w:t>事故池</w:t>
            </w:r>
          </w:p>
        </w:tc>
        <w:tc>
          <w:tcPr>
            <w:tcW w:w="3513" w:type="pct"/>
            <w:vAlign w:val="center"/>
          </w:tcPr>
          <w:p w14:paraId="78FEEEDA">
            <w:pPr>
              <w:pStyle w:val="33"/>
              <w:jc w:val="both"/>
              <w:rPr>
                <w:color w:val="auto"/>
                <w:szCs w:val="21"/>
              </w:rPr>
            </w:pPr>
            <w:r>
              <w:rPr>
                <w:color w:val="auto"/>
                <w:spacing w:val="1"/>
                <w:szCs w:val="21"/>
              </w:rPr>
              <w:t>厂区设</w:t>
            </w:r>
            <w:r>
              <w:rPr>
                <w:rFonts w:eastAsia="Times New Roman"/>
                <w:color w:val="auto"/>
                <w:spacing w:val="1"/>
                <w:szCs w:val="21"/>
              </w:rPr>
              <w:t>3</w:t>
            </w:r>
            <w:r>
              <w:rPr>
                <w:color w:val="auto"/>
                <w:spacing w:val="1"/>
                <w:szCs w:val="21"/>
              </w:rPr>
              <w:t>×</w:t>
            </w:r>
            <w:r>
              <w:rPr>
                <w:rFonts w:eastAsia="Times New Roman"/>
                <w:color w:val="auto"/>
                <w:spacing w:val="1"/>
                <w:szCs w:val="21"/>
              </w:rPr>
              <w:t>10000m</w:t>
            </w:r>
            <w:r>
              <w:rPr>
                <w:rFonts w:eastAsia="Times New Roman"/>
                <w:color w:val="auto"/>
                <w:spacing w:val="1"/>
                <w:position w:val="7"/>
                <w:sz w:val="14"/>
                <w:szCs w:val="14"/>
              </w:rPr>
              <w:t>3</w:t>
            </w:r>
            <w:r>
              <w:rPr>
                <w:color w:val="auto"/>
                <w:spacing w:val="1"/>
                <w:szCs w:val="21"/>
              </w:rPr>
              <w:t>事故池；过氧化氢项目设</w:t>
            </w:r>
            <w:r>
              <w:rPr>
                <w:rFonts w:eastAsia="Times New Roman"/>
                <w:color w:val="auto"/>
                <w:spacing w:val="1"/>
                <w:szCs w:val="21"/>
              </w:rPr>
              <w:t>1</w:t>
            </w:r>
            <w:r>
              <w:rPr>
                <w:color w:val="auto"/>
                <w:spacing w:val="1"/>
                <w:szCs w:val="21"/>
              </w:rPr>
              <w:t>座</w:t>
            </w:r>
            <w:r>
              <w:rPr>
                <w:rFonts w:eastAsia="Times New Roman"/>
                <w:color w:val="auto"/>
                <w:spacing w:val="1"/>
                <w:szCs w:val="21"/>
              </w:rPr>
              <w:t>2000m</w:t>
            </w:r>
            <w:r>
              <w:rPr>
                <w:rFonts w:eastAsia="Times New Roman"/>
                <w:color w:val="auto"/>
                <w:spacing w:val="1"/>
                <w:position w:val="7"/>
                <w:sz w:val="14"/>
                <w:szCs w:val="14"/>
              </w:rPr>
              <w:t>3</w:t>
            </w:r>
            <w:r>
              <w:rPr>
                <w:color w:val="auto"/>
                <w:spacing w:val="-2"/>
                <w:szCs w:val="21"/>
              </w:rPr>
              <w:t>事故池及</w:t>
            </w:r>
            <w:r>
              <w:rPr>
                <w:rFonts w:hint="eastAsia"/>
                <w:color w:val="auto"/>
                <w:spacing w:val="-2"/>
                <w:szCs w:val="21"/>
              </w:rPr>
              <w:t>1座1000m</w:t>
            </w:r>
            <w:r>
              <w:rPr>
                <w:rFonts w:hint="eastAsia"/>
                <w:color w:val="auto"/>
                <w:spacing w:val="-2"/>
                <w:szCs w:val="21"/>
                <w:vertAlign w:val="superscript"/>
              </w:rPr>
              <w:t>3</w:t>
            </w:r>
            <w:r>
              <w:rPr>
                <w:rFonts w:hint="eastAsia"/>
                <w:color w:val="auto"/>
                <w:spacing w:val="-2"/>
                <w:szCs w:val="21"/>
              </w:rPr>
              <w:t>和</w:t>
            </w:r>
            <w:r>
              <w:rPr>
                <w:rFonts w:eastAsia="Times New Roman"/>
                <w:color w:val="auto"/>
                <w:spacing w:val="-2"/>
                <w:szCs w:val="21"/>
              </w:rPr>
              <w:t>1</w:t>
            </w:r>
            <w:r>
              <w:rPr>
                <w:color w:val="auto"/>
                <w:spacing w:val="-2"/>
                <w:szCs w:val="21"/>
              </w:rPr>
              <w:t>座</w:t>
            </w:r>
            <w:r>
              <w:rPr>
                <w:rFonts w:eastAsia="Times New Roman"/>
                <w:color w:val="auto"/>
                <w:spacing w:val="-2"/>
                <w:szCs w:val="21"/>
              </w:rPr>
              <w:t>500m</w:t>
            </w:r>
            <w:r>
              <w:rPr>
                <w:rFonts w:eastAsia="Times New Roman"/>
                <w:color w:val="auto"/>
                <w:spacing w:val="-2"/>
                <w:position w:val="7"/>
                <w:sz w:val="14"/>
                <w:szCs w:val="14"/>
              </w:rPr>
              <w:t>3</w:t>
            </w:r>
            <w:r>
              <w:rPr>
                <w:color w:val="auto"/>
                <w:spacing w:val="-2"/>
                <w:szCs w:val="21"/>
              </w:rPr>
              <w:t>初期雨水池。</w:t>
            </w:r>
          </w:p>
        </w:tc>
        <w:tc>
          <w:tcPr>
            <w:tcW w:w="626" w:type="pct"/>
            <w:vAlign w:val="center"/>
          </w:tcPr>
          <w:p w14:paraId="671E278A">
            <w:pPr>
              <w:pStyle w:val="33"/>
              <w:rPr>
                <w:rFonts w:eastAsia="Times New Roman"/>
                <w:color w:val="auto"/>
              </w:rPr>
            </w:pPr>
            <w:r>
              <w:rPr>
                <w:rFonts w:hint="eastAsia" w:eastAsia="Times New Roman"/>
                <w:color w:val="auto"/>
                <w:szCs w:val="21"/>
              </w:rPr>
              <w:t>1000m</w:t>
            </w:r>
            <w:r>
              <w:rPr>
                <w:rFonts w:hint="eastAsia" w:eastAsia="Times New Roman"/>
                <w:color w:val="auto"/>
                <w:szCs w:val="21"/>
                <w:vertAlign w:val="superscript"/>
              </w:rPr>
              <w:t>3</w:t>
            </w:r>
            <w:r>
              <w:rPr>
                <w:rFonts w:hint="eastAsia" w:ascii="宋体" w:hAnsi="宋体" w:cs="宋体"/>
                <w:color w:val="auto"/>
                <w:szCs w:val="21"/>
              </w:rPr>
              <w:t>初期雨水池已批在建</w:t>
            </w:r>
          </w:p>
        </w:tc>
      </w:tr>
      <w:tr w14:paraId="2FA5AD1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6CFDEDD">
            <w:pPr>
              <w:pStyle w:val="33"/>
              <w:jc w:val="both"/>
              <w:rPr>
                <w:color w:val="auto"/>
                <w:szCs w:val="21"/>
              </w:rPr>
            </w:pPr>
            <w:r>
              <w:rPr>
                <w:rFonts w:eastAsia="Times New Roman"/>
                <w:color w:val="auto"/>
                <w:spacing w:val="-2"/>
                <w:szCs w:val="21"/>
              </w:rPr>
              <w:t>4</w:t>
            </w:r>
            <w:r>
              <w:rPr>
                <w:color w:val="auto"/>
                <w:spacing w:val="-2"/>
                <w:szCs w:val="21"/>
              </w:rPr>
              <w:t>、储运工程</w:t>
            </w:r>
          </w:p>
        </w:tc>
      </w:tr>
      <w:tr w14:paraId="46E596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01EEE970">
            <w:pPr>
              <w:pStyle w:val="33"/>
              <w:rPr>
                <w:rFonts w:eastAsia="Times New Roman"/>
                <w:color w:val="auto"/>
              </w:rPr>
            </w:pPr>
            <w:r>
              <w:rPr>
                <w:rFonts w:eastAsia="Times New Roman"/>
                <w:color w:val="auto"/>
                <w:spacing w:val="-1"/>
                <w:szCs w:val="21"/>
              </w:rPr>
              <w:t>4.1</w:t>
            </w:r>
          </w:p>
        </w:tc>
        <w:tc>
          <w:tcPr>
            <w:tcW w:w="549" w:type="pct"/>
            <w:vAlign w:val="center"/>
          </w:tcPr>
          <w:p w14:paraId="457E0E22">
            <w:pPr>
              <w:pStyle w:val="33"/>
              <w:rPr>
                <w:color w:val="auto"/>
              </w:rPr>
            </w:pPr>
            <w:r>
              <w:rPr>
                <w:color w:val="auto"/>
              </w:rPr>
              <w:t>原料场</w:t>
            </w:r>
          </w:p>
        </w:tc>
        <w:tc>
          <w:tcPr>
            <w:tcW w:w="3513" w:type="pct"/>
            <w:vAlign w:val="center"/>
          </w:tcPr>
          <w:p w14:paraId="0FF0FAC9">
            <w:pPr>
              <w:pStyle w:val="33"/>
              <w:jc w:val="both"/>
              <w:rPr>
                <w:color w:val="auto"/>
                <w:szCs w:val="21"/>
              </w:rPr>
            </w:pPr>
            <w:r>
              <w:rPr>
                <w:rFonts w:hint="eastAsia" w:ascii="宋体" w:hAnsi="宋体" w:cs="宋体"/>
                <w:color w:val="auto"/>
                <w:spacing w:val="-1"/>
                <w:szCs w:val="21"/>
              </w:rPr>
              <w:t>①</w:t>
            </w:r>
            <w:r>
              <w:rPr>
                <w:color w:val="auto"/>
                <w:spacing w:val="-1"/>
                <w:szCs w:val="21"/>
              </w:rPr>
              <w:t>木片堆场总面积</w:t>
            </w:r>
            <w:r>
              <w:rPr>
                <w:rFonts w:eastAsia="Times New Roman"/>
                <w:color w:val="auto"/>
                <w:spacing w:val="-1"/>
                <w:szCs w:val="21"/>
              </w:rPr>
              <w:t>130000m</w:t>
            </w:r>
            <w:r>
              <w:rPr>
                <w:rFonts w:eastAsia="Times New Roman"/>
                <w:color w:val="auto"/>
                <w:spacing w:val="-1"/>
                <w:position w:val="7"/>
                <w:sz w:val="14"/>
                <w:szCs w:val="14"/>
              </w:rPr>
              <w:t>2</w:t>
            </w:r>
            <w:r>
              <w:rPr>
                <w:color w:val="auto"/>
                <w:spacing w:val="-1"/>
                <w:szCs w:val="21"/>
              </w:rPr>
              <w:t>。</w:t>
            </w:r>
            <w:r>
              <w:rPr>
                <w:rFonts w:hint="eastAsia" w:ascii="宋体" w:hAnsi="宋体" w:cs="宋体"/>
                <w:color w:val="auto"/>
                <w:spacing w:val="-1"/>
                <w:szCs w:val="21"/>
              </w:rPr>
              <w:t>②</w:t>
            </w:r>
            <w:r>
              <w:rPr>
                <w:color w:val="auto"/>
                <w:spacing w:val="-1"/>
                <w:szCs w:val="21"/>
              </w:rPr>
              <w:t>原木堆场总面积</w:t>
            </w:r>
            <w:r>
              <w:rPr>
                <w:rFonts w:eastAsia="Times New Roman"/>
                <w:color w:val="auto"/>
                <w:spacing w:val="-1"/>
                <w:szCs w:val="21"/>
              </w:rPr>
              <w:t>80000m</w:t>
            </w:r>
            <w:r>
              <w:rPr>
                <w:rFonts w:eastAsia="Times New Roman"/>
                <w:color w:val="auto"/>
                <w:spacing w:val="-1"/>
                <w:position w:val="7"/>
                <w:sz w:val="14"/>
                <w:szCs w:val="14"/>
              </w:rPr>
              <w:t>2</w:t>
            </w:r>
            <w:r>
              <w:rPr>
                <w:color w:val="auto"/>
                <w:spacing w:val="-1"/>
                <w:szCs w:val="21"/>
              </w:rPr>
              <w:t>。</w:t>
            </w:r>
          </w:p>
        </w:tc>
        <w:tc>
          <w:tcPr>
            <w:tcW w:w="626" w:type="pct"/>
            <w:vAlign w:val="center"/>
          </w:tcPr>
          <w:p w14:paraId="2AD19FA0">
            <w:pPr>
              <w:pStyle w:val="33"/>
              <w:rPr>
                <w:rFonts w:eastAsia="Times New Roman"/>
                <w:color w:val="auto"/>
              </w:rPr>
            </w:pPr>
            <w:r>
              <w:rPr>
                <w:rFonts w:eastAsia="Times New Roman"/>
                <w:color w:val="auto"/>
                <w:szCs w:val="21"/>
              </w:rPr>
              <w:t>/</w:t>
            </w:r>
          </w:p>
        </w:tc>
      </w:tr>
      <w:tr w14:paraId="07EFE8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70C094B1">
            <w:pPr>
              <w:pStyle w:val="33"/>
              <w:rPr>
                <w:color w:val="auto"/>
              </w:rPr>
            </w:pPr>
            <w:r>
              <w:rPr>
                <w:color w:val="auto"/>
              </w:rPr>
              <w:t>4.2</w:t>
            </w:r>
          </w:p>
        </w:tc>
        <w:tc>
          <w:tcPr>
            <w:tcW w:w="549" w:type="pct"/>
            <w:vAlign w:val="center"/>
          </w:tcPr>
          <w:p w14:paraId="27154CE7">
            <w:pPr>
              <w:pStyle w:val="33"/>
              <w:rPr>
                <w:color w:val="auto"/>
              </w:rPr>
            </w:pPr>
            <w:r>
              <w:rPr>
                <w:color w:val="auto"/>
                <w:spacing w:val="-3"/>
              </w:rPr>
              <w:t>化学品储</w:t>
            </w:r>
            <w:r>
              <w:rPr>
                <w:color w:val="auto"/>
              </w:rPr>
              <w:t>罐</w:t>
            </w:r>
          </w:p>
        </w:tc>
        <w:tc>
          <w:tcPr>
            <w:tcW w:w="3513" w:type="pct"/>
            <w:vAlign w:val="center"/>
          </w:tcPr>
          <w:p w14:paraId="77340478">
            <w:pPr>
              <w:pStyle w:val="33"/>
              <w:jc w:val="both"/>
              <w:rPr>
                <w:color w:val="auto"/>
              </w:rPr>
            </w:pPr>
            <w:r>
              <w:rPr>
                <w:color w:val="auto"/>
              </w:rPr>
              <w:t>NaOH储罐2个（1×100m</w:t>
            </w:r>
            <w:r>
              <w:rPr>
                <w:color w:val="auto"/>
                <w:position w:val="7"/>
                <w:sz w:val="14"/>
                <w:szCs w:val="14"/>
              </w:rPr>
              <w:t>3</w:t>
            </w:r>
            <w:r>
              <w:rPr>
                <w:color w:val="auto"/>
              </w:rPr>
              <w:t>、1×1000m</w:t>
            </w:r>
            <w:r>
              <w:rPr>
                <w:color w:val="auto"/>
                <w:position w:val="7"/>
                <w:sz w:val="14"/>
                <w:szCs w:val="14"/>
              </w:rPr>
              <w:t>3</w:t>
            </w:r>
            <w:r>
              <w:rPr>
                <w:color w:val="auto"/>
              </w:rPr>
              <w:t>）、白液储罐1个</w:t>
            </w:r>
            <w:r>
              <w:rPr>
                <w:color w:val="auto"/>
                <w:spacing w:val="-2"/>
              </w:rPr>
              <w:t>（550m</w:t>
            </w:r>
            <w:r>
              <w:rPr>
                <w:color w:val="auto"/>
                <w:spacing w:val="-2"/>
                <w:position w:val="7"/>
                <w:sz w:val="14"/>
                <w:szCs w:val="14"/>
              </w:rPr>
              <w:t>3</w:t>
            </w:r>
            <w:r>
              <w:rPr>
                <w:color w:val="auto"/>
                <w:spacing w:val="-2"/>
              </w:rPr>
              <w:t>）、混合苏打储罐4个（1×550m</w:t>
            </w:r>
            <w:r>
              <w:rPr>
                <w:color w:val="auto"/>
                <w:spacing w:val="-2"/>
                <w:position w:val="7"/>
                <w:sz w:val="14"/>
                <w:szCs w:val="14"/>
              </w:rPr>
              <w:t>3</w:t>
            </w:r>
            <w:r>
              <w:rPr>
                <w:color w:val="auto"/>
                <w:spacing w:val="-2"/>
              </w:rPr>
              <w:t>、3×100m</w:t>
            </w:r>
            <w:r>
              <w:rPr>
                <w:color w:val="auto"/>
                <w:spacing w:val="-2"/>
                <w:position w:val="7"/>
                <w:sz w:val="14"/>
                <w:szCs w:val="14"/>
              </w:rPr>
              <w:t>3</w:t>
            </w:r>
            <w:r>
              <w:rPr>
                <w:color w:val="auto"/>
                <w:spacing w:val="-2"/>
              </w:rPr>
              <w:t>）、</w:t>
            </w:r>
            <w:r>
              <w:rPr>
                <w:color w:val="auto"/>
                <w:spacing w:val="4"/>
              </w:rPr>
              <w:t>H</w:t>
            </w:r>
            <w:r>
              <w:rPr>
                <w:color w:val="auto"/>
                <w:spacing w:val="4"/>
                <w:position w:val="-2"/>
                <w:sz w:val="14"/>
                <w:szCs w:val="14"/>
              </w:rPr>
              <w:t>2</w:t>
            </w:r>
            <w:r>
              <w:rPr>
                <w:color w:val="auto"/>
                <w:spacing w:val="4"/>
              </w:rPr>
              <w:t>O</w:t>
            </w:r>
            <w:r>
              <w:rPr>
                <w:color w:val="auto"/>
                <w:spacing w:val="4"/>
                <w:position w:val="-2"/>
                <w:sz w:val="14"/>
                <w:szCs w:val="14"/>
              </w:rPr>
              <w:t>2</w:t>
            </w:r>
            <w:r>
              <w:rPr>
                <w:color w:val="auto"/>
                <w:spacing w:val="4"/>
              </w:rPr>
              <w:t>储罐5个（3×1000m</w:t>
            </w:r>
            <w:r>
              <w:rPr>
                <w:color w:val="auto"/>
                <w:spacing w:val="4"/>
                <w:position w:val="7"/>
                <w:sz w:val="14"/>
                <w:szCs w:val="14"/>
              </w:rPr>
              <w:t>3</w:t>
            </w:r>
            <w:r>
              <w:rPr>
                <w:color w:val="auto"/>
                <w:spacing w:val="4"/>
              </w:rPr>
              <w:t>，2×50m</w:t>
            </w:r>
            <w:r>
              <w:rPr>
                <w:color w:val="auto"/>
                <w:spacing w:val="4"/>
                <w:position w:val="7"/>
                <w:sz w:val="14"/>
                <w:szCs w:val="14"/>
              </w:rPr>
              <w:t>3</w:t>
            </w:r>
            <w:r>
              <w:rPr>
                <w:color w:val="auto"/>
                <w:spacing w:val="4"/>
              </w:rPr>
              <w:t>）、醋酸储罐3个</w:t>
            </w:r>
            <w:r>
              <w:rPr>
                <w:color w:val="auto"/>
                <w:spacing w:val="-6"/>
              </w:rPr>
              <w:t>（3×210m</w:t>
            </w:r>
            <w:r>
              <w:rPr>
                <w:color w:val="auto"/>
                <w:spacing w:val="-6"/>
                <w:position w:val="7"/>
                <w:sz w:val="14"/>
                <w:szCs w:val="14"/>
              </w:rPr>
              <w:t>3</w:t>
            </w:r>
            <w:r>
              <w:rPr>
                <w:color w:val="auto"/>
                <w:spacing w:val="-6"/>
              </w:rPr>
              <w:t>）、盐酸储罐2个（1×80m</w:t>
            </w:r>
            <w:r>
              <w:rPr>
                <w:color w:val="auto"/>
                <w:spacing w:val="-6"/>
                <w:position w:val="7"/>
                <w:sz w:val="14"/>
                <w:szCs w:val="14"/>
              </w:rPr>
              <w:t>3</w:t>
            </w:r>
            <w:r>
              <w:rPr>
                <w:color w:val="auto"/>
                <w:spacing w:val="-6"/>
              </w:rPr>
              <w:t>、1×60m</w:t>
            </w:r>
            <w:r>
              <w:rPr>
                <w:color w:val="auto"/>
                <w:spacing w:val="-6"/>
                <w:position w:val="7"/>
                <w:sz w:val="14"/>
                <w:szCs w:val="14"/>
              </w:rPr>
              <w:t>3</w:t>
            </w:r>
            <w:r>
              <w:rPr>
                <w:color w:val="auto"/>
                <w:spacing w:val="-7"/>
              </w:rPr>
              <w:t>）、液氨</w:t>
            </w:r>
            <w:r>
              <w:rPr>
                <w:color w:val="auto"/>
                <w:spacing w:val="-5"/>
              </w:rPr>
              <w:t>储罐2个（2×50m</w:t>
            </w:r>
            <w:r>
              <w:rPr>
                <w:color w:val="auto"/>
                <w:spacing w:val="-5"/>
                <w:position w:val="7"/>
                <w:sz w:val="14"/>
                <w:szCs w:val="14"/>
              </w:rPr>
              <w:t>3</w:t>
            </w:r>
            <w:r>
              <w:rPr>
                <w:color w:val="auto"/>
                <w:spacing w:val="-5"/>
              </w:rPr>
              <w:t>）、液化石油气储罐3个（3×100m</w:t>
            </w:r>
            <w:r>
              <w:rPr>
                <w:color w:val="auto"/>
                <w:spacing w:val="-5"/>
                <w:position w:val="7"/>
                <w:sz w:val="14"/>
                <w:szCs w:val="14"/>
              </w:rPr>
              <w:t>3</w:t>
            </w:r>
            <w:r>
              <w:rPr>
                <w:color w:val="auto"/>
                <w:spacing w:val="-5"/>
              </w:rPr>
              <w:t>）、</w:t>
            </w:r>
            <w:r>
              <w:rPr>
                <w:color w:val="auto"/>
                <w:spacing w:val="-6"/>
              </w:rPr>
              <w:t>柴油储罐4个（2×500m</w:t>
            </w:r>
            <w:r>
              <w:rPr>
                <w:color w:val="auto"/>
                <w:spacing w:val="-6"/>
                <w:position w:val="7"/>
                <w:sz w:val="14"/>
                <w:szCs w:val="14"/>
              </w:rPr>
              <w:t>3</w:t>
            </w:r>
            <w:r>
              <w:rPr>
                <w:color w:val="auto"/>
                <w:spacing w:val="-6"/>
              </w:rPr>
              <w:t>，1×50m</w:t>
            </w:r>
            <w:r>
              <w:rPr>
                <w:color w:val="auto"/>
                <w:spacing w:val="-6"/>
                <w:position w:val="7"/>
                <w:sz w:val="14"/>
                <w:szCs w:val="14"/>
              </w:rPr>
              <w:t>3</w:t>
            </w:r>
            <w:r>
              <w:rPr>
                <w:color w:val="auto"/>
                <w:spacing w:val="-6"/>
              </w:rPr>
              <w:t>、1×300m</w:t>
            </w:r>
            <w:r>
              <w:rPr>
                <w:color w:val="auto"/>
                <w:spacing w:val="-6"/>
                <w:position w:val="7"/>
                <w:sz w:val="14"/>
                <w:szCs w:val="14"/>
              </w:rPr>
              <w:t>3</w:t>
            </w:r>
            <w:r>
              <w:rPr>
                <w:color w:val="auto"/>
                <w:spacing w:val="-6"/>
              </w:rPr>
              <w:t>）、DTPA储</w:t>
            </w:r>
            <w:r>
              <w:rPr>
                <w:color w:val="auto"/>
                <w:spacing w:val="-4"/>
              </w:rPr>
              <w:t>罐3个（3×100m</w:t>
            </w:r>
            <w:r>
              <w:rPr>
                <w:color w:val="auto"/>
                <w:spacing w:val="-4"/>
                <w:position w:val="7"/>
                <w:sz w:val="14"/>
                <w:szCs w:val="14"/>
              </w:rPr>
              <w:t>3</w:t>
            </w:r>
            <w:r>
              <w:rPr>
                <w:color w:val="auto"/>
                <w:spacing w:val="-4"/>
              </w:rPr>
              <w:t>）、汽油储罐1个（30m</w:t>
            </w:r>
            <w:r>
              <w:rPr>
                <w:color w:val="auto"/>
                <w:spacing w:val="-4"/>
                <w:position w:val="7"/>
                <w:sz w:val="14"/>
                <w:szCs w:val="14"/>
              </w:rPr>
              <w:t>3</w:t>
            </w:r>
            <w:r>
              <w:rPr>
                <w:color w:val="auto"/>
                <w:spacing w:val="-4"/>
              </w:rPr>
              <w:t>）、重油储罐2</w:t>
            </w:r>
            <w:r>
              <w:rPr>
                <w:color w:val="auto"/>
                <w:spacing w:val="-2"/>
              </w:rPr>
              <w:t>个（2×2000m</w:t>
            </w:r>
            <w:r>
              <w:rPr>
                <w:color w:val="auto"/>
                <w:spacing w:val="-2"/>
                <w:position w:val="7"/>
                <w:sz w:val="14"/>
                <w:szCs w:val="14"/>
              </w:rPr>
              <w:t>3</w:t>
            </w:r>
            <w:r>
              <w:rPr>
                <w:color w:val="auto"/>
                <w:spacing w:val="-2"/>
              </w:rPr>
              <w:t>）、稳定剂储罐6个（6×100m</w:t>
            </w:r>
            <w:r>
              <w:rPr>
                <w:color w:val="auto"/>
                <w:spacing w:val="-2"/>
                <w:position w:val="7"/>
                <w:sz w:val="14"/>
                <w:szCs w:val="14"/>
              </w:rPr>
              <w:t>3</w:t>
            </w:r>
            <w:r>
              <w:rPr>
                <w:color w:val="auto"/>
                <w:spacing w:val="-2"/>
              </w:rPr>
              <w:t>）。</w:t>
            </w:r>
            <w:r>
              <w:rPr>
                <w:color w:val="auto"/>
                <w:spacing w:val="-6"/>
              </w:rPr>
              <w:t>过氧化氢装置区设双氧水产品储罐4个（4×2169m</w:t>
            </w:r>
            <w:r>
              <w:rPr>
                <w:color w:val="auto"/>
                <w:spacing w:val="-6"/>
                <w:position w:val="7"/>
                <w:sz w:val="14"/>
                <w:szCs w:val="14"/>
              </w:rPr>
              <w:t>3</w:t>
            </w:r>
            <w:r>
              <w:rPr>
                <w:color w:val="auto"/>
                <w:spacing w:val="-6"/>
              </w:rPr>
              <w:t>）、中</w:t>
            </w:r>
            <w:r>
              <w:rPr>
                <w:color w:val="auto"/>
                <w:spacing w:val="-5"/>
              </w:rPr>
              <w:t>间罐2个（2×1140m</w:t>
            </w:r>
            <w:r>
              <w:rPr>
                <w:color w:val="auto"/>
                <w:spacing w:val="-5"/>
                <w:position w:val="7"/>
                <w:sz w:val="14"/>
                <w:szCs w:val="14"/>
              </w:rPr>
              <w:t>3</w:t>
            </w:r>
            <w:r>
              <w:rPr>
                <w:color w:val="auto"/>
                <w:spacing w:val="-5"/>
              </w:rPr>
              <w:t>）、重芳烃罐、磷</w:t>
            </w:r>
            <w:r>
              <w:rPr>
                <w:color w:val="auto"/>
                <w:spacing w:val="-6"/>
              </w:rPr>
              <w:t>酸罐、四丁基脲、</w:t>
            </w:r>
            <w:r>
              <w:rPr>
                <w:color w:val="auto"/>
                <w:spacing w:val="-3"/>
              </w:rPr>
              <w:t>磷酸三辛酯各1个（4×118m</w:t>
            </w:r>
            <w:r>
              <w:rPr>
                <w:color w:val="auto"/>
                <w:spacing w:val="-3"/>
                <w:position w:val="7"/>
                <w:sz w:val="14"/>
                <w:szCs w:val="14"/>
              </w:rPr>
              <w:t>3</w:t>
            </w:r>
            <w:r>
              <w:rPr>
                <w:color w:val="auto"/>
                <w:spacing w:val="-3"/>
              </w:rPr>
              <w:t>）。</w:t>
            </w:r>
          </w:p>
        </w:tc>
        <w:tc>
          <w:tcPr>
            <w:tcW w:w="626" w:type="pct"/>
            <w:vAlign w:val="center"/>
          </w:tcPr>
          <w:p w14:paraId="219C6588">
            <w:pPr>
              <w:pStyle w:val="33"/>
              <w:rPr>
                <w:color w:val="auto"/>
              </w:rPr>
            </w:pPr>
            <w:r>
              <w:rPr>
                <w:color w:val="auto"/>
              </w:rPr>
              <w:t>/</w:t>
            </w:r>
          </w:p>
        </w:tc>
      </w:tr>
      <w:tr w14:paraId="669D63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19BD04C5">
            <w:pPr>
              <w:pStyle w:val="33"/>
              <w:rPr>
                <w:rFonts w:eastAsia="Times New Roman"/>
                <w:color w:val="auto"/>
              </w:rPr>
            </w:pPr>
            <w:r>
              <w:rPr>
                <w:rFonts w:eastAsia="Times New Roman"/>
                <w:color w:val="auto"/>
                <w:spacing w:val="-1"/>
                <w:szCs w:val="21"/>
              </w:rPr>
              <w:t>4.3</w:t>
            </w:r>
          </w:p>
        </w:tc>
        <w:tc>
          <w:tcPr>
            <w:tcW w:w="549" w:type="pct"/>
            <w:vAlign w:val="center"/>
          </w:tcPr>
          <w:p w14:paraId="036CB297">
            <w:pPr>
              <w:pStyle w:val="33"/>
              <w:rPr>
                <w:color w:val="auto"/>
                <w:szCs w:val="21"/>
              </w:rPr>
            </w:pPr>
            <w:r>
              <w:rPr>
                <w:color w:val="auto"/>
                <w:spacing w:val="-3"/>
                <w:szCs w:val="21"/>
              </w:rPr>
              <w:t>各类仓库</w:t>
            </w:r>
          </w:p>
        </w:tc>
        <w:tc>
          <w:tcPr>
            <w:tcW w:w="3513" w:type="pct"/>
            <w:vAlign w:val="center"/>
          </w:tcPr>
          <w:p w14:paraId="7C0C0718">
            <w:pPr>
              <w:pStyle w:val="33"/>
              <w:jc w:val="both"/>
              <w:rPr>
                <w:color w:val="auto"/>
                <w:szCs w:val="21"/>
              </w:rPr>
            </w:pPr>
            <w:r>
              <w:rPr>
                <w:color w:val="auto"/>
                <w:spacing w:val="-1"/>
                <w:szCs w:val="21"/>
              </w:rPr>
              <w:t>物料仓库建筑面积</w:t>
            </w:r>
            <w:r>
              <w:rPr>
                <w:rFonts w:eastAsia="Times New Roman"/>
                <w:color w:val="auto"/>
                <w:spacing w:val="-1"/>
                <w:szCs w:val="21"/>
              </w:rPr>
              <w:t>17940m</w:t>
            </w:r>
            <w:r>
              <w:rPr>
                <w:rFonts w:eastAsia="Times New Roman"/>
                <w:color w:val="auto"/>
                <w:spacing w:val="-1"/>
                <w:position w:val="7"/>
                <w:sz w:val="14"/>
                <w:szCs w:val="14"/>
              </w:rPr>
              <w:t>2</w:t>
            </w:r>
            <w:r>
              <w:rPr>
                <w:color w:val="auto"/>
                <w:spacing w:val="-1"/>
                <w:szCs w:val="21"/>
              </w:rPr>
              <w:t>。纸成品仓库建筑面积</w:t>
            </w:r>
            <w:r>
              <w:rPr>
                <w:rFonts w:eastAsia="Times New Roman"/>
                <w:color w:val="auto"/>
                <w:spacing w:val="-1"/>
                <w:szCs w:val="21"/>
              </w:rPr>
              <w:t>3×23500m</w:t>
            </w:r>
            <w:r>
              <w:rPr>
                <w:rFonts w:eastAsia="Times New Roman"/>
                <w:color w:val="auto"/>
                <w:spacing w:val="-1"/>
                <w:position w:val="7"/>
                <w:sz w:val="14"/>
                <w:szCs w:val="14"/>
              </w:rPr>
              <w:t>2</w:t>
            </w:r>
            <w:r>
              <w:rPr>
                <w:color w:val="auto"/>
                <w:spacing w:val="-1"/>
                <w:szCs w:val="21"/>
              </w:rPr>
              <w:t>，共</w:t>
            </w:r>
            <w:r>
              <w:rPr>
                <w:rFonts w:eastAsia="Times New Roman"/>
                <w:color w:val="auto"/>
                <w:spacing w:val="-1"/>
                <w:szCs w:val="21"/>
              </w:rPr>
              <w:t>70500m</w:t>
            </w:r>
            <w:r>
              <w:rPr>
                <w:rFonts w:eastAsia="Times New Roman"/>
                <w:color w:val="auto"/>
                <w:spacing w:val="-1"/>
                <w:position w:val="7"/>
                <w:sz w:val="14"/>
                <w:szCs w:val="14"/>
              </w:rPr>
              <w:t>2</w:t>
            </w:r>
            <w:r>
              <w:rPr>
                <w:color w:val="auto"/>
                <w:spacing w:val="-1"/>
                <w:szCs w:val="21"/>
              </w:rPr>
              <w:t>。造纸化工品仓库建筑面积</w:t>
            </w:r>
            <w:r>
              <w:rPr>
                <w:rFonts w:eastAsia="Times New Roman"/>
                <w:color w:val="auto"/>
                <w:spacing w:val="-1"/>
                <w:szCs w:val="21"/>
              </w:rPr>
              <w:t>9000m</w:t>
            </w:r>
            <w:r>
              <w:rPr>
                <w:rFonts w:eastAsia="Times New Roman"/>
                <w:color w:val="auto"/>
                <w:spacing w:val="-1"/>
                <w:position w:val="7"/>
                <w:sz w:val="14"/>
                <w:szCs w:val="14"/>
              </w:rPr>
              <w:t>2</w:t>
            </w:r>
            <w:r>
              <w:rPr>
                <w:color w:val="auto"/>
                <w:spacing w:val="-1"/>
                <w:szCs w:val="21"/>
              </w:rPr>
              <w:t>。过氧化氢项目配套仓库建筑面积</w:t>
            </w:r>
            <w:r>
              <w:rPr>
                <w:rFonts w:eastAsia="Times New Roman"/>
                <w:color w:val="auto"/>
                <w:spacing w:val="-1"/>
                <w:szCs w:val="21"/>
              </w:rPr>
              <w:t>882m</w:t>
            </w:r>
            <w:r>
              <w:rPr>
                <w:rFonts w:eastAsia="Times New Roman"/>
                <w:color w:val="auto"/>
                <w:spacing w:val="-1"/>
                <w:position w:val="7"/>
                <w:sz w:val="14"/>
                <w:szCs w:val="14"/>
              </w:rPr>
              <w:t>2</w:t>
            </w:r>
            <w:r>
              <w:rPr>
                <w:color w:val="auto"/>
                <w:spacing w:val="-1"/>
                <w:szCs w:val="21"/>
              </w:rPr>
              <w:t>。</w:t>
            </w:r>
          </w:p>
        </w:tc>
        <w:tc>
          <w:tcPr>
            <w:tcW w:w="626" w:type="pct"/>
            <w:vAlign w:val="center"/>
          </w:tcPr>
          <w:p w14:paraId="7479256B">
            <w:pPr>
              <w:pStyle w:val="33"/>
              <w:rPr>
                <w:rFonts w:eastAsia="Times New Roman"/>
                <w:color w:val="auto"/>
              </w:rPr>
            </w:pPr>
            <w:r>
              <w:rPr>
                <w:rFonts w:eastAsia="Times New Roman"/>
                <w:color w:val="auto"/>
                <w:szCs w:val="21"/>
              </w:rPr>
              <w:t>/</w:t>
            </w:r>
          </w:p>
        </w:tc>
      </w:tr>
      <w:tr w14:paraId="1F1967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3F0E22EE">
            <w:pPr>
              <w:pStyle w:val="33"/>
              <w:rPr>
                <w:rFonts w:eastAsia="Times New Roman"/>
                <w:color w:val="auto"/>
              </w:rPr>
            </w:pPr>
            <w:r>
              <w:rPr>
                <w:rFonts w:eastAsia="Times New Roman"/>
                <w:color w:val="auto"/>
                <w:spacing w:val="-1"/>
                <w:szCs w:val="21"/>
              </w:rPr>
              <w:t>4.4</w:t>
            </w:r>
          </w:p>
        </w:tc>
        <w:tc>
          <w:tcPr>
            <w:tcW w:w="549" w:type="pct"/>
            <w:vAlign w:val="center"/>
          </w:tcPr>
          <w:p w14:paraId="1C5EDD07">
            <w:pPr>
              <w:pStyle w:val="33"/>
              <w:rPr>
                <w:color w:val="auto"/>
                <w:szCs w:val="21"/>
              </w:rPr>
            </w:pPr>
            <w:r>
              <w:rPr>
                <w:color w:val="auto"/>
                <w:spacing w:val="-2"/>
                <w:szCs w:val="21"/>
              </w:rPr>
              <w:t>储煤场</w:t>
            </w:r>
          </w:p>
        </w:tc>
        <w:tc>
          <w:tcPr>
            <w:tcW w:w="3513" w:type="pct"/>
            <w:vAlign w:val="center"/>
          </w:tcPr>
          <w:p w14:paraId="7E5223D7">
            <w:pPr>
              <w:pStyle w:val="33"/>
              <w:jc w:val="both"/>
              <w:rPr>
                <w:color w:val="auto"/>
                <w:szCs w:val="21"/>
              </w:rPr>
            </w:pPr>
            <w:r>
              <w:rPr>
                <w:color w:val="auto"/>
                <w:spacing w:val="-2"/>
                <w:szCs w:val="21"/>
              </w:rPr>
              <w:t>半封闭式，加装防风抑尘网，面积为</w:t>
            </w:r>
            <w:r>
              <w:rPr>
                <w:rFonts w:eastAsia="Times New Roman"/>
                <w:color w:val="auto"/>
                <w:spacing w:val="-2"/>
                <w:szCs w:val="21"/>
              </w:rPr>
              <w:t>190m</w:t>
            </w:r>
            <w:r>
              <w:rPr>
                <w:color w:val="auto"/>
                <w:spacing w:val="-2"/>
                <w:szCs w:val="21"/>
              </w:rPr>
              <w:t>×</w:t>
            </w:r>
            <w:r>
              <w:rPr>
                <w:rFonts w:eastAsia="Times New Roman"/>
                <w:color w:val="auto"/>
                <w:spacing w:val="-2"/>
                <w:szCs w:val="21"/>
              </w:rPr>
              <w:t>76m</w:t>
            </w:r>
            <w:r>
              <w:rPr>
                <w:color w:val="auto"/>
                <w:spacing w:val="-2"/>
                <w:szCs w:val="21"/>
              </w:rPr>
              <w:t>，按堆</w:t>
            </w:r>
            <w:r>
              <w:rPr>
                <w:color w:val="auto"/>
                <w:spacing w:val="-1"/>
                <w:szCs w:val="21"/>
              </w:rPr>
              <w:t>煤高度</w:t>
            </w:r>
            <w:r>
              <w:rPr>
                <w:rFonts w:eastAsia="Times New Roman"/>
                <w:color w:val="auto"/>
                <w:spacing w:val="-1"/>
                <w:szCs w:val="21"/>
              </w:rPr>
              <w:t>15m</w:t>
            </w:r>
            <w:r>
              <w:rPr>
                <w:color w:val="auto"/>
                <w:spacing w:val="-1"/>
                <w:szCs w:val="21"/>
              </w:rPr>
              <w:t>计算，可贮煤量</w:t>
            </w:r>
            <w:r>
              <w:rPr>
                <w:rFonts w:eastAsia="Times New Roman"/>
                <w:color w:val="auto"/>
                <w:spacing w:val="-1"/>
                <w:szCs w:val="21"/>
              </w:rPr>
              <w:t>12</w:t>
            </w:r>
            <w:r>
              <w:rPr>
                <w:color w:val="auto"/>
                <w:spacing w:val="-1"/>
                <w:szCs w:val="21"/>
              </w:rPr>
              <w:t>万</w:t>
            </w:r>
            <w:r>
              <w:rPr>
                <w:rFonts w:eastAsia="Times New Roman"/>
                <w:color w:val="auto"/>
                <w:spacing w:val="-1"/>
                <w:szCs w:val="21"/>
              </w:rPr>
              <w:t>t</w:t>
            </w:r>
            <w:r>
              <w:rPr>
                <w:color w:val="auto"/>
                <w:spacing w:val="-1"/>
                <w:szCs w:val="21"/>
              </w:rPr>
              <w:t>。</w:t>
            </w:r>
          </w:p>
        </w:tc>
        <w:tc>
          <w:tcPr>
            <w:tcW w:w="626" w:type="pct"/>
            <w:vAlign w:val="center"/>
          </w:tcPr>
          <w:p w14:paraId="3035E831">
            <w:pPr>
              <w:pStyle w:val="33"/>
              <w:rPr>
                <w:rFonts w:eastAsia="Times New Roman"/>
                <w:color w:val="auto"/>
              </w:rPr>
            </w:pPr>
            <w:r>
              <w:rPr>
                <w:rFonts w:eastAsia="Times New Roman"/>
                <w:color w:val="auto"/>
                <w:szCs w:val="21"/>
              </w:rPr>
              <w:t>/</w:t>
            </w:r>
          </w:p>
        </w:tc>
      </w:tr>
      <w:tr w14:paraId="4EDF48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2CAA794A">
            <w:pPr>
              <w:pStyle w:val="33"/>
              <w:rPr>
                <w:rFonts w:eastAsia="Times New Roman"/>
                <w:color w:val="auto"/>
              </w:rPr>
            </w:pPr>
            <w:r>
              <w:rPr>
                <w:rFonts w:eastAsia="Times New Roman"/>
                <w:color w:val="auto"/>
                <w:spacing w:val="-1"/>
                <w:szCs w:val="21"/>
              </w:rPr>
              <w:t>4.5</w:t>
            </w:r>
          </w:p>
        </w:tc>
        <w:tc>
          <w:tcPr>
            <w:tcW w:w="549" w:type="pct"/>
            <w:vAlign w:val="center"/>
          </w:tcPr>
          <w:p w14:paraId="22FBDCE2">
            <w:pPr>
              <w:pStyle w:val="33"/>
              <w:rPr>
                <w:color w:val="auto"/>
                <w:szCs w:val="21"/>
              </w:rPr>
            </w:pPr>
            <w:r>
              <w:rPr>
                <w:color w:val="auto"/>
                <w:spacing w:val="-3"/>
                <w:szCs w:val="21"/>
              </w:rPr>
              <w:t>厂外工程</w:t>
            </w:r>
          </w:p>
        </w:tc>
        <w:tc>
          <w:tcPr>
            <w:tcW w:w="3513" w:type="pct"/>
            <w:vAlign w:val="center"/>
          </w:tcPr>
          <w:p w14:paraId="33558B24">
            <w:pPr>
              <w:pStyle w:val="33"/>
              <w:jc w:val="both"/>
              <w:rPr>
                <w:color w:val="auto"/>
                <w:szCs w:val="21"/>
              </w:rPr>
            </w:pPr>
            <w:r>
              <w:rPr>
                <w:color w:val="auto"/>
                <w:spacing w:val="-4"/>
                <w:szCs w:val="21"/>
              </w:rPr>
              <w:t>使用钦州港公用码头。</w:t>
            </w:r>
          </w:p>
        </w:tc>
        <w:tc>
          <w:tcPr>
            <w:tcW w:w="626" w:type="pct"/>
            <w:vAlign w:val="center"/>
          </w:tcPr>
          <w:p w14:paraId="73C7B107">
            <w:pPr>
              <w:pStyle w:val="33"/>
              <w:rPr>
                <w:rFonts w:eastAsia="Times New Roman"/>
                <w:color w:val="auto"/>
              </w:rPr>
            </w:pPr>
            <w:r>
              <w:rPr>
                <w:rFonts w:eastAsia="Times New Roman"/>
                <w:color w:val="auto"/>
                <w:szCs w:val="21"/>
              </w:rPr>
              <w:t>/</w:t>
            </w:r>
          </w:p>
        </w:tc>
      </w:tr>
      <w:tr w14:paraId="7AE466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66E50457">
            <w:pPr>
              <w:pStyle w:val="33"/>
              <w:jc w:val="both"/>
              <w:rPr>
                <w:color w:val="auto"/>
                <w:szCs w:val="21"/>
              </w:rPr>
            </w:pPr>
            <w:r>
              <w:rPr>
                <w:rFonts w:eastAsia="Times New Roman"/>
                <w:color w:val="auto"/>
                <w:spacing w:val="-5"/>
                <w:szCs w:val="21"/>
              </w:rPr>
              <w:t>5</w:t>
            </w:r>
            <w:r>
              <w:rPr>
                <w:color w:val="auto"/>
                <w:spacing w:val="-5"/>
                <w:szCs w:val="21"/>
              </w:rPr>
              <w:t>、海底排放工程</w:t>
            </w:r>
          </w:p>
        </w:tc>
      </w:tr>
      <w:tr w14:paraId="40D567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2" w:type="pct"/>
            <w:vAlign w:val="center"/>
          </w:tcPr>
          <w:p w14:paraId="272C08DF">
            <w:pPr>
              <w:pStyle w:val="33"/>
              <w:rPr>
                <w:rFonts w:eastAsia="Times New Roman"/>
                <w:color w:val="auto"/>
              </w:rPr>
            </w:pPr>
            <w:r>
              <w:rPr>
                <w:rFonts w:eastAsia="Times New Roman"/>
                <w:color w:val="auto"/>
                <w:spacing w:val="-4"/>
                <w:szCs w:val="21"/>
              </w:rPr>
              <w:t>5.1</w:t>
            </w:r>
          </w:p>
        </w:tc>
        <w:tc>
          <w:tcPr>
            <w:tcW w:w="549" w:type="pct"/>
            <w:vAlign w:val="center"/>
          </w:tcPr>
          <w:p w14:paraId="5F5D0822">
            <w:pPr>
              <w:pStyle w:val="33"/>
              <w:rPr>
                <w:color w:val="auto"/>
                <w:szCs w:val="21"/>
              </w:rPr>
            </w:pPr>
            <w:r>
              <w:rPr>
                <w:color w:val="auto"/>
                <w:spacing w:val="-2"/>
                <w:szCs w:val="21"/>
              </w:rPr>
              <w:t>海底排放</w:t>
            </w:r>
            <w:r>
              <w:rPr>
                <w:color w:val="auto"/>
                <w:spacing w:val="-3"/>
                <w:szCs w:val="21"/>
              </w:rPr>
              <w:t>工程</w:t>
            </w:r>
          </w:p>
        </w:tc>
        <w:tc>
          <w:tcPr>
            <w:tcW w:w="3513" w:type="pct"/>
            <w:vAlign w:val="center"/>
          </w:tcPr>
          <w:p w14:paraId="0F0DF83D">
            <w:pPr>
              <w:pStyle w:val="33"/>
              <w:jc w:val="both"/>
              <w:rPr>
                <w:color w:val="auto"/>
              </w:rPr>
            </w:pPr>
            <w:r>
              <w:rPr>
                <w:color w:val="auto"/>
              </w:rPr>
              <w:t>污水提升泵设计流量为2.778m</w:t>
            </w:r>
            <w:r>
              <w:rPr>
                <w:color w:val="auto"/>
                <w:vertAlign w:val="superscript"/>
              </w:rPr>
              <w:t>3</w:t>
            </w:r>
            <w:r>
              <w:rPr>
                <w:color w:val="auto"/>
              </w:rPr>
              <w:t>/s，提升能力24万m</w:t>
            </w:r>
            <w:r>
              <w:rPr>
                <w:color w:val="auto"/>
                <w:vertAlign w:val="superscript"/>
              </w:rPr>
              <w:t>3</w:t>
            </w:r>
            <w:r>
              <w:rPr>
                <w:color w:val="auto"/>
              </w:rPr>
              <w:t>/d。排放管线直径1600mm，可输送量20万m</w:t>
            </w:r>
            <w:r>
              <w:rPr>
                <w:color w:val="auto"/>
                <w:vertAlign w:val="superscript"/>
              </w:rPr>
              <w:t>3</w:t>
            </w:r>
            <w:r>
              <w:rPr>
                <w:color w:val="auto"/>
              </w:rPr>
              <w:t>/d。排污口处于钦州港大榄坪排污混合区（GX057DIV，即A2排污区），范围是21°39′19″N、108°39′46″E，21°39′43″N、108°39′29″E，21°39′40″N、108°38′49″</w:t>
            </w:r>
          </w:p>
          <w:p w14:paraId="25F9079D">
            <w:pPr>
              <w:pStyle w:val="33"/>
              <w:jc w:val="both"/>
              <w:rPr>
                <w:color w:val="auto"/>
              </w:rPr>
            </w:pPr>
            <w:r>
              <w:rPr>
                <w:color w:val="auto"/>
              </w:rPr>
              <w:t>E，21°38′51″N、108°38′49″E，21°38′54″N、108°39′39″E围成的海域，面积为3平方公里。</w:t>
            </w:r>
          </w:p>
        </w:tc>
        <w:tc>
          <w:tcPr>
            <w:tcW w:w="626" w:type="pct"/>
            <w:vAlign w:val="center"/>
          </w:tcPr>
          <w:p w14:paraId="5DA5E880">
            <w:pPr>
              <w:pStyle w:val="33"/>
              <w:rPr>
                <w:rFonts w:eastAsia="Times New Roman"/>
                <w:color w:val="auto"/>
              </w:rPr>
            </w:pPr>
            <w:r>
              <w:rPr>
                <w:rFonts w:eastAsia="Times New Roman"/>
                <w:color w:val="auto"/>
                <w:szCs w:val="21"/>
              </w:rPr>
              <w:t>/</w:t>
            </w:r>
          </w:p>
        </w:tc>
      </w:tr>
    </w:tbl>
    <w:p w14:paraId="55FE82AB">
      <w:pPr>
        <w:pStyle w:val="4"/>
        <w:rPr>
          <w:color w:val="auto"/>
        </w:rPr>
      </w:pPr>
      <w:bookmarkStart w:id="160" w:name="_Toc225216672"/>
      <w:r>
        <w:rPr>
          <w:color w:val="auto"/>
        </w:rPr>
        <w:t>主要原辅材料及能源消耗</w:t>
      </w:r>
      <w:bookmarkEnd w:id="160"/>
    </w:p>
    <w:p w14:paraId="1FE7BDDA">
      <w:pPr>
        <w:ind w:firstLine="480"/>
        <w:rPr>
          <w:color w:val="auto"/>
        </w:rPr>
      </w:pPr>
      <w:r>
        <w:rPr>
          <w:color w:val="auto"/>
        </w:rPr>
        <w:t>现有工程主要原辅材料及能源消耗见</w:t>
      </w:r>
      <w:r>
        <w:rPr>
          <w:rFonts w:hint="eastAsia"/>
          <w:color w:val="auto"/>
        </w:rPr>
        <w:t>下表</w:t>
      </w:r>
      <w:r>
        <w:rPr>
          <w:color w:val="auto"/>
        </w:rPr>
        <w:t>。</w:t>
      </w:r>
    </w:p>
    <w:p w14:paraId="186B24F9">
      <w:pPr>
        <w:pStyle w:val="7"/>
        <w:rPr>
          <w:color w:val="auto"/>
        </w:rPr>
      </w:pPr>
      <w:r>
        <w:rPr>
          <w:color w:val="auto"/>
        </w:rPr>
        <w:t>现有工程主要原辅材料及能源消耗情况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436"/>
        <w:gridCol w:w="1281"/>
        <w:gridCol w:w="1432"/>
        <w:gridCol w:w="1432"/>
        <w:gridCol w:w="754"/>
        <w:gridCol w:w="930"/>
        <w:gridCol w:w="1007"/>
        <w:gridCol w:w="2014"/>
      </w:tblGrid>
      <w:tr w14:paraId="6906FF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blHeader/>
        </w:trPr>
        <w:tc>
          <w:tcPr>
            <w:tcW w:w="235" w:type="pct"/>
            <w:vMerge w:val="restart"/>
            <w:vAlign w:val="center"/>
          </w:tcPr>
          <w:p w14:paraId="61761097">
            <w:pPr>
              <w:pStyle w:val="33"/>
              <w:rPr>
                <w:color w:val="auto"/>
              </w:rPr>
            </w:pPr>
            <w:r>
              <w:rPr>
                <w:rFonts w:hint="eastAsia"/>
                <w:color w:val="auto"/>
              </w:rPr>
              <w:t>序号</w:t>
            </w:r>
          </w:p>
        </w:tc>
        <w:tc>
          <w:tcPr>
            <w:tcW w:w="690" w:type="pct"/>
            <w:vMerge w:val="restart"/>
            <w:vAlign w:val="center"/>
          </w:tcPr>
          <w:p w14:paraId="09674A2C">
            <w:pPr>
              <w:pStyle w:val="33"/>
              <w:rPr>
                <w:color w:val="auto"/>
              </w:rPr>
            </w:pPr>
            <w:r>
              <w:rPr>
                <w:rFonts w:hint="eastAsia"/>
                <w:color w:val="auto"/>
              </w:rPr>
              <w:t>车间</w:t>
            </w:r>
          </w:p>
        </w:tc>
        <w:tc>
          <w:tcPr>
            <w:tcW w:w="771" w:type="pct"/>
            <w:vMerge w:val="restart"/>
            <w:tcBorders>
              <w:bottom w:val="nil"/>
            </w:tcBorders>
            <w:vAlign w:val="center"/>
          </w:tcPr>
          <w:p w14:paraId="5A95413D">
            <w:pPr>
              <w:pStyle w:val="33"/>
              <w:rPr>
                <w:color w:val="auto"/>
              </w:rPr>
            </w:pPr>
            <w:r>
              <w:rPr>
                <w:color w:val="auto"/>
              </w:rPr>
              <w:t>物料名称</w:t>
            </w:r>
          </w:p>
        </w:tc>
        <w:tc>
          <w:tcPr>
            <w:tcW w:w="1177" w:type="pct"/>
            <w:gridSpan w:val="2"/>
            <w:vAlign w:val="center"/>
          </w:tcPr>
          <w:p w14:paraId="2AF4B766">
            <w:pPr>
              <w:pStyle w:val="33"/>
              <w:rPr>
                <w:color w:val="auto"/>
              </w:rPr>
            </w:pPr>
            <w:r>
              <w:rPr>
                <w:color w:val="auto"/>
                <w:spacing w:val="-5"/>
              </w:rPr>
              <w:t>单耗</w:t>
            </w:r>
          </w:p>
        </w:tc>
        <w:tc>
          <w:tcPr>
            <w:tcW w:w="1043" w:type="pct"/>
            <w:gridSpan w:val="2"/>
            <w:vAlign w:val="center"/>
          </w:tcPr>
          <w:p w14:paraId="092C8FA9">
            <w:pPr>
              <w:pStyle w:val="33"/>
              <w:rPr>
                <w:color w:val="auto"/>
              </w:rPr>
            </w:pPr>
            <w:r>
              <w:rPr>
                <w:color w:val="auto"/>
                <w:spacing w:val="-5"/>
              </w:rPr>
              <w:t>年耗</w:t>
            </w:r>
          </w:p>
        </w:tc>
        <w:tc>
          <w:tcPr>
            <w:tcW w:w="1084" w:type="pct"/>
            <w:vMerge w:val="restart"/>
            <w:tcBorders>
              <w:bottom w:val="nil"/>
            </w:tcBorders>
            <w:vAlign w:val="center"/>
          </w:tcPr>
          <w:p w14:paraId="0D900470">
            <w:pPr>
              <w:pStyle w:val="33"/>
              <w:rPr>
                <w:color w:val="auto"/>
              </w:rPr>
            </w:pPr>
            <w:r>
              <w:rPr>
                <w:color w:val="auto"/>
                <w:spacing w:val="-5"/>
              </w:rPr>
              <w:t>备注</w:t>
            </w:r>
          </w:p>
        </w:tc>
      </w:tr>
      <w:tr w14:paraId="7A281A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blHeader/>
        </w:trPr>
        <w:tc>
          <w:tcPr>
            <w:tcW w:w="235" w:type="pct"/>
            <w:vMerge w:val="continue"/>
            <w:vAlign w:val="center"/>
          </w:tcPr>
          <w:p w14:paraId="4C82B28C">
            <w:pPr>
              <w:pStyle w:val="33"/>
              <w:rPr>
                <w:color w:val="auto"/>
              </w:rPr>
            </w:pPr>
          </w:p>
        </w:tc>
        <w:tc>
          <w:tcPr>
            <w:tcW w:w="690" w:type="pct"/>
            <w:vMerge w:val="continue"/>
            <w:vAlign w:val="center"/>
          </w:tcPr>
          <w:p w14:paraId="4D08818C">
            <w:pPr>
              <w:pStyle w:val="33"/>
              <w:rPr>
                <w:color w:val="auto"/>
              </w:rPr>
            </w:pPr>
          </w:p>
        </w:tc>
        <w:tc>
          <w:tcPr>
            <w:tcW w:w="771" w:type="pct"/>
            <w:vMerge w:val="continue"/>
            <w:tcBorders>
              <w:top w:val="nil"/>
            </w:tcBorders>
            <w:vAlign w:val="center"/>
          </w:tcPr>
          <w:p w14:paraId="5A5EA5C9">
            <w:pPr>
              <w:pStyle w:val="33"/>
              <w:rPr>
                <w:color w:val="auto"/>
              </w:rPr>
            </w:pPr>
          </w:p>
        </w:tc>
        <w:tc>
          <w:tcPr>
            <w:tcW w:w="771" w:type="pct"/>
            <w:vAlign w:val="center"/>
          </w:tcPr>
          <w:p w14:paraId="7C0AE642">
            <w:pPr>
              <w:pStyle w:val="33"/>
              <w:rPr>
                <w:color w:val="auto"/>
              </w:rPr>
            </w:pPr>
            <w:r>
              <w:rPr>
                <w:color w:val="auto"/>
                <w:spacing w:val="-5"/>
              </w:rPr>
              <w:t>单位</w:t>
            </w:r>
          </w:p>
        </w:tc>
        <w:tc>
          <w:tcPr>
            <w:tcW w:w="406" w:type="pct"/>
            <w:vAlign w:val="center"/>
          </w:tcPr>
          <w:p w14:paraId="493074CD">
            <w:pPr>
              <w:pStyle w:val="33"/>
              <w:rPr>
                <w:color w:val="auto"/>
              </w:rPr>
            </w:pPr>
            <w:r>
              <w:rPr>
                <w:color w:val="auto"/>
                <w:spacing w:val="-5"/>
              </w:rPr>
              <w:t>数量</w:t>
            </w:r>
          </w:p>
        </w:tc>
        <w:tc>
          <w:tcPr>
            <w:tcW w:w="501" w:type="pct"/>
            <w:vAlign w:val="center"/>
          </w:tcPr>
          <w:p w14:paraId="62FDBC01">
            <w:pPr>
              <w:pStyle w:val="33"/>
              <w:rPr>
                <w:color w:val="auto"/>
              </w:rPr>
            </w:pPr>
            <w:r>
              <w:rPr>
                <w:color w:val="auto"/>
                <w:spacing w:val="-5"/>
              </w:rPr>
              <w:t>单位</w:t>
            </w:r>
          </w:p>
        </w:tc>
        <w:tc>
          <w:tcPr>
            <w:tcW w:w="542" w:type="pct"/>
            <w:vAlign w:val="center"/>
          </w:tcPr>
          <w:p w14:paraId="3B2262E8">
            <w:pPr>
              <w:pStyle w:val="33"/>
              <w:rPr>
                <w:color w:val="auto"/>
              </w:rPr>
            </w:pPr>
            <w:r>
              <w:rPr>
                <w:color w:val="auto"/>
                <w:spacing w:val="-7"/>
              </w:rPr>
              <w:t>数量</w:t>
            </w:r>
          </w:p>
        </w:tc>
        <w:tc>
          <w:tcPr>
            <w:tcW w:w="1084" w:type="pct"/>
            <w:vMerge w:val="continue"/>
            <w:tcBorders>
              <w:top w:val="nil"/>
            </w:tcBorders>
            <w:vAlign w:val="center"/>
          </w:tcPr>
          <w:p w14:paraId="31393161">
            <w:pPr>
              <w:pStyle w:val="33"/>
              <w:rPr>
                <w:color w:val="auto"/>
              </w:rPr>
            </w:pPr>
          </w:p>
        </w:tc>
      </w:tr>
      <w:tr w14:paraId="6995C5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F90460D">
            <w:pPr>
              <w:pStyle w:val="33"/>
              <w:rPr>
                <w:color w:val="auto"/>
              </w:rPr>
            </w:pPr>
            <w:r>
              <w:rPr>
                <w:rFonts w:hint="eastAsia"/>
                <w:color w:val="auto"/>
              </w:rPr>
              <w:t>1</w:t>
            </w:r>
          </w:p>
        </w:tc>
        <w:tc>
          <w:tcPr>
            <w:tcW w:w="690" w:type="pct"/>
            <w:vMerge w:val="restart"/>
            <w:vAlign w:val="center"/>
          </w:tcPr>
          <w:p w14:paraId="0CDC5A09">
            <w:pPr>
              <w:pStyle w:val="33"/>
              <w:rPr>
                <w:color w:val="auto"/>
              </w:rPr>
            </w:pPr>
            <w:r>
              <w:rPr>
                <w:color w:val="auto"/>
              </w:rPr>
              <w:t>备料车间</w:t>
            </w:r>
          </w:p>
        </w:tc>
        <w:tc>
          <w:tcPr>
            <w:tcW w:w="771" w:type="pct"/>
            <w:vAlign w:val="center"/>
          </w:tcPr>
          <w:p w14:paraId="7C76C1BD">
            <w:pPr>
              <w:pStyle w:val="33"/>
              <w:rPr>
                <w:color w:val="auto"/>
              </w:rPr>
            </w:pPr>
            <w:r>
              <w:rPr>
                <w:color w:val="auto"/>
              </w:rPr>
              <w:t>原木</w:t>
            </w:r>
          </w:p>
        </w:tc>
        <w:tc>
          <w:tcPr>
            <w:tcW w:w="771" w:type="pct"/>
            <w:vAlign w:val="center"/>
          </w:tcPr>
          <w:p w14:paraId="72F371E2">
            <w:pPr>
              <w:pStyle w:val="33"/>
              <w:rPr>
                <w:color w:val="auto"/>
              </w:rPr>
            </w:pPr>
            <w:r>
              <w:rPr>
                <w:color w:val="auto"/>
              </w:rPr>
              <w:t>m</w:t>
            </w:r>
            <w:r>
              <w:rPr>
                <w:color w:val="auto"/>
                <w:vertAlign w:val="superscript"/>
              </w:rPr>
              <w:t>3</w:t>
            </w:r>
            <w:r>
              <w:rPr>
                <w:color w:val="auto"/>
              </w:rPr>
              <w:t>/Adt</w:t>
            </w:r>
          </w:p>
        </w:tc>
        <w:tc>
          <w:tcPr>
            <w:tcW w:w="406" w:type="pct"/>
            <w:vAlign w:val="center"/>
          </w:tcPr>
          <w:p w14:paraId="0064DF9F">
            <w:pPr>
              <w:pStyle w:val="33"/>
              <w:rPr>
                <w:color w:val="auto"/>
              </w:rPr>
            </w:pPr>
            <w:r>
              <w:rPr>
                <w:color w:val="auto"/>
              </w:rPr>
              <w:t>2.367</w:t>
            </w:r>
          </w:p>
        </w:tc>
        <w:tc>
          <w:tcPr>
            <w:tcW w:w="501" w:type="pct"/>
            <w:vAlign w:val="center"/>
          </w:tcPr>
          <w:p w14:paraId="38E37542">
            <w:pPr>
              <w:pStyle w:val="33"/>
              <w:rPr>
                <w:color w:val="auto"/>
              </w:rPr>
            </w:pPr>
            <w:r>
              <w:rPr>
                <w:color w:val="auto"/>
              </w:rPr>
              <w:t>万m</w:t>
            </w:r>
            <w:r>
              <w:rPr>
                <w:color w:val="auto"/>
                <w:vertAlign w:val="superscript"/>
              </w:rPr>
              <w:t>3</w:t>
            </w:r>
            <w:r>
              <w:rPr>
                <w:color w:val="auto"/>
              </w:rPr>
              <w:t>/a</w:t>
            </w:r>
          </w:p>
        </w:tc>
        <w:tc>
          <w:tcPr>
            <w:tcW w:w="542" w:type="pct"/>
            <w:vAlign w:val="center"/>
          </w:tcPr>
          <w:p w14:paraId="09163C0C">
            <w:pPr>
              <w:pStyle w:val="33"/>
              <w:rPr>
                <w:color w:val="auto"/>
              </w:rPr>
            </w:pPr>
            <w:r>
              <w:rPr>
                <w:rFonts w:hint="eastAsia"/>
                <w:color w:val="auto"/>
              </w:rPr>
              <w:t>91.94</w:t>
            </w:r>
          </w:p>
        </w:tc>
        <w:tc>
          <w:tcPr>
            <w:tcW w:w="1084" w:type="pct"/>
            <w:vAlign w:val="center"/>
          </w:tcPr>
          <w:p w14:paraId="350A5CC5">
            <w:pPr>
              <w:pStyle w:val="33"/>
              <w:rPr>
                <w:color w:val="auto"/>
              </w:rPr>
            </w:pPr>
            <w:r>
              <w:rPr>
                <w:color w:val="auto"/>
              </w:rPr>
              <w:t>密度0.92t/m</w:t>
            </w:r>
            <w:r>
              <w:rPr>
                <w:color w:val="auto"/>
                <w:vertAlign w:val="superscript"/>
              </w:rPr>
              <w:t>3</w:t>
            </w:r>
            <w:r>
              <w:rPr>
                <w:color w:val="auto"/>
              </w:rPr>
              <w:t>，含水率50%，备料损失5%</w:t>
            </w:r>
          </w:p>
        </w:tc>
      </w:tr>
      <w:tr w14:paraId="003D1B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1BA9130">
            <w:pPr>
              <w:pStyle w:val="33"/>
              <w:rPr>
                <w:color w:val="auto"/>
              </w:rPr>
            </w:pPr>
            <w:r>
              <w:rPr>
                <w:rFonts w:hint="eastAsia"/>
                <w:color w:val="auto"/>
              </w:rPr>
              <w:t>2</w:t>
            </w:r>
          </w:p>
        </w:tc>
        <w:tc>
          <w:tcPr>
            <w:tcW w:w="690" w:type="pct"/>
            <w:vMerge w:val="continue"/>
            <w:vAlign w:val="center"/>
          </w:tcPr>
          <w:p w14:paraId="5D60B49B">
            <w:pPr>
              <w:pStyle w:val="33"/>
              <w:rPr>
                <w:color w:val="auto"/>
              </w:rPr>
            </w:pPr>
          </w:p>
        </w:tc>
        <w:tc>
          <w:tcPr>
            <w:tcW w:w="771" w:type="pct"/>
            <w:vAlign w:val="center"/>
          </w:tcPr>
          <w:p w14:paraId="61FD73CD">
            <w:pPr>
              <w:pStyle w:val="33"/>
              <w:rPr>
                <w:color w:val="auto"/>
              </w:rPr>
            </w:pPr>
            <w:r>
              <w:rPr>
                <w:color w:val="auto"/>
              </w:rPr>
              <w:t>木片</w:t>
            </w:r>
          </w:p>
        </w:tc>
        <w:tc>
          <w:tcPr>
            <w:tcW w:w="771" w:type="pct"/>
            <w:vAlign w:val="center"/>
          </w:tcPr>
          <w:p w14:paraId="535062FA">
            <w:pPr>
              <w:pStyle w:val="33"/>
              <w:rPr>
                <w:color w:val="auto"/>
              </w:rPr>
            </w:pPr>
            <w:r>
              <w:rPr>
                <w:color w:val="auto"/>
              </w:rPr>
              <w:t>m</w:t>
            </w:r>
            <w:r>
              <w:rPr>
                <w:color w:val="auto"/>
                <w:vertAlign w:val="superscript"/>
              </w:rPr>
              <w:t>3</w:t>
            </w:r>
            <w:r>
              <w:rPr>
                <w:color w:val="auto"/>
              </w:rPr>
              <w:t>/Adt</w:t>
            </w:r>
          </w:p>
        </w:tc>
        <w:tc>
          <w:tcPr>
            <w:tcW w:w="406" w:type="pct"/>
            <w:vAlign w:val="center"/>
          </w:tcPr>
          <w:p w14:paraId="4DF1F30D">
            <w:pPr>
              <w:pStyle w:val="33"/>
              <w:rPr>
                <w:color w:val="auto"/>
              </w:rPr>
            </w:pPr>
            <w:r>
              <w:rPr>
                <w:color w:val="auto"/>
              </w:rPr>
              <w:t>6.806</w:t>
            </w:r>
          </w:p>
        </w:tc>
        <w:tc>
          <w:tcPr>
            <w:tcW w:w="501" w:type="pct"/>
            <w:vAlign w:val="center"/>
          </w:tcPr>
          <w:p w14:paraId="56061895">
            <w:pPr>
              <w:pStyle w:val="33"/>
              <w:rPr>
                <w:color w:val="auto"/>
              </w:rPr>
            </w:pPr>
            <w:r>
              <w:rPr>
                <w:color w:val="auto"/>
              </w:rPr>
              <w:t>万m</w:t>
            </w:r>
            <w:r>
              <w:rPr>
                <w:color w:val="auto"/>
                <w:vertAlign w:val="superscript"/>
              </w:rPr>
              <w:t>3</w:t>
            </w:r>
            <w:r>
              <w:rPr>
                <w:color w:val="auto"/>
              </w:rPr>
              <w:t>/a</w:t>
            </w:r>
          </w:p>
        </w:tc>
        <w:tc>
          <w:tcPr>
            <w:tcW w:w="542" w:type="pct"/>
            <w:vAlign w:val="center"/>
          </w:tcPr>
          <w:p w14:paraId="42E9E452">
            <w:pPr>
              <w:pStyle w:val="33"/>
              <w:rPr>
                <w:color w:val="auto"/>
              </w:rPr>
            </w:pPr>
            <w:r>
              <w:rPr>
                <w:rFonts w:hint="eastAsia"/>
                <w:color w:val="auto"/>
              </w:rPr>
              <w:t>660.87</w:t>
            </w:r>
          </w:p>
        </w:tc>
        <w:tc>
          <w:tcPr>
            <w:tcW w:w="1084" w:type="pct"/>
            <w:vAlign w:val="center"/>
          </w:tcPr>
          <w:p w14:paraId="21E8EF9D">
            <w:pPr>
              <w:pStyle w:val="33"/>
              <w:rPr>
                <w:color w:val="auto"/>
              </w:rPr>
            </w:pPr>
            <w:r>
              <w:rPr>
                <w:color w:val="auto"/>
              </w:rPr>
              <w:t>密度0.32t/m</w:t>
            </w:r>
            <w:r>
              <w:rPr>
                <w:color w:val="auto"/>
                <w:vertAlign w:val="superscript"/>
              </w:rPr>
              <w:t>3</w:t>
            </w:r>
            <w:r>
              <w:rPr>
                <w:color w:val="auto"/>
              </w:rPr>
              <w:t>，含水率50%，备料损失5%</w:t>
            </w:r>
          </w:p>
        </w:tc>
      </w:tr>
      <w:tr w14:paraId="623702C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34194FC">
            <w:pPr>
              <w:pStyle w:val="33"/>
              <w:rPr>
                <w:color w:val="auto"/>
              </w:rPr>
            </w:pPr>
            <w:r>
              <w:rPr>
                <w:rFonts w:hint="eastAsia"/>
                <w:color w:val="auto"/>
              </w:rPr>
              <w:t>3</w:t>
            </w:r>
          </w:p>
        </w:tc>
        <w:tc>
          <w:tcPr>
            <w:tcW w:w="690" w:type="pct"/>
            <w:vMerge w:val="restart"/>
            <w:vAlign w:val="center"/>
          </w:tcPr>
          <w:p w14:paraId="45FD540D">
            <w:pPr>
              <w:pStyle w:val="33"/>
              <w:rPr>
                <w:color w:val="auto"/>
              </w:rPr>
            </w:pPr>
            <w:r>
              <w:rPr>
                <w:color w:val="auto"/>
              </w:rPr>
              <w:t>1#-3#化机浆生产线</w:t>
            </w:r>
          </w:p>
        </w:tc>
        <w:tc>
          <w:tcPr>
            <w:tcW w:w="771" w:type="pct"/>
            <w:vAlign w:val="center"/>
          </w:tcPr>
          <w:p w14:paraId="228E4A0C">
            <w:pPr>
              <w:pStyle w:val="33"/>
              <w:rPr>
                <w:color w:val="auto"/>
              </w:rPr>
            </w:pPr>
            <w:r>
              <w:rPr>
                <w:color w:val="auto"/>
              </w:rPr>
              <w:t>合格木片</w:t>
            </w:r>
          </w:p>
        </w:tc>
        <w:tc>
          <w:tcPr>
            <w:tcW w:w="771" w:type="pct"/>
            <w:vAlign w:val="center"/>
          </w:tcPr>
          <w:p w14:paraId="47BB613C">
            <w:pPr>
              <w:pStyle w:val="33"/>
              <w:rPr>
                <w:color w:val="auto"/>
              </w:rPr>
            </w:pPr>
            <w:r>
              <w:rPr>
                <w:color w:val="auto"/>
              </w:rPr>
              <w:t>Bdt/Adt</w:t>
            </w:r>
          </w:p>
        </w:tc>
        <w:tc>
          <w:tcPr>
            <w:tcW w:w="406" w:type="pct"/>
            <w:vAlign w:val="center"/>
          </w:tcPr>
          <w:p w14:paraId="7A8E2172">
            <w:pPr>
              <w:pStyle w:val="33"/>
              <w:rPr>
                <w:color w:val="auto"/>
              </w:rPr>
            </w:pPr>
            <w:r>
              <w:rPr>
                <w:rFonts w:hint="eastAsia"/>
                <w:color w:val="auto"/>
              </w:rPr>
              <w:t>1.034</w:t>
            </w:r>
          </w:p>
        </w:tc>
        <w:tc>
          <w:tcPr>
            <w:tcW w:w="501" w:type="pct"/>
            <w:vAlign w:val="center"/>
          </w:tcPr>
          <w:p w14:paraId="39A60CC6">
            <w:pPr>
              <w:pStyle w:val="33"/>
              <w:rPr>
                <w:color w:val="auto"/>
              </w:rPr>
            </w:pPr>
            <w:r>
              <w:rPr>
                <w:color w:val="auto"/>
              </w:rPr>
              <w:t>万Bdt/a</w:t>
            </w:r>
          </w:p>
        </w:tc>
        <w:tc>
          <w:tcPr>
            <w:tcW w:w="542" w:type="pct"/>
            <w:vAlign w:val="center"/>
          </w:tcPr>
          <w:p w14:paraId="3244D33C">
            <w:pPr>
              <w:pStyle w:val="33"/>
              <w:rPr>
                <w:color w:val="auto"/>
              </w:rPr>
            </w:pPr>
            <w:r>
              <w:rPr>
                <w:rFonts w:hint="eastAsia"/>
                <w:color w:val="auto"/>
              </w:rPr>
              <w:t>145.81</w:t>
            </w:r>
          </w:p>
        </w:tc>
        <w:tc>
          <w:tcPr>
            <w:tcW w:w="1084" w:type="pct"/>
            <w:vAlign w:val="center"/>
          </w:tcPr>
          <w:p w14:paraId="15686D55">
            <w:pPr>
              <w:pStyle w:val="33"/>
              <w:rPr>
                <w:color w:val="auto"/>
              </w:rPr>
            </w:pPr>
            <w:r>
              <w:rPr>
                <w:color w:val="auto"/>
              </w:rPr>
              <w:t>得率87%</w:t>
            </w:r>
          </w:p>
        </w:tc>
      </w:tr>
      <w:tr w14:paraId="6EA767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371C51C">
            <w:pPr>
              <w:pStyle w:val="33"/>
              <w:rPr>
                <w:color w:val="auto"/>
              </w:rPr>
            </w:pPr>
            <w:r>
              <w:rPr>
                <w:rFonts w:hint="eastAsia"/>
                <w:color w:val="auto"/>
              </w:rPr>
              <w:t>4</w:t>
            </w:r>
          </w:p>
        </w:tc>
        <w:tc>
          <w:tcPr>
            <w:tcW w:w="690" w:type="pct"/>
            <w:vMerge w:val="continue"/>
            <w:vAlign w:val="center"/>
          </w:tcPr>
          <w:p w14:paraId="6EA3ADF1">
            <w:pPr>
              <w:pStyle w:val="33"/>
              <w:rPr>
                <w:color w:val="auto"/>
              </w:rPr>
            </w:pPr>
          </w:p>
        </w:tc>
        <w:tc>
          <w:tcPr>
            <w:tcW w:w="771" w:type="pct"/>
            <w:vAlign w:val="center"/>
          </w:tcPr>
          <w:p w14:paraId="1854F09D">
            <w:pPr>
              <w:pStyle w:val="33"/>
              <w:rPr>
                <w:color w:val="auto"/>
              </w:rPr>
            </w:pPr>
            <w:r>
              <w:rPr>
                <w:color w:val="auto"/>
              </w:rPr>
              <w:t>氢氧化钠</w:t>
            </w:r>
          </w:p>
        </w:tc>
        <w:tc>
          <w:tcPr>
            <w:tcW w:w="771" w:type="pct"/>
            <w:vAlign w:val="center"/>
          </w:tcPr>
          <w:p w14:paraId="0D9F6678">
            <w:pPr>
              <w:pStyle w:val="33"/>
              <w:rPr>
                <w:color w:val="auto"/>
              </w:rPr>
            </w:pPr>
            <w:r>
              <w:rPr>
                <w:color w:val="auto"/>
              </w:rPr>
              <w:t>kg/Adt</w:t>
            </w:r>
          </w:p>
        </w:tc>
        <w:tc>
          <w:tcPr>
            <w:tcW w:w="406" w:type="pct"/>
            <w:vAlign w:val="center"/>
          </w:tcPr>
          <w:p w14:paraId="372ABC3F">
            <w:pPr>
              <w:pStyle w:val="33"/>
              <w:rPr>
                <w:color w:val="auto"/>
              </w:rPr>
            </w:pPr>
            <w:r>
              <w:rPr>
                <w:rFonts w:hint="eastAsia"/>
                <w:color w:val="auto"/>
              </w:rPr>
              <w:t>46</w:t>
            </w:r>
          </w:p>
        </w:tc>
        <w:tc>
          <w:tcPr>
            <w:tcW w:w="501" w:type="pct"/>
            <w:vAlign w:val="center"/>
          </w:tcPr>
          <w:p w14:paraId="7D848EA1">
            <w:pPr>
              <w:pStyle w:val="33"/>
              <w:rPr>
                <w:color w:val="auto"/>
              </w:rPr>
            </w:pPr>
            <w:r>
              <w:rPr>
                <w:color w:val="auto"/>
              </w:rPr>
              <w:t>万t/a</w:t>
            </w:r>
          </w:p>
        </w:tc>
        <w:tc>
          <w:tcPr>
            <w:tcW w:w="542" w:type="pct"/>
            <w:vAlign w:val="center"/>
          </w:tcPr>
          <w:p w14:paraId="6160BD35">
            <w:pPr>
              <w:pStyle w:val="33"/>
              <w:rPr>
                <w:color w:val="auto"/>
              </w:rPr>
            </w:pPr>
            <w:r>
              <w:rPr>
                <w:rFonts w:hint="eastAsia"/>
                <w:color w:val="auto"/>
              </w:rPr>
              <w:t>4.02</w:t>
            </w:r>
          </w:p>
        </w:tc>
        <w:tc>
          <w:tcPr>
            <w:tcW w:w="1084" w:type="pct"/>
            <w:vAlign w:val="center"/>
          </w:tcPr>
          <w:p w14:paraId="57478ADF">
            <w:pPr>
              <w:pStyle w:val="33"/>
              <w:rPr>
                <w:color w:val="auto"/>
              </w:rPr>
            </w:pPr>
            <w:r>
              <w:rPr>
                <w:color w:val="auto"/>
              </w:rPr>
              <w:t>以100%NaOH计，其中回收碱36.8kg/Adt</w:t>
            </w:r>
          </w:p>
        </w:tc>
      </w:tr>
      <w:tr w14:paraId="6A6E0F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72A2A7B">
            <w:pPr>
              <w:pStyle w:val="33"/>
              <w:rPr>
                <w:color w:val="auto"/>
              </w:rPr>
            </w:pPr>
            <w:r>
              <w:rPr>
                <w:rFonts w:hint="eastAsia"/>
                <w:color w:val="auto"/>
              </w:rPr>
              <w:t>5</w:t>
            </w:r>
          </w:p>
        </w:tc>
        <w:tc>
          <w:tcPr>
            <w:tcW w:w="690" w:type="pct"/>
            <w:vMerge w:val="continue"/>
            <w:vAlign w:val="center"/>
          </w:tcPr>
          <w:p w14:paraId="17AC7DCA">
            <w:pPr>
              <w:pStyle w:val="33"/>
              <w:rPr>
                <w:color w:val="auto"/>
              </w:rPr>
            </w:pPr>
          </w:p>
        </w:tc>
        <w:tc>
          <w:tcPr>
            <w:tcW w:w="771" w:type="pct"/>
            <w:vAlign w:val="center"/>
          </w:tcPr>
          <w:p w14:paraId="4F625E56">
            <w:pPr>
              <w:pStyle w:val="33"/>
              <w:rPr>
                <w:color w:val="auto"/>
              </w:rPr>
            </w:pPr>
            <w:r>
              <w:rPr>
                <w:color w:val="auto"/>
              </w:rPr>
              <w:t>双氧水</w:t>
            </w:r>
          </w:p>
        </w:tc>
        <w:tc>
          <w:tcPr>
            <w:tcW w:w="771" w:type="pct"/>
            <w:vAlign w:val="center"/>
          </w:tcPr>
          <w:p w14:paraId="0BC9ECAD">
            <w:pPr>
              <w:pStyle w:val="33"/>
              <w:rPr>
                <w:color w:val="auto"/>
              </w:rPr>
            </w:pPr>
            <w:r>
              <w:rPr>
                <w:color w:val="auto"/>
              </w:rPr>
              <w:t>kg/Adt</w:t>
            </w:r>
          </w:p>
        </w:tc>
        <w:tc>
          <w:tcPr>
            <w:tcW w:w="406" w:type="pct"/>
            <w:vAlign w:val="center"/>
          </w:tcPr>
          <w:p w14:paraId="5C895DBF">
            <w:pPr>
              <w:pStyle w:val="33"/>
              <w:rPr>
                <w:color w:val="auto"/>
              </w:rPr>
            </w:pPr>
            <w:r>
              <w:rPr>
                <w:rFonts w:hint="eastAsia"/>
                <w:color w:val="auto"/>
              </w:rPr>
              <w:t>65</w:t>
            </w:r>
          </w:p>
        </w:tc>
        <w:tc>
          <w:tcPr>
            <w:tcW w:w="501" w:type="pct"/>
            <w:vAlign w:val="center"/>
          </w:tcPr>
          <w:p w14:paraId="1CDE4B5F">
            <w:pPr>
              <w:pStyle w:val="33"/>
              <w:rPr>
                <w:color w:val="auto"/>
              </w:rPr>
            </w:pPr>
            <w:r>
              <w:rPr>
                <w:color w:val="auto"/>
              </w:rPr>
              <w:t>万t/a</w:t>
            </w:r>
          </w:p>
        </w:tc>
        <w:tc>
          <w:tcPr>
            <w:tcW w:w="542" w:type="pct"/>
            <w:vAlign w:val="center"/>
          </w:tcPr>
          <w:p w14:paraId="16FE2CF8">
            <w:pPr>
              <w:pStyle w:val="33"/>
              <w:rPr>
                <w:color w:val="auto"/>
              </w:rPr>
            </w:pPr>
            <w:r>
              <w:rPr>
                <w:rFonts w:hint="eastAsia"/>
                <w:color w:val="auto"/>
              </w:rPr>
              <w:t>7.57</w:t>
            </w:r>
          </w:p>
        </w:tc>
        <w:tc>
          <w:tcPr>
            <w:tcW w:w="1084" w:type="pct"/>
            <w:vAlign w:val="center"/>
          </w:tcPr>
          <w:p w14:paraId="300FD513">
            <w:pPr>
              <w:pStyle w:val="33"/>
              <w:rPr>
                <w:color w:val="auto"/>
              </w:rPr>
            </w:pPr>
            <w:r>
              <w:rPr>
                <w:color w:val="auto"/>
              </w:rPr>
              <w:t>以100%H</w:t>
            </w:r>
            <w:r>
              <w:rPr>
                <w:color w:val="auto"/>
                <w:vertAlign w:val="subscript"/>
              </w:rPr>
              <w:t>2</w:t>
            </w:r>
            <w:r>
              <w:rPr>
                <w:color w:val="auto"/>
              </w:rPr>
              <w:t>O</w:t>
            </w:r>
            <w:r>
              <w:rPr>
                <w:color w:val="auto"/>
                <w:vertAlign w:val="subscript"/>
              </w:rPr>
              <w:t>2</w:t>
            </w:r>
            <w:r>
              <w:rPr>
                <w:color w:val="auto"/>
              </w:rPr>
              <w:t>计</w:t>
            </w:r>
          </w:p>
        </w:tc>
      </w:tr>
      <w:tr w14:paraId="7E9C91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B545912">
            <w:pPr>
              <w:pStyle w:val="33"/>
              <w:rPr>
                <w:color w:val="auto"/>
              </w:rPr>
            </w:pPr>
            <w:r>
              <w:rPr>
                <w:rFonts w:hint="eastAsia"/>
                <w:color w:val="auto"/>
              </w:rPr>
              <w:t>6</w:t>
            </w:r>
          </w:p>
        </w:tc>
        <w:tc>
          <w:tcPr>
            <w:tcW w:w="690" w:type="pct"/>
            <w:vMerge w:val="continue"/>
            <w:vAlign w:val="center"/>
          </w:tcPr>
          <w:p w14:paraId="0DE9BF4A">
            <w:pPr>
              <w:pStyle w:val="33"/>
              <w:rPr>
                <w:color w:val="auto"/>
              </w:rPr>
            </w:pPr>
          </w:p>
        </w:tc>
        <w:tc>
          <w:tcPr>
            <w:tcW w:w="771" w:type="pct"/>
            <w:vAlign w:val="center"/>
          </w:tcPr>
          <w:p w14:paraId="5B5C32C1">
            <w:pPr>
              <w:pStyle w:val="33"/>
              <w:rPr>
                <w:color w:val="auto"/>
              </w:rPr>
            </w:pPr>
            <w:r>
              <w:rPr>
                <w:rFonts w:hint="eastAsia"/>
                <w:color w:val="auto"/>
              </w:rPr>
              <w:t>稳定剂</w:t>
            </w:r>
          </w:p>
        </w:tc>
        <w:tc>
          <w:tcPr>
            <w:tcW w:w="771" w:type="pct"/>
            <w:vAlign w:val="center"/>
          </w:tcPr>
          <w:p w14:paraId="7B13EAC7">
            <w:pPr>
              <w:pStyle w:val="33"/>
              <w:rPr>
                <w:color w:val="auto"/>
              </w:rPr>
            </w:pPr>
            <w:r>
              <w:rPr>
                <w:color w:val="auto"/>
              </w:rPr>
              <w:t>kg/Adt</w:t>
            </w:r>
          </w:p>
        </w:tc>
        <w:tc>
          <w:tcPr>
            <w:tcW w:w="406" w:type="pct"/>
            <w:vAlign w:val="center"/>
          </w:tcPr>
          <w:p w14:paraId="4622DE3C">
            <w:pPr>
              <w:pStyle w:val="33"/>
              <w:rPr>
                <w:color w:val="auto"/>
              </w:rPr>
            </w:pPr>
            <w:r>
              <w:rPr>
                <w:rFonts w:hint="eastAsia"/>
                <w:color w:val="auto"/>
              </w:rPr>
              <w:t>5.5</w:t>
            </w:r>
          </w:p>
        </w:tc>
        <w:tc>
          <w:tcPr>
            <w:tcW w:w="501" w:type="pct"/>
            <w:vAlign w:val="center"/>
          </w:tcPr>
          <w:p w14:paraId="42B48D12">
            <w:pPr>
              <w:pStyle w:val="33"/>
              <w:rPr>
                <w:color w:val="auto"/>
              </w:rPr>
            </w:pPr>
            <w:r>
              <w:rPr>
                <w:color w:val="auto"/>
              </w:rPr>
              <w:t>万t/a</w:t>
            </w:r>
          </w:p>
        </w:tc>
        <w:tc>
          <w:tcPr>
            <w:tcW w:w="542" w:type="pct"/>
            <w:vAlign w:val="center"/>
          </w:tcPr>
          <w:p w14:paraId="2394CD3F">
            <w:pPr>
              <w:pStyle w:val="33"/>
              <w:rPr>
                <w:color w:val="auto"/>
              </w:rPr>
            </w:pPr>
            <w:r>
              <w:rPr>
                <w:rFonts w:hint="eastAsia"/>
                <w:color w:val="auto"/>
              </w:rPr>
              <w:t>0.87</w:t>
            </w:r>
          </w:p>
        </w:tc>
        <w:tc>
          <w:tcPr>
            <w:tcW w:w="1084" w:type="pct"/>
            <w:vAlign w:val="center"/>
          </w:tcPr>
          <w:p w14:paraId="1E92BE55">
            <w:pPr>
              <w:pStyle w:val="33"/>
              <w:rPr>
                <w:color w:val="auto"/>
              </w:rPr>
            </w:pPr>
            <w:r>
              <w:rPr>
                <w:color w:val="auto"/>
              </w:rPr>
              <w:t>以100%计</w:t>
            </w:r>
          </w:p>
        </w:tc>
      </w:tr>
      <w:tr w14:paraId="27ADC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788C3C9">
            <w:pPr>
              <w:pStyle w:val="33"/>
              <w:rPr>
                <w:color w:val="auto"/>
              </w:rPr>
            </w:pPr>
            <w:r>
              <w:rPr>
                <w:rFonts w:hint="eastAsia"/>
                <w:color w:val="auto"/>
              </w:rPr>
              <w:t>7</w:t>
            </w:r>
          </w:p>
        </w:tc>
        <w:tc>
          <w:tcPr>
            <w:tcW w:w="690" w:type="pct"/>
            <w:vMerge w:val="continue"/>
            <w:vAlign w:val="center"/>
          </w:tcPr>
          <w:p w14:paraId="34CBCFB6">
            <w:pPr>
              <w:pStyle w:val="33"/>
              <w:rPr>
                <w:color w:val="auto"/>
              </w:rPr>
            </w:pPr>
          </w:p>
        </w:tc>
        <w:tc>
          <w:tcPr>
            <w:tcW w:w="771" w:type="pct"/>
            <w:vAlign w:val="center"/>
          </w:tcPr>
          <w:p w14:paraId="09EC3CDB">
            <w:pPr>
              <w:pStyle w:val="33"/>
              <w:rPr>
                <w:color w:val="auto"/>
              </w:rPr>
            </w:pPr>
            <w:r>
              <w:rPr>
                <w:rFonts w:hint="eastAsia"/>
                <w:color w:val="auto"/>
              </w:rPr>
              <w:t>DTPA络合剂</w:t>
            </w:r>
          </w:p>
        </w:tc>
        <w:tc>
          <w:tcPr>
            <w:tcW w:w="771" w:type="pct"/>
            <w:vAlign w:val="center"/>
          </w:tcPr>
          <w:p w14:paraId="46E758D4">
            <w:pPr>
              <w:pStyle w:val="33"/>
              <w:rPr>
                <w:color w:val="auto"/>
              </w:rPr>
            </w:pPr>
            <w:r>
              <w:rPr>
                <w:color w:val="auto"/>
              </w:rPr>
              <w:t>kg/Adt</w:t>
            </w:r>
          </w:p>
        </w:tc>
        <w:tc>
          <w:tcPr>
            <w:tcW w:w="406" w:type="pct"/>
            <w:vAlign w:val="center"/>
          </w:tcPr>
          <w:p w14:paraId="34478A7E">
            <w:pPr>
              <w:pStyle w:val="33"/>
              <w:rPr>
                <w:color w:val="auto"/>
              </w:rPr>
            </w:pPr>
            <w:r>
              <w:rPr>
                <w:rFonts w:hint="eastAsia"/>
                <w:color w:val="auto"/>
              </w:rPr>
              <w:t>5.5</w:t>
            </w:r>
          </w:p>
        </w:tc>
        <w:tc>
          <w:tcPr>
            <w:tcW w:w="501" w:type="pct"/>
            <w:vAlign w:val="center"/>
          </w:tcPr>
          <w:p w14:paraId="3798D692">
            <w:pPr>
              <w:pStyle w:val="33"/>
              <w:rPr>
                <w:color w:val="auto"/>
              </w:rPr>
            </w:pPr>
            <w:r>
              <w:rPr>
                <w:color w:val="auto"/>
              </w:rPr>
              <w:t>万t/a</w:t>
            </w:r>
          </w:p>
        </w:tc>
        <w:tc>
          <w:tcPr>
            <w:tcW w:w="542" w:type="pct"/>
            <w:vAlign w:val="center"/>
          </w:tcPr>
          <w:p w14:paraId="7D6C6DDC">
            <w:pPr>
              <w:pStyle w:val="33"/>
              <w:rPr>
                <w:color w:val="auto"/>
              </w:rPr>
            </w:pPr>
            <w:r>
              <w:rPr>
                <w:rFonts w:hint="eastAsia"/>
                <w:color w:val="auto"/>
              </w:rPr>
              <w:t>0.74</w:t>
            </w:r>
          </w:p>
        </w:tc>
        <w:tc>
          <w:tcPr>
            <w:tcW w:w="1084" w:type="pct"/>
            <w:vAlign w:val="center"/>
          </w:tcPr>
          <w:p w14:paraId="43BF946C">
            <w:pPr>
              <w:pStyle w:val="33"/>
              <w:rPr>
                <w:color w:val="auto"/>
              </w:rPr>
            </w:pPr>
            <w:r>
              <w:rPr>
                <w:color w:val="auto"/>
              </w:rPr>
              <w:t>以100%计</w:t>
            </w:r>
          </w:p>
        </w:tc>
      </w:tr>
      <w:tr w14:paraId="1D75B4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05F320F">
            <w:pPr>
              <w:pStyle w:val="33"/>
              <w:rPr>
                <w:color w:val="auto"/>
              </w:rPr>
            </w:pPr>
            <w:r>
              <w:rPr>
                <w:rFonts w:hint="eastAsia"/>
                <w:color w:val="auto"/>
              </w:rPr>
              <w:t>8</w:t>
            </w:r>
          </w:p>
        </w:tc>
        <w:tc>
          <w:tcPr>
            <w:tcW w:w="690" w:type="pct"/>
            <w:vMerge w:val="continue"/>
            <w:vAlign w:val="center"/>
          </w:tcPr>
          <w:p w14:paraId="6F104409">
            <w:pPr>
              <w:pStyle w:val="33"/>
              <w:rPr>
                <w:color w:val="auto"/>
              </w:rPr>
            </w:pPr>
          </w:p>
        </w:tc>
        <w:tc>
          <w:tcPr>
            <w:tcW w:w="771" w:type="pct"/>
            <w:vAlign w:val="center"/>
          </w:tcPr>
          <w:p w14:paraId="5E0EFE43">
            <w:pPr>
              <w:pStyle w:val="33"/>
              <w:rPr>
                <w:color w:val="auto"/>
              </w:rPr>
            </w:pPr>
            <w:r>
              <w:rPr>
                <w:rFonts w:hint="eastAsia"/>
                <w:color w:val="auto"/>
              </w:rPr>
              <w:t>乙酸</w:t>
            </w:r>
          </w:p>
        </w:tc>
        <w:tc>
          <w:tcPr>
            <w:tcW w:w="771" w:type="pct"/>
            <w:vAlign w:val="center"/>
          </w:tcPr>
          <w:p w14:paraId="003D26E3">
            <w:pPr>
              <w:pStyle w:val="33"/>
              <w:rPr>
                <w:color w:val="auto"/>
              </w:rPr>
            </w:pPr>
            <w:r>
              <w:rPr>
                <w:color w:val="auto"/>
              </w:rPr>
              <w:t>kg/Adt</w:t>
            </w:r>
          </w:p>
        </w:tc>
        <w:tc>
          <w:tcPr>
            <w:tcW w:w="406" w:type="pct"/>
            <w:vAlign w:val="center"/>
          </w:tcPr>
          <w:p w14:paraId="45097E13">
            <w:pPr>
              <w:pStyle w:val="33"/>
              <w:rPr>
                <w:color w:val="auto"/>
              </w:rPr>
            </w:pPr>
            <w:r>
              <w:rPr>
                <w:rFonts w:hint="eastAsia"/>
                <w:color w:val="auto"/>
              </w:rPr>
              <w:t>3</w:t>
            </w:r>
          </w:p>
        </w:tc>
        <w:tc>
          <w:tcPr>
            <w:tcW w:w="501" w:type="pct"/>
            <w:vAlign w:val="center"/>
          </w:tcPr>
          <w:p w14:paraId="18366DCE">
            <w:pPr>
              <w:pStyle w:val="33"/>
              <w:rPr>
                <w:color w:val="auto"/>
              </w:rPr>
            </w:pPr>
            <w:r>
              <w:rPr>
                <w:color w:val="auto"/>
              </w:rPr>
              <w:t>万t/a</w:t>
            </w:r>
          </w:p>
        </w:tc>
        <w:tc>
          <w:tcPr>
            <w:tcW w:w="542" w:type="pct"/>
            <w:vAlign w:val="center"/>
          </w:tcPr>
          <w:p w14:paraId="7B1F43F6">
            <w:pPr>
              <w:pStyle w:val="33"/>
              <w:rPr>
                <w:color w:val="auto"/>
              </w:rPr>
            </w:pPr>
            <w:r>
              <w:rPr>
                <w:rFonts w:hint="eastAsia"/>
                <w:color w:val="auto"/>
              </w:rPr>
              <w:t>0.27</w:t>
            </w:r>
          </w:p>
        </w:tc>
        <w:tc>
          <w:tcPr>
            <w:tcW w:w="1084" w:type="pct"/>
            <w:vAlign w:val="center"/>
          </w:tcPr>
          <w:p w14:paraId="797F232F">
            <w:pPr>
              <w:pStyle w:val="33"/>
              <w:rPr>
                <w:color w:val="auto"/>
              </w:rPr>
            </w:pPr>
            <w:r>
              <w:rPr>
                <w:color w:val="auto"/>
              </w:rPr>
              <w:t>纯度96%</w:t>
            </w:r>
          </w:p>
        </w:tc>
      </w:tr>
      <w:tr w14:paraId="3E6889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7A586D1">
            <w:pPr>
              <w:pStyle w:val="33"/>
              <w:rPr>
                <w:color w:val="auto"/>
              </w:rPr>
            </w:pPr>
            <w:r>
              <w:rPr>
                <w:rFonts w:hint="eastAsia"/>
                <w:color w:val="auto"/>
              </w:rPr>
              <w:t>9</w:t>
            </w:r>
          </w:p>
        </w:tc>
        <w:tc>
          <w:tcPr>
            <w:tcW w:w="690" w:type="pct"/>
            <w:vMerge w:val="restart"/>
            <w:vAlign w:val="center"/>
          </w:tcPr>
          <w:p w14:paraId="3431ED2C">
            <w:pPr>
              <w:pStyle w:val="33"/>
              <w:rPr>
                <w:color w:val="auto"/>
              </w:rPr>
            </w:pPr>
            <w:r>
              <w:rPr>
                <w:color w:val="auto"/>
              </w:rPr>
              <w:t>1#造纸车间</w:t>
            </w:r>
          </w:p>
        </w:tc>
        <w:tc>
          <w:tcPr>
            <w:tcW w:w="771" w:type="pct"/>
            <w:vAlign w:val="center"/>
          </w:tcPr>
          <w:p w14:paraId="7A648460">
            <w:pPr>
              <w:pStyle w:val="33"/>
              <w:rPr>
                <w:color w:val="auto"/>
              </w:rPr>
            </w:pPr>
            <w:r>
              <w:rPr>
                <w:color w:val="auto"/>
              </w:rPr>
              <w:t>化机浆</w:t>
            </w:r>
          </w:p>
        </w:tc>
        <w:tc>
          <w:tcPr>
            <w:tcW w:w="771" w:type="pct"/>
            <w:vAlign w:val="center"/>
          </w:tcPr>
          <w:p w14:paraId="7D375D71">
            <w:pPr>
              <w:pStyle w:val="33"/>
              <w:rPr>
                <w:color w:val="auto"/>
              </w:rPr>
            </w:pPr>
            <w:r>
              <w:rPr>
                <w:color w:val="auto"/>
              </w:rPr>
              <w:t>kg（绝干）/t纸</w:t>
            </w:r>
          </w:p>
        </w:tc>
        <w:tc>
          <w:tcPr>
            <w:tcW w:w="406" w:type="pct"/>
            <w:vAlign w:val="center"/>
          </w:tcPr>
          <w:p w14:paraId="5008C0F2">
            <w:pPr>
              <w:pStyle w:val="33"/>
              <w:rPr>
                <w:color w:val="auto"/>
              </w:rPr>
            </w:pPr>
            <w:r>
              <w:rPr>
                <w:color w:val="auto"/>
              </w:rPr>
              <w:t>369</w:t>
            </w:r>
          </w:p>
        </w:tc>
        <w:tc>
          <w:tcPr>
            <w:tcW w:w="501" w:type="pct"/>
            <w:vAlign w:val="center"/>
          </w:tcPr>
          <w:p w14:paraId="7ADED85B">
            <w:pPr>
              <w:pStyle w:val="33"/>
              <w:rPr>
                <w:color w:val="auto"/>
              </w:rPr>
            </w:pPr>
            <w:r>
              <w:rPr>
                <w:color w:val="auto"/>
              </w:rPr>
              <w:t>万Bdt/a</w:t>
            </w:r>
          </w:p>
        </w:tc>
        <w:tc>
          <w:tcPr>
            <w:tcW w:w="542" w:type="pct"/>
            <w:vAlign w:val="center"/>
          </w:tcPr>
          <w:p w14:paraId="521F1019">
            <w:pPr>
              <w:pStyle w:val="33"/>
              <w:rPr>
                <w:color w:val="auto"/>
              </w:rPr>
            </w:pPr>
            <w:r>
              <w:rPr>
                <w:color w:val="auto"/>
              </w:rPr>
              <w:t>44.28</w:t>
            </w:r>
          </w:p>
        </w:tc>
        <w:tc>
          <w:tcPr>
            <w:tcW w:w="1084" w:type="pct"/>
            <w:vAlign w:val="center"/>
          </w:tcPr>
          <w:p w14:paraId="0CB95E6F">
            <w:pPr>
              <w:pStyle w:val="33"/>
              <w:rPr>
                <w:color w:val="auto"/>
              </w:rPr>
            </w:pPr>
            <w:r>
              <w:rPr>
                <w:color w:val="auto"/>
              </w:rPr>
              <w:t>自产</w:t>
            </w:r>
          </w:p>
        </w:tc>
      </w:tr>
      <w:tr w14:paraId="269EFA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B70417A">
            <w:pPr>
              <w:pStyle w:val="33"/>
              <w:rPr>
                <w:color w:val="auto"/>
              </w:rPr>
            </w:pPr>
            <w:r>
              <w:rPr>
                <w:rFonts w:hint="eastAsia"/>
                <w:color w:val="auto"/>
              </w:rPr>
              <w:t>10</w:t>
            </w:r>
          </w:p>
        </w:tc>
        <w:tc>
          <w:tcPr>
            <w:tcW w:w="690" w:type="pct"/>
            <w:vMerge w:val="continue"/>
            <w:vAlign w:val="center"/>
          </w:tcPr>
          <w:p w14:paraId="2C8CCBD3">
            <w:pPr>
              <w:pStyle w:val="33"/>
              <w:rPr>
                <w:color w:val="auto"/>
              </w:rPr>
            </w:pPr>
          </w:p>
        </w:tc>
        <w:tc>
          <w:tcPr>
            <w:tcW w:w="771" w:type="pct"/>
            <w:vAlign w:val="center"/>
          </w:tcPr>
          <w:p w14:paraId="307423B6">
            <w:pPr>
              <w:pStyle w:val="33"/>
              <w:rPr>
                <w:color w:val="auto"/>
              </w:rPr>
            </w:pPr>
            <w:r>
              <w:rPr>
                <w:color w:val="auto"/>
              </w:rPr>
              <w:t>商品</w:t>
            </w:r>
            <w:r>
              <w:rPr>
                <w:rFonts w:hint="eastAsia"/>
                <w:color w:val="auto"/>
              </w:rPr>
              <w:t>针叶木浆</w:t>
            </w:r>
            <w:r>
              <w:rPr>
                <w:color w:val="auto"/>
              </w:rPr>
              <w:t>NBKP</w:t>
            </w:r>
          </w:p>
        </w:tc>
        <w:tc>
          <w:tcPr>
            <w:tcW w:w="771" w:type="pct"/>
            <w:vAlign w:val="center"/>
          </w:tcPr>
          <w:p w14:paraId="728AD096">
            <w:pPr>
              <w:pStyle w:val="33"/>
              <w:rPr>
                <w:color w:val="auto"/>
              </w:rPr>
            </w:pPr>
            <w:r>
              <w:rPr>
                <w:color w:val="auto"/>
              </w:rPr>
              <w:t>kg（绝干）/t纸</w:t>
            </w:r>
          </w:p>
        </w:tc>
        <w:tc>
          <w:tcPr>
            <w:tcW w:w="406" w:type="pct"/>
            <w:vAlign w:val="center"/>
          </w:tcPr>
          <w:p w14:paraId="5270F1AB">
            <w:pPr>
              <w:pStyle w:val="33"/>
              <w:rPr>
                <w:color w:val="auto"/>
              </w:rPr>
            </w:pPr>
            <w:r>
              <w:rPr>
                <w:color w:val="auto"/>
              </w:rPr>
              <w:t>76</w:t>
            </w:r>
          </w:p>
        </w:tc>
        <w:tc>
          <w:tcPr>
            <w:tcW w:w="501" w:type="pct"/>
            <w:vAlign w:val="center"/>
          </w:tcPr>
          <w:p w14:paraId="51F40B9B">
            <w:pPr>
              <w:pStyle w:val="33"/>
              <w:rPr>
                <w:color w:val="auto"/>
              </w:rPr>
            </w:pPr>
            <w:r>
              <w:rPr>
                <w:color w:val="auto"/>
              </w:rPr>
              <w:t>万Bdt/a</w:t>
            </w:r>
          </w:p>
        </w:tc>
        <w:tc>
          <w:tcPr>
            <w:tcW w:w="542" w:type="pct"/>
            <w:vAlign w:val="center"/>
          </w:tcPr>
          <w:p w14:paraId="1A6E1506">
            <w:pPr>
              <w:pStyle w:val="33"/>
              <w:rPr>
                <w:color w:val="auto"/>
              </w:rPr>
            </w:pPr>
            <w:r>
              <w:rPr>
                <w:color w:val="auto"/>
              </w:rPr>
              <w:t>9.14</w:t>
            </w:r>
          </w:p>
        </w:tc>
        <w:tc>
          <w:tcPr>
            <w:tcW w:w="1084" w:type="pct"/>
            <w:vAlign w:val="center"/>
          </w:tcPr>
          <w:p w14:paraId="0C29473F">
            <w:pPr>
              <w:pStyle w:val="33"/>
              <w:rPr>
                <w:color w:val="auto"/>
              </w:rPr>
            </w:pPr>
            <w:r>
              <w:rPr>
                <w:color w:val="auto"/>
              </w:rPr>
              <w:t>外购</w:t>
            </w:r>
          </w:p>
        </w:tc>
      </w:tr>
      <w:tr w14:paraId="133EF4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C0F2069">
            <w:pPr>
              <w:pStyle w:val="33"/>
              <w:rPr>
                <w:color w:val="auto"/>
              </w:rPr>
            </w:pPr>
            <w:r>
              <w:rPr>
                <w:rFonts w:hint="eastAsia"/>
                <w:color w:val="auto"/>
              </w:rPr>
              <w:t>11</w:t>
            </w:r>
          </w:p>
        </w:tc>
        <w:tc>
          <w:tcPr>
            <w:tcW w:w="690" w:type="pct"/>
            <w:vMerge w:val="continue"/>
            <w:vAlign w:val="center"/>
          </w:tcPr>
          <w:p w14:paraId="2B5B42F3">
            <w:pPr>
              <w:pStyle w:val="33"/>
              <w:rPr>
                <w:color w:val="auto"/>
              </w:rPr>
            </w:pPr>
          </w:p>
        </w:tc>
        <w:tc>
          <w:tcPr>
            <w:tcW w:w="771" w:type="pct"/>
            <w:vAlign w:val="center"/>
          </w:tcPr>
          <w:p w14:paraId="67241FD8">
            <w:pPr>
              <w:pStyle w:val="33"/>
              <w:rPr>
                <w:color w:val="auto"/>
              </w:rPr>
            </w:pPr>
            <w:r>
              <w:rPr>
                <w:color w:val="auto"/>
              </w:rPr>
              <w:t>商品</w:t>
            </w:r>
            <w:r>
              <w:rPr>
                <w:rFonts w:hint="eastAsia"/>
                <w:color w:val="auto"/>
              </w:rPr>
              <w:t>阔叶木浆</w:t>
            </w:r>
            <w:r>
              <w:rPr>
                <w:color w:val="auto"/>
              </w:rPr>
              <w:t>LBKP</w:t>
            </w:r>
          </w:p>
        </w:tc>
        <w:tc>
          <w:tcPr>
            <w:tcW w:w="771" w:type="pct"/>
            <w:vAlign w:val="center"/>
          </w:tcPr>
          <w:p w14:paraId="6FE68AD1">
            <w:pPr>
              <w:pStyle w:val="33"/>
              <w:rPr>
                <w:color w:val="auto"/>
              </w:rPr>
            </w:pPr>
            <w:r>
              <w:rPr>
                <w:color w:val="auto"/>
              </w:rPr>
              <w:t>kg（绝干）/t纸</w:t>
            </w:r>
          </w:p>
        </w:tc>
        <w:tc>
          <w:tcPr>
            <w:tcW w:w="406" w:type="pct"/>
            <w:vAlign w:val="center"/>
          </w:tcPr>
          <w:p w14:paraId="7A685C99">
            <w:pPr>
              <w:pStyle w:val="33"/>
              <w:rPr>
                <w:color w:val="auto"/>
              </w:rPr>
            </w:pPr>
            <w:r>
              <w:rPr>
                <w:color w:val="auto"/>
              </w:rPr>
              <w:t>312</w:t>
            </w:r>
          </w:p>
        </w:tc>
        <w:tc>
          <w:tcPr>
            <w:tcW w:w="501" w:type="pct"/>
            <w:vAlign w:val="center"/>
          </w:tcPr>
          <w:p w14:paraId="10B55059">
            <w:pPr>
              <w:pStyle w:val="33"/>
              <w:rPr>
                <w:color w:val="auto"/>
              </w:rPr>
            </w:pPr>
            <w:r>
              <w:rPr>
                <w:color w:val="auto"/>
              </w:rPr>
              <w:t>万Bdt/a</w:t>
            </w:r>
          </w:p>
        </w:tc>
        <w:tc>
          <w:tcPr>
            <w:tcW w:w="542" w:type="pct"/>
            <w:vAlign w:val="center"/>
          </w:tcPr>
          <w:p w14:paraId="16D81610">
            <w:pPr>
              <w:pStyle w:val="33"/>
              <w:rPr>
                <w:color w:val="auto"/>
              </w:rPr>
            </w:pPr>
            <w:r>
              <w:rPr>
                <w:color w:val="auto"/>
              </w:rPr>
              <w:t>37.42</w:t>
            </w:r>
          </w:p>
        </w:tc>
        <w:tc>
          <w:tcPr>
            <w:tcW w:w="1084" w:type="pct"/>
            <w:vAlign w:val="center"/>
          </w:tcPr>
          <w:p w14:paraId="7AD33256">
            <w:pPr>
              <w:pStyle w:val="33"/>
              <w:rPr>
                <w:color w:val="auto"/>
              </w:rPr>
            </w:pPr>
            <w:r>
              <w:rPr>
                <w:color w:val="auto"/>
              </w:rPr>
              <w:t>外购</w:t>
            </w:r>
          </w:p>
        </w:tc>
      </w:tr>
      <w:tr w14:paraId="749842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144CA94">
            <w:pPr>
              <w:pStyle w:val="33"/>
              <w:rPr>
                <w:color w:val="auto"/>
              </w:rPr>
            </w:pPr>
            <w:r>
              <w:rPr>
                <w:rFonts w:hint="eastAsia"/>
                <w:color w:val="auto"/>
              </w:rPr>
              <w:t>12</w:t>
            </w:r>
          </w:p>
        </w:tc>
        <w:tc>
          <w:tcPr>
            <w:tcW w:w="690" w:type="pct"/>
            <w:vMerge w:val="continue"/>
            <w:vAlign w:val="center"/>
          </w:tcPr>
          <w:p w14:paraId="771C791D">
            <w:pPr>
              <w:pStyle w:val="33"/>
              <w:rPr>
                <w:color w:val="auto"/>
              </w:rPr>
            </w:pPr>
          </w:p>
        </w:tc>
        <w:tc>
          <w:tcPr>
            <w:tcW w:w="771" w:type="pct"/>
            <w:vAlign w:val="center"/>
          </w:tcPr>
          <w:p w14:paraId="1A5F365D">
            <w:pPr>
              <w:pStyle w:val="33"/>
              <w:rPr>
                <w:color w:val="auto"/>
              </w:rPr>
            </w:pPr>
            <w:r>
              <w:rPr>
                <w:color w:val="auto"/>
              </w:rPr>
              <w:t>瓷土</w:t>
            </w:r>
          </w:p>
        </w:tc>
        <w:tc>
          <w:tcPr>
            <w:tcW w:w="771" w:type="pct"/>
            <w:vAlign w:val="center"/>
          </w:tcPr>
          <w:p w14:paraId="51B545C1">
            <w:pPr>
              <w:pStyle w:val="33"/>
              <w:rPr>
                <w:color w:val="auto"/>
              </w:rPr>
            </w:pPr>
            <w:r>
              <w:rPr>
                <w:color w:val="auto"/>
              </w:rPr>
              <w:t>kg/t纸</w:t>
            </w:r>
          </w:p>
        </w:tc>
        <w:tc>
          <w:tcPr>
            <w:tcW w:w="406" w:type="pct"/>
            <w:vAlign w:val="center"/>
          </w:tcPr>
          <w:p w14:paraId="3241F141">
            <w:pPr>
              <w:pStyle w:val="33"/>
              <w:rPr>
                <w:color w:val="auto"/>
              </w:rPr>
            </w:pPr>
            <w:r>
              <w:rPr>
                <w:color w:val="auto"/>
              </w:rPr>
              <w:t>11</w:t>
            </w:r>
          </w:p>
        </w:tc>
        <w:tc>
          <w:tcPr>
            <w:tcW w:w="501" w:type="pct"/>
            <w:vAlign w:val="center"/>
          </w:tcPr>
          <w:p w14:paraId="26D112EC">
            <w:pPr>
              <w:pStyle w:val="33"/>
              <w:rPr>
                <w:color w:val="auto"/>
              </w:rPr>
            </w:pPr>
            <w:r>
              <w:rPr>
                <w:color w:val="auto"/>
              </w:rPr>
              <w:t>万t/a</w:t>
            </w:r>
          </w:p>
        </w:tc>
        <w:tc>
          <w:tcPr>
            <w:tcW w:w="542" w:type="pct"/>
            <w:vAlign w:val="center"/>
          </w:tcPr>
          <w:p w14:paraId="3DCFA613">
            <w:pPr>
              <w:pStyle w:val="33"/>
              <w:rPr>
                <w:color w:val="auto"/>
              </w:rPr>
            </w:pPr>
            <w:r>
              <w:rPr>
                <w:color w:val="auto"/>
              </w:rPr>
              <w:t>1.32</w:t>
            </w:r>
          </w:p>
        </w:tc>
        <w:tc>
          <w:tcPr>
            <w:tcW w:w="1084" w:type="pct"/>
            <w:vAlign w:val="center"/>
          </w:tcPr>
          <w:p w14:paraId="62230589">
            <w:pPr>
              <w:pStyle w:val="33"/>
              <w:rPr>
                <w:color w:val="auto"/>
              </w:rPr>
            </w:pPr>
            <w:r>
              <w:rPr>
                <w:color w:val="auto"/>
              </w:rPr>
              <w:t>外购</w:t>
            </w:r>
          </w:p>
        </w:tc>
      </w:tr>
      <w:tr w14:paraId="3168E01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038E10F">
            <w:pPr>
              <w:pStyle w:val="33"/>
              <w:rPr>
                <w:color w:val="auto"/>
              </w:rPr>
            </w:pPr>
            <w:r>
              <w:rPr>
                <w:rFonts w:hint="eastAsia"/>
                <w:color w:val="auto"/>
              </w:rPr>
              <w:t>13</w:t>
            </w:r>
          </w:p>
        </w:tc>
        <w:tc>
          <w:tcPr>
            <w:tcW w:w="690" w:type="pct"/>
            <w:vMerge w:val="continue"/>
            <w:vAlign w:val="center"/>
          </w:tcPr>
          <w:p w14:paraId="711EBC5C">
            <w:pPr>
              <w:pStyle w:val="33"/>
              <w:rPr>
                <w:color w:val="auto"/>
              </w:rPr>
            </w:pPr>
          </w:p>
        </w:tc>
        <w:tc>
          <w:tcPr>
            <w:tcW w:w="771" w:type="pct"/>
            <w:vAlign w:val="center"/>
          </w:tcPr>
          <w:p w14:paraId="432D134D">
            <w:pPr>
              <w:pStyle w:val="33"/>
              <w:rPr>
                <w:color w:val="auto"/>
              </w:rPr>
            </w:pPr>
            <w:r>
              <w:rPr>
                <w:color w:val="auto"/>
              </w:rPr>
              <w:t>碳酸钙</w:t>
            </w:r>
          </w:p>
        </w:tc>
        <w:tc>
          <w:tcPr>
            <w:tcW w:w="771" w:type="pct"/>
            <w:vAlign w:val="center"/>
          </w:tcPr>
          <w:p w14:paraId="334A50CF">
            <w:pPr>
              <w:pStyle w:val="33"/>
              <w:rPr>
                <w:color w:val="auto"/>
              </w:rPr>
            </w:pPr>
            <w:r>
              <w:rPr>
                <w:color w:val="auto"/>
              </w:rPr>
              <w:t>kg/t纸</w:t>
            </w:r>
          </w:p>
        </w:tc>
        <w:tc>
          <w:tcPr>
            <w:tcW w:w="406" w:type="pct"/>
            <w:vAlign w:val="center"/>
          </w:tcPr>
          <w:p w14:paraId="450AD4E3">
            <w:pPr>
              <w:pStyle w:val="33"/>
              <w:rPr>
                <w:color w:val="auto"/>
              </w:rPr>
            </w:pPr>
            <w:r>
              <w:rPr>
                <w:color w:val="auto"/>
              </w:rPr>
              <w:t>150</w:t>
            </w:r>
          </w:p>
        </w:tc>
        <w:tc>
          <w:tcPr>
            <w:tcW w:w="501" w:type="pct"/>
            <w:vAlign w:val="center"/>
          </w:tcPr>
          <w:p w14:paraId="4B95F170">
            <w:pPr>
              <w:pStyle w:val="33"/>
              <w:rPr>
                <w:color w:val="auto"/>
              </w:rPr>
            </w:pPr>
            <w:r>
              <w:rPr>
                <w:color w:val="auto"/>
              </w:rPr>
              <w:t>万t/a</w:t>
            </w:r>
          </w:p>
        </w:tc>
        <w:tc>
          <w:tcPr>
            <w:tcW w:w="542" w:type="pct"/>
            <w:vAlign w:val="center"/>
          </w:tcPr>
          <w:p w14:paraId="525C41E2">
            <w:pPr>
              <w:pStyle w:val="33"/>
              <w:rPr>
                <w:color w:val="auto"/>
              </w:rPr>
            </w:pPr>
            <w:r>
              <w:rPr>
                <w:color w:val="auto"/>
              </w:rPr>
              <w:t>18.00</w:t>
            </w:r>
          </w:p>
        </w:tc>
        <w:tc>
          <w:tcPr>
            <w:tcW w:w="1084" w:type="pct"/>
            <w:vAlign w:val="center"/>
          </w:tcPr>
          <w:p w14:paraId="38586008">
            <w:pPr>
              <w:pStyle w:val="33"/>
              <w:rPr>
                <w:color w:val="auto"/>
              </w:rPr>
            </w:pPr>
            <w:r>
              <w:rPr>
                <w:color w:val="auto"/>
              </w:rPr>
              <w:t>外购</w:t>
            </w:r>
          </w:p>
        </w:tc>
      </w:tr>
      <w:tr w14:paraId="314659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F6962EB">
            <w:pPr>
              <w:pStyle w:val="33"/>
              <w:rPr>
                <w:color w:val="auto"/>
              </w:rPr>
            </w:pPr>
            <w:r>
              <w:rPr>
                <w:rFonts w:hint="eastAsia"/>
                <w:color w:val="auto"/>
              </w:rPr>
              <w:t>14</w:t>
            </w:r>
          </w:p>
        </w:tc>
        <w:tc>
          <w:tcPr>
            <w:tcW w:w="690" w:type="pct"/>
            <w:vMerge w:val="continue"/>
            <w:vAlign w:val="center"/>
          </w:tcPr>
          <w:p w14:paraId="29048A51">
            <w:pPr>
              <w:pStyle w:val="33"/>
              <w:rPr>
                <w:color w:val="auto"/>
              </w:rPr>
            </w:pPr>
          </w:p>
        </w:tc>
        <w:tc>
          <w:tcPr>
            <w:tcW w:w="771" w:type="pct"/>
            <w:vAlign w:val="center"/>
          </w:tcPr>
          <w:p w14:paraId="2E3B2111">
            <w:pPr>
              <w:pStyle w:val="33"/>
              <w:rPr>
                <w:color w:val="auto"/>
              </w:rPr>
            </w:pPr>
            <w:r>
              <w:rPr>
                <w:color w:val="auto"/>
              </w:rPr>
              <w:t>滑石粉</w:t>
            </w:r>
          </w:p>
        </w:tc>
        <w:tc>
          <w:tcPr>
            <w:tcW w:w="771" w:type="pct"/>
            <w:vAlign w:val="center"/>
          </w:tcPr>
          <w:p w14:paraId="2D704246">
            <w:pPr>
              <w:pStyle w:val="33"/>
              <w:rPr>
                <w:color w:val="auto"/>
              </w:rPr>
            </w:pPr>
            <w:r>
              <w:rPr>
                <w:color w:val="auto"/>
              </w:rPr>
              <w:t>kg/t纸</w:t>
            </w:r>
          </w:p>
        </w:tc>
        <w:tc>
          <w:tcPr>
            <w:tcW w:w="406" w:type="pct"/>
            <w:vAlign w:val="center"/>
          </w:tcPr>
          <w:p w14:paraId="46AB3AA4">
            <w:pPr>
              <w:pStyle w:val="33"/>
              <w:rPr>
                <w:color w:val="auto"/>
              </w:rPr>
            </w:pPr>
            <w:r>
              <w:rPr>
                <w:color w:val="auto"/>
              </w:rPr>
              <w:t>20</w:t>
            </w:r>
          </w:p>
        </w:tc>
        <w:tc>
          <w:tcPr>
            <w:tcW w:w="501" w:type="pct"/>
            <w:vAlign w:val="center"/>
          </w:tcPr>
          <w:p w14:paraId="31F57CCC">
            <w:pPr>
              <w:pStyle w:val="33"/>
              <w:rPr>
                <w:color w:val="auto"/>
              </w:rPr>
            </w:pPr>
            <w:r>
              <w:rPr>
                <w:color w:val="auto"/>
              </w:rPr>
              <w:t>万t/a</w:t>
            </w:r>
          </w:p>
        </w:tc>
        <w:tc>
          <w:tcPr>
            <w:tcW w:w="542" w:type="pct"/>
            <w:vAlign w:val="center"/>
          </w:tcPr>
          <w:p w14:paraId="31C16212">
            <w:pPr>
              <w:pStyle w:val="33"/>
              <w:rPr>
                <w:color w:val="auto"/>
              </w:rPr>
            </w:pPr>
            <w:r>
              <w:rPr>
                <w:color w:val="auto"/>
              </w:rPr>
              <w:t>2.40</w:t>
            </w:r>
          </w:p>
        </w:tc>
        <w:tc>
          <w:tcPr>
            <w:tcW w:w="1084" w:type="pct"/>
            <w:vAlign w:val="center"/>
          </w:tcPr>
          <w:p w14:paraId="62DC1CB6">
            <w:pPr>
              <w:pStyle w:val="33"/>
              <w:rPr>
                <w:color w:val="auto"/>
              </w:rPr>
            </w:pPr>
            <w:r>
              <w:rPr>
                <w:color w:val="auto"/>
              </w:rPr>
              <w:t>外购</w:t>
            </w:r>
          </w:p>
        </w:tc>
      </w:tr>
      <w:tr w14:paraId="3C2A01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2E7F023">
            <w:pPr>
              <w:pStyle w:val="33"/>
              <w:rPr>
                <w:color w:val="auto"/>
              </w:rPr>
            </w:pPr>
            <w:r>
              <w:rPr>
                <w:rFonts w:hint="eastAsia"/>
                <w:color w:val="auto"/>
              </w:rPr>
              <w:t>15</w:t>
            </w:r>
          </w:p>
        </w:tc>
        <w:tc>
          <w:tcPr>
            <w:tcW w:w="690" w:type="pct"/>
            <w:vMerge w:val="continue"/>
            <w:vAlign w:val="center"/>
          </w:tcPr>
          <w:p w14:paraId="46F45956">
            <w:pPr>
              <w:pStyle w:val="33"/>
              <w:rPr>
                <w:color w:val="auto"/>
              </w:rPr>
            </w:pPr>
          </w:p>
        </w:tc>
        <w:tc>
          <w:tcPr>
            <w:tcW w:w="771" w:type="pct"/>
            <w:vAlign w:val="center"/>
          </w:tcPr>
          <w:p w14:paraId="2714245E">
            <w:pPr>
              <w:pStyle w:val="33"/>
              <w:rPr>
                <w:color w:val="auto"/>
              </w:rPr>
            </w:pPr>
            <w:r>
              <w:rPr>
                <w:color w:val="auto"/>
              </w:rPr>
              <w:t>胶乳</w:t>
            </w:r>
          </w:p>
        </w:tc>
        <w:tc>
          <w:tcPr>
            <w:tcW w:w="771" w:type="pct"/>
            <w:vAlign w:val="center"/>
          </w:tcPr>
          <w:p w14:paraId="4AC3E1BF">
            <w:pPr>
              <w:pStyle w:val="33"/>
              <w:rPr>
                <w:color w:val="auto"/>
              </w:rPr>
            </w:pPr>
            <w:r>
              <w:rPr>
                <w:color w:val="auto"/>
              </w:rPr>
              <w:t>kg/t纸</w:t>
            </w:r>
          </w:p>
        </w:tc>
        <w:tc>
          <w:tcPr>
            <w:tcW w:w="406" w:type="pct"/>
            <w:vAlign w:val="center"/>
          </w:tcPr>
          <w:p w14:paraId="57B82DAF">
            <w:pPr>
              <w:pStyle w:val="33"/>
              <w:rPr>
                <w:color w:val="auto"/>
              </w:rPr>
            </w:pPr>
            <w:r>
              <w:rPr>
                <w:color w:val="auto"/>
              </w:rPr>
              <w:t>20</w:t>
            </w:r>
          </w:p>
        </w:tc>
        <w:tc>
          <w:tcPr>
            <w:tcW w:w="501" w:type="pct"/>
            <w:vAlign w:val="center"/>
          </w:tcPr>
          <w:p w14:paraId="4FBD6F7C">
            <w:pPr>
              <w:pStyle w:val="33"/>
              <w:rPr>
                <w:color w:val="auto"/>
              </w:rPr>
            </w:pPr>
            <w:r>
              <w:rPr>
                <w:color w:val="auto"/>
              </w:rPr>
              <w:t>万t/a</w:t>
            </w:r>
          </w:p>
        </w:tc>
        <w:tc>
          <w:tcPr>
            <w:tcW w:w="542" w:type="pct"/>
            <w:vAlign w:val="center"/>
          </w:tcPr>
          <w:p w14:paraId="316ACAE1">
            <w:pPr>
              <w:pStyle w:val="33"/>
              <w:rPr>
                <w:color w:val="auto"/>
              </w:rPr>
            </w:pPr>
            <w:r>
              <w:rPr>
                <w:color w:val="auto"/>
              </w:rPr>
              <w:t>2.40</w:t>
            </w:r>
          </w:p>
        </w:tc>
        <w:tc>
          <w:tcPr>
            <w:tcW w:w="1084" w:type="pct"/>
            <w:vAlign w:val="center"/>
          </w:tcPr>
          <w:p w14:paraId="68F5E39E">
            <w:pPr>
              <w:pStyle w:val="33"/>
              <w:rPr>
                <w:color w:val="auto"/>
              </w:rPr>
            </w:pPr>
            <w:r>
              <w:rPr>
                <w:color w:val="auto"/>
              </w:rPr>
              <w:t>外购</w:t>
            </w:r>
          </w:p>
        </w:tc>
      </w:tr>
      <w:tr w14:paraId="3EAD26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29AF55E">
            <w:pPr>
              <w:pStyle w:val="33"/>
              <w:rPr>
                <w:color w:val="auto"/>
              </w:rPr>
            </w:pPr>
            <w:r>
              <w:rPr>
                <w:rFonts w:hint="eastAsia"/>
                <w:color w:val="auto"/>
              </w:rPr>
              <w:t>16</w:t>
            </w:r>
          </w:p>
        </w:tc>
        <w:tc>
          <w:tcPr>
            <w:tcW w:w="690" w:type="pct"/>
            <w:vMerge w:val="continue"/>
            <w:vAlign w:val="center"/>
          </w:tcPr>
          <w:p w14:paraId="7DC3E24C">
            <w:pPr>
              <w:pStyle w:val="33"/>
              <w:rPr>
                <w:color w:val="auto"/>
              </w:rPr>
            </w:pPr>
          </w:p>
        </w:tc>
        <w:tc>
          <w:tcPr>
            <w:tcW w:w="771" w:type="pct"/>
            <w:vAlign w:val="center"/>
          </w:tcPr>
          <w:p w14:paraId="5ECD84EE">
            <w:pPr>
              <w:pStyle w:val="33"/>
              <w:rPr>
                <w:color w:val="auto"/>
              </w:rPr>
            </w:pPr>
            <w:r>
              <w:rPr>
                <w:color w:val="auto"/>
              </w:rPr>
              <w:t>氧化淀粉</w:t>
            </w:r>
          </w:p>
        </w:tc>
        <w:tc>
          <w:tcPr>
            <w:tcW w:w="771" w:type="pct"/>
            <w:vAlign w:val="center"/>
          </w:tcPr>
          <w:p w14:paraId="0D717A1A">
            <w:pPr>
              <w:pStyle w:val="33"/>
              <w:rPr>
                <w:color w:val="auto"/>
              </w:rPr>
            </w:pPr>
            <w:r>
              <w:rPr>
                <w:color w:val="auto"/>
              </w:rPr>
              <w:t>kg/t纸</w:t>
            </w:r>
          </w:p>
        </w:tc>
        <w:tc>
          <w:tcPr>
            <w:tcW w:w="406" w:type="pct"/>
            <w:vAlign w:val="center"/>
          </w:tcPr>
          <w:p w14:paraId="5565F08A">
            <w:pPr>
              <w:pStyle w:val="33"/>
              <w:rPr>
                <w:color w:val="auto"/>
              </w:rPr>
            </w:pPr>
            <w:r>
              <w:rPr>
                <w:color w:val="auto"/>
              </w:rPr>
              <w:t>7</w:t>
            </w:r>
          </w:p>
        </w:tc>
        <w:tc>
          <w:tcPr>
            <w:tcW w:w="501" w:type="pct"/>
            <w:vAlign w:val="center"/>
          </w:tcPr>
          <w:p w14:paraId="42C9C7B5">
            <w:pPr>
              <w:pStyle w:val="33"/>
              <w:rPr>
                <w:color w:val="auto"/>
              </w:rPr>
            </w:pPr>
            <w:r>
              <w:rPr>
                <w:color w:val="auto"/>
              </w:rPr>
              <w:t>万t/a</w:t>
            </w:r>
          </w:p>
        </w:tc>
        <w:tc>
          <w:tcPr>
            <w:tcW w:w="542" w:type="pct"/>
            <w:vAlign w:val="center"/>
          </w:tcPr>
          <w:p w14:paraId="51FF41F8">
            <w:pPr>
              <w:pStyle w:val="33"/>
              <w:rPr>
                <w:color w:val="auto"/>
              </w:rPr>
            </w:pPr>
            <w:r>
              <w:rPr>
                <w:color w:val="auto"/>
              </w:rPr>
              <w:t>0.84</w:t>
            </w:r>
          </w:p>
        </w:tc>
        <w:tc>
          <w:tcPr>
            <w:tcW w:w="1084" w:type="pct"/>
            <w:vAlign w:val="center"/>
          </w:tcPr>
          <w:p w14:paraId="4892B16B">
            <w:pPr>
              <w:pStyle w:val="33"/>
              <w:rPr>
                <w:color w:val="auto"/>
              </w:rPr>
            </w:pPr>
            <w:r>
              <w:rPr>
                <w:color w:val="auto"/>
              </w:rPr>
              <w:t>外购</w:t>
            </w:r>
          </w:p>
        </w:tc>
      </w:tr>
      <w:tr w14:paraId="2EF8EA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3995B7A">
            <w:pPr>
              <w:pStyle w:val="33"/>
              <w:rPr>
                <w:color w:val="auto"/>
              </w:rPr>
            </w:pPr>
            <w:r>
              <w:rPr>
                <w:rFonts w:hint="eastAsia"/>
                <w:color w:val="auto"/>
              </w:rPr>
              <w:t>17</w:t>
            </w:r>
          </w:p>
        </w:tc>
        <w:tc>
          <w:tcPr>
            <w:tcW w:w="690" w:type="pct"/>
            <w:vMerge w:val="continue"/>
            <w:vAlign w:val="center"/>
          </w:tcPr>
          <w:p w14:paraId="7D5704E0">
            <w:pPr>
              <w:pStyle w:val="33"/>
              <w:rPr>
                <w:color w:val="auto"/>
              </w:rPr>
            </w:pPr>
          </w:p>
        </w:tc>
        <w:tc>
          <w:tcPr>
            <w:tcW w:w="771" w:type="pct"/>
            <w:vAlign w:val="center"/>
          </w:tcPr>
          <w:p w14:paraId="0E62F000">
            <w:pPr>
              <w:pStyle w:val="33"/>
              <w:rPr>
                <w:color w:val="auto"/>
              </w:rPr>
            </w:pPr>
            <w:r>
              <w:rPr>
                <w:color w:val="auto"/>
              </w:rPr>
              <w:t>阳离子淀粉</w:t>
            </w:r>
          </w:p>
        </w:tc>
        <w:tc>
          <w:tcPr>
            <w:tcW w:w="771" w:type="pct"/>
            <w:vAlign w:val="center"/>
          </w:tcPr>
          <w:p w14:paraId="049DF5C3">
            <w:pPr>
              <w:pStyle w:val="33"/>
              <w:rPr>
                <w:color w:val="auto"/>
              </w:rPr>
            </w:pPr>
            <w:r>
              <w:rPr>
                <w:color w:val="auto"/>
              </w:rPr>
              <w:t>kg/t纸</w:t>
            </w:r>
          </w:p>
        </w:tc>
        <w:tc>
          <w:tcPr>
            <w:tcW w:w="406" w:type="pct"/>
            <w:vAlign w:val="center"/>
          </w:tcPr>
          <w:p w14:paraId="3AE9F170">
            <w:pPr>
              <w:pStyle w:val="33"/>
              <w:rPr>
                <w:color w:val="auto"/>
              </w:rPr>
            </w:pPr>
            <w:r>
              <w:rPr>
                <w:color w:val="auto"/>
              </w:rPr>
              <w:t>15</w:t>
            </w:r>
          </w:p>
        </w:tc>
        <w:tc>
          <w:tcPr>
            <w:tcW w:w="501" w:type="pct"/>
            <w:vAlign w:val="center"/>
          </w:tcPr>
          <w:p w14:paraId="3BE026FC">
            <w:pPr>
              <w:pStyle w:val="33"/>
              <w:rPr>
                <w:color w:val="auto"/>
              </w:rPr>
            </w:pPr>
            <w:r>
              <w:rPr>
                <w:color w:val="auto"/>
              </w:rPr>
              <w:t>万t/a</w:t>
            </w:r>
          </w:p>
        </w:tc>
        <w:tc>
          <w:tcPr>
            <w:tcW w:w="542" w:type="pct"/>
            <w:vAlign w:val="center"/>
          </w:tcPr>
          <w:p w14:paraId="21446E76">
            <w:pPr>
              <w:pStyle w:val="33"/>
              <w:rPr>
                <w:color w:val="auto"/>
              </w:rPr>
            </w:pPr>
            <w:r>
              <w:rPr>
                <w:color w:val="auto"/>
              </w:rPr>
              <w:t>1.80</w:t>
            </w:r>
          </w:p>
        </w:tc>
        <w:tc>
          <w:tcPr>
            <w:tcW w:w="1084" w:type="pct"/>
            <w:vAlign w:val="center"/>
          </w:tcPr>
          <w:p w14:paraId="594E6155">
            <w:pPr>
              <w:pStyle w:val="33"/>
              <w:rPr>
                <w:color w:val="auto"/>
              </w:rPr>
            </w:pPr>
            <w:r>
              <w:rPr>
                <w:color w:val="auto"/>
              </w:rPr>
              <w:t>外购</w:t>
            </w:r>
          </w:p>
        </w:tc>
      </w:tr>
      <w:tr w14:paraId="17F2C7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E3A84D9">
            <w:pPr>
              <w:pStyle w:val="33"/>
              <w:rPr>
                <w:color w:val="auto"/>
              </w:rPr>
            </w:pPr>
            <w:r>
              <w:rPr>
                <w:rFonts w:hint="eastAsia"/>
                <w:color w:val="auto"/>
              </w:rPr>
              <w:t>18</w:t>
            </w:r>
          </w:p>
        </w:tc>
        <w:tc>
          <w:tcPr>
            <w:tcW w:w="690" w:type="pct"/>
            <w:vMerge w:val="continue"/>
            <w:vAlign w:val="center"/>
          </w:tcPr>
          <w:p w14:paraId="46074DA7">
            <w:pPr>
              <w:pStyle w:val="33"/>
              <w:rPr>
                <w:color w:val="auto"/>
              </w:rPr>
            </w:pPr>
          </w:p>
        </w:tc>
        <w:tc>
          <w:tcPr>
            <w:tcW w:w="771" w:type="pct"/>
            <w:vAlign w:val="center"/>
          </w:tcPr>
          <w:p w14:paraId="213ACAD3">
            <w:pPr>
              <w:pStyle w:val="33"/>
              <w:rPr>
                <w:color w:val="auto"/>
              </w:rPr>
            </w:pPr>
            <w:r>
              <w:rPr>
                <w:color w:val="auto"/>
              </w:rPr>
              <w:t>硫酸铝</w:t>
            </w:r>
          </w:p>
        </w:tc>
        <w:tc>
          <w:tcPr>
            <w:tcW w:w="771" w:type="pct"/>
            <w:vAlign w:val="center"/>
          </w:tcPr>
          <w:p w14:paraId="6783BB3F">
            <w:pPr>
              <w:pStyle w:val="33"/>
              <w:rPr>
                <w:color w:val="auto"/>
              </w:rPr>
            </w:pPr>
            <w:r>
              <w:rPr>
                <w:color w:val="auto"/>
              </w:rPr>
              <w:t>kg/t纸</w:t>
            </w:r>
          </w:p>
        </w:tc>
        <w:tc>
          <w:tcPr>
            <w:tcW w:w="406" w:type="pct"/>
            <w:vAlign w:val="center"/>
          </w:tcPr>
          <w:p w14:paraId="43B33B60">
            <w:pPr>
              <w:pStyle w:val="33"/>
              <w:rPr>
                <w:color w:val="auto"/>
              </w:rPr>
            </w:pPr>
            <w:r>
              <w:rPr>
                <w:color w:val="auto"/>
              </w:rPr>
              <w:t>25</w:t>
            </w:r>
          </w:p>
        </w:tc>
        <w:tc>
          <w:tcPr>
            <w:tcW w:w="501" w:type="pct"/>
            <w:vAlign w:val="center"/>
          </w:tcPr>
          <w:p w14:paraId="4DF9A365">
            <w:pPr>
              <w:pStyle w:val="33"/>
              <w:rPr>
                <w:color w:val="auto"/>
              </w:rPr>
            </w:pPr>
            <w:r>
              <w:rPr>
                <w:color w:val="auto"/>
              </w:rPr>
              <w:t>万t/a</w:t>
            </w:r>
          </w:p>
        </w:tc>
        <w:tc>
          <w:tcPr>
            <w:tcW w:w="542" w:type="pct"/>
            <w:vAlign w:val="center"/>
          </w:tcPr>
          <w:p w14:paraId="7CFE4B81">
            <w:pPr>
              <w:pStyle w:val="33"/>
              <w:rPr>
                <w:color w:val="auto"/>
              </w:rPr>
            </w:pPr>
            <w:r>
              <w:rPr>
                <w:color w:val="auto"/>
              </w:rPr>
              <w:t>3.00</w:t>
            </w:r>
          </w:p>
        </w:tc>
        <w:tc>
          <w:tcPr>
            <w:tcW w:w="1084" w:type="pct"/>
            <w:vAlign w:val="center"/>
          </w:tcPr>
          <w:p w14:paraId="42A390B2">
            <w:pPr>
              <w:pStyle w:val="33"/>
              <w:rPr>
                <w:color w:val="auto"/>
              </w:rPr>
            </w:pPr>
            <w:r>
              <w:rPr>
                <w:color w:val="auto"/>
              </w:rPr>
              <w:t>外购</w:t>
            </w:r>
          </w:p>
        </w:tc>
      </w:tr>
      <w:tr w14:paraId="60EF26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7E87DE2">
            <w:pPr>
              <w:pStyle w:val="33"/>
              <w:rPr>
                <w:color w:val="auto"/>
              </w:rPr>
            </w:pPr>
            <w:r>
              <w:rPr>
                <w:rFonts w:hint="eastAsia"/>
                <w:color w:val="auto"/>
              </w:rPr>
              <w:t>19</w:t>
            </w:r>
          </w:p>
        </w:tc>
        <w:tc>
          <w:tcPr>
            <w:tcW w:w="690" w:type="pct"/>
            <w:vMerge w:val="continue"/>
            <w:vAlign w:val="center"/>
          </w:tcPr>
          <w:p w14:paraId="0D322298">
            <w:pPr>
              <w:pStyle w:val="33"/>
              <w:rPr>
                <w:color w:val="auto"/>
              </w:rPr>
            </w:pPr>
          </w:p>
        </w:tc>
        <w:tc>
          <w:tcPr>
            <w:tcW w:w="771" w:type="pct"/>
            <w:vAlign w:val="center"/>
          </w:tcPr>
          <w:p w14:paraId="5765CC60">
            <w:pPr>
              <w:pStyle w:val="33"/>
              <w:rPr>
                <w:color w:val="auto"/>
              </w:rPr>
            </w:pPr>
            <w:r>
              <w:rPr>
                <w:color w:val="auto"/>
              </w:rPr>
              <w:t>松香</w:t>
            </w:r>
          </w:p>
        </w:tc>
        <w:tc>
          <w:tcPr>
            <w:tcW w:w="771" w:type="pct"/>
            <w:vAlign w:val="center"/>
          </w:tcPr>
          <w:p w14:paraId="775E70B0">
            <w:pPr>
              <w:pStyle w:val="33"/>
              <w:rPr>
                <w:color w:val="auto"/>
              </w:rPr>
            </w:pPr>
            <w:r>
              <w:rPr>
                <w:color w:val="auto"/>
              </w:rPr>
              <w:t>kg/t纸</w:t>
            </w:r>
          </w:p>
        </w:tc>
        <w:tc>
          <w:tcPr>
            <w:tcW w:w="406" w:type="pct"/>
            <w:vAlign w:val="center"/>
          </w:tcPr>
          <w:p w14:paraId="7D160CC4">
            <w:pPr>
              <w:pStyle w:val="33"/>
              <w:rPr>
                <w:color w:val="auto"/>
              </w:rPr>
            </w:pPr>
            <w:r>
              <w:rPr>
                <w:color w:val="auto"/>
              </w:rPr>
              <w:t>25</w:t>
            </w:r>
          </w:p>
        </w:tc>
        <w:tc>
          <w:tcPr>
            <w:tcW w:w="501" w:type="pct"/>
            <w:vAlign w:val="center"/>
          </w:tcPr>
          <w:p w14:paraId="51F4ACB8">
            <w:pPr>
              <w:pStyle w:val="33"/>
              <w:rPr>
                <w:color w:val="auto"/>
              </w:rPr>
            </w:pPr>
            <w:r>
              <w:rPr>
                <w:color w:val="auto"/>
              </w:rPr>
              <w:t>万t/a</w:t>
            </w:r>
          </w:p>
        </w:tc>
        <w:tc>
          <w:tcPr>
            <w:tcW w:w="542" w:type="pct"/>
            <w:vAlign w:val="center"/>
          </w:tcPr>
          <w:p w14:paraId="3292EFE1">
            <w:pPr>
              <w:pStyle w:val="33"/>
              <w:rPr>
                <w:color w:val="auto"/>
              </w:rPr>
            </w:pPr>
            <w:r>
              <w:rPr>
                <w:color w:val="auto"/>
              </w:rPr>
              <w:t>3.00</w:t>
            </w:r>
          </w:p>
        </w:tc>
        <w:tc>
          <w:tcPr>
            <w:tcW w:w="1084" w:type="pct"/>
            <w:vAlign w:val="center"/>
          </w:tcPr>
          <w:p w14:paraId="4A0946D5">
            <w:pPr>
              <w:pStyle w:val="33"/>
              <w:rPr>
                <w:color w:val="auto"/>
              </w:rPr>
            </w:pPr>
            <w:r>
              <w:rPr>
                <w:color w:val="auto"/>
              </w:rPr>
              <w:t>外购</w:t>
            </w:r>
          </w:p>
        </w:tc>
      </w:tr>
      <w:tr w14:paraId="5E3500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1AF927C">
            <w:pPr>
              <w:pStyle w:val="33"/>
              <w:rPr>
                <w:color w:val="auto"/>
              </w:rPr>
            </w:pPr>
            <w:r>
              <w:rPr>
                <w:rFonts w:hint="eastAsia"/>
                <w:color w:val="auto"/>
              </w:rPr>
              <w:t>20</w:t>
            </w:r>
          </w:p>
        </w:tc>
        <w:tc>
          <w:tcPr>
            <w:tcW w:w="690" w:type="pct"/>
            <w:vMerge w:val="continue"/>
            <w:vAlign w:val="center"/>
          </w:tcPr>
          <w:p w14:paraId="579371FE">
            <w:pPr>
              <w:pStyle w:val="33"/>
              <w:rPr>
                <w:color w:val="auto"/>
              </w:rPr>
            </w:pPr>
          </w:p>
        </w:tc>
        <w:tc>
          <w:tcPr>
            <w:tcW w:w="771" w:type="pct"/>
            <w:vAlign w:val="center"/>
          </w:tcPr>
          <w:p w14:paraId="4E88FA09">
            <w:pPr>
              <w:pStyle w:val="33"/>
              <w:rPr>
                <w:color w:val="auto"/>
              </w:rPr>
            </w:pPr>
            <w:r>
              <w:rPr>
                <w:color w:val="auto"/>
              </w:rPr>
              <w:t>羧甲基纤维素（CMC）</w:t>
            </w:r>
          </w:p>
        </w:tc>
        <w:tc>
          <w:tcPr>
            <w:tcW w:w="771" w:type="pct"/>
            <w:vAlign w:val="center"/>
          </w:tcPr>
          <w:p w14:paraId="77ED0029">
            <w:pPr>
              <w:pStyle w:val="33"/>
              <w:rPr>
                <w:color w:val="auto"/>
              </w:rPr>
            </w:pPr>
            <w:r>
              <w:rPr>
                <w:color w:val="auto"/>
              </w:rPr>
              <w:t>kg/t纸</w:t>
            </w:r>
          </w:p>
        </w:tc>
        <w:tc>
          <w:tcPr>
            <w:tcW w:w="406" w:type="pct"/>
            <w:vAlign w:val="center"/>
          </w:tcPr>
          <w:p w14:paraId="5A2C1D61">
            <w:pPr>
              <w:pStyle w:val="33"/>
              <w:rPr>
                <w:color w:val="auto"/>
              </w:rPr>
            </w:pPr>
            <w:r>
              <w:rPr>
                <w:color w:val="auto"/>
              </w:rPr>
              <w:t>0.55</w:t>
            </w:r>
          </w:p>
        </w:tc>
        <w:tc>
          <w:tcPr>
            <w:tcW w:w="501" w:type="pct"/>
            <w:vAlign w:val="center"/>
          </w:tcPr>
          <w:p w14:paraId="696FEF12">
            <w:pPr>
              <w:pStyle w:val="33"/>
              <w:rPr>
                <w:color w:val="auto"/>
              </w:rPr>
            </w:pPr>
            <w:r>
              <w:rPr>
                <w:color w:val="auto"/>
              </w:rPr>
              <w:t>t/a</w:t>
            </w:r>
          </w:p>
        </w:tc>
        <w:tc>
          <w:tcPr>
            <w:tcW w:w="542" w:type="pct"/>
            <w:vAlign w:val="center"/>
          </w:tcPr>
          <w:p w14:paraId="063387C5">
            <w:pPr>
              <w:pStyle w:val="33"/>
              <w:rPr>
                <w:color w:val="auto"/>
              </w:rPr>
            </w:pPr>
            <w:r>
              <w:rPr>
                <w:color w:val="auto"/>
              </w:rPr>
              <w:t>660</w:t>
            </w:r>
          </w:p>
        </w:tc>
        <w:tc>
          <w:tcPr>
            <w:tcW w:w="1084" w:type="pct"/>
            <w:vAlign w:val="center"/>
          </w:tcPr>
          <w:p w14:paraId="01EC3835">
            <w:pPr>
              <w:pStyle w:val="33"/>
              <w:rPr>
                <w:color w:val="auto"/>
              </w:rPr>
            </w:pPr>
            <w:r>
              <w:rPr>
                <w:color w:val="auto"/>
              </w:rPr>
              <w:t>外购</w:t>
            </w:r>
          </w:p>
        </w:tc>
      </w:tr>
      <w:tr w14:paraId="6F0B7E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251BDCA">
            <w:pPr>
              <w:pStyle w:val="33"/>
              <w:rPr>
                <w:color w:val="auto"/>
              </w:rPr>
            </w:pPr>
            <w:r>
              <w:rPr>
                <w:rFonts w:hint="eastAsia"/>
                <w:color w:val="auto"/>
              </w:rPr>
              <w:t>21</w:t>
            </w:r>
          </w:p>
        </w:tc>
        <w:tc>
          <w:tcPr>
            <w:tcW w:w="690" w:type="pct"/>
            <w:vMerge w:val="continue"/>
            <w:vAlign w:val="center"/>
          </w:tcPr>
          <w:p w14:paraId="04EABEC9">
            <w:pPr>
              <w:pStyle w:val="33"/>
              <w:rPr>
                <w:color w:val="auto"/>
              </w:rPr>
            </w:pPr>
          </w:p>
        </w:tc>
        <w:tc>
          <w:tcPr>
            <w:tcW w:w="771" w:type="pct"/>
            <w:vAlign w:val="center"/>
          </w:tcPr>
          <w:p w14:paraId="3CA5D4AD">
            <w:pPr>
              <w:pStyle w:val="33"/>
              <w:rPr>
                <w:color w:val="auto"/>
              </w:rPr>
            </w:pPr>
            <w:r>
              <w:rPr>
                <w:color w:val="auto"/>
              </w:rPr>
              <w:t>消泡剂</w:t>
            </w:r>
          </w:p>
        </w:tc>
        <w:tc>
          <w:tcPr>
            <w:tcW w:w="771" w:type="pct"/>
            <w:vAlign w:val="center"/>
          </w:tcPr>
          <w:p w14:paraId="40DCB868">
            <w:pPr>
              <w:pStyle w:val="33"/>
              <w:rPr>
                <w:color w:val="auto"/>
              </w:rPr>
            </w:pPr>
            <w:r>
              <w:rPr>
                <w:color w:val="auto"/>
              </w:rPr>
              <w:t>kg/t纸</w:t>
            </w:r>
          </w:p>
        </w:tc>
        <w:tc>
          <w:tcPr>
            <w:tcW w:w="406" w:type="pct"/>
            <w:vAlign w:val="center"/>
          </w:tcPr>
          <w:p w14:paraId="6E9B332A">
            <w:pPr>
              <w:pStyle w:val="33"/>
              <w:rPr>
                <w:color w:val="auto"/>
              </w:rPr>
            </w:pPr>
            <w:r>
              <w:rPr>
                <w:color w:val="auto"/>
              </w:rPr>
              <w:t>0.25</w:t>
            </w:r>
          </w:p>
        </w:tc>
        <w:tc>
          <w:tcPr>
            <w:tcW w:w="501" w:type="pct"/>
            <w:vAlign w:val="center"/>
          </w:tcPr>
          <w:p w14:paraId="5306B3BD">
            <w:pPr>
              <w:pStyle w:val="33"/>
              <w:rPr>
                <w:color w:val="auto"/>
              </w:rPr>
            </w:pPr>
            <w:r>
              <w:rPr>
                <w:color w:val="auto"/>
              </w:rPr>
              <w:t>t/a</w:t>
            </w:r>
          </w:p>
        </w:tc>
        <w:tc>
          <w:tcPr>
            <w:tcW w:w="542" w:type="pct"/>
            <w:vAlign w:val="center"/>
          </w:tcPr>
          <w:p w14:paraId="432A3FA3">
            <w:pPr>
              <w:pStyle w:val="33"/>
              <w:rPr>
                <w:color w:val="auto"/>
              </w:rPr>
            </w:pPr>
            <w:r>
              <w:rPr>
                <w:color w:val="auto"/>
              </w:rPr>
              <w:t>300</w:t>
            </w:r>
          </w:p>
        </w:tc>
        <w:tc>
          <w:tcPr>
            <w:tcW w:w="1084" w:type="pct"/>
            <w:vAlign w:val="center"/>
          </w:tcPr>
          <w:p w14:paraId="46D83239">
            <w:pPr>
              <w:pStyle w:val="33"/>
              <w:rPr>
                <w:color w:val="auto"/>
              </w:rPr>
            </w:pPr>
            <w:r>
              <w:rPr>
                <w:color w:val="auto"/>
              </w:rPr>
              <w:t>外购</w:t>
            </w:r>
          </w:p>
        </w:tc>
      </w:tr>
      <w:tr w14:paraId="5C8414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706FDF3">
            <w:pPr>
              <w:pStyle w:val="33"/>
              <w:rPr>
                <w:color w:val="auto"/>
              </w:rPr>
            </w:pPr>
            <w:r>
              <w:rPr>
                <w:rFonts w:hint="eastAsia"/>
                <w:color w:val="auto"/>
              </w:rPr>
              <w:t>22</w:t>
            </w:r>
          </w:p>
        </w:tc>
        <w:tc>
          <w:tcPr>
            <w:tcW w:w="690" w:type="pct"/>
            <w:vMerge w:val="continue"/>
            <w:vAlign w:val="center"/>
          </w:tcPr>
          <w:p w14:paraId="52492420">
            <w:pPr>
              <w:pStyle w:val="33"/>
              <w:rPr>
                <w:color w:val="auto"/>
              </w:rPr>
            </w:pPr>
          </w:p>
        </w:tc>
        <w:tc>
          <w:tcPr>
            <w:tcW w:w="771" w:type="pct"/>
            <w:vAlign w:val="center"/>
          </w:tcPr>
          <w:p w14:paraId="5AFBB917">
            <w:pPr>
              <w:pStyle w:val="33"/>
              <w:rPr>
                <w:color w:val="auto"/>
              </w:rPr>
            </w:pPr>
            <w:r>
              <w:rPr>
                <w:color w:val="auto"/>
              </w:rPr>
              <w:t>润滑剂</w:t>
            </w:r>
          </w:p>
        </w:tc>
        <w:tc>
          <w:tcPr>
            <w:tcW w:w="771" w:type="pct"/>
            <w:vAlign w:val="center"/>
          </w:tcPr>
          <w:p w14:paraId="05F87C8E">
            <w:pPr>
              <w:pStyle w:val="33"/>
              <w:rPr>
                <w:color w:val="auto"/>
              </w:rPr>
            </w:pPr>
            <w:r>
              <w:rPr>
                <w:color w:val="auto"/>
              </w:rPr>
              <w:t>kg/t纸</w:t>
            </w:r>
          </w:p>
        </w:tc>
        <w:tc>
          <w:tcPr>
            <w:tcW w:w="406" w:type="pct"/>
            <w:vAlign w:val="center"/>
          </w:tcPr>
          <w:p w14:paraId="28CEF4DB">
            <w:pPr>
              <w:pStyle w:val="33"/>
              <w:rPr>
                <w:color w:val="auto"/>
              </w:rPr>
            </w:pPr>
            <w:r>
              <w:rPr>
                <w:color w:val="auto"/>
              </w:rPr>
              <w:t>0.95</w:t>
            </w:r>
          </w:p>
        </w:tc>
        <w:tc>
          <w:tcPr>
            <w:tcW w:w="501" w:type="pct"/>
            <w:vAlign w:val="center"/>
          </w:tcPr>
          <w:p w14:paraId="269441EA">
            <w:pPr>
              <w:pStyle w:val="33"/>
              <w:rPr>
                <w:color w:val="auto"/>
              </w:rPr>
            </w:pPr>
            <w:r>
              <w:rPr>
                <w:color w:val="auto"/>
              </w:rPr>
              <w:t>t/a</w:t>
            </w:r>
          </w:p>
        </w:tc>
        <w:tc>
          <w:tcPr>
            <w:tcW w:w="542" w:type="pct"/>
            <w:vAlign w:val="center"/>
          </w:tcPr>
          <w:p w14:paraId="20B16502">
            <w:pPr>
              <w:pStyle w:val="33"/>
              <w:rPr>
                <w:color w:val="auto"/>
              </w:rPr>
            </w:pPr>
            <w:r>
              <w:rPr>
                <w:color w:val="auto"/>
              </w:rPr>
              <w:t>1140</w:t>
            </w:r>
          </w:p>
        </w:tc>
        <w:tc>
          <w:tcPr>
            <w:tcW w:w="1084" w:type="pct"/>
            <w:vAlign w:val="center"/>
          </w:tcPr>
          <w:p w14:paraId="507CBDA4">
            <w:pPr>
              <w:pStyle w:val="33"/>
              <w:rPr>
                <w:color w:val="auto"/>
              </w:rPr>
            </w:pPr>
            <w:r>
              <w:rPr>
                <w:color w:val="auto"/>
              </w:rPr>
              <w:t>外购</w:t>
            </w:r>
          </w:p>
        </w:tc>
      </w:tr>
      <w:tr w14:paraId="593206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203BC8D">
            <w:pPr>
              <w:pStyle w:val="33"/>
              <w:rPr>
                <w:color w:val="auto"/>
              </w:rPr>
            </w:pPr>
            <w:r>
              <w:rPr>
                <w:rFonts w:hint="eastAsia"/>
                <w:color w:val="auto"/>
              </w:rPr>
              <w:t>23</w:t>
            </w:r>
          </w:p>
        </w:tc>
        <w:tc>
          <w:tcPr>
            <w:tcW w:w="690" w:type="pct"/>
            <w:vMerge w:val="continue"/>
            <w:vAlign w:val="center"/>
          </w:tcPr>
          <w:p w14:paraId="74655346">
            <w:pPr>
              <w:pStyle w:val="33"/>
              <w:rPr>
                <w:color w:val="auto"/>
              </w:rPr>
            </w:pPr>
          </w:p>
        </w:tc>
        <w:tc>
          <w:tcPr>
            <w:tcW w:w="771" w:type="pct"/>
            <w:vAlign w:val="center"/>
          </w:tcPr>
          <w:p w14:paraId="6E388D67">
            <w:pPr>
              <w:pStyle w:val="33"/>
              <w:rPr>
                <w:color w:val="auto"/>
              </w:rPr>
            </w:pPr>
            <w:r>
              <w:rPr>
                <w:color w:val="auto"/>
              </w:rPr>
              <w:t>湿强剂</w:t>
            </w:r>
          </w:p>
        </w:tc>
        <w:tc>
          <w:tcPr>
            <w:tcW w:w="771" w:type="pct"/>
            <w:vAlign w:val="center"/>
          </w:tcPr>
          <w:p w14:paraId="0A9594B1">
            <w:pPr>
              <w:pStyle w:val="33"/>
              <w:rPr>
                <w:color w:val="auto"/>
              </w:rPr>
            </w:pPr>
            <w:r>
              <w:rPr>
                <w:color w:val="auto"/>
              </w:rPr>
              <w:t>kg/t纸</w:t>
            </w:r>
          </w:p>
        </w:tc>
        <w:tc>
          <w:tcPr>
            <w:tcW w:w="406" w:type="pct"/>
            <w:vAlign w:val="center"/>
          </w:tcPr>
          <w:p w14:paraId="27760FE9">
            <w:pPr>
              <w:pStyle w:val="33"/>
              <w:rPr>
                <w:color w:val="auto"/>
              </w:rPr>
            </w:pPr>
            <w:r>
              <w:rPr>
                <w:color w:val="auto"/>
              </w:rPr>
              <w:t>0.6</w:t>
            </w:r>
          </w:p>
        </w:tc>
        <w:tc>
          <w:tcPr>
            <w:tcW w:w="501" w:type="pct"/>
            <w:vAlign w:val="center"/>
          </w:tcPr>
          <w:p w14:paraId="774D2DAA">
            <w:pPr>
              <w:pStyle w:val="33"/>
              <w:rPr>
                <w:color w:val="auto"/>
              </w:rPr>
            </w:pPr>
            <w:r>
              <w:rPr>
                <w:color w:val="auto"/>
              </w:rPr>
              <w:t>t/a</w:t>
            </w:r>
          </w:p>
        </w:tc>
        <w:tc>
          <w:tcPr>
            <w:tcW w:w="542" w:type="pct"/>
            <w:vAlign w:val="center"/>
          </w:tcPr>
          <w:p w14:paraId="66DDD2A9">
            <w:pPr>
              <w:pStyle w:val="33"/>
              <w:rPr>
                <w:color w:val="auto"/>
              </w:rPr>
            </w:pPr>
            <w:r>
              <w:rPr>
                <w:color w:val="auto"/>
              </w:rPr>
              <w:t>720</w:t>
            </w:r>
          </w:p>
        </w:tc>
        <w:tc>
          <w:tcPr>
            <w:tcW w:w="1084" w:type="pct"/>
            <w:vAlign w:val="center"/>
          </w:tcPr>
          <w:p w14:paraId="66E779A1">
            <w:pPr>
              <w:pStyle w:val="33"/>
              <w:rPr>
                <w:color w:val="auto"/>
              </w:rPr>
            </w:pPr>
            <w:r>
              <w:rPr>
                <w:color w:val="auto"/>
              </w:rPr>
              <w:t>外购</w:t>
            </w:r>
          </w:p>
        </w:tc>
      </w:tr>
      <w:tr w14:paraId="4F5F00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F29B37B">
            <w:pPr>
              <w:pStyle w:val="33"/>
              <w:rPr>
                <w:color w:val="auto"/>
              </w:rPr>
            </w:pPr>
            <w:r>
              <w:rPr>
                <w:rFonts w:hint="eastAsia"/>
                <w:color w:val="auto"/>
              </w:rPr>
              <w:t>24</w:t>
            </w:r>
          </w:p>
        </w:tc>
        <w:tc>
          <w:tcPr>
            <w:tcW w:w="690" w:type="pct"/>
            <w:vMerge w:val="continue"/>
            <w:vAlign w:val="center"/>
          </w:tcPr>
          <w:p w14:paraId="2DD77643">
            <w:pPr>
              <w:pStyle w:val="33"/>
              <w:rPr>
                <w:color w:val="auto"/>
              </w:rPr>
            </w:pPr>
          </w:p>
        </w:tc>
        <w:tc>
          <w:tcPr>
            <w:tcW w:w="771" w:type="pct"/>
            <w:vAlign w:val="center"/>
          </w:tcPr>
          <w:p w14:paraId="3DE0B67E">
            <w:pPr>
              <w:pStyle w:val="33"/>
              <w:rPr>
                <w:color w:val="auto"/>
              </w:rPr>
            </w:pPr>
            <w:r>
              <w:rPr>
                <w:color w:val="auto"/>
              </w:rPr>
              <w:t>分散剂</w:t>
            </w:r>
          </w:p>
        </w:tc>
        <w:tc>
          <w:tcPr>
            <w:tcW w:w="771" w:type="pct"/>
            <w:vAlign w:val="center"/>
          </w:tcPr>
          <w:p w14:paraId="70C5C48E">
            <w:pPr>
              <w:pStyle w:val="33"/>
              <w:rPr>
                <w:color w:val="auto"/>
              </w:rPr>
            </w:pPr>
            <w:r>
              <w:rPr>
                <w:color w:val="auto"/>
              </w:rPr>
              <w:t>kg/t纸</w:t>
            </w:r>
          </w:p>
        </w:tc>
        <w:tc>
          <w:tcPr>
            <w:tcW w:w="406" w:type="pct"/>
            <w:vAlign w:val="center"/>
          </w:tcPr>
          <w:p w14:paraId="6E12720C">
            <w:pPr>
              <w:pStyle w:val="33"/>
              <w:rPr>
                <w:color w:val="auto"/>
              </w:rPr>
            </w:pPr>
            <w:r>
              <w:rPr>
                <w:color w:val="auto"/>
              </w:rPr>
              <w:t>0.53</w:t>
            </w:r>
          </w:p>
        </w:tc>
        <w:tc>
          <w:tcPr>
            <w:tcW w:w="501" w:type="pct"/>
            <w:vAlign w:val="center"/>
          </w:tcPr>
          <w:p w14:paraId="54AE16F1">
            <w:pPr>
              <w:pStyle w:val="33"/>
              <w:rPr>
                <w:color w:val="auto"/>
              </w:rPr>
            </w:pPr>
            <w:r>
              <w:rPr>
                <w:color w:val="auto"/>
              </w:rPr>
              <w:t>t/a</w:t>
            </w:r>
          </w:p>
        </w:tc>
        <w:tc>
          <w:tcPr>
            <w:tcW w:w="542" w:type="pct"/>
            <w:vAlign w:val="center"/>
          </w:tcPr>
          <w:p w14:paraId="35B2FAA3">
            <w:pPr>
              <w:pStyle w:val="33"/>
              <w:rPr>
                <w:color w:val="auto"/>
              </w:rPr>
            </w:pPr>
            <w:r>
              <w:rPr>
                <w:color w:val="auto"/>
              </w:rPr>
              <w:t>640</w:t>
            </w:r>
          </w:p>
        </w:tc>
        <w:tc>
          <w:tcPr>
            <w:tcW w:w="1084" w:type="pct"/>
            <w:vAlign w:val="center"/>
          </w:tcPr>
          <w:p w14:paraId="2E4605F3">
            <w:pPr>
              <w:pStyle w:val="33"/>
              <w:rPr>
                <w:color w:val="auto"/>
              </w:rPr>
            </w:pPr>
            <w:r>
              <w:rPr>
                <w:color w:val="auto"/>
              </w:rPr>
              <w:t>外购</w:t>
            </w:r>
          </w:p>
        </w:tc>
      </w:tr>
      <w:tr w14:paraId="3DF70A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AAC14C0">
            <w:pPr>
              <w:pStyle w:val="33"/>
              <w:rPr>
                <w:color w:val="auto"/>
              </w:rPr>
            </w:pPr>
            <w:r>
              <w:rPr>
                <w:rFonts w:hint="eastAsia"/>
                <w:color w:val="auto"/>
              </w:rPr>
              <w:t>25</w:t>
            </w:r>
          </w:p>
        </w:tc>
        <w:tc>
          <w:tcPr>
            <w:tcW w:w="690" w:type="pct"/>
            <w:vMerge w:val="continue"/>
            <w:vAlign w:val="center"/>
          </w:tcPr>
          <w:p w14:paraId="06A4C52C">
            <w:pPr>
              <w:pStyle w:val="33"/>
              <w:rPr>
                <w:color w:val="auto"/>
              </w:rPr>
            </w:pPr>
          </w:p>
        </w:tc>
        <w:tc>
          <w:tcPr>
            <w:tcW w:w="771" w:type="pct"/>
            <w:vAlign w:val="center"/>
          </w:tcPr>
          <w:p w14:paraId="7A2CDE08">
            <w:pPr>
              <w:pStyle w:val="33"/>
              <w:rPr>
                <w:color w:val="auto"/>
              </w:rPr>
            </w:pPr>
            <w:r>
              <w:rPr>
                <w:color w:val="auto"/>
              </w:rPr>
              <w:t>氢氧化钠</w:t>
            </w:r>
          </w:p>
        </w:tc>
        <w:tc>
          <w:tcPr>
            <w:tcW w:w="771" w:type="pct"/>
            <w:vAlign w:val="center"/>
          </w:tcPr>
          <w:p w14:paraId="264EC9D3">
            <w:pPr>
              <w:pStyle w:val="33"/>
              <w:rPr>
                <w:color w:val="auto"/>
              </w:rPr>
            </w:pPr>
            <w:r>
              <w:rPr>
                <w:color w:val="auto"/>
              </w:rPr>
              <w:t>kg/t纸</w:t>
            </w:r>
          </w:p>
        </w:tc>
        <w:tc>
          <w:tcPr>
            <w:tcW w:w="406" w:type="pct"/>
            <w:vAlign w:val="center"/>
          </w:tcPr>
          <w:p w14:paraId="37A1734D">
            <w:pPr>
              <w:pStyle w:val="33"/>
              <w:rPr>
                <w:color w:val="auto"/>
              </w:rPr>
            </w:pPr>
            <w:r>
              <w:rPr>
                <w:color w:val="auto"/>
              </w:rPr>
              <w:t>0.2</w:t>
            </w:r>
          </w:p>
        </w:tc>
        <w:tc>
          <w:tcPr>
            <w:tcW w:w="501" w:type="pct"/>
            <w:vAlign w:val="center"/>
          </w:tcPr>
          <w:p w14:paraId="47D12E09">
            <w:pPr>
              <w:pStyle w:val="33"/>
              <w:rPr>
                <w:color w:val="auto"/>
              </w:rPr>
            </w:pPr>
            <w:r>
              <w:rPr>
                <w:color w:val="auto"/>
              </w:rPr>
              <w:t>t/a</w:t>
            </w:r>
          </w:p>
        </w:tc>
        <w:tc>
          <w:tcPr>
            <w:tcW w:w="542" w:type="pct"/>
            <w:vAlign w:val="center"/>
          </w:tcPr>
          <w:p w14:paraId="3EDFD9AC">
            <w:pPr>
              <w:pStyle w:val="33"/>
              <w:rPr>
                <w:color w:val="auto"/>
              </w:rPr>
            </w:pPr>
            <w:r>
              <w:rPr>
                <w:color w:val="auto"/>
              </w:rPr>
              <w:t>240</w:t>
            </w:r>
          </w:p>
        </w:tc>
        <w:tc>
          <w:tcPr>
            <w:tcW w:w="1084" w:type="pct"/>
            <w:vAlign w:val="center"/>
          </w:tcPr>
          <w:p w14:paraId="2CAE837D">
            <w:pPr>
              <w:pStyle w:val="33"/>
              <w:rPr>
                <w:color w:val="auto"/>
              </w:rPr>
            </w:pPr>
            <w:r>
              <w:rPr>
                <w:color w:val="auto"/>
              </w:rPr>
              <w:t>外购</w:t>
            </w:r>
          </w:p>
        </w:tc>
      </w:tr>
      <w:tr w14:paraId="38BFE9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9561F60">
            <w:pPr>
              <w:pStyle w:val="33"/>
              <w:rPr>
                <w:color w:val="auto"/>
              </w:rPr>
            </w:pPr>
            <w:r>
              <w:rPr>
                <w:rFonts w:hint="eastAsia"/>
                <w:color w:val="auto"/>
              </w:rPr>
              <w:t>26</w:t>
            </w:r>
          </w:p>
        </w:tc>
        <w:tc>
          <w:tcPr>
            <w:tcW w:w="690" w:type="pct"/>
            <w:vMerge w:val="continue"/>
            <w:vAlign w:val="center"/>
          </w:tcPr>
          <w:p w14:paraId="07FE948C">
            <w:pPr>
              <w:pStyle w:val="33"/>
              <w:rPr>
                <w:color w:val="auto"/>
              </w:rPr>
            </w:pPr>
          </w:p>
        </w:tc>
        <w:tc>
          <w:tcPr>
            <w:tcW w:w="771" w:type="pct"/>
            <w:vAlign w:val="center"/>
          </w:tcPr>
          <w:p w14:paraId="4C957D33">
            <w:pPr>
              <w:pStyle w:val="33"/>
              <w:rPr>
                <w:color w:val="auto"/>
              </w:rPr>
            </w:pPr>
            <w:r>
              <w:rPr>
                <w:color w:val="auto"/>
              </w:rPr>
              <w:t>助留剂</w:t>
            </w:r>
          </w:p>
        </w:tc>
        <w:tc>
          <w:tcPr>
            <w:tcW w:w="771" w:type="pct"/>
            <w:vAlign w:val="center"/>
          </w:tcPr>
          <w:p w14:paraId="1DF0EC2A">
            <w:pPr>
              <w:pStyle w:val="33"/>
              <w:rPr>
                <w:color w:val="auto"/>
              </w:rPr>
            </w:pPr>
            <w:r>
              <w:rPr>
                <w:color w:val="auto"/>
              </w:rPr>
              <w:t>kg/t纸</w:t>
            </w:r>
          </w:p>
        </w:tc>
        <w:tc>
          <w:tcPr>
            <w:tcW w:w="406" w:type="pct"/>
            <w:vAlign w:val="center"/>
          </w:tcPr>
          <w:p w14:paraId="3EA0CA8B">
            <w:pPr>
              <w:pStyle w:val="33"/>
              <w:rPr>
                <w:color w:val="auto"/>
              </w:rPr>
            </w:pPr>
            <w:r>
              <w:rPr>
                <w:color w:val="auto"/>
              </w:rPr>
              <w:t>0.5</w:t>
            </w:r>
          </w:p>
        </w:tc>
        <w:tc>
          <w:tcPr>
            <w:tcW w:w="501" w:type="pct"/>
            <w:vAlign w:val="center"/>
          </w:tcPr>
          <w:p w14:paraId="398714AF">
            <w:pPr>
              <w:pStyle w:val="33"/>
              <w:rPr>
                <w:color w:val="auto"/>
              </w:rPr>
            </w:pPr>
            <w:r>
              <w:rPr>
                <w:color w:val="auto"/>
              </w:rPr>
              <w:t>t/a</w:t>
            </w:r>
          </w:p>
        </w:tc>
        <w:tc>
          <w:tcPr>
            <w:tcW w:w="542" w:type="pct"/>
            <w:vAlign w:val="center"/>
          </w:tcPr>
          <w:p w14:paraId="0E313D6B">
            <w:pPr>
              <w:pStyle w:val="33"/>
              <w:rPr>
                <w:color w:val="auto"/>
              </w:rPr>
            </w:pPr>
            <w:r>
              <w:rPr>
                <w:color w:val="auto"/>
              </w:rPr>
              <w:t>600</w:t>
            </w:r>
          </w:p>
        </w:tc>
        <w:tc>
          <w:tcPr>
            <w:tcW w:w="1084" w:type="pct"/>
            <w:vAlign w:val="center"/>
          </w:tcPr>
          <w:p w14:paraId="120DDC0F">
            <w:pPr>
              <w:pStyle w:val="33"/>
              <w:rPr>
                <w:color w:val="auto"/>
              </w:rPr>
            </w:pPr>
            <w:r>
              <w:rPr>
                <w:color w:val="auto"/>
              </w:rPr>
              <w:t>外购</w:t>
            </w:r>
          </w:p>
        </w:tc>
      </w:tr>
      <w:tr w14:paraId="514469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55C0A50">
            <w:pPr>
              <w:pStyle w:val="33"/>
              <w:rPr>
                <w:color w:val="auto"/>
              </w:rPr>
            </w:pPr>
            <w:r>
              <w:rPr>
                <w:rFonts w:hint="eastAsia"/>
                <w:color w:val="auto"/>
              </w:rPr>
              <w:t>27</w:t>
            </w:r>
          </w:p>
        </w:tc>
        <w:tc>
          <w:tcPr>
            <w:tcW w:w="690" w:type="pct"/>
            <w:vMerge w:val="continue"/>
            <w:vAlign w:val="center"/>
          </w:tcPr>
          <w:p w14:paraId="27046532">
            <w:pPr>
              <w:pStyle w:val="33"/>
              <w:rPr>
                <w:color w:val="auto"/>
              </w:rPr>
            </w:pPr>
          </w:p>
        </w:tc>
        <w:tc>
          <w:tcPr>
            <w:tcW w:w="771" w:type="pct"/>
            <w:vAlign w:val="center"/>
          </w:tcPr>
          <w:p w14:paraId="6EAB099A">
            <w:pPr>
              <w:pStyle w:val="33"/>
              <w:rPr>
                <w:color w:val="auto"/>
              </w:rPr>
            </w:pPr>
            <w:r>
              <w:rPr>
                <w:color w:val="auto"/>
              </w:rPr>
              <w:t>天然气</w:t>
            </w:r>
          </w:p>
        </w:tc>
        <w:tc>
          <w:tcPr>
            <w:tcW w:w="771" w:type="pct"/>
            <w:vAlign w:val="center"/>
          </w:tcPr>
          <w:p w14:paraId="329C3C00">
            <w:pPr>
              <w:pStyle w:val="33"/>
              <w:rPr>
                <w:color w:val="auto"/>
              </w:rPr>
            </w:pPr>
            <w:r>
              <w:rPr>
                <w:color w:val="auto"/>
              </w:rPr>
              <w:t>m</w:t>
            </w:r>
            <w:r>
              <w:rPr>
                <w:color w:val="auto"/>
                <w:vertAlign w:val="superscript"/>
              </w:rPr>
              <w:t>3</w:t>
            </w:r>
            <w:r>
              <w:rPr>
                <w:color w:val="auto"/>
              </w:rPr>
              <w:t>/t纸</w:t>
            </w:r>
          </w:p>
        </w:tc>
        <w:tc>
          <w:tcPr>
            <w:tcW w:w="406" w:type="pct"/>
            <w:vAlign w:val="center"/>
          </w:tcPr>
          <w:p w14:paraId="2EB6AAEF">
            <w:pPr>
              <w:pStyle w:val="33"/>
              <w:rPr>
                <w:color w:val="auto"/>
              </w:rPr>
            </w:pPr>
            <w:r>
              <w:rPr>
                <w:color w:val="auto"/>
              </w:rPr>
              <w:t>10</w:t>
            </w:r>
          </w:p>
        </w:tc>
        <w:tc>
          <w:tcPr>
            <w:tcW w:w="501" w:type="pct"/>
            <w:vAlign w:val="center"/>
          </w:tcPr>
          <w:p w14:paraId="30C871FC">
            <w:pPr>
              <w:pStyle w:val="33"/>
              <w:rPr>
                <w:color w:val="auto"/>
              </w:rPr>
            </w:pPr>
            <w:r>
              <w:rPr>
                <w:color w:val="auto"/>
              </w:rPr>
              <w:t>万m</w:t>
            </w:r>
            <w:r>
              <w:rPr>
                <w:color w:val="auto"/>
                <w:vertAlign w:val="superscript"/>
              </w:rPr>
              <w:t>3</w:t>
            </w:r>
            <w:r>
              <w:rPr>
                <w:color w:val="auto"/>
              </w:rPr>
              <w:t>/a</w:t>
            </w:r>
          </w:p>
        </w:tc>
        <w:tc>
          <w:tcPr>
            <w:tcW w:w="542" w:type="pct"/>
            <w:vAlign w:val="center"/>
          </w:tcPr>
          <w:p w14:paraId="14C99E40">
            <w:pPr>
              <w:pStyle w:val="33"/>
              <w:rPr>
                <w:color w:val="auto"/>
              </w:rPr>
            </w:pPr>
            <w:r>
              <w:rPr>
                <w:color w:val="auto"/>
              </w:rPr>
              <w:t>1200</w:t>
            </w:r>
          </w:p>
        </w:tc>
        <w:tc>
          <w:tcPr>
            <w:tcW w:w="1084" w:type="pct"/>
            <w:vAlign w:val="center"/>
          </w:tcPr>
          <w:p w14:paraId="15C8BE97">
            <w:pPr>
              <w:pStyle w:val="33"/>
              <w:rPr>
                <w:color w:val="auto"/>
              </w:rPr>
            </w:pPr>
            <w:r>
              <w:rPr>
                <w:color w:val="auto"/>
              </w:rPr>
              <w:t>外购</w:t>
            </w:r>
          </w:p>
        </w:tc>
      </w:tr>
      <w:tr w14:paraId="043FA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88926AF">
            <w:pPr>
              <w:pStyle w:val="33"/>
              <w:rPr>
                <w:color w:val="auto"/>
              </w:rPr>
            </w:pPr>
            <w:r>
              <w:rPr>
                <w:rFonts w:hint="eastAsia"/>
                <w:color w:val="auto"/>
              </w:rPr>
              <w:t>28</w:t>
            </w:r>
          </w:p>
        </w:tc>
        <w:tc>
          <w:tcPr>
            <w:tcW w:w="690" w:type="pct"/>
            <w:vMerge w:val="restart"/>
            <w:vAlign w:val="center"/>
          </w:tcPr>
          <w:p w14:paraId="509DF4BE">
            <w:pPr>
              <w:pStyle w:val="33"/>
              <w:rPr>
                <w:color w:val="auto"/>
              </w:rPr>
            </w:pPr>
            <w:r>
              <w:rPr>
                <w:color w:val="auto"/>
              </w:rPr>
              <w:t>2#造纸车间</w:t>
            </w:r>
          </w:p>
        </w:tc>
        <w:tc>
          <w:tcPr>
            <w:tcW w:w="771" w:type="pct"/>
            <w:vAlign w:val="center"/>
          </w:tcPr>
          <w:p w14:paraId="56C30FD0">
            <w:pPr>
              <w:pStyle w:val="33"/>
              <w:rPr>
                <w:color w:val="auto"/>
              </w:rPr>
            </w:pPr>
            <w:r>
              <w:rPr>
                <w:color w:val="auto"/>
              </w:rPr>
              <w:t>化机浆</w:t>
            </w:r>
          </w:p>
        </w:tc>
        <w:tc>
          <w:tcPr>
            <w:tcW w:w="771" w:type="pct"/>
            <w:vAlign w:val="center"/>
          </w:tcPr>
          <w:p w14:paraId="144282E5">
            <w:pPr>
              <w:pStyle w:val="33"/>
              <w:rPr>
                <w:color w:val="auto"/>
              </w:rPr>
            </w:pPr>
            <w:r>
              <w:rPr>
                <w:color w:val="auto"/>
              </w:rPr>
              <w:t>kg（绝干）/t纸</w:t>
            </w:r>
          </w:p>
        </w:tc>
        <w:tc>
          <w:tcPr>
            <w:tcW w:w="406" w:type="pct"/>
            <w:vAlign w:val="center"/>
          </w:tcPr>
          <w:p w14:paraId="56A446FC">
            <w:pPr>
              <w:pStyle w:val="33"/>
              <w:rPr>
                <w:color w:val="auto"/>
              </w:rPr>
            </w:pPr>
            <w:r>
              <w:rPr>
                <w:color w:val="auto"/>
              </w:rPr>
              <w:t>327</w:t>
            </w:r>
          </w:p>
        </w:tc>
        <w:tc>
          <w:tcPr>
            <w:tcW w:w="501" w:type="pct"/>
            <w:vAlign w:val="center"/>
          </w:tcPr>
          <w:p w14:paraId="7744096F">
            <w:pPr>
              <w:pStyle w:val="33"/>
              <w:rPr>
                <w:color w:val="auto"/>
              </w:rPr>
            </w:pPr>
            <w:r>
              <w:rPr>
                <w:color w:val="auto"/>
              </w:rPr>
              <w:t>万Bdt/a</w:t>
            </w:r>
          </w:p>
        </w:tc>
        <w:tc>
          <w:tcPr>
            <w:tcW w:w="542" w:type="pct"/>
            <w:vAlign w:val="center"/>
          </w:tcPr>
          <w:p w14:paraId="082AEA01">
            <w:pPr>
              <w:pStyle w:val="33"/>
              <w:rPr>
                <w:color w:val="auto"/>
              </w:rPr>
            </w:pPr>
            <w:r>
              <w:rPr>
                <w:color w:val="auto"/>
              </w:rPr>
              <w:t>29.43</w:t>
            </w:r>
          </w:p>
        </w:tc>
        <w:tc>
          <w:tcPr>
            <w:tcW w:w="1084" w:type="pct"/>
            <w:vAlign w:val="center"/>
          </w:tcPr>
          <w:p w14:paraId="715FD372">
            <w:pPr>
              <w:pStyle w:val="33"/>
              <w:rPr>
                <w:color w:val="auto"/>
              </w:rPr>
            </w:pPr>
            <w:r>
              <w:rPr>
                <w:color w:val="auto"/>
              </w:rPr>
              <w:t>自产</w:t>
            </w:r>
          </w:p>
        </w:tc>
      </w:tr>
      <w:tr w14:paraId="1D8C65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9009015">
            <w:pPr>
              <w:pStyle w:val="33"/>
              <w:rPr>
                <w:color w:val="auto"/>
              </w:rPr>
            </w:pPr>
            <w:r>
              <w:rPr>
                <w:rFonts w:hint="eastAsia"/>
                <w:color w:val="auto"/>
              </w:rPr>
              <w:t>29</w:t>
            </w:r>
          </w:p>
        </w:tc>
        <w:tc>
          <w:tcPr>
            <w:tcW w:w="690" w:type="pct"/>
            <w:vMerge w:val="continue"/>
            <w:vAlign w:val="center"/>
          </w:tcPr>
          <w:p w14:paraId="45A427D5">
            <w:pPr>
              <w:pStyle w:val="33"/>
              <w:rPr>
                <w:color w:val="auto"/>
              </w:rPr>
            </w:pPr>
          </w:p>
        </w:tc>
        <w:tc>
          <w:tcPr>
            <w:tcW w:w="771" w:type="pct"/>
            <w:vAlign w:val="center"/>
          </w:tcPr>
          <w:p w14:paraId="4598E4AE">
            <w:pPr>
              <w:pStyle w:val="33"/>
              <w:rPr>
                <w:color w:val="auto"/>
              </w:rPr>
            </w:pPr>
            <w:r>
              <w:rPr>
                <w:color w:val="auto"/>
              </w:rPr>
              <w:t>商品</w:t>
            </w:r>
            <w:r>
              <w:rPr>
                <w:rFonts w:hint="eastAsia"/>
                <w:color w:val="auto"/>
              </w:rPr>
              <w:t>针叶木浆</w:t>
            </w:r>
            <w:r>
              <w:rPr>
                <w:color w:val="auto"/>
              </w:rPr>
              <w:t>NBKP</w:t>
            </w:r>
          </w:p>
        </w:tc>
        <w:tc>
          <w:tcPr>
            <w:tcW w:w="771" w:type="pct"/>
            <w:vAlign w:val="center"/>
          </w:tcPr>
          <w:p w14:paraId="1589B9EF">
            <w:pPr>
              <w:pStyle w:val="33"/>
              <w:rPr>
                <w:color w:val="auto"/>
              </w:rPr>
            </w:pPr>
            <w:r>
              <w:rPr>
                <w:color w:val="auto"/>
              </w:rPr>
              <w:t>kg（绝干）/t纸</w:t>
            </w:r>
          </w:p>
        </w:tc>
        <w:tc>
          <w:tcPr>
            <w:tcW w:w="406" w:type="pct"/>
            <w:vAlign w:val="center"/>
          </w:tcPr>
          <w:p w14:paraId="5FAECDAE">
            <w:pPr>
              <w:pStyle w:val="33"/>
              <w:rPr>
                <w:color w:val="auto"/>
              </w:rPr>
            </w:pPr>
            <w:r>
              <w:rPr>
                <w:color w:val="auto"/>
              </w:rPr>
              <w:t>69</w:t>
            </w:r>
          </w:p>
        </w:tc>
        <w:tc>
          <w:tcPr>
            <w:tcW w:w="501" w:type="pct"/>
            <w:vAlign w:val="center"/>
          </w:tcPr>
          <w:p w14:paraId="50156D78">
            <w:pPr>
              <w:pStyle w:val="33"/>
              <w:rPr>
                <w:color w:val="auto"/>
              </w:rPr>
            </w:pPr>
            <w:r>
              <w:rPr>
                <w:color w:val="auto"/>
              </w:rPr>
              <w:t>万Bdt/a</w:t>
            </w:r>
          </w:p>
        </w:tc>
        <w:tc>
          <w:tcPr>
            <w:tcW w:w="542" w:type="pct"/>
            <w:vAlign w:val="center"/>
          </w:tcPr>
          <w:p w14:paraId="61156597">
            <w:pPr>
              <w:pStyle w:val="33"/>
              <w:rPr>
                <w:color w:val="auto"/>
              </w:rPr>
            </w:pPr>
            <w:r>
              <w:rPr>
                <w:color w:val="auto"/>
              </w:rPr>
              <w:t>6.21</w:t>
            </w:r>
          </w:p>
        </w:tc>
        <w:tc>
          <w:tcPr>
            <w:tcW w:w="1084" w:type="pct"/>
            <w:vAlign w:val="center"/>
          </w:tcPr>
          <w:p w14:paraId="0CE73943">
            <w:pPr>
              <w:pStyle w:val="33"/>
              <w:rPr>
                <w:color w:val="auto"/>
              </w:rPr>
            </w:pPr>
            <w:r>
              <w:rPr>
                <w:color w:val="auto"/>
              </w:rPr>
              <w:t>外购</w:t>
            </w:r>
          </w:p>
        </w:tc>
      </w:tr>
      <w:tr w14:paraId="7CEC1A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E2F23D8">
            <w:pPr>
              <w:pStyle w:val="33"/>
              <w:rPr>
                <w:color w:val="auto"/>
              </w:rPr>
            </w:pPr>
            <w:r>
              <w:rPr>
                <w:rFonts w:hint="eastAsia"/>
                <w:color w:val="auto"/>
              </w:rPr>
              <w:t>30</w:t>
            </w:r>
          </w:p>
        </w:tc>
        <w:tc>
          <w:tcPr>
            <w:tcW w:w="690" w:type="pct"/>
            <w:vMerge w:val="continue"/>
            <w:vAlign w:val="center"/>
          </w:tcPr>
          <w:p w14:paraId="617EDAC7">
            <w:pPr>
              <w:pStyle w:val="33"/>
              <w:rPr>
                <w:color w:val="auto"/>
              </w:rPr>
            </w:pPr>
          </w:p>
        </w:tc>
        <w:tc>
          <w:tcPr>
            <w:tcW w:w="771" w:type="pct"/>
            <w:vAlign w:val="center"/>
          </w:tcPr>
          <w:p w14:paraId="5A9BDECE">
            <w:pPr>
              <w:pStyle w:val="33"/>
              <w:rPr>
                <w:color w:val="auto"/>
              </w:rPr>
            </w:pPr>
            <w:r>
              <w:rPr>
                <w:color w:val="auto"/>
              </w:rPr>
              <w:t>商品</w:t>
            </w:r>
            <w:r>
              <w:rPr>
                <w:rFonts w:hint="eastAsia"/>
                <w:color w:val="auto"/>
              </w:rPr>
              <w:t>阔叶木浆</w:t>
            </w:r>
            <w:r>
              <w:rPr>
                <w:color w:val="auto"/>
              </w:rPr>
              <w:t>LBKP</w:t>
            </w:r>
          </w:p>
        </w:tc>
        <w:tc>
          <w:tcPr>
            <w:tcW w:w="771" w:type="pct"/>
            <w:vAlign w:val="center"/>
          </w:tcPr>
          <w:p w14:paraId="28BF6EDC">
            <w:pPr>
              <w:pStyle w:val="33"/>
              <w:rPr>
                <w:color w:val="auto"/>
              </w:rPr>
            </w:pPr>
            <w:r>
              <w:rPr>
                <w:color w:val="auto"/>
              </w:rPr>
              <w:t>kg（绝干）/t纸</w:t>
            </w:r>
          </w:p>
        </w:tc>
        <w:tc>
          <w:tcPr>
            <w:tcW w:w="406" w:type="pct"/>
            <w:vAlign w:val="center"/>
          </w:tcPr>
          <w:p w14:paraId="530CC896">
            <w:pPr>
              <w:pStyle w:val="33"/>
              <w:rPr>
                <w:color w:val="auto"/>
              </w:rPr>
            </w:pPr>
            <w:r>
              <w:rPr>
                <w:color w:val="auto"/>
              </w:rPr>
              <w:t>351</w:t>
            </w:r>
          </w:p>
        </w:tc>
        <w:tc>
          <w:tcPr>
            <w:tcW w:w="501" w:type="pct"/>
            <w:vAlign w:val="center"/>
          </w:tcPr>
          <w:p w14:paraId="2C77F417">
            <w:pPr>
              <w:pStyle w:val="33"/>
              <w:rPr>
                <w:color w:val="auto"/>
              </w:rPr>
            </w:pPr>
            <w:r>
              <w:rPr>
                <w:color w:val="auto"/>
              </w:rPr>
              <w:t>万Bdt/a</w:t>
            </w:r>
          </w:p>
        </w:tc>
        <w:tc>
          <w:tcPr>
            <w:tcW w:w="542" w:type="pct"/>
            <w:vAlign w:val="center"/>
          </w:tcPr>
          <w:p w14:paraId="10DBE8C8">
            <w:pPr>
              <w:pStyle w:val="33"/>
              <w:rPr>
                <w:color w:val="auto"/>
              </w:rPr>
            </w:pPr>
            <w:r>
              <w:rPr>
                <w:color w:val="auto"/>
              </w:rPr>
              <w:t>31.59</w:t>
            </w:r>
          </w:p>
        </w:tc>
        <w:tc>
          <w:tcPr>
            <w:tcW w:w="1084" w:type="pct"/>
            <w:vAlign w:val="center"/>
          </w:tcPr>
          <w:p w14:paraId="5F7DECA3">
            <w:pPr>
              <w:pStyle w:val="33"/>
              <w:rPr>
                <w:color w:val="auto"/>
              </w:rPr>
            </w:pPr>
            <w:r>
              <w:rPr>
                <w:color w:val="auto"/>
              </w:rPr>
              <w:t>外购</w:t>
            </w:r>
          </w:p>
        </w:tc>
      </w:tr>
      <w:tr w14:paraId="5D26C2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8D2F882">
            <w:pPr>
              <w:pStyle w:val="33"/>
              <w:rPr>
                <w:color w:val="auto"/>
              </w:rPr>
            </w:pPr>
            <w:r>
              <w:rPr>
                <w:rFonts w:hint="eastAsia"/>
                <w:color w:val="auto"/>
              </w:rPr>
              <w:t>31</w:t>
            </w:r>
          </w:p>
        </w:tc>
        <w:tc>
          <w:tcPr>
            <w:tcW w:w="690" w:type="pct"/>
            <w:vMerge w:val="continue"/>
            <w:vAlign w:val="center"/>
          </w:tcPr>
          <w:p w14:paraId="20943C11">
            <w:pPr>
              <w:pStyle w:val="33"/>
              <w:rPr>
                <w:color w:val="auto"/>
              </w:rPr>
            </w:pPr>
          </w:p>
        </w:tc>
        <w:tc>
          <w:tcPr>
            <w:tcW w:w="771" w:type="pct"/>
            <w:vAlign w:val="center"/>
          </w:tcPr>
          <w:p w14:paraId="71D10B6D">
            <w:pPr>
              <w:pStyle w:val="33"/>
              <w:rPr>
                <w:color w:val="auto"/>
              </w:rPr>
            </w:pPr>
            <w:r>
              <w:rPr>
                <w:color w:val="auto"/>
              </w:rPr>
              <w:t>瓷土</w:t>
            </w:r>
          </w:p>
        </w:tc>
        <w:tc>
          <w:tcPr>
            <w:tcW w:w="771" w:type="pct"/>
            <w:vAlign w:val="center"/>
          </w:tcPr>
          <w:p w14:paraId="7BB037B9">
            <w:pPr>
              <w:pStyle w:val="33"/>
              <w:rPr>
                <w:color w:val="auto"/>
              </w:rPr>
            </w:pPr>
            <w:r>
              <w:rPr>
                <w:color w:val="auto"/>
              </w:rPr>
              <w:t>kg/t纸</w:t>
            </w:r>
          </w:p>
        </w:tc>
        <w:tc>
          <w:tcPr>
            <w:tcW w:w="406" w:type="pct"/>
            <w:vAlign w:val="center"/>
          </w:tcPr>
          <w:p w14:paraId="3256C066">
            <w:pPr>
              <w:pStyle w:val="33"/>
              <w:rPr>
                <w:color w:val="auto"/>
              </w:rPr>
            </w:pPr>
            <w:r>
              <w:rPr>
                <w:color w:val="auto"/>
              </w:rPr>
              <w:t>11</w:t>
            </w:r>
          </w:p>
        </w:tc>
        <w:tc>
          <w:tcPr>
            <w:tcW w:w="501" w:type="pct"/>
            <w:vAlign w:val="center"/>
          </w:tcPr>
          <w:p w14:paraId="451FDD33">
            <w:pPr>
              <w:pStyle w:val="33"/>
              <w:rPr>
                <w:color w:val="auto"/>
              </w:rPr>
            </w:pPr>
            <w:r>
              <w:rPr>
                <w:color w:val="auto"/>
              </w:rPr>
              <w:t>万t/a</w:t>
            </w:r>
          </w:p>
        </w:tc>
        <w:tc>
          <w:tcPr>
            <w:tcW w:w="542" w:type="pct"/>
            <w:vAlign w:val="center"/>
          </w:tcPr>
          <w:p w14:paraId="7275C6B0">
            <w:pPr>
              <w:pStyle w:val="33"/>
              <w:rPr>
                <w:color w:val="auto"/>
              </w:rPr>
            </w:pPr>
            <w:r>
              <w:rPr>
                <w:color w:val="auto"/>
              </w:rPr>
              <w:t>0.99</w:t>
            </w:r>
          </w:p>
        </w:tc>
        <w:tc>
          <w:tcPr>
            <w:tcW w:w="1084" w:type="pct"/>
            <w:vAlign w:val="center"/>
          </w:tcPr>
          <w:p w14:paraId="2B5453FC">
            <w:pPr>
              <w:pStyle w:val="33"/>
              <w:rPr>
                <w:color w:val="auto"/>
              </w:rPr>
            </w:pPr>
            <w:r>
              <w:rPr>
                <w:color w:val="auto"/>
              </w:rPr>
              <w:t>外购</w:t>
            </w:r>
          </w:p>
        </w:tc>
      </w:tr>
      <w:tr w14:paraId="4D8AD8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3099E7C">
            <w:pPr>
              <w:pStyle w:val="33"/>
              <w:rPr>
                <w:color w:val="auto"/>
              </w:rPr>
            </w:pPr>
            <w:r>
              <w:rPr>
                <w:rFonts w:hint="eastAsia"/>
                <w:color w:val="auto"/>
              </w:rPr>
              <w:t>32</w:t>
            </w:r>
          </w:p>
        </w:tc>
        <w:tc>
          <w:tcPr>
            <w:tcW w:w="690" w:type="pct"/>
            <w:vMerge w:val="continue"/>
            <w:vAlign w:val="center"/>
          </w:tcPr>
          <w:p w14:paraId="1311BC03">
            <w:pPr>
              <w:pStyle w:val="33"/>
              <w:rPr>
                <w:color w:val="auto"/>
              </w:rPr>
            </w:pPr>
          </w:p>
        </w:tc>
        <w:tc>
          <w:tcPr>
            <w:tcW w:w="771" w:type="pct"/>
            <w:vAlign w:val="center"/>
          </w:tcPr>
          <w:p w14:paraId="2A668513">
            <w:pPr>
              <w:pStyle w:val="33"/>
              <w:rPr>
                <w:color w:val="auto"/>
              </w:rPr>
            </w:pPr>
            <w:r>
              <w:rPr>
                <w:color w:val="auto"/>
              </w:rPr>
              <w:t>碳酸钙</w:t>
            </w:r>
          </w:p>
        </w:tc>
        <w:tc>
          <w:tcPr>
            <w:tcW w:w="771" w:type="pct"/>
            <w:vAlign w:val="center"/>
          </w:tcPr>
          <w:p w14:paraId="3A0BF668">
            <w:pPr>
              <w:pStyle w:val="33"/>
              <w:rPr>
                <w:color w:val="auto"/>
              </w:rPr>
            </w:pPr>
            <w:r>
              <w:rPr>
                <w:color w:val="auto"/>
              </w:rPr>
              <w:t>kg/t纸</w:t>
            </w:r>
          </w:p>
        </w:tc>
        <w:tc>
          <w:tcPr>
            <w:tcW w:w="406" w:type="pct"/>
            <w:vAlign w:val="center"/>
          </w:tcPr>
          <w:p w14:paraId="77F8B8B6">
            <w:pPr>
              <w:pStyle w:val="33"/>
              <w:rPr>
                <w:color w:val="auto"/>
              </w:rPr>
            </w:pPr>
            <w:r>
              <w:rPr>
                <w:color w:val="auto"/>
              </w:rPr>
              <w:t>150</w:t>
            </w:r>
          </w:p>
        </w:tc>
        <w:tc>
          <w:tcPr>
            <w:tcW w:w="501" w:type="pct"/>
            <w:vAlign w:val="center"/>
          </w:tcPr>
          <w:p w14:paraId="1BD32285">
            <w:pPr>
              <w:pStyle w:val="33"/>
              <w:rPr>
                <w:color w:val="auto"/>
              </w:rPr>
            </w:pPr>
            <w:r>
              <w:rPr>
                <w:color w:val="auto"/>
              </w:rPr>
              <w:t>万t/a</w:t>
            </w:r>
          </w:p>
        </w:tc>
        <w:tc>
          <w:tcPr>
            <w:tcW w:w="542" w:type="pct"/>
            <w:vAlign w:val="center"/>
          </w:tcPr>
          <w:p w14:paraId="0DDFFA4C">
            <w:pPr>
              <w:pStyle w:val="33"/>
              <w:rPr>
                <w:color w:val="auto"/>
              </w:rPr>
            </w:pPr>
            <w:r>
              <w:rPr>
                <w:color w:val="auto"/>
              </w:rPr>
              <w:t>13.50</w:t>
            </w:r>
          </w:p>
        </w:tc>
        <w:tc>
          <w:tcPr>
            <w:tcW w:w="1084" w:type="pct"/>
            <w:vAlign w:val="center"/>
          </w:tcPr>
          <w:p w14:paraId="6491EF01">
            <w:pPr>
              <w:pStyle w:val="33"/>
              <w:rPr>
                <w:color w:val="auto"/>
              </w:rPr>
            </w:pPr>
            <w:r>
              <w:rPr>
                <w:color w:val="auto"/>
              </w:rPr>
              <w:t>外购</w:t>
            </w:r>
          </w:p>
        </w:tc>
      </w:tr>
      <w:tr w14:paraId="6C0964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29E7A82">
            <w:pPr>
              <w:pStyle w:val="33"/>
              <w:rPr>
                <w:color w:val="auto"/>
              </w:rPr>
            </w:pPr>
            <w:r>
              <w:rPr>
                <w:rFonts w:hint="eastAsia"/>
                <w:color w:val="auto"/>
              </w:rPr>
              <w:t>33</w:t>
            </w:r>
          </w:p>
        </w:tc>
        <w:tc>
          <w:tcPr>
            <w:tcW w:w="690" w:type="pct"/>
            <w:vMerge w:val="continue"/>
            <w:vAlign w:val="center"/>
          </w:tcPr>
          <w:p w14:paraId="74CEB90C">
            <w:pPr>
              <w:pStyle w:val="33"/>
              <w:rPr>
                <w:color w:val="auto"/>
              </w:rPr>
            </w:pPr>
          </w:p>
        </w:tc>
        <w:tc>
          <w:tcPr>
            <w:tcW w:w="771" w:type="pct"/>
            <w:vAlign w:val="center"/>
          </w:tcPr>
          <w:p w14:paraId="399DE9CF">
            <w:pPr>
              <w:pStyle w:val="33"/>
              <w:rPr>
                <w:color w:val="auto"/>
              </w:rPr>
            </w:pPr>
            <w:r>
              <w:rPr>
                <w:color w:val="auto"/>
              </w:rPr>
              <w:t>滑石粉</w:t>
            </w:r>
          </w:p>
        </w:tc>
        <w:tc>
          <w:tcPr>
            <w:tcW w:w="771" w:type="pct"/>
            <w:vAlign w:val="center"/>
          </w:tcPr>
          <w:p w14:paraId="7A1F8C21">
            <w:pPr>
              <w:pStyle w:val="33"/>
              <w:rPr>
                <w:color w:val="auto"/>
              </w:rPr>
            </w:pPr>
            <w:r>
              <w:rPr>
                <w:color w:val="auto"/>
              </w:rPr>
              <w:t>kg/t纸</w:t>
            </w:r>
          </w:p>
        </w:tc>
        <w:tc>
          <w:tcPr>
            <w:tcW w:w="406" w:type="pct"/>
            <w:vAlign w:val="center"/>
          </w:tcPr>
          <w:p w14:paraId="274FB757">
            <w:pPr>
              <w:pStyle w:val="33"/>
              <w:rPr>
                <w:color w:val="auto"/>
              </w:rPr>
            </w:pPr>
            <w:r>
              <w:rPr>
                <w:color w:val="auto"/>
              </w:rPr>
              <w:t>25</w:t>
            </w:r>
          </w:p>
        </w:tc>
        <w:tc>
          <w:tcPr>
            <w:tcW w:w="501" w:type="pct"/>
            <w:vAlign w:val="center"/>
          </w:tcPr>
          <w:p w14:paraId="38394711">
            <w:pPr>
              <w:pStyle w:val="33"/>
              <w:rPr>
                <w:color w:val="auto"/>
              </w:rPr>
            </w:pPr>
            <w:r>
              <w:rPr>
                <w:color w:val="auto"/>
              </w:rPr>
              <w:t>万t/a</w:t>
            </w:r>
          </w:p>
        </w:tc>
        <w:tc>
          <w:tcPr>
            <w:tcW w:w="542" w:type="pct"/>
            <w:vAlign w:val="center"/>
          </w:tcPr>
          <w:p w14:paraId="08683570">
            <w:pPr>
              <w:pStyle w:val="33"/>
              <w:rPr>
                <w:color w:val="auto"/>
              </w:rPr>
            </w:pPr>
            <w:r>
              <w:rPr>
                <w:color w:val="auto"/>
              </w:rPr>
              <w:t>2.25</w:t>
            </w:r>
          </w:p>
        </w:tc>
        <w:tc>
          <w:tcPr>
            <w:tcW w:w="1084" w:type="pct"/>
            <w:vAlign w:val="center"/>
          </w:tcPr>
          <w:p w14:paraId="20D6D07F">
            <w:pPr>
              <w:pStyle w:val="33"/>
              <w:rPr>
                <w:color w:val="auto"/>
              </w:rPr>
            </w:pPr>
            <w:r>
              <w:rPr>
                <w:color w:val="auto"/>
              </w:rPr>
              <w:t>外购</w:t>
            </w:r>
          </w:p>
        </w:tc>
      </w:tr>
      <w:tr w14:paraId="5ED1A5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F63CCA4">
            <w:pPr>
              <w:pStyle w:val="33"/>
              <w:rPr>
                <w:color w:val="auto"/>
              </w:rPr>
            </w:pPr>
            <w:r>
              <w:rPr>
                <w:rFonts w:hint="eastAsia"/>
                <w:color w:val="auto"/>
              </w:rPr>
              <w:t>34</w:t>
            </w:r>
          </w:p>
        </w:tc>
        <w:tc>
          <w:tcPr>
            <w:tcW w:w="690" w:type="pct"/>
            <w:vMerge w:val="continue"/>
            <w:vAlign w:val="center"/>
          </w:tcPr>
          <w:p w14:paraId="72AE91CE">
            <w:pPr>
              <w:pStyle w:val="33"/>
              <w:rPr>
                <w:color w:val="auto"/>
              </w:rPr>
            </w:pPr>
          </w:p>
        </w:tc>
        <w:tc>
          <w:tcPr>
            <w:tcW w:w="771" w:type="pct"/>
            <w:vAlign w:val="center"/>
          </w:tcPr>
          <w:p w14:paraId="2E1C910F">
            <w:pPr>
              <w:pStyle w:val="33"/>
              <w:rPr>
                <w:color w:val="auto"/>
              </w:rPr>
            </w:pPr>
            <w:r>
              <w:rPr>
                <w:color w:val="auto"/>
              </w:rPr>
              <w:t>胶乳</w:t>
            </w:r>
          </w:p>
        </w:tc>
        <w:tc>
          <w:tcPr>
            <w:tcW w:w="771" w:type="pct"/>
            <w:vAlign w:val="center"/>
          </w:tcPr>
          <w:p w14:paraId="18F5C4CB">
            <w:pPr>
              <w:pStyle w:val="33"/>
              <w:rPr>
                <w:color w:val="auto"/>
              </w:rPr>
            </w:pPr>
            <w:r>
              <w:rPr>
                <w:color w:val="auto"/>
              </w:rPr>
              <w:t>kg/t纸</w:t>
            </w:r>
          </w:p>
        </w:tc>
        <w:tc>
          <w:tcPr>
            <w:tcW w:w="406" w:type="pct"/>
            <w:vAlign w:val="center"/>
          </w:tcPr>
          <w:p w14:paraId="278B5925">
            <w:pPr>
              <w:pStyle w:val="33"/>
              <w:rPr>
                <w:color w:val="auto"/>
              </w:rPr>
            </w:pPr>
            <w:r>
              <w:rPr>
                <w:color w:val="auto"/>
              </w:rPr>
              <w:t>25</w:t>
            </w:r>
          </w:p>
        </w:tc>
        <w:tc>
          <w:tcPr>
            <w:tcW w:w="501" w:type="pct"/>
            <w:vAlign w:val="center"/>
          </w:tcPr>
          <w:p w14:paraId="27E7992A">
            <w:pPr>
              <w:pStyle w:val="33"/>
              <w:rPr>
                <w:color w:val="auto"/>
              </w:rPr>
            </w:pPr>
            <w:r>
              <w:rPr>
                <w:color w:val="auto"/>
              </w:rPr>
              <w:t>万t/a</w:t>
            </w:r>
          </w:p>
        </w:tc>
        <w:tc>
          <w:tcPr>
            <w:tcW w:w="542" w:type="pct"/>
            <w:vAlign w:val="center"/>
          </w:tcPr>
          <w:p w14:paraId="7AEBA6FD">
            <w:pPr>
              <w:pStyle w:val="33"/>
              <w:rPr>
                <w:color w:val="auto"/>
              </w:rPr>
            </w:pPr>
            <w:r>
              <w:rPr>
                <w:color w:val="auto"/>
              </w:rPr>
              <w:t>2.25</w:t>
            </w:r>
          </w:p>
        </w:tc>
        <w:tc>
          <w:tcPr>
            <w:tcW w:w="1084" w:type="pct"/>
            <w:vAlign w:val="center"/>
          </w:tcPr>
          <w:p w14:paraId="3D7223BC">
            <w:pPr>
              <w:pStyle w:val="33"/>
              <w:rPr>
                <w:color w:val="auto"/>
              </w:rPr>
            </w:pPr>
            <w:r>
              <w:rPr>
                <w:color w:val="auto"/>
              </w:rPr>
              <w:t>外购</w:t>
            </w:r>
          </w:p>
        </w:tc>
      </w:tr>
      <w:tr w14:paraId="79C93E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BC56241">
            <w:pPr>
              <w:pStyle w:val="33"/>
              <w:rPr>
                <w:color w:val="auto"/>
              </w:rPr>
            </w:pPr>
            <w:r>
              <w:rPr>
                <w:rFonts w:hint="eastAsia"/>
                <w:color w:val="auto"/>
              </w:rPr>
              <w:t>35</w:t>
            </w:r>
          </w:p>
        </w:tc>
        <w:tc>
          <w:tcPr>
            <w:tcW w:w="690" w:type="pct"/>
            <w:vMerge w:val="continue"/>
            <w:vAlign w:val="center"/>
          </w:tcPr>
          <w:p w14:paraId="4E572EE7">
            <w:pPr>
              <w:pStyle w:val="33"/>
              <w:rPr>
                <w:color w:val="auto"/>
              </w:rPr>
            </w:pPr>
          </w:p>
        </w:tc>
        <w:tc>
          <w:tcPr>
            <w:tcW w:w="771" w:type="pct"/>
            <w:vAlign w:val="center"/>
          </w:tcPr>
          <w:p w14:paraId="01AF4537">
            <w:pPr>
              <w:pStyle w:val="33"/>
              <w:rPr>
                <w:color w:val="auto"/>
              </w:rPr>
            </w:pPr>
            <w:r>
              <w:rPr>
                <w:color w:val="auto"/>
              </w:rPr>
              <w:t>氧化淀粉</w:t>
            </w:r>
          </w:p>
        </w:tc>
        <w:tc>
          <w:tcPr>
            <w:tcW w:w="771" w:type="pct"/>
            <w:vAlign w:val="center"/>
          </w:tcPr>
          <w:p w14:paraId="3BFEF4AC">
            <w:pPr>
              <w:pStyle w:val="33"/>
              <w:rPr>
                <w:color w:val="auto"/>
              </w:rPr>
            </w:pPr>
            <w:r>
              <w:rPr>
                <w:color w:val="auto"/>
              </w:rPr>
              <w:t>kg/t纸</w:t>
            </w:r>
          </w:p>
        </w:tc>
        <w:tc>
          <w:tcPr>
            <w:tcW w:w="406" w:type="pct"/>
            <w:vAlign w:val="center"/>
          </w:tcPr>
          <w:p w14:paraId="3EFD2BF9">
            <w:pPr>
              <w:pStyle w:val="33"/>
              <w:rPr>
                <w:color w:val="auto"/>
              </w:rPr>
            </w:pPr>
            <w:r>
              <w:rPr>
                <w:color w:val="auto"/>
              </w:rPr>
              <w:t>7</w:t>
            </w:r>
          </w:p>
        </w:tc>
        <w:tc>
          <w:tcPr>
            <w:tcW w:w="501" w:type="pct"/>
            <w:vAlign w:val="center"/>
          </w:tcPr>
          <w:p w14:paraId="118CD6DC">
            <w:pPr>
              <w:pStyle w:val="33"/>
              <w:rPr>
                <w:color w:val="auto"/>
              </w:rPr>
            </w:pPr>
            <w:r>
              <w:rPr>
                <w:color w:val="auto"/>
              </w:rPr>
              <w:t>万t/a</w:t>
            </w:r>
          </w:p>
        </w:tc>
        <w:tc>
          <w:tcPr>
            <w:tcW w:w="542" w:type="pct"/>
            <w:vAlign w:val="center"/>
          </w:tcPr>
          <w:p w14:paraId="631B82DF">
            <w:pPr>
              <w:pStyle w:val="33"/>
              <w:rPr>
                <w:color w:val="auto"/>
              </w:rPr>
            </w:pPr>
            <w:r>
              <w:rPr>
                <w:color w:val="auto"/>
              </w:rPr>
              <w:t>0.63</w:t>
            </w:r>
          </w:p>
        </w:tc>
        <w:tc>
          <w:tcPr>
            <w:tcW w:w="1084" w:type="pct"/>
            <w:vAlign w:val="center"/>
          </w:tcPr>
          <w:p w14:paraId="317893C2">
            <w:pPr>
              <w:pStyle w:val="33"/>
              <w:rPr>
                <w:color w:val="auto"/>
              </w:rPr>
            </w:pPr>
            <w:r>
              <w:rPr>
                <w:color w:val="auto"/>
              </w:rPr>
              <w:t>外购</w:t>
            </w:r>
          </w:p>
        </w:tc>
      </w:tr>
      <w:tr w14:paraId="6E7F18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87A7F89">
            <w:pPr>
              <w:pStyle w:val="33"/>
              <w:rPr>
                <w:color w:val="auto"/>
              </w:rPr>
            </w:pPr>
            <w:r>
              <w:rPr>
                <w:rFonts w:hint="eastAsia"/>
                <w:color w:val="auto"/>
              </w:rPr>
              <w:t>36</w:t>
            </w:r>
          </w:p>
        </w:tc>
        <w:tc>
          <w:tcPr>
            <w:tcW w:w="690" w:type="pct"/>
            <w:vMerge w:val="continue"/>
            <w:vAlign w:val="center"/>
          </w:tcPr>
          <w:p w14:paraId="4E7B6E6E">
            <w:pPr>
              <w:pStyle w:val="33"/>
              <w:rPr>
                <w:color w:val="auto"/>
              </w:rPr>
            </w:pPr>
          </w:p>
        </w:tc>
        <w:tc>
          <w:tcPr>
            <w:tcW w:w="771" w:type="pct"/>
            <w:vAlign w:val="center"/>
          </w:tcPr>
          <w:p w14:paraId="70484C9F">
            <w:pPr>
              <w:pStyle w:val="33"/>
              <w:rPr>
                <w:color w:val="auto"/>
              </w:rPr>
            </w:pPr>
            <w:r>
              <w:rPr>
                <w:color w:val="auto"/>
              </w:rPr>
              <w:t>阳离子淀粉</w:t>
            </w:r>
          </w:p>
        </w:tc>
        <w:tc>
          <w:tcPr>
            <w:tcW w:w="771" w:type="pct"/>
            <w:vAlign w:val="center"/>
          </w:tcPr>
          <w:p w14:paraId="20B067B9">
            <w:pPr>
              <w:pStyle w:val="33"/>
              <w:rPr>
                <w:color w:val="auto"/>
              </w:rPr>
            </w:pPr>
            <w:r>
              <w:rPr>
                <w:color w:val="auto"/>
              </w:rPr>
              <w:t>kg/t纸</w:t>
            </w:r>
          </w:p>
        </w:tc>
        <w:tc>
          <w:tcPr>
            <w:tcW w:w="406" w:type="pct"/>
            <w:vAlign w:val="center"/>
          </w:tcPr>
          <w:p w14:paraId="2A87F6B4">
            <w:pPr>
              <w:pStyle w:val="33"/>
              <w:rPr>
                <w:color w:val="auto"/>
              </w:rPr>
            </w:pPr>
            <w:r>
              <w:rPr>
                <w:color w:val="auto"/>
              </w:rPr>
              <w:t>15</w:t>
            </w:r>
          </w:p>
        </w:tc>
        <w:tc>
          <w:tcPr>
            <w:tcW w:w="501" w:type="pct"/>
            <w:vAlign w:val="center"/>
          </w:tcPr>
          <w:p w14:paraId="3D1030B5">
            <w:pPr>
              <w:pStyle w:val="33"/>
              <w:rPr>
                <w:color w:val="auto"/>
              </w:rPr>
            </w:pPr>
            <w:r>
              <w:rPr>
                <w:color w:val="auto"/>
              </w:rPr>
              <w:t>万t/a</w:t>
            </w:r>
          </w:p>
        </w:tc>
        <w:tc>
          <w:tcPr>
            <w:tcW w:w="542" w:type="pct"/>
            <w:vAlign w:val="center"/>
          </w:tcPr>
          <w:p w14:paraId="31295703">
            <w:pPr>
              <w:pStyle w:val="33"/>
              <w:rPr>
                <w:color w:val="auto"/>
              </w:rPr>
            </w:pPr>
            <w:r>
              <w:rPr>
                <w:color w:val="auto"/>
              </w:rPr>
              <w:t>1.35</w:t>
            </w:r>
          </w:p>
        </w:tc>
        <w:tc>
          <w:tcPr>
            <w:tcW w:w="1084" w:type="pct"/>
            <w:vAlign w:val="center"/>
          </w:tcPr>
          <w:p w14:paraId="19FBDDF7">
            <w:pPr>
              <w:pStyle w:val="33"/>
              <w:rPr>
                <w:color w:val="auto"/>
              </w:rPr>
            </w:pPr>
            <w:r>
              <w:rPr>
                <w:color w:val="auto"/>
              </w:rPr>
              <w:t>外购</w:t>
            </w:r>
          </w:p>
        </w:tc>
      </w:tr>
      <w:tr w14:paraId="1BBF1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CD55949">
            <w:pPr>
              <w:pStyle w:val="33"/>
              <w:rPr>
                <w:color w:val="auto"/>
              </w:rPr>
            </w:pPr>
            <w:r>
              <w:rPr>
                <w:rFonts w:hint="eastAsia"/>
                <w:color w:val="auto"/>
              </w:rPr>
              <w:t>37</w:t>
            </w:r>
          </w:p>
        </w:tc>
        <w:tc>
          <w:tcPr>
            <w:tcW w:w="690" w:type="pct"/>
            <w:vMerge w:val="continue"/>
            <w:vAlign w:val="center"/>
          </w:tcPr>
          <w:p w14:paraId="3FCF0848">
            <w:pPr>
              <w:pStyle w:val="33"/>
              <w:rPr>
                <w:color w:val="auto"/>
              </w:rPr>
            </w:pPr>
          </w:p>
        </w:tc>
        <w:tc>
          <w:tcPr>
            <w:tcW w:w="771" w:type="pct"/>
            <w:vAlign w:val="center"/>
          </w:tcPr>
          <w:p w14:paraId="047D85EE">
            <w:pPr>
              <w:pStyle w:val="33"/>
              <w:rPr>
                <w:color w:val="auto"/>
              </w:rPr>
            </w:pPr>
            <w:r>
              <w:rPr>
                <w:color w:val="auto"/>
              </w:rPr>
              <w:t>硫酸铝</w:t>
            </w:r>
          </w:p>
        </w:tc>
        <w:tc>
          <w:tcPr>
            <w:tcW w:w="771" w:type="pct"/>
            <w:vAlign w:val="center"/>
          </w:tcPr>
          <w:p w14:paraId="5E87B1C8">
            <w:pPr>
              <w:pStyle w:val="33"/>
              <w:rPr>
                <w:color w:val="auto"/>
              </w:rPr>
            </w:pPr>
            <w:r>
              <w:rPr>
                <w:color w:val="auto"/>
              </w:rPr>
              <w:t>kg/t纸</w:t>
            </w:r>
          </w:p>
        </w:tc>
        <w:tc>
          <w:tcPr>
            <w:tcW w:w="406" w:type="pct"/>
            <w:vAlign w:val="center"/>
          </w:tcPr>
          <w:p w14:paraId="16BC39F3">
            <w:pPr>
              <w:pStyle w:val="33"/>
              <w:rPr>
                <w:color w:val="auto"/>
              </w:rPr>
            </w:pPr>
            <w:r>
              <w:rPr>
                <w:color w:val="auto"/>
              </w:rPr>
              <w:t>25</w:t>
            </w:r>
          </w:p>
        </w:tc>
        <w:tc>
          <w:tcPr>
            <w:tcW w:w="501" w:type="pct"/>
            <w:vAlign w:val="center"/>
          </w:tcPr>
          <w:p w14:paraId="4E07CF28">
            <w:pPr>
              <w:pStyle w:val="33"/>
              <w:rPr>
                <w:color w:val="auto"/>
              </w:rPr>
            </w:pPr>
            <w:r>
              <w:rPr>
                <w:color w:val="auto"/>
              </w:rPr>
              <w:t>万t/a</w:t>
            </w:r>
          </w:p>
        </w:tc>
        <w:tc>
          <w:tcPr>
            <w:tcW w:w="542" w:type="pct"/>
            <w:vAlign w:val="center"/>
          </w:tcPr>
          <w:p w14:paraId="1CA30DFF">
            <w:pPr>
              <w:pStyle w:val="33"/>
              <w:rPr>
                <w:color w:val="auto"/>
              </w:rPr>
            </w:pPr>
            <w:r>
              <w:rPr>
                <w:color w:val="auto"/>
              </w:rPr>
              <w:t>2.25</w:t>
            </w:r>
          </w:p>
        </w:tc>
        <w:tc>
          <w:tcPr>
            <w:tcW w:w="1084" w:type="pct"/>
            <w:vAlign w:val="center"/>
          </w:tcPr>
          <w:p w14:paraId="365CA8A8">
            <w:pPr>
              <w:pStyle w:val="33"/>
              <w:rPr>
                <w:color w:val="auto"/>
              </w:rPr>
            </w:pPr>
            <w:r>
              <w:rPr>
                <w:color w:val="auto"/>
              </w:rPr>
              <w:t>外购</w:t>
            </w:r>
          </w:p>
        </w:tc>
      </w:tr>
      <w:tr w14:paraId="008673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CFAA38E">
            <w:pPr>
              <w:pStyle w:val="33"/>
              <w:rPr>
                <w:color w:val="auto"/>
              </w:rPr>
            </w:pPr>
            <w:r>
              <w:rPr>
                <w:rFonts w:hint="eastAsia"/>
                <w:color w:val="auto"/>
              </w:rPr>
              <w:t>38</w:t>
            </w:r>
          </w:p>
        </w:tc>
        <w:tc>
          <w:tcPr>
            <w:tcW w:w="690" w:type="pct"/>
            <w:vMerge w:val="continue"/>
            <w:vAlign w:val="center"/>
          </w:tcPr>
          <w:p w14:paraId="0661422D">
            <w:pPr>
              <w:pStyle w:val="33"/>
              <w:rPr>
                <w:color w:val="auto"/>
              </w:rPr>
            </w:pPr>
          </w:p>
        </w:tc>
        <w:tc>
          <w:tcPr>
            <w:tcW w:w="771" w:type="pct"/>
            <w:vAlign w:val="center"/>
          </w:tcPr>
          <w:p w14:paraId="5C3465AE">
            <w:pPr>
              <w:pStyle w:val="33"/>
              <w:rPr>
                <w:color w:val="auto"/>
              </w:rPr>
            </w:pPr>
            <w:r>
              <w:rPr>
                <w:color w:val="auto"/>
              </w:rPr>
              <w:t>松香</w:t>
            </w:r>
          </w:p>
        </w:tc>
        <w:tc>
          <w:tcPr>
            <w:tcW w:w="771" w:type="pct"/>
            <w:vAlign w:val="center"/>
          </w:tcPr>
          <w:p w14:paraId="612D99ED">
            <w:pPr>
              <w:pStyle w:val="33"/>
              <w:rPr>
                <w:color w:val="auto"/>
              </w:rPr>
            </w:pPr>
            <w:r>
              <w:rPr>
                <w:color w:val="auto"/>
              </w:rPr>
              <w:t>kg/t纸</w:t>
            </w:r>
          </w:p>
        </w:tc>
        <w:tc>
          <w:tcPr>
            <w:tcW w:w="406" w:type="pct"/>
            <w:vAlign w:val="center"/>
          </w:tcPr>
          <w:p w14:paraId="2D771182">
            <w:pPr>
              <w:pStyle w:val="33"/>
              <w:rPr>
                <w:color w:val="auto"/>
              </w:rPr>
            </w:pPr>
            <w:r>
              <w:rPr>
                <w:color w:val="auto"/>
              </w:rPr>
              <w:t>25</w:t>
            </w:r>
          </w:p>
        </w:tc>
        <w:tc>
          <w:tcPr>
            <w:tcW w:w="501" w:type="pct"/>
            <w:vAlign w:val="center"/>
          </w:tcPr>
          <w:p w14:paraId="4BE77E18">
            <w:pPr>
              <w:pStyle w:val="33"/>
              <w:rPr>
                <w:color w:val="auto"/>
              </w:rPr>
            </w:pPr>
            <w:r>
              <w:rPr>
                <w:color w:val="auto"/>
              </w:rPr>
              <w:t>万t/a</w:t>
            </w:r>
          </w:p>
        </w:tc>
        <w:tc>
          <w:tcPr>
            <w:tcW w:w="542" w:type="pct"/>
            <w:vAlign w:val="center"/>
          </w:tcPr>
          <w:p w14:paraId="0ADD3EB5">
            <w:pPr>
              <w:pStyle w:val="33"/>
              <w:rPr>
                <w:color w:val="auto"/>
              </w:rPr>
            </w:pPr>
            <w:r>
              <w:rPr>
                <w:color w:val="auto"/>
              </w:rPr>
              <w:t>2.25</w:t>
            </w:r>
          </w:p>
        </w:tc>
        <w:tc>
          <w:tcPr>
            <w:tcW w:w="1084" w:type="pct"/>
            <w:vAlign w:val="center"/>
          </w:tcPr>
          <w:p w14:paraId="64BB4D04">
            <w:pPr>
              <w:pStyle w:val="33"/>
              <w:rPr>
                <w:color w:val="auto"/>
              </w:rPr>
            </w:pPr>
            <w:r>
              <w:rPr>
                <w:color w:val="auto"/>
              </w:rPr>
              <w:t>外购</w:t>
            </w:r>
          </w:p>
        </w:tc>
      </w:tr>
      <w:tr w14:paraId="44EB10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0FDBF05">
            <w:pPr>
              <w:pStyle w:val="33"/>
              <w:rPr>
                <w:color w:val="auto"/>
              </w:rPr>
            </w:pPr>
            <w:r>
              <w:rPr>
                <w:rFonts w:hint="eastAsia"/>
                <w:color w:val="auto"/>
              </w:rPr>
              <w:t>39</w:t>
            </w:r>
          </w:p>
        </w:tc>
        <w:tc>
          <w:tcPr>
            <w:tcW w:w="690" w:type="pct"/>
            <w:vMerge w:val="continue"/>
            <w:vAlign w:val="center"/>
          </w:tcPr>
          <w:p w14:paraId="619600B3">
            <w:pPr>
              <w:pStyle w:val="33"/>
              <w:rPr>
                <w:color w:val="auto"/>
              </w:rPr>
            </w:pPr>
          </w:p>
        </w:tc>
        <w:tc>
          <w:tcPr>
            <w:tcW w:w="771" w:type="pct"/>
            <w:vAlign w:val="center"/>
          </w:tcPr>
          <w:p w14:paraId="52A5CF2F">
            <w:pPr>
              <w:pStyle w:val="33"/>
              <w:rPr>
                <w:color w:val="auto"/>
              </w:rPr>
            </w:pPr>
            <w:r>
              <w:rPr>
                <w:color w:val="auto"/>
              </w:rPr>
              <w:t>羧甲基纤维素（CMC）</w:t>
            </w:r>
          </w:p>
        </w:tc>
        <w:tc>
          <w:tcPr>
            <w:tcW w:w="771" w:type="pct"/>
            <w:vAlign w:val="center"/>
          </w:tcPr>
          <w:p w14:paraId="3E0A1717">
            <w:pPr>
              <w:pStyle w:val="33"/>
              <w:rPr>
                <w:color w:val="auto"/>
              </w:rPr>
            </w:pPr>
            <w:r>
              <w:rPr>
                <w:color w:val="auto"/>
              </w:rPr>
              <w:t>kg/t纸</w:t>
            </w:r>
          </w:p>
        </w:tc>
        <w:tc>
          <w:tcPr>
            <w:tcW w:w="406" w:type="pct"/>
            <w:vAlign w:val="center"/>
          </w:tcPr>
          <w:p w14:paraId="24249F1B">
            <w:pPr>
              <w:pStyle w:val="33"/>
              <w:rPr>
                <w:color w:val="auto"/>
              </w:rPr>
            </w:pPr>
            <w:r>
              <w:rPr>
                <w:color w:val="auto"/>
              </w:rPr>
              <w:t>0.55</w:t>
            </w:r>
          </w:p>
        </w:tc>
        <w:tc>
          <w:tcPr>
            <w:tcW w:w="501" w:type="pct"/>
            <w:vAlign w:val="center"/>
          </w:tcPr>
          <w:p w14:paraId="2BF888CE">
            <w:pPr>
              <w:pStyle w:val="33"/>
              <w:rPr>
                <w:color w:val="auto"/>
              </w:rPr>
            </w:pPr>
            <w:r>
              <w:rPr>
                <w:color w:val="auto"/>
              </w:rPr>
              <w:t>t/a</w:t>
            </w:r>
          </w:p>
        </w:tc>
        <w:tc>
          <w:tcPr>
            <w:tcW w:w="542" w:type="pct"/>
            <w:vAlign w:val="center"/>
          </w:tcPr>
          <w:p w14:paraId="78A510F0">
            <w:pPr>
              <w:pStyle w:val="33"/>
              <w:rPr>
                <w:color w:val="auto"/>
              </w:rPr>
            </w:pPr>
            <w:r>
              <w:rPr>
                <w:color w:val="auto"/>
              </w:rPr>
              <w:t>495</w:t>
            </w:r>
          </w:p>
        </w:tc>
        <w:tc>
          <w:tcPr>
            <w:tcW w:w="1084" w:type="pct"/>
            <w:vAlign w:val="center"/>
          </w:tcPr>
          <w:p w14:paraId="6F87B9AD">
            <w:pPr>
              <w:pStyle w:val="33"/>
              <w:rPr>
                <w:color w:val="auto"/>
              </w:rPr>
            </w:pPr>
            <w:r>
              <w:rPr>
                <w:color w:val="auto"/>
              </w:rPr>
              <w:t>外购</w:t>
            </w:r>
          </w:p>
        </w:tc>
      </w:tr>
      <w:tr w14:paraId="0EDA32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8EB3C7A">
            <w:pPr>
              <w:pStyle w:val="33"/>
              <w:rPr>
                <w:color w:val="auto"/>
              </w:rPr>
            </w:pPr>
            <w:r>
              <w:rPr>
                <w:rFonts w:hint="eastAsia"/>
                <w:color w:val="auto"/>
              </w:rPr>
              <w:t>40</w:t>
            </w:r>
          </w:p>
        </w:tc>
        <w:tc>
          <w:tcPr>
            <w:tcW w:w="690" w:type="pct"/>
            <w:vMerge w:val="continue"/>
            <w:vAlign w:val="center"/>
          </w:tcPr>
          <w:p w14:paraId="437BCB51">
            <w:pPr>
              <w:pStyle w:val="33"/>
              <w:rPr>
                <w:color w:val="auto"/>
              </w:rPr>
            </w:pPr>
          </w:p>
        </w:tc>
        <w:tc>
          <w:tcPr>
            <w:tcW w:w="771" w:type="pct"/>
            <w:vAlign w:val="center"/>
          </w:tcPr>
          <w:p w14:paraId="7F33C8B3">
            <w:pPr>
              <w:pStyle w:val="33"/>
              <w:rPr>
                <w:color w:val="auto"/>
              </w:rPr>
            </w:pPr>
            <w:r>
              <w:rPr>
                <w:color w:val="auto"/>
              </w:rPr>
              <w:t>消泡剂</w:t>
            </w:r>
          </w:p>
        </w:tc>
        <w:tc>
          <w:tcPr>
            <w:tcW w:w="771" w:type="pct"/>
            <w:vAlign w:val="center"/>
          </w:tcPr>
          <w:p w14:paraId="00A778E9">
            <w:pPr>
              <w:pStyle w:val="33"/>
              <w:rPr>
                <w:color w:val="auto"/>
              </w:rPr>
            </w:pPr>
            <w:r>
              <w:rPr>
                <w:color w:val="auto"/>
              </w:rPr>
              <w:t>kg/t纸</w:t>
            </w:r>
          </w:p>
        </w:tc>
        <w:tc>
          <w:tcPr>
            <w:tcW w:w="406" w:type="pct"/>
            <w:vAlign w:val="center"/>
          </w:tcPr>
          <w:p w14:paraId="33D63C1E">
            <w:pPr>
              <w:pStyle w:val="33"/>
              <w:rPr>
                <w:color w:val="auto"/>
              </w:rPr>
            </w:pPr>
            <w:r>
              <w:rPr>
                <w:color w:val="auto"/>
              </w:rPr>
              <w:t>0.25</w:t>
            </w:r>
          </w:p>
        </w:tc>
        <w:tc>
          <w:tcPr>
            <w:tcW w:w="501" w:type="pct"/>
            <w:vAlign w:val="center"/>
          </w:tcPr>
          <w:p w14:paraId="3CCD0A97">
            <w:pPr>
              <w:pStyle w:val="33"/>
              <w:rPr>
                <w:color w:val="auto"/>
              </w:rPr>
            </w:pPr>
            <w:r>
              <w:rPr>
                <w:color w:val="auto"/>
              </w:rPr>
              <w:t>t/a</w:t>
            </w:r>
          </w:p>
        </w:tc>
        <w:tc>
          <w:tcPr>
            <w:tcW w:w="542" w:type="pct"/>
            <w:vAlign w:val="center"/>
          </w:tcPr>
          <w:p w14:paraId="211C10F8">
            <w:pPr>
              <w:pStyle w:val="33"/>
              <w:rPr>
                <w:color w:val="auto"/>
              </w:rPr>
            </w:pPr>
            <w:r>
              <w:rPr>
                <w:color w:val="auto"/>
              </w:rPr>
              <w:t>225</w:t>
            </w:r>
          </w:p>
        </w:tc>
        <w:tc>
          <w:tcPr>
            <w:tcW w:w="1084" w:type="pct"/>
            <w:vAlign w:val="center"/>
          </w:tcPr>
          <w:p w14:paraId="4CC3CE9D">
            <w:pPr>
              <w:pStyle w:val="33"/>
              <w:rPr>
                <w:color w:val="auto"/>
              </w:rPr>
            </w:pPr>
            <w:r>
              <w:rPr>
                <w:color w:val="auto"/>
              </w:rPr>
              <w:t>外购</w:t>
            </w:r>
          </w:p>
        </w:tc>
      </w:tr>
      <w:tr w14:paraId="0ACB70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3D7084A">
            <w:pPr>
              <w:pStyle w:val="33"/>
              <w:rPr>
                <w:color w:val="auto"/>
              </w:rPr>
            </w:pPr>
            <w:r>
              <w:rPr>
                <w:rFonts w:hint="eastAsia"/>
                <w:color w:val="auto"/>
              </w:rPr>
              <w:t>41</w:t>
            </w:r>
          </w:p>
        </w:tc>
        <w:tc>
          <w:tcPr>
            <w:tcW w:w="690" w:type="pct"/>
            <w:vMerge w:val="continue"/>
            <w:vAlign w:val="center"/>
          </w:tcPr>
          <w:p w14:paraId="4B65D8DF">
            <w:pPr>
              <w:pStyle w:val="33"/>
              <w:rPr>
                <w:color w:val="auto"/>
              </w:rPr>
            </w:pPr>
          </w:p>
        </w:tc>
        <w:tc>
          <w:tcPr>
            <w:tcW w:w="771" w:type="pct"/>
            <w:vAlign w:val="center"/>
          </w:tcPr>
          <w:p w14:paraId="1D3DC29F">
            <w:pPr>
              <w:pStyle w:val="33"/>
              <w:rPr>
                <w:color w:val="auto"/>
              </w:rPr>
            </w:pPr>
            <w:r>
              <w:rPr>
                <w:color w:val="auto"/>
              </w:rPr>
              <w:t>润滑剂</w:t>
            </w:r>
          </w:p>
        </w:tc>
        <w:tc>
          <w:tcPr>
            <w:tcW w:w="771" w:type="pct"/>
            <w:vAlign w:val="center"/>
          </w:tcPr>
          <w:p w14:paraId="65601EE8">
            <w:pPr>
              <w:pStyle w:val="33"/>
              <w:rPr>
                <w:color w:val="auto"/>
              </w:rPr>
            </w:pPr>
            <w:r>
              <w:rPr>
                <w:color w:val="auto"/>
              </w:rPr>
              <w:t>kg/t纸</w:t>
            </w:r>
          </w:p>
        </w:tc>
        <w:tc>
          <w:tcPr>
            <w:tcW w:w="406" w:type="pct"/>
            <w:vAlign w:val="center"/>
          </w:tcPr>
          <w:p w14:paraId="338E9F9F">
            <w:pPr>
              <w:pStyle w:val="33"/>
              <w:rPr>
                <w:color w:val="auto"/>
              </w:rPr>
            </w:pPr>
            <w:r>
              <w:rPr>
                <w:color w:val="auto"/>
              </w:rPr>
              <w:t>0.95</w:t>
            </w:r>
          </w:p>
        </w:tc>
        <w:tc>
          <w:tcPr>
            <w:tcW w:w="501" w:type="pct"/>
            <w:vAlign w:val="center"/>
          </w:tcPr>
          <w:p w14:paraId="018E5B7A">
            <w:pPr>
              <w:pStyle w:val="33"/>
              <w:rPr>
                <w:color w:val="auto"/>
              </w:rPr>
            </w:pPr>
            <w:r>
              <w:rPr>
                <w:color w:val="auto"/>
              </w:rPr>
              <w:t>t/a</w:t>
            </w:r>
          </w:p>
        </w:tc>
        <w:tc>
          <w:tcPr>
            <w:tcW w:w="542" w:type="pct"/>
            <w:vAlign w:val="center"/>
          </w:tcPr>
          <w:p w14:paraId="4D57FA16">
            <w:pPr>
              <w:pStyle w:val="33"/>
              <w:rPr>
                <w:color w:val="auto"/>
              </w:rPr>
            </w:pPr>
            <w:r>
              <w:rPr>
                <w:color w:val="auto"/>
              </w:rPr>
              <w:t>855</w:t>
            </w:r>
          </w:p>
        </w:tc>
        <w:tc>
          <w:tcPr>
            <w:tcW w:w="1084" w:type="pct"/>
            <w:vAlign w:val="center"/>
          </w:tcPr>
          <w:p w14:paraId="4322029F">
            <w:pPr>
              <w:pStyle w:val="33"/>
              <w:rPr>
                <w:color w:val="auto"/>
              </w:rPr>
            </w:pPr>
            <w:r>
              <w:rPr>
                <w:color w:val="auto"/>
              </w:rPr>
              <w:t>外购</w:t>
            </w:r>
          </w:p>
        </w:tc>
      </w:tr>
      <w:tr w14:paraId="088865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9B6C095">
            <w:pPr>
              <w:pStyle w:val="33"/>
              <w:rPr>
                <w:color w:val="auto"/>
              </w:rPr>
            </w:pPr>
            <w:r>
              <w:rPr>
                <w:rFonts w:hint="eastAsia"/>
                <w:color w:val="auto"/>
              </w:rPr>
              <w:t>42</w:t>
            </w:r>
          </w:p>
        </w:tc>
        <w:tc>
          <w:tcPr>
            <w:tcW w:w="690" w:type="pct"/>
            <w:vMerge w:val="continue"/>
            <w:vAlign w:val="center"/>
          </w:tcPr>
          <w:p w14:paraId="3306E13B">
            <w:pPr>
              <w:pStyle w:val="33"/>
              <w:rPr>
                <w:color w:val="auto"/>
              </w:rPr>
            </w:pPr>
          </w:p>
        </w:tc>
        <w:tc>
          <w:tcPr>
            <w:tcW w:w="771" w:type="pct"/>
            <w:vAlign w:val="center"/>
          </w:tcPr>
          <w:p w14:paraId="29FB6AC1">
            <w:pPr>
              <w:pStyle w:val="33"/>
              <w:rPr>
                <w:color w:val="auto"/>
              </w:rPr>
            </w:pPr>
            <w:r>
              <w:rPr>
                <w:color w:val="auto"/>
              </w:rPr>
              <w:t>湿强剂</w:t>
            </w:r>
          </w:p>
        </w:tc>
        <w:tc>
          <w:tcPr>
            <w:tcW w:w="771" w:type="pct"/>
            <w:vAlign w:val="center"/>
          </w:tcPr>
          <w:p w14:paraId="2D3B2B2E">
            <w:pPr>
              <w:pStyle w:val="33"/>
              <w:rPr>
                <w:color w:val="auto"/>
              </w:rPr>
            </w:pPr>
            <w:r>
              <w:rPr>
                <w:color w:val="auto"/>
              </w:rPr>
              <w:t>kg/t纸</w:t>
            </w:r>
          </w:p>
        </w:tc>
        <w:tc>
          <w:tcPr>
            <w:tcW w:w="406" w:type="pct"/>
            <w:vAlign w:val="center"/>
          </w:tcPr>
          <w:p w14:paraId="51F45EF9">
            <w:pPr>
              <w:pStyle w:val="33"/>
              <w:rPr>
                <w:color w:val="auto"/>
              </w:rPr>
            </w:pPr>
            <w:r>
              <w:rPr>
                <w:color w:val="auto"/>
              </w:rPr>
              <w:t>0.6</w:t>
            </w:r>
          </w:p>
        </w:tc>
        <w:tc>
          <w:tcPr>
            <w:tcW w:w="501" w:type="pct"/>
            <w:vAlign w:val="center"/>
          </w:tcPr>
          <w:p w14:paraId="26EC5970">
            <w:pPr>
              <w:pStyle w:val="33"/>
              <w:rPr>
                <w:color w:val="auto"/>
              </w:rPr>
            </w:pPr>
            <w:r>
              <w:rPr>
                <w:color w:val="auto"/>
              </w:rPr>
              <w:t>t/a</w:t>
            </w:r>
          </w:p>
        </w:tc>
        <w:tc>
          <w:tcPr>
            <w:tcW w:w="542" w:type="pct"/>
            <w:vAlign w:val="center"/>
          </w:tcPr>
          <w:p w14:paraId="542FF581">
            <w:pPr>
              <w:pStyle w:val="33"/>
              <w:rPr>
                <w:color w:val="auto"/>
              </w:rPr>
            </w:pPr>
            <w:r>
              <w:rPr>
                <w:color w:val="auto"/>
              </w:rPr>
              <w:t>540</w:t>
            </w:r>
          </w:p>
        </w:tc>
        <w:tc>
          <w:tcPr>
            <w:tcW w:w="1084" w:type="pct"/>
            <w:vAlign w:val="center"/>
          </w:tcPr>
          <w:p w14:paraId="4EEA2B35">
            <w:pPr>
              <w:pStyle w:val="33"/>
              <w:rPr>
                <w:color w:val="auto"/>
              </w:rPr>
            </w:pPr>
            <w:r>
              <w:rPr>
                <w:color w:val="auto"/>
              </w:rPr>
              <w:t>外购</w:t>
            </w:r>
          </w:p>
        </w:tc>
      </w:tr>
      <w:tr w14:paraId="54CFDB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3B713C2">
            <w:pPr>
              <w:pStyle w:val="33"/>
              <w:rPr>
                <w:color w:val="auto"/>
              </w:rPr>
            </w:pPr>
            <w:r>
              <w:rPr>
                <w:rFonts w:hint="eastAsia"/>
                <w:color w:val="auto"/>
              </w:rPr>
              <w:t>43</w:t>
            </w:r>
          </w:p>
        </w:tc>
        <w:tc>
          <w:tcPr>
            <w:tcW w:w="690" w:type="pct"/>
            <w:vMerge w:val="continue"/>
            <w:vAlign w:val="center"/>
          </w:tcPr>
          <w:p w14:paraId="517DFDF3">
            <w:pPr>
              <w:pStyle w:val="33"/>
              <w:rPr>
                <w:color w:val="auto"/>
              </w:rPr>
            </w:pPr>
          </w:p>
        </w:tc>
        <w:tc>
          <w:tcPr>
            <w:tcW w:w="771" w:type="pct"/>
            <w:vAlign w:val="center"/>
          </w:tcPr>
          <w:p w14:paraId="69843282">
            <w:pPr>
              <w:pStyle w:val="33"/>
              <w:rPr>
                <w:color w:val="auto"/>
              </w:rPr>
            </w:pPr>
            <w:r>
              <w:rPr>
                <w:color w:val="auto"/>
              </w:rPr>
              <w:t>分散剂</w:t>
            </w:r>
          </w:p>
        </w:tc>
        <w:tc>
          <w:tcPr>
            <w:tcW w:w="771" w:type="pct"/>
            <w:vAlign w:val="center"/>
          </w:tcPr>
          <w:p w14:paraId="0F92A043">
            <w:pPr>
              <w:pStyle w:val="33"/>
              <w:rPr>
                <w:color w:val="auto"/>
              </w:rPr>
            </w:pPr>
            <w:r>
              <w:rPr>
                <w:color w:val="auto"/>
              </w:rPr>
              <w:t>kg/t纸</w:t>
            </w:r>
          </w:p>
        </w:tc>
        <w:tc>
          <w:tcPr>
            <w:tcW w:w="406" w:type="pct"/>
            <w:vAlign w:val="center"/>
          </w:tcPr>
          <w:p w14:paraId="071AE78F">
            <w:pPr>
              <w:pStyle w:val="33"/>
              <w:rPr>
                <w:color w:val="auto"/>
              </w:rPr>
            </w:pPr>
            <w:r>
              <w:rPr>
                <w:color w:val="auto"/>
              </w:rPr>
              <w:t>0.53</w:t>
            </w:r>
          </w:p>
        </w:tc>
        <w:tc>
          <w:tcPr>
            <w:tcW w:w="501" w:type="pct"/>
            <w:vAlign w:val="center"/>
          </w:tcPr>
          <w:p w14:paraId="2E321BC9">
            <w:pPr>
              <w:pStyle w:val="33"/>
              <w:rPr>
                <w:color w:val="auto"/>
              </w:rPr>
            </w:pPr>
            <w:r>
              <w:rPr>
                <w:color w:val="auto"/>
              </w:rPr>
              <w:t>t/a</w:t>
            </w:r>
          </w:p>
        </w:tc>
        <w:tc>
          <w:tcPr>
            <w:tcW w:w="542" w:type="pct"/>
            <w:vAlign w:val="center"/>
          </w:tcPr>
          <w:p w14:paraId="5360C8C2">
            <w:pPr>
              <w:pStyle w:val="33"/>
              <w:rPr>
                <w:color w:val="auto"/>
              </w:rPr>
            </w:pPr>
            <w:r>
              <w:rPr>
                <w:color w:val="auto"/>
              </w:rPr>
              <w:t>477</w:t>
            </w:r>
          </w:p>
        </w:tc>
        <w:tc>
          <w:tcPr>
            <w:tcW w:w="1084" w:type="pct"/>
            <w:vAlign w:val="center"/>
          </w:tcPr>
          <w:p w14:paraId="4302930B">
            <w:pPr>
              <w:pStyle w:val="33"/>
              <w:rPr>
                <w:color w:val="auto"/>
              </w:rPr>
            </w:pPr>
            <w:r>
              <w:rPr>
                <w:color w:val="auto"/>
              </w:rPr>
              <w:t>外购</w:t>
            </w:r>
          </w:p>
        </w:tc>
      </w:tr>
      <w:tr w14:paraId="38F69F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51CC555">
            <w:pPr>
              <w:pStyle w:val="33"/>
              <w:rPr>
                <w:color w:val="auto"/>
              </w:rPr>
            </w:pPr>
            <w:r>
              <w:rPr>
                <w:rFonts w:hint="eastAsia"/>
                <w:color w:val="auto"/>
              </w:rPr>
              <w:t>44</w:t>
            </w:r>
          </w:p>
        </w:tc>
        <w:tc>
          <w:tcPr>
            <w:tcW w:w="690" w:type="pct"/>
            <w:vMerge w:val="continue"/>
            <w:vAlign w:val="center"/>
          </w:tcPr>
          <w:p w14:paraId="7BCB15BB">
            <w:pPr>
              <w:pStyle w:val="33"/>
              <w:rPr>
                <w:color w:val="auto"/>
              </w:rPr>
            </w:pPr>
          </w:p>
        </w:tc>
        <w:tc>
          <w:tcPr>
            <w:tcW w:w="771" w:type="pct"/>
            <w:vAlign w:val="center"/>
          </w:tcPr>
          <w:p w14:paraId="390DAE8E">
            <w:pPr>
              <w:pStyle w:val="33"/>
              <w:rPr>
                <w:color w:val="auto"/>
              </w:rPr>
            </w:pPr>
            <w:r>
              <w:rPr>
                <w:color w:val="auto"/>
              </w:rPr>
              <w:t>氢氧化钠</w:t>
            </w:r>
          </w:p>
        </w:tc>
        <w:tc>
          <w:tcPr>
            <w:tcW w:w="771" w:type="pct"/>
            <w:vAlign w:val="center"/>
          </w:tcPr>
          <w:p w14:paraId="5CEE4EBB">
            <w:pPr>
              <w:pStyle w:val="33"/>
              <w:rPr>
                <w:color w:val="auto"/>
              </w:rPr>
            </w:pPr>
            <w:r>
              <w:rPr>
                <w:color w:val="auto"/>
              </w:rPr>
              <w:t>kg/t纸</w:t>
            </w:r>
          </w:p>
        </w:tc>
        <w:tc>
          <w:tcPr>
            <w:tcW w:w="406" w:type="pct"/>
            <w:vAlign w:val="center"/>
          </w:tcPr>
          <w:p w14:paraId="3D4F5146">
            <w:pPr>
              <w:pStyle w:val="33"/>
              <w:rPr>
                <w:color w:val="auto"/>
              </w:rPr>
            </w:pPr>
            <w:r>
              <w:rPr>
                <w:color w:val="auto"/>
              </w:rPr>
              <w:t>0.2</w:t>
            </w:r>
          </w:p>
        </w:tc>
        <w:tc>
          <w:tcPr>
            <w:tcW w:w="501" w:type="pct"/>
            <w:vAlign w:val="center"/>
          </w:tcPr>
          <w:p w14:paraId="26EDAF24">
            <w:pPr>
              <w:pStyle w:val="33"/>
              <w:rPr>
                <w:color w:val="auto"/>
              </w:rPr>
            </w:pPr>
            <w:r>
              <w:rPr>
                <w:color w:val="auto"/>
              </w:rPr>
              <w:t>t/a</w:t>
            </w:r>
          </w:p>
        </w:tc>
        <w:tc>
          <w:tcPr>
            <w:tcW w:w="542" w:type="pct"/>
            <w:vAlign w:val="center"/>
          </w:tcPr>
          <w:p w14:paraId="0764C136">
            <w:pPr>
              <w:pStyle w:val="33"/>
              <w:rPr>
                <w:color w:val="auto"/>
              </w:rPr>
            </w:pPr>
            <w:r>
              <w:rPr>
                <w:color w:val="auto"/>
              </w:rPr>
              <w:t>180</w:t>
            </w:r>
          </w:p>
        </w:tc>
        <w:tc>
          <w:tcPr>
            <w:tcW w:w="1084" w:type="pct"/>
            <w:vAlign w:val="center"/>
          </w:tcPr>
          <w:p w14:paraId="3F54F2E2">
            <w:pPr>
              <w:pStyle w:val="33"/>
              <w:rPr>
                <w:color w:val="auto"/>
              </w:rPr>
            </w:pPr>
            <w:r>
              <w:rPr>
                <w:color w:val="auto"/>
              </w:rPr>
              <w:t>外购</w:t>
            </w:r>
          </w:p>
        </w:tc>
      </w:tr>
      <w:tr w14:paraId="7533A5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85C0FF9">
            <w:pPr>
              <w:pStyle w:val="33"/>
              <w:rPr>
                <w:color w:val="auto"/>
              </w:rPr>
            </w:pPr>
            <w:r>
              <w:rPr>
                <w:rFonts w:hint="eastAsia"/>
                <w:color w:val="auto"/>
              </w:rPr>
              <w:t>45</w:t>
            </w:r>
          </w:p>
        </w:tc>
        <w:tc>
          <w:tcPr>
            <w:tcW w:w="690" w:type="pct"/>
            <w:vMerge w:val="continue"/>
            <w:vAlign w:val="center"/>
          </w:tcPr>
          <w:p w14:paraId="2EDDA145">
            <w:pPr>
              <w:pStyle w:val="33"/>
              <w:rPr>
                <w:color w:val="auto"/>
              </w:rPr>
            </w:pPr>
          </w:p>
        </w:tc>
        <w:tc>
          <w:tcPr>
            <w:tcW w:w="771" w:type="pct"/>
            <w:vAlign w:val="center"/>
          </w:tcPr>
          <w:p w14:paraId="0780976E">
            <w:pPr>
              <w:pStyle w:val="33"/>
              <w:rPr>
                <w:color w:val="auto"/>
              </w:rPr>
            </w:pPr>
            <w:r>
              <w:rPr>
                <w:color w:val="auto"/>
              </w:rPr>
              <w:t>助留剂</w:t>
            </w:r>
          </w:p>
        </w:tc>
        <w:tc>
          <w:tcPr>
            <w:tcW w:w="771" w:type="pct"/>
            <w:vAlign w:val="center"/>
          </w:tcPr>
          <w:p w14:paraId="6B3E15C0">
            <w:pPr>
              <w:pStyle w:val="33"/>
              <w:rPr>
                <w:color w:val="auto"/>
              </w:rPr>
            </w:pPr>
            <w:r>
              <w:rPr>
                <w:color w:val="auto"/>
              </w:rPr>
              <w:t>kg/t纸</w:t>
            </w:r>
          </w:p>
        </w:tc>
        <w:tc>
          <w:tcPr>
            <w:tcW w:w="406" w:type="pct"/>
            <w:vAlign w:val="center"/>
          </w:tcPr>
          <w:p w14:paraId="47D548D5">
            <w:pPr>
              <w:pStyle w:val="33"/>
              <w:rPr>
                <w:color w:val="auto"/>
              </w:rPr>
            </w:pPr>
            <w:r>
              <w:rPr>
                <w:color w:val="auto"/>
              </w:rPr>
              <w:t>0.5</w:t>
            </w:r>
          </w:p>
        </w:tc>
        <w:tc>
          <w:tcPr>
            <w:tcW w:w="501" w:type="pct"/>
            <w:vAlign w:val="center"/>
          </w:tcPr>
          <w:p w14:paraId="5C57E460">
            <w:pPr>
              <w:pStyle w:val="33"/>
              <w:rPr>
                <w:color w:val="auto"/>
              </w:rPr>
            </w:pPr>
            <w:r>
              <w:rPr>
                <w:color w:val="auto"/>
              </w:rPr>
              <w:t>t/a</w:t>
            </w:r>
          </w:p>
        </w:tc>
        <w:tc>
          <w:tcPr>
            <w:tcW w:w="542" w:type="pct"/>
            <w:vAlign w:val="center"/>
          </w:tcPr>
          <w:p w14:paraId="32E11E47">
            <w:pPr>
              <w:pStyle w:val="33"/>
              <w:rPr>
                <w:color w:val="auto"/>
              </w:rPr>
            </w:pPr>
            <w:r>
              <w:rPr>
                <w:color w:val="auto"/>
              </w:rPr>
              <w:t>450</w:t>
            </w:r>
          </w:p>
        </w:tc>
        <w:tc>
          <w:tcPr>
            <w:tcW w:w="1084" w:type="pct"/>
            <w:vAlign w:val="center"/>
          </w:tcPr>
          <w:p w14:paraId="015356C0">
            <w:pPr>
              <w:pStyle w:val="33"/>
              <w:rPr>
                <w:color w:val="auto"/>
              </w:rPr>
            </w:pPr>
            <w:r>
              <w:rPr>
                <w:color w:val="auto"/>
              </w:rPr>
              <w:t>外购</w:t>
            </w:r>
          </w:p>
        </w:tc>
      </w:tr>
      <w:tr w14:paraId="147A1A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96B3BE0">
            <w:pPr>
              <w:pStyle w:val="33"/>
              <w:rPr>
                <w:color w:val="auto"/>
              </w:rPr>
            </w:pPr>
            <w:r>
              <w:rPr>
                <w:rFonts w:hint="eastAsia"/>
                <w:color w:val="auto"/>
              </w:rPr>
              <w:t>46</w:t>
            </w:r>
          </w:p>
        </w:tc>
        <w:tc>
          <w:tcPr>
            <w:tcW w:w="690" w:type="pct"/>
            <w:vMerge w:val="continue"/>
            <w:vAlign w:val="center"/>
          </w:tcPr>
          <w:p w14:paraId="01E4E682">
            <w:pPr>
              <w:pStyle w:val="33"/>
              <w:rPr>
                <w:color w:val="auto"/>
              </w:rPr>
            </w:pPr>
          </w:p>
        </w:tc>
        <w:tc>
          <w:tcPr>
            <w:tcW w:w="771" w:type="pct"/>
            <w:vAlign w:val="center"/>
          </w:tcPr>
          <w:p w14:paraId="456BAC71">
            <w:pPr>
              <w:pStyle w:val="33"/>
              <w:rPr>
                <w:color w:val="auto"/>
              </w:rPr>
            </w:pPr>
            <w:r>
              <w:rPr>
                <w:color w:val="auto"/>
              </w:rPr>
              <w:t>天然气</w:t>
            </w:r>
          </w:p>
        </w:tc>
        <w:tc>
          <w:tcPr>
            <w:tcW w:w="771" w:type="pct"/>
            <w:vAlign w:val="center"/>
          </w:tcPr>
          <w:p w14:paraId="4EC35321">
            <w:pPr>
              <w:pStyle w:val="33"/>
              <w:rPr>
                <w:color w:val="auto"/>
              </w:rPr>
            </w:pPr>
            <w:r>
              <w:rPr>
                <w:color w:val="auto"/>
              </w:rPr>
              <w:t>m</w:t>
            </w:r>
            <w:r>
              <w:rPr>
                <w:color w:val="auto"/>
                <w:vertAlign w:val="superscript"/>
              </w:rPr>
              <w:t>3</w:t>
            </w:r>
            <w:r>
              <w:rPr>
                <w:color w:val="auto"/>
              </w:rPr>
              <w:t>/t纸</w:t>
            </w:r>
          </w:p>
        </w:tc>
        <w:tc>
          <w:tcPr>
            <w:tcW w:w="406" w:type="pct"/>
            <w:vAlign w:val="center"/>
          </w:tcPr>
          <w:p w14:paraId="3658EEEF">
            <w:pPr>
              <w:pStyle w:val="33"/>
              <w:rPr>
                <w:color w:val="auto"/>
              </w:rPr>
            </w:pPr>
            <w:r>
              <w:rPr>
                <w:color w:val="auto"/>
              </w:rPr>
              <w:t>10</w:t>
            </w:r>
          </w:p>
        </w:tc>
        <w:tc>
          <w:tcPr>
            <w:tcW w:w="501" w:type="pct"/>
            <w:vAlign w:val="center"/>
          </w:tcPr>
          <w:p w14:paraId="0CD3076A">
            <w:pPr>
              <w:pStyle w:val="33"/>
              <w:rPr>
                <w:color w:val="auto"/>
              </w:rPr>
            </w:pPr>
            <w:r>
              <w:rPr>
                <w:color w:val="auto"/>
              </w:rPr>
              <w:t>万m</w:t>
            </w:r>
            <w:r>
              <w:rPr>
                <w:color w:val="auto"/>
                <w:vertAlign w:val="superscript"/>
              </w:rPr>
              <w:t>3</w:t>
            </w:r>
            <w:r>
              <w:rPr>
                <w:color w:val="auto"/>
              </w:rPr>
              <w:t>/a</w:t>
            </w:r>
          </w:p>
        </w:tc>
        <w:tc>
          <w:tcPr>
            <w:tcW w:w="542" w:type="pct"/>
            <w:vAlign w:val="center"/>
          </w:tcPr>
          <w:p w14:paraId="16D03704">
            <w:pPr>
              <w:pStyle w:val="33"/>
              <w:rPr>
                <w:color w:val="auto"/>
              </w:rPr>
            </w:pPr>
            <w:r>
              <w:rPr>
                <w:color w:val="auto"/>
              </w:rPr>
              <w:t>900</w:t>
            </w:r>
          </w:p>
        </w:tc>
        <w:tc>
          <w:tcPr>
            <w:tcW w:w="1084" w:type="pct"/>
            <w:vAlign w:val="center"/>
          </w:tcPr>
          <w:p w14:paraId="4CDB4F32">
            <w:pPr>
              <w:pStyle w:val="33"/>
              <w:rPr>
                <w:color w:val="auto"/>
              </w:rPr>
            </w:pPr>
            <w:r>
              <w:rPr>
                <w:color w:val="auto"/>
              </w:rPr>
              <w:t>外购</w:t>
            </w:r>
          </w:p>
        </w:tc>
      </w:tr>
      <w:tr w14:paraId="3B573B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B5ADC23">
            <w:pPr>
              <w:pStyle w:val="33"/>
              <w:rPr>
                <w:color w:val="auto"/>
              </w:rPr>
            </w:pPr>
            <w:r>
              <w:rPr>
                <w:rFonts w:hint="eastAsia"/>
                <w:color w:val="auto"/>
              </w:rPr>
              <w:t>47</w:t>
            </w:r>
          </w:p>
        </w:tc>
        <w:tc>
          <w:tcPr>
            <w:tcW w:w="690" w:type="pct"/>
            <w:vMerge w:val="restart"/>
            <w:vAlign w:val="center"/>
          </w:tcPr>
          <w:p w14:paraId="57BBF6EA">
            <w:pPr>
              <w:pStyle w:val="33"/>
              <w:rPr>
                <w:color w:val="auto"/>
              </w:rPr>
            </w:pPr>
            <w:r>
              <w:rPr>
                <w:rFonts w:hint="eastAsia"/>
                <w:color w:val="auto"/>
              </w:rPr>
              <w:t>抄浆车间</w:t>
            </w:r>
          </w:p>
        </w:tc>
        <w:tc>
          <w:tcPr>
            <w:tcW w:w="771" w:type="pct"/>
            <w:vAlign w:val="center"/>
          </w:tcPr>
          <w:p w14:paraId="60FC64CB">
            <w:pPr>
              <w:pStyle w:val="33"/>
              <w:rPr>
                <w:color w:val="auto"/>
              </w:rPr>
            </w:pPr>
            <w:r>
              <w:rPr>
                <w:rFonts w:hint="eastAsia"/>
                <w:color w:val="auto"/>
              </w:rPr>
              <w:t>铁丝</w:t>
            </w:r>
          </w:p>
        </w:tc>
        <w:tc>
          <w:tcPr>
            <w:tcW w:w="771" w:type="pct"/>
            <w:vAlign w:val="center"/>
          </w:tcPr>
          <w:p w14:paraId="4DB3AE44">
            <w:pPr>
              <w:pStyle w:val="33"/>
              <w:rPr>
                <w:color w:val="auto"/>
              </w:rPr>
            </w:pPr>
            <w:r>
              <w:rPr>
                <w:color w:val="auto"/>
              </w:rPr>
              <w:t>/</w:t>
            </w:r>
          </w:p>
        </w:tc>
        <w:tc>
          <w:tcPr>
            <w:tcW w:w="406" w:type="pct"/>
            <w:vAlign w:val="center"/>
          </w:tcPr>
          <w:p w14:paraId="01313D79">
            <w:pPr>
              <w:pStyle w:val="33"/>
              <w:rPr>
                <w:color w:val="auto"/>
              </w:rPr>
            </w:pPr>
            <w:r>
              <w:rPr>
                <w:color w:val="auto"/>
              </w:rPr>
              <w:t>/</w:t>
            </w:r>
          </w:p>
        </w:tc>
        <w:tc>
          <w:tcPr>
            <w:tcW w:w="501" w:type="pct"/>
            <w:vAlign w:val="center"/>
          </w:tcPr>
          <w:p w14:paraId="59100B78">
            <w:pPr>
              <w:pStyle w:val="33"/>
              <w:rPr>
                <w:color w:val="auto"/>
              </w:rPr>
            </w:pPr>
            <w:r>
              <w:rPr>
                <w:rFonts w:hint="eastAsia"/>
                <w:color w:val="auto"/>
              </w:rPr>
              <w:t>t/a</w:t>
            </w:r>
          </w:p>
        </w:tc>
        <w:tc>
          <w:tcPr>
            <w:tcW w:w="542" w:type="pct"/>
            <w:vAlign w:val="center"/>
          </w:tcPr>
          <w:p w14:paraId="5794E37E">
            <w:pPr>
              <w:pStyle w:val="33"/>
              <w:rPr>
                <w:color w:val="auto"/>
              </w:rPr>
            </w:pPr>
            <w:r>
              <w:rPr>
                <w:rFonts w:hint="eastAsia"/>
                <w:color w:val="auto"/>
              </w:rPr>
              <w:t>568.8</w:t>
            </w:r>
          </w:p>
        </w:tc>
        <w:tc>
          <w:tcPr>
            <w:tcW w:w="1084" w:type="pct"/>
            <w:vAlign w:val="center"/>
          </w:tcPr>
          <w:p w14:paraId="05E84978">
            <w:pPr>
              <w:pStyle w:val="33"/>
              <w:rPr>
                <w:color w:val="auto"/>
              </w:rPr>
            </w:pPr>
            <w:r>
              <w:rPr>
                <w:rFonts w:hint="eastAsia"/>
                <w:color w:val="auto"/>
              </w:rPr>
              <w:t>规格</w:t>
            </w:r>
            <w:r>
              <w:rPr>
                <w:color w:val="auto"/>
              </w:rPr>
              <w:t>Φ</w:t>
            </w:r>
            <w:r>
              <w:rPr>
                <w:rFonts w:hint="eastAsia"/>
                <w:color w:val="auto"/>
              </w:rPr>
              <w:t>2.18、</w:t>
            </w:r>
            <w:r>
              <w:rPr>
                <w:color w:val="auto"/>
              </w:rPr>
              <w:t>Φ</w:t>
            </w:r>
            <w:r>
              <w:rPr>
                <w:rFonts w:hint="eastAsia"/>
                <w:color w:val="auto"/>
              </w:rPr>
              <w:t>3</w:t>
            </w:r>
          </w:p>
        </w:tc>
      </w:tr>
      <w:tr w14:paraId="1B9688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1C895BCC">
            <w:pPr>
              <w:pStyle w:val="33"/>
              <w:rPr>
                <w:color w:val="auto"/>
              </w:rPr>
            </w:pPr>
            <w:r>
              <w:rPr>
                <w:rFonts w:hint="eastAsia"/>
                <w:color w:val="auto"/>
              </w:rPr>
              <w:t>48</w:t>
            </w:r>
          </w:p>
        </w:tc>
        <w:tc>
          <w:tcPr>
            <w:tcW w:w="690" w:type="pct"/>
            <w:vMerge w:val="continue"/>
            <w:vAlign w:val="center"/>
          </w:tcPr>
          <w:p w14:paraId="5C936E82">
            <w:pPr>
              <w:pStyle w:val="33"/>
              <w:rPr>
                <w:color w:val="auto"/>
              </w:rPr>
            </w:pPr>
          </w:p>
        </w:tc>
        <w:tc>
          <w:tcPr>
            <w:tcW w:w="771" w:type="pct"/>
            <w:vAlign w:val="center"/>
          </w:tcPr>
          <w:p w14:paraId="1F03636B">
            <w:pPr>
              <w:pStyle w:val="33"/>
              <w:rPr>
                <w:color w:val="auto"/>
              </w:rPr>
            </w:pPr>
            <w:r>
              <w:rPr>
                <w:rFonts w:hint="eastAsia"/>
                <w:color w:val="auto"/>
              </w:rPr>
              <w:t>包装纸</w:t>
            </w:r>
          </w:p>
        </w:tc>
        <w:tc>
          <w:tcPr>
            <w:tcW w:w="771" w:type="pct"/>
            <w:vAlign w:val="center"/>
          </w:tcPr>
          <w:p w14:paraId="6009D2D1">
            <w:pPr>
              <w:pStyle w:val="33"/>
              <w:rPr>
                <w:color w:val="auto"/>
              </w:rPr>
            </w:pPr>
            <w:r>
              <w:rPr>
                <w:color w:val="auto"/>
              </w:rPr>
              <w:t>/</w:t>
            </w:r>
          </w:p>
        </w:tc>
        <w:tc>
          <w:tcPr>
            <w:tcW w:w="406" w:type="pct"/>
            <w:vAlign w:val="center"/>
          </w:tcPr>
          <w:p w14:paraId="73E978AF">
            <w:pPr>
              <w:pStyle w:val="33"/>
              <w:rPr>
                <w:color w:val="auto"/>
              </w:rPr>
            </w:pPr>
            <w:r>
              <w:rPr>
                <w:color w:val="auto"/>
              </w:rPr>
              <w:t>/</w:t>
            </w:r>
          </w:p>
        </w:tc>
        <w:tc>
          <w:tcPr>
            <w:tcW w:w="501" w:type="pct"/>
            <w:vAlign w:val="center"/>
          </w:tcPr>
          <w:p w14:paraId="5EC7CCD4">
            <w:pPr>
              <w:pStyle w:val="33"/>
              <w:rPr>
                <w:color w:val="auto"/>
              </w:rPr>
            </w:pPr>
            <w:r>
              <w:rPr>
                <w:rFonts w:hint="eastAsia"/>
                <w:color w:val="auto"/>
              </w:rPr>
              <w:t>t/a</w:t>
            </w:r>
          </w:p>
        </w:tc>
        <w:tc>
          <w:tcPr>
            <w:tcW w:w="542" w:type="pct"/>
            <w:vAlign w:val="center"/>
          </w:tcPr>
          <w:p w14:paraId="3209D994">
            <w:pPr>
              <w:pStyle w:val="33"/>
              <w:rPr>
                <w:color w:val="auto"/>
              </w:rPr>
            </w:pPr>
            <w:r>
              <w:rPr>
                <w:rFonts w:hint="eastAsia"/>
                <w:color w:val="auto"/>
              </w:rPr>
              <w:t>874.59</w:t>
            </w:r>
          </w:p>
        </w:tc>
        <w:tc>
          <w:tcPr>
            <w:tcW w:w="1084" w:type="pct"/>
            <w:vAlign w:val="center"/>
          </w:tcPr>
          <w:p w14:paraId="3EECC035">
            <w:pPr>
              <w:pStyle w:val="33"/>
              <w:rPr>
                <w:color w:val="auto"/>
              </w:rPr>
            </w:pPr>
            <w:r>
              <w:rPr>
                <w:rFonts w:hint="eastAsia"/>
                <w:color w:val="auto"/>
              </w:rPr>
              <w:t>规格220-250g/m</w:t>
            </w:r>
            <w:r>
              <w:rPr>
                <w:rFonts w:hint="eastAsia"/>
                <w:color w:val="auto"/>
                <w:vertAlign w:val="superscript"/>
              </w:rPr>
              <w:t>2</w:t>
            </w:r>
          </w:p>
        </w:tc>
      </w:tr>
      <w:tr w14:paraId="3C48E2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9126D02">
            <w:pPr>
              <w:pStyle w:val="33"/>
              <w:rPr>
                <w:color w:val="auto"/>
              </w:rPr>
            </w:pPr>
            <w:r>
              <w:rPr>
                <w:rFonts w:hint="eastAsia"/>
                <w:color w:val="auto"/>
              </w:rPr>
              <w:t>49</w:t>
            </w:r>
          </w:p>
        </w:tc>
        <w:tc>
          <w:tcPr>
            <w:tcW w:w="690" w:type="pct"/>
            <w:vAlign w:val="center"/>
          </w:tcPr>
          <w:p w14:paraId="52ECE5C7">
            <w:pPr>
              <w:pStyle w:val="33"/>
              <w:rPr>
                <w:color w:val="auto"/>
              </w:rPr>
            </w:pPr>
            <w:r>
              <w:rPr>
                <w:rFonts w:hint="eastAsia"/>
                <w:color w:val="auto"/>
              </w:rPr>
              <w:t>1#</w:t>
            </w:r>
            <w:r>
              <w:rPr>
                <w:color w:val="auto"/>
              </w:rPr>
              <w:t>碱回收车间</w:t>
            </w:r>
          </w:p>
        </w:tc>
        <w:tc>
          <w:tcPr>
            <w:tcW w:w="771" w:type="pct"/>
            <w:vAlign w:val="center"/>
          </w:tcPr>
          <w:p w14:paraId="6537ED77">
            <w:pPr>
              <w:pStyle w:val="33"/>
              <w:rPr>
                <w:color w:val="auto"/>
              </w:rPr>
            </w:pPr>
            <w:r>
              <w:rPr>
                <w:color w:val="auto"/>
              </w:rPr>
              <w:t>石灰</w:t>
            </w:r>
          </w:p>
        </w:tc>
        <w:tc>
          <w:tcPr>
            <w:tcW w:w="771" w:type="pct"/>
            <w:vAlign w:val="center"/>
          </w:tcPr>
          <w:p w14:paraId="2D9DD6D5">
            <w:pPr>
              <w:pStyle w:val="33"/>
              <w:rPr>
                <w:color w:val="auto"/>
              </w:rPr>
            </w:pPr>
            <w:r>
              <w:rPr>
                <w:color w:val="auto"/>
              </w:rPr>
              <w:t>/</w:t>
            </w:r>
          </w:p>
        </w:tc>
        <w:tc>
          <w:tcPr>
            <w:tcW w:w="406" w:type="pct"/>
            <w:vAlign w:val="center"/>
          </w:tcPr>
          <w:p w14:paraId="1B4772BC">
            <w:pPr>
              <w:pStyle w:val="33"/>
              <w:rPr>
                <w:color w:val="auto"/>
              </w:rPr>
            </w:pPr>
            <w:r>
              <w:rPr>
                <w:color w:val="auto"/>
              </w:rPr>
              <w:t>/</w:t>
            </w:r>
          </w:p>
        </w:tc>
        <w:tc>
          <w:tcPr>
            <w:tcW w:w="501" w:type="pct"/>
            <w:vAlign w:val="center"/>
          </w:tcPr>
          <w:p w14:paraId="1F096978">
            <w:pPr>
              <w:pStyle w:val="33"/>
              <w:rPr>
                <w:color w:val="auto"/>
              </w:rPr>
            </w:pPr>
            <w:r>
              <w:rPr>
                <w:color w:val="auto"/>
              </w:rPr>
              <w:t>万t/a</w:t>
            </w:r>
          </w:p>
        </w:tc>
        <w:tc>
          <w:tcPr>
            <w:tcW w:w="542" w:type="pct"/>
            <w:vAlign w:val="center"/>
          </w:tcPr>
          <w:p w14:paraId="471FEBE6">
            <w:pPr>
              <w:pStyle w:val="33"/>
              <w:rPr>
                <w:color w:val="auto"/>
              </w:rPr>
            </w:pPr>
            <w:r>
              <w:rPr>
                <w:rFonts w:hint="eastAsia"/>
                <w:color w:val="auto"/>
              </w:rPr>
              <w:t>3.67</w:t>
            </w:r>
          </w:p>
        </w:tc>
        <w:tc>
          <w:tcPr>
            <w:tcW w:w="1084" w:type="pct"/>
            <w:vAlign w:val="center"/>
          </w:tcPr>
          <w:p w14:paraId="2EA99F16">
            <w:pPr>
              <w:pStyle w:val="33"/>
              <w:rPr>
                <w:color w:val="auto"/>
              </w:rPr>
            </w:pPr>
            <w:r>
              <w:rPr>
                <w:color w:val="auto"/>
              </w:rPr>
              <w:t>含CaO80%</w:t>
            </w:r>
          </w:p>
        </w:tc>
      </w:tr>
      <w:tr w14:paraId="224F32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31C106E">
            <w:pPr>
              <w:pStyle w:val="33"/>
              <w:rPr>
                <w:color w:val="auto"/>
              </w:rPr>
            </w:pPr>
            <w:r>
              <w:rPr>
                <w:rFonts w:hint="eastAsia"/>
                <w:color w:val="auto"/>
              </w:rPr>
              <w:t>50</w:t>
            </w:r>
          </w:p>
        </w:tc>
        <w:tc>
          <w:tcPr>
            <w:tcW w:w="690" w:type="pct"/>
            <w:vMerge w:val="restart"/>
            <w:vAlign w:val="center"/>
          </w:tcPr>
          <w:p w14:paraId="76AF36BB">
            <w:pPr>
              <w:pStyle w:val="33"/>
              <w:rPr>
                <w:color w:val="auto"/>
              </w:rPr>
            </w:pPr>
            <w:r>
              <w:rPr>
                <w:color w:val="auto"/>
              </w:rPr>
              <w:t>过氧化氢车间</w:t>
            </w:r>
          </w:p>
        </w:tc>
        <w:tc>
          <w:tcPr>
            <w:tcW w:w="771" w:type="pct"/>
            <w:vAlign w:val="center"/>
          </w:tcPr>
          <w:p w14:paraId="3AD39DEB">
            <w:pPr>
              <w:pStyle w:val="33"/>
              <w:rPr>
                <w:color w:val="auto"/>
              </w:rPr>
            </w:pPr>
            <w:r>
              <w:rPr>
                <w:color w:val="auto"/>
              </w:rPr>
              <w:t>天然气</w:t>
            </w:r>
          </w:p>
        </w:tc>
        <w:tc>
          <w:tcPr>
            <w:tcW w:w="771" w:type="pct"/>
            <w:vAlign w:val="center"/>
          </w:tcPr>
          <w:p w14:paraId="635E0F1E">
            <w:pPr>
              <w:pStyle w:val="33"/>
              <w:rPr>
                <w:color w:val="auto"/>
              </w:rPr>
            </w:pPr>
            <w:r>
              <w:rPr>
                <w:color w:val="auto"/>
              </w:rPr>
              <w:t>/</w:t>
            </w:r>
          </w:p>
        </w:tc>
        <w:tc>
          <w:tcPr>
            <w:tcW w:w="406" w:type="pct"/>
            <w:vAlign w:val="center"/>
          </w:tcPr>
          <w:p w14:paraId="2A76EE6E">
            <w:pPr>
              <w:pStyle w:val="33"/>
              <w:rPr>
                <w:color w:val="auto"/>
              </w:rPr>
            </w:pPr>
            <w:r>
              <w:rPr>
                <w:color w:val="auto"/>
              </w:rPr>
              <w:t>/</w:t>
            </w:r>
          </w:p>
        </w:tc>
        <w:tc>
          <w:tcPr>
            <w:tcW w:w="501" w:type="pct"/>
            <w:vAlign w:val="center"/>
          </w:tcPr>
          <w:p w14:paraId="2FA5C775">
            <w:pPr>
              <w:pStyle w:val="33"/>
              <w:rPr>
                <w:color w:val="auto"/>
              </w:rPr>
            </w:pPr>
            <w:r>
              <w:rPr>
                <w:color w:val="auto"/>
              </w:rPr>
              <w:t>m</w:t>
            </w:r>
            <w:r>
              <w:rPr>
                <w:color w:val="auto"/>
                <w:vertAlign w:val="superscript"/>
              </w:rPr>
              <w:t>3</w:t>
            </w:r>
            <w:r>
              <w:rPr>
                <w:color w:val="auto"/>
              </w:rPr>
              <w:t>/a</w:t>
            </w:r>
          </w:p>
        </w:tc>
        <w:tc>
          <w:tcPr>
            <w:tcW w:w="542" w:type="pct"/>
            <w:vAlign w:val="center"/>
          </w:tcPr>
          <w:p w14:paraId="05E190A6">
            <w:pPr>
              <w:pStyle w:val="33"/>
              <w:rPr>
                <w:color w:val="auto"/>
              </w:rPr>
            </w:pPr>
            <w:r>
              <w:rPr>
                <w:color w:val="auto"/>
              </w:rPr>
              <w:t>2.54×10</w:t>
            </w:r>
            <w:r>
              <w:rPr>
                <w:color w:val="auto"/>
                <w:vertAlign w:val="superscript"/>
              </w:rPr>
              <w:t>7</w:t>
            </w:r>
          </w:p>
        </w:tc>
        <w:tc>
          <w:tcPr>
            <w:tcW w:w="1084" w:type="pct"/>
            <w:vAlign w:val="center"/>
          </w:tcPr>
          <w:p w14:paraId="3976EC2C">
            <w:pPr>
              <w:pStyle w:val="33"/>
              <w:rPr>
                <w:color w:val="auto"/>
              </w:rPr>
            </w:pPr>
            <w:r>
              <w:rPr>
                <w:color w:val="auto"/>
              </w:rPr>
              <w:t>/</w:t>
            </w:r>
          </w:p>
        </w:tc>
      </w:tr>
      <w:tr w14:paraId="25D480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35E60A9">
            <w:pPr>
              <w:pStyle w:val="33"/>
              <w:rPr>
                <w:color w:val="auto"/>
              </w:rPr>
            </w:pPr>
            <w:r>
              <w:rPr>
                <w:rFonts w:hint="eastAsia"/>
                <w:color w:val="auto"/>
              </w:rPr>
              <w:t>51</w:t>
            </w:r>
          </w:p>
        </w:tc>
        <w:tc>
          <w:tcPr>
            <w:tcW w:w="690" w:type="pct"/>
            <w:vMerge w:val="continue"/>
            <w:vAlign w:val="center"/>
          </w:tcPr>
          <w:p w14:paraId="66AF0537">
            <w:pPr>
              <w:pStyle w:val="33"/>
              <w:rPr>
                <w:color w:val="auto"/>
              </w:rPr>
            </w:pPr>
          </w:p>
        </w:tc>
        <w:tc>
          <w:tcPr>
            <w:tcW w:w="771" w:type="pct"/>
            <w:vAlign w:val="center"/>
          </w:tcPr>
          <w:p w14:paraId="6367F64E">
            <w:pPr>
              <w:pStyle w:val="33"/>
              <w:rPr>
                <w:color w:val="auto"/>
              </w:rPr>
            </w:pPr>
            <w:r>
              <w:rPr>
                <w:color w:val="auto"/>
              </w:rPr>
              <w:t>纯水</w:t>
            </w:r>
          </w:p>
        </w:tc>
        <w:tc>
          <w:tcPr>
            <w:tcW w:w="771" w:type="pct"/>
            <w:vAlign w:val="center"/>
          </w:tcPr>
          <w:p w14:paraId="2660FAAF">
            <w:pPr>
              <w:pStyle w:val="33"/>
              <w:rPr>
                <w:color w:val="auto"/>
              </w:rPr>
            </w:pPr>
            <w:r>
              <w:rPr>
                <w:color w:val="auto"/>
              </w:rPr>
              <w:t>/</w:t>
            </w:r>
          </w:p>
        </w:tc>
        <w:tc>
          <w:tcPr>
            <w:tcW w:w="406" w:type="pct"/>
            <w:vAlign w:val="center"/>
          </w:tcPr>
          <w:p w14:paraId="717DD813">
            <w:pPr>
              <w:pStyle w:val="33"/>
              <w:rPr>
                <w:color w:val="auto"/>
              </w:rPr>
            </w:pPr>
            <w:r>
              <w:rPr>
                <w:color w:val="auto"/>
              </w:rPr>
              <w:t>/</w:t>
            </w:r>
          </w:p>
        </w:tc>
        <w:tc>
          <w:tcPr>
            <w:tcW w:w="501" w:type="pct"/>
            <w:vAlign w:val="center"/>
          </w:tcPr>
          <w:p w14:paraId="03D73C34">
            <w:pPr>
              <w:pStyle w:val="33"/>
              <w:rPr>
                <w:color w:val="auto"/>
              </w:rPr>
            </w:pPr>
            <w:r>
              <w:rPr>
                <w:color w:val="auto"/>
              </w:rPr>
              <w:t>t/a</w:t>
            </w:r>
          </w:p>
        </w:tc>
        <w:tc>
          <w:tcPr>
            <w:tcW w:w="542" w:type="pct"/>
            <w:vAlign w:val="center"/>
          </w:tcPr>
          <w:p w14:paraId="732D4E8F">
            <w:pPr>
              <w:pStyle w:val="33"/>
              <w:rPr>
                <w:color w:val="auto"/>
              </w:rPr>
            </w:pPr>
            <w:r>
              <w:rPr>
                <w:color w:val="auto"/>
              </w:rPr>
              <w:t>297796</w:t>
            </w:r>
          </w:p>
        </w:tc>
        <w:tc>
          <w:tcPr>
            <w:tcW w:w="1084" w:type="pct"/>
            <w:vAlign w:val="center"/>
          </w:tcPr>
          <w:p w14:paraId="2C2BC294">
            <w:pPr>
              <w:pStyle w:val="33"/>
              <w:rPr>
                <w:color w:val="auto"/>
              </w:rPr>
            </w:pPr>
            <w:r>
              <w:rPr>
                <w:color w:val="auto"/>
              </w:rPr>
              <w:t>/</w:t>
            </w:r>
          </w:p>
        </w:tc>
      </w:tr>
      <w:tr w14:paraId="5CB779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45A6A88">
            <w:pPr>
              <w:pStyle w:val="33"/>
              <w:rPr>
                <w:color w:val="auto"/>
              </w:rPr>
            </w:pPr>
            <w:r>
              <w:rPr>
                <w:rFonts w:hint="eastAsia"/>
                <w:color w:val="auto"/>
              </w:rPr>
              <w:t>52</w:t>
            </w:r>
          </w:p>
        </w:tc>
        <w:tc>
          <w:tcPr>
            <w:tcW w:w="690" w:type="pct"/>
            <w:vMerge w:val="continue"/>
            <w:vAlign w:val="center"/>
          </w:tcPr>
          <w:p w14:paraId="7BB5C7E2">
            <w:pPr>
              <w:pStyle w:val="33"/>
              <w:rPr>
                <w:color w:val="auto"/>
              </w:rPr>
            </w:pPr>
          </w:p>
        </w:tc>
        <w:tc>
          <w:tcPr>
            <w:tcW w:w="771" w:type="pct"/>
            <w:vAlign w:val="center"/>
          </w:tcPr>
          <w:p w14:paraId="07C21933">
            <w:pPr>
              <w:pStyle w:val="33"/>
              <w:rPr>
                <w:color w:val="auto"/>
              </w:rPr>
            </w:pPr>
            <w:r>
              <w:rPr>
                <w:color w:val="auto"/>
              </w:rPr>
              <w:t>循环冷却水</w:t>
            </w:r>
          </w:p>
        </w:tc>
        <w:tc>
          <w:tcPr>
            <w:tcW w:w="771" w:type="pct"/>
            <w:vAlign w:val="center"/>
          </w:tcPr>
          <w:p w14:paraId="3C4D62D0">
            <w:pPr>
              <w:pStyle w:val="33"/>
              <w:rPr>
                <w:color w:val="auto"/>
              </w:rPr>
            </w:pPr>
            <w:r>
              <w:rPr>
                <w:color w:val="auto"/>
              </w:rPr>
              <w:t>/</w:t>
            </w:r>
          </w:p>
        </w:tc>
        <w:tc>
          <w:tcPr>
            <w:tcW w:w="406" w:type="pct"/>
            <w:vAlign w:val="center"/>
          </w:tcPr>
          <w:p w14:paraId="7FD4A29F">
            <w:pPr>
              <w:pStyle w:val="33"/>
              <w:rPr>
                <w:color w:val="auto"/>
              </w:rPr>
            </w:pPr>
            <w:r>
              <w:rPr>
                <w:color w:val="auto"/>
              </w:rPr>
              <w:t>/</w:t>
            </w:r>
          </w:p>
        </w:tc>
        <w:tc>
          <w:tcPr>
            <w:tcW w:w="501" w:type="pct"/>
            <w:vAlign w:val="center"/>
          </w:tcPr>
          <w:p w14:paraId="1B6F9E88">
            <w:pPr>
              <w:pStyle w:val="33"/>
              <w:rPr>
                <w:color w:val="auto"/>
              </w:rPr>
            </w:pPr>
            <w:r>
              <w:rPr>
                <w:color w:val="auto"/>
              </w:rPr>
              <w:t>万t/a</w:t>
            </w:r>
          </w:p>
        </w:tc>
        <w:tc>
          <w:tcPr>
            <w:tcW w:w="542" w:type="pct"/>
            <w:vAlign w:val="center"/>
          </w:tcPr>
          <w:p w14:paraId="2421891F">
            <w:pPr>
              <w:pStyle w:val="33"/>
              <w:rPr>
                <w:color w:val="auto"/>
              </w:rPr>
            </w:pPr>
            <w:r>
              <w:rPr>
                <w:color w:val="auto"/>
              </w:rPr>
              <w:t>6400</w:t>
            </w:r>
          </w:p>
        </w:tc>
        <w:tc>
          <w:tcPr>
            <w:tcW w:w="1084" w:type="pct"/>
            <w:vAlign w:val="center"/>
          </w:tcPr>
          <w:p w14:paraId="35962934">
            <w:pPr>
              <w:pStyle w:val="33"/>
              <w:rPr>
                <w:color w:val="auto"/>
              </w:rPr>
            </w:pPr>
            <w:r>
              <w:rPr>
                <w:color w:val="auto"/>
              </w:rPr>
              <w:t>/</w:t>
            </w:r>
          </w:p>
        </w:tc>
      </w:tr>
      <w:tr w14:paraId="2532D8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5BEB88B">
            <w:pPr>
              <w:pStyle w:val="33"/>
              <w:rPr>
                <w:color w:val="auto"/>
              </w:rPr>
            </w:pPr>
            <w:r>
              <w:rPr>
                <w:rFonts w:hint="eastAsia"/>
                <w:color w:val="auto"/>
              </w:rPr>
              <w:t>53</w:t>
            </w:r>
          </w:p>
        </w:tc>
        <w:tc>
          <w:tcPr>
            <w:tcW w:w="690" w:type="pct"/>
            <w:vMerge w:val="continue"/>
            <w:vAlign w:val="center"/>
          </w:tcPr>
          <w:p w14:paraId="00BA6752">
            <w:pPr>
              <w:pStyle w:val="33"/>
              <w:rPr>
                <w:color w:val="auto"/>
              </w:rPr>
            </w:pPr>
          </w:p>
        </w:tc>
        <w:tc>
          <w:tcPr>
            <w:tcW w:w="771" w:type="pct"/>
            <w:vAlign w:val="center"/>
          </w:tcPr>
          <w:p w14:paraId="0A1A5875">
            <w:pPr>
              <w:pStyle w:val="33"/>
              <w:rPr>
                <w:color w:val="auto"/>
              </w:rPr>
            </w:pPr>
            <w:r>
              <w:rPr>
                <w:color w:val="auto"/>
              </w:rPr>
              <w:t>氮气</w:t>
            </w:r>
          </w:p>
        </w:tc>
        <w:tc>
          <w:tcPr>
            <w:tcW w:w="771" w:type="pct"/>
            <w:vAlign w:val="center"/>
          </w:tcPr>
          <w:p w14:paraId="2FC045AA">
            <w:pPr>
              <w:pStyle w:val="33"/>
              <w:rPr>
                <w:color w:val="auto"/>
              </w:rPr>
            </w:pPr>
            <w:r>
              <w:rPr>
                <w:color w:val="auto"/>
              </w:rPr>
              <w:t>/</w:t>
            </w:r>
          </w:p>
        </w:tc>
        <w:tc>
          <w:tcPr>
            <w:tcW w:w="406" w:type="pct"/>
            <w:vAlign w:val="center"/>
          </w:tcPr>
          <w:p w14:paraId="7E3D62D5">
            <w:pPr>
              <w:pStyle w:val="33"/>
              <w:rPr>
                <w:color w:val="auto"/>
              </w:rPr>
            </w:pPr>
            <w:r>
              <w:rPr>
                <w:color w:val="auto"/>
              </w:rPr>
              <w:t>/</w:t>
            </w:r>
          </w:p>
        </w:tc>
        <w:tc>
          <w:tcPr>
            <w:tcW w:w="501" w:type="pct"/>
            <w:vAlign w:val="center"/>
          </w:tcPr>
          <w:p w14:paraId="1405864C">
            <w:pPr>
              <w:pStyle w:val="33"/>
              <w:rPr>
                <w:color w:val="auto"/>
              </w:rPr>
            </w:pPr>
            <w:r>
              <w:rPr>
                <w:color w:val="auto"/>
              </w:rPr>
              <w:t>万m</w:t>
            </w:r>
            <w:r>
              <w:rPr>
                <w:color w:val="auto"/>
                <w:vertAlign w:val="superscript"/>
              </w:rPr>
              <w:t>3</w:t>
            </w:r>
            <w:r>
              <w:rPr>
                <w:color w:val="auto"/>
              </w:rPr>
              <w:t>/a</w:t>
            </w:r>
          </w:p>
        </w:tc>
        <w:tc>
          <w:tcPr>
            <w:tcW w:w="542" w:type="pct"/>
            <w:vAlign w:val="center"/>
          </w:tcPr>
          <w:p w14:paraId="32FDC5B0">
            <w:pPr>
              <w:pStyle w:val="33"/>
              <w:rPr>
                <w:color w:val="auto"/>
              </w:rPr>
            </w:pPr>
            <w:r>
              <w:rPr>
                <w:color w:val="auto"/>
              </w:rPr>
              <w:t>90</w:t>
            </w:r>
          </w:p>
        </w:tc>
        <w:tc>
          <w:tcPr>
            <w:tcW w:w="1084" w:type="pct"/>
            <w:vAlign w:val="center"/>
          </w:tcPr>
          <w:p w14:paraId="4C95ADA1">
            <w:pPr>
              <w:pStyle w:val="33"/>
              <w:rPr>
                <w:color w:val="auto"/>
              </w:rPr>
            </w:pPr>
            <w:r>
              <w:rPr>
                <w:color w:val="auto"/>
              </w:rPr>
              <w:t>/</w:t>
            </w:r>
          </w:p>
        </w:tc>
      </w:tr>
      <w:tr w14:paraId="0BB01C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A9FC6A7">
            <w:pPr>
              <w:pStyle w:val="33"/>
              <w:rPr>
                <w:color w:val="auto"/>
              </w:rPr>
            </w:pPr>
            <w:r>
              <w:rPr>
                <w:rFonts w:hint="eastAsia"/>
                <w:color w:val="auto"/>
              </w:rPr>
              <w:t>54</w:t>
            </w:r>
          </w:p>
        </w:tc>
        <w:tc>
          <w:tcPr>
            <w:tcW w:w="690" w:type="pct"/>
            <w:vMerge w:val="continue"/>
            <w:vAlign w:val="center"/>
          </w:tcPr>
          <w:p w14:paraId="4E94CA9C">
            <w:pPr>
              <w:pStyle w:val="33"/>
              <w:rPr>
                <w:color w:val="auto"/>
              </w:rPr>
            </w:pPr>
          </w:p>
        </w:tc>
        <w:tc>
          <w:tcPr>
            <w:tcW w:w="771" w:type="pct"/>
            <w:vAlign w:val="center"/>
          </w:tcPr>
          <w:p w14:paraId="3D2DA9A0">
            <w:pPr>
              <w:pStyle w:val="33"/>
              <w:rPr>
                <w:color w:val="auto"/>
              </w:rPr>
            </w:pPr>
            <w:r>
              <w:rPr>
                <w:color w:val="auto"/>
              </w:rPr>
              <w:t>氢气</w:t>
            </w:r>
          </w:p>
        </w:tc>
        <w:tc>
          <w:tcPr>
            <w:tcW w:w="771" w:type="pct"/>
            <w:vAlign w:val="center"/>
          </w:tcPr>
          <w:p w14:paraId="1BD128A2">
            <w:pPr>
              <w:pStyle w:val="33"/>
              <w:rPr>
                <w:color w:val="auto"/>
              </w:rPr>
            </w:pPr>
            <w:r>
              <w:rPr>
                <w:color w:val="auto"/>
              </w:rPr>
              <w:t>/</w:t>
            </w:r>
          </w:p>
        </w:tc>
        <w:tc>
          <w:tcPr>
            <w:tcW w:w="406" w:type="pct"/>
            <w:vAlign w:val="center"/>
          </w:tcPr>
          <w:p w14:paraId="42108998">
            <w:pPr>
              <w:pStyle w:val="33"/>
              <w:rPr>
                <w:color w:val="auto"/>
              </w:rPr>
            </w:pPr>
            <w:r>
              <w:rPr>
                <w:color w:val="auto"/>
              </w:rPr>
              <w:t>/</w:t>
            </w:r>
          </w:p>
        </w:tc>
        <w:tc>
          <w:tcPr>
            <w:tcW w:w="501" w:type="pct"/>
            <w:vAlign w:val="center"/>
          </w:tcPr>
          <w:p w14:paraId="0F7B75A5">
            <w:pPr>
              <w:pStyle w:val="33"/>
              <w:rPr>
                <w:color w:val="auto"/>
              </w:rPr>
            </w:pPr>
            <w:r>
              <w:rPr>
                <w:color w:val="auto"/>
              </w:rPr>
              <w:t>万m</w:t>
            </w:r>
            <w:r>
              <w:rPr>
                <w:color w:val="auto"/>
                <w:vertAlign w:val="superscript"/>
              </w:rPr>
              <w:t>3</w:t>
            </w:r>
            <w:r>
              <w:rPr>
                <w:color w:val="auto"/>
              </w:rPr>
              <w:t>/a</w:t>
            </w:r>
          </w:p>
        </w:tc>
        <w:tc>
          <w:tcPr>
            <w:tcW w:w="542" w:type="pct"/>
            <w:vAlign w:val="center"/>
          </w:tcPr>
          <w:p w14:paraId="0E5D043A">
            <w:pPr>
              <w:pStyle w:val="33"/>
              <w:rPr>
                <w:color w:val="auto"/>
              </w:rPr>
            </w:pPr>
            <w:r>
              <w:rPr>
                <w:color w:val="auto"/>
              </w:rPr>
              <w:t>6120</w:t>
            </w:r>
          </w:p>
        </w:tc>
        <w:tc>
          <w:tcPr>
            <w:tcW w:w="1084" w:type="pct"/>
            <w:vAlign w:val="center"/>
          </w:tcPr>
          <w:p w14:paraId="2177CAE9">
            <w:pPr>
              <w:pStyle w:val="33"/>
              <w:rPr>
                <w:color w:val="auto"/>
              </w:rPr>
            </w:pPr>
            <w:r>
              <w:rPr>
                <w:color w:val="auto"/>
              </w:rPr>
              <w:t>/</w:t>
            </w:r>
          </w:p>
        </w:tc>
      </w:tr>
      <w:tr w14:paraId="2564C8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E31A6B1">
            <w:pPr>
              <w:pStyle w:val="33"/>
              <w:rPr>
                <w:color w:val="auto"/>
              </w:rPr>
            </w:pPr>
            <w:r>
              <w:rPr>
                <w:rFonts w:hint="eastAsia"/>
                <w:color w:val="auto"/>
              </w:rPr>
              <w:t>55</w:t>
            </w:r>
          </w:p>
        </w:tc>
        <w:tc>
          <w:tcPr>
            <w:tcW w:w="690" w:type="pct"/>
            <w:vMerge w:val="continue"/>
            <w:vAlign w:val="center"/>
          </w:tcPr>
          <w:p w14:paraId="51D4D16E">
            <w:pPr>
              <w:pStyle w:val="33"/>
              <w:rPr>
                <w:color w:val="auto"/>
              </w:rPr>
            </w:pPr>
          </w:p>
        </w:tc>
        <w:tc>
          <w:tcPr>
            <w:tcW w:w="771" w:type="pct"/>
            <w:vAlign w:val="center"/>
          </w:tcPr>
          <w:p w14:paraId="6C734FFC">
            <w:pPr>
              <w:pStyle w:val="33"/>
              <w:rPr>
                <w:color w:val="auto"/>
              </w:rPr>
            </w:pPr>
            <w:r>
              <w:rPr>
                <w:color w:val="auto"/>
              </w:rPr>
              <w:t>空气</w:t>
            </w:r>
          </w:p>
        </w:tc>
        <w:tc>
          <w:tcPr>
            <w:tcW w:w="771" w:type="pct"/>
            <w:vAlign w:val="center"/>
          </w:tcPr>
          <w:p w14:paraId="1ED06D63">
            <w:pPr>
              <w:pStyle w:val="33"/>
              <w:rPr>
                <w:color w:val="auto"/>
              </w:rPr>
            </w:pPr>
            <w:r>
              <w:rPr>
                <w:color w:val="auto"/>
              </w:rPr>
              <w:t>/</w:t>
            </w:r>
          </w:p>
        </w:tc>
        <w:tc>
          <w:tcPr>
            <w:tcW w:w="406" w:type="pct"/>
            <w:vAlign w:val="center"/>
          </w:tcPr>
          <w:p w14:paraId="3D0125BD">
            <w:pPr>
              <w:pStyle w:val="33"/>
              <w:rPr>
                <w:color w:val="auto"/>
              </w:rPr>
            </w:pPr>
            <w:r>
              <w:rPr>
                <w:color w:val="auto"/>
              </w:rPr>
              <w:t>/</w:t>
            </w:r>
          </w:p>
        </w:tc>
        <w:tc>
          <w:tcPr>
            <w:tcW w:w="501" w:type="pct"/>
            <w:vAlign w:val="center"/>
          </w:tcPr>
          <w:p w14:paraId="70119508">
            <w:pPr>
              <w:pStyle w:val="33"/>
              <w:rPr>
                <w:color w:val="auto"/>
              </w:rPr>
            </w:pPr>
            <w:r>
              <w:rPr>
                <w:color w:val="auto"/>
              </w:rPr>
              <w:t>万m</w:t>
            </w:r>
            <w:r>
              <w:rPr>
                <w:color w:val="auto"/>
                <w:vertAlign w:val="superscript"/>
              </w:rPr>
              <w:t>3</w:t>
            </w:r>
            <w:r>
              <w:rPr>
                <w:color w:val="auto"/>
              </w:rPr>
              <w:t>/a</w:t>
            </w:r>
          </w:p>
        </w:tc>
        <w:tc>
          <w:tcPr>
            <w:tcW w:w="542" w:type="pct"/>
            <w:vAlign w:val="center"/>
          </w:tcPr>
          <w:p w14:paraId="6D8F37C9">
            <w:pPr>
              <w:pStyle w:val="33"/>
              <w:rPr>
                <w:color w:val="auto"/>
              </w:rPr>
            </w:pPr>
            <w:r>
              <w:rPr>
                <w:color w:val="auto"/>
              </w:rPr>
              <w:t>37500</w:t>
            </w:r>
          </w:p>
        </w:tc>
        <w:tc>
          <w:tcPr>
            <w:tcW w:w="1084" w:type="pct"/>
            <w:vAlign w:val="center"/>
          </w:tcPr>
          <w:p w14:paraId="2A5BF8CE">
            <w:pPr>
              <w:pStyle w:val="33"/>
              <w:rPr>
                <w:color w:val="auto"/>
              </w:rPr>
            </w:pPr>
            <w:r>
              <w:rPr>
                <w:color w:val="auto"/>
              </w:rPr>
              <w:t>/</w:t>
            </w:r>
          </w:p>
        </w:tc>
      </w:tr>
      <w:tr w14:paraId="592DBA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65E9D44">
            <w:pPr>
              <w:pStyle w:val="33"/>
              <w:rPr>
                <w:color w:val="auto"/>
              </w:rPr>
            </w:pPr>
            <w:r>
              <w:rPr>
                <w:rFonts w:hint="eastAsia"/>
                <w:color w:val="auto"/>
              </w:rPr>
              <w:t>56</w:t>
            </w:r>
          </w:p>
        </w:tc>
        <w:tc>
          <w:tcPr>
            <w:tcW w:w="690" w:type="pct"/>
            <w:vMerge w:val="continue"/>
            <w:vAlign w:val="center"/>
          </w:tcPr>
          <w:p w14:paraId="16C3F62C">
            <w:pPr>
              <w:pStyle w:val="33"/>
              <w:rPr>
                <w:color w:val="auto"/>
              </w:rPr>
            </w:pPr>
          </w:p>
        </w:tc>
        <w:tc>
          <w:tcPr>
            <w:tcW w:w="771" w:type="pct"/>
            <w:vAlign w:val="center"/>
          </w:tcPr>
          <w:p w14:paraId="76C7BFDC">
            <w:pPr>
              <w:pStyle w:val="33"/>
              <w:rPr>
                <w:color w:val="auto"/>
              </w:rPr>
            </w:pPr>
            <w:r>
              <w:rPr>
                <w:color w:val="auto"/>
              </w:rPr>
              <w:t>2-乙基蒽醌</w:t>
            </w:r>
          </w:p>
        </w:tc>
        <w:tc>
          <w:tcPr>
            <w:tcW w:w="771" w:type="pct"/>
            <w:vAlign w:val="center"/>
          </w:tcPr>
          <w:p w14:paraId="68185EDE">
            <w:pPr>
              <w:pStyle w:val="33"/>
              <w:rPr>
                <w:color w:val="auto"/>
              </w:rPr>
            </w:pPr>
            <w:r>
              <w:rPr>
                <w:color w:val="auto"/>
              </w:rPr>
              <w:t>/</w:t>
            </w:r>
          </w:p>
        </w:tc>
        <w:tc>
          <w:tcPr>
            <w:tcW w:w="406" w:type="pct"/>
            <w:vAlign w:val="center"/>
          </w:tcPr>
          <w:p w14:paraId="09FC65E9">
            <w:pPr>
              <w:pStyle w:val="33"/>
              <w:rPr>
                <w:color w:val="auto"/>
              </w:rPr>
            </w:pPr>
            <w:r>
              <w:rPr>
                <w:color w:val="auto"/>
              </w:rPr>
              <w:t>/</w:t>
            </w:r>
          </w:p>
        </w:tc>
        <w:tc>
          <w:tcPr>
            <w:tcW w:w="501" w:type="pct"/>
            <w:vAlign w:val="center"/>
          </w:tcPr>
          <w:p w14:paraId="32DE4767">
            <w:pPr>
              <w:pStyle w:val="33"/>
              <w:rPr>
                <w:color w:val="auto"/>
              </w:rPr>
            </w:pPr>
            <w:r>
              <w:rPr>
                <w:color w:val="auto"/>
              </w:rPr>
              <w:t>t/a</w:t>
            </w:r>
          </w:p>
        </w:tc>
        <w:tc>
          <w:tcPr>
            <w:tcW w:w="542" w:type="pct"/>
            <w:vAlign w:val="center"/>
          </w:tcPr>
          <w:p w14:paraId="14661742">
            <w:pPr>
              <w:pStyle w:val="33"/>
              <w:rPr>
                <w:color w:val="auto"/>
              </w:rPr>
            </w:pPr>
            <w:r>
              <w:rPr>
                <w:color w:val="auto"/>
              </w:rPr>
              <w:t>135</w:t>
            </w:r>
          </w:p>
        </w:tc>
        <w:tc>
          <w:tcPr>
            <w:tcW w:w="1084" w:type="pct"/>
            <w:vAlign w:val="center"/>
          </w:tcPr>
          <w:p w14:paraId="2B96F47A">
            <w:pPr>
              <w:pStyle w:val="33"/>
              <w:rPr>
                <w:color w:val="auto"/>
              </w:rPr>
            </w:pPr>
            <w:r>
              <w:rPr>
                <w:color w:val="auto"/>
              </w:rPr>
              <w:t>/</w:t>
            </w:r>
          </w:p>
        </w:tc>
      </w:tr>
      <w:tr w14:paraId="7741A5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A51B900">
            <w:pPr>
              <w:pStyle w:val="33"/>
              <w:rPr>
                <w:color w:val="auto"/>
                <w:spacing w:val="-3"/>
                <w:szCs w:val="21"/>
              </w:rPr>
            </w:pPr>
            <w:r>
              <w:rPr>
                <w:rFonts w:hint="eastAsia"/>
                <w:color w:val="auto"/>
                <w:spacing w:val="-3"/>
                <w:szCs w:val="21"/>
              </w:rPr>
              <w:t>57</w:t>
            </w:r>
          </w:p>
        </w:tc>
        <w:tc>
          <w:tcPr>
            <w:tcW w:w="690" w:type="pct"/>
            <w:vMerge w:val="continue"/>
            <w:vAlign w:val="center"/>
          </w:tcPr>
          <w:p w14:paraId="3C330D57">
            <w:pPr>
              <w:pStyle w:val="33"/>
              <w:rPr>
                <w:color w:val="auto"/>
                <w:spacing w:val="-3"/>
                <w:szCs w:val="21"/>
              </w:rPr>
            </w:pPr>
          </w:p>
        </w:tc>
        <w:tc>
          <w:tcPr>
            <w:tcW w:w="771" w:type="pct"/>
            <w:vAlign w:val="center"/>
          </w:tcPr>
          <w:p w14:paraId="0D93A25E">
            <w:pPr>
              <w:pStyle w:val="33"/>
              <w:rPr>
                <w:color w:val="auto"/>
                <w:szCs w:val="21"/>
              </w:rPr>
            </w:pPr>
            <w:r>
              <w:rPr>
                <w:color w:val="auto"/>
                <w:spacing w:val="-3"/>
                <w:szCs w:val="21"/>
              </w:rPr>
              <w:t>重芳烃</w:t>
            </w:r>
          </w:p>
        </w:tc>
        <w:tc>
          <w:tcPr>
            <w:tcW w:w="771" w:type="pct"/>
            <w:vAlign w:val="center"/>
          </w:tcPr>
          <w:p w14:paraId="73C8A8DE">
            <w:pPr>
              <w:pStyle w:val="33"/>
              <w:rPr>
                <w:rFonts w:eastAsia="Times New Roman"/>
                <w:color w:val="auto"/>
              </w:rPr>
            </w:pPr>
            <w:r>
              <w:rPr>
                <w:rFonts w:eastAsia="Times New Roman"/>
                <w:color w:val="auto"/>
                <w:szCs w:val="21"/>
              </w:rPr>
              <w:t>/</w:t>
            </w:r>
          </w:p>
        </w:tc>
        <w:tc>
          <w:tcPr>
            <w:tcW w:w="406" w:type="pct"/>
            <w:vAlign w:val="center"/>
          </w:tcPr>
          <w:p w14:paraId="740339BE">
            <w:pPr>
              <w:pStyle w:val="33"/>
              <w:rPr>
                <w:rFonts w:eastAsia="Times New Roman"/>
                <w:color w:val="auto"/>
              </w:rPr>
            </w:pPr>
            <w:r>
              <w:rPr>
                <w:rFonts w:eastAsia="Times New Roman"/>
                <w:color w:val="auto"/>
                <w:szCs w:val="21"/>
              </w:rPr>
              <w:t>/</w:t>
            </w:r>
          </w:p>
        </w:tc>
        <w:tc>
          <w:tcPr>
            <w:tcW w:w="501" w:type="pct"/>
            <w:vAlign w:val="center"/>
          </w:tcPr>
          <w:p w14:paraId="3ACB19D9">
            <w:pPr>
              <w:pStyle w:val="33"/>
              <w:rPr>
                <w:rFonts w:eastAsia="Times New Roman"/>
                <w:color w:val="auto"/>
              </w:rPr>
            </w:pPr>
            <w:r>
              <w:rPr>
                <w:rFonts w:eastAsia="Times New Roman"/>
                <w:color w:val="auto"/>
                <w:spacing w:val="-1"/>
                <w:szCs w:val="21"/>
              </w:rPr>
              <w:t>t/a</w:t>
            </w:r>
          </w:p>
        </w:tc>
        <w:tc>
          <w:tcPr>
            <w:tcW w:w="542" w:type="pct"/>
            <w:vAlign w:val="center"/>
          </w:tcPr>
          <w:p w14:paraId="1CAB5BFF">
            <w:pPr>
              <w:pStyle w:val="33"/>
              <w:rPr>
                <w:rFonts w:eastAsia="Times New Roman"/>
                <w:color w:val="auto"/>
              </w:rPr>
            </w:pPr>
            <w:r>
              <w:rPr>
                <w:rFonts w:eastAsia="Times New Roman"/>
                <w:color w:val="auto"/>
                <w:spacing w:val="-6"/>
                <w:szCs w:val="21"/>
              </w:rPr>
              <w:t>193</w:t>
            </w:r>
          </w:p>
        </w:tc>
        <w:tc>
          <w:tcPr>
            <w:tcW w:w="1084" w:type="pct"/>
            <w:vAlign w:val="center"/>
          </w:tcPr>
          <w:p w14:paraId="74F50805">
            <w:pPr>
              <w:pStyle w:val="33"/>
              <w:rPr>
                <w:rFonts w:eastAsia="Times New Roman"/>
                <w:color w:val="auto"/>
              </w:rPr>
            </w:pPr>
            <w:r>
              <w:rPr>
                <w:rFonts w:eastAsia="Times New Roman"/>
                <w:color w:val="auto"/>
                <w:szCs w:val="21"/>
              </w:rPr>
              <w:t>/</w:t>
            </w:r>
          </w:p>
        </w:tc>
      </w:tr>
      <w:tr w14:paraId="64BB62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C75DDF6">
            <w:pPr>
              <w:pStyle w:val="33"/>
              <w:rPr>
                <w:color w:val="auto"/>
                <w:spacing w:val="-6"/>
                <w:szCs w:val="21"/>
              </w:rPr>
            </w:pPr>
            <w:r>
              <w:rPr>
                <w:rFonts w:hint="eastAsia"/>
                <w:color w:val="auto"/>
                <w:spacing w:val="-6"/>
                <w:szCs w:val="21"/>
              </w:rPr>
              <w:t>58</w:t>
            </w:r>
          </w:p>
        </w:tc>
        <w:tc>
          <w:tcPr>
            <w:tcW w:w="690" w:type="pct"/>
            <w:vMerge w:val="continue"/>
            <w:vAlign w:val="center"/>
          </w:tcPr>
          <w:p w14:paraId="40D0F977">
            <w:pPr>
              <w:pStyle w:val="33"/>
              <w:rPr>
                <w:color w:val="auto"/>
                <w:spacing w:val="-6"/>
                <w:szCs w:val="21"/>
              </w:rPr>
            </w:pPr>
          </w:p>
        </w:tc>
        <w:tc>
          <w:tcPr>
            <w:tcW w:w="771" w:type="pct"/>
            <w:vAlign w:val="center"/>
          </w:tcPr>
          <w:p w14:paraId="2BFF0E91">
            <w:pPr>
              <w:pStyle w:val="33"/>
              <w:rPr>
                <w:color w:val="auto"/>
                <w:szCs w:val="21"/>
              </w:rPr>
            </w:pPr>
            <w:r>
              <w:rPr>
                <w:color w:val="auto"/>
                <w:spacing w:val="-6"/>
                <w:szCs w:val="21"/>
              </w:rPr>
              <w:t>四丁基脲</w:t>
            </w:r>
          </w:p>
        </w:tc>
        <w:tc>
          <w:tcPr>
            <w:tcW w:w="771" w:type="pct"/>
            <w:vAlign w:val="center"/>
          </w:tcPr>
          <w:p w14:paraId="72DE9D53">
            <w:pPr>
              <w:pStyle w:val="33"/>
              <w:rPr>
                <w:rFonts w:eastAsia="Times New Roman"/>
                <w:color w:val="auto"/>
              </w:rPr>
            </w:pPr>
            <w:r>
              <w:rPr>
                <w:rFonts w:eastAsia="Times New Roman"/>
                <w:color w:val="auto"/>
                <w:szCs w:val="21"/>
              </w:rPr>
              <w:t>/</w:t>
            </w:r>
          </w:p>
        </w:tc>
        <w:tc>
          <w:tcPr>
            <w:tcW w:w="406" w:type="pct"/>
            <w:vAlign w:val="center"/>
          </w:tcPr>
          <w:p w14:paraId="61467262">
            <w:pPr>
              <w:pStyle w:val="33"/>
              <w:rPr>
                <w:rFonts w:eastAsia="Times New Roman"/>
                <w:color w:val="auto"/>
              </w:rPr>
            </w:pPr>
            <w:r>
              <w:rPr>
                <w:rFonts w:eastAsia="Times New Roman"/>
                <w:color w:val="auto"/>
                <w:szCs w:val="21"/>
              </w:rPr>
              <w:t>/</w:t>
            </w:r>
          </w:p>
        </w:tc>
        <w:tc>
          <w:tcPr>
            <w:tcW w:w="501" w:type="pct"/>
            <w:vAlign w:val="center"/>
          </w:tcPr>
          <w:p w14:paraId="669F15E8">
            <w:pPr>
              <w:pStyle w:val="33"/>
              <w:rPr>
                <w:rFonts w:eastAsia="Times New Roman"/>
                <w:color w:val="auto"/>
              </w:rPr>
            </w:pPr>
            <w:r>
              <w:rPr>
                <w:rFonts w:eastAsia="Times New Roman"/>
                <w:color w:val="auto"/>
                <w:spacing w:val="-1"/>
                <w:szCs w:val="21"/>
              </w:rPr>
              <w:t>t/a</w:t>
            </w:r>
          </w:p>
        </w:tc>
        <w:tc>
          <w:tcPr>
            <w:tcW w:w="542" w:type="pct"/>
            <w:vAlign w:val="center"/>
          </w:tcPr>
          <w:p w14:paraId="00184C3D">
            <w:pPr>
              <w:pStyle w:val="33"/>
              <w:rPr>
                <w:rFonts w:eastAsia="Times New Roman"/>
                <w:color w:val="auto"/>
              </w:rPr>
            </w:pPr>
            <w:r>
              <w:rPr>
                <w:rFonts w:eastAsia="Times New Roman"/>
                <w:color w:val="auto"/>
                <w:spacing w:val="-3"/>
                <w:szCs w:val="21"/>
              </w:rPr>
              <w:t>30</w:t>
            </w:r>
          </w:p>
        </w:tc>
        <w:tc>
          <w:tcPr>
            <w:tcW w:w="1084" w:type="pct"/>
            <w:vAlign w:val="center"/>
          </w:tcPr>
          <w:p w14:paraId="3F31634D">
            <w:pPr>
              <w:pStyle w:val="33"/>
              <w:rPr>
                <w:rFonts w:eastAsia="Times New Roman"/>
                <w:color w:val="auto"/>
              </w:rPr>
            </w:pPr>
            <w:r>
              <w:rPr>
                <w:rFonts w:eastAsia="Times New Roman"/>
                <w:color w:val="auto"/>
                <w:szCs w:val="21"/>
              </w:rPr>
              <w:t>/</w:t>
            </w:r>
          </w:p>
        </w:tc>
      </w:tr>
      <w:tr w14:paraId="640AB4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3AE9055">
            <w:pPr>
              <w:pStyle w:val="33"/>
              <w:rPr>
                <w:color w:val="auto"/>
              </w:rPr>
            </w:pPr>
            <w:r>
              <w:rPr>
                <w:rFonts w:hint="eastAsia"/>
                <w:color w:val="auto"/>
              </w:rPr>
              <w:t>59</w:t>
            </w:r>
          </w:p>
        </w:tc>
        <w:tc>
          <w:tcPr>
            <w:tcW w:w="690" w:type="pct"/>
            <w:vMerge w:val="continue"/>
            <w:vAlign w:val="center"/>
          </w:tcPr>
          <w:p w14:paraId="5AE3B20B">
            <w:pPr>
              <w:pStyle w:val="33"/>
              <w:rPr>
                <w:color w:val="auto"/>
              </w:rPr>
            </w:pPr>
          </w:p>
        </w:tc>
        <w:tc>
          <w:tcPr>
            <w:tcW w:w="771" w:type="pct"/>
            <w:vAlign w:val="center"/>
          </w:tcPr>
          <w:p w14:paraId="6C322D6E">
            <w:pPr>
              <w:pStyle w:val="33"/>
              <w:rPr>
                <w:color w:val="auto"/>
              </w:rPr>
            </w:pPr>
            <w:r>
              <w:rPr>
                <w:color w:val="auto"/>
              </w:rPr>
              <w:t>磷酸三辛酯</w:t>
            </w:r>
          </w:p>
        </w:tc>
        <w:tc>
          <w:tcPr>
            <w:tcW w:w="771" w:type="pct"/>
            <w:vAlign w:val="center"/>
          </w:tcPr>
          <w:p w14:paraId="5C05C234">
            <w:pPr>
              <w:pStyle w:val="33"/>
              <w:rPr>
                <w:color w:val="auto"/>
              </w:rPr>
            </w:pPr>
            <w:r>
              <w:rPr>
                <w:color w:val="auto"/>
              </w:rPr>
              <w:t>/</w:t>
            </w:r>
          </w:p>
        </w:tc>
        <w:tc>
          <w:tcPr>
            <w:tcW w:w="406" w:type="pct"/>
            <w:vAlign w:val="center"/>
          </w:tcPr>
          <w:p w14:paraId="63F83ECC">
            <w:pPr>
              <w:pStyle w:val="33"/>
              <w:rPr>
                <w:color w:val="auto"/>
              </w:rPr>
            </w:pPr>
            <w:r>
              <w:rPr>
                <w:color w:val="auto"/>
              </w:rPr>
              <w:t>/</w:t>
            </w:r>
          </w:p>
        </w:tc>
        <w:tc>
          <w:tcPr>
            <w:tcW w:w="501" w:type="pct"/>
            <w:vAlign w:val="center"/>
          </w:tcPr>
          <w:p w14:paraId="458E0641">
            <w:pPr>
              <w:pStyle w:val="33"/>
              <w:rPr>
                <w:color w:val="auto"/>
              </w:rPr>
            </w:pPr>
            <w:r>
              <w:rPr>
                <w:color w:val="auto"/>
              </w:rPr>
              <w:t>t/a</w:t>
            </w:r>
          </w:p>
        </w:tc>
        <w:tc>
          <w:tcPr>
            <w:tcW w:w="542" w:type="pct"/>
            <w:vAlign w:val="center"/>
          </w:tcPr>
          <w:p w14:paraId="7492C5E6">
            <w:pPr>
              <w:pStyle w:val="33"/>
              <w:rPr>
                <w:color w:val="auto"/>
              </w:rPr>
            </w:pPr>
            <w:r>
              <w:rPr>
                <w:color w:val="auto"/>
              </w:rPr>
              <w:t>30</w:t>
            </w:r>
          </w:p>
        </w:tc>
        <w:tc>
          <w:tcPr>
            <w:tcW w:w="1084" w:type="pct"/>
            <w:vAlign w:val="center"/>
          </w:tcPr>
          <w:p w14:paraId="3DBF0409">
            <w:pPr>
              <w:pStyle w:val="33"/>
              <w:rPr>
                <w:color w:val="auto"/>
              </w:rPr>
            </w:pPr>
            <w:r>
              <w:rPr>
                <w:color w:val="auto"/>
              </w:rPr>
              <w:t>/</w:t>
            </w:r>
          </w:p>
        </w:tc>
      </w:tr>
      <w:tr w14:paraId="477BF8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9B39816">
            <w:pPr>
              <w:pStyle w:val="33"/>
              <w:rPr>
                <w:color w:val="auto"/>
              </w:rPr>
            </w:pPr>
            <w:r>
              <w:rPr>
                <w:rFonts w:hint="eastAsia"/>
                <w:color w:val="auto"/>
              </w:rPr>
              <w:t>60</w:t>
            </w:r>
          </w:p>
        </w:tc>
        <w:tc>
          <w:tcPr>
            <w:tcW w:w="690" w:type="pct"/>
            <w:vMerge w:val="continue"/>
            <w:vAlign w:val="center"/>
          </w:tcPr>
          <w:p w14:paraId="49DE3A9D">
            <w:pPr>
              <w:pStyle w:val="33"/>
              <w:rPr>
                <w:color w:val="auto"/>
              </w:rPr>
            </w:pPr>
          </w:p>
        </w:tc>
        <w:tc>
          <w:tcPr>
            <w:tcW w:w="771" w:type="pct"/>
            <w:vAlign w:val="center"/>
          </w:tcPr>
          <w:p w14:paraId="6D7B82D5">
            <w:pPr>
              <w:pStyle w:val="33"/>
              <w:rPr>
                <w:color w:val="auto"/>
              </w:rPr>
            </w:pPr>
            <w:r>
              <w:rPr>
                <w:color w:val="auto"/>
              </w:rPr>
              <w:t>磷酸</w:t>
            </w:r>
          </w:p>
        </w:tc>
        <w:tc>
          <w:tcPr>
            <w:tcW w:w="771" w:type="pct"/>
            <w:vAlign w:val="center"/>
          </w:tcPr>
          <w:p w14:paraId="36571180">
            <w:pPr>
              <w:pStyle w:val="33"/>
              <w:rPr>
                <w:color w:val="auto"/>
              </w:rPr>
            </w:pPr>
            <w:r>
              <w:rPr>
                <w:color w:val="auto"/>
              </w:rPr>
              <w:t>/</w:t>
            </w:r>
          </w:p>
        </w:tc>
        <w:tc>
          <w:tcPr>
            <w:tcW w:w="406" w:type="pct"/>
            <w:vAlign w:val="center"/>
          </w:tcPr>
          <w:p w14:paraId="45473989">
            <w:pPr>
              <w:pStyle w:val="33"/>
              <w:rPr>
                <w:color w:val="auto"/>
              </w:rPr>
            </w:pPr>
            <w:r>
              <w:rPr>
                <w:color w:val="auto"/>
              </w:rPr>
              <w:t>/</w:t>
            </w:r>
          </w:p>
        </w:tc>
        <w:tc>
          <w:tcPr>
            <w:tcW w:w="501" w:type="pct"/>
            <w:vAlign w:val="center"/>
          </w:tcPr>
          <w:p w14:paraId="58771509">
            <w:pPr>
              <w:pStyle w:val="33"/>
              <w:rPr>
                <w:color w:val="auto"/>
              </w:rPr>
            </w:pPr>
            <w:r>
              <w:rPr>
                <w:color w:val="auto"/>
              </w:rPr>
              <w:t>t/a</w:t>
            </w:r>
          </w:p>
        </w:tc>
        <w:tc>
          <w:tcPr>
            <w:tcW w:w="542" w:type="pct"/>
            <w:vAlign w:val="center"/>
          </w:tcPr>
          <w:p w14:paraId="6B6ED30F">
            <w:pPr>
              <w:pStyle w:val="33"/>
              <w:rPr>
                <w:color w:val="auto"/>
              </w:rPr>
            </w:pPr>
            <w:r>
              <w:rPr>
                <w:color w:val="auto"/>
              </w:rPr>
              <w:t>90</w:t>
            </w:r>
          </w:p>
        </w:tc>
        <w:tc>
          <w:tcPr>
            <w:tcW w:w="1084" w:type="pct"/>
            <w:vAlign w:val="center"/>
          </w:tcPr>
          <w:p w14:paraId="15A3C9A8">
            <w:pPr>
              <w:pStyle w:val="33"/>
              <w:rPr>
                <w:color w:val="auto"/>
              </w:rPr>
            </w:pPr>
            <w:r>
              <w:rPr>
                <w:color w:val="auto"/>
              </w:rPr>
              <w:t>/</w:t>
            </w:r>
          </w:p>
        </w:tc>
      </w:tr>
      <w:tr w14:paraId="60B6ED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9F4DD4E">
            <w:pPr>
              <w:pStyle w:val="33"/>
              <w:rPr>
                <w:color w:val="auto"/>
              </w:rPr>
            </w:pPr>
            <w:r>
              <w:rPr>
                <w:rFonts w:hint="eastAsia"/>
                <w:color w:val="auto"/>
              </w:rPr>
              <w:t>61</w:t>
            </w:r>
          </w:p>
        </w:tc>
        <w:tc>
          <w:tcPr>
            <w:tcW w:w="690" w:type="pct"/>
            <w:vMerge w:val="continue"/>
            <w:vAlign w:val="center"/>
          </w:tcPr>
          <w:p w14:paraId="41DAF664">
            <w:pPr>
              <w:pStyle w:val="33"/>
              <w:rPr>
                <w:color w:val="auto"/>
              </w:rPr>
            </w:pPr>
          </w:p>
        </w:tc>
        <w:tc>
          <w:tcPr>
            <w:tcW w:w="771" w:type="pct"/>
            <w:vAlign w:val="center"/>
          </w:tcPr>
          <w:p w14:paraId="082B3A51">
            <w:pPr>
              <w:pStyle w:val="33"/>
              <w:rPr>
                <w:color w:val="auto"/>
              </w:rPr>
            </w:pPr>
            <w:r>
              <w:rPr>
                <w:color w:val="auto"/>
              </w:rPr>
              <w:t>碳酸钾</w:t>
            </w:r>
          </w:p>
        </w:tc>
        <w:tc>
          <w:tcPr>
            <w:tcW w:w="771" w:type="pct"/>
            <w:vAlign w:val="center"/>
          </w:tcPr>
          <w:p w14:paraId="7D68DCAF">
            <w:pPr>
              <w:pStyle w:val="33"/>
              <w:rPr>
                <w:color w:val="auto"/>
              </w:rPr>
            </w:pPr>
            <w:r>
              <w:rPr>
                <w:color w:val="auto"/>
              </w:rPr>
              <w:t>/</w:t>
            </w:r>
          </w:p>
        </w:tc>
        <w:tc>
          <w:tcPr>
            <w:tcW w:w="406" w:type="pct"/>
            <w:vAlign w:val="center"/>
          </w:tcPr>
          <w:p w14:paraId="3AE72CAC">
            <w:pPr>
              <w:pStyle w:val="33"/>
              <w:rPr>
                <w:color w:val="auto"/>
              </w:rPr>
            </w:pPr>
            <w:r>
              <w:rPr>
                <w:color w:val="auto"/>
              </w:rPr>
              <w:t>/</w:t>
            </w:r>
          </w:p>
        </w:tc>
        <w:tc>
          <w:tcPr>
            <w:tcW w:w="501" w:type="pct"/>
            <w:vAlign w:val="center"/>
          </w:tcPr>
          <w:p w14:paraId="51A98924">
            <w:pPr>
              <w:pStyle w:val="33"/>
              <w:rPr>
                <w:color w:val="auto"/>
              </w:rPr>
            </w:pPr>
            <w:r>
              <w:rPr>
                <w:color w:val="auto"/>
              </w:rPr>
              <w:t>t/a</w:t>
            </w:r>
          </w:p>
        </w:tc>
        <w:tc>
          <w:tcPr>
            <w:tcW w:w="542" w:type="pct"/>
            <w:vAlign w:val="center"/>
          </w:tcPr>
          <w:p w14:paraId="6FFF0EEE">
            <w:pPr>
              <w:pStyle w:val="33"/>
              <w:rPr>
                <w:color w:val="auto"/>
              </w:rPr>
            </w:pPr>
            <w:r>
              <w:rPr>
                <w:color w:val="auto"/>
              </w:rPr>
              <w:t>300</w:t>
            </w:r>
          </w:p>
        </w:tc>
        <w:tc>
          <w:tcPr>
            <w:tcW w:w="1084" w:type="pct"/>
            <w:vAlign w:val="center"/>
          </w:tcPr>
          <w:p w14:paraId="26ECAD09">
            <w:pPr>
              <w:pStyle w:val="33"/>
              <w:rPr>
                <w:color w:val="auto"/>
              </w:rPr>
            </w:pPr>
            <w:r>
              <w:rPr>
                <w:color w:val="auto"/>
              </w:rPr>
              <w:t>/</w:t>
            </w:r>
          </w:p>
        </w:tc>
      </w:tr>
      <w:tr w14:paraId="7EDE63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4BDD4DE">
            <w:pPr>
              <w:pStyle w:val="33"/>
              <w:rPr>
                <w:color w:val="auto"/>
              </w:rPr>
            </w:pPr>
            <w:r>
              <w:rPr>
                <w:rFonts w:hint="eastAsia"/>
                <w:color w:val="auto"/>
              </w:rPr>
              <w:t>62</w:t>
            </w:r>
          </w:p>
        </w:tc>
        <w:tc>
          <w:tcPr>
            <w:tcW w:w="690" w:type="pct"/>
            <w:vMerge w:val="continue"/>
            <w:vAlign w:val="center"/>
          </w:tcPr>
          <w:p w14:paraId="619C23AF">
            <w:pPr>
              <w:pStyle w:val="33"/>
              <w:rPr>
                <w:color w:val="auto"/>
              </w:rPr>
            </w:pPr>
          </w:p>
        </w:tc>
        <w:tc>
          <w:tcPr>
            <w:tcW w:w="771" w:type="pct"/>
            <w:vAlign w:val="center"/>
          </w:tcPr>
          <w:p w14:paraId="3E11E503">
            <w:pPr>
              <w:pStyle w:val="33"/>
              <w:rPr>
                <w:color w:val="auto"/>
              </w:rPr>
            </w:pPr>
            <w:r>
              <w:rPr>
                <w:color w:val="auto"/>
              </w:rPr>
              <w:t>钯触媒</w:t>
            </w:r>
          </w:p>
        </w:tc>
        <w:tc>
          <w:tcPr>
            <w:tcW w:w="771" w:type="pct"/>
            <w:vAlign w:val="center"/>
          </w:tcPr>
          <w:p w14:paraId="4F8B8845">
            <w:pPr>
              <w:pStyle w:val="33"/>
              <w:rPr>
                <w:color w:val="auto"/>
              </w:rPr>
            </w:pPr>
            <w:r>
              <w:rPr>
                <w:color w:val="auto"/>
              </w:rPr>
              <w:t>/</w:t>
            </w:r>
          </w:p>
        </w:tc>
        <w:tc>
          <w:tcPr>
            <w:tcW w:w="406" w:type="pct"/>
            <w:vAlign w:val="center"/>
          </w:tcPr>
          <w:p w14:paraId="36F79349">
            <w:pPr>
              <w:pStyle w:val="33"/>
              <w:rPr>
                <w:color w:val="auto"/>
              </w:rPr>
            </w:pPr>
            <w:r>
              <w:rPr>
                <w:color w:val="auto"/>
              </w:rPr>
              <w:t>/</w:t>
            </w:r>
          </w:p>
        </w:tc>
        <w:tc>
          <w:tcPr>
            <w:tcW w:w="501" w:type="pct"/>
            <w:vAlign w:val="center"/>
          </w:tcPr>
          <w:p w14:paraId="52DA37A7">
            <w:pPr>
              <w:pStyle w:val="33"/>
              <w:rPr>
                <w:color w:val="auto"/>
              </w:rPr>
            </w:pPr>
            <w:r>
              <w:rPr>
                <w:color w:val="auto"/>
              </w:rPr>
              <w:t>kg/a</w:t>
            </w:r>
          </w:p>
        </w:tc>
        <w:tc>
          <w:tcPr>
            <w:tcW w:w="542" w:type="pct"/>
            <w:vAlign w:val="center"/>
          </w:tcPr>
          <w:p w14:paraId="1895DD3C">
            <w:pPr>
              <w:pStyle w:val="33"/>
              <w:rPr>
                <w:color w:val="auto"/>
              </w:rPr>
            </w:pPr>
            <w:r>
              <w:rPr>
                <w:color w:val="auto"/>
              </w:rPr>
              <w:t>8400</w:t>
            </w:r>
          </w:p>
        </w:tc>
        <w:tc>
          <w:tcPr>
            <w:tcW w:w="1084" w:type="pct"/>
            <w:vAlign w:val="center"/>
          </w:tcPr>
          <w:p w14:paraId="4854F8EC">
            <w:pPr>
              <w:pStyle w:val="33"/>
              <w:rPr>
                <w:color w:val="auto"/>
              </w:rPr>
            </w:pPr>
            <w:r>
              <w:rPr>
                <w:color w:val="auto"/>
              </w:rPr>
              <w:t>/</w:t>
            </w:r>
          </w:p>
        </w:tc>
      </w:tr>
      <w:tr w14:paraId="63C03E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349949CE">
            <w:pPr>
              <w:pStyle w:val="33"/>
              <w:rPr>
                <w:color w:val="auto"/>
              </w:rPr>
            </w:pPr>
            <w:r>
              <w:rPr>
                <w:rFonts w:hint="eastAsia"/>
                <w:color w:val="auto"/>
              </w:rPr>
              <w:t>63</w:t>
            </w:r>
          </w:p>
        </w:tc>
        <w:tc>
          <w:tcPr>
            <w:tcW w:w="690" w:type="pct"/>
            <w:vMerge w:val="continue"/>
            <w:vAlign w:val="center"/>
          </w:tcPr>
          <w:p w14:paraId="77B12B64">
            <w:pPr>
              <w:pStyle w:val="33"/>
              <w:rPr>
                <w:color w:val="auto"/>
              </w:rPr>
            </w:pPr>
          </w:p>
        </w:tc>
        <w:tc>
          <w:tcPr>
            <w:tcW w:w="771" w:type="pct"/>
            <w:vAlign w:val="center"/>
          </w:tcPr>
          <w:p w14:paraId="62DA8713">
            <w:pPr>
              <w:pStyle w:val="33"/>
              <w:rPr>
                <w:color w:val="auto"/>
              </w:rPr>
            </w:pPr>
            <w:r>
              <w:rPr>
                <w:color w:val="auto"/>
              </w:rPr>
              <w:t>活性氧化铝</w:t>
            </w:r>
          </w:p>
        </w:tc>
        <w:tc>
          <w:tcPr>
            <w:tcW w:w="771" w:type="pct"/>
            <w:vAlign w:val="center"/>
          </w:tcPr>
          <w:p w14:paraId="747CC588">
            <w:pPr>
              <w:pStyle w:val="33"/>
              <w:rPr>
                <w:color w:val="auto"/>
              </w:rPr>
            </w:pPr>
            <w:r>
              <w:rPr>
                <w:color w:val="auto"/>
              </w:rPr>
              <w:t>/</w:t>
            </w:r>
          </w:p>
        </w:tc>
        <w:tc>
          <w:tcPr>
            <w:tcW w:w="406" w:type="pct"/>
            <w:vAlign w:val="center"/>
          </w:tcPr>
          <w:p w14:paraId="71B2E63E">
            <w:pPr>
              <w:pStyle w:val="33"/>
              <w:rPr>
                <w:color w:val="auto"/>
              </w:rPr>
            </w:pPr>
            <w:r>
              <w:rPr>
                <w:color w:val="auto"/>
              </w:rPr>
              <w:t>/</w:t>
            </w:r>
          </w:p>
        </w:tc>
        <w:tc>
          <w:tcPr>
            <w:tcW w:w="501" w:type="pct"/>
            <w:vAlign w:val="center"/>
          </w:tcPr>
          <w:p w14:paraId="7737D1D4">
            <w:pPr>
              <w:pStyle w:val="33"/>
              <w:rPr>
                <w:color w:val="auto"/>
              </w:rPr>
            </w:pPr>
            <w:r>
              <w:rPr>
                <w:color w:val="auto"/>
              </w:rPr>
              <w:t>t/a</w:t>
            </w:r>
          </w:p>
        </w:tc>
        <w:tc>
          <w:tcPr>
            <w:tcW w:w="542" w:type="pct"/>
            <w:vAlign w:val="center"/>
          </w:tcPr>
          <w:p w14:paraId="3379B537">
            <w:pPr>
              <w:pStyle w:val="33"/>
              <w:rPr>
                <w:color w:val="auto"/>
              </w:rPr>
            </w:pPr>
            <w:r>
              <w:rPr>
                <w:color w:val="auto"/>
              </w:rPr>
              <w:t>1200</w:t>
            </w:r>
          </w:p>
        </w:tc>
        <w:tc>
          <w:tcPr>
            <w:tcW w:w="1084" w:type="pct"/>
            <w:vAlign w:val="center"/>
          </w:tcPr>
          <w:p w14:paraId="5F29DAEA">
            <w:pPr>
              <w:pStyle w:val="33"/>
              <w:rPr>
                <w:color w:val="auto"/>
              </w:rPr>
            </w:pPr>
            <w:r>
              <w:rPr>
                <w:color w:val="auto"/>
              </w:rPr>
              <w:t>/</w:t>
            </w:r>
          </w:p>
        </w:tc>
      </w:tr>
      <w:tr w14:paraId="64D522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A6B3D19">
            <w:pPr>
              <w:pStyle w:val="33"/>
              <w:rPr>
                <w:color w:val="auto"/>
              </w:rPr>
            </w:pPr>
            <w:r>
              <w:rPr>
                <w:rFonts w:hint="eastAsia"/>
                <w:color w:val="auto"/>
              </w:rPr>
              <w:t>64</w:t>
            </w:r>
          </w:p>
        </w:tc>
        <w:tc>
          <w:tcPr>
            <w:tcW w:w="690" w:type="pct"/>
            <w:vMerge w:val="restart"/>
            <w:vAlign w:val="center"/>
          </w:tcPr>
          <w:p w14:paraId="5F13D4CD">
            <w:pPr>
              <w:pStyle w:val="33"/>
              <w:rPr>
                <w:color w:val="auto"/>
              </w:rPr>
            </w:pPr>
            <w:r>
              <w:rPr>
                <w:rFonts w:hint="eastAsia"/>
                <w:color w:val="auto"/>
              </w:rPr>
              <w:t>淋膜纸生产线</w:t>
            </w:r>
          </w:p>
        </w:tc>
        <w:tc>
          <w:tcPr>
            <w:tcW w:w="771" w:type="pct"/>
            <w:vAlign w:val="center"/>
          </w:tcPr>
          <w:p w14:paraId="16D7ABD2">
            <w:pPr>
              <w:pStyle w:val="33"/>
              <w:rPr>
                <w:color w:val="auto"/>
              </w:rPr>
            </w:pPr>
            <w:r>
              <w:rPr>
                <w:rFonts w:hint="eastAsia"/>
                <w:color w:val="auto"/>
              </w:rPr>
              <w:t>白卡纸</w:t>
            </w:r>
          </w:p>
        </w:tc>
        <w:tc>
          <w:tcPr>
            <w:tcW w:w="771" w:type="pct"/>
            <w:vAlign w:val="center"/>
          </w:tcPr>
          <w:p w14:paraId="6AE7479E">
            <w:pPr>
              <w:pStyle w:val="33"/>
              <w:rPr>
                <w:color w:val="auto"/>
              </w:rPr>
            </w:pPr>
            <w:r>
              <w:rPr>
                <w:color w:val="auto"/>
              </w:rPr>
              <w:t>kg/t纸</w:t>
            </w:r>
          </w:p>
        </w:tc>
        <w:tc>
          <w:tcPr>
            <w:tcW w:w="406" w:type="pct"/>
            <w:vAlign w:val="center"/>
          </w:tcPr>
          <w:p w14:paraId="45B3584E">
            <w:pPr>
              <w:pStyle w:val="33"/>
              <w:rPr>
                <w:color w:val="auto"/>
              </w:rPr>
            </w:pPr>
            <w:r>
              <w:rPr>
                <w:rFonts w:hint="eastAsia"/>
                <w:color w:val="auto"/>
              </w:rPr>
              <w:t>887.4</w:t>
            </w:r>
          </w:p>
        </w:tc>
        <w:tc>
          <w:tcPr>
            <w:tcW w:w="501" w:type="pct"/>
            <w:vAlign w:val="center"/>
          </w:tcPr>
          <w:p w14:paraId="0C4F955C">
            <w:pPr>
              <w:pStyle w:val="33"/>
              <w:rPr>
                <w:color w:val="auto"/>
              </w:rPr>
            </w:pPr>
            <w:r>
              <w:rPr>
                <w:color w:val="auto"/>
              </w:rPr>
              <w:t>t/a</w:t>
            </w:r>
          </w:p>
        </w:tc>
        <w:tc>
          <w:tcPr>
            <w:tcW w:w="542" w:type="pct"/>
            <w:vAlign w:val="center"/>
          </w:tcPr>
          <w:p w14:paraId="6421A8E9">
            <w:pPr>
              <w:pStyle w:val="33"/>
              <w:rPr>
                <w:color w:val="auto"/>
              </w:rPr>
            </w:pPr>
            <w:r>
              <w:rPr>
                <w:rFonts w:hint="eastAsia"/>
                <w:color w:val="auto"/>
              </w:rPr>
              <w:t>96919</w:t>
            </w:r>
          </w:p>
        </w:tc>
        <w:tc>
          <w:tcPr>
            <w:tcW w:w="1084" w:type="pct"/>
            <w:vAlign w:val="center"/>
          </w:tcPr>
          <w:p w14:paraId="7A59DF36">
            <w:pPr>
              <w:pStyle w:val="33"/>
              <w:rPr>
                <w:color w:val="auto"/>
              </w:rPr>
            </w:pPr>
            <w:r>
              <w:rPr>
                <w:rFonts w:hint="eastAsia"/>
                <w:color w:val="auto"/>
              </w:rPr>
              <w:t>自产白卡纸</w:t>
            </w:r>
          </w:p>
        </w:tc>
      </w:tr>
      <w:tr w14:paraId="201005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6C2CBE1">
            <w:pPr>
              <w:pStyle w:val="33"/>
              <w:rPr>
                <w:color w:val="auto"/>
              </w:rPr>
            </w:pPr>
            <w:r>
              <w:rPr>
                <w:rFonts w:hint="eastAsia"/>
                <w:color w:val="auto"/>
              </w:rPr>
              <w:t>65</w:t>
            </w:r>
          </w:p>
        </w:tc>
        <w:tc>
          <w:tcPr>
            <w:tcW w:w="690" w:type="pct"/>
            <w:vMerge w:val="continue"/>
            <w:vAlign w:val="center"/>
          </w:tcPr>
          <w:p w14:paraId="5A145286">
            <w:pPr>
              <w:pStyle w:val="33"/>
              <w:rPr>
                <w:color w:val="auto"/>
              </w:rPr>
            </w:pPr>
          </w:p>
        </w:tc>
        <w:tc>
          <w:tcPr>
            <w:tcW w:w="771" w:type="pct"/>
            <w:vAlign w:val="center"/>
          </w:tcPr>
          <w:p w14:paraId="58AECC13">
            <w:pPr>
              <w:pStyle w:val="33"/>
              <w:rPr>
                <w:color w:val="auto"/>
              </w:rPr>
            </w:pPr>
            <w:r>
              <w:rPr>
                <w:rFonts w:hint="eastAsia"/>
                <w:color w:val="auto"/>
              </w:rPr>
              <w:t>PE</w:t>
            </w:r>
          </w:p>
        </w:tc>
        <w:tc>
          <w:tcPr>
            <w:tcW w:w="771" w:type="pct"/>
            <w:vAlign w:val="center"/>
          </w:tcPr>
          <w:p w14:paraId="44D7D63C">
            <w:pPr>
              <w:pStyle w:val="33"/>
              <w:rPr>
                <w:color w:val="auto"/>
              </w:rPr>
            </w:pPr>
            <w:r>
              <w:rPr>
                <w:color w:val="auto"/>
              </w:rPr>
              <w:t>kg/t纸</w:t>
            </w:r>
          </w:p>
        </w:tc>
        <w:tc>
          <w:tcPr>
            <w:tcW w:w="406" w:type="pct"/>
            <w:vAlign w:val="center"/>
          </w:tcPr>
          <w:p w14:paraId="274293C4">
            <w:pPr>
              <w:pStyle w:val="33"/>
              <w:rPr>
                <w:color w:val="auto"/>
              </w:rPr>
            </w:pPr>
            <w:r>
              <w:rPr>
                <w:rFonts w:hint="eastAsia"/>
                <w:color w:val="auto"/>
              </w:rPr>
              <w:t>102.6</w:t>
            </w:r>
          </w:p>
        </w:tc>
        <w:tc>
          <w:tcPr>
            <w:tcW w:w="501" w:type="pct"/>
            <w:vAlign w:val="center"/>
          </w:tcPr>
          <w:p w14:paraId="402B831F">
            <w:pPr>
              <w:pStyle w:val="33"/>
              <w:rPr>
                <w:color w:val="auto"/>
              </w:rPr>
            </w:pPr>
            <w:r>
              <w:rPr>
                <w:color w:val="auto"/>
              </w:rPr>
              <w:t>t/a</w:t>
            </w:r>
          </w:p>
        </w:tc>
        <w:tc>
          <w:tcPr>
            <w:tcW w:w="542" w:type="pct"/>
            <w:vAlign w:val="center"/>
          </w:tcPr>
          <w:p w14:paraId="60520996">
            <w:pPr>
              <w:pStyle w:val="33"/>
              <w:rPr>
                <w:color w:val="auto"/>
              </w:rPr>
            </w:pPr>
            <w:r>
              <w:rPr>
                <w:rFonts w:hint="eastAsia"/>
                <w:color w:val="auto"/>
              </w:rPr>
              <w:t>11080</w:t>
            </w:r>
          </w:p>
        </w:tc>
        <w:tc>
          <w:tcPr>
            <w:tcW w:w="1084" w:type="pct"/>
            <w:vAlign w:val="center"/>
          </w:tcPr>
          <w:p w14:paraId="4646AAB7">
            <w:pPr>
              <w:pStyle w:val="33"/>
              <w:rPr>
                <w:color w:val="auto"/>
              </w:rPr>
            </w:pPr>
          </w:p>
        </w:tc>
      </w:tr>
      <w:tr w14:paraId="41EA4B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12468B2">
            <w:pPr>
              <w:pStyle w:val="33"/>
              <w:rPr>
                <w:color w:val="auto"/>
              </w:rPr>
            </w:pPr>
            <w:r>
              <w:rPr>
                <w:rFonts w:hint="eastAsia"/>
                <w:color w:val="auto"/>
              </w:rPr>
              <w:t>66</w:t>
            </w:r>
          </w:p>
        </w:tc>
        <w:tc>
          <w:tcPr>
            <w:tcW w:w="690" w:type="pct"/>
            <w:vMerge w:val="restart"/>
            <w:vAlign w:val="center"/>
          </w:tcPr>
          <w:p w14:paraId="4CD14D61">
            <w:pPr>
              <w:pStyle w:val="33"/>
              <w:rPr>
                <w:color w:val="auto"/>
              </w:rPr>
            </w:pPr>
            <w:r>
              <w:rPr>
                <w:color w:val="auto"/>
              </w:rPr>
              <w:t>热电站</w:t>
            </w:r>
          </w:p>
        </w:tc>
        <w:tc>
          <w:tcPr>
            <w:tcW w:w="771" w:type="pct"/>
            <w:vAlign w:val="center"/>
          </w:tcPr>
          <w:p w14:paraId="14925E7A">
            <w:pPr>
              <w:pStyle w:val="33"/>
              <w:rPr>
                <w:color w:val="auto"/>
              </w:rPr>
            </w:pPr>
            <w:r>
              <w:rPr>
                <w:color w:val="auto"/>
              </w:rPr>
              <w:t>白泥</w:t>
            </w:r>
          </w:p>
        </w:tc>
        <w:tc>
          <w:tcPr>
            <w:tcW w:w="771" w:type="pct"/>
            <w:vAlign w:val="center"/>
          </w:tcPr>
          <w:p w14:paraId="4E3F38CC">
            <w:pPr>
              <w:pStyle w:val="33"/>
              <w:rPr>
                <w:color w:val="auto"/>
              </w:rPr>
            </w:pPr>
            <w:r>
              <w:rPr>
                <w:color w:val="auto"/>
              </w:rPr>
              <w:t>/</w:t>
            </w:r>
          </w:p>
        </w:tc>
        <w:tc>
          <w:tcPr>
            <w:tcW w:w="406" w:type="pct"/>
            <w:vAlign w:val="center"/>
          </w:tcPr>
          <w:p w14:paraId="6A72D913">
            <w:pPr>
              <w:pStyle w:val="33"/>
              <w:rPr>
                <w:color w:val="auto"/>
              </w:rPr>
            </w:pPr>
            <w:r>
              <w:rPr>
                <w:color w:val="auto"/>
              </w:rPr>
              <w:t>/</w:t>
            </w:r>
          </w:p>
        </w:tc>
        <w:tc>
          <w:tcPr>
            <w:tcW w:w="501" w:type="pct"/>
            <w:vAlign w:val="center"/>
          </w:tcPr>
          <w:p w14:paraId="52FEAE7A">
            <w:pPr>
              <w:pStyle w:val="33"/>
              <w:rPr>
                <w:color w:val="auto"/>
              </w:rPr>
            </w:pPr>
            <w:r>
              <w:rPr>
                <w:color w:val="auto"/>
              </w:rPr>
              <w:t>万t/a</w:t>
            </w:r>
          </w:p>
        </w:tc>
        <w:tc>
          <w:tcPr>
            <w:tcW w:w="542" w:type="pct"/>
            <w:vAlign w:val="center"/>
          </w:tcPr>
          <w:p w14:paraId="0F7872D6">
            <w:pPr>
              <w:pStyle w:val="33"/>
              <w:rPr>
                <w:color w:val="auto"/>
              </w:rPr>
            </w:pPr>
            <w:r>
              <w:rPr>
                <w:rFonts w:hint="eastAsia"/>
                <w:color w:val="auto"/>
              </w:rPr>
              <w:t>3.73</w:t>
            </w:r>
          </w:p>
        </w:tc>
        <w:tc>
          <w:tcPr>
            <w:tcW w:w="1084" w:type="pct"/>
            <w:vAlign w:val="center"/>
          </w:tcPr>
          <w:p w14:paraId="1ADA4087">
            <w:pPr>
              <w:pStyle w:val="33"/>
              <w:rPr>
                <w:color w:val="auto"/>
              </w:rPr>
            </w:pPr>
            <w:r>
              <w:rPr>
                <w:color w:val="auto"/>
              </w:rPr>
              <w:t>自产，烟气脱硫</w:t>
            </w:r>
          </w:p>
        </w:tc>
      </w:tr>
      <w:tr w14:paraId="6B8821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54518496">
            <w:pPr>
              <w:pStyle w:val="33"/>
              <w:rPr>
                <w:color w:val="auto"/>
              </w:rPr>
            </w:pPr>
            <w:r>
              <w:rPr>
                <w:rFonts w:hint="eastAsia"/>
                <w:color w:val="auto"/>
              </w:rPr>
              <w:t>67</w:t>
            </w:r>
          </w:p>
        </w:tc>
        <w:tc>
          <w:tcPr>
            <w:tcW w:w="690" w:type="pct"/>
            <w:vMerge w:val="continue"/>
            <w:vAlign w:val="center"/>
          </w:tcPr>
          <w:p w14:paraId="56584688">
            <w:pPr>
              <w:pStyle w:val="33"/>
              <w:rPr>
                <w:color w:val="auto"/>
              </w:rPr>
            </w:pPr>
          </w:p>
        </w:tc>
        <w:tc>
          <w:tcPr>
            <w:tcW w:w="771" w:type="pct"/>
            <w:vAlign w:val="center"/>
          </w:tcPr>
          <w:p w14:paraId="1396B9A8">
            <w:pPr>
              <w:pStyle w:val="33"/>
              <w:rPr>
                <w:color w:val="auto"/>
              </w:rPr>
            </w:pPr>
            <w:r>
              <w:rPr>
                <w:color w:val="auto"/>
              </w:rPr>
              <w:t>煤</w:t>
            </w:r>
          </w:p>
        </w:tc>
        <w:tc>
          <w:tcPr>
            <w:tcW w:w="771" w:type="pct"/>
            <w:vAlign w:val="center"/>
          </w:tcPr>
          <w:p w14:paraId="185D2B3D">
            <w:pPr>
              <w:pStyle w:val="33"/>
              <w:rPr>
                <w:color w:val="auto"/>
              </w:rPr>
            </w:pPr>
            <w:r>
              <w:rPr>
                <w:color w:val="auto"/>
              </w:rPr>
              <w:t>/</w:t>
            </w:r>
          </w:p>
        </w:tc>
        <w:tc>
          <w:tcPr>
            <w:tcW w:w="406" w:type="pct"/>
            <w:vAlign w:val="center"/>
          </w:tcPr>
          <w:p w14:paraId="49508865">
            <w:pPr>
              <w:pStyle w:val="33"/>
              <w:rPr>
                <w:color w:val="auto"/>
              </w:rPr>
            </w:pPr>
            <w:r>
              <w:rPr>
                <w:color w:val="auto"/>
              </w:rPr>
              <w:t>/</w:t>
            </w:r>
          </w:p>
        </w:tc>
        <w:tc>
          <w:tcPr>
            <w:tcW w:w="501" w:type="pct"/>
            <w:vAlign w:val="center"/>
          </w:tcPr>
          <w:p w14:paraId="318D5E3D">
            <w:pPr>
              <w:pStyle w:val="33"/>
              <w:rPr>
                <w:color w:val="auto"/>
              </w:rPr>
            </w:pPr>
            <w:r>
              <w:rPr>
                <w:color w:val="auto"/>
              </w:rPr>
              <w:t>万t/a</w:t>
            </w:r>
          </w:p>
        </w:tc>
        <w:tc>
          <w:tcPr>
            <w:tcW w:w="542" w:type="pct"/>
            <w:vAlign w:val="center"/>
          </w:tcPr>
          <w:p w14:paraId="176511F2">
            <w:pPr>
              <w:pStyle w:val="33"/>
              <w:rPr>
                <w:color w:val="auto"/>
              </w:rPr>
            </w:pPr>
            <w:r>
              <w:rPr>
                <w:rFonts w:hint="eastAsia"/>
                <w:color w:val="auto"/>
              </w:rPr>
              <w:t>107</w:t>
            </w:r>
          </w:p>
        </w:tc>
        <w:tc>
          <w:tcPr>
            <w:tcW w:w="1084" w:type="pct"/>
            <w:vAlign w:val="center"/>
          </w:tcPr>
          <w:p w14:paraId="1B6E24D8">
            <w:pPr>
              <w:pStyle w:val="33"/>
              <w:rPr>
                <w:color w:val="auto"/>
              </w:rPr>
            </w:pPr>
            <w:r>
              <w:rPr>
                <w:color w:val="auto"/>
              </w:rPr>
              <w:t>印尼煤</w:t>
            </w:r>
          </w:p>
        </w:tc>
      </w:tr>
      <w:tr w14:paraId="76FEE6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06F6EBB">
            <w:pPr>
              <w:pStyle w:val="33"/>
              <w:rPr>
                <w:color w:val="auto"/>
              </w:rPr>
            </w:pPr>
            <w:r>
              <w:rPr>
                <w:rFonts w:hint="eastAsia"/>
                <w:color w:val="auto"/>
              </w:rPr>
              <w:t>68</w:t>
            </w:r>
          </w:p>
        </w:tc>
        <w:tc>
          <w:tcPr>
            <w:tcW w:w="690" w:type="pct"/>
            <w:vMerge w:val="continue"/>
            <w:vAlign w:val="center"/>
          </w:tcPr>
          <w:p w14:paraId="2DF7F2D9">
            <w:pPr>
              <w:pStyle w:val="33"/>
              <w:rPr>
                <w:color w:val="auto"/>
              </w:rPr>
            </w:pPr>
          </w:p>
        </w:tc>
        <w:tc>
          <w:tcPr>
            <w:tcW w:w="771" w:type="pct"/>
            <w:vAlign w:val="center"/>
          </w:tcPr>
          <w:p w14:paraId="1C2C2C6D">
            <w:pPr>
              <w:pStyle w:val="33"/>
              <w:rPr>
                <w:color w:val="auto"/>
              </w:rPr>
            </w:pPr>
            <w:r>
              <w:rPr>
                <w:color w:val="auto"/>
              </w:rPr>
              <w:t>柴油</w:t>
            </w:r>
          </w:p>
        </w:tc>
        <w:tc>
          <w:tcPr>
            <w:tcW w:w="771" w:type="pct"/>
            <w:vAlign w:val="center"/>
          </w:tcPr>
          <w:p w14:paraId="65B110E9">
            <w:pPr>
              <w:pStyle w:val="33"/>
              <w:rPr>
                <w:color w:val="auto"/>
              </w:rPr>
            </w:pPr>
            <w:r>
              <w:rPr>
                <w:color w:val="auto"/>
              </w:rPr>
              <w:t>/</w:t>
            </w:r>
          </w:p>
        </w:tc>
        <w:tc>
          <w:tcPr>
            <w:tcW w:w="406" w:type="pct"/>
            <w:vAlign w:val="center"/>
          </w:tcPr>
          <w:p w14:paraId="54E2A724">
            <w:pPr>
              <w:pStyle w:val="33"/>
              <w:rPr>
                <w:color w:val="auto"/>
              </w:rPr>
            </w:pPr>
            <w:r>
              <w:rPr>
                <w:color w:val="auto"/>
              </w:rPr>
              <w:t>/</w:t>
            </w:r>
          </w:p>
        </w:tc>
        <w:tc>
          <w:tcPr>
            <w:tcW w:w="501" w:type="pct"/>
            <w:vAlign w:val="center"/>
          </w:tcPr>
          <w:p w14:paraId="1632EA85">
            <w:pPr>
              <w:pStyle w:val="33"/>
              <w:rPr>
                <w:color w:val="auto"/>
              </w:rPr>
            </w:pPr>
            <w:r>
              <w:rPr>
                <w:color w:val="auto"/>
              </w:rPr>
              <w:t>万t/a</w:t>
            </w:r>
          </w:p>
        </w:tc>
        <w:tc>
          <w:tcPr>
            <w:tcW w:w="542" w:type="pct"/>
            <w:vAlign w:val="center"/>
          </w:tcPr>
          <w:p w14:paraId="3A5BAD02">
            <w:pPr>
              <w:pStyle w:val="33"/>
              <w:rPr>
                <w:color w:val="auto"/>
              </w:rPr>
            </w:pPr>
            <w:r>
              <w:rPr>
                <w:color w:val="auto"/>
              </w:rPr>
              <w:t>0.</w:t>
            </w:r>
            <w:r>
              <w:rPr>
                <w:rFonts w:hint="eastAsia"/>
                <w:color w:val="auto"/>
              </w:rPr>
              <w:t>0064</w:t>
            </w:r>
          </w:p>
        </w:tc>
        <w:tc>
          <w:tcPr>
            <w:tcW w:w="1084" w:type="pct"/>
            <w:vAlign w:val="center"/>
          </w:tcPr>
          <w:p w14:paraId="6A090482">
            <w:pPr>
              <w:pStyle w:val="33"/>
              <w:rPr>
                <w:color w:val="auto"/>
              </w:rPr>
            </w:pPr>
            <w:r>
              <w:rPr>
                <w:color w:val="auto"/>
              </w:rPr>
              <w:t>锅炉、碱炉启动</w:t>
            </w:r>
          </w:p>
        </w:tc>
      </w:tr>
      <w:tr w14:paraId="304F5F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BE98F82">
            <w:pPr>
              <w:pStyle w:val="33"/>
              <w:rPr>
                <w:color w:val="auto"/>
              </w:rPr>
            </w:pPr>
            <w:r>
              <w:rPr>
                <w:rFonts w:hint="eastAsia"/>
                <w:color w:val="auto"/>
              </w:rPr>
              <w:t>69</w:t>
            </w:r>
          </w:p>
        </w:tc>
        <w:tc>
          <w:tcPr>
            <w:tcW w:w="690" w:type="pct"/>
            <w:vMerge w:val="continue"/>
            <w:vAlign w:val="center"/>
          </w:tcPr>
          <w:p w14:paraId="3A332EE4">
            <w:pPr>
              <w:pStyle w:val="33"/>
              <w:rPr>
                <w:color w:val="auto"/>
              </w:rPr>
            </w:pPr>
          </w:p>
        </w:tc>
        <w:tc>
          <w:tcPr>
            <w:tcW w:w="771" w:type="pct"/>
            <w:vAlign w:val="center"/>
          </w:tcPr>
          <w:p w14:paraId="589AB14D">
            <w:pPr>
              <w:pStyle w:val="33"/>
              <w:rPr>
                <w:color w:val="auto"/>
              </w:rPr>
            </w:pPr>
            <w:r>
              <w:rPr>
                <w:color w:val="auto"/>
              </w:rPr>
              <w:t>液氨</w:t>
            </w:r>
          </w:p>
        </w:tc>
        <w:tc>
          <w:tcPr>
            <w:tcW w:w="771" w:type="pct"/>
            <w:vAlign w:val="center"/>
          </w:tcPr>
          <w:p w14:paraId="4190B3F5">
            <w:pPr>
              <w:pStyle w:val="33"/>
              <w:rPr>
                <w:color w:val="auto"/>
              </w:rPr>
            </w:pPr>
            <w:r>
              <w:rPr>
                <w:color w:val="auto"/>
              </w:rPr>
              <w:t>/</w:t>
            </w:r>
          </w:p>
        </w:tc>
        <w:tc>
          <w:tcPr>
            <w:tcW w:w="406" w:type="pct"/>
            <w:vAlign w:val="center"/>
          </w:tcPr>
          <w:p w14:paraId="6754A7CD">
            <w:pPr>
              <w:pStyle w:val="33"/>
              <w:rPr>
                <w:color w:val="auto"/>
              </w:rPr>
            </w:pPr>
            <w:r>
              <w:rPr>
                <w:color w:val="auto"/>
              </w:rPr>
              <w:t>/</w:t>
            </w:r>
          </w:p>
        </w:tc>
        <w:tc>
          <w:tcPr>
            <w:tcW w:w="501" w:type="pct"/>
            <w:vAlign w:val="center"/>
          </w:tcPr>
          <w:p w14:paraId="35B64F98">
            <w:pPr>
              <w:pStyle w:val="33"/>
              <w:rPr>
                <w:color w:val="auto"/>
              </w:rPr>
            </w:pPr>
            <w:r>
              <w:rPr>
                <w:color w:val="auto"/>
              </w:rPr>
              <w:t>t/a</w:t>
            </w:r>
          </w:p>
        </w:tc>
        <w:tc>
          <w:tcPr>
            <w:tcW w:w="542" w:type="pct"/>
            <w:vAlign w:val="center"/>
          </w:tcPr>
          <w:p w14:paraId="2E18582E">
            <w:pPr>
              <w:pStyle w:val="33"/>
              <w:rPr>
                <w:color w:val="auto"/>
              </w:rPr>
            </w:pPr>
            <w:r>
              <w:rPr>
                <w:rFonts w:hint="eastAsia"/>
                <w:color w:val="auto"/>
              </w:rPr>
              <w:t>213.7</w:t>
            </w:r>
          </w:p>
        </w:tc>
        <w:tc>
          <w:tcPr>
            <w:tcW w:w="1084" w:type="pct"/>
            <w:vAlign w:val="center"/>
          </w:tcPr>
          <w:p w14:paraId="76FBAE01">
            <w:pPr>
              <w:pStyle w:val="33"/>
              <w:rPr>
                <w:color w:val="auto"/>
              </w:rPr>
            </w:pPr>
            <w:r>
              <w:rPr>
                <w:color w:val="auto"/>
              </w:rPr>
              <w:t>氨含量99.6%</w:t>
            </w:r>
          </w:p>
        </w:tc>
      </w:tr>
    </w:tbl>
    <w:p w14:paraId="7014D30B">
      <w:pPr>
        <w:pStyle w:val="4"/>
        <w:rPr>
          <w:color w:val="auto"/>
        </w:rPr>
      </w:pPr>
      <w:bookmarkStart w:id="161" w:name="_Toc225216673"/>
      <w:r>
        <w:rPr>
          <w:color w:val="auto"/>
        </w:rPr>
        <w:t>工程分析</w:t>
      </w:r>
      <w:bookmarkEnd w:id="161"/>
    </w:p>
    <w:p w14:paraId="69F13D3D">
      <w:pPr>
        <w:pStyle w:val="5"/>
        <w:rPr>
          <w:color w:val="auto"/>
        </w:rPr>
      </w:pPr>
      <w:r>
        <w:rPr>
          <w:color w:val="auto"/>
        </w:rPr>
        <w:t>备料车间</w:t>
      </w:r>
    </w:p>
    <w:p w14:paraId="66C72AE5">
      <w:pPr>
        <w:ind w:firstLine="480"/>
        <w:rPr>
          <w:color w:val="auto"/>
        </w:rPr>
      </w:pPr>
      <w:r>
        <w:rPr>
          <w:color w:val="auto"/>
        </w:rPr>
        <w:t>备料车间主要是木片制备，主要分为原木备料和外购木片备料。</w:t>
      </w:r>
    </w:p>
    <w:p w14:paraId="01C575F3">
      <w:pPr>
        <w:ind w:firstLine="480"/>
        <w:rPr>
          <w:color w:val="auto"/>
        </w:rPr>
      </w:pPr>
      <w:r>
        <w:rPr>
          <w:color w:val="auto"/>
        </w:rPr>
        <w:t>原木备料包括原木冲洗、原木削片、木片筛选、合格木片经螺旋出料机出料，送化机浆车间；外购木片直接送木片筛进行筛选。木片筛筛选出来的过大过厚木片经过再切机再切后回到木片筛进行筛选</w:t>
      </w:r>
      <w:r>
        <w:rPr>
          <w:color w:val="auto"/>
          <w:spacing w:val="-3"/>
        </w:rPr>
        <w:t>。</w:t>
      </w:r>
    </w:p>
    <w:p w14:paraId="0F4AAE31">
      <w:pPr>
        <w:pStyle w:val="5"/>
        <w:rPr>
          <w:color w:val="auto"/>
        </w:rPr>
      </w:pPr>
      <w:r>
        <w:rPr>
          <w:color w:val="auto"/>
        </w:rPr>
        <w:t>化机浆车间</w:t>
      </w:r>
    </w:p>
    <w:p w14:paraId="3F094926">
      <w:pPr>
        <w:ind w:firstLine="472"/>
        <w:rPr>
          <w:color w:val="auto"/>
        </w:rPr>
      </w:pPr>
      <w:r>
        <w:rPr>
          <w:rFonts w:eastAsia="Times New Roman" w:cs="Times New Roman"/>
          <w:color w:val="auto"/>
          <w:spacing w:val="-2"/>
        </w:rPr>
        <w:t>1#</w:t>
      </w:r>
      <w:r>
        <w:rPr>
          <w:color w:val="auto"/>
          <w:spacing w:val="-2"/>
        </w:rPr>
        <w:t>、</w:t>
      </w:r>
      <w:r>
        <w:rPr>
          <w:rFonts w:eastAsia="Times New Roman" w:cs="Times New Roman"/>
          <w:color w:val="auto"/>
          <w:spacing w:val="-2"/>
        </w:rPr>
        <w:t>2#</w:t>
      </w:r>
      <w:r>
        <w:rPr>
          <w:rFonts w:hint="eastAsia" w:cs="Times New Roman" w:eastAsiaTheme="minorEastAsia"/>
          <w:color w:val="auto"/>
          <w:spacing w:val="-2"/>
        </w:rPr>
        <w:t>30</w:t>
      </w:r>
      <w:r>
        <w:rPr>
          <w:color w:val="auto"/>
          <w:spacing w:val="-2"/>
        </w:rPr>
        <w:t>万</w:t>
      </w:r>
      <w:r>
        <w:rPr>
          <w:rFonts w:eastAsia="Times New Roman" w:cs="Times New Roman"/>
          <w:color w:val="auto"/>
          <w:spacing w:val="-2"/>
        </w:rPr>
        <w:t>t/a</w:t>
      </w:r>
      <w:r>
        <w:rPr>
          <w:color w:val="auto"/>
          <w:spacing w:val="-2"/>
        </w:rPr>
        <w:t>化机浆生产线采用</w:t>
      </w:r>
      <w:r>
        <w:rPr>
          <w:rFonts w:eastAsia="Times New Roman" w:cs="Times New Roman"/>
          <w:color w:val="auto"/>
          <w:spacing w:val="-3"/>
        </w:rPr>
        <w:t>PRC-APMP</w:t>
      </w:r>
      <w:r>
        <w:rPr>
          <w:color w:val="auto"/>
          <w:spacing w:val="-3"/>
        </w:rPr>
        <w:t>工艺，包括气蒸、洗涤、脱</w:t>
      </w:r>
      <w:r>
        <w:rPr>
          <w:color w:val="auto"/>
          <w:spacing w:val="1"/>
        </w:rPr>
        <w:t>水、挤压、预浸渍、磨浆、筛选、漂白等工序。</w:t>
      </w:r>
      <w:r>
        <w:rPr>
          <w:rFonts w:eastAsia="Times New Roman" w:cs="Times New Roman"/>
          <w:color w:val="auto"/>
          <w:spacing w:val="1"/>
        </w:rPr>
        <w:t>3</w:t>
      </w:r>
      <w:r>
        <w:rPr>
          <w:rFonts w:eastAsia="Times New Roman" w:cs="Times New Roman"/>
          <w:color w:val="auto"/>
        </w:rPr>
        <w:t>#25</w:t>
      </w:r>
      <w:r>
        <w:rPr>
          <w:color w:val="auto"/>
        </w:rPr>
        <w:t>万</w:t>
      </w:r>
      <w:r>
        <w:rPr>
          <w:rFonts w:eastAsia="Times New Roman" w:cs="Times New Roman"/>
          <w:color w:val="auto"/>
        </w:rPr>
        <w:t>t/a</w:t>
      </w:r>
      <w:r>
        <w:rPr>
          <w:color w:val="auto"/>
        </w:rPr>
        <w:t>化机浆生产线采用</w:t>
      </w:r>
      <w:r>
        <w:rPr>
          <w:rFonts w:eastAsia="Times New Roman" w:cs="Times New Roman"/>
          <w:color w:val="auto"/>
        </w:rPr>
        <w:t>BCTMP</w:t>
      </w:r>
      <w:r>
        <w:rPr>
          <w:color w:val="auto"/>
        </w:rPr>
        <w:t>工艺，</w:t>
      </w:r>
      <w:r>
        <w:rPr>
          <w:rFonts w:eastAsia="Times New Roman" w:cs="Times New Roman"/>
          <w:color w:val="auto"/>
        </w:rPr>
        <w:t>BCTMP</w:t>
      </w:r>
      <w:r>
        <w:rPr>
          <w:color w:val="auto"/>
        </w:rPr>
        <w:t>工艺与</w:t>
      </w:r>
      <w:r>
        <w:rPr>
          <w:rFonts w:eastAsia="Times New Roman" w:cs="Times New Roman"/>
          <w:color w:val="auto"/>
        </w:rPr>
        <w:t>PRC-APMP</w:t>
      </w:r>
      <w:r>
        <w:rPr>
          <w:color w:val="auto"/>
        </w:rPr>
        <w:t>工艺相比增加了预蒸工序，但减少了挤压工序，设备结构也有所不同，但制浆原理一致，本质</w:t>
      </w:r>
      <w:r>
        <w:rPr>
          <w:color w:val="auto"/>
          <w:spacing w:val="-2"/>
        </w:rPr>
        <w:t>上差别不大。</w:t>
      </w:r>
    </w:p>
    <w:p w14:paraId="6247FBE3">
      <w:pPr>
        <w:pStyle w:val="5"/>
        <w:rPr>
          <w:color w:val="auto"/>
        </w:rPr>
      </w:pPr>
      <w:r>
        <w:rPr>
          <w:color w:val="auto"/>
        </w:rPr>
        <w:t>造纸及抄浆车间</w:t>
      </w:r>
    </w:p>
    <w:p w14:paraId="7E971F6F">
      <w:pPr>
        <w:ind w:firstLine="480"/>
        <w:rPr>
          <w:color w:val="auto"/>
        </w:rPr>
      </w:pPr>
      <w:r>
        <w:rPr>
          <w:color w:val="auto"/>
        </w:rPr>
        <w:t>化机浆生产线自制化机浆送造纸车间抄纸。造纸车间分打浆、上浆、造纸、</w:t>
      </w:r>
      <w:r>
        <w:rPr>
          <w:color w:val="auto"/>
          <w:spacing w:val="-6"/>
        </w:rPr>
        <w:t>涂料制备等工序。</w:t>
      </w:r>
      <w:r>
        <w:rPr>
          <w:color w:val="auto"/>
          <w:spacing w:val="-4"/>
        </w:rPr>
        <w:t>自产化机浆除自用外，部分送抄浆车间生产浆包</w:t>
      </w:r>
      <w:r>
        <w:rPr>
          <w:color w:val="auto"/>
          <w:spacing w:val="-5"/>
        </w:rPr>
        <w:t>。抄浆车间主要包括半干浆</w:t>
      </w:r>
      <w:r>
        <w:rPr>
          <w:color w:val="auto"/>
          <w:spacing w:val="-3"/>
        </w:rPr>
        <w:t>工段、闪急干燥工段、打包工段。</w:t>
      </w:r>
    </w:p>
    <w:p w14:paraId="069DDBB7">
      <w:pPr>
        <w:pStyle w:val="5"/>
        <w:rPr>
          <w:color w:val="auto"/>
        </w:rPr>
      </w:pPr>
      <w:r>
        <w:rPr>
          <w:color w:val="auto"/>
        </w:rPr>
        <w:t>碱回收车间</w:t>
      </w:r>
    </w:p>
    <w:p w14:paraId="7102AEA7">
      <w:pPr>
        <w:ind w:firstLine="480"/>
        <w:rPr>
          <w:color w:val="auto"/>
        </w:rPr>
      </w:pPr>
      <w:r>
        <w:rPr>
          <w:color w:val="auto"/>
        </w:rPr>
        <w:t>碱回收车间包括蒸发、燃烧、苛化三个工段。化机浆车间产生的废液送入碱回收车间，经蒸发浓缩后浓度达到45%，再进入碱灰混合槽，最后进增浓效进一步浓缩至65%，将65%以上的浓缩废液送碱回收炉燃烧。燃烧使废液中的有机物转变为热能，用纯化水吸收产生蒸汽；废液中钠的化合物转化为Na</w:t>
      </w:r>
      <w:r>
        <w:rPr>
          <w:color w:val="auto"/>
          <w:vertAlign w:val="subscript"/>
        </w:rPr>
        <w:t>2</w:t>
      </w:r>
      <w:r>
        <w:rPr>
          <w:color w:val="auto"/>
        </w:rPr>
        <w:t>CO</w:t>
      </w:r>
      <w:r>
        <w:rPr>
          <w:color w:val="auto"/>
          <w:vertAlign w:val="subscript"/>
        </w:rPr>
        <w:t>3</w:t>
      </w:r>
      <w:r>
        <w:rPr>
          <w:color w:val="auto"/>
        </w:rPr>
        <w:t>，呈熔融状态从碱回收炉流出，用稀白液吸收即得到绿液及绿泥；绿液与熟石灰乳液混合反应后，就可得到烧碱溶液（即NaOH溶液，称为白液），副产品为CaCO</w:t>
      </w:r>
      <w:r>
        <w:rPr>
          <w:color w:val="auto"/>
          <w:vertAlign w:val="subscript"/>
        </w:rPr>
        <w:t>3</w:t>
      </w:r>
      <w:r>
        <w:rPr>
          <w:color w:val="auto"/>
        </w:rPr>
        <w:t>（称为白泥）。</w:t>
      </w:r>
    </w:p>
    <w:p w14:paraId="0EF33F32">
      <w:pPr>
        <w:ind w:firstLine="480"/>
        <w:rPr>
          <w:color w:val="auto"/>
        </w:rPr>
      </w:pPr>
      <w:r>
        <w:rPr>
          <w:color w:val="auto"/>
        </w:rPr>
        <w:t>碱回收车间回收到的白液回用到化机浆车间，碱回收炉所产蒸汽用于厂区生产，副产品白泥经洗涤并浓缩到</w:t>
      </w:r>
      <w:r>
        <w:rPr>
          <w:rFonts w:eastAsia="Times New Roman" w:cs="Times New Roman"/>
          <w:color w:val="auto"/>
        </w:rPr>
        <w:t>65%</w:t>
      </w:r>
      <w:r>
        <w:rPr>
          <w:color w:val="auto"/>
        </w:rPr>
        <w:t>的干度后，部分送往热电站，作为炉外石灰</w:t>
      </w:r>
      <w:r>
        <w:rPr>
          <w:color w:val="auto"/>
          <w:spacing w:val="-2"/>
        </w:rPr>
        <w:t>石</w:t>
      </w:r>
      <w:r>
        <w:rPr>
          <w:rFonts w:eastAsia="Times New Roman" w:cs="Times New Roman"/>
          <w:color w:val="auto"/>
          <w:spacing w:val="-2"/>
        </w:rPr>
        <w:t>-</w:t>
      </w:r>
      <w:r>
        <w:rPr>
          <w:color w:val="auto"/>
          <w:spacing w:val="-2"/>
        </w:rPr>
        <w:t>石膏湿法脱硫剂，其余外售作锅炉脱硫剂。</w:t>
      </w:r>
    </w:p>
    <w:p w14:paraId="24CC24D4">
      <w:pPr>
        <w:pStyle w:val="5"/>
        <w:rPr>
          <w:color w:val="auto"/>
        </w:rPr>
      </w:pPr>
      <w:r>
        <w:rPr>
          <w:color w:val="auto"/>
        </w:rPr>
        <w:t>过氧化氢车间</w:t>
      </w:r>
    </w:p>
    <w:p w14:paraId="46AD8D51">
      <w:pPr>
        <w:ind w:firstLine="480"/>
        <w:rPr>
          <w:color w:val="auto"/>
          <w:spacing w:val="-4"/>
        </w:rPr>
      </w:pPr>
      <w:r>
        <w:rPr>
          <w:color w:val="auto"/>
        </w:rPr>
        <w:t>过氧化氢车间主要包括一套30万t/a双氧水装置（按27.5%wt），配套一套7500m</w:t>
      </w:r>
      <w:r>
        <w:rPr>
          <w:color w:val="auto"/>
          <w:vertAlign w:val="superscript"/>
        </w:rPr>
        <w:t>3</w:t>
      </w:r>
      <w:r>
        <w:rPr>
          <w:color w:val="auto"/>
        </w:rPr>
        <w:t>/h天然气制氢装置。天然气制氢装置以天然气为原料生产氢气。原料气经过脱硫后与水蒸气在填装有催化剂的转化炉内重整、变压吸附提纯后获得氢气，为双氧水装置提供原料氢气。双氧水装置采用固定床钯触媒蒽醌法，以2-乙基蒽醌为反应载体，工作液中的蒽醌与氢气在固定床中加氢反应器中发生氢化反应生成氢蒽醌，氢蒽醌又与空气发生氧化反应生成双氧水，同时氢蒽醌转化为蒽醌返回氢化，氧化液经萃取、净化获得双氧水成品。包括工作液配制、氢化单元、氧化单元、萃取净化、工作液后处理、氧化铝回收等工段</w:t>
      </w:r>
      <w:r>
        <w:rPr>
          <w:color w:val="auto"/>
          <w:spacing w:val="-4"/>
        </w:rPr>
        <w:t>。</w:t>
      </w:r>
    </w:p>
    <w:p w14:paraId="1E8555CC">
      <w:pPr>
        <w:pStyle w:val="5"/>
        <w:rPr>
          <w:color w:val="auto"/>
        </w:rPr>
      </w:pPr>
      <w:r>
        <w:rPr>
          <w:rFonts w:hint="eastAsia"/>
          <w:color w:val="auto"/>
        </w:rPr>
        <w:t>淋膜纸生产线</w:t>
      </w:r>
    </w:p>
    <w:p w14:paraId="6C6411F4">
      <w:pPr>
        <w:spacing w:before="163" w:beforeLines="50"/>
        <w:ind w:firstLine="480"/>
        <w:rPr>
          <w:color w:val="auto"/>
        </w:rPr>
      </w:pPr>
      <w:r>
        <w:rPr>
          <w:rFonts w:hint="eastAsia"/>
          <w:color w:val="auto"/>
        </w:rPr>
        <w:t>淋膜机生产线主要包括4台食品级白卡纸淋膜机，其中单淋膜机2台，幅宽均为1800mm；双淋膜机2台，幅宽分别为1800mm和1600mm。淋膜纸是将塑料粒子生产塑料膜，再通过流延机涂覆在纸张表面的复合材料，主要特点包括防油、防水（相对）、可热合。</w:t>
      </w:r>
      <w:r>
        <w:rPr>
          <w:rFonts w:hint="eastAsia"/>
          <w:color w:val="auto"/>
          <w:szCs w:val="24"/>
        </w:rPr>
        <w:t>淋膜纸和纸板按用途不同分为</w:t>
      </w:r>
      <w:r>
        <w:rPr>
          <w:rFonts w:hint="eastAsia" w:cs="宋体"/>
          <w:color w:val="auto"/>
          <w:szCs w:val="24"/>
        </w:rPr>
        <w:t>Ⅰ型、Ⅱ型、Ⅲ型。Ⅰ型为包裹汉堡、糕点等的低定量淋膜纸，其定量一般在40.0g/m</w:t>
      </w:r>
      <w:r>
        <w:rPr>
          <w:rFonts w:hint="eastAsia" w:cs="宋体"/>
          <w:color w:val="auto"/>
          <w:szCs w:val="24"/>
          <w:vertAlign w:val="superscript"/>
        </w:rPr>
        <w:t>2</w:t>
      </w:r>
      <w:r>
        <w:rPr>
          <w:rFonts w:hint="eastAsia" w:cs="宋体"/>
          <w:color w:val="auto"/>
          <w:szCs w:val="24"/>
        </w:rPr>
        <w:t>以下；Ⅱ型为用来加工盛装干果等纸袋的淋膜纸，其定量一般在40.0g/m</w:t>
      </w:r>
      <w:r>
        <w:rPr>
          <w:rFonts w:hint="eastAsia" w:cs="宋体"/>
          <w:color w:val="auto"/>
          <w:szCs w:val="24"/>
          <w:vertAlign w:val="superscript"/>
        </w:rPr>
        <w:t>2</w:t>
      </w:r>
      <w:r>
        <w:rPr>
          <w:rFonts w:hint="eastAsia" w:cs="宋体"/>
          <w:color w:val="auto"/>
          <w:szCs w:val="24"/>
        </w:rPr>
        <w:t>~120g/m</w:t>
      </w:r>
      <w:r>
        <w:rPr>
          <w:rFonts w:hint="eastAsia" w:cs="宋体"/>
          <w:color w:val="auto"/>
          <w:szCs w:val="24"/>
          <w:vertAlign w:val="superscript"/>
        </w:rPr>
        <w:t>2</w:t>
      </w:r>
      <w:r>
        <w:rPr>
          <w:rFonts w:hint="eastAsia" w:cs="宋体"/>
          <w:color w:val="auto"/>
          <w:szCs w:val="24"/>
        </w:rPr>
        <w:t>之间；Ⅲ型为用来加工纸杯、纸碗、纸餐盒等高定量淋膜纸和纸板，定量一般在150g/m</w:t>
      </w:r>
      <w:r>
        <w:rPr>
          <w:rFonts w:hint="eastAsia" w:cs="宋体"/>
          <w:color w:val="auto"/>
          <w:szCs w:val="24"/>
          <w:vertAlign w:val="superscript"/>
        </w:rPr>
        <w:t>2</w:t>
      </w:r>
      <w:r>
        <w:rPr>
          <w:rFonts w:hint="eastAsia" w:cs="宋体"/>
          <w:color w:val="auto"/>
          <w:szCs w:val="24"/>
        </w:rPr>
        <w:t>以上。</w:t>
      </w:r>
    </w:p>
    <w:p w14:paraId="0ECE53EE">
      <w:pPr>
        <w:spacing w:before="163" w:beforeLines="50"/>
        <w:ind w:firstLine="480"/>
        <w:rPr>
          <w:color w:val="auto"/>
        </w:rPr>
      </w:pPr>
    </w:p>
    <w:p w14:paraId="1C76834A">
      <w:pPr>
        <w:pStyle w:val="4"/>
        <w:rPr>
          <w:color w:val="auto"/>
        </w:rPr>
      </w:pPr>
      <w:bookmarkStart w:id="162" w:name="_Toc225216674"/>
      <w:r>
        <w:rPr>
          <w:color w:val="auto"/>
        </w:rPr>
        <w:t>公用工程</w:t>
      </w:r>
      <w:bookmarkEnd w:id="162"/>
    </w:p>
    <w:p w14:paraId="09977FB5">
      <w:pPr>
        <w:pStyle w:val="5"/>
        <w:rPr>
          <w:color w:val="auto"/>
        </w:rPr>
      </w:pPr>
      <w:r>
        <w:rPr>
          <w:color w:val="auto"/>
        </w:rPr>
        <w:t>给排水工程</w:t>
      </w:r>
    </w:p>
    <w:p w14:paraId="140B03B8">
      <w:pPr>
        <w:ind w:firstLine="452"/>
        <w:rPr>
          <w:color w:val="auto"/>
        </w:rPr>
      </w:pPr>
      <w:r>
        <w:rPr>
          <w:color w:val="auto"/>
          <w:spacing w:val="-7"/>
        </w:rPr>
        <w:t>现有工程从金窝水库取水，水源涉及金窝水库、大风江调水工程，通过大风</w:t>
      </w:r>
      <w:r>
        <w:rPr>
          <w:color w:val="auto"/>
          <w:spacing w:val="-5"/>
        </w:rPr>
        <w:t>江调水工程补充金窝水库。根据钦州市相关规划，金窝水库和大风江一起作</w:t>
      </w:r>
      <w:r>
        <w:rPr>
          <w:color w:val="auto"/>
          <w:spacing w:val="-6"/>
        </w:rPr>
        <w:t>为包</w:t>
      </w:r>
      <w:r>
        <w:rPr>
          <w:color w:val="auto"/>
        </w:rPr>
        <w:t>括金桂浆纸在内钦州港区工业及生活给水水源。现有工程</w:t>
      </w:r>
      <w:r>
        <w:rPr>
          <w:color w:val="auto"/>
          <w:spacing w:val="-2"/>
        </w:rPr>
        <w:t>建有</w:t>
      </w:r>
      <w:r>
        <w:rPr>
          <w:rFonts w:eastAsia="Times New Roman" w:cs="Times New Roman"/>
          <w:color w:val="auto"/>
          <w:spacing w:val="-2"/>
        </w:rPr>
        <w:t>8</w:t>
      </w:r>
      <w:r>
        <w:rPr>
          <w:color w:val="auto"/>
          <w:spacing w:val="-2"/>
        </w:rPr>
        <w:t>万</w:t>
      </w:r>
      <w:r>
        <w:rPr>
          <w:rFonts w:eastAsia="Times New Roman" w:cs="Times New Roman"/>
          <w:color w:val="auto"/>
          <w:spacing w:val="-2"/>
        </w:rPr>
        <w:t>m</w:t>
      </w:r>
      <w:r>
        <w:rPr>
          <w:rFonts w:eastAsia="Times New Roman" w:cs="Times New Roman"/>
          <w:color w:val="auto"/>
          <w:spacing w:val="-2"/>
          <w:position w:val="8"/>
          <w:sz w:val="15"/>
          <w:szCs w:val="15"/>
        </w:rPr>
        <w:t>3</w:t>
      </w:r>
      <w:r>
        <w:rPr>
          <w:rFonts w:eastAsia="Times New Roman" w:cs="Times New Roman"/>
          <w:color w:val="auto"/>
          <w:spacing w:val="-2"/>
        </w:rPr>
        <w:t>/d</w:t>
      </w:r>
      <w:r>
        <w:rPr>
          <w:color w:val="auto"/>
          <w:spacing w:val="-2"/>
        </w:rPr>
        <w:t>给水处</w:t>
      </w:r>
      <w:r>
        <w:rPr>
          <w:color w:val="auto"/>
        </w:rPr>
        <w:t>理站和</w:t>
      </w:r>
      <w:r>
        <w:rPr>
          <w:rFonts w:eastAsia="Times New Roman" w:cs="Times New Roman"/>
          <w:color w:val="auto"/>
        </w:rPr>
        <w:t>2.5</w:t>
      </w:r>
      <w:r>
        <w:rPr>
          <w:color w:val="auto"/>
        </w:rPr>
        <w:t>万</w:t>
      </w:r>
      <w:r>
        <w:rPr>
          <w:rFonts w:eastAsia="Times New Roman" w:cs="Times New Roman"/>
          <w:color w:val="auto"/>
        </w:rPr>
        <w:t>m</w:t>
      </w:r>
      <w:r>
        <w:rPr>
          <w:rFonts w:eastAsia="Times New Roman" w:cs="Times New Roman"/>
          <w:color w:val="auto"/>
          <w:position w:val="8"/>
          <w:sz w:val="15"/>
          <w:szCs w:val="15"/>
        </w:rPr>
        <w:t>3</w:t>
      </w:r>
      <w:r>
        <w:rPr>
          <w:rFonts w:eastAsia="Times New Roman" w:cs="Times New Roman"/>
          <w:color w:val="auto"/>
        </w:rPr>
        <w:t>/d</w:t>
      </w:r>
      <w:r>
        <w:rPr>
          <w:color w:val="auto"/>
        </w:rPr>
        <w:t>给水处理站各一座，现状全厂用水量为</w:t>
      </w:r>
      <w:r>
        <w:rPr>
          <w:rFonts w:eastAsia="Times New Roman"/>
          <w:color w:val="auto"/>
          <w:spacing w:val="2"/>
        </w:rPr>
        <w:t>931</w:t>
      </w:r>
      <w:r>
        <w:rPr>
          <w:rFonts w:eastAsia="Times New Roman"/>
          <w:color w:val="auto"/>
          <w:spacing w:val="4"/>
        </w:rPr>
        <w:t>22</w:t>
      </w:r>
      <w:r>
        <w:rPr>
          <w:rFonts w:eastAsia="Times New Roman" w:cs="Times New Roman"/>
          <w:color w:val="auto"/>
        </w:rPr>
        <w:t>m</w:t>
      </w:r>
      <w:r>
        <w:rPr>
          <w:rFonts w:eastAsia="Times New Roman" w:cs="Times New Roman"/>
          <w:color w:val="auto"/>
          <w:position w:val="8"/>
          <w:sz w:val="15"/>
          <w:szCs w:val="15"/>
        </w:rPr>
        <w:t>3</w:t>
      </w:r>
      <w:r>
        <w:rPr>
          <w:rFonts w:eastAsia="Times New Roman" w:cs="Times New Roman"/>
          <w:color w:val="auto"/>
        </w:rPr>
        <w:t>/d</w:t>
      </w:r>
      <w:r>
        <w:rPr>
          <w:color w:val="auto"/>
        </w:rPr>
        <w:t>。</w:t>
      </w:r>
    </w:p>
    <w:p w14:paraId="059A6FD5">
      <w:pPr>
        <w:ind w:firstLine="480"/>
        <w:rPr>
          <w:color w:val="auto"/>
        </w:rPr>
      </w:pPr>
      <w:r>
        <w:rPr>
          <w:color w:val="auto"/>
        </w:rPr>
        <w:t>根据清污分流原则，现有工程厂区排水分别建有污水系统和雨水</w:t>
      </w:r>
      <w:r>
        <w:rPr>
          <w:color w:val="auto"/>
          <w:spacing w:val="-4"/>
        </w:rPr>
        <w:t>系统，以及</w:t>
      </w:r>
      <w:r>
        <w:rPr>
          <w:color w:val="auto"/>
          <w:spacing w:val="-5"/>
        </w:rPr>
        <w:t>木片堆场渗滤液收集系统。厂区污水通过管网送入污水处理站进行</w:t>
      </w:r>
      <w:r>
        <w:rPr>
          <w:color w:val="auto"/>
          <w:spacing w:val="-6"/>
        </w:rPr>
        <w:t>处理，处理达</w:t>
      </w:r>
      <w:r>
        <w:rPr>
          <w:color w:val="auto"/>
        </w:rPr>
        <w:t>标后经排海管线深海排放。木片堆场渗滤液通过渗滤液收集沟收集后排入污水管网，厂区初期雨水经雨水沟闸板阀截留后送入</w:t>
      </w:r>
      <w:r>
        <w:rPr>
          <w:rFonts w:hint="eastAsia"/>
          <w:color w:val="auto"/>
        </w:rPr>
        <w:t>初期雨水池</w:t>
      </w:r>
      <w:r>
        <w:rPr>
          <w:color w:val="auto"/>
        </w:rPr>
        <w:t>，渗滤液及初期雨水经污</w:t>
      </w:r>
      <w:r>
        <w:rPr>
          <w:color w:val="auto"/>
          <w:spacing w:val="-6"/>
        </w:rPr>
        <w:t>水管网送事故池暂存，经污水处理站处理后达标排放。经截流</w:t>
      </w:r>
      <w:r>
        <w:rPr>
          <w:color w:val="auto"/>
          <w:spacing w:val="-7"/>
        </w:rPr>
        <w:t>初期雨水后，后期</w:t>
      </w:r>
      <w:r>
        <w:rPr>
          <w:color w:val="auto"/>
          <w:spacing w:val="-2"/>
        </w:rPr>
        <w:t>雨水通过管沟或管道收集后，经排海沟渠排</w:t>
      </w:r>
      <w:r>
        <w:rPr>
          <w:color w:val="auto"/>
        </w:rPr>
        <w:t>海。</w:t>
      </w:r>
    </w:p>
    <w:p w14:paraId="10C0E485">
      <w:pPr>
        <w:ind w:firstLine="480"/>
        <w:rPr>
          <w:color w:val="auto"/>
        </w:rPr>
      </w:pPr>
      <w:r>
        <w:rPr>
          <w:color w:val="auto"/>
        </w:rPr>
        <w:t>现有工程主要污水排放源包括：备料车间、碱回收车间（主要为重污冷凝水）、造纸车间、给水处理站、化学水车间、热电站及冷却塔、过氧化氢车间、污水处理站、生活污水等。</w:t>
      </w:r>
    </w:p>
    <w:p w14:paraId="530B8740">
      <w:pPr>
        <w:ind w:firstLine="480"/>
        <w:rPr>
          <w:rStyle w:val="36"/>
          <w:color w:val="auto"/>
        </w:rPr>
      </w:pPr>
      <w:r>
        <w:rPr>
          <w:rStyle w:val="36"/>
          <w:color w:val="auto"/>
        </w:rPr>
        <w:t>过氧化氢车间配套</w:t>
      </w:r>
      <w:r>
        <w:rPr>
          <w:rFonts w:eastAsia="Times New Roman" w:cs="Times New Roman"/>
          <w:color w:val="auto"/>
        </w:rPr>
        <w:t>200m</w:t>
      </w:r>
      <w:r>
        <w:rPr>
          <w:rFonts w:eastAsia="Times New Roman" w:cs="Times New Roman"/>
          <w:color w:val="auto"/>
          <w:position w:val="8"/>
          <w:sz w:val="15"/>
          <w:szCs w:val="15"/>
        </w:rPr>
        <w:t>3</w:t>
      </w:r>
      <w:r>
        <w:rPr>
          <w:rFonts w:eastAsia="Times New Roman" w:cs="Times New Roman"/>
          <w:color w:val="auto"/>
        </w:rPr>
        <w:t>/d</w:t>
      </w:r>
      <w:r>
        <w:rPr>
          <w:rStyle w:val="36"/>
          <w:color w:val="auto"/>
        </w:rPr>
        <w:t>地埋式废水预处理设施，采用“隔油+芬顿+絮凝沉淀”工艺，处理后的废水排入1#污水处理站。</w:t>
      </w:r>
    </w:p>
    <w:p w14:paraId="7C508048">
      <w:pPr>
        <w:ind w:firstLine="480"/>
        <w:rPr>
          <w:rFonts w:eastAsiaTheme="minorEastAsia"/>
          <w:color w:val="auto"/>
          <w:spacing w:val="-1"/>
          <w:szCs w:val="21"/>
        </w:rPr>
      </w:pPr>
      <w:r>
        <w:rPr>
          <w:rStyle w:val="36"/>
          <w:color w:val="auto"/>
        </w:rPr>
        <w:t>现有工程1#污水处理站规模60000</w:t>
      </w:r>
      <w:r>
        <w:rPr>
          <w:rFonts w:eastAsia="Times New Roman" w:cs="Times New Roman"/>
          <w:color w:val="auto"/>
          <w:spacing w:val="-7"/>
        </w:rPr>
        <w:t>m</w:t>
      </w:r>
      <w:r>
        <w:rPr>
          <w:rFonts w:eastAsia="Times New Roman" w:cs="Times New Roman"/>
          <w:color w:val="auto"/>
          <w:spacing w:val="-7"/>
          <w:position w:val="8"/>
          <w:sz w:val="15"/>
          <w:szCs w:val="15"/>
        </w:rPr>
        <w:t>3</w:t>
      </w:r>
      <w:r>
        <w:rPr>
          <w:rFonts w:eastAsia="Times New Roman" w:cs="Times New Roman"/>
          <w:color w:val="auto"/>
          <w:spacing w:val="-7"/>
        </w:rPr>
        <w:t>/d</w:t>
      </w:r>
      <w:r>
        <w:rPr>
          <w:color w:val="auto"/>
          <w:spacing w:val="-7"/>
        </w:rPr>
        <w:t>，</w:t>
      </w:r>
      <w:r>
        <w:rPr>
          <w:rStyle w:val="36"/>
          <w:color w:val="auto"/>
        </w:rPr>
        <w:t>采用“物化+好氧处理（SBR工艺）+高效浅层气浮”工艺，主要处理现有1#~3#化机浆线、1#造纸车间及其配套辅助设施废水。</w:t>
      </w:r>
      <w:r>
        <w:rPr>
          <w:rFonts w:hint="eastAsia"/>
          <w:color w:val="auto"/>
        </w:rPr>
        <w:t>新增21000</w:t>
      </w:r>
      <w:r>
        <w:rPr>
          <w:rFonts w:eastAsia="Times New Roman"/>
          <w:color w:val="auto"/>
          <w:spacing w:val="-1"/>
          <w:szCs w:val="21"/>
        </w:rPr>
        <w:t>m</w:t>
      </w:r>
      <w:r>
        <w:rPr>
          <w:rFonts w:eastAsia="Times New Roman"/>
          <w:color w:val="auto"/>
          <w:spacing w:val="-1"/>
          <w:position w:val="7"/>
          <w:sz w:val="14"/>
          <w:szCs w:val="14"/>
        </w:rPr>
        <w:t>3</w:t>
      </w:r>
      <w:r>
        <w:rPr>
          <w:rFonts w:eastAsia="Times New Roman"/>
          <w:color w:val="auto"/>
          <w:spacing w:val="-1"/>
          <w:szCs w:val="21"/>
        </w:rPr>
        <w:t>/d</w:t>
      </w:r>
      <w:r>
        <w:rPr>
          <w:rFonts w:hint="eastAsia" w:eastAsiaTheme="minorEastAsia"/>
          <w:color w:val="auto"/>
          <w:spacing w:val="-1"/>
          <w:szCs w:val="21"/>
        </w:rPr>
        <w:t>处理设施</w:t>
      </w:r>
      <w:r>
        <w:rPr>
          <w:rFonts w:hint="eastAsia" w:ascii="宋体" w:hAnsi="宋体" w:cs="宋体"/>
          <w:color w:val="auto"/>
          <w:spacing w:val="-1"/>
          <w:szCs w:val="21"/>
        </w:rPr>
        <w:t>，</w:t>
      </w:r>
      <w:r>
        <w:rPr>
          <w:rFonts w:hint="eastAsia" w:eastAsiaTheme="minorEastAsia"/>
          <w:color w:val="auto"/>
          <w:spacing w:val="-1"/>
          <w:szCs w:val="21"/>
        </w:rPr>
        <w:t>从1#污水处理站现有进水中抽调约20497.5m</w:t>
      </w:r>
      <w:r>
        <w:rPr>
          <w:rFonts w:hint="eastAsia" w:eastAsiaTheme="minorEastAsia"/>
          <w:color w:val="auto"/>
          <w:spacing w:val="-1"/>
          <w:szCs w:val="21"/>
          <w:vertAlign w:val="superscript"/>
        </w:rPr>
        <w:t>3</w:t>
      </w:r>
      <w:r>
        <w:rPr>
          <w:rFonts w:hint="eastAsia" w:eastAsiaTheme="minorEastAsia"/>
          <w:color w:val="auto"/>
          <w:spacing w:val="-1"/>
          <w:szCs w:val="21"/>
        </w:rPr>
        <w:t>/d进水进入新建污水处理系统，高级氧化工段依托2#污水处理站芬顿工艺，其余污水处理设施各自单独使用</w:t>
      </w:r>
      <w:r>
        <w:rPr>
          <w:rFonts w:hint="eastAsia"/>
          <w:color w:val="auto"/>
          <w:spacing w:val="-2"/>
          <w:szCs w:val="21"/>
        </w:rPr>
        <w:t>，经</w:t>
      </w:r>
      <w:r>
        <w:rPr>
          <w:rFonts w:hint="eastAsia" w:ascii="宋体" w:hAnsi="宋体" w:cs="宋体"/>
          <w:color w:val="auto"/>
          <w:spacing w:val="-1"/>
          <w:szCs w:val="21"/>
        </w:rPr>
        <w:t>“</w:t>
      </w:r>
      <w:r>
        <w:rPr>
          <w:rFonts w:hint="eastAsia"/>
          <w:color w:val="auto"/>
          <w:spacing w:val="-2"/>
          <w:szCs w:val="21"/>
        </w:rPr>
        <w:t>格栅+气浮+絮凝沉淀+UMAR厌氧反应器+二级AO+Fenton氧化”后汇入现有中间水池，1#污水处理站原处理</w:t>
      </w:r>
      <w:r>
        <w:rPr>
          <w:color w:val="auto"/>
          <w:spacing w:val="-1"/>
          <w:szCs w:val="21"/>
        </w:rPr>
        <w:t>规模</w:t>
      </w:r>
      <w:r>
        <w:rPr>
          <w:rFonts w:eastAsia="Times New Roman"/>
          <w:color w:val="auto"/>
          <w:spacing w:val="-1"/>
          <w:szCs w:val="21"/>
        </w:rPr>
        <w:t>60000m</w:t>
      </w:r>
      <w:r>
        <w:rPr>
          <w:rFonts w:eastAsia="Times New Roman"/>
          <w:color w:val="auto"/>
          <w:spacing w:val="-1"/>
          <w:position w:val="7"/>
          <w:sz w:val="14"/>
          <w:szCs w:val="14"/>
        </w:rPr>
        <w:t>3</w:t>
      </w:r>
      <w:r>
        <w:rPr>
          <w:rFonts w:eastAsia="Times New Roman"/>
          <w:color w:val="auto"/>
          <w:spacing w:val="-1"/>
          <w:szCs w:val="21"/>
        </w:rPr>
        <w:t>/d</w:t>
      </w:r>
      <w:r>
        <w:rPr>
          <w:rFonts w:hint="eastAsia" w:eastAsiaTheme="minorEastAsia"/>
          <w:color w:val="auto"/>
          <w:spacing w:val="-1"/>
          <w:szCs w:val="21"/>
        </w:rPr>
        <w:t>不变。</w:t>
      </w:r>
    </w:p>
    <w:p w14:paraId="375648C9">
      <w:pPr>
        <w:ind w:firstLine="480"/>
        <w:rPr>
          <w:rStyle w:val="36"/>
          <w:color w:val="auto"/>
        </w:rPr>
      </w:pPr>
      <w:r>
        <w:rPr>
          <w:rStyle w:val="36"/>
          <w:color w:val="auto"/>
        </w:rPr>
        <w:t>2#污水处理站规模</w:t>
      </w:r>
      <w:r>
        <w:rPr>
          <w:rFonts w:eastAsia="Times New Roman" w:cs="Times New Roman"/>
          <w:color w:val="auto"/>
        </w:rPr>
        <w:t>45000m</w:t>
      </w:r>
      <w:r>
        <w:rPr>
          <w:rFonts w:eastAsia="Times New Roman" w:cs="Times New Roman"/>
          <w:color w:val="auto"/>
          <w:position w:val="8"/>
          <w:sz w:val="15"/>
          <w:szCs w:val="15"/>
        </w:rPr>
        <w:t>3</w:t>
      </w:r>
      <w:r>
        <w:rPr>
          <w:rFonts w:eastAsia="Times New Roman" w:cs="Times New Roman"/>
          <w:color w:val="auto"/>
        </w:rPr>
        <w:t>/d</w:t>
      </w:r>
      <w:r>
        <w:rPr>
          <w:color w:val="auto"/>
        </w:rPr>
        <w:t>，</w:t>
      </w:r>
      <w:r>
        <w:rPr>
          <w:rStyle w:val="36"/>
          <w:color w:val="auto"/>
        </w:rPr>
        <w:t>采用“絮凝沉淀+A/O+絮凝沉淀/芬顿处理”工艺（三级絮凝沉淀系统、芬顿系统并联运行，目前为采用絮凝沉淀系统进行处理即可达标排放），主要处理2#造纸车间及其配套辅助设施废水。</w:t>
      </w:r>
    </w:p>
    <w:p w14:paraId="04331FF7">
      <w:pPr>
        <w:ind w:firstLine="480"/>
        <w:rPr>
          <w:rStyle w:val="36"/>
          <w:color w:val="auto"/>
        </w:rPr>
      </w:pPr>
      <w:r>
        <w:rPr>
          <w:rStyle w:val="36"/>
          <w:color w:val="auto"/>
        </w:rPr>
        <w:t>1#、2#污水处理站出水达到《制浆造纸工业水污染物排放标准》（GB3544-2008）表2中制浆和造纸联合生产企业排放限值由A2排污区</w:t>
      </w:r>
      <w:r>
        <w:rPr>
          <w:rStyle w:val="36"/>
          <w:rFonts w:hint="eastAsia"/>
          <w:color w:val="auto"/>
        </w:rPr>
        <w:t>排海</w:t>
      </w:r>
      <w:r>
        <w:rPr>
          <w:rStyle w:val="36"/>
          <w:color w:val="auto"/>
        </w:rPr>
        <w:t>。</w:t>
      </w:r>
    </w:p>
    <w:p w14:paraId="385DEB25">
      <w:pPr>
        <w:ind w:firstLine="528"/>
        <w:rPr>
          <w:rStyle w:val="36"/>
          <w:color w:val="auto"/>
        </w:rPr>
      </w:pPr>
      <w:r>
        <w:rPr>
          <w:rFonts w:hint="eastAsia"/>
          <w:color w:val="auto"/>
          <w:spacing w:val="12"/>
        </w:rPr>
        <w:t>现有工程</w:t>
      </w:r>
      <w:r>
        <w:rPr>
          <w:color w:val="auto"/>
          <w:spacing w:val="12"/>
        </w:rPr>
        <w:t>全厂用水量为</w:t>
      </w:r>
      <w:r>
        <w:rPr>
          <w:rFonts w:eastAsia="Times New Roman"/>
          <w:color w:val="auto"/>
          <w:spacing w:val="2"/>
        </w:rPr>
        <w:t>931</w:t>
      </w:r>
      <w:r>
        <w:rPr>
          <w:rFonts w:eastAsia="Times New Roman"/>
          <w:color w:val="auto"/>
          <w:spacing w:val="4"/>
        </w:rPr>
        <w:t>22</w:t>
      </w:r>
      <w:r>
        <w:rPr>
          <w:rFonts w:eastAsia="Times New Roman"/>
          <w:color w:val="auto"/>
          <w:spacing w:val="7"/>
        </w:rPr>
        <w:t>m</w:t>
      </w:r>
      <w:r>
        <w:rPr>
          <w:rFonts w:eastAsia="Times New Roman"/>
          <w:color w:val="auto"/>
          <w:spacing w:val="3"/>
          <w:w w:val="101"/>
          <w:vertAlign w:val="superscript"/>
        </w:rPr>
        <w:t>3</w:t>
      </w:r>
      <w:r>
        <w:rPr>
          <w:rFonts w:eastAsia="Times New Roman"/>
          <w:color w:val="auto"/>
          <w:spacing w:val="2"/>
        </w:rPr>
        <w:t>/</w:t>
      </w:r>
      <w:r>
        <w:rPr>
          <w:rFonts w:eastAsia="Times New Roman"/>
          <w:color w:val="auto"/>
          <w:spacing w:val="9"/>
        </w:rPr>
        <w:t>d</w:t>
      </w:r>
      <w:r>
        <w:rPr>
          <w:color w:val="auto"/>
          <w:spacing w:val="12"/>
        </w:rPr>
        <w:t>，</w:t>
      </w:r>
      <w:r>
        <w:rPr>
          <w:rFonts w:hint="eastAsia"/>
          <w:color w:val="auto"/>
          <w:spacing w:val="12"/>
        </w:rPr>
        <w:t>现有工程1#和2#污水处理站</w:t>
      </w:r>
      <w:r>
        <w:rPr>
          <w:color w:val="auto"/>
          <w:spacing w:val="9"/>
        </w:rPr>
        <w:t>排水量为</w:t>
      </w:r>
      <w:r>
        <w:rPr>
          <w:rFonts w:eastAsia="Times New Roman"/>
          <w:color w:val="auto"/>
          <w:spacing w:val="2"/>
        </w:rPr>
        <w:t>684</w:t>
      </w:r>
      <w:r>
        <w:rPr>
          <w:rFonts w:eastAsia="Times New Roman"/>
          <w:color w:val="auto"/>
          <w:spacing w:val="4"/>
        </w:rPr>
        <w:t>27</w:t>
      </w:r>
      <w:r>
        <w:rPr>
          <w:rFonts w:eastAsia="Times New Roman"/>
          <w:color w:val="auto"/>
          <w:spacing w:val="7"/>
        </w:rPr>
        <w:t>m</w:t>
      </w:r>
      <w:r>
        <w:rPr>
          <w:rFonts w:eastAsia="Times New Roman"/>
          <w:color w:val="auto"/>
          <w:spacing w:val="3"/>
          <w:w w:val="101"/>
          <w:vertAlign w:val="superscript"/>
        </w:rPr>
        <w:t>3</w:t>
      </w:r>
      <w:r>
        <w:rPr>
          <w:rFonts w:eastAsia="Times New Roman"/>
          <w:color w:val="auto"/>
          <w:spacing w:val="2"/>
        </w:rPr>
        <w:t>/</w:t>
      </w:r>
      <w:r>
        <w:rPr>
          <w:rFonts w:eastAsia="Times New Roman"/>
          <w:color w:val="auto"/>
          <w:spacing w:val="7"/>
        </w:rPr>
        <w:t>d</w:t>
      </w:r>
      <w:r>
        <w:rPr>
          <w:color w:val="auto"/>
        </w:rPr>
        <w:t>，</w:t>
      </w:r>
      <w:r>
        <w:rPr>
          <w:color w:val="auto"/>
          <w:spacing w:val="4"/>
        </w:rPr>
        <w:t>具体供排水情况如</w:t>
      </w:r>
      <w:r>
        <w:rPr>
          <w:rFonts w:hint="eastAsia"/>
          <w:color w:val="auto"/>
          <w:spacing w:val="4"/>
        </w:rPr>
        <w:t>下。</w:t>
      </w:r>
    </w:p>
    <w:p w14:paraId="0612CEED">
      <w:pPr>
        <w:pStyle w:val="7"/>
        <w:rPr>
          <w:rStyle w:val="36"/>
          <w:color w:val="auto"/>
        </w:rPr>
      </w:pPr>
      <w:r>
        <w:rPr>
          <w:rFonts w:hint="eastAsia"/>
          <w:color w:val="auto"/>
        </w:rPr>
        <w:t>现有工程</w:t>
      </w:r>
      <w:r>
        <w:rPr>
          <w:color w:val="auto"/>
        </w:rPr>
        <w:t>全厂供排水情况一览</w:t>
      </w:r>
      <w:r>
        <w:rPr>
          <w:rFonts w:hint="eastAsia"/>
          <w:color w:val="auto"/>
        </w:rPr>
        <w:t>表</w:t>
      </w:r>
    </w:p>
    <w:tbl>
      <w:tblPr>
        <w:tblStyle w:val="64"/>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06"/>
        <w:gridCol w:w="2571"/>
        <w:gridCol w:w="1407"/>
        <w:gridCol w:w="2988"/>
        <w:gridCol w:w="1408"/>
      </w:tblGrid>
      <w:tr w14:paraId="3CD6FC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Merge w:val="restart"/>
            <w:vAlign w:val="center"/>
          </w:tcPr>
          <w:p w14:paraId="1A98FD77">
            <w:pPr>
              <w:pStyle w:val="33"/>
              <w:autoSpaceDE w:val="0"/>
              <w:autoSpaceDN w:val="0"/>
              <w:rPr>
                <w:color w:val="auto"/>
                <w:lang w:eastAsia="en-US"/>
              </w:rPr>
            </w:pPr>
            <w:r>
              <w:rPr>
                <w:rFonts w:hint="eastAsia" w:ascii="宋体" w:hAnsi="宋体" w:cs="宋体"/>
                <w:color w:val="auto"/>
                <w:spacing w:val="-6"/>
                <w:lang w:eastAsia="en-US"/>
              </w:rPr>
              <w:t>序号</w:t>
            </w:r>
          </w:p>
        </w:tc>
        <w:tc>
          <w:tcPr>
            <w:tcW w:w="2191" w:type="pct"/>
            <w:gridSpan w:val="2"/>
            <w:vAlign w:val="center"/>
          </w:tcPr>
          <w:p w14:paraId="7A408DE0">
            <w:pPr>
              <w:pStyle w:val="33"/>
              <w:autoSpaceDE w:val="0"/>
              <w:autoSpaceDN w:val="0"/>
              <w:rPr>
                <w:color w:val="auto"/>
                <w:lang w:eastAsia="en-US"/>
              </w:rPr>
            </w:pPr>
            <w:r>
              <w:rPr>
                <w:rFonts w:hint="eastAsia" w:ascii="宋体" w:hAnsi="宋体" w:cs="宋体"/>
                <w:color w:val="auto"/>
                <w:spacing w:val="-6"/>
                <w:lang w:eastAsia="en-US"/>
              </w:rPr>
              <w:t>进水</w:t>
            </w:r>
          </w:p>
        </w:tc>
        <w:tc>
          <w:tcPr>
            <w:tcW w:w="2420" w:type="pct"/>
            <w:gridSpan w:val="2"/>
            <w:vAlign w:val="center"/>
          </w:tcPr>
          <w:p w14:paraId="198FCDCD">
            <w:pPr>
              <w:pStyle w:val="33"/>
              <w:autoSpaceDE w:val="0"/>
              <w:autoSpaceDN w:val="0"/>
              <w:rPr>
                <w:color w:val="auto"/>
                <w:lang w:eastAsia="en-US"/>
              </w:rPr>
            </w:pPr>
            <w:r>
              <w:rPr>
                <w:rFonts w:hint="eastAsia" w:ascii="宋体" w:hAnsi="宋体" w:cs="宋体"/>
                <w:color w:val="auto"/>
                <w:spacing w:val="-6"/>
                <w:lang w:eastAsia="en-US"/>
              </w:rPr>
              <w:t>出水</w:t>
            </w:r>
          </w:p>
        </w:tc>
      </w:tr>
      <w:tr w14:paraId="620DE3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Merge w:val="continue"/>
            <w:tcBorders>
              <w:top w:val="nil"/>
            </w:tcBorders>
            <w:vAlign w:val="center"/>
          </w:tcPr>
          <w:p w14:paraId="1E8F681F">
            <w:pPr>
              <w:pStyle w:val="33"/>
              <w:autoSpaceDE w:val="0"/>
              <w:autoSpaceDN w:val="0"/>
              <w:rPr>
                <w:color w:val="auto"/>
                <w:sz w:val="2"/>
                <w:szCs w:val="2"/>
                <w:lang w:eastAsia="en-US"/>
              </w:rPr>
            </w:pPr>
          </w:p>
        </w:tc>
        <w:tc>
          <w:tcPr>
            <w:tcW w:w="1416" w:type="pct"/>
            <w:vAlign w:val="center"/>
          </w:tcPr>
          <w:p w14:paraId="7E9A1CFD">
            <w:pPr>
              <w:pStyle w:val="33"/>
              <w:autoSpaceDE w:val="0"/>
              <w:autoSpaceDN w:val="0"/>
              <w:rPr>
                <w:color w:val="auto"/>
                <w:lang w:eastAsia="en-US"/>
              </w:rPr>
            </w:pPr>
            <w:r>
              <w:rPr>
                <w:rFonts w:hint="eastAsia" w:ascii="宋体" w:hAnsi="宋体" w:cs="宋体"/>
                <w:color w:val="auto"/>
                <w:spacing w:val="-2"/>
                <w:lang w:eastAsia="en-US"/>
              </w:rPr>
              <w:t>生产车</w:t>
            </w:r>
            <w:r>
              <w:rPr>
                <w:rFonts w:hint="eastAsia" w:ascii="宋体" w:hAnsi="宋体" w:cs="宋体"/>
                <w:color w:val="auto"/>
                <w:spacing w:val="-10"/>
                <w:lang w:eastAsia="en-US"/>
              </w:rPr>
              <w:t>间</w:t>
            </w:r>
          </w:p>
        </w:tc>
        <w:tc>
          <w:tcPr>
            <w:tcW w:w="775" w:type="pct"/>
            <w:vAlign w:val="center"/>
          </w:tcPr>
          <w:p w14:paraId="79570ACC">
            <w:pPr>
              <w:pStyle w:val="33"/>
              <w:autoSpaceDE w:val="0"/>
              <w:autoSpaceDN w:val="0"/>
              <w:rPr>
                <w:rFonts w:eastAsia="Times New Roman"/>
                <w:color w:val="auto"/>
                <w:lang w:eastAsia="en-US"/>
              </w:rPr>
            </w:pPr>
            <w:r>
              <w:rPr>
                <w:rFonts w:hint="eastAsia" w:ascii="宋体" w:hAnsi="宋体" w:cs="宋体"/>
                <w:color w:val="auto"/>
                <w:spacing w:val="-2"/>
                <w:lang w:eastAsia="en-US"/>
              </w:rPr>
              <w:t>水量</w:t>
            </w:r>
            <w:r>
              <w:rPr>
                <w:rFonts w:eastAsia="Times New Roman"/>
                <w:color w:val="auto"/>
                <w:spacing w:val="-4"/>
                <w:lang w:eastAsia="en-US"/>
              </w:rPr>
              <w:t>m</w:t>
            </w:r>
            <w:r>
              <w:rPr>
                <w:rFonts w:eastAsia="Times New Roman"/>
                <w:color w:val="auto"/>
                <w:spacing w:val="-4"/>
                <w:vertAlign w:val="superscript"/>
                <w:lang w:eastAsia="en-US"/>
              </w:rPr>
              <w:t>3</w:t>
            </w:r>
            <w:r>
              <w:rPr>
                <w:rFonts w:eastAsia="Times New Roman"/>
                <w:color w:val="auto"/>
                <w:spacing w:val="-4"/>
                <w:lang w:eastAsia="en-US"/>
              </w:rPr>
              <w:t>/d</w:t>
            </w:r>
          </w:p>
        </w:tc>
        <w:tc>
          <w:tcPr>
            <w:tcW w:w="1645" w:type="pct"/>
            <w:vAlign w:val="center"/>
          </w:tcPr>
          <w:p w14:paraId="1B461BBD">
            <w:pPr>
              <w:pStyle w:val="33"/>
              <w:autoSpaceDE w:val="0"/>
              <w:autoSpaceDN w:val="0"/>
              <w:rPr>
                <w:color w:val="auto"/>
                <w:lang w:eastAsia="en-US"/>
              </w:rPr>
            </w:pPr>
            <w:r>
              <w:rPr>
                <w:rFonts w:hint="eastAsia" w:ascii="宋体" w:hAnsi="宋体" w:cs="宋体"/>
                <w:color w:val="auto"/>
                <w:spacing w:val="-2"/>
                <w:lang w:eastAsia="en-US"/>
              </w:rPr>
              <w:t>生产车</w:t>
            </w:r>
            <w:r>
              <w:rPr>
                <w:rFonts w:hint="eastAsia" w:ascii="宋体" w:hAnsi="宋体" w:cs="宋体"/>
                <w:color w:val="auto"/>
                <w:spacing w:val="-10"/>
                <w:lang w:eastAsia="en-US"/>
              </w:rPr>
              <w:t>间</w:t>
            </w:r>
          </w:p>
        </w:tc>
        <w:tc>
          <w:tcPr>
            <w:tcW w:w="775" w:type="pct"/>
            <w:vAlign w:val="center"/>
          </w:tcPr>
          <w:p w14:paraId="6BA2DD3A">
            <w:pPr>
              <w:pStyle w:val="33"/>
              <w:autoSpaceDE w:val="0"/>
              <w:autoSpaceDN w:val="0"/>
              <w:rPr>
                <w:rFonts w:eastAsia="Times New Roman"/>
                <w:color w:val="auto"/>
                <w:lang w:eastAsia="en-US"/>
              </w:rPr>
            </w:pPr>
            <w:r>
              <w:rPr>
                <w:rFonts w:hint="eastAsia" w:ascii="宋体" w:hAnsi="宋体" w:cs="宋体"/>
                <w:color w:val="auto"/>
                <w:spacing w:val="-2"/>
                <w:lang w:eastAsia="en-US"/>
              </w:rPr>
              <w:t>水量</w:t>
            </w:r>
            <w:r>
              <w:rPr>
                <w:rFonts w:eastAsia="Times New Roman"/>
                <w:color w:val="auto"/>
                <w:spacing w:val="-4"/>
                <w:lang w:eastAsia="en-US"/>
              </w:rPr>
              <w:t>m</w:t>
            </w:r>
            <w:r>
              <w:rPr>
                <w:rFonts w:eastAsia="Times New Roman"/>
                <w:color w:val="auto"/>
                <w:spacing w:val="-4"/>
                <w:vertAlign w:val="superscript"/>
                <w:lang w:eastAsia="en-US"/>
              </w:rPr>
              <w:t>3</w:t>
            </w:r>
            <w:r>
              <w:rPr>
                <w:rFonts w:eastAsia="Times New Roman"/>
                <w:color w:val="auto"/>
                <w:spacing w:val="-4"/>
                <w:lang w:eastAsia="en-US"/>
              </w:rPr>
              <w:t>/d</w:t>
            </w:r>
          </w:p>
        </w:tc>
      </w:tr>
      <w:tr w14:paraId="55FAEF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49DA68B2">
            <w:pPr>
              <w:pStyle w:val="33"/>
              <w:autoSpaceDE w:val="0"/>
              <w:autoSpaceDN w:val="0"/>
              <w:rPr>
                <w:color w:val="auto"/>
                <w:lang w:eastAsia="en-US"/>
              </w:rPr>
            </w:pPr>
            <w:r>
              <w:rPr>
                <w:color w:val="auto"/>
                <w:w w:val="99"/>
                <w:lang w:eastAsia="en-US"/>
              </w:rPr>
              <w:t>1</w:t>
            </w:r>
          </w:p>
        </w:tc>
        <w:tc>
          <w:tcPr>
            <w:tcW w:w="1416" w:type="pct"/>
            <w:vAlign w:val="center"/>
          </w:tcPr>
          <w:p w14:paraId="5AEF52EC">
            <w:pPr>
              <w:pStyle w:val="33"/>
              <w:autoSpaceDE w:val="0"/>
              <w:autoSpaceDN w:val="0"/>
              <w:rPr>
                <w:color w:val="auto"/>
                <w:lang w:eastAsia="en-US"/>
              </w:rPr>
            </w:pPr>
            <w:r>
              <w:rPr>
                <w:rFonts w:hint="eastAsia" w:ascii="宋体" w:hAnsi="宋体" w:cs="宋体"/>
                <w:color w:val="auto"/>
                <w:spacing w:val="-4"/>
                <w:lang w:eastAsia="en-US"/>
              </w:rPr>
              <w:t>化机浆车间</w:t>
            </w:r>
          </w:p>
        </w:tc>
        <w:tc>
          <w:tcPr>
            <w:tcW w:w="775" w:type="pct"/>
            <w:vAlign w:val="center"/>
          </w:tcPr>
          <w:p w14:paraId="2A4D14E8">
            <w:pPr>
              <w:pStyle w:val="33"/>
              <w:autoSpaceDE w:val="0"/>
              <w:autoSpaceDN w:val="0"/>
              <w:rPr>
                <w:color w:val="auto"/>
                <w:lang w:eastAsia="en-US"/>
              </w:rPr>
            </w:pPr>
            <w:r>
              <w:rPr>
                <w:color w:val="auto"/>
                <w:spacing w:val="-2"/>
                <w:lang w:eastAsia="en-US"/>
              </w:rPr>
              <w:t>26760</w:t>
            </w:r>
          </w:p>
        </w:tc>
        <w:tc>
          <w:tcPr>
            <w:tcW w:w="1645" w:type="pct"/>
            <w:vAlign w:val="center"/>
          </w:tcPr>
          <w:p w14:paraId="6A27D4B5">
            <w:pPr>
              <w:pStyle w:val="33"/>
              <w:autoSpaceDE w:val="0"/>
              <w:autoSpaceDN w:val="0"/>
              <w:rPr>
                <w:color w:val="auto"/>
                <w:lang w:eastAsia="en-US"/>
              </w:rPr>
            </w:pPr>
            <w:r>
              <w:rPr>
                <w:rFonts w:hint="eastAsia" w:ascii="宋体" w:hAnsi="宋体" w:cs="宋体"/>
                <w:color w:val="auto"/>
                <w:spacing w:val="-7"/>
                <w:lang w:eastAsia="en-US"/>
              </w:rPr>
              <w:t>备料车间</w:t>
            </w:r>
          </w:p>
        </w:tc>
        <w:tc>
          <w:tcPr>
            <w:tcW w:w="775" w:type="pct"/>
            <w:vAlign w:val="center"/>
          </w:tcPr>
          <w:p w14:paraId="15180816">
            <w:pPr>
              <w:pStyle w:val="33"/>
              <w:autoSpaceDE w:val="0"/>
              <w:autoSpaceDN w:val="0"/>
              <w:rPr>
                <w:color w:val="auto"/>
                <w:lang w:eastAsia="en-US"/>
              </w:rPr>
            </w:pPr>
            <w:r>
              <w:rPr>
                <w:color w:val="auto"/>
                <w:spacing w:val="-5"/>
                <w:lang w:eastAsia="en-US"/>
              </w:rPr>
              <w:t>350</w:t>
            </w:r>
          </w:p>
        </w:tc>
      </w:tr>
      <w:tr w14:paraId="1B02DE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16CDC9EA">
            <w:pPr>
              <w:pStyle w:val="33"/>
              <w:autoSpaceDE w:val="0"/>
              <w:autoSpaceDN w:val="0"/>
              <w:rPr>
                <w:color w:val="auto"/>
                <w:lang w:eastAsia="en-US"/>
              </w:rPr>
            </w:pPr>
            <w:r>
              <w:rPr>
                <w:color w:val="auto"/>
                <w:w w:val="99"/>
                <w:lang w:eastAsia="en-US"/>
              </w:rPr>
              <w:t>2</w:t>
            </w:r>
          </w:p>
        </w:tc>
        <w:tc>
          <w:tcPr>
            <w:tcW w:w="1416" w:type="pct"/>
            <w:vAlign w:val="center"/>
          </w:tcPr>
          <w:p w14:paraId="6FC7CBF4">
            <w:pPr>
              <w:pStyle w:val="33"/>
              <w:autoSpaceDE w:val="0"/>
              <w:autoSpaceDN w:val="0"/>
              <w:rPr>
                <w:color w:val="auto"/>
                <w:lang w:eastAsia="en-US"/>
              </w:rPr>
            </w:pPr>
            <w:r>
              <w:rPr>
                <w:rFonts w:eastAsia="Times New Roman"/>
                <w:color w:val="auto"/>
                <w:spacing w:val="-2"/>
                <w:lang w:eastAsia="en-US"/>
              </w:rPr>
              <w:t>1#</w:t>
            </w:r>
            <w:r>
              <w:rPr>
                <w:rFonts w:hint="eastAsia" w:ascii="宋体" w:hAnsi="宋体" w:cs="宋体"/>
                <w:color w:val="auto"/>
                <w:spacing w:val="-4"/>
                <w:lang w:eastAsia="en-US"/>
              </w:rPr>
              <w:t>碱回收车间</w:t>
            </w:r>
          </w:p>
        </w:tc>
        <w:tc>
          <w:tcPr>
            <w:tcW w:w="775" w:type="pct"/>
            <w:vAlign w:val="center"/>
          </w:tcPr>
          <w:p w14:paraId="5EE84773">
            <w:pPr>
              <w:pStyle w:val="33"/>
              <w:autoSpaceDE w:val="0"/>
              <w:autoSpaceDN w:val="0"/>
              <w:rPr>
                <w:color w:val="auto"/>
                <w:lang w:eastAsia="en-US"/>
              </w:rPr>
            </w:pPr>
            <w:r>
              <w:rPr>
                <w:color w:val="auto"/>
                <w:spacing w:val="-4"/>
                <w:lang w:eastAsia="en-US"/>
              </w:rPr>
              <w:t>5122</w:t>
            </w:r>
          </w:p>
        </w:tc>
        <w:tc>
          <w:tcPr>
            <w:tcW w:w="1645" w:type="pct"/>
            <w:vAlign w:val="center"/>
          </w:tcPr>
          <w:p w14:paraId="1009F1B4">
            <w:pPr>
              <w:pStyle w:val="33"/>
              <w:autoSpaceDE w:val="0"/>
              <w:autoSpaceDN w:val="0"/>
              <w:rPr>
                <w:color w:val="auto"/>
                <w:lang w:eastAsia="en-US"/>
              </w:rPr>
            </w:pPr>
            <w:r>
              <w:rPr>
                <w:rFonts w:eastAsia="Times New Roman"/>
                <w:color w:val="auto"/>
                <w:spacing w:val="-2"/>
                <w:lang w:eastAsia="en-US"/>
              </w:rPr>
              <w:t>1#</w:t>
            </w:r>
            <w:r>
              <w:rPr>
                <w:rFonts w:hint="eastAsia" w:ascii="宋体" w:hAnsi="宋体" w:cs="宋体"/>
                <w:color w:val="auto"/>
                <w:spacing w:val="-4"/>
                <w:lang w:eastAsia="en-US"/>
              </w:rPr>
              <w:t>碱回收车间</w:t>
            </w:r>
          </w:p>
        </w:tc>
        <w:tc>
          <w:tcPr>
            <w:tcW w:w="775" w:type="pct"/>
            <w:vAlign w:val="center"/>
          </w:tcPr>
          <w:p w14:paraId="688A4195">
            <w:pPr>
              <w:pStyle w:val="33"/>
              <w:autoSpaceDE w:val="0"/>
              <w:autoSpaceDN w:val="0"/>
              <w:rPr>
                <w:color w:val="auto"/>
                <w:lang w:eastAsia="en-US"/>
              </w:rPr>
            </w:pPr>
            <w:r>
              <w:rPr>
                <w:color w:val="auto"/>
                <w:spacing w:val="-4"/>
                <w:lang w:eastAsia="en-US"/>
              </w:rPr>
              <w:t>3324</w:t>
            </w:r>
          </w:p>
        </w:tc>
      </w:tr>
      <w:tr w14:paraId="457101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580B7CEA">
            <w:pPr>
              <w:pStyle w:val="33"/>
              <w:autoSpaceDE w:val="0"/>
              <w:autoSpaceDN w:val="0"/>
              <w:rPr>
                <w:color w:val="auto"/>
                <w:lang w:eastAsia="en-US"/>
              </w:rPr>
            </w:pPr>
            <w:r>
              <w:rPr>
                <w:color w:val="auto"/>
                <w:w w:val="99"/>
                <w:lang w:eastAsia="en-US"/>
              </w:rPr>
              <w:t>3</w:t>
            </w:r>
          </w:p>
        </w:tc>
        <w:tc>
          <w:tcPr>
            <w:tcW w:w="1416" w:type="pct"/>
            <w:vAlign w:val="center"/>
          </w:tcPr>
          <w:p w14:paraId="4BC411D2">
            <w:pPr>
              <w:pStyle w:val="33"/>
              <w:autoSpaceDE w:val="0"/>
              <w:autoSpaceDN w:val="0"/>
              <w:rPr>
                <w:color w:val="auto"/>
                <w:lang w:eastAsia="en-US"/>
              </w:rPr>
            </w:pPr>
            <w:r>
              <w:rPr>
                <w:rFonts w:eastAsia="Times New Roman"/>
                <w:color w:val="auto"/>
                <w:spacing w:val="-2"/>
                <w:lang w:eastAsia="en-US"/>
              </w:rPr>
              <w:t>1#2#</w:t>
            </w:r>
            <w:r>
              <w:rPr>
                <w:rFonts w:hint="eastAsia" w:ascii="宋体" w:hAnsi="宋体" w:cs="宋体"/>
                <w:color w:val="auto"/>
                <w:spacing w:val="-4"/>
                <w:lang w:eastAsia="en-US"/>
              </w:rPr>
              <w:t>造纸车间</w:t>
            </w:r>
          </w:p>
        </w:tc>
        <w:tc>
          <w:tcPr>
            <w:tcW w:w="775" w:type="pct"/>
            <w:vAlign w:val="center"/>
          </w:tcPr>
          <w:p w14:paraId="3BEC85F2">
            <w:pPr>
              <w:pStyle w:val="33"/>
              <w:autoSpaceDE w:val="0"/>
              <w:autoSpaceDN w:val="0"/>
              <w:rPr>
                <w:color w:val="auto"/>
                <w:lang w:eastAsia="en-US"/>
              </w:rPr>
            </w:pPr>
            <w:r>
              <w:rPr>
                <w:color w:val="auto"/>
                <w:spacing w:val="-2"/>
                <w:lang w:eastAsia="en-US"/>
              </w:rPr>
              <w:t>40842</w:t>
            </w:r>
          </w:p>
        </w:tc>
        <w:tc>
          <w:tcPr>
            <w:tcW w:w="1645" w:type="pct"/>
            <w:vAlign w:val="center"/>
          </w:tcPr>
          <w:p w14:paraId="7BDB7AE3">
            <w:pPr>
              <w:pStyle w:val="33"/>
              <w:autoSpaceDE w:val="0"/>
              <w:autoSpaceDN w:val="0"/>
              <w:rPr>
                <w:color w:val="auto"/>
                <w:lang w:eastAsia="en-US"/>
              </w:rPr>
            </w:pPr>
            <w:r>
              <w:rPr>
                <w:rFonts w:hint="eastAsia" w:ascii="宋体" w:hAnsi="宋体" w:cs="宋体"/>
                <w:color w:val="auto"/>
                <w:spacing w:val="-7"/>
                <w:lang w:eastAsia="en-US"/>
              </w:rPr>
              <w:t>造纸车间</w:t>
            </w:r>
          </w:p>
        </w:tc>
        <w:tc>
          <w:tcPr>
            <w:tcW w:w="775" w:type="pct"/>
            <w:vAlign w:val="center"/>
          </w:tcPr>
          <w:p w14:paraId="2E065ED6">
            <w:pPr>
              <w:pStyle w:val="33"/>
              <w:autoSpaceDE w:val="0"/>
              <w:autoSpaceDN w:val="0"/>
              <w:rPr>
                <w:color w:val="auto"/>
                <w:lang w:eastAsia="en-US"/>
              </w:rPr>
            </w:pPr>
            <w:r>
              <w:rPr>
                <w:color w:val="auto"/>
                <w:spacing w:val="-2"/>
                <w:lang w:eastAsia="en-US"/>
              </w:rPr>
              <w:t>63124</w:t>
            </w:r>
          </w:p>
        </w:tc>
      </w:tr>
      <w:tr w14:paraId="4360AF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1B5AEE38">
            <w:pPr>
              <w:pStyle w:val="33"/>
              <w:autoSpaceDE w:val="0"/>
              <w:autoSpaceDN w:val="0"/>
              <w:rPr>
                <w:color w:val="auto"/>
                <w:lang w:eastAsia="en-US"/>
              </w:rPr>
            </w:pPr>
            <w:r>
              <w:rPr>
                <w:color w:val="auto"/>
                <w:w w:val="99"/>
                <w:lang w:eastAsia="en-US"/>
              </w:rPr>
              <w:t>4</w:t>
            </w:r>
          </w:p>
        </w:tc>
        <w:tc>
          <w:tcPr>
            <w:tcW w:w="1416" w:type="pct"/>
            <w:vAlign w:val="center"/>
          </w:tcPr>
          <w:p w14:paraId="0A71AB0C">
            <w:pPr>
              <w:pStyle w:val="33"/>
              <w:autoSpaceDE w:val="0"/>
              <w:autoSpaceDN w:val="0"/>
              <w:rPr>
                <w:color w:val="auto"/>
                <w:lang w:eastAsia="en-US"/>
              </w:rPr>
            </w:pPr>
            <w:r>
              <w:rPr>
                <w:rFonts w:hint="eastAsia" w:ascii="宋体" w:hAnsi="宋体" w:cs="宋体"/>
                <w:color w:val="auto"/>
                <w:spacing w:val="-7"/>
                <w:lang w:eastAsia="en-US"/>
              </w:rPr>
              <w:t>生活用水</w:t>
            </w:r>
          </w:p>
        </w:tc>
        <w:tc>
          <w:tcPr>
            <w:tcW w:w="775" w:type="pct"/>
            <w:vAlign w:val="center"/>
          </w:tcPr>
          <w:p w14:paraId="45BB9086">
            <w:pPr>
              <w:pStyle w:val="33"/>
              <w:autoSpaceDE w:val="0"/>
              <w:autoSpaceDN w:val="0"/>
              <w:rPr>
                <w:color w:val="auto"/>
                <w:lang w:eastAsia="en-US"/>
              </w:rPr>
            </w:pPr>
            <w:r>
              <w:rPr>
                <w:color w:val="auto"/>
                <w:spacing w:val="-5"/>
                <w:lang w:eastAsia="en-US"/>
              </w:rPr>
              <w:t>340</w:t>
            </w:r>
          </w:p>
        </w:tc>
        <w:tc>
          <w:tcPr>
            <w:tcW w:w="1645" w:type="pct"/>
            <w:vAlign w:val="center"/>
          </w:tcPr>
          <w:p w14:paraId="47A4421D">
            <w:pPr>
              <w:pStyle w:val="33"/>
              <w:autoSpaceDE w:val="0"/>
              <w:autoSpaceDN w:val="0"/>
              <w:rPr>
                <w:color w:val="auto"/>
                <w:lang w:eastAsia="en-US"/>
              </w:rPr>
            </w:pPr>
            <w:r>
              <w:rPr>
                <w:rFonts w:hint="eastAsia" w:ascii="宋体" w:hAnsi="宋体" w:cs="宋体"/>
                <w:color w:val="auto"/>
                <w:spacing w:val="-7"/>
                <w:lang w:eastAsia="en-US"/>
              </w:rPr>
              <w:t>生活用水</w:t>
            </w:r>
          </w:p>
        </w:tc>
        <w:tc>
          <w:tcPr>
            <w:tcW w:w="775" w:type="pct"/>
            <w:vAlign w:val="center"/>
          </w:tcPr>
          <w:p w14:paraId="03893FC9">
            <w:pPr>
              <w:pStyle w:val="33"/>
              <w:autoSpaceDE w:val="0"/>
              <w:autoSpaceDN w:val="0"/>
              <w:rPr>
                <w:color w:val="auto"/>
                <w:lang w:eastAsia="en-US"/>
              </w:rPr>
            </w:pPr>
            <w:r>
              <w:rPr>
                <w:color w:val="auto"/>
                <w:spacing w:val="-5"/>
                <w:lang w:eastAsia="en-US"/>
              </w:rPr>
              <w:t>306</w:t>
            </w:r>
          </w:p>
        </w:tc>
      </w:tr>
      <w:tr w14:paraId="6B511E7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6F2865EE">
            <w:pPr>
              <w:pStyle w:val="33"/>
              <w:autoSpaceDE w:val="0"/>
              <w:autoSpaceDN w:val="0"/>
              <w:rPr>
                <w:color w:val="auto"/>
                <w:lang w:eastAsia="en-US"/>
              </w:rPr>
            </w:pPr>
            <w:r>
              <w:rPr>
                <w:color w:val="auto"/>
                <w:w w:val="99"/>
                <w:lang w:eastAsia="en-US"/>
              </w:rPr>
              <w:t>5</w:t>
            </w:r>
          </w:p>
        </w:tc>
        <w:tc>
          <w:tcPr>
            <w:tcW w:w="1416" w:type="pct"/>
            <w:vAlign w:val="center"/>
          </w:tcPr>
          <w:p w14:paraId="7BDB3DFD">
            <w:pPr>
              <w:pStyle w:val="33"/>
              <w:autoSpaceDE w:val="0"/>
              <w:autoSpaceDN w:val="0"/>
              <w:rPr>
                <w:color w:val="auto"/>
                <w:lang w:eastAsia="en-US"/>
              </w:rPr>
            </w:pPr>
            <w:r>
              <w:rPr>
                <w:rFonts w:hint="eastAsia" w:ascii="宋体" w:hAnsi="宋体" w:cs="宋体"/>
                <w:color w:val="auto"/>
                <w:spacing w:val="-4"/>
                <w:lang w:eastAsia="en-US"/>
              </w:rPr>
              <w:t>化学水车间</w:t>
            </w:r>
          </w:p>
        </w:tc>
        <w:tc>
          <w:tcPr>
            <w:tcW w:w="775" w:type="pct"/>
            <w:vAlign w:val="center"/>
          </w:tcPr>
          <w:p w14:paraId="24E60DB8">
            <w:pPr>
              <w:pStyle w:val="33"/>
              <w:autoSpaceDE w:val="0"/>
              <w:autoSpaceDN w:val="0"/>
              <w:rPr>
                <w:color w:val="auto"/>
                <w:lang w:eastAsia="en-US"/>
              </w:rPr>
            </w:pPr>
            <w:r>
              <w:rPr>
                <w:color w:val="auto"/>
                <w:spacing w:val="-4"/>
                <w:lang w:eastAsia="en-US"/>
              </w:rPr>
              <w:t>7183</w:t>
            </w:r>
          </w:p>
        </w:tc>
        <w:tc>
          <w:tcPr>
            <w:tcW w:w="1645" w:type="pct"/>
            <w:vAlign w:val="center"/>
          </w:tcPr>
          <w:p w14:paraId="28A91A98">
            <w:pPr>
              <w:pStyle w:val="33"/>
              <w:autoSpaceDE w:val="0"/>
              <w:autoSpaceDN w:val="0"/>
              <w:rPr>
                <w:color w:val="auto"/>
                <w:lang w:eastAsia="en-US"/>
              </w:rPr>
            </w:pPr>
            <w:r>
              <w:rPr>
                <w:rFonts w:hint="eastAsia" w:ascii="宋体" w:hAnsi="宋体" w:cs="宋体"/>
                <w:color w:val="auto"/>
                <w:spacing w:val="-4"/>
                <w:lang w:eastAsia="en-US"/>
              </w:rPr>
              <w:t>化学水车间</w:t>
            </w:r>
          </w:p>
        </w:tc>
        <w:tc>
          <w:tcPr>
            <w:tcW w:w="775" w:type="pct"/>
            <w:vAlign w:val="center"/>
          </w:tcPr>
          <w:p w14:paraId="7A6E0F62">
            <w:pPr>
              <w:pStyle w:val="33"/>
              <w:autoSpaceDE w:val="0"/>
              <w:autoSpaceDN w:val="0"/>
              <w:rPr>
                <w:color w:val="auto"/>
                <w:lang w:eastAsia="en-US"/>
              </w:rPr>
            </w:pPr>
            <w:r>
              <w:rPr>
                <w:color w:val="auto"/>
                <w:spacing w:val="-5"/>
                <w:lang w:eastAsia="en-US"/>
              </w:rPr>
              <w:t>50</w:t>
            </w:r>
          </w:p>
        </w:tc>
      </w:tr>
      <w:tr w14:paraId="3E182B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220A5216">
            <w:pPr>
              <w:pStyle w:val="33"/>
              <w:autoSpaceDE w:val="0"/>
              <w:autoSpaceDN w:val="0"/>
              <w:rPr>
                <w:color w:val="auto"/>
                <w:lang w:eastAsia="en-US"/>
              </w:rPr>
            </w:pPr>
            <w:r>
              <w:rPr>
                <w:color w:val="auto"/>
                <w:w w:val="99"/>
                <w:lang w:eastAsia="en-US"/>
              </w:rPr>
              <w:t>6</w:t>
            </w:r>
          </w:p>
        </w:tc>
        <w:tc>
          <w:tcPr>
            <w:tcW w:w="1416" w:type="pct"/>
            <w:vAlign w:val="center"/>
          </w:tcPr>
          <w:p w14:paraId="00FBD8E8">
            <w:pPr>
              <w:pStyle w:val="33"/>
              <w:autoSpaceDE w:val="0"/>
              <w:autoSpaceDN w:val="0"/>
              <w:rPr>
                <w:color w:val="auto"/>
                <w:lang w:eastAsia="en-US"/>
              </w:rPr>
            </w:pPr>
            <w:r>
              <w:rPr>
                <w:rFonts w:hint="eastAsia" w:ascii="宋体" w:hAnsi="宋体" w:cs="宋体"/>
                <w:color w:val="auto"/>
                <w:spacing w:val="-4"/>
                <w:lang w:eastAsia="en-US"/>
              </w:rPr>
              <w:t>热电站冷却塔</w:t>
            </w:r>
          </w:p>
        </w:tc>
        <w:tc>
          <w:tcPr>
            <w:tcW w:w="775" w:type="pct"/>
            <w:vAlign w:val="center"/>
          </w:tcPr>
          <w:p w14:paraId="58BCF7A0">
            <w:pPr>
              <w:pStyle w:val="33"/>
              <w:autoSpaceDE w:val="0"/>
              <w:autoSpaceDN w:val="0"/>
              <w:rPr>
                <w:color w:val="auto"/>
                <w:lang w:eastAsia="en-US"/>
              </w:rPr>
            </w:pPr>
            <w:r>
              <w:rPr>
                <w:color w:val="auto"/>
                <w:spacing w:val="-2"/>
                <w:lang w:eastAsia="en-US"/>
              </w:rPr>
              <w:t>10408</w:t>
            </w:r>
          </w:p>
        </w:tc>
        <w:tc>
          <w:tcPr>
            <w:tcW w:w="1645" w:type="pct"/>
            <w:vAlign w:val="center"/>
          </w:tcPr>
          <w:p w14:paraId="64748992">
            <w:pPr>
              <w:pStyle w:val="33"/>
              <w:autoSpaceDE w:val="0"/>
              <w:autoSpaceDN w:val="0"/>
              <w:rPr>
                <w:color w:val="auto"/>
                <w:lang w:eastAsia="en-US"/>
              </w:rPr>
            </w:pPr>
            <w:r>
              <w:rPr>
                <w:rFonts w:hint="eastAsia" w:ascii="宋体" w:hAnsi="宋体" w:cs="宋体"/>
                <w:color w:val="auto"/>
                <w:spacing w:val="-4"/>
                <w:lang w:eastAsia="en-US"/>
              </w:rPr>
              <w:t>热电站排污</w:t>
            </w:r>
          </w:p>
        </w:tc>
        <w:tc>
          <w:tcPr>
            <w:tcW w:w="775" w:type="pct"/>
            <w:vAlign w:val="center"/>
          </w:tcPr>
          <w:p w14:paraId="65CE802D">
            <w:pPr>
              <w:pStyle w:val="33"/>
              <w:autoSpaceDE w:val="0"/>
              <w:autoSpaceDN w:val="0"/>
              <w:rPr>
                <w:color w:val="auto"/>
                <w:lang w:eastAsia="en-US"/>
              </w:rPr>
            </w:pPr>
            <w:r>
              <w:rPr>
                <w:color w:val="auto"/>
                <w:spacing w:val="-5"/>
                <w:lang w:eastAsia="en-US"/>
              </w:rPr>
              <w:t>150</w:t>
            </w:r>
          </w:p>
        </w:tc>
      </w:tr>
      <w:tr w14:paraId="131B8D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4058B919">
            <w:pPr>
              <w:pStyle w:val="33"/>
              <w:autoSpaceDE w:val="0"/>
              <w:autoSpaceDN w:val="0"/>
              <w:rPr>
                <w:color w:val="auto"/>
                <w:lang w:eastAsia="en-US"/>
              </w:rPr>
            </w:pPr>
            <w:r>
              <w:rPr>
                <w:color w:val="auto"/>
                <w:w w:val="99"/>
                <w:lang w:eastAsia="en-US"/>
              </w:rPr>
              <w:t>7</w:t>
            </w:r>
          </w:p>
        </w:tc>
        <w:tc>
          <w:tcPr>
            <w:tcW w:w="1416" w:type="pct"/>
            <w:vAlign w:val="center"/>
          </w:tcPr>
          <w:p w14:paraId="26C1C3CF">
            <w:pPr>
              <w:pStyle w:val="33"/>
              <w:autoSpaceDE w:val="0"/>
              <w:autoSpaceDN w:val="0"/>
              <w:rPr>
                <w:color w:val="auto"/>
                <w:lang w:eastAsia="en-US"/>
              </w:rPr>
            </w:pPr>
            <w:r>
              <w:rPr>
                <w:rFonts w:hint="eastAsia" w:ascii="宋体" w:hAnsi="宋体" w:cs="宋体"/>
                <w:color w:val="auto"/>
                <w:spacing w:val="-3"/>
                <w:lang w:eastAsia="en-US"/>
              </w:rPr>
              <w:t>热电站脱硫脱硝设施</w:t>
            </w:r>
          </w:p>
        </w:tc>
        <w:tc>
          <w:tcPr>
            <w:tcW w:w="775" w:type="pct"/>
            <w:vAlign w:val="center"/>
          </w:tcPr>
          <w:p w14:paraId="728199DD">
            <w:pPr>
              <w:pStyle w:val="33"/>
              <w:autoSpaceDE w:val="0"/>
              <w:autoSpaceDN w:val="0"/>
              <w:rPr>
                <w:color w:val="auto"/>
                <w:lang w:eastAsia="en-US"/>
              </w:rPr>
            </w:pPr>
            <w:r>
              <w:rPr>
                <w:color w:val="auto"/>
                <w:spacing w:val="-5"/>
                <w:lang w:eastAsia="en-US"/>
              </w:rPr>
              <w:t>800</w:t>
            </w:r>
          </w:p>
        </w:tc>
        <w:tc>
          <w:tcPr>
            <w:tcW w:w="1645" w:type="pct"/>
            <w:vAlign w:val="center"/>
          </w:tcPr>
          <w:p w14:paraId="70F89FEE">
            <w:pPr>
              <w:pStyle w:val="33"/>
              <w:autoSpaceDE w:val="0"/>
              <w:autoSpaceDN w:val="0"/>
              <w:rPr>
                <w:color w:val="auto"/>
                <w:lang w:eastAsia="en-US"/>
              </w:rPr>
            </w:pPr>
            <w:r>
              <w:rPr>
                <w:rFonts w:hint="eastAsia" w:ascii="宋体" w:hAnsi="宋体" w:cs="宋体"/>
                <w:color w:val="auto"/>
                <w:spacing w:val="-3"/>
                <w:lang w:eastAsia="en-US"/>
              </w:rPr>
              <w:t>热电站脱硫脱硝设施</w:t>
            </w:r>
          </w:p>
        </w:tc>
        <w:tc>
          <w:tcPr>
            <w:tcW w:w="775" w:type="pct"/>
            <w:vAlign w:val="center"/>
          </w:tcPr>
          <w:p w14:paraId="0D1C55FD">
            <w:pPr>
              <w:pStyle w:val="33"/>
              <w:autoSpaceDE w:val="0"/>
              <w:autoSpaceDN w:val="0"/>
              <w:rPr>
                <w:color w:val="auto"/>
                <w:lang w:eastAsia="en-US"/>
              </w:rPr>
            </w:pPr>
            <w:r>
              <w:rPr>
                <w:color w:val="auto"/>
                <w:spacing w:val="-5"/>
                <w:lang w:eastAsia="en-US"/>
              </w:rPr>
              <w:t>40</w:t>
            </w:r>
          </w:p>
        </w:tc>
      </w:tr>
      <w:tr w14:paraId="15D7EE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230B53C6">
            <w:pPr>
              <w:pStyle w:val="33"/>
              <w:autoSpaceDE w:val="0"/>
              <w:autoSpaceDN w:val="0"/>
              <w:rPr>
                <w:color w:val="auto"/>
                <w:lang w:eastAsia="en-US"/>
              </w:rPr>
            </w:pPr>
            <w:r>
              <w:rPr>
                <w:color w:val="auto"/>
                <w:w w:val="99"/>
                <w:lang w:eastAsia="en-US"/>
              </w:rPr>
              <w:t>8</w:t>
            </w:r>
          </w:p>
        </w:tc>
        <w:tc>
          <w:tcPr>
            <w:tcW w:w="1416" w:type="pct"/>
            <w:vAlign w:val="center"/>
          </w:tcPr>
          <w:p w14:paraId="049999BE">
            <w:pPr>
              <w:pStyle w:val="33"/>
              <w:autoSpaceDE w:val="0"/>
              <w:autoSpaceDN w:val="0"/>
              <w:rPr>
                <w:color w:val="auto"/>
                <w:lang w:eastAsia="en-US"/>
              </w:rPr>
            </w:pPr>
            <w:r>
              <w:rPr>
                <w:rFonts w:hint="eastAsia" w:ascii="宋体" w:hAnsi="宋体" w:cs="宋体"/>
                <w:color w:val="auto"/>
                <w:spacing w:val="-7"/>
                <w:lang w:eastAsia="en-US"/>
              </w:rPr>
              <w:t>其他用水</w:t>
            </w:r>
          </w:p>
        </w:tc>
        <w:tc>
          <w:tcPr>
            <w:tcW w:w="775" w:type="pct"/>
            <w:vAlign w:val="center"/>
          </w:tcPr>
          <w:p w14:paraId="13ABB417">
            <w:pPr>
              <w:pStyle w:val="33"/>
              <w:autoSpaceDE w:val="0"/>
              <w:autoSpaceDN w:val="0"/>
              <w:rPr>
                <w:color w:val="auto"/>
                <w:lang w:eastAsia="en-US"/>
              </w:rPr>
            </w:pPr>
            <w:r>
              <w:rPr>
                <w:color w:val="auto"/>
                <w:spacing w:val="-5"/>
                <w:lang w:eastAsia="en-US"/>
              </w:rPr>
              <w:t>840</w:t>
            </w:r>
          </w:p>
        </w:tc>
        <w:tc>
          <w:tcPr>
            <w:tcW w:w="1645" w:type="pct"/>
            <w:vAlign w:val="center"/>
          </w:tcPr>
          <w:p w14:paraId="3D289452">
            <w:pPr>
              <w:pStyle w:val="33"/>
              <w:autoSpaceDE w:val="0"/>
              <w:autoSpaceDN w:val="0"/>
              <w:rPr>
                <w:color w:val="auto"/>
                <w:lang w:eastAsia="en-US"/>
              </w:rPr>
            </w:pPr>
            <w:r>
              <w:rPr>
                <w:rFonts w:hint="eastAsia" w:ascii="宋体" w:hAnsi="宋体" w:cs="宋体"/>
                <w:color w:val="auto"/>
                <w:spacing w:val="-4"/>
                <w:lang w:eastAsia="en-US"/>
              </w:rPr>
              <w:t>热电站冷却塔</w:t>
            </w:r>
          </w:p>
        </w:tc>
        <w:tc>
          <w:tcPr>
            <w:tcW w:w="775" w:type="pct"/>
            <w:vAlign w:val="center"/>
          </w:tcPr>
          <w:p w14:paraId="58CEEFF2">
            <w:pPr>
              <w:pStyle w:val="33"/>
              <w:autoSpaceDE w:val="0"/>
              <w:autoSpaceDN w:val="0"/>
              <w:rPr>
                <w:color w:val="auto"/>
                <w:lang w:eastAsia="en-US"/>
              </w:rPr>
            </w:pPr>
            <w:r>
              <w:rPr>
                <w:color w:val="auto"/>
                <w:spacing w:val="-5"/>
                <w:lang w:eastAsia="en-US"/>
              </w:rPr>
              <w:t>50</w:t>
            </w:r>
          </w:p>
        </w:tc>
      </w:tr>
      <w:tr w14:paraId="21AFD7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17F13126">
            <w:pPr>
              <w:pStyle w:val="33"/>
              <w:autoSpaceDE w:val="0"/>
              <w:autoSpaceDN w:val="0"/>
              <w:rPr>
                <w:color w:val="auto"/>
                <w:lang w:eastAsia="en-US"/>
              </w:rPr>
            </w:pPr>
            <w:r>
              <w:rPr>
                <w:color w:val="auto"/>
                <w:w w:val="99"/>
                <w:lang w:eastAsia="en-US"/>
              </w:rPr>
              <w:t>9</w:t>
            </w:r>
          </w:p>
        </w:tc>
        <w:tc>
          <w:tcPr>
            <w:tcW w:w="1416" w:type="pct"/>
            <w:vAlign w:val="center"/>
          </w:tcPr>
          <w:p w14:paraId="1AF75041">
            <w:pPr>
              <w:pStyle w:val="33"/>
              <w:autoSpaceDE w:val="0"/>
              <w:autoSpaceDN w:val="0"/>
              <w:rPr>
                <w:color w:val="auto"/>
                <w:lang w:eastAsia="en-US"/>
              </w:rPr>
            </w:pPr>
            <w:r>
              <w:rPr>
                <w:rFonts w:hint="eastAsia" w:ascii="宋体" w:hAnsi="宋体" w:cs="宋体"/>
                <w:color w:val="auto"/>
                <w:spacing w:val="-4"/>
                <w:lang w:eastAsia="en-US"/>
              </w:rPr>
              <w:t>污水处理站</w:t>
            </w:r>
          </w:p>
        </w:tc>
        <w:tc>
          <w:tcPr>
            <w:tcW w:w="775" w:type="pct"/>
            <w:vAlign w:val="center"/>
          </w:tcPr>
          <w:p w14:paraId="1CCE921A">
            <w:pPr>
              <w:pStyle w:val="33"/>
              <w:autoSpaceDE w:val="0"/>
              <w:autoSpaceDN w:val="0"/>
              <w:rPr>
                <w:color w:val="auto"/>
                <w:lang w:eastAsia="en-US"/>
              </w:rPr>
            </w:pPr>
            <w:r>
              <w:rPr>
                <w:color w:val="auto"/>
                <w:spacing w:val="-5"/>
                <w:lang w:eastAsia="en-US"/>
              </w:rPr>
              <w:t>227</w:t>
            </w:r>
          </w:p>
        </w:tc>
        <w:tc>
          <w:tcPr>
            <w:tcW w:w="1645" w:type="pct"/>
            <w:vAlign w:val="center"/>
          </w:tcPr>
          <w:p w14:paraId="3BC7A3AC">
            <w:pPr>
              <w:pStyle w:val="33"/>
              <w:autoSpaceDE w:val="0"/>
              <w:autoSpaceDN w:val="0"/>
              <w:rPr>
                <w:color w:val="auto"/>
                <w:lang w:eastAsia="en-US"/>
              </w:rPr>
            </w:pPr>
            <w:r>
              <w:rPr>
                <w:rFonts w:hint="eastAsia" w:ascii="宋体" w:hAnsi="宋体" w:cs="宋体"/>
                <w:color w:val="auto"/>
                <w:spacing w:val="-7"/>
                <w:lang w:eastAsia="en-US"/>
              </w:rPr>
              <w:t>其他用水</w:t>
            </w:r>
          </w:p>
        </w:tc>
        <w:tc>
          <w:tcPr>
            <w:tcW w:w="775" w:type="pct"/>
            <w:vAlign w:val="center"/>
          </w:tcPr>
          <w:p w14:paraId="74DEC81C">
            <w:pPr>
              <w:pStyle w:val="33"/>
              <w:autoSpaceDE w:val="0"/>
              <w:autoSpaceDN w:val="0"/>
              <w:rPr>
                <w:color w:val="auto"/>
                <w:lang w:eastAsia="en-US"/>
              </w:rPr>
            </w:pPr>
            <w:r>
              <w:rPr>
                <w:color w:val="auto"/>
                <w:spacing w:val="-5"/>
                <w:lang w:eastAsia="en-US"/>
              </w:rPr>
              <w:t>756</w:t>
            </w:r>
          </w:p>
        </w:tc>
      </w:tr>
      <w:tr w14:paraId="6101A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71DAEC4F">
            <w:pPr>
              <w:pStyle w:val="33"/>
              <w:autoSpaceDE w:val="0"/>
              <w:autoSpaceDN w:val="0"/>
              <w:rPr>
                <w:color w:val="auto"/>
                <w:lang w:eastAsia="en-US"/>
              </w:rPr>
            </w:pPr>
            <w:r>
              <w:rPr>
                <w:color w:val="auto"/>
                <w:spacing w:val="-5"/>
                <w:lang w:eastAsia="en-US"/>
              </w:rPr>
              <w:t>10</w:t>
            </w:r>
          </w:p>
        </w:tc>
        <w:tc>
          <w:tcPr>
            <w:tcW w:w="1416" w:type="pct"/>
            <w:vAlign w:val="center"/>
          </w:tcPr>
          <w:p w14:paraId="76A88EED">
            <w:pPr>
              <w:pStyle w:val="33"/>
              <w:autoSpaceDE w:val="0"/>
              <w:autoSpaceDN w:val="0"/>
              <w:rPr>
                <w:color w:val="auto"/>
                <w:lang w:eastAsia="en-US"/>
              </w:rPr>
            </w:pPr>
            <w:r>
              <w:rPr>
                <w:rFonts w:hint="eastAsia" w:ascii="宋体" w:hAnsi="宋体" w:cs="宋体"/>
                <w:color w:val="auto"/>
                <w:spacing w:val="-4"/>
                <w:lang w:eastAsia="en-US"/>
              </w:rPr>
              <w:t>过氧化氢项目</w:t>
            </w:r>
          </w:p>
        </w:tc>
        <w:tc>
          <w:tcPr>
            <w:tcW w:w="775" w:type="pct"/>
            <w:vAlign w:val="center"/>
          </w:tcPr>
          <w:p w14:paraId="3B802098">
            <w:pPr>
              <w:pStyle w:val="33"/>
              <w:autoSpaceDE w:val="0"/>
              <w:autoSpaceDN w:val="0"/>
              <w:rPr>
                <w:color w:val="auto"/>
                <w:lang w:eastAsia="en-US"/>
              </w:rPr>
            </w:pPr>
            <w:r>
              <w:rPr>
                <w:color w:val="auto"/>
                <w:spacing w:val="-5"/>
                <w:lang w:eastAsia="en-US"/>
              </w:rPr>
              <w:t>600</w:t>
            </w:r>
          </w:p>
        </w:tc>
        <w:tc>
          <w:tcPr>
            <w:tcW w:w="1645" w:type="pct"/>
            <w:vAlign w:val="center"/>
          </w:tcPr>
          <w:p w14:paraId="3D6F42DB">
            <w:pPr>
              <w:pStyle w:val="33"/>
              <w:autoSpaceDE w:val="0"/>
              <w:autoSpaceDN w:val="0"/>
              <w:rPr>
                <w:color w:val="auto"/>
                <w:lang w:eastAsia="en-US"/>
              </w:rPr>
            </w:pPr>
            <w:r>
              <w:rPr>
                <w:rFonts w:hint="eastAsia" w:ascii="宋体" w:hAnsi="宋体" w:cs="宋体"/>
                <w:color w:val="auto"/>
                <w:spacing w:val="-4"/>
                <w:lang w:eastAsia="en-US"/>
              </w:rPr>
              <w:t>污水处理站</w:t>
            </w:r>
          </w:p>
        </w:tc>
        <w:tc>
          <w:tcPr>
            <w:tcW w:w="775" w:type="pct"/>
            <w:vAlign w:val="center"/>
          </w:tcPr>
          <w:p w14:paraId="7064AB04">
            <w:pPr>
              <w:pStyle w:val="33"/>
              <w:autoSpaceDE w:val="0"/>
              <w:autoSpaceDN w:val="0"/>
              <w:rPr>
                <w:color w:val="auto"/>
                <w:lang w:eastAsia="en-US"/>
              </w:rPr>
            </w:pPr>
            <w:r>
              <w:rPr>
                <w:color w:val="auto"/>
                <w:spacing w:val="-5"/>
                <w:lang w:eastAsia="en-US"/>
              </w:rPr>
              <w:t>227</w:t>
            </w:r>
          </w:p>
        </w:tc>
      </w:tr>
      <w:tr w14:paraId="703A24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389" w:type="pct"/>
            <w:vAlign w:val="center"/>
          </w:tcPr>
          <w:p w14:paraId="16B1BDD6">
            <w:pPr>
              <w:pStyle w:val="33"/>
              <w:autoSpaceDE w:val="0"/>
              <w:autoSpaceDN w:val="0"/>
              <w:rPr>
                <w:color w:val="auto"/>
                <w:lang w:eastAsia="en-US"/>
              </w:rPr>
            </w:pPr>
            <w:r>
              <w:rPr>
                <w:color w:val="auto"/>
                <w:spacing w:val="-5"/>
                <w:lang w:eastAsia="en-US"/>
              </w:rPr>
              <w:t>11</w:t>
            </w:r>
          </w:p>
        </w:tc>
        <w:tc>
          <w:tcPr>
            <w:tcW w:w="1416" w:type="pct"/>
            <w:vAlign w:val="center"/>
          </w:tcPr>
          <w:p w14:paraId="3BCC85AC">
            <w:pPr>
              <w:pStyle w:val="33"/>
              <w:autoSpaceDE w:val="0"/>
              <w:autoSpaceDN w:val="0"/>
              <w:rPr>
                <w:color w:val="auto"/>
                <w:lang w:eastAsia="en-US"/>
              </w:rPr>
            </w:pPr>
            <w:r>
              <w:rPr>
                <w:color w:val="auto"/>
                <w:w w:val="99"/>
                <w:lang w:eastAsia="en-US"/>
              </w:rPr>
              <w:t>-</w:t>
            </w:r>
          </w:p>
        </w:tc>
        <w:tc>
          <w:tcPr>
            <w:tcW w:w="775" w:type="pct"/>
            <w:vAlign w:val="center"/>
          </w:tcPr>
          <w:p w14:paraId="3030E38A">
            <w:pPr>
              <w:pStyle w:val="33"/>
              <w:autoSpaceDE w:val="0"/>
              <w:autoSpaceDN w:val="0"/>
              <w:rPr>
                <w:color w:val="auto"/>
                <w:lang w:eastAsia="en-US"/>
              </w:rPr>
            </w:pPr>
            <w:r>
              <w:rPr>
                <w:color w:val="auto"/>
                <w:w w:val="99"/>
                <w:lang w:eastAsia="en-US"/>
              </w:rPr>
              <w:t>-</w:t>
            </w:r>
          </w:p>
        </w:tc>
        <w:tc>
          <w:tcPr>
            <w:tcW w:w="1645" w:type="pct"/>
            <w:vAlign w:val="center"/>
          </w:tcPr>
          <w:p w14:paraId="5E95E69E">
            <w:pPr>
              <w:pStyle w:val="33"/>
              <w:autoSpaceDE w:val="0"/>
              <w:autoSpaceDN w:val="0"/>
              <w:rPr>
                <w:color w:val="auto"/>
                <w:lang w:eastAsia="en-US"/>
              </w:rPr>
            </w:pPr>
            <w:r>
              <w:rPr>
                <w:rFonts w:hint="eastAsia" w:ascii="宋体" w:hAnsi="宋体" w:cs="宋体"/>
                <w:color w:val="auto"/>
                <w:spacing w:val="-4"/>
                <w:lang w:eastAsia="en-US"/>
              </w:rPr>
              <w:t>过氧化氢项目排水</w:t>
            </w:r>
          </w:p>
        </w:tc>
        <w:tc>
          <w:tcPr>
            <w:tcW w:w="775" w:type="pct"/>
            <w:vAlign w:val="center"/>
          </w:tcPr>
          <w:p w14:paraId="37BD3229">
            <w:pPr>
              <w:pStyle w:val="33"/>
              <w:autoSpaceDE w:val="0"/>
              <w:autoSpaceDN w:val="0"/>
              <w:rPr>
                <w:color w:val="auto"/>
                <w:lang w:eastAsia="en-US"/>
              </w:rPr>
            </w:pPr>
            <w:r>
              <w:rPr>
                <w:color w:val="auto"/>
                <w:spacing w:val="-5"/>
                <w:lang w:eastAsia="en-US"/>
              </w:rPr>
              <w:t>50</w:t>
            </w:r>
          </w:p>
        </w:tc>
      </w:tr>
      <w:tr w14:paraId="7D8D63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805" w:type="pct"/>
            <w:gridSpan w:val="2"/>
            <w:vAlign w:val="center"/>
          </w:tcPr>
          <w:p w14:paraId="01A6EC92">
            <w:pPr>
              <w:pStyle w:val="33"/>
              <w:autoSpaceDE w:val="0"/>
              <w:autoSpaceDN w:val="0"/>
              <w:rPr>
                <w:color w:val="auto"/>
                <w:lang w:eastAsia="zh-CN"/>
              </w:rPr>
            </w:pPr>
            <w:r>
              <w:rPr>
                <w:rFonts w:hint="eastAsia" w:ascii="宋体" w:hAnsi="宋体" w:cs="宋体"/>
                <w:color w:val="auto"/>
                <w:spacing w:val="-2"/>
                <w:lang w:eastAsia="zh-CN"/>
              </w:rPr>
              <w:t>合计</w:t>
            </w:r>
            <w:r>
              <w:rPr>
                <w:rFonts w:hint="eastAsia" w:ascii="宋体" w:hAnsi="宋体" w:cs="宋体"/>
                <w:color w:val="auto"/>
                <w:spacing w:val="-5"/>
                <w:lang w:eastAsia="zh-CN"/>
              </w:rPr>
              <w:t>用水量</w:t>
            </w:r>
          </w:p>
        </w:tc>
        <w:tc>
          <w:tcPr>
            <w:tcW w:w="775" w:type="pct"/>
            <w:vAlign w:val="center"/>
          </w:tcPr>
          <w:p w14:paraId="7BCE3C22">
            <w:pPr>
              <w:pStyle w:val="33"/>
              <w:autoSpaceDE w:val="0"/>
              <w:autoSpaceDN w:val="0"/>
              <w:rPr>
                <w:color w:val="auto"/>
                <w:lang w:eastAsia="en-US"/>
              </w:rPr>
            </w:pPr>
            <w:r>
              <w:rPr>
                <w:color w:val="auto"/>
                <w:spacing w:val="-2"/>
                <w:lang w:eastAsia="en-US"/>
              </w:rPr>
              <w:t>93122</w:t>
            </w:r>
          </w:p>
        </w:tc>
        <w:tc>
          <w:tcPr>
            <w:tcW w:w="1645" w:type="pct"/>
            <w:vAlign w:val="center"/>
          </w:tcPr>
          <w:p w14:paraId="31E5CCCE">
            <w:pPr>
              <w:pStyle w:val="33"/>
              <w:autoSpaceDE w:val="0"/>
              <w:autoSpaceDN w:val="0"/>
              <w:rPr>
                <w:color w:val="auto"/>
                <w:lang w:eastAsia="en-US"/>
              </w:rPr>
            </w:pPr>
            <w:r>
              <w:rPr>
                <w:rFonts w:hint="eastAsia" w:ascii="宋体" w:hAnsi="宋体" w:cs="宋体"/>
                <w:color w:val="auto"/>
                <w:spacing w:val="-2"/>
                <w:lang w:eastAsia="en-US"/>
              </w:rPr>
              <w:t>合计排水</w:t>
            </w:r>
            <w:r>
              <w:rPr>
                <w:rFonts w:hint="eastAsia" w:ascii="宋体" w:hAnsi="宋体" w:cs="宋体"/>
                <w:color w:val="auto"/>
                <w:spacing w:val="-10"/>
                <w:lang w:eastAsia="en-US"/>
              </w:rPr>
              <w:t>量</w:t>
            </w:r>
          </w:p>
        </w:tc>
        <w:tc>
          <w:tcPr>
            <w:tcW w:w="775" w:type="pct"/>
            <w:vAlign w:val="center"/>
          </w:tcPr>
          <w:p w14:paraId="57EEC1CB">
            <w:pPr>
              <w:pStyle w:val="33"/>
              <w:autoSpaceDE w:val="0"/>
              <w:autoSpaceDN w:val="0"/>
              <w:rPr>
                <w:color w:val="auto"/>
                <w:lang w:eastAsia="en-US"/>
              </w:rPr>
            </w:pPr>
            <w:r>
              <w:rPr>
                <w:color w:val="auto"/>
                <w:spacing w:val="-2"/>
                <w:lang w:eastAsia="en-US"/>
              </w:rPr>
              <w:t>68427</w:t>
            </w:r>
          </w:p>
        </w:tc>
      </w:tr>
    </w:tbl>
    <w:p w14:paraId="34200543">
      <w:pPr>
        <w:pStyle w:val="33"/>
        <w:rPr>
          <w:rStyle w:val="36"/>
          <w:color w:val="auto"/>
        </w:rPr>
      </w:pPr>
      <w:r>
        <w:rPr>
          <w:color w:val="auto"/>
        </w:rPr>
        <w:drawing>
          <wp:inline distT="0" distB="0" distL="0" distR="0">
            <wp:extent cx="5759450" cy="6948805"/>
            <wp:effectExtent l="0" t="0" r="0" b="4445"/>
            <wp:docPr id="1708389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8916" name="图片 1"/>
                    <pic:cNvPicPr>
                      <a:picLocks noChangeAspect="1"/>
                    </pic:cNvPicPr>
                  </pic:nvPicPr>
                  <pic:blipFill>
                    <a:blip r:embed="rId54"/>
                    <a:stretch>
                      <a:fillRect/>
                    </a:stretch>
                  </pic:blipFill>
                  <pic:spPr>
                    <a:xfrm>
                      <a:off x="0" y="0"/>
                      <a:ext cx="5759450" cy="6948805"/>
                    </a:xfrm>
                    <a:prstGeom prst="rect">
                      <a:avLst/>
                    </a:prstGeom>
                  </pic:spPr>
                </pic:pic>
              </a:graphicData>
            </a:graphic>
          </wp:inline>
        </w:drawing>
      </w:r>
    </w:p>
    <w:p w14:paraId="4B7697F5">
      <w:pPr>
        <w:pStyle w:val="8"/>
        <w:rPr>
          <w:rStyle w:val="36"/>
          <w:color w:val="auto"/>
        </w:rPr>
      </w:pPr>
      <w:r>
        <w:rPr>
          <w:rStyle w:val="36"/>
          <w:rFonts w:hint="eastAsia"/>
          <w:color w:val="auto"/>
        </w:rPr>
        <w:t>现有工程全厂水平衡图</w:t>
      </w:r>
    </w:p>
    <w:p w14:paraId="1FB069D2">
      <w:pPr>
        <w:ind w:firstLine="480"/>
        <w:rPr>
          <w:rStyle w:val="36"/>
          <w:color w:val="auto"/>
        </w:rPr>
      </w:pPr>
      <w:r>
        <w:rPr>
          <w:rStyle w:val="36"/>
          <w:rFonts w:hint="eastAsia"/>
          <w:color w:val="auto"/>
        </w:rPr>
        <w:t>已批在建项目有</w:t>
      </w:r>
      <w:r>
        <w:rPr>
          <w:color w:val="auto"/>
        </w:rPr>
        <w:t>年产180万吨高档纸板扩建项目</w:t>
      </w:r>
      <w:r>
        <w:rPr>
          <w:rFonts w:hint="eastAsia"/>
          <w:color w:val="auto"/>
        </w:rPr>
        <w:t>二期</w:t>
      </w:r>
      <w:r>
        <w:rPr>
          <w:color w:val="auto"/>
        </w:rPr>
        <w:t>90万吨/年食品卡纸生产线在建（3#纸机）</w:t>
      </w:r>
      <w:r>
        <w:rPr>
          <w:rFonts w:hint="eastAsia"/>
          <w:color w:val="auto"/>
        </w:rPr>
        <w:t>、</w:t>
      </w:r>
      <w:r>
        <w:rPr>
          <w:color w:val="auto"/>
        </w:rPr>
        <w:t>年产75万吨化机浆扩建项目二期50万t/a化机浆生产线</w:t>
      </w:r>
      <w:r>
        <w:rPr>
          <w:rFonts w:hint="eastAsia"/>
          <w:color w:val="auto"/>
        </w:rPr>
        <w:t>、</w:t>
      </w:r>
      <w:r>
        <w:rPr>
          <w:color w:val="auto"/>
          <w:spacing w:val="-4"/>
        </w:rPr>
        <w:t>金桂浆纸年产</w:t>
      </w:r>
      <w:r>
        <w:rPr>
          <w:rFonts w:eastAsia="Times New Roman" w:cs="Times New Roman"/>
          <w:color w:val="auto"/>
          <w:spacing w:val="-4"/>
        </w:rPr>
        <w:t>25</w:t>
      </w:r>
      <w:r>
        <w:rPr>
          <w:color w:val="auto"/>
          <w:spacing w:val="-4"/>
        </w:rPr>
        <w:t>万吨丁苯胶乳项目</w:t>
      </w:r>
      <w:r>
        <w:rPr>
          <w:rFonts w:hint="eastAsia"/>
          <w:color w:val="auto"/>
          <w:spacing w:val="-4"/>
        </w:rPr>
        <w:t>等</w:t>
      </w:r>
      <w:r>
        <w:rPr>
          <w:color w:val="auto"/>
        </w:rPr>
        <w:t>。</w:t>
      </w:r>
      <w:r>
        <w:rPr>
          <w:color w:val="auto"/>
          <w:spacing w:val="-4"/>
        </w:rPr>
        <w:t>年产</w:t>
      </w:r>
      <w:r>
        <w:rPr>
          <w:rFonts w:eastAsia="Times New Roman" w:cs="Times New Roman"/>
          <w:color w:val="auto"/>
          <w:spacing w:val="-4"/>
        </w:rPr>
        <w:t>25</w:t>
      </w:r>
      <w:r>
        <w:rPr>
          <w:color w:val="auto"/>
          <w:spacing w:val="-4"/>
        </w:rPr>
        <w:t>万吨丁苯胶乳</w:t>
      </w:r>
      <w:r>
        <w:rPr>
          <w:rStyle w:val="36"/>
          <w:rFonts w:hint="eastAsia"/>
          <w:color w:val="auto"/>
        </w:rPr>
        <w:t>项目拟建污水处理站设计规模600m</w:t>
      </w:r>
      <w:r>
        <w:rPr>
          <w:rStyle w:val="36"/>
          <w:color w:val="auto"/>
          <w:vertAlign w:val="superscript"/>
        </w:rPr>
        <w:t>3</w:t>
      </w:r>
      <w:r>
        <w:rPr>
          <w:rStyle w:val="36"/>
          <w:rFonts w:hint="eastAsia"/>
          <w:color w:val="auto"/>
        </w:rPr>
        <w:t>/d，采用“调节+芬顿+厌氧+缺氧+好氧生化+沉淀”处理工艺，废水处理达标后经现有总排放口后排放。</w:t>
      </w:r>
    </w:p>
    <w:p w14:paraId="4DD872A2">
      <w:pPr>
        <w:ind w:firstLine="480"/>
        <w:rPr>
          <w:rStyle w:val="36"/>
          <w:color w:val="auto"/>
        </w:rPr>
      </w:pPr>
      <w:r>
        <w:rPr>
          <w:rStyle w:val="36"/>
          <w:rFonts w:hint="eastAsia"/>
          <w:color w:val="auto"/>
        </w:rPr>
        <w:t>现有在建工程废水排放量来源为环评报告，废水情况见下表。</w:t>
      </w:r>
    </w:p>
    <w:p w14:paraId="03B2866C">
      <w:pPr>
        <w:pStyle w:val="7"/>
        <w:rPr>
          <w:color w:val="auto"/>
          <w:lang w:bidi="ar"/>
        </w:rPr>
      </w:pPr>
      <w:r>
        <w:rPr>
          <w:color w:val="auto"/>
          <w:lang w:bidi="ar"/>
        </w:rPr>
        <w:t>现有在建工程排水量</w:t>
      </w:r>
    </w:p>
    <w:tbl>
      <w:tblPr>
        <w:tblStyle w:val="26"/>
        <w:tblW w:w="5000" w:type="pct"/>
        <w:tblInd w:w="0" w:type="dxa"/>
        <w:tblLayout w:type="autofit"/>
        <w:tblCellMar>
          <w:top w:w="0" w:type="dxa"/>
          <w:left w:w="108" w:type="dxa"/>
          <w:bottom w:w="0" w:type="dxa"/>
          <w:right w:w="108" w:type="dxa"/>
        </w:tblCellMar>
      </w:tblPr>
      <w:tblGrid>
        <w:gridCol w:w="1079"/>
        <w:gridCol w:w="4095"/>
        <w:gridCol w:w="4112"/>
      </w:tblGrid>
      <w:tr w14:paraId="47B4CC3E">
        <w:tblPrEx>
          <w:tblCellMar>
            <w:top w:w="0" w:type="dxa"/>
            <w:left w:w="108" w:type="dxa"/>
            <w:bottom w:w="0" w:type="dxa"/>
            <w:right w:w="108" w:type="dxa"/>
          </w:tblCellMar>
        </w:tblPrEx>
        <w:trPr>
          <w:trHeight w:val="120" w:hRule="atLeast"/>
        </w:trPr>
        <w:tc>
          <w:tcPr>
            <w:tcW w:w="581" w:type="pct"/>
            <w:tcBorders>
              <w:top w:val="single" w:color="000000" w:sz="4" w:space="0"/>
              <w:left w:val="single" w:color="000000" w:sz="4" w:space="0"/>
              <w:bottom w:val="single" w:color="000000" w:sz="4" w:space="0"/>
              <w:right w:val="single" w:color="000000" w:sz="4" w:space="0"/>
            </w:tcBorders>
            <w:vAlign w:val="center"/>
          </w:tcPr>
          <w:p w14:paraId="72DBA157">
            <w:pPr>
              <w:pStyle w:val="33"/>
              <w:rPr>
                <w:color w:val="auto"/>
              </w:rPr>
            </w:pPr>
            <w:r>
              <w:rPr>
                <w:color w:val="auto"/>
                <w:lang w:bidi="ar"/>
              </w:rPr>
              <w:t>序号</w:t>
            </w:r>
          </w:p>
        </w:tc>
        <w:tc>
          <w:tcPr>
            <w:tcW w:w="2205" w:type="pct"/>
            <w:tcBorders>
              <w:top w:val="single" w:color="000000" w:sz="4" w:space="0"/>
              <w:left w:val="single" w:color="000000" w:sz="4" w:space="0"/>
              <w:bottom w:val="single" w:color="000000" w:sz="4" w:space="0"/>
              <w:right w:val="single" w:color="000000" w:sz="4" w:space="0"/>
            </w:tcBorders>
            <w:vAlign w:val="center"/>
          </w:tcPr>
          <w:p w14:paraId="6EC98B13">
            <w:pPr>
              <w:pStyle w:val="33"/>
              <w:rPr>
                <w:color w:val="auto"/>
              </w:rPr>
            </w:pPr>
            <w:r>
              <w:rPr>
                <w:color w:val="auto"/>
                <w:lang w:bidi="ar"/>
              </w:rPr>
              <w:t>生产车间</w:t>
            </w:r>
          </w:p>
        </w:tc>
        <w:tc>
          <w:tcPr>
            <w:tcW w:w="2214" w:type="pct"/>
            <w:tcBorders>
              <w:top w:val="single" w:color="000000" w:sz="4" w:space="0"/>
              <w:left w:val="single" w:color="000000" w:sz="4" w:space="0"/>
              <w:bottom w:val="single" w:color="000000" w:sz="4" w:space="0"/>
              <w:right w:val="single" w:color="000000" w:sz="4" w:space="0"/>
            </w:tcBorders>
            <w:vAlign w:val="center"/>
          </w:tcPr>
          <w:p w14:paraId="44E95D80">
            <w:pPr>
              <w:pStyle w:val="33"/>
              <w:rPr>
                <w:color w:val="auto"/>
                <w:lang w:bidi="ar"/>
              </w:rPr>
            </w:pPr>
            <w:r>
              <w:rPr>
                <w:rFonts w:hint="eastAsia"/>
                <w:color w:val="auto"/>
                <w:lang w:bidi="ar"/>
              </w:rPr>
              <w:t>已批在建</w:t>
            </w:r>
            <w:r>
              <w:rPr>
                <w:color w:val="auto"/>
                <w:lang w:bidi="ar"/>
              </w:rPr>
              <w:t>（m</w:t>
            </w:r>
            <w:r>
              <w:rPr>
                <w:color w:val="auto"/>
                <w:vertAlign w:val="superscript"/>
                <w:lang w:bidi="ar"/>
              </w:rPr>
              <w:t>3</w:t>
            </w:r>
            <w:r>
              <w:rPr>
                <w:color w:val="auto"/>
                <w:lang w:bidi="ar"/>
              </w:rPr>
              <w:t>/d）</w:t>
            </w:r>
          </w:p>
        </w:tc>
      </w:tr>
      <w:tr w14:paraId="26D6E282">
        <w:tblPrEx>
          <w:tblCellMar>
            <w:top w:w="0" w:type="dxa"/>
            <w:left w:w="108" w:type="dxa"/>
            <w:bottom w:w="0" w:type="dxa"/>
            <w:right w:w="108" w:type="dxa"/>
          </w:tblCellMar>
        </w:tblPrEx>
        <w:trPr>
          <w:trHeight w:val="90" w:hRule="atLeast"/>
        </w:trPr>
        <w:tc>
          <w:tcPr>
            <w:tcW w:w="581" w:type="pct"/>
            <w:tcBorders>
              <w:top w:val="single" w:color="000000" w:sz="4" w:space="0"/>
              <w:left w:val="single" w:color="000000" w:sz="4" w:space="0"/>
              <w:bottom w:val="single" w:color="000000" w:sz="4" w:space="0"/>
              <w:right w:val="single" w:color="000000" w:sz="4" w:space="0"/>
            </w:tcBorders>
            <w:vAlign w:val="center"/>
          </w:tcPr>
          <w:p w14:paraId="7E0C5111">
            <w:pPr>
              <w:pStyle w:val="33"/>
              <w:rPr>
                <w:color w:val="auto"/>
                <w:szCs w:val="21"/>
              </w:rPr>
            </w:pPr>
            <w:r>
              <w:rPr>
                <w:color w:val="auto"/>
                <w:szCs w:val="21"/>
                <w:lang w:bidi="ar"/>
              </w:rPr>
              <w:t>1</w:t>
            </w:r>
          </w:p>
        </w:tc>
        <w:tc>
          <w:tcPr>
            <w:tcW w:w="2205" w:type="pct"/>
            <w:tcBorders>
              <w:top w:val="single" w:color="000000" w:sz="4" w:space="0"/>
              <w:left w:val="single" w:color="000000" w:sz="4" w:space="0"/>
              <w:bottom w:val="single" w:color="000000" w:sz="4" w:space="0"/>
              <w:right w:val="single" w:color="000000" w:sz="4" w:space="0"/>
            </w:tcBorders>
            <w:vAlign w:val="center"/>
          </w:tcPr>
          <w:p w14:paraId="398F049E">
            <w:pPr>
              <w:pStyle w:val="33"/>
              <w:rPr>
                <w:color w:val="auto"/>
                <w:szCs w:val="21"/>
              </w:rPr>
            </w:pPr>
            <w:r>
              <w:rPr>
                <w:color w:val="auto"/>
                <w:szCs w:val="21"/>
                <w:lang w:bidi="ar"/>
              </w:rPr>
              <w:t>备料车间</w:t>
            </w:r>
          </w:p>
        </w:tc>
        <w:tc>
          <w:tcPr>
            <w:tcW w:w="2214" w:type="pct"/>
            <w:tcBorders>
              <w:top w:val="single" w:color="000000" w:sz="4" w:space="0"/>
              <w:left w:val="single" w:color="000000" w:sz="4" w:space="0"/>
              <w:bottom w:val="single" w:color="000000" w:sz="4" w:space="0"/>
              <w:right w:val="single" w:color="000000" w:sz="4" w:space="0"/>
            </w:tcBorders>
            <w:vAlign w:val="center"/>
          </w:tcPr>
          <w:p w14:paraId="3EB0FC96">
            <w:pPr>
              <w:pStyle w:val="33"/>
              <w:rPr>
                <w:color w:val="auto"/>
                <w:szCs w:val="21"/>
                <w:lang w:bidi="ar"/>
              </w:rPr>
            </w:pPr>
            <w:r>
              <w:rPr>
                <w:rFonts w:hint="eastAsia"/>
                <w:color w:val="auto"/>
                <w:szCs w:val="21"/>
                <w:lang w:bidi="ar"/>
              </w:rPr>
              <w:t>462</w:t>
            </w:r>
          </w:p>
        </w:tc>
      </w:tr>
      <w:tr w14:paraId="375C0CDE">
        <w:tblPrEx>
          <w:tblCellMar>
            <w:top w:w="0" w:type="dxa"/>
            <w:left w:w="108" w:type="dxa"/>
            <w:bottom w:w="0" w:type="dxa"/>
            <w:right w:w="108" w:type="dxa"/>
          </w:tblCellMar>
        </w:tblPrEx>
        <w:trPr>
          <w:trHeight w:val="180" w:hRule="atLeast"/>
        </w:trPr>
        <w:tc>
          <w:tcPr>
            <w:tcW w:w="581" w:type="pct"/>
            <w:tcBorders>
              <w:top w:val="single" w:color="000000" w:sz="4" w:space="0"/>
              <w:left w:val="single" w:color="000000" w:sz="4" w:space="0"/>
              <w:bottom w:val="single" w:color="000000" w:sz="4" w:space="0"/>
              <w:right w:val="single" w:color="000000" w:sz="4" w:space="0"/>
            </w:tcBorders>
            <w:vAlign w:val="center"/>
          </w:tcPr>
          <w:p w14:paraId="1CBC4ACE">
            <w:pPr>
              <w:pStyle w:val="33"/>
              <w:rPr>
                <w:color w:val="auto"/>
                <w:szCs w:val="21"/>
              </w:rPr>
            </w:pPr>
            <w:r>
              <w:rPr>
                <w:rFonts w:hint="eastAsia"/>
                <w:color w:val="auto"/>
                <w:szCs w:val="21"/>
              </w:rPr>
              <w:t>2</w:t>
            </w:r>
          </w:p>
        </w:tc>
        <w:tc>
          <w:tcPr>
            <w:tcW w:w="2205" w:type="pct"/>
            <w:tcBorders>
              <w:top w:val="single" w:color="000000" w:sz="4" w:space="0"/>
              <w:left w:val="single" w:color="000000" w:sz="4" w:space="0"/>
              <w:bottom w:val="single" w:color="000000" w:sz="4" w:space="0"/>
              <w:right w:val="single" w:color="000000" w:sz="4" w:space="0"/>
            </w:tcBorders>
            <w:vAlign w:val="center"/>
          </w:tcPr>
          <w:p w14:paraId="7E8E6F70">
            <w:pPr>
              <w:pStyle w:val="33"/>
              <w:rPr>
                <w:color w:val="auto"/>
                <w:szCs w:val="21"/>
              </w:rPr>
            </w:pPr>
            <w:r>
              <w:rPr>
                <w:color w:val="auto"/>
                <w:szCs w:val="21"/>
                <w:lang w:bidi="ar"/>
              </w:rPr>
              <w:t>碱回收车间</w:t>
            </w:r>
          </w:p>
        </w:tc>
        <w:tc>
          <w:tcPr>
            <w:tcW w:w="2214" w:type="pct"/>
            <w:tcBorders>
              <w:top w:val="single" w:color="000000" w:sz="4" w:space="0"/>
              <w:left w:val="single" w:color="000000" w:sz="4" w:space="0"/>
              <w:bottom w:val="single" w:color="000000" w:sz="4" w:space="0"/>
              <w:right w:val="single" w:color="000000" w:sz="4" w:space="0"/>
            </w:tcBorders>
            <w:vAlign w:val="center"/>
          </w:tcPr>
          <w:p w14:paraId="39561B24">
            <w:pPr>
              <w:pStyle w:val="33"/>
              <w:rPr>
                <w:color w:val="auto"/>
                <w:szCs w:val="21"/>
                <w:lang w:bidi="ar"/>
              </w:rPr>
            </w:pPr>
            <w:r>
              <w:rPr>
                <w:rFonts w:hint="eastAsia"/>
                <w:color w:val="auto"/>
                <w:szCs w:val="21"/>
                <w:lang w:bidi="ar"/>
              </w:rPr>
              <w:t>4331</w:t>
            </w:r>
          </w:p>
        </w:tc>
      </w:tr>
      <w:tr w14:paraId="3A297163">
        <w:tblPrEx>
          <w:tblCellMar>
            <w:top w:w="0" w:type="dxa"/>
            <w:left w:w="108" w:type="dxa"/>
            <w:bottom w:w="0" w:type="dxa"/>
            <w:right w:w="108" w:type="dxa"/>
          </w:tblCellMar>
        </w:tblPrEx>
        <w:trPr>
          <w:trHeight w:val="90" w:hRule="atLeast"/>
        </w:trPr>
        <w:tc>
          <w:tcPr>
            <w:tcW w:w="581" w:type="pct"/>
            <w:tcBorders>
              <w:top w:val="single" w:color="000000" w:sz="4" w:space="0"/>
              <w:left w:val="single" w:color="000000" w:sz="4" w:space="0"/>
              <w:bottom w:val="single" w:color="000000" w:sz="4" w:space="0"/>
              <w:right w:val="single" w:color="000000" w:sz="4" w:space="0"/>
            </w:tcBorders>
            <w:noWrap/>
            <w:vAlign w:val="center"/>
          </w:tcPr>
          <w:p w14:paraId="616683DA">
            <w:pPr>
              <w:pStyle w:val="33"/>
              <w:rPr>
                <w:color w:val="auto"/>
                <w:szCs w:val="21"/>
              </w:rPr>
            </w:pPr>
            <w:r>
              <w:rPr>
                <w:rFonts w:hint="eastAsia"/>
                <w:color w:val="auto"/>
                <w:szCs w:val="21"/>
              </w:rPr>
              <w:t>3</w:t>
            </w:r>
          </w:p>
        </w:tc>
        <w:tc>
          <w:tcPr>
            <w:tcW w:w="2205" w:type="pct"/>
            <w:tcBorders>
              <w:top w:val="single" w:color="000000" w:sz="4" w:space="0"/>
              <w:left w:val="single" w:color="000000" w:sz="4" w:space="0"/>
              <w:bottom w:val="single" w:color="000000" w:sz="4" w:space="0"/>
              <w:right w:val="single" w:color="000000" w:sz="4" w:space="0"/>
            </w:tcBorders>
            <w:vAlign w:val="center"/>
          </w:tcPr>
          <w:p w14:paraId="34DD2EEB">
            <w:pPr>
              <w:pStyle w:val="33"/>
              <w:rPr>
                <w:color w:val="auto"/>
                <w:szCs w:val="21"/>
              </w:rPr>
            </w:pPr>
            <w:r>
              <w:rPr>
                <w:color w:val="auto"/>
                <w:szCs w:val="21"/>
                <w:lang w:bidi="ar"/>
              </w:rPr>
              <w:t>3#造纸车间</w:t>
            </w:r>
          </w:p>
        </w:tc>
        <w:tc>
          <w:tcPr>
            <w:tcW w:w="2214" w:type="pct"/>
            <w:tcBorders>
              <w:top w:val="single" w:color="000000" w:sz="4" w:space="0"/>
              <w:left w:val="single" w:color="000000" w:sz="4" w:space="0"/>
              <w:bottom w:val="single" w:color="000000" w:sz="4" w:space="0"/>
              <w:right w:val="single" w:color="000000" w:sz="4" w:space="0"/>
            </w:tcBorders>
            <w:vAlign w:val="center"/>
          </w:tcPr>
          <w:p w14:paraId="245DB65A">
            <w:pPr>
              <w:pStyle w:val="33"/>
              <w:rPr>
                <w:color w:val="auto"/>
                <w:szCs w:val="21"/>
                <w:lang w:bidi="ar"/>
              </w:rPr>
            </w:pPr>
            <w:r>
              <w:rPr>
                <w:rFonts w:hint="eastAsia"/>
                <w:color w:val="auto"/>
                <w:szCs w:val="21"/>
                <w:lang w:bidi="ar"/>
              </w:rPr>
              <w:t>19211</w:t>
            </w:r>
          </w:p>
        </w:tc>
      </w:tr>
      <w:tr w14:paraId="4A6D61C2">
        <w:tblPrEx>
          <w:tblCellMar>
            <w:top w:w="0" w:type="dxa"/>
            <w:left w:w="108" w:type="dxa"/>
            <w:bottom w:w="0" w:type="dxa"/>
            <w:right w:w="108" w:type="dxa"/>
          </w:tblCellMar>
        </w:tblPrEx>
        <w:trPr>
          <w:trHeight w:val="90" w:hRule="atLeast"/>
        </w:trPr>
        <w:tc>
          <w:tcPr>
            <w:tcW w:w="2786" w:type="pct"/>
            <w:gridSpan w:val="2"/>
            <w:tcBorders>
              <w:top w:val="single" w:color="000000" w:sz="4" w:space="0"/>
              <w:left w:val="single" w:color="000000" w:sz="4" w:space="0"/>
              <w:bottom w:val="single" w:color="000000" w:sz="4" w:space="0"/>
              <w:right w:val="single" w:color="000000" w:sz="4" w:space="0"/>
            </w:tcBorders>
            <w:noWrap/>
            <w:vAlign w:val="center"/>
          </w:tcPr>
          <w:p w14:paraId="62EFC2DF">
            <w:pPr>
              <w:pStyle w:val="33"/>
              <w:rPr>
                <w:b/>
                <w:bCs/>
                <w:color w:val="auto"/>
                <w:szCs w:val="21"/>
                <w:lang w:bidi="ar"/>
              </w:rPr>
            </w:pPr>
            <w:r>
              <w:rPr>
                <w:b/>
                <w:bCs/>
                <w:color w:val="auto"/>
                <w:szCs w:val="21"/>
                <w:lang w:bidi="ar"/>
              </w:rPr>
              <w:t>总计</w:t>
            </w:r>
          </w:p>
        </w:tc>
        <w:tc>
          <w:tcPr>
            <w:tcW w:w="2214" w:type="pct"/>
            <w:tcBorders>
              <w:top w:val="single" w:color="000000" w:sz="4" w:space="0"/>
              <w:left w:val="single" w:color="000000" w:sz="4" w:space="0"/>
              <w:bottom w:val="single" w:color="000000" w:sz="4" w:space="0"/>
              <w:right w:val="single" w:color="000000" w:sz="4" w:space="0"/>
            </w:tcBorders>
            <w:vAlign w:val="center"/>
          </w:tcPr>
          <w:p w14:paraId="2313D209">
            <w:pPr>
              <w:pStyle w:val="33"/>
              <w:rPr>
                <w:color w:val="auto"/>
                <w:szCs w:val="21"/>
                <w:lang w:bidi="ar"/>
              </w:rPr>
            </w:pPr>
            <w:r>
              <w:rPr>
                <w:rFonts w:hint="eastAsia"/>
                <w:color w:val="auto"/>
                <w:szCs w:val="21"/>
                <w:lang w:bidi="ar"/>
              </w:rPr>
              <w:t>24004</w:t>
            </w:r>
          </w:p>
        </w:tc>
      </w:tr>
    </w:tbl>
    <w:p w14:paraId="614C3C0C">
      <w:pPr>
        <w:ind w:firstLine="464"/>
        <w:rPr>
          <w:rStyle w:val="36"/>
          <w:color w:val="auto"/>
        </w:rPr>
      </w:pPr>
      <w:r>
        <w:rPr>
          <w:color w:val="auto"/>
          <w:spacing w:val="-4"/>
        </w:rPr>
        <w:t>年产</w:t>
      </w:r>
      <w:r>
        <w:rPr>
          <w:rFonts w:eastAsia="Times New Roman" w:cs="Times New Roman"/>
          <w:color w:val="auto"/>
          <w:spacing w:val="-4"/>
        </w:rPr>
        <w:t>25</w:t>
      </w:r>
      <w:r>
        <w:rPr>
          <w:color w:val="auto"/>
          <w:spacing w:val="-4"/>
        </w:rPr>
        <w:t>万吨丁苯胶乳</w:t>
      </w:r>
      <w:r>
        <w:rPr>
          <w:rStyle w:val="36"/>
          <w:rFonts w:hint="eastAsia"/>
          <w:color w:val="auto"/>
        </w:rPr>
        <w:t>项目废水排放情况见下表。</w:t>
      </w:r>
    </w:p>
    <w:p w14:paraId="44A879C4">
      <w:pPr>
        <w:pStyle w:val="7"/>
        <w:rPr>
          <w:rStyle w:val="36"/>
          <w:color w:val="auto"/>
        </w:rPr>
      </w:pPr>
      <w:r>
        <w:rPr>
          <w:color w:val="auto"/>
        </w:rPr>
        <w:t>年产25万吨丁苯胶乳</w:t>
      </w:r>
      <w:r>
        <w:rPr>
          <w:rFonts w:hint="eastAsia"/>
          <w:color w:val="auto"/>
        </w:rPr>
        <w:t>项目废水排放情况表</w:t>
      </w:r>
    </w:p>
    <w:tbl>
      <w:tblPr>
        <w:tblStyle w:val="26"/>
        <w:tblW w:w="5000" w:type="pct"/>
        <w:tblInd w:w="0" w:type="dxa"/>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Layout w:type="autofit"/>
        <w:tblCellMar>
          <w:top w:w="0" w:type="dxa"/>
          <w:left w:w="108" w:type="dxa"/>
          <w:bottom w:w="0" w:type="dxa"/>
          <w:right w:w="108" w:type="dxa"/>
        </w:tblCellMar>
      </w:tblPr>
      <w:tblGrid>
        <w:gridCol w:w="2310"/>
        <w:gridCol w:w="2931"/>
        <w:gridCol w:w="4045"/>
      </w:tblGrid>
      <w:tr w14:paraId="17D3F314">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vMerge w:val="restart"/>
            <w:tcBorders>
              <w:top w:val="single" w:color="221F1F" w:sz="2" w:space="0"/>
              <w:left w:val="single" w:color="000000" w:sz="4" w:space="0"/>
              <w:bottom w:val="single" w:color="221F1F" w:sz="2" w:space="0"/>
              <w:right w:val="single" w:color="221F1F" w:sz="2" w:space="0"/>
            </w:tcBorders>
            <w:vAlign w:val="center"/>
          </w:tcPr>
          <w:p w14:paraId="0E543324">
            <w:pPr>
              <w:pStyle w:val="33"/>
              <w:rPr>
                <w:color w:val="auto"/>
              </w:rPr>
            </w:pPr>
            <w:r>
              <w:rPr>
                <w:rFonts w:hint="eastAsia"/>
                <w:color w:val="auto"/>
              </w:rPr>
              <w:t>污染物名称</w:t>
            </w:r>
          </w:p>
        </w:tc>
        <w:tc>
          <w:tcPr>
            <w:tcW w:w="3756" w:type="pct"/>
            <w:gridSpan w:val="2"/>
            <w:tcBorders>
              <w:top w:val="single" w:color="221F1F" w:sz="2" w:space="0"/>
              <w:left w:val="single" w:color="221F1F" w:sz="2" w:space="0"/>
              <w:bottom w:val="single" w:color="221F1F" w:sz="2" w:space="0"/>
              <w:right w:val="single" w:color="221F1F" w:sz="2" w:space="0"/>
            </w:tcBorders>
            <w:vAlign w:val="center"/>
          </w:tcPr>
          <w:p w14:paraId="4F3AA4E0">
            <w:pPr>
              <w:pStyle w:val="33"/>
              <w:rPr>
                <w:color w:val="auto"/>
              </w:rPr>
            </w:pPr>
            <w:r>
              <w:rPr>
                <w:color w:val="auto"/>
              </w:rPr>
              <w:t>产25万吨丁苯胶乳</w:t>
            </w:r>
            <w:r>
              <w:rPr>
                <w:rFonts w:hint="eastAsia"/>
                <w:color w:val="auto"/>
              </w:rPr>
              <w:t>项目废水</w:t>
            </w:r>
          </w:p>
        </w:tc>
      </w:tr>
      <w:tr w14:paraId="58AE81D2">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vMerge w:val="continue"/>
            <w:tcBorders>
              <w:top w:val="single" w:color="221F1F" w:sz="2" w:space="0"/>
              <w:left w:val="single" w:color="000000" w:sz="4" w:space="0"/>
              <w:bottom w:val="single" w:color="221F1F" w:sz="2" w:space="0"/>
              <w:right w:val="single" w:color="221F1F" w:sz="2" w:space="0"/>
            </w:tcBorders>
            <w:vAlign w:val="center"/>
          </w:tcPr>
          <w:p w14:paraId="3921079B">
            <w:pPr>
              <w:pStyle w:val="33"/>
              <w:rPr>
                <w:color w:val="auto"/>
              </w:rPr>
            </w:pPr>
          </w:p>
        </w:tc>
        <w:tc>
          <w:tcPr>
            <w:tcW w:w="1578" w:type="pct"/>
            <w:tcBorders>
              <w:top w:val="single" w:color="221F1F" w:sz="2" w:space="0"/>
              <w:left w:val="single" w:color="221F1F" w:sz="2" w:space="0"/>
              <w:bottom w:val="single" w:color="221F1F" w:sz="2" w:space="0"/>
              <w:right w:val="single" w:color="221F1F" w:sz="2" w:space="0"/>
            </w:tcBorders>
            <w:vAlign w:val="center"/>
          </w:tcPr>
          <w:p w14:paraId="432D87C5">
            <w:pPr>
              <w:pStyle w:val="33"/>
              <w:rPr>
                <w:color w:val="auto"/>
              </w:rPr>
            </w:pPr>
            <w:r>
              <w:rPr>
                <w:rFonts w:hint="eastAsia"/>
                <w:color w:val="auto"/>
              </w:rPr>
              <w:t>浓度（</w:t>
            </w:r>
            <w:r>
              <w:rPr>
                <w:color w:val="auto"/>
              </w:rPr>
              <w:t>mg/L</w:t>
            </w:r>
            <w:r>
              <w:rPr>
                <w:rFonts w:hint="eastAsia"/>
                <w:color w:val="auto"/>
              </w:rPr>
              <w:t>）</w:t>
            </w:r>
          </w:p>
        </w:tc>
        <w:tc>
          <w:tcPr>
            <w:tcW w:w="2178" w:type="pct"/>
            <w:tcBorders>
              <w:top w:val="single" w:color="221F1F" w:sz="2" w:space="0"/>
              <w:left w:val="single" w:color="221F1F" w:sz="2" w:space="0"/>
              <w:bottom w:val="single" w:color="221F1F" w:sz="2" w:space="0"/>
              <w:right w:val="single" w:color="221F1F" w:sz="2" w:space="0"/>
            </w:tcBorders>
            <w:vAlign w:val="center"/>
          </w:tcPr>
          <w:p w14:paraId="44BE6ED4">
            <w:pPr>
              <w:pStyle w:val="33"/>
              <w:rPr>
                <w:color w:val="auto"/>
              </w:rPr>
            </w:pPr>
            <w:r>
              <w:rPr>
                <w:rFonts w:hint="eastAsia"/>
                <w:color w:val="auto"/>
              </w:rPr>
              <w:t>排放量（</w:t>
            </w:r>
            <w:r>
              <w:rPr>
                <w:color w:val="auto"/>
              </w:rPr>
              <w:t>t/a</w:t>
            </w:r>
            <w:r>
              <w:rPr>
                <w:rFonts w:hint="eastAsia"/>
                <w:color w:val="auto"/>
              </w:rPr>
              <w:t>）</w:t>
            </w:r>
          </w:p>
        </w:tc>
      </w:tr>
      <w:tr w14:paraId="420A42C4">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39B74814">
            <w:pPr>
              <w:pStyle w:val="33"/>
              <w:rPr>
                <w:color w:val="auto"/>
              </w:rPr>
            </w:pPr>
            <w:r>
              <w:rPr>
                <w:rFonts w:hint="eastAsia"/>
                <w:color w:val="auto"/>
              </w:rPr>
              <w:t>废水量</w:t>
            </w:r>
          </w:p>
        </w:tc>
        <w:tc>
          <w:tcPr>
            <w:tcW w:w="1578" w:type="pct"/>
            <w:tcBorders>
              <w:top w:val="single" w:color="221F1F" w:sz="2" w:space="0"/>
              <w:left w:val="single" w:color="221F1F" w:sz="2" w:space="0"/>
              <w:bottom w:val="single" w:color="221F1F" w:sz="2" w:space="0"/>
              <w:right w:val="single" w:color="221F1F" w:sz="2" w:space="0"/>
            </w:tcBorders>
            <w:vAlign w:val="center"/>
          </w:tcPr>
          <w:p w14:paraId="47550B98">
            <w:pPr>
              <w:pStyle w:val="33"/>
              <w:rPr>
                <w:color w:val="auto"/>
              </w:rPr>
            </w:pPr>
            <w:r>
              <w:rPr>
                <w:color w:val="auto"/>
              </w:rPr>
              <w:t>—</w:t>
            </w:r>
          </w:p>
        </w:tc>
        <w:tc>
          <w:tcPr>
            <w:tcW w:w="2178" w:type="pct"/>
            <w:tcBorders>
              <w:top w:val="single" w:color="221F1F" w:sz="2" w:space="0"/>
              <w:left w:val="single" w:color="221F1F" w:sz="2" w:space="0"/>
              <w:bottom w:val="single" w:color="221F1F" w:sz="2" w:space="0"/>
              <w:right w:val="single" w:color="221F1F" w:sz="2" w:space="0"/>
            </w:tcBorders>
            <w:vAlign w:val="center"/>
          </w:tcPr>
          <w:p w14:paraId="24AAA860">
            <w:pPr>
              <w:pStyle w:val="33"/>
              <w:rPr>
                <w:color w:val="auto"/>
              </w:rPr>
            </w:pPr>
            <w:r>
              <w:rPr>
                <w:color w:val="auto"/>
              </w:rPr>
              <w:t>138415.17</w:t>
            </w:r>
          </w:p>
        </w:tc>
      </w:tr>
      <w:tr w14:paraId="1A662982">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1EB03584">
            <w:pPr>
              <w:pStyle w:val="33"/>
              <w:rPr>
                <w:color w:val="auto"/>
              </w:rPr>
            </w:pPr>
            <w:r>
              <w:rPr>
                <w:color w:val="auto"/>
              </w:rPr>
              <w:t>COD</w:t>
            </w:r>
          </w:p>
        </w:tc>
        <w:tc>
          <w:tcPr>
            <w:tcW w:w="1578" w:type="pct"/>
            <w:tcBorders>
              <w:top w:val="single" w:color="221F1F" w:sz="2" w:space="0"/>
              <w:left w:val="single" w:color="221F1F" w:sz="2" w:space="0"/>
              <w:bottom w:val="single" w:color="221F1F" w:sz="2" w:space="0"/>
              <w:right w:val="single" w:color="221F1F" w:sz="2" w:space="0"/>
            </w:tcBorders>
            <w:vAlign w:val="center"/>
          </w:tcPr>
          <w:p w14:paraId="6901DA66">
            <w:pPr>
              <w:pStyle w:val="33"/>
              <w:rPr>
                <w:color w:val="auto"/>
              </w:rPr>
            </w:pPr>
            <w:r>
              <w:rPr>
                <w:color w:val="auto"/>
              </w:rPr>
              <w:t>52</w:t>
            </w:r>
          </w:p>
        </w:tc>
        <w:tc>
          <w:tcPr>
            <w:tcW w:w="2178" w:type="pct"/>
            <w:tcBorders>
              <w:top w:val="single" w:color="221F1F" w:sz="2" w:space="0"/>
              <w:left w:val="single" w:color="221F1F" w:sz="2" w:space="0"/>
              <w:bottom w:val="single" w:color="221F1F" w:sz="2" w:space="0"/>
              <w:right w:val="single" w:color="221F1F" w:sz="2" w:space="0"/>
            </w:tcBorders>
            <w:vAlign w:val="center"/>
          </w:tcPr>
          <w:p w14:paraId="072465E8">
            <w:pPr>
              <w:pStyle w:val="33"/>
              <w:rPr>
                <w:color w:val="auto"/>
              </w:rPr>
            </w:pPr>
            <w:r>
              <w:rPr>
                <w:color w:val="auto"/>
              </w:rPr>
              <w:t>7.198</w:t>
            </w:r>
          </w:p>
        </w:tc>
      </w:tr>
      <w:tr w14:paraId="33AA0CEC">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5C532ADB">
            <w:pPr>
              <w:pStyle w:val="33"/>
              <w:rPr>
                <w:color w:val="auto"/>
              </w:rPr>
            </w:pPr>
            <w:r>
              <w:rPr>
                <w:color w:val="auto"/>
              </w:rPr>
              <w:t>BOD5</w:t>
            </w:r>
          </w:p>
        </w:tc>
        <w:tc>
          <w:tcPr>
            <w:tcW w:w="1578" w:type="pct"/>
            <w:tcBorders>
              <w:top w:val="single" w:color="221F1F" w:sz="2" w:space="0"/>
              <w:left w:val="single" w:color="221F1F" w:sz="2" w:space="0"/>
              <w:bottom w:val="single" w:color="221F1F" w:sz="2" w:space="0"/>
              <w:right w:val="single" w:color="221F1F" w:sz="2" w:space="0"/>
            </w:tcBorders>
            <w:vAlign w:val="center"/>
          </w:tcPr>
          <w:p w14:paraId="7D9FEA19">
            <w:pPr>
              <w:pStyle w:val="33"/>
              <w:rPr>
                <w:color w:val="auto"/>
              </w:rPr>
            </w:pPr>
            <w:r>
              <w:rPr>
                <w:color w:val="auto"/>
              </w:rPr>
              <w:t>11</w:t>
            </w:r>
          </w:p>
        </w:tc>
        <w:tc>
          <w:tcPr>
            <w:tcW w:w="2178" w:type="pct"/>
            <w:tcBorders>
              <w:top w:val="single" w:color="221F1F" w:sz="2" w:space="0"/>
              <w:left w:val="single" w:color="221F1F" w:sz="2" w:space="0"/>
              <w:bottom w:val="single" w:color="221F1F" w:sz="2" w:space="0"/>
              <w:right w:val="single" w:color="221F1F" w:sz="2" w:space="0"/>
            </w:tcBorders>
            <w:vAlign w:val="center"/>
          </w:tcPr>
          <w:p w14:paraId="7AE4B96A">
            <w:pPr>
              <w:pStyle w:val="33"/>
              <w:rPr>
                <w:color w:val="auto"/>
              </w:rPr>
            </w:pPr>
            <w:r>
              <w:rPr>
                <w:color w:val="auto"/>
              </w:rPr>
              <w:t>1.523</w:t>
            </w:r>
          </w:p>
        </w:tc>
      </w:tr>
      <w:tr w14:paraId="684F0F59">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1DBE857D">
            <w:pPr>
              <w:pStyle w:val="33"/>
              <w:rPr>
                <w:color w:val="auto"/>
              </w:rPr>
            </w:pPr>
            <w:r>
              <w:rPr>
                <w:color w:val="auto"/>
              </w:rPr>
              <w:t>SS</w:t>
            </w:r>
          </w:p>
        </w:tc>
        <w:tc>
          <w:tcPr>
            <w:tcW w:w="1578" w:type="pct"/>
            <w:tcBorders>
              <w:top w:val="single" w:color="221F1F" w:sz="2" w:space="0"/>
              <w:left w:val="single" w:color="221F1F" w:sz="2" w:space="0"/>
              <w:bottom w:val="single" w:color="221F1F" w:sz="2" w:space="0"/>
              <w:right w:val="single" w:color="221F1F" w:sz="2" w:space="0"/>
            </w:tcBorders>
            <w:vAlign w:val="center"/>
          </w:tcPr>
          <w:p w14:paraId="3113D864">
            <w:pPr>
              <w:pStyle w:val="33"/>
              <w:rPr>
                <w:color w:val="auto"/>
              </w:rPr>
            </w:pPr>
            <w:r>
              <w:rPr>
                <w:color w:val="auto"/>
              </w:rPr>
              <w:t>6.7</w:t>
            </w:r>
          </w:p>
        </w:tc>
        <w:tc>
          <w:tcPr>
            <w:tcW w:w="2178" w:type="pct"/>
            <w:tcBorders>
              <w:top w:val="single" w:color="221F1F" w:sz="2" w:space="0"/>
              <w:left w:val="single" w:color="221F1F" w:sz="2" w:space="0"/>
              <w:bottom w:val="single" w:color="221F1F" w:sz="2" w:space="0"/>
              <w:right w:val="single" w:color="221F1F" w:sz="2" w:space="0"/>
            </w:tcBorders>
            <w:vAlign w:val="center"/>
          </w:tcPr>
          <w:p w14:paraId="61612ED8">
            <w:pPr>
              <w:pStyle w:val="33"/>
              <w:rPr>
                <w:color w:val="auto"/>
              </w:rPr>
            </w:pPr>
            <w:r>
              <w:rPr>
                <w:color w:val="auto"/>
              </w:rPr>
              <w:t>0.927</w:t>
            </w:r>
          </w:p>
        </w:tc>
      </w:tr>
      <w:tr w14:paraId="4F19A7EC">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3C0CC557">
            <w:pPr>
              <w:pStyle w:val="33"/>
              <w:rPr>
                <w:color w:val="auto"/>
              </w:rPr>
            </w:pPr>
            <w:r>
              <w:rPr>
                <w:rFonts w:hint="eastAsia"/>
                <w:color w:val="auto"/>
              </w:rPr>
              <w:t>总氮</w:t>
            </w:r>
          </w:p>
        </w:tc>
        <w:tc>
          <w:tcPr>
            <w:tcW w:w="1578" w:type="pct"/>
            <w:tcBorders>
              <w:top w:val="single" w:color="221F1F" w:sz="2" w:space="0"/>
              <w:left w:val="single" w:color="221F1F" w:sz="2" w:space="0"/>
              <w:bottom w:val="single" w:color="221F1F" w:sz="2" w:space="0"/>
              <w:right w:val="single" w:color="221F1F" w:sz="2" w:space="0"/>
            </w:tcBorders>
            <w:vAlign w:val="center"/>
          </w:tcPr>
          <w:p w14:paraId="50FB65AF">
            <w:pPr>
              <w:pStyle w:val="33"/>
              <w:rPr>
                <w:color w:val="auto"/>
              </w:rPr>
            </w:pPr>
            <w:r>
              <w:rPr>
                <w:color w:val="auto"/>
              </w:rPr>
              <w:t>3.6</w:t>
            </w:r>
          </w:p>
        </w:tc>
        <w:tc>
          <w:tcPr>
            <w:tcW w:w="2178" w:type="pct"/>
            <w:tcBorders>
              <w:top w:val="single" w:color="221F1F" w:sz="2" w:space="0"/>
              <w:left w:val="single" w:color="221F1F" w:sz="2" w:space="0"/>
              <w:bottom w:val="single" w:color="221F1F" w:sz="2" w:space="0"/>
              <w:right w:val="single" w:color="221F1F" w:sz="2" w:space="0"/>
            </w:tcBorders>
            <w:vAlign w:val="center"/>
          </w:tcPr>
          <w:p w14:paraId="5778C490">
            <w:pPr>
              <w:pStyle w:val="33"/>
              <w:rPr>
                <w:color w:val="auto"/>
              </w:rPr>
            </w:pPr>
            <w:r>
              <w:rPr>
                <w:color w:val="auto"/>
              </w:rPr>
              <w:t>0.498</w:t>
            </w:r>
          </w:p>
        </w:tc>
      </w:tr>
      <w:tr w14:paraId="034028F4">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264BD9E2">
            <w:pPr>
              <w:pStyle w:val="33"/>
              <w:rPr>
                <w:color w:val="auto"/>
              </w:rPr>
            </w:pPr>
            <w:r>
              <w:rPr>
                <w:rFonts w:hint="eastAsia"/>
                <w:color w:val="auto"/>
              </w:rPr>
              <w:t>氨氮</w:t>
            </w:r>
          </w:p>
        </w:tc>
        <w:tc>
          <w:tcPr>
            <w:tcW w:w="1578" w:type="pct"/>
            <w:tcBorders>
              <w:top w:val="single" w:color="221F1F" w:sz="2" w:space="0"/>
              <w:left w:val="single" w:color="221F1F" w:sz="2" w:space="0"/>
              <w:bottom w:val="single" w:color="221F1F" w:sz="2" w:space="0"/>
              <w:right w:val="single" w:color="221F1F" w:sz="2" w:space="0"/>
            </w:tcBorders>
            <w:vAlign w:val="center"/>
          </w:tcPr>
          <w:p w14:paraId="46F28213">
            <w:pPr>
              <w:pStyle w:val="33"/>
              <w:rPr>
                <w:color w:val="auto"/>
              </w:rPr>
            </w:pPr>
            <w:r>
              <w:rPr>
                <w:color w:val="auto"/>
              </w:rPr>
              <w:t>0.47</w:t>
            </w:r>
          </w:p>
        </w:tc>
        <w:tc>
          <w:tcPr>
            <w:tcW w:w="2178" w:type="pct"/>
            <w:tcBorders>
              <w:top w:val="single" w:color="221F1F" w:sz="2" w:space="0"/>
              <w:left w:val="single" w:color="221F1F" w:sz="2" w:space="0"/>
              <w:bottom w:val="single" w:color="221F1F" w:sz="2" w:space="0"/>
              <w:right w:val="single" w:color="221F1F" w:sz="2" w:space="0"/>
            </w:tcBorders>
            <w:vAlign w:val="center"/>
          </w:tcPr>
          <w:p w14:paraId="6074FDF9">
            <w:pPr>
              <w:pStyle w:val="33"/>
              <w:rPr>
                <w:color w:val="auto"/>
              </w:rPr>
            </w:pPr>
            <w:r>
              <w:rPr>
                <w:color w:val="auto"/>
              </w:rPr>
              <w:t>0.065</w:t>
            </w:r>
          </w:p>
        </w:tc>
      </w:tr>
      <w:tr w14:paraId="3DED3DAF">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4F6FD6E8">
            <w:pPr>
              <w:pStyle w:val="33"/>
              <w:rPr>
                <w:color w:val="auto"/>
              </w:rPr>
            </w:pPr>
            <w:r>
              <w:rPr>
                <w:rFonts w:hint="eastAsia"/>
                <w:color w:val="auto"/>
              </w:rPr>
              <w:t>苯乙烯</w:t>
            </w:r>
          </w:p>
        </w:tc>
        <w:tc>
          <w:tcPr>
            <w:tcW w:w="1578" w:type="pct"/>
            <w:tcBorders>
              <w:top w:val="single" w:color="221F1F" w:sz="2" w:space="0"/>
              <w:left w:val="single" w:color="221F1F" w:sz="2" w:space="0"/>
              <w:bottom w:val="single" w:color="221F1F" w:sz="2" w:space="0"/>
              <w:right w:val="single" w:color="221F1F" w:sz="2" w:space="0"/>
            </w:tcBorders>
            <w:vAlign w:val="center"/>
          </w:tcPr>
          <w:p w14:paraId="109459F4">
            <w:pPr>
              <w:pStyle w:val="33"/>
              <w:rPr>
                <w:color w:val="auto"/>
              </w:rPr>
            </w:pPr>
            <w:r>
              <w:rPr>
                <w:color w:val="auto"/>
              </w:rPr>
              <w:t>0.15</w:t>
            </w:r>
          </w:p>
        </w:tc>
        <w:tc>
          <w:tcPr>
            <w:tcW w:w="2178" w:type="pct"/>
            <w:tcBorders>
              <w:top w:val="single" w:color="221F1F" w:sz="2" w:space="0"/>
              <w:left w:val="single" w:color="221F1F" w:sz="2" w:space="0"/>
              <w:bottom w:val="single" w:color="221F1F" w:sz="2" w:space="0"/>
              <w:right w:val="single" w:color="221F1F" w:sz="2" w:space="0"/>
            </w:tcBorders>
            <w:vAlign w:val="center"/>
          </w:tcPr>
          <w:p w14:paraId="264B9DB0">
            <w:pPr>
              <w:pStyle w:val="33"/>
              <w:rPr>
                <w:color w:val="auto"/>
              </w:rPr>
            </w:pPr>
            <w:r>
              <w:rPr>
                <w:color w:val="auto"/>
              </w:rPr>
              <w:t>0.021</w:t>
            </w:r>
          </w:p>
        </w:tc>
      </w:tr>
      <w:tr w14:paraId="468CAF12">
        <w:tblPrEx>
          <w:tblBorders>
            <w:top w:val="single" w:color="221F1F" w:sz="2" w:space="0"/>
            <w:left w:val="single" w:color="221F1F" w:sz="2" w:space="0"/>
            <w:bottom w:val="single" w:color="221F1F" w:sz="2" w:space="0"/>
            <w:right w:val="single" w:color="221F1F" w:sz="2" w:space="0"/>
            <w:insideH w:val="single" w:color="221F1F" w:sz="2" w:space="0"/>
            <w:insideV w:val="single" w:color="221F1F" w:sz="2" w:space="0"/>
          </w:tblBorders>
          <w:tblCellMar>
            <w:top w:w="0" w:type="dxa"/>
            <w:left w:w="108" w:type="dxa"/>
            <w:bottom w:w="0" w:type="dxa"/>
            <w:right w:w="108" w:type="dxa"/>
          </w:tblCellMar>
        </w:tblPrEx>
        <w:trPr>
          <w:trHeight w:val="340" w:hRule="atLeast"/>
        </w:trPr>
        <w:tc>
          <w:tcPr>
            <w:tcW w:w="1244" w:type="pct"/>
            <w:tcBorders>
              <w:top w:val="single" w:color="221F1F" w:sz="2" w:space="0"/>
              <w:left w:val="single" w:color="000000" w:sz="4" w:space="0"/>
              <w:bottom w:val="single" w:color="221F1F" w:sz="2" w:space="0"/>
              <w:right w:val="single" w:color="221F1F" w:sz="2" w:space="0"/>
            </w:tcBorders>
            <w:vAlign w:val="center"/>
          </w:tcPr>
          <w:p w14:paraId="516426C2">
            <w:pPr>
              <w:pStyle w:val="33"/>
              <w:rPr>
                <w:color w:val="auto"/>
              </w:rPr>
            </w:pPr>
            <w:r>
              <w:rPr>
                <w:rFonts w:hint="eastAsia"/>
                <w:color w:val="auto"/>
              </w:rPr>
              <w:t>丙烯腈</w:t>
            </w:r>
          </w:p>
        </w:tc>
        <w:tc>
          <w:tcPr>
            <w:tcW w:w="1578" w:type="pct"/>
            <w:tcBorders>
              <w:top w:val="single" w:color="221F1F" w:sz="2" w:space="0"/>
              <w:left w:val="single" w:color="221F1F" w:sz="2" w:space="0"/>
              <w:bottom w:val="single" w:color="221F1F" w:sz="2" w:space="0"/>
              <w:right w:val="single" w:color="221F1F" w:sz="2" w:space="0"/>
            </w:tcBorders>
            <w:vAlign w:val="center"/>
          </w:tcPr>
          <w:p w14:paraId="0A2FC58F">
            <w:pPr>
              <w:pStyle w:val="33"/>
              <w:rPr>
                <w:color w:val="auto"/>
              </w:rPr>
            </w:pPr>
            <w:r>
              <w:rPr>
                <w:color w:val="auto"/>
              </w:rPr>
              <w:t>0.29</w:t>
            </w:r>
          </w:p>
        </w:tc>
        <w:tc>
          <w:tcPr>
            <w:tcW w:w="2178" w:type="pct"/>
            <w:tcBorders>
              <w:top w:val="single" w:color="221F1F" w:sz="2" w:space="0"/>
              <w:left w:val="single" w:color="221F1F" w:sz="2" w:space="0"/>
              <w:bottom w:val="single" w:color="221F1F" w:sz="2" w:space="0"/>
              <w:right w:val="single" w:color="221F1F" w:sz="2" w:space="0"/>
            </w:tcBorders>
            <w:vAlign w:val="center"/>
          </w:tcPr>
          <w:p w14:paraId="65BAB3B2">
            <w:pPr>
              <w:pStyle w:val="33"/>
              <w:rPr>
                <w:color w:val="auto"/>
              </w:rPr>
            </w:pPr>
            <w:r>
              <w:rPr>
                <w:color w:val="auto"/>
              </w:rPr>
              <w:t>0.040</w:t>
            </w:r>
          </w:p>
        </w:tc>
      </w:tr>
    </w:tbl>
    <w:p w14:paraId="1E252599">
      <w:pPr>
        <w:ind w:firstLine="480"/>
        <w:rPr>
          <w:rStyle w:val="36"/>
          <w:color w:val="auto"/>
        </w:rPr>
      </w:pPr>
      <w:r>
        <w:rPr>
          <w:rStyle w:val="36"/>
          <w:rFonts w:hint="eastAsia"/>
          <w:color w:val="auto"/>
        </w:rPr>
        <w:t>本项目现有工程和已批在建项目废水排放情况见下表。</w:t>
      </w:r>
    </w:p>
    <w:p w14:paraId="1220332E">
      <w:pPr>
        <w:pStyle w:val="7"/>
        <w:rPr>
          <w:rStyle w:val="36"/>
          <w:color w:val="auto"/>
        </w:rPr>
      </w:pPr>
      <w:r>
        <w:rPr>
          <w:rStyle w:val="36"/>
          <w:rFonts w:hint="eastAsia"/>
          <w:color w:val="auto"/>
        </w:rPr>
        <w:t>现有工程和已批在建项目废水排放情况表</w:t>
      </w:r>
    </w:p>
    <w:tbl>
      <w:tblPr>
        <w:tblStyle w:val="26"/>
        <w:tblW w:w="5000" w:type="pct"/>
        <w:tblInd w:w="0" w:type="dxa"/>
        <w:tblLayout w:type="autofit"/>
        <w:tblCellMar>
          <w:top w:w="0" w:type="dxa"/>
          <w:left w:w="108" w:type="dxa"/>
          <w:bottom w:w="0" w:type="dxa"/>
          <w:right w:w="108" w:type="dxa"/>
        </w:tblCellMar>
      </w:tblPr>
      <w:tblGrid>
        <w:gridCol w:w="2755"/>
        <w:gridCol w:w="2034"/>
        <w:gridCol w:w="2179"/>
        <w:gridCol w:w="2318"/>
      </w:tblGrid>
      <w:tr w14:paraId="36579F6E">
        <w:tblPrEx>
          <w:tblCellMar>
            <w:top w:w="0" w:type="dxa"/>
            <w:left w:w="108" w:type="dxa"/>
            <w:bottom w:w="0" w:type="dxa"/>
            <w:right w:w="108" w:type="dxa"/>
          </w:tblCellMar>
        </w:tblPrEx>
        <w:trPr>
          <w:trHeight w:val="340" w:hRule="atLeast"/>
        </w:trPr>
        <w:tc>
          <w:tcPr>
            <w:tcW w:w="1483" w:type="pct"/>
            <w:tcBorders>
              <w:top w:val="single" w:color="auto" w:sz="4" w:space="0"/>
              <w:left w:val="single" w:color="auto" w:sz="4" w:space="0"/>
              <w:bottom w:val="single" w:color="auto" w:sz="4" w:space="0"/>
              <w:right w:val="single" w:color="auto" w:sz="4" w:space="0"/>
            </w:tcBorders>
            <w:noWrap/>
            <w:vAlign w:val="center"/>
          </w:tcPr>
          <w:p w14:paraId="785821F5">
            <w:pPr>
              <w:pStyle w:val="33"/>
              <w:rPr>
                <w:color w:val="auto"/>
              </w:rPr>
            </w:pPr>
            <w:r>
              <w:rPr>
                <w:rFonts w:hint="eastAsia"/>
                <w:color w:val="auto"/>
              </w:rPr>
              <w:t>污染物名称</w:t>
            </w:r>
          </w:p>
        </w:tc>
        <w:tc>
          <w:tcPr>
            <w:tcW w:w="1095" w:type="pct"/>
            <w:tcBorders>
              <w:top w:val="single" w:color="auto" w:sz="4" w:space="0"/>
              <w:left w:val="nil"/>
              <w:bottom w:val="single" w:color="auto" w:sz="4" w:space="0"/>
              <w:right w:val="single" w:color="auto" w:sz="4" w:space="0"/>
            </w:tcBorders>
            <w:vAlign w:val="center"/>
          </w:tcPr>
          <w:p w14:paraId="681BA152">
            <w:pPr>
              <w:pStyle w:val="33"/>
              <w:rPr>
                <w:color w:val="auto"/>
              </w:rPr>
            </w:pPr>
            <w:r>
              <w:rPr>
                <w:rFonts w:hint="eastAsia"/>
                <w:color w:val="auto"/>
              </w:rPr>
              <w:t>现有工程</w:t>
            </w:r>
          </w:p>
        </w:tc>
        <w:tc>
          <w:tcPr>
            <w:tcW w:w="1173" w:type="pct"/>
            <w:tcBorders>
              <w:top w:val="single" w:color="auto" w:sz="4" w:space="0"/>
              <w:left w:val="nil"/>
              <w:bottom w:val="single" w:color="auto" w:sz="4" w:space="0"/>
              <w:right w:val="single" w:color="auto" w:sz="4" w:space="0"/>
            </w:tcBorders>
            <w:noWrap/>
            <w:vAlign w:val="center"/>
          </w:tcPr>
          <w:p w14:paraId="0708C798">
            <w:pPr>
              <w:pStyle w:val="33"/>
              <w:rPr>
                <w:color w:val="auto"/>
              </w:rPr>
            </w:pPr>
            <w:r>
              <w:rPr>
                <w:rFonts w:hint="eastAsia"/>
                <w:color w:val="auto"/>
              </w:rPr>
              <w:t>已批在建</w:t>
            </w:r>
          </w:p>
        </w:tc>
        <w:tc>
          <w:tcPr>
            <w:tcW w:w="1248" w:type="pct"/>
            <w:tcBorders>
              <w:top w:val="single" w:color="auto" w:sz="4" w:space="0"/>
              <w:left w:val="nil"/>
              <w:bottom w:val="single" w:color="auto" w:sz="4" w:space="0"/>
              <w:right w:val="single" w:color="auto" w:sz="4" w:space="0"/>
            </w:tcBorders>
            <w:noWrap/>
            <w:vAlign w:val="center"/>
          </w:tcPr>
          <w:p w14:paraId="76DDCEE8">
            <w:pPr>
              <w:pStyle w:val="33"/>
              <w:rPr>
                <w:color w:val="auto"/>
              </w:rPr>
            </w:pPr>
            <w:r>
              <w:rPr>
                <w:rFonts w:hint="eastAsia"/>
                <w:color w:val="auto"/>
              </w:rPr>
              <w:t>合计</w:t>
            </w:r>
          </w:p>
        </w:tc>
      </w:tr>
      <w:tr w14:paraId="2F2F20FF">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5A8C1042">
            <w:pPr>
              <w:pStyle w:val="33"/>
              <w:rPr>
                <w:color w:val="auto"/>
              </w:rPr>
            </w:pPr>
            <w:r>
              <w:rPr>
                <w:rFonts w:hint="eastAsia"/>
                <w:color w:val="auto"/>
              </w:rPr>
              <w:t>废水量（</w:t>
            </w:r>
            <w:r>
              <w:rPr>
                <w:color w:val="auto"/>
              </w:rPr>
              <w:t>m</w:t>
            </w:r>
            <w:r>
              <w:rPr>
                <w:color w:val="auto"/>
                <w:vertAlign w:val="superscript"/>
              </w:rPr>
              <w:t>3</w:t>
            </w:r>
            <w:r>
              <w:rPr>
                <w:color w:val="auto"/>
              </w:rPr>
              <w:t>/d</w:t>
            </w:r>
            <w:r>
              <w:rPr>
                <w:rFonts w:hint="eastAsia"/>
                <w:color w:val="auto"/>
              </w:rPr>
              <w:t>）</w:t>
            </w:r>
          </w:p>
        </w:tc>
        <w:tc>
          <w:tcPr>
            <w:tcW w:w="1095" w:type="pct"/>
            <w:tcBorders>
              <w:top w:val="nil"/>
              <w:left w:val="nil"/>
              <w:bottom w:val="single" w:color="auto" w:sz="4" w:space="0"/>
              <w:right w:val="single" w:color="auto" w:sz="4" w:space="0"/>
            </w:tcBorders>
            <w:vAlign w:val="center"/>
          </w:tcPr>
          <w:p w14:paraId="4A5890E3">
            <w:pPr>
              <w:pStyle w:val="33"/>
              <w:rPr>
                <w:color w:val="auto"/>
              </w:rPr>
            </w:pPr>
            <w:r>
              <w:rPr>
                <w:color w:val="auto"/>
              </w:rPr>
              <w:t>68427</w:t>
            </w:r>
          </w:p>
        </w:tc>
        <w:tc>
          <w:tcPr>
            <w:tcW w:w="1173" w:type="pct"/>
            <w:tcBorders>
              <w:top w:val="nil"/>
              <w:left w:val="nil"/>
              <w:bottom w:val="single" w:color="auto" w:sz="4" w:space="0"/>
              <w:right w:val="single" w:color="auto" w:sz="4" w:space="0"/>
            </w:tcBorders>
            <w:vAlign w:val="center"/>
          </w:tcPr>
          <w:p w14:paraId="42BB374C">
            <w:pPr>
              <w:pStyle w:val="33"/>
              <w:rPr>
                <w:color w:val="auto"/>
              </w:rPr>
            </w:pPr>
            <w:r>
              <w:rPr>
                <w:color w:val="auto"/>
              </w:rPr>
              <w:t>24004</w:t>
            </w:r>
          </w:p>
        </w:tc>
        <w:tc>
          <w:tcPr>
            <w:tcW w:w="1248" w:type="pct"/>
            <w:tcBorders>
              <w:top w:val="nil"/>
              <w:left w:val="nil"/>
              <w:bottom w:val="single" w:color="auto" w:sz="4" w:space="0"/>
              <w:right w:val="single" w:color="auto" w:sz="4" w:space="0"/>
            </w:tcBorders>
            <w:vAlign w:val="center"/>
          </w:tcPr>
          <w:p w14:paraId="2345287E">
            <w:pPr>
              <w:pStyle w:val="33"/>
              <w:rPr>
                <w:color w:val="auto"/>
              </w:rPr>
            </w:pPr>
            <w:r>
              <w:rPr>
                <w:color w:val="auto"/>
              </w:rPr>
              <w:t>92431</w:t>
            </w:r>
          </w:p>
        </w:tc>
      </w:tr>
      <w:tr w14:paraId="6AEE1A93">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3E11AB75">
            <w:pPr>
              <w:pStyle w:val="33"/>
              <w:rPr>
                <w:color w:val="auto"/>
              </w:rPr>
            </w:pPr>
            <w:r>
              <w:rPr>
                <w:color w:val="auto"/>
              </w:rPr>
              <w:t>COD</w:t>
            </w:r>
            <w:r>
              <w:rPr>
                <w:rFonts w:hint="eastAsia"/>
                <w:color w:val="auto"/>
              </w:rPr>
              <w:t>（</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46EB72A8">
            <w:pPr>
              <w:pStyle w:val="33"/>
              <w:rPr>
                <w:color w:val="auto"/>
              </w:rPr>
            </w:pPr>
            <w:r>
              <w:rPr>
                <w:color w:val="auto"/>
              </w:rPr>
              <w:t>816.83</w:t>
            </w:r>
          </w:p>
        </w:tc>
        <w:tc>
          <w:tcPr>
            <w:tcW w:w="1173" w:type="pct"/>
            <w:tcBorders>
              <w:top w:val="nil"/>
              <w:left w:val="nil"/>
              <w:bottom w:val="single" w:color="auto" w:sz="4" w:space="0"/>
              <w:right w:val="single" w:color="auto" w:sz="4" w:space="0"/>
            </w:tcBorders>
            <w:noWrap/>
            <w:vAlign w:val="center"/>
          </w:tcPr>
          <w:p w14:paraId="519A77FD">
            <w:pPr>
              <w:pStyle w:val="33"/>
              <w:rPr>
                <w:color w:val="auto"/>
              </w:rPr>
            </w:pPr>
            <w:r>
              <w:rPr>
                <w:color w:val="auto"/>
              </w:rPr>
              <w:t>571.32</w:t>
            </w:r>
          </w:p>
        </w:tc>
        <w:tc>
          <w:tcPr>
            <w:tcW w:w="1248" w:type="pct"/>
            <w:tcBorders>
              <w:top w:val="nil"/>
              <w:left w:val="nil"/>
              <w:bottom w:val="single" w:color="auto" w:sz="4" w:space="0"/>
              <w:right w:val="single" w:color="auto" w:sz="4" w:space="0"/>
            </w:tcBorders>
            <w:vAlign w:val="center"/>
          </w:tcPr>
          <w:p w14:paraId="2DFA0066">
            <w:pPr>
              <w:pStyle w:val="33"/>
              <w:rPr>
                <w:color w:val="auto"/>
              </w:rPr>
            </w:pPr>
            <w:r>
              <w:rPr>
                <w:color w:val="auto"/>
              </w:rPr>
              <w:t>1388.15</w:t>
            </w:r>
          </w:p>
        </w:tc>
      </w:tr>
      <w:tr w14:paraId="390DBC99">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4B7E6B38">
            <w:pPr>
              <w:pStyle w:val="33"/>
              <w:rPr>
                <w:color w:val="auto"/>
              </w:rPr>
            </w:pPr>
            <w:r>
              <w:rPr>
                <w:color w:val="auto"/>
              </w:rPr>
              <w:t>BOD</w:t>
            </w:r>
            <w:r>
              <w:rPr>
                <w:rFonts w:hint="eastAsia"/>
                <w:color w:val="auto"/>
              </w:rPr>
              <w:t>（</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4BE419E3">
            <w:pPr>
              <w:pStyle w:val="33"/>
              <w:rPr>
                <w:color w:val="auto"/>
              </w:rPr>
            </w:pPr>
            <w:r>
              <w:rPr>
                <w:color w:val="auto"/>
              </w:rPr>
              <w:t>13.44</w:t>
            </w:r>
          </w:p>
        </w:tc>
        <w:tc>
          <w:tcPr>
            <w:tcW w:w="1173" w:type="pct"/>
            <w:tcBorders>
              <w:top w:val="nil"/>
              <w:left w:val="nil"/>
              <w:bottom w:val="single" w:color="auto" w:sz="4" w:space="0"/>
              <w:right w:val="single" w:color="auto" w:sz="4" w:space="0"/>
            </w:tcBorders>
            <w:noWrap/>
            <w:vAlign w:val="center"/>
          </w:tcPr>
          <w:p w14:paraId="08C1EB71">
            <w:pPr>
              <w:pStyle w:val="33"/>
              <w:rPr>
                <w:color w:val="auto"/>
              </w:rPr>
            </w:pPr>
            <w:r>
              <w:rPr>
                <w:color w:val="auto"/>
              </w:rPr>
              <w:t>119.98</w:t>
            </w:r>
          </w:p>
        </w:tc>
        <w:tc>
          <w:tcPr>
            <w:tcW w:w="1248" w:type="pct"/>
            <w:tcBorders>
              <w:top w:val="nil"/>
              <w:left w:val="nil"/>
              <w:bottom w:val="single" w:color="auto" w:sz="4" w:space="0"/>
              <w:right w:val="single" w:color="auto" w:sz="4" w:space="0"/>
            </w:tcBorders>
            <w:vAlign w:val="center"/>
          </w:tcPr>
          <w:p w14:paraId="1271F697">
            <w:pPr>
              <w:pStyle w:val="33"/>
              <w:rPr>
                <w:color w:val="auto"/>
              </w:rPr>
            </w:pPr>
            <w:r>
              <w:rPr>
                <w:color w:val="auto"/>
              </w:rPr>
              <w:t>133.42</w:t>
            </w:r>
          </w:p>
        </w:tc>
      </w:tr>
      <w:tr w14:paraId="478327C0">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5F0906D5">
            <w:pPr>
              <w:pStyle w:val="33"/>
              <w:rPr>
                <w:color w:val="auto"/>
              </w:rPr>
            </w:pPr>
            <w:r>
              <w:rPr>
                <w:color w:val="auto"/>
              </w:rPr>
              <w:t>SS</w:t>
            </w:r>
            <w:r>
              <w:rPr>
                <w:rFonts w:hint="eastAsia"/>
                <w:color w:val="auto"/>
              </w:rPr>
              <w:t>（</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7857FDA1">
            <w:pPr>
              <w:pStyle w:val="33"/>
              <w:rPr>
                <w:color w:val="auto"/>
              </w:rPr>
            </w:pPr>
            <w:r>
              <w:rPr>
                <w:color w:val="auto"/>
              </w:rPr>
              <w:t>15.53</w:t>
            </w:r>
          </w:p>
        </w:tc>
        <w:tc>
          <w:tcPr>
            <w:tcW w:w="1173" w:type="pct"/>
            <w:tcBorders>
              <w:top w:val="nil"/>
              <w:left w:val="nil"/>
              <w:bottom w:val="single" w:color="auto" w:sz="4" w:space="0"/>
              <w:right w:val="single" w:color="auto" w:sz="4" w:space="0"/>
            </w:tcBorders>
            <w:noWrap/>
            <w:vAlign w:val="center"/>
          </w:tcPr>
          <w:p w14:paraId="62AA0B0A">
            <w:pPr>
              <w:pStyle w:val="33"/>
              <w:rPr>
                <w:color w:val="auto"/>
              </w:rPr>
            </w:pPr>
            <w:r>
              <w:rPr>
                <w:color w:val="auto"/>
              </w:rPr>
              <w:t>129.93</w:t>
            </w:r>
          </w:p>
        </w:tc>
        <w:tc>
          <w:tcPr>
            <w:tcW w:w="1248" w:type="pct"/>
            <w:tcBorders>
              <w:top w:val="nil"/>
              <w:left w:val="nil"/>
              <w:bottom w:val="single" w:color="auto" w:sz="4" w:space="0"/>
              <w:right w:val="single" w:color="auto" w:sz="4" w:space="0"/>
            </w:tcBorders>
            <w:vAlign w:val="center"/>
          </w:tcPr>
          <w:p w14:paraId="30765AB9">
            <w:pPr>
              <w:pStyle w:val="33"/>
              <w:rPr>
                <w:color w:val="auto"/>
              </w:rPr>
            </w:pPr>
            <w:r>
              <w:rPr>
                <w:color w:val="auto"/>
              </w:rPr>
              <w:t>145.46</w:t>
            </w:r>
          </w:p>
        </w:tc>
      </w:tr>
      <w:tr w14:paraId="5E8F80B2">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0D98C19A">
            <w:pPr>
              <w:pStyle w:val="33"/>
              <w:rPr>
                <w:color w:val="auto"/>
              </w:rPr>
            </w:pPr>
            <w:r>
              <w:rPr>
                <w:rFonts w:hint="eastAsia"/>
                <w:color w:val="auto"/>
              </w:rPr>
              <w:t>氨氮（</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3847E40C">
            <w:pPr>
              <w:pStyle w:val="33"/>
              <w:rPr>
                <w:color w:val="auto"/>
              </w:rPr>
            </w:pPr>
            <w:r>
              <w:rPr>
                <w:color w:val="auto"/>
              </w:rPr>
              <w:t>31.51</w:t>
            </w:r>
          </w:p>
        </w:tc>
        <w:tc>
          <w:tcPr>
            <w:tcW w:w="1173" w:type="pct"/>
            <w:tcBorders>
              <w:top w:val="nil"/>
              <w:left w:val="nil"/>
              <w:bottom w:val="single" w:color="auto" w:sz="4" w:space="0"/>
              <w:right w:val="single" w:color="auto" w:sz="4" w:space="0"/>
            </w:tcBorders>
            <w:noWrap/>
            <w:vAlign w:val="center"/>
          </w:tcPr>
          <w:p w14:paraId="3904758E">
            <w:pPr>
              <w:pStyle w:val="33"/>
              <w:rPr>
                <w:color w:val="auto"/>
              </w:rPr>
            </w:pPr>
            <w:r>
              <w:rPr>
                <w:color w:val="auto"/>
              </w:rPr>
              <w:t>10.61</w:t>
            </w:r>
          </w:p>
        </w:tc>
        <w:tc>
          <w:tcPr>
            <w:tcW w:w="1248" w:type="pct"/>
            <w:tcBorders>
              <w:top w:val="nil"/>
              <w:left w:val="nil"/>
              <w:bottom w:val="single" w:color="auto" w:sz="4" w:space="0"/>
              <w:right w:val="single" w:color="auto" w:sz="4" w:space="0"/>
            </w:tcBorders>
            <w:vAlign w:val="center"/>
          </w:tcPr>
          <w:p w14:paraId="7B1E9037">
            <w:pPr>
              <w:pStyle w:val="33"/>
              <w:rPr>
                <w:color w:val="auto"/>
              </w:rPr>
            </w:pPr>
            <w:r>
              <w:rPr>
                <w:color w:val="auto"/>
              </w:rPr>
              <w:t>42.12</w:t>
            </w:r>
          </w:p>
        </w:tc>
      </w:tr>
      <w:tr w14:paraId="0658E6BB">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42490A1A">
            <w:pPr>
              <w:pStyle w:val="33"/>
              <w:rPr>
                <w:color w:val="auto"/>
              </w:rPr>
            </w:pPr>
            <w:r>
              <w:rPr>
                <w:rFonts w:hint="eastAsia"/>
                <w:color w:val="auto"/>
              </w:rPr>
              <w:t>总氮（</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07154E55">
            <w:pPr>
              <w:pStyle w:val="33"/>
              <w:rPr>
                <w:color w:val="auto"/>
              </w:rPr>
            </w:pPr>
            <w:r>
              <w:rPr>
                <w:color w:val="auto"/>
              </w:rPr>
              <w:t>83.15</w:t>
            </w:r>
          </w:p>
        </w:tc>
        <w:tc>
          <w:tcPr>
            <w:tcW w:w="1173" w:type="pct"/>
            <w:tcBorders>
              <w:top w:val="nil"/>
              <w:left w:val="nil"/>
              <w:bottom w:val="single" w:color="auto" w:sz="4" w:space="0"/>
              <w:right w:val="single" w:color="auto" w:sz="4" w:space="0"/>
            </w:tcBorders>
            <w:noWrap/>
            <w:vAlign w:val="center"/>
          </w:tcPr>
          <w:p w14:paraId="576ABFE9">
            <w:pPr>
              <w:pStyle w:val="33"/>
              <w:rPr>
                <w:color w:val="auto"/>
              </w:rPr>
            </w:pPr>
            <w:r>
              <w:rPr>
                <w:color w:val="auto"/>
              </w:rPr>
              <w:t>20</w:t>
            </w:r>
          </w:p>
        </w:tc>
        <w:tc>
          <w:tcPr>
            <w:tcW w:w="1248" w:type="pct"/>
            <w:tcBorders>
              <w:top w:val="nil"/>
              <w:left w:val="nil"/>
              <w:bottom w:val="single" w:color="auto" w:sz="4" w:space="0"/>
              <w:right w:val="single" w:color="auto" w:sz="4" w:space="0"/>
            </w:tcBorders>
            <w:vAlign w:val="center"/>
          </w:tcPr>
          <w:p w14:paraId="35512DDA">
            <w:pPr>
              <w:pStyle w:val="33"/>
              <w:rPr>
                <w:color w:val="auto"/>
              </w:rPr>
            </w:pPr>
            <w:r>
              <w:rPr>
                <w:color w:val="auto"/>
              </w:rPr>
              <w:t>103.15</w:t>
            </w:r>
          </w:p>
        </w:tc>
      </w:tr>
      <w:tr w14:paraId="0224707D">
        <w:tblPrEx>
          <w:tblCellMar>
            <w:top w:w="0" w:type="dxa"/>
            <w:left w:w="108" w:type="dxa"/>
            <w:bottom w:w="0" w:type="dxa"/>
            <w:right w:w="108" w:type="dxa"/>
          </w:tblCellMar>
        </w:tblPrEx>
        <w:trPr>
          <w:trHeight w:val="340" w:hRule="atLeast"/>
        </w:trPr>
        <w:tc>
          <w:tcPr>
            <w:tcW w:w="1483" w:type="pct"/>
            <w:tcBorders>
              <w:top w:val="nil"/>
              <w:left w:val="single" w:color="auto" w:sz="4" w:space="0"/>
              <w:bottom w:val="single" w:color="auto" w:sz="4" w:space="0"/>
              <w:right w:val="single" w:color="auto" w:sz="4" w:space="0"/>
            </w:tcBorders>
            <w:noWrap/>
            <w:vAlign w:val="center"/>
          </w:tcPr>
          <w:p w14:paraId="1B9841F1">
            <w:pPr>
              <w:pStyle w:val="33"/>
              <w:rPr>
                <w:color w:val="auto"/>
              </w:rPr>
            </w:pPr>
            <w:r>
              <w:rPr>
                <w:rFonts w:hint="eastAsia"/>
                <w:color w:val="auto"/>
              </w:rPr>
              <w:t>总磷（</w:t>
            </w:r>
            <w:r>
              <w:rPr>
                <w:color w:val="auto"/>
              </w:rPr>
              <w:t>t/a</w:t>
            </w:r>
            <w:r>
              <w:rPr>
                <w:rFonts w:hint="eastAsia"/>
                <w:color w:val="auto"/>
              </w:rPr>
              <w:t>）</w:t>
            </w:r>
          </w:p>
        </w:tc>
        <w:tc>
          <w:tcPr>
            <w:tcW w:w="1095" w:type="pct"/>
            <w:tcBorders>
              <w:top w:val="nil"/>
              <w:left w:val="nil"/>
              <w:bottom w:val="single" w:color="auto" w:sz="4" w:space="0"/>
              <w:right w:val="single" w:color="auto" w:sz="4" w:space="0"/>
            </w:tcBorders>
            <w:vAlign w:val="center"/>
          </w:tcPr>
          <w:p w14:paraId="3B268242">
            <w:pPr>
              <w:pStyle w:val="33"/>
              <w:rPr>
                <w:color w:val="auto"/>
              </w:rPr>
            </w:pPr>
            <w:r>
              <w:rPr>
                <w:color w:val="auto"/>
              </w:rPr>
              <w:t>0.46</w:t>
            </w:r>
          </w:p>
        </w:tc>
        <w:tc>
          <w:tcPr>
            <w:tcW w:w="1173" w:type="pct"/>
            <w:tcBorders>
              <w:top w:val="nil"/>
              <w:left w:val="nil"/>
              <w:bottom w:val="single" w:color="auto" w:sz="4" w:space="0"/>
              <w:right w:val="single" w:color="auto" w:sz="4" w:space="0"/>
            </w:tcBorders>
            <w:noWrap/>
            <w:vAlign w:val="center"/>
          </w:tcPr>
          <w:p w14:paraId="4F5FF14C">
            <w:pPr>
              <w:pStyle w:val="33"/>
              <w:rPr>
                <w:color w:val="auto"/>
              </w:rPr>
            </w:pPr>
            <w:r>
              <w:rPr>
                <w:color w:val="auto"/>
              </w:rPr>
              <w:t>1.31</w:t>
            </w:r>
          </w:p>
        </w:tc>
        <w:tc>
          <w:tcPr>
            <w:tcW w:w="1248" w:type="pct"/>
            <w:tcBorders>
              <w:top w:val="nil"/>
              <w:left w:val="nil"/>
              <w:bottom w:val="single" w:color="auto" w:sz="4" w:space="0"/>
              <w:right w:val="single" w:color="auto" w:sz="4" w:space="0"/>
            </w:tcBorders>
            <w:vAlign w:val="center"/>
          </w:tcPr>
          <w:p w14:paraId="2EB8C9DA">
            <w:pPr>
              <w:pStyle w:val="33"/>
              <w:rPr>
                <w:color w:val="auto"/>
              </w:rPr>
            </w:pPr>
            <w:r>
              <w:rPr>
                <w:color w:val="auto"/>
              </w:rPr>
              <w:t>1.77</w:t>
            </w:r>
          </w:p>
        </w:tc>
      </w:tr>
    </w:tbl>
    <w:p w14:paraId="4AFC190B">
      <w:pPr>
        <w:pStyle w:val="5"/>
        <w:rPr>
          <w:color w:val="auto"/>
        </w:rPr>
      </w:pPr>
      <w:r>
        <w:rPr>
          <w:color w:val="auto"/>
        </w:rPr>
        <w:t>供汽</w:t>
      </w:r>
      <w:r>
        <w:rPr>
          <w:rFonts w:hint="eastAsia"/>
          <w:color w:val="auto"/>
        </w:rPr>
        <w:t>、空压、氮气</w:t>
      </w:r>
    </w:p>
    <w:p w14:paraId="4459863A">
      <w:pPr>
        <w:ind w:firstLine="480"/>
        <w:rPr>
          <w:color w:val="auto"/>
        </w:rPr>
      </w:pPr>
      <w:r>
        <w:rPr>
          <w:color w:val="auto"/>
        </w:rPr>
        <w:t>现有工程供汽依托自备热电站（包括</w:t>
      </w:r>
      <w:r>
        <w:rPr>
          <w:rFonts w:eastAsia="Times New Roman" w:cs="Times New Roman"/>
          <w:color w:val="auto"/>
        </w:rPr>
        <w:t>1#</w:t>
      </w:r>
      <w:r>
        <w:rPr>
          <w:color w:val="auto"/>
        </w:rPr>
        <w:t>、</w:t>
      </w:r>
      <w:r>
        <w:rPr>
          <w:rFonts w:eastAsia="Times New Roman" w:cs="Times New Roman"/>
          <w:color w:val="auto"/>
        </w:rPr>
        <w:t>2#</w:t>
      </w:r>
      <w:r>
        <w:rPr>
          <w:color w:val="auto"/>
        </w:rPr>
        <w:t>、</w:t>
      </w:r>
      <w:r>
        <w:rPr>
          <w:rFonts w:eastAsia="Times New Roman" w:cs="Times New Roman"/>
          <w:color w:val="auto"/>
        </w:rPr>
        <w:t>3#</w:t>
      </w:r>
      <w:r>
        <w:rPr>
          <w:color w:val="auto"/>
        </w:rPr>
        <w:t>锅炉）、碱回收炉</w:t>
      </w:r>
      <w:r>
        <w:rPr>
          <w:color w:val="auto"/>
          <w:spacing w:val="-7"/>
        </w:rPr>
        <w:t>和化机浆</w:t>
      </w:r>
      <w:r>
        <w:rPr>
          <w:color w:val="auto"/>
        </w:rPr>
        <w:t>车间磨浆回收热能。其中，</w:t>
      </w:r>
      <w:r>
        <w:rPr>
          <w:rFonts w:eastAsia="Times New Roman" w:cs="Times New Roman"/>
          <w:color w:val="auto"/>
        </w:rPr>
        <w:t>1#</w:t>
      </w:r>
      <w:r>
        <w:rPr>
          <w:color w:val="auto"/>
        </w:rPr>
        <w:t>、</w:t>
      </w:r>
      <w:r>
        <w:rPr>
          <w:rFonts w:eastAsia="Times New Roman" w:cs="Times New Roman"/>
          <w:color w:val="auto"/>
        </w:rPr>
        <w:t>2#</w:t>
      </w:r>
      <w:r>
        <w:rPr>
          <w:color w:val="auto"/>
        </w:rPr>
        <w:t>锅炉、碱回收炉和化机浆车间磨浆回收热能主</w:t>
      </w:r>
      <w:r>
        <w:rPr>
          <w:color w:val="auto"/>
          <w:spacing w:val="-4"/>
        </w:rPr>
        <w:t>要供应</w:t>
      </w:r>
      <w:r>
        <w:rPr>
          <w:rFonts w:eastAsia="Times New Roman" w:cs="Times New Roman"/>
          <w:color w:val="auto"/>
          <w:spacing w:val="-4"/>
        </w:rPr>
        <w:t>1#~3#</w:t>
      </w:r>
      <w:r>
        <w:rPr>
          <w:color w:val="auto"/>
          <w:spacing w:val="-4"/>
        </w:rPr>
        <w:t>化机浆线、</w:t>
      </w:r>
      <w:r>
        <w:rPr>
          <w:rFonts w:eastAsia="Times New Roman" w:cs="Times New Roman"/>
          <w:color w:val="auto"/>
          <w:spacing w:val="-4"/>
        </w:rPr>
        <w:t>1#</w:t>
      </w:r>
      <w:r>
        <w:rPr>
          <w:color w:val="auto"/>
          <w:spacing w:val="-4"/>
        </w:rPr>
        <w:t>造纸车间及其配套设施；</w:t>
      </w:r>
      <w:r>
        <w:rPr>
          <w:rFonts w:eastAsia="Times New Roman" w:cs="Times New Roman"/>
          <w:color w:val="auto"/>
          <w:spacing w:val="-4"/>
        </w:rPr>
        <w:t>3#</w:t>
      </w:r>
      <w:r>
        <w:rPr>
          <w:color w:val="auto"/>
          <w:spacing w:val="-4"/>
        </w:rPr>
        <w:t>锅炉主要供应</w:t>
      </w:r>
      <w:r>
        <w:rPr>
          <w:rFonts w:eastAsia="Times New Roman" w:cs="Times New Roman"/>
          <w:color w:val="auto"/>
          <w:spacing w:val="-4"/>
        </w:rPr>
        <w:t>2#</w:t>
      </w:r>
      <w:r>
        <w:rPr>
          <w:color w:val="auto"/>
          <w:spacing w:val="-4"/>
        </w:rPr>
        <w:t>造纸车间</w:t>
      </w:r>
      <w:r>
        <w:rPr>
          <w:color w:val="auto"/>
        </w:rPr>
        <w:t>及其配套设施。</w:t>
      </w:r>
    </w:p>
    <w:p w14:paraId="397F37A3">
      <w:pPr>
        <w:ind w:firstLine="480"/>
        <w:rPr>
          <w:color w:val="auto"/>
        </w:rPr>
      </w:pPr>
      <w:r>
        <w:rPr>
          <w:rFonts w:hint="eastAsia"/>
          <w:color w:val="auto"/>
        </w:rPr>
        <w:t>现有工程设置空氮站，为各装置生产、仪表设备提供工艺空气、仪表空气和氮气，工艺空气、仪表空气和氮气经输气总管分别送至各用气点。空氮站将设工艺空气、仪表空气和氮气三套供气系统，其中工艺空气供气能力为1500m</w:t>
      </w:r>
      <w:r>
        <w:rPr>
          <w:rFonts w:hint="eastAsia"/>
          <w:color w:val="auto"/>
          <w:vertAlign w:val="superscript"/>
        </w:rPr>
        <w:t>3</w:t>
      </w:r>
      <w:r>
        <w:rPr>
          <w:rFonts w:hint="eastAsia"/>
          <w:color w:val="auto"/>
        </w:rPr>
        <w:t>/h，仪表空气供气能力为1200m</w:t>
      </w:r>
      <w:r>
        <w:rPr>
          <w:rFonts w:hint="eastAsia"/>
          <w:color w:val="auto"/>
          <w:vertAlign w:val="superscript"/>
        </w:rPr>
        <w:t>3</w:t>
      </w:r>
      <w:r>
        <w:rPr>
          <w:rFonts w:hint="eastAsia"/>
          <w:color w:val="auto"/>
        </w:rPr>
        <w:t>/h，氮气供气能力为</w:t>
      </w:r>
      <w:r>
        <w:rPr>
          <w:color w:val="auto"/>
        </w:rPr>
        <w:t>3500Nm</w:t>
      </w:r>
      <w:r>
        <w:rPr>
          <w:color w:val="auto"/>
          <w:vertAlign w:val="superscript"/>
        </w:rPr>
        <w:t>3</w:t>
      </w:r>
      <w:r>
        <w:rPr>
          <w:rFonts w:hint="eastAsia"/>
          <w:color w:val="auto"/>
        </w:rPr>
        <w:t>/h，空压机排气压力为0.85MPaG，站内安装3台（二用一备）22.9m3/min（132kw）水冷型喷油螺杆空气压缩机，站内还设有吸附干燥机、过滤器等设备。制氮采液氮气化工艺，设于室外，采用租赁方式设置低温液氮储罐、气化器、减压器等装置，气化能力为3500Nm</w:t>
      </w:r>
      <w:r>
        <w:rPr>
          <w:rFonts w:hint="eastAsia"/>
          <w:color w:val="auto"/>
          <w:vertAlign w:val="superscript"/>
        </w:rPr>
        <w:t>3</w:t>
      </w:r>
      <w:r>
        <w:rPr>
          <w:rFonts w:hint="eastAsia"/>
          <w:color w:val="auto"/>
        </w:rPr>
        <w:t>/h。</w:t>
      </w:r>
    </w:p>
    <w:p w14:paraId="60863683">
      <w:pPr>
        <w:pStyle w:val="5"/>
        <w:rPr>
          <w:color w:val="auto"/>
        </w:rPr>
      </w:pPr>
      <w:r>
        <w:rPr>
          <w:color w:val="auto"/>
        </w:rPr>
        <w:t>供电</w:t>
      </w:r>
    </w:p>
    <w:p w14:paraId="17E638AD">
      <w:pPr>
        <w:ind w:firstLine="480"/>
        <w:rPr>
          <w:color w:val="auto"/>
        </w:rPr>
      </w:pPr>
      <w:r>
        <w:rPr>
          <w:color w:val="auto"/>
        </w:rPr>
        <w:t>现有工程年耗电总量为</w:t>
      </w:r>
      <w:r>
        <w:rPr>
          <w:rFonts w:eastAsia="Times New Roman" w:cs="Times New Roman"/>
          <w:color w:val="auto"/>
        </w:rPr>
        <w:t>280148</w:t>
      </w:r>
      <w:r>
        <w:rPr>
          <w:color w:val="auto"/>
        </w:rPr>
        <w:t>万</w:t>
      </w:r>
      <w:r>
        <w:rPr>
          <w:rFonts w:eastAsia="Times New Roman" w:cs="Times New Roman"/>
          <w:color w:val="auto"/>
        </w:rPr>
        <w:t>kWh/a</w:t>
      </w:r>
      <w:r>
        <w:rPr>
          <w:color w:val="auto"/>
        </w:rPr>
        <w:t>。现有工程配置</w:t>
      </w:r>
      <w:r>
        <w:rPr>
          <w:rFonts w:eastAsia="Times New Roman" w:cs="Times New Roman"/>
          <w:color w:val="auto"/>
        </w:rPr>
        <w:t>300MW</w:t>
      </w:r>
      <w:r>
        <w:rPr>
          <w:color w:val="auto"/>
        </w:rPr>
        <w:t>抽凝机组</w:t>
      </w:r>
      <w:r>
        <w:rPr>
          <w:color w:val="auto"/>
          <w:spacing w:val="-1"/>
        </w:rPr>
        <w:t>和</w:t>
      </w:r>
      <w:r>
        <w:rPr>
          <w:rFonts w:eastAsia="Times New Roman" w:cs="Times New Roman"/>
          <w:color w:val="auto"/>
          <w:spacing w:val="-1"/>
        </w:rPr>
        <w:t>90MW</w:t>
      </w:r>
      <w:r>
        <w:rPr>
          <w:color w:val="auto"/>
          <w:spacing w:val="-1"/>
        </w:rPr>
        <w:t>背压机组为现有工程供电，不足电量外购。目前，</w:t>
      </w:r>
      <w:r>
        <w:rPr>
          <w:rFonts w:eastAsia="Times New Roman" w:cs="Times New Roman"/>
          <w:color w:val="auto"/>
          <w:spacing w:val="-1"/>
        </w:rPr>
        <w:t>220</w:t>
      </w:r>
      <w:r>
        <w:rPr>
          <w:rFonts w:eastAsia="Times New Roman" w:cs="Times New Roman"/>
          <w:color w:val="auto"/>
        </w:rPr>
        <w:t>kV</w:t>
      </w:r>
      <w:r>
        <w:rPr>
          <w:color w:val="auto"/>
        </w:rPr>
        <w:t>金桂变电站已通过</w:t>
      </w:r>
      <w:r>
        <w:rPr>
          <w:rFonts w:eastAsia="Times New Roman" w:cs="Times New Roman"/>
          <w:color w:val="auto"/>
        </w:rPr>
        <w:t>220kV</w:t>
      </w:r>
      <w:r>
        <w:rPr>
          <w:color w:val="auto"/>
        </w:rPr>
        <w:t>的线路与距厂区约</w:t>
      </w:r>
      <w:r>
        <w:rPr>
          <w:rFonts w:eastAsia="Times New Roman" w:cs="Times New Roman"/>
          <w:color w:val="auto"/>
        </w:rPr>
        <w:t>6km</w:t>
      </w:r>
      <w:r>
        <w:rPr>
          <w:color w:val="auto"/>
        </w:rPr>
        <w:t>的钦州港榄坪变电站连</w:t>
      </w:r>
      <w:r>
        <w:rPr>
          <w:color w:val="auto"/>
          <w:spacing w:val="-3"/>
        </w:rPr>
        <w:t>接并网，外电源作为全厂的补充电源和第二路电源。</w:t>
      </w:r>
    </w:p>
    <w:p w14:paraId="76190CB3">
      <w:pPr>
        <w:pStyle w:val="4"/>
        <w:rPr>
          <w:color w:val="auto"/>
        </w:rPr>
      </w:pPr>
      <w:bookmarkStart w:id="163" w:name="_Toc225216675"/>
      <w:r>
        <w:rPr>
          <w:color w:val="auto"/>
        </w:rPr>
        <w:t>污染防治措施及达标情况分析</w:t>
      </w:r>
      <w:bookmarkEnd w:id="163"/>
    </w:p>
    <w:p w14:paraId="3A0936A6">
      <w:pPr>
        <w:ind w:firstLine="480"/>
        <w:rPr>
          <w:color w:val="auto"/>
        </w:rPr>
      </w:pPr>
      <w:r>
        <w:rPr>
          <w:color w:val="auto"/>
        </w:rPr>
        <w:t>现有工程废气、废水、固体废物、噪声污染防治措施见</w:t>
      </w:r>
      <w:r>
        <w:rPr>
          <w:rFonts w:hint="eastAsia"/>
          <w:color w:val="auto"/>
        </w:rPr>
        <w:t>下表</w:t>
      </w:r>
      <w:r>
        <w:rPr>
          <w:color w:val="auto"/>
        </w:rPr>
        <w:t>。</w:t>
      </w:r>
    </w:p>
    <w:p w14:paraId="0E824F75">
      <w:pPr>
        <w:pStyle w:val="7"/>
        <w:rPr>
          <w:color w:val="auto"/>
        </w:rPr>
      </w:pPr>
      <w:r>
        <w:rPr>
          <w:color w:val="auto"/>
        </w:rPr>
        <w:t>现有工程污染防治措施</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873"/>
        <w:gridCol w:w="1978"/>
        <w:gridCol w:w="6435"/>
      </w:tblGrid>
      <w:tr w14:paraId="787391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blHeader/>
        </w:trPr>
        <w:tc>
          <w:tcPr>
            <w:tcW w:w="470" w:type="pct"/>
            <w:vAlign w:val="center"/>
          </w:tcPr>
          <w:p w14:paraId="382EE41E">
            <w:pPr>
              <w:pStyle w:val="33"/>
              <w:rPr>
                <w:color w:val="auto"/>
              </w:rPr>
            </w:pPr>
            <w:r>
              <w:rPr>
                <w:color w:val="auto"/>
              </w:rPr>
              <w:t>污染</w:t>
            </w:r>
            <w:r>
              <w:rPr>
                <w:color w:val="auto"/>
                <w:spacing w:val="-4"/>
              </w:rPr>
              <w:t>类型</w:t>
            </w:r>
          </w:p>
        </w:tc>
        <w:tc>
          <w:tcPr>
            <w:tcW w:w="1065" w:type="pct"/>
            <w:vAlign w:val="center"/>
          </w:tcPr>
          <w:p w14:paraId="79F2179B">
            <w:pPr>
              <w:pStyle w:val="33"/>
              <w:rPr>
                <w:color w:val="auto"/>
              </w:rPr>
            </w:pPr>
            <w:r>
              <w:rPr>
                <w:color w:val="auto"/>
                <w:spacing w:val="-4"/>
              </w:rPr>
              <w:t>污染源</w:t>
            </w:r>
          </w:p>
        </w:tc>
        <w:tc>
          <w:tcPr>
            <w:tcW w:w="3465" w:type="pct"/>
            <w:vAlign w:val="center"/>
          </w:tcPr>
          <w:p w14:paraId="578084CD">
            <w:pPr>
              <w:pStyle w:val="33"/>
              <w:rPr>
                <w:color w:val="auto"/>
              </w:rPr>
            </w:pPr>
            <w:r>
              <w:rPr>
                <w:color w:val="auto"/>
                <w:spacing w:val="-4"/>
              </w:rPr>
              <w:t>污染防治措施</w:t>
            </w:r>
          </w:p>
        </w:tc>
      </w:tr>
      <w:tr w14:paraId="2A190CD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04926A1E">
            <w:pPr>
              <w:pStyle w:val="33"/>
              <w:rPr>
                <w:color w:val="auto"/>
              </w:rPr>
            </w:pPr>
            <w:r>
              <w:rPr>
                <w:color w:val="auto"/>
              </w:rPr>
              <w:t>废水</w:t>
            </w:r>
          </w:p>
        </w:tc>
        <w:tc>
          <w:tcPr>
            <w:tcW w:w="1065" w:type="pct"/>
            <w:vAlign w:val="center"/>
          </w:tcPr>
          <w:p w14:paraId="7FFDA217">
            <w:pPr>
              <w:pStyle w:val="33"/>
              <w:rPr>
                <w:color w:val="auto"/>
              </w:rPr>
            </w:pPr>
            <w:r>
              <w:rPr>
                <w:color w:val="auto"/>
              </w:rPr>
              <w:t>备料车间、碱回收车间、造纸车间、给水处理站、化学水车间、热电站及冷却塔、过氧化氢车间、污水处理站废水及生活污水</w:t>
            </w:r>
          </w:p>
        </w:tc>
        <w:tc>
          <w:tcPr>
            <w:tcW w:w="3465" w:type="pct"/>
            <w:vAlign w:val="center"/>
          </w:tcPr>
          <w:p w14:paraId="4040381A">
            <w:pPr>
              <w:pStyle w:val="33"/>
              <w:jc w:val="both"/>
              <w:rPr>
                <w:color w:val="auto"/>
              </w:rPr>
            </w:pPr>
            <w:r>
              <w:rPr>
                <w:rFonts w:hint="eastAsia" w:ascii="宋体" w:hAnsi="宋体" w:cs="宋体"/>
                <w:color w:val="auto"/>
                <w:spacing w:val="-4"/>
              </w:rPr>
              <w:t>①</w:t>
            </w:r>
            <w:r>
              <w:rPr>
                <w:color w:val="auto"/>
              </w:rPr>
              <w:t>现有1#~3#化机浆线、1#造纸车间及其配套辅助设施废水排入1#污水处理站（规模60000m</w:t>
            </w:r>
            <w:r>
              <w:rPr>
                <w:color w:val="auto"/>
                <w:vertAlign w:val="superscript"/>
              </w:rPr>
              <w:t>3</w:t>
            </w:r>
            <w:r>
              <w:rPr>
                <w:color w:val="auto"/>
              </w:rPr>
              <w:t>/d）处理，1#污水处理站采用“物化+好氧处理（SBR工艺）+深度处理（Fenton）+高效浅层气浮”工艺。</w:t>
            </w:r>
          </w:p>
          <w:p w14:paraId="7AB51F13">
            <w:pPr>
              <w:pStyle w:val="33"/>
              <w:jc w:val="both"/>
              <w:rPr>
                <w:color w:val="auto"/>
              </w:rPr>
            </w:pPr>
            <w:r>
              <w:rPr>
                <w:rFonts w:hint="eastAsia"/>
                <w:color w:val="auto"/>
              </w:rPr>
              <w:t>②</w:t>
            </w:r>
            <w:r>
              <w:rPr>
                <w:color w:val="auto"/>
              </w:rPr>
              <w:t>过氧化氢车间配套200m</w:t>
            </w:r>
            <w:r>
              <w:rPr>
                <w:color w:val="auto"/>
                <w:vertAlign w:val="superscript"/>
              </w:rPr>
              <w:t>3</w:t>
            </w:r>
            <w:r>
              <w:rPr>
                <w:color w:val="auto"/>
              </w:rPr>
              <w:t>/d地埋式废水预处理设施，采用“隔油+芬顿+絮凝沉淀”工艺，处理后的废水排入1#污水处理站进一步处理。</w:t>
            </w:r>
          </w:p>
          <w:p w14:paraId="11760FBF">
            <w:pPr>
              <w:pStyle w:val="33"/>
              <w:jc w:val="both"/>
              <w:rPr>
                <w:color w:val="auto"/>
              </w:rPr>
            </w:pPr>
            <w:r>
              <w:rPr>
                <w:rFonts w:hint="eastAsia"/>
                <w:color w:val="auto"/>
              </w:rPr>
              <w:t>③</w:t>
            </w:r>
            <w:r>
              <w:rPr>
                <w:color w:val="auto"/>
              </w:rPr>
              <w:t>2#造纸车间及其配套辅助设施废水排入2#污水处理站（规模45000m</w:t>
            </w:r>
            <w:r>
              <w:rPr>
                <w:color w:val="auto"/>
                <w:vertAlign w:val="superscript"/>
              </w:rPr>
              <w:t>3</w:t>
            </w:r>
            <w:r>
              <w:rPr>
                <w:color w:val="auto"/>
              </w:rPr>
              <w:t>/d）处理，2#污水处理站采用“絮凝沉淀+A/O+絮凝沉淀/芬顿处理”工艺。</w:t>
            </w:r>
          </w:p>
          <w:p w14:paraId="7946BEF7">
            <w:pPr>
              <w:pStyle w:val="33"/>
              <w:jc w:val="both"/>
              <w:rPr>
                <w:color w:val="auto"/>
              </w:rPr>
            </w:pPr>
            <w:r>
              <w:rPr>
                <w:rFonts w:hint="eastAsia"/>
                <w:color w:val="auto"/>
              </w:rPr>
              <w:t>④</w:t>
            </w:r>
            <w:r>
              <w:rPr>
                <w:color w:val="auto"/>
              </w:rPr>
              <w:t>1#污水处理站、2#污水处理站处理废水</w:t>
            </w:r>
            <w:r>
              <w:rPr>
                <w:rFonts w:hint="eastAsia"/>
                <w:color w:val="auto"/>
              </w:rPr>
              <w:t>各自处理达标后</w:t>
            </w:r>
            <w:r>
              <w:rPr>
                <w:color w:val="auto"/>
              </w:rPr>
              <w:t>混合后经排海管线</w:t>
            </w:r>
            <w:r>
              <w:rPr>
                <w:rFonts w:hint="eastAsia"/>
                <w:color w:val="auto"/>
              </w:rPr>
              <w:t>排海</w:t>
            </w:r>
            <w:r>
              <w:rPr>
                <w:color w:val="auto"/>
                <w:spacing w:val="-6"/>
              </w:rPr>
              <w:t>。</w:t>
            </w:r>
          </w:p>
        </w:tc>
      </w:tr>
      <w:tr w14:paraId="3E1D8B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restart"/>
            <w:vAlign w:val="center"/>
          </w:tcPr>
          <w:p w14:paraId="1E0F029B">
            <w:pPr>
              <w:pStyle w:val="33"/>
              <w:rPr>
                <w:color w:val="auto"/>
              </w:rPr>
            </w:pPr>
            <w:r>
              <w:rPr>
                <w:color w:val="auto"/>
                <w:spacing w:val="-2"/>
              </w:rPr>
              <w:t>废气</w:t>
            </w:r>
          </w:p>
        </w:tc>
        <w:tc>
          <w:tcPr>
            <w:tcW w:w="1065" w:type="pct"/>
            <w:vAlign w:val="center"/>
          </w:tcPr>
          <w:p w14:paraId="40E3AE01">
            <w:pPr>
              <w:pStyle w:val="33"/>
              <w:rPr>
                <w:color w:val="auto"/>
              </w:rPr>
            </w:pPr>
            <w:r>
              <w:rPr>
                <w:color w:val="auto"/>
              </w:rPr>
              <w:t>1#、2#循环流化床锅炉</w:t>
            </w:r>
          </w:p>
        </w:tc>
        <w:tc>
          <w:tcPr>
            <w:tcW w:w="3465" w:type="pct"/>
            <w:vAlign w:val="center"/>
          </w:tcPr>
          <w:p w14:paraId="799730F4">
            <w:pPr>
              <w:pStyle w:val="33"/>
              <w:jc w:val="both"/>
              <w:rPr>
                <w:color w:val="auto"/>
              </w:rPr>
            </w:pPr>
            <w:r>
              <w:rPr>
                <w:rFonts w:hint="eastAsia"/>
                <w:color w:val="auto"/>
              </w:rPr>
              <w:t>①</w:t>
            </w:r>
            <w:r>
              <w:rPr>
                <w:color w:val="auto"/>
              </w:rPr>
              <w:t>烟气采用双室五电场静电除尘器除尘、炉外石灰石-石膏湿法脱硫、低氮燃烧+SCR脱硝。</w:t>
            </w:r>
          </w:p>
          <w:p w14:paraId="383E039E">
            <w:pPr>
              <w:pStyle w:val="33"/>
              <w:jc w:val="both"/>
              <w:rPr>
                <w:color w:val="auto"/>
              </w:rPr>
            </w:pPr>
            <w:r>
              <w:rPr>
                <w:rFonts w:hint="eastAsia"/>
                <w:color w:val="auto"/>
              </w:rPr>
              <w:t>②</w:t>
            </w:r>
            <w:r>
              <w:rPr>
                <w:color w:val="auto"/>
              </w:rPr>
              <w:t>排气筒</w:t>
            </w:r>
            <w:r>
              <w:rPr>
                <w:rFonts w:hint="eastAsia"/>
                <w:color w:val="auto"/>
              </w:rPr>
              <w:t>（DA006）</w:t>
            </w:r>
            <w:r>
              <w:rPr>
                <w:color w:val="auto"/>
              </w:rPr>
              <w:t>：2台锅炉共用1根排气筒180mH×Φ6.44m。</w:t>
            </w:r>
          </w:p>
        </w:tc>
      </w:tr>
      <w:tr w14:paraId="64C863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0E77FC6D">
            <w:pPr>
              <w:pStyle w:val="33"/>
              <w:rPr>
                <w:color w:val="auto"/>
              </w:rPr>
            </w:pPr>
          </w:p>
        </w:tc>
        <w:tc>
          <w:tcPr>
            <w:tcW w:w="1065" w:type="pct"/>
            <w:vAlign w:val="center"/>
          </w:tcPr>
          <w:p w14:paraId="2C1B9753">
            <w:pPr>
              <w:pStyle w:val="33"/>
              <w:rPr>
                <w:color w:val="auto"/>
              </w:rPr>
            </w:pPr>
            <w:r>
              <w:rPr>
                <w:color w:val="auto"/>
              </w:rPr>
              <w:t>3#循环流化床锅炉</w:t>
            </w:r>
          </w:p>
        </w:tc>
        <w:tc>
          <w:tcPr>
            <w:tcW w:w="3465" w:type="pct"/>
            <w:vAlign w:val="center"/>
          </w:tcPr>
          <w:p w14:paraId="398907B2">
            <w:pPr>
              <w:pStyle w:val="33"/>
              <w:jc w:val="both"/>
              <w:rPr>
                <w:color w:val="auto"/>
              </w:rPr>
            </w:pPr>
            <w:r>
              <w:rPr>
                <w:rFonts w:hint="eastAsia"/>
                <w:color w:val="auto"/>
              </w:rPr>
              <w:t>①</w:t>
            </w:r>
            <w:r>
              <w:rPr>
                <w:color w:val="auto"/>
              </w:rPr>
              <w:t>烟气采用高效静电除尘器+脱硫出口湿式静电除尘器除尘、炉外石灰石-石膏湿法脱硫、低氮燃烧+SCR脱硝。</w:t>
            </w:r>
          </w:p>
          <w:p w14:paraId="58F90883">
            <w:pPr>
              <w:pStyle w:val="33"/>
              <w:jc w:val="both"/>
              <w:rPr>
                <w:color w:val="auto"/>
              </w:rPr>
            </w:pPr>
            <w:r>
              <w:rPr>
                <w:rFonts w:hint="eastAsia"/>
                <w:color w:val="auto"/>
              </w:rPr>
              <w:t>②</w:t>
            </w:r>
            <w:r>
              <w:rPr>
                <w:color w:val="auto"/>
              </w:rPr>
              <w:t>排气筒</w:t>
            </w:r>
            <w:r>
              <w:rPr>
                <w:rFonts w:hint="eastAsia"/>
                <w:color w:val="auto"/>
              </w:rPr>
              <w:t>（DA010）</w:t>
            </w:r>
            <w:r>
              <w:rPr>
                <w:color w:val="auto"/>
              </w:rPr>
              <w:t>：120mH×Φ5.8m。</w:t>
            </w:r>
          </w:p>
        </w:tc>
      </w:tr>
      <w:tr w14:paraId="5B8A88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768CE547">
            <w:pPr>
              <w:pStyle w:val="33"/>
              <w:rPr>
                <w:color w:val="auto"/>
              </w:rPr>
            </w:pPr>
          </w:p>
        </w:tc>
        <w:tc>
          <w:tcPr>
            <w:tcW w:w="1065" w:type="pct"/>
            <w:vAlign w:val="center"/>
          </w:tcPr>
          <w:p w14:paraId="1644C2CA">
            <w:pPr>
              <w:pStyle w:val="33"/>
              <w:rPr>
                <w:color w:val="auto"/>
              </w:rPr>
            </w:pPr>
            <w:r>
              <w:rPr>
                <w:rFonts w:hint="eastAsia"/>
                <w:color w:val="auto"/>
              </w:rPr>
              <w:t>1#</w:t>
            </w:r>
            <w:r>
              <w:rPr>
                <w:color w:val="auto"/>
              </w:rPr>
              <w:t>碱回收炉</w:t>
            </w:r>
          </w:p>
        </w:tc>
        <w:tc>
          <w:tcPr>
            <w:tcW w:w="3465" w:type="pct"/>
            <w:vAlign w:val="center"/>
          </w:tcPr>
          <w:p w14:paraId="66F18BBC">
            <w:pPr>
              <w:pStyle w:val="33"/>
              <w:jc w:val="both"/>
              <w:rPr>
                <w:color w:val="auto"/>
              </w:rPr>
            </w:pPr>
            <w:r>
              <w:rPr>
                <w:rFonts w:hint="eastAsia"/>
                <w:color w:val="auto"/>
              </w:rPr>
              <w:t>①</w:t>
            </w:r>
            <w:r>
              <w:rPr>
                <w:color w:val="auto"/>
              </w:rPr>
              <w:t>除尘：采用双列四电场静电除尘器。</w:t>
            </w:r>
            <w:r>
              <w:rPr>
                <w:rFonts w:hint="eastAsia"/>
                <w:color w:val="auto"/>
              </w:rPr>
              <w:t>②</w:t>
            </w:r>
            <w:r>
              <w:rPr>
                <w:color w:val="auto"/>
              </w:rPr>
              <w:t>排气筒</w:t>
            </w:r>
            <w:r>
              <w:rPr>
                <w:rFonts w:hint="eastAsia"/>
                <w:color w:val="auto"/>
              </w:rPr>
              <w:t>（DA001）</w:t>
            </w:r>
            <w:r>
              <w:rPr>
                <w:color w:val="auto"/>
              </w:rPr>
              <w:t>：100mH×Φ2.60m。</w:t>
            </w:r>
          </w:p>
        </w:tc>
      </w:tr>
      <w:tr w14:paraId="4D639F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6CA97B4E">
            <w:pPr>
              <w:pStyle w:val="33"/>
              <w:rPr>
                <w:color w:val="auto"/>
              </w:rPr>
            </w:pPr>
          </w:p>
        </w:tc>
        <w:tc>
          <w:tcPr>
            <w:tcW w:w="1065" w:type="pct"/>
            <w:vAlign w:val="center"/>
          </w:tcPr>
          <w:p w14:paraId="3CEC5D37">
            <w:pPr>
              <w:pStyle w:val="33"/>
              <w:rPr>
                <w:color w:val="auto"/>
              </w:rPr>
            </w:pPr>
            <w:r>
              <w:rPr>
                <w:color w:val="auto"/>
              </w:rPr>
              <w:t>1#造纸车间天然气燃烧废气</w:t>
            </w:r>
          </w:p>
        </w:tc>
        <w:tc>
          <w:tcPr>
            <w:tcW w:w="3465" w:type="pct"/>
            <w:vAlign w:val="center"/>
          </w:tcPr>
          <w:p w14:paraId="52C0E6D0">
            <w:pPr>
              <w:pStyle w:val="33"/>
              <w:jc w:val="both"/>
              <w:rPr>
                <w:color w:val="auto"/>
              </w:rPr>
            </w:pPr>
            <w:r>
              <w:rPr>
                <w:color w:val="auto"/>
              </w:rPr>
              <w:t>1#造纸车间天然气燃烧废气经车间顶部5根30mH排气筒</w:t>
            </w:r>
            <w:r>
              <w:rPr>
                <w:rFonts w:hint="eastAsia"/>
                <w:color w:val="auto"/>
              </w:rPr>
              <w:t>（DA029、DA033、DA035、DA037、DA039）</w:t>
            </w:r>
            <w:r>
              <w:rPr>
                <w:color w:val="auto"/>
              </w:rPr>
              <w:t>（尺寸为0.815m×0.815m）、侧边2根</w:t>
            </w:r>
            <w:r>
              <w:rPr>
                <w:rFonts w:hint="eastAsia"/>
                <w:color w:val="auto"/>
              </w:rPr>
              <w:t>（DA041、DA041）</w:t>
            </w:r>
            <w:r>
              <w:rPr>
                <w:color w:val="auto"/>
              </w:rPr>
              <w:t>20mH×Φ0.3m排气筒排放。</w:t>
            </w:r>
          </w:p>
        </w:tc>
      </w:tr>
      <w:tr w14:paraId="5FB74E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01EF3304">
            <w:pPr>
              <w:pStyle w:val="33"/>
              <w:rPr>
                <w:color w:val="auto"/>
              </w:rPr>
            </w:pPr>
          </w:p>
        </w:tc>
        <w:tc>
          <w:tcPr>
            <w:tcW w:w="1065" w:type="pct"/>
            <w:vAlign w:val="center"/>
          </w:tcPr>
          <w:p w14:paraId="5084BFEC">
            <w:pPr>
              <w:pStyle w:val="33"/>
              <w:rPr>
                <w:color w:val="auto"/>
              </w:rPr>
            </w:pPr>
            <w:r>
              <w:rPr>
                <w:color w:val="auto"/>
              </w:rPr>
              <w:t>2#造纸车间天然气燃烧废气</w:t>
            </w:r>
          </w:p>
        </w:tc>
        <w:tc>
          <w:tcPr>
            <w:tcW w:w="3465" w:type="pct"/>
            <w:vAlign w:val="center"/>
          </w:tcPr>
          <w:p w14:paraId="0FC3A5AB">
            <w:pPr>
              <w:pStyle w:val="33"/>
              <w:jc w:val="both"/>
              <w:rPr>
                <w:color w:val="auto"/>
              </w:rPr>
            </w:pPr>
            <w:r>
              <w:rPr>
                <w:color w:val="auto"/>
              </w:rPr>
              <w:t>2#造纸车间天然气燃烧废气经车间顶部4根</w:t>
            </w:r>
            <w:r>
              <w:rPr>
                <w:rFonts w:hint="eastAsia"/>
                <w:color w:val="auto"/>
              </w:rPr>
              <w:t>（DA032、DA034、DA036、DA038）</w:t>
            </w:r>
            <w:r>
              <w:rPr>
                <w:color w:val="auto"/>
              </w:rPr>
              <w:t>24mH×Φ0.60m、1根</w:t>
            </w:r>
            <w:r>
              <w:rPr>
                <w:rFonts w:hint="eastAsia"/>
                <w:color w:val="auto"/>
              </w:rPr>
              <w:t>（DA040）</w:t>
            </w:r>
            <w:r>
              <w:rPr>
                <w:color w:val="auto"/>
              </w:rPr>
              <w:t>26mH×Φ0.80m、侧边2根</w:t>
            </w:r>
            <w:r>
              <w:rPr>
                <w:rFonts w:hint="eastAsia"/>
                <w:color w:val="auto"/>
              </w:rPr>
              <w:t>（DA042、DA044）</w:t>
            </w:r>
            <w:r>
              <w:rPr>
                <w:color w:val="auto"/>
              </w:rPr>
              <w:t>16mH×Φ0.30m排气筒排放。</w:t>
            </w:r>
          </w:p>
        </w:tc>
      </w:tr>
      <w:tr w14:paraId="1084E3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165C2169">
            <w:pPr>
              <w:pStyle w:val="33"/>
              <w:rPr>
                <w:color w:val="auto"/>
              </w:rPr>
            </w:pPr>
          </w:p>
        </w:tc>
        <w:tc>
          <w:tcPr>
            <w:tcW w:w="1065" w:type="pct"/>
            <w:vAlign w:val="center"/>
          </w:tcPr>
          <w:p w14:paraId="677A72EA">
            <w:pPr>
              <w:pStyle w:val="33"/>
              <w:rPr>
                <w:color w:val="auto"/>
              </w:rPr>
            </w:pPr>
            <w:r>
              <w:rPr>
                <w:rFonts w:hint="eastAsia"/>
                <w:color w:val="auto"/>
              </w:rPr>
              <w:t>1</w:t>
            </w:r>
            <w:r>
              <w:rPr>
                <w:color w:val="auto"/>
              </w:rPr>
              <w:t>#污水处理站臭气</w:t>
            </w:r>
          </w:p>
        </w:tc>
        <w:tc>
          <w:tcPr>
            <w:tcW w:w="3465" w:type="pct"/>
            <w:vAlign w:val="center"/>
          </w:tcPr>
          <w:p w14:paraId="5F975692">
            <w:pPr>
              <w:pStyle w:val="33"/>
              <w:jc w:val="both"/>
              <w:rPr>
                <w:color w:val="auto"/>
              </w:rPr>
            </w:pPr>
            <w:r>
              <w:rPr>
                <w:rFonts w:hint="eastAsia"/>
                <w:color w:val="auto"/>
              </w:rPr>
              <w:t>①</w:t>
            </w:r>
            <w:r>
              <w:rPr>
                <w:color w:val="auto"/>
              </w:rPr>
              <w:t>对</w:t>
            </w:r>
            <w:r>
              <w:rPr>
                <w:rFonts w:hint="eastAsia"/>
                <w:color w:val="auto"/>
              </w:rPr>
              <w:t>1</w:t>
            </w:r>
            <w:r>
              <w:rPr>
                <w:color w:val="auto"/>
              </w:rPr>
              <w:t>#污水处理站污泥处理工序进行加盖/密闭收集恶臭气体，采取碱洗除臭措施。</w:t>
            </w:r>
          </w:p>
          <w:p w14:paraId="4BE0F787">
            <w:pPr>
              <w:pStyle w:val="33"/>
              <w:jc w:val="both"/>
              <w:rPr>
                <w:color w:val="auto"/>
              </w:rPr>
            </w:pPr>
            <w:r>
              <w:rPr>
                <w:rFonts w:hint="eastAsia"/>
                <w:color w:val="auto"/>
              </w:rPr>
              <w:t>②</w:t>
            </w:r>
            <w:r>
              <w:rPr>
                <w:color w:val="auto"/>
              </w:rPr>
              <w:t>排气筒</w:t>
            </w:r>
            <w:r>
              <w:rPr>
                <w:rFonts w:hint="eastAsia"/>
                <w:color w:val="auto"/>
              </w:rPr>
              <w:t>（DA013）</w:t>
            </w:r>
            <w:r>
              <w:rPr>
                <w:color w:val="auto"/>
              </w:rPr>
              <w:t>：15mH×Φ</w:t>
            </w:r>
            <w:r>
              <w:rPr>
                <w:rFonts w:hint="eastAsia"/>
                <w:color w:val="auto"/>
              </w:rPr>
              <w:t>1.2</w:t>
            </w:r>
            <w:r>
              <w:rPr>
                <w:color w:val="auto"/>
              </w:rPr>
              <w:t>m。</w:t>
            </w:r>
          </w:p>
        </w:tc>
      </w:tr>
      <w:tr w14:paraId="5071A3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5521A080">
            <w:pPr>
              <w:pStyle w:val="33"/>
              <w:rPr>
                <w:color w:val="auto"/>
              </w:rPr>
            </w:pPr>
          </w:p>
        </w:tc>
        <w:tc>
          <w:tcPr>
            <w:tcW w:w="1065" w:type="pct"/>
            <w:vAlign w:val="center"/>
          </w:tcPr>
          <w:p w14:paraId="06173C59">
            <w:pPr>
              <w:pStyle w:val="33"/>
              <w:rPr>
                <w:color w:val="auto"/>
              </w:rPr>
            </w:pPr>
            <w:r>
              <w:rPr>
                <w:color w:val="auto"/>
              </w:rPr>
              <w:t>2#污水处理站臭气</w:t>
            </w:r>
          </w:p>
        </w:tc>
        <w:tc>
          <w:tcPr>
            <w:tcW w:w="3465" w:type="pct"/>
            <w:vAlign w:val="center"/>
          </w:tcPr>
          <w:p w14:paraId="4472E0BF">
            <w:pPr>
              <w:pStyle w:val="33"/>
              <w:jc w:val="both"/>
              <w:rPr>
                <w:color w:val="auto"/>
              </w:rPr>
            </w:pPr>
            <w:r>
              <w:rPr>
                <w:rFonts w:hint="eastAsia"/>
                <w:color w:val="auto"/>
              </w:rPr>
              <w:t>①</w:t>
            </w:r>
            <w:r>
              <w:rPr>
                <w:color w:val="auto"/>
              </w:rPr>
              <w:t>对2#污水处理站曝气池（不含）以前处理工序和污泥处理工序进行加盖/密闭收集恶臭气体，采取碱洗除臭措施。</w:t>
            </w:r>
          </w:p>
          <w:p w14:paraId="0624E4FE">
            <w:pPr>
              <w:pStyle w:val="33"/>
              <w:jc w:val="both"/>
              <w:rPr>
                <w:color w:val="auto"/>
              </w:rPr>
            </w:pPr>
            <w:r>
              <w:rPr>
                <w:rFonts w:hint="eastAsia"/>
                <w:color w:val="auto"/>
              </w:rPr>
              <w:t>②</w:t>
            </w:r>
            <w:r>
              <w:rPr>
                <w:color w:val="auto"/>
              </w:rPr>
              <w:t>排气筒</w:t>
            </w:r>
            <w:r>
              <w:rPr>
                <w:rFonts w:hint="eastAsia"/>
                <w:color w:val="auto"/>
              </w:rPr>
              <w:t>（DA045）</w:t>
            </w:r>
            <w:r>
              <w:rPr>
                <w:color w:val="auto"/>
              </w:rPr>
              <w:t>：15mH×Φ0.4m。</w:t>
            </w:r>
          </w:p>
        </w:tc>
      </w:tr>
      <w:tr w14:paraId="44C737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3297DE40">
            <w:pPr>
              <w:pStyle w:val="33"/>
              <w:rPr>
                <w:color w:val="auto"/>
              </w:rPr>
            </w:pPr>
          </w:p>
        </w:tc>
        <w:tc>
          <w:tcPr>
            <w:tcW w:w="1065" w:type="pct"/>
            <w:vAlign w:val="center"/>
          </w:tcPr>
          <w:p w14:paraId="0735F992">
            <w:pPr>
              <w:pStyle w:val="33"/>
              <w:rPr>
                <w:color w:val="auto"/>
              </w:rPr>
            </w:pPr>
            <w:r>
              <w:rPr>
                <w:color w:val="auto"/>
              </w:rPr>
              <w:t>过氧化氢车间转化炉烟气</w:t>
            </w:r>
          </w:p>
        </w:tc>
        <w:tc>
          <w:tcPr>
            <w:tcW w:w="3465" w:type="pct"/>
            <w:vAlign w:val="center"/>
          </w:tcPr>
          <w:p w14:paraId="3CB411FB">
            <w:pPr>
              <w:pStyle w:val="33"/>
              <w:jc w:val="both"/>
              <w:rPr>
                <w:color w:val="auto"/>
              </w:rPr>
            </w:pPr>
            <w:r>
              <w:rPr>
                <w:rFonts w:hint="eastAsia"/>
                <w:color w:val="auto"/>
              </w:rPr>
              <w:t>①</w:t>
            </w:r>
            <w:r>
              <w:rPr>
                <w:color w:val="auto"/>
              </w:rPr>
              <w:t>转化炉燃烧烟气直接由一根高30m的排气筒排放。</w:t>
            </w:r>
          </w:p>
          <w:p w14:paraId="6322B002">
            <w:pPr>
              <w:pStyle w:val="33"/>
              <w:jc w:val="both"/>
              <w:rPr>
                <w:color w:val="auto"/>
              </w:rPr>
            </w:pPr>
            <w:r>
              <w:rPr>
                <w:rFonts w:hint="eastAsia"/>
                <w:color w:val="auto"/>
              </w:rPr>
              <w:t>②</w:t>
            </w:r>
            <w:r>
              <w:rPr>
                <w:color w:val="auto"/>
              </w:rPr>
              <w:t>排气筒</w:t>
            </w:r>
            <w:r>
              <w:rPr>
                <w:rFonts w:hint="eastAsia"/>
                <w:color w:val="auto"/>
              </w:rPr>
              <w:t>（DA009）</w:t>
            </w:r>
            <w:r>
              <w:rPr>
                <w:color w:val="auto"/>
              </w:rPr>
              <w:t>：30mH×Φ0.8m。</w:t>
            </w:r>
          </w:p>
        </w:tc>
      </w:tr>
      <w:tr w14:paraId="6B9005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299BF218">
            <w:pPr>
              <w:pStyle w:val="33"/>
              <w:rPr>
                <w:color w:val="auto"/>
              </w:rPr>
            </w:pPr>
          </w:p>
        </w:tc>
        <w:tc>
          <w:tcPr>
            <w:tcW w:w="1065" w:type="pct"/>
            <w:vAlign w:val="center"/>
          </w:tcPr>
          <w:p w14:paraId="5EA34029">
            <w:pPr>
              <w:pStyle w:val="33"/>
              <w:rPr>
                <w:color w:val="auto"/>
              </w:rPr>
            </w:pPr>
            <w:r>
              <w:rPr>
                <w:color w:val="auto"/>
              </w:rPr>
              <w:t>过氧化氢车间氧化尾气</w:t>
            </w:r>
          </w:p>
        </w:tc>
        <w:tc>
          <w:tcPr>
            <w:tcW w:w="3465" w:type="pct"/>
            <w:vAlign w:val="center"/>
          </w:tcPr>
          <w:p w14:paraId="37E13CA3">
            <w:pPr>
              <w:pStyle w:val="33"/>
              <w:jc w:val="both"/>
              <w:rPr>
                <w:color w:val="auto"/>
              </w:rPr>
            </w:pPr>
            <w:r>
              <w:rPr>
                <w:rFonts w:hint="eastAsia"/>
                <w:color w:val="auto"/>
              </w:rPr>
              <w:t>①</w:t>
            </w:r>
            <w:r>
              <w:rPr>
                <w:color w:val="auto"/>
              </w:rPr>
              <w:t>氧化尾气采用冷凝＋活性炭吸附装置进一步回收芳烃后排放。</w:t>
            </w:r>
          </w:p>
          <w:p w14:paraId="56E00797">
            <w:pPr>
              <w:pStyle w:val="33"/>
              <w:jc w:val="both"/>
              <w:rPr>
                <w:color w:val="auto"/>
              </w:rPr>
            </w:pPr>
            <w:r>
              <w:rPr>
                <w:rFonts w:hint="eastAsia"/>
                <w:color w:val="auto"/>
              </w:rPr>
              <w:t>②</w:t>
            </w:r>
            <w:r>
              <w:rPr>
                <w:color w:val="auto"/>
              </w:rPr>
              <w:t>排气筒</w:t>
            </w:r>
            <w:r>
              <w:rPr>
                <w:rFonts w:hint="eastAsia"/>
                <w:color w:val="auto"/>
              </w:rPr>
              <w:t>（DA008）</w:t>
            </w:r>
            <w:r>
              <w:rPr>
                <w:color w:val="auto"/>
              </w:rPr>
              <w:t>：30mH×Φ0.8m。</w:t>
            </w:r>
          </w:p>
        </w:tc>
      </w:tr>
      <w:tr w14:paraId="36152C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0F318F99">
            <w:pPr>
              <w:pStyle w:val="33"/>
              <w:rPr>
                <w:color w:val="auto"/>
              </w:rPr>
            </w:pPr>
          </w:p>
        </w:tc>
        <w:tc>
          <w:tcPr>
            <w:tcW w:w="1065" w:type="pct"/>
            <w:vAlign w:val="center"/>
          </w:tcPr>
          <w:p w14:paraId="7B5E9BD9">
            <w:pPr>
              <w:pStyle w:val="33"/>
              <w:rPr>
                <w:color w:val="auto"/>
              </w:rPr>
            </w:pPr>
            <w:r>
              <w:rPr>
                <w:color w:val="auto"/>
              </w:rPr>
              <w:t>过氧化氢车间废水预处理设施废气</w:t>
            </w:r>
          </w:p>
        </w:tc>
        <w:tc>
          <w:tcPr>
            <w:tcW w:w="3465" w:type="pct"/>
            <w:vAlign w:val="center"/>
          </w:tcPr>
          <w:p w14:paraId="778DC7AB">
            <w:pPr>
              <w:pStyle w:val="33"/>
              <w:jc w:val="both"/>
              <w:rPr>
                <w:color w:val="auto"/>
              </w:rPr>
            </w:pPr>
            <w:r>
              <w:rPr>
                <w:rFonts w:hint="eastAsia"/>
                <w:color w:val="auto"/>
              </w:rPr>
              <w:t>①</w:t>
            </w:r>
            <w:r>
              <w:rPr>
                <w:color w:val="auto"/>
              </w:rPr>
              <w:t>过氧化氢车间废水预处理设施各处理池进行加盖密封，废气经活性炭吸附后排放。</w:t>
            </w:r>
          </w:p>
          <w:p w14:paraId="1531E46F">
            <w:pPr>
              <w:pStyle w:val="33"/>
              <w:jc w:val="both"/>
              <w:rPr>
                <w:color w:val="auto"/>
              </w:rPr>
            </w:pPr>
            <w:r>
              <w:rPr>
                <w:rFonts w:hint="eastAsia"/>
                <w:color w:val="auto"/>
              </w:rPr>
              <w:t>②</w:t>
            </w:r>
            <w:r>
              <w:rPr>
                <w:color w:val="auto"/>
              </w:rPr>
              <w:t>排气筒</w:t>
            </w:r>
            <w:r>
              <w:rPr>
                <w:rFonts w:hint="eastAsia"/>
                <w:color w:val="auto"/>
              </w:rPr>
              <w:t>（DA031）</w:t>
            </w:r>
            <w:r>
              <w:rPr>
                <w:color w:val="auto"/>
              </w:rPr>
              <w:t>：18mH×Φ0.3m。</w:t>
            </w:r>
          </w:p>
        </w:tc>
      </w:tr>
      <w:tr w14:paraId="2CAE90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656469F8">
            <w:pPr>
              <w:pStyle w:val="33"/>
              <w:rPr>
                <w:color w:val="auto"/>
              </w:rPr>
            </w:pPr>
          </w:p>
        </w:tc>
        <w:tc>
          <w:tcPr>
            <w:tcW w:w="1065" w:type="pct"/>
            <w:vAlign w:val="center"/>
          </w:tcPr>
          <w:p w14:paraId="58424375">
            <w:pPr>
              <w:pStyle w:val="33"/>
              <w:rPr>
                <w:color w:val="auto"/>
              </w:rPr>
            </w:pPr>
            <w:r>
              <w:rPr>
                <w:rFonts w:hint="eastAsia"/>
                <w:color w:val="auto"/>
              </w:rPr>
              <w:t>淋膜纸生产线废气</w:t>
            </w:r>
          </w:p>
        </w:tc>
        <w:tc>
          <w:tcPr>
            <w:tcW w:w="3465" w:type="pct"/>
            <w:vAlign w:val="center"/>
          </w:tcPr>
          <w:p w14:paraId="0122BCB8">
            <w:pPr>
              <w:pStyle w:val="33"/>
              <w:jc w:val="both"/>
              <w:rPr>
                <w:color w:val="auto"/>
              </w:rPr>
            </w:pPr>
            <w:r>
              <w:rPr>
                <w:rFonts w:hint="eastAsia"/>
                <w:color w:val="auto"/>
              </w:rPr>
              <w:t>淋膜纸生产线废气收集后屋顶</w:t>
            </w:r>
            <w:r>
              <w:rPr>
                <w:color w:val="auto"/>
              </w:rPr>
              <w:t>排放</w:t>
            </w:r>
            <w:r>
              <w:rPr>
                <w:rFonts w:hint="eastAsia"/>
                <w:color w:val="auto"/>
              </w:rPr>
              <w:t>，高度15m</w:t>
            </w:r>
            <w:r>
              <w:rPr>
                <w:color w:val="auto"/>
              </w:rPr>
              <w:t>。</w:t>
            </w:r>
          </w:p>
        </w:tc>
      </w:tr>
      <w:tr w14:paraId="585620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vAlign w:val="center"/>
          </w:tcPr>
          <w:p w14:paraId="3FF6A80D">
            <w:pPr>
              <w:pStyle w:val="33"/>
              <w:rPr>
                <w:color w:val="auto"/>
              </w:rPr>
            </w:pPr>
          </w:p>
        </w:tc>
        <w:tc>
          <w:tcPr>
            <w:tcW w:w="1065" w:type="pct"/>
            <w:vAlign w:val="center"/>
          </w:tcPr>
          <w:p w14:paraId="7499BEF1">
            <w:pPr>
              <w:pStyle w:val="33"/>
              <w:rPr>
                <w:color w:val="auto"/>
              </w:rPr>
            </w:pPr>
            <w:r>
              <w:rPr>
                <w:color w:val="auto"/>
              </w:rPr>
              <w:t>无组织废气</w:t>
            </w:r>
          </w:p>
        </w:tc>
        <w:tc>
          <w:tcPr>
            <w:tcW w:w="3465" w:type="pct"/>
            <w:vAlign w:val="center"/>
          </w:tcPr>
          <w:p w14:paraId="493F1F55">
            <w:pPr>
              <w:pStyle w:val="33"/>
              <w:jc w:val="both"/>
              <w:rPr>
                <w:color w:val="auto"/>
              </w:rPr>
            </w:pPr>
            <w:r>
              <w:rPr>
                <w:rFonts w:hint="eastAsia"/>
                <w:color w:val="auto"/>
              </w:rPr>
              <w:t>①</w:t>
            </w:r>
            <w:r>
              <w:rPr>
                <w:color w:val="auto"/>
              </w:rPr>
              <w:t>煤棚粉尘：煤堆场（煤仓）采用落地式干煤棚，为半封闭式，加装防风抑尘网，储运过程进行喷水抑制煤尘。</w:t>
            </w:r>
          </w:p>
          <w:p w14:paraId="15A1DC6B">
            <w:pPr>
              <w:pStyle w:val="33"/>
              <w:jc w:val="both"/>
              <w:rPr>
                <w:color w:val="auto"/>
              </w:rPr>
            </w:pPr>
            <w:r>
              <w:rPr>
                <w:rFonts w:hint="eastAsia"/>
                <w:color w:val="auto"/>
              </w:rPr>
              <w:t>②</w:t>
            </w:r>
            <w:r>
              <w:rPr>
                <w:color w:val="auto"/>
              </w:rPr>
              <w:t>1#、2#锅炉配套煤转运站、碎煤机房煤粉尘：设多管式冲击除尘器除尘。</w:t>
            </w:r>
          </w:p>
          <w:p w14:paraId="7D91B4DB">
            <w:pPr>
              <w:pStyle w:val="33"/>
              <w:jc w:val="both"/>
              <w:rPr>
                <w:color w:val="auto"/>
              </w:rPr>
            </w:pPr>
            <w:r>
              <w:rPr>
                <w:rFonts w:hint="eastAsia"/>
                <w:color w:val="auto"/>
              </w:rPr>
              <w:t>③</w:t>
            </w:r>
            <w:r>
              <w:rPr>
                <w:color w:val="auto"/>
              </w:rPr>
              <w:t>3#锅炉配套煤转运站、碎煤机房煤粉尘：封闭式煤转运站、碎煤机房配套无动力抑尘导料槽、干雾抑尘系统。</w:t>
            </w:r>
          </w:p>
          <w:p w14:paraId="59D43A68">
            <w:pPr>
              <w:pStyle w:val="33"/>
              <w:jc w:val="both"/>
              <w:rPr>
                <w:color w:val="auto"/>
              </w:rPr>
            </w:pPr>
            <w:r>
              <w:rPr>
                <w:rFonts w:hint="eastAsia"/>
                <w:color w:val="auto"/>
              </w:rPr>
              <w:t>④</w:t>
            </w:r>
            <w:r>
              <w:rPr>
                <w:color w:val="auto"/>
              </w:rPr>
              <w:t>1#、2#、3#锅炉配套灰库粉尘：封闭式灰库，布袋除尘器除尘。</w:t>
            </w:r>
          </w:p>
          <w:p w14:paraId="3DD18392">
            <w:pPr>
              <w:pStyle w:val="33"/>
              <w:jc w:val="both"/>
              <w:rPr>
                <w:color w:val="auto"/>
              </w:rPr>
            </w:pPr>
            <w:r>
              <w:rPr>
                <w:rFonts w:hint="eastAsia"/>
                <w:color w:val="auto"/>
              </w:rPr>
              <w:t>⑤</w:t>
            </w:r>
            <w:r>
              <w:rPr>
                <w:color w:val="auto"/>
              </w:rPr>
              <w:t>1#、2#纸机涂布原料制备系统破碎、干磨颗粒物：采购水洗后的大理石；在投料斗、振动筛采取喷淋措施；封闭式破碎机，在破碎机出料及输送段采用集气装置并设置布袋除尘器；采用封闭式干磨机，在干磨机出料处设置布袋除尘器。</w:t>
            </w:r>
          </w:p>
          <w:p w14:paraId="29B13F13">
            <w:pPr>
              <w:pStyle w:val="33"/>
              <w:jc w:val="both"/>
              <w:rPr>
                <w:color w:val="auto"/>
              </w:rPr>
            </w:pPr>
            <w:r>
              <w:rPr>
                <w:rFonts w:hint="eastAsia"/>
                <w:color w:val="auto"/>
              </w:rPr>
              <w:t>⑥</w:t>
            </w:r>
            <w:r>
              <w:rPr>
                <w:color w:val="auto"/>
              </w:rPr>
              <w:t>石灰石粉仓粉尘：布袋除尘器除尘。</w:t>
            </w:r>
          </w:p>
          <w:p w14:paraId="0FCD76E0">
            <w:pPr>
              <w:pStyle w:val="33"/>
              <w:jc w:val="both"/>
              <w:rPr>
                <w:color w:val="auto"/>
              </w:rPr>
            </w:pPr>
            <w:r>
              <w:rPr>
                <w:rFonts w:hint="eastAsia"/>
                <w:color w:val="auto"/>
              </w:rPr>
              <w:t>⑦</w:t>
            </w:r>
            <w:r>
              <w:rPr>
                <w:color w:val="auto"/>
              </w:rPr>
              <w:t>过氧化氢车间装置区、储罐区无组织排放的非甲烷总烃，以及原木切片、木片堆场、输送、破碎、筛分过程产生的颗粒物、污水处理站臭气等。</w:t>
            </w:r>
          </w:p>
        </w:tc>
      </w:tr>
      <w:tr w14:paraId="25E630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7B3BFA19">
            <w:pPr>
              <w:pStyle w:val="33"/>
              <w:rPr>
                <w:color w:val="auto"/>
              </w:rPr>
            </w:pPr>
            <w:r>
              <w:rPr>
                <w:color w:val="auto"/>
              </w:rPr>
              <w:t>一般固废废物</w:t>
            </w:r>
          </w:p>
        </w:tc>
        <w:tc>
          <w:tcPr>
            <w:tcW w:w="1065" w:type="pct"/>
            <w:vAlign w:val="center"/>
          </w:tcPr>
          <w:p w14:paraId="46F684C5">
            <w:pPr>
              <w:pStyle w:val="33"/>
              <w:rPr>
                <w:color w:val="auto"/>
              </w:rPr>
            </w:pPr>
            <w:r>
              <w:rPr>
                <w:color w:val="auto"/>
              </w:rPr>
              <w:t>木屑、浆渣、绿泥和石灰渣、白泥、废聚酯网、煤灰渣、粉煤灰、脱硫石膏、废氧化铝、废脱硫剂、转化废催化剂、污水处理站污泥、生活垃圾</w:t>
            </w:r>
          </w:p>
        </w:tc>
        <w:tc>
          <w:tcPr>
            <w:tcW w:w="3465" w:type="pct"/>
            <w:vAlign w:val="center"/>
          </w:tcPr>
          <w:p w14:paraId="7A5064C9">
            <w:pPr>
              <w:pStyle w:val="33"/>
              <w:jc w:val="both"/>
              <w:rPr>
                <w:color w:val="auto"/>
              </w:rPr>
            </w:pPr>
            <w:r>
              <w:rPr>
                <w:rFonts w:hint="eastAsia"/>
                <w:color w:val="auto"/>
              </w:rPr>
              <w:t>①木屑、浆渣、绿泥和石灰渣：送自备循环流化床锅炉燃烧。</w:t>
            </w:r>
          </w:p>
          <w:p w14:paraId="79377072">
            <w:pPr>
              <w:pStyle w:val="33"/>
              <w:jc w:val="both"/>
              <w:rPr>
                <w:color w:val="auto"/>
              </w:rPr>
            </w:pPr>
            <w:r>
              <w:rPr>
                <w:rFonts w:hint="eastAsia"/>
                <w:color w:val="auto"/>
              </w:rPr>
              <w:t>②白泥：送自备循环流化床锅炉作脱硫剂，剩余部分外售作脱硫剂。</w:t>
            </w:r>
          </w:p>
          <w:p w14:paraId="5EE1C850">
            <w:pPr>
              <w:pStyle w:val="33"/>
              <w:jc w:val="both"/>
              <w:rPr>
                <w:color w:val="auto"/>
              </w:rPr>
            </w:pPr>
            <w:r>
              <w:rPr>
                <w:rFonts w:hint="eastAsia"/>
                <w:color w:val="auto"/>
              </w:rPr>
              <w:t>③废聚酯网：厂区内做防滑垫，剩余部分外售。</w:t>
            </w:r>
          </w:p>
          <w:p w14:paraId="16CE8B7E">
            <w:pPr>
              <w:pStyle w:val="33"/>
              <w:jc w:val="both"/>
              <w:rPr>
                <w:color w:val="auto"/>
              </w:rPr>
            </w:pPr>
            <w:r>
              <w:rPr>
                <w:rFonts w:hint="eastAsia"/>
                <w:color w:val="auto"/>
              </w:rPr>
              <w:t>④煤灰渣、粉煤灰、脱硫石膏：外委综合利用。</w:t>
            </w:r>
          </w:p>
          <w:p w14:paraId="0CCA1FDE">
            <w:pPr>
              <w:pStyle w:val="33"/>
              <w:jc w:val="both"/>
              <w:rPr>
                <w:color w:val="auto"/>
              </w:rPr>
            </w:pPr>
            <w:r>
              <w:rPr>
                <w:rFonts w:hint="eastAsia"/>
                <w:color w:val="auto"/>
              </w:rPr>
              <w:t>⑤废氧化铝、废脱硫剂和转化废催化剂：生产厂家回收。</w:t>
            </w:r>
          </w:p>
          <w:p w14:paraId="413538E0">
            <w:pPr>
              <w:pStyle w:val="33"/>
              <w:jc w:val="both"/>
              <w:rPr>
                <w:color w:val="auto"/>
              </w:rPr>
            </w:pPr>
            <w:r>
              <w:rPr>
                <w:rFonts w:hint="eastAsia"/>
                <w:color w:val="auto"/>
              </w:rPr>
              <w:t>⑥污水处理站污泥：送自备循环流化床锅炉燃烧，剩余部分外委广西田东力源宝科技有限公司用作生态肥料。</w:t>
            </w:r>
          </w:p>
          <w:p w14:paraId="31D3D02E">
            <w:pPr>
              <w:pStyle w:val="33"/>
              <w:jc w:val="both"/>
              <w:rPr>
                <w:color w:val="auto"/>
              </w:rPr>
            </w:pPr>
            <w:r>
              <w:rPr>
                <w:rFonts w:hint="eastAsia"/>
                <w:color w:val="auto"/>
              </w:rPr>
              <w:t>⑦生活垃圾：钦州港市政管理公司收集处理</w:t>
            </w:r>
            <w:r>
              <w:rPr>
                <w:color w:val="auto"/>
              </w:rPr>
              <w:t>。</w:t>
            </w:r>
          </w:p>
        </w:tc>
      </w:tr>
      <w:tr w14:paraId="154149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0AD6FD25">
            <w:pPr>
              <w:pStyle w:val="33"/>
              <w:rPr>
                <w:color w:val="auto"/>
              </w:rPr>
            </w:pPr>
            <w:r>
              <w:rPr>
                <w:color w:val="auto"/>
              </w:rPr>
              <w:t>危险废物</w:t>
            </w:r>
          </w:p>
        </w:tc>
        <w:tc>
          <w:tcPr>
            <w:tcW w:w="1065" w:type="pct"/>
            <w:vAlign w:val="center"/>
          </w:tcPr>
          <w:p w14:paraId="74BA36C0">
            <w:pPr>
              <w:pStyle w:val="33"/>
              <w:rPr>
                <w:color w:val="auto"/>
              </w:rPr>
            </w:pPr>
            <w:r>
              <w:rPr>
                <w:color w:val="auto"/>
              </w:rPr>
              <w:t>废矿物油、废油桶</w:t>
            </w:r>
            <w:r>
              <w:rPr>
                <w:rFonts w:hint="eastAsia"/>
                <w:color w:val="auto"/>
              </w:rPr>
              <w:t>、</w:t>
            </w:r>
            <w:r>
              <w:rPr>
                <w:color w:val="auto"/>
              </w:rPr>
              <w:t>废硒鼓</w:t>
            </w:r>
            <w:r>
              <w:rPr>
                <w:rFonts w:hint="eastAsia"/>
                <w:color w:val="auto"/>
              </w:rPr>
              <w:t>、</w:t>
            </w:r>
            <w:r>
              <w:rPr>
                <w:color w:val="auto"/>
              </w:rPr>
              <w:t>废铅蓄电池等</w:t>
            </w:r>
          </w:p>
        </w:tc>
        <w:tc>
          <w:tcPr>
            <w:tcW w:w="3465" w:type="pct"/>
            <w:vAlign w:val="center"/>
          </w:tcPr>
          <w:p w14:paraId="26D35A70">
            <w:pPr>
              <w:pStyle w:val="33"/>
              <w:jc w:val="both"/>
              <w:rPr>
                <w:color w:val="auto"/>
              </w:rPr>
            </w:pPr>
            <w:r>
              <w:rPr>
                <w:color w:val="auto"/>
              </w:rPr>
              <w:t>交由有资质单位清运和处置。</w:t>
            </w:r>
          </w:p>
        </w:tc>
      </w:tr>
      <w:tr w14:paraId="05937C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04B6A357">
            <w:pPr>
              <w:pStyle w:val="33"/>
              <w:rPr>
                <w:color w:val="auto"/>
              </w:rPr>
            </w:pPr>
            <w:r>
              <w:rPr>
                <w:color w:val="auto"/>
              </w:rPr>
              <w:t>噪声</w:t>
            </w:r>
          </w:p>
        </w:tc>
        <w:tc>
          <w:tcPr>
            <w:tcW w:w="1065" w:type="pct"/>
            <w:vAlign w:val="center"/>
          </w:tcPr>
          <w:p w14:paraId="6DA5059D">
            <w:pPr>
              <w:pStyle w:val="33"/>
              <w:rPr>
                <w:color w:val="auto"/>
              </w:rPr>
            </w:pPr>
            <w:r>
              <w:rPr>
                <w:color w:val="auto"/>
              </w:rPr>
              <w:t>设备运行噪声</w:t>
            </w:r>
          </w:p>
        </w:tc>
        <w:tc>
          <w:tcPr>
            <w:tcW w:w="3465" w:type="pct"/>
            <w:vAlign w:val="center"/>
          </w:tcPr>
          <w:p w14:paraId="6ED53D09">
            <w:pPr>
              <w:pStyle w:val="33"/>
              <w:jc w:val="both"/>
              <w:rPr>
                <w:color w:val="auto"/>
              </w:rPr>
            </w:pPr>
            <w:r>
              <w:rPr>
                <w:color w:val="auto"/>
              </w:rPr>
              <w:t>安装消声器或采取其他消声隔声措施。</w:t>
            </w:r>
          </w:p>
        </w:tc>
      </w:tr>
      <w:tr w14:paraId="766CE2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0626B789">
            <w:pPr>
              <w:pStyle w:val="33"/>
              <w:rPr>
                <w:color w:val="auto"/>
              </w:rPr>
            </w:pPr>
            <w:r>
              <w:rPr>
                <w:color w:val="auto"/>
              </w:rPr>
              <w:t>地下水</w:t>
            </w:r>
          </w:p>
        </w:tc>
        <w:tc>
          <w:tcPr>
            <w:tcW w:w="1065" w:type="pct"/>
            <w:vAlign w:val="center"/>
          </w:tcPr>
          <w:p w14:paraId="165BC310">
            <w:pPr>
              <w:pStyle w:val="33"/>
              <w:rPr>
                <w:color w:val="auto"/>
              </w:rPr>
            </w:pPr>
            <w:r>
              <w:rPr>
                <w:color w:val="auto"/>
              </w:rPr>
              <w:t>防渗措施</w:t>
            </w:r>
          </w:p>
        </w:tc>
        <w:tc>
          <w:tcPr>
            <w:tcW w:w="3465" w:type="pct"/>
            <w:vAlign w:val="center"/>
          </w:tcPr>
          <w:p w14:paraId="5956EA71">
            <w:pPr>
              <w:pStyle w:val="33"/>
              <w:jc w:val="both"/>
              <w:rPr>
                <w:color w:val="auto"/>
              </w:rPr>
            </w:pPr>
            <w:r>
              <w:rPr>
                <w:color w:val="auto"/>
              </w:rPr>
              <w:t>厂区现有工程已经根据相关防渗设计规范采取了严格的防渗、防溢流、防泄漏、防腐蚀等措施。采取分区防控措施，针对排污管线，各类废水池体采用重点防渗措施，参照《危险废物填埋污染控制标准》（GB18598-2019）相关要求进行了防渗处理；其他一般防渗区参照《生活垃圾填埋场污染控制标准》（GB16889-2008）相关要求进行了防渗处理。车间四周地面设置污水地沟，将跑冒滴漏的污水收集并排往污水处理站。</w:t>
            </w:r>
          </w:p>
        </w:tc>
      </w:tr>
    </w:tbl>
    <w:p w14:paraId="4A3F9581">
      <w:pPr>
        <w:pStyle w:val="5"/>
        <w:rPr>
          <w:color w:val="auto"/>
        </w:rPr>
      </w:pPr>
      <w:r>
        <w:rPr>
          <w:color w:val="auto"/>
        </w:rPr>
        <w:t>废水污染物达标情况分析</w:t>
      </w:r>
    </w:p>
    <w:p w14:paraId="04574D4F">
      <w:pPr>
        <w:ind w:firstLine="480"/>
        <w:rPr>
          <w:color w:val="auto"/>
        </w:rPr>
      </w:pPr>
      <w:r>
        <w:rPr>
          <w:color w:val="auto"/>
        </w:rPr>
        <w:t>金桂浆纸废水总排口安装在线监测装置，且定期委托第三方机构开展自行监测。现有工程废水总排口202</w:t>
      </w:r>
      <w:r>
        <w:rPr>
          <w:rFonts w:hint="eastAsia"/>
          <w:color w:val="auto"/>
        </w:rPr>
        <w:t>5</w:t>
      </w:r>
      <w:r>
        <w:rPr>
          <w:color w:val="auto"/>
        </w:rPr>
        <w:t>年在线监测及自行监测结果见</w:t>
      </w:r>
      <w:r>
        <w:rPr>
          <w:rFonts w:hint="eastAsia"/>
          <w:color w:val="auto"/>
        </w:rPr>
        <w:t>下表</w:t>
      </w:r>
      <w:r>
        <w:rPr>
          <w:color w:val="auto"/>
        </w:rPr>
        <w:t>。由监测结果可知，现有工程废水排放口各类污染物浓度均可满足《制浆造纸工业水污染物排放标准》（GB3544-2008）表2中制浆和造纸联合生产企业的排放限值要求。</w:t>
      </w:r>
    </w:p>
    <w:p w14:paraId="243D8234">
      <w:pPr>
        <w:pStyle w:val="7"/>
        <w:rPr>
          <w:color w:val="auto"/>
          <w:sz w:val="2"/>
        </w:rPr>
      </w:pPr>
      <w:r>
        <w:rPr>
          <w:color w:val="auto"/>
        </w:rPr>
        <w:t>现有工程废水总排放口</w:t>
      </w:r>
      <w:r>
        <w:rPr>
          <w:rFonts w:eastAsia="Times New Roman" w:cs="Times New Roman"/>
          <w:color w:val="auto"/>
        </w:rPr>
        <w:t>20</w:t>
      </w:r>
      <w:r>
        <w:rPr>
          <w:color w:val="auto"/>
        </w:rPr>
        <w:t>25年自行监测结果</w:t>
      </w:r>
      <w:r>
        <w:rPr>
          <w:rFonts w:hint="eastAsia"/>
          <w:color w:val="auto"/>
        </w:rPr>
        <w:t xml:space="preserve">  单位：mg/L。色度：度</w:t>
      </w:r>
    </w:p>
    <w:tbl>
      <w:tblPr>
        <w:tblStyle w:val="26"/>
        <w:tblW w:w="4885"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11"/>
        <w:gridCol w:w="1941"/>
        <w:gridCol w:w="1315"/>
        <w:gridCol w:w="1366"/>
        <w:gridCol w:w="1639"/>
      </w:tblGrid>
      <w:tr w14:paraId="72BCA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49" w:type="pct"/>
            <w:noWrap/>
            <w:vAlign w:val="center"/>
          </w:tcPr>
          <w:p w14:paraId="66B8C8B3">
            <w:pPr>
              <w:pStyle w:val="33"/>
              <w:rPr>
                <w:b/>
                <w:bCs/>
                <w:color w:val="auto"/>
              </w:rPr>
            </w:pPr>
            <w:r>
              <w:rPr>
                <w:rFonts w:hint="eastAsia"/>
                <w:b/>
                <w:bCs/>
                <w:color w:val="auto"/>
              </w:rPr>
              <w:t>监测点位</w:t>
            </w:r>
          </w:p>
        </w:tc>
        <w:tc>
          <w:tcPr>
            <w:tcW w:w="1070" w:type="pct"/>
            <w:noWrap/>
            <w:vAlign w:val="center"/>
          </w:tcPr>
          <w:p w14:paraId="59F863A0">
            <w:pPr>
              <w:pStyle w:val="33"/>
              <w:rPr>
                <w:b/>
                <w:bCs/>
                <w:color w:val="auto"/>
              </w:rPr>
            </w:pPr>
            <w:r>
              <w:rPr>
                <w:rFonts w:hint="eastAsia"/>
                <w:b/>
                <w:bCs/>
                <w:color w:val="auto"/>
              </w:rPr>
              <w:t>采样时间</w:t>
            </w:r>
          </w:p>
        </w:tc>
        <w:tc>
          <w:tcPr>
            <w:tcW w:w="725" w:type="pct"/>
            <w:noWrap/>
            <w:vAlign w:val="center"/>
          </w:tcPr>
          <w:p w14:paraId="2912E0D8">
            <w:pPr>
              <w:pStyle w:val="33"/>
              <w:rPr>
                <w:b/>
                <w:bCs/>
                <w:color w:val="auto"/>
              </w:rPr>
            </w:pPr>
            <w:r>
              <w:rPr>
                <w:rFonts w:hint="eastAsia"/>
                <w:b/>
                <w:bCs/>
                <w:color w:val="auto"/>
              </w:rPr>
              <w:t>色度</w:t>
            </w:r>
          </w:p>
        </w:tc>
        <w:tc>
          <w:tcPr>
            <w:tcW w:w="753" w:type="pct"/>
            <w:noWrap/>
            <w:vAlign w:val="center"/>
          </w:tcPr>
          <w:p w14:paraId="544891A3">
            <w:pPr>
              <w:pStyle w:val="33"/>
              <w:rPr>
                <w:b/>
                <w:bCs/>
                <w:color w:val="auto"/>
              </w:rPr>
            </w:pPr>
            <w:r>
              <w:rPr>
                <w:b/>
                <w:bCs/>
                <w:color w:val="auto"/>
              </w:rPr>
              <w:t>SS</w:t>
            </w:r>
          </w:p>
        </w:tc>
        <w:tc>
          <w:tcPr>
            <w:tcW w:w="904" w:type="pct"/>
            <w:noWrap/>
            <w:vAlign w:val="center"/>
          </w:tcPr>
          <w:p w14:paraId="7F080BE1">
            <w:pPr>
              <w:pStyle w:val="33"/>
              <w:rPr>
                <w:b/>
                <w:bCs/>
                <w:color w:val="auto"/>
              </w:rPr>
            </w:pPr>
            <w:r>
              <w:rPr>
                <w:b/>
                <w:bCs/>
                <w:color w:val="auto"/>
              </w:rPr>
              <w:t>BOD</w:t>
            </w:r>
            <w:r>
              <w:rPr>
                <w:b/>
                <w:bCs/>
                <w:color w:val="auto"/>
                <w:vertAlign w:val="subscript"/>
              </w:rPr>
              <w:t>5</w:t>
            </w:r>
          </w:p>
        </w:tc>
      </w:tr>
      <w:tr w14:paraId="1F8DF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restart"/>
            <w:noWrap/>
            <w:vAlign w:val="center"/>
          </w:tcPr>
          <w:p w14:paraId="4A2B0B19">
            <w:pPr>
              <w:pStyle w:val="33"/>
              <w:rPr>
                <w:color w:val="auto"/>
              </w:rPr>
            </w:pPr>
            <w:r>
              <w:rPr>
                <w:color w:val="auto"/>
              </w:rPr>
              <w:t>DW002</w:t>
            </w:r>
            <w:r>
              <w:rPr>
                <w:rFonts w:hint="eastAsia"/>
                <w:color w:val="auto"/>
              </w:rPr>
              <w:t>废水总排放口</w:t>
            </w:r>
          </w:p>
        </w:tc>
        <w:tc>
          <w:tcPr>
            <w:tcW w:w="1070" w:type="pct"/>
            <w:noWrap/>
            <w:vAlign w:val="center"/>
          </w:tcPr>
          <w:p w14:paraId="7055906D">
            <w:pPr>
              <w:pStyle w:val="33"/>
              <w:rPr>
                <w:color w:val="auto"/>
              </w:rPr>
            </w:pPr>
            <w:r>
              <w:rPr>
                <w:color w:val="auto"/>
              </w:rPr>
              <w:t>2025.1.6</w:t>
            </w:r>
          </w:p>
        </w:tc>
        <w:tc>
          <w:tcPr>
            <w:tcW w:w="725" w:type="pct"/>
            <w:noWrap/>
            <w:vAlign w:val="center"/>
          </w:tcPr>
          <w:p w14:paraId="1D929757">
            <w:pPr>
              <w:pStyle w:val="33"/>
              <w:rPr>
                <w:color w:val="auto"/>
              </w:rPr>
            </w:pPr>
            <w:r>
              <w:rPr>
                <w:color w:val="auto"/>
              </w:rPr>
              <w:t>2</w:t>
            </w:r>
          </w:p>
        </w:tc>
        <w:tc>
          <w:tcPr>
            <w:tcW w:w="753" w:type="pct"/>
            <w:noWrap/>
            <w:vAlign w:val="center"/>
          </w:tcPr>
          <w:p w14:paraId="1BC4B442">
            <w:pPr>
              <w:pStyle w:val="33"/>
              <w:rPr>
                <w:color w:val="auto"/>
              </w:rPr>
            </w:pPr>
            <w:r>
              <w:rPr>
                <w:rFonts w:hint="eastAsia"/>
                <w:color w:val="auto"/>
              </w:rPr>
              <w:t>4L</w:t>
            </w:r>
          </w:p>
        </w:tc>
        <w:tc>
          <w:tcPr>
            <w:tcW w:w="904" w:type="pct"/>
            <w:noWrap/>
            <w:vAlign w:val="center"/>
          </w:tcPr>
          <w:p w14:paraId="6443FEAC">
            <w:pPr>
              <w:pStyle w:val="33"/>
              <w:rPr>
                <w:color w:val="auto"/>
              </w:rPr>
            </w:pPr>
            <w:r>
              <w:rPr>
                <w:color w:val="auto"/>
              </w:rPr>
              <w:t>5.7</w:t>
            </w:r>
          </w:p>
        </w:tc>
      </w:tr>
      <w:tr w14:paraId="77C1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25396841">
            <w:pPr>
              <w:pStyle w:val="33"/>
              <w:rPr>
                <w:color w:val="auto"/>
              </w:rPr>
            </w:pPr>
          </w:p>
        </w:tc>
        <w:tc>
          <w:tcPr>
            <w:tcW w:w="1070" w:type="pct"/>
            <w:noWrap/>
            <w:vAlign w:val="center"/>
          </w:tcPr>
          <w:p w14:paraId="26613D96">
            <w:pPr>
              <w:pStyle w:val="33"/>
              <w:rPr>
                <w:color w:val="auto"/>
              </w:rPr>
            </w:pPr>
            <w:r>
              <w:rPr>
                <w:color w:val="auto"/>
              </w:rPr>
              <w:t>2025.2.13</w:t>
            </w:r>
          </w:p>
        </w:tc>
        <w:tc>
          <w:tcPr>
            <w:tcW w:w="725" w:type="pct"/>
            <w:noWrap/>
            <w:vAlign w:val="center"/>
          </w:tcPr>
          <w:p w14:paraId="7B847144">
            <w:pPr>
              <w:pStyle w:val="33"/>
              <w:rPr>
                <w:color w:val="auto"/>
              </w:rPr>
            </w:pPr>
            <w:r>
              <w:rPr>
                <w:color w:val="auto"/>
              </w:rPr>
              <w:t>2</w:t>
            </w:r>
          </w:p>
        </w:tc>
        <w:tc>
          <w:tcPr>
            <w:tcW w:w="753" w:type="pct"/>
            <w:noWrap/>
          </w:tcPr>
          <w:p w14:paraId="22FA2C60">
            <w:pPr>
              <w:pStyle w:val="33"/>
              <w:rPr>
                <w:color w:val="auto"/>
              </w:rPr>
            </w:pPr>
            <w:r>
              <w:rPr>
                <w:rFonts w:hint="eastAsia"/>
                <w:color w:val="auto"/>
              </w:rPr>
              <w:t>4L</w:t>
            </w:r>
          </w:p>
        </w:tc>
        <w:tc>
          <w:tcPr>
            <w:tcW w:w="904" w:type="pct"/>
            <w:noWrap/>
            <w:vAlign w:val="center"/>
          </w:tcPr>
          <w:p w14:paraId="72851D4A">
            <w:pPr>
              <w:pStyle w:val="33"/>
              <w:rPr>
                <w:color w:val="auto"/>
              </w:rPr>
            </w:pPr>
            <w:r>
              <w:rPr>
                <w:color w:val="auto"/>
              </w:rPr>
              <w:t>1.5</w:t>
            </w:r>
          </w:p>
        </w:tc>
      </w:tr>
      <w:tr w14:paraId="3C15E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562ACB93">
            <w:pPr>
              <w:pStyle w:val="33"/>
              <w:rPr>
                <w:color w:val="auto"/>
              </w:rPr>
            </w:pPr>
          </w:p>
        </w:tc>
        <w:tc>
          <w:tcPr>
            <w:tcW w:w="1070" w:type="pct"/>
            <w:noWrap/>
            <w:vAlign w:val="center"/>
          </w:tcPr>
          <w:p w14:paraId="42D0A509">
            <w:pPr>
              <w:pStyle w:val="33"/>
              <w:rPr>
                <w:color w:val="auto"/>
              </w:rPr>
            </w:pPr>
            <w:r>
              <w:rPr>
                <w:color w:val="auto"/>
              </w:rPr>
              <w:t>2025.3.13</w:t>
            </w:r>
          </w:p>
        </w:tc>
        <w:tc>
          <w:tcPr>
            <w:tcW w:w="725" w:type="pct"/>
            <w:noWrap/>
            <w:vAlign w:val="center"/>
          </w:tcPr>
          <w:p w14:paraId="595833EB">
            <w:pPr>
              <w:pStyle w:val="33"/>
              <w:rPr>
                <w:color w:val="auto"/>
              </w:rPr>
            </w:pPr>
            <w:r>
              <w:rPr>
                <w:color w:val="auto"/>
              </w:rPr>
              <w:t>3</w:t>
            </w:r>
          </w:p>
        </w:tc>
        <w:tc>
          <w:tcPr>
            <w:tcW w:w="753" w:type="pct"/>
            <w:noWrap/>
          </w:tcPr>
          <w:p w14:paraId="27CC9C8F">
            <w:pPr>
              <w:pStyle w:val="33"/>
              <w:rPr>
                <w:color w:val="auto"/>
              </w:rPr>
            </w:pPr>
            <w:r>
              <w:rPr>
                <w:rFonts w:hint="eastAsia"/>
                <w:color w:val="auto"/>
              </w:rPr>
              <w:t>4L</w:t>
            </w:r>
          </w:p>
        </w:tc>
        <w:tc>
          <w:tcPr>
            <w:tcW w:w="904" w:type="pct"/>
            <w:noWrap/>
            <w:vAlign w:val="center"/>
          </w:tcPr>
          <w:p w14:paraId="6F9ED9C9">
            <w:pPr>
              <w:pStyle w:val="33"/>
              <w:rPr>
                <w:color w:val="auto"/>
              </w:rPr>
            </w:pPr>
            <w:r>
              <w:rPr>
                <w:color w:val="auto"/>
              </w:rPr>
              <w:t>5.2</w:t>
            </w:r>
          </w:p>
        </w:tc>
      </w:tr>
      <w:tr w14:paraId="585C6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2FE2907E">
            <w:pPr>
              <w:pStyle w:val="33"/>
              <w:rPr>
                <w:color w:val="auto"/>
              </w:rPr>
            </w:pPr>
          </w:p>
        </w:tc>
        <w:tc>
          <w:tcPr>
            <w:tcW w:w="1070" w:type="pct"/>
            <w:noWrap/>
            <w:vAlign w:val="center"/>
          </w:tcPr>
          <w:p w14:paraId="21CDF80F">
            <w:pPr>
              <w:pStyle w:val="33"/>
              <w:rPr>
                <w:color w:val="auto"/>
              </w:rPr>
            </w:pPr>
            <w:r>
              <w:rPr>
                <w:color w:val="auto"/>
              </w:rPr>
              <w:t>2025.4.11</w:t>
            </w:r>
          </w:p>
        </w:tc>
        <w:tc>
          <w:tcPr>
            <w:tcW w:w="725" w:type="pct"/>
            <w:noWrap/>
            <w:vAlign w:val="center"/>
          </w:tcPr>
          <w:p w14:paraId="75B21975">
            <w:pPr>
              <w:pStyle w:val="33"/>
              <w:rPr>
                <w:color w:val="auto"/>
              </w:rPr>
            </w:pPr>
            <w:r>
              <w:rPr>
                <w:color w:val="auto"/>
              </w:rPr>
              <w:t>3</w:t>
            </w:r>
          </w:p>
        </w:tc>
        <w:tc>
          <w:tcPr>
            <w:tcW w:w="753" w:type="pct"/>
            <w:noWrap/>
          </w:tcPr>
          <w:p w14:paraId="4C879EAE">
            <w:pPr>
              <w:pStyle w:val="33"/>
              <w:rPr>
                <w:color w:val="auto"/>
              </w:rPr>
            </w:pPr>
            <w:r>
              <w:rPr>
                <w:rFonts w:hint="eastAsia"/>
                <w:color w:val="auto"/>
              </w:rPr>
              <w:t>4L</w:t>
            </w:r>
          </w:p>
        </w:tc>
        <w:tc>
          <w:tcPr>
            <w:tcW w:w="904" w:type="pct"/>
            <w:noWrap/>
            <w:vAlign w:val="center"/>
          </w:tcPr>
          <w:p w14:paraId="09DF58C0">
            <w:pPr>
              <w:pStyle w:val="33"/>
              <w:rPr>
                <w:color w:val="auto"/>
              </w:rPr>
            </w:pPr>
            <w:r>
              <w:rPr>
                <w:color w:val="auto"/>
              </w:rPr>
              <w:t>6.1</w:t>
            </w:r>
          </w:p>
        </w:tc>
      </w:tr>
      <w:tr w14:paraId="780A5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6B17CAC5">
            <w:pPr>
              <w:pStyle w:val="33"/>
              <w:rPr>
                <w:color w:val="auto"/>
              </w:rPr>
            </w:pPr>
          </w:p>
        </w:tc>
        <w:tc>
          <w:tcPr>
            <w:tcW w:w="1070" w:type="pct"/>
            <w:noWrap/>
            <w:vAlign w:val="center"/>
          </w:tcPr>
          <w:p w14:paraId="0ACAD245">
            <w:pPr>
              <w:pStyle w:val="33"/>
              <w:rPr>
                <w:color w:val="auto"/>
              </w:rPr>
            </w:pPr>
            <w:r>
              <w:rPr>
                <w:color w:val="auto"/>
              </w:rPr>
              <w:t>2025.5.7</w:t>
            </w:r>
          </w:p>
        </w:tc>
        <w:tc>
          <w:tcPr>
            <w:tcW w:w="725" w:type="pct"/>
            <w:noWrap/>
            <w:vAlign w:val="center"/>
          </w:tcPr>
          <w:p w14:paraId="21F1475B">
            <w:pPr>
              <w:pStyle w:val="33"/>
              <w:rPr>
                <w:color w:val="auto"/>
              </w:rPr>
            </w:pPr>
            <w:r>
              <w:rPr>
                <w:color w:val="auto"/>
              </w:rPr>
              <w:t>3</w:t>
            </w:r>
          </w:p>
        </w:tc>
        <w:tc>
          <w:tcPr>
            <w:tcW w:w="753" w:type="pct"/>
            <w:noWrap/>
            <w:vAlign w:val="center"/>
          </w:tcPr>
          <w:p w14:paraId="404B40EE">
            <w:pPr>
              <w:pStyle w:val="33"/>
              <w:rPr>
                <w:color w:val="auto"/>
              </w:rPr>
            </w:pPr>
            <w:r>
              <w:rPr>
                <w:color w:val="auto"/>
              </w:rPr>
              <w:t>5</w:t>
            </w:r>
          </w:p>
        </w:tc>
        <w:tc>
          <w:tcPr>
            <w:tcW w:w="904" w:type="pct"/>
            <w:noWrap/>
            <w:vAlign w:val="center"/>
          </w:tcPr>
          <w:p w14:paraId="2206C042">
            <w:pPr>
              <w:pStyle w:val="33"/>
              <w:rPr>
                <w:color w:val="auto"/>
              </w:rPr>
            </w:pPr>
            <w:r>
              <w:rPr>
                <w:color w:val="auto"/>
              </w:rPr>
              <w:t>5.3</w:t>
            </w:r>
          </w:p>
        </w:tc>
      </w:tr>
      <w:tr w14:paraId="44713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3FAA303C">
            <w:pPr>
              <w:pStyle w:val="33"/>
              <w:rPr>
                <w:color w:val="auto"/>
              </w:rPr>
            </w:pPr>
          </w:p>
        </w:tc>
        <w:tc>
          <w:tcPr>
            <w:tcW w:w="1070" w:type="pct"/>
            <w:noWrap/>
            <w:vAlign w:val="center"/>
          </w:tcPr>
          <w:p w14:paraId="7F094E3A">
            <w:pPr>
              <w:pStyle w:val="33"/>
              <w:rPr>
                <w:color w:val="auto"/>
              </w:rPr>
            </w:pPr>
            <w:r>
              <w:rPr>
                <w:color w:val="auto"/>
              </w:rPr>
              <w:t>2025.6.18</w:t>
            </w:r>
          </w:p>
        </w:tc>
        <w:tc>
          <w:tcPr>
            <w:tcW w:w="725" w:type="pct"/>
            <w:noWrap/>
            <w:vAlign w:val="center"/>
          </w:tcPr>
          <w:p w14:paraId="230AFE82">
            <w:pPr>
              <w:pStyle w:val="33"/>
              <w:rPr>
                <w:color w:val="auto"/>
              </w:rPr>
            </w:pPr>
            <w:r>
              <w:rPr>
                <w:color w:val="auto"/>
              </w:rPr>
              <w:t>3</w:t>
            </w:r>
          </w:p>
        </w:tc>
        <w:tc>
          <w:tcPr>
            <w:tcW w:w="753" w:type="pct"/>
            <w:noWrap/>
            <w:vAlign w:val="center"/>
          </w:tcPr>
          <w:p w14:paraId="77D28961">
            <w:pPr>
              <w:pStyle w:val="33"/>
              <w:rPr>
                <w:color w:val="auto"/>
              </w:rPr>
            </w:pPr>
            <w:r>
              <w:rPr>
                <w:color w:val="auto"/>
              </w:rPr>
              <w:t>5</w:t>
            </w:r>
          </w:p>
        </w:tc>
        <w:tc>
          <w:tcPr>
            <w:tcW w:w="904" w:type="pct"/>
            <w:noWrap/>
            <w:vAlign w:val="center"/>
          </w:tcPr>
          <w:p w14:paraId="62ED4B5E">
            <w:pPr>
              <w:pStyle w:val="33"/>
              <w:rPr>
                <w:color w:val="auto"/>
              </w:rPr>
            </w:pPr>
            <w:r>
              <w:rPr>
                <w:color w:val="auto"/>
              </w:rPr>
              <w:t>7.8</w:t>
            </w:r>
          </w:p>
        </w:tc>
      </w:tr>
      <w:tr w14:paraId="74C62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471E5AD2">
            <w:pPr>
              <w:pStyle w:val="33"/>
              <w:rPr>
                <w:color w:val="auto"/>
              </w:rPr>
            </w:pPr>
          </w:p>
        </w:tc>
        <w:tc>
          <w:tcPr>
            <w:tcW w:w="1070" w:type="pct"/>
            <w:noWrap/>
            <w:vAlign w:val="center"/>
          </w:tcPr>
          <w:p w14:paraId="728F0746">
            <w:pPr>
              <w:pStyle w:val="33"/>
              <w:rPr>
                <w:color w:val="auto"/>
              </w:rPr>
            </w:pPr>
            <w:r>
              <w:rPr>
                <w:color w:val="auto"/>
              </w:rPr>
              <w:t>2025.7.2</w:t>
            </w:r>
          </w:p>
        </w:tc>
        <w:tc>
          <w:tcPr>
            <w:tcW w:w="725" w:type="pct"/>
            <w:noWrap/>
            <w:vAlign w:val="center"/>
          </w:tcPr>
          <w:p w14:paraId="7416F23A">
            <w:pPr>
              <w:pStyle w:val="33"/>
              <w:rPr>
                <w:color w:val="auto"/>
              </w:rPr>
            </w:pPr>
            <w:r>
              <w:rPr>
                <w:color w:val="auto"/>
              </w:rPr>
              <w:t>3</w:t>
            </w:r>
          </w:p>
        </w:tc>
        <w:tc>
          <w:tcPr>
            <w:tcW w:w="753" w:type="pct"/>
            <w:noWrap/>
          </w:tcPr>
          <w:p w14:paraId="2F578731">
            <w:pPr>
              <w:pStyle w:val="33"/>
              <w:rPr>
                <w:color w:val="auto"/>
              </w:rPr>
            </w:pPr>
            <w:r>
              <w:rPr>
                <w:rFonts w:hint="eastAsia"/>
                <w:color w:val="auto"/>
              </w:rPr>
              <w:t>4L</w:t>
            </w:r>
          </w:p>
        </w:tc>
        <w:tc>
          <w:tcPr>
            <w:tcW w:w="904" w:type="pct"/>
            <w:noWrap/>
            <w:vAlign w:val="center"/>
          </w:tcPr>
          <w:p w14:paraId="4BEA40D6">
            <w:pPr>
              <w:pStyle w:val="33"/>
              <w:rPr>
                <w:color w:val="auto"/>
              </w:rPr>
            </w:pPr>
            <w:r>
              <w:rPr>
                <w:color w:val="auto"/>
              </w:rPr>
              <w:t>5.6</w:t>
            </w:r>
          </w:p>
        </w:tc>
      </w:tr>
      <w:tr w14:paraId="6838B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71466784">
            <w:pPr>
              <w:pStyle w:val="33"/>
              <w:rPr>
                <w:color w:val="auto"/>
              </w:rPr>
            </w:pPr>
          </w:p>
        </w:tc>
        <w:tc>
          <w:tcPr>
            <w:tcW w:w="1070" w:type="pct"/>
            <w:noWrap/>
            <w:vAlign w:val="center"/>
          </w:tcPr>
          <w:p w14:paraId="34FE163C">
            <w:pPr>
              <w:pStyle w:val="33"/>
              <w:rPr>
                <w:color w:val="auto"/>
              </w:rPr>
            </w:pPr>
            <w:r>
              <w:rPr>
                <w:color w:val="auto"/>
              </w:rPr>
              <w:t>2025.8.12</w:t>
            </w:r>
          </w:p>
        </w:tc>
        <w:tc>
          <w:tcPr>
            <w:tcW w:w="725" w:type="pct"/>
            <w:noWrap/>
            <w:vAlign w:val="center"/>
          </w:tcPr>
          <w:p w14:paraId="12A7C933">
            <w:pPr>
              <w:pStyle w:val="33"/>
              <w:rPr>
                <w:color w:val="auto"/>
              </w:rPr>
            </w:pPr>
            <w:r>
              <w:rPr>
                <w:color w:val="auto"/>
              </w:rPr>
              <w:t>2</w:t>
            </w:r>
          </w:p>
        </w:tc>
        <w:tc>
          <w:tcPr>
            <w:tcW w:w="753" w:type="pct"/>
            <w:noWrap/>
          </w:tcPr>
          <w:p w14:paraId="49DE755B">
            <w:pPr>
              <w:pStyle w:val="33"/>
              <w:rPr>
                <w:color w:val="auto"/>
              </w:rPr>
            </w:pPr>
            <w:r>
              <w:rPr>
                <w:rFonts w:hint="eastAsia"/>
                <w:color w:val="auto"/>
              </w:rPr>
              <w:t>4L</w:t>
            </w:r>
          </w:p>
        </w:tc>
        <w:tc>
          <w:tcPr>
            <w:tcW w:w="904" w:type="pct"/>
            <w:noWrap/>
            <w:vAlign w:val="center"/>
          </w:tcPr>
          <w:p w14:paraId="7648F700">
            <w:pPr>
              <w:pStyle w:val="33"/>
              <w:rPr>
                <w:color w:val="auto"/>
              </w:rPr>
            </w:pPr>
            <w:r>
              <w:rPr>
                <w:color w:val="auto"/>
              </w:rPr>
              <w:t>7.3</w:t>
            </w:r>
          </w:p>
        </w:tc>
      </w:tr>
      <w:tr w14:paraId="74715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63E2A6AB">
            <w:pPr>
              <w:pStyle w:val="33"/>
              <w:rPr>
                <w:color w:val="auto"/>
              </w:rPr>
            </w:pPr>
          </w:p>
        </w:tc>
        <w:tc>
          <w:tcPr>
            <w:tcW w:w="1070" w:type="pct"/>
            <w:noWrap/>
            <w:vAlign w:val="center"/>
          </w:tcPr>
          <w:p w14:paraId="0920CE2F">
            <w:pPr>
              <w:pStyle w:val="33"/>
              <w:rPr>
                <w:color w:val="auto"/>
              </w:rPr>
            </w:pPr>
            <w:r>
              <w:rPr>
                <w:color w:val="auto"/>
              </w:rPr>
              <w:t>2025.9.16</w:t>
            </w:r>
          </w:p>
        </w:tc>
        <w:tc>
          <w:tcPr>
            <w:tcW w:w="725" w:type="pct"/>
            <w:noWrap/>
            <w:vAlign w:val="center"/>
          </w:tcPr>
          <w:p w14:paraId="4A928F4E">
            <w:pPr>
              <w:pStyle w:val="33"/>
              <w:rPr>
                <w:color w:val="auto"/>
              </w:rPr>
            </w:pPr>
            <w:r>
              <w:rPr>
                <w:color w:val="auto"/>
              </w:rPr>
              <w:t>2</w:t>
            </w:r>
          </w:p>
        </w:tc>
        <w:tc>
          <w:tcPr>
            <w:tcW w:w="753" w:type="pct"/>
            <w:noWrap/>
          </w:tcPr>
          <w:p w14:paraId="73907FF2">
            <w:pPr>
              <w:pStyle w:val="33"/>
              <w:rPr>
                <w:color w:val="auto"/>
              </w:rPr>
            </w:pPr>
            <w:r>
              <w:rPr>
                <w:rFonts w:hint="eastAsia"/>
                <w:color w:val="auto"/>
              </w:rPr>
              <w:t>4L</w:t>
            </w:r>
          </w:p>
        </w:tc>
        <w:tc>
          <w:tcPr>
            <w:tcW w:w="904" w:type="pct"/>
            <w:noWrap/>
            <w:vAlign w:val="center"/>
          </w:tcPr>
          <w:p w14:paraId="0989543D">
            <w:pPr>
              <w:pStyle w:val="33"/>
              <w:rPr>
                <w:color w:val="auto"/>
              </w:rPr>
            </w:pPr>
            <w:r>
              <w:rPr>
                <w:color w:val="auto"/>
              </w:rPr>
              <w:t>2.7</w:t>
            </w:r>
          </w:p>
        </w:tc>
      </w:tr>
      <w:tr w14:paraId="677FC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3BEC4CDA">
            <w:pPr>
              <w:pStyle w:val="33"/>
              <w:rPr>
                <w:color w:val="auto"/>
              </w:rPr>
            </w:pPr>
          </w:p>
        </w:tc>
        <w:tc>
          <w:tcPr>
            <w:tcW w:w="1070" w:type="pct"/>
            <w:noWrap/>
            <w:vAlign w:val="center"/>
          </w:tcPr>
          <w:p w14:paraId="734D2620">
            <w:pPr>
              <w:pStyle w:val="33"/>
              <w:rPr>
                <w:color w:val="auto"/>
              </w:rPr>
            </w:pPr>
            <w:r>
              <w:rPr>
                <w:color w:val="auto"/>
              </w:rPr>
              <w:t>2025.10.22</w:t>
            </w:r>
          </w:p>
        </w:tc>
        <w:tc>
          <w:tcPr>
            <w:tcW w:w="725" w:type="pct"/>
            <w:noWrap/>
            <w:vAlign w:val="center"/>
          </w:tcPr>
          <w:p w14:paraId="71BC9F25">
            <w:pPr>
              <w:pStyle w:val="33"/>
              <w:rPr>
                <w:color w:val="auto"/>
              </w:rPr>
            </w:pPr>
            <w:r>
              <w:rPr>
                <w:color w:val="auto"/>
              </w:rPr>
              <w:t>3</w:t>
            </w:r>
          </w:p>
        </w:tc>
        <w:tc>
          <w:tcPr>
            <w:tcW w:w="753" w:type="pct"/>
            <w:noWrap/>
          </w:tcPr>
          <w:p w14:paraId="6C3242A7">
            <w:pPr>
              <w:pStyle w:val="33"/>
              <w:rPr>
                <w:color w:val="auto"/>
              </w:rPr>
            </w:pPr>
            <w:r>
              <w:rPr>
                <w:rFonts w:hint="eastAsia"/>
                <w:color w:val="auto"/>
              </w:rPr>
              <w:t>4L</w:t>
            </w:r>
          </w:p>
        </w:tc>
        <w:tc>
          <w:tcPr>
            <w:tcW w:w="904" w:type="pct"/>
            <w:noWrap/>
            <w:vAlign w:val="center"/>
          </w:tcPr>
          <w:p w14:paraId="5F33F661">
            <w:pPr>
              <w:pStyle w:val="33"/>
              <w:rPr>
                <w:color w:val="auto"/>
              </w:rPr>
            </w:pPr>
            <w:r>
              <w:rPr>
                <w:color w:val="auto"/>
              </w:rPr>
              <w:t>1.6</w:t>
            </w:r>
          </w:p>
        </w:tc>
      </w:tr>
      <w:tr w14:paraId="4A7B3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2D2FD625">
            <w:pPr>
              <w:pStyle w:val="33"/>
              <w:rPr>
                <w:color w:val="auto"/>
              </w:rPr>
            </w:pPr>
          </w:p>
        </w:tc>
        <w:tc>
          <w:tcPr>
            <w:tcW w:w="1070" w:type="pct"/>
            <w:noWrap/>
            <w:vAlign w:val="center"/>
          </w:tcPr>
          <w:p w14:paraId="1F370576">
            <w:pPr>
              <w:pStyle w:val="33"/>
              <w:rPr>
                <w:color w:val="auto"/>
              </w:rPr>
            </w:pPr>
            <w:r>
              <w:rPr>
                <w:color w:val="auto"/>
              </w:rPr>
              <w:t>2025.11.12</w:t>
            </w:r>
          </w:p>
        </w:tc>
        <w:tc>
          <w:tcPr>
            <w:tcW w:w="725" w:type="pct"/>
            <w:noWrap/>
            <w:vAlign w:val="center"/>
          </w:tcPr>
          <w:p w14:paraId="1CD9464D">
            <w:pPr>
              <w:pStyle w:val="33"/>
              <w:rPr>
                <w:color w:val="auto"/>
              </w:rPr>
            </w:pPr>
            <w:r>
              <w:rPr>
                <w:color w:val="auto"/>
              </w:rPr>
              <w:t>5</w:t>
            </w:r>
          </w:p>
        </w:tc>
        <w:tc>
          <w:tcPr>
            <w:tcW w:w="753" w:type="pct"/>
            <w:noWrap/>
            <w:vAlign w:val="center"/>
          </w:tcPr>
          <w:p w14:paraId="566AC7EC">
            <w:pPr>
              <w:pStyle w:val="33"/>
              <w:rPr>
                <w:color w:val="auto"/>
              </w:rPr>
            </w:pPr>
            <w:r>
              <w:rPr>
                <w:color w:val="auto"/>
              </w:rPr>
              <w:t>5</w:t>
            </w:r>
          </w:p>
        </w:tc>
        <w:tc>
          <w:tcPr>
            <w:tcW w:w="904" w:type="pct"/>
            <w:noWrap/>
            <w:vAlign w:val="center"/>
          </w:tcPr>
          <w:p w14:paraId="59847B4E">
            <w:pPr>
              <w:pStyle w:val="33"/>
              <w:rPr>
                <w:color w:val="auto"/>
              </w:rPr>
            </w:pPr>
            <w:r>
              <w:rPr>
                <w:color w:val="auto"/>
              </w:rPr>
              <w:t>2.7</w:t>
            </w:r>
          </w:p>
        </w:tc>
      </w:tr>
      <w:tr w14:paraId="7CF60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49" w:type="pct"/>
            <w:vMerge w:val="continue"/>
            <w:vAlign w:val="center"/>
          </w:tcPr>
          <w:p w14:paraId="754479E5">
            <w:pPr>
              <w:pStyle w:val="33"/>
              <w:rPr>
                <w:color w:val="auto"/>
              </w:rPr>
            </w:pPr>
          </w:p>
        </w:tc>
        <w:tc>
          <w:tcPr>
            <w:tcW w:w="1070" w:type="pct"/>
            <w:noWrap/>
            <w:vAlign w:val="center"/>
          </w:tcPr>
          <w:p w14:paraId="5F053CCD">
            <w:pPr>
              <w:pStyle w:val="33"/>
              <w:rPr>
                <w:color w:val="auto"/>
              </w:rPr>
            </w:pPr>
            <w:r>
              <w:rPr>
                <w:color w:val="auto"/>
              </w:rPr>
              <w:t>2025.12.15</w:t>
            </w:r>
          </w:p>
        </w:tc>
        <w:tc>
          <w:tcPr>
            <w:tcW w:w="725" w:type="pct"/>
            <w:noWrap/>
            <w:vAlign w:val="center"/>
          </w:tcPr>
          <w:p w14:paraId="66FA72FD">
            <w:pPr>
              <w:pStyle w:val="33"/>
              <w:rPr>
                <w:color w:val="auto"/>
              </w:rPr>
            </w:pPr>
            <w:r>
              <w:rPr>
                <w:color w:val="auto"/>
              </w:rPr>
              <w:t>5</w:t>
            </w:r>
          </w:p>
        </w:tc>
        <w:tc>
          <w:tcPr>
            <w:tcW w:w="753" w:type="pct"/>
            <w:noWrap/>
            <w:vAlign w:val="center"/>
          </w:tcPr>
          <w:p w14:paraId="311A510B">
            <w:pPr>
              <w:pStyle w:val="33"/>
              <w:rPr>
                <w:color w:val="auto"/>
              </w:rPr>
            </w:pPr>
            <w:r>
              <w:rPr>
                <w:color w:val="auto"/>
              </w:rPr>
              <w:t>6</w:t>
            </w:r>
          </w:p>
        </w:tc>
        <w:tc>
          <w:tcPr>
            <w:tcW w:w="904" w:type="pct"/>
            <w:noWrap/>
            <w:vAlign w:val="center"/>
          </w:tcPr>
          <w:p w14:paraId="59A3D382">
            <w:pPr>
              <w:pStyle w:val="33"/>
              <w:rPr>
                <w:color w:val="auto"/>
              </w:rPr>
            </w:pPr>
            <w:r>
              <w:rPr>
                <w:color w:val="auto"/>
              </w:rPr>
              <w:t>3</w:t>
            </w:r>
          </w:p>
        </w:tc>
      </w:tr>
      <w:tr w14:paraId="3257A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18" w:type="pct"/>
            <w:gridSpan w:val="2"/>
            <w:vAlign w:val="center"/>
          </w:tcPr>
          <w:p w14:paraId="0615AFDB">
            <w:pPr>
              <w:pStyle w:val="33"/>
              <w:rPr>
                <w:color w:val="auto"/>
              </w:rPr>
            </w:pPr>
            <w:r>
              <w:rPr>
                <w:rFonts w:hint="eastAsia"/>
                <w:color w:val="auto"/>
              </w:rPr>
              <w:t>达标情况</w:t>
            </w:r>
          </w:p>
        </w:tc>
        <w:tc>
          <w:tcPr>
            <w:tcW w:w="725" w:type="pct"/>
            <w:noWrap/>
            <w:vAlign w:val="center"/>
          </w:tcPr>
          <w:p w14:paraId="09082753">
            <w:pPr>
              <w:pStyle w:val="33"/>
              <w:rPr>
                <w:color w:val="auto"/>
              </w:rPr>
            </w:pPr>
            <w:r>
              <w:rPr>
                <w:rFonts w:hint="eastAsia"/>
                <w:color w:val="auto"/>
              </w:rPr>
              <w:t>达标</w:t>
            </w:r>
          </w:p>
        </w:tc>
        <w:tc>
          <w:tcPr>
            <w:tcW w:w="753" w:type="pct"/>
            <w:noWrap/>
          </w:tcPr>
          <w:p w14:paraId="18D94890">
            <w:pPr>
              <w:pStyle w:val="33"/>
              <w:rPr>
                <w:color w:val="auto"/>
              </w:rPr>
            </w:pPr>
            <w:r>
              <w:rPr>
                <w:rFonts w:hint="eastAsia"/>
                <w:color w:val="auto"/>
              </w:rPr>
              <w:t>达标</w:t>
            </w:r>
          </w:p>
        </w:tc>
        <w:tc>
          <w:tcPr>
            <w:tcW w:w="904" w:type="pct"/>
            <w:noWrap/>
          </w:tcPr>
          <w:p w14:paraId="62C172A2">
            <w:pPr>
              <w:pStyle w:val="33"/>
              <w:rPr>
                <w:color w:val="auto"/>
              </w:rPr>
            </w:pPr>
            <w:r>
              <w:rPr>
                <w:rFonts w:hint="eastAsia"/>
                <w:color w:val="auto"/>
              </w:rPr>
              <w:t>达标</w:t>
            </w:r>
          </w:p>
        </w:tc>
      </w:tr>
      <w:tr w14:paraId="4C947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18" w:type="pct"/>
            <w:gridSpan w:val="2"/>
            <w:vAlign w:val="center"/>
          </w:tcPr>
          <w:p w14:paraId="67672C52">
            <w:pPr>
              <w:pStyle w:val="33"/>
              <w:rPr>
                <w:color w:val="auto"/>
              </w:rPr>
            </w:pPr>
            <w:r>
              <w:rPr>
                <w:color w:val="auto"/>
              </w:rPr>
              <w:t>GB3544-2008表2制浆和造纸联合生产企业</w:t>
            </w:r>
          </w:p>
        </w:tc>
        <w:tc>
          <w:tcPr>
            <w:tcW w:w="725" w:type="pct"/>
            <w:noWrap/>
            <w:vAlign w:val="center"/>
          </w:tcPr>
          <w:p w14:paraId="7C1C223F">
            <w:pPr>
              <w:pStyle w:val="33"/>
              <w:rPr>
                <w:color w:val="auto"/>
              </w:rPr>
            </w:pPr>
            <w:r>
              <w:rPr>
                <w:color w:val="auto"/>
              </w:rPr>
              <w:t>50</w:t>
            </w:r>
          </w:p>
        </w:tc>
        <w:tc>
          <w:tcPr>
            <w:tcW w:w="753" w:type="pct"/>
            <w:noWrap/>
            <w:vAlign w:val="center"/>
          </w:tcPr>
          <w:p w14:paraId="5E5AD0A2">
            <w:pPr>
              <w:pStyle w:val="33"/>
              <w:rPr>
                <w:color w:val="auto"/>
              </w:rPr>
            </w:pPr>
            <w:r>
              <w:rPr>
                <w:color w:val="auto"/>
              </w:rPr>
              <w:t>30</w:t>
            </w:r>
          </w:p>
        </w:tc>
        <w:tc>
          <w:tcPr>
            <w:tcW w:w="904" w:type="pct"/>
            <w:noWrap/>
            <w:vAlign w:val="center"/>
          </w:tcPr>
          <w:p w14:paraId="5D02B988">
            <w:pPr>
              <w:pStyle w:val="33"/>
              <w:rPr>
                <w:color w:val="auto"/>
              </w:rPr>
            </w:pPr>
            <w:r>
              <w:rPr>
                <w:color w:val="auto"/>
              </w:rPr>
              <w:t>20</w:t>
            </w:r>
          </w:p>
        </w:tc>
      </w:tr>
    </w:tbl>
    <w:p w14:paraId="76E7C3F1">
      <w:pPr>
        <w:pStyle w:val="7"/>
        <w:rPr>
          <w:color w:val="auto"/>
          <w:sz w:val="2"/>
        </w:rPr>
      </w:pPr>
      <w:r>
        <w:rPr>
          <w:color w:val="auto"/>
        </w:rPr>
        <w:t>现有工程废水总排放口</w:t>
      </w:r>
      <w:r>
        <w:rPr>
          <w:rFonts w:eastAsia="Times New Roman" w:cs="Times New Roman"/>
          <w:color w:val="auto"/>
        </w:rPr>
        <w:t>20</w:t>
      </w:r>
      <w:r>
        <w:rPr>
          <w:color w:val="auto"/>
        </w:rPr>
        <w:t>25年在线监测结果</w:t>
      </w:r>
      <w:r>
        <w:rPr>
          <w:rFonts w:hint="eastAsia"/>
          <w:color w:val="auto"/>
        </w:rPr>
        <w:t xml:space="preserve">  </w:t>
      </w:r>
      <w:r>
        <w:rPr>
          <w:color w:val="auto"/>
          <w:spacing w:val="-3"/>
        </w:rPr>
        <w:t>单位：</w:t>
      </w:r>
      <w:r>
        <w:rPr>
          <w:rFonts w:eastAsia="Times New Roman" w:cs="Times New Roman"/>
          <w:color w:val="auto"/>
          <w:spacing w:val="-3"/>
        </w:rPr>
        <w:t>mg/L</w:t>
      </w:r>
      <w:r>
        <w:rPr>
          <w:rFonts w:hint="eastAsia"/>
          <w:color w:val="auto"/>
          <w:spacing w:val="-3"/>
        </w:rPr>
        <w:t>，</w:t>
      </w:r>
      <w:r>
        <w:rPr>
          <w:rFonts w:eastAsia="Times New Roman" w:cs="Times New Roman"/>
          <w:color w:val="auto"/>
          <w:spacing w:val="-3"/>
        </w:rPr>
        <w:t>pH</w:t>
      </w:r>
      <w:r>
        <w:rPr>
          <w:rFonts w:hint="eastAsia"/>
          <w:color w:val="auto"/>
          <w:spacing w:val="-3"/>
        </w:rPr>
        <w:t>无量纲</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2833"/>
        <w:gridCol w:w="1231"/>
        <w:gridCol w:w="1441"/>
        <w:gridCol w:w="1231"/>
        <w:gridCol w:w="1231"/>
        <w:gridCol w:w="1319"/>
      </w:tblGrid>
      <w:tr w14:paraId="4ECF79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1559" w:type="pct"/>
            <w:vAlign w:val="center"/>
          </w:tcPr>
          <w:p w14:paraId="3454EEFC">
            <w:pPr>
              <w:pStyle w:val="33"/>
              <w:rPr>
                <w:b/>
                <w:bCs/>
                <w:color w:val="auto"/>
              </w:rPr>
            </w:pPr>
            <w:r>
              <w:rPr>
                <w:b/>
                <w:bCs/>
                <w:color w:val="auto"/>
              </w:rPr>
              <w:t>项目</w:t>
            </w:r>
          </w:p>
        </w:tc>
        <w:tc>
          <w:tcPr>
            <w:tcW w:w="555" w:type="pct"/>
            <w:vAlign w:val="center"/>
          </w:tcPr>
          <w:p w14:paraId="39610BE5">
            <w:pPr>
              <w:pStyle w:val="33"/>
              <w:rPr>
                <w:b/>
                <w:bCs/>
                <w:color w:val="auto"/>
              </w:rPr>
            </w:pPr>
            <w:r>
              <w:rPr>
                <w:b/>
                <w:bCs/>
                <w:color w:val="auto"/>
              </w:rPr>
              <w:t>pH</w:t>
            </w:r>
          </w:p>
        </w:tc>
        <w:tc>
          <w:tcPr>
            <w:tcW w:w="778" w:type="pct"/>
            <w:vAlign w:val="center"/>
          </w:tcPr>
          <w:p w14:paraId="5B121B91">
            <w:pPr>
              <w:pStyle w:val="33"/>
              <w:rPr>
                <w:b/>
                <w:bCs/>
                <w:color w:val="auto"/>
              </w:rPr>
            </w:pPr>
            <w:r>
              <w:rPr>
                <w:b/>
                <w:bCs/>
                <w:color w:val="auto"/>
              </w:rPr>
              <w:t>CODCr</w:t>
            </w:r>
          </w:p>
        </w:tc>
        <w:tc>
          <w:tcPr>
            <w:tcW w:w="639" w:type="pct"/>
            <w:vAlign w:val="center"/>
          </w:tcPr>
          <w:p w14:paraId="60B87F89">
            <w:pPr>
              <w:pStyle w:val="33"/>
              <w:rPr>
                <w:b/>
                <w:bCs/>
                <w:color w:val="auto"/>
              </w:rPr>
            </w:pPr>
            <w:r>
              <w:rPr>
                <w:b/>
                <w:bCs/>
                <w:color w:val="auto"/>
              </w:rPr>
              <w:t>氨氮</w:t>
            </w:r>
          </w:p>
        </w:tc>
        <w:tc>
          <w:tcPr>
            <w:tcW w:w="696" w:type="pct"/>
            <w:vAlign w:val="center"/>
          </w:tcPr>
          <w:p w14:paraId="2101A042">
            <w:pPr>
              <w:pStyle w:val="33"/>
              <w:rPr>
                <w:b/>
                <w:bCs/>
                <w:color w:val="auto"/>
              </w:rPr>
            </w:pPr>
            <w:r>
              <w:rPr>
                <w:b/>
                <w:bCs/>
                <w:color w:val="auto"/>
              </w:rPr>
              <w:t>总氮</w:t>
            </w:r>
          </w:p>
        </w:tc>
        <w:tc>
          <w:tcPr>
            <w:tcW w:w="773" w:type="pct"/>
            <w:vAlign w:val="center"/>
          </w:tcPr>
          <w:p w14:paraId="566DD69F">
            <w:pPr>
              <w:pStyle w:val="33"/>
              <w:rPr>
                <w:b/>
                <w:bCs/>
                <w:color w:val="auto"/>
              </w:rPr>
            </w:pPr>
            <w:r>
              <w:rPr>
                <w:b/>
                <w:bCs/>
                <w:color w:val="auto"/>
              </w:rPr>
              <w:t>总磷</w:t>
            </w:r>
          </w:p>
        </w:tc>
      </w:tr>
      <w:tr w14:paraId="461E70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559" w:type="pct"/>
            <w:vAlign w:val="center"/>
          </w:tcPr>
          <w:p w14:paraId="08624D79">
            <w:pPr>
              <w:pStyle w:val="33"/>
              <w:rPr>
                <w:color w:val="auto"/>
              </w:rPr>
            </w:pPr>
            <w:r>
              <w:rPr>
                <w:color w:val="auto"/>
              </w:rPr>
              <w:t>废水总排放口在线监测</w:t>
            </w:r>
          </w:p>
        </w:tc>
        <w:tc>
          <w:tcPr>
            <w:tcW w:w="555" w:type="pct"/>
            <w:vAlign w:val="center"/>
          </w:tcPr>
          <w:p w14:paraId="3E42C538">
            <w:pPr>
              <w:pStyle w:val="33"/>
              <w:rPr>
                <w:color w:val="auto"/>
              </w:rPr>
            </w:pPr>
            <w:r>
              <w:rPr>
                <w:rFonts w:hint="eastAsia"/>
                <w:color w:val="auto"/>
              </w:rPr>
              <w:t>6.686-7.047</w:t>
            </w:r>
          </w:p>
        </w:tc>
        <w:tc>
          <w:tcPr>
            <w:tcW w:w="778" w:type="pct"/>
            <w:vAlign w:val="center"/>
          </w:tcPr>
          <w:p w14:paraId="2294B9E8">
            <w:pPr>
              <w:pStyle w:val="33"/>
              <w:rPr>
                <w:color w:val="auto"/>
              </w:rPr>
            </w:pPr>
            <w:r>
              <w:rPr>
                <w:rFonts w:hint="eastAsia"/>
                <w:color w:val="auto"/>
              </w:rPr>
              <w:t>31.827-41.365</w:t>
            </w:r>
          </w:p>
        </w:tc>
        <w:tc>
          <w:tcPr>
            <w:tcW w:w="639" w:type="pct"/>
            <w:vAlign w:val="center"/>
          </w:tcPr>
          <w:p w14:paraId="3EACB47A">
            <w:pPr>
              <w:pStyle w:val="33"/>
              <w:rPr>
                <w:color w:val="auto"/>
              </w:rPr>
            </w:pPr>
            <w:r>
              <w:rPr>
                <w:rFonts w:hint="eastAsia"/>
                <w:color w:val="auto"/>
              </w:rPr>
              <w:t>0.542-2.686</w:t>
            </w:r>
          </w:p>
        </w:tc>
        <w:tc>
          <w:tcPr>
            <w:tcW w:w="696" w:type="pct"/>
            <w:vAlign w:val="center"/>
          </w:tcPr>
          <w:p w14:paraId="029472D5">
            <w:pPr>
              <w:pStyle w:val="33"/>
              <w:rPr>
                <w:color w:val="auto"/>
              </w:rPr>
            </w:pPr>
            <w:r>
              <w:rPr>
                <w:rFonts w:hint="eastAsia"/>
                <w:color w:val="auto"/>
              </w:rPr>
              <w:t>2.708-5.163</w:t>
            </w:r>
          </w:p>
        </w:tc>
        <w:tc>
          <w:tcPr>
            <w:tcW w:w="773" w:type="pct"/>
            <w:vAlign w:val="center"/>
          </w:tcPr>
          <w:p w14:paraId="140605EF">
            <w:pPr>
              <w:pStyle w:val="33"/>
              <w:rPr>
                <w:color w:val="auto"/>
              </w:rPr>
            </w:pPr>
            <w:r>
              <w:rPr>
                <w:rFonts w:hint="eastAsia"/>
                <w:color w:val="auto"/>
              </w:rPr>
              <w:t>0.015-0.029</w:t>
            </w:r>
          </w:p>
        </w:tc>
      </w:tr>
      <w:tr w14:paraId="1A2D8B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559" w:type="pct"/>
            <w:vAlign w:val="center"/>
          </w:tcPr>
          <w:p w14:paraId="18C62518">
            <w:pPr>
              <w:pStyle w:val="33"/>
              <w:rPr>
                <w:color w:val="auto"/>
              </w:rPr>
            </w:pPr>
            <w:r>
              <w:rPr>
                <w:color w:val="auto"/>
              </w:rPr>
              <w:t>GB3544-2008表2制浆和造纸联合生产企业</w:t>
            </w:r>
          </w:p>
        </w:tc>
        <w:tc>
          <w:tcPr>
            <w:tcW w:w="555" w:type="pct"/>
            <w:vAlign w:val="center"/>
          </w:tcPr>
          <w:p w14:paraId="0489C045">
            <w:pPr>
              <w:pStyle w:val="33"/>
              <w:rPr>
                <w:color w:val="auto"/>
              </w:rPr>
            </w:pPr>
            <w:r>
              <w:rPr>
                <w:color w:val="auto"/>
              </w:rPr>
              <w:t>6-9</w:t>
            </w:r>
          </w:p>
        </w:tc>
        <w:tc>
          <w:tcPr>
            <w:tcW w:w="778" w:type="pct"/>
            <w:vAlign w:val="center"/>
          </w:tcPr>
          <w:p w14:paraId="33A1D389">
            <w:pPr>
              <w:pStyle w:val="33"/>
              <w:rPr>
                <w:color w:val="auto"/>
              </w:rPr>
            </w:pPr>
            <w:r>
              <w:rPr>
                <w:color w:val="auto"/>
              </w:rPr>
              <w:t>90</w:t>
            </w:r>
          </w:p>
        </w:tc>
        <w:tc>
          <w:tcPr>
            <w:tcW w:w="639" w:type="pct"/>
            <w:vAlign w:val="center"/>
          </w:tcPr>
          <w:p w14:paraId="623CF8A6">
            <w:pPr>
              <w:pStyle w:val="33"/>
              <w:rPr>
                <w:color w:val="auto"/>
              </w:rPr>
            </w:pPr>
            <w:r>
              <w:rPr>
                <w:color w:val="auto"/>
              </w:rPr>
              <w:t>8</w:t>
            </w:r>
          </w:p>
        </w:tc>
        <w:tc>
          <w:tcPr>
            <w:tcW w:w="696" w:type="pct"/>
            <w:vAlign w:val="center"/>
          </w:tcPr>
          <w:p w14:paraId="581BD5E4">
            <w:pPr>
              <w:pStyle w:val="33"/>
              <w:rPr>
                <w:color w:val="auto"/>
              </w:rPr>
            </w:pPr>
            <w:r>
              <w:rPr>
                <w:color w:val="auto"/>
              </w:rPr>
              <w:t>12</w:t>
            </w:r>
          </w:p>
        </w:tc>
        <w:tc>
          <w:tcPr>
            <w:tcW w:w="773" w:type="pct"/>
            <w:vAlign w:val="center"/>
          </w:tcPr>
          <w:p w14:paraId="3EE960A6">
            <w:pPr>
              <w:pStyle w:val="33"/>
              <w:rPr>
                <w:color w:val="auto"/>
              </w:rPr>
            </w:pPr>
            <w:r>
              <w:rPr>
                <w:color w:val="auto"/>
              </w:rPr>
              <w:t>0.8</w:t>
            </w:r>
          </w:p>
        </w:tc>
      </w:tr>
      <w:tr w14:paraId="19BED8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559" w:type="pct"/>
            <w:vAlign w:val="center"/>
          </w:tcPr>
          <w:p w14:paraId="604BE876">
            <w:pPr>
              <w:pStyle w:val="33"/>
              <w:rPr>
                <w:color w:val="auto"/>
              </w:rPr>
            </w:pPr>
            <w:r>
              <w:rPr>
                <w:color w:val="auto"/>
              </w:rPr>
              <w:t>达标情况</w:t>
            </w:r>
          </w:p>
        </w:tc>
        <w:tc>
          <w:tcPr>
            <w:tcW w:w="555" w:type="pct"/>
            <w:vAlign w:val="center"/>
          </w:tcPr>
          <w:p w14:paraId="5B21D25A">
            <w:pPr>
              <w:pStyle w:val="33"/>
              <w:rPr>
                <w:color w:val="auto"/>
              </w:rPr>
            </w:pPr>
            <w:r>
              <w:rPr>
                <w:color w:val="auto"/>
              </w:rPr>
              <w:t>达标</w:t>
            </w:r>
          </w:p>
        </w:tc>
        <w:tc>
          <w:tcPr>
            <w:tcW w:w="778" w:type="pct"/>
            <w:vAlign w:val="center"/>
          </w:tcPr>
          <w:p w14:paraId="3B8FBE95">
            <w:pPr>
              <w:pStyle w:val="33"/>
              <w:rPr>
                <w:color w:val="auto"/>
              </w:rPr>
            </w:pPr>
            <w:r>
              <w:rPr>
                <w:color w:val="auto"/>
              </w:rPr>
              <w:t>达标</w:t>
            </w:r>
          </w:p>
        </w:tc>
        <w:tc>
          <w:tcPr>
            <w:tcW w:w="639" w:type="pct"/>
            <w:vAlign w:val="center"/>
          </w:tcPr>
          <w:p w14:paraId="148F2596">
            <w:pPr>
              <w:pStyle w:val="33"/>
              <w:rPr>
                <w:color w:val="auto"/>
              </w:rPr>
            </w:pPr>
            <w:r>
              <w:rPr>
                <w:color w:val="auto"/>
              </w:rPr>
              <w:t>达标</w:t>
            </w:r>
          </w:p>
        </w:tc>
        <w:tc>
          <w:tcPr>
            <w:tcW w:w="696" w:type="pct"/>
            <w:vAlign w:val="center"/>
          </w:tcPr>
          <w:p w14:paraId="52A19B98">
            <w:pPr>
              <w:pStyle w:val="33"/>
              <w:rPr>
                <w:color w:val="auto"/>
              </w:rPr>
            </w:pPr>
            <w:r>
              <w:rPr>
                <w:color w:val="auto"/>
              </w:rPr>
              <w:t>达标</w:t>
            </w:r>
          </w:p>
        </w:tc>
        <w:tc>
          <w:tcPr>
            <w:tcW w:w="773" w:type="pct"/>
            <w:vAlign w:val="center"/>
          </w:tcPr>
          <w:p w14:paraId="1CDB0796">
            <w:pPr>
              <w:pStyle w:val="33"/>
              <w:rPr>
                <w:color w:val="auto"/>
              </w:rPr>
            </w:pPr>
            <w:r>
              <w:rPr>
                <w:color w:val="auto"/>
              </w:rPr>
              <w:t>达标</w:t>
            </w:r>
          </w:p>
        </w:tc>
      </w:tr>
    </w:tbl>
    <w:p w14:paraId="4984FD52">
      <w:pPr>
        <w:pStyle w:val="5"/>
        <w:rPr>
          <w:color w:val="auto"/>
        </w:rPr>
      </w:pPr>
      <w:r>
        <w:rPr>
          <w:color w:val="auto"/>
        </w:rPr>
        <w:t>废气污染物达标情况分析</w:t>
      </w:r>
    </w:p>
    <w:p w14:paraId="0DF70391">
      <w:pPr>
        <w:ind w:firstLine="480"/>
        <w:rPr>
          <w:color w:val="auto"/>
        </w:rPr>
      </w:pPr>
      <w:r>
        <w:rPr>
          <w:color w:val="auto"/>
        </w:rPr>
        <w:t>废气排放源分为有组织排放源和无组织排放源，有组织排放源包括现有1#、2#、3#锅炉</w:t>
      </w:r>
      <w:r>
        <w:rPr>
          <w:rFonts w:hint="eastAsia"/>
          <w:color w:val="auto"/>
        </w:rPr>
        <w:t>（DA006、DA007、DA010）</w:t>
      </w:r>
      <w:r>
        <w:rPr>
          <w:color w:val="auto"/>
        </w:rPr>
        <w:t>、碱回收炉产生的废气</w:t>
      </w:r>
      <w:r>
        <w:rPr>
          <w:rFonts w:hint="eastAsia"/>
          <w:color w:val="auto"/>
        </w:rPr>
        <w:t>（DA001）</w:t>
      </w:r>
      <w:r>
        <w:rPr>
          <w:color w:val="auto"/>
        </w:rPr>
        <w:t>，1#造纸车间天然气燃烧废气，2#造纸车间天然气燃烧废气，2#污水处理站臭气</w:t>
      </w:r>
      <w:r>
        <w:rPr>
          <w:rFonts w:hint="eastAsia"/>
          <w:color w:val="auto"/>
        </w:rPr>
        <w:t>（DA045）</w:t>
      </w:r>
      <w:r>
        <w:rPr>
          <w:color w:val="auto"/>
        </w:rPr>
        <w:t>以及过氧化氢车间的转化炉烟气</w:t>
      </w:r>
      <w:r>
        <w:rPr>
          <w:rFonts w:hint="eastAsia"/>
          <w:color w:val="auto"/>
        </w:rPr>
        <w:t>（DA009）</w:t>
      </w:r>
      <w:r>
        <w:rPr>
          <w:color w:val="auto"/>
        </w:rPr>
        <w:t>、氢化尾气</w:t>
      </w:r>
      <w:r>
        <w:rPr>
          <w:rFonts w:hint="eastAsia"/>
          <w:color w:val="auto"/>
        </w:rPr>
        <w:t>（DA030）、氧化尾气（DA008）</w:t>
      </w:r>
      <w:r>
        <w:rPr>
          <w:color w:val="auto"/>
        </w:rPr>
        <w:t>和废水预处理设施废气</w:t>
      </w:r>
      <w:r>
        <w:rPr>
          <w:rFonts w:hint="eastAsia"/>
          <w:color w:val="auto"/>
        </w:rPr>
        <w:t>（DA031）</w:t>
      </w:r>
      <w:r>
        <w:rPr>
          <w:color w:val="auto"/>
        </w:rPr>
        <w:t>等；无组织排放源包括煤堆存（煤仓），1#、2#、3#锅炉配套煤转运站、碎煤机房产生的煤粉尘，1#、2#、3#锅炉配套灰库进灰过程产生的粉尘，1#、2#造纸涂布原料制备系统破碎、干磨过程中产生的颗粒物，石灰石粉仓产生的粉尘，原木切片、木片堆场、输送、破碎、筛分过程产生的颗粒物，过氧化氢车间装置区、储罐区无组织排放的非甲烷总烃及污水处理站臭气等</w:t>
      </w:r>
      <w:r>
        <w:rPr>
          <w:color w:val="auto"/>
          <w:spacing w:val="-1"/>
        </w:rPr>
        <w:t>。</w:t>
      </w:r>
    </w:p>
    <w:p w14:paraId="58507DCF">
      <w:pPr>
        <w:ind w:firstLine="480"/>
        <w:rPr>
          <w:color w:val="auto"/>
        </w:rPr>
      </w:pPr>
      <w:r>
        <w:rPr>
          <w:color w:val="auto"/>
        </w:rPr>
        <w:t>（</w:t>
      </w:r>
      <w:r>
        <w:rPr>
          <w:rFonts w:eastAsia="Times New Roman" w:cs="Times New Roman"/>
          <w:color w:val="auto"/>
        </w:rPr>
        <w:t>1</w:t>
      </w:r>
      <w:r>
        <w:rPr>
          <w:color w:val="auto"/>
        </w:rPr>
        <w:t>）有组织废气排放</w:t>
      </w:r>
    </w:p>
    <w:p w14:paraId="22F74784">
      <w:pPr>
        <w:ind w:firstLine="480"/>
        <w:rPr>
          <w:color w:val="auto"/>
        </w:rPr>
      </w:pPr>
      <w:r>
        <w:rPr>
          <w:color w:val="auto"/>
        </w:rPr>
        <w:t>金桂浆纸现有1#、2#、3#锅炉配套在线监测系统，在线监测烟尘、二氧化硫、氮氧化物，并对汞及其化合物和烟气黑度开展自行监测。</w:t>
      </w:r>
      <w:r>
        <w:rPr>
          <w:rFonts w:hint="eastAsia"/>
          <w:color w:val="auto"/>
        </w:rPr>
        <w:t>剔除设备启动、停运、日常维护等异常数据，</w:t>
      </w:r>
      <w:r>
        <w:rPr>
          <w:color w:val="auto"/>
        </w:rPr>
        <w:t>现有工程1#、2#、3#循环流化床锅炉202</w:t>
      </w:r>
      <w:r>
        <w:rPr>
          <w:rFonts w:hint="eastAsia"/>
          <w:color w:val="auto"/>
        </w:rPr>
        <w:t>5</w:t>
      </w:r>
      <w:r>
        <w:rPr>
          <w:color w:val="auto"/>
        </w:rPr>
        <w:t>年在线监测结果见</w:t>
      </w:r>
      <w:r>
        <w:rPr>
          <w:rFonts w:hint="eastAsia"/>
          <w:color w:val="auto"/>
        </w:rPr>
        <w:t>下表</w:t>
      </w:r>
      <w:r>
        <w:rPr>
          <w:color w:val="auto"/>
        </w:rPr>
        <w:t>。由监测结果可知，烟尘、二氧化硫、氮氧化物可达到《火电厂大气污染物排放标准》（GB13223-2011）</w:t>
      </w:r>
      <w:r>
        <w:rPr>
          <w:rFonts w:hint="eastAsia"/>
          <w:color w:val="auto"/>
        </w:rPr>
        <w:t>超低排放要求</w:t>
      </w:r>
      <w:r>
        <w:rPr>
          <w:color w:val="auto"/>
        </w:rPr>
        <w:t>。</w:t>
      </w:r>
    </w:p>
    <w:p w14:paraId="037F5A37">
      <w:pPr>
        <w:pStyle w:val="7"/>
        <w:rPr>
          <w:color w:val="auto"/>
        </w:rPr>
      </w:pPr>
      <w:r>
        <w:rPr>
          <w:color w:val="auto"/>
        </w:rPr>
        <w:t>现有工程热电站</w:t>
      </w:r>
      <w:r>
        <w:rPr>
          <w:rFonts w:eastAsia="Times New Roman" w:cs="Times New Roman"/>
          <w:color w:val="auto"/>
        </w:rPr>
        <w:t>1#</w:t>
      </w:r>
      <w:r>
        <w:rPr>
          <w:color w:val="auto"/>
        </w:rPr>
        <w:t>、</w:t>
      </w:r>
      <w:r>
        <w:rPr>
          <w:rFonts w:eastAsia="Times New Roman" w:cs="Times New Roman"/>
          <w:color w:val="auto"/>
        </w:rPr>
        <w:t>2#</w:t>
      </w:r>
      <w:r>
        <w:rPr>
          <w:color w:val="auto"/>
        </w:rPr>
        <w:t>、</w:t>
      </w:r>
      <w:r>
        <w:rPr>
          <w:rFonts w:eastAsia="Times New Roman" w:cs="Times New Roman"/>
          <w:color w:val="auto"/>
        </w:rPr>
        <w:t>3#</w:t>
      </w:r>
      <w:r>
        <w:rPr>
          <w:color w:val="auto"/>
        </w:rPr>
        <w:t>锅炉烟气</w:t>
      </w:r>
      <w:r>
        <w:rPr>
          <w:rFonts w:eastAsia="Times New Roman" w:cs="Times New Roman"/>
          <w:color w:val="auto"/>
        </w:rPr>
        <w:t>202</w:t>
      </w:r>
      <w:r>
        <w:rPr>
          <w:rFonts w:hint="eastAsia" w:cs="Times New Roman" w:eastAsiaTheme="minorEastAsia"/>
          <w:color w:val="auto"/>
        </w:rPr>
        <w:t>5</w:t>
      </w:r>
      <w:r>
        <w:rPr>
          <w:color w:val="auto"/>
        </w:rPr>
        <w:t>年在线监测结果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449"/>
        <w:gridCol w:w="1452"/>
        <w:gridCol w:w="1452"/>
        <w:gridCol w:w="1746"/>
        <w:gridCol w:w="1599"/>
        <w:gridCol w:w="1588"/>
      </w:tblGrid>
      <w:tr w14:paraId="0AC4C7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780" w:type="pct"/>
            <w:tcBorders>
              <w:left w:val="single" w:color="auto" w:sz="4" w:space="0"/>
            </w:tcBorders>
            <w:vAlign w:val="center"/>
          </w:tcPr>
          <w:p w14:paraId="47B4997E">
            <w:pPr>
              <w:pStyle w:val="33"/>
              <w:rPr>
                <w:b/>
                <w:bCs/>
                <w:color w:val="auto"/>
              </w:rPr>
            </w:pPr>
            <w:r>
              <w:rPr>
                <w:b/>
                <w:bCs/>
                <w:color w:val="auto"/>
              </w:rPr>
              <w:t>项目</w:t>
            </w:r>
          </w:p>
        </w:tc>
        <w:tc>
          <w:tcPr>
            <w:tcW w:w="782" w:type="pct"/>
            <w:vAlign w:val="center"/>
          </w:tcPr>
          <w:p w14:paraId="76714260">
            <w:pPr>
              <w:pStyle w:val="33"/>
              <w:rPr>
                <w:b/>
                <w:bCs/>
                <w:color w:val="auto"/>
              </w:rPr>
            </w:pPr>
            <w:r>
              <w:rPr>
                <w:rFonts w:hint="eastAsia"/>
                <w:b/>
                <w:bCs/>
                <w:color w:val="auto"/>
              </w:rPr>
              <w:t>时间</w:t>
            </w:r>
          </w:p>
        </w:tc>
        <w:tc>
          <w:tcPr>
            <w:tcW w:w="782" w:type="pct"/>
            <w:vAlign w:val="center"/>
          </w:tcPr>
          <w:p w14:paraId="720C4147">
            <w:pPr>
              <w:pStyle w:val="33"/>
              <w:rPr>
                <w:b/>
                <w:bCs/>
                <w:color w:val="auto"/>
              </w:rPr>
            </w:pPr>
            <w:r>
              <w:rPr>
                <w:rFonts w:hint="eastAsia"/>
                <w:b/>
                <w:bCs/>
                <w:color w:val="auto"/>
              </w:rPr>
              <w:t>瞬时烟气量</w:t>
            </w:r>
          </w:p>
          <w:p w14:paraId="5B3129EB">
            <w:pPr>
              <w:pStyle w:val="33"/>
              <w:rPr>
                <w:b/>
                <w:bCs/>
                <w:color w:val="auto"/>
              </w:rPr>
            </w:pPr>
            <w:r>
              <w:rPr>
                <w:rFonts w:hint="eastAsia"/>
                <w:b/>
                <w:bCs/>
                <w:color w:val="auto"/>
              </w:rPr>
              <w:t>（m</w:t>
            </w:r>
            <w:r>
              <w:rPr>
                <w:rFonts w:hint="eastAsia"/>
                <w:b/>
                <w:bCs/>
                <w:color w:val="auto"/>
                <w:vertAlign w:val="superscript"/>
              </w:rPr>
              <w:t>3</w:t>
            </w:r>
            <w:r>
              <w:rPr>
                <w:rFonts w:hint="eastAsia"/>
                <w:b/>
                <w:bCs/>
                <w:color w:val="auto"/>
              </w:rPr>
              <w:t>/s）</w:t>
            </w:r>
          </w:p>
        </w:tc>
        <w:tc>
          <w:tcPr>
            <w:tcW w:w="940" w:type="pct"/>
            <w:vAlign w:val="center"/>
          </w:tcPr>
          <w:p w14:paraId="0821F038">
            <w:pPr>
              <w:pStyle w:val="33"/>
              <w:rPr>
                <w:b/>
                <w:bCs/>
                <w:color w:val="auto"/>
              </w:rPr>
            </w:pPr>
            <w:r>
              <w:rPr>
                <w:rFonts w:hint="eastAsia"/>
                <w:b/>
                <w:bCs/>
                <w:color w:val="auto"/>
              </w:rPr>
              <w:t>颗粒物折算浓度</w:t>
            </w:r>
          </w:p>
          <w:p w14:paraId="190951A3">
            <w:pPr>
              <w:pStyle w:val="33"/>
              <w:rPr>
                <w:b/>
                <w:bCs/>
                <w:color w:val="auto"/>
              </w:rPr>
            </w:pPr>
            <w:r>
              <w:rPr>
                <w:b/>
                <w:bCs/>
                <w:color w:val="auto"/>
              </w:rPr>
              <w:t>（mg/m</w:t>
            </w:r>
            <w:r>
              <w:rPr>
                <w:b/>
                <w:bCs/>
                <w:color w:val="auto"/>
                <w:vertAlign w:val="superscript"/>
              </w:rPr>
              <w:t>3</w:t>
            </w:r>
            <w:r>
              <w:rPr>
                <w:b/>
                <w:bCs/>
                <w:color w:val="auto"/>
              </w:rPr>
              <w:t>）</w:t>
            </w:r>
          </w:p>
        </w:tc>
        <w:tc>
          <w:tcPr>
            <w:tcW w:w="861" w:type="pct"/>
            <w:vAlign w:val="center"/>
          </w:tcPr>
          <w:p w14:paraId="158DA406">
            <w:pPr>
              <w:pStyle w:val="33"/>
              <w:rPr>
                <w:b/>
                <w:bCs/>
                <w:color w:val="auto"/>
              </w:rPr>
            </w:pPr>
            <w:r>
              <w:rPr>
                <w:b/>
                <w:bCs/>
                <w:color w:val="auto"/>
              </w:rPr>
              <w:t>SO</w:t>
            </w:r>
            <w:r>
              <w:rPr>
                <w:b/>
                <w:bCs/>
                <w:color w:val="auto"/>
                <w:vertAlign w:val="subscript"/>
              </w:rPr>
              <w:t>2</w:t>
            </w:r>
            <w:r>
              <w:rPr>
                <w:rFonts w:hint="eastAsia"/>
                <w:b/>
                <w:bCs/>
                <w:color w:val="auto"/>
              </w:rPr>
              <w:t>折算浓度</w:t>
            </w:r>
          </w:p>
          <w:p w14:paraId="75DA2A6E">
            <w:pPr>
              <w:pStyle w:val="33"/>
              <w:rPr>
                <w:b/>
                <w:bCs/>
                <w:color w:val="auto"/>
              </w:rPr>
            </w:pPr>
            <w:r>
              <w:rPr>
                <w:b/>
                <w:bCs/>
                <w:color w:val="auto"/>
              </w:rPr>
              <w:t>（mg/m</w:t>
            </w:r>
            <w:r>
              <w:rPr>
                <w:b/>
                <w:bCs/>
                <w:color w:val="auto"/>
                <w:vertAlign w:val="superscript"/>
              </w:rPr>
              <w:t>3</w:t>
            </w:r>
            <w:r>
              <w:rPr>
                <w:b/>
                <w:bCs/>
                <w:color w:val="auto"/>
              </w:rPr>
              <w:t>）</w:t>
            </w:r>
          </w:p>
        </w:tc>
        <w:tc>
          <w:tcPr>
            <w:tcW w:w="855" w:type="pct"/>
            <w:vAlign w:val="center"/>
          </w:tcPr>
          <w:p w14:paraId="4D9ABD43">
            <w:pPr>
              <w:pStyle w:val="33"/>
              <w:rPr>
                <w:b/>
                <w:bCs/>
                <w:color w:val="auto"/>
              </w:rPr>
            </w:pPr>
            <w:r>
              <w:rPr>
                <w:b/>
                <w:bCs/>
                <w:color w:val="auto"/>
              </w:rPr>
              <w:t>NO</w:t>
            </w:r>
            <w:r>
              <w:rPr>
                <w:rFonts w:hint="eastAsia"/>
                <w:b/>
                <w:bCs/>
                <w:color w:val="auto"/>
              </w:rPr>
              <w:t>x折算浓度</w:t>
            </w:r>
          </w:p>
          <w:p w14:paraId="445BA48E">
            <w:pPr>
              <w:pStyle w:val="33"/>
              <w:rPr>
                <w:b/>
                <w:bCs/>
                <w:color w:val="auto"/>
              </w:rPr>
            </w:pPr>
            <w:r>
              <w:rPr>
                <w:b/>
                <w:bCs/>
                <w:color w:val="auto"/>
              </w:rPr>
              <w:t>（mg/m</w:t>
            </w:r>
            <w:r>
              <w:rPr>
                <w:b/>
                <w:bCs/>
                <w:color w:val="auto"/>
                <w:vertAlign w:val="superscript"/>
              </w:rPr>
              <w:t>3</w:t>
            </w:r>
            <w:r>
              <w:rPr>
                <w:b/>
                <w:bCs/>
                <w:color w:val="auto"/>
              </w:rPr>
              <w:t>）</w:t>
            </w:r>
          </w:p>
        </w:tc>
      </w:tr>
      <w:tr w14:paraId="02F36F4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restart"/>
            <w:tcBorders>
              <w:left w:val="single" w:color="auto" w:sz="4" w:space="0"/>
            </w:tcBorders>
            <w:vAlign w:val="center"/>
          </w:tcPr>
          <w:p w14:paraId="3A1469E1">
            <w:pPr>
              <w:pStyle w:val="33"/>
              <w:rPr>
                <w:color w:val="auto"/>
              </w:rPr>
            </w:pPr>
            <w:r>
              <w:rPr>
                <w:color w:val="auto"/>
              </w:rPr>
              <w:t>1#锅炉</w:t>
            </w:r>
            <w:r>
              <w:rPr>
                <w:rFonts w:hint="eastAsia"/>
                <w:color w:val="auto"/>
              </w:rPr>
              <w:t>（DA006）</w:t>
            </w:r>
          </w:p>
        </w:tc>
        <w:tc>
          <w:tcPr>
            <w:tcW w:w="782" w:type="pct"/>
            <w:vAlign w:val="center"/>
          </w:tcPr>
          <w:p w14:paraId="3C2EACC3">
            <w:pPr>
              <w:pStyle w:val="33"/>
              <w:rPr>
                <w:color w:val="auto"/>
              </w:rPr>
            </w:pPr>
            <w:r>
              <w:rPr>
                <w:rFonts w:hint="eastAsia"/>
                <w:color w:val="auto"/>
              </w:rPr>
              <w:t>1月</w:t>
            </w:r>
          </w:p>
        </w:tc>
        <w:tc>
          <w:tcPr>
            <w:tcW w:w="782" w:type="pct"/>
            <w:vAlign w:val="center"/>
          </w:tcPr>
          <w:p w14:paraId="65A68E61">
            <w:pPr>
              <w:pStyle w:val="33"/>
              <w:rPr>
                <w:color w:val="auto"/>
              </w:rPr>
            </w:pPr>
            <w:r>
              <w:rPr>
                <w:rFonts w:hint="eastAsia"/>
                <w:color w:val="auto"/>
              </w:rPr>
              <w:t>116.791</w:t>
            </w:r>
          </w:p>
        </w:tc>
        <w:tc>
          <w:tcPr>
            <w:tcW w:w="940" w:type="pct"/>
            <w:vAlign w:val="center"/>
          </w:tcPr>
          <w:p w14:paraId="41B0FB66">
            <w:pPr>
              <w:pStyle w:val="33"/>
              <w:rPr>
                <w:color w:val="auto"/>
              </w:rPr>
            </w:pPr>
            <w:r>
              <w:rPr>
                <w:rFonts w:hint="eastAsia"/>
                <w:color w:val="auto"/>
              </w:rPr>
              <w:t>4.077</w:t>
            </w:r>
          </w:p>
        </w:tc>
        <w:tc>
          <w:tcPr>
            <w:tcW w:w="861" w:type="pct"/>
            <w:vAlign w:val="center"/>
          </w:tcPr>
          <w:p w14:paraId="3DA961EE">
            <w:pPr>
              <w:pStyle w:val="33"/>
              <w:rPr>
                <w:color w:val="auto"/>
              </w:rPr>
            </w:pPr>
            <w:r>
              <w:rPr>
                <w:rFonts w:hint="eastAsia"/>
                <w:color w:val="auto"/>
              </w:rPr>
              <w:t>8.086</w:t>
            </w:r>
          </w:p>
        </w:tc>
        <w:tc>
          <w:tcPr>
            <w:tcW w:w="855" w:type="pct"/>
            <w:vAlign w:val="center"/>
          </w:tcPr>
          <w:p w14:paraId="261EB430">
            <w:pPr>
              <w:pStyle w:val="33"/>
              <w:rPr>
                <w:color w:val="auto"/>
              </w:rPr>
            </w:pPr>
            <w:r>
              <w:rPr>
                <w:rFonts w:hint="eastAsia"/>
                <w:color w:val="auto"/>
              </w:rPr>
              <w:t>33.872</w:t>
            </w:r>
          </w:p>
        </w:tc>
      </w:tr>
      <w:tr w14:paraId="2CA17D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000C877">
            <w:pPr>
              <w:pStyle w:val="33"/>
              <w:rPr>
                <w:color w:val="auto"/>
              </w:rPr>
            </w:pPr>
          </w:p>
        </w:tc>
        <w:tc>
          <w:tcPr>
            <w:tcW w:w="782" w:type="pct"/>
            <w:vAlign w:val="center"/>
          </w:tcPr>
          <w:p w14:paraId="4917569F">
            <w:pPr>
              <w:pStyle w:val="33"/>
              <w:rPr>
                <w:color w:val="auto"/>
              </w:rPr>
            </w:pPr>
            <w:r>
              <w:rPr>
                <w:rFonts w:hint="eastAsia"/>
                <w:color w:val="auto"/>
              </w:rPr>
              <w:t>2月</w:t>
            </w:r>
          </w:p>
        </w:tc>
        <w:tc>
          <w:tcPr>
            <w:tcW w:w="782" w:type="pct"/>
            <w:vAlign w:val="center"/>
          </w:tcPr>
          <w:p w14:paraId="1F62F6FE">
            <w:pPr>
              <w:pStyle w:val="33"/>
              <w:rPr>
                <w:color w:val="auto"/>
              </w:rPr>
            </w:pPr>
            <w:r>
              <w:rPr>
                <w:rFonts w:hint="eastAsia"/>
                <w:color w:val="auto"/>
              </w:rPr>
              <w:t>124.655</w:t>
            </w:r>
          </w:p>
        </w:tc>
        <w:tc>
          <w:tcPr>
            <w:tcW w:w="940" w:type="pct"/>
            <w:vAlign w:val="center"/>
          </w:tcPr>
          <w:p w14:paraId="32AA30F6">
            <w:pPr>
              <w:pStyle w:val="33"/>
              <w:rPr>
                <w:color w:val="auto"/>
              </w:rPr>
            </w:pPr>
            <w:r>
              <w:rPr>
                <w:rFonts w:hint="eastAsia"/>
                <w:color w:val="auto"/>
              </w:rPr>
              <w:t>4.309</w:t>
            </w:r>
          </w:p>
        </w:tc>
        <w:tc>
          <w:tcPr>
            <w:tcW w:w="861" w:type="pct"/>
            <w:vAlign w:val="center"/>
          </w:tcPr>
          <w:p w14:paraId="46251A2B">
            <w:pPr>
              <w:pStyle w:val="33"/>
              <w:rPr>
                <w:color w:val="auto"/>
              </w:rPr>
            </w:pPr>
            <w:r>
              <w:rPr>
                <w:rFonts w:hint="eastAsia"/>
                <w:color w:val="auto"/>
              </w:rPr>
              <w:t>9.547</w:t>
            </w:r>
          </w:p>
        </w:tc>
        <w:tc>
          <w:tcPr>
            <w:tcW w:w="855" w:type="pct"/>
            <w:vAlign w:val="center"/>
          </w:tcPr>
          <w:p w14:paraId="1869C46E">
            <w:pPr>
              <w:pStyle w:val="33"/>
              <w:rPr>
                <w:color w:val="auto"/>
              </w:rPr>
            </w:pPr>
            <w:r>
              <w:rPr>
                <w:rFonts w:hint="eastAsia"/>
                <w:color w:val="auto"/>
              </w:rPr>
              <w:t>36.219</w:t>
            </w:r>
          </w:p>
        </w:tc>
      </w:tr>
      <w:tr w14:paraId="707260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4A58E45B">
            <w:pPr>
              <w:pStyle w:val="33"/>
              <w:rPr>
                <w:color w:val="auto"/>
              </w:rPr>
            </w:pPr>
          </w:p>
        </w:tc>
        <w:tc>
          <w:tcPr>
            <w:tcW w:w="782" w:type="pct"/>
            <w:vAlign w:val="center"/>
          </w:tcPr>
          <w:p w14:paraId="4F3D41C3">
            <w:pPr>
              <w:pStyle w:val="33"/>
              <w:rPr>
                <w:color w:val="auto"/>
              </w:rPr>
            </w:pPr>
            <w:r>
              <w:rPr>
                <w:rFonts w:hint="eastAsia"/>
                <w:color w:val="auto"/>
              </w:rPr>
              <w:t>3月</w:t>
            </w:r>
          </w:p>
        </w:tc>
        <w:tc>
          <w:tcPr>
            <w:tcW w:w="782" w:type="pct"/>
            <w:vAlign w:val="center"/>
          </w:tcPr>
          <w:p w14:paraId="7C10B359">
            <w:pPr>
              <w:pStyle w:val="33"/>
              <w:rPr>
                <w:color w:val="auto"/>
              </w:rPr>
            </w:pPr>
            <w:r>
              <w:rPr>
                <w:rFonts w:hint="eastAsia"/>
                <w:color w:val="auto"/>
              </w:rPr>
              <w:t>129.969</w:t>
            </w:r>
          </w:p>
        </w:tc>
        <w:tc>
          <w:tcPr>
            <w:tcW w:w="940" w:type="pct"/>
            <w:vAlign w:val="center"/>
          </w:tcPr>
          <w:p w14:paraId="27BD518C">
            <w:pPr>
              <w:pStyle w:val="33"/>
              <w:rPr>
                <w:color w:val="auto"/>
              </w:rPr>
            </w:pPr>
            <w:r>
              <w:rPr>
                <w:rFonts w:hint="eastAsia"/>
                <w:color w:val="auto"/>
              </w:rPr>
              <w:t>4.799</w:t>
            </w:r>
          </w:p>
        </w:tc>
        <w:tc>
          <w:tcPr>
            <w:tcW w:w="861" w:type="pct"/>
            <w:vAlign w:val="center"/>
          </w:tcPr>
          <w:p w14:paraId="24EE3736">
            <w:pPr>
              <w:pStyle w:val="33"/>
              <w:rPr>
                <w:color w:val="auto"/>
              </w:rPr>
            </w:pPr>
            <w:r>
              <w:rPr>
                <w:rFonts w:hint="eastAsia"/>
                <w:color w:val="auto"/>
              </w:rPr>
              <w:t>9.531</w:t>
            </w:r>
          </w:p>
        </w:tc>
        <w:tc>
          <w:tcPr>
            <w:tcW w:w="855" w:type="pct"/>
            <w:vAlign w:val="center"/>
          </w:tcPr>
          <w:p w14:paraId="61C8D3CE">
            <w:pPr>
              <w:pStyle w:val="33"/>
              <w:rPr>
                <w:color w:val="auto"/>
              </w:rPr>
            </w:pPr>
            <w:r>
              <w:rPr>
                <w:rFonts w:hint="eastAsia"/>
                <w:color w:val="auto"/>
              </w:rPr>
              <w:t>37.474</w:t>
            </w:r>
          </w:p>
        </w:tc>
      </w:tr>
      <w:tr w14:paraId="0BD4B5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EF57FB5">
            <w:pPr>
              <w:pStyle w:val="33"/>
              <w:rPr>
                <w:color w:val="auto"/>
              </w:rPr>
            </w:pPr>
          </w:p>
        </w:tc>
        <w:tc>
          <w:tcPr>
            <w:tcW w:w="782" w:type="pct"/>
            <w:vAlign w:val="center"/>
          </w:tcPr>
          <w:p w14:paraId="5B312F2C">
            <w:pPr>
              <w:pStyle w:val="33"/>
              <w:rPr>
                <w:color w:val="auto"/>
              </w:rPr>
            </w:pPr>
            <w:r>
              <w:rPr>
                <w:rFonts w:hint="eastAsia"/>
                <w:color w:val="auto"/>
              </w:rPr>
              <w:t>4月</w:t>
            </w:r>
          </w:p>
        </w:tc>
        <w:tc>
          <w:tcPr>
            <w:tcW w:w="782" w:type="pct"/>
            <w:vAlign w:val="center"/>
          </w:tcPr>
          <w:p w14:paraId="08EBA4E5">
            <w:pPr>
              <w:pStyle w:val="33"/>
              <w:rPr>
                <w:color w:val="auto"/>
              </w:rPr>
            </w:pPr>
            <w:r>
              <w:rPr>
                <w:rFonts w:hint="eastAsia"/>
                <w:color w:val="auto"/>
              </w:rPr>
              <w:t>106.778</w:t>
            </w:r>
          </w:p>
        </w:tc>
        <w:tc>
          <w:tcPr>
            <w:tcW w:w="940" w:type="pct"/>
            <w:vAlign w:val="center"/>
          </w:tcPr>
          <w:p w14:paraId="5321ACF9">
            <w:pPr>
              <w:pStyle w:val="33"/>
              <w:rPr>
                <w:color w:val="auto"/>
              </w:rPr>
            </w:pPr>
            <w:r>
              <w:rPr>
                <w:rFonts w:hint="eastAsia"/>
                <w:color w:val="auto"/>
              </w:rPr>
              <w:t>4.185</w:t>
            </w:r>
          </w:p>
        </w:tc>
        <w:tc>
          <w:tcPr>
            <w:tcW w:w="861" w:type="pct"/>
            <w:vAlign w:val="center"/>
          </w:tcPr>
          <w:p w14:paraId="4DF5A6BF">
            <w:pPr>
              <w:pStyle w:val="33"/>
              <w:rPr>
                <w:color w:val="auto"/>
              </w:rPr>
            </w:pPr>
            <w:r>
              <w:rPr>
                <w:rFonts w:hint="eastAsia"/>
                <w:color w:val="auto"/>
              </w:rPr>
              <w:t>7.52</w:t>
            </w:r>
          </w:p>
        </w:tc>
        <w:tc>
          <w:tcPr>
            <w:tcW w:w="855" w:type="pct"/>
            <w:vAlign w:val="center"/>
          </w:tcPr>
          <w:p w14:paraId="640AC281">
            <w:pPr>
              <w:pStyle w:val="33"/>
              <w:rPr>
                <w:color w:val="auto"/>
              </w:rPr>
            </w:pPr>
            <w:r>
              <w:rPr>
                <w:rFonts w:hint="eastAsia"/>
                <w:color w:val="auto"/>
              </w:rPr>
              <w:t>34.854</w:t>
            </w:r>
          </w:p>
        </w:tc>
      </w:tr>
      <w:tr w14:paraId="41D94A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A52BC4C">
            <w:pPr>
              <w:pStyle w:val="33"/>
              <w:rPr>
                <w:color w:val="auto"/>
              </w:rPr>
            </w:pPr>
          </w:p>
        </w:tc>
        <w:tc>
          <w:tcPr>
            <w:tcW w:w="782" w:type="pct"/>
            <w:vAlign w:val="center"/>
          </w:tcPr>
          <w:p w14:paraId="530EB2F5">
            <w:pPr>
              <w:pStyle w:val="33"/>
              <w:rPr>
                <w:color w:val="auto"/>
              </w:rPr>
            </w:pPr>
            <w:r>
              <w:rPr>
                <w:rFonts w:hint="eastAsia"/>
                <w:color w:val="auto"/>
              </w:rPr>
              <w:t>5月</w:t>
            </w:r>
          </w:p>
        </w:tc>
        <w:tc>
          <w:tcPr>
            <w:tcW w:w="782" w:type="pct"/>
            <w:vAlign w:val="center"/>
          </w:tcPr>
          <w:p w14:paraId="75F44AE0">
            <w:pPr>
              <w:pStyle w:val="33"/>
              <w:rPr>
                <w:color w:val="auto"/>
              </w:rPr>
            </w:pPr>
            <w:r>
              <w:rPr>
                <w:rFonts w:hint="eastAsia"/>
                <w:color w:val="auto"/>
              </w:rPr>
              <w:t>103.248</w:t>
            </w:r>
          </w:p>
        </w:tc>
        <w:tc>
          <w:tcPr>
            <w:tcW w:w="940" w:type="pct"/>
            <w:vAlign w:val="center"/>
          </w:tcPr>
          <w:p w14:paraId="37E96677">
            <w:pPr>
              <w:pStyle w:val="33"/>
              <w:rPr>
                <w:color w:val="auto"/>
              </w:rPr>
            </w:pPr>
            <w:r>
              <w:rPr>
                <w:rFonts w:hint="eastAsia"/>
                <w:color w:val="auto"/>
              </w:rPr>
              <w:t>4.75</w:t>
            </w:r>
          </w:p>
        </w:tc>
        <w:tc>
          <w:tcPr>
            <w:tcW w:w="861" w:type="pct"/>
            <w:vAlign w:val="center"/>
          </w:tcPr>
          <w:p w14:paraId="100CBD13">
            <w:pPr>
              <w:pStyle w:val="33"/>
              <w:rPr>
                <w:color w:val="auto"/>
              </w:rPr>
            </w:pPr>
            <w:r>
              <w:rPr>
                <w:rFonts w:hint="eastAsia"/>
                <w:color w:val="auto"/>
              </w:rPr>
              <w:t>8.938</w:t>
            </w:r>
          </w:p>
        </w:tc>
        <w:tc>
          <w:tcPr>
            <w:tcW w:w="855" w:type="pct"/>
            <w:vAlign w:val="center"/>
          </w:tcPr>
          <w:p w14:paraId="53BE2D36">
            <w:pPr>
              <w:pStyle w:val="33"/>
              <w:rPr>
                <w:color w:val="auto"/>
              </w:rPr>
            </w:pPr>
            <w:r>
              <w:rPr>
                <w:rFonts w:hint="eastAsia"/>
                <w:color w:val="auto"/>
              </w:rPr>
              <w:t>35.89</w:t>
            </w:r>
          </w:p>
        </w:tc>
      </w:tr>
      <w:tr w14:paraId="03DF56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47F8FCF4">
            <w:pPr>
              <w:pStyle w:val="33"/>
              <w:rPr>
                <w:color w:val="auto"/>
              </w:rPr>
            </w:pPr>
          </w:p>
        </w:tc>
        <w:tc>
          <w:tcPr>
            <w:tcW w:w="782" w:type="pct"/>
            <w:vAlign w:val="center"/>
          </w:tcPr>
          <w:p w14:paraId="360CE865">
            <w:pPr>
              <w:pStyle w:val="33"/>
              <w:rPr>
                <w:color w:val="auto"/>
              </w:rPr>
            </w:pPr>
            <w:r>
              <w:rPr>
                <w:rFonts w:hint="eastAsia"/>
                <w:color w:val="auto"/>
              </w:rPr>
              <w:t>6月</w:t>
            </w:r>
          </w:p>
        </w:tc>
        <w:tc>
          <w:tcPr>
            <w:tcW w:w="782" w:type="pct"/>
            <w:vAlign w:val="center"/>
          </w:tcPr>
          <w:p w14:paraId="283C36AC">
            <w:pPr>
              <w:pStyle w:val="33"/>
              <w:rPr>
                <w:color w:val="auto"/>
              </w:rPr>
            </w:pPr>
            <w:r>
              <w:rPr>
                <w:rFonts w:hint="eastAsia"/>
                <w:color w:val="auto"/>
              </w:rPr>
              <w:t>111.827</w:t>
            </w:r>
          </w:p>
        </w:tc>
        <w:tc>
          <w:tcPr>
            <w:tcW w:w="940" w:type="pct"/>
            <w:vAlign w:val="center"/>
          </w:tcPr>
          <w:p w14:paraId="290A1F01">
            <w:pPr>
              <w:pStyle w:val="33"/>
              <w:rPr>
                <w:color w:val="auto"/>
              </w:rPr>
            </w:pPr>
            <w:r>
              <w:rPr>
                <w:rFonts w:hint="eastAsia"/>
                <w:color w:val="auto"/>
              </w:rPr>
              <w:t>4.42</w:t>
            </w:r>
          </w:p>
        </w:tc>
        <w:tc>
          <w:tcPr>
            <w:tcW w:w="861" w:type="pct"/>
            <w:vAlign w:val="center"/>
          </w:tcPr>
          <w:p w14:paraId="04543DE3">
            <w:pPr>
              <w:pStyle w:val="33"/>
              <w:rPr>
                <w:color w:val="auto"/>
              </w:rPr>
            </w:pPr>
            <w:r>
              <w:rPr>
                <w:rFonts w:hint="eastAsia"/>
                <w:color w:val="auto"/>
              </w:rPr>
              <w:t>15.291</w:t>
            </w:r>
          </w:p>
        </w:tc>
        <w:tc>
          <w:tcPr>
            <w:tcW w:w="855" w:type="pct"/>
            <w:vAlign w:val="center"/>
          </w:tcPr>
          <w:p w14:paraId="2ED6DCBF">
            <w:pPr>
              <w:pStyle w:val="33"/>
              <w:rPr>
                <w:color w:val="auto"/>
              </w:rPr>
            </w:pPr>
            <w:r>
              <w:rPr>
                <w:rFonts w:hint="eastAsia"/>
                <w:color w:val="auto"/>
              </w:rPr>
              <w:t>39.218</w:t>
            </w:r>
          </w:p>
        </w:tc>
      </w:tr>
      <w:tr w14:paraId="3F704F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780" w:type="pct"/>
            <w:vMerge w:val="continue"/>
            <w:tcBorders>
              <w:left w:val="single" w:color="auto" w:sz="4" w:space="0"/>
            </w:tcBorders>
            <w:vAlign w:val="center"/>
          </w:tcPr>
          <w:p w14:paraId="2A04ED39">
            <w:pPr>
              <w:pStyle w:val="33"/>
              <w:rPr>
                <w:color w:val="auto"/>
              </w:rPr>
            </w:pPr>
          </w:p>
        </w:tc>
        <w:tc>
          <w:tcPr>
            <w:tcW w:w="782" w:type="pct"/>
            <w:vAlign w:val="center"/>
          </w:tcPr>
          <w:p w14:paraId="1A0D5CF4">
            <w:pPr>
              <w:pStyle w:val="33"/>
              <w:rPr>
                <w:color w:val="auto"/>
              </w:rPr>
            </w:pPr>
            <w:r>
              <w:rPr>
                <w:rFonts w:hint="eastAsia"/>
                <w:color w:val="auto"/>
              </w:rPr>
              <w:t>7月</w:t>
            </w:r>
          </w:p>
        </w:tc>
        <w:tc>
          <w:tcPr>
            <w:tcW w:w="782" w:type="pct"/>
            <w:vAlign w:val="center"/>
          </w:tcPr>
          <w:p w14:paraId="0DB3CDCB">
            <w:pPr>
              <w:pStyle w:val="33"/>
              <w:rPr>
                <w:color w:val="auto"/>
              </w:rPr>
            </w:pPr>
            <w:r>
              <w:rPr>
                <w:rFonts w:hint="eastAsia"/>
                <w:color w:val="auto"/>
              </w:rPr>
              <w:t>142.387</w:t>
            </w:r>
          </w:p>
        </w:tc>
        <w:tc>
          <w:tcPr>
            <w:tcW w:w="940" w:type="pct"/>
            <w:vAlign w:val="center"/>
          </w:tcPr>
          <w:p w14:paraId="45EA8D5B">
            <w:pPr>
              <w:pStyle w:val="33"/>
              <w:rPr>
                <w:color w:val="auto"/>
              </w:rPr>
            </w:pPr>
            <w:r>
              <w:rPr>
                <w:rFonts w:hint="eastAsia"/>
                <w:color w:val="auto"/>
              </w:rPr>
              <w:t>4.624</w:t>
            </w:r>
          </w:p>
        </w:tc>
        <w:tc>
          <w:tcPr>
            <w:tcW w:w="861" w:type="pct"/>
            <w:vAlign w:val="center"/>
          </w:tcPr>
          <w:p w14:paraId="523DC721">
            <w:pPr>
              <w:pStyle w:val="33"/>
              <w:rPr>
                <w:color w:val="auto"/>
              </w:rPr>
            </w:pPr>
            <w:r>
              <w:rPr>
                <w:rFonts w:hint="eastAsia"/>
                <w:color w:val="auto"/>
              </w:rPr>
              <w:t>13.338</w:t>
            </w:r>
          </w:p>
        </w:tc>
        <w:tc>
          <w:tcPr>
            <w:tcW w:w="855" w:type="pct"/>
            <w:vAlign w:val="center"/>
          </w:tcPr>
          <w:p w14:paraId="270D2C7C">
            <w:pPr>
              <w:pStyle w:val="33"/>
              <w:rPr>
                <w:color w:val="auto"/>
              </w:rPr>
            </w:pPr>
            <w:r>
              <w:rPr>
                <w:rFonts w:hint="eastAsia"/>
                <w:color w:val="auto"/>
              </w:rPr>
              <w:t>38.524</w:t>
            </w:r>
          </w:p>
        </w:tc>
      </w:tr>
      <w:tr w14:paraId="251C6B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29F87BA">
            <w:pPr>
              <w:pStyle w:val="33"/>
              <w:rPr>
                <w:color w:val="auto"/>
              </w:rPr>
            </w:pPr>
          </w:p>
        </w:tc>
        <w:tc>
          <w:tcPr>
            <w:tcW w:w="782" w:type="pct"/>
            <w:vAlign w:val="center"/>
          </w:tcPr>
          <w:p w14:paraId="4D26D857">
            <w:pPr>
              <w:pStyle w:val="33"/>
              <w:rPr>
                <w:color w:val="auto"/>
              </w:rPr>
            </w:pPr>
            <w:r>
              <w:rPr>
                <w:rFonts w:hint="eastAsia"/>
                <w:color w:val="auto"/>
              </w:rPr>
              <w:t>8月</w:t>
            </w:r>
          </w:p>
        </w:tc>
        <w:tc>
          <w:tcPr>
            <w:tcW w:w="782" w:type="pct"/>
            <w:vAlign w:val="center"/>
          </w:tcPr>
          <w:p w14:paraId="66465F6A">
            <w:pPr>
              <w:pStyle w:val="33"/>
              <w:rPr>
                <w:color w:val="auto"/>
              </w:rPr>
            </w:pPr>
            <w:r>
              <w:rPr>
                <w:rFonts w:hint="eastAsia"/>
                <w:color w:val="auto"/>
              </w:rPr>
              <w:t>116.694</w:t>
            </w:r>
          </w:p>
        </w:tc>
        <w:tc>
          <w:tcPr>
            <w:tcW w:w="940" w:type="pct"/>
            <w:vAlign w:val="center"/>
          </w:tcPr>
          <w:p w14:paraId="34C74F3C">
            <w:pPr>
              <w:pStyle w:val="33"/>
              <w:rPr>
                <w:color w:val="auto"/>
              </w:rPr>
            </w:pPr>
            <w:r>
              <w:rPr>
                <w:rFonts w:hint="eastAsia"/>
                <w:color w:val="auto"/>
              </w:rPr>
              <w:t>3.688</w:t>
            </w:r>
          </w:p>
        </w:tc>
        <w:tc>
          <w:tcPr>
            <w:tcW w:w="861" w:type="pct"/>
            <w:vAlign w:val="center"/>
          </w:tcPr>
          <w:p w14:paraId="5D376F96">
            <w:pPr>
              <w:pStyle w:val="33"/>
              <w:rPr>
                <w:color w:val="auto"/>
              </w:rPr>
            </w:pPr>
            <w:r>
              <w:rPr>
                <w:rFonts w:hint="eastAsia"/>
                <w:color w:val="auto"/>
              </w:rPr>
              <w:t>15.307</w:t>
            </w:r>
          </w:p>
        </w:tc>
        <w:tc>
          <w:tcPr>
            <w:tcW w:w="855" w:type="pct"/>
            <w:vAlign w:val="center"/>
          </w:tcPr>
          <w:p w14:paraId="32C0AF93">
            <w:pPr>
              <w:pStyle w:val="33"/>
              <w:rPr>
                <w:color w:val="auto"/>
              </w:rPr>
            </w:pPr>
            <w:r>
              <w:rPr>
                <w:rFonts w:hint="eastAsia"/>
                <w:color w:val="auto"/>
              </w:rPr>
              <w:t>37.395</w:t>
            </w:r>
          </w:p>
        </w:tc>
      </w:tr>
      <w:tr w14:paraId="55DB7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4E4E2F96">
            <w:pPr>
              <w:pStyle w:val="33"/>
              <w:rPr>
                <w:color w:val="auto"/>
              </w:rPr>
            </w:pPr>
          </w:p>
        </w:tc>
        <w:tc>
          <w:tcPr>
            <w:tcW w:w="782" w:type="pct"/>
            <w:vAlign w:val="center"/>
          </w:tcPr>
          <w:p w14:paraId="28845E91">
            <w:pPr>
              <w:pStyle w:val="33"/>
              <w:rPr>
                <w:color w:val="auto"/>
              </w:rPr>
            </w:pPr>
            <w:r>
              <w:rPr>
                <w:rFonts w:hint="eastAsia"/>
                <w:color w:val="auto"/>
              </w:rPr>
              <w:t>9月</w:t>
            </w:r>
          </w:p>
        </w:tc>
        <w:tc>
          <w:tcPr>
            <w:tcW w:w="782" w:type="pct"/>
            <w:vAlign w:val="center"/>
          </w:tcPr>
          <w:p w14:paraId="792CA8AE">
            <w:pPr>
              <w:pStyle w:val="33"/>
              <w:rPr>
                <w:color w:val="auto"/>
              </w:rPr>
            </w:pPr>
            <w:r>
              <w:rPr>
                <w:rFonts w:hint="eastAsia"/>
                <w:color w:val="auto"/>
              </w:rPr>
              <w:t>124.247</w:t>
            </w:r>
          </w:p>
        </w:tc>
        <w:tc>
          <w:tcPr>
            <w:tcW w:w="940" w:type="pct"/>
            <w:vAlign w:val="center"/>
          </w:tcPr>
          <w:p w14:paraId="41500A68">
            <w:pPr>
              <w:pStyle w:val="33"/>
              <w:rPr>
                <w:color w:val="auto"/>
              </w:rPr>
            </w:pPr>
            <w:r>
              <w:rPr>
                <w:rFonts w:hint="eastAsia"/>
                <w:color w:val="auto"/>
              </w:rPr>
              <w:t>4.216</w:t>
            </w:r>
          </w:p>
        </w:tc>
        <w:tc>
          <w:tcPr>
            <w:tcW w:w="861" w:type="pct"/>
            <w:vAlign w:val="center"/>
          </w:tcPr>
          <w:p w14:paraId="36AC008A">
            <w:pPr>
              <w:pStyle w:val="33"/>
              <w:rPr>
                <w:color w:val="auto"/>
              </w:rPr>
            </w:pPr>
            <w:r>
              <w:rPr>
                <w:rFonts w:hint="eastAsia"/>
                <w:color w:val="auto"/>
              </w:rPr>
              <w:t>14.734</w:t>
            </w:r>
          </w:p>
        </w:tc>
        <w:tc>
          <w:tcPr>
            <w:tcW w:w="855" w:type="pct"/>
            <w:vAlign w:val="center"/>
          </w:tcPr>
          <w:p w14:paraId="7F9D6FEB">
            <w:pPr>
              <w:pStyle w:val="33"/>
              <w:rPr>
                <w:color w:val="auto"/>
              </w:rPr>
            </w:pPr>
            <w:r>
              <w:rPr>
                <w:rFonts w:hint="eastAsia"/>
                <w:color w:val="auto"/>
              </w:rPr>
              <w:t>37.833</w:t>
            </w:r>
          </w:p>
        </w:tc>
      </w:tr>
      <w:tr w14:paraId="3471F7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F635D8C">
            <w:pPr>
              <w:pStyle w:val="33"/>
              <w:rPr>
                <w:color w:val="auto"/>
              </w:rPr>
            </w:pPr>
          </w:p>
        </w:tc>
        <w:tc>
          <w:tcPr>
            <w:tcW w:w="782" w:type="pct"/>
            <w:vAlign w:val="center"/>
          </w:tcPr>
          <w:p w14:paraId="0208BA40">
            <w:pPr>
              <w:pStyle w:val="33"/>
              <w:rPr>
                <w:color w:val="auto"/>
              </w:rPr>
            </w:pPr>
            <w:r>
              <w:rPr>
                <w:rFonts w:hint="eastAsia"/>
                <w:color w:val="auto"/>
              </w:rPr>
              <w:t>10月</w:t>
            </w:r>
          </w:p>
        </w:tc>
        <w:tc>
          <w:tcPr>
            <w:tcW w:w="782" w:type="pct"/>
            <w:vAlign w:val="center"/>
          </w:tcPr>
          <w:p w14:paraId="23DDDC6E">
            <w:pPr>
              <w:pStyle w:val="33"/>
              <w:rPr>
                <w:color w:val="auto"/>
              </w:rPr>
            </w:pPr>
            <w:r>
              <w:rPr>
                <w:rFonts w:hint="eastAsia"/>
                <w:color w:val="auto"/>
              </w:rPr>
              <w:t>126.156</w:t>
            </w:r>
          </w:p>
        </w:tc>
        <w:tc>
          <w:tcPr>
            <w:tcW w:w="940" w:type="pct"/>
            <w:vAlign w:val="center"/>
          </w:tcPr>
          <w:p w14:paraId="115E1DC4">
            <w:pPr>
              <w:pStyle w:val="33"/>
              <w:rPr>
                <w:color w:val="auto"/>
              </w:rPr>
            </w:pPr>
            <w:r>
              <w:rPr>
                <w:rFonts w:hint="eastAsia"/>
                <w:color w:val="auto"/>
              </w:rPr>
              <w:t>4.404</w:t>
            </w:r>
          </w:p>
        </w:tc>
        <w:tc>
          <w:tcPr>
            <w:tcW w:w="861" w:type="pct"/>
            <w:vAlign w:val="center"/>
          </w:tcPr>
          <w:p w14:paraId="62A89C5A">
            <w:pPr>
              <w:pStyle w:val="33"/>
              <w:rPr>
                <w:color w:val="auto"/>
              </w:rPr>
            </w:pPr>
            <w:r>
              <w:rPr>
                <w:rFonts w:hint="eastAsia"/>
                <w:color w:val="auto"/>
              </w:rPr>
              <w:t>15.502</w:t>
            </w:r>
          </w:p>
        </w:tc>
        <w:tc>
          <w:tcPr>
            <w:tcW w:w="855" w:type="pct"/>
            <w:vAlign w:val="center"/>
          </w:tcPr>
          <w:p w14:paraId="798312B7">
            <w:pPr>
              <w:pStyle w:val="33"/>
              <w:rPr>
                <w:color w:val="auto"/>
              </w:rPr>
            </w:pPr>
            <w:r>
              <w:rPr>
                <w:rFonts w:hint="eastAsia"/>
                <w:color w:val="auto"/>
              </w:rPr>
              <w:t>39.043</w:t>
            </w:r>
          </w:p>
        </w:tc>
      </w:tr>
      <w:tr w14:paraId="60BF59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133107FA">
            <w:pPr>
              <w:pStyle w:val="33"/>
              <w:rPr>
                <w:color w:val="auto"/>
              </w:rPr>
            </w:pPr>
          </w:p>
        </w:tc>
        <w:tc>
          <w:tcPr>
            <w:tcW w:w="782" w:type="pct"/>
            <w:vAlign w:val="center"/>
          </w:tcPr>
          <w:p w14:paraId="5B0BBBD0">
            <w:pPr>
              <w:pStyle w:val="33"/>
              <w:rPr>
                <w:color w:val="auto"/>
              </w:rPr>
            </w:pPr>
            <w:r>
              <w:rPr>
                <w:rFonts w:hint="eastAsia"/>
                <w:color w:val="auto"/>
              </w:rPr>
              <w:t>11月</w:t>
            </w:r>
          </w:p>
        </w:tc>
        <w:tc>
          <w:tcPr>
            <w:tcW w:w="782" w:type="pct"/>
            <w:vAlign w:val="center"/>
          </w:tcPr>
          <w:p w14:paraId="6C310B07">
            <w:pPr>
              <w:pStyle w:val="33"/>
              <w:rPr>
                <w:color w:val="auto"/>
              </w:rPr>
            </w:pPr>
            <w:r>
              <w:rPr>
                <w:rFonts w:hint="eastAsia"/>
                <w:color w:val="auto"/>
              </w:rPr>
              <w:t>120.97</w:t>
            </w:r>
          </w:p>
        </w:tc>
        <w:tc>
          <w:tcPr>
            <w:tcW w:w="940" w:type="pct"/>
            <w:vAlign w:val="center"/>
          </w:tcPr>
          <w:p w14:paraId="3080FE09">
            <w:pPr>
              <w:pStyle w:val="33"/>
              <w:rPr>
                <w:color w:val="auto"/>
              </w:rPr>
            </w:pPr>
            <w:r>
              <w:rPr>
                <w:rFonts w:hint="eastAsia"/>
                <w:color w:val="auto"/>
              </w:rPr>
              <w:t>9.119</w:t>
            </w:r>
          </w:p>
        </w:tc>
        <w:tc>
          <w:tcPr>
            <w:tcW w:w="861" w:type="pct"/>
            <w:vAlign w:val="center"/>
          </w:tcPr>
          <w:p w14:paraId="5F9E67B9">
            <w:pPr>
              <w:pStyle w:val="33"/>
              <w:rPr>
                <w:color w:val="auto"/>
              </w:rPr>
            </w:pPr>
            <w:r>
              <w:rPr>
                <w:rFonts w:hint="eastAsia"/>
                <w:color w:val="auto"/>
              </w:rPr>
              <w:t>12.187</w:t>
            </w:r>
          </w:p>
        </w:tc>
        <w:tc>
          <w:tcPr>
            <w:tcW w:w="855" w:type="pct"/>
            <w:vAlign w:val="center"/>
          </w:tcPr>
          <w:p w14:paraId="5AFE16D9">
            <w:pPr>
              <w:pStyle w:val="33"/>
              <w:rPr>
                <w:color w:val="auto"/>
              </w:rPr>
            </w:pPr>
            <w:r>
              <w:rPr>
                <w:rFonts w:hint="eastAsia"/>
                <w:color w:val="auto"/>
              </w:rPr>
              <w:t>36.421</w:t>
            </w:r>
          </w:p>
        </w:tc>
      </w:tr>
      <w:tr w14:paraId="3C6AC9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27CECA1B">
            <w:pPr>
              <w:pStyle w:val="33"/>
              <w:rPr>
                <w:color w:val="auto"/>
              </w:rPr>
            </w:pPr>
          </w:p>
        </w:tc>
        <w:tc>
          <w:tcPr>
            <w:tcW w:w="782" w:type="pct"/>
            <w:vAlign w:val="center"/>
          </w:tcPr>
          <w:p w14:paraId="432C44F3">
            <w:pPr>
              <w:pStyle w:val="33"/>
              <w:rPr>
                <w:color w:val="auto"/>
              </w:rPr>
            </w:pPr>
            <w:r>
              <w:rPr>
                <w:rFonts w:hint="eastAsia"/>
                <w:color w:val="auto"/>
              </w:rPr>
              <w:t>12月</w:t>
            </w:r>
          </w:p>
        </w:tc>
        <w:tc>
          <w:tcPr>
            <w:tcW w:w="782" w:type="pct"/>
            <w:vAlign w:val="center"/>
          </w:tcPr>
          <w:p w14:paraId="145E01A3">
            <w:pPr>
              <w:pStyle w:val="33"/>
              <w:rPr>
                <w:color w:val="auto"/>
              </w:rPr>
            </w:pPr>
            <w:r>
              <w:rPr>
                <w:rFonts w:hint="eastAsia"/>
                <w:color w:val="auto"/>
              </w:rPr>
              <w:t>120.19</w:t>
            </w:r>
          </w:p>
        </w:tc>
        <w:tc>
          <w:tcPr>
            <w:tcW w:w="940" w:type="pct"/>
            <w:vAlign w:val="center"/>
          </w:tcPr>
          <w:p w14:paraId="75717825">
            <w:pPr>
              <w:pStyle w:val="33"/>
              <w:rPr>
                <w:color w:val="auto"/>
              </w:rPr>
            </w:pPr>
            <w:r>
              <w:rPr>
                <w:rFonts w:hint="eastAsia"/>
                <w:color w:val="auto"/>
              </w:rPr>
              <w:t>5.055</w:t>
            </w:r>
          </w:p>
        </w:tc>
        <w:tc>
          <w:tcPr>
            <w:tcW w:w="861" w:type="pct"/>
            <w:vAlign w:val="center"/>
          </w:tcPr>
          <w:p w14:paraId="1D1B0A8C">
            <w:pPr>
              <w:pStyle w:val="33"/>
              <w:rPr>
                <w:color w:val="auto"/>
              </w:rPr>
            </w:pPr>
            <w:r>
              <w:rPr>
                <w:rFonts w:hint="eastAsia"/>
                <w:color w:val="auto"/>
              </w:rPr>
              <w:t>12.971</w:t>
            </w:r>
          </w:p>
        </w:tc>
        <w:tc>
          <w:tcPr>
            <w:tcW w:w="855" w:type="pct"/>
            <w:vAlign w:val="center"/>
          </w:tcPr>
          <w:p w14:paraId="31704DF0">
            <w:pPr>
              <w:pStyle w:val="33"/>
              <w:rPr>
                <w:color w:val="auto"/>
              </w:rPr>
            </w:pPr>
            <w:r>
              <w:rPr>
                <w:rFonts w:hint="eastAsia"/>
                <w:color w:val="auto"/>
              </w:rPr>
              <w:t>35.446</w:t>
            </w:r>
          </w:p>
        </w:tc>
      </w:tr>
      <w:tr w14:paraId="1FFBB0E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7AFE1E5">
            <w:pPr>
              <w:pStyle w:val="33"/>
              <w:rPr>
                <w:color w:val="auto"/>
              </w:rPr>
            </w:pPr>
          </w:p>
        </w:tc>
        <w:tc>
          <w:tcPr>
            <w:tcW w:w="1564" w:type="pct"/>
            <w:gridSpan w:val="2"/>
            <w:vAlign w:val="center"/>
          </w:tcPr>
          <w:p w14:paraId="6179F6CA">
            <w:pPr>
              <w:pStyle w:val="33"/>
              <w:rPr>
                <w:color w:val="auto"/>
              </w:rPr>
            </w:pPr>
            <w:r>
              <w:rPr>
                <w:rFonts w:hint="eastAsia"/>
                <w:color w:val="auto"/>
              </w:rPr>
              <w:t>达标情况</w:t>
            </w:r>
          </w:p>
        </w:tc>
        <w:tc>
          <w:tcPr>
            <w:tcW w:w="940" w:type="pct"/>
            <w:vAlign w:val="center"/>
          </w:tcPr>
          <w:p w14:paraId="1EFD931A">
            <w:pPr>
              <w:pStyle w:val="33"/>
              <w:rPr>
                <w:color w:val="auto"/>
              </w:rPr>
            </w:pPr>
            <w:r>
              <w:rPr>
                <w:rFonts w:hint="eastAsia"/>
                <w:color w:val="auto"/>
              </w:rPr>
              <w:t>达标</w:t>
            </w:r>
          </w:p>
        </w:tc>
        <w:tc>
          <w:tcPr>
            <w:tcW w:w="861" w:type="pct"/>
            <w:vAlign w:val="center"/>
          </w:tcPr>
          <w:p w14:paraId="01011F9F">
            <w:pPr>
              <w:pStyle w:val="33"/>
              <w:rPr>
                <w:color w:val="auto"/>
              </w:rPr>
            </w:pPr>
            <w:r>
              <w:rPr>
                <w:rFonts w:hint="eastAsia"/>
                <w:color w:val="auto"/>
              </w:rPr>
              <w:t>达标</w:t>
            </w:r>
          </w:p>
        </w:tc>
        <w:tc>
          <w:tcPr>
            <w:tcW w:w="855" w:type="pct"/>
            <w:vAlign w:val="center"/>
          </w:tcPr>
          <w:p w14:paraId="2326BBB4">
            <w:pPr>
              <w:pStyle w:val="33"/>
              <w:rPr>
                <w:color w:val="auto"/>
              </w:rPr>
            </w:pPr>
            <w:r>
              <w:rPr>
                <w:rFonts w:hint="eastAsia"/>
                <w:color w:val="auto"/>
              </w:rPr>
              <w:t>达标</w:t>
            </w:r>
          </w:p>
        </w:tc>
      </w:tr>
      <w:tr w14:paraId="0E79A7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restart"/>
            <w:tcBorders>
              <w:left w:val="single" w:color="auto" w:sz="4" w:space="0"/>
            </w:tcBorders>
            <w:vAlign w:val="center"/>
          </w:tcPr>
          <w:p w14:paraId="15BF2C7C">
            <w:pPr>
              <w:pStyle w:val="33"/>
              <w:rPr>
                <w:color w:val="auto"/>
              </w:rPr>
            </w:pPr>
            <w:r>
              <w:rPr>
                <w:color w:val="auto"/>
              </w:rPr>
              <w:t>2#锅炉</w:t>
            </w:r>
            <w:r>
              <w:rPr>
                <w:rFonts w:hint="eastAsia"/>
                <w:color w:val="auto"/>
              </w:rPr>
              <w:t>（DA007）</w:t>
            </w:r>
          </w:p>
        </w:tc>
        <w:tc>
          <w:tcPr>
            <w:tcW w:w="782" w:type="pct"/>
            <w:vAlign w:val="center"/>
          </w:tcPr>
          <w:p w14:paraId="621A4B9A">
            <w:pPr>
              <w:pStyle w:val="33"/>
              <w:rPr>
                <w:color w:val="auto"/>
              </w:rPr>
            </w:pPr>
            <w:r>
              <w:rPr>
                <w:rFonts w:hint="eastAsia"/>
                <w:color w:val="auto"/>
              </w:rPr>
              <w:t>1月</w:t>
            </w:r>
          </w:p>
        </w:tc>
        <w:tc>
          <w:tcPr>
            <w:tcW w:w="782" w:type="pct"/>
            <w:vAlign w:val="center"/>
          </w:tcPr>
          <w:p w14:paraId="25D33E22">
            <w:pPr>
              <w:pStyle w:val="33"/>
              <w:rPr>
                <w:color w:val="auto"/>
              </w:rPr>
            </w:pPr>
            <w:r>
              <w:rPr>
                <w:rFonts w:hint="eastAsia"/>
                <w:color w:val="auto"/>
              </w:rPr>
              <w:t>109.779</w:t>
            </w:r>
          </w:p>
        </w:tc>
        <w:tc>
          <w:tcPr>
            <w:tcW w:w="940" w:type="pct"/>
            <w:vAlign w:val="center"/>
          </w:tcPr>
          <w:p w14:paraId="34035ECA">
            <w:pPr>
              <w:pStyle w:val="33"/>
              <w:rPr>
                <w:color w:val="auto"/>
              </w:rPr>
            </w:pPr>
            <w:r>
              <w:rPr>
                <w:rFonts w:hint="eastAsia"/>
                <w:color w:val="auto"/>
              </w:rPr>
              <w:t>3.316</w:t>
            </w:r>
          </w:p>
        </w:tc>
        <w:tc>
          <w:tcPr>
            <w:tcW w:w="861" w:type="pct"/>
            <w:vAlign w:val="center"/>
          </w:tcPr>
          <w:p w14:paraId="00584D51">
            <w:pPr>
              <w:pStyle w:val="33"/>
              <w:rPr>
                <w:color w:val="auto"/>
              </w:rPr>
            </w:pPr>
            <w:r>
              <w:rPr>
                <w:rFonts w:hint="eastAsia"/>
                <w:color w:val="auto"/>
              </w:rPr>
              <w:t>6.8</w:t>
            </w:r>
          </w:p>
        </w:tc>
        <w:tc>
          <w:tcPr>
            <w:tcW w:w="855" w:type="pct"/>
            <w:vAlign w:val="center"/>
          </w:tcPr>
          <w:p w14:paraId="569ADF69">
            <w:pPr>
              <w:pStyle w:val="33"/>
              <w:rPr>
                <w:color w:val="auto"/>
              </w:rPr>
            </w:pPr>
            <w:r>
              <w:rPr>
                <w:rFonts w:hint="eastAsia"/>
                <w:color w:val="auto"/>
              </w:rPr>
              <w:t>32.624</w:t>
            </w:r>
          </w:p>
        </w:tc>
      </w:tr>
      <w:tr w14:paraId="4E7031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C2801FF">
            <w:pPr>
              <w:pStyle w:val="33"/>
              <w:rPr>
                <w:color w:val="auto"/>
              </w:rPr>
            </w:pPr>
          </w:p>
        </w:tc>
        <w:tc>
          <w:tcPr>
            <w:tcW w:w="782" w:type="pct"/>
            <w:vAlign w:val="center"/>
          </w:tcPr>
          <w:p w14:paraId="55E18441">
            <w:pPr>
              <w:pStyle w:val="33"/>
              <w:rPr>
                <w:color w:val="auto"/>
              </w:rPr>
            </w:pPr>
            <w:r>
              <w:rPr>
                <w:rFonts w:hint="eastAsia"/>
                <w:color w:val="auto"/>
              </w:rPr>
              <w:t>2月</w:t>
            </w:r>
          </w:p>
        </w:tc>
        <w:tc>
          <w:tcPr>
            <w:tcW w:w="782" w:type="pct"/>
            <w:vAlign w:val="center"/>
          </w:tcPr>
          <w:p w14:paraId="479B8BC0">
            <w:pPr>
              <w:pStyle w:val="33"/>
              <w:rPr>
                <w:color w:val="auto"/>
              </w:rPr>
            </w:pPr>
            <w:r>
              <w:rPr>
                <w:rFonts w:hint="eastAsia"/>
                <w:color w:val="auto"/>
              </w:rPr>
              <w:t>106.129</w:t>
            </w:r>
          </w:p>
        </w:tc>
        <w:tc>
          <w:tcPr>
            <w:tcW w:w="940" w:type="pct"/>
            <w:vAlign w:val="center"/>
          </w:tcPr>
          <w:p w14:paraId="354D324C">
            <w:pPr>
              <w:pStyle w:val="33"/>
              <w:rPr>
                <w:color w:val="auto"/>
              </w:rPr>
            </w:pPr>
            <w:r>
              <w:rPr>
                <w:rFonts w:hint="eastAsia"/>
                <w:color w:val="auto"/>
              </w:rPr>
              <w:t>3.710</w:t>
            </w:r>
          </w:p>
        </w:tc>
        <w:tc>
          <w:tcPr>
            <w:tcW w:w="861" w:type="pct"/>
            <w:vAlign w:val="center"/>
          </w:tcPr>
          <w:p w14:paraId="6D8F5683">
            <w:pPr>
              <w:pStyle w:val="33"/>
              <w:rPr>
                <w:color w:val="auto"/>
              </w:rPr>
            </w:pPr>
            <w:r>
              <w:rPr>
                <w:rFonts w:hint="eastAsia"/>
                <w:color w:val="auto"/>
              </w:rPr>
              <w:t>8.225</w:t>
            </w:r>
          </w:p>
        </w:tc>
        <w:tc>
          <w:tcPr>
            <w:tcW w:w="855" w:type="pct"/>
            <w:vAlign w:val="center"/>
          </w:tcPr>
          <w:p w14:paraId="2EF6D5AE">
            <w:pPr>
              <w:pStyle w:val="33"/>
              <w:rPr>
                <w:color w:val="auto"/>
              </w:rPr>
            </w:pPr>
            <w:r>
              <w:rPr>
                <w:rFonts w:hint="eastAsia"/>
                <w:color w:val="auto"/>
              </w:rPr>
              <w:t>31.981</w:t>
            </w:r>
          </w:p>
        </w:tc>
      </w:tr>
      <w:tr w14:paraId="4DB69C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41364B05">
            <w:pPr>
              <w:pStyle w:val="33"/>
              <w:rPr>
                <w:color w:val="auto"/>
              </w:rPr>
            </w:pPr>
          </w:p>
        </w:tc>
        <w:tc>
          <w:tcPr>
            <w:tcW w:w="782" w:type="pct"/>
            <w:vAlign w:val="center"/>
          </w:tcPr>
          <w:p w14:paraId="5AE8E731">
            <w:pPr>
              <w:pStyle w:val="33"/>
              <w:rPr>
                <w:color w:val="auto"/>
              </w:rPr>
            </w:pPr>
            <w:r>
              <w:rPr>
                <w:rFonts w:hint="eastAsia"/>
                <w:color w:val="auto"/>
              </w:rPr>
              <w:t>3月</w:t>
            </w:r>
          </w:p>
        </w:tc>
        <w:tc>
          <w:tcPr>
            <w:tcW w:w="782" w:type="pct"/>
            <w:vAlign w:val="center"/>
          </w:tcPr>
          <w:p w14:paraId="33FA1D9D">
            <w:pPr>
              <w:pStyle w:val="33"/>
              <w:rPr>
                <w:color w:val="auto"/>
              </w:rPr>
            </w:pPr>
            <w:r>
              <w:rPr>
                <w:rFonts w:hint="eastAsia"/>
                <w:color w:val="auto"/>
              </w:rPr>
              <w:t>105.401</w:t>
            </w:r>
          </w:p>
        </w:tc>
        <w:tc>
          <w:tcPr>
            <w:tcW w:w="940" w:type="pct"/>
            <w:vAlign w:val="center"/>
          </w:tcPr>
          <w:p w14:paraId="1D4EEF92">
            <w:pPr>
              <w:pStyle w:val="33"/>
              <w:rPr>
                <w:color w:val="auto"/>
              </w:rPr>
            </w:pPr>
            <w:r>
              <w:rPr>
                <w:rFonts w:hint="eastAsia"/>
                <w:color w:val="auto"/>
              </w:rPr>
              <w:t>3.437</w:t>
            </w:r>
          </w:p>
        </w:tc>
        <w:tc>
          <w:tcPr>
            <w:tcW w:w="861" w:type="pct"/>
            <w:vAlign w:val="center"/>
          </w:tcPr>
          <w:p w14:paraId="78497E37">
            <w:pPr>
              <w:pStyle w:val="33"/>
              <w:rPr>
                <w:color w:val="auto"/>
              </w:rPr>
            </w:pPr>
            <w:r>
              <w:rPr>
                <w:rFonts w:hint="eastAsia"/>
                <w:color w:val="auto"/>
              </w:rPr>
              <w:t>6.562</w:t>
            </w:r>
          </w:p>
        </w:tc>
        <w:tc>
          <w:tcPr>
            <w:tcW w:w="855" w:type="pct"/>
            <w:vAlign w:val="center"/>
          </w:tcPr>
          <w:p w14:paraId="367BFD71">
            <w:pPr>
              <w:pStyle w:val="33"/>
              <w:rPr>
                <w:color w:val="auto"/>
              </w:rPr>
            </w:pPr>
            <w:r>
              <w:rPr>
                <w:rFonts w:hint="eastAsia"/>
                <w:color w:val="auto"/>
              </w:rPr>
              <w:t>37.434</w:t>
            </w:r>
          </w:p>
        </w:tc>
      </w:tr>
      <w:tr w14:paraId="3BEFC8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19D2E7C">
            <w:pPr>
              <w:pStyle w:val="33"/>
              <w:rPr>
                <w:color w:val="auto"/>
              </w:rPr>
            </w:pPr>
          </w:p>
        </w:tc>
        <w:tc>
          <w:tcPr>
            <w:tcW w:w="782" w:type="pct"/>
            <w:vAlign w:val="center"/>
          </w:tcPr>
          <w:p w14:paraId="360D4029">
            <w:pPr>
              <w:pStyle w:val="33"/>
              <w:rPr>
                <w:color w:val="auto"/>
              </w:rPr>
            </w:pPr>
            <w:r>
              <w:rPr>
                <w:rFonts w:hint="eastAsia"/>
                <w:color w:val="auto"/>
              </w:rPr>
              <w:t>4月</w:t>
            </w:r>
          </w:p>
        </w:tc>
        <w:tc>
          <w:tcPr>
            <w:tcW w:w="782" w:type="pct"/>
            <w:vAlign w:val="center"/>
          </w:tcPr>
          <w:p w14:paraId="35633B23">
            <w:pPr>
              <w:pStyle w:val="33"/>
              <w:rPr>
                <w:color w:val="auto"/>
              </w:rPr>
            </w:pPr>
            <w:r>
              <w:rPr>
                <w:rFonts w:hint="eastAsia"/>
                <w:color w:val="auto"/>
              </w:rPr>
              <w:t>97.217</w:t>
            </w:r>
          </w:p>
        </w:tc>
        <w:tc>
          <w:tcPr>
            <w:tcW w:w="940" w:type="pct"/>
            <w:vAlign w:val="center"/>
          </w:tcPr>
          <w:p w14:paraId="3AE08A2D">
            <w:pPr>
              <w:pStyle w:val="33"/>
              <w:rPr>
                <w:color w:val="auto"/>
              </w:rPr>
            </w:pPr>
            <w:r>
              <w:rPr>
                <w:rFonts w:hint="eastAsia"/>
                <w:color w:val="auto"/>
              </w:rPr>
              <w:t>3.726</w:t>
            </w:r>
          </w:p>
        </w:tc>
        <w:tc>
          <w:tcPr>
            <w:tcW w:w="861" w:type="pct"/>
            <w:vAlign w:val="center"/>
          </w:tcPr>
          <w:p w14:paraId="5321BFBB">
            <w:pPr>
              <w:pStyle w:val="33"/>
              <w:rPr>
                <w:color w:val="auto"/>
              </w:rPr>
            </w:pPr>
            <w:r>
              <w:rPr>
                <w:rFonts w:hint="eastAsia"/>
                <w:color w:val="auto"/>
              </w:rPr>
              <w:t>6.645</w:t>
            </w:r>
          </w:p>
        </w:tc>
        <w:tc>
          <w:tcPr>
            <w:tcW w:w="855" w:type="pct"/>
            <w:vAlign w:val="center"/>
          </w:tcPr>
          <w:p w14:paraId="50C54B8A">
            <w:pPr>
              <w:pStyle w:val="33"/>
              <w:rPr>
                <w:color w:val="auto"/>
              </w:rPr>
            </w:pPr>
            <w:r>
              <w:rPr>
                <w:rFonts w:hint="eastAsia"/>
                <w:color w:val="auto"/>
              </w:rPr>
              <w:t>47.28</w:t>
            </w:r>
          </w:p>
        </w:tc>
      </w:tr>
      <w:tr w14:paraId="045CB0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8EA8D8A">
            <w:pPr>
              <w:pStyle w:val="33"/>
              <w:rPr>
                <w:color w:val="auto"/>
              </w:rPr>
            </w:pPr>
          </w:p>
        </w:tc>
        <w:tc>
          <w:tcPr>
            <w:tcW w:w="782" w:type="pct"/>
            <w:vAlign w:val="center"/>
          </w:tcPr>
          <w:p w14:paraId="5944E131">
            <w:pPr>
              <w:pStyle w:val="33"/>
              <w:rPr>
                <w:color w:val="auto"/>
              </w:rPr>
            </w:pPr>
            <w:r>
              <w:rPr>
                <w:rFonts w:hint="eastAsia"/>
                <w:color w:val="auto"/>
              </w:rPr>
              <w:t>5月</w:t>
            </w:r>
          </w:p>
        </w:tc>
        <w:tc>
          <w:tcPr>
            <w:tcW w:w="782" w:type="pct"/>
            <w:vAlign w:val="center"/>
          </w:tcPr>
          <w:p w14:paraId="427FEA98">
            <w:pPr>
              <w:pStyle w:val="33"/>
              <w:rPr>
                <w:color w:val="auto"/>
              </w:rPr>
            </w:pPr>
            <w:r>
              <w:rPr>
                <w:rFonts w:hint="eastAsia"/>
                <w:color w:val="auto"/>
              </w:rPr>
              <w:t>98.441</w:t>
            </w:r>
          </w:p>
        </w:tc>
        <w:tc>
          <w:tcPr>
            <w:tcW w:w="940" w:type="pct"/>
            <w:vAlign w:val="center"/>
          </w:tcPr>
          <w:p w14:paraId="4057A23C">
            <w:pPr>
              <w:pStyle w:val="33"/>
              <w:rPr>
                <w:color w:val="auto"/>
              </w:rPr>
            </w:pPr>
            <w:r>
              <w:rPr>
                <w:rFonts w:hint="eastAsia"/>
                <w:color w:val="auto"/>
              </w:rPr>
              <w:t>4.15</w:t>
            </w:r>
          </w:p>
        </w:tc>
        <w:tc>
          <w:tcPr>
            <w:tcW w:w="861" w:type="pct"/>
            <w:vAlign w:val="center"/>
          </w:tcPr>
          <w:p w14:paraId="7CF7A98A">
            <w:pPr>
              <w:pStyle w:val="33"/>
              <w:rPr>
                <w:color w:val="auto"/>
              </w:rPr>
            </w:pPr>
            <w:r>
              <w:rPr>
                <w:rFonts w:hint="eastAsia"/>
                <w:color w:val="auto"/>
              </w:rPr>
              <w:t>8.689</w:t>
            </w:r>
          </w:p>
        </w:tc>
        <w:tc>
          <w:tcPr>
            <w:tcW w:w="855" w:type="pct"/>
            <w:vAlign w:val="center"/>
          </w:tcPr>
          <w:p w14:paraId="443019DB">
            <w:pPr>
              <w:pStyle w:val="33"/>
              <w:rPr>
                <w:color w:val="auto"/>
              </w:rPr>
            </w:pPr>
            <w:r>
              <w:rPr>
                <w:rFonts w:hint="eastAsia"/>
                <w:color w:val="auto"/>
              </w:rPr>
              <w:t>36.199</w:t>
            </w:r>
          </w:p>
        </w:tc>
      </w:tr>
      <w:tr w14:paraId="67D2A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2F7F5A0">
            <w:pPr>
              <w:pStyle w:val="33"/>
              <w:rPr>
                <w:color w:val="auto"/>
              </w:rPr>
            </w:pPr>
          </w:p>
        </w:tc>
        <w:tc>
          <w:tcPr>
            <w:tcW w:w="782" w:type="pct"/>
            <w:vAlign w:val="center"/>
          </w:tcPr>
          <w:p w14:paraId="2D96E1B4">
            <w:pPr>
              <w:pStyle w:val="33"/>
              <w:rPr>
                <w:color w:val="auto"/>
              </w:rPr>
            </w:pPr>
            <w:r>
              <w:rPr>
                <w:rFonts w:hint="eastAsia"/>
                <w:color w:val="auto"/>
              </w:rPr>
              <w:t>6月</w:t>
            </w:r>
          </w:p>
        </w:tc>
        <w:tc>
          <w:tcPr>
            <w:tcW w:w="782" w:type="pct"/>
            <w:vAlign w:val="center"/>
          </w:tcPr>
          <w:p w14:paraId="105D837F">
            <w:pPr>
              <w:pStyle w:val="33"/>
              <w:rPr>
                <w:color w:val="auto"/>
              </w:rPr>
            </w:pPr>
            <w:r>
              <w:rPr>
                <w:rFonts w:hint="eastAsia"/>
                <w:color w:val="auto"/>
              </w:rPr>
              <w:t>102.189</w:t>
            </w:r>
          </w:p>
        </w:tc>
        <w:tc>
          <w:tcPr>
            <w:tcW w:w="940" w:type="pct"/>
            <w:vAlign w:val="center"/>
          </w:tcPr>
          <w:p w14:paraId="6E8A4F17">
            <w:pPr>
              <w:pStyle w:val="33"/>
              <w:rPr>
                <w:color w:val="auto"/>
              </w:rPr>
            </w:pPr>
            <w:r>
              <w:rPr>
                <w:rFonts w:hint="eastAsia"/>
                <w:color w:val="auto"/>
              </w:rPr>
              <w:t>4.415</w:t>
            </w:r>
          </w:p>
        </w:tc>
        <w:tc>
          <w:tcPr>
            <w:tcW w:w="861" w:type="pct"/>
            <w:vAlign w:val="center"/>
          </w:tcPr>
          <w:p w14:paraId="4B0908C9">
            <w:pPr>
              <w:pStyle w:val="33"/>
              <w:rPr>
                <w:color w:val="auto"/>
              </w:rPr>
            </w:pPr>
            <w:r>
              <w:rPr>
                <w:rFonts w:hint="eastAsia"/>
                <w:color w:val="auto"/>
              </w:rPr>
              <w:t>9.918</w:t>
            </w:r>
          </w:p>
        </w:tc>
        <w:tc>
          <w:tcPr>
            <w:tcW w:w="855" w:type="pct"/>
            <w:vAlign w:val="center"/>
          </w:tcPr>
          <w:p w14:paraId="34A2E25C">
            <w:pPr>
              <w:pStyle w:val="33"/>
              <w:rPr>
                <w:color w:val="auto"/>
              </w:rPr>
            </w:pPr>
            <w:r>
              <w:rPr>
                <w:rFonts w:hint="eastAsia"/>
                <w:color w:val="auto"/>
              </w:rPr>
              <w:t>37.187</w:t>
            </w:r>
          </w:p>
        </w:tc>
      </w:tr>
      <w:tr w14:paraId="2DF1C2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780" w:type="pct"/>
            <w:vMerge w:val="continue"/>
            <w:tcBorders>
              <w:left w:val="single" w:color="auto" w:sz="4" w:space="0"/>
            </w:tcBorders>
            <w:vAlign w:val="center"/>
          </w:tcPr>
          <w:p w14:paraId="175DCB6D">
            <w:pPr>
              <w:pStyle w:val="33"/>
              <w:rPr>
                <w:color w:val="auto"/>
              </w:rPr>
            </w:pPr>
          </w:p>
        </w:tc>
        <w:tc>
          <w:tcPr>
            <w:tcW w:w="782" w:type="pct"/>
            <w:vAlign w:val="center"/>
          </w:tcPr>
          <w:p w14:paraId="0451C3F5">
            <w:pPr>
              <w:pStyle w:val="33"/>
              <w:rPr>
                <w:color w:val="auto"/>
              </w:rPr>
            </w:pPr>
            <w:r>
              <w:rPr>
                <w:rFonts w:hint="eastAsia"/>
                <w:color w:val="auto"/>
              </w:rPr>
              <w:t>7月</w:t>
            </w:r>
          </w:p>
        </w:tc>
        <w:tc>
          <w:tcPr>
            <w:tcW w:w="782" w:type="pct"/>
            <w:vAlign w:val="center"/>
          </w:tcPr>
          <w:p w14:paraId="4FD739B0">
            <w:pPr>
              <w:pStyle w:val="33"/>
              <w:rPr>
                <w:color w:val="auto"/>
              </w:rPr>
            </w:pPr>
            <w:r>
              <w:rPr>
                <w:rFonts w:hint="eastAsia"/>
                <w:color w:val="auto"/>
              </w:rPr>
              <w:t>118.159</w:t>
            </w:r>
          </w:p>
        </w:tc>
        <w:tc>
          <w:tcPr>
            <w:tcW w:w="940" w:type="pct"/>
            <w:vAlign w:val="center"/>
          </w:tcPr>
          <w:p w14:paraId="0ECCEACF">
            <w:pPr>
              <w:pStyle w:val="33"/>
              <w:rPr>
                <w:color w:val="auto"/>
              </w:rPr>
            </w:pPr>
            <w:r>
              <w:rPr>
                <w:rFonts w:hint="eastAsia"/>
                <w:color w:val="auto"/>
              </w:rPr>
              <w:t>4.455</w:t>
            </w:r>
          </w:p>
        </w:tc>
        <w:tc>
          <w:tcPr>
            <w:tcW w:w="861" w:type="pct"/>
            <w:vAlign w:val="center"/>
          </w:tcPr>
          <w:p w14:paraId="6658C0D1">
            <w:pPr>
              <w:pStyle w:val="33"/>
              <w:rPr>
                <w:color w:val="auto"/>
              </w:rPr>
            </w:pPr>
            <w:r>
              <w:rPr>
                <w:rFonts w:hint="eastAsia"/>
                <w:color w:val="auto"/>
              </w:rPr>
              <w:t>11.447</w:t>
            </w:r>
          </w:p>
        </w:tc>
        <w:tc>
          <w:tcPr>
            <w:tcW w:w="855" w:type="pct"/>
            <w:vAlign w:val="center"/>
          </w:tcPr>
          <w:p w14:paraId="75EA05E9">
            <w:pPr>
              <w:pStyle w:val="33"/>
              <w:rPr>
                <w:color w:val="auto"/>
              </w:rPr>
            </w:pPr>
            <w:r>
              <w:rPr>
                <w:rFonts w:hint="eastAsia"/>
                <w:color w:val="auto"/>
              </w:rPr>
              <w:t>38.418</w:t>
            </w:r>
          </w:p>
        </w:tc>
      </w:tr>
      <w:tr w14:paraId="59F372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2EC8B9AF">
            <w:pPr>
              <w:pStyle w:val="33"/>
              <w:rPr>
                <w:color w:val="auto"/>
              </w:rPr>
            </w:pPr>
          </w:p>
        </w:tc>
        <w:tc>
          <w:tcPr>
            <w:tcW w:w="782" w:type="pct"/>
            <w:vAlign w:val="center"/>
          </w:tcPr>
          <w:p w14:paraId="65882D10">
            <w:pPr>
              <w:pStyle w:val="33"/>
              <w:rPr>
                <w:color w:val="auto"/>
              </w:rPr>
            </w:pPr>
            <w:r>
              <w:rPr>
                <w:rFonts w:hint="eastAsia"/>
                <w:color w:val="auto"/>
              </w:rPr>
              <w:t>8月</w:t>
            </w:r>
          </w:p>
        </w:tc>
        <w:tc>
          <w:tcPr>
            <w:tcW w:w="782" w:type="pct"/>
            <w:vAlign w:val="center"/>
          </w:tcPr>
          <w:p w14:paraId="3435AB62">
            <w:pPr>
              <w:pStyle w:val="33"/>
              <w:rPr>
                <w:color w:val="auto"/>
              </w:rPr>
            </w:pPr>
            <w:r>
              <w:rPr>
                <w:rFonts w:hint="eastAsia"/>
                <w:color w:val="auto"/>
              </w:rPr>
              <w:t>101.202</w:t>
            </w:r>
          </w:p>
        </w:tc>
        <w:tc>
          <w:tcPr>
            <w:tcW w:w="940" w:type="pct"/>
            <w:vAlign w:val="center"/>
          </w:tcPr>
          <w:p w14:paraId="09FCB003">
            <w:pPr>
              <w:pStyle w:val="33"/>
              <w:rPr>
                <w:color w:val="auto"/>
              </w:rPr>
            </w:pPr>
            <w:r>
              <w:rPr>
                <w:rFonts w:hint="eastAsia"/>
                <w:color w:val="auto"/>
              </w:rPr>
              <w:t>4.073</w:t>
            </w:r>
          </w:p>
        </w:tc>
        <w:tc>
          <w:tcPr>
            <w:tcW w:w="861" w:type="pct"/>
            <w:vAlign w:val="center"/>
          </w:tcPr>
          <w:p w14:paraId="3DF91BA9">
            <w:pPr>
              <w:pStyle w:val="33"/>
              <w:rPr>
                <w:color w:val="auto"/>
              </w:rPr>
            </w:pPr>
            <w:r>
              <w:rPr>
                <w:rFonts w:hint="eastAsia"/>
                <w:color w:val="auto"/>
              </w:rPr>
              <w:t>16.494</w:t>
            </w:r>
          </w:p>
        </w:tc>
        <w:tc>
          <w:tcPr>
            <w:tcW w:w="855" w:type="pct"/>
            <w:vAlign w:val="center"/>
          </w:tcPr>
          <w:p w14:paraId="18A7018E">
            <w:pPr>
              <w:pStyle w:val="33"/>
              <w:rPr>
                <w:color w:val="auto"/>
              </w:rPr>
            </w:pPr>
            <w:r>
              <w:rPr>
                <w:rFonts w:hint="eastAsia"/>
                <w:color w:val="auto"/>
              </w:rPr>
              <w:t>35.006</w:t>
            </w:r>
          </w:p>
        </w:tc>
      </w:tr>
      <w:tr w14:paraId="112299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B744238">
            <w:pPr>
              <w:pStyle w:val="33"/>
              <w:rPr>
                <w:color w:val="auto"/>
              </w:rPr>
            </w:pPr>
          </w:p>
        </w:tc>
        <w:tc>
          <w:tcPr>
            <w:tcW w:w="782" w:type="pct"/>
            <w:vAlign w:val="center"/>
          </w:tcPr>
          <w:p w14:paraId="661D472B">
            <w:pPr>
              <w:pStyle w:val="33"/>
              <w:rPr>
                <w:color w:val="auto"/>
              </w:rPr>
            </w:pPr>
            <w:r>
              <w:rPr>
                <w:rFonts w:hint="eastAsia"/>
                <w:color w:val="auto"/>
              </w:rPr>
              <w:t>9月</w:t>
            </w:r>
          </w:p>
        </w:tc>
        <w:tc>
          <w:tcPr>
            <w:tcW w:w="782" w:type="pct"/>
            <w:vAlign w:val="center"/>
          </w:tcPr>
          <w:p w14:paraId="0C401AF6">
            <w:pPr>
              <w:pStyle w:val="33"/>
              <w:rPr>
                <w:color w:val="auto"/>
              </w:rPr>
            </w:pPr>
            <w:r>
              <w:rPr>
                <w:rFonts w:hint="eastAsia"/>
                <w:color w:val="auto"/>
              </w:rPr>
              <w:t>103.437</w:t>
            </w:r>
          </w:p>
        </w:tc>
        <w:tc>
          <w:tcPr>
            <w:tcW w:w="940" w:type="pct"/>
            <w:vAlign w:val="center"/>
          </w:tcPr>
          <w:p w14:paraId="1256F6C8">
            <w:pPr>
              <w:pStyle w:val="33"/>
              <w:rPr>
                <w:color w:val="auto"/>
              </w:rPr>
            </w:pPr>
            <w:r>
              <w:rPr>
                <w:rFonts w:hint="eastAsia"/>
                <w:color w:val="auto"/>
              </w:rPr>
              <w:t>5.164</w:t>
            </w:r>
          </w:p>
        </w:tc>
        <w:tc>
          <w:tcPr>
            <w:tcW w:w="861" w:type="pct"/>
            <w:vAlign w:val="center"/>
          </w:tcPr>
          <w:p w14:paraId="2D461EF7">
            <w:pPr>
              <w:pStyle w:val="33"/>
              <w:rPr>
                <w:color w:val="auto"/>
              </w:rPr>
            </w:pPr>
            <w:r>
              <w:rPr>
                <w:rFonts w:hint="eastAsia"/>
                <w:color w:val="auto"/>
              </w:rPr>
              <w:t>13.739</w:t>
            </w:r>
          </w:p>
        </w:tc>
        <w:tc>
          <w:tcPr>
            <w:tcW w:w="855" w:type="pct"/>
            <w:vAlign w:val="center"/>
          </w:tcPr>
          <w:p w14:paraId="761EA811">
            <w:pPr>
              <w:pStyle w:val="33"/>
              <w:rPr>
                <w:color w:val="auto"/>
              </w:rPr>
            </w:pPr>
            <w:r>
              <w:rPr>
                <w:rFonts w:hint="eastAsia"/>
                <w:color w:val="auto"/>
              </w:rPr>
              <w:t>35.57</w:t>
            </w:r>
          </w:p>
        </w:tc>
      </w:tr>
      <w:tr w14:paraId="769E42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780" w:type="pct"/>
            <w:vMerge w:val="continue"/>
            <w:tcBorders>
              <w:left w:val="single" w:color="auto" w:sz="4" w:space="0"/>
            </w:tcBorders>
            <w:vAlign w:val="center"/>
          </w:tcPr>
          <w:p w14:paraId="775B16B5">
            <w:pPr>
              <w:pStyle w:val="33"/>
              <w:rPr>
                <w:color w:val="auto"/>
              </w:rPr>
            </w:pPr>
          </w:p>
        </w:tc>
        <w:tc>
          <w:tcPr>
            <w:tcW w:w="782" w:type="pct"/>
            <w:vAlign w:val="center"/>
          </w:tcPr>
          <w:p w14:paraId="7C8302E7">
            <w:pPr>
              <w:pStyle w:val="33"/>
              <w:rPr>
                <w:color w:val="auto"/>
              </w:rPr>
            </w:pPr>
            <w:r>
              <w:rPr>
                <w:rFonts w:hint="eastAsia"/>
                <w:color w:val="auto"/>
              </w:rPr>
              <w:t>10月</w:t>
            </w:r>
          </w:p>
        </w:tc>
        <w:tc>
          <w:tcPr>
            <w:tcW w:w="782" w:type="pct"/>
            <w:vAlign w:val="center"/>
          </w:tcPr>
          <w:p w14:paraId="49136083">
            <w:pPr>
              <w:pStyle w:val="33"/>
              <w:rPr>
                <w:color w:val="auto"/>
              </w:rPr>
            </w:pPr>
            <w:r>
              <w:rPr>
                <w:rFonts w:hint="eastAsia"/>
                <w:color w:val="auto"/>
              </w:rPr>
              <w:t>105.927</w:t>
            </w:r>
          </w:p>
        </w:tc>
        <w:tc>
          <w:tcPr>
            <w:tcW w:w="940" w:type="pct"/>
            <w:vAlign w:val="center"/>
          </w:tcPr>
          <w:p w14:paraId="076A6087">
            <w:pPr>
              <w:pStyle w:val="33"/>
              <w:rPr>
                <w:color w:val="auto"/>
              </w:rPr>
            </w:pPr>
            <w:r>
              <w:rPr>
                <w:rFonts w:hint="eastAsia"/>
                <w:color w:val="auto"/>
              </w:rPr>
              <w:t>5.206</w:t>
            </w:r>
          </w:p>
        </w:tc>
        <w:tc>
          <w:tcPr>
            <w:tcW w:w="861" w:type="pct"/>
            <w:vAlign w:val="center"/>
          </w:tcPr>
          <w:p w14:paraId="1705D3D7">
            <w:pPr>
              <w:pStyle w:val="33"/>
              <w:rPr>
                <w:color w:val="auto"/>
              </w:rPr>
            </w:pPr>
            <w:r>
              <w:rPr>
                <w:rFonts w:hint="eastAsia"/>
                <w:color w:val="auto"/>
              </w:rPr>
              <w:t>15.072</w:t>
            </w:r>
          </w:p>
        </w:tc>
        <w:tc>
          <w:tcPr>
            <w:tcW w:w="855" w:type="pct"/>
            <w:vAlign w:val="center"/>
          </w:tcPr>
          <w:p w14:paraId="559CACCE">
            <w:pPr>
              <w:pStyle w:val="33"/>
              <w:rPr>
                <w:color w:val="auto"/>
              </w:rPr>
            </w:pPr>
            <w:r>
              <w:rPr>
                <w:rFonts w:hint="eastAsia"/>
                <w:color w:val="auto"/>
              </w:rPr>
              <w:t>37.605</w:t>
            </w:r>
          </w:p>
        </w:tc>
      </w:tr>
      <w:tr w14:paraId="79661C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306B6A98">
            <w:pPr>
              <w:pStyle w:val="33"/>
              <w:rPr>
                <w:color w:val="auto"/>
              </w:rPr>
            </w:pPr>
          </w:p>
        </w:tc>
        <w:tc>
          <w:tcPr>
            <w:tcW w:w="782" w:type="pct"/>
            <w:vAlign w:val="center"/>
          </w:tcPr>
          <w:p w14:paraId="23E5278E">
            <w:pPr>
              <w:pStyle w:val="33"/>
              <w:rPr>
                <w:color w:val="auto"/>
              </w:rPr>
            </w:pPr>
            <w:r>
              <w:rPr>
                <w:rFonts w:hint="eastAsia"/>
                <w:color w:val="auto"/>
              </w:rPr>
              <w:t>11月</w:t>
            </w:r>
          </w:p>
        </w:tc>
        <w:tc>
          <w:tcPr>
            <w:tcW w:w="782" w:type="pct"/>
            <w:vAlign w:val="center"/>
          </w:tcPr>
          <w:p w14:paraId="292B405D">
            <w:pPr>
              <w:pStyle w:val="33"/>
              <w:rPr>
                <w:color w:val="auto"/>
              </w:rPr>
            </w:pPr>
            <w:r>
              <w:rPr>
                <w:rFonts w:hint="eastAsia"/>
                <w:color w:val="auto"/>
              </w:rPr>
              <w:t>118.689</w:t>
            </w:r>
          </w:p>
        </w:tc>
        <w:tc>
          <w:tcPr>
            <w:tcW w:w="940" w:type="pct"/>
            <w:vAlign w:val="center"/>
          </w:tcPr>
          <w:p w14:paraId="7B50F816">
            <w:pPr>
              <w:pStyle w:val="33"/>
              <w:rPr>
                <w:color w:val="auto"/>
              </w:rPr>
            </w:pPr>
            <w:r>
              <w:rPr>
                <w:rFonts w:hint="eastAsia"/>
                <w:color w:val="auto"/>
              </w:rPr>
              <w:t>4.378</w:t>
            </w:r>
          </w:p>
        </w:tc>
        <w:tc>
          <w:tcPr>
            <w:tcW w:w="861" w:type="pct"/>
            <w:vAlign w:val="center"/>
          </w:tcPr>
          <w:p w14:paraId="6C4A6F0F">
            <w:pPr>
              <w:pStyle w:val="33"/>
              <w:rPr>
                <w:color w:val="auto"/>
              </w:rPr>
            </w:pPr>
            <w:r>
              <w:rPr>
                <w:rFonts w:hint="eastAsia"/>
                <w:color w:val="auto"/>
              </w:rPr>
              <w:t>13.83</w:t>
            </w:r>
          </w:p>
        </w:tc>
        <w:tc>
          <w:tcPr>
            <w:tcW w:w="855" w:type="pct"/>
            <w:vAlign w:val="center"/>
          </w:tcPr>
          <w:p w14:paraId="7E937115">
            <w:pPr>
              <w:pStyle w:val="33"/>
              <w:rPr>
                <w:color w:val="auto"/>
              </w:rPr>
            </w:pPr>
            <w:r>
              <w:rPr>
                <w:rFonts w:hint="eastAsia"/>
                <w:color w:val="auto"/>
              </w:rPr>
              <w:t>39.661</w:t>
            </w:r>
          </w:p>
        </w:tc>
      </w:tr>
      <w:tr w14:paraId="227D7C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D5A8DEC">
            <w:pPr>
              <w:pStyle w:val="33"/>
              <w:rPr>
                <w:color w:val="auto"/>
              </w:rPr>
            </w:pPr>
          </w:p>
        </w:tc>
        <w:tc>
          <w:tcPr>
            <w:tcW w:w="782" w:type="pct"/>
            <w:vAlign w:val="center"/>
          </w:tcPr>
          <w:p w14:paraId="76037FDB">
            <w:pPr>
              <w:pStyle w:val="33"/>
              <w:rPr>
                <w:color w:val="auto"/>
              </w:rPr>
            </w:pPr>
            <w:r>
              <w:rPr>
                <w:rFonts w:hint="eastAsia"/>
                <w:color w:val="auto"/>
              </w:rPr>
              <w:t>12月</w:t>
            </w:r>
          </w:p>
        </w:tc>
        <w:tc>
          <w:tcPr>
            <w:tcW w:w="782" w:type="pct"/>
            <w:vAlign w:val="center"/>
          </w:tcPr>
          <w:p w14:paraId="7F4CEEB0">
            <w:pPr>
              <w:pStyle w:val="33"/>
              <w:rPr>
                <w:color w:val="auto"/>
              </w:rPr>
            </w:pPr>
            <w:r>
              <w:rPr>
                <w:rFonts w:hint="eastAsia"/>
                <w:color w:val="auto"/>
              </w:rPr>
              <w:t>107.402</w:t>
            </w:r>
          </w:p>
        </w:tc>
        <w:tc>
          <w:tcPr>
            <w:tcW w:w="940" w:type="pct"/>
            <w:vAlign w:val="center"/>
          </w:tcPr>
          <w:p w14:paraId="456DD923">
            <w:pPr>
              <w:pStyle w:val="33"/>
              <w:rPr>
                <w:color w:val="auto"/>
              </w:rPr>
            </w:pPr>
            <w:r>
              <w:rPr>
                <w:rFonts w:hint="eastAsia"/>
                <w:color w:val="auto"/>
              </w:rPr>
              <w:t>4.421</w:t>
            </w:r>
          </w:p>
        </w:tc>
        <w:tc>
          <w:tcPr>
            <w:tcW w:w="861" w:type="pct"/>
            <w:vAlign w:val="center"/>
          </w:tcPr>
          <w:p w14:paraId="222FEFA7">
            <w:pPr>
              <w:pStyle w:val="33"/>
              <w:rPr>
                <w:color w:val="auto"/>
              </w:rPr>
            </w:pPr>
            <w:r>
              <w:rPr>
                <w:rFonts w:hint="eastAsia"/>
                <w:color w:val="auto"/>
              </w:rPr>
              <w:t>12.334</w:t>
            </w:r>
          </w:p>
        </w:tc>
        <w:tc>
          <w:tcPr>
            <w:tcW w:w="855" w:type="pct"/>
            <w:vAlign w:val="center"/>
          </w:tcPr>
          <w:p w14:paraId="2409AEA4">
            <w:pPr>
              <w:pStyle w:val="33"/>
              <w:rPr>
                <w:color w:val="auto"/>
              </w:rPr>
            </w:pPr>
            <w:r>
              <w:rPr>
                <w:rFonts w:hint="eastAsia"/>
                <w:color w:val="auto"/>
              </w:rPr>
              <w:t>37.056</w:t>
            </w:r>
          </w:p>
        </w:tc>
      </w:tr>
      <w:tr w14:paraId="51261D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4316950D">
            <w:pPr>
              <w:pStyle w:val="33"/>
              <w:rPr>
                <w:color w:val="auto"/>
              </w:rPr>
            </w:pPr>
          </w:p>
        </w:tc>
        <w:tc>
          <w:tcPr>
            <w:tcW w:w="1564" w:type="pct"/>
            <w:gridSpan w:val="2"/>
            <w:vAlign w:val="center"/>
          </w:tcPr>
          <w:p w14:paraId="5460EFF5">
            <w:pPr>
              <w:pStyle w:val="33"/>
              <w:rPr>
                <w:color w:val="auto"/>
              </w:rPr>
            </w:pPr>
            <w:r>
              <w:rPr>
                <w:rFonts w:hint="eastAsia"/>
                <w:color w:val="auto"/>
              </w:rPr>
              <w:t>达标情况</w:t>
            </w:r>
          </w:p>
        </w:tc>
        <w:tc>
          <w:tcPr>
            <w:tcW w:w="940" w:type="pct"/>
            <w:vAlign w:val="center"/>
          </w:tcPr>
          <w:p w14:paraId="25E27AD9">
            <w:pPr>
              <w:pStyle w:val="33"/>
              <w:rPr>
                <w:color w:val="auto"/>
              </w:rPr>
            </w:pPr>
            <w:r>
              <w:rPr>
                <w:rFonts w:hint="eastAsia"/>
                <w:color w:val="auto"/>
              </w:rPr>
              <w:t>达标</w:t>
            </w:r>
          </w:p>
        </w:tc>
        <w:tc>
          <w:tcPr>
            <w:tcW w:w="861" w:type="pct"/>
            <w:vAlign w:val="center"/>
          </w:tcPr>
          <w:p w14:paraId="7C8F9F6F">
            <w:pPr>
              <w:pStyle w:val="33"/>
              <w:rPr>
                <w:color w:val="auto"/>
              </w:rPr>
            </w:pPr>
            <w:r>
              <w:rPr>
                <w:rFonts w:hint="eastAsia"/>
                <w:color w:val="auto"/>
              </w:rPr>
              <w:t>达标</w:t>
            </w:r>
          </w:p>
        </w:tc>
        <w:tc>
          <w:tcPr>
            <w:tcW w:w="855" w:type="pct"/>
            <w:vAlign w:val="center"/>
          </w:tcPr>
          <w:p w14:paraId="2CE465E7">
            <w:pPr>
              <w:pStyle w:val="33"/>
              <w:rPr>
                <w:color w:val="auto"/>
              </w:rPr>
            </w:pPr>
            <w:r>
              <w:rPr>
                <w:rFonts w:hint="eastAsia"/>
                <w:color w:val="auto"/>
              </w:rPr>
              <w:t>达标</w:t>
            </w:r>
          </w:p>
        </w:tc>
      </w:tr>
      <w:tr w14:paraId="7E1803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restart"/>
            <w:tcBorders>
              <w:left w:val="single" w:color="auto" w:sz="4" w:space="0"/>
            </w:tcBorders>
            <w:vAlign w:val="center"/>
          </w:tcPr>
          <w:p w14:paraId="3E360053">
            <w:pPr>
              <w:pStyle w:val="33"/>
              <w:rPr>
                <w:color w:val="auto"/>
              </w:rPr>
            </w:pPr>
            <w:r>
              <w:rPr>
                <w:color w:val="auto"/>
              </w:rPr>
              <w:t>3#锅炉</w:t>
            </w:r>
            <w:r>
              <w:rPr>
                <w:rFonts w:hint="eastAsia"/>
                <w:color w:val="auto"/>
              </w:rPr>
              <w:t>（DA010）</w:t>
            </w:r>
          </w:p>
        </w:tc>
        <w:tc>
          <w:tcPr>
            <w:tcW w:w="782" w:type="pct"/>
            <w:vAlign w:val="center"/>
          </w:tcPr>
          <w:p w14:paraId="38B74040">
            <w:pPr>
              <w:pStyle w:val="33"/>
              <w:rPr>
                <w:color w:val="auto"/>
              </w:rPr>
            </w:pPr>
            <w:r>
              <w:rPr>
                <w:rFonts w:hint="eastAsia"/>
                <w:color w:val="auto"/>
              </w:rPr>
              <w:t>1月</w:t>
            </w:r>
          </w:p>
        </w:tc>
        <w:tc>
          <w:tcPr>
            <w:tcW w:w="782" w:type="pct"/>
            <w:vAlign w:val="center"/>
          </w:tcPr>
          <w:p w14:paraId="6928B7C1">
            <w:pPr>
              <w:pStyle w:val="33"/>
              <w:rPr>
                <w:color w:val="auto"/>
              </w:rPr>
            </w:pPr>
            <w:r>
              <w:rPr>
                <w:rFonts w:hint="eastAsia"/>
                <w:color w:val="auto"/>
              </w:rPr>
              <w:t>128.862</w:t>
            </w:r>
          </w:p>
        </w:tc>
        <w:tc>
          <w:tcPr>
            <w:tcW w:w="940" w:type="pct"/>
            <w:vAlign w:val="center"/>
          </w:tcPr>
          <w:p w14:paraId="5A1E6584">
            <w:pPr>
              <w:pStyle w:val="33"/>
              <w:rPr>
                <w:color w:val="auto"/>
              </w:rPr>
            </w:pPr>
            <w:r>
              <w:rPr>
                <w:rFonts w:hint="eastAsia"/>
                <w:color w:val="auto"/>
              </w:rPr>
              <w:t>1.779</w:t>
            </w:r>
          </w:p>
        </w:tc>
        <w:tc>
          <w:tcPr>
            <w:tcW w:w="861" w:type="pct"/>
            <w:vAlign w:val="center"/>
          </w:tcPr>
          <w:p w14:paraId="5B296333">
            <w:pPr>
              <w:pStyle w:val="33"/>
              <w:rPr>
                <w:color w:val="auto"/>
              </w:rPr>
            </w:pPr>
            <w:r>
              <w:rPr>
                <w:rFonts w:hint="eastAsia"/>
                <w:color w:val="auto"/>
              </w:rPr>
              <w:t>6.801</w:t>
            </w:r>
          </w:p>
        </w:tc>
        <w:tc>
          <w:tcPr>
            <w:tcW w:w="855" w:type="pct"/>
            <w:vAlign w:val="center"/>
          </w:tcPr>
          <w:p w14:paraId="5DCF8B18">
            <w:pPr>
              <w:pStyle w:val="33"/>
              <w:rPr>
                <w:color w:val="auto"/>
              </w:rPr>
            </w:pPr>
            <w:r>
              <w:rPr>
                <w:rFonts w:hint="eastAsia"/>
                <w:color w:val="auto"/>
              </w:rPr>
              <w:t>28.4</w:t>
            </w:r>
          </w:p>
        </w:tc>
      </w:tr>
      <w:tr w14:paraId="107C50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A440DF8">
            <w:pPr>
              <w:pStyle w:val="33"/>
              <w:rPr>
                <w:color w:val="auto"/>
              </w:rPr>
            </w:pPr>
          </w:p>
        </w:tc>
        <w:tc>
          <w:tcPr>
            <w:tcW w:w="782" w:type="pct"/>
            <w:vAlign w:val="center"/>
          </w:tcPr>
          <w:p w14:paraId="1FD8D151">
            <w:pPr>
              <w:pStyle w:val="33"/>
              <w:rPr>
                <w:color w:val="auto"/>
              </w:rPr>
            </w:pPr>
            <w:r>
              <w:rPr>
                <w:rFonts w:hint="eastAsia"/>
                <w:color w:val="auto"/>
              </w:rPr>
              <w:t>2月</w:t>
            </w:r>
          </w:p>
        </w:tc>
        <w:tc>
          <w:tcPr>
            <w:tcW w:w="782" w:type="pct"/>
            <w:vAlign w:val="center"/>
          </w:tcPr>
          <w:p w14:paraId="5BE2CB65">
            <w:pPr>
              <w:pStyle w:val="33"/>
              <w:rPr>
                <w:color w:val="auto"/>
              </w:rPr>
            </w:pPr>
            <w:r>
              <w:rPr>
                <w:rFonts w:hint="eastAsia"/>
                <w:color w:val="auto"/>
              </w:rPr>
              <w:t>140.959</w:t>
            </w:r>
          </w:p>
        </w:tc>
        <w:tc>
          <w:tcPr>
            <w:tcW w:w="940" w:type="pct"/>
            <w:vAlign w:val="center"/>
          </w:tcPr>
          <w:p w14:paraId="26A1B9A9">
            <w:pPr>
              <w:pStyle w:val="33"/>
              <w:rPr>
                <w:color w:val="auto"/>
              </w:rPr>
            </w:pPr>
            <w:r>
              <w:rPr>
                <w:rFonts w:hint="eastAsia"/>
                <w:color w:val="auto"/>
              </w:rPr>
              <w:t>2.037</w:t>
            </w:r>
          </w:p>
        </w:tc>
        <w:tc>
          <w:tcPr>
            <w:tcW w:w="861" w:type="pct"/>
            <w:vAlign w:val="center"/>
          </w:tcPr>
          <w:p w14:paraId="255C4550">
            <w:pPr>
              <w:pStyle w:val="33"/>
              <w:rPr>
                <w:color w:val="auto"/>
              </w:rPr>
            </w:pPr>
            <w:r>
              <w:rPr>
                <w:rFonts w:hint="eastAsia"/>
                <w:color w:val="auto"/>
              </w:rPr>
              <w:t>7.482</w:t>
            </w:r>
          </w:p>
        </w:tc>
        <w:tc>
          <w:tcPr>
            <w:tcW w:w="855" w:type="pct"/>
            <w:vAlign w:val="center"/>
          </w:tcPr>
          <w:p w14:paraId="5FDBDB63">
            <w:pPr>
              <w:pStyle w:val="33"/>
              <w:rPr>
                <w:color w:val="auto"/>
              </w:rPr>
            </w:pPr>
            <w:r>
              <w:rPr>
                <w:rFonts w:hint="eastAsia"/>
                <w:color w:val="auto"/>
              </w:rPr>
              <w:t>29.603</w:t>
            </w:r>
          </w:p>
        </w:tc>
      </w:tr>
      <w:tr w14:paraId="76B79C8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0C1D1882">
            <w:pPr>
              <w:pStyle w:val="33"/>
              <w:rPr>
                <w:color w:val="auto"/>
              </w:rPr>
            </w:pPr>
          </w:p>
        </w:tc>
        <w:tc>
          <w:tcPr>
            <w:tcW w:w="782" w:type="pct"/>
            <w:vAlign w:val="center"/>
          </w:tcPr>
          <w:p w14:paraId="5341E940">
            <w:pPr>
              <w:pStyle w:val="33"/>
              <w:rPr>
                <w:color w:val="auto"/>
              </w:rPr>
            </w:pPr>
            <w:r>
              <w:rPr>
                <w:rFonts w:hint="eastAsia"/>
                <w:color w:val="auto"/>
              </w:rPr>
              <w:t>3月</w:t>
            </w:r>
          </w:p>
        </w:tc>
        <w:tc>
          <w:tcPr>
            <w:tcW w:w="782" w:type="pct"/>
            <w:vAlign w:val="center"/>
          </w:tcPr>
          <w:p w14:paraId="229E14AB">
            <w:pPr>
              <w:pStyle w:val="33"/>
              <w:rPr>
                <w:color w:val="auto"/>
              </w:rPr>
            </w:pPr>
            <w:r>
              <w:rPr>
                <w:rFonts w:hint="eastAsia"/>
                <w:color w:val="auto"/>
              </w:rPr>
              <w:t>154.792</w:t>
            </w:r>
          </w:p>
        </w:tc>
        <w:tc>
          <w:tcPr>
            <w:tcW w:w="940" w:type="pct"/>
            <w:vAlign w:val="center"/>
          </w:tcPr>
          <w:p w14:paraId="258BA47D">
            <w:pPr>
              <w:pStyle w:val="33"/>
              <w:rPr>
                <w:color w:val="auto"/>
              </w:rPr>
            </w:pPr>
            <w:r>
              <w:rPr>
                <w:rFonts w:hint="eastAsia"/>
                <w:color w:val="auto"/>
              </w:rPr>
              <w:t>1.837</w:t>
            </w:r>
          </w:p>
        </w:tc>
        <w:tc>
          <w:tcPr>
            <w:tcW w:w="861" w:type="pct"/>
            <w:vAlign w:val="center"/>
          </w:tcPr>
          <w:p w14:paraId="79320402">
            <w:pPr>
              <w:pStyle w:val="33"/>
              <w:rPr>
                <w:color w:val="auto"/>
              </w:rPr>
            </w:pPr>
            <w:r>
              <w:rPr>
                <w:rFonts w:hint="eastAsia"/>
                <w:color w:val="auto"/>
              </w:rPr>
              <w:t>6.576</w:t>
            </w:r>
          </w:p>
        </w:tc>
        <w:tc>
          <w:tcPr>
            <w:tcW w:w="855" w:type="pct"/>
            <w:vAlign w:val="center"/>
          </w:tcPr>
          <w:p w14:paraId="0ED0AE33">
            <w:pPr>
              <w:pStyle w:val="33"/>
              <w:rPr>
                <w:color w:val="auto"/>
              </w:rPr>
            </w:pPr>
            <w:r>
              <w:rPr>
                <w:rFonts w:hint="eastAsia"/>
                <w:color w:val="auto"/>
              </w:rPr>
              <w:t>27.663</w:t>
            </w:r>
          </w:p>
        </w:tc>
      </w:tr>
      <w:tr w14:paraId="4DD304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CFD34F1">
            <w:pPr>
              <w:pStyle w:val="33"/>
              <w:rPr>
                <w:color w:val="auto"/>
              </w:rPr>
            </w:pPr>
          </w:p>
        </w:tc>
        <w:tc>
          <w:tcPr>
            <w:tcW w:w="782" w:type="pct"/>
            <w:vAlign w:val="center"/>
          </w:tcPr>
          <w:p w14:paraId="18E50773">
            <w:pPr>
              <w:pStyle w:val="33"/>
              <w:rPr>
                <w:color w:val="auto"/>
              </w:rPr>
            </w:pPr>
            <w:r>
              <w:rPr>
                <w:rFonts w:hint="eastAsia"/>
                <w:color w:val="auto"/>
              </w:rPr>
              <w:t>4月</w:t>
            </w:r>
          </w:p>
        </w:tc>
        <w:tc>
          <w:tcPr>
            <w:tcW w:w="782" w:type="pct"/>
            <w:vAlign w:val="center"/>
          </w:tcPr>
          <w:p w14:paraId="255B9109">
            <w:pPr>
              <w:pStyle w:val="33"/>
              <w:rPr>
                <w:color w:val="auto"/>
              </w:rPr>
            </w:pPr>
            <w:r>
              <w:rPr>
                <w:rFonts w:hint="eastAsia"/>
                <w:color w:val="auto"/>
              </w:rPr>
              <w:t>117.533</w:t>
            </w:r>
          </w:p>
        </w:tc>
        <w:tc>
          <w:tcPr>
            <w:tcW w:w="940" w:type="pct"/>
            <w:vAlign w:val="center"/>
          </w:tcPr>
          <w:p w14:paraId="44D7B9F8">
            <w:pPr>
              <w:pStyle w:val="33"/>
              <w:rPr>
                <w:color w:val="auto"/>
              </w:rPr>
            </w:pPr>
            <w:r>
              <w:rPr>
                <w:rFonts w:hint="eastAsia"/>
                <w:color w:val="auto"/>
              </w:rPr>
              <w:t>2.178</w:t>
            </w:r>
          </w:p>
        </w:tc>
        <w:tc>
          <w:tcPr>
            <w:tcW w:w="861" w:type="pct"/>
            <w:vAlign w:val="center"/>
          </w:tcPr>
          <w:p w14:paraId="230645AC">
            <w:pPr>
              <w:pStyle w:val="33"/>
              <w:rPr>
                <w:color w:val="auto"/>
              </w:rPr>
            </w:pPr>
            <w:r>
              <w:rPr>
                <w:rFonts w:hint="eastAsia"/>
                <w:color w:val="auto"/>
              </w:rPr>
              <w:t>6.15</w:t>
            </w:r>
          </w:p>
        </w:tc>
        <w:tc>
          <w:tcPr>
            <w:tcW w:w="855" w:type="pct"/>
            <w:vAlign w:val="center"/>
          </w:tcPr>
          <w:p w14:paraId="42ABA483">
            <w:pPr>
              <w:pStyle w:val="33"/>
              <w:rPr>
                <w:color w:val="auto"/>
              </w:rPr>
            </w:pPr>
            <w:r>
              <w:rPr>
                <w:rFonts w:hint="eastAsia"/>
                <w:color w:val="auto"/>
              </w:rPr>
              <w:t>31.758</w:t>
            </w:r>
          </w:p>
        </w:tc>
      </w:tr>
      <w:tr w14:paraId="2670D23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337152BD">
            <w:pPr>
              <w:pStyle w:val="33"/>
              <w:rPr>
                <w:color w:val="auto"/>
              </w:rPr>
            </w:pPr>
          </w:p>
        </w:tc>
        <w:tc>
          <w:tcPr>
            <w:tcW w:w="782" w:type="pct"/>
            <w:vAlign w:val="center"/>
          </w:tcPr>
          <w:p w14:paraId="1D7FF78D">
            <w:pPr>
              <w:pStyle w:val="33"/>
              <w:rPr>
                <w:color w:val="auto"/>
              </w:rPr>
            </w:pPr>
            <w:r>
              <w:rPr>
                <w:rFonts w:hint="eastAsia"/>
                <w:color w:val="auto"/>
              </w:rPr>
              <w:t>5月</w:t>
            </w:r>
          </w:p>
        </w:tc>
        <w:tc>
          <w:tcPr>
            <w:tcW w:w="782" w:type="pct"/>
            <w:vAlign w:val="center"/>
          </w:tcPr>
          <w:p w14:paraId="51489C5C">
            <w:pPr>
              <w:pStyle w:val="33"/>
              <w:rPr>
                <w:color w:val="auto"/>
              </w:rPr>
            </w:pPr>
            <w:r>
              <w:rPr>
                <w:rFonts w:hint="eastAsia"/>
                <w:color w:val="auto"/>
              </w:rPr>
              <w:t>110.24</w:t>
            </w:r>
          </w:p>
        </w:tc>
        <w:tc>
          <w:tcPr>
            <w:tcW w:w="940" w:type="pct"/>
            <w:vAlign w:val="center"/>
          </w:tcPr>
          <w:p w14:paraId="69A361D7">
            <w:pPr>
              <w:pStyle w:val="33"/>
              <w:rPr>
                <w:color w:val="auto"/>
              </w:rPr>
            </w:pPr>
            <w:r>
              <w:rPr>
                <w:rFonts w:hint="eastAsia"/>
                <w:color w:val="auto"/>
              </w:rPr>
              <w:t>2.47</w:t>
            </w:r>
          </w:p>
        </w:tc>
        <w:tc>
          <w:tcPr>
            <w:tcW w:w="861" w:type="pct"/>
            <w:vAlign w:val="center"/>
          </w:tcPr>
          <w:p w14:paraId="3BED6EF0">
            <w:pPr>
              <w:pStyle w:val="33"/>
              <w:rPr>
                <w:color w:val="auto"/>
              </w:rPr>
            </w:pPr>
            <w:r>
              <w:rPr>
                <w:rFonts w:hint="eastAsia"/>
                <w:color w:val="auto"/>
              </w:rPr>
              <w:t>6.648</w:t>
            </w:r>
          </w:p>
        </w:tc>
        <w:tc>
          <w:tcPr>
            <w:tcW w:w="855" w:type="pct"/>
            <w:vAlign w:val="center"/>
          </w:tcPr>
          <w:p w14:paraId="1EC5D45E">
            <w:pPr>
              <w:pStyle w:val="33"/>
              <w:rPr>
                <w:color w:val="auto"/>
              </w:rPr>
            </w:pPr>
            <w:r>
              <w:rPr>
                <w:rFonts w:hint="eastAsia"/>
                <w:color w:val="auto"/>
              </w:rPr>
              <w:t>28.746</w:t>
            </w:r>
          </w:p>
        </w:tc>
      </w:tr>
      <w:tr w14:paraId="23647F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13C9CE8">
            <w:pPr>
              <w:pStyle w:val="33"/>
              <w:rPr>
                <w:color w:val="auto"/>
              </w:rPr>
            </w:pPr>
          </w:p>
        </w:tc>
        <w:tc>
          <w:tcPr>
            <w:tcW w:w="782" w:type="pct"/>
            <w:vAlign w:val="center"/>
          </w:tcPr>
          <w:p w14:paraId="1D5C5AD5">
            <w:pPr>
              <w:pStyle w:val="33"/>
              <w:rPr>
                <w:color w:val="auto"/>
              </w:rPr>
            </w:pPr>
            <w:r>
              <w:rPr>
                <w:rFonts w:hint="eastAsia"/>
                <w:color w:val="auto"/>
              </w:rPr>
              <w:t>6月</w:t>
            </w:r>
          </w:p>
        </w:tc>
        <w:tc>
          <w:tcPr>
            <w:tcW w:w="782" w:type="pct"/>
            <w:vAlign w:val="center"/>
          </w:tcPr>
          <w:p w14:paraId="7B155C17">
            <w:pPr>
              <w:pStyle w:val="33"/>
              <w:rPr>
                <w:color w:val="auto"/>
              </w:rPr>
            </w:pPr>
            <w:r>
              <w:rPr>
                <w:rFonts w:hint="eastAsia"/>
                <w:color w:val="auto"/>
              </w:rPr>
              <w:t>120.028</w:t>
            </w:r>
          </w:p>
        </w:tc>
        <w:tc>
          <w:tcPr>
            <w:tcW w:w="940" w:type="pct"/>
            <w:vAlign w:val="center"/>
          </w:tcPr>
          <w:p w14:paraId="7D7ADFD4">
            <w:pPr>
              <w:pStyle w:val="33"/>
              <w:rPr>
                <w:color w:val="auto"/>
              </w:rPr>
            </w:pPr>
            <w:r>
              <w:rPr>
                <w:rFonts w:hint="eastAsia"/>
                <w:color w:val="auto"/>
              </w:rPr>
              <w:t>2.41</w:t>
            </w:r>
          </w:p>
        </w:tc>
        <w:tc>
          <w:tcPr>
            <w:tcW w:w="861" w:type="pct"/>
            <w:vAlign w:val="center"/>
          </w:tcPr>
          <w:p w14:paraId="6DE9C36C">
            <w:pPr>
              <w:pStyle w:val="33"/>
              <w:rPr>
                <w:color w:val="auto"/>
              </w:rPr>
            </w:pPr>
            <w:r>
              <w:rPr>
                <w:rFonts w:hint="eastAsia"/>
                <w:color w:val="auto"/>
              </w:rPr>
              <w:t>10.358</w:t>
            </w:r>
          </w:p>
        </w:tc>
        <w:tc>
          <w:tcPr>
            <w:tcW w:w="855" w:type="pct"/>
            <w:vAlign w:val="center"/>
          </w:tcPr>
          <w:p w14:paraId="3BFAE65E">
            <w:pPr>
              <w:pStyle w:val="33"/>
              <w:rPr>
                <w:color w:val="auto"/>
              </w:rPr>
            </w:pPr>
            <w:r>
              <w:rPr>
                <w:rFonts w:hint="eastAsia"/>
                <w:color w:val="auto"/>
              </w:rPr>
              <w:t>30.285</w:t>
            </w:r>
          </w:p>
        </w:tc>
      </w:tr>
      <w:tr w14:paraId="5107CC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187217A">
            <w:pPr>
              <w:pStyle w:val="33"/>
              <w:rPr>
                <w:color w:val="auto"/>
              </w:rPr>
            </w:pPr>
          </w:p>
        </w:tc>
        <w:tc>
          <w:tcPr>
            <w:tcW w:w="782" w:type="pct"/>
            <w:vAlign w:val="center"/>
          </w:tcPr>
          <w:p w14:paraId="181C2EE6">
            <w:pPr>
              <w:pStyle w:val="33"/>
              <w:rPr>
                <w:color w:val="auto"/>
              </w:rPr>
            </w:pPr>
            <w:r>
              <w:rPr>
                <w:rFonts w:hint="eastAsia"/>
                <w:color w:val="auto"/>
              </w:rPr>
              <w:t>7月</w:t>
            </w:r>
          </w:p>
        </w:tc>
        <w:tc>
          <w:tcPr>
            <w:tcW w:w="782" w:type="pct"/>
            <w:vAlign w:val="center"/>
          </w:tcPr>
          <w:p w14:paraId="0C3FDE69">
            <w:pPr>
              <w:pStyle w:val="33"/>
              <w:rPr>
                <w:color w:val="auto"/>
              </w:rPr>
            </w:pPr>
            <w:r>
              <w:rPr>
                <w:rFonts w:hint="eastAsia"/>
                <w:color w:val="auto"/>
              </w:rPr>
              <w:t>133.85</w:t>
            </w:r>
          </w:p>
        </w:tc>
        <w:tc>
          <w:tcPr>
            <w:tcW w:w="940" w:type="pct"/>
            <w:vAlign w:val="center"/>
          </w:tcPr>
          <w:p w14:paraId="0944261C">
            <w:pPr>
              <w:pStyle w:val="33"/>
              <w:rPr>
                <w:color w:val="auto"/>
              </w:rPr>
            </w:pPr>
            <w:r>
              <w:rPr>
                <w:rFonts w:hint="eastAsia"/>
                <w:color w:val="auto"/>
              </w:rPr>
              <w:t>2.321</w:t>
            </w:r>
          </w:p>
        </w:tc>
        <w:tc>
          <w:tcPr>
            <w:tcW w:w="861" w:type="pct"/>
            <w:vAlign w:val="center"/>
          </w:tcPr>
          <w:p w14:paraId="1676A9FC">
            <w:pPr>
              <w:pStyle w:val="33"/>
              <w:rPr>
                <w:color w:val="auto"/>
              </w:rPr>
            </w:pPr>
            <w:r>
              <w:rPr>
                <w:rFonts w:hint="eastAsia"/>
                <w:color w:val="auto"/>
              </w:rPr>
              <w:t>17.895</w:t>
            </w:r>
          </w:p>
        </w:tc>
        <w:tc>
          <w:tcPr>
            <w:tcW w:w="855" w:type="pct"/>
            <w:vAlign w:val="center"/>
          </w:tcPr>
          <w:p w14:paraId="6163E9A8">
            <w:pPr>
              <w:pStyle w:val="33"/>
              <w:rPr>
                <w:color w:val="auto"/>
              </w:rPr>
            </w:pPr>
            <w:r>
              <w:rPr>
                <w:rFonts w:hint="eastAsia"/>
                <w:color w:val="auto"/>
              </w:rPr>
              <w:t>39.338</w:t>
            </w:r>
          </w:p>
        </w:tc>
      </w:tr>
      <w:tr w14:paraId="799E93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333603B0">
            <w:pPr>
              <w:pStyle w:val="33"/>
              <w:rPr>
                <w:color w:val="auto"/>
              </w:rPr>
            </w:pPr>
          </w:p>
        </w:tc>
        <w:tc>
          <w:tcPr>
            <w:tcW w:w="782" w:type="pct"/>
            <w:vAlign w:val="center"/>
          </w:tcPr>
          <w:p w14:paraId="3A383C9F">
            <w:pPr>
              <w:pStyle w:val="33"/>
              <w:rPr>
                <w:color w:val="auto"/>
              </w:rPr>
            </w:pPr>
            <w:r>
              <w:rPr>
                <w:rFonts w:hint="eastAsia"/>
                <w:color w:val="auto"/>
              </w:rPr>
              <w:t>8月</w:t>
            </w:r>
          </w:p>
        </w:tc>
        <w:tc>
          <w:tcPr>
            <w:tcW w:w="782" w:type="pct"/>
            <w:vAlign w:val="center"/>
          </w:tcPr>
          <w:p w14:paraId="1A7A76C2">
            <w:pPr>
              <w:pStyle w:val="33"/>
              <w:rPr>
                <w:color w:val="auto"/>
              </w:rPr>
            </w:pPr>
            <w:r>
              <w:rPr>
                <w:rFonts w:hint="eastAsia"/>
                <w:color w:val="auto"/>
              </w:rPr>
              <w:t>190.391</w:t>
            </w:r>
          </w:p>
        </w:tc>
        <w:tc>
          <w:tcPr>
            <w:tcW w:w="940" w:type="pct"/>
            <w:vAlign w:val="center"/>
          </w:tcPr>
          <w:p w14:paraId="672A9F88">
            <w:pPr>
              <w:pStyle w:val="33"/>
              <w:rPr>
                <w:color w:val="auto"/>
              </w:rPr>
            </w:pPr>
            <w:r>
              <w:rPr>
                <w:rFonts w:hint="eastAsia"/>
                <w:color w:val="auto"/>
              </w:rPr>
              <w:t>1.839</w:t>
            </w:r>
          </w:p>
        </w:tc>
        <w:tc>
          <w:tcPr>
            <w:tcW w:w="861" w:type="pct"/>
            <w:vAlign w:val="center"/>
          </w:tcPr>
          <w:p w14:paraId="693700F1">
            <w:pPr>
              <w:pStyle w:val="33"/>
              <w:rPr>
                <w:color w:val="auto"/>
              </w:rPr>
            </w:pPr>
            <w:r>
              <w:rPr>
                <w:rFonts w:hint="eastAsia"/>
                <w:color w:val="auto"/>
              </w:rPr>
              <w:t>14.309</w:t>
            </w:r>
          </w:p>
        </w:tc>
        <w:tc>
          <w:tcPr>
            <w:tcW w:w="855" w:type="pct"/>
            <w:vAlign w:val="center"/>
          </w:tcPr>
          <w:p w14:paraId="7E2C03E6">
            <w:pPr>
              <w:pStyle w:val="33"/>
              <w:rPr>
                <w:color w:val="auto"/>
              </w:rPr>
            </w:pPr>
            <w:r>
              <w:rPr>
                <w:rFonts w:hint="eastAsia"/>
                <w:color w:val="auto"/>
              </w:rPr>
              <w:t>30.075</w:t>
            </w:r>
          </w:p>
        </w:tc>
      </w:tr>
      <w:tr w14:paraId="2646A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5389B234">
            <w:pPr>
              <w:pStyle w:val="33"/>
              <w:rPr>
                <w:color w:val="auto"/>
              </w:rPr>
            </w:pPr>
          </w:p>
        </w:tc>
        <w:tc>
          <w:tcPr>
            <w:tcW w:w="782" w:type="pct"/>
            <w:vAlign w:val="center"/>
          </w:tcPr>
          <w:p w14:paraId="6486625C">
            <w:pPr>
              <w:pStyle w:val="33"/>
              <w:rPr>
                <w:color w:val="auto"/>
              </w:rPr>
            </w:pPr>
            <w:r>
              <w:rPr>
                <w:rFonts w:hint="eastAsia"/>
                <w:color w:val="auto"/>
              </w:rPr>
              <w:t>9月</w:t>
            </w:r>
          </w:p>
        </w:tc>
        <w:tc>
          <w:tcPr>
            <w:tcW w:w="782" w:type="pct"/>
            <w:vAlign w:val="center"/>
          </w:tcPr>
          <w:p w14:paraId="12784BBA">
            <w:pPr>
              <w:pStyle w:val="33"/>
              <w:rPr>
                <w:color w:val="auto"/>
              </w:rPr>
            </w:pPr>
            <w:r>
              <w:rPr>
                <w:rFonts w:hint="eastAsia"/>
                <w:color w:val="auto"/>
              </w:rPr>
              <w:t>194.645</w:t>
            </w:r>
          </w:p>
        </w:tc>
        <w:tc>
          <w:tcPr>
            <w:tcW w:w="940" w:type="pct"/>
            <w:vAlign w:val="center"/>
          </w:tcPr>
          <w:p w14:paraId="2BFDCC0E">
            <w:pPr>
              <w:pStyle w:val="33"/>
              <w:rPr>
                <w:color w:val="auto"/>
              </w:rPr>
            </w:pPr>
            <w:r>
              <w:rPr>
                <w:rFonts w:hint="eastAsia"/>
                <w:color w:val="auto"/>
              </w:rPr>
              <w:t>2.69</w:t>
            </w:r>
          </w:p>
        </w:tc>
        <w:tc>
          <w:tcPr>
            <w:tcW w:w="861" w:type="pct"/>
            <w:vAlign w:val="center"/>
          </w:tcPr>
          <w:p w14:paraId="4289F261">
            <w:pPr>
              <w:pStyle w:val="33"/>
              <w:rPr>
                <w:color w:val="auto"/>
              </w:rPr>
            </w:pPr>
            <w:r>
              <w:rPr>
                <w:rFonts w:hint="eastAsia"/>
                <w:color w:val="auto"/>
              </w:rPr>
              <w:t>12.951</w:t>
            </w:r>
          </w:p>
        </w:tc>
        <w:tc>
          <w:tcPr>
            <w:tcW w:w="855" w:type="pct"/>
            <w:vAlign w:val="center"/>
          </w:tcPr>
          <w:p w14:paraId="41243D0B">
            <w:pPr>
              <w:pStyle w:val="33"/>
              <w:rPr>
                <w:color w:val="auto"/>
              </w:rPr>
            </w:pPr>
            <w:r>
              <w:rPr>
                <w:rFonts w:hint="eastAsia"/>
                <w:color w:val="auto"/>
              </w:rPr>
              <w:t>29.493</w:t>
            </w:r>
          </w:p>
        </w:tc>
      </w:tr>
      <w:tr w14:paraId="4B0287F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7F4C50F9">
            <w:pPr>
              <w:pStyle w:val="33"/>
              <w:rPr>
                <w:color w:val="auto"/>
              </w:rPr>
            </w:pPr>
          </w:p>
        </w:tc>
        <w:tc>
          <w:tcPr>
            <w:tcW w:w="782" w:type="pct"/>
            <w:vAlign w:val="center"/>
          </w:tcPr>
          <w:p w14:paraId="2DCB519A">
            <w:pPr>
              <w:pStyle w:val="33"/>
              <w:rPr>
                <w:color w:val="auto"/>
              </w:rPr>
            </w:pPr>
            <w:r>
              <w:rPr>
                <w:rFonts w:hint="eastAsia"/>
                <w:color w:val="auto"/>
              </w:rPr>
              <w:t>10月</w:t>
            </w:r>
          </w:p>
        </w:tc>
        <w:tc>
          <w:tcPr>
            <w:tcW w:w="782" w:type="pct"/>
            <w:vAlign w:val="center"/>
          </w:tcPr>
          <w:p w14:paraId="6C063F35">
            <w:pPr>
              <w:pStyle w:val="33"/>
              <w:rPr>
                <w:color w:val="auto"/>
              </w:rPr>
            </w:pPr>
            <w:r>
              <w:rPr>
                <w:rFonts w:hint="eastAsia"/>
                <w:color w:val="auto"/>
              </w:rPr>
              <w:t>157.862</w:t>
            </w:r>
          </w:p>
        </w:tc>
        <w:tc>
          <w:tcPr>
            <w:tcW w:w="940" w:type="pct"/>
            <w:vAlign w:val="center"/>
          </w:tcPr>
          <w:p w14:paraId="46B3D249">
            <w:pPr>
              <w:pStyle w:val="33"/>
              <w:rPr>
                <w:color w:val="auto"/>
              </w:rPr>
            </w:pPr>
            <w:r>
              <w:rPr>
                <w:rFonts w:hint="eastAsia"/>
                <w:color w:val="auto"/>
              </w:rPr>
              <w:t>2.060</w:t>
            </w:r>
          </w:p>
        </w:tc>
        <w:tc>
          <w:tcPr>
            <w:tcW w:w="861" w:type="pct"/>
            <w:vAlign w:val="center"/>
          </w:tcPr>
          <w:p w14:paraId="7B970213">
            <w:pPr>
              <w:pStyle w:val="33"/>
              <w:rPr>
                <w:color w:val="auto"/>
              </w:rPr>
            </w:pPr>
            <w:r>
              <w:rPr>
                <w:rFonts w:hint="eastAsia"/>
                <w:color w:val="auto"/>
              </w:rPr>
              <w:t>13.681</w:t>
            </w:r>
          </w:p>
        </w:tc>
        <w:tc>
          <w:tcPr>
            <w:tcW w:w="855" w:type="pct"/>
            <w:vAlign w:val="center"/>
          </w:tcPr>
          <w:p w14:paraId="6B377EA6">
            <w:pPr>
              <w:pStyle w:val="33"/>
              <w:rPr>
                <w:color w:val="auto"/>
              </w:rPr>
            </w:pPr>
            <w:r>
              <w:rPr>
                <w:rFonts w:hint="eastAsia"/>
                <w:color w:val="auto"/>
              </w:rPr>
              <w:t>29.96</w:t>
            </w:r>
          </w:p>
        </w:tc>
      </w:tr>
      <w:tr w14:paraId="3FA31B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3B25CFBD">
            <w:pPr>
              <w:pStyle w:val="33"/>
              <w:rPr>
                <w:color w:val="auto"/>
              </w:rPr>
            </w:pPr>
          </w:p>
        </w:tc>
        <w:tc>
          <w:tcPr>
            <w:tcW w:w="782" w:type="pct"/>
            <w:vAlign w:val="center"/>
          </w:tcPr>
          <w:p w14:paraId="349F5F6D">
            <w:pPr>
              <w:pStyle w:val="33"/>
              <w:rPr>
                <w:color w:val="auto"/>
              </w:rPr>
            </w:pPr>
            <w:r>
              <w:rPr>
                <w:rFonts w:hint="eastAsia"/>
                <w:color w:val="auto"/>
              </w:rPr>
              <w:t>11月</w:t>
            </w:r>
          </w:p>
        </w:tc>
        <w:tc>
          <w:tcPr>
            <w:tcW w:w="782" w:type="pct"/>
            <w:vAlign w:val="center"/>
          </w:tcPr>
          <w:p w14:paraId="611CA34D">
            <w:pPr>
              <w:pStyle w:val="33"/>
              <w:rPr>
                <w:color w:val="auto"/>
              </w:rPr>
            </w:pPr>
            <w:r>
              <w:rPr>
                <w:rFonts w:hint="eastAsia"/>
                <w:color w:val="auto"/>
              </w:rPr>
              <w:t>140.839</w:t>
            </w:r>
          </w:p>
        </w:tc>
        <w:tc>
          <w:tcPr>
            <w:tcW w:w="940" w:type="pct"/>
            <w:vAlign w:val="center"/>
          </w:tcPr>
          <w:p w14:paraId="22B19E7C">
            <w:pPr>
              <w:pStyle w:val="33"/>
              <w:rPr>
                <w:color w:val="auto"/>
              </w:rPr>
            </w:pPr>
            <w:r>
              <w:rPr>
                <w:rFonts w:hint="eastAsia"/>
                <w:color w:val="auto"/>
              </w:rPr>
              <w:t>2.192</w:t>
            </w:r>
          </w:p>
        </w:tc>
        <w:tc>
          <w:tcPr>
            <w:tcW w:w="861" w:type="pct"/>
            <w:vAlign w:val="center"/>
          </w:tcPr>
          <w:p w14:paraId="1319C8E7">
            <w:pPr>
              <w:pStyle w:val="33"/>
              <w:rPr>
                <w:color w:val="auto"/>
              </w:rPr>
            </w:pPr>
            <w:r>
              <w:rPr>
                <w:rFonts w:hint="eastAsia"/>
                <w:color w:val="auto"/>
              </w:rPr>
              <w:t>11.509</w:t>
            </w:r>
          </w:p>
        </w:tc>
        <w:tc>
          <w:tcPr>
            <w:tcW w:w="855" w:type="pct"/>
            <w:vAlign w:val="center"/>
          </w:tcPr>
          <w:p w14:paraId="5F3CEED4">
            <w:pPr>
              <w:pStyle w:val="33"/>
              <w:rPr>
                <w:color w:val="auto"/>
              </w:rPr>
            </w:pPr>
            <w:r>
              <w:rPr>
                <w:rFonts w:hint="eastAsia"/>
                <w:color w:val="auto"/>
              </w:rPr>
              <w:t>29.738</w:t>
            </w:r>
          </w:p>
        </w:tc>
      </w:tr>
      <w:tr w14:paraId="50641A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6F669B97">
            <w:pPr>
              <w:pStyle w:val="33"/>
              <w:rPr>
                <w:color w:val="auto"/>
              </w:rPr>
            </w:pPr>
          </w:p>
        </w:tc>
        <w:tc>
          <w:tcPr>
            <w:tcW w:w="782" w:type="pct"/>
            <w:vAlign w:val="center"/>
          </w:tcPr>
          <w:p w14:paraId="4E6BD5FB">
            <w:pPr>
              <w:pStyle w:val="33"/>
              <w:rPr>
                <w:color w:val="auto"/>
              </w:rPr>
            </w:pPr>
            <w:r>
              <w:rPr>
                <w:rFonts w:hint="eastAsia"/>
                <w:color w:val="auto"/>
              </w:rPr>
              <w:t>12月</w:t>
            </w:r>
          </w:p>
        </w:tc>
        <w:tc>
          <w:tcPr>
            <w:tcW w:w="782" w:type="pct"/>
            <w:vAlign w:val="center"/>
          </w:tcPr>
          <w:p w14:paraId="19FCEE34">
            <w:pPr>
              <w:pStyle w:val="33"/>
              <w:rPr>
                <w:color w:val="auto"/>
              </w:rPr>
            </w:pPr>
            <w:r>
              <w:rPr>
                <w:rFonts w:hint="eastAsia"/>
                <w:color w:val="auto"/>
              </w:rPr>
              <w:t>123.044</w:t>
            </w:r>
          </w:p>
        </w:tc>
        <w:tc>
          <w:tcPr>
            <w:tcW w:w="940" w:type="pct"/>
            <w:vAlign w:val="center"/>
          </w:tcPr>
          <w:p w14:paraId="174B0993">
            <w:pPr>
              <w:pStyle w:val="33"/>
              <w:rPr>
                <w:color w:val="auto"/>
              </w:rPr>
            </w:pPr>
            <w:r>
              <w:rPr>
                <w:rFonts w:hint="eastAsia"/>
                <w:color w:val="auto"/>
              </w:rPr>
              <w:t>1.742</w:t>
            </w:r>
          </w:p>
        </w:tc>
        <w:tc>
          <w:tcPr>
            <w:tcW w:w="861" w:type="pct"/>
            <w:vAlign w:val="center"/>
          </w:tcPr>
          <w:p w14:paraId="34BB0739">
            <w:pPr>
              <w:pStyle w:val="33"/>
              <w:rPr>
                <w:color w:val="auto"/>
              </w:rPr>
            </w:pPr>
            <w:r>
              <w:rPr>
                <w:rFonts w:hint="eastAsia"/>
                <w:color w:val="auto"/>
              </w:rPr>
              <w:t>10.341</w:t>
            </w:r>
          </w:p>
        </w:tc>
        <w:tc>
          <w:tcPr>
            <w:tcW w:w="855" w:type="pct"/>
            <w:vAlign w:val="center"/>
          </w:tcPr>
          <w:p w14:paraId="0610DFBD">
            <w:pPr>
              <w:pStyle w:val="33"/>
              <w:rPr>
                <w:color w:val="auto"/>
              </w:rPr>
            </w:pPr>
            <w:r>
              <w:rPr>
                <w:rFonts w:hint="eastAsia"/>
                <w:color w:val="auto"/>
              </w:rPr>
              <w:t>27.556</w:t>
            </w:r>
          </w:p>
        </w:tc>
      </w:tr>
      <w:tr w14:paraId="675481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780" w:type="pct"/>
            <w:vMerge w:val="continue"/>
            <w:tcBorders>
              <w:left w:val="single" w:color="auto" w:sz="4" w:space="0"/>
            </w:tcBorders>
            <w:vAlign w:val="center"/>
          </w:tcPr>
          <w:p w14:paraId="2B65B6DE">
            <w:pPr>
              <w:pStyle w:val="33"/>
              <w:rPr>
                <w:color w:val="auto"/>
              </w:rPr>
            </w:pPr>
          </w:p>
        </w:tc>
        <w:tc>
          <w:tcPr>
            <w:tcW w:w="1564" w:type="pct"/>
            <w:gridSpan w:val="2"/>
            <w:vAlign w:val="center"/>
          </w:tcPr>
          <w:p w14:paraId="78252E8C">
            <w:pPr>
              <w:pStyle w:val="33"/>
              <w:rPr>
                <w:color w:val="auto"/>
              </w:rPr>
            </w:pPr>
            <w:r>
              <w:rPr>
                <w:rFonts w:hint="eastAsia"/>
                <w:color w:val="auto"/>
              </w:rPr>
              <w:t>达标情况</w:t>
            </w:r>
          </w:p>
        </w:tc>
        <w:tc>
          <w:tcPr>
            <w:tcW w:w="940" w:type="pct"/>
            <w:vAlign w:val="center"/>
          </w:tcPr>
          <w:p w14:paraId="4577B123">
            <w:pPr>
              <w:pStyle w:val="33"/>
              <w:rPr>
                <w:color w:val="auto"/>
              </w:rPr>
            </w:pPr>
            <w:r>
              <w:rPr>
                <w:rFonts w:hint="eastAsia"/>
                <w:color w:val="auto"/>
              </w:rPr>
              <w:t>达标</w:t>
            </w:r>
          </w:p>
        </w:tc>
        <w:tc>
          <w:tcPr>
            <w:tcW w:w="861" w:type="pct"/>
            <w:vAlign w:val="center"/>
          </w:tcPr>
          <w:p w14:paraId="1BD3645C">
            <w:pPr>
              <w:pStyle w:val="33"/>
              <w:rPr>
                <w:color w:val="auto"/>
              </w:rPr>
            </w:pPr>
            <w:r>
              <w:rPr>
                <w:rFonts w:hint="eastAsia"/>
                <w:color w:val="auto"/>
              </w:rPr>
              <w:t>达标</w:t>
            </w:r>
          </w:p>
        </w:tc>
        <w:tc>
          <w:tcPr>
            <w:tcW w:w="855" w:type="pct"/>
            <w:vAlign w:val="center"/>
          </w:tcPr>
          <w:p w14:paraId="17BDCC54">
            <w:pPr>
              <w:pStyle w:val="33"/>
              <w:rPr>
                <w:color w:val="auto"/>
              </w:rPr>
            </w:pPr>
            <w:r>
              <w:rPr>
                <w:rFonts w:hint="eastAsia"/>
                <w:color w:val="auto"/>
              </w:rPr>
              <w:t>达标</w:t>
            </w:r>
          </w:p>
        </w:tc>
      </w:tr>
      <w:tr w14:paraId="32A385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44" w:type="pct"/>
            <w:gridSpan w:val="3"/>
            <w:tcBorders>
              <w:left w:val="single" w:color="auto" w:sz="4" w:space="0"/>
            </w:tcBorders>
            <w:vAlign w:val="center"/>
          </w:tcPr>
          <w:p w14:paraId="2FEA2421">
            <w:pPr>
              <w:pStyle w:val="33"/>
              <w:rPr>
                <w:color w:val="auto"/>
              </w:rPr>
            </w:pPr>
            <w:r>
              <w:rPr>
                <w:rFonts w:hint="eastAsia"/>
                <w:color w:val="auto"/>
              </w:rPr>
              <w:t>超低排放要求</w:t>
            </w:r>
          </w:p>
        </w:tc>
        <w:tc>
          <w:tcPr>
            <w:tcW w:w="940" w:type="pct"/>
            <w:vAlign w:val="center"/>
          </w:tcPr>
          <w:p w14:paraId="4478E3B9">
            <w:pPr>
              <w:pStyle w:val="33"/>
              <w:rPr>
                <w:color w:val="auto"/>
              </w:rPr>
            </w:pPr>
            <w:r>
              <w:rPr>
                <w:rFonts w:hint="eastAsia"/>
                <w:color w:val="auto"/>
              </w:rPr>
              <w:t>10</w:t>
            </w:r>
          </w:p>
        </w:tc>
        <w:tc>
          <w:tcPr>
            <w:tcW w:w="861" w:type="pct"/>
            <w:vAlign w:val="center"/>
          </w:tcPr>
          <w:p w14:paraId="6CC512F6">
            <w:pPr>
              <w:pStyle w:val="33"/>
              <w:rPr>
                <w:color w:val="auto"/>
              </w:rPr>
            </w:pPr>
            <w:r>
              <w:rPr>
                <w:rFonts w:hint="eastAsia"/>
                <w:color w:val="auto"/>
              </w:rPr>
              <w:t>35</w:t>
            </w:r>
          </w:p>
        </w:tc>
        <w:tc>
          <w:tcPr>
            <w:tcW w:w="855" w:type="pct"/>
            <w:vAlign w:val="center"/>
          </w:tcPr>
          <w:p w14:paraId="5F7550A4">
            <w:pPr>
              <w:pStyle w:val="33"/>
              <w:rPr>
                <w:color w:val="auto"/>
              </w:rPr>
            </w:pPr>
            <w:r>
              <w:rPr>
                <w:rFonts w:hint="eastAsia"/>
                <w:color w:val="auto"/>
              </w:rPr>
              <w:t>50</w:t>
            </w:r>
          </w:p>
        </w:tc>
      </w:tr>
    </w:tbl>
    <w:p w14:paraId="463FF5D6">
      <w:pPr>
        <w:ind w:firstLine="480"/>
        <w:rPr>
          <w:color w:val="auto"/>
        </w:rPr>
      </w:pPr>
      <w:r>
        <w:rPr>
          <w:color w:val="auto"/>
        </w:rPr>
        <w:t>现有工程1#、2#、3#循环流化床锅炉202</w:t>
      </w:r>
      <w:r>
        <w:rPr>
          <w:rFonts w:hint="eastAsia"/>
          <w:color w:val="auto"/>
        </w:rPr>
        <w:t>5</w:t>
      </w:r>
      <w:r>
        <w:rPr>
          <w:color w:val="auto"/>
        </w:rPr>
        <w:t>年</w:t>
      </w:r>
      <w:r>
        <w:rPr>
          <w:rFonts w:hint="eastAsia"/>
          <w:color w:val="auto"/>
        </w:rPr>
        <w:t>自行</w:t>
      </w:r>
      <w:r>
        <w:rPr>
          <w:color w:val="auto"/>
        </w:rPr>
        <w:t>监测结果见</w:t>
      </w:r>
      <w:r>
        <w:rPr>
          <w:rFonts w:hint="eastAsia"/>
          <w:color w:val="auto"/>
        </w:rPr>
        <w:t>下表，</w:t>
      </w:r>
      <w:r>
        <w:rPr>
          <w:color w:val="auto"/>
        </w:rPr>
        <w:t>由监测结果可知，汞及其化合物、烟气黑度可达到《火电厂大气污染物排放标准》（GB13223-2011）新建锅炉排放限值要求。</w:t>
      </w:r>
    </w:p>
    <w:p w14:paraId="1EC6DD4C">
      <w:pPr>
        <w:pStyle w:val="7"/>
        <w:rPr>
          <w:color w:val="auto"/>
        </w:rPr>
      </w:pPr>
      <w:r>
        <w:rPr>
          <w:color w:val="auto"/>
        </w:rPr>
        <w:t>现有工程热电站</w:t>
      </w:r>
      <w:r>
        <w:rPr>
          <w:rFonts w:eastAsia="Times New Roman" w:cs="Times New Roman"/>
          <w:color w:val="auto"/>
        </w:rPr>
        <w:t>1#</w:t>
      </w:r>
      <w:r>
        <w:rPr>
          <w:color w:val="auto"/>
        </w:rPr>
        <w:t>、</w:t>
      </w:r>
      <w:r>
        <w:rPr>
          <w:rFonts w:eastAsia="Times New Roman" w:cs="Times New Roman"/>
          <w:color w:val="auto"/>
        </w:rPr>
        <w:t>2#</w:t>
      </w:r>
      <w:r>
        <w:rPr>
          <w:color w:val="auto"/>
        </w:rPr>
        <w:t>、</w:t>
      </w:r>
      <w:r>
        <w:rPr>
          <w:rFonts w:eastAsia="Times New Roman" w:cs="Times New Roman"/>
          <w:color w:val="auto"/>
        </w:rPr>
        <w:t>3#</w:t>
      </w:r>
      <w:r>
        <w:rPr>
          <w:color w:val="auto"/>
        </w:rPr>
        <w:t>锅炉烟气</w:t>
      </w:r>
      <w:r>
        <w:rPr>
          <w:rFonts w:eastAsia="Times New Roman" w:cs="Times New Roman"/>
          <w:color w:val="auto"/>
        </w:rPr>
        <w:t>202</w:t>
      </w:r>
      <w:r>
        <w:rPr>
          <w:rFonts w:hint="eastAsia" w:cs="Times New Roman" w:eastAsiaTheme="minorEastAsia"/>
          <w:color w:val="auto"/>
        </w:rPr>
        <w:t>5</w:t>
      </w:r>
      <w:r>
        <w:rPr>
          <w:color w:val="auto"/>
        </w:rPr>
        <w:t>年自行监测结果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2466"/>
        <w:gridCol w:w="2468"/>
        <w:gridCol w:w="2184"/>
        <w:gridCol w:w="2168"/>
      </w:tblGrid>
      <w:tr w14:paraId="018927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1328" w:type="pct"/>
            <w:vAlign w:val="center"/>
          </w:tcPr>
          <w:p w14:paraId="4E247C2F">
            <w:pPr>
              <w:pStyle w:val="33"/>
              <w:rPr>
                <w:b/>
                <w:bCs/>
                <w:color w:val="auto"/>
              </w:rPr>
            </w:pPr>
            <w:r>
              <w:rPr>
                <w:b/>
                <w:bCs/>
                <w:color w:val="auto"/>
              </w:rPr>
              <w:t>项目</w:t>
            </w:r>
          </w:p>
        </w:tc>
        <w:tc>
          <w:tcPr>
            <w:tcW w:w="1329" w:type="pct"/>
            <w:tcBorders>
              <w:left w:val="single" w:color="auto" w:sz="4" w:space="0"/>
            </w:tcBorders>
            <w:vAlign w:val="center"/>
          </w:tcPr>
          <w:p w14:paraId="68BCED2A">
            <w:pPr>
              <w:pStyle w:val="33"/>
              <w:rPr>
                <w:b/>
                <w:bCs/>
                <w:color w:val="auto"/>
              </w:rPr>
            </w:pPr>
            <w:r>
              <w:rPr>
                <w:rFonts w:hint="eastAsia"/>
                <w:b/>
                <w:bCs/>
                <w:color w:val="auto"/>
              </w:rPr>
              <w:t>烟气量</w:t>
            </w:r>
          </w:p>
          <w:p w14:paraId="32E35926">
            <w:pPr>
              <w:pStyle w:val="33"/>
              <w:rPr>
                <w:b/>
                <w:bCs/>
                <w:color w:val="auto"/>
              </w:rPr>
            </w:pPr>
            <w:r>
              <w:rPr>
                <w:rFonts w:hint="eastAsia"/>
                <w:b/>
                <w:bCs/>
                <w:color w:val="auto"/>
              </w:rPr>
              <w:t>（m</w:t>
            </w:r>
            <w:r>
              <w:rPr>
                <w:rFonts w:hint="eastAsia"/>
                <w:b/>
                <w:bCs/>
                <w:color w:val="auto"/>
                <w:vertAlign w:val="superscript"/>
              </w:rPr>
              <w:t>3</w:t>
            </w:r>
            <w:r>
              <w:rPr>
                <w:rFonts w:hint="eastAsia"/>
                <w:b/>
                <w:bCs/>
                <w:color w:val="auto"/>
              </w:rPr>
              <w:t>/h）</w:t>
            </w:r>
          </w:p>
        </w:tc>
        <w:tc>
          <w:tcPr>
            <w:tcW w:w="1176" w:type="pct"/>
            <w:vAlign w:val="center"/>
          </w:tcPr>
          <w:p w14:paraId="56DFC811">
            <w:pPr>
              <w:pStyle w:val="33"/>
              <w:rPr>
                <w:b/>
                <w:bCs/>
                <w:color w:val="auto"/>
              </w:rPr>
            </w:pPr>
            <w:r>
              <w:rPr>
                <w:b/>
                <w:bCs/>
                <w:color w:val="auto"/>
              </w:rPr>
              <w:t>汞及其化合物</w:t>
            </w:r>
          </w:p>
          <w:p w14:paraId="620B1608">
            <w:pPr>
              <w:pStyle w:val="33"/>
              <w:rPr>
                <w:b/>
                <w:bCs/>
                <w:color w:val="auto"/>
              </w:rPr>
            </w:pPr>
            <w:r>
              <w:rPr>
                <w:b/>
                <w:bCs/>
                <w:color w:val="auto"/>
              </w:rPr>
              <w:t>（mg/m</w:t>
            </w:r>
            <w:r>
              <w:rPr>
                <w:b/>
                <w:bCs/>
                <w:color w:val="auto"/>
                <w:vertAlign w:val="superscript"/>
              </w:rPr>
              <w:t>3</w:t>
            </w:r>
            <w:r>
              <w:rPr>
                <w:b/>
                <w:bCs/>
                <w:color w:val="auto"/>
              </w:rPr>
              <w:t>）</w:t>
            </w:r>
          </w:p>
        </w:tc>
        <w:tc>
          <w:tcPr>
            <w:tcW w:w="1167" w:type="pct"/>
            <w:vAlign w:val="center"/>
          </w:tcPr>
          <w:p w14:paraId="5E591349">
            <w:pPr>
              <w:pStyle w:val="33"/>
              <w:rPr>
                <w:b/>
                <w:bCs/>
                <w:color w:val="auto"/>
              </w:rPr>
            </w:pPr>
            <w:r>
              <w:rPr>
                <w:b/>
                <w:bCs/>
                <w:color w:val="auto"/>
              </w:rPr>
              <w:t>烟气黑度</w:t>
            </w:r>
          </w:p>
          <w:p w14:paraId="1A45C451">
            <w:pPr>
              <w:pStyle w:val="33"/>
              <w:rPr>
                <w:b/>
                <w:bCs/>
                <w:color w:val="auto"/>
              </w:rPr>
            </w:pPr>
            <w:r>
              <w:rPr>
                <w:b/>
                <w:bCs/>
                <w:color w:val="auto"/>
              </w:rPr>
              <w:t>（林格曼黑度，级）</w:t>
            </w:r>
          </w:p>
        </w:tc>
      </w:tr>
      <w:tr w14:paraId="0D5E46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28" w:type="pct"/>
            <w:vAlign w:val="center"/>
          </w:tcPr>
          <w:p w14:paraId="05B86073">
            <w:pPr>
              <w:pStyle w:val="33"/>
              <w:rPr>
                <w:color w:val="auto"/>
              </w:rPr>
            </w:pPr>
            <w:r>
              <w:rPr>
                <w:color w:val="auto"/>
              </w:rPr>
              <w:t>1#锅炉</w:t>
            </w:r>
            <w:r>
              <w:rPr>
                <w:rFonts w:hint="eastAsia"/>
                <w:color w:val="auto"/>
              </w:rPr>
              <w:t>（DA006）</w:t>
            </w:r>
          </w:p>
        </w:tc>
        <w:tc>
          <w:tcPr>
            <w:tcW w:w="1329" w:type="pct"/>
            <w:vAlign w:val="center"/>
          </w:tcPr>
          <w:p w14:paraId="0D58D5B4">
            <w:pPr>
              <w:pStyle w:val="33"/>
              <w:rPr>
                <w:color w:val="auto"/>
              </w:rPr>
            </w:pPr>
            <w:r>
              <w:rPr>
                <w:rFonts w:hint="eastAsia"/>
                <w:color w:val="auto"/>
              </w:rPr>
              <w:t>276675~560112</w:t>
            </w:r>
          </w:p>
        </w:tc>
        <w:tc>
          <w:tcPr>
            <w:tcW w:w="1176" w:type="pct"/>
            <w:vAlign w:val="center"/>
          </w:tcPr>
          <w:p w14:paraId="240B02A9">
            <w:pPr>
              <w:pStyle w:val="33"/>
              <w:rPr>
                <w:color w:val="auto"/>
              </w:rPr>
            </w:pPr>
            <w:r>
              <w:rPr>
                <w:rFonts w:hint="eastAsia"/>
                <w:color w:val="auto"/>
              </w:rPr>
              <w:t>3.39*10</w:t>
            </w:r>
            <w:r>
              <w:rPr>
                <w:rFonts w:hint="eastAsia"/>
                <w:color w:val="auto"/>
                <w:vertAlign w:val="superscript"/>
              </w:rPr>
              <w:t>-5~</w:t>
            </w:r>
            <w:r>
              <w:rPr>
                <w:rFonts w:hint="eastAsia"/>
                <w:color w:val="auto"/>
              </w:rPr>
              <w:t>9.09*10</w:t>
            </w:r>
            <w:r>
              <w:rPr>
                <w:rFonts w:hint="eastAsia"/>
                <w:color w:val="auto"/>
                <w:vertAlign w:val="superscript"/>
              </w:rPr>
              <w:t>-4</w:t>
            </w:r>
          </w:p>
        </w:tc>
        <w:tc>
          <w:tcPr>
            <w:tcW w:w="1167" w:type="pct"/>
            <w:vAlign w:val="center"/>
          </w:tcPr>
          <w:p w14:paraId="5571E4AB">
            <w:pPr>
              <w:pStyle w:val="33"/>
              <w:rPr>
                <w:color w:val="auto"/>
              </w:rPr>
            </w:pPr>
            <w:r>
              <w:rPr>
                <w:color w:val="auto"/>
              </w:rPr>
              <w:t>&lt;1</w:t>
            </w:r>
          </w:p>
        </w:tc>
      </w:tr>
      <w:tr w14:paraId="4ADB82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28" w:type="pct"/>
            <w:vAlign w:val="center"/>
          </w:tcPr>
          <w:p w14:paraId="74D37431">
            <w:pPr>
              <w:pStyle w:val="33"/>
              <w:rPr>
                <w:color w:val="auto"/>
              </w:rPr>
            </w:pPr>
            <w:r>
              <w:rPr>
                <w:color w:val="auto"/>
              </w:rPr>
              <w:t>2#锅炉</w:t>
            </w:r>
            <w:r>
              <w:rPr>
                <w:rFonts w:hint="eastAsia"/>
                <w:color w:val="auto"/>
              </w:rPr>
              <w:t>（DA007）</w:t>
            </w:r>
          </w:p>
        </w:tc>
        <w:tc>
          <w:tcPr>
            <w:tcW w:w="1329" w:type="pct"/>
            <w:vAlign w:val="center"/>
          </w:tcPr>
          <w:p w14:paraId="6F1D7F4C">
            <w:pPr>
              <w:pStyle w:val="33"/>
              <w:rPr>
                <w:color w:val="auto"/>
              </w:rPr>
            </w:pPr>
            <w:r>
              <w:rPr>
                <w:rFonts w:hint="eastAsia"/>
                <w:color w:val="auto"/>
              </w:rPr>
              <w:t>322903~457533</w:t>
            </w:r>
          </w:p>
        </w:tc>
        <w:tc>
          <w:tcPr>
            <w:tcW w:w="1176" w:type="pct"/>
            <w:vAlign w:val="center"/>
          </w:tcPr>
          <w:p w14:paraId="59A97E6B">
            <w:pPr>
              <w:pStyle w:val="33"/>
              <w:rPr>
                <w:color w:val="auto"/>
              </w:rPr>
            </w:pPr>
            <w:r>
              <w:rPr>
                <w:rFonts w:hint="eastAsia"/>
                <w:color w:val="auto"/>
              </w:rPr>
              <w:t>5.06*10</w:t>
            </w:r>
            <w:r>
              <w:rPr>
                <w:rFonts w:hint="eastAsia"/>
                <w:color w:val="auto"/>
                <w:vertAlign w:val="superscript"/>
              </w:rPr>
              <w:t>-5~</w:t>
            </w:r>
            <w:r>
              <w:rPr>
                <w:rFonts w:hint="eastAsia"/>
                <w:color w:val="auto"/>
              </w:rPr>
              <w:t>4.68*10</w:t>
            </w:r>
            <w:r>
              <w:rPr>
                <w:rFonts w:hint="eastAsia"/>
                <w:color w:val="auto"/>
                <w:vertAlign w:val="superscript"/>
              </w:rPr>
              <w:t>-4</w:t>
            </w:r>
          </w:p>
        </w:tc>
        <w:tc>
          <w:tcPr>
            <w:tcW w:w="1167" w:type="pct"/>
            <w:vAlign w:val="center"/>
          </w:tcPr>
          <w:p w14:paraId="5663B9CB">
            <w:pPr>
              <w:pStyle w:val="33"/>
              <w:rPr>
                <w:color w:val="auto"/>
              </w:rPr>
            </w:pPr>
            <w:r>
              <w:rPr>
                <w:color w:val="auto"/>
              </w:rPr>
              <w:t>&lt;1</w:t>
            </w:r>
          </w:p>
        </w:tc>
      </w:tr>
      <w:tr w14:paraId="61AB85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28" w:type="pct"/>
            <w:vAlign w:val="center"/>
          </w:tcPr>
          <w:p w14:paraId="6222B0D7">
            <w:pPr>
              <w:pStyle w:val="33"/>
              <w:rPr>
                <w:color w:val="auto"/>
              </w:rPr>
            </w:pPr>
            <w:r>
              <w:rPr>
                <w:color w:val="auto"/>
              </w:rPr>
              <w:t>3#锅炉</w:t>
            </w:r>
            <w:r>
              <w:rPr>
                <w:rFonts w:hint="eastAsia"/>
                <w:color w:val="auto"/>
              </w:rPr>
              <w:t>（DA010）</w:t>
            </w:r>
          </w:p>
        </w:tc>
        <w:tc>
          <w:tcPr>
            <w:tcW w:w="1329" w:type="pct"/>
            <w:vAlign w:val="center"/>
          </w:tcPr>
          <w:p w14:paraId="67E72562">
            <w:pPr>
              <w:pStyle w:val="33"/>
              <w:rPr>
                <w:color w:val="auto"/>
              </w:rPr>
            </w:pPr>
            <w:r>
              <w:rPr>
                <w:rFonts w:hint="eastAsia"/>
                <w:color w:val="auto"/>
              </w:rPr>
              <w:t>486457~734164</w:t>
            </w:r>
          </w:p>
        </w:tc>
        <w:tc>
          <w:tcPr>
            <w:tcW w:w="1176" w:type="pct"/>
            <w:vAlign w:val="center"/>
          </w:tcPr>
          <w:p w14:paraId="2992156B">
            <w:pPr>
              <w:pStyle w:val="33"/>
              <w:rPr>
                <w:color w:val="auto"/>
              </w:rPr>
            </w:pPr>
            <w:r>
              <w:rPr>
                <w:rFonts w:hint="eastAsia"/>
                <w:color w:val="auto"/>
              </w:rPr>
              <w:t>6.12*10</w:t>
            </w:r>
            <w:r>
              <w:rPr>
                <w:rFonts w:hint="eastAsia"/>
                <w:color w:val="auto"/>
                <w:vertAlign w:val="superscript"/>
              </w:rPr>
              <w:t>-5</w:t>
            </w:r>
            <w:r>
              <w:rPr>
                <w:rFonts w:hint="eastAsia"/>
                <w:color w:val="auto"/>
              </w:rPr>
              <w:t>~6.93*10</w:t>
            </w:r>
            <w:r>
              <w:rPr>
                <w:rFonts w:hint="eastAsia"/>
                <w:color w:val="auto"/>
                <w:vertAlign w:val="superscript"/>
              </w:rPr>
              <w:t>-4</w:t>
            </w:r>
          </w:p>
        </w:tc>
        <w:tc>
          <w:tcPr>
            <w:tcW w:w="1167" w:type="pct"/>
            <w:vAlign w:val="center"/>
          </w:tcPr>
          <w:p w14:paraId="644C642A">
            <w:pPr>
              <w:pStyle w:val="33"/>
              <w:rPr>
                <w:color w:val="auto"/>
              </w:rPr>
            </w:pPr>
            <w:r>
              <w:rPr>
                <w:color w:val="auto"/>
              </w:rPr>
              <w:t>&lt;1</w:t>
            </w:r>
          </w:p>
        </w:tc>
      </w:tr>
      <w:tr w14:paraId="147384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657" w:type="pct"/>
            <w:gridSpan w:val="2"/>
            <w:vAlign w:val="center"/>
          </w:tcPr>
          <w:p w14:paraId="0C2330CE">
            <w:pPr>
              <w:pStyle w:val="33"/>
              <w:rPr>
                <w:color w:val="auto"/>
              </w:rPr>
            </w:pPr>
            <w:r>
              <w:rPr>
                <w:rFonts w:hint="eastAsia"/>
                <w:color w:val="auto"/>
              </w:rPr>
              <w:t>达标情况</w:t>
            </w:r>
          </w:p>
        </w:tc>
        <w:tc>
          <w:tcPr>
            <w:tcW w:w="1176" w:type="pct"/>
            <w:vAlign w:val="center"/>
          </w:tcPr>
          <w:p w14:paraId="3D1418CA">
            <w:pPr>
              <w:pStyle w:val="33"/>
              <w:rPr>
                <w:color w:val="auto"/>
              </w:rPr>
            </w:pPr>
            <w:r>
              <w:rPr>
                <w:rFonts w:hint="eastAsia"/>
                <w:color w:val="auto"/>
              </w:rPr>
              <w:t>达标</w:t>
            </w:r>
          </w:p>
        </w:tc>
        <w:tc>
          <w:tcPr>
            <w:tcW w:w="1167" w:type="pct"/>
            <w:vAlign w:val="center"/>
          </w:tcPr>
          <w:p w14:paraId="4707E1F0">
            <w:pPr>
              <w:pStyle w:val="33"/>
              <w:rPr>
                <w:color w:val="auto"/>
              </w:rPr>
            </w:pPr>
            <w:r>
              <w:rPr>
                <w:rFonts w:hint="eastAsia"/>
                <w:color w:val="auto"/>
              </w:rPr>
              <w:t>达标</w:t>
            </w:r>
          </w:p>
        </w:tc>
      </w:tr>
      <w:tr w14:paraId="148970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657" w:type="pct"/>
            <w:gridSpan w:val="2"/>
            <w:tcBorders>
              <w:left w:val="single" w:color="auto" w:sz="4" w:space="0"/>
            </w:tcBorders>
            <w:vAlign w:val="center"/>
          </w:tcPr>
          <w:p w14:paraId="2EBDC3FE">
            <w:pPr>
              <w:pStyle w:val="33"/>
              <w:rPr>
                <w:color w:val="auto"/>
              </w:rPr>
            </w:pPr>
            <w:r>
              <w:rPr>
                <w:color w:val="auto"/>
              </w:rPr>
              <w:t>《火电厂大气污染物排放标准》（GB13223-2011）</w:t>
            </w:r>
          </w:p>
        </w:tc>
        <w:tc>
          <w:tcPr>
            <w:tcW w:w="1176" w:type="pct"/>
            <w:vAlign w:val="center"/>
          </w:tcPr>
          <w:p w14:paraId="4114C4B6">
            <w:pPr>
              <w:pStyle w:val="33"/>
              <w:rPr>
                <w:color w:val="auto"/>
              </w:rPr>
            </w:pPr>
            <w:r>
              <w:rPr>
                <w:color w:val="auto"/>
              </w:rPr>
              <w:t>0.03</w:t>
            </w:r>
          </w:p>
        </w:tc>
        <w:tc>
          <w:tcPr>
            <w:tcW w:w="1167" w:type="pct"/>
            <w:vAlign w:val="center"/>
          </w:tcPr>
          <w:p w14:paraId="54CB4100">
            <w:pPr>
              <w:pStyle w:val="33"/>
              <w:rPr>
                <w:color w:val="auto"/>
              </w:rPr>
            </w:pPr>
            <w:r>
              <w:rPr>
                <w:color w:val="auto"/>
              </w:rPr>
              <w:t>1</w:t>
            </w:r>
          </w:p>
        </w:tc>
      </w:tr>
    </w:tbl>
    <w:p w14:paraId="77A9B2E5">
      <w:pPr>
        <w:ind w:firstLine="480"/>
        <w:rPr>
          <w:color w:val="auto"/>
          <w:spacing w:val="-5"/>
        </w:rPr>
      </w:pPr>
      <w:r>
        <w:rPr>
          <w:color w:val="auto"/>
        </w:rPr>
        <w:t>金桂浆纸现有碱回收炉配套在线监测系统，在线监测烟尘、二氧化硫、氮氧化物，并对汞及其化合物和烟气黑度开展自行监测。202</w:t>
      </w:r>
      <w:r>
        <w:rPr>
          <w:rFonts w:hint="eastAsia"/>
          <w:color w:val="auto"/>
        </w:rPr>
        <w:t>5</w:t>
      </w:r>
      <w:r>
        <w:rPr>
          <w:color w:val="auto"/>
        </w:rPr>
        <w:t>年在线监测和自行监测结果见</w:t>
      </w:r>
      <w:r>
        <w:rPr>
          <w:rFonts w:hint="eastAsia"/>
          <w:color w:val="auto"/>
        </w:rPr>
        <w:t>下表</w:t>
      </w:r>
      <w:r>
        <w:rPr>
          <w:color w:val="auto"/>
        </w:rPr>
        <w:t>。由监测结果可知，烟尘、二氧化硫、氮氧化物、汞及其化合物、烟气黑度可达到《锅炉大气污染物排放标准》（GB13271-2014）表1现有锅炉标准限值要求</w:t>
      </w:r>
      <w:r>
        <w:rPr>
          <w:color w:val="auto"/>
          <w:spacing w:val="-5"/>
        </w:rPr>
        <w:t>。</w:t>
      </w:r>
    </w:p>
    <w:p w14:paraId="44410416">
      <w:pPr>
        <w:pStyle w:val="7"/>
        <w:rPr>
          <w:color w:val="auto"/>
        </w:rPr>
      </w:pPr>
      <w:r>
        <w:rPr>
          <w:color w:val="auto"/>
        </w:rPr>
        <w:t>现有工程碱回收炉烟气</w:t>
      </w:r>
      <w:r>
        <w:rPr>
          <w:rFonts w:eastAsia="Times New Roman" w:cs="Times New Roman"/>
          <w:color w:val="auto"/>
        </w:rPr>
        <w:t>202</w:t>
      </w:r>
      <w:r>
        <w:rPr>
          <w:rFonts w:hint="eastAsia" w:cs="Times New Roman" w:eastAsiaTheme="minorEastAsia"/>
          <w:color w:val="auto"/>
        </w:rPr>
        <w:t>5</w:t>
      </w:r>
      <w:r>
        <w:rPr>
          <w:color w:val="auto"/>
        </w:rPr>
        <w:t>年在线及自行监测结果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111"/>
        <w:gridCol w:w="1389"/>
        <w:gridCol w:w="1389"/>
        <w:gridCol w:w="1188"/>
        <w:gridCol w:w="1591"/>
        <w:gridCol w:w="2009"/>
        <w:gridCol w:w="609"/>
      </w:tblGrid>
      <w:tr w14:paraId="254AE4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018" w:type="pct"/>
            <w:vAlign w:val="center"/>
          </w:tcPr>
          <w:p w14:paraId="0D469471">
            <w:pPr>
              <w:pStyle w:val="33"/>
              <w:snapToGrid w:val="0"/>
              <w:rPr>
                <w:b/>
                <w:bCs/>
                <w:color w:val="auto"/>
              </w:rPr>
            </w:pPr>
            <w:r>
              <w:rPr>
                <w:b/>
                <w:bCs/>
                <w:color w:val="auto"/>
              </w:rPr>
              <w:t>项目</w:t>
            </w:r>
          </w:p>
        </w:tc>
        <w:tc>
          <w:tcPr>
            <w:tcW w:w="607" w:type="pct"/>
            <w:vAlign w:val="center"/>
          </w:tcPr>
          <w:p w14:paraId="67B95B5C">
            <w:pPr>
              <w:pStyle w:val="33"/>
              <w:snapToGrid w:val="0"/>
              <w:rPr>
                <w:b/>
                <w:bCs/>
                <w:color w:val="auto"/>
                <w:spacing w:val="-2"/>
              </w:rPr>
            </w:pPr>
            <w:r>
              <w:rPr>
                <w:rFonts w:hint="eastAsia"/>
                <w:b/>
                <w:bCs/>
                <w:color w:val="auto"/>
              </w:rPr>
              <w:t>烟气量（m</w:t>
            </w:r>
            <w:r>
              <w:rPr>
                <w:rFonts w:hint="eastAsia"/>
                <w:b/>
                <w:bCs/>
                <w:color w:val="auto"/>
                <w:vertAlign w:val="superscript"/>
              </w:rPr>
              <w:t>3</w:t>
            </w:r>
            <w:r>
              <w:rPr>
                <w:rFonts w:hint="eastAsia"/>
                <w:b/>
                <w:bCs/>
                <w:color w:val="auto"/>
              </w:rPr>
              <w:t>/h）</w:t>
            </w:r>
          </w:p>
        </w:tc>
        <w:tc>
          <w:tcPr>
            <w:tcW w:w="607" w:type="pct"/>
            <w:vAlign w:val="center"/>
          </w:tcPr>
          <w:p w14:paraId="4CF2CDFC">
            <w:pPr>
              <w:pStyle w:val="33"/>
              <w:snapToGrid w:val="0"/>
              <w:rPr>
                <w:b/>
                <w:bCs/>
                <w:color w:val="auto"/>
              </w:rPr>
            </w:pPr>
            <w:r>
              <w:rPr>
                <w:b/>
                <w:bCs/>
                <w:color w:val="auto"/>
                <w:spacing w:val="-2"/>
              </w:rPr>
              <w:t>烟尘（</w:t>
            </w:r>
            <w:r>
              <w:rPr>
                <w:rFonts w:eastAsia="Times New Roman"/>
                <w:b/>
                <w:bCs/>
                <w:color w:val="auto"/>
                <w:spacing w:val="-2"/>
              </w:rPr>
              <w:t>mg/m</w:t>
            </w:r>
            <w:r>
              <w:rPr>
                <w:rFonts w:eastAsia="Times New Roman"/>
                <w:b/>
                <w:bCs/>
                <w:color w:val="auto"/>
                <w:spacing w:val="-2"/>
                <w:position w:val="6"/>
                <w:sz w:val="14"/>
                <w:szCs w:val="14"/>
              </w:rPr>
              <w:t>3</w:t>
            </w:r>
            <w:r>
              <w:rPr>
                <w:b/>
                <w:bCs/>
                <w:color w:val="auto"/>
                <w:spacing w:val="-2"/>
              </w:rPr>
              <w:t>）</w:t>
            </w:r>
          </w:p>
        </w:tc>
        <w:tc>
          <w:tcPr>
            <w:tcW w:w="607" w:type="pct"/>
            <w:vAlign w:val="center"/>
          </w:tcPr>
          <w:p w14:paraId="19D5162A">
            <w:pPr>
              <w:pStyle w:val="33"/>
              <w:snapToGrid w:val="0"/>
              <w:rPr>
                <w:b/>
                <w:bCs/>
                <w:color w:val="auto"/>
              </w:rPr>
            </w:pPr>
            <w:r>
              <w:rPr>
                <w:rFonts w:eastAsia="Times New Roman"/>
                <w:b/>
                <w:bCs/>
                <w:color w:val="auto"/>
                <w:spacing w:val="-2"/>
              </w:rPr>
              <w:t>SO</w:t>
            </w:r>
            <w:r>
              <w:rPr>
                <w:rFonts w:eastAsia="Times New Roman"/>
                <w:b/>
                <w:bCs/>
                <w:color w:val="auto"/>
                <w:spacing w:val="-2"/>
                <w:position w:val="-2"/>
                <w:sz w:val="14"/>
                <w:szCs w:val="14"/>
              </w:rPr>
              <w:t>2</w:t>
            </w:r>
            <w:r>
              <w:rPr>
                <w:b/>
                <w:bCs/>
                <w:color w:val="auto"/>
                <w:spacing w:val="-2"/>
              </w:rPr>
              <w:t>（</w:t>
            </w:r>
            <w:r>
              <w:rPr>
                <w:rFonts w:eastAsia="Times New Roman"/>
                <w:b/>
                <w:bCs/>
                <w:color w:val="auto"/>
                <w:spacing w:val="-2"/>
              </w:rPr>
              <w:t>mg/m</w:t>
            </w:r>
            <w:r>
              <w:rPr>
                <w:rFonts w:eastAsia="Times New Roman"/>
                <w:b/>
                <w:bCs/>
                <w:color w:val="auto"/>
                <w:spacing w:val="-2"/>
                <w:position w:val="6"/>
                <w:sz w:val="14"/>
                <w:szCs w:val="14"/>
              </w:rPr>
              <w:t>3</w:t>
            </w:r>
            <w:r>
              <w:rPr>
                <w:b/>
                <w:bCs/>
                <w:color w:val="auto"/>
                <w:spacing w:val="-2"/>
              </w:rPr>
              <w:t>）</w:t>
            </w:r>
          </w:p>
        </w:tc>
        <w:tc>
          <w:tcPr>
            <w:tcW w:w="611" w:type="pct"/>
            <w:vAlign w:val="center"/>
          </w:tcPr>
          <w:p w14:paraId="1EC00607">
            <w:pPr>
              <w:pStyle w:val="33"/>
              <w:snapToGrid w:val="0"/>
              <w:rPr>
                <w:b/>
                <w:bCs/>
                <w:color w:val="auto"/>
              </w:rPr>
            </w:pPr>
            <w:r>
              <w:rPr>
                <w:rFonts w:eastAsia="Times New Roman"/>
                <w:b/>
                <w:bCs/>
                <w:color w:val="auto"/>
                <w:spacing w:val="-1"/>
              </w:rPr>
              <w:t>NO</w:t>
            </w:r>
            <w:r>
              <w:rPr>
                <w:rFonts w:eastAsia="Times New Roman"/>
                <w:b/>
                <w:bCs/>
                <w:color w:val="auto"/>
                <w:spacing w:val="-1"/>
                <w:position w:val="-2"/>
                <w:sz w:val="14"/>
                <w:szCs w:val="14"/>
              </w:rPr>
              <w:t>X</w:t>
            </w:r>
            <w:r>
              <w:rPr>
                <w:b/>
                <w:bCs/>
                <w:color w:val="auto"/>
                <w:spacing w:val="-1"/>
              </w:rPr>
              <w:t>（</w:t>
            </w:r>
            <w:r>
              <w:rPr>
                <w:rFonts w:eastAsia="Times New Roman"/>
                <w:b/>
                <w:bCs/>
                <w:color w:val="auto"/>
                <w:spacing w:val="-1"/>
              </w:rPr>
              <w:t>mg/m</w:t>
            </w:r>
            <w:r>
              <w:rPr>
                <w:rFonts w:eastAsia="Times New Roman"/>
                <w:b/>
                <w:bCs/>
                <w:color w:val="auto"/>
                <w:spacing w:val="-1"/>
                <w:position w:val="6"/>
                <w:sz w:val="14"/>
                <w:szCs w:val="14"/>
              </w:rPr>
              <w:t>3</w:t>
            </w:r>
            <w:r>
              <w:rPr>
                <w:b/>
                <w:bCs/>
                <w:color w:val="auto"/>
                <w:spacing w:val="-1"/>
              </w:rPr>
              <w:t>）</w:t>
            </w:r>
          </w:p>
        </w:tc>
        <w:tc>
          <w:tcPr>
            <w:tcW w:w="771" w:type="pct"/>
            <w:vAlign w:val="center"/>
          </w:tcPr>
          <w:p w14:paraId="47B3F9EF">
            <w:pPr>
              <w:pStyle w:val="33"/>
              <w:snapToGrid w:val="0"/>
              <w:rPr>
                <w:b/>
                <w:bCs/>
                <w:color w:val="auto"/>
                <w:sz w:val="11"/>
                <w:szCs w:val="11"/>
              </w:rPr>
            </w:pPr>
            <w:r>
              <w:rPr>
                <w:b/>
                <w:bCs/>
                <w:color w:val="auto"/>
                <w:spacing w:val="-4"/>
              </w:rPr>
              <w:t>汞及其化合物</w:t>
            </w:r>
            <w:r>
              <w:rPr>
                <w:b/>
                <w:bCs/>
                <w:color w:val="auto"/>
                <w:spacing w:val="-6"/>
              </w:rPr>
              <w:t>（</w:t>
            </w:r>
            <w:r>
              <w:rPr>
                <w:rFonts w:eastAsia="Times New Roman"/>
                <w:b/>
                <w:bCs/>
                <w:color w:val="auto"/>
                <w:spacing w:val="-6"/>
              </w:rPr>
              <w:t>mg/m</w:t>
            </w:r>
            <w:r>
              <w:rPr>
                <w:rFonts w:eastAsia="Times New Roman"/>
                <w:b/>
                <w:bCs/>
                <w:color w:val="auto"/>
                <w:spacing w:val="-6"/>
                <w:position w:val="6"/>
                <w:sz w:val="14"/>
                <w:szCs w:val="14"/>
              </w:rPr>
              <w:t>3</w:t>
            </w:r>
            <w:r>
              <w:rPr>
                <w:b/>
                <w:bCs/>
                <w:color w:val="auto"/>
                <w:spacing w:val="-6"/>
              </w:rPr>
              <w:t>）</w:t>
            </w:r>
          </w:p>
        </w:tc>
        <w:tc>
          <w:tcPr>
            <w:tcW w:w="779" w:type="pct"/>
            <w:vAlign w:val="center"/>
          </w:tcPr>
          <w:p w14:paraId="5E8812ED">
            <w:pPr>
              <w:pStyle w:val="33"/>
              <w:snapToGrid w:val="0"/>
              <w:rPr>
                <w:b/>
                <w:bCs/>
                <w:color w:val="auto"/>
                <w:sz w:val="11"/>
                <w:szCs w:val="11"/>
              </w:rPr>
            </w:pPr>
            <w:r>
              <w:rPr>
                <w:b/>
                <w:bCs/>
                <w:color w:val="auto"/>
                <w:spacing w:val="-4"/>
              </w:rPr>
              <w:t>烟气黑度</w:t>
            </w:r>
            <w:r>
              <w:rPr>
                <w:b/>
                <w:bCs/>
                <w:color w:val="auto"/>
                <w:spacing w:val="-3"/>
              </w:rPr>
              <w:t>（林格曼黑度，级）</w:t>
            </w:r>
          </w:p>
        </w:tc>
      </w:tr>
      <w:tr w14:paraId="3D815B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018" w:type="pct"/>
            <w:vAlign w:val="center"/>
          </w:tcPr>
          <w:p w14:paraId="452999F0">
            <w:pPr>
              <w:pStyle w:val="33"/>
              <w:snapToGrid w:val="0"/>
              <w:rPr>
                <w:color w:val="auto"/>
              </w:rPr>
            </w:pPr>
            <w:r>
              <w:rPr>
                <w:rFonts w:hint="eastAsia"/>
                <w:color w:val="auto"/>
              </w:rPr>
              <w:t>2025年在线及自行监测碱回收炉（DA001）</w:t>
            </w:r>
          </w:p>
        </w:tc>
        <w:tc>
          <w:tcPr>
            <w:tcW w:w="607" w:type="pct"/>
            <w:vAlign w:val="center"/>
          </w:tcPr>
          <w:p w14:paraId="68036773">
            <w:pPr>
              <w:pStyle w:val="33"/>
              <w:snapToGrid w:val="0"/>
              <w:rPr>
                <w:rFonts w:eastAsiaTheme="minorEastAsia"/>
                <w:color w:val="auto"/>
              </w:rPr>
            </w:pPr>
            <w:r>
              <w:rPr>
                <w:rFonts w:hint="eastAsia" w:eastAsiaTheme="minorEastAsia"/>
                <w:color w:val="auto"/>
              </w:rPr>
              <w:t>81238-124549</w:t>
            </w:r>
          </w:p>
        </w:tc>
        <w:tc>
          <w:tcPr>
            <w:tcW w:w="607" w:type="pct"/>
            <w:vAlign w:val="center"/>
          </w:tcPr>
          <w:p w14:paraId="65A489C1">
            <w:pPr>
              <w:pStyle w:val="33"/>
              <w:snapToGrid w:val="0"/>
              <w:rPr>
                <w:rFonts w:eastAsia="Times New Roman"/>
                <w:color w:val="auto"/>
              </w:rPr>
            </w:pPr>
            <w:r>
              <w:rPr>
                <w:rFonts w:hint="eastAsia" w:eastAsiaTheme="minorEastAsia"/>
                <w:color w:val="auto"/>
              </w:rPr>
              <w:t>17.839-46.627</w:t>
            </w:r>
          </w:p>
        </w:tc>
        <w:tc>
          <w:tcPr>
            <w:tcW w:w="607" w:type="pct"/>
            <w:vAlign w:val="center"/>
          </w:tcPr>
          <w:p w14:paraId="7445AF4A">
            <w:pPr>
              <w:pStyle w:val="33"/>
              <w:snapToGrid w:val="0"/>
              <w:rPr>
                <w:rFonts w:eastAsia="Times New Roman"/>
                <w:color w:val="auto"/>
              </w:rPr>
            </w:pPr>
            <w:r>
              <w:rPr>
                <w:rFonts w:hint="eastAsia" w:eastAsiaTheme="minorEastAsia"/>
                <w:color w:val="auto"/>
              </w:rPr>
              <w:t>0.834-4.398</w:t>
            </w:r>
          </w:p>
        </w:tc>
        <w:tc>
          <w:tcPr>
            <w:tcW w:w="611" w:type="pct"/>
            <w:vAlign w:val="center"/>
          </w:tcPr>
          <w:p w14:paraId="3062A597">
            <w:pPr>
              <w:pStyle w:val="33"/>
              <w:snapToGrid w:val="0"/>
              <w:rPr>
                <w:rFonts w:eastAsia="Times New Roman"/>
                <w:color w:val="auto"/>
              </w:rPr>
            </w:pPr>
            <w:r>
              <w:rPr>
                <w:rFonts w:hint="eastAsia" w:eastAsiaTheme="minorEastAsia"/>
                <w:color w:val="auto"/>
              </w:rPr>
              <w:t>234.826-290.277</w:t>
            </w:r>
          </w:p>
        </w:tc>
        <w:tc>
          <w:tcPr>
            <w:tcW w:w="771" w:type="pct"/>
            <w:vAlign w:val="center"/>
          </w:tcPr>
          <w:p w14:paraId="5377677F">
            <w:pPr>
              <w:pStyle w:val="33"/>
              <w:snapToGrid w:val="0"/>
              <w:rPr>
                <w:rFonts w:eastAsia="Times New Roman"/>
                <w:color w:val="auto"/>
              </w:rPr>
            </w:pPr>
            <w:r>
              <w:rPr>
                <w:rFonts w:hint="eastAsia"/>
                <w:color w:val="auto"/>
              </w:rPr>
              <w:t>8.12×10</w:t>
            </w:r>
            <w:r>
              <w:rPr>
                <w:rFonts w:hint="eastAsia"/>
                <w:color w:val="auto"/>
                <w:vertAlign w:val="superscript"/>
              </w:rPr>
              <w:t>-5</w:t>
            </w:r>
            <w:r>
              <w:rPr>
                <w:rFonts w:hint="eastAsia"/>
                <w:color w:val="auto"/>
              </w:rPr>
              <w:t>-5.71×10</w:t>
            </w:r>
            <w:r>
              <w:rPr>
                <w:rFonts w:hint="eastAsia"/>
                <w:color w:val="auto"/>
                <w:vertAlign w:val="superscript"/>
              </w:rPr>
              <w:t>-4</w:t>
            </w:r>
          </w:p>
        </w:tc>
        <w:tc>
          <w:tcPr>
            <w:tcW w:w="779" w:type="pct"/>
            <w:vAlign w:val="center"/>
          </w:tcPr>
          <w:p w14:paraId="26CA6494">
            <w:pPr>
              <w:pStyle w:val="33"/>
              <w:snapToGrid w:val="0"/>
              <w:rPr>
                <w:rFonts w:eastAsia="Times New Roman"/>
                <w:color w:val="auto"/>
              </w:rPr>
            </w:pPr>
            <w:r>
              <w:rPr>
                <w:color w:val="auto"/>
                <w:spacing w:val="37"/>
                <w:w w:val="103"/>
              </w:rPr>
              <w:t>&lt;</w:t>
            </w:r>
            <w:r>
              <w:rPr>
                <w:rFonts w:eastAsia="Times New Roman"/>
                <w:color w:val="auto"/>
                <w:spacing w:val="37"/>
                <w:w w:val="103"/>
              </w:rPr>
              <w:t>1</w:t>
            </w:r>
          </w:p>
        </w:tc>
      </w:tr>
      <w:tr w14:paraId="0770E0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625" w:type="pct"/>
            <w:gridSpan w:val="2"/>
            <w:vAlign w:val="center"/>
          </w:tcPr>
          <w:p w14:paraId="26A9DAB9">
            <w:pPr>
              <w:pStyle w:val="33"/>
              <w:snapToGrid w:val="0"/>
              <w:rPr>
                <w:rFonts w:eastAsia="Times New Roman"/>
                <w:color w:val="auto"/>
                <w:spacing w:val="-4"/>
              </w:rPr>
            </w:pPr>
            <w:r>
              <w:rPr>
                <w:rFonts w:hint="eastAsia"/>
                <w:color w:val="auto"/>
              </w:rPr>
              <w:t>《锅炉大气污染物排放标准》（GB13271-2014）</w:t>
            </w:r>
          </w:p>
        </w:tc>
        <w:tc>
          <w:tcPr>
            <w:tcW w:w="607" w:type="pct"/>
            <w:vAlign w:val="center"/>
          </w:tcPr>
          <w:p w14:paraId="5D38BC5A">
            <w:pPr>
              <w:pStyle w:val="33"/>
              <w:snapToGrid w:val="0"/>
              <w:rPr>
                <w:rFonts w:eastAsia="Times New Roman"/>
                <w:color w:val="auto"/>
              </w:rPr>
            </w:pPr>
            <w:r>
              <w:rPr>
                <w:rFonts w:eastAsia="Times New Roman"/>
                <w:color w:val="auto"/>
                <w:spacing w:val="-4"/>
              </w:rPr>
              <w:t>80</w:t>
            </w:r>
          </w:p>
        </w:tc>
        <w:tc>
          <w:tcPr>
            <w:tcW w:w="607" w:type="pct"/>
            <w:vAlign w:val="center"/>
          </w:tcPr>
          <w:p w14:paraId="649EBE08">
            <w:pPr>
              <w:pStyle w:val="33"/>
              <w:snapToGrid w:val="0"/>
              <w:rPr>
                <w:rFonts w:eastAsia="Times New Roman"/>
                <w:color w:val="auto"/>
              </w:rPr>
            </w:pPr>
            <w:r>
              <w:rPr>
                <w:rFonts w:eastAsia="Times New Roman"/>
                <w:color w:val="auto"/>
                <w:spacing w:val="-3"/>
              </w:rPr>
              <w:t>550</w:t>
            </w:r>
          </w:p>
        </w:tc>
        <w:tc>
          <w:tcPr>
            <w:tcW w:w="611" w:type="pct"/>
            <w:vAlign w:val="center"/>
          </w:tcPr>
          <w:p w14:paraId="38ED23FB">
            <w:pPr>
              <w:pStyle w:val="33"/>
              <w:snapToGrid w:val="0"/>
              <w:rPr>
                <w:rFonts w:eastAsia="Times New Roman"/>
                <w:color w:val="auto"/>
              </w:rPr>
            </w:pPr>
            <w:r>
              <w:rPr>
                <w:rFonts w:eastAsia="Times New Roman"/>
                <w:color w:val="auto"/>
                <w:spacing w:val="-1"/>
              </w:rPr>
              <w:t>400</w:t>
            </w:r>
          </w:p>
        </w:tc>
        <w:tc>
          <w:tcPr>
            <w:tcW w:w="771" w:type="pct"/>
            <w:vAlign w:val="center"/>
          </w:tcPr>
          <w:p w14:paraId="7C8A1D4F">
            <w:pPr>
              <w:pStyle w:val="33"/>
              <w:snapToGrid w:val="0"/>
              <w:rPr>
                <w:rFonts w:eastAsia="Times New Roman"/>
                <w:color w:val="auto"/>
              </w:rPr>
            </w:pPr>
            <w:r>
              <w:rPr>
                <w:rFonts w:eastAsia="Times New Roman"/>
                <w:color w:val="auto"/>
                <w:spacing w:val="-2"/>
              </w:rPr>
              <w:t>0.05</w:t>
            </w:r>
          </w:p>
        </w:tc>
        <w:tc>
          <w:tcPr>
            <w:tcW w:w="779" w:type="pct"/>
            <w:vAlign w:val="center"/>
          </w:tcPr>
          <w:p w14:paraId="59936AB1">
            <w:pPr>
              <w:pStyle w:val="33"/>
              <w:snapToGrid w:val="0"/>
              <w:rPr>
                <w:rFonts w:eastAsia="Times New Roman"/>
                <w:color w:val="auto"/>
              </w:rPr>
            </w:pPr>
            <w:r>
              <w:rPr>
                <w:rFonts w:eastAsia="Times New Roman"/>
                <w:color w:val="auto"/>
              </w:rPr>
              <w:t>1</w:t>
            </w:r>
          </w:p>
        </w:tc>
      </w:tr>
      <w:tr w14:paraId="6C44EC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625" w:type="pct"/>
            <w:gridSpan w:val="2"/>
            <w:vAlign w:val="center"/>
          </w:tcPr>
          <w:p w14:paraId="104FD460">
            <w:pPr>
              <w:pStyle w:val="33"/>
              <w:snapToGrid w:val="0"/>
              <w:rPr>
                <w:color w:val="auto"/>
                <w:spacing w:val="-2"/>
              </w:rPr>
            </w:pPr>
            <w:r>
              <w:rPr>
                <w:color w:val="auto"/>
                <w:spacing w:val="-2"/>
              </w:rPr>
              <w:t>达标情况</w:t>
            </w:r>
          </w:p>
        </w:tc>
        <w:tc>
          <w:tcPr>
            <w:tcW w:w="607" w:type="pct"/>
            <w:vAlign w:val="center"/>
          </w:tcPr>
          <w:p w14:paraId="61931A33">
            <w:pPr>
              <w:pStyle w:val="33"/>
              <w:snapToGrid w:val="0"/>
              <w:rPr>
                <w:color w:val="auto"/>
              </w:rPr>
            </w:pPr>
            <w:r>
              <w:rPr>
                <w:color w:val="auto"/>
                <w:spacing w:val="-2"/>
              </w:rPr>
              <w:t>达标</w:t>
            </w:r>
          </w:p>
        </w:tc>
        <w:tc>
          <w:tcPr>
            <w:tcW w:w="607" w:type="pct"/>
            <w:vAlign w:val="center"/>
          </w:tcPr>
          <w:p w14:paraId="636100A0">
            <w:pPr>
              <w:pStyle w:val="33"/>
              <w:snapToGrid w:val="0"/>
              <w:rPr>
                <w:color w:val="auto"/>
              </w:rPr>
            </w:pPr>
            <w:r>
              <w:rPr>
                <w:color w:val="auto"/>
                <w:spacing w:val="-2"/>
              </w:rPr>
              <w:t>达标</w:t>
            </w:r>
          </w:p>
        </w:tc>
        <w:tc>
          <w:tcPr>
            <w:tcW w:w="611" w:type="pct"/>
            <w:vAlign w:val="center"/>
          </w:tcPr>
          <w:p w14:paraId="1B61DBC2">
            <w:pPr>
              <w:pStyle w:val="33"/>
              <w:snapToGrid w:val="0"/>
              <w:rPr>
                <w:color w:val="auto"/>
              </w:rPr>
            </w:pPr>
            <w:r>
              <w:rPr>
                <w:color w:val="auto"/>
                <w:spacing w:val="-2"/>
              </w:rPr>
              <w:t>达标</w:t>
            </w:r>
          </w:p>
        </w:tc>
        <w:tc>
          <w:tcPr>
            <w:tcW w:w="771" w:type="pct"/>
            <w:vAlign w:val="center"/>
          </w:tcPr>
          <w:p w14:paraId="14386EF5">
            <w:pPr>
              <w:pStyle w:val="33"/>
              <w:snapToGrid w:val="0"/>
              <w:rPr>
                <w:color w:val="auto"/>
              </w:rPr>
            </w:pPr>
            <w:r>
              <w:rPr>
                <w:color w:val="auto"/>
                <w:spacing w:val="-2"/>
              </w:rPr>
              <w:t>达标</w:t>
            </w:r>
          </w:p>
        </w:tc>
        <w:tc>
          <w:tcPr>
            <w:tcW w:w="779" w:type="pct"/>
            <w:vAlign w:val="center"/>
          </w:tcPr>
          <w:p w14:paraId="5405596F">
            <w:pPr>
              <w:pStyle w:val="33"/>
              <w:snapToGrid w:val="0"/>
              <w:rPr>
                <w:color w:val="auto"/>
              </w:rPr>
            </w:pPr>
            <w:r>
              <w:rPr>
                <w:color w:val="auto"/>
                <w:spacing w:val="-2"/>
              </w:rPr>
              <w:t>达标</w:t>
            </w:r>
          </w:p>
        </w:tc>
      </w:tr>
    </w:tbl>
    <w:p w14:paraId="2B323ABA">
      <w:pPr>
        <w:spacing w:before="29" w:line="220" w:lineRule="auto"/>
        <w:ind w:left="38" w:firstLine="412"/>
        <w:rPr>
          <w:rFonts w:hint="eastAsia" w:ascii="宋体" w:hAnsi="宋体" w:cs="宋体"/>
          <w:color w:val="auto"/>
        </w:rPr>
      </w:pPr>
      <w:r>
        <w:rPr>
          <w:rFonts w:ascii="宋体" w:hAnsi="宋体" w:cs="宋体"/>
          <w:color w:val="auto"/>
          <w:spacing w:val="-2"/>
          <w:sz w:val="21"/>
          <w:szCs w:val="21"/>
        </w:rPr>
        <w:t>注：汞及其化合物、烟气黑度为自行监测数据。</w:t>
      </w:r>
    </w:p>
    <w:p w14:paraId="4103C305">
      <w:pPr>
        <w:ind w:firstLine="480"/>
        <w:rPr>
          <w:color w:val="auto"/>
          <w:spacing w:val="-5"/>
        </w:rPr>
      </w:pPr>
      <w:r>
        <w:rPr>
          <w:color w:val="auto"/>
        </w:rPr>
        <w:t>现有过氧化氢车间有组织废气主要为转化炉燃烧烟气</w:t>
      </w:r>
      <w:r>
        <w:rPr>
          <w:rFonts w:hint="eastAsia"/>
          <w:color w:val="auto"/>
        </w:rPr>
        <w:t>（DA009）、</w:t>
      </w:r>
      <w:r>
        <w:rPr>
          <w:color w:val="auto"/>
        </w:rPr>
        <w:t>氧化尾气</w:t>
      </w:r>
      <w:r>
        <w:rPr>
          <w:rFonts w:hint="eastAsia"/>
          <w:color w:val="auto"/>
          <w:spacing w:val="-1"/>
        </w:rPr>
        <w:t>（DA008）</w:t>
      </w:r>
      <w:r>
        <w:rPr>
          <w:rFonts w:hint="eastAsia"/>
          <w:color w:val="auto"/>
        </w:rPr>
        <w:t>、氢化尾气</w:t>
      </w:r>
      <w:r>
        <w:rPr>
          <w:rFonts w:hint="eastAsia"/>
          <w:color w:val="auto"/>
          <w:spacing w:val="-1"/>
        </w:rPr>
        <w:t>（DA030）</w:t>
      </w:r>
      <w:r>
        <w:rPr>
          <w:rFonts w:hint="eastAsia"/>
          <w:color w:val="auto"/>
        </w:rPr>
        <w:t>和污水处理废气</w:t>
      </w:r>
      <w:r>
        <w:rPr>
          <w:rFonts w:hint="eastAsia"/>
          <w:color w:val="auto"/>
          <w:spacing w:val="-1"/>
        </w:rPr>
        <w:t>（DA031）</w:t>
      </w:r>
      <w:r>
        <w:rPr>
          <w:color w:val="auto"/>
        </w:rPr>
        <w:t>。202</w:t>
      </w:r>
      <w:r>
        <w:rPr>
          <w:rFonts w:hint="eastAsia"/>
          <w:color w:val="auto"/>
        </w:rPr>
        <w:t>5</w:t>
      </w:r>
      <w:r>
        <w:rPr>
          <w:color w:val="auto"/>
        </w:rPr>
        <w:t>年过氧化氢车间转化炉废气在线监测结果和氧化尾气的自行监测结果见</w:t>
      </w:r>
      <w:r>
        <w:rPr>
          <w:rFonts w:hint="eastAsia"/>
          <w:color w:val="auto"/>
        </w:rPr>
        <w:t>下</w:t>
      </w:r>
      <w:r>
        <w:rPr>
          <w:color w:val="auto"/>
        </w:rPr>
        <w:t>表，由监测结果可知，过氧化氢车间转化炉废气二氧化硫、氮氧化物、烟尘均满足《无机化学工业污染物排放标准》（GB31573-2015）中大气污染物排放限值要求，氧化尾气中非甲烷总烃、二甲苯满足《大气污染物综合排放标准》（GB16297-1996）表2新污染源大气污染物排放限值要求</w:t>
      </w:r>
      <w:r>
        <w:rPr>
          <w:color w:val="auto"/>
          <w:spacing w:val="-5"/>
        </w:rPr>
        <w:t>。</w:t>
      </w:r>
    </w:p>
    <w:p w14:paraId="485D5B4D">
      <w:pPr>
        <w:pStyle w:val="7"/>
        <w:rPr>
          <w:color w:val="auto"/>
        </w:rPr>
      </w:pPr>
      <w:r>
        <w:rPr>
          <w:color w:val="auto"/>
        </w:rPr>
        <w:t>现有工程过氧化氢车间转化炉燃烧烟气</w:t>
      </w:r>
      <w:r>
        <w:rPr>
          <w:rFonts w:eastAsia="Times New Roman" w:cs="Times New Roman"/>
          <w:color w:val="auto"/>
        </w:rPr>
        <w:t>202</w:t>
      </w:r>
      <w:r>
        <w:rPr>
          <w:rFonts w:hint="eastAsia" w:cs="Times New Roman" w:eastAsiaTheme="minorEastAsia"/>
          <w:color w:val="auto"/>
        </w:rPr>
        <w:t>5</w:t>
      </w:r>
      <w:r>
        <w:rPr>
          <w:color w:val="auto"/>
        </w:rPr>
        <w:t>年在线监测结果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4210"/>
        <w:gridCol w:w="1307"/>
        <w:gridCol w:w="1307"/>
        <w:gridCol w:w="1306"/>
        <w:gridCol w:w="1156"/>
      </w:tblGrid>
      <w:tr w14:paraId="09A99C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blHeader/>
        </w:trPr>
        <w:tc>
          <w:tcPr>
            <w:tcW w:w="2267" w:type="pct"/>
            <w:vAlign w:val="center"/>
          </w:tcPr>
          <w:p w14:paraId="40847390">
            <w:pPr>
              <w:pStyle w:val="33"/>
              <w:rPr>
                <w:b/>
                <w:bCs/>
                <w:color w:val="auto"/>
              </w:rPr>
            </w:pPr>
            <w:r>
              <w:rPr>
                <w:b/>
                <w:bCs/>
                <w:color w:val="auto"/>
              </w:rPr>
              <w:t>项目</w:t>
            </w:r>
          </w:p>
        </w:tc>
        <w:tc>
          <w:tcPr>
            <w:tcW w:w="704" w:type="pct"/>
            <w:vAlign w:val="center"/>
          </w:tcPr>
          <w:p w14:paraId="345225F1">
            <w:pPr>
              <w:pStyle w:val="33"/>
              <w:rPr>
                <w:b/>
                <w:bCs/>
                <w:color w:val="auto"/>
                <w:spacing w:val="-2"/>
              </w:rPr>
            </w:pPr>
            <w:r>
              <w:rPr>
                <w:rFonts w:hint="eastAsia"/>
                <w:b/>
                <w:bCs/>
                <w:color w:val="auto"/>
              </w:rPr>
              <w:t>瞬时流量（m</w:t>
            </w:r>
            <w:r>
              <w:rPr>
                <w:rFonts w:hint="eastAsia"/>
                <w:b/>
                <w:bCs/>
                <w:color w:val="auto"/>
                <w:vertAlign w:val="superscript"/>
              </w:rPr>
              <w:t>3</w:t>
            </w:r>
            <w:r>
              <w:rPr>
                <w:rFonts w:hint="eastAsia"/>
                <w:b/>
                <w:bCs/>
                <w:color w:val="auto"/>
              </w:rPr>
              <w:t>/s）</w:t>
            </w:r>
          </w:p>
        </w:tc>
        <w:tc>
          <w:tcPr>
            <w:tcW w:w="704" w:type="pct"/>
            <w:vAlign w:val="center"/>
          </w:tcPr>
          <w:p w14:paraId="4E866518">
            <w:pPr>
              <w:pStyle w:val="33"/>
              <w:rPr>
                <w:b/>
                <w:bCs/>
                <w:color w:val="auto"/>
              </w:rPr>
            </w:pPr>
            <w:r>
              <w:rPr>
                <w:b/>
                <w:bCs/>
                <w:color w:val="auto"/>
                <w:spacing w:val="-2"/>
              </w:rPr>
              <w:t>颗粒物（</w:t>
            </w:r>
            <w:r>
              <w:rPr>
                <w:rFonts w:eastAsia="Times New Roman"/>
                <w:b/>
                <w:bCs/>
                <w:color w:val="auto"/>
                <w:spacing w:val="-2"/>
              </w:rPr>
              <w:t>mg/m</w:t>
            </w:r>
            <w:r>
              <w:rPr>
                <w:rFonts w:eastAsia="Times New Roman"/>
                <w:b/>
                <w:bCs/>
                <w:color w:val="auto"/>
                <w:spacing w:val="-2"/>
                <w:position w:val="6"/>
                <w:sz w:val="14"/>
                <w:szCs w:val="14"/>
              </w:rPr>
              <w:t>3</w:t>
            </w:r>
            <w:r>
              <w:rPr>
                <w:b/>
                <w:bCs/>
                <w:color w:val="auto"/>
                <w:spacing w:val="-2"/>
              </w:rPr>
              <w:t>）</w:t>
            </w:r>
          </w:p>
        </w:tc>
        <w:tc>
          <w:tcPr>
            <w:tcW w:w="703" w:type="pct"/>
            <w:vAlign w:val="center"/>
          </w:tcPr>
          <w:p w14:paraId="14E11BB1">
            <w:pPr>
              <w:pStyle w:val="33"/>
              <w:rPr>
                <w:b/>
                <w:bCs/>
                <w:color w:val="auto"/>
              </w:rPr>
            </w:pPr>
            <w:r>
              <w:rPr>
                <w:rFonts w:eastAsia="Times New Roman"/>
                <w:b/>
                <w:bCs/>
                <w:color w:val="auto"/>
                <w:spacing w:val="-2"/>
              </w:rPr>
              <w:t>SO</w:t>
            </w:r>
            <w:r>
              <w:rPr>
                <w:rFonts w:eastAsia="Times New Roman"/>
                <w:b/>
                <w:bCs/>
                <w:color w:val="auto"/>
                <w:spacing w:val="-2"/>
                <w:position w:val="-2"/>
                <w:sz w:val="14"/>
                <w:szCs w:val="14"/>
              </w:rPr>
              <w:t>2</w:t>
            </w:r>
            <w:r>
              <w:rPr>
                <w:b/>
                <w:bCs/>
                <w:color w:val="auto"/>
                <w:spacing w:val="-2"/>
              </w:rPr>
              <w:t>（</w:t>
            </w:r>
            <w:r>
              <w:rPr>
                <w:rFonts w:eastAsia="Times New Roman"/>
                <w:b/>
                <w:bCs/>
                <w:color w:val="auto"/>
                <w:spacing w:val="-2"/>
              </w:rPr>
              <w:t>mg/m</w:t>
            </w:r>
            <w:r>
              <w:rPr>
                <w:rFonts w:eastAsia="Times New Roman"/>
                <w:b/>
                <w:bCs/>
                <w:color w:val="auto"/>
                <w:spacing w:val="-2"/>
                <w:position w:val="6"/>
                <w:sz w:val="14"/>
                <w:szCs w:val="14"/>
              </w:rPr>
              <w:t>3</w:t>
            </w:r>
            <w:r>
              <w:rPr>
                <w:b/>
                <w:bCs/>
                <w:color w:val="auto"/>
                <w:spacing w:val="-2"/>
              </w:rPr>
              <w:t>）</w:t>
            </w:r>
          </w:p>
        </w:tc>
        <w:tc>
          <w:tcPr>
            <w:tcW w:w="622" w:type="pct"/>
            <w:vAlign w:val="center"/>
          </w:tcPr>
          <w:p w14:paraId="1AF02434">
            <w:pPr>
              <w:pStyle w:val="33"/>
              <w:rPr>
                <w:b/>
                <w:bCs/>
                <w:color w:val="auto"/>
              </w:rPr>
            </w:pPr>
            <w:r>
              <w:rPr>
                <w:rFonts w:eastAsia="Times New Roman"/>
                <w:b/>
                <w:bCs/>
                <w:color w:val="auto"/>
                <w:spacing w:val="-1"/>
              </w:rPr>
              <w:t>NO</w:t>
            </w:r>
            <w:r>
              <w:rPr>
                <w:rFonts w:eastAsia="Times New Roman"/>
                <w:b/>
                <w:bCs/>
                <w:color w:val="auto"/>
                <w:spacing w:val="-1"/>
                <w:position w:val="-2"/>
                <w:sz w:val="14"/>
                <w:szCs w:val="14"/>
              </w:rPr>
              <w:t>X</w:t>
            </w:r>
            <w:r>
              <w:rPr>
                <w:b/>
                <w:bCs/>
                <w:color w:val="auto"/>
                <w:spacing w:val="-1"/>
              </w:rPr>
              <w:t>（</w:t>
            </w:r>
            <w:r>
              <w:rPr>
                <w:rFonts w:eastAsia="Times New Roman"/>
                <w:b/>
                <w:bCs/>
                <w:color w:val="auto"/>
                <w:spacing w:val="-1"/>
              </w:rPr>
              <w:t>mg/m</w:t>
            </w:r>
            <w:r>
              <w:rPr>
                <w:rFonts w:eastAsia="Times New Roman"/>
                <w:b/>
                <w:bCs/>
                <w:color w:val="auto"/>
                <w:spacing w:val="-1"/>
                <w:position w:val="6"/>
                <w:sz w:val="14"/>
                <w:szCs w:val="14"/>
              </w:rPr>
              <w:t>3</w:t>
            </w:r>
            <w:r>
              <w:rPr>
                <w:b/>
                <w:bCs/>
                <w:color w:val="auto"/>
                <w:spacing w:val="-1"/>
              </w:rPr>
              <w:t>）</w:t>
            </w:r>
          </w:p>
        </w:tc>
      </w:tr>
      <w:tr w14:paraId="353F88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267" w:type="pct"/>
            <w:vAlign w:val="center"/>
          </w:tcPr>
          <w:p w14:paraId="4AEAC01A">
            <w:pPr>
              <w:pStyle w:val="33"/>
              <w:rPr>
                <w:color w:val="auto"/>
              </w:rPr>
            </w:pPr>
            <w:r>
              <w:rPr>
                <w:rFonts w:eastAsia="Times New Roman"/>
                <w:color w:val="auto"/>
              </w:rPr>
              <w:t>202</w:t>
            </w:r>
            <w:r>
              <w:rPr>
                <w:rFonts w:hint="eastAsia" w:eastAsiaTheme="minorEastAsia"/>
                <w:color w:val="auto"/>
              </w:rPr>
              <w:t>5</w:t>
            </w:r>
            <w:r>
              <w:rPr>
                <w:color w:val="auto"/>
              </w:rPr>
              <w:t>年在线监测过氧化氢车间转化</w:t>
            </w:r>
            <w:r>
              <w:rPr>
                <w:color w:val="auto"/>
                <w:spacing w:val="-1"/>
              </w:rPr>
              <w:t>炉燃烧烟气</w:t>
            </w:r>
            <w:r>
              <w:rPr>
                <w:rFonts w:hint="eastAsia"/>
                <w:color w:val="auto"/>
                <w:spacing w:val="-1"/>
              </w:rPr>
              <w:t>（DA009）</w:t>
            </w:r>
          </w:p>
        </w:tc>
        <w:tc>
          <w:tcPr>
            <w:tcW w:w="704" w:type="pct"/>
            <w:vAlign w:val="center"/>
          </w:tcPr>
          <w:p w14:paraId="2AD889B3">
            <w:pPr>
              <w:pStyle w:val="33"/>
              <w:rPr>
                <w:color w:val="auto"/>
              </w:rPr>
            </w:pPr>
            <w:r>
              <w:rPr>
                <w:color w:val="auto"/>
              </w:rPr>
              <w:t>3.414-4.221</w:t>
            </w:r>
          </w:p>
        </w:tc>
        <w:tc>
          <w:tcPr>
            <w:tcW w:w="704" w:type="pct"/>
            <w:vAlign w:val="center"/>
          </w:tcPr>
          <w:p w14:paraId="50277337">
            <w:pPr>
              <w:pStyle w:val="33"/>
              <w:rPr>
                <w:rFonts w:eastAsia="Times New Roman"/>
                <w:color w:val="auto"/>
              </w:rPr>
            </w:pPr>
            <w:r>
              <w:rPr>
                <w:rFonts w:eastAsia="Times New Roman"/>
                <w:color w:val="auto"/>
                <w:spacing w:val="-1"/>
              </w:rPr>
              <w:t>0.02-6.30</w:t>
            </w:r>
          </w:p>
        </w:tc>
        <w:tc>
          <w:tcPr>
            <w:tcW w:w="703" w:type="pct"/>
            <w:vAlign w:val="center"/>
          </w:tcPr>
          <w:p w14:paraId="147BE0FF">
            <w:pPr>
              <w:pStyle w:val="33"/>
              <w:rPr>
                <w:rFonts w:eastAsia="Times New Roman"/>
                <w:color w:val="auto"/>
              </w:rPr>
            </w:pPr>
            <w:r>
              <w:rPr>
                <w:rFonts w:eastAsia="Times New Roman"/>
                <w:color w:val="auto"/>
                <w:spacing w:val="-1"/>
              </w:rPr>
              <w:t>0-14.72</w:t>
            </w:r>
          </w:p>
        </w:tc>
        <w:tc>
          <w:tcPr>
            <w:tcW w:w="622" w:type="pct"/>
            <w:vAlign w:val="center"/>
          </w:tcPr>
          <w:p w14:paraId="6F734C35">
            <w:pPr>
              <w:pStyle w:val="33"/>
              <w:rPr>
                <w:rFonts w:eastAsia="Times New Roman"/>
                <w:color w:val="auto"/>
              </w:rPr>
            </w:pPr>
            <w:r>
              <w:rPr>
                <w:rFonts w:eastAsia="Times New Roman"/>
                <w:color w:val="auto"/>
                <w:spacing w:val="-1"/>
              </w:rPr>
              <w:t>5.34-74.02</w:t>
            </w:r>
          </w:p>
        </w:tc>
      </w:tr>
      <w:tr w14:paraId="5AE488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971" w:type="pct"/>
            <w:gridSpan w:val="2"/>
            <w:vAlign w:val="center"/>
          </w:tcPr>
          <w:p w14:paraId="6167BBBB">
            <w:pPr>
              <w:pStyle w:val="33"/>
              <w:rPr>
                <w:color w:val="auto"/>
              </w:rPr>
            </w:pPr>
            <w:r>
              <w:rPr>
                <w:color w:val="auto"/>
                <w:spacing w:val="-4"/>
              </w:rPr>
              <w:t>《无机化学工业污染物排放标准》（</w:t>
            </w:r>
            <w:r>
              <w:rPr>
                <w:rFonts w:eastAsia="Times New Roman"/>
                <w:color w:val="auto"/>
                <w:spacing w:val="-4"/>
              </w:rPr>
              <w:t>GB31573-2015</w:t>
            </w:r>
            <w:r>
              <w:rPr>
                <w:color w:val="auto"/>
                <w:spacing w:val="-4"/>
              </w:rPr>
              <w:t>）</w:t>
            </w:r>
          </w:p>
        </w:tc>
        <w:tc>
          <w:tcPr>
            <w:tcW w:w="704" w:type="pct"/>
            <w:vAlign w:val="center"/>
          </w:tcPr>
          <w:p w14:paraId="6399DB95">
            <w:pPr>
              <w:pStyle w:val="33"/>
              <w:rPr>
                <w:rFonts w:eastAsia="Times New Roman"/>
                <w:color w:val="auto"/>
              </w:rPr>
            </w:pPr>
            <w:r>
              <w:rPr>
                <w:rFonts w:eastAsia="Times New Roman"/>
                <w:color w:val="auto"/>
                <w:spacing w:val="-3"/>
              </w:rPr>
              <w:t>30</w:t>
            </w:r>
          </w:p>
        </w:tc>
        <w:tc>
          <w:tcPr>
            <w:tcW w:w="703" w:type="pct"/>
            <w:vAlign w:val="center"/>
          </w:tcPr>
          <w:p w14:paraId="2089DD7D">
            <w:pPr>
              <w:pStyle w:val="33"/>
              <w:rPr>
                <w:rFonts w:eastAsia="Times New Roman"/>
                <w:color w:val="auto"/>
              </w:rPr>
            </w:pPr>
            <w:r>
              <w:rPr>
                <w:rFonts w:eastAsia="Times New Roman"/>
                <w:color w:val="auto"/>
                <w:spacing w:val="-6"/>
              </w:rPr>
              <w:t>100</w:t>
            </w:r>
          </w:p>
        </w:tc>
        <w:tc>
          <w:tcPr>
            <w:tcW w:w="622" w:type="pct"/>
            <w:vAlign w:val="center"/>
          </w:tcPr>
          <w:p w14:paraId="6402CFA3">
            <w:pPr>
              <w:pStyle w:val="33"/>
              <w:rPr>
                <w:rFonts w:eastAsia="Times New Roman"/>
                <w:color w:val="auto"/>
              </w:rPr>
            </w:pPr>
            <w:r>
              <w:rPr>
                <w:rFonts w:eastAsia="Times New Roman"/>
                <w:color w:val="auto"/>
                <w:spacing w:val="-1"/>
              </w:rPr>
              <w:t>200</w:t>
            </w:r>
          </w:p>
        </w:tc>
      </w:tr>
      <w:tr w14:paraId="7B205E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971" w:type="pct"/>
            <w:gridSpan w:val="2"/>
            <w:vAlign w:val="center"/>
          </w:tcPr>
          <w:p w14:paraId="0C47A473">
            <w:pPr>
              <w:pStyle w:val="33"/>
              <w:rPr>
                <w:color w:val="auto"/>
              </w:rPr>
            </w:pPr>
            <w:r>
              <w:rPr>
                <w:color w:val="auto"/>
                <w:spacing w:val="-2"/>
              </w:rPr>
              <w:t>达标情况</w:t>
            </w:r>
          </w:p>
        </w:tc>
        <w:tc>
          <w:tcPr>
            <w:tcW w:w="704" w:type="pct"/>
            <w:vAlign w:val="center"/>
          </w:tcPr>
          <w:p w14:paraId="337C7B50">
            <w:pPr>
              <w:pStyle w:val="33"/>
              <w:rPr>
                <w:color w:val="auto"/>
              </w:rPr>
            </w:pPr>
            <w:r>
              <w:rPr>
                <w:color w:val="auto"/>
                <w:spacing w:val="-2"/>
              </w:rPr>
              <w:t>达标</w:t>
            </w:r>
          </w:p>
        </w:tc>
        <w:tc>
          <w:tcPr>
            <w:tcW w:w="703" w:type="pct"/>
            <w:vAlign w:val="center"/>
          </w:tcPr>
          <w:p w14:paraId="499373FE">
            <w:pPr>
              <w:pStyle w:val="33"/>
              <w:rPr>
                <w:color w:val="auto"/>
              </w:rPr>
            </w:pPr>
            <w:r>
              <w:rPr>
                <w:color w:val="auto"/>
                <w:spacing w:val="-2"/>
              </w:rPr>
              <w:t>达标</w:t>
            </w:r>
          </w:p>
        </w:tc>
        <w:tc>
          <w:tcPr>
            <w:tcW w:w="622" w:type="pct"/>
            <w:vAlign w:val="center"/>
          </w:tcPr>
          <w:p w14:paraId="38D5BF80">
            <w:pPr>
              <w:pStyle w:val="33"/>
              <w:rPr>
                <w:color w:val="auto"/>
              </w:rPr>
            </w:pPr>
            <w:r>
              <w:rPr>
                <w:color w:val="auto"/>
                <w:spacing w:val="-2"/>
              </w:rPr>
              <w:t>达标</w:t>
            </w:r>
          </w:p>
        </w:tc>
      </w:tr>
    </w:tbl>
    <w:p w14:paraId="23D170A7">
      <w:pPr>
        <w:pStyle w:val="7"/>
        <w:rPr>
          <w:color w:val="auto"/>
        </w:rPr>
      </w:pPr>
      <w:r>
        <w:rPr>
          <w:color w:val="auto"/>
        </w:rPr>
        <w:t>现有工程过氧化氢车间氧化尾气</w:t>
      </w:r>
      <w:r>
        <w:rPr>
          <w:rFonts w:eastAsia="Times New Roman" w:cs="Times New Roman"/>
          <w:color w:val="auto"/>
        </w:rPr>
        <w:t>202</w:t>
      </w:r>
      <w:r>
        <w:rPr>
          <w:rFonts w:hint="eastAsia" w:cs="Times New Roman" w:eastAsiaTheme="minorEastAsia"/>
          <w:color w:val="auto"/>
        </w:rPr>
        <w:t>5</w:t>
      </w:r>
      <w:r>
        <w:rPr>
          <w:color w:val="auto"/>
        </w:rPr>
        <w:t>年自行监测结果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3482"/>
        <w:gridCol w:w="1452"/>
        <w:gridCol w:w="1161"/>
        <w:gridCol w:w="1163"/>
        <w:gridCol w:w="1307"/>
        <w:gridCol w:w="721"/>
      </w:tblGrid>
      <w:tr w14:paraId="7B0230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5" w:type="pct"/>
            <w:vMerge w:val="restart"/>
            <w:tcBorders>
              <w:bottom w:val="nil"/>
            </w:tcBorders>
            <w:vAlign w:val="center"/>
          </w:tcPr>
          <w:p w14:paraId="34DB802C">
            <w:pPr>
              <w:pStyle w:val="33"/>
              <w:rPr>
                <w:color w:val="auto"/>
              </w:rPr>
            </w:pPr>
            <w:r>
              <w:rPr>
                <w:color w:val="auto"/>
              </w:rPr>
              <w:t>项目</w:t>
            </w:r>
          </w:p>
        </w:tc>
        <w:tc>
          <w:tcPr>
            <w:tcW w:w="782" w:type="pct"/>
            <w:vAlign w:val="center"/>
          </w:tcPr>
          <w:p w14:paraId="63D0F917">
            <w:pPr>
              <w:pStyle w:val="33"/>
              <w:rPr>
                <w:color w:val="auto"/>
                <w:spacing w:val="-4"/>
              </w:rPr>
            </w:pPr>
            <w:r>
              <w:rPr>
                <w:rFonts w:hint="eastAsia"/>
                <w:color w:val="auto"/>
                <w:spacing w:val="-4"/>
              </w:rPr>
              <w:t>烟气量</w:t>
            </w:r>
          </w:p>
        </w:tc>
        <w:tc>
          <w:tcPr>
            <w:tcW w:w="1251" w:type="pct"/>
            <w:gridSpan w:val="2"/>
            <w:vAlign w:val="center"/>
          </w:tcPr>
          <w:p w14:paraId="62F0D0C7">
            <w:pPr>
              <w:pStyle w:val="33"/>
              <w:rPr>
                <w:color w:val="auto"/>
              </w:rPr>
            </w:pPr>
            <w:r>
              <w:rPr>
                <w:color w:val="auto"/>
                <w:spacing w:val="-4"/>
              </w:rPr>
              <w:t>非甲烷总烃</w:t>
            </w:r>
          </w:p>
        </w:tc>
        <w:tc>
          <w:tcPr>
            <w:tcW w:w="1092" w:type="pct"/>
            <w:gridSpan w:val="2"/>
            <w:vAlign w:val="center"/>
          </w:tcPr>
          <w:p w14:paraId="4B8651F0">
            <w:pPr>
              <w:pStyle w:val="33"/>
              <w:rPr>
                <w:color w:val="auto"/>
              </w:rPr>
            </w:pPr>
            <w:r>
              <w:rPr>
                <w:color w:val="auto"/>
              </w:rPr>
              <w:t>二甲苯</w:t>
            </w:r>
          </w:p>
        </w:tc>
      </w:tr>
      <w:tr w14:paraId="679E7C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5" w:type="pct"/>
            <w:vMerge w:val="continue"/>
            <w:tcBorders>
              <w:top w:val="nil"/>
            </w:tcBorders>
            <w:vAlign w:val="center"/>
          </w:tcPr>
          <w:p w14:paraId="1E073BC1">
            <w:pPr>
              <w:pStyle w:val="33"/>
              <w:rPr>
                <w:color w:val="auto"/>
              </w:rPr>
            </w:pPr>
          </w:p>
        </w:tc>
        <w:tc>
          <w:tcPr>
            <w:tcW w:w="782" w:type="pct"/>
            <w:vAlign w:val="center"/>
          </w:tcPr>
          <w:p w14:paraId="168C2346">
            <w:pPr>
              <w:pStyle w:val="33"/>
              <w:rPr>
                <w:rFonts w:eastAsia="Times New Roman"/>
                <w:color w:val="auto"/>
                <w:spacing w:val="-2"/>
              </w:rPr>
            </w:pPr>
            <w:r>
              <w:rPr>
                <w:rFonts w:hint="eastAsia"/>
                <w:b/>
                <w:bCs/>
                <w:color w:val="auto"/>
              </w:rPr>
              <w:t>m</w:t>
            </w:r>
            <w:r>
              <w:rPr>
                <w:rFonts w:hint="eastAsia"/>
                <w:b/>
                <w:bCs/>
                <w:color w:val="auto"/>
                <w:vertAlign w:val="superscript"/>
              </w:rPr>
              <w:t>3</w:t>
            </w:r>
            <w:r>
              <w:rPr>
                <w:rFonts w:hint="eastAsia"/>
                <w:b/>
                <w:bCs/>
                <w:color w:val="auto"/>
              </w:rPr>
              <w:t>/h</w:t>
            </w:r>
          </w:p>
        </w:tc>
        <w:tc>
          <w:tcPr>
            <w:tcW w:w="625" w:type="pct"/>
            <w:vAlign w:val="center"/>
          </w:tcPr>
          <w:p w14:paraId="1931E4D6">
            <w:pPr>
              <w:pStyle w:val="33"/>
              <w:rPr>
                <w:rFonts w:eastAsia="Times New Roman"/>
                <w:color w:val="auto"/>
                <w:sz w:val="14"/>
                <w:szCs w:val="14"/>
              </w:rPr>
            </w:pPr>
            <w:r>
              <w:rPr>
                <w:rFonts w:eastAsia="Times New Roman"/>
                <w:color w:val="auto"/>
                <w:spacing w:val="-2"/>
              </w:rPr>
              <w:t>mg/m</w:t>
            </w:r>
            <w:r>
              <w:rPr>
                <w:rFonts w:eastAsia="Times New Roman"/>
                <w:color w:val="auto"/>
                <w:spacing w:val="-2"/>
                <w:position w:val="6"/>
                <w:sz w:val="14"/>
                <w:szCs w:val="14"/>
              </w:rPr>
              <w:t>3</w:t>
            </w:r>
          </w:p>
        </w:tc>
        <w:tc>
          <w:tcPr>
            <w:tcW w:w="626" w:type="pct"/>
            <w:vAlign w:val="center"/>
          </w:tcPr>
          <w:p w14:paraId="2A24A642">
            <w:pPr>
              <w:pStyle w:val="33"/>
              <w:rPr>
                <w:rFonts w:eastAsia="Times New Roman"/>
                <w:color w:val="auto"/>
              </w:rPr>
            </w:pPr>
            <w:r>
              <w:rPr>
                <w:rFonts w:eastAsia="Times New Roman"/>
                <w:color w:val="auto"/>
                <w:spacing w:val="-2"/>
              </w:rPr>
              <w:t>kg/h</w:t>
            </w:r>
          </w:p>
        </w:tc>
        <w:tc>
          <w:tcPr>
            <w:tcW w:w="704" w:type="pct"/>
            <w:vAlign w:val="center"/>
          </w:tcPr>
          <w:p w14:paraId="5B0AF483">
            <w:pPr>
              <w:pStyle w:val="33"/>
              <w:rPr>
                <w:rFonts w:eastAsia="Times New Roman"/>
                <w:color w:val="auto"/>
                <w:sz w:val="14"/>
                <w:szCs w:val="14"/>
              </w:rPr>
            </w:pPr>
            <w:r>
              <w:rPr>
                <w:rFonts w:eastAsia="Times New Roman"/>
                <w:color w:val="auto"/>
                <w:spacing w:val="-2"/>
              </w:rPr>
              <w:t>mg/m</w:t>
            </w:r>
            <w:r>
              <w:rPr>
                <w:rFonts w:eastAsia="Times New Roman"/>
                <w:color w:val="auto"/>
                <w:spacing w:val="-2"/>
                <w:position w:val="6"/>
                <w:sz w:val="14"/>
                <w:szCs w:val="14"/>
              </w:rPr>
              <w:t>3</w:t>
            </w:r>
          </w:p>
        </w:tc>
        <w:tc>
          <w:tcPr>
            <w:tcW w:w="388" w:type="pct"/>
            <w:vAlign w:val="center"/>
          </w:tcPr>
          <w:p w14:paraId="4E532AD1">
            <w:pPr>
              <w:pStyle w:val="33"/>
              <w:rPr>
                <w:rFonts w:eastAsia="Times New Roman"/>
                <w:color w:val="auto"/>
              </w:rPr>
            </w:pPr>
            <w:r>
              <w:rPr>
                <w:rFonts w:eastAsia="Times New Roman"/>
                <w:color w:val="auto"/>
                <w:spacing w:val="-2"/>
              </w:rPr>
              <w:t>kg/h</w:t>
            </w:r>
          </w:p>
        </w:tc>
      </w:tr>
      <w:tr w14:paraId="093CC9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5" w:type="pct"/>
            <w:vAlign w:val="center"/>
          </w:tcPr>
          <w:p w14:paraId="462D4F9F">
            <w:pPr>
              <w:pStyle w:val="33"/>
              <w:rPr>
                <w:color w:val="auto"/>
              </w:rPr>
            </w:pPr>
            <w:r>
              <w:rPr>
                <w:rFonts w:eastAsia="Times New Roman"/>
                <w:color w:val="auto"/>
                <w:spacing w:val="-1"/>
              </w:rPr>
              <w:t>202</w:t>
            </w:r>
            <w:r>
              <w:rPr>
                <w:rFonts w:hint="eastAsia" w:eastAsiaTheme="minorEastAsia"/>
                <w:color w:val="auto"/>
                <w:spacing w:val="-1"/>
              </w:rPr>
              <w:t>5</w:t>
            </w:r>
            <w:r>
              <w:rPr>
                <w:color w:val="auto"/>
                <w:spacing w:val="-1"/>
              </w:rPr>
              <w:t>年自行监测过氧化氢车间氧化尾气</w:t>
            </w:r>
            <w:r>
              <w:rPr>
                <w:rFonts w:hint="eastAsia"/>
                <w:color w:val="auto"/>
                <w:spacing w:val="-1"/>
              </w:rPr>
              <w:t>（DA008）</w:t>
            </w:r>
          </w:p>
        </w:tc>
        <w:tc>
          <w:tcPr>
            <w:tcW w:w="782" w:type="pct"/>
            <w:vAlign w:val="center"/>
          </w:tcPr>
          <w:p w14:paraId="53546791">
            <w:pPr>
              <w:pStyle w:val="33"/>
              <w:rPr>
                <w:rFonts w:eastAsiaTheme="minorEastAsia"/>
                <w:color w:val="auto"/>
              </w:rPr>
            </w:pPr>
            <w:r>
              <w:rPr>
                <w:rFonts w:hint="eastAsia" w:eastAsiaTheme="minorEastAsia"/>
                <w:color w:val="auto"/>
              </w:rPr>
              <w:t>25707-31910</w:t>
            </w:r>
          </w:p>
        </w:tc>
        <w:tc>
          <w:tcPr>
            <w:tcW w:w="625" w:type="pct"/>
            <w:vAlign w:val="center"/>
          </w:tcPr>
          <w:p w14:paraId="68161996">
            <w:pPr>
              <w:pStyle w:val="33"/>
              <w:rPr>
                <w:rFonts w:eastAsiaTheme="minorEastAsia"/>
                <w:color w:val="auto"/>
              </w:rPr>
            </w:pPr>
            <w:r>
              <w:rPr>
                <w:rFonts w:hint="eastAsia" w:eastAsiaTheme="minorEastAsia"/>
                <w:color w:val="auto"/>
              </w:rPr>
              <w:t>1.47-3.15</w:t>
            </w:r>
          </w:p>
        </w:tc>
        <w:tc>
          <w:tcPr>
            <w:tcW w:w="626" w:type="pct"/>
            <w:vAlign w:val="center"/>
          </w:tcPr>
          <w:p w14:paraId="32E08F9F">
            <w:pPr>
              <w:pStyle w:val="33"/>
              <w:rPr>
                <w:rFonts w:eastAsiaTheme="minorEastAsia"/>
                <w:color w:val="auto"/>
              </w:rPr>
            </w:pPr>
            <w:r>
              <w:rPr>
                <w:rFonts w:hint="eastAsia" w:eastAsiaTheme="minorEastAsia"/>
                <w:color w:val="auto"/>
              </w:rPr>
              <w:t>0.04-0.08</w:t>
            </w:r>
          </w:p>
        </w:tc>
        <w:tc>
          <w:tcPr>
            <w:tcW w:w="704" w:type="pct"/>
            <w:vAlign w:val="center"/>
          </w:tcPr>
          <w:p w14:paraId="6BF29176">
            <w:pPr>
              <w:pStyle w:val="33"/>
              <w:rPr>
                <w:rFonts w:eastAsiaTheme="minorEastAsia"/>
                <w:color w:val="auto"/>
              </w:rPr>
            </w:pPr>
            <w:r>
              <w:rPr>
                <w:rFonts w:hint="eastAsia" w:eastAsiaTheme="minorEastAsia"/>
                <w:color w:val="auto"/>
              </w:rPr>
              <w:t>0.328-0.486</w:t>
            </w:r>
          </w:p>
        </w:tc>
        <w:tc>
          <w:tcPr>
            <w:tcW w:w="388" w:type="pct"/>
            <w:vAlign w:val="center"/>
          </w:tcPr>
          <w:p w14:paraId="53C35FBD">
            <w:pPr>
              <w:pStyle w:val="33"/>
              <w:rPr>
                <w:rFonts w:eastAsiaTheme="minorEastAsia"/>
                <w:color w:val="auto"/>
                <w:szCs w:val="21"/>
              </w:rPr>
            </w:pPr>
            <w:r>
              <w:rPr>
                <w:rFonts w:hint="eastAsia" w:eastAsiaTheme="minorEastAsia"/>
                <w:color w:val="auto"/>
                <w:szCs w:val="21"/>
              </w:rPr>
              <w:t>0.01</w:t>
            </w:r>
          </w:p>
        </w:tc>
      </w:tr>
      <w:tr w14:paraId="3CF31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657" w:type="pct"/>
            <w:gridSpan w:val="2"/>
            <w:vAlign w:val="center"/>
          </w:tcPr>
          <w:p w14:paraId="7C1965A5">
            <w:pPr>
              <w:pStyle w:val="33"/>
              <w:rPr>
                <w:rFonts w:eastAsia="Times New Roman"/>
                <w:color w:val="auto"/>
                <w:spacing w:val="-6"/>
              </w:rPr>
            </w:pPr>
            <w:r>
              <w:rPr>
                <w:color w:val="auto"/>
                <w:spacing w:val="-4"/>
              </w:rPr>
              <w:t>《大气污染物综合排放标准》（</w:t>
            </w:r>
            <w:r>
              <w:rPr>
                <w:rFonts w:eastAsia="Times New Roman"/>
                <w:color w:val="auto"/>
                <w:spacing w:val="-4"/>
              </w:rPr>
              <w:t>GB16297</w:t>
            </w:r>
            <w:r>
              <w:rPr>
                <w:rFonts w:eastAsia="Times New Roman"/>
                <w:color w:val="auto"/>
              </w:rPr>
              <w:t>-1996</w:t>
            </w:r>
            <w:r>
              <w:rPr>
                <w:color w:val="auto"/>
              </w:rPr>
              <w:t>）</w:t>
            </w:r>
          </w:p>
        </w:tc>
        <w:tc>
          <w:tcPr>
            <w:tcW w:w="625" w:type="pct"/>
            <w:vAlign w:val="center"/>
          </w:tcPr>
          <w:p w14:paraId="755D71E2">
            <w:pPr>
              <w:pStyle w:val="33"/>
              <w:rPr>
                <w:rFonts w:eastAsia="Times New Roman"/>
                <w:color w:val="auto"/>
              </w:rPr>
            </w:pPr>
            <w:r>
              <w:rPr>
                <w:rFonts w:eastAsia="Times New Roman"/>
                <w:color w:val="auto"/>
                <w:spacing w:val="-6"/>
              </w:rPr>
              <w:t>120</w:t>
            </w:r>
          </w:p>
        </w:tc>
        <w:tc>
          <w:tcPr>
            <w:tcW w:w="626" w:type="pct"/>
            <w:vAlign w:val="center"/>
          </w:tcPr>
          <w:p w14:paraId="1CE6F08D">
            <w:pPr>
              <w:pStyle w:val="33"/>
              <w:rPr>
                <w:rFonts w:eastAsia="Times New Roman"/>
                <w:color w:val="auto"/>
              </w:rPr>
            </w:pPr>
            <w:r>
              <w:rPr>
                <w:rFonts w:eastAsia="Times New Roman"/>
                <w:color w:val="auto"/>
                <w:spacing w:val="-3"/>
              </w:rPr>
              <w:t>53</w:t>
            </w:r>
          </w:p>
        </w:tc>
        <w:tc>
          <w:tcPr>
            <w:tcW w:w="704" w:type="pct"/>
            <w:vAlign w:val="center"/>
          </w:tcPr>
          <w:p w14:paraId="62A71807">
            <w:pPr>
              <w:pStyle w:val="33"/>
              <w:rPr>
                <w:rFonts w:eastAsia="Times New Roman"/>
                <w:color w:val="auto"/>
              </w:rPr>
            </w:pPr>
            <w:r>
              <w:rPr>
                <w:rFonts w:eastAsia="Times New Roman"/>
                <w:color w:val="auto"/>
                <w:spacing w:val="-2"/>
              </w:rPr>
              <w:t>70</w:t>
            </w:r>
          </w:p>
        </w:tc>
        <w:tc>
          <w:tcPr>
            <w:tcW w:w="388" w:type="pct"/>
            <w:vAlign w:val="center"/>
          </w:tcPr>
          <w:p w14:paraId="3F51B755">
            <w:pPr>
              <w:pStyle w:val="33"/>
              <w:rPr>
                <w:rFonts w:eastAsia="Times New Roman"/>
                <w:color w:val="auto"/>
              </w:rPr>
            </w:pPr>
            <w:r>
              <w:rPr>
                <w:rFonts w:eastAsia="Times New Roman"/>
                <w:color w:val="auto"/>
                <w:spacing w:val="-4"/>
              </w:rPr>
              <w:t>5.9</w:t>
            </w:r>
          </w:p>
        </w:tc>
      </w:tr>
      <w:tr w14:paraId="41E938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657" w:type="pct"/>
            <w:gridSpan w:val="2"/>
            <w:vAlign w:val="center"/>
          </w:tcPr>
          <w:p w14:paraId="558DFF69">
            <w:pPr>
              <w:pStyle w:val="33"/>
              <w:rPr>
                <w:color w:val="auto"/>
                <w:spacing w:val="-2"/>
              </w:rPr>
            </w:pPr>
            <w:r>
              <w:rPr>
                <w:color w:val="auto"/>
                <w:spacing w:val="-2"/>
              </w:rPr>
              <w:t>达标情况</w:t>
            </w:r>
          </w:p>
        </w:tc>
        <w:tc>
          <w:tcPr>
            <w:tcW w:w="625" w:type="pct"/>
            <w:vAlign w:val="center"/>
          </w:tcPr>
          <w:p w14:paraId="438C3709">
            <w:pPr>
              <w:pStyle w:val="33"/>
              <w:rPr>
                <w:color w:val="auto"/>
              </w:rPr>
            </w:pPr>
            <w:r>
              <w:rPr>
                <w:color w:val="auto"/>
                <w:spacing w:val="-2"/>
              </w:rPr>
              <w:t>达标</w:t>
            </w:r>
          </w:p>
        </w:tc>
        <w:tc>
          <w:tcPr>
            <w:tcW w:w="626" w:type="pct"/>
            <w:vAlign w:val="center"/>
          </w:tcPr>
          <w:p w14:paraId="75283094">
            <w:pPr>
              <w:pStyle w:val="33"/>
              <w:rPr>
                <w:color w:val="auto"/>
              </w:rPr>
            </w:pPr>
            <w:r>
              <w:rPr>
                <w:color w:val="auto"/>
                <w:spacing w:val="-2"/>
              </w:rPr>
              <w:t>达标</w:t>
            </w:r>
          </w:p>
        </w:tc>
        <w:tc>
          <w:tcPr>
            <w:tcW w:w="704" w:type="pct"/>
            <w:vAlign w:val="center"/>
          </w:tcPr>
          <w:p w14:paraId="21DC9594">
            <w:pPr>
              <w:pStyle w:val="33"/>
              <w:rPr>
                <w:color w:val="auto"/>
              </w:rPr>
            </w:pPr>
            <w:r>
              <w:rPr>
                <w:color w:val="auto"/>
                <w:spacing w:val="-2"/>
              </w:rPr>
              <w:t>达标</w:t>
            </w:r>
          </w:p>
        </w:tc>
        <w:tc>
          <w:tcPr>
            <w:tcW w:w="388" w:type="pct"/>
            <w:vAlign w:val="center"/>
          </w:tcPr>
          <w:p w14:paraId="26631354">
            <w:pPr>
              <w:pStyle w:val="33"/>
              <w:rPr>
                <w:color w:val="auto"/>
              </w:rPr>
            </w:pPr>
            <w:r>
              <w:rPr>
                <w:color w:val="auto"/>
                <w:spacing w:val="-2"/>
              </w:rPr>
              <w:t>达标</w:t>
            </w:r>
          </w:p>
        </w:tc>
      </w:tr>
    </w:tbl>
    <w:p w14:paraId="2B3164A0">
      <w:pPr>
        <w:pStyle w:val="7"/>
        <w:rPr>
          <w:color w:val="auto"/>
        </w:rPr>
      </w:pPr>
      <w:r>
        <w:rPr>
          <w:color w:val="auto"/>
        </w:rPr>
        <w:t>现有工程过氧化氢车间</w:t>
      </w:r>
      <w:r>
        <w:rPr>
          <w:rFonts w:hint="eastAsia"/>
          <w:color w:val="auto"/>
        </w:rPr>
        <w:t>氢化</w:t>
      </w:r>
      <w:r>
        <w:rPr>
          <w:color w:val="auto"/>
        </w:rPr>
        <w:t>尾气</w:t>
      </w:r>
      <w:r>
        <w:rPr>
          <w:rFonts w:eastAsia="Times New Roman" w:cs="Times New Roman"/>
          <w:color w:val="auto"/>
        </w:rPr>
        <w:t>202</w:t>
      </w:r>
      <w:r>
        <w:rPr>
          <w:rFonts w:hint="eastAsia" w:cs="Times New Roman" w:eastAsiaTheme="minorEastAsia"/>
          <w:color w:val="auto"/>
        </w:rPr>
        <w:t>5</w:t>
      </w:r>
      <w:r>
        <w:rPr>
          <w:color w:val="auto"/>
        </w:rPr>
        <w:t>年自行监测结果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081"/>
        <w:gridCol w:w="986"/>
        <w:gridCol w:w="1046"/>
        <w:gridCol w:w="2173"/>
      </w:tblGrid>
      <w:tr w14:paraId="0E01C3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736" w:type="pct"/>
            <w:vMerge w:val="restart"/>
            <w:tcBorders>
              <w:bottom w:val="nil"/>
            </w:tcBorders>
            <w:vAlign w:val="center"/>
          </w:tcPr>
          <w:p w14:paraId="20EE250B">
            <w:pPr>
              <w:pStyle w:val="33"/>
              <w:rPr>
                <w:color w:val="auto"/>
              </w:rPr>
            </w:pPr>
            <w:r>
              <w:rPr>
                <w:color w:val="auto"/>
              </w:rPr>
              <w:t>项目</w:t>
            </w:r>
          </w:p>
        </w:tc>
        <w:tc>
          <w:tcPr>
            <w:tcW w:w="531" w:type="pct"/>
            <w:vAlign w:val="center"/>
          </w:tcPr>
          <w:p w14:paraId="6B0FE572">
            <w:pPr>
              <w:pStyle w:val="33"/>
              <w:rPr>
                <w:color w:val="auto"/>
                <w:spacing w:val="-4"/>
              </w:rPr>
            </w:pPr>
            <w:r>
              <w:rPr>
                <w:rFonts w:hint="eastAsia"/>
                <w:color w:val="auto"/>
                <w:spacing w:val="-4"/>
              </w:rPr>
              <w:t>烟气量</w:t>
            </w:r>
          </w:p>
        </w:tc>
        <w:tc>
          <w:tcPr>
            <w:tcW w:w="1733" w:type="pct"/>
            <w:gridSpan w:val="2"/>
            <w:vAlign w:val="center"/>
          </w:tcPr>
          <w:p w14:paraId="5BE22712">
            <w:pPr>
              <w:pStyle w:val="33"/>
              <w:rPr>
                <w:color w:val="auto"/>
              </w:rPr>
            </w:pPr>
            <w:r>
              <w:rPr>
                <w:color w:val="auto"/>
                <w:spacing w:val="-4"/>
              </w:rPr>
              <w:t>非甲烷总烃</w:t>
            </w:r>
          </w:p>
        </w:tc>
      </w:tr>
      <w:tr w14:paraId="2C581C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736" w:type="pct"/>
            <w:vMerge w:val="continue"/>
            <w:tcBorders>
              <w:top w:val="nil"/>
            </w:tcBorders>
            <w:vAlign w:val="center"/>
          </w:tcPr>
          <w:p w14:paraId="74BC40B3">
            <w:pPr>
              <w:pStyle w:val="33"/>
              <w:rPr>
                <w:color w:val="auto"/>
              </w:rPr>
            </w:pPr>
          </w:p>
        </w:tc>
        <w:tc>
          <w:tcPr>
            <w:tcW w:w="531" w:type="pct"/>
            <w:vAlign w:val="center"/>
          </w:tcPr>
          <w:p w14:paraId="750AFB1A">
            <w:pPr>
              <w:pStyle w:val="33"/>
              <w:rPr>
                <w:rFonts w:eastAsia="Times New Roman"/>
                <w:color w:val="auto"/>
                <w:spacing w:val="-2"/>
              </w:rPr>
            </w:pPr>
            <w:r>
              <w:rPr>
                <w:rFonts w:hint="eastAsia"/>
                <w:b/>
                <w:bCs/>
                <w:color w:val="auto"/>
              </w:rPr>
              <w:t>m</w:t>
            </w:r>
            <w:r>
              <w:rPr>
                <w:rFonts w:hint="eastAsia"/>
                <w:b/>
                <w:bCs/>
                <w:color w:val="auto"/>
                <w:vertAlign w:val="superscript"/>
              </w:rPr>
              <w:t>3</w:t>
            </w:r>
            <w:r>
              <w:rPr>
                <w:rFonts w:hint="eastAsia"/>
                <w:b/>
                <w:bCs/>
                <w:color w:val="auto"/>
              </w:rPr>
              <w:t>/h</w:t>
            </w:r>
          </w:p>
        </w:tc>
        <w:tc>
          <w:tcPr>
            <w:tcW w:w="563" w:type="pct"/>
            <w:vAlign w:val="center"/>
          </w:tcPr>
          <w:p w14:paraId="414FF9D3">
            <w:pPr>
              <w:pStyle w:val="33"/>
              <w:rPr>
                <w:rFonts w:eastAsia="Times New Roman"/>
                <w:color w:val="auto"/>
                <w:sz w:val="14"/>
                <w:szCs w:val="14"/>
              </w:rPr>
            </w:pPr>
            <w:r>
              <w:rPr>
                <w:rFonts w:eastAsia="Times New Roman"/>
                <w:color w:val="auto"/>
                <w:spacing w:val="-2"/>
              </w:rPr>
              <w:t>mg/m</w:t>
            </w:r>
            <w:r>
              <w:rPr>
                <w:rFonts w:eastAsia="Times New Roman"/>
                <w:color w:val="auto"/>
                <w:spacing w:val="-2"/>
                <w:position w:val="6"/>
                <w:sz w:val="14"/>
                <w:szCs w:val="14"/>
              </w:rPr>
              <w:t>3</w:t>
            </w:r>
          </w:p>
        </w:tc>
        <w:tc>
          <w:tcPr>
            <w:tcW w:w="1170" w:type="pct"/>
            <w:vAlign w:val="center"/>
          </w:tcPr>
          <w:p w14:paraId="342FE45A">
            <w:pPr>
              <w:pStyle w:val="33"/>
              <w:rPr>
                <w:rFonts w:eastAsia="Times New Roman"/>
                <w:color w:val="auto"/>
              </w:rPr>
            </w:pPr>
            <w:r>
              <w:rPr>
                <w:rFonts w:eastAsia="Times New Roman"/>
                <w:color w:val="auto"/>
                <w:spacing w:val="-2"/>
              </w:rPr>
              <w:t>kg/h</w:t>
            </w:r>
          </w:p>
        </w:tc>
      </w:tr>
      <w:tr w14:paraId="580A06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736" w:type="pct"/>
            <w:vAlign w:val="center"/>
          </w:tcPr>
          <w:p w14:paraId="4B3F9424">
            <w:pPr>
              <w:pStyle w:val="33"/>
              <w:rPr>
                <w:color w:val="auto"/>
              </w:rPr>
            </w:pPr>
            <w:r>
              <w:rPr>
                <w:rFonts w:eastAsia="Times New Roman"/>
                <w:color w:val="auto"/>
                <w:spacing w:val="-1"/>
              </w:rPr>
              <w:t>202</w:t>
            </w:r>
            <w:r>
              <w:rPr>
                <w:rFonts w:hint="eastAsia" w:eastAsiaTheme="minorEastAsia"/>
                <w:color w:val="auto"/>
                <w:spacing w:val="-1"/>
              </w:rPr>
              <w:t>5</w:t>
            </w:r>
            <w:r>
              <w:rPr>
                <w:color w:val="auto"/>
                <w:spacing w:val="-1"/>
              </w:rPr>
              <w:t>年自行监测过氧化氢车间</w:t>
            </w:r>
            <w:r>
              <w:rPr>
                <w:rFonts w:hint="eastAsia"/>
                <w:color w:val="auto"/>
                <w:spacing w:val="-1"/>
              </w:rPr>
              <w:t>氢化</w:t>
            </w:r>
            <w:r>
              <w:rPr>
                <w:color w:val="auto"/>
                <w:spacing w:val="-1"/>
              </w:rPr>
              <w:t>尾气</w:t>
            </w:r>
            <w:r>
              <w:rPr>
                <w:rFonts w:hint="eastAsia"/>
                <w:color w:val="auto"/>
                <w:spacing w:val="-1"/>
              </w:rPr>
              <w:t>（DA030）</w:t>
            </w:r>
          </w:p>
        </w:tc>
        <w:tc>
          <w:tcPr>
            <w:tcW w:w="531" w:type="pct"/>
            <w:vAlign w:val="center"/>
          </w:tcPr>
          <w:p w14:paraId="61231652">
            <w:pPr>
              <w:pStyle w:val="33"/>
              <w:rPr>
                <w:rFonts w:eastAsiaTheme="minorEastAsia"/>
                <w:color w:val="auto"/>
              </w:rPr>
            </w:pPr>
            <w:r>
              <w:rPr>
                <w:rFonts w:hint="eastAsia" w:eastAsiaTheme="minorEastAsia"/>
                <w:color w:val="auto"/>
              </w:rPr>
              <w:t>9-23</w:t>
            </w:r>
          </w:p>
        </w:tc>
        <w:tc>
          <w:tcPr>
            <w:tcW w:w="563" w:type="pct"/>
            <w:vAlign w:val="center"/>
          </w:tcPr>
          <w:p w14:paraId="1A1C418D">
            <w:pPr>
              <w:pStyle w:val="33"/>
              <w:rPr>
                <w:rFonts w:eastAsiaTheme="minorEastAsia"/>
                <w:color w:val="auto"/>
              </w:rPr>
            </w:pPr>
            <w:r>
              <w:rPr>
                <w:rFonts w:hint="eastAsia" w:eastAsiaTheme="minorEastAsia"/>
                <w:color w:val="auto"/>
              </w:rPr>
              <w:t>1.10-2.12</w:t>
            </w:r>
          </w:p>
        </w:tc>
        <w:tc>
          <w:tcPr>
            <w:tcW w:w="1170" w:type="pct"/>
            <w:vAlign w:val="center"/>
          </w:tcPr>
          <w:p w14:paraId="490B7811">
            <w:pPr>
              <w:pStyle w:val="33"/>
              <w:rPr>
                <w:rFonts w:eastAsiaTheme="minorEastAsia"/>
                <w:color w:val="auto"/>
              </w:rPr>
            </w:pPr>
            <w:r>
              <w:rPr>
                <w:rFonts w:hint="eastAsia" w:eastAsiaTheme="minorEastAsia"/>
                <w:color w:val="auto"/>
              </w:rPr>
              <w:t>1.43</w:t>
            </w:r>
            <w:r>
              <w:rPr>
                <w:rFonts w:hint="eastAsia"/>
                <w:color w:val="auto"/>
              </w:rPr>
              <w:t>×</w:t>
            </w:r>
            <w:r>
              <w:rPr>
                <w:rFonts w:hint="eastAsia" w:eastAsiaTheme="minorEastAsia"/>
                <w:color w:val="auto"/>
              </w:rPr>
              <w:t>10</w:t>
            </w:r>
            <w:r>
              <w:rPr>
                <w:rFonts w:hint="eastAsia" w:eastAsiaTheme="minorEastAsia"/>
                <w:color w:val="auto"/>
                <w:vertAlign w:val="superscript"/>
              </w:rPr>
              <w:t>-5</w:t>
            </w:r>
            <w:r>
              <w:rPr>
                <w:rFonts w:hint="eastAsia" w:eastAsiaTheme="minorEastAsia"/>
                <w:color w:val="auto"/>
              </w:rPr>
              <w:t>-2.95</w:t>
            </w:r>
            <w:r>
              <w:rPr>
                <w:rFonts w:hint="eastAsia"/>
                <w:color w:val="auto"/>
              </w:rPr>
              <w:t>×</w:t>
            </w:r>
            <w:r>
              <w:rPr>
                <w:rFonts w:hint="eastAsia" w:eastAsiaTheme="minorEastAsia"/>
                <w:color w:val="auto"/>
              </w:rPr>
              <w:t>10</w:t>
            </w:r>
            <w:r>
              <w:rPr>
                <w:rFonts w:hint="eastAsia" w:eastAsiaTheme="minorEastAsia"/>
                <w:color w:val="auto"/>
                <w:vertAlign w:val="superscript"/>
              </w:rPr>
              <w:t>-5</w:t>
            </w:r>
          </w:p>
        </w:tc>
      </w:tr>
      <w:tr w14:paraId="2911E2C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267" w:type="pct"/>
            <w:gridSpan w:val="2"/>
            <w:vAlign w:val="center"/>
          </w:tcPr>
          <w:p w14:paraId="13B02220">
            <w:pPr>
              <w:pStyle w:val="33"/>
              <w:rPr>
                <w:rFonts w:eastAsia="Times New Roman"/>
                <w:color w:val="auto"/>
                <w:spacing w:val="-6"/>
              </w:rPr>
            </w:pPr>
            <w:r>
              <w:rPr>
                <w:color w:val="auto"/>
                <w:spacing w:val="-4"/>
              </w:rPr>
              <w:t>《大气污染物综合排放标准》（</w:t>
            </w:r>
            <w:r>
              <w:rPr>
                <w:rFonts w:eastAsia="Times New Roman"/>
                <w:color w:val="auto"/>
                <w:spacing w:val="-4"/>
              </w:rPr>
              <w:t>GB16297</w:t>
            </w:r>
            <w:r>
              <w:rPr>
                <w:rFonts w:eastAsia="Times New Roman"/>
                <w:color w:val="auto"/>
              </w:rPr>
              <w:t>-1996</w:t>
            </w:r>
            <w:r>
              <w:rPr>
                <w:color w:val="auto"/>
              </w:rPr>
              <w:t>）</w:t>
            </w:r>
          </w:p>
        </w:tc>
        <w:tc>
          <w:tcPr>
            <w:tcW w:w="563" w:type="pct"/>
            <w:vAlign w:val="center"/>
          </w:tcPr>
          <w:p w14:paraId="6719ED54">
            <w:pPr>
              <w:pStyle w:val="33"/>
              <w:rPr>
                <w:rFonts w:eastAsia="Times New Roman"/>
                <w:color w:val="auto"/>
              </w:rPr>
            </w:pPr>
            <w:r>
              <w:rPr>
                <w:rFonts w:eastAsia="Times New Roman"/>
                <w:color w:val="auto"/>
                <w:spacing w:val="-6"/>
              </w:rPr>
              <w:t>120</w:t>
            </w:r>
          </w:p>
        </w:tc>
        <w:tc>
          <w:tcPr>
            <w:tcW w:w="1170" w:type="pct"/>
            <w:vAlign w:val="center"/>
          </w:tcPr>
          <w:p w14:paraId="68B2A932">
            <w:pPr>
              <w:pStyle w:val="33"/>
              <w:rPr>
                <w:rFonts w:eastAsia="Times New Roman"/>
                <w:color w:val="auto"/>
              </w:rPr>
            </w:pPr>
            <w:r>
              <w:rPr>
                <w:rFonts w:eastAsia="Times New Roman"/>
                <w:color w:val="auto"/>
                <w:spacing w:val="-3"/>
              </w:rPr>
              <w:t>53</w:t>
            </w:r>
          </w:p>
        </w:tc>
      </w:tr>
      <w:tr w14:paraId="102305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267" w:type="pct"/>
            <w:gridSpan w:val="2"/>
            <w:vAlign w:val="center"/>
          </w:tcPr>
          <w:p w14:paraId="2E355FDB">
            <w:pPr>
              <w:pStyle w:val="33"/>
              <w:rPr>
                <w:color w:val="auto"/>
                <w:spacing w:val="-2"/>
              </w:rPr>
            </w:pPr>
            <w:r>
              <w:rPr>
                <w:color w:val="auto"/>
                <w:spacing w:val="-2"/>
              </w:rPr>
              <w:t>达标情况</w:t>
            </w:r>
          </w:p>
        </w:tc>
        <w:tc>
          <w:tcPr>
            <w:tcW w:w="563" w:type="pct"/>
            <w:vAlign w:val="center"/>
          </w:tcPr>
          <w:p w14:paraId="50AB288D">
            <w:pPr>
              <w:pStyle w:val="33"/>
              <w:rPr>
                <w:color w:val="auto"/>
              </w:rPr>
            </w:pPr>
            <w:r>
              <w:rPr>
                <w:color w:val="auto"/>
                <w:spacing w:val="-2"/>
              </w:rPr>
              <w:t>达标</w:t>
            </w:r>
          </w:p>
        </w:tc>
        <w:tc>
          <w:tcPr>
            <w:tcW w:w="1170" w:type="pct"/>
            <w:vAlign w:val="center"/>
          </w:tcPr>
          <w:p w14:paraId="513F9AD0">
            <w:pPr>
              <w:pStyle w:val="33"/>
              <w:rPr>
                <w:color w:val="auto"/>
              </w:rPr>
            </w:pPr>
            <w:r>
              <w:rPr>
                <w:color w:val="auto"/>
                <w:spacing w:val="-2"/>
              </w:rPr>
              <w:t>达标</w:t>
            </w:r>
          </w:p>
        </w:tc>
      </w:tr>
    </w:tbl>
    <w:p w14:paraId="2A9663C7">
      <w:pPr>
        <w:pStyle w:val="7"/>
        <w:rPr>
          <w:color w:val="auto"/>
        </w:rPr>
      </w:pPr>
      <w:r>
        <w:rPr>
          <w:color w:val="auto"/>
        </w:rPr>
        <w:t>现有工程过氧化氢车间</w:t>
      </w:r>
      <w:r>
        <w:rPr>
          <w:rFonts w:hint="eastAsia"/>
          <w:color w:val="auto"/>
        </w:rPr>
        <w:t>污水处理尾气</w:t>
      </w:r>
      <w:r>
        <w:rPr>
          <w:rFonts w:eastAsia="Times New Roman" w:cs="Times New Roman"/>
          <w:color w:val="auto"/>
        </w:rPr>
        <w:t>202</w:t>
      </w:r>
      <w:r>
        <w:rPr>
          <w:rFonts w:hint="eastAsia" w:cs="Times New Roman" w:eastAsiaTheme="minorEastAsia"/>
          <w:color w:val="auto"/>
        </w:rPr>
        <w:t>5</w:t>
      </w:r>
      <w:r>
        <w:rPr>
          <w:color w:val="auto"/>
        </w:rPr>
        <w:t>年自行监测结果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123"/>
        <w:gridCol w:w="1100"/>
        <w:gridCol w:w="896"/>
        <w:gridCol w:w="2034"/>
        <w:gridCol w:w="1202"/>
        <w:gridCol w:w="2034"/>
        <w:gridCol w:w="897"/>
      </w:tblGrid>
      <w:tr w14:paraId="492A3F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55" w:type="pct"/>
            <w:vMerge w:val="restart"/>
            <w:tcBorders>
              <w:bottom w:val="nil"/>
            </w:tcBorders>
            <w:vAlign w:val="center"/>
          </w:tcPr>
          <w:p w14:paraId="667E9B30">
            <w:pPr>
              <w:pStyle w:val="33"/>
              <w:rPr>
                <w:color w:val="auto"/>
              </w:rPr>
            </w:pPr>
            <w:r>
              <w:rPr>
                <w:color w:val="auto"/>
              </w:rPr>
              <w:t>项目</w:t>
            </w:r>
          </w:p>
        </w:tc>
        <w:tc>
          <w:tcPr>
            <w:tcW w:w="663" w:type="pct"/>
            <w:vAlign w:val="center"/>
          </w:tcPr>
          <w:p w14:paraId="22146EBC">
            <w:pPr>
              <w:pStyle w:val="33"/>
              <w:rPr>
                <w:color w:val="auto"/>
              </w:rPr>
            </w:pPr>
            <w:r>
              <w:rPr>
                <w:rFonts w:hint="eastAsia"/>
                <w:color w:val="auto"/>
                <w:spacing w:val="-4"/>
              </w:rPr>
              <w:t>烟气量</w:t>
            </w:r>
          </w:p>
        </w:tc>
        <w:tc>
          <w:tcPr>
            <w:tcW w:w="1239" w:type="pct"/>
            <w:gridSpan w:val="2"/>
            <w:vAlign w:val="center"/>
          </w:tcPr>
          <w:p w14:paraId="04E8E42A">
            <w:pPr>
              <w:pStyle w:val="33"/>
              <w:rPr>
                <w:color w:val="auto"/>
              </w:rPr>
            </w:pPr>
            <w:r>
              <w:rPr>
                <w:color w:val="auto"/>
              </w:rPr>
              <w:t>非甲烷总烃</w:t>
            </w:r>
          </w:p>
        </w:tc>
        <w:tc>
          <w:tcPr>
            <w:tcW w:w="1152" w:type="pct"/>
            <w:gridSpan w:val="2"/>
            <w:vAlign w:val="center"/>
          </w:tcPr>
          <w:p w14:paraId="7585C5C5">
            <w:pPr>
              <w:pStyle w:val="33"/>
              <w:rPr>
                <w:color w:val="auto"/>
              </w:rPr>
            </w:pPr>
            <w:r>
              <w:rPr>
                <w:color w:val="auto"/>
              </w:rPr>
              <w:t>二甲苯</w:t>
            </w:r>
          </w:p>
        </w:tc>
        <w:tc>
          <w:tcPr>
            <w:tcW w:w="590" w:type="pct"/>
            <w:vAlign w:val="center"/>
          </w:tcPr>
          <w:p w14:paraId="2800FE58">
            <w:pPr>
              <w:pStyle w:val="33"/>
              <w:rPr>
                <w:color w:val="auto"/>
              </w:rPr>
            </w:pPr>
            <w:r>
              <w:rPr>
                <w:rFonts w:hint="eastAsia"/>
                <w:color w:val="auto"/>
              </w:rPr>
              <w:t>臭气浓度</w:t>
            </w:r>
          </w:p>
        </w:tc>
      </w:tr>
      <w:tr w14:paraId="04D7D0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55" w:type="pct"/>
            <w:vMerge w:val="continue"/>
            <w:tcBorders>
              <w:top w:val="nil"/>
            </w:tcBorders>
            <w:vAlign w:val="center"/>
          </w:tcPr>
          <w:p w14:paraId="74D1E610">
            <w:pPr>
              <w:pStyle w:val="33"/>
              <w:rPr>
                <w:color w:val="auto"/>
              </w:rPr>
            </w:pPr>
          </w:p>
        </w:tc>
        <w:tc>
          <w:tcPr>
            <w:tcW w:w="663" w:type="pct"/>
            <w:vAlign w:val="center"/>
          </w:tcPr>
          <w:p w14:paraId="3373DD3D">
            <w:pPr>
              <w:pStyle w:val="33"/>
              <w:rPr>
                <w:color w:val="auto"/>
              </w:rPr>
            </w:pPr>
            <w:r>
              <w:rPr>
                <w:rFonts w:hint="eastAsia"/>
                <w:b/>
                <w:bCs/>
                <w:color w:val="auto"/>
              </w:rPr>
              <w:t>m</w:t>
            </w:r>
            <w:r>
              <w:rPr>
                <w:rFonts w:hint="eastAsia"/>
                <w:b/>
                <w:bCs/>
                <w:color w:val="auto"/>
                <w:vertAlign w:val="superscript"/>
              </w:rPr>
              <w:t>3</w:t>
            </w:r>
            <w:r>
              <w:rPr>
                <w:rFonts w:hint="eastAsia"/>
                <w:b/>
                <w:bCs/>
                <w:color w:val="auto"/>
              </w:rPr>
              <w:t>/h</w:t>
            </w:r>
          </w:p>
        </w:tc>
        <w:tc>
          <w:tcPr>
            <w:tcW w:w="541" w:type="pct"/>
            <w:vAlign w:val="center"/>
          </w:tcPr>
          <w:p w14:paraId="7EFB3683">
            <w:pPr>
              <w:pStyle w:val="33"/>
              <w:rPr>
                <w:color w:val="auto"/>
              </w:rPr>
            </w:pPr>
            <w:r>
              <w:rPr>
                <w:color w:val="auto"/>
              </w:rPr>
              <w:t>mg/m</w:t>
            </w:r>
            <w:r>
              <w:rPr>
                <w:color w:val="auto"/>
                <w:vertAlign w:val="superscript"/>
              </w:rPr>
              <w:t>3</w:t>
            </w:r>
          </w:p>
        </w:tc>
        <w:tc>
          <w:tcPr>
            <w:tcW w:w="698" w:type="pct"/>
            <w:vAlign w:val="center"/>
          </w:tcPr>
          <w:p w14:paraId="06673921">
            <w:pPr>
              <w:pStyle w:val="33"/>
              <w:rPr>
                <w:color w:val="auto"/>
              </w:rPr>
            </w:pPr>
            <w:r>
              <w:rPr>
                <w:color w:val="auto"/>
              </w:rPr>
              <w:t>kg/h</w:t>
            </w:r>
          </w:p>
        </w:tc>
        <w:tc>
          <w:tcPr>
            <w:tcW w:w="429" w:type="pct"/>
            <w:vAlign w:val="center"/>
          </w:tcPr>
          <w:p w14:paraId="41074C14">
            <w:pPr>
              <w:pStyle w:val="33"/>
              <w:rPr>
                <w:color w:val="auto"/>
              </w:rPr>
            </w:pPr>
            <w:r>
              <w:rPr>
                <w:color w:val="auto"/>
              </w:rPr>
              <w:t>mg/m</w:t>
            </w:r>
            <w:r>
              <w:rPr>
                <w:color w:val="auto"/>
                <w:vertAlign w:val="superscript"/>
              </w:rPr>
              <w:t>3</w:t>
            </w:r>
          </w:p>
        </w:tc>
        <w:tc>
          <w:tcPr>
            <w:tcW w:w="723" w:type="pct"/>
            <w:vAlign w:val="center"/>
          </w:tcPr>
          <w:p w14:paraId="4FFE71BB">
            <w:pPr>
              <w:pStyle w:val="33"/>
              <w:rPr>
                <w:color w:val="auto"/>
              </w:rPr>
            </w:pPr>
            <w:r>
              <w:rPr>
                <w:color w:val="auto"/>
              </w:rPr>
              <w:t>kg/h</w:t>
            </w:r>
          </w:p>
        </w:tc>
        <w:tc>
          <w:tcPr>
            <w:tcW w:w="590" w:type="pct"/>
            <w:vAlign w:val="center"/>
          </w:tcPr>
          <w:p w14:paraId="6F5E044C">
            <w:pPr>
              <w:pStyle w:val="33"/>
              <w:rPr>
                <w:color w:val="auto"/>
              </w:rPr>
            </w:pPr>
            <w:r>
              <w:rPr>
                <w:rFonts w:hint="eastAsia"/>
                <w:color w:val="auto"/>
              </w:rPr>
              <w:t>无量纲</w:t>
            </w:r>
          </w:p>
        </w:tc>
      </w:tr>
      <w:tr w14:paraId="649C4B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355" w:type="pct"/>
            <w:vAlign w:val="center"/>
          </w:tcPr>
          <w:p w14:paraId="66798400">
            <w:pPr>
              <w:pStyle w:val="33"/>
              <w:rPr>
                <w:color w:val="auto"/>
              </w:rPr>
            </w:pPr>
            <w:r>
              <w:rPr>
                <w:color w:val="auto"/>
              </w:rPr>
              <w:t>202</w:t>
            </w:r>
            <w:r>
              <w:rPr>
                <w:rFonts w:hint="eastAsia"/>
                <w:color w:val="auto"/>
              </w:rPr>
              <w:t>5</w:t>
            </w:r>
            <w:r>
              <w:rPr>
                <w:color w:val="auto"/>
              </w:rPr>
              <w:t>年自行监测过氧化氢车间</w:t>
            </w:r>
            <w:r>
              <w:rPr>
                <w:rFonts w:hint="eastAsia"/>
                <w:color w:val="auto"/>
              </w:rPr>
              <w:t>污水处理尾气（DA031）</w:t>
            </w:r>
          </w:p>
        </w:tc>
        <w:tc>
          <w:tcPr>
            <w:tcW w:w="663" w:type="pct"/>
            <w:vAlign w:val="center"/>
          </w:tcPr>
          <w:p w14:paraId="5EC9EB22">
            <w:pPr>
              <w:pStyle w:val="33"/>
              <w:rPr>
                <w:color w:val="auto"/>
              </w:rPr>
            </w:pPr>
            <w:r>
              <w:rPr>
                <w:rFonts w:hint="eastAsia"/>
                <w:color w:val="auto"/>
              </w:rPr>
              <w:t>2143-2817</w:t>
            </w:r>
          </w:p>
        </w:tc>
        <w:tc>
          <w:tcPr>
            <w:tcW w:w="541" w:type="pct"/>
            <w:vAlign w:val="center"/>
          </w:tcPr>
          <w:p w14:paraId="034E7037">
            <w:pPr>
              <w:pStyle w:val="33"/>
              <w:rPr>
                <w:color w:val="auto"/>
              </w:rPr>
            </w:pPr>
            <w:r>
              <w:rPr>
                <w:rFonts w:hint="eastAsia"/>
                <w:color w:val="auto"/>
              </w:rPr>
              <w:t>2.8-2.93</w:t>
            </w:r>
          </w:p>
        </w:tc>
        <w:tc>
          <w:tcPr>
            <w:tcW w:w="698" w:type="pct"/>
            <w:vAlign w:val="center"/>
          </w:tcPr>
          <w:p w14:paraId="7333A0EE">
            <w:pPr>
              <w:pStyle w:val="33"/>
              <w:rPr>
                <w:color w:val="auto"/>
              </w:rPr>
            </w:pPr>
            <w:r>
              <w:rPr>
                <w:rFonts w:hint="eastAsia"/>
                <w:color w:val="auto"/>
              </w:rPr>
              <w:t>6.01×10</w:t>
            </w:r>
            <w:r>
              <w:rPr>
                <w:rFonts w:hint="eastAsia"/>
                <w:color w:val="auto"/>
                <w:vertAlign w:val="superscript"/>
              </w:rPr>
              <w:t>-3</w:t>
            </w:r>
            <w:r>
              <w:rPr>
                <w:rFonts w:hint="eastAsia"/>
                <w:color w:val="auto"/>
              </w:rPr>
              <w:t>-8.26×10</w:t>
            </w:r>
            <w:r>
              <w:rPr>
                <w:rFonts w:hint="eastAsia"/>
                <w:color w:val="auto"/>
                <w:vertAlign w:val="superscript"/>
              </w:rPr>
              <w:t>-3</w:t>
            </w:r>
          </w:p>
        </w:tc>
        <w:tc>
          <w:tcPr>
            <w:tcW w:w="429" w:type="pct"/>
            <w:vAlign w:val="center"/>
          </w:tcPr>
          <w:p w14:paraId="1EB1B816">
            <w:pPr>
              <w:pStyle w:val="33"/>
              <w:rPr>
                <w:color w:val="auto"/>
              </w:rPr>
            </w:pPr>
            <w:r>
              <w:rPr>
                <w:rFonts w:hint="eastAsia"/>
                <w:color w:val="auto"/>
              </w:rPr>
              <w:t>0.722-0.754</w:t>
            </w:r>
          </w:p>
        </w:tc>
        <w:tc>
          <w:tcPr>
            <w:tcW w:w="723" w:type="pct"/>
            <w:vAlign w:val="center"/>
          </w:tcPr>
          <w:p w14:paraId="22EFE482">
            <w:pPr>
              <w:pStyle w:val="33"/>
              <w:rPr>
                <w:color w:val="auto"/>
              </w:rPr>
            </w:pPr>
            <w:r>
              <w:rPr>
                <w:rFonts w:hint="eastAsia"/>
                <w:color w:val="auto"/>
              </w:rPr>
              <w:t>1.55×10</w:t>
            </w:r>
            <w:r>
              <w:rPr>
                <w:rFonts w:hint="eastAsia"/>
                <w:color w:val="auto"/>
                <w:vertAlign w:val="superscript"/>
              </w:rPr>
              <w:t>-3</w:t>
            </w:r>
            <w:r>
              <w:rPr>
                <w:rFonts w:hint="eastAsia"/>
                <w:color w:val="auto"/>
              </w:rPr>
              <w:t>-2.12×10</w:t>
            </w:r>
            <w:r>
              <w:rPr>
                <w:rFonts w:hint="eastAsia"/>
                <w:color w:val="auto"/>
                <w:vertAlign w:val="superscript"/>
              </w:rPr>
              <w:t>-3</w:t>
            </w:r>
          </w:p>
        </w:tc>
        <w:tc>
          <w:tcPr>
            <w:tcW w:w="590" w:type="pct"/>
            <w:vAlign w:val="center"/>
          </w:tcPr>
          <w:p w14:paraId="681E11C3">
            <w:pPr>
              <w:pStyle w:val="33"/>
              <w:rPr>
                <w:color w:val="auto"/>
              </w:rPr>
            </w:pPr>
            <w:r>
              <w:rPr>
                <w:rFonts w:hint="eastAsia"/>
                <w:color w:val="auto"/>
              </w:rPr>
              <w:t>412-724</w:t>
            </w:r>
          </w:p>
        </w:tc>
      </w:tr>
      <w:tr w14:paraId="06FD2E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018" w:type="pct"/>
            <w:gridSpan w:val="2"/>
            <w:vAlign w:val="center"/>
          </w:tcPr>
          <w:p w14:paraId="5AF8B439">
            <w:pPr>
              <w:pStyle w:val="33"/>
              <w:rPr>
                <w:color w:val="auto"/>
              </w:rPr>
            </w:pPr>
            <w:r>
              <w:rPr>
                <w:color w:val="auto"/>
              </w:rPr>
              <w:t>《大气污染物综合排放标准》（GB16297-1996）</w:t>
            </w:r>
          </w:p>
        </w:tc>
        <w:tc>
          <w:tcPr>
            <w:tcW w:w="541" w:type="pct"/>
            <w:vAlign w:val="center"/>
          </w:tcPr>
          <w:p w14:paraId="1226E1E0">
            <w:pPr>
              <w:pStyle w:val="33"/>
              <w:rPr>
                <w:color w:val="auto"/>
              </w:rPr>
            </w:pPr>
            <w:r>
              <w:rPr>
                <w:color w:val="auto"/>
              </w:rPr>
              <w:t>120</w:t>
            </w:r>
          </w:p>
        </w:tc>
        <w:tc>
          <w:tcPr>
            <w:tcW w:w="698" w:type="pct"/>
            <w:vAlign w:val="center"/>
          </w:tcPr>
          <w:p w14:paraId="78B408D1">
            <w:pPr>
              <w:pStyle w:val="33"/>
              <w:rPr>
                <w:color w:val="auto"/>
              </w:rPr>
            </w:pPr>
            <w:r>
              <w:rPr>
                <w:color w:val="auto"/>
              </w:rPr>
              <w:t>14.2</w:t>
            </w:r>
          </w:p>
        </w:tc>
        <w:tc>
          <w:tcPr>
            <w:tcW w:w="429" w:type="pct"/>
            <w:vAlign w:val="center"/>
          </w:tcPr>
          <w:p w14:paraId="2DC32DD7">
            <w:pPr>
              <w:pStyle w:val="33"/>
              <w:rPr>
                <w:color w:val="auto"/>
              </w:rPr>
            </w:pPr>
            <w:r>
              <w:rPr>
                <w:color w:val="auto"/>
              </w:rPr>
              <w:t>70</w:t>
            </w:r>
          </w:p>
        </w:tc>
        <w:tc>
          <w:tcPr>
            <w:tcW w:w="723" w:type="pct"/>
            <w:vAlign w:val="center"/>
          </w:tcPr>
          <w:p w14:paraId="33C26AF2">
            <w:pPr>
              <w:pStyle w:val="33"/>
              <w:rPr>
                <w:color w:val="auto"/>
              </w:rPr>
            </w:pPr>
            <w:r>
              <w:rPr>
                <w:color w:val="auto"/>
              </w:rPr>
              <w:t>1.42</w:t>
            </w:r>
          </w:p>
        </w:tc>
        <w:tc>
          <w:tcPr>
            <w:tcW w:w="590" w:type="pct"/>
            <w:vAlign w:val="center"/>
          </w:tcPr>
          <w:p w14:paraId="448D9796">
            <w:pPr>
              <w:pStyle w:val="33"/>
              <w:rPr>
                <w:color w:val="auto"/>
              </w:rPr>
            </w:pPr>
            <w:r>
              <w:rPr>
                <w:rFonts w:hint="eastAsia"/>
                <w:color w:val="auto"/>
              </w:rPr>
              <w:t>2000</w:t>
            </w:r>
          </w:p>
        </w:tc>
      </w:tr>
      <w:tr w14:paraId="13723C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018" w:type="pct"/>
            <w:gridSpan w:val="2"/>
            <w:vAlign w:val="center"/>
          </w:tcPr>
          <w:p w14:paraId="39FC6254">
            <w:pPr>
              <w:pStyle w:val="33"/>
              <w:rPr>
                <w:color w:val="auto"/>
              </w:rPr>
            </w:pPr>
            <w:r>
              <w:rPr>
                <w:color w:val="auto"/>
              </w:rPr>
              <w:t>达标情况</w:t>
            </w:r>
          </w:p>
        </w:tc>
        <w:tc>
          <w:tcPr>
            <w:tcW w:w="541" w:type="pct"/>
            <w:vAlign w:val="center"/>
          </w:tcPr>
          <w:p w14:paraId="2254FC45">
            <w:pPr>
              <w:pStyle w:val="33"/>
              <w:rPr>
                <w:color w:val="auto"/>
              </w:rPr>
            </w:pPr>
            <w:r>
              <w:rPr>
                <w:color w:val="auto"/>
              </w:rPr>
              <w:t>达标</w:t>
            </w:r>
          </w:p>
        </w:tc>
        <w:tc>
          <w:tcPr>
            <w:tcW w:w="698" w:type="pct"/>
            <w:vAlign w:val="center"/>
          </w:tcPr>
          <w:p w14:paraId="315EAF0B">
            <w:pPr>
              <w:pStyle w:val="33"/>
              <w:rPr>
                <w:color w:val="auto"/>
              </w:rPr>
            </w:pPr>
            <w:r>
              <w:rPr>
                <w:color w:val="auto"/>
              </w:rPr>
              <w:t>达标</w:t>
            </w:r>
          </w:p>
        </w:tc>
        <w:tc>
          <w:tcPr>
            <w:tcW w:w="429" w:type="pct"/>
            <w:vAlign w:val="center"/>
          </w:tcPr>
          <w:p w14:paraId="186E19E2">
            <w:pPr>
              <w:pStyle w:val="33"/>
              <w:rPr>
                <w:color w:val="auto"/>
              </w:rPr>
            </w:pPr>
            <w:r>
              <w:rPr>
                <w:color w:val="auto"/>
              </w:rPr>
              <w:t>达标</w:t>
            </w:r>
          </w:p>
        </w:tc>
        <w:tc>
          <w:tcPr>
            <w:tcW w:w="723" w:type="pct"/>
            <w:vAlign w:val="center"/>
          </w:tcPr>
          <w:p w14:paraId="52E3A142">
            <w:pPr>
              <w:pStyle w:val="33"/>
              <w:rPr>
                <w:color w:val="auto"/>
              </w:rPr>
            </w:pPr>
            <w:r>
              <w:rPr>
                <w:color w:val="auto"/>
              </w:rPr>
              <w:t>达标</w:t>
            </w:r>
          </w:p>
        </w:tc>
        <w:tc>
          <w:tcPr>
            <w:tcW w:w="590" w:type="pct"/>
            <w:vAlign w:val="center"/>
          </w:tcPr>
          <w:p w14:paraId="01AE36A0">
            <w:pPr>
              <w:pStyle w:val="33"/>
              <w:rPr>
                <w:color w:val="auto"/>
              </w:rPr>
            </w:pPr>
            <w:r>
              <w:rPr>
                <w:color w:val="auto"/>
              </w:rPr>
              <w:t>达标</w:t>
            </w:r>
          </w:p>
        </w:tc>
      </w:tr>
    </w:tbl>
    <w:p w14:paraId="2094DE19">
      <w:pPr>
        <w:ind w:firstLine="480"/>
        <w:rPr>
          <w:color w:val="auto"/>
        </w:rPr>
      </w:pPr>
      <w:r>
        <w:rPr>
          <w:rFonts w:hint="eastAsia"/>
          <w:color w:val="auto"/>
        </w:rPr>
        <w:t>现有工程1#造纸车间天然气燃烧废气和</w:t>
      </w:r>
      <w:r>
        <w:rPr>
          <w:color w:val="auto"/>
        </w:rPr>
        <w:t>2#</w:t>
      </w:r>
      <w:r>
        <w:rPr>
          <w:rFonts w:hint="eastAsia"/>
          <w:color w:val="auto"/>
        </w:rPr>
        <w:t>造纸车间天然气燃烧废气</w:t>
      </w:r>
      <w:r>
        <w:rPr>
          <w:color w:val="auto"/>
        </w:rPr>
        <w:t>监测结果见</w:t>
      </w:r>
      <w:r>
        <w:rPr>
          <w:rFonts w:hint="eastAsia"/>
          <w:color w:val="auto"/>
        </w:rPr>
        <w:t>下表</w:t>
      </w:r>
      <w:r>
        <w:rPr>
          <w:color w:val="auto"/>
        </w:rPr>
        <w:t>，由监测结果可知，</w:t>
      </w:r>
      <w:r>
        <w:rPr>
          <w:rFonts w:hint="eastAsia"/>
          <w:color w:val="auto"/>
        </w:rPr>
        <w:t>1#和</w:t>
      </w:r>
      <w:r>
        <w:rPr>
          <w:color w:val="auto"/>
        </w:rPr>
        <w:t>2#造纸车间天然气燃烧废气满足《大气污染物综合排放标准》（GB16297-1996）表2新污染源大气污染物排放限值中最高允许排放浓度和最高允许排放速率二级要求。</w:t>
      </w:r>
    </w:p>
    <w:p w14:paraId="0A193555">
      <w:pPr>
        <w:pStyle w:val="7"/>
        <w:rPr>
          <w:color w:val="auto"/>
        </w:rPr>
      </w:pPr>
      <w:r>
        <w:rPr>
          <w:color w:val="auto"/>
        </w:rPr>
        <w:t>现有工程</w:t>
      </w:r>
      <w:r>
        <w:rPr>
          <w:rFonts w:hint="eastAsia"/>
          <w:color w:val="auto"/>
        </w:rPr>
        <w:t>1#和</w:t>
      </w:r>
      <w:r>
        <w:rPr>
          <w:rFonts w:eastAsia="Times New Roman" w:cs="Times New Roman"/>
          <w:color w:val="auto"/>
        </w:rPr>
        <w:t>2#</w:t>
      </w:r>
      <w:r>
        <w:rPr>
          <w:color w:val="auto"/>
        </w:rPr>
        <w:t>造纸车间天然气燃烧废气</w:t>
      </w:r>
      <w:r>
        <w:rPr>
          <w:rFonts w:eastAsia="Times New Roman" w:cs="Times New Roman"/>
          <w:color w:val="auto"/>
        </w:rPr>
        <w:t>202</w:t>
      </w:r>
      <w:r>
        <w:rPr>
          <w:rFonts w:hint="eastAsia" w:cs="Times New Roman" w:eastAsiaTheme="minorEastAsia"/>
          <w:color w:val="auto"/>
        </w:rPr>
        <w:t>5</w:t>
      </w:r>
      <w:r>
        <w:rPr>
          <w:color w:val="auto"/>
        </w:rPr>
        <w:t>年自行监测结果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610"/>
        <w:gridCol w:w="871"/>
        <w:gridCol w:w="873"/>
        <w:gridCol w:w="1164"/>
        <w:gridCol w:w="869"/>
        <w:gridCol w:w="1253"/>
        <w:gridCol w:w="810"/>
        <w:gridCol w:w="836"/>
      </w:tblGrid>
      <w:tr w14:paraId="61A5D9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1405" w:type="pct"/>
            <w:vMerge w:val="restart"/>
            <w:tcBorders>
              <w:left w:val="single" w:color="auto" w:sz="4" w:space="0"/>
              <w:bottom w:val="nil"/>
            </w:tcBorders>
            <w:vAlign w:val="center"/>
          </w:tcPr>
          <w:p w14:paraId="041FC5F7">
            <w:pPr>
              <w:pStyle w:val="33"/>
              <w:rPr>
                <w:b/>
                <w:bCs/>
                <w:color w:val="auto"/>
              </w:rPr>
            </w:pPr>
            <w:r>
              <w:rPr>
                <w:b/>
                <w:bCs/>
                <w:color w:val="auto"/>
              </w:rPr>
              <w:t>项目</w:t>
            </w:r>
          </w:p>
        </w:tc>
        <w:tc>
          <w:tcPr>
            <w:tcW w:w="469" w:type="pct"/>
            <w:vAlign w:val="center"/>
          </w:tcPr>
          <w:p w14:paraId="51FA3E2A">
            <w:pPr>
              <w:pStyle w:val="33"/>
              <w:rPr>
                <w:b/>
                <w:bCs/>
                <w:color w:val="auto"/>
              </w:rPr>
            </w:pPr>
            <w:r>
              <w:rPr>
                <w:rFonts w:hint="eastAsia"/>
                <w:b/>
                <w:bCs/>
                <w:color w:val="auto"/>
                <w:spacing w:val="-4"/>
              </w:rPr>
              <w:t>烟气量</w:t>
            </w:r>
          </w:p>
        </w:tc>
        <w:tc>
          <w:tcPr>
            <w:tcW w:w="1097" w:type="pct"/>
            <w:gridSpan w:val="2"/>
            <w:vAlign w:val="center"/>
          </w:tcPr>
          <w:p w14:paraId="082FBC42">
            <w:pPr>
              <w:pStyle w:val="33"/>
              <w:rPr>
                <w:b/>
                <w:bCs/>
                <w:color w:val="auto"/>
              </w:rPr>
            </w:pPr>
            <w:r>
              <w:rPr>
                <w:b/>
                <w:bCs/>
                <w:color w:val="auto"/>
              </w:rPr>
              <w:t>烟尘</w:t>
            </w:r>
          </w:p>
        </w:tc>
        <w:tc>
          <w:tcPr>
            <w:tcW w:w="1143" w:type="pct"/>
            <w:gridSpan w:val="2"/>
            <w:vAlign w:val="center"/>
          </w:tcPr>
          <w:p w14:paraId="2A55F224">
            <w:pPr>
              <w:pStyle w:val="33"/>
              <w:rPr>
                <w:b/>
                <w:bCs/>
                <w:color w:val="auto"/>
                <w:sz w:val="14"/>
                <w:szCs w:val="14"/>
              </w:rPr>
            </w:pPr>
            <w:r>
              <w:rPr>
                <w:b/>
                <w:bCs/>
                <w:color w:val="auto"/>
                <w:spacing w:val="-4"/>
              </w:rPr>
              <w:t>SO</w:t>
            </w:r>
            <w:r>
              <w:rPr>
                <w:b/>
                <w:bCs/>
                <w:color w:val="auto"/>
                <w:spacing w:val="-4"/>
                <w:position w:val="-1"/>
                <w:sz w:val="14"/>
                <w:szCs w:val="14"/>
              </w:rPr>
              <w:t>2</w:t>
            </w:r>
          </w:p>
        </w:tc>
        <w:tc>
          <w:tcPr>
            <w:tcW w:w="886" w:type="pct"/>
            <w:gridSpan w:val="2"/>
            <w:vAlign w:val="center"/>
          </w:tcPr>
          <w:p w14:paraId="3E371177">
            <w:pPr>
              <w:pStyle w:val="33"/>
              <w:rPr>
                <w:b/>
                <w:bCs/>
                <w:color w:val="auto"/>
                <w:sz w:val="14"/>
                <w:szCs w:val="14"/>
              </w:rPr>
            </w:pPr>
            <w:r>
              <w:rPr>
                <w:b/>
                <w:bCs/>
                <w:color w:val="auto"/>
                <w:spacing w:val="-1"/>
              </w:rPr>
              <w:t>NO</w:t>
            </w:r>
            <w:r>
              <w:rPr>
                <w:b/>
                <w:bCs/>
                <w:color w:val="auto"/>
                <w:spacing w:val="-1"/>
                <w:position w:val="-1"/>
                <w:sz w:val="14"/>
                <w:szCs w:val="14"/>
              </w:rPr>
              <w:t>X</w:t>
            </w:r>
          </w:p>
        </w:tc>
      </w:tr>
      <w:tr w14:paraId="17DA51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1405" w:type="pct"/>
            <w:vMerge w:val="continue"/>
            <w:tcBorders>
              <w:top w:val="nil"/>
              <w:left w:val="single" w:color="auto" w:sz="4" w:space="0"/>
            </w:tcBorders>
            <w:vAlign w:val="center"/>
          </w:tcPr>
          <w:p w14:paraId="3296B49C">
            <w:pPr>
              <w:pStyle w:val="33"/>
              <w:rPr>
                <w:b/>
                <w:bCs/>
                <w:color w:val="auto"/>
              </w:rPr>
            </w:pPr>
          </w:p>
        </w:tc>
        <w:tc>
          <w:tcPr>
            <w:tcW w:w="469" w:type="pct"/>
            <w:vAlign w:val="center"/>
          </w:tcPr>
          <w:p w14:paraId="5A9B90B9">
            <w:pPr>
              <w:pStyle w:val="33"/>
              <w:rPr>
                <w:b/>
                <w:bCs/>
                <w:color w:val="auto"/>
                <w:spacing w:val="-2"/>
              </w:rPr>
            </w:pPr>
            <w:r>
              <w:rPr>
                <w:rFonts w:hint="eastAsia"/>
                <w:b/>
                <w:bCs/>
                <w:color w:val="auto"/>
              </w:rPr>
              <w:t>m</w:t>
            </w:r>
            <w:r>
              <w:rPr>
                <w:rFonts w:hint="eastAsia"/>
                <w:b/>
                <w:bCs/>
                <w:color w:val="auto"/>
                <w:vertAlign w:val="superscript"/>
              </w:rPr>
              <w:t>3</w:t>
            </w:r>
            <w:r>
              <w:rPr>
                <w:rFonts w:hint="eastAsia"/>
                <w:b/>
                <w:bCs/>
                <w:color w:val="auto"/>
              </w:rPr>
              <w:t>/h</w:t>
            </w:r>
          </w:p>
        </w:tc>
        <w:tc>
          <w:tcPr>
            <w:tcW w:w="470" w:type="pct"/>
            <w:vAlign w:val="center"/>
          </w:tcPr>
          <w:p w14:paraId="1D0BF10F">
            <w:pPr>
              <w:pStyle w:val="33"/>
              <w:rPr>
                <w:b/>
                <w:bCs/>
                <w:color w:val="auto"/>
                <w:sz w:val="14"/>
                <w:szCs w:val="14"/>
              </w:rPr>
            </w:pPr>
            <w:r>
              <w:rPr>
                <w:b/>
                <w:bCs/>
                <w:color w:val="auto"/>
                <w:spacing w:val="-2"/>
              </w:rPr>
              <w:t>mg/m</w:t>
            </w:r>
            <w:r>
              <w:rPr>
                <w:b/>
                <w:bCs/>
                <w:color w:val="auto"/>
                <w:spacing w:val="-2"/>
                <w:position w:val="6"/>
                <w:sz w:val="14"/>
                <w:szCs w:val="14"/>
              </w:rPr>
              <w:t>3</w:t>
            </w:r>
          </w:p>
        </w:tc>
        <w:tc>
          <w:tcPr>
            <w:tcW w:w="627" w:type="pct"/>
            <w:vAlign w:val="center"/>
          </w:tcPr>
          <w:p w14:paraId="6E2B9CD8">
            <w:pPr>
              <w:pStyle w:val="33"/>
              <w:rPr>
                <w:b/>
                <w:bCs/>
                <w:color w:val="auto"/>
              </w:rPr>
            </w:pPr>
            <w:r>
              <w:rPr>
                <w:b/>
                <w:bCs/>
                <w:color w:val="auto"/>
                <w:spacing w:val="-2"/>
              </w:rPr>
              <w:t>kg/h</w:t>
            </w:r>
          </w:p>
        </w:tc>
        <w:tc>
          <w:tcPr>
            <w:tcW w:w="468" w:type="pct"/>
            <w:vAlign w:val="center"/>
          </w:tcPr>
          <w:p w14:paraId="1A2D06DA">
            <w:pPr>
              <w:pStyle w:val="33"/>
              <w:rPr>
                <w:b/>
                <w:bCs/>
                <w:color w:val="auto"/>
                <w:sz w:val="14"/>
                <w:szCs w:val="14"/>
              </w:rPr>
            </w:pPr>
            <w:r>
              <w:rPr>
                <w:b/>
                <w:bCs/>
                <w:color w:val="auto"/>
                <w:spacing w:val="-2"/>
              </w:rPr>
              <w:t>mg/m</w:t>
            </w:r>
            <w:r>
              <w:rPr>
                <w:b/>
                <w:bCs/>
                <w:color w:val="auto"/>
                <w:spacing w:val="-2"/>
                <w:position w:val="6"/>
                <w:sz w:val="14"/>
                <w:szCs w:val="14"/>
              </w:rPr>
              <w:t>3</w:t>
            </w:r>
          </w:p>
        </w:tc>
        <w:tc>
          <w:tcPr>
            <w:tcW w:w="675" w:type="pct"/>
            <w:vAlign w:val="center"/>
          </w:tcPr>
          <w:p w14:paraId="4C6CA0C0">
            <w:pPr>
              <w:pStyle w:val="33"/>
              <w:rPr>
                <w:b/>
                <w:bCs/>
                <w:color w:val="auto"/>
              </w:rPr>
            </w:pPr>
            <w:r>
              <w:rPr>
                <w:b/>
                <w:bCs/>
                <w:color w:val="auto"/>
                <w:spacing w:val="-2"/>
              </w:rPr>
              <w:t>kg/h</w:t>
            </w:r>
          </w:p>
        </w:tc>
        <w:tc>
          <w:tcPr>
            <w:tcW w:w="436" w:type="pct"/>
            <w:vAlign w:val="center"/>
          </w:tcPr>
          <w:p w14:paraId="7E5FD17E">
            <w:pPr>
              <w:pStyle w:val="33"/>
              <w:rPr>
                <w:b/>
                <w:bCs/>
                <w:color w:val="auto"/>
                <w:sz w:val="14"/>
                <w:szCs w:val="14"/>
              </w:rPr>
            </w:pPr>
            <w:r>
              <w:rPr>
                <w:b/>
                <w:bCs/>
                <w:color w:val="auto"/>
                <w:spacing w:val="-2"/>
              </w:rPr>
              <w:t>mg/m</w:t>
            </w:r>
            <w:r>
              <w:rPr>
                <w:b/>
                <w:bCs/>
                <w:color w:val="auto"/>
                <w:spacing w:val="-2"/>
                <w:position w:val="6"/>
                <w:sz w:val="14"/>
                <w:szCs w:val="14"/>
              </w:rPr>
              <w:t>3</w:t>
            </w:r>
          </w:p>
        </w:tc>
        <w:tc>
          <w:tcPr>
            <w:tcW w:w="450" w:type="pct"/>
            <w:vAlign w:val="center"/>
          </w:tcPr>
          <w:p w14:paraId="3CF4D69E">
            <w:pPr>
              <w:pStyle w:val="33"/>
              <w:rPr>
                <w:b/>
                <w:bCs/>
                <w:color w:val="auto"/>
              </w:rPr>
            </w:pPr>
            <w:r>
              <w:rPr>
                <w:b/>
                <w:bCs/>
                <w:color w:val="auto"/>
                <w:spacing w:val="-2"/>
              </w:rPr>
              <w:t>kg/h</w:t>
            </w:r>
          </w:p>
        </w:tc>
      </w:tr>
      <w:tr w14:paraId="1A44C0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2D70B1E2">
            <w:pPr>
              <w:pStyle w:val="33"/>
              <w:rPr>
                <w:color w:val="auto"/>
              </w:rPr>
            </w:pPr>
            <w:r>
              <w:rPr>
                <w:rFonts w:hint="eastAsia"/>
                <w:color w:val="auto"/>
              </w:rPr>
              <w:t>1</w:t>
            </w:r>
            <w:r>
              <w:rPr>
                <w:color w:val="auto"/>
              </w:rPr>
              <w:t>#造纸车间天然气燃烧废气排气筒1#</w:t>
            </w:r>
            <w:r>
              <w:rPr>
                <w:rFonts w:hint="eastAsia"/>
                <w:color w:val="auto"/>
              </w:rPr>
              <w:t>（DA002）</w:t>
            </w:r>
          </w:p>
        </w:tc>
        <w:tc>
          <w:tcPr>
            <w:tcW w:w="469" w:type="pct"/>
            <w:vAlign w:val="center"/>
          </w:tcPr>
          <w:p w14:paraId="5764F50E">
            <w:pPr>
              <w:pStyle w:val="33"/>
              <w:rPr>
                <w:color w:val="auto"/>
                <w:spacing w:val="-4"/>
              </w:rPr>
            </w:pPr>
            <w:r>
              <w:rPr>
                <w:rFonts w:hint="eastAsia"/>
                <w:color w:val="auto"/>
                <w:spacing w:val="-4"/>
              </w:rPr>
              <w:t>13577</w:t>
            </w:r>
          </w:p>
        </w:tc>
        <w:tc>
          <w:tcPr>
            <w:tcW w:w="470" w:type="pct"/>
            <w:vAlign w:val="center"/>
          </w:tcPr>
          <w:p w14:paraId="5719FEA3">
            <w:pPr>
              <w:pStyle w:val="33"/>
              <w:rPr>
                <w:color w:val="auto"/>
                <w:spacing w:val="-4"/>
              </w:rPr>
            </w:pPr>
            <w:r>
              <w:rPr>
                <w:rFonts w:hint="eastAsia"/>
                <w:color w:val="auto"/>
                <w:spacing w:val="-4"/>
              </w:rPr>
              <w:t>ND</w:t>
            </w:r>
          </w:p>
        </w:tc>
        <w:tc>
          <w:tcPr>
            <w:tcW w:w="627" w:type="pct"/>
            <w:vAlign w:val="center"/>
          </w:tcPr>
          <w:p w14:paraId="1B4AAA47">
            <w:pPr>
              <w:pStyle w:val="33"/>
              <w:rPr>
                <w:color w:val="auto"/>
                <w:spacing w:val="-1"/>
              </w:rPr>
            </w:pPr>
            <w:r>
              <w:rPr>
                <w:rFonts w:hint="eastAsia"/>
                <w:color w:val="auto"/>
                <w:spacing w:val="-1"/>
              </w:rPr>
              <w:t>0.02</w:t>
            </w:r>
          </w:p>
        </w:tc>
        <w:tc>
          <w:tcPr>
            <w:tcW w:w="468" w:type="pct"/>
            <w:vAlign w:val="center"/>
          </w:tcPr>
          <w:p w14:paraId="1A733153">
            <w:pPr>
              <w:pStyle w:val="33"/>
              <w:rPr>
                <w:color w:val="auto"/>
                <w:spacing w:val="1"/>
              </w:rPr>
            </w:pPr>
            <w:r>
              <w:rPr>
                <w:rFonts w:hint="eastAsia"/>
                <w:color w:val="auto"/>
                <w:spacing w:val="1"/>
              </w:rPr>
              <w:t>ND</w:t>
            </w:r>
          </w:p>
        </w:tc>
        <w:tc>
          <w:tcPr>
            <w:tcW w:w="675" w:type="pct"/>
            <w:vAlign w:val="center"/>
          </w:tcPr>
          <w:p w14:paraId="5037F439">
            <w:pPr>
              <w:pStyle w:val="33"/>
              <w:rPr>
                <w:color w:val="auto"/>
                <w:spacing w:val="-2"/>
              </w:rPr>
            </w:pPr>
            <w:r>
              <w:rPr>
                <w:rFonts w:hint="eastAsia"/>
                <w:color w:val="auto"/>
                <w:spacing w:val="-2"/>
              </w:rPr>
              <w:t>0.02</w:t>
            </w:r>
          </w:p>
        </w:tc>
        <w:tc>
          <w:tcPr>
            <w:tcW w:w="436" w:type="pct"/>
            <w:vAlign w:val="center"/>
          </w:tcPr>
          <w:p w14:paraId="0DA11BF5">
            <w:pPr>
              <w:pStyle w:val="33"/>
              <w:rPr>
                <w:color w:val="auto"/>
              </w:rPr>
            </w:pPr>
            <w:r>
              <w:rPr>
                <w:rFonts w:hint="eastAsia"/>
                <w:color w:val="auto"/>
              </w:rPr>
              <w:t>27</w:t>
            </w:r>
          </w:p>
        </w:tc>
        <w:tc>
          <w:tcPr>
            <w:tcW w:w="450" w:type="pct"/>
            <w:vAlign w:val="center"/>
          </w:tcPr>
          <w:p w14:paraId="78BA3308">
            <w:pPr>
              <w:pStyle w:val="33"/>
              <w:rPr>
                <w:color w:val="auto"/>
                <w:spacing w:val="-1"/>
              </w:rPr>
            </w:pPr>
            <w:r>
              <w:rPr>
                <w:rFonts w:hint="eastAsia"/>
                <w:color w:val="auto"/>
              </w:rPr>
              <w:t>0.37</w:t>
            </w:r>
          </w:p>
        </w:tc>
      </w:tr>
      <w:tr w14:paraId="085F98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5A98EADA">
            <w:pPr>
              <w:pStyle w:val="33"/>
              <w:rPr>
                <w:color w:val="auto"/>
              </w:rPr>
            </w:pPr>
            <w:r>
              <w:rPr>
                <w:rFonts w:hint="eastAsia"/>
                <w:color w:val="auto"/>
              </w:rPr>
              <w:t>1</w:t>
            </w:r>
            <w:r>
              <w:rPr>
                <w:color w:val="auto"/>
              </w:rPr>
              <w:t>#造纸车间天然气燃烧废气排气筒2#</w:t>
            </w:r>
            <w:r>
              <w:rPr>
                <w:rFonts w:hint="eastAsia"/>
                <w:color w:val="auto"/>
              </w:rPr>
              <w:t>（DA003）</w:t>
            </w:r>
          </w:p>
        </w:tc>
        <w:tc>
          <w:tcPr>
            <w:tcW w:w="469" w:type="pct"/>
            <w:vAlign w:val="center"/>
          </w:tcPr>
          <w:p w14:paraId="37768191">
            <w:pPr>
              <w:pStyle w:val="33"/>
              <w:rPr>
                <w:color w:val="auto"/>
                <w:spacing w:val="-4"/>
              </w:rPr>
            </w:pPr>
            <w:r>
              <w:rPr>
                <w:rFonts w:hint="eastAsia"/>
                <w:color w:val="auto"/>
                <w:spacing w:val="-4"/>
              </w:rPr>
              <w:t>11435</w:t>
            </w:r>
          </w:p>
        </w:tc>
        <w:tc>
          <w:tcPr>
            <w:tcW w:w="470" w:type="pct"/>
            <w:vAlign w:val="center"/>
          </w:tcPr>
          <w:p w14:paraId="58555F62">
            <w:pPr>
              <w:pStyle w:val="33"/>
              <w:rPr>
                <w:color w:val="auto"/>
                <w:spacing w:val="-4"/>
              </w:rPr>
            </w:pPr>
            <w:r>
              <w:rPr>
                <w:rFonts w:hint="eastAsia"/>
                <w:color w:val="auto"/>
                <w:spacing w:val="-4"/>
              </w:rPr>
              <w:t>ND</w:t>
            </w:r>
          </w:p>
        </w:tc>
        <w:tc>
          <w:tcPr>
            <w:tcW w:w="627" w:type="pct"/>
            <w:vAlign w:val="center"/>
          </w:tcPr>
          <w:p w14:paraId="5E3905EC">
            <w:pPr>
              <w:pStyle w:val="33"/>
              <w:rPr>
                <w:color w:val="auto"/>
                <w:spacing w:val="-1"/>
              </w:rPr>
            </w:pPr>
            <w:r>
              <w:rPr>
                <w:rFonts w:hint="eastAsia"/>
                <w:color w:val="auto"/>
                <w:spacing w:val="-1"/>
              </w:rPr>
              <w:t>0.02</w:t>
            </w:r>
          </w:p>
        </w:tc>
        <w:tc>
          <w:tcPr>
            <w:tcW w:w="468" w:type="pct"/>
            <w:vAlign w:val="center"/>
          </w:tcPr>
          <w:p w14:paraId="4CA507F9">
            <w:pPr>
              <w:pStyle w:val="33"/>
              <w:rPr>
                <w:color w:val="auto"/>
                <w:spacing w:val="1"/>
              </w:rPr>
            </w:pPr>
            <w:r>
              <w:rPr>
                <w:rFonts w:hint="eastAsia"/>
                <w:color w:val="auto"/>
                <w:spacing w:val="1"/>
              </w:rPr>
              <w:t>ND</w:t>
            </w:r>
          </w:p>
        </w:tc>
        <w:tc>
          <w:tcPr>
            <w:tcW w:w="675" w:type="pct"/>
            <w:vAlign w:val="center"/>
          </w:tcPr>
          <w:p w14:paraId="722FC21B">
            <w:pPr>
              <w:pStyle w:val="33"/>
              <w:rPr>
                <w:color w:val="auto"/>
                <w:spacing w:val="-2"/>
              </w:rPr>
            </w:pPr>
            <w:r>
              <w:rPr>
                <w:rFonts w:hint="eastAsia"/>
                <w:color w:val="auto"/>
                <w:spacing w:val="-2"/>
              </w:rPr>
              <w:t>0.02</w:t>
            </w:r>
          </w:p>
        </w:tc>
        <w:tc>
          <w:tcPr>
            <w:tcW w:w="436" w:type="pct"/>
            <w:vAlign w:val="center"/>
          </w:tcPr>
          <w:p w14:paraId="2D36802B">
            <w:pPr>
              <w:pStyle w:val="33"/>
              <w:rPr>
                <w:color w:val="auto"/>
              </w:rPr>
            </w:pPr>
            <w:r>
              <w:rPr>
                <w:rFonts w:hint="eastAsia"/>
                <w:color w:val="auto"/>
              </w:rPr>
              <w:t>29</w:t>
            </w:r>
          </w:p>
        </w:tc>
        <w:tc>
          <w:tcPr>
            <w:tcW w:w="450" w:type="pct"/>
            <w:vAlign w:val="center"/>
          </w:tcPr>
          <w:p w14:paraId="1EDFBCED">
            <w:pPr>
              <w:pStyle w:val="33"/>
              <w:rPr>
                <w:color w:val="auto"/>
                <w:spacing w:val="-1"/>
              </w:rPr>
            </w:pPr>
            <w:r>
              <w:rPr>
                <w:rFonts w:hint="eastAsia"/>
                <w:color w:val="auto"/>
              </w:rPr>
              <w:t>0.31</w:t>
            </w:r>
          </w:p>
        </w:tc>
      </w:tr>
      <w:tr w14:paraId="48DDFD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1405" w:type="pct"/>
            <w:tcBorders>
              <w:left w:val="single" w:color="auto" w:sz="4" w:space="0"/>
            </w:tcBorders>
            <w:vAlign w:val="center"/>
          </w:tcPr>
          <w:p w14:paraId="566F2BBC">
            <w:pPr>
              <w:pStyle w:val="33"/>
              <w:rPr>
                <w:color w:val="auto"/>
              </w:rPr>
            </w:pPr>
            <w:r>
              <w:rPr>
                <w:rFonts w:hint="eastAsia"/>
                <w:color w:val="auto"/>
              </w:rPr>
              <w:t>1</w:t>
            </w:r>
            <w:r>
              <w:rPr>
                <w:color w:val="auto"/>
              </w:rPr>
              <w:t>#造纸车间天然气燃烧废气排气筒3#</w:t>
            </w:r>
            <w:r>
              <w:rPr>
                <w:rFonts w:hint="eastAsia"/>
                <w:color w:val="auto"/>
              </w:rPr>
              <w:t>（DA004）</w:t>
            </w:r>
          </w:p>
        </w:tc>
        <w:tc>
          <w:tcPr>
            <w:tcW w:w="469" w:type="pct"/>
            <w:vAlign w:val="center"/>
          </w:tcPr>
          <w:p w14:paraId="01ED9D92">
            <w:pPr>
              <w:pStyle w:val="33"/>
              <w:rPr>
                <w:color w:val="auto"/>
                <w:spacing w:val="-4"/>
              </w:rPr>
            </w:pPr>
            <w:r>
              <w:rPr>
                <w:rFonts w:hint="eastAsia"/>
                <w:color w:val="auto"/>
                <w:spacing w:val="-4"/>
              </w:rPr>
              <w:t>11532</w:t>
            </w:r>
          </w:p>
        </w:tc>
        <w:tc>
          <w:tcPr>
            <w:tcW w:w="470" w:type="pct"/>
            <w:vAlign w:val="center"/>
          </w:tcPr>
          <w:p w14:paraId="13C2AE74">
            <w:pPr>
              <w:pStyle w:val="33"/>
              <w:rPr>
                <w:color w:val="auto"/>
                <w:spacing w:val="-4"/>
              </w:rPr>
            </w:pPr>
            <w:r>
              <w:rPr>
                <w:rFonts w:hint="eastAsia"/>
                <w:color w:val="auto"/>
                <w:spacing w:val="-4"/>
              </w:rPr>
              <w:t>ND</w:t>
            </w:r>
          </w:p>
        </w:tc>
        <w:tc>
          <w:tcPr>
            <w:tcW w:w="627" w:type="pct"/>
            <w:vAlign w:val="center"/>
          </w:tcPr>
          <w:p w14:paraId="2EAB4567">
            <w:pPr>
              <w:pStyle w:val="33"/>
              <w:rPr>
                <w:color w:val="auto"/>
                <w:spacing w:val="-1"/>
              </w:rPr>
            </w:pPr>
            <w:r>
              <w:rPr>
                <w:rFonts w:hint="eastAsia"/>
                <w:color w:val="auto"/>
                <w:spacing w:val="-1"/>
              </w:rPr>
              <w:t>0.02</w:t>
            </w:r>
          </w:p>
        </w:tc>
        <w:tc>
          <w:tcPr>
            <w:tcW w:w="468" w:type="pct"/>
            <w:vAlign w:val="center"/>
          </w:tcPr>
          <w:p w14:paraId="7B923FCE">
            <w:pPr>
              <w:pStyle w:val="33"/>
              <w:rPr>
                <w:color w:val="auto"/>
                <w:spacing w:val="1"/>
              </w:rPr>
            </w:pPr>
            <w:r>
              <w:rPr>
                <w:rFonts w:hint="eastAsia"/>
                <w:color w:val="auto"/>
                <w:spacing w:val="1"/>
              </w:rPr>
              <w:t>ND</w:t>
            </w:r>
          </w:p>
        </w:tc>
        <w:tc>
          <w:tcPr>
            <w:tcW w:w="675" w:type="pct"/>
            <w:vAlign w:val="center"/>
          </w:tcPr>
          <w:p w14:paraId="34A6B54D">
            <w:pPr>
              <w:pStyle w:val="33"/>
              <w:rPr>
                <w:color w:val="auto"/>
                <w:spacing w:val="-2"/>
              </w:rPr>
            </w:pPr>
            <w:r>
              <w:rPr>
                <w:rFonts w:hint="eastAsia"/>
                <w:color w:val="auto"/>
                <w:spacing w:val="-2"/>
              </w:rPr>
              <w:t>0.02</w:t>
            </w:r>
          </w:p>
        </w:tc>
        <w:tc>
          <w:tcPr>
            <w:tcW w:w="436" w:type="pct"/>
            <w:vAlign w:val="center"/>
          </w:tcPr>
          <w:p w14:paraId="7A86215D">
            <w:pPr>
              <w:pStyle w:val="33"/>
              <w:rPr>
                <w:color w:val="auto"/>
              </w:rPr>
            </w:pPr>
            <w:r>
              <w:rPr>
                <w:rFonts w:hint="eastAsia"/>
                <w:color w:val="auto"/>
              </w:rPr>
              <w:t>27</w:t>
            </w:r>
          </w:p>
        </w:tc>
        <w:tc>
          <w:tcPr>
            <w:tcW w:w="450" w:type="pct"/>
            <w:vAlign w:val="center"/>
          </w:tcPr>
          <w:p w14:paraId="06BAD730">
            <w:pPr>
              <w:pStyle w:val="33"/>
              <w:rPr>
                <w:color w:val="auto"/>
                <w:spacing w:val="-1"/>
              </w:rPr>
            </w:pPr>
            <w:r>
              <w:rPr>
                <w:rFonts w:hint="eastAsia"/>
                <w:color w:val="auto"/>
              </w:rPr>
              <w:t>0.33</w:t>
            </w:r>
          </w:p>
        </w:tc>
      </w:tr>
      <w:tr w14:paraId="101C78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07480A57">
            <w:pPr>
              <w:pStyle w:val="33"/>
              <w:rPr>
                <w:color w:val="auto"/>
              </w:rPr>
            </w:pPr>
            <w:r>
              <w:rPr>
                <w:rFonts w:hint="eastAsia"/>
                <w:color w:val="auto"/>
              </w:rPr>
              <w:t>1</w:t>
            </w:r>
            <w:r>
              <w:rPr>
                <w:color w:val="auto"/>
              </w:rPr>
              <w:t>#造纸车间天然气燃烧废气排气筒4#</w:t>
            </w:r>
            <w:r>
              <w:rPr>
                <w:rFonts w:hint="eastAsia"/>
                <w:color w:val="auto"/>
              </w:rPr>
              <w:t>（DA005）</w:t>
            </w:r>
          </w:p>
        </w:tc>
        <w:tc>
          <w:tcPr>
            <w:tcW w:w="469" w:type="pct"/>
            <w:vAlign w:val="center"/>
          </w:tcPr>
          <w:p w14:paraId="71C15989">
            <w:pPr>
              <w:pStyle w:val="33"/>
              <w:rPr>
                <w:color w:val="auto"/>
                <w:spacing w:val="-4"/>
              </w:rPr>
            </w:pPr>
            <w:r>
              <w:rPr>
                <w:rFonts w:hint="eastAsia"/>
                <w:color w:val="auto"/>
                <w:spacing w:val="-4"/>
              </w:rPr>
              <w:t>12168</w:t>
            </w:r>
          </w:p>
        </w:tc>
        <w:tc>
          <w:tcPr>
            <w:tcW w:w="470" w:type="pct"/>
            <w:vAlign w:val="center"/>
          </w:tcPr>
          <w:p w14:paraId="2194C3DF">
            <w:pPr>
              <w:pStyle w:val="33"/>
              <w:rPr>
                <w:color w:val="auto"/>
                <w:spacing w:val="-4"/>
              </w:rPr>
            </w:pPr>
            <w:r>
              <w:rPr>
                <w:rFonts w:hint="eastAsia"/>
                <w:color w:val="auto"/>
                <w:spacing w:val="-4"/>
              </w:rPr>
              <w:t>ND</w:t>
            </w:r>
          </w:p>
        </w:tc>
        <w:tc>
          <w:tcPr>
            <w:tcW w:w="627" w:type="pct"/>
            <w:vAlign w:val="center"/>
          </w:tcPr>
          <w:p w14:paraId="632B1974">
            <w:pPr>
              <w:pStyle w:val="33"/>
              <w:rPr>
                <w:color w:val="auto"/>
                <w:spacing w:val="-1"/>
              </w:rPr>
            </w:pPr>
            <w:r>
              <w:rPr>
                <w:rFonts w:hint="eastAsia"/>
                <w:color w:val="auto"/>
                <w:spacing w:val="-1"/>
              </w:rPr>
              <w:t>0.02</w:t>
            </w:r>
          </w:p>
        </w:tc>
        <w:tc>
          <w:tcPr>
            <w:tcW w:w="468" w:type="pct"/>
            <w:vAlign w:val="center"/>
          </w:tcPr>
          <w:p w14:paraId="077C5002">
            <w:pPr>
              <w:pStyle w:val="33"/>
              <w:rPr>
                <w:color w:val="auto"/>
                <w:spacing w:val="1"/>
              </w:rPr>
            </w:pPr>
            <w:r>
              <w:rPr>
                <w:rFonts w:hint="eastAsia"/>
                <w:color w:val="auto"/>
                <w:spacing w:val="1"/>
              </w:rPr>
              <w:t>ND</w:t>
            </w:r>
          </w:p>
        </w:tc>
        <w:tc>
          <w:tcPr>
            <w:tcW w:w="675" w:type="pct"/>
            <w:vAlign w:val="center"/>
          </w:tcPr>
          <w:p w14:paraId="47162089">
            <w:pPr>
              <w:pStyle w:val="33"/>
              <w:rPr>
                <w:color w:val="auto"/>
                <w:spacing w:val="-2"/>
              </w:rPr>
            </w:pPr>
            <w:r>
              <w:rPr>
                <w:rFonts w:hint="eastAsia"/>
                <w:color w:val="auto"/>
                <w:spacing w:val="-2"/>
              </w:rPr>
              <w:t>0.02</w:t>
            </w:r>
          </w:p>
        </w:tc>
        <w:tc>
          <w:tcPr>
            <w:tcW w:w="436" w:type="pct"/>
            <w:vAlign w:val="center"/>
          </w:tcPr>
          <w:p w14:paraId="36EB105F">
            <w:pPr>
              <w:pStyle w:val="33"/>
              <w:rPr>
                <w:color w:val="auto"/>
              </w:rPr>
            </w:pPr>
            <w:r>
              <w:rPr>
                <w:rFonts w:hint="eastAsia"/>
                <w:color w:val="auto"/>
              </w:rPr>
              <w:t>33</w:t>
            </w:r>
          </w:p>
        </w:tc>
        <w:tc>
          <w:tcPr>
            <w:tcW w:w="450" w:type="pct"/>
            <w:vAlign w:val="center"/>
          </w:tcPr>
          <w:p w14:paraId="72DFD5DD">
            <w:pPr>
              <w:pStyle w:val="33"/>
              <w:rPr>
                <w:color w:val="auto"/>
                <w:spacing w:val="-1"/>
              </w:rPr>
            </w:pPr>
            <w:r>
              <w:rPr>
                <w:rFonts w:hint="eastAsia"/>
                <w:color w:val="auto"/>
              </w:rPr>
              <w:t>0.4</w:t>
            </w:r>
          </w:p>
        </w:tc>
      </w:tr>
      <w:tr w14:paraId="7AB655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2F53DBBE">
            <w:pPr>
              <w:pStyle w:val="33"/>
              <w:rPr>
                <w:color w:val="auto"/>
              </w:rPr>
            </w:pPr>
            <w:r>
              <w:rPr>
                <w:rFonts w:hint="eastAsia"/>
                <w:color w:val="auto"/>
              </w:rPr>
              <w:t>1</w:t>
            </w:r>
            <w:r>
              <w:rPr>
                <w:color w:val="auto"/>
              </w:rPr>
              <w:t>#造纸车间天然气燃烧废气排气筒</w:t>
            </w:r>
            <w:r>
              <w:rPr>
                <w:rFonts w:hint="eastAsia"/>
                <w:color w:val="auto"/>
              </w:rPr>
              <w:t>5</w:t>
            </w:r>
            <w:r>
              <w:rPr>
                <w:color w:val="auto"/>
              </w:rPr>
              <w:t>#</w:t>
            </w:r>
            <w:r>
              <w:rPr>
                <w:rFonts w:hint="eastAsia"/>
                <w:color w:val="auto"/>
              </w:rPr>
              <w:t>（DA018）</w:t>
            </w:r>
          </w:p>
        </w:tc>
        <w:tc>
          <w:tcPr>
            <w:tcW w:w="469" w:type="pct"/>
            <w:vAlign w:val="center"/>
          </w:tcPr>
          <w:p w14:paraId="3F21DE7E">
            <w:pPr>
              <w:pStyle w:val="33"/>
              <w:rPr>
                <w:color w:val="auto"/>
                <w:spacing w:val="-4"/>
              </w:rPr>
            </w:pPr>
            <w:r>
              <w:rPr>
                <w:rFonts w:hint="eastAsia"/>
                <w:color w:val="auto"/>
                <w:spacing w:val="-4"/>
              </w:rPr>
              <w:t>9727</w:t>
            </w:r>
          </w:p>
        </w:tc>
        <w:tc>
          <w:tcPr>
            <w:tcW w:w="470" w:type="pct"/>
            <w:vAlign w:val="center"/>
          </w:tcPr>
          <w:p w14:paraId="116152C8">
            <w:pPr>
              <w:pStyle w:val="33"/>
              <w:rPr>
                <w:color w:val="auto"/>
                <w:spacing w:val="-4"/>
              </w:rPr>
            </w:pPr>
            <w:r>
              <w:rPr>
                <w:rFonts w:hint="eastAsia"/>
                <w:color w:val="auto"/>
                <w:spacing w:val="-4"/>
              </w:rPr>
              <w:t>ND</w:t>
            </w:r>
          </w:p>
        </w:tc>
        <w:tc>
          <w:tcPr>
            <w:tcW w:w="627" w:type="pct"/>
            <w:vAlign w:val="center"/>
          </w:tcPr>
          <w:p w14:paraId="5DB16F50">
            <w:pPr>
              <w:pStyle w:val="33"/>
              <w:rPr>
                <w:color w:val="auto"/>
                <w:spacing w:val="-1"/>
              </w:rPr>
            </w:pPr>
            <w:r>
              <w:rPr>
                <w:rFonts w:hint="eastAsia"/>
                <w:color w:val="auto"/>
                <w:spacing w:val="-1"/>
              </w:rPr>
              <w:t>0.02</w:t>
            </w:r>
          </w:p>
        </w:tc>
        <w:tc>
          <w:tcPr>
            <w:tcW w:w="468" w:type="pct"/>
            <w:vAlign w:val="center"/>
          </w:tcPr>
          <w:p w14:paraId="7B0833CA">
            <w:pPr>
              <w:pStyle w:val="33"/>
              <w:rPr>
                <w:color w:val="auto"/>
                <w:spacing w:val="1"/>
              </w:rPr>
            </w:pPr>
            <w:r>
              <w:rPr>
                <w:rFonts w:hint="eastAsia"/>
                <w:color w:val="auto"/>
                <w:spacing w:val="1"/>
              </w:rPr>
              <w:t>ND</w:t>
            </w:r>
          </w:p>
        </w:tc>
        <w:tc>
          <w:tcPr>
            <w:tcW w:w="675" w:type="pct"/>
            <w:vAlign w:val="center"/>
          </w:tcPr>
          <w:p w14:paraId="04B7C386">
            <w:pPr>
              <w:pStyle w:val="33"/>
              <w:rPr>
                <w:color w:val="auto"/>
                <w:spacing w:val="-2"/>
              </w:rPr>
            </w:pPr>
            <w:r>
              <w:rPr>
                <w:rFonts w:hint="eastAsia"/>
                <w:color w:val="auto"/>
                <w:spacing w:val="-2"/>
              </w:rPr>
              <w:t>0.02</w:t>
            </w:r>
          </w:p>
        </w:tc>
        <w:tc>
          <w:tcPr>
            <w:tcW w:w="436" w:type="pct"/>
            <w:vAlign w:val="center"/>
          </w:tcPr>
          <w:p w14:paraId="18D497F7">
            <w:pPr>
              <w:pStyle w:val="33"/>
              <w:rPr>
                <w:color w:val="auto"/>
              </w:rPr>
            </w:pPr>
            <w:r>
              <w:rPr>
                <w:rFonts w:hint="eastAsia"/>
                <w:color w:val="auto"/>
              </w:rPr>
              <w:t>19</w:t>
            </w:r>
          </w:p>
        </w:tc>
        <w:tc>
          <w:tcPr>
            <w:tcW w:w="450" w:type="pct"/>
            <w:vAlign w:val="center"/>
          </w:tcPr>
          <w:p w14:paraId="2ED69F9F">
            <w:pPr>
              <w:pStyle w:val="33"/>
              <w:rPr>
                <w:color w:val="auto"/>
                <w:spacing w:val="-1"/>
              </w:rPr>
            </w:pPr>
            <w:r>
              <w:rPr>
                <w:rFonts w:hint="eastAsia"/>
                <w:color w:val="auto"/>
              </w:rPr>
              <w:t>0.19</w:t>
            </w:r>
          </w:p>
        </w:tc>
      </w:tr>
      <w:tr w14:paraId="436A29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400583EB">
            <w:pPr>
              <w:pStyle w:val="33"/>
              <w:rPr>
                <w:color w:val="auto"/>
                <w:spacing w:val="-6"/>
              </w:rPr>
            </w:pPr>
            <w:r>
              <w:rPr>
                <w:color w:val="auto"/>
              </w:rPr>
              <w:t>《大气污染物综合排放标准》（GB16297-1996）</w:t>
            </w:r>
          </w:p>
        </w:tc>
        <w:tc>
          <w:tcPr>
            <w:tcW w:w="470" w:type="pct"/>
            <w:vAlign w:val="center"/>
          </w:tcPr>
          <w:p w14:paraId="2EA292EF">
            <w:pPr>
              <w:pStyle w:val="33"/>
              <w:rPr>
                <w:color w:val="auto"/>
                <w:spacing w:val="-4"/>
              </w:rPr>
            </w:pPr>
            <w:r>
              <w:rPr>
                <w:color w:val="auto"/>
                <w:spacing w:val="-6"/>
              </w:rPr>
              <w:t>120</w:t>
            </w:r>
          </w:p>
        </w:tc>
        <w:tc>
          <w:tcPr>
            <w:tcW w:w="627" w:type="pct"/>
            <w:vAlign w:val="center"/>
          </w:tcPr>
          <w:p w14:paraId="2DEB9605">
            <w:pPr>
              <w:pStyle w:val="33"/>
              <w:rPr>
                <w:color w:val="auto"/>
                <w:spacing w:val="-1"/>
              </w:rPr>
            </w:pPr>
            <w:r>
              <w:rPr>
                <w:rFonts w:hint="eastAsia"/>
                <w:color w:val="auto"/>
                <w:spacing w:val="-2"/>
              </w:rPr>
              <w:t>23</w:t>
            </w:r>
          </w:p>
        </w:tc>
        <w:tc>
          <w:tcPr>
            <w:tcW w:w="468" w:type="pct"/>
            <w:vAlign w:val="center"/>
          </w:tcPr>
          <w:p w14:paraId="41E70453">
            <w:pPr>
              <w:pStyle w:val="33"/>
              <w:rPr>
                <w:color w:val="auto"/>
                <w:spacing w:val="1"/>
              </w:rPr>
            </w:pPr>
            <w:r>
              <w:rPr>
                <w:color w:val="auto"/>
                <w:spacing w:val="-3"/>
              </w:rPr>
              <w:t>550</w:t>
            </w:r>
          </w:p>
        </w:tc>
        <w:tc>
          <w:tcPr>
            <w:tcW w:w="675" w:type="pct"/>
            <w:vAlign w:val="center"/>
          </w:tcPr>
          <w:p w14:paraId="569DBB11">
            <w:pPr>
              <w:pStyle w:val="33"/>
              <w:rPr>
                <w:color w:val="auto"/>
                <w:spacing w:val="-2"/>
              </w:rPr>
            </w:pPr>
            <w:r>
              <w:rPr>
                <w:rFonts w:hint="eastAsia"/>
                <w:color w:val="auto"/>
                <w:spacing w:val="-3"/>
              </w:rPr>
              <w:t>15</w:t>
            </w:r>
          </w:p>
        </w:tc>
        <w:tc>
          <w:tcPr>
            <w:tcW w:w="436" w:type="pct"/>
            <w:vAlign w:val="center"/>
          </w:tcPr>
          <w:p w14:paraId="7C1E6FFC">
            <w:pPr>
              <w:pStyle w:val="33"/>
              <w:rPr>
                <w:color w:val="auto"/>
              </w:rPr>
            </w:pPr>
            <w:r>
              <w:rPr>
                <w:color w:val="auto"/>
                <w:spacing w:val="-1"/>
              </w:rPr>
              <w:t>240</w:t>
            </w:r>
          </w:p>
        </w:tc>
        <w:tc>
          <w:tcPr>
            <w:tcW w:w="450" w:type="pct"/>
            <w:vAlign w:val="center"/>
          </w:tcPr>
          <w:p w14:paraId="36BB1D92">
            <w:pPr>
              <w:pStyle w:val="33"/>
              <w:rPr>
                <w:color w:val="auto"/>
              </w:rPr>
            </w:pPr>
            <w:r>
              <w:rPr>
                <w:rFonts w:hint="eastAsia"/>
                <w:color w:val="auto"/>
                <w:spacing w:val="-6"/>
              </w:rPr>
              <w:t>4.4</w:t>
            </w:r>
          </w:p>
        </w:tc>
      </w:tr>
      <w:tr w14:paraId="13A2BF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5AD28D6A">
            <w:pPr>
              <w:pStyle w:val="33"/>
              <w:rPr>
                <w:color w:val="auto"/>
                <w:spacing w:val="-2"/>
              </w:rPr>
            </w:pPr>
            <w:r>
              <w:rPr>
                <w:color w:val="auto"/>
                <w:spacing w:val="-2"/>
              </w:rPr>
              <w:t>达标情况</w:t>
            </w:r>
          </w:p>
        </w:tc>
        <w:tc>
          <w:tcPr>
            <w:tcW w:w="470" w:type="pct"/>
            <w:vAlign w:val="center"/>
          </w:tcPr>
          <w:p w14:paraId="5A880395">
            <w:pPr>
              <w:pStyle w:val="33"/>
              <w:rPr>
                <w:color w:val="auto"/>
                <w:spacing w:val="-4"/>
              </w:rPr>
            </w:pPr>
            <w:r>
              <w:rPr>
                <w:color w:val="auto"/>
                <w:spacing w:val="-2"/>
              </w:rPr>
              <w:t>达标</w:t>
            </w:r>
          </w:p>
        </w:tc>
        <w:tc>
          <w:tcPr>
            <w:tcW w:w="627" w:type="pct"/>
            <w:vAlign w:val="center"/>
          </w:tcPr>
          <w:p w14:paraId="2EFE506F">
            <w:pPr>
              <w:pStyle w:val="33"/>
              <w:rPr>
                <w:color w:val="auto"/>
                <w:spacing w:val="-1"/>
              </w:rPr>
            </w:pPr>
            <w:r>
              <w:rPr>
                <w:color w:val="auto"/>
                <w:spacing w:val="-2"/>
              </w:rPr>
              <w:t>达标</w:t>
            </w:r>
          </w:p>
        </w:tc>
        <w:tc>
          <w:tcPr>
            <w:tcW w:w="468" w:type="pct"/>
            <w:vAlign w:val="center"/>
          </w:tcPr>
          <w:p w14:paraId="6D607BFA">
            <w:pPr>
              <w:pStyle w:val="33"/>
              <w:rPr>
                <w:color w:val="auto"/>
                <w:spacing w:val="1"/>
              </w:rPr>
            </w:pPr>
            <w:r>
              <w:rPr>
                <w:color w:val="auto"/>
                <w:spacing w:val="-2"/>
              </w:rPr>
              <w:t>达标</w:t>
            </w:r>
          </w:p>
        </w:tc>
        <w:tc>
          <w:tcPr>
            <w:tcW w:w="675" w:type="pct"/>
            <w:vAlign w:val="center"/>
          </w:tcPr>
          <w:p w14:paraId="298114DE">
            <w:pPr>
              <w:pStyle w:val="33"/>
              <w:rPr>
                <w:color w:val="auto"/>
                <w:spacing w:val="-2"/>
              </w:rPr>
            </w:pPr>
            <w:r>
              <w:rPr>
                <w:color w:val="auto"/>
                <w:spacing w:val="-2"/>
              </w:rPr>
              <w:t>达标</w:t>
            </w:r>
          </w:p>
        </w:tc>
        <w:tc>
          <w:tcPr>
            <w:tcW w:w="436" w:type="pct"/>
            <w:vAlign w:val="center"/>
          </w:tcPr>
          <w:p w14:paraId="580A439E">
            <w:pPr>
              <w:pStyle w:val="33"/>
              <w:rPr>
                <w:color w:val="auto"/>
              </w:rPr>
            </w:pPr>
            <w:r>
              <w:rPr>
                <w:color w:val="auto"/>
                <w:spacing w:val="-2"/>
              </w:rPr>
              <w:t>达标</w:t>
            </w:r>
          </w:p>
        </w:tc>
        <w:tc>
          <w:tcPr>
            <w:tcW w:w="450" w:type="pct"/>
            <w:vAlign w:val="center"/>
          </w:tcPr>
          <w:p w14:paraId="1CD0DC5E">
            <w:pPr>
              <w:pStyle w:val="33"/>
              <w:rPr>
                <w:color w:val="auto"/>
              </w:rPr>
            </w:pPr>
            <w:r>
              <w:rPr>
                <w:color w:val="auto"/>
                <w:spacing w:val="-2"/>
              </w:rPr>
              <w:t>达标</w:t>
            </w:r>
          </w:p>
        </w:tc>
      </w:tr>
      <w:tr w14:paraId="2C76A7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6588BC80">
            <w:pPr>
              <w:pStyle w:val="33"/>
              <w:rPr>
                <w:color w:val="auto"/>
              </w:rPr>
            </w:pPr>
            <w:r>
              <w:rPr>
                <w:color w:val="auto"/>
              </w:rPr>
              <w:t>2#造纸车间天然气燃烧废气排气筒1#</w:t>
            </w:r>
            <w:r>
              <w:rPr>
                <w:rFonts w:hint="eastAsia"/>
                <w:color w:val="auto"/>
              </w:rPr>
              <w:t>（DA014）</w:t>
            </w:r>
          </w:p>
        </w:tc>
        <w:tc>
          <w:tcPr>
            <w:tcW w:w="469" w:type="pct"/>
            <w:vAlign w:val="center"/>
          </w:tcPr>
          <w:p w14:paraId="49B465B9">
            <w:pPr>
              <w:pStyle w:val="33"/>
              <w:rPr>
                <w:color w:val="auto"/>
              </w:rPr>
            </w:pPr>
            <w:r>
              <w:rPr>
                <w:rFonts w:hint="eastAsia"/>
                <w:color w:val="auto"/>
              </w:rPr>
              <w:t>15553</w:t>
            </w:r>
          </w:p>
        </w:tc>
        <w:tc>
          <w:tcPr>
            <w:tcW w:w="470" w:type="pct"/>
            <w:vAlign w:val="center"/>
          </w:tcPr>
          <w:p w14:paraId="28AF4147">
            <w:pPr>
              <w:pStyle w:val="33"/>
              <w:rPr>
                <w:color w:val="auto"/>
              </w:rPr>
            </w:pPr>
            <w:r>
              <w:rPr>
                <w:rFonts w:hint="eastAsia"/>
                <w:color w:val="auto"/>
              </w:rPr>
              <w:t>ND</w:t>
            </w:r>
          </w:p>
        </w:tc>
        <w:tc>
          <w:tcPr>
            <w:tcW w:w="627" w:type="pct"/>
            <w:vAlign w:val="center"/>
          </w:tcPr>
          <w:p w14:paraId="6667F6D0">
            <w:pPr>
              <w:pStyle w:val="33"/>
              <w:rPr>
                <w:color w:val="auto"/>
              </w:rPr>
            </w:pPr>
            <w:r>
              <w:rPr>
                <w:rFonts w:hint="eastAsia"/>
                <w:color w:val="auto"/>
              </w:rPr>
              <w:t>0.02</w:t>
            </w:r>
          </w:p>
        </w:tc>
        <w:tc>
          <w:tcPr>
            <w:tcW w:w="468" w:type="pct"/>
            <w:vAlign w:val="center"/>
          </w:tcPr>
          <w:p w14:paraId="3D748857">
            <w:pPr>
              <w:pStyle w:val="33"/>
              <w:rPr>
                <w:color w:val="auto"/>
              </w:rPr>
            </w:pPr>
            <w:r>
              <w:rPr>
                <w:rFonts w:hint="eastAsia"/>
                <w:color w:val="auto"/>
              </w:rPr>
              <w:t>ND</w:t>
            </w:r>
          </w:p>
        </w:tc>
        <w:tc>
          <w:tcPr>
            <w:tcW w:w="675" w:type="pct"/>
            <w:vAlign w:val="center"/>
          </w:tcPr>
          <w:p w14:paraId="3A9F5855">
            <w:pPr>
              <w:pStyle w:val="33"/>
              <w:rPr>
                <w:color w:val="auto"/>
              </w:rPr>
            </w:pPr>
            <w:r>
              <w:rPr>
                <w:rFonts w:hint="eastAsia"/>
                <w:color w:val="auto"/>
              </w:rPr>
              <w:t>0.02</w:t>
            </w:r>
          </w:p>
        </w:tc>
        <w:tc>
          <w:tcPr>
            <w:tcW w:w="436" w:type="pct"/>
            <w:vAlign w:val="center"/>
          </w:tcPr>
          <w:p w14:paraId="0E0C8FD8">
            <w:pPr>
              <w:pStyle w:val="33"/>
              <w:rPr>
                <w:color w:val="auto"/>
              </w:rPr>
            </w:pPr>
            <w:r>
              <w:rPr>
                <w:rFonts w:hint="eastAsia"/>
                <w:color w:val="auto"/>
              </w:rPr>
              <w:t>28</w:t>
            </w:r>
          </w:p>
        </w:tc>
        <w:tc>
          <w:tcPr>
            <w:tcW w:w="450" w:type="pct"/>
            <w:vAlign w:val="center"/>
          </w:tcPr>
          <w:p w14:paraId="12F71894">
            <w:pPr>
              <w:pStyle w:val="33"/>
              <w:rPr>
                <w:color w:val="auto"/>
              </w:rPr>
            </w:pPr>
            <w:r>
              <w:rPr>
                <w:rFonts w:hint="eastAsia"/>
                <w:color w:val="auto"/>
              </w:rPr>
              <w:t>0.43</w:t>
            </w:r>
          </w:p>
        </w:tc>
      </w:tr>
      <w:tr w14:paraId="724962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1405" w:type="pct"/>
            <w:tcBorders>
              <w:left w:val="single" w:color="auto" w:sz="4" w:space="0"/>
            </w:tcBorders>
            <w:vAlign w:val="center"/>
          </w:tcPr>
          <w:p w14:paraId="5F0C783C">
            <w:pPr>
              <w:pStyle w:val="33"/>
              <w:rPr>
                <w:color w:val="auto"/>
              </w:rPr>
            </w:pPr>
            <w:r>
              <w:rPr>
                <w:color w:val="auto"/>
              </w:rPr>
              <w:t>2#造纸车间天然气燃烧废气排气筒2#</w:t>
            </w:r>
            <w:r>
              <w:rPr>
                <w:rFonts w:hint="eastAsia"/>
                <w:color w:val="auto"/>
              </w:rPr>
              <w:t>（DA015）</w:t>
            </w:r>
          </w:p>
        </w:tc>
        <w:tc>
          <w:tcPr>
            <w:tcW w:w="469" w:type="pct"/>
            <w:vAlign w:val="center"/>
          </w:tcPr>
          <w:p w14:paraId="7C6D7973">
            <w:pPr>
              <w:pStyle w:val="33"/>
              <w:rPr>
                <w:color w:val="auto"/>
              </w:rPr>
            </w:pPr>
            <w:r>
              <w:rPr>
                <w:rFonts w:hint="eastAsia"/>
                <w:color w:val="auto"/>
              </w:rPr>
              <w:t>5117</w:t>
            </w:r>
          </w:p>
        </w:tc>
        <w:tc>
          <w:tcPr>
            <w:tcW w:w="470" w:type="pct"/>
            <w:vAlign w:val="center"/>
          </w:tcPr>
          <w:p w14:paraId="0ED920F3">
            <w:pPr>
              <w:pStyle w:val="33"/>
              <w:rPr>
                <w:color w:val="auto"/>
              </w:rPr>
            </w:pPr>
            <w:r>
              <w:rPr>
                <w:rFonts w:hint="eastAsia"/>
                <w:color w:val="auto"/>
              </w:rPr>
              <w:t>ND</w:t>
            </w:r>
          </w:p>
        </w:tc>
        <w:tc>
          <w:tcPr>
            <w:tcW w:w="627" w:type="pct"/>
            <w:vAlign w:val="center"/>
          </w:tcPr>
          <w:p w14:paraId="3AD1BA9B">
            <w:pPr>
              <w:pStyle w:val="33"/>
              <w:rPr>
                <w:color w:val="auto"/>
              </w:rPr>
            </w:pPr>
            <w:r>
              <w:rPr>
                <w:rFonts w:hint="eastAsia"/>
                <w:color w:val="auto"/>
              </w:rPr>
              <w:t>7.67×10</w:t>
            </w:r>
            <w:r>
              <w:rPr>
                <w:rFonts w:hint="eastAsia"/>
                <w:color w:val="auto"/>
                <w:vertAlign w:val="superscript"/>
              </w:rPr>
              <w:t>-3</w:t>
            </w:r>
          </w:p>
        </w:tc>
        <w:tc>
          <w:tcPr>
            <w:tcW w:w="468" w:type="pct"/>
            <w:vAlign w:val="center"/>
          </w:tcPr>
          <w:p w14:paraId="1AF0AC38">
            <w:pPr>
              <w:pStyle w:val="33"/>
              <w:rPr>
                <w:color w:val="auto"/>
              </w:rPr>
            </w:pPr>
            <w:r>
              <w:rPr>
                <w:rFonts w:hint="eastAsia"/>
                <w:color w:val="auto"/>
              </w:rPr>
              <w:t>ND</w:t>
            </w:r>
          </w:p>
        </w:tc>
        <w:tc>
          <w:tcPr>
            <w:tcW w:w="675" w:type="pct"/>
            <w:vAlign w:val="center"/>
          </w:tcPr>
          <w:p w14:paraId="1E0BA701">
            <w:pPr>
              <w:pStyle w:val="33"/>
              <w:rPr>
                <w:color w:val="auto"/>
              </w:rPr>
            </w:pPr>
            <w:r>
              <w:rPr>
                <w:rFonts w:hint="eastAsia"/>
                <w:color w:val="auto"/>
              </w:rPr>
              <w:t>7.67×10</w:t>
            </w:r>
            <w:r>
              <w:rPr>
                <w:rFonts w:hint="eastAsia"/>
                <w:color w:val="auto"/>
                <w:vertAlign w:val="superscript"/>
              </w:rPr>
              <w:t>-3</w:t>
            </w:r>
          </w:p>
        </w:tc>
        <w:tc>
          <w:tcPr>
            <w:tcW w:w="436" w:type="pct"/>
            <w:vAlign w:val="center"/>
          </w:tcPr>
          <w:p w14:paraId="40128FDB">
            <w:pPr>
              <w:pStyle w:val="33"/>
              <w:rPr>
                <w:color w:val="auto"/>
              </w:rPr>
            </w:pPr>
            <w:r>
              <w:rPr>
                <w:rFonts w:hint="eastAsia"/>
                <w:color w:val="auto"/>
              </w:rPr>
              <w:t>35</w:t>
            </w:r>
          </w:p>
        </w:tc>
        <w:tc>
          <w:tcPr>
            <w:tcW w:w="450" w:type="pct"/>
            <w:vAlign w:val="center"/>
          </w:tcPr>
          <w:p w14:paraId="23258AC5">
            <w:pPr>
              <w:pStyle w:val="33"/>
              <w:rPr>
                <w:color w:val="auto"/>
              </w:rPr>
            </w:pPr>
            <w:r>
              <w:rPr>
                <w:rFonts w:hint="eastAsia"/>
                <w:color w:val="auto"/>
              </w:rPr>
              <w:t>0.18</w:t>
            </w:r>
          </w:p>
        </w:tc>
      </w:tr>
      <w:tr w14:paraId="1F7EA9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0458D99C">
            <w:pPr>
              <w:pStyle w:val="33"/>
              <w:rPr>
                <w:color w:val="auto"/>
              </w:rPr>
            </w:pPr>
            <w:r>
              <w:rPr>
                <w:color w:val="auto"/>
              </w:rPr>
              <w:t>2#造纸车间天然气燃烧废气排气筒3#</w:t>
            </w:r>
            <w:r>
              <w:rPr>
                <w:rFonts w:hint="eastAsia"/>
                <w:color w:val="auto"/>
              </w:rPr>
              <w:t>（DA016）</w:t>
            </w:r>
          </w:p>
        </w:tc>
        <w:tc>
          <w:tcPr>
            <w:tcW w:w="469" w:type="pct"/>
            <w:vAlign w:val="center"/>
          </w:tcPr>
          <w:p w14:paraId="5FA0EE8A">
            <w:pPr>
              <w:pStyle w:val="33"/>
              <w:rPr>
                <w:color w:val="auto"/>
              </w:rPr>
            </w:pPr>
            <w:r>
              <w:rPr>
                <w:rFonts w:hint="eastAsia"/>
                <w:color w:val="auto"/>
              </w:rPr>
              <w:t>5066</w:t>
            </w:r>
          </w:p>
        </w:tc>
        <w:tc>
          <w:tcPr>
            <w:tcW w:w="470" w:type="pct"/>
            <w:vAlign w:val="center"/>
          </w:tcPr>
          <w:p w14:paraId="3BEC1F2A">
            <w:pPr>
              <w:pStyle w:val="33"/>
              <w:rPr>
                <w:color w:val="auto"/>
              </w:rPr>
            </w:pPr>
            <w:r>
              <w:rPr>
                <w:rFonts w:hint="eastAsia"/>
                <w:color w:val="auto"/>
              </w:rPr>
              <w:t>ND</w:t>
            </w:r>
          </w:p>
        </w:tc>
        <w:tc>
          <w:tcPr>
            <w:tcW w:w="627" w:type="pct"/>
            <w:vAlign w:val="center"/>
          </w:tcPr>
          <w:p w14:paraId="6C7471D6">
            <w:pPr>
              <w:pStyle w:val="33"/>
              <w:rPr>
                <w:color w:val="auto"/>
              </w:rPr>
            </w:pPr>
            <w:r>
              <w:rPr>
                <w:rFonts w:hint="eastAsia"/>
                <w:color w:val="auto"/>
              </w:rPr>
              <w:t>7.60×10</w:t>
            </w:r>
            <w:r>
              <w:rPr>
                <w:rFonts w:hint="eastAsia"/>
                <w:color w:val="auto"/>
                <w:vertAlign w:val="superscript"/>
              </w:rPr>
              <w:t>-3</w:t>
            </w:r>
          </w:p>
        </w:tc>
        <w:tc>
          <w:tcPr>
            <w:tcW w:w="468" w:type="pct"/>
            <w:vAlign w:val="center"/>
          </w:tcPr>
          <w:p w14:paraId="4A4007F1">
            <w:pPr>
              <w:pStyle w:val="33"/>
              <w:rPr>
                <w:color w:val="auto"/>
              </w:rPr>
            </w:pPr>
            <w:r>
              <w:rPr>
                <w:rFonts w:hint="eastAsia"/>
                <w:color w:val="auto"/>
              </w:rPr>
              <w:t>ND</w:t>
            </w:r>
          </w:p>
        </w:tc>
        <w:tc>
          <w:tcPr>
            <w:tcW w:w="675" w:type="pct"/>
            <w:vAlign w:val="center"/>
          </w:tcPr>
          <w:p w14:paraId="157D834B">
            <w:pPr>
              <w:pStyle w:val="33"/>
              <w:rPr>
                <w:color w:val="auto"/>
              </w:rPr>
            </w:pPr>
            <w:r>
              <w:rPr>
                <w:rFonts w:hint="eastAsia"/>
                <w:color w:val="auto"/>
              </w:rPr>
              <w:t>7.60×10</w:t>
            </w:r>
            <w:r>
              <w:rPr>
                <w:rFonts w:hint="eastAsia"/>
                <w:color w:val="auto"/>
                <w:vertAlign w:val="superscript"/>
              </w:rPr>
              <w:t>-3</w:t>
            </w:r>
          </w:p>
        </w:tc>
        <w:tc>
          <w:tcPr>
            <w:tcW w:w="436" w:type="pct"/>
            <w:vAlign w:val="center"/>
          </w:tcPr>
          <w:p w14:paraId="0B228674">
            <w:pPr>
              <w:pStyle w:val="33"/>
              <w:rPr>
                <w:color w:val="auto"/>
              </w:rPr>
            </w:pPr>
            <w:r>
              <w:rPr>
                <w:rFonts w:hint="eastAsia"/>
                <w:color w:val="auto"/>
              </w:rPr>
              <w:t>28</w:t>
            </w:r>
          </w:p>
        </w:tc>
        <w:tc>
          <w:tcPr>
            <w:tcW w:w="450" w:type="pct"/>
            <w:vAlign w:val="center"/>
          </w:tcPr>
          <w:p w14:paraId="468CB814">
            <w:pPr>
              <w:pStyle w:val="33"/>
              <w:rPr>
                <w:color w:val="auto"/>
              </w:rPr>
            </w:pPr>
            <w:r>
              <w:rPr>
                <w:rFonts w:hint="eastAsia"/>
                <w:color w:val="auto"/>
              </w:rPr>
              <w:t>0.14</w:t>
            </w:r>
          </w:p>
        </w:tc>
      </w:tr>
      <w:tr w14:paraId="4987C9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594C16C4">
            <w:pPr>
              <w:pStyle w:val="33"/>
              <w:rPr>
                <w:color w:val="auto"/>
              </w:rPr>
            </w:pPr>
            <w:r>
              <w:rPr>
                <w:color w:val="auto"/>
              </w:rPr>
              <w:t>2#造纸车间天然气燃烧废气排气筒4#</w:t>
            </w:r>
            <w:r>
              <w:rPr>
                <w:rFonts w:hint="eastAsia"/>
                <w:color w:val="auto"/>
              </w:rPr>
              <w:t>（DA017）</w:t>
            </w:r>
          </w:p>
        </w:tc>
        <w:tc>
          <w:tcPr>
            <w:tcW w:w="469" w:type="pct"/>
            <w:vAlign w:val="center"/>
          </w:tcPr>
          <w:p w14:paraId="57123E75">
            <w:pPr>
              <w:pStyle w:val="33"/>
              <w:rPr>
                <w:color w:val="auto"/>
              </w:rPr>
            </w:pPr>
            <w:r>
              <w:rPr>
                <w:rFonts w:hint="eastAsia"/>
                <w:color w:val="auto"/>
              </w:rPr>
              <w:t>10789</w:t>
            </w:r>
          </w:p>
        </w:tc>
        <w:tc>
          <w:tcPr>
            <w:tcW w:w="470" w:type="pct"/>
            <w:vAlign w:val="center"/>
          </w:tcPr>
          <w:p w14:paraId="71F305DD">
            <w:pPr>
              <w:pStyle w:val="33"/>
              <w:rPr>
                <w:color w:val="auto"/>
              </w:rPr>
            </w:pPr>
            <w:r>
              <w:rPr>
                <w:rFonts w:hint="eastAsia"/>
                <w:color w:val="auto"/>
              </w:rPr>
              <w:t>ND</w:t>
            </w:r>
          </w:p>
        </w:tc>
        <w:tc>
          <w:tcPr>
            <w:tcW w:w="627" w:type="pct"/>
            <w:vAlign w:val="center"/>
          </w:tcPr>
          <w:p w14:paraId="1334D6B0">
            <w:pPr>
              <w:pStyle w:val="33"/>
              <w:rPr>
                <w:color w:val="auto"/>
              </w:rPr>
            </w:pPr>
            <w:r>
              <w:rPr>
                <w:rFonts w:hint="eastAsia"/>
                <w:color w:val="auto"/>
              </w:rPr>
              <w:t>0.02</w:t>
            </w:r>
          </w:p>
        </w:tc>
        <w:tc>
          <w:tcPr>
            <w:tcW w:w="468" w:type="pct"/>
            <w:vAlign w:val="center"/>
          </w:tcPr>
          <w:p w14:paraId="6D1CEAE3">
            <w:pPr>
              <w:pStyle w:val="33"/>
              <w:rPr>
                <w:color w:val="auto"/>
              </w:rPr>
            </w:pPr>
            <w:r>
              <w:rPr>
                <w:rFonts w:hint="eastAsia"/>
                <w:color w:val="auto"/>
              </w:rPr>
              <w:t>ND</w:t>
            </w:r>
          </w:p>
        </w:tc>
        <w:tc>
          <w:tcPr>
            <w:tcW w:w="675" w:type="pct"/>
            <w:vAlign w:val="center"/>
          </w:tcPr>
          <w:p w14:paraId="096BF536">
            <w:pPr>
              <w:pStyle w:val="33"/>
              <w:rPr>
                <w:color w:val="auto"/>
              </w:rPr>
            </w:pPr>
            <w:r>
              <w:rPr>
                <w:rFonts w:hint="eastAsia"/>
                <w:color w:val="auto"/>
              </w:rPr>
              <w:t>0.02</w:t>
            </w:r>
          </w:p>
        </w:tc>
        <w:tc>
          <w:tcPr>
            <w:tcW w:w="436" w:type="pct"/>
            <w:vAlign w:val="center"/>
          </w:tcPr>
          <w:p w14:paraId="0DAADE14">
            <w:pPr>
              <w:pStyle w:val="33"/>
              <w:rPr>
                <w:color w:val="auto"/>
              </w:rPr>
            </w:pPr>
            <w:r>
              <w:rPr>
                <w:rFonts w:hint="eastAsia"/>
                <w:color w:val="auto"/>
              </w:rPr>
              <w:t>22</w:t>
            </w:r>
          </w:p>
        </w:tc>
        <w:tc>
          <w:tcPr>
            <w:tcW w:w="450" w:type="pct"/>
            <w:vAlign w:val="center"/>
          </w:tcPr>
          <w:p w14:paraId="6F16675A">
            <w:pPr>
              <w:pStyle w:val="33"/>
              <w:rPr>
                <w:color w:val="auto"/>
              </w:rPr>
            </w:pPr>
            <w:r>
              <w:rPr>
                <w:rFonts w:hint="eastAsia"/>
                <w:color w:val="auto"/>
              </w:rPr>
              <w:t>0.23</w:t>
            </w:r>
          </w:p>
        </w:tc>
      </w:tr>
      <w:tr w14:paraId="78DEE7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794928CE">
            <w:pPr>
              <w:pStyle w:val="33"/>
              <w:rPr>
                <w:color w:val="auto"/>
                <w:spacing w:val="-6"/>
              </w:rPr>
            </w:pPr>
            <w:r>
              <w:rPr>
                <w:color w:val="auto"/>
              </w:rPr>
              <w:t>《大气污染物综合排放标准》（GB16297-1996）</w:t>
            </w:r>
          </w:p>
        </w:tc>
        <w:tc>
          <w:tcPr>
            <w:tcW w:w="470" w:type="pct"/>
            <w:vAlign w:val="center"/>
          </w:tcPr>
          <w:p w14:paraId="06AF5EBA">
            <w:pPr>
              <w:pStyle w:val="33"/>
              <w:rPr>
                <w:color w:val="auto"/>
              </w:rPr>
            </w:pPr>
            <w:r>
              <w:rPr>
                <w:color w:val="auto"/>
                <w:spacing w:val="-6"/>
              </w:rPr>
              <w:t>120</w:t>
            </w:r>
          </w:p>
        </w:tc>
        <w:tc>
          <w:tcPr>
            <w:tcW w:w="627" w:type="pct"/>
            <w:vAlign w:val="center"/>
          </w:tcPr>
          <w:p w14:paraId="10D1AAAA">
            <w:pPr>
              <w:pStyle w:val="33"/>
              <w:rPr>
                <w:color w:val="auto"/>
              </w:rPr>
            </w:pPr>
            <w:r>
              <w:rPr>
                <w:rFonts w:hint="eastAsia"/>
                <w:color w:val="auto"/>
                <w:spacing w:val="-2"/>
              </w:rPr>
              <w:t>12.7</w:t>
            </w:r>
          </w:p>
        </w:tc>
        <w:tc>
          <w:tcPr>
            <w:tcW w:w="468" w:type="pct"/>
            <w:vAlign w:val="center"/>
          </w:tcPr>
          <w:p w14:paraId="568CEBDC">
            <w:pPr>
              <w:pStyle w:val="33"/>
              <w:rPr>
                <w:color w:val="auto"/>
              </w:rPr>
            </w:pPr>
            <w:r>
              <w:rPr>
                <w:color w:val="auto"/>
                <w:spacing w:val="-3"/>
              </w:rPr>
              <w:t>550</w:t>
            </w:r>
          </w:p>
        </w:tc>
        <w:tc>
          <w:tcPr>
            <w:tcW w:w="675" w:type="pct"/>
            <w:vAlign w:val="center"/>
          </w:tcPr>
          <w:p w14:paraId="77414849">
            <w:pPr>
              <w:pStyle w:val="33"/>
              <w:rPr>
                <w:color w:val="auto"/>
              </w:rPr>
            </w:pPr>
            <w:r>
              <w:rPr>
                <w:rFonts w:hint="eastAsia"/>
                <w:color w:val="auto"/>
                <w:spacing w:val="-3"/>
              </w:rPr>
              <w:t>8.58</w:t>
            </w:r>
          </w:p>
        </w:tc>
        <w:tc>
          <w:tcPr>
            <w:tcW w:w="436" w:type="pct"/>
            <w:vAlign w:val="center"/>
          </w:tcPr>
          <w:p w14:paraId="1E7F11E8">
            <w:pPr>
              <w:pStyle w:val="33"/>
              <w:rPr>
                <w:color w:val="auto"/>
              </w:rPr>
            </w:pPr>
            <w:r>
              <w:rPr>
                <w:color w:val="auto"/>
                <w:spacing w:val="-1"/>
              </w:rPr>
              <w:t>240</w:t>
            </w:r>
          </w:p>
        </w:tc>
        <w:tc>
          <w:tcPr>
            <w:tcW w:w="450" w:type="pct"/>
            <w:vAlign w:val="center"/>
          </w:tcPr>
          <w:p w14:paraId="0BDEAEA7">
            <w:pPr>
              <w:pStyle w:val="33"/>
              <w:rPr>
                <w:color w:val="auto"/>
              </w:rPr>
            </w:pPr>
            <w:r>
              <w:rPr>
                <w:rFonts w:hint="eastAsia"/>
                <w:color w:val="auto"/>
                <w:spacing w:val="-6"/>
              </w:rPr>
              <w:t>2.54</w:t>
            </w:r>
          </w:p>
        </w:tc>
      </w:tr>
      <w:tr w14:paraId="7F3476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1A53BCC4">
            <w:pPr>
              <w:pStyle w:val="33"/>
              <w:rPr>
                <w:color w:val="auto"/>
                <w:spacing w:val="-2"/>
              </w:rPr>
            </w:pPr>
            <w:r>
              <w:rPr>
                <w:color w:val="auto"/>
                <w:spacing w:val="-2"/>
              </w:rPr>
              <w:t>达标情况</w:t>
            </w:r>
          </w:p>
        </w:tc>
        <w:tc>
          <w:tcPr>
            <w:tcW w:w="470" w:type="pct"/>
            <w:vAlign w:val="center"/>
          </w:tcPr>
          <w:p w14:paraId="197D5E3B">
            <w:pPr>
              <w:pStyle w:val="33"/>
              <w:rPr>
                <w:color w:val="auto"/>
              </w:rPr>
            </w:pPr>
            <w:r>
              <w:rPr>
                <w:color w:val="auto"/>
                <w:spacing w:val="-2"/>
              </w:rPr>
              <w:t>达标</w:t>
            </w:r>
          </w:p>
        </w:tc>
        <w:tc>
          <w:tcPr>
            <w:tcW w:w="627" w:type="pct"/>
            <w:vAlign w:val="center"/>
          </w:tcPr>
          <w:p w14:paraId="7994CBA8">
            <w:pPr>
              <w:pStyle w:val="33"/>
              <w:rPr>
                <w:color w:val="auto"/>
              </w:rPr>
            </w:pPr>
            <w:r>
              <w:rPr>
                <w:color w:val="auto"/>
                <w:spacing w:val="-2"/>
              </w:rPr>
              <w:t>达标</w:t>
            </w:r>
          </w:p>
        </w:tc>
        <w:tc>
          <w:tcPr>
            <w:tcW w:w="468" w:type="pct"/>
            <w:vAlign w:val="center"/>
          </w:tcPr>
          <w:p w14:paraId="5C55DE25">
            <w:pPr>
              <w:pStyle w:val="33"/>
              <w:rPr>
                <w:color w:val="auto"/>
              </w:rPr>
            </w:pPr>
            <w:r>
              <w:rPr>
                <w:color w:val="auto"/>
                <w:spacing w:val="-2"/>
              </w:rPr>
              <w:t>达标</w:t>
            </w:r>
          </w:p>
        </w:tc>
        <w:tc>
          <w:tcPr>
            <w:tcW w:w="675" w:type="pct"/>
            <w:vAlign w:val="center"/>
          </w:tcPr>
          <w:p w14:paraId="653823DB">
            <w:pPr>
              <w:pStyle w:val="33"/>
              <w:rPr>
                <w:color w:val="auto"/>
              </w:rPr>
            </w:pPr>
            <w:r>
              <w:rPr>
                <w:color w:val="auto"/>
                <w:spacing w:val="-2"/>
              </w:rPr>
              <w:t>达标</w:t>
            </w:r>
          </w:p>
        </w:tc>
        <w:tc>
          <w:tcPr>
            <w:tcW w:w="436" w:type="pct"/>
            <w:vAlign w:val="center"/>
          </w:tcPr>
          <w:p w14:paraId="35C47069">
            <w:pPr>
              <w:pStyle w:val="33"/>
              <w:rPr>
                <w:color w:val="auto"/>
              </w:rPr>
            </w:pPr>
            <w:r>
              <w:rPr>
                <w:color w:val="auto"/>
                <w:spacing w:val="-2"/>
              </w:rPr>
              <w:t>达标</w:t>
            </w:r>
          </w:p>
        </w:tc>
        <w:tc>
          <w:tcPr>
            <w:tcW w:w="450" w:type="pct"/>
            <w:vAlign w:val="center"/>
          </w:tcPr>
          <w:p w14:paraId="4C193C8B">
            <w:pPr>
              <w:pStyle w:val="33"/>
              <w:rPr>
                <w:color w:val="auto"/>
              </w:rPr>
            </w:pPr>
            <w:r>
              <w:rPr>
                <w:color w:val="auto"/>
                <w:spacing w:val="-2"/>
              </w:rPr>
              <w:t>达标</w:t>
            </w:r>
          </w:p>
        </w:tc>
      </w:tr>
      <w:tr w14:paraId="52A597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05" w:type="pct"/>
            <w:tcBorders>
              <w:left w:val="single" w:color="auto" w:sz="4" w:space="0"/>
            </w:tcBorders>
            <w:vAlign w:val="center"/>
          </w:tcPr>
          <w:p w14:paraId="1AB36D83">
            <w:pPr>
              <w:pStyle w:val="33"/>
              <w:rPr>
                <w:color w:val="auto"/>
              </w:rPr>
            </w:pPr>
            <w:r>
              <w:rPr>
                <w:color w:val="auto"/>
              </w:rPr>
              <w:t>2#造纸车间天然气燃烧废气排气筒</w:t>
            </w:r>
            <w:r>
              <w:rPr>
                <w:rFonts w:hint="eastAsia"/>
                <w:color w:val="auto"/>
              </w:rPr>
              <w:t>5</w:t>
            </w:r>
            <w:r>
              <w:rPr>
                <w:color w:val="auto"/>
              </w:rPr>
              <w:t>#</w:t>
            </w:r>
            <w:r>
              <w:rPr>
                <w:rFonts w:hint="eastAsia"/>
                <w:color w:val="auto"/>
              </w:rPr>
              <w:t>（DA021）</w:t>
            </w:r>
          </w:p>
        </w:tc>
        <w:tc>
          <w:tcPr>
            <w:tcW w:w="469" w:type="pct"/>
            <w:vAlign w:val="center"/>
          </w:tcPr>
          <w:p w14:paraId="707D000C">
            <w:pPr>
              <w:pStyle w:val="33"/>
              <w:rPr>
                <w:color w:val="auto"/>
              </w:rPr>
            </w:pPr>
            <w:r>
              <w:rPr>
                <w:rFonts w:hint="eastAsia"/>
                <w:color w:val="auto"/>
              </w:rPr>
              <w:t>4308</w:t>
            </w:r>
          </w:p>
        </w:tc>
        <w:tc>
          <w:tcPr>
            <w:tcW w:w="470" w:type="pct"/>
            <w:vAlign w:val="center"/>
          </w:tcPr>
          <w:p w14:paraId="0677B4D0">
            <w:pPr>
              <w:pStyle w:val="33"/>
              <w:rPr>
                <w:color w:val="auto"/>
                <w:spacing w:val="-4"/>
              </w:rPr>
            </w:pPr>
            <w:r>
              <w:rPr>
                <w:rFonts w:hint="eastAsia"/>
                <w:color w:val="auto"/>
              </w:rPr>
              <w:t>ND</w:t>
            </w:r>
          </w:p>
        </w:tc>
        <w:tc>
          <w:tcPr>
            <w:tcW w:w="627" w:type="pct"/>
            <w:vAlign w:val="center"/>
          </w:tcPr>
          <w:p w14:paraId="39604B22">
            <w:pPr>
              <w:pStyle w:val="33"/>
              <w:rPr>
                <w:color w:val="auto"/>
                <w:spacing w:val="-1"/>
              </w:rPr>
            </w:pPr>
            <w:r>
              <w:rPr>
                <w:rFonts w:hint="eastAsia"/>
                <w:color w:val="auto"/>
              </w:rPr>
              <w:t>6.46×10</w:t>
            </w:r>
            <w:r>
              <w:rPr>
                <w:rFonts w:hint="eastAsia"/>
                <w:color w:val="auto"/>
                <w:vertAlign w:val="superscript"/>
              </w:rPr>
              <w:t>-3</w:t>
            </w:r>
          </w:p>
        </w:tc>
        <w:tc>
          <w:tcPr>
            <w:tcW w:w="468" w:type="pct"/>
            <w:vAlign w:val="center"/>
          </w:tcPr>
          <w:p w14:paraId="3E2F1A57">
            <w:pPr>
              <w:pStyle w:val="33"/>
              <w:rPr>
                <w:color w:val="auto"/>
                <w:spacing w:val="1"/>
              </w:rPr>
            </w:pPr>
            <w:r>
              <w:rPr>
                <w:rFonts w:hint="eastAsia"/>
                <w:color w:val="auto"/>
              </w:rPr>
              <w:t>ND</w:t>
            </w:r>
          </w:p>
        </w:tc>
        <w:tc>
          <w:tcPr>
            <w:tcW w:w="675" w:type="pct"/>
            <w:vAlign w:val="center"/>
          </w:tcPr>
          <w:p w14:paraId="30123DEB">
            <w:pPr>
              <w:pStyle w:val="33"/>
              <w:rPr>
                <w:color w:val="auto"/>
                <w:spacing w:val="-1"/>
              </w:rPr>
            </w:pPr>
            <w:r>
              <w:rPr>
                <w:rFonts w:hint="eastAsia"/>
                <w:color w:val="auto"/>
              </w:rPr>
              <w:t>6.46×10</w:t>
            </w:r>
            <w:r>
              <w:rPr>
                <w:rFonts w:hint="eastAsia"/>
                <w:color w:val="auto"/>
                <w:vertAlign w:val="superscript"/>
              </w:rPr>
              <w:t>-3</w:t>
            </w:r>
          </w:p>
        </w:tc>
        <w:tc>
          <w:tcPr>
            <w:tcW w:w="436" w:type="pct"/>
            <w:vAlign w:val="center"/>
          </w:tcPr>
          <w:p w14:paraId="46DE30B2">
            <w:pPr>
              <w:pStyle w:val="33"/>
              <w:rPr>
                <w:color w:val="auto"/>
                <w:spacing w:val="-1"/>
              </w:rPr>
            </w:pPr>
            <w:r>
              <w:rPr>
                <w:rFonts w:hint="eastAsia"/>
                <w:color w:val="auto"/>
              </w:rPr>
              <w:t>14</w:t>
            </w:r>
          </w:p>
        </w:tc>
        <w:tc>
          <w:tcPr>
            <w:tcW w:w="450" w:type="pct"/>
            <w:vAlign w:val="center"/>
          </w:tcPr>
          <w:p w14:paraId="54FEEBB6">
            <w:pPr>
              <w:pStyle w:val="33"/>
              <w:rPr>
                <w:color w:val="auto"/>
                <w:spacing w:val="-1"/>
              </w:rPr>
            </w:pPr>
            <w:r>
              <w:rPr>
                <w:rFonts w:hint="eastAsia"/>
                <w:color w:val="auto"/>
              </w:rPr>
              <w:t>0.06</w:t>
            </w:r>
          </w:p>
        </w:tc>
      </w:tr>
      <w:tr w14:paraId="16A145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35A4C4E8">
            <w:pPr>
              <w:pStyle w:val="33"/>
              <w:rPr>
                <w:color w:val="auto"/>
                <w:spacing w:val="-6"/>
              </w:rPr>
            </w:pPr>
            <w:r>
              <w:rPr>
                <w:color w:val="auto"/>
              </w:rPr>
              <w:t>《大气污染物综合排放标准》（GB16297-1996）</w:t>
            </w:r>
          </w:p>
        </w:tc>
        <w:tc>
          <w:tcPr>
            <w:tcW w:w="470" w:type="pct"/>
            <w:vAlign w:val="center"/>
          </w:tcPr>
          <w:p w14:paraId="0D22B6ED">
            <w:pPr>
              <w:pStyle w:val="33"/>
              <w:rPr>
                <w:color w:val="auto"/>
              </w:rPr>
            </w:pPr>
            <w:r>
              <w:rPr>
                <w:color w:val="auto"/>
                <w:spacing w:val="-6"/>
              </w:rPr>
              <w:t>120</w:t>
            </w:r>
          </w:p>
        </w:tc>
        <w:tc>
          <w:tcPr>
            <w:tcW w:w="627" w:type="pct"/>
            <w:vAlign w:val="center"/>
          </w:tcPr>
          <w:p w14:paraId="07D04FE2">
            <w:pPr>
              <w:pStyle w:val="33"/>
              <w:rPr>
                <w:color w:val="auto"/>
              </w:rPr>
            </w:pPr>
            <w:r>
              <w:rPr>
                <w:rFonts w:hint="eastAsia"/>
                <w:color w:val="auto"/>
                <w:spacing w:val="-2"/>
              </w:rPr>
              <w:t>16.2</w:t>
            </w:r>
          </w:p>
        </w:tc>
        <w:tc>
          <w:tcPr>
            <w:tcW w:w="468" w:type="pct"/>
            <w:vAlign w:val="center"/>
          </w:tcPr>
          <w:p w14:paraId="5D9543E7">
            <w:pPr>
              <w:pStyle w:val="33"/>
              <w:rPr>
                <w:color w:val="auto"/>
              </w:rPr>
            </w:pPr>
            <w:r>
              <w:rPr>
                <w:color w:val="auto"/>
                <w:spacing w:val="-3"/>
              </w:rPr>
              <w:t>550</w:t>
            </w:r>
          </w:p>
        </w:tc>
        <w:tc>
          <w:tcPr>
            <w:tcW w:w="675" w:type="pct"/>
            <w:vAlign w:val="center"/>
          </w:tcPr>
          <w:p w14:paraId="425AD49A">
            <w:pPr>
              <w:pStyle w:val="33"/>
              <w:rPr>
                <w:color w:val="auto"/>
              </w:rPr>
            </w:pPr>
            <w:r>
              <w:rPr>
                <w:rFonts w:hint="eastAsia"/>
                <w:color w:val="auto"/>
                <w:spacing w:val="-3"/>
              </w:rPr>
              <w:t>10.7</w:t>
            </w:r>
          </w:p>
        </w:tc>
        <w:tc>
          <w:tcPr>
            <w:tcW w:w="436" w:type="pct"/>
            <w:vAlign w:val="center"/>
          </w:tcPr>
          <w:p w14:paraId="319AF010">
            <w:pPr>
              <w:pStyle w:val="33"/>
              <w:rPr>
                <w:color w:val="auto"/>
              </w:rPr>
            </w:pPr>
            <w:r>
              <w:rPr>
                <w:color w:val="auto"/>
                <w:spacing w:val="-1"/>
              </w:rPr>
              <w:t>240</w:t>
            </w:r>
          </w:p>
        </w:tc>
        <w:tc>
          <w:tcPr>
            <w:tcW w:w="450" w:type="pct"/>
            <w:vAlign w:val="center"/>
          </w:tcPr>
          <w:p w14:paraId="1FF860AB">
            <w:pPr>
              <w:pStyle w:val="33"/>
              <w:rPr>
                <w:color w:val="auto"/>
              </w:rPr>
            </w:pPr>
            <w:r>
              <w:rPr>
                <w:rFonts w:hint="eastAsia"/>
                <w:color w:val="auto"/>
                <w:spacing w:val="-6"/>
              </w:rPr>
              <w:t>3.16</w:t>
            </w:r>
          </w:p>
        </w:tc>
      </w:tr>
      <w:tr w14:paraId="0805E2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874" w:type="pct"/>
            <w:gridSpan w:val="2"/>
            <w:tcBorders>
              <w:left w:val="single" w:color="auto" w:sz="4" w:space="0"/>
            </w:tcBorders>
            <w:vAlign w:val="center"/>
          </w:tcPr>
          <w:p w14:paraId="43E8C7DD">
            <w:pPr>
              <w:pStyle w:val="33"/>
              <w:rPr>
                <w:color w:val="auto"/>
                <w:spacing w:val="-2"/>
              </w:rPr>
            </w:pPr>
            <w:r>
              <w:rPr>
                <w:color w:val="auto"/>
                <w:spacing w:val="-2"/>
              </w:rPr>
              <w:t>达标情况</w:t>
            </w:r>
          </w:p>
        </w:tc>
        <w:tc>
          <w:tcPr>
            <w:tcW w:w="470" w:type="pct"/>
            <w:vAlign w:val="center"/>
          </w:tcPr>
          <w:p w14:paraId="5448394F">
            <w:pPr>
              <w:pStyle w:val="33"/>
              <w:rPr>
                <w:color w:val="auto"/>
              </w:rPr>
            </w:pPr>
            <w:r>
              <w:rPr>
                <w:color w:val="auto"/>
                <w:spacing w:val="-2"/>
              </w:rPr>
              <w:t>达标</w:t>
            </w:r>
          </w:p>
        </w:tc>
        <w:tc>
          <w:tcPr>
            <w:tcW w:w="627" w:type="pct"/>
            <w:vAlign w:val="center"/>
          </w:tcPr>
          <w:p w14:paraId="71CB653C">
            <w:pPr>
              <w:pStyle w:val="33"/>
              <w:rPr>
                <w:color w:val="auto"/>
              </w:rPr>
            </w:pPr>
            <w:r>
              <w:rPr>
                <w:color w:val="auto"/>
                <w:spacing w:val="-2"/>
              </w:rPr>
              <w:t>达标</w:t>
            </w:r>
          </w:p>
        </w:tc>
        <w:tc>
          <w:tcPr>
            <w:tcW w:w="468" w:type="pct"/>
            <w:vAlign w:val="center"/>
          </w:tcPr>
          <w:p w14:paraId="22F7B153">
            <w:pPr>
              <w:pStyle w:val="33"/>
              <w:rPr>
                <w:color w:val="auto"/>
              </w:rPr>
            </w:pPr>
            <w:r>
              <w:rPr>
                <w:color w:val="auto"/>
                <w:spacing w:val="-2"/>
              </w:rPr>
              <w:t>达标</w:t>
            </w:r>
          </w:p>
        </w:tc>
        <w:tc>
          <w:tcPr>
            <w:tcW w:w="675" w:type="pct"/>
            <w:vAlign w:val="center"/>
          </w:tcPr>
          <w:p w14:paraId="135A80D1">
            <w:pPr>
              <w:pStyle w:val="33"/>
              <w:rPr>
                <w:color w:val="auto"/>
              </w:rPr>
            </w:pPr>
            <w:r>
              <w:rPr>
                <w:color w:val="auto"/>
                <w:spacing w:val="-2"/>
              </w:rPr>
              <w:t>达标</w:t>
            </w:r>
          </w:p>
        </w:tc>
        <w:tc>
          <w:tcPr>
            <w:tcW w:w="436" w:type="pct"/>
            <w:vAlign w:val="center"/>
          </w:tcPr>
          <w:p w14:paraId="120C863B">
            <w:pPr>
              <w:pStyle w:val="33"/>
              <w:rPr>
                <w:color w:val="auto"/>
              </w:rPr>
            </w:pPr>
            <w:r>
              <w:rPr>
                <w:color w:val="auto"/>
                <w:spacing w:val="-2"/>
              </w:rPr>
              <w:t>达标</w:t>
            </w:r>
          </w:p>
        </w:tc>
        <w:tc>
          <w:tcPr>
            <w:tcW w:w="450" w:type="pct"/>
            <w:vAlign w:val="center"/>
          </w:tcPr>
          <w:p w14:paraId="058630AC">
            <w:pPr>
              <w:pStyle w:val="33"/>
              <w:rPr>
                <w:color w:val="auto"/>
              </w:rPr>
            </w:pPr>
            <w:r>
              <w:rPr>
                <w:color w:val="auto"/>
                <w:spacing w:val="-2"/>
              </w:rPr>
              <w:t>达标</w:t>
            </w:r>
          </w:p>
        </w:tc>
      </w:tr>
    </w:tbl>
    <w:p w14:paraId="64D0C0D7">
      <w:pPr>
        <w:ind w:firstLine="480"/>
        <w:rPr>
          <w:color w:val="auto"/>
        </w:rPr>
      </w:pPr>
      <w:r>
        <w:rPr>
          <w:rFonts w:hint="eastAsia"/>
          <w:color w:val="auto"/>
        </w:rPr>
        <w:t>现有工程1#和</w:t>
      </w:r>
      <w:r>
        <w:rPr>
          <w:color w:val="auto"/>
        </w:rPr>
        <w:t>2#污水处理站臭气碱洗治理设施排放口</w:t>
      </w:r>
      <w:r>
        <w:rPr>
          <w:rFonts w:hint="eastAsia"/>
          <w:color w:val="auto"/>
        </w:rPr>
        <w:t>（DA013和DA045）</w:t>
      </w:r>
      <w:r>
        <w:rPr>
          <w:color w:val="auto"/>
        </w:rPr>
        <w:t>监测结果见</w:t>
      </w:r>
      <w:r>
        <w:rPr>
          <w:rFonts w:hint="eastAsia"/>
          <w:color w:val="auto"/>
        </w:rPr>
        <w:t>下表</w:t>
      </w:r>
      <w:r>
        <w:rPr>
          <w:color w:val="auto"/>
        </w:rPr>
        <w:t>，由监测结果可知，</w:t>
      </w:r>
      <w:r>
        <w:rPr>
          <w:rFonts w:hint="eastAsia"/>
          <w:color w:val="auto"/>
        </w:rPr>
        <w:t>1#和</w:t>
      </w:r>
      <w:r>
        <w:rPr>
          <w:color w:val="auto"/>
        </w:rPr>
        <w:t>2#污水处理站废气排放口的H</w:t>
      </w:r>
      <w:r>
        <w:rPr>
          <w:color w:val="auto"/>
          <w:vertAlign w:val="subscript"/>
        </w:rPr>
        <w:t>2</w:t>
      </w:r>
      <w:r>
        <w:rPr>
          <w:color w:val="auto"/>
        </w:rPr>
        <w:t>S、NH</w:t>
      </w:r>
      <w:r>
        <w:rPr>
          <w:color w:val="auto"/>
          <w:vertAlign w:val="subscript"/>
        </w:rPr>
        <w:t>3</w:t>
      </w:r>
      <w:r>
        <w:rPr>
          <w:color w:val="auto"/>
        </w:rPr>
        <w:t>和臭气浓度满足《恶臭污染物排放标准》（GB14554-93）表2恶臭污染物排放标准限值要求</w:t>
      </w:r>
      <w:r>
        <w:rPr>
          <w:color w:val="auto"/>
          <w:spacing w:val="-3"/>
        </w:rPr>
        <w:t>。</w:t>
      </w:r>
    </w:p>
    <w:p w14:paraId="3782E9D9">
      <w:pPr>
        <w:pStyle w:val="7"/>
        <w:rPr>
          <w:color w:val="auto"/>
        </w:rPr>
      </w:pPr>
      <w:r>
        <w:rPr>
          <w:color w:val="auto"/>
        </w:rPr>
        <w:t>现有工程</w:t>
      </w:r>
      <w:r>
        <w:rPr>
          <w:rFonts w:eastAsia="Times New Roman" w:cs="Times New Roman"/>
          <w:color w:val="auto"/>
        </w:rPr>
        <w:t>2#</w:t>
      </w:r>
      <w:r>
        <w:rPr>
          <w:color w:val="auto"/>
        </w:rPr>
        <w:t>污水处理站臭气监测结果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3627"/>
        <w:gridCol w:w="873"/>
        <w:gridCol w:w="871"/>
        <w:gridCol w:w="726"/>
        <w:gridCol w:w="871"/>
        <w:gridCol w:w="1153"/>
        <w:gridCol w:w="1165"/>
      </w:tblGrid>
      <w:tr w14:paraId="2BC39A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953" w:type="pct"/>
            <w:vMerge w:val="restart"/>
            <w:tcBorders>
              <w:bottom w:val="nil"/>
            </w:tcBorders>
            <w:vAlign w:val="center"/>
          </w:tcPr>
          <w:p w14:paraId="3451F955">
            <w:pPr>
              <w:pStyle w:val="33"/>
              <w:rPr>
                <w:color w:val="auto"/>
              </w:rPr>
            </w:pPr>
            <w:r>
              <w:rPr>
                <w:color w:val="auto"/>
              </w:rPr>
              <w:t>项目</w:t>
            </w:r>
          </w:p>
        </w:tc>
        <w:tc>
          <w:tcPr>
            <w:tcW w:w="470" w:type="pct"/>
            <w:vAlign w:val="center"/>
          </w:tcPr>
          <w:p w14:paraId="47D70101">
            <w:pPr>
              <w:pStyle w:val="33"/>
              <w:rPr>
                <w:rFonts w:eastAsia="Times New Roman"/>
                <w:color w:val="auto"/>
                <w:spacing w:val="-2"/>
              </w:rPr>
            </w:pPr>
            <w:r>
              <w:rPr>
                <w:rFonts w:hint="eastAsia"/>
                <w:color w:val="auto"/>
                <w:spacing w:val="-4"/>
              </w:rPr>
              <w:t>烟气量</w:t>
            </w:r>
          </w:p>
        </w:tc>
        <w:tc>
          <w:tcPr>
            <w:tcW w:w="860" w:type="pct"/>
            <w:gridSpan w:val="2"/>
            <w:vAlign w:val="center"/>
          </w:tcPr>
          <w:p w14:paraId="1E4E5603">
            <w:pPr>
              <w:pStyle w:val="33"/>
              <w:rPr>
                <w:rFonts w:eastAsia="Times New Roman"/>
                <w:color w:val="auto"/>
                <w:sz w:val="14"/>
                <w:szCs w:val="14"/>
              </w:rPr>
            </w:pPr>
            <w:r>
              <w:rPr>
                <w:rFonts w:eastAsia="Times New Roman"/>
                <w:color w:val="auto"/>
                <w:spacing w:val="-2"/>
              </w:rPr>
              <w:t>NH</w:t>
            </w:r>
            <w:r>
              <w:rPr>
                <w:rFonts w:eastAsia="Times New Roman"/>
                <w:color w:val="auto"/>
                <w:spacing w:val="-2"/>
                <w:position w:val="-1"/>
                <w:sz w:val="14"/>
                <w:szCs w:val="14"/>
              </w:rPr>
              <w:t>3</w:t>
            </w:r>
          </w:p>
        </w:tc>
        <w:tc>
          <w:tcPr>
            <w:tcW w:w="1090" w:type="pct"/>
            <w:gridSpan w:val="2"/>
            <w:vAlign w:val="center"/>
          </w:tcPr>
          <w:p w14:paraId="3E4671FA">
            <w:pPr>
              <w:pStyle w:val="33"/>
              <w:rPr>
                <w:rFonts w:eastAsia="Times New Roman"/>
                <w:color w:val="auto"/>
              </w:rPr>
            </w:pPr>
            <w:r>
              <w:rPr>
                <w:rFonts w:eastAsia="Times New Roman"/>
                <w:color w:val="auto"/>
                <w:spacing w:val="-2"/>
              </w:rPr>
              <w:t>H</w:t>
            </w:r>
            <w:r>
              <w:rPr>
                <w:rFonts w:eastAsia="Times New Roman"/>
                <w:color w:val="auto"/>
                <w:spacing w:val="-2"/>
                <w:position w:val="-1"/>
                <w:sz w:val="14"/>
                <w:szCs w:val="14"/>
              </w:rPr>
              <w:t>2</w:t>
            </w:r>
            <w:r>
              <w:rPr>
                <w:rFonts w:eastAsia="Times New Roman"/>
                <w:color w:val="auto"/>
                <w:spacing w:val="-2"/>
              </w:rPr>
              <w:t>S</w:t>
            </w:r>
          </w:p>
        </w:tc>
        <w:tc>
          <w:tcPr>
            <w:tcW w:w="627" w:type="pct"/>
            <w:vAlign w:val="center"/>
          </w:tcPr>
          <w:p w14:paraId="2F8F6933">
            <w:pPr>
              <w:pStyle w:val="33"/>
              <w:rPr>
                <w:color w:val="auto"/>
              </w:rPr>
            </w:pPr>
            <w:r>
              <w:rPr>
                <w:color w:val="auto"/>
                <w:spacing w:val="-4"/>
              </w:rPr>
              <w:t>臭气浓度</w:t>
            </w:r>
          </w:p>
        </w:tc>
      </w:tr>
      <w:tr w14:paraId="670CB2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953" w:type="pct"/>
            <w:vMerge w:val="continue"/>
            <w:tcBorders>
              <w:top w:val="nil"/>
            </w:tcBorders>
            <w:vAlign w:val="center"/>
          </w:tcPr>
          <w:p w14:paraId="09FD8EBB">
            <w:pPr>
              <w:pStyle w:val="33"/>
              <w:rPr>
                <w:color w:val="auto"/>
              </w:rPr>
            </w:pPr>
          </w:p>
        </w:tc>
        <w:tc>
          <w:tcPr>
            <w:tcW w:w="470" w:type="pct"/>
            <w:vAlign w:val="center"/>
          </w:tcPr>
          <w:p w14:paraId="5F595720">
            <w:pPr>
              <w:pStyle w:val="33"/>
              <w:rPr>
                <w:rFonts w:eastAsia="Times New Roman"/>
                <w:color w:val="auto"/>
                <w:spacing w:val="-2"/>
              </w:rPr>
            </w:pPr>
            <w:r>
              <w:rPr>
                <w:b/>
                <w:bCs/>
                <w:color w:val="auto"/>
              </w:rPr>
              <w:t>m</w:t>
            </w:r>
            <w:r>
              <w:rPr>
                <w:b/>
                <w:bCs/>
                <w:color w:val="auto"/>
                <w:vertAlign w:val="superscript"/>
              </w:rPr>
              <w:t>3</w:t>
            </w:r>
            <w:r>
              <w:rPr>
                <w:b/>
                <w:bCs/>
                <w:color w:val="auto"/>
              </w:rPr>
              <w:t>/h</w:t>
            </w:r>
          </w:p>
        </w:tc>
        <w:tc>
          <w:tcPr>
            <w:tcW w:w="469" w:type="pct"/>
            <w:vAlign w:val="center"/>
          </w:tcPr>
          <w:p w14:paraId="01705380">
            <w:pPr>
              <w:pStyle w:val="33"/>
              <w:rPr>
                <w:rFonts w:eastAsia="Times New Roman"/>
                <w:color w:val="auto"/>
                <w:sz w:val="14"/>
                <w:szCs w:val="14"/>
              </w:rPr>
            </w:pPr>
            <w:r>
              <w:rPr>
                <w:rFonts w:eastAsia="Times New Roman"/>
                <w:color w:val="auto"/>
                <w:spacing w:val="-2"/>
              </w:rPr>
              <w:t>mg/m</w:t>
            </w:r>
            <w:r>
              <w:rPr>
                <w:rFonts w:eastAsia="Times New Roman"/>
                <w:color w:val="auto"/>
                <w:spacing w:val="-2"/>
                <w:position w:val="6"/>
                <w:sz w:val="14"/>
                <w:szCs w:val="14"/>
              </w:rPr>
              <w:t>3</w:t>
            </w:r>
          </w:p>
        </w:tc>
        <w:tc>
          <w:tcPr>
            <w:tcW w:w="391" w:type="pct"/>
            <w:vAlign w:val="center"/>
          </w:tcPr>
          <w:p w14:paraId="4D40060E">
            <w:pPr>
              <w:pStyle w:val="33"/>
              <w:rPr>
                <w:rFonts w:eastAsia="Times New Roman"/>
                <w:color w:val="auto"/>
              </w:rPr>
            </w:pPr>
            <w:r>
              <w:rPr>
                <w:rFonts w:eastAsia="Times New Roman"/>
                <w:color w:val="auto"/>
                <w:spacing w:val="-2"/>
              </w:rPr>
              <w:t>kg/h</w:t>
            </w:r>
          </w:p>
        </w:tc>
        <w:tc>
          <w:tcPr>
            <w:tcW w:w="469" w:type="pct"/>
            <w:vAlign w:val="center"/>
          </w:tcPr>
          <w:p w14:paraId="2C35158A">
            <w:pPr>
              <w:pStyle w:val="33"/>
              <w:rPr>
                <w:rFonts w:eastAsia="Times New Roman"/>
                <w:color w:val="auto"/>
                <w:sz w:val="14"/>
                <w:szCs w:val="14"/>
              </w:rPr>
            </w:pPr>
            <w:r>
              <w:rPr>
                <w:rFonts w:eastAsia="Times New Roman"/>
                <w:color w:val="auto"/>
                <w:spacing w:val="-2"/>
              </w:rPr>
              <w:t>mg/m</w:t>
            </w:r>
            <w:r>
              <w:rPr>
                <w:rFonts w:eastAsia="Times New Roman"/>
                <w:color w:val="auto"/>
                <w:spacing w:val="-2"/>
                <w:position w:val="6"/>
                <w:sz w:val="14"/>
                <w:szCs w:val="14"/>
              </w:rPr>
              <w:t>3</w:t>
            </w:r>
          </w:p>
        </w:tc>
        <w:tc>
          <w:tcPr>
            <w:tcW w:w="621" w:type="pct"/>
            <w:vAlign w:val="center"/>
          </w:tcPr>
          <w:p w14:paraId="0B8814E5">
            <w:pPr>
              <w:pStyle w:val="33"/>
              <w:rPr>
                <w:rFonts w:eastAsia="Times New Roman"/>
                <w:color w:val="auto"/>
              </w:rPr>
            </w:pPr>
            <w:r>
              <w:rPr>
                <w:rFonts w:eastAsia="Times New Roman"/>
                <w:color w:val="auto"/>
                <w:spacing w:val="-2"/>
              </w:rPr>
              <w:t>kg/h</w:t>
            </w:r>
          </w:p>
        </w:tc>
        <w:tc>
          <w:tcPr>
            <w:tcW w:w="627" w:type="pct"/>
            <w:vAlign w:val="center"/>
          </w:tcPr>
          <w:p w14:paraId="7E964CC9">
            <w:pPr>
              <w:pStyle w:val="33"/>
              <w:rPr>
                <w:color w:val="auto"/>
              </w:rPr>
            </w:pPr>
            <w:r>
              <w:rPr>
                <w:color w:val="auto"/>
                <w:spacing w:val="-4"/>
              </w:rPr>
              <w:t>无量纲</w:t>
            </w:r>
          </w:p>
        </w:tc>
      </w:tr>
      <w:tr w14:paraId="6A86F3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953" w:type="pct"/>
            <w:vAlign w:val="center"/>
          </w:tcPr>
          <w:p w14:paraId="6D2F9A32">
            <w:pPr>
              <w:pStyle w:val="33"/>
              <w:rPr>
                <w:rFonts w:eastAsia="Times New Roman"/>
                <w:color w:val="auto"/>
                <w:spacing w:val="-1"/>
              </w:rPr>
            </w:pPr>
            <w:r>
              <w:rPr>
                <w:rFonts w:hint="eastAsia"/>
                <w:color w:val="auto"/>
                <w:spacing w:val="-1"/>
              </w:rPr>
              <w:t>1#</w:t>
            </w:r>
            <w:r>
              <w:rPr>
                <w:color w:val="auto"/>
                <w:spacing w:val="-1"/>
              </w:rPr>
              <w:t>污水处理站臭气排放口</w:t>
            </w:r>
            <w:r>
              <w:rPr>
                <w:rFonts w:hint="eastAsia"/>
                <w:color w:val="auto"/>
                <w:spacing w:val="-1"/>
              </w:rPr>
              <w:t>（DA013）</w:t>
            </w:r>
          </w:p>
        </w:tc>
        <w:tc>
          <w:tcPr>
            <w:tcW w:w="470" w:type="pct"/>
            <w:vAlign w:val="center"/>
          </w:tcPr>
          <w:p w14:paraId="563B59F6">
            <w:pPr>
              <w:pStyle w:val="33"/>
              <w:rPr>
                <w:color w:val="auto"/>
              </w:rPr>
            </w:pPr>
            <w:r>
              <w:rPr>
                <w:color w:val="auto"/>
              </w:rPr>
              <w:t>41807</w:t>
            </w:r>
          </w:p>
        </w:tc>
        <w:tc>
          <w:tcPr>
            <w:tcW w:w="469" w:type="pct"/>
            <w:vAlign w:val="center"/>
          </w:tcPr>
          <w:p w14:paraId="3DF71E7D">
            <w:pPr>
              <w:pStyle w:val="33"/>
              <w:rPr>
                <w:rFonts w:eastAsia="Times New Roman"/>
                <w:color w:val="auto"/>
                <w:spacing w:val="-1"/>
              </w:rPr>
            </w:pPr>
            <w:r>
              <w:rPr>
                <w:rFonts w:hint="eastAsia"/>
                <w:color w:val="auto"/>
              </w:rPr>
              <w:t>2.96</w:t>
            </w:r>
          </w:p>
        </w:tc>
        <w:tc>
          <w:tcPr>
            <w:tcW w:w="391" w:type="pct"/>
            <w:vAlign w:val="center"/>
          </w:tcPr>
          <w:p w14:paraId="4C597F5F">
            <w:pPr>
              <w:pStyle w:val="33"/>
              <w:rPr>
                <w:rFonts w:eastAsia="Times New Roman"/>
                <w:color w:val="auto"/>
                <w:spacing w:val="-1"/>
              </w:rPr>
            </w:pPr>
            <w:r>
              <w:rPr>
                <w:rFonts w:hint="eastAsia"/>
                <w:color w:val="auto"/>
              </w:rPr>
              <w:t>0.13</w:t>
            </w:r>
          </w:p>
        </w:tc>
        <w:tc>
          <w:tcPr>
            <w:tcW w:w="469" w:type="pct"/>
            <w:vAlign w:val="center"/>
          </w:tcPr>
          <w:p w14:paraId="207830D0">
            <w:pPr>
              <w:pStyle w:val="33"/>
              <w:rPr>
                <w:rFonts w:eastAsia="Times New Roman"/>
                <w:color w:val="auto"/>
                <w:spacing w:val="-1"/>
              </w:rPr>
            </w:pPr>
            <w:r>
              <w:rPr>
                <w:rFonts w:hint="eastAsia"/>
                <w:color w:val="auto"/>
              </w:rPr>
              <w:t>0.176</w:t>
            </w:r>
          </w:p>
        </w:tc>
        <w:tc>
          <w:tcPr>
            <w:tcW w:w="621" w:type="pct"/>
            <w:vAlign w:val="center"/>
          </w:tcPr>
          <w:p w14:paraId="3DF5521C">
            <w:pPr>
              <w:pStyle w:val="33"/>
              <w:rPr>
                <w:rFonts w:eastAsia="Times New Roman"/>
                <w:color w:val="auto"/>
                <w:spacing w:val="-1"/>
              </w:rPr>
            </w:pPr>
            <w:r>
              <w:rPr>
                <w:rFonts w:hint="eastAsia"/>
                <w:color w:val="auto"/>
              </w:rPr>
              <w:t>7.36×10</w:t>
            </w:r>
            <w:r>
              <w:rPr>
                <w:rFonts w:hint="eastAsia"/>
                <w:color w:val="auto"/>
                <w:vertAlign w:val="superscript"/>
              </w:rPr>
              <w:t>-3</w:t>
            </w:r>
          </w:p>
        </w:tc>
        <w:tc>
          <w:tcPr>
            <w:tcW w:w="627" w:type="pct"/>
            <w:vAlign w:val="center"/>
          </w:tcPr>
          <w:p w14:paraId="075BDF02">
            <w:pPr>
              <w:pStyle w:val="33"/>
              <w:rPr>
                <w:rFonts w:eastAsia="Times New Roman"/>
                <w:color w:val="auto"/>
                <w:spacing w:val="-2"/>
              </w:rPr>
            </w:pPr>
            <w:r>
              <w:rPr>
                <w:rFonts w:hint="eastAsia"/>
                <w:color w:val="auto"/>
              </w:rPr>
              <w:t>733-977</w:t>
            </w:r>
          </w:p>
        </w:tc>
      </w:tr>
      <w:tr w14:paraId="7B7075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953" w:type="pct"/>
            <w:vAlign w:val="center"/>
          </w:tcPr>
          <w:p w14:paraId="562E6F1C">
            <w:pPr>
              <w:pStyle w:val="33"/>
              <w:rPr>
                <w:color w:val="auto"/>
              </w:rPr>
            </w:pPr>
            <w:r>
              <w:rPr>
                <w:rFonts w:hint="eastAsia"/>
                <w:color w:val="auto"/>
                <w:spacing w:val="-1"/>
              </w:rPr>
              <w:t>2#</w:t>
            </w:r>
            <w:r>
              <w:rPr>
                <w:color w:val="auto"/>
                <w:spacing w:val="-1"/>
              </w:rPr>
              <w:t>污水处理站臭气排放口</w:t>
            </w:r>
            <w:r>
              <w:rPr>
                <w:rFonts w:hint="eastAsia"/>
                <w:color w:val="auto"/>
                <w:spacing w:val="-1"/>
              </w:rPr>
              <w:t>（DA045）</w:t>
            </w:r>
          </w:p>
        </w:tc>
        <w:tc>
          <w:tcPr>
            <w:tcW w:w="470" w:type="pct"/>
            <w:vAlign w:val="center"/>
          </w:tcPr>
          <w:p w14:paraId="4E6959FD">
            <w:pPr>
              <w:pStyle w:val="33"/>
              <w:rPr>
                <w:color w:val="auto"/>
              </w:rPr>
            </w:pPr>
            <w:r>
              <w:rPr>
                <w:color w:val="auto"/>
              </w:rPr>
              <w:t>41127</w:t>
            </w:r>
          </w:p>
        </w:tc>
        <w:tc>
          <w:tcPr>
            <w:tcW w:w="469" w:type="pct"/>
            <w:vAlign w:val="center"/>
          </w:tcPr>
          <w:p w14:paraId="3AAE306D">
            <w:pPr>
              <w:pStyle w:val="33"/>
              <w:rPr>
                <w:rFonts w:eastAsia="Times New Roman"/>
                <w:color w:val="auto"/>
              </w:rPr>
            </w:pPr>
            <w:r>
              <w:rPr>
                <w:rFonts w:hint="eastAsia"/>
                <w:color w:val="auto"/>
              </w:rPr>
              <w:t>3.61</w:t>
            </w:r>
          </w:p>
        </w:tc>
        <w:tc>
          <w:tcPr>
            <w:tcW w:w="391" w:type="pct"/>
            <w:vAlign w:val="center"/>
          </w:tcPr>
          <w:p w14:paraId="4784A68E">
            <w:pPr>
              <w:pStyle w:val="33"/>
              <w:rPr>
                <w:rFonts w:eastAsia="Times New Roman"/>
                <w:color w:val="auto"/>
              </w:rPr>
            </w:pPr>
            <w:r>
              <w:rPr>
                <w:rFonts w:hint="eastAsia"/>
                <w:color w:val="auto"/>
              </w:rPr>
              <w:t>0.15</w:t>
            </w:r>
          </w:p>
        </w:tc>
        <w:tc>
          <w:tcPr>
            <w:tcW w:w="469" w:type="pct"/>
            <w:vAlign w:val="center"/>
          </w:tcPr>
          <w:p w14:paraId="46F67113">
            <w:pPr>
              <w:pStyle w:val="33"/>
              <w:rPr>
                <w:rFonts w:eastAsia="Times New Roman"/>
                <w:color w:val="auto"/>
              </w:rPr>
            </w:pPr>
            <w:r>
              <w:rPr>
                <w:rFonts w:hint="eastAsia"/>
                <w:color w:val="auto"/>
              </w:rPr>
              <w:t>0.433</w:t>
            </w:r>
          </w:p>
        </w:tc>
        <w:tc>
          <w:tcPr>
            <w:tcW w:w="621" w:type="pct"/>
            <w:vAlign w:val="center"/>
          </w:tcPr>
          <w:p w14:paraId="775CB76C">
            <w:pPr>
              <w:pStyle w:val="33"/>
              <w:rPr>
                <w:rFonts w:eastAsia="Times New Roman"/>
                <w:color w:val="auto"/>
              </w:rPr>
            </w:pPr>
            <w:r>
              <w:rPr>
                <w:rFonts w:hint="eastAsia"/>
                <w:color w:val="auto"/>
              </w:rPr>
              <w:t>0.02</w:t>
            </w:r>
          </w:p>
        </w:tc>
        <w:tc>
          <w:tcPr>
            <w:tcW w:w="627" w:type="pct"/>
            <w:vAlign w:val="center"/>
          </w:tcPr>
          <w:p w14:paraId="3AF59C0D">
            <w:pPr>
              <w:pStyle w:val="33"/>
              <w:rPr>
                <w:rFonts w:eastAsia="Times New Roman"/>
                <w:color w:val="auto"/>
              </w:rPr>
            </w:pPr>
            <w:r>
              <w:rPr>
                <w:rFonts w:hint="eastAsia"/>
                <w:color w:val="auto"/>
              </w:rPr>
              <w:t>977-1303</w:t>
            </w:r>
          </w:p>
        </w:tc>
      </w:tr>
      <w:tr w14:paraId="31794E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423" w:type="pct"/>
            <w:gridSpan w:val="2"/>
            <w:vAlign w:val="center"/>
          </w:tcPr>
          <w:p w14:paraId="244F83AD">
            <w:pPr>
              <w:pStyle w:val="33"/>
              <w:rPr>
                <w:rFonts w:eastAsia="Times New Roman"/>
                <w:color w:val="auto"/>
              </w:rPr>
            </w:pPr>
            <w:r>
              <w:rPr>
                <w:color w:val="auto"/>
              </w:rPr>
              <w:t>《恶臭污染物排放标准》（</w:t>
            </w:r>
            <w:r>
              <w:rPr>
                <w:rFonts w:eastAsia="Times New Roman"/>
                <w:color w:val="auto"/>
              </w:rPr>
              <w:t>GB14554-93</w:t>
            </w:r>
            <w:r>
              <w:rPr>
                <w:color w:val="auto"/>
              </w:rPr>
              <w:t>）</w:t>
            </w:r>
          </w:p>
        </w:tc>
        <w:tc>
          <w:tcPr>
            <w:tcW w:w="469" w:type="pct"/>
            <w:vAlign w:val="center"/>
          </w:tcPr>
          <w:p w14:paraId="197B52E6">
            <w:pPr>
              <w:pStyle w:val="33"/>
              <w:rPr>
                <w:rFonts w:eastAsia="Times New Roman"/>
                <w:color w:val="auto"/>
              </w:rPr>
            </w:pPr>
            <w:r>
              <w:rPr>
                <w:rFonts w:eastAsia="Times New Roman"/>
                <w:color w:val="auto"/>
              </w:rPr>
              <w:t>/</w:t>
            </w:r>
          </w:p>
        </w:tc>
        <w:tc>
          <w:tcPr>
            <w:tcW w:w="391" w:type="pct"/>
            <w:vAlign w:val="center"/>
          </w:tcPr>
          <w:p w14:paraId="2B280D3C">
            <w:pPr>
              <w:pStyle w:val="33"/>
              <w:rPr>
                <w:rFonts w:eastAsia="Times New Roman"/>
                <w:color w:val="auto"/>
              </w:rPr>
            </w:pPr>
            <w:r>
              <w:rPr>
                <w:rFonts w:eastAsia="Times New Roman"/>
                <w:color w:val="auto"/>
                <w:spacing w:val="-1"/>
              </w:rPr>
              <w:t>4.9</w:t>
            </w:r>
          </w:p>
        </w:tc>
        <w:tc>
          <w:tcPr>
            <w:tcW w:w="469" w:type="pct"/>
            <w:vAlign w:val="center"/>
          </w:tcPr>
          <w:p w14:paraId="3A907BCE">
            <w:pPr>
              <w:pStyle w:val="33"/>
              <w:rPr>
                <w:rFonts w:eastAsia="Times New Roman"/>
                <w:color w:val="auto"/>
              </w:rPr>
            </w:pPr>
            <w:r>
              <w:rPr>
                <w:rFonts w:eastAsia="Times New Roman"/>
                <w:color w:val="auto"/>
              </w:rPr>
              <w:t>/</w:t>
            </w:r>
          </w:p>
        </w:tc>
        <w:tc>
          <w:tcPr>
            <w:tcW w:w="621" w:type="pct"/>
            <w:vAlign w:val="center"/>
          </w:tcPr>
          <w:p w14:paraId="53EA72D7">
            <w:pPr>
              <w:pStyle w:val="33"/>
              <w:rPr>
                <w:rFonts w:eastAsia="Times New Roman"/>
                <w:color w:val="auto"/>
              </w:rPr>
            </w:pPr>
            <w:r>
              <w:rPr>
                <w:rFonts w:eastAsia="Times New Roman"/>
                <w:color w:val="auto"/>
                <w:spacing w:val="-2"/>
              </w:rPr>
              <w:t>0.33</w:t>
            </w:r>
          </w:p>
        </w:tc>
        <w:tc>
          <w:tcPr>
            <w:tcW w:w="627" w:type="pct"/>
            <w:vAlign w:val="center"/>
          </w:tcPr>
          <w:p w14:paraId="64447640">
            <w:pPr>
              <w:pStyle w:val="33"/>
              <w:rPr>
                <w:rFonts w:eastAsia="Times New Roman"/>
                <w:color w:val="auto"/>
              </w:rPr>
            </w:pPr>
            <w:r>
              <w:rPr>
                <w:rFonts w:eastAsia="Times New Roman"/>
                <w:color w:val="auto"/>
                <w:spacing w:val="-1"/>
              </w:rPr>
              <w:t>2000</w:t>
            </w:r>
          </w:p>
        </w:tc>
      </w:tr>
      <w:tr w14:paraId="6F3EAE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423" w:type="pct"/>
            <w:gridSpan w:val="2"/>
            <w:vAlign w:val="center"/>
          </w:tcPr>
          <w:p w14:paraId="15C21832">
            <w:pPr>
              <w:pStyle w:val="33"/>
              <w:rPr>
                <w:rFonts w:eastAsia="Times New Roman"/>
                <w:color w:val="auto"/>
              </w:rPr>
            </w:pPr>
            <w:r>
              <w:rPr>
                <w:color w:val="auto"/>
                <w:spacing w:val="-2"/>
              </w:rPr>
              <w:t>达标情况</w:t>
            </w:r>
          </w:p>
        </w:tc>
        <w:tc>
          <w:tcPr>
            <w:tcW w:w="469" w:type="pct"/>
            <w:vAlign w:val="center"/>
          </w:tcPr>
          <w:p w14:paraId="5226E7EA">
            <w:pPr>
              <w:pStyle w:val="33"/>
              <w:rPr>
                <w:rFonts w:eastAsia="Times New Roman"/>
                <w:color w:val="auto"/>
              </w:rPr>
            </w:pPr>
            <w:r>
              <w:rPr>
                <w:rFonts w:eastAsia="Times New Roman"/>
                <w:color w:val="auto"/>
              </w:rPr>
              <w:t>/</w:t>
            </w:r>
          </w:p>
        </w:tc>
        <w:tc>
          <w:tcPr>
            <w:tcW w:w="391" w:type="pct"/>
            <w:vAlign w:val="center"/>
          </w:tcPr>
          <w:p w14:paraId="399BED3A">
            <w:pPr>
              <w:pStyle w:val="33"/>
              <w:rPr>
                <w:color w:val="auto"/>
              </w:rPr>
            </w:pPr>
            <w:r>
              <w:rPr>
                <w:color w:val="auto"/>
                <w:spacing w:val="-2"/>
              </w:rPr>
              <w:t>达标</w:t>
            </w:r>
          </w:p>
        </w:tc>
        <w:tc>
          <w:tcPr>
            <w:tcW w:w="469" w:type="pct"/>
            <w:vAlign w:val="center"/>
          </w:tcPr>
          <w:p w14:paraId="2DE88F28">
            <w:pPr>
              <w:pStyle w:val="33"/>
              <w:rPr>
                <w:rFonts w:eastAsia="Times New Roman"/>
                <w:color w:val="auto"/>
              </w:rPr>
            </w:pPr>
            <w:r>
              <w:rPr>
                <w:rFonts w:eastAsia="Times New Roman"/>
                <w:color w:val="auto"/>
              </w:rPr>
              <w:t>/</w:t>
            </w:r>
          </w:p>
        </w:tc>
        <w:tc>
          <w:tcPr>
            <w:tcW w:w="621" w:type="pct"/>
            <w:vAlign w:val="center"/>
          </w:tcPr>
          <w:p w14:paraId="4DC8B724">
            <w:pPr>
              <w:pStyle w:val="33"/>
              <w:rPr>
                <w:color w:val="auto"/>
              </w:rPr>
            </w:pPr>
            <w:r>
              <w:rPr>
                <w:color w:val="auto"/>
                <w:spacing w:val="-2"/>
              </w:rPr>
              <w:t>达标</w:t>
            </w:r>
          </w:p>
        </w:tc>
        <w:tc>
          <w:tcPr>
            <w:tcW w:w="627" w:type="pct"/>
            <w:vAlign w:val="center"/>
          </w:tcPr>
          <w:p w14:paraId="2826B01A">
            <w:pPr>
              <w:pStyle w:val="33"/>
              <w:rPr>
                <w:color w:val="auto"/>
              </w:rPr>
            </w:pPr>
            <w:r>
              <w:rPr>
                <w:color w:val="auto"/>
                <w:spacing w:val="-2"/>
              </w:rPr>
              <w:t>达标</w:t>
            </w:r>
          </w:p>
        </w:tc>
      </w:tr>
    </w:tbl>
    <w:p w14:paraId="52CBD5B5">
      <w:pPr>
        <w:ind w:firstLine="480"/>
        <w:rPr>
          <w:color w:val="auto"/>
        </w:rPr>
      </w:pPr>
      <w:r>
        <w:rPr>
          <w:rFonts w:hint="eastAsia"/>
          <w:color w:val="auto"/>
        </w:rPr>
        <w:t>现有工程淋膜纸生产废气排放口监测结果见下表</w:t>
      </w:r>
      <w:r>
        <w:rPr>
          <w:color w:val="auto"/>
        </w:rPr>
        <w:t>，由监测结果可知，排放口的</w:t>
      </w:r>
      <w:r>
        <w:rPr>
          <w:rFonts w:hint="eastAsia"/>
          <w:color w:val="auto"/>
        </w:rPr>
        <w:t>非甲烷总烃</w:t>
      </w:r>
      <w:r>
        <w:rPr>
          <w:color w:val="auto"/>
        </w:rPr>
        <w:t>浓度满</w:t>
      </w:r>
      <w:r>
        <w:rPr>
          <w:rFonts w:hint="eastAsia"/>
          <w:color w:val="auto"/>
        </w:rPr>
        <w:t>足《大气污染物综合排放标准》（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p w14:paraId="70D26AC6">
      <w:pPr>
        <w:pStyle w:val="7"/>
        <w:rPr>
          <w:color w:val="auto"/>
        </w:rPr>
      </w:pPr>
      <w:r>
        <w:rPr>
          <w:rFonts w:hint="eastAsia"/>
          <w:color w:val="auto"/>
        </w:rPr>
        <w:t>淋膜车间非甲烷总烃浓度2</w:t>
      </w:r>
      <w:r>
        <w:rPr>
          <w:rFonts w:eastAsia="Times New Roman" w:cs="Times New Roman"/>
          <w:color w:val="auto"/>
        </w:rPr>
        <w:t>02</w:t>
      </w:r>
      <w:r>
        <w:rPr>
          <w:rFonts w:hint="eastAsia" w:cs="Times New Roman" w:eastAsiaTheme="minorEastAsia"/>
          <w:color w:val="auto"/>
        </w:rPr>
        <w:t>5</w:t>
      </w:r>
      <w:r>
        <w:rPr>
          <w:color w:val="auto"/>
        </w:rPr>
        <w:t>年自行监测</w:t>
      </w:r>
      <w:r>
        <w:rPr>
          <w:rFonts w:hint="eastAsia"/>
          <w:color w:val="auto"/>
        </w:rPr>
        <w:t>结果</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5"/>
        <w:gridCol w:w="3119"/>
        <w:gridCol w:w="850"/>
        <w:gridCol w:w="851"/>
        <w:gridCol w:w="892"/>
        <w:gridCol w:w="943"/>
      </w:tblGrid>
      <w:tr w14:paraId="31B81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524" w:type="dxa"/>
            <w:gridSpan w:val="2"/>
            <w:vAlign w:val="center"/>
          </w:tcPr>
          <w:p w14:paraId="53572EF5">
            <w:pPr>
              <w:pStyle w:val="33"/>
              <w:rPr>
                <w:b/>
                <w:bCs/>
                <w:color w:val="auto"/>
              </w:rPr>
            </w:pPr>
            <w:r>
              <w:rPr>
                <w:rFonts w:hint="eastAsia"/>
                <w:b/>
                <w:bCs/>
                <w:color w:val="auto"/>
              </w:rPr>
              <w:t>排气筒编号</w:t>
            </w:r>
          </w:p>
        </w:tc>
        <w:tc>
          <w:tcPr>
            <w:tcW w:w="850" w:type="dxa"/>
            <w:vAlign w:val="center"/>
          </w:tcPr>
          <w:p w14:paraId="52B13EC0">
            <w:pPr>
              <w:pStyle w:val="33"/>
              <w:rPr>
                <w:b/>
                <w:bCs/>
                <w:color w:val="auto"/>
              </w:rPr>
            </w:pPr>
            <w:r>
              <w:rPr>
                <w:rFonts w:hint="eastAsia"/>
                <w:b/>
                <w:bCs/>
                <w:color w:val="auto"/>
              </w:rPr>
              <w:t>1#</w:t>
            </w:r>
          </w:p>
        </w:tc>
        <w:tc>
          <w:tcPr>
            <w:tcW w:w="851" w:type="dxa"/>
            <w:vAlign w:val="center"/>
          </w:tcPr>
          <w:p w14:paraId="74C12C1B">
            <w:pPr>
              <w:pStyle w:val="33"/>
              <w:rPr>
                <w:b/>
                <w:bCs/>
                <w:color w:val="auto"/>
              </w:rPr>
            </w:pPr>
            <w:r>
              <w:rPr>
                <w:rFonts w:hint="eastAsia"/>
                <w:b/>
                <w:bCs/>
                <w:color w:val="auto"/>
              </w:rPr>
              <w:t>2#</w:t>
            </w:r>
          </w:p>
        </w:tc>
        <w:tc>
          <w:tcPr>
            <w:tcW w:w="892" w:type="dxa"/>
            <w:vAlign w:val="center"/>
          </w:tcPr>
          <w:p w14:paraId="31C5F847">
            <w:pPr>
              <w:pStyle w:val="33"/>
              <w:rPr>
                <w:b/>
                <w:bCs/>
                <w:color w:val="auto"/>
              </w:rPr>
            </w:pPr>
            <w:r>
              <w:rPr>
                <w:rFonts w:hint="eastAsia"/>
                <w:b/>
                <w:bCs/>
                <w:color w:val="auto"/>
              </w:rPr>
              <w:t>3#</w:t>
            </w:r>
          </w:p>
        </w:tc>
        <w:tc>
          <w:tcPr>
            <w:tcW w:w="943" w:type="dxa"/>
            <w:vAlign w:val="center"/>
          </w:tcPr>
          <w:p w14:paraId="12D28800">
            <w:pPr>
              <w:pStyle w:val="33"/>
              <w:rPr>
                <w:b/>
                <w:bCs/>
                <w:color w:val="auto"/>
              </w:rPr>
            </w:pPr>
            <w:r>
              <w:rPr>
                <w:rFonts w:hint="eastAsia"/>
                <w:b/>
                <w:bCs/>
                <w:color w:val="auto"/>
              </w:rPr>
              <w:t>4#</w:t>
            </w:r>
          </w:p>
        </w:tc>
      </w:tr>
      <w:tr w14:paraId="4DD72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7D735AF7">
            <w:pPr>
              <w:pStyle w:val="33"/>
              <w:rPr>
                <w:color w:val="auto"/>
              </w:rPr>
            </w:pPr>
            <w:r>
              <w:rPr>
                <w:rFonts w:hint="eastAsia"/>
                <w:color w:val="auto"/>
              </w:rPr>
              <w:t>监测数据</w:t>
            </w:r>
          </w:p>
        </w:tc>
        <w:tc>
          <w:tcPr>
            <w:tcW w:w="850" w:type="dxa"/>
            <w:vAlign w:val="center"/>
          </w:tcPr>
          <w:p w14:paraId="4D75B2DC">
            <w:pPr>
              <w:pStyle w:val="33"/>
              <w:rPr>
                <w:color w:val="auto"/>
              </w:rPr>
            </w:pPr>
            <w:r>
              <w:rPr>
                <w:rFonts w:hint="eastAsia"/>
                <w:color w:val="auto"/>
              </w:rPr>
              <w:t>平均值</w:t>
            </w:r>
          </w:p>
        </w:tc>
        <w:tc>
          <w:tcPr>
            <w:tcW w:w="851" w:type="dxa"/>
            <w:vAlign w:val="center"/>
          </w:tcPr>
          <w:p w14:paraId="375B88F3">
            <w:pPr>
              <w:pStyle w:val="33"/>
              <w:rPr>
                <w:color w:val="auto"/>
              </w:rPr>
            </w:pPr>
            <w:r>
              <w:rPr>
                <w:rFonts w:hint="eastAsia"/>
                <w:color w:val="auto"/>
              </w:rPr>
              <w:t>平均值</w:t>
            </w:r>
          </w:p>
        </w:tc>
        <w:tc>
          <w:tcPr>
            <w:tcW w:w="892" w:type="dxa"/>
            <w:vAlign w:val="center"/>
          </w:tcPr>
          <w:p w14:paraId="4DA1A2C0">
            <w:pPr>
              <w:pStyle w:val="33"/>
              <w:rPr>
                <w:color w:val="auto"/>
              </w:rPr>
            </w:pPr>
            <w:r>
              <w:rPr>
                <w:rFonts w:hint="eastAsia"/>
                <w:color w:val="auto"/>
              </w:rPr>
              <w:t>平均值</w:t>
            </w:r>
          </w:p>
        </w:tc>
        <w:tc>
          <w:tcPr>
            <w:tcW w:w="943" w:type="dxa"/>
            <w:vAlign w:val="center"/>
          </w:tcPr>
          <w:p w14:paraId="4CED7CBC">
            <w:pPr>
              <w:pStyle w:val="33"/>
              <w:rPr>
                <w:color w:val="auto"/>
              </w:rPr>
            </w:pPr>
            <w:r>
              <w:rPr>
                <w:rFonts w:hint="eastAsia"/>
                <w:color w:val="auto"/>
              </w:rPr>
              <w:t>平均值</w:t>
            </w:r>
          </w:p>
        </w:tc>
      </w:tr>
      <w:tr w14:paraId="3D031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5143DED7">
            <w:pPr>
              <w:pStyle w:val="33"/>
              <w:rPr>
                <w:color w:val="auto"/>
              </w:rPr>
            </w:pPr>
            <w:r>
              <w:rPr>
                <w:rFonts w:hint="eastAsia"/>
                <w:color w:val="auto"/>
              </w:rPr>
              <w:t>烟气量（m</w:t>
            </w:r>
            <w:r>
              <w:rPr>
                <w:rFonts w:hint="eastAsia"/>
                <w:color w:val="auto"/>
                <w:vertAlign w:val="superscript"/>
              </w:rPr>
              <w:t>3</w:t>
            </w:r>
            <w:r>
              <w:rPr>
                <w:rFonts w:hint="eastAsia"/>
                <w:color w:val="auto"/>
              </w:rPr>
              <w:t>/h）</w:t>
            </w:r>
          </w:p>
        </w:tc>
        <w:tc>
          <w:tcPr>
            <w:tcW w:w="850" w:type="dxa"/>
            <w:vAlign w:val="center"/>
          </w:tcPr>
          <w:p w14:paraId="33C8BC11">
            <w:pPr>
              <w:pStyle w:val="33"/>
              <w:rPr>
                <w:color w:val="auto"/>
              </w:rPr>
            </w:pPr>
            <w:r>
              <w:rPr>
                <w:rFonts w:hint="eastAsia"/>
                <w:color w:val="auto"/>
              </w:rPr>
              <w:t>6407</w:t>
            </w:r>
          </w:p>
        </w:tc>
        <w:tc>
          <w:tcPr>
            <w:tcW w:w="851" w:type="dxa"/>
            <w:vAlign w:val="center"/>
          </w:tcPr>
          <w:p w14:paraId="36E3A979">
            <w:pPr>
              <w:pStyle w:val="33"/>
              <w:rPr>
                <w:color w:val="auto"/>
              </w:rPr>
            </w:pPr>
            <w:r>
              <w:rPr>
                <w:rFonts w:hint="eastAsia"/>
                <w:color w:val="auto"/>
              </w:rPr>
              <w:t>4398</w:t>
            </w:r>
          </w:p>
        </w:tc>
        <w:tc>
          <w:tcPr>
            <w:tcW w:w="892" w:type="dxa"/>
            <w:vAlign w:val="center"/>
          </w:tcPr>
          <w:p w14:paraId="56E963DE">
            <w:pPr>
              <w:pStyle w:val="33"/>
              <w:rPr>
                <w:color w:val="auto"/>
              </w:rPr>
            </w:pPr>
            <w:r>
              <w:rPr>
                <w:rFonts w:hint="eastAsia"/>
                <w:color w:val="auto"/>
              </w:rPr>
              <w:t>3078</w:t>
            </w:r>
          </w:p>
        </w:tc>
        <w:tc>
          <w:tcPr>
            <w:tcW w:w="943" w:type="dxa"/>
            <w:vAlign w:val="center"/>
          </w:tcPr>
          <w:p w14:paraId="52A91E7A">
            <w:pPr>
              <w:pStyle w:val="33"/>
              <w:rPr>
                <w:color w:val="auto"/>
              </w:rPr>
            </w:pPr>
            <w:r>
              <w:rPr>
                <w:rFonts w:hint="eastAsia"/>
                <w:color w:val="auto"/>
              </w:rPr>
              <w:t>3194</w:t>
            </w:r>
          </w:p>
        </w:tc>
      </w:tr>
      <w:tr w14:paraId="42499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3BB857E6">
            <w:pPr>
              <w:pStyle w:val="33"/>
              <w:rPr>
                <w:color w:val="auto"/>
              </w:rPr>
            </w:pPr>
            <w:r>
              <w:rPr>
                <w:rFonts w:hint="eastAsia"/>
                <w:color w:val="auto"/>
              </w:rPr>
              <w:t>烟气温度（℃）</w:t>
            </w:r>
          </w:p>
        </w:tc>
        <w:tc>
          <w:tcPr>
            <w:tcW w:w="850" w:type="dxa"/>
            <w:vAlign w:val="center"/>
          </w:tcPr>
          <w:p w14:paraId="2A10E760">
            <w:pPr>
              <w:pStyle w:val="33"/>
              <w:rPr>
                <w:color w:val="auto"/>
              </w:rPr>
            </w:pPr>
            <w:r>
              <w:rPr>
                <w:rFonts w:hint="eastAsia"/>
                <w:color w:val="auto"/>
              </w:rPr>
              <w:t>50.9</w:t>
            </w:r>
          </w:p>
        </w:tc>
        <w:tc>
          <w:tcPr>
            <w:tcW w:w="851" w:type="dxa"/>
            <w:vAlign w:val="center"/>
          </w:tcPr>
          <w:p w14:paraId="65891907">
            <w:pPr>
              <w:pStyle w:val="33"/>
              <w:rPr>
                <w:color w:val="auto"/>
              </w:rPr>
            </w:pPr>
            <w:r>
              <w:rPr>
                <w:rFonts w:hint="eastAsia"/>
                <w:color w:val="auto"/>
              </w:rPr>
              <w:t>50.6</w:t>
            </w:r>
          </w:p>
        </w:tc>
        <w:tc>
          <w:tcPr>
            <w:tcW w:w="892" w:type="dxa"/>
            <w:vAlign w:val="center"/>
          </w:tcPr>
          <w:p w14:paraId="57920280">
            <w:pPr>
              <w:pStyle w:val="33"/>
              <w:rPr>
                <w:color w:val="auto"/>
              </w:rPr>
            </w:pPr>
            <w:r>
              <w:rPr>
                <w:rFonts w:hint="eastAsia"/>
                <w:color w:val="auto"/>
              </w:rPr>
              <w:t>41.1</w:t>
            </w:r>
          </w:p>
        </w:tc>
        <w:tc>
          <w:tcPr>
            <w:tcW w:w="943" w:type="dxa"/>
            <w:vAlign w:val="center"/>
          </w:tcPr>
          <w:p w14:paraId="1776C3FE">
            <w:pPr>
              <w:pStyle w:val="33"/>
              <w:rPr>
                <w:color w:val="auto"/>
              </w:rPr>
            </w:pPr>
            <w:r>
              <w:rPr>
                <w:rFonts w:hint="eastAsia"/>
                <w:color w:val="auto"/>
              </w:rPr>
              <w:t>46.1</w:t>
            </w:r>
          </w:p>
        </w:tc>
      </w:tr>
      <w:tr w14:paraId="7A7FD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1B8377C8">
            <w:pPr>
              <w:pStyle w:val="33"/>
              <w:rPr>
                <w:color w:val="auto"/>
              </w:rPr>
            </w:pPr>
            <w:r>
              <w:rPr>
                <w:rFonts w:hint="eastAsia"/>
                <w:color w:val="auto"/>
              </w:rPr>
              <w:t>烟气含湿量（%）</w:t>
            </w:r>
          </w:p>
        </w:tc>
        <w:tc>
          <w:tcPr>
            <w:tcW w:w="850" w:type="dxa"/>
            <w:vAlign w:val="center"/>
          </w:tcPr>
          <w:p w14:paraId="1D96E3C3">
            <w:pPr>
              <w:pStyle w:val="33"/>
              <w:rPr>
                <w:color w:val="auto"/>
              </w:rPr>
            </w:pPr>
            <w:r>
              <w:rPr>
                <w:rFonts w:hint="eastAsia"/>
                <w:color w:val="auto"/>
              </w:rPr>
              <w:t>5.13</w:t>
            </w:r>
          </w:p>
        </w:tc>
        <w:tc>
          <w:tcPr>
            <w:tcW w:w="851" w:type="dxa"/>
            <w:vAlign w:val="center"/>
          </w:tcPr>
          <w:p w14:paraId="40AC7AD8">
            <w:pPr>
              <w:pStyle w:val="33"/>
              <w:rPr>
                <w:color w:val="auto"/>
              </w:rPr>
            </w:pPr>
            <w:r>
              <w:rPr>
                <w:rFonts w:hint="eastAsia"/>
                <w:color w:val="auto"/>
              </w:rPr>
              <w:t>5.02</w:t>
            </w:r>
          </w:p>
        </w:tc>
        <w:tc>
          <w:tcPr>
            <w:tcW w:w="892" w:type="dxa"/>
            <w:vAlign w:val="center"/>
          </w:tcPr>
          <w:p w14:paraId="33F1837E">
            <w:pPr>
              <w:pStyle w:val="33"/>
              <w:rPr>
                <w:color w:val="auto"/>
              </w:rPr>
            </w:pPr>
            <w:r>
              <w:rPr>
                <w:rFonts w:hint="eastAsia"/>
                <w:color w:val="auto"/>
              </w:rPr>
              <w:t>5.09</w:t>
            </w:r>
          </w:p>
        </w:tc>
        <w:tc>
          <w:tcPr>
            <w:tcW w:w="943" w:type="dxa"/>
            <w:vAlign w:val="center"/>
          </w:tcPr>
          <w:p w14:paraId="534E3624">
            <w:pPr>
              <w:pStyle w:val="33"/>
              <w:rPr>
                <w:color w:val="auto"/>
              </w:rPr>
            </w:pPr>
            <w:r>
              <w:rPr>
                <w:rFonts w:hint="eastAsia"/>
                <w:color w:val="auto"/>
              </w:rPr>
              <w:t>5.28</w:t>
            </w:r>
          </w:p>
        </w:tc>
      </w:tr>
      <w:tr w14:paraId="69B79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14EF24B2">
            <w:pPr>
              <w:pStyle w:val="33"/>
              <w:rPr>
                <w:color w:val="auto"/>
              </w:rPr>
            </w:pPr>
            <w:r>
              <w:rPr>
                <w:rFonts w:hint="eastAsia"/>
                <w:color w:val="auto"/>
              </w:rPr>
              <w:t>烟气流速（m/s）</w:t>
            </w:r>
          </w:p>
        </w:tc>
        <w:tc>
          <w:tcPr>
            <w:tcW w:w="850" w:type="dxa"/>
            <w:vAlign w:val="center"/>
          </w:tcPr>
          <w:p w14:paraId="355F73B1">
            <w:pPr>
              <w:pStyle w:val="33"/>
              <w:rPr>
                <w:color w:val="auto"/>
              </w:rPr>
            </w:pPr>
            <w:r>
              <w:rPr>
                <w:rFonts w:hint="eastAsia"/>
                <w:color w:val="auto"/>
              </w:rPr>
              <w:t>17.8</w:t>
            </w:r>
          </w:p>
        </w:tc>
        <w:tc>
          <w:tcPr>
            <w:tcW w:w="851" w:type="dxa"/>
            <w:vAlign w:val="center"/>
          </w:tcPr>
          <w:p w14:paraId="29E61B87">
            <w:pPr>
              <w:pStyle w:val="33"/>
              <w:rPr>
                <w:color w:val="auto"/>
              </w:rPr>
            </w:pPr>
            <w:r>
              <w:rPr>
                <w:rFonts w:hint="eastAsia"/>
                <w:color w:val="auto"/>
              </w:rPr>
              <w:t>12.2</w:t>
            </w:r>
          </w:p>
        </w:tc>
        <w:tc>
          <w:tcPr>
            <w:tcW w:w="892" w:type="dxa"/>
            <w:vAlign w:val="center"/>
          </w:tcPr>
          <w:p w14:paraId="7BBAD5CB">
            <w:pPr>
              <w:pStyle w:val="33"/>
              <w:rPr>
                <w:color w:val="auto"/>
              </w:rPr>
            </w:pPr>
            <w:r>
              <w:rPr>
                <w:rFonts w:hint="eastAsia"/>
                <w:color w:val="auto"/>
              </w:rPr>
              <w:t>8.3</w:t>
            </w:r>
          </w:p>
        </w:tc>
        <w:tc>
          <w:tcPr>
            <w:tcW w:w="943" w:type="dxa"/>
            <w:vAlign w:val="center"/>
          </w:tcPr>
          <w:p w14:paraId="49A8BF16">
            <w:pPr>
              <w:pStyle w:val="33"/>
              <w:rPr>
                <w:color w:val="auto"/>
              </w:rPr>
            </w:pPr>
            <w:r>
              <w:rPr>
                <w:rFonts w:hint="eastAsia"/>
                <w:color w:val="auto"/>
              </w:rPr>
              <w:t>8.8</w:t>
            </w:r>
          </w:p>
        </w:tc>
      </w:tr>
      <w:tr w14:paraId="185D8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421D18A3">
            <w:pPr>
              <w:pStyle w:val="33"/>
              <w:rPr>
                <w:color w:val="auto"/>
              </w:rPr>
            </w:pPr>
            <w:r>
              <w:rPr>
                <w:rFonts w:hint="eastAsia"/>
                <w:color w:val="auto"/>
              </w:rPr>
              <w:t>标况干烟气量（m</w:t>
            </w:r>
            <w:r>
              <w:rPr>
                <w:rFonts w:hint="eastAsia"/>
                <w:color w:val="auto"/>
                <w:vertAlign w:val="superscript"/>
              </w:rPr>
              <w:t>3</w:t>
            </w:r>
            <w:r>
              <w:rPr>
                <w:rFonts w:hint="eastAsia"/>
                <w:color w:val="auto"/>
              </w:rPr>
              <w:t>/h）</w:t>
            </w:r>
          </w:p>
        </w:tc>
        <w:tc>
          <w:tcPr>
            <w:tcW w:w="850" w:type="dxa"/>
            <w:vAlign w:val="center"/>
          </w:tcPr>
          <w:p w14:paraId="7146F29D">
            <w:pPr>
              <w:pStyle w:val="33"/>
              <w:rPr>
                <w:color w:val="auto"/>
              </w:rPr>
            </w:pPr>
            <w:r>
              <w:rPr>
                <w:rFonts w:hint="eastAsia"/>
                <w:color w:val="auto"/>
              </w:rPr>
              <w:t>6407</w:t>
            </w:r>
          </w:p>
        </w:tc>
        <w:tc>
          <w:tcPr>
            <w:tcW w:w="851" w:type="dxa"/>
            <w:vAlign w:val="center"/>
          </w:tcPr>
          <w:p w14:paraId="49D6633A">
            <w:pPr>
              <w:pStyle w:val="33"/>
              <w:rPr>
                <w:color w:val="auto"/>
              </w:rPr>
            </w:pPr>
            <w:r>
              <w:rPr>
                <w:rFonts w:hint="eastAsia"/>
                <w:color w:val="auto"/>
              </w:rPr>
              <w:t>4398</w:t>
            </w:r>
          </w:p>
        </w:tc>
        <w:tc>
          <w:tcPr>
            <w:tcW w:w="892" w:type="dxa"/>
            <w:vAlign w:val="center"/>
          </w:tcPr>
          <w:p w14:paraId="40A97B04">
            <w:pPr>
              <w:pStyle w:val="33"/>
              <w:rPr>
                <w:color w:val="auto"/>
              </w:rPr>
            </w:pPr>
            <w:r>
              <w:rPr>
                <w:rFonts w:hint="eastAsia"/>
                <w:color w:val="auto"/>
              </w:rPr>
              <w:t>3078</w:t>
            </w:r>
          </w:p>
        </w:tc>
        <w:tc>
          <w:tcPr>
            <w:tcW w:w="943" w:type="dxa"/>
            <w:vAlign w:val="center"/>
          </w:tcPr>
          <w:p w14:paraId="40E12537">
            <w:pPr>
              <w:pStyle w:val="33"/>
              <w:rPr>
                <w:color w:val="auto"/>
              </w:rPr>
            </w:pPr>
            <w:r>
              <w:rPr>
                <w:rFonts w:hint="eastAsia"/>
                <w:color w:val="auto"/>
              </w:rPr>
              <w:t>3194</w:t>
            </w:r>
          </w:p>
        </w:tc>
      </w:tr>
      <w:tr w14:paraId="3DE07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5698FA7F">
            <w:pPr>
              <w:pStyle w:val="33"/>
              <w:rPr>
                <w:color w:val="auto"/>
              </w:rPr>
            </w:pPr>
            <w:r>
              <w:rPr>
                <w:rFonts w:hint="eastAsia"/>
                <w:color w:val="auto"/>
              </w:rPr>
              <w:t>实测浓度（mg/m</w:t>
            </w:r>
            <w:r>
              <w:rPr>
                <w:rFonts w:hint="eastAsia"/>
                <w:color w:val="auto"/>
                <w:vertAlign w:val="superscript"/>
              </w:rPr>
              <w:t>3</w:t>
            </w:r>
            <w:r>
              <w:rPr>
                <w:rFonts w:hint="eastAsia"/>
                <w:color w:val="auto"/>
              </w:rPr>
              <w:t>）</w:t>
            </w:r>
          </w:p>
        </w:tc>
        <w:tc>
          <w:tcPr>
            <w:tcW w:w="850" w:type="dxa"/>
            <w:vAlign w:val="center"/>
          </w:tcPr>
          <w:p w14:paraId="45CEB6F9">
            <w:pPr>
              <w:pStyle w:val="33"/>
              <w:rPr>
                <w:color w:val="auto"/>
              </w:rPr>
            </w:pPr>
            <w:r>
              <w:rPr>
                <w:rFonts w:hint="eastAsia"/>
                <w:color w:val="auto"/>
              </w:rPr>
              <w:t>7.80</w:t>
            </w:r>
          </w:p>
        </w:tc>
        <w:tc>
          <w:tcPr>
            <w:tcW w:w="851" w:type="dxa"/>
            <w:vAlign w:val="center"/>
          </w:tcPr>
          <w:p w14:paraId="264E4A52">
            <w:pPr>
              <w:pStyle w:val="33"/>
              <w:rPr>
                <w:color w:val="auto"/>
              </w:rPr>
            </w:pPr>
            <w:r>
              <w:rPr>
                <w:rFonts w:hint="eastAsia"/>
                <w:color w:val="auto"/>
              </w:rPr>
              <w:t>5.35</w:t>
            </w:r>
          </w:p>
        </w:tc>
        <w:tc>
          <w:tcPr>
            <w:tcW w:w="892" w:type="dxa"/>
            <w:vAlign w:val="center"/>
          </w:tcPr>
          <w:p w14:paraId="2485F9CB">
            <w:pPr>
              <w:pStyle w:val="33"/>
              <w:rPr>
                <w:color w:val="auto"/>
              </w:rPr>
            </w:pPr>
            <w:r>
              <w:rPr>
                <w:rFonts w:hint="eastAsia"/>
                <w:color w:val="auto"/>
              </w:rPr>
              <w:t>5.94</w:t>
            </w:r>
          </w:p>
        </w:tc>
        <w:tc>
          <w:tcPr>
            <w:tcW w:w="943" w:type="dxa"/>
            <w:vAlign w:val="center"/>
          </w:tcPr>
          <w:p w14:paraId="42CC9798">
            <w:pPr>
              <w:pStyle w:val="33"/>
              <w:rPr>
                <w:color w:val="auto"/>
              </w:rPr>
            </w:pPr>
            <w:r>
              <w:rPr>
                <w:rFonts w:hint="eastAsia"/>
                <w:color w:val="auto"/>
              </w:rPr>
              <w:t>6.62</w:t>
            </w:r>
          </w:p>
        </w:tc>
      </w:tr>
      <w:tr w14:paraId="65B75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524" w:type="dxa"/>
            <w:gridSpan w:val="2"/>
            <w:vAlign w:val="center"/>
          </w:tcPr>
          <w:p w14:paraId="67CA9FB5">
            <w:pPr>
              <w:pStyle w:val="33"/>
              <w:rPr>
                <w:color w:val="auto"/>
              </w:rPr>
            </w:pPr>
            <w:r>
              <w:rPr>
                <w:rFonts w:hint="eastAsia"/>
                <w:color w:val="auto"/>
              </w:rPr>
              <w:t>排放速率（kg/h）</w:t>
            </w:r>
          </w:p>
        </w:tc>
        <w:tc>
          <w:tcPr>
            <w:tcW w:w="850" w:type="dxa"/>
            <w:vAlign w:val="center"/>
          </w:tcPr>
          <w:p w14:paraId="635DC1D6">
            <w:pPr>
              <w:pStyle w:val="33"/>
              <w:rPr>
                <w:color w:val="auto"/>
              </w:rPr>
            </w:pPr>
            <w:r>
              <w:rPr>
                <w:rFonts w:hint="eastAsia"/>
                <w:color w:val="auto"/>
              </w:rPr>
              <w:t>0.05</w:t>
            </w:r>
          </w:p>
        </w:tc>
        <w:tc>
          <w:tcPr>
            <w:tcW w:w="851" w:type="dxa"/>
            <w:vAlign w:val="center"/>
          </w:tcPr>
          <w:p w14:paraId="1EE21BD7">
            <w:pPr>
              <w:pStyle w:val="33"/>
              <w:rPr>
                <w:color w:val="auto"/>
              </w:rPr>
            </w:pPr>
            <w:r>
              <w:rPr>
                <w:rFonts w:hint="eastAsia"/>
                <w:color w:val="auto"/>
              </w:rPr>
              <w:t>0.02</w:t>
            </w:r>
          </w:p>
        </w:tc>
        <w:tc>
          <w:tcPr>
            <w:tcW w:w="892" w:type="dxa"/>
            <w:vAlign w:val="center"/>
          </w:tcPr>
          <w:p w14:paraId="6352CC90">
            <w:pPr>
              <w:pStyle w:val="33"/>
              <w:rPr>
                <w:color w:val="auto"/>
              </w:rPr>
            </w:pPr>
            <w:r>
              <w:rPr>
                <w:rFonts w:hint="eastAsia"/>
                <w:color w:val="auto"/>
              </w:rPr>
              <w:t>0.02</w:t>
            </w:r>
          </w:p>
        </w:tc>
        <w:tc>
          <w:tcPr>
            <w:tcW w:w="943" w:type="dxa"/>
            <w:vAlign w:val="center"/>
          </w:tcPr>
          <w:p w14:paraId="7A7E98C2">
            <w:pPr>
              <w:pStyle w:val="33"/>
              <w:rPr>
                <w:color w:val="auto"/>
              </w:rPr>
            </w:pPr>
            <w:r>
              <w:rPr>
                <w:rFonts w:hint="eastAsia"/>
                <w:color w:val="auto"/>
              </w:rPr>
              <w:t>0.02</w:t>
            </w:r>
          </w:p>
        </w:tc>
      </w:tr>
      <w:tr w14:paraId="28A9C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5" w:type="dxa"/>
            <w:vMerge w:val="restart"/>
            <w:vAlign w:val="center"/>
          </w:tcPr>
          <w:p w14:paraId="44E97940">
            <w:pPr>
              <w:pStyle w:val="33"/>
              <w:rPr>
                <w:color w:val="auto"/>
              </w:rPr>
            </w:pPr>
            <w:r>
              <w:rPr>
                <w:rFonts w:hint="eastAsia"/>
                <w:color w:val="auto"/>
              </w:rPr>
              <w:t>《大气污染物综合排放标准》（GB16297-1996）表2新污染源大气污染物排放限值中最高允许排放浓度和最高允许排放速率二级要求</w:t>
            </w:r>
          </w:p>
        </w:tc>
        <w:tc>
          <w:tcPr>
            <w:tcW w:w="3119" w:type="dxa"/>
            <w:vAlign w:val="center"/>
          </w:tcPr>
          <w:p w14:paraId="4BDD5DC6">
            <w:pPr>
              <w:pStyle w:val="33"/>
              <w:rPr>
                <w:color w:val="auto"/>
              </w:rPr>
            </w:pPr>
            <w:r>
              <w:rPr>
                <w:rFonts w:hint="eastAsia"/>
                <w:color w:val="auto"/>
              </w:rPr>
              <w:t>最高允许排放浓度（mg/m</w:t>
            </w:r>
            <w:r>
              <w:rPr>
                <w:rFonts w:hint="eastAsia"/>
                <w:color w:val="auto"/>
                <w:vertAlign w:val="superscript"/>
              </w:rPr>
              <w:t>3</w:t>
            </w:r>
            <w:r>
              <w:rPr>
                <w:rFonts w:hint="eastAsia"/>
                <w:color w:val="auto"/>
              </w:rPr>
              <w:t>）</w:t>
            </w:r>
          </w:p>
        </w:tc>
        <w:tc>
          <w:tcPr>
            <w:tcW w:w="3536" w:type="dxa"/>
            <w:gridSpan w:val="4"/>
            <w:vAlign w:val="center"/>
          </w:tcPr>
          <w:p w14:paraId="06634063">
            <w:pPr>
              <w:pStyle w:val="33"/>
              <w:rPr>
                <w:color w:val="auto"/>
              </w:rPr>
            </w:pPr>
            <w:r>
              <w:rPr>
                <w:rFonts w:hint="eastAsia"/>
                <w:color w:val="auto"/>
              </w:rPr>
              <w:t>120</w:t>
            </w:r>
          </w:p>
        </w:tc>
      </w:tr>
      <w:tr w14:paraId="77585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5" w:type="dxa"/>
            <w:vMerge w:val="continue"/>
            <w:vAlign w:val="center"/>
          </w:tcPr>
          <w:p w14:paraId="14206B8C">
            <w:pPr>
              <w:pStyle w:val="33"/>
              <w:rPr>
                <w:color w:val="auto"/>
              </w:rPr>
            </w:pPr>
          </w:p>
        </w:tc>
        <w:tc>
          <w:tcPr>
            <w:tcW w:w="3119" w:type="dxa"/>
            <w:vAlign w:val="center"/>
          </w:tcPr>
          <w:p w14:paraId="3ACA8684">
            <w:pPr>
              <w:pStyle w:val="33"/>
              <w:rPr>
                <w:color w:val="auto"/>
              </w:rPr>
            </w:pPr>
            <w:r>
              <w:rPr>
                <w:rFonts w:hint="eastAsia"/>
                <w:color w:val="auto"/>
              </w:rPr>
              <w:t>二级最高允许排放速率（kg/h）</w:t>
            </w:r>
          </w:p>
        </w:tc>
        <w:tc>
          <w:tcPr>
            <w:tcW w:w="3536" w:type="dxa"/>
            <w:gridSpan w:val="4"/>
            <w:vAlign w:val="center"/>
          </w:tcPr>
          <w:p w14:paraId="069759B0">
            <w:pPr>
              <w:pStyle w:val="33"/>
              <w:rPr>
                <w:color w:val="auto"/>
              </w:rPr>
            </w:pPr>
            <w:r>
              <w:rPr>
                <w:rFonts w:hint="eastAsia"/>
                <w:color w:val="auto"/>
              </w:rPr>
              <w:t>10</w:t>
            </w:r>
          </w:p>
        </w:tc>
      </w:tr>
    </w:tbl>
    <w:p w14:paraId="144EABD5">
      <w:pPr>
        <w:ind w:firstLine="480"/>
        <w:rPr>
          <w:color w:val="auto"/>
        </w:rPr>
      </w:pPr>
      <w:r>
        <w:rPr>
          <w:color w:val="auto"/>
        </w:rPr>
        <w:t>（</w:t>
      </w:r>
      <w:r>
        <w:rPr>
          <w:rFonts w:eastAsia="Times New Roman" w:cs="Times New Roman"/>
          <w:color w:val="auto"/>
        </w:rPr>
        <w:t>2</w:t>
      </w:r>
      <w:r>
        <w:rPr>
          <w:color w:val="auto"/>
        </w:rPr>
        <w:t>）无组织废气排放</w:t>
      </w:r>
    </w:p>
    <w:p w14:paraId="2922BD68">
      <w:pPr>
        <w:ind w:firstLine="464"/>
        <w:rPr>
          <w:color w:val="auto"/>
        </w:rPr>
      </w:pPr>
      <w:r>
        <w:rPr>
          <w:rFonts w:eastAsia="Times New Roman" w:cs="Times New Roman"/>
          <w:color w:val="auto"/>
          <w:spacing w:val="-4"/>
        </w:rPr>
        <w:t>202</w:t>
      </w:r>
      <w:r>
        <w:rPr>
          <w:rFonts w:hint="eastAsia" w:cs="Times New Roman" w:eastAsiaTheme="minorEastAsia"/>
          <w:color w:val="auto"/>
          <w:spacing w:val="-4"/>
        </w:rPr>
        <w:t>5</w:t>
      </w:r>
      <w:r>
        <w:rPr>
          <w:color w:val="auto"/>
          <w:spacing w:val="-4"/>
        </w:rPr>
        <w:t>年厂界无组织</w:t>
      </w:r>
      <w:r>
        <w:rPr>
          <w:rFonts w:eastAsia="Times New Roman" w:cs="Times New Roman"/>
          <w:color w:val="auto"/>
          <w:spacing w:val="-4"/>
        </w:rPr>
        <w:t>TSP</w:t>
      </w:r>
      <w:r>
        <w:rPr>
          <w:color w:val="auto"/>
          <w:spacing w:val="-4"/>
        </w:rPr>
        <w:t>、氨、硫化氢、臭气浓度、二</w:t>
      </w:r>
      <w:r>
        <w:rPr>
          <w:color w:val="auto"/>
          <w:spacing w:val="-5"/>
        </w:rPr>
        <w:t>甲苯、非甲烷总烃</w:t>
      </w:r>
      <w:r>
        <w:rPr>
          <w:color w:val="auto"/>
          <w:spacing w:val="-2"/>
        </w:rPr>
        <w:t>自行监测结果见</w:t>
      </w:r>
      <w:r>
        <w:rPr>
          <w:rFonts w:hint="eastAsia"/>
          <w:color w:val="auto"/>
        </w:rPr>
        <w:t>下表</w:t>
      </w:r>
      <w:r>
        <w:rPr>
          <w:rFonts w:hint="eastAsia"/>
          <w:color w:val="auto"/>
          <w:spacing w:val="-2"/>
        </w:rPr>
        <w:t>，</w:t>
      </w:r>
      <w:r>
        <w:rPr>
          <w:color w:val="auto"/>
          <w:spacing w:val="-7"/>
        </w:rPr>
        <w:t>由监测结果可知，厂界无组织排放的</w:t>
      </w:r>
      <w:r>
        <w:rPr>
          <w:rFonts w:eastAsia="Times New Roman" w:cs="Times New Roman"/>
          <w:color w:val="auto"/>
          <w:spacing w:val="-7"/>
        </w:rPr>
        <w:t>H</w:t>
      </w:r>
      <w:r>
        <w:rPr>
          <w:rFonts w:eastAsia="Times New Roman" w:cs="Times New Roman"/>
          <w:color w:val="auto"/>
          <w:spacing w:val="-7"/>
          <w:sz w:val="15"/>
          <w:szCs w:val="15"/>
        </w:rPr>
        <w:t>2</w:t>
      </w:r>
      <w:r>
        <w:rPr>
          <w:rFonts w:eastAsia="Times New Roman" w:cs="Times New Roman"/>
          <w:color w:val="auto"/>
          <w:spacing w:val="-8"/>
        </w:rPr>
        <w:t>S</w:t>
      </w:r>
      <w:r>
        <w:rPr>
          <w:color w:val="auto"/>
          <w:spacing w:val="-8"/>
        </w:rPr>
        <w:t>、</w:t>
      </w:r>
      <w:r>
        <w:rPr>
          <w:rFonts w:eastAsia="Times New Roman" w:cs="Times New Roman"/>
          <w:color w:val="auto"/>
        </w:rPr>
        <w:t>NH</w:t>
      </w:r>
      <w:r>
        <w:rPr>
          <w:rFonts w:eastAsia="Times New Roman" w:cs="Times New Roman"/>
          <w:color w:val="auto"/>
          <w:sz w:val="15"/>
          <w:szCs w:val="15"/>
        </w:rPr>
        <w:t>3</w:t>
      </w:r>
      <w:r>
        <w:rPr>
          <w:color w:val="auto"/>
        </w:rPr>
        <w:t>、臭气浓度均达到《恶臭污染物排放标准》（</w:t>
      </w:r>
      <w:r>
        <w:rPr>
          <w:rFonts w:eastAsia="Times New Roman" w:cs="Times New Roman"/>
          <w:color w:val="auto"/>
        </w:rPr>
        <w:t>GB14554-93</w:t>
      </w:r>
      <w:r>
        <w:rPr>
          <w:color w:val="auto"/>
        </w:rPr>
        <w:t>）新改扩建项目二</w:t>
      </w:r>
      <w:r>
        <w:rPr>
          <w:color w:val="auto"/>
          <w:spacing w:val="-1"/>
        </w:rPr>
        <w:t>级标准的要求，</w:t>
      </w:r>
      <w:r>
        <w:rPr>
          <w:rFonts w:eastAsia="Times New Roman" w:cs="Times New Roman"/>
          <w:color w:val="auto"/>
          <w:spacing w:val="-1"/>
        </w:rPr>
        <w:t>TSP</w:t>
      </w:r>
      <w:r>
        <w:rPr>
          <w:color w:val="auto"/>
          <w:spacing w:val="-1"/>
        </w:rPr>
        <w:t>、非甲烷总烃、二甲苯浓度均达到《</w:t>
      </w:r>
      <w:r>
        <w:rPr>
          <w:color w:val="auto"/>
          <w:spacing w:val="-2"/>
        </w:rPr>
        <w:t>大气污染物综合排放标</w:t>
      </w:r>
      <w:r>
        <w:rPr>
          <w:color w:val="auto"/>
          <w:spacing w:val="-5"/>
        </w:rPr>
        <w:t>准》（</w:t>
      </w:r>
      <w:r>
        <w:rPr>
          <w:rFonts w:eastAsia="Times New Roman" w:cs="Times New Roman"/>
          <w:color w:val="auto"/>
          <w:spacing w:val="-5"/>
        </w:rPr>
        <w:t>GB16297-1996</w:t>
      </w:r>
      <w:r>
        <w:rPr>
          <w:color w:val="auto"/>
          <w:spacing w:val="-5"/>
        </w:rPr>
        <w:t>）中无组织排放监控浓度限值要求。</w:t>
      </w:r>
    </w:p>
    <w:p w14:paraId="34C90D02">
      <w:pPr>
        <w:pStyle w:val="7"/>
        <w:rPr>
          <w:color w:val="auto"/>
        </w:rPr>
      </w:pPr>
      <w:r>
        <w:rPr>
          <w:color w:val="auto"/>
        </w:rPr>
        <w:t>厂界无组织排放污染物自行监测结果</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159"/>
        <w:gridCol w:w="1307"/>
        <w:gridCol w:w="1163"/>
        <w:gridCol w:w="1161"/>
        <w:gridCol w:w="1307"/>
        <w:gridCol w:w="1668"/>
        <w:gridCol w:w="1521"/>
      </w:tblGrid>
      <w:tr w14:paraId="5A5437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24" w:type="pct"/>
            <w:vAlign w:val="center"/>
          </w:tcPr>
          <w:p w14:paraId="2004D17B">
            <w:pPr>
              <w:pStyle w:val="33"/>
              <w:rPr>
                <w:b/>
                <w:bCs/>
                <w:color w:val="auto"/>
              </w:rPr>
            </w:pPr>
            <w:r>
              <w:rPr>
                <w:b/>
                <w:bCs/>
                <w:color w:val="auto"/>
              </w:rPr>
              <w:t>监测</w:t>
            </w:r>
            <w:r>
              <w:rPr>
                <w:rFonts w:hint="eastAsia"/>
                <w:b/>
                <w:bCs/>
                <w:color w:val="auto"/>
              </w:rPr>
              <w:t>点位</w:t>
            </w:r>
          </w:p>
        </w:tc>
        <w:tc>
          <w:tcPr>
            <w:tcW w:w="704" w:type="pct"/>
            <w:vAlign w:val="center"/>
          </w:tcPr>
          <w:p w14:paraId="73E527A8">
            <w:pPr>
              <w:pStyle w:val="33"/>
              <w:rPr>
                <w:b/>
                <w:bCs/>
                <w:color w:val="auto"/>
              </w:rPr>
            </w:pPr>
            <w:r>
              <w:rPr>
                <w:b/>
                <w:bCs/>
                <w:color w:val="auto"/>
              </w:rPr>
              <w:t>颗粒物（μg/m</w:t>
            </w:r>
            <w:r>
              <w:rPr>
                <w:b/>
                <w:bCs/>
                <w:color w:val="auto"/>
                <w:vertAlign w:val="superscript"/>
              </w:rPr>
              <w:t>3</w:t>
            </w:r>
            <w:r>
              <w:rPr>
                <w:b/>
                <w:bCs/>
                <w:color w:val="auto"/>
              </w:rPr>
              <w:t>）</w:t>
            </w:r>
          </w:p>
        </w:tc>
        <w:tc>
          <w:tcPr>
            <w:tcW w:w="626" w:type="pct"/>
            <w:vAlign w:val="center"/>
          </w:tcPr>
          <w:p w14:paraId="392F5F47">
            <w:pPr>
              <w:pStyle w:val="33"/>
              <w:rPr>
                <w:b/>
                <w:bCs/>
                <w:color w:val="auto"/>
              </w:rPr>
            </w:pPr>
            <w:r>
              <w:rPr>
                <w:b/>
                <w:bCs/>
                <w:color w:val="auto"/>
              </w:rPr>
              <w:t>氨</w:t>
            </w:r>
          </w:p>
          <w:p w14:paraId="6966FB63">
            <w:pPr>
              <w:pStyle w:val="33"/>
              <w:rPr>
                <w:b/>
                <w:bCs/>
                <w:color w:val="auto"/>
              </w:rPr>
            </w:pPr>
            <w:r>
              <w:rPr>
                <w:b/>
                <w:bCs/>
                <w:color w:val="auto"/>
              </w:rPr>
              <w:t>（μg/m</w:t>
            </w:r>
            <w:r>
              <w:rPr>
                <w:b/>
                <w:bCs/>
                <w:color w:val="auto"/>
                <w:vertAlign w:val="superscript"/>
              </w:rPr>
              <w:t>3</w:t>
            </w:r>
            <w:r>
              <w:rPr>
                <w:b/>
                <w:bCs/>
                <w:color w:val="auto"/>
              </w:rPr>
              <w:t>）</w:t>
            </w:r>
          </w:p>
        </w:tc>
        <w:tc>
          <w:tcPr>
            <w:tcW w:w="625" w:type="pct"/>
            <w:vAlign w:val="center"/>
          </w:tcPr>
          <w:p w14:paraId="2EC6E194">
            <w:pPr>
              <w:pStyle w:val="33"/>
              <w:rPr>
                <w:b/>
                <w:bCs/>
                <w:color w:val="auto"/>
              </w:rPr>
            </w:pPr>
            <w:r>
              <w:rPr>
                <w:b/>
                <w:bCs/>
                <w:color w:val="auto"/>
              </w:rPr>
              <w:t>硫化氢（μg/m</w:t>
            </w:r>
            <w:r>
              <w:rPr>
                <w:b/>
                <w:bCs/>
                <w:color w:val="auto"/>
                <w:vertAlign w:val="superscript"/>
              </w:rPr>
              <w:t>3</w:t>
            </w:r>
            <w:r>
              <w:rPr>
                <w:b/>
                <w:bCs/>
                <w:color w:val="auto"/>
              </w:rPr>
              <w:t>）</w:t>
            </w:r>
          </w:p>
        </w:tc>
        <w:tc>
          <w:tcPr>
            <w:tcW w:w="704" w:type="pct"/>
            <w:vAlign w:val="center"/>
          </w:tcPr>
          <w:p w14:paraId="1EC8B1BA">
            <w:pPr>
              <w:pStyle w:val="33"/>
              <w:rPr>
                <w:b/>
                <w:bCs/>
                <w:color w:val="auto"/>
              </w:rPr>
            </w:pPr>
            <w:r>
              <w:rPr>
                <w:b/>
                <w:bCs/>
                <w:color w:val="auto"/>
              </w:rPr>
              <w:t>臭气浓度（无量纲）</w:t>
            </w:r>
          </w:p>
        </w:tc>
        <w:tc>
          <w:tcPr>
            <w:tcW w:w="898" w:type="pct"/>
            <w:vAlign w:val="center"/>
          </w:tcPr>
          <w:p w14:paraId="1456E093">
            <w:pPr>
              <w:pStyle w:val="33"/>
              <w:rPr>
                <w:b/>
                <w:bCs/>
                <w:color w:val="auto"/>
              </w:rPr>
            </w:pPr>
            <w:r>
              <w:rPr>
                <w:b/>
                <w:bCs/>
                <w:color w:val="auto"/>
              </w:rPr>
              <w:t>二甲苯（μg/m</w:t>
            </w:r>
            <w:r>
              <w:rPr>
                <w:b/>
                <w:bCs/>
                <w:color w:val="auto"/>
                <w:vertAlign w:val="superscript"/>
              </w:rPr>
              <w:t>3</w:t>
            </w:r>
            <w:r>
              <w:rPr>
                <w:b/>
                <w:bCs/>
                <w:color w:val="auto"/>
              </w:rPr>
              <w:t>）</w:t>
            </w:r>
          </w:p>
        </w:tc>
        <w:tc>
          <w:tcPr>
            <w:tcW w:w="820" w:type="pct"/>
            <w:vAlign w:val="center"/>
          </w:tcPr>
          <w:p w14:paraId="63F21D20">
            <w:pPr>
              <w:pStyle w:val="33"/>
              <w:rPr>
                <w:b/>
                <w:bCs/>
                <w:color w:val="auto"/>
              </w:rPr>
            </w:pPr>
            <w:r>
              <w:rPr>
                <w:b/>
                <w:bCs/>
                <w:color w:val="auto"/>
              </w:rPr>
              <w:t>非甲烷总烃（μg/m</w:t>
            </w:r>
            <w:r>
              <w:rPr>
                <w:b/>
                <w:bCs/>
                <w:color w:val="auto"/>
                <w:vertAlign w:val="superscript"/>
              </w:rPr>
              <w:t>3</w:t>
            </w:r>
            <w:r>
              <w:rPr>
                <w:b/>
                <w:bCs/>
                <w:color w:val="auto"/>
              </w:rPr>
              <w:t>）</w:t>
            </w:r>
          </w:p>
        </w:tc>
      </w:tr>
      <w:tr w14:paraId="694488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24" w:type="pct"/>
            <w:vAlign w:val="center"/>
          </w:tcPr>
          <w:p w14:paraId="6BE32D40">
            <w:pPr>
              <w:pStyle w:val="33"/>
              <w:rPr>
                <w:color w:val="auto"/>
              </w:rPr>
            </w:pPr>
            <w:r>
              <w:rPr>
                <w:rFonts w:hint="eastAsia"/>
                <w:color w:val="auto"/>
              </w:rPr>
              <w:t>1#厂界</w:t>
            </w:r>
          </w:p>
        </w:tc>
        <w:tc>
          <w:tcPr>
            <w:tcW w:w="704" w:type="pct"/>
            <w:vAlign w:val="center"/>
          </w:tcPr>
          <w:p w14:paraId="054BF015">
            <w:pPr>
              <w:pStyle w:val="33"/>
              <w:rPr>
                <w:color w:val="auto"/>
              </w:rPr>
            </w:pPr>
          </w:p>
        </w:tc>
        <w:tc>
          <w:tcPr>
            <w:tcW w:w="626" w:type="pct"/>
            <w:vAlign w:val="center"/>
          </w:tcPr>
          <w:p w14:paraId="4D46049C">
            <w:pPr>
              <w:pStyle w:val="33"/>
              <w:rPr>
                <w:color w:val="auto"/>
              </w:rPr>
            </w:pPr>
          </w:p>
        </w:tc>
        <w:tc>
          <w:tcPr>
            <w:tcW w:w="625" w:type="pct"/>
            <w:vAlign w:val="center"/>
          </w:tcPr>
          <w:p w14:paraId="122BAA3E">
            <w:pPr>
              <w:pStyle w:val="33"/>
              <w:rPr>
                <w:color w:val="auto"/>
              </w:rPr>
            </w:pPr>
          </w:p>
        </w:tc>
        <w:tc>
          <w:tcPr>
            <w:tcW w:w="704" w:type="pct"/>
            <w:vAlign w:val="center"/>
          </w:tcPr>
          <w:p w14:paraId="302ED0A2">
            <w:pPr>
              <w:pStyle w:val="33"/>
              <w:rPr>
                <w:color w:val="auto"/>
              </w:rPr>
            </w:pPr>
          </w:p>
        </w:tc>
        <w:tc>
          <w:tcPr>
            <w:tcW w:w="898" w:type="pct"/>
            <w:vAlign w:val="center"/>
          </w:tcPr>
          <w:p w14:paraId="0F06B4F7">
            <w:pPr>
              <w:pStyle w:val="33"/>
              <w:rPr>
                <w:color w:val="auto"/>
              </w:rPr>
            </w:pPr>
          </w:p>
        </w:tc>
        <w:tc>
          <w:tcPr>
            <w:tcW w:w="820" w:type="pct"/>
            <w:vAlign w:val="center"/>
          </w:tcPr>
          <w:p w14:paraId="0F59209B">
            <w:pPr>
              <w:pStyle w:val="33"/>
              <w:rPr>
                <w:color w:val="auto"/>
              </w:rPr>
            </w:pPr>
          </w:p>
        </w:tc>
      </w:tr>
      <w:tr w14:paraId="0AA097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624" w:type="pct"/>
            <w:vAlign w:val="center"/>
          </w:tcPr>
          <w:p w14:paraId="0539D29E">
            <w:pPr>
              <w:pStyle w:val="33"/>
              <w:rPr>
                <w:color w:val="auto"/>
              </w:rPr>
            </w:pPr>
            <w:r>
              <w:rPr>
                <w:rFonts w:hint="eastAsia"/>
                <w:color w:val="auto"/>
              </w:rPr>
              <w:t>2#厂界</w:t>
            </w:r>
          </w:p>
        </w:tc>
        <w:tc>
          <w:tcPr>
            <w:tcW w:w="704" w:type="pct"/>
            <w:vAlign w:val="center"/>
          </w:tcPr>
          <w:p w14:paraId="1651BA3D">
            <w:pPr>
              <w:pStyle w:val="33"/>
              <w:rPr>
                <w:color w:val="auto"/>
              </w:rPr>
            </w:pPr>
          </w:p>
        </w:tc>
        <w:tc>
          <w:tcPr>
            <w:tcW w:w="626" w:type="pct"/>
            <w:vAlign w:val="center"/>
          </w:tcPr>
          <w:p w14:paraId="58626A89">
            <w:pPr>
              <w:pStyle w:val="33"/>
              <w:rPr>
                <w:color w:val="auto"/>
              </w:rPr>
            </w:pPr>
          </w:p>
        </w:tc>
        <w:tc>
          <w:tcPr>
            <w:tcW w:w="625" w:type="pct"/>
          </w:tcPr>
          <w:p w14:paraId="529DE255">
            <w:pPr>
              <w:pStyle w:val="33"/>
              <w:rPr>
                <w:color w:val="auto"/>
              </w:rPr>
            </w:pPr>
          </w:p>
        </w:tc>
        <w:tc>
          <w:tcPr>
            <w:tcW w:w="704" w:type="pct"/>
            <w:vAlign w:val="center"/>
          </w:tcPr>
          <w:p w14:paraId="0E00CB8C">
            <w:pPr>
              <w:pStyle w:val="33"/>
              <w:rPr>
                <w:color w:val="auto"/>
              </w:rPr>
            </w:pPr>
          </w:p>
        </w:tc>
        <w:tc>
          <w:tcPr>
            <w:tcW w:w="898" w:type="pct"/>
            <w:vAlign w:val="center"/>
          </w:tcPr>
          <w:p w14:paraId="4F8D6637">
            <w:pPr>
              <w:pStyle w:val="33"/>
              <w:rPr>
                <w:color w:val="auto"/>
              </w:rPr>
            </w:pPr>
          </w:p>
        </w:tc>
        <w:tc>
          <w:tcPr>
            <w:tcW w:w="820" w:type="pct"/>
            <w:vAlign w:val="center"/>
          </w:tcPr>
          <w:p w14:paraId="7E973A32">
            <w:pPr>
              <w:pStyle w:val="33"/>
              <w:rPr>
                <w:color w:val="auto"/>
              </w:rPr>
            </w:pPr>
          </w:p>
        </w:tc>
      </w:tr>
      <w:tr w14:paraId="2B8F17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24" w:type="pct"/>
            <w:vAlign w:val="center"/>
          </w:tcPr>
          <w:p w14:paraId="4DEBCB2B">
            <w:pPr>
              <w:pStyle w:val="33"/>
              <w:rPr>
                <w:color w:val="auto"/>
              </w:rPr>
            </w:pPr>
            <w:r>
              <w:rPr>
                <w:rFonts w:hint="eastAsia"/>
                <w:color w:val="auto"/>
              </w:rPr>
              <w:t>3#厂界</w:t>
            </w:r>
          </w:p>
        </w:tc>
        <w:tc>
          <w:tcPr>
            <w:tcW w:w="704" w:type="pct"/>
            <w:vAlign w:val="center"/>
          </w:tcPr>
          <w:p w14:paraId="69DDFF98">
            <w:pPr>
              <w:pStyle w:val="33"/>
              <w:rPr>
                <w:color w:val="auto"/>
              </w:rPr>
            </w:pPr>
          </w:p>
        </w:tc>
        <w:tc>
          <w:tcPr>
            <w:tcW w:w="626" w:type="pct"/>
            <w:vAlign w:val="center"/>
          </w:tcPr>
          <w:p w14:paraId="04A3554C">
            <w:pPr>
              <w:pStyle w:val="33"/>
              <w:rPr>
                <w:color w:val="auto"/>
              </w:rPr>
            </w:pPr>
          </w:p>
        </w:tc>
        <w:tc>
          <w:tcPr>
            <w:tcW w:w="625" w:type="pct"/>
          </w:tcPr>
          <w:p w14:paraId="090BE761">
            <w:pPr>
              <w:pStyle w:val="33"/>
              <w:rPr>
                <w:color w:val="auto"/>
              </w:rPr>
            </w:pPr>
          </w:p>
        </w:tc>
        <w:tc>
          <w:tcPr>
            <w:tcW w:w="704" w:type="pct"/>
            <w:vAlign w:val="center"/>
          </w:tcPr>
          <w:p w14:paraId="28B83281">
            <w:pPr>
              <w:pStyle w:val="33"/>
              <w:rPr>
                <w:color w:val="auto"/>
              </w:rPr>
            </w:pPr>
          </w:p>
        </w:tc>
        <w:tc>
          <w:tcPr>
            <w:tcW w:w="898" w:type="pct"/>
            <w:vAlign w:val="center"/>
          </w:tcPr>
          <w:p w14:paraId="3D765688">
            <w:pPr>
              <w:pStyle w:val="33"/>
              <w:rPr>
                <w:color w:val="auto"/>
              </w:rPr>
            </w:pPr>
          </w:p>
        </w:tc>
        <w:tc>
          <w:tcPr>
            <w:tcW w:w="820" w:type="pct"/>
            <w:vAlign w:val="center"/>
          </w:tcPr>
          <w:p w14:paraId="7FE266CF">
            <w:pPr>
              <w:pStyle w:val="33"/>
              <w:rPr>
                <w:color w:val="auto"/>
              </w:rPr>
            </w:pPr>
          </w:p>
        </w:tc>
      </w:tr>
      <w:tr w14:paraId="585C9B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24" w:type="pct"/>
            <w:vAlign w:val="center"/>
          </w:tcPr>
          <w:p w14:paraId="2B80813D">
            <w:pPr>
              <w:pStyle w:val="33"/>
              <w:rPr>
                <w:color w:val="auto"/>
              </w:rPr>
            </w:pPr>
            <w:r>
              <w:rPr>
                <w:rFonts w:hint="eastAsia"/>
                <w:color w:val="auto"/>
              </w:rPr>
              <w:t>4#厂界</w:t>
            </w:r>
          </w:p>
        </w:tc>
        <w:tc>
          <w:tcPr>
            <w:tcW w:w="704" w:type="pct"/>
            <w:vAlign w:val="center"/>
          </w:tcPr>
          <w:p w14:paraId="7BEABFF2">
            <w:pPr>
              <w:pStyle w:val="33"/>
              <w:rPr>
                <w:color w:val="auto"/>
              </w:rPr>
            </w:pPr>
          </w:p>
        </w:tc>
        <w:tc>
          <w:tcPr>
            <w:tcW w:w="626" w:type="pct"/>
            <w:vAlign w:val="center"/>
          </w:tcPr>
          <w:p w14:paraId="77D2AF5B">
            <w:pPr>
              <w:pStyle w:val="33"/>
              <w:rPr>
                <w:color w:val="auto"/>
              </w:rPr>
            </w:pPr>
          </w:p>
        </w:tc>
        <w:tc>
          <w:tcPr>
            <w:tcW w:w="625" w:type="pct"/>
          </w:tcPr>
          <w:p w14:paraId="689E2D6B">
            <w:pPr>
              <w:pStyle w:val="33"/>
              <w:rPr>
                <w:color w:val="auto"/>
              </w:rPr>
            </w:pPr>
          </w:p>
        </w:tc>
        <w:tc>
          <w:tcPr>
            <w:tcW w:w="704" w:type="pct"/>
            <w:vAlign w:val="center"/>
          </w:tcPr>
          <w:p w14:paraId="1741495A">
            <w:pPr>
              <w:pStyle w:val="33"/>
              <w:rPr>
                <w:color w:val="auto"/>
              </w:rPr>
            </w:pPr>
          </w:p>
        </w:tc>
        <w:tc>
          <w:tcPr>
            <w:tcW w:w="898" w:type="pct"/>
            <w:vAlign w:val="center"/>
          </w:tcPr>
          <w:p w14:paraId="3EA7AF41">
            <w:pPr>
              <w:pStyle w:val="33"/>
              <w:rPr>
                <w:color w:val="auto"/>
              </w:rPr>
            </w:pPr>
          </w:p>
        </w:tc>
        <w:tc>
          <w:tcPr>
            <w:tcW w:w="820" w:type="pct"/>
            <w:vAlign w:val="center"/>
          </w:tcPr>
          <w:p w14:paraId="41FB14E0">
            <w:pPr>
              <w:pStyle w:val="33"/>
              <w:rPr>
                <w:color w:val="auto"/>
              </w:rPr>
            </w:pPr>
          </w:p>
        </w:tc>
      </w:tr>
      <w:tr w14:paraId="5E8F6C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24" w:type="pct"/>
            <w:vAlign w:val="center"/>
          </w:tcPr>
          <w:p w14:paraId="73B56570">
            <w:pPr>
              <w:pStyle w:val="33"/>
              <w:rPr>
                <w:color w:val="auto"/>
              </w:rPr>
            </w:pPr>
            <w:r>
              <w:rPr>
                <w:color w:val="auto"/>
              </w:rPr>
              <w:t>标准限值</w:t>
            </w:r>
          </w:p>
        </w:tc>
        <w:tc>
          <w:tcPr>
            <w:tcW w:w="704" w:type="pct"/>
            <w:vAlign w:val="center"/>
          </w:tcPr>
          <w:p w14:paraId="11017579">
            <w:pPr>
              <w:pStyle w:val="33"/>
              <w:rPr>
                <w:color w:val="auto"/>
              </w:rPr>
            </w:pPr>
          </w:p>
        </w:tc>
        <w:tc>
          <w:tcPr>
            <w:tcW w:w="626" w:type="pct"/>
            <w:vAlign w:val="center"/>
          </w:tcPr>
          <w:p w14:paraId="00045922">
            <w:pPr>
              <w:pStyle w:val="33"/>
              <w:rPr>
                <w:color w:val="auto"/>
              </w:rPr>
            </w:pPr>
          </w:p>
        </w:tc>
        <w:tc>
          <w:tcPr>
            <w:tcW w:w="625" w:type="pct"/>
            <w:vAlign w:val="center"/>
          </w:tcPr>
          <w:p w14:paraId="41DC2D57">
            <w:pPr>
              <w:pStyle w:val="33"/>
              <w:rPr>
                <w:color w:val="auto"/>
              </w:rPr>
            </w:pPr>
          </w:p>
        </w:tc>
        <w:tc>
          <w:tcPr>
            <w:tcW w:w="704" w:type="pct"/>
            <w:vAlign w:val="center"/>
          </w:tcPr>
          <w:p w14:paraId="36C44118">
            <w:pPr>
              <w:pStyle w:val="33"/>
              <w:rPr>
                <w:color w:val="auto"/>
              </w:rPr>
            </w:pPr>
          </w:p>
        </w:tc>
        <w:tc>
          <w:tcPr>
            <w:tcW w:w="898" w:type="pct"/>
            <w:vAlign w:val="center"/>
          </w:tcPr>
          <w:p w14:paraId="2201F8EE">
            <w:pPr>
              <w:pStyle w:val="33"/>
              <w:rPr>
                <w:color w:val="auto"/>
              </w:rPr>
            </w:pPr>
          </w:p>
        </w:tc>
        <w:tc>
          <w:tcPr>
            <w:tcW w:w="820" w:type="pct"/>
            <w:vAlign w:val="center"/>
          </w:tcPr>
          <w:p w14:paraId="40B799AE">
            <w:pPr>
              <w:pStyle w:val="33"/>
              <w:rPr>
                <w:color w:val="auto"/>
              </w:rPr>
            </w:pPr>
          </w:p>
        </w:tc>
      </w:tr>
      <w:tr w14:paraId="7D4D35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624" w:type="pct"/>
            <w:vAlign w:val="center"/>
          </w:tcPr>
          <w:p w14:paraId="3F35A428">
            <w:pPr>
              <w:pStyle w:val="33"/>
              <w:rPr>
                <w:color w:val="auto"/>
              </w:rPr>
            </w:pPr>
            <w:r>
              <w:rPr>
                <w:color w:val="auto"/>
              </w:rPr>
              <w:t>达标情况</w:t>
            </w:r>
          </w:p>
        </w:tc>
        <w:tc>
          <w:tcPr>
            <w:tcW w:w="704" w:type="pct"/>
            <w:vAlign w:val="center"/>
          </w:tcPr>
          <w:p w14:paraId="07E77A03">
            <w:pPr>
              <w:pStyle w:val="33"/>
              <w:rPr>
                <w:color w:val="auto"/>
              </w:rPr>
            </w:pPr>
            <w:r>
              <w:rPr>
                <w:color w:val="auto"/>
              </w:rPr>
              <w:t>达标</w:t>
            </w:r>
          </w:p>
        </w:tc>
        <w:tc>
          <w:tcPr>
            <w:tcW w:w="626" w:type="pct"/>
            <w:vAlign w:val="center"/>
          </w:tcPr>
          <w:p w14:paraId="564072A5">
            <w:pPr>
              <w:pStyle w:val="33"/>
              <w:rPr>
                <w:color w:val="auto"/>
              </w:rPr>
            </w:pPr>
            <w:r>
              <w:rPr>
                <w:color w:val="auto"/>
              </w:rPr>
              <w:t>达标</w:t>
            </w:r>
          </w:p>
        </w:tc>
        <w:tc>
          <w:tcPr>
            <w:tcW w:w="625" w:type="pct"/>
            <w:vAlign w:val="center"/>
          </w:tcPr>
          <w:p w14:paraId="017B0E92">
            <w:pPr>
              <w:pStyle w:val="33"/>
              <w:rPr>
                <w:color w:val="auto"/>
              </w:rPr>
            </w:pPr>
            <w:r>
              <w:rPr>
                <w:color w:val="auto"/>
              </w:rPr>
              <w:t>达标</w:t>
            </w:r>
          </w:p>
        </w:tc>
        <w:tc>
          <w:tcPr>
            <w:tcW w:w="704" w:type="pct"/>
            <w:vAlign w:val="center"/>
          </w:tcPr>
          <w:p w14:paraId="68EA965B">
            <w:pPr>
              <w:pStyle w:val="33"/>
              <w:rPr>
                <w:color w:val="auto"/>
              </w:rPr>
            </w:pPr>
            <w:r>
              <w:rPr>
                <w:color w:val="auto"/>
              </w:rPr>
              <w:t>达标</w:t>
            </w:r>
          </w:p>
        </w:tc>
        <w:tc>
          <w:tcPr>
            <w:tcW w:w="898" w:type="pct"/>
            <w:vAlign w:val="center"/>
          </w:tcPr>
          <w:p w14:paraId="0A971E6B">
            <w:pPr>
              <w:pStyle w:val="33"/>
              <w:rPr>
                <w:color w:val="auto"/>
              </w:rPr>
            </w:pPr>
            <w:r>
              <w:rPr>
                <w:color w:val="auto"/>
              </w:rPr>
              <w:t>达标</w:t>
            </w:r>
          </w:p>
        </w:tc>
        <w:tc>
          <w:tcPr>
            <w:tcW w:w="820" w:type="pct"/>
            <w:vAlign w:val="center"/>
          </w:tcPr>
          <w:p w14:paraId="6276A963">
            <w:pPr>
              <w:pStyle w:val="33"/>
              <w:rPr>
                <w:color w:val="auto"/>
              </w:rPr>
            </w:pPr>
            <w:r>
              <w:rPr>
                <w:color w:val="auto"/>
              </w:rPr>
              <w:t>达标</w:t>
            </w:r>
          </w:p>
        </w:tc>
      </w:tr>
    </w:tbl>
    <w:p w14:paraId="00ACFB28">
      <w:pPr>
        <w:pStyle w:val="5"/>
        <w:rPr>
          <w:color w:val="auto"/>
        </w:rPr>
      </w:pPr>
      <w:r>
        <w:rPr>
          <w:color w:val="auto"/>
        </w:rPr>
        <w:t>固体废物产生及控制措施</w:t>
      </w:r>
    </w:p>
    <w:p w14:paraId="0AB6DD93">
      <w:pPr>
        <w:ind w:firstLine="480"/>
        <w:rPr>
          <w:color w:val="auto"/>
        </w:rPr>
      </w:pPr>
      <w:r>
        <w:rPr>
          <w:color w:val="auto"/>
        </w:rPr>
        <w:t>现有工程固体废物主要包括：备料车间木屑，化机浆车间浆渣，碱回收车间绿泥、白泥及石灰渣，造纸车间废聚酯网，热电站煤灰渣、粉煤灰、脱硫石膏、脱硝废催化剂，污水处理站污泥，生活垃圾，以及废润滑油、废电池、废油桶、废油漆桶等</w:t>
      </w:r>
      <w:r>
        <w:rPr>
          <w:color w:val="auto"/>
          <w:spacing w:val="-6"/>
        </w:rPr>
        <w:t>。</w:t>
      </w:r>
      <w:r>
        <w:rPr>
          <w:color w:val="auto"/>
        </w:rPr>
        <w:t>固体废物产生量及处理处置方式见</w:t>
      </w:r>
      <w:r>
        <w:rPr>
          <w:rFonts w:hint="eastAsia"/>
          <w:color w:val="auto"/>
        </w:rPr>
        <w:t>下表</w:t>
      </w:r>
      <w:r>
        <w:rPr>
          <w:color w:val="auto"/>
          <w:spacing w:val="-2"/>
        </w:rPr>
        <w:t>。</w:t>
      </w:r>
    </w:p>
    <w:p w14:paraId="245EF6B1">
      <w:pPr>
        <w:pStyle w:val="7"/>
        <w:rPr>
          <w:color w:val="auto"/>
        </w:rPr>
      </w:pPr>
      <w:r>
        <w:rPr>
          <w:color w:val="auto"/>
        </w:rPr>
        <w:t>现有工程固体废物产生及处理处置情况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018"/>
        <w:gridCol w:w="1447"/>
        <w:gridCol w:w="1018"/>
        <w:gridCol w:w="2032"/>
        <w:gridCol w:w="2032"/>
        <w:gridCol w:w="1739"/>
      </w:tblGrid>
      <w:tr w14:paraId="06A722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blHeader/>
        </w:trPr>
        <w:tc>
          <w:tcPr>
            <w:tcW w:w="548" w:type="pct"/>
            <w:vAlign w:val="center"/>
          </w:tcPr>
          <w:p w14:paraId="6A2AB72B">
            <w:pPr>
              <w:pStyle w:val="33"/>
              <w:rPr>
                <w:color w:val="auto"/>
              </w:rPr>
            </w:pPr>
            <w:r>
              <w:rPr>
                <w:color w:val="auto"/>
              </w:rPr>
              <w:t>产生工序</w:t>
            </w:r>
          </w:p>
        </w:tc>
        <w:tc>
          <w:tcPr>
            <w:tcW w:w="779" w:type="pct"/>
            <w:vAlign w:val="center"/>
          </w:tcPr>
          <w:p w14:paraId="03C1E8C8">
            <w:pPr>
              <w:pStyle w:val="33"/>
              <w:rPr>
                <w:color w:val="auto"/>
              </w:rPr>
            </w:pPr>
            <w:r>
              <w:rPr>
                <w:color w:val="auto"/>
              </w:rPr>
              <w:t>固废名称</w:t>
            </w:r>
          </w:p>
        </w:tc>
        <w:tc>
          <w:tcPr>
            <w:tcW w:w="548" w:type="pct"/>
            <w:vAlign w:val="center"/>
          </w:tcPr>
          <w:p w14:paraId="410BF34F">
            <w:pPr>
              <w:pStyle w:val="33"/>
              <w:rPr>
                <w:color w:val="auto"/>
              </w:rPr>
            </w:pPr>
            <w:r>
              <w:rPr>
                <w:color w:val="auto"/>
              </w:rPr>
              <w:t>产生量（t/a）</w:t>
            </w:r>
          </w:p>
        </w:tc>
        <w:tc>
          <w:tcPr>
            <w:tcW w:w="1094" w:type="pct"/>
            <w:vAlign w:val="center"/>
          </w:tcPr>
          <w:p w14:paraId="0281EF73">
            <w:pPr>
              <w:pStyle w:val="33"/>
              <w:rPr>
                <w:color w:val="auto"/>
              </w:rPr>
            </w:pPr>
            <w:r>
              <w:rPr>
                <w:color w:val="auto"/>
              </w:rPr>
              <w:t>固体成份</w:t>
            </w:r>
          </w:p>
        </w:tc>
        <w:tc>
          <w:tcPr>
            <w:tcW w:w="1094" w:type="pct"/>
            <w:vAlign w:val="center"/>
          </w:tcPr>
          <w:p w14:paraId="4DCBC8C5">
            <w:pPr>
              <w:pStyle w:val="33"/>
              <w:rPr>
                <w:color w:val="auto"/>
              </w:rPr>
            </w:pPr>
            <w:r>
              <w:rPr>
                <w:color w:val="auto"/>
              </w:rPr>
              <w:t>固废性质</w:t>
            </w:r>
          </w:p>
        </w:tc>
        <w:tc>
          <w:tcPr>
            <w:tcW w:w="936" w:type="pct"/>
            <w:vAlign w:val="center"/>
          </w:tcPr>
          <w:p w14:paraId="1DE21E0A">
            <w:pPr>
              <w:pStyle w:val="33"/>
              <w:rPr>
                <w:color w:val="auto"/>
              </w:rPr>
            </w:pPr>
            <w:r>
              <w:rPr>
                <w:color w:val="auto"/>
              </w:rPr>
              <w:t>处理处置方式</w:t>
            </w:r>
          </w:p>
        </w:tc>
      </w:tr>
      <w:tr w14:paraId="5BFCA3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Align w:val="center"/>
          </w:tcPr>
          <w:p w14:paraId="54DF88CE">
            <w:pPr>
              <w:pStyle w:val="33"/>
              <w:rPr>
                <w:color w:val="auto"/>
              </w:rPr>
            </w:pPr>
            <w:r>
              <w:rPr>
                <w:color w:val="auto"/>
              </w:rPr>
              <w:t>备料车间</w:t>
            </w:r>
          </w:p>
        </w:tc>
        <w:tc>
          <w:tcPr>
            <w:tcW w:w="779" w:type="pct"/>
            <w:vAlign w:val="center"/>
          </w:tcPr>
          <w:p w14:paraId="1E903A4E">
            <w:pPr>
              <w:pStyle w:val="33"/>
              <w:rPr>
                <w:color w:val="auto"/>
              </w:rPr>
            </w:pPr>
            <w:r>
              <w:rPr>
                <w:color w:val="auto"/>
              </w:rPr>
              <w:t>木屑（干度50%）</w:t>
            </w:r>
          </w:p>
        </w:tc>
        <w:tc>
          <w:tcPr>
            <w:tcW w:w="548" w:type="pct"/>
            <w:vAlign w:val="center"/>
          </w:tcPr>
          <w:p w14:paraId="1E19724B">
            <w:pPr>
              <w:pStyle w:val="33"/>
              <w:rPr>
                <w:color w:val="auto"/>
              </w:rPr>
            </w:pPr>
            <w:r>
              <w:rPr>
                <w:color w:val="auto"/>
              </w:rPr>
              <w:t>4775</w:t>
            </w:r>
            <w:r>
              <w:rPr>
                <w:rFonts w:hint="eastAsia"/>
                <w:color w:val="auto"/>
              </w:rPr>
              <w:t>8</w:t>
            </w:r>
          </w:p>
        </w:tc>
        <w:tc>
          <w:tcPr>
            <w:tcW w:w="1094" w:type="pct"/>
            <w:vAlign w:val="center"/>
          </w:tcPr>
          <w:p w14:paraId="51426450">
            <w:pPr>
              <w:pStyle w:val="33"/>
              <w:rPr>
                <w:color w:val="auto"/>
              </w:rPr>
            </w:pPr>
            <w:r>
              <w:rPr>
                <w:color w:val="auto"/>
              </w:rPr>
              <w:t>木屑</w:t>
            </w:r>
          </w:p>
        </w:tc>
        <w:tc>
          <w:tcPr>
            <w:tcW w:w="1094" w:type="pct"/>
            <w:vMerge w:val="restart"/>
            <w:vAlign w:val="center"/>
          </w:tcPr>
          <w:p w14:paraId="7B0F2C52">
            <w:pPr>
              <w:pStyle w:val="33"/>
              <w:rPr>
                <w:color w:val="auto"/>
              </w:rPr>
            </w:pPr>
            <w:r>
              <w:rPr>
                <w:color w:val="auto"/>
              </w:rPr>
              <w:t>一般固体废物</w:t>
            </w:r>
          </w:p>
        </w:tc>
        <w:tc>
          <w:tcPr>
            <w:tcW w:w="936" w:type="pct"/>
            <w:vMerge w:val="restart"/>
            <w:vAlign w:val="center"/>
          </w:tcPr>
          <w:p w14:paraId="10244F23">
            <w:pPr>
              <w:pStyle w:val="33"/>
              <w:rPr>
                <w:color w:val="auto"/>
              </w:rPr>
            </w:pPr>
            <w:r>
              <w:rPr>
                <w:color w:val="auto"/>
              </w:rPr>
              <w:t>送现有循环流化床锅炉燃烧</w:t>
            </w:r>
          </w:p>
        </w:tc>
      </w:tr>
      <w:tr w14:paraId="2E8C49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Align w:val="center"/>
          </w:tcPr>
          <w:p w14:paraId="060F5DD7">
            <w:pPr>
              <w:pStyle w:val="33"/>
              <w:rPr>
                <w:color w:val="auto"/>
              </w:rPr>
            </w:pPr>
            <w:r>
              <w:rPr>
                <w:color w:val="auto"/>
              </w:rPr>
              <w:t>化机浆车间</w:t>
            </w:r>
          </w:p>
        </w:tc>
        <w:tc>
          <w:tcPr>
            <w:tcW w:w="779" w:type="pct"/>
            <w:vAlign w:val="center"/>
          </w:tcPr>
          <w:p w14:paraId="168FAC31">
            <w:pPr>
              <w:pStyle w:val="33"/>
              <w:rPr>
                <w:color w:val="auto"/>
              </w:rPr>
            </w:pPr>
            <w:r>
              <w:rPr>
                <w:color w:val="auto"/>
              </w:rPr>
              <w:t>浆渣（干度45%）</w:t>
            </w:r>
          </w:p>
        </w:tc>
        <w:tc>
          <w:tcPr>
            <w:tcW w:w="548" w:type="pct"/>
            <w:vAlign w:val="center"/>
          </w:tcPr>
          <w:p w14:paraId="20CD984A">
            <w:pPr>
              <w:pStyle w:val="33"/>
              <w:rPr>
                <w:color w:val="auto"/>
              </w:rPr>
            </w:pPr>
            <w:r>
              <w:rPr>
                <w:color w:val="auto"/>
              </w:rPr>
              <w:t>56107</w:t>
            </w:r>
          </w:p>
        </w:tc>
        <w:tc>
          <w:tcPr>
            <w:tcW w:w="1094" w:type="pct"/>
            <w:vAlign w:val="center"/>
          </w:tcPr>
          <w:p w14:paraId="0A58031D">
            <w:pPr>
              <w:pStyle w:val="33"/>
              <w:rPr>
                <w:color w:val="auto"/>
              </w:rPr>
            </w:pPr>
            <w:r>
              <w:rPr>
                <w:color w:val="auto"/>
              </w:rPr>
              <w:t>纤维</w:t>
            </w:r>
          </w:p>
        </w:tc>
        <w:tc>
          <w:tcPr>
            <w:tcW w:w="1094" w:type="pct"/>
            <w:vMerge w:val="continue"/>
            <w:vAlign w:val="center"/>
          </w:tcPr>
          <w:p w14:paraId="6D7C13CC">
            <w:pPr>
              <w:pStyle w:val="33"/>
              <w:rPr>
                <w:color w:val="auto"/>
              </w:rPr>
            </w:pPr>
          </w:p>
        </w:tc>
        <w:tc>
          <w:tcPr>
            <w:tcW w:w="936" w:type="pct"/>
            <w:vMerge w:val="continue"/>
            <w:vAlign w:val="center"/>
          </w:tcPr>
          <w:p w14:paraId="4C107604">
            <w:pPr>
              <w:pStyle w:val="33"/>
              <w:rPr>
                <w:color w:val="auto"/>
              </w:rPr>
            </w:pPr>
          </w:p>
        </w:tc>
      </w:tr>
      <w:tr w14:paraId="22AABD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restart"/>
            <w:tcBorders>
              <w:bottom w:val="nil"/>
            </w:tcBorders>
            <w:vAlign w:val="center"/>
          </w:tcPr>
          <w:p w14:paraId="56EC895E">
            <w:pPr>
              <w:pStyle w:val="33"/>
              <w:rPr>
                <w:color w:val="auto"/>
              </w:rPr>
            </w:pPr>
            <w:r>
              <w:rPr>
                <w:color w:val="auto"/>
              </w:rPr>
              <w:t>碱回收车间</w:t>
            </w:r>
          </w:p>
        </w:tc>
        <w:tc>
          <w:tcPr>
            <w:tcW w:w="779" w:type="pct"/>
            <w:vAlign w:val="center"/>
          </w:tcPr>
          <w:p w14:paraId="4B5EBB22">
            <w:pPr>
              <w:pStyle w:val="33"/>
              <w:rPr>
                <w:color w:val="auto"/>
              </w:rPr>
            </w:pPr>
            <w:r>
              <w:rPr>
                <w:color w:val="auto"/>
              </w:rPr>
              <w:t>绿泥（绝干）和石灰渣</w:t>
            </w:r>
          </w:p>
        </w:tc>
        <w:tc>
          <w:tcPr>
            <w:tcW w:w="548" w:type="pct"/>
            <w:vAlign w:val="center"/>
          </w:tcPr>
          <w:p w14:paraId="0C3DD4FB">
            <w:pPr>
              <w:pStyle w:val="33"/>
              <w:rPr>
                <w:color w:val="auto"/>
              </w:rPr>
            </w:pPr>
            <w:r>
              <w:rPr>
                <w:color w:val="auto"/>
              </w:rPr>
              <w:t>767</w:t>
            </w:r>
            <w:r>
              <w:rPr>
                <w:rFonts w:hint="eastAsia"/>
                <w:color w:val="auto"/>
              </w:rPr>
              <w:t>4</w:t>
            </w:r>
          </w:p>
        </w:tc>
        <w:tc>
          <w:tcPr>
            <w:tcW w:w="1094" w:type="pct"/>
            <w:vAlign w:val="center"/>
          </w:tcPr>
          <w:p w14:paraId="3B205B8E">
            <w:pPr>
              <w:pStyle w:val="33"/>
              <w:rPr>
                <w:color w:val="auto"/>
              </w:rPr>
            </w:pPr>
            <w:r>
              <w:rPr>
                <w:color w:val="auto"/>
              </w:rPr>
              <w:t>碳酸钙等</w:t>
            </w:r>
          </w:p>
        </w:tc>
        <w:tc>
          <w:tcPr>
            <w:tcW w:w="1094" w:type="pct"/>
            <w:vMerge w:val="continue"/>
            <w:vAlign w:val="center"/>
          </w:tcPr>
          <w:p w14:paraId="63651D2B">
            <w:pPr>
              <w:pStyle w:val="33"/>
              <w:rPr>
                <w:color w:val="auto"/>
              </w:rPr>
            </w:pPr>
          </w:p>
        </w:tc>
        <w:tc>
          <w:tcPr>
            <w:tcW w:w="936" w:type="pct"/>
            <w:vMerge w:val="continue"/>
            <w:vAlign w:val="center"/>
          </w:tcPr>
          <w:p w14:paraId="391CD882">
            <w:pPr>
              <w:pStyle w:val="33"/>
              <w:rPr>
                <w:color w:val="auto"/>
              </w:rPr>
            </w:pPr>
          </w:p>
        </w:tc>
      </w:tr>
      <w:tr w14:paraId="770E6B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tcBorders>
            <w:vAlign w:val="center"/>
          </w:tcPr>
          <w:p w14:paraId="0B36D19F">
            <w:pPr>
              <w:pStyle w:val="33"/>
              <w:rPr>
                <w:color w:val="auto"/>
              </w:rPr>
            </w:pPr>
          </w:p>
        </w:tc>
        <w:tc>
          <w:tcPr>
            <w:tcW w:w="779" w:type="pct"/>
            <w:vAlign w:val="center"/>
          </w:tcPr>
          <w:p w14:paraId="51147CDA">
            <w:pPr>
              <w:pStyle w:val="33"/>
              <w:rPr>
                <w:color w:val="auto"/>
              </w:rPr>
            </w:pPr>
            <w:r>
              <w:rPr>
                <w:color w:val="auto"/>
              </w:rPr>
              <w:t>白泥（干度70.81%）</w:t>
            </w:r>
          </w:p>
        </w:tc>
        <w:tc>
          <w:tcPr>
            <w:tcW w:w="548" w:type="pct"/>
            <w:vAlign w:val="center"/>
          </w:tcPr>
          <w:p w14:paraId="1A06AAF6">
            <w:pPr>
              <w:pStyle w:val="33"/>
              <w:rPr>
                <w:color w:val="auto"/>
              </w:rPr>
            </w:pPr>
            <w:r>
              <w:rPr>
                <w:color w:val="auto"/>
              </w:rPr>
              <w:t>66171</w:t>
            </w:r>
          </w:p>
        </w:tc>
        <w:tc>
          <w:tcPr>
            <w:tcW w:w="1094" w:type="pct"/>
            <w:vAlign w:val="center"/>
          </w:tcPr>
          <w:p w14:paraId="0CD96B33">
            <w:pPr>
              <w:pStyle w:val="33"/>
              <w:rPr>
                <w:color w:val="auto"/>
              </w:rPr>
            </w:pPr>
            <w:r>
              <w:rPr>
                <w:color w:val="auto"/>
              </w:rPr>
              <w:t>碳酸钙等</w:t>
            </w:r>
          </w:p>
        </w:tc>
        <w:tc>
          <w:tcPr>
            <w:tcW w:w="1094" w:type="pct"/>
            <w:vMerge w:val="continue"/>
            <w:vAlign w:val="center"/>
          </w:tcPr>
          <w:p w14:paraId="0BF2301D">
            <w:pPr>
              <w:pStyle w:val="33"/>
              <w:rPr>
                <w:color w:val="auto"/>
              </w:rPr>
            </w:pPr>
          </w:p>
        </w:tc>
        <w:tc>
          <w:tcPr>
            <w:tcW w:w="936" w:type="pct"/>
            <w:vAlign w:val="center"/>
          </w:tcPr>
          <w:p w14:paraId="652C7EEE">
            <w:pPr>
              <w:pStyle w:val="33"/>
              <w:rPr>
                <w:color w:val="auto"/>
              </w:rPr>
            </w:pPr>
            <w:r>
              <w:rPr>
                <w:color w:val="auto"/>
              </w:rPr>
              <w:t>40341.75t/a外售用作脱硫剂，其余送现有循环流化床锅炉作脱硫剂</w:t>
            </w:r>
          </w:p>
        </w:tc>
      </w:tr>
      <w:tr w14:paraId="400CDDE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Align w:val="center"/>
          </w:tcPr>
          <w:p w14:paraId="7F4743F6">
            <w:pPr>
              <w:pStyle w:val="33"/>
              <w:rPr>
                <w:color w:val="auto"/>
              </w:rPr>
            </w:pPr>
            <w:r>
              <w:rPr>
                <w:color w:val="auto"/>
              </w:rPr>
              <w:t>造纸车间</w:t>
            </w:r>
          </w:p>
        </w:tc>
        <w:tc>
          <w:tcPr>
            <w:tcW w:w="779" w:type="pct"/>
            <w:vAlign w:val="center"/>
          </w:tcPr>
          <w:p w14:paraId="6C073790">
            <w:pPr>
              <w:pStyle w:val="33"/>
              <w:rPr>
                <w:color w:val="auto"/>
              </w:rPr>
            </w:pPr>
            <w:r>
              <w:rPr>
                <w:color w:val="auto"/>
              </w:rPr>
              <w:t>废聚酯网</w:t>
            </w:r>
          </w:p>
        </w:tc>
        <w:tc>
          <w:tcPr>
            <w:tcW w:w="548" w:type="pct"/>
            <w:vAlign w:val="center"/>
          </w:tcPr>
          <w:p w14:paraId="6BEB919C">
            <w:pPr>
              <w:pStyle w:val="33"/>
              <w:rPr>
                <w:color w:val="auto"/>
              </w:rPr>
            </w:pPr>
            <w:r>
              <w:rPr>
                <w:color w:val="auto"/>
              </w:rPr>
              <w:t>90</w:t>
            </w:r>
          </w:p>
        </w:tc>
        <w:tc>
          <w:tcPr>
            <w:tcW w:w="1094" w:type="pct"/>
            <w:vAlign w:val="center"/>
          </w:tcPr>
          <w:p w14:paraId="473E0914">
            <w:pPr>
              <w:pStyle w:val="33"/>
              <w:rPr>
                <w:color w:val="auto"/>
              </w:rPr>
            </w:pPr>
            <w:r>
              <w:rPr>
                <w:color w:val="auto"/>
              </w:rPr>
              <w:t>对苯二甲酸乙酯</w:t>
            </w:r>
          </w:p>
        </w:tc>
        <w:tc>
          <w:tcPr>
            <w:tcW w:w="1094" w:type="pct"/>
            <w:vMerge w:val="continue"/>
            <w:vAlign w:val="center"/>
          </w:tcPr>
          <w:p w14:paraId="31EF2466">
            <w:pPr>
              <w:pStyle w:val="33"/>
              <w:rPr>
                <w:color w:val="auto"/>
              </w:rPr>
            </w:pPr>
          </w:p>
        </w:tc>
        <w:tc>
          <w:tcPr>
            <w:tcW w:w="936" w:type="pct"/>
            <w:vAlign w:val="center"/>
          </w:tcPr>
          <w:p w14:paraId="3E54389E">
            <w:pPr>
              <w:pStyle w:val="33"/>
              <w:rPr>
                <w:color w:val="auto"/>
              </w:rPr>
            </w:pPr>
            <w:r>
              <w:rPr>
                <w:rFonts w:hint="eastAsia"/>
                <w:color w:val="auto"/>
              </w:rPr>
              <w:t>厂区内做防滑垫，剩余外售</w:t>
            </w:r>
          </w:p>
        </w:tc>
      </w:tr>
      <w:tr w14:paraId="304827C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restart"/>
            <w:tcBorders>
              <w:bottom w:val="nil"/>
            </w:tcBorders>
            <w:vAlign w:val="center"/>
          </w:tcPr>
          <w:p w14:paraId="48A93B29">
            <w:pPr>
              <w:pStyle w:val="33"/>
              <w:rPr>
                <w:color w:val="auto"/>
              </w:rPr>
            </w:pPr>
            <w:r>
              <w:rPr>
                <w:color w:val="auto"/>
              </w:rPr>
              <w:t>热电站</w:t>
            </w:r>
          </w:p>
        </w:tc>
        <w:tc>
          <w:tcPr>
            <w:tcW w:w="779" w:type="pct"/>
            <w:vAlign w:val="center"/>
          </w:tcPr>
          <w:p w14:paraId="1F4F6ABD">
            <w:pPr>
              <w:pStyle w:val="33"/>
              <w:rPr>
                <w:color w:val="auto"/>
              </w:rPr>
            </w:pPr>
            <w:r>
              <w:rPr>
                <w:color w:val="auto"/>
              </w:rPr>
              <w:t>煤灰渣</w:t>
            </w:r>
          </w:p>
        </w:tc>
        <w:tc>
          <w:tcPr>
            <w:tcW w:w="548" w:type="pct"/>
            <w:vAlign w:val="center"/>
          </w:tcPr>
          <w:p w14:paraId="44BE9C24">
            <w:pPr>
              <w:pStyle w:val="33"/>
              <w:rPr>
                <w:color w:val="auto"/>
              </w:rPr>
            </w:pPr>
            <w:r>
              <w:rPr>
                <w:color w:val="auto"/>
              </w:rPr>
              <w:t>1329</w:t>
            </w:r>
            <w:r>
              <w:rPr>
                <w:rFonts w:hint="eastAsia"/>
                <w:color w:val="auto"/>
              </w:rPr>
              <w:t>6</w:t>
            </w:r>
          </w:p>
        </w:tc>
        <w:tc>
          <w:tcPr>
            <w:tcW w:w="1094" w:type="pct"/>
            <w:vAlign w:val="center"/>
          </w:tcPr>
          <w:p w14:paraId="5F78F5DB">
            <w:pPr>
              <w:pStyle w:val="33"/>
              <w:rPr>
                <w:color w:val="auto"/>
              </w:rPr>
            </w:pPr>
            <w:r>
              <w:rPr>
                <w:color w:val="auto"/>
              </w:rPr>
              <w:t>粉煤灰、碳酸钙等</w:t>
            </w:r>
          </w:p>
        </w:tc>
        <w:tc>
          <w:tcPr>
            <w:tcW w:w="1094" w:type="pct"/>
            <w:vMerge w:val="continue"/>
            <w:vAlign w:val="center"/>
          </w:tcPr>
          <w:p w14:paraId="3E7CB829">
            <w:pPr>
              <w:pStyle w:val="33"/>
              <w:rPr>
                <w:color w:val="auto"/>
              </w:rPr>
            </w:pPr>
          </w:p>
        </w:tc>
        <w:tc>
          <w:tcPr>
            <w:tcW w:w="936" w:type="pct"/>
            <w:vAlign w:val="center"/>
          </w:tcPr>
          <w:p w14:paraId="51B1E26C">
            <w:pPr>
              <w:pStyle w:val="33"/>
              <w:rPr>
                <w:color w:val="auto"/>
              </w:rPr>
            </w:pPr>
            <w:r>
              <w:rPr>
                <w:color w:val="auto"/>
              </w:rPr>
              <w:t>外委综合利用</w:t>
            </w:r>
          </w:p>
        </w:tc>
      </w:tr>
      <w:tr w14:paraId="200979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5B2B796D">
            <w:pPr>
              <w:pStyle w:val="33"/>
              <w:rPr>
                <w:color w:val="auto"/>
              </w:rPr>
            </w:pPr>
          </w:p>
        </w:tc>
        <w:tc>
          <w:tcPr>
            <w:tcW w:w="779" w:type="pct"/>
            <w:vAlign w:val="center"/>
          </w:tcPr>
          <w:p w14:paraId="2DDE2CE8">
            <w:pPr>
              <w:pStyle w:val="33"/>
              <w:rPr>
                <w:color w:val="auto"/>
              </w:rPr>
            </w:pPr>
            <w:r>
              <w:rPr>
                <w:color w:val="auto"/>
              </w:rPr>
              <w:t>粉煤灰</w:t>
            </w:r>
          </w:p>
        </w:tc>
        <w:tc>
          <w:tcPr>
            <w:tcW w:w="548" w:type="pct"/>
            <w:vAlign w:val="center"/>
          </w:tcPr>
          <w:p w14:paraId="3F6D7FBF">
            <w:pPr>
              <w:pStyle w:val="33"/>
              <w:rPr>
                <w:color w:val="auto"/>
              </w:rPr>
            </w:pPr>
            <w:r>
              <w:rPr>
                <w:color w:val="auto"/>
              </w:rPr>
              <w:t>9176</w:t>
            </w:r>
            <w:r>
              <w:rPr>
                <w:rFonts w:hint="eastAsia"/>
                <w:color w:val="auto"/>
              </w:rPr>
              <w:t>1</w:t>
            </w:r>
          </w:p>
        </w:tc>
        <w:tc>
          <w:tcPr>
            <w:tcW w:w="1094" w:type="pct"/>
            <w:vAlign w:val="center"/>
          </w:tcPr>
          <w:p w14:paraId="66CA9674">
            <w:pPr>
              <w:pStyle w:val="33"/>
              <w:rPr>
                <w:color w:val="auto"/>
              </w:rPr>
            </w:pPr>
            <w:r>
              <w:rPr>
                <w:color w:val="auto"/>
              </w:rPr>
              <w:t>粉煤灰、碳酸钙等</w:t>
            </w:r>
          </w:p>
        </w:tc>
        <w:tc>
          <w:tcPr>
            <w:tcW w:w="1094" w:type="pct"/>
            <w:vMerge w:val="continue"/>
            <w:vAlign w:val="center"/>
          </w:tcPr>
          <w:p w14:paraId="04FAD8B4">
            <w:pPr>
              <w:pStyle w:val="33"/>
              <w:rPr>
                <w:color w:val="auto"/>
              </w:rPr>
            </w:pPr>
          </w:p>
        </w:tc>
        <w:tc>
          <w:tcPr>
            <w:tcW w:w="936" w:type="pct"/>
            <w:vAlign w:val="center"/>
          </w:tcPr>
          <w:p w14:paraId="26582ED5">
            <w:pPr>
              <w:pStyle w:val="33"/>
              <w:rPr>
                <w:color w:val="auto"/>
              </w:rPr>
            </w:pPr>
            <w:r>
              <w:rPr>
                <w:color w:val="auto"/>
              </w:rPr>
              <w:t>外委综合利用</w:t>
            </w:r>
          </w:p>
        </w:tc>
      </w:tr>
      <w:tr w14:paraId="4606A7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267868A3">
            <w:pPr>
              <w:pStyle w:val="33"/>
              <w:rPr>
                <w:color w:val="auto"/>
              </w:rPr>
            </w:pPr>
          </w:p>
        </w:tc>
        <w:tc>
          <w:tcPr>
            <w:tcW w:w="779" w:type="pct"/>
            <w:vAlign w:val="center"/>
          </w:tcPr>
          <w:p w14:paraId="74530EE7">
            <w:pPr>
              <w:pStyle w:val="33"/>
              <w:rPr>
                <w:color w:val="auto"/>
              </w:rPr>
            </w:pPr>
            <w:r>
              <w:rPr>
                <w:color w:val="auto"/>
              </w:rPr>
              <w:t>脱硫石膏（干度90%）</w:t>
            </w:r>
          </w:p>
        </w:tc>
        <w:tc>
          <w:tcPr>
            <w:tcW w:w="548" w:type="pct"/>
            <w:vAlign w:val="center"/>
          </w:tcPr>
          <w:p w14:paraId="316F9E05">
            <w:pPr>
              <w:pStyle w:val="33"/>
              <w:rPr>
                <w:color w:val="auto"/>
              </w:rPr>
            </w:pPr>
            <w:r>
              <w:rPr>
                <w:color w:val="auto"/>
              </w:rPr>
              <w:t>3923</w:t>
            </w:r>
            <w:r>
              <w:rPr>
                <w:rFonts w:hint="eastAsia"/>
                <w:color w:val="auto"/>
              </w:rPr>
              <w:t>5</w:t>
            </w:r>
          </w:p>
        </w:tc>
        <w:tc>
          <w:tcPr>
            <w:tcW w:w="1094" w:type="pct"/>
            <w:vAlign w:val="center"/>
          </w:tcPr>
          <w:p w14:paraId="220DE116">
            <w:pPr>
              <w:pStyle w:val="33"/>
              <w:rPr>
                <w:color w:val="auto"/>
              </w:rPr>
            </w:pPr>
            <w:r>
              <w:rPr>
                <w:color w:val="auto"/>
              </w:rPr>
              <w:t>硫酸钙</w:t>
            </w:r>
          </w:p>
        </w:tc>
        <w:tc>
          <w:tcPr>
            <w:tcW w:w="1094" w:type="pct"/>
            <w:vMerge w:val="continue"/>
            <w:vAlign w:val="center"/>
          </w:tcPr>
          <w:p w14:paraId="0980D679">
            <w:pPr>
              <w:pStyle w:val="33"/>
              <w:rPr>
                <w:color w:val="auto"/>
              </w:rPr>
            </w:pPr>
          </w:p>
        </w:tc>
        <w:tc>
          <w:tcPr>
            <w:tcW w:w="936" w:type="pct"/>
            <w:vAlign w:val="center"/>
          </w:tcPr>
          <w:p w14:paraId="2EB08C64">
            <w:pPr>
              <w:pStyle w:val="33"/>
              <w:rPr>
                <w:color w:val="auto"/>
              </w:rPr>
            </w:pPr>
            <w:r>
              <w:rPr>
                <w:color w:val="auto"/>
              </w:rPr>
              <w:t>外委综合利用</w:t>
            </w:r>
          </w:p>
        </w:tc>
      </w:tr>
      <w:tr w14:paraId="07F7C43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tcBorders>
            <w:vAlign w:val="center"/>
          </w:tcPr>
          <w:p w14:paraId="0847604F">
            <w:pPr>
              <w:pStyle w:val="33"/>
              <w:rPr>
                <w:color w:val="auto"/>
              </w:rPr>
            </w:pPr>
          </w:p>
        </w:tc>
        <w:tc>
          <w:tcPr>
            <w:tcW w:w="779" w:type="pct"/>
            <w:vAlign w:val="center"/>
          </w:tcPr>
          <w:p w14:paraId="354661B6">
            <w:pPr>
              <w:pStyle w:val="33"/>
              <w:rPr>
                <w:color w:val="auto"/>
              </w:rPr>
            </w:pPr>
            <w:r>
              <w:rPr>
                <w:color w:val="auto"/>
              </w:rPr>
              <w:t>废催化剂</w:t>
            </w:r>
          </w:p>
        </w:tc>
        <w:tc>
          <w:tcPr>
            <w:tcW w:w="548" w:type="pct"/>
            <w:vAlign w:val="center"/>
          </w:tcPr>
          <w:p w14:paraId="681F40A2">
            <w:pPr>
              <w:pStyle w:val="33"/>
              <w:rPr>
                <w:color w:val="auto"/>
              </w:rPr>
            </w:pPr>
            <w:r>
              <w:rPr>
                <w:color w:val="auto"/>
              </w:rPr>
              <w:t>108/2.5a</w:t>
            </w:r>
          </w:p>
        </w:tc>
        <w:tc>
          <w:tcPr>
            <w:tcW w:w="1094" w:type="pct"/>
            <w:vAlign w:val="center"/>
          </w:tcPr>
          <w:p w14:paraId="11FF6590">
            <w:pPr>
              <w:pStyle w:val="33"/>
              <w:rPr>
                <w:color w:val="auto"/>
              </w:rPr>
            </w:pPr>
            <w:r>
              <w:rPr>
                <w:color w:val="auto"/>
              </w:rPr>
              <w:t>五氧化二钒</w:t>
            </w:r>
          </w:p>
        </w:tc>
        <w:tc>
          <w:tcPr>
            <w:tcW w:w="1094" w:type="pct"/>
            <w:vAlign w:val="center"/>
          </w:tcPr>
          <w:p w14:paraId="0DE80F92">
            <w:pPr>
              <w:pStyle w:val="33"/>
              <w:rPr>
                <w:color w:val="auto"/>
              </w:rPr>
            </w:pPr>
            <w:r>
              <w:rPr>
                <w:color w:val="auto"/>
              </w:rPr>
              <w:t>危险废物HW50废催化剂772-007-50</w:t>
            </w:r>
          </w:p>
        </w:tc>
        <w:tc>
          <w:tcPr>
            <w:tcW w:w="936" w:type="pct"/>
            <w:vAlign w:val="center"/>
          </w:tcPr>
          <w:p w14:paraId="1AAA07BE">
            <w:pPr>
              <w:pStyle w:val="33"/>
              <w:rPr>
                <w:color w:val="auto"/>
              </w:rPr>
            </w:pPr>
            <w:r>
              <w:rPr>
                <w:color w:val="auto"/>
              </w:rPr>
              <w:t>委托有资质单位处置</w:t>
            </w:r>
          </w:p>
        </w:tc>
      </w:tr>
      <w:tr w14:paraId="7991F9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restart"/>
            <w:tcBorders>
              <w:bottom w:val="nil"/>
            </w:tcBorders>
            <w:vAlign w:val="center"/>
          </w:tcPr>
          <w:p w14:paraId="47302530">
            <w:pPr>
              <w:pStyle w:val="33"/>
              <w:rPr>
                <w:color w:val="auto"/>
              </w:rPr>
            </w:pPr>
            <w:r>
              <w:rPr>
                <w:color w:val="auto"/>
              </w:rPr>
              <w:t>过氧化氢车间</w:t>
            </w:r>
          </w:p>
        </w:tc>
        <w:tc>
          <w:tcPr>
            <w:tcW w:w="779" w:type="pct"/>
            <w:vAlign w:val="center"/>
          </w:tcPr>
          <w:p w14:paraId="1D0F71CA">
            <w:pPr>
              <w:pStyle w:val="33"/>
              <w:rPr>
                <w:color w:val="auto"/>
              </w:rPr>
            </w:pPr>
            <w:r>
              <w:rPr>
                <w:color w:val="auto"/>
              </w:rPr>
              <w:t>废氧化铝</w:t>
            </w:r>
          </w:p>
        </w:tc>
        <w:tc>
          <w:tcPr>
            <w:tcW w:w="548" w:type="pct"/>
            <w:vAlign w:val="center"/>
          </w:tcPr>
          <w:p w14:paraId="748D1391">
            <w:pPr>
              <w:pStyle w:val="33"/>
              <w:rPr>
                <w:color w:val="auto"/>
              </w:rPr>
            </w:pPr>
            <w:r>
              <w:rPr>
                <w:color w:val="auto"/>
              </w:rPr>
              <w:t>1105</w:t>
            </w:r>
          </w:p>
        </w:tc>
        <w:tc>
          <w:tcPr>
            <w:tcW w:w="1094" w:type="pct"/>
            <w:vAlign w:val="center"/>
          </w:tcPr>
          <w:p w14:paraId="6334A2ED">
            <w:pPr>
              <w:pStyle w:val="33"/>
              <w:rPr>
                <w:color w:val="auto"/>
              </w:rPr>
            </w:pPr>
            <w:r>
              <w:rPr>
                <w:color w:val="auto"/>
              </w:rPr>
              <w:t>氧化铝</w:t>
            </w:r>
          </w:p>
        </w:tc>
        <w:tc>
          <w:tcPr>
            <w:tcW w:w="1094" w:type="pct"/>
            <w:vMerge w:val="restart"/>
            <w:vAlign w:val="center"/>
          </w:tcPr>
          <w:p w14:paraId="755B44AC">
            <w:pPr>
              <w:pStyle w:val="33"/>
              <w:rPr>
                <w:color w:val="auto"/>
              </w:rPr>
            </w:pPr>
            <w:r>
              <w:rPr>
                <w:color w:val="auto"/>
              </w:rPr>
              <w:t>一般固体废物</w:t>
            </w:r>
          </w:p>
        </w:tc>
        <w:tc>
          <w:tcPr>
            <w:tcW w:w="936" w:type="pct"/>
            <w:vMerge w:val="restart"/>
            <w:vAlign w:val="center"/>
          </w:tcPr>
          <w:p w14:paraId="49666DE0">
            <w:pPr>
              <w:pStyle w:val="33"/>
              <w:rPr>
                <w:color w:val="auto"/>
              </w:rPr>
            </w:pPr>
            <w:r>
              <w:rPr>
                <w:color w:val="auto"/>
              </w:rPr>
              <w:t>生产厂家回收</w:t>
            </w:r>
          </w:p>
        </w:tc>
      </w:tr>
      <w:tr w14:paraId="7E9944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702615C1">
            <w:pPr>
              <w:pStyle w:val="33"/>
              <w:rPr>
                <w:color w:val="auto"/>
              </w:rPr>
            </w:pPr>
          </w:p>
        </w:tc>
        <w:tc>
          <w:tcPr>
            <w:tcW w:w="779" w:type="pct"/>
            <w:vAlign w:val="center"/>
          </w:tcPr>
          <w:p w14:paraId="001D8E85">
            <w:pPr>
              <w:pStyle w:val="33"/>
              <w:rPr>
                <w:color w:val="auto"/>
              </w:rPr>
            </w:pPr>
            <w:r>
              <w:rPr>
                <w:color w:val="auto"/>
              </w:rPr>
              <w:t>废脱硫剂</w:t>
            </w:r>
          </w:p>
        </w:tc>
        <w:tc>
          <w:tcPr>
            <w:tcW w:w="548" w:type="pct"/>
            <w:vAlign w:val="center"/>
          </w:tcPr>
          <w:p w14:paraId="08F12C1B">
            <w:pPr>
              <w:pStyle w:val="33"/>
              <w:rPr>
                <w:color w:val="auto"/>
              </w:rPr>
            </w:pPr>
            <w:r>
              <w:rPr>
                <w:color w:val="auto"/>
              </w:rPr>
              <w:t>31</w:t>
            </w:r>
          </w:p>
        </w:tc>
        <w:tc>
          <w:tcPr>
            <w:tcW w:w="1094" w:type="pct"/>
            <w:vAlign w:val="center"/>
          </w:tcPr>
          <w:p w14:paraId="2735CC99">
            <w:pPr>
              <w:pStyle w:val="33"/>
              <w:rPr>
                <w:color w:val="auto"/>
              </w:rPr>
            </w:pPr>
            <w:r>
              <w:rPr>
                <w:color w:val="auto"/>
              </w:rPr>
              <w:t>硫化锌、过氧化锌</w:t>
            </w:r>
          </w:p>
        </w:tc>
        <w:tc>
          <w:tcPr>
            <w:tcW w:w="1094" w:type="pct"/>
            <w:vMerge w:val="continue"/>
            <w:vAlign w:val="center"/>
          </w:tcPr>
          <w:p w14:paraId="55F6C1B1">
            <w:pPr>
              <w:pStyle w:val="33"/>
              <w:rPr>
                <w:color w:val="auto"/>
              </w:rPr>
            </w:pPr>
          </w:p>
        </w:tc>
        <w:tc>
          <w:tcPr>
            <w:tcW w:w="936" w:type="pct"/>
            <w:vMerge w:val="continue"/>
            <w:vAlign w:val="center"/>
          </w:tcPr>
          <w:p w14:paraId="76719620">
            <w:pPr>
              <w:pStyle w:val="33"/>
              <w:rPr>
                <w:color w:val="auto"/>
              </w:rPr>
            </w:pPr>
          </w:p>
        </w:tc>
      </w:tr>
      <w:tr w14:paraId="6BA1CF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58EBC4C2">
            <w:pPr>
              <w:pStyle w:val="33"/>
              <w:rPr>
                <w:color w:val="auto"/>
              </w:rPr>
            </w:pPr>
          </w:p>
        </w:tc>
        <w:tc>
          <w:tcPr>
            <w:tcW w:w="779" w:type="pct"/>
            <w:vAlign w:val="center"/>
          </w:tcPr>
          <w:p w14:paraId="67E83DAF">
            <w:pPr>
              <w:pStyle w:val="33"/>
              <w:rPr>
                <w:color w:val="auto"/>
              </w:rPr>
            </w:pPr>
            <w:r>
              <w:rPr>
                <w:color w:val="auto"/>
              </w:rPr>
              <w:t>转化废催化剂</w:t>
            </w:r>
          </w:p>
        </w:tc>
        <w:tc>
          <w:tcPr>
            <w:tcW w:w="548" w:type="pct"/>
            <w:vAlign w:val="center"/>
          </w:tcPr>
          <w:p w14:paraId="53936267">
            <w:pPr>
              <w:pStyle w:val="33"/>
              <w:rPr>
                <w:color w:val="auto"/>
              </w:rPr>
            </w:pPr>
            <w:r>
              <w:rPr>
                <w:color w:val="auto"/>
              </w:rPr>
              <w:t>12/2.5a</w:t>
            </w:r>
          </w:p>
        </w:tc>
        <w:tc>
          <w:tcPr>
            <w:tcW w:w="1094" w:type="pct"/>
            <w:vAlign w:val="center"/>
          </w:tcPr>
          <w:p w14:paraId="5832DE9C">
            <w:pPr>
              <w:pStyle w:val="33"/>
              <w:rPr>
                <w:color w:val="auto"/>
              </w:rPr>
            </w:pPr>
            <w:r>
              <w:rPr>
                <w:color w:val="auto"/>
              </w:rPr>
              <w:t>氧化铜、三氧化二铝</w:t>
            </w:r>
          </w:p>
        </w:tc>
        <w:tc>
          <w:tcPr>
            <w:tcW w:w="1094" w:type="pct"/>
            <w:vMerge w:val="continue"/>
            <w:vAlign w:val="center"/>
          </w:tcPr>
          <w:p w14:paraId="3292F4AB">
            <w:pPr>
              <w:pStyle w:val="33"/>
              <w:rPr>
                <w:color w:val="auto"/>
              </w:rPr>
            </w:pPr>
          </w:p>
        </w:tc>
        <w:tc>
          <w:tcPr>
            <w:tcW w:w="936" w:type="pct"/>
            <w:vMerge w:val="continue"/>
            <w:vAlign w:val="center"/>
          </w:tcPr>
          <w:p w14:paraId="4AC11079">
            <w:pPr>
              <w:pStyle w:val="33"/>
              <w:rPr>
                <w:color w:val="auto"/>
              </w:rPr>
            </w:pPr>
          </w:p>
        </w:tc>
      </w:tr>
      <w:tr w14:paraId="2CA745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399B3CB4">
            <w:pPr>
              <w:pStyle w:val="33"/>
              <w:rPr>
                <w:color w:val="auto"/>
              </w:rPr>
            </w:pPr>
          </w:p>
        </w:tc>
        <w:tc>
          <w:tcPr>
            <w:tcW w:w="779" w:type="pct"/>
            <w:vAlign w:val="center"/>
          </w:tcPr>
          <w:p w14:paraId="13749CFC">
            <w:pPr>
              <w:pStyle w:val="33"/>
              <w:rPr>
                <w:color w:val="auto"/>
              </w:rPr>
            </w:pPr>
            <w:r>
              <w:rPr>
                <w:color w:val="auto"/>
              </w:rPr>
              <w:t>变换催化废催化剂</w:t>
            </w:r>
          </w:p>
        </w:tc>
        <w:tc>
          <w:tcPr>
            <w:tcW w:w="548" w:type="pct"/>
            <w:vAlign w:val="center"/>
          </w:tcPr>
          <w:p w14:paraId="7BB72FFB">
            <w:pPr>
              <w:pStyle w:val="33"/>
              <w:rPr>
                <w:color w:val="auto"/>
              </w:rPr>
            </w:pPr>
            <w:r>
              <w:rPr>
                <w:color w:val="auto"/>
              </w:rPr>
              <w:t>22/2.5a</w:t>
            </w:r>
          </w:p>
        </w:tc>
        <w:tc>
          <w:tcPr>
            <w:tcW w:w="1094" w:type="pct"/>
            <w:vAlign w:val="center"/>
          </w:tcPr>
          <w:p w14:paraId="3DB8B87B">
            <w:pPr>
              <w:pStyle w:val="33"/>
              <w:rPr>
                <w:color w:val="auto"/>
              </w:rPr>
            </w:pPr>
            <w:r>
              <w:rPr>
                <w:color w:val="auto"/>
              </w:rPr>
              <w:t>铁、铬</w:t>
            </w:r>
          </w:p>
        </w:tc>
        <w:tc>
          <w:tcPr>
            <w:tcW w:w="1094" w:type="pct"/>
            <w:vAlign w:val="center"/>
          </w:tcPr>
          <w:p w14:paraId="728A09BE">
            <w:pPr>
              <w:pStyle w:val="33"/>
              <w:rPr>
                <w:color w:val="auto"/>
              </w:rPr>
            </w:pPr>
            <w:r>
              <w:rPr>
                <w:color w:val="auto"/>
              </w:rPr>
              <w:t>危险废物HW50废催化剂261-166-50</w:t>
            </w:r>
          </w:p>
        </w:tc>
        <w:tc>
          <w:tcPr>
            <w:tcW w:w="936" w:type="pct"/>
            <w:vMerge w:val="restart"/>
            <w:vAlign w:val="center"/>
          </w:tcPr>
          <w:p w14:paraId="34A4ADAB">
            <w:pPr>
              <w:pStyle w:val="33"/>
              <w:rPr>
                <w:color w:val="auto"/>
              </w:rPr>
            </w:pPr>
            <w:r>
              <w:rPr>
                <w:color w:val="auto"/>
              </w:rPr>
              <w:t>委托有资质单位处置</w:t>
            </w:r>
          </w:p>
        </w:tc>
      </w:tr>
      <w:tr w14:paraId="403E4F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28211052">
            <w:pPr>
              <w:pStyle w:val="33"/>
              <w:rPr>
                <w:color w:val="auto"/>
              </w:rPr>
            </w:pPr>
          </w:p>
        </w:tc>
        <w:tc>
          <w:tcPr>
            <w:tcW w:w="779" w:type="pct"/>
            <w:vAlign w:val="center"/>
          </w:tcPr>
          <w:p w14:paraId="177BD9B5">
            <w:pPr>
              <w:pStyle w:val="33"/>
              <w:rPr>
                <w:color w:val="auto"/>
              </w:rPr>
            </w:pPr>
            <w:r>
              <w:rPr>
                <w:color w:val="auto"/>
              </w:rPr>
              <w:t>废催化剂</w:t>
            </w:r>
          </w:p>
        </w:tc>
        <w:tc>
          <w:tcPr>
            <w:tcW w:w="548" w:type="pct"/>
            <w:vAlign w:val="center"/>
          </w:tcPr>
          <w:p w14:paraId="055BA5E9">
            <w:pPr>
              <w:pStyle w:val="33"/>
              <w:rPr>
                <w:color w:val="auto"/>
              </w:rPr>
            </w:pPr>
            <w:r>
              <w:rPr>
                <w:color w:val="auto"/>
              </w:rPr>
              <w:t>9/5a</w:t>
            </w:r>
          </w:p>
        </w:tc>
        <w:tc>
          <w:tcPr>
            <w:tcW w:w="1094" w:type="pct"/>
            <w:vAlign w:val="center"/>
          </w:tcPr>
          <w:p w14:paraId="27F8951E">
            <w:pPr>
              <w:pStyle w:val="33"/>
              <w:rPr>
                <w:color w:val="auto"/>
              </w:rPr>
            </w:pPr>
            <w:r>
              <w:rPr>
                <w:color w:val="auto"/>
              </w:rPr>
              <w:t>钯触媒、芳烃等</w:t>
            </w:r>
          </w:p>
        </w:tc>
        <w:tc>
          <w:tcPr>
            <w:tcW w:w="1094" w:type="pct"/>
            <w:vAlign w:val="center"/>
          </w:tcPr>
          <w:p w14:paraId="067D5F97">
            <w:pPr>
              <w:pStyle w:val="33"/>
              <w:rPr>
                <w:color w:val="auto"/>
              </w:rPr>
            </w:pPr>
            <w:r>
              <w:rPr>
                <w:color w:val="auto"/>
              </w:rPr>
              <w:t>危险废物HW50废催化剂261-152-50</w:t>
            </w:r>
          </w:p>
        </w:tc>
        <w:tc>
          <w:tcPr>
            <w:tcW w:w="936" w:type="pct"/>
            <w:vMerge w:val="continue"/>
            <w:vAlign w:val="center"/>
          </w:tcPr>
          <w:p w14:paraId="12C8E678">
            <w:pPr>
              <w:pStyle w:val="33"/>
              <w:rPr>
                <w:color w:val="auto"/>
              </w:rPr>
            </w:pPr>
          </w:p>
        </w:tc>
      </w:tr>
      <w:tr w14:paraId="14E43C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3179ED87">
            <w:pPr>
              <w:pStyle w:val="33"/>
              <w:rPr>
                <w:color w:val="auto"/>
              </w:rPr>
            </w:pPr>
          </w:p>
        </w:tc>
        <w:tc>
          <w:tcPr>
            <w:tcW w:w="779" w:type="pct"/>
            <w:vAlign w:val="center"/>
          </w:tcPr>
          <w:p w14:paraId="2D9A2138">
            <w:pPr>
              <w:pStyle w:val="33"/>
              <w:rPr>
                <w:color w:val="auto"/>
              </w:rPr>
            </w:pPr>
            <w:r>
              <w:rPr>
                <w:color w:val="auto"/>
              </w:rPr>
              <w:t>废活性炭</w:t>
            </w:r>
          </w:p>
        </w:tc>
        <w:tc>
          <w:tcPr>
            <w:tcW w:w="548" w:type="pct"/>
            <w:vAlign w:val="center"/>
          </w:tcPr>
          <w:p w14:paraId="0CF93EA2">
            <w:pPr>
              <w:pStyle w:val="33"/>
              <w:rPr>
                <w:color w:val="auto"/>
              </w:rPr>
            </w:pPr>
            <w:r>
              <w:rPr>
                <w:color w:val="auto"/>
              </w:rPr>
              <w:t>1</w:t>
            </w:r>
            <w:r>
              <w:rPr>
                <w:rFonts w:hint="eastAsia"/>
                <w:color w:val="auto"/>
              </w:rPr>
              <w:t>7</w:t>
            </w:r>
          </w:p>
        </w:tc>
        <w:tc>
          <w:tcPr>
            <w:tcW w:w="1094" w:type="pct"/>
            <w:vAlign w:val="center"/>
          </w:tcPr>
          <w:p w14:paraId="50E485CC">
            <w:pPr>
              <w:pStyle w:val="33"/>
              <w:rPr>
                <w:color w:val="auto"/>
              </w:rPr>
            </w:pPr>
            <w:r>
              <w:rPr>
                <w:color w:val="auto"/>
              </w:rPr>
              <w:t>活性炭、芳烃等</w:t>
            </w:r>
          </w:p>
        </w:tc>
        <w:tc>
          <w:tcPr>
            <w:tcW w:w="1094" w:type="pct"/>
            <w:vAlign w:val="center"/>
          </w:tcPr>
          <w:p w14:paraId="69EDBEBF">
            <w:pPr>
              <w:pStyle w:val="33"/>
              <w:rPr>
                <w:color w:val="auto"/>
              </w:rPr>
            </w:pPr>
            <w:r>
              <w:rPr>
                <w:color w:val="auto"/>
              </w:rPr>
              <w:t>危险废物HW49其他废物900-039-49</w:t>
            </w:r>
          </w:p>
        </w:tc>
        <w:tc>
          <w:tcPr>
            <w:tcW w:w="936" w:type="pct"/>
            <w:vMerge w:val="continue"/>
            <w:vAlign w:val="center"/>
          </w:tcPr>
          <w:p w14:paraId="60BB84D8">
            <w:pPr>
              <w:pStyle w:val="33"/>
              <w:rPr>
                <w:color w:val="auto"/>
              </w:rPr>
            </w:pPr>
          </w:p>
        </w:tc>
      </w:tr>
      <w:tr w14:paraId="49F674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restart"/>
            <w:vAlign w:val="center"/>
          </w:tcPr>
          <w:p w14:paraId="12E04937">
            <w:pPr>
              <w:pStyle w:val="33"/>
              <w:rPr>
                <w:color w:val="auto"/>
              </w:rPr>
            </w:pPr>
            <w:r>
              <w:rPr>
                <w:color w:val="auto"/>
              </w:rPr>
              <w:t>污水处理站</w:t>
            </w:r>
          </w:p>
        </w:tc>
        <w:tc>
          <w:tcPr>
            <w:tcW w:w="779" w:type="pct"/>
            <w:vAlign w:val="center"/>
          </w:tcPr>
          <w:p w14:paraId="416586F1">
            <w:pPr>
              <w:pStyle w:val="33"/>
              <w:rPr>
                <w:color w:val="auto"/>
              </w:rPr>
            </w:pPr>
            <w:r>
              <w:rPr>
                <w:color w:val="auto"/>
              </w:rPr>
              <w:t>污泥（干度40%）</w:t>
            </w:r>
          </w:p>
        </w:tc>
        <w:tc>
          <w:tcPr>
            <w:tcW w:w="548" w:type="pct"/>
            <w:vAlign w:val="center"/>
          </w:tcPr>
          <w:p w14:paraId="6EF69BB9">
            <w:pPr>
              <w:pStyle w:val="33"/>
              <w:rPr>
                <w:color w:val="auto"/>
              </w:rPr>
            </w:pPr>
            <w:r>
              <w:rPr>
                <w:color w:val="auto"/>
              </w:rPr>
              <w:t>145705</w:t>
            </w:r>
          </w:p>
        </w:tc>
        <w:tc>
          <w:tcPr>
            <w:tcW w:w="1094" w:type="pct"/>
            <w:vAlign w:val="center"/>
          </w:tcPr>
          <w:p w14:paraId="05C0EFB0">
            <w:pPr>
              <w:pStyle w:val="33"/>
              <w:rPr>
                <w:color w:val="auto"/>
              </w:rPr>
            </w:pPr>
            <w:r>
              <w:rPr>
                <w:color w:val="auto"/>
              </w:rPr>
              <w:t>微生物</w:t>
            </w:r>
          </w:p>
        </w:tc>
        <w:tc>
          <w:tcPr>
            <w:tcW w:w="1094" w:type="pct"/>
            <w:vAlign w:val="center"/>
          </w:tcPr>
          <w:p w14:paraId="55B7E091">
            <w:pPr>
              <w:pStyle w:val="33"/>
              <w:rPr>
                <w:color w:val="auto"/>
              </w:rPr>
            </w:pPr>
            <w:r>
              <w:rPr>
                <w:color w:val="auto"/>
              </w:rPr>
              <w:t>一般固体废物</w:t>
            </w:r>
          </w:p>
        </w:tc>
        <w:tc>
          <w:tcPr>
            <w:tcW w:w="936" w:type="pct"/>
            <w:vAlign w:val="center"/>
          </w:tcPr>
          <w:p w14:paraId="0A2F0C45">
            <w:pPr>
              <w:pStyle w:val="33"/>
              <w:rPr>
                <w:color w:val="auto"/>
              </w:rPr>
            </w:pPr>
            <w:r>
              <w:rPr>
                <w:rFonts w:hint="eastAsia"/>
                <w:color w:val="auto"/>
              </w:rPr>
              <w:t>送自备循环流化床锅炉燃烧，剩余部分外委广西田东力源宝科技有限公司用作生态肥料</w:t>
            </w:r>
          </w:p>
        </w:tc>
      </w:tr>
      <w:tr w14:paraId="1CCE79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vAlign w:val="center"/>
          </w:tcPr>
          <w:p w14:paraId="0EE51BDC">
            <w:pPr>
              <w:pStyle w:val="33"/>
              <w:rPr>
                <w:color w:val="auto"/>
              </w:rPr>
            </w:pPr>
          </w:p>
        </w:tc>
        <w:tc>
          <w:tcPr>
            <w:tcW w:w="779" w:type="pct"/>
            <w:vAlign w:val="center"/>
          </w:tcPr>
          <w:p w14:paraId="066A7276">
            <w:pPr>
              <w:pStyle w:val="33"/>
              <w:rPr>
                <w:color w:val="auto"/>
              </w:rPr>
            </w:pPr>
            <w:r>
              <w:rPr>
                <w:color w:val="auto"/>
              </w:rPr>
              <w:t>检测废液</w:t>
            </w:r>
          </w:p>
        </w:tc>
        <w:tc>
          <w:tcPr>
            <w:tcW w:w="548" w:type="pct"/>
            <w:vAlign w:val="center"/>
          </w:tcPr>
          <w:p w14:paraId="3CB5BA70">
            <w:pPr>
              <w:pStyle w:val="33"/>
              <w:rPr>
                <w:color w:val="auto"/>
              </w:rPr>
            </w:pPr>
            <w:r>
              <w:rPr>
                <w:color w:val="auto"/>
              </w:rPr>
              <w:t>0.</w:t>
            </w:r>
            <w:r>
              <w:rPr>
                <w:rFonts w:hint="eastAsia"/>
                <w:color w:val="auto"/>
              </w:rPr>
              <w:t>3</w:t>
            </w:r>
          </w:p>
        </w:tc>
        <w:tc>
          <w:tcPr>
            <w:tcW w:w="1094" w:type="pct"/>
            <w:vAlign w:val="center"/>
          </w:tcPr>
          <w:p w14:paraId="22BE1C8D">
            <w:pPr>
              <w:pStyle w:val="33"/>
              <w:rPr>
                <w:color w:val="auto"/>
              </w:rPr>
            </w:pPr>
            <w:r>
              <w:rPr>
                <w:color w:val="auto"/>
              </w:rPr>
              <w:t>检测废液</w:t>
            </w:r>
          </w:p>
        </w:tc>
        <w:tc>
          <w:tcPr>
            <w:tcW w:w="1094" w:type="pct"/>
            <w:vAlign w:val="center"/>
          </w:tcPr>
          <w:p w14:paraId="725A1A19">
            <w:pPr>
              <w:pStyle w:val="33"/>
              <w:rPr>
                <w:color w:val="auto"/>
              </w:rPr>
            </w:pPr>
            <w:r>
              <w:rPr>
                <w:color w:val="auto"/>
              </w:rPr>
              <w:t>危险废物HW49其他废物900-074-49</w:t>
            </w:r>
          </w:p>
        </w:tc>
        <w:tc>
          <w:tcPr>
            <w:tcW w:w="936" w:type="pct"/>
            <w:vMerge w:val="restart"/>
            <w:vAlign w:val="center"/>
          </w:tcPr>
          <w:p w14:paraId="05A818DD">
            <w:pPr>
              <w:pStyle w:val="33"/>
              <w:rPr>
                <w:color w:val="auto"/>
              </w:rPr>
            </w:pPr>
            <w:r>
              <w:rPr>
                <w:color w:val="auto"/>
              </w:rPr>
              <w:t>委托有资质单位处置</w:t>
            </w:r>
          </w:p>
        </w:tc>
      </w:tr>
      <w:tr w14:paraId="248B66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548" w:type="pct"/>
            <w:vMerge w:val="continue"/>
            <w:vAlign w:val="center"/>
          </w:tcPr>
          <w:p w14:paraId="38152BB5">
            <w:pPr>
              <w:pStyle w:val="33"/>
              <w:rPr>
                <w:color w:val="auto"/>
              </w:rPr>
            </w:pPr>
          </w:p>
        </w:tc>
        <w:tc>
          <w:tcPr>
            <w:tcW w:w="779" w:type="pct"/>
            <w:vAlign w:val="center"/>
          </w:tcPr>
          <w:p w14:paraId="1F3A81D1">
            <w:pPr>
              <w:pStyle w:val="33"/>
              <w:rPr>
                <w:color w:val="auto"/>
              </w:rPr>
            </w:pPr>
            <w:r>
              <w:rPr>
                <w:color w:val="auto"/>
              </w:rPr>
              <w:t>废试剂瓶</w:t>
            </w:r>
          </w:p>
        </w:tc>
        <w:tc>
          <w:tcPr>
            <w:tcW w:w="548" w:type="pct"/>
            <w:vAlign w:val="center"/>
          </w:tcPr>
          <w:p w14:paraId="2292F835">
            <w:pPr>
              <w:pStyle w:val="33"/>
              <w:rPr>
                <w:color w:val="auto"/>
              </w:rPr>
            </w:pPr>
            <w:r>
              <w:rPr>
                <w:color w:val="auto"/>
              </w:rPr>
              <w:t>0.8</w:t>
            </w:r>
          </w:p>
        </w:tc>
        <w:tc>
          <w:tcPr>
            <w:tcW w:w="1094" w:type="pct"/>
            <w:vAlign w:val="center"/>
          </w:tcPr>
          <w:p w14:paraId="7B48D574">
            <w:pPr>
              <w:pStyle w:val="33"/>
              <w:rPr>
                <w:color w:val="auto"/>
              </w:rPr>
            </w:pPr>
            <w:r>
              <w:rPr>
                <w:color w:val="auto"/>
              </w:rPr>
              <w:t>废矿物油</w:t>
            </w:r>
          </w:p>
        </w:tc>
        <w:tc>
          <w:tcPr>
            <w:tcW w:w="1094" w:type="pct"/>
            <w:vAlign w:val="center"/>
          </w:tcPr>
          <w:p w14:paraId="3431B8EE">
            <w:pPr>
              <w:pStyle w:val="33"/>
              <w:rPr>
                <w:color w:val="auto"/>
              </w:rPr>
            </w:pPr>
            <w:r>
              <w:rPr>
                <w:color w:val="auto"/>
              </w:rPr>
              <w:t>危险废物HW49其他废物900-074-49</w:t>
            </w:r>
          </w:p>
        </w:tc>
        <w:tc>
          <w:tcPr>
            <w:tcW w:w="936" w:type="pct"/>
            <w:vMerge w:val="continue"/>
            <w:vAlign w:val="center"/>
          </w:tcPr>
          <w:p w14:paraId="72904A9D">
            <w:pPr>
              <w:pStyle w:val="33"/>
              <w:rPr>
                <w:color w:val="auto"/>
              </w:rPr>
            </w:pPr>
          </w:p>
        </w:tc>
      </w:tr>
      <w:tr w14:paraId="67CFF2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Align w:val="center"/>
          </w:tcPr>
          <w:p w14:paraId="12DB404A">
            <w:pPr>
              <w:pStyle w:val="33"/>
              <w:rPr>
                <w:color w:val="auto"/>
              </w:rPr>
            </w:pPr>
            <w:r>
              <w:rPr>
                <w:color w:val="auto"/>
              </w:rPr>
              <w:t>员工活动</w:t>
            </w:r>
          </w:p>
        </w:tc>
        <w:tc>
          <w:tcPr>
            <w:tcW w:w="779" w:type="pct"/>
            <w:vAlign w:val="center"/>
          </w:tcPr>
          <w:p w14:paraId="003E00FF">
            <w:pPr>
              <w:pStyle w:val="33"/>
              <w:rPr>
                <w:color w:val="auto"/>
              </w:rPr>
            </w:pPr>
            <w:r>
              <w:rPr>
                <w:color w:val="auto"/>
              </w:rPr>
              <w:t>生活垃圾</w:t>
            </w:r>
          </w:p>
        </w:tc>
        <w:tc>
          <w:tcPr>
            <w:tcW w:w="548" w:type="pct"/>
            <w:vAlign w:val="center"/>
          </w:tcPr>
          <w:p w14:paraId="65B8ED42">
            <w:pPr>
              <w:pStyle w:val="33"/>
              <w:rPr>
                <w:color w:val="auto"/>
              </w:rPr>
            </w:pPr>
            <w:r>
              <w:rPr>
                <w:color w:val="auto"/>
              </w:rPr>
              <w:t>1845</w:t>
            </w:r>
          </w:p>
        </w:tc>
        <w:tc>
          <w:tcPr>
            <w:tcW w:w="1094" w:type="pct"/>
            <w:vAlign w:val="center"/>
          </w:tcPr>
          <w:p w14:paraId="0272E6C8">
            <w:pPr>
              <w:pStyle w:val="33"/>
              <w:rPr>
                <w:color w:val="auto"/>
              </w:rPr>
            </w:pPr>
            <w:r>
              <w:rPr>
                <w:color w:val="auto"/>
              </w:rPr>
              <w:t>生活垃圾</w:t>
            </w:r>
          </w:p>
        </w:tc>
        <w:tc>
          <w:tcPr>
            <w:tcW w:w="1094" w:type="pct"/>
            <w:vAlign w:val="center"/>
          </w:tcPr>
          <w:p w14:paraId="0D0C3471">
            <w:pPr>
              <w:pStyle w:val="33"/>
              <w:rPr>
                <w:color w:val="auto"/>
              </w:rPr>
            </w:pPr>
            <w:r>
              <w:rPr>
                <w:color w:val="auto"/>
              </w:rPr>
              <w:t>一般固体废物</w:t>
            </w:r>
          </w:p>
        </w:tc>
        <w:tc>
          <w:tcPr>
            <w:tcW w:w="936" w:type="pct"/>
            <w:vAlign w:val="center"/>
          </w:tcPr>
          <w:p w14:paraId="284485DB">
            <w:pPr>
              <w:pStyle w:val="33"/>
              <w:rPr>
                <w:color w:val="auto"/>
              </w:rPr>
            </w:pPr>
            <w:r>
              <w:rPr>
                <w:color w:val="auto"/>
              </w:rPr>
              <w:t>钦州港市政管理公司收集处理</w:t>
            </w:r>
          </w:p>
        </w:tc>
      </w:tr>
      <w:tr w14:paraId="0E3663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restart"/>
            <w:tcBorders>
              <w:bottom w:val="nil"/>
            </w:tcBorders>
            <w:vAlign w:val="center"/>
          </w:tcPr>
          <w:p w14:paraId="2FA53B2E">
            <w:pPr>
              <w:pStyle w:val="33"/>
              <w:rPr>
                <w:color w:val="auto"/>
              </w:rPr>
            </w:pPr>
            <w:r>
              <w:rPr>
                <w:color w:val="auto"/>
              </w:rPr>
              <w:t>维修间</w:t>
            </w:r>
          </w:p>
        </w:tc>
        <w:tc>
          <w:tcPr>
            <w:tcW w:w="779" w:type="pct"/>
            <w:vAlign w:val="center"/>
          </w:tcPr>
          <w:p w14:paraId="70DC0D8E">
            <w:pPr>
              <w:pStyle w:val="33"/>
              <w:rPr>
                <w:color w:val="auto"/>
              </w:rPr>
            </w:pPr>
            <w:r>
              <w:rPr>
                <w:color w:val="auto"/>
              </w:rPr>
              <w:t>废硒鼓</w:t>
            </w:r>
          </w:p>
        </w:tc>
        <w:tc>
          <w:tcPr>
            <w:tcW w:w="548" w:type="pct"/>
            <w:vAlign w:val="center"/>
          </w:tcPr>
          <w:p w14:paraId="4500E31E">
            <w:pPr>
              <w:pStyle w:val="33"/>
              <w:rPr>
                <w:color w:val="auto"/>
              </w:rPr>
            </w:pPr>
            <w:r>
              <w:rPr>
                <w:rFonts w:hint="eastAsia"/>
                <w:color w:val="auto"/>
              </w:rPr>
              <w:t>2</w:t>
            </w:r>
          </w:p>
        </w:tc>
        <w:tc>
          <w:tcPr>
            <w:tcW w:w="1094" w:type="pct"/>
            <w:vAlign w:val="center"/>
          </w:tcPr>
          <w:p w14:paraId="4E15CA58">
            <w:pPr>
              <w:pStyle w:val="33"/>
              <w:rPr>
                <w:color w:val="auto"/>
              </w:rPr>
            </w:pPr>
            <w:r>
              <w:rPr>
                <w:color w:val="auto"/>
              </w:rPr>
              <w:t>废硒鼓</w:t>
            </w:r>
          </w:p>
        </w:tc>
        <w:tc>
          <w:tcPr>
            <w:tcW w:w="1094" w:type="pct"/>
            <w:vAlign w:val="center"/>
          </w:tcPr>
          <w:p w14:paraId="350060A5">
            <w:pPr>
              <w:pStyle w:val="33"/>
              <w:rPr>
                <w:color w:val="auto"/>
              </w:rPr>
            </w:pPr>
            <w:r>
              <w:rPr>
                <w:color w:val="auto"/>
              </w:rPr>
              <w:t>危险废物HW49其他废物900-041-49</w:t>
            </w:r>
          </w:p>
        </w:tc>
        <w:tc>
          <w:tcPr>
            <w:tcW w:w="936" w:type="pct"/>
            <w:vMerge w:val="restart"/>
            <w:vAlign w:val="center"/>
          </w:tcPr>
          <w:p w14:paraId="6A886923">
            <w:pPr>
              <w:pStyle w:val="33"/>
              <w:rPr>
                <w:color w:val="auto"/>
              </w:rPr>
            </w:pPr>
            <w:r>
              <w:rPr>
                <w:color w:val="auto"/>
              </w:rPr>
              <w:t>委托有资质单位处置</w:t>
            </w:r>
          </w:p>
        </w:tc>
      </w:tr>
      <w:tr w14:paraId="761F98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579B606E">
            <w:pPr>
              <w:pStyle w:val="33"/>
              <w:rPr>
                <w:color w:val="auto"/>
              </w:rPr>
            </w:pPr>
          </w:p>
        </w:tc>
        <w:tc>
          <w:tcPr>
            <w:tcW w:w="779" w:type="pct"/>
            <w:vAlign w:val="center"/>
          </w:tcPr>
          <w:p w14:paraId="7ECF41B6">
            <w:pPr>
              <w:pStyle w:val="33"/>
              <w:rPr>
                <w:color w:val="auto"/>
              </w:rPr>
            </w:pPr>
            <w:r>
              <w:rPr>
                <w:color w:val="auto"/>
              </w:rPr>
              <w:t>废矿物油</w:t>
            </w:r>
          </w:p>
        </w:tc>
        <w:tc>
          <w:tcPr>
            <w:tcW w:w="548" w:type="pct"/>
            <w:vAlign w:val="center"/>
          </w:tcPr>
          <w:p w14:paraId="7018D694">
            <w:pPr>
              <w:pStyle w:val="33"/>
              <w:rPr>
                <w:color w:val="auto"/>
              </w:rPr>
            </w:pPr>
            <w:r>
              <w:rPr>
                <w:color w:val="auto"/>
              </w:rPr>
              <w:t>107</w:t>
            </w:r>
          </w:p>
        </w:tc>
        <w:tc>
          <w:tcPr>
            <w:tcW w:w="1094" w:type="pct"/>
            <w:vAlign w:val="center"/>
          </w:tcPr>
          <w:p w14:paraId="03ECE886">
            <w:pPr>
              <w:pStyle w:val="33"/>
              <w:rPr>
                <w:color w:val="auto"/>
              </w:rPr>
            </w:pPr>
            <w:r>
              <w:rPr>
                <w:color w:val="auto"/>
              </w:rPr>
              <w:t>废矿物油</w:t>
            </w:r>
          </w:p>
        </w:tc>
        <w:tc>
          <w:tcPr>
            <w:tcW w:w="1094" w:type="pct"/>
            <w:vAlign w:val="center"/>
          </w:tcPr>
          <w:p w14:paraId="32A120CA">
            <w:pPr>
              <w:pStyle w:val="33"/>
              <w:rPr>
                <w:color w:val="auto"/>
              </w:rPr>
            </w:pPr>
            <w:r>
              <w:rPr>
                <w:color w:val="auto"/>
              </w:rPr>
              <w:t>危险废物HW08含矿物油与含矿物油废物900-249-08</w:t>
            </w:r>
          </w:p>
        </w:tc>
        <w:tc>
          <w:tcPr>
            <w:tcW w:w="936" w:type="pct"/>
            <w:vMerge w:val="continue"/>
            <w:vAlign w:val="center"/>
          </w:tcPr>
          <w:p w14:paraId="6A73C37E">
            <w:pPr>
              <w:pStyle w:val="33"/>
              <w:rPr>
                <w:color w:val="auto"/>
              </w:rPr>
            </w:pPr>
          </w:p>
        </w:tc>
      </w:tr>
      <w:tr w14:paraId="57C139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35175966">
            <w:pPr>
              <w:pStyle w:val="33"/>
              <w:rPr>
                <w:color w:val="auto"/>
              </w:rPr>
            </w:pPr>
          </w:p>
        </w:tc>
        <w:tc>
          <w:tcPr>
            <w:tcW w:w="779" w:type="pct"/>
            <w:vAlign w:val="center"/>
          </w:tcPr>
          <w:p w14:paraId="5BCD5B6B">
            <w:pPr>
              <w:pStyle w:val="33"/>
              <w:rPr>
                <w:color w:val="auto"/>
              </w:rPr>
            </w:pPr>
            <w:r>
              <w:rPr>
                <w:color w:val="auto"/>
              </w:rPr>
              <w:t>废铅蓄电池</w:t>
            </w:r>
          </w:p>
        </w:tc>
        <w:tc>
          <w:tcPr>
            <w:tcW w:w="548" w:type="pct"/>
            <w:vAlign w:val="center"/>
          </w:tcPr>
          <w:p w14:paraId="70390F01">
            <w:pPr>
              <w:pStyle w:val="33"/>
              <w:rPr>
                <w:color w:val="auto"/>
              </w:rPr>
            </w:pPr>
            <w:r>
              <w:rPr>
                <w:color w:val="auto"/>
              </w:rPr>
              <w:t>3</w:t>
            </w:r>
            <w:r>
              <w:rPr>
                <w:rFonts w:hint="eastAsia"/>
                <w:color w:val="auto"/>
              </w:rPr>
              <w:t>9</w:t>
            </w:r>
          </w:p>
        </w:tc>
        <w:tc>
          <w:tcPr>
            <w:tcW w:w="1094" w:type="pct"/>
            <w:vAlign w:val="center"/>
          </w:tcPr>
          <w:p w14:paraId="58019239">
            <w:pPr>
              <w:pStyle w:val="33"/>
              <w:rPr>
                <w:color w:val="auto"/>
              </w:rPr>
            </w:pPr>
            <w:r>
              <w:rPr>
                <w:color w:val="auto"/>
              </w:rPr>
              <w:t>铅、汞、镉等</w:t>
            </w:r>
          </w:p>
        </w:tc>
        <w:tc>
          <w:tcPr>
            <w:tcW w:w="1094" w:type="pct"/>
            <w:vAlign w:val="center"/>
          </w:tcPr>
          <w:p w14:paraId="4F536E19">
            <w:pPr>
              <w:pStyle w:val="33"/>
              <w:rPr>
                <w:color w:val="auto"/>
              </w:rPr>
            </w:pPr>
            <w:r>
              <w:rPr>
                <w:color w:val="auto"/>
              </w:rPr>
              <w:t>危险废物HW31含铅废物900-052-31</w:t>
            </w:r>
          </w:p>
        </w:tc>
        <w:tc>
          <w:tcPr>
            <w:tcW w:w="936" w:type="pct"/>
            <w:vMerge w:val="continue"/>
            <w:vAlign w:val="center"/>
          </w:tcPr>
          <w:p w14:paraId="4EB3834E">
            <w:pPr>
              <w:pStyle w:val="33"/>
              <w:rPr>
                <w:color w:val="auto"/>
              </w:rPr>
            </w:pPr>
          </w:p>
        </w:tc>
      </w:tr>
      <w:tr w14:paraId="715BA4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bottom w:val="nil"/>
            </w:tcBorders>
            <w:vAlign w:val="center"/>
          </w:tcPr>
          <w:p w14:paraId="2AC5E31F">
            <w:pPr>
              <w:pStyle w:val="33"/>
              <w:rPr>
                <w:color w:val="auto"/>
              </w:rPr>
            </w:pPr>
          </w:p>
        </w:tc>
        <w:tc>
          <w:tcPr>
            <w:tcW w:w="779" w:type="pct"/>
            <w:vAlign w:val="center"/>
          </w:tcPr>
          <w:p w14:paraId="04A6D6C9">
            <w:pPr>
              <w:pStyle w:val="33"/>
              <w:rPr>
                <w:color w:val="auto"/>
              </w:rPr>
            </w:pPr>
            <w:r>
              <w:rPr>
                <w:color w:val="auto"/>
              </w:rPr>
              <w:t>废油桶</w:t>
            </w:r>
          </w:p>
        </w:tc>
        <w:tc>
          <w:tcPr>
            <w:tcW w:w="548" w:type="pct"/>
            <w:vAlign w:val="center"/>
          </w:tcPr>
          <w:p w14:paraId="0F8A8B2E">
            <w:pPr>
              <w:pStyle w:val="33"/>
              <w:rPr>
                <w:color w:val="auto"/>
              </w:rPr>
            </w:pPr>
            <w:r>
              <w:rPr>
                <w:rFonts w:hint="eastAsia"/>
                <w:color w:val="auto"/>
              </w:rPr>
              <w:t>20</w:t>
            </w:r>
          </w:p>
        </w:tc>
        <w:tc>
          <w:tcPr>
            <w:tcW w:w="1094" w:type="pct"/>
            <w:vAlign w:val="center"/>
          </w:tcPr>
          <w:p w14:paraId="510A12FD">
            <w:pPr>
              <w:pStyle w:val="33"/>
              <w:rPr>
                <w:color w:val="auto"/>
              </w:rPr>
            </w:pPr>
            <w:r>
              <w:rPr>
                <w:color w:val="auto"/>
              </w:rPr>
              <w:t>烷烃、多环芳烃、烯烃等</w:t>
            </w:r>
          </w:p>
        </w:tc>
        <w:tc>
          <w:tcPr>
            <w:tcW w:w="1094" w:type="pct"/>
            <w:vAlign w:val="center"/>
          </w:tcPr>
          <w:p w14:paraId="0A87655B">
            <w:pPr>
              <w:pStyle w:val="33"/>
              <w:rPr>
                <w:color w:val="auto"/>
              </w:rPr>
            </w:pPr>
            <w:r>
              <w:rPr>
                <w:color w:val="auto"/>
              </w:rPr>
              <w:t>危险废物HW49其他废物900-041-49</w:t>
            </w:r>
          </w:p>
        </w:tc>
        <w:tc>
          <w:tcPr>
            <w:tcW w:w="936" w:type="pct"/>
            <w:vAlign w:val="center"/>
          </w:tcPr>
          <w:p w14:paraId="074807B0">
            <w:pPr>
              <w:pStyle w:val="33"/>
              <w:rPr>
                <w:color w:val="auto"/>
              </w:rPr>
            </w:pPr>
            <w:r>
              <w:rPr>
                <w:color w:val="auto"/>
              </w:rPr>
              <w:t>厂家回收</w:t>
            </w:r>
          </w:p>
        </w:tc>
      </w:tr>
      <w:tr w14:paraId="777428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8" w:type="pct"/>
            <w:vMerge w:val="continue"/>
            <w:tcBorders>
              <w:top w:val="nil"/>
            </w:tcBorders>
            <w:vAlign w:val="center"/>
          </w:tcPr>
          <w:p w14:paraId="63B67038">
            <w:pPr>
              <w:pStyle w:val="33"/>
              <w:rPr>
                <w:color w:val="auto"/>
              </w:rPr>
            </w:pPr>
          </w:p>
        </w:tc>
        <w:tc>
          <w:tcPr>
            <w:tcW w:w="779" w:type="pct"/>
            <w:vAlign w:val="center"/>
          </w:tcPr>
          <w:p w14:paraId="68FC09C1">
            <w:pPr>
              <w:pStyle w:val="33"/>
              <w:rPr>
                <w:color w:val="auto"/>
              </w:rPr>
            </w:pPr>
            <w:r>
              <w:rPr>
                <w:color w:val="auto"/>
              </w:rPr>
              <w:t>废油漆桶</w:t>
            </w:r>
          </w:p>
        </w:tc>
        <w:tc>
          <w:tcPr>
            <w:tcW w:w="548" w:type="pct"/>
            <w:vAlign w:val="center"/>
          </w:tcPr>
          <w:p w14:paraId="280F2328">
            <w:pPr>
              <w:pStyle w:val="33"/>
              <w:rPr>
                <w:color w:val="auto"/>
              </w:rPr>
            </w:pPr>
            <w:r>
              <w:rPr>
                <w:rFonts w:hint="eastAsia"/>
                <w:color w:val="auto"/>
              </w:rPr>
              <w:t>6</w:t>
            </w:r>
          </w:p>
        </w:tc>
        <w:tc>
          <w:tcPr>
            <w:tcW w:w="1094" w:type="pct"/>
            <w:vAlign w:val="center"/>
          </w:tcPr>
          <w:p w14:paraId="67C47A8A">
            <w:pPr>
              <w:pStyle w:val="33"/>
              <w:rPr>
                <w:color w:val="auto"/>
              </w:rPr>
            </w:pPr>
            <w:r>
              <w:rPr>
                <w:color w:val="auto"/>
              </w:rPr>
              <w:t>苯</w:t>
            </w:r>
          </w:p>
        </w:tc>
        <w:tc>
          <w:tcPr>
            <w:tcW w:w="1094" w:type="pct"/>
            <w:vAlign w:val="center"/>
          </w:tcPr>
          <w:p w14:paraId="779DE522">
            <w:pPr>
              <w:pStyle w:val="33"/>
              <w:rPr>
                <w:color w:val="auto"/>
              </w:rPr>
            </w:pPr>
            <w:r>
              <w:rPr>
                <w:color w:val="auto"/>
              </w:rPr>
              <w:t>危险废物HW49其他废物900-041-49</w:t>
            </w:r>
          </w:p>
        </w:tc>
        <w:tc>
          <w:tcPr>
            <w:tcW w:w="936" w:type="pct"/>
            <w:vAlign w:val="center"/>
          </w:tcPr>
          <w:p w14:paraId="7F6C43DB">
            <w:pPr>
              <w:pStyle w:val="33"/>
              <w:rPr>
                <w:color w:val="auto"/>
              </w:rPr>
            </w:pPr>
            <w:r>
              <w:rPr>
                <w:color w:val="auto"/>
              </w:rPr>
              <w:t>委托有资质单位处置</w:t>
            </w:r>
          </w:p>
        </w:tc>
      </w:tr>
    </w:tbl>
    <w:p w14:paraId="3F6F1704">
      <w:pPr>
        <w:pStyle w:val="5"/>
        <w:rPr>
          <w:color w:val="auto"/>
        </w:rPr>
      </w:pPr>
      <w:r>
        <w:rPr>
          <w:color w:val="auto"/>
        </w:rPr>
        <w:t>噪声产生及控制措施</w:t>
      </w:r>
    </w:p>
    <w:p w14:paraId="23D2C65A">
      <w:pPr>
        <w:ind w:firstLine="480"/>
        <w:rPr>
          <w:color w:val="auto"/>
        </w:rPr>
      </w:pPr>
      <w:r>
        <w:rPr>
          <w:color w:val="auto"/>
        </w:rPr>
        <w:t>现有工程主要噪声源为：生产车间各类设备、泵、空压机、热电站碎煤机、风机以及高压气体排空等</w:t>
      </w:r>
      <w:r>
        <w:rPr>
          <w:color w:val="auto"/>
          <w:spacing w:val="-4"/>
        </w:rPr>
        <w:t>。</w:t>
      </w:r>
      <w:r>
        <w:rPr>
          <w:color w:val="auto"/>
        </w:rPr>
        <w:t>202</w:t>
      </w:r>
      <w:r>
        <w:rPr>
          <w:rFonts w:hint="eastAsia"/>
          <w:color w:val="auto"/>
        </w:rPr>
        <w:t>5</w:t>
      </w:r>
      <w:r>
        <w:rPr>
          <w:color w:val="auto"/>
        </w:rPr>
        <w:t>年厂界噪声自行监测结果见</w:t>
      </w:r>
      <w:r>
        <w:rPr>
          <w:rFonts w:hint="eastAsia"/>
          <w:color w:val="auto"/>
        </w:rPr>
        <w:t>下表，</w:t>
      </w:r>
      <w:r>
        <w:rPr>
          <w:color w:val="auto"/>
        </w:rPr>
        <w:t>根据监测结果可知，金桂浆纸厂界东、西、北厂界噪声满足《工业企业厂界环境噪声排放标准》（GB12348-2008）中的3类标准限值，南厂界满足《工业企业厂界环境噪声排放标准》（GB12348-2008）中的4</w:t>
      </w:r>
      <w:r>
        <w:rPr>
          <w:rFonts w:hint="eastAsia"/>
          <w:color w:val="auto"/>
        </w:rPr>
        <w:t>a</w:t>
      </w:r>
      <w:r>
        <w:rPr>
          <w:color w:val="auto"/>
        </w:rPr>
        <w:t>类标准限值</w:t>
      </w:r>
      <w:r>
        <w:rPr>
          <w:color w:val="auto"/>
          <w:spacing w:val="-5"/>
        </w:rPr>
        <w:t>。</w:t>
      </w:r>
    </w:p>
    <w:p w14:paraId="681032A0">
      <w:pPr>
        <w:pStyle w:val="7"/>
        <w:rPr>
          <w:color w:val="auto"/>
          <w:szCs w:val="21"/>
        </w:rPr>
      </w:pPr>
      <w:r>
        <w:rPr>
          <w:rFonts w:hint="eastAsia"/>
          <w:color w:val="auto"/>
        </w:rPr>
        <w:t>2025年</w:t>
      </w:r>
      <w:r>
        <w:rPr>
          <w:color w:val="auto"/>
        </w:rPr>
        <w:t>厂界噪声自行监测结果</w:t>
      </w:r>
      <w:r>
        <w:rPr>
          <w:rFonts w:hint="eastAsia"/>
          <w:color w:val="auto"/>
        </w:rPr>
        <w:t xml:space="preserve">     </w:t>
      </w:r>
      <w:r>
        <w:rPr>
          <w:color w:val="auto"/>
          <w:szCs w:val="21"/>
        </w:rPr>
        <w:t>单位：</w:t>
      </w:r>
      <w:r>
        <w:rPr>
          <w:rFonts w:eastAsia="Times New Roman" w:cs="Times New Roman"/>
          <w:color w:val="auto"/>
          <w:szCs w:val="21"/>
        </w:rPr>
        <w:t>dB</w:t>
      </w:r>
      <w:r>
        <w:rPr>
          <w:color w:val="auto"/>
          <w:szCs w:val="21"/>
        </w:rPr>
        <w:t>（</w:t>
      </w:r>
      <w:r>
        <w:rPr>
          <w:rFonts w:eastAsia="Times New Roman" w:cs="Times New Roman"/>
          <w:color w:val="auto"/>
          <w:szCs w:val="21"/>
        </w:rPr>
        <w:t>A</w:t>
      </w:r>
      <w:r>
        <w:rPr>
          <w:color w:val="auto"/>
          <w:szCs w:val="21"/>
        </w:rPr>
        <w:t>）</w:t>
      </w:r>
    </w:p>
    <w:tbl>
      <w:tblPr>
        <w:tblStyle w:val="5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78"/>
        <w:gridCol w:w="717"/>
        <w:gridCol w:w="716"/>
        <w:gridCol w:w="706"/>
        <w:gridCol w:w="708"/>
        <w:gridCol w:w="708"/>
        <w:gridCol w:w="708"/>
        <w:gridCol w:w="706"/>
        <w:gridCol w:w="706"/>
        <w:gridCol w:w="567"/>
        <w:gridCol w:w="709"/>
        <w:gridCol w:w="851"/>
      </w:tblGrid>
      <w:tr w14:paraId="235D6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Merge w:val="restart"/>
            <w:vAlign w:val="center"/>
          </w:tcPr>
          <w:p w14:paraId="4E08618D">
            <w:pPr>
              <w:pStyle w:val="33"/>
              <w:rPr>
                <w:rFonts w:cs="Times New Roman"/>
                <w:color w:val="auto"/>
                <w:lang w:eastAsia="en-US"/>
              </w:rPr>
            </w:pPr>
            <w:r>
              <w:rPr>
                <w:rFonts w:cs="Times New Roman"/>
                <w:color w:val="auto"/>
                <w:lang w:eastAsia="en-US"/>
              </w:rPr>
              <w:t>监测点位</w:t>
            </w:r>
          </w:p>
        </w:tc>
        <w:tc>
          <w:tcPr>
            <w:tcW w:w="789" w:type="pct"/>
            <w:gridSpan w:val="2"/>
            <w:vAlign w:val="center"/>
          </w:tcPr>
          <w:p w14:paraId="32932E2C">
            <w:pPr>
              <w:pStyle w:val="33"/>
              <w:rPr>
                <w:rFonts w:cs="Times New Roman"/>
                <w:color w:val="auto"/>
                <w:lang w:eastAsia="en-US"/>
              </w:rPr>
            </w:pPr>
            <w:r>
              <w:rPr>
                <w:rFonts w:hint="eastAsia" w:cs="Times New Roman"/>
                <w:color w:val="auto"/>
                <w:lang w:eastAsia="zh-CN"/>
              </w:rPr>
              <w:t>第1季度</w:t>
            </w:r>
          </w:p>
        </w:tc>
        <w:tc>
          <w:tcPr>
            <w:tcW w:w="779" w:type="pct"/>
            <w:gridSpan w:val="2"/>
            <w:vAlign w:val="center"/>
          </w:tcPr>
          <w:p w14:paraId="535F208E">
            <w:pPr>
              <w:pStyle w:val="33"/>
              <w:rPr>
                <w:rFonts w:cs="Times New Roman"/>
                <w:color w:val="auto"/>
                <w:lang w:eastAsia="en-US"/>
              </w:rPr>
            </w:pPr>
            <w:r>
              <w:rPr>
                <w:rFonts w:hint="eastAsia" w:cs="Times New Roman"/>
                <w:color w:val="auto"/>
                <w:lang w:eastAsia="zh-CN"/>
              </w:rPr>
              <w:t>第2季度</w:t>
            </w:r>
          </w:p>
        </w:tc>
        <w:tc>
          <w:tcPr>
            <w:tcW w:w="780" w:type="pct"/>
            <w:gridSpan w:val="2"/>
            <w:vAlign w:val="center"/>
          </w:tcPr>
          <w:p w14:paraId="0370C7DF">
            <w:pPr>
              <w:pStyle w:val="33"/>
              <w:rPr>
                <w:rFonts w:cs="Times New Roman"/>
                <w:color w:val="auto"/>
                <w:lang w:eastAsia="en-US"/>
              </w:rPr>
            </w:pPr>
            <w:r>
              <w:rPr>
                <w:rFonts w:hint="eastAsia" w:cs="Times New Roman"/>
                <w:color w:val="auto"/>
                <w:lang w:eastAsia="zh-CN"/>
              </w:rPr>
              <w:t>第3季度</w:t>
            </w:r>
          </w:p>
        </w:tc>
        <w:tc>
          <w:tcPr>
            <w:tcW w:w="778" w:type="pct"/>
            <w:gridSpan w:val="2"/>
            <w:vAlign w:val="center"/>
          </w:tcPr>
          <w:p w14:paraId="18B07926">
            <w:pPr>
              <w:pStyle w:val="33"/>
              <w:rPr>
                <w:rFonts w:cs="Times New Roman"/>
                <w:color w:val="auto"/>
                <w:lang w:eastAsia="en-US"/>
              </w:rPr>
            </w:pPr>
            <w:r>
              <w:rPr>
                <w:rFonts w:hint="eastAsia" w:cs="Times New Roman"/>
                <w:color w:val="auto"/>
                <w:lang w:eastAsia="zh-CN"/>
              </w:rPr>
              <w:t>第4季度</w:t>
            </w:r>
          </w:p>
        </w:tc>
        <w:tc>
          <w:tcPr>
            <w:tcW w:w="702" w:type="pct"/>
            <w:gridSpan w:val="2"/>
            <w:vAlign w:val="center"/>
          </w:tcPr>
          <w:p w14:paraId="4524770E">
            <w:pPr>
              <w:pStyle w:val="33"/>
              <w:rPr>
                <w:rFonts w:cs="Times New Roman"/>
                <w:color w:val="auto"/>
                <w:lang w:eastAsia="en-US"/>
              </w:rPr>
            </w:pPr>
            <w:r>
              <w:rPr>
                <w:rFonts w:cs="Times New Roman"/>
                <w:color w:val="auto"/>
                <w:lang w:eastAsia="en-US"/>
              </w:rPr>
              <w:t>标准限值</w:t>
            </w:r>
          </w:p>
        </w:tc>
        <w:tc>
          <w:tcPr>
            <w:tcW w:w="470" w:type="pct"/>
            <w:vMerge w:val="restart"/>
            <w:vAlign w:val="center"/>
          </w:tcPr>
          <w:p w14:paraId="22F81C2B">
            <w:pPr>
              <w:pStyle w:val="33"/>
              <w:rPr>
                <w:rFonts w:cs="Times New Roman"/>
                <w:color w:val="auto"/>
                <w:lang w:eastAsia="zh-CN"/>
              </w:rPr>
            </w:pPr>
            <w:r>
              <w:rPr>
                <w:rFonts w:hint="eastAsia" w:cs="Times New Roman"/>
                <w:color w:val="auto"/>
                <w:lang w:eastAsia="zh-CN"/>
              </w:rPr>
              <w:t>达标情况</w:t>
            </w:r>
          </w:p>
        </w:tc>
      </w:tr>
      <w:tr w14:paraId="774E6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Merge w:val="continue"/>
            <w:vAlign w:val="center"/>
          </w:tcPr>
          <w:p w14:paraId="523B8CDE">
            <w:pPr>
              <w:pStyle w:val="33"/>
              <w:rPr>
                <w:rFonts w:cs="Times New Roman"/>
                <w:color w:val="auto"/>
                <w:lang w:eastAsia="en-US"/>
              </w:rPr>
            </w:pPr>
          </w:p>
        </w:tc>
        <w:tc>
          <w:tcPr>
            <w:tcW w:w="395" w:type="pct"/>
            <w:vAlign w:val="center"/>
          </w:tcPr>
          <w:p w14:paraId="5198092C">
            <w:pPr>
              <w:pStyle w:val="33"/>
              <w:rPr>
                <w:rFonts w:cs="Times New Roman"/>
                <w:color w:val="auto"/>
                <w:lang w:eastAsia="en-US"/>
              </w:rPr>
            </w:pPr>
            <w:r>
              <w:rPr>
                <w:rFonts w:cs="Times New Roman"/>
                <w:color w:val="auto"/>
                <w:lang w:eastAsia="en-US"/>
              </w:rPr>
              <w:t>昼间</w:t>
            </w:r>
          </w:p>
        </w:tc>
        <w:tc>
          <w:tcPr>
            <w:tcW w:w="393" w:type="pct"/>
            <w:vAlign w:val="center"/>
          </w:tcPr>
          <w:p w14:paraId="50A4C5BC">
            <w:pPr>
              <w:pStyle w:val="33"/>
              <w:rPr>
                <w:rFonts w:cs="Times New Roman"/>
                <w:color w:val="auto"/>
                <w:lang w:eastAsia="en-US"/>
              </w:rPr>
            </w:pPr>
            <w:r>
              <w:rPr>
                <w:rFonts w:cs="Times New Roman"/>
                <w:color w:val="auto"/>
                <w:lang w:eastAsia="en-US"/>
              </w:rPr>
              <w:t>夜间</w:t>
            </w:r>
          </w:p>
        </w:tc>
        <w:tc>
          <w:tcPr>
            <w:tcW w:w="389" w:type="pct"/>
            <w:vAlign w:val="center"/>
          </w:tcPr>
          <w:p w14:paraId="5C429496">
            <w:pPr>
              <w:pStyle w:val="33"/>
              <w:rPr>
                <w:rFonts w:cs="Times New Roman"/>
                <w:color w:val="auto"/>
                <w:lang w:eastAsia="en-US"/>
              </w:rPr>
            </w:pPr>
            <w:r>
              <w:rPr>
                <w:rFonts w:cs="Times New Roman"/>
                <w:color w:val="auto"/>
                <w:lang w:eastAsia="en-US"/>
              </w:rPr>
              <w:t>昼间</w:t>
            </w:r>
          </w:p>
        </w:tc>
        <w:tc>
          <w:tcPr>
            <w:tcW w:w="390" w:type="pct"/>
            <w:vAlign w:val="center"/>
          </w:tcPr>
          <w:p w14:paraId="014B2FCA">
            <w:pPr>
              <w:pStyle w:val="33"/>
              <w:rPr>
                <w:rFonts w:cs="Times New Roman"/>
                <w:color w:val="auto"/>
                <w:lang w:eastAsia="en-US"/>
              </w:rPr>
            </w:pPr>
            <w:r>
              <w:rPr>
                <w:rFonts w:cs="Times New Roman"/>
                <w:color w:val="auto"/>
                <w:lang w:eastAsia="en-US"/>
              </w:rPr>
              <w:t>夜间</w:t>
            </w:r>
          </w:p>
        </w:tc>
        <w:tc>
          <w:tcPr>
            <w:tcW w:w="390" w:type="pct"/>
            <w:vAlign w:val="center"/>
          </w:tcPr>
          <w:p w14:paraId="3C74FE13">
            <w:pPr>
              <w:pStyle w:val="33"/>
              <w:rPr>
                <w:rFonts w:cs="Times New Roman"/>
                <w:color w:val="auto"/>
                <w:lang w:eastAsia="en-US"/>
              </w:rPr>
            </w:pPr>
            <w:r>
              <w:rPr>
                <w:rFonts w:cs="Times New Roman"/>
                <w:color w:val="auto"/>
                <w:lang w:eastAsia="en-US"/>
              </w:rPr>
              <w:t>昼间</w:t>
            </w:r>
          </w:p>
        </w:tc>
        <w:tc>
          <w:tcPr>
            <w:tcW w:w="390" w:type="pct"/>
            <w:vAlign w:val="center"/>
          </w:tcPr>
          <w:p w14:paraId="6F43E063">
            <w:pPr>
              <w:pStyle w:val="33"/>
              <w:rPr>
                <w:rFonts w:cs="Times New Roman"/>
                <w:color w:val="auto"/>
                <w:lang w:eastAsia="en-US"/>
              </w:rPr>
            </w:pPr>
            <w:r>
              <w:rPr>
                <w:rFonts w:cs="Times New Roman"/>
                <w:color w:val="auto"/>
                <w:lang w:eastAsia="en-US"/>
              </w:rPr>
              <w:t>夜间</w:t>
            </w:r>
          </w:p>
        </w:tc>
        <w:tc>
          <w:tcPr>
            <w:tcW w:w="389" w:type="pct"/>
            <w:vAlign w:val="center"/>
          </w:tcPr>
          <w:p w14:paraId="1A043831">
            <w:pPr>
              <w:pStyle w:val="33"/>
              <w:rPr>
                <w:rFonts w:cs="Times New Roman"/>
                <w:color w:val="auto"/>
                <w:lang w:eastAsia="en-US"/>
              </w:rPr>
            </w:pPr>
            <w:r>
              <w:rPr>
                <w:rFonts w:cs="Times New Roman"/>
                <w:color w:val="auto"/>
                <w:lang w:eastAsia="en-US"/>
              </w:rPr>
              <w:t>昼间</w:t>
            </w:r>
          </w:p>
        </w:tc>
        <w:tc>
          <w:tcPr>
            <w:tcW w:w="389" w:type="pct"/>
            <w:vAlign w:val="center"/>
          </w:tcPr>
          <w:p w14:paraId="2EEC7DF4">
            <w:pPr>
              <w:pStyle w:val="33"/>
              <w:rPr>
                <w:rFonts w:cs="Times New Roman"/>
                <w:color w:val="auto"/>
                <w:lang w:eastAsia="en-US"/>
              </w:rPr>
            </w:pPr>
            <w:r>
              <w:rPr>
                <w:rFonts w:cs="Times New Roman"/>
                <w:color w:val="auto"/>
                <w:lang w:eastAsia="en-US"/>
              </w:rPr>
              <w:t>夜间</w:t>
            </w:r>
          </w:p>
        </w:tc>
        <w:tc>
          <w:tcPr>
            <w:tcW w:w="312" w:type="pct"/>
            <w:vAlign w:val="center"/>
          </w:tcPr>
          <w:p w14:paraId="41A8BE6D">
            <w:pPr>
              <w:pStyle w:val="33"/>
              <w:rPr>
                <w:rFonts w:cs="Times New Roman"/>
                <w:color w:val="auto"/>
                <w:lang w:eastAsia="en-US"/>
              </w:rPr>
            </w:pPr>
            <w:r>
              <w:rPr>
                <w:rFonts w:cs="Times New Roman"/>
                <w:color w:val="auto"/>
                <w:lang w:eastAsia="en-US"/>
              </w:rPr>
              <w:t>昼间</w:t>
            </w:r>
          </w:p>
        </w:tc>
        <w:tc>
          <w:tcPr>
            <w:tcW w:w="389" w:type="pct"/>
            <w:vAlign w:val="center"/>
          </w:tcPr>
          <w:p w14:paraId="019E2BB3">
            <w:pPr>
              <w:pStyle w:val="33"/>
              <w:rPr>
                <w:rFonts w:cs="Times New Roman"/>
                <w:color w:val="auto"/>
                <w:lang w:eastAsia="en-US"/>
              </w:rPr>
            </w:pPr>
            <w:r>
              <w:rPr>
                <w:rFonts w:cs="Times New Roman"/>
                <w:color w:val="auto"/>
                <w:lang w:eastAsia="en-US"/>
              </w:rPr>
              <w:t>夜间</w:t>
            </w:r>
          </w:p>
        </w:tc>
        <w:tc>
          <w:tcPr>
            <w:tcW w:w="470" w:type="pct"/>
            <w:vMerge w:val="continue"/>
            <w:vAlign w:val="center"/>
          </w:tcPr>
          <w:p w14:paraId="2BFF2C2C">
            <w:pPr>
              <w:pStyle w:val="33"/>
              <w:rPr>
                <w:rFonts w:cs="Times New Roman"/>
                <w:color w:val="auto"/>
                <w:lang w:eastAsia="en-US"/>
              </w:rPr>
            </w:pPr>
          </w:p>
        </w:tc>
      </w:tr>
      <w:tr w14:paraId="5C301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169317EF">
            <w:pPr>
              <w:pStyle w:val="33"/>
              <w:rPr>
                <w:rFonts w:cs="Times New Roman"/>
                <w:color w:val="auto"/>
                <w:lang w:eastAsia="en-US"/>
              </w:rPr>
            </w:pPr>
            <w:r>
              <w:rPr>
                <w:rFonts w:cs="Times New Roman"/>
                <w:color w:val="auto"/>
                <w:lang w:eastAsia="en-US"/>
              </w:rPr>
              <w:t>1#厂界东面</w:t>
            </w:r>
          </w:p>
        </w:tc>
        <w:tc>
          <w:tcPr>
            <w:tcW w:w="395" w:type="pct"/>
            <w:vAlign w:val="center"/>
          </w:tcPr>
          <w:p w14:paraId="2409DD5B">
            <w:pPr>
              <w:pStyle w:val="33"/>
              <w:rPr>
                <w:rFonts w:cs="Times New Roman"/>
                <w:color w:val="auto"/>
                <w:lang w:eastAsia="zh-CN"/>
              </w:rPr>
            </w:pPr>
            <w:r>
              <w:rPr>
                <w:rFonts w:cs="Times New Roman"/>
                <w:color w:val="auto"/>
                <w:lang w:eastAsia="en-US"/>
              </w:rPr>
              <w:t>56.2</w:t>
            </w:r>
          </w:p>
        </w:tc>
        <w:tc>
          <w:tcPr>
            <w:tcW w:w="393" w:type="pct"/>
            <w:vAlign w:val="center"/>
          </w:tcPr>
          <w:p w14:paraId="297DA202">
            <w:pPr>
              <w:pStyle w:val="33"/>
              <w:rPr>
                <w:rFonts w:cs="Times New Roman"/>
                <w:color w:val="auto"/>
                <w:lang w:eastAsia="zh-CN"/>
              </w:rPr>
            </w:pPr>
            <w:r>
              <w:rPr>
                <w:rFonts w:cs="Times New Roman"/>
                <w:color w:val="auto"/>
                <w:lang w:eastAsia="en-US"/>
              </w:rPr>
              <w:t>46.8</w:t>
            </w:r>
          </w:p>
        </w:tc>
        <w:tc>
          <w:tcPr>
            <w:tcW w:w="389" w:type="pct"/>
            <w:vAlign w:val="center"/>
          </w:tcPr>
          <w:p w14:paraId="53BCF82C">
            <w:pPr>
              <w:pStyle w:val="33"/>
              <w:rPr>
                <w:rFonts w:cs="Times New Roman"/>
                <w:color w:val="auto"/>
                <w:lang w:eastAsia="zh-CN"/>
              </w:rPr>
            </w:pPr>
            <w:r>
              <w:rPr>
                <w:rFonts w:cs="Times New Roman"/>
                <w:color w:val="auto"/>
                <w:lang w:eastAsia="en-US"/>
              </w:rPr>
              <w:t>57</w:t>
            </w:r>
            <w:r>
              <w:rPr>
                <w:rFonts w:hint="eastAsia" w:cs="Times New Roman"/>
                <w:color w:val="auto"/>
                <w:lang w:eastAsia="zh-CN"/>
              </w:rPr>
              <w:t>.0</w:t>
            </w:r>
          </w:p>
        </w:tc>
        <w:tc>
          <w:tcPr>
            <w:tcW w:w="390" w:type="pct"/>
            <w:vAlign w:val="center"/>
          </w:tcPr>
          <w:p w14:paraId="13899AD6">
            <w:pPr>
              <w:pStyle w:val="33"/>
              <w:rPr>
                <w:rFonts w:cs="Times New Roman"/>
                <w:color w:val="auto"/>
                <w:lang w:eastAsia="zh-CN"/>
              </w:rPr>
            </w:pPr>
            <w:r>
              <w:rPr>
                <w:rFonts w:cs="Times New Roman"/>
                <w:color w:val="auto"/>
                <w:lang w:eastAsia="en-US"/>
              </w:rPr>
              <w:t>47</w:t>
            </w:r>
            <w:r>
              <w:rPr>
                <w:rFonts w:hint="eastAsia" w:cs="Times New Roman"/>
                <w:color w:val="auto"/>
                <w:lang w:eastAsia="zh-CN"/>
              </w:rPr>
              <w:t>.0</w:t>
            </w:r>
          </w:p>
        </w:tc>
        <w:tc>
          <w:tcPr>
            <w:tcW w:w="390" w:type="pct"/>
            <w:vAlign w:val="center"/>
          </w:tcPr>
          <w:p w14:paraId="2105B7F8">
            <w:pPr>
              <w:pStyle w:val="33"/>
              <w:rPr>
                <w:rFonts w:cs="Times New Roman"/>
                <w:color w:val="auto"/>
                <w:lang w:eastAsia="en-US"/>
              </w:rPr>
            </w:pPr>
            <w:r>
              <w:rPr>
                <w:rFonts w:cs="Times New Roman"/>
                <w:color w:val="auto"/>
                <w:lang w:eastAsia="en-US"/>
              </w:rPr>
              <w:t>56.8</w:t>
            </w:r>
          </w:p>
        </w:tc>
        <w:tc>
          <w:tcPr>
            <w:tcW w:w="390" w:type="pct"/>
            <w:vAlign w:val="center"/>
          </w:tcPr>
          <w:p w14:paraId="736F6FB8">
            <w:pPr>
              <w:pStyle w:val="33"/>
              <w:rPr>
                <w:rFonts w:cs="Times New Roman"/>
                <w:color w:val="auto"/>
                <w:lang w:eastAsia="en-US"/>
              </w:rPr>
            </w:pPr>
            <w:r>
              <w:rPr>
                <w:rFonts w:cs="Times New Roman"/>
                <w:color w:val="auto"/>
                <w:lang w:eastAsia="en-US"/>
              </w:rPr>
              <w:t>48.3</w:t>
            </w:r>
          </w:p>
        </w:tc>
        <w:tc>
          <w:tcPr>
            <w:tcW w:w="389" w:type="pct"/>
            <w:vAlign w:val="center"/>
          </w:tcPr>
          <w:p w14:paraId="151DE2C1">
            <w:pPr>
              <w:pStyle w:val="33"/>
              <w:rPr>
                <w:rFonts w:cs="Times New Roman"/>
                <w:color w:val="auto"/>
                <w:lang w:eastAsia="en-US"/>
              </w:rPr>
            </w:pPr>
            <w:r>
              <w:rPr>
                <w:rFonts w:cs="Times New Roman"/>
                <w:color w:val="auto"/>
                <w:lang w:eastAsia="en-US"/>
              </w:rPr>
              <w:t>55.3</w:t>
            </w:r>
          </w:p>
        </w:tc>
        <w:tc>
          <w:tcPr>
            <w:tcW w:w="389" w:type="pct"/>
            <w:vAlign w:val="center"/>
          </w:tcPr>
          <w:p w14:paraId="3690B1CC">
            <w:pPr>
              <w:pStyle w:val="33"/>
              <w:rPr>
                <w:rFonts w:cs="Times New Roman"/>
                <w:color w:val="auto"/>
                <w:lang w:eastAsia="en-US"/>
              </w:rPr>
            </w:pPr>
            <w:r>
              <w:rPr>
                <w:rFonts w:cs="Times New Roman"/>
                <w:color w:val="auto"/>
                <w:lang w:eastAsia="en-US"/>
              </w:rPr>
              <w:t>46.4</w:t>
            </w:r>
          </w:p>
        </w:tc>
        <w:tc>
          <w:tcPr>
            <w:tcW w:w="312" w:type="pct"/>
            <w:vMerge w:val="restart"/>
            <w:vAlign w:val="center"/>
          </w:tcPr>
          <w:p w14:paraId="6801B4FA">
            <w:pPr>
              <w:pStyle w:val="33"/>
              <w:rPr>
                <w:rFonts w:cs="Times New Roman"/>
                <w:color w:val="auto"/>
                <w:lang w:eastAsia="en-US"/>
              </w:rPr>
            </w:pPr>
            <w:r>
              <w:rPr>
                <w:rFonts w:cs="Times New Roman"/>
                <w:color w:val="auto"/>
                <w:lang w:eastAsia="en-US"/>
              </w:rPr>
              <w:t>65</w:t>
            </w:r>
          </w:p>
        </w:tc>
        <w:tc>
          <w:tcPr>
            <w:tcW w:w="389" w:type="pct"/>
            <w:vMerge w:val="restart"/>
            <w:vAlign w:val="center"/>
          </w:tcPr>
          <w:p w14:paraId="2488BACE">
            <w:pPr>
              <w:pStyle w:val="33"/>
              <w:rPr>
                <w:rFonts w:cs="Times New Roman"/>
                <w:color w:val="auto"/>
                <w:lang w:eastAsia="en-US"/>
              </w:rPr>
            </w:pPr>
            <w:r>
              <w:rPr>
                <w:rFonts w:cs="Times New Roman"/>
                <w:color w:val="auto"/>
                <w:lang w:eastAsia="en-US"/>
              </w:rPr>
              <w:t>55</w:t>
            </w:r>
          </w:p>
        </w:tc>
        <w:tc>
          <w:tcPr>
            <w:tcW w:w="470" w:type="pct"/>
            <w:vAlign w:val="center"/>
          </w:tcPr>
          <w:p w14:paraId="2C733E77">
            <w:pPr>
              <w:pStyle w:val="33"/>
              <w:rPr>
                <w:rFonts w:cs="Times New Roman"/>
                <w:color w:val="auto"/>
                <w:lang w:eastAsia="zh-CN"/>
              </w:rPr>
            </w:pPr>
            <w:r>
              <w:rPr>
                <w:rFonts w:hint="eastAsia" w:cs="Times New Roman"/>
                <w:color w:val="auto"/>
                <w:lang w:eastAsia="zh-CN"/>
              </w:rPr>
              <w:t>达标</w:t>
            </w:r>
          </w:p>
        </w:tc>
      </w:tr>
      <w:tr w14:paraId="016C5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3BB97B87">
            <w:pPr>
              <w:pStyle w:val="33"/>
              <w:rPr>
                <w:rFonts w:cs="Times New Roman"/>
                <w:color w:val="auto"/>
                <w:lang w:eastAsia="en-US"/>
              </w:rPr>
            </w:pPr>
            <w:r>
              <w:rPr>
                <w:rFonts w:cs="Times New Roman"/>
                <w:color w:val="auto"/>
                <w:lang w:eastAsia="en-US"/>
              </w:rPr>
              <w:t>2#厂界东面</w:t>
            </w:r>
          </w:p>
        </w:tc>
        <w:tc>
          <w:tcPr>
            <w:tcW w:w="395" w:type="pct"/>
            <w:vAlign w:val="center"/>
          </w:tcPr>
          <w:p w14:paraId="55C4C7ED">
            <w:pPr>
              <w:pStyle w:val="33"/>
              <w:rPr>
                <w:rFonts w:cs="Times New Roman"/>
                <w:color w:val="auto"/>
                <w:lang w:eastAsia="zh-CN"/>
              </w:rPr>
            </w:pPr>
            <w:r>
              <w:rPr>
                <w:rFonts w:cs="Times New Roman"/>
                <w:color w:val="auto"/>
                <w:lang w:eastAsia="en-US"/>
              </w:rPr>
              <w:t>55.4</w:t>
            </w:r>
          </w:p>
        </w:tc>
        <w:tc>
          <w:tcPr>
            <w:tcW w:w="393" w:type="pct"/>
            <w:vAlign w:val="center"/>
          </w:tcPr>
          <w:p w14:paraId="7936BFC9">
            <w:pPr>
              <w:pStyle w:val="33"/>
              <w:rPr>
                <w:rFonts w:cs="Times New Roman"/>
                <w:color w:val="auto"/>
                <w:lang w:eastAsia="zh-CN"/>
              </w:rPr>
            </w:pPr>
            <w:r>
              <w:rPr>
                <w:rFonts w:cs="Times New Roman"/>
                <w:color w:val="auto"/>
                <w:lang w:eastAsia="en-US"/>
              </w:rPr>
              <w:t>47.4</w:t>
            </w:r>
          </w:p>
        </w:tc>
        <w:tc>
          <w:tcPr>
            <w:tcW w:w="389" w:type="pct"/>
            <w:vAlign w:val="center"/>
          </w:tcPr>
          <w:p w14:paraId="4468896A">
            <w:pPr>
              <w:pStyle w:val="33"/>
              <w:rPr>
                <w:rFonts w:cs="Times New Roman"/>
                <w:color w:val="auto"/>
                <w:lang w:eastAsia="en-US"/>
              </w:rPr>
            </w:pPr>
            <w:r>
              <w:rPr>
                <w:rFonts w:cs="Times New Roman"/>
                <w:color w:val="auto"/>
                <w:lang w:eastAsia="en-US"/>
              </w:rPr>
              <w:t>57.6</w:t>
            </w:r>
          </w:p>
        </w:tc>
        <w:tc>
          <w:tcPr>
            <w:tcW w:w="390" w:type="pct"/>
            <w:vAlign w:val="center"/>
          </w:tcPr>
          <w:p w14:paraId="796C8A09">
            <w:pPr>
              <w:pStyle w:val="33"/>
              <w:rPr>
                <w:rFonts w:cs="Times New Roman"/>
                <w:color w:val="auto"/>
                <w:lang w:eastAsia="en-US"/>
              </w:rPr>
            </w:pPr>
            <w:r>
              <w:rPr>
                <w:rFonts w:cs="Times New Roman"/>
                <w:color w:val="auto"/>
                <w:lang w:eastAsia="en-US"/>
              </w:rPr>
              <w:t>47.2</w:t>
            </w:r>
          </w:p>
        </w:tc>
        <w:tc>
          <w:tcPr>
            <w:tcW w:w="390" w:type="pct"/>
            <w:vAlign w:val="center"/>
          </w:tcPr>
          <w:p w14:paraId="53F87600">
            <w:pPr>
              <w:pStyle w:val="33"/>
              <w:rPr>
                <w:rFonts w:cs="Times New Roman"/>
                <w:color w:val="auto"/>
                <w:lang w:eastAsia="en-US"/>
              </w:rPr>
            </w:pPr>
            <w:r>
              <w:rPr>
                <w:rFonts w:cs="Times New Roman"/>
                <w:color w:val="auto"/>
                <w:lang w:eastAsia="en-US"/>
              </w:rPr>
              <w:t>57.2</w:t>
            </w:r>
          </w:p>
        </w:tc>
        <w:tc>
          <w:tcPr>
            <w:tcW w:w="390" w:type="pct"/>
            <w:vAlign w:val="center"/>
          </w:tcPr>
          <w:p w14:paraId="7DD3CC37">
            <w:pPr>
              <w:pStyle w:val="33"/>
              <w:rPr>
                <w:rFonts w:cs="Times New Roman"/>
                <w:color w:val="auto"/>
                <w:lang w:eastAsia="en-US"/>
              </w:rPr>
            </w:pPr>
            <w:r>
              <w:rPr>
                <w:rFonts w:cs="Times New Roman"/>
                <w:color w:val="auto"/>
                <w:lang w:eastAsia="en-US"/>
              </w:rPr>
              <w:t>46.4</w:t>
            </w:r>
          </w:p>
        </w:tc>
        <w:tc>
          <w:tcPr>
            <w:tcW w:w="389" w:type="pct"/>
            <w:vAlign w:val="center"/>
          </w:tcPr>
          <w:p w14:paraId="414E619A">
            <w:pPr>
              <w:pStyle w:val="33"/>
              <w:rPr>
                <w:rFonts w:cs="Times New Roman"/>
                <w:color w:val="auto"/>
                <w:lang w:eastAsia="en-US"/>
              </w:rPr>
            </w:pPr>
            <w:r>
              <w:rPr>
                <w:rFonts w:cs="Times New Roman"/>
                <w:color w:val="auto"/>
                <w:lang w:eastAsia="en-US"/>
              </w:rPr>
              <w:t>54.3</w:t>
            </w:r>
          </w:p>
        </w:tc>
        <w:tc>
          <w:tcPr>
            <w:tcW w:w="389" w:type="pct"/>
            <w:vAlign w:val="center"/>
          </w:tcPr>
          <w:p w14:paraId="77032217">
            <w:pPr>
              <w:pStyle w:val="33"/>
              <w:rPr>
                <w:rFonts w:cs="Times New Roman"/>
                <w:color w:val="auto"/>
                <w:lang w:eastAsia="en-US"/>
              </w:rPr>
            </w:pPr>
            <w:r>
              <w:rPr>
                <w:rFonts w:cs="Times New Roman"/>
                <w:color w:val="auto"/>
                <w:lang w:eastAsia="en-US"/>
              </w:rPr>
              <w:t>45.8</w:t>
            </w:r>
          </w:p>
        </w:tc>
        <w:tc>
          <w:tcPr>
            <w:tcW w:w="312" w:type="pct"/>
            <w:vMerge w:val="continue"/>
            <w:vAlign w:val="center"/>
          </w:tcPr>
          <w:p w14:paraId="4E3FC1B1">
            <w:pPr>
              <w:pStyle w:val="33"/>
              <w:rPr>
                <w:rFonts w:cs="Times New Roman"/>
                <w:color w:val="auto"/>
                <w:lang w:eastAsia="en-US"/>
              </w:rPr>
            </w:pPr>
          </w:p>
        </w:tc>
        <w:tc>
          <w:tcPr>
            <w:tcW w:w="389" w:type="pct"/>
            <w:vMerge w:val="continue"/>
            <w:vAlign w:val="center"/>
          </w:tcPr>
          <w:p w14:paraId="7EF68E85">
            <w:pPr>
              <w:pStyle w:val="33"/>
              <w:rPr>
                <w:rFonts w:cs="Times New Roman"/>
                <w:color w:val="auto"/>
                <w:lang w:eastAsia="en-US"/>
              </w:rPr>
            </w:pPr>
          </w:p>
        </w:tc>
        <w:tc>
          <w:tcPr>
            <w:tcW w:w="470" w:type="pct"/>
            <w:vAlign w:val="center"/>
          </w:tcPr>
          <w:p w14:paraId="53C681BF">
            <w:pPr>
              <w:pStyle w:val="33"/>
              <w:rPr>
                <w:rFonts w:cs="Times New Roman"/>
                <w:color w:val="auto"/>
                <w:lang w:eastAsia="en-US"/>
              </w:rPr>
            </w:pPr>
            <w:r>
              <w:rPr>
                <w:rFonts w:hint="eastAsia" w:cs="Times New Roman"/>
                <w:color w:val="auto"/>
                <w:lang w:eastAsia="zh-CN"/>
              </w:rPr>
              <w:t>达标</w:t>
            </w:r>
          </w:p>
        </w:tc>
      </w:tr>
      <w:tr w14:paraId="01524F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349C3C16">
            <w:pPr>
              <w:pStyle w:val="33"/>
              <w:rPr>
                <w:rFonts w:cs="Times New Roman"/>
                <w:color w:val="auto"/>
                <w:lang w:eastAsia="en-US"/>
              </w:rPr>
            </w:pPr>
            <w:r>
              <w:rPr>
                <w:rFonts w:cs="Times New Roman"/>
                <w:color w:val="auto"/>
                <w:lang w:eastAsia="en-US"/>
              </w:rPr>
              <w:t>3#厂界东面</w:t>
            </w:r>
          </w:p>
        </w:tc>
        <w:tc>
          <w:tcPr>
            <w:tcW w:w="395" w:type="pct"/>
            <w:vAlign w:val="center"/>
          </w:tcPr>
          <w:p w14:paraId="68B9F67A">
            <w:pPr>
              <w:pStyle w:val="33"/>
              <w:rPr>
                <w:rFonts w:cs="Times New Roman"/>
                <w:color w:val="auto"/>
                <w:lang w:eastAsia="zh-CN"/>
              </w:rPr>
            </w:pPr>
            <w:r>
              <w:rPr>
                <w:rFonts w:cs="Times New Roman"/>
                <w:color w:val="auto"/>
                <w:lang w:eastAsia="en-US"/>
              </w:rPr>
              <w:t>57.4</w:t>
            </w:r>
          </w:p>
        </w:tc>
        <w:tc>
          <w:tcPr>
            <w:tcW w:w="393" w:type="pct"/>
            <w:vAlign w:val="center"/>
          </w:tcPr>
          <w:p w14:paraId="41318D89">
            <w:pPr>
              <w:pStyle w:val="33"/>
              <w:rPr>
                <w:rFonts w:cs="Times New Roman"/>
                <w:color w:val="auto"/>
                <w:lang w:eastAsia="zh-CN"/>
              </w:rPr>
            </w:pPr>
            <w:r>
              <w:rPr>
                <w:rFonts w:cs="Times New Roman"/>
                <w:color w:val="auto"/>
                <w:lang w:eastAsia="en-US"/>
              </w:rPr>
              <w:t>47.1</w:t>
            </w:r>
          </w:p>
        </w:tc>
        <w:tc>
          <w:tcPr>
            <w:tcW w:w="389" w:type="pct"/>
            <w:vAlign w:val="center"/>
          </w:tcPr>
          <w:p w14:paraId="250F8F72">
            <w:pPr>
              <w:pStyle w:val="33"/>
              <w:rPr>
                <w:rFonts w:cs="Times New Roman"/>
                <w:color w:val="auto"/>
                <w:lang w:eastAsia="en-US"/>
              </w:rPr>
            </w:pPr>
            <w:r>
              <w:rPr>
                <w:rFonts w:cs="Times New Roman"/>
                <w:color w:val="auto"/>
                <w:lang w:eastAsia="en-US"/>
              </w:rPr>
              <w:t>57.6</w:t>
            </w:r>
          </w:p>
        </w:tc>
        <w:tc>
          <w:tcPr>
            <w:tcW w:w="390" w:type="pct"/>
            <w:vAlign w:val="center"/>
          </w:tcPr>
          <w:p w14:paraId="60FED79D">
            <w:pPr>
              <w:pStyle w:val="33"/>
              <w:rPr>
                <w:rFonts w:cs="Times New Roman"/>
                <w:color w:val="auto"/>
                <w:lang w:eastAsia="en-US"/>
              </w:rPr>
            </w:pPr>
            <w:r>
              <w:rPr>
                <w:rFonts w:cs="Times New Roman"/>
                <w:color w:val="auto"/>
                <w:lang w:eastAsia="en-US"/>
              </w:rPr>
              <w:t>46.3</w:t>
            </w:r>
          </w:p>
        </w:tc>
        <w:tc>
          <w:tcPr>
            <w:tcW w:w="390" w:type="pct"/>
            <w:vAlign w:val="center"/>
          </w:tcPr>
          <w:p w14:paraId="2BA27BA7">
            <w:pPr>
              <w:pStyle w:val="33"/>
              <w:rPr>
                <w:rFonts w:cs="Times New Roman"/>
                <w:color w:val="auto"/>
                <w:lang w:eastAsia="en-US"/>
              </w:rPr>
            </w:pPr>
            <w:r>
              <w:rPr>
                <w:rFonts w:cs="Times New Roman"/>
                <w:color w:val="auto"/>
                <w:lang w:eastAsia="en-US"/>
              </w:rPr>
              <w:t>57.5</w:t>
            </w:r>
          </w:p>
        </w:tc>
        <w:tc>
          <w:tcPr>
            <w:tcW w:w="390" w:type="pct"/>
            <w:vAlign w:val="center"/>
          </w:tcPr>
          <w:p w14:paraId="136E7270">
            <w:pPr>
              <w:pStyle w:val="33"/>
              <w:rPr>
                <w:rFonts w:cs="Times New Roman"/>
                <w:color w:val="auto"/>
                <w:lang w:eastAsia="en-US"/>
              </w:rPr>
            </w:pPr>
            <w:r>
              <w:rPr>
                <w:rFonts w:cs="Times New Roman"/>
                <w:color w:val="auto"/>
                <w:lang w:eastAsia="en-US"/>
              </w:rPr>
              <w:t>48.6</w:t>
            </w:r>
          </w:p>
        </w:tc>
        <w:tc>
          <w:tcPr>
            <w:tcW w:w="389" w:type="pct"/>
            <w:vAlign w:val="center"/>
          </w:tcPr>
          <w:p w14:paraId="0F28F215">
            <w:pPr>
              <w:pStyle w:val="33"/>
              <w:rPr>
                <w:rFonts w:cs="Times New Roman"/>
                <w:color w:val="auto"/>
                <w:lang w:eastAsia="zh-CN"/>
              </w:rPr>
            </w:pPr>
            <w:r>
              <w:rPr>
                <w:rFonts w:cs="Times New Roman"/>
                <w:color w:val="auto"/>
                <w:lang w:eastAsia="en-US"/>
              </w:rPr>
              <w:t>56</w:t>
            </w:r>
            <w:r>
              <w:rPr>
                <w:rFonts w:hint="eastAsia" w:cs="Times New Roman"/>
                <w:color w:val="auto"/>
                <w:lang w:eastAsia="zh-CN"/>
              </w:rPr>
              <w:t>.0</w:t>
            </w:r>
          </w:p>
        </w:tc>
        <w:tc>
          <w:tcPr>
            <w:tcW w:w="389" w:type="pct"/>
            <w:vAlign w:val="center"/>
          </w:tcPr>
          <w:p w14:paraId="30DBB65E">
            <w:pPr>
              <w:pStyle w:val="33"/>
              <w:rPr>
                <w:rFonts w:cs="Times New Roman"/>
                <w:color w:val="auto"/>
                <w:lang w:eastAsia="en-US"/>
              </w:rPr>
            </w:pPr>
            <w:r>
              <w:rPr>
                <w:rFonts w:cs="Times New Roman"/>
                <w:color w:val="auto"/>
                <w:lang w:eastAsia="en-US"/>
              </w:rPr>
              <w:t>45.6</w:t>
            </w:r>
          </w:p>
        </w:tc>
        <w:tc>
          <w:tcPr>
            <w:tcW w:w="312" w:type="pct"/>
            <w:vMerge w:val="continue"/>
            <w:vAlign w:val="center"/>
          </w:tcPr>
          <w:p w14:paraId="77F00A76">
            <w:pPr>
              <w:pStyle w:val="33"/>
              <w:rPr>
                <w:rFonts w:cs="Times New Roman"/>
                <w:color w:val="auto"/>
                <w:lang w:eastAsia="en-US"/>
              </w:rPr>
            </w:pPr>
          </w:p>
        </w:tc>
        <w:tc>
          <w:tcPr>
            <w:tcW w:w="389" w:type="pct"/>
            <w:vMerge w:val="continue"/>
            <w:vAlign w:val="center"/>
          </w:tcPr>
          <w:p w14:paraId="4ECE5AA9">
            <w:pPr>
              <w:pStyle w:val="33"/>
              <w:rPr>
                <w:rFonts w:cs="Times New Roman"/>
                <w:color w:val="auto"/>
                <w:lang w:eastAsia="en-US"/>
              </w:rPr>
            </w:pPr>
          </w:p>
        </w:tc>
        <w:tc>
          <w:tcPr>
            <w:tcW w:w="470" w:type="pct"/>
            <w:vAlign w:val="center"/>
          </w:tcPr>
          <w:p w14:paraId="5D78E0BB">
            <w:pPr>
              <w:pStyle w:val="33"/>
              <w:rPr>
                <w:rFonts w:cs="Times New Roman"/>
                <w:color w:val="auto"/>
                <w:lang w:eastAsia="en-US"/>
              </w:rPr>
            </w:pPr>
            <w:r>
              <w:rPr>
                <w:rFonts w:hint="eastAsia" w:cs="Times New Roman"/>
                <w:color w:val="auto"/>
                <w:lang w:eastAsia="zh-CN"/>
              </w:rPr>
              <w:t>达标</w:t>
            </w:r>
          </w:p>
        </w:tc>
      </w:tr>
      <w:tr w14:paraId="0B120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4DCF64CC">
            <w:pPr>
              <w:pStyle w:val="33"/>
              <w:rPr>
                <w:rFonts w:cs="Times New Roman"/>
                <w:color w:val="auto"/>
                <w:lang w:eastAsia="en-US"/>
              </w:rPr>
            </w:pPr>
            <w:r>
              <w:rPr>
                <w:rFonts w:cs="Times New Roman"/>
                <w:color w:val="auto"/>
                <w:lang w:eastAsia="en-US"/>
              </w:rPr>
              <w:t>4#厂界南面</w:t>
            </w:r>
          </w:p>
        </w:tc>
        <w:tc>
          <w:tcPr>
            <w:tcW w:w="395" w:type="pct"/>
            <w:vAlign w:val="center"/>
          </w:tcPr>
          <w:p w14:paraId="285ABBD5">
            <w:pPr>
              <w:pStyle w:val="33"/>
              <w:rPr>
                <w:rFonts w:cs="Times New Roman"/>
                <w:color w:val="auto"/>
                <w:lang w:eastAsia="zh-CN"/>
              </w:rPr>
            </w:pPr>
            <w:r>
              <w:rPr>
                <w:rFonts w:cs="Times New Roman"/>
                <w:color w:val="auto"/>
                <w:lang w:eastAsia="en-US"/>
              </w:rPr>
              <w:t>54.4</w:t>
            </w:r>
          </w:p>
        </w:tc>
        <w:tc>
          <w:tcPr>
            <w:tcW w:w="393" w:type="pct"/>
            <w:vAlign w:val="center"/>
          </w:tcPr>
          <w:p w14:paraId="3BE49187">
            <w:pPr>
              <w:pStyle w:val="33"/>
              <w:rPr>
                <w:rFonts w:cs="Times New Roman"/>
                <w:color w:val="auto"/>
                <w:lang w:eastAsia="zh-CN"/>
              </w:rPr>
            </w:pPr>
            <w:r>
              <w:rPr>
                <w:rFonts w:cs="Times New Roman"/>
                <w:color w:val="auto"/>
                <w:lang w:eastAsia="en-US"/>
              </w:rPr>
              <w:t>46.3</w:t>
            </w:r>
          </w:p>
        </w:tc>
        <w:tc>
          <w:tcPr>
            <w:tcW w:w="389" w:type="pct"/>
            <w:vAlign w:val="center"/>
          </w:tcPr>
          <w:p w14:paraId="4AAFB5E5">
            <w:pPr>
              <w:pStyle w:val="33"/>
              <w:rPr>
                <w:rFonts w:cs="Times New Roman"/>
                <w:color w:val="auto"/>
                <w:lang w:eastAsia="en-US"/>
              </w:rPr>
            </w:pPr>
            <w:r>
              <w:rPr>
                <w:rFonts w:cs="Times New Roman"/>
                <w:color w:val="auto"/>
                <w:lang w:eastAsia="en-US"/>
              </w:rPr>
              <w:t>58.3</w:t>
            </w:r>
          </w:p>
        </w:tc>
        <w:tc>
          <w:tcPr>
            <w:tcW w:w="390" w:type="pct"/>
            <w:vAlign w:val="center"/>
          </w:tcPr>
          <w:p w14:paraId="51E1E177">
            <w:pPr>
              <w:pStyle w:val="33"/>
              <w:rPr>
                <w:rFonts w:cs="Times New Roman"/>
                <w:color w:val="auto"/>
                <w:lang w:eastAsia="en-US"/>
              </w:rPr>
            </w:pPr>
            <w:r>
              <w:rPr>
                <w:rFonts w:cs="Times New Roman"/>
                <w:color w:val="auto"/>
                <w:lang w:eastAsia="en-US"/>
              </w:rPr>
              <w:t>48.5</w:t>
            </w:r>
          </w:p>
        </w:tc>
        <w:tc>
          <w:tcPr>
            <w:tcW w:w="390" w:type="pct"/>
            <w:vAlign w:val="center"/>
          </w:tcPr>
          <w:p w14:paraId="619372D0">
            <w:pPr>
              <w:pStyle w:val="33"/>
              <w:rPr>
                <w:rFonts w:cs="Times New Roman"/>
                <w:color w:val="auto"/>
                <w:lang w:eastAsia="en-US"/>
              </w:rPr>
            </w:pPr>
            <w:r>
              <w:rPr>
                <w:rFonts w:cs="Times New Roman"/>
                <w:color w:val="auto"/>
                <w:lang w:eastAsia="en-US"/>
              </w:rPr>
              <w:t>55.9</w:t>
            </w:r>
          </w:p>
        </w:tc>
        <w:tc>
          <w:tcPr>
            <w:tcW w:w="390" w:type="pct"/>
            <w:vAlign w:val="center"/>
          </w:tcPr>
          <w:p w14:paraId="70A87492">
            <w:pPr>
              <w:pStyle w:val="33"/>
              <w:rPr>
                <w:rFonts w:cs="Times New Roman"/>
                <w:color w:val="auto"/>
                <w:lang w:eastAsia="en-US"/>
              </w:rPr>
            </w:pPr>
            <w:r>
              <w:rPr>
                <w:rFonts w:cs="Times New Roman"/>
                <w:color w:val="auto"/>
                <w:lang w:eastAsia="en-US"/>
              </w:rPr>
              <w:t>43.6</w:t>
            </w:r>
          </w:p>
        </w:tc>
        <w:tc>
          <w:tcPr>
            <w:tcW w:w="389" w:type="pct"/>
            <w:vAlign w:val="center"/>
          </w:tcPr>
          <w:p w14:paraId="098CEB2C">
            <w:pPr>
              <w:pStyle w:val="33"/>
              <w:rPr>
                <w:rFonts w:cs="Times New Roman"/>
                <w:color w:val="auto"/>
                <w:lang w:eastAsia="en-US"/>
              </w:rPr>
            </w:pPr>
            <w:r>
              <w:rPr>
                <w:rFonts w:cs="Times New Roman"/>
                <w:color w:val="auto"/>
                <w:lang w:eastAsia="en-US"/>
              </w:rPr>
              <w:t>52.4</w:t>
            </w:r>
          </w:p>
        </w:tc>
        <w:tc>
          <w:tcPr>
            <w:tcW w:w="389" w:type="pct"/>
            <w:vAlign w:val="center"/>
          </w:tcPr>
          <w:p w14:paraId="7E269A46">
            <w:pPr>
              <w:pStyle w:val="33"/>
              <w:rPr>
                <w:rFonts w:cs="Times New Roman"/>
                <w:color w:val="auto"/>
                <w:lang w:eastAsia="en-US"/>
              </w:rPr>
            </w:pPr>
            <w:r>
              <w:rPr>
                <w:rFonts w:cs="Times New Roman"/>
                <w:color w:val="auto"/>
                <w:lang w:eastAsia="en-US"/>
              </w:rPr>
              <w:t>44.8</w:t>
            </w:r>
          </w:p>
        </w:tc>
        <w:tc>
          <w:tcPr>
            <w:tcW w:w="312" w:type="pct"/>
            <w:vMerge w:val="restart"/>
            <w:vAlign w:val="center"/>
          </w:tcPr>
          <w:p w14:paraId="29F95E7A">
            <w:pPr>
              <w:pStyle w:val="33"/>
              <w:rPr>
                <w:rFonts w:cs="Times New Roman"/>
                <w:color w:val="auto"/>
                <w:lang w:eastAsia="zh-CN"/>
              </w:rPr>
            </w:pPr>
            <w:r>
              <w:rPr>
                <w:rFonts w:hint="eastAsia" w:cs="Times New Roman"/>
                <w:color w:val="auto"/>
                <w:lang w:eastAsia="zh-CN"/>
              </w:rPr>
              <w:t>70</w:t>
            </w:r>
          </w:p>
        </w:tc>
        <w:tc>
          <w:tcPr>
            <w:tcW w:w="389" w:type="pct"/>
            <w:vMerge w:val="restart"/>
            <w:vAlign w:val="center"/>
          </w:tcPr>
          <w:p w14:paraId="5EAA294A">
            <w:pPr>
              <w:pStyle w:val="33"/>
              <w:rPr>
                <w:rFonts w:cs="Times New Roman"/>
                <w:color w:val="auto"/>
                <w:lang w:eastAsia="en-US"/>
              </w:rPr>
            </w:pPr>
            <w:r>
              <w:rPr>
                <w:rFonts w:cs="Times New Roman"/>
                <w:color w:val="auto"/>
                <w:lang w:eastAsia="en-US"/>
              </w:rPr>
              <w:t>55</w:t>
            </w:r>
          </w:p>
        </w:tc>
        <w:tc>
          <w:tcPr>
            <w:tcW w:w="470" w:type="pct"/>
            <w:vAlign w:val="center"/>
          </w:tcPr>
          <w:p w14:paraId="40FED3D9">
            <w:pPr>
              <w:pStyle w:val="33"/>
              <w:rPr>
                <w:rFonts w:cs="Times New Roman"/>
                <w:color w:val="auto"/>
                <w:lang w:eastAsia="en-US"/>
              </w:rPr>
            </w:pPr>
            <w:r>
              <w:rPr>
                <w:rFonts w:hint="eastAsia" w:cs="Times New Roman"/>
                <w:color w:val="auto"/>
                <w:lang w:eastAsia="zh-CN"/>
              </w:rPr>
              <w:t>达标</w:t>
            </w:r>
          </w:p>
        </w:tc>
      </w:tr>
      <w:tr w14:paraId="689D5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4EDA98DC">
            <w:pPr>
              <w:pStyle w:val="33"/>
              <w:rPr>
                <w:rFonts w:cs="Times New Roman"/>
                <w:color w:val="auto"/>
                <w:lang w:eastAsia="en-US"/>
              </w:rPr>
            </w:pPr>
            <w:r>
              <w:rPr>
                <w:rFonts w:cs="Times New Roman"/>
                <w:color w:val="auto"/>
                <w:lang w:eastAsia="en-US"/>
              </w:rPr>
              <w:t>5#厂界南面</w:t>
            </w:r>
          </w:p>
        </w:tc>
        <w:tc>
          <w:tcPr>
            <w:tcW w:w="395" w:type="pct"/>
            <w:vAlign w:val="center"/>
          </w:tcPr>
          <w:p w14:paraId="33271B25">
            <w:pPr>
              <w:pStyle w:val="33"/>
              <w:rPr>
                <w:rFonts w:cs="Times New Roman"/>
                <w:color w:val="auto"/>
                <w:lang w:eastAsia="zh-CN"/>
              </w:rPr>
            </w:pPr>
            <w:r>
              <w:rPr>
                <w:rFonts w:cs="Times New Roman"/>
                <w:color w:val="auto"/>
                <w:lang w:eastAsia="en-US"/>
              </w:rPr>
              <w:t>55.6</w:t>
            </w:r>
          </w:p>
        </w:tc>
        <w:tc>
          <w:tcPr>
            <w:tcW w:w="393" w:type="pct"/>
            <w:vAlign w:val="center"/>
          </w:tcPr>
          <w:p w14:paraId="7E493181">
            <w:pPr>
              <w:pStyle w:val="33"/>
              <w:rPr>
                <w:rFonts w:cs="Times New Roman"/>
                <w:color w:val="auto"/>
                <w:lang w:eastAsia="zh-CN"/>
              </w:rPr>
            </w:pPr>
            <w:r>
              <w:rPr>
                <w:rFonts w:cs="Times New Roman"/>
                <w:color w:val="auto"/>
                <w:lang w:eastAsia="en-US"/>
              </w:rPr>
              <w:t>46.3</w:t>
            </w:r>
          </w:p>
        </w:tc>
        <w:tc>
          <w:tcPr>
            <w:tcW w:w="389" w:type="pct"/>
            <w:vAlign w:val="center"/>
          </w:tcPr>
          <w:p w14:paraId="58FD249D">
            <w:pPr>
              <w:pStyle w:val="33"/>
              <w:rPr>
                <w:rFonts w:cs="Times New Roman"/>
                <w:color w:val="auto"/>
                <w:lang w:eastAsia="zh-CN"/>
              </w:rPr>
            </w:pPr>
            <w:r>
              <w:rPr>
                <w:rFonts w:cs="Times New Roman"/>
                <w:color w:val="auto"/>
                <w:lang w:eastAsia="en-US"/>
              </w:rPr>
              <w:t>58</w:t>
            </w:r>
            <w:r>
              <w:rPr>
                <w:rFonts w:hint="eastAsia" w:cs="Times New Roman"/>
                <w:color w:val="auto"/>
                <w:lang w:eastAsia="zh-CN"/>
              </w:rPr>
              <w:t>.0</w:t>
            </w:r>
          </w:p>
        </w:tc>
        <w:tc>
          <w:tcPr>
            <w:tcW w:w="390" w:type="pct"/>
            <w:vAlign w:val="center"/>
          </w:tcPr>
          <w:p w14:paraId="02727388">
            <w:pPr>
              <w:pStyle w:val="33"/>
              <w:rPr>
                <w:rFonts w:cs="Times New Roman"/>
                <w:color w:val="auto"/>
                <w:lang w:eastAsia="en-US"/>
              </w:rPr>
            </w:pPr>
            <w:r>
              <w:rPr>
                <w:rFonts w:cs="Times New Roman"/>
                <w:color w:val="auto"/>
                <w:lang w:eastAsia="en-US"/>
              </w:rPr>
              <w:t>46.5</w:t>
            </w:r>
          </w:p>
        </w:tc>
        <w:tc>
          <w:tcPr>
            <w:tcW w:w="390" w:type="pct"/>
            <w:vAlign w:val="center"/>
          </w:tcPr>
          <w:p w14:paraId="7BC6C95F">
            <w:pPr>
              <w:pStyle w:val="33"/>
              <w:rPr>
                <w:rFonts w:cs="Times New Roman"/>
                <w:color w:val="auto"/>
                <w:lang w:eastAsia="en-US"/>
              </w:rPr>
            </w:pPr>
            <w:r>
              <w:rPr>
                <w:rFonts w:cs="Times New Roman"/>
                <w:color w:val="auto"/>
                <w:lang w:eastAsia="en-US"/>
              </w:rPr>
              <w:t>55.1</w:t>
            </w:r>
          </w:p>
        </w:tc>
        <w:tc>
          <w:tcPr>
            <w:tcW w:w="390" w:type="pct"/>
            <w:vAlign w:val="center"/>
          </w:tcPr>
          <w:p w14:paraId="14283EB9">
            <w:pPr>
              <w:pStyle w:val="33"/>
              <w:rPr>
                <w:rFonts w:cs="Times New Roman"/>
                <w:color w:val="auto"/>
                <w:lang w:eastAsia="zh-CN"/>
              </w:rPr>
            </w:pPr>
            <w:r>
              <w:rPr>
                <w:rFonts w:cs="Times New Roman"/>
                <w:color w:val="auto"/>
                <w:lang w:eastAsia="en-US"/>
              </w:rPr>
              <w:t>47</w:t>
            </w:r>
            <w:r>
              <w:rPr>
                <w:rFonts w:hint="eastAsia" w:cs="Times New Roman"/>
                <w:color w:val="auto"/>
                <w:lang w:eastAsia="zh-CN"/>
              </w:rPr>
              <w:t>.0</w:t>
            </w:r>
          </w:p>
        </w:tc>
        <w:tc>
          <w:tcPr>
            <w:tcW w:w="389" w:type="pct"/>
            <w:vAlign w:val="center"/>
          </w:tcPr>
          <w:p w14:paraId="66FAF754">
            <w:pPr>
              <w:pStyle w:val="33"/>
              <w:rPr>
                <w:rFonts w:cs="Times New Roman"/>
                <w:color w:val="auto"/>
                <w:lang w:eastAsia="en-US"/>
              </w:rPr>
            </w:pPr>
            <w:r>
              <w:rPr>
                <w:rFonts w:cs="Times New Roman"/>
                <w:color w:val="auto"/>
                <w:lang w:eastAsia="en-US"/>
              </w:rPr>
              <w:t>57.4</w:t>
            </w:r>
          </w:p>
        </w:tc>
        <w:tc>
          <w:tcPr>
            <w:tcW w:w="389" w:type="pct"/>
            <w:vAlign w:val="center"/>
          </w:tcPr>
          <w:p w14:paraId="44EF2D3A">
            <w:pPr>
              <w:pStyle w:val="33"/>
              <w:rPr>
                <w:rFonts w:cs="Times New Roman"/>
                <w:color w:val="auto"/>
                <w:lang w:eastAsia="en-US"/>
              </w:rPr>
            </w:pPr>
            <w:r>
              <w:rPr>
                <w:rFonts w:cs="Times New Roman"/>
                <w:color w:val="auto"/>
                <w:lang w:eastAsia="en-US"/>
              </w:rPr>
              <w:t>45.7</w:t>
            </w:r>
          </w:p>
        </w:tc>
        <w:tc>
          <w:tcPr>
            <w:tcW w:w="312" w:type="pct"/>
            <w:vMerge w:val="continue"/>
            <w:vAlign w:val="center"/>
          </w:tcPr>
          <w:p w14:paraId="26A6F080">
            <w:pPr>
              <w:pStyle w:val="33"/>
              <w:rPr>
                <w:rFonts w:cs="Times New Roman"/>
                <w:color w:val="auto"/>
                <w:lang w:eastAsia="en-US"/>
              </w:rPr>
            </w:pPr>
          </w:p>
        </w:tc>
        <w:tc>
          <w:tcPr>
            <w:tcW w:w="389" w:type="pct"/>
            <w:vMerge w:val="continue"/>
            <w:vAlign w:val="center"/>
          </w:tcPr>
          <w:p w14:paraId="6D651D96">
            <w:pPr>
              <w:pStyle w:val="33"/>
              <w:rPr>
                <w:rFonts w:cs="Times New Roman"/>
                <w:color w:val="auto"/>
                <w:lang w:eastAsia="en-US"/>
              </w:rPr>
            </w:pPr>
          </w:p>
        </w:tc>
        <w:tc>
          <w:tcPr>
            <w:tcW w:w="470" w:type="pct"/>
            <w:vAlign w:val="center"/>
          </w:tcPr>
          <w:p w14:paraId="5B2D0172">
            <w:pPr>
              <w:pStyle w:val="33"/>
              <w:rPr>
                <w:rFonts w:cs="Times New Roman"/>
                <w:color w:val="auto"/>
                <w:lang w:eastAsia="en-US"/>
              </w:rPr>
            </w:pPr>
            <w:r>
              <w:rPr>
                <w:rFonts w:hint="eastAsia" w:cs="Times New Roman"/>
                <w:color w:val="auto"/>
                <w:lang w:eastAsia="zh-CN"/>
              </w:rPr>
              <w:t>达标</w:t>
            </w:r>
          </w:p>
        </w:tc>
      </w:tr>
      <w:tr w14:paraId="15067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777754C8">
            <w:pPr>
              <w:pStyle w:val="33"/>
              <w:rPr>
                <w:rFonts w:cs="Times New Roman"/>
                <w:color w:val="auto"/>
                <w:lang w:eastAsia="en-US"/>
              </w:rPr>
            </w:pPr>
            <w:r>
              <w:rPr>
                <w:rFonts w:cs="Times New Roman"/>
                <w:color w:val="auto"/>
                <w:lang w:eastAsia="en-US"/>
              </w:rPr>
              <w:t>6#厂界西面</w:t>
            </w:r>
          </w:p>
        </w:tc>
        <w:tc>
          <w:tcPr>
            <w:tcW w:w="395" w:type="pct"/>
            <w:vAlign w:val="center"/>
          </w:tcPr>
          <w:p w14:paraId="37FC61E3">
            <w:pPr>
              <w:pStyle w:val="33"/>
              <w:rPr>
                <w:rFonts w:cs="Times New Roman"/>
                <w:color w:val="auto"/>
                <w:lang w:eastAsia="zh-CN"/>
              </w:rPr>
            </w:pPr>
            <w:r>
              <w:rPr>
                <w:rFonts w:cs="Times New Roman"/>
                <w:color w:val="auto"/>
                <w:lang w:eastAsia="en-US"/>
              </w:rPr>
              <w:t>54.1</w:t>
            </w:r>
          </w:p>
        </w:tc>
        <w:tc>
          <w:tcPr>
            <w:tcW w:w="393" w:type="pct"/>
            <w:vAlign w:val="center"/>
          </w:tcPr>
          <w:p w14:paraId="68440439">
            <w:pPr>
              <w:pStyle w:val="33"/>
              <w:rPr>
                <w:rFonts w:cs="Times New Roman"/>
                <w:color w:val="auto"/>
                <w:lang w:eastAsia="zh-CN"/>
              </w:rPr>
            </w:pPr>
            <w:r>
              <w:rPr>
                <w:rFonts w:cs="Times New Roman"/>
                <w:color w:val="auto"/>
                <w:lang w:eastAsia="en-US"/>
              </w:rPr>
              <w:t>46.3</w:t>
            </w:r>
          </w:p>
        </w:tc>
        <w:tc>
          <w:tcPr>
            <w:tcW w:w="389" w:type="pct"/>
            <w:vAlign w:val="center"/>
          </w:tcPr>
          <w:p w14:paraId="1462F8D8">
            <w:pPr>
              <w:pStyle w:val="33"/>
              <w:rPr>
                <w:rFonts w:cs="Times New Roman"/>
                <w:color w:val="auto"/>
                <w:lang w:eastAsia="en-US"/>
              </w:rPr>
            </w:pPr>
            <w:r>
              <w:rPr>
                <w:rFonts w:cs="Times New Roman"/>
                <w:color w:val="auto"/>
                <w:lang w:eastAsia="en-US"/>
              </w:rPr>
              <w:t>57.5</w:t>
            </w:r>
          </w:p>
        </w:tc>
        <w:tc>
          <w:tcPr>
            <w:tcW w:w="390" w:type="pct"/>
            <w:vAlign w:val="center"/>
          </w:tcPr>
          <w:p w14:paraId="33F12CCB">
            <w:pPr>
              <w:pStyle w:val="33"/>
              <w:rPr>
                <w:rFonts w:cs="Times New Roman"/>
                <w:color w:val="auto"/>
                <w:lang w:eastAsia="en-US"/>
              </w:rPr>
            </w:pPr>
            <w:r>
              <w:rPr>
                <w:rFonts w:cs="Times New Roman"/>
                <w:color w:val="auto"/>
                <w:lang w:eastAsia="en-US"/>
              </w:rPr>
              <w:t>46.7</w:t>
            </w:r>
          </w:p>
        </w:tc>
        <w:tc>
          <w:tcPr>
            <w:tcW w:w="390" w:type="pct"/>
            <w:vAlign w:val="center"/>
          </w:tcPr>
          <w:p w14:paraId="465035AC">
            <w:pPr>
              <w:pStyle w:val="33"/>
              <w:rPr>
                <w:rFonts w:cs="Times New Roman"/>
                <w:color w:val="auto"/>
                <w:lang w:eastAsia="en-US"/>
              </w:rPr>
            </w:pPr>
            <w:r>
              <w:rPr>
                <w:rFonts w:cs="Times New Roman"/>
                <w:color w:val="auto"/>
                <w:lang w:eastAsia="en-US"/>
              </w:rPr>
              <w:t>57.5</w:t>
            </w:r>
          </w:p>
        </w:tc>
        <w:tc>
          <w:tcPr>
            <w:tcW w:w="390" w:type="pct"/>
            <w:vAlign w:val="center"/>
          </w:tcPr>
          <w:p w14:paraId="0E27DDBB">
            <w:pPr>
              <w:pStyle w:val="33"/>
              <w:rPr>
                <w:rFonts w:cs="Times New Roman"/>
                <w:color w:val="auto"/>
                <w:lang w:eastAsia="en-US"/>
              </w:rPr>
            </w:pPr>
            <w:r>
              <w:rPr>
                <w:rFonts w:cs="Times New Roman"/>
                <w:color w:val="auto"/>
                <w:lang w:eastAsia="en-US"/>
              </w:rPr>
              <w:t>46.2</w:t>
            </w:r>
          </w:p>
        </w:tc>
        <w:tc>
          <w:tcPr>
            <w:tcW w:w="389" w:type="pct"/>
            <w:vAlign w:val="center"/>
          </w:tcPr>
          <w:p w14:paraId="2A720509">
            <w:pPr>
              <w:pStyle w:val="33"/>
              <w:rPr>
                <w:rFonts w:cs="Times New Roman"/>
                <w:color w:val="auto"/>
                <w:lang w:eastAsia="en-US"/>
              </w:rPr>
            </w:pPr>
            <w:r>
              <w:rPr>
                <w:rFonts w:cs="Times New Roman"/>
                <w:color w:val="auto"/>
                <w:lang w:eastAsia="en-US"/>
              </w:rPr>
              <w:t>57.9</w:t>
            </w:r>
          </w:p>
        </w:tc>
        <w:tc>
          <w:tcPr>
            <w:tcW w:w="389" w:type="pct"/>
            <w:vAlign w:val="center"/>
          </w:tcPr>
          <w:p w14:paraId="7337E34A">
            <w:pPr>
              <w:pStyle w:val="33"/>
              <w:rPr>
                <w:rFonts w:cs="Times New Roman"/>
                <w:color w:val="auto"/>
                <w:lang w:eastAsia="en-US"/>
              </w:rPr>
            </w:pPr>
            <w:r>
              <w:rPr>
                <w:rFonts w:cs="Times New Roman"/>
                <w:color w:val="auto"/>
                <w:lang w:eastAsia="en-US"/>
              </w:rPr>
              <w:t>46.6</w:t>
            </w:r>
          </w:p>
        </w:tc>
        <w:tc>
          <w:tcPr>
            <w:tcW w:w="312" w:type="pct"/>
            <w:vMerge w:val="restart"/>
            <w:vAlign w:val="center"/>
          </w:tcPr>
          <w:p w14:paraId="4217707D">
            <w:pPr>
              <w:pStyle w:val="33"/>
              <w:rPr>
                <w:rFonts w:cs="Times New Roman"/>
                <w:color w:val="auto"/>
                <w:lang w:eastAsia="en-US"/>
              </w:rPr>
            </w:pPr>
            <w:r>
              <w:rPr>
                <w:rFonts w:cs="Times New Roman"/>
                <w:color w:val="auto"/>
                <w:lang w:eastAsia="en-US"/>
              </w:rPr>
              <w:t>65</w:t>
            </w:r>
          </w:p>
        </w:tc>
        <w:tc>
          <w:tcPr>
            <w:tcW w:w="389" w:type="pct"/>
            <w:vMerge w:val="restart"/>
            <w:vAlign w:val="center"/>
          </w:tcPr>
          <w:p w14:paraId="184346C0">
            <w:pPr>
              <w:pStyle w:val="33"/>
              <w:rPr>
                <w:rFonts w:cs="Times New Roman"/>
                <w:color w:val="auto"/>
                <w:lang w:eastAsia="en-US"/>
              </w:rPr>
            </w:pPr>
            <w:r>
              <w:rPr>
                <w:rFonts w:cs="Times New Roman"/>
                <w:color w:val="auto"/>
                <w:lang w:eastAsia="en-US"/>
              </w:rPr>
              <w:t>55</w:t>
            </w:r>
          </w:p>
        </w:tc>
        <w:tc>
          <w:tcPr>
            <w:tcW w:w="470" w:type="pct"/>
            <w:vAlign w:val="center"/>
          </w:tcPr>
          <w:p w14:paraId="67FDF755">
            <w:pPr>
              <w:pStyle w:val="33"/>
              <w:rPr>
                <w:rFonts w:cs="Times New Roman"/>
                <w:color w:val="auto"/>
                <w:lang w:eastAsia="en-US"/>
              </w:rPr>
            </w:pPr>
            <w:r>
              <w:rPr>
                <w:rFonts w:hint="eastAsia" w:cs="Times New Roman"/>
                <w:color w:val="auto"/>
                <w:lang w:eastAsia="zh-CN"/>
              </w:rPr>
              <w:t>达标</w:t>
            </w:r>
          </w:p>
        </w:tc>
      </w:tr>
      <w:tr w14:paraId="4F11A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334DD9E8">
            <w:pPr>
              <w:pStyle w:val="33"/>
              <w:rPr>
                <w:rFonts w:cs="Times New Roman"/>
                <w:color w:val="auto"/>
                <w:lang w:eastAsia="en-US"/>
              </w:rPr>
            </w:pPr>
            <w:r>
              <w:rPr>
                <w:rFonts w:cs="Times New Roman"/>
                <w:color w:val="auto"/>
                <w:lang w:eastAsia="en-US"/>
              </w:rPr>
              <w:t>7#厂界西面</w:t>
            </w:r>
          </w:p>
        </w:tc>
        <w:tc>
          <w:tcPr>
            <w:tcW w:w="395" w:type="pct"/>
            <w:vAlign w:val="center"/>
          </w:tcPr>
          <w:p w14:paraId="4CAD6B54">
            <w:pPr>
              <w:pStyle w:val="33"/>
              <w:rPr>
                <w:rFonts w:cs="Times New Roman"/>
                <w:color w:val="auto"/>
                <w:lang w:eastAsia="zh-CN"/>
              </w:rPr>
            </w:pPr>
            <w:r>
              <w:rPr>
                <w:rFonts w:cs="Times New Roman"/>
                <w:color w:val="auto"/>
                <w:lang w:eastAsia="en-US"/>
              </w:rPr>
              <w:t>53.6</w:t>
            </w:r>
          </w:p>
        </w:tc>
        <w:tc>
          <w:tcPr>
            <w:tcW w:w="393" w:type="pct"/>
            <w:vAlign w:val="center"/>
          </w:tcPr>
          <w:p w14:paraId="33FB4B62">
            <w:pPr>
              <w:pStyle w:val="33"/>
              <w:rPr>
                <w:rFonts w:cs="Times New Roman"/>
                <w:color w:val="auto"/>
                <w:lang w:eastAsia="zh-CN"/>
              </w:rPr>
            </w:pPr>
            <w:r>
              <w:rPr>
                <w:rFonts w:cs="Times New Roman"/>
                <w:color w:val="auto"/>
                <w:lang w:eastAsia="en-US"/>
              </w:rPr>
              <w:t>47.6</w:t>
            </w:r>
          </w:p>
        </w:tc>
        <w:tc>
          <w:tcPr>
            <w:tcW w:w="389" w:type="pct"/>
            <w:vAlign w:val="center"/>
          </w:tcPr>
          <w:p w14:paraId="4A87CE96">
            <w:pPr>
              <w:pStyle w:val="33"/>
              <w:rPr>
                <w:rFonts w:cs="Times New Roman"/>
                <w:color w:val="auto"/>
                <w:lang w:eastAsia="en-US"/>
              </w:rPr>
            </w:pPr>
            <w:r>
              <w:rPr>
                <w:rFonts w:cs="Times New Roman"/>
                <w:color w:val="auto"/>
                <w:lang w:eastAsia="en-US"/>
              </w:rPr>
              <w:t>56.7</w:t>
            </w:r>
          </w:p>
        </w:tc>
        <w:tc>
          <w:tcPr>
            <w:tcW w:w="390" w:type="pct"/>
            <w:vAlign w:val="center"/>
          </w:tcPr>
          <w:p w14:paraId="570D1E1E">
            <w:pPr>
              <w:pStyle w:val="33"/>
              <w:rPr>
                <w:rFonts w:cs="Times New Roman"/>
                <w:color w:val="auto"/>
                <w:lang w:eastAsia="en-US"/>
              </w:rPr>
            </w:pPr>
            <w:r>
              <w:rPr>
                <w:rFonts w:cs="Times New Roman"/>
                <w:color w:val="auto"/>
                <w:lang w:eastAsia="en-US"/>
              </w:rPr>
              <w:t>45.7</w:t>
            </w:r>
          </w:p>
        </w:tc>
        <w:tc>
          <w:tcPr>
            <w:tcW w:w="390" w:type="pct"/>
            <w:vAlign w:val="center"/>
          </w:tcPr>
          <w:p w14:paraId="2D4945A2">
            <w:pPr>
              <w:pStyle w:val="33"/>
              <w:rPr>
                <w:rFonts w:cs="Times New Roman"/>
                <w:color w:val="auto"/>
                <w:lang w:eastAsia="en-US"/>
              </w:rPr>
            </w:pPr>
            <w:r>
              <w:rPr>
                <w:rFonts w:cs="Times New Roman"/>
                <w:color w:val="auto"/>
                <w:lang w:eastAsia="en-US"/>
              </w:rPr>
              <w:t>54.4</w:t>
            </w:r>
          </w:p>
        </w:tc>
        <w:tc>
          <w:tcPr>
            <w:tcW w:w="390" w:type="pct"/>
            <w:vAlign w:val="center"/>
          </w:tcPr>
          <w:p w14:paraId="6F011E6E">
            <w:pPr>
              <w:pStyle w:val="33"/>
              <w:rPr>
                <w:rFonts w:cs="Times New Roman"/>
                <w:color w:val="auto"/>
                <w:lang w:eastAsia="en-US"/>
              </w:rPr>
            </w:pPr>
            <w:r>
              <w:rPr>
                <w:rFonts w:cs="Times New Roman"/>
                <w:color w:val="auto"/>
                <w:lang w:eastAsia="en-US"/>
              </w:rPr>
              <w:t>46.3</w:t>
            </w:r>
          </w:p>
        </w:tc>
        <w:tc>
          <w:tcPr>
            <w:tcW w:w="389" w:type="pct"/>
            <w:vAlign w:val="center"/>
          </w:tcPr>
          <w:p w14:paraId="18F96636">
            <w:pPr>
              <w:pStyle w:val="33"/>
              <w:rPr>
                <w:rFonts w:cs="Times New Roman"/>
                <w:color w:val="auto"/>
                <w:lang w:eastAsia="en-US"/>
              </w:rPr>
            </w:pPr>
            <w:r>
              <w:rPr>
                <w:rFonts w:cs="Times New Roman"/>
                <w:color w:val="auto"/>
                <w:lang w:eastAsia="en-US"/>
              </w:rPr>
              <w:t>54.4</w:t>
            </w:r>
          </w:p>
        </w:tc>
        <w:tc>
          <w:tcPr>
            <w:tcW w:w="389" w:type="pct"/>
            <w:vAlign w:val="center"/>
          </w:tcPr>
          <w:p w14:paraId="32D2F006">
            <w:pPr>
              <w:pStyle w:val="33"/>
              <w:rPr>
                <w:rFonts w:cs="Times New Roman"/>
                <w:color w:val="auto"/>
                <w:lang w:eastAsia="en-US"/>
              </w:rPr>
            </w:pPr>
            <w:r>
              <w:rPr>
                <w:rFonts w:cs="Times New Roman"/>
                <w:color w:val="auto"/>
                <w:lang w:eastAsia="en-US"/>
              </w:rPr>
              <w:t>46.1</w:t>
            </w:r>
          </w:p>
        </w:tc>
        <w:tc>
          <w:tcPr>
            <w:tcW w:w="312" w:type="pct"/>
            <w:vMerge w:val="continue"/>
            <w:vAlign w:val="center"/>
          </w:tcPr>
          <w:p w14:paraId="614ED7D1">
            <w:pPr>
              <w:pStyle w:val="33"/>
              <w:rPr>
                <w:rFonts w:cs="Times New Roman"/>
                <w:color w:val="auto"/>
                <w:lang w:eastAsia="en-US"/>
              </w:rPr>
            </w:pPr>
          </w:p>
        </w:tc>
        <w:tc>
          <w:tcPr>
            <w:tcW w:w="389" w:type="pct"/>
            <w:vMerge w:val="continue"/>
            <w:vAlign w:val="center"/>
          </w:tcPr>
          <w:p w14:paraId="28BA4B43">
            <w:pPr>
              <w:pStyle w:val="33"/>
              <w:rPr>
                <w:rFonts w:cs="Times New Roman"/>
                <w:color w:val="auto"/>
                <w:lang w:eastAsia="en-US"/>
              </w:rPr>
            </w:pPr>
          </w:p>
        </w:tc>
        <w:tc>
          <w:tcPr>
            <w:tcW w:w="470" w:type="pct"/>
            <w:vAlign w:val="center"/>
          </w:tcPr>
          <w:p w14:paraId="0DE6171E">
            <w:pPr>
              <w:pStyle w:val="33"/>
              <w:rPr>
                <w:rFonts w:cs="Times New Roman"/>
                <w:color w:val="auto"/>
                <w:lang w:eastAsia="en-US"/>
              </w:rPr>
            </w:pPr>
            <w:r>
              <w:rPr>
                <w:rFonts w:hint="eastAsia" w:cs="Times New Roman"/>
                <w:color w:val="auto"/>
                <w:lang w:eastAsia="zh-CN"/>
              </w:rPr>
              <w:t>达标</w:t>
            </w:r>
          </w:p>
        </w:tc>
      </w:tr>
      <w:tr w14:paraId="59864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72888997">
            <w:pPr>
              <w:pStyle w:val="33"/>
              <w:rPr>
                <w:rFonts w:cs="Times New Roman"/>
                <w:color w:val="auto"/>
                <w:lang w:eastAsia="en-US"/>
              </w:rPr>
            </w:pPr>
            <w:r>
              <w:rPr>
                <w:rFonts w:cs="Times New Roman"/>
                <w:color w:val="auto"/>
                <w:lang w:eastAsia="en-US"/>
              </w:rPr>
              <w:t>8#厂界西面</w:t>
            </w:r>
          </w:p>
        </w:tc>
        <w:tc>
          <w:tcPr>
            <w:tcW w:w="395" w:type="pct"/>
            <w:vAlign w:val="center"/>
          </w:tcPr>
          <w:p w14:paraId="7B136ADA">
            <w:pPr>
              <w:pStyle w:val="33"/>
              <w:rPr>
                <w:rFonts w:cs="Times New Roman"/>
                <w:color w:val="auto"/>
                <w:lang w:eastAsia="zh-CN"/>
              </w:rPr>
            </w:pPr>
            <w:r>
              <w:rPr>
                <w:rFonts w:cs="Times New Roman"/>
                <w:color w:val="auto"/>
                <w:lang w:eastAsia="en-US"/>
              </w:rPr>
              <w:t>54.5</w:t>
            </w:r>
          </w:p>
        </w:tc>
        <w:tc>
          <w:tcPr>
            <w:tcW w:w="393" w:type="pct"/>
            <w:vAlign w:val="center"/>
          </w:tcPr>
          <w:p w14:paraId="32F716EC">
            <w:pPr>
              <w:pStyle w:val="33"/>
              <w:rPr>
                <w:rFonts w:cs="Times New Roman"/>
                <w:color w:val="auto"/>
                <w:lang w:eastAsia="zh-CN"/>
              </w:rPr>
            </w:pPr>
            <w:r>
              <w:rPr>
                <w:rFonts w:cs="Times New Roman"/>
                <w:color w:val="auto"/>
                <w:lang w:eastAsia="en-US"/>
              </w:rPr>
              <w:t>47.7</w:t>
            </w:r>
          </w:p>
        </w:tc>
        <w:tc>
          <w:tcPr>
            <w:tcW w:w="389" w:type="pct"/>
            <w:vAlign w:val="center"/>
          </w:tcPr>
          <w:p w14:paraId="4C371A99">
            <w:pPr>
              <w:pStyle w:val="33"/>
              <w:rPr>
                <w:rFonts w:cs="Times New Roman"/>
                <w:color w:val="auto"/>
                <w:lang w:eastAsia="en-US"/>
              </w:rPr>
            </w:pPr>
            <w:r>
              <w:rPr>
                <w:rFonts w:cs="Times New Roman"/>
                <w:color w:val="auto"/>
                <w:lang w:eastAsia="en-US"/>
              </w:rPr>
              <w:t>53.9</w:t>
            </w:r>
          </w:p>
        </w:tc>
        <w:tc>
          <w:tcPr>
            <w:tcW w:w="390" w:type="pct"/>
            <w:vAlign w:val="center"/>
          </w:tcPr>
          <w:p w14:paraId="790448A1">
            <w:pPr>
              <w:pStyle w:val="33"/>
              <w:rPr>
                <w:rFonts w:cs="Times New Roman"/>
                <w:color w:val="auto"/>
                <w:lang w:eastAsia="en-US"/>
              </w:rPr>
            </w:pPr>
            <w:r>
              <w:rPr>
                <w:rFonts w:cs="Times New Roman"/>
                <w:color w:val="auto"/>
                <w:lang w:eastAsia="en-US"/>
              </w:rPr>
              <w:t>45.1</w:t>
            </w:r>
          </w:p>
        </w:tc>
        <w:tc>
          <w:tcPr>
            <w:tcW w:w="390" w:type="pct"/>
            <w:vAlign w:val="center"/>
          </w:tcPr>
          <w:p w14:paraId="34633BA7">
            <w:pPr>
              <w:pStyle w:val="33"/>
              <w:rPr>
                <w:rFonts w:cs="Times New Roman"/>
                <w:color w:val="auto"/>
                <w:lang w:eastAsia="en-US"/>
              </w:rPr>
            </w:pPr>
            <w:r>
              <w:rPr>
                <w:rFonts w:cs="Times New Roman"/>
                <w:color w:val="auto"/>
                <w:lang w:eastAsia="en-US"/>
              </w:rPr>
              <w:t>53.7</w:t>
            </w:r>
          </w:p>
        </w:tc>
        <w:tc>
          <w:tcPr>
            <w:tcW w:w="390" w:type="pct"/>
            <w:vAlign w:val="center"/>
          </w:tcPr>
          <w:p w14:paraId="5DF4568C">
            <w:pPr>
              <w:pStyle w:val="33"/>
              <w:rPr>
                <w:rFonts w:cs="Times New Roman"/>
                <w:color w:val="auto"/>
                <w:lang w:eastAsia="en-US"/>
              </w:rPr>
            </w:pPr>
            <w:r>
              <w:rPr>
                <w:rFonts w:cs="Times New Roman"/>
                <w:color w:val="auto"/>
                <w:lang w:eastAsia="en-US"/>
              </w:rPr>
              <w:t>45.8</w:t>
            </w:r>
          </w:p>
        </w:tc>
        <w:tc>
          <w:tcPr>
            <w:tcW w:w="389" w:type="pct"/>
            <w:vAlign w:val="center"/>
          </w:tcPr>
          <w:p w14:paraId="01A933BF">
            <w:pPr>
              <w:pStyle w:val="33"/>
              <w:rPr>
                <w:rFonts w:cs="Times New Roman"/>
                <w:color w:val="auto"/>
                <w:lang w:eastAsia="en-US"/>
              </w:rPr>
            </w:pPr>
            <w:r>
              <w:rPr>
                <w:rFonts w:cs="Times New Roman"/>
                <w:color w:val="auto"/>
                <w:lang w:eastAsia="en-US"/>
              </w:rPr>
              <w:t>54.6</w:t>
            </w:r>
          </w:p>
        </w:tc>
        <w:tc>
          <w:tcPr>
            <w:tcW w:w="389" w:type="pct"/>
            <w:vAlign w:val="center"/>
          </w:tcPr>
          <w:p w14:paraId="5332D5AA">
            <w:pPr>
              <w:pStyle w:val="33"/>
              <w:rPr>
                <w:rFonts w:cs="Times New Roman"/>
                <w:color w:val="auto"/>
                <w:lang w:eastAsia="en-US"/>
              </w:rPr>
            </w:pPr>
            <w:r>
              <w:rPr>
                <w:rFonts w:cs="Times New Roman"/>
                <w:color w:val="auto"/>
                <w:lang w:eastAsia="en-US"/>
              </w:rPr>
              <w:t>45.4</w:t>
            </w:r>
          </w:p>
        </w:tc>
        <w:tc>
          <w:tcPr>
            <w:tcW w:w="312" w:type="pct"/>
            <w:vMerge w:val="continue"/>
            <w:vAlign w:val="center"/>
          </w:tcPr>
          <w:p w14:paraId="603BCC33">
            <w:pPr>
              <w:pStyle w:val="33"/>
              <w:rPr>
                <w:rFonts w:cs="Times New Roman"/>
                <w:color w:val="auto"/>
                <w:lang w:eastAsia="en-US"/>
              </w:rPr>
            </w:pPr>
          </w:p>
        </w:tc>
        <w:tc>
          <w:tcPr>
            <w:tcW w:w="389" w:type="pct"/>
            <w:vMerge w:val="continue"/>
            <w:vAlign w:val="center"/>
          </w:tcPr>
          <w:p w14:paraId="7115A5FA">
            <w:pPr>
              <w:pStyle w:val="33"/>
              <w:rPr>
                <w:rFonts w:cs="Times New Roman"/>
                <w:color w:val="auto"/>
                <w:lang w:eastAsia="en-US"/>
              </w:rPr>
            </w:pPr>
          </w:p>
        </w:tc>
        <w:tc>
          <w:tcPr>
            <w:tcW w:w="470" w:type="pct"/>
            <w:vAlign w:val="center"/>
          </w:tcPr>
          <w:p w14:paraId="668D65C6">
            <w:pPr>
              <w:pStyle w:val="33"/>
              <w:rPr>
                <w:rFonts w:cs="Times New Roman"/>
                <w:color w:val="auto"/>
                <w:lang w:eastAsia="en-US"/>
              </w:rPr>
            </w:pPr>
            <w:r>
              <w:rPr>
                <w:rFonts w:hint="eastAsia" w:cs="Times New Roman"/>
                <w:color w:val="auto"/>
                <w:lang w:eastAsia="zh-CN"/>
              </w:rPr>
              <w:t>达标</w:t>
            </w:r>
          </w:p>
        </w:tc>
      </w:tr>
      <w:tr w14:paraId="2B126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0EE41EBD">
            <w:pPr>
              <w:pStyle w:val="33"/>
              <w:rPr>
                <w:rFonts w:cs="Times New Roman"/>
                <w:color w:val="auto"/>
                <w:lang w:eastAsia="en-US"/>
              </w:rPr>
            </w:pPr>
            <w:r>
              <w:rPr>
                <w:rFonts w:cs="Times New Roman"/>
                <w:color w:val="auto"/>
                <w:lang w:eastAsia="en-US"/>
              </w:rPr>
              <w:t>9#厂界北面</w:t>
            </w:r>
          </w:p>
        </w:tc>
        <w:tc>
          <w:tcPr>
            <w:tcW w:w="395" w:type="pct"/>
            <w:vAlign w:val="center"/>
          </w:tcPr>
          <w:p w14:paraId="607BF786">
            <w:pPr>
              <w:pStyle w:val="33"/>
              <w:rPr>
                <w:rFonts w:cs="Times New Roman"/>
                <w:color w:val="auto"/>
                <w:lang w:eastAsia="zh-CN"/>
              </w:rPr>
            </w:pPr>
            <w:r>
              <w:rPr>
                <w:rFonts w:cs="Times New Roman"/>
                <w:color w:val="auto"/>
                <w:lang w:eastAsia="en-US"/>
              </w:rPr>
              <w:t>55.2</w:t>
            </w:r>
          </w:p>
        </w:tc>
        <w:tc>
          <w:tcPr>
            <w:tcW w:w="393" w:type="pct"/>
            <w:vAlign w:val="center"/>
          </w:tcPr>
          <w:p w14:paraId="0ED3B8BC">
            <w:pPr>
              <w:pStyle w:val="33"/>
              <w:rPr>
                <w:rFonts w:cs="Times New Roman"/>
                <w:color w:val="auto"/>
                <w:lang w:eastAsia="zh-CN"/>
              </w:rPr>
            </w:pPr>
            <w:r>
              <w:rPr>
                <w:rFonts w:cs="Times New Roman"/>
                <w:color w:val="auto"/>
                <w:lang w:eastAsia="en-US"/>
              </w:rPr>
              <w:t>48.3</w:t>
            </w:r>
          </w:p>
        </w:tc>
        <w:tc>
          <w:tcPr>
            <w:tcW w:w="389" w:type="pct"/>
            <w:vAlign w:val="center"/>
          </w:tcPr>
          <w:p w14:paraId="6B62AABC">
            <w:pPr>
              <w:pStyle w:val="33"/>
              <w:rPr>
                <w:rFonts w:cs="Times New Roman"/>
                <w:color w:val="auto"/>
                <w:lang w:eastAsia="en-US"/>
              </w:rPr>
            </w:pPr>
            <w:r>
              <w:rPr>
                <w:rFonts w:cs="Times New Roman"/>
                <w:color w:val="auto"/>
                <w:lang w:eastAsia="en-US"/>
              </w:rPr>
              <w:t>58.7</w:t>
            </w:r>
          </w:p>
        </w:tc>
        <w:tc>
          <w:tcPr>
            <w:tcW w:w="390" w:type="pct"/>
            <w:vAlign w:val="center"/>
          </w:tcPr>
          <w:p w14:paraId="433CCF1B">
            <w:pPr>
              <w:pStyle w:val="33"/>
              <w:rPr>
                <w:rFonts w:cs="Times New Roman"/>
                <w:color w:val="auto"/>
                <w:lang w:eastAsia="en-US"/>
              </w:rPr>
            </w:pPr>
            <w:r>
              <w:rPr>
                <w:rFonts w:cs="Times New Roman"/>
                <w:color w:val="auto"/>
                <w:lang w:eastAsia="en-US"/>
              </w:rPr>
              <w:t>49.3</w:t>
            </w:r>
          </w:p>
        </w:tc>
        <w:tc>
          <w:tcPr>
            <w:tcW w:w="390" w:type="pct"/>
            <w:vAlign w:val="center"/>
          </w:tcPr>
          <w:p w14:paraId="0EE20C5D">
            <w:pPr>
              <w:pStyle w:val="33"/>
              <w:rPr>
                <w:rFonts w:cs="Times New Roman"/>
                <w:color w:val="auto"/>
                <w:lang w:eastAsia="en-US"/>
              </w:rPr>
            </w:pPr>
            <w:r>
              <w:rPr>
                <w:rFonts w:cs="Times New Roman"/>
                <w:color w:val="auto"/>
                <w:lang w:eastAsia="en-US"/>
              </w:rPr>
              <w:t>57.9</w:t>
            </w:r>
          </w:p>
        </w:tc>
        <w:tc>
          <w:tcPr>
            <w:tcW w:w="390" w:type="pct"/>
            <w:vAlign w:val="center"/>
          </w:tcPr>
          <w:p w14:paraId="1100FF30">
            <w:pPr>
              <w:pStyle w:val="33"/>
              <w:rPr>
                <w:rFonts w:cs="Times New Roman"/>
                <w:color w:val="auto"/>
                <w:lang w:eastAsia="en-US"/>
              </w:rPr>
            </w:pPr>
            <w:r>
              <w:rPr>
                <w:rFonts w:cs="Times New Roman"/>
                <w:color w:val="auto"/>
                <w:lang w:eastAsia="en-US"/>
              </w:rPr>
              <w:t>48.8</w:t>
            </w:r>
          </w:p>
        </w:tc>
        <w:tc>
          <w:tcPr>
            <w:tcW w:w="389" w:type="pct"/>
            <w:vAlign w:val="center"/>
          </w:tcPr>
          <w:p w14:paraId="6E4A9F23">
            <w:pPr>
              <w:pStyle w:val="33"/>
              <w:rPr>
                <w:rFonts w:cs="Times New Roman"/>
                <w:color w:val="auto"/>
                <w:lang w:eastAsia="en-US"/>
              </w:rPr>
            </w:pPr>
            <w:r>
              <w:rPr>
                <w:rFonts w:cs="Times New Roman"/>
                <w:color w:val="auto"/>
                <w:lang w:eastAsia="en-US"/>
              </w:rPr>
              <w:t>58.8</w:t>
            </w:r>
          </w:p>
        </w:tc>
        <w:tc>
          <w:tcPr>
            <w:tcW w:w="389" w:type="pct"/>
            <w:vAlign w:val="center"/>
          </w:tcPr>
          <w:p w14:paraId="3FC80597">
            <w:pPr>
              <w:pStyle w:val="33"/>
              <w:rPr>
                <w:rFonts w:cs="Times New Roman"/>
                <w:color w:val="auto"/>
                <w:lang w:eastAsia="en-US"/>
              </w:rPr>
            </w:pPr>
            <w:r>
              <w:rPr>
                <w:rFonts w:cs="Times New Roman"/>
                <w:color w:val="auto"/>
                <w:lang w:eastAsia="en-US"/>
              </w:rPr>
              <w:t>47.8</w:t>
            </w:r>
          </w:p>
        </w:tc>
        <w:tc>
          <w:tcPr>
            <w:tcW w:w="312" w:type="pct"/>
            <w:vMerge w:val="restart"/>
            <w:vAlign w:val="center"/>
          </w:tcPr>
          <w:p w14:paraId="778B3FB4">
            <w:pPr>
              <w:pStyle w:val="33"/>
              <w:rPr>
                <w:rFonts w:cs="Times New Roman"/>
                <w:color w:val="auto"/>
                <w:lang w:eastAsia="en-US"/>
              </w:rPr>
            </w:pPr>
            <w:r>
              <w:rPr>
                <w:rFonts w:cs="Times New Roman"/>
                <w:color w:val="auto"/>
                <w:lang w:eastAsia="en-US"/>
              </w:rPr>
              <w:t>65</w:t>
            </w:r>
          </w:p>
        </w:tc>
        <w:tc>
          <w:tcPr>
            <w:tcW w:w="389" w:type="pct"/>
            <w:vMerge w:val="restart"/>
            <w:vAlign w:val="center"/>
          </w:tcPr>
          <w:p w14:paraId="3417D207">
            <w:pPr>
              <w:pStyle w:val="33"/>
              <w:rPr>
                <w:rFonts w:cs="Times New Roman"/>
                <w:color w:val="auto"/>
                <w:lang w:eastAsia="en-US"/>
              </w:rPr>
            </w:pPr>
            <w:r>
              <w:rPr>
                <w:rFonts w:cs="Times New Roman"/>
                <w:color w:val="auto"/>
                <w:lang w:eastAsia="en-US"/>
              </w:rPr>
              <w:t>55</w:t>
            </w:r>
          </w:p>
        </w:tc>
        <w:tc>
          <w:tcPr>
            <w:tcW w:w="470" w:type="pct"/>
            <w:vAlign w:val="center"/>
          </w:tcPr>
          <w:p w14:paraId="10E13747">
            <w:pPr>
              <w:pStyle w:val="33"/>
              <w:rPr>
                <w:rFonts w:cs="Times New Roman"/>
                <w:color w:val="auto"/>
                <w:lang w:eastAsia="en-US"/>
              </w:rPr>
            </w:pPr>
            <w:r>
              <w:rPr>
                <w:rFonts w:hint="eastAsia" w:cs="Times New Roman"/>
                <w:color w:val="auto"/>
                <w:lang w:eastAsia="zh-CN"/>
              </w:rPr>
              <w:t>达标</w:t>
            </w:r>
          </w:p>
        </w:tc>
      </w:tr>
      <w:tr w14:paraId="5DA01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704" w:type="pct"/>
            <w:vAlign w:val="center"/>
          </w:tcPr>
          <w:p w14:paraId="7BC7F1C2">
            <w:pPr>
              <w:pStyle w:val="33"/>
              <w:rPr>
                <w:rFonts w:cs="Times New Roman"/>
                <w:color w:val="auto"/>
                <w:lang w:eastAsia="en-US"/>
              </w:rPr>
            </w:pPr>
            <w:r>
              <w:rPr>
                <w:rFonts w:cs="Times New Roman"/>
                <w:color w:val="auto"/>
                <w:lang w:eastAsia="en-US"/>
              </w:rPr>
              <w:t>10#厂界北面</w:t>
            </w:r>
          </w:p>
        </w:tc>
        <w:tc>
          <w:tcPr>
            <w:tcW w:w="395" w:type="pct"/>
            <w:vAlign w:val="center"/>
          </w:tcPr>
          <w:p w14:paraId="4092902B">
            <w:pPr>
              <w:pStyle w:val="33"/>
              <w:rPr>
                <w:rFonts w:cs="Times New Roman"/>
                <w:color w:val="auto"/>
                <w:lang w:eastAsia="zh-CN"/>
              </w:rPr>
            </w:pPr>
            <w:r>
              <w:rPr>
                <w:rFonts w:cs="Times New Roman"/>
                <w:color w:val="auto"/>
                <w:lang w:eastAsia="en-US"/>
              </w:rPr>
              <w:t>55.9</w:t>
            </w:r>
          </w:p>
        </w:tc>
        <w:tc>
          <w:tcPr>
            <w:tcW w:w="393" w:type="pct"/>
            <w:vAlign w:val="center"/>
          </w:tcPr>
          <w:p w14:paraId="51B1A2A7">
            <w:pPr>
              <w:pStyle w:val="33"/>
              <w:rPr>
                <w:rFonts w:cs="Times New Roman"/>
                <w:color w:val="auto"/>
                <w:lang w:eastAsia="zh-CN"/>
              </w:rPr>
            </w:pPr>
            <w:r>
              <w:rPr>
                <w:rFonts w:cs="Times New Roman"/>
                <w:color w:val="auto"/>
                <w:lang w:eastAsia="en-US"/>
              </w:rPr>
              <w:t>47.5</w:t>
            </w:r>
          </w:p>
        </w:tc>
        <w:tc>
          <w:tcPr>
            <w:tcW w:w="389" w:type="pct"/>
            <w:vAlign w:val="center"/>
          </w:tcPr>
          <w:p w14:paraId="26B9C320">
            <w:pPr>
              <w:pStyle w:val="33"/>
              <w:rPr>
                <w:rFonts w:cs="Times New Roman"/>
                <w:color w:val="auto"/>
                <w:lang w:eastAsia="en-US"/>
              </w:rPr>
            </w:pPr>
            <w:r>
              <w:rPr>
                <w:rFonts w:cs="Times New Roman"/>
                <w:color w:val="auto"/>
                <w:lang w:eastAsia="en-US"/>
              </w:rPr>
              <w:t>58.8</w:t>
            </w:r>
          </w:p>
        </w:tc>
        <w:tc>
          <w:tcPr>
            <w:tcW w:w="390" w:type="pct"/>
            <w:vAlign w:val="center"/>
          </w:tcPr>
          <w:p w14:paraId="3F7F7007">
            <w:pPr>
              <w:pStyle w:val="33"/>
              <w:rPr>
                <w:rFonts w:cs="Times New Roman"/>
                <w:color w:val="auto"/>
                <w:lang w:eastAsia="en-US"/>
              </w:rPr>
            </w:pPr>
            <w:r>
              <w:rPr>
                <w:rFonts w:cs="Times New Roman"/>
                <w:color w:val="auto"/>
                <w:lang w:eastAsia="en-US"/>
              </w:rPr>
              <w:t>48.2</w:t>
            </w:r>
          </w:p>
        </w:tc>
        <w:tc>
          <w:tcPr>
            <w:tcW w:w="390" w:type="pct"/>
            <w:vAlign w:val="center"/>
          </w:tcPr>
          <w:p w14:paraId="16F98860">
            <w:pPr>
              <w:pStyle w:val="33"/>
              <w:rPr>
                <w:rFonts w:cs="Times New Roman"/>
                <w:color w:val="auto"/>
                <w:lang w:eastAsia="en-US"/>
              </w:rPr>
            </w:pPr>
            <w:r>
              <w:rPr>
                <w:rFonts w:cs="Times New Roman"/>
                <w:color w:val="auto"/>
                <w:lang w:eastAsia="en-US"/>
              </w:rPr>
              <w:t>56.9</w:t>
            </w:r>
          </w:p>
        </w:tc>
        <w:tc>
          <w:tcPr>
            <w:tcW w:w="390" w:type="pct"/>
            <w:vAlign w:val="center"/>
          </w:tcPr>
          <w:p w14:paraId="7DF17774">
            <w:pPr>
              <w:pStyle w:val="33"/>
              <w:rPr>
                <w:rFonts w:cs="Times New Roman"/>
                <w:color w:val="auto"/>
                <w:lang w:eastAsia="en-US"/>
              </w:rPr>
            </w:pPr>
            <w:r>
              <w:rPr>
                <w:rFonts w:cs="Times New Roman"/>
                <w:color w:val="auto"/>
                <w:lang w:eastAsia="en-US"/>
              </w:rPr>
              <w:t>49.6</w:t>
            </w:r>
          </w:p>
        </w:tc>
        <w:tc>
          <w:tcPr>
            <w:tcW w:w="389" w:type="pct"/>
            <w:vAlign w:val="center"/>
          </w:tcPr>
          <w:p w14:paraId="3380A044">
            <w:pPr>
              <w:pStyle w:val="33"/>
              <w:rPr>
                <w:rFonts w:cs="Times New Roman"/>
                <w:color w:val="auto"/>
                <w:lang w:eastAsia="en-US"/>
              </w:rPr>
            </w:pPr>
            <w:r>
              <w:rPr>
                <w:rFonts w:cs="Times New Roman"/>
                <w:color w:val="auto"/>
                <w:lang w:eastAsia="en-US"/>
              </w:rPr>
              <w:t>57.9</w:t>
            </w:r>
          </w:p>
        </w:tc>
        <w:tc>
          <w:tcPr>
            <w:tcW w:w="389" w:type="pct"/>
            <w:vAlign w:val="center"/>
          </w:tcPr>
          <w:p w14:paraId="689125BF">
            <w:pPr>
              <w:pStyle w:val="33"/>
              <w:rPr>
                <w:rFonts w:cs="Times New Roman"/>
                <w:color w:val="auto"/>
                <w:lang w:eastAsia="en-US"/>
              </w:rPr>
            </w:pPr>
            <w:r>
              <w:rPr>
                <w:rFonts w:cs="Times New Roman"/>
                <w:color w:val="auto"/>
                <w:lang w:eastAsia="en-US"/>
              </w:rPr>
              <w:t>47.3</w:t>
            </w:r>
          </w:p>
        </w:tc>
        <w:tc>
          <w:tcPr>
            <w:tcW w:w="312" w:type="pct"/>
            <w:vMerge w:val="continue"/>
            <w:vAlign w:val="center"/>
          </w:tcPr>
          <w:p w14:paraId="2361F072">
            <w:pPr>
              <w:pStyle w:val="33"/>
              <w:rPr>
                <w:rFonts w:cs="Times New Roman"/>
                <w:color w:val="auto"/>
                <w:lang w:eastAsia="en-US"/>
              </w:rPr>
            </w:pPr>
          </w:p>
        </w:tc>
        <w:tc>
          <w:tcPr>
            <w:tcW w:w="389" w:type="pct"/>
            <w:vMerge w:val="continue"/>
            <w:vAlign w:val="center"/>
          </w:tcPr>
          <w:p w14:paraId="7F521A01">
            <w:pPr>
              <w:pStyle w:val="33"/>
              <w:rPr>
                <w:rFonts w:cs="Times New Roman"/>
                <w:color w:val="auto"/>
                <w:lang w:eastAsia="en-US"/>
              </w:rPr>
            </w:pPr>
          </w:p>
        </w:tc>
        <w:tc>
          <w:tcPr>
            <w:tcW w:w="470" w:type="pct"/>
            <w:vAlign w:val="center"/>
          </w:tcPr>
          <w:p w14:paraId="0BBC9B57">
            <w:pPr>
              <w:pStyle w:val="33"/>
              <w:rPr>
                <w:rFonts w:cs="Times New Roman"/>
                <w:color w:val="auto"/>
                <w:lang w:eastAsia="en-US"/>
              </w:rPr>
            </w:pPr>
            <w:r>
              <w:rPr>
                <w:rFonts w:hint="eastAsia" w:cs="Times New Roman"/>
                <w:color w:val="auto"/>
                <w:lang w:eastAsia="zh-CN"/>
              </w:rPr>
              <w:t>达标</w:t>
            </w:r>
          </w:p>
        </w:tc>
      </w:tr>
    </w:tbl>
    <w:p w14:paraId="0F1259B6">
      <w:pPr>
        <w:ind w:firstLine="480"/>
        <w:rPr>
          <w:color w:val="auto"/>
        </w:rPr>
      </w:pPr>
    </w:p>
    <w:p w14:paraId="664B5915">
      <w:pPr>
        <w:pStyle w:val="5"/>
        <w:rPr>
          <w:color w:val="auto"/>
        </w:rPr>
      </w:pPr>
      <w:r>
        <w:rPr>
          <w:color w:val="auto"/>
        </w:rPr>
        <w:t>地下水污染及控制措施</w:t>
      </w:r>
    </w:p>
    <w:p w14:paraId="73A5615A">
      <w:pPr>
        <w:ind w:firstLine="480"/>
        <w:rPr>
          <w:color w:val="auto"/>
        </w:rPr>
      </w:pPr>
      <w:r>
        <w:rPr>
          <w:color w:val="auto"/>
        </w:rPr>
        <w:t>厂区现有工程已经根据相关防渗设计规范采取了严格的防渗、防溢流、防泄漏、防腐蚀等措施</w:t>
      </w:r>
      <w:r>
        <w:rPr>
          <w:color w:val="auto"/>
          <w:spacing w:val="-1"/>
        </w:rPr>
        <w:t>。</w:t>
      </w:r>
    </w:p>
    <w:p w14:paraId="2A94BB06">
      <w:pPr>
        <w:ind w:firstLine="480"/>
        <w:rPr>
          <w:color w:val="auto"/>
        </w:rPr>
      </w:pPr>
      <w:r>
        <w:rPr>
          <w:color w:val="auto"/>
        </w:rPr>
        <w:t>根据《广西金桂浆纸业有限公司年产180万吨高档纸板扩建项目（第一台纸机子项目）竣工环境保护验收监测报告》（已于2023年1月通过自主验收）、《广西金桂浆纸业有限公司年产25万吨丁苯胶乳项目环境影响评价报告</w:t>
      </w:r>
      <w:r>
        <w:rPr>
          <w:rFonts w:hint="eastAsia"/>
          <w:color w:val="auto"/>
        </w:rPr>
        <w:t>书（报批稿）</w:t>
      </w:r>
      <w:r>
        <w:rPr>
          <w:color w:val="auto"/>
        </w:rPr>
        <w:t>》（自贸钦审批环〔2022〕55号）对厂区下游各监测点位的地下水水质监测结果，除厂区及周边地下水背景值偏高的因子（主要为pH、锰超标）外，各监测点的各项监测因子均能达到《地下水质量标准》（GB/T14848-2017）Ⅲ类标准。</w:t>
      </w:r>
      <w:r>
        <w:rPr>
          <w:rFonts w:hint="eastAsia"/>
          <w:color w:val="auto"/>
        </w:rPr>
        <w:t>同时根据金桂浆纸于2025年5月在现有厂区西北角水井、原水厂旁水井、备木主厂房旁水井、行政大门旁水井开展的地下水自行监测结果，各项监测因子均能达到《地下水质量标准》（GB/T14848-2017）Ⅲ类标准</w:t>
      </w:r>
      <w:r>
        <w:rPr>
          <w:color w:val="auto"/>
          <w:spacing w:val="-4"/>
        </w:rPr>
        <w:t>。</w:t>
      </w:r>
    </w:p>
    <w:p w14:paraId="26D79C70">
      <w:pPr>
        <w:ind w:firstLine="480"/>
        <w:rPr>
          <w:color w:val="auto"/>
        </w:rPr>
      </w:pPr>
      <w:r>
        <w:rPr>
          <w:color w:val="auto"/>
        </w:rPr>
        <w:t>由现有工程采取的地下水污染控制措施及厂区周边近年来地下水环境质量监测结果可知，现有工程防渗措施效果较好，未对区域地下水环境质量产生明显不利影响</w:t>
      </w:r>
      <w:r>
        <w:rPr>
          <w:color w:val="auto"/>
          <w:spacing w:val="-2"/>
        </w:rPr>
        <w:t>。</w:t>
      </w:r>
    </w:p>
    <w:p w14:paraId="62B81DD6">
      <w:pPr>
        <w:pStyle w:val="4"/>
        <w:rPr>
          <w:color w:val="auto"/>
        </w:rPr>
      </w:pPr>
      <w:bookmarkStart w:id="164" w:name="_Toc225216676"/>
      <w:bookmarkStart w:id="165" w:name="_Toc221355704"/>
      <w:r>
        <w:rPr>
          <w:color w:val="auto"/>
        </w:rPr>
        <w:t>现有工程主要污染物排放量</w:t>
      </w:r>
      <w:bookmarkEnd w:id="164"/>
    </w:p>
    <w:p w14:paraId="4C5D9014">
      <w:pPr>
        <w:ind w:firstLine="480"/>
        <w:rPr>
          <w:color w:val="auto"/>
        </w:rPr>
      </w:pPr>
      <w:r>
        <w:rPr>
          <w:color w:val="auto"/>
        </w:rPr>
        <w:t>根据企业运行实际情况，2025年各条生产线处于满负荷工况，现有工程主要污染物排放量依据企业</w:t>
      </w:r>
      <w:r>
        <w:rPr>
          <w:rFonts w:hint="eastAsia"/>
          <w:color w:val="auto"/>
        </w:rPr>
        <w:t>2025年在线监测数据、年产75万吨化机浆扩建项目（一期）竣工环境保护验收监测报告，以及常规监测平均值折合</w:t>
      </w:r>
      <w:r>
        <w:rPr>
          <w:color w:val="auto"/>
        </w:rPr>
        <w:t>，详见</w:t>
      </w:r>
      <w:r>
        <w:rPr>
          <w:rFonts w:hint="eastAsia"/>
          <w:color w:val="auto"/>
        </w:rPr>
        <w:t>下表</w:t>
      </w:r>
      <w:r>
        <w:rPr>
          <w:color w:val="auto"/>
        </w:rPr>
        <w:t>。</w:t>
      </w:r>
    </w:p>
    <w:p w14:paraId="3C6D3A57">
      <w:pPr>
        <w:pStyle w:val="7"/>
        <w:rPr>
          <w:color w:val="auto"/>
        </w:rPr>
      </w:pPr>
      <w:r>
        <w:rPr>
          <w:color w:val="auto"/>
        </w:rPr>
        <w:t>现有工程主要污染物排放量</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969"/>
        <w:gridCol w:w="2565"/>
        <w:gridCol w:w="2565"/>
        <w:gridCol w:w="3187"/>
      </w:tblGrid>
      <w:tr w14:paraId="4FD4F3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bottom w:val="single" w:color="000000" w:sz="4" w:space="0"/>
            </w:tcBorders>
            <w:vAlign w:val="center"/>
          </w:tcPr>
          <w:p w14:paraId="4563E4BC">
            <w:pPr>
              <w:pStyle w:val="33"/>
              <w:rPr>
                <w:color w:val="auto"/>
              </w:rPr>
            </w:pPr>
            <w:r>
              <w:rPr>
                <w:color w:val="auto"/>
              </w:rPr>
              <w:t>序号</w:t>
            </w:r>
          </w:p>
        </w:tc>
        <w:tc>
          <w:tcPr>
            <w:tcW w:w="1381" w:type="pct"/>
            <w:tcBorders>
              <w:bottom w:val="single" w:color="000000" w:sz="4" w:space="0"/>
            </w:tcBorders>
            <w:vAlign w:val="center"/>
          </w:tcPr>
          <w:p w14:paraId="244AE4ED">
            <w:pPr>
              <w:pStyle w:val="33"/>
              <w:rPr>
                <w:color w:val="auto"/>
                <w:spacing w:val="-11"/>
              </w:rPr>
            </w:pPr>
            <w:r>
              <w:rPr>
                <w:rFonts w:hint="eastAsia"/>
                <w:color w:val="auto"/>
                <w:spacing w:val="-11"/>
              </w:rPr>
              <w:t>类别</w:t>
            </w:r>
          </w:p>
        </w:tc>
        <w:tc>
          <w:tcPr>
            <w:tcW w:w="1381" w:type="pct"/>
            <w:tcBorders>
              <w:bottom w:val="single" w:color="000000" w:sz="4" w:space="0"/>
            </w:tcBorders>
            <w:vAlign w:val="center"/>
          </w:tcPr>
          <w:p w14:paraId="683D2FC3">
            <w:pPr>
              <w:pStyle w:val="33"/>
              <w:rPr>
                <w:color w:val="auto"/>
              </w:rPr>
            </w:pPr>
            <w:r>
              <w:rPr>
                <w:color w:val="auto"/>
                <w:spacing w:val="-11"/>
              </w:rPr>
              <w:t>内容</w:t>
            </w:r>
          </w:p>
        </w:tc>
        <w:tc>
          <w:tcPr>
            <w:tcW w:w="1716" w:type="pct"/>
            <w:tcBorders>
              <w:bottom w:val="single" w:color="000000" w:sz="4" w:space="0"/>
            </w:tcBorders>
            <w:vAlign w:val="center"/>
          </w:tcPr>
          <w:p w14:paraId="0E5E399D">
            <w:pPr>
              <w:pStyle w:val="33"/>
              <w:rPr>
                <w:color w:val="auto"/>
              </w:rPr>
            </w:pPr>
            <w:r>
              <w:rPr>
                <w:color w:val="auto"/>
              </w:rPr>
              <w:t>现有工程排放量</w:t>
            </w:r>
          </w:p>
        </w:tc>
      </w:tr>
      <w:tr w14:paraId="3097BF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378D9F69">
            <w:pPr>
              <w:pStyle w:val="33"/>
              <w:rPr>
                <w:rFonts w:eastAsia="Times New Roman"/>
                <w:color w:val="auto"/>
              </w:rPr>
            </w:pPr>
            <w:r>
              <w:rPr>
                <w:rFonts w:eastAsia="Times New Roman"/>
                <w:color w:val="auto"/>
              </w:rPr>
              <w:t>1</w:t>
            </w:r>
          </w:p>
        </w:tc>
        <w:tc>
          <w:tcPr>
            <w:tcW w:w="1381" w:type="pct"/>
            <w:vMerge w:val="restart"/>
            <w:tcBorders>
              <w:top w:val="single" w:color="000000" w:sz="4" w:space="0"/>
              <w:right w:val="single" w:color="000000" w:sz="4" w:space="0"/>
            </w:tcBorders>
            <w:vAlign w:val="center"/>
          </w:tcPr>
          <w:p w14:paraId="4F293DEF">
            <w:pPr>
              <w:pStyle w:val="33"/>
              <w:rPr>
                <w:rFonts w:eastAsia="Times New Roman"/>
                <w:color w:val="auto"/>
                <w:spacing w:val="-1"/>
              </w:rPr>
            </w:pPr>
            <w:r>
              <w:rPr>
                <w:rFonts w:hint="eastAsia" w:ascii="宋体" w:hAnsi="宋体" w:cs="宋体"/>
                <w:color w:val="auto"/>
                <w:spacing w:val="-1"/>
              </w:rPr>
              <w:t>废水</w:t>
            </w:r>
          </w:p>
        </w:tc>
        <w:tc>
          <w:tcPr>
            <w:tcW w:w="1381" w:type="pct"/>
            <w:tcBorders>
              <w:top w:val="single" w:color="000000" w:sz="4" w:space="0"/>
              <w:left w:val="single" w:color="000000" w:sz="4" w:space="0"/>
              <w:bottom w:val="single" w:color="000000" w:sz="4" w:space="0"/>
            </w:tcBorders>
            <w:vAlign w:val="center"/>
          </w:tcPr>
          <w:p w14:paraId="7C39DBE7">
            <w:pPr>
              <w:pStyle w:val="33"/>
              <w:rPr>
                <w:color w:val="auto"/>
              </w:rPr>
            </w:pPr>
            <w:r>
              <w:rPr>
                <w:rFonts w:hint="eastAsia"/>
                <w:color w:val="auto"/>
              </w:rPr>
              <w:t>废水量（t/d）</w:t>
            </w:r>
          </w:p>
        </w:tc>
        <w:tc>
          <w:tcPr>
            <w:tcW w:w="1716" w:type="pct"/>
            <w:tcBorders>
              <w:top w:val="single" w:color="000000" w:sz="4" w:space="0"/>
              <w:bottom w:val="single" w:color="000000" w:sz="4" w:space="0"/>
            </w:tcBorders>
            <w:vAlign w:val="center"/>
          </w:tcPr>
          <w:p w14:paraId="52B62434">
            <w:pPr>
              <w:pStyle w:val="33"/>
              <w:rPr>
                <w:color w:val="auto"/>
              </w:rPr>
            </w:pPr>
            <w:r>
              <w:rPr>
                <w:color w:val="auto"/>
              </w:rPr>
              <w:t>68427</w:t>
            </w:r>
          </w:p>
        </w:tc>
      </w:tr>
      <w:tr w14:paraId="32BC4D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4893A439">
            <w:pPr>
              <w:pStyle w:val="33"/>
              <w:rPr>
                <w:rFonts w:eastAsia="Times New Roman"/>
                <w:color w:val="auto"/>
              </w:rPr>
            </w:pPr>
          </w:p>
        </w:tc>
        <w:tc>
          <w:tcPr>
            <w:tcW w:w="1381" w:type="pct"/>
            <w:vMerge w:val="continue"/>
            <w:tcBorders>
              <w:top w:val="single" w:color="000000" w:sz="4" w:space="0"/>
              <w:right w:val="single" w:color="000000" w:sz="4" w:space="0"/>
            </w:tcBorders>
            <w:vAlign w:val="center"/>
          </w:tcPr>
          <w:p w14:paraId="63100D13">
            <w:pPr>
              <w:pStyle w:val="33"/>
              <w:rPr>
                <w:rFonts w:hint="eastAsia" w:ascii="宋体" w:hAnsi="宋体" w:cs="宋体"/>
                <w:color w:val="auto"/>
                <w:spacing w:val="-1"/>
              </w:rPr>
            </w:pPr>
          </w:p>
        </w:tc>
        <w:tc>
          <w:tcPr>
            <w:tcW w:w="1381" w:type="pct"/>
            <w:tcBorders>
              <w:top w:val="single" w:color="000000" w:sz="4" w:space="0"/>
              <w:left w:val="single" w:color="000000" w:sz="4" w:space="0"/>
              <w:bottom w:val="single" w:color="000000" w:sz="4" w:space="0"/>
            </w:tcBorders>
            <w:vAlign w:val="center"/>
          </w:tcPr>
          <w:p w14:paraId="79D28118">
            <w:pPr>
              <w:pStyle w:val="33"/>
              <w:rPr>
                <w:rFonts w:eastAsia="Times New Roman"/>
                <w:color w:val="auto"/>
                <w:spacing w:val="-1"/>
              </w:rPr>
            </w:pPr>
            <w:r>
              <w:rPr>
                <w:rFonts w:eastAsia="Times New Roman"/>
                <w:color w:val="auto"/>
                <w:spacing w:val="-1"/>
              </w:rPr>
              <w:t>COD</w:t>
            </w:r>
            <w:r>
              <w:rPr>
                <w:rFonts w:eastAsia="Times New Roman"/>
                <w:color w:val="auto"/>
                <w:spacing w:val="-1"/>
                <w:position w:val="-1"/>
                <w:sz w:val="14"/>
                <w:szCs w:val="14"/>
              </w:rPr>
              <w:t>Cr</w:t>
            </w:r>
            <w:r>
              <w:rPr>
                <w:color w:val="auto"/>
                <w:spacing w:val="-1"/>
              </w:rPr>
              <w:t>（</w:t>
            </w:r>
            <w:r>
              <w:rPr>
                <w:rFonts w:eastAsia="Times New Roman"/>
                <w:color w:val="auto"/>
                <w:spacing w:val="-1"/>
              </w:rPr>
              <w:t>t/a</w:t>
            </w:r>
            <w:r>
              <w:rPr>
                <w:color w:val="auto"/>
                <w:spacing w:val="-1"/>
              </w:rPr>
              <w:t>）</w:t>
            </w:r>
          </w:p>
        </w:tc>
        <w:tc>
          <w:tcPr>
            <w:tcW w:w="1716" w:type="pct"/>
            <w:tcBorders>
              <w:top w:val="single" w:color="000000" w:sz="4" w:space="0"/>
              <w:bottom w:val="single" w:color="000000" w:sz="4" w:space="0"/>
            </w:tcBorders>
            <w:vAlign w:val="center"/>
          </w:tcPr>
          <w:p w14:paraId="1BAF64D7">
            <w:pPr>
              <w:pStyle w:val="33"/>
              <w:rPr>
                <w:color w:val="auto"/>
              </w:rPr>
            </w:pPr>
            <w:r>
              <w:rPr>
                <w:color w:val="auto"/>
              </w:rPr>
              <w:t>816.83</w:t>
            </w:r>
          </w:p>
        </w:tc>
      </w:tr>
      <w:tr w14:paraId="5B92D5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7D07EFF7">
            <w:pPr>
              <w:pStyle w:val="33"/>
              <w:rPr>
                <w:rFonts w:eastAsia="Times New Roman"/>
                <w:color w:val="auto"/>
              </w:rPr>
            </w:pPr>
            <w:r>
              <w:rPr>
                <w:rFonts w:eastAsia="Times New Roman"/>
                <w:color w:val="auto"/>
              </w:rPr>
              <w:t>2</w:t>
            </w:r>
          </w:p>
        </w:tc>
        <w:tc>
          <w:tcPr>
            <w:tcW w:w="1381" w:type="pct"/>
            <w:vMerge w:val="continue"/>
            <w:tcBorders>
              <w:right w:val="single" w:color="000000" w:sz="4" w:space="0"/>
            </w:tcBorders>
            <w:vAlign w:val="center"/>
          </w:tcPr>
          <w:p w14:paraId="348DE4DF">
            <w:pPr>
              <w:pStyle w:val="33"/>
              <w:rPr>
                <w:rFonts w:eastAsia="Times New Roman"/>
                <w:color w:val="auto"/>
                <w:spacing w:val="-1"/>
              </w:rPr>
            </w:pPr>
          </w:p>
        </w:tc>
        <w:tc>
          <w:tcPr>
            <w:tcW w:w="1381" w:type="pct"/>
            <w:tcBorders>
              <w:top w:val="single" w:color="000000" w:sz="4" w:space="0"/>
              <w:left w:val="single" w:color="000000" w:sz="4" w:space="0"/>
              <w:bottom w:val="single" w:color="000000" w:sz="4" w:space="0"/>
            </w:tcBorders>
            <w:vAlign w:val="center"/>
          </w:tcPr>
          <w:p w14:paraId="42920884">
            <w:pPr>
              <w:pStyle w:val="33"/>
              <w:rPr>
                <w:color w:val="auto"/>
              </w:rPr>
            </w:pPr>
            <w:r>
              <w:rPr>
                <w:rFonts w:eastAsia="Times New Roman"/>
                <w:color w:val="auto"/>
                <w:spacing w:val="-1"/>
              </w:rPr>
              <w:t>BOD</w:t>
            </w:r>
            <w:r>
              <w:rPr>
                <w:rFonts w:eastAsia="Times New Roman"/>
                <w:color w:val="auto"/>
                <w:spacing w:val="-1"/>
                <w:position w:val="-1"/>
                <w:sz w:val="14"/>
                <w:szCs w:val="14"/>
              </w:rPr>
              <w:t>5</w:t>
            </w:r>
            <w:r>
              <w:rPr>
                <w:color w:val="auto"/>
                <w:spacing w:val="-1"/>
              </w:rPr>
              <w:t>（</w:t>
            </w:r>
            <w:r>
              <w:rPr>
                <w:rFonts w:eastAsia="Times New Roman"/>
                <w:color w:val="auto"/>
                <w:spacing w:val="-1"/>
              </w:rPr>
              <w:t>t/a</w:t>
            </w:r>
            <w:r>
              <w:rPr>
                <w:color w:val="auto"/>
                <w:spacing w:val="-1"/>
              </w:rPr>
              <w:t>）</w:t>
            </w:r>
          </w:p>
        </w:tc>
        <w:tc>
          <w:tcPr>
            <w:tcW w:w="1716" w:type="pct"/>
            <w:tcBorders>
              <w:top w:val="single" w:color="000000" w:sz="4" w:space="0"/>
            </w:tcBorders>
            <w:vAlign w:val="center"/>
          </w:tcPr>
          <w:p w14:paraId="775D910F">
            <w:pPr>
              <w:pStyle w:val="33"/>
              <w:rPr>
                <w:color w:val="auto"/>
              </w:rPr>
            </w:pPr>
            <w:r>
              <w:rPr>
                <w:color w:val="auto"/>
              </w:rPr>
              <w:t>13.44</w:t>
            </w:r>
          </w:p>
        </w:tc>
      </w:tr>
      <w:tr w14:paraId="57DF13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2B23BBBB">
            <w:pPr>
              <w:pStyle w:val="33"/>
              <w:rPr>
                <w:rFonts w:eastAsia="Times New Roman"/>
                <w:color w:val="auto"/>
              </w:rPr>
            </w:pPr>
            <w:r>
              <w:rPr>
                <w:rFonts w:eastAsia="Times New Roman"/>
                <w:color w:val="auto"/>
              </w:rPr>
              <w:t>3</w:t>
            </w:r>
          </w:p>
        </w:tc>
        <w:tc>
          <w:tcPr>
            <w:tcW w:w="1381" w:type="pct"/>
            <w:vMerge w:val="continue"/>
            <w:tcBorders>
              <w:right w:val="single" w:color="000000" w:sz="4" w:space="0"/>
            </w:tcBorders>
            <w:vAlign w:val="center"/>
          </w:tcPr>
          <w:p w14:paraId="14E5C81B">
            <w:pPr>
              <w:pStyle w:val="33"/>
              <w:rPr>
                <w:rFonts w:eastAsia="Times New Roman"/>
                <w:color w:val="auto"/>
                <w:spacing w:val="-2"/>
              </w:rPr>
            </w:pPr>
          </w:p>
        </w:tc>
        <w:tc>
          <w:tcPr>
            <w:tcW w:w="1381" w:type="pct"/>
            <w:tcBorders>
              <w:top w:val="single" w:color="000000" w:sz="4" w:space="0"/>
              <w:left w:val="single" w:color="000000" w:sz="4" w:space="0"/>
              <w:bottom w:val="single" w:color="000000" w:sz="4" w:space="0"/>
            </w:tcBorders>
            <w:vAlign w:val="center"/>
          </w:tcPr>
          <w:p w14:paraId="4E3A7F1C">
            <w:pPr>
              <w:pStyle w:val="33"/>
              <w:rPr>
                <w:color w:val="auto"/>
              </w:rPr>
            </w:pPr>
            <w:r>
              <w:rPr>
                <w:rFonts w:eastAsia="Times New Roman"/>
                <w:color w:val="auto"/>
                <w:spacing w:val="-2"/>
              </w:rPr>
              <w:t>SS</w:t>
            </w:r>
            <w:r>
              <w:rPr>
                <w:color w:val="auto"/>
                <w:spacing w:val="-2"/>
              </w:rPr>
              <w:t>（</w:t>
            </w:r>
            <w:r>
              <w:rPr>
                <w:rFonts w:eastAsia="Times New Roman"/>
                <w:color w:val="auto"/>
                <w:spacing w:val="-2"/>
              </w:rPr>
              <w:t>t/a</w:t>
            </w:r>
            <w:r>
              <w:rPr>
                <w:color w:val="auto"/>
                <w:spacing w:val="-2"/>
              </w:rPr>
              <w:t>）</w:t>
            </w:r>
          </w:p>
        </w:tc>
        <w:tc>
          <w:tcPr>
            <w:tcW w:w="1716" w:type="pct"/>
            <w:vAlign w:val="center"/>
          </w:tcPr>
          <w:p w14:paraId="352B4411">
            <w:pPr>
              <w:pStyle w:val="33"/>
              <w:rPr>
                <w:color w:val="auto"/>
              </w:rPr>
            </w:pPr>
            <w:r>
              <w:rPr>
                <w:color w:val="auto"/>
              </w:rPr>
              <w:t>15.53</w:t>
            </w:r>
          </w:p>
        </w:tc>
      </w:tr>
      <w:tr w14:paraId="5D92FA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23F8E882">
            <w:pPr>
              <w:pStyle w:val="33"/>
              <w:rPr>
                <w:rFonts w:eastAsia="Times New Roman"/>
                <w:color w:val="auto"/>
              </w:rPr>
            </w:pPr>
            <w:r>
              <w:rPr>
                <w:rFonts w:eastAsia="Times New Roman"/>
                <w:color w:val="auto"/>
              </w:rPr>
              <w:t>4</w:t>
            </w:r>
          </w:p>
        </w:tc>
        <w:tc>
          <w:tcPr>
            <w:tcW w:w="1381" w:type="pct"/>
            <w:vMerge w:val="continue"/>
            <w:tcBorders>
              <w:right w:val="single" w:color="000000" w:sz="4" w:space="0"/>
            </w:tcBorders>
            <w:vAlign w:val="center"/>
          </w:tcPr>
          <w:p w14:paraId="1EFC87A3">
            <w:pPr>
              <w:pStyle w:val="33"/>
              <w:rPr>
                <w:color w:val="auto"/>
                <w:spacing w:val="-2"/>
              </w:rPr>
            </w:pPr>
          </w:p>
        </w:tc>
        <w:tc>
          <w:tcPr>
            <w:tcW w:w="1381" w:type="pct"/>
            <w:tcBorders>
              <w:top w:val="single" w:color="000000" w:sz="4" w:space="0"/>
              <w:left w:val="single" w:color="000000" w:sz="4" w:space="0"/>
              <w:bottom w:val="single" w:color="000000" w:sz="4" w:space="0"/>
            </w:tcBorders>
            <w:vAlign w:val="center"/>
          </w:tcPr>
          <w:p w14:paraId="58EC4BD5">
            <w:pPr>
              <w:pStyle w:val="33"/>
              <w:rPr>
                <w:color w:val="auto"/>
              </w:rPr>
            </w:pPr>
            <w:r>
              <w:rPr>
                <w:color w:val="auto"/>
                <w:spacing w:val="-2"/>
              </w:rPr>
              <w:t>氨氮（</w:t>
            </w:r>
            <w:r>
              <w:rPr>
                <w:rFonts w:eastAsia="Times New Roman"/>
                <w:color w:val="auto"/>
                <w:spacing w:val="-2"/>
              </w:rPr>
              <w:t>t/a</w:t>
            </w:r>
            <w:r>
              <w:rPr>
                <w:color w:val="auto"/>
                <w:spacing w:val="-2"/>
              </w:rPr>
              <w:t>）</w:t>
            </w:r>
          </w:p>
        </w:tc>
        <w:tc>
          <w:tcPr>
            <w:tcW w:w="1716" w:type="pct"/>
            <w:vAlign w:val="center"/>
          </w:tcPr>
          <w:p w14:paraId="7C261F7D">
            <w:pPr>
              <w:pStyle w:val="33"/>
              <w:rPr>
                <w:color w:val="auto"/>
              </w:rPr>
            </w:pPr>
            <w:r>
              <w:rPr>
                <w:color w:val="auto"/>
              </w:rPr>
              <w:t>31.51</w:t>
            </w:r>
          </w:p>
        </w:tc>
      </w:tr>
      <w:tr w14:paraId="0ED1D8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6AB1C531">
            <w:pPr>
              <w:pStyle w:val="33"/>
              <w:rPr>
                <w:rFonts w:eastAsia="Times New Roman"/>
                <w:color w:val="auto"/>
              </w:rPr>
            </w:pPr>
            <w:r>
              <w:rPr>
                <w:rFonts w:eastAsia="Times New Roman"/>
                <w:color w:val="auto"/>
              </w:rPr>
              <w:t>5</w:t>
            </w:r>
          </w:p>
        </w:tc>
        <w:tc>
          <w:tcPr>
            <w:tcW w:w="1381" w:type="pct"/>
            <w:vMerge w:val="continue"/>
            <w:tcBorders>
              <w:right w:val="single" w:color="000000" w:sz="4" w:space="0"/>
            </w:tcBorders>
            <w:vAlign w:val="center"/>
          </w:tcPr>
          <w:p w14:paraId="40E6DA3E">
            <w:pPr>
              <w:pStyle w:val="33"/>
              <w:rPr>
                <w:color w:val="auto"/>
                <w:spacing w:val="-2"/>
              </w:rPr>
            </w:pPr>
          </w:p>
        </w:tc>
        <w:tc>
          <w:tcPr>
            <w:tcW w:w="1381" w:type="pct"/>
            <w:tcBorders>
              <w:top w:val="single" w:color="000000" w:sz="4" w:space="0"/>
              <w:left w:val="single" w:color="000000" w:sz="4" w:space="0"/>
              <w:bottom w:val="single" w:color="000000" w:sz="4" w:space="0"/>
            </w:tcBorders>
            <w:vAlign w:val="center"/>
          </w:tcPr>
          <w:p w14:paraId="734F5682">
            <w:pPr>
              <w:pStyle w:val="33"/>
              <w:rPr>
                <w:color w:val="auto"/>
              </w:rPr>
            </w:pPr>
            <w:r>
              <w:rPr>
                <w:color w:val="auto"/>
                <w:spacing w:val="-2"/>
              </w:rPr>
              <w:t>总氮（</w:t>
            </w:r>
            <w:r>
              <w:rPr>
                <w:rFonts w:eastAsia="Times New Roman"/>
                <w:color w:val="auto"/>
                <w:spacing w:val="-2"/>
              </w:rPr>
              <w:t>t/a</w:t>
            </w:r>
            <w:r>
              <w:rPr>
                <w:color w:val="auto"/>
                <w:spacing w:val="-2"/>
              </w:rPr>
              <w:t>）</w:t>
            </w:r>
          </w:p>
        </w:tc>
        <w:tc>
          <w:tcPr>
            <w:tcW w:w="1716" w:type="pct"/>
            <w:vAlign w:val="center"/>
          </w:tcPr>
          <w:p w14:paraId="45B6BF33">
            <w:pPr>
              <w:pStyle w:val="33"/>
              <w:rPr>
                <w:color w:val="auto"/>
              </w:rPr>
            </w:pPr>
            <w:r>
              <w:rPr>
                <w:color w:val="auto"/>
              </w:rPr>
              <w:t>83.15</w:t>
            </w:r>
          </w:p>
        </w:tc>
      </w:tr>
      <w:tr w14:paraId="74B84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top w:val="single" w:color="000000" w:sz="4" w:space="0"/>
              <w:bottom w:val="single" w:color="000000" w:sz="4" w:space="0"/>
              <w:right w:val="single" w:color="000000" w:sz="4" w:space="0"/>
            </w:tcBorders>
            <w:vAlign w:val="center"/>
          </w:tcPr>
          <w:p w14:paraId="237233D3">
            <w:pPr>
              <w:pStyle w:val="33"/>
              <w:rPr>
                <w:rFonts w:eastAsia="Times New Roman"/>
                <w:color w:val="auto"/>
              </w:rPr>
            </w:pPr>
            <w:r>
              <w:rPr>
                <w:rFonts w:eastAsia="Times New Roman"/>
                <w:color w:val="auto"/>
              </w:rPr>
              <w:t>6</w:t>
            </w:r>
          </w:p>
        </w:tc>
        <w:tc>
          <w:tcPr>
            <w:tcW w:w="1381" w:type="pct"/>
            <w:vMerge w:val="continue"/>
            <w:tcBorders>
              <w:bottom w:val="single" w:color="000000" w:sz="4" w:space="0"/>
              <w:right w:val="single" w:color="000000" w:sz="4" w:space="0"/>
            </w:tcBorders>
            <w:vAlign w:val="center"/>
          </w:tcPr>
          <w:p w14:paraId="6F3AEA5C">
            <w:pPr>
              <w:pStyle w:val="33"/>
              <w:rPr>
                <w:color w:val="auto"/>
                <w:spacing w:val="-2"/>
              </w:rPr>
            </w:pPr>
          </w:p>
        </w:tc>
        <w:tc>
          <w:tcPr>
            <w:tcW w:w="1381" w:type="pct"/>
            <w:tcBorders>
              <w:top w:val="single" w:color="000000" w:sz="4" w:space="0"/>
              <w:left w:val="single" w:color="000000" w:sz="4" w:space="0"/>
              <w:bottom w:val="single" w:color="000000" w:sz="4" w:space="0"/>
            </w:tcBorders>
            <w:vAlign w:val="center"/>
          </w:tcPr>
          <w:p w14:paraId="423DBAEA">
            <w:pPr>
              <w:pStyle w:val="33"/>
              <w:rPr>
                <w:color w:val="auto"/>
              </w:rPr>
            </w:pPr>
            <w:r>
              <w:rPr>
                <w:color w:val="auto"/>
                <w:spacing w:val="-2"/>
              </w:rPr>
              <w:t>总磷（</w:t>
            </w:r>
            <w:r>
              <w:rPr>
                <w:rFonts w:eastAsia="Times New Roman"/>
                <w:color w:val="auto"/>
                <w:spacing w:val="-2"/>
              </w:rPr>
              <w:t>t/a</w:t>
            </w:r>
            <w:r>
              <w:rPr>
                <w:color w:val="auto"/>
                <w:spacing w:val="-2"/>
              </w:rPr>
              <w:t>）</w:t>
            </w:r>
          </w:p>
        </w:tc>
        <w:tc>
          <w:tcPr>
            <w:tcW w:w="1716" w:type="pct"/>
            <w:tcBorders>
              <w:bottom w:val="single" w:color="000000" w:sz="4" w:space="0"/>
            </w:tcBorders>
            <w:vAlign w:val="center"/>
          </w:tcPr>
          <w:p w14:paraId="553887A3">
            <w:pPr>
              <w:pStyle w:val="33"/>
              <w:rPr>
                <w:color w:val="auto"/>
              </w:rPr>
            </w:pPr>
            <w:r>
              <w:rPr>
                <w:color w:val="auto"/>
              </w:rPr>
              <w:t>0.46</w:t>
            </w:r>
          </w:p>
        </w:tc>
      </w:tr>
      <w:tr w14:paraId="6B7CEF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right w:val="single" w:color="000000" w:sz="4" w:space="0"/>
            </w:tcBorders>
            <w:vAlign w:val="center"/>
          </w:tcPr>
          <w:p w14:paraId="5DDD5882">
            <w:pPr>
              <w:pStyle w:val="33"/>
              <w:rPr>
                <w:rFonts w:eastAsia="Times New Roman"/>
                <w:color w:val="auto"/>
              </w:rPr>
            </w:pPr>
            <w:r>
              <w:rPr>
                <w:rFonts w:eastAsia="Times New Roman"/>
                <w:color w:val="auto"/>
              </w:rPr>
              <w:t>1</w:t>
            </w:r>
          </w:p>
        </w:tc>
        <w:tc>
          <w:tcPr>
            <w:tcW w:w="1381" w:type="pct"/>
            <w:vMerge w:val="restart"/>
            <w:tcBorders>
              <w:right w:val="single" w:color="000000" w:sz="4" w:space="0"/>
            </w:tcBorders>
            <w:vAlign w:val="center"/>
          </w:tcPr>
          <w:p w14:paraId="0F99511D">
            <w:pPr>
              <w:pStyle w:val="33"/>
              <w:rPr>
                <w:rFonts w:eastAsia="Times New Roman"/>
                <w:color w:val="auto"/>
                <w:spacing w:val="-2"/>
              </w:rPr>
            </w:pPr>
            <w:r>
              <w:rPr>
                <w:rFonts w:hint="eastAsia" w:ascii="宋体" w:hAnsi="宋体" w:cs="宋体"/>
                <w:color w:val="auto"/>
                <w:spacing w:val="-2"/>
              </w:rPr>
              <w:t>废气</w:t>
            </w:r>
          </w:p>
        </w:tc>
        <w:tc>
          <w:tcPr>
            <w:tcW w:w="1381" w:type="pct"/>
            <w:tcBorders>
              <w:left w:val="single" w:color="000000" w:sz="4" w:space="0"/>
            </w:tcBorders>
            <w:vAlign w:val="center"/>
          </w:tcPr>
          <w:p w14:paraId="07C98FDE">
            <w:pPr>
              <w:pStyle w:val="33"/>
              <w:rPr>
                <w:color w:val="auto"/>
              </w:rPr>
            </w:pPr>
            <w:r>
              <w:rPr>
                <w:rFonts w:eastAsia="Times New Roman"/>
                <w:color w:val="auto"/>
                <w:spacing w:val="-2"/>
              </w:rPr>
              <w:t>SO</w:t>
            </w:r>
            <w:r>
              <w:rPr>
                <w:rFonts w:eastAsia="Times New Roman"/>
                <w:color w:val="auto"/>
                <w:spacing w:val="-2"/>
                <w:position w:val="-1"/>
                <w:sz w:val="14"/>
                <w:szCs w:val="14"/>
              </w:rPr>
              <w:t>2</w:t>
            </w:r>
            <w:r>
              <w:rPr>
                <w:color w:val="auto"/>
                <w:spacing w:val="-2"/>
              </w:rPr>
              <w:t>（</w:t>
            </w:r>
            <w:r>
              <w:rPr>
                <w:rFonts w:eastAsia="Times New Roman"/>
                <w:color w:val="auto"/>
                <w:spacing w:val="-2"/>
              </w:rPr>
              <w:t>t/a</w:t>
            </w:r>
            <w:r>
              <w:rPr>
                <w:color w:val="auto"/>
                <w:spacing w:val="-2"/>
              </w:rPr>
              <w:t>）</w:t>
            </w:r>
          </w:p>
        </w:tc>
        <w:tc>
          <w:tcPr>
            <w:tcW w:w="1716" w:type="pct"/>
            <w:vAlign w:val="center"/>
          </w:tcPr>
          <w:p w14:paraId="5AA0F251">
            <w:pPr>
              <w:pStyle w:val="33"/>
              <w:rPr>
                <w:color w:val="auto"/>
              </w:rPr>
            </w:pPr>
            <w:r>
              <w:rPr>
                <w:color w:val="auto"/>
              </w:rPr>
              <w:t>113.01</w:t>
            </w:r>
          </w:p>
        </w:tc>
      </w:tr>
      <w:tr w14:paraId="17485D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right w:val="single" w:color="000000" w:sz="4" w:space="0"/>
            </w:tcBorders>
            <w:vAlign w:val="center"/>
          </w:tcPr>
          <w:p w14:paraId="330B7E81">
            <w:pPr>
              <w:pStyle w:val="33"/>
              <w:rPr>
                <w:rFonts w:eastAsia="Times New Roman"/>
                <w:color w:val="auto"/>
              </w:rPr>
            </w:pPr>
            <w:r>
              <w:rPr>
                <w:rFonts w:eastAsia="Times New Roman"/>
                <w:color w:val="auto"/>
              </w:rPr>
              <w:t>2</w:t>
            </w:r>
          </w:p>
        </w:tc>
        <w:tc>
          <w:tcPr>
            <w:tcW w:w="1381" w:type="pct"/>
            <w:vMerge w:val="continue"/>
            <w:tcBorders>
              <w:right w:val="single" w:color="000000" w:sz="4" w:space="0"/>
            </w:tcBorders>
            <w:vAlign w:val="center"/>
          </w:tcPr>
          <w:p w14:paraId="5B00E6C4">
            <w:pPr>
              <w:pStyle w:val="33"/>
              <w:rPr>
                <w:color w:val="auto"/>
                <w:spacing w:val="-2"/>
              </w:rPr>
            </w:pPr>
          </w:p>
        </w:tc>
        <w:tc>
          <w:tcPr>
            <w:tcW w:w="1381" w:type="pct"/>
            <w:tcBorders>
              <w:left w:val="single" w:color="000000" w:sz="4" w:space="0"/>
            </w:tcBorders>
            <w:vAlign w:val="center"/>
          </w:tcPr>
          <w:p w14:paraId="4CA1C71E">
            <w:pPr>
              <w:pStyle w:val="33"/>
              <w:rPr>
                <w:color w:val="auto"/>
              </w:rPr>
            </w:pPr>
            <w:r>
              <w:rPr>
                <w:color w:val="auto"/>
                <w:spacing w:val="-2"/>
              </w:rPr>
              <w:t>烟尘（</w:t>
            </w:r>
            <w:r>
              <w:rPr>
                <w:rFonts w:eastAsia="Times New Roman"/>
                <w:color w:val="auto"/>
                <w:spacing w:val="-2"/>
              </w:rPr>
              <w:t>t/a</w:t>
            </w:r>
            <w:r>
              <w:rPr>
                <w:color w:val="auto"/>
                <w:spacing w:val="-2"/>
              </w:rPr>
              <w:t>）</w:t>
            </w:r>
          </w:p>
        </w:tc>
        <w:tc>
          <w:tcPr>
            <w:tcW w:w="1716" w:type="pct"/>
            <w:vAlign w:val="center"/>
          </w:tcPr>
          <w:p w14:paraId="7560A289">
            <w:pPr>
              <w:pStyle w:val="33"/>
              <w:rPr>
                <w:color w:val="auto"/>
              </w:rPr>
            </w:pPr>
            <w:r>
              <w:rPr>
                <w:color w:val="auto"/>
              </w:rPr>
              <w:t>34.92</w:t>
            </w:r>
          </w:p>
        </w:tc>
      </w:tr>
      <w:tr w14:paraId="307341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right w:val="single" w:color="000000" w:sz="4" w:space="0"/>
            </w:tcBorders>
            <w:vAlign w:val="center"/>
          </w:tcPr>
          <w:p w14:paraId="4E34072B">
            <w:pPr>
              <w:pStyle w:val="33"/>
              <w:rPr>
                <w:rFonts w:eastAsia="Times New Roman"/>
                <w:color w:val="auto"/>
              </w:rPr>
            </w:pPr>
            <w:r>
              <w:rPr>
                <w:rFonts w:eastAsia="Times New Roman"/>
                <w:color w:val="auto"/>
              </w:rPr>
              <w:t>3</w:t>
            </w:r>
          </w:p>
        </w:tc>
        <w:tc>
          <w:tcPr>
            <w:tcW w:w="1381" w:type="pct"/>
            <w:vMerge w:val="continue"/>
            <w:tcBorders>
              <w:right w:val="single" w:color="000000" w:sz="4" w:space="0"/>
            </w:tcBorders>
            <w:vAlign w:val="center"/>
          </w:tcPr>
          <w:p w14:paraId="3D03D2CA">
            <w:pPr>
              <w:pStyle w:val="33"/>
              <w:rPr>
                <w:rFonts w:eastAsia="Times New Roman"/>
                <w:color w:val="auto"/>
              </w:rPr>
            </w:pPr>
          </w:p>
        </w:tc>
        <w:tc>
          <w:tcPr>
            <w:tcW w:w="1381" w:type="pct"/>
            <w:tcBorders>
              <w:left w:val="single" w:color="000000" w:sz="4" w:space="0"/>
            </w:tcBorders>
            <w:vAlign w:val="center"/>
          </w:tcPr>
          <w:p w14:paraId="56BA64E0">
            <w:pPr>
              <w:pStyle w:val="33"/>
              <w:rPr>
                <w:color w:val="auto"/>
              </w:rPr>
            </w:pPr>
            <w:r>
              <w:rPr>
                <w:rFonts w:eastAsia="Times New Roman"/>
                <w:color w:val="auto"/>
              </w:rPr>
              <w:t>NO</w:t>
            </w:r>
            <w:r>
              <w:rPr>
                <w:rFonts w:eastAsia="Times New Roman"/>
                <w:color w:val="auto"/>
                <w:position w:val="-1"/>
                <w:sz w:val="14"/>
                <w:szCs w:val="14"/>
              </w:rPr>
              <w:t>X</w:t>
            </w:r>
            <w:r>
              <w:rPr>
                <w:color w:val="auto"/>
              </w:rPr>
              <w:t>（</w:t>
            </w:r>
            <w:r>
              <w:rPr>
                <w:rFonts w:eastAsia="Times New Roman"/>
                <w:color w:val="auto"/>
              </w:rPr>
              <w:t>t/a</w:t>
            </w:r>
            <w:r>
              <w:rPr>
                <w:color w:val="auto"/>
              </w:rPr>
              <w:t>）</w:t>
            </w:r>
          </w:p>
        </w:tc>
        <w:tc>
          <w:tcPr>
            <w:tcW w:w="1716" w:type="pct"/>
            <w:vAlign w:val="center"/>
          </w:tcPr>
          <w:p w14:paraId="47BCC8E1">
            <w:pPr>
              <w:pStyle w:val="33"/>
              <w:rPr>
                <w:color w:val="auto"/>
              </w:rPr>
            </w:pPr>
            <w:r>
              <w:rPr>
                <w:color w:val="auto"/>
              </w:rPr>
              <w:t>631.23</w:t>
            </w:r>
          </w:p>
        </w:tc>
      </w:tr>
      <w:tr w14:paraId="39A638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22" w:type="pct"/>
            <w:tcBorders>
              <w:right w:val="single" w:color="000000" w:sz="4" w:space="0"/>
            </w:tcBorders>
            <w:vAlign w:val="center"/>
          </w:tcPr>
          <w:p w14:paraId="50B6A5F4">
            <w:pPr>
              <w:pStyle w:val="33"/>
              <w:rPr>
                <w:rFonts w:eastAsia="Times New Roman"/>
                <w:color w:val="auto"/>
              </w:rPr>
            </w:pPr>
            <w:r>
              <w:rPr>
                <w:rFonts w:eastAsia="Times New Roman"/>
                <w:color w:val="auto"/>
              </w:rPr>
              <w:t>4</w:t>
            </w:r>
          </w:p>
        </w:tc>
        <w:tc>
          <w:tcPr>
            <w:tcW w:w="1381" w:type="pct"/>
            <w:vMerge w:val="continue"/>
            <w:tcBorders>
              <w:right w:val="single" w:color="000000" w:sz="4" w:space="0"/>
            </w:tcBorders>
            <w:vAlign w:val="center"/>
          </w:tcPr>
          <w:p w14:paraId="0A0959D6">
            <w:pPr>
              <w:pStyle w:val="33"/>
              <w:rPr>
                <w:rFonts w:eastAsia="Times New Roman"/>
                <w:color w:val="auto"/>
                <w:spacing w:val="-1"/>
              </w:rPr>
            </w:pPr>
          </w:p>
        </w:tc>
        <w:tc>
          <w:tcPr>
            <w:tcW w:w="1381" w:type="pct"/>
            <w:tcBorders>
              <w:left w:val="single" w:color="000000" w:sz="4" w:space="0"/>
            </w:tcBorders>
            <w:vAlign w:val="center"/>
          </w:tcPr>
          <w:p w14:paraId="23C81234">
            <w:pPr>
              <w:pStyle w:val="33"/>
              <w:rPr>
                <w:color w:val="auto"/>
              </w:rPr>
            </w:pPr>
            <w:r>
              <w:rPr>
                <w:rFonts w:eastAsia="Times New Roman"/>
                <w:color w:val="auto"/>
                <w:spacing w:val="-1"/>
              </w:rPr>
              <w:t>VOC</w:t>
            </w:r>
            <w:r>
              <w:rPr>
                <w:rFonts w:hint="eastAsia" w:asciiTheme="minorEastAsia" w:hAnsiTheme="minorEastAsia" w:eastAsiaTheme="minorEastAsia"/>
                <w:color w:val="auto"/>
                <w:spacing w:val="-1"/>
              </w:rPr>
              <w:t>s</w:t>
            </w:r>
            <w:r>
              <w:rPr>
                <w:color w:val="auto"/>
                <w:spacing w:val="-1"/>
              </w:rPr>
              <w:t>（</w:t>
            </w:r>
            <w:r>
              <w:rPr>
                <w:rFonts w:eastAsia="Times New Roman"/>
                <w:color w:val="auto"/>
                <w:spacing w:val="-1"/>
              </w:rPr>
              <w:t>t/a</w:t>
            </w:r>
            <w:r>
              <w:rPr>
                <w:color w:val="auto"/>
                <w:spacing w:val="-1"/>
              </w:rPr>
              <w:t>）</w:t>
            </w:r>
          </w:p>
        </w:tc>
        <w:tc>
          <w:tcPr>
            <w:tcW w:w="1716" w:type="pct"/>
            <w:vAlign w:val="center"/>
          </w:tcPr>
          <w:p w14:paraId="4D6F15DA">
            <w:pPr>
              <w:pStyle w:val="33"/>
              <w:rPr>
                <w:color w:val="auto"/>
              </w:rPr>
            </w:pPr>
            <w:r>
              <w:rPr>
                <w:rFonts w:hint="eastAsia"/>
                <w:color w:val="auto"/>
              </w:rPr>
              <w:t>0.36</w:t>
            </w:r>
          </w:p>
        </w:tc>
      </w:tr>
    </w:tbl>
    <w:p w14:paraId="57AE9BA9">
      <w:pPr>
        <w:pStyle w:val="3"/>
        <w:rPr>
          <w:color w:val="auto"/>
        </w:rPr>
      </w:pPr>
      <w:bookmarkStart w:id="166" w:name="_Toc225216677"/>
      <w:r>
        <w:rPr>
          <w:color w:val="auto"/>
        </w:rPr>
        <w:t>已批在建项目概况</w:t>
      </w:r>
      <w:bookmarkEnd w:id="165"/>
      <w:bookmarkEnd w:id="166"/>
    </w:p>
    <w:p w14:paraId="60967796">
      <w:pPr>
        <w:pStyle w:val="4"/>
        <w:rPr>
          <w:color w:val="auto"/>
        </w:rPr>
      </w:pPr>
      <w:bookmarkStart w:id="167" w:name="_Toc225216678"/>
      <w:r>
        <w:rPr>
          <w:color w:val="auto"/>
        </w:rPr>
        <w:t>在建年产</w:t>
      </w:r>
      <w:r>
        <w:rPr>
          <w:rFonts w:eastAsia="Times New Roman" w:cs="Times New Roman"/>
          <w:color w:val="auto"/>
        </w:rPr>
        <w:t>180</w:t>
      </w:r>
      <w:r>
        <w:rPr>
          <w:color w:val="auto"/>
        </w:rPr>
        <w:t>万吨高档纸板扩建项目</w:t>
      </w:r>
      <w:bookmarkEnd w:id="167"/>
    </w:p>
    <w:p w14:paraId="0776A37E">
      <w:pPr>
        <w:ind w:firstLine="480"/>
        <w:rPr>
          <w:color w:val="auto"/>
        </w:rPr>
      </w:pPr>
      <w:r>
        <w:rPr>
          <w:color w:val="auto"/>
        </w:rPr>
        <w:t>金桂浆纸在建年产180万吨高档纸板扩建项目（以下简称“已批在建180万吨纸项目”）包括1条90万吨/年高档社会卡</w:t>
      </w:r>
      <w:r>
        <w:rPr>
          <w:rFonts w:hint="eastAsia"/>
          <w:color w:val="auto"/>
        </w:rPr>
        <w:t>纸</w:t>
      </w:r>
      <w:r>
        <w:rPr>
          <w:color w:val="auto"/>
        </w:rPr>
        <w:t>生产线和1条90万吨/年食品卡纸生产线。目前90万吨/年高档社会卡生产线（2#纸机）及污水处理站（2#污水处理站）等相关设施已于2023年1月11日完成自主验收，90万吨/年食品卡纸生产线在建（3#纸机）（以下简称“已批在建3#90万吨食品纸生产线”）</w:t>
      </w:r>
      <w:r>
        <w:rPr>
          <w:color w:val="auto"/>
          <w:spacing w:val="-11"/>
        </w:rPr>
        <w:t>。</w:t>
      </w:r>
      <w:r>
        <w:rPr>
          <w:color w:val="auto"/>
        </w:rPr>
        <w:t>以下主要依据年产180万吨高档纸板扩建项目环评报告给出已批在建3#年产90万吨食品卡纸生产线的相关情况</w:t>
      </w:r>
      <w:r>
        <w:rPr>
          <w:color w:val="auto"/>
          <w:spacing w:val="-4"/>
        </w:rPr>
        <w:t>。</w:t>
      </w:r>
    </w:p>
    <w:p w14:paraId="6D6ABEC2">
      <w:pPr>
        <w:pStyle w:val="5"/>
        <w:rPr>
          <w:color w:val="auto"/>
        </w:rPr>
      </w:pPr>
      <w:r>
        <w:rPr>
          <w:color w:val="auto"/>
        </w:rPr>
        <w:t>基本情况及工程内容</w:t>
      </w:r>
    </w:p>
    <w:p w14:paraId="33251C34">
      <w:pPr>
        <w:ind w:firstLine="480"/>
        <w:rPr>
          <w:color w:val="auto"/>
        </w:rPr>
      </w:pPr>
      <w:r>
        <w:rPr>
          <w:color w:val="auto"/>
        </w:rPr>
        <w:t>已批在建3#90万吨食品纸生产线及相关辅助设施项目组成主要包括2#备浆车间、3#造纸车间等主体工程，3#涂布原料制备车间、3#卷筒包装车间等辅助工程，浆板堆棚等储运工程，煤堆场、15000m</w:t>
      </w:r>
      <w:r>
        <w:rPr>
          <w:rFonts w:hint="eastAsia"/>
          <w:color w:val="auto"/>
          <w:vertAlign w:val="superscript"/>
        </w:rPr>
        <w:t>3</w:t>
      </w:r>
      <w:r>
        <w:rPr>
          <w:color w:val="auto"/>
        </w:rPr>
        <w:t>/d给水处理站等公用工程，具体见</w:t>
      </w:r>
      <w:r>
        <w:rPr>
          <w:rFonts w:hint="eastAsia"/>
          <w:color w:val="auto"/>
        </w:rPr>
        <w:t>下表</w:t>
      </w:r>
      <w:r>
        <w:rPr>
          <w:color w:val="auto"/>
          <w:spacing w:val="-3"/>
        </w:rPr>
        <w:t>。</w:t>
      </w:r>
    </w:p>
    <w:p w14:paraId="31B7B6F5">
      <w:pPr>
        <w:pStyle w:val="7"/>
        <w:rPr>
          <w:color w:val="auto"/>
        </w:rPr>
      </w:pPr>
      <w:r>
        <w:rPr>
          <w:color w:val="auto"/>
        </w:rPr>
        <w:t>已批在建</w:t>
      </w:r>
      <w:r>
        <w:rPr>
          <w:rFonts w:eastAsia="Times New Roman" w:cs="Times New Roman"/>
          <w:color w:val="auto"/>
        </w:rPr>
        <w:t>3#90</w:t>
      </w:r>
      <w:r>
        <w:rPr>
          <w:color w:val="auto"/>
        </w:rPr>
        <w:t>万吨食品纸生产线项目组成一览表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476"/>
        <w:gridCol w:w="2011"/>
        <w:gridCol w:w="6799"/>
      </w:tblGrid>
      <w:tr w14:paraId="41226D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6FF29417">
            <w:pPr>
              <w:pStyle w:val="33"/>
              <w:rPr>
                <w:color w:val="auto"/>
              </w:rPr>
            </w:pPr>
            <w:r>
              <w:rPr>
                <w:color w:val="auto"/>
              </w:rPr>
              <w:t>序号</w:t>
            </w:r>
          </w:p>
        </w:tc>
        <w:tc>
          <w:tcPr>
            <w:tcW w:w="1093" w:type="pct"/>
            <w:vAlign w:val="center"/>
          </w:tcPr>
          <w:p w14:paraId="4828344F">
            <w:pPr>
              <w:pStyle w:val="33"/>
              <w:rPr>
                <w:color w:val="auto"/>
              </w:rPr>
            </w:pPr>
            <w:r>
              <w:rPr>
                <w:color w:val="auto"/>
              </w:rPr>
              <w:t>工程名称</w:t>
            </w:r>
          </w:p>
        </w:tc>
        <w:tc>
          <w:tcPr>
            <w:tcW w:w="3671" w:type="pct"/>
            <w:vAlign w:val="center"/>
          </w:tcPr>
          <w:p w14:paraId="496BA193">
            <w:pPr>
              <w:pStyle w:val="33"/>
              <w:rPr>
                <w:color w:val="auto"/>
              </w:rPr>
            </w:pPr>
            <w:r>
              <w:rPr>
                <w:color w:val="auto"/>
                <w:spacing w:val="-9"/>
              </w:rPr>
              <w:t>内容及规模</w:t>
            </w:r>
          </w:p>
        </w:tc>
      </w:tr>
      <w:tr w14:paraId="74EF75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3"/>
            <w:vAlign w:val="center"/>
          </w:tcPr>
          <w:p w14:paraId="60C80833">
            <w:pPr>
              <w:pStyle w:val="33"/>
              <w:rPr>
                <w:color w:val="auto"/>
              </w:rPr>
            </w:pPr>
            <w:r>
              <w:rPr>
                <w:rFonts w:eastAsia="Times New Roman"/>
                <w:color w:val="auto"/>
                <w:spacing w:val="-5"/>
              </w:rPr>
              <w:t>1</w:t>
            </w:r>
            <w:r>
              <w:rPr>
                <w:color w:val="auto"/>
                <w:spacing w:val="-5"/>
              </w:rPr>
              <w:t>、主体工程</w:t>
            </w:r>
          </w:p>
        </w:tc>
      </w:tr>
      <w:tr w14:paraId="6487E53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217E7B92">
            <w:pPr>
              <w:pStyle w:val="33"/>
              <w:rPr>
                <w:rFonts w:eastAsia="Times New Roman"/>
                <w:color w:val="auto"/>
              </w:rPr>
            </w:pPr>
            <w:r>
              <w:rPr>
                <w:rFonts w:eastAsia="Times New Roman"/>
                <w:color w:val="auto"/>
                <w:spacing w:val="-8"/>
              </w:rPr>
              <w:t>1.1</w:t>
            </w:r>
          </w:p>
        </w:tc>
        <w:tc>
          <w:tcPr>
            <w:tcW w:w="1093" w:type="pct"/>
            <w:vAlign w:val="center"/>
          </w:tcPr>
          <w:p w14:paraId="0C574A90">
            <w:pPr>
              <w:pStyle w:val="33"/>
              <w:rPr>
                <w:color w:val="auto"/>
              </w:rPr>
            </w:pPr>
            <w:r>
              <w:rPr>
                <w:rFonts w:eastAsia="Times New Roman"/>
                <w:color w:val="auto"/>
                <w:spacing w:val="-1"/>
              </w:rPr>
              <w:t>2#</w:t>
            </w:r>
            <w:r>
              <w:rPr>
                <w:color w:val="auto"/>
                <w:spacing w:val="-1"/>
              </w:rPr>
              <w:t>备浆车间</w:t>
            </w:r>
          </w:p>
        </w:tc>
        <w:tc>
          <w:tcPr>
            <w:tcW w:w="3671" w:type="pct"/>
            <w:vAlign w:val="center"/>
          </w:tcPr>
          <w:p w14:paraId="0BD42479">
            <w:pPr>
              <w:pStyle w:val="33"/>
              <w:rPr>
                <w:color w:val="auto"/>
              </w:rPr>
            </w:pPr>
            <w:r>
              <w:rPr>
                <w:color w:val="auto"/>
                <w:spacing w:val="-5"/>
              </w:rPr>
              <w:t>包括四条外购浆板处理线、一条自制湿浆处理线及一条损纸处理线</w:t>
            </w:r>
          </w:p>
        </w:tc>
      </w:tr>
      <w:tr w14:paraId="3C666E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4C72203D">
            <w:pPr>
              <w:pStyle w:val="33"/>
              <w:rPr>
                <w:rFonts w:eastAsia="Times New Roman"/>
                <w:color w:val="auto"/>
              </w:rPr>
            </w:pPr>
            <w:r>
              <w:rPr>
                <w:rFonts w:eastAsia="Times New Roman"/>
                <w:color w:val="auto"/>
                <w:spacing w:val="-8"/>
              </w:rPr>
              <w:t>1.2</w:t>
            </w:r>
          </w:p>
        </w:tc>
        <w:tc>
          <w:tcPr>
            <w:tcW w:w="1093" w:type="pct"/>
            <w:vAlign w:val="center"/>
          </w:tcPr>
          <w:p w14:paraId="514B9E26">
            <w:pPr>
              <w:pStyle w:val="33"/>
              <w:rPr>
                <w:color w:val="auto"/>
              </w:rPr>
            </w:pPr>
            <w:r>
              <w:rPr>
                <w:rFonts w:eastAsia="Times New Roman"/>
                <w:color w:val="auto"/>
                <w:spacing w:val="-2"/>
              </w:rPr>
              <w:t>3#</w:t>
            </w:r>
            <w:r>
              <w:rPr>
                <w:color w:val="auto"/>
                <w:spacing w:val="-2"/>
              </w:rPr>
              <w:t>造纸车间</w:t>
            </w:r>
          </w:p>
        </w:tc>
        <w:tc>
          <w:tcPr>
            <w:tcW w:w="3671" w:type="pct"/>
            <w:vAlign w:val="center"/>
          </w:tcPr>
          <w:p w14:paraId="5CFEF769">
            <w:pPr>
              <w:pStyle w:val="33"/>
              <w:rPr>
                <w:color w:val="auto"/>
              </w:rPr>
            </w:pPr>
            <w:r>
              <w:rPr>
                <w:rFonts w:eastAsia="Times New Roman"/>
                <w:color w:val="auto"/>
                <w:spacing w:val="4"/>
              </w:rPr>
              <w:t>90</w:t>
            </w:r>
            <w:r>
              <w:rPr>
                <w:color w:val="auto"/>
                <w:spacing w:val="4"/>
              </w:rPr>
              <w:t>万</w:t>
            </w:r>
            <w:r>
              <w:rPr>
                <w:rFonts w:eastAsia="Times New Roman"/>
                <w:color w:val="auto"/>
                <w:spacing w:val="4"/>
              </w:rPr>
              <w:t>t/a</w:t>
            </w:r>
            <w:r>
              <w:rPr>
                <w:color w:val="auto"/>
                <w:spacing w:val="4"/>
              </w:rPr>
              <w:t>食品卡纸造纸车间</w:t>
            </w:r>
          </w:p>
        </w:tc>
      </w:tr>
      <w:tr w14:paraId="38E3FB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3"/>
            <w:vAlign w:val="center"/>
          </w:tcPr>
          <w:p w14:paraId="40AFF202">
            <w:pPr>
              <w:pStyle w:val="33"/>
              <w:rPr>
                <w:color w:val="auto"/>
              </w:rPr>
            </w:pPr>
            <w:r>
              <w:rPr>
                <w:rFonts w:eastAsia="Times New Roman"/>
                <w:color w:val="auto"/>
                <w:spacing w:val="-2"/>
              </w:rPr>
              <w:t>2</w:t>
            </w:r>
            <w:r>
              <w:rPr>
                <w:color w:val="auto"/>
                <w:spacing w:val="-2"/>
              </w:rPr>
              <w:t>、辅助工程</w:t>
            </w:r>
          </w:p>
        </w:tc>
      </w:tr>
      <w:tr w14:paraId="7AA2E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1D31C0D2">
            <w:pPr>
              <w:pStyle w:val="33"/>
              <w:rPr>
                <w:rFonts w:eastAsia="Times New Roman"/>
                <w:color w:val="auto"/>
              </w:rPr>
            </w:pPr>
            <w:r>
              <w:rPr>
                <w:rFonts w:eastAsia="Times New Roman"/>
                <w:color w:val="auto"/>
                <w:spacing w:val="-2"/>
              </w:rPr>
              <w:t>2.1</w:t>
            </w:r>
          </w:p>
        </w:tc>
        <w:tc>
          <w:tcPr>
            <w:tcW w:w="1093" w:type="pct"/>
            <w:vAlign w:val="center"/>
          </w:tcPr>
          <w:p w14:paraId="18BEF68F">
            <w:pPr>
              <w:pStyle w:val="33"/>
              <w:rPr>
                <w:color w:val="auto"/>
              </w:rPr>
            </w:pPr>
            <w:r>
              <w:rPr>
                <w:rFonts w:eastAsia="Times New Roman"/>
                <w:color w:val="auto"/>
                <w:spacing w:val="-2"/>
              </w:rPr>
              <w:t>3#</w:t>
            </w:r>
            <w:r>
              <w:rPr>
                <w:color w:val="auto"/>
                <w:spacing w:val="-2"/>
              </w:rPr>
              <w:t>涂布原料制备车间</w:t>
            </w:r>
          </w:p>
        </w:tc>
        <w:tc>
          <w:tcPr>
            <w:tcW w:w="3671" w:type="pct"/>
            <w:vAlign w:val="center"/>
          </w:tcPr>
          <w:p w14:paraId="71057D40">
            <w:pPr>
              <w:pStyle w:val="33"/>
              <w:rPr>
                <w:color w:val="auto"/>
              </w:rPr>
            </w:pPr>
            <w:r>
              <w:rPr>
                <w:color w:val="auto"/>
                <w:spacing w:val="-3"/>
              </w:rPr>
              <w:t>包括破碎、干磨、湿磨工序，规模为</w:t>
            </w:r>
            <w:r>
              <w:rPr>
                <w:rFonts w:eastAsia="Times New Roman"/>
                <w:color w:val="auto"/>
                <w:spacing w:val="-3"/>
              </w:rPr>
              <w:t>700t/d</w:t>
            </w:r>
            <w:r>
              <w:rPr>
                <w:color w:val="auto"/>
                <w:spacing w:val="-3"/>
              </w:rPr>
              <w:t>（</w:t>
            </w:r>
            <w:r>
              <w:rPr>
                <w:rFonts w:eastAsia="Times New Roman"/>
                <w:color w:val="auto"/>
                <w:spacing w:val="-3"/>
              </w:rPr>
              <w:t>23.8</w:t>
            </w:r>
            <w:r>
              <w:rPr>
                <w:color w:val="auto"/>
                <w:spacing w:val="-3"/>
              </w:rPr>
              <w:t>万</w:t>
            </w:r>
            <w:r>
              <w:rPr>
                <w:rFonts w:eastAsia="Times New Roman"/>
                <w:color w:val="auto"/>
                <w:spacing w:val="-3"/>
              </w:rPr>
              <w:t>t/a</w:t>
            </w:r>
            <w:r>
              <w:rPr>
                <w:color w:val="auto"/>
                <w:spacing w:val="-3"/>
              </w:rPr>
              <w:t>）。</w:t>
            </w:r>
          </w:p>
        </w:tc>
      </w:tr>
      <w:tr w14:paraId="101A1E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579213B3">
            <w:pPr>
              <w:pStyle w:val="33"/>
              <w:rPr>
                <w:rFonts w:eastAsia="Times New Roman"/>
                <w:color w:val="auto"/>
              </w:rPr>
            </w:pPr>
            <w:r>
              <w:rPr>
                <w:rFonts w:eastAsia="Times New Roman"/>
                <w:color w:val="auto"/>
                <w:spacing w:val="-2"/>
              </w:rPr>
              <w:t>2.2</w:t>
            </w:r>
          </w:p>
        </w:tc>
        <w:tc>
          <w:tcPr>
            <w:tcW w:w="1093" w:type="pct"/>
            <w:vAlign w:val="center"/>
          </w:tcPr>
          <w:p w14:paraId="1A0AAACC">
            <w:pPr>
              <w:pStyle w:val="33"/>
              <w:rPr>
                <w:color w:val="auto"/>
              </w:rPr>
            </w:pPr>
            <w:r>
              <w:rPr>
                <w:rFonts w:eastAsia="Times New Roman"/>
                <w:color w:val="auto"/>
                <w:spacing w:val="-2"/>
              </w:rPr>
              <w:t>3#</w:t>
            </w:r>
            <w:r>
              <w:rPr>
                <w:color w:val="auto"/>
                <w:spacing w:val="-2"/>
              </w:rPr>
              <w:t>卷筒包装</w:t>
            </w:r>
            <w:r>
              <w:rPr>
                <w:color w:val="auto"/>
                <w:spacing w:val="-3"/>
              </w:rPr>
              <w:t>车间</w:t>
            </w:r>
          </w:p>
        </w:tc>
        <w:tc>
          <w:tcPr>
            <w:tcW w:w="3671" w:type="pct"/>
            <w:vAlign w:val="center"/>
          </w:tcPr>
          <w:p w14:paraId="264715C0">
            <w:pPr>
              <w:pStyle w:val="33"/>
              <w:rPr>
                <w:color w:val="auto"/>
              </w:rPr>
            </w:pPr>
            <w:r>
              <w:rPr>
                <w:color w:val="auto"/>
                <w:spacing w:val="-2"/>
              </w:rPr>
              <w:t>包括</w:t>
            </w:r>
            <w:r>
              <w:rPr>
                <w:rFonts w:eastAsia="Times New Roman"/>
                <w:color w:val="auto"/>
                <w:spacing w:val="-2"/>
              </w:rPr>
              <w:t>2</w:t>
            </w:r>
            <w:r>
              <w:rPr>
                <w:color w:val="auto"/>
                <w:spacing w:val="-2"/>
              </w:rPr>
              <w:t>套全自动包装机，占地面积</w:t>
            </w:r>
            <w:r>
              <w:rPr>
                <w:rFonts w:eastAsia="Times New Roman"/>
                <w:color w:val="auto"/>
                <w:spacing w:val="-2"/>
              </w:rPr>
              <w:t>5400m</w:t>
            </w:r>
            <w:r>
              <w:rPr>
                <w:rFonts w:eastAsia="Times New Roman"/>
                <w:color w:val="auto"/>
                <w:spacing w:val="-2"/>
                <w:position w:val="7"/>
                <w:sz w:val="14"/>
                <w:szCs w:val="14"/>
              </w:rPr>
              <w:t>2</w:t>
            </w:r>
            <w:r>
              <w:rPr>
                <w:color w:val="auto"/>
                <w:spacing w:val="-2"/>
              </w:rPr>
              <w:t>，建筑面积</w:t>
            </w:r>
            <w:r>
              <w:rPr>
                <w:rFonts w:eastAsia="Times New Roman"/>
                <w:color w:val="auto"/>
                <w:spacing w:val="-2"/>
              </w:rPr>
              <w:t>108</w:t>
            </w:r>
            <w:r>
              <w:rPr>
                <w:rFonts w:eastAsia="Times New Roman"/>
                <w:color w:val="auto"/>
                <w:spacing w:val="-3"/>
              </w:rPr>
              <w:t>00m</w:t>
            </w:r>
            <w:r>
              <w:rPr>
                <w:rFonts w:eastAsia="Times New Roman"/>
                <w:color w:val="auto"/>
                <w:spacing w:val="-3"/>
                <w:position w:val="7"/>
                <w:sz w:val="14"/>
                <w:szCs w:val="14"/>
              </w:rPr>
              <w:t>2</w:t>
            </w:r>
            <w:r>
              <w:rPr>
                <w:color w:val="auto"/>
                <w:spacing w:val="-3"/>
              </w:rPr>
              <w:t>。</w:t>
            </w:r>
          </w:p>
        </w:tc>
      </w:tr>
      <w:tr w14:paraId="4B76C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3"/>
            <w:vAlign w:val="center"/>
          </w:tcPr>
          <w:p w14:paraId="55196CFB">
            <w:pPr>
              <w:pStyle w:val="33"/>
              <w:rPr>
                <w:color w:val="auto"/>
              </w:rPr>
            </w:pPr>
            <w:r>
              <w:rPr>
                <w:rFonts w:eastAsia="Times New Roman"/>
                <w:color w:val="auto"/>
                <w:spacing w:val="-3"/>
              </w:rPr>
              <w:t>3</w:t>
            </w:r>
            <w:r>
              <w:rPr>
                <w:color w:val="auto"/>
                <w:spacing w:val="-3"/>
              </w:rPr>
              <w:t>、储运工程</w:t>
            </w:r>
          </w:p>
        </w:tc>
      </w:tr>
      <w:tr w14:paraId="24ADC1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26DDDAE7">
            <w:pPr>
              <w:pStyle w:val="33"/>
              <w:rPr>
                <w:rFonts w:eastAsia="Times New Roman"/>
                <w:color w:val="auto"/>
              </w:rPr>
            </w:pPr>
            <w:r>
              <w:rPr>
                <w:rFonts w:eastAsia="Times New Roman"/>
                <w:color w:val="auto"/>
                <w:spacing w:val="-3"/>
              </w:rPr>
              <w:t>3.1</w:t>
            </w:r>
          </w:p>
        </w:tc>
        <w:tc>
          <w:tcPr>
            <w:tcW w:w="1093" w:type="pct"/>
            <w:vAlign w:val="center"/>
          </w:tcPr>
          <w:p w14:paraId="28238831">
            <w:pPr>
              <w:pStyle w:val="33"/>
              <w:rPr>
                <w:color w:val="auto"/>
              </w:rPr>
            </w:pPr>
            <w:r>
              <w:rPr>
                <w:color w:val="auto"/>
                <w:spacing w:val="-2"/>
              </w:rPr>
              <w:t>浆板堆棚</w:t>
            </w:r>
          </w:p>
        </w:tc>
        <w:tc>
          <w:tcPr>
            <w:tcW w:w="3671" w:type="pct"/>
            <w:vAlign w:val="center"/>
          </w:tcPr>
          <w:p w14:paraId="762C8315">
            <w:pPr>
              <w:pStyle w:val="33"/>
              <w:rPr>
                <w:color w:val="auto"/>
              </w:rPr>
            </w:pPr>
            <w:r>
              <w:rPr>
                <w:rFonts w:eastAsia="Times New Roman"/>
                <w:color w:val="auto"/>
                <w:spacing w:val="-1"/>
              </w:rPr>
              <w:t>2</w:t>
            </w:r>
            <w:r>
              <w:rPr>
                <w:color w:val="auto"/>
                <w:spacing w:val="-1"/>
              </w:rPr>
              <w:t>个，占地面积</w:t>
            </w:r>
            <w:r>
              <w:rPr>
                <w:rFonts w:eastAsia="Times New Roman"/>
                <w:color w:val="auto"/>
                <w:spacing w:val="-1"/>
              </w:rPr>
              <w:t>2</w:t>
            </w:r>
            <w:r>
              <w:rPr>
                <w:color w:val="auto"/>
                <w:spacing w:val="-1"/>
              </w:rPr>
              <w:t>×</w:t>
            </w:r>
            <w:r>
              <w:rPr>
                <w:rFonts w:eastAsia="Times New Roman"/>
                <w:color w:val="auto"/>
                <w:spacing w:val="-1"/>
              </w:rPr>
              <w:t>15980m</w:t>
            </w:r>
            <w:r>
              <w:rPr>
                <w:rFonts w:eastAsia="Times New Roman"/>
                <w:color w:val="auto"/>
                <w:spacing w:val="-1"/>
                <w:position w:val="7"/>
                <w:sz w:val="14"/>
                <w:szCs w:val="14"/>
              </w:rPr>
              <w:t>2</w:t>
            </w:r>
            <w:r>
              <w:rPr>
                <w:color w:val="auto"/>
                <w:spacing w:val="-1"/>
              </w:rPr>
              <w:t>、建筑面积</w:t>
            </w:r>
            <w:r>
              <w:rPr>
                <w:rFonts w:eastAsia="Times New Roman"/>
                <w:color w:val="auto"/>
                <w:spacing w:val="-1"/>
              </w:rPr>
              <w:t>2</w:t>
            </w:r>
            <w:r>
              <w:rPr>
                <w:color w:val="auto"/>
                <w:spacing w:val="-1"/>
              </w:rPr>
              <w:t>×</w:t>
            </w:r>
            <w:r>
              <w:rPr>
                <w:rFonts w:eastAsia="Times New Roman"/>
                <w:color w:val="auto"/>
                <w:spacing w:val="-1"/>
              </w:rPr>
              <w:t>15980m</w:t>
            </w:r>
            <w:r>
              <w:rPr>
                <w:rFonts w:eastAsia="Times New Roman"/>
                <w:color w:val="auto"/>
                <w:spacing w:val="-1"/>
                <w:position w:val="7"/>
                <w:sz w:val="14"/>
                <w:szCs w:val="14"/>
              </w:rPr>
              <w:t>2</w:t>
            </w:r>
            <w:r>
              <w:rPr>
                <w:color w:val="auto"/>
                <w:spacing w:val="-1"/>
              </w:rPr>
              <w:t>。</w:t>
            </w:r>
          </w:p>
        </w:tc>
      </w:tr>
      <w:tr w14:paraId="6E88EE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3"/>
            <w:vAlign w:val="center"/>
          </w:tcPr>
          <w:p w14:paraId="38D8C1A0">
            <w:pPr>
              <w:pStyle w:val="33"/>
              <w:rPr>
                <w:color w:val="auto"/>
              </w:rPr>
            </w:pPr>
            <w:r>
              <w:rPr>
                <w:rFonts w:eastAsia="Times New Roman"/>
                <w:color w:val="auto"/>
                <w:spacing w:val="-2"/>
              </w:rPr>
              <w:t>4</w:t>
            </w:r>
            <w:r>
              <w:rPr>
                <w:color w:val="auto"/>
                <w:spacing w:val="-2"/>
              </w:rPr>
              <w:t>、公用工程</w:t>
            </w:r>
          </w:p>
        </w:tc>
      </w:tr>
      <w:tr w14:paraId="5A40BE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1637E96A">
            <w:pPr>
              <w:pStyle w:val="33"/>
              <w:rPr>
                <w:rFonts w:eastAsia="Times New Roman"/>
                <w:color w:val="auto"/>
              </w:rPr>
            </w:pPr>
            <w:r>
              <w:rPr>
                <w:rFonts w:eastAsia="Times New Roman"/>
                <w:color w:val="auto"/>
                <w:spacing w:val="-1"/>
              </w:rPr>
              <w:t>4.1</w:t>
            </w:r>
          </w:p>
        </w:tc>
        <w:tc>
          <w:tcPr>
            <w:tcW w:w="1093" w:type="pct"/>
            <w:vAlign w:val="center"/>
          </w:tcPr>
          <w:p w14:paraId="7A024745">
            <w:pPr>
              <w:pStyle w:val="33"/>
              <w:rPr>
                <w:color w:val="auto"/>
              </w:rPr>
            </w:pPr>
            <w:r>
              <w:rPr>
                <w:color w:val="auto"/>
                <w:spacing w:val="-2"/>
              </w:rPr>
              <w:t>动力车间</w:t>
            </w:r>
          </w:p>
        </w:tc>
        <w:tc>
          <w:tcPr>
            <w:tcW w:w="3671" w:type="pct"/>
            <w:vAlign w:val="center"/>
          </w:tcPr>
          <w:p w14:paraId="44751202">
            <w:pPr>
              <w:pStyle w:val="33"/>
              <w:rPr>
                <w:color w:val="auto"/>
              </w:rPr>
            </w:pPr>
            <w:r>
              <w:rPr>
                <w:color w:val="auto"/>
                <w:spacing w:val="-3"/>
              </w:rPr>
              <w:t>配套建设封闭式圆形</w:t>
            </w:r>
            <w:r>
              <w:rPr>
                <w:rFonts w:eastAsia="Times New Roman"/>
                <w:color w:val="auto"/>
                <w:spacing w:val="-3"/>
              </w:rPr>
              <w:t>2#</w:t>
            </w:r>
            <w:r>
              <w:rPr>
                <w:color w:val="auto"/>
                <w:spacing w:val="-3"/>
              </w:rPr>
              <w:t>煤场，占地面积</w:t>
            </w:r>
            <w:r>
              <w:rPr>
                <w:rFonts w:eastAsia="Times New Roman"/>
                <w:color w:val="auto"/>
                <w:spacing w:val="-3"/>
              </w:rPr>
              <w:t>7240m</w:t>
            </w:r>
            <w:r>
              <w:rPr>
                <w:rFonts w:eastAsia="Times New Roman"/>
                <w:color w:val="auto"/>
                <w:spacing w:val="-3"/>
                <w:position w:val="7"/>
                <w:sz w:val="14"/>
                <w:szCs w:val="14"/>
              </w:rPr>
              <w:t>2</w:t>
            </w:r>
            <w:r>
              <w:rPr>
                <w:color w:val="auto"/>
              </w:rPr>
              <w:t>，堆场容积</w:t>
            </w:r>
            <w:r>
              <w:rPr>
                <w:rFonts w:eastAsia="Times New Roman"/>
                <w:color w:val="auto"/>
              </w:rPr>
              <w:t>6</w:t>
            </w:r>
            <w:r>
              <w:rPr>
                <w:color w:val="auto"/>
              </w:rPr>
              <w:t>万吨。在现有液氨罐区增加</w:t>
            </w:r>
            <w:r>
              <w:rPr>
                <w:rFonts w:eastAsia="Times New Roman"/>
                <w:color w:val="auto"/>
              </w:rPr>
              <w:t>1</w:t>
            </w:r>
            <w:r>
              <w:rPr>
                <w:color w:val="auto"/>
              </w:rPr>
              <w:t>个</w:t>
            </w:r>
            <w:r>
              <w:rPr>
                <w:rFonts w:eastAsia="Times New Roman"/>
                <w:color w:val="auto"/>
              </w:rPr>
              <w:t>50m</w:t>
            </w:r>
            <w:r>
              <w:rPr>
                <w:rFonts w:eastAsia="Times New Roman"/>
                <w:color w:val="auto"/>
                <w:position w:val="7"/>
                <w:sz w:val="14"/>
                <w:szCs w:val="14"/>
              </w:rPr>
              <w:t>3</w:t>
            </w:r>
            <w:r>
              <w:rPr>
                <w:color w:val="auto"/>
              </w:rPr>
              <w:t>储罐。</w:t>
            </w:r>
          </w:p>
        </w:tc>
      </w:tr>
      <w:tr w14:paraId="41705E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00EA6385">
            <w:pPr>
              <w:pStyle w:val="33"/>
              <w:rPr>
                <w:rFonts w:eastAsia="Times New Roman"/>
                <w:color w:val="auto"/>
              </w:rPr>
            </w:pPr>
            <w:r>
              <w:rPr>
                <w:rFonts w:eastAsia="Times New Roman"/>
                <w:color w:val="auto"/>
                <w:spacing w:val="-1"/>
              </w:rPr>
              <w:t>4.2</w:t>
            </w:r>
          </w:p>
        </w:tc>
        <w:tc>
          <w:tcPr>
            <w:tcW w:w="1093" w:type="pct"/>
            <w:vAlign w:val="center"/>
          </w:tcPr>
          <w:p w14:paraId="3AF8A6BB">
            <w:pPr>
              <w:pStyle w:val="33"/>
              <w:rPr>
                <w:color w:val="auto"/>
              </w:rPr>
            </w:pPr>
            <w:r>
              <w:rPr>
                <w:color w:val="auto"/>
                <w:spacing w:val="-3"/>
              </w:rPr>
              <w:t>给水站</w:t>
            </w:r>
          </w:p>
        </w:tc>
        <w:tc>
          <w:tcPr>
            <w:tcW w:w="3671" w:type="pct"/>
            <w:vAlign w:val="center"/>
          </w:tcPr>
          <w:p w14:paraId="70211D5D">
            <w:pPr>
              <w:pStyle w:val="33"/>
              <w:rPr>
                <w:color w:val="auto"/>
              </w:rPr>
            </w:pPr>
            <w:r>
              <w:rPr>
                <w:color w:val="auto"/>
                <w:spacing w:val="-2"/>
              </w:rPr>
              <w:t>建设</w:t>
            </w:r>
            <w:r>
              <w:rPr>
                <w:rFonts w:eastAsia="Times New Roman"/>
                <w:color w:val="auto"/>
                <w:spacing w:val="-2"/>
              </w:rPr>
              <w:t>1</w:t>
            </w:r>
            <w:r>
              <w:rPr>
                <w:color w:val="auto"/>
                <w:spacing w:val="-2"/>
              </w:rPr>
              <w:t>座</w:t>
            </w:r>
            <w:r>
              <w:rPr>
                <w:rFonts w:eastAsia="Times New Roman"/>
                <w:color w:val="auto"/>
                <w:spacing w:val="-2"/>
              </w:rPr>
              <w:t>15000m</w:t>
            </w:r>
            <w:r>
              <w:rPr>
                <w:color w:val="auto"/>
                <w:spacing w:val="-2"/>
              </w:rPr>
              <w:t>³</w:t>
            </w:r>
            <w:r>
              <w:rPr>
                <w:rFonts w:eastAsia="Times New Roman"/>
                <w:color w:val="auto"/>
                <w:spacing w:val="-2"/>
              </w:rPr>
              <w:t>/d</w:t>
            </w:r>
            <w:r>
              <w:rPr>
                <w:color w:val="auto"/>
                <w:spacing w:val="-2"/>
              </w:rPr>
              <w:t>给水处理站，原水由金窝水库供给。</w:t>
            </w:r>
          </w:p>
        </w:tc>
      </w:tr>
      <w:tr w14:paraId="72EA384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36" w:type="pct"/>
            <w:vAlign w:val="center"/>
          </w:tcPr>
          <w:p w14:paraId="0EE1E17F">
            <w:pPr>
              <w:pStyle w:val="33"/>
              <w:rPr>
                <w:rFonts w:eastAsia="Times New Roman"/>
                <w:color w:val="auto"/>
              </w:rPr>
            </w:pPr>
            <w:r>
              <w:rPr>
                <w:rFonts w:eastAsia="Times New Roman"/>
                <w:color w:val="auto"/>
                <w:spacing w:val="-1"/>
              </w:rPr>
              <w:t>4.3</w:t>
            </w:r>
          </w:p>
        </w:tc>
        <w:tc>
          <w:tcPr>
            <w:tcW w:w="1093" w:type="pct"/>
            <w:vAlign w:val="center"/>
          </w:tcPr>
          <w:p w14:paraId="0A947D56">
            <w:pPr>
              <w:pStyle w:val="33"/>
              <w:rPr>
                <w:color w:val="auto"/>
              </w:rPr>
            </w:pPr>
            <w:r>
              <w:rPr>
                <w:color w:val="auto"/>
                <w:spacing w:val="-3"/>
              </w:rPr>
              <w:t>办公楼</w:t>
            </w:r>
          </w:p>
        </w:tc>
        <w:tc>
          <w:tcPr>
            <w:tcW w:w="3671" w:type="pct"/>
            <w:vAlign w:val="center"/>
          </w:tcPr>
          <w:p w14:paraId="7D99088E">
            <w:pPr>
              <w:pStyle w:val="33"/>
              <w:rPr>
                <w:color w:val="auto"/>
              </w:rPr>
            </w:pPr>
            <w:r>
              <w:rPr>
                <w:color w:val="auto"/>
                <w:spacing w:val="-5"/>
              </w:rPr>
              <w:t>占地面积</w:t>
            </w:r>
            <w:r>
              <w:rPr>
                <w:rFonts w:eastAsia="Times New Roman"/>
                <w:color w:val="auto"/>
                <w:spacing w:val="-5"/>
              </w:rPr>
              <w:t>3000m</w:t>
            </w:r>
            <w:r>
              <w:rPr>
                <w:rFonts w:eastAsia="Times New Roman"/>
                <w:color w:val="auto"/>
                <w:spacing w:val="-5"/>
                <w:position w:val="7"/>
                <w:sz w:val="14"/>
                <w:szCs w:val="14"/>
              </w:rPr>
              <w:t>2</w:t>
            </w:r>
            <w:r>
              <w:rPr>
                <w:color w:val="auto"/>
                <w:spacing w:val="-5"/>
              </w:rPr>
              <w:t>，建筑面积</w:t>
            </w:r>
            <w:r>
              <w:rPr>
                <w:rFonts w:eastAsia="Times New Roman"/>
                <w:color w:val="auto"/>
                <w:spacing w:val="-5"/>
              </w:rPr>
              <w:t>12000m</w:t>
            </w:r>
            <w:r>
              <w:rPr>
                <w:rFonts w:eastAsia="Times New Roman"/>
                <w:color w:val="auto"/>
                <w:spacing w:val="-5"/>
                <w:position w:val="7"/>
                <w:sz w:val="14"/>
                <w:szCs w:val="14"/>
              </w:rPr>
              <w:t>2</w:t>
            </w:r>
            <w:r>
              <w:rPr>
                <w:color w:val="auto"/>
                <w:spacing w:val="-5"/>
              </w:rPr>
              <w:t>。</w:t>
            </w:r>
          </w:p>
        </w:tc>
      </w:tr>
    </w:tbl>
    <w:p w14:paraId="1E7CFB71">
      <w:pPr>
        <w:pStyle w:val="5"/>
        <w:rPr>
          <w:color w:val="auto"/>
        </w:rPr>
      </w:pPr>
      <w:r>
        <w:rPr>
          <w:color w:val="auto"/>
        </w:rPr>
        <w:t>主要原辅料及能源消耗</w:t>
      </w:r>
    </w:p>
    <w:p w14:paraId="3BC6F232">
      <w:pPr>
        <w:ind w:firstLine="480"/>
        <w:rPr>
          <w:color w:val="auto"/>
        </w:rPr>
      </w:pPr>
      <w:r>
        <w:rPr>
          <w:color w:val="auto"/>
        </w:rPr>
        <w:t>已批在建3#90万吨食品纸生产线主要原辅材料消耗情况见</w:t>
      </w:r>
      <w:r>
        <w:rPr>
          <w:rFonts w:hint="eastAsia"/>
          <w:color w:val="auto"/>
        </w:rPr>
        <w:t>下表</w:t>
      </w:r>
      <w:r>
        <w:rPr>
          <w:color w:val="auto"/>
          <w:spacing w:val="-3"/>
        </w:rPr>
        <w:t>。</w:t>
      </w:r>
    </w:p>
    <w:p w14:paraId="5A464154">
      <w:pPr>
        <w:pStyle w:val="7"/>
        <w:rPr>
          <w:color w:val="auto"/>
        </w:rPr>
      </w:pPr>
      <w:r>
        <w:rPr>
          <w:color w:val="auto"/>
        </w:rPr>
        <w:t>已批在建</w:t>
      </w:r>
      <w:r>
        <w:rPr>
          <w:rFonts w:eastAsia="Times New Roman" w:cs="Times New Roman"/>
          <w:color w:val="auto"/>
        </w:rPr>
        <w:t>3#90</w:t>
      </w:r>
      <w:r>
        <w:rPr>
          <w:color w:val="auto"/>
        </w:rPr>
        <w:t>万吨食品纸生产线主要原辅材料消耗</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83"/>
        <w:gridCol w:w="2028"/>
        <w:gridCol w:w="2173"/>
        <w:gridCol w:w="1456"/>
        <w:gridCol w:w="1598"/>
        <w:gridCol w:w="1448"/>
      </w:tblGrid>
      <w:tr w14:paraId="4360F2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restart"/>
            <w:vAlign w:val="center"/>
          </w:tcPr>
          <w:p w14:paraId="54451333">
            <w:pPr>
              <w:pStyle w:val="33"/>
              <w:rPr>
                <w:color w:val="auto"/>
              </w:rPr>
            </w:pPr>
            <w:r>
              <w:rPr>
                <w:rFonts w:hint="eastAsia"/>
                <w:color w:val="auto"/>
              </w:rPr>
              <w:t>序号</w:t>
            </w:r>
          </w:p>
        </w:tc>
        <w:tc>
          <w:tcPr>
            <w:tcW w:w="1092" w:type="pct"/>
            <w:vMerge w:val="restart"/>
            <w:tcBorders>
              <w:bottom w:val="nil"/>
            </w:tcBorders>
            <w:vAlign w:val="center"/>
          </w:tcPr>
          <w:p w14:paraId="78FE63A4">
            <w:pPr>
              <w:pStyle w:val="33"/>
              <w:rPr>
                <w:color w:val="auto"/>
              </w:rPr>
            </w:pPr>
            <w:r>
              <w:rPr>
                <w:color w:val="auto"/>
              </w:rPr>
              <w:t>物料名称</w:t>
            </w:r>
          </w:p>
        </w:tc>
        <w:tc>
          <w:tcPr>
            <w:tcW w:w="1954" w:type="pct"/>
            <w:gridSpan w:val="2"/>
            <w:vAlign w:val="center"/>
          </w:tcPr>
          <w:p w14:paraId="52417BCB">
            <w:pPr>
              <w:pStyle w:val="33"/>
              <w:rPr>
                <w:color w:val="auto"/>
              </w:rPr>
            </w:pPr>
            <w:r>
              <w:rPr>
                <w:color w:val="auto"/>
                <w:spacing w:val="-5"/>
              </w:rPr>
              <w:t>单耗</w:t>
            </w:r>
          </w:p>
        </w:tc>
        <w:tc>
          <w:tcPr>
            <w:tcW w:w="1639" w:type="pct"/>
            <w:gridSpan w:val="2"/>
            <w:vAlign w:val="center"/>
          </w:tcPr>
          <w:p w14:paraId="35370645">
            <w:pPr>
              <w:pStyle w:val="33"/>
              <w:rPr>
                <w:color w:val="auto"/>
              </w:rPr>
            </w:pPr>
            <w:r>
              <w:rPr>
                <w:color w:val="auto"/>
                <w:spacing w:val="-5"/>
              </w:rPr>
              <w:t>年耗</w:t>
            </w:r>
          </w:p>
        </w:tc>
      </w:tr>
      <w:tr w14:paraId="39244E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vAlign w:val="center"/>
          </w:tcPr>
          <w:p w14:paraId="79512261">
            <w:pPr>
              <w:pStyle w:val="33"/>
              <w:rPr>
                <w:color w:val="auto"/>
              </w:rPr>
            </w:pPr>
          </w:p>
        </w:tc>
        <w:tc>
          <w:tcPr>
            <w:tcW w:w="1092" w:type="pct"/>
            <w:vMerge w:val="continue"/>
            <w:tcBorders>
              <w:top w:val="nil"/>
            </w:tcBorders>
            <w:vAlign w:val="center"/>
          </w:tcPr>
          <w:p w14:paraId="38A0E23E">
            <w:pPr>
              <w:pStyle w:val="33"/>
              <w:rPr>
                <w:color w:val="auto"/>
              </w:rPr>
            </w:pPr>
          </w:p>
        </w:tc>
        <w:tc>
          <w:tcPr>
            <w:tcW w:w="1170" w:type="pct"/>
            <w:vAlign w:val="center"/>
          </w:tcPr>
          <w:p w14:paraId="0F1439DF">
            <w:pPr>
              <w:pStyle w:val="33"/>
              <w:rPr>
                <w:color w:val="auto"/>
              </w:rPr>
            </w:pPr>
            <w:r>
              <w:rPr>
                <w:color w:val="auto"/>
                <w:spacing w:val="-5"/>
              </w:rPr>
              <w:t>单位</w:t>
            </w:r>
          </w:p>
        </w:tc>
        <w:tc>
          <w:tcPr>
            <w:tcW w:w="784" w:type="pct"/>
            <w:vAlign w:val="center"/>
          </w:tcPr>
          <w:p w14:paraId="15FCCF38">
            <w:pPr>
              <w:pStyle w:val="33"/>
              <w:rPr>
                <w:color w:val="auto"/>
              </w:rPr>
            </w:pPr>
            <w:r>
              <w:rPr>
                <w:color w:val="auto"/>
                <w:spacing w:val="-5"/>
              </w:rPr>
              <w:t>数量</w:t>
            </w:r>
          </w:p>
        </w:tc>
        <w:tc>
          <w:tcPr>
            <w:tcW w:w="860" w:type="pct"/>
            <w:vAlign w:val="center"/>
          </w:tcPr>
          <w:p w14:paraId="1EA65B75">
            <w:pPr>
              <w:pStyle w:val="33"/>
              <w:rPr>
                <w:color w:val="auto"/>
              </w:rPr>
            </w:pPr>
            <w:r>
              <w:rPr>
                <w:color w:val="auto"/>
                <w:spacing w:val="-5"/>
              </w:rPr>
              <w:t>单位</w:t>
            </w:r>
          </w:p>
        </w:tc>
        <w:tc>
          <w:tcPr>
            <w:tcW w:w="779" w:type="pct"/>
            <w:vAlign w:val="center"/>
          </w:tcPr>
          <w:p w14:paraId="6F0F4F3F">
            <w:pPr>
              <w:pStyle w:val="33"/>
              <w:rPr>
                <w:color w:val="auto"/>
              </w:rPr>
            </w:pPr>
            <w:r>
              <w:rPr>
                <w:color w:val="auto"/>
                <w:spacing w:val="-5"/>
              </w:rPr>
              <w:t>数量</w:t>
            </w:r>
          </w:p>
        </w:tc>
      </w:tr>
      <w:tr w14:paraId="32E903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40EF85EE">
            <w:pPr>
              <w:pStyle w:val="33"/>
              <w:rPr>
                <w:color w:val="auto"/>
                <w:spacing w:val="-3"/>
              </w:rPr>
            </w:pPr>
            <w:r>
              <w:rPr>
                <w:rFonts w:hint="eastAsia"/>
                <w:color w:val="auto"/>
                <w:spacing w:val="-3"/>
              </w:rPr>
              <w:t>1</w:t>
            </w:r>
          </w:p>
        </w:tc>
        <w:tc>
          <w:tcPr>
            <w:tcW w:w="1092" w:type="pct"/>
            <w:vAlign w:val="center"/>
          </w:tcPr>
          <w:p w14:paraId="3FF1E08A">
            <w:pPr>
              <w:pStyle w:val="33"/>
              <w:rPr>
                <w:color w:val="auto"/>
              </w:rPr>
            </w:pPr>
            <w:r>
              <w:rPr>
                <w:color w:val="auto"/>
                <w:spacing w:val="-3"/>
              </w:rPr>
              <w:t>化机浆</w:t>
            </w:r>
          </w:p>
        </w:tc>
        <w:tc>
          <w:tcPr>
            <w:tcW w:w="1170" w:type="pct"/>
            <w:vAlign w:val="center"/>
          </w:tcPr>
          <w:p w14:paraId="3D3FE93F">
            <w:pPr>
              <w:pStyle w:val="33"/>
              <w:rPr>
                <w:color w:val="auto"/>
              </w:rPr>
            </w:pPr>
            <w:r>
              <w:rPr>
                <w:rFonts w:eastAsia="Times New Roman"/>
                <w:color w:val="auto"/>
              </w:rPr>
              <w:t>kg</w:t>
            </w:r>
            <w:r>
              <w:rPr>
                <w:color w:val="auto"/>
                <w:spacing w:val="1"/>
              </w:rPr>
              <w:t>（绝干）</w:t>
            </w:r>
            <w:r>
              <w:rPr>
                <w:rFonts w:eastAsia="Times New Roman"/>
                <w:color w:val="auto"/>
                <w:spacing w:val="1"/>
              </w:rPr>
              <w:t>/t</w:t>
            </w:r>
            <w:r>
              <w:rPr>
                <w:color w:val="auto"/>
                <w:spacing w:val="1"/>
              </w:rPr>
              <w:t>纸</w:t>
            </w:r>
          </w:p>
        </w:tc>
        <w:tc>
          <w:tcPr>
            <w:tcW w:w="784" w:type="pct"/>
            <w:vAlign w:val="center"/>
          </w:tcPr>
          <w:p w14:paraId="57E3EAEE">
            <w:pPr>
              <w:pStyle w:val="33"/>
              <w:rPr>
                <w:rFonts w:eastAsia="Times New Roman"/>
                <w:color w:val="auto"/>
              </w:rPr>
            </w:pPr>
          </w:p>
        </w:tc>
        <w:tc>
          <w:tcPr>
            <w:tcW w:w="860" w:type="pct"/>
            <w:vAlign w:val="center"/>
          </w:tcPr>
          <w:p w14:paraId="5DB88C84">
            <w:pPr>
              <w:pStyle w:val="33"/>
              <w:rPr>
                <w:rFonts w:eastAsia="Times New Roman"/>
                <w:color w:val="auto"/>
              </w:rPr>
            </w:pPr>
            <w:r>
              <w:rPr>
                <w:color w:val="auto"/>
                <w:spacing w:val="-3"/>
              </w:rPr>
              <w:t>万</w:t>
            </w:r>
            <w:r>
              <w:rPr>
                <w:rFonts w:eastAsia="Times New Roman"/>
                <w:color w:val="auto"/>
                <w:spacing w:val="-3"/>
              </w:rPr>
              <w:t>Bdt/a</w:t>
            </w:r>
          </w:p>
        </w:tc>
        <w:tc>
          <w:tcPr>
            <w:tcW w:w="779" w:type="pct"/>
            <w:vAlign w:val="center"/>
          </w:tcPr>
          <w:p w14:paraId="0BF39EEA">
            <w:pPr>
              <w:pStyle w:val="33"/>
              <w:rPr>
                <w:rFonts w:eastAsia="Times New Roman"/>
                <w:color w:val="auto"/>
              </w:rPr>
            </w:pPr>
          </w:p>
        </w:tc>
      </w:tr>
      <w:tr w14:paraId="601C20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3048C230">
            <w:pPr>
              <w:pStyle w:val="33"/>
              <w:rPr>
                <w:color w:val="auto"/>
                <w:spacing w:val="-2"/>
              </w:rPr>
            </w:pPr>
            <w:r>
              <w:rPr>
                <w:rFonts w:hint="eastAsia"/>
                <w:color w:val="auto"/>
                <w:spacing w:val="-2"/>
              </w:rPr>
              <w:t>2</w:t>
            </w:r>
          </w:p>
        </w:tc>
        <w:tc>
          <w:tcPr>
            <w:tcW w:w="1092" w:type="pct"/>
            <w:vAlign w:val="center"/>
          </w:tcPr>
          <w:p w14:paraId="724E8786">
            <w:pPr>
              <w:pStyle w:val="33"/>
              <w:rPr>
                <w:rFonts w:eastAsia="Times New Roman"/>
                <w:color w:val="auto"/>
              </w:rPr>
            </w:pPr>
            <w:r>
              <w:rPr>
                <w:color w:val="auto"/>
                <w:spacing w:val="-2"/>
              </w:rPr>
              <w:t>商品</w:t>
            </w:r>
            <w:r>
              <w:rPr>
                <w:rFonts w:eastAsia="Times New Roman"/>
                <w:color w:val="auto"/>
                <w:spacing w:val="-2"/>
              </w:rPr>
              <w:t>NBKP</w:t>
            </w:r>
          </w:p>
        </w:tc>
        <w:tc>
          <w:tcPr>
            <w:tcW w:w="1170" w:type="pct"/>
            <w:vAlign w:val="center"/>
          </w:tcPr>
          <w:p w14:paraId="49B20296">
            <w:pPr>
              <w:pStyle w:val="33"/>
              <w:rPr>
                <w:color w:val="auto"/>
              </w:rPr>
            </w:pPr>
            <w:r>
              <w:rPr>
                <w:rFonts w:eastAsia="Times New Roman"/>
                <w:color w:val="auto"/>
              </w:rPr>
              <w:t>kg</w:t>
            </w:r>
            <w:r>
              <w:rPr>
                <w:color w:val="auto"/>
                <w:spacing w:val="1"/>
              </w:rPr>
              <w:t>（绝干）</w:t>
            </w:r>
            <w:r>
              <w:rPr>
                <w:rFonts w:eastAsia="Times New Roman"/>
                <w:color w:val="auto"/>
                <w:spacing w:val="1"/>
              </w:rPr>
              <w:t>/t</w:t>
            </w:r>
            <w:r>
              <w:rPr>
                <w:color w:val="auto"/>
                <w:spacing w:val="1"/>
              </w:rPr>
              <w:t>纸</w:t>
            </w:r>
          </w:p>
        </w:tc>
        <w:tc>
          <w:tcPr>
            <w:tcW w:w="784" w:type="pct"/>
            <w:vAlign w:val="center"/>
          </w:tcPr>
          <w:p w14:paraId="4D1A0557">
            <w:pPr>
              <w:pStyle w:val="33"/>
              <w:rPr>
                <w:rFonts w:eastAsia="Times New Roman"/>
                <w:color w:val="auto"/>
              </w:rPr>
            </w:pPr>
          </w:p>
        </w:tc>
        <w:tc>
          <w:tcPr>
            <w:tcW w:w="860" w:type="pct"/>
            <w:vAlign w:val="center"/>
          </w:tcPr>
          <w:p w14:paraId="7A4BB411">
            <w:pPr>
              <w:pStyle w:val="33"/>
              <w:rPr>
                <w:rFonts w:eastAsia="Times New Roman"/>
                <w:color w:val="auto"/>
              </w:rPr>
            </w:pPr>
            <w:r>
              <w:rPr>
                <w:color w:val="auto"/>
                <w:spacing w:val="-3"/>
              </w:rPr>
              <w:t>万</w:t>
            </w:r>
            <w:r>
              <w:rPr>
                <w:rFonts w:eastAsia="Times New Roman"/>
                <w:color w:val="auto"/>
                <w:spacing w:val="-3"/>
              </w:rPr>
              <w:t>Bdt/a</w:t>
            </w:r>
          </w:p>
        </w:tc>
        <w:tc>
          <w:tcPr>
            <w:tcW w:w="779" w:type="pct"/>
            <w:vAlign w:val="center"/>
          </w:tcPr>
          <w:p w14:paraId="4547EBBC">
            <w:pPr>
              <w:pStyle w:val="33"/>
              <w:rPr>
                <w:rFonts w:eastAsia="Times New Roman"/>
                <w:color w:val="auto"/>
              </w:rPr>
            </w:pPr>
          </w:p>
        </w:tc>
      </w:tr>
      <w:tr w14:paraId="465533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321EB2D1">
            <w:pPr>
              <w:pStyle w:val="33"/>
              <w:rPr>
                <w:color w:val="auto"/>
                <w:spacing w:val="-3"/>
              </w:rPr>
            </w:pPr>
            <w:r>
              <w:rPr>
                <w:rFonts w:hint="eastAsia"/>
                <w:color w:val="auto"/>
                <w:spacing w:val="-3"/>
              </w:rPr>
              <w:t>3</w:t>
            </w:r>
          </w:p>
        </w:tc>
        <w:tc>
          <w:tcPr>
            <w:tcW w:w="1092" w:type="pct"/>
            <w:vAlign w:val="center"/>
          </w:tcPr>
          <w:p w14:paraId="5EBEBC36">
            <w:pPr>
              <w:pStyle w:val="33"/>
              <w:rPr>
                <w:rFonts w:eastAsia="Times New Roman"/>
                <w:color w:val="auto"/>
              </w:rPr>
            </w:pPr>
            <w:r>
              <w:rPr>
                <w:color w:val="auto"/>
                <w:spacing w:val="-3"/>
              </w:rPr>
              <w:t>商品</w:t>
            </w:r>
            <w:r>
              <w:rPr>
                <w:rFonts w:eastAsia="Times New Roman"/>
                <w:color w:val="auto"/>
                <w:spacing w:val="-3"/>
              </w:rPr>
              <w:t>LBKP</w:t>
            </w:r>
          </w:p>
        </w:tc>
        <w:tc>
          <w:tcPr>
            <w:tcW w:w="1170" w:type="pct"/>
            <w:vAlign w:val="center"/>
          </w:tcPr>
          <w:p w14:paraId="56475DF9">
            <w:pPr>
              <w:pStyle w:val="33"/>
              <w:rPr>
                <w:color w:val="auto"/>
              </w:rPr>
            </w:pPr>
            <w:r>
              <w:rPr>
                <w:rFonts w:eastAsia="Times New Roman"/>
                <w:color w:val="auto"/>
              </w:rPr>
              <w:t>kg</w:t>
            </w:r>
            <w:r>
              <w:rPr>
                <w:color w:val="auto"/>
                <w:spacing w:val="1"/>
              </w:rPr>
              <w:t>（绝干）</w:t>
            </w:r>
            <w:r>
              <w:rPr>
                <w:rFonts w:eastAsia="Times New Roman"/>
                <w:color w:val="auto"/>
                <w:spacing w:val="1"/>
              </w:rPr>
              <w:t>/t</w:t>
            </w:r>
            <w:r>
              <w:rPr>
                <w:color w:val="auto"/>
                <w:spacing w:val="1"/>
              </w:rPr>
              <w:t>纸</w:t>
            </w:r>
          </w:p>
        </w:tc>
        <w:tc>
          <w:tcPr>
            <w:tcW w:w="784" w:type="pct"/>
            <w:vAlign w:val="center"/>
          </w:tcPr>
          <w:p w14:paraId="0AED0B0D">
            <w:pPr>
              <w:pStyle w:val="33"/>
              <w:rPr>
                <w:rFonts w:eastAsia="Times New Roman"/>
                <w:color w:val="auto"/>
              </w:rPr>
            </w:pPr>
          </w:p>
        </w:tc>
        <w:tc>
          <w:tcPr>
            <w:tcW w:w="860" w:type="pct"/>
            <w:vAlign w:val="center"/>
          </w:tcPr>
          <w:p w14:paraId="42CDB349">
            <w:pPr>
              <w:pStyle w:val="33"/>
              <w:rPr>
                <w:rFonts w:eastAsia="Times New Roman"/>
                <w:color w:val="auto"/>
              </w:rPr>
            </w:pPr>
            <w:r>
              <w:rPr>
                <w:color w:val="auto"/>
                <w:spacing w:val="-3"/>
              </w:rPr>
              <w:t>万</w:t>
            </w:r>
            <w:r>
              <w:rPr>
                <w:rFonts w:eastAsia="Times New Roman"/>
                <w:color w:val="auto"/>
                <w:spacing w:val="-3"/>
              </w:rPr>
              <w:t>Bdt/a</w:t>
            </w:r>
          </w:p>
        </w:tc>
        <w:tc>
          <w:tcPr>
            <w:tcW w:w="779" w:type="pct"/>
            <w:vAlign w:val="center"/>
          </w:tcPr>
          <w:p w14:paraId="6863CEE2">
            <w:pPr>
              <w:pStyle w:val="33"/>
              <w:rPr>
                <w:rFonts w:eastAsia="Times New Roman"/>
                <w:color w:val="auto"/>
              </w:rPr>
            </w:pPr>
          </w:p>
        </w:tc>
      </w:tr>
      <w:tr w14:paraId="7255C4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4DADDBB5">
            <w:pPr>
              <w:pStyle w:val="33"/>
              <w:rPr>
                <w:color w:val="auto"/>
                <w:spacing w:val="-2"/>
              </w:rPr>
            </w:pPr>
            <w:r>
              <w:rPr>
                <w:rFonts w:hint="eastAsia"/>
                <w:color w:val="auto"/>
                <w:spacing w:val="-2"/>
              </w:rPr>
              <w:t>4</w:t>
            </w:r>
          </w:p>
        </w:tc>
        <w:tc>
          <w:tcPr>
            <w:tcW w:w="1092" w:type="pct"/>
            <w:vAlign w:val="center"/>
          </w:tcPr>
          <w:p w14:paraId="21D27BA2">
            <w:pPr>
              <w:pStyle w:val="33"/>
              <w:rPr>
                <w:color w:val="auto"/>
              </w:rPr>
            </w:pPr>
            <w:r>
              <w:rPr>
                <w:color w:val="auto"/>
                <w:spacing w:val="-2"/>
              </w:rPr>
              <w:t>商品化机浆</w:t>
            </w:r>
          </w:p>
        </w:tc>
        <w:tc>
          <w:tcPr>
            <w:tcW w:w="1170" w:type="pct"/>
            <w:vAlign w:val="center"/>
          </w:tcPr>
          <w:p w14:paraId="22DDB744">
            <w:pPr>
              <w:pStyle w:val="33"/>
              <w:rPr>
                <w:color w:val="auto"/>
              </w:rPr>
            </w:pPr>
            <w:r>
              <w:rPr>
                <w:rFonts w:eastAsia="Times New Roman"/>
                <w:color w:val="auto"/>
              </w:rPr>
              <w:t>kg</w:t>
            </w:r>
            <w:r>
              <w:rPr>
                <w:color w:val="auto"/>
                <w:spacing w:val="1"/>
              </w:rPr>
              <w:t>（绝干）</w:t>
            </w:r>
            <w:r>
              <w:rPr>
                <w:rFonts w:eastAsia="Times New Roman"/>
                <w:color w:val="auto"/>
                <w:spacing w:val="1"/>
              </w:rPr>
              <w:t>/t</w:t>
            </w:r>
            <w:r>
              <w:rPr>
                <w:color w:val="auto"/>
                <w:spacing w:val="1"/>
              </w:rPr>
              <w:t>纸</w:t>
            </w:r>
          </w:p>
        </w:tc>
        <w:tc>
          <w:tcPr>
            <w:tcW w:w="784" w:type="pct"/>
            <w:vAlign w:val="center"/>
          </w:tcPr>
          <w:p w14:paraId="2ECC7522">
            <w:pPr>
              <w:pStyle w:val="33"/>
              <w:rPr>
                <w:rFonts w:eastAsia="Times New Roman"/>
                <w:color w:val="auto"/>
              </w:rPr>
            </w:pPr>
          </w:p>
        </w:tc>
        <w:tc>
          <w:tcPr>
            <w:tcW w:w="860" w:type="pct"/>
            <w:vAlign w:val="center"/>
          </w:tcPr>
          <w:p w14:paraId="74B6737D">
            <w:pPr>
              <w:pStyle w:val="33"/>
              <w:rPr>
                <w:rFonts w:eastAsia="Times New Roman"/>
                <w:color w:val="auto"/>
              </w:rPr>
            </w:pPr>
            <w:r>
              <w:rPr>
                <w:color w:val="auto"/>
                <w:spacing w:val="-3"/>
              </w:rPr>
              <w:t>万</w:t>
            </w:r>
            <w:r>
              <w:rPr>
                <w:rFonts w:eastAsia="Times New Roman"/>
                <w:color w:val="auto"/>
                <w:spacing w:val="-3"/>
              </w:rPr>
              <w:t>Bdt/a</w:t>
            </w:r>
          </w:p>
        </w:tc>
        <w:tc>
          <w:tcPr>
            <w:tcW w:w="779" w:type="pct"/>
            <w:vAlign w:val="center"/>
          </w:tcPr>
          <w:p w14:paraId="16796FF5">
            <w:pPr>
              <w:pStyle w:val="33"/>
              <w:rPr>
                <w:rFonts w:eastAsia="Times New Roman"/>
                <w:color w:val="auto"/>
              </w:rPr>
            </w:pPr>
          </w:p>
        </w:tc>
      </w:tr>
      <w:tr w14:paraId="5587AAC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5F5141F5">
            <w:pPr>
              <w:pStyle w:val="33"/>
              <w:rPr>
                <w:color w:val="auto"/>
                <w:spacing w:val="-3"/>
              </w:rPr>
            </w:pPr>
            <w:r>
              <w:rPr>
                <w:rFonts w:hint="eastAsia"/>
                <w:color w:val="auto"/>
                <w:spacing w:val="-3"/>
              </w:rPr>
              <w:t>5</w:t>
            </w:r>
          </w:p>
        </w:tc>
        <w:tc>
          <w:tcPr>
            <w:tcW w:w="1092" w:type="pct"/>
            <w:vAlign w:val="center"/>
          </w:tcPr>
          <w:p w14:paraId="4B5C4179">
            <w:pPr>
              <w:pStyle w:val="33"/>
              <w:rPr>
                <w:color w:val="auto"/>
              </w:rPr>
            </w:pPr>
            <w:r>
              <w:rPr>
                <w:color w:val="auto"/>
                <w:spacing w:val="-3"/>
              </w:rPr>
              <w:t>涂料</w:t>
            </w:r>
          </w:p>
        </w:tc>
        <w:tc>
          <w:tcPr>
            <w:tcW w:w="1170" w:type="pct"/>
            <w:vAlign w:val="center"/>
          </w:tcPr>
          <w:p w14:paraId="2D48A742">
            <w:pPr>
              <w:pStyle w:val="33"/>
              <w:rPr>
                <w:color w:val="auto"/>
              </w:rPr>
            </w:pPr>
            <w:r>
              <w:rPr>
                <w:rFonts w:eastAsia="Times New Roman"/>
                <w:color w:val="auto"/>
                <w:spacing w:val="-1"/>
              </w:rPr>
              <w:t>kg/t</w:t>
            </w:r>
            <w:r>
              <w:rPr>
                <w:color w:val="auto"/>
                <w:spacing w:val="-1"/>
              </w:rPr>
              <w:t>纸</w:t>
            </w:r>
          </w:p>
        </w:tc>
        <w:tc>
          <w:tcPr>
            <w:tcW w:w="784" w:type="pct"/>
            <w:vAlign w:val="center"/>
          </w:tcPr>
          <w:p w14:paraId="574562D2">
            <w:pPr>
              <w:pStyle w:val="33"/>
              <w:rPr>
                <w:rFonts w:eastAsia="Times New Roman"/>
                <w:color w:val="auto"/>
              </w:rPr>
            </w:pPr>
          </w:p>
        </w:tc>
        <w:tc>
          <w:tcPr>
            <w:tcW w:w="860" w:type="pct"/>
            <w:vAlign w:val="center"/>
          </w:tcPr>
          <w:p w14:paraId="1BECF5F2">
            <w:pPr>
              <w:pStyle w:val="33"/>
              <w:rPr>
                <w:rFonts w:eastAsia="Times New Roman"/>
                <w:color w:val="auto"/>
              </w:rPr>
            </w:pPr>
            <w:r>
              <w:rPr>
                <w:color w:val="auto"/>
              </w:rPr>
              <w:t>万</w:t>
            </w:r>
            <w:r>
              <w:rPr>
                <w:rFonts w:eastAsia="Times New Roman"/>
                <w:color w:val="auto"/>
              </w:rPr>
              <w:t>t/a</w:t>
            </w:r>
          </w:p>
        </w:tc>
        <w:tc>
          <w:tcPr>
            <w:tcW w:w="779" w:type="pct"/>
            <w:vAlign w:val="center"/>
          </w:tcPr>
          <w:p w14:paraId="6CA40EB7">
            <w:pPr>
              <w:pStyle w:val="33"/>
              <w:rPr>
                <w:rFonts w:eastAsia="Times New Roman"/>
                <w:color w:val="auto"/>
              </w:rPr>
            </w:pPr>
          </w:p>
        </w:tc>
      </w:tr>
      <w:tr w14:paraId="74E620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50B0920D">
            <w:pPr>
              <w:pStyle w:val="33"/>
              <w:rPr>
                <w:color w:val="auto"/>
                <w:spacing w:val="-2"/>
              </w:rPr>
            </w:pPr>
            <w:r>
              <w:rPr>
                <w:rFonts w:hint="eastAsia"/>
                <w:color w:val="auto"/>
                <w:spacing w:val="-2"/>
              </w:rPr>
              <w:t>6</w:t>
            </w:r>
          </w:p>
        </w:tc>
        <w:tc>
          <w:tcPr>
            <w:tcW w:w="1092" w:type="pct"/>
            <w:vAlign w:val="center"/>
          </w:tcPr>
          <w:p w14:paraId="20DFE82C">
            <w:pPr>
              <w:pStyle w:val="33"/>
              <w:rPr>
                <w:color w:val="auto"/>
              </w:rPr>
            </w:pPr>
            <w:r>
              <w:rPr>
                <w:color w:val="auto"/>
                <w:spacing w:val="-2"/>
              </w:rPr>
              <w:t>滑石粉</w:t>
            </w:r>
          </w:p>
        </w:tc>
        <w:tc>
          <w:tcPr>
            <w:tcW w:w="1170" w:type="pct"/>
            <w:vAlign w:val="center"/>
          </w:tcPr>
          <w:p w14:paraId="48DAA598">
            <w:pPr>
              <w:pStyle w:val="33"/>
              <w:rPr>
                <w:color w:val="auto"/>
              </w:rPr>
            </w:pPr>
            <w:r>
              <w:rPr>
                <w:rFonts w:eastAsia="Times New Roman"/>
                <w:color w:val="auto"/>
                <w:spacing w:val="-1"/>
              </w:rPr>
              <w:t>kg/t</w:t>
            </w:r>
            <w:r>
              <w:rPr>
                <w:color w:val="auto"/>
                <w:spacing w:val="-1"/>
              </w:rPr>
              <w:t>纸</w:t>
            </w:r>
          </w:p>
        </w:tc>
        <w:tc>
          <w:tcPr>
            <w:tcW w:w="784" w:type="pct"/>
            <w:vAlign w:val="center"/>
          </w:tcPr>
          <w:p w14:paraId="070F883F">
            <w:pPr>
              <w:pStyle w:val="33"/>
              <w:rPr>
                <w:rFonts w:eastAsia="Times New Roman"/>
                <w:color w:val="auto"/>
              </w:rPr>
            </w:pPr>
          </w:p>
        </w:tc>
        <w:tc>
          <w:tcPr>
            <w:tcW w:w="860" w:type="pct"/>
            <w:vAlign w:val="center"/>
          </w:tcPr>
          <w:p w14:paraId="79EA8C0F">
            <w:pPr>
              <w:pStyle w:val="33"/>
              <w:rPr>
                <w:rFonts w:eastAsia="Times New Roman"/>
                <w:color w:val="auto"/>
              </w:rPr>
            </w:pPr>
            <w:r>
              <w:rPr>
                <w:color w:val="auto"/>
              </w:rPr>
              <w:t>万</w:t>
            </w:r>
            <w:r>
              <w:rPr>
                <w:rFonts w:eastAsia="Times New Roman"/>
                <w:color w:val="auto"/>
              </w:rPr>
              <w:t>t/a</w:t>
            </w:r>
          </w:p>
        </w:tc>
        <w:tc>
          <w:tcPr>
            <w:tcW w:w="779" w:type="pct"/>
            <w:vAlign w:val="center"/>
          </w:tcPr>
          <w:p w14:paraId="360C1DFA">
            <w:pPr>
              <w:pStyle w:val="33"/>
              <w:rPr>
                <w:rFonts w:eastAsia="Times New Roman"/>
                <w:color w:val="auto"/>
              </w:rPr>
            </w:pPr>
          </w:p>
        </w:tc>
      </w:tr>
      <w:tr w14:paraId="540647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3B73C7EE">
            <w:pPr>
              <w:pStyle w:val="33"/>
              <w:rPr>
                <w:color w:val="auto"/>
                <w:spacing w:val="-2"/>
              </w:rPr>
            </w:pPr>
            <w:r>
              <w:rPr>
                <w:rFonts w:hint="eastAsia"/>
                <w:color w:val="auto"/>
                <w:spacing w:val="-2"/>
              </w:rPr>
              <w:t>7</w:t>
            </w:r>
          </w:p>
        </w:tc>
        <w:tc>
          <w:tcPr>
            <w:tcW w:w="1092" w:type="pct"/>
            <w:vAlign w:val="center"/>
          </w:tcPr>
          <w:p w14:paraId="63C9C7F5">
            <w:pPr>
              <w:pStyle w:val="33"/>
              <w:rPr>
                <w:color w:val="auto"/>
              </w:rPr>
            </w:pPr>
            <w:r>
              <w:rPr>
                <w:color w:val="auto"/>
                <w:spacing w:val="-2"/>
              </w:rPr>
              <w:t>施胶淀粉</w:t>
            </w:r>
          </w:p>
        </w:tc>
        <w:tc>
          <w:tcPr>
            <w:tcW w:w="1170" w:type="pct"/>
            <w:vAlign w:val="center"/>
          </w:tcPr>
          <w:p w14:paraId="4F08DB51">
            <w:pPr>
              <w:pStyle w:val="33"/>
              <w:rPr>
                <w:color w:val="auto"/>
              </w:rPr>
            </w:pPr>
            <w:r>
              <w:rPr>
                <w:rFonts w:eastAsia="Times New Roman"/>
                <w:color w:val="auto"/>
                <w:spacing w:val="-1"/>
              </w:rPr>
              <w:t>kg/t</w:t>
            </w:r>
            <w:r>
              <w:rPr>
                <w:color w:val="auto"/>
                <w:spacing w:val="-1"/>
              </w:rPr>
              <w:t>纸</w:t>
            </w:r>
          </w:p>
        </w:tc>
        <w:tc>
          <w:tcPr>
            <w:tcW w:w="784" w:type="pct"/>
            <w:vAlign w:val="center"/>
          </w:tcPr>
          <w:p w14:paraId="21D2A00C">
            <w:pPr>
              <w:pStyle w:val="33"/>
              <w:rPr>
                <w:rFonts w:eastAsia="Times New Roman"/>
                <w:color w:val="auto"/>
              </w:rPr>
            </w:pPr>
          </w:p>
        </w:tc>
        <w:tc>
          <w:tcPr>
            <w:tcW w:w="860" w:type="pct"/>
            <w:vAlign w:val="center"/>
          </w:tcPr>
          <w:p w14:paraId="2852BC3C">
            <w:pPr>
              <w:pStyle w:val="33"/>
              <w:rPr>
                <w:rFonts w:eastAsia="Times New Roman"/>
                <w:color w:val="auto"/>
              </w:rPr>
            </w:pPr>
            <w:r>
              <w:rPr>
                <w:color w:val="auto"/>
              </w:rPr>
              <w:t>万</w:t>
            </w:r>
            <w:r>
              <w:rPr>
                <w:rFonts w:eastAsia="Times New Roman"/>
                <w:color w:val="auto"/>
              </w:rPr>
              <w:t>t/a</w:t>
            </w:r>
          </w:p>
        </w:tc>
        <w:tc>
          <w:tcPr>
            <w:tcW w:w="779" w:type="pct"/>
            <w:vAlign w:val="center"/>
          </w:tcPr>
          <w:p w14:paraId="090C1567">
            <w:pPr>
              <w:pStyle w:val="33"/>
              <w:rPr>
                <w:rFonts w:eastAsia="Times New Roman"/>
                <w:color w:val="auto"/>
              </w:rPr>
            </w:pPr>
          </w:p>
        </w:tc>
      </w:tr>
      <w:tr w14:paraId="0AAA66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0FF6BF43">
            <w:pPr>
              <w:pStyle w:val="33"/>
              <w:rPr>
                <w:color w:val="auto"/>
                <w:spacing w:val="-3"/>
              </w:rPr>
            </w:pPr>
            <w:r>
              <w:rPr>
                <w:rFonts w:hint="eastAsia"/>
                <w:color w:val="auto"/>
                <w:spacing w:val="-3"/>
              </w:rPr>
              <w:t>8</w:t>
            </w:r>
          </w:p>
        </w:tc>
        <w:tc>
          <w:tcPr>
            <w:tcW w:w="1092" w:type="pct"/>
            <w:vAlign w:val="center"/>
          </w:tcPr>
          <w:p w14:paraId="081423AB">
            <w:pPr>
              <w:pStyle w:val="33"/>
              <w:rPr>
                <w:color w:val="auto"/>
              </w:rPr>
            </w:pPr>
            <w:r>
              <w:rPr>
                <w:color w:val="auto"/>
                <w:spacing w:val="-3"/>
              </w:rPr>
              <w:t>松香</w:t>
            </w:r>
          </w:p>
        </w:tc>
        <w:tc>
          <w:tcPr>
            <w:tcW w:w="1170" w:type="pct"/>
            <w:vAlign w:val="center"/>
          </w:tcPr>
          <w:p w14:paraId="07A8FEB0">
            <w:pPr>
              <w:pStyle w:val="33"/>
              <w:rPr>
                <w:color w:val="auto"/>
              </w:rPr>
            </w:pPr>
            <w:r>
              <w:rPr>
                <w:rFonts w:eastAsia="Times New Roman"/>
                <w:color w:val="auto"/>
                <w:spacing w:val="-1"/>
              </w:rPr>
              <w:t>kg/t</w:t>
            </w:r>
            <w:r>
              <w:rPr>
                <w:color w:val="auto"/>
                <w:spacing w:val="-1"/>
              </w:rPr>
              <w:t>纸</w:t>
            </w:r>
          </w:p>
        </w:tc>
        <w:tc>
          <w:tcPr>
            <w:tcW w:w="784" w:type="pct"/>
            <w:vAlign w:val="center"/>
          </w:tcPr>
          <w:p w14:paraId="793F55D0">
            <w:pPr>
              <w:pStyle w:val="33"/>
              <w:rPr>
                <w:rFonts w:eastAsia="Times New Roman"/>
                <w:color w:val="auto"/>
              </w:rPr>
            </w:pPr>
          </w:p>
        </w:tc>
        <w:tc>
          <w:tcPr>
            <w:tcW w:w="860" w:type="pct"/>
            <w:vAlign w:val="center"/>
          </w:tcPr>
          <w:p w14:paraId="0DCC0F64">
            <w:pPr>
              <w:pStyle w:val="33"/>
              <w:rPr>
                <w:rFonts w:eastAsia="Times New Roman"/>
                <w:color w:val="auto"/>
              </w:rPr>
            </w:pPr>
            <w:r>
              <w:rPr>
                <w:color w:val="auto"/>
              </w:rPr>
              <w:t>万</w:t>
            </w:r>
            <w:r>
              <w:rPr>
                <w:rFonts w:eastAsia="Times New Roman"/>
                <w:color w:val="auto"/>
              </w:rPr>
              <w:t>t/a</w:t>
            </w:r>
          </w:p>
        </w:tc>
        <w:tc>
          <w:tcPr>
            <w:tcW w:w="779" w:type="pct"/>
            <w:vAlign w:val="center"/>
          </w:tcPr>
          <w:p w14:paraId="6877287F">
            <w:pPr>
              <w:pStyle w:val="33"/>
              <w:rPr>
                <w:rFonts w:eastAsia="Times New Roman"/>
                <w:color w:val="auto"/>
              </w:rPr>
            </w:pPr>
          </w:p>
        </w:tc>
      </w:tr>
      <w:tr w14:paraId="5B1887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4623A909">
            <w:pPr>
              <w:pStyle w:val="33"/>
              <w:rPr>
                <w:color w:val="auto"/>
                <w:spacing w:val="-2"/>
              </w:rPr>
            </w:pPr>
            <w:r>
              <w:rPr>
                <w:rFonts w:hint="eastAsia"/>
                <w:color w:val="auto"/>
                <w:spacing w:val="-2"/>
              </w:rPr>
              <w:t>9</w:t>
            </w:r>
          </w:p>
        </w:tc>
        <w:tc>
          <w:tcPr>
            <w:tcW w:w="1092" w:type="pct"/>
            <w:vAlign w:val="center"/>
          </w:tcPr>
          <w:p w14:paraId="61188AEB">
            <w:pPr>
              <w:pStyle w:val="33"/>
              <w:rPr>
                <w:color w:val="auto"/>
              </w:rPr>
            </w:pPr>
            <w:r>
              <w:rPr>
                <w:color w:val="auto"/>
                <w:spacing w:val="-2"/>
              </w:rPr>
              <w:t>硫酸铝</w:t>
            </w:r>
          </w:p>
        </w:tc>
        <w:tc>
          <w:tcPr>
            <w:tcW w:w="1170" w:type="pct"/>
            <w:vAlign w:val="center"/>
          </w:tcPr>
          <w:p w14:paraId="0596529C">
            <w:pPr>
              <w:pStyle w:val="33"/>
              <w:rPr>
                <w:color w:val="auto"/>
              </w:rPr>
            </w:pPr>
            <w:r>
              <w:rPr>
                <w:rFonts w:eastAsia="Times New Roman"/>
                <w:color w:val="auto"/>
                <w:spacing w:val="-1"/>
              </w:rPr>
              <w:t>kg/t</w:t>
            </w:r>
            <w:r>
              <w:rPr>
                <w:color w:val="auto"/>
                <w:spacing w:val="-1"/>
              </w:rPr>
              <w:t>纸</w:t>
            </w:r>
          </w:p>
        </w:tc>
        <w:tc>
          <w:tcPr>
            <w:tcW w:w="784" w:type="pct"/>
            <w:vAlign w:val="center"/>
          </w:tcPr>
          <w:p w14:paraId="72EBDA19">
            <w:pPr>
              <w:pStyle w:val="33"/>
              <w:rPr>
                <w:rFonts w:eastAsia="Times New Roman"/>
                <w:color w:val="auto"/>
              </w:rPr>
            </w:pPr>
          </w:p>
        </w:tc>
        <w:tc>
          <w:tcPr>
            <w:tcW w:w="860" w:type="pct"/>
            <w:vAlign w:val="center"/>
          </w:tcPr>
          <w:p w14:paraId="5D1AF075">
            <w:pPr>
              <w:pStyle w:val="33"/>
              <w:rPr>
                <w:rFonts w:eastAsia="Times New Roman"/>
                <w:color w:val="auto"/>
              </w:rPr>
            </w:pPr>
            <w:r>
              <w:rPr>
                <w:color w:val="auto"/>
              </w:rPr>
              <w:t>万</w:t>
            </w:r>
            <w:r>
              <w:rPr>
                <w:rFonts w:eastAsia="Times New Roman"/>
                <w:color w:val="auto"/>
              </w:rPr>
              <w:t>t/a</w:t>
            </w:r>
          </w:p>
        </w:tc>
        <w:tc>
          <w:tcPr>
            <w:tcW w:w="779" w:type="pct"/>
            <w:vAlign w:val="center"/>
          </w:tcPr>
          <w:p w14:paraId="6D87B09D">
            <w:pPr>
              <w:pStyle w:val="33"/>
              <w:rPr>
                <w:rFonts w:eastAsia="Times New Roman"/>
                <w:color w:val="auto"/>
              </w:rPr>
            </w:pPr>
          </w:p>
        </w:tc>
      </w:tr>
      <w:tr w14:paraId="44BFB4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572428FA">
            <w:pPr>
              <w:pStyle w:val="33"/>
              <w:rPr>
                <w:color w:val="auto"/>
                <w:spacing w:val="-2"/>
              </w:rPr>
            </w:pPr>
            <w:r>
              <w:rPr>
                <w:rFonts w:hint="eastAsia"/>
                <w:color w:val="auto"/>
                <w:spacing w:val="-2"/>
              </w:rPr>
              <w:t>10</w:t>
            </w:r>
          </w:p>
        </w:tc>
        <w:tc>
          <w:tcPr>
            <w:tcW w:w="1092" w:type="pct"/>
            <w:vAlign w:val="center"/>
          </w:tcPr>
          <w:p w14:paraId="2144E566">
            <w:pPr>
              <w:pStyle w:val="33"/>
              <w:rPr>
                <w:rFonts w:eastAsia="Times New Roman"/>
                <w:color w:val="auto"/>
              </w:rPr>
            </w:pPr>
            <w:r>
              <w:rPr>
                <w:color w:val="auto"/>
                <w:spacing w:val="-2"/>
              </w:rPr>
              <w:t>液化石油气</w:t>
            </w:r>
            <w:r>
              <w:rPr>
                <w:rFonts w:eastAsia="Times New Roman"/>
                <w:color w:val="auto"/>
                <w:spacing w:val="-1"/>
              </w:rPr>
              <w:t>LPG</w:t>
            </w:r>
          </w:p>
        </w:tc>
        <w:tc>
          <w:tcPr>
            <w:tcW w:w="1170" w:type="pct"/>
            <w:vAlign w:val="center"/>
          </w:tcPr>
          <w:p w14:paraId="6B214714">
            <w:pPr>
              <w:pStyle w:val="33"/>
              <w:rPr>
                <w:color w:val="auto"/>
              </w:rPr>
            </w:pPr>
            <w:r>
              <w:rPr>
                <w:rFonts w:eastAsia="Times New Roman"/>
                <w:color w:val="auto"/>
                <w:spacing w:val="-1"/>
              </w:rPr>
              <w:t>kg/t</w:t>
            </w:r>
            <w:r>
              <w:rPr>
                <w:color w:val="auto"/>
                <w:spacing w:val="-1"/>
              </w:rPr>
              <w:t>纸</w:t>
            </w:r>
          </w:p>
        </w:tc>
        <w:tc>
          <w:tcPr>
            <w:tcW w:w="784" w:type="pct"/>
            <w:vAlign w:val="center"/>
          </w:tcPr>
          <w:p w14:paraId="76B0BFFA">
            <w:pPr>
              <w:pStyle w:val="33"/>
              <w:rPr>
                <w:rFonts w:eastAsia="Times New Roman"/>
                <w:color w:val="auto"/>
              </w:rPr>
            </w:pPr>
          </w:p>
        </w:tc>
        <w:tc>
          <w:tcPr>
            <w:tcW w:w="860" w:type="pct"/>
            <w:vAlign w:val="center"/>
          </w:tcPr>
          <w:p w14:paraId="75C1C171">
            <w:pPr>
              <w:pStyle w:val="33"/>
              <w:rPr>
                <w:rFonts w:eastAsia="Times New Roman"/>
                <w:color w:val="auto"/>
              </w:rPr>
            </w:pPr>
            <w:r>
              <w:rPr>
                <w:rFonts w:eastAsia="Times New Roman"/>
                <w:color w:val="auto"/>
                <w:spacing w:val="-1"/>
              </w:rPr>
              <w:t>t/a</w:t>
            </w:r>
          </w:p>
        </w:tc>
        <w:tc>
          <w:tcPr>
            <w:tcW w:w="779" w:type="pct"/>
            <w:vAlign w:val="center"/>
          </w:tcPr>
          <w:p w14:paraId="25271459">
            <w:pPr>
              <w:pStyle w:val="33"/>
              <w:rPr>
                <w:rFonts w:eastAsia="Times New Roman"/>
                <w:color w:val="auto"/>
              </w:rPr>
            </w:pPr>
          </w:p>
        </w:tc>
      </w:tr>
    </w:tbl>
    <w:p w14:paraId="098E80AA">
      <w:pPr>
        <w:pStyle w:val="5"/>
        <w:rPr>
          <w:color w:val="auto"/>
        </w:rPr>
      </w:pPr>
      <w:r>
        <w:rPr>
          <w:color w:val="auto"/>
        </w:rPr>
        <w:t>工程分析</w:t>
      </w:r>
    </w:p>
    <w:p w14:paraId="3AEAA2D2">
      <w:pPr>
        <w:ind w:firstLine="480"/>
        <w:rPr>
          <w:color w:val="auto"/>
        </w:rPr>
      </w:pPr>
      <w:r>
        <w:rPr>
          <w:color w:val="auto"/>
        </w:rPr>
        <w:t>已批在建3#90万吨食品纸生产线生产工艺与2#造纸车间相同，主要包括打浆、上浆、造纸、涂料制备等工序。</w:t>
      </w:r>
    </w:p>
    <w:p w14:paraId="56751A72">
      <w:pPr>
        <w:pStyle w:val="5"/>
        <w:rPr>
          <w:color w:val="auto"/>
        </w:rPr>
      </w:pPr>
      <w:r>
        <w:rPr>
          <w:color w:val="auto"/>
        </w:rPr>
        <w:t>污染防治措施</w:t>
      </w:r>
    </w:p>
    <w:p w14:paraId="65845E2E">
      <w:pPr>
        <w:ind w:firstLine="480"/>
        <w:rPr>
          <w:color w:val="auto"/>
        </w:rPr>
      </w:pPr>
      <w:r>
        <w:rPr>
          <w:color w:val="auto"/>
        </w:rPr>
        <w:t>已批在建3#90万吨食品纸生产线废水、废气、固体废物、噪声污染防治措施见</w:t>
      </w:r>
      <w:r>
        <w:rPr>
          <w:rFonts w:hint="eastAsia"/>
          <w:color w:val="auto"/>
        </w:rPr>
        <w:t>下表</w:t>
      </w:r>
      <w:r>
        <w:rPr>
          <w:color w:val="auto"/>
          <w:spacing w:val="-3"/>
        </w:rPr>
        <w:t>。</w:t>
      </w:r>
    </w:p>
    <w:p w14:paraId="221DF197">
      <w:pPr>
        <w:pStyle w:val="7"/>
        <w:rPr>
          <w:color w:val="auto"/>
        </w:rPr>
      </w:pPr>
      <w:r>
        <w:rPr>
          <w:color w:val="auto"/>
        </w:rPr>
        <w:t>已批在建</w:t>
      </w:r>
      <w:r>
        <w:rPr>
          <w:rFonts w:eastAsia="Times New Roman" w:cs="Times New Roman"/>
          <w:color w:val="auto"/>
        </w:rPr>
        <w:t>3#90</w:t>
      </w:r>
      <w:r>
        <w:rPr>
          <w:color w:val="auto"/>
        </w:rPr>
        <w:t>万吨食品纸生产线污染防治措施</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205"/>
        <w:gridCol w:w="2439"/>
        <w:gridCol w:w="5642"/>
      </w:tblGrid>
      <w:tr w14:paraId="1325E2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Align w:val="center"/>
          </w:tcPr>
          <w:p w14:paraId="71C9F064">
            <w:pPr>
              <w:pStyle w:val="33"/>
              <w:rPr>
                <w:color w:val="auto"/>
              </w:rPr>
            </w:pPr>
            <w:r>
              <w:rPr>
                <w:color w:val="auto"/>
              </w:rPr>
              <w:t>污染类型</w:t>
            </w:r>
          </w:p>
        </w:tc>
        <w:tc>
          <w:tcPr>
            <w:tcW w:w="1313" w:type="pct"/>
            <w:vAlign w:val="center"/>
          </w:tcPr>
          <w:p w14:paraId="6B18118E">
            <w:pPr>
              <w:pStyle w:val="33"/>
              <w:rPr>
                <w:color w:val="auto"/>
              </w:rPr>
            </w:pPr>
            <w:r>
              <w:rPr>
                <w:color w:val="auto"/>
              </w:rPr>
              <w:t>污染源</w:t>
            </w:r>
          </w:p>
        </w:tc>
        <w:tc>
          <w:tcPr>
            <w:tcW w:w="3038" w:type="pct"/>
            <w:vAlign w:val="center"/>
          </w:tcPr>
          <w:p w14:paraId="15665DB7">
            <w:pPr>
              <w:pStyle w:val="33"/>
              <w:rPr>
                <w:color w:val="auto"/>
              </w:rPr>
            </w:pPr>
            <w:r>
              <w:rPr>
                <w:color w:val="auto"/>
              </w:rPr>
              <w:t>污染防治措施</w:t>
            </w:r>
          </w:p>
        </w:tc>
      </w:tr>
      <w:tr w14:paraId="01DEC4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Merge w:val="restart"/>
            <w:tcBorders>
              <w:bottom w:val="nil"/>
            </w:tcBorders>
            <w:vAlign w:val="center"/>
          </w:tcPr>
          <w:p w14:paraId="2F80DB06">
            <w:pPr>
              <w:pStyle w:val="33"/>
              <w:rPr>
                <w:color w:val="auto"/>
              </w:rPr>
            </w:pPr>
            <w:r>
              <w:rPr>
                <w:color w:val="auto"/>
              </w:rPr>
              <w:t>废水</w:t>
            </w:r>
          </w:p>
        </w:tc>
        <w:tc>
          <w:tcPr>
            <w:tcW w:w="1313" w:type="pct"/>
            <w:vAlign w:val="center"/>
          </w:tcPr>
          <w:p w14:paraId="7D5F3EFB">
            <w:pPr>
              <w:pStyle w:val="33"/>
              <w:rPr>
                <w:color w:val="auto"/>
              </w:rPr>
            </w:pPr>
            <w:r>
              <w:rPr>
                <w:color w:val="auto"/>
              </w:rPr>
              <w:t>2#备浆车间、3#造纸车间排水，3#锅炉及脱硫脱硝增加排水，2#污水处理站增加排水，给水处理站排水及生活污水</w:t>
            </w:r>
          </w:p>
        </w:tc>
        <w:tc>
          <w:tcPr>
            <w:tcW w:w="3038" w:type="pct"/>
            <w:vAlign w:val="center"/>
          </w:tcPr>
          <w:p w14:paraId="4A00202A">
            <w:pPr>
              <w:pStyle w:val="33"/>
              <w:jc w:val="left"/>
              <w:rPr>
                <w:color w:val="auto"/>
              </w:rPr>
            </w:pPr>
            <w:r>
              <w:rPr>
                <w:color w:val="auto"/>
              </w:rPr>
              <w:t>3#90万吨食品纸生产线及其配套辅助设施废水排入2#污水处理站（规模45000m</w:t>
            </w:r>
            <w:r>
              <w:rPr>
                <w:color w:val="auto"/>
                <w:vertAlign w:val="superscript"/>
              </w:rPr>
              <w:t>3</w:t>
            </w:r>
            <w:r>
              <w:rPr>
                <w:color w:val="auto"/>
              </w:rPr>
              <w:t>/d），采用“絮凝沉淀+A/O+絮凝沉淀/芬顿处理”工艺，处理达标后废水与1#污水处理站出水混合达标后经排海管线深海排放。</w:t>
            </w:r>
          </w:p>
        </w:tc>
      </w:tr>
      <w:tr w14:paraId="0408A6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Merge w:val="continue"/>
            <w:tcBorders>
              <w:top w:val="nil"/>
            </w:tcBorders>
            <w:vAlign w:val="center"/>
          </w:tcPr>
          <w:p w14:paraId="5A19A34E">
            <w:pPr>
              <w:pStyle w:val="33"/>
              <w:rPr>
                <w:color w:val="auto"/>
              </w:rPr>
            </w:pPr>
          </w:p>
        </w:tc>
        <w:tc>
          <w:tcPr>
            <w:tcW w:w="1313" w:type="pct"/>
            <w:vAlign w:val="center"/>
          </w:tcPr>
          <w:p w14:paraId="249ACBD2">
            <w:pPr>
              <w:pStyle w:val="33"/>
              <w:rPr>
                <w:color w:val="auto"/>
              </w:rPr>
            </w:pPr>
            <w:r>
              <w:rPr>
                <w:color w:val="auto"/>
              </w:rPr>
              <w:t>防渗措施</w:t>
            </w:r>
          </w:p>
        </w:tc>
        <w:tc>
          <w:tcPr>
            <w:tcW w:w="3038" w:type="pct"/>
            <w:vAlign w:val="center"/>
          </w:tcPr>
          <w:p w14:paraId="6189F1A8">
            <w:pPr>
              <w:pStyle w:val="33"/>
              <w:jc w:val="left"/>
              <w:rPr>
                <w:color w:val="auto"/>
              </w:rPr>
            </w:pPr>
            <w:r>
              <w:rPr>
                <w:color w:val="auto"/>
              </w:rPr>
              <w:t>采取分区防控措施，针对排污管线，各类废水池体采用重点防渗工程，参照《危险废物填埋污染控制标准》（GB18598-2019）相关要求进行防渗处理；其他一般防渗区参照《生活垃圾填埋场污染控制标准》（GB16889-2008）相关要求进行防渗处理，在车间四周地面设置污水地沟，将跑冒滴漏的污水收集并排往污水处理站。</w:t>
            </w:r>
          </w:p>
        </w:tc>
      </w:tr>
      <w:tr w14:paraId="4C6A47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Merge w:val="restart"/>
            <w:tcBorders>
              <w:bottom w:val="nil"/>
            </w:tcBorders>
            <w:vAlign w:val="center"/>
          </w:tcPr>
          <w:p w14:paraId="5AFAA2B4">
            <w:pPr>
              <w:pStyle w:val="33"/>
              <w:rPr>
                <w:color w:val="auto"/>
              </w:rPr>
            </w:pPr>
            <w:r>
              <w:rPr>
                <w:color w:val="auto"/>
                <w:spacing w:val="-2"/>
              </w:rPr>
              <w:t>废气</w:t>
            </w:r>
          </w:p>
        </w:tc>
        <w:tc>
          <w:tcPr>
            <w:tcW w:w="1313" w:type="pct"/>
            <w:vAlign w:val="center"/>
          </w:tcPr>
          <w:p w14:paraId="5C40C415">
            <w:pPr>
              <w:pStyle w:val="33"/>
              <w:rPr>
                <w:color w:val="auto"/>
              </w:rPr>
            </w:pPr>
            <w:r>
              <w:rPr>
                <w:color w:val="auto"/>
              </w:rPr>
              <w:t>3#食品纸造纸车间LPG燃烧废气</w:t>
            </w:r>
          </w:p>
        </w:tc>
        <w:tc>
          <w:tcPr>
            <w:tcW w:w="3038" w:type="pct"/>
            <w:vAlign w:val="center"/>
          </w:tcPr>
          <w:p w14:paraId="3BAF3AA9">
            <w:pPr>
              <w:pStyle w:val="33"/>
              <w:jc w:val="left"/>
              <w:rPr>
                <w:color w:val="auto"/>
              </w:rPr>
            </w:pPr>
            <w:r>
              <w:rPr>
                <w:color w:val="auto"/>
              </w:rPr>
              <w:t>3#食品纸造纸车间顶部4根24mH排气筒，排气筒尺寸为24mH×Φ0.28m。</w:t>
            </w:r>
          </w:p>
        </w:tc>
      </w:tr>
      <w:tr w14:paraId="6243D2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Merge w:val="continue"/>
            <w:tcBorders>
              <w:top w:val="nil"/>
            </w:tcBorders>
            <w:vAlign w:val="center"/>
          </w:tcPr>
          <w:p w14:paraId="24534399">
            <w:pPr>
              <w:pStyle w:val="33"/>
              <w:rPr>
                <w:color w:val="auto"/>
              </w:rPr>
            </w:pPr>
          </w:p>
        </w:tc>
        <w:tc>
          <w:tcPr>
            <w:tcW w:w="1313" w:type="pct"/>
            <w:vAlign w:val="center"/>
          </w:tcPr>
          <w:p w14:paraId="29551069">
            <w:pPr>
              <w:pStyle w:val="33"/>
              <w:rPr>
                <w:color w:val="auto"/>
              </w:rPr>
            </w:pPr>
            <w:r>
              <w:rPr>
                <w:color w:val="auto"/>
              </w:rPr>
              <w:t>无组织废气</w:t>
            </w:r>
          </w:p>
        </w:tc>
        <w:tc>
          <w:tcPr>
            <w:tcW w:w="3038" w:type="pct"/>
            <w:vAlign w:val="center"/>
          </w:tcPr>
          <w:p w14:paraId="3F635F17">
            <w:pPr>
              <w:pStyle w:val="33"/>
              <w:jc w:val="left"/>
              <w:rPr>
                <w:color w:val="auto"/>
              </w:rPr>
            </w:pPr>
            <w:r>
              <w:rPr>
                <w:rFonts w:hint="eastAsia"/>
                <w:color w:val="auto"/>
              </w:rPr>
              <w:t>①</w:t>
            </w:r>
            <w:r>
              <w:rPr>
                <w:color w:val="auto"/>
              </w:rPr>
              <w:t>2#煤堆场（煤仓）采用封闭式圆形煤场，可以有效降低煤尘的影响。</w:t>
            </w:r>
            <w:r>
              <w:rPr>
                <w:rFonts w:hint="eastAsia"/>
                <w:color w:val="auto"/>
              </w:rPr>
              <w:t>②</w:t>
            </w:r>
            <w:r>
              <w:rPr>
                <w:color w:val="auto"/>
              </w:rPr>
              <w:t>3#造纸涂布原料制备车间破碎、干磨过程中产生的颗粒物：采购水洗后的大理石从源头上减少原料含尘量；在投料斗、振动筛采取喷淋措施；封闭式破碎机，在破碎机出料及输送段采用集气装置并设置布袋除尘器；采用封闭式干磨机，在干磨机出料处设置布袋除尘器。</w:t>
            </w:r>
          </w:p>
        </w:tc>
      </w:tr>
      <w:tr w14:paraId="53CE63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Align w:val="center"/>
          </w:tcPr>
          <w:p w14:paraId="5EE09DCA">
            <w:pPr>
              <w:pStyle w:val="33"/>
              <w:rPr>
                <w:color w:val="auto"/>
              </w:rPr>
            </w:pPr>
            <w:r>
              <w:rPr>
                <w:color w:val="auto"/>
                <w:spacing w:val="-3"/>
              </w:rPr>
              <w:t>一般工业</w:t>
            </w:r>
            <w:r>
              <w:rPr>
                <w:color w:val="auto"/>
                <w:spacing w:val="-7"/>
              </w:rPr>
              <w:t>固体废物</w:t>
            </w:r>
          </w:p>
        </w:tc>
        <w:tc>
          <w:tcPr>
            <w:tcW w:w="1313" w:type="pct"/>
            <w:vAlign w:val="center"/>
          </w:tcPr>
          <w:p w14:paraId="6A1246DE">
            <w:pPr>
              <w:pStyle w:val="33"/>
              <w:rPr>
                <w:color w:val="auto"/>
              </w:rPr>
            </w:pPr>
            <w:r>
              <w:rPr>
                <w:color w:val="auto"/>
              </w:rPr>
              <w:t>废聚酯网、煤灰渣、粉煤灰、脱硫石膏、污水处理厂污泥、生活垃圾</w:t>
            </w:r>
          </w:p>
        </w:tc>
        <w:tc>
          <w:tcPr>
            <w:tcW w:w="3038" w:type="pct"/>
            <w:vAlign w:val="center"/>
          </w:tcPr>
          <w:p w14:paraId="5A358F7C">
            <w:pPr>
              <w:pStyle w:val="33"/>
              <w:jc w:val="left"/>
              <w:rPr>
                <w:color w:val="auto"/>
              </w:rPr>
            </w:pPr>
            <w:r>
              <w:rPr>
                <w:rFonts w:hint="eastAsia"/>
                <w:color w:val="auto"/>
              </w:rPr>
              <w:t>①</w:t>
            </w:r>
            <w:r>
              <w:rPr>
                <w:color w:val="auto"/>
              </w:rPr>
              <w:t>废聚酯网、煤灰渣、粉煤灰、脱硫石膏外委综合利用。</w:t>
            </w:r>
            <w:r>
              <w:rPr>
                <w:rFonts w:hint="eastAsia"/>
                <w:color w:val="auto"/>
              </w:rPr>
              <w:t>②</w:t>
            </w:r>
            <w:r>
              <w:rPr>
                <w:color w:val="auto"/>
              </w:rPr>
              <w:t>污水处理站污泥部分外委综合利用，部分送自备循环流化床锅炉燃烧。</w:t>
            </w:r>
            <w:r>
              <w:rPr>
                <w:rFonts w:hint="eastAsia"/>
                <w:color w:val="auto"/>
              </w:rPr>
              <w:t>③</w:t>
            </w:r>
            <w:r>
              <w:rPr>
                <w:color w:val="auto"/>
              </w:rPr>
              <w:t>生活垃圾：钦州港市政管理公司收集处理。</w:t>
            </w:r>
          </w:p>
        </w:tc>
      </w:tr>
      <w:tr w14:paraId="3E0B44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Align w:val="center"/>
          </w:tcPr>
          <w:p w14:paraId="2FDBAFA5">
            <w:pPr>
              <w:pStyle w:val="33"/>
              <w:rPr>
                <w:color w:val="auto"/>
              </w:rPr>
            </w:pPr>
            <w:r>
              <w:rPr>
                <w:color w:val="auto"/>
                <w:spacing w:val="-3"/>
              </w:rPr>
              <w:t>危险废物</w:t>
            </w:r>
          </w:p>
        </w:tc>
        <w:tc>
          <w:tcPr>
            <w:tcW w:w="1313" w:type="pct"/>
            <w:vAlign w:val="center"/>
          </w:tcPr>
          <w:p w14:paraId="19EE2A28">
            <w:pPr>
              <w:pStyle w:val="33"/>
              <w:rPr>
                <w:color w:val="auto"/>
              </w:rPr>
            </w:pPr>
            <w:r>
              <w:rPr>
                <w:color w:val="auto"/>
              </w:rPr>
              <w:t>废催化剂、废电池、废矿物油、废油桶等</w:t>
            </w:r>
          </w:p>
        </w:tc>
        <w:tc>
          <w:tcPr>
            <w:tcW w:w="3038" w:type="pct"/>
            <w:vAlign w:val="center"/>
          </w:tcPr>
          <w:p w14:paraId="60D3F282">
            <w:pPr>
              <w:pStyle w:val="33"/>
              <w:jc w:val="left"/>
              <w:rPr>
                <w:color w:val="auto"/>
              </w:rPr>
            </w:pPr>
            <w:r>
              <w:rPr>
                <w:color w:val="auto"/>
              </w:rPr>
              <w:t>交由有资质公司清运和处置。</w:t>
            </w:r>
          </w:p>
        </w:tc>
      </w:tr>
      <w:tr w14:paraId="5C251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649" w:type="pct"/>
            <w:vAlign w:val="center"/>
          </w:tcPr>
          <w:p w14:paraId="516256A1">
            <w:pPr>
              <w:pStyle w:val="33"/>
              <w:rPr>
                <w:color w:val="auto"/>
              </w:rPr>
            </w:pPr>
            <w:r>
              <w:rPr>
                <w:color w:val="auto"/>
                <w:spacing w:val="-5"/>
              </w:rPr>
              <w:t>噪声</w:t>
            </w:r>
          </w:p>
        </w:tc>
        <w:tc>
          <w:tcPr>
            <w:tcW w:w="1313" w:type="pct"/>
            <w:vAlign w:val="center"/>
          </w:tcPr>
          <w:p w14:paraId="44A24B95">
            <w:pPr>
              <w:pStyle w:val="33"/>
              <w:rPr>
                <w:color w:val="auto"/>
              </w:rPr>
            </w:pPr>
            <w:r>
              <w:rPr>
                <w:color w:val="auto"/>
              </w:rPr>
              <w:t>设备运行噪声</w:t>
            </w:r>
          </w:p>
        </w:tc>
        <w:tc>
          <w:tcPr>
            <w:tcW w:w="3038" w:type="pct"/>
            <w:vAlign w:val="center"/>
          </w:tcPr>
          <w:p w14:paraId="213A7EF4">
            <w:pPr>
              <w:pStyle w:val="33"/>
              <w:jc w:val="left"/>
              <w:rPr>
                <w:color w:val="auto"/>
              </w:rPr>
            </w:pPr>
            <w:r>
              <w:rPr>
                <w:color w:val="auto"/>
              </w:rPr>
              <w:t>优先选择低噪声设备，对设备进行加装消声器和基础减振措施，加强厂区绿化，合理布置高噪声设备，定期保养及时维修设备。</w:t>
            </w:r>
          </w:p>
        </w:tc>
      </w:tr>
    </w:tbl>
    <w:p w14:paraId="1632795B">
      <w:pPr>
        <w:ind w:firstLine="472"/>
        <w:rPr>
          <w:color w:val="auto"/>
        </w:rPr>
      </w:pPr>
      <w:r>
        <w:rPr>
          <w:color w:val="auto"/>
          <w:spacing w:val="-2"/>
        </w:rPr>
        <w:t>现有</w:t>
      </w:r>
      <w:r>
        <w:rPr>
          <w:rFonts w:eastAsia="Times New Roman" w:cs="Times New Roman"/>
          <w:color w:val="auto"/>
          <w:spacing w:val="-2"/>
        </w:rPr>
        <w:t>2#90</w:t>
      </w:r>
      <w:r>
        <w:rPr>
          <w:color w:val="auto"/>
          <w:spacing w:val="-2"/>
        </w:rPr>
        <w:t>万吨高档社会卡生产线及在建</w:t>
      </w:r>
      <w:r>
        <w:rPr>
          <w:rFonts w:eastAsia="Times New Roman" w:cs="Times New Roman"/>
          <w:color w:val="auto"/>
          <w:spacing w:val="-2"/>
        </w:rPr>
        <w:t>3#90</w:t>
      </w:r>
      <w:r>
        <w:rPr>
          <w:color w:val="auto"/>
          <w:spacing w:val="-3"/>
        </w:rPr>
        <w:t>万吨食品纸生产线污水均进</w:t>
      </w:r>
      <w:r>
        <w:rPr>
          <w:color w:val="auto"/>
        </w:rPr>
        <w:t>入</w:t>
      </w:r>
      <w:r>
        <w:rPr>
          <w:rFonts w:eastAsia="Times New Roman" w:cs="Times New Roman"/>
          <w:color w:val="auto"/>
        </w:rPr>
        <w:t>2#</w:t>
      </w:r>
      <w:r>
        <w:rPr>
          <w:color w:val="auto"/>
        </w:rPr>
        <w:t>污水处理站进行处理，污水处理污泥均送</w:t>
      </w:r>
      <w:r>
        <w:rPr>
          <w:rFonts w:eastAsia="Times New Roman" w:cs="Times New Roman"/>
          <w:color w:val="auto"/>
        </w:rPr>
        <w:t>3#</w:t>
      </w:r>
      <w:r>
        <w:rPr>
          <w:color w:val="auto"/>
        </w:rPr>
        <w:t>锅炉燃烧回收热量。目前现有</w:t>
      </w:r>
      <w:r>
        <w:rPr>
          <w:rFonts w:eastAsia="Times New Roman" w:cs="Times New Roman"/>
          <w:color w:val="auto"/>
        </w:rPr>
        <w:t>2#90</w:t>
      </w:r>
      <w:r>
        <w:rPr>
          <w:color w:val="auto"/>
        </w:rPr>
        <w:t>万吨高档社会卡生产线已满负荷生产，</w:t>
      </w:r>
      <w:r>
        <w:rPr>
          <w:color w:val="auto"/>
          <w:spacing w:val="-2"/>
        </w:rPr>
        <w:t>类比</w:t>
      </w:r>
      <w:r>
        <w:rPr>
          <w:rFonts w:eastAsia="Times New Roman" w:cs="Times New Roman"/>
          <w:color w:val="auto"/>
          <w:spacing w:val="-2"/>
        </w:rPr>
        <w:t>3#</w:t>
      </w:r>
      <w:r>
        <w:rPr>
          <w:color w:val="auto"/>
          <w:spacing w:val="-2"/>
        </w:rPr>
        <w:t>锅炉</w:t>
      </w:r>
      <w:r>
        <w:rPr>
          <w:rFonts w:eastAsia="Times New Roman" w:cs="Times New Roman"/>
          <w:color w:val="auto"/>
          <w:spacing w:val="-2"/>
        </w:rPr>
        <w:t>2023</w:t>
      </w:r>
      <w:r>
        <w:rPr>
          <w:color w:val="auto"/>
          <w:spacing w:val="-2"/>
        </w:rPr>
        <w:t>年废气污染物实际</w:t>
      </w:r>
      <w:r>
        <w:rPr>
          <w:color w:val="auto"/>
        </w:rPr>
        <w:t>排放量，计算在建</w:t>
      </w:r>
      <w:r>
        <w:rPr>
          <w:rFonts w:eastAsia="Times New Roman" w:cs="Times New Roman"/>
          <w:color w:val="auto"/>
        </w:rPr>
        <w:t>3#90</w:t>
      </w:r>
      <w:r>
        <w:rPr>
          <w:color w:val="auto"/>
        </w:rPr>
        <w:t>万吨食品纸生产线建设完成后，</w:t>
      </w:r>
      <w:r>
        <w:rPr>
          <w:rFonts w:eastAsia="Times New Roman" w:cs="Times New Roman"/>
          <w:color w:val="auto"/>
        </w:rPr>
        <w:t>3#</w:t>
      </w:r>
      <w:r>
        <w:rPr>
          <w:color w:val="auto"/>
        </w:rPr>
        <w:t>锅炉废气污染物源强</w:t>
      </w:r>
      <w:r>
        <w:rPr>
          <w:color w:val="auto"/>
          <w:spacing w:val="-2"/>
        </w:rPr>
        <w:t>变化情况，具体见</w:t>
      </w:r>
      <w:r>
        <w:rPr>
          <w:rFonts w:hint="eastAsia"/>
          <w:color w:val="auto"/>
        </w:rPr>
        <w:t>下表</w:t>
      </w:r>
      <w:r>
        <w:rPr>
          <w:color w:val="auto"/>
          <w:spacing w:val="-2"/>
        </w:rPr>
        <w:t>。</w:t>
      </w:r>
    </w:p>
    <w:p w14:paraId="29664D1C">
      <w:pPr>
        <w:pStyle w:val="7"/>
        <w:rPr>
          <w:color w:val="auto"/>
        </w:rPr>
      </w:pPr>
      <w:r>
        <w:rPr>
          <w:color w:val="auto"/>
        </w:rPr>
        <w:t>已批在建</w:t>
      </w:r>
      <w:r>
        <w:rPr>
          <w:rFonts w:eastAsia="Times New Roman" w:cs="Times New Roman"/>
          <w:color w:val="auto"/>
        </w:rPr>
        <w:t>3#90</w:t>
      </w:r>
      <w:r>
        <w:rPr>
          <w:color w:val="auto"/>
        </w:rPr>
        <w:t>万吨食品纸生产线建设完成后</w:t>
      </w:r>
      <w:r>
        <w:rPr>
          <w:rFonts w:eastAsia="Times New Roman" w:cs="Times New Roman"/>
          <w:color w:val="auto"/>
        </w:rPr>
        <w:t>3#</w:t>
      </w:r>
      <w:r>
        <w:rPr>
          <w:color w:val="auto"/>
        </w:rPr>
        <w:t>锅炉源强变化情况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224"/>
        <w:gridCol w:w="1450"/>
        <w:gridCol w:w="1306"/>
        <w:gridCol w:w="1306"/>
      </w:tblGrid>
      <w:tr w14:paraId="610CDB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813" w:type="pct"/>
            <w:vAlign w:val="center"/>
          </w:tcPr>
          <w:p w14:paraId="54A8F5B9">
            <w:pPr>
              <w:pStyle w:val="33"/>
              <w:rPr>
                <w:color w:val="auto"/>
              </w:rPr>
            </w:pPr>
            <w:r>
              <w:rPr>
                <w:color w:val="auto"/>
              </w:rPr>
              <w:t>情形</w:t>
            </w:r>
          </w:p>
        </w:tc>
        <w:tc>
          <w:tcPr>
            <w:tcW w:w="781" w:type="pct"/>
            <w:vAlign w:val="center"/>
          </w:tcPr>
          <w:p w14:paraId="70E7B024">
            <w:pPr>
              <w:pStyle w:val="33"/>
              <w:rPr>
                <w:color w:val="auto"/>
              </w:rPr>
            </w:pPr>
            <w:r>
              <w:rPr>
                <w:color w:val="auto"/>
                <w:spacing w:val="-3"/>
              </w:rPr>
              <w:t>烟尘（</w:t>
            </w:r>
            <w:r>
              <w:rPr>
                <w:rFonts w:eastAsia="Times New Roman"/>
                <w:color w:val="auto"/>
                <w:spacing w:val="-3"/>
              </w:rPr>
              <w:t>t/a</w:t>
            </w:r>
            <w:r>
              <w:rPr>
                <w:color w:val="auto"/>
                <w:spacing w:val="-3"/>
              </w:rPr>
              <w:t>）</w:t>
            </w:r>
          </w:p>
        </w:tc>
        <w:tc>
          <w:tcPr>
            <w:tcW w:w="703" w:type="pct"/>
            <w:vAlign w:val="center"/>
          </w:tcPr>
          <w:p w14:paraId="035D518A">
            <w:pPr>
              <w:pStyle w:val="33"/>
              <w:rPr>
                <w:color w:val="auto"/>
              </w:rPr>
            </w:pPr>
            <w:r>
              <w:rPr>
                <w:rFonts w:eastAsia="Times New Roman"/>
                <w:color w:val="auto"/>
                <w:spacing w:val="-2"/>
              </w:rPr>
              <w:t>SO</w:t>
            </w:r>
            <w:r>
              <w:rPr>
                <w:rFonts w:eastAsia="Times New Roman"/>
                <w:color w:val="auto"/>
                <w:spacing w:val="-2"/>
                <w:position w:val="-1"/>
                <w:sz w:val="14"/>
                <w:szCs w:val="14"/>
              </w:rPr>
              <w:t>2</w:t>
            </w:r>
            <w:r>
              <w:rPr>
                <w:color w:val="auto"/>
                <w:spacing w:val="-2"/>
              </w:rPr>
              <w:t>（</w:t>
            </w:r>
            <w:r>
              <w:rPr>
                <w:rFonts w:eastAsia="Times New Roman"/>
                <w:color w:val="auto"/>
                <w:spacing w:val="-2"/>
              </w:rPr>
              <w:t>t/a</w:t>
            </w:r>
            <w:r>
              <w:rPr>
                <w:color w:val="auto"/>
                <w:spacing w:val="-2"/>
              </w:rPr>
              <w:t>）</w:t>
            </w:r>
          </w:p>
        </w:tc>
        <w:tc>
          <w:tcPr>
            <w:tcW w:w="703" w:type="pct"/>
            <w:vAlign w:val="center"/>
          </w:tcPr>
          <w:p w14:paraId="2E0DC35F">
            <w:pPr>
              <w:pStyle w:val="33"/>
              <w:rPr>
                <w:color w:val="auto"/>
              </w:rPr>
            </w:pPr>
            <w:r>
              <w:rPr>
                <w:rFonts w:eastAsia="Times New Roman"/>
                <w:color w:val="auto"/>
                <w:spacing w:val="-1"/>
              </w:rPr>
              <w:t>NOx</w:t>
            </w:r>
            <w:r>
              <w:rPr>
                <w:color w:val="auto"/>
                <w:spacing w:val="-1"/>
              </w:rPr>
              <w:t>（</w:t>
            </w:r>
            <w:r>
              <w:rPr>
                <w:rFonts w:eastAsia="Times New Roman"/>
                <w:color w:val="auto"/>
                <w:spacing w:val="-1"/>
              </w:rPr>
              <w:t>t/a</w:t>
            </w:r>
            <w:r>
              <w:rPr>
                <w:color w:val="auto"/>
                <w:spacing w:val="-1"/>
              </w:rPr>
              <w:t>）</w:t>
            </w:r>
          </w:p>
        </w:tc>
      </w:tr>
      <w:tr w14:paraId="6BEE5E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813" w:type="pct"/>
            <w:vAlign w:val="center"/>
          </w:tcPr>
          <w:p w14:paraId="4556E5C2">
            <w:pPr>
              <w:pStyle w:val="33"/>
              <w:rPr>
                <w:color w:val="auto"/>
              </w:rPr>
            </w:pPr>
            <w:r>
              <w:rPr>
                <w:rFonts w:eastAsia="Times New Roman"/>
                <w:color w:val="auto"/>
                <w:spacing w:val="-1"/>
              </w:rPr>
              <w:t>2023</w:t>
            </w:r>
            <w:r>
              <w:rPr>
                <w:color w:val="auto"/>
                <w:spacing w:val="-1"/>
              </w:rPr>
              <w:t>年实际排放量</w:t>
            </w:r>
          </w:p>
        </w:tc>
        <w:tc>
          <w:tcPr>
            <w:tcW w:w="781" w:type="pct"/>
            <w:vAlign w:val="center"/>
          </w:tcPr>
          <w:p w14:paraId="31B9263C">
            <w:pPr>
              <w:pStyle w:val="33"/>
              <w:rPr>
                <w:rFonts w:eastAsia="Times New Roman"/>
                <w:color w:val="auto"/>
              </w:rPr>
            </w:pPr>
            <w:r>
              <w:rPr>
                <w:rFonts w:eastAsia="Times New Roman"/>
                <w:color w:val="auto"/>
                <w:spacing w:val="-4"/>
              </w:rPr>
              <w:t>8.75</w:t>
            </w:r>
          </w:p>
        </w:tc>
        <w:tc>
          <w:tcPr>
            <w:tcW w:w="703" w:type="pct"/>
            <w:vAlign w:val="center"/>
          </w:tcPr>
          <w:p w14:paraId="26FC8EB6">
            <w:pPr>
              <w:pStyle w:val="33"/>
              <w:rPr>
                <w:rFonts w:eastAsia="Times New Roman"/>
                <w:color w:val="auto"/>
              </w:rPr>
            </w:pPr>
            <w:r>
              <w:rPr>
                <w:rFonts w:eastAsia="Times New Roman"/>
                <w:color w:val="auto"/>
                <w:spacing w:val="-1"/>
              </w:rPr>
              <w:t>41.84</w:t>
            </w:r>
          </w:p>
        </w:tc>
        <w:tc>
          <w:tcPr>
            <w:tcW w:w="703" w:type="pct"/>
            <w:vAlign w:val="center"/>
          </w:tcPr>
          <w:p w14:paraId="41FB9776">
            <w:pPr>
              <w:pStyle w:val="33"/>
              <w:rPr>
                <w:rFonts w:eastAsia="Times New Roman"/>
                <w:color w:val="auto"/>
              </w:rPr>
            </w:pPr>
            <w:r>
              <w:rPr>
                <w:rFonts w:eastAsia="Times New Roman"/>
                <w:color w:val="auto"/>
                <w:spacing w:val="-2"/>
              </w:rPr>
              <w:t>98.69</w:t>
            </w:r>
          </w:p>
        </w:tc>
      </w:tr>
      <w:tr w14:paraId="3E28BE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813" w:type="pct"/>
            <w:vAlign w:val="center"/>
          </w:tcPr>
          <w:p w14:paraId="32A4F1BD">
            <w:pPr>
              <w:pStyle w:val="33"/>
              <w:rPr>
                <w:color w:val="auto"/>
              </w:rPr>
            </w:pPr>
            <w:r>
              <w:rPr>
                <w:color w:val="auto"/>
                <w:spacing w:val="-3"/>
              </w:rPr>
              <w:t>在建</w:t>
            </w:r>
            <w:r>
              <w:rPr>
                <w:rFonts w:eastAsia="Times New Roman"/>
                <w:color w:val="auto"/>
                <w:spacing w:val="-3"/>
              </w:rPr>
              <w:t>3#90</w:t>
            </w:r>
            <w:r>
              <w:rPr>
                <w:color w:val="auto"/>
                <w:spacing w:val="-3"/>
              </w:rPr>
              <w:t>万吨食品纸生产线建</w:t>
            </w:r>
            <w:r>
              <w:rPr>
                <w:color w:val="auto"/>
                <w:spacing w:val="-2"/>
              </w:rPr>
              <w:t>设完成后排放量</w:t>
            </w:r>
          </w:p>
        </w:tc>
        <w:tc>
          <w:tcPr>
            <w:tcW w:w="781" w:type="pct"/>
            <w:vAlign w:val="center"/>
          </w:tcPr>
          <w:p w14:paraId="7CDAAF01">
            <w:pPr>
              <w:pStyle w:val="33"/>
              <w:rPr>
                <w:rFonts w:eastAsia="Times New Roman"/>
                <w:color w:val="auto"/>
              </w:rPr>
            </w:pPr>
            <w:r>
              <w:rPr>
                <w:rFonts w:eastAsia="Times New Roman"/>
                <w:color w:val="auto"/>
              </w:rPr>
              <w:t>17.50</w:t>
            </w:r>
          </w:p>
        </w:tc>
        <w:tc>
          <w:tcPr>
            <w:tcW w:w="703" w:type="pct"/>
            <w:vAlign w:val="center"/>
          </w:tcPr>
          <w:p w14:paraId="6C78C746">
            <w:pPr>
              <w:pStyle w:val="33"/>
              <w:rPr>
                <w:rFonts w:eastAsia="Times New Roman"/>
                <w:color w:val="auto"/>
              </w:rPr>
            </w:pPr>
            <w:r>
              <w:rPr>
                <w:rFonts w:eastAsia="Times New Roman"/>
                <w:color w:val="auto"/>
                <w:spacing w:val="-3"/>
              </w:rPr>
              <w:t>83.68</w:t>
            </w:r>
          </w:p>
        </w:tc>
        <w:tc>
          <w:tcPr>
            <w:tcW w:w="703" w:type="pct"/>
            <w:vAlign w:val="center"/>
          </w:tcPr>
          <w:p w14:paraId="7081C9D4">
            <w:pPr>
              <w:pStyle w:val="33"/>
              <w:rPr>
                <w:rFonts w:eastAsia="Times New Roman"/>
                <w:color w:val="auto"/>
              </w:rPr>
            </w:pPr>
            <w:r>
              <w:rPr>
                <w:rFonts w:eastAsia="Times New Roman"/>
                <w:color w:val="auto"/>
                <w:spacing w:val="-4"/>
              </w:rPr>
              <w:t>197.38</w:t>
            </w:r>
          </w:p>
        </w:tc>
      </w:tr>
      <w:tr w14:paraId="70005C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813" w:type="pct"/>
            <w:vAlign w:val="center"/>
          </w:tcPr>
          <w:p w14:paraId="3C222C44">
            <w:pPr>
              <w:pStyle w:val="33"/>
              <w:rPr>
                <w:color w:val="auto"/>
              </w:rPr>
            </w:pPr>
            <w:r>
              <w:rPr>
                <w:color w:val="auto"/>
              </w:rPr>
              <w:t>已批在建</w:t>
            </w:r>
            <w:r>
              <w:rPr>
                <w:rFonts w:eastAsia="Times New Roman"/>
                <w:color w:val="auto"/>
              </w:rPr>
              <w:t>180</w:t>
            </w:r>
            <w:r>
              <w:rPr>
                <w:color w:val="auto"/>
              </w:rPr>
              <w:t>万吨纸项目环评</w:t>
            </w:r>
            <w:r>
              <w:rPr>
                <w:color w:val="auto"/>
                <w:spacing w:val="-2"/>
              </w:rPr>
              <w:t>及批复总量</w:t>
            </w:r>
          </w:p>
        </w:tc>
        <w:tc>
          <w:tcPr>
            <w:tcW w:w="781" w:type="pct"/>
            <w:vAlign w:val="center"/>
          </w:tcPr>
          <w:p w14:paraId="060903C6">
            <w:pPr>
              <w:pStyle w:val="33"/>
              <w:rPr>
                <w:rFonts w:eastAsia="Times New Roman"/>
                <w:color w:val="auto"/>
              </w:rPr>
            </w:pPr>
            <w:r>
              <w:rPr>
                <w:rFonts w:eastAsia="Times New Roman"/>
                <w:color w:val="auto"/>
                <w:spacing w:val="-1"/>
              </w:rPr>
              <w:t>49.0</w:t>
            </w:r>
          </w:p>
        </w:tc>
        <w:tc>
          <w:tcPr>
            <w:tcW w:w="703" w:type="pct"/>
            <w:vAlign w:val="center"/>
          </w:tcPr>
          <w:p w14:paraId="22E278F5">
            <w:pPr>
              <w:pStyle w:val="33"/>
              <w:rPr>
                <w:rFonts w:eastAsia="Times New Roman"/>
                <w:color w:val="auto"/>
              </w:rPr>
            </w:pPr>
            <w:r>
              <w:rPr>
                <w:rFonts w:eastAsia="Times New Roman"/>
                <w:color w:val="auto"/>
              </w:rPr>
              <w:t>171.6</w:t>
            </w:r>
          </w:p>
        </w:tc>
        <w:tc>
          <w:tcPr>
            <w:tcW w:w="703" w:type="pct"/>
            <w:vAlign w:val="center"/>
          </w:tcPr>
          <w:p w14:paraId="6547010E">
            <w:pPr>
              <w:pStyle w:val="33"/>
              <w:rPr>
                <w:rFonts w:eastAsia="Times New Roman"/>
                <w:color w:val="auto"/>
              </w:rPr>
            </w:pPr>
            <w:r>
              <w:rPr>
                <w:rFonts w:eastAsia="Times New Roman"/>
                <w:color w:val="auto"/>
                <w:spacing w:val="-1"/>
              </w:rPr>
              <w:t>245.1</w:t>
            </w:r>
          </w:p>
        </w:tc>
      </w:tr>
      <w:tr w14:paraId="73BB93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2813" w:type="pct"/>
            <w:vAlign w:val="center"/>
          </w:tcPr>
          <w:p w14:paraId="58F57286">
            <w:pPr>
              <w:pStyle w:val="33"/>
              <w:rPr>
                <w:color w:val="auto"/>
              </w:rPr>
            </w:pPr>
            <w:r>
              <w:rPr>
                <w:color w:val="auto"/>
                <w:spacing w:val="-3"/>
              </w:rPr>
              <w:t>是否满足</w:t>
            </w:r>
          </w:p>
        </w:tc>
        <w:tc>
          <w:tcPr>
            <w:tcW w:w="781" w:type="pct"/>
            <w:vAlign w:val="center"/>
          </w:tcPr>
          <w:p w14:paraId="5B376C4C">
            <w:pPr>
              <w:pStyle w:val="33"/>
              <w:rPr>
                <w:color w:val="auto"/>
              </w:rPr>
            </w:pPr>
            <w:r>
              <w:rPr>
                <w:color w:val="auto"/>
                <w:spacing w:val="-3"/>
              </w:rPr>
              <w:t>满足</w:t>
            </w:r>
          </w:p>
        </w:tc>
        <w:tc>
          <w:tcPr>
            <w:tcW w:w="703" w:type="pct"/>
            <w:vAlign w:val="center"/>
          </w:tcPr>
          <w:p w14:paraId="784295D8">
            <w:pPr>
              <w:pStyle w:val="33"/>
              <w:rPr>
                <w:color w:val="auto"/>
              </w:rPr>
            </w:pPr>
            <w:r>
              <w:rPr>
                <w:color w:val="auto"/>
                <w:spacing w:val="-3"/>
              </w:rPr>
              <w:t>满足</w:t>
            </w:r>
          </w:p>
        </w:tc>
        <w:tc>
          <w:tcPr>
            <w:tcW w:w="703" w:type="pct"/>
            <w:vAlign w:val="center"/>
          </w:tcPr>
          <w:p w14:paraId="2D7B7170">
            <w:pPr>
              <w:pStyle w:val="33"/>
              <w:rPr>
                <w:color w:val="auto"/>
              </w:rPr>
            </w:pPr>
            <w:r>
              <w:rPr>
                <w:color w:val="auto"/>
                <w:spacing w:val="-3"/>
              </w:rPr>
              <w:t>满足</w:t>
            </w:r>
          </w:p>
        </w:tc>
      </w:tr>
    </w:tbl>
    <w:p w14:paraId="7E220F90">
      <w:pPr>
        <w:ind w:firstLine="480"/>
        <w:rPr>
          <w:color w:val="auto"/>
        </w:rPr>
      </w:pPr>
      <w:r>
        <w:rPr>
          <w:color w:val="auto"/>
        </w:rPr>
        <w:t>由上表可知，类比</w:t>
      </w:r>
      <w:r>
        <w:rPr>
          <w:rFonts w:eastAsia="Times New Roman" w:cs="Times New Roman"/>
          <w:color w:val="auto"/>
        </w:rPr>
        <w:t>3#</w:t>
      </w:r>
      <w:r>
        <w:rPr>
          <w:color w:val="auto"/>
        </w:rPr>
        <w:t>锅炉实际排放情况，在建</w:t>
      </w:r>
      <w:r>
        <w:rPr>
          <w:rFonts w:eastAsia="Times New Roman" w:cs="Times New Roman"/>
          <w:color w:val="auto"/>
        </w:rPr>
        <w:t>3#90</w:t>
      </w:r>
      <w:r>
        <w:rPr>
          <w:color w:val="auto"/>
        </w:rPr>
        <w:t>万吨食品纸生产线建设</w:t>
      </w:r>
      <w:r>
        <w:rPr>
          <w:color w:val="auto"/>
          <w:spacing w:val="-1"/>
        </w:rPr>
        <w:t>完成后</w:t>
      </w:r>
      <w:r>
        <w:rPr>
          <w:rFonts w:eastAsia="Times New Roman" w:cs="Times New Roman"/>
          <w:color w:val="auto"/>
          <w:spacing w:val="-1"/>
        </w:rPr>
        <w:t>3#</w:t>
      </w:r>
      <w:r>
        <w:rPr>
          <w:color w:val="auto"/>
          <w:spacing w:val="-1"/>
        </w:rPr>
        <w:t>锅炉废气污染物排放量仍在原环评及环评批复总量范围内。</w:t>
      </w:r>
    </w:p>
    <w:p w14:paraId="7BBBFD52">
      <w:pPr>
        <w:pStyle w:val="4"/>
        <w:rPr>
          <w:color w:val="auto"/>
        </w:rPr>
      </w:pPr>
      <w:bookmarkStart w:id="168" w:name="_Toc225216679"/>
      <w:r>
        <w:rPr>
          <w:color w:val="auto"/>
        </w:rPr>
        <w:t>在建年产</w:t>
      </w:r>
      <w:r>
        <w:rPr>
          <w:rFonts w:eastAsia="Times New Roman" w:cs="Times New Roman"/>
          <w:color w:val="auto"/>
        </w:rPr>
        <w:t>75</w:t>
      </w:r>
      <w:r>
        <w:rPr>
          <w:color w:val="auto"/>
        </w:rPr>
        <w:t>万化机浆扩建项目</w:t>
      </w:r>
      <w:bookmarkEnd w:id="168"/>
    </w:p>
    <w:p w14:paraId="75F23649">
      <w:pPr>
        <w:ind w:firstLine="480"/>
        <w:rPr>
          <w:color w:val="auto"/>
        </w:rPr>
      </w:pPr>
      <w:r>
        <w:rPr>
          <w:color w:val="auto"/>
        </w:rPr>
        <w:t>金桂浆纸年产75万吨化机浆扩建项目（以下简称“已批在建75万吨浆项目”）分两期建设，一期建设内容是对现有工程的1#~3#化机浆生产线进行技改（包括改造1#~2#化机浆生产线，分别由原来的25万t/a扩建为30万t/a；改造3#化机浆生产线，由原来的25万t/a扩建为40万t/a），现有污水处理站增加一套深度处理设施。二期建设内容是新增4#50万t/a化机浆生产线、新增备料系统及碱回收车间等工程。二期完成后，全厂的化机浆产能将达到150万t/a。</w:t>
      </w:r>
      <w:r>
        <w:rPr>
          <w:rFonts w:hint="eastAsia"/>
          <w:color w:val="auto"/>
        </w:rPr>
        <w:t>目前一期工程于2024年12月18日完成自主验收，二期</w:t>
      </w:r>
      <w:r>
        <w:rPr>
          <w:color w:val="auto"/>
        </w:rPr>
        <w:t>4#50万t/a化机浆生产线</w:t>
      </w:r>
      <w:r>
        <w:rPr>
          <w:rFonts w:hint="eastAsia"/>
          <w:color w:val="auto"/>
        </w:rPr>
        <w:t>在建，以下主要依据《</w:t>
      </w:r>
      <w:r>
        <w:rPr>
          <w:color w:val="auto"/>
        </w:rPr>
        <w:t>广西金桂浆纸业有限公司年产75万吨化机浆扩建项目</w:t>
      </w:r>
      <w:r>
        <w:rPr>
          <w:rFonts w:hint="eastAsia"/>
          <w:color w:val="auto"/>
        </w:rPr>
        <w:t>环境影响报告书（报批稿）》给出4#化机浆生产线的相关情况。</w:t>
      </w:r>
    </w:p>
    <w:p w14:paraId="68198654">
      <w:pPr>
        <w:pStyle w:val="5"/>
        <w:rPr>
          <w:color w:val="auto"/>
        </w:rPr>
      </w:pPr>
      <w:r>
        <w:rPr>
          <w:color w:val="auto"/>
        </w:rPr>
        <w:t>基本情况及工程内容</w:t>
      </w:r>
    </w:p>
    <w:p w14:paraId="36432F70">
      <w:pPr>
        <w:ind w:firstLine="480"/>
        <w:rPr>
          <w:color w:val="auto"/>
        </w:rPr>
      </w:pPr>
      <w:r>
        <w:rPr>
          <w:color w:val="auto"/>
        </w:rPr>
        <w:t>已批在建75万吨浆项目二期主要建设内容包括备料车间、化机浆车间等主体工程，碱回收车间等辅助工程，具体见</w:t>
      </w:r>
      <w:r>
        <w:rPr>
          <w:rFonts w:hint="eastAsia"/>
          <w:color w:val="auto"/>
        </w:rPr>
        <w:t>下表</w:t>
      </w:r>
      <w:r>
        <w:rPr>
          <w:color w:val="auto"/>
          <w:spacing w:val="-1"/>
        </w:rPr>
        <w:t>。</w:t>
      </w:r>
    </w:p>
    <w:p w14:paraId="4A7FBD3E">
      <w:pPr>
        <w:pStyle w:val="7"/>
        <w:rPr>
          <w:color w:val="auto"/>
        </w:rPr>
      </w:pPr>
      <w:r>
        <w:rPr>
          <w:color w:val="auto"/>
        </w:rPr>
        <w:t>已批在建</w:t>
      </w:r>
      <w:r>
        <w:rPr>
          <w:rFonts w:eastAsia="Times New Roman" w:cs="Times New Roman"/>
          <w:color w:val="auto"/>
        </w:rPr>
        <w:t>75</w:t>
      </w:r>
      <w:r>
        <w:rPr>
          <w:color w:val="auto"/>
        </w:rPr>
        <w:t>万吨浆项目</w:t>
      </w:r>
      <w:r>
        <w:rPr>
          <w:rFonts w:hint="eastAsia"/>
          <w:color w:val="auto"/>
        </w:rPr>
        <w:t>二期工程</w:t>
      </w:r>
      <w:r>
        <w:rPr>
          <w:color w:val="auto"/>
        </w:rPr>
        <w:t>组成一览表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83"/>
        <w:gridCol w:w="1306"/>
        <w:gridCol w:w="5237"/>
        <w:gridCol w:w="2160"/>
      </w:tblGrid>
      <w:tr w14:paraId="68CD12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314" w:type="pct"/>
            <w:vAlign w:val="center"/>
          </w:tcPr>
          <w:p w14:paraId="218BE065">
            <w:pPr>
              <w:pStyle w:val="33"/>
              <w:rPr>
                <w:color w:val="auto"/>
              </w:rPr>
            </w:pPr>
            <w:r>
              <w:rPr>
                <w:color w:val="auto"/>
              </w:rPr>
              <w:t>序号</w:t>
            </w:r>
          </w:p>
        </w:tc>
        <w:tc>
          <w:tcPr>
            <w:tcW w:w="703" w:type="pct"/>
            <w:vAlign w:val="center"/>
          </w:tcPr>
          <w:p w14:paraId="0E2C599D">
            <w:pPr>
              <w:pStyle w:val="33"/>
              <w:rPr>
                <w:color w:val="auto"/>
              </w:rPr>
            </w:pPr>
            <w:r>
              <w:rPr>
                <w:color w:val="auto"/>
              </w:rPr>
              <w:t>工程名称</w:t>
            </w:r>
          </w:p>
        </w:tc>
        <w:tc>
          <w:tcPr>
            <w:tcW w:w="2820" w:type="pct"/>
            <w:vAlign w:val="center"/>
          </w:tcPr>
          <w:p w14:paraId="5676841F">
            <w:pPr>
              <w:pStyle w:val="33"/>
              <w:rPr>
                <w:color w:val="auto"/>
              </w:rPr>
            </w:pPr>
            <w:r>
              <w:rPr>
                <w:color w:val="auto"/>
              </w:rPr>
              <w:t>内容及规模</w:t>
            </w:r>
          </w:p>
        </w:tc>
        <w:tc>
          <w:tcPr>
            <w:tcW w:w="1163" w:type="pct"/>
            <w:vAlign w:val="center"/>
          </w:tcPr>
          <w:p w14:paraId="1BB779EC">
            <w:pPr>
              <w:pStyle w:val="33"/>
              <w:rPr>
                <w:color w:val="auto"/>
              </w:rPr>
            </w:pPr>
            <w:r>
              <w:rPr>
                <w:color w:val="auto"/>
              </w:rPr>
              <w:t>备注</w:t>
            </w:r>
          </w:p>
        </w:tc>
      </w:tr>
      <w:tr w14:paraId="753D4D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1E45C257">
            <w:pPr>
              <w:pStyle w:val="33"/>
              <w:jc w:val="left"/>
              <w:rPr>
                <w:color w:val="auto"/>
              </w:rPr>
            </w:pPr>
            <w:r>
              <w:rPr>
                <w:color w:val="auto"/>
              </w:rPr>
              <w:t>1、主体工程</w:t>
            </w:r>
          </w:p>
        </w:tc>
      </w:tr>
      <w:tr w14:paraId="7F3067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4BD54B81">
            <w:pPr>
              <w:pStyle w:val="33"/>
              <w:rPr>
                <w:color w:val="auto"/>
              </w:rPr>
            </w:pPr>
            <w:r>
              <w:rPr>
                <w:color w:val="auto"/>
              </w:rPr>
              <w:t>1.1</w:t>
            </w:r>
          </w:p>
        </w:tc>
        <w:tc>
          <w:tcPr>
            <w:tcW w:w="703" w:type="pct"/>
            <w:vAlign w:val="center"/>
          </w:tcPr>
          <w:p w14:paraId="50BE64B6">
            <w:pPr>
              <w:pStyle w:val="33"/>
              <w:rPr>
                <w:color w:val="auto"/>
              </w:rPr>
            </w:pPr>
            <w:r>
              <w:rPr>
                <w:color w:val="auto"/>
              </w:rPr>
              <w:t>备料车间</w:t>
            </w:r>
          </w:p>
        </w:tc>
        <w:tc>
          <w:tcPr>
            <w:tcW w:w="2820" w:type="pct"/>
            <w:vAlign w:val="center"/>
          </w:tcPr>
          <w:p w14:paraId="332A7395">
            <w:pPr>
              <w:pStyle w:val="33"/>
              <w:jc w:val="left"/>
              <w:rPr>
                <w:color w:val="auto"/>
              </w:rPr>
            </w:pPr>
            <w:r>
              <w:rPr>
                <w:color w:val="auto"/>
              </w:rPr>
              <w:t>新增1500t/d备料系统，包括1条原木处理生产线和1条外来木片筛选生产线。</w:t>
            </w:r>
          </w:p>
        </w:tc>
        <w:tc>
          <w:tcPr>
            <w:tcW w:w="1163" w:type="pct"/>
            <w:vAlign w:val="center"/>
          </w:tcPr>
          <w:p w14:paraId="7EA0F052">
            <w:pPr>
              <w:pStyle w:val="33"/>
              <w:rPr>
                <w:color w:val="auto"/>
              </w:rPr>
            </w:pPr>
            <w:r>
              <w:rPr>
                <w:color w:val="auto"/>
              </w:rPr>
              <w:t>二期</w:t>
            </w:r>
          </w:p>
        </w:tc>
      </w:tr>
      <w:tr w14:paraId="57F8A4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7F0A565E">
            <w:pPr>
              <w:pStyle w:val="33"/>
              <w:rPr>
                <w:color w:val="auto"/>
              </w:rPr>
            </w:pPr>
            <w:r>
              <w:rPr>
                <w:color w:val="auto"/>
              </w:rPr>
              <w:t>1.</w:t>
            </w:r>
            <w:r>
              <w:rPr>
                <w:rFonts w:hint="eastAsia"/>
                <w:color w:val="auto"/>
              </w:rPr>
              <w:t>2</w:t>
            </w:r>
          </w:p>
        </w:tc>
        <w:tc>
          <w:tcPr>
            <w:tcW w:w="703" w:type="pct"/>
            <w:vAlign w:val="center"/>
          </w:tcPr>
          <w:p w14:paraId="4AA057F2">
            <w:pPr>
              <w:pStyle w:val="33"/>
              <w:rPr>
                <w:color w:val="auto"/>
              </w:rPr>
            </w:pPr>
            <w:r>
              <w:rPr>
                <w:color w:val="auto"/>
              </w:rPr>
              <w:t>化机浆车间</w:t>
            </w:r>
          </w:p>
        </w:tc>
        <w:tc>
          <w:tcPr>
            <w:tcW w:w="2820" w:type="pct"/>
            <w:vAlign w:val="center"/>
          </w:tcPr>
          <w:p w14:paraId="045ACC3D">
            <w:pPr>
              <w:pStyle w:val="33"/>
              <w:jc w:val="left"/>
              <w:rPr>
                <w:color w:val="auto"/>
              </w:rPr>
            </w:pPr>
            <w:r>
              <w:rPr>
                <w:color w:val="auto"/>
              </w:rPr>
              <w:t>新建4#50万t/aBCTMP化机浆制浆生产线。</w:t>
            </w:r>
          </w:p>
        </w:tc>
        <w:tc>
          <w:tcPr>
            <w:tcW w:w="1163" w:type="pct"/>
            <w:vAlign w:val="center"/>
          </w:tcPr>
          <w:p w14:paraId="2A59F429">
            <w:pPr>
              <w:pStyle w:val="33"/>
              <w:rPr>
                <w:color w:val="auto"/>
              </w:rPr>
            </w:pPr>
            <w:r>
              <w:rPr>
                <w:color w:val="auto"/>
              </w:rPr>
              <w:t>二期</w:t>
            </w:r>
          </w:p>
        </w:tc>
      </w:tr>
      <w:tr w14:paraId="7AB587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78DE1416">
            <w:pPr>
              <w:pStyle w:val="33"/>
              <w:jc w:val="left"/>
              <w:rPr>
                <w:color w:val="auto"/>
              </w:rPr>
            </w:pPr>
            <w:r>
              <w:rPr>
                <w:color w:val="auto"/>
              </w:rPr>
              <w:t>2、辅助工程</w:t>
            </w:r>
          </w:p>
        </w:tc>
      </w:tr>
      <w:tr w14:paraId="1B50F6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2110AF6F">
            <w:pPr>
              <w:pStyle w:val="33"/>
              <w:rPr>
                <w:color w:val="auto"/>
              </w:rPr>
            </w:pPr>
            <w:r>
              <w:rPr>
                <w:color w:val="auto"/>
              </w:rPr>
              <w:t>2.</w:t>
            </w:r>
            <w:r>
              <w:rPr>
                <w:rFonts w:hint="eastAsia"/>
                <w:color w:val="auto"/>
              </w:rPr>
              <w:t>1</w:t>
            </w:r>
          </w:p>
        </w:tc>
        <w:tc>
          <w:tcPr>
            <w:tcW w:w="703" w:type="pct"/>
            <w:vAlign w:val="center"/>
          </w:tcPr>
          <w:p w14:paraId="1826EB33">
            <w:pPr>
              <w:pStyle w:val="33"/>
              <w:rPr>
                <w:color w:val="auto"/>
              </w:rPr>
            </w:pPr>
            <w:r>
              <w:rPr>
                <w:color w:val="auto"/>
              </w:rPr>
              <w:t>2#碱回收车间</w:t>
            </w:r>
          </w:p>
        </w:tc>
        <w:tc>
          <w:tcPr>
            <w:tcW w:w="2820" w:type="pct"/>
            <w:vAlign w:val="center"/>
          </w:tcPr>
          <w:p w14:paraId="2819CE02">
            <w:pPr>
              <w:pStyle w:val="33"/>
              <w:jc w:val="left"/>
              <w:rPr>
                <w:color w:val="auto"/>
              </w:rPr>
            </w:pPr>
            <w:r>
              <w:rPr>
                <w:color w:val="auto"/>
              </w:rPr>
              <w:t>包括蒸发、燃烧、苛化（固形物设计处理能力500tD.S/d）工段：</w:t>
            </w:r>
            <w:r>
              <w:rPr>
                <w:rFonts w:hint="eastAsia"/>
                <w:color w:val="auto"/>
              </w:rPr>
              <w:t>①</w:t>
            </w:r>
            <w:r>
              <w:rPr>
                <w:color w:val="auto"/>
              </w:rPr>
              <w:t>蒸发工段，并联MVR板式降膜蒸发器和串联强制循环蒸发器组合工艺，设计蒸发水量950t/h；</w:t>
            </w:r>
            <w:r>
              <w:rPr>
                <w:rFonts w:hint="eastAsia"/>
                <w:color w:val="auto"/>
              </w:rPr>
              <w:t>②</w:t>
            </w:r>
            <w:r>
              <w:rPr>
                <w:color w:val="auto"/>
              </w:rPr>
              <w:t>2#碱回收炉：单汽包低臭型碱回收炉，处理能力500tD.S/d，额定蒸发量60t/h，配套6MW背压发电机组；</w:t>
            </w:r>
            <w:r>
              <w:rPr>
                <w:rFonts w:hint="eastAsia"/>
                <w:color w:val="auto"/>
              </w:rPr>
              <w:t>③</w:t>
            </w:r>
            <w:r>
              <w:rPr>
                <w:color w:val="auto"/>
              </w:rPr>
              <w:t>苛化工段：苛化率85%，碱回收率≥80%。</w:t>
            </w:r>
          </w:p>
        </w:tc>
        <w:tc>
          <w:tcPr>
            <w:tcW w:w="1163" w:type="pct"/>
            <w:vAlign w:val="center"/>
          </w:tcPr>
          <w:p w14:paraId="0100EB56">
            <w:pPr>
              <w:pStyle w:val="33"/>
              <w:rPr>
                <w:color w:val="auto"/>
              </w:rPr>
            </w:pPr>
            <w:r>
              <w:rPr>
                <w:color w:val="auto"/>
              </w:rPr>
              <w:t>完成后1#-3#化机浆生产线部分黑液进入2#碱回收炉燃烧，使1#、2#碱回收炉平均运行负荷达到76.09%。</w:t>
            </w:r>
          </w:p>
        </w:tc>
      </w:tr>
      <w:tr w14:paraId="21766F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0BFDC4E0">
            <w:pPr>
              <w:pStyle w:val="33"/>
              <w:jc w:val="left"/>
              <w:rPr>
                <w:color w:val="auto"/>
              </w:rPr>
            </w:pPr>
            <w:r>
              <w:rPr>
                <w:color w:val="auto"/>
              </w:rPr>
              <w:t>3、公用工程</w:t>
            </w:r>
          </w:p>
        </w:tc>
      </w:tr>
      <w:tr w14:paraId="10E467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5798955B">
            <w:pPr>
              <w:pStyle w:val="33"/>
              <w:rPr>
                <w:color w:val="auto"/>
              </w:rPr>
            </w:pPr>
            <w:r>
              <w:rPr>
                <w:color w:val="auto"/>
              </w:rPr>
              <w:t>3.</w:t>
            </w:r>
            <w:r>
              <w:rPr>
                <w:rFonts w:hint="eastAsia"/>
                <w:color w:val="auto"/>
              </w:rPr>
              <w:t>1</w:t>
            </w:r>
          </w:p>
        </w:tc>
        <w:tc>
          <w:tcPr>
            <w:tcW w:w="703" w:type="pct"/>
            <w:vAlign w:val="center"/>
          </w:tcPr>
          <w:p w14:paraId="13A6A4FB">
            <w:pPr>
              <w:pStyle w:val="33"/>
              <w:rPr>
                <w:color w:val="auto"/>
              </w:rPr>
            </w:pPr>
            <w:r>
              <w:rPr>
                <w:color w:val="auto"/>
              </w:rPr>
              <w:t>供电工程</w:t>
            </w:r>
          </w:p>
        </w:tc>
        <w:tc>
          <w:tcPr>
            <w:tcW w:w="2820" w:type="pct"/>
            <w:vAlign w:val="center"/>
          </w:tcPr>
          <w:p w14:paraId="7B13F5F7">
            <w:pPr>
              <w:pStyle w:val="33"/>
              <w:jc w:val="left"/>
              <w:rPr>
                <w:color w:val="auto"/>
              </w:rPr>
            </w:pPr>
            <w:r>
              <w:rPr>
                <w:color w:val="auto"/>
              </w:rPr>
              <w:t>2#碱回收炉配套6MW背压机组。</w:t>
            </w:r>
          </w:p>
        </w:tc>
        <w:tc>
          <w:tcPr>
            <w:tcW w:w="1163" w:type="pct"/>
            <w:vAlign w:val="center"/>
          </w:tcPr>
          <w:p w14:paraId="47CFFB31">
            <w:pPr>
              <w:pStyle w:val="33"/>
              <w:rPr>
                <w:color w:val="auto"/>
              </w:rPr>
            </w:pPr>
            <w:r>
              <w:rPr>
                <w:color w:val="auto"/>
              </w:rPr>
              <w:t>二期</w:t>
            </w:r>
          </w:p>
        </w:tc>
      </w:tr>
      <w:tr w14:paraId="479ABB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255EF99D">
            <w:pPr>
              <w:pStyle w:val="33"/>
              <w:jc w:val="left"/>
              <w:rPr>
                <w:color w:val="auto"/>
              </w:rPr>
            </w:pPr>
            <w:r>
              <w:rPr>
                <w:color w:val="auto"/>
              </w:rPr>
              <w:t>4、环保工程</w:t>
            </w:r>
          </w:p>
        </w:tc>
      </w:tr>
      <w:tr w14:paraId="300182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tcBorders>
              <w:bottom w:val="nil"/>
            </w:tcBorders>
            <w:vAlign w:val="center"/>
          </w:tcPr>
          <w:p w14:paraId="1623710E">
            <w:pPr>
              <w:pStyle w:val="33"/>
              <w:rPr>
                <w:color w:val="auto"/>
              </w:rPr>
            </w:pPr>
            <w:r>
              <w:rPr>
                <w:color w:val="auto"/>
              </w:rPr>
              <w:t>4.1</w:t>
            </w:r>
          </w:p>
        </w:tc>
        <w:tc>
          <w:tcPr>
            <w:tcW w:w="703" w:type="pct"/>
            <w:tcBorders>
              <w:bottom w:val="nil"/>
            </w:tcBorders>
            <w:vAlign w:val="center"/>
          </w:tcPr>
          <w:p w14:paraId="68B4E7CC">
            <w:pPr>
              <w:pStyle w:val="33"/>
              <w:rPr>
                <w:color w:val="auto"/>
              </w:rPr>
            </w:pPr>
            <w:r>
              <w:rPr>
                <w:color w:val="auto"/>
              </w:rPr>
              <w:t>废气治理</w:t>
            </w:r>
          </w:p>
        </w:tc>
        <w:tc>
          <w:tcPr>
            <w:tcW w:w="2820" w:type="pct"/>
            <w:vAlign w:val="center"/>
          </w:tcPr>
          <w:p w14:paraId="7F2D6269">
            <w:pPr>
              <w:pStyle w:val="33"/>
              <w:jc w:val="left"/>
              <w:rPr>
                <w:color w:val="auto"/>
              </w:rPr>
            </w:pPr>
            <w:r>
              <w:rPr>
                <w:color w:val="auto"/>
              </w:rPr>
              <w:t>2#碱回收炉采用两台四电场静电除尘器除尘，设计除尘效率为99.9%，烟囱120mH×Ф2.60m。</w:t>
            </w:r>
          </w:p>
        </w:tc>
        <w:tc>
          <w:tcPr>
            <w:tcW w:w="1163" w:type="pct"/>
            <w:vAlign w:val="center"/>
          </w:tcPr>
          <w:p w14:paraId="0B25462A">
            <w:pPr>
              <w:pStyle w:val="33"/>
              <w:rPr>
                <w:color w:val="auto"/>
              </w:rPr>
            </w:pPr>
            <w:r>
              <w:rPr>
                <w:color w:val="auto"/>
              </w:rPr>
              <w:t>二期</w:t>
            </w:r>
          </w:p>
        </w:tc>
      </w:tr>
      <w:tr w14:paraId="369B31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4E5953D">
            <w:pPr>
              <w:pStyle w:val="33"/>
              <w:jc w:val="left"/>
              <w:rPr>
                <w:color w:val="auto"/>
              </w:rPr>
            </w:pPr>
            <w:r>
              <w:rPr>
                <w:color w:val="auto"/>
              </w:rPr>
              <w:t>5、储运工程</w:t>
            </w:r>
          </w:p>
        </w:tc>
      </w:tr>
      <w:tr w14:paraId="68465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7AC434DB">
            <w:pPr>
              <w:pStyle w:val="33"/>
              <w:rPr>
                <w:color w:val="auto"/>
              </w:rPr>
            </w:pPr>
            <w:r>
              <w:rPr>
                <w:color w:val="auto"/>
              </w:rPr>
              <w:t>5.1</w:t>
            </w:r>
          </w:p>
        </w:tc>
        <w:tc>
          <w:tcPr>
            <w:tcW w:w="703" w:type="pct"/>
            <w:vAlign w:val="center"/>
          </w:tcPr>
          <w:p w14:paraId="542CA4FA">
            <w:pPr>
              <w:pStyle w:val="33"/>
              <w:rPr>
                <w:color w:val="auto"/>
              </w:rPr>
            </w:pPr>
            <w:r>
              <w:rPr>
                <w:color w:val="auto"/>
              </w:rPr>
              <w:t>各类仓库</w:t>
            </w:r>
          </w:p>
        </w:tc>
        <w:tc>
          <w:tcPr>
            <w:tcW w:w="2820" w:type="pct"/>
            <w:vAlign w:val="center"/>
          </w:tcPr>
          <w:p w14:paraId="4FC1E88E">
            <w:pPr>
              <w:pStyle w:val="33"/>
              <w:jc w:val="left"/>
              <w:rPr>
                <w:color w:val="auto"/>
              </w:rPr>
            </w:pPr>
            <w:r>
              <w:rPr>
                <w:color w:val="auto"/>
              </w:rPr>
              <w:t>NaOH储罐3个（3×100m</w:t>
            </w:r>
            <w:r>
              <w:rPr>
                <w:color w:val="auto"/>
                <w:vertAlign w:val="superscript"/>
              </w:rPr>
              <w:t>3</w:t>
            </w:r>
            <w:r>
              <w:rPr>
                <w:color w:val="auto"/>
              </w:rPr>
              <w:t>）、H</w:t>
            </w:r>
            <w:r>
              <w:rPr>
                <w:color w:val="auto"/>
                <w:vertAlign w:val="subscript"/>
              </w:rPr>
              <w:t>2</w:t>
            </w:r>
            <w:r>
              <w:rPr>
                <w:color w:val="auto"/>
              </w:rPr>
              <w:t>O</w:t>
            </w:r>
            <w:r>
              <w:rPr>
                <w:color w:val="auto"/>
                <w:vertAlign w:val="subscript"/>
              </w:rPr>
              <w:t>2</w:t>
            </w:r>
            <w:r>
              <w:rPr>
                <w:color w:val="auto"/>
              </w:rPr>
              <w:t>储罐2个（1×1000m</w:t>
            </w:r>
            <w:r>
              <w:rPr>
                <w:color w:val="auto"/>
                <w:vertAlign w:val="superscript"/>
              </w:rPr>
              <w:t>3</w:t>
            </w:r>
            <w:r>
              <w:rPr>
                <w:color w:val="auto"/>
              </w:rPr>
              <w:t>/个，1×50m</w:t>
            </w:r>
            <w:r>
              <w:rPr>
                <w:color w:val="auto"/>
                <w:vertAlign w:val="superscript"/>
              </w:rPr>
              <w:t>3</w:t>
            </w:r>
            <w:r>
              <w:rPr>
                <w:color w:val="auto"/>
              </w:rPr>
              <w:t>/个）、醋酸储罐1个（210m</w:t>
            </w:r>
            <w:r>
              <w:rPr>
                <w:color w:val="auto"/>
                <w:vertAlign w:val="superscript"/>
              </w:rPr>
              <w:t>3</w:t>
            </w:r>
            <w:r>
              <w:rPr>
                <w:color w:val="auto"/>
              </w:rPr>
              <w:t>）。</w:t>
            </w:r>
          </w:p>
        </w:tc>
        <w:tc>
          <w:tcPr>
            <w:tcW w:w="1163" w:type="pct"/>
            <w:vAlign w:val="center"/>
          </w:tcPr>
          <w:p w14:paraId="5D037257">
            <w:pPr>
              <w:pStyle w:val="33"/>
              <w:rPr>
                <w:color w:val="auto"/>
              </w:rPr>
            </w:pPr>
            <w:r>
              <w:rPr>
                <w:color w:val="auto"/>
              </w:rPr>
              <w:t>二期</w:t>
            </w:r>
          </w:p>
        </w:tc>
      </w:tr>
    </w:tbl>
    <w:p w14:paraId="6E660571">
      <w:pPr>
        <w:pStyle w:val="5"/>
        <w:rPr>
          <w:color w:val="auto"/>
        </w:rPr>
      </w:pPr>
      <w:r>
        <w:rPr>
          <w:color w:val="auto"/>
        </w:rPr>
        <w:t>主要原辅料及能源消耗</w:t>
      </w:r>
    </w:p>
    <w:p w14:paraId="5AEBBADB">
      <w:pPr>
        <w:ind w:firstLine="480"/>
        <w:rPr>
          <w:color w:val="auto"/>
        </w:rPr>
      </w:pPr>
      <w:r>
        <w:rPr>
          <w:color w:val="auto"/>
        </w:rPr>
        <w:t>已批在建75万吨浆项目</w:t>
      </w:r>
      <w:r>
        <w:rPr>
          <w:rFonts w:hint="eastAsia"/>
          <w:color w:val="auto"/>
        </w:rPr>
        <w:t>二期工程</w:t>
      </w:r>
      <w:r>
        <w:rPr>
          <w:color w:val="auto"/>
        </w:rPr>
        <w:t>主要原辅材料消耗情况见</w:t>
      </w:r>
      <w:r>
        <w:rPr>
          <w:rFonts w:hint="eastAsia"/>
          <w:color w:val="auto"/>
        </w:rPr>
        <w:t>下表</w:t>
      </w:r>
      <w:r>
        <w:rPr>
          <w:color w:val="auto"/>
        </w:rPr>
        <w:t>。</w:t>
      </w:r>
    </w:p>
    <w:p w14:paraId="206C58AC">
      <w:pPr>
        <w:pStyle w:val="7"/>
        <w:rPr>
          <w:color w:val="auto"/>
        </w:rPr>
      </w:pPr>
      <w:r>
        <w:rPr>
          <w:color w:val="auto"/>
        </w:rPr>
        <w:t>已批在建</w:t>
      </w:r>
      <w:r>
        <w:rPr>
          <w:rFonts w:eastAsia="Times New Roman" w:cs="Times New Roman"/>
          <w:color w:val="auto"/>
        </w:rPr>
        <w:t>75</w:t>
      </w:r>
      <w:r>
        <w:rPr>
          <w:color w:val="auto"/>
        </w:rPr>
        <w:t>万吨浆项目</w:t>
      </w:r>
      <w:r>
        <w:rPr>
          <w:rFonts w:hint="eastAsia"/>
          <w:color w:val="auto"/>
        </w:rPr>
        <w:t>二期工程</w:t>
      </w:r>
      <w:r>
        <w:rPr>
          <w:color w:val="auto"/>
        </w:rPr>
        <w:t>主要原辅材料消耗情况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426"/>
        <w:gridCol w:w="1253"/>
        <w:gridCol w:w="1171"/>
        <w:gridCol w:w="893"/>
        <w:gridCol w:w="697"/>
        <w:gridCol w:w="697"/>
        <w:gridCol w:w="842"/>
        <w:gridCol w:w="3307"/>
      </w:tblGrid>
      <w:tr w14:paraId="33AE7F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blHeader/>
        </w:trPr>
        <w:tc>
          <w:tcPr>
            <w:tcW w:w="235" w:type="pct"/>
            <w:vMerge w:val="restart"/>
            <w:vAlign w:val="center"/>
          </w:tcPr>
          <w:p w14:paraId="779294A6">
            <w:pPr>
              <w:pStyle w:val="33"/>
              <w:rPr>
                <w:color w:val="auto"/>
              </w:rPr>
            </w:pPr>
            <w:r>
              <w:rPr>
                <w:rFonts w:hint="eastAsia"/>
                <w:color w:val="auto"/>
              </w:rPr>
              <w:t>序号</w:t>
            </w:r>
          </w:p>
        </w:tc>
        <w:tc>
          <w:tcPr>
            <w:tcW w:w="701" w:type="pct"/>
            <w:vMerge w:val="restart"/>
            <w:tcBorders>
              <w:bottom w:val="nil"/>
            </w:tcBorders>
            <w:vAlign w:val="center"/>
          </w:tcPr>
          <w:p w14:paraId="4D5DA029">
            <w:pPr>
              <w:pStyle w:val="33"/>
              <w:rPr>
                <w:color w:val="auto"/>
              </w:rPr>
            </w:pPr>
            <w:r>
              <w:rPr>
                <w:color w:val="auto"/>
              </w:rPr>
              <w:t>车间</w:t>
            </w:r>
          </w:p>
        </w:tc>
        <w:tc>
          <w:tcPr>
            <w:tcW w:w="625" w:type="pct"/>
            <w:vMerge w:val="restart"/>
            <w:tcBorders>
              <w:bottom w:val="nil"/>
            </w:tcBorders>
            <w:vAlign w:val="center"/>
          </w:tcPr>
          <w:p w14:paraId="1BD6287A">
            <w:pPr>
              <w:pStyle w:val="33"/>
              <w:rPr>
                <w:color w:val="auto"/>
              </w:rPr>
            </w:pPr>
            <w:r>
              <w:rPr>
                <w:color w:val="auto"/>
              </w:rPr>
              <w:t>物料名称</w:t>
            </w:r>
          </w:p>
        </w:tc>
        <w:tc>
          <w:tcPr>
            <w:tcW w:w="782" w:type="pct"/>
            <w:gridSpan w:val="2"/>
            <w:vAlign w:val="center"/>
          </w:tcPr>
          <w:p w14:paraId="01DB9329">
            <w:pPr>
              <w:pStyle w:val="33"/>
              <w:rPr>
                <w:color w:val="auto"/>
              </w:rPr>
            </w:pPr>
            <w:r>
              <w:rPr>
                <w:color w:val="auto"/>
              </w:rPr>
              <w:t>单耗</w:t>
            </w:r>
          </w:p>
        </w:tc>
        <w:tc>
          <w:tcPr>
            <w:tcW w:w="860" w:type="pct"/>
            <w:gridSpan w:val="2"/>
            <w:vAlign w:val="center"/>
          </w:tcPr>
          <w:p w14:paraId="5FA94045">
            <w:pPr>
              <w:pStyle w:val="33"/>
              <w:rPr>
                <w:color w:val="auto"/>
              </w:rPr>
            </w:pPr>
            <w:r>
              <w:rPr>
                <w:rFonts w:hint="eastAsia"/>
                <w:bCs/>
                <w:color w:val="auto"/>
              </w:rPr>
              <w:t>二期工程</w:t>
            </w:r>
            <w:r>
              <w:rPr>
                <w:color w:val="auto"/>
              </w:rPr>
              <w:t>年耗</w:t>
            </w:r>
          </w:p>
        </w:tc>
        <w:tc>
          <w:tcPr>
            <w:tcW w:w="1796" w:type="pct"/>
            <w:vMerge w:val="restart"/>
            <w:tcBorders>
              <w:bottom w:val="nil"/>
            </w:tcBorders>
            <w:vAlign w:val="center"/>
          </w:tcPr>
          <w:p w14:paraId="7B136FA1">
            <w:pPr>
              <w:pStyle w:val="33"/>
              <w:rPr>
                <w:color w:val="auto"/>
              </w:rPr>
            </w:pPr>
            <w:r>
              <w:rPr>
                <w:color w:val="auto"/>
              </w:rPr>
              <w:t>备注</w:t>
            </w:r>
          </w:p>
        </w:tc>
      </w:tr>
      <w:tr w14:paraId="13B61E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blHeader/>
        </w:trPr>
        <w:tc>
          <w:tcPr>
            <w:tcW w:w="235" w:type="pct"/>
            <w:vMerge w:val="continue"/>
            <w:vAlign w:val="center"/>
          </w:tcPr>
          <w:p w14:paraId="4850EB30">
            <w:pPr>
              <w:pStyle w:val="33"/>
              <w:rPr>
                <w:color w:val="auto"/>
              </w:rPr>
            </w:pPr>
          </w:p>
        </w:tc>
        <w:tc>
          <w:tcPr>
            <w:tcW w:w="701" w:type="pct"/>
            <w:vMerge w:val="continue"/>
            <w:tcBorders>
              <w:top w:val="nil"/>
            </w:tcBorders>
            <w:vAlign w:val="center"/>
          </w:tcPr>
          <w:p w14:paraId="635B591E">
            <w:pPr>
              <w:pStyle w:val="33"/>
              <w:rPr>
                <w:color w:val="auto"/>
              </w:rPr>
            </w:pPr>
          </w:p>
        </w:tc>
        <w:tc>
          <w:tcPr>
            <w:tcW w:w="625" w:type="pct"/>
            <w:vMerge w:val="continue"/>
            <w:tcBorders>
              <w:top w:val="nil"/>
            </w:tcBorders>
            <w:vAlign w:val="center"/>
          </w:tcPr>
          <w:p w14:paraId="4276B515">
            <w:pPr>
              <w:pStyle w:val="33"/>
              <w:rPr>
                <w:color w:val="auto"/>
              </w:rPr>
            </w:pPr>
          </w:p>
        </w:tc>
        <w:tc>
          <w:tcPr>
            <w:tcW w:w="391" w:type="pct"/>
            <w:vAlign w:val="center"/>
          </w:tcPr>
          <w:p w14:paraId="5F0DB0A8">
            <w:pPr>
              <w:pStyle w:val="33"/>
              <w:rPr>
                <w:color w:val="auto"/>
              </w:rPr>
            </w:pPr>
            <w:r>
              <w:rPr>
                <w:color w:val="auto"/>
              </w:rPr>
              <w:t>单位</w:t>
            </w:r>
          </w:p>
        </w:tc>
        <w:tc>
          <w:tcPr>
            <w:tcW w:w="391" w:type="pct"/>
            <w:vAlign w:val="center"/>
          </w:tcPr>
          <w:p w14:paraId="2B3F088E">
            <w:pPr>
              <w:pStyle w:val="33"/>
              <w:rPr>
                <w:color w:val="auto"/>
              </w:rPr>
            </w:pPr>
            <w:r>
              <w:rPr>
                <w:color w:val="auto"/>
              </w:rPr>
              <w:t>数量</w:t>
            </w:r>
          </w:p>
        </w:tc>
        <w:tc>
          <w:tcPr>
            <w:tcW w:w="391" w:type="pct"/>
            <w:vAlign w:val="center"/>
          </w:tcPr>
          <w:p w14:paraId="2C37FC2A">
            <w:pPr>
              <w:pStyle w:val="33"/>
              <w:rPr>
                <w:color w:val="auto"/>
              </w:rPr>
            </w:pPr>
            <w:r>
              <w:rPr>
                <w:color w:val="auto"/>
              </w:rPr>
              <w:t>单位</w:t>
            </w:r>
          </w:p>
        </w:tc>
        <w:tc>
          <w:tcPr>
            <w:tcW w:w="469" w:type="pct"/>
            <w:vAlign w:val="center"/>
          </w:tcPr>
          <w:p w14:paraId="7AD1A328">
            <w:pPr>
              <w:pStyle w:val="33"/>
              <w:rPr>
                <w:color w:val="auto"/>
              </w:rPr>
            </w:pPr>
            <w:r>
              <w:rPr>
                <w:color w:val="auto"/>
              </w:rPr>
              <w:t>数量</w:t>
            </w:r>
          </w:p>
        </w:tc>
        <w:tc>
          <w:tcPr>
            <w:tcW w:w="1796" w:type="pct"/>
            <w:vMerge w:val="continue"/>
            <w:tcBorders>
              <w:top w:val="nil"/>
            </w:tcBorders>
            <w:vAlign w:val="center"/>
          </w:tcPr>
          <w:p w14:paraId="576D35CF">
            <w:pPr>
              <w:pStyle w:val="33"/>
              <w:rPr>
                <w:color w:val="auto"/>
              </w:rPr>
            </w:pPr>
          </w:p>
        </w:tc>
      </w:tr>
      <w:tr w14:paraId="554321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4CC9F360">
            <w:pPr>
              <w:pStyle w:val="33"/>
              <w:rPr>
                <w:color w:val="auto"/>
              </w:rPr>
            </w:pPr>
          </w:p>
        </w:tc>
        <w:tc>
          <w:tcPr>
            <w:tcW w:w="701" w:type="pct"/>
            <w:vMerge w:val="restart"/>
            <w:tcBorders>
              <w:bottom w:val="nil"/>
            </w:tcBorders>
            <w:vAlign w:val="center"/>
          </w:tcPr>
          <w:p w14:paraId="7A8A7879">
            <w:pPr>
              <w:pStyle w:val="33"/>
              <w:rPr>
                <w:color w:val="auto"/>
              </w:rPr>
            </w:pPr>
            <w:r>
              <w:rPr>
                <w:color w:val="auto"/>
              </w:rPr>
              <w:t>备料车间</w:t>
            </w:r>
          </w:p>
        </w:tc>
        <w:tc>
          <w:tcPr>
            <w:tcW w:w="625" w:type="pct"/>
            <w:vAlign w:val="center"/>
          </w:tcPr>
          <w:p w14:paraId="2D3CA88D">
            <w:pPr>
              <w:pStyle w:val="33"/>
              <w:rPr>
                <w:color w:val="auto"/>
              </w:rPr>
            </w:pPr>
            <w:r>
              <w:rPr>
                <w:color w:val="auto"/>
              </w:rPr>
              <w:t>原木</w:t>
            </w:r>
          </w:p>
        </w:tc>
        <w:tc>
          <w:tcPr>
            <w:tcW w:w="391" w:type="pct"/>
            <w:vAlign w:val="center"/>
          </w:tcPr>
          <w:p w14:paraId="0B1B06F6">
            <w:pPr>
              <w:pStyle w:val="33"/>
              <w:rPr>
                <w:color w:val="auto"/>
              </w:rPr>
            </w:pPr>
            <w:r>
              <w:rPr>
                <w:color w:val="auto"/>
              </w:rPr>
              <w:t>m</w:t>
            </w:r>
            <w:r>
              <w:rPr>
                <w:color w:val="auto"/>
                <w:vertAlign w:val="superscript"/>
              </w:rPr>
              <w:t>3</w:t>
            </w:r>
            <w:r>
              <w:rPr>
                <w:color w:val="auto"/>
              </w:rPr>
              <w:t>/Adt</w:t>
            </w:r>
          </w:p>
        </w:tc>
        <w:tc>
          <w:tcPr>
            <w:tcW w:w="391" w:type="pct"/>
            <w:vAlign w:val="center"/>
          </w:tcPr>
          <w:p w14:paraId="26E6C7C3">
            <w:pPr>
              <w:pStyle w:val="33"/>
              <w:rPr>
                <w:color w:val="auto"/>
              </w:rPr>
            </w:pPr>
          </w:p>
        </w:tc>
        <w:tc>
          <w:tcPr>
            <w:tcW w:w="391" w:type="pct"/>
            <w:vAlign w:val="center"/>
          </w:tcPr>
          <w:p w14:paraId="7E8A46BF">
            <w:pPr>
              <w:pStyle w:val="33"/>
              <w:rPr>
                <w:color w:val="auto"/>
              </w:rPr>
            </w:pPr>
            <w:r>
              <w:rPr>
                <w:color w:val="auto"/>
              </w:rPr>
              <w:t>万m</w:t>
            </w:r>
            <w:r>
              <w:rPr>
                <w:color w:val="auto"/>
                <w:vertAlign w:val="superscript"/>
              </w:rPr>
              <w:t>3</w:t>
            </w:r>
            <w:r>
              <w:rPr>
                <w:color w:val="auto"/>
              </w:rPr>
              <w:t>/a</w:t>
            </w:r>
          </w:p>
        </w:tc>
        <w:tc>
          <w:tcPr>
            <w:tcW w:w="469" w:type="pct"/>
            <w:vAlign w:val="center"/>
          </w:tcPr>
          <w:p w14:paraId="19C91576">
            <w:pPr>
              <w:pStyle w:val="33"/>
              <w:rPr>
                <w:color w:val="auto"/>
              </w:rPr>
            </w:pPr>
          </w:p>
        </w:tc>
        <w:tc>
          <w:tcPr>
            <w:tcW w:w="1796" w:type="pct"/>
            <w:vAlign w:val="center"/>
          </w:tcPr>
          <w:p w14:paraId="5248FDF3">
            <w:pPr>
              <w:pStyle w:val="33"/>
              <w:rPr>
                <w:color w:val="auto"/>
              </w:rPr>
            </w:pPr>
          </w:p>
        </w:tc>
      </w:tr>
      <w:tr w14:paraId="10F76C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B7A5CD8">
            <w:pPr>
              <w:pStyle w:val="33"/>
              <w:rPr>
                <w:color w:val="auto"/>
              </w:rPr>
            </w:pPr>
          </w:p>
        </w:tc>
        <w:tc>
          <w:tcPr>
            <w:tcW w:w="701" w:type="pct"/>
            <w:vMerge w:val="continue"/>
            <w:tcBorders>
              <w:top w:val="nil"/>
            </w:tcBorders>
            <w:vAlign w:val="center"/>
          </w:tcPr>
          <w:p w14:paraId="70487DB8">
            <w:pPr>
              <w:pStyle w:val="33"/>
              <w:rPr>
                <w:color w:val="auto"/>
              </w:rPr>
            </w:pPr>
          </w:p>
        </w:tc>
        <w:tc>
          <w:tcPr>
            <w:tcW w:w="625" w:type="pct"/>
            <w:vAlign w:val="center"/>
          </w:tcPr>
          <w:p w14:paraId="280BDEFA">
            <w:pPr>
              <w:pStyle w:val="33"/>
              <w:rPr>
                <w:color w:val="auto"/>
              </w:rPr>
            </w:pPr>
            <w:r>
              <w:rPr>
                <w:color w:val="auto"/>
              </w:rPr>
              <w:t>木片</w:t>
            </w:r>
          </w:p>
        </w:tc>
        <w:tc>
          <w:tcPr>
            <w:tcW w:w="391" w:type="pct"/>
            <w:vAlign w:val="center"/>
          </w:tcPr>
          <w:p w14:paraId="6A75DC48">
            <w:pPr>
              <w:pStyle w:val="33"/>
              <w:rPr>
                <w:color w:val="auto"/>
              </w:rPr>
            </w:pPr>
            <w:r>
              <w:rPr>
                <w:color w:val="auto"/>
              </w:rPr>
              <w:t>m</w:t>
            </w:r>
            <w:r>
              <w:rPr>
                <w:color w:val="auto"/>
                <w:vertAlign w:val="superscript"/>
              </w:rPr>
              <w:t>3</w:t>
            </w:r>
            <w:r>
              <w:rPr>
                <w:color w:val="auto"/>
              </w:rPr>
              <w:t>/Adt</w:t>
            </w:r>
          </w:p>
        </w:tc>
        <w:tc>
          <w:tcPr>
            <w:tcW w:w="391" w:type="pct"/>
            <w:vAlign w:val="center"/>
          </w:tcPr>
          <w:p w14:paraId="4690B097">
            <w:pPr>
              <w:pStyle w:val="33"/>
              <w:rPr>
                <w:color w:val="auto"/>
              </w:rPr>
            </w:pPr>
          </w:p>
        </w:tc>
        <w:tc>
          <w:tcPr>
            <w:tcW w:w="391" w:type="pct"/>
            <w:vAlign w:val="center"/>
          </w:tcPr>
          <w:p w14:paraId="37D3630D">
            <w:pPr>
              <w:pStyle w:val="33"/>
              <w:rPr>
                <w:color w:val="auto"/>
              </w:rPr>
            </w:pPr>
            <w:r>
              <w:rPr>
                <w:color w:val="auto"/>
              </w:rPr>
              <w:t>万m</w:t>
            </w:r>
            <w:r>
              <w:rPr>
                <w:color w:val="auto"/>
                <w:vertAlign w:val="superscript"/>
              </w:rPr>
              <w:t>3</w:t>
            </w:r>
            <w:r>
              <w:rPr>
                <w:color w:val="auto"/>
              </w:rPr>
              <w:t>/a</w:t>
            </w:r>
          </w:p>
        </w:tc>
        <w:tc>
          <w:tcPr>
            <w:tcW w:w="469" w:type="pct"/>
            <w:vAlign w:val="center"/>
          </w:tcPr>
          <w:p w14:paraId="438BCD87">
            <w:pPr>
              <w:pStyle w:val="33"/>
              <w:rPr>
                <w:color w:val="auto"/>
              </w:rPr>
            </w:pPr>
          </w:p>
        </w:tc>
        <w:tc>
          <w:tcPr>
            <w:tcW w:w="1796" w:type="pct"/>
            <w:vAlign w:val="center"/>
          </w:tcPr>
          <w:p w14:paraId="65588BC8">
            <w:pPr>
              <w:pStyle w:val="33"/>
              <w:rPr>
                <w:color w:val="auto"/>
              </w:rPr>
            </w:pPr>
          </w:p>
        </w:tc>
      </w:tr>
      <w:tr w14:paraId="7F3826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F063861">
            <w:pPr>
              <w:pStyle w:val="33"/>
              <w:rPr>
                <w:color w:val="auto"/>
              </w:rPr>
            </w:pPr>
          </w:p>
        </w:tc>
        <w:tc>
          <w:tcPr>
            <w:tcW w:w="701" w:type="pct"/>
            <w:vMerge w:val="restart"/>
            <w:tcBorders>
              <w:bottom w:val="nil"/>
            </w:tcBorders>
            <w:vAlign w:val="center"/>
          </w:tcPr>
          <w:p w14:paraId="2CADCB57">
            <w:pPr>
              <w:pStyle w:val="33"/>
              <w:rPr>
                <w:color w:val="auto"/>
              </w:rPr>
            </w:pPr>
            <w:r>
              <w:rPr>
                <w:color w:val="auto"/>
              </w:rPr>
              <w:t>化机浆车间</w:t>
            </w:r>
          </w:p>
        </w:tc>
        <w:tc>
          <w:tcPr>
            <w:tcW w:w="625" w:type="pct"/>
            <w:vAlign w:val="center"/>
          </w:tcPr>
          <w:p w14:paraId="225E83E0">
            <w:pPr>
              <w:pStyle w:val="33"/>
              <w:rPr>
                <w:color w:val="auto"/>
              </w:rPr>
            </w:pPr>
            <w:r>
              <w:rPr>
                <w:color w:val="auto"/>
              </w:rPr>
              <w:t>合格木片</w:t>
            </w:r>
          </w:p>
        </w:tc>
        <w:tc>
          <w:tcPr>
            <w:tcW w:w="391" w:type="pct"/>
            <w:vAlign w:val="center"/>
          </w:tcPr>
          <w:p w14:paraId="1EF5F5DA">
            <w:pPr>
              <w:pStyle w:val="33"/>
              <w:rPr>
                <w:color w:val="auto"/>
              </w:rPr>
            </w:pPr>
            <w:r>
              <w:rPr>
                <w:color w:val="auto"/>
              </w:rPr>
              <w:t>Bdt/Adt</w:t>
            </w:r>
          </w:p>
        </w:tc>
        <w:tc>
          <w:tcPr>
            <w:tcW w:w="391" w:type="pct"/>
            <w:vAlign w:val="center"/>
          </w:tcPr>
          <w:p w14:paraId="5CE57EFD">
            <w:pPr>
              <w:pStyle w:val="33"/>
              <w:rPr>
                <w:color w:val="auto"/>
              </w:rPr>
            </w:pPr>
          </w:p>
        </w:tc>
        <w:tc>
          <w:tcPr>
            <w:tcW w:w="391" w:type="pct"/>
            <w:vAlign w:val="center"/>
          </w:tcPr>
          <w:p w14:paraId="6B45A518">
            <w:pPr>
              <w:pStyle w:val="33"/>
              <w:rPr>
                <w:color w:val="auto"/>
              </w:rPr>
            </w:pPr>
            <w:r>
              <w:rPr>
                <w:color w:val="auto"/>
              </w:rPr>
              <w:t>万Bdt/a</w:t>
            </w:r>
          </w:p>
        </w:tc>
        <w:tc>
          <w:tcPr>
            <w:tcW w:w="469" w:type="pct"/>
            <w:vAlign w:val="center"/>
          </w:tcPr>
          <w:p w14:paraId="69DB8D37">
            <w:pPr>
              <w:pStyle w:val="33"/>
              <w:rPr>
                <w:color w:val="auto"/>
              </w:rPr>
            </w:pPr>
          </w:p>
        </w:tc>
        <w:tc>
          <w:tcPr>
            <w:tcW w:w="1796" w:type="pct"/>
            <w:vAlign w:val="center"/>
          </w:tcPr>
          <w:p w14:paraId="26C56ECB">
            <w:pPr>
              <w:pStyle w:val="33"/>
              <w:rPr>
                <w:color w:val="auto"/>
              </w:rPr>
            </w:pPr>
          </w:p>
        </w:tc>
      </w:tr>
      <w:tr w14:paraId="2A2290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281F8006">
            <w:pPr>
              <w:pStyle w:val="33"/>
              <w:rPr>
                <w:color w:val="auto"/>
              </w:rPr>
            </w:pPr>
          </w:p>
        </w:tc>
        <w:tc>
          <w:tcPr>
            <w:tcW w:w="701" w:type="pct"/>
            <w:vMerge w:val="continue"/>
            <w:tcBorders>
              <w:top w:val="nil"/>
            </w:tcBorders>
            <w:vAlign w:val="center"/>
          </w:tcPr>
          <w:p w14:paraId="5B7F30E2">
            <w:pPr>
              <w:pStyle w:val="33"/>
              <w:rPr>
                <w:color w:val="auto"/>
              </w:rPr>
            </w:pPr>
          </w:p>
        </w:tc>
        <w:tc>
          <w:tcPr>
            <w:tcW w:w="625" w:type="pct"/>
            <w:vAlign w:val="center"/>
          </w:tcPr>
          <w:p w14:paraId="39832B9D">
            <w:pPr>
              <w:pStyle w:val="33"/>
              <w:rPr>
                <w:color w:val="auto"/>
              </w:rPr>
            </w:pPr>
            <w:r>
              <w:rPr>
                <w:color w:val="auto"/>
              </w:rPr>
              <w:t>氢氧化钠</w:t>
            </w:r>
          </w:p>
        </w:tc>
        <w:tc>
          <w:tcPr>
            <w:tcW w:w="391" w:type="pct"/>
            <w:vAlign w:val="center"/>
          </w:tcPr>
          <w:p w14:paraId="782CF3E2">
            <w:pPr>
              <w:pStyle w:val="33"/>
              <w:rPr>
                <w:color w:val="auto"/>
              </w:rPr>
            </w:pPr>
            <w:r>
              <w:rPr>
                <w:color w:val="auto"/>
              </w:rPr>
              <w:t>kg/Adt</w:t>
            </w:r>
          </w:p>
        </w:tc>
        <w:tc>
          <w:tcPr>
            <w:tcW w:w="391" w:type="pct"/>
            <w:vAlign w:val="center"/>
          </w:tcPr>
          <w:p w14:paraId="6F951ABD">
            <w:pPr>
              <w:pStyle w:val="33"/>
              <w:rPr>
                <w:color w:val="auto"/>
              </w:rPr>
            </w:pPr>
          </w:p>
        </w:tc>
        <w:tc>
          <w:tcPr>
            <w:tcW w:w="391" w:type="pct"/>
            <w:vAlign w:val="center"/>
          </w:tcPr>
          <w:p w14:paraId="462FA564">
            <w:pPr>
              <w:pStyle w:val="33"/>
              <w:rPr>
                <w:color w:val="auto"/>
              </w:rPr>
            </w:pPr>
            <w:r>
              <w:rPr>
                <w:color w:val="auto"/>
              </w:rPr>
              <w:t>万t/a</w:t>
            </w:r>
          </w:p>
        </w:tc>
        <w:tc>
          <w:tcPr>
            <w:tcW w:w="469" w:type="pct"/>
            <w:vAlign w:val="center"/>
          </w:tcPr>
          <w:p w14:paraId="2CE8DA5A">
            <w:pPr>
              <w:pStyle w:val="33"/>
              <w:rPr>
                <w:color w:val="auto"/>
              </w:rPr>
            </w:pPr>
          </w:p>
        </w:tc>
        <w:tc>
          <w:tcPr>
            <w:tcW w:w="1796" w:type="pct"/>
            <w:vAlign w:val="center"/>
          </w:tcPr>
          <w:p w14:paraId="7C0D6D2F">
            <w:pPr>
              <w:pStyle w:val="33"/>
              <w:rPr>
                <w:color w:val="auto"/>
              </w:rPr>
            </w:pPr>
            <w:r>
              <w:rPr>
                <w:color w:val="auto"/>
              </w:rPr>
              <w:t>以100%NaOH计，其中回收碱36.8kg/Adt</w:t>
            </w:r>
          </w:p>
        </w:tc>
      </w:tr>
      <w:tr w14:paraId="344FFA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0B13EB6D">
            <w:pPr>
              <w:pStyle w:val="33"/>
              <w:rPr>
                <w:color w:val="auto"/>
              </w:rPr>
            </w:pPr>
          </w:p>
        </w:tc>
        <w:tc>
          <w:tcPr>
            <w:tcW w:w="701" w:type="pct"/>
            <w:vMerge w:val="continue"/>
            <w:tcBorders>
              <w:top w:val="nil"/>
              <w:bottom w:val="nil"/>
            </w:tcBorders>
            <w:vAlign w:val="center"/>
          </w:tcPr>
          <w:p w14:paraId="163B7424">
            <w:pPr>
              <w:pStyle w:val="33"/>
              <w:rPr>
                <w:color w:val="auto"/>
              </w:rPr>
            </w:pPr>
          </w:p>
        </w:tc>
        <w:tc>
          <w:tcPr>
            <w:tcW w:w="625" w:type="pct"/>
            <w:vAlign w:val="center"/>
          </w:tcPr>
          <w:p w14:paraId="01E33DC2">
            <w:pPr>
              <w:pStyle w:val="33"/>
              <w:rPr>
                <w:color w:val="auto"/>
              </w:rPr>
            </w:pPr>
            <w:r>
              <w:rPr>
                <w:color w:val="auto"/>
              </w:rPr>
              <w:t>双氧水</w:t>
            </w:r>
          </w:p>
        </w:tc>
        <w:tc>
          <w:tcPr>
            <w:tcW w:w="391" w:type="pct"/>
            <w:vAlign w:val="center"/>
          </w:tcPr>
          <w:p w14:paraId="05C4E331">
            <w:pPr>
              <w:pStyle w:val="33"/>
              <w:rPr>
                <w:color w:val="auto"/>
              </w:rPr>
            </w:pPr>
            <w:r>
              <w:rPr>
                <w:color w:val="auto"/>
              </w:rPr>
              <w:t>kg/Adt</w:t>
            </w:r>
          </w:p>
        </w:tc>
        <w:tc>
          <w:tcPr>
            <w:tcW w:w="391" w:type="pct"/>
            <w:vAlign w:val="center"/>
          </w:tcPr>
          <w:p w14:paraId="6D4C8C9E">
            <w:pPr>
              <w:pStyle w:val="33"/>
              <w:rPr>
                <w:color w:val="auto"/>
              </w:rPr>
            </w:pPr>
          </w:p>
        </w:tc>
        <w:tc>
          <w:tcPr>
            <w:tcW w:w="391" w:type="pct"/>
            <w:vAlign w:val="center"/>
          </w:tcPr>
          <w:p w14:paraId="2CBB749D">
            <w:pPr>
              <w:pStyle w:val="33"/>
              <w:rPr>
                <w:color w:val="auto"/>
              </w:rPr>
            </w:pPr>
            <w:r>
              <w:rPr>
                <w:color w:val="auto"/>
              </w:rPr>
              <w:t>万t/a</w:t>
            </w:r>
          </w:p>
        </w:tc>
        <w:tc>
          <w:tcPr>
            <w:tcW w:w="469" w:type="pct"/>
            <w:vAlign w:val="center"/>
          </w:tcPr>
          <w:p w14:paraId="2E7572E5">
            <w:pPr>
              <w:pStyle w:val="33"/>
              <w:rPr>
                <w:color w:val="auto"/>
              </w:rPr>
            </w:pPr>
          </w:p>
        </w:tc>
        <w:tc>
          <w:tcPr>
            <w:tcW w:w="1796" w:type="pct"/>
            <w:vAlign w:val="center"/>
          </w:tcPr>
          <w:p w14:paraId="6AC57615">
            <w:pPr>
              <w:pStyle w:val="33"/>
              <w:rPr>
                <w:color w:val="auto"/>
              </w:rPr>
            </w:pPr>
            <w:r>
              <w:rPr>
                <w:color w:val="auto"/>
              </w:rPr>
              <w:t>以100%H</w:t>
            </w:r>
            <w:r>
              <w:rPr>
                <w:color w:val="auto"/>
                <w:vertAlign w:val="subscript"/>
              </w:rPr>
              <w:t>2</w:t>
            </w:r>
            <w:r>
              <w:rPr>
                <w:color w:val="auto"/>
              </w:rPr>
              <w:t>O</w:t>
            </w:r>
            <w:r>
              <w:rPr>
                <w:color w:val="auto"/>
                <w:vertAlign w:val="subscript"/>
              </w:rPr>
              <w:t>2</w:t>
            </w:r>
            <w:r>
              <w:rPr>
                <w:color w:val="auto"/>
              </w:rPr>
              <w:t>计，已批在建过氧化氢项目年产H</w:t>
            </w:r>
            <w:r>
              <w:rPr>
                <w:color w:val="auto"/>
                <w:vertAlign w:val="subscript"/>
              </w:rPr>
              <w:t>2</w:t>
            </w:r>
            <w:r>
              <w:rPr>
                <w:color w:val="auto"/>
              </w:rPr>
              <w:t>O</w:t>
            </w:r>
            <w:r>
              <w:rPr>
                <w:color w:val="auto"/>
                <w:vertAlign w:val="subscript"/>
              </w:rPr>
              <w:t>2</w:t>
            </w:r>
            <w:r>
              <w:rPr>
                <w:rFonts w:hint="eastAsia"/>
                <w:color w:val="auto"/>
              </w:rPr>
              <w:t xml:space="preserve"> </w:t>
            </w:r>
            <w:r>
              <w:rPr>
                <w:color w:val="auto"/>
              </w:rPr>
              <w:t>8.25万t（100%H</w:t>
            </w:r>
            <w:r>
              <w:rPr>
                <w:color w:val="auto"/>
                <w:vertAlign w:val="subscript"/>
              </w:rPr>
              <w:t>2</w:t>
            </w:r>
            <w:r>
              <w:rPr>
                <w:color w:val="auto"/>
              </w:rPr>
              <w:t>O</w:t>
            </w:r>
            <w:r>
              <w:rPr>
                <w:color w:val="auto"/>
                <w:vertAlign w:val="subscript"/>
              </w:rPr>
              <w:t>2</w:t>
            </w:r>
            <w:r>
              <w:rPr>
                <w:color w:val="auto"/>
              </w:rPr>
              <w:t>），不足双氧水外购</w:t>
            </w:r>
          </w:p>
        </w:tc>
      </w:tr>
      <w:tr w14:paraId="50AC00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B5CA362">
            <w:pPr>
              <w:pStyle w:val="33"/>
              <w:rPr>
                <w:color w:val="auto"/>
              </w:rPr>
            </w:pPr>
          </w:p>
        </w:tc>
        <w:tc>
          <w:tcPr>
            <w:tcW w:w="701" w:type="pct"/>
            <w:vMerge w:val="continue"/>
            <w:tcBorders>
              <w:top w:val="nil"/>
              <w:bottom w:val="nil"/>
            </w:tcBorders>
            <w:vAlign w:val="center"/>
          </w:tcPr>
          <w:p w14:paraId="2BF4E0E3">
            <w:pPr>
              <w:pStyle w:val="33"/>
              <w:rPr>
                <w:color w:val="auto"/>
              </w:rPr>
            </w:pPr>
          </w:p>
        </w:tc>
        <w:tc>
          <w:tcPr>
            <w:tcW w:w="625" w:type="pct"/>
            <w:vAlign w:val="center"/>
          </w:tcPr>
          <w:p w14:paraId="6C6428B9">
            <w:pPr>
              <w:pStyle w:val="33"/>
              <w:rPr>
                <w:color w:val="auto"/>
              </w:rPr>
            </w:pPr>
            <w:r>
              <w:rPr>
                <w:color w:val="auto"/>
              </w:rPr>
              <w:t>Fennobrite</w:t>
            </w:r>
          </w:p>
        </w:tc>
        <w:tc>
          <w:tcPr>
            <w:tcW w:w="391" w:type="pct"/>
            <w:vAlign w:val="center"/>
          </w:tcPr>
          <w:p w14:paraId="597B2D41">
            <w:pPr>
              <w:pStyle w:val="33"/>
              <w:rPr>
                <w:color w:val="auto"/>
              </w:rPr>
            </w:pPr>
            <w:r>
              <w:rPr>
                <w:color w:val="auto"/>
              </w:rPr>
              <w:t>kg/Adt</w:t>
            </w:r>
          </w:p>
        </w:tc>
        <w:tc>
          <w:tcPr>
            <w:tcW w:w="391" w:type="pct"/>
            <w:vAlign w:val="center"/>
          </w:tcPr>
          <w:p w14:paraId="6583EDC1">
            <w:pPr>
              <w:pStyle w:val="33"/>
              <w:rPr>
                <w:color w:val="auto"/>
              </w:rPr>
            </w:pPr>
          </w:p>
        </w:tc>
        <w:tc>
          <w:tcPr>
            <w:tcW w:w="391" w:type="pct"/>
            <w:vAlign w:val="center"/>
          </w:tcPr>
          <w:p w14:paraId="1144E879">
            <w:pPr>
              <w:pStyle w:val="33"/>
              <w:rPr>
                <w:color w:val="auto"/>
              </w:rPr>
            </w:pPr>
            <w:r>
              <w:rPr>
                <w:color w:val="auto"/>
              </w:rPr>
              <w:t>万t/a</w:t>
            </w:r>
          </w:p>
        </w:tc>
        <w:tc>
          <w:tcPr>
            <w:tcW w:w="469" w:type="pct"/>
            <w:vAlign w:val="center"/>
          </w:tcPr>
          <w:p w14:paraId="1B9717E4">
            <w:pPr>
              <w:pStyle w:val="33"/>
              <w:rPr>
                <w:color w:val="auto"/>
              </w:rPr>
            </w:pPr>
          </w:p>
        </w:tc>
        <w:tc>
          <w:tcPr>
            <w:tcW w:w="1796" w:type="pct"/>
            <w:vAlign w:val="center"/>
          </w:tcPr>
          <w:p w14:paraId="0E7C4692">
            <w:pPr>
              <w:pStyle w:val="33"/>
              <w:rPr>
                <w:color w:val="auto"/>
              </w:rPr>
            </w:pPr>
            <w:r>
              <w:rPr>
                <w:color w:val="auto"/>
              </w:rPr>
              <w:t>以100%计</w:t>
            </w:r>
          </w:p>
        </w:tc>
      </w:tr>
      <w:tr w14:paraId="7270D3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18D57C3">
            <w:pPr>
              <w:pStyle w:val="33"/>
              <w:rPr>
                <w:color w:val="auto"/>
              </w:rPr>
            </w:pPr>
          </w:p>
        </w:tc>
        <w:tc>
          <w:tcPr>
            <w:tcW w:w="701" w:type="pct"/>
            <w:vMerge w:val="continue"/>
            <w:tcBorders>
              <w:top w:val="nil"/>
              <w:bottom w:val="nil"/>
            </w:tcBorders>
            <w:vAlign w:val="center"/>
          </w:tcPr>
          <w:p w14:paraId="566CBE03">
            <w:pPr>
              <w:pStyle w:val="33"/>
              <w:rPr>
                <w:color w:val="auto"/>
              </w:rPr>
            </w:pPr>
          </w:p>
        </w:tc>
        <w:tc>
          <w:tcPr>
            <w:tcW w:w="625" w:type="pct"/>
            <w:vAlign w:val="center"/>
          </w:tcPr>
          <w:p w14:paraId="24C261C4">
            <w:pPr>
              <w:pStyle w:val="33"/>
              <w:rPr>
                <w:color w:val="auto"/>
              </w:rPr>
            </w:pPr>
            <w:r>
              <w:rPr>
                <w:color w:val="auto"/>
              </w:rPr>
              <w:t>DTPA</w:t>
            </w:r>
          </w:p>
        </w:tc>
        <w:tc>
          <w:tcPr>
            <w:tcW w:w="391" w:type="pct"/>
            <w:vAlign w:val="center"/>
          </w:tcPr>
          <w:p w14:paraId="502D6C87">
            <w:pPr>
              <w:pStyle w:val="33"/>
              <w:rPr>
                <w:color w:val="auto"/>
              </w:rPr>
            </w:pPr>
            <w:r>
              <w:rPr>
                <w:color w:val="auto"/>
              </w:rPr>
              <w:t>kg/Adt</w:t>
            </w:r>
          </w:p>
        </w:tc>
        <w:tc>
          <w:tcPr>
            <w:tcW w:w="391" w:type="pct"/>
            <w:vAlign w:val="center"/>
          </w:tcPr>
          <w:p w14:paraId="79A94617">
            <w:pPr>
              <w:pStyle w:val="33"/>
              <w:rPr>
                <w:color w:val="auto"/>
              </w:rPr>
            </w:pPr>
          </w:p>
        </w:tc>
        <w:tc>
          <w:tcPr>
            <w:tcW w:w="391" w:type="pct"/>
            <w:vAlign w:val="center"/>
          </w:tcPr>
          <w:p w14:paraId="6DF2D265">
            <w:pPr>
              <w:pStyle w:val="33"/>
              <w:rPr>
                <w:color w:val="auto"/>
              </w:rPr>
            </w:pPr>
            <w:r>
              <w:rPr>
                <w:color w:val="auto"/>
              </w:rPr>
              <w:t>万t/a</w:t>
            </w:r>
          </w:p>
        </w:tc>
        <w:tc>
          <w:tcPr>
            <w:tcW w:w="469" w:type="pct"/>
            <w:vAlign w:val="center"/>
          </w:tcPr>
          <w:p w14:paraId="177E5837">
            <w:pPr>
              <w:pStyle w:val="33"/>
              <w:rPr>
                <w:color w:val="auto"/>
              </w:rPr>
            </w:pPr>
          </w:p>
        </w:tc>
        <w:tc>
          <w:tcPr>
            <w:tcW w:w="1796" w:type="pct"/>
            <w:vAlign w:val="center"/>
          </w:tcPr>
          <w:p w14:paraId="650B02A1">
            <w:pPr>
              <w:pStyle w:val="33"/>
              <w:rPr>
                <w:color w:val="auto"/>
              </w:rPr>
            </w:pPr>
            <w:r>
              <w:rPr>
                <w:color w:val="auto"/>
              </w:rPr>
              <w:t>以100%计</w:t>
            </w:r>
          </w:p>
        </w:tc>
      </w:tr>
      <w:tr w14:paraId="23B859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6D7735FF">
            <w:pPr>
              <w:pStyle w:val="33"/>
              <w:rPr>
                <w:color w:val="auto"/>
              </w:rPr>
            </w:pPr>
          </w:p>
        </w:tc>
        <w:tc>
          <w:tcPr>
            <w:tcW w:w="701" w:type="pct"/>
            <w:vMerge w:val="continue"/>
            <w:tcBorders>
              <w:top w:val="nil"/>
            </w:tcBorders>
            <w:vAlign w:val="center"/>
          </w:tcPr>
          <w:p w14:paraId="115F7718">
            <w:pPr>
              <w:pStyle w:val="33"/>
              <w:rPr>
                <w:color w:val="auto"/>
              </w:rPr>
            </w:pPr>
          </w:p>
        </w:tc>
        <w:tc>
          <w:tcPr>
            <w:tcW w:w="625" w:type="pct"/>
            <w:vAlign w:val="center"/>
          </w:tcPr>
          <w:p w14:paraId="16688626">
            <w:pPr>
              <w:pStyle w:val="33"/>
              <w:rPr>
                <w:color w:val="auto"/>
              </w:rPr>
            </w:pPr>
            <w:r>
              <w:rPr>
                <w:color w:val="auto"/>
              </w:rPr>
              <w:t>CH</w:t>
            </w:r>
            <w:r>
              <w:rPr>
                <w:color w:val="auto"/>
                <w:vertAlign w:val="subscript"/>
              </w:rPr>
              <w:t>3</w:t>
            </w:r>
            <w:r>
              <w:rPr>
                <w:color w:val="auto"/>
              </w:rPr>
              <w:t>COOH</w:t>
            </w:r>
          </w:p>
        </w:tc>
        <w:tc>
          <w:tcPr>
            <w:tcW w:w="391" w:type="pct"/>
            <w:vAlign w:val="center"/>
          </w:tcPr>
          <w:p w14:paraId="42EF1CA6">
            <w:pPr>
              <w:pStyle w:val="33"/>
              <w:rPr>
                <w:color w:val="auto"/>
              </w:rPr>
            </w:pPr>
            <w:r>
              <w:rPr>
                <w:color w:val="auto"/>
              </w:rPr>
              <w:t>kg/Adt</w:t>
            </w:r>
          </w:p>
        </w:tc>
        <w:tc>
          <w:tcPr>
            <w:tcW w:w="391" w:type="pct"/>
            <w:vAlign w:val="center"/>
          </w:tcPr>
          <w:p w14:paraId="6A2AD2A9">
            <w:pPr>
              <w:pStyle w:val="33"/>
              <w:rPr>
                <w:color w:val="auto"/>
              </w:rPr>
            </w:pPr>
          </w:p>
        </w:tc>
        <w:tc>
          <w:tcPr>
            <w:tcW w:w="391" w:type="pct"/>
            <w:vAlign w:val="center"/>
          </w:tcPr>
          <w:p w14:paraId="07E08CBE">
            <w:pPr>
              <w:pStyle w:val="33"/>
              <w:rPr>
                <w:color w:val="auto"/>
              </w:rPr>
            </w:pPr>
            <w:r>
              <w:rPr>
                <w:color w:val="auto"/>
              </w:rPr>
              <w:t>万t/a</w:t>
            </w:r>
          </w:p>
        </w:tc>
        <w:tc>
          <w:tcPr>
            <w:tcW w:w="469" w:type="pct"/>
            <w:vAlign w:val="center"/>
          </w:tcPr>
          <w:p w14:paraId="4C84055A">
            <w:pPr>
              <w:pStyle w:val="33"/>
              <w:rPr>
                <w:color w:val="auto"/>
              </w:rPr>
            </w:pPr>
          </w:p>
        </w:tc>
        <w:tc>
          <w:tcPr>
            <w:tcW w:w="1796" w:type="pct"/>
            <w:vAlign w:val="center"/>
          </w:tcPr>
          <w:p w14:paraId="7FCE2D9A">
            <w:pPr>
              <w:pStyle w:val="33"/>
              <w:rPr>
                <w:color w:val="auto"/>
              </w:rPr>
            </w:pPr>
            <w:r>
              <w:rPr>
                <w:color w:val="auto"/>
              </w:rPr>
              <w:t>纯度96%</w:t>
            </w:r>
          </w:p>
        </w:tc>
      </w:tr>
      <w:tr w14:paraId="24DD36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235" w:type="pct"/>
            <w:vAlign w:val="center"/>
          </w:tcPr>
          <w:p w14:paraId="72603DA8">
            <w:pPr>
              <w:pStyle w:val="33"/>
              <w:rPr>
                <w:color w:val="auto"/>
              </w:rPr>
            </w:pPr>
          </w:p>
        </w:tc>
        <w:tc>
          <w:tcPr>
            <w:tcW w:w="701" w:type="pct"/>
            <w:vAlign w:val="center"/>
          </w:tcPr>
          <w:p w14:paraId="712A4991">
            <w:pPr>
              <w:pStyle w:val="33"/>
              <w:rPr>
                <w:color w:val="auto"/>
              </w:rPr>
            </w:pPr>
            <w:r>
              <w:rPr>
                <w:color w:val="auto"/>
              </w:rPr>
              <w:t>2#碱回收车间</w:t>
            </w:r>
          </w:p>
        </w:tc>
        <w:tc>
          <w:tcPr>
            <w:tcW w:w="625" w:type="pct"/>
            <w:vAlign w:val="center"/>
          </w:tcPr>
          <w:p w14:paraId="7E554379">
            <w:pPr>
              <w:pStyle w:val="33"/>
              <w:rPr>
                <w:color w:val="auto"/>
              </w:rPr>
            </w:pPr>
            <w:r>
              <w:rPr>
                <w:color w:val="auto"/>
              </w:rPr>
              <w:t>石灰</w:t>
            </w:r>
          </w:p>
        </w:tc>
        <w:tc>
          <w:tcPr>
            <w:tcW w:w="391" w:type="pct"/>
            <w:vAlign w:val="center"/>
          </w:tcPr>
          <w:p w14:paraId="280A6647">
            <w:pPr>
              <w:pStyle w:val="33"/>
              <w:rPr>
                <w:color w:val="auto"/>
              </w:rPr>
            </w:pPr>
            <w:r>
              <w:rPr>
                <w:color w:val="auto"/>
              </w:rPr>
              <w:t>/</w:t>
            </w:r>
          </w:p>
        </w:tc>
        <w:tc>
          <w:tcPr>
            <w:tcW w:w="391" w:type="pct"/>
            <w:vAlign w:val="center"/>
          </w:tcPr>
          <w:p w14:paraId="32028C3C">
            <w:pPr>
              <w:pStyle w:val="33"/>
              <w:rPr>
                <w:color w:val="auto"/>
              </w:rPr>
            </w:pPr>
          </w:p>
        </w:tc>
        <w:tc>
          <w:tcPr>
            <w:tcW w:w="391" w:type="pct"/>
            <w:vAlign w:val="center"/>
          </w:tcPr>
          <w:p w14:paraId="26CA967E">
            <w:pPr>
              <w:pStyle w:val="33"/>
              <w:rPr>
                <w:color w:val="auto"/>
              </w:rPr>
            </w:pPr>
            <w:r>
              <w:rPr>
                <w:color w:val="auto"/>
              </w:rPr>
              <w:t>万t/a</w:t>
            </w:r>
          </w:p>
        </w:tc>
        <w:tc>
          <w:tcPr>
            <w:tcW w:w="469" w:type="pct"/>
            <w:vAlign w:val="center"/>
          </w:tcPr>
          <w:p w14:paraId="44FC1832">
            <w:pPr>
              <w:pStyle w:val="33"/>
              <w:rPr>
                <w:color w:val="auto"/>
              </w:rPr>
            </w:pPr>
          </w:p>
        </w:tc>
        <w:tc>
          <w:tcPr>
            <w:tcW w:w="1796" w:type="pct"/>
            <w:vAlign w:val="center"/>
          </w:tcPr>
          <w:p w14:paraId="16390764">
            <w:pPr>
              <w:pStyle w:val="33"/>
              <w:rPr>
                <w:color w:val="auto"/>
              </w:rPr>
            </w:pPr>
            <w:r>
              <w:rPr>
                <w:color w:val="auto"/>
              </w:rPr>
              <w:t>含CaO80%</w:t>
            </w:r>
          </w:p>
        </w:tc>
      </w:tr>
    </w:tbl>
    <w:p w14:paraId="5590493B">
      <w:pPr>
        <w:pStyle w:val="5"/>
        <w:rPr>
          <w:color w:val="auto"/>
        </w:rPr>
      </w:pPr>
      <w:r>
        <w:rPr>
          <w:color w:val="auto"/>
        </w:rPr>
        <w:t>工程分析</w:t>
      </w:r>
    </w:p>
    <w:p w14:paraId="1B564C4E">
      <w:pPr>
        <w:ind w:firstLine="480"/>
        <w:rPr>
          <w:color w:val="auto"/>
        </w:rPr>
      </w:pPr>
      <w:r>
        <w:rPr>
          <w:color w:val="auto"/>
        </w:rPr>
        <w:t>已批在建75万吨浆项目二期工程新增1500t/d备料系统，包括1条原木处理生产线和1条外来木片筛选生产线。二期拟建4#化机浆生产线采用BCTMP工艺，抄浆车间使用现有车间，生产工艺与现有3#化机浆生产线相同。新增一台处理能力为500tD.S/d的碱回收炉（2#碱回收炉）。二期完成后，全厂的废液固形物由1#、2#碱回收炉共同处理，2#碱回收车间包括蒸发、燃烧、苛化三个工段。</w:t>
      </w:r>
    </w:p>
    <w:p w14:paraId="58BA0714">
      <w:pPr>
        <w:pStyle w:val="5"/>
        <w:rPr>
          <w:color w:val="auto"/>
        </w:rPr>
      </w:pPr>
      <w:r>
        <w:rPr>
          <w:color w:val="auto"/>
        </w:rPr>
        <w:t>污染防治措施</w:t>
      </w:r>
    </w:p>
    <w:p w14:paraId="73AE73B0">
      <w:pPr>
        <w:ind w:firstLine="480"/>
        <w:rPr>
          <w:color w:val="auto"/>
          <w:spacing w:val="-11"/>
        </w:rPr>
      </w:pPr>
      <w:r>
        <w:rPr>
          <w:color w:val="auto"/>
        </w:rPr>
        <w:t>已批在建</w:t>
      </w:r>
      <w:r>
        <w:rPr>
          <w:rFonts w:eastAsia="Times New Roman" w:cs="Times New Roman"/>
          <w:color w:val="auto"/>
        </w:rPr>
        <w:t>75</w:t>
      </w:r>
      <w:r>
        <w:rPr>
          <w:color w:val="auto"/>
        </w:rPr>
        <w:t>万吨浆项目废水、废气、固体废物、噪声污染防治措</w:t>
      </w:r>
      <w:r>
        <w:rPr>
          <w:color w:val="auto"/>
          <w:spacing w:val="-11"/>
        </w:rPr>
        <w:t>施见</w:t>
      </w:r>
      <w:r>
        <w:rPr>
          <w:rFonts w:hint="eastAsia"/>
          <w:color w:val="auto"/>
        </w:rPr>
        <w:t>下表</w:t>
      </w:r>
      <w:r>
        <w:rPr>
          <w:color w:val="auto"/>
          <w:spacing w:val="-11"/>
        </w:rPr>
        <w:t>。</w:t>
      </w:r>
    </w:p>
    <w:p w14:paraId="06991696">
      <w:pPr>
        <w:pStyle w:val="7"/>
        <w:rPr>
          <w:color w:val="auto"/>
        </w:rPr>
      </w:pPr>
      <w:r>
        <w:rPr>
          <w:color w:val="auto"/>
        </w:rPr>
        <w:t>已批在建</w:t>
      </w:r>
      <w:r>
        <w:rPr>
          <w:rFonts w:eastAsia="Times New Roman" w:cs="Times New Roman"/>
          <w:color w:val="auto"/>
        </w:rPr>
        <w:t>75</w:t>
      </w:r>
      <w:r>
        <w:rPr>
          <w:color w:val="auto"/>
        </w:rPr>
        <w:t>万吨浆项目</w:t>
      </w:r>
      <w:r>
        <w:rPr>
          <w:rFonts w:hint="eastAsia"/>
          <w:color w:val="auto"/>
        </w:rPr>
        <w:t>二期工程</w:t>
      </w:r>
      <w:r>
        <w:rPr>
          <w:color w:val="auto"/>
        </w:rPr>
        <w:t>污染防治措施</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020"/>
        <w:gridCol w:w="2028"/>
        <w:gridCol w:w="6238"/>
      </w:tblGrid>
      <w:tr w14:paraId="465B7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3A041E7B">
            <w:pPr>
              <w:pStyle w:val="33"/>
              <w:rPr>
                <w:color w:val="auto"/>
              </w:rPr>
            </w:pPr>
            <w:r>
              <w:rPr>
                <w:color w:val="auto"/>
              </w:rPr>
              <w:t>污染类型</w:t>
            </w:r>
          </w:p>
        </w:tc>
        <w:tc>
          <w:tcPr>
            <w:tcW w:w="1092" w:type="pct"/>
            <w:vAlign w:val="center"/>
          </w:tcPr>
          <w:p w14:paraId="4B12320B">
            <w:pPr>
              <w:pStyle w:val="33"/>
              <w:rPr>
                <w:color w:val="auto"/>
              </w:rPr>
            </w:pPr>
            <w:r>
              <w:rPr>
                <w:color w:val="auto"/>
              </w:rPr>
              <w:t>污染源</w:t>
            </w:r>
          </w:p>
        </w:tc>
        <w:tc>
          <w:tcPr>
            <w:tcW w:w="3359" w:type="pct"/>
            <w:vAlign w:val="center"/>
          </w:tcPr>
          <w:p w14:paraId="1416B647">
            <w:pPr>
              <w:pStyle w:val="33"/>
              <w:rPr>
                <w:color w:val="auto"/>
              </w:rPr>
            </w:pPr>
            <w:r>
              <w:rPr>
                <w:color w:val="auto"/>
              </w:rPr>
              <w:t>污染防治措施</w:t>
            </w:r>
          </w:p>
        </w:tc>
      </w:tr>
      <w:tr w14:paraId="52D3BA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restart"/>
            <w:tcBorders>
              <w:bottom w:val="nil"/>
            </w:tcBorders>
            <w:vAlign w:val="center"/>
          </w:tcPr>
          <w:p w14:paraId="3D558DBF">
            <w:pPr>
              <w:pStyle w:val="33"/>
              <w:rPr>
                <w:color w:val="auto"/>
              </w:rPr>
            </w:pPr>
            <w:r>
              <w:rPr>
                <w:color w:val="auto"/>
                <w:spacing w:val="-2"/>
              </w:rPr>
              <w:t>废水</w:t>
            </w:r>
          </w:p>
        </w:tc>
        <w:tc>
          <w:tcPr>
            <w:tcW w:w="1092" w:type="pct"/>
            <w:vAlign w:val="center"/>
          </w:tcPr>
          <w:p w14:paraId="162BBE71">
            <w:pPr>
              <w:pStyle w:val="33"/>
              <w:rPr>
                <w:color w:val="auto"/>
              </w:rPr>
            </w:pPr>
            <w:r>
              <w:rPr>
                <w:color w:val="auto"/>
                <w:spacing w:val="-6"/>
              </w:rPr>
              <w:t>备料车间、</w:t>
            </w:r>
            <w:r>
              <w:rPr>
                <w:rFonts w:eastAsia="Times New Roman"/>
                <w:color w:val="auto"/>
                <w:spacing w:val="-6"/>
              </w:rPr>
              <w:t>1#</w:t>
            </w:r>
            <w:r>
              <w:rPr>
                <w:color w:val="auto"/>
                <w:spacing w:val="-6"/>
              </w:rPr>
              <w:t>、</w:t>
            </w:r>
            <w:r>
              <w:rPr>
                <w:rFonts w:eastAsia="Times New Roman"/>
                <w:color w:val="auto"/>
                <w:spacing w:val="-6"/>
              </w:rPr>
              <w:t>2#</w:t>
            </w:r>
            <w:r>
              <w:rPr>
                <w:color w:val="auto"/>
                <w:spacing w:val="-6"/>
              </w:rPr>
              <w:t>碱回收</w:t>
            </w:r>
            <w:r>
              <w:rPr>
                <w:color w:val="auto"/>
                <w:spacing w:val="-2"/>
              </w:rPr>
              <w:t>车间、</w:t>
            </w:r>
            <w:r>
              <w:rPr>
                <w:rFonts w:eastAsia="Times New Roman"/>
                <w:color w:val="auto"/>
                <w:spacing w:val="-2"/>
              </w:rPr>
              <w:t>1#</w:t>
            </w:r>
            <w:r>
              <w:rPr>
                <w:color w:val="auto"/>
                <w:spacing w:val="-2"/>
              </w:rPr>
              <w:t>造纸车间</w:t>
            </w:r>
          </w:p>
        </w:tc>
        <w:tc>
          <w:tcPr>
            <w:tcW w:w="3359" w:type="pct"/>
            <w:vAlign w:val="center"/>
          </w:tcPr>
          <w:p w14:paraId="2735B7AA">
            <w:pPr>
              <w:pStyle w:val="33"/>
              <w:jc w:val="both"/>
              <w:rPr>
                <w:color w:val="auto"/>
              </w:rPr>
            </w:pPr>
            <w:r>
              <w:rPr>
                <w:color w:val="auto"/>
                <w:spacing w:val="-3"/>
              </w:rPr>
              <w:t>已批在建</w:t>
            </w:r>
            <w:r>
              <w:rPr>
                <w:rFonts w:eastAsia="Times New Roman"/>
                <w:color w:val="auto"/>
                <w:spacing w:val="-3"/>
              </w:rPr>
              <w:t>75</w:t>
            </w:r>
            <w:r>
              <w:rPr>
                <w:color w:val="auto"/>
                <w:spacing w:val="-3"/>
              </w:rPr>
              <w:t>万吨浆项目新增废水排入经</w:t>
            </w:r>
            <w:r>
              <w:rPr>
                <w:rFonts w:eastAsia="Times New Roman"/>
                <w:color w:val="auto"/>
                <w:spacing w:val="-2"/>
              </w:rPr>
              <w:t>1#</w:t>
            </w:r>
            <w:r>
              <w:rPr>
                <w:color w:val="auto"/>
                <w:spacing w:val="-2"/>
              </w:rPr>
              <w:t>污水处理站（</w:t>
            </w:r>
            <w:r>
              <w:rPr>
                <w:rFonts w:eastAsia="Times New Roman"/>
                <w:color w:val="auto"/>
                <w:spacing w:val="-2"/>
              </w:rPr>
              <w:t>60000m</w:t>
            </w:r>
            <w:r>
              <w:rPr>
                <w:rFonts w:eastAsia="Times New Roman"/>
                <w:color w:val="auto"/>
                <w:spacing w:val="-2"/>
                <w:position w:val="7"/>
                <w:sz w:val="14"/>
                <w:szCs w:val="14"/>
              </w:rPr>
              <w:t>3</w:t>
            </w:r>
            <w:r>
              <w:rPr>
                <w:rFonts w:eastAsia="Times New Roman"/>
                <w:color w:val="auto"/>
                <w:spacing w:val="-2"/>
              </w:rPr>
              <w:t>/</w:t>
            </w:r>
            <w:r>
              <w:rPr>
                <w:rFonts w:eastAsia="Times New Roman"/>
                <w:color w:val="auto"/>
                <w:spacing w:val="-3"/>
              </w:rPr>
              <w:t>d</w:t>
            </w:r>
            <w:r>
              <w:rPr>
                <w:color w:val="auto"/>
                <w:spacing w:val="-3"/>
              </w:rPr>
              <w:t>）处理，</w:t>
            </w:r>
            <w:r>
              <w:rPr>
                <w:rFonts w:eastAsia="Times New Roman"/>
                <w:color w:val="auto"/>
                <w:spacing w:val="-3"/>
              </w:rPr>
              <w:t>1#</w:t>
            </w:r>
            <w:r>
              <w:rPr>
                <w:color w:val="auto"/>
                <w:spacing w:val="-3"/>
              </w:rPr>
              <w:t>污水处理站采用“物化</w:t>
            </w:r>
            <w:r>
              <w:rPr>
                <w:rFonts w:eastAsia="Times New Roman"/>
                <w:color w:val="auto"/>
                <w:spacing w:val="-3"/>
              </w:rPr>
              <w:t>+</w:t>
            </w:r>
            <w:r>
              <w:rPr>
                <w:color w:val="auto"/>
                <w:spacing w:val="-3"/>
              </w:rPr>
              <w:t>好</w:t>
            </w:r>
            <w:r>
              <w:rPr>
                <w:color w:val="auto"/>
              </w:rPr>
              <w:t>氧处理（</w:t>
            </w:r>
            <w:r>
              <w:rPr>
                <w:rFonts w:eastAsia="Times New Roman"/>
                <w:color w:val="auto"/>
              </w:rPr>
              <w:t>SBR</w:t>
            </w:r>
            <w:r>
              <w:rPr>
                <w:color w:val="auto"/>
              </w:rPr>
              <w:t>工艺）</w:t>
            </w:r>
            <w:r>
              <w:rPr>
                <w:rFonts w:eastAsia="Times New Roman"/>
                <w:color w:val="auto"/>
              </w:rPr>
              <w:t>+</w:t>
            </w:r>
            <w:r>
              <w:rPr>
                <w:color w:val="auto"/>
              </w:rPr>
              <w:t>深度处理（</w:t>
            </w:r>
            <w:r>
              <w:rPr>
                <w:rFonts w:eastAsia="Times New Roman"/>
                <w:color w:val="auto"/>
              </w:rPr>
              <w:t>Fenton</w:t>
            </w:r>
            <w:r>
              <w:rPr>
                <w:color w:val="auto"/>
              </w:rPr>
              <w:t>）</w:t>
            </w:r>
            <w:r>
              <w:rPr>
                <w:rFonts w:eastAsia="Times New Roman"/>
                <w:color w:val="auto"/>
              </w:rPr>
              <w:t>+</w:t>
            </w:r>
            <w:r>
              <w:rPr>
                <w:color w:val="auto"/>
              </w:rPr>
              <w:t>高效浅层气</w:t>
            </w:r>
            <w:r>
              <w:rPr>
                <w:color w:val="auto"/>
                <w:spacing w:val="-10"/>
              </w:rPr>
              <w:t>浮”工艺，处理达标后依托现有排海管线深海排放。</w:t>
            </w:r>
          </w:p>
        </w:tc>
      </w:tr>
      <w:tr w14:paraId="053EE91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continue"/>
            <w:tcBorders>
              <w:top w:val="nil"/>
            </w:tcBorders>
            <w:vAlign w:val="center"/>
          </w:tcPr>
          <w:p w14:paraId="1FAA17C9">
            <w:pPr>
              <w:pStyle w:val="33"/>
              <w:rPr>
                <w:color w:val="auto"/>
              </w:rPr>
            </w:pPr>
          </w:p>
        </w:tc>
        <w:tc>
          <w:tcPr>
            <w:tcW w:w="1092" w:type="pct"/>
            <w:vAlign w:val="center"/>
          </w:tcPr>
          <w:p w14:paraId="5B5F4732">
            <w:pPr>
              <w:pStyle w:val="33"/>
              <w:rPr>
                <w:color w:val="auto"/>
              </w:rPr>
            </w:pPr>
            <w:r>
              <w:rPr>
                <w:color w:val="auto"/>
                <w:spacing w:val="-5"/>
              </w:rPr>
              <w:t>防渗措施</w:t>
            </w:r>
          </w:p>
        </w:tc>
        <w:tc>
          <w:tcPr>
            <w:tcW w:w="3359" w:type="pct"/>
            <w:vAlign w:val="center"/>
          </w:tcPr>
          <w:p w14:paraId="713B2672">
            <w:pPr>
              <w:pStyle w:val="33"/>
              <w:jc w:val="both"/>
              <w:rPr>
                <w:color w:val="auto"/>
              </w:rPr>
            </w:pPr>
            <w:r>
              <w:rPr>
                <w:color w:val="auto"/>
              </w:rPr>
              <w:t>采取分区防控措施，针对排污管线，各类废水池体</w:t>
            </w:r>
            <w:r>
              <w:rPr>
                <w:color w:val="auto"/>
                <w:spacing w:val="-5"/>
              </w:rPr>
              <w:t>采用重点防渗措施，参照《危险废物填埋污染控制标准》（</w:t>
            </w:r>
            <w:r>
              <w:rPr>
                <w:rFonts w:eastAsia="Times New Roman"/>
                <w:color w:val="auto"/>
                <w:spacing w:val="-5"/>
              </w:rPr>
              <w:t>GB18598-2019</w:t>
            </w:r>
            <w:r>
              <w:rPr>
                <w:color w:val="auto"/>
                <w:spacing w:val="-5"/>
              </w:rPr>
              <w:t>）相关要求进行防渗处理；</w:t>
            </w:r>
            <w:r>
              <w:rPr>
                <w:color w:val="auto"/>
              </w:rPr>
              <w:t>其他一般防渗区参照《生活垃圾填埋场污染</w:t>
            </w:r>
            <w:r>
              <w:rPr>
                <w:color w:val="auto"/>
                <w:spacing w:val="-5"/>
              </w:rPr>
              <w:t>控制标准》（</w:t>
            </w:r>
            <w:r>
              <w:rPr>
                <w:rFonts w:eastAsia="Times New Roman"/>
                <w:color w:val="auto"/>
                <w:spacing w:val="-5"/>
              </w:rPr>
              <w:t>GB16889-2008</w:t>
            </w:r>
            <w:r>
              <w:rPr>
                <w:color w:val="auto"/>
                <w:spacing w:val="-5"/>
              </w:rPr>
              <w:t>）相关要求进行防渗处理。车</w:t>
            </w:r>
            <w:r>
              <w:rPr>
                <w:color w:val="auto"/>
              </w:rPr>
              <w:t>间四周地面设置污水地沟，将跑冒滴漏的污水收集并排往污水处理站。</w:t>
            </w:r>
          </w:p>
        </w:tc>
      </w:tr>
      <w:tr w14:paraId="2CDE1E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restart"/>
            <w:tcBorders>
              <w:bottom w:val="nil"/>
            </w:tcBorders>
            <w:vAlign w:val="center"/>
          </w:tcPr>
          <w:p w14:paraId="5980CCA1">
            <w:pPr>
              <w:pStyle w:val="33"/>
              <w:rPr>
                <w:color w:val="auto"/>
              </w:rPr>
            </w:pPr>
            <w:r>
              <w:rPr>
                <w:color w:val="auto"/>
                <w:spacing w:val="-2"/>
              </w:rPr>
              <w:t>废气</w:t>
            </w:r>
          </w:p>
        </w:tc>
        <w:tc>
          <w:tcPr>
            <w:tcW w:w="1092" w:type="pct"/>
            <w:vAlign w:val="center"/>
          </w:tcPr>
          <w:p w14:paraId="3D371BF3">
            <w:pPr>
              <w:pStyle w:val="33"/>
              <w:rPr>
                <w:color w:val="auto"/>
              </w:rPr>
            </w:pPr>
            <w:r>
              <w:rPr>
                <w:rFonts w:eastAsia="Times New Roman"/>
                <w:color w:val="auto"/>
                <w:spacing w:val="-1"/>
              </w:rPr>
              <w:t>2#</w:t>
            </w:r>
            <w:r>
              <w:rPr>
                <w:color w:val="auto"/>
                <w:spacing w:val="-1"/>
              </w:rPr>
              <w:t>碱回收炉</w:t>
            </w:r>
          </w:p>
        </w:tc>
        <w:tc>
          <w:tcPr>
            <w:tcW w:w="3359" w:type="pct"/>
            <w:vAlign w:val="center"/>
          </w:tcPr>
          <w:p w14:paraId="0637FC7E">
            <w:pPr>
              <w:pStyle w:val="33"/>
              <w:jc w:val="both"/>
              <w:rPr>
                <w:color w:val="auto"/>
              </w:rPr>
            </w:pPr>
            <w:r>
              <w:rPr>
                <w:rFonts w:hint="eastAsia" w:ascii="宋体" w:hAnsi="宋体" w:cs="宋体"/>
                <w:color w:val="auto"/>
                <w:spacing w:val="-1"/>
              </w:rPr>
              <w:t>①</w:t>
            </w:r>
            <w:r>
              <w:rPr>
                <w:color w:val="auto"/>
                <w:spacing w:val="-1"/>
              </w:rPr>
              <w:t>除尘：采用两台四电场静电除尘器。</w:t>
            </w:r>
            <w:r>
              <w:rPr>
                <w:rFonts w:hint="eastAsia" w:ascii="宋体" w:hAnsi="宋体" w:cs="宋体"/>
                <w:color w:val="auto"/>
                <w:spacing w:val="-1"/>
              </w:rPr>
              <w:t>②</w:t>
            </w:r>
            <w:r>
              <w:rPr>
                <w:color w:val="auto"/>
                <w:spacing w:val="-1"/>
              </w:rPr>
              <w:t>排气筒：</w:t>
            </w:r>
            <w:r>
              <w:rPr>
                <w:rFonts w:eastAsia="Times New Roman"/>
                <w:color w:val="auto"/>
                <w:spacing w:val="-1"/>
              </w:rPr>
              <w:t>120mH×Ф2.60m</w:t>
            </w:r>
            <w:r>
              <w:rPr>
                <w:color w:val="auto"/>
                <w:spacing w:val="-1"/>
              </w:rPr>
              <w:t>。</w:t>
            </w:r>
          </w:p>
        </w:tc>
      </w:tr>
      <w:tr w14:paraId="0110C2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continue"/>
            <w:tcBorders>
              <w:top w:val="nil"/>
            </w:tcBorders>
            <w:vAlign w:val="center"/>
          </w:tcPr>
          <w:p w14:paraId="6049CA72">
            <w:pPr>
              <w:pStyle w:val="33"/>
              <w:rPr>
                <w:color w:val="auto"/>
              </w:rPr>
            </w:pPr>
          </w:p>
        </w:tc>
        <w:tc>
          <w:tcPr>
            <w:tcW w:w="1092" w:type="pct"/>
            <w:vAlign w:val="center"/>
          </w:tcPr>
          <w:p w14:paraId="09E86DF4">
            <w:pPr>
              <w:pStyle w:val="33"/>
              <w:rPr>
                <w:color w:val="auto"/>
              </w:rPr>
            </w:pPr>
            <w:r>
              <w:rPr>
                <w:color w:val="auto"/>
                <w:spacing w:val="-2"/>
              </w:rPr>
              <w:t>无组织排放</w:t>
            </w:r>
          </w:p>
        </w:tc>
        <w:tc>
          <w:tcPr>
            <w:tcW w:w="3359" w:type="pct"/>
            <w:vAlign w:val="center"/>
          </w:tcPr>
          <w:p w14:paraId="34CEEAC1">
            <w:pPr>
              <w:pStyle w:val="33"/>
              <w:jc w:val="both"/>
              <w:rPr>
                <w:color w:val="auto"/>
              </w:rPr>
            </w:pPr>
            <w:r>
              <w:rPr>
                <w:color w:val="auto"/>
                <w:spacing w:val="5"/>
              </w:rPr>
              <w:t>无组织排放废气主要包括备料车间颗粒物无组织</w:t>
            </w:r>
            <w:r>
              <w:rPr>
                <w:color w:val="auto"/>
              </w:rPr>
              <w:t>排放，现有</w:t>
            </w:r>
            <w:r>
              <w:rPr>
                <w:rFonts w:eastAsia="Times New Roman"/>
                <w:color w:val="auto"/>
              </w:rPr>
              <w:t>1#</w:t>
            </w:r>
            <w:r>
              <w:rPr>
                <w:color w:val="auto"/>
              </w:rPr>
              <w:t>污水处理站臭气无组织排放。</w:t>
            </w:r>
          </w:p>
        </w:tc>
      </w:tr>
      <w:tr w14:paraId="0E12EE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7AF09787">
            <w:pPr>
              <w:pStyle w:val="33"/>
              <w:rPr>
                <w:color w:val="auto"/>
              </w:rPr>
            </w:pPr>
            <w:r>
              <w:rPr>
                <w:color w:val="auto"/>
                <w:spacing w:val="-3"/>
              </w:rPr>
              <w:t>一般工业</w:t>
            </w:r>
            <w:r>
              <w:rPr>
                <w:color w:val="auto"/>
                <w:spacing w:val="-7"/>
              </w:rPr>
              <w:t>固体废物</w:t>
            </w:r>
          </w:p>
        </w:tc>
        <w:tc>
          <w:tcPr>
            <w:tcW w:w="1092" w:type="pct"/>
            <w:vAlign w:val="center"/>
          </w:tcPr>
          <w:p w14:paraId="7AF20216">
            <w:pPr>
              <w:pStyle w:val="33"/>
              <w:rPr>
                <w:color w:val="auto"/>
              </w:rPr>
            </w:pPr>
            <w:r>
              <w:rPr>
                <w:color w:val="auto"/>
                <w:spacing w:val="-1"/>
              </w:rPr>
              <w:t>木屑、浆渣、绿泥和石</w:t>
            </w:r>
            <w:r>
              <w:rPr>
                <w:color w:val="auto"/>
                <w:spacing w:val="-3"/>
              </w:rPr>
              <w:t>灰渣、白泥、污泥</w:t>
            </w:r>
          </w:p>
        </w:tc>
        <w:tc>
          <w:tcPr>
            <w:tcW w:w="3359" w:type="pct"/>
            <w:vAlign w:val="center"/>
          </w:tcPr>
          <w:p w14:paraId="31470EE3">
            <w:pPr>
              <w:pStyle w:val="33"/>
              <w:jc w:val="both"/>
              <w:rPr>
                <w:color w:val="auto"/>
              </w:rPr>
            </w:pPr>
            <w:r>
              <w:rPr>
                <w:rFonts w:hint="eastAsia" w:ascii="宋体" w:hAnsi="宋体" w:cs="宋体"/>
                <w:color w:val="auto"/>
              </w:rPr>
              <w:t>①</w:t>
            </w:r>
            <w:r>
              <w:rPr>
                <w:color w:val="auto"/>
              </w:rPr>
              <w:t>木屑、浆渣、污泥送现有循环流化床锅炉燃烧或</w:t>
            </w:r>
            <w:r>
              <w:rPr>
                <w:color w:val="auto"/>
                <w:spacing w:val="-6"/>
              </w:rPr>
              <w:t>外委综合利用。</w:t>
            </w:r>
            <w:r>
              <w:rPr>
                <w:rFonts w:hint="eastAsia" w:ascii="宋体" w:hAnsi="宋体" w:cs="宋体"/>
                <w:color w:val="auto"/>
                <w:spacing w:val="-2"/>
              </w:rPr>
              <w:t>②</w:t>
            </w:r>
            <w:r>
              <w:rPr>
                <w:color w:val="auto"/>
                <w:spacing w:val="-2"/>
              </w:rPr>
              <w:t>绿泥和石灰渣送现有循环流化床锅炉与煤掺烧。</w:t>
            </w:r>
            <w:r>
              <w:rPr>
                <w:rFonts w:hint="eastAsia" w:ascii="宋体" w:hAnsi="宋体" w:cs="宋体"/>
                <w:color w:val="auto"/>
                <w:spacing w:val="6"/>
              </w:rPr>
              <w:t>③</w:t>
            </w:r>
            <w:r>
              <w:rPr>
                <w:color w:val="auto"/>
                <w:spacing w:val="6"/>
              </w:rPr>
              <w:t>白泥作现有循环流化床锅炉脱硫剂或外委综合</w:t>
            </w:r>
            <w:r>
              <w:rPr>
                <w:color w:val="auto"/>
                <w:spacing w:val="-9"/>
              </w:rPr>
              <w:t>利用。</w:t>
            </w:r>
          </w:p>
        </w:tc>
      </w:tr>
      <w:tr w14:paraId="619C91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07642F53">
            <w:pPr>
              <w:pStyle w:val="33"/>
              <w:rPr>
                <w:color w:val="auto"/>
              </w:rPr>
            </w:pPr>
            <w:r>
              <w:rPr>
                <w:color w:val="auto"/>
                <w:spacing w:val="-3"/>
              </w:rPr>
              <w:t>危险废物</w:t>
            </w:r>
          </w:p>
        </w:tc>
        <w:tc>
          <w:tcPr>
            <w:tcW w:w="1092" w:type="pct"/>
            <w:vAlign w:val="center"/>
          </w:tcPr>
          <w:p w14:paraId="29782BFD">
            <w:pPr>
              <w:pStyle w:val="33"/>
              <w:rPr>
                <w:color w:val="auto"/>
              </w:rPr>
            </w:pPr>
            <w:r>
              <w:rPr>
                <w:color w:val="auto"/>
                <w:spacing w:val="-1"/>
              </w:rPr>
              <w:t>废矿物油、废油桶等</w:t>
            </w:r>
          </w:p>
        </w:tc>
        <w:tc>
          <w:tcPr>
            <w:tcW w:w="3359" w:type="pct"/>
            <w:vAlign w:val="center"/>
          </w:tcPr>
          <w:p w14:paraId="023C6287">
            <w:pPr>
              <w:pStyle w:val="33"/>
              <w:rPr>
                <w:color w:val="auto"/>
              </w:rPr>
            </w:pPr>
            <w:r>
              <w:rPr>
                <w:color w:val="auto"/>
                <w:spacing w:val="-1"/>
              </w:rPr>
              <w:t>均交有资质单位处置。</w:t>
            </w:r>
          </w:p>
        </w:tc>
      </w:tr>
      <w:tr w14:paraId="0B8694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4E9297F4">
            <w:pPr>
              <w:pStyle w:val="33"/>
              <w:rPr>
                <w:color w:val="auto"/>
              </w:rPr>
            </w:pPr>
            <w:r>
              <w:rPr>
                <w:color w:val="auto"/>
                <w:spacing w:val="-5"/>
              </w:rPr>
              <w:t>噪声</w:t>
            </w:r>
          </w:p>
        </w:tc>
        <w:tc>
          <w:tcPr>
            <w:tcW w:w="1092" w:type="pct"/>
            <w:vAlign w:val="center"/>
          </w:tcPr>
          <w:p w14:paraId="68DC4FBE">
            <w:pPr>
              <w:pStyle w:val="33"/>
              <w:rPr>
                <w:color w:val="auto"/>
              </w:rPr>
            </w:pPr>
            <w:r>
              <w:rPr>
                <w:color w:val="auto"/>
                <w:spacing w:val="-2"/>
              </w:rPr>
              <w:t>设备运行噪声</w:t>
            </w:r>
          </w:p>
        </w:tc>
        <w:tc>
          <w:tcPr>
            <w:tcW w:w="3359" w:type="pct"/>
            <w:vAlign w:val="center"/>
          </w:tcPr>
          <w:p w14:paraId="66EC1FA3">
            <w:pPr>
              <w:pStyle w:val="33"/>
              <w:rPr>
                <w:color w:val="auto"/>
              </w:rPr>
            </w:pPr>
            <w:r>
              <w:rPr>
                <w:color w:val="auto"/>
                <w:spacing w:val="-3"/>
              </w:rPr>
              <w:t>安装消声器或采取其他消声隔声措施。</w:t>
            </w:r>
          </w:p>
        </w:tc>
      </w:tr>
    </w:tbl>
    <w:p w14:paraId="44FA9AC8">
      <w:pPr>
        <w:pStyle w:val="4"/>
        <w:rPr>
          <w:color w:val="auto"/>
        </w:rPr>
      </w:pPr>
      <w:bookmarkStart w:id="169" w:name="_Toc225216680"/>
      <w:r>
        <w:rPr>
          <w:color w:val="auto"/>
        </w:rPr>
        <w:t>在建备用锅炉排烟方式变更项目</w:t>
      </w:r>
      <w:bookmarkEnd w:id="169"/>
    </w:p>
    <w:p w14:paraId="5D10C6AB">
      <w:pPr>
        <w:ind w:firstLine="480"/>
        <w:rPr>
          <w:color w:val="auto"/>
        </w:rPr>
      </w:pPr>
      <w:r>
        <w:rPr>
          <w:color w:val="auto"/>
        </w:rPr>
        <w:t>金桂浆纸年产40万吨高档纸板扩建项目备用锅炉排烟方式变更项目（以下简称“已批在建备用锅炉排烟方式变更项目”）主要建设内容是重新建设年产40万吨高档纸板扩建项目的备用1台670t/h循环流化床锅炉（4#锅炉），配套建设相应的烟气处理设施并同步进行超低排放改造，最终4#锅炉排烟方式由原来的通过1#和2#锅炉的共用烟囱排放变更为依托3#锅炉的烟囱排放。该项目为备用设施，不新增污染物排放</w:t>
      </w:r>
      <w:r>
        <w:rPr>
          <w:color w:val="auto"/>
          <w:spacing w:val="-1"/>
        </w:rPr>
        <w:t>。</w:t>
      </w:r>
      <w:r>
        <w:rPr>
          <w:color w:val="auto"/>
          <w:spacing w:val="-2"/>
        </w:rPr>
        <w:t>目前该项目正在建设中</w:t>
      </w:r>
      <w:r>
        <w:rPr>
          <w:rFonts w:hint="eastAsia"/>
          <w:color w:val="auto"/>
          <w:spacing w:val="-2"/>
        </w:rPr>
        <w:t>，</w:t>
      </w:r>
      <w:r>
        <w:rPr>
          <w:color w:val="auto"/>
          <w:spacing w:val="-2"/>
        </w:rPr>
        <w:t>本报告相关情况来源于该项目环评报告。</w:t>
      </w:r>
    </w:p>
    <w:p w14:paraId="67A26A0E">
      <w:pPr>
        <w:pStyle w:val="5"/>
        <w:rPr>
          <w:color w:val="auto"/>
        </w:rPr>
      </w:pPr>
      <w:r>
        <w:rPr>
          <w:color w:val="auto"/>
        </w:rPr>
        <w:t>基本情况及建设内容</w:t>
      </w:r>
    </w:p>
    <w:p w14:paraId="5CCB966B">
      <w:pPr>
        <w:ind w:firstLine="480"/>
        <w:rPr>
          <w:color w:val="auto"/>
        </w:rPr>
      </w:pPr>
      <w:r>
        <w:rPr>
          <w:color w:val="auto"/>
        </w:rPr>
        <w:t>已批在建备用锅炉排烟方式变更项目主要建设内容见下表。</w:t>
      </w:r>
    </w:p>
    <w:p w14:paraId="09565FF7">
      <w:pPr>
        <w:pStyle w:val="7"/>
        <w:rPr>
          <w:color w:val="auto"/>
        </w:rPr>
      </w:pPr>
      <w:r>
        <w:rPr>
          <w:color w:val="auto"/>
        </w:rPr>
        <w:t>已批在建备用锅炉排烟方式变更项目组成一览表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82"/>
        <w:gridCol w:w="1306"/>
        <w:gridCol w:w="6092"/>
        <w:gridCol w:w="1306"/>
      </w:tblGrid>
      <w:tr w14:paraId="0F0E88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314" w:type="pct"/>
            <w:vAlign w:val="center"/>
          </w:tcPr>
          <w:p w14:paraId="51AC3915">
            <w:pPr>
              <w:pStyle w:val="33"/>
              <w:rPr>
                <w:color w:val="auto"/>
              </w:rPr>
            </w:pPr>
            <w:r>
              <w:rPr>
                <w:color w:val="auto"/>
              </w:rPr>
              <w:t>序号</w:t>
            </w:r>
          </w:p>
        </w:tc>
        <w:tc>
          <w:tcPr>
            <w:tcW w:w="703" w:type="pct"/>
            <w:vAlign w:val="center"/>
          </w:tcPr>
          <w:p w14:paraId="5716B6DD">
            <w:pPr>
              <w:pStyle w:val="33"/>
              <w:rPr>
                <w:color w:val="auto"/>
              </w:rPr>
            </w:pPr>
            <w:r>
              <w:rPr>
                <w:color w:val="auto"/>
              </w:rPr>
              <w:t>工程名称</w:t>
            </w:r>
          </w:p>
        </w:tc>
        <w:tc>
          <w:tcPr>
            <w:tcW w:w="3280" w:type="pct"/>
            <w:vAlign w:val="center"/>
          </w:tcPr>
          <w:p w14:paraId="1D722D21">
            <w:pPr>
              <w:pStyle w:val="33"/>
              <w:rPr>
                <w:color w:val="auto"/>
              </w:rPr>
            </w:pPr>
            <w:r>
              <w:rPr>
                <w:color w:val="auto"/>
                <w:spacing w:val="-9"/>
              </w:rPr>
              <w:t>内容及规模</w:t>
            </w:r>
          </w:p>
        </w:tc>
        <w:tc>
          <w:tcPr>
            <w:tcW w:w="703" w:type="pct"/>
            <w:vAlign w:val="center"/>
          </w:tcPr>
          <w:p w14:paraId="403A1398">
            <w:pPr>
              <w:pStyle w:val="33"/>
              <w:rPr>
                <w:color w:val="auto"/>
              </w:rPr>
            </w:pPr>
            <w:r>
              <w:rPr>
                <w:color w:val="auto"/>
                <w:spacing w:val="-5"/>
              </w:rPr>
              <w:t>备注</w:t>
            </w:r>
          </w:p>
        </w:tc>
      </w:tr>
      <w:tr w14:paraId="5841851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3B94D87A">
            <w:pPr>
              <w:pStyle w:val="33"/>
              <w:rPr>
                <w:color w:val="auto"/>
              </w:rPr>
            </w:pPr>
            <w:r>
              <w:rPr>
                <w:color w:val="auto"/>
                <w:spacing w:val="-3"/>
              </w:rPr>
              <w:t>一、主体工程</w:t>
            </w:r>
          </w:p>
        </w:tc>
      </w:tr>
      <w:tr w14:paraId="77EC58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649C2CE8">
            <w:pPr>
              <w:pStyle w:val="33"/>
              <w:rPr>
                <w:rFonts w:eastAsia="Times New Roman"/>
                <w:color w:val="auto"/>
              </w:rPr>
            </w:pPr>
            <w:r>
              <w:rPr>
                <w:rFonts w:eastAsia="Times New Roman"/>
                <w:color w:val="auto"/>
              </w:rPr>
              <w:t>1</w:t>
            </w:r>
          </w:p>
        </w:tc>
        <w:tc>
          <w:tcPr>
            <w:tcW w:w="703" w:type="pct"/>
            <w:vAlign w:val="center"/>
          </w:tcPr>
          <w:p w14:paraId="5673A0CA">
            <w:pPr>
              <w:pStyle w:val="33"/>
              <w:rPr>
                <w:color w:val="auto"/>
              </w:rPr>
            </w:pPr>
            <w:r>
              <w:rPr>
                <w:color w:val="auto"/>
                <w:spacing w:val="-2"/>
              </w:rPr>
              <w:t>主体工程</w:t>
            </w:r>
          </w:p>
        </w:tc>
        <w:tc>
          <w:tcPr>
            <w:tcW w:w="3280" w:type="pct"/>
            <w:vAlign w:val="center"/>
          </w:tcPr>
          <w:p w14:paraId="2CEC3D6D">
            <w:pPr>
              <w:pStyle w:val="33"/>
              <w:rPr>
                <w:color w:val="auto"/>
              </w:rPr>
            </w:pPr>
            <w:r>
              <w:rPr>
                <w:color w:val="auto"/>
                <w:spacing w:val="-2"/>
              </w:rPr>
              <w:t>多燃料循环流化床锅炉，</w:t>
            </w:r>
            <w:r>
              <w:rPr>
                <w:rFonts w:eastAsia="Times New Roman"/>
                <w:color w:val="auto"/>
                <w:spacing w:val="-2"/>
              </w:rPr>
              <w:t>670t/hCFB</w:t>
            </w:r>
            <w:r>
              <w:rPr>
                <w:color w:val="auto"/>
                <w:spacing w:val="-2"/>
              </w:rPr>
              <w:t>锅炉</w:t>
            </w:r>
            <w:r>
              <w:rPr>
                <w:rFonts w:eastAsia="Times New Roman"/>
                <w:color w:val="auto"/>
                <w:spacing w:val="-2"/>
              </w:rPr>
              <w:t>1</w:t>
            </w:r>
            <w:r>
              <w:rPr>
                <w:color w:val="auto"/>
                <w:spacing w:val="-2"/>
              </w:rPr>
              <w:t>套。</w:t>
            </w:r>
          </w:p>
        </w:tc>
        <w:tc>
          <w:tcPr>
            <w:tcW w:w="703" w:type="pct"/>
            <w:vAlign w:val="center"/>
          </w:tcPr>
          <w:p w14:paraId="7DFD427B">
            <w:pPr>
              <w:pStyle w:val="33"/>
              <w:rPr>
                <w:rFonts w:eastAsia="Times New Roman"/>
                <w:color w:val="auto"/>
              </w:rPr>
            </w:pPr>
            <w:r>
              <w:rPr>
                <w:rFonts w:eastAsia="Times New Roman"/>
                <w:color w:val="auto"/>
              </w:rPr>
              <w:t>/</w:t>
            </w:r>
          </w:p>
        </w:tc>
      </w:tr>
      <w:tr w14:paraId="17328A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1027AEC">
            <w:pPr>
              <w:pStyle w:val="33"/>
              <w:rPr>
                <w:color w:val="auto"/>
              </w:rPr>
            </w:pPr>
            <w:r>
              <w:rPr>
                <w:color w:val="auto"/>
                <w:spacing w:val="-2"/>
              </w:rPr>
              <w:t>二、辅助及公用工程</w:t>
            </w:r>
          </w:p>
        </w:tc>
      </w:tr>
      <w:tr w14:paraId="1D15E3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08F15CC9">
            <w:pPr>
              <w:pStyle w:val="33"/>
              <w:rPr>
                <w:rFonts w:eastAsia="Times New Roman"/>
                <w:color w:val="auto"/>
              </w:rPr>
            </w:pPr>
            <w:r>
              <w:rPr>
                <w:rFonts w:eastAsia="Times New Roman"/>
                <w:color w:val="auto"/>
              </w:rPr>
              <w:t>1</w:t>
            </w:r>
          </w:p>
        </w:tc>
        <w:tc>
          <w:tcPr>
            <w:tcW w:w="703" w:type="pct"/>
            <w:vAlign w:val="center"/>
          </w:tcPr>
          <w:p w14:paraId="2E813B33">
            <w:pPr>
              <w:pStyle w:val="33"/>
              <w:rPr>
                <w:color w:val="auto"/>
              </w:rPr>
            </w:pPr>
            <w:r>
              <w:rPr>
                <w:color w:val="auto"/>
                <w:spacing w:val="-2"/>
              </w:rPr>
              <w:t>燃料储运</w:t>
            </w:r>
          </w:p>
        </w:tc>
        <w:tc>
          <w:tcPr>
            <w:tcW w:w="3280" w:type="pct"/>
            <w:vAlign w:val="center"/>
          </w:tcPr>
          <w:p w14:paraId="2EC8E580">
            <w:pPr>
              <w:pStyle w:val="33"/>
              <w:rPr>
                <w:color w:val="auto"/>
              </w:rPr>
            </w:pPr>
            <w:r>
              <w:rPr>
                <w:color w:val="auto"/>
              </w:rPr>
              <w:t>半封闭式，面积约为</w:t>
            </w:r>
            <w:r>
              <w:rPr>
                <w:rFonts w:eastAsia="Times New Roman"/>
                <w:color w:val="auto"/>
              </w:rPr>
              <w:t>190m×76m</w:t>
            </w:r>
            <w:r>
              <w:rPr>
                <w:color w:val="auto"/>
              </w:rPr>
              <w:t>，按堆煤高度</w:t>
            </w:r>
            <w:r>
              <w:rPr>
                <w:rFonts w:eastAsia="Times New Roman"/>
                <w:color w:val="auto"/>
              </w:rPr>
              <w:t>15m</w:t>
            </w:r>
            <w:r>
              <w:rPr>
                <w:color w:val="auto"/>
              </w:rPr>
              <w:t>计算，</w:t>
            </w:r>
            <w:r>
              <w:rPr>
                <w:color w:val="auto"/>
                <w:spacing w:val="-6"/>
              </w:rPr>
              <w:t>可贮煤量</w:t>
            </w:r>
            <w:r>
              <w:rPr>
                <w:rFonts w:eastAsia="Times New Roman"/>
                <w:color w:val="auto"/>
                <w:spacing w:val="-6"/>
              </w:rPr>
              <w:t>12</w:t>
            </w:r>
            <w:r>
              <w:rPr>
                <w:color w:val="auto"/>
                <w:spacing w:val="-6"/>
              </w:rPr>
              <w:t>万</w:t>
            </w:r>
            <w:r>
              <w:rPr>
                <w:rFonts w:eastAsia="Times New Roman"/>
                <w:color w:val="auto"/>
                <w:spacing w:val="-6"/>
              </w:rPr>
              <w:t>t</w:t>
            </w:r>
            <w:r>
              <w:rPr>
                <w:color w:val="auto"/>
                <w:spacing w:val="-6"/>
              </w:rPr>
              <w:t>。</w:t>
            </w:r>
          </w:p>
        </w:tc>
        <w:tc>
          <w:tcPr>
            <w:tcW w:w="703" w:type="pct"/>
            <w:vAlign w:val="center"/>
          </w:tcPr>
          <w:p w14:paraId="6C192E66">
            <w:pPr>
              <w:pStyle w:val="33"/>
              <w:rPr>
                <w:color w:val="auto"/>
              </w:rPr>
            </w:pPr>
            <w:r>
              <w:rPr>
                <w:color w:val="auto"/>
                <w:spacing w:val="-2"/>
              </w:rPr>
              <w:t>依托现有</w:t>
            </w:r>
          </w:p>
        </w:tc>
      </w:tr>
      <w:tr w14:paraId="01CA8E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6BB86925">
            <w:pPr>
              <w:pStyle w:val="33"/>
              <w:rPr>
                <w:rFonts w:eastAsia="Times New Roman"/>
                <w:color w:val="auto"/>
              </w:rPr>
            </w:pPr>
            <w:r>
              <w:rPr>
                <w:rFonts w:eastAsia="Times New Roman"/>
                <w:color w:val="auto"/>
              </w:rPr>
              <w:t>2</w:t>
            </w:r>
          </w:p>
        </w:tc>
        <w:tc>
          <w:tcPr>
            <w:tcW w:w="703" w:type="pct"/>
            <w:vAlign w:val="center"/>
          </w:tcPr>
          <w:p w14:paraId="1CA694B3">
            <w:pPr>
              <w:pStyle w:val="33"/>
              <w:rPr>
                <w:color w:val="auto"/>
              </w:rPr>
            </w:pPr>
            <w:r>
              <w:rPr>
                <w:color w:val="auto"/>
                <w:spacing w:val="-3"/>
              </w:rPr>
              <w:t>供水</w:t>
            </w:r>
          </w:p>
        </w:tc>
        <w:tc>
          <w:tcPr>
            <w:tcW w:w="3280" w:type="pct"/>
            <w:vAlign w:val="center"/>
          </w:tcPr>
          <w:p w14:paraId="3DA34C01">
            <w:pPr>
              <w:pStyle w:val="33"/>
              <w:rPr>
                <w:color w:val="auto"/>
              </w:rPr>
            </w:pPr>
            <w:r>
              <w:rPr>
                <w:color w:val="auto"/>
                <w:spacing w:val="-1"/>
              </w:rPr>
              <w:t>企业给水站、化水车间。</w:t>
            </w:r>
          </w:p>
        </w:tc>
        <w:tc>
          <w:tcPr>
            <w:tcW w:w="703" w:type="pct"/>
            <w:vAlign w:val="center"/>
          </w:tcPr>
          <w:p w14:paraId="3CA785F3">
            <w:pPr>
              <w:pStyle w:val="33"/>
              <w:rPr>
                <w:color w:val="auto"/>
              </w:rPr>
            </w:pPr>
            <w:r>
              <w:rPr>
                <w:color w:val="auto"/>
                <w:spacing w:val="-2"/>
              </w:rPr>
              <w:t>依托现有</w:t>
            </w:r>
          </w:p>
        </w:tc>
      </w:tr>
      <w:tr w14:paraId="5A3899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52DBBC2D">
            <w:pPr>
              <w:pStyle w:val="33"/>
              <w:rPr>
                <w:rFonts w:eastAsia="Times New Roman"/>
                <w:color w:val="auto"/>
              </w:rPr>
            </w:pPr>
            <w:r>
              <w:rPr>
                <w:rFonts w:eastAsia="Times New Roman"/>
                <w:color w:val="auto"/>
              </w:rPr>
              <w:t>3</w:t>
            </w:r>
          </w:p>
        </w:tc>
        <w:tc>
          <w:tcPr>
            <w:tcW w:w="703" w:type="pct"/>
            <w:vAlign w:val="center"/>
          </w:tcPr>
          <w:p w14:paraId="52CEDC65">
            <w:pPr>
              <w:pStyle w:val="33"/>
              <w:rPr>
                <w:color w:val="auto"/>
              </w:rPr>
            </w:pPr>
            <w:r>
              <w:rPr>
                <w:color w:val="auto"/>
                <w:spacing w:val="-7"/>
              </w:rPr>
              <w:t>电气工程</w:t>
            </w:r>
          </w:p>
        </w:tc>
        <w:tc>
          <w:tcPr>
            <w:tcW w:w="3280" w:type="pct"/>
            <w:vAlign w:val="center"/>
          </w:tcPr>
          <w:p w14:paraId="64E9FB8F">
            <w:pPr>
              <w:pStyle w:val="33"/>
              <w:rPr>
                <w:color w:val="auto"/>
              </w:rPr>
            </w:pPr>
            <w:r>
              <w:rPr>
                <w:color w:val="auto"/>
              </w:rPr>
              <w:t>在动力厂发电机组正常运行的情况下，能满足全厂用电需</w:t>
            </w:r>
            <w:r>
              <w:rPr>
                <w:color w:val="auto"/>
                <w:spacing w:val="-8"/>
              </w:rPr>
              <w:t>要。另外，已连接的</w:t>
            </w:r>
            <w:r>
              <w:rPr>
                <w:rFonts w:eastAsia="Times New Roman"/>
                <w:color w:val="auto"/>
                <w:spacing w:val="-8"/>
              </w:rPr>
              <w:t>35kV</w:t>
            </w:r>
            <w:r>
              <w:rPr>
                <w:color w:val="auto"/>
                <w:spacing w:val="-8"/>
              </w:rPr>
              <w:t>线与钦州港变电站连接，外电</w:t>
            </w:r>
            <w:r>
              <w:rPr>
                <w:color w:val="auto"/>
                <w:spacing w:val="-1"/>
              </w:rPr>
              <w:t>源代作为自备动力厂的启动电源和全厂事故电源。</w:t>
            </w:r>
          </w:p>
        </w:tc>
        <w:tc>
          <w:tcPr>
            <w:tcW w:w="703" w:type="pct"/>
            <w:vAlign w:val="center"/>
          </w:tcPr>
          <w:p w14:paraId="7F649A3A">
            <w:pPr>
              <w:pStyle w:val="33"/>
              <w:rPr>
                <w:color w:val="auto"/>
              </w:rPr>
            </w:pPr>
          </w:p>
          <w:p w14:paraId="517D97E2">
            <w:pPr>
              <w:pStyle w:val="33"/>
              <w:rPr>
                <w:color w:val="auto"/>
              </w:rPr>
            </w:pPr>
            <w:r>
              <w:rPr>
                <w:color w:val="auto"/>
                <w:spacing w:val="-2"/>
              </w:rPr>
              <w:t>依托现有</w:t>
            </w:r>
          </w:p>
        </w:tc>
      </w:tr>
      <w:tr w14:paraId="053305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48726D53">
            <w:pPr>
              <w:pStyle w:val="33"/>
              <w:rPr>
                <w:rFonts w:eastAsia="Times New Roman"/>
                <w:color w:val="auto"/>
              </w:rPr>
            </w:pPr>
            <w:r>
              <w:rPr>
                <w:rFonts w:eastAsia="Times New Roman"/>
                <w:color w:val="auto"/>
              </w:rPr>
              <w:t>4</w:t>
            </w:r>
          </w:p>
        </w:tc>
        <w:tc>
          <w:tcPr>
            <w:tcW w:w="703" w:type="pct"/>
            <w:vAlign w:val="center"/>
          </w:tcPr>
          <w:p w14:paraId="68D8E709">
            <w:pPr>
              <w:pStyle w:val="33"/>
              <w:rPr>
                <w:color w:val="auto"/>
              </w:rPr>
            </w:pPr>
            <w:r>
              <w:rPr>
                <w:color w:val="auto"/>
                <w:spacing w:val="-2"/>
              </w:rPr>
              <w:t>氨供应</w:t>
            </w:r>
          </w:p>
        </w:tc>
        <w:tc>
          <w:tcPr>
            <w:tcW w:w="3280" w:type="pct"/>
            <w:vAlign w:val="center"/>
          </w:tcPr>
          <w:p w14:paraId="642434F6">
            <w:pPr>
              <w:pStyle w:val="33"/>
              <w:rPr>
                <w:color w:val="auto"/>
              </w:rPr>
            </w:pPr>
            <w:r>
              <w:rPr>
                <w:color w:val="auto"/>
                <w:spacing w:val="-2"/>
              </w:rPr>
              <w:t>液氨罐区</w:t>
            </w:r>
            <w:r>
              <w:rPr>
                <w:rFonts w:eastAsia="Times New Roman"/>
                <w:color w:val="auto"/>
                <w:spacing w:val="-2"/>
              </w:rPr>
              <w:t>2</w:t>
            </w:r>
            <w:r>
              <w:rPr>
                <w:color w:val="auto"/>
                <w:spacing w:val="-2"/>
              </w:rPr>
              <w:t>个</w:t>
            </w:r>
            <w:r>
              <w:rPr>
                <w:rFonts w:eastAsia="Times New Roman"/>
                <w:color w:val="auto"/>
                <w:spacing w:val="-2"/>
              </w:rPr>
              <w:t>50m</w:t>
            </w:r>
            <w:r>
              <w:rPr>
                <w:rFonts w:eastAsia="Times New Roman"/>
                <w:color w:val="auto"/>
                <w:spacing w:val="-2"/>
                <w:position w:val="8"/>
                <w:sz w:val="14"/>
                <w:szCs w:val="14"/>
              </w:rPr>
              <w:t>3</w:t>
            </w:r>
            <w:r>
              <w:rPr>
                <w:color w:val="auto"/>
                <w:spacing w:val="-2"/>
              </w:rPr>
              <w:t>储罐。</w:t>
            </w:r>
          </w:p>
        </w:tc>
        <w:tc>
          <w:tcPr>
            <w:tcW w:w="703" w:type="pct"/>
            <w:vAlign w:val="center"/>
          </w:tcPr>
          <w:p w14:paraId="5C10A266">
            <w:pPr>
              <w:pStyle w:val="33"/>
              <w:rPr>
                <w:color w:val="auto"/>
              </w:rPr>
            </w:pPr>
            <w:r>
              <w:rPr>
                <w:color w:val="auto"/>
                <w:spacing w:val="-2"/>
              </w:rPr>
              <w:t>依托现有</w:t>
            </w:r>
          </w:p>
        </w:tc>
      </w:tr>
      <w:tr w14:paraId="2DDE4F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11673FFE">
            <w:pPr>
              <w:pStyle w:val="33"/>
              <w:rPr>
                <w:rFonts w:eastAsia="Times New Roman"/>
                <w:color w:val="auto"/>
              </w:rPr>
            </w:pPr>
            <w:r>
              <w:rPr>
                <w:rFonts w:eastAsia="Times New Roman"/>
                <w:color w:val="auto"/>
              </w:rPr>
              <w:t>5</w:t>
            </w:r>
          </w:p>
        </w:tc>
        <w:tc>
          <w:tcPr>
            <w:tcW w:w="703" w:type="pct"/>
            <w:vAlign w:val="center"/>
          </w:tcPr>
          <w:p w14:paraId="410EBF1A">
            <w:pPr>
              <w:pStyle w:val="33"/>
              <w:rPr>
                <w:color w:val="auto"/>
              </w:rPr>
            </w:pPr>
            <w:r>
              <w:rPr>
                <w:color w:val="auto"/>
                <w:spacing w:val="-3"/>
              </w:rPr>
              <w:t>行政生活设施</w:t>
            </w:r>
          </w:p>
        </w:tc>
        <w:tc>
          <w:tcPr>
            <w:tcW w:w="3280" w:type="pct"/>
            <w:vAlign w:val="center"/>
          </w:tcPr>
          <w:p w14:paraId="6DC61B63">
            <w:pPr>
              <w:pStyle w:val="33"/>
              <w:rPr>
                <w:color w:val="auto"/>
              </w:rPr>
            </w:pPr>
            <w:r>
              <w:rPr>
                <w:color w:val="auto"/>
                <w:spacing w:val="-1"/>
              </w:rPr>
              <w:t>综合楼、倒班宿舍、食堂等。</w:t>
            </w:r>
          </w:p>
        </w:tc>
        <w:tc>
          <w:tcPr>
            <w:tcW w:w="703" w:type="pct"/>
            <w:vAlign w:val="center"/>
          </w:tcPr>
          <w:p w14:paraId="6415A816">
            <w:pPr>
              <w:pStyle w:val="33"/>
              <w:rPr>
                <w:color w:val="auto"/>
              </w:rPr>
            </w:pPr>
            <w:r>
              <w:rPr>
                <w:color w:val="auto"/>
                <w:spacing w:val="-2"/>
              </w:rPr>
              <w:t>依托现有</w:t>
            </w:r>
          </w:p>
        </w:tc>
      </w:tr>
      <w:tr w14:paraId="3741192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498DC1D">
            <w:pPr>
              <w:pStyle w:val="33"/>
              <w:rPr>
                <w:color w:val="auto"/>
              </w:rPr>
            </w:pPr>
            <w:r>
              <w:rPr>
                <w:color w:val="auto"/>
                <w:spacing w:val="-2"/>
              </w:rPr>
              <w:t>三、环保工程</w:t>
            </w:r>
          </w:p>
        </w:tc>
      </w:tr>
      <w:tr w14:paraId="103D48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restart"/>
            <w:tcBorders>
              <w:bottom w:val="nil"/>
            </w:tcBorders>
            <w:vAlign w:val="center"/>
          </w:tcPr>
          <w:p w14:paraId="576DE399">
            <w:pPr>
              <w:pStyle w:val="33"/>
              <w:rPr>
                <w:rFonts w:eastAsia="Times New Roman"/>
                <w:color w:val="auto"/>
              </w:rPr>
            </w:pPr>
            <w:r>
              <w:rPr>
                <w:rFonts w:eastAsia="Times New Roman"/>
                <w:color w:val="auto"/>
              </w:rPr>
              <w:t>1</w:t>
            </w:r>
          </w:p>
        </w:tc>
        <w:tc>
          <w:tcPr>
            <w:tcW w:w="703" w:type="pct"/>
            <w:vMerge w:val="restart"/>
            <w:tcBorders>
              <w:bottom w:val="nil"/>
            </w:tcBorders>
            <w:vAlign w:val="center"/>
          </w:tcPr>
          <w:p w14:paraId="2DC151E7">
            <w:pPr>
              <w:pStyle w:val="33"/>
              <w:rPr>
                <w:color w:val="auto"/>
              </w:rPr>
            </w:pPr>
            <w:r>
              <w:rPr>
                <w:color w:val="auto"/>
                <w:spacing w:val="-2"/>
              </w:rPr>
              <w:t>废气治理</w:t>
            </w:r>
          </w:p>
        </w:tc>
        <w:tc>
          <w:tcPr>
            <w:tcW w:w="3280" w:type="pct"/>
            <w:vAlign w:val="center"/>
          </w:tcPr>
          <w:p w14:paraId="6C6FE547">
            <w:pPr>
              <w:pStyle w:val="33"/>
              <w:rPr>
                <w:color w:val="auto"/>
              </w:rPr>
            </w:pPr>
            <w:r>
              <w:rPr>
                <w:color w:val="auto"/>
                <w:spacing w:val="-8"/>
              </w:rPr>
              <w:t>锅炉烟气采用低氮燃烧及选择性催化还原法（</w:t>
            </w:r>
            <w:r>
              <w:rPr>
                <w:rFonts w:eastAsia="Times New Roman"/>
                <w:color w:val="auto"/>
                <w:spacing w:val="-8"/>
              </w:rPr>
              <w:t>SCR</w:t>
            </w:r>
            <w:r>
              <w:rPr>
                <w:color w:val="auto"/>
                <w:spacing w:val="-8"/>
              </w:rPr>
              <w:t>）脱硝，</w:t>
            </w:r>
            <w:r>
              <w:rPr>
                <w:color w:val="auto"/>
                <w:spacing w:val="-2"/>
              </w:rPr>
              <w:t>设计脱硝效率＞</w:t>
            </w:r>
            <w:r>
              <w:rPr>
                <w:rFonts w:eastAsia="Times New Roman"/>
                <w:color w:val="auto"/>
                <w:spacing w:val="-2"/>
              </w:rPr>
              <w:t>80%</w:t>
            </w:r>
            <w:r>
              <w:rPr>
                <w:color w:val="auto"/>
                <w:spacing w:val="-2"/>
              </w:rPr>
              <w:t>；</w:t>
            </w:r>
            <w:r>
              <w:rPr>
                <w:rFonts w:eastAsia="Times New Roman"/>
                <w:color w:val="auto"/>
                <w:spacing w:val="-2"/>
              </w:rPr>
              <w:t>“</w:t>
            </w:r>
            <w:r>
              <w:rPr>
                <w:color w:val="auto"/>
                <w:spacing w:val="-2"/>
              </w:rPr>
              <w:t>双室五电场静电除尘器</w:t>
            </w:r>
            <w:r>
              <w:rPr>
                <w:rFonts w:eastAsia="Times New Roman"/>
                <w:color w:val="auto"/>
                <w:spacing w:val="-2"/>
              </w:rPr>
              <w:t>+</w:t>
            </w:r>
            <w:r>
              <w:rPr>
                <w:color w:val="auto"/>
                <w:spacing w:val="-2"/>
              </w:rPr>
              <w:t>脱硫出口</w:t>
            </w:r>
            <w:r>
              <w:rPr>
                <w:color w:val="auto"/>
                <w:spacing w:val="-7"/>
              </w:rPr>
              <w:t>湿式静电除尘器</w:t>
            </w:r>
            <w:r>
              <w:rPr>
                <w:rFonts w:eastAsia="Times New Roman"/>
                <w:color w:val="auto"/>
                <w:spacing w:val="-7"/>
              </w:rPr>
              <w:t>”</w:t>
            </w:r>
            <w:r>
              <w:rPr>
                <w:color w:val="auto"/>
                <w:spacing w:val="-7"/>
              </w:rPr>
              <w:t>除尘，设计除尘效率分别为</w:t>
            </w:r>
            <w:r>
              <w:rPr>
                <w:rFonts w:eastAsia="Times New Roman"/>
                <w:color w:val="auto"/>
                <w:spacing w:val="-7"/>
              </w:rPr>
              <w:t>99.9%</w:t>
            </w:r>
            <w:r>
              <w:rPr>
                <w:color w:val="auto"/>
                <w:spacing w:val="-7"/>
              </w:rPr>
              <w:t>、</w:t>
            </w:r>
            <w:r>
              <w:rPr>
                <w:rFonts w:eastAsia="Times New Roman"/>
                <w:color w:val="auto"/>
                <w:spacing w:val="-7"/>
              </w:rPr>
              <w:t>70%</w:t>
            </w:r>
            <w:r>
              <w:rPr>
                <w:color w:val="auto"/>
                <w:spacing w:val="-7"/>
              </w:rPr>
              <w:t>；</w:t>
            </w:r>
            <w:r>
              <w:rPr>
                <w:color w:val="auto"/>
                <w:spacing w:val="-1"/>
              </w:rPr>
              <w:t>炉外石灰石</w:t>
            </w:r>
            <w:r>
              <w:rPr>
                <w:rFonts w:eastAsia="Times New Roman"/>
                <w:color w:val="auto"/>
                <w:spacing w:val="-1"/>
              </w:rPr>
              <w:t>-</w:t>
            </w:r>
            <w:r>
              <w:rPr>
                <w:color w:val="auto"/>
                <w:spacing w:val="-1"/>
              </w:rPr>
              <w:t>石膏湿法脱硫，设计脱硫效率＞</w:t>
            </w:r>
            <w:r>
              <w:rPr>
                <w:rFonts w:eastAsia="Times New Roman"/>
                <w:color w:val="auto"/>
                <w:spacing w:val="-1"/>
              </w:rPr>
              <w:t>98%</w:t>
            </w:r>
            <w:r>
              <w:rPr>
                <w:color w:val="auto"/>
                <w:spacing w:val="-1"/>
              </w:rPr>
              <w:t>。</w:t>
            </w:r>
          </w:p>
        </w:tc>
        <w:tc>
          <w:tcPr>
            <w:tcW w:w="703" w:type="pct"/>
            <w:vAlign w:val="center"/>
          </w:tcPr>
          <w:p w14:paraId="1BBBD73F">
            <w:pPr>
              <w:pStyle w:val="33"/>
              <w:rPr>
                <w:color w:val="auto"/>
              </w:rPr>
            </w:pPr>
            <w:r>
              <w:rPr>
                <w:color w:val="auto"/>
                <w:spacing w:val="-3"/>
              </w:rPr>
              <w:t>新建</w:t>
            </w:r>
          </w:p>
        </w:tc>
      </w:tr>
      <w:tr w14:paraId="0F8F8C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tcBorders>
              <w:top w:val="nil"/>
              <w:bottom w:val="nil"/>
            </w:tcBorders>
            <w:vAlign w:val="center"/>
          </w:tcPr>
          <w:p w14:paraId="1A1354AF">
            <w:pPr>
              <w:pStyle w:val="33"/>
              <w:rPr>
                <w:color w:val="auto"/>
              </w:rPr>
            </w:pPr>
          </w:p>
        </w:tc>
        <w:tc>
          <w:tcPr>
            <w:tcW w:w="703" w:type="pct"/>
            <w:vMerge w:val="continue"/>
            <w:tcBorders>
              <w:top w:val="nil"/>
              <w:bottom w:val="nil"/>
            </w:tcBorders>
            <w:vAlign w:val="center"/>
          </w:tcPr>
          <w:p w14:paraId="72A46C8D">
            <w:pPr>
              <w:pStyle w:val="33"/>
              <w:rPr>
                <w:color w:val="auto"/>
              </w:rPr>
            </w:pPr>
          </w:p>
        </w:tc>
        <w:tc>
          <w:tcPr>
            <w:tcW w:w="3280" w:type="pct"/>
            <w:vAlign w:val="center"/>
          </w:tcPr>
          <w:p w14:paraId="28E55928">
            <w:pPr>
              <w:pStyle w:val="33"/>
              <w:rPr>
                <w:color w:val="auto"/>
              </w:rPr>
            </w:pPr>
            <w:r>
              <w:rPr>
                <w:rFonts w:eastAsia="Times New Roman"/>
                <w:color w:val="auto"/>
                <w:spacing w:val="-2"/>
              </w:rPr>
              <w:t>120mH×</w:t>
            </w:r>
            <w:r>
              <w:rPr>
                <w:color w:val="auto"/>
              </w:rPr>
              <w:t>Ф</w:t>
            </w:r>
            <w:r>
              <w:rPr>
                <w:rFonts w:eastAsia="Times New Roman"/>
                <w:color w:val="auto"/>
                <w:spacing w:val="-2"/>
              </w:rPr>
              <w:t>5.8m</w:t>
            </w:r>
            <w:r>
              <w:rPr>
                <w:color w:val="auto"/>
                <w:spacing w:val="-2"/>
              </w:rPr>
              <w:t>烟囱</w:t>
            </w:r>
          </w:p>
        </w:tc>
        <w:tc>
          <w:tcPr>
            <w:tcW w:w="703" w:type="pct"/>
            <w:vAlign w:val="center"/>
          </w:tcPr>
          <w:p w14:paraId="019A17CC">
            <w:pPr>
              <w:pStyle w:val="33"/>
              <w:rPr>
                <w:color w:val="auto"/>
              </w:rPr>
            </w:pPr>
            <w:r>
              <w:rPr>
                <w:color w:val="auto"/>
              </w:rPr>
              <w:t>依托</w:t>
            </w:r>
            <w:r>
              <w:rPr>
                <w:rFonts w:eastAsia="Times New Roman"/>
                <w:color w:val="auto"/>
              </w:rPr>
              <w:t>3#</w:t>
            </w:r>
            <w:r>
              <w:rPr>
                <w:color w:val="auto"/>
                <w:spacing w:val="-2"/>
              </w:rPr>
              <w:t>锅炉烟囱</w:t>
            </w:r>
          </w:p>
        </w:tc>
      </w:tr>
      <w:tr w14:paraId="2207E0F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tcBorders>
              <w:top w:val="nil"/>
              <w:bottom w:val="nil"/>
            </w:tcBorders>
            <w:vAlign w:val="center"/>
          </w:tcPr>
          <w:p w14:paraId="110B2EF5">
            <w:pPr>
              <w:pStyle w:val="33"/>
              <w:rPr>
                <w:color w:val="auto"/>
              </w:rPr>
            </w:pPr>
          </w:p>
        </w:tc>
        <w:tc>
          <w:tcPr>
            <w:tcW w:w="703" w:type="pct"/>
            <w:vMerge w:val="continue"/>
            <w:tcBorders>
              <w:top w:val="nil"/>
              <w:bottom w:val="nil"/>
            </w:tcBorders>
            <w:vAlign w:val="center"/>
          </w:tcPr>
          <w:p w14:paraId="7515278F">
            <w:pPr>
              <w:pStyle w:val="33"/>
              <w:rPr>
                <w:color w:val="auto"/>
              </w:rPr>
            </w:pPr>
          </w:p>
        </w:tc>
        <w:tc>
          <w:tcPr>
            <w:tcW w:w="3280" w:type="pct"/>
            <w:vAlign w:val="center"/>
          </w:tcPr>
          <w:p w14:paraId="479B8422">
            <w:pPr>
              <w:pStyle w:val="33"/>
              <w:rPr>
                <w:color w:val="auto"/>
              </w:rPr>
            </w:pPr>
            <w:r>
              <w:rPr>
                <w:color w:val="auto"/>
                <w:spacing w:val="-9"/>
              </w:rPr>
              <w:t>封闭式煤转运站，配套多管式冲击除尘器，除尘</w:t>
            </w:r>
            <w:r>
              <w:rPr>
                <w:color w:val="auto"/>
                <w:spacing w:val="-10"/>
              </w:rPr>
              <w:t>效率</w:t>
            </w:r>
            <w:r>
              <w:rPr>
                <w:rFonts w:eastAsia="Times New Roman"/>
                <w:color w:val="auto"/>
                <w:spacing w:val="-10"/>
              </w:rPr>
              <w:t>99%</w:t>
            </w:r>
            <w:r>
              <w:rPr>
                <w:color w:val="auto"/>
                <w:spacing w:val="-10"/>
              </w:rPr>
              <w:t>。</w:t>
            </w:r>
          </w:p>
        </w:tc>
        <w:tc>
          <w:tcPr>
            <w:tcW w:w="703" w:type="pct"/>
            <w:vAlign w:val="center"/>
          </w:tcPr>
          <w:p w14:paraId="3428F33B">
            <w:pPr>
              <w:pStyle w:val="33"/>
              <w:rPr>
                <w:color w:val="auto"/>
              </w:rPr>
            </w:pPr>
            <w:r>
              <w:rPr>
                <w:color w:val="auto"/>
                <w:spacing w:val="-2"/>
              </w:rPr>
              <w:t>依托现有</w:t>
            </w:r>
          </w:p>
        </w:tc>
      </w:tr>
      <w:tr w14:paraId="4A68ED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tcBorders>
              <w:top w:val="nil"/>
              <w:bottom w:val="nil"/>
            </w:tcBorders>
            <w:vAlign w:val="center"/>
          </w:tcPr>
          <w:p w14:paraId="234E6F53">
            <w:pPr>
              <w:pStyle w:val="33"/>
              <w:rPr>
                <w:color w:val="auto"/>
              </w:rPr>
            </w:pPr>
          </w:p>
        </w:tc>
        <w:tc>
          <w:tcPr>
            <w:tcW w:w="703" w:type="pct"/>
            <w:vMerge w:val="continue"/>
            <w:tcBorders>
              <w:top w:val="nil"/>
              <w:bottom w:val="nil"/>
            </w:tcBorders>
            <w:vAlign w:val="center"/>
          </w:tcPr>
          <w:p w14:paraId="131185D7">
            <w:pPr>
              <w:pStyle w:val="33"/>
              <w:rPr>
                <w:color w:val="auto"/>
              </w:rPr>
            </w:pPr>
          </w:p>
        </w:tc>
        <w:tc>
          <w:tcPr>
            <w:tcW w:w="3280" w:type="pct"/>
            <w:vAlign w:val="center"/>
          </w:tcPr>
          <w:p w14:paraId="224855E9">
            <w:pPr>
              <w:pStyle w:val="33"/>
              <w:rPr>
                <w:color w:val="auto"/>
              </w:rPr>
            </w:pPr>
            <w:r>
              <w:rPr>
                <w:color w:val="auto"/>
                <w:spacing w:val="-9"/>
              </w:rPr>
              <w:t>封闭式碎煤机房，配套多管式冲击除尘器，除尘</w:t>
            </w:r>
            <w:r>
              <w:rPr>
                <w:color w:val="auto"/>
                <w:spacing w:val="-10"/>
              </w:rPr>
              <w:t>效率</w:t>
            </w:r>
            <w:r>
              <w:rPr>
                <w:rFonts w:eastAsia="Times New Roman"/>
                <w:color w:val="auto"/>
                <w:spacing w:val="-10"/>
              </w:rPr>
              <w:t>99%</w:t>
            </w:r>
            <w:r>
              <w:rPr>
                <w:color w:val="auto"/>
                <w:spacing w:val="-10"/>
              </w:rPr>
              <w:t>。</w:t>
            </w:r>
          </w:p>
        </w:tc>
        <w:tc>
          <w:tcPr>
            <w:tcW w:w="703" w:type="pct"/>
            <w:vAlign w:val="center"/>
          </w:tcPr>
          <w:p w14:paraId="4C148617">
            <w:pPr>
              <w:pStyle w:val="33"/>
              <w:rPr>
                <w:color w:val="auto"/>
              </w:rPr>
            </w:pPr>
            <w:r>
              <w:rPr>
                <w:color w:val="auto"/>
                <w:spacing w:val="-2"/>
              </w:rPr>
              <w:t>依托现有</w:t>
            </w:r>
          </w:p>
        </w:tc>
      </w:tr>
      <w:tr w14:paraId="36C170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tcBorders>
              <w:top w:val="nil"/>
              <w:bottom w:val="nil"/>
            </w:tcBorders>
            <w:vAlign w:val="center"/>
          </w:tcPr>
          <w:p w14:paraId="367BB70C">
            <w:pPr>
              <w:pStyle w:val="33"/>
              <w:rPr>
                <w:color w:val="auto"/>
              </w:rPr>
            </w:pPr>
          </w:p>
        </w:tc>
        <w:tc>
          <w:tcPr>
            <w:tcW w:w="703" w:type="pct"/>
            <w:vMerge w:val="continue"/>
            <w:tcBorders>
              <w:top w:val="nil"/>
              <w:bottom w:val="nil"/>
            </w:tcBorders>
            <w:vAlign w:val="center"/>
          </w:tcPr>
          <w:p w14:paraId="432A1210">
            <w:pPr>
              <w:pStyle w:val="33"/>
              <w:rPr>
                <w:color w:val="auto"/>
              </w:rPr>
            </w:pPr>
          </w:p>
        </w:tc>
        <w:tc>
          <w:tcPr>
            <w:tcW w:w="3280" w:type="pct"/>
            <w:vAlign w:val="center"/>
          </w:tcPr>
          <w:p w14:paraId="4003CD53">
            <w:pPr>
              <w:pStyle w:val="33"/>
              <w:rPr>
                <w:color w:val="auto"/>
              </w:rPr>
            </w:pPr>
            <w:r>
              <w:rPr>
                <w:color w:val="auto"/>
                <w:spacing w:val="-1"/>
              </w:rPr>
              <w:t>封闭式石灰石粉仓，配套布袋除尘器，除尘效</w:t>
            </w:r>
            <w:r>
              <w:rPr>
                <w:rFonts w:eastAsia="Times New Roman"/>
                <w:color w:val="auto"/>
                <w:spacing w:val="-1"/>
              </w:rPr>
              <w:t>99%</w:t>
            </w:r>
            <w:r>
              <w:rPr>
                <w:color w:val="auto"/>
                <w:spacing w:val="-1"/>
              </w:rPr>
              <w:t>。</w:t>
            </w:r>
          </w:p>
        </w:tc>
        <w:tc>
          <w:tcPr>
            <w:tcW w:w="703" w:type="pct"/>
            <w:vAlign w:val="center"/>
          </w:tcPr>
          <w:p w14:paraId="6CE8B700">
            <w:pPr>
              <w:pStyle w:val="33"/>
              <w:rPr>
                <w:color w:val="auto"/>
              </w:rPr>
            </w:pPr>
            <w:r>
              <w:rPr>
                <w:color w:val="auto"/>
                <w:spacing w:val="-2"/>
              </w:rPr>
              <w:t>依托现有</w:t>
            </w:r>
          </w:p>
        </w:tc>
      </w:tr>
      <w:tr w14:paraId="433C09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Merge w:val="continue"/>
            <w:tcBorders>
              <w:top w:val="nil"/>
            </w:tcBorders>
            <w:vAlign w:val="center"/>
          </w:tcPr>
          <w:p w14:paraId="360AFDF3">
            <w:pPr>
              <w:pStyle w:val="33"/>
              <w:rPr>
                <w:color w:val="auto"/>
              </w:rPr>
            </w:pPr>
          </w:p>
        </w:tc>
        <w:tc>
          <w:tcPr>
            <w:tcW w:w="703" w:type="pct"/>
            <w:vMerge w:val="continue"/>
            <w:tcBorders>
              <w:top w:val="nil"/>
            </w:tcBorders>
            <w:vAlign w:val="center"/>
          </w:tcPr>
          <w:p w14:paraId="5EBD19DC">
            <w:pPr>
              <w:pStyle w:val="33"/>
              <w:rPr>
                <w:color w:val="auto"/>
              </w:rPr>
            </w:pPr>
          </w:p>
        </w:tc>
        <w:tc>
          <w:tcPr>
            <w:tcW w:w="3280" w:type="pct"/>
            <w:vAlign w:val="center"/>
          </w:tcPr>
          <w:p w14:paraId="1795EACF">
            <w:pPr>
              <w:pStyle w:val="33"/>
              <w:rPr>
                <w:color w:val="auto"/>
              </w:rPr>
            </w:pPr>
            <w:r>
              <w:rPr>
                <w:color w:val="auto"/>
                <w:spacing w:val="-1"/>
              </w:rPr>
              <w:t>封闭式灰库，配套布袋除尘器，除尘效率</w:t>
            </w:r>
            <w:r>
              <w:rPr>
                <w:rFonts w:eastAsia="Times New Roman"/>
                <w:color w:val="auto"/>
                <w:spacing w:val="-1"/>
              </w:rPr>
              <w:t>99.9%</w:t>
            </w:r>
            <w:r>
              <w:rPr>
                <w:color w:val="auto"/>
                <w:spacing w:val="-1"/>
              </w:rPr>
              <w:t>。</w:t>
            </w:r>
          </w:p>
        </w:tc>
        <w:tc>
          <w:tcPr>
            <w:tcW w:w="703" w:type="pct"/>
            <w:vAlign w:val="center"/>
          </w:tcPr>
          <w:p w14:paraId="6D5DD187">
            <w:pPr>
              <w:pStyle w:val="33"/>
              <w:rPr>
                <w:color w:val="auto"/>
              </w:rPr>
            </w:pPr>
            <w:r>
              <w:rPr>
                <w:color w:val="auto"/>
                <w:spacing w:val="-2"/>
              </w:rPr>
              <w:t>依托现有</w:t>
            </w:r>
          </w:p>
        </w:tc>
      </w:tr>
      <w:tr w14:paraId="606E6D6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7135006E">
            <w:pPr>
              <w:pStyle w:val="33"/>
              <w:rPr>
                <w:rFonts w:eastAsia="Times New Roman"/>
                <w:color w:val="auto"/>
              </w:rPr>
            </w:pPr>
            <w:r>
              <w:rPr>
                <w:rFonts w:eastAsia="Times New Roman"/>
                <w:color w:val="auto"/>
              </w:rPr>
              <w:t>2</w:t>
            </w:r>
          </w:p>
        </w:tc>
        <w:tc>
          <w:tcPr>
            <w:tcW w:w="703" w:type="pct"/>
            <w:vAlign w:val="center"/>
          </w:tcPr>
          <w:p w14:paraId="195E76B2">
            <w:pPr>
              <w:pStyle w:val="33"/>
              <w:rPr>
                <w:color w:val="auto"/>
              </w:rPr>
            </w:pPr>
            <w:r>
              <w:rPr>
                <w:color w:val="auto"/>
                <w:spacing w:val="-2"/>
              </w:rPr>
              <w:t>废水治理</w:t>
            </w:r>
          </w:p>
        </w:tc>
        <w:tc>
          <w:tcPr>
            <w:tcW w:w="3280" w:type="pct"/>
            <w:vAlign w:val="center"/>
          </w:tcPr>
          <w:p w14:paraId="57FC5285">
            <w:pPr>
              <w:pStyle w:val="33"/>
              <w:rPr>
                <w:color w:val="auto"/>
              </w:rPr>
            </w:pPr>
            <w:r>
              <w:rPr>
                <w:color w:val="auto"/>
                <w:spacing w:val="-5"/>
              </w:rPr>
              <w:t>经污水处理站采取好氧</w:t>
            </w:r>
            <w:r>
              <w:rPr>
                <w:rFonts w:eastAsia="Times New Roman"/>
                <w:color w:val="auto"/>
                <w:spacing w:val="-5"/>
              </w:rPr>
              <w:t>+</w:t>
            </w:r>
            <w:r>
              <w:rPr>
                <w:color w:val="auto"/>
                <w:spacing w:val="-5"/>
              </w:rPr>
              <w:t>浅层气浮工艺处理后，深海排放。</w:t>
            </w:r>
          </w:p>
        </w:tc>
        <w:tc>
          <w:tcPr>
            <w:tcW w:w="703" w:type="pct"/>
            <w:vAlign w:val="center"/>
          </w:tcPr>
          <w:p w14:paraId="05F69994">
            <w:pPr>
              <w:pStyle w:val="33"/>
              <w:rPr>
                <w:color w:val="auto"/>
              </w:rPr>
            </w:pPr>
            <w:r>
              <w:rPr>
                <w:color w:val="auto"/>
                <w:spacing w:val="-2"/>
              </w:rPr>
              <w:t>依托现有</w:t>
            </w:r>
          </w:p>
        </w:tc>
      </w:tr>
      <w:tr w14:paraId="7F761D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0767C976">
            <w:pPr>
              <w:pStyle w:val="33"/>
              <w:rPr>
                <w:rFonts w:eastAsia="Times New Roman"/>
                <w:color w:val="auto"/>
              </w:rPr>
            </w:pPr>
            <w:r>
              <w:rPr>
                <w:rFonts w:eastAsia="Times New Roman"/>
                <w:color w:val="auto"/>
              </w:rPr>
              <w:t>3</w:t>
            </w:r>
          </w:p>
        </w:tc>
        <w:tc>
          <w:tcPr>
            <w:tcW w:w="703" w:type="pct"/>
            <w:vAlign w:val="center"/>
          </w:tcPr>
          <w:p w14:paraId="33A85A75">
            <w:pPr>
              <w:pStyle w:val="33"/>
              <w:rPr>
                <w:color w:val="auto"/>
              </w:rPr>
            </w:pPr>
            <w:r>
              <w:rPr>
                <w:color w:val="auto"/>
              </w:rPr>
              <w:t>噪声处理</w:t>
            </w:r>
          </w:p>
        </w:tc>
        <w:tc>
          <w:tcPr>
            <w:tcW w:w="3280" w:type="pct"/>
            <w:vAlign w:val="center"/>
          </w:tcPr>
          <w:p w14:paraId="5CA302E2">
            <w:pPr>
              <w:pStyle w:val="33"/>
              <w:rPr>
                <w:color w:val="auto"/>
              </w:rPr>
            </w:pPr>
            <w:r>
              <w:rPr>
                <w:color w:val="auto"/>
              </w:rPr>
              <w:t>对振动大的设备采用减振措施，锅炉的排汽噪声采用消声器来降低噪声，其他各类泵、风机等设备采取基础减振措</w:t>
            </w:r>
            <w:r>
              <w:rPr>
                <w:color w:val="auto"/>
                <w:spacing w:val="-5"/>
              </w:rPr>
              <w:t>施和消声措施。</w:t>
            </w:r>
          </w:p>
        </w:tc>
        <w:tc>
          <w:tcPr>
            <w:tcW w:w="703" w:type="pct"/>
            <w:vAlign w:val="center"/>
          </w:tcPr>
          <w:p w14:paraId="74B283C5">
            <w:pPr>
              <w:pStyle w:val="33"/>
              <w:rPr>
                <w:color w:val="auto"/>
              </w:rPr>
            </w:pPr>
            <w:r>
              <w:rPr>
                <w:color w:val="auto"/>
                <w:spacing w:val="-3"/>
              </w:rPr>
              <w:t>新建</w:t>
            </w:r>
          </w:p>
        </w:tc>
      </w:tr>
      <w:tr w14:paraId="2AE657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4" w:type="pct"/>
            <w:vAlign w:val="center"/>
          </w:tcPr>
          <w:p w14:paraId="71546212">
            <w:pPr>
              <w:pStyle w:val="33"/>
              <w:rPr>
                <w:rFonts w:eastAsia="Times New Roman"/>
                <w:color w:val="auto"/>
              </w:rPr>
            </w:pPr>
            <w:r>
              <w:rPr>
                <w:rFonts w:eastAsia="Times New Roman"/>
                <w:color w:val="auto"/>
              </w:rPr>
              <w:t>4</w:t>
            </w:r>
          </w:p>
        </w:tc>
        <w:tc>
          <w:tcPr>
            <w:tcW w:w="703" w:type="pct"/>
            <w:vAlign w:val="center"/>
          </w:tcPr>
          <w:p w14:paraId="4D434DA4">
            <w:pPr>
              <w:pStyle w:val="33"/>
              <w:rPr>
                <w:color w:val="auto"/>
              </w:rPr>
            </w:pPr>
            <w:r>
              <w:rPr>
                <w:color w:val="auto"/>
                <w:spacing w:val="-5"/>
              </w:rPr>
              <w:t>固废处置</w:t>
            </w:r>
          </w:p>
        </w:tc>
        <w:tc>
          <w:tcPr>
            <w:tcW w:w="3280" w:type="pct"/>
            <w:vAlign w:val="center"/>
          </w:tcPr>
          <w:p w14:paraId="2A066538">
            <w:pPr>
              <w:pStyle w:val="33"/>
              <w:rPr>
                <w:color w:val="auto"/>
              </w:rPr>
            </w:pPr>
            <w:r>
              <w:rPr>
                <w:color w:val="auto"/>
                <w:spacing w:val="-1"/>
              </w:rPr>
              <w:t>煤灰渣、粉煤灰、脱硫石膏外委综合利用。</w:t>
            </w:r>
          </w:p>
        </w:tc>
        <w:tc>
          <w:tcPr>
            <w:tcW w:w="703" w:type="pct"/>
            <w:vAlign w:val="center"/>
          </w:tcPr>
          <w:p w14:paraId="5265EA9D">
            <w:pPr>
              <w:pStyle w:val="33"/>
              <w:rPr>
                <w:color w:val="auto"/>
              </w:rPr>
            </w:pPr>
            <w:r>
              <w:rPr>
                <w:color w:val="auto"/>
                <w:spacing w:val="-2"/>
              </w:rPr>
              <w:t>依托现有</w:t>
            </w:r>
          </w:p>
        </w:tc>
      </w:tr>
    </w:tbl>
    <w:p w14:paraId="61BCD072">
      <w:pPr>
        <w:pStyle w:val="5"/>
        <w:rPr>
          <w:color w:val="auto"/>
        </w:rPr>
      </w:pPr>
      <w:r>
        <w:rPr>
          <w:color w:val="auto"/>
        </w:rPr>
        <w:t>主要原辅料及能源消耗</w:t>
      </w:r>
    </w:p>
    <w:p w14:paraId="23958327">
      <w:pPr>
        <w:ind w:firstLine="480"/>
        <w:rPr>
          <w:color w:val="auto"/>
        </w:rPr>
      </w:pPr>
      <w:r>
        <w:rPr>
          <w:color w:val="auto"/>
        </w:rPr>
        <w:t>已批在建备用锅炉排烟方式变更项目主要原辅材料及能源消耗见</w:t>
      </w:r>
      <w:r>
        <w:rPr>
          <w:rFonts w:hint="eastAsia"/>
          <w:color w:val="auto"/>
        </w:rPr>
        <w:t>下表</w:t>
      </w:r>
      <w:r>
        <w:rPr>
          <w:color w:val="auto"/>
          <w:spacing w:val="-2"/>
        </w:rPr>
        <w:t>。</w:t>
      </w:r>
    </w:p>
    <w:p w14:paraId="39D52B90">
      <w:pPr>
        <w:pStyle w:val="7"/>
        <w:rPr>
          <w:color w:val="auto"/>
        </w:rPr>
      </w:pPr>
      <w:r>
        <w:rPr>
          <w:color w:val="auto"/>
        </w:rPr>
        <w:t>已批在建备用锅炉排烟方式变更项目主要原辅材料消耗情况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2691"/>
        <w:gridCol w:w="1900"/>
        <w:gridCol w:w="4695"/>
      </w:tblGrid>
      <w:tr w14:paraId="4C2A17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41F4F639">
            <w:pPr>
              <w:pStyle w:val="33"/>
              <w:rPr>
                <w:color w:val="auto"/>
              </w:rPr>
            </w:pPr>
            <w:r>
              <w:rPr>
                <w:color w:val="auto"/>
              </w:rPr>
              <w:t>项目</w:t>
            </w:r>
          </w:p>
        </w:tc>
        <w:tc>
          <w:tcPr>
            <w:tcW w:w="1023" w:type="pct"/>
            <w:vAlign w:val="center"/>
          </w:tcPr>
          <w:p w14:paraId="6D96CA69">
            <w:pPr>
              <w:pStyle w:val="33"/>
              <w:rPr>
                <w:color w:val="auto"/>
              </w:rPr>
            </w:pPr>
            <w:r>
              <w:rPr>
                <w:color w:val="auto"/>
              </w:rPr>
              <w:t>用量</w:t>
            </w:r>
          </w:p>
        </w:tc>
        <w:tc>
          <w:tcPr>
            <w:tcW w:w="2528" w:type="pct"/>
            <w:vAlign w:val="center"/>
          </w:tcPr>
          <w:p w14:paraId="4CE018F4">
            <w:pPr>
              <w:pStyle w:val="33"/>
              <w:rPr>
                <w:color w:val="auto"/>
              </w:rPr>
            </w:pPr>
            <w:r>
              <w:rPr>
                <w:color w:val="auto"/>
              </w:rPr>
              <w:t>备注</w:t>
            </w:r>
          </w:p>
        </w:tc>
      </w:tr>
      <w:tr w14:paraId="027D6F8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05D02D80">
            <w:pPr>
              <w:pStyle w:val="33"/>
              <w:rPr>
                <w:color w:val="auto"/>
              </w:rPr>
            </w:pPr>
            <w:r>
              <w:rPr>
                <w:color w:val="auto"/>
                <w:spacing w:val="-3"/>
              </w:rPr>
              <w:t>燃煤</w:t>
            </w:r>
          </w:p>
        </w:tc>
        <w:tc>
          <w:tcPr>
            <w:tcW w:w="1023" w:type="pct"/>
            <w:vAlign w:val="center"/>
          </w:tcPr>
          <w:p w14:paraId="1E6E36A2">
            <w:pPr>
              <w:pStyle w:val="33"/>
              <w:rPr>
                <w:rFonts w:eastAsia="Times New Roman"/>
                <w:color w:val="auto"/>
              </w:rPr>
            </w:pPr>
            <w:r>
              <w:rPr>
                <w:rFonts w:eastAsia="Times New Roman"/>
                <w:color w:val="auto"/>
                <w:spacing w:val="-3"/>
              </w:rPr>
              <w:t>7.23</w:t>
            </w:r>
            <w:r>
              <w:rPr>
                <w:color w:val="auto"/>
                <w:spacing w:val="-3"/>
              </w:rPr>
              <w:t>万</w:t>
            </w:r>
            <w:r>
              <w:rPr>
                <w:rFonts w:eastAsia="Times New Roman"/>
                <w:color w:val="auto"/>
                <w:spacing w:val="-3"/>
              </w:rPr>
              <w:t>t/a</w:t>
            </w:r>
          </w:p>
        </w:tc>
        <w:tc>
          <w:tcPr>
            <w:tcW w:w="2528" w:type="pct"/>
            <w:vAlign w:val="center"/>
          </w:tcPr>
          <w:p w14:paraId="0532A1FF">
            <w:pPr>
              <w:pStyle w:val="33"/>
              <w:rPr>
                <w:color w:val="auto"/>
              </w:rPr>
            </w:pPr>
            <w:r>
              <w:rPr>
                <w:color w:val="auto"/>
                <w:spacing w:val="-6"/>
              </w:rPr>
              <w:t>印度煤</w:t>
            </w:r>
          </w:p>
        </w:tc>
      </w:tr>
      <w:tr w14:paraId="3122DA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212B86BA">
            <w:pPr>
              <w:pStyle w:val="33"/>
              <w:rPr>
                <w:color w:val="auto"/>
              </w:rPr>
            </w:pPr>
            <w:r>
              <w:rPr>
                <w:color w:val="auto"/>
                <w:spacing w:val="-1"/>
              </w:rPr>
              <w:t>木屑、浆渣等（干绝）</w:t>
            </w:r>
          </w:p>
        </w:tc>
        <w:tc>
          <w:tcPr>
            <w:tcW w:w="1023" w:type="pct"/>
            <w:vAlign w:val="center"/>
          </w:tcPr>
          <w:p w14:paraId="1DDC3F67">
            <w:pPr>
              <w:pStyle w:val="33"/>
              <w:rPr>
                <w:rFonts w:eastAsia="Times New Roman"/>
                <w:color w:val="auto"/>
              </w:rPr>
            </w:pPr>
            <w:r>
              <w:rPr>
                <w:rFonts w:eastAsia="Times New Roman"/>
                <w:color w:val="auto"/>
                <w:spacing w:val="-3"/>
              </w:rPr>
              <w:t>0.19</w:t>
            </w:r>
            <w:r>
              <w:rPr>
                <w:color w:val="auto"/>
                <w:spacing w:val="-3"/>
              </w:rPr>
              <w:t>万</w:t>
            </w:r>
            <w:r>
              <w:rPr>
                <w:rFonts w:eastAsia="Times New Roman"/>
                <w:color w:val="auto"/>
                <w:spacing w:val="-3"/>
              </w:rPr>
              <w:t>t/a</w:t>
            </w:r>
          </w:p>
        </w:tc>
        <w:tc>
          <w:tcPr>
            <w:tcW w:w="2528" w:type="pct"/>
            <w:vAlign w:val="center"/>
          </w:tcPr>
          <w:p w14:paraId="257914E2">
            <w:pPr>
              <w:pStyle w:val="33"/>
              <w:rPr>
                <w:color w:val="auto"/>
              </w:rPr>
            </w:pPr>
            <w:r>
              <w:rPr>
                <w:color w:val="auto"/>
                <w:spacing w:val="-2"/>
              </w:rPr>
              <w:t>备木及制浆车间</w:t>
            </w:r>
          </w:p>
        </w:tc>
      </w:tr>
      <w:tr w14:paraId="2544DB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2111F8CF">
            <w:pPr>
              <w:pStyle w:val="33"/>
              <w:rPr>
                <w:color w:val="auto"/>
              </w:rPr>
            </w:pPr>
            <w:r>
              <w:rPr>
                <w:color w:val="auto"/>
                <w:spacing w:val="-3"/>
              </w:rPr>
              <w:t>液氨</w:t>
            </w:r>
          </w:p>
        </w:tc>
        <w:tc>
          <w:tcPr>
            <w:tcW w:w="1023" w:type="pct"/>
            <w:vAlign w:val="center"/>
          </w:tcPr>
          <w:p w14:paraId="4982E9A0">
            <w:pPr>
              <w:pStyle w:val="33"/>
              <w:rPr>
                <w:rFonts w:eastAsia="Times New Roman"/>
                <w:color w:val="auto"/>
              </w:rPr>
            </w:pPr>
            <w:r>
              <w:rPr>
                <w:rFonts w:eastAsia="Times New Roman"/>
                <w:color w:val="auto"/>
                <w:spacing w:val="-2"/>
              </w:rPr>
              <w:t>81.18t/a</w:t>
            </w:r>
          </w:p>
        </w:tc>
        <w:tc>
          <w:tcPr>
            <w:tcW w:w="2528" w:type="pct"/>
            <w:vAlign w:val="center"/>
          </w:tcPr>
          <w:p w14:paraId="3E498374">
            <w:pPr>
              <w:pStyle w:val="33"/>
              <w:rPr>
                <w:color w:val="auto"/>
              </w:rPr>
            </w:pPr>
            <w:r>
              <w:rPr>
                <w:color w:val="auto"/>
                <w:spacing w:val="-4"/>
              </w:rPr>
              <w:t>氨含量为</w:t>
            </w:r>
            <w:r>
              <w:rPr>
                <w:rFonts w:eastAsia="Times New Roman"/>
                <w:color w:val="auto"/>
                <w:spacing w:val="-4"/>
              </w:rPr>
              <w:t>99.6%</w:t>
            </w:r>
            <w:r>
              <w:rPr>
                <w:color w:val="auto"/>
                <w:spacing w:val="-4"/>
              </w:rPr>
              <w:t>，按</w:t>
            </w:r>
            <w:r>
              <w:rPr>
                <w:rFonts w:eastAsia="Times New Roman"/>
                <w:color w:val="auto"/>
                <w:spacing w:val="-4"/>
              </w:rPr>
              <w:t>1440h</w:t>
            </w:r>
            <w:r>
              <w:rPr>
                <w:color w:val="auto"/>
                <w:spacing w:val="-4"/>
              </w:rPr>
              <w:t>计</w:t>
            </w:r>
          </w:p>
        </w:tc>
      </w:tr>
      <w:tr w14:paraId="0304EC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5D9DCA80">
            <w:pPr>
              <w:pStyle w:val="33"/>
              <w:rPr>
                <w:color w:val="auto"/>
              </w:rPr>
            </w:pPr>
            <w:r>
              <w:rPr>
                <w:color w:val="auto"/>
                <w:spacing w:val="-10"/>
              </w:rPr>
              <w:t>白泥</w:t>
            </w:r>
          </w:p>
        </w:tc>
        <w:tc>
          <w:tcPr>
            <w:tcW w:w="1023" w:type="pct"/>
            <w:vAlign w:val="center"/>
          </w:tcPr>
          <w:p w14:paraId="096E6CD1">
            <w:pPr>
              <w:pStyle w:val="33"/>
              <w:rPr>
                <w:rFonts w:eastAsia="Times New Roman"/>
                <w:color w:val="auto"/>
              </w:rPr>
            </w:pPr>
            <w:r>
              <w:rPr>
                <w:rFonts w:eastAsia="Times New Roman"/>
                <w:color w:val="auto"/>
                <w:spacing w:val="-1"/>
              </w:rPr>
              <w:t>755.7t/a</w:t>
            </w:r>
          </w:p>
        </w:tc>
        <w:tc>
          <w:tcPr>
            <w:tcW w:w="2528" w:type="pct"/>
            <w:vAlign w:val="center"/>
          </w:tcPr>
          <w:p w14:paraId="6C513902">
            <w:pPr>
              <w:pStyle w:val="33"/>
              <w:rPr>
                <w:color w:val="auto"/>
              </w:rPr>
            </w:pPr>
            <w:r>
              <w:rPr>
                <w:color w:val="auto"/>
                <w:spacing w:val="-2"/>
              </w:rPr>
              <w:t>企业自产，用于脱硫</w:t>
            </w:r>
          </w:p>
        </w:tc>
      </w:tr>
      <w:tr w14:paraId="48EFD8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6EF49E23">
            <w:pPr>
              <w:pStyle w:val="33"/>
              <w:rPr>
                <w:color w:val="auto"/>
              </w:rPr>
            </w:pPr>
            <w:r>
              <w:rPr>
                <w:color w:val="auto"/>
                <w:spacing w:val="-2"/>
              </w:rPr>
              <w:t>石灰石粉</w:t>
            </w:r>
          </w:p>
        </w:tc>
        <w:tc>
          <w:tcPr>
            <w:tcW w:w="1023" w:type="pct"/>
            <w:vAlign w:val="center"/>
          </w:tcPr>
          <w:p w14:paraId="3963A3A5">
            <w:pPr>
              <w:pStyle w:val="33"/>
              <w:rPr>
                <w:rFonts w:eastAsia="Times New Roman"/>
                <w:color w:val="auto"/>
              </w:rPr>
            </w:pPr>
            <w:r>
              <w:rPr>
                <w:rFonts w:eastAsia="Times New Roman"/>
                <w:color w:val="auto"/>
                <w:spacing w:val="-1"/>
              </w:rPr>
              <w:t>255.32t/a</w:t>
            </w:r>
          </w:p>
        </w:tc>
        <w:tc>
          <w:tcPr>
            <w:tcW w:w="2528" w:type="pct"/>
            <w:vAlign w:val="center"/>
          </w:tcPr>
          <w:p w14:paraId="3E89D652">
            <w:pPr>
              <w:pStyle w:val="33"/>
              <w:rPr>
                <w:color w:val="auto"/>
              </w:rPr>
            </w:pPr>
            <w:r>
              <w:rPr>
                <w:color w:val="auto"/>
                <w:spacing w:val="-2"/>
              </w:rPr>
              <w:t>外购用于脱硫</w:t>
            </w:r>
          </w:p>
        </w:tc>
      </w:tr>
      <w:tr w14:paraId="1D4BCF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1449" w:type="pct"/>
            <w:vAlign w:val="center"/>
          </w:tcPr>
          <w:p w14:paraId="344E1F11">
            <w:pPr>
              <w:pStyle w:val="33"/>
              <w:rPr>
                <w:color w:val="auto"/>
              </w:rPr>
            </w:pPr>
            <w:r>
              <w:rPr>
                <w:color w:val="auto"/>
                <w:spacing w:val="-3"/>
              </w:rPr>
              <w:t>用水量</w:t>
            </w:r>
          </w:p>
        </w:tc>
        <w:tc>
          <w:tcPr>
            <w:tcW w:w="1023" w:type="pct"/>
            <w:vAlign w:val="center"/>
          </w:tcPr>
          <w:p w14:paraId="340AB0BC">
            <w:pPr>
              <w:pStyle w:val="33"/>
              <w:rPr>
                <w:rFonts w:eastAsia="Times New Roman"/>
                <w:color w:val="auto"/>
              </w:rPr>
            </w:pPr>
            <w:r>
              <w:rPr>
                <w:rFonts w:eastAsia="Times New Roman"/>
                <w:color w:val="auto"/>
                <w:spacing w:val="-3"/>
              </w:rPr>
              <w:t>31t/h</w:t>
            </w:r>
            <w:r>
              <w:rPr>
                <w:color w:val="auto"/>
                <w:spacing w:val="-3"/>
              </w:rPr>
              <w:t>，</w:t>
            </w:r>
            <w:r>
              <w:rPr>
                <w:rFonts w:eastAsia="Times New Roman"/>
                <w:color w:val="auto"/>
                <w:spacing w:val="-3"/>
              </w:rPr>
              <w:t>44640t/a</w:t>
            </w:r>
          </w:p>
        </w:tc>
        <w:tc>
          <w:tcPr>
            <w:tcW w:w="2528" w:type="pct"/>
            <w:vAlign w:val="center"/>
          </w:tcPr>
          <w:p w14:paraId="192AE2CF">
            <w:pPr>
              <w:pStyle w:val="33"/>
              <w:rPr>
                <w:color w:val="auto"/>
              </w:rPr>
            </w:pPr>
            <w:r>
              <w:rPr>
                <w:color w:val="auto"/>
              </w:rPr>
              <w:t>按</w:t>
            </w:r>
            <w:r>
              <w:rPr>
                <w:rFonts w:eastAsia="Times New Roman"/>
                <w:color w:val="auto"/>
              </w:rPr>
              <w:t>1440h</w:t>
            </w:r>
            <w:r>
              <w:rPr>
                <w:color w:val="auto"/>
              </w:rPr>
              <w:t>计</w:t>
            </w:r>
          </w:p>
        </w:tc>
      </w:tr>
    </w:tbl>
    <w:p w14:paraId="006DED91">
      <w:pPr>
        <w:pStyle w:val="5"/>
        <w:rPr>
          <w:color w:val="auto"/>
        </w:rPr>
      </w:pPr>
      <w:r>
        <w:rPr>
          <w:color w:val="auto"/>
        </w:rPr>
        <w:t>工程分析</w:t>
      </w:r>
    </w:p>
    <w:p w14:paraId="143F8DF9">
      <w:pPr>
        <w:ind w:firstLine="480"/>
        <w:rPr>
          <w:color w:val="auto"/>
        </w:rPr>
      </w:pPr>
      <w:r>
        <w:rPr>
          <w:color w:val="auto"/>
        </w:rPr>
        <w:t>依托现有运煤、输煤系统，将煤炭由输煤皮带送入主厂房炉前煤仓磨煤，磨煤后送入锅炉风力播煤装置，由风力送入炉膛内燃烧。焚烧后燃煤释放的热能被水吸收，转化为蒸汽热能，供应发电机组及其他生产线。炉渣通过冷渣器排出，烟气经净化系统处理后通过烟囱达标排放。</w:t>
      </w:r>
    </w:p>
    <w:p w14:paraId="65364912">
      <w:pPr>
        <w:pStyle w:val="5"/>
        <w:rPr>
          <w:color w:val="auto"/>
        </w:rPr>
      </w:pPr>
      <w:r>
        <w:rPr>
          <w:color w:val="auto"/>
        </w:rPr>
        <w:t>污染防治措施</w:t>
      </w:r>
    </w:p>
    <w:p w14:paraId="6E9E250B">
      <w:pPr>
        <w:ind w:firstLine="480"/>
        <w:rPr>
          <w:color w:val="auto"/>
        </w:rPr>
      </w:pPr>
      <w:r>
        <w:rPr>
          <w:color w:val="auto"/>
        </w:rPr>
        <w:t>项目废气、废水、固体废物、噪声污染防治措施见</w:t>
      </w:r>
      <w:r>
        <w:rPr>
          <w:rFonts w:hint="eastAsia"/>
          <w:color w:val="auto"/>
        </w:rPr>
        <w:t>下表</w:t>
      </w:r>
      <w:r>
        <w:rPr>
          <w:color w:val="auto"/>
        </w:rPr>
        <w:t>。</w:t>
      </w:r>
    </w:p>
    <w:p w14:paraId="440015ED">
      <w:pPr>
        <w:pStyle w:val="7"/>
        <w:rPr>
          <w:color w:val="auto"/>
        </w:rPr>
      </w:pPr>
      <w:r>
        <w:rPr>
          <w:color w:val="auto"/>
        </w:rPr>
        <w:t>已批在建备用锅炉排烟方式变更项目主要污染防治措施</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873"/>
        <w:gridCol w:w="1161"/>
        <w:gridCol w:w="7252"/>
      </w:tblGrid>
      <w:tr w14:paraId="0B8717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5255F38C">
            <w:pPr>
              <w:pStyle w:val="33"/>
              <w:rPr>
                <w:color w:val="auto"/>
              </w:rPr>
            </w:pPr>
            <w:r>
              <w:rPr>
                <w:color w:val="auto"/>
              </w:rPr>
              <w:t>污染类型</w:t>
            </w:r>
          </w:p>
        </w:tc>
        <w:tc>
          <w:tcPr>
            <w:tcW w:w="625" w:type="pct"/>
            <w:vAlign w:val="center"/>
          </w:tcPr>
          <w:p w14:paraId="466D2284">
            <w:pPr>
              <w:pStyle w:val="33"/>
              <w:rPr>
                <w:color w:val="auto"/>
              </w:rPr>
            </w:pPr>
            <w:r>
              <w:rPr>
                <w:color w:val="auto"/>
              </w:rPr>
              <w:t>污染源</w:t>
            </w:r>
          </w:p>
        </w:tc>
        <w:tc>
          <w:tcPr>
            <w:tcW w:w="3905" w:type="pct"/>
            <w:vAlign w:val="center"/>
          </w:tcPr>
          <w:p w14:paraId="63D207EE">
            <w:pPr>
              <w:pStyle w:val="33"/>
              <w:rPr>
                <w:color w:val="auto"/>
              </w:rPr>
            </w:pPr>
            <w:r>
              <w:rPr>
                <w:color w:val="auto"/>
              </w:rPr>
              <w:t>污染防治措施</w:t>
            </w:r>
          </w:p>
        </w:tc>
      </w:tr>
      <w:tr w14:paraId="7B5B7A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restart"/>
            <w:tcBorders>
              <w:bottom w:val="nil"/>
            </w:tcBorders>
            <w:vAlign w:val="center"/>
          </w:tcPr>
          <w:p w14:paraId="589C208C">
            <w:pPr>
              <w:pStyle w:val="33"/>
              <w:rPr>
                <w:color w:val="auto"/>
              </w:rPr>
            </w:pPr>
            <w:r>
              <w:rPr>
                <w:color w:val="auto"/>
                <w:spacing w:val="-2"/>
              </w:rPr>
              <w:t>废气</w:t>
            </w:r>
          </w:p>
        </w:tc>
        <w:tc>
          <w:tcPr>
            <w:tcW w:w="625" w:type="pct"/>
            <w:vAlign w:val="center"/>
          </w:tcPr>
          <w:p w14:paraId="78997F69">
            <w:pPr>
              <w:pStyle w:val="33"/>
              <w:rPr>
                <w:color w:val="auto"/>
              </w:rPr>
            </w:pPr>
            <w:r>
              <w:rPr>
                <w:color w:val="auto"/>
              </w:rPr>
              <w:t>4#锅炉废气</w:t>
            </w:r>
          </w:p>
        </w:tc>
        <w:tc>
          <w:tcPr>
            <w:tcW w:w="3905" w:type="pct"/>
            <w:vAlign w:val="center"/>
          </w:tcPr>
          <w:p w14:paraId="33B9D635">
            <w:pPr>
              <w:pStyle w:val="33"/>
              <w:rPr>
                <w:color w:val="auto"/>
              </w:rPr>
            </w:pPr>
            <w:r>
              <w:rPr>
                <w:color w:val="auto"/>
              </w:rPr>
              <w:t>4#循环流化床锅炉（670t/h）烟气采用低氮燃烧及选择性催化还原法（SCR）脱硝工艺，设计脱硝效率＞80%；高效静电除尘器除尘，设计除尘效率99.9%，脱硫出口设湿式静电除尘器，设计除尘效率70%；炉外石灰石-石膏湿法脱硫，设计脱硫效率＞98%，同时满足超低排放要求，烟气通过H120m×Ф5.8m烟囱排放。</w:t>
            </w:r>
          </w:p>
        </w:tc>
      </w:tr>
      <w:tr w14:paraId="2DDAEB0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Merge w:val="continue"/>
            <w:tcBorders>
              <w:top w:val="nil"/>
            </w:tcBorders>
            <w:vAlign w:val="center"/>
          </w:tcPr>
          <w:p w14:paraId="7F8507F5">
            <w:pPr>
              <w:pStyle w:val="33"/>
              <w:rPr>
                <w:color w:val="auto"/>
              </w:rPr>
            </w:pPr>
          </w:p>
        </w:tc>
        <w:tc>
          <w:tcPr>
            <w:tcW w:w="625" w:type="pct"/>
            <w:vAlign w:val="center"/>
          </w:tcPr>
          <w:p w14:paraId="2D8F517E">
            <w:pPr>
              <w:pStyle w:val="33"/>
              <w:rPr>
                <w:color w:val="auto"/>
              </w:rPr>
            </w:pPr>
            <w:r>
              <w:rPr>
                <w:color w:val="auto"/>
              </w:rPr>
              <w:t>无组织排放</w:t>
            </w:r>
          </w:p>
        </w:tc>
        <w:tc>
          <w:tcPr>
            <w:tcW w:w="3905" w:type="pct"/>
            <w:vAlign w:val="center"/>
          </w:tcPr>
          <w:p w14:paraId="6E36229E">
            <w:pPr>
              <w:pStyle w:val="33"/>
              <w:rPr>
                <w:color w:val="auto"/>
              </w:rPr>
            </w:pPr>
            <w:r>
              <w:rPr>
                <w:color w:val="auto"/>
              </w:rPr>
              <w:t>主要为煤转运站、碎煤机房、石灰石粉仓、灰库等产生的粉尘，均依托现有热电站的设备设施，项目运行不新增无组织排放废气。</w:t>
            </w:r>
          </w:p>
        </w:tc>
      </w:tr>
      <w:tr w14:paraId="09AC92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4278420A">
            <w:pPr>
              <w:pStyle w:val="33"/>
              <w:rPr>
                <w:color w:val="auto"/>
              </w:rPr>
            </w:pPr>
            <w:r>
              <w:rPr>
                <w:color w:val="auto"/>
                <w:spacing w:val="-2"/>
              </w:rPr>
              <w:t>废水</w:t>
            </w:r>
          </w:p>
        </w:tc>
        <w:tc>
          <w:tcPr>
            <w:tcW w:w="625" w:type="pct"/>
            <w:vAlign w:val="center"/>
          </w:tcPr>
          <w:p w14:paraId="1A8A5E30">
            <w:pPr>
              <w:pStyle w:val="33"/>
              <w:rPr>
                <w:color w:val="auto"/>
              </w:rPr>
            </w:pPr>
            <w:r>
              <w:rPr>
                <w:color w:val="auto"/>
              </w:rPr>
              <w:t>生产废水</w:t>
            </w:r>
          </w:p>
        </w:tc>
        <w:tc>
          <w:tcPr>
            <w:tcW w:w="3905" w:type="pct"/>
            <w:vAlign w:val="center"/>
          </w:tcPr>
          <w:p w14:paraId="494C2823">
            <w:pPr>
              <w:pStyle w:val="33"/>
              <w:rPr>
                <w:color w:val="auto"/>
              </w:rPr>
            </w:pPr>
            <w:r>
              <w:rPr>
                <w:color w:val="auto"/>
              </w:rPr>
              <w:t>化水车间、煤转运站、碎煤机房依托现有工程措施，经处理后回用不外排，不新增污水，项目定期排放的冷凝水、启停炉废水属于清净下水排入冷却塔回用，不外排。脱硫废水经处理后与企业产生的其他废水送配套污水处理站处理后，深海排放。</w:t>
            </w:r>
          </w:p>
        </w:tc>
      </w:tr>
      <w:tr w14:paraId="319BD5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3C7331F6">
            <w:pPr>
              <w:pStyle w:val="33"/>
              <w:rPr>
                <w:color w:val="auto"/>
              </w:rPr>
            </w:pPr>
            <w:r>
              <w:rPr>
                <w:color w:val="auto"/>
                <w:spacing w:val="-5"/>
              </w:rPr>
              <w:t>噪声</w:t>
            </w:r>
          </w:p>
        </w:tc>
        <w:tc>
          <w:tcPr>
            <w:tcW w:w="625" w:type="pct"/>
            <w:vAlign w:val="center"/>
          </w:tcPr>
          <w:p w14:paraId="2A507140">
            <w:pPr>
              <w:pStyle w:val="33"/>
              <w:rPr>
                <w:color w:val="auto"/>
              </w:rPr>
            </w:pPr>
            <w:r>
              <w:rPr>
                <w:color w:val="auto"/>
              </w:rPr>
              <w:t>设备运行噪声</w:t>
            </w:r>
          </w:p>
        </w:tc>
        <w:tc>
          <w:tcPr>
            <w:tcW w:w="3905" w:type="pct"/>
            <w:vAlign w:val="center"/>
          </w:tcPr>
          <w:p w14:paraId="6B1577A5">
            <w:pPr>
              <w:pStyle w:val="33"/>
              <w:rPr>
                <w:color w:val="auto"/>
              </w:rPr>
            </w:pPr>
            <w:r>
              <w:rPr>
                <w:color w:val="auto"/>
              </w:rPr>
              <w:t>对振动大的设备采用减振措施，锅炉的排汽噪声采用消声器来降低噪声，其他各类泵、风机等设备采取基础减振措施和消声措施。</w:t>
            </w:r>
          </w:p>
        </w:tc>
      </w:tr>
      <w:tr w14:paraId="01221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470" w:type="pct"/>
            <w:vAlign w:val="center"/>
          </w:tcPr>
          <w:p w14:paraId="424CF556">
            <w:pPr>
              <w:pStyle w:val="33"/>
              <w:rPr>
                <w:color w:val="auto"/>
              </w:rPr>
            </w:pPr>
            <w:r>
              <w:rPr>
                <w:color w:val="auto"/>
                <w:spacing w:val="-5"/>
              </w:rPr>
              <w:t>固废废物</w:t>
            </w:r>
          </w:p>
        </w:tc>
        <w:tc>
          <w:tcPr>
            <w:tcW w:w="625" w:type="pct"/>
            <w:vAlign w:val="center"/>
          </w:tcPr>
          <w:p w14:paraId="1D6CB89D">
            <w:pPr>
              <w:pStyle w:val="33"/>
              <w:rPr>
                <w:color w:val="auto"/>
              </w:rPr>
            </w:pPr>
            <w:r>
              <w:rPr>
                <w:color w:val="auto"/>
              </w:rPr>
              <w:t>一般固废和危废</w:t>
            </w:r>
          </w:p>
        </w:tc>
        <w:tc>
          <w:tcPr>
            <w:tcW w:w="3905" w:type="pct"/>
            <w:vAlign w:val="center"/>
          </w:tcPr>
          <w:p w14:paraId="6EF326BD">
            <w:pPr>
              <w:pStyle w:val="33"/>
              <w:rPr>
                <w:color w:val="auto"/>
              </w:rPr>
            </w:pPr>
            <w:r>
              <w:rPr>
                <w:color w:val="auto"/>
              </w:rPr>
              <w:t>煤灰渣、粉煤灰、脱硫石膏等一般固废均外委综合利用，废催化剂及废润滑油为危险废物，交具有危险废物处置资质单位处置。</w:t>
            </w:r>
          </w:p>
        </w:tc>
      </w:tr>
    </w:tbl>
    <w:p w14:paraId="14597B36">
      <w:pPr>
        <w:pStyle w:val="4"/>
        <w:rPr>
          <w:color w:val="auto"/>
        </w:rPr>
      </w:pPr>
      <w:bookmarkStart w:id="170" w:name="_Toc225216681"/>
      <w:r>
        <w:rPr>
          <w:color w:val="auto"/>
        </w:rPr>
        <w:t>在建年产</w:t>
      </w:r>
      <w:r>
        <w:rPr>
          <w:rFonts w:eastAsia="Times New Roman" w:cs="Times New Roman"/>
          <w:color w:val="auto"/>
        </w:rPr>
        <w:t>25</w:t>
      </w:r>
      <w:r>
        <w:rPr>
          <w:color w:val="auto"/>
        </w:rPr>
        <w:t>万吨丁苯胶乳项目</w:t>
      </w:r>
      <w:bookmarkEnd w:id="170"/>
    </w:p>
    <w:p w14:paraId="47D886E8">
      <w:pPr>
        <w:ind w:firstLine="464"/>
        <w:rPr>
          <w:color w:val="auto"/>
        </w:rPr>
      </w:pPr>
      <w:r>
        <w:rPr>
          <w:color w:val="auto"/>
          <w:spacing w:val="-4"/>
        </w:rPr>
        <w:t>金桂浆纸年产</w:t>
      </w:r>
      <w:r>
        <w:rPr>
          <w:rFonts w:eastAsia="Times New Roman" w:cs="Times New Roman"/>
          <w:color w:val="auto"/>
          <w:spacing w:val="-4"/>
        </w:rPr>
        <w:t>25</w:t>
      </w:r>
      <w:r>
        <w:rPr>
          <w:color w:val="auto"/>
          <w:spacing w:val="-4"/>
        </w:rPr>
        <w:t>万吨丁苯胶乳项目（以下简称“已批在建</w:t>
      </w:r>
      <w:r>
        <w:rPr>
          <w:rFonts w:eastAsia="Times New Roman" w:cs="Times New Roman"/>
          <w:color w:val="auto"/>
          <w:spacing w:val="-4"/>
        </w:rPr>
        <w:t>25</w:t>
      </w:r>
      <w:r>
        <w:rPr>
          <w:color w:val="auto"/>
          <w:spacing w:val="-5"/>
        </w:rPr>
        <w:t>万吨丁苯胶乳</w:t>
      </w:r>
      <w:r>
        <w:rPr>
          <w:color w:val="auto"/>
        </w:rPr>
        <w:t>项目”）主要建设内容包括聚合反应车间、产品后处理车间、</w:t>
      </w:r>
      <w:r>
        <w:rPr>
          <w:rFonts w:eastAsia="Times New Roman" w:cs="Times New Roman"/>
          <w:color w:val="auto"/>
        </w:rPr>
        <w:t>RTO</w:t>
      </w:r>
      <w:r>
        <w:rPr>
          <w:color w:val="auto"/>
        </w:rPr>
        <w:t>装置、封闭式火柜等。</w:t>
      </w:r>
      <w:r>
        <w:rPr>
          <w:color w:val="auto"/>
          <w:spacing w:val="-3"/>
        </w:rPr>
        <w:t>目前该项目正在建设中</w:t>
      </w:r>
      <w:r>
        <w:rPr>
          <w:rFonts w:hint="eastAsia"/>
          <w:color w:val="auto"/>
          <w:spacing w:val="-3"/>
        </w:rPr>
        <w:t>，</w:t>
      </w:r>
      <w:r>
        <w:rPr>
          <w:color w:val="auto"/>
          <w:spacing w:val="-3"/>
        </w:rPr>
        <w:t>本报告相关情况来源于该项目环评报告。</w:t>
      </w:r>
    </w:p>
    <w:p w14:paraId="58BC51C7">
      <w:pPr>
        <w:pStyle w:val="5"/>
        <w:rPr>
          <w:color w:val="auto"/>
        </w:rPr>
      </w:pPr>
      <w:r>
        <w:rPr>
          <w:color w:val="auto"/>
        </w:rPr>
        <w:t>基本情况及建设内容</w:t>
      </w:r>
    </w:p>
    <w:p w14:paraId="4B9A1935">
      <w:pPr>
        <w:ind w:firstLine="480"/>
        <w:rPr>
          <w:color w:val="auto"/>
        </w:rPr>
      </w:pPr>
      <w:r>
        <w:rPr>
          <w:color w:val="auto"/>
        </w:rPr>
        <w:t>已批在建25万吨丁苯胶乳项目组成见</w:t>
      </w:r>
      <w:r>
        <w:rPr>
          <w:rFonts w:hint="eastAsia"/>
          <w:color w:val="auto"/>
        </w:rPr>
        <w:t>下表</w:t>
      </w:r>
      <w:r>
        <w:rPr>
          <w:color w:val="auto"/>
        </w:rPr>
        <w:t>。</w:t>
      </w:r>
    </w:p>
    <w:p w14:paraId="71C5DEE4">
      <w:pPr>
        <w:pStyle w:val="7"/>
        <w:rPr>
          <w:color w:val="auto"/>
        </w:rPr>
      </w:pPr>
      <w:r>
        <w:rPr>
          <w:color w:val="auto"/>
        </w:rPr>
        <w:t>已批在建</w:t>
      </w:r>
      <w:r>
        <w:rPr>
          <w:rFonts w:eastAsia="Times New Roman" w:cs="Times New Roman"/>
          <w:color w:val="auto"/>
        </w:rPr>
        <w:t>25</w:t>
      </w:r>
      <w:r>
        <w:rPr>
          <w:color w:val="auto"/>
        </w:rPr>
        <w:t>万吨丁苯胶乳项目组成</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81"/>
        <w:gridCol w:w="1161"/>
        <w:gridCol w:w="6807"/>
        <w:gridCol w:w="737"/>
      </w:tblGrid>
      <w:tr w14:paraId="6AA27D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blHeader/>
        </w:trPr>
        <w:tc>
          <w:tcPr>
            <w:tcW w:w="313" w:type="pct"/>
            <w:vAlign w:val="center"/>
          </w:tcPr>
          <w:p w14:paraId="4F04CC76">
            <w:pPr>
              <w:pStyle w:val="33"/>
              <w:rPr>
                <w:color w:val="auto"/>
              </w:rPr>
            </w:pPr>
            <w:r>
              <w:rPr>
                <w:color w:val="auto"/>
              </w:rPr>
              <w:t>序号</w:t>
            </w:r>
          </w:p>
        </w:tc>
        <w:tc>
          <w:tcPr>
            <w:tcW w:w="625" w:type="pct"/>
            <w:vAlign w:val="center"/>
          </w:tcPr>
          <w:p w14:paraId="0624999F">
            <w:pPr>
              <w:pStyle w:val="33"/>
              <w:rPr>
                <w:color w:val="auto"/>
              </w:rPr>
            </w:pPr>
            <w:r>
              <w:rPr>
                <w:color w:val="auto"/>
              </w:rPr>
              <w:t>工程类别</w:t>
            </w:r>
          </w:p>
        </w:tc>
        <w:tc>
          <w:tcPr>
            <w:tcW w:w="3665" w:type="pct"/>
            <w:vAlign w:val="center"/>
          </w:tcPr>
          <w:p w14:paraId="45261891">
            <w:pPr>
              <w:pStyle w:val="33"/>
              <w:rPr>
                <w:color w:val="auto"/>
              </w:rPr>
            </w:pPr>
            <w:r>
              <w:rPr>
                <w:color w:val="auto"/>
              </w:rPr>
              <w:t>建设内容及规模</w:t>
            </w:r>
          </w:p>
        </w:tc>
        <w:tc>
          <w:tcPr>
            <w:tcW w:w="396" w:type="pct"/>
            <w:vAlign w:val="center"/>
          </w:tcPr>
          <w:p w14:paraId="6189482B">
            <w:pPr>
              <w:pStyle w:val="33"/>
              <w:rPr>
                <w:color w:val="auto"/>
              </w:rPr>
            </w:pPr>
            <w:r>
              <w:rPr>
                <w:color w:val="auto"/>
                <w:spacing w:val="-5"/>
              </w:rPr>
              <w:t>备注</w:t>
            </w:r>
          </w:p>
        </w:tc>
      </w:tr>
      <w:tr w14:paraId="0324AE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76A716DA">
            <w:pPr>
              <w:pStyle w:val="33"/>
              <w:rPr>
                <w:color w:val="auto"/>
              </w:rPr>
            </w:pPr>
            <w:r>
              <w:rPr>
                <w:rFonts w:eastAsia="Times New Roman"/>
                <w:color w:val="auto"/>
                <w:spacing w:val="-7"/>
              </w:rPr>
              <w:t>1</w:t>
            </w:r>
            <w:r>
              <w:rPr>
                <w:color w:val="auto"/>
                <w:spacing w:val="-7"/>
              </w:rPr>
              <w:t>、主要生产装置</w:t>
            </w:r>
          </w:p>
        </w:tc>
      </w:tr>
      <w:tr w14:paraId="7A7DDE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31441736">
            <w:pPr>
              <w:pStyle w:val="33"/>
              <w:rPr>
                <w:rFonts w:eastAsia="Times New Roman"/>
                <w:color w:val="auto"/>
              </w:rPr>
            </w:pPr>
            <w:r>
              <w:rPr>
                <w:rFonts w:eastAsia="Times New Roman"/>
                <w:color w:val="auto"/>
              </w:rPr>
              <w:t>1</w:t>
            </w:r>
          </w:p>
        </w:tc>
        <w:tc>
          <w:tcPr>
            <w:tcW w:w="625" w:type="pct"/>
            <w:vAlign w:val="center"/>
          </w:tcPr>
          <w:p w14:paraId="1C3B5261">
            <w:pPr>
              <w:pStyle w:val="33"/>
              <w:rPr>
                <w:color w:val="auto"/>
              </w:rPr>
            </w:pPr>
            <w:r>
              <w:rPr>
                <w:color w:val="auto"/>
                <w:spacing w:val="-2"/>
              </w:rPr>
              <w:t>胶乳生产</w:t>
            </w:r>
          </w:p>
        </w:tc>
        <w:tc>
          <w:tcPr>
            <w:tcW w:w="3665" w:type="pct"/>
            <w:vAlign w:val="center"/>
          </w:tcPr>
          <w:p w14:paraId="2AD422F7">
            <w:pPr>
              <w:pStyle w:val="33"/>
              <w:rPr>
                <w:color w:val="auto"/>
              </w:rPr>
            </w:pPr>
            <w:r>
              <w:rPr>
                <w:color w:val="auto"/>
              </w:rPr>
              <w:t>主要设备为</w:t>
            </w:r>
            <w:r>
              <w:rPr>
                <w:rFonts w:eastAsia="Times New Roman"/>
                <w:color w:val="auto"/>
              </w:rPr>
              <w:t>5</w:t>
            </w:r>
            <w:r>
              <w:rPr>
                <w:color w:val="auto"/>
              </w:rPr>
              <w:t>台聚合反应釜、</w:t>
            </w:r>
            <w:r>
              <w:rPr>
                <w:rFonts w:eastAsia="Times New Roman"/>
                <w:color w:val="auto"/>
              </w:rPr>
              <w:t>5</w:t>
            </w:r>
            <w:r>
              <w:rPr>
                <w:color w:val="auto"/>
              </w:rPr>
              <w:t>台脱气釜、</w:t>
            </w:r>
            <w:r>
              <w:rPr>
                <w:rFonts w:eastAsia="Times New Roman"/>
                <w:color w:val="auto"/>
              </w:rPr>
              <w:t>5</w:t>
            </w:r>
            <w:r>
              <w:rPr>
                <w:color w:val="auto"/>
              </w:rPr>
              <w:t>台调整过滤器，</w:t>
            </w:r>
            <w:r>
              <w:rPr>
                <w:color w:val="auto"/>
                <w:spacing w:val="-2"/>
              </w:rPr>
              <w:t>胶乳总产能为</w:t>
            </w:r>
            <w:r>
              <w:rPr>
                <w:rFonts w:eastAsia="Times New Roman"/>
                <w:color w:val="auto"/>
                <w:spacing w:val="-2"/>
              </w:rPr>
              <w:t>25</w:t>
            </w:r>
            <w:r>
              <w:rPr>
                <w:color w:val="auto"/>
                <w:spacing w:val="-2"/>
              </w:rPr>
              <w:t>万</w:t>
            </w:r>
            <w:r>
              <w:rPr>
                <w:rFonts w:eastAsia="Times New Roman"/>
                <w:color w:val="auto"/>
                <w:spacing w:val="-2"/>
              </w:rPr>
              <w:t>t/a</w:t>
            </w:r>
            <w:r>
              <w:rPr>
                <w:color w:val="auto"/>
                <w:spacing w:val="-2"/>
              </w:rPr>
              <w:t>，生产工艺包括聚合、脱</w:t>
            </w:r>
            <w:r>
              <w:rPr>
                <w:color w:val="auto"/>
                <w:spacing w:val="-3"/>
              </w:rPr>
              <w:t>气、过滤等工</w:t>
            </w:r>
            <w:r>
              <w:rPr>
                <w:color w:val="auto"/>
                <w:spacing w:val="-7"/>
              </w:rPr>
              <w:t>段。聚合车间四层敞开生产装置车间，总高度为</w:t>
            </w:r>
            <w:r>
              <w:rPr>
                <w:rFonts w:eastAsia="Times New Roman"/>
                <w:color w:val="auto"/>
                <w:spacing w:val="-7"/>
              </w:rPr>
              <w:t>23.5m</w:t>
            </w:r>
            <w:r>
              <w:rPr>
                <w:color w:val="auto"/>
                <w:spacing w:val="-7"/>
              </w:rPr>
              <w:t>，建筑</w:t>
            </w:r>
            <w:r>
              <w:rPr>
                <w:color w:val="auto"/>
              </w:rPr>
              <w:t>长×宽为</w:t>
            </w:r>
            <w:r>
              <w:rPr>
                <w:rFonts w:eastAsia="Times New Roman"/>
                <w:color w:val="auto"/>
              </w:rPr>
              <w:t>43.0m</w:t>
            </w:r>
            <w:r>
              <w:rPr>
                <w:color w:val="auto"/>
              </w:rPr>
              <w:t>×</w:t>
            </w:r>
            <w:r>
              <w:rPr>
                <w:rFonts w:eastAsia="Times New Roman"/>
                <w:color w:val="auto"/>
              </w:rPr>
              <w:t>24.0m</w:t>
            </w:r>
            <w:r>
              <w:rPr>
                <w:color w:val="auto"/>
              </w:rPr>
              <w:t>；后产品处理车间为四层敞开生产装</w:t>
            </w:r>
            <w:r>
              <w:rPr>
                <w:color w:val="auto"/>
                <w:spacing w:val="1"/>
              </w:rPr>
              <w:t>置车间，总高度为</w:t>
            </w:r>
            <w:r>
              <w:rPr>
                <w:rFonts w:eastAsia="Times New Roman"/>
                <w:color w:val="auto"/>
                <w:spacing w:val="1"/>
              </w:rPr>
              <w:t>23.5m</w:t>
            </w:r>
            <w:r>
              <w:rPr>
                <w:color w:val="auto"/>
                <w:spacing w:val="1"/>
              </w:rPr>
              <w:t>，建筑长×宽为</w:t>
            </w:r>
            <w:r>
              <w:rPr>
                <w:rFonts w:eastAsia="Times New Roman"/>
                <w:color w:val="auto"/>
                <w:spacing w:val="1"/>
              </w:rPr>
              <w:t>48.0m</w:t>
            </w:r>
            <w:r>
              <w:rPr>
                <w:color w:val="auto"/>
                <w:spacing w:val="1"/>
              </w:rPr>
              <w:t>×</w:t>
            </w:r>
            <w:r>
              <w:rPr>
                <w:rFonts w:eastAsia="Times New Roman"/>
                <w:color w:val="auto"/>
                <w:spacing w:val="1"/>
              </w:rPr>
              <w:t>24.0m</w:t>
            </w:r>
            <w:r>
              <w:rPr>
                <w:color w:val="auto"/>
                <w:spacing w:val="1"/>
              </w:rPr>
              <w:t>。</w:t>
            </w:r>
          </w:p>
        </w:tc>
        <w:tc>
          <w:tcPr>
            <w:tcW w:w="396" w:type="pct"/>
            <w:vAlign w:val="center"/>
          </w:tcPr>
          <w:p w14:paraId="274E1B66">
            <w:pPr>
              <w:pStyle w:val="33"/>
              <w:rPr>
                <w:color w:val="auto"/>
              </w:rPr>
            </w:pPr>
            <w:r>
              <w:rPr>
                <w:color w:val="auto"/>
                <w:spacing w:val="-3"/>
              </w:rPr>
              <w:t>新建</w:t>
            </w:r>
          </w:p>
        </w:tc>
      </w:tr>
      <w:tr w14:paraId="035E95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9C7719E">
            <w:pPr>
              <w:pStyle w:val="33"/>
              <w:rPr>
                <w:color w:val="auto"/>
              </w:rPr>
            </w:pPr>
            <w:r>
              <w:rPr>
                <w:rFonts w:eastAsia="Times New Roman"/>
                <w:color w:val="auto"/>
                <w:spacing w:val="-5"/>
              </w:rPr>
              <w:t>2</w:t>
            </w:r>
            <w:r>
              <w:rPr>
                <w:color w:val="auto"/>
                <w:spacing w:val="-5"/>
              </w:rPr>
              <w:t>、储运系统</w:t>
            </w:r>
          </w:p>
        </w:tc>
      </w:tr>
      <w:tr w14:paraId="24D5A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E91F805">
            <w:pPr>
              <w:pStyle w:val="33"/>
              <w:rPr>
                <w:rFonts w:eastAsia="Times New Roman"/>
                <w:color w:val="auto"/>
              </w:rPr>
            </w:pPr>
            <w:r>
              <w:rPr>
                <w:rFonts w:eastAsia="Times New Roman"/>
                <w:color w:val="auto"/>
              </w:rPr>
              <w:t>1</w:t>
            </w:r>
          </w:p>
        </w:tc>
        <w:tc>
          <w:tcPr>
            <w:tcW w:w="625" w:type="pct"/>
            <w:vAlign w:val="center"/>
          </w:tcPr>
          <w:p w14:paraId="20E4C43D">
            <w:pPr>
              <w:pStyle w:val="33"/>
              <w:rPr>
                <w:color w:val="auto"/>
              </w:rPr>
            </w:pPr>
            <w:r>
              <w:rPr>
                <w:color w:val="auto"/>
                <w:spacing w:val="-2"/>
              </w:rPr>
              <w:t>运输系统</w:t>
            </w:r>
          </w:p>
        </w:tc>
        <w:tc>
          <w:tcPr>
            <w:tcW w:w="3665" w:type="pct"/>
            <w:vAlign w:val="center"/>
          </w:tcPr>
          <w:p w14:paraId="03492BA2">
            <w:pPr>
              <w:pStyle w:val="33"/>
              <w:rPr>
                <w:color w:val="auto"/>
              </w:rPr>
            </w:pPr>
            <w:r>
              <w:rPr>
                <w:color w:val="auto"/>
                <w:spacing w:val="-2"/>
              </w:rPr>
              <w:t>工程物料总运输量合计约</w:t>
            </w:r>
            <w:r>
              <w:rPr>
                <w:rFonts w:eastAsia="Times New Roman"/>
                <w:color w:val="auto"/>
                <w:spacing w:val="-2"/>
              </w:rPr>
              <w:t>22.45</w:t>
            </w:r>
            <w:r>
              <w:rPr>
                <w:color w:val="auto"/>
                <w:spacing w:val="-2"/>
              </w:rPr>
              <w:t>万</w:t>
            </w:r>
            <w:r>
              <w:rPr>
                <w:rFonts w:eastAsia="Times New Roman"/>
                <w:color w:val="auto"/>
                <w:spacing w:val="-2"/>
              </w:rPr>
              <w:t>t/a</w:t>
            </w:r>
            <w:r>
              <w:rPr>
                <w:color w:val="auto"/>
                <w:spacing w:val="-2"/>
              </w:rPr>
              <w:t>，其中运入约</w:t>
            </w:r>
            <w:r>
              <w:rPr>
                <w:rFonts w:eastAsia="Times New Roman"/>
                <w:color w:val="auto"/>
                <w:spacing w:val="-3"/>
              </w:rPr>
              <w:t>12.42</w:t>
            </w:r>
            <w:r>
              <w:rPr>
                <w:color w:val="auto"/>
                <w:spacing w:val="-3"/>
              </w:rPr>
              <w:t>万</w:t>
            </w:r>
            <w:r>
              <w:rPr>
                <w:rFonts w:eastAsia="Times New Roman"/>
                <w:color w:val="auto"/>
                <w:spacing w:val="-6"/>
              </w:rPr>
              <w:t>t/a</w:t>
            </w:r>
            <w:r>
              <w:rPr>
                <w:color w:val="auto"/>
                <w:spacing w:val="-6"/>
              </w:rPr>
              <w:t>、运出</w:t>
            </w:r>
            <w:r>
              <w:rPr>
                <w:rFonts w:eastAsia="Times New Roman"/>
                <w:color w:val="auto"/>
                <w:spacing w:val="-6"/>
              </w:rPr>
              <w:t>10.03</w:t>
            </w:r>
            <w:r>
              <w:rPr>
                <w:color w:val="auto"/>
                <w:spacing w:val="-6"/>
              </w:rPr>
              <w:t>万</w:t>
            </w:r>
            <w:r>
              <w:rPr>
                <w:rFonts w:eastAsia="Times New Roman"/>
                <w:color w:val="auto"/>
                <w:spacing w:val="-6"/>
              </w:rPr>
              <w:t>t/a</w:t>
            </w:r>
            <w:r>
              <w:rPr>
                <w:color w:val="auto"/>
                <w:spacing w:val="-6"/>
              </w:rPr>
              <w:t>。</w:t>
            </w:r>
            <w:r>
              <w:rPr>
                <w:color w:val="auto"/>
                <w:spacing w:val="-3"/>
              </w:rPr>
              <w:t>原料采用汽车运输至厂内，厂内通过密闭管</w:t>
            </w:r>
            <w:r>
              <w:rPr>
                <w:color w:val="auto"/>
              </w:rPr>
              <w:t>道运输为主，叉车</w:t>
            </w:r>
            <w:r>
              <w:rPr>
                <w:color w:val="auto"/>
                <w:spacing w:val="-3"/>
              </w:rPr>
              <w:t>运输为辅。产品采用汽车运输。</w:t>
            </w:r>
          </w:p>
        </w:tc>
        <w:tc>
          <w:tcPr>
            <w:tcW w:w="396" w:type="pct"/>
            <w:vAlign w:val="center"/>
          </w:tcPr>
          <w:p w14:paraId="291BA6AB">
            <w:pPr>
              <w:pStyle w:val="33"/>
              <w:rPr>
                <w:color w:val="auto"/>
              </w:rPr>
            </w:pPr>
            <w:r>
              <w:rPr>
                <w:color w:val="auto"/>
                <w:spacing w:val="-3"/>
              </w:rPr>
              <w:t>新建</w:t>
            </w:r>
          </w:p>
        </w:tc>
      </w:tr>
      <w:tr w14:paraId="595404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3354AB5E">
            <w:pPr>
              <w:pStyle w:val="33"/>
              <w:rPr>
                <w:rFonts w:eastAsia="Times New Roman"/>
                <w:color w:val="auto"/>
              </w:rPr>
            </w:pPr>
            <w:r>
              <w:rPr>
                <w:rFonts w:eastAsia="Times New Roman"/>
                <w:color w:val="auto"/>
              </w:rPr>
              <w:t>2</w:t>
            </w:r>
          </w:p>
        </w:tc>
        <w:tc>
          <w:tcPr>
            <w:tcW w:w="4687" w:type="pct"/>
            <w:gridSpan w:val="3"/>
            <w:vAlign w:val="center"/>
          </w:tcPr>
          <w:p w14:paraId="523F16A1">
            <w:pPr>
              <w:pStyle w:val="33"/>
              <w:rPr>
                <w:color w:val="auto"/>
              </w:rPr>
            </w:pPr>
            <w:r>
              <w:rPr>
                <w:color w:val="auto"/>
                <w:spacing w:val="-2"/>
              </w:rPr>
              <w:t>储存设施</w:t>
            </w:r>
          </w:p>
        </w:tc>
      </w:tr>
      <w:tr w14:paraId="5FDE9E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07394B5F">
            <w:pPr>
              <w:pStyle w:val="33"/>
              <w:rPr>
                <w:rFonts w:eastAsia="Times New Roman"/>
                <w:color w:val="auto"/>
              </w:rPr>
            </w:pPr>
            <w:r>
              <w:rPr>
                <w:rFonts w:eastAsia="Times New Roman"/>
                <w:color w:val="auto"/>
                <w:spacing w:val="-2"/>
              </w:rPr>
              <w:t>2.1</w:t>
            </w:r>
          </w:p>
        </w:tc>
        <w:tc>
          <w:tcPr>
            <w:tcW w:w="625" w:type="pct"/>
            <w:vAlign w:val="center"/>
          </w:tcPr>
          <w:p w14:paraId="3C0D2339">
            <w:pPr>
              <w:pStyle w:val="33"/>
              <w:rPr>
                <w:color w:val="auto"/>
              </w:rPr>
            </w:pPr>
            <w:r>
              <w:rPr>
                <w:color w:val="auto"/>
                <w:spacing w:val="-2"/>
              </w:rPr>
              <w:t>液体储罐</w:t>
            </w:r>
          </w:p>
        </w:tc>
        <w:tc>
          <w:tcPr>
            <w:tcW w:w="3665" w:type="pct"/>
            <w:vAlign w:val="center"/>
          </w:tcPr>
          <w:p w14:paraId="5F0D25E2">
            <w:pPr>
              <w:pStyle w:val="33"/>
              <w:rPr>
                <w:color w:val="auto"/>
              </w:rPr>
            </w:pPr>
            <w:r>
              <w:rPr>
                <w:color w:val="auto"/>
                <w:spacing w:val="-7"/>
              </w:rPr>
              <w:t>甲</w:t>
            </w:r>
            <w:r>
              <w:rPr>
                <w:rFonts w:eastAsia="Times New Roman"/>
                <w:color w:val="auto"/>
                <w:spacing w:val="-7"/>
              </w:rPr>
              <w:t>A</w:t>
            </w:r>
            <w:r>
              <w:rPr>
                <w:color w:val="auto"/>
                <w:spacing w:val="-7"/>
              </w:rPr>
              <w:t>类，球罐：新建丁二烯贮罐</w:t>
            </w:r>
            <w:r>
              <w:rPr>
                <w:rFonts w:eastAsia="Times New Roman"/>
                <w:color w:val="auto"/>
                <w:spacing w:val="-7"/>
              </w:rPr>
              <w:t>4</w:t>
            </w:r>
            <w:r>
              <w:rPr>
                <w:color w:val="auto"/>
                <w:spacing w:val="-7"/>
              </w:rPr>
              <w:t>个，单个贮罐容积</w:t>
            </w:r>
            <w:r>
              <w:rPr>
                <w:rFonts w:eastAsia="Times New Roman"/>
                <w:color w:val="auto"/>
                <w:spacing w:val="-7"/>
              </w:rPr>
              <w:t>1500m</w:t>
            </w:r>
            <w:r>
              <w:rPr>
                <w:rFonts w:eastAsia="Times New Roman"/>
                <w:color w:val="auto"/>
                <w:spacing w:val="-7"/>
                <w:position w:val="7"/>
                <w:sz w:val="14"/>
                <w:szCs w:val="14"/>
              </w:rPr>
              <w:t>3</w:t>
            </w:r>
            <w:r>
              <w:rPr>
                <w:color w:val="auto"/>
                <w:spacing w:val="-7"/>
              </w:rPr>
              <w:t>，</w:t>
            </w:r>
            <w:r>
              <w:rPr>
                <w:color w:val="auto"/>
                <w:spacing w:val="-6"/>
              </w:rPr>
              <w:t>围堰高度为</w:t>
            </w:r>
            <w:r>
              <w:rPr>
                <w:rFonts w:eastAsia="Times New Roman"/>
                <w:color w:val="auto"/>
                <w:spacing w:val="-6"/>
              </w:rPr>
              <w:t>1.2m</w:t>
            </w:r>
            <w:r>
              <w:rPr>
                <w:color w:val="auto"/>
                <w:spacing w:val="-6"/>
              </w:rPr>
              <w:t>；</w:t>
            </w:r>
            <w:r>
              <w:rPr>
                <w:color w:val="auto"/>
                <w:spacing w:val="-3"/>
              </w:rPr>
              <w:t>乙</w:t>
            </w:r>
            <w:r>
              <w:rPr>
                <w:rFonts w:eastAsia="Times New Roman"/>
                <w:color w:val="auto"/>
                <w:spacing w:val="-3"/>
              </w:rPr>
              <w:t>A</w:t>
            </w:r>
            <w:r>
              <w:rPr>
                <w:color w:val="auto"/>
                <w:spacing w:val="-3"/>
              </w:rPr>
              <w:t>类，浮顶罐：苯乙烯储罐</w:t>
            </w:r>
            <w:r>
              <w:rPr>
                <w:rFonts w:eastAsia="Times New Roman"/>
                <w:color w:val="auto"/>
                <w:spacing w:val="-3"/>
              </w:rPr>
              <w:t>2</w:t>
            </w:r>
            <w:r>
              <w:rPr>
                <w:color w:val="auto"/>
                <w:spacing w:val="-3"/>
              </w:rPr>
              <w:t>个，单个贮罐</w:t>
            </w:r>
            <w:r>
              <w:rPr>
                <w:color w:val="auto"/>
              </w:rPr>
              <w:t>容积</w:t>
            </w:r>
            <w:r>
              <w:rPr>
                <w:rFonts w:eastAsia="Times New Roman"/>
                <w:color w:val="auto"/>
              </w:rPr>
              <w:t>3000m</w:t>
            </w:r>
            <w:r>
              <w:rPr>
                <w:rFonts w:eastAsia="Times New Roman"/>
                <w:color w:val="auto"/>
                <w:position w:val="7"/>
                <w:sz w:val="14"/>
                <w:szCs w:val="14"/>
              </w:rPr>
              <w:t>3</w:t>
            </w:r>
            <w:r>
              <w:rPr>
                <w:color w:val="auto"/>
              </w:rPr>
              <w:t>，</w:t>
            </w:r>
            <w:r>
              <w:rPr>
                <w:color w:val="auto"/>
                <w:spacing w:val="-6"/>
              </w:rPr>
              <w:t>围堰高度为</w:t>
            </w:r>
            <w:r>
              <w:rPr>
                <w:rFonts w:eastAsia="Times New Roman"/>
                <w:color w:val="auto"/>
                <w:spacing w:val="-6"/>
              </w:rPr>
              <w:t>1.5m</w:t>
            </w:r>
            <w:r>
              <w:rPr>
                <w:color w:val="auto"/>
                <w:spacing w:val="-6"/>
              </w:rPr>
              <w:t>；</w:t>
            </w:r>
            <w:r>
              <w:rPr>
                <w:color w:val="auto"/>
                <w:spacing w:val="-8"/>
              </w:rPr>
              <w:t>甲</w:t>
            </w:r>
            <w:r>
              <w:rPr>
                <w:rFonts w:eastAsia="Times New Roman"/>
                <w:color w:val="auto"/>
                <w:spacing w:val="-8"/>
              </w:rPr>
              <w:t>B</w:t>
            </w:r>
            <w:r>
              <w:rPr>
                <w:color w:val="auto"/>
                <w:spacing w:val="-8"/>
              </w:rPr>
              <w:t>类，丙烯腈储罐</w:t>
            </w:r>
            <w:r>
              <w:rPr>
                <w:rFonts w:eastAsia="Times New Roman"/>
                <w:color w:val="auto"/>
                <w:spacing w:val="-8"/>
              </w:rPr>
              <w:t>2</w:t>
            </w:r>
            <w:r>
              <w:rPr>
                <w:color w:val="auto"/>
                <w:spacing w:val="-8"/>
              </w:rPr>
              <w:t>个（浮顶罐</w:t>
            </w:r>
            <w:r>
              <w:rPr>
                <w:color w:val="auto"/>
                <w:spacing w:val="-3"/>
              </w:rPr>
              <w:t>），</w:t>
            </w:r>
            <w:r>
              <w:rPr>
                <w:color w:val="auto"/>
                <w:spacing w:val="-8"/>
              </w:rPr>
              <w:t>单个贮罐容积</w:t>
            </w:r>
            <w:r>
              <w:rPr>
                <w:rFonts w:eastAsia="Times New Roman"/>
                <w:color w:val="auto"/>
                <w:spacing w:val="-8"/>
              </w:rPr>
              <w:t>1500m</w:t>
            </w:r>
            <w:r>
              <w:rPr>
                <w:rFonts w:eastAsia="Times New Roman"/>
                <w:color w:val="auto"/>
                <w:spacing w:val="-8"/>
                <w:position w:val="7"/>
                <w:sz w:val="14"/>
                <w:szCs w:val="14"/>
              </w:rPr>
              <w:t>3</w:t>
            </w:r>
            <w:r>
              <w:rPr>
                <w:color w:val="auto"/>
                <w:spacing w:val="-8"/>
              </w:rPr>
              <w:t>；</w:t>
            </w:r>
            <w:r>
              <w:rPr>
                <w:color w:val="auto"/>
                <w:spacing w:val="-7"/>
              </w:rPr>
              <w:t>丙烯酸一个</w:t>
            </w:r>
            <w:r>
              <w:rPr>
                <w:rFonts w:eastAsia="Times New Roman"/>
                <w:color w:val="auto"/>
                <w:spacing w:val="-7"/>
              </w:rPr>
              <w:t>200m</w:t>
            </w:r>
            <w:r>
              <w:rPr>
                <w:rFonts w:eastAsia="Times New Roman"/>
                <w:color w:val="auto"/>
                <w:spacing w:val="-7"/>
                <w:position w:val="7"/>
                <w:sz w:val="14"/>
                <w:szCs w:val="14"/>
              </w:rPr>
              <w:t>3</w:t>
            </w:r>
            <w:r>
              <w:rPr>
                <w:color w:val="auto"/>
                <w:spacing w:val="-7"/>
              </w:rPr>
              <w:t>的储罐（固定定</w:t>
            </w:r>
            <w:r>
              <w:rPr>
                <w:color w:val="auto"/>
                <w:spacing w:val="2"/>
              </w:rPr>
              <w:t>），</w:t>
            </w:r>
            <w:r>
              <w:rPr>
                <w:color w:val="auto"/>
                <w:spacing w:val="-7"/>
              </w:rPr>
              <w:t>液碱一个</w:t>
            </w:r>
            <w:r>
              <w:rPr>
                <w:rFonts w:eastAsia="Times New Roman"/>
                <w:color w:val="auto"/>
                <w:spacing w:val="-7"/>
              </w:rPr>
              <w:t>150m</w:t>
            </w:r>
            <w:r>
              <w:rPr>
                <w:rFonts w:eastAsia="Times New Roman"/>
                <w:color w:val="auto"/>
                <w:spacing w:val="-7"/>
                <w:position w:val="7"/>
                <w:sz w:val="14"/>
                <w:szCs w:val="14"/>
              </w:rPr>
              <w:t>3</w:t>
            </w:r>
            <w:r>
              <w:rPr>
                <w:color w:val="auto"/>
                <w:spacing w:val="-7"/>
              </w:rPr>
              <w:t>的储罐</w:t>
            </w:r>
            <w:r>
              <w:rPr>
                <w:color w:val="auto"/>
                <w:spacing w:val="-6"/>
              </w:rPr>
              <w:t>（固定定</w:t>
            </w:r>
            <w:r>
              <w:rPr>
                <w:color w:val="auto"/>
                <w:spacing w:val="-2"/>
              </w:rPr>
              <w:t>），</w:t>
            </w:r>
            <w:r>
              <w:rPr>
                <w:color w:val="auto"/>
                <w:spacing w:val="-6"/>
              </w:rPr>
              <w:t>预留</w:t>
            </w:r>
            <w:r>
              <w:rPr>
                <w:rFonts w:eastAsia="Times New Roman"/>
                <w:color w:val="auto"/>
                <w:spacing w:val="-6"/>
              </w:rPr>
              <w:t>2</w:t>
            </w:r>
            <w:r>
              <w:rPr>
                <w:color w:val="auto"/>
                <w:spacing w:val="-6"/>
              </w:rPr>
              <w:t>个</w:t>
            </w:r>
            <w:r>
              <w:rPr>
                <w:rFonts w:eastAsia="Times New Roman"/>
                <w:color w:val="auto"/>
                <w:spacing w:val="-6"/>
              </w:rPr>
              <w:t>200m</w:t>
            </w:r>
            <w:r>
              <w:rPr>
                <w:rFonts w:eastAsia="Times New Roman"/>
                <w:color w:val="auto"/>
                <w:spacing w:val="-6"/>
                <w:position w:val="7"/>
                <w:sz w:val="14"/>
                <w:szCs w:val="14"/>
              </w:rPr>
              <w:t>3</w:t>
            </w:r>
            <w:r>
              <w:rPr>
                <w:color w:val="auto"/>
                <w:spacing w:val="-6"/>
              </w:rPr>
              <w:t>的储罐；围堰高度为</w:t>
            </w:r>
            <w:r>
              <w:rPr>
                <w:rFonts w:eastAsia="Times New Roman"/>
                <w:color w:val="auto"/>
                <w:spacing w:val="-6"/>
              </w:rPr>
              <w:t>1</w:t>
            </w:r>
            <w:r>
              <w:rPr>
                <w:rFonts w:eastAsia="Times New Roman"/>
                <w:color w:val="auto"/>
                <w:spacing w:val="-7"/>
              </w:rPr>
              <w:t>.2m</w:t>
            </w:r>
            <w:r>
              <w:rPr>
                <w:color w:val="auto"/>
                <w:spacing w:val="-7"/>
              </w:rPr>
              <w:t>；</w:t>
            </w:r>
            <w:r>
              <w:rPr>
                <w:color w:val="auto"/>
              </w:rPr>
              <w:t>丁类，固定顶罐：种子储罐</w:t>
            </w:r>
            <w:r>
              <w:rPr>
                <w:rFonts w:eastAsia="Times New Roman"/>
                <w:color w:val="auto"/>
              </w:rPr>
              <w:t>2</w:t>
            </w:r>
            <w:r>
              <w:rPr>
                <w:color w:val="auto"/>
              </w:rPr>
              <w:t>个，单个贮罐容积</w:t>
            </w:r>
            <w:r>
              <w:rPr>
                <w:rFonts w:eastAsia="Times New Roman"/>
                <w:color w:val="auto"/>
              </w:rPr>
              <w:t>100m</w:t>
            </w:r>
            <w:r>
              <w:rPr>
                <w:rFonts w:eastAsia="Times New Roman"/>
                <w:color w:val="auto"/>
                <w:position w:val="7"/>
                <w:sz w:val="14"/>
                <w:szCs w:val="14"/>
              </w:rPr>
              <w:t>3</w:t>
            </w:r>
            <w:r>
              <w:rPr>
                <w:color w:val="auto"/>
              </w:rPr>
              <w:t>；胶乳</w:t>
            </w:r>
            <w:r>
              <w:rPr>
                <w:color w:val="auto"/>
                <w:spacing w:val="-6"/>
              </w:rPr>
              <w:t>成品贮罐共</w:t>
            </w:r>
            <w:r>
              <w:rPr>
                <w:rFonts w:eastAsia="Times New Roman"/>
                <w:color w:val="auto"/>
                <w:spacing w:val="-6"/>
              </w:rPr>
              <w:t>10</w:t>
            </w:r>
            <w:r>
              <w:rPr>
                <w:color w:val="auto"/>
                <w:spacing w:val="-6"/>
              </w:rPr>
              <w:t>个，单个贮罐容积为</w:t>
            </w:r>
            <w:r>
              <w:rPr>
                <w:rFonts w:eastAsia="Times New Roman"/>
                <w:color w:val="auto"/>
                <w:spacing w:val="-6"/>
              </w:rPr>
              <w:t>300m</w:t>
            </w:r>
            <w:r>
              <w:rPr>
                <w:rFonts w:eastAsia="Times New Roman"/>
                <w:color w:val="auto"/>
                <w:spacing w:val="-6"/>
                <w:position w:val="7"/>
                <w:sz w:val="14"/>
                <w:szCs w:val="14"/>
              </w:rPr>
              <w:t>3</w:t>
            </w:r>
            <w:r>
              <w:rPr>
                <w:color w:val="auto"/>
                <w:spacing w:val="-6"/>
              </w:rPr>
              <w:t>。围堰</w:t>
            </w:r>
            <w:r>
              <w:rPr>
                <w:color w:val="auto"/>
                <w:spacing w:val="-7"/>
              </w:rPr>
              <w:t>高度为</w:t>
            </w:r>
            <w:r>
              <w:rPr>
                <w:rFonts w:eastAsia="Times New Roman"/>
                <w:color w:val="auto"/>
                <w:spacing w:val="-7"/>
              </w:rPr>
              <w:t>1.2m</w:t>
            </w:r>
            <w:r>
              <w:rPr>
                <w:color w:val="auto"/>
                <w:spacing w:val="-7"/>
              </w:rPr>
              <w:t>。</w:t>
            </w:r>
            <w:r>
              <w:rPr>
                <w:color w:val="auto"/>
                <w:spacing w:val="-5"/>
              </w:rPr>
              <w:t>乙类：集装箱罐。</w:t>
            </w:r>
          </w:p>
        </w:tc>
        <w:tc>
          <w:tcPr>
            <w:tcW w:w="396" w:type="pct"/>
            <w:vAlign w:val="center"/>
          </w:tcPr>
          <w:p w14:paraId="167349B0">
            <w:pPr>
              <w:pStyle w:val="33"/>
              <w:rPr>
                <w:color w:val="auto"/>
              </w:rPr>
            </w:pPr>
            <w:r>
              <w:rPr>
                <w:color w:val="auto"/>
                <w:spacing w:val="-3"/>
              </w:rPr>
              <w:t>新建</w:t>
            </w:r>
          </w:p>
        </w:tc>
      </w:tr>
      <w:tr w14:paraId="483D45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A7B6150">
            <w:pPr>
              <w:pStyle w:val="33"/>
              <w:rPr>
                <w:rFonts w:eastAsia="Times New Roman"/>
                <w:color w:val="auto"/>
              </w:rPr>
            </w:pPr>
            <w:r>
              <w:rPr>
                <w:rFonts w:eastAsia="Times New Roman"/>
                <w:color w:val="auto"/>
                <w:spacing w:val="-2"/>
              </w:rPr>
              <w:t>2.2</w:t>
            </w:r>
          </w:p>
        </w:tc>
        <w:tc>
          <w:tcPr>
            <w:tcW w:w="625" w:type="pct"/>
            <w:vAlign w:val="center"/>
          </w:tcPr>
          <w:p w14:paraId="6A5138EA">
            <w:pPr>
              <w:pStyle w:val="33"/>
              <w:rPr>
                <w:color w:val="auto"/>
              </w:rPr>
            </w:pPr>
            <w:r>
              <w:rPr>
                <w:color w:val="auto"/>
                <w:spacing w:val="-3"/>
              </w:rPr>
              <w:t>原料仓库</w:t>
            </w:r>
          </w:p>
        </w:tc>
        <w:tc>
          <w:tcPr>
            <w:tcW w:w="3665" w:type="pct"/>
            <w:vAlign w:val="center"/>
          </w:tcPr>
          <w:p w14:paraId="490156C7">
            <w:pPr>
              <w:pStyle w:val="33"/>
              <w:rPr>
                <w:color w:val="auto"/>
              </w:rPr>
            </w:pPr>
            <w:r>
              <w:rPr>
                <w:color w:val="auto"/>
                <w:spacing w:val="-7"/>
              </w:rPr>
              <w:t>设一原料仓库，用来储存杀菌剂、过硫酸铵等物料。该仓库占</w:t>
            </w:r>
            <w:r>
              <w:rPr>
                <w:color w:val="auto"/>
                <w:spacing w:val="-2"/>
              </w:rPr>
              <w:t>地面积</w:t>
            </w:r>
            <w:r>
              <w:rPr>
                <w:rFonts w:eastAsia="Times New Roman"/>
                <w:color w:val="auto"/>
                <w:spacing w:val="-2"/>
              </w:rPr>
              <w:t>16m×36m=576m</w:t>
            </w:r>
            <w:r>
              <w:rPr>
                <w:rFonts w:eastAsia="Times New Roman"/>
                <w:color w:val="auto"/>
                <w:spacing w:val="-2"/>
                <w:position w:val="7"/>
                <w:sz w:val="14"/>
                <w:szCs w:val="14"/>
              </w:rPr>
              <w:t>2</w:t>
            </w:r>
            <w:r>
              <w:rPr>
                <w:color w:val="auto"/>
                <w:spacing w:val="-2"/>
              </w:rPr>
              <w:t>。</w:t>
            </w:r>
          </w:p>
        </w:tc>
        <w:tc>
          <w:tcPr>
            <w:tcW w:w="396" w:type="pct"/>
            <w:vAlign w:val="center"/>
          </w:tcPr>
          <w:p w14:paraId="536AEE1A">
            <w:pPr>
              <w:pStyle w:val="33"/>
              <w:rPr>
                <w:color w:val="auto"/>
              </w:rPr>
            </w:pPr>
            <w:r>
              <w:rPr>
                <w:color w:val="auto"/>
                <w:spacing w:val="-3"/>
              </w:rPr>
              <w:t>新建</w:t>
            </w:r>
          </w:p>
        </w:tc>
      </w:tr>
      <w:tr w14:paraId="54BBB7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19367C6">
            <w:pPr>
              <w:pStyle w:val="33"/>
              <w:rPr>
                <w:rFonts w:eastAsia="Times New Roman"/>
                <w:color w:val="auto"/>
              </w:rPr>
            </w:pPr>
            <w:r>
              <w:rPr>
                <w:rFonts w:eastAsia="Times New Roman"/>
                <w:color w:val="auto"/>
                <w:spacing w:val="-2"/>
              </w:rPr>
              <w:t>2.3</w:t>
            </w:r>
          </w:p>
        </w:tc>
        <w:tc>
          <w:tcPr>
            <w:tcW w:w="625" w:type="pct"/>
            <w:vAlign w:val="center"/>
          </w:tcPr>
          <w:p w14:paraId="3F00F903">
            <w:pPr>
              <w:pStyle w:val="33"/>
              <w:rPr>
                <w:color w:val="auto"/>
              </w:rPr>
            </w:pPr>
            <w:r>
              <w:rPr>
                <w:color w:val="auto"/>
                <w:spacing w:val="-3"/>
              </w:rPr>
              <w:t>装卸</w:t>
            </w:r>
          </w:p>
        </w:tc>
        <w:tc>
          <w:tcPr>
            <w:tcW w:w="3665" w:type="pct"/>
            <w:vAlign w:val="center"/>
          </w:tcPr>
          <w:p w14:paraId="235DB917">
            <w:pPr>
              <w:pStyle w:val="33"/>
              <w:rPr>
                <w:color w:val="auto"/>
              </w:rPr>
            </w:pPr>
            <w:r>
              <w:rPr>
                <w:color w:val="auto"/>
                <w:spacing w:val="-2"/>
              </w:rPr>
              <w:t>项目汽车装卸站设置</w:t>
            </w:r>
            <w:r>
              <w:rPr>
                <w:rFonts w:eastAsia="Times New Roman"/>
                <w:color w:val="auto"/>
                <w:spacing w:val="-2"/>
              </w:rPr>
              <w:t>1</w:t>
            </w:r>
            <w:r>
              <w:rPr>
                <w:color w:val="auto"/>
                <w:spacing w:val="-2"/>
              </w:rPr>
              <w:t>个装卸车平台，两侧装卸车，</w:t>
            </w:r>
            <w:r>
              <w:rPr>
                <w:rFonts w:eastAsia="Times New Roman"/>
                <w:color w:val="auto"/>
                <w:spacing w:val="-2"/>
              </w:rPr>
              <w:t>5</w:t>
            </w:r>
            <w:r>
              <w:rPr>
                <w:color w:val="auto"/>
                <w:spacing w:val="-2"/>
              </w:rPr>
              <w:t>个装车</w:t>
            </w:r>
            <w:r>
              <w:rPr>
                <w:color w:val="auto"/>
                <w:spacing w:val="-3"/>
              </w:rPr>
              <w:t>平台。共安装</w:t>
            </w:r>
            <w:r>
              <w:rPr>
                <w:rFonts w:eastAsia="Times New Roman"/>
                <w:color w:val="auto"/>
                <w:spacing w:val="-3"/>
              </w:rPr>
              <w:t>10</w:t>
            </w:r>
            <w:r>
              <w:rPr>
                <w:color w:val="auto"/>
                <w:spacing w:val="-3"/>
              </w:rPr>
              <w:t>台装卸车鹤管。装卸车平台采用钢筋混凝土</w:t>
            </w:r>
            <w:r>
              <w:rPr>
                <w:color w:val="auto"/>
                <w:spacing w:val="-2"/>
              </w:rPr>
              <w:t>结构，四周设置栏杆，装卸车平台上方设有罩棚。</w:t>
            </w:r>
          </w:p>
        </w:tc>
        <w:tc>
          <w:tcPr>
            <w:tcW w:w="396" w:type="pct"/>
            <w:vAlign w:val="center"/>
          </w:tcPr>
          <w:p w14:paraId="5D926864">
            <w:pPr>
              <w:pStyle w:val="33"/>
              <w:rPr>
                <w:color w:val="auto"/>
              </w:rPr>
            </w:pPr>
            <w:r>
              <w:rPr>
                <w:color w:val="auto"/>
                <w:spacing w:val="-3"/>
              </w:rPr>
              <w:t>新建</w:t>
            </w:r>
          </w:p>
        </w:tc>
      </w:tr>
      <w:tr w14:paraId="2F831E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4080FD53">
            <w:pPr>
              <w:pStyle w:val="33"/>
              <w:rPr>
                <w:color w:val="auto"/>
              </w:rPr>
            </w:pPr>
            <w:r>
              <w:rPr>
                <w:rFonts w:eastAsia="Times New Roman"/>
                <w:color w:val="auto"/>
                <w:spacing w:val="-5"/>
              </w:rPr>
              <w:t>3</w:t>
            </w:r>
            <w:r>
              <w:rPr>
                <w:color w:val="auto"/>
                <w:spacing w:val="-5"/>
              </w:rPr>
              <w:t>、公辅工程</w:t>
            </w:r>
          </w:p>
        </w:tc>
      </w:tr>
      <w:tr w14:paraId="2B3FD3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4346F61">
            <w:pPr>
              <w:pStyle w:val="33"/>
              <w:rPr>
                <w:rFonts w:eastAsia="Times New Roman"/>
                <w:color w:val="auto"/>
              </w:rPr>
            </w:pPr>
            <w:r>
              <w:rPr>
                <w:rFonts w:eastAsia="Times New Roman"/>
                <w:color w:val="auto"/>
              </w:rPr>
              <w:t>1</w:t>
            </w:r>
          </w:p>
        </w:tc>
        <w:tc>
          <w:tcPr>
            <w:tcW w:w="4687" w:type="pct"/>
            <w:gridSpan w:val="3"/>
            <w:vAlign w:val="center"/>
          </w:tcPr>
          <w:p w14:paraId="7AA1C642">
            <w:pPr>
              <w:pStyle w:val="33"/>
              <w:rPr>
                <w:color w:val="auto"/>
              </w:rPr>
            </w:pPr>
            <w:r>
              <w:rPr>
                <w:color w:val="auto"/>
                <w:spacing w:val="-2"/>
              </w:rPr>
              <w:t>给水系统</w:t>
            </w:r>
          </w:p>
        </w:tc>
      </w:tr>
      <w:tr w14:paraId="78B5E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A8E9F1C">
            <w:pPr>
              <w:pStyle w:val="33"/>
              <w:rPr>
                <w:rFonts w:eastAsia="Times New Roman"/>
                <w:color w:val="auto"/>
              </w:rPr>
            </w:pPr>
            <w:r>
              <w:rPr>
                <w:rFonts w:eastAsia="Times New Roman"/>
                <w:color w:val="auto"/>
                <w:spacing w:val="-8"/>
              </w:rPr>
              <w:t>1.1</w:t>
            </w:r>
          </w:p>
        </w:tc>
        <w:tc>
          <w:tcPr>
            <w:tcW w:w="625" w:type="pct"/>
            <w:vAlign w:val="center"/>
          </w:tcPr>
          <w:p w14:paraId="5C7AD587">
            <w:pPr>
              <w:pStyle w:val="33"/>
              <w:rPr>
                <w:color w:val="auto"/>
              </w:rPr>
            </w:pPr>
            <w:r>
              <w:rPr>
                <w:color w:val="auto"/>
                <w:spacing w:val="-2"/>
              </w:rPr>
              <w:t>生产给水</w:t>
            </w:r>
          </w:p>
        </w:tc>
        <w:tc>
          <w:tcPr>
            <w:tcW w:w="3665" w:type="pct"/>
            <w:vAlign w:val="center"/>
          </w:tcPr>
          <w:p w14:paraId="6F5E8C82">
            <w:pPr>
              <w:pStyle w:val="33"/>
              <w:rPr>
                <w:color w:val="auto"/>
              </w:rPr>
            </w:pPr>
            <w:r>
              <w:rPr>
                <w:color w:val="auto"/>
                <w:spacing w:val="-1"/>
              </w:rPr>
              <w:t>由现有工程的净水站供给，供水压力</w:t>
            </w:r>
            <w:r>
              <w:rPr>
                <w:rFonts w:eastAsia="Times New Roman"/>
                <w:color w:val="auto"/>
                <w:spacing w:val="-1"/>
              </w:rPr>
              <w:t>0.40MPa.G</w:t>
            </w:r>
            <w:r>
              <w:rPr>
                <w:color w:val="auto"/>
                <w:spacing w:val="-2"/>
              </w:rPr>
              <w:t>。生产用水量约为</w:t>
            </w:r>
            <w:r>
              <w:rPr>
                <w:rFonts w:eastAsia="Times New Roman"/>
                <w:color w:val="auto"/>
                <w:spacing w:val="-2"/>
              </w:rPr>
              <w:t>927m</w:t>
            </w:r>
            <w:r>
              <w:rPr>
                <w:rFonts w:eastAsia="Times New Roman"/>
                <w:color w:val="auto"/>
                <w:spacing w:val="-2"/>
                <w:position w:val="7"/>
                <w:sz w:val="14"/>
                <w:szCs w:val="14"/>
              </w:rPr>
              <w:t>3</w:t>
            </w:r>
            <w:r>
              <w:rPr>
                <w:rFonts w:eastAsia="Times New Roman"/>
                <w:color w:val="auto"/>
                <w:spacing w:val="-2"/>
              </w:rPr>
              <w:t>/d</w:t>
            </w:r>
            <w:r>
              <w:rPr>
                <w:color w:val="auto"/>
                <w:spacing w:val="-2"/>
              </w:rPr>
              <w:t>。</w:t>
            </w:r>
          </w:p>
        </w:tc>
        <w:tc>
          <w:tcPr>
            <w:tcW w:w="396" w:type="pct"/>
            <w:vAlign w:val="center"/>
          </w:tcPr>
          <w:p w14:paraId="194149B8">
            <w:pPr>
              <w:pStyle w:val="33"/>
              <w:rPr>
                <w:color w:val="auto"/>
              </w:rPr>
            </w:pPr>
            <w:r>
              <w:rPr>
                <w:color w:val="auto"/>
                <w:spacing w:val="-3"/>
              </w:rPr>
              <w:t>依托</w:t>
            </w:r>
          </w:p>
        </w:tc>
      </w:tr>
      <w:tr w14:paraId="476DA00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46AB63F">
            <w:pPr>
              <w:pStyle w:val="33"/>
              <w:rPr>
                <w:rFonts w:eastAsia="Times New Roman"/>
                <w:color w:val="auto"/>
              </w:rPr>
            </w:pPr>
            <w:r>
              <w:rPr>
                <w:rFonts w:eastAsia="Times New Roman"/>
                <w:color w:val="auto"/>
                <w:spacing w:val="-8"/>
              </w:rPr>
              <w:t>1.2</w:t>
            </w:r>
          </w:p>
        </w:tc>
        <w:tc>
          <w:tcPr>
            <w:tcW w:w="625" w:type="pct"/>
            <w:vAlign w:val="center"/>
          </w:tcPr>
          <w:p w14:paraId="3CDE8BCB">
            <w:pPr>
              <w:pStyle w:val="33"/>
              <w:rPr>
                <w:color w:val="auto"/>
              </w:rPr>
            </w:pPr>
            <w:r>
              <w:rPr>
                <w:color w:val="auto"/>
                <w:spacing w:val="-2"/>
              </w:rPr>
              <w:t>生活给水</w:t>
            </w:r>
          </w:p>
        </w:tc>
        <w:tc>
          <w:tcPr>
            <w:tcW w:w="3665" w:type="pct"/>
            <w:vAlign w:val="center"/>
          </w:tcPr>
          <w:p w14:paraId="40A5BCCB">
            <w:pPr>
              <w:pStyle w:val="33"/>
              <w:rPr>
                <w:color w:val="auto"/>
              </w:rPr>
            </w:pPr>
            <w:r>
              <w:rPr>
                <w:color w:val="auto"/>
                <w:spacing w:val="-3"/>
              </w:rPr>
              <w:t>由现有工程的供水管网供给，供水压力</w:t>
            </w:r>
            <w:r>
              <w:rPr>
                <w:rFonts w:eastAsia="Times New Roman"/>
                <w:color w:val="auto"/>
                <w:spacing w:val="-3"/>
              </w:rPr>
              <w:t>0.40MPa.</w:t>
            </w:r>
            <w:r>
              <w:rPr>
                <w:rFonts w:eastAsia="Times New Roman"/>
                <w:color w:val="auto"/>
              </w:rPr>
              <w:t>G</w:t>
            </w:r>
            <w:r>
              <w:rPr>
                <w:color w:val="auto"/>
              </w:rPr>
              <w:t>。用水量为</w:t>
            </w:r>
            <w:r>
              <w:rPr>
                <w:rFonts w:eastAsia="Times New Roman"/>
                <w:color w:val="auto"/>
                <w:spacing w:val="-1"/>
              </w:rPr>
              <w:t>20m</w:t>
            </w:r>
            <w:r>
              <w:rPr>
                <w:rFonts w:eastAsia="Times New Roman"/>
                <w:color w:val="auto"/>
                <w:spacing w:val="-1"/>
                <w:position w:val="7"/>
                <w:sz w:val="14"/>
                <w:szCs w:val="14"/>
              </w:rPr>
              <w:t>3</w:t>
            </w:r>
            <w:r>
              <w:rPr>
                <w:rFonts w:eastAsia="Times New Roman"/>
                <w:color w:val="auto"/>
                <w:spacing w:val="-1"/>
              </w:rPr>
              <w:t>/d</w:t>
            </w:r>
            <w:r>
              <w:rPr>
                <w:color w:val="auto"/>
                <w:spacing w:val="-1"/>
              </w:rPr>
              <w:t>。</w:t>
            </w:r>
          </w:p>
        </w:tc>
        <w:tc>
          <w:tcPr>
            <w:tcW w:w="396" w:type="pct"/>
            <w:vAlign w:val="center"/>
          </w:tcPr>
          <w:p w14:paraId="31488D9D">
            <w:pPr>
              <w:pStyle w:val="33"/>
              <w:rPr>
                <w:color w:val="auto"/>
              </w:rPr>
            </w:pPr>
            <w:r>
              <w:rPr>
                <w:color w:val="auto"/>
                <w:spacing w:val="-3"/>
              </w:rPr>
              <w:t>依托</w:t>
            </w:r>
          </w:p>
        </w:tc>
      </w:tr>
      <w:tr w14:paraId="21D557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3A0AD71">
            <w:pPr>
              <w:pStyle w:val="33"/>
              <w:rPr>
                <w:rFonts w:eastAsia="Times New Roman"/>
                <w:color w:val="auto"/>
              </w:rPr>
            </w:pPr>
            <w:r>
              <w:rPr>
                <w:rFonts w:eastAsia="Times New Roman"/>
                <w:color w:val="auto"/>
                <w:spacing w:val="-8"/>
              </w:rPr>
              <w:t>1.3</w:t>
            </w:r>
          </w:p>
        </w:tc>
        <w:tc>
          <w:tcPr>
            <w:tcW w:w="625" w:type="pct"/>
            <w:vAlign w:val="center"/>
          </w:tcPr>
          <w:p w14:paraId="562AA8C8">
            <w:pPr>
              <w:pStyle w:val="33"/>
              <w:rPr>
                <w:color w:val="auto"/>
              </w:rPr>
            </w:pPr>
            <w:r>
              <w:rPr>
                <w:color w:val="auto"/>
                <w:spacing w:val="-2"/>
              </w:rPr>
              <w:t>循环水站</w:t>
            </w:r>
          </w:p>
        </w:tc>
        <w:tc>
          <w:tcPr>
            <w:tcW w:w="3665" w:type="pct"/>
            <w:vAlign w:val="center"/>
          </w:tcPr>
          <w:p w14:paraId="3D99ED9A">
            <w:pPr>
              <w:pStyle w:val="33"/>
              <w:rPr>
                <w:color w:val="auto"/>
              </w:rPr>
            </w:pPr>
            <w:r>
              <w:rPr>
                <w:color w:val="auto"/>
              </w:rPr>
              <w:t>工程循环水量正常为</w:t>
            </w:r>
            <w:r>
              <w:rPr>
                <w:rFonts w:eastAsia="Times New Roman"/>
                <w:color w:val="auto"/>
              </w:rPr>
              <w:t>2100m</w:t>
            </w:r>
            <w:r>
              <w:rPr>
                <w:rFonts w:eastAsia="Times New Roman"/>
                <w:color w:val="auto"/>
                <w:position w:val="7"/>
                <w:sz w:val="14"/>
                <w:szCs w:val="14"/>
              </w:rPr>
              <w:t>3</w:t>
            </w:r>
            <w:r>
              <w:rPr>
                <w:rFonts w:eastAsia="Times New Roman"/>
                <w:color w:val="auto"/>
              </w:rPr>
              <w:t>/h</w:t>
            </w:r>
            <w:r>
              <w:rPr>
                <w:color w:val="auto"/>
              </w:rPr>
              <w:t>，循环水处理系统由冷却塔、循</w:t>
            </w:r>
            <w:r>
              <w:rPr>
                <w:color w:val="auto"/>
                <w:spacing w:val="-3"/>
              </w:rPr>
              <w:t>环水泵房、水质稳定处理设施、旁滤器以及循环给回水</w:t>
            </w:r>
            <w:r>
              <w:rPr>
                <w:color w:val="auto"/>
              </w:rPr>
              <w:t>管道等</w:t>
            </w:r>
            <w:r>
              <w:rPr>
                <w:color w:val="auto"/>
                <w:spacing w:val="-9"/>
              </w:rPr>
              <w:t>组成。</w:t>
            </w:r>
          </w:p>
        </w:tc>
        <w:tc>
          <w:tcPr>
            <w:tcW w:w="396" w:type="pct"/>
            <w:vAlign w:val="center"/>
          </w:tcPr>
          <w:p w14:paraId="553D0AD4">
            <w:pPr>
              <w:pStyle w:val="33"/>
              <w:rPr>
                <w:color w:val="auto"/>
              </w:rPr>
            </w:pPr>
            <w:r>
              <w:rPr>
                <w:color w:val="auto"/>
                <w:spacing w:val="-3"/>
              </w:rPr>
              <w:t>新建</w:t>
            </w:r>
          </w:p>
        </w:tc>
      </w:tr>
      <w:tr w14:paraId="3D198A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0929BCA">
            <w:pPr>
              <w:pStyle w:val="33"/>
              <w:rPr>
                <w:rFonts w:eastAsia="Times New Roman"/>
                <w:color w:val="auto"/>
              </w:rPr>
            </w:pPr>
            <w:r>
              <w:rPr>
                <w:rFonts w:eastAsia="Times New Roman"/>
                <w:color w:val="auto"/>
                <w:spacing w:val="-8"/>
              </w:rPr>
              <w:t>1.4</w:t>
            </w:r>
          </w:p>
        </w:tc>
        <w:tc>
          <w:tcPr>
            <w:tcW w:w="625" w:type="pct"/>
            <w:vAlign w:val="center"/>
          </w:tcPr>
          <w:p w14:paraId="636F5079">
            <w:pPr>
              <w:pStyle w:val="33"/>
              <w:rPr>
                <w:color w:val="auto"/>
              </w:rPr>
            </w:pPr>
            <w:r>
              <w:rPr>
                <w:color w:val="auto"/>
                <w:spacing w:val="-3"/>
              </w:rPr>
              <w:t>消防系统</w:t>
            </w:r>
          </w:p>
        </w:tc>
        <w:tc>
          <w:tcPr>
            <w:tcW w:w="3665" w:type="pct"/>
            <w:vAlign w:val="center"/>
          </w:tcPr>
          <w:p w14:paraId="406F25B9">
            <w:pPr>
              <w:pStyle w:val="33"/>
              <w:rPr>
                <w:color w:val="auto"/>
              </w:rPr>
            </w:pPr>
            <w:r>
              <w:rPr>
                <w:color w:val="auto"/>
                <w:spacing w:val="-2"/>
              </w:rPr>
              <w:t>依托现有工程的消防水池，其有效消防储水</w:t>
            </w:r>
            <w:r>
              <w:rPr>
                <w:color w:val="auto"/>
                <w:spacing w:val="-3"/>
              </w:rPr>
              <w:t>量为</w:t>
            </w:r>
            <w:r>
              <w:rPr>
                <w:rFonts w:eastAsia="Times New Roman"/>
                <w:color w:val="auto"/>
                <w:spacing w:val="-3"/>
              </w:rPr>
              <w:t>20000m</w:t>
            </w:r>
            <w:r>
              <w:rPr>
                <w:rFonts w:eastAsia="Times New Roman"/>
                <w:color w:val="auto"/>
                <w:spacing w:val="-3"/>
                <w:position w:val="7"/>
                <w:sz w:val="14"/>
                <w:szCs w:val="14"/>
              </w:rPr>
              <w:t>3</w:t>
            </w:r>
            <w:r>
              <w:rPr>
                <w:color w:val="auto"/>
                <w:spacing w:val="-3"/>
              </w:rPr>
              <w:t>，满</w:t>
            </w:r>
            <w:r>
              <w:rPr>
                <w:color w:val="auto"/>
                <w:spacing w:val="3"/>
              </w:rPr>
              <w:t>足火灾</w:t>
            </w:r>
            <w:r>
              <w:rPr>
                <w:rFonts w:eastAsia="Times New Roman"/>
                <w:color w:val="auto"/>
                <w:spacing w:val="3"/>
              </w:rPr>
              <w:t>6h</w:t>
            </w:r>
            <w:r>
              <w:rPr>
                <w:color w:val="auto"/>
                <w:spacing w:val="3"/>
              </w:rPr>
              <w:t>的消防水量。甲</w:t>
            </w:r>
            <w:r>
              <w:rPr>
                <w:rFonts w:eastAsia="Times New Roman"/>
                <w:color w:val="auto"/>
                <w:spacing w:val="3"/>
              </w:rPr>
              <w:t>A</w:t>
            </w:r>
            <w:r>
              <w:rPr>
                <w:color w:val="auto"/>
                <w:spacing w:val="3"/>
              </w:rPr>
              <w:t>类储罐一次灭火总用水量为</w:t>
            </w:r>
            <w:r>
              <w:rPr>
                <w:rFonts w:eastAsia="Times New Roman"/>
                <w:color w:val="auto"/>
                <w:spacing w:val="-2"/>
              </w:rPr>
              <w:t>5831m</w:t>
            </w:r>
            <w:r>
              <w:rPr>
                <w:rFonts w:eastAsia="Times New Roman"/>
                <w:color w:val="auto"/>
                <w:spacing w:val="-2"/>
                <w:position w:val="7"/>
                <w:sz w:val="14"/>
                <w:szCs w:val="14"/>
              </w:rPr>
              <w:t>3</w:t>
            </w:r>
            <w:r>
              <w:rPr>
                <w:color w:val="auto"/>
                <w:spacing w:val="-2"/>
              </w:rPr>
              <w:t>。</w:t>
            </w:r>
          </w:p>
        </w:tc>
        <w:tc>
          <w:tcPr>
            <w:tcW w:w="396" w:type="pct"/>
            <w:vAlign w:val="center"/>
          </w:tcPr>
          <w:p w14:paraId="0306F60A">
            <w:pPr>
              <w:pStyle w:val="33"/>
              <w:rPr>
                <w:color w:val="auto"/>
              </w:rPr>
            </w:pPr>
            <w:r>
              <w:rPr>
                <w:color w:val="auto"/>
                <w:spacing w:val="-3"/>
              </w:rPr>
              <w:t>依托</w:t>
            </w:r>
          </w:p>
        </w:tc>
      </w:tr>
      <w:tr w14:paraId="6163FE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7D83CBF">
            <w:pPr>
              <w:pStyle w:val="33"/>
              <w:rPr>
                <w:rFonts w:eastAsia="Times New Roman"/>
                <w:color w:val="auto"/>
              </w:rPr>
            </w:pPr>
            <w:r>
              <w:rPr>
                <w:rFonts w:eastAsia="Times New Roman"/>
                <w:color w:val="auto"/>
              </w:rPr>
              <w:t>2</w:t>
            </w:r>
          </w:p>
        </w:tc>
        <w:tc>
          <w:tcPr>
            <w:tcW w:w="625" w:type="pct"/>
            <w:vAlign w:val="center"/>
          </w:tcPr>
          <w:p w14:paraId="5D9F30EB">
            <w:pPr>
              <w:pStyle w:val="33"/>
              <w:rPr>
                <w:color w:val="auto"/>
              </w:rPr>
            </w:pPr>
            <w:r>
              <w:rPr>
                <w:color w:val="auto"/>
                <w:spacing w:val="-2"/>
              </w:rPr>
              <w:t>排水系统</w:t>
            </w:r>
          </w:p>
        </w:tc>
        <w:tc>
          <w:tcPr>
            <w:tcW w:w="3665" w:type="pct"/>
            <w:vAlign w:val="center"/>
          </w:tcPr>
          <w:p w14:paraId="3F2496CA">
            <w:pPr>
              <w:pStyle w:val="33"/>
              <w:rPr>
                <w:color w:val="auto"/>
              </w:rPr>
            </w:pPr>
            <w:r>
              <w:rPr>
                <w:color w:val="auto"/>
                <w:spacing w:val="-2"/>
              </w:rPr>
              <w:t>厂区分别设置生产废水系统、生活污水系统、初期雨水系统、</w:t>
            </w:r>
            <w:r>
              <w:rPr>
                <w:color w:val="auto"/>
                <w:spacing w:val="-3"/>
              </w:rPr>
              <w:t>清净废水和清净雨水系统等。</w:t>
            </w:r>
          </w:p>
        </w:tc>
        <w:tc>
          <w:tcPr>
            <w:tcW w:w="396" w:type="pct"/>
            <w:vAlign w:val="center"/>
          </w:tcPr>
          <w:p w14:paraId="79B9A10A">
            <w:pPr>
              <w:pStyle w:val="33"/>
              <w:rPr>
                <w:color w:val="auto"/>
              </w:rPr>
            </w:pPr>
            <w:r>
              <w:rPr>
                <w:color w:val="auto"/>
                <w:spacing w:val="-3"/>
              </w:rPr>
              <w:t>新建</w:t>
            </w:r>
          </w:p>
        </w:tc>
      </w:tr>
      <w:tr w14:paraId="0511D2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4322C20">
            <w:pPr>
              <w:pStyle w:val="33"/>
              <w:rPr>
                <w:rFonts w:eastAsia="Times New Roman"/>
                <w:color w:val="auto"/>
              </w:rPr>
            </w:pPr>
            <w:r>
              <w:rPr>
                <w:rFonts w:eastAsia="Times New Roman"/>
                <w:color w:val="auto"/>
              </w:rPr>
              <w:t>3</w:t>
            </w:r>
          </w:p>
        </w:tc>
        <w:tc>
          <w:tcPr>
            <w:tcW w:w="625" w:type="pct"/>
            <w:vAlign w:val="center"/>
          </w:tcPr>
          <w:p w14:paraId="23D3AFED">
            <w:pPr>
              <w:pStyle w:val="33"/>
              <w:rPr>
                <w:color w:val="auto"/>
              </w:rPr>
            </w:pPr>
            <w:r>
              <w:rPr>
                <w:color w:val="auto"/>
                <w:spacing w:val="-2"/>
              </w:rPr>
              <w:t>供电系统</w:t>
            </w:r>
          </w:p>
        </w:tc>
        <w:tc>
          <w:tcPr>
            <w:tcW w:w="3665" w:type="pct"/>
            <w:vAlign w:val="center"/>
          </w:tcPr>
          <w:p w14:paraId="0B10EAF2">
            <w:pPr>
              <w:pStyle w:val="33"/>
              <w:rPr>
                <w:color w:val="auto"/>
              </w:rPr>
            </w:pPr>
            <w:r>
              <w:rPr>
                <w:color w:val="auto"/>
                <w:spacing w:val="-2"/>
              </w:rPr>
              <w:t>新建一座变配电所，采用</w:t>
            </w:r>
            <w:r>
              <w:rPr>
                <w:rFonts w:eastAsia="Times New Roman"/>
                <w:color w:val="auto"/>
                <w:spacing w:val="-2"/>
              </w:rPr>
              <w:t>10kV</w:t>
            </w:r>
            <w:r>
              <w:rPr>
                <w:color w:val="auto"/>
                <w:spacing w:val="-2"/>
              </w:rPr>
              <w:t>双电源进线，电源引自厂区总</w:t>
            </w:r>
            <w:r>
              <w:rPr>
                <w:color w:val="auto"/>
              </w:rPr>
              <w:t>变配电站不同电源端。</w:t>
            </w:r>
          </w:p>
        </w:tc>
        <w:tc>
          <w:tcPr>
            <w:tcW w:w="396" w:type="pct"/>
            <w:vAlign w:val="center"/>
          </w:tcPr>
          <w:p w14:paraId="23120335">
            <w:pPr>
              <w:pStyle w:val="33"/>
              <w:rPr>
                <w:color w:val="auto"/>
              </w:rPr>
            </w:pPr>
            <w:r>
              <w:rPr>
                <w:color w:val="auto"/>
                <w:spacing w:val="-3"/>
              </w:rPr>
              <w:t>新建</w:t>
            </w:r>
          </w:p>
        </w:tc>
      </w:tr>
      <w:tr w14:paraId="6FCDB6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7B46012">
            <w:pPr>
              <w:pStyle w:val="33"/>
              <w:rPr>
                <w:rFonts w:eastAsia="Times New Roman"/>
                <w:color w:val="auto"/>
              </w:rPr>
            </w:pPr>
            <w:r>
              <w:rPr>
                <w:rFonts w:eastAsia="Times New Roman"/>
                <w:color w:val="auto"/>
              </w:rPr>
              <w:t>4</w:t>
            </w:r>
          </w:p>
        </w:tc>
        <w:tc>
          <w:tcPr>
            <w:tcW w:w="625" w:type="pct"/>
            <w:vAlign w:val="center"/>
          </w:tcPr>
          <w:p w14:paraId="7DD6451D">
            <w:pPr>
              <w:pStyle w:val="33"/>
              <w:rPr>
                <w:color w:val="auto"/>
              </w:rPr>
            </w:pPr>
            <w:r>
              <w:rPr>
                <w:color w:val="auto"/>
                <w:spacing w:val="-3"/>
              </w:rPr>
              <w:t>供汽系统</w:t>
            </w:r>
          </w:p>
        </w:tc>
        <w:tc>
          <w:tcPr>
            <w:tcW w:w="3665" w:type="pct"/>
            <w:vAlign w:val="center"/>
          </w:tcPr>
          <w:p w14:paraId="20265AAE">
            <w:pPr>
              <w:pStyle w:val="33"/>
              <w:rPr>
                <w:color w:val="auto"/>
              </w:rPr>
            </w:pPr>
            <w:r>
              <w:rPr>
                <w:color w:val="auto"/>
                <w:spacing w:val="4"/>
              </w:rPr>
              <w:t>生产用蒸汽由金桂浆纸现有热电设施供给，供给蒸汽参数为</w:t>
            </w:r>
            <w:r>
              <w:rPr>
                <w:rFonts w:eastAsia="Times New Roman"/>
                <w:color w:val="auto"/>
                <w:spacing w:val="-1"/>
              </w:rPr>
              <w:t>1.6MPa</w:t>
            </w:r>
            <w:r>
              <w:rPr>
                <w:color w:val="auto"/>
                <w:spacing w:val="-1"/>
              </w:rPr>
              <w:t>过热蒸汽，在界区内作减温减压处理，工艺供给量为</w:t>
            </w:r>
            <w:r>
              <w:rPr>
                <w:rFonts w:eastAsia="Times New Roman"/>
                <w:color w:val="auto"/>
                <w:spacing w:val="-5"/>
              </w:rPr>
              <w:t>12.2t/h</w:t>
            </w:r>
            <w:r>
              <w:rPr>
                <w:color w:val="auto"/>
                <w:spacing w:val="-5"/>
              </w:rPr>
              <w:t>，凝结水量为</w:t>
            </w:r>
            <w:r>
              <w:rPr>
                <w:rFonts w:eastAsia="Times New Roman"/>
                <w:color w:val="auto"/>
                <w:spacing w:val="-5"/>
              </w:rPr>
              <w:t>4t/h</w:t>
            </w:r>
            <w:r>
              <w:rPr>
                <w:color w:val="auto"/>
                <w:spacing w:val="-5"/>
              </w:rPr>
              <w:t>，回收后经管道输送回现有热电设施。</w:t>
            </w:r>
          </w:p>
        </w:tc>
        <w:tc>
          <w:tcPr>
            <w:tcW w:w="396" w:type="pct"/>
            <w:vAlign w:val="center"/>
          </w:tcPr>
          <w:p w14:paraId="7A718379">
            <w:pPr>
              <w:pStyle w:val="33"/>
              <w:rPr>
                <w:color w:val="auto"/>
              </w:rPr>
            </w:pPr>
            <w:r>
              <w:rPr>
                <w:color w:val="auto"/>
                <w:spacing w:val="-3"/>
              </w:rPr>
              <w:t>依托</w:t>
            </w:r>
          </w:p>
        </w:tc>
      </w:tr>
      <w:tr w14:paraId="12A6A6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1F1CF78">
            <w:pPr>
              <w:pStyle w:val="33"/>
              <w:rPr>
                <w:rFonts w:eastAsia="Times New Roman"/>
                <w:color w:val="auto"/>
              </w:rPr>
            </w:pPr>
            <w:r>
              <w:rPr>
                <w:rFonts w:eastAsia="Times New Roman"/>
                <w:color w:val="auto"/>
              </w:rPr>
              <w:t>5</w:t>
            </w:r>
          </w:p>
        </w:tc>
        <w:tc>
          <w:tcPr>
            <w:tcW w:w="625" w:type="pct"/>
            <w:vAlign w:val="center"/>
          </w:tcPr>
          <w:p w14:paraId="74B0F40D">
            <w:pPr>
              <w:pStyle w:val="33"/>
              <w:rPr>
                <w:color w:val="auto"/>
              </w:rPr>
            </w:pPr>
            <w:r>
              <w:rPr>
                <w:color w:val="auto"/>
                <w:spacing w:val="-2"/>
              </w:rPr>
              <w:t>冷冻水站</w:t>
            </w:r>
          </w:p>
        </w:tc>
        <w:tc>
          <w:tcPr>
            <w:tcW w:w="3665" w:type="pct"/>
            <w:vAlign w:val="center"/>
          </w:tcPr>
          <w:p w14:paraId="438F7F2C">
            <w:pPr>
              <w:pStyle w:val="33"/>
              <w:rPr>
                <w:color w:val="auto"/>
              </w:rPr>
            </w:pPr>
            <w:r>
              <w:rPr>
                <w:color w:val="auto"/>
                <w:spacing w:val="-1"/>
              </w:rPr>
              <w:t>冷冻站供水温度</w:t>
            </w:r>
            <w:r>
              <w:rPr>
                <w:rFonts w:eastAsia="Times New Roman"/>
                <w:color w:val="auto"/>
                <w:spacing w:val="-1"/>
              </w:rPr>
              <w:t>7℃</w:t>
            </w:r>
            <w:r>
              <w:rPr>
                <w:color w:val="auto"/>
                <w:spacing w:val="-1"/>
              </w:rPr>
              <w:t>,供、回水温差为</w:t>
            </w:r>
            <w:r>
              <w:rPr>
                <w:rFonts w:eastAsia="Times New Roman"/>
                <w:color w:val="auto"/>
                <w:spacing w:val="-1"/>
              </w:rPr>
              <w:t>5℃</w:t>
            </w:r>
            <w:r>
              <w:rPr>
                <w:color w:val="auto"/>
                <w:spacing w:val="-1"/>
              </w:rPr>
              <w:t>,设计制冷量为</w:t>
            </w:r>
            <w:r>
              <w:rPr>
                <w:rFonts w:eastAsia="Times New Roman"/>
                <w:color w:val="auto"/>
                <w:spacing w:val="-3"/>
              </w:rPr>
              <w:t>125kW</w:t>
            </w:r>
            <w:r>
              <w:rPr>
                <w:color w:val="auto"/>
                <w:spacing w:val="-3"/>
              </w:rPr>
              <w:t>。系统载冷剂为水，冷水系统选用</w:t>
            </w:r>
            <w:r>
              <w:rPr>
                <w:rFonts w:eastAsia="Times New Roman"/>
                <w:color w:val="auto"/>
                <w:spacing w:val="-3"/>
              </w:rPr>
              <w:t>2</w:t>
            </w:r>
            <w:r>
              <w:rPr>
                <w:color w:val="auto"/>
                <w:spacing w:val="-3"/>
              </w:rPr>
              <w:t>台（</w:t>
            </w:r>
            <w:r>
              <w:rPr>
                <w:rFonts w:eastAsia="Times New Roman"/>
                <w:color w:val="auto"/>
                <w:spacing w:val="-3"/>
              </w:rPr>
              <w:t>1</w:t>
            </w:r>
            <w:r>
              <w:rPr>
                <w:color w:val="auto"/>
                <w:spacing w:val="-3"/>
              </w:rPr>
              <w:t>用</w:t>
            </w:r>
            <w:r>
              <w:rPr>
                <w:rFonts w:eastAsia="Times New Roman"/>
                <w:color w:val="auto"/>
                <w:spacing w:val="-3"/>
              </w:rPr>
              <w:t>1</w:t>
            </w:r>
            <w:r>
              <w:rPr>
                <w:color w:val="auto"/>
                <w:spacing w:val="-3"/>
              </w:rPr>
              <w:t>备）涡</w:t>
            </w:r>
            <w:r>
              <w:rPr>
                <w:color w:val="auto"/>
                <w:spacing w:val="-9"/>
              </w:rPr>
              <w:t>旋式风冷冷水机组、</w:t>
            </w:r>
            <w:r>
              <w:rPr>
                <w:rFonts w:eastAsia="Times New Roman"/>
                <w:color w:val="auto"/>
                <w:spacing w:val="-9"/>
              </w:rPr>
              <w:t>2</w:t>
            </w:r>
            <w:r>
              <w:rPr>
                <w:color w:val="auto"/>
                <w:spacing w:val="-9"/>
              </w:rPr>
              <w:t>台冷水循环泵（</w:t>
            </w:r>
            <w:r>
              <w:rPr>
                <w:rFonts w:eastAsia="Times New Roman"/>
                <w:color w:val="auto"/>
                <w:spacing w:val="-9"/>
              </w:rPr>
              <w:t>1</w:t>
            </w:r>
            <w:r>
              <w:rPr>
                <w:color w:val="auto"/>
                <w:spacing w:val="-9"/>
              </w:rPr>
              <w:t>用</w:t>
            </w:r>
            <w:r>
              <w:rPr>
                <w:rFonts w:eastAsia="Times New Roman"/>
                <w:color w:val="auto"/>
                <w:spacing w:val="-9"/>
              </w:rPr>
              <w:t>1</w:t>
            </w:r>
            <w:r>
              <w:rPr>
                <w:color w:val="auto"/>
                <w:spacing w:val="-9"/>
              </w:rPr>
              <w:t>备）、</w:t>
            </w:r>
            <w:r>
              <w:rPr>
                <w:rFonts w:eastAsia="Times New Roman"/>
                <w:color w:val="auto"/>
                <w:spacing w:val="-9"/>
              </w:rPr>
              <w:t>1</w:t>
            </w:r>
            <w:r>
              <w:rPr>
                <w:color w:val="auto"/>
                <w:spacing w:val="-9"/>
              </w:rPr>
              <w:t>套定压装</w:t>
            </w:r>
            <w:r>
              <w:rPr>
                <w:color w:val="auto"/>
                <w:spacing w:val="-2"/>
              </w:rPr>
              <w:t>置，系统为闭式循环系统，冷冻水循环量：</w:t>
            </w:r>
            <w:r>
              <w:rPr>
                <w:rFonts w:eastAsia="Times New Roman"/>
                <w:color w:val="auto"/>
                <w:spacing w:val="-2"/>
              </w:rPr>
              <w:t>20m</w:t>
            </w:r>
            <w:r>
              <w:rPr>
                <w:rFonts w:eastAsia="Times New Roman"/>
                <w:color w:val="auto"/>
                <w:spacing w:val="-2"/>
                <w:position w:val="7"/>
                <w:sz w:val="14"/>
                <w:szCs w:val="14"/>
              </w:rPr>
              <w:t>3</w:t>
            </w:r>
            <w:r>
              <w:rPr>
                <w:rFonts w:eastAsia="Times New Roman"/>
                <w:color w:val="auto"/>
                <w:spacing w:val="-2"/>
              </w:rPr>
              <w:t>/h</w:t>
            </w:r>
            <w:r>
              <w:rPr>
                <w:color w:val="auto"/>
                <w:spacing w:val="-2"/>
              </w:rPr>
              <w:t>，供水压力</w:t>
            </w:r>
            <w:r>
              <w:rPr>
                <w:rFonts w:eastAsia="Times New Roman"/>
                <w:color w:val="auto"/>
                <w:spacing w:val="-1"/>
              </w:rPr>
              <w:t>0.6Mpa</w:t>
            </w:r>
            <w:r>
              <w:rPr>
                <w:color w:val="auto"/>
                <w:spacing w:val="-1"/>
              </w:rPr>
              <w:t>。</w:t>
            </w:r>
          </w:p>
        </w:tc>
        <w:tc>
          <w:tcPr>
            <w:tcW w:w="396" w:type="pct"/>
            <w:vAlign w:val="center"/>
          </w:tcPr>
          <w:p w14:paraId="730E9CEA">
            <w:pPr>
              <w:pStyle w:val="33"/>
              <w:rPr>
                <w:color w:val="auto"/>
              </w:rPr>
            </w:pPr>
            <w:r>
              <w:rPr>
                <w:color w:val="auto"/>
                <w:spacing w:val="-3"/>
              </w:rPr>
              <w:t>新建</w:t>
            </w:r>
          </w:p>
        </w:tc>
      </w:tr>
      <w:tr w14:paraId="30CFA0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E48D9E3">
            <w:pPr>
              <w:pStyle w:val="33"/>
              <w:rPr>
                <w:rFonts w:eastAsia="Times New Roman"/>
                <w:color w:val="auto"/>
              </w:rPr>
            </w:pPr>
            <w:r>
              <w:rPr>
                <w:rFonts w:eastAsia="Times New Roman"/>
                <w:color w:val="auto"/>
              </w:rPr>
              <w:t>7</w:t>
            </w:r>
          </w:p>
        </w:tc>
        <w:tc>
          <w:tcPr>
            <w:tcW w:w="625" w:type="pct"/>
            <w:vAlign w:val="center"/>
          </w:tcPr>
          <w:p w14:paraId="6BDB915C">
            <w:pPr>
              <w:pStyle w:val="33"/>
              <w:rPr>
                <w:color w:val="auto"/>
              </w:rPr>
            </w:pPr>
            <w:r>
              <w:rPr>
                <w:color w:val="auto"/>
                <w:spacing w:val="-3"/>
              </w:rPr>
              <w:t>纯水系统</w:t>
            </w:r>
          </w:p>
        </w:tc>
        <w:tc>
          <w:tcPr>
            <w:tcW w:w="3665" w:type="pct"/>
            <w:vAlign w:val="center"/>
          </w:tcPr>
          <w:p w14:paraId="61646397">
            <w:pPr>
              <w:pStyle w:val="33"/>
              <w:rPr>
                <w:color w:val="auto"/>
              </w:rPr>
            </w:pPr>
            <w:r>
              <w:rPr>
                <w:color w:val="auto"/>
              </w:rPr>
              <w:t>生产用去离子水量为</w:t>
            </w:r>
            <w:r>
              <w:rPr>
                <w:rFonts w:eastAsia="Times New Roman"/>
                <w:color w:val="auto"/>
              </w:rPr>
              <w:t>17.4t/h</w:t>
            </w:r>
            <w:r>
              <w:rPr>
                <w:color w:val="auto"/>
              </w:rPr>
              <w:t>，由金桂浆纸现有热电站化水系统统一供给，仅在界区内设置去离子水中继站（配置去离子水储</w:t>
            </w:r>
            <w:r>
              <w:rPr>
                <w:color w:val="auto"/>
                <w:spacing w:val="-6"/>
              </w:rPr>
              <w:t>罐及去离子水泵</w:t>
            </w:r>
            <w:r>
              <w:rPr>
                <w:color w:val="auto"/>
                <w:spacing w:val="-7"/>
              </w:rPr>
              <w:t>），</w:t>
            </w:r>
            <w:r>
              <w:rPr>
                <w:color w:val="auto"/>
                <w:spacing w:val="-6"/>
              </w:rPr>
              <w:t>为各装置生产设备提供去离子水。</w:t>
            </w:r>
          </w:p>
        </w:tc>
        <w:tc>
          <w:tcPr>
            <w:tcW w:w="396" w:type="pct"/>
            <w:vAlign w:val="center"/>
          </w:tcPr>
          <w:p w14:paraId="634D8AB8">
            <w:pPr>
              <w:pStyle w:val="33"/>
              <w:rPr>
                <w:color w:val="auto"/>
              </w:rPr>
            </w:pPr>
            <w:r>
              <w:rPr>
                <w:color w:val="auto"/>
                <w:spacing w:val="-3"/>
              </w:rPr>
              <w:t>新建</w:t>
            </w:r>
          </w:p>
        </w:tc>
      </w:tr>
      <w:tr w14:paraId="495076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283F631D">
            <w:pPr>
              <w:pStyle w:val="33"/>
              <w:rPr>
                <w:rFonts w:eastAsia="Times New Roman"/>
                <w:color w:val="auto"/>
              </w:rPr>
            </w:pPr>
            <w:r>
              <w:rPr>
                <w:rFonts w:eastAsia="Times New Roman"/>
                <w:color w:val="auto"/>
              </w:rPr>
              <w:t>8</w:t>
            </w:r>
          </w:p>
        </w:tc>
        <w:tc>
          <w:tcPr>
            <w:tcW w:w="625" w:type="pct"/>
            <w:vAlign w:val="center"/>
          </w:tcPr>
          <w:p w14:paraId="22CA27CE">
            <w:pPr>
              <w:pStyle w:val="33"/>
              <w:rPr>
                <w:color w:val="auto"/>
              </w:rPr>
            </w:pPr>
            <w:r>
              <w:rPr>
                <w:color w:val="auto"/>
              </w:rPr>
              <w:t>空氮站</w:t>
            </w:r>
          </w:p>
        </w:tc>
        <w:tc>
          <w:tcPr>
            <w:tcW w:w="3665" w:type="pct"/>
            <w:vAlign w:val="center"/>
          </w:tcPr>
          <w:p w14:paraId="4065BC43">
            <w:pPr>
              <w:pStyle w:val="33"/>
              <w:rPr>
                <w:color w:val="auto"/>
              </w:rPr>
            </w:pPr>
            <w:r>
              <w:rPr>
                <w:color w:val="auto"/>
                <w:spacing w:val="-3"/>
              </w:rPr>
              <w:t>新建空氮站，为各装置生产、仪表设备提供工艺空</w:t>
            </w:r>
            <w:r>
              <w:rPr>
                <w:color w:val="auto"/>
              </w:rPr>
              <w:t>气、仪表空</w:t>
            </w:r>
            <w:r>
              <w:rPr>
                <w:color w:val="auto"/>
                <w:spacing w:val="-3"/>
              </w:rPr>
              <w:t>气和氮气，工艺空气、仪表空气和氮气经输气总管分</w:t>
            </w:r>
            <w:r>
              <w:rPr>
                <w:color w:val="auto"/>
              </w:rPr>
              <w:t>别送至各</w:t>
            </w:r>
            <w:r>
              <w:rPr>
                <w:color w:val="auto"/>
                <w:spacing w:val="-1"/>
              </w:rPr>
              <w:t>用气点。空氮站占地面积</w:t>
            </w:r>
            <w:r>
              <w:rPr>
                <w:rFonts w:eastAsia="Times New Roman"/>
                <w:color w:val="auto"/>
                <w:spacing w:val="-1"/>
              </w:rPr>
              <w:t>288m</w:t>
            </w:r>
            <w:r>
              <w:rPr>
                <w:rFonts w:eastAsia="Times New Roman"/>
                <w:color w:val="auto"/>
                <w:spacing w:val="-1"/>
                <w:position w:val="7"/>
                <w:sz w:val="14"/>
                <w:szCs w:val="14"/>
              </w:rPr>
              <w:t>2</w:t>
            </w:r>
            <w:r>
              <w:rPr>
                <w:color w:val="auto"/>
                <w:spacing w:val="-1"/>
              </w:rPr>
              <w:t>。</w:t>
            </w:r>
          </w:p>
        </w:tc>
        <w:tc>
          <w:tcPr>
            <w:tcW w:w="396" w:type="pct"/>
            <w:vAlign w:val="center"/>
          </w:tcPr>
          <w:p w14:paraId="19F4398C">
            <w:pPr>
              <w:pStyle w:val="33"/>
              <w:rPr>
                <w:color w:val="auto"/>
              </w:rPr>
            </w:pPr>
            <w:r>
              <w:rPr>
                <w:color w:val="auto"/>
                <w:spacing w:val="-3"/>
              </w:rPr>
              <w:t>新建</w:t>
            </w:r>
          </w:p>
        </w:tc>
      </w:tr>
      <w:tr w14:paraId="64D8F0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2ED40B53">
            <w:pPr>
              <w:pStyle w:val="33"/>
              <w:rPr>
                <w:rFonts w:eastAsia="Times New Roman"/>
                <w:color w:val="auto"/>
              </w:rPr>
            </w:pPr>
            <w:r>
              <w:rPr>
                <w:rFonts w:eastAsia="Times New Roman"/>
                <w:color w:val="auto"/>
              </w:rPr>
              <w:t>9</w:t>
            </w:r>
          </w:p>
        </w:tc>
        <w:tc>
          <w:tcPr>
            <w:tcW w:w="625" w:type="pct"/>
            <w:vAlign w:val="center"/>
          </w:tcPr>
          <w:p w14:paraId="17C345D9">
            <w:pPr>
              <w:pStyle w:val="33"/>
              <w:rPr>
                <w:color w:val="auto"/>
              </w:rPr>
            </w:pPr>
            <w:r>
              <w:rPr>
                <w:color w:val="auto"/>
                <w:spacing w:val="-3"/>
              </w:rPr>
              <w:t>天然气</w:t>
            </w:r>
          </w:p>
        </w:tc>
        <w:tc>
          <w:tcPr>
            <w:tcW w:w="3665" w:type="pct"/>
            <w:vAlign w:val="center"/>
          </w:tcPr>
          <w:p w14:paraId="395B4F61">
            <w:pPr>
              <w:pStyle w:val="33"/>
              <w:rPr>
                <w:color w:val="auto"/>
              </w:rPr>
            </w:pPr>
            <w:r>
              <w:rPr>
                <w:color w:val="auto"/>
                <w:spacing w:val="-2"/>
              </w:rPr>
              <w:t>新建一座</w:t>
            </w:r>
            <w:r>
              <w:rPr>
                <w:rFonts w:eastAsia="Times New Roman"/>
                <w:color w:val="auto"/>
                <w:spacing w:val="-2"/>
              </w:rPr>
              <w:t>RTO</w:t>
            </w:r>
            <w:r>
              <w:rPr>
                <w:color w:val="auto"/>
                <w:spacing w:val="-2"/>
              </w:rPr>
              <w:t>废气处理系统、封闭式地面火炬均采用天然气</w:t>
            </w:r>
            <w:r>
              <w:rPr>
                <w:color w:val="auto"/>
                <w:spacing w:val="-3"/>
              </w:rPr>
              <w:t>助燃，依托金桂浆纸现有天然气计量站，由管道接入胶</w:t>
            </w:r>
            <w:r>
              <w:rPr>
                <w:color w:val="auto"/>
              </w:rPr>
              <w:t>乳制备</w:t>
            </w:r>
            <w:r>
              <w:rPr>
                <w:color w:val="auto"/>
                <w:spacing w:val="-10"/>
              </w:rPr>
              <w:t>区。</w:t>
            </w:r>
          </w:p>
        </w:tc>
        <w:tc>
          <w:tcPr>
            <w:tcW w:w="396" w:type="pct"/>
            <w:vAlign w:val="center"/>
          </w:tcPr>
          <w:p w14:paraId="7F0102E4">
            <w:pPr>
              <w:pStyle w:val="33"/>
              <w:rPr>
                <w:rFonts w:eastAsia="Times New Roman"/>
                <w:color w:val="auto"/>
              </w:rPr>
            </w:pPr>
            <w:r>
              <w:rPr>
                <w:rFonts w:eastAsia="Times New Roman"/>
                <w:color w:val="auto"/>
              </w:rPr>
              <w:t>/</w:t>
            </w:r>
          </w:p>
        </w:tc>
      </w:tr>
      <w:tr w14:paraId="00A3D5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000" w:type="pct"/>
            <w:gridSpan w:val="4"/>
            <w:vAlign w:val="center"/>
          </w:tcPr>
          <w:p w14:paraId="717DC2B7">
            <w:pPr>
              <w:pStyle w:val="33"/>
              <w:rPr>
                <w:color w:val="auto"/>
              </w:rPr>
            </w:pPr>
            <w:r>
              <w:rPr>
                <w:rFonts w:eastAsia="Times New Roman"/>
                <w:color w:val="auto"/>
                <w:spacing w:val="-5"/>
              </w:rPr>
              <w:t>4</w:t>
            </w:r>
            <w:r>
              <w:rPr>
                <w:color w:val="auto"/>
                <w:spacing w:val="-5"/>
              </w:rPr>
              <w:t>、环保工程</w:t>
            </w:r>
          </w:p>
        </w:tc>
      </w:tr>
      <w:tr w14:paraId="3250D6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284ED67F">
            <w:pPr>
              <w:pStyle w:val="33"/>
              <w:rPr>
                <w:rFonts w:eastAsia="Times New Roman"/>
                <w:color w:val="auto"/>
              </w:rPr>
            </w:pPr>
            <w:r>
              <w:rPr>
                <w:rFonts w:eastAsia="Times New Roman"/>
                <w:color w:val="auto"/>
              </w:rPr>
              <w:t>1</w:t>
            </w:r>
          </w:p>
        </w:tc>
        <w:tc>
          <w:tcPr>
            <w:tcW w:w="4687" w:type="pct"/>
            <w:gridSpan w:val="3"/>
            <w:vAlign w:val="center"/>
          </w:tcPr>
          <w:p w14:paraId="73878D9E">
            <w:pPr>
              <w:pStyle w:val="33"/>
              <w:rPr>
                <w:color w:val="auto"/>
              </w:rPr>
            </w:pPr>
            <w:r>
              <w:rPr>
                <w:color w:val="auto"/>
                <w:spacing w:val="-2"/>
              </w:rPr>
              <w:t>废气处理</w:t>
            </w:r>
          </w:p>
        </w:tc>
      </w:tr>
      <w:tr w14:paraId="235543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313" w:type="pct"/>
            <w:vAlign w:val="center"/>
          </w:tcPr>
          <w:p w14:paraId="62489F36">
            <w:pPr>
              <w:pStyle w:val="33"/>
              <w:rPr>
                <w:rFonts w:eastAsia="Times New Roman"/>
                <w:color w:val="auto"/>
              </w:rPr>
            </w:pPr>
            <w:r>
              <w:rPr>
                <w:rFonts w:eastAsia="Times New Roman"/>
                <w:color w:val="auto"/>
                <w:spacing w:val="-8"/>
              </w:rPr>
              <w:t>1.1</w:t>
            </w:r>
          </w:p>
        </w:tc>
        <w:tc>
          <w:tcPr>
            <w:tcW w:w="625" w:type="pct"/>
            <w:vAlign w:val="center"/>
          </w:tcPr>
          <w:p w14:paraId="1710B7D5">
            <w:pPr>
              <w:pStyle w:val="33"/>
              <w:rPr>
                <w:color w:val="auto"/>
              </w:rPr>
            </w:pPr>
            <w:r>
              <w:rPr>
                <w:color w:val="auto"/>
                <w:spacing w:val="-3"/>
              </w:rPr>
              <w:t>工艺废气</w:t>
            </w:r>
          </w:p>
        </w:tc>
        <w:tc>
          <w:tcPr>
            <w:tcW w:w="3665" w:type="pct"/>
            <w:vMerge w:val="restart"/>
            <w:tcBorders>
              <w:bottom w:val="nil"/>
            </w:tcBorders>
            <w:vAlign w:val="center"/>
          </w:tcPr>
          <w:p w14:paraId="7769185A">
            <w:pPr>
              <w:pStyle w:val="33"/>
              <w:rPr>
                <w:color w:val="auto"/>
              </w:rPr>
            </w:pPr>
            <w:r>
              <w:rPr>
                <w:rFonts w:hint="eastAsia"/>
                <w:color w:val="auto"/>
              </w:rPr>
              <w:t>①</w:t>
            </w:r>
            <w:r>
              <w:rPr>
                <w:color w:val="auto"/>
              </w:rPr>
              <w:t>工艺废气（包括氮封置换废气、脱气废气、过滤废气、灌装废气）、储罐废气、装卸废气、污水处理站废气、危废间废气等均引入一座三燃室RTO作燃烧处理，处理后的尾气经活性炭吸附装置净化处理后通过25m排气筒高空排放，排气筒设1套在线监测装置；</w:t>
            </w:r>
            <w:r>
              <w:rPr>
                <w:rFonts w:hint="eastAsia"/>
                <w:color w:val="auto"/>
              </w:rPr>
              <w:t>②</w:t>
            </w:r>
            <w:r>
              <w:rPr>
                <w:color w:val="auto"/>
              </w:rPr>
              <w:t>废气入炉前设一集风箱均匀压力与气量。</w:t>
            </w:r>
          </w:p>
        </w:tc>
        <w:tc>
          <w:tcPr>
            <w:tcW w:w="396" w:type="pct"/>
            <w:vMerge w:val="restart"/>
            <w:tcBorders>
              <w:bottom w:val="nil"/>
            </w:tcBorders>
            <w:vAlign w:val="center"/>
          </w:tcPr>
          <w:p w14:paraId="15D83AD2">
            <w:pPr>
              <w:pStyle w:val="33"/>
              <w:rPr>
                <w:color w:val="auto"/>
              </w:rPr>
            </w:pPr>
            <w:r>
              <w:rPr>
                <w:color w:val="auto"/>
                <w:spacing w:val="-3"/>
              </w:rPr>
              <w:t>新建</w:t>
            </w:r>
          </w:p>
        </w:tc>
      </w:tr>
      <w:tr w14:paraId="489CE4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8FE5091">
            <w:pPr>
              <w:pStyle w:val="33"/>
              <w:rPr>
                <w:rFonts w:eastAsia="Times New Roman"/>
                <w:color w:val="auto"/>
              </w:rPr>
            </w:pPr>
            <w:r>
              <w:rPr>
                <w:rFonts w:eastAsia="Times New Roman"/>
                <w:color w:val="auto"/>
                <w:spacing w:val="-8"/>
              </w:rPr>
              <w:t>1.2</w:t>
            </w:r>
          </w:p>
        </w:tc>
        <w:tc>
          <w:tcPr>
            <w:tcW w:w="625" w:type="pct"/>
            <w:vAlign w:val="center"/>
          </w:tcPr>
          <w:p w14:paraId="6F6587E4">
            <w:pPr>
              <w:pStyle w:val="33"/>
              <w:rPr>
                <w:color w:val="auto"/>
              </w:rPr>
            </w:pPr>
            <w:r>
              <w:rPr>
                <w:color w:val="auto"/>
                <w:spacing w:val="-2"/>
              </w:rPr>
              <w:t>储罐废气</w:t>
            </w:r>
          </w:p>
        </w:tc>
        <w:tc>
          <w:tcPr>
            <w:tcW w:w="3665" w:type="pct"/>
            <w:vMerge w:val="continue"/>
            <w:tcBorders>
              <w:top w:val="nil"/>
              <w:bottom w:val="nil"/>
            </w:tcBorders>
            <w:vAlign w:val="center"/>
          </w:tcPr>
          <w:p w14:paraId="251B1F08">
            <w:pPr>
              <w:pStyle w:val="33"/>
              <w:rPr>
                <w:color w:val="auto"/>
              </w:rPr>
            </w:pPr>
          </w:p>
        </w:tc>
        <w:tc>
          <w:tcPr>
            <w:tcW w:w="396" w:type="pct"/>
            <w:vMerge w:val="continue"/>
            <w:tcBorders>
              <w:top w:val="nil"/>
              <w:bottom w:val="nil"/>
            </w:tcBorders>
            <w:vAlign w:val="center"/>
          </w:tcPr>
          <w:p w14:paraId="1C822A49">
            <w:pPr>
              <w:pStyle w:val="33"/>
              <w:rPr>
                <w:color w:val="auto"/>
              </w:rPr>
            </w:pPr>
          </w:p>
        </w:tc>
      </w:tr>
      <w:tr w14:paraId="130E94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5FF5B82">
            <w:pPr>
              <w:pStyle w:val="33"/>
              <w:rPr>
                <w:rFonts w:eastAsia="Times New Roman"/>
                <w:color w:val="auto"/>
              </w:rPr>
            </w:pPr>
            <w:r>
              <w:rPr>
                <w:rFonts w:eastAsia="Times New Roman"/>
                <w:color w:val="auto"/>
                <w:spacing w:val="-8"/>
              </w:rPr>
              <w:t>1.3</w:t>
            </w:r>
          </w:p>
        </w:tc>
        <w:tc>
          <w:tcPr>
            <w:tcW w:w="625" w:type="pct"/>
            <w:vAlign w:val="center"/>
          </w:tcPr>
          <w:p w14:paraId="70665CF2">
            <w:pPr>
              <w:pStyle w:val="33"/>
              <w:rPr>
                <w:color w:val="auto"/>
              </w:rPr>
            </w:pPr>
            <w:r>
              <w:rPr>
                <w:color w:val="auto"/>
                <w:spacing w:val="-2"/>
              </w:rPr>
              <w:t>装卸废气</w:t>
            </w:r>
          </w:p>
        </w:tc>
        <w:tc>
          <w:tcPr>
            <w:tcW w:w="3665" w:type="pct"/>
            <w:vMerge w:val="continue"/>
            <w:tcBorders>
              <w:top w:val="nil"/>
              <w:bottom w:val="nil"/>
            </w:tcBorders>
            <w:vAlign w:val="center"/>
          </w:tcPr>
          <w:p w14:paraId="22089E23">
            <w:pPr>
              <w:pStyle w:val="33"/>
              <w:rPr>
                <w:color w:val="auto"/>
              </w:rPr>
            </w:pPr>
          </w:p>
        </w:tc>
        <w:tc>
          <w:tcPr>
            <w:tcW w:w="396" w:type="pct"/>
            <w:vMerge w:val="continue"/>
            <w:tcBorders>
              <w:top w:val="nil"/>
              <w:bottom w:val="nil"/>
            </w:tcBorders>
            <w:vAlign w:val="center"/>
          </w:tcPr>
          <w:p w14:paraId="3FA75FAF">
            <w:pPr>
              <w:pStyle w:val="33"/>
              <w:rPr>
                <w:color w:val="auto"/>
              </w:rPr>
            </w:pPr>
          </w:p>
        </w:tc>
      </w:tr>
      <w:tr w14:paraId="4C6284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3165556A">
            <w:pPr>
              <w:pStyle w:val="33"/>
              <w:rPr>
                <w:rFonts w:eastAsia="Times New Roman"/>
                <w:color w:val="auto"/>
              </w:rPr>
            </w:pPr>
            <w:r>
              <w:rPr>
                <w:rFonts w:eastAsia="Times New Roman"/>
                <w:color w:val="auto"/>
                <w:spacing w:val="-8"/>
              </w:rPr>
              <w:t>1.4</w:t>
            </w:r>
          </w:p>
        </w:tc>
        <w:tc>
          <w:tcPr>
            <w:tcW w:w="625" w:type="pct"/>
            <w:vAlign w:val="center"/>
          </w:tcPr>
          <w:p w14:paraId="178A90D6">
            <w:pPr>
              <w:pStyle w:val="33"/>
              <w:rPr>
                <w:color w:val="auto"/>
              </w:rPr>
            </w:pPr>
            <w:r>
              <w:rPr>
                <w:color w:val="auto"/>
                <w:spacing w:val="-3"/>
              </w:rPr>
              <w:t>危废间废</w:t>
            </w:r>
            <w:r>
              <w:rPr>
                <w:color w:val="auto"/>
              </w:rPr>
              <w:t>气</w:t>
            </w:r>
          </w:p>
        </w:tc>
        <w:tc>
          <w:tcPr>
            <w:tcW w:w="3665" w:type="pct"/>
            <w:vMerge w:val="continue"/>
            <w:tcBorders>
              <w:top w:val="nil"/>
              <w:bottom w:val="nil"/>
            </w:tcBorders>
            <w:vAlign w:val="center"/>
          </w:tcPr>
          <w:p w14:paraId="39E3269A">
            <w:pPr>
              <w:pStyle w:val="33"/>
              <w:rPr>
                <w:color w:val="auto"/>
              </w:rPr>
            </w:pPr>
          </w:p>
        </w:tc>
        <w:tc>
          <w:tcPr>
            <w:tcW w:w="396" w:type="pct"/>
            <w:vMerge w:val="continue"/>
            <w:tcBorders>
              <w:top w:val="nil"/>
              <w:bottom w:val="nil"/>
            </w:tcBorders>
            <w:vAlign w:val="center"/>
          </w:tcPr>
          <w:p w14:paraId="5A4CB903">
            <w:pPr>
              <w:pStyle w:val="33"/>
              <w:rPr>
                <w:color w:val="auto"/>
              </w:rPr>
            </w:pPr>
          </w:p>
        </w:tc>
      </w:tr>
      <w:tr w14:paraId="359853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A8114BC">
            <w:pPr>
              <w:pStyle w:val="33"/>
              <w:rPr>
                <w:rFonts w:eastAsia="Times New Roman"/>
                <w:color w:val="auto"/>
              </w:rPr>
            </w:pPr>
            <w:r>
              <w:rPr>
                <w:rFonts w:eastAsia="Times New Roman"/>
                <w:color w:val="auto"/>
                <w:spacing w:val="-8"/>
              </w:rPr>
              <w:t>1.5</w:t>
            </w:r>
          </w:p>
        </w:tc>
        <w:tc>
          <w:tcPr>
            <w:tcW w:w="625" w:type="pct"/>
            <w:vAlign w:val="center"/>
          </w:tcPr>
          <w:p w14:paraId="45055706">
            <w:pPr>
              <w:pStyle w:val="33"/>
              <w:rPr>
                <w:color w:val="auto"/>
              </w:rPr>
            </w:pPr>
            <w:r>
              <w:rPr>
                <w:color w:val="auto"/>
                <w:spacing w:val="-3"/>
              </w:rPr>
              <w:t>污水处理站废气</w:t>
            </w:r>
          </w:p>
        </w:tc>
        <w:tc>
          <w:tcPr>
            <w:tcW w:w="3665" w:type="pct"/>
            <w:vMerge w:val="continue"/>
            <w:tcBorders>
              <w:top w:val="nil"/>
            </w:tcBorders>
            <w:vAlign w:val="center"/>
          </w:tcPr>
          <w:p w14:paraId="78E85C37">
            <w:pPr>
              <w:pStyle w:val="33"/>
              <w:rPr>
                <w:color w:val="auto"/>
              </w:rPr>
            </w:pPr>
          </w:p>
        </w:tc>
        <w:tc>
          <w:tcPr>
            <w:tcW w:w="396" w:type="pct"/>
            <w:vMerge w:val="continue"/>
            <w:tcBorders>
              <w:top w:val="nil"/>
            </w:tcBorders>
            <w:vAlign w:val="center"/>
          </w:tcPr>
          <w:p w14:paraId="05269E6C">
            <w:pPr>
              <w:pStyle w:val="33"/>
              <w:rPr>
                <w:color w:val="auto"/>
              </w:rPr>
            </w:pPr>
          </w:p>
        </w:tc>
      </w:tr>
      <w:tr w14:paraId="0A5D84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2FBCADAF">
            <w:pPr>
              <w:pStyle w:val="33"/>
              <w:rPr>
                <w:rFonts w:eastAsia="Times New Roman"/>
                <w:color w:val="auto"/>
              </w:rPr>
            </w:pPr>
            <w:r>
              <w:rPr>
                <w:rFonts w:eastAsia="Times New Roman"/>
                <w:color w:val="auto"/>
                <w:spacing w:val="-8"/>
              </w:rPr>
              <w:t>1.6</w:t>
            </w:r>
          </w:p>
        </w:tc>
        <w:tc>
          <w:tcPr>
            <w:tcW w:w="625" w:type="pct"/>
            <w:vAlign w:val="center"/>
          </w:tcPr>
          <w:p w14:paraId="745FEA76">
            <w:pPr>
              <w:pStyle w:val="33"/>
              <w:rPr>
                <w:color w:val="auto"/>
              </w:rPr>
            </w:pPr>
            <w:r>
              <w:rPr>
                <w:color w:val="auto"/>
                <w:spacing w:val="-2"/>
              </w:rPr>
              <w:t>无组织废气控制措</w:t>
            </w:r>
            <w:r>
              <w:rPr>
                <w:color w:val="auto"/>
              </w:rPr>
              <w:t>施</w:t>
            </w:r>
          </w:p>
        </w:tc>
        <w:tc>
          <w:tcPr>
            <w:tcW w:w="3665" w:type="pct"/>
            <w:vAlign w:val="center"/>
          </w:tcPr>
          <w:p w14:paraId="1EB2B38B">
            <w:pPr>
              <w:pStyle w:val="33"/>
              <w:rPr>
                <w:color w:val="auto"/>
              </w:rPr>
            </w:pPr>
            <w:r>
              <w:rPr>
                <w:color w:val="auto"/>
              </w:rPr>
              <w:t>采用技术先进、密闭性能好的生产设备；固体物料采用真空进料；有机液体原料采用抽真空、高位差或无泄漏物料泵等方式投料；装卸车区采取全密闭、液下装载，采用气相平衡管技术；污水处理站调节池、生化池等易产生异味的构筑物均采用加盖密封；苯乙烯、丙烯腈采用內浮顶罐，丙烯酸、成品胶乳罐等采用固定顶+氮封。建立全厂LDAR（泄漏检测与修复）系统，加强装置生产、输送和储存过程挥发性有机物泄漏的监测和监管，对泄漏率超过标准的进行维修或更换，对项目运行全周期进行挥发性有机物无组织排放控制。</w:t>
            </w:r>
          </w:p>
        </w:tc>
        <w:tc>
          <w:tcPr>
            <w:tcW w:w="396" w:type="pct"/>
            <w:vAlign w:val="center"/>
          </w:tcPr>
          <w:p w14:paraId="489EACF1">
            <w:pPr>
              <w:pStyle w:val="33"/>
              <w:rPr>
                <w:color w:val="auto"/>
              </w:rPr>
            </w:pPr>
            <w:r>
              <w:rPr>
                <w:color w:val="auto"/>
                <w:spacing w:val="-3"/>
              </w:rPr>
              <w:t>新建</w:t>
            </w:r>
          </w:p>
        </w:tc>
      </w:tr>
      <w:tr w14:paraId="443DBA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0AD17A5">
            <w:pPr>
              <w:pStyle w:val="33"/>
              <w:rPr>
                <w:rFonts w:eastAsia="Times New Roman"/>
                <w:color w:val="auto"/>
              </w:rPr>
            </w:pPr>
            <w:r>
              <w:rPr>
                <w:rFonts w:eastAsia="Times New Roman"/>
                <w:color w:val="auto"/>
              </w:rPr>
              <w:t>2</w:t>
            </w:r>
          </w:p>
        </w:tc>
        <w:tc>
          <w:tcPr>
            <w:tcW w:w="4687" w:type="pct"/>
            <w:gridSpan w:val="3"/>
            <w:vAlign w:val="center"/>
          </w:tcPr>
          <w:p w14:paraId="4B70DF92">
            <w:pPr>
              <w:pStyle w:val="33"/>
              <w:rPr>
                <w:color w:val="auto"/>
              </w:rPr>
            </w:pPr>
            <w:r>
              <w:rPr>
                <w:color w:val="auto"/>
                <w:spacing w:val="-2"/>
              </w:rPr>
              <w:t>废水处理</w:t>
            </w:r>
          </w:p>
        </w:tc>
      </w:tr>
      <w:tr w14:paraId="20507A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313" w:type="pct"/>
            <w:vAlign w:val="center"/>
          </w:tcPr>
          <w:p w14:paraId="0F2BB81B">
            <w:pPr>
              <w:pStyle w:val="33"/>
              <w:rPr>
                <w:rFonts w:eastAsia="Times New Roman"/>
                <w:color w:val="auto"/>
              </w:rPr>
            </w:pPr>
            <w:r>
              <w:rPr>
                <w:rFonts w:eastAsia="Times New Roman"/>
                <w:color w:val="auto"/>
                <w:spacing w:val="-2"/>
              </w:rPr>
              <w:t>2.1</w:t>
            </w:r>
          </w:p>
        </w:tc>
        <w:tc>
          <w:tcPr>
            <w:tcW w:w="625" w:type="pct"/>
            <w:vAlign w:val="center"/>
          </w:tcPr>
          <w:p w14:paraId="1B428C59">
            <w:pPr>
              <w:pStyle w:val="33"/>
              <w:rPr>
                <w:color w:val="auto"/>
              </w:rPr>
            </w:pPr>
            <w:r>
              <w:rPr>
                <w:color w:val="auto"/>
                <w:spacing w:val="-3"/>
              </w:rPr>
              <w:t>污水处理</w:t>
            </w:r>
            <w:r>
              <w:rPr>
                <w:color w:val="auto"/>
              </w:rPr>
              <w:t>站</w:t>
            </w:r>
          </w:p>
        </w:tc>
        <w:tc>
          <w:tcPr>
            <w:tcW w:w="3665" w:type="pct"/>
            <w:vAlign w:val="center"/>
          </w:tcPr>
          <w:p w14:paraId="630EF012">
            <w:pPr>
              <w:pStyle w:val="33"/>
              <w:rPr>
                <w:color w:val="auto"/>
              </w:rPr>
            </w:pPr>
            <w:r>
              <w:rPr>
                <w:color w:val="auto"/>
                <w:spacing w:val="-3"/>
              </w:rPr>
              <w:t>生产工艺废水（洗釜废水、汽提冷凝废水）、循环</w:t>
            </w:r>
            <w:r>
              <w:rPr>
                <w:color w:val="auto"/>
              </w:rPr>
              <w:t>排污水、初</w:t>
            </w:r>
            <w:r>
              <w:rPr>
                <w:color w:val="auto"/>
                <w:spacing w:val="-3"/>
              </w:rPr>
              <w:t>期雨水、地面冲洗废水、分析化验废水、生活污水等由管道收集后，排入配套建设的污水处理站进行处理，污水处理站采用</w:t>
            </w:r>
            <w:r>
              <w:rPr>
                <w:color w:val="auto"/>
                <w:spacing w:val="-2"/>
              </w:rPr>
              <w:t>“调节</w:t>
            </w:r>
            <w:r>
              <w:rPr>
                <w:rFonts w:eastAsia="Times New Roman"/>
                <w:color w:val="auto"/>
                <w:spacing w:val="-2"/>
              </w:rPr>
              <w:t>+</w:t>
            </w:r>
            <w:r>
              <w:rPr>
                <w:color w:val="auto"/>
                <w:spacing w:val="-2"/>
              </w:rPr>
              <w:t>芬顿</w:t>
            </w:r>
            <w:r>
              <w:rPr>
                <w:rFonts w:eastAsia="Times New Roman"/>
                <w:color w:val="auto"/>
                <w:spacing w:val="-2"/>
              </w:rPr>
              <w:t>+</w:t>
            </w:r>
            <w:r>
              <w:rPr>
                <w:color w:val="auto"/>
                <w:spacing w:val="-2"/>
              </w:rPr>
              <w:t>厌氧</w:t>
            </w:r>
            <w:r>
              <w:rPr>
                <w:rFonts w:eastAsia="Times New Roman"/>
                <w:color w:val="auto"/>
                <w:spacing w:val="-2"/>
              </w:rPr>
              <w:t>+</w:t>
            </w:r>
            <w:r>
              <w:rPr>
                <w:color w:val="auto"/>
                <w:spacing w:val="-2"/>
              </w:rPr>
              <w:t>缺氧</w:t>
            </w:r>
            <w:r>
              <w:rPr>
                <w:rFonts w:eastAsia="Times New Roman"/>
                <w:color w:val="auto"/>
                <w:spacing w:val="-2"/>
              </w:rPr>
              <w:t>+</w:t>
            </w:r>
            <w:r>
              <w:rPr>
                <w:color w:val="auto"/>
                <w:spacing w:val="-2"/>
              </w:rPr>
              <w:t>好氧生化</w:t>
            </w:r>
            <w:r>
              <w:rPr>
                <w:rFonts w:eastAsia="Times New Roman"/>
                <w:color w:val="auto"/>
                <w:spacing w:val="-2"/>
              </w:rPr>
              <w:t>+</w:t>
            </w:r>
            <w:r>
              <w:rPr>
                <w:color w:val="auto"/>
                <w:spacing w:val="-2"/>
              </w:rPr>
              <w:t>沉淀”工艺，处理规模为</w:t>
            </w:r>
            <w:r>
              <w:rPr>
                <w:rFonts w:eastAsia="Times New Roman"/>
                <w:color w:val="auto"/>
                <w:spacing w:val="-1"/>
              </w:rPr>
              <w:t>600m</w:t>
            </w:r>
            <w:r>
              <w:rPr>
                <w:rFonts w:eastAsia="Times New Roman"/>
                <w:color w:val="auto"/>
                <w:spacing w:val="-1"/>
                <w:position w:val="7"/>
                <w:sz w:val="14"/>
                <w:szCs w:val="14"/>
              </w:rPr>
              <w:t>3</w:t>
            </w:r>
            <w:r>
              <w:rPr>
                <w:rFonts w:eastAsia="Times New Roman"/>
                <w:color w:val="auto"/>
                <w:spacing w:val="-1"/>
              </w:rPr>
              <w:t>/d</w:t>
            </w:r>
            <w:r>
              <w:rPr>
                <w:color w:val="auto"/>
                <w:spacing w:val="-1"/>
              </w:rPr>
              <w:t>，处理后的尾水与现有工程废水混合达标后，经现有</w:t>
            </w:r>
            <w:r>
              <w:rPr>
                <w:color w:val="auto"/>
                <w:spacing w:val="-2"/>
              </w:rPr>
              <w:t>排污口深海排放。</w:t>
            </w:r>
          </w:p>
        </w:tc>
        <w:tc>
          <w:tcPr>
            <w:tcW w:w="396" w:type="pct"/>
            <w:vAlign w:val="center"/>
          </w:tcPr>
          <w:p w14:paraId="4F1CD627">
            <w:pPr>
              <w:pStyle w:val="33"/>
              <w:rPr>
                <w:color w:val="auto"/>
              </w:rPr>
            </w:pPr>
            <w:r>
              <w:rPr>
                <w:color w:val="auto"/>
                <w:spacing w:val="-3"/>
              </w:rPr>
              <w:t>新建</w:t>
            </w:r>
          </w:p>
        </w:tc>
      </w:tr>
      <w:tr w14:paraId="4CF772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A755C6C">
            <w:pPr>
              <w:pStyle w:val="33"/>
              <w:rPr>
                <w:rFonts w:eastAsia="Times New Roman"/>
                <w:color w:val="auto"/>
              </w:rPr>
            </w:pPr>
            <w:r>
              <w:rPr>
                <w:rFonts w:eastAsia="Times New Roman"/>
                <w:color w:val="auto"/>
                <w:spacing w:val="-2"/>
              </w:rPr>
              <w:t>2.2</w:t>
            </w:r>
          </w:p>
        </w:tc>
        <w:tc>
          <w:tcPr>
            <w:tcW w:w="625" w:type="pct"/>
            <w:vAlign w:val="center"/>
          </w:tcPr>
          <w:p w14:paraId="13677740">
            <w:pPr>
              <w:pStyle w:val="33"/>
              <w:rPr>
                <w:color w:val="auto"/>
              </w:rPr>
            </w:pPr>
            <w:r>
              <w:rPr>
                <w:color w:val="auto"/>
                <w:spacing w:val="-2"/>
              </w:rPr>
              <w:t>初期雨水</w:t>
            </w:r>
            <w:r>
              <w:rPr>
                <w:color w:val="auto"/>
              </w:rPr>
              <w:t>池</w:t>
            </w:r>
          </w:p>
        </w:tc>
        <w:tc>
          <w:tcPr>
            <w:tcW w:w="3665" w:type="pct"/>
            <w:vAlign w:val="center"/>
          </w:tcPr>
          <w:p w14:paraId="035687D4">
            <w:pPr>
              <w:pStyle w:val="33"/>
              <w:rPr>
                <w:color w:val="auto"/>
              </w:rPr>
            </w:pPr>
            <w:r>
              <w:rPr>
                <w:color w:val="auto"/>
              </w:rPr>
              <w:t>新建一座</w:t>
            </w:r>
            <w:r>
              <w:rPr>
                <w:rFonts w:eastAsia="Times New Roman"/>
                <w:color w:val="auto"/>
              </w:rPr>
              <w:t>1000m</w:t>
            </w:r>
            <w:r>
              <w:rPr>
                <w:rFonts w:eastAsia="Times New Roman"/>
                <w:color w:val="auto"/>
                <w:position w:val="7"/>
                <w:sz w:val="14"/>
                <w:szCs w:val="14"/>
              </w:rPr>
              <w:t>3</w:t>
            </w:r>
            <w:r>
              <w:rPr>
                <w:color w:val="auto"/>
              </w:rPr>
              <w:t>初期雨水池。</w:t>
            </w:r>
          </w:p>
        </w:tc>
        <w:tc>
          <w:tcPr>
            <w:tcW w:w="396" w:type="pct"/>
            <w:vAlign w:val="center"/>
          </w:tcPr>
          <w:p w14:paraId="29A57E9F">
            <w:pPr>
              <w:pStyle w:val="33"/>
              <w:rPr>
                <w:color w:val="auto"/>
              </w:rPr>
            </w:pPr>
            <w:r>
              <w:rPr>
                <w:color w:val="auto"/>
                <w:spacing w:val="-3"/>
              </w:rPr>
              <w:t>新建</w:t>
            </w:r>
          </w:p>
        </w:tc>
      </w:tr>
      <w:tr w14:paraId="0845AB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4BFDEDE9">
            <w:pPr>
              <w:pStyle w:val="33"/>
              <w:rPr>
                <w:rFonts w:eastAsia="Times New Roman"/>
                <w:color w:val="auto"/>
              </w:rPr>
            </w:pPr>
            <w:r>
              <w:rPr>
                <w:rFonts w:eastAsia="Times New Roman"/>
                <w:color w:val="auto"/>
              </w:rPr>
              <w:t>3</w:t>
            </w:r>
          </w:p>
        </w:tc>
        <w:tc>
          <w:tcPr>
            <w:tcW w:w="4687" w:type="pct"/>
            <w:gridSpan w:val="3"/>
            <w:vAlign w:val="center"/>
          </w:tcPr>
          <w:p w14:paraId="679CDFE1">
            <w:pPr>
              <w:pStyle w:val="33"/>
              <w:rPr>
                <w:color w:val="auto"/>
              </w:rPr>
            </w:pPr>
            <w:r>
              <w:rPr>
                <w:color w:val="auto"/>
                <w:spacing w:val="-5"/>
              </w:rPr>
              <w:t>固体废物</w:t>
            </w:r>
          </w:p>
        </w:tc>
      </w:tr>
      <w:tr w14:paraId="021D6E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3D43BBB">
            <w:pPr>
              <w:pStyle w:val="33"/>
              <w:rPr>
                <w:rFonts w:eastAsia="Times New Roman"/>
                <w:color w:val="auto"/>
              </w:rPr>
            </w:pPr>
            <w:r>
              <w:rPr>
                <w:rFonts w:eastAsia="Times New Roman"/>
                <w:color w:val="auto"/>
                <w:spacing w:val="-3"/>
              </w:rPr>
              <w:t>3.1</w:t>
            </w:r>
          </w:p>
        </w:tc>
        <w:tc>
          <w:tcPr>
            <w:tcW w:w="625" w:type="pct"/>
            <w:vAlign w:val="center"/>
          </w:tcPr>
          <w:p w14:paraId="30047583">
            <w:pPr>
              <w:pStyle w:val="33"/>
              <w:rPr>
                <w:color w:val="auto"/>
              </w:rPr>
            </w:pPr>
            <w:r>
              <w:rPr>
                <w:color w:val="auto"/>
                <w:spacing w:val="-3"/>
              </w:rPr>
              <w:t>一般固体</w:t>
            </w:r>
            <w:r>
              <w:rPr>
                <w:color w:val="auto"/>
                <w:spacing w:val="-2"/>
              </w:rPr>
              <w:t>废物暂存</w:t>
            </w:r>
            <w:r>
              <w:rPr>
                <w:color w:val="auto"/>
              </w:rPr>
              <w:t>场</w:t>
            </w:r>
          </w:p>
        </w:tc>
        <w:tc>
          <w:tcPr>
            <w:tcW w:w="3665" w:type="pct"/>
            <w:vAlign w:val="center"/>
          </w:tcPr>
          <w:p w14:paraId="361CF0BE">
            <w:pPr>
              <w:pStyle w:val="33"/>
              <w:rPr>
                <w:color w:val="auto"/>
              </w:rPr>
            </w:pPr>
            <w:r>
              <w:rPr>
                <w:color w:val="auto"/>
                <w:spacing w:val="-5"/>
              </w:rPr>
              <w:t>新建一座</w:t>
            </w:r>
            <w:r>
              <w:rPr>
                <w:rFonts w:eastAsia="Times New Roman"/>
                <w:color w:val="auto"/>
                <w:spacing w:val="-5"/>
              </w:rPr>
              <w:t>30m</w:t>
            </w:r>
            <w:r>
              <w:rPr>
                <w:rFonts w:eastAsia="Times New Roman"/>
                <w:color w:val="auto"/>
                <w:spacing w:val="-5"/>
                <w:position w:val="7"/>
                <w:sz w:val="14"/>
                <w:szCs w:val="14"/>
              </w:rPr>
              <w:t>2</w:t>
            </w:r>
            <w:r>
              <w:rPr>
                <w:color w:val="auto"/>
                <w:spacing w:val="-5"/>
              </w:rPr>
              <w:t>的一般固废仓库。</w:t>
            </w:r>
          </w:p>
        </w:tc>
        <w:tc>
          <w:tcPr>
            <w:tcW w:w="396" w:type="pct"/>
            <w:vAlign w:val="center"/>
          </w:tcPr>
          <w:p w14:paraId="0F4C6DD0">
            <w:pPr>
              <w:pStyle w:val="33"/>
              <w:rPr>
                <w:color w:val="auto"/>
              </w:rPr>
            </w:pPr>
            <w:r>
              <w:rPr>
                <w:color w:val="auto"/>
                <w:spacing w:val="-3"/>
              </w:rPr>
              <w:t>新建</w:t>
            </w:r>
          </w:p>
        </w:tc>
      </w:tr>
      <w:tr w14:paraId="121A87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3E1D3A1E">
            <w:pPr>
              <w:pStyle w:val="33"/>
              <w:rPr>
                <w:rFonts w:eastAsia="Times New Roman"/>
                <w:color w:val="auto"/>
              </w:rPr>
            </w:pPr>
            <w:r>
              <w:rPr>
                <w:rFonts w:eastAsia="Times New Roman"/>
                <w:color w:val="auto"/>
                <w:spacing w:val="-3"/>
              </w:rPr>
              <w:t>3.2</w:t>
            </w:r>
          </w:p>
        </w:tc>
        <w:tc>
          <w:tcPr>
            <w:tcW w:w="625" w:type="pct"/>
            <w:vAlign w:val="center"/>
          </w:tcPr>
          <w:p w14:paraId="024B68F2">
            <w:pPr>
              <w:pStyle w:val="33"/>
              <w:rPr>
                <w:color w:val="auto"/>
              </w:rPr>
            </w:pPr>
            <w:r>
              <w:rPr>
                <w:color w:val="auto"/>
                <w:spacing w:val="-3"/>
              </w:rPr>
              <w:t>危废暂存</w:t>
            </w:r>
            <w:r>
              <w:rPr>
                <w:color w:val="auto"/>
              </w:rPr>
              <w:t>场</w:t>
            </w:r>
          </w:p>
        </w:tc>
        <w:tc>
          <w:tcPr>
            <w:tcW w:w="3665" w:type="pct"/>
            <w:vAlign w:val="center"/>
          </w:tcPr>
          <w:p w14:paraId="2205C071">
            <w:pPr>
              <w:pStyle w:val="33"/>
              <w:rPr>
                <w:color w:val="auto"/>
              </w:rPr>
            </w:pPr>
            <w:r>
              <w:rPr>
                <w:color w:val="auto"/>
              </w:rPr>
              <w:t>新建一座</w:t>
            </w:r>
            <w:r>
              <w:rPr>
                <w:rFonts w:eastAsia="Times New Roman"/>
                <w:color w:val="auto"/>
              </w:rPr>
              <w:t>60m</w:t>
            </w:r>
            <w:r>
              <w:rPr>
                <w:rFonts w:eastAsia="Times New Roman"/>
                <w:color w:val="auto"/>
                <w:position w:val="7"/>
                <w:sz w:val="14"/>
                <w:szCs w:val="14"/>
              </w:rPr>
              <w:t>2</w:t>
            </w:r>
            <w:r>
              <w:rPr>
                <w:color w:val="auto"/>
              </w:rPr>
              <w:t>的危险废物暂存仓库。</w:t>
            </w:r>
          </w:p>
        </w:tc>
        <w:tc>
          <w:tcPr>
            <w:tcW w:w="396" w:type="pct"/>
            <w:vAlign w:val="center"/>
          </w:tcPr>
          <w:p w14:paraId="51B46F31">
            <w:pPr>
              <w:pStyle w:val="33"/>
              <w:rPr>
                <w:color w:val="auto"/>
              </w:rPr>
            </w:pPr>
            <w:r>
              <w:rPr>
                <w:color w:val="auto"/>
                <w:spacing w:val="-3"/>
              </w:rPr>
              <w:t>新建</w:t>
            </w:r>
          </w:p>
        </w:tc>
      </w:tr>
      <w:tr w14:paraId="0DF66DF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1EDAF3B1">
            <w:pPr>
              <w:pStyle w:val="33"/>
              <w:rPr>
                <w:rFonts w:eastAsia="Times New Roman"/>
                <w:color w:val="auto"/>
              </w:rPr>
            </w:pPr>
            <w:r>
              <w:rPr>
                <w:rFonts w:eastAsia="Times New Roman"/>
                <w:color w:val="auto"/>
              </w:rPr>
              <w:t>4</w:t>
            </w:r>
          </w:p>
        </w:tc>
        <w:tc>
          <w:tcPr>
            <w:tcW w:w="625" w:type="pct"/>
            <w:vAlign w:val="center"/>
          </w:tcPr>
          <w:p w14:paraId="50C38EF0">
            <w:pPr>
              <w:pStyle w:val="33"/>
              <w:rPr>
                <w:color w:val="auto"/>
              </w:rPr>
            </w:pPr>
            <w:r>
              <w:rPr>
                <w:color w:val="auto"/>
                <w:spacing w:val="-3"/>
              </w:rPr>
              <w:t>地下水防渗工程</w:t>
            </w:r>
          </w:p>
        </w:tc>
        <w:tc>
          <w:tcPr>
            <w:tcW w:w="3665" w:type="pct"/>
            <w:vAlign w:val="center"/>
          </w:tcPr>
          <w:p w14:paraId="794F6B85">
            <w:pPr>
              <w:pStyle w:val="33"/>
              <w:rPr>
                <w:color w:val="auto"/>
              </w:rPr>
            </w:pPr>
            <w:r>
              <w:rPr>
                <w:color w:val="auto"/>
                <w:spacing w:val="-1"/>
              </w:rPr>
              <w:t>分区防渗，严格按照标准建设防渗工程；设置地下水监控</w:t>
            </w:r>
            <w:r>
              <w:rPr>
                <w:color w:val="auto"/>
              </w:rPr>
              <w:t>井，监控地下水污染。</w:t>
            </w:r>
          </w:p>
        </w:tc>
        <w:tc>
          <w:tcPr>
            <w:tcW w:w="396" w:type="pct"/>
            <w:vAlign w:val="center"/>
          </w:tcPr>
          <w:p w14:paraId="76DCC174">
            <w:pPr>
              <w:pStyle w:val="33"/>
              <w:rPr>
                <w:rFonts w:eastAsia="Times New Roman"/>
                <w:color w:val="auto"/>
              </w:rPr>
            </w:pPr>
            <w:r>
              <w:rPr>
                <w:rFonts w:eastAsia="Times New Roman"/>
                <w:color w:val="auto"/>
              </w:rPr>
              <w:t>/</w:t>
            </w:r>
          </w:p>
        </w:tc>
      </w:tr>
      <w:tr w14:paraId="1FD8AE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313" w:type="pct"/>
            <w:vAlign w:val="center"/>
          </w:tcPr>
          <w:p w14:paraId="41E542B8">
            <w:pPr>
              <w:pStyle w:val="33"/>
              <w:rPr>
                <w:rFonts w:eastAsia="Times New Roman"/>
                <w:color w:val="auto"/>
              </w:rPr>
            </w:pPr>
            <w:r>
              <w:rPr>
                <w:rFonts w:eastAsia="Times New Roman"/>
                <w:color w:val="auto"/>
              </w:rPr>
              <w:t>5</w:t>
            </w:r>
          </w:p>
        </w:tc>
        <w:tc>
          <w:tcPr>
            <w:tcW w:w="625" w:type="pct"/>
            <w:vAlign w:val="center"/>
          </w:tcPr>
          <w:p w14:paraId="133D6A35">
            <w:pPr>
              <w:pStyle w:val="33"/>
              <w:rPr>
                <w:color w:val="auto"/>
              </w:rPr>
            </w:pPr>
            <w:r>
              <w:rPr>
                <w:color w:val="auto"/>
              </w:rPr>
              <w:t>噪声治理</w:t>
            </w:r>
          </w:p>
        </w:tc>
        <w:tc>
          <w:tcPr>
            <w:tcW w:w="3665" w:type="pct"/>
            <w:vAlign w:val="center"/>
          </w:tcPr>
          <w:p w14:paraId="3620332B">
            <w:pPr>
              <w:pStyle w:val="33"/>
              <w:rPr>
                <w:color w:val="auto"/>
              </w:rPr>
            </w:pPr>
            <w:r>
              <w:rPr>
                <w:color w:val="auto"/>
                <w:spacing w:val="-3"/>
              </w:rPr>
              <w:t>选用低噪设备、厂房隔音等。</w:t>
            </w:r>
          </w:p>
        </w:tc>
        <w:tc>
          <w:tcPr>
            <w:tcW w:w="396" w:type="pct"/>
            <w:vAlign w:val="center"/>
          </w:tcPr>
          <w:p w14:paraId="0C57D024">
            <w:pPr>
              <w:pStyle w:val="33"/>
              <w:rPr>
                <w:rFonts w:eastAsia="Times New Roman"/>
                <w:color w:val="auto"/>
              </w:rPr>
            </w:pPr>
            <w:r>
              <w:rPr>
                <w:rFonts w:eastAsia="Times New Roman"/>
                <w:color w:val="auto"/>
              </w:rPr>
              <w:t>/</w:t>
            </w:r>
          </w:p>
        </w:tc>
      </w:tr>
      <w:tr w14:paraId="55FA8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6AD16E9">
            <w:pPr>
              <w:pStyle w:val="33"/>
              <w:rPr>
                <w:rFonts w:eastAsia="Times New Roman"/>
                <w:color w:val="auto"/>
              </w:rPr>
            </w:pPr>
            <w:r>
              <w:rPr>
                <w:rFonts w:eastAsia="Times New Roman"/>
                <w:color w:val="auto"/>
              </w:rPr>
              <w:t>6</w:t>
            </w:r>
          </w:p>
        </w:tc>
        <w:tc>
          <w:tcPr>
            <w:tcW w:w="4687" w:type="pct"/>
            <w:gridSpan w:val="3"/>
            <w:vAlign w:val="center"/>
          </w:tcPr>
          <w:p w14:paraId="4954D19E">
            <w:pPr>
              <w:pStyle w:val="33"/>
              <w:rPr>
                <w:color w:val="auto"/>
              </w:rPr>
            </w:pPr>
            <w:r>
              <w:rPr>
                <w:color w:val="auto"/>
                <w:spacing w:val="-2"/>
              </w:rPr>
              <w:t>环境风险设施</w:t>
            </w:r>
          </w:p>
        </w:tc>
      </w:tr>
      <w:tr w14:paraId="2BEA65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070A5A27">
            <w:pPr>
              <w:pStyle w:val="33"/>
              <w:rPr>
                <w:rFonts w:eastAsia="Times New Roman"/>
                <w:color w:val="auto"/>
              </w:rPr>
            </w:pPr>
            <w:r>
              <w:rPr>
                <w:rFonts w:eastAsia="Times New Roman"/>
                <w:color w:val="auto"/>
                <w:spacing w:val="-3"/>
              </w:rPr>
              <w:t>6.1</w:t>
            </w:r>
          </w:p>
        </w:tc>
        <w:tc>
          <w:tcPr>
            <w:tcW w:w="625" w:type="pct"/>
            <w:vAlign w:val="center"/>
          </w:tcPr>
          <w:p w14:paraId="333130FB">
            <w:pPr>
              <w:pStyle w:val="33"/>
              <w:rPr>
                <w:color w:val="auto"/>
              </w:rPr>
            </w:pPr>
            <w:r>
              <w:rPr>
                <w:color w:val="auto"/>
                <w:spacing w:val="-10"/>
              </w:rPr>
              <w:t>事故池、</w:t>
            </w:r>
            <w:r>
              <w:rPr>
                <w:color w:val="auto"/>
                <w:spacing w:val="-7"/>
              </w:rPr>
              <w:t>围堰</w:t>
            </w:r>
          </w:p>
        </w:tc>
        <w:tc>
          <w:tcPr>
            <w:tcW w:w="3665" w:type="pct"/>
            <w:vAlign w:val="center"/>
          </w:tcPr>
          <w:p w14:paraId="0130EA79">
            <w:pPr>
              <w:pStyle w:val="33"/>
              <w:rPr>
                <w:color w:val="auto"/>
              </w:rPr>
            </w:pPr>
            <w:r>
              <w:rPr>
                <w:color w:val="auto"/>
                <w:spacing w:val="8"/>
              </w:rPr>
              <w:t>新建一座</w:t>
            </w:r>
            <w:r>
              <w:rPr>
                <w:rFonts w:eastAsia="Times New Roman"/>
                <w:color w:val="auto"/>
                <w:spacing w:val="8"/>
              </w:rPr>
              <w:t>6715m</w:t>
            </w:r>
            <w:r>
              <w:rPr>
                <w:rFonts w:eastAsia="Times New Roman"/>
                <w:color w:val="auto"/>
                <w:spacing w:val="8"/>
                <w:position w:val="7"/>
                <w:sz w:val="14"/>
                <w:szCs w:val="14"/>
              </w:rPr>
              <w:t>3</w:t>
            </w:r>
            <w:r>
              <w:rPr>
                <w:color w:val="auto"/>
                <w:spacing w:val="8"/>
              </w:rPr>
              <w:t>事故池；储罐区设置围堰，围堰</w:t>
            </w:r>
            <w:r>
              <w:rPr>
                <w:color w:val="auto"/>
                <w:spacing w:val="7"/>
              </w:rPr>
              <w:t>高度在</w:t>
            </w:r>
            <w:r>
              <w:rPr>
                <w:rFonts w:eastAsia="Times New Roman"/>
                <w:color w:val="auto"/>
                <w:spacing w:val="-2"/>
              </w:rPr>
              <w:t>1.2m~1.5m</w:t>
            </w:r>
            <w:r>
              <w:rPr>
                <w:color w:val="auto"/>
                <w:spacing w:val="-2"/>
              </w:rPr>
              <w:t>之间，围堰内有效容积大于最大一个储</w:t>
            </w:r>
            <w:r>
              <w:rPr>
                <w:color w:val="auto"/>
                <w:spacing w:val="-3"/>
              </w:rPr>
              <w:t>罐容积，罐</w:t>
            </w:r>
            <w:r>
              <w:rPr>
                <w:color w:val="auto"/>
                <w:spacing w:val="-5"/>
              </w:rPr>
              <w:t>区应作重点防渗地面。</w:t>
            </w:r>
          </w:p>
        </w:tc>
        <w:tc>
          <w:tcPr>
            <w:tcW w:w="396" w:type="pct"/>
            <w:vAlign w:val="center"/>
          </w:tcPr>
          <w:p w14:paraId="4C9FDCE7">
            <w:pPr>
              <w:pStyle w:val="33"/>
              <w:rPr>
                <w:color w:val="auto"/>
              </w:rPr>
            </w:pPr>
            <w:r>
              <w:rPr>
                <w:color w:val="auto"/>
                <w:spacing w:val="-3"/>
              </w:rPr>
              <w:t>新建</w:t>
            </w:r>
          </w:p>
        </w:tc>
      </w:tr>
      <w:tr w14:paraId="7632A4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5A46E382">
            <w:pPr>
              <w:pStyle w:val="33"/>
              <w:rPr>
                <w:rFonts w:eastAsia="Times New Roman"/>
                <w:color w:val="auto"/>
              </w:rPr>
            </w:pPr>
            <w:r>
              <w:rPr>
                <w:rFonts w:eastAsia="Times New Roman"/>
                <w:color w:val="auto"/>
                <w:spacing w:val="-3"/>
              </w:rPr>
              <w:t>6.2</w:t>
            </w:r>
          </w:p>
        </w:tc>
        <w:tc>
          <w:tcPr>
            <w:tcW w:w="625" w:type="pct"/>
            <w:vAlign w:val="center"/>
          </w:tcPr>
          <w:p w14:paraId="6C92D3C8">
            <w:pPr>
              <w:pStyle w:val="33"/>
              <w:rPr>
                <w:color w:val="auto"/>
              </w:rPr>
            </w:pPr>
            <w:r>
              <w:rPr>
                <w:color w:val="auto"/>
                <w:spacing w:val="-3"/>
              </w:rPr>
              <w:t>消防系统</w:t>
            </w:r>
          </w:p>
        </w:tc>
        <w:tc>
          <w:tcPr>
            <w:tcW w:w="3665" w:type="pct"/>
            <w:vAlign w:val="center"/>
          </w:tcPr>
          <w:p w14:paraId="57D38C87">
            <w:pPr>
              <w:pStyle w:val="33"/>
              <w:rPr>
                <w:color w:val="auto"/>
              </w:rPr>
            </w:pPr>
            <w:r>
              <w:rPr>
                <w:color w:val="auto"/>
                <w:spacing w:val="-2"/>
              </w:rPr>
              <w:t>依托现有工程的消防水池，其有效消防储水</w:t>
            </w:r>
            <w:r>
              <w:rPr>
                <w:color w:val="auto"/>
                <w:spacing w:val="-3"/>
              </w:rPr>
              <w:t>量为</w:t>
            </w:r>
            <w:r>
              <w:rPr>
                <w:rFonts w:eastAsia="Times New Roman"/>
                <w:color w:val="auto"/>
                <w:spacing w:val="-3"/>
              </w:rPr>
              <w:t>20000m</w:t>
            </w:r>
            <w:r>
              <w:rPr>
                <w:rFonts w:eastAsia="Times New Roman"/>
                <w:color w:val="auto"/>
                <w:spacing w:val="-3"/>
                <w:position w:val="7"/>
                <w:sz w:val="14"/>
                <w:szCs w:val="14"/>
              </w:rPr>
              <w:t>3</w:t>
            </w:r>
            <w:r>
              <w:rPr>
                <w:color w:val="auto"/>
                <w:spacing w:val="-3"/>
              </w:rPr>
              <w:t>，满</w:t>
            </w:r>
            <w:r>
              <w:rPr>
                <w:color w:val="auto"/>
                <w:spacing w:val="-7"/>
              </w:rPr>
              <w:t>足火灾</w:t>
            </w:r>
            <w:r>
              <w:rPr>
                <w:rFonts w:eastAsia="Times New Roman"/>
                <w:color w:val="auto"/>
                <w:spacing w:val="-7"/>
              </w:rPr>
              <w:t>6h</w:t>
            </w:r>
            <w:r>
              <w:rPr>
                <w:color w:val="auto"/>
                <w:spacing w:val="-7"/>
              </w:rPr>
              <w:t>的消防水量。</w:t>
            </w:r>
          </w:p>
        </w:tc>
        <w:tc>
          <w:tcPr>
            <w:tcW w:w="396" w:type="pct"/>
            <w:vAlign w:val="center"/>
          </w:tcPr>
          <w:p w14:paraId="69C2EE08">
            <w:pPr>
              <w:pStyle w:val="33"/>
              <w:rPr>
                <w:color w:val="auto"/>
              </w:rPr>
            </w:pPr>
            <w:r>
              <w:rPr>
                <w:color w:val="auto"/>
                <w:spacing w:val="-3"/>
              </w:rPr>
              <w:t>依托</w:t>
            </w:r>
          </w:p>
        </w:tc>
      </w:tr>
      <w:tr w14:paraId="5F35F8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0FE4D07A">
            <w:pPr>
              <w:pStyle w:val="33"/>
              <w:rPr>
                <w:rFonts w:eastAsia="Times New Roman"/>
                <w:color w:val="auto"/>
              </w:rPr>
            </w:pPr>
            <w:r>
              <w:rPr>
                <w:rFonts w:eastAsia="Times New Roman"/>
                <w:color w:val="auto"/>
                <w:spacing w:val="-3"/>
              </w:rPr>
              <w:t>6.3</w:t>
            </w:r>
          </w:p>
        </w:tc>
        <w:tc>
          <w:tcPr>
            <w:tcW w:w="625" w:type="pct"/>
            <w:vAlign w:val="center"/>
          </w:tcPr>
          <w:p w14:paraId="581E9862">
            <w:pPr>
              <w:pStyle w:val="33"/>
              <w:rPr>
                <w:color w:val="auto"/>
              </w:rPr>
            </w:pPr>
            <w:r>
              <w:rPr>
                <w:color w:val="auto"/>
                <w:spacing w:val="-2"/>
              </w:rPr>
              <w:t>应急预案</w:t>
            </w:r>
          </w:p>
        </w:tc>
        <w:tc>
          <w:tcPr>
            <w:tcW w:w="3665" w:type="pct"/>
            <w:vAlign w:val="center"/>
          </w:tcPr>
          <w:p w14:paraId="28C8CD0E">
            <w:pPr>
              <w:pStyle w:val="33"/>
              <w:rPr>
                <w:color w:val="auto"/>
              </w:rPr>
            </w:pPr>
            <w:r>
              <w:rPr>
                <w:color w:val="auto"/>
                <w:spacing w:val="-2"/>
              </w:rPr>
              <w:t>根据项目新增内容完善修订现有应急预案。</w:t>
            </w:r>
          </w:p>
        </w:tc>
        <w:tc>
          <w:tcPr>
            <w:tcW w:w="396" w:type="pct"/>
            <w:vAlign w:val="center"/>
          </w:tcPr>
          <w:p w14:paraId="3A6F69AE">
            <w:pPr>
              <w:pStyle w:val="33"/>
              <w:rPr>
                <w:rFonts w:eastAsia="Times New Roman"/>
                <w:color w:val="auto"/>
              </w:rPr>
            </w:pPr>
            <w:r>
              <w:rPr>
                <w:rFonts w:eastAsia="Times New Roman"/>
                <w:color w:val="auto"/>
              </w:rPr>
              <w:t>/</w:t>
            </w:r>
          </w:p>
        </w:tc>
      </w:tr>
      <w:tr w14:paraId="6A179D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3490DA3D">
            <w:pPr>
              <w:pStyle w:val="33"/>
              <w:rPr>
                <w:rFonts w:eastAsia="Times New Roman"/>
                <w:color w:val="auto"/>
              </w:rPr>
            </w:pPr>
            <w:r>
              <w:rPr>
                <w:rFonts w:eastAsia="Times New Roman"/>
                <w:color w:val="auto"/>
                <w:spacing w:val="-3"/>
              </w:rPr>
              <w:t>6.4</w:t>
            </w:r>
          </w:p>
        </w:tc>
        <w:tc>
          <w:tcPr>
            <w:tcW w:w="625" w:type="pct"/>
            <w:vAlign w:val="center"/>
          </w:tcPr>
          <w:p w14:paraId="34111926">
            <w:pPr>
              <w:pStyle w:val="33"/>
              <w:rPr>
                <w:color w:val="auto"/>
              </w:rPr>
            </w:pPr>
            <w:r>
              <w:rPr>
                <w:color w:val="auto"/>
                <w:spacing w:val="-2"/>
              </w:rPr>
              <w:t>报警装置</w:t>
            </w:r>
          </w:p>
        </w:tc>
        <w:tc>
          <w:tcPr>
            <w:tcW w:w="3665" w:type="pct"/>
            <w:vAlign w:val="center"/>
          </w:tcPr>
          <w:p w14:paraId="0EFE891F">
            <w:pPr>
              <w:pStyle w:val="33"/>
              <w:rPr>
                <w:color w:val="auto"/>
              </w:rPr>
            </w:pPr>
            <w:r>
              <w:rPr>
                <w:color w:val="auto"/>
                <w:spacing w:val="4"/>
              </w:rPr>
              <w:t>生产区安装视频监控系统和有毒有害、易燃易爆气体报警装</w:t>
            </w:r>
            <w:r>
              <w:rPr>
                <w:color w:val="auto"/>
                <w:spacing w:val="-10"/>
              </w:rPr>
              <w:t>置。</w:t>
            </w:r>
          </w:p>
        </w:tc>
        <w:tc>
          <w:tcPr>
            <w:tcW w:w="396" w:type="pct"/>
            <w:vAlign w:val="center"/>
          </w:tcPr>
          <w:p w14:paraId="55DF1438">
            <w:pPr>
              <w:pStyle w:val="33"/>
              <w:rPr>
                <w:color w:val="auto"/>
              </w:rPr>
            </w:pPr>
            <w:r>
              <w:rPr>
                <w:color w:val="auto"/>
                <w:spacing w:val="-3"/>
              </w:rPr>
              <w:t>新建</w:t>
            </w:r>
          </w:p>
        </w:tc>
      </w:tr>
      <w:tr w14:paraId="04C7C9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270BE728">
            <w:pPr>
              <w:pStyle w:val="33"/>
              <w:rPr>
                <w:rFonts w:eastAsia="Times New Roman"/>
                <w:color w:val="auto"/>
              </w:rPr>
            </w:pPr>
            <w:r>
              <w:rPr>
                <w:rFonts w:eastAsia="Times New Roman"/>
                <w:color w:val="auto"/>
              </w:rPr>
              <w:t>7</w:t>
            </w:r>
          </w:p>
        </w:tc>
        <w:tc>
          <w:tcPr>
            <w:tcW w:w="4687" w:type="pct"/>
            <w:gridSpan w:val="3"/>
            <w:vAlign w:val="center"/>
          </w:tcPr>
          <w:p w14:paraId="0EAFAE8B">
            <w:pPr>
              <w:pStyle w:val="33"/>
              <w:rPr>
                <w:color w:val="auto"/>
              </w:rPr>
            </w:pPr>
            <w:r>
              <w:rPr>
                <w:color w:val="auto"/>
                <w:spacing w:val="-3"/>
              </w:rPr>
              <w:t>厂外工程</w:t>
            </w:r>
          </w:p>
        </w:tc>
      </w:tr>
      <w:tr w14:paraId="521975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13" w:type="pct"/>
            <w:vAlign w:val="center"/>
          </w:tcPr>
          <w:p w14:paraId="7F7C17DB">
            <w:pPr>
              <w:pStyle w:val="33"/>
              <w:rPr>
                <w:rFonts w:eastAsia="Times New Roman"/>
                <w:color w:val="auto"/>
              </w:rPr>
            </w:pPr>
            <w:r>
              <w:rPr>
                <w:rFonts w:eastAsia="Times New Roman"/>
                <w:color w:val="auto"/>
                <w:spacing w:val="-3"/>
              </w:rPr>
              <w:t>7.1</w:t>
            </w:r>
          </w:p>
        </w:tc>
        <w:tc>
          <w:tcPr>
            <w:tcW w:w="625" w:type="pct"/>
            <w:vAlign w:val="center"/>
          </w:tcPr>
          <w:p w14:paraId="56AC2C16">
            <w:pPr>
              <w:pStyle w:val="33"/>
              <w:rPr>
                <w:color w:val="auto"/>
              </w:rPr>
            </w:pPr>
            <w:r>
              <w:rPr>
                <w:color w:val="auto"/>
                <w:spacing w:val="-2"/>
              </w:rPr>
              <w:t>海底排放</w:t>
            </w:r>
            <w:r>
              <w:rPr>
                <w:color w:val="auto"/>
                <w:spacing w:val="-3"/>
              </w:rPr>
              <w:t>工程</w:t>
            </w:r>
          </w:p>
        </w:tc>
        <w:tc>
          <w:tcPr>
            <w:tcW w:w="3665" w:type="pct"/>
            <w:vAlign w:val="center"/>
          </w:tcPr>
          <w:p w14:paraId="262427D4">
            <w:pPr>
              <w:pStyle w:val="33"/>
              <w:rPr>
                <w:color w:val="auto"/>
              </w:rPr>
            </w:pPr>
            <w:r>
              <w:rPr>
                <w:color w:val="auto"/>
                <w:spacing w:val="-2"/>
              </w:rPr>
              <w:t>污水提升泵设计流量为</w:t>
            </w:r>
            <w:r>
              <w:rPr>
                <w:rFonts w:eastAsia="Times New Roman"/>
                <w:color w:val="auto"/>
                <w:spacing w:val="-2"/>
              </w:rPr>
              <w:t>2.778m</w:t>
            </w:r>
            <w:r>
              <w:rPr>
                <w:rFonts w:eastAsia="Times New Roman"/>
                <w:color w:val="auto"/>
                <w:spacing w:val="-2"/>
                <w:position w:val="7"/>
                <w:sz w:val="14"/>
                <w:szCs w:val="14"/>
              </w:rPr>
              <w:t>3</w:t>
            </w:r>
            <w:r>
              <w:rPr>
                <w:rFonts w:eastAsia="Times New Roman"/>
                <w:color w:val="auto"/>
                <w:spacing w:val="-2"/>
              </w:rPr>
              <w:t>/s</w:t>
            </w:r>
            <w:r>
              <w:rPr>
                <w:color w:val="auto"/>
                <w:spacing w:val="-2"/>
              </w:rPr>
              <w:t>，提升能力</w:t>
            </w:r>
            <w:r>
              <w:rPr>
                <w:rFonts w:eastAsia="Times New Roman"/>
                <w:color w:val="auto"/>
                <w:spacing w:val="-2"/>
              </w:rPr>
              <w:t>24</w:t>
            </w:r>
            <w:r>
              <w:rPr>
                <w:color w:val="auto"/>
                <w:spacing w:val="-2"/>
              </w:rPr>
              <w:t>万</w:t>
            </w:r>
            <w:r>
              <w:rPr>
                <w:rFonts w:eastAsia="Times New Roman"/>
                <w:color w:val="auto"/>
                <w:spacing w:val="-2"/>
              </w:rPr>
              <w:t>m</w:t>
            </w:r>
            <w:r>
              <w:rPr>
                <w:rFonts w:eastAsia="Times New Roman"/>
                <w:color w:val="auto"/>
                <w:spacing w:val="-2"/>
                <w:position w:val="7"/>
                <w:sz w:val="14"/>
                <w:szCs w:val="14"/>
              </w:rPr>
              <w:t>3</w:t>
            </w:r>
            <w:r>
              <w:rPr>
                <w:rFonts w:eastAsia="Times New Roman"/>
                <w:color w:val="auto"/>
                <w:spacing w:val="-2"/>
              </w:rPr>
              <w:t>/d</w:t>
            </w:r>
            <w:r>
              <w:rPr>
                <w:color w:val="auto"/>
                <w:spacing w:val="-2"/>
              </w:rPr>
              <w:t>。排放管</w:t>
            </w:r>
            <w:r>
              <w:rPr>
                <w:color w:val="auto"/>
              </w:rPr>
              <w:t>线直径</w:t>
            </w:r>
            <w:r>
              <w:rPr>
                <w:rFonts w:eastAsia="Times New Roman"/>
                <w:color w:val="auto"/>
              </w:rPr>
              <w:t>1600mm</w:t>
            </w:r>
            <w:r>
              <w:rPr>
                <w:color w:val="auto"/>
              </w:rPr>
              <w:t>，可输送量</w:t>
            </w:r>
            <w:r>
              <w:rPr>
                <w:rFonts w:eastAsia="Times New Roman"/>
                <w:color w:val="auto"/>
              </w:rPr>
              <w:t>20</w:t>
            </w:r>
            <w:r>
              <w:rPr>
                <w:color w:val="auto"/>
              </w:rPr>
              <w:t>万</w:t>
            </w:r>
            <w:r>
              <w:rPr>
                <w:rFonts w:eastAsia="Times New Roman"/>
                <w:color w:val="auto"/>
              </w:rPr>
              <w:t>m</w:t>
            </w:r>
            <w:r>
              <w:rPr>
                <w:rFonts w:eastAsia="Times New Roman"/>
                <w:color w:val="auto"/>
                <w:position w:val="7"/>
                <w:sz w:val="14"/>
                <w:szCs w:val="14"/>
              </w:rPr>
              <w:t>3</w:t>
            </w:r>
            <w:r>
              <w:rPr>
                <w:rFonts w:eastAsia="Times New Roman"/>
                <w:color w:val="auto"/>
              </w:rPr>
              <w:t>/d</w:t>
            </w:r>
            <w:r>
              <w:rPr>
                <w:color w:val="auto"/>
              </w:rPr>
              <w:t>。排污口处于钦州港大榄</w:t>
            </w:r>
            <w:r>
              <w:rPr>
                <w:color w:val="auto"/>
                <w:spacing w:val="-7"/>
              </w:rPr>
              <w:t>坪排污混合区（</w:t>
            </w:r>
            <w:r>
              <w:rPr>
                <w:rFonts w:eastAsia="Times New Roman"/>
                <w:color w:val="auto"/>
                <w:spacing w:val="-7"/>
              </w:rPr>
              <w:t>GX057DIV</w:t>
            </w:r>
            <w:r>
              <w:rPr>
                <w:color w:val="auto"/>
                <w:spacing w:val="-9"/>
              </w:rPr>
              <w:t>），</w:t>
            </w:r>
            <w:r>
              <w:rPr>
                <w:color w:val="auto"/>
                <w:spacing w:val="-7"/>
              </w:rPr>
              <w:t>范围是</w:t>
            </w:r>
            <w:r>
              <w:rPr>
                <w:rFonts w:eastAsia="Times New Roman"/>
                <w:color w:val="auto"/>
                <w:spacing w:val="-7"/>
              </w:rPr>
              <w:t>21</w:t>
            </w:r>
            <w:r>
              <w:rPr>
                <w:color w:val="auto"/>
                <w:spacing w:val="-7"/>
              </w:rPr>
              <w:t>°</w:t>
            </w:r>
            <w:r>
              <w:rPr>
                <w:rFonts w:eastAsia="Times New Roman"/>
                <w:color w:val="auto"/>
                <w:spacing w:val="-7"/>
              </w:rPr>
              <w:t>39</w:t>
            </w:r>
            <w:r>
              <w:rPr>
                <w:color w:val="auto"/>
                <w:spacing w:val="-7"/>
              </w:rPr>
              <w:t>′</w:t>
            </w:r>
            <w:r>
              <w:rPr>
                <w:rFonts w:eastAsia="Times New Roman"/>
                <w:color w:val="auto"/>
                <w:spacing w:val="-7"/>
              </w:rPr>
              <w:t>19</w:t>
            </w:r>
            <w:r>
              <w:rPr>
                <w:color w:val="auto"/>
                <w:spacing w:val="-7"/>
              </w:rPr>
              <w:t>″</w:t>
            </w:r>
            <w:r>
              <w:rPr>
                <w:rFonts w:eastAsia="Times New Roman"/>
                <w:color w:val="auto"/>
                <w:spacing w:val="-7"/>
              </w:rPr>
              <w:t>N</w:t>
            </w:r>
            <w:r>
              <w:rPr>
                <w:color w:val="auto"/>
                <w:spacing w:val="-7"/>
              </w:rPr>
              <w:t>、</w:t>
            </w:r>
            <w:r>
              <w:rPr>
                <w:rFonts w:eastAsia="Times New Roman"/>
                <w:color w:val="auto"/>
                <w:spacing w:val="-7"/>
              </w:rPr>
              <w:t>1</w:t>
            </w:r>
            <w:r>
              <w:rPr>
                <w:rFonts w:eastAsia="Times New Roman"/>
                <w:color w:val="auto"/>
                <w:spacing w:val="-8"/>
              </w:rPr>
              <w:t>08</w:t>
            </w:r>
            <w:r>
              <w:rPr>
                <w:color w:val="auto"/>
                <w:spacing w:val="-8"/>
              </w:rPr>
              <w:t>°</w:t>
            </w:r>
            <w:r>
              <w:rPr>
                <w:rFonts w:eastAsia="Times New Roman"/>
                <w:color w:val="auto"/>
                <w:spacing w:val="-14"/>
              </w:rPr>
              <w:t>39</w:t>
            </w:r>
            <w:r>
              <w:rPr>
                <w:color w:val="auto"/>
                <w:spacing w:val="-14"/>
              </w:rPr>
              <w:t>′</w:t>
            </w:r>
            <w:r>
              <w:rPr>
                <w:rFonts w:eastAsia="Times New Roman"/>
                <w:color w:val="auto"/>
                <w:spacing w:val="-14"/>
              </w:rPr>
              <w:t>46</w:t>
            </w:r>
            <w:r>
              <w:rPr>
                <w:color w:val="auto"/>
                <w:spacing w:val="-14"/>
              </w:rPr>
              <w:t>″</w:t>
            </w:r>
            <w:r>
              <w:rPr>
                <w:rFonts w:eastAsia="Times New Roman"/>
                <w:color w:val="auto"/>
                <w:spacing w:val="-14"/>
              </w:rPr>
              <w:t>E</w:t>
            </w:r>
            <w:r>
              <w:rPr>
                <w:color w:val="auto"/>
                <w:spacing w:val="-14"/>
              </w:rPr>
              <w:t>，</w:t>
            </w:r>
            <w:r>
              <w:rPr>
                <w:rFonts w:eastAsia="Times New Roman"/>
                <w:color w:val="auto"/>
                <w:spacing w:val="-14"/>
              </w:rPr>
              <w:t>21</w:t>
            </w:r>
            <w:r>
              <w:rPr>
                <w:color w:val="auto"/>
                <w:spacing w:val="-14"/>
              </w:rPr>
              <w:t>°</w:t>
            </w:r>
            <w:r>
              <w:rPr>
                <w:rFonts w:eastAsia="Times New Roman"/>
                <w:color w:val="auto"/>
                <w:spacing w:val="-14"/>
              </w:rPr>
              <w:t>39</w:t>
            </w:r>
            <w:r>
              <w:rPr>
                <w:color w:val="auto"/>
                <w:spacing w:val="-14"/>
              </w:rPr>
              <w:t>′</w:t>
            </w:r>
            <w:r>
              <w:rPr>
                <w:rFonts w:eastAsia="Times New Roman"/>
                <w:color w:val="auto"/>
                <w:spacing w:val="-14"/>
              </w:rPr>
              <w:t>43</w:t>
            </w:r>
            <w:r>
              <w:rPr>
                <w:color w:val="auto"/>
                <w:spacing w:val="-14"/>
              </w:rPr>
              <w:t>″</w:t>
            </w:r>
            <w:r>
              <w:rPr>
                <w:rFonts w:eastAsia="Times New Roman"/>
                <w:color w:val="auto"/>
                <w:spacing w:val="-14"/>
              </w:rPr>
              <w:t>N</w:t>
            </w:r>
            <w:r>
              <w:rPr>
                <w:color w:val="auto"/>
                <w:spacing w:val="-14"/>
              </w:rPr>
              <w:t>、</w:t>
            </w:r>
            <w:r>
              <w:rPr>
                <w:rFonts w:eastAsia="Times New Roman"/>
                <w:color w:val="auto"/>
                <w:spacing w:val="-14"/>
              </w:rPr>
              <w:t>108</w:t>
            </w:r>
            <w:r>
              <w:rPr>
                <w:color w:val="auto"/>
                <w:spacing w:val="-14"/>
              </w:rPr>
              <w:t>°</w:t>
            </w:r>
            <w:r>
              <w:rPr>
                <w:rFonts w:eastAsia="Times New Roman"/>
                <w:color w:val="auto"/>
                <w:spacing w:val="-14"/>
              </w:rPr>
              <w:t>39</w:t>
            </w:r>
            <w:r>
              <w:rPr>
                <w:color w:val="auto"/>
                <w:spacing w:val="-14"/>
              </w:rPr>
              <w:t>′</w:t>
            </w:r>
            <w:r>
              <w:rPr>
                <w:rFonts w:eastAsia="Times New Roman"/>
                <w:color w:val="auto"/>
                <w:spacing w:val="-14"/>
              </w:rPr>
              <w:t>29</w:t>
            </w:r>
            <w:r>
              <w:rPr>
                <w:color w:val="auto"/>
                <w:spacing w:val="-14"/>
              </w:rPr>
              <w:t>″</w:t>
            </w:r>
            <w:r>
              <w:rPr>
                <w:rFonts w:eastAsia="Times New Roman"/>
                <w:color w:val="auto"/>
                <w:spacing w:val="-14"/>
              </w:rPr>
              <w:t>E</w:t>
            </w:r>
            <w:r>
              <w:rPr>
                <w:color w:val="auto"/>
                <w:spacing w:val="-14"/>
              </w:rPr>
              <w:t>，</w:t>
            </w:r>
            <w:r>
              <w:rPr>
                <w:rFonts w:eastAsia="Times New Roman"/>
                <w:color w:val="auto"/>
                <w:spacing w:val="-14"/>
              </w:rPr>
              <w:t>2</w:t>
            </w:r>
            <w:r>
              <w:rPr>
                <w:rFonts w:eastAsia="Times New Roman"/>
                <w:color w:val="auto"/>
                <w:spacing w:val="-15"/>
              </w:rPr>
              <w:t>1</w:t>
            </w:r>
            <w:r>
              <w:rPr>
                <w:color w:val="auto"/>
                <w:spacing w:val="-15"/>
              </w:rPr>
              <w:t>°</w:t>
            </w:r>
            <w:r>
              <w:rPr>
                <w:rFonts w:eastAsia="Times New Roman"/>
                <w:color w:val="auto"/>
                <w:spacing w:val="-15"/>
              </w:rPr>
              <w:t>39</w:t>
            </w:r>
            <w:r>
              <w:rPr>
                <w:color w:val="auto"/>
                <w:spacing w:val="-15"/>
              </w:rPr>
              <w:t>′</w:t>
            </w:r>
            <w:r>
              <w:rPr>
                <w:rFonts w:eastAsia="Times New Roman"/>
                <w:color w:val="auto"/>
                <w:spacing w:val="-15"/>
              </w:rPr>
              <w:t>40</w:t>
            </w:r>
            <w:r>
              <w:rPr>
                <w:color w:val="auto"/>
                <w:spacing w:val="-15"/>
              </w:rPr>
              <w:t>″</w:t>
            </w:r>
            <w:r>
              <w:rPr>
                <w:rFonts w:eastAsia="Times New Roman"/>
                <w:color w:val="auto"/>
                <w:spacing w:val="-14"/>
              </w:rPr>
              <w:t>N</w:t>
            </w:r>
            <w:r>
              <w:rPr>
                <w:color w:val="auto"/>
                <w:spacing w:val="-14"/>
              </w:rPr>
              <w:t>、</w:t>
            </w:r>
            <w:r>
              <w:rPr>
                <w:rFonts w:eastAsia="Times New Roman"/>
                <w:color w:val="auto"/>
                <w:spacing w:val="-14"/>
              </w:rPr>
              <w:t>108</w:t>
            </w:r>
            <w:r>
              <w:rPr>
                <w:color w:val="auto"/>
                <w:spacing w:val="-14"/>
              </w:rPr>
              <w:t>°</w:t>
            </w:r>
            <w:r>
              <w:rPr>
                <w:rFonts w:eastAsia="Times New Roman"/>
                <w:color w:val="auto"/>
                <w:spacing w:val="-14"/>
              </w:rPr>
              <w:t>38</w:t>
            </w:r>
            <w:r>
              <w:rPr>
                <w:color w:val="auto"/>
                <w:spacing w:val="-14"/>
              </w:rPr>
              <w:t>′</w:t>
            </w:r>
            <w:r>
              <w:rPr>
                <w:rFonts w:eastAsia="Times New Roman"/>
                <w:color w:val="auto"/>
                <w:spacing w:val="-14"/>
              </w:rPr>
              <w:t>49</w:t>
            </w:r>
            <w:r>
              <w:rPr>
                <w:color w:val="auto"/>
                <w:spacing w:val="-14"/>
              </w:rPr>
              <w:t>″</w:t>
            </w:r>
            <w:r>
              <w:rPr>
                <w:rFonts w:eastAsia="Times New Roman"/>
                <w:color w:val="auto"/>
                <w:spacing w:val="-14"/>
              </w:rPr>
              <w:t>E</w:t>
            </w:r>
            <w:r>
              <w:rPr>
                <w:color w:val="auto"/>
                <w:spacing w:val="-14"/>
              </w:rPr>
              <w:t>，</w:t>
            </w:r>
            <w:r>
              <w:rPr>
                <w:rFonts w:eastAsia="Times New Roman"/>
                <w:color w:val="auto"/>
                <w:spacing w:val="-14"/>
              </w:rPr>
              <w:t>21</w:t>
            </w:r>
            <w:r>
              <w:rPr>
                <w:color w:val="auto"/>
                <w:spacing w:val="-14"/>
              </w:rPr>
              <w:t>°</w:t>
            </w:r>
            <w:r>
              <w:rPr>
                <w:rFonts w:eastAsia="Times New Roman"/>
                <w:color w:val="auto"/>
                <w:spacing w:val="-14"/>
              </w:rPr>
              <w:t>38</w:t>
            </w:r>
            <w:r>
              <w:rPr>
                <w:color w:val="auto"/>
                <w:spacing w:val="-14"/>
              </w:rPr>
              <w:t>′</w:t>
            </w:r>
            <w:r>
              <w:rPr>
                <w:rFonts w:eastAsia="Times New Roman"/>
                <w:color w:val="auto"/>
                <w:spacing w:val="-14"/>
              </w:rPr>
              <w:t>51</w:t>
            </w:r>
            <w:r>
              <w:rPr>
                <w:color w:val="auto"/>
                <w:spacing w:val="-14"/>
              </w:rPr>
              <w:t>″</w:t>
            </w:r>
            <w:r>
              <w:rPr>
                <w:rFonts w:eastAsia="Times New Roman"/>
                <w:color w:val="auto"/>
                <w:spacing w:val="-14"/>
              </w:rPr>
              <w:t>N</w:t>
            </w:r>
            <w:r>
              <w:rPr>
                <w:color w:val="auto"/>
                <w:spacing w:val="-14"/>
              </w:rPr>
              <w:t>、</w:t>
            </w:r>
            <w:r>
              <w:rPr>
                <w:rFonts w:eastAsia="Times New Roman"/>
                <w:color w:val="auto"/>
                <w:spacing w:val="-14"/>
              </w:rPr>
              <w:t>108</w:t>
            </w:r>
            <w:r>
              <w:rPr>
                <w:color w:val="auto"/>
                <w:spacing w:val="-14"/>
              </w:rPr>
              <w:t>°</w:t>
            </w:r>
            <w:r>
              <w:rPr>
                <w:rFonts w:eastAsia="Times New Roman"/>
                <w:color w:val="auto"/>
                <w:spacing w:val="-14"/>
              </w:rPr>
              <w:t>38</w:t>
            </w:r>
            <w:r>
              <w:rPr>
                <w:color w:val="auto"/>
                <w:spacing w:val="-14"/>
              </w:rPr>
              <w:t>′</w:t>
            </w:r>
            <w:r>
              <w:rPr>
                <w:rFonts w:eastAsia="Times New Roman"/>
                <w:color w:val="auto"/>
                <w:spacing w:val="-14"/>
              </w:rPr>
              <w:t>49</w:t>
            </w:r>
            <w:r>
              <w:rPr>
                <w:color w:val="auto"/>
                <w:spacing w:val="-14"/>
              </w:rPr>
              <w:t>″</w:t>
            </w:r>
            <w:r>
              <w:rPr>
                <w:rFonts w:eastAsia="Times New Roman"/>
                <w:color w:val="auto"/>
                <w:spacing w:val="-14"/>
              </w:rPr>
              <w:t>E</w:t>
            </w:r>
            <w:r>
              <w:rPr>
                <w:color w:val="auto"/>
                <w:spacing w:val="-14"/>
              </w:rPr>
              <w:t>，</w:t>
            </w:r>
            <w:r>
              <w:rPr>
                <w:rFonts w:eastAsia="Times New Roman"/>
                <w:color w:val="auto"/>
                <w:spacing w:val="-14"/>
              </w:rPr>
              <w:t>21</w:t>
            </w:r>
            <w:r>
              <w:rPr>
                <w:color w:val="auto"/>
                <w:spacing w:val="-14"/>
              </w:rPr>
              <w:t>°</w:t>
            </w:r>
            <w:r>
              <w:rPr>
                <w:rFonts w:eastAsia="Times New Roman"/>
                <w:color w:val="auto"/>
                <w:spacing w:val="-8"/>
              </w:rPr>
              <w:t>38</w:t>
            </w:r>
            <w:r>
              <w:rPr>
                <w:color w:val="auto"/>
                <w:spacing w:val="-8"/>
              </w:rPr>
              <w:t>′</w:t>
            </w:r>
            <w:r>
              <w:rPr>
                <w:rFonts w:eastAsia="Times New Roman"/>
                <w:color w:val="auto"/>
                <w:spacing w:val="-8"/>
              </w:rPr>
              <w:t>54</w:t>
            </w:r>
            <w:r>
              <w:rPr>
                <w:color w:val="auto"/>
                <w:spacing w:val="-8"/>
              </w:rPr>
              <w:t>″</w:t>
            </w:r>
            <w:r>
              <w:rPr>
                <w:rFonts w:eastAsia="Times New Roman"/>
                <w:color w:val="auto"/>
                <w:spacing w:val="-8"/>
              </w:rPr>
              <w:t>N</w:t>
            </w:r>
            <w:r>
              <w:rPr>
                <w:color w:val="auto"/>
                <w:spacing w:val="-8"/>
              </w:rPr>
              <w:t>、</w:t>
            </w:r>
            <w:r>
              <w:rPr>
                <w:rFonts w:eastAsia="Times New Roman"/>
                <w:color w:val="auto"/>
                <w:spacing w:val="-8"/>
              </w:rPr>
              <w:t>108</w:t>
            </w:r>
            <w:r>
              <w:rPr>
                <w:color w:val="auto"/>
                <w:spacing w:val="-8"/>
              </w:rPr>
              <w:t>°</w:t>
            </w:r>
            <w:r>
              <w:rPr>
                <w:rFonts w:eastAsia="Times New Roman"/>
                <w:color w:val="auto"/>
                <w:spacing w:val="-8"/>
              </w:rPr>
              <w:t>39</w:t>
            </w:r>
            <w:r>
              <w:rPr>
                <w:color w:val="auto"/>
                <w:spacing w:val="-8"/>
              </w:rPr>
              <w:t>′</w:t>
            </w:r>
            <w:r>
              <w:rPr>
                <w:rFonts w:eastAsia="Times New Roman"/>
                <w:color w:val="auto"/>
                <w:spacing w:val="-8"/>
              </w:rPr>
              <w:t>39</w:t>
            </w:r>
            <w:r>
              <w:rPr>
                <w:color w:val="auto"/>
                <w:spacing w:val="-8"/>
              </w:rPr>
              <w:t>″</w:t>
            </w:r>
            <w:r>
              <w:rPr>
                <w:rFonts w:eastAsia="Times New Roman"/>
                <w:color w:val="auto"/>
                <w:spacing w:val="-8"/>
              </w:rPr>
              <w:t>E</w:t>
            </w:r>
            <w:r>
              <w:rPr>
                <w:color w:val="auto"/>
                <w:spacing w:val="-8"/>
              </w:rPr>
              <w:t>围成的</w:t>
            </w:r>
            <w:r>
              <w:rPr>
                <w:color w:val="auto"/>
                <w:spacing w:val="-9"/>
              </w:rPr>
              <w:t>海域，面积为</w:t>
            </w:r>
            <w:r>
              <w:rPr>
                <w:rFonts w:eastAsia="Times New Roman"/>
                <w:color w:val="auto"/>
                <w:spacing w:val="-9"/>
              </w:rPr>
              <w:t>3</w:t>
            </w:r>
            <w:r>
              <w:rPr>
                <w:color w:val="auto"/>
                <w:spacing w:val="-9"/>
              </w:rPr>
              <w:t>平方公里。</w:t>
            </w:r>
          </w:p>
        </w:tc>
        <w:tc>
          <w:tcPr>
            <w:tcW w:w="396" w:type="pct"/>
            <w:vAlign w:val="center"/>
          </w:tcPr>
          <w:p w14:paraId="5418AFB4">
            <w:pPr>
              <w:pStyle w:val="33"/>
              <w:rPr>
                <w:color w:val="auto"/>
              </w:rPr>
            </w:pPr>
            <w:r>
              <w:rPr>
                <w:color w:val="auto"/>
                <w:spacing w:val="-3"/>
              </w:rPr>
              <w:t>依托</w:t>
            </w:r>
          </w:p>
        </w:tc>
      </w:tr>
    </w:tbl>
    <w:p w14:paraId="35B85CFC">
      <w:pPr>
        <w:pStyle w:val="5"/>
        <w:rPr>
          <w:color w:val="auto"/>
        </w:rPr>
      </w:pPr>
      <w:r>
        <w:rPr>
          <w:color w:val="auto"/>
        </w:rPr>
        <w:t>主要原辅料及能源消耗</w:t>
      </w:r>
    </w:p>
    <w:p w14:paraId="7CD3EE1C">
      <w:pPr>
        <w:ind w:firstLine="480"/>
        <w:rPr>
          <w:color w:val="auto"/>
        </w:rPr>
      </w:pPr>
      <w:r>
        <w:rPr>
          <w:color w:val="auto"/>
        </w:rPr>
        <w:t>已批在建25万吨丁苯胶乳项目主要原辅材料及能源消耗见</w:t>
      </w:r>
      <w:r>
        <w:rPr>
          <w:rFonts w:hint="eastAsia"/>
          <w:color w:val="auto"/>
        </w:rPr>
        <w:t>下表</w:t>
      </w:r>
      <w:r>
        <w:rPr>
          <w:color w:val="auto"/>
        </w:rPr>
        <w:t>。</w:t>
      </w:r>
    </w:p>
    <w:p w14:paraId="69629BB6">
      <w:pPr>
        <w:pStyle w:val="7"/>
        <w:rPr>
          <w:color w:val="auto"/>
        </w:rPr>
      </w:pPr>
      <w:r>
        <w:rPr>
          <w:color w:val="auto"/>
        </w:rPr>
        <w:t>已批在建</w:t>
      </w:r>
      <w:r>
        <w:rPr>
          <w:rFonts w:eastAsia="Times New Roman" w:cs="Times New Roman"/>
          <w:color w:val="auto"/>
        </w:rPr>
        <w:t>25</w:t>
      </w:r>
      <w:r>
        <w:rPr>
          <w:color w:val="auto"/>
        </w:rPr>
        <w:t>万吨丁苯胶乳项目主要原辅材料消耗情况</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87"/>
        <w:gridCol w:w="1595"/>
        <w:gridCol w:w="1014"/>
        <w:gridCol w:w="1307"/>
        <w:gridCol w:w="1012"/>
        <w:gridCol w:w="1018"/>
        <w:gridCol w:w="2753"/>
      </w:tblGrid>
      <w:tr w14:paraId="1D590E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blHeader/>
        </w:trPr>
        <w:tc>
          <w:tcPr>
            <w:tcW w:w="316" w:type="pct"/>
            <w:vAlign w:val="center"/>
          </w:tcPr>
          <w:p w14:paraId="06FC728E">
            <w:pPr>
              <w:pStyle w:val="33"/>
              <w:rPr>
                <w:color w:val="auto"/>
              </w:rPr>
            </w:pPr>
            <w:r>
              <w:rPr>
                <w:rFonts w:hint="eastAsia"/>
                <w:color w:val="auto"/>
              </w:rPr>
              <w:t>序号</w:t>
            </w:r>
          </w:p>
        </w:tc>
        <w:tc>
          <w:tcPr>
            <w:tcW w:w="859" w:type="pct"/>
            <w:vAlign w:val="center"/>
          </w:tcPr>
          <w:p w14:paraId="1DC37878">
            <w:pPr>
              <w:pStyle w:val="33"/>
              <w:rPr>
                <w:color w:val="auto"/>
              </w:rPr>
            </w:pPr>
            <w:r>
              <w:rPr>
                <w:color w:val="auto"/>
              </w:rPr>
              <w:t>原料名称</w:t>
            </w:r>
          </w:p>
        </w:tc>
        <w:tc>
          <w:tcPr>
            <w:tcW w:w="546" w:type="pct"/>
            <w:vAlign w:val="center"/>
          </w:tcPr>
          <w:p w14:paraId="6EF166FD">
            <w:pPr>
              <w:pStyle w:val="33"/>
              <w:rPr>
                <w:color w:val="auto"/>
              </w:rPr>
            </w:pPr>
            <w:r>
              <w:rPr>
                <w:color w:val="auto"/>
              </w:rPr>
              <w:t>单耗（kg/t）</w:t>
            </w:r>
          </w:p>
        </w:tc>
        <w:tc>
          <w:tcPr>
            <w:tcW w:w="704" w:type="pct"/>
            <w:vAlign w:val="center"/>
          </w:tcPr>
          <w:p w14:paraId="3E08D81E">
            <w:pPr>
              <w:pStyle w:val="33"/>
              <w:rPr>
                <w:color w:val="auto"/>
              </w:rPr>
            </w:pPr>
            <w:r>
              <w:rPr>
                <w:color w:val="auto"/>
              </w:rPr>
              <w:t>年用量（t/a）</w:t>
            </w:r>
          </w:p>
        </w:tc>
        <w:tc>
          <w:tcPr>
            <w:tcW w:w="545" w:type="pct"/>
            <w:vAlign w:val="center"/>
          </w:tcPr>
          <w:p w14:paraId="7457D96D">
            <w:pPr>
              <w:pStyle w:val="33"/>
              <w:rPr>
                <w:color w:val="auto"/>
              </w:rPr>
            </w:pPr>
            <w:r>
              <w:rPr>
                <w:color w:val="auto"/>
              </w:rPr>
              <w:t>包装规格</w:t>
            </w:r>
          </w:p>
        </w:tc>
        <w:tc>
          <w:tcPr>
            <w:tcW w:w="548" w:type="pct"/>
            <w:vAlign w:val="center"/>
          </w:tcPr>
          <w:p w14:paraId="693D2554">
            <w:pPr>
              <w:pStyle w:val="33"/>
              <w:rPr>
                <w:color w:val="auto"/>
              </w:rPr>
            </w:pPr>
            <w:r>
              <w:rPr>
                <w:color w:val="auto"/>
              </w:rPr>
              <w:t>供应来源</w:t>
            </w:r>
          </w:p>
        </w:tc>
        <w:tc>
          <w:tcPr>
            <w:tcW w:w="1482" w:type="pct"/>
            <w:vAlign w:val="center"/>
          </w:tcPr>
          <w:p w14:paraId="69CDF5BC">
            <w:pPr>
              <w:pStyle w:val="33"/>
              <w:rPr>
                <w:color w:val="auto"/>
              </w:rPr>
            </w:pPr>
            <w:r>
              <w:rPr>
                <w:color w:val="auto"/>
              </w:rPr>
              <w:t>备注</w:t>
            </w:r>
          </w:p>
        </w:tc>
      </w:tr>
      <w:tr w14:paraId="2525A7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7C902E94">
            <w:pPr>
              <w:pStyle w:val="33"/>
              <w:rPr>
                <w:rFonts w:eastAsiaTheme="minorEastAsia"/>
                <w:color w:val="auto"/>
                <w:spacing w:val="-10"/>
              </w:rPr>
            </w:pPr>
            <w:r>
              <w:rPr>
                <w:rFonts w:hint="eastAsia" w:eastAsiaTheme="minorEastAsia"/>
                <w:color w:val="auto"/>
                <w:spacing w:val="-10"/>
              </w:rPr>
              <w:t>1</w:t>
            </w:r>
          </w:p>
        </w:tc>
        <w:tc>
          <w:tcPr>
            <w:tcW w:w="859" w:type="pct"/>
            <w:vAlign w:val="center"/>
          </w:tcPr>
          <w:p w14:paraId="4257F188">
            <w:pPr>
              <w:pStyle w:val="33"/>
              <w:rPr>
                <w:color w:val="auto"/>
              </w:rPr>
            </w:pPr>
            <w:r>
              <w:rPr>
                <w:color w:val="auto"/>
              </w:rPr>
              <w:t>1，3-丁二烯</w:t>
            </w:r>
          </w:p>
        </w:tc>
        <w:tc>
          <w:tcPr>
            <w:tcW w:w="546" w:type="pct"/>
            <w:vAlign w:val="center"/>
          </w:tcPr>
          <w:p w14:paraId="42D9BB5C">
            <w:pPr>
              <w:pStyle w:val="33"/>
              <w:rPr>
                <w:color w:val="auto"/>
              </w:rPr>
            </w:pPr>
            <w:r>
              <w:rPr>
                <w:color w:val="auto"/>
              </w:rPr>
              <w:t>180</w:t>
            </w:r>
          </w:p>
        </w:tc>
        <w:tc>
          <w:tcPr>
            <w:tcW w:w="704" w:type="pct"/>
            <w:vAlign w:val="center"/>
          </w:tcPr>
          <w:p w14:paraId="35F580CE">
            <w:pPr>
              <w:pStyle w:val="33"/>
              <w:rPr>
                <w:color w:val="auto"/>
              </w:rPr>
            </w:pPr>
            <w:r>
              <w:rPr>
                <w:color w:val="auto"/>
              </w:rPr>
              <w:t>45000</w:t>
            </w:r>
          </w:p>
        </w:tc>
        <w:tc>
          <w:tcPr>
            <w:tcW w:w="545" w:type="pct"/>
            <w:vAlign w:val="center"/>
          </w:tcPr>
          <w:p w14:paraId="265B2426">
            <w:pPr>
              <w:pStyle w:val="33"/>
              <w:rPr>
                <w:color w:val="auto"/>
              </w:rPr>
            </w:pPr>
            <w:r>
              <w:rPr>
                <w:color w:val="auto"/>
              </w:rPr>
              <w:t>槽罐</w:t>
            </w:r>
          </w:p>
        </w:tc>
        <w:tc>
          <w:tcPr>
            <w:tcW w:w="548" w:type="pct"/>
            <w:vAlign w:val="center"/>
          </w:tcPr>
          <w:p w14:paraId="118679F5">
            <w:pPr>
              <w:pStyle w:val="33"/>
              <w:rPr>
                <w:color w:val="auto"/>
              </w:rPr>
            </w:pPr>
            <w:r>
              <w:rPr>
                <w:color w:val="auto"/>
              </w:rPr>
              <w:t>外购</w:t>
            </w:r>
          </w:p>
        </w:tc>
        <w:tc>
          <w:tcPr>
            <w:tcW w:w="1482" w:type="pct"/>
            <w:vAlign w:val="center"/>
          </w:tcPr>
          <w:p w14:paraId="6F016FA9">
            <w:pPr>
              <w:pStyle w:val="33"/>
              <w:rPr>
                <w:color w:val="auto"/>
              </w:rPr>
            </w:pPr>
            <w:r>
              <w:rPr>
                <w:color w:val="auto"/>
              </w:rPr>
              <w:t>反应原料</w:t>
            </w:r>
          </w:p>
        </w:tc>
      </w:tr>
      <w:tr w14:paraId="2397DC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3094ABFB">
            <w:pPr>
              <w:pStyle w:val="33"/>
              <w:rPr>
                <w:color w:val="auto"/>
                <w:spacing w:val="-8"/>
              </w:rPr>
            </w:pPr>
            <w:r>
              <w:rPr>
                <w:rFonts w:hint="eastAsia"/>
                <w:color w:val="auto"/>
                <w:spacing w:val="-8"/>
              </w:rPr>
              <w:t>2</w:t>
            </w:r>
          </w:p>
        </w:tc>
        <w:tc>
          <w:tcPr>
            <w:tcW w:w="859" w:type="pct"/>
            <w:vAlign w:val="center"/>
          </w:tcPr>
          <w:p w14:paraId="52969C8A">
            <w:pPr>
              <w:pStyle w:val="33"/>
              <w:rPr>
                <w:color w:val="auto"/>
              </w:rPr>
            </w:pPr>
            <w:r>
              <w:rPr>
                <w:color w:val="auto"/>
              </w:rPr>
              <w:t>苯乙烯</w:t>
            </w:r>
          </w:p>
        </w:tc>
        <w:tc>
          <w:tcPr>
            <w:tcW w:w="546" w:type="pct"/>
            <w:vAlign w:val="center"/>
          </w:tcPr>
          <w:p w14:paraId="77004A99">
            <w:pPr>
              <w:pStyle w:val="33"/>
              <w:rPr>
                <w:color w:val="auto"/>
              </w:rPr>
            </w:pPr>
            <w:r>
              <w:rPr>
                <w:color w:val="auto"/>
              </w:rPr>
              <w:t>280</w:t>
            </w:r>
          </w:p>
        </w:tc>
        <w:tc>
          <w:tcPr>
            <w:tcW w:w="704" w:type="pct"/>
            <w:vAlign w:val="center"/>
          </w:tcPr>
          <w:p w14:paraId="613AC212">
            <w:pPr>
              <w:pStyle w:val="33"/>
              <w:rPr>
                <w:color w:val="auto"/>
              </w:rPr>
            </w:pPr>
            <w:r>
              <w:rPr>
                <w:color w:val="auto"/>
              </w:rPr>
              <w:t>70000</w:t>
            </w:r>
          </w:p>
        </w:tc>
        <w:tc>
          <w:tcPr>
            <w:tcW w:w="545" w:type="pct"/>
            <w:vAlign w:val="center"/>
          </w:tcPr>
          <w:p w14:paraId="26341B5C">
            <w:pPr>
              <w:pStyle w:val="33"/>
              <w:rPr>
                <w:color w:val="auto"/>
              </w:rPr>
            </w:pPr>
            <w:r>
              <w:rPr>
                <w:color w:val="auto"/>
              </w:rPr>
              <w:t>槽罐</w:t>
            </w:r>
          </w:p>
        </w:tc>
        <w:tc>
          <w:tcPr>
            <w:tcW w:w="548" w:type="pct"/>
            <w:vAlign w:val="center"/>
          </w:tcPr>
          <w:p w14:paraId="380A64B3">
            <w:pPr>
              <w:pStyle w:val="33"/>
              <w:rPr>
                <w:color w:val="auto"/>
              </w:rPr>
            </w:pPr>
            <w:r>
              <w:rPr>
                <w:color w:val="auto"/>
              </w:rPr>
              <w:t>外购</w:t>
            </w:r>
          </w:p>
        </w:tc>
        <w:tc>
          <w:tcPr>
            <w:tcW w:w="1482" w:type="pct"/>
            <w:vAlign w:val="center"/>
          </w:tcPr>
          <w:p w14:paraId="01C5FD6C">
            <w:pPr>
              <w:pStyle w:val="33"/>
              <w:rPr>
                <w:color w:val="auto"/>
              </w:rPr>
            </w:pPr>
            <w:r>
              <w:rPr>
                <w:color w:val="auto"/>
              </w:rPr>
              <w:t>反应原料</w:t>
            </w:r>
          </w:p>
        </w:tc>
      </w:tr>
      <w:tr w14:paraId="62C122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13EA1A37">
            <w:pPr>
              <w:pStyle w:val="33"/>
              <w:rPr>
                <w:color w:val="auto"/>
                <w:spacing w:val="-9"/>
              </w:rPr>
            </w:pPr>
            <w:r>
              <w:rPr>
                <w:rFonts w:hint="eastAsia"/>
                <w:color w:val="auto"/>
                <w:spacing w:val="-9"/>
              </w:rPr>
              <w:t>3</w:t>
            </w:r>
          </w:p>
        </w:tc>
        <w:tc>
          <w:tcPr>
            <w:tcW w:w="859" w:type="pct"/>
            <w:vAlign w:val="center"/>
          </w:tcPr>
          <w:p w14:paraId="16FC5D9D">
            <w:pPr>
              <w:pStyle w:val="33"/>
              <w:rPr>
                <w:color w:val="auto"/>
              </w:rPr>
            </w:pPr>
            <w:r>
              <w:rPr>
                <w:color w:val="auto"/>
              </w:rPr>
              <w:t>丙烯腈</w:t>
            </w:r>
          </w:p>
        </w:tc>
        <w:tc>
          <w:tcPr>
            <w:tcW w:w="546" w:type="pct"/>
            <w:vAlign w:val="center"/>
          </w:tcPr>
          <w:p w14:paraId="6AA01B43">
            <w:pPr>
              <w:pStyle w:val="33"/>
              <w:rPr>
                <w:color w:val="auto"/>
              </w:rPr>
            </w:pPr>
            <w:r>
              <w:rPr>
                <w:color w:val="auto"/>
              </w:rPr>
              <w:t>3.2</w:t>
            </w:r>
          </w:p>
        </w:tc>
        <w:tc>
          <w:tcPr>
            <w:tcW w:w="704" w:type="pct"/>
            <w:vAlign w:val="center"/>
          </w:tcPr>
          <w:p w14:paraId="1B42C145">
            <w:pPr>
              <w:pStyle w:val="33"/>
              <w:rPr>
                <w:color w:val="auto"/>
              </w:rPr>
            </w:pPr>
            <w:r>
              <w:rPr>
                <w:color w:val="auto"/>
              </w:rPr>
              <w:t>800</w:t>
            </w:r>
          </w:p>
        </w:tc>
        <w:tc>
          <w:tcPr>
            <w:tcW w:w="545" w:type="pct"/>
            <w:vAlign w:val="center"/>
          </w:tcPr>
          <w:p w14:paraId="6AFD2511">
            <w:pPr>
              <w:pStyle w:val="33"/>
              <w:rPr>
                <w:color w:val="auto"/>
              </w:rPr>
            </w:pPr>
            <w:r>
              <w:rPr>
                <w:color w:val="auto"/>
              </w:rPr>
              <w:t>槽罐</w:t>
            </w:r>
          </w:p>
        </w:tc>
        <w:tc>
          <w:tcPr>
            <w:tcW w:w="548" w:type="pct"/>
            <w:vAlign w:val="center"/>
          </w:tcPr>
          <w:p w14:paraId="0C83F570">
            <w:pPr>
              <w:pStyle w:val="33"/>
              <w:rPr>
                <w:color w:val="auto"/>
              </w:rPr>
            </w:pPr>
            <w:r>
              <w:rPr>
                <w:color w:val="auto"/>
              </w:rPr>
              <w:t>外购</w:t>
            </w:r>
          </w:p>
        </w:tc>
        <w:tc>
          <w:tcPr>
            <w:tcW w:w="1482" w:type="pct"/>
            <w:vAlign w:val="center"/>
          </w:tcPr>
          <w:p w14:paraId="3D6B91B2">
            <w:pPr>
              <w:pStyle w:val="33"/>
              <w:rPr>
                <w:color w:val="auto"/>
              </w:rPr>
            </w:pPr>
            <w:r>
              <w:rPr>
                <w:color w:val="auto"/>
              </w:rPr>
              <w:t>反应原料</w:t>
            </w:r>
          </w:p>
        </w:tc>
      </w:tr>
      <w:tr w14:paraId="797A3C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26552AE5">
            <w:pPr>
              <w:pStyle w:val="33"/>
              <w:rPr>
                <w:color w:val="auto"/>
                <w:spacing w:val="-9"/>
              </w:rPr>
            </w:pPr>
            <w:r>
              <w:rPr>
                <w:rFonts w:hint="eastAsia"/>
                <w:color w:val="auto"/>
                <w:spacing w:val="-9"/>
              </w:rPr>
              <w:t>4</w:t>
            </w:r>
          </w:p>
        </w:tc>
        <w:tc>
          <w:tcPr>
            <w:tcW w:w="859" w:type="pct"/>
            <w:vAlign w:val="center"/>
          </w:tcPr>
          <w:p w14:paraId="2C5B54FB">
            <w:pPr>
              <w:pStyle w:val="33"/>
              <w:rPr>
                <w:color w:val="auto"/>
              </w:rPr>
            </w:pPr>
            <w:r>
              <w:rPr>
                <w:color w:val="auto"/>
              </w:rPr>
              <w:t>丙烯酸</w:t>
            </w:r>
          </w:p>
        </w:tc>
        <w:tc>
          <w:tcPr>
            <w:tcW w:w="546" w:type="pct"/>
            <w:vAlign w:val="center"/>
          </w:tcPr>
          <w:p w14:paraId="46D7E717">
            <w:pPr>
              <w:pStyle w:val="33"/>
              <w:rPr>
                <w:color w:val="auto"/>
              </w:rPr>
            </w:pPr>
            <w:r>
              <w:rPr>
                <w:color w:val="auto"/>
              </w:rPr>
              <w:t>5</w:t>
            </w:r>
          </w:p>
        </w:tc>
        <w:tc>
          <w:tcPr>
            <w:tcW w:w="704" w:type="pct"/>
            <w:vAlign w:val="center"/>
          </w:tcPr>
          <w:p w14:paraId="63C94940">
            <w:pPr>
              <w:pStyle w:val="33"/>
              <w:rPr>
                <w:color w:val="auto"/>
              </w:rPr>
            </w:pPr>
            <w:r>
              <w:rPr>
                <w:color w:val="auto"/>
              </w:rPr>
              <w:t>1250</w:t>
            </w:r>
          </w:p>
        </w:tc>
        <w:tc>
          <w:tcPr>
            <w:tcW w:w="545" w:type="pct"/>
            <w:vAlign w:val="center"/>
          </w:tcPr>
          <w:p w14:paraId="3C0C0BAB">
            <w:pPr>
              <w:pStyle w:val="33"/>
              <w:rPr>
                <w:color w:val="auto"/>
              </w:rPr>
            </w:pPr>
            <w:r>
              <w:rPr>
                <w:color w:val="auto"/>
              </w:rPr>
              <w:t>槽罐</w:t>
            </w:r>
          </w:p>
        </w:tc>
        <w:tc>
          <w:tcPr>
            <w:tcW w:w="548" w:type="pct"/>
            <w:vAlign w:val="center"/>
          </w:tcPr>
          <w:p w14:paraId="35287CC8">
            <w:pPr>
              <w:pStyle w:val="33"/>
              <w:rPr>
                <w:color w:val="auto"/>
              </w:rPr>
            </w:pPr>
            <w:r>
              <w:rPr>
                <w:color w:val="auto"/>
              </w:rPr>
              <w:t>外购</w:t>
            </w:r>
          </w:p>
        </w:tc>
        <w:tc>
          <w:tcPr>
            <w:tcW w:w="1482" w:type="pct"/>
            <w:vAlign w:val="center"/>
          </w:tcPr>
          <w:p w14:paraId="6D47E071">
            <w:pPr>
              <w:pStyle w:val="33"/>
              <w:rPr>
                <w:color w:val="auto"/>
              </w:rPr>
            </w:pPr>
            <w:r>
              <w:rPr>
                <w:color w:val="auto"/>
              </w:rPr>
              <w:t>反应原料</w:t>
            </w:r>
          </w:p>
        </w:tc>
      </w:tr>
      <w:tr w14:paraId="0B6DE5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616DC2BF">
            <w:pPr>
              <w:pStyle w:val="33"/>
              <w:rPr>
                <w:rFonts w:eastAsiaTheme="minorEastAsia"/>
                <w:color w:val="auto"/>
                <w:spacing w:val="-5"/>
              </w:rPr>
            </w:pPr>
            <w:r>
              <w:rPr>
                <w:rFonts w:hint="eastAsia" w:eastAsiaTheme="minorEastAsia"/>
                <w:color w:val="auto"/>
                <w:spacing w:val="-5"/>
              </w:rPr>
              <w:t>5</w:t>
            </w:r>
          </w:p>
        </w:tc>
        <w:tc>
          <w:tcPr>
            <w:tcW w:w="859" w:type="pct"/>
            <w:vAlign w:val="center"/>
          </w:tcPr>
          <w:p w14:paraId="4AD4F16D">
            <w:pPr>
              <w:pStyle w:val="33"/>
              <w:rPr>
                <w:color w:val="auto"/>
              </w:rPr>
            </w:pPr>
            <w:r>
              <w:rPr>
                <w:color w:val="auto"/>
              </w:rPr>
              <w:t>t-DDM</w:t>
            </w:r>
          </w:p>
        </w:tc>
        <w:tc>
          <w:tcPr>
            <w:tcW w:w="546" w:type="pct"/>
            <w:vAlign w:val="center"/>
          </w:tcPr>
          <w:p w14:paraId="663ECCD8">
            <w:pPr>
              <w:pStyle w:val="33"/>
              <w:rPr>
                <w:color w:val="auto"/>
              </w:rPr>
            </w:pPr>
            <w:r>
              <w:rPr>
                <w:color w:val="auto"/>
              </w:rPr>
              <w:t>4.6</w:t>
            </w:r>
          </w:p>
        </w:tc>
        <w:tc>
          <w:tcPr>
            <w:tcW w:w="704" w:type="pct"/>
            <w:vAlign w:val="center"/>
          </w:tcPr>
          <w:p w14:paraId="12456A0A">
            <w:pPr>
              <w:pStyle w:val="33"/>
              <w:rPr>
                <w:color w:val="auto"/>
              </w:rPr>
            </w:pPr>
            <w:r>
              <w:rPr>
                <w:color w:val="auto"/>
              </w:rPr>
              <w:t>1150</w:t>
            </w:r>
          </w:p>
        </w:tc>
        <w:tc>
          <w:tcPr>
            <w:tcW w:w="545" w:type="pct"/>
            <w:vAlign w:val="center"/>
          </w:tcPr>
          <w:p w14:paraId="0C01C6DF">
            <w:pPr>
              <w:pStyle w:val="33"/>
              <w:rPr>
                <w:color w:val="auto"/>
              </w:rPr>
            </w:pPr>
            <w:r>
              <w:rPr>
                <w:color w:val="auto"/>
              </w:rPr>
              <w:t>槽罐</w:t>
            </w:r>
          </w:p>
        </w:tc>
        <w:tc>
          <w:tcPr>
            <w:tcW w:w="548" w:type="pct"/>
            <w:vAlign w:val="center"/>
          </w:tcPr>
          <w:p w14:paraId="3B370632">
            <w:pPr>
              <w:pStyle w:val="33"/>
              <w:rPr>
                <w:color w:val="auto"/>
              </w:rPr>
            </w:pPr>
            <w:r>
              <w:rPr>
                <w:color w:val="auto"/>
              </w:rPr>
              <w:t>外购</w:t>
            </w:r>
          </w:p>
        </w:tc>
        <w:tc>
          <w:tcPr>
            <w:tcW w:w="1482" w:type="pct"/>
            <w:vAlign w:val="center"/>
          </w:tcPr>
          <w:p w14:paraId="48F573F2">
            <w:pPr>
              <w:pStyle w:val="33"/>
              <w:rPr>
                <w:color w:val="auto"/>
              </w:rPr>
            </w:pPr>
            <w:r>
              <w:rPr>
                <w:color w:val="auto"/>
              </w:rPr>
              <w:t>聚合作用</w:t>
            </w:r>
          </w:p>
        </w:tc>
      </w:tr>
      <w:tr w14:paraId="5CB28B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11FED103">
            <w:pPr>
              <w:pStyle w:val="33"/>
              <w:rPr>
                <w:color w:val="auto"/>
                <w:spacing w:val="-10"/>
              </w:rPr>
            </w:pPr>
            <w:r>
              <w:rPr>
                <w:rFonts w:hint="eastAsia"/>
                <w:color w:val="auto"/>
                <w:spacing w:val="-10"/>
              </w:rPr>
              <w:t>6</w:t>
            </w:r>
          </w:p>
        </w:tc>
        <w:tc>
          <w:tcPr>
            <w:tcW w:w="859" w:type="pct"/>
            <w:vAlign w:val="center"/>
          </w:tcPr>
          <w:p w14:paraId="77A520C0">
            <w:pPr>
              <w:pStyle w:val="33"/>
              <w:rPr>
                <w:color w:val="auto"/>
              </w:rPr>
            </w:pPr>
            <w:r>
              <w:rPr>
                <w:color w:val="auto"/>
              </w:rPr>
              <w:t>富马酸</w:t>
            </w:r>
          </w:p>
        </w:tc>
        <w:tc>
          <w:tcPr>
            <w:tcW w:w="546" w:type="pct"/>
            <w:vAlign w:val="center"/>
          </w:tcPr>
          <w:p w14:paraId="14E65C97">
            <w:pPr>
              <w:pStyle w:val="33"/>
              <w:rPr>
                <w:color w:val="auto"/>
              </w:rPr>
            </w:pPr>
            <w:r>
              <w:rPr>
                <w:color w:val="auto"/>
              </w:rPr>
              <w:t>2.5</w:t>
            </w:r>
          </w:p>
        </w:tc>
        <w:tc>
          <w:tcPr>
            <w:tcW w:w="704" w:type="pct"/>
            <w:vAlign w:val="center"/>
          </w:tcPr>
          <w:p w14:paraId="647AC3A0">
            <w:pPr>
              <w:pStyle w:val="33"/>
              <w:rPr>
                <w:color w:val="auto"/>
              </w:rPr>
            </w:pPr>
            <w:r>
              <w:rPr>
                <w:color w:val="auto"/>
              </w:rPr>
              <w:t>625</w:t>
            </w:r>
          </w:p>
        </w:tc>
        <w:tc>
          <w:tcPr>
            <w:tcW w:w="545" w:type="pct"/>
            <w:vAlign w:val="center"/>
          </w:tcPr>
          <w:p w14:paraId="54AFC8DC">
            <w:pPr>
              <w:pStyle w:val="33"/>
              <w:rPr>
                <w:color w:val="auto"/>
              </w:rPr>
            </w:pPr>
            <w:r>
              <w:rPr>
                <w:color w:val="auto"/>
              </w:rPr>
              <w:t>袋装</w:t>
            </w:r>
          </w:p>
        </w:tc>
        <w:tc>
          <w:tcPr>
            <w:tcW w:w="548" w:type="pct"/>
            <w:vAlign w:val="center"/>
          </w:tcPr>
          <w:p w14:paraId="76B983CC">
            <w:pPr>
              <w:pStyle w:val="33"/>
              <w:rPr>
                <w:color w:val="auto"/>
              </w:rPr>
            </w:pPr>
            <w:r>
              <w:rPr>
                <w:color w:val="auto"/>
              </w:rPr>
              <w:t>外购</w:t>
            </w:r>
          </w:p>
        </w:tc>
        <w:tc>
          <w:tcPr>
            <w:tcW w:w="1482" w:type="pct"/>
            <w:vMerge w:val="restart"/>
            <w:tcBorders>
              <w:bottom w:val="nil"/>
            </w:tcBorders>
            <w:vAlign w:val="center"/>
          </w:tcPr>
          <w:p w14:paraId="46022E2F">
            <w:pPr>
              <w:pStyle w:val="33"/>
              <w:rPr>
                <w:color w:val="auto"/>
              </w:rPr>
            </w:pPr>
            <w:r>
              <w:rPr>
                <w:color w:val="auto"/>
              </w:rPr>
              <w:t>不饱和二元有机酸，聚合作用</w:t>
            </w:r>
          </w:p>
        </w:tc>
      </w:tr>
      <w:tr w14:paraId="52F2EB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4897EF94">
            <w:pPr>
              <w:pStyle w:val="33"/>
              <w:rPr>
                <w:color w:val="auto"/>
                <w:spacing w:val="-8"/>
              </w:rPr>
            </w:pPr>
            <w:r>
              <w:rPr>
                <w:rFonts w:hint="eastAsia"/>
                <w:color w:val="auto"/>
                <w:spacing w:val="-8"/>
              </w:rPr>
              <w:t>7</w:t>
            </w:r>
          </w:p>
        </w:tc>
        <w:tc>
          <w:tcPr>
            <w:tcW w:w="859" w:type="pct"/>
            <w:vAlign w:val="center"/>
          </w:tcPr>
          <w:p w14:paraId="07CEE759">
            <w:pPr>
              <w:pStyle w:val="33"/>
              <w:rPr>
                <w:color w:val="auto"/>
              </w:rPr>
            </w:pPr>
            <w:r>
              <w:rPr>
                <w:color w:val="auto"/>
              </w:rPr>
              <w:t>衣康酸</w:t>
            </w:r>
          </w:p>
        </w:tc>
        <w:tc>
          <w:tcPr>
            <w:tcW w:w="546" w:type="pct"/>
            <w:vAlign w:val="center"/>
          </w:tcPr>
          <w:p w14:paraId="278DE7FF">
            <w:pPr>
              <w:pStyle w:val="33"/>
              <w:rPr>
                <w:color w:val="auto"/>
              </w:rPr>
            </w:pPr>
            <w:r>
              <w:rPr>
                <w:color w:val="auto"/>
              </w:rPr>
              <w:t>2.5</w:t>
            </w:r>
          </w:p>
        </w:tc>
        <w:tc>
          <w:tcPr>
            <w:tcW w:w="704" w:type="pct"/>
            <w:vAlign w:val="center"/>
          </w:tcPr>
          <w:p w14:paraId="0A09F0FD">
            <w:pPr>
              <w:pStyle w:val="33"/>
              <w:rPr>
                <w:color w:val="auto"/>
              </w:rPr>
            </w:pPr>
            <w:r>
              <w:rPr>
                <w:color w:val="auto"/>
              </w:rPr>
              <w:t>625</w:t>
            </w:r>
          </w:p>
        </w:tc>
        <w:tc>
          <w:tcPr>
            <w:tcW w:w="545" w:type="pct"/>
            <w:vAlign w:val="center"/>
          </w:tcPr>
          <w:p w14:paraId="3A6EDB19">
            <w:pPr>
              <w:pStyle w:val="33"/>
              <w:rPr>
                <w:color w:val="auto"/>
              </w:rPr>
            </w:pPr>
            <w:r>
              <w:rPr>
                <w:color w:val="auto"/>
              </w:rPr>
              <w:t>袋装</w:t>
            </w:r>
          </w:p>
        </w:tc>
        <w:tc>
          <w:tcPr>
            <w:tcW w:w="548" w:type="pct"/>
            <w:vAlign w:val="center"/>
          </w:tcPr>
          <w:p w14:paraId="49D828F8">
            <w:pPr>
              <w:pStyle w:val="33"/>
              <w:rPr>
                <w:color w:val="auto"/>
              </w:rPr>
            </w:pPr>
            <w:r>
              <w:rPr>
                <w:color w:val="auto"/>
              </w:rPr>
              <w:t>外购</w:t>
            </w:r>
          </w:p>
        </w:tc>
        <w:tc>
          <w:tcPr>
            <w:tcW w:w="1482" w:type="pct"/>
            <w:vMerge w:val="continue"/>
            <w:tcBorders>
              <w:top w:val="nil"/>
            </w:tcBorders>
            <w:vAlign w:val="center"/>
          </w:tcPr>
          <w:p w14:paraId="04A89899">
            <w:pPr>
              <w:pStyle w:val="33"/>
              <w:rPr>
                <w:color w:val="auto"/>
              </w:rPr>
            </w:pPr>
          </w:p>
        </w:tc>
      </w:tr>
      <w:tr w14:paraId="64719C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4C46C60C">
            <w:pPr>
              <w:pStyle w:val="33"/>
              <w:rPr>
                <w:color w:val="auto"/>
                <w:spacing w:val="-9"/>
              </w:rPr>
            </w:pPr>
            <w:r>
              <w:rPr>
                <w:rFonts w:hint="eastAsia"/>
                <w:color w:val="auto"/>
                <w:spacing w:val="-9"/>
              </w:rPr>
              <w:t>8</w:t>
            </w:r>
          </w:p>
        </w:tc>
        <w:tc>
          <w:tcPr>
            <w:tcW w:w="859" w:type="pct"/>
            <w:vAlign w:val="center"/>
          </w:tcPr>
          <w:p w14:paraId="5228A189">
            <w:pPr>
              <w:pStyle w:val="33"/>
              <w:rPr>
                <w:color w:val="auto"/>
              </w:rPr>
            </w:pPr>
            <w:r>
              <w:rPr>
                <w:color w:val="auto"/>
              </w:rPr>
              <w:t>过硫酸铵</w:t>
            </w:r>
          </w:p>
        </w:tc>
        <w:tc>
          <w:tcPr>
            <w:tcW w:w="546" w:type="pct"/>
            <w:vAlign w:val="center"/>
          </w:tcPr>
          <w:p w14:paraId="7BC9E32D">
            <w:pPr>
              <w:pStyle w:val="33"/>
              <w:rPr>
                <w:color w:val="auto"/>
              </w:rPr>
            </w:pPr>
            <w:r>
              <w:rPr>
                <w:color w:val="auto"/>
              </w:rPr>
              <w:t>1.5</w:t>
            </w:r>
          </w:p>
        </w:tc>
        <w:tc>
          <w:tcPr>
            <w:tcW w:w="704" w:type="pct"/>
            <w:vAlign w:val="center"/>
          </w:tcPr>
          <w:p w14:paraId="0B1D3075">
            <w:pPr>
              <w:pStyle w:val="33"/>
              <w:rPr>
                <w:color w:val="auto"/>
              </w:rPr>
            </w:pPr>
            <w:r>
              <w:rPr>
                <w:color w:val="auto"/>
              </w:rPr>
              <w:t>375</w:t>
            </w:r>
          </w:p>
        </w:tc>
        <w:tc>
          <w:tcPr>
            <w:tcW w:w="545" w:type="pct"/>
            <w:vAlign w:val="center"/>
          </w:tcPr>
          <w:p w14:paraId="79D8BCC3">
            <w:pPr>
              <w:pStyle w:val="33"/>
              <w:rPr>
                <w:color w:val="auto"/>
              </w:rPr>
            </w:pPr>
            <w:r>
              <w:rPr>
                <w:color w:val="auto"/>
              </w:rPr>
              <w:t>袋装</w:t>
            </w:r>
          </w:p>
        </w:tc>
        <w:tc>
          <w:tcPr>
            <w:tcW w:w="548" w:type="pct"/>
            <w:vAlign w:val="center"/>
          </w:tcPr>
          <w:p w14:paraId="0ACE70E4">
            <w:pPr>
              <w:pStyle w:val="33"/>
              <w:rPr>
                <w:color w:val="auto"/>
              </w:rPr>
            </w:pPr>
            <w:r>
              <w:rPr>
                <w:color w:val="auto"/>
              </w:rPr>
              <w:t>外购</w:t>
            </w:r>
          </w:p>
        </w:tc>
        <w:tc>
          <w:tcPr>
            <w:tcW w:w="1482" w:type="pct"/>
            <w:vAlign w:val="center"/>
          </w:tcPr>
          <w:p w14:paraId="2CCD8B9C">
            <w:pPr>
              <w:pStyle w:val="33"/>
              <w:rPr>
                <w:color w:val="auto"/>
              </w:rPr>
            </w:pPr>
            <w:r>
              <w:rPr>
                <w:color w:val="auto"/>
              </w:rPr>
              <w:t>引发剂</w:t>
            </w:r>
          </w:p>
        </w:tc>
      </w:tr>
      <w:tr w14:paraId="45EC5F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7593FA0D">
            <w:pPr>
              <w:pStyle w:val="33"/>
              <w:rPr>
                <w:color w:val="auto"/>
                <w:spacing w:val="-9"/>
              </w:rPr>
            </w:pPr>
            <w:r>
              <w:rPr>
                <w:rFonts w:hint="eastAsia"/>
                <w:color w:val="auto"/>
                <w:spacing w:val="-9"/>
              </w:rPr>
              <w:t>9</w:t>
            </w:r>
          </w:p>
        </w:tc>
        <w:tc>
          <w:tcPr>
            <w:tcW w:w="859" w:type="pct"/>
            <w:vAlign w:val="center"/>
          </w:tcPr>
          <w:p w14:paraId="48ECABD3">
            <w:pPr>
              <w:pStyle w:val="33"/>
              <w:rPr>
                <w:color w:val="auto"/>
              </w:rPr>
            </w:pPr>
            <w:r>
              <w:rPr>
                <w:color w:val="auto"/>
              </w:rPr>
              <w:t>氢氧化钠（20%）</w:t>
            </w:r>
          </w:p>
        </w:tc>
        <w:tc>
          <w:tcPr>
            <w:tcW w:w="546" w:type="pct"/>
            <w:vAlign w:val="center"/>
          </w:tcPr>
          <w:p w14:paraId="3A889518">
            <w:pPr>
              <w:pStyle w:val="33"/>
              <w:rPr>
                <w:color w:val="auto"/>
              </w:rPr>
            </w:pPr>
            <w:r>
              <w:rPr>
                <w:color w:val="auto"/>
              </w:rPr>
              <w:t>7.5</w:t>
            </w:r>
          </w:p>
        </w:tc>
        <w:tc>
          <w:tcPr>
            <w:tcW w:w="704" w:type="pct"/>
            <w:vAlign w:val="center"/>
          </w:tcPr>
          <w:p w14:paraId="24CC9296">
            <w:pPr>
              <w:pStyle w:val="33"/>
              <w:rPr>
                <w:color w:val="auto"/>
              </w:rPr>
            </w:pPr>
            <w:r>
              <w:rPr>
                <w:color w:val="auto"/>
              </w:rPr>
              <w:t>1875</w:t>
            </w:r>
          </w:p>
        </w:tc>
        <w:tc>
          <w:tcPr>
            <w:tcW w:w="545" w:type="pct"/>
            <w:vAlign w:val="center"/>
          </w:tcPr>
          <w:p w14:paraId="5720484D">
            <w:pPr>
              <w:pStyle w:val="33"/>
              <w:rPr>
                <w:color w:val="auto"/>
              </w:rPr>
            </w:pPr>
            <w:r>
              <w:rPr>
                <w:color w:val="auto"/>
              </w:rPr>
              <w:t>槽罐</w:t>
            </w:r>
          </w:p>
        </w:tc>
        <w:tc>
          <w:tcPr>
            <w:tcW w:w="548" w:type="pct"/>
            <w:vAlign w:val="center"/>
          </w:tcPr>
          <w:p w14:paraId="0C829A93">
            <w:pPr>
              <w:pStyle w:val="33"/>
              <w:rPr>
                <w:color w:val="auto"/>
              </w:rPr>
            </w:pPr>
            <w:r>
              <w:rPr>
                <w:color w:val="auto"/>
              </w:rPr>
              <w:t>外购</w:t>
            </w:r>
          </w:p>
        </w:tc>
        <w:tc>
          <w:tcPr>
            <w:tcW w:w="1482" w:type="pct"/>
            <w:vAlign w:val="center"/>
          </w:tcPr>
          <w:p w14:paraId="0970C2C3">
            <w:pPr>
              <w:pStyle w:val="33"/>
              <w:rPr>
                <w:color w:val="auto"/>
              </w:rPr>
            </w:pPr>
            <w:r>
              <w:rPr>
                <w:color w:val="auto"/>
              </w:rPr>
              <w:t>引发剂</w:t>
            </w:r>
          </w:p>
        </w:tc>
      </w:tr>
      <w:tr w14:paraId="46E891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181E2E9C">
            <w:pPr>
              <w:pStyle w:val="33"/>
              <w:rPr>
                <w:color w:val="auto"/>
                <w:spacing w:val="-7"/>
              </w:rPr>
            </w:pPr>
            <w:r>
              <w:rPr>
                <w:rFonts w:hint="eastAsia"/>
                <w:color w:val="auto"/>
                <w:spacing w:val="-7"/>
              </w:rPr>
              <w:t>10</w:t>
            </w:r>
          </w:p>
        </w:tc>
        <w:tc>
          <w:tcPr>
            <w:tcW w:w="859" w:type="pct"/>
            <w:vAlign w:val="center"/>
          </w:tcPr>
          <w:p w14:paraId="58EEDF34">
            <w:pPr>
              <w:pStyle w:val="33"/>
              <w:rPr>
                <w:color w:val="auto"/>
              </w:rPr>
            </w:pPr>
            <w:r>
              <w:rPr>
                <w:color w:val="auto"/>
              </w:rPr>
              <w:t>溴仿</w:t>
            </w:r>
          </w:p>
        </w:tc>
        <w:tc>
          <w:tcPr>
            <w:tcW w:w="546" w:type="pct"/>
            <w:vAlign w:val="center"/>
          </w:tcPr>
          <w:p w14:paraId="5EF5A122">
            <w:pPr>
              <w:pStyle w:val="33"/>
              <w:rPr>
                <w:color w:val="auto"/>
              </w:rPr>
            </w:pPr>
            <w:r>
              <w:rPr>
                <w:color w:val="auto"/>
              </w:rPr>
              <w:t>2</w:t>
            </w:r>
          </w:p>
        </w:tc>
        <w:tc>
          <w:tcPr>
            <w:tcW w:w="704" w:type="pct"/>
            <w:vAlign w:val="center"/>
          </w:tcPr>
          <w:p w14:paraId="10338DFD">
            <w:pPr>
              <w:pStyle w:val="33"/>
              <w:rPr>
                <w:color w:val="auto"/>
              </w:rPr>
            </w:pPr>
            <w:r>
              <w:rPr>
                <w:color w:val="auto"/>
              </w:rPr>
              <w:t>500</w:t>
            </w:r>
          </w:p>
        </w:tc>
        <w:tc>
          <w:tcPr>
            <w:tcW w:w="545" w:type="pct"/>
            <w:vAlign w:val="center"/>
          </w:tcPr>
          <w:p w14:paraId="24DAE752">
            <w:pPr>
              <w:pStyle w:val="33"/>
              <w:rPr>
                <w:color w:val="auto"/>
              </w:rPr>
            </w:pPr>
            <w:r>
              <w:rPr>
                <w:color w:val="auto"/>
              </w:rPr>
              <w:t>槽罐</w:t>
            </w:r>
          </w:p>
        </w:tc>
        <w:tc>
          <w:tcPr>
            <w:tcW w:w="548" w:type="pct"/>
            <w:vAlign w:val="center"/>
          </w:tcPr>
          <w:p w14:paraId="7CE90868">
            <w:pPr>
              <w:pStyle w:val="33"/>
              <w:rPr>
                <w:color w:val="auto"/>
              </w:rPr>
            </w:pPr>
            <w:r>
              <w:rPr>
                <w:color w:val="auto"/>
              </w:rPr>
              <w:t>外购</w:t>
            </w:r>
          </w:p>
        </w:tc>
        <w:tc>
          <w:tcPr>
            <w:tcW w:w="1482" w:type="pct"/>
            <w:vAlign w:val="center"/>
          </w:tcPr>
          <w:p w14:paraId="12F472E6">
            <w:pPr>
              <w:pStyle w:val="33"/>
              <w:rPr>
                <w:color w:val="auto"/>
              </w:rPr>
            </w:pPr>
            <w:r>
              <w:rPr>
                <w:color w:val="auto"/>
              </w:rPr>
              <w:t>粘结作用</w:t>
            </w:r>
          </w:p>
        </w:tc>
      </w:tr>
      <w:tr w14:paraId="7A6C28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63202BC9">
            <w:pPr>
              <w:pStyle w:val="33"/>
              <w:rPr>
                <w:color w:val="auto"/>
                <w:spacing w:val="-10"/>
              </w:rPr>
            </w:pPr>
            <w:r>
              <w:rPr>
                <w:rFonts w:hint="eastAsia"/>
                <w:color w:val="auto"/>
                <w:spacing w:val="-10"/>
              </w:rPr>
              <w:t>11</w:t>
            </w:r>
          </w:p>
        </w:tc>
        <w:tc>
          <w:tcPr>
            <w:tcW w:w="859" w:type="pct"/>
            <w:vAlign w:val="center"/>
          </w:tcPr>
          <w:p w14:paraId="643C9D67">
            <w:pPr>
              <w:pStyle w:val="33"/>
              <w:rPr>
                <w:color w:val="auto"/>
              </w:rPr>
            </w:pPr>
            <w:r>
              <w:rPr>
                <w:color w:val="auto"/>
              </w:rPr>
              <w:t>二乙烯基苯</w:t>
            </w:r>
          </w:p>
        </w:tc>
        <w:tc>
          <w:tcPr>
            <w:tcW w:w="546" w:type="pct"/>
            <w:vAlign w:val="center"/>
          </w:tcPr>
          <w:p w14:paraId="046F5B07">
            <w:pPr>
              <w:pStyle w:val="33"/>
              <w:rPr>
                <w:color w:val="auto"/>
              </w:rPr>
            </w:pPr>
            <w:r>
              <w:rPr>
                <w:color w:val="auto"/>
              </w:rPr>
              <w:t>2</w:t>
            </w:r>
          </w:p>
        </w:tc>
        <w:tc>
          <w:tcPr>
            <w:tcW w:w="704" w:type="pct"/>
            <w:vAlign w:val="center"/>
          </w:tcPr>
          <w:p w14:paraId="3F03D085">
            <w:pPr>
              <w:pStyle w:val="33"/>
              <w:rPr>
                <w:color w:val="auto"/>
              </w:rPr>
            </w:pPr>
            <w:r>
              <w:rPr>
                <w:color w:val="auto"/>
              </w:rPr>
              <w:t>500</w:t>
            </w:r>
          </w:p>
        </w:tc>
        <w:tc>
          <w:tcPr>
            <w:tcW w:w="545" w:type="pct"/>
            <w:vAlign w:val="center"/>
          </w:tcPr>
          <w:p w14:paraId="106341E8">
            <w:pPr>
              <w:pStyle w:val="33"/>
              <w:rPr>
                <w:color w:val="auto"/>
              </w:rPr>
            </w:pPr>
            <w:r>
              <w:rPr>
                <w:color w:val="auto"/>
              </w:rPr>
              <w:t>槽罐</w:t>
            </w:r>
          </w:p>
        </w:tc>
        <w:tc>
          <w:tcPr>
            <w:tcW w:w="548" w:type="pct"/>
            <w:vAlign w:val="center"/>
          </w:tcPr>
          <w:p w14:paraId="4AE40E9D">
            <w:pPr>
              <w:pStyle w:val="33"/>
              <w:rPr>
                <w:color w:val="auto"/>
              </w:rPr>
            </w:pPr>
            <w:r>
              <w:rPr>
                <w:color w:val="auto"/>
              </w:rPr>
              <w:t>外购</w:t>
            </w:r>
          </w:p>
        </w:tc>
        <w:tc>
          <w:tcPr>
            <w:tcW w:w="1482" w:type="pct"/>
            <w:vAlign w:val="center"/>
          </w:tcPr>
          <w:p w14:paraId="2A1172C1">
            <w:pPr>
              <w:pStyle w:val="33"/>
              <w:rPr>
                <w:color w:val="auto"/>
              </w:rPr>
            </w:pPr>
            <w:r>
              <w:rPr>
                <w:color w:val="auto"/>
              </w:rPr>
              <w:t>聚合作用</w:t>
            </w:r>
          </w:p>
        </w:tc>
      </w:tr>
      <w:tr w14:paraId="7CCAF2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224D82C4">
            <w:pPr>
              <w:pStyle w:val="33"/>
              <w:rPr>
                <w:rFonts w:eastAsiaTheme="minorEastAsia"/>
                <w:color w:val="auto"/>
                <w:spacing w:val="-6"/>
              </w:rPr>
            </w:pPr>
            <w:r>
              <w:rPr>
                <w:rFonts w:hint="eastAsia" w:eastAsiaTheme="minorEastAsia"/>
                <w:color w:val="auto"/>
                <w:spacing w:val="-6"/>
              </w:rPr>
              <w:t>12</w:t>
            </w:r>
          </w:p>
        </w:tc>
        <w:tc>
          <w:tcPr>
            <w:tcW w:w="859" w:type="pct"/>
            <w:vAlign w:val="center"/>
          </w:tcPr>
          <w:p w14:paraId="129E52FA">
            <w:pPr>
              <w:pStyle w:val="33"/>
              <w:rPr>
                <w:color w:val="auto"/>
              </w:rPr>
            </w:pPr>
            <w:r>
              <w:rPr>
                <w:color w:val="auto"/>
              </w:rPr>
              <w:t>Dowfax2A1</w:t>
            </w:r>
          </w:p>
        </w:tc>
        <w:tc>
          <w:tcPr>
            <w:tcW w:w="546" w:type="pct"/>
            <w:vAlign w:val="center"/>
          </w:tcPr>
          <w:p w14:paraId="5EE1F605">
            <w:pPr>
              <w:pStyle w:val="33"/>
              <w:rPr>
                <w:color w:val="auto"/>
              </w:rPr>
            </w:pPr>
            <w:r>
              <w:rPr>
                <w:color w:val="auto"/>
              </w:rPr>
              <w:t>0.9</w:t>
            </w:r>
          </w:p>
        </w:tc>
        <w:tc>
          <w:tcPr>
            <w:tcW w:w="704" w:type="pct"/>
            <w:vAlign w:val="center"/>
          </w:tcPr>
          <w:p w14:paraId="1DA7F64F">
            <w:pPr>
              <w:pStyle w:val="33"/>
              <w:rPr>
                <w:color w:val="auto"/>
              </w:rPr>
            </w:pPr>
            <w:r>
              <w:rPr>
                <w:color w:val="auto"/>
              </w:rPr>
              <w:t>225</w:t>
            </w:r>
          </w:p>
        </w:tc>
        <w:tc>
          <w:tcPr>
            <w:tcW w:w="545" w:type="pct"/>
            <w:vAlign w:val="center"/>
          </w:tcPr>
          <w:p w14:paraId="4FA0FC08">
            <w:pPr>
              <w:pStyle w:val="33"/>
              <w:rPr>
                <w:color w:val="auto"/>
              </w:rPr>
            </w:pPr>
            <w:r>
              <w:rPr>
                <w:color w:val="auto"/>
              </w:rPr>
              <w:t>槽罐</w:t>
            </w:r>
          </w:p>
        </w:tc>
        <w:tc>
          <w:tcPr>
            <w:tcW w:w="548" w:type="pct"/>
            <w:vAlign w:val="center"/>
          </w:tcPr>
          <w:p w14:paraId="6DF195BF">
            <w:pPr>
              <w:pStyle w:val="33"/>
              <w:rPr>
                <w:color w:val="auto"/>
              </w:rPr>
            </w:pPr>
            <w:r>
              <w:rPr>
                <w:color w:val="auto"/>
              </w:rPr>
              <w:t>外购</w:t>
            </w:r>
          </w:p>
        </w:tc>
        <w:tc>
          <w:tcPr>
            <w:tcW w:w="1482" w:type="pct"/>
            <w:vAlign w:val="center"/>
          </w:tcPr>
          <w:p w14:paraId="680AAE3B">
            <w:pPr>
              <w:pStyle w:val="33"/>
              <w:rPr>
                <w:color w:val="auto"/>
              </w:rPr>
            </w:pPr>
            <w:r>
              <w:rPr>
                <w:color w:val="auto"/>
              </w:rPr>
              <w:t>乳化剂</w:t>
            </w:r>
          </w:p>
        </w:tc>
      </w:tr>
      <w:tr w14:paraId="09FDA1D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10C0A6F7">
            <w:pPr>
              <w:pStyle w:val="33"/>
              <w:rPr>
                <w:rFonts w:eastAsiaTheme="minorEastAsia"/>
                <w:color w:val="auto"/>
                <w:spacing w:val="-6"/>
              </w:rPr>
            </w:pPr>
            <w:r>
              <w:rPr>
                <w:rFonts w:hint="eastAsia" w:eastAsiaTheme="minorEastAsia"/>
                <w:color w:val="auto"/>
                <w:spacing w:val="-6"/>
              </w:rPr>
              <w:t>13</w:t>
            </w:r>
          </w:p>
        </w:tc>
        <w:tc>
          <w:tcPr>
            <w:tcW w:w="859" w:type="pct"/>
            <w:vAlign w:val="center"/>
          </w:tcPr>
          <w:p w14:paraId="49D208CD">
            <w:pPr>
              <w:pStyle w:val="33"/>
              <w:rPr>
                <w:color w:val="auto"/>
              </w:rPr>
            </w:pPr>
            <w:r>
              <w:rPr>
                <w:color w:val="auto"/>
              </w:rPr>
              <w:t>ActicideMPS</w:t>
            </w:r>
          </w:p>
        </w:tc>
        <w:tc>
          <w:tcPr>
            <w:tcW w:w="546" w:type="pct"/>
            <w:vAlign w:val="center"/>
          </w:tcPr>
          <w:p w14:paraId="19A88DB9">
            <w:pPr>
              <w:pStyle w:val="33"/>
              <w:rPr>
                <w:color w:val="auto"/>
              </w:rPr>
            </w:pPr>
            <w:r>
              <w:rPr>
                <w:color w:val="auto"/>
              </w:rPr>
              <w:t>1.2</w:t>
            </w:r>
          </w:p>
        </w:tc>
        <w:tc>
          <w:tcPr>
            <w:tcW w:w="704" w:type="pct"/>
            <w:vAlign w:val="center"/>
          </w:tcPr>
          <w:p w14:paraId="72519F3C">
            <w:pPr>
              <w:pStyle w:val="33"/>
              <w:rPr>
                <w:color w:val="auto"/>
              </w:rPr>
            </w:pPr>
            <w:r>
              <w:rPr>
                <w:color w:val="auto"/>
              </w:rPr>
              <w:t>300</w:t>
            </w:r>
          </w:p>
        </w:tc>
        <w:tc>
          <w:tcPr>
            <w:tcW w:w="545" w:type="pct"/>
            <w:vAlign w:val="center"/>
          </w:tcPr>
          <w:p w14:paraId="4056C75E">
            <w:pPr>
              <w:pStyle w:val="33"/>
              <w:rPr>
                <w:color w:val="auto"/>
              </w:rPr>
            </w:pPr>
            <w:r>
              <w:rPr>
                <w:color w:val="auto"/>
              </w:rPr>
              <w:t>槽罐</w:t>
            </w:r>
          </w:p>
        </w:tc>
        <w:tc>
          <w:tcPr>
            <w:tcW w:w="548" w:type="pct"/>
            <w:vAlign w:val="center"/>
          </w:tcPr>
          <w:p w14:paraId="5C2B43AE">
            <w:pPr>
              <w:pStyle w:val="33"/>
              <w:rPr>
                <w:color w:val="auto"/>
              </w:rPr>
            </w:pPr>
            <w:r>
              <w:rPr>
                <w:color w:val="auto"/>
              </w:rPr>
              <w:t>外购</w:t>
            </w:r>
          </w:p>
        </w:tc>
        <w:tc>
          <w:tcPr>
            <w:tcW w:w="1482" w:type="pct"/>
            <w:vAlign w:val="center"/>
          </w:tcPr>
          <w:p w14:paraId="02D03E96">
            <w:pPr>
              <w:pStyle w:val="33"/>
              <w:rPr>
                <w:color w:val="auto"/>
              </w:rPr>
            </w:pPr>
            <w:r>
              <w:rPr>
                <w:color w:val="auto"/>
              </w:rPr>
              <w:t>杀菌剂</w:t>
            </w:r>
          </w:p>
        </w:tc>
      </w:tr>
      <w:tr w14:paraId="273276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62366210">
            <w:pPr>
              <w:pStyle w:val="33"/>
              <w:rPr>
                <w:rFonts w:eastAsiaTheme="minorEastAsia"/>
                <w:color w:val="auto"/>
                <w:spacing w:val="-2"/>
              </w:rPr>
            </w:pPr>
            <w:r>
              <w:rPr>
                <w:rFonts w:hint="eastAsia" w:eastAsiaTheme="minorEastAsia"/>
                <w:color w:val="auto"/>
                <w:spacing w:val="-2"/>
              </w:rPr>
              <w:t>14</w:t>
            </w:r>
          </w:p>
        </w:tc>
        <w:tc>
          <w:tcPr>
            <w:tcW w:w="859" w:type="pct"/>
            <w:vAlign w:val="center"/>
          </w:tcPr>
          <w:p w14:paraId="5B5CF00B">
            <w:pPr>
              <w:pStyle w:val="33"/>
              <w:rPr>
                <w:color w:val="auto"/>
              </w:rPr>
            </w:pPr>
            <w:r>
              <w:rPr>
                <w:color w:val="auto"/>
              </w:rPr>
              <w:t>ActicideMV14</w:t>
            </w:r>
          </w:p>
        </w:tc>
        <w:tc>
          <w:tcPr>
            <w:tcW w:w="546" w:type="pct"/>
            <w:vAlign w:val="center"/>
          </w:tcPr>
          <w:p w14:paraId="1771CAAA">
            <w:pPr>
              <w:pStyle w:val="33"/>
              <w:rPr>
                <w:color w:val="auto"/>
              </w:rPr>
            </w:pPr>
            <w:r>
              <w:rPr>
                <w:color w:val="auto"/>
              </w:rPr>
              <w:t>0.12</w:t>
            </w:r>
          </w:p>
        </w:tc>
        <w:tc>
          <w:tcPr>
            <w:tcW w:w="704" w:type="pct"/>
            <w:vAlign w:val="center"/>
          </w:tcPr>
          <w:p w14:paraId="0378881F">
            <w:pPr>
              <w:pStyle w:val="33"/>
              <w:rPr>
                <w:color w:val="auto"/>
              </w:rPr>
            </w:pPr>
            <w:r>
              <w:rPr>
                <w:color w:val="auto"/>
              </w:rPr>
              <w:t>30</w:t>
            </w:r>
          </w:p>
        </w:tc>
        <w:tc>
          <w:tcPr>
            <w:tcW w:w="545" w:type="pct"/>
            <w:vAlign w:val="center"/>
          </w:tcPr>
          <w:p w14:paraId="420AAEC1">
            <w:pPr>
              <w:pStyle w:val="33"/>
              <w:rPr>
                <w:color w:val="auto"/>
              </w:rPr>
            </w:pPr>
            <w:r>
              <w:rPr>
                <w:color w:val="auto"/>
              </w:rPr>
              <w:t>桶装</w:t>
            </w:r>
          </w:p>
        </w:tc>
        <w:tc>
          <w:tcPr>
            <w:tcW w:w="548" w:type="pct"/>
            <w:vAlign w:val="center"/>
          </w:tcPr>
          <w:p w14:paraId="2EDF035F">
            <w:pPr>
              <w:pStyle w:val="33"/>
              <w:rPr>
                <w:color w:val="auto"/>
              </w:rPr>
            </w:pPr>
            <w:r>
              <w:rPr>
                <w:color w:val="auto"/>
              </w:rPr>
              <w:t>外购</w:t>
            </w:r>
          </w:p>
        </w:tc>
        <w:tc>
          <w:tcPr>
            <w:tcW w:w="1482" w:type="pct"/>
            <w:vAlign w:val="center"/>
          </w:tcPr>
          <w:p w14:paraId="3C912482">
            <w:pPr>
              <w:pStyle w:val="33"/>
              <w:rPr>
                <w:color w:val="auto"/>
              </w:rPr>
            </w:pPr>
            <w:r>
              <w:rPr>
                <w:color w:val="auto"/>
              </w:rPr>
              <w:t>杀菌剂</w:t>
            </w:r>
          </w:p>
        </w:tc>
      </w:tr>
      <w:tr w14:paraId="6CFCA98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cantSplit/>
          <w:trHeight w:val="340" w:hRule="atLeast"/>
        </w:trPr>
        <w:tc>
          <w:tcPr>
            <w:tcW w:w="316" w:type="pct"/>
            <w:vAlign w:val="center"/>
          </w:tcPr>
          <w:p w14:paraId="55FDCB70">
            <w:pPr>
              <w:pStyle w:val="33"/>
              <w:rPr>
                <w:color w:val="auto"/>
                <w:spacing w:val="-9"/>
              </w:rPr>
            </w:pPr>
            <w:r>
              <w:rPr>
                <w:rFonts w:hint="eastAsia"/>
                <w:color w:val="auto"/>
                <w:spacing w:val="-9"/>
              </w:rPr>
              <w:t>15</w:t>
            </w:r>
          </w:p>
        </w:tc>
        <w:tc>
          <w:tcPr>
            <w:tcW w:w="859" w:type="pct"/>
            <w:vAlign w:val="center"/>
          </w:tcPr>
          <w:p w14:paraId="0472766F">
            <w:pPr>
              <w:pStyle w:val="33"/>
              <w:rPr>
                <w:color w:val="auto"/>
              </w:rPr>
            </w:pPr>
            <w:r>
              <w:rPr>
                <w:color w:val="auto"/>
              </w:rPr>
              <w:t>去离子水</w:t>
            </w:r>
          </w:p>
        </w:tc>
        <w:tc>
          <w:tcPr>
            <w:tcW w:w="546" w:type="pct"/>
            <w:vAlign w:val="center"/>
          </w:tcPr>
          <w:p w14:paraId="363645A2">
            <w:pPr>
              <w:pStyle w:val="33"/>
              <w:rPr>
                <w:color w:val="auto"/>
              </w:rPr>
            </w:pPr>
            <w:r>
              <w:rPr>
                <w:color w:val="auto"/>
              </w:rPr>
              <w:t>515.6</w:t>
            </w:r>
          </w:p>
        </w:tc>
        <w:tc>
          <w:tcPr>
            <w:tcW w:w="704" w:type="pct"/>
            <w:vAlign w:val="center"/>
          </w:tcPr>
          <w:p w14:paraId="5B1A325D">
            <w:pPr>
              <w:pStyle w:val="33"/>
              <w:rPr>
                <w:color w:val="auto"/>
              </w:rPr>
            </w:pPr>
            <w:r>
              <w:rPr>
                <w:color w:val="auto"/>
              </w:rPr>
              <w:t>128900</w:t>
            </w:r>
          </w:p>
        </w:tc>
        <w:tc>
          <w:tcPr>
            <w:tcW w:w="545" w:type="pct"/>
            <w:vAlign w:val="center"/>
          </w:tcPr>
          <w:p w14:paraId="170B03D0">
            <w:pPr>
              <w:pStyle w:val="33"/>
              <w:rPr>
                <w:color w:val="auto"/>
              </w:rPr>
            </w:pPr>
            <w:r>
              <w:rPr>
                <w:color w:val="auto"/>
              </w:rPr>
              <w:t>/</w:t>
            </w:r>
          </w:p>
        </w:tc>
        <w:tc>
          <w:tcPr>
            <w:tcW w:w="548" w:type="pct"/>
            <w:vAlign w:val="center"/>
          </w:tcPr>
          <w:p w14:paraId="1C9DF6DD">
            <w:pPr>
              <w:pStyle w:val="33"/>
              <w:rPr>
                <w:color w:val="auto"/>
              </w:rPr>
            </w:pPr>
            <w:r>
              <w:rPr>
                <w:color w:val="auto"/>
              </w:rPr>
              <w:t>/</w:t>
            </w:r>
          </w:p>
        </w:tc>
        <w:tc>
          <w:tcPr>
            <w:tcW w:w="1482" w:type="pct"/>
            <w:vAlign w:val="center"/>
          </w:tcPr>
          <w:p w14:paraId="73144DE1">
            <w:pPr>
              <w:pStyle w:val="33"/>
              <w:rPr>
                <w:color w:val="auto"/>
              </w:rPr>
            </w:pPr>
            <w:r>
              <w:rPr>
                <w:color w:val="auto"/>
              </w:rPr>
              <w:t>水相</w:t>
            </w:r>
          </w:p>
        </w:tc>
      </w:tr>
    </w:tbl>
    <w:p w14:paraId="34004C07">
      <w:pPr>
        <w:pStyle w:val="5"/>
        <w:rPr>
          <w:color w:val="auto"/>
        </w:rPr>
      </w:pPr>
      <w:r>
        <w:rPr>
          <w:color w:val="auto"/>
        </w:rPr>
        <w:t>工程分析</w:t>
      </w:r>
    </w:p>
    <w:p w14:paraId="0A717400">
      <w:pPr>
        <w:ind w:firstLine="472"/>
        <w:rPr>
          <w:color w:val="auto"/>
        </w:rPr>
      </w:pPr>
      <w:r>
        <w:rPr>
          <w:color w:val="auto"/>
          <w:spacing w:val="-2"/>
        </w:rPr>
        <w:t>已批在建</w:t>
      </w:r>
      <w:r>
        <w:rPr>
          <w:rFonts w:eastAsia="Times New Roman" w:cs="Times New Roman"/>
          <w:color w:val="auto"/>
          <w:spacing w:val="-2"/>
        </w:rPr>
        <w:t>25</w:t>
      </w:r>
      <w:r>
        <w:rPr>
          <w:color w:val="auto"/>
          <w:spacing w:val="-2"/>
        </w:rPr>
        <w:t>万吨丁苯胶乳项目是以丁二烯、苯乙烯、结合羧酸，通过乳液</w:t>
      </w:r>
      <w:r>
        <w:rPr>
          <w:color w:val="auto"/>
        </w:rPr>
        <w:t>聚合制得的丁苯胶乳高分子共聚物。工艺采用聚合反应，生产过程主要有配料（单</w:t>
      </w:r>
      <w:r>
        <w:rPr>
          <w:color w:val="auto"/>
          <w:spacing w:val="-5"/>
        </w:rPr>
        <w:t>体乳化）、聚合保温、汽提脱气、调整过滤、灌装等工序。</w:t>
      </w:r>
    </w:p>
    <w:p w14:paraId="3D7BD41B">
      <w:pPr>
        <w:pStyle w:val="5"/>
        <w:rPr>
          <w:color w:val="auto"/>
        </w:rPr>
      </w:pPr>
      <w:r>
        <w:rPr>
          <w:color w:val="auto"/>
        </w:rPr>
        <w:t>污染防治措施</w:t>
      </w:r>
    </w:p>
    <w:p w14:paraId="5284DAD0">
      <w:pPr>
        <w:ind w:firstLine="480"/>
        <w:rPr>
          <w:color w:val="auto"/>
        </w:rPr>
      </w:pPr>
      <w:r>
        <w:rPr>
          <w:color w:val="auto"/>
        </w:rPr>
        <w:t>已批在建25万吨丁苯胶乳项目废水、废气、固体废物、噪声污染防治措施见</w:t>
      </w:r>
      <w:r>
        <w:rPr>
          <w:rFonts w:hint="eastAsia"/>
          <w:color w:val="auto"/>
        </w:rPr>
        <w:t>下表</w:t>
      </w:r>
      <w:r>
        <w:rPr>
          <w:color w:val="auto"/>
          <w:spacing w:val="-3"/>
        </w:rPr>
        <w:t>。</w:t>
      </w:r>
    </w:p>
    <w:p w14:paraId="4DCB3095">
      <w:pPr>
        <w:pStyle w:val="7"/>
        <w:rPr>
          <w:color w:val="auto"/>
        </w:rPr>
      </w:pPr>
      <w:r>
        <w:rPr>
          <w:color w:val="auto"/>
        </w:rPr>
        <w:t>已批在建</w:t>
      </w:r>
      <w:r>
        <w:rPr>
          <w:rFonts w:eastAsia="Times New Roman" w:cs="Times New Roman"/>
          <w:color w:val="auto"/>
        </w:rPr>
        <w:t>25</w:t>
      </w:r>
      <w:r>
        <w:rPr>
          <w:color w:val="auto"/>
        </w:rPr>
        <w:t>万吨丁苯胶乳项目主要</w:t>
      </w:r>
      <w:r>
        <w:rPr>
          <w:color w:val="auto"/>
          <w:spacing w:val="-3"/>
        </w:rPr>
        <w:t>污染防治措施</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1020"/>
        <w:gridCol w:w="2609"/>
        <w:gridCol w:w="5657"/>
      </w:tblGrid>
      <w:tr w14:paraId="53BA6C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blHeader/>
        </w:trPr>
        <w:tc>
          <w:tcPr>
            <w:tcW w:w="549" w:type="pct"/>
            <w:vAlign w:val="center"/>
          </w:tcPr>
          <w:p w14:paraId="0713A7DD">
            <w:pPr>
              <w:pStyle w:val="33"/>
              <w:rPr>
                <w:color w:val="auto"/>
              </w:rPr>
            </w:pPr>
            <w:r>
              <w:rPr>
                <w:color w:val="auto"/>
              </w:rPr>
              <w:t>污染类型</w:t>
            </w:r>
          </w:p>
        </w:tc>
        <w:tc>
          <w:tcPr>
            <w:tcW w:w="1405" w:type="pct"/>
            <w:vAlign w:val="center"/>
          </w:tcPr>
          <w:p w14:paraId="181B73B3">
            <w:pPr>
              <w:pStyle w:val="33"/>
              <w:rPr>
                <w:color w:val="auto"/>
              </w:rPr>
            </w:pPr>
            <w:r>
              <w:rPr>
                <w:color w:val="auto"/>
              </w:rPr>
              <w:t>污染源</w:t>
            </w:r>
          </w:p>
        </w:tc>
        <w:tc>
          <w:tcPr>
            <w:tcW w:w="3046" w:type="pct"/>
            <w:vAlign w:val="center"/>
          </w:tcPr>
          <w:p w14:paraId="70324628">
            <w:pPr>
              <w:pStyle w:val="33"/>
              <w:rPr>
                <w:color w:val="auto"/>
              </w:rPr>
            </w:pPr>
            <w:r>
              <w:rPr>
                <w:color w:val="auto"/>
              </w:rPr>
              <w:t>污染防治措施</w:t>
            </w:r>
          </w:p>
        </w:tc>
      </w:tr>
      <w:tr w14:paraId="6460D4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restart"/>
            <w:tcBorders>
              <w:bottom w:val="nil"/>
            </w:tcBorders>
            <w:vAlign w:val="center"/>
          </w:tcPr>
          <w:p w14:paraId="31D61AE0">
            <w:pPr>
              <w:pStyle w:val="33"/>
              <w:rPr>
                <w:color w:val="auto"/>
              </w:rPr>
            </w:pPr>
            <w:r>
              <w:rPr>
                <w:color w:val="auto"/>
                <w:spacing w:val="-2"/>
              </w:rPr>
              <w:t>废水</w:t>
            </w:r>
          </w:p>
        </w:tc>
        <w:tc>
          <w:tcPr>
            <w:tcW w:w="1405" w:type="pct"/>
            <w:vAlign w:val="center"/>
          </w:tcPr>
          <w:p w14:paraId="7DD1D33F">
            <w:pPr>
              <w:pStyle w:val="33"/>
              <w:rPr>
                <w:color w:val="auto"/>
              </w:rPr>
            </w:pPr>
            <w:r>
              <w:rPr>
                <w:color w:val="auto"/>
                <w:spacing w:val="-1"/>
              </w:rPr>
              <w:t>生产工艺废水（洗釜废</w:t>
            </w:r>
            <w:r>
              <w:rPr>
                <w:color w:val="auto"/>
                <w:spacing w:val="-12"/>
              </w:rPr>
              <w:t>水、汽提冷凝废水）、循</w:t>
            </w:r>
            <w:r>
              <w:rPr>
                <w:color w:val="auto"/>
                <w:spacing w:val="-1"/>
              </w:rPr>
              <w:t>环排污水、初期雨水、地面冲洗废水、分析化验废</w:t>
            </w:r>
            <w:r>
              <w:rPr>
                <w:color w:val="auto"/>
                <w:spacing w:val="-2"/>
              </w:rPr>
              <w:t>水、生活污水等</w:t>
            </w:r>
          </w:p>
        </w:tc>
        <w:tc>
          <w:tcPr>
            <w:tcW w:w="3046" w:type="pct"/>
            <w:vAlign w:val="center"/>
          </w:tcPr>
          <w:p w14:paraId="75A209DA">
            <w:pPr>
              <w:pStyle w:val="33"/>
              <w:rPr>
                <w:color w:val="auto"/>
              </w:rPr>
            </w:pPr>
            <w:r>
              <w:rPr>
                <w:color w:val="auto"/>
              </w:rPr>
              <w:t>废水经项目配套污水处理站（规模</w:t>
            </w:r>
            <w:r>
              <w:rPr>
                <w:rFonts w:eastAsia="Times New Roman"/>
                <w:color w:val="auto"/>
              </w:rPr>
              <w:t>600m</w:t>
            </w:r>
            <w:r>
              <w:rPr>
                <w:rFonts w:eastAsia="Times New Roman"/>
                <w:color w:val="auto"/>
                <w:position w:val="7"/>
                <w:sz w:val="14"/>
                <w:szCs w:val="14"/>
              </w:rPr>
              <w:t>3</w:t>
            </w:r>
            <w:r>
              <w:rPr>
                <w:rFonts w:eastAsia="Times New Roman"/>
                <w:color w:val="auto"/>
              </w:rPr>
              <w:t>/d</w:t>
            </w:r>
            <w:r>
              <w:rPr>
                <w:color w:val="auto"/>
              </w:rPr>
              <w:t>）处</w:t>
            </w:r>
            <w:r>
              <w:rPr>
                <w:color w:val="auto"/>
                <w:spacing w:val="1"/>
              </w:rPr>
              <w:t>理，采用“调节</w:t>
            </w:r>
            <w:r>
              <w:rPr>
                <w:rFonts w:eastAsia="Times New Roman"/>
                <w:color w:val="auto"/>
                <w:spacing w:val="1"/>
              </w:rPr>
              <w:t>+</w:t>
            </w:r>
            <w:r>
              <w:rPr>
                <w:color w:val="auto"/>
                <w:spacing w:val="1"/>
              </w:rPr>
              <w:t>芬顿</w:t>
            </w:r>
            <w:r>
              <w:rPr>
                <w:rFonts w:eastAsia="Times New Roman"/>
                <w:color w:val="auto"/>
                <w:spacing w:val="1"/>
              </w:rPr>
              <w:t>+</w:t>
            </w:r>
            <w:r>
              <w:rPr>
                <w:color w:val="auto"/>
                <w:spacing w:val="1"/>
              </w:rPr>
              <w:t>厌氧</w:t>
            </w:r>
            <w:r>
              <w:rPr>
                <w:rFonts w:eastAsia="Times New Roman"/>
                <w:color w:val="auto"/>
                <w:spacing w:val="1"/>
              </w:rPr>
              <w:t>+</w:t>
            </w:r>
            <w:r>
              <w:rPr>
                <w:color w:val="auto"/>
                <w:spacing w:val="1"/>
              </w:rPr>
              <w:t>缺氧</w:t>
            </w:r>
            <w:r>
              <w:rPr>
                <w:rFonts w:eastAsia="Times New Roman"/>
                <w:color w:val="auto"/>
                <w:spacing w:val="1"/>
              </w:rPr>
              <w:t>+</w:t>
            </w:r>
            <w:r>
              <w:rPr>
                <w:color w:val="auto"/>
                <w:spacing w:val="1"/>
              </w:rPr>
              <w:t>好氧生化</w:t>
            </w:r>
            <w:r>
              <w:rPr>
                <w:rFonts w:eastAsia="Times New Roman"/>
                <w:color w:val="auto"/>
                <w:spacing w:val="1"/>
              </w:rPr>
              <w:t>+</w:t>
            </w:r>
            <w:r>
              <w:rPr>
                <w:color w:val="auto"/>
                <w:spacing w:val="1"/>
              </w:rPr>
              <w:t>沉</w:t>
            </w:r>
            <w:r>
              <w:rPr>
                <w:color w:val="auto"/>
                <w:spacing w:val="-2"/>
              </w:rPr>
              <w:t>淀”工艺，处理达标后废水与现有工程废水混合</w:t>
            </w:r>
            <w:r>
              <w:rPr>
                <w:color w:val="auto"/>
                <w:spacing w:val="-3"/>
              </w:rPr>
              <w:t>达标后经现有工程总排口</w:t>
            </w:r>
            <w:r>
              <w:rPr>
                <w:rFonts w:hint="eastAsia"/>
                <w:color w:val="auto"/>
                <w:spacing w:val="-3"/>
              </w:rPr>
              <w:t>排海</w:t>
            </w:r>
            <w:r>
              <w:rPr>
                <w:color w:val="auto"/>
                <w:spacing w:val="-3"/>
              </w:rPr>
              <w:t>。</w:t>
            </w:r>
          </w:p>
        </w:tc>
      </w:tr>
      <w:tr w14:paraId="52C6A5A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continue"/>
            <w:tcBorders>
              <w:top w:val="nil"/>
            </w:tcBorders>
            <w:vAlign w:val="center"/>
          </w:tcPr>
          <w:p w14:paraId="71CBBAA6">
            <w:pPr>
              <w:pStyle w:val="33"/>
              <w:rPr>
                <w:color w:val="auto"/>
              </w:rPr>
            </w:pPr>
          </w:p>
        </w:tc>
        <w:tc>
          <w:tcPr>
            <w:tcW w:w="1405" w:type="pct"/>
            <w:vAlign w:val="center"/>
          </w:tcPr>
          <w:p w14:paraId="2FC46F49">
            <w:pPr>
              <w:pStyle w:val="33"/>
              <w:rPr>
                <w:color w:val="auto"/>
              </w:rPr>
            </w:pPr>
            <w:r>
              <w:rPr>
                <w:color w:val="auto"/>
                <w:spacing w:val="-5"/>
              </w:rPr>
              <w:t>防渗措施</w:t>
            </w:r>
          </w:p>
        </w:tc>
        <w:tc>
          <w:tcPr>
            <w:tcW w:w="3046" w:type="pct"/>
            <w:vAlign w:val="center"/>
          </w:tcPr>
          <w:p w14:paraId="1DEE1C76">
            <w:pPr>
              <w:pStyle w:val="33"/>
              <w:rPr>
                <w:color w:val="auto"/>
              </w:rPr>
            </w:pPr>
            <w:r>
              <w:rPr>
                <w:color w:val="auto"/>
                <w:spacing w:val="4"/>
              </w:rPr>
              <w:t>采取分区防控措施，严格按照标准建设防渗工</w:t>
            </w:r>
            <w:r>
              <w:rPr>
                <w:color w:val="auto"/>
                <w:spacing w:val="-2"/>
              </w:rPr>
              <w:t>程；设置地下水监控井，监控地下水污染。</w:t>
            </w:r>
          </w:p>
        </w:tc>
      </w:tr>
      <w:tr w14:paraId="5C1990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restart"/>
            <w:tcBorders>
              <w:bottom w:val="nil"/>
            </w:tcBorders>
            <w:vAlign w:val="center"/>
          </w:tcPr>
          <w:p w14:paraId="29CD8F6C">
            <w:pPr>
              <w:pStyle w:val="33"/>
              <w:rPr>
                <w:color w:val="auto"/>
              </w:rPr>
            </w:pPr>
            <w:r>
              <w:rPr>
                <w:color w:val="auto"/>
                <w:spacing w:val="-2"/>
              </w:rPr>
              <w:t>废气</w:t>
            </w:r>
          </w:p>
        </w:tc>
        <w:tc>
          <w:tcPr>
            <w:tcW w:w="1405" w:type="pct"/>
            <w:vAlign w:val="center"/>
          </w:tcPr>
          <w:p w14:paraId="4E03EBF7">
            <w:pPr>
              <w:pStyle w:val="33"/>
              <w:rPr>
                <w:color w:val="auto"/>
              </w:rPr>
            </w:pPr>
            <w:r>
              <w:rPr>
                <w:rFonts w:eastAsia="Times New Roman"/>
                <w:color w:val="auto"/>
                <w:spacing w:val="-2"/>
              </w:rPr>
              <w:t>RTO</w:t>
            </w:r>
            <w:r>
              <w:rPr>
                <w:color w:val="auto"/>
                <w:spacing w:val="-2"/>
              </w:rPr>
              <w:t>装置焚烧废气</w:t>
            </w:r>
          </w:p>
        </w:tc>
        <w:tc>
          <w:tcPr>
            <w:tcW w:w="3046" w:type="pct"/>
            <w:vAlign w:val="center"/>
          </w:tcPr>
          <w:p w14:paraId="07803262">
            <w:pPr>
              <w:pStyle w:val="33"/>
              <w:rPr>
                <w:color w:val="auto"/>
              </w:rPr>
            </w:pPr>
            <w:r>
              <w:rPr>
                <w:color w:val="auto"/>
                <w:spacing w:val="-1"/>
              </w:rPr>
              <w:t>项目生产工艺废气（包括氮封置换废气、脱气废</w:t>
            </w:r>
            <w:r>
              <w:rPr>
                <w:color w:val="auto"/>
                <w:spacing w:val="-16"/>
              </w:rPr>
              <w:t>气、过滤废气、灌装废气）、储罐废气、装卸废气、</w:t>
            </w:r>
            <w:r>
              <w:rPr>
                <w:color w:val="auto"/>
                <w:spacing w:val="-1"/>
              </w:rPr>
              <w:t>污水处理站废气、危废间废气均经各自管线引入</w:t>
            </w:r>
            <w:r>
              <w:rPr>
                <w:color w:val="auto"/>
                <w:spacing w:val="-6"/>
              </w:rPr>
              <w:t>项目配套建设的三燃室</w:t>
            </w:r>
            <w:r>
              <w:rPr>
                <w:rFonts w:eastAsia="Times New Roman"/>
                <w:color w:val="auto"/>
                <w:spacing w:val="-6"/>
              </w:rPr>
              <w:t>RTO</w:t>
            </w:r>
            <w:r>
              <w:rPr>
                <w:color w:val="auto"/>
                <w:spacing w:val="-6"/>
              </w:rPr>
              <w:t>装置焚烧处理，尾气</w:t>
            </w:r>
            <w:r>
              <w:rPr>
                <w:color w:val="auto"/>
                <w:spacing w:val="1"/>
              </w:rPr>
              <w:t>经活性炭吸附装置净化处理后通过</w:t>
            </w:r>
            <w:r>
              <w:rPr>
                <w:rFonts w:eastAsia="Times New Roman"/>
                <w:color w:val="auto"/>
                <w:spacing w:val="1"/>
              </w:rPr>
              <w:t>25m</w:t>
            </w:r>
            <w:r>
              <w:rPr>
                <w:color w:val="auto"/>
                <w:spacing w:val="1"/>
              </w:rPr>
              <w:t>排气筒</w:t>
            </w:r>
            <w:r>
              <w:rPr>
                <w:color w:val="auto"/>
                <w:spacing w:val="-9"/>
              </w:rPr>
              <w:t>排放。</w:t>
            </w:r>
            <w:r>
              <w:rPr>
                <w:rFonts w:hint="eastAsia" w:ascii="宋体" w:hAnsi="宋体" w:cs="宋体"/>
                <w:color w:val="auto"/>
                <w:spacing w:val="-1"/>
              </w:rPr>
              <w:t>②</w:t>
            </w:r>
            <w:r>
              <w:rPr>
                <w:color w:val="auto"/>
                <w:spacing w:val="-1"/>
              </w:rPr>
              <w:t>排气筒：</w:t>
            </w:r>
            <w:r>
              <w:rPr>
                <w:rFonts w:eastAsia="Times New Roman"/>
                <w:color w:val="auto"/>
                <w:spacing w:val="-1"/>
              </w:rPr>
              <w:t>25mH×Ф1.3m</w:t>
            </w:r>
            <w:r>
              <w:rPr>
                <w:color w:val="auto"/>
                <w:spacing w:val="-1"/>
              </w:rPr>
              <w:t>。</w:t>
            </w:r>
          </w:p>
        </w:tc>
      </w:tr>
      <w:tr w14:paraId="4277B4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Merge w:val="continue"/>
            <w:tcBorders>
              <w:top w:val="nil"/>
            </w:tcBorders>
            <w:vAlign w:val="center"/>
          </w:tcPr>
          <w:p w14:paraId="5BC1A460">
            <w:pPr>
              <w:pStyle w:val="33"/>
              <w:rPr>
                <w:color w:val="auto"/>
              </w:rPr>
            </w:pPr>
          </w:p>
        </w:tc>
        <w:tc>
          <w:tcPr>
            <w:tcW w:w="1405" w:type="pct"/>
            <w:vAlign w:val="center"/>
          </w:tcPr>
          <w:p w14:paraId="2ECBDEE0">
            <w:pPr>
              <w:pStyle w:val="33"/>
              <w:rPr>
                <w:color w:val="auto"/>
              </w:rPr>
            </w:pPr>
            <w:r>
              <w:rPr>
                <w:color w:val="auto"/>
                <w:spacing w:val="-2"/>
              </w:rPr>
              <w:t>无组织排放</w:t>
            </w:r>
          </w:p>
        </w:tc>
        <w:tc>
          <w:tcPr>
            <w:tcW w:w="3046" w:type="pct"/>
            <w:vAlign w:val="center"/>
          </w:tcPr>
          <w:p w14:paraId="5E3215B5">
            <w:pPr>
              <w:pStyle w:val="33"/>
              <w:rPr>
                <w:color w:val="auto"/>
              </w:rPr>
            </w:pPr>
            <w:r>
              <w:rPr>
                <w:color w:val="auto"/>
                <w:spacing w:val="9"/>
              </w:rPr>
              <w:t>项目无组织排放废气主要为工艺设备产生的动</w:t>
            </w:r>
            <w:r>
              <w:rPr>
                <w:color w:val="auto"/>
                <w:spacing w:val="-1"/>
              </w:rPr>
              <w:t>静密封点散逸产生。拟建项目采用工艺先进、密</w:t>
            </w:r>
            <w:r>
              <w:rPr>
                <w:color w:val="auto"/>
                <w:spacing w:val="-2"/>
              </w:rPr>
              <w:t>闭性能好的生产设备，建立全厂</w:t>
            </w:r>
            <w:r>
              <w:rPr>
                <w:rFonts w:eastAsia="Times New Roman"/>
                <w:color w:val="auto"/>
                <w:spacing w:val="-2"/>
              </w:rPr>
              <w:t>LDAR</w:t>
            </w:r>
            <w:r>
              <w:rPr>
                <w:color w:val="auto"/>
                <w:spacing w:val="-2"/>
              </w:rPr>
              <w:t>（泄漏检</w:t>
            </w:r>
            <w:r>
              <w:rPr>
                <w:color w:val="auto"/>
                <w:spacing w:val="-1"/>
              </w:rPr>
              <w:t>测与修复）系统，加强装置生产、输送和储存过程挥发性有机物泄漏的监测和监管，对泄漏率超过标准的进行维修或更换，对项目运行全周期进</w:t>
            </w:r>
            <w:r>
              <w:rPr>
                <w:color w:val="auto"/>
                <w:spacing w:val="-3"/>
              </w:rPr>
              <w:t>行挥发性有机物无组织排放控制。</w:t>
            </w:r>
          </w:p>
        </w:tc>
      </w:tr>
      <w:tr w14:paraId="78B3F7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05637D80">
            <w:pPr>
              <w:pStyle w:val="33"/>
              <w:rPr>
                <w:color w:val="auto"/>
              </w:rPr>
            </w:pPr>
            <w:r>
              <w:rPr>
                <w:color w:val="auto"/>
                <w:spacing w:val="-3"/>
              </w:rPr>
              <w:t>一般工业</w:t>
            </w:r>
            <w:r>
              <w:rPr>
                <w:color w:val="auto"/>
                <w:spacing w:val="-5"/>
              </w:rPr>
              <w:t>固体废物</w:t>
            </w:r>
          </w:p>
        </w:tc>
        <w:tc>
          <w:tcPr>
            <w:tcW w:w="1405" w:type="pct"/>
            <w:vAlign w:val="center"/>
          </w:tcPr>
          <w:p w14:paraId="54D255D7">
            <w:pPr>
              <w:pStyle w:val="33"/>
              <w:rPr>
                <w:color w:val="auto"/>
              </w:rPr>
            </w:pPr>
            <w:r>
              <w:rPr>
                <w:color w:val="auto"/>
                <w:spacing w:val="-1"/>
              </w:rPr>
              <w:t>废耐火材料、生活垃圾</w:t>
            </w:r>
          </w:p>
        </w:tc>
        <w:tc>
          <w:tcPr>
            <w:tcW w:w="3046" w:type="pct"/>
            <w:vAlign w:val="center"/>
          </w:tcPr>
          <w:p w14:paraId="2433F7BE">
            <w:pPr>
              <w:pStyle w:val="33"/>
              <w:rPr>
                <w:color w:val="auto"/>
              </w:rPr>
            </w:pPr>
            <w:r>
              <w:rPr>
                <w:color w:val="auto"/>
                <w:spacing w:val="-1"/>
              </w:rPr>
              <w:t>废耐火材料由周边砖厂清运，生活垃圾由环卫部</w:t>
            </w:r>
            <w:r>
              <w:rPr>
                <w:color w:val="auto"/>
                <w:spacing w:val="-8"/>
              </w:rPr>
              <w:t>门统一收集处置。</w:t>
            </w:r>
          </w:p>
        </w:tc>
      </w:tr>
      <w:tr w14:paraId="2230BA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2B236FE3">
            <w:pPr>
              <w:pStyle w:val="33"/>
              <w:rPr>
                <w:color w:val="auto"/>
              </w:rPr>
            </w:pPr>
            <w:r>
              <w:rPr>
                <w:color w:val="auto"/>
                <w:spacing w:val="-3"/>
              </w:rPr>
              <w:t>危险废物</w:t>
            </w:r>
          </w:p>
        </w:tc>
        <w:tc>
          <w:tcPr>
            <w:tcW w:w="1405" w:type="pct"/>
            <w:vAlign w:val="center"/>
          </w:tcPr>
          <w:p w14:paraId="09881762">
            <w:pPr>
              <w:pStyle w:val="33"/>
              <w:rPr>
                <w:color w:val="auto"/>
              </w:rPr>
            </w:pPr>
            <w:r>
              <w:rPr>
                <w:color w:val="auto"/>
                <w:spacing w:val="-1"/>
              </w:rPr>
              <w:t>过滤凝胶、废过滤网、储罐油泥、污水处理站污泥、废试剂瓶、废机油</w:t>
            </w:r>
          </w:p>
        </w:tc>
        <w:tc>
          <w:tcPr>
            <w:tcW w:w="3046" w:type="pct"/>
            <w:vAlign w:val="center"/>
          </w:tcPr>
          <w:p w14:paraId="44F5BBC1">
            <w:pPr>
              <w:pStyle w:val="33"/>
              <w:rPr>
                <w:color w:val="auto"/>
              </w:rPr>
            </w:pPr>
            <w:r>
              <w:rPr>
                <w:color w:val="auto"/>
                <w:spacing w:val="-3"/>
              </w:rPr>
              <w:t>均委托有资质单位清运和处置。</w:t>
            </w:r>
          </w:p>
        </w:tc>
      </w:tr>
      <w:tr w14:paraId="2DA983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549" w:type="pct"/>
            <w:vAlign w:val="center"/>
          </w:tcPr>
          <w:p w14:paraId="4280BBF7">
            <w:pPr>
              <w:pStyle w:val="33"/>
              <w:rPr>
                <w:color w:val="auto"/>
              </w:rPr>
            </w:pPr>
            <w:r>
              <w:rPr>
                <w:color w:val="auto"/>
                <w:spacing w:val="-5"/>
              </w:rPr>
              <w:t>噪声</w:t>
            </w:r>
          </w:p>
        </w:tc>
        <w:tc>
          <w:tcPr>
            <w:tcW w:w="1405" w:type="pct"/>
            <w:vAlign w:val="center"/>
          </w:tcPr>
          <w:p w14:paraId="5FB7DBB4">
            <w:pPr>
              <w:pStyle w:val="33"/>
              <w:rPr>
                <w:color w:val="auto"/>
              </w:rPr>
            </w:pPr>
            <w:r>
              <w:rPr>
                <w:color w:val="auto"/>
                <w:spacing w:val="-2"/>
              </w:rPr>
              <w:t>设备运行噪声</w:t>
            </w:r>
          </w:p>
        </w:tc>
        <w:tc>
          <w:tcPr>
            <w:tcW w:w="3046" w:type="pct"/>
            <w:vAlign w:val="center"/>
          </w:tcPr>
          <w:p w14:paraId="2B747497">
            <w:pPr>
              <w:pStyle w:val="33"/>
              <w:rPr>
                <w:color w:val="auto"/>
              </w:rPr>
            </w:pPr>
            <w:r>
              <w:rPr>
                <w:color w:val="auto"/>
                <w:spacing w:val="-3"/>
              </w:rPr>
              <w:t>选用低噪设备、厂房隔音等。</w:t>
            </w:r>
          </w:p>
        </w:tc>
      </w:tr>
    </w:tbl>
    <w:p w14:paraId="2C7DA743">
      <w:pPr>
        <w:pStyle w:val="4"/>
        <w:numPr>
          <w:ilvl w:val="2"/>
          <w:numId w:val="2"/>
        </w:numPr>
        <w:rPr>
          <w:color w:val="auto"/>
        </w:rPr>
      </w:pPr>
      <w:bookmarkStart w:id="171" w:name="_Toc225216682"/>
      <w:bookmarkStart w:id="172" w:name="_Toc221355707"/>
      <w:bookmarkStart w:id="173" w:name="_Toc221355705"/>
      <w:r>
        <w:rPr>
          <w:color w:val="auto"/>
        </w:rPr>
        <w:t>污水处理站绿色升级改造项目</w:t>
      </w:r>
      <w:bookmarkEnd w:id="171"/>
    </w:p>
    <w:p w14:paraId="6B8690D3">
      <w:pPr>
        <w:pStyle w:val="5"/>
        <w:numPr>
          <w:ilvl w:val="3"/>
          <w:numId w:val="2"/>
        </w:numPr>
        <w:rPr>
          <w:color w:val="auto"/>
        </w:rPr>
      </w:pPr>
      <w:r>
        <w:rPr>
          <w:color w:val="auto"/>
        </w:rPr>
        <w:t>基本情况及建设内容</w:t>
      </w:r>
    </w:p>
    <w:p w14:paraId="246EE68A">
      <w:pPr>
        <w:ind w:firstLine="480"/>
        <w:rPr>
          <w:color w:val="auto"/>
        </w:rPr>
      </w:pPr>
      <w:r>
        <w:rPr>
          <w:color w:val="auto"/>
        </w:rPr>
        <w:t>污水处理站绿色升级改造</w:t>
      </w:r>
      <w:r>
        <w:rPr>
          <w:rFonts w:hint="eastAsia"/>
          <w:color w:val="auto"/>
        </w:rPr>
        <w:t>项目基本情况见下表。</w:t>
      </w:r>
    </w:p>
    <w:p w14:paraId="4D8F0796">
      <w:pPr>
        <w:pStyle w:val="7"/>
        <w:rPr>
          <w:color w:val="auto"/>
        </w:rPr>
      </w:pPr>
      <w:r>
        <w:rPr>
          <w:color w:val="auto"/>
        </w:rPr>
        <w:t>污水处理站绿色升级改造</w:t>
      </w:r>
      <w:r>
        <w:rPr>
          <w:rFonts w:hint="eastAsia"/>
          <w:color w:val="auto"/>
        </w:rPr>
        <w:t>项目基本情况表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562"/>
        <w:gridCol w:w="5952"/>
        <w:gridCol w:w="1098"/>
      </w:tblGrid>
      <w:tr w14:paraId="1EFAF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04" w:type="pct"/>
            <w:gridSpan w:val="2"/>
            <w:vAlign w:val="center"/>
          </w:tcPr>
          <w:p w14:paraId="0322DBF7">
            <w:pPr>
              <w:pStyle w:val="33"/>
              <w:rPr>
                <w:color w:val="auto"/>
              </w:rPr>
            </w:pPr>
            <w:r>
              <w:rPr>
                <w:color w:val="auto"/>
              </w:rPr>
              <w:t>项目组成</w:t>
            </w:r>
          </w:p>
        </w:tc>
        <w:tc>
          <w:tcPr>
            <w:tcW w:w="3205" w:type="pct"/>
            <w:vAlign w:val="center"/>
          </w:tcPr>
          <w:p w14:paraId="6B5D375E">
            <w:pPr>
              <w:pStyle w:val="33"/>
              <w:rPr>
                <w:color w:val="auto"/>
              </w:rPr>
            </w:pPr>
            <w:r>
              <w:rPr>
                <w:color w:val="auto"/>
              </w:rPr>
              <w:t>建设内容</w:t>
            </w:r>
          </w:p>
        </w:tc>
        <w:tc>
          <w:tcPr>
            <w:tcW w:w="591" w:type="pct"/>
            <w:vAlign w:val="center"/>
          </w:tcPr>
          <w:p w14:paraId="72220A88">
            <w:pPr>
              <w:pStyle w:val="33"/>
              <w:rPr>
                <w:color w:val="auto"/>
              </w:rPr>
            </w:pPr>
            <w:r>
              <w:rPr>
                <w:color w:val="auto"/>
              </w:rPr>
              <w:t>备注</w:t>
            </w:r>
          </w:p>
        </w:tc>
      </w:tr>
      <w:tr w14:paraId="7145C2B1">
        <w:tblPrEx>
          <w:tblCellMar>
            <w:top w:w="0" w:type="dxa"/>
            <w:left w:w="108" w:type="dxa"/>
            <w:bottom w:w="0" w:type="dxa"/>
            <w:right w:w="108" w:type="dxa"/>
          </w:tblCellMar>
        </w:tblPrEx>
        <w:trPr>
          <w:trHeight w:val="340" w:hRule="atLeast"/>
        </w:trPr>
        <w:tc>
          <w:tcPr>
            <w:tcW w:w="1204" w:type="pct"/>
            <w:gridSpan w:val="2"/>
            <w:vAlign w:val="center"/>
          </w:tcPr>
          <w:p w14:paraId="1DF752BC">
            <w:pPr>
              <w:pStyle w:val="33"/>
              <w:rPr>
                <w:color w:val="auto"/>
              </w:rPr>
            </w:pPr>
            <w:r>
              <w:rPr>
                <w:rFonts w:hint="eastAsia"/>
                <w:color w:val="auto"/>
              </w:rPr>
              <w:t>新增处理设施</w:t>
            </w:r>
          </w:p>
        </w:tc>
        <w:tc>
          <w:tcPr>
            <w:tcW w:w="3205" w:type="pct"/>
            <w:vAlign w:val="center"/>
          </w:tcPr>
          <w:p w14:paraId="342DA61A">
            <w:pPr>
              <w:pStyle w:val="33"/>
              <w:rPr>
                <w:color w:val="auto"/>
              </w:rPr>
            </w:pPr>
            <w:r>
              <w:rPr>
                <w:rFonts w:hint="eastAsia"/>
                <w:color w:val="auto"/>
              </w:rPr>
              <w:t>处理能力21000m</w:t>
            </w:r>
            <w:r>
              <w:rPr>
                <w:rFonts w:hint="eastAsia"/>
                <w:color w:val="auto"/>
                <w:vertAlign w:val="superscript"/>
              </w:rPr>
              <w:t>3</w:t>
            </w:r>
            <w:r>
              <w:rPr>
                <w:rFonts w:hint="eastAsia"/>
                <w:color w:val="auto"/>
              </w:rPr>
              <w:t>/d</w:t>
            </w:r>
          </w:p>
        </w:tc>
        <w:tc>
          <w:tcPr>
            <w:tcW w:w="591" w:type="pct"/>
            <w:vAlign w:val="center"/>
          </w:tcPr>
          <w:p w14:paraId="564A08F0">
            <w:pPr>
              <w:pStyle w:val="33"/>
              <w:rPr>
                <w:color w:val="auto"/>
              </w:rPr>
            </w:pPr>
            <w:r>
              <w:rPr>
                <w:rFonts w:hint="eastAsia"/>
                <w:color w:val="auto"/>
              </w:rPr>
              <w:t>/</w:t>
            </w:r>
          </w:p>
        </w:tc>
      </w:tr>
      <w:tr w14:paraId="77652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restart"/>
            <w:vAlign w:val="center"/>
          </w:tcPr>
          <w:p w14:paraId="1C4AE289">
            <w:pPr>
              <w:pStyle w:val="33"/>
              <w:rPr>
                <w:color w:val="auto"/>
              </w:rPr>
            </w:pPr>
            <w:r>
              <w:rPr>
                <w:color w:val="auto"/>
              </w:rPr>
              <w:t>主体工程</w:t>
            </w:r>
          </w:p>
        </w:tc>
        <w:tc>
          <w:tcPr>
            <w:tcW w:w="841" w:type="pct"/>
            <w:vAlign w:val="center"/>
          </w:tcPr>
          <w:p w14:paraId="7FE15A56">
            <w:pPr>
              <w:pStyle w:val="33"/>
              <w:rPr>
                <w:color w:val="auto"/>
              </w:rPr>
            </w:pPr>
            <w:r>
              <w:rPr>
                <w:color w:val="auto"/>
              </w:rPr>
              <w:t>预处理系统</w:t>
            </w:r>
          </w:p>
        </w:tc>
        <w:tc>
          <w:tcPr>
            <w:tcW w:w="3205" w:type="pct"/>
            <w:vAlign w:val="center"/>
          </w:tcPr>
          <w:p w14:paraId="03539AC5">
            <w:pPr>
              <w:pStyle w:val="33"/>
              <w:rPr>
                <w:color w:val="auto"/>
              </w:rPr>
            </w:pPr>
            <w:r>
              <w:rPr>
                <w:color w:val="auto"/>
              </w:rPr>
              <w:t>卧筒格栅机</w:t>
            </w:r>
            <w:r>
              <w:rPr>
                <w:rFonts w:hint="eastAsia"/>
                <w:color w:val="auto"/>
              </w:rPr>
              <w:t>、</w:t>
            </w:r>
            <w:r>
              <w:rPr>
                <w:color w:val="auto"/>
              </w:rPr>
              <w:t>调匀池</w:t>
            </w:r>
            <w:r>
              <w:rPr>
                <w:rFonts w:hint="eastAsia"/>
                <w:color w:val="auto"/>
              </w:rPr>
              <w:t>、</w:t>
            </w:r>
            <w:r>
              <w:rPr>
                <w:color w:val="auto"/>
              </w:rPr>
              <w:t>冷却塔</w:t>
            </w:r>
            <w:r>
              <w:rPr>
                <w:rFonts w:hint="eastAsia"/>
                <w:color w:val="auto"/>
              </w:rPr>
              <w:t>、斜板气浮、</w:t>
            </w:r>
            <w:r>
              <w:rPr>
                <w:color w:val="auto"/>
              </w:rPr>
              <w:t>气浮储泥池</w:t>
            </w:r>
            <w:r>
              <w:rPr>
                <w:rFonts w:hint="eastAsia"/>
                <w:color w:val="auto"/>
              </w:rPr>
              <w:t>、</w:t>
            </w:r>
            <w:r>
              <w:rPr>
                <w:color w:val="auto"/>
              </w:rPr>
              <w:t>一级混凝反应池</w:t>
            </w:r>
            <w:r>
              <w:rPr>
                <w:rFonts w:hint="eastAsia"/>
                <w:color w:val="auto"/>
              </w:rPr>
              <w:t>、</w:t>
            </w:r>
            <w:r>
              <w:rPr>
                <w:color w:val="auto"/>
              </w:rPr>
              <w:t>初沉池</w:t>
            </w:r>
            <w:r>
              <w:rPr>
                <w:rFonts w:hint="eastAsia"/>
                <w:color w:val="auto"/>
              </w:rPr>
              <w:t>、</w:t>
            </w:r>
            <w:r>
              <w:rPr>
                <w:color w:val="auto"/>
              </w:rPr>
              <w:t>预酸化池</w:t>
            </w:r>
          </w:p>
        </w:tc>
        <w:tc>
          <w:tcPr>
            <w:tcW w:w="591" w:type="pct"/>
            <w:vAlign w:val="center"/>
          </w:tcPr>
          <w:p w14:paraId="39651F0E">
            <w:pPr>
              <w:pStyle w:val="33"/>
              <w:rPr>
                <w:color w:val="auto"/>
              </w:rPr>
            </w:pPr>
            <w:r>
              <w:rPr>
                <w:color w:val="auto"/>
              </w:rPr>
              <w:t>新建</w:t>
            </w:r>
          </w:p>
        </w:tc>
      </w:tr>
      <w:tr w14:paraId="0E97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continue"/>
            <w:vAlign w:val="center"/>
          </w:tcPr>
          <w:p w14:paraId="7F3D6001">
            <w:pPr>
              <w:pStyle w:val="33"/>
              <w:rPr>
                <w:color w:val="auto"/>
              </w:rPr>
            </w:pPr>
          </w:p>
        </w:tc>
        <w:tc>
          <w:tcPr>
            <w:tcW w:w="841" w:type="pct"/>
            <w:vAlign w:val="center"/>
          </w:tcPr>
          <w:p w14:paraId="709902AB">
            <w:pPr>
              <w:pStyle w:val="33"/>
              <w:rPr>
                <w:color w:val="auto"/>
              </w:rPr>
            </w:pPr>
            <w:r>
              <w:rPr>
                <w:color w:val="auto"/>
              </w:rPr>
              <w:t>厌氧处理系统</w:t>
            </w:r>
          </w:p>
        </w:tc>
        <w:tc>
          <w:tcPr>
            <w:tcW w:w="3205" w:type="pct"/>
            <w:vAlign w:val="center"/>
          </w:tcPr>
          <w:p w14:paraId="39084126">
            <w:pPr>
              <w:pStyle w:val="33"/>
              <w:rPr>
                <w:color w:val="auto"/>
              </w:rPr>
            </w:pPr>
            <w:r>
              <w:rPr>
                <w:color w:val="auto"/>
              </w:rPr>
              <w:t>UMAR反应器</w:t>
            </w:r>
            <w:r>
              <w:rPr>
                <w:rFonts w:hint="eastAsia"/>
                <w:color w:val="auto"/>
              </w:rPr>
              <w:t>、</w:t>
            </w:r>
            <w:r>
              <w:rPr>
                <w:color w:val="auto"/>
              </w:rPr>
              <w:t>厌氧污泥罐</w:t>
            </w:r>
          </w:p>
        </w:tc>
        <w:tc>
          <w:tcPr>
            <w:tcW w:w="591" w:type="pct"/>
            <w:vAlign w:val="center"/>
          </w:tcPr>
          <w:p w14:paraId="0CB81F5B">
            <w:pPr>
              <w:pStyle w:val="33"/>
              <w:rPr>
                <w:color w:val="auto"/>
              </w:rPr>
            </w:pPr>
            <w:r>
              <w:rPr>
                <w:color w:val="auto"/>
              </w:rPr>
              <w:t>新建</w:t>
            </w:r>
          </w:p>
        </w:tc>
      </w:tr>
      <w:tr w14:paraId="0680F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continue"/>
            <w:vAlign w:val="center"/>
          </w:tcPr>
          <w:p w14:paraId="6A6DFCFB">
            <w:pPr>
              <w:pStyle w:val="33"/>
              <w:rPr>
                <w:color w:val="auto"/>
              </w:rPr>
            </w:pPr>
          </w:p>
        </w:tc>
        <w:tc>
          <w:tcPr>
            <w:tcW w:w="841" w:type="pct"/>
            <w:vAlign w:val="center"/>
          </w:tcPr>
          <w:p w14:paraId="188F15AF">
            <w:pPr>
              <w:pStyle w:val="33"/>
              <w:rPr>
                <w:color w:val="auto"/>
              </w:rPr>
            </w:pPr>
            <w:r>
              <w:rPr>
                <w:color w:val="auto"/>
              </w:rPr>
              <w:t>二级A/O处理系统</w:t>
            </w:r>
          </w:p>
        </w:tc>
        <w:tc>
          <w:tcPr>
            <w:tcW w:w="3205" w:type="pct"/>
            <w:vAlign w:val="center"/>
          </w:tcPr>
          <w:p w14:paraId="443F8EA6">
            <w:pPr>
              <w:pStyle w:val="33"/>
              <w:rPr>
                <w:color w:val="auto"/>
              </w:rPr>
            </w:pPr>
            <w:r>
              <w:rPr>
                <w:color w:val="auto"/>
              </w:rPr>
              <w:t>1#A池</w:t>
            </w:r>
            <w:r>
              <w:rPr>
                <w:rFonts w:hint="eastAsia"/>
                <w:color w:val="auto"/>
              </w:rPr>
              <w:t>、</w:t>
            </w:r>
            <w:r>
              <w:rPr>
                <w:color w:val="auto"/>
              </w:rPr>
              <w:t>1#O池</w:t>
            </w:r>
            <w:r>
              <w:rPr>
                <w:rFonts w:hint="eastAsia"/>
                <w:color w:val="auto"/>
              </w:rPr>
              <w:t>、</w:t>
            </w:r>
            <w:r>
              <w:rPr>
                <w:color w:val="auto"/>
              </w:rPr>
              <w:t>2#A池</w:t>
            </w:r>
            <w:r>
              <w:rPr>
                <w:rFonts w:hint="eastAsia"/>
                <w:color w:val="auto"/>
              </w:rPr>
              <w:t>、</w:t>
            </w:r>
            <w:r>
              <w:rPr>
                <w:color w:val="auto"/>
              </w:rPr>
              <w:t>2#O池</w:t>
            </w:r>
            <w:r>
              <w:rPr>
                <w:rFonts w:hint="eastAsia"/>
                <w:color w:val="auto"/>
              </w:rPr>
              <w:t>、</w:t>
            </w:r>
            <w:r>
              <w:rPr>
                <w:color w:val="auto"/>
              </w:rPr>
              <w:t>二沉池</w:t>
            </w:r>
            <w:r>
              <w:rPr>
                <w:rFonts w:hint="eastAsia"/>
                <w:color w:val="auto"/>
              </w:rPr>
              <w:t>、</w:t>
            </w:r>
            <w:r>
              <w:rPr>
                <w:color w:val="auto"/>
              </w:rPr>
              <w:t>三级反应池</w:t>
            </w:r>
            <w:r>
              <w:rPr>
                <w:rFonts w:hint="eastAsia"/>
                <w:color w:val="auto"/>
              </w:rPr>
              <w:t>、</w:t>
            </w:r>
            <w:r>
              <w:rPr>
                <w:color w:val="auto"/>
              </w:rPr>
              <w:t>终沉池</w:t>
            </w:r>
            <w:r>
              <w:rPr>
                <w:rFonts w:hint="eastAsia"/>
                <w:color w:val="auto"/>
              </w:rPr>
              <w:t>、</w:t>
            </w:r>
            <w:r>
              <w:rPr>
                <w:color w:val="auto"/>
              </w:rPr>
              <w:t>中转水池</w:t>
            </w:r>
          </w:p>
        </w:tc>
        <w:tc>
          <w:tcPr>
            <w:tcW w:w="591" w:type="pct"/>
            <w:vAlign w:val="center"/>
          </w:tcPr>
          <w:p w14:paraId="5550595C">
            <w:pPr>
              <w:pStyle w:val="33"/>
              <w:rPr>
                <w:color w:val="auto"/>
              </w:rPr>
            </w:pPr>
            <w:r>
              <w:rPr>
                <w:color w:val="auto"/>
              </w:rPr>
              <w:t>新建</w:t>
            </w:r>
          </w:p>
        </w:tc>
      </w:tr>
      <w:tr w14:paraId="03FA3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continue"/>
            <w:vAlign w:val="center"/>
          </w:tcPr>
          <w:p w14:paraId="1D7EAB7B">
            <w:pPr>
              <w:pStyle w:val="33"/>
              <w:rPr>
                <w:color w:val="auto"/>
              </w:rPr>
            </w:pPr>
          </w:p>
        </w:tc>
        <w:tc>
          <w:tcPr>
            <w:tcW w:w="841" w:type="pct"/>
            <w:vAlign w:val="center"/>
          </w:tcPr>
          <w:p w14:paraId="1F853D44">
            <w:pPr>
              <w:pStyle w:val="33"/>
              <w:rPr>
                <w:color w:val="auto"/>
              </w:rPr>
            </w:pPr>
            <w:r>
              <w:rPr>
                <w:color w:val="auto"/>
              </w:rPr>
              <w:t>高级氧化工段</w:t>
            </w:r>
          </w:p>
        </w:tc>
        <w:tc>
          <w:tcPr>
            <w:tcW w:w="3205" w:type="pct"/>
            <w:vAlign w:val="center"/>
          </w:tcPr>
          <w:p w14:paraId="558C1A4A">
            <w:pPr>
              <w:pStyle w:val="33"/>
              <w:rPr>
                <w:color w:val="auto"/>
              </w:rPr>
            </w:pPr>
            <w:r>
              <w:rPr>
                <w:color w:val="auto"/>
              </w:rPr>
              <w:t>芬顿工艺</w:t>
            </w:r>
          </w:p>
        </w:tc>
        <w:tc>
          <w:tcPr>
            <w:tcW w:w="591" w:type="pct"/>
            <w:vAlign w:val="center"/>
          </w:tcPr>
          <w:p w14:paraId="7AD978BF">
            <w:pPr>
              <w:pStyle w:val="33"/>
              <w:rPr>
                <w:color w:val="auto"/>
              </w:rPr>
            </w:pPr>
            <w:r>
              <w:rPr>
                <w:color w:val="auto"/>
              </w:rPr>
              <w:t>依托现有</w:t>
            </w:r>
          </w:p>
        </w:tc>
      </w:tr>
      <w:tr w14:paraId="5B35A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continue"/>
            <w:vAlign w:val="center"/>
          </w:tcPr>
          <w:p w14:paraId="324A40FC">
            <w:pPr>
              <w:pStyle w:val="33"/>
              <w:rPr>
                <w:color w:val="auto"/>
              </w:rPr>
            </w:pPr>
          </w:p>
        </w:tc>
        <w:tc>
          <w:tcPr>
            <w:tcW w:w="841" w:type="pct"/>
            <w:vAlign w:val="center"/>
          </w:tcPr>
          <w:p w14:paraId="65ABCCD3">
            <w:pPr>
              <w:pStyle w:val="33"/>
              <w:rPr>
                <w:color w:val="auto"/>
              </w:rPr>
            </w:pPr>
            <w:r>
              <w:rPr>
                <w:color w:val="auto"/>
              </w:rPr>
              <w:t>污泥处理系统</w:t>
            </w:r>
          </w:p>
        </w:tc>
        <w:tc>
          <w:tcPr>
            <w:tcW w:w="3205" w:type="pct"/>
            <w:vAlign w:val="center"/>
          </w:tcPr>
          <w:p w14:paraId="0ADDAD39">
            <w:pPr>
              <w:pStyle w:val="33"/>
              <w:rPr>
                <w:color w:val="auto"/>
              </w:rPr>
            </w:pPr>
            <w:r>
              <w:rPr>
                <w:color w:val="auto"/>
              </w:rPr>
              <w:t>3#浓缩池</w:t>
            </w:r>
            <w:r>
              <w:rPr>
                <w:rFonts w:hint="eastAsia"/>
                <w:color w:val="auto"/>
              </w:rPr>
              <w:t>、</w:t>
            </w:r>
            <w:r>
              <w:rPr>
                <w:color w:val="auto"/>
              </w:rPr>
              <w:t>4#浓缩池</w:t>
            </w:r>
            <w:r>
              <w:rPr>
                <w:rFonts w:hint="eastAsia"/>
                <w:color w:val="auto"/>
              </w:rPr>
              <w:t>、</w:t>
            </w:r>
            <w:r>
              <w:rPr>
                <w:color w:val="auto"/>
              </w:rPr>
              <w:t>污泥加药调理池</w:t>
            </w:r>
            <w:r>
              <w:rPr>
                <w:rFonts w:hint="eastAsia"/>
                <w:color w:val="auto"/>
              </w:rPr>
              <w:t>、</w:t>
            </w:r>
            <w:r>
              <w:rPr>
                <w:color w:val="auto"/>
              </w:rPr>
              <w:t>污泥熟化调理池</w:t>
            </w:r>
            <w:r>
              <w:rPr>
                <w:rFonts w:hint="eastAsia"/>
                <w:color w:val="auto"/>
              </w:rPr>
              <w:t>、</w:t>
            </w:r>
            <w:r>
              <w:rPr>
                <w:color w:val="auto"/>
              </w:rPr>
              <w:t>生化污泥滤液池</w:t>
            </w:r>
            <w:r>
              <w:rPr>
                <w:rFonts w:hint="eastAsia"/>
                <w:color w:val="auto"/>
              </w:rPr>
              <w:t>、</w:t>
            </w:r>
            <w:r>
              <w:rPr>
                <w:color w:val="auto"/>
              </w:rPr>
              <w:t>化学污泥滤液池</w:t>
            </w:r>
            <w:r>
              <w:rPr>
                <w:rFonts w:hint="eastAsia"/>
                <w:color w:val="auto"/>
              </w:rPr>
              <w:t>、</w:t>
            </w:r>
            <w:r>
              <w:rPr>
                <w:color w:val="auto"/>
              </w:rPr>
              <w:t>板框间</w:t>
            </w:r>
            <w:r>
              <w:rPr>
                <w:rFonts w:hint="eastAsia"/>
                <w:color w:val="auto"/>
              </w:rPr>
              <w:t>、</w:t>
            </w:r>
            <w:r>
              <w:rPr>
                <w:color w:val="auto"/>
              </w:rPr>
              <w:t>污泥堆场</w:t>
            </w:r>
          </w:p>
        </w:tc>
        <w:tc>
          <w:tcPr>
            <w:tcW w:w="591" w:type="pct"/>
            <w:vAlign w:val="center"/>
          </w:tcPr>
          <w:p w14:paraId="754B0CC4">
            <w:pPr>
              <w:pStyle w:val="33"/>
              <w:rPr>
                <w:color w:val="auto"/>
              </w:rPr>
            </w:pPr>
            <w:r>
              <w:rPr>
                <w:color w:val="auto"/>
              </w:rPr>
              <w:t>新建</w:t>
            </w:r>
          </w:p>
        </w:tc>
      </w:tr>
      <w:tr w14:paraId="54C5F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3" w:type="pct"/>
            <w:vMerge w:val="continue"/>
            <w:vAlign w:val="center"/>
          </w:tcPr>
          <w:p w14:paraId="34BCF50D">
            <w:pPr>
              <w:pStyle w:val="33"/>
              <w:rPr>
                <w:color w:val="auto"/>
              </w:rPr>
            </w:pPr>
          </w:p>
        </w:tc>
        <w:tc>
          <w:tcPr>
            <w:tcW w:w="841" w:type="pct"/>
            <w:vAlign w:val="center"/>
          </w:tcPr>
          <w:p w14:paraId="5011BB34">
            <w:pPr>
              <w:pStyle w:val="33"/>
              <w:rPr>
                <w:color w:val="auto"/>
              </w:rPr>
            </w:pPr>
            <w:r>
              <w:rPr>
                <w:color w:val="auto"/>
              </w:rPr>
              <w:t>1#污水处理站改造部分</w:t>
            </w:r>
          </w:p>
        </w:tc>
        <w:tc>
          <w:tcPr>
            <w:tcW w:w="3205" w:type="pct"/>
            <w:vAlign w:val="center"/>
          </w:tcPr>
          <w:p w14:paraId="53479EAB">
            <w:pPr>
              <w:pStyle w:val="33"/>
              <w:rPr>
                <w:color w:val="auto"/>
              </w:rPr>
            </w:pPr>
            <w:r>
              <w:rPr>
                <w:color w:val="auto"/>
              </w:rPr>
              <w:t>气浮池</w:t>
            </w:r>
            <w:r>
              <w:rPr>
                <w:rFonts w:hint="eastAsia"/>
                <w:color w:val="auto"/>
              </w:rPr>
              <w:t>、</w:t>
            </w:r>
            <w:r>
              <w:rPr>
                <w:color w:val="auto"/>
              </w:rPr>
              <w:t>冷却塔</w:t>
            </w:r>
            <w:r>
              <w:rPr>
                <w:rFonts w:hint="eastAsia"/>
                <w:color w:val="auto"/>
              </w:rPr>
              <w:t>、</w:t>
            </w:r>
            <w:r>
              <w:rPr>
                <w:color w:val="auto"/>
              </w:rPr>
              <w:t>螺旋压榨机</w:t>
            </w:r>
            <w:r>
              <w:rPr>
                <w:rFonts w:hint="eastAsia"/>
                <w:color w:val="auto"/>
              </w:rPr>
              <w:t>、</w:t>
            </w:r>
            <w:r>
              <w:rPr>
                <w:color w:val="auto"/>
              </w:rPr>
              <w:t>SBR池管道改造</w:t>
            </w:r>
          </w:p>
        </w:tc>
        <w:tc>
          <w:tcPr>
            <w:tcW w:w="591" w:type="pct"/>
            <w:vAlign w:val="center"/>
          </w:tcPr>
          <w:p w14:paraId="7D9EEBB8">
            <w:pPr>
              <w:pStyle w:val="33"/>
              <w:rPr>
                <w:color w:val="auto"/>
              </w:rPr>
            </w:pPr>
            <w:r>
              <w:rPr>
                <w:color w:val="auto"/>
              </w:rPr>
              <w:t>改造</w:t>
            </w:r>
          </w:p>
        </w:tc>
      </w:tr>
    </w:tbl>
    <w:p w14:paraId="4AA3F3EE">
      <w:pPr>
        <w:pStyle w:val="5"/>
        <w:numPr>
          <w:ilvl w:val="3"/>
          <w:numId w:val="2"/>
        </w:numPr>
        <w:rPr>
          <w:color w:val="auto"/>
        </w:rPr>
      </w:pPr>
      <w:r>
        <w:rPr>
          <w:color w:val="auto"/>
        </w:rPr>
        <w:t>主要原辅料及能源消耗</w:t>
      </w:r>
    </w:p>
    <w:p w14:paraId="0ED1DB1D">
      <w:pPr>
        <w:ind w:firstLine="480"/>
        <w:rPr>
          <w:color w:val="auto"/>
        </w:rPr>
      </w:pPr>
      <w:r>
        <w:rPr>
          <w:color w:val="auto"/>
        </w:rPr>
        <w:t>污水处理站绿色升级改造</w:t>
      </w:r>
      <w:r>
        <w:rPr>
          <w:rFonts w:hint="eastAsia"/>
          <w:color w:val="auto"/>
        </w:rPr>
        <w:t>项目</w:t>
      </w:r>
      <w:r>
        <w:rPr>
          <w:color w:val="auto"/>
        </w:rPr>
        <w:t>主要原辅材料及能源消耗见</w:t>
      </w:r>
      <w:r>
        <w:rPr>
          <w:rFonts w:hint="eastAsia"/>
          <w:color w:val="auto"/>
        </w:rPr>
        <w:t>下</w:t>
      </w:r>
      <w:r>
        <w:rPr>
          <w:color w:val="auto"/>
        </w:rPr>
        <w:t>表。</w:t>
      </w:r>
    </w:p>
    <w:p w14:paraId="23CF9F5C">
      <w:pPr>
        <w:pStyle w:val="7"/>
        <w:rPr>
          <w:color w:val="auto"/>
        </w:rPr>
      </w:pPr>
      <w:r>
        <w:rPr>
          <w:color w:val="auto"/>
        </w:rPr>
        <w:t>已批在建污水处理站绿色升级改造</w:t>
      </w:r>
      <w:r>
        <w:rPr>
          <w:rFonts w:hint="eastAsia"/>
          <w:color w:val="auto"/>
        </w:rPr>
        <w:t>项目</w:t>
      </w:r>
      <w:r>
        <w:rPr>
          <w:color w:val="auto"/>
        </w:rPr>
        <w:t>主要原辅材料消耗情况</w:t>
      </w:r>
    </w:p>
    <w:tbl>
      <w:tblPr>
        <w:tblStyle w:val="26"/>
        <w:tblW w:w="5000" w:type="pct"/>
        <w:tblInd w:w="0" w:type="dxa"/>
        <w:tblLayout w:type="autofit"/>
        <w:tblCellMar>
          <w:top w:w="0" w:type="dxa"/>
          <w:left w:w="108" w:type="dxa"/>
          <w:bottom w:w="0" w:type="dxa"/>
          <w:right w:w="108" w:type="dxa"/>
        </w:tblCellMar>
      </w:tblPr>
      <w:tblGrid>
        <w:gridCol w:w="1385"/>
        <w:gridCol w:w="3718"/>
        <w:gridCol w:w="2071"/>
        <w:gridCol w:w="2112"/>
      </w:tblGrid>
      <w:tr w14:paraId="6EE31D1D">
        <w:tblPrEx>
          <w:tblCellMar>
            <w:top w:w="0" w:type="dxa"/>
            <w:left w:w="108" w:type="dxa"/>
            <w:bottom w:w="0" w:type="dxa"/>
            <w:right w:w="108" w:type="dxa"/>
          </w:tblCellMar>
        </w:tblPrEx>
        <w:trPr>
          <w:trHeight w:val="340" w:hRule="atLeast"/>
          <w:tblHeader/>
        </w:trPr>
        <w:tc>
          <w:tcPr>
            <w:tcW w:w="746" w:type="pct"/>
            <w:tcBorders>
              <w:top w:val="single" w:color="000000" w:sz="4" w:space="0"/>
              <w:left w:val="single" w:color="000000" w:sz="4" w:space="0"/>
              <w:bottom w:val="single" w:color="000000" w:sz="4" w:space="0"/>
              <w:right w:val="single" w:color="000000" w:sz="4" w:space="0"/>
            </w:tcBorders>
            <w:vAlign w:val="center"/>
          </w:tcPr>
          <w:p w14:paraId="6F214C42">
            <w:pPr>
              <w:pStyle w:val="33"/>
              <w:rPr>
                <w:color w:val="auto"/>
              </w:rPr>
            </w:pPr>
            <w:r>
              <w:rPr>
                <w:color w:val="auto"/>
              </w:rPr>
              <w:t>序号</w:t>
            </w:r>
          </w:p>
        </w:tc>
        <w:tc>
          <w:tcPr>
            <w:tcW w:w="2002" w:type="pct"/>
            <w:tcBorders>
              <w:top w:val="single" w:color="000000" w:sz="4" w:space="0"/>
              <w:left w:val="single" w:color="000000" w:sz="4" w:space="0"/>
              <w:bottom w:val="single" w:color="000000" w:sz="4" w:space="0"/>
              <w:right w:val="single" w:color="000000" w:sz="4" w:space="0"/>
            </w:tcBorders>
            <w:vAlign w:val="center"/>
          </w:tcPr>
          <w:p w14:paraId="6B7776E3">
            <w:pPr>
              <w:pStyle w:val="33"/>
              <w:rPr>
                <w:color w:val="auto"/>
              </w:rPr>
            </w:pPr>
            <w:r>
              <w:rPr>
                <w:color w:val="auto"/>
              </w:rPr>
              <w:t>项目</w:t>
            </w:r>
          </w:p>
        </w:tc>
        <w:tc>
          <w:tcPr>
            <w:tcW w:w="1115" w:type="pct"/>
            <w:tcBorders>
              <w:top w:val="single" w:color="000000" w:sz="4" w:space="0"/>
              <w:left w:val="single" w:color="000000" w:sz="4" w:space="0"/>
              <w:bottom w:val="single" w:color="000000" w:sz="4" w:space="0"/>
              <w:right w:val="single" w:color="000000" w:sz="4" w:space="0"/>
            </w:tcBorders>
            <w:vAlign w:val="center"/>
          </w:tcPr>
          <w:p w14:paraId="6118C67E">
            <w:pPr>
              <w:pStyle w:val="33"/>
              <w:rPr>
                <w:color w:val="auto"/>
              </w:rPr>
            </w:pPr>
            <w:r>
              <w:rPr>
                <w:color w:val="auto"/>
              </w:rPr>
              <w:t>单位</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0E83BC7F">
            <w:pPr>
              <w:pStyle w:val="33"/>
              <w:rPr>
                <w:color w:val="auto"/>
              </w:rPr>
            </w:pPr>
            <w:r>
              <w:rPr>
                <w:color w:val="auto"/>
              </w:rPr>
              <w:t>总量</w:t>
            </w:r>
          </w:p>
        </w:tc>
      </w:tr>
      <w:tr w14:paraId="76C89FB3">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19E0DE98">
            <w:pPr>
              <w:pStyle w:val="33"/>
              <w:rPr>
                <w:color w:val="auto"/>
              </w:rPr>
            </w:pPr>
            <w:r>
              <w:rPr>
                <w:color w:val="auto"/>
              </w:rPr>
              <w:t>1</w:t>
            </w:r>
          </w:p>
        </w:tc>
        <w:tc>
          <w:tcPr>
            <w:tcW w:w="2002" w:type="pct"/>
            <w:tcBorders>
              <w:top w:val="single" w:color="000000" w:sz="4" w:space="0"/>
              <w:left w:val="single" w:color="000000" w:sz="4" w:space="0"/>
              <w:bottom w:val="single" w:color="000000" w:sz="4" w:space="0"/>
              <w:right w:val="single" w:color="000000" w:sz="4" w:space="0"/>
            </w:tcBorders>
            <w:vAlign w:val="center"/>
          </w:tcPr>
          <w:p w14:paraId="62C826D6">
            <w:pPr>
              <w:pStyle w:val="33"/>
              <w:rPr>
                <w:color w:val="auto"/>
              </w:rPr>
            </w:pPr>
            <w:r>
              <w:rPr>
                <w:color w:val="auto"/>
              </w:rPr>
              <w:t>尿素</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3386D3BB">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56758DAA">
            <w:pPr>
              <w:pStyle w:val="33"/>
              <w:rPr>
                <w:color w:val="auto"/>
              </w:rPr>
            </w:pPr>
            <w:r>
              <w:rPr>
                <w:color w:val="auto"/>
              </w:rPr>
              <w:t>613.2</w:t>
            </w:r>
          </w:p>
        </w:tc>
      </w:tr>
      <w:tr w14:paraId="266D6FFF">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09A39A48">
            <w:pPr>
              <w:pStyle w:val="33"/>
              <w:rPr>
                <w:color w:val="auto"/>
              </w:rPr>
            </w:pPr>
            <w:r>
              <w:rPr>
                <w:color w:val="auto"/>
              </w:rPr>
              <w:t>2</w:t>
            </w:r>
          </w:p>
        </w:tc>
        <w:tc>
          <w:tcPr>
            <w:tcW w:w="2002" w:type="pct"/>
            <w:tcBorders>
              <w:top w:val="single" w:color="000000" w:sz="4" w:space="0"/>
              <w:left w:val="single" w:color="000000" w:sz="4" w:space="0"/>
              <w:bottom w:val="single" w:color="000000" w:sz="4" w:space="0"/>
              <w:right w:val="single" w:color="000000" w:sz="4" w:space="0"/>
            </w:tcBorders>
            <w:vAlign w:val="center"/>
          </w:tcPr>
          <w:p w14:paraId="64626032">
            <w:pPr>
              <w:pStyle w:val="33"/>
              <w:rPr>
                <w:color w:val="auto"/>
              </w:rPr>
            </w:pPr>
            <w:r>
              <w:rPr>
                <w:color w:val="auto"/>
              </w:rPr>
              <w:t>磷酸三钠</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2D11462A">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0ABD9799">
            <w:pPr>
              <w:pStyle w:val="33"/>
              <w:rPr>
                <w:color w:val="auto"/>
              </w:rPr>
            </w:pPr>
            <w:r>
              <w:rPr>
                <w:color w:val="auto"/>
              </w:rPr>
              <w:t>383.25</w:t>
            </w:r>
          </w:p>
        </w:tc>
      </w:tr>
      <w:tr w14:paraId="70B4BEF4">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4F6E51F1">
            <w:pPr>
              <w:pStyle w:val="33"/>
              <w:rPr>
                <w:color w:val="auto"/>
              </w:rPr>
            </w:pPr>
            <w:r>
              <w:rPr>
                <w:color w:val="auto"/>
              </w:rPr>
              <w:t>3</w:t>
            </w:r>
          </w:p>
        </w:tc>
        <w:tc>
          <w:tcPr>
            <w:tcW w:w="2002" w:type="pct"/>
            <w:tcBorders>
              <w:top w:val="single" w:color="000000" w:sz="4" w:space="0"/>
              <w:left w:val="single" w:color="000000" w:sz="4" w:space="0"/>
              <w:bottom w:val="single" w:color="000000" w:sz="4" w:space="0"/>
              <w:right w:val="single" w:color="000000" w:sz="4" w:space="0"/>
            </w:tcBorders>
            <w:vAlign w:val="center"/>
          </w:tcPr>
          <w:p w14:paraId="564A6F41">
            <w:pPr>
              <w:pStyle w:val="33"/>
              <w:rPr>
                <w:color w:val="auto"/>
              </w:rPr>
            </w:pPr>
            <w:r>
              <w:rPr>
                <w:color w:val="auto"/>
              </w:rPr>
              <w:t>阴离子</w:t>
            </w:r>
            <w:r>
              <w:rPr>
                <w:rStyle w:val="40"/>
                <w:rFonts w:hint="default" w:ascii="Times New Roman" w:hAnsi="Times New Roman"/>
                <w:color w:val="auto"/>
                <w:sz w:val="21"/>
                <w:szCs w:val="24"/>
              </w:rPr>
              <w:t>PAM</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009AEF40">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auto" w:sz="4" w:space="0"/>
            </w:tcBorders>
            <w:noWrap/>
            <w:vAlign w:val="center"/>
          </w:tcPr>
          <w:p w14:paraId="52D92D89">
            <w:pPr>
              <w:pStyle w:val="33"/>
              <w:rPr>
                <w:color w:val="auto"/>
              </w:rPr>
            </w:pPr>
            <w:r>
              <w:rPr>
                <w:color w:val="auto"/>
              </w:rPr>
              <w:t>50.589</w:t>
            </w:r>
          </w:p>
        </w:tc>
      </w:tr>
      <w:tr w14:paraId="405777A9">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610E884E">
            <w:pPr>
              <w:pStyle w:val="33"/>
              <w:rPr>
                <w:color w:val="auto"/>
              </w:rPr>
            </w:pPr>
            <w:r>
              <w:rPr>
                <w:color w:val="auto"/>
              </w:rPr>
              <w:t>4</w:t>
            </w:r>
          </w:p>
        </w:tc>
        <w:tc>
          <w:tcPr>
            <w:tcW w:w="2002" w:type="pct"/>
            <w:tcBorders>
              <w:top w:val="single" w:color="000000" w:sz="4" w:space="0"/>
              <w:left w:val="single" w:color="000000" w:sz="4" w:space="0"/>
              <w:bottom w:val="single" w:color="000000" w:sz="4" w:space="0"/>
              <w:right w:val="single" w:color="000000" w:sz="4" w:space="0"/>
            </w:tcBorders>
            <w:vAlign w:val="center"/>
          </w:tcPr>
          <w:p w14:paraId="0590074F">
            <w:pPr>
              <w:pStyle w:val="33"/>
              <w:rPr>
                <w:color w:val="auto"/>
              </w:rPr>
            </w:pPr>
            <w:r>
              <w:rPr>
                <w:color w:val="auto"/>
              </w:rPr>
              <w:t>阳离子</w:t>
            </w:r>
            <w:r>
              <w:rPr>
                <w:rStyle w:val="40"/>
                <w:rFonts w:hint="default" w:ascii="Times New Roman" w:hAnsi="Times New Roman"/>
                <w:color w:val="auto"/>
                <w:sz w:val="21"/>
                <w:szCs w:val="24"/>
              </w:rPr>
              <w:t>PAM</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0175158E">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auto" w:sz="4" w:space="0"/>
            </w:tcBorders>
            <w:noWrap/>
            <w:vAlign w:val="center"/>
          </w:tcPr>
          <w:p w14:paraId="03C89060">
            <w:pPr>
              <w:pStyle w:val="33"/>
              <w:rPr>
                <w:color w:val="auto"/>
              </w:rPr>
            </w:pPr>
            <w:r>
              <w:rPr>
                <w:color w:val="auto"/>
              </w:rPr>
              <w:t>252.945</w:t>
            </w:r>
          </w:p>
        </w:tc>
      </w:tr>
      <w:tr w14:paraId="0B7DF03E">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769669FD">
            <w:pPr>
              <w:pStyle w:val="33"/>
              <w:rPr>
                <w:color w:val="auto"/>
              </w:rPr>
            </w:pPr>
            <w:r>
              <w:rPr>
                <w:color w:val="auto"/>
              </w:rPr>
              <w:t>5</w:t>
            </w:r>
          </w:p>
        </w:tc>
        <w:tc>
          <w:tcPr>
            <w:tcW w:w="2002" w:type="pct"/>
            <w:tcBorders>
              <w:top w:val="single" w:color="000000" w:sz="4" w:space="0"/>
              <w:left w:val="single" w:color="000000" w:sz="4" w:space="0"/>
              <w:bottom w:val="single" w:color="000000" w:sz="4" w:space="0"/>
              <w:right w:val="single" w:color="000000" w:sz="4" w:space="0"/>
            </w:tcBorders>
            <w:vAlign w:val="center"/>
          </w:tcPr>
          <w:p w14:paraId="036CF677">
            <w:pPr>
              <w:pStyle w:val="33"/>
              <w:rPr>
                <w:color w:val="auto"/>
              </w:rPr>
            </w:pPr>
            <w:r>
              <w:rPr>
                <w:color w:val="auto"/>
              </w:rPr>
              <w:t>PAC(10%)</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0637E7E9">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auto" w:sz="4" w:space="0"/>
            </w:tcBorders>
            <w:noWrap/>
            <w:vAlign w:val="center"/>
          </w:tcPr>
          <w:p w14:paraId="29C87D5C">
            <w:pPr>
              <w:pStyle w:val="33"/>
              <w:rPr>
                <w:color w:val="auto"/>
              </w:rPr>
            </w:pPr>
            <w:r>
              <w:rPr>
                <w:color w:val="auto"/>
              </w:rPr>
              <w:t>521.2</w:t>
            </w:r>
          </w:p>
        </w:tc>
      </w:tr>
      <w:tr w14:paraId="13792E11">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79762860">
            <w:pPr>
              <w:pStyle w:val="33"/>
              <w:rPr>
                <w:color w:val="auto"/>
              </w:rPr>
            </w:pPr>
            <w:r>
              <w:rPr>
                <w:color w:val="auto"/>
              </w:rPr>
              <w:t>6</w:t>
            </w:r>
          </w:p>
        </w:tc>
        <w:tc>
          <w:tcPr>
            <w:tcW w:w="2002" w:type="pct"/>
            <w:tcBorders>
              <w:top w:val="single" w:color="000000" w:sz="4" w:space="0"/>
              <w:left w:val="single" w:color="000000" w:sz="4" w:space="0"/>
              <w:bottom w:val="single" w:color="000000" w:sz="4" w:space="0"/>
              <w:right w:val="single" w:color="000000" w:sz="4" w:space="0"/>
            </w:tcBorders>
            <w:vAlign w:val="center"/>
          </w:tcPr>
          <w:p w14:paraId="44F7F15F">
            <w:pPr>
              <w:pStyle w:val="33"/>
              <w:rPr>
                <w:color w:val="auto"/>
              </w:rPr>
            </w:pPr>
            <w:r>
              <w:rPr>
                <w:color w:val="auto"/>
              </w:rPr>
              <w:t>净水剂（</w:t>
            </w:r>
            <w:r>
              <w:rPr>
                <w:rStyle w:val="40"/>
                <w:rFonts w:hint="default" w:ascii="Times New Roman" w:hAnsi="Times New Roman"/>
                <w:color w:val="auto"/>
                <w:sz w:val="21"/>
                <w:szCs w:val="24"/>
              </w:rPr>
              <w:t>10%</w:t>
            </w:r>
            <w:r>
              <w:rPr>
                <w:rStyle w:val="49"/>
                <w:rFonts w:hint="default" w:ascii="Times New Roman" w:hAnsi="Times New Roman"/>
                <w:color w:val="auto"/>
                <w:sz w:val="21"/>
                <w:szCs w:val="24"/>
              </w:rPr>
              <w:t>）</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76F3A525">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7C138243">
            <w:pPr>
              <w:pStyle w:val="33"/>
              <w:rPr>
                <w:color w:val="auto"/>
              </w:rPr>
            </w:pPr>
            <w:r>
              <w:rPr>
                <w:color w:val="auto"/>
              </w:rPr>
              <w:t>30660</w:t>
            </w:r>
          </w:p>
        </w:tc>
      </w:tr>
      <w:tr w14:paraId="033AED21">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2AE9010B">
            <w:pPr>
              <w:pStyle w:val="33"/>
              <w:rPr>
                <w:color w:val="auto"/>
              </w:rPr>
            </w:pPr>
            <w:r>
              <w:rPr>
                <w:color w:val="auto"/>
              </w:rPr>
              <w:t>7</w:t>
            </w:r>
          </w:p>
        </w:tc>
        <w:tc>
          <w:tcPr>
            <w:tcW w:w="2002" w:type="pct"/>
            <w:tcBorders>
              <w:top w:val="single" w:color="000000" w:sz="4" w:space="0"/>
              <w:left w:val="single" w:color="000000" w:sz="4" w:space="0"/>
              <w:bottom w:val="single" w:color="000000" w:sz="4" w:space="0"/>
              <w:right w:val="single" w:color="000000" w:sz="4" w:space="0"/>
            </w:tcBorders>
            <w:vAlign w:val="center"/>
          </w:tcPr>
          <w:p w14:paraId="47D9C5AF">
            <w:pPr>
              <w:pStyle w:val="33"/>
              <w:rPr>
                <w:color w:val="auto"/>
              </w:rPr>
            </w:pPr>
            <w:r>
              <w:rPr>
                <w:color w:val="auto"/>
              </w:rPr>
              <w:t>浓硫酸（</w:t>
            </w:r>
            <w:r>
              <w:rPr>
                <w:rStyle w:val="40"/>
                <w:rFonts w:hint="default" w:ascii="Times New Roman" w:hAnsi="Times New Roman"/>
                <w:color w:val="auto"/>
                <w:sz w:val="21"/>
                <w:szCs w:val="24"/>
              </w:rPr>
              <w:t>98%</w:t>
            </w:r>
            <w:r>
              <w:rPr>
                <w:rStyle w:val="49"/>
                <w:rFonts w:hint="default" w:ascii="Times New Roman" w:hAnsi="Times New Roman"/>
                <w:color w:val="auto"/>
                <w:sz w:val="21"/>
                <w:szCs w:val="24"/>
              </w:rPr>
              <w:t>）</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08819761">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6E991EAE">
            <w:pPr>
              <w:pStyle w:val="33"/>
              <w:rPr>
                <w:color w:val="auto"/>
              </w:rPr>
            </w:pPr>
            <w:r>
              <w:rPr>
                <w:color w:val="auto"/>
              </w:rPr>
              <w:t>19162.5</w:t>
            </w:r>
          </w:p>
        </w:tc>
      </w:tr>
      <w:tr w14:paraId="6FF589D6">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06A7BE78">
            <w:pPr>
              <w:pStyle w:val="33"/>
              <w:rPr>
                <w:color w:val="auto"/>
              </w:rPr>
            </w:pPr>
            <w:r>
              <w:rPr>
                <w:color w:val="auto"/>
              </w:rPr>
              <w:t>8</w:t>
            </w:r>
          </w:p>
        </w:tc>
        <w:tc>
          <w:tcPr>
            <w:tcW w:w="2002" w:type="pct"/>
            <w:tcBorders>
              <w:top w:val="single" w:color="000000" w:sz="4" w:space="0"/>
              <w:left w:val="single" w:color="000000" w:sz="4" w:space="0"/>
              <w:bottom w:val="single" w:color="000000" w:sz="4" w:space="0"/>
              <w:right w:val="single" w:color="000000" w:sz="4" w:space="0"/>
            </w:tcBorders>
            <w:vAlign w:val="center"/>
          </w:tcPr>
          <w:p w14:paraId="6C42ACE7">
            <w:pPr>
              <w:pStyle w:val="33"/>
              <w:rPr>
                <w:color w:val="auto"/>
              </w:rPr>
            </w:pPr>
            <w:r>
              <w:rPr>
                <w:color w:val="auto"/>
              </w:rPr>
              <w:t>消泡剂</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54F00A4D">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17C8085D">
            <w:pPr>
              <w:pStyle w:val="33"/>
              <w:rPr>
                <w:color w:val="auto"/>
              </w:rPr>
            </w:pPr>
            <w:r>
              <w:rPr>
                <w:color w:val="auto"/>
              </w:rPr>
              <w:t>53.655</w:t>
            </w:r>
          </w:p>
        </w:tc>
      </w:tr>
      <w:tr w14:paraId="24326F04">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39B5BD78">
            <w:pPr>
              <w:pStyle w:val="33"/>
              <w:rPr>
                <w:color w:val="auto"/>
              </w:rPr>
            </w:pPr>
            <w:r>
              <w:rPr>
                <w:color w:val="auto"/>
              </w:rPr>
              <w:t>9</w:t>
            </w:r>
          </w:p>
        </w:tc>
        <w:tc>
          <w:tcPr>
            <w:tcW w:w="2002" w:type="pct"/>
            <w:tcBorders>
              <w:top w:val="single" w:color="000000" w:sz="4" w:space="0"/>
              <w:left w:val="single" w:color="000000" w:sz="4" w:space="0"/>
              <w:bottom w:val="single" w:color="000000" w:sz="4" w:space="0"/>
              <w:right w:val="single" w:color="000000" w:sz="4" w:space="0"/>
            </w:tcBorders>
            <w:vAlign w:val="center"/>
          </w:tcPr>
          <w:p w14:paraId="0C327FA3">
            <w:pPr>
              <w:pStyle w:val="33"/>
              <w:rPr>
                <w:color w:val="auto"/>
              </w:rPr>
            </w:pPr>
            <w:r>
              <w:rPr>
                <w:color w:val="auto"/>
              </w:rPr>
              <w:t>双氧水（</w:t>
            </w:r>
            <w:r>
              <w:rPr>
                <w:rStyle w:val="40"/>
                <w:rFonts w:hint="default" w:ascii="Times New Roman" w:hAnsi="Times New Roman"/>
                <w:color w:val="auto"/>
                <w:sz w:val="21"/>
                <w:szCs w:val="24"/>
              </w:rPr>
              <w:t>27.5%</w:t>
            </w:r>
            <w:r>
              <w:rPr>
                <w:rStyle w:val="49"/>
                <w:rFonts w:hint="default" w:ascii="Times New Roman" w:hAnsi="Times New Roman"/>
                <w:color w:val="auto"/>
                <w:sz w:val="21"/>
                <w:szCs w:val="24"/>
              </w:rPr>
              <w:t>）</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085737EE">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15096348">
            <w:pPr>
              <w:pStyle w:val="33"/>
              <w:rPr>
                <w:color w:val="auto"/>
              </w:rPr>
            </w:pPr>
            <w:r>
              <w:rPr>
                <w:color w:val="auto"/>
              </w:rPr>
              <w:t>9198</w:t>
            </w:r>
          </w:p>
        </w:tc>
      </w:tr>
      <w:tr w14:paraId="1FDF4D00">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3DD9A639">
            <w:pPr>
              <w:pStyle w:val="33"/>
              <w:rPr>
                <w:color w:val="auto"/>
              </w:rPr>
            </w:pPr>
            <w:r>
              <w:rPr>
                <w:color w:val="auto"/>
              </w:rPr>
              <w:t>10</w:t>
            </w:r>
          </w:p>
        </w:tc>
        <w:tc>
          <w:tcPr>
            <w:tcW w:w="2002" w:type="pct"/>
            <w:tcBorders>
              <w:top w:val="single" w:color="000000" w:sz="4" w:space="0"/>
              <w:left w:val="single" w:color="000000" w:sz="4" w:space="0"/>
              <w:bottom w:val="single" w:color="000000" w:sz="4" w:space="0"/>
              <w:right w:val="single" w:color="000000" w:sz="4" w:space="0"/>
            </w:tcBorders>
            <w:vAlign w:val="center"/>
          </w:tcPr>
          <w:p w14:paraId="61CAB445">
            <w:pPr>
              <w:pStyle w:val="33"/>
              <w:rPr>
                <w:color w:val="auto"/>
              </w:rPr>
            </w:pPr>
            <w:r>
              <w:rPr>
                <w:color w:val="auto"/>
              </w:rPr>
              <w:t>硫酸亚铁（</w:t>
            </w:r>
            <w:r>
              <w:rPr>
                <w:rStyle w:val="40"/>
                <w:rFonts w:hint="default" w:ascii="Times New Roman" w:hAnsi="Times New Roman"/>
                <w:color w:val="auto"/>
                <w:sz w:val="21"/>
                <w:szCs w:val="24"/>
              </w:rPr>
              <w:t>FeSO4≥85%)</w:t>
            </w:r>
          </w:p>
        </w:tc>
        <w:tc>
          <w:tcPr>
            <w:tcW w:w="1115" w:type="pct"/>
            <w:tcBorders>
              <w:top w:val="single" w:color="000000" w:sz="4" w:space="0"/>
              <w:left w:val="single" w:color="000000" w:sz="4" w:space="0"/>
              <w:bottom w:val="single" w:color="000000" w:sz="4" w:space="0"/>
              <w:right w:val="single" w:color="000000" w:sz="4" w:space="0"/>
            </w:tcBorders>
            <w:noWrap/>
            <w:vAlign w:val="center"/>
          </w:tcPr>
          <w:p w14:paraId="3872938F">
            <w:pPr>
              <w:pStyle w:val="33"/>
              <w:rPr>
                <w:color w:val="auto"/>
              </w:rPr>
            </w:pPr>
            <w:r>
              <w:rPr>
                <w:color w:val="auto"/>
              </w:rPr>
              <w:t>t/a</w:t>
            </w:r>
          </w:p>
        </w:tc>
        <w:tc>
          <w:tcPr>
            <w:tcW w:w="1137" w:type="pct"/>
            <w:tcBorders>
              <w:top w:val="single" w:color="000000" w:sz="4" w:space="0"/>
              <w:left w:val="single" w:color="000000" w:sz="4" w:space="0"/>
              <w:bottom w:val="single" w:color="000000" w:sz="4" w:space="0"/>
              <w:right w:val="single" w:color="000000" w:sz="4" w:space="0"/>
            </w:tcBorders>
            <w:noWrap/>
            <w:vAlign w:val="center"/>
          </w:tcPr>
          <w:p w14:paraId="1E939C49">
            <w:pPr>
              <w:pStyle w:val="33"/>
              <w:rPr>
                <w:color w:val="auto"/>
              </w:rPr>
            </w:pPr>
            <w:r>
              <w:rPr>
                <w:color w:val="auto"/>
              </w:rPr>
              <w:t>15330</w:t>
            </w:r>
          </w:p>
        </w:tc>
      </w:tr>
      <w:tr w14:paraId="2C2FD3D3">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000000" w:sz="4" w:space="0"/>
            </w:tcBorders>
            <w:vAlign w:val="center"/>
          </w:tcPr>
          <w:p w14:paraId="5499C07B">
            <w:pPr>
              <w:pStyle w:val="33"/>
              <w:rPr>
                <w:color w:val="auto"/>
              </w:rPr>
            </w:pPr>
            <w:r>
              <w:rPr>
                <w:color w:val="auto"/>
              </w:rPr>
              <w:t>11</w:t>
            </w:r>
          </w:p>
        </w:tc>
        <w:tc>
          <w:tcPr>
            <w:tcW w:w="2002" w:type="pct"/>
            <w:tcBorders>
              <w:top w:val="single" w:color="000000" w:sz="4" w:space="0"/>
              <w:left w:val="single" w:color="000000" w:sz="4" w:space="0"/>
              <w:bottom w:val="single" w:color="auto" w:sz="4" w:space="0"/>
              <w:right w:val="single" w:color="000000" w:sz="4" w:space="0"/>
            </w:tcBorders>
            <w:vAlign w:val="center"/>
          </w:tcPr>
          <w:p w14:paraId="297A1377">
            <w:pPr>
              <w:pStyle w:val="33"/>
              <w:rPr>
                <w:color w:val="auto"/>
              </w:rPr>
            </w:pPr>
            <w:r>
              <w:rPr>
                <w:color w:val="auto"/>
              </w:rPr>
              <w:t>自来水消耗</w:t>
            </w:r>
          </w:p>
        </w:tc>
        <w:tc>
          <w:tcPr>
            <w:tcW w:w="1115" w:type="pct"/>
            <w:tcBorders>
              <w:top w:val="single" w:color="000000" w:sz="4" w:space="0"/>
              <w:left w:val="single" w:color="000000" w:sz="4" w:space="0"/>
              <w:bottom w:val="single" w:color="auto" w:sz="4" w:space="0"/>
              <w:right w:val="single" w:color="000000" w:sz="4" w:space="0"/>
            </w:tcBorders>
            <w:noWrap/>
            <w:vAlign w:val="center"/>
          </w:tcPr>
          <w:p w14:paraId="4B497B78">
            <w:pPr>
              <w:pStyle w:val="33"/>
              <w:rPr>
                <w:color w:val="auto"/>
              </w:rPr>
            </w:pPr>
            <w:r>
              <w:rPr>
                <w:color w:val="auto"/>
              </w:rPr>
              <w:t>t/a</w:t>
            </w:r>
          </w:p>
        </w:tc>
        <w:tc>
          <w:tcPr>
            <w:tcW w:w="1137" w:type="pct"/>
            <w:tcBorders>
              <w:top w:val="single" w:color="000000" w:sz="4" w:space="0"/>
              <w:left w:val="single" w:color="000000" w:sz="4" w:space="0"/>
              <w:bottom w:val="single" w:color="auto" w:sz="4" w:space="0"/>
              <w:right w:val="single" w:color="000000" w:sz="4" w:space="0"/>
            </w:tcBorders>
            <w:noWrap/>
            <w:vAlign w:val="center"/>
          </w:tcPr>
          <w:p w14:paraId="5D12901F">
            <w:pPr>
              <w:pStyle w:val="33"/>
              <w:rPr>
                <w:color w:val="auto"/>
              </w:rPr>
            </w:pPr>
            <w:r>
              <w:rPr>
                <w:color w:val="auto"/>
              </w:rPr>
              <w:t>36500</w:t>
            </w:r>
          </w:p>
        </w:tc>
      </w:tr>
      <w:tr w14:paraId="108F1F0E">
        <w:tblPrEx>
          <w:tblCellMar>
            <w:top w:w="0" w:type="dxa"/>
            <w:left w:w="108" w:type="dxa"/>
            <w:bottom w:w="0" w:type="dxa"/>
            <w:right w:w="108" w:type="dxa"/>
          </w:tblCellMar>
        </w:tblPrEx>
        <w:trPr>
          <w:trHeight w:val="340" w:hRule="atLeast"/>
        </w:trPr>
        <w:tc>
          <w:tcPr>
            <w:tcW w:w="746" w:type="pct"/>
            <w:tcBorders>
              <w:top w:val="single" w:color="000000" w:sz="4" w:space="0"/>
              <w:left w:val="single" w:color="000000" w:sz="4" w:space="0"/>
              <w:bottom w:val="single" w:color="000000" w:sz="4" w:space="0"/>
              <w:right w:val="single" w:color="auto" w:sz="4" w:space="0"/>
            </w:tcBorders>
            <w:vAlign w:val="center"/>
          </w:tcPr>
          <w:p w14:paraId="41DE01F8">
            <w:pPr>
              <w:pStyle w:val="33"/>
              <w:rPr>
                <w:color w:val="auto"/>
              </w:rPr>
            </w:pPr>
            <w:r>
              <w:rPr>
                <w:color w:val="auto"/>
              </w:rPr>
              <w:t>12</w:t>
            </w:r>
          </w:p>
        </w:tc>
        <w:tc>
          <w:tcPr>
            <w:tcW w:w="2002" w:type="pct"/>
            <w:tcBorders>
              <w:top w:val="single" w:color="auto" w:sz="4" w:space="0"/>
              <w:left w:val="single" w:color="auto" w:sz="4" w:space="0"/>
              <w:bottom w:val="single" w:color="auto" w:sz="4" w:space="0"/>
              <w:right w:val="single" w:color="000000" w:sz="4" w:space="0"/>
            </w:tcBorders>
            <w:vAlign w:val="center"/>
          </w:tcPr>
          <w:p w14:paraId="7CFE6965">
            <w:pPr>
              <w:pStyle w:val="33"/>
              <w:rPr>
                <w:color w:val="auto"/>
              </w:rPr>
            </w:pPr>
            <w:r>
              <w:rPr>
                <w:color w:val="auto"/>
              </w:rPr>
              <w:t>电力消耗</w:t>
            </w:r>
          </w:p>
        </w:tc>
        <w:tc>
          <w:tcPr>
            <w:tcW w:w="1115" w:type="pct"/>
            <w:tcBorders>
              <w:top w:val="single" w:color="auto" w:sz="4" w:space="0"/>
              <w:left w:val="nil"/>
              <w:bottom w:val="single" w:color="auto" w:sz="4" w:space="0"/>
              <w:right w:val="nil"/>
            </w:tcBorders>
            <w:noWrap/>
            <w:vAlign w:val="center"/>
          </w:tcPr>
          <w:p w14:paraId="471E53E2">
            <w:pPr>
              <w:pStyle w:val="33"/>
              <w:rPr>
                <w:color w:val="auto"/>
              </w:rPr>
            </w:pPr>
            <w:r>
              <w:rPr>
                <w:color w:val="auto"/>
              </w:rPr>
              <w:t>万kWh/a</w:t>
            </w:r>
          </w:p>
        </w:tc>
        <w:tc>
          <w:tcPr>
            <w:tcW w:w="1137" w:type="pct"/>
            <w:tcBorders>
              <w:top w:val="single" w:color="auto" w:sz="4" w:space="0"/>
              <w:left w:val="single" w:color="000000" w:sz="4" w:space="0"/>
              <w:bottom w:val="single" w:color="auto" w:sz="4" w:space="0"/>
              <w:right w:val="single" w:color="auto" w:sz="4" w:space="0"/>
            </w:tcBorders>
            <w:noWrap/>
            <w:vAlign w:val="center"/>
          </w:tcPr>
          <w:p w14:paraId="7184D93E">
            <w:pPr>
              <w:pStyle w:val="33"/>
              <w:rPr>
                <w:color w:val="auto"/>
              </w:rPr>
            </w:pPr>
            <w:r>
              <w:rPr>
                <w:color w:val="auto"/>
              </w:rPr>
              <w:t>2866.71</w:t>
            </w:r>
          </w:p>
        </w:tc>
      </w:tr>
    </w:tbl>
    <w:p w14:paraId="5DA7158E">
      <w:pPr>
        <w:pStyle w:val="5"/>
        <w:numPr>
          <w:ilvl w:val="3"/>
          <w:numId w:val="2"/>
        </w:numPr>
        <w:rPr>
          <w:color w:val="auto"/>
        </w:rPr>
      </w:pPr>
      <w:r>
        <w:rPr>
          <w:color w:val="auto"/>
        </w:rPr>
        <w:t>工程分析</w:t>
      </w:r>
    </w:p>
    <w:p w14:paraId="6DF2CEA3">
      <w:pPr>
        <w:widowControl/>
        <w:numPr>
          <w:ilvl w:val="255"/>
          <w:numId w:val="0"/>
        </w:numPr>
        <w:ind w:firstLine="480"/>
        <w:jc w:val="left"/>
        <w:rPr>
          <w:color w:val="auto"/>
        </w:rPr>
      </w:pPr>
      <w:r>
        <w:rPr>
          <w:color w:val="auto"/>
        </w:rPr>
        <w:t>新建1套污水处理系统，并对现有1#污水处理站进行升级改造。项目新建工程处理废水为造纸车间与配套辅助设施混合废水，本项目不涉及纸浆、造纸生产线的产能扩建，不新增废水排放，不增产不增污。新建系统处理废水依托现有废水排放口排放，不新建废水排放口。改造工程包括1#污水处理站气浮池、冷却塔、SBR池设备的改造，并在1#污水处理站新增1套螺旋压榨机。</w:t>
      </w:r>
    </w:p>
    <w:p w14:paraId="16EE2C31">
      <w:pPr>
        <w:widowControl/>
        <w:numPr>
          <w:ilvl w:val="255"/>
          <w:numId w:val="0"/>
        </w:numPr>
        <w:ind w:firstLine="480"/>
        <w:jc w:val="left"/>
        <w:rPr>
          <w:color w:val="auto"/>
        </w:rPr>
      </w:pPr>
      <w:r>
        <w:rPr>
          <w:color w:val="auto"/>
        </w:rPr>
        <w:t>项目实施后，</w:t>
      </w:r>
      <w:r>
        <w:rPr>
          <w:rFonts w:hint="eastAsia"/>
          <w:color w:val="auto"/>
        </w:rPr>
        <w:t>从</w:t>
      </w:r>
      <w:r>
        <w:rPr>
          <w:color w:val="auto"/>
        </w:rPr>
        <w:t>1#污水处理站</w:t>
      </w:r>
      <w:r>
        <w:rPr>
          <w:rFonts w:hint="eastAsia"/>
          <w:color w:val="auto"/>
        </w:rPr>
        <w:t>现有进水中抽调约20497.5m</w:t>
      </w:r>
      <w:r>
        <w:rPr>
          <w:rFonts w:hint="eastAsia"/>
          <w:color w:val="auto"/>
          <w:vertAlign w:val="superscript"/>
        </w:rPr>
        <w:t>3</w:t>
      </w:r>
      <w:r>
        <w:rPr>
          <w:rFonts w:hint="eastAsia"/>
          <w:color w:val="auto"/>
        </w:rPr>
        <w:t>/d进水进入新建污水处理系统</w:t>
      </w:r>
      <w:r>
        <w:rPr>
          <w:color w:val="auto"/>
        </w:rPr>
        <w:t>，高级氧化工段依托2#污水处理站芬顿工艺，其余污水处理设施各自单独使用。</w:t>
      </w:r>
    </w:p>
    <w:p w14:paraId="4A2219B5">
      <w:pPr>
        <w:pStyle w:val="5"/>
        <w:numPr>
          <w:ilvl w:val="3"/>
          <w:numId w:val="2"/>
        </w:numPr>
        <w:rPr>
          <w:color w:val="auto"/>
        </w:rPr>
      </w:pPr>
      <w:r>
        <w:rPr>
          <w:color w:val="auto"/>
        </w:rPr>
        <w:t>污染防治措施</w:t>
      </w:r>
    </w:p>
    <w:p w14:paraId="194120A7">
      <w:pPr>
        <w:ind w:firstLine="480"/>
        <w:rPr>
          <w:color w:val="auto"/>
        </w:rPr>
      </w:pPr>
      <w:r>
        <w:rPr>
          <w:color w:val="auto"/>
        </w:rPr>
        <w:t>已批在建污水处理站绿色升级改造</w:t>
      </w:r>
      <w:r>
        <w:rPr>
          <w:rFonts w:hint="eastAsia"/>
          <w:color w:val="auto"/>
        </w:rPr>
        <w:t>项目</w:t>
      </w:r>
      <w:r>
        <w:rPr>
          <w:color w:val="auto"/>
        </w:rPr>
        <w:t>废水、废气、固体废物、噪声污染防治措施见</w:t>
      </w:r>
      <w:r>
        <w:rPr>
          <w:rFonts w:hint="eastAsia"/>
          <w:color w:val="auto"/>
        </w:rPr>
        <w:t>下</w:t>
      </w:r>
      <w:r>
        <w:rPr>
          <w:color w:val="auto"/>
        </w:rPr>
        <w:t>表</w:t>
      </w:r>
      <w:r>
        <w:rPr>
          <w:color w:val="auto"/>
          <w:spacing w:val="-3"/>
        </w:rPr>
        <w:t>。</w:t>
      </w:r>
    </w:p>
    <w:p w14:paraId="728E6FB8">
      <w:pPr>
        <w:pStyle w:val="7"/>
        <w:rPr>
          <w:color w:val="auto"/>
        </w:rPr>
      </w:pPr>
      <w:r>
        <w:rPr>
          <w:color w:val="auto"/>
        </w:rPr>
        <w:t>已批在建污水处理站绿色升级改造</w:t>
      </w:r>
      <w:r>
        <w:rPr>
          <w:rFonts w:hint="eastAsia"/>
          <w:color w:val="auto"/>
        </w:rPr>
        <w:t>项目</w:t>
      </w:r>
      <w:r>
        <w:rPr>
          <w:color w:val="auto"/>
        </w:rPr>
        <w:t>主要</w:t>
      </w:r>
      <w:r>
        <w:rPr>
          <w:color w:val="auto"/>
          <w:spacing w:val="-3"/>
        </w:rPr>
        <w:t>污染防治措施</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1"/>
        <w:gridCol w:w="8185"/>
      </w:tblGrid>
      <w:tr w14:paraId="07C0E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5D60E9DE">
            <w:pPr>
              <w:pStyle w:val="33"/>
              <w:rPr>
                <w:color w:val="auto"/>
              </w:rPr>
            </w:pPr>
            <w:r>
              <w:rPr>
                <w:color w:val="auto"/>
              </w:rPr>
              <w:t>污染类型</w:t>
            </w:r>
          </w:p>
        </w:tc>
        <w:tc>
          <w:tcPr>
            <w:tcW w:w="4407" w:type="pct"/>
            <w:vAlign w:val="center"/>
          </w:tcPr>
          <w:p w14:paraId="69F8C595">
            <w:pPr>
              <w:pStyle w:val="33"/>
              <w:rPr>
                <w:color w:val="auto"/>
              </w:rPr>
            </w:pPr>
            <w:r>
              <w:rPr>
                <w:color w:val="auto"/>
              </w:rPr>
              <w:t>污染防治措施</w:t>
            </w:r>
          </w:p>
        </w:tc>
      </w:tr>
      <w:tr w14:paraId="2F5E0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0D6FE7F6">
            <w:pPr>
              <w:pStyle w:val="33"/>
              <w:rPr>
                <w:color w:val="auto"/>
              </w:rPr>
            </w:pPr>
            <w:r>
              <w:rPr>
                <w:color w:val="auto"/>
              </w:rPr>
              <w:t>废气处理</w:t>
            </w:r>
          </w:p>
        </w:tc>
        <w:tc>
          <w:tcPr>
            <w:tcW w:w="4407" w:type="pct"/>
            <w:vAlign w:val="center"/>
          </w:tcPr>
          <w:p w14:paraId="19227AB9">
            <w:pPr>
              <w:pStyle w:val="33"/>
              <w:jc w:val="both"/>
              <w:rPr>
                <w:color w:val="auto"/>
              </w:rPr>
            </w:pPr>
            <w:r>
              <w:rPr>
                <w:rFonts w:hint="eastAsia"/>
                <w:color w:val="auto"/>
              </w:rPr>
              <w:t>现有工程1#污水处理站配套1套臭气处理系统用于处理污泥处理工序臭气；2#污水处理站配套1套臭气处理系统用于收集处理预处理+缺氧池与污泥处理工序的臭气。现有两套臭气处理系统均采用碱洗工艺，分别设置有1根15m排气筒排放。</w:t>
            </w:r>
          </w:p>
          <w:p w14:paraId="5ACAC114">
            <w:pPr>
              <w:pStyle w:val="33"/>
              <w:jc w:val="both"/>
              <w:rPr>
                <w:color w:val="auto"/>
              </w:rPr>
            </w:pPr>
            <w:r>
              <w:rPr>
                <w:color w:val="auto"/>
              </w:rPr>
              <w:t>新建2套臭气处理系统，分别处理</w:t>
            </w:r>
            <w:r>
              <w:rPr>
                <w:rFonts w:hint="eastAsia"/>
                <w:color w:val="auto"/>
              </w:rPr>
              <w:t>新建污水</w:t>
            </w:r>
            <w:r>
              <w:rPr>
                <w:color w:val="auto"/>
              </w:rPr>
              <w:t>处理系统与污泥处理系统产生的臭气。</w:t>
            </w:r>
            <w:r>
              <w:rPr>
                <w:rFonts w:hint="eastAsia"/>
                <w:color w:val="auto"/>
              </w:rPr>
              <w:t>污水</w:t>
            </w:r>
            <w:r>
              <w:rPr>
                <w:color w:val="auto"/>
              </w:rPr>
              <w:t>处理系统配套1座碱洗塔+1座生物滤池，污泥处理系统配套2座碱洗塔，每套臭气处理系统配套1根15m排气筒。</w:t>
            </w:r>
          </w:p>
        </w:tc>
      </w:tr>
      <w:tr w14:paraId="3C0D5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4629B3C7">
            <w:pPr>
              <w:pStyle w:val="33"/>
              <w:rPr>
                <w:color w:val="auto"/>
              </w:rPr>
            </w:pPr>
            <w:r>
              <w:rPr>
                <w:color w:val="auto"/>
              </w:rPr>
              <w:t>废水处理</w:t>
            </w:r>
          </w:p>
        </w:tc>
        <w:tc>
          <w:tcPr>
            <w:tcW w:w="4407" w:type="pct"/>
            <w:vAlign w:val="center"/>
          </w:tcPr>
          <w:p w14:paraId="48E2B382">
            <w:pPr>
              <w:pStyle w:val="33"/>
              <w:jc w:val="both"/>
              <w:rPr>
                <w:color w:val="auto"/>
              </w:rPr>
            </w:pPr>
            <w:r>
              <w:rPr>
                <w:color w:val="auto"/>
              </w:rPr>
              <w:t>废水经过“预处理+UMAR厌氧处理+二级AO处理+芬顿氧化”工艺处理后依靠废水总排口排放</w:t>
            </w:r>
          </w:p>
        </w:tc>
      </w:tr>
      <w:tr w14:paraId="1DDF7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65D15E05">
            <w:pPr>
              <w:pStyle w:val="33"/>
              <w:rPr>
                <w:color w:val="auto"/>
              </w:rPr>
            </w:pPr>
            <w:r>
              <w:rPr>
                <w:color w:val="auto"/>
              </w:rPr>
              <w:t>噪声治理</w:t>
            </w:r>
          </w:p>
        </w:tc>
        <w:tc>
          <w:tcPr>
            <w:tcW w:w="4407" w:type="pct"/>
            <w:vAlign w:val="center"/>
          </w:tcPr>
          <w:p w14:paraId="2C10DC48">
            <w:pPr>
              <w:pStyle w:val="33"/>
              <w:jc w:val="both"/>
              <w:rPr>
                <w:color w:val="auto"/>
              </w:rPr>
            </w:pPr>
            <w:r>
              <w:rPr>
                <w:color w:val="auto"/>
              </w:rPr>
              <w:t>选用低噪声设备，合理布局、吸声、隔声等降噪措施</w:t>
            </w:r>
          </w:p>
        </w:tc>
      </w:tr>
      <w:tr w14:paraId="441EB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93" w:type="pct"/>
            <w:vAlign w:val="center"/>
          </w:tcPr>
          <w:p w14:paraId="1FE41204">
            <w:pPr>
              <w:pStyle w:val="33"/>
              <w:rPr>
                <w:color w:val="auto"/>
              </w:rPr>
            </w:pPr>
            <w:r>
              <w:rPr>
                <w:color w:val="auto"/>
              </w:rPr>
              <w:t>固废处理</w:t>
            </w:r>
          </w:p>
        </w:tc>
        <w:tc>
          <w:tcPr>
            <w:tcW w:w="4407" w:type="pct"/>
            <w:vAlign w:val="center"/>
          </w:tcPr>
          <w:p w14:paraId="0B93E757">
            <w:pPr>
              <w:pStyle w:val="33"/>
              <w:jc w:val="both"/>
              <w:rPr>
                <w:color w:val="auto"/>
              </w:rPr>
            </w:pPr>
            <w:r>
              <w:rPr>
                <w:color w:val="auto"/>
              </w:rPr>
              <w:t>生活垃圾统一收集后由环卫部门清运，污泥经过污泥脱水装置脱水后送至热电站锅炉燃烧，多余部分外卖。</w:t>
            </w:r>
          </w:p>
        </w:tc>
      </w:tr>
    </w:tbl>
    <w:p w14:paraId="11B43679">
      <w:pPr>
        <w:pStyle w:val="3"/>
        <w:rPr>
          <w:color w:val="auto"/>
        </w:rPr>
      </w:pPr>
      <w:bookmarkStart w:id="174" w:name="_Toc225216683"/>
      <w:r>
        <w:rPr>
          <w:color w:val="auto"/>
        </w:rPr>
        <w:t>现有及在建项目污染物排放量</w:t>
      </w:r>
      <w:bookmarkEnd w:id="172"/>
      <w:bookmarkEnd w:id="174"/>
    </w:p>
    <w:p w14:paraId="50AE18D2">
      <w:pPr>
        <w:ind w:firstLine="480"/>
        <w:rPr>
          <w:color w:val="auto"/>
        </w:rPr>
      </w:pPr>
      <w:r>
        <w:rPr>
          <w:color w:val="auto"/>
        </w:rPr>
        <w:t>依此核算现有及已批在建工程污染物排放情况见</w:t>
      </w:r>
      <w:r>
        <w:rPr>
          <w:rFonts w:hint="eastAsia"/>
          <w:color w:val="auto"/>
        </w:rPr>
        <w:t>下表</w:t>
      </w:r>
      <w:r>
        <w:rPr>
          <w:color w:val="auto"/>
        </w:rPr>
        <w:t>。</w:t>
      </w:r>
    </w:p>
    <w:p w14:paraId="41FB209B">
      <w:pPr>
        <w:pStyle w:val="7"/>
        <w:rPr>
          <w:color w:val="auto"/>
        </w:rPr>
      </w:pPr>
      <w:r>
        <w:rPr>
          <w:color w:val="auto"/>
        </w:rPr>
        <w:t>现有及已批在建工程污染物排放情况</w:t>
      </w:r>
    </w:p>
    <w:tbl>
      <w:tblPr>
        <w:tblStyle w:val="5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1"/>
        <w:gridCol w:w="866"/>
        <w:gridCol w:w="1568"/>
        <w:gridCol w:w="2440"/>
        <w:gridCol w:w="2267"/>
        <w:gridCol w:w="1394"/>
      </w:tblGrid>
      <w:tr w14:paraId="0EF94E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5A1EBEDC">
            <w:pPr>
              <w:pStyle w:val="33"/>
              <w:rPr>
                <w:rFonts w:cs="Times New Roman"/>
                <w:color w:val="auto"/>
                <w:lang w:eastAsia="en-US"/>
              </w:rPr>
            </w:pPr>
            <w:r>
              <w:rPr>
                <w:rFonts w:cs="Times New Roman"/>
                <w:color w:val="auto"/>
                <w:lang w:eastAsia="en-US"/>
              </w:rPr>
              <w:t>序号</w:t>
            </w:r>
          </w:p>
        </w:tc>
        <w:tc>
          <w:tcPr>
            <w:tcW w:w="477" w:type="pct"/>
            <w:vAlign w:val="center"/>
          </w:tcPr>
          <w:p w14:paraId="688CF4FB">
            <w:pPr>
              <w:pStyle w:val="33"/>
              <w:rPr>
                <w:rFonts w:cs="Times New Roman"/>
                <w:color w:val="auto"/>
                <w:lang w:eastAsia="en-US"/>
              </w:rPr>
            </w:pPr>
            <w:r>
              <w:rPr>
                <w:rFonts w:hint="eastAsia" w:cs="Times New Roman"/>
                <w:color w:val="auto"/>
                <w:lang w:eastAsia="en-US"/>
              </w:rPr>
              <w:t>类别</w:t>
            </w:r>
          </w:p>
        </w:tc>
        <w:tc>
          <w:tcPr>
            <w:tcW w:w="864" w:type="pct"/>
            <w:vAlign w:val="center"/>
          </w:tcPr>
          <w:p w14:paraId="029F3314">
            <w:pPr>
              <w:pStyle w:val="33"/>
              <w:rPr>
                <w:rFonts w:cs="Times New Roman"/>
                <w:color w:val="auto"/>
                <w:lang w:eastAsia="en-US"/>
              </w:rPr>
            </w:pPr>
            <w:r>
              <w:rPr>
                <w:rFonts w:cs="Times New Roman"/>
                <w:color w:val="auto"/>
                <w:lang w:eastAsia="en-US"/>
              </w:rPr>
              <w:t>项目</w:t>
            </w:r>
          </w:p>
        </w:tc>
        <w:tc>
          <w:tcPr>
            <w:tcW w:w="1344" w:type="pct"/>
            <w:vAlign w:val="center"/>
          </w:tcPr>
          <w:p w14:paraId="30773D57">
            <w:pPr>
              <w:pStyle w:val="33"/>
              <w:rPr>
                <w:rFonts w:cs="Times New Roman"/>
                <w:color w:val="auto"/>
                <w:lang w:eastAsia="en-US"/>
              </w:rPr>
            </w:pPr>
            <w:r>
              <w:rPr>
                <w:rFonts w:cs="Times New Roman"/>
                <w:color w:val="auto"/>
                <w:spacing w:val="-4"/>
                <w:lang w:eastAsia="en-US"/>
              </w:rPr>
              <w:t>现有</w:t>
            </w:r>
            <w:r>
              <w:rPr>
                <w:rFonts w:cs="Times New Roman"/>
                <w:color w:val="auto"/>
                <w:spacing w:val="-4"/>
                <w:lang w:eastAsia="zh-CN"/>
              </w:rPr>
              <w:t>已建</w:t>
            </w:r>
            <w:r>
              <w:rPr>
                <w:rFonts w:cs="Times New Roman"/>
                <w:color w:val="auto"/>
                <w:spacing w:val="-4"/>
                <w:lang w:eastAsia="en-US"/>
              </w:rPr>
              <w:t>工程排放量</w:t>
            </w:r>
          </w:p>
        </w:tc>
        <w:tc>
          <w:tcPr>
            <w:tcW w:w="1249" w:type="pct"/>
            <w:vAlign w:val="center"/>
          </w:tcPr>
          <w:p w14:paraId="6978F97D">
            <w:pPr>
              <w:pStyle w:val="33"/>
              <w:rPr>
                <w:rFonts w:cs="Times New Roman"/>
                <w:color w:val="auto"/>
                <w:lang w:eastAsia="zh-CN"/>
              </w:rPr>
            </w:pPr>
            <w:r>
              <w:rPr>
                <w:rFonts w:cs="Times New Roman"/>
                <w:color w:val="auto"/>
                <w:spacing w:val="-6"/>
                <w:lang w:eastAsia="zh-CN"/>
              </w:rPr>
              <w:t>已批在建</w:t>
            </w:r>
            <w:r>
              <w:rPr>
                <w:rFonts w:cs="Times New Roman"/>
                <w:color w:val="auto"/>
                <w:spacing w:val="-4"/>
                <w:lang w:eastAsia="zh-CN"/>
              </w:rPr>
              <w:t>排放量</w:t>
            </w:r>
          </w:p>
        </w:tc>
        <w:tc>
          <w:tcPr>
            <w:tcW w:w="768" w:type="pct"/>
            <w:vAlign w:val="center"/>
          </w:tcPr>
          <w:p w14:paraId="61081ACE">
            <w:pPr>
              <w:pStyle w:val="33"/>
              <w:rPr>
                <w:rFonts w:cs="Times New Roman"/>
                <w:color w:val="auto"/>
                <w:lang w:eastAsia="zh-CN"/>
              </w:rPr>
            </w:pPr>
            <w:r>
              <w:rPr>
                <w:rFonts w:hint="eastAsia" w:cs="Times New Roman"/>
                <w:color w:val="auto"/>
                <w:spacing w:val="-8"/>
                <w:lang w:eastAsia="zh-CN"/>
              </w:rPr>
              <w:t>合计</w:t>
            </w:r>
          </w:p>
        </w:tc>
      </w:tr>
      <w:tr w14:paraId="153197F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0D3F42F7">
            <w:pPr>
              <w:pStyle w:val="33"/>
              <w:rPr>
                <w:rFonts w:cs="Times New Roman"/>
                <w:color w:val="auto"/>
                <w:lang w:eastAsia="en-US"/>
              </w:rPr>
            </w:pPr>
            <w:r>
              <w:rPr>
                <w:rFonts w:cs="Times New Roman"/>
                <w:color w:val="auto"/>
                <w:lang w:eastAsia="en-US"/>
              </w:rPr>
              <w:t>1</w:t>
            </w:r>
          </w:p>
        </w:tc>
        <w:tc>
          <w:tcPr>
            <w:tcW w:w="477" w:type="pct"/>
            <w:vMerge w:val="restart"/>
            <w:vAlign w:val="center"/>
          </w:tcPr>
          <w:p w14:paraId="4EF8ABA9">
            <w:pPr>
              <w:pStyle w:val="33"/>
              <w:rPr>
                <w:rFonts w:cs="Times New Roman"/>
                <w:color w:val="auto"/>
                <w:lang w:eastAsia="en-US"/>
              </w:rPr>
            </w:pPr>
            <w:r>
              <w:rPr>
                <w:rFonts w:hint="eastAsia" w:cs="Times New Roman"/>
                <w:color w:val="auto"/>
                <w:lang w:eastAsia="en-US"/>
              </w:rPr>
              <w:t>废水</w:t>
            </w:r>
          </w:p>
        </w:tc>
        <w:tc>
          <w:tcPr>
            <w:tcW w:w="864" w:type="pct"/>
            <w:vAlign w:val="center"/>
          </w:tcPr>
          <w:p w14:paraId="34DE597F">
            <w:pPr>
              <w:pStyle w:val="33"/>
              <w:rPr>
                <w:rFonts w:cs="Times New Roman"/>
                <w:color w:val="auto"/>
                <w:lang w:eastAsia="en-US"/>
              </w:rPr>
            </w:pPr>
            <w:r>
              <w:rPr>
                <w:rFonts w:cs="Times New Roman"/>
                <w:color w:val="auto"/>
                <w:lang w:eastAsia="en-US"/>
              </w:rPr>
              <w:t>COD</w:t>
            </w:r>
            <w:r>
              <w:rPr>
                <w:rFonts w:cs="Times New Roman"/>
                <w:color w:val="auto"/>
                <w:vertAlign w:val="subscript"/>
                <w:lang w:eastAsia="en-US"/>
              </w:rPr>
              <w:t>Cr</w:t>
            </w:r>
            <w:r>
              <w:rPr>
                <w:rFonts w:cs="Times New Roman"/>
                <w:color w:val="auto"/>
                <w:lang w:eastAsia="en-US"/>
              </w:rPr>
              <w:t>（t/a）</w:t>
            </w:r>
          </w:p>
        </w:tc>
        <w:tc>
          <w:tcPr>
            <w:tcW w:w="1344" w:type="pct"/>
            <w:vAlign w:val="center"/>
          </w:tcPr>
          <w:p w14:paraId="511C3494">
            <w:pPr>
              <w:pStyle w:val="33"/>
              <w:rPr>
                <w:rFonts w:cs="Times New Roman"/>
                <w:color w:val="auto"/>
                <w:lang w:eastAsia="en-US"/>
              </w:rPr>
            </w:pPr>
            <w:r>
              <w:rPr>
                <w:rFonts w:cs="Times New Roman"/>
                <w:color w:val="auto"/>
                <w:lang w:eastAsia="en-US"/>
              </w:rPr>
              <w:t>816.83</w:t>
            </w:r>
          </w:p>
        </w:tc>
        <w:tc>
          <w:tcPr>
            <w:tcW w:w="1249" w:type="pct"/>
            <w:vAlign w:val="center"/>
          </w:tcPr>
          <w:p w14:paraId="4219EAA1">
            <w:pPr>
              <w:pStyle w:val="33"/>
              <w:rPr>
                <w:rFonts w:cs="Times New Roman"/>
                <w:color w:val="auto"/>
                <w:lang w:eastAsia="en-US"/>
              </w:rPr>
            </w:pPr>
            <w:r>
              <w:rPr>
                <w:rFonts w:cs="Times New Roman"/>
                <w:color w:val="auto"/>
                <w:lang w:eastAsia="en-US"/>
              </w:rPr>
              <w:t>571.32</w:t>
            </w:r>
          </w:p>
        </w:tc>
        <w:tc>
          <w:tcPr>
            <w:tcW w:w="768" w:type="pct"/>
            <w:vAlign w:val="center"/>
          </w:tcPr>
          <w:p w14:paraId="774B0CA9">
            <w:pPr>
              <w:pStyle w:val="33"/>
              <w:rPr>
                <w:rFonts w:cs="Times New Roman"/>
                <w:color w:val="auto"/>
                <w:lang w:eastAsia="en-US"/>
              </w:rPr>
            </w:pPr>
            <w:r>
              <w:rPr>
                <w:rFonts w:cs="Times New Roman"/>
                <w:color w:val="auto"/>
                <w:lang w:eastAsia="en-US"/>
              </w:rPr>
              <w:t>1388.15</w:t>
            </w:r>
          </w:p>
        </w:tc>
      </w:tr>
      <w:tr w14:paraId="5AD6F9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4DF660B3">
            <w:pPr>
              <w:pStyle w:val="33"/>
              <w:rPr>
                <w:rFonts w:cs="Times New Roman"/>
                <w:color w:val="auto"/>
                <w:lang w:eastAsia="en-US"/>
              </w:rPr>
            </w:pPr>
            <w:r>
              <w:rPr>
                <w:rFonts w:cs="Times New Roman"/>
                <w:color w:val="auto"/>
                <w:lang w:eastAsia="en-US"/>
              </w:rPr>
              <w:t>4</w:t>
            </w:r>
          </w:p>
        </w:tc>
        <w:tc>
          <w:tcPr>
            <w:tcW w:w="477" w:type="pct"/>
            <w:vMerge w:val="continue"/>
            <w:vAlign w:val="center"/>
          </w:tcPr>
          <w:p w14:paraId="7FE89388">
            <w:pPr>
              <w:pStyle w:val="33"/>
              <w:rPr>
                <w:rFonts w:cs="Times New Roman"/>
                <w:color w:val="auto"/>
                <w:lang w:eastAsia="en-US"/>
              </w:rPr>
            </w:pPr>
          </w:p>
        </w:tc>
        <w:tc>
          <w:tcPr>
            <w:tcW w:w="864" w:type="pct"/>
            <w:vAlign w:val="center"/>
          </w:tcPr>
          <w:p w14:paraId="1870C6D0">
            <w:pPr>
              <w:pStyle w:val="33"/>
              <w:rPr>
                <w:rFonts w:cs="Times New Roman"/>
                <w:color w:val="auto"/>
                <w:lang w:eastAsia="en-US"/>
              </w:rPr>
            </w:pPr>
            <w:r>
              <w:rPr>
                <w:rFonts w:cs="Times New Roman"/>
                <w:color w:val="auto"/>
                <w:lang w:eastAsia="en-US"/>
              </w:rPr>
              <w:t>BOD</w:t>
            </w:r>
            <w:r>
              <w:rPr>
                <w:rFonts w:cs="Times New Roman"/>
                <w:color w:val="auto"/>
                <w:vertAlign w:val="subscript"/>
                <w:lang w:eastAsia="en-US"/>
              </w:rPr>
              <w:t>5</w:t>
            </w:r>
            <w:r>
              <w:rPr>
                <w:rFonts w:cs="Times New Roman"/>
                <w:color w:val="auto"/>
                <w:lang w:eastAsia="en-US"/>
              </w:rPr>
              <w:t>（t/a）</w:t>
            </w:r>
          </w:p>
        </w:tc>
        <w:tc>
          <w:tcPr>
            <w:tcW w:w="1344" w:type="pct"/>
            <w:vAlign w:val="center"/>
          </w:tcPr>
          <w:p w14:paraId="3987DD86">
            <w:pPr>
              <w:pStyle w:val="33"/>
              <w:rPr>
                <w:rFonts w:cs="Times New Roman"/>
                <w:color w:val="auto"/>
                <w:lang w:eastAsia="en-US"/>
              </w:rPr>
            </w:pPr>
            <w:r>
              <w:rPr>
                <w:rFonts w:cs="Times New Roman"/>
                <w:color w:val="auto"/>
                <w:lang w:eastAsia="en-US"/>
              </w:rPr>
              <w:t>13.44</w:t>
            </w:r>
          </w:p>
        </w:tc>
        <w:tc>
          <w:tcPr>
            <w:tcW w:w="1249" w:type="pct"/>
            <w:vAlign w:val="center"/>
          </w:tcPr>
          <w:p w14:paraId="2C4A2DDB">
            <w:pPr>
              <w:pStyle w:val="33"/>
              <w:rPr>
                <w:rFonts w:cs="Times New Roman"/>
                <w:color w:val="auto"/>
                <w:lang w:eastAsia="en-US"/>
              </w:rPr>
            </w:pPr>
            <w:r>
              <w:rPr>
                <w:rFonts w:cs="Times New Roman"/>
                <w:color w:val="auto"/>
                <w:lang w:eastAsia="en-US"/>
              </w:rPr>
              <w:t>119.98</w:t>
            </w:r>
          </w:p>
        </w:tc>
        <w:tc>
          <w:tcPr>
            <w:tcW w:w="768" w:type="pct"/>
            <w:vAlign w:val="center"/>
          </w:tcPr>
          <w:p w14:paraId="34CDEBAC">
            <w:pPr>
              <w:pStyle w:val="33"/>
              <w:rPr>
                <w:rFonts w:cs="Times New Roman"/>
                <w:color w:val="auto"/>
                <w:lang w:eastAsia="en-US"/>
              </w:rPr>
            </w:pPr>
            <w:r>
              <w:rPr>
                <w:rFonts w:cs="Times New Roman"/>
                <w:color w:val="auto"/>
                <w:lang w:eastAsia="en-US"/>
              </w:rPr>
              <w:t>133.42</w:t>
            </w:r>
          </w:p>
        </w:tc>
      </w:tr>
      <w:tr w14:paraId="7453AF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2" w:hRule="atLeast"/>
        </w:trPr>
        <w:tc>
          <w:tcPr>
            <w:tcW w:w="298" w:type="pct"/>
            <w:vAlign w:val="center"/>
          </w:tcPr>
          <w:p w14:paraId="042ACF0B">
            <w:pPr>
              <w:pStyle w:val="33"/>
              <w:rPr>
                <w:rFonts w:cs="Times New Roman"/>
                <w:color w:val="auto"/>
                <w:lang w:eastAsia="en-US"/>
              </w:rPr>
            </w:pPr>
            <w:r>
              <w:rPr>
                <w:rFonts w:cs="Times New Roman"/>
                <w:color w:val="auto"/>
                <w:lang w:eastAsia="en-US"/>
              </w:rPr>
              <w:t>5</w:t>
            </w:r>
          </w:p>
        </w:tc>
        <w:tc>
          <w:tcPr>
            <w:tcW w:w="477" w:type="pct"/>
            <w:vMerge w:val="continue"/>
            <w:vAlign w:val="center"/>
          </w:tcPr>
          <w:p w14:paraId="79559EAD">
            <w:pPr>
              <w:pStyle w:val="33"/>
              <w:rPr>
                <w:rFonts w:cs="Times New Roman"/>
                <w:color w:val="auto"/>
                <w:lang w:eastAsia="en-US"/>
              </w:rPr>
            </w:pPr>
          </w:p>
        </w:tc>
        <w:tc>
          <w:tcPr>
            <w:tcW w:w="864" w:type="pct"/>
            <w:vAlign w:val="center"/>
          </w:tcPr>
          <w:p w14:paraId="64B55033">
            <w:pPr>
              <w:pStyle w:val="33"/>
              <w:rPr>
                <w:rFonts w:cs="Times New Roman"/>
                <w:color w:val="auto"/>
                <w:lang w:eastAsia="en-US"/>
              </w:rPr>
            </w:pPr>
            <w:r>
              <w:rPr>
                <w:rFonts w:cs="Times New Roman"/>
                <w:color w:val="auto"/>
                <w:lang w:eastAsia="en-US"/>
              </w:rPr>
              <w:t>SS（t/a）</w:t>
            </w:r>
          </w:p>
        </w:tc>
        <w:tc>
          <w:tcPr>
            <w:tcW w:w="1344" w:type="pct"/>
            <w:vAlign w:val="center"/>
          </w:tcPr>
          <w:p w14:paraId="1AD2B063">
            <w:pPr>
              <w:pStyle w:val="33"/>
              <w:rPr>
                <w:rFonts w:cs="Times New Roman"/>
                <w:color w:val="auto"/>
                <w:lang w:eastAsia="en-US"/>
              </w:rPr>
            </w:pPr>
            <w:r>
              <w:rPr>
                <w:rFonts w:cs="Times New Roman"/>
                <w:color w:val="auto"/>
                <w:lang w:eastAsia="en-US"/>
              </w:rPr>
              <w:t>15.53</w:t>
            </w:r>
          </w:p>
        </w:tc>
        <w:tc>
          <w:tcPr>
            <w:tcW w:w="1249" w:type="pct"/>
            <w:vAlign w:val="center"/>
          </w:tcPr>
          <w:p w14:paraId="1FC5831C">
            <w:pPr>
              <w:pStyle w:val="33"/>
              <w:rPr>
                <w:rFonts w:cs="Times New Roman"/>
                <w:color w:val="auto"/>
                <w:lang w:eastAsia="en-US"/>
              </w:rPr>
            </w:pPr>
            <w:r>
              <w:rPr>
                <w:rFonts w:cs="Times New Roman"/>
                <w:color w:val="auto"/>
                <w:lang w:eastAsia="en-US"/>
              </w:rPr>
              <w:t>129.93</w:t>
            </w:r>
          </w:p>
        </w:tc>
        <w:tc>
          <w:tcPr>
            <w:tcW w:w="768" w:type="pct"/>
            <w:vAlign w:val="center"/>
          </w:tcPr>
          <w:p w14:paraId="77438509">
            <w:pPr>
              <w:pStyle w:val="33"/>
              <w:rPr>
                <w:rFonts w:cs="Times New Roman"/>
                <w:color w:val="auto"/>
                <w:lang w:eastAsia="en-US"/>
              </w:rPr>
            </w:pPr>
            <w:r>
              <w:rPr>
                <w:rFonts w:cs="Times New Roman"/>
                <w:color w:val="auto"/>
                <w:lang w:eastAsia="en-US"/>
              </w:rPr>
              <w:t>145.46</w:t>
            </w:r>
          </w:p>
        </w:tc>
      </w:tr>
      <w:tr w14:paraId="379285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49804D1D">
            <w:pPr>
              <w:pStyle w:val="33"/>
              <w:rPr>
                <w:rFonts w:cs="Times New Roman"/>
                <w:color w:val="auto"/>
                <w:lang w:eastAsia="en-US"/>
              </w:rPr>
            </w:pPr>
            <w:r>
              <w:rPr>
                <w:rFonts w:cs="Times New Roman"/>
                <w:color w:val="auto"/>
                <w:lang w:eastAsia="en-US"/>
              </w:rPr>
              <w:t>6</w:t>
            </w:r>
          </w:p>
        </w:tc>
        <w:tc>
          <w:tcPr>
            <w:tcW w:w="477" w:type="pct"/>
            <w:vMerge w:val="continue"/>
            <w:vAlign w:val="center"/>
          </w:tcPr>
          <w:p w14:paraId="5A1B315E">
            <w:pPr>
              <w:pStyle w:val="33"/>
              <w:rPr>
                <w:rFonts w:cs="Times New Roman"/>
                <w:color w:val="auto"/>
                <w:lang w:eastAsia="en-US"/>
              </w:rPr>
            </w:pPr>
          </w:p>
        </w:tc>
        <w:tc>
          <w:tcPr>
            <w:tcW w:w="864" w:type="pct"/>
            <w:vAlign w:val="center"/>
          </w:tcPr>
          <w:p w14:paraId="6041C933">
            <w:pPr>
              <w:pStyle w:val="33"/>
              <w:rPr>
                <w:rFonts w:cs="Times New Roman"/>
                <w:color w:val="auto"/>
                <w:lang w:eastAsia="en-US"/>
              </w:rPr>
            </w:pPr>
            <w:r>
              <w:rPr>
                <w:rFonts w:cs="Times New Roman"/>
                <w:color w:val="auto"/>
                <w:lang w:eastAsia="en-US"/>
              </w:rPr>
              <w:t>氨氮（t/a）</w:t>
            </w:r>
          </w:p>
        </w:tc>
        <w:tc>
          <w:tcPr>
            <w:tcW w:w="1344" w:type="pct"/>
            <w:vAlign w:val="center"/>
          </w:tcPr>
          <w:p w14:paraId="56D09280">
            <w:pPr>
              <w:pStyle w:val="33"/>
              <w:rPr>
                <w:rFonts w:cs="Times New Roman"/>
                <w:color w:val="auto"/>
                <w:lang w:eastAsia="en-US"/>
              </w:rPr>
            </w:pPr>
            <w:r>
              <w:rPr>
                <w:rFonts w:cs="Times New Roman"/>
                <w:color w:val="auto"/>
                <w:lang w:eastAsia="en-US"/>
              </w:rPr>
              <w:t>31.51</w:t>
            </w:r>
          </w:p>
        </w:tc>
        <w:tc>
          <w:tcPr>
            <w:tcW w:w="1249" w:type="pct"/>
            <w:vAlign w:val="center"/>
          </w:tcPr>
          <w:p w14:paraId="1A9124B3">
            <w:pPr>
              <w:pStyle w:val="33"/>
              <w:rPr>
                <w:rFonts w:cs="Times New Roman"/>
                <w:color w:val="auto"/>
                <w:lang w:eastAsia="en-US"/>
              </w:rPr>
            </w:pPr>
            <w:r>
              <w:rPr>
                <w:rFonts w:cs="Times New Roman"/>
                <w:color w:val="auto"/>
                <w:lang w:eastAsia="en-US"/>
              </w:rPr>
              <w:t>10.61</w:t>
            </w:r>
          </w:p>
        </w:tc>
        <w:tc>
          <w:tcPr>
            <w:tcW w:w="768" w:type="pct"/>
            <w:vAlign w:val="center"/>
          </w:tcPr>
          <w:p w14:paraId="4D39A598">
            <w:pPr>
              <w:pStyle w:val="33"/>
              <w:rPr>
                <w:rFonts w:cs="Times New Roman"/>
                <w:color w:val="auto"/>
                <w:lang w:eastAsia="en-US"/>
              </w:rPr>
            </w:pPr>
            <w:r>
              <w:rPr>
                <w:rFonts w:cs="Times New Roman"/>
                <w:color w:val="auto"/>
                <w:lang w:eastAsia="en-US"/>
              </w:rPr>
              <w:t>42.12</w:t>
            </w:r>
          </w:p>
        </w:tc>
      </w:tr>
      <w:tr w14:paraId="052FA1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0B1450FB">
            <w:pPr>
              <w:pStyle w:val="33"/>
              <w:rPr>
                <w:rFonts w:cs="Times New Roman"/>
                <w:color w:val="auto"/>
                <w:lang w:eastAsia="en-US"/>
              </w:rPr>
            </w:pPr>
            <w:r>
              <w:rPr>
                <w:rFonts w:hint="eastAsia" w:cs="Times New Roman"/>
                <w:color w:val="auto"/>
                <w:lang w:eastAsia="zh-CN"/>
              </w:rPr>
              <w:t>7</w:t>
            </w:r>
          </w:p>
        </w:tc>
        <w:tc>
          <w:tcPr>
            <w:tcW w:w="477" w:type="pct"/>
            <w:vMerge w:val="continue"/>
            <w:vAlign w:val="center"/>
          </w:tcPr>
          <w:p w14:paraId="25736622">
            <w:pPr>
              <w:pStyle w:val="33"/>
              <w:rPr>
                <w:rFonts w:cs="Times New Roman"/>
                <w:color w:val="auto"/>
                <w:lang w:eastAsia="en-US"/>
              </w:rPr>
            </w:pPr>
          </w:p>
        </w:tc>
        <w:tc>
          <w:tcPr>
            <w:tcW w:w="864" w:type="pct"/>
            <w:vAlign w:val="center"/>
          </w:tcPr>
          <w:p w14:paraId="5721DBA0">
            <w:pPr>
              <w:pStyle w:val="33"/>
              <w:rPr>
                <w:rFonts w:cs="Times New Roman"/>
                <w:color w:val="auto"/>
                <w:lang w:eastAsia="en-US"/>
              </w:rPr>
            </w:pPr>
            <w:r>
              <w:rPr>
                <w:rFonts w:cs="Times New Roman"/>
                <w:color w:val="auto"/>
                <w:lang w:eastAsia="en-US"/>
              </w:rPr>
              <w:t>总氮（t/a）</w:t>
            </w:r>
          </w:p>
        </w:tc>
        <w:tc>
          <w:tcPr>
            <w:tcW w:w="1344" w:type="pct"/>
            <w:vAlign w:val="center"/>
          </w:tcPr>
          <w:p w14:paraId="48F36895">
            <w:pPr>
              <w:pStyle w:val="33"/>
              <w:rPr>
                <w:rFonts w:cs="Times New Roman"/>
                <w:color w:val="auto"/>
                <w:lang w:eastAsia="en-US"/>
              </w:rPr>
            </w:pPr>
            <w:r>
              <w:rPr>
                <w:rFonts w:cs="Times New Roman"/>
                <w:color w:val="auto"/>
                <w:lang w:eastAsia="en-US"/>
              </w:rPr>
              <w:t>83.15</w:t>
            </w:r>
          </w:p>
        </w:tc>
        <w:tc>
          <w:tcPr>
            <w:tcW w:w="1249" w:type="pct"/>
            <w:vAlign w:val="center"/>
          </w:tcPr>
          <w:p w14:paraId="3D0005B4">
            <w:pPr>
              <w:pStyle w:val="33"/>
              <w:rPr>
                <w:rFonts w:cs="Times New Roman"/>
                <w:color w:val="auto"/>
                <w:lang w:eastAsia="en-US"/>
              </w:rPr>
            </w:pPr>
            <w:r>
              <w:rPr>
                <w:rFonts w:cs="Times New Roman"/>
                <w:color w:val="auto"/>
                <w:lang w:eastAsia="en-US"/>
              </w:rPr>
              <w:t>20</w:t>
            </w:r>
          </w:p>
        </w:tc>
        <w:tc>
          <w:tcPr>
            <w:tcW w:w="768" w:type="pct"/>
            <w:vAlign w:val="center"/>
          </w:tcPr>
          <w:p w14:paraId="44E7A19B">
            <w:pPr>
              <w:pStyle w:val="33"/>
              <w:rPr>
                <w:rFonts w:cs="Times New Roman"/>
                <w:color w:val="auto"/>
                <w:lang w:eastAsia="en-US"/>
              </w:rPr>
            </w:pPr>
            <w:r>
              <w:rPr>
                <w:rFonts w:cs="Times New Roman"/>
                <w:color w:val="auto"/>
                <w:lang w:eastAsia="en-US"/>
              </w:rPr>
              <w:t>103.15</w:t>
            </w:r>
          </w:p>
        </w:tc>
      </w:tr>
      <w:tr w14:paraId="1F202A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298" w:type="pct"/>
            <w:vAlign w:val="center"/>
          </w:tcPr>
          <w:p w14:paraId="0F589407">
            <w:pPr>
              <w:pStyle w:val="33"/>
              <w:rPr>
                <w:rFonts w:cs="Times New Roman"/>
                <w:color w:val="auto"/>
                <w:lang w:eastAsia="zh-CN"/>
              </w:rPr>
            </w:pPr>
            <w:r>
              <w:rPr>
                <w:rFonts w:hint="eastAsia" w:cs="Times New Roman"/>
                <w:color w:val="auto"/>
                <w:lang w:eastAsia="zh-CN"/>
              </w:rPr>
              <w:t>8</w:t>
            </w:r>
          </w:p>
        </w:tc>
        <w:tc>
          <w:tcPr>
            <w:tcW w:w="477" w:type="pct"/>
            <w:vMerge w:val="continue"/>
            <w:vAlign w:val="center"/>
          </w:tcPr>
          <w:p w14:paraId="543391A8">
            <w:pPr>
              <w:pStyle w:val="33"/>
              <w:rPr>
                <w:rFonts w:cs="Times New Roman"/>
                <w:color w:val="auto"/>
                <w:lang w:eastAsia="en-US"/>
              </w:rPr>
            </w:pPr>
          </w:p>
        </w:tc>
        <w:tc>
          <w:tcPr>
            <w:tcW w:w="864" w:type="pct"/>
            <w:vAlign w:val="center"/>
          </w:tcPr>
          <w:p w14:paraId="5967ADF3">
            <w:pPr>
              <w:pStyle w:val="33"/>
              <w:rPr>
                <w:rFonts w:cs="Times New Roman"/>
                <w:color w:val="auto"/>
                <w:lang w:eastAsia="en-US"/>
              </w:rPr>
            </w:pPr>
            <w:r>
              <w:rPr>
                <w:rFonts w:cs="Times New Roman"/>
                <w:color w:val="auto"/>
                <w:lang w:eastAsia="en-US"/>
              </w:rPr>
              <w:t>总磷（t/a）</w:t>
            </w:r>
          </w:p>
        </w:tc>
        <w:tc>
          <w:tcPr>
            <w:tcW w:w="1344" w:type="pct"/>
            <w:vAlign w:val="center"/>
          </w:tcPr>
          <w:p w14:paraId="79892DE6">
            <w:pPr>
              <w:pStyle w:val="33"/>
              <w:rPr>
                <w:rFonts w:cs="Times New Roman"/>
                <w:color w:val="auto"/>
                <w:lang w:eastAsia="en-US"/>
              </w:rPr>
            </w:pPr>
            <w:r>
              <w:rPr>
                <w:rFonts w:cs="Times New Roman"/>
                <w:color w:val="auto"/>
                <w:lang w:eastAsia="en-US"/>
              </w:rPr>
              <w:t>0.46</w:t>
            </w:r>
          </w:p>
        </w:tc>
        <w:tc>
          <w:tcPr>
            <w:tcW w:w="1249" w:type="pct"/>
            <w:vAlign w:val="center"/>
          </w:tcPr>
          <w:p w14:paraId="1EB2BC9B">
            <w:pPr>
              <w:pStyle w:val="33"/>
              <w:rPr>
                <w:rFonts w:cs="Times New Roman"/>
                <w:color w:val="auto"/>
                <w:lang w:eastAsia="en-US"/>
              </w:rPr>
            </w:pPr>
            <w:r>
              <w:rPr>
                <w:rFonts w:cs="Times New Roman"/>
                <w:color w:val="auto"/>
                <w:lang w:eastAsia="en-US"/>
              </w:rPr>
              <w:t>1.31</w:t>
            </w:r>
          </w:p>
        </w:tc>
        <w:tc>
          <w:tcPr>
            <w:tcW w:w="768" w:type="pct"/>
            <w:vAlign w:val="center"/>
          </w:tcPr>
          <w:p w14:paraId="49FA3716">
            <w:pPr>
              <w:pStyle w:val="33"/>
              <w:rPr>
                <w:rFonts w:cs="Times New Roman"/>
                <w:color w:val="auto"/>
                <w:lang w:eastAsia="en-US"/>
              </w:rPr>
            </w:pPr>
            <w:r>
              <w:rPr>
                <w:rFonts w:cs="Times New Roman"/>
                <w:color w:val="auto"/>
                <w:lang w:eastAsia="en-US"/>
              </w:rPr>
              <w:t>1.77</w:t>
            </w:r>
          </w:p>
        </w:tc>
      </w:tr>
      <w:tr w14:paraId="15FB63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30056CA1">
            <w:pPr>
              <w:pStyle w:val="33"/>
              <w:rPr>
                <w:rFonts w:cs="Times New Roman"/>
                <w:color w:val="auto"/>
                <w:lang w:eastAsia="en-US"/>
              </w:rPr>
            </w:pPr>
            <w:r>
              <w:rPr>
                <w:rFonts w:cs="Times New Roman"/>
                <w:color w:val="auto"/>
                <w:lang w:eastAsia="en-US"/>
              </w:rPr>
              <w:t>1</w:t>
            </w:r>
          </w:p>
        </w:tc>
        <w:tc>
          <w:tcPr>
            <w:tcW w:w="477" w:type="pct"/>
            <w:vMerge w:val="restart"/>
            <w:vAlign w:val="center"/>
          </w:tcPr>
          <w:p w14:paraId="5B251D3A">
            <w:pPr>
              <w:pStyle w:val="33"/>
              <w:rPr>
                <w:rFonts w:cs="Times New Roman"/>
                <w:color w:val="auto"/>
                <w:lang w:eastAsia="en-US"/>
              </w:rPr>
            </w:pPr>
            <w:r>
              <w:rPr>
                <w:rFonts w:hint="eastAsia" w:cs="Times New Roman"/>
                <w:color w:val="auto"/>
                <w:lang w:eastAsia="en-US"/>
              </w:rPr>
              <w:t>废气</w:t>
            </w:r>
          </w:p>
        </w:tc>
        <w:tc>
          <w:tcPr>
            <w:tcW w:w="864" w:type="pct"/>
            <w:vAlign w:val="center"/>
          </w:tcPr>
          <w:p w14:paraId="39DF1183">
            <w:pPr>
              <w:pStyle w:val="33"/>
              <w:rPr>
                <w:rFonts w:cs="Times New Roman"/>
                <w:color w:val="auto"/>
                <w:lang w:eastAsia="en-US"/>
              </w:rPr>
            </w:pPr>
            <w:r>
              <w:rPr>
                <w:rFonts w:cs="Times New Roman"/>
                <w:color w:val="auto"/>
                <w:lang w:eastAsia="en-US"/>
              </w:rPr>
              <w:t>SO</w:t>
            </w:r>
            <w:r>
              <w:rPr>
                <w:rFonts w:cs="Times New Roman"/>
                <w:color w:val="auto"/>
                <w:vertAlign w:val="subscript"/>
                <w:lang w:eastAsia="en-US"/>
              </w:rPr>
              <w:t>2</w:t>
            </w:r>
            <w:r>
              <w:rPr>
                <w:rFonts w:cs="Times New Roman"/>
                <w:color w:val="auto"/>
                <w:lang w:eastAsia="en-US"/>
              </w:rPr>
              <w:t>（t/a）</w:t>
            </w:r>
          </w:p>
        </w:tc>
        <w:tc>
          <w:tcPr>
            <w:tcW w:w="1344" w:type="pct"/>
            <w:vAlign w:val="center"/>
          </w:tcPr>
          <w:p w14:paraId="3DAFA775">
            <w:pPr>
              <w:pStyle w:val="33"/>
              <w:rPr>
                <w:rFonts w:cs="Times New Roman"/>
                <w:color w:val="auto"/>
                <w:lang w:eastAsia="en-US"/>
              </w:rPr>
            </w:pPr>
            <w:r>
              <w:rPr>
                <w:rFonts w:cs="Times New Roman"/>
                <w:color w:val="auto"/>
                <w:lang w:eastAsia="en-US"/>
              </w:rPr>
              <w:t>113.01</w:t>
            </w:r>
          </w:p>
        </w:tc>
        <w:tc>
          <w:tcPr>
            <w:tcW w:w="1249" w:type="pct"/>
            <w:vAlign w:val="center"/>
          </w:tcPr>
          <w:p w14:paraId="16B7F751">
            <w:pPr>
              <w:pStyle w:val="33"/>
              <w:rPr>
                <w:rFonts w:cs="Times New Roman"/>
                <w:color w:val="auto"/>
                <w:lang w:eastAsia="en-US"/>
              </w:rPr>
            </w:pPr>
            <w:r>
              <w:rPr>
                <w:rFonts w:hint="eastAsia" w:cs="Times New Roman"/>
                <w:color w:val="auto"/>
                <w:lang w:eastAsia="en-US"/>
              </w:rPr>
              <w:t>5.06</w:t>
            </w:r>
          </w:p>
        </w:tc>
        <w:tc>
          <w:tcPr>
            <w:tcW w:w="768" w:type="pct"/>
            <w:vAlign w:val="center"/>
          </w:tcPr>
          <w:p w14:paraId="2A97A0AA">
            <w:pPr>
              <w:pStyle w:val="33"/>
              <w:rPr>
                <w:rFonts w:cs="Times New Roman"/>
                <w:color w:val="auto"/>
                <w:lang w:eastAsia="en-US"/>
              </w:rPr>
            </w:pPr>
            <w:r>
              <w:rPr>
                <w:rFonts w:cs="Times New Roman"/>
                <w:color w:val="auto"/>
                <w:lang w:eastAsia="en-US"/>
              </w:rPr>
              <w:t>118.07</w:t>
            </w:r>
          </w:p>
        </w:tc>
      </w:tr>
      <w:tr w14:paraId="0C4444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681622B4">
            <w:pPr>
              <w:pStyle w:val="33"/>
              <w:rPr>
                <w:rFonts w:cs="Times New Roman"/>
                <w:color w:val="auto"/>
                <w:lang w:eastAsia="en-US"/>
              </w:rPr>
            </w:pPr>
            <w:r>
              <w:rPr>
                <w:rFonts w:cs="Times New Roman"/>
                <w:color w:val="auto"/>
                <w:lang w:eastAsia="en-US"/>
              </w:rPr>
              <w:t>2</w:t>
            </w:r>
          </w:p>
        </w:tc>
        <w:tc>
          <w:tcPr>
            <w:tcW w:w="477" w:type="pct"/>
            <w:vMerge w:val="continue"/>
            <w:vAlign w:val="center"/>
          </w:tcPr>
          <w:p w14:paraId="343E450F">
            <w:pPr>
              <w:pStyle w:val="33"/>
              <w:rPr>
                <w:rFonts w:cs="Times New Roman"/>
                <w:color w:val="auto"/>
                <w:lang w:eastAsia="en-US"/>
              </w:rPr>
            </w:pPr>
          </w:p>
        </w:tc>
        <w:tc>
          <w:tcPr>
            <w:tcW w:w="864" w:type="pct"/>
            <w:vAlign w:val="center"/>
          </w:tcPr>
          <w:p w14:paraId="53EC18FB">
            <w:pPr>
              <w:pStyle w:val="33"/>
              <w:rPr>
                <w:rFonts w:cs="Times New Roman"/>
                <w:color w:val="auto"/>
                <w:lang w:eastAsia="en-US"/>
              </w:rPr>
            </w:pPr>
            <w:r>
              <w:rPr>
                <w:rFonts w:cs="Times New Roman"/>
                <w:color w:val="auto"/>
                <w:lang w:eastAsia="en-US"/>
              </w:rPr>
              <w:t>烟尘（t/a）</w:t>
            </w:r>
          </w:p>
        </w:tc>
        <w:tc>
          <w:tcPr>
            <w:tcW w:w="1344" w:type="pct"/>
            <w:vAlign w:val="center"/>
          </w:tcPr>
          <w:p w14:paraId="2387286E">
            <w:pPr>
              <w:pStyle w:val="33"/>
              <w:rPr>
                <w:rFonts w:cs="Times New Roman"/>
                <w:color w:val="auto"/>
                <w:lang w:eastAsia="en-US"/>
              </w:rPr>
            </w:pPr>
            <w:r>
              <w:rPr>
                <w:rFonts w:cs="Times New Roman"/>
                <w:color w:val="auto"/>
                <w:lang w:eastAsia="en-US"/>
              </w:rPr>
              <w:t>34.92</w:t>
            </w:r>
          </w:p>
        </w:tc>
        <w:tc>
          <w:tcPr>
            <w:tcW w:w="1249" w:type="pct"/>
            <w:vAlign w:val="center"/>
          </w:tcPr>
          <w:p w14:paraId="1326D63C">
            <w:pPr>
              <w:pStyle w:val="33"/>
              <w:rPr>
                <w:rFonts w:cs="Times New Roman"/>
                <w:color w:val="auto"/>
                <w:lang w:eastAsia="en-US"/>
              </w:rPr>
            </w:pPr>
            <w:r>
              <w:rPr>
                <w:rFonts w:hint="eastAsia" w:cs="Times New Roman"/>
                <w:color w:val="auto"/>
                <w:lang w:eastAsia="en-US"/>
              </w:rPr>
              <w:t>15.34</w:t>
            </w:r>
          </w:p>
        </w:tc>
        <w:tc>
          <w:tcPr>
            <w:tcW w:w="768" w:type="pct"/>
            <w:vAlign w:val="center"/>
          </w:tcPr>
          <w:p w14:paraId="53F58035">
            <w:pPr>
              <w:pStyle w:val="33"/>
              <w:rPr>
                <w:rFonts w:cs="Times New Roman"/>
                <w:color w:val="auto"/>
                <w:lang w:eastAsia="en-US"/>
              </w:rPr>
            </w:pPr>
            <w:r>
              <w:rPr>
                <w:rFonts w:cs="Times New Roman"/>
                <w:color w:val="auto"/>
                <w:lang w:eastAsia="en-US"/>
              </w:rPr>
              <w:t>50.26</w:t>
            </w:r>
          </w:p>
        </w:tc>
      </w:tr>
      <w:tr w14:paraId="7CA1AD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32131420">
            <w:pPr>
              <w:pStyle w:val="33"/>
              <w:rPr>
                <w:rFonts w:cs="Times New Roman"/>
                <w:color w:val="auto"/>
                <w:lang w:eastAsia="en-US"/>
              </w:rPr>
            </w:pPr>
            <w:r>
              <w:rPr>
                <w:rFonts w:cs="Times New Roman"/>
                <w:color w:val="auto"/>
                <w:lang w:eastAsia="en-US"/>
              </w:rPr>
              <w:t>3</w:t>
            </w:r>
          </w:p>
        </w:tc>
        <w:tc>
          <w:tcPr>
            <w:tcW w:w="477" w:type="pct"/>
            <w:vMerge w:val="continue"/>
            <w:vAlign w:val="center"/>
          </w:tcPr>
          <w:p w14:paraId="20F7E5CB">
            <w:pPr>
              <w:pStyle w:val="33"/>
              <w:rPr>
                <w:rFonts w:cs="Times New Roman"/>
                <w:color w:val="auto"/>
                <w:lang w:eastAsia="en-US"/>
              </w:rPr>
            </w:pPr>
          </w:p>
        </w:tc>
        <w:tc>
          <w:tcPr>
            <w:tcW w:w="864" w:type="pct"/>
            <w:vAlign w:val="center"/>
          </w:tcPr>
          <w:p w14:paraId="6137723D">
            <w:pPr>
              <w:pStyle w:val="33"/>
              <w:rPr>
                <w:rFonts w:cs="Times New Roman"/>
                <w:color w:val="auto"/>
                <w:lang w:eastAsia="en-US"/>
              </w:rPr>
            </w:pPr>
            <w:r>
              <w:rPr>
                <w:rFonts w:cs="Times New Roman"/>
                <w:color w:val="auto"/>
                <w:lang w:eastAsia="en-US"/>
              </w:rPr>
              <w:t>NO</w:t>
            </w:r>
            <w:r>
              <w:rPr>
                <w:rFonts w:hint="eastAsia" w:cs="Times New Roman"/>
                <w:color w:val="auto"/>
                <w:lang w:eastAsia="zh-CN"/>
              </w:rPr>
              <w:t>x</w:t>
            </w:r>
            <w:r>
              <w:rPr>
                <w:rFonts w:cs="Times New Roman"/>
                <w:color w:val="auto"/>
                <w:lang w:eastAsia="en-US"/>
              </w:rPr>
              <w:t>（t/a）</w:t>
            </w:r>
          </w:p>
        </w:tc>
        <w:tc>
          <w:tcPr>
            <w:tcW w:w="1344" w:type="pct"/>
            <w:vAlign w:val="center"/>
          </w:tcPr>
          <w:p w14:paraId="272671AB">
            <w:pPr>
              <w:pStyle w:val="33"/>
              <w:rPr>
                <w:rFonts w:cs="Times New Roman"/>
                <w:color w:val="auto"/>
                <w:lang w:eastAsia="en-US"/>
              </w:rPr>
            </w:pPr>
            <w:r>
              <w:rPr>
                <w:rFonts w:cs="Times New Roman"/>
                <w:color w:val="auto"/>
                <w:lang w:eastAsia="en-US"/>
              </w:rPr>
              <w:t>631.23</w:t>
            </w:r>
          </w:p>
        </w:tc>
        <w:tc>
          <w:tcPr>
            <w:tcW w:w="1249" w:type="pct"/>
            <w:vAlign w:val="center"/>
          </w:tcPr>
          <w:p w14:paraId="08E368FE">
            <w:pPr>
              <w:pStyle w:val="33"/>
              <w:rPr>
                <w:rFonts w:cs="Times New Roman"/>
                <w:color w:val="auto"/>
                <w:lang w:eastAsia="en-US"/>
              </w:rPr>
            </w:pPr>
            <w:r>
              <w:rPr>
                <w:rFonts w:hint="eastAsia" w:cs="Times New Roman"/>
                <w:color w:val="auto"/>
                <w:lang w:eastAsia="en-US"/>
              </w:rPr>
              <w:t>149.8</w:t>
            </w:r>
          </w:p>
        </w:tc>
        <w:tc>
          <w:tcPr>
            <w:tcW w:w="768" w:type="pct"/>
            <w:vAlign w:val="center"/>
          </w:tcPr>
          <w:p w14:paraId="173F90C6">
            <w:pPr>
              <w:pStyle w:val="33"/>
              <w:rPr>
                <w:rFonts w:cs="Times New Roman"/>
                <w:color w:val="auto"/>
                <w:lang w:eastAsia="en-US"/>
              </w:rPr>
            </w:pPr>
            <w:r>
              <w:rPr>
                <w:rFonts w:cs="Times New Roman"/>
                <w:color w:val="auto"/>
                <w:lang w:eastAsia="en-US"/>
              </w:rPr>
              <w:t>781.03</w:t>
            </w:r>
          </w:p>
        </w:tc>
      </w:tr>
      <w:tr w14:paraId="67946D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6193BD4C">
            <w:pPr>
              <w:pStyle w:val="33"/>
              <w:rPr>
                <w:rFonts w:cs="Times New Roman"/>
                <w:color w:val="auto"/>
                <w:lang w:eastAsia="en-US"/>
              </w:rPr>
            </w:pPr>
            <w:r>
              <w:rPr>
                <w:rFonts w:cs="Times New Roman"/>
                <w:color w:val="auto"/>
                <w:lang w:eastAsia="en-US"/>
              </w:rPr>
              <w:t>4</w:t>
            </w:r>
          </w:p>
        </w:tc>
        <w:tc>
          <w:tcPr>
            <w:tcW w:w="477" w:type="pct"/>
            <w:vMerge w:val="continue"/>
            <w:vAlign w:val="center"/>
          </w:tcPr>
          <w:p w14:paraId="7BD1F3EF">
            <w:pPr>
              <w:pStyle w:val="33"/>
              <w:rPr>
                <w:rFonts w:cs="Times New Roman"/>
                <w:color w:val="auto"/>
                <w:lang w:eastAsia="en-US"/>
              </w:rPr>
            </w:pPr>
          </w:p>
        </w:tc>
        <w:tc>
          <w:tcPr>
            <w:tcW w:w="864" w:type="pct"/>
            <w:vAlign w:val="center"/>
          </w:tcPr>
          <w:p w14:paraId="4088042C">
            <w:pPr>
              <w:pStyle w:val="33"/>
              <w:rPr>
                <w:rFonts w:cs="Times New Roman"/>
                <w:color w:val="auto"/>
                <w:lang w:eastAsia="en-US"/>
              </w:rPr>
            </w:pPr>
            <w:r>
              <w:rPr>
                <w:rFonts w:cs="Times New Roman"/>
                <w:color w:val="auto"/>
                <w:lang w:eastAsia="en-US"/>
              </w:rPr>
              <w:t>VOC（t/a）</w:t>
            </w:r>
          </w:p>
        </w:tc>
        <w:tc>
          <w:tcPr>
            <w:tcW w:w="1344" w:type="pct"/>
            <w:vAlign w:val="center"/>
          </w:tcPr>
          <w:p w14:paraId="3D14D8A3">
            <w:pPr>
              <w:pStyle w:val="33"/>
              <w:rPr>
                <w:rFonts w:cs="Times New Roman"/>
                <w:color w:val="auto"/>
                <w:lang w:eastAsia="en-US"/>
              </w:rPr>
            </w:pPr>
            <w:r>
              <w:rPr>
                <w:rFonts w:cs="Times New Roman"/>
                <w:color w:val="auto"/>
                <w:lang w:eastAsia="en-US"/>
              </w:rPr>
              <w:t>0.36</w:t>
            </w:r>
          </w:p>
        </w:tc>
        <w:tc>
          <w:tcPr>
            <w:tcW w:w="1249" w:type="pct"/>
            <w:vAlign w:val="center"/>
          </w:tcPr>
          <w:p w14:paraId="63C7B815">
            <w:pPr>
              <w:pStyle w:val="33"/>
              <w:rPr>
                <w:rFonts w:cs="Times New Roman"/>
                <w:color w:val="auto"/>
                <w:lang w:eastAsia="en-US"/>
              </w:rPr>
            </w:pPr>
            <w:r>
              <w:rPr>
                <w:rFonts w:hint="eastAsia" w:cs="Times New Roman"/>
                <w:color w:val="auto"/>
                <w:lang w:eastAsia="en-US"/>
              </w:rPr>
              <w:t>22.74</w:t>
            </w:r>
          </w:p>
        </w:tc>
        <w:tc>
          <w:tcPr>
            <w:tcW w:w="768" w:type="pct"/>
            <w:vAlign w:val="center"/>
          </w:tcPr>
          <w:p w14:paraId="7FEDF9C8">
            <w:pPr>
              <w:pStyle w:val="33"/>
              <w:rPr>
                <w:rFonts w:cs="Times New Roman"/>
                <w:color w:val="auto"/>
                <w:lang w:eastAsia="en-US"/>
              </w:rPr>
            </w:pPr>
            <w:r>
              <w:rPr>
                <w:rFonts w:cs="Times New Roman"/>
                <w:color w:val="auto"/>
                <w:lang w:eastAsia="en-US"/>
              </w:rPr>
              <w:t>23.1</w:t>
            </w:r>
          </w:p>
        </w:tc>
      </w:tr>
      <w:tr w14:paraId="1757A6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98" w:type="pct"/>
            <w:vAlign w:val="center"/>
          </w:tcPr>
          <w:p w14:paraId="4427C404">
            <w:pPr>
              <w:pStyle w:val="33"/>
              <w:rPr>
                <w:rFonts w:cs="Times New Roman"/>
                <w:color w:val="auto"/>
                <w:lang w:eastAsia="en-US"/>
              </w:rPr>
            </w:pPr>
            <w:r>
              <w:rPr>
                <w:rFonts w:cs="Times New Roman"/>
                <w:color w:val="auto"/>
                <w:lang w:eastAsia="en-US"/>
              </w:rPr>
              <w:t>5</w:t>
            </w:r>
          </w:p>
        </w:tc>
        <w:tc>
          <w:tcPr>
            <w:tcW w:w="477" w:type="pct"/>
            <w:vMerge w:val="continue"/>
            <w:vAlign w:val="center"/>
          </w:tcPr>
          <w:p w14:paraId="4497ADD0">
            <w:pPr>
              <w:pStyle w:val="33"/>
              <w:rPr>
                <w:rFonts w:cs="Times New Roman"/>
                <w:color w:val="auto"/>
                <w:lang w:eastAsia="en-US"/>
              </w:rPr>
            </w:pPr>
          </w:p>
        </w:tc>
        <w:tc>
          <w:tcPr>
            <w:tcW w:w="864" w:type="pct"/>
            <w:vAlign w:val="center"/>
          </w:tcPr>
          <w:p w14:paraId="09F3CEAC">
            <w:pPr>
              <w:pStyle w:val="33"/>
              <w:rPr>
                <w:rFonts w:cs="Times New Roman"/>
                <w:color w:val="auto"/>
                <w:lang w:eastAsia="en-US"/>
              </w:rPr>
            </w:pPr>
            <w:r>
              <w:rPr>
                <w:rFonts w:cs="Times New Roman"/>
                <w:color w:val="auto"/>
                <w:lang w:eastAsia="en-US"/>
              </w:rPr>
              <w:t>氨（t/a）</w:t>
            </w:r>
          </w:p>
        </w:tc>
        <w:tc>
          <w:tcPr>
            <w:tcW w:w="1344" w:type="pct"/>
            <w:vAlign w:val="center"/>
          </w:tcPr>
          <w:p w14:paraId="694C423F">
            <w:pPr>
              <w:pStyle w:val="33"/>
              <w:rPr>
                <w:rFonts w:cs="Times New Roman"/>
                <w:color w:val="auto"/>
                <w:lang w:eastAsia="en-US"/>
              </w:rPr>
            </w:pPr>
            <w:r>
              <w:rPr>
                <w:rFonts w:cs="Times New Roman"/>
                <w:color w:val="auto"/>
                <w:lang w:eastAsia="en-US"/>
              </w:rPr>
              <w:t>5.86</w:t>
            </w:r>
          </w:p>
        </w:tc>
        <w:tc>
          <w:tcPr>
            <w:tcW w:w="1249" w:type="pct"/>
            <w:vAlign w:val="center"/>
          </w:tcPr>
          <w:p w14:paraId="2D9659B5">
            <w:pPr>
              <w:pStyle w:val="33"/>
              <w:rPr>
                <w:rFonts w:cs="Times New Roman"/>
                <w:color w:val="auto"/>
                <w:lang w:eastAsia="en-US"/>
              </w:rPr>
            </w:pPr>
            <w:r>
              <w:rPr>
                <w:rFonts w:hint="eastAsia" w:cs="Times New Roman"/>
                <w:color w:val="auto"/>
                <w:lang w:eastAsia="en-US"/>
              </w:rPr>
              <w:t>3.4889</w:t>
            </w:r>
          </w:p>
        </w:tc>
        <w:tc>
          <w:tcPr>
            <w:tcW w:w="768" w:type="pct"/>
            <w:vAlign w:val="center"/>
          </w:tcPr>
          <w:p w14:paraId="7BFC4107">
            <w:pPr>
              <w:pStyle w:val="33"/>
              <w:rPr>
                <w:rFonts w:cs="Times New Roman"/>
                <w:color w:val="auto"/>
                <w:lang w:eastAsia="en-US"/>
              </w:rPr>
            </w:pPr>
            <w:r>
              <w:rPr>
                <w:rFonts w:cs="Times New Roman"/>
                <w:color w:val="auto"/>
                <w:lang w:eastAsia="en-US"/>
              </w:rPr>
              <w:t>9.3489</w:t>
            </w:r>
          </w:p>
        </w:tc>
      </w:tr>
      <w:tr w14:paraId="37D972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340" w:hRule="atLeast"/>
        </w:trPr>
        <w:tc>
          <w:tcPr>
            <w:tcW w:w="298" w:type="pct"/>
            <w:vAlign w:val="center"/>
          </w:tcPr>
          <w:p w14:paraId="18939C16">
            <w:pPr>
              <w:pStyle w:val="33"/>
              <w:rPr>
                <w:rFonts w:cs="Times New Roman"/>
                <w:color w:val="auto"/>
                <w:lang w:eastAsia="en-US"/>
              </w:rPr>
            </w:pPr>
            <w:r>
              <w:rPr>
                <w:rFonts w:cs="Times New Roman"/>
                <w:color w:val="auto"/>
                <w:lang w:eastAsia="en-US"/>
              </w:rPr>
              <w:t>6</w:t>
            </w:r>
          </w:p>
        </w:tc>
        <w:tc>
          <w:tcPr>
            <w:tcW w:w="477" w:type="pct"/>
            <w:vMerge w:val="continue"/>
            <w:vAlign w:val="center"/>
          </w:tcPr>
          <w:p w14:paraId="71D7AFBC">
            <w:pPr>
              <w:pStyle w:val="33"/>
              <w:rPr>
                <w:rFonts w:cs="Times New Roman"/>
                <w:color w:val="auto"/>
                <w:lang w:eastAsia="en-US"/>
              </w:rPr>
            </w:pPr>
          </w:p>
        </w:tc>
        <w:tc>
          <w:tcPr>
            <w:tcW w:w="864" w:type="pct"/>
            <w:vAlign w:val="center"/>
          </w:tcPr>
          <w:p w14:paraId="7A7DC4E4">
            <w:pPr>
              <w:pStyle w:val="33"/>
              <w:rPr>
                <w:rFonts w:cs="Times New Roman"/>
                <w:color w:val="auto"/>
                <w:lang w:eastAsia="en-US"/>
              </w:rPr>
            </w:pPr>
            <w:r>
              <w:rPr>
                <w:rFonts w:cs="Times New Roman"/>
                <w:color w:val="auto"/>
                <w:lang w:eastAsia="en-US"/>
              </w:rPr>
              <w:t>硫化氢（t/a）</w:t>
            </w:r>
          </w:p>
        </w:tc>
        <w:tc>
          <w:tcPr>
            <w:tcW w:w="1344" w:type="pct"/>
            <w:vAlign w:val="center"/>
          </w:tcPr>
          <w:p w14:paraId="45F759EF">
            <w:pPr>
              <w:pStyle w:val="33"/>
              <w:rPr>
                <w:rFonts w:cs="Times New Roman"/>
                <w:color w:val="auto"/>
                <w:lang w:eastAsia="en-US"/>
              </w:rPr>
            </w:pPr>
            <w:r>
              <w:rPr>
                <w:rFonts w:cs="Times New Roman"/>
                <w:color w:val="auto"/>
                <w:lang w:eastAsia="en-US"/>
              </w:rPr>
              <w:t>0.029</w:t>
            </w:r>
          </w:p>
        </w:tc>
        <w:tc>
          <w:tcPr>
            <w:tcW w:w="1249" w:type="pct"/>
            <w:vAlign w:val="center"/>
          </w:tcPr>
          <w:p w14:paraId="3D421073">
            <w:pPr>
              <w:pStyle w:val="33"/>
              <w:rPr>
                <w:rFonts w:cs="Times New Roman"/>
                <w:color w:val="auto"/>
                <w:lang w:eastAsia="en-US"/>
              </w:rPr>
            </w:pPr>
            <w:r>
              <w:rPr>
                <w:rFonts w:hint="eastAsia" w:cs="Times New Roman"/>
                <w:color w:val="auto"/>
                <w:lang w:eastAsia="en-US"/>
              </w:rPr>
              <w:t>0.0232</w:t>
            </w:r>
          </w:p>
        </w:tc>
        <w:tc>
          <w:tcPr>
            <w:tcW w:w="768" w:type="pct"/>
            <w:vAlign w:val="center"/>
          </w:tcPr>
          <w:p w14:paraId="2A7DD176">
            <w:pPr>
              <w:pStyle w:val="33"/>
              <w:rPr>
                <w:rFonts w:cs="Times New Roman"/>
                <w:color w:val="auto"/>
                <w:lang w:eastAsia="en-US"/>
              </w:rPr>
            </w:pPr>
            <w:r>
              <w:rPr>
                <w:rFonts w:cs="Times New Roman"/>
                <w:color w:val="auto"/>
                <w:lang w:eastAsia="en-US"/>
              </w:rPr>
              <w:t>0.0522</w:t>
            </w:r>
          </w:p>
        </w:tc>
      </w:tr>
    </w:tbl>
    <w:p w14:paraId="0DE37B1C">
      <w:pPr>
        <w:ind w:firstLine="480"/>
        <w:rPr>
          <w:color w:val="auto"/>
        </w:rPr>
      </w:pPr>
    </w:p>
    <w:p w14:paraId="28165EA4">
      <w:pPr>
        <w:pStyle w:val="3"/>
        <w:rPr>
          <w:color w:val="auto"/>
        </w:rPr>
      </w:pPr>
      <w:bookmarkStart w:id="175" w:name="_Toc225216684"/>
      <w:r>
        <w:rPr>
          <w:color w:val="auto"/>
        </w:rPr>
        <w:t>排污许可证执行情况</w:t>
      </w:r>
      <w:bookmarkEnd w:id="175"/>
    </w:p>
    <w:p w14:paraId="7D3976F1">
      <w:pPr>
        <w:ind w:firstLine="480"/>
        <w:rPr>
          <w:color w:val="auto"/>
        </w:rPr>
      </w:pPr>
      <w:r>
        <w:rPr>
          <w:color w:val="auto"/>
        </w:rPr>
        <w:t>2017年6月，金桂浆纸申领了《排污许可证》，编号为9145070075124492X7001P，有效期限为2017-6-20至2020-6-19。后续企业经变更、延续，于2024年5月变更了排污许可证。主要污染物许可排放量为SO</w:t>
      </w:r>
      <w:r>
        <w:rPr>
          <w:color w:val="auto"/>
          <w:vertAlign w:val="subscript"/>
        </w:rPr>
        <w:t>2</w:t>
      </w:r>
      <w:r>
        <w:rPr>
          <w:color w:val="auto"/>
        </w:rPr>
        <w:t>：1086t/a，NO</w:t>
      </w:r>
      <w:r>
        <w:rPr>
          <w:color w:val="auto"/>
          <w:vertAlign w:val="subscript"/>
        </w:rPr>
        <w:t>x</w:t>
      </w:r>
      <w:r>
        <w:rPr>
          <w:color w:val="auto"/>
        </w:rPr>
        <w:t>：902t/a，颗粒物：270.6t/a；COD：1745.5t/a，氨氮：58t/a，总氮：262.8t/a。现有及在建工程主要污染物排放量与排污许可中的许可排放量对比见表</w:t>
      </w:r>
      <w:r>
        <w:rPr>
          <w:rFonts w:hint="eastAsia"/>
          <w:color w:val="auto"/>
        </w:rPr>
        <w:t>2</w:t>
      </w:r>
      <w:r>
        <w:rPr>
          <w:color w:val="auto"/>
        </w:rPr>
        <w:t>.8</w:t>
      </w:r>
      <w:r>
        <w:rPr>
          <w:rFonts w:hint="eastAsia"/>
          <w:color w:val="auto"/>
        </w:rPr>
        <w:t>-</w:t>
      </w:r>
      <w:r>
        <w:rPr>
          <w:color w:val="auto"/>
        </w:rPr>
        <w:t>1，可见，企业主要污染物排放量均在许可排放量范围内</w:t>
      </w:r>
      <w:r>
        <w:rPr>
          <w:color w:val="auto"/>
          <w:spacing w:val="-2"/>
        </w:rPr>
        <w:t>。</w:t>
      </w:r>
    </w:p>
    <w:p w14:paraId="2094F2B0">
      <w:pPr>
        <w:pStyle w:val="7"/>
        <w:rPr>
          <w:color w:val="auto"/>
        </w:rPr>
      </w:pPr>
      <w:r>
        <w:rPr>
          <w:color w:val="auto"/>
        </w:rPr>
        <w:t>现有及在建工程主要污染物排放量与许可排放量对比表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739"/>
        <w:gridCol w:w="1528"/>
        <w:gridCol w:w="1528"/>
        <w:gridCol w:w="2734"/>
        <w:gridCol w:w="1595"/>
        <w:gridCol w:w="1162"/>
      </w:tblGrid>
      <w:tr w14:paraId="451A33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0D2F1C96">
            <w:pPr>
              <w:pStyle w:val="33"/>
              <w:rPr>
                <w:color w:val="auto"/>
              </w:rPr>
            </w:pPr>
            <w:r>
              <w:rPr>
                <w:color w:val="auto"/>
              </w:rPr>
              <w:t>序号</w:t>
            </w:r>
          </w:p>
        </w:tc>
        <w:tc>
          <w:tcPr>
            <w:tcW w:w="823" w:type="pct"/>
            <w:vAlign w:val="center"/>
          </w:tcPr>
          <w:p w14:paraId="63686761">
            <w:pPr>
              <w:pStyle w:val="33"/>
              <w:rPr>
                <w:color w:val="auto"/>
                <w:spacing w:val="-5"/>
              </w:rPr>
            </w:pPr>
            <w:r>
              <w:rPr>
                <w:rFonts w:hint="eastAsia"/>
                <w:color w:val="auto"/>
                <w:spacing w:val="-5"/>
              </w:rPr>
              <w:t>类别</w:t>
            </w:r>
          </w:p>
        </w:tc>
        <w:tc>
          <w:tcPr>
            <w:tcW w:w="823" w:type="pct"/>
            <w:vAlign w:val="center"/>
          </w:tcPr>
          <w:p w14:paraId="3752D99E">
            <w:pPr>
              <w:pStyle w:val="33"/>
              <w:rPr>
                <w:color w:val="auto"/>
              </w:rPr>
            </w:pPr>
            <w:r>
              <w:rPr>
                <w:color w:val="auto"/>
                <w:spacing w:val="-5"/>
              </w:rPr>
              <w:t>项目</w:t>
            </w:r>
          </w:p>
        </w:tc>
        <w:tc>
          <w:tcPr>
            <w:tcW w:w="1472" w:type="pct"/>
            <w:vAlign w:val="center"/>
          </w:tcPr>
          <w:p w14:paraId="00735307">
            <w:pPr>
              <w:pStyle w:val="33"/>
              <w:rPr>
                <w:color w:val="auto"/>
              </w:rPr>
            </w:pPr>
            <w:r>
              <w:rPr>
                <w:color w:val="auto"/>
                <w:spacing w:val="-3"/>
              </w:rPr>
              <w:t>现有工程</w:t>
            </w:r>
            <w:r>
              <w:rPr>
                <w:color w:val="auto"/>
              </w:rPr>
              <w:t>排放量</w:t>
            </w:r>
          </w:p>
        </w:tc>
        <w:tc>
          <w:tcPr>
            <w:tcW w:w="859" w:type="pct"/>
            <w:vAlign w:val="center"/>
          </w:tcPr>
          <w:p w14:paraId="6344D1BD">
            <w:pPr>
              <w:pStyle w:val="33"/>
              <w:rPr>
                <w:color w:val="auto"/>
                <w:sz w:val="11"/>
                <w:szCs w:val="11"/>
              </w:rPr>
            </w:pPr>
            <w:r>
              <w:rPr>
                <w:color w:val="auto"/>
                <w:spacing w:val="-3"/>
              </w:rPr>
              <w:t>许可排放量</w:t>
            </w:r>
          </w:p>
        </w:tc>
        <w:tc>
          <w:tcPr>
            <w:tcW w:w="625" w:type="pct"/>
            <w:vAlign w:val="center"/>
          </w:tcPr>
          <w:p w14:paraId="622F2137">
            <w:pPr>
              <w:pStyle w:val="33"/>
              <w:rPr>
                <w:color w:val="auto"/>
              </w:rPr>
            </w:pPr>
            <w:r>
              <w:rPr>
                <w:color w:val="auto"/>
              </w:rPr>
              <w:t>符合性</w:t>
            </w:r>
          </w:p>
        </w:tc>
      </w:tr>
      <w:tr w14:paraId="726C9C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192F7954">
            <w:pPr>
              <w:pStyle w:val="33"/>
              <w:rPr>
                <w:rFonts w:eastAsia="Times New Roman"/>
                <w:color w:val="auto"/>
              </w:rPr>
            </w:pPr>
            <w:r>
              <w:rPr>
                <w:rFonts w:eastAsia="Times New Roman"/>
                <w:color w:val="auto"/>
              </w:rPr>
              <w:t>1</w:t>
            </w:r>
          </w:p>
        </w:tc>
        <w:tc>
          <w:tcPr>
            <w:tcW w:w="823" w:type="pct"/>
            <w:vMerge w:val="restart"/>
            <w:vAlign w:val="center"/>
          </w:tcPr>
          <w:p w14:paraId="4D4E4942">
            <w:pPr>
              <w:pStyle w:val="33"/>
              <w:rPr>
                <w:rFonts w:eastAsia="Times New Roman"/>
                <w:color w:val="auto"/>
                <w:spacing w:val="-1"/>
              </w:rPr>
            </w:pPr>
            <w:r>
              <w:rPr>
                <w:rFonts w:hint="eastAsia" w:ascii="宋体" w:hAnsi="宋体" w:cs="宋体"/>
                <w:color w:val="auto"/>
                <w:spacing w:val="-1"/>
              </w:rPr>
              <w:t>废水</w:t>
            </w:r>
          </w:p>
        </w:tc>
        <w:tc>
          <w:tcPr>
            <w:tcW w:w="823" w:type="pct"/>
            <w:vAlign w:val="center"/>
          </w:tcPr>
          <w:p w14:paraId="4F5D363A">
            <w:pPr>
              <w:pStyle w:val="33"/>
              <w:rPr>
                <w:color w:val="auto"/>
              </w:rPr>
            </w:pPr>
            <w:r>
              <w:rPr>
                <w:rFonts w:eastAsia="Times New Roman"/>
                <w:color w:val="auto"/>
                <w:spacing w:val="-1"/>
              </w:rPr>
              <w:t>COD</w:t>
            </w:r>
            <w:r>
              <w:rPr>
                <w:color w:val="auto"/>
                <w:spacing w:val="-1"/>
              </w:rPr>
              <w:t>（</w:t>
            </w:r>
            <w:r>
              <w:rPr>
                <w:rFonts w:eastAsia="Times New Roman"/>
                <w:color w:val="auto"/>
                <w:spacing w:val="-1"/>
              </w:rPr>
              <w:t>t/a</w:t>
            </w:r>
            <w:r>
              <w:rPr>
                <w:color w:val="auto"/>
                <w:spacing w:val="-1"/>
              </w:rPr>
              <w:t>）</w:t>
            </w:r>
          </w:p>
        </w:tc>
        <w:tc>
          <w:tcPr>
            <w:tcW w:w="1472" w:type="pct"/>
            <w:vAlign w:val="center"/>
          </w:tcPr>
          <w:p w14:paraId="45F63353">
            <w:pPr>
              <w:pStyle w:val="33"/>
              <w:rPr>
                <w:color w:val="auto"/>
              </w:rPr>
            </w:pPr>
            <w:r>
              <w:rPr>
                <w:rFonts w:cs="Times New Roman"/>
                <w:color w:val="auto"/>
                <w:lang w:eastAsia="en-US"/>
              </w:rPr>
              <w:t>1388.15</w:t>
            </w:r>
          </w:p>
        </w:tc>
        <w:tc>
          <w:tcPr>
            <w:tcW w:w="859" w:type="pct"/>
            <w:vAlign w:val="center"/>
          </w:tcPr>
          <w:p w14:paraId="111BD258">
            <w:pPr>
              <w:pStyle w:val="33"/>
              <w:rPr>
                <w:rFonts w:eastAsia="Times New Roman"/>
                <w:color w:val="auto"/>
              </w:rPr>
            </w:pPr>
            <w:r>
              <w:rPr>
                <w:rFonts w:eastAsia="Times New Roman"/>
                <w:color w:val="auto"/>
                <w:spacing w:val="-1"/>
              </w:rPr>
              <w:t>2031.198</w:t>
            </w:r>
          </w:p>
        </w:tc>
        <w:tc>
          <w:tcPr>
            <w:tcW w:w="625" w:type="pct"/>
            <w:vAlign w:val="center"/>
          </w:tcPr>
          <w:p w14:paraId="73612F9D">
            <w:pPr>
              <w:pStyle w:val="33"/>
              <w:rPr>
                <w:color w:val="auto"/>
              </w:rPr>
            </w:pPr>
            <w:r>
              <w:rPr>
                <w:color w:val="auto"/>
                <w:spacing w:val="-3"/>
              </w:rPr>
              <w:t>符合</w:t>
            </w:r>
          </w:p>
        </w:tc>
      </w:tr>
      <w:tr w14:paraId="1D2394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35" w:hRule="atLeast"/>
        </w:trPr>
        <w:tc>
          <w:tcPr>
            <w:tcW w:w="398" w:type="pct"/>
            <w:vAlign w:val="center"/>
          </w:tcPr>
          <w:p w14:paraId="4BB66449">
            <w:pPr>
              <w:pStyle w:val="33"/>
              <w:rPr>
                <w:rFonts w:eastAsia="Times New Roman"/>
                <w:color w:val="auto"/>
              </w:rPr>
            </w:pPr>
            <w:r>
              <w:rPr>
                <w:rFonts w:eastAsia="Times New Roman"/>
                <w:color w:val="auto"/>
              </w:rPr>
              <w:t>2</w:t>
            </w:r>
          </w:p>
        </w:tc>
        <w:tc>
          <w:tcPr>
            <w:tcW w:w="823" w:type="pct"/>
            <w:vMerge w:val="continue"/>
            <w:vAlign w:val="center"/>
          </w:tcPr>
          <w:p w14:paraId="2F3224A7">
            <w:pPr>
              <w:pStyle w:val="33"/>
              <w:rPr>
                <w:color w:val="auto"/>
                <w:spacing w:val="-2"/>
              </w:rPr>
            </w:pPr>
          </w:p>
        </w:tc>
        <w:tc>
          <w:tcPr>
            <w:tcW w:w="823" w:type="pct"/>
            <w:vAlign w:val="center"/>
          </w:tcPr>
          <w:p w14:paraId="31B4F63B">
            <w:pPr>
              <w:pStyle w:val="33"/>
              <w:rPr>
                <w:color w:val="auto"/>
              </w:rPr>
            </w:pPr>
            <w:r>
              <w:rPr>
                <w:color w:val="auto"/>
                <w:spacing w:val="-2"/>
              </w:rPr>
              <w:t>氨氮（</w:t>
            </w:r>
            <w:r>
              <w:rPr>
                <w:rFonts w:eastAsia="Times New Roman"/>
                <w:color w:val="auto"/>
                <w:spacing w:val="-2"/>
              </w:rPr>
              <w:t>t/a</w:t>
            </w:r>
            <w:r>
              <w:rPr>
                <w:color w:val="auto"/>
                <w:spacing w:val="-2"/>
              </w:rPr>
              <w:t>）</w:t>
            </w:r>
          </w:p>
        </w:tc>
        <w:tc>
          <w:tcPr>
            <w:tcW w:w="1472" w:type="pct"/>
            <w:vAlign w:val="center"/>
          </w:tcPr>
          <w:p w14:paraId="06570DEE">
            <w:pPr>
              <w:pStyle w:val="33"/>
              <w:rPr>
                <w:color w:val="auto"/>
              </w:rPr>
            </w:pPr>
            <w:r>
              <w:rPr>
                <w:rFonts w:cs="Times New Roman"/>
                <w:color w:val="auto"/>
                <w:lang w:eastAsia="en-US"/>
              </w:rPr>
              <w:t>42.12</w:t>
            </w:r>
          </w:p>
        </w:tc>
        <w:tc>
          <w:tcPr>
            <w:tcW w:w="859" w:type="pct"/>
            <w:vAlign w:val="center"/>
          </w:tcPr>
          <w:p w14:paraId="54BE046E">
            <w:pPr>
              <w:pStyle w:val="33"/>
              <w:rPr>
                <w:rFonts w:eastAsia="Times New Roman"/>
                <w:color w:val="auto"/>
              </w:rPr>
            </w:pPr>
            <w:r>
              <w:rPr>
                <w:rFonts w:eastAsia="Times New Roman"/>
                <w:color w:val="auto"/>
                <w:spacing w:val="-2"/>
              </w:rPr>
              <w:t>58.065</w:t>
            </w:r>
          </w:p>
        </w:tc>
        <w:tc>
          <w:tcPr>
            <w:tcW w:w="625" w:type="pct"/>
            <w:vAlign w:val="center"/>
          </w:tcPr>
          <w:p w14:paraId="18BCC6CE">
            <w:pPr>
              <w:pStyle w:val="33"/>
              <w:rPr>
                <w:color w:val="auto"/>
              </w:rPr>
            </w:pPr>
            <w:r>
              <w:rPr>
                <w:color w:val="auto"/>
                <w:spacing w:val="-3"/>
              </w:rPr>
              <w:t>符合</w:t>
            </w:r>
          </w:p>
        </w:tc>
      </w:tr>
      <w:tr w14:paraId="73CBBE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78FDCC34">
            <w:pPr>
              <w:pStyle w:val="33"/>
              <w:rPr>
                <w:rFonts w:eastAsia="Times New Roman"/>
                <w:color w:val="auto"/>
              </w:rPr>
            </w:pPr>
            <w:r>
              <w:rPr>
                <w:rFonts w:eastAsia="Times New Roman"/>
                <w:color w:val="auto"/>
              </w:rPr>
              <w:t>3</w:t>
            </w:r>
          </w:p>
        </w:tc>
        <w:tc>
          <w:tcPr>
            <w:tcW w:w="823" w:type="pct"/>
            <w:vMerge w:val="continue"/>
            <w:vAlign w:val="center"/>
          </w:tcPr>
          <w:p w14:paraId="3B8FCC7E">
            <w:pPr>
              <w:pStyle w:val="33"/>
              <w:rPr>
                <w:color w:val="auto"/>
                <w:spacing w:val="-2"/>
              </w:rPr>
            </w:pPr>
          </w:p>
        </w:tc>
        <w:tc>
          <w:tcPr>
            <w:tcW w:w="823" w:type="pct"/>
            <w:vAlign w:val="center"/>
          </w:tcPr>
          <w:p w14:paraId="16A4E34E">
            <w:pPr>
              <w:pStyle w:val="33"/>
              <w:rPr>
                <w:color w:val="auto"/>
              </w:rPr>
            </w:pPr>
            <w:r>
              <w:rPr>
                <w:color w:val="auto"/>
                <w:spacing w:val="-2"/>
              </w:rPr>
              <w:t>总氮（</w:t>
            </w:r>
            <w:r>
              <w:rPr>
                <w:rFonts w:eastAsia="Times New Roman"/>
                <w:color w:val="auto"/>
                <w:spacing w:val="-2"/>
              </w:rPr>
              <w:t>t/a</w:t>
            </w:r>
            <w:r>
              <w:rPr>
                <w:color w:val="auto"/>
                <w:spacing w:val="-2"/>
              </w:rPr>
              <w:t>）</w:t>
            </w:r>
          </w:p>
        </w:tc>
        <w:tc>
          <w:tcPr>
            <w:tcW w:w="1472" w:type="pct"/>
            <w:vAlign w:val="center"/>
          </w:tcPr>
          <w:p w14:paraId="4EB0DF88">
            <w:pPr>
              <w:pStyle w:val="33"/>
              <w:rPr>
                <w:color w:val="auto"/>
              </w:rPr>
            </w:pPr>
            <w:r>
              <w:rPr>
                <w:rFonts w:cs="Times New Roman"/>
                <w:color w:val="auto"/>
                <w:lang w:eastAsia="en-US"/>
              </w:rPr>
              <w:t>103.15</w:t>
            </w:r>
          </w:p>
        </w:tc>
        <w:tc>
          <w:tcPr>
            <w:tcW w:w="859" w:type="pct"/>
            <w:vAlign w:val="center"/>
          </w:tcPr>
          <w:p w14:paraId="727C4716">
            <w:pPr>
              <w:pStyle w:val="33"/>
              <w:rPr>
                <w:rFonts w:eastAsia="Times New Roman"/>
                <w:color w:val="auto"/>
              </w:rPr>
            </w:pPr>
            <w:r>
              <w:rPr>
                <w:rFonts w:eastAsia="Times New Roman"/>
                <w:color w:val="auto"/>
                <w:spacing w:val="-1"/>
              </w:rPr>
              <w:t>263.298</w:t>
            </w:r>
          </w:p>
        </w:tc>
        <w:tc>
          <w:tcPr>
            <w:tcW w:w="625" w:type="pct"/>
            <w:vAlign w:val="center"/>
          </w:tcPr>
          <w:p w14:paraId="24BFF94D">
            <w:pPr>
              <w:pStyle w:val="33"/>
              <w:rPr>
                <w:color w:val="auto"/>
              </w:rPr>
            </w:pPr>
            <w:r>
              <w:rPr>
                <w:color w:val="auto"/>
                <w:spacing w:val="-3"/>
              </w:rPr>
              <w:t>符合</w:t>
            </w:r>
          </w:p>
        </w:tc>
      </w:tr>
      <w:tr w14:paraId="5B6E479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6A55A2C1">
            <w:pPr>
              <w:pStyle w:val="33"/>
              <w:rPr>
                <w:rFonts w:eastAsia="Times New Roman"/>
                <w:color w:val="auto"/>
              </w:rPr>
            </w:pPr>
            <w:r>
              <w:rPr>
                <w:rFonts w:eastAsia="Times New Roman"/>
                <w:color w:val="auto"/>
              </w:rPr>
              <w:t>1</w:t>
            </w:r>
          </w:p>
        </w:tc>
        <w:tc>
          <w:tcPr>
            <w:tcW w:w="823" w:type="pct"/>
            <w:vMerge w:val="restart"/>
            <w:vAlign w:val="center"/>
          </w:tcPr>
          <w:p w14:paraId="7251BED2">
            <w:pPr>
              <w:pStyle w:val="33"/>
              <w:rPr>
                <w:color w:val="auto"/>
                <w:spacing w:val="-1"/>
              </w:rPr>
            </w:pPr>
            <w:r>
              <w:rPr>
                <w:rFonts w:hint="eastAsia"/>
                <w:color w:val="auto"/>
                <w:spacing w:val="-1"/>
              </w:rPr>
              <w:t>废气</w:t>
            </w:r>
          </w:p>
        </w:tc>
        <w:tc>
          <w:tcPr>
            <w:tcW w:w="823" w:type="pct"/>
            <w:vAlign w:val="center"/>
          </w:tcPr>
          <w:p w14:paraId="45127008">
            <w:pPr>
              <w:pStyle w:val="33"/>
              <w:rPr>
                <w:color w:val="auto"/>
              </w:rPr>
            </w:pPr>
            <w:r>
              <w:rPr>
                <w:color w:val="auto"/>
                <w:spacing w:val="-1"/>
              </w:rPr>
              <w:t>颗粒物（</w:t>
            </w:r>
            <w:r>
              <w:rPr>
                <w:rFonts w:eastAsia="Times New Roman"/>
                <w:color w:val="auto"/>
                <w:spacing w:val="-1"/>
              </w:rPr>
              <w:t>t/a</w:t>
            </w:r>
            <w:r>
              <w:rPr>
                <w:color w:val="auto"/>
                <w:spacing w:val="-1"/>
              </w:rPr>
              <w:t>）</w:t>
            </w:r>
          </w:p>
        </w:tc>
        <w:tc>
          <w:tcPr>
            <w:tcW w:w="1472" w:type="pct"/>
            <w:vAlign w:val="center"/>
          </w:tcPr>
          <w:p w14:paraId="6F60B28D">
            <w:pPr>
              <w:pStyle w:val="33"/>
              <w:rPr>
                <w:color w:val="auto"/>
              </w:rPr>
            </w:pPr>
            <w:r>
              <w:rPr>
                <w:color w:val="auto"/>
              </w:rPr>
              <w:t>50.26</w:t>
            </w:r>
          </w:p>
        </w:tc>
        <w:tc>
          <w:tcPr>
            <w:tcW w:w="859" w:type="pct"/>
            <w:vAlign w:val="center"/>
          </w:tcPr>
          <w:p w14:paraId="6BAECEA5">
            <w:pPr>
              <w:pStyle w:val="33"/>
              <w:rPr>
                <w:rFonts w:eastAsia="Times New Roman"/>
                <w:color w:val="auto"/>
              </w:rPr>
            </w:pPr>
            <w:r>
              <w:rPr>
                <w:rFonts w:eastAsia="Times New Roman"/>
                <w:color w:val="auto"/>
                <w:spacing w:val="-1"/>
              </w:rPr>
              <w:t>270.6</w:t>
            </w:r>
          </w:p>
        </w:tc>
        <w:tc>
          <w:tcPr>
            <w:tcW w:w="625" w:type="pct"/>
            <w:vAlign w:val="center"/>
          </w:tcPr>
          <w:p w14:paraId="2C3A80DC">
            <w:pPr>
              <w:pStyle w:val="33"/>
              <w:rPr>
                <w:color w:val="auto"/>
              </w:rPr>
            </w:pPr>
            <w:r>
              <w:rPr>
                <w:color w:val="auto"/>
                <w:spacing w:val="-3"/>
              </w:rPr>
              <w:t>符合</w:t>
            </w:r>
          </w:p>
        </w:tc>
      </w:tr>
      <w:tr w14:paraId="216431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30BC891A">
            <w:pPr>
              <w:pStyle w:val="33"/>
              <w:rPr>
                <w:rFonts w:eastAsia="Times New Roman"/>
                <w:color w:val="auto"/>
              </w:rPr>
            </w:pPr>
            <w:r>
              <w:rPr>
                <w:rFonts w:eastAsia="Times New Roman"/>
                <w:color w:val="auto"/>
              </w:rPr>
              <w:t>2</w:t>
            </w:r>
          </w:p>
        </w:tc>
        <w:tc>
          <w:tcPr>
            <w:tcW w:w="823" w:type="pct"/>
            <w:vMerge w:val="continue"/>
            <w:vAlign w:val="center"/>
          </w:tcPr>
          <w:p w14:paraId="4BE474D9">
            <w:pPr>
              <w:pStyle w:val="33"/>
              <w:rPr>
                <w:rFonts w:eastAsia="Times New Roman"/>
                <w:color w:val="auto"/>
                <w:spacing w:val="-2"/>
              </w:rPr>
            </w:pPr>
          </w:p>
        </w:tc>
        <w:tc>
          <w:tcPr>
            <w:tcW w:w="823" w:type="pct"/>
            <w:vAlign w:val="center"/>
          </w:tcPr>
          <w:p w14:paraId="166390D6">
            <w:pPr>
              <w:pStyle w:val="33"/>
              <w:rPr>
                <w:color w:val="auto"/>
              </w:rPr>
            </w:pPr>
            <w:r>
              <w:rPr>
                <w:rFonts w:eastAsia="Times New Roman"/>
                <w:color w:val="auto"/>
                <w:spacing w:val="-2"/>
              </w:rPr>
              <w:t>SO</w:t>
            </w:r>
            <w:r>
              <w:rPr>
                <w:rFonts w:eastAsia="Times New Roman"/>
                <w:color w:val="auto"/>
                <w:spacing w:val="-2"/>
                <w:position w:val="-1"/>
                <w:sz w:val="14"/>
                <w:szCs w:val="14"/>
              </w:rPr>
              <w:t>2</w:t>
            </w:r>
            <w:r>
              <w:rPr>
                <w:color w:val="auto"/>
                <w:spacing w:val="-2"/>
              </w:rPr>
              <w:t>（</w:t>
            </w:r>
            <w:r>
              <w:rPr>
                <w:rFonts w:eastAsia="Times New Roman"/>
                <w:color w:val="auto"/>
                <w:spacing w:val="-2"/>
              </w:rPr>
              <w:t>t/a</w:t>
            </w:r>
            <w:r>
              <w:rPr>
                <w:color w:val="auto"/>
                <w:spacing w:val="-2"/>
              </w:rPr>
              <w:t>）</w:t>
            </w:r>
          </w:p>
        </w:tc>
        <w:tc>
          <w:tcPr>
            <w:tcW w:w="1472" w:type="pct"/>
            <w:vAlign w:val="center"/>
          </w:tcPr>
          <w:p w14:paraId="04B819B8">
            <w:pPr>
              <w:pStyle w:val="33"/>
              <w:rPr>
                <w:color w:val="auto"/>
              </w:rPr>
            </w:pPr>
            <w:r>
              <w:rPr>
                <w:color w:val="auto"/>
              </w:rPr>
              <w:t>118.07</w:t>
            </w:r>
          </w:p>
        </w:tc>
        <w:tc>
          <w:tcPr>
            <w:tcW w:w="859" w:type="pct"/>
            <w:vAlign w:val="center"/>
          </w:tcPr>
          <w:p w14:paraId="25BF4F42">
            <w:pPr>
              <w:pStyle w:val="33"/>
              <w:rPr>
                <w:rFonts w:eastAsia="Times New Roman"/>
                <w:color w:val="auto"/>
              </w:rPr>
            </w:pPr>
            <w:r>
              <w:rPr>
                <w:rFonts w:eastAsia="Times New Roman"/>
                <w:color w:val="auto"/>
                <w:spacing w:val="-5"/>
              </w:rPr>
              <w:t>1086</w:t>
            </w:r>
          </w:p>
        </w:tc>
        <w:tc>
          <w:tcPr>
            <w:tcW w:w="625" w:type="pct"/>
            <w:vAlign w:val="center"/>
          </w:tcPr>
          <w:p w14:paraId="37505F49">
            <w:pPr>
              <w:pStyle w:val="33"/>
              <w:rPr>
                <w:color w:val="auto"/>
              </w:rPr>
            </w:pPr>
            <w:r>
              <w:rPr>
                <w:color w:val="auto"/>
                <w:spacing w:val="-3"/>
              </w:rPr>
              <w:t>符合</w:t>
            </w:r>
          </w:p>
        </w:tc>
      </w:tr>
      <w:tr w14:paraId="599103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40" w:hRule="atLeast"/>
        </w:trPr>
        <w:tc>
          <w:tcPr>
            <w:tcW w:w="398" w:type="pct"/>
            <w:vAlign w:val="center"/>
          </w:tcPr>
          <w:p w14:paraId="1BD9A38F">
            <w:pPr>
              <w:pStyle w:val="33"/>
              <w:rPr>
                <w:rFonts w:eastAsia="Times New Roman"/>
                <w:color w:val="auto"/>
              </w:rPr>
            </w:pPr>
            <w:r>
              <w:rPr>
                <w:rFonts w:eastAsia="Times New Roman"/>
                <w:color w:val="auto"/>
              </w:rPr>
              <w:t>3</w:t>
            </w:r>
          </w:p>
        </w:tc>
        <w:tc>
          <w:tcPr>
            <w:tcW w:w="823" w:type="pct"/>
            <w:vMerge w:val="continue"/>
            <w:vAlign w:val="center"/>
          </w:tcPr>
          <w:p w14:paraId="0764683D">
            <w:pPr>
              <w:pStyle w:val="33"/>
              <w:rPr>
                <w:rFonts w:eastAsia="Times New Roman"/>
                <w:color w:val="auto"/>
                <w:position w:val="1"/>
              </w:rPr>
            </w:pPr>
          </w:p>
        </w:tc>
        <w:tc>
          <w:tcPr>
            <w:tcW w:w="823" w:type="pct"/>
            <w:vAlign w:val="center"/>
          </w:tcPr>
          <w:p w14:paraId="31FFA3FC">
            <w:pPr>
              <w:pStyle w:val="33"/>
              <w:rPr>
                <w:color w:val="auto"/>
              </w:rPr>
            </w:pPr>
            <w:r>
              <w:rPr>
                <w:rFonts w:eastAsia="Times New Roman"/>
                <w:color w:val="auto"/>
                <w:position w:val="1"/>
              </w:rPr>
              <w:t>NO</w:t>
            </w:r>
            <w:r>
              <w:rPr>
                <w:rFonts w:eastAsia="Times New Roman"/>
                <w:color w:val="auto"/>
                <w:sz w:val="14"/>
                <w:szCs w:val="14"/>
              </w:rPr>
              <w:t>X</w:t>
            </w:r>
            <w:r>
              <w:rPr>
                <w:color w:val="auto"/>
                <w:position w:val="1"/>
              </w:rPr>
              <w:t>（</w:t>
            </w:r>
            <w:r>
              <w:rPr>
                <w:rFonts w:eastAsia="Times New Roman"/>
                <w:color w:val="auto"/>
                <w:position w:val="1"/>
              </w:rPr>
              <w:t>t/a</w:t>
            </w:r>
            <w:r>
              <w:rPr>
                <w:color w:val="auto"/>
                <w:position w:val="1"/>
              </w:rPr>
              <w:t>）</w:t>
            </w:r>
          </w:p>
        </w:tc>
        <w:tc>
          <w:tcPr>
            <w:tcW w:w="1472" w:type="pct"/>
            <w:vAlign w:val="center"/>
          </w:tcPr>
          <w:p w14:paraId="3742BA63">
            <w:pPr>
              <w:pStyle w:val="33"/>
              <w:rPr>
                <w:color w:val="auto"/>
              </w:rPr>
            </w:pPr>
            <w:r>
              <w:rPr>
                <w:color w:val="auto"/>
              </w:rPr>
              <w:t>781.03</w:t>
            </w:r>
          </w:p>
        </w:tc>
        <w:tc>
          <w:tcPr>
            <w:tcW w:w="859" w:type="pct"/>
            <w:vAlign w:val="center"/>
          </w:tcPr>
          <w:p w14:paraId="15F53884">
            <w:pPr>
              <w:pStyle w:val="33"/>
              <w:rPr>
                <w:rFonts w:eastAsia="Times New Roman"/>
                <w:color w:val="auto"/>
              </w:rPr>
            </w:pPr>
            <w:r>
              <w:rPr>
                <w:rFonts w:eastAsia="Times New Roman"/>
                <w:color w:val="auto"/>
              </w:rPr>
              <w:t>1089.469</w:t>
            </w:r>
          </w:p>
        </w:tc>
        <w:tc>
          <w:tcPr>
            <w:tcW w:w="625" w:type="pct"/>
            <w:vAlign w:val="center"/>
          </w:tcPr>
          <w:p w14:paraId="7B85DD8A">
            <w:pPr>
              <w:pStyle w:val="33"/>
              <w:rPr>
                <w:color w:val="auto"/>
              </w:rPr>
            </w:pPr>
            <w:r>
              <w:rPr>
                <w:color w:val="auto"/>
                <w:spacing w:val="-3"/>
              </w:rPr>
              <w:t>符合</w:t>
            </w:r>
          </w:p>
        </w:tc>
      </w:tr>
    </w:tbl>
    <w:p w14:paraId="2B339B8F">
      <w:pPr>
        <w:ind w:firstLine="480"/>
        <w:rPr>
          <w:color w:val="auto"/>
        </w:rPr>
      </w:pPr>
      <w:r>
        <w:rPr>
          <w:color w:val="auto"/>
        </w:rPr>
        <w:t>根据企业实际执行情况，202</w:t>
      </w:r>
      <w:r>
        <w:rPr>
          <w:rFonts w:hint="eastAsia"/>
          <w:color w:val="auto"/>
        </w:rPr>
        <w:t>5</w:t>
      </w:r>
      <w:r>
        <w:rPr>
          <w:color w:val="auto"/>
        </w:rPr>
        <w:t>年企业按照排污许可证相关要求开展了自行监测，根据自行监测结果，各项污染物均达到相应标准限值要求；同时，企业按照地方生态环境部门相关要求填报了季度和年度执行报告</w:t>
      </w:r>
      <w:r>
        <w:rPr>
          <w:rFonts w:ascii="宋体" w:hAnsi="宋体" w:cs="宋体"/>
          <w:color w:val="auto"/>
          <w:spacing w:val="-2"/>
          <w:szCs w:val="24"/>
        </w:rPr>
        <w:t>。</w:t>
      </w:r>
    </w:p>
    <w:p w14:paraId="5B239369">
      <w:pPr>
        <w:pStyle w:val="3"/>
        <w:rPr>
          <w:color w:val="auto"/>
        </w:rPr>
      </w:pPr>
      <w:bookmarkStart w:id="176" w:name="_Toc225216685"/>
      <w:r>
        <w:rPr>
          <w:color w:val="auto"/>
        </w:rPr>
        <w:t>环保投诉及整改情况</w:t>
      </w:r>
      <w:bookmarkEnd w:id="173"/>
      <w:bookmarkEnd w:id="176"/>
    </w:p>
    <w:p w14:paraId="5F29B84D">
      <w:pPr>
        <w:ind w:firstLine="480"/>
        <w:rPr>
          <w:color w:val="auto"/>
        </w:rPr>
      </w:pPr>
      <w:r>
        <w:rPr>
          <w:color w:val="auto"/>
        </w:rPr>
        <w:t>根据走访</w:t>
      </w:r>
      <w:r>
        <w:rPr>
          <w:rFonts w:hint="eastAsia"/>
          <w:color w:val="auto"/>
        </w:rPr>
        <w:t>钦州市生态环境局及钦州港经济技术开发区生态环境局，查阅</w:t>
      </w:r>
      <w:r>
        <w:rPr>
          <w:color w:val="auto"/>
        </w:rPr>
        <w:t>钦州市生态环境局网站公示的环境执法信息，以及金桂浆纸提供的相关整改材料，近</w:t>
      </w:r>
      <w:r>
        <w:rPr>
          <w:rFonts w:hint="eastAsia"/>
          <w:color w:val="auto"/>
        </w:rPr>
        <w:t>5</w:t>
      </w:r>
      <w:r>
        <w:rPr>
          <w:color w:val="auto"/>
        </w:rPr>
        <w:t>年来企业涉及的投诉、处罚及整改情况如下：</w:t>
      </w:r>
    </w:p>
    <w:p w14:paraId="576BA3AB">
      <w:pPr>
        <w:ind w:firstLine="480"/>
        <w:rPr>
          <w:color w:val="auto"/>
        </w:rPr>
      </w:pPr>
      <w:r>
        <w:rPr>
          <w:rFonts w:hint="eastAsia"/>
          <w:color w:val="auto"/>
        </w:rPr>
        <w:t>1、</w:t>
      </w:r>
      <w:r>
        <w:rPr>
          <w:color w:val="auto"/>
        </w:rPr>
        <w:t>2020年7月9日，金桂浆纸收到钦州市生态环境局下达的《钦州市生态环境局关于责令广西金桂浆纸业有限公司限期整改污染源自动监控设施比对不合格问题的通知书》（钦环责改字〔2020〕53号），主要原因是根据2020年6月24日广西壮族自治区环境保护科学研究院环境分析测试中心出具的《监测报告》（环科测字（气）〔2020〕第69号），金桂浆纸1#动力锅炉排放口的颗粒物指标比对结果不合格；碱回收炉排放口氮氧化物指标比对结果不合格。钦州市生态环境局责令10天内调试好废气在线自动监控设施，并将二次比对监测结果报钦州市生态环境局。</w:t>
      </w:r>
    </w:p>
    <w:p w14:paraId="5772C81D">
      <w:pPr>
        <w:ind w:firstLine="480"/>
        <w:rPr>
          <w:color w:val="auto"/>
        </w:rPr>
      </w:pPr>
      <w:r>
        <w:rPr>
          <w:color w:val="auto"/>
        </w:rPr>
        <w:t>整改情况：金桂浆纸收到通知书后，立即组织生产部门、工务部门和在线监测运维商检讨分析并商议整改事项。2020年7月15日，运维商工作人员到现场对废气在线自动监控设施进行调试，并请广西合创检测技术有限公司工作人员到现场采样废气分析1#动力锅炉粉尘和碱回收炉氮氧化物的浓度做比对监测。根据比对监测报告，经调试后，1#动力锅炉粉尘和碱回收炉氮氧化物的比对结果均合格。同时2020年1月17日金桂浆纸将《污染源自行监控设施比对不合格整改情况报告》报送钦州市生态环境局。</w:t>
      </w:r>
    </w:p>
    <w:p w14:paraId="6973D713">
      <w:pPr>
        <w:ind w:firstLine="480"/>
        <w:rPr>
          <w:color w:val="auto"/>
        </w:rPr>
      </w:pPr>
      <w:r>
        <w:rPr>
          <w:rFonts w:hint="eastAsia"/>
          <w:color w:val="auto"/>
        </w:rPr>
        <w:t>2、</w:t>
      </w:r>
      <w:r>
        <w:rPr>
          <w:color w:val="auto"/>
        </w:rPr>
        <w:t>企业在2020年12月1日和2020年12月16日对过氧化氢车间试车期间发生噪声投诉，在2021年3月24日、2021年4月4日、2021年4月9日、2021年4月16日发生了4起过氧化氢车间臭气投诉。</w:t>
      </w:r>
    </w:p>
    <w:p w14:paraId="1C0EEC3D">
      <w:pPr>
        <w:ind w:firstLine="480"/>
        <w:rPr>
          <w:color w:val="auto"/>
        </w:rPr>
      </w:pPr>
      <w:r>
        <w:rPr>
          <w:color w:val="auto"/>
        </w:rPr>
        <w:t>整改情况：根据噪声投诉情况金桂浆纸立即对厂区进行核查，主要为循环冷却水塔、过氧化氢项目三四楼生产设备产生的噪声，立即组织设计，并在过氧化氢设备楼三四楼南侧、东侧安装轻钢结构+轻质复合结构吸隔声墙体，在冷却塔组进风口位置安装进风消声器，配置钢结构框架、设置吸声屏障等并将处置情况汇报钦州市生态环境局</w:t>
      </w:r>
      <w:r>
        <w:rPr>
          <w:color w:val="auto"/>
          <w:spacing w:val="-4"/>
        </w:rPr>
        <w:t>。</w:t>
      </w:r>
    </w:p>
    <w:p w14:paraId="0389AF10">
      <w:pPr>
        <w:ind w:firstLine="480"/>
        <w:rPr>
          <w:color w:val="auto"/>
        </w:rPr>
      </w:pPr>
      <w:r>
        <w:rPr>
          <w:color w:val="auto"/>
        </w:rPr>
        <w:t>根据臭气投诉情况金桂浆纸立即查找问题，臭气的产生主要为应急池清洗水所产生的气味，主要为双氧水工作液与硫酸亚铁反应产生的气味，反应塔管道、法兰垫片渗漏产生的臭气等，接到投诉后立即将应急清洗水抽至高级氧化池进行处置，并将处置汇报钦州市生态环境局。</w:t>
      </w:r>
    </w:p>
    <w:p w14:paraId="540DB68D">
      <w:pPr>
        <w:ind w:firstLine="480"/>
        <w:rPr>
          <w:color w:val="auto"/>
        </w:rPr>
      </w:pPr>
      <w:r>
        <w:rPr>
          <w:color w:val="auto"/>
        </w:rPr>
        <w:t>各项整改完成后，金桂浆纸委托广西绿保环境监测有限公司对双氧水车间无组织排放的废气及噪声进行监测，监测结果表明噪声和无组织废气的排放均符合排放标准限值要求</w:t>
      </w:r>
      <w:r>
        <w:rPr>
          <w:color w:val="auto"/>
          <w:spacing w:val="-5"/>
        </w:rPr>
        <w:t>。</w:t>
      </w:r>
    </w:p>
    <w:p w14:paraId="383B1552">
      <w:pPr>
        <w:pStyle w:val="3"/>
        <w:rPr>
          <w:color w:val="auto"/>
        </w:rPr>
      </w:pPr>
      <w:bookmarkStart w:id="177" w:name="_Toc225216686"/>
      <w:bookmarkStart w:id="178" w:name="_Toc221355708"/>
      <w:r>
        <w:rPr>
          <w:rFonts w:hint="eastAsia"/>
          <w:color w:val="auto"/>
        </w:rPr>
        <w:t>现有工程存在的环境问题及整改措施</w:t>
      </w:r>
      <w:bookmarkEnd w:id="177"/>
    </w:p>
    <w:p w14:paraId="4DADB5A4">
      <w:pPr>
        <w:pStyle w:val="4"/>
        <w:rPr>
          <w:color w:val="auto"/>
        </w:rPr>
      </w:pPr>
      <w:bookmarkStart w:id="179" w:name="_Toc225216687"/>
      <w:r>
        <w:rPr>
          <w:rFonts w:hint="eastAsia"/>
          <w:color w:val="auto"/>
        </w:rPr>
        <w:t>淋膜纸生产线废气处理</w:t>
      </w:r>
      <w:bookmarkEnd w:id="179"/>
    </w:p>
    <w:p w14:paraId="19E29D98">
      <w:pPr>
        <w:ind w:firstLine="480"/>
        <w:rPr>
          <w:color w:val="auto"/>
        </w:rPr>
      </w:pPr>
      <w:r>
        <w:rPr>
          <w:rFonts w:hint="eastAsia"/>
          <w:color w:val="auto"/>
        </w:rPr>
        <w:t>淋膜纸生产线目前已经建成废气收集系统，收集后通过4根排气筒屋顶排放。根据现有监测结果，正常生产情况下，非甲烷总烃排放浓度满足《大气污染物综合排放标准》（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限值，但是废气未经处理排放，不符合《挥发性有机物（VOCs）污染防治技术政策》中：含VOCs产品的使用过程中，应采取废气收集措施，提高废气收集效率，减少废气的无组织排放与逸散，并对收集后的废气进行回收或处理后达标排放。本次项目建设淋膜纸生产线废气新增活性炭吸附装置，新增1根18m高排气筒，内径0.8m。</w:t>
      </w:r>
    </w:p>
    <w:p w14:paraId="73AD7CA5">
      <w:pPr>
        <w:pStyle w:val="4"/>
        <w:rPr>
          <w:color w:val="auto"/>
        </w:rPr>
      </w:pPr>
      <w:bookmarkStart w:id="180" w:name="_Toc225216688"/>
      <w:r>
        <w:rPr>
          <w:rFonts w:hint="eastAsia"/>
          <w:color w:val="auto"/>
        </w:rPr>
        <w:t>污水处理系统</w:t>
      </w:r>
      <w:bookmarkEnd w:id="180"/>
    </w:p>
    <w:p w14:paraId="7F2D95D8">
      <w:pPr>
        <w:widowControl/>
        <w:ind w:firstLine="480"/>
        <w:jc w:val="left"/>
        <w:rPr>
          <w:color w:val="auto"/>
          <w:kern w:val="0"/>
          <w:lang w:bidi="ar"/>
        </w:rPr>
      </w:pPr>
      <w:r>
        <w:rPr>
          <w:rFonts w:hint="eastAsia"/>
          <w:color w:val="auto"/>
        </w:rPr>
        <w:t>1#污水处理站已连续运营15年，存在一定的设备老化问题。根据运行情况分析，在设计处理能力运行情况下，污水处理站不能实现稳定达标排放。</w:t>
      </w:r>
      <w:r>
        <w:rPr>
          <w:rFonts w:hint="eastAsia"/>
          <w:color w:val="auto"/>
          <w:kern w:val="0"/>
          <w:lang w:bidi="ar"/>
        </w:rPr>
        <w:t>1#污水处理站目前仅收集污泥系统臭气，未对污水池臭气进行收集处理，污水池恶臭气体以无组织形式外排。</w:t>
      </w:r>
    </w:p>
    <w:p w14:paraId="06FF587E">
      <w:pPr>
        <w:widowControl/>
        <w:ind w:firstLine="480"/>
        <w:jc w:val="left"/>
        <w:rPr>
          <w:color w:val="auto"/>
          <w:kern w:val="0"/>
          <w:lang w:bidi="ar"/>
        </w:rPr>
      </w:pPr>
      <w:r>
        <w:rPr>
          <w:rFonts w:hint="eastAsia"/>
          <w:color w:val="auto"/>
        </w:rPr>
        <w:t>企业正在建设</w:t>
      </w:r>
      <w:r>
        <w:rPr>
          <w:color w:val="auto"/>
        </w:rPr>
        <w:t>广西金桂浆纸业有限公司污水处理站绿色升级改造项目</w:t>
      </w:r>
      <w:r>
        <w:rPr>
          <w:rFonts w:hint="eastAsia"/>
          <w:color w:val="auto"/>
        </w:rPr>
        <w:t>，该项目</w:t>
      </w:r>
      <w:r>
        <w:rPr>
          <w:color w:val="auto"/>
          <w:kern w:val="0"/>
          <w:lang w:bidi="ar"/>
        </w:rPr>
        <w:t>新建一套</w:t>
      </w:r>
      <w:r>
        <w:rPr>
          <w:rFonts w:hint="eastAsia"/>
          <w:color w:val="auto"/>
          <w:kern w:val="0"/>
          <w:lang w:bidi="ar"/>
        </w:rPr>
        <w:t>污水处理系统</w:t>
      </w:r>
      <w:r>
        <w:rPr>
          <w:color w:val="auto"/>
          <w:kern w:val="0"/>
          <w:lang w:bidi="ar"/>
        </w:rPr>
        <w:t>，设计处理水量21000m</w:t>
      </w:r>
      <w:r>
        <w:rPr>
          <w:color w:val="auto"/>
          <w:kern w:val="0"/>
          <w:vertAlign w:val="superscript"/>
          <w:lang w:bidi="ar"/>
        </w:rPr>
        <w:t>3</w:t>
      </w:r>
      <w:r>
        <w:rPr>
          <w:color w:val="auto"/>
          <w:kern w:val="0"/>
          <w:lang w:bidi="ar"/>
        </w:rPr>
        <w:t>/d，接收现有厂区生产生活废水，减少现有污水处理站处理</w:t>
      </w:r>
      <w:r>
        <w:rPr>
          <w:rFonts w:hint="eastAsia"/>
          <w:color w:val="auto"/>
          <w:kern w:val="0"/>
          <w:lang w:bidi="ar"/>
        </w:rPr>
        <w:t>负荷</w:t>
      </w:r>
      <w:r>
        <w:rPr>
          <w:color w:val="auto"/>
          <w:kern w:val="0"/>
          <w:lang w:bidi="ar"/>
        </w:rPr>
        <w:t>，提高出水水质稳定性</w:t>
      </w:r>
      <w:r>
        <w:rPr>
          <w:rFonts w:hint="eastAsia"/>
          <w:color w:val="auto"/>
          <w:kern w:val="0"/>
          <w:lang w:bidi="ar"/>
        </w:rPr>
        <w:t>；</w:t>
      </w:r>
      <w:r>
        <w:rPr>
          <w:color w:val="auto"/>
          <w:kern w:val="0"/>
          <w:lang w:bidi="ar"/>
        </w:rPr>
        <w:t>对4组SBR池进水管和曝气系统进行改造，提高COD处理效率</w:t>
      </w:r>
      <w:r>
        <w:rPr>
          <w:rFonts w:hint="eastAsia"/>
          <w:color w:val="auto"/>
          <w:kern w:val="0"/>
          <w:lang w:bidi="ar"/>
        </w:rPr>
        <w:t>；对各污水池均进行加盖/密闭处理，各池子利用抽风系统将臭气进行收集，与污泥系统收集的臭气一起经现有1#污水处理站配套的碱洗设施进行除臭处理后，由现有15m高排气筒（DA013）排出。</w:t>
      </w:r>
    </w:p>
    <w:p w14:paraId="14FB2C89">
      <w:pPr>
        <w:widowControl/>
        <w:ind w:firstLine="480"/>
        <w:jc w:val="left"/>
        <w:rPr>
          <w:color w:val="auto"/>
          <w:kern w:val="0"/>
          <w:lang w:bidi="ar"/>
        </w:rPr>
      </w:pPr>
      <w:r>
        <w:rPr>
          <w:rFonts w:hint="eastAsia"/>
          <w:color w:val="auto"/>
          <w:kern w:val="0"/>
          <w:lang w:bidi="ar"/>
        </w:rPr>
        <w:t>同时，本项目新建一座</w:t>
      </w:r>
      <w:r>
        <w:rPr>
          <w:color w:val="auto"/>
          <w:kern w:val="0"/>
          <w:lang w:bidi="ar"/>
        </w:rPr>
        <w:t>2</w:t>
      </w:r>
      <w:r>
        <w:rPr>
          <w:rFonts w:hint="eastAsia"/>
          <w:color w:val="auto"/>
          <w:kern w:val="0"/>
          <w:lang w:bidi="ar"/>
        </w:rPr>
        <w:t>0</w:t>
      </w:r>
      <w:r>
        <w:rPr>
          <w:color w:val="auto"/>
          <w:kern w:val="0"/>
          <w:lang w:bidi="ar"/>
        </w:rPr>
        <w:t>000m</w:t>
      </w:r>
      <w:r>
        <w:rPr>
          <w:color w:val="auto"/>
          <w:kern w:val="0"/>
          <w:vertAlign w:val="superscript"/>
          <w:lang w:bidi="ar"/>
        </w:rPr>
        <w:t>3</w:t>
      </w:r>
      <w:r>
        <w:rPr>
          <w:color w:val="auto"/>
          <w:kern w:val="0"/>
          <w:lang w:bidi="ar"/>
        </w:rPr>
        <w:t>/d</w:t>
      </w:r>
      <w:r>
        <w:rPr>
          <w:rFonts w:hint="eastAsia"/>
          <w:color w:val="auto"/>
          <w:kern w:val="0"/>
          <w:lang w:bidi="ar"/>
        </w:rPr>
        <w:t>的污水处理站，用于处理1#污水处理站部分废水，1#污水处理站总排放量60000m</w:t>
      </w:r>
      <w:r>
        <w:rPr>
          <w:rFonts w:hint="eastAsia"/>
          <w:color w:val="auto"/>
          <w:kern w:val="0"/>
          <w:vertAlign w:val="superscript"/>
          <w:lang w:bidi="ar"/>
        </w:rPr>
        <w:t>3</w:t>
      </w:r>
      <w:r>
        <w:rPr>
          <w:rFonts w:hint="eastAsia"/>
          <w:color w:val="auto"/>
          <w:kern w:val="0"/>
          <w:lang w:bidi="ar"/>
        </w:rPr>
        <w:t>/d不变。同时配套中水回用系统。</w:t>
      </w:r>
    </w:p>
    <w:p w14:paraId="74DC79A7">
      <w:pPr>
        <w:widowControl/>
        <w:ind w:firstLine="480"/>
        <w:jc w:val="left"/>
        <w:rPr>
          <w:color w:val="auto"/>
          <w:kern w:val="0"/>
          <w:lang w:bidi="ar"/>
        </w:rPr>
      </w:pPr>
      <w:r>
        <w:rPr>
          <w:rFonts w:hint="eastAsia"/>
          <w:color w:val="auto"/>
          <w:kern w:val="0"/>
          <w:lang w:bidi="ar"/>
        </w:rPr>
        <w:t>通过新增污水处理能力，降低</w:t>
      </w:r>
      <w:r>
        <w:rPr>
          <w:rFonts w:hint="eastAsia"/>
          <w:color w:val="auto"/>
        </w:rPr>
        <w:t>1#污水处理站工作负荷，确保达标排放。</w:t>
      </w:r>
    </w:p>
    <w:bookmarkEnd w:id="178"/>
    <w:p w14:paraId="22B08CCA">
      <w:pPr>
        <w:ind w:firstLine="480"/>
        <w:rPr>
          <w:color w:val="auto"/>
        </w:rPr>
      </w:pPr>
    </w:p>
    <w:p w14:paraId="4F1FB1DD">
      <w:pPr>
        <w:ind w:firstLine="480"/>
        <w:rPr>
          <w:color w:val="auto"/>
        </w:rPr>
        <w:sectPr>
          <w:headerReference r:id="rId24" w:type="default"/>
          <w:footerReference r:id="rId25" w:type="default"/>
          <w:pgSz w:w="11906" w:h="16838"/>
          <w:pgMar w:top="1418" w:right="1418" w:bottom="1418" w:left="1418" w:header="851" w:footer="992" w:gutter="0"/>
          <w:pgNumType w:fmt="numberInDash"/>
          <w:cols w:space="425" w:num="1"/>
          <w:docGrid w:type="lines" w:linePitch="326" w:charSpace="0"/>
        </w:sectPr>
      </w:pPr>
    </w:p>
    <w:p w14:paraId="7E23FEF3">
      <w:pPr>
        <w:pStyle w:val="2"/>
        <w:rPr>
          <w:color w:val="auto"/>
        </w:rPr>
      </w:pPr>
      <w:bookmarkStart w:id="181" w:name="bookmark23"/>
      <w:bookmarkEnd w:id="181"/>
      <w:bookmarkStart w:id="182" w:name="bookmark22"/>
      <w:bookmarkEnd w:id="182"/>
      <w:bookmarkStart w:id="183" w:name="_Toc225216689"/>
      <w:bookmarkStart w:id="184" w:name="_Toc221355709"/>
      <w:r>
        <w:rPr>
          <w:rFonts w:hint="eastAsia"/>
          <w:color w:val="auto"/>
        </w:rPr>
        <w:t>拟建项目工程分析</w:t>
      </w:r>
      <w:bookmarkEnd w:id="183"/>
      <w:bookmarkEnd w:id="184"/>
    </w:p>
    <w:p w14:paraId="5F7448EB">
      <w:pPr>
        <w:pStyle w:val="3"/>
        <w:rPr>
          <w:color w:val="auto"/>
        </w:rPr>
      </w:pPr>
      <w:bookmarkStart w:id="185" w:name="_Toc225216690"/>
      <w:bookmarkStart w:id="186" w:name="_Toc221355710"/>
      <w:r>
        <w:rPr>
          <w:rFonts w:hint="eastAsia"/>
          <w:color w:val="auto"/>
        </w:rPr>
        <w:t>拟建工程项目</w:t>
      </w:r>
      <w:r>
        <w:rPr>
          <w:color w:val="auto"/>
        </w:rPr>
        <w:t>概况</w:t>
      </w:r>
      <w:bookmarkEnd w:id="185"/>
      <w:bookmarkEnd w:id="186"/>
    </w:p>
    <w:p w14:paraId="0B1E50D1">
      <w:pPr>
        <w:pStyle w:val="4"/>
        <w:rPr>
          <w:color w:val="auto"/>
        </w:rPr>
      </w:pPr>
      <w:bookmarkStart w:id="187" w:name="_Toc225216691"/>
      <w:r>
        <w:rPr>
          <w:color w:val="auto"/>
        </w:rPr>
        <w:t>基本情况</w:t>
      </w:r>
      <w:bookmarkEnd w:id="187"/>
    </w:p>
    <w:p w14:paraId="171AF96F">
      <w:pPr>
        <w:ind w:firstLine="482"/>
        <w:rPr>
          <w:rFonts w:cs="Times New Roman"/>
          <w:color w:val="auto"/>
        </w:rPr>
      </w:pPr>
      <w:r>
        <w:rPr>
          <w:rFonts w:cs="Times New Roman"/>
          <w:b/>
          <w:color w:val="auto"/>
        </w:rPr>
        <w:t>（1）项目名称：</w:t>
      </w:r>
      <w:r>
        <w:rPr>
          <w:rFonts w:hint="eastAsia" w:cs="Times New Roman"/>
          <w:color w:val="auto"/>
        </w:rPr>
        <w:t>广西金桂浆纸业有限公司高档纸板车间绿色升级改造项目。</w:t>
      </w:r>
    </w:p>
    <w:p w14:paraId="00DFCD80">
      <w:pPr>
        <w:ind w:firstLine="482"/>
        <w:rPr>
          <w:rFonts w:cs="Times New Roman"/>
          <w:color w:val="auto"/>
        </w:rPr>
      </w:pPr>
      <w:r>
        <w:rPr>
          <w:rFonts w:cs="Times New Roman"/>
          <w:b/>
          <w:color w:val="auto"/>
        </w:rPr>
        <w:t>（2）项目性质：</w:t>
      </w:r>
      <w:r>
        <w:rPr>
          <w:rFonts w:hint="eastAsia" w:cs="Times New Roman"/>
          <w:color w:val="auto"/>
        </w:rPr>
        <w:t>改扩建</w:t>
      </w:r>
    </w:p>
    <w:p w14:paraId="24DB677E">
      <w:pPr>
        <w:ind w:firstLine="482"/>
        <w:rPr>
          <w:rFonts w:cs="Times New Roman"/>
          <w:color w:val="auto"/>
        </w:rPr>
      </w:pPr>
      <w:r>
        <w:rPr>
          <w:rFonts w:cs="Times New Roman"/>
          <w:b/>
          <w:color w:val="auto"/>
        </w:rPr>
        <w:t>（3）建设地点：</w:t>
      </w:r>
      <w:r>
        <w:rPr>
          <w:rFonts w:hint="eastAsia"/>
          <w:color w:val="auto"/>
        </w:rPr>
        <w:t>钦州市钦州港经济技术开发区金光工业园</w:t>
      </w:r>
      <w:r>
        <w:rPr>
          <w:rFonts w:hint="eastAsia" w:cs="Times New Roman"/>
          <w:color w:val="auto"/>
        </w:rPr>
        <w:t>广西金桂浆纸业有限公司现有1#造纸车间和2#造纸车间内</w:t>
      </w:r>
      <w:r>
        <w:rPr>
          <w:color w:val="auto"/>
        </w:rPr>
        <w:t>，</w:t>
      </w:r>
      <w:r>
        <w:rPr>
          <w:rFonts w:hint="eastAsia"/>
          <w:color w:val="auto"/>
        </w:rPr>
        <w:t>不新增土地。配套污水处理站位于现有二期污水处理站西侧，占地面积约30000m</w:t>
      </w:r>
      <w:r>
        <w:rPr>
          <w:rFonts w:hint="eastAsia"/>
          <w:color w:val="auto"/>
          <w:vertAlign w:val="superscript"/>
        </w:rPr>
        <w:t>2</w:t>
      </w:r>
      <w:r>
        <w:rPr>
          <w:rFonts w:hint="eastAsia"/>
          <w:color w:val="auto"/>
        </w:rPr>
        <w:t>。项目中心地理坐标北纬</w:t>
      </w:r>
      <w:r>
        <w:rPr>
          <w:color w:val="auto"/>
        </w:rPr>
        <w:t>21.72</w:t>
      </w:r>
      <w:r>
        <w:rPr>
          <w:rFonts w:hint="eastAsia"/>
          <w:color w:val="auto"/>
        </w:rPr>
        <w:t>1°，东经</w:t>
      </w:r>
      <w:r>
        <w:rPr>
          <w:color w:val="auto"/>
        </w:rPr>
        <w:t>108.69</w:t>
      </w:r>
      <w:r>
        <w:rPr>
          <w:rFonts w:hint="eastAsia"/>
          <w:color w:val="auto"/>
        </w:rPr>
        <w:t>1°，</w:t>
      </w:r>
      <w:r>
        <w:rPr>
          <w:color w:val="auto"/>
        </w:rPr>
        <w:t>具体地理位置见附图1。</w:t>
      </w:r>
    </w:p>
    <w:p w14:paraId="101E04E6">
      <w:pPr>
        <w:ind w:firstLine="482"/>
        <w:rPr>
          <w:rFonts w:cs="Times New Roman"/>
          <w:color w:val="auto"/>
        </w:rPr>
      </w:pPr>
      <w:r>
        <w:rPr>
          <w:rFonts w:cs="Times New Roman"/>
          <w:b/>
          <w:color w:val="auto"/>
        </w:rPr>
        <w:t>（4）建设单位：</w:t>
      </w:r>
      <w:r>
        <w:rPr>
          <w:rFonts w:hint="eastAsia" w:cs="Times New Roman"/>
          <w:color w:val="auto"/>
        </w:rPr>
        <w:t>广西金桂浆纸业有限公司</w:t>
      </w:r>
    </w:p>
    <w:p w14:paraId="07F32E56">
      <w:pPr>
        <w:ind w:firstLine="482"/>
        <w:rPr>
          <w:color w:val="auto"/>
        </w:rPr>
      </w:pPr>
      <w:r>
        <w:rPr>
          <w:b/>
          <w:bCs/>
          <w:color w:val="auto"/>
        </w:rPr>
        <w:t>（5）主要建设内容及规模：</w:t>
      </w:r>
      <w:r>
        <w:rPr>
          <w:rFonts w:hint="eastAsia"/>
          <w:color w:val="auto"/>
        </w:rPr>
        <w:t>本项目主要建设内容为：1#白卡纸车间改造内容主要为前干气罩通风技改增加2台风机、前干prorealeas真空技改增加2台风机、新增前干燥气罩排风、真空泵房新增汽水分离器罐克负泵、1-18#烘缸的双向稳定器改造、前干刮刀升级改造、CCK配方站系统升级、水环真空泵改透平机等。2#白卡纸车间改造内容主要为涂布工作站涂一螺杆泵改造升级、油站冷却系统升级改造、尾缸刮刀升级改造。整理车间改造内容主要为包括2#和3#小复卷夹头自动化升级改造、卷筒包装机自动上木塞头升级改造；新增令包机1台、小复卷机2台及卷筒包装机1台。废水处理站新增鼓风机房、斜网间及脱水机房。</w:t>
      </w:r>
    </w:p>
    <w:p w14:paraId="3FEA9220">
      <w:pPr>
        <w:ind w:firstLine="480"/>
        <w:rPr>
          <w:b/>
          <w:bCs/>
          <w:color w:val="auto"/>
        </w:rPr>
      </w:pPr>
      <w:r>
        <w:rPr>
          <w:rFonts w:hint="eastAsia"/>
          <w:color w:val="auto"/>
        </w:rPr>
        <w:t>通过增加部分设备和提升关键设备及系统性能，将2条白卡纸生产线产能从190万吨/年提升到300万吨/年，其中，1#白卡纸生产线产能从100万吨/年提升到150万吨/年，2#白卡纸生产线产能从90万吨/年提升到150万吨/年</w:t>
      </w:r>
      <w:r>
        <w:rPr>
          <w:rFonts w:hint="eastAsia"/>
          <w:bCs/>
          <w:color w:val="auto"/>
        </w:rPr>
        <w:t>。配套建设</w:t>
      </w:r>
      <w:r>
        <w:rPr>
          <w:bCs/>
          <w:color w:val="auto"/>
        </w:rPr>
        <w:t>一套2</w:t>
      </w:r>
      <w:r>
        <w:rPr>
          <w:rFonts w:hint="eastAsia"/>
          <w:bCs/>
          <w:color w:val="auto"/>
        </w:rPr>
        <w:t>0000m</w:t>
      </w:r>
      <w:r>
        <w:rPr>
          <w:rFonts w:hint="eastAsia"/>
          <w:bCs/>
          <w:color w:val="auto"/>
          <w:vertAlign w:val="superscript"/>
        </w:rPr>
        <w:t>3</w:t>
      </w:r>
      <w:r>
        <w:rPr>
          <w:bCs/>
          <w:color w:val="auto"/>
        </w:rPr>
        <w:t>/</w:t>
      </w:r>
      <w:r>
        <w:rPr>
          <w:rFonts w:hint="eastAsia"/>
          <w:bCs/>
          <w:color w:val="auto"/>
        </w:rPr>
        <w:t>d</w:t>
      </w:r>
      <w:r>
        <w:rPr>
          <w:bCs/>
          <w:color w:val="auto"/>
        </w:rPr>
        <w:t>的污水处理设施</w:t>
      </w:r>
      <w:r>
        <w:rPr>
          <w:rFonts w:hint="eastAsia"/>
          <w:bCs/>
          <w:color w:val="auto"/>
        </w:rPr>
        <w:t>（包含</w:t>
      </w:r>
      <w:r>
        <w:rPr>
          <w:bCs/>
          <w:color w:val="auto"/>
        </w:rPr>
        <w:t>末端增加5000</w:t>
      </w:r>
      <w:r>
        <w:rPr>
          <w:rFonts w:hint="eastAsia"/>
          <w:bCs/>
          <w:color w:val="auto"/>
        </w:rPr>
        <w:t>m</w:t>
      </w:r>
      <w:r>
        <w:rPr>
          <w:rFonts w:hint="eastAsia"/>
          <w:bCs/>
          <w:color w:val="auto"/>
          <w:vertAlign w:val="superscript"/>
        </w:rPr>
        <w:t>3</w:t>
      </w:r>
      <w:r>
        <w:rPr>
          <w:bCs/>
          <w:color w:val="auto"/>
        </w:rPr>
        <w:t>/</w:t>
      </w:r>
      <w:r>
        <w:rPr>
          <w:rFonts w:hint="eastAsia"/>
          <w:bCs/>
          <w:color w:val="auto"/>
        </w:rPr>
        <w:t>d</w:t>
      </w:r>
      <w:r>
        <w:rPr>
          <w:bCs/>
          <w:color w:val="auto"/>
        </w:rPr>
        <w:t>的中水回用工段</w:t>
      </w:r>
      <w:r>
        <w:rPr>
          <w:rFonts w:hint="eastAsia"/>
          <w:bCs/>
          <w:color w:val="auto"/>
        </w:rPr>
        <w:t>）。</w:t>
      </w:r>
      <w:r>
        <w:rPr>
          <w:rFonts w:hint="eastAsia"/>
          <w:color w:val="auto"/>
        </w:rPr>
        <w:t>淋膜纸生产线增加处理能力1.7万m</w:t>
      </w:r>
      <w:r>
        <w:rPr>
          <w:rFonts w:hint="eastAsia"/>
          <w:color w:val="auto"/>
          <w:vertAlign w:val="superscript"/>
        </w:rPr>
        <w:t>3</w:t>
      </w:r>
      <w:r>
        <w:rPr>
          <w:rFonts w:hint="eastAsia"/>
          <w:color w:val="auto"/>
        </w:rPr>
        <w:t>/h的活性炭吸附废气处理系统。</w:t>
      </w:r>
    </w:p>
    <w:p w14:paraId="4A18E07E">
      <w:pPr>
        <w:tabs>
          <w:tab w:val="left" w:pos="6090"/>
        </w:tabs>
        <w:ind w:firstLine="482"/>
        <w:rPr>
          <w:color w:val="auto"/>
        </w:rPr>
      </w:pPr>
      <w:r>
        <w:rPr>
          <w:b/>
          <w:bCs/>
          <w:color w:val="auto"/>
        </w:rPr>
        <w:t>（6）项目总投资</w:t>
      </w:r>
      <w:r>
        <w:rPr>
          <w:color w:val="auto"/>
        </w:rPr>
        <w:t>：</w:t>
      </w:r>
      <w:r>
        <w:rPr>
          <w:rFonts w:hint="eastAsia"/>
          <w:bCs/>
          <w:color w:val="auto"/>
        </w:rPr>
        <w:t>项目总投资</w:t>
      </w:r>
      <w:r>
        <w:rPr>
          <w:bCs/>
          <w:color w:val="auto"/>
        </w:rPr>
        <w:t>49510</w:t>
      </w:r>
      <w:r>
        <w:rPr>
          <w:rFonts w:hint="eastAsia"/>
          <w:bCs/>
          <w:color w:val="auto"/>
        </w:rPr>
        <w:t>万元，</w:t>
      </w:r>
      <w:r>
        <w:rPr>
          <w:rFonts w:hint="eastAsia"/>
          <w:color w:val="auto"/>
        </w:rPr>
        <w:t>环保投资22218万元，占比44.9</w:t>
      </w:r>
      <w:r>
        <w:rPr>
          <w:color w:val="auto"/>
        </w:rPr>
        <w:t>%</w:t>
      </w:r>
      <w:r>
        <w:rPr>
          <w:bCs/>
          <w:color w:val="auto"/>
        </w:rPr>
        <w:t>。</w:t>
      </w:r>
    </w:p>
    <w:p w14:paraId="376927AD">
      <w:pPr>
        <w:ind w:firstLine="482"/>
        <w:rPr>
          <w:color w:val="auto"/>
        </w:rPr>
      </w:pPr>
      <w:r>
        <w:rPr>
          <w:b/>
          <w:color w:val="auto"/>
        </w:rPr>
        <w:t>（7）项目建设周期</w:t>
      </w:r>
      <w:r>
        <w:rPr>
          <w:color w:val="auto"/>
        </w:rPr>
        <w:t>：</w:t>
      </w:r>
      <w:r>
        <w:rPr>
          <w:rFonts w:hint="eastAsia"/>
          <w:color w:val="auto"/>
        </w:rPr>
        <w:t>本项目</w:t>
      </w:r>
      <w:r>
        <w:rPr>
          <w:color w:val="auto"/>
        </w:rPr>
        <w:t>建设周期</w:t>
      </w:r>
      <w:r>
        <w:rPr>
          <w:rFonts w:hint="eastAsia"/>
          <w:color w:val="auto"/>
        </w:rPr>
        <w:t>18个月</w:t>
      </w:r>
      <w:r>
        <w:rPr>
          <w:color w:val="auto"/>
        </w:rPr>
        <w:t>。</w:t>
      </w:r>
    </w:p>
    <w:p w14:paraId="5823F2E2">
      <w:pPr>
        <w:ind w:firstLine="482"/>
        <w:rPr>
          <w:color w:val="auto"/>
        </w:rPr>
      </w:pPr>
      <w:r>
        <w:rPr>
          <w:b/>
          <w:bCs/>
          <w:color w:val="auto"/>
        </w:rPr>
        <w:t>（8）劳动定员及</w:t>
      </w:r>
      <w:r>
        <w:rPr>
          <w:b/>
          <w:color w:val="auto"/>
        </w:rPr>
        <w:t>生产制度</w:t>
      </w:r>
      <w:r>
        <w:rPr>
          <w:bCs/>
          <w:color w:val="auto"/>
        </w:rPr>
        <w:t>：</w:t>
      </w:r>
      <w:r>
        <w:rPr>
          <w:rFonts w:hint="eastAsia"/>
          <w:color w:val="auto"/>
        </w:rPr>
        <w:t>本项目劳动定员全部由现有员工调配，不新增劳动定员。</w:t>
      </w:r>
      <w:r>
        <w:rPr>
          <w:color w:val="auto"/>
        </w:rPr>
        <w:t>全年工作天数为340天，生产车间为四班三运转工作制，年工作8160h。</w:t>
      </w:r>
    </w:p>
    <w:p w14:paraId="4EBAA1D5">
      <w:pPr>
        <w:pStyle w:val="4"/>
        <w:rPr>
          <w:color w:val="auto"/>
        </w:rPr>
      </w:pPr>
      <w:bookmarkStart w:id="188" w:name="_Toc225216692"/>
      <w:r>
        <w:rPr>
          <w:rFonts w:hint="eastAsia"/>
          <w:color w:val="auto"/>
        </w:rPr>
        <w:t>项目建设内容</w:t>
      </w:r>
      <w:bookmarkEnd w:id="188"/>
    </w:p>
    <w:p w14:paraId="4DC30B1D">
      <w:pPr>
        <w:ind w:firstLine="480"/>
        <w:rPr>
          <w:color w:val="auto"/>
        </w:rPr>
      </w:pPr>
      <w:r>
        <w:rPr>
          <w:rFonts w:hint="eastAsia"/>
          <w:color w:val="auto"/>
        </w:rPr>
        <w:t>本项目主要涉及</w:t>
      </w:r>
      <w:r>
        <w:rPr>
          <w:color w:val="auto"/>
        </w:rPr>
        <w:t>1#</w:t>
      </w:r>
      <w:r>
        <w:rPr>
          <w:rFonts w:hint="eastAsia"/>
          <w:color w:val="auto"/>
        </w:rPr>
        <w:t>白卡纸生产线和</w:t>
      </w:r>
      <w:r>
        <w:rPr>
          <w:color w:val="auto"/>
        </w:rPr>
        <w:t>2#</w:t>
      </w:r>
      <w:r>
        <w:rPr>
          <w:rFonts w:hint="eastAsia"/>
          <w:color w:val="auto"/>
        </w:rPr>
        <w:t>白卡纸生产线。其中</w:t>
      </w:r>
      <w:r>
        <w:rPr>
          <w:color w:val="auto"/>
        </w:rPr>
        <w:t>1#</w:t>
      </w:r>
      <w:r>
        <w:rPr>
          <w:rFonts w:hint="eastAsia"/>
          <w:color w:val="auto"/>
        </w:rPr>
        <w:t>白卡纸生产线由广西金桂浆纸业有限公司年产</w:t>
      </w:r>
      <w:r>
        <w:rPr>
          <w:color w:val="auto"/>
        </w:rPr>
        <w:t>40</w:t>
      </w:r>
      <w:r>
        <w:rPr>
          <w:rFonts w:hint="eastAsia"/>
          <w:color w:val="auto"/>
        </w:rPr>
        <w:t>万吨高档纸板扩建工程建设；</w:t>
      </w:r>
      <w:r>
        <w:rPr>
          <w:color w:val="auto"/>
        </w:rPr>
        <w:t>2#</w:t>
      </w:r>
      <w:r>
        <w:rPr>
          <w:rFonts w:hint="eastAsia"/>
          <w:color w:val="auto"/>
        </w:rPr>
        <w:t>白卡纸生产线由广西金桂浆纸业有限公司年产</w:t>
      </w:r>
      <w:r>
        <w:rPr>
          <w:color w:val="auto"/>
        </w:rPr>
        <w:t>180</w:t>
      </w:r>
      <w:r>
        <w:rPr>
          <w:rFonts w:hint="eastAsia"/>
          <w:color w:val="auto"/>
        </w:rPr>
        <w:t>万吨高档纸板扩建项目建设，为该项目的1期工程，该项目2期工程尚未建设。</w:t>
      </w:r>
    </w:p>
    <w:p w14:paraId="50EECD20">
      <w:pPr>
        <w:ind w:firstLine="480"/>
        <w:rPr>
          <w:color w:val="auto"/>
        </w:rPr>
      </w:pPr>
      <w:r>
        <w:rPr>
          <w:rFonts w:hint="eastAsia"/>
          <w:color w:val="auto"/>
        </w:rPr>
        <w:t>现有2台白卡纸纸机分别由德国Voith和芬兰Valmet公司供货，其工艺和装备的技术水平为世界一流，自投产以来一直稳定高效运行，并具备技改提产的潜力。但同时也面临很多提产的瓶颈问题，比如：1#白卡纸生产线气罩通风不良，容易造成纸张粘缸、破洞断纸；稳定箱真空不足，纸张易破洞断纸；克负泵抽吸量不足，罐体内液位高，导致压部毛布脱水量不足，造成纸幅容易压烂断纸；刮刀夹断纸卡纸；施胶、涂布螺杆泵故障率高且流量不达标；涂布IR红外发射器故障率高；WMS断纸监测系统摄像头清晰度较低，不便于分析断纸原因并发现问题点；换卷压纸辊甩纸严重，碎纸飞到卷纸缸前面造成断破掉、打底不良导致母卷跑偏及断纸；卷取水针压力不稳定导致换卷切纸不稳定；2#白卡纸生产线干部润滑油站热交换器换热量不足；尾缸刮刀在引纸过程中易卡纸；整理车间2#、3#小复卷收卷部夹头为手动操作，换卷时间长；卷筒包装机木塞头为人工放置，耗费人力和时间；现有淋膜机、令包机、小复卷机，卷筒包装机产能已经饱和，已无法满足订单机生产要求等。这些瓶颈问题严重影响了纸机车速的提高，进而制约产能的提升。</w:t>
      </w:r>
    </w:p>
    <w:p w14:paraId="33CFDFC1">
      <w:pPr>
        <w:ind w:firstLine="480"/>
        <w:rPr>
          <w:color w:val="auto"/>
        </w:rPr>
      </w:pPr>
      <w:r>
        <w:rPr>
          <w:rFonts w:hint="eastAsia"/>
          <w:color w:val="auto"/>
        </w:rPr>
        <w:t>项目通过对纸机及相关辅助系统的改造，1#白卡纸生产线车速由1200m/min提高到1400m/min，2#白卡纸生产线车速由1100m/min提高到1350m/min，同时产品规格定量由250g/m</w:t>
      </w:r>
      <w:r>
        <w:rPr>
          <w:rFonts w:hint="eastAsia"/>
          <w:color w:val="auto"/>
          <w:vertAlign w:val="superscript"/>
        </w:rPr>
        <w:t>2</w:t>
      </w:r>
      <w:r>
        <w:rPr>
          <w:rFonts w:hint="eastAsia"/>
          <w:color w:val="auto"/>
        </w:rPr>
        <w:t>调整到290g/m</w:t>
      </w:r>
      <w:r>
        <w:rPr>
          <w:rFonts w:hint="eastAsia"/>
          <w:color w:val="auto"/>
          <w:vertAlign w:val="superscript"/>
        </w:rPr>
        <w:t>2</w:t>
      </w:r>
      <w:r>
        <w:rPr>
          <w:rFonts w:hint="eastAsia"/>
          <w:color w:val="auto"/>
        </w:rPr>
        <w:t>；最终使2条生产线的产能都达到150万吨/年，总产能达到300万吨/年；</w:t>
      </w:r>
      <w:r>
        <w:rPr>
          <w:rFonts w:hint="eastAsia"/>
          <w:bCs/>
          <w:color w:val="auto"/>
        </w:rPr>
        <w:t>配套建设</w:t>
      </w:r>
      <w:r>
        <w:rPr>
          <w:bCs/>
          <w:color w:val="auto"/>
        </w:rPr>
        <w:t>一套2万立方米/日的污水处理设施，末端增加5000立方米/日的中水回用工段</w:t>
      </w:r>
      <w:r>
        <w:rPr>
          <w:rFonts w:hint="eastAsia"/>
          <w:bCs/>
          <w:color w:val="auto"/>
        </w:rPr>
        <w:t>；</w:t>
      </w:r>
      <w:r>
        <w:rPr>
          <w:rFonts w:hint="eastAsia"/>
          <w:color w:val="auto"/>
        </w:rPr>
        <w:t>淋膜纸生产线增加废气处理系统。</w:t>
      </w:r>
    </w:p>
    <w:p w14:paraId="2E759A19">
      <w:pPr>
        <w:pStyle w:val="7"/>
        <w:rPr>
          <w:color w:val="auto"/>
        </w:rPr>
      </w:pPr>
      <w:r>
        <w:rPr>
          <w:rFonts w:hint="eastAsia"/>
          <w:color w:val="auto"/>
        </w:rPr>
        <w:t>项目组成表</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1" w:type="dxa"/>
          <w:left w:w="51" w:type="dxa"/>
          <w:bottom w:w="51" w:type="dxa"/>
          <w:right w:w="51" w:type="dxa"/>
        </w:tblCellMar>
      </w:tblPr>
      <w:tblGrid>
        <w:gridCol w:w="618"/>
        <w:gridCol w:w="937"/>
        <w:gridCol w:w="3260"/>
        <w:gridCol w:w="3685"/>
        <w:gridCol w:w="567"/>
      </w:tblGrid>
      <w:tr w14:paraId="6BB08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blHeader/>
        </w:trPr>
        <w:tc>
          <w:tcPr>
            <w:tcW w:w="1555" w:type="dxa"/>
            <w:gridSpan w:val="2"/>
            <w:vAlign w:val="center"/>
          </w:tcPr>
          <w:p w14:paraId="121B519A">
            <w:pPr>
              <w:pStyle w:val="33"/>
              <w:rPr>
                <w:color w:val="auto"/>
              </w:rPr>
            </w:pPr>
            <w:r>
              <w:rPr>
                <w:color w:val="auto"/>
              </w:rPr>
              <w:t>项目组成</w:t>
            </w:r>
          </w:p>
        </w:tc>
        <w:tc>
          <w:tcPr>
            <w:tcW w:w="3260" w:type="dxa"/>
            <w:vAlign w:val="center"/>
          </w:tcPr>
          <w:p w14:paraId="3D162D61">
            <w:pPr>
              <w:pStyle w:val="33"/>
              <w:rPr>
                <w:color w:val="auto"/>
              </w:rPr>
            </w:pPr>
            <w:r>
              <w:rPr>
                <w:color w:val="auto"/>
              </w:rPr>
              <w:t>工程内容</w:t>
            </w:r>
          </w:p>
        </w:tc>
        <w:tc>
          <w:tcPr>
            <w:tcW w:w="3685" w:type="dxa"/>
            <w:vAlign w:val="center"/>
          </w:tcPr>
          <w:p w14:paraId="16A8E367">
            <w:pPr>
              <w:pStyle w:val="33"/>
              <w:rPr>
                <w:color w:val="auto"/>
              </w:rPr>
            </w:pPr>
            <w:r>
              <w:rPr>
                <w:rFonts w:hint="eastAsia"/>
                <w:color w:val="auto"/>
              </w:rPr>
              <w:t>现有工程内容</w:t>
            </w:r>
          </w:p>
        </w:tc>
        <w:tc>
          <w:tcPr>
            <w:tcW w:w="567" w:type="dxa"/>
            <w:vAlign w:val="center"/>
          </w:tcPr>
          <w:p w14:paraId="16D7B111">
            <w:pPr>
              <w:pStyle w:val="33"/>
              <w:rPr>
                <w:color w:val="auto"/>
              </w:rPr>
            </w:pPr>
            <w:r>
              <w:rPr>
                <w:color w:val="auto"/>
              </w:rPr>
              <w:t>备注</w:t>
            </w:r>
          </w:p>
        </w:tc>
      </w:tr>
      <w:tr w14:paraId="23FED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restart"/>
            <w:vAlign w:val="center"/>
          </w:tcPr>
          <w:p w14:paraId="0C411A13">
            <w:pPr>
              <w:pStyle w:val="33"/>
              <w:rPr>
                <w:color w:val="auto"/>
              </w:rPr>
            </w:pPr>
            <w:r>
              <w:rPr>
                <w:color w:val="auto"/>
              </w:rPr>
              <w:t>主体</w:t>
            </w:r>
          </w:p>
          <w:p w14:paraId="3892014D">
            <w:pPr>
              <w:pStyle w:val="33"/>
              <w:rPr>
                <w:color w:val="auto"/>
              </w:rPr>
            </w:pPr>
            <w:r>
              <w:rPr>
                <w:color w:val="auto"/>
              </w:rPr>
              <w:t>工程</w:t>
            </w:r>
          </w:p>
        </w:tc>
        <w:tc>
          <w:tcPr>
            <w:tcW w:w="937" w:type="dxa"/>
            <w:vAlign w:val="center"/>
          </w:tcPr>
          <w:p w14:paraId="5448BBDE">
            <w:pPr>
              <w:pStyle w:val="33"/>
              <w:rPr>
                <w:color w:val="auto"/>
              </w:rPr>
            </w:pPr>
            <w:r>
              <w:rPr>
                <w:rFonts w:hint="eastAsia"/>
                <w:color w:val="auto"/>
              </w:rPr>
              <w:t>1#白卡纸生产线</w:t>
            </w:r>
          </w:p>
        </w:tc>
        <w:tc>
          <w:tcPr>
            <w:tcW w:w="3260" w:type="dxa"/>
            <w:vAlign w:val="center"/>
          </w:tcPr>
          <w:p w14:paraId="055C05C6">
            <w:pPr>
              <w:pStyle w:val="33"/>
              <w:jc w:val="both"/>
              <w:rPr>
                <w:color w:val="auto"/>
              </w:rPr>
            </w:pPr>
            <w:r>
              <w:rPr>
                <w:rFonts w:hint="eastAsia"/>
                <w:color w:val="auto"/>
              </w:rPr>
              <w:t>前干气罩通风技改，增加2台风机；提高前干proreaLeas真空技改，增加2台风机；新增前干燥气罩排风；真空泵房新增加7、8号汽水分离器罐克负泵；前干刮刀夹进行技改，减少前干断纸卡纸时间；施胶、涂布螺杆泵技改；涂布IR红外发射器后半部分改造升级；WMS断纸分析系统、WIS纸病检测系统升级；施胶、硬压引纸系统升级；涂布1新增E-COS过滤器；施胶工作站上、下辊回料各增加2台振动筛；卷取社会卡喷水封边改造；网部真空复合辊辊内增加双向喷淋及高压清洗水管喷淋改造；卷取新增换卷吹气系统，卷取换卷喷胶系统及水针系统技改升级；涂1-4食品卡旁通回路技改、喷嘴梁角度调节机构偏心轮技改；1-18#缸的双向稳定器改为“proreaLeas”双向稳定器；前干刮刀升级改造；CCK配方站系统升级；水环真空泵改透平机。建成后产能从100万吨/年提升到150万吨/年。</w:t>
            </w:r>
          </w:p>
        </w:tc>
        <w:tc>
          <w:tcPr>
            <w:tcW w:w="3685" w:type="dxa"/>
            <w:vAlign w:val="center"/>
          </w:tcPr>
          <w:p w14:paraId="1DC0E457">
            <w:pPr>
              <w:pStyle w:val="33"/>
              <w:jc w:val="both"/>
              <w:rPr>
                <w:color w:val="auto"/>
              </w:rPr>
            </w:pPr>
            <w:r>
              <w:rPr>
                <w:rFonts w:hint="eastAsia" w:eastAsiaTheme="minorEastAsia"/>
                <w:color w:val="auto"/>
                <w:spacing w:val="-3"/>
              </w:rPr>
              <w:t>1条</w:t>
            </w:r>
            <w:r>
              <w:rPr>
                <w:rFonts w:eastAsia="Times New Roman"/>
                <w:color w:val="auto"/>
                <w:spacing w:val="-3"/>
              </w:rPr>
              <w:t>100</w:t>
            </w:r>
            <w:r>
              <w:rPr>
                <w:color w:val="auto"/>
                <w:spacing w:val="-3"/>
              </w:rPr>
              <w:t>万</w:t>
            </w:r>
            <w:r>
              <w:rPr>
                <w:rFonts w:eastAsia="Times New Roman"/>
                <w:color w:val="auto"/>
                <w:spacing w:val="-3"/>
              </w:rPr>
              <w:t>t/a</w:t>
            </w:r>
            <w:r>
              <w:rPr>
                <w:color w:val="auto"/>
                <w:spacing w:val="-3"/>
              </w:rPr>
              <w:t>食品级白卡纸生产线，纸机幅宽</w:t>
            </w:r>
            <w:r>
              <w:rPr>
                <w:rFonts w:eastAsia="Times New Roman"/>
                <w:color w:val="auto"/>
                <w:spacing w:val="-4"/>
              </w:rPr>
              <w:t>8100mm</w:t>
            </w:r>
            <w:r>
              <w:rPr>
                <w:color w:val="auto"/>
                <w:spacing w:val="-4"/>
              </w:rPr>
              <w:t>，</w:t>
            </w:r>
            <w:r>
              <w:rPr>
                <w:rFonts w:eastAsia="Times New Roman"/>
                <w:color w:val="auto"/>
                <w:spacing w:val="-2"/>
              </w:rPr>
              <w:t>3529t/d</w:t>
            </w:r>
            <w:r>
              <w:rPr>
                <w:color w:val="auto"/>
                <w:spacing w:val="-2"/>
              </w:rPr>
              <w:t>，</w:t>
            </w:r>
            <w:r>
              <w:rPr>
                <w:rFonts w:hint="eastAsia"/>
                <w:color w:val="auto"/>
                <w:spacing w:val="-2"/>
              </w:rPr>
              <w:t>车速1200m/min，定量250g/m</w:t>
            </w:r>
            <w:r>
              <w:rPr>
                <w:rFonts w:hint="eastAsia"/>
                <w:color w:val="auto"/>
                <w:spacing w:val="-2"/>
                <w:vertAlign w:val="superscript"/>
              </w:rPr>
              <w:t>2</w:t>
            </w:r>
            <w:r>
              <w:rPr>
                <w:color w:val="auto"/>
                <w:spacing w:val="-2"/>
              </w:rPr>
              <w:t>。</w:t>
            </w:r>
          </w:p>
        </w:tc>
        <w:tc>
          <w:tcPr>
            <w:tcW w:w="567" w:type="dxa"/>
            <w:vAlign w:val="center"/>
          </w:tcPr>
          <w:p w14:paraId="36563367">
            <w:pPr>
              <w:pStyle w:val="33"/>
              <w:rPr>
                <w:color w:val="auto"/>
              </w:rPr>
            </w:pPr>
            <w:r>
              <w:rPr>
                <w:rFonts w:hint="eastAsia"/>
                <w:color w:val="auto"/>
              </w:rPr>
              <w:t>位于已建成的1#白卡纸车间内</w:t>
            </w:r>
          </w:p>
        </w:tc>
      </w:tr>
      <w:tr w14:paraId="2B49C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68A462DE">
            <w:pPr>
              <w:pStyle w:val="33"/>
              <w:rPr>
                <w:color w:val="auto"/>
              </w:rPr>
            </w:pPr>
          </w:p>
        </w:tc>
        <w:tc>
          <w:tcPr>
            <w:tcW w:w="937" w:type="dxa"/>
            <w:vAlign w:val="center"/>
          </w:tcPr>
          <w:p w14:paraId="0571BB30">
            <w:pPr>
              <w:pStyle w:val="33"/>
              <w:rPr>
                <w:color w:val="auto"/>
              </w:rPr>
            </w:pPr>
            <w:r>
              <w:rPr>
                <w:rFonts w:hint="eastAsia"/>
                <w:color w:val="auto"/>
              </w:rPr>
              <w:t>2#白卡纸生产线</w:t>
            </w:r>
          </w:p>
        </w:tc>
        <w:tc>
          <w:tcPr>
            <w:tcW w:w="3260" w:type="dxa"/>
            <w:vAlign w:val="center"/>
          </w:tcPr>
          <w:p w14:paraId="7726E06C">
            <w:pPr>
              <w:pStyle w:val="33"/>
              <w:jc w:val="both"/>
              <w:rPr>
                <w:color w:val="auto"/>
              </w:rPr>
            </w:pPr>
            <w:r>
              <w:rPr>
                <w:rFonts w:hint="eastAsia"/>
                <w:color w:val="auto"/>
              </w:rPr>
              <w:t>涂布工作站涂一螺杆泵改造升级；油站冷却系统升级改造；尾缸刮刀升级改。建成后产能从90万吨/年提升到150万吨/年。</w:t>
            </w:r>
          </w:p>
        </w:tc>
        <w:tc>
          <w:tcPr>
            <w:tcW w:w="3685" w:type="dxa"/>
            <w:vAlign w:val="center"/>
          </w:tcPr>
          <w:p w14:paraId="66A49BDE">
            <w:pPr>
              <w:pStyle w:val="33"/>
              <w:jc w:val="both"/>
              <w:rPr>
                <w:color w:val="auto"/>
              </w:rPr>
            </w:pPr>
            <w:r>
              <w:rPr>
                <w:rFonts w:hint="eastAsia" w:eastAsiaTheme="minorEastAsia"/>
                <w:color w:val="auto"/>
                <w:spacing w:val="-3"/>
              </w:rPr>
              <w:t>1条</w:t>
            </w:r>
            <w:r>
              <w:rPr>
                <w:rFonts w:eastAsia="Times New Roman"/>
                <w:color w:val="auto"/>
                <w:spacing w:val="-5"/>
              </w:rPr>
              <w:t>90</w:t>
            </w:r>
            <w:r>
              <w:rPr>
                <w:color w:val="auto"/>
                <w:spacing w:val="-5"/>
              </w:rPr>
              <w:t>万</w:t>
            </w:r>
            <w:r>
              <w:rPr>
                <w:rFonts w:eastAsia="Times New Roman"/>
                <w:color w:val="auto"/>
                <w:spacing w:val="-5"/>
              </w:rPr>
              <w:t>t/a</w:t>
            </w:r>
            <w:r>
              <w:rPr>
                <w:color w:val="auto"/>
                <w:spacing w:val="-5"/>
              </w:rPr>
              <w:t>高档社会卡纸生产线，纸机幅宽</w:t>
            </w:r>
            <w:r>
              <w:rPr>
                <w:rFonts w:eastAsia="Times New Roman"/>
                <w:color w:val="auto"/>
                <w:spacing w:val="-5"/>
              </w:rPr>
              <w:t>8100mm</w:t>
            </w:r>
            <w:r>
              <w:rPr>
                <w:color w:val="auto"/>
                <w:spacing w:val="-5"/>
              </w:rPr>
              <w:t>，工</w:t>
            </w:r>
            <w:r>
              <w:rPr>
                <w:color w:val="auto"/>
                <w:spacing w:val="-1"/>
              </w:rPr>
              <w:t>作车速</w:t>
            </w:r>
            <w:r>
              <w:rPr>
                <w:rFonts w:eastAsia="Times New Roman"/>
                <w:color w:val="auto"/>
                <w:spacing w:val="-1"/>
              </w:rPr>
              <w:t>1300m/min</w:t>
            </w:r>
            <w:r>
              <w:rPr>
                <w:color w:val="auto"/>
                <w:spacing w:val="-1"/>
              </w:rPr>
              <w:t>，设计结构车速</w:t>
            </w:r>
            <w:r>
              <w:rPr>
                <w:rFonts w:eastAsia="Times New Roman"/>
                <w:color w:val="auto"/>
                <w:spacing w:val="-1"/>
              </w:rPr>
              <w:t>1450m/min</w:t>
            </w:r>
            <w:r>
              <w:rPr>
                <w:color w:val="auto"/>
                <w:spacing w:val="-1"/>
              </w:rPr>
              <w:t>。定量</w:t>
            </w:r>
            <w:r>
              <w:rPr>
                <w:rFonts w:eastAsia="Times New Roman"/>
                <w:color w:val="auto"/>
                <w:spacing w:val="-1"/>
              </w:rPr>
              <w:t>190-</w:t>
            </w:r>
            <w:r>
              <w:rPr>
                <w:rFonts w:eastAsia="Times New Roman"/>
                <w:color w:val="auto"/>
                <w:spacing w:val="-2"/>
              </w:rPr>
              <w:t>300g/m</w:t>
            </w:r>
            <w:r>
              <w:rPr>
                <w:rFonts w:eastAsia="Times New Roman"/>
                <w:color w:val="auto"/>
                <w:spacing w:val="-2"/>
                <w:position w:val="7"/>
                <w:sz w:val="14"/>
                <w:szCs w:val="14"/>
              </w:rPr>
              <w:t>2</w:t>
            </w:r>
            <w:r>
              <w:rPr>
                <w:color w:val="auto"/>
                <w:spacing w:val="-2"/>
              </w:rPr>
              <w:t>。</w:t>
            </w:r>
          </w:p>
        </w:tc>
        <w:tc>
          <w:tcPr>
            <w:tcW w:w="567" w:type="dxa"/>
            <w:vAlign w:val="center"/>
          </w:tcPr>
          <w:p w14:paraId="297C9415">
            <w:pPr>
              <w:pStyle w:val="33"/>
              <w:rPr>
                <w:color w:val="auto"/>
              </w:rPr>
            </w:pPr>
            <w:r>
              <w:rPr>
                <w:rFonts w:hint="eastAsia"/>
                <w:color w:val="auto"/>
              </w:rPr>
              <w:t>位于已建成的2#白卡纸车间内</w:t>
            </w:r>
          </w:p>
        </w:tc>
      </w:tr>
      <w:tr w14:paraId="464A6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01D5E229">
            <w:pPr>
              <w:pStyle w:val="33"/>
              <w:rPr>
                <w:color w:val="auto"/>
              </w:rPr>
            </w:pPr>
          </w:p>
        </w:tc>
        <w:tc>
          <w:tcPr>
            <w:tcW w:w="937" w:type="dxa"/>
            <w:vAlign w:val="center"/>
          </w:tcPr>
          <w:p w14:paraId="0551F5BF">
            <w:pPr>
              <w:pStyle w:val="33"/>
              <w:rPr>
                <w:color w:val="auto"/>
              </w:rPr>
            </w:pPr>
            <w:r>
              <w:rPr>
                <w:rFonts w:hint="eastAsia"/>
                <w:color w:val="auto"/>
              </w:rPr>
              <w:t>整理车间</w:t>
            </w:r>
          </w:p>
        </w:tc>
        <w:tc>
          <w:tcPr>
            <w:tcW w:w="3260" w:type="dxa"/>
            <w:vAlign w:val="center"/>
          </w:tcPr>
          <w:p w14:paraId="344D525E">
            <w:pPr>
              <w:pStyle w:val="33"/>
              <w:jc w:val="both"/>
              <w:rPr>
                <w:color w:val="auto"/>
              </w:rPr>
            </w:pPr>
            <w:r>
              <w:rPr>
                <w:rFonts w:hint="eastAsia"/>
                <w:color w:val="auto"/>
              </w:rPr>
              <w:t>2#、3#小复卷夹头自动化升级改造；卷筒包装机自动上木塞头升级改造；新增令包机1台；新增小复卷机2台；新增卷筒包装机1台。</w:t>
            </w:r>
          </w:p>
        </w:tc>
        <w:tc>
          <w:tcPr>
            <w:tcW w:w="3685" w:type="dxa"/>
            <w:vAlign w:val="center"/>
          </w:tcPr>
          <w:p w14:paraId="6B4760FA">
            <w:pPr>
              <w:pStyle w:val="33"/>
              <w:jc w:val="both"/>
              <w:rPr>
                <w:color w:val="auto"/>
              </w:rPr>
            </w:pPr>
            <w:r>
              <w:rPr>
                <w:rFonts w:hint="eastAsia"/>
                <w:color w:val="auto"/>
                <w:szCs w:val="21"/>
              </w:rPr>
              <w:t>包括2套全自动包装机，占地面积4900m</w:t>
            </w:r>
            <w:r>
              <w:rPr>
                <w:rFonts w:hint="eastAsia"/>
                <w:color w:val="auto"/>
                <w:szCs w:val="21"/>
                <w:vertAlign w:val="superscript"/>
              </w:rPr>
              <w:t>2</w:t>
            </w:r>
            <w:r>
              <w:rPr>
                <w:rFonts w:hint="eastAsia"/>
                <w:color w:val="auto"/>
                <w:szCs w:val="21"/>
              </w:rPr>
              <w:t>，建筑面积9800m</w:t>
            </w:r>
            <w:r>
              <w:rPr>
                <w:rFonts w:hint="eastAsia"/>
                <w:color w:val="auto"/>
                <w:szCs w:val="21"/>
                <w:vertAlign w:val="superscript"/>
              </w:rPr>
              <w:t>2</w:t>
            </w:r>
          </w:p>
        </w:tc>
        <w:tc>
          <w:tcPr>
            <w:tcW w:w="567" w:type="dxa"/>
            <w:vAlign w:val="center"/>
          </w:tcPr>
          <w:p w14:paraId="155DB08A">
            <w:pPr>
              <w:pStyle w:val="33"/>
              <w:rPr>
                <w:color w:val="auto"/>
              </w:rPr>
            </w:pPr>
            <w:r>
              <w:rPr>
                <w:rFonts w:hint="eastAsia"/>
                <w:color w:val="auto"/>
              </w:rPr>
              <w:t>位于已建成的整理车间内</w:t>
            </w:r>
          </w:p>
        </w:tc>
      </w:tr>
      <w:tr w14:paraId="76877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3DE7A051">
            <w:pPr>
              <w:pStyle w:val="33"/>
              <w:rPr>
                <w:color w:val="auto"/>
              </w:rPr>
            </w:pPr>
          </w:p>
        </w:tc>
        <w:tc>
          <w:tcPr>
            <w:tcW w:w="937" w:type="dxa"/>
            <w:vAlign w:val="center"/>
          </w:tcPr>
          <w:p w14:paraId="79FE0B47">
            <w:pPr>
              <w:pStyle w:val="33"/>
              <w:rPr>
                <w:color w:val="auto"/>
              </w:rPr>
            </w:pPr>
            <w:r>
              <w:rPr>
                <w:rFonts w:hint="eastAsia"/>
                <w:color w:val="auto"/>
              </w:rPr>
              <w:t>1#备浆车间</w:t>
            </w:r>
          </w:p>
        </w:tc>
        <w:tc>
          <w:tcPr>
            <w:tcW w:w="6945" w:type="dxa"/>
            <w:gridSpan w:val="2"/>
            <w:vAlign w:val="center"/>
          </w:tcPr>
          <w:p w14:paraId="2C523AD4">
            <w:pPr>
              <w:pStyle w:val="33"/>
              <w:jc w:val="both"/>
              <w:rPr>
                <w:color w:val="auto"/>
              </w:rPr>
            </w:pPr>
            <w:r>
              <w:rPr>
                <w:rFonts w:hint="eastAsia"/>
                <w:color w:val="auto"/>
              </w:rPr>
              <w:t>建筑面积15611.15m</w:t>
            </w:r>
            <w:r>
              <w:rPr>
                <w:rFonts w:hint="eastAsia"/>
                <w:color w:val="auto"/>
                <w:vertAlign w:val="superscript"/>
              </w:rPr>
              <w:t>2</w:t>
            </w:r>
            <w:r>
              <w:rPr>
                <w:rFonts w:hint="eastAsia"/>
                <w:color w:val="auto"/>
              </w:rPr>
              <w:t>，用于备浆。</w:t>
            </w:r>
          </w:p>
          <w:p w14:paraId="44EED4E5">
            <w:pPr>
              <w:pStyle w:val="33"/>
              <w:jc w:val="both"/>
              <w:rPr>
                <w:color w:val="auto"/>
              </w:rPr>
            </w:pPr>
            <w:r>
              <w:rPr>
                <w:rFonts w:hint="eastAsia"/>
                <w:color w:val="auto"/>
              </w:rPr>
              <w:t>包括四条外购浆板处理线、一条自制湿浆处理线及一条损纸处理线，其中四条外购浆板处理线分别为：NBKP处理线370t/d、2条LBKP处理线2×800t/d、APMP处理线900t/d，自制湿浆处理线900t/d，损纸处理线500t/d。</w:t>
            </w:r>
          </w:p>
        </w:tc>
        <w:tc>
          <w:tcPr>
            <w:tcW w:w="567" w:type="dxa"/>
            <w:vAlign w:val="center"/>
          </w:tcPr>
          <w:p w14:paraId="01AD75A9">
            <w:pPr>
              <w:pStyle w:val="33"/>
              <w:rPr>
                <w:color w:val="auto"/>
              </w:rPr>
            </w:pPr>
            <w:r>
              <w:rPr>
                <w:rFonts w:hint="eastAsia"/>
                <w:color w:val="auto"/>
              </w:rPr>
              <w:t>依托现有设施</w:t>
            </w:r>
          </w:p>
        </w:tc>
      </w:tr>
      <w:tr w14:paraId="3C84A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5477BB84">
            <w:pPr>
              <w:pStyle w:val="33"/>
              <w:rPr>
                <w:color w:val="auto"/>
              </w:rPr>
            </w:pPr>
          </w:p>
        </w:tc>
        <w:tc>
          <w:tcPr>
            <w:tcW w:w="937" w:type="dxa"/>
            <w:vAlign w:val="center"/>
          </w:tcPr>
          <w:p w14:paraId="106190CC">
            <w:pPr>
              <w:pStyle w:val="33"/>
              <w:rPr>
                <w:color w:val="auto"/>
              </w:rPr>
            </w:pPr>
            <w:r>
              <w:rPr>
                <w:rFonts w:hint="eastAsia"/>
                <w:color w:val="auto"/>
              </w:rPr>
              <w:t>2#备浆车间</w:t>
            </w:r>
          </w:p>
        </w:tc>
        <w:tc>
          <w:tcPr>
            <w:tcW w:w="6945" w:type="dxa"/>
            <w:gridSpan w:val="2"/>
            <w:vAlign w:val="center"/>
          </w:tcPr>
          <w:p w14:paraId="5EBAC5AE">
            <w:pPr>
              <w:pStyle w:val="33"/>
              <w:jc w:val="both"/>
              <w:rPr>
                <w:color w:val="auto"/>
              </w:rPr>
            </w:pPr>
            <w:r>
              <w:rPr>
                <w:rFonts w:hint="eastAsia"/>
                <w:color w:val="auto"/>
              </w:rPr>
              <w:t>建筑面积7877.98m</w:t>
            </w:r>
            <w:r>
              <w:rPr>
                <w:rFonts w:hint="eastAsia"/>
                <w:color w:val="auto"/>
                <w:vertAlign w:val="superscript"/>
              </w:rPr>
              <w:t>2</w:t>
            </w:r>
            <w:r>
              <w:rPr>
                <w:rFonts w:hint="eastAsia"/>
                <w:color w:val="auto"/>
              </w:rPr>
              <w:t>，用于备浆。</w:t>
            </w:r>
          </w:p>
          <w:p w14:paraId="48522A7A">
            <w:pPr>
              <w:pStyle w:val="33"/>
              <w:jc w:val="both"/>
              <w:rPr>
                <w:color w:val="auto"/>
              </w:rPr>
            </w:pPr>
            <w:r>
              <w:rPr>
                <w:rFonts w:hint="eastAsia"/>
                <w:color w:val="auto"/>
              </w:rPr>
              <w:t>包括四条外购浆板处理线、一条自制湿浆处理线及一条损纸处理线，其中四条外购浆板处理线分别为：NBKP处理线370t/d、2条LBKP处理线2×800t/d、APMP处理线900t/d，自制湿浆处理线900t/d，损纸处理线500t/d。</w:t>
            </w:r>
          </w:p>
        </w:tc>
        <w:tc>
          <w:tcPr>
            <w:tcW w:w="567" w:type="dxa"/>
            <w:vAlign w:val="center"/>
          </w:tcPr>
          <w:p w14:paraId="38CA1B43">
            <w:pPr>
              <w:pStyle w:val="33"/>
              <w:rPr>
                <w:color w:val="auto"/>
              </w:rPr>
            </w:pPr>
            <w:r>
              <w:rPr>
                <w:rFonts w:hint="eastAsia"/>
                <w:color w:val="auto"/>
              </w:rPr>
              <w:t>依托现有设施</w:t>
            </w:r>
          </w:p>
        </w:tc>
      </w:tr>
      <w:tr w14:paraId="155A3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55A5A55A">
            <w:pPr>
              <w:pStyle w:val="33"/>
              <w:rPr>
                <w:color w:val="auto"/>
              </w:rPr>
            </w:pPr>
          </w:p>
        </w:tc>
        <w:tc>
          <w:tcPr>
            <w:tcW w:w="937" w:type="dxa"/>
            <w:vAlign w:val="center"/>
          </w:tcPr>
          <w:p w14:paraId="4EC542E3">
            <w:pPr>
              <w:pStyle w:val="33"/>
              <w:rPr>
                <w:color w:val="auto"/>
              </w:rPr>
            </w:pPr>
            <w:r>
              <w:rPr>
                <w:rFonts w:hint="eastAsia"/>
                <w:color w:val="auto"/>
              </w:rPr>
              <w:t>CK（涂料制备）车间</w:t>
            </w:r>
          </w:p>
        </w:tc>
        <w:tc>
          <w:tcPr>
            <w:tcW w:w="6945" w:type="dxa"/>
            <w:gridSpan w:val="2"/>
            <w:vAlign w:val="center"/>
          </w:tcPr>
          <w:p w14:paraId="5970A363">
            <w:pPr>
              <w:pStyle w:val="33"/>
              <w:jc w:val="both"/>
              <w:rPr>
                <w:color w:val="auto"/>
              </w:rPr>
            </w:pPr>
            <w:r>
              <w:rPr>
                <w:rFonts w:hint="eastAsia"/>
                <w:color w:val="auto"/>
              </w:rPr>
              <w:t>建筑面积17667.55m</w:t>
            </w:r>
            <w:r>
              <w:rPr>
                <w:rFonts w:hint="eastAsia"/>
                <w:color w:val="auto"/>
                <w:vertAlign w:val="superscript"/>
              </w:rPr>
              <w:t>2</w:t>
            </w:r>
            <w:r>
              <w:rPr>
                <w:rFonts w:hint="eastAsia"/>
                <w:color w:val="auto"/>
              </w:rPr>
              <w:t>，用于涂料制备。</w:t>
            </w:r>
          </w:p>
        </w:tc>
        <w:tc>
          <w:tcPr>
            <w:tcW w:w="567" w:type="dxa"/>
            <w:vAlign w:val="center"/>
          </w:tcPr>
          <w:p w14:paraId="2BB33738">
            <w:pPr>
              <w:pStyle w:val="33"/>
              <w:rPr>
                <w:color w:val="auto"/>
              </w:rPr>
            </w:pPr>
            <w:r>
              <w:rPr>
                <w:rFonts w:hint="eastAsia"/>
                <w:color w:val="auto"/>
              </w:rPr>
              <w:t>依托现有设施</w:t>
            </w:r>
          </w:p>
        </w:tc>
      </w:tr>
      <w:tr w14:paraId="01DA8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Align w:val="center"/>
          </w:tcPr>
          <w:p w14:paraId="734C3151">
            <w:pPr>
              <w:pStyle w:val="33"/>
              <w:rPr>
                <w:color w:val="auto"/>
              </w:rPr>
            </w:pPr>
            <w:r>
              <w:rPr>
                <w:rFonts w:hint="eastAsia"/>
                <w:color w:val="auto"/>
              </w:rPr>
              <w:t>辅助工程</w:t>
            </w:r>
          </w:p>
        </w:tc>
        <w:tc>
          <w:tcPr>
            <w:tcW w:w="937" w:type="dxa"/>
            <w:vAlign w:val="center"/>
          </w:tcPr>
          <w:p w14:paraId="4D0CE670">
            <w:pPr>
              <w:pStyle w:val="33"/>
              <w:rPr>
                <w:color w:val="auto"/>
              </w:rPr>
            </w:pPr>
            <w:r>
              <w:rPr>
                <w:color w:val="auto"/>
                <w:spacing w:val="-3"/>
              </w:rPr>
              <w:t>压缩空气</w:t>
            </w:r>
            <w:r>
              <w:rPr>
                <w:color w:val="auto"/>
              </w:rPr>
              <w:t>站</w:t>
            </w:r>
          </w:p>
        </w:tc>
        <w:tc>
          <w:tcPr>
            <w:tcW w:w="6945" w:type="dxa"/>
            <w:gridSpan w:val="2"/>
            <w:vAlign w:val="center"/>
          </w:tcPr>
          <w:p w14:paraId="66A03F77">
            <w:pPr>
              <w:pStyle w:val="33"/>
              <w:jc w:val="both"/>
              <w:rPr>
                <w:color w:val="auto"/>
              </w:rPr>
            </w:pPr>
            <w:r>
              <w:rPr>
                <w:rFonts w:eastAsia="Times New Roman"/>
                <w:color w:val="auto"/>
                <w:spacing w:val="-2"/>
              </w:rPr>
              <w:t>0.7-0.8Mpa</w:t>
            </w:r>
            <w:r>
              <w:rPr>
                <w:color w:val="auto"/>
                <w:spacing w:val="-2"/>
              </w:rPr>
              <w:t>，</w:t>
            </w:r>
            <w:r>
              <w:rPr>
                <w:rFonts w:eastAsia="Times New Roman"/>
                <w:color w:val="auto"/>
                <w:spacing w:val="-2"/>
              </w:rPr>
              <w:t>400m</w:t>
            </w:r>
            <w:r>
              <w:rPr>
                <w:rFonts w:eastAsia="Times New Roman"/>
                <w:color w:val="auto"/>
                <w:spacing w:val="-2"/>
                <w:position w:val="7"/>
                <w:sz w:val="14"/>
                <w:szCs w:val="14"/>
              </w:rPr>
              <w:t>3</w:t>
            </w:r>
            <w:r>
              <w:rPr>
                <w:rFonts w:eastAsia="Times New Roman"/>
                <w:color w:val="auto"/>
                <w:spacing w:val="-2"/>
              </w:rPr>
              <w:t>/min</w:t>
            </w:r>
            <w:r>
              <w:rPr>
                <w:color w:val="auto"/>
                <w:spacing w:val="-2"/>
              </w:rPr>
              <w:t>。</w:t>
            </w:r>
          </w:p>
        </w:tc>
        <w:tc>
          <w:tcPr>
            <w:tcW w:w="567" w:type="dxa"/>
            <w:vAlign w:val="center"/>
          </w:tcPr>
          <w:p w14:paraId="7A5DF705">
            <w:pPr>
              <w:pStyle w:val="33"/>
              <w:rPr>
                <w:color w:val="auto"/>
              </w:rPr>
            </w:pPr>
            <w:r>
              <w:rPr>
                <w:rFonts w:hint="eastAsia"/>
                <w:color w:val="auto"/>
              </w:rPr>
              <w:t>依托现有</w:t>
            </w:r>
          </w:p>
        </w:tc>
      </w:tr>
      <w:tr w14:paraId="2A2B3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restart"/>
            <w:vAlign w:val="center"/>
          </w:tcPr>
          <w:p w14:paraId="77B91AF4">
            <w:pPr>
              <w:pStyle w:val="33"/>
              <w:rPr>
                <w:color w:val="auto"/>
              </w:rPr>
            </w:pPr>
            <w:r>
              <w:rPr>
                <w:color w:val="auto"/>
              </w:rPr>
              <w:t>公用</w:t>
            </w:r>
          </w:p>
          <w:p w14:paraId="134C0937">
            <w:pPr>
              <w:pStyle w:val="33"/>
              <w:rPr>
                <w:color w:val="auto"/>
              </w:rPr>
            </w:pPr>
            <w:r>
              <w:rPr>
                <w:color w:val="auto"/>
              </w:rPr>
              <w:t>工程</w:t>
            </w:r>
          </w:p>
        </w:tc>
        <w:tc>
          <w:tcPr>
            <w:tcW w:w="937" w:type="dxa"/>
            <w:vAlign w:val="center"/>
          </w:tcPr>
          <w:p w14:paraId="670A4D88">
            <w:pPr>
              <w:pStyle w:val="33"/>
              <w:rPr>
                <w:color w:val="auto"/>
              </w:rPr>
            </w:pPr>
            <w:r>
              <w:rPr>
                <w:color w:val="auto"/>
                <w:spacing w:val="-3"/>
                <w:szCs w:val="21"/>
              </w:rPr>
              <w:t>热电站</w:t>
            </w:r>
          </w:p>
        </w:tc>
        <w:tc>
          <w:tcPr>
            <w:tcW w:w="6945" w:type="dxa"/>
            <w:gridSpan w:val="2"/>
            <w:vAlign w:val="center"/>
          </w:tcPr>
          <w:p w14:paraId="528FBA87">
            <w:pPr>
              <w:pStyle w:val="33"/>
              <w:jc w:val="both"/>
              <w:rPr>
                <w:color w:val="auto"/>
                <w:szCs w:val="21"/>
              </w:rPr>
            </w:pPr>
            <w:r>
              <w:rPr>
                <w:rFonts w:eastAsia="Times New Roman"/>
                <w:color w:val="auto"/>
                <w:spacing w:val="-4"/>
                <w:szCs w:val="21"/>
              </w:rPr>
              <w:t>1#</w:t>
            </w:r>
            <w:r>
              <w:rPr>
                <w:color w:val="auto"/>
                <w:spacing w:val="-4"/>
                <w:szCs w:val="21"/>
              </w:rPr>
              <w:t>、</w:t>
            </w:r>
            <w:r>
              <w:rPr>
                <w:rFonts w:eastAsia="Times New Roman"/>
                <w:color w:val="auto"/>
                <w:spacing w:val="-4"/>
                <w:szCs w:val="21"/>
              </w:rPr>
              <w:t>2#670t/h</w:t>
            </w:r>
            <w:r>
              <w:rPr>
                <w:color w:val="auto"/>
                <w:spacing w:val="-4"/>
                <w:szCs w:val="21"/>
              </w:rPr>
              <w:t>循环流化床锅炉，配套</w:t>
            </w:r>
            <w:r>
              <w:rPr>
                <w:rFonts w:eastAsia="Times New Roman"/>
                <w:color w:val="auto"/>
                <w:spacing w:val="-4"/>
                <w:szCs w:val="21"/>
              </w:rPr>
              <w:t>2</w:t>
            </w:r>
            <w:r>
              <w:rPr>
                <w:color w:val="auto"/>
                <w:spacing w:val="-4"/>
                <w:szCs w:val="21"/>
              </w:rPr>
              <w:t>×</w:t>
            </w:r>
            <w:r>
              <w:rPr>
                <w:rFonts w:eastAsia="Times New Roman"/>
                <w:color w:val="auto"/>
                <w:spacing w:val="-4"/>
                <w:szCs w:val="21"/>
              </w:rPr>
              <w:t>150MW</w:t>
            </w:r>
            <w:r>
              <w:rPr>
                <w:color w:val="auto"/>
                <w:spacing w:val="-4"/>
                <w:szCs w:val="21"/>
              </w:rPr>
              <w:t>超高压抽</w:t>
            </w:r>
            <w:r>
              <w:rPr>
                <w:color w:val="auto"/>
                <w:spacing w:val="-1"/>
                <w:szCs w:val="21"/>
              </w:rPr>
              <w:t>凝式汽轮发电机组。锅炉烟气采用双室五电场静电除尘</w:t>
            </w:r>
            <w:r>
              <w:rPr>
                <w:color w:val="auto"/>
                <w:spacing w:val="1"/>
                <w:szCs w:val="21"/>
              </w:rPr>
              <w:t>器除尘、炉外石灰石</w:t>
            </w:r>
            <w:r>
              <w:rPr>
                <w:rFonts w:eastAsia="Times New Roman"/>
                <w:color w:val="auto"/>
                <w:spacing w:val="1"/>
                <w:szCs w:val="21"/>
              </w:rPr>
              <w:t>-</w:t>
            </w:r>
            <w:r>
              <w:rPr>
                <w:color w:val="auto"/>
                <w:spacing w:val="1"/>
                <w:szCs w:val="21"/>
              </w:rPr>
              <w:t>石膏湿法脱硫、低氮燃烧</w:t>
            </w:r>
            <w:r>
              <w:rPr>
                <w:rFonts w:eastAsia="Times New Roman"/>
                <w:color w:val="auto"/>
                <w:spacing w:val="1"/>
                <w:szCs w:val="21"/>
              </w:rPr>
              <w:t>+</w:t>
            </w:r>
            <w:r>
              <w:rPr>
                <w:rFonts w:eastAsia="Times New Roman"/>
                <w:color w:val="auto"/>
                <w:szCs w:val="21"/>
              </w:rPr>
              <w:t>SCR</w:t>
            </w:r>
            <w:r>
              <w:rPr>
                <w:color w:val="auto"/>
                <w:spacing w:val="1"/>
                <w:szCs w:val="21"/>
              </w:rPr>
              <w:t>脱</w:t>
            </w:r>
            <w:r>
              <w:rPr>
                <w:color w:val="auto"/>
                <w:spacing w:val="-1"/>
                <w:szCs w:val="21"/>
              </w:rPr>
              <w:t>硝，共用</w:t>
            </w:r>
            <w:r>
              <w:rPr>
                <w:rFonts w:eastAsia="Times New Roman"/>
                <w:color w:val="auto"/>
                <w:spacing w:val="-1"/>
                <w:szCs w:val="21"/>
              </w:rPr>
              <w:t>1</w:t>
            </w:r>
            <w:r>
              <w:rPr>
                <w:color w:val="auto"/>
                <w:spacing w:val="-1"/>
                <w:szCs w:val="21"/>
              </w:rPr>
              <w:t>根烟囱</w:t>
            </w:r>
            <w:r>
              <w:rPr>
                <w:rFonts w:eastAsia="Times New Roman"/>
                <w:color w:val="auto"/>
                <w:spacing w:val="-1"/>
                <w:szCs w:val="21"/>
              </w:rPr>
              <w:t>180mH×Ф6.44m</w:t>
            </w:r>
            <w:r>
              <w:rPr>
                <w:color w:val="auto"/>
                <w:spacing w:val="-1"/>
                <w:szCs w:val="21"/>
              </w:rPr>
              <w:t>。</w:t>
            </w:r>
          </w:p>
          <w:p w14:paraId="45381F8A">
            <w:pPr>
              <w:pStyle w:val="33"/>
              <w:jc w:val="both"/>
              <w:rPr>
                <w:color w:val="auto"/>
              </w:rPr>
            </w:pPr>
            <w:r>
              <w:rPr>
                <w:rFonts w:eastAsia="Times New Roman"/>
                <w:color w:val="auto"/>
                <w:szCs w:val="21"/>
              </w:rPr>
              <w:t>3#670t/h</w:t>
            </w:r>
            <w:r>
              <w:rPr>
                <w:color w:val="auto"/>
                <w:szCs w:val="21"/>
              </w:rPr>
              <w:t>循环流化床锅炉，配套</w:t>
            </w:r>
            <w:r>
              <w:rPr>
                <w:rFonts w:eastAsia="Times New Roman"/>
                <w:color w:val="auto"/>
                <w:szCs w:val="21"/>
              </w:rPr>
              <w:t>1</w:t>
            </w:r>
            <w:r>
              <w:rPr>
                <w:color w:val="auto"/>
                <w:szCs w:val="21"/>
              </w:rPr>
              <w:t>×</w:t>
            </w:r>
            <w:r>
              <w:rPr>
                <w:rFonts w:eastAsia="Times New Roman"/>
                <w:color w:val="auto"/>
                <w:szCs w:val="21"/>
              </w:rPr>
              <w:t>90MW</w:t>
            </w:r>
            <w:r>
              <w:rPr>
                <w:color w:val="auto"/>
                <w:szCs w:val="21"/>
              </w:rPr>
              <w:t>背压机组。锅</w:t>
            </w:r>
            <w:r>
              <w:rPr>
                <w:color w:val="auto"/>
                <w:spacing w:val="3"/>
                <w:szCs w:val="21"/>
              </w:rPr>
              <w:t>炉烟气采用高效静电除尘器</w:t>
            </w:r>
            <w:r>
              <w:rPr>
                <w:rFonts w:eastAsia="Times New Roman"/>
                <w:color w:val="auto"/>
                <w:spacing w:val="3"/>
                <w:szCs w:val="21"/>
              </w:rPr>
              <w:t>+</w:t>
            </w:r>
            <w:r>
              <w:rPr>
                <w:color w:val="auto"/>
                <w:spacing w:val="3"/>
                <w:szCs w:val="21"/>
              </w:rPr>
              <w:t>脱硫出口湿式静电除</w:t>
            </w:r>
            <w:r>
              <w:rPr>
                <w:color w:val="auto"/>
                <w:spacing w:val="2"/>
                <w:szCs w:val="21"/>
              </w:rPr>
              <w:t>尘器</w:t>
            </w:r>
            <w:r>
              <w:rPr>
                <w:color w:val="auto"/>
                <w:spacing w:val="-5"/>
                <w:szCs w:val="21"/>
              </w:rPr>
              <w:t>除尘、炉外石灰石</w:t>
            </w:r>
            <w:r>
              <w:rPr>
                <w:rFonts w:eastAsia="Times New Roman"/>
                <w:color w:val="auto"/>
                <w:spacing w:val="-5"/>
                <w:szCs w:val="21"/>
              </w:rPr>
              <w:t>-</w:t>
            </w:r>
            <w:r>
              <w:rPr>
                <w:color w:val="auto"/>
                <w:spacing w:val="-5"/>
                <w:szCs w:val="21"/>
              </w:rPr>
              <w:t>石膏湿法脱硫、低氮燃烧</w:t>
            </w:r>
            <w:r>
              <w:rPr>
                <w:rFonts w:eastAsia="Times New Roman"/>
                <w:color w:val="auto"/>
                <w:spacing w:val="-5"/>
                <w:szCs w:val="21"/>
              </w:rPr>
              <w:t>+SCR</w:t>
            </w:r>
            <w:r>
              <w:rPr>
                <w:color w:val="auto"/>
                <w:spacing w:val="-5"/>
                <w:szCs w:val="21"/>
              </w:rPr>
              <w:t>脱硝，</w:t>
            </w:r>
            <w:r>
              <w:rPr>
                <w:color w:val="auto"/>
                <w:spacing w:val="-1"/>
                <w:szCs w:val="21"/>
              </w:rPr>
              <w:t>配套</w:t>
            </w:r>
            <w:r>
              <w:rPr>
                <w:rFonts w:eastAsia="Times New Roman"/>
                <w:color w:val="auto"/>
                <w:spacing w:val="-1"/>
                <w:szCs w:val="21"/>
              </w:rPr>
              <w:t>120mH</w:t>
            </w:r>
            <w:r>
              <w:rPr>
                <w:color w:val="auto"/>
                <w:spacing w:val="-1"/>
                <w:szCs w:val="21"/>
              </w:rPr>
              <w:t>×</w:t>
            </w:r>
            <w:r>
              <w:rPr>
                <w:rFonts w:eastAsia="Times New Roman"/>
                <w:color w:val="auto"/>
                <w:spacing w:val="-1"/>
                <w:szCs w:val="21"/>
              </w:rPr>
              <w:t>Ф5.8m</w:t>
            </w:r>
            <w:r>
              <w:rPr>
                <w:color w:val="auto"/>
                <w:spacing w:val="-1"/>
                <w:szCs w:val="21"/>
              </w:rPr>
              <w:t>烟囱。</w:t>
            </w:r>
          </w:p>
        </w:tc>
        <w:tc>
          <w:tcPr>
            <w:tcW w:w="567" w:type="dxa"/>
            <w:vAlign w:val="center"/>
          </w:tcPr>
          <w:p w14:paraId="5E10160F">
            <w:pPr>
              <w:pStyle w:val="33"/>
              <w:rPr>
                <w:color w:val="auto"/>
              </w:rPr>
            </w:pPr>
            <w:r>
              <w:rPr>
                <w:rFonts w:hint="eastAsia"/>
                <w:color w:val="auto"/>
              </w:rPr>
              <w:t>依托现有</w:t>
            </w:r>
          </w:p>
        </w:tc>
      </w:tr>
      <w:tr w14:paraId="42DB3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5636F4DE">
            <w:pPr>
              <w:pStyle w:val="33"/>
              <w:rPr>
                <w:color w:val="auto"/>
              </w:rPr>
            </w:pPr>
          </w:p>
        </w:tc>
        <w:tc>
          <w:tcPr>
            <w:tcW w:w="937" w:type="dxa"/>
            <w:vAlign w:val="center"/>
          </w:tcPr>
          <w:p w14:paraId="155CCA82">
            <w:pPr>
              <w:pStyle w:val="33"/>
              <w:rPr>
                <w:color w:val="auto"/>
              </w:rPr>
            </w:pPr>
            <w:r>
              <w:rPr>
                <w:color w:val="auto"/>
                <w:spacing w:val="-2"/>
                <w:szCs w:val="21"/>
              </w:rPr>
              <w:t>给水工程</w:t>
            </w:r>
          </w:p>
        </w:tc>
        <w:tc>
          <w:tcPr>
            <w:tcW w:w="6945" w:type="dxa"/>
            <w:gridSpan w:val="2"/>
            <w:vAlign w:val="center"/>
          </w:tcPr>
          <w:p w14:paraId="62CE8D0B">
            <w:pPr>
              <w:pStyle w:val="33"/>
              <w:jc w:val="both"/>
              <w:rPr>
                <w:color w:val="auto"/>
              </w:rPr>
            </w:pPr>
            <w:r>
              <w:rPr>
                <w:rFonts w:eastAsia="Times New Roman"/>
                <w:color w:val="auto"/>
                <w:spacing w:val="-2"/>
                <w:szCs w:val="21"/>
              </w:rPr>
              <w:t>1</w:t>
            </w:r>
            <w:r>
              <w:rPr>
                <w:color w:val="auto"/>
                <w:spacing w:val="-2"/>
                <w:szCs w:val="21"/>
              </w:rPr>
              <w:t>座</w:t>
            </w:r>
            <w:r>
              <w:rPr>
                <w:rFonts w:eastAsia="Times New Roman"/>
                <w:color w:val="auto"/>
                <w:spacing w:val="-2"/>
                <w:szCs w:val="21"/>
              </w:rPr>
              <w:t>80000m</w:t>
            </w:r>
            <w:r>
              <w:rPr>
                <w:rFonts w:eastAsia="Times New Roman"/>
                <w:color w:val="auto"/>
                <w:spacing w:val="-2"/>
                <w:position w:val="7"/>
                <w:sz w:val="14"/>
                <w:szCs w:val="14"/>
              </w:rPr>
              <w:t>3</w:t>
            </w:r>
            <w:r>
              <w:rPr>
                <w:rFonts w:eastAsia="Times New Roman"/>
                <w:color w:val="auto"/>
                <w:spacing w:val="-2"/>
                <w:szCs w:val="21"/>
              </w:rPr>
              <w:t>/d</w:t>
            </w:r>
            <w:r>
              <w:rPr>
                <w:color w:val="auto"/>
                <w:spacing w:val="-2"/>
                <w:szCs w:val="21"/>
              </w:rPr>
              <w:t>给水处理站，</w:t>
            </w:r>
            <w:r>
              <w:rPr>
                <w:rFonts w:eastAsia="Times New Roman"/>
                <w:color w:val="auto"/>
                <w:spacing w:val="-2"/>
                <w:szCs w:val="21"/>
              </w:rPr>
              <w:t>1</w:t>
            </w:r>
            <w:r>
              <w:rPr>
                <w:color w:val="auto"/>
                <w:spacing w:val="-2"/>
                <w:szCs w:val="21"/>
              </w:rPr>
              <w:t>座</w:t>
            </w:r>
            <w:r>
              <w:rPr>
                <w:rFonts w:eastAsia="Times New Roman"/>
                <w:color w:val="auto"/>
                <w:spacing w:val="-2"/>
                <w:szCs w:val="21"/>
              </w:rPr>
              <w:t>25000m</w:t>
            </w:r>
            <w:r>
              <w:rPr>
                <w:color w:val="auto"/>
                <w:spacing w:val="-2"/>
                <w:szCs w:val="21"/>
              </w:rPr>
              <w:t>³</w:t>
            </w:r>
            <w:r>
              <w:rPr>
                <w:rFonts w:eastAsia="Times New Roman"/>
                <w:color w:val="auto"/>
                <w:spacing w:val="-2"/>
                <w:szCs w:val="21"/>
              </w:rPr>
              <w:t>/d</w:t>
            </w:r>
            <w:r>
              <w:rPr>
                <w:color w:val="auto"/>
                <w:spacing w:val="-2"/>
                <w:szCs w:val="21"/>
              </w:rPr>
              <w:t>给水</w:t>
            </w:r>
            <w:r>
              <w:rPr>
                <w:color w:val="auto"/>
                <w:spacing w:val="-3"/>
                <w:szCs w:val="21"/>
              </w:rPr>
              <w:t>处理站，</w:t>
            </w:r>
            <w:r>
              <w:rPr>
                <w:color w:val="auto"/>
                <w:spacing w:val="-2"/>
                <w:szCs w:val="21"/>
              </w:rPr>
              <w:t>原水由金窝水库供给。</w:t>
            </w:r>
          </w:p>
        </w:tc>
        <w:tc>
          <w:tcPr>
            <w:tcW w:w="567" w:type="dxa"/>
            <w:vAlign w:val="center"/>
          </w:tcPr>
          <w:p w14:paraId="3AF0CC52">
            <w:pPr>
              <w:pStyle w:val="33"/>
              <w:rPr>
                <w:color w:val="auto"/>
              </w:rPr>
            </w:pPr>
            <w:r>
              <w:rPr>
                <w:rFonts w:hint="eastAsia"/>
                <w:color w:val="auto"/>
              </w:rPr>
              <w:t>依托现有</w:t>
            </w:r>
          </w:p>
        </w:tc>
      </w:tr>
      <w:tr w14:paraId="2543E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49CBFBAB">
            <w:pPr>
              <w:pStyle w:val="33"/>
              <w:rPr>
                <w:color w:val="auto"/>
              </w:rPr>
            </w:pPr>
          </w:p>
        </w:tc>
        <w:tc>
          <w:tcPr>
            <w:tcW w:w="937" w:type="dxa"/>
            <w:vAlign w:val="center"/>
          </w:tcPr>
          <w:p w14:paraId="3182A5E4">
            <w:pPr>
              <w:pStyle w:val="33"/>
              <w:rPr>
                <w:color w:val="auto"/>
                <w:spacing w:val="-3"/>
                <w:szCs w:val="21"/>
              </w:rPr>
            </w:pPr>
            <w:r>
              <w:rPr>
                <w:color w:val="auto"/>
                <w:spacing w:val="-2"/>
                <w:szCs w:val="21"/>
              </w:rPr>
              <w:t>供电工程</w:t>
            </w:r>
          </w:p>
        </w:tc>
        <w:tc>
          <w:tcPr>
            <w:tcW w:w="6945" w:type="dxa"/>
            <w:gridSpan w:val="2"/>
            <w:vAlign w:val="center"/>
          </w:tcPr>
          <w:p w14:paraId="45E25C0E">
            <w:pPr>
              <w:pStyle w:val="33"/>
              <w:jc w:val="both"/>
              <w:rPr>
                <w:color w:val="auto"/>
              </w:rPr>
            </w:pPr>
            <w:r>
              <w:rPr>
                <w:color w:val="auto"/>
                <w:szCs w:val="21"/>
              </w:rPr>
              <w:t>热电站机组规模为</w:t>
            </w:r>
            <w:r>
              <w:rPr>
                <w:rFonts w:eastAsia="Times New Roman"/>
                <w:color w:val="auto"/>
                <w:szCs w:val="21"/>
              </w:rPr>
              <w:t>2</w:t>
            </w:r>
            <w:r>
              <w:rPr>
                <w:color w:val="auto"/>
                <w:szCs w:val="21"/>
              </w:rPr>
              <w:t>×</w:t>
            </w:r>
            <w:r>
              <w:rPr>
                <w:rFonts w:eastAsia="Times New Roman"/>
                <w:color w:val="auto"/>
                <w:szCs w:val="21"/>
              </w:rPr>
              <w:t>150MW</w:t>
            </w:r>
            <w:r>
              <w:rPr>
                <w:color w:val="auto"/>
                <w:szCs w:val="21"/>
              </w:rPr>
              <w:t>超高压抽凝式汽轮发电机</w:t>
            </w:r>
            <w:r>
              <w:rPr>
                <w:color w:val="auto"/>
                <w:spacing w:val="-5"/>
                <w:szCs w:val="21"/>
              </w:rPr>
              <w:t>组</w:t>
            </w:r>
            <w:r>
              <w:rPr>
                <w:rFonts w:eastAsia="Times New Roman"/>
                <w:color w:val="auto"/>
                <w:spacing w:val="-5"/>
                <w:szCs w:val="21"/>
              </w:rPr>
              <w:t>+90MW</w:t>
            </w:r>
            <w:r>
              <w:rPr>
                <w:color w:val="auto"/>
                <w:spacing w:val="-5"/>
                <w:szCs w:val="21"/>
              </w:rPr>
              <w:t>背压机组。目前，</w:t>
            </w:r>
            <w:r>
              <w:rPr>
                <w:rFonts w:eastAsia="Times New Roman"/>
                <w:color w:val="auto"/>
                <w:spacing w:val="-5"/>
                <w:szCs w:val="21"/>
              </w:rPr>
              <w:t>220kV</w:t>
            </w:r>
            <w:r>
              <w:rPr>
                <w:color w:val="auto"/>
                <w:spacing w:val="-5"/>
                <w:szCs w:val="21"/>
              </w:rPr>
              <w:t>金桂变</w:t>
            </w:r>
            <w:r>
              <w:rPr>
                <w:color w:val="auto"/>
                <w:spacing w:val="-6"/>
                <w:szCs w:val="21"/>
              </w:rPr>
              <w:t>电站已与钦州</w:t>
            </w:r>
            <w:r>
              <w:rPr>
                <w:color w:val="auto"/>
                <w:spacing w:val="-1"/>
                <w:szCs w:val="21"/>
              </w:rPr>
              <w:t>港榄坪变电站连接并网，外电源作为全厂的补充电源和</w:t>
            </w:r>
            <w:r>
              <w:rPr>
                <w:color w:val="auto"/>
                <w:spacing w:val="-6"/>
                <w:szCs w:val="21"/>
              </w:rPr>
              <w:t>第二路电源。</w:t>
            </w:r>
          </w:p>
        </w:tc>
        <w:tc>
          <w:tcPr>
            <w:tcW w:w="567" w:type="dxa"/>
            <w:vAlign w:val="center"/>
          </w:tcPr>
          <w:p w14:paraId="606BDE81">
            <w:pPr>
              <w:pStyle w:val="33"/>
              <w:rPr>
                <w:color w:val="auto"/>
              </w:rPr>
            </w:pPr>
            <w:r>
              <w:rPr>
                <w:rFonts w:hint="eastAsia"/>
                <w:color w:val="auto"/>
              </w:rPr>
              <w:t>依托现有</w:t>
            </w:r>
          </w:p>
        </w:tc>
      </w:tr>
      <w:tr w14:paraId="1E61E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restart"/>
            <w:vAlign w:val="center"/>
          </w:tcPr>
          <w:p w14:paraId="13C788D1">
            <w:pPr>
              <w:pStyle w:val="33"/>
              <w:rPr>
                <w:color w:val="auto"/>
              </w:rPr>
            </w:pPr>
            <w:r>
              <w:rPr>
                <w:rFonts w:hint="eastAsia"/>
                <w:color w:val="auto"/>
              </w:rPr>
              <w:t>储运工程</w:t>
            </w:r>
          </w:p>
        </w:tc>
        <w:tc>
          <w:tcPr>
            <w:tcW w:w="937" w:type="dxa"/>
            <w:vAlign w:val="center"/>
          </w:tcPr>
          <w:p w14:paraId="68D88873">
            <w:pPr>
              <w:pStyle w:val="33"/>
              <w:rPr>
                <w:color w:val="auto"/>
                <w:spacing w:val="-2"/>
                <w:szCs w:val="21"/>
              </w:rPr>
            </w:pPr>
            <w:r>
              <w:rPr>
                <w:color w:val="auto"/>
                <w:spacing w:val="-3"/>
              </w:rPr>
              <w:t>化学品储</w:t>
            </w:r>
            <w:r>
              <w:rPr>
                <w:color w:val="auto"/>
              </w:rPr>
              <w:t>罐</w:t>
            </w:r>
          </w:p>
        </w:tc>
        <w:tc>
          <w:tcPr>
            <w:tcW w:w="6945" w:type="dxa"/>
            <w:gridSpan w:val="2"/>
            <w:vAlign w:val="center"/>
          </w:tcPr>
          <w:p w14:paraId="7E91ED44">
            <w:pPr>
              <w:pStyle w:val="33"/>
              <w:jc w:val="both"/>
              <w:rPr>
                <w:color w:val="auto"/>
              </w:rPr>
            </w:pPr>
            <w:r>
              <w:rPr>
                <w:color w:val="auto"/>
              </w:rPr>
              <w:t>NaOH储罐2个（1×100m</w:t>
            </w:r>
            <w:r>
              <w:rPr>
                <w:color w:val="auto"/>
                <w:position w:val="7"/>
                <w:sz w:val="14"/>
                <w:szCs w:val="14"/>
              </w:rPr>
              <w:t>3</w:t>
            </w:r>
            <w:r>
              <w:rPr>
                <w:color w:val="auto"/>
              </w:rPr>
              <w:t>、1×1000m</w:t>
            </w:r>
            <w:r>
              <w:rPr>
                <w:color w:val="auto"/>
                <w:position w:val="7"/>
                <w:sz w:val="14"/>
                <w:szCs w:val="14"/>
              </w:rPr>
              <w:t>3</w:t>
            </w:r>
            <w:r>
              <w:rPr>
                <w:color w:val="auto"/>
              </w:rPr>
              <w:t>）、白液储罐1个</w:t>
            </w:r>
            <w:r>
              <w:rPr>
                <w:color w:val="auto"/>
                <w:spacing w:val="-2"/>
              </w:rPr>
              <w:t>（550m</w:t>
            </w:r>
            <w:r>
              <w:rPr>
                <w:color w:val="auto"/>
                <w:spacing w:val="-2"/>
                <w:position w:val="7"/>
                <w:sz w:val="14"/>
                <w:szCs w:val="14"/>
              </w:rPr>
              <w:t>3</w:t>
            </w:r>
            <w:r>
              <w:rPr>
                <w:color w:val="auto"/>
                <w:spacing w:val="-2"/>
              </w:rPr>
              <w:t>）、混合苏打储罐4个（1×550m</w:t>
            </w:r>
            <w:r>
              <w:rPr>
                <w:color w:val="auto"/>
                <w:spacing w:val="-2"/>
                <w:position w:val="7"/>
                <w:sz w:val="14"/>
                <w:szCs w:val="14"/>
              </w:rPr>
              <w:t>3</w:t>
            </w:r>
            <w:r>
              <w:rPr>
                <w:color w:val="auto"/>
                <w:spacing w:val="-2"/>
              </w:rPr>
              <w:t>、3×100m</w:t>
            </w:r>
            <w:r>
              <w:rPr>
                <w:color w:val="auto"/>
                <w:spacing w:val="-2"/>
                <w:position w:val="7"/>
                <w:sz w:val="14"/>
                <w:szCs w:val="14"/>
              </w:rPr>
              <w:t>3</w:t>
            </w:r>
            <w:r>
              <w:rPr>
                <w:color w:val="auto"/>
                <w:spacing w:val="-2"/>
              </w:rPr>
              <w:t>）</w:t>
            </w:r>
            <w:r>
              <w:rPr>
                <w:color w:val="auto"/>
                <w:spacing w:val="-3"/>
              </w:rPr>
              <w:t>。</w:t>
            </w:r>
          </w:p>
        </w:tc>
        <w:tc>
          <w:tcPr>
            <w:tcW w:w="567" w:type="dxa"/>
            <w:vAlign w:val="center"/>
          </w:tcPr>
          <w:p w14:paraId="14ABD047">
            <w:pPr>
              <w:pStyle w:val="33"/>
              <w:rPr>
                <w:color w:val="auto"/>
              </w:rPr>
            </w:pPr>
            <w:r>
              <w:rPr>
                <w:rFonts w:hint="eastAsia"/>
                <w:color w:val="auto"/>
              </w:rPr>
              <w:t>依托现有</w:t>
            </w:r>
          </w:p>
        </w:tc>
      </w:tr>
      <w:tr w14:paraId="137A5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62DB4BBD">
            <w:pPr>
              <w:pStyle w:val="33"/>
              <w:rPr>
                <w:color w:val="auto"/>
              </w:rPr>
            </w:pPr>
          </w:p>
        </w:tc>
        <w:tc>
          <w:tcPr>
            <w:tcW w:w="937" w:type="dxa"/>
            <w:vAlign w:val="center"/>
          </w:tcPr>
          <w:p w14:paraId="11F57A57">
            <w:pPr>
              <w:pStyle w:val="33"/>
              <w:rPr>
                <w:color w:val="auto"/>
                <w:spacing w:val="-2"/>
                <w:szCs w:val="21"/>
              </w:rPr>
            </w:pPr>
            <w:r>
              <w:rPr>
                <w:color w:val="auto"/>
                <w:spacing w:val="-3"/>
                <w:szCs w:val="21"/>
              </w:rPr>
              <w:t>各类仓库</w:t>
            </w:r>
          </w:p>
        </w:tc>
        <w:tc>
          <w:tcPr>
            <w:tcW w:w="6945" w:type="dxa"/>
            <w:gridSpan w:val="2"/>
            <w:vAlign w:val="center"/>
          </w:tcPr>
          <w:p w14:paraId="1CE03675">
            <w:pPr>
              <w:pStyle w:val="33"/>
              <w:jc w:val="both"/>
              <w:rPr>
                <w:color w:val="auto"/>
                <w:szCs w:val="21"/>
              </w:rPr>
            </w:pPr>
            <w:r>
              <w:rPr>
                <w:color w:val="auto"/>
                <w:spacing w:val="-1"/>
                <w:szCs w:val="21"/>
              </w:rPr>
              <w:t>物料仓库：建筑面积</w:t>
            </w:r>
            <w:r>
              <w:rPr>
                <w:rFonts w:eastAsia="Times New Roman"/>
                <w:color w:val="auto"/>
                <w:spacing w:val="-1"/>
                <w:szCs w:val="21"/>
              </w:rPr>
              <w:t>17940m</w:t>
            </w:r>
            <w:r>
              <w:rPr>
                <w:rFonts w:eastAsia="Times New Roman"/>
                <w:color w:val="auto"/>
                <w:spacing w:val="-1"/>
                <w:position w:val="7"/>
                <w:sz w:val="14"/>
                <w:szCs w:val="14"/>
              </w:rPr>
              <w:t>2</w:t>
            </w:r>
            <w:r>
              <w:rPr>
                <w:color w:val="auto"/>
                <w:spacing w:val="-1"/>
                <w:szCs w:val="21"/>
              </w:rPr>
              <w:t>。</w:t>
            </w:r>
          </w:p>
          <w:p w14:paraId="6095DA94">
            <w:pPr>
              <w:pStyle w:val="33"/>
              <w:jc w:val="both"/>
              <w:rPr>
                <w:color w:val="auto"/>
                <w:szCs w:val="21"/>
              </w:rPr>
            </w:pPr>
            <w:r>
              <w:rPr>
                <w:color w:val="auto"/>
                <w:spacing w:val="-1"/>
                <w:szCs w:val="21"/>
              </w:rPr>
              <w:t>纸成品仓库：建筑面积</w:t>
            </w:r>
            <w:r>
              <w:rPr>
                <w:rFonts w:eastAsia="Times New Roman"/>
                <w:color w:val="auto"/>
                <w:spacing w:val="-1"/>
                <w:szCs w:val="21"/>
              </w:rPr>
              <w:t>3×23500m</w:t>
            </w:r>
            <w:r>
              <w:rPr>
                <w:rFonts w:eastAsia="Times New Roman"/>
                <w:color w:val="auto"/>
                <w:spacing w:val="-1"/>
                <w:position w:val="7"/>
                <w:sz w:val="14"/>
                <w:szCs w:val="14"/>
              </w:rPr>
              <w:t>2</w:t>
            </w:r>
            <w:r>
              <w:rPr>
                <w:color w:val="auto"/>
                <w:spacing w:val="-1"/>
                <w:szCs w:val="21"/>
              </w:rPr>
              <w:t>，共</w:t>
            </w:r>
            <w:r>
              <w:rPr>
                <w:rFonts w:eastAsia="Times New Roman"/>
                <w:color w:val="auto"/>
                <w:spacing w:val="-1"/>
                <w:szCs w:val="21"/>
              </w:rPr>
              <w:t>70500m</w:t>
            </w:r>
            <w:r>
              <w:rPr>
                <w:rFonts w:eastAsia="Times New Roman"/>
                <w:color w:val="auto"/>
                <w:spacing w:val="-1"/>
                <w:position w:val="7"/>
                <w:sz w:val="14"/>
                <w:szCs w:val="14"/>
              </w:rPr>
              <w:t>2</w:t>
            </w:r>
            <w:r>
              <w:rPr>
                <w:color w:val="auto"/>
                <w:spacing w:val="-1"/>
                <w:szCs w:val="21"/>
              </w:rPr>
              <w:t>。</w:t>
            </w:r>
          </w:p>
          <w:p w14:paraId="7C1839E5">
            <w:pPr>
              <w:pStyle w:val="33"/>
              <w:jc w:val="both"/>
              <w:rPr>
                <w:color w:val="auto"/>
              </w:rPr>
            </w:pPr>
            <w:r>
              <w:rPr>
                <w:color w:val="auto"/>
                <w:spacing w:val="-1"/>
                <w:szCs w:val="21"/>
              </w:rPr>
              <w:t>造纸化工品仓库：建筑面积</w:t>
            </w:r>
            <w:r>
              <w:rPr>
                <w:rFonts w:eastAsia="Times New Roman"/>
                <w:color w:val="auto"/>
                <w:spacing w:val="-1"/>
                <w:szCs w:val="21"/>
              </w:rPr>
              <w:t>9000m</w:t>
            </w:r>
            <w:r>
              <w:rPr>
                <w:rFonts w:eastAsia="Times New Roman"/>
                <w:color w:val="auto"/>
                <w:spacing w:val="-1"/>
                <w:position w:val="7"/>
                <w:sz w:val="14"/>
                <w:szCs w:val="14"/>
              </w:rPr>
              <w:t>2</w:t>
            </w:r>
            <w:r>
              <w:rPr>
                <w:color w:val="auto"/>
                <w:spacing w:val="-1"/>
                <w:szCs w:val="21"/>
              </w:rPr>
              <w:t>。</w:t>
            </w:r>
          </w:p>
        </w:tc>
        <w:tc>
          <w:tcPr>
            <w:tcW w:w="567" w:type="dxa"/>
            <w:vAlign w:val="center"/>
          </w:tcPr>
          <w:p w14:paraId="1ED95ABA">
            <w:pPr>
              <w:pStyle w:val="33"/>
              <w:rPr>
                <w:color w:val="auto"/>
              </w:rPr>
            </w:pPr>
            <w:r>
              <w:rPr>
                <w:rFonts w:hint="eastAsia"/>
                <w:color w:val="auto"/>
              </w:rPr>
              <w:t>依托现有</w:t>
            </w:r>
          </w:p>
        </w:tc>
      </w:tr>
      <w:tr w14:paraId="59B82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7FF9BB5E">
            <w:pPr>
              <w:pStyle w:val="33"/>
              <w:rPr>
                <w:color w:val="auto"/>
              </w:rPr>
            </w:pPr>
          </w:p>
        </w:tc>
        <w:tc>
          <w:tcPr>
            <w:tcW w:w="937" w:type="dxa"/>
            <w:vAlign w:val="center"/>
          </w:tcPr>
          <w:p w14:paraId="2A960547">
            <w:pPr>
              <w:pStyle w:val="33"/>
              <w:rPr>
                <w:color w:val="auto"/>
                <w:spacing w:val="-3"/>
                <w:szCs w:val="21"/>
              </w:rPr>
            </w:pPr>
            <w:r>
              <w:rPr>
                <w:rFonts w:hint="eastAsia"/>
                <w:color w:val="auto"/>
              </w:rPr>
              <w:t>1#自动仓</w:t>
            </w:r>
          </w:p>
        </w:tc>
        <w:tc>
          <w:tcPr>
            <w:tcW w:w="6945" w:type="dxa"/>
            <w:gridSpan w:val="2"/>
            <w:vAlign w:val="center"/>
          </w:tcPr>
          <w:p w14:paraId="5F49C45D">
            <w:pPr>
              <w:pStyle w:val="33"/>
              <w:jc w:val="both"/>
              <w:rPr>
                <w:color w:val="auto"/>
              </w:rPr>
            </w:pPr>
            <w:r>
              <w:rPr>
                <w:rFonts w:hint="eastAsia"/>
                <w:color w:val="auto"/>
              </w:rPr>
              <w:t>建筑面积16140.48m</w:t>
            </w:r>
            <w:r>
              <w:rPr>
                <w:rFonts w:hint="eastAsia"/>
                <w:color w:val="auto"/>
                <w:vertAlign w:val="superscript"/>
              </w:rPr>
              <w:t>2</w:t>
            </w:r>
            <w:r>
              <w:rPr>
                <w:rFonts w:hint="eastAsia"/>
                <w:color w:val="auto"/>
              </w:rPr>
              <w:t>，用于存放纸品。</w:t>
            </w:r>
          </w:p>
        </w:tc>
        <w:tc>
          <w:tcPr>
            <w:tcW w:w="567" w:type="dxa"/>
            <w:vAlign w:val="center"/>
          </w:tcPr>
          <w:p w14:paraId="59778863">
            <w:pPr>
              <w:pStyle w:val="33"/>
              <w:rPr>
                <w:color w:val="auto"/>
              </w:rPr>
            </w:pPr>
            <w:r>
              <w:rPr>
                <w:rFonts w:hint="eastAsia"/>
                <w:color w:val="auto"/>
              </w:rPr>
              <w:t>依托现有</w:t>
            </w:r>
          </w:p>
        </w:tc>
      </w:tr>
      <w:tr w14:paraId="4DC10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1C3A5491">
            <w:pPr>
              <w:pStyle w:val="33"/>
              <w:rPr>
                <w:color w:val="auto"/>
              </w:rPr>
            </w:pPr>
          </w:p>
        </w:tc>
        <w:tc>
          <w:tcPr>
            <w:tcW w:w="937" w:type="dxa"/>
            <w:vAlign w:val="center"/>
          </w:tcPr>
          <w:p w14:paraId="04CAEEB5">
            <w:pPr>
              <w:pStyle w:val="33"/>
              <w:rPr>
                <w:color w:val="auto"/>
                <w:spacing w:val="-3"/>
                <w:szCs w:val="21"/>
              </w:rPr>
            </w:pPr>
            <w:r>
              <w:rPr>
                <w:rFonts w:hint="eastAsia"/>
                <w:color w:val="auto"/>
              </w:rPr>
              <w:t>2#自动仓</w:t>
            </w:r>
          </w:p>
        </w:tc>
        <w:tc>
          <w:tcPr>
            <w:tcW w:w="6945" w:type="dxa"/>
            <w:gridSpan w:val="2"/>
            <w:vAlign w:val="center"/>
          </w:tcPr>
          <w:p w14:paraId="5D2C359B">
            <w:pPr>
              <w:pStyle w:val="33"/>
              <w:jc w:val="both"/>
              <w:rPr>
                <w:color w:val="auto"/>
              </w:rPr>
            </w:pPr>
            <w:r>
              <w:rPr>
                <w:rFonts w:hint="eastAsia"/>
                <w:color w:val="auto"/>
              </w:rPr>
              <w:t>建筑面积20018.05m</w:t>
            </w:r>
            <w:r>
              <w:rPr>
                <w:rFonts w:hint="eastAsia"/>
                <w:color w:val="auto"/>
                <w:vertAlign w:val="superscript"/>
              </w:rPr>
              <w:t>2</w:t>
            </w:r>
            <w:r>
              <w:rPr>
                <w:rFonts w:hint="eastAsia"/>
                <w:color w:val="auto"/>
              </w:rPr>
              <w:t>，用于存放纸品。</w:t>
            </w:r>
          </w:p>
        </w:tc>
        <w:tc>
          <w:tcPr>
            <w:tcW w:w="567" w:type="dxa"/>
            <w:vAlign w:val="center"/>
          </w:tcPr>
          <w:p w14:paraId="0B657187">
            <w:pPr>
              <w:pStyle w:val="33"/>
              <w:rPr>
                <w:color w:val="auto"/>
              </w:rPr>
            </w:pPr>
            <w:r>
              <w:rPr>
                <w:rFonts w:hint="eastAsia"/>
                <w:color w:val="auto"/>
              </w:rPr>
              <w:t>依托现有</w:t>
            </w:r>
          </w:p>
        </w:tc>
      </w:tr>
      <w:tr w14:paraId="7673C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restart"/>
            <w:vAlign w:val="center"/>
          </w:tcPr>
          <w:p w14:paraId="0337389E">
            <w:pPr>
              <w:pStyle w:val="33"/>
              <w:rPr>
                <w:color w:val="auto"/>
              </w:rPr>
            </w:pPr>
            <w:r>
              <w:rPr>
                <w:color w:val="auto"/>
              </w:rPr>
              <w:t>环保</w:t>
            </w:r>
          </w:p>
          <w:p w14:paraId="7883C3A9">
            <w:pPr>
              <w:pStyle w:val="33"/>
              <w:rPr>
                <w:color w:val="auto"/>
              </w:rPr>
            </w:pPr>
            <w:r>
              <w:rPr>
                <w:color w:val="auto"/>
              </w:rPr>
              <w:t>工程</w:t>
            </w:r>
          </w:p>
        </w:tc>
        <w:tc>
          <w:tcPr>
            <w:tcW w:w="937" w:type="dxa"/>
            <w:vMerge w:val="restart"/>
            <w:vAlign w:val="center"/>
          </w:tcPr>
          <w:p w14:paraId="71F6286C">
            <w:pPr>
              <w:pStyle w:val="33"/>
              <w:rPr>
                <w:color w:val="auto"/>
              </w:rPr>
            </w:pPr>
            <w:r>
              <w:rPr>
                <w:rFonts w:hint="eastAsia"/>
                <w:color w:val="auto"/>
                <w:spacing w:val="-3"/>
                <w:szCs w:val="21"/>
              </w:rPr>
              <w:t>废水</w:t>
            </w:r>
          </w:p>
        </w:tc>
        <w:tc>
          <w:tcPr>
            <w:tcW w:w="3260" w:type="dxa"/>
            <w:vAlign w:val="center"/>
          </w:tcPr>
          <w:p w14:paraId="411AB1B2">
            <w:pPr>
              <w:pStyle w:val="33"/>
              <w:jc w:val="both"/>
              <w:rPr>
                <w:color w:val="auto"/>
              </w:rPr>
            </w:pPr>
            <w:r>
              <w:rPr>
                <w:rFonts w:hint="eastAsia" w:eastAsiaTheme="minorEastAsia"/>
                <w:color w:val="auto"/>
                <w:spacing w:val="-2"/>
                <w:szCs w:val="21"/>
              </w:rPr>
              <w:t>3</w:t>
            </w:r>
            <w:r>
              <w:rPr>
                <w:rFonts w:eastAsia="Times New Roman"/>
                <w:color w:val="auto"/>
                <w:spacing w:val="-2"/>
                <w:szCs w:val="21"/>
              </w:rPr>
              <w:t>#</w:t>
            </w:r>
            <w:r>
              <w:rPr>
                <w:color w:val="auto"/>
                <w:spacing w:val="-2"/>
                <w:szCs w:val="21"/>
              </w:rPr>
              <w:t>污水处理站</w:t>
            </w:r>
            <w:r>
              <w:rPr>
                <w:rFonts w:hint="eastAsia" w:eastAsiaTheme="minorEastAsia"/>
                <w:color w:val="auto"/>
                <w:spacing w:val="-2"/>
                <w:szCs w:val="21"/>
              </w:rPr>
              <w:t>总用地面积</w:t>
            </w:r>
            <w:r>
              <w:rPr>
                <w:rFonts w:eastAsiaTheme="minorEastAsia"/>
                <w:color w:val="auto"/>
                <w:spacing w:val="-2"/>
                <w:szCs w:val="21"/>
              </w:rPr>
              <w:t>2429</w:t>
            </w:r>
            <w:r>
              <w:rPr>
                <w:rFonts w:hint="eastAsia" w:eastAsiaTheme="minorEastAsia"/>
                <w:color w:val="auto"/>
                <w:spacing w:val="-2"/>
                <w:szCs w:val="21"/>
              </w:rPr>
              <w:t>m</w:t>
            </w:r>
            <w:r>
              <w:rPr>
                <w:rFonts w:hint="eastAsia" w:eastAsiaTheme="minorEastAsia"/>
                <w:color w:val="auto"/>
                <w:spacing w:val="-2"/>
                <w:szCs w:val="21"/>
                <w:vertAlign w:val="superscript"/>
              </w:rPr>
              <w:t>2</w:t>
            </w:r>
            <w:r>
              <w:rPr>
                <w:color w:val="auto"/>
                <w:spacing w:val="-2"/>
                <w:szCs w:val="21"/>
              </w:rPr>
              <w:t>，</w:t>
            </w:r>
            <w:r>
              <w:rPr>
                <w:rFonts w:hint="eastAsia"/>
                <w:color w:val="auto"/>
                <w:spacing w:val="-2"/>
                <w:szCs w:val="21"/>
              </w:rPr>
              <w:t>总建筑面积</w:t>
            </w:r>
            <w:r>
              <w:rPr>
                <w:color w:val="auto"/>
                <w:spacing w:val="-2"/>
                <w:szCs w:val="21"/>
              </w:rPr>
              <w:t>5380</w:t>
            </w:r>
            <w:r>
              <w:rPr>
                <w:rFonts w:hint="eastAsia" w:eastAsiaTheme="minorEastAsia"/>
                <w:color w:val="auto"/>
                <w:spacing w:val="-2"/>
                <w:szCs w:val="21"/>
              </w:rPr>
              <w:t>m</w:t>
            </w:r>
            <w:r>
              <w:rPr>
                <w:rFonts w:hint="eastAsia" w:eastAsiaTheme="minorEastAsia"/>
                <w:color w:val="auto"/>
                <w:spacing w:val="-2"/>
                <w:szCs w:val="21"/>
                <w:vertAlign w:val="superscript"/>
              </w:rPr>
              <w:t>2</w:t>
            </w:r>
            <w:r>
              <w:rPr>
                <w:color w:val="auto"/>
                <w:spacing w:val="-2"/>
                <w:szCs w:val="21"/>
              </w:rPr>
              <w:t>，</w:t>
            </w:r>
            <w:r>
              <w:rPr>
                <w:rFonts w:hint="eastAsia"/>
                <w:color w:val="auto"/>
                <w:spacing w:val="-2"/>
                <w:szCs w:val="21"/>
              </w:rPr>
              <w:t>设计</w:t>
            </w:r>
            <w:r>
              <w:rPr>
                <w:color w:val="auto"/>
                <w:spacing w:val="-2"/>
                <w:szCs w:val="21"/>
              </w:rPr>
              <w:t>规模</w:t>
            </w:r>
            <w:r>
              <w:rPr>
                <w:rFonts w:hint="eastAsia" w:eastAsiaTheme="minorEastAsia"/>
                <w:color w:val="auto"/>
                <w:spacing w:val="-2"/>
                <w:szCs w:val="21"/>
              </w:rPr>
              <w:t>20</w:t>
            </w:r>
            <w:r>
              <w:rPr>
                <w:rFonts w:eastAsia="Times New Roman"/>
                <w:color w:val="auto"/>
                <w:spacing w:val="-2"/>
                <w:szCs w:val="21"/>
              </w:rPr>
              <w:t>000m</w:t>
            </w:r>
            <w:r>
              <w:rPr>
                <w:rFonts w:eastAsia="Times New Roman"/>
                <w:color w:val="auto"/>
                <w:spacing w:val="-2"/>
                <w:position w:val="7"/>
                <w:sz w:val="14"/>
                <w:szCs w:val="14"/>
              </w:rPr>
              <w:t>3</w:t>
            </w:r>
            <w:r>
              <w:rPr>
                <w:rFonts w:eastAsia="Times New Roman"/>
                <w:color w:val="auto"/>
                <w:spacing w:val="-2"/>
                <w:szCs w:val="21"/>
              </w:rPr>
              <w:t>/d</w:t>
            </w:r>
            <w:r>
              <w:rPr>
                <w:color w:val="auto"/>
                <w:spacing w:val="-2"/>
                <w:szCs w:val="21"/>
              </w:rPr>
              <w:t>，采用“絮凝沉淀</w:t>
            </w:r>
            <w:r>
              <w:rPr>
                <w:rFonts w:eastAsia="Times New Roman"/>
                <w:color w:val="auto"/>
                <w:spacing w:val="-2"/>
                <w:szCs w:val="21"/>
              </w:rPr>
              <w:t>+A/</w:t>
            </w:r>
            <w:r>
              <w:rPr>
                <w:rFonts w:eastAsia="Times New Roman"/>
                <w:color w:val="auto"/>
                <w:spacing w:val="-3"/>
                <w:szCs w:val="21"/>
              </w:rPr>
              <w:t>O+</w:t>
            </w:r>
            <w:r>
              <w:rPr>
                <w:color w:val="auto"/>
                <w:spacing w:val="-3"/>
                <w:szCs w:val="21"/>
              </w:rPr>
              <w:t>絮凝沉淀”工艺，主要处理纸机及其配套辅</w:t>
            </w:r>
            <w:r>
              <w:rPr>
                <w:color w:val="auto"/>
                <w:spacing w:val="-6"/>
                <w:szCs w:val="21"/>
              </w:rPr>
              <w:t>助设施废水。</w:t>
            </w:r>
            <w:r>
              <w:rPr>
                <w:color w:val="auto"/>
                <w:spacing w:val="-3"/>
                <w:szCs w:val="21"/>
              </w:rPr>
              <w:t>污水处理站出水达到《制浆造纸工业水污染物排</w:t>
            </w:r>
            <w:r>
              <w:rPr>
                <w:color w:val="auto"/>
                <w:spacing w:val="-2"/>
                <w:szCs w:val="21"/>
              </w:rPr>
              <w:t>放标准》（</w:t>
            </w:r>
            <w:r>
              <w:rPr>
                <w:rFonts w:eastAsia="Times New Roman"/>
                <w:color w:val="auto"/>
                <w:spacing w:val="-2"/>
                <w:szCs w:val="21"/>
              </w:rPr>
              <w:t>GB3544-2008</w:t>
            </w:r>
            <w:r>
              <w:rPr>
                <w:color w:val="auto"/>
                <w:spacing w:val="-2"/>
                <w:szCs w:val="21"/>
              </w:rPr>
              <w:t>）表</w:t>
            </w:r>
            <w:r>
              <w:rPr>
                <w:rFonts w:eastAsia="Times New Roman"/>
                <w:color w:val="auto"/>
                <w:spacing w:val="-2"/>
                <w:szCs w:val="21"/>
              </w:rPr>
              <w:t>2</w:t>
            </w:r>
            <w:r>
              <w:rPr>
                <w:color w:val="auto"/>
                <w:spacing w:val="-2"/>
                <w:szCs w:val="21"/>
              </w:rPr>
              <w:t>中制浆和</w:t>
            </w:r>
            <w:r>
              <w:rPr>
                <w:color w:val="auto"/>
                <w:spacing w:val="-3"/>
                <w:szCs w:val="21"/>
              </w:rPr>
              <w:t>造纸联合生产企</w:t>
            </w:r>
            <w:r>
              <w:rPr>
                <w:color w:val="auto"/>
                <w:spacing w:val="-2"/>
                <w:szCs w:val="21"/>
              </w:rPr>
              <w:t>业排放限值后，由</w:t>
            </w:r>
            <w:r>
              <w:rPr>
                <w:rFonts w:eastAsia="Times New Roman"/>
                <w:color w:val="auto"/>
                <w:spacing w:val="-2"/>
                <w:szCs w:val="21"/>
              </w:rPr>
              <w:t>A2</w:t>
            </w:r>
            <w:r>
              <w:rPr>
                <w:color w:val="auto"/>
                <w:spacing w:val="-2"/>
                <w:szCs w:val="21"/>
              </w:rPr>
              <w:t>排污区深海排放。</w:t>
            </w:r>
          </w:p>
        </w:tc>
        <w:tc>
          <w:tcPr>
            <w:tcW w:w="3685" w:type="dxa"/>
            <w:vMerge w:val="restart"/>
            <w:vAlign w:val="center"/>
          </w:tcPr>
          <w:p w14:paraId="1085D8C1">
            <w:pPr>
              <w:pStyle w:val="33"/>
              <w:jc w:val="both"/>
              <w:rPr>
                <w:rFonts w:eastAsia="Times New Roman"/>
                <w:color w:val="auto"/>
                <w:spacing w:val="-1"/>
                <w:szCs w:val="21"/>
              </w:rPr>
            </w:pPr>
            <w:r>
              <w:rPr>
                <w:rFonts w:hint="eastAsia" w:ascii="宋体" w:hAnsi="宋体" w:cs="宋体"/>
                <w:color w:val="auto"/>
                <w:spacing w:val="-1"/>
                <w:szCs w:val="21"/>
              </w:rPr>
              <w:t>过氧化氢车间配套</w:t>
            </w:r>
            <w:r>
              <w:rPr>
                <w:rFonts w:hint="eastAsia" w:eastAsia="Times New Roman"/>
                <w:color w:val="auto"/>
                <w:spacing w:val="-1"/>
                <w:szCs w:val="21"/>
              </w:rPr>
              <w:t>200m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地埋式废水预处理设施，采用</w:t>
            </w:r>
            <w:r>
              <w:rPr>
                <w:rFonts w:eastAsia="Times New Roman" w:cs="Times New Roman"/>
                <w:color w:val="auto"/>
                <w:spacing w:val="-1"/>
                <w:szCs w:val="21"/>
              </w:rPr>
              <w:t>“</w:t>
            </w:r>
            <w:r>
              <w:rPr>
                <w:rFonts w:hint="eastAsia" w:ascii="宋体" w:hAnsi="宋体" w:cs="宋体"/>
                <w:color w:val="auto"/>
                <w:spacing w:val="-1"/>
                <w:szCs w:val="21"/>
              </w:rPr>
              <w:t>隔油</w:t>
            </w:r>
            <w:r>
              <w:rPr>
                <w:rFonts w:hint="eastAsia" w:eastAsia="Times New Roman"/>
                <w:color w:val="auto"/>
                <w:spacing w:val="-1"/>
                <w:szCs w:val="21"/>
              </w:rPr>
              <w:t>+</w:t>
            </w:r>
            <w:r>
              <w:rPr>
                <w:rFonts w:hint="eastAsia" w:ascii="宋体" w:hAnsi="宋体" w:cs="宋体"/>
                <w:color w:val="auto"/>
                <w:spacing w:val="-1"/>
                <w:szCs w:val="21"/>
              </w:rPr>
              <w:t>芬顿</w:t>
            </w:r>
            <w:r>
              <w:rPr>
                <w:rFonts w:hint="eastAsia" w:eastAsia="Times New Roman"/>
                <w:color w:val="auto"/>
                <w:spacing w:val="-1"/>
                <w:szCs w:val="21"/>
              </w:rPr>
              <w:t>+</w:t>
            </w:r>
            <w:r>
              <w:rPr>
                <w:rFonts w:hint="eastAsia" w:ascii="宋体" w:hAnsi="宋体" w:cs="宋体"/>
                <w:color w:val="auto"/>
                <w:spacing w:val="-1"/>
                <w:szCs w:val="21"/>
              </w:rPr>
              <w:t>絮凝沉淀</w:t>
            </w:r>
            <w:r>
              <w:rPr>
                <w:rFonts w:eastAsia="Times New Roman" w:cs="Times New Roman"/>
                <w:color w:val="auto"/>
                <w:spacing w:val="-1"/>
                <w:szCs w:val="21"/>
              </w:rPr>
              <w:t>”</w:t>
            </w:r>
            <w:r>
              <w:rPr>
                <w:rFonts w:hint="eastAsia" w:ascii="宋体" w:hAnsi="宋体" w:cs="宋体"/>
                <w:color w:val="auto"/>
                <w:spacing w:val="-1"/>
                <w:szCs w:val="21"/>
              </w:rPr>
              <w:t>工艺，处理后的废水排入</w:t>
            </w:r>
            <w:r>
              <w:rPr>
                <w:rFonts w:hint="eastAsia" w:eastAsia="Times New Roman"/>
                <w:color w:val="auto"/>
                <w:spacing w:val="-1"/>
                <w:szCs w:val="21"/>
              </w:rPr>
              <w:t>1#</w:t>
            </w:r>
            <w:r>
              <w:rPr>
                <w:rFonts w:hint="eastAsia" w:ascii="宋体" w:hAnsi="宋体" w:cs="宋体"/>
                <w:color w:val="auto"/>
                <w:spacing w:val="-1"/>
                <w:szCs w:val="21"/>
              </w:rPr>
              <w:t>污水处理站进一步处理。</w:t>
            </w:r>
          </w:p>
          <w:p w14:paraId="79D92C6A">
            <w:pPr>
              <w:pStyle w:val="33"/>
              <w:jc w:val="both"/>
              <w:rPr>
                <w:rFonts w:eastAsia="Times New Roman"/>
                <w:color w:val="auto"/>
                <w:spacing w:val="-1"/>
                <w:szCs w:val="21"/>
              </w:rPr>
            </w:pPr>
            <w:r>
              <w:rPr>
                <w:rFonts w:hint="eastAsia" w:eastAsia="Times New Roman"/>
                <w:color w:val="auto"/>
                <w:spacing w:val="-1"/>
                <w:szCs w:val="21"/>
              </w:rPr>
              <w:t>1#</w:t>
            </w:r>
            <w:r>
              <w:rPr>
                <w:rFonts w:hint="eastAsia" w:ascii="宋体" w:hAnsi="宋体" w:cs="宋体"/>
                <w:color w:val="auto"/>
                <w:spacing w:val="-1"/>
                <w:szCs w:val="21"/>
              </w:rPr>
              <w:t>污水处理站规模</w:t>
            </w:r>
            <w:r>
              <w:rPr>
                <w:rFonts w:hint="eastAsia" w:eastAsia="Times New Roman"/>
                <w:color w:val="auto"/>
                <w:spacing w:val="-1"/>
                <w:szCs w:val="21"/>
              </w:rPr>
              <w:t>60000m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，采用</w:t>
            </w:r>
            <w:r>
              <w:rPr>
                <w:rFonts w:eastAsia="Times New Roman" w:cs="Times New Roman"/>
                <w:color w:val="auto"/>
                <w:spacing w:val="-1"/>
                <w:szCs w:val="21"/>
              </w:rPr>
              <w:t>“</w:t>
            </w:r>
            <w:r>
              <w:rPr>
                <w:rFonts w:hint="eastAsia" w:ascii="宋体" w:hAnsi="宋体" w:cs="宋体"/>
                <w:color w:val="auto"/>
                <w:spacing w:val="-1"/>
                <w:szCs w:val="21"/>
              </w:rPr>
              <w:t>物化</w:t>
            </w:r>
            <w:r>
              <w:rPr>
                <w:rFonts w:hint="eastAsia" w:eastAsia="Times New Roman"/>
                <w:color w:val="auto"/>
                <w:spacing w:val="-1"/>
                <w:szCs w:val="21"/>
              </w:rPr>
              <w:t>+</w:t>
            </w:r>
            <w:r>
              <w:rPr>
                <w:rFonts w:hint="eastAsia" w:ascii="宋体" w:hAnsi="宋体" w:cs="宋体"/>
                <w:color w:val="auto"/>
                <w:spacing w:val="-1"/>
                <w:szCs w:val="21"/>
              </w:rPr>
              <w:t>好氧处理（</w:t>
            </w:r>
            <w:r>
              <w:rPr>
                <w:rFonts w:hint="eastAsia" w:eastAsia="Times New Roman"/>
                <w:color w:val="auto"/>
                <w:spacing w:val="-1"/>
                <w:szCs w:val="21"/>
              </w:rPr>
              <w:t>SBR</w:t>
            </w:r>
            <w:r>
              <w:rPr>
                <w:rFonts w:hint="eastAsia" w:ascii="宋体" w:hAnsi="宋体" w:cs="宋体"/>
                <w:color w:val="auto"/>
                <w:spacing w:val="-1"/>
                <w:szCs w:val="21"/>
              </w:rPr>
              <w:t>工艺）</w:t>
            </w:r>
            <w:r>
              <w:rPr>
                <w:rFonts w:hint="eastAsia" w:eastAsia="Times New Roman"/>
                <w:color w:val="auto"/>
                <w:spacing w:val="-1"/>
                <w:szCs w:val="21"/>
              </w:rPr>
              <w:t>+</w:t>
            </w:r>
            <w:r>
              <w:rPr>
                <w:rFonts w:hint="eastAsia" w:ascii="宋体" w:hAnsi="宋体" w:cs="宋体"/>
                <w:color w:val="auto"/>
                <w:spacing w:val="-1"/>
                <w:szCs w:val="21"/>
              </w:rPr>
              <w:t>深度处理（</w:t>
            </w:r>
            <w:r>
              <w:rPr>
                <w:rFonts w:hint="eastAsia" w:eastAsia="Times New Roman"/>
                <w:color w:val="auto"/>
                <w:spacing w:val="-1"/>
                <w:szCs w:val="21"/>
              </w:rPr>
              <w:t>Fenton</w:t>
            </w:r>
            <w:r>
              <w:rPr>
                <w:rFonts w:hint="eastAsia" w:ascii="宋体" w:hAnsi="宋体" w:cs="宋体"/>
                <w:color w:val="auto"/>
                <w:spacing w:val="-1"/>
                <w:szCs w:val="21"/>
              </w:rPr>
              <w:t>）</w:t>
            </w:r>
            <w:r>
              <w:rPr>
                <w:rFonts w:hint="eastAsia" w:eastAsia="Times New Roman"/>
                <w:color w:val="auto"/>
                <w:spacing w:val="-1"/>
                <w:szCs w:val="21"/>
              </w:rPr>
              <w:t>+</w:t>
            </w:r>
            <w:r>
              <w:rPr>
                <w:rFonts w:hint="eastAsia" w:ascii="宋体" w:hAnsi="宋体" w:cs="宋体"/>
                <w:color w:val="auto"/>
                <w:spacing w:val="-1"/>
                <w:szCs w:val="21"/>
              </w:rPr>
              <w:t>高效浅层气浮</w:t>
            </w:r>
            <w:r>
              <w:rPr>
                <w:rFonts w:eastAsia="Times New Roman" w:cs="Times New Roman"/>
                <w:color w:val="auto"/>
                <w:spacing w:val="-1"/>
                <w:szCs w:val="21"/>
              </w:rPr>
              <w:t>”</w:t>
            </w:r>
            <w:r>
              <w:rPr>
                <w:rFonts w:hint="eastAsia" w:ascii="宋体" w:hAnsi="宋体" w:cs="宋体"/>
                <w:color w:val="auto"/>
                <w:spacing w:val="-1"/>
                <w:szCs w:val="21"/>
              </w:rPr>
              <w:t>工艺，主要处理现有</w:t>
            </w:r>
            <w:r>
              <w:rPr>
                <w:rFonts w:hint="eastAsia" w:eastAsia="Times New Roman"/>
                <w:color w:val="auto"/>
                <w:spacing w:val="-1"/>
                <w:szCs w:val="21"/>
              </w:rPr>
              <w:t>1#~3#</w:t>
            </w:r>
            <w:r>
              <w:rPr>
                <w:rFonts w:hint="eastAsia" w:ascii="宋体" w:hAnsi="宋体" w:cs="宋体"/>
                <w:color w:val="auto"/>
                <w:spacing w:val="-1"/>
                <w:szCs w:val="21"/>
              </w:rPr>
              <w:t>化机浆线、</w:t>
            </w:r>
            <w:r>
              <w:rPr>
                <w:rFonts w:hint="eastAsia" w:eastAsia="Times New Roman"/>
                <w:color w:val="auto"/>
                <w:spacing w:val="-1"/>
                <w:szCs w:val="21"/>
              </w:rPr>
              <w:t>1#</w:t>
            </w:r>
            <w:r>
              <w:rPr>
                <w:rFonts w:hint="eastAsia" w:ascii="宋体" w:hAnsi="宋体" w:cs="宋体"/>
                <w:color w:val="auto"/>
                <w:spacing w:val="-1"/>
                <w:szCs w:val="21"/>
              </w:rPr>
              <w:t>纸机及其配套辅助设施废水。新增</w:t>
            </w:r>
            <w:r>
              <w:rPr>
                <w:rFonts w:hint="eastAsia" w:eastAsia="Times New Roman"/>
                <w:color w:val="auto"/>
                <w:spacing w:val="-1"/>
                <w:szCs w:val="21"/>
              </w:rPr>
              <w:t>21000m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处理设施，用于处理</w:t>
            </w:r>
            <w:r>
              <w:rPr>
                <w:rFonts w:hint="eastAsia" w:eastAsia="Times New Roman"/>
                <w:color w:val="auto"/>
                <w:spacing w:val="-1"/>
                <w:szCs w:val="21"/>
              </w:rPr>
              <w:t>1#</w:t>
            </w:r>
            <w:r>
              <w:rPr>
                <w:rFonts w:hint="eastAsia" w:ascii="宋体" w:hAnsi="宋体" w:cs="宋体"/>
                <w:color w:val="auto"/>
                <w:spacing w:val="-1"/>
                <w:szCs w:val="21"/>
              </w:rPr>
              <w:t>污水处理站废水，经</w:t>
            </w:r>
            <w:r>
              <w:rPr>
                <w:rFonts w:eastAsia="Times New Roman" w:cs="Times New Roman"/>
                <w:color w:val="auto"/>
                <w:spacing w:val="-1"/>
                <w:szCs w:val="21"/>
              </w:rPr>
              <w:t>“</w:t>
            </w:r>
            <w:r>
              <w:rPr>
                <w:rFonts w:hint="eastAsia" w:ascii="宋体" w:hAnsi="宋体" w:cs="宋体"/>
                <w:color w:val="auto"/>
                <w:spacing w:val="-1"/>
                <w:szCs w:val="21"/>
              </w:rPr>
              <w:t>格栅</w:t>
            </w:r>
            <w:r>
              <w:rPr>
                <w:rFonts w:hint="eastAsia" w:eastAsia="Times New Roman"/>
                <w:color w:val="auto"/>
                <w:spacing w:val="-1"/>
                <w:szCs w:val="21"/>
              </w:rPr>
              <w:t>+</w:t>
            </w:r>
            <w:r>
              <w:rPr>
                <w:rFonts w:hint="eastAsia" w:ascii="宋体" w:hAnsi="宋体" w:cs="宋体"/>
                <w:color w:val="auto"/>
                <w:spacing w:val="-1"/>
                <w:szCs w:val="21"/>
              </w:rPr>
              <w:t>气浮</w:t>
            </w:r>
            <w:r>
              <w:rPr>
                <w:rFonts w:hint="eastAsia" w:eastAsia="Times New Roman"/>
                <w:color w:val="auto"/>
                <w:spacing w:val="-1"/>
                <w:szCs w:val="21"/>
              </w:rPr>
              <w:t>+</w:t>
            </w:r>
            <w:r>
              <w:rPr>
                <w:rFonts w:hint="eastAsia" w:ascii="宋体" w:hAnsi="宋体" w:cs="宋体"/>
                <w:color w:val="auto"/>
                <w:spacing w:val="-1"/>
                <w:szCs w:val="21"/>
              </w:rPr>
              <w:t>絮凝沉淀</w:t>
            </w:r>
            <w:r>
              <w:rPr>
                <w:rFonts w:hint="eastAsia" w:eastAsia="Times New Roman"/>
                <w:color w:val="auto"/>
                <w:spacing w:val="-1"/>
                <w:szCs w:val="21"/>
              </w:rPr>
              <w:t>+UMAR</w:t>
            </w:r>
            <w:r>
              <w:rPr>
                <w:rFonts w:hint="eastAsia" w:ascii="宋体" w:hAnsi="宋体" w:cs="宋体"/>
                <w:color w:val="auto"/>
                <w:spacing w:val="-1"/>
                <w:szCs w:val="21"/>
              </w:rPr>
              <w:t>厌氧反应器</w:t>
            </w:r>
            <w:r>
              <w:rPr>
                <w:rFonts w:hint="eastAsia" w:eastAsia="Times New Roman"/>
                <w:color w:val="auto"/>
                <w:spacing w:val="-1"/>
                <w:szCs w:val="21"/>
              </w:rPr>
              <w:t>+</w:t>
            </w:r>
            <w:r>
              <w:rPr>
                <w:rFonts w:hint="eastAsia" w:ascii="宋体" w:hAnsi="宋体" w:cs="宋体"/>
                <w:color w:val="auto"/>
                <w:spacing w:val="-1"/>
                <w:szCs w:val="21"/>
              </w:rPr>
              <w:t>二级</w:t>
            </w:r>
            <w:r>
              <w:rPr>
                <w:rFonts w:hint="eastAsia" w:eastAsia="Times New Roman"/>
                <w:color w:val="auto"/>
                <w:spacing w:val="-1"/>
                <w:szCs w:val="21"/>
              </w:rPr>
              <w:t>AO+Fenton</w:t>
            </w:r>
            <w:r>
              <w:rPr>
                <w:rFonts w:hint="eastAsia" w:ascii="宋体" w:hAnsi="宋体" w:cs="宋体"/>
                <w:color w:val="auto"/>
                <w:spacing w:val="-1"/>
                <w:szCs w:val="21"/>
              </w:rPr>
              <w:t>氧化</w:t>
            </w:r>
            <w:r>
              <w:rPr>
                <w:rFonts w:eastAsia="Times New Roman" w:cs="Times New Roman"/>
                <w:color w:val="auto"/>
                <w:spacing w:val="-1"/>
                <w:szCs w:val="21"/>
              </w:rPr>
              <w:t>”</w:t>
            </w:r>
            <w:r>
              <w:rPr>
                <w:rFonts w:hint="eastAsia" w:ascii="宋体" w:hAnsi="宋体" w:cs="宋体"/>
                <w:color w:val="auto"/>
                <w:spacing w:val="-1"/>
                <w:szCs w:val="21"/>
              </w:rPr>
              <w:t>后汇入现有中间水池，</w:t>
            </w:r>
            <w:r>
              <w:rPr>
                <w:rFonts w:hint="eastAsia" w:eastAsia="Times New Roman"/>
                <w:color w:val="auto"/>
                <w:spacing w:val="-1"/>
                <w:szCs w:val="21"/>
              </w:rPr>
              <w:t>1#</w:t>
            </w:r>
            <w:r>
              <w:rPr>
                <w:rFonts w:hint="eastAsia" w:ascii="宋体" w:hAnsi="宋体" w:cs="宋体"/>
                <w:color w:val="auto"/>
                <w:spacing w:val="-1"/>
                <w:szCs w:val="21"/>
              </w:rPr>
              <w:t>污水处理站总处理规模</w:t>
            </w:r>
            <w:r>
              <w:rPr>
                <w:rFonts w:hint="eastAsia" w:eastAsia="Times New Roman"/>
                <w:color w:val="auto"/>
                <w:spacing w:val="-1"/>
                <w:szCs w:val="21"/>
              </w:rPr>
              <w:t>60000m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不变。</w:t>
            </w:r>
          </w:p>
          <w:p w14:paraId="1B89E994">
            <w:pPr>
              <w:pStyle w:val="33"/>
              <w:jc w:val="both"/>
              <w:rPr>
                <w:rFonts w:eastAsia="Times New Roman"/>
                <w:color w:val="auto"/>
                <w:spacing w:val="-1"/>
                <w:szCs w:val="21"/>
              </w:rPr>
            </w:pPr>
            <w:r>
              <w:rPr>
                <w:rFonts w:hint="eastAsia" w:eastAsia="Times New Roman"/>
                <w:color w:val="auto"/>
                <w:spacing w:val="-1"/>
                <w:szCs w:val="21"/>
              </w:rPr>
              <w:t>2#</w:t>
            </w:r>
            <w:r>
              <w:rPr>
                <w:rFonts w:hint="eastAsia" w:ascii="宋体" w:hAnsi="宋体" w:cs="宋体"/>
                <w:color w:val="auto"/>
                <w:spacing w:val="-1"/>
                <w:szCs w:val="21"/>
              </w:rPr>
              <w:t>污水处理站规模</w:t>
            </w:r>
            <w:r>
              <w:rPr>
                <w:rFonts w:hint="eastAsia" w:eastAsia="Times New Roman"/>
                <w:color w:val="auto"/>
                <w:spacing w:val="-1"/>
                <w:szCs w:val="21"/>
              </w:rPr>
              <w:t>45000m</w:t>
            </w:r>
            <w:r>
              <w:rPr>
                <w:rFonts w:hint="eastAsia" w:eastAsia="Times New Roman"/>
                <w:color w:val="auto"/>
                <w:spacing w:val="-1"/>
                <w:szCs w:val="21"/>
                <w:vertAlign w:val="superscript"/>
              </w:rPr>
              <w:t>3</w:t>
            </w:r>
            <w:r>
              <w:rPr>
                <w:rFonts w:hint="eastAsia" w:eastAsia="Times New Roman"/>
                <w:color w:val="auto"/>
                <w:spacing w:val="-1"/>
                <w:szCs w:val="21"/>
              </w:rPr>
              <w:t>/d</w:t>
            </w:r>
            <w:r>
              <w:rPr>
                <w:rFonts w:hint="eastAsia" w:ascii="宋体" w:hAnsi="宋体" w:cs="宋体"/>
                <w:color w:val="auto"/>
                <w:spacing w:val="-1"/>
                <w:szCs w:val="21"/>
              </w:rPr>
              <w:t>，采用</w:t>
            </w:r>
            <w:r>
              <w:rPr>
                <w:rFonts w:eastAsia="Times New Roman" w:cs="Times New Roman"/>
                <w:color w:val="auto"/>
                <w:spacing w:val="-1"/>
                <w:szCs w:val="21"/>
              </w:rPr>
              <w:t>“</w:t>
            </w:r>
            <w:r>
              <w:rPr>
                <w:rFonts w:hint="eastAsia" w:ascii="宋体" w:hAnsi="宋体" w:cs="宋体"/>
                <w:color w:val="auto"/>
                <w:spacing w:val="-1"/>
                <w:szCs w:val="21"/>
              </w:rPr>
              <w:t>絮凝沉淀</w:t>
            </w:r>
            <w:r>
              <w:rPr>
                <w:rFonts w:hint="eastAsia" w:eastAsia="Times New Roman"/>
                <w:color w:val="auto"/>
                <w:spacing w:val="-1"/>
                <w:szCs w:val="21"/>
              </w:rPr>
              <w:t>+A/O+</w:t>
            </w:r>
            <w:r>
              <w:rPr>
                <w:rFonts w:hint="eastAsia" w:ascii="宋体" w:hAnsi="宋体" w:cs="宋体"/>
                <w:color w:val="auto"/>
                <w:spacing w:val="-1"/>
                <w:szCs w:val="21"/>
              </w:rPr>
              <w:t>絮凝沉淀</w:t>
            </w:r>
            <w:r>
              <w:rPr>
                <w:rFonts w:hint="eastAsia" w:eastAsia="Times New Roman"/>
                <w:color w:val="auto"/>
                <w:spacing w:val="-1"/>
                <w:szCs w:val="21"/>
              </w:rPr>
              <w:t>/</w:t>
            </w:r>
            <w:r>
              <w:rPr>
                <w:rFonts w:hint="eastAsia" w:ascii="宋体" w:hAnsi="宋体" w:cs="宋体"/>
                <w:color w:val="auto"/>
                <w:spacing w:val="-1"/>
                <w:szCs w:val="21"/>
              </w:rPr>
              <w:t>芬顿处理</w:t>
            </w:r>
            <w:r>
              <w:rPr>
                <w:rFonts w:eastAsia="Times New Roman" w:cs="Times New Roman"/>
                <w:color w:val="auto"/>
                <w:spacing w:val="-1"/>
                <w:szCs w:val="21"/>
              </w:rPr>
              <w:t>”</w:t>
            </w:r>
            <w:r>
              <w:rPr>
                <w:rFonts w:hint="eastAsia" w:ascii="宋体" w:hAnsi="宋体" w:cs="宋体"/>
                <w:color w:val="auto"/>
                <w:spacing w:val="-1"/>
                <w:szCs w:val="21"/>
              </w:rPr>
              <w:t>工艺，主要处理</w:t>
            </w:r>
            <w:r>
              <w:rPr>
                <w:rFonts w:hint="eastAsia" w:eastAsia="Times New Roman"/>
                <w:color w:val="auto"/>
                <w:spacing w:val="-1"/>
                <w:szCs w:val="21"/>
              </w:rPr>
              <w:t>2#</w:t>
            </w:r>
            <w:r>
              <w:rPr>
                <w:rFonts w:hint="eastAsia" w:ascii="宋体" w:hAnsi="宋体" w:cs="宋体"/>
                <w:color w:val="auto"/>
                <w:spacing w:val="-1"/>
                <w:szCs w:val="21"/>
              </w:rPr>
              <w:t>纸机及其配套辅助设施废水。</w:t>
            </w:r>
          </w:p>
          <w:p w14:paraId="569B0AE4">
            <w:pPr>
              <w:pStyle w:val="33"/>
              <w:jc w:val="both"/>
              <w:rPr>
                <w:color w:val="auto"/>
              </w:rPr>
            </w:pPr>
            <w:r>
              <w:rPr>
                <w:rFonts w:hint="eastAsia" w:eastAsia="Times New Roman"/>
                <w:color w:val="auto"/>
                <w:spacing w:val="-1"/>
                <w:szCs w:val="21"/>
              </w:rPr>
              <w:t>1#</w:t>
            </w:r>
            <w:r>
              <w:rPr>
                <w:rFonts w:hint="eastAsia" w:ascii="宋体" w:hAnsi="宋体" w:cs="宋体"/>
                <w:color w:val="auto"/>
                <w:spacing w:val="-1"/>
                <w:szCs w:val="21"/>
              </w:rPr>
              <w:t>、</w:t>
            </w:r>
            <w:r>
              <w:rPr>
                <w:rFonts w:hint="eastAsia" w:eastAsia="Times New Roman"/>
                <w:color w:val="auto"/>
                <w:spacing w:val="-1"/>
                <w:szCs w:val="21"/>
              </w:rPr>
              <w:t>2#</w:t>
            </w:r>
            <w:r>
              <w:rPr>
                <w:rFonts w:hint="eastAsia" w:ascii="宋体" w:hAnsi="宋体" w:cs="宋体"/>
                <w:color w:val="auto"/>
                <w:spacing w:val="-1"/>
                <w:szCs w:val="21"/>
              </w:rPr>
              <w:t>污水处理站出水达到《制浆造纸工业水污染物排放标准》（</w:t>
            </w:r>
            <w:r>
              <w:rPr>
                <w:rFonts w:hint="eastAsia" w:eastAsia="Times New Roman"/>
                <w:color w:val="auto"/>
                <w:spacing w:val="-1"/>
                <w:szCs w:val="21"/>
              </w:rPr>
              <w:t>GB3544-2008</w:t>
            </w:r>
            <w:r>
              <w:rPr>
                <w:rFonts w:hint="eastAsia" w:ascii="宋体" w:hAnsi="宋体" w:cs="宋体"/>
                <w:color w:val="auto"/>
                <w:spacing w:val="-1"/>
                <w:szCs w:val="21"/>
              </w:rPr>
              <w:t>）表</w:t>
            </w:r>
            <w:r>
              <w:rPr>
                <w:rFonts w:hint="eastAsia" w:eastAsia="Times New Roman"/>
                <w:color w:val="auto"/>
                <w:spacing w:val="-1"/>
                <w:szCs w:val="21"/>
              </w:rPr>
              <w:t>2</w:t>
            </w:r>
            <w:r>
              <w:rPr>
                <w:rFonts w:hint="eastAsia" w:ascii="宋体" w:hAnsi="宋体" w:cs="宋体"/>
                <w:color w:val="auto"/>
                <w:spacing w:val="-1"/>
                <w:szCs w:val="21"/>
              </w:rPr>
              <w:t>中制浆和造纸联合生产企业排放限值后，由</w:t>
            </w:r>
            <w:r>
              <w:rPr>
                <w:rFonts w:hint="eastAsia" w:eastAsia="Times New Roman"/>
                <w:color w:val="auto"/>
                <w:spacing w:val="-1"/>
                <w:szCs w:val="21"/>
              </w:rPr>
              <w:t>A2</w:t>
            </w:r>
            <w:r>
              <w:rPr>
                <w:rFonts w:hint="eastAsia" w:ascii="宋体" w:hAnsi="宋体" w:cs="宋体"/>
                <w:color w:val="auto"/>
                <w:spacing w:val="-1"/>
                <w:szCs w:val="21"/>
              </w:rPr>
              <w:t>排污区排放</w:t>
            </w:r>
            <w:r>
              <w:rPr>
                <w:color w:val="auto"/>
                <w:spacing w:val="-2"/>
                <w:szCs w:val="21"/>
              </w:rPr>
              <w:t>。</w:t>
            </w:r>
          </w:p>
        </w:tc>
        <w:tc>
          <w:tcPr>
            <w:tcW w:w="567" w:type="dxa"/>
            <w:vAlign w:val="center"/>
          </w:tcPr>
          <w:p w14:paraId="58314D6A">
            <w:pPr>
              <w:pStyle w:val="33"/>
              <w:rPr>
                <w:color w:val="auto"/>
              </w:rPr>
            </w:pPr>
            <w:r>
              <w:rPr>
                <w:rFonts w:hint="eastAsia"/>
                <w:color w:val="auto"/>
              </w:rPr>
              <w:t>新建</w:t>
            </w:r>
          </w:p>
        </w:tc>
      </w:tr>
      <w:tr w14:paraId="50969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201BA7F0">
            <w:pPr>
              <w:pStyle w:val="33"/>
              <w:rPr>
                <w:color w:val="auto"/>
              </w:rPr>
            </w:pPr>
          </w:p>
        </w:tc>
        <w:tc>
          <w:tcPr>
            <w:tcW w:w="937" w:type="dxa"/>
            <w:vMerge w:val="continue"/>
            <w:vAlign w:val="center"/>
          </w:tcPr>
          <w:p w14:paraId="60066792">
            <w:pPr>
              <w:pStyle w:val="33"/>
              <w:rPr>
                <w:color w:val="auto"/>
                <w:spacing w:val="-3"/>
                <w:szCs w:val="21"/>
              </w:rPr>
            </w:pPr>
          </w:p>
        </w:tc>
        <w:tc>
          <w:tcPr>
            <w:tcW w:w="3260" w:type="dxa"/>
            <w:vAlign w:val="center"/>
          </w:tcPr>
          <w:p w14:paraId="7389F0FA">
            <w:pPr>
              <w:pStyle w:val="33"/>
              <w:jc w:val="both"/>
              <w:rPr>
                <w:color w:val="auto"/>
              </w:rPr>
            </w:pPr>
            <w:r>
              <w:rPr>
                <w:bCs/>
                <w:color w:val="auto"/>
              </w:rPr>
              <w:t>中水回用工段</w:t>
            </w:r>
            <w:r>
              <w:rPr>
                <w:rFonts w:hint="eastAsia"/>
                <w:bCs/>
                <w:color w:val="auto"/>
              </w:rPr>
              <w:t>，</w:t>
            </w:r>
            <w:r>
              <w:rPr>
                <w:color w:val="auto"/>
                <w:spacing w:val="-2"/>
                <w:szCs w:val="21"/>
              </w:rPr>
              <w:t>规模</w:t>
            </w:r>
            <w:r>
              <w:rPr>
                <w:rFonts w:hint="eastAsia" w:eastAsiaTheme="minorEastAsia"/>
                <w:color w:val="auto"/>
                <w:spacing w:val="-2"/>
                <w:szCs w:val="21"/>
              </w:rPr>
              <w:t>5</w:t>
            </w:r>
            <w:r>
              <w:rPr>
                <w:rFonts w:eastAsia="Times New Roman"/>
                <w:color w:val="auto"/>
                <w:spacing w:val="-2"/>
                <w:szCs w:val="21"/>
              </w:rPr>
              <w:t>000m</w:t>
            </w:r>
            <w:r>
              <w:rPr>
                <w:rFonts w:eastAsia="Times New Roman"/>
                <w:color w:val="auto"/>
                <w:spacing w:val="-2"/>
                <w:position w:val="7"/>
                <w:sz w:val="14"/>
                <w:szCs w:val="14"/>
              </w:rPr>
              <w:t>3</w:t>
            </w:r>
            <w:r>
              <w:rPr>
                <w:rFonts w:eastAsia="Times New Roman"/>
                <w:color w:val="auto"/>
                <w:spacing w:val="-2"/>
                <w:szCs w:val="21"/>
              </w:rPr>
              <w:t>/d</w:t>
            </w:r>
            <w:r>
              <w:rPr>
                <w:color w:val="auto"/>
                <w:spacing w:val="-2"/>
                <w:szCs w:val="21"/>
              </w:rPr>
              <w:t>，进水取自污水厂最终出水</w:t>
            </w:r>
            <w:r>
              <w:rPr>
                <w:rFonts w:hint="eastAsia"/>
                <w:color w:val="auto"/>
                <w:spacing w:val="-2"/>
                <w:szCs w:val="21"/>
              </w:rPr>
              <w:t>，采用“</w:t>
            </w:r>
            <w:r>
              <w:rPr>
                <w:color w:val="auto"/>
                <w:spacing w:val="-2"/>
                <w:szCs w:val="21"/>
              </w:rPr>
              <w:t>高密度澄清池</w:t>
            </w:r>
            <w:r>
              <w:rPr>
                <w:rFonts w:hint="eastAsia"/>
                <w:color w:val="auto"/>
                <w:spacing w:val="-2"/>
                <w:szCs w:val="21"/>
              </w:rPr>
              <w:t>+</w:t>
            </w:r>
            <w:r>
              <w:rPr>
                <w:color w:val="auto"/>
                <w:spacing w:val="-2"/>
                <w:szCs w:val="21"/>
              </w:rPr>
              <w:t>多介质过滤</w:t>
            </w:r>
            <w:r>
              <w:rPr>
                <w:rFonts w:hint="eastAsia"/>
                <w:color w:val="auto"/>
                <w:spacing w:val="-2"/>
                <w:szCs w:val="21"/>
              </w:rPr>
              <w:t>”工艺，出水用于</w:t>
            </w:r>
            <w:r>
              <w:rPr>
                <w:color w:val="auto"/>
                <w:spacing w:val="-2"/>
                <w:szCs w:val="21"/>
              </w:rPr>
              <w:t>电厂冷却塔补水使用</w:t>
            </w:r>
            <w:r>
              <w:rPr>
                <w:rFonts w:hint="eastAsia"/>
                <w:color w:val="auto"/>
                <w:spacing w:val="-2"/>
                <w:szCs w:val="21"/>
              </w:rPr>
              <w:t>。</w:t>
            </w:r>
          </w:p>
        </w:tc>
        <w:tc>
          <w:tcPr>
            <w:tcW w:w="3685" w:type="dxa"/>
            <w:vMerge w:val="continue"/>
            <w:vAlign w:val="center"/>
          </w:tcPr>
          <w:p w14:paraId="43A39426">
            <w:pPr>
              <w:pStyle w:val="33"/>
              <w:jc w:val="both"/>
              <w:rPr>
                <w:color w:val="auto"/>
              </w:rPr>
            </w:pPr>
          </w:p>
        </w:tc>
        <w:tc>
          <w:tcPr>
            <w:tcW w:w="567" w:type="dxa"/>
            <w:vAlign w:val="center"/>
          </w:tcPr>
          <w:p w14:paraId="179F2D39">
            <w:pPr>
              <w:pStyle w:val="33"/>
              <w:rPr>
                <w:color w:val="auto"/>
              </w:rPr>
            </w:pPr>
            <w:r>
              <w:rPr>
                <w:rFonts w:hint="eastAsia"/>
                <w:color w:val="auto"/>
              </w:rPr>
              <w:t>新建</w:t>
            </w:r>
          </w:p>
        </w:tc>
      </w:tr>
      <w:tr w14:paraId="2EB4B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52EF2740">
            <w:pPr>
              <w:pStyle w:val="33"/>
              <w:rPr>
                <w:color w:val="auto"/>
              </w:rPr>
            </w:pPr>
          </w:p>
        </w:tc>
        <w:tc>
          <w:tcPr>
            <w:tcW w:w="937" w:type="dxa"/>
            <w:vMerge w:val="restart"/>
            <w:vAlign w:val="center"/>
          </w:tcPr>
          <w:p w14:paraId="3BC19A4B">
            <w:pPr>
              <w:pStyle w:val="33"/>
              <w:rPr>
                <w:color w:val="auto"/>
              </w:rPr>
            </w:pPr>
            <w:r>
              <w:rPr>
                <w:rFonts w:hint="eastAsia"/>
                <w:color w:val="auto"/>
              </w:rPr>
              <w:t>废气</w:t>
            </w:r>
          </w:p>
        </w:tc>
        <w:tc>
          <w:tcPr>
            <w:tcW w:w="6945" w:type="dxa"/>
            <w:gridSpan w:val="2"/>
            <w:vAlign w:val="center"/>
          </w:tcPr>
          <w:p w14:paraId="0F48279D">
            <w:pPr>
              <w:pStyle w:val="33"/>
              <w:jc w:val="both"/>
              <w:rPr>
                <w:color w:val="auto"/>
              </w:rPr>
            </w:pPr>
            <w:r>
              <w:rPr>
                <w:rFonts w:eastAsia="Times New Roman"/>
                <w:color w:val="auto"/>
                <w:spacing w:val="-6"/>
              </w:rPr>
              <w:t>1#</w:t>
            </w:r>
            <w:r>
              <w:rPr>
                <w:color w:val="auto"/>
                <w:spacing w:val="-6"/>
              </w:rPr>
              <w:t>造纸车间</w:t>
            </w:r>
            <w:r>
              <w:rPr>
                <w:rFonts w:hint="eastAsia"/>
                <w:color w:val="auto"/>
                <w:spacing w:val="-6"/>
              </w:rPr>
              <w:t>烘干废气经</w:t>
            </w:r>
            <w:r>
              <w:rPr>
                <w:color w:val="auto"/>
                <w:spacing w:val="-6"/>
              </w:rPr>
              <w:t>车间顶部</w:t>
            </w:r>
            <w:r>
              <w:rPr>
                <w:rFonts w:eastAsia="Times New Roman"/>
                <w:color w:val="auto"/>
                <w:spacing w:val="-6"/>
              </w:rPr>
              <w:t>5</w:t>
            </w:r>
            <w:r>
              <w:rPr>
                <w:color w:val="auto"/>
                <w:spacing w:val="-6"/>
              </w:rPr>
              <w:t>根</w:t>
            </w:r>
            <w:r>
              <w:rPr>
                <w:rFonts w:eastAsia="Times New Roman"/>
                <w:color w:val="auto"/>
                <w:spacing w:val="-6"/>
              </w:rPr>
              <w:t>30m</w:t>
            </w:r>
            <w:r>
              <w:rPr>
                <w:rFonts w:hint="eastAsia" w:ascii="宋体" w:hAnsi="宋体" w:cs="宋体"/>
                <w:color w:val="auto"/>
                <w:spacing w:val="-6"/>
              </w:rPr>
              <w:t>高，规格为</w:t>
            </w:r>
            <w:r>
              <w:rPr>
                <w:rFonts w:eastAsia="Times New Roman"/>
                <w:color w:val="auto"/>
                <w:spacing w:val="-6"/>
              </w:rPr>
              <w:t>0.815m</w:t>
            </w:r>
            <w:r>
              <w:rPr>
                <w:color w:val="auto"/>
                <w:spacing w:val="-6"/>
              </w:rPr>
              <w:t>×</w:t>
            </w:r>
            <w:r>
              <w:rPr>
                <w:rFonts w:eastAsia="Times New Roman"/>
                <w:color w:val="auto"/>
                <w:spacing w:val="-6"/>
              </w:rPr>
              <w:t>0.815m</w:t>
            </w:r>
            <w:r>
              <w:rPr>
                <w:color w:val="auto"/>
                <w:spacing w:val="-6"/>
              </w:rPr>
              <w:t>排气筒（</w:t>
            </w:r>
            <w:r>
              <w:rPr>
                <w:rFonts w:hint="eastAsia"/>
                <w:color w:val="auto"/>
              </w:rPr>
              <w:t>D</w:t>
            </w:r>
            <w:r>
              <w:rPr>
                <w:color w:val="auto"/>
              </w:rPr>
              <w:t>A029</w:t>
            </w:r>
            <w:r>
              <w:rPr>
                <w:rFonts w:hint="eastAsia"/>
                <w:color w:val="auto"/>
              </w:rPr>
              <w:t>、</w:t>
            </w:r>
            <w:r>
              <w:rPr>
                <w:color w:val="auto"/>
              </w:rPr>
              <w:t>DA033</w:t>
            </w:r>
            <w:r>
              <w:rPr>
                <w:rFonts w:hint="eastAsia"/>
                <w:color w:val="auto"/>
              </w:rPr>
              <w:t>、</w:t>
            </w:r>
            <w:r>
              <w:rPr>
                <w:color w:val="auto"/>
              </w:rPr>
              <w:t>DA035</w:t>
            </w:r>
            <w:r>
              <w:rPr>
                <w:rFonts w:hint="eastAsia"/>
                <w:color w:val="auto"/>
              </w:rPr>
              <w:t>、</w:t>
            </w:r>
            <w:r>
              <w:rPr>
                <w:color w:val="auto"/>
              </w:rPr>
              <w:t>DA037</w:t>
            </w:r>
            <w:r>
              <w:rPr>
                <w:rFonts w:hint="eastAsia"/>
                <w:color w:val="auto"/>
              </w:rPr>
              <w:t>和</w:t>
            </w:r>
            <w:r>
              <w:rPr>
                <w:color w:val="auto"/>
              </w:rPr>
              <w:t>DA039</w:t>
            </w:r>
            <w:r>
              <w:rPr>
                <w:color w:val="auto"/>
                <w:spacing w:val="-6"/>
              </w:rPr>
              <w:t>）排放。</w:t>
            </w:r>
          </w:p>
        </w:tc>
        <w:tc>
          <w:tcPr>
            <w:tcW w:w="567" w:type="dxa"/>
            <w:vAlign w:val="center"/>
          </w:tcPr>
          <w:p w14:paraId="42A4288F">
            <w:pPr>
              <w:pStyle w:val="33"/>
              <w:rPr>
                <w:color w:val="auto"/>
              </w:rPr>
            </w:pPr>
            <w:r>
              <w:rPr>
                <w:rFonts w:hint="eastAsia"/>
                <w:color w:val="auto"/>
              </w:rPr>
              <w:t>依托现有</w:t>
            </w:r>
          </w:p>
        </w:tc>
      </w:tr>
      <w:tr w14:paraId="22CAE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667DCD9E">
            <w:pPr>
              <w:pStyle w:val="33"/>
              <w:rPr>
                <w:color w:val="auto"/>
              </w:rPr>
            </w:pPr>
          </w:p>
        </w:tc>
        <w:tc>
          <w:tcPr>
            <w:tcW w:w="937" w:type="dxa"/>
            <w:vMerge w:val="continue"/>
            <w:vAlign w:val="center"/>
          </w:tcPr>
          <w:p w14:paraId="0346148C">
            <w:pPr>
              <w:pStyle w:val="33"/>
              <w:rPr>
                <w:color w:val="auto"/>
              </w:rPr>
            </w:pPr>
          </w:p>
        </w:tc>
        <w:tc>
          <w:tcPr>
            <w:tcW w:w="6945" w:type="dxa"/>
            <w:gridSpan w:val="2"/>
            <w:vAlign w:val="center"/>
          </w:tcPr>
          <w:p w14:paraId="09EE9824">
            <w:pPr>
              <w:pStyle w:val="33"/>
              <w:jc w:val="both"/>
              <w:rPr>
                <w:color w:val="auto"/>
              </w:rPr>
            </w:pPr>
            <w:r>
              <w:rPr>
                <w:rFonts w:eastAsia="Times New Roman"/>
                <w:color w:val="auto"/>
              </w:rPr>
              <w:t>2#</w:t>
            </w:r>
            <w:r>
              <w:rPr>
                <w:color w:val="auto"/>
              </w:rPr>
              <w:t>造纸车间</w:t>
            </w:r>
            <w:r>
              <w:rPr>
                <w:rFonts w:hint="eastAsia"/>
                <w:color w:val="auto"/>
                <w:spacing w:val="-6"/>
              </w:rPr>
              <w:t>烘干废气</w:t>
            </w:r>
            <w:r>
              <w:rPr>
                <w:rFonts w:hint="eastAsia"/>
                <w:color w:val="auto"/>
              </w:rPr>
              <w:t>经车</w:t>
            </w:r>
            <w:r>
              <w:rPr>
                <w:color w:val="auto"/>
              </w:rPr>
              <w:t>间顶部</w:t>
            </w:r>
            <w:r>
              <w:rPr>
                <w:rFonts w:eastAsia="Times New Roman"/>
                <w:color w:val="auto"/>
              </w:rPr>
              <w:t>4</w:t>
            </w:r>
            <w:r>
              <w:rPr>
                <w:color w:val="auto"/>
              </w:rPr>
              <w:t>根</w:t>
            </w:r>
            <w:r>
              <w:rPr>
                <w:rFonts w:eastAsia="Times New Roman"/>
                <w:color w:val="auto"/>
              </w:rPr>
              <w:t>24m</w:t>
            </w:r>
            <w:r>
              <w:rPr>
                <w:rFonts w:hint="eastAsia" w:ascii="宋体" w:hAnsi="宋体" w:cs="宋体"/>
                <w:color w:val="auto"/>
              </w:rPr>
              <w:t>高，内径</w:t>
            </w:r>
            <w:r>
              <w:rPr>
                <w:rFonts w:eastAsia="Times New Roman"/>
                <w:color w:val="auto"/>
              </w:rPr>
              <w:t>Φ0.60m</w:t>
            </w:r>
            <w:r>
              <w:rPr>
                <w:rFonts w:hint="eastAsia" w:ascii="宋体" w:hAnsi="宋体" w:cs="宋体"/>
                <w:color w:val="auto"/>
              </w:rPr>
              <w:t>（</w:t>
            </w:r>
            <w:r>
              <w:rPr>
                <w:rFonts w:hint="eastAsia"/>
                <w:color w:val="auto"/>
              </w:rPr>
              <w:t>D</w:t>
            </w:r>
            <w:r>
              <w:rPr>
                <w:color w:val="auto"/>
              </w:rPr>
              <w:t>A032</w:t>
            </w:r>
            <w:r>
              <w:rPr>
                <w:rFonts w:hint="eastAsia"/>
                <w:color w:val="auto"/>
              </w:rPr>
              <w:t>、</w:t>
            </w:r>
            <w:r>
              <w:rPr>
                <w:color w:val="auto"/>
              </w:rPr>
              <w:t>DA034</w:t>
            </w:r>
            <w:r>
              <w:rPr>
                <w:rFonts w:hint="eastAsia"/>
                <w:color w:val="auto"/>
              </w:rPr>
              <w:t>、</w:t>
            </w:r>
            <w:r>
              <w:rPr>
                <w:color w:val="auto"/>
              </w:rPr>
              <w:t>DA036</w:t>
            </w:r>
            <w:r>
              <w:rPr>
                <w:rFonts w:hint="eastAsia"/>
                <w:color w:val="auto"/>
              </w:rPr>
              <w:t>、</w:t>
            </w:r>
            <w:r>
              <w:rPr>
                <w:color w:val="auto"/>
              </w:rPr>
              <w:t>DA038</w:t>
            </w:r>
            <w:r>
              <w:rPr>
                <w:rFonts w:hint="eastAsia" w:ascii="宋体" w:hAnsi="宋体" w:cs="宋体"/>
                <w:color w:val="auto"/>
              </w:rPr>
              <w:t>）</w:t>
            </w:r>
            <w:r>
              <w:rPr>
                <w:color w:val="auto"/>
              </w:rPr>
              <w:t>、</w:t>
            </w:r>
            <w:r>
              <w:rPr>
                <w:rFonts w:eastAsia="Times New Roman"/>
                <w:color w:val="auto"/>
                <w:spacing w:val="-2"/>
              </w:rPr>
              <w:t>1</w:t>
            </w:r>
            <w:r>
              <w:rPr>
                <w:color w:val="auto"/>
                <w:spacing w:val="-2"/>
              </w:rPr>
              <w:t>根</w:t>
            </w:r>
            <w:r>
              <w:rPr>
                <w:rFonts w:eastAsia="Times New Roman"/>
                <w:color w:val="auto"/>
                <w:spacing w:val="-2"/>
              </w:rPr>
              <w:t>26m</w:t>
            </w:r>
            <w:r>
              <w:rPr>
                <w:rFonts w:hint="eastAsia" w:ascii="宋体" w:hAnsi="宋体" w:cs="宋体"/>
                <w:color w:val="auto"/>
              </w:rPr>
              <w:t>，内径</w:t>
            </w:r>
            <w:r>
              <w:rPr>
                <w:rFonts w:eastAsia="Times New Roman"/>
                <w:color w:val="auto"/>
                <w:spacing w:val="-2"/>
              </w:rPr>
              <w:t>Φ0.80m</w:t>
            </w:r>
            <w:r>
              <w:rPr>
                <w:rFonts w:hint="eastAsia" w:ascii="宋体" w:hAnsi="宋体" w:cs="宋体"/>
                <w:color w:val="auto"/>
                <w:spacing w:val="-2"/>
              </w:rPr>
              <w:t>（</w:t>
            </w:r>
            <w:r>
              <w:rPr>
                <w:color w:val="auto"/>
              </w:rPr>
              <w:t>DA040</w:t>
            </w:r>
            <w:r>
              <w:rPr>
                <w:rFonts w:hint="eastAsia" w:ascii="宋体" w:hAnsi="宋体" w:cs="宋体"/>
                <w:color w:val="auto"/>
                <w:spacing w:val="-2"/>
              </w:rPr>
              <w:t>）</w:t>
            </w:r>
            <w:r>
              <w:rPr>
                <w:color w:val="auto"/>
                <w:spacing w:val="-6"/>
              </w:rPr>
              <w:t>排放</w:t>
            </w:r>
            <w:r>
              <w:rPr>
                <w:color w:val="auto"/>
                <w:spacing w:val="-3"/>
              </w:rPr>
              <w:t>。</w:t>
            </w:r>
          </w:p>
        </w:tc>
        <w:tc>
          <w:tcPr>
            <w:tcW w:w="567" w:type="dxa"/>
            <w:vAlign w:val="center"/>
          </w:tcPr>
          <w:p w14:paraId="3104DE24">
            <w:pPr>
              <w:pStyle w:val="33"/>
              <w:rPr>
                <w:color w:val="auto"/>
              </w:rPr>
            </w:pPr>
            <w:r>
              <w:rPr>
                <w:rFonts w:hint="eastAsia"/>
                <w:color w:val="auto"/>
              </w:rPr>
              <w:t>依托现有</w:t>
            </w:r>
          </w:p>
        </w:tc>
      </w:tr>
      <w:tr w14:paraId="3362B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67939BC1">
            <w:pPr>
              <w:pStyle w:val="33"/>
              <w:rPr>
                <w:color w:val="auto"/>
              </w:rPr>
            </w:pPr>
          </w:p>
        </w:tc>
        <w:tc>
          <w:tcPr>
            <w:tcW w:w="937" w:type="dxa"/>
            <w:vMerge w:val="continue"/>
            <w:vAlign w:val="center"/>
          </w:tcPr>
          <w:p w14:paraId="24CB2237">
            <w:pPr>
              <w:pStyle w:val="33"/>
              <w:rPr>
                <w:color w:val="auto"/>
              </w:rPr>
            </w:pPr>
          </w:p>
        </w:tc>
        <w:tc>
          <w:tcPr>
            <w:tcW w:w="6945" w:type="dxa"/>
            <w:gridSpan w:val="2"/>
            <w:vAlign w:val="center"/>
          </w:tcPr>
          <w:p w14:paraId="72410DD2">
            <w:pPr>
              <w:pStyle w:val="33"/>
              <w:jc w:val="both"/>
              <w:rPr>
                <w:color w:val="auto"/>
              </w:rPr>
            </w:pPr>
            <w:r>
              <w:rPr>
                <w:rFonts w:eastAsia="Times New Roman"/>
                <w:color w:val="auto"/>
                <w:spacing w:val="-6"/>
              </w:rPr>
              <w:t>1#</w:t>
            </w:r>
            <w:r>
              <w:rPr>
                <w:color w:val="auto"/>
                <w:spacing w:val="-6"/>
              </w:rPr>
              <w:t>造纸车间</w:t>
            </w:r>
            <w:r>
              <w:rPr>
                <w:rFonts w:hint="eastAsia"/>
                <w:color w:val="auto"/>
                <w:spacing w:val="-6"/>
              </w:rPr>
              <w:t>导热油炉</w:t>
            </w:r>
            <w:r>
              <w:rPr>
                <w:color w:val="auto"/>
                <w:spacing w:val="-6"/>
              </w:rPr>
              <w:t>废气经车间侧边</w:t>
            </w:r>
            <w:r>
              <w:rPr>
                <w:rFonts w:eastAsia="Times New Roman"/>
                <w:color w:val="auto"/>
                <w:spacing w:val="-6"/>
              </w:rPr>
              <w:t>2</w:t>
            </w:r>
            <w:r>
              <w:rPr>
                <w:color w:val="auto"/>
                <w:spacing w:val="-6"/>
              </w:rPr>
              <w:t>根</w:t>
            </w:r>
            <w:r>
              <w:rPr>
                <w:rFonts w:hint="eastAsia"/>
                <w:color w:val="auto"/>
                <w:spacing w:val="-2"/>
              </w:rPr>
              <w:t>（</w:t>
            </w:r>
            <w:r>
              <w:rPr>
                <w:rFonts w:hint="eastAsia"/>
                <w:color w:val="auto"/>
              </w:rPr>
              <w:t>D</w:t>
            </w:r>
            <w:r>
              <w:rPr>
                <w:color w:val="auto"/>
              </w:rPr>
              <w:t>A041</w:t>
            </w:r>
            <w:r>
              <w:rPr>
                <w:rFonts w:hint="eastAsia"/>
                <w:color w:val="auto"/>
              </w:rPr>
              <w:t>、</w:t>
            </w:r>
            <w:r>
              <w:rPr>
                <w:color w:val="auto"/>
              </w:rPr>
              <w:t>DA043</w:t>
            </w:r>
            <w:r>
              <w:rPr>
                <w:rFonts w:hint="eastAsia"/>
                <w:color w:val="auto"/>
                <w:spacing w:val="-2"/>
              </w:rPr>
              <w:t>）</w:t>
            </w:r>
            <w:r>
              <w:rPr>
                <w:rFonts w:eastAsia="Times New Roman"/>
                <w:color w:val="auto"/>
                <w:spacing w:val="-6"/>
              </w:rPr>
              <w:t>20m</w:t>
            </w:r>
            <w:r>
              <w:rPr>
                <w:rFonts w:hint="eastAsia" w:ascii="宋体" w:hAnsi="宋体" w:cs="宋体"/>
                <w:color w:val="auto"/>
              </w:rPr>
              <w:t>，内径</w:t>
            </w:r>
            <w:r>
              <w:rPr>
                <w:rFonts w:eastAsia="Times New Roman"/>
                <w:color w:val="auto"/>
                <w:spacing w:val="-6"/>
              </w:rPr>
              <w:t>Φ0.3m</w:t>
            </w:r>
            <w:r>
              <w:rPr>
                <w:color w:val="auto"/>
                <w:spacing w:val="-6"/>
              </w:rPr>
              <w:t>排气筒排放。</w:t>
            </w:r>
          </w:p>
        </w:tc>
        <w:tc>
          <w:tcPr>
            <w:tcW w:w="567" w:type="dxa"/>
            <w:vAlign w:val="center"/>
          </w:tcPr>
          <w:p w14:paraId="4C7B5B19">
            <w:pPr>
              <w:pStyle w:val="33"/>
              <w:rPr>
                <w:color w:val="auto"/>
              </w:rPr>
            </w:pPr>
            <w:r>
              <w:rPr>
                <w:rFonts w:hint="eastAsia"/>
                <w:color w:val="auto"/>
              </w:rPr>
              <w:t>依托现有</w:t>
            </w:r>
          </w:p>
        </w:tc>
      </w:tr>
      <w:tr w14:paraId="7D8F2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053EE613">
            <w:pPr>
              <w:pStyle w:val="33"/>
              <w:rPr>
                <w:color w:val="auto"/>
              </w:rPr>
            </w:pPr>
          </w:p>
        </w:tc>
        <w:tc>
          <w:tcPr>
            <w:tcW w:w="937" w:type="dxa"/>
            <w:vMerge w:val="continue"/>
            <w:vAlign w:val="center"/>
          </w:tcPr>
          <w:p w14:paraId="590D1F8C">
            <w:pPr>
              <w:pStyle w:val="33"/>
              <w:rPr>
                <w:color w:val="auto"/>
              </w:rPr>
            </w:pPr>
          </w:p>
        </w:tc>
        <w:tc>
          <w:tcPr>
            <w:tcW w:w="6945" w:type="dxa"/>
            <w:gridSpan w:val="2"/>
            <w:vAlign w:val="center"/>
          </w:tcPr>
          <w:p w14:paraId="6C75E2A8">
            <w:pPr>
              <w:pStyle w:val="33"/>
              <w:jc w:val="both"/>
              <w:rPr>
                <w:color w:val="auto"/>
              </w:rPr>
            </w:pPr>
            <w:r>
              <w:rPr>
                <w:rFonts w:eastAsia="Times New Roman"/>
                <w:color w:val="auto"/>
              </w:rPr>
              <w:t>2#</w:t>
            </w:r>
            <w:r>
              <w:rPr>
                <w:color w:val="auto"/>
              </w:rPr>
              <w:t>造纸车间</w:t>
            </w:r>
            <w:r>
              <w:rPr>
                <w:rFonts w:hint="eastAsia"/>
                <w:color w:val="auto"/>
                <w:spacing w:val="-6"/>
              </w:rPr>
              <w:t>导热油炉导热油炉</w:t>
            </w:r>
            <w:r>
              <w:rPr>
                <w:color w:val="auto"/>
              </w:rPr>
              <w:t>废气经车间</w:t>
            </w:r>
            <w:r>
              <w:rPr>
                <w:color w:val="auto"/>
                <w:spacing w:val="-2"/>
              </w:rPr>
              <w:t>侧边</w:t>
            </w:r>
            <w:r>
              <w:rPr>
                <w:rFonts w:eastAsia="Times New Roman"/>
                <w:color w:val="auto"/>
                <w:spacing w:val="-2"/>
              </w:rPr>
              <w:t>2</w:t>
            </w:r>
            <w:r>
              <w:rPr>
                <w:color w:val="auto"/>
                <w:spacing w:val="-2"/>
              </w:rPr>
              <w:t>根</w:t>
            </w:r>
            <w:r>
              <w:rPr>
                <w:rFonts w:hint="eastAsia"/>
                <w:color w:val="auto"/>
                <w:spacing w:val="-2"/>
              </w:rPr>
              <w:t>（</w:t>
            </w:r>
            <w:r>
              <w:rPr>
                <w:rFonts w:hint="eastAsia"/>
                <w:color w:val="auto"/>
              </w:rPr>
              <w:t>D</w:t>
            </w:r>
            <w:r>
              <w:rPr>
                <w:color w:val="auto"/>
              </w:rPr>
              <w:t>A042</w:t>
            </w:r>
            <w:r>
              <w:rPr>
                <w:rFonts w:hint="eastAsia"/>
                <w:color w:val="auto"/>
              </w:rPr>
              <w:t>、</w:t>
            </w:r>
            <w:r>
              <w:rPr>
                <w:color w:val="auto"/>
              </w:rPr>
              <w:t>DA044</w:t>
            </w:r>
            <w:r>
              <w:rPr>
                <w:rFonts w:hint="eastAsia"/>
                <w:color w:val="auto"/>
                <w:spacing w:val="-2"/>
              </w:rPr>
              <w:t>）</w:t>
            </w:r>
            <w:r>
              <w:rPr>
                <w:rFonts w:eastAsia="Times New Roman"/>
                <w:color w:val="auto"/>
                <w:spacing w:val="-2"/>
              </w:rPr>
              <w:t>16m</w:t>
            </w:r>
            <w:r>
              <w:rPr>
                <w:rFonts w:hint="eastAsia" w:ascii="宋体" w:hAnsi="宋体" w:cs="宋体"/>
                <w:color w:val="auto"/>
              </w:rPr>
              <w:t>，内径</w:t>
            </w:r>
            <w:r>
              <w:rPr>
                <w:rFonts w:eastAsia="Times New Roman"/>
                <w:color w:val="auto"/>
                <w:spacing w:val="-2"/>
              </w:rPr>
              <w:t>Φ0.30m</w:t>
            </w:r>
            <w:r>
              <w:rPr>
                <w:color w:val="auto"/>
                <w:spacing w:val="-2"/>
              </w:rPr>
              <w:t>排气</w:t>
            </w:r>
            <w:r>
              <w:rPr>
                <w:color w:val="auto"/>
                <w:spacing w:val="-3"/>
              </w:rPr>
              <w:t>筒排放。</w:t>
            </w:r>
          </w:p>
        </w:tc>
        <w:tc>
          <w:tcPr>
            <w:tcW w:w="567" w:type="dxa"/>
            <w:vAlign w:val="center"/>
          </w:tcPr>
          <w:p w14:paraId="39F16A7E">
            <w:pPr>
              <w:pStyle w:val="33"/>
              <w:rPr>
                <w:color w:val="auto"/>
              </w:rPr>
            </w:pPr>
            <w:r>
              <w:rPr>
                <w:rFonts w:hint="eastAsia"/>
                <w:color w:val="auto"/>
              </w:rPr>
              <w:t>依托现有</w:t>
            </w:r>
          </w:p>
        </w:tc>
      </w:tr>
      <w:tr w14:paraId="7167A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0EE06D68">
            <w:pPr>
              <w:pStyle w:val="33"/>
              <w:rPr>
                <w:color w:val="auto"/>
              </w:rPr>
            </w:pPr>
          </w:p>
        </w:tc>
        <w:tc>
          <w:tcPr>
            <w:tcW w:w="937" w:type="dxa"/>
            <w:vMerge w:val="continue"/>
            <w:vAlign w:val="center"/>
          </w:tcPr>
          <w:p w14:paraId="52D1F357">
            <w:pPr>
              <w:pStyle w:val="33"/>
              <w:rPr>
                <w:color w:val="auto"/>
              </w:rPr>
            </w:pPr>
          </w:p>
        </w:tc>
        <w:tc>
          <w:tcPr>
            <w:tcW w:w="3260" w:type="dxa"/>
            <w:vAlign w:val="center"/>
          </w:tcPr>
          <w:p w14:paraId="5704FE01">
            <w:pPr>
              <w:pStyle w:val="33"/>
              <w:jc w:val="both"/>
              <w:rPr>
                <w:color w:val="auto"/>
              </w:rPr>
            </w:pPr>
            <w:r>
              <w:rPr>
                <w:rFonts w:hint="eastAsia"/>
                <w:color w:val="auto"/>
              </w:rPr>
              <w:t>淋膜纸生产线废气经处理能力1.7万m</w:t>
            </w:r>
            <w:r>
              <w:rPr>
                <w:rFonts w:hint="eastAsia"/>
                <w:color w:val="auto"/>
                <w:vertAlign w:val="superscript"/>
              </w:rPr>
              <w:t>3</w:t>
            </w:r>
            <w:r>
              <w:rPr>
                <w:rFonts w:hint="eastAsia"/>
                <w:color w:val="auto"/>
              </w:rPr>
              <w:t>/h的活性炭吸附废气处理系统处理后，通过1根18m高排气筒</w:t>
            </w:r>
            <w:r>
              <w:rPr>
                <w:color w:val="auto"/>
              </w:rPr>
              <w:t>（DA0</w:t>
            </w:r>
            <w:r>
              <w:rPr>
                <w:rFonts w:hint="eastAsia"/>
                <w:color w:val="auto"/>
              </w:rPr>
              <w:t>46</w:t>
            </w:r>
            <w:r>
              <w:rPr>
                <w:color w:val="auto"/>
              </w:rPr>
              <w:t>）</w:t>
            </w:r>
            <w:r>
              <w:rPr>
                <w:rFonts w:hint="eastAsia"/>
                <w:color w:val="auto"/>
              </w:rPr>
              <w:t>排放。</w:t>
            </w:r>
          </w:p>
        </w:tc>
        <w:tc>
          <w:tcPr>
            <w:tcW w:w="3685" w:type="dxa"/>
            <w:vAlign w:val="center"/>
          </w:tcPr>
          <w:p w14:paraId="23017056">
            <w:pPr>
              <w:pStyle w:val="33"/>
              <w:jc w:val="both"/>
              <w:rPr>
                <w:color w:val="auto"/>
              </w:rPr>
            </w:pPr>
            <w:r>
              <w:rPr>
                <w:rFonts w:hint="eastAsia"/>
                <w:color w:val="auto"/>
              </w:rPr>
              <w:t>建设有废气收集设施。</w:t>
            </w:r>
          </w:p>
        </w:tc>
        <w:tc>
          <w:tcPr>
            <w:tcW w:w="567" w:type="dxa"/>
            <w:vAlign w:val="center"/>
          </w:tcPr>
          <w:p w14:paraId="209E3BC5">
            <w:pPr>
              <w:pStyle w:val="33"/>
              <w:rPr>
                <w:color w:val="auto"/>
              </w:rPr>
            </w:pPr>
            <w:r>
              <w:rPr>
                <w:rFonts w:hint="eastAsia"/>
                <w:color w:val="auto"/>
              </w:rPr>
              <w:t>新建</w:t>
            </w:r>
          </w:p>
        </w:tc>
      </w:tr>
      <w:tr w14:paraId="57DE7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3593B808">
            <w:pPr>
              <w:pStyle w:val="33"/>
              <w:rPr>
                <w:color w:val="auto"/>
              </w:rPr>
            </w:pPr>
          </w:p>
        </w:tc>
        <w:tc>
          <w:tcPr>
            <w:tcW w:w="937" w:type="dxa"/>
            <w:vMerge w:val="continue"/>
            <w:vAlign w:val="center"/>
          </w:tcPr>
          <w:p w14:paraId="7F07E112">
            <w:pPr>
              <w:pStyle w:val="33"/>
              <w:rPr>
                <w:color w:val="auto"/>
              </w:rPr>
            </w:pPr>
          </w:p>
        </w:tc>
        <w:tc>
          <w:tcPr>
            <w:tcW w:w="3260" w:type="dxa"/>
            <w:vAlign w:val="center"/>
          </w:tcPr>
          <w:p w14:paraId="30529C4E">
            <w:pPr>
              <w:pStyle w:val="33"/>
              <w:jc w:val="both"/>
              <w:rPr>
                <w:color w:val="auto"/>
              </w:rPr>
            </w:pPr>
            <w:r>
              <w:rPr>
                <w:rFonts w:hint="eastAsia" w:ascii="宋体" w:hAnsi="宋体" w:cs="宋体"/>
                <w:color w:val="auto"/>
              </w:rPr>
              <w:t>新建污水处理站设置恶臭气体</w:t>
            </w:r>
            <w:r>
              <w:rPr>
                <w:color w:val="auto"/>
              </w:rPr>
              <w:t>经碱喷淋+生物除臭滤池技术处理</w:t>
            </w:r>
            <w:r>
              <w:rPr>
                <w:rFonts w:hint="eastAsia"/>
                <w:color w:val="auto"/>
              </w:rPr>
              <w:t>后，通过1根15m高排气筒</w:t>
            </w:r>
            <w:r>
              <w:rPr>
                <w:color w:val="auto"/>
              </w:rPr>
              <w:t>（DA0</w:t>
            </w:r>
            <w:r>
              <w:rPr>
                <w:rFonts w:hint="eastAsia"/>
                <w:color w:val="auto"/>
              </w:rPr>
              <w:t>47</w:t>
            </w:r>
            <w:r>
              <w:rPr>
                <w:color w:val="auto"/>
              </w:rPr>
              <w:t>）</w:t>
            </w:r>
            <w:r>
              <w:rPr>
                <w:rFonts w:hint="eastAsia"/>
                <w:color w:val="auto"/>
              </w:rPr>
              <w:t>排放。</w:t>
            </w:r>
          </w:p>
        </w:tc>
        <w:tc>
          <w:tcPr>
            <w:tcW w:w="3685" w:type="dxa"/>
            <w:vAlign w:val="center"/>
          </w:tcPr>
          <w:p w14:paraId="4338A227">
            <w:pPr>
              <w:pStyle w:val="33"/>
              <w:jc w:val="both"/>
              <w:rPr>
                <w:color w:val="auto"/>
              </w:rPr>
            </w:pPr>
            <w:r>
              <w:rPr>
                <w:rFonts w:hint="eastAsia"/>
                <w:color w:val="auto"/>
              </w:rPr>
              <w:t>/</w:t>
            </w:r>
          </w:p>
        </w:tc>
        <w:tc>
          <w:tcPr>
            <w:tcW w:w="567" w:type="dxa"/>
            <w:vAlign w:val="center"/>
          </w:tcPr>
          <w:p w14:paraId="30EEE546">
            <w:pPr>
              <w:pStyle w:val="33"/>
              <w:rPr>
                <w:color w:val="auto"/>
              </w:rPr>
            </w:pPr>
            <w:r>
              <w:rPr>
                <w:rFonts w:hint="eastAsia"/>
                <w:color w:val="auto"/>
              </w:rPr>
              <w:t>新建</w:t>
            </w:r>
          </w:p>
        </w:tc>
      </w:tr>
      <w:tr w14:paraId="2272E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5C6980CB">
            <w:pPr>
              <w:pStyle w:val="33"/>
              <w:rPr>
                <w:color w:val="auto"/>
              </w:rPr>
            </w:pPr>
          </w:p>
        </w:tc>
        <w:tc>
          <w:tcPr>
            <w:tcW w:w="937" w:type="dxa"/>
            <w:vAlign w:val="center"/>
          </w:tcPr>
          <w:p w14:paraId="567EC98E">
            <w:pPr>
              <w:pStyle w:val="33"/>
              <w:rPr>
                <w:color w:val="auto"/>
              </w:rPr>
            </w:pPr>
            <w:r>
              <w:rPr>
                <w:rFonts w:hint="eastAsia"/>
                <w:color w:val="auto"/>
              </w:rPr>
              <w:t>无组织废气</w:t>
            </w:r>
          </w:p>
        </w:tc>
        <w:tc>
          <w:tcPr>
            <w:tcW w:w="6945" w:type="dxa"/>
            <w:gridSpan w:val="2"/>
            <w:vAlign w:val="center"/>
          </w:tcPr>
          <w:p w14:paraId="519EA926">
            <w:pPr>
              <w:pStyle w:val="33"/>
              <w:jc w:val="both"/>
              <w:rPr>
                <w:color w:val="auto"/>
              </w:rPr>
            </w:pPr>
            <w:r>
              <w:rPr>
                <w:rFonts w:eastAsia="Times New Roman"/>
                <w:color w:val="auto"/>
                <w:spacing w:val="-7"/>
              </w:rPr>
              <w:t>1#</w:t>
            </w:r>
            <w:r>
              <w:rPr>
                <w:color w:val="auto"/>
                <w:spacing w:val="-7"/>
              </w:rPr>
              <w:t>、</w:t>
            </w:r>
            <w:r>
              <w:rPr>
                <w:rFonts w:eastAsia="Times New Roman"/>
                <w:color w:val="auto"/>
                <w:spacing w:val="-7"/>
              </w:rPr>
              <w:t>2#</w:t>
            </w:r>
            <w:r>
              <w:rPr>
                <w:color w:val="auto"/>
                <w:spacing w:val="-7"/>
              </w:rPr>
              <w:t>纸机涂布原料制备系统破碎、干磨颗粒物：采购水洗</w:t>
            </w:r>
            <w:r>
              <w:rPr>
                <w:color w:val="auto"/>
                <w:spacing w:val="-6"/>
              </w:rPr>
              <w:t>后的大理石，从源头上减少原料含尘量；在投料斗、振动筛采取喷淋措施；封闭式破碎机，在破碎机出料及输送段采用集气装置并设置布袋除尘器；采用封闭式干磨机，在干磨机出料处</w:t>
            </w:r>
            <w:r>
              <w:rPr>
                <w:color w:val="auto"/>
              </w:rPr>
              <w:t>设置布袋除尘器。</w:t>
            </w:r>
          </w:p>
        </w:tc>
        <w:tc>
          <w:tcPr>
            <w:tcW w:w="567" w:type="dxa"/>
            <w:vAlign w:val="center"/>
          </w:tcPr>
          <w:p w14:paraId="04BB59DB">
            <w:pPr>
              <w:pStyle w:val="33"/>
              <w:rPr>
                <w:color w:val="auto"/>
              </w:rPr>
            </w:pPr>
            <w:r>
              <w:rPr>
                <w:rFonts w:hint="eastAsia"/>
                <w:color w:val="auto"/>
              </w:rPr>
              <w:t>依托现有设施</w:t>
            </w:r>
          </w:p>
        </w:tc>
      </w:tr>
      <w:tr w14:paraId="622AF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197CDDE4">
            <w:pPr>
              <w:pStyle w:val="33"/>
              <w:rPr>
                <w:color w:val="auto"/>
              </w:rPr>
            </w:pPr>
          </w:p>
        </w:tc>
        <w:tc>
          <w:tcPr>
            <w:tcW w:w="937" w:type="dxa"/>
            <w:vAlign w:val="center"/>
          </w:tcPr>
          <w:p w14:paraId="665934F0">
            <w:pPr>
              <w:pStyle w:val="33"/>
              <w:rPr>
                <w:color w:val="auto"/>
              </w:rPr>
            </w:pPr>
            <w:r>
              <w:rPr>
                <w:rFonts w:hint="eastAsia"/>
                <w:color w:val="auto"/>
              </w:rPr>
              <w:t>固废</w:t>
            </w:r>
          </w:p>
        </w:tc>
        <w:tc>
          <w:tcPr>
            <w:tcW w:w="3260" w:type="dxa"/>
            <w:vAlign w:val="center"/>
          </w:tcPr>
          <w:p w14:paraId="71A2F109">
            <w:pPr>
              <w:pStyle w:val="33"/>
              <w:jc w:val="both"/>
              <w:rPr>
                <w:color w:val="auto"/>
              </w:rPr>
            </w:pPr>
            <w:r>
              <w:rPr>
                <w:rFonts w:hint="eastAsia"/>
                <w:color w:val="auto"/>
              </w:rPr>
              <w:t>污水处理站初沉污泥经螺旋压榨机处理后外售；浓缩池污泥经板框压滤机+污泥干化系统处理后送动力厂焚烧。</w:t>
            </w:r>
          </w:p>
        </w:tc>
        <w:tc>
          <w:tcPr>
            <w:tcW w:w="3685" w:type="dxa"/>
            <w:vAlign w:val="center"/>
          </w:tcPr>
          <w:p w14:paraId="566F4EC9">
            <w:pPr>
              <w:pStyle w:val="33"/>
              <w:jc w:val="both"/>
              <w:rPr>
                <w:color w:val="auto"/>
              </w:rPr>
            </w:pPr>
            <w:r>
              <w:rPr>
                <w:rFonts w:hint="eastAsia"/>
                <w:color w:val="auto"/>
              </w:rPr>
              <w:t>污水处理站初沉污泥经螺旋压榨机处理后外售；浓缩池污泥经板框压滤机+污泥干化系统处理后送动力厂焚烧。</w:t>
            </w:r>
          </w:p>
        </w:tc>
        <w:tc>
          <w:tcPr>
            <w:tcW w:w="567" w:type="dxa"/>
            <w:vAlign w:val="center"/>
          </w:tcPr>
          <w:p w14:paraId="431A4738">
            <w:pPr>
              <w:pStyle w:val="33"/>
              <w:rPr>
                <w:color w:val="auto"/>
              </w:rPr>
            </w:pPr>
            <w:r>
              <w:rPr>
                <w:rFonts w:hint="eastAsia"/>
                <w:color w:val="auto"/>
              </w:rPr>
              <w:t>新建</w:t>
            </w:r>
          </w:p>
        </w:tc>
      </w:tr>
      <w:tr w14:paraId="1B6EC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10089C29">
            <w:pPr>
              <w:pStyle w:val="33"/>
              <w:rPr>
                <w:color w:val="auto"/>
              </w:rPr>
            </w:pPr>
          </w:p>
        </w:tc>
        <w:tc>
          <w:tcPr>
            <w:tcW w:w="937" w:type="dxa"/>
            <w:vAlign w:val="center"/>
          </w:tcPr>
          <w:p w14:paraId="355B8E1D">
            <w:pPr>
              <w:pStyle w:val="33"/>
              <w:rPr>
                <w:color w:val="auto"/>
              </w:rPr>
            </w:pPr>
            <w:r>
              <w:rPr>
                <w:rFonts w:hint="eastAsia"/>
                <w:color w:val="auto"/>
              </w:rPr>
              <w:t>危险废物</w:t>
            </w:r>
          </w:p>
        </w:tc>
        <w:tc>
          <w:tcPr>
            <w:tcW w:w="3260" w:type="dxa"/>
            <w:vAlign w:val="center"/>
          </w:tcPr>
          <w:p w14:paraId="1467B160">
            <w:pPr>
              <w:pStyle w:val="33"/>
              <w:jc w:val="both"/>
              <w:rPr>
                <w:color w:val="auto"/>
              </w:rPr>
            </w:pPr>
            <w:r>
              <w:rPr>
                <w:color w:val="auto"/>
              </w:rPr>
              <w:t>废矿物油、废</w:t>
            </w:r>
            <w:r>
              <w:rPr>
                <w:rFonts w:hint="eastAsia"/>
                <w:color w:val="auto"/>
              </w:rPr>
              <w:t>活性炭</w:t>
            </w:r>
            <w:r>
              <w:rPr>
                <w:color w:val="auto"/>
              </w:rPr>
              <w:t>等</w:t>
            </w:r>
            <w:r>
              <w:rPr>
                <w:color w:val="auto"/>
                <w:spacing w:val="-3"/>
              </w:rPr>
              <w:t>交由有资质单位清运和处置。</w:t>
            </w:r>
          </w:p>
        </w:tc>
        <w:tc>
          <w:tcPr>
            <w:tcW w:w="3685" w:type="dxa"/>
            <w:vAlign w:val="center"/>
          </w:tcPr>
          <w:p w14:paraId="6C5444B7">
            <w:pPr>
              <w:pStyle w:val="33"/>
              <w:jc w:val="both"/>
              <w:rPr>
                <w:color w:val="auto"/>
              </w:rPr>
            </w:pPr>
            <w:r>
              <w:rPr>
                <w:color w:val="auto"/>
              </w:rPr>
              <w:t>废矿物油、废油桶等</w:t>
            </w:r>
            <w:r>
              <w:rPr>
                <w:color w:val="auto"/>
                <w:spacing w:val="-3"/>
              </w:rPr>
              <w:t>交由有资质单位清运和处置。</w:t>
            </w:r>
          </w:p>
        </w:tc>
        <w:tc>
          <w:tcPr>
            <w:tcW w:w="567" w:type="dxa"/>
            <w:vAlign w:val="center"/>
          </w:tcPr>
          <w:p w14:paraId="690C643F">
            <w:pPr>
              <w:pStyle w:val="33"/>
              <w:rPr>
                <w:color w:val="auto"/>
              </w:rPr>
            </w:pPr>
            <w:r>
              <w:rPr>
                <w:rFonts w:hint="eastAsia"/>
                <w:color w:val="auto"/>
              </w:rPr>
              <w:t>依托现有</w:t>
            </w:r>
          </w:p>
        </w:tc>
      </w:tr>
      <w:tr w14:paraId="78236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3EC8ECF2">
            <w:pPr>
              <w:pStyle w:val="33"/>
              <w:rPr>
                <w:color w:val="auto"/>
              </w:rPr>
            </w:pPr>
          </w:p>
        </w:tc>
        <w:tc>
          <w:tcPr>
            <w:tcW w:w="937" w:type="dxa"/>
            <w:vAlign w:val="center"/>
          </w:tcPr>
          <w:p w14:paraId="3D36E5BE">
            <w:pPr>
              <w:pStyle w:val="33"/>
              <w:rPr>
                <w:color w:val="auto"/>
              </w:rPr>
            </w:pPr>
            <w:r>
              <w:rPr>
                <w:rFonts w:hint="eastAsia"/>
                <w:color w:val="auto"/>
              </w:rPr>
              <w:t>噪声</w:t>
            </w:r>
          </w:p>
        </w:tc>
        <w:tc>
          <w:tcPr>
            <w:tcW w:w="3260" w:type="dxa"/>
            <w:vAlign w:val="center"/>
          </w:tcPr>
          <w:p w14:paraId="7E187E17">
            <w:pPr>
              <w:pStyle w:val="33"/>
              <w:jc w:val="both"/>
              <w:rPr>
                <w:color w:val="auto"/>
                <w:spacing w:val="-3"/>
              </w:rPr>
            </w:pPr>
            <w:r>
              <w:rPr>
                <w:color w:val="auto"/>
                <w:spacing w:val="-3"/>
              </w:rPr>
              <w:t>安装消声器或采取其他消声隔声措施。</w:t>
            </w:r>
          </w:p>
        </w:tc>
        <w:tc>
          <w:tcPr>
            <w:tcW w:w="3685" w:type="dxa"/>
            <w:vAlign w:val="center"/>
          </w:tcPr>
          <w:p w14:paraId="64AA7F99">
            <w:pPr>
              <w:pStyle w:val="33"/>
              <w:jc w:val="both"/>
              <w:rPr>
                <w:color w:val="auto"/>
              </w:rPr>
            </w:pPr>
            <w:r>
              <w:rPr>
                <w:color w:val="auto"/>
                <w:spacing w:val="-3"/>
              </w:rPr>
              <w:t>装消声器或采取其他消声隔声措施。</w:t>
            </w:r>
          </w:p>
        </w:tc>
        <w:tc>
          <w:tcPr>
            <w:tcW w:w="567" w:type="dxa"/>
            <w:vAlign w:val="center"/>
          </w:tcPr>
          <w:p w14:paraId="0CAA30EB">
            <w:pPr>
              <w:pStyle w:val="33"/>
              <w:rPr>
                <w:color w:val="auto"/>
              </w:rPr>
            </w:pPr>
          </w:p>
        </w:tc>
      </w:tr>
      <w:tr w14:paraId="22128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284" w:hRule="atLeast"/>
        </w:trPr>
        <w:tc>
          <w:tcPr>
            <w:tcW w:w="618" w:type="dxa"/>
            <w:vMerge w:val="continue"/>
            <w:vAlign w:val="center"/>
          </w:tcPr>
          <w:p w14:paraId="04B24206">
            <w:pPr>
              <w:pStyle w:val="33"/>
              <w:rPr>
                <w:color w:val="auto"/>
              </w:rPr>
            </w:pPr>
          </w:p>
        </w:tc>
        <w:tc>
          <w:tcPr>
            <w:tcW w:w="937" w:type="dxa"/>
            <w:vAlign w:val="center"/>
          </w:tcPr>
          <w:p w14:paraId="459B9E38">
            <w:pPr>
              <w:pStyle w:val="33"/>
              <w:rPr>
                <w:color w:val="auto"/>
              </w:rPr>
            </w:pPr>
            <w:r>
              <w:rPr>
                <w:rFonts w:hint="eastAsia"/>
                <w:color w:val="auto"/>
              </w:rPr>
              <w:t>环境风险</w:t>
            </w:r>
          </w:p>
        </w:tc>
        <w:tc>
          <w:tcPr>
            <w:tcW w:w="6945" w:type="dxa"/>
            <w:gridSpan w:val="2"/>
            <w:vAlign w:val="center"/>
          </w:tcPr>
          <w:p w14:paraId="7EBDCFBF">
            <w:pPr>
              <w:pStyle w:val="33"/>
              <w:jc w:val="both"/>
              <w:rPr>
                <w:color w:val="auto"/>
              </w:rPr>
            </w:pPr>
            <w:r>
              <w:rPr>
                <w:color w:val="auto"/>
                <w:spacing w:val="1"/>
                <w:szCs w:val="21"/>
              </w:rPr>
              <w:t>厂区设</w:t>
            </w:r>
            <w:r>
              <w:rPr>
                <w:rFonts w:eastAsia="Times New Roman"/>
                <w:color w:val="auto"/>
                <w:spacing w:val="1"/>
                <w:szCs w:val="21"/>
              </w:rPr>
              <w:t>3</w:t>
            </w:r>
            <w:r>
              <w:rPr>
                <w:color w:val="auto"/>
                <w:spacing w:val="1"/>
                <w:szCs w:val="21"/>
              </w:rPr>
              <w:t>×</w:t>
            </w:r>
            <w:r>
              <w:rPr>
                <w:rFonts w:eastAsia="Times New Roman"/>
                <w:color w:val="auto"/>
                <w:spacing w:val="1"/>
                <w:szCs w:val="21"/>
              </w:rPr>
              <w:t>10000m</w:t>
            </w:r>
            <w:r>
              <w:rPr>
                <w:rFonts w:eastAsia="Times New Roman"/>
                <w:color w:val="auto"/>
                <w:spacing w:val="1"/>
                <w:position w:val="7"/>
                <w:sz w:val="14"/>
                <w:szCs w:val="14"/>
              </w:rPr>
              <w:t>3</w:t>
            </w:r>
            <w:r>
              <w:rPr>
                <w:color w:val="auto"/>
                <w:spacing w:val="1"/>
                <w:szCs w:val="21"/>
              </w:rPr>
              <w:t>事故池；过氧化氢项目设</w:t>
            </w:r>
            <w:r>
              <w:rPr>
                <w:rFonts w:eastAsia="Times New Roman"/>
                <w:color w:val="auto"/>
                <w:spacing w:val="1"/>
                <w:szCs w:val="21"/>
              </w:rPr>
              <w:t>1</w:t>
            </w:r>
            <w:r>
              <w:rPr>
                <w:color w:val="auto"/>
                <w:spacing w:val="1"/>
                <w:szCs w:val="21"/>
              </w:rPr>
              <w:t>座</w:t>
            </w:r>
            <w:r>
              <w:rPr>
                <w:rFonts w:eastAsia="Times New Roman"/>
                <w:color w:val="auto"/>
                <w:spacing w:val="1"/>
                <w:szCs w:val="21"/>
              </w:rPr>
              <w:t>2000m</w:t>
            </w:r>
            <w:r>
              <w:rPr>
                <w:rFonts w:eastAsia="Times New Roman"/>
                <w:color w:val="auto"/>
                <w:spacing w:val="1"/>
                <w:position w:val="7"/>
                <w:sz w:val="14"/>
                <w:szCs w:val="14"/>
              </w:rPr>
              <w:t>3</w:t>
            </w:r>
            <w:r>
              <w:rPr>
                <w:color w:val="auto"/>
                <w:spacing w:val="-2"/>
                <w:szCs w:val="21"/>
              </w:rPr>
              <w:t>事故池及</w:t>
            </w:r>
            <w:r>
              <w:rPr>
                <w:rFonts w:eastAsia="Times New Roman"/>
                <w:color w:val="auto"/>
                <w:spacing w:val="-2"/>
                <w:szCs w:val="21"/>
              </w:rPr>
              <w:t>1</w:t>
            </w:r>
            <w:r>
              <w:rPr>
                <w:color w:val="auto"/>
                <w:spacing w:val="-2"/>
                <w:szCs w:val="21"/>
              </w:rPr>
              <w:t>座</w:t>
            </w:r>
            <w:r>
              <w:rPr>
                <w:rFonts w:eastAsia="Times New Roman"/>
                <w:color w:val="auto"/>
                <w:spacing w:val="-2"/>
                <w:szCs w:val="21"/>
              </w:rPr>
              <w:t>500m</w:t>
            </w:r>
            <w:r>
              <w:rPr>
                <w:rFonts w:eastAsia="Times New Roman"/>
                <w:color w:val="auto"/>
                <w:spacing w:val="-2"/>
                <w:position w:val="7"/>
                <w:sz w:val="14"/>
                <w:szCs w:val="14"/>
              </w:rPr>
              <w:t>3</w:t>
            </w:r>
            <w:r>
              <w:rPr>
                <w:color w:val="auto"/>
                <w:spacing w:val="-2"/>
                <w:szCs w:val="21"/>
              </w:rPr>
              <w:t>初期雨水池。</w:t>
            </w:r>
          </w:p>
        </w:tc>
        <w:tc>
          <w:tcPr>
            <w:tcW w:w="567" w:type="dxa"/>
            <w:vAlign w:val="center"/>
          </w:tcPr>
          <w:p w14:paraId="081ED65E">
            <w:pPr>
              <w:pStyle w:val="33"/>
              <w:rPr>
                <w:color w:val="auto"/>
              </w:rPr>
            </w:pPr>
            <w:r>
              <w:rPr>
                <w:rFonts w:hint="eastAsia"/>
                <w:color w:val="auto"/>
              </w:rPr>
              <w:t>依托现有</w:t>
            </w:r>
          </w:p>
        </w:tc>
      </w:tr>
      <w:tr w14:paraId="30DD2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1" w:type="dxa"/>
            <w:left w:w="51" w:type="dxa"/>
            <w:bottom w:w="51" w:type="dxa"/>
            <w:right w:w="51" w:type="dxa"/>
          </w:tblCellMar>
        </w:tblPrEx>
        <w:trPr>
          <w:trHeight w:val="1746" w:hRule="atLeast"/>
        </w:trPr>
        <w:tc>
          <w:tcPr>
            <w:tcW w:w="618" w:type="dxa"/>
            <w:vAlign w:val="center"/>
          </w:tcPr>
          <w:p w14:paraId="2C5F8EB8">
            <w:pPr>
              <w:pStyle w:val="33"/>
              <w:rPr>
                <w:color w:val="auto"/>
              </w:rPr>
            </w:pPr>
            <w:r>
              <w:rPr>
                <w:rFonts w:hint="eastAsia"/>
                <w:color w:val="auto"/>
              </w:rPr>
              <w:t>依托</w:t>
            </w:r>
            <w:r>
              <w:rPr>
                <w:color w:val="auto"/>
              </w:rPr>
              <w:t>工程</w:t>
            </w:r>
          </w:p>
        </w:tc>
        <w:tc>
          <w:tcPr>
            <w:tcW w:w="937" w:type="dxa"/>
            <w:vAlign w:val="center"/>
          </w:tcPr>
          <w:p w14:paraId="68F2E2E9">
            <w:pPr>
              <w:pStyle w:val="33"/>
              <w:rPr>
                <w:color w:val="auto"/>
              </w:rPr>
            </w:pPr>
            <w:r>
              <w:rPr>
                <w:color w:val="auto"/>
                <w:spacing w:val="-2"/>
                <w:szCs w:val="21"/>
              </w:rPr>
              <w:t>海底排放</w:t>
            </w:r>
            <w:r>
              <w:rPr>
                <w:color w:val="auto"/>
                <w:spacing w:val="-3"/>
                <w:szCs w:val="21"/>
              </w:rPr>
              <w:t>工程</w:t>
            </w:r>
          </w:p>
        </w:tc>
        <w:tc>
          <w:tcPr>
            <w:tcW w:w="6945" w:type="dxa"/>
            <w:gridSpan w:val="2"/>
            <w:vAlign w:val="center"/>
          </w:tcPr>
          <w:p w14:paraId="03956144">
            <w:pPr>
              <w:pStyle w:val="33"/>
              <w:jc w:val="both"/>
              <w:rPr>
                <w:color w:val="auto"/>
              </w:rPr>
            </w:pPr>
            <w:r>
              <w:rPr>
                <w:color w:val="auto"/>
                <w:szCs w:val="21"/>
              </w:rPr>
              <w:t>污水提升泵设计流量为</w:t>
            </w:r>
            <w:r>
              <w:rPr>
                <w:rFonts w:eastAsia="Times New Roman"/>
                <w:color w:val="auto"/>
                <w:szCs w:val="21"/>
              </w:rPr>
              <w:t>2.778m</w:t>
            </w:r>
            <w:r>
              <w:rPr>
                <w:rFonts w:eastAsia="Times New Roman"/>
                <w:color w:val="auto"/>
                <w:position w:val="7"/>
                <w:sz w:val="14"/>
                <w:szCs w:val="14"/>
              </w:rPr>
              <w:t>3</w:t>
            </w:r>
            <w:r>
              <w:rPr>
                <w:rFonts w:eastAsia="Times New Roman"/>
                <w:color w:val="auto"/>
                <w:szCs w:val="21"/>
              </w:rPr>
              <w:t>/s</w:t>
            </w:r>
            <w:r>
              <w:rPr>
                <w:color w:val="auto"/>
                <w:szCs w:val="21"/>
              </w:rPr>
              <w:t>，提升能力</w:t>
            </w:r>
            <w:r>
              <w:rPr>
                <w:rFonts w:eastAsia="Times New Roman"/>
                <w:color w:val="auto"/>
                <w:szCs w:val="21"/>
              </w:rPr>
              <w:t>24</w:t>
            </w:r>
            <w:r>
              <w:rPr>
                <w:color w:val="auto"/>
                <w:szCs w:val="21"/>
              </w:rPr>
              <w:t>万</w:t>
            </w:r>
            <w:r>
              <w:rPr>
                <w:rFonts w:eastAsia="Times New Roman"/>
                <w:color w:val="auto"/>
                <w:szCs w:val="21"/>
              </w:rPr>
              <w:t>m</w:t>
            </w:r>
            <w:r>
              <w:rPr>
                <w:rFonts w:eastAsia="Times New Roman"/>
                <w:color w:val="auto"/>
                <w:spacing w:val="-1"/>
                <w:position w:val="7"/>
                <w:sz w:val="14"/>
                <w:szCs w:val="14"/>
              </w:rPr>
              <w:t>3</w:t>
            </w:r>
            <w:r>
              <w:rPr>
                <w:rFonts w:eastAsia="Times New Roman"/>
                <w:color w:val="auto"/>
                <w:spacing w:val="-1"/>
                <w:szCs w:val="21"/>
              </w:rPr>
              <w:t>/d</w:t>
            </w:r>
            <w:r>
              <w:rPr>
                <w:color w:val="auto"/>
                <w:spacing w:val="-1"/>
                <w:szCs w:val="21"/>
              </w:rPr>
              <w:t>。</w:t>
            </w:r>
            <w:r>
              <w:rPr>
                <w:color w:val="auto"/>
                <w:spacing w:val="-4"/>
                <w:szCs w:val="21"/>
              </w:rPr>
              <w:t>排放管线直径</w:t>
            </w:r>
            <w:r>
              <w:rPr>
                <w:rFonts w:eastAsia="Times New Roman"/>
                <w:color w:val="auto"/>
                <w:spacing w:val="-4"/>
                <w:szCs w:val="21"/>
              </w:rPr>
              <w:t>1600mm</w:t>
            </w:r>
            <w:r>
              <w:rPr>
                <w:color w:val="auto"/>
                <w:spacing w:val="-4"/>
                <w:szCs w:val="21"/>
              </w:rPr>
              <w:t>，可输送量</w:t>
            </w:r>
            <w:r>
              <w:rPr>
                <w:rFonts w:eastAsia="Times New Roman"/>
                <w:color w:val="auto"/>
                <w:spacing w:val="-4"/>
                <w:szCs w:val="21"/>
              </w:rPr>
              <w:t>20</w:t>
            </w:r>
            <w:r>
              <w:rPr>
                <w:color w:val="auto"/>
                <w:spacing w:val="-4"/>
                <w:szCs w:val="21"/>
              </w:rPr>
              <w:t>万</w:t>
            </w:r>
            <w:r>
              <w:rPr>
                <w:rFonts w:eastAsia="Times New Roman"/>
                <w:color w:val="auto"/>
                <w:spacing w:val="-4"/>
                <w:szCs w:val="21"/>
              </w:rPr>
              <w:t>m</w:t>
            </w:r>
            <w:r>
              <w:rPr>
                <w:rFonts w:eastAsia="Times New Roman"/>
                <w:color w:val="auto"/>
                <w:spacing w:val="-4"/>
                <w:position w:val="7"/>
                <w:sz w:val="14"/>
                <w:szCs w:val="14"/>
              </w:rPr>
              <w:t>3</w:t>
            </w:r>
            <w:r>
              <w:rPr>
                <w:rFonts w:eastAsia="Times New Roman"/>
                <w:color w:val="auto"/>
                <w:spacing w:val="-4"/>
                <w:szCs w:val="21"/>
              </w:rPr>
              <w:t>/d</w:t>
            </w:r>
            <w:r>
              <w:rPr>
                <w:color w:val="auto"/>
                <w:spacing w:val="-4"/>
                <w:szCs w:val="21"/>
              </w:rPr>
              <w:t>。排污口处于</w:t>
            </w:r>
            <w:r>
              <w:rPr>
                <w:color w:val="auto"/>
                <w:spacing w:val="-3"/>
                <w:szCs w:val="21"/>
              </w:rPr>
              <w:t>钦州港大榄坪排污混合区（</w:t>
            </w:r>
            <w:r>
              <w:rPr>
                <w:rFonts w:eastAsia="Times New Roman"/>
                <w:color w:val="auto"/>
                <w:spacing w:val="-3"/>
                <w:szCs w:val="21"/>
              </w:rPr>
              <w:t>GX057DIV</w:t>
            </w:r>
            <w:r>
              <w:rPr>
                <w:color w:val="auto"/>
                <w:spacing w:val="-3"/>
                <w:szCs w:val="21"/>
              </w:rPr>
              <w:t>，即</w:t>
            </w:r>
            <w:r>
              <w:rPr>
                <w:rFonts w:eastAsia="Times New Roman"/>
                <w:color w:val="auto"/>
                <w:spacing w:val="-4"/>
                <w:szCs w:val="21"/>
              </w:rPr>
              <w:t>A2</w:t>
            </w:r>
            <w:r>
              <w:rPr>
                <w:color w:val="auto"/>
                <w:spacing w:val="-4"/>
                <w:szCs w:val="21"/>
              </w:rPr>
              <w:t>排污区</w:t>
            </w:r>
            <w:r>
              <w:rPr>
                <w:color w:val="auto"/>
                <w:spacing w:val="-38"/>
                <w:szCs w:val="21"/>
              </w:rPr>
              <w:t>），</w:t>
            </w:r>
            <w:r>
              <w:rPr>
                <w:color w:val="auto"/>
                <w:spacing w:val="-14"/>
                <w:szCs w:val="21"/>
              </w:rPr>
              <w:t>范围是</w:t>
            </w:r>
            <w:r>
              <w:rPr>
                <w:rFonts w:eastAsia="Times New Roman"/>
                <w:color w:val="auto"/>
                <w:spacing w:val="-14"/>
                <w:szCs w:val="21"/>
              </w:rPr>
              <w:t>21</w:t>
            </w:r>
            <w:r>
              <w:rPr>
                <w:color w:val="auto"/>
                <w:spacing w:val="-14"/>
                <w:szCs w:val="21"/>
              </w:rPr>
              <w:t>°</w:t>
            </w:r>
            <w:r>
              <w:rPr>
                <w:rFonts w:eastAsia="Times New Roman"/>
                <w:color w:val="auto"/>
                <w:spacing w:val="-14"/>
                <w:szCs w:val="21"/>
              </w:rPr>
              <w:t>39</w:t>
            </w:r>
            <w:r>
              <w:rPr>
                <w:color w:val="auto"/>
                <w:spacing w:val="-14"/>
                <w:szCs w:val="21"/>
              </w:rPr>
              <w:t>′</w:t>
            </w:r>
            <w:r>
              <w:rPr>
                <w:rFonts w:eastAsia="Times New Roman"/>
                <w:color w:val="auto"/>
                <w:spacing w:val="-14"/>
                <w:szCs w:val="21"/>
              </w:rPr>
              <w:t>19</w:t>
            </w:r>
            <w:r>
              <w:rPr>
                <w:color w:val="auto"/>
                <w:spacing w:val="-14"/>
                <w:szCs w:val="21"/>
              </w:rPr>
              <w:t>″</w:t>
            </w:r>
            <w:r>
              <w:rPr>
                <w:rFonts w:eastAsia="Times New Roman"/>
                <w:color w:val="auto"/>
                <w:spacing w:val="-14"/>
                <w:szCs w:val="21"/>
              </w:rPr>
              <w:t>N</w:t>
            </w:r>
            <w:r>
              <w:rPr>
                <w:color w:val="auto"/>
                <w:spacing w:val="-14"/>
                <w:szCs w:val="21"/>
              </w:rPr>
              <w:t>、</w:t>
            </w:r>
            <w:r>
              <w:rPr>
                <w:rFonts w:eastAsia="Times New Roman"/>
                <w:color w:val="auto"/>
                <w:spacing w:val="-14"/>
                <w:szCs w:val="21"/>
              </w:rPr>
              <w:t>108</w:t>
            </w:r>
            <w:r>
              <w:rPr>
                <w:color w:val="auto"/>
                <w:spacing w:val="-14"/>
                <w:szCs w:val="21"/>
              </w:rPr>
              <w:t>°</w:t>
            </w:r>
            <w:r>
              <w:rPr>
                <w:rFonts w:eastAsia="Times New Roman"/>
                <w:color w:val="auto"/>
                <w:spacing w:val="-14"/>
                <w:szCs w:val="21"/>
              </w:rPr>
              <w:t>39</w:t>
            </w:r>
            <w:r>
              <w:rPr>
                <w:color w:val="auto"/>
                <w:spacing w:val="-14"/>
                <w:szCs w:val="21"/>
              </w:rPr>
              <w:t>′</w:t>
            </w:r>
            <w:r>
              <w:rPr>
                <w:rFonts w:eastAsia="Times New Roman"/>
                <w:color w:val="auto"/>
                <w:spacing w:val="-14"/>
                <w:szCs w:val="21"/>
              </w:rPr>
              <w:t>46</w:t>
            </w:r>
            <w:r>
              <w:rPr>
                <w:color w:val="auto"/>
                <w:spacing w:val="-14"/>
                <w:szCs w:val="21"/>
              </w:rPr>
              <w:t>″</w:t>
            </w:r>
            <w:r>
              <w:rPr>
                <w:rFonts w:eastAsia="Times New Roman"/>
                <w:color w:val="auto"/>
                <w:spacing w:val="-14"/>
                <w:szCs w:val="21"/>
              </w:rPr>
              <w:t>E</w:t>
            </w:r>
            <w:r>
              <w:rPr>
                <w:color w:val="auto"/>
                <w:spacing w:val="-14"/>
                <w:szCs w:val="21"/>
              </w:rPr>
              <w:t>，</w:t>
            </w:r>
            <w:r>
              <w:rPr>
                <w:rFonts w:eastAsia="Times New Roman"/>
                <w:color w:val="auto"/>
                <w:spacing w:val="-14"/>
                <w:szCs w:val="21"/>
              </w:rPr>
              <w:t>21</w:t>
            </w:r>
            <w:r>
              <w:rPr>
                <w:color w:val="auto"/>
                <w:spacing w:val="-14"/>
                <w:szCs w:val="21"/>
              </w:rPr>
              <w:t>°</w:t>
            </w:r>
            <w:r>
              <w:rPr>
                <w:rFonts w:eastAsia="Times New Roman"/>
                <w:color w:val="auto"/>
                <w:spacing w:val="-14"/>
                <w:szCs w:val="21"/>
              </w:rPr>
              <w:t>3</w:t>
            </w:r>
            <w:r>
              <w:rPr>
                <w:rFonts w:eastAsia="Times New Roman"/>
                <w:color w:val="auto"/>
                <w:spacing w:val="-15"/>
                <w:szCs w:val="21"/>
              </w:rPr>
              <w:t>9</w:t>
            </w:r>
            <w:r>
              <w:rPr>
                <w:color w:val="auto"/>
                <w:spacing w:val="-15"/>
                <w:szCs w:val="21"/>
              </w:rPr>
              <w:t>′</w:t>
            </w:r>
            <w:r>
              <w:rPr>
                <w:rFonts w:eastAsia="Times New Roman"/>
                <w:color w:val="auto"/>
                <w:spacing w:val="-15"/>
                <w:szCs w:val="21"/>
              </w:rPr>
              <w:t>43</w:t>
            </w:r>
            <w:r>
              <w:rPr>
                <w:color w:val="auto"/>
                <w:spacing w:val="-15"/>
                <w:szCs w:val="21"/>
              </w:rPr>
              <w:t>″</w:t>
            </w:r>
            <w:r>
              <w:rPr>
                <w:rFonts w:eastAsia="Times New Roman"/>
                <w:color w:val="auto"/>
                <w:spacing w:val="-10"/>
                <w:szCs w:val="21"/>
              </w:rPr>
              <w:t>N</w:t>
            </w:r>
            <w:r>
              <w:rPr>
                <w:color w:val="auto"/>
                <w:spacing w:val="-10"/>
                <w:szCs w:val="21"/>
              </w:rPr>
              <w:t>、</w:t>
            </w:r>
            <w:r>
              <w:rPr>
                <w:rFonts w:eastAsia="Times New Roman"/>
                <w:color w:val="auto"/>
                <w:spacing w:val="-10"/>
                <w:szCs w:val="21"/>
              </w:rPr>
              <w:t>108</w:t>
            </w:r>
            <w:r>
              <w:rPr>
                <w:color w:val="auto"/>
                <w:spacing w:val="-10"/>
                <w:szCs w:val="21"/>
              </w:rPr>
              <w:t>°</w:t>
            </w:r>
            <w:r>
              <w:rPr>
                <w:rFonts w:eastAsia="Times New Roman"/>
                <w:color w:val="auto"/>
                <w:spacing w:val="-10"/>
                <w:szCs w:val="21"/>
              </w:rPr>
              <w:t>39</w:t>
            </w:r>
            <w:r>
              <w:rPr>
                <w:color w:val="auto"/>
                <w:spacing w:val="-10"/>
                <w:szCs w:val="21"/>
              </w:rPr>
              <w:t>′</w:t>
            </w:r>
            <w:r>
              <w:rPr>
                <w:rFonts w:eastAsia="Times New Roman"/>
                <w:color w:val="auto"/>
                <w:spacing w:val="-10"/>
                <w:szCs w:val="21"/>
              </w:rPr>
              <w:t>29</w:t>
            </w:r>
            <w:r>
              <w:rPr>
                <w:color w:val="auto"/>
                <w:spacing w:val="-10"/>
                <w:szCs w:val="21"/>
              </w:rPr>
              <w:t>″</w:t>
            </w:r>
            <w:r>
              <w:rPr>
                <w:rFonts w:eastAsia="Times New Roman"/>
                <w:color w:val="auto"/>
                <w:spacing w:val="-10"/>
                <w:szCs w:val="21"/>
              </w:rPr>
              <w:t>E</w:t>
            </w:r>
            <w:r>
              <w:rPr>
                <w:color w:val="auto"/>
                <w:spacing w:val="-10"/>
                <w:szCs w:val="21"/>
              </w:rPr>
              <w:t>，</w:t>
            </w:r>
            <w:r>
              <w:rPr>
                <w:rFonts w:eastAsia="Times New Roman"/>
                <w:color w:val="auto"/>
                <w:spacing w:val="-10"/>
                <w:szCs w:val="21"/>
              </w:rPr>
              <w:t>21</w:t>
            </w:r>
            <w:r>
              <w:rPr>
                <w:color w:val="auto"/>
                <w:spacing w:val="-10"/>
                <w:szCs w:val="21"/>
              </w:rPr>
              <w:t>°</w:t>
            </w:r>
            <w:r>
              <w:rPr>
                <w:rFonts w:eastAsia="Times New Roman"/>
                <w:color w:val="auto"/>
                <w:spacing w:val="-10"/>
                <w:szCs w:val="21"/>
              </w:rPr>
              <w:t>39</w:t>
            </w:r>
            <w:r>
              <w:rPr>
                <w:color w:val="auto"/>
                <w:spacing w:val="-10"/>
                <w:szCs w:val="21"/>
              </w:rPr>
              <w:t>′</w:t>
            </w:r>
            <w:r>
              <w:rPr>
                <w:rFonts w:eastAsia="Times New Roman"/>
                <w:color w:val="auto"/>
                <w:spacing w:val="-10"/>
                <w:szCs w:val="21"/>
              </w:rPr>
              <w:t>4</w:t>
            </w:r>
            <w:r>
              <w:rPr>
                <w:rFonts w:eastAsia="Times New Roman"/>
                <w:color w:val="auto"/>
                <w:spacing w:val="-11"/>
                <w:szCs w:val="21"/>
              </w:rPr>
              <w:t>0</w:t>
            </w:r>
            <w:r>
              <w:rPr>
                <w:color w:val="auto"/>
                <w:spacing w:val="-11"/>
                <w:szCs w:val="21"/>
              </w:rPr>
              <w:t>″</w:t>
            </w:r>
            <w:r>
              <w:rPr>
                <w:rFonts w:eastAsia="Times New Roman"/>
                <w:color w:val="auto"/>
                <w:spacing w:val="-11"/>
                <w:szCs w:val="21"/>
              </w:rPr>
              <w:t>N</w:t>
            </w:r>
            <w:r>
              <w:rPr>
                <w:color w:val="auto"/>
                <w:spacing w:val="-11"/>
                <w:szCs w:val="21"/>
              </w:rPr>
              <w:t>、</w:t>
            </w:r>
            <w:r>
              <w:rPr>
                <w:rFonts w:eastAsia="Times New Roman"/>
                <w:color w:val="auto"/>
                <w:spacing w:val="-11"/>
                <w:szCs w:val="21"/>
              </w:rPr>
              <w:t>108</w:t>
            </w:r>
            <w:r>
              <w:rPr>
                <w:color w:val="auto"/>
                <w:spacing w:val="-11"/>
                <w:szCs w:val="21"/>
              </w:rPr>
              <w:t>°</w:t>
            </w:r>
            <w:r>
              <w:rPr>
                <w:rFonts w:eastAsia="Times New Roman"/>
                <w:color w:val="auto"/>
                <w:spacing w:val="-11"/>
                <w:szCs w:val="21"/>
              </w:rPr>
              <w:t>38</w:t>
            </w:r>
            <w:r>
              <w:rPr>
                <w:color w:val="auto"/>
                <w:spacing w:val="-11"/>
                <w:szCs w:val="21"/>
              </w:rPr>
              <w:t>′</w:t>
            </w:r>
            <w:r>
              <w:rPr>
                <w:rFonts w:eastAsia="Times New Roman"/>
                <w:color w:val="auto"/>
                <w:spacing w:val="-11"/>
                <w:szCs w:val="21"/>
              </w:rPr>
              <w:t>49</w:t>
            </w:r>
            <w:r>
              <w:rPr>
                <w:color w:val="auto"/>
                <w:spacing w:val="-11"/>
                <w:szCs w:val="21"/>
              </w:rPr>
              <w:t>″</w:t>
            </w:r>
            <w:r>
              <w:rPr>
                <w:rFonts w:eastAsia="Times New Roman"/>
                <w:color w:val="auto"/>
                <w:spacing w:val="-14"/>
                <w:szCs w:val="21"/>
              </w:rPr>
              <w:t>E</w:t>
            </w:r>
            <w:r>
              <w:rPr>
                <w:color w:val="auto"/>
                <w:spacing w:val="-14"/>
                <w:szCs w:val="21"/>
              </w:rPr>
              <w:t>，</w:t>
            </w:r>
            <w:r>
              <w:rPr>
                <w:rFonts w:eastAsia="Times New Roman"/>
                <w:color w:val="auto"/>
                <w:spacing w:val="-14"/>
                <w:szCs w:val="21"/>
              </w:rPr>
              <w:t>21</w:t>
            </w:r>
            <w:r>
              <w:rPr>
                <w:color w:val="auto"/>
                <w:spacing w:val="-14"/>
                <w:szCs w:val="21"/>
              </w:rPr>
              <w:t>°</w:t>
            </w:r>
            <w:r>
              <w:rPr>
                <w:rFonts w:eastAsia="Times New Roman"/>
                <w:color w:val="auto"/>
                <w:spacing w:val="-14"/>
                <w:szCs w:val="21"/>
              </w:rPr>
              <w:t>38</w:t>
            </w:r>
            <w:r>
              <w:rPr>
                <w:color w:val="auto"/>
                <w:spacing w:val="-14"/>
                <w:szCs w:val="21"/>
              </w:rPr>
              <w:t>′</w:t>
            </w:r>
            <w:r>
              <w:rPr>
                <w:rFonts w:eastAsia="Times New Roman"/>
                <w:color w:val="auto"/>
                <w:spacing w:val="-14"/>
                <w:szCs w:val="21"/>
              </w:rPr>
              <w:t>51</w:t>
            </w:r>
            <w:r>
              <w:rPr>
                <w:color w:val="auto"/>
                <w:spacing w:val="-14"/>
                <w:szCs w:val="21"/>
              </w:rPr>
              <w:t>″</w:t>
            </w:r>
            <w:r>
              <w:rPr>
                <w:rFonts w:eastAsia="Times New Roman"/>
                <w:color w:val="auto"/>
                <w:spacing w:val="-14"/>
                <w:szCs w:val="21"/>
              </w:rPr>
              <w:t>N</w:t>
            </w:r>
            <w:r>
              <w:rPr>
                <w:color w:val="auto"/>
                <w:spacing w:val="-14"/>
                <w:szCs w:val="21"/>
              </w:rPr>
              <w:t>、</w:t>
            </w:r>
            <w:r>
              <w:rPr>
                <w:rFonts w:eastAsia="Times New Roman"/>
                <w:color w:val="auto"/>
                <w:spacing w:val="-14"/>
                <w:szCs w:val="21"/>
              </w:rPr>
              <w:t>108</w:t>
            </w:r>
            <w:r>
              <w:rPr>
                <w:color w:val="auto"/>
                <w:spacing w:val="-14"/>
                <w:szCs w:val="21"/>
              </w:rPr>
              <w:t>°</w:t>
            </w:r>
            <w:r>
              <w:rPr>
                <w:rFonts w:eastAsia="Times New Roman"/>
                <w:color w:val="auto"/>
                <w:spacing w:val="-14"/>
                <w:szCs w:val="21"/>
              </w:rPr>
              <w:t>38</w:t>
            </w:r>
            <w:r>
              <w:rPr>
                <w:color w:val="auto"/>
                <w:spacing w:val="-14"/>
                <w:szCs w:val="21"/>
              </w:rPr>
              <w:t>′</w:t>
            </w:r>
            <w:r>
              <w:rPr>
                <w:rFonts w:eastAsia="Times New Roman"/>
                <w:color w:val="auto"/>
                <w:spacing w:val="-14"/>
                <w:szCs w:val="21"/>
              </w:rPr>
              <w:t>49</w:t>
            </w:r>
            <w:r>
              <w:rPr>
                <w:color w:val="auto"/>
                <w:spacing w:val="-14"/>
                <w:szCs w:val="21"/>
              </w:rPr>
              <w:t>″</w:t>
            </w:r>
            <w:r>
              <w:rPr>
                <w:rFonts w:eastAsia="Times New Roman"/>
                <w:color w:val="auto"/>
                <w:spacing w:val="-14"/>
                <w:szCs w:val="21"/>
              </w:rPr>
              <w:t>E</w:t>
            </w:r>
            <w:r>
              <w:rPr>
                <w:color w:val="auto"/>
                <w:spacing w:val="-14"/>
                <w:szCs w:val="21"/>
              </w:rPr>
              <w:t>，</w:t>
            </w:r>
            <w:r>
              <w:rPr>
                <w:rFonts w:eastAsia="Times New Roman"/>
                <w:color w:val="auto"/>
                <w:spacing w:val="-14"/>
                <w:szCs w:val="21"/>
              </w:rPr>
              <w:t>21</w:t>
            </w:r>
            <w:r>
              <w:rPr>
                <w:color w:val="auto"/>
                <w:spacing w:val="-14"/>
                <w:szCs w:val="21"/>
              </w:rPr>
              <w:t>°</w:t>
            </w:r>
            <w:r>
              <w:rPr>
                <w:rFonts w:eastAsia="Times New Roman"/>
                <w:color w:val="auto"/>
                <w:spacing w:val="-14"/>
                <w:szCs w:val="21"/>
              </w:rPr>
              <w:t>38</w:t>
            </w:r>
            <w:r>
              <w:rPr>
                <w:color w:val="auto"/>
                <w:spacing w:val="-14"/>
                <w:szCs w:val="21"/>
              </w:rPr>
              <w:t>′</w:t>
            </w:r>
            <w:r>
              <w:rPr>
                <w:rFonts w:eastAsia="Times New Roman"/>
                <w:color w:val="auto"/>
                <w:spacing w:val="-14"/>
                <w:szCs w:val="21"/>
              </w:rPr>
              <w:t>54</w:t>
            </w:r>
            <w:r>
              <w:rPr>
                <w:color w:val="auto"/>
                <w:spacing w:val="-14"/>
                <w:szCs w:val="21"/>
              </w:rPr>
              <w:t>″</w:t>
            </w:r>
            <w:r>
              <w:rPr>
                <w:rFonts w:eastAsia="Times New Roman"/>
                <w:color w:val="auto"/>
                <w:spacing w:val="-14"/>
                <w:szCs w:val="21"/>
              </w:rPr>
              <w:t>N</w:t>
            </w:r>
            <w:r>
              <w:rPr>
                <w:color w:val="auto"/>
                <w:spacing w:val="-14"/>
                <w:szCs w:val="21"/>
              </w:rPr>
              <w:t>、</w:t>
            </w:r>
            <w:r>
              <w:rPr>
                <w:rFonts w:eastAsia="Times New Roman"/>
                <w:color w:val="auto"/>
                <w:spacing w:val="-6"/>
                <w:szCs w:val="21"/>
              </w:rPr>
              <w:t>108</w:t>
            </w:r>
            <w:r>
              <w:rPr>
                <w:color w:val="auto"/>
                <w:spacing w:val="-6"/>
                <w:szCs w:val="21"/>
              </w:rPr>
              <w:t>°</w:t>
            </w:r>
            <w:r>
              <w:rPr>
                <w:rFonts w:eastAsia="Times New Roman"/>
                <w:color w:val="auto"/>
                <w:spacing w:val="-6"/>
                <w:szCs w:val="21"/>
              </w:rPr>
              <w:t>39</w:t>
            </w:r>
            <w:r>
              <w:rPr>
                <w:color w:val="auto"/>
                <w:spacing w:val="-6"/>
                <w:szCs w:val="21"/>
              </w:rPr>
              <w:t>′</w:t>
            </w:r>
            <w:r>
              <w:rPr>
                <w:rFonts w:eastAsia="Times New Roman"/>
                <w:color w:val="auto"/>
                <w:spacing w:val="-6"/>
                <w:szCs w:val="21"/>
              </w:rPr>
              <w:t>39</w:t>
            </w:r>
            <w:r>
              <w:rPr>
                <w:color w:val="auto"/>
                <w:spacing w:val="-6"/>
                <w:szCs w:val="21"/>
              </w:rPr>
              <w:t>″</w:t>
            </w:r>
            <w:r>
              <w:rPr>
                <w:rFonts w:eastAsia="Times New Roman"/>
                <w:color w:val="auto"/>
                <w:spacing w:val="-6"/>
                <w:szCs w:val="21"/>
              </w:rPr>
              <w:t>E</w:t>
            </w:r>
            <w:r>
              <w:rPr>
                <w:color w:val="auto"/>
                <w:spacing w:val="-6"/>
                <w:szCs w:val="21"/>
              </w:rPr>
              <w:t>围成的海域，面积为</w:t>
            </w:r>
            <w:r>
              <w:rPr>
                <w:rFonts w:eastAsia="Times New Roman"/>
                <w:color w:val="auto"/>
                <w:spacing w:val="-6"/>
                <w:szCs w:val="21"/>
              </w:rPr>
              <w:t>3</w:t>
            </w:r>
            <w:r>
              <w:rPr>
                <w:color w:val="auto"/>
                <w:spacing w:val="-6"/>
                <w:szCs w:val="21"/>
              </w:rPr>
              <w:t>平方公里。</w:t>
            </w:r>
          </w:p>
        </w:tc>
        <w:tc>
          <w:tcPr>
            <w:tcW w:w="567" w:type="dxa"/>
            <w:vAlign w:val="center"/>
          </w:tcPr>
          <w:p w14:paraId="6C8E79A2">
            <w:pPr>
              <w:pStyle w:val="33"/>
              <w:rPr>
                <w:color w:val="auto"/>
              </w:rPr>
            </w:pPr>
            <w:r>
              <w:rPr>
                <w:rFonts w:hint="eastAsia"/>
                <w:color w:val="auto"/>
              </w:rPr>
              <w:t>依托现有</w:t>
            </w:r>
          </w:p>
        </w:tc>
      </w:tr>
    </w:tbl>
    <w:p w14:paraId="0F23060A">
      <w:pPr>
        <w:ind w:firstLine="480"/>
        <w:rPr>
          <w:color w:val="auto"/>
        </w:rPr>
      </w:pPr>
    </w:p>
    <w:p w14:paraId="5E9731B6">
      <w:pPr>
        <w:ind w:firstLine="480"/>
        <w:rPr>
          <w:color w:val="auto"/>
        </w:rPr>
      </w:pPr>
    </w:p>
    <w:p w14:paraId="56AEBF04">
      <w:pPr>
        <w:pStyle w:val="4"/>
        <w:rPr>
          <w:color w:val="auto"/>
        </w:rPr>
      </w:pPr>
      <w:bookmarkStart w:id="189" w:name="_Toc225216693"/>
      <w:r>
        <w:rPr>
          <w:color w:val="auto"/>
        </w:rPr>
        <w:t>产品方案</w:t>
      </w:r>
      <w:bookmarkEnd w:id="189"/>
    </w:p>
    <w:p w14:paraId="08E2E788">
      <w:pPr>
        <w:pStyle w:val="5"/>
        <w:rPr>
          <w:color w:val="auto"/>
        </w:rPr>
      </w:pPr>
      <w:r>
        <w:rPr>
          <w:rFonts w:hint="eastAsia"/>
          <w:color w:val="auto"/>
        </w:rPr>
        <w:t>产品方案</w:t>
      </w:r>
    </w:p>
    <w:p w14:paraId="3647AEB0">
      <w:pPr>
        <w:ind w:firstLine="480"/>
        <w:rPr>
          <w:color w:val="auto"/>
        </w:rPr>
      </w:pPr>
      <w:r>
        <w:rPr>
          <w:rFonts w:hint="eastAsia"/>
          <w:color w:val="auto"/>
        </w:rPr>
        <w:t>1、造纸车间</w:t>
      </w:r>
    </w:p>
    <w:p w14:paraId="33997C32">
      <w:pPr>
        <w:ind w:firstLine="480"/>
        <w:rPr>
          <w:color w:val="auto"/>
        </w:rPr>
      </w:pPr>
      <w:r>
        <w:rPr>
          <w:rFonts w:hint="eastAsia"/>
          <w:color w:val="auto"/>
        </w:rPr>
        <w:t>本项目通过对纸机及相关辅助系统的改造，2条白卡纸生产线的产能都达到150万吨/年，总产能达到</w:t>
      </w:r>
      <w:r>
        <w:rPr>
          <w:color w:val="auto"/>
        </w:rPr>
        <w:t>300</w:t>
      </w:r>
      <w:r>
        <w:rPr>
          <w:rFonts w:hint="eastAsia"/>
          <w:color w:val="auto"/>
        </w:rPr>
        <w:t>万吨</w:t>
      </w:r>
      <w:r>
        <w:rPr>
          <w:color w:val="auto"/>
        </w:rPr>
        <w:t>/</w:t>
      </w:r>
      <w:r>
        <w:rPr>
          <w:rFonts w:hint="eastAsia"/>
          <w:color w:val="auto"/>
        </w:rPr>
        <w:t>年高档白卡纸（其中社会卡纸</w:t>
      </w:r>
      <w:r>
        <w:rPr>
          <w:color w:val="auto"/>
        </w:rPr>
        <w:t>210</w:t>
      </w:r>
      <w:r>
        <w:rPr>
          <w:rFonts w:hint="eastAsia"/>
          <w:color w:val="auto"/>
        </w:rPr>
        <w:t>万吨</w:t>
      </w:r>
      <w:r>
        <w:rPr>
          <w:color w:val="auto"/>
        </w:rPr>
        <w:t>/</w:t>
      </w:r>
      <w:r>
        <w:rPr>
          <w:rFonts w:hint="eastAsia"/>
          <w:color w:val="auto"/>
        </w:rPr>
        <w:t>年，食品卡纸</w:t>
      </w:r>
      <w:r>
        <w:rPr>
          <w:color w:val="auto"/>
        </w:rPr>
        <w:t>90</w:t>
      </w:r>
      <w:r>
        <w:rPr>
          <w:rFonts w:hint="eastAsia"/>
          <w:color w:val="auto"/>
        </w:rPr>
        <w:t>万吨</w:t>
      </w:r>
      <w:r>
        <w:rPr>
          <w:color w:val="auto"/>
        </w:rPr>
        <w:t>/</w:t>
      </w:r>
      <w:r>
        <w:rPr>
          <w:rFonts w:hint="eastAsia"/>
          <w:color w:val="auto"/>
        </w:rPr>
        <w:t>年），其中年新增产能</w:t>
      </w:r>
      <w:r>
        <w:rPr>
          <w:color w:val="auto"/>
        </w:rPr>
        <w:t>110</w:t>
      </w:r>
      <w:r>
        <w:rPr>
          <w:rFonts w:hint="eastAsia"/>
          <w:color w:val="auto"/>
        </w:rPr>
        <w:t>万吨。改造完成后，</w:t>
      </w:r>
      <w:r>
        <w:rPr>
          <w:color w:val="auto"/>
        </w:rPr>
        <w:t>1#</w:t>
      </w:r>
      <w:r>
        <w:rPr>
          <w:rFonts w:hint="eastAsia"/>
          <w:color w:val="auto"/>
        </w:rPr>
        <w:t>白卡纸车间主要生产社会卡纸，</w:t>
      </w:r>
      <w:r>
        <w:rPr>
          <w:color w:val="auto"/>
        </w:rPr>
        <w:t>2#</w:t>
      </w:r>
      <w:r>
        <w:rPr>
          <w:rFonts w:hint="eastAsia"/>
          <w:color w:val="auto"/>
        </w:rPr>
        <w:t>白卡纸车间生产线可生产社会卡纸和食品卡纸，生产线根据市场情况进行转换。主要产品规格为：</w:t>
      </w:r>
    </w:p>
    <w:p w14:paraId="223E5DB6">
      <w:pPr>
        <w:ind w:firstLine="480"/>
        <w:rPr>
          <w:color w:val="auto"/>
        </w:rPr>
      </w:pPr>
      <w:r>
        <w:rPr>
          <w:rFonts w:hint="eastAsia"/>
          <w:color w:val="auto"/>
        </w:rPr>
        <w:t>（1）卷筒纸：650、750、787、889；或按订货要求。</w:t>
      </w:r>
    </w:p>
    <w:p w14:paraId="0B49A1FD">
      <w:pPr>
        <w:ind w:firstLine="480"/>
        <w:rPr>
          <w:color w:val="auto"/>
        </w:rPr>
      </w:pPr>
      <w:r>
        <w:rPr>
          <w:rFonts w:hint="eastAsia"/>
          <w:color w:val="auto"/>
        </w:rPr>
        <w:t>（2）平板纸：787×1092mm、889×1194mm、889×1294mm；或按订货要求。</w:t>
      </w:r>
    </w:p>
    <w:p w14:paraId="56DAF505">
      <w:pPr>
        <w:ind w:firstLine="480"/>
        <w:rPr>
          <w:color w:val="auto"/>
        </w:rPr>
      </w:pPr>
      <w:r>
        <w:rPr>
          <w:rFonts w:hint="eastAsia"/>
          <w:color w:val="auto"/>
        </w:rPr>
        <w:t>2、淋膜纸生产线</w:t>
      </w:r>
    </w:p>
    <w:p w14:paraId="1C2FD142">
      <w:pPr>
        <w:ind w:firstLine="480"/>
        <w:rPr>
          <w:color w:val="auto"/>
        </w:rPr>
      </w:pPr>
      <w:r>
        <w:rPr>
          <w:rFonts w:hint="eastAsia"/>
          <w:color w:val="auto"/>
        </w:rPr>
        <w:t>本项目仅进行淋膜纸生产线废气处理系统提升改造，项目建设不影响淋膜纸生产线产能，产能保持单面食品包装用淋膜纸6万吨/年，双面食品包装用淋膜纸4.8万吨/年的产能不变。</w:t>
      </w:r>
    </w:p>
    <w:p w14:paraId="2CBB1864">
      <w:pPr>
        <w:ind w:firstLine="480"/>
        <w:rPr>
          <w:color w:val="auto"/>
        </w:rPr>
      </w:pPr>
      <w:r>
        <w:rPr>
          <w:rFonts w:hint="eastAsia"/>
          <w:color w:val="auto"/>
        </w:rPr>
        <w:t>本项目建设完成后，全厂产品方案见下表。</w:t>
      </w:r>
    </w:p>
    <w:p w14:paraId="22D50FFE">
      <w:pPr>
        <w:pStyle w:val="7"/>
        <w:rPr>
          <w:color w:val="auto"/>
        </w:rPr>
      </w:pPr>
      <w:r>
        <w:rPr>
          <w:rFonts w:hint="eastAsia"/>
          <w:color w:val="auto"/>
        </w:rPr>
        <w:t>本项目建设完成后全厂主要产品方案    单位：万吨/年</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2"/>
        <w:gridCol w:w="1018"/>
        <w:gridCol w:w="1276"/>
        <w:gridCol w:w="1134"/>
        <w:gridCol w:w="3820"/>
      </w:tblGrid>
      <w:tr w14:paraId="76423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4793A2A5">
            <w:pPr>
              <w:pStyle w:val="33"/>
              <w:rPr>
                <w:color w:val="auto"/>
              </w:rPr>
            </w:pPr>
            <w:r>
              <w:rPr>
                <w:rFonts w:hint="eastAsia"/>
                <w:color w:val="auto"/>
              </w:rPr>
              <w:t>类别</w:t>
            </w:r>
          </w:p>
        </w:tc>
        <w:tc>
          <w:tcPr>
            <w:tcW w:w="1018" w:type="dxa"/>
            <w:vAlign w:val="center"/>
          </w:tcPr>
          <w:p w14:paraId="05D37401">
            <w:pPr>
              <w:pStyle w:val="33"/>
              <w:rPr>
                <w:color w:val="auto"/>
              </w:rPr>
            </w:pPr>
            <w:r>
              <w:rPr>
                <w:rFonts w:hint="eastAsia"/>
                <w:color w:val="auto"/>
              </w:rPr>
              <w:t>已建成</w:t>
            </w:r>
          </w:p>
        </w:tc>
        <w:tc>
          <w:tcPr>
            <w:tcW w:w="1276" w:type="dxa"/>
            <w:vAlign w:val="center"/>
          </w:tcPr>
          <w:p w14:paraId="1C15F899">
            <w:pPr>
              <w:pStyle w:val="33"/>
              <w:rPr>
                <w:color w:val="auto"/>
              </w:rPr>
            </w:pPr>
            <w:r>
              <w:rPr>
                <w:rFonts w:hint="eastAsia"/>
                <w:color w:val="auto"/>
              </w:rPr>
              <w:t>拟建、在建</w:t>
            </w:r>
          </w:p>
        </w:tc>
        <w:tc>
          <w:tcPr>
            <w:tcW w:w="1134" w:type="dxa"/>
            <w:vAlign w:val="center"/>
          </w:tcPr>
          <w:p w14:paraId="11EEBBD5">
            <w:pPr>
              <w:pStyle w:val="33"/>
              <w:rPr>
                <w:color w:val="auto"/>
              </w:rPr>
            </w:pPr>
            <w:r>
              <w:rPr>
                <w:rFonts w:hint="eastAsia"/>
                <w:color w:val="auto"/>
              </w:rPr>
              <w:t>本项目</w:t>
            </w:r>
          </w:p>
        </w:tc>
        <w:tc>
          <w:tcPr>
            <w:tcW w:w="3820" w:type="dxa"/>
            <w:vAlign w:val="center"/>
          </w:tcPr>
          <w:p w14:paraId="0EA8A157">
            <w:pPr>
              <w:pStyle w:val="33"/>
              <w:rPr>
                <w:color w:val="auto"/>
              </w:rPr>
            </w:pPr>
            <w:r>
              <w:rPr>
                <w:rFonts w:hint="eastAsia"/>
                <w:color w:val="auto"/>
              </w:rPr>
              <w:t>去向</w:t>
            </w:r>
          </w:p>
        </w:tc>
      </w:tr>
      <w:tr w14:paraId="5496D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65CF2865">
            <w:pPr>
              <w:pStyle w:val="33"/>
              <w:rPr>
                <w:color w:val="auto"/>
              </w:rPr>
            </w:pPr>
            <w:r>
              <w:rPr>
                <w:rFonts w:hint="eastAsia"/>
                <w:color w:val="auto"/>
              </w:rPr>
              <w:t>化机浆</w:t>
            </w:r>
          </w:p>
        </w:tc>
        <w:tc>
          <w:tcPr>
            <w:tcW w:w="1018" w:type="dxa"/>
            <w:vAlign w:val="center"/>
          </w:tcPr>
          <w:p w14:paraId="574D8DAC">
            <w:pPr>
              <w:pStyle w:val="33"/>
              <w:rPr>
                <w:color w:val="auto"/>
              </w:rPr>
            </w:pPr>
          </w:p>
        </w:tc>
        <w:tc>
          <w:tcPr>
            <w:tcW w:w="1276" w:type="dxa"/>
            <w:vAlign w:val="center"/>
          </w:tcPr>
          <w:p w14:paraId="5540D74D">
            <w:pPr>
              <w:pStyle w:val="33"/>
              <w:rPr>
                <w:color w:val="auto"/>
              </w:rPr>
            </w:pPr>
          </w:p>
        </w:tc>
        <w:tc>
          <w:tcPr>
            <w:tcW w:w="1134" w:type="dxa"/>
            <w:vAlign w:val="center"/>
          </w:tcPr>
          <w:p w14:paraId="33907A51">
            <w:pPr>
              <w:pStyle w:val="33"/>
              <w:rPr>
                <w:color w:val="auto"/>
              </w:rPr>
            </w:pPr>
          </w:p>
        </w:tc>
        <w:tc>
          <w:tcPr>
            <w:tcW w:w="3820" w:type="dxa"/>
            <w:vAlign w:val="center"/>
          </w:tcPr>
          <w:p w14:paraId="48B14AFE">
            <w:pPr>
              <w:pStyle w:val="33"/>
              <w:rPr>
                <w:color w:val="auto"/>
              </w:rPr>
            </w:pPr>
          </w:p>
        </w:tc>
      </w:tr>
      <w:tr w14:paraId="57742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3A9F697F">
            <w:pPr>
              <w:pStyle w:val="33"/>
              <w:rPr>
                <w:color w:val="auto"/>
              </w:rPr>
            </w:pPr>
            <w:r>
              <w:rPr>
                <w:rFonts w:hint="eastAsia"/>
                <w:color w:val="auto"/>
              </w:rPr>
              <w:t>白卡纸</w:t>
            </w:r>
          </w:p>
        </w:tc>
        <w:tc>
          <w:tcPr>
            <w:tcW w:w="1018" w:type="dxa"/>
            <w:vAlign w:val="center"/>
          </w:tcPr>
          <w:p w14:paraId="109F0C60">
            <w:pPr>
              <w:pStyle w:val="33"/>
              <w:rPr>
                <w:color w:val="auto"/>
              </w:rPr>
            </w:pPr>
          </w:p>
        </w:tc>
        <w:tc>
          <w:tcPr>
            <w:tcW w:w="1276" w:type="dxa"/>
            <w:vAlign w:val="center"/>
          </w:tcPr>
          <w:p w14:paraId="40AA6D2E">
            <w:pPr>
              <w:pStyle w:val="33"/>
              <w:rPr>
                <w:color w:val="auto"/>
              </w:rPr>
            </w:pPr>
          </w:p>
        </w:tc>
        <w:tc>
          <w:tcPr>
            <w:tcW w:w="1134" w:type="dxa"/>
            <w:vAlign w:val="center"/>
          </w:tcPr>
          <w:p w14:paraId="652B614A">
            <w:pPr>
              <w:pStyle w:val="33"/>
              <w:rPr>
                <w:color w:val="auto"/>
              </w:rPr>
            </w:pPr>
          </w:p>
        </w:tc>
        <w:tc>
          <w:tcPr>
            <w:tcW w:w="3820" w:type="dxa"/>
            <w:vAlign w:val="center"/>
          </w:tcPr>
          <w:p w14:paraId="4C403D15">
            <w:pPr>
              <w:pStyle w:val="33"/>
              <w:rPr>
                <w:color w:val="auto"/>
              </w:rPr>
            </w:pPr>
          </w:p>
        </w:tc>
      </w:tr>
      <w:tr w14:paraId="02605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1E63D3B7">
            <w:pPr>
              <w:pStyle w:val="33"/>
              <w:rPr>
                <w:color w:val="auto"/>
              </w:rPr>
            </w:pPr>
            <w:r>
              <w:rPr>
                <w:color w:val="auto"/>
              </w:rPr>
              <w:t>过氧化氢（浓度27.5%）</w:t>
            </w:r>
          </w:p>
        </w:tc>
        <w:tc>
          <w:tcPr>
            <w:tcW w:w="1018" w:type="dxa"/>
            <w:vAlign w:val="center"/>
          </w:tcPr>
          <w:p w14:paraId="76BDE1C7">
            <w:pPr>
              <w:pStyle w:val="33"/>
              <w:rPr>
                <w:color w:val="auto"/>
              </w:rPr>
            </w:pPr>
          </w:p>
        </w:tc>
        <w:tc>
          <w:tcPr>
            <w:tcW w:w="1276" w:type="dxa"/>
            <w:vAlign w:val="center"/>
          </w:tcPr>
          <w:p w14:paraId="6D8B8860">
            <w:pPr>
              <w:pStyle w:val="33"/>
              <w:rPr>
                <w:color w:val="auto"/>
              </w:rPr>
            </w:pPr>
          </w:p>
        </w:tc>
        <w:tc>
          <w:tcPr>
            <w:tcW w:w="1134" w:type="dxa"/>
            <w:vAlign w:val="center"/>
          </w:tcPr>
          <w:p w14:paraId="1CFBB919">
            <w:pPr>
              <w:pStyle w:val="33"/>
              <w:rPr>
                <w:color w:val="auto"/>
              </w:rPr>
            </w:pPr>
          </w:p>
        </w:tc>
        <w:tc>
          <w:tcPr>
            <w:tcW w:w="3820" w:type="dxa"/>
            <w:vAlign w:val="center"/>
          </w:tcPr>
          <w:p w14:paraId="7FF8AF0C">
            <w:pPr>
              <w:pStyle w:val="33"/>
              <w:rPr>
                <w:color w:val="auto"/>
              </w:rPr>
            </w:pPr>
          </w:p>
        </w:tc>
      </w:tr>
      <w:tr w14:paraId="1AFB4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45F70C5E">
            <w:pPr>
              <w:pStyle w:val="33"/>
              <w:rPr>
                <w:color w:val="auto"/>
              </w:rPr>
            </w:pPr>
            <w:r>
              <w:rPr>
                <w:color w:val="auto"/>
                <w:spacing w:val="-4"/>
              </w:rPr>
              <w:t>丁苯胶乳</w:t>
            </w:r>
          </w:p>
        </w:tc>
        <w:tc>
          <w:tcPr>
            <w:tcW w:w="1018" w:type="dxa"/>
            <w:vAlign w:val="center"/>
          </w:tcPr>
          <w:p w14:paraId="31A24D6A">
            <w:pPr>
              <w:pStyle w:val="33"/>
              <w:rPr>
                <w:color w:val="auto"/>
              </w:rPr>
            </w:pPr>
          </w:p>
        </w:tc>
        <w:tc>
          <w:tcPr>
            <w:tcW w:w="1276" w:type="dxa"/>
            <w:vAlign w:val="center"/>
          </w:tcPr>
          <w:p w14:paraId="3A80AF21">
            <w:pPr>
              <w:pStyle w:val="33"/>
              <w:rPr>
                <w:color w:val="auto"/>
              </w:rPr>
            </w:pPr>
          </w:p>
        </w:tc>
        <w:tc>
          <w:tcPr>
            <w:tcW w:w="1134" w:type="dxa"/>
            <w:vAlign w:val="center"/>
          </w:tcPr>
          <w:p w14:paraId="75CB53BC">
            <w:pPr>
              <w:pStyle w:val="33"/>
              <w:rPr>
                <w:color w:val="auto"/>
              </w:rPr>
            </w:pPr>
          </w:p>
        </w:tc>
        <w:tc>
          <w:tcPr>
            <w:tcW w:w="3820" w:type="dxa"/>
            <w:vAlign w:val="center"/>
          </w:tcPr>
          <w:p w14:paraId="14584FD5">
            <w:pPr>
              <w:pStyle w:val="33"/>
              <w:rPr>
                <w:color w:val="auto"/>
              </w:rPr>
            </w:pPr>
          </w:p>
        </w:tc>
      </w:tr>
      <w:tr w14:paraId="1F1CE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2" w:type="dxa"/>
            <w:vAlign w:val="center"/>
          </w:tcPr>
          <w:p w14:paraId="35DF1779">
            <w:pPr>
              <w:pStyle w:val="33"/>
              <w:rPr>
                <w:color w:val="auto"/>
              </w:rPr>
            </w:pPr>
            <w:r>
              <w:rPr>
                <w:rFonts w:hint="eastAsia"/>
                <w:color w:val="auto"/>
              </w:rPr>
              <w:t>淋膜纸</w:t>
            </w:r>
          </w:p>
        </w:tc>
        <w:tc>
          <w:tcPr>
            <w:tcW w:w="1018" w:type="dxa"/>
            <w:vAlign w:val="center"/>
          </w:tcPr>
          <w:p w14:paraId="4A9456F2">
            <w:pPr>
              <w:pStyle w:val="33"/>
              <w:rPr>
                <w:color w:val="auto"/>
              </w:rPr>
            </w:pPr>
          </w:p>
        </w:tc>
        <w:tc>
          <w:tcPr>
            <w:tcW w:w="1276" w:type="dxa"/>
            <w:vAlign w:val="center"/>
          </w:tcPr>
          <w:p w14:paraId="37D86186">
            <w:pPr>
              <w:pStyle w:val="33"/>
              <w:rPr>
                <w:color w:val="auto"/>
              </w:rPr>
            </w:pPr>
          </w:p>
        </w:tc>
        <w:tc>
          <w:tcPr>
            <w:tcW w:w="1134" w:type="dxa"/>
            <w:vAlign w:val="center"/>
          </w:tcPr>
          <w:p w14:paraId="032222D5">
            <w:pPr>
              <w:pStyle w:val="33"/>
              <w:rPr>
                <w:color w:val="auto"/>
              </w:rPr>
            </w:pPr>
          </w:p>
        </w:tc>
        <w:tc>
          <w:tcPr>
            <w:tcW w:w="3820" w:type="dxa"/>
            <w:vAlign w:val="center"/>
          </w:tcPr>
          <w:p w14:paraId="4F9EEDFD">
            <w:pPr>
              <w:pStyle w:val="33"/>
              <w:rPr>
                <w:color w:val="auto"/>
              </w:rPr>
            </w:pPr>
          </w:p>
        </w:tc>
      </w:tr>
    </w:tbl>
    <w:p w14:paraId="5EA2B5FE">
      <w:pPr>
        <w:ind w:firstLine="0" w:firstLineChars="0"/>
        <w:rPr>
          <w:color w:val="auto"/>
        </w:rPr>
      </w:pPr>
    </w:p>
    <w:p w14:paraId="20B05545">
      <w:pPr>
        <w:pStyle w:val="5"/>
        <w:rPr>
          <w:color w:val="auto"/>
        </w:rPr>
      </w:pPr>
      <w:r>
        <w:rPr>
          <w:rFonts w:hint="eastAsia"/>
          <w:color w:val="auto"/>
        </w:rPr>
        <w:t>产品质量标准</w:t>
      </w:r>
    </w:p>
    <w:p w14:paraId="286755E1">
      <w:pPr>
        <w:ind w:firstLine="480"/>
        <w:rPr>
          <w:color w:val="auto"/>
        </w:rPr>
      </w:pPr>
      <w:r>
        <w:rPr>
          <w:rFonts w:hint="eastAsia"/>
          <w:color w:val="auto"/>
        </w:rPr>
        <w:t>项目生产的高档白卡纸为涂布白卡纸，产品质量指标执行《涂布纸和纸板 涂布白卡纸》（</w:t>
      </w:r>
      <w:r>
        <w:rPr>
          <w:color w:val="auto"/>
        </w:rPr>
        <w:t>GB/T10335.3-20</w:t>
      </w:r>
      <w:r>
        <w:rPr>
          <w:rFonts w:hint="eastAsia"/>
          <w:color w:val="auto"/>
        </w:rPr>
        <w:t>18）中技术指标，淋膜纸执行《食品包装用淋膜纸和纸板》（GB/T36392-2025）在的技术指标。产品质量执行情况见下表：</w:t>
      </w:r>
    </w:p>
    <w:p w14:paraId="6457C263">
      <w:pPr>
        <w:pStyle w:val="7"/>
        <w:rPr>
          <w:color w:val="auto"/>
        </w:rPr>
      </w:pPr>
      <w:r>
        <w:rPr>
          <w:rFonts w:hint="eastAsia"/>
          <w:color w:val="auto"/>
        </w:rPr>
        <w:t>涂布纸和纸板 涂布白卡纸（</w:t>
      </w:r>
      <w:r>
        <w:rPr>
          <w:color w:val="auto"/>
        </w:rPr>
        <w:t>GB/T10335.3-20</w:t>
      </w:r>
      <w:r>
        <w:rPr>
          <w:rFonts w:hint="eastAsia"/>
          <w:color w:val="auto"/>
        </w:rPr>
        <w:t>18）</w:t>
      </w:r>
    </w:p>
    <w:tbl>
      <w:tblPr>
        <w:tblStyle w:val="26"/>
        <w:tblW w:w="89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446"/>
        <w:gridCol w:w="1516"/>
        <w:gridCol w:w="865"/>
        <w:gridCol w:w="18"/>
        <w:gridCol w:w="34"/>
        <w:gridCol w:w="849"/>
        <w:gridCol w:w="69"/>
        <w:gridCol w:w="866"/>
        <w:gridCol w:w="14"/>
        <w:gridCol w:w="38"/>
        <w:gridCol w:w="883"/>
        <w:gridCol w:w="35"/>
        <w:gridCol w:w="904"/>
        <w:gridCol w:w="16"/>
        <w:gridCol w:w="556"/>
      </w:tblGrid>
      <w:tr w14:paraId="3132A2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blHeader/>
        </w:trPr>
        <w:tc>
          <w:tcPr>
            <w:tcW w:w="2263" w:type="dxa"/>
            <w:gridSpan w:val="2"/>
            <w:vMerge w:val="restart"/>
            <w:tcBorders>
              <w:top w:val="single" w:color="auto" w:sz="4" w:space="0"/>
              <w:left w:val="single" w:color="auto" w:sz="4" w:space="0"/>
              <w:bottom w:val="single" w:color="auto" w:sz="4" w:space="0"/>
              <w:right w:val="single" w:color="auto" w:sz="4" w:space="0"/>
            </w:tcBorders>
            <w:vAlign w:val="center"/>
          </w:tcPr>
          <w:p w14:paraId="68BCF2DA">
            <w:pPr>
              <w:pStyle w:val="33"/>
              <w:rPr>
                <w:color w:val="auto"/>
              </w:rPr>
            </w:pPr>
            <w:r>
              <w:rPr>
                <w:rFonts w:hint="eastAsia"/>
                <w:color w:val="auto"/>
              </w:rPr>
              <w:t>项目</w:t>
            </w:r>
          </w:p>
        </w:tc>
        <w:tc>
          <w:tcPr>
            <w:tcW w:w="1516" w:type="dxa"/>
            <w:vMerge w:val="restart"/>
            <w:tcBorders>
              <w:top w:val="single" w:color="auto" w:sz="4" w:space="0"/>
              <w:left w:val="single" w:color="auto" w:sz="4" w:space="0"/>
              <w:bottom w:val="single" w:color="auto" w:sz="4" w:space="0"/>
              <w:right w:val="single" w:color="auto" w:sz="4" w:space="0"/>
            </w:tcBorders>
            <w:vAlign w:val="center"/>
          </w:tcPr>
          <w:p w14:paraId="33BD8789">
            <w:pPr>
              <w:pStyle w:val="33"/>
              <w:rPr>
                <w:color w:val="auto"/>
              </w:rPr>
            </w:pPr>
            <w:r>
              <w:rPr>
                <w:rFonts w:hint="eastAsia"/>
                <w:color w:val="auto"/>
              </w:rPr>
              <w:t>单位</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090573A8">
            <w:pPr>
              <w:pStyle w:val="33"/>
              <w:rPr>
                <w:color w:val="auto"/>
              </w:rPr>
            </w:pPr>
            <w:r>
              <w:rPr>
                <w:rFonts w:hint="eastAsia"/>
                <w:color w:val="auto"/>
              </w:rPr>
              <w:t>规定</w:t>
            </w:r>
          </w:p>
        </w:tc>
      </w:tr>
      <w:tr w14:paraId="24405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263" w:type="dxa"/>
            <w:gridSpan w:val="2"/>
            <w:vMerge w:val="continue"/>
            <w:tcBorders>
              <w:top w:val="single" w:color="auto" w:sz="4" w:space="0"/>
              <w:left w:val="single" w:color="auto" w:sz="4" w:space="0"/>
              <w:bottom w:val="single" w:color="auto" w:sz="4" w:space="0"/>
              <w:right w:val="single" w:color="auto" w:sz="4" w:space="0"/>
            </w:tcBorders>
            <w:vAlign w:val="center"/>
          </w:tcPr>
          <w:p w14:paraId="7E84E114">
            <w:pPr>
              <w:pStyle w:val="33"/>
              <w:rPr>
                <w:color w:val="auto"/>
              </w:rPr>
            </w:pPr>
          </w:p>
        </w:tc>
        <w:tc>
          <w:tcPr>
            <w:tcW w:w="1516" w:type="dxa"/>
            <w:vMerge w:val="continue"/>
            <w:tcBorders>
              <w:top w:val="single" w:color="auto" w:sz="4" w:space="0"/>
              <w:left w:val="single" w:color="auto" w:sz="4" w:space="0"/>
              <w:bottom w:val="single" w:color="auto" w:sz="4" w:space="0"/>
              <w:right w:val="single" w:color="auto" w:sz="4" w:space="0"/>
            </w:tcBorders>
            <w:vAlign w:val="center"/>
          </w:tcPr>
          <w:p w14:paraId="4ABBADB5">
            <w:pPr>
              <w:pStyle w:val="33"/>
              <w:rPr>
                <w:color w:val="auto"/>
              </w:rPr>
            </w:pPr>
          </w:p>
        </w:tc>
        <w:tc>
          <w:tcPr>
            <w:tcW w:w="1766" w:type="dxa"/>
            <w:gridSpan w:val="4"/>
            <w:tcBorders>
              <w:top w:val="single" w:color="auto" w:sz="4" w:space="0"/>
              <w:left w:val="single" w:color="auto" w:sz="4" w:space="0"/>
              <w:bottom w:val="single" w:color="auto" w:sz="4" w:space="0"/>
              <w:right w:val="single" w:color="auto" w:sz="4" w:space="0"/>
            </w:tcBorders>
            <w:vAlign w:val="center"/>
          </w:tcPr>
          <w:p w14:paraId="1D03D2E5">
            <w:pPr>
              <w:pStyle w:val="33"/>
              <w:rPr>
                <w:color w:val="auto"/>
              </w:rPr>
            </w:pPr>
            <w:r>
              <w:rPr>
                <w:rFonts w:hint="eastAsia"/>
                <w:color w:val="auto"/>
              </w:rPr>
              <w:t>优等品</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36BE6260">
            <w:pPr>
              <w:pStyle w:val="33"/>
              <w:rPr>
                <w:color w:val="auto"/>
              </w:rPr>
            </w:pPr>
            <w:r>
              <w:rPr>
                <w:rFonts w:hint="eastAsia"/>
                <w:color w:val="auto"/>
              </w:rPr>
              <w:t>一等品</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40D0C5C8">
            <w:pPr>
              <w:pStyle w:val="33"/>
              <w:rPr>
                <w:color w:val="auto"/>
              </w:rPr>
            </w:pPr>
            <w:r>
              <w:rPr>
                <w:rFonts w:hint="eastAsia"/>
                <w:color w:val="auto"/>
              </w:rPr>
              <w:t>合格品</w:t>
            </w:r>
          </w:p>
        </w:tc>
      </w:tr>
      <w:tr w14:paraId="78EFD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blHeader/>
        </w:trPr>
        <w:tc>
          <w:tcPr>
            <w:tcW w:w="2263" w:type="dxa"/>
            <w:gridSpan w:val="2"/>
            <w:vMerge w:val="continue"/>
            <w:tcBorders>
              <w:top w:val="single" w:color="auto" w:sz="4" w:space="0"/>
              <w:left w:val="single" w:color="auto" w:sz="4" w:space="0"/>
              <w:bottom w:val="single" w:color="auto" w:sz="4" w:space="0"/>
              <w:right w:val="single" w:color="auto" w:sz="4" w:space="0"/>
            </w:tcBorders>
            <w:vAlign w:val="center"/>
          </w:tcPr>
          <w:p w14:paraId="53B1C244">
            <w:pPr>
              <w:pStyle w:val="33"/>
              <w:rPr>
                <w:color w:val="auto"/>
              </w:rPr>
            </w:pPr>
          </w:p>
        </w:tc>
        <w:tc>
          <w:tcPr>
            <w:tcW w:w="1516" w:type="dxa"/>
            <w:vMerge w:val="continue"/>
            <w:tcBorders>
              <w:top w:val="single" w:color="auto" w:sz="4" w:space="0"/>
              <w:left w:val="single" w:color="auto" w:sz="4" w:space="0"/>
              <w:bottom w:val="single" w:color="auto" w:sz="4" w:space="0"/>
              <w:right w:val="single" w:color="auto" w:sz="4" w:space="0"/>
            </w:tcBorders>
            <w:vAlign w:val="center"/>
          </w:tcPr>
          <w:p w14:paraId="65769759">
            <w:pPr>
              <w:pStyle w:val="33"/>
              <w:rPr>
                <w:color w:val="auto"/>
              </w:rPr>
            </w:pPr>
          </w:p>
        </w:tc>
        <w:tc>
          <w:tcPr>
            <w:tcW w:w="865" w:type="dxa"/>
            <w:tcBorders>
              <w:top w:val="single" w:color="auto" w:sz="4" w:space="0"/>
              <w:left w:val="single" w:color="auto" w:sz="4" w:space="0"/>
              <w:bottom w:val="single" w:color="auto" w:sz="4" w:space="0"/>
              <w:right w:val="single" w:color="auto" w:sz="4" w:space="0"/>
            </w:tcBorders>
            <w:vAlign w:val="center"/>
          </w:tcPr>
          <w:p w14:paraId="119919B6">
            <w:pPr>
              <w:pStyle w:val="33"/>
              <w:rPr>
                <w:color w:val="auto"/>
              </w:rPr>
            </w:pPr>
            <w:r>
              <w:rPr>
                <w:rFonts w:hint="eastAsia"/>
                <w:color w:val="auto"/>
              </w:rPr>
              <w:t>双面光</w:t>
            </w:r>
          </w:p>
        </w:tc>
        <w:tc>
          <w:tcPr>
            <w:tcW w:w="901" w:type="dxa"/>
            <w:gridSpan w:val="3"/>
            <w:tcBorders>
              <w:top w:val="single" w:color="auto" w:sz="4" w:space="0"/>
              <w:left w:val="single" w:color="auto" w:sz="4" w:space="0"/>
              <w:bottom w:val="single" w:color="auto" w:sz="4" w:space="0"/>
              <w:right w:val="single" w:color="auto" w:sz="4" w:space="0"/>
            </w:tcBorders>
            <w:vAlign w:val="center"/>
          </w:tcPr>
          <w:p w14:paraId="676E0D35">
            <w:pPr>
              <w:pStyle w:val="33"/>
              <w:rPr>
                <w:color w:val="auto"/>
              </w:rPr>
            </w:pPr>
            <w:r>
              <w:rPr>
                <w:rFonts w:hint="eastAsia"/>
                <w:color w:val="auto"/>
              </w:rPr>
              <w:t>单面光</w:t>
            </w:r>
          </w:p>
        </w:tc>
        <w:tc>
          <w:tcPr>
            <w:tcW w:w="949" w:type="dxa"/>
            <w:gridSpan w:val="3"/>
            <w:tcBorders>
              <w:top w:val="single" w:color="auto" w:sz="4" w:space="0"/>
              <w:left w:val="single" w:color="auto" w:sz="4" w:space="0"/>
              <w:bottom w:val="single" w:color="auto" w:sz="4" w:space="0"/>
              <w:right w:val="single" w:color="auto" w:sz="4" w:space="0"/>
            </w:tcBorders>
            <w:vAlign w:val="center"/>
          </w:tcPr>
          <w:p w14:paraId="03FD9ACD">
            <w:pPr>
              <w:pStyle w:val="33"/>
              <w:rPr>
                <w:color w:val="auto"/>
              </w:rPr>
            </w:pPr>
            <w:r>
              <w:rPr>
                <w:rFonts w:hint="eastAsia"/>
                <w:color w:val="auto"/>
              </w:rPr>
              <w:t>双面光</w:t>
            </w:r>
          </w:p>
        </w:tc>
        <w:tc>
          <w:tcPr>
            <w:tcW w:w="921" w:type="dxa"/>
            <w:gridSpan w:val="2"/>
            <w:tcBorders>
              <w:top w:val="single" w:color="auto" w:sz="4" w:space="0"/>
              <w:left w:val="single" w:color="auto" w:sz="4" w:space="0"/>
              <w:bottom w:val="single" w:color="auto" w:sz="4" w:space="0"/>
              <w:right w:val="single" w:color="auto" w:sz="4" w:space="0"/>
            </w:tcBorders>
            <w:vAlign w:val="center"/>
          </w:tcPr>
          <w:p w14:paraId="2DA65097">
            <w:pPr>
              <w:pStyle w:val="33"/>
              <w:rPr>
                <w:color w:val="auto"/>
              </w:rPr>
            </w:pPr>
            <w:r>
              <w:rPr>
                <w:rFonts w:hint="eastAsia"/>
                <w:color w:val="auto"/>
              </w:rPr>
              <w:t>单面光</w:t>
            </w:r>
          </w:p>
        </w:tc>
        <w:tc>
          <w:tcPr>
            <w:tcW w:w="939" w:type="dxa"/>
            <w:gridSpan w:val="2"/>
            <w:tcBorders>
              <w:top w:val="single" w:color="auto" w:sz="4" w:space="0"/>
              <w:left w:val="single" w:color="auto" w:sz="4" w:space="0"/>
              <w:bottom w:val="single" w:color="auto" w:sz="4" w:space="0"/>
              <w:right w:val="single" w:color="auto" w:sz="4" w:space="0"/>
            </w:tcBorders>
            <w:vAlign w:val="center"/>
          </w:tcPr>
          <w:p w14:paraId="606E7D81">
            <w:pPr>
              <w:pStyle w:val="33"/>
              <w:rPr>
                <w:color w:val="auto"/>
              </w:rPr>
            </w:pPr>
            <w:r>
              <w:rPr>
                <w:rFonts w:hint="eastAsia"/>
                <w:color w:val="auto"/>
              </w:rPr>
              <w:t>双面光</w:t>
            </w:r>
          </w:p>
        </w:tc>
        <w:tc>
          <w:tcPr>
            <w:tcW w:w="572" w:type="dxa"/>
            <w:gridSpan w:val="2"/>
            <w:tcBorders>
              <w:top w:val="single" w:color="auto" w:sz="4" w:space="0"/>
              <w:left w:val="single" w:color="auto" w:sz="4" w:space="0"/>
              <w:bottom w:val="single" w:color="auto" w:sz="4" w:space="0"/>
              <w:right w:val="single" w:color="auto" w:sz="4" w:space="0"/>
            </w:tcBorders>
            <w:vAlign w:val="center"/>
          </w:tcPr>
          <w:p w14:paraId="4D6A0FE0">
            <w:pPr>
              <w:pStyle w:val="33"/>
              <w:rPr>
                <w:color w:val="auto"/>
              </w:rPr>
            </w:pPr>
            <w:r>
              <w:rPr>
                <w:rFonts w:hint="eastAsia"/>
                <w:color w:val="auto"/>
              </w:rPr>
              <w:t>单面光</w:t>
            </w:r>
          </w:p>
        </w:tc>
      </w:tr>
      <w:tr w14:paraId="61E69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250D1714">
            <w:pPr>
              <w:pStyle w:val="33"/>
              <w:rPr>
                <w:color w:val="auto"/>
              </w:rPr>
            </w:pPr>
            <w:r>
              <w:rPr>
                <w:rFonts w:hint="eastAsia"/>
                <w:color w:val="auto"/>
              </w:rPr>
              <w:t>定量</w:t>
            </w:r>
          </w:p>
        </w:tc>
        <w:tc>
          <w:tcPr>
            <w:tcW w:w="1516" w:type="dxa"/>
            <w:tcBorders>
              <w:top w:val="single" w:color="auto" w:sz="4" w:space="0"/>
              <w:left w:val="single" w:color="auto" w:sz="4" w:space="0"/>
              <w:bottom w:val="single" w:color="auto" w:sz="4" w:space="0"/>
              <w:right w:val="single" w:color="auto" w:sz="4" w:space="0"/>
            </w:tcBorders>
            <w:vAlign w:val="center"/>
          </w:tcPr>
          <w:p w14:paraId="2F87F851">
            <w:pPr>
              <w:pStyle w:val="33"/>
              <w:rPr>
                <w:color w:val="auto"/>
              </w:rPr>
            </w:pPr>
            <w:r>
              <w:rPr>
                <w:color w:val="auto"/>
              </w:rPr>
              <w:t>g/m</w:t>
            </w:r>
            <w:r>
              <w:rPr>
                <w:color w:val="auto"/>
                <w:vertAlign w:val="superscript"/>
              </w:rPr>
              <w:t>2</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0E4E0370">
            <w:pPr>
              <w:pStyle w:val="33"/>
              <w:rPr>
                <w:color w:val="auto"/>
              </w:rPr>
            </w:pPr>
            <w:r>
              <w:rPr>
                <w:color w:val="auto"/>
              </w:rPr>
              <w:t>1</w:t>
            </w:r>
            <w:r>
              <w:rPr>
                <w:rFonts w:hint="eastAsia"/>
                <w:color w:val="auto"/>
              </w:rPr>
              <w:t>70 180 190 200 210 220 230 250 270 280 300 330 350 400 450</w:t>
            </w:r>
          </w:p>
        </w:tc>
      </w:tr>
      <w:tr w14:paraId="16647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5DDD5DEB">
            <w:pPr>
              <w:pStyle w:val="33"/>
              <w:rPr>
                <w:color w:val="auto"/>
              </w:rPr>
            </w:pPr>
            <w:r>
              <w:rPr>
                <w:rFonts w:hint="eastAsia"/>
                <w:color w:val="auto"/>
              </w:rPr>
              <w:t>定量偏差  ≤</w:t>
            </w:r>
          </w:p>
        </w:tc>
        <w:tc>
          <w:tcPr>
            <w:tcW w:w="1516" w:type="dxa"/>
            <w:tcBorders>
              <w:top w:val="single" w:color="auto" w:sz="4" w:space="0"/>
              <w:left w:val="single" w:color="auto" w:sz="4" w:space="0"/>
              <w:bottom w:val="single" w:color="auto" w:sz="4" w:space="0"/>
              <w:right w:val="single" w:color="auto" w:sz="4" w:space="0"/>
            </w:tcBorders>
            <w:vAlign w:val="center"/>
          </w:tcPr>
          <w:p w14:paraId="1068F869">
            <w:pPr>
              <w:pStyle w:val="33"/>
              <w:rPr>
                <w:color w:val="auto"/>
              </w:rPr>
            </w:pPr>
            <w:r>
              <w:rPr>
                <w:rFonts w:hint="eastAsia"/>
                <w:color w:val="auto"/>
              </w:rPr>
              <w:t>%</w:t>
            </w:r>
          </w:p>
        </w:tc>
        <w:tc>
          <w:tcPr>
            <w:tcW w:w="1835" w:type="dxa"/>
            <w:gridSpan w:val="5"/>
            <w:tcBorders>
              <w:top w:val="single" w:color="auto" w:sz="4" w:space="0"/>
              <w:left w:val="single" w:color="auto" w:sz="4" w:space="0"/>
              <w:bottom w:val="single" w:color="auto" w:sz="4" w:space="0"/>
              <w:right w:val="single" w:color="auto" w:sz="4" w:space="0"/>
            </w:tcBorders>
            <w:vAlign w:val="center"/>
          </w:tcPr>
          <w:p w14:paraId="1969CCAC">
            <w:pPr>
              <w:pStyle w:val="33"/>
              <w:rPr>
                <w:color w:val="auto"/>
              </w:rPr>
            </w:pPr>
            <w:r>
              <w:rPr>
                <w:rFonts w:hint="eastAsia"/>
                <w:color w:val="auto"/>
              </w:rPr>
              <w:t>±3.0</w:t>
            </w:r>
          </w:p>
        </w:tc>
        <w:tc>
          <w:tcPr>
            <w:tcW w:w="3312" w:type="dxa"/>
            <w:gridSpan w:val="8"/>
            <w:tcBorders>
              <w:top w:val="single" w:color="auto" w:sz="4" w:space="0"/>
              <w:left w:val="single" w:color="auto" w:sz="4" w:space="0"/>
              <w:bottom w:val="single" w:color="auto" w:sz="4" w:space="0"/>
              <w:right w:val="single" w:color="auto" w:sz="4" w:space="0"/>
            </w:tcBorders>
            <w:vAlign w:val="center"/>
          </w:tcPr>
          <w:p w14:paraId="260E872C">
            <w:pPr>
              <w:pStyle w:val="33"/>
              <w:rPr>
                <w:color w:val="auto"/>
              </w:rPr>
            </w:pPr>
            <w:r>
              <w:rPr>
                <w:rFonts w:hint="eastAsia"/>
                <w:color w:val="auto"/>
              </w:rPr>
              <w:t>±53.0</w:t>
            </w:r>
          </w:p>
        </w:tc>
      </w:tr>
      <w:tr w14:paraId="1EA1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344D798D">
            <w:pPr>
              <w:pStyle w:val="33"/>
              <w:rPr>
                <w:color w:val="auto"/>
              </w:rPr>
            </w:pPr>
            <w:r>
              <w:rPr>
                <w:rFonts w:hint="eastAsia"/>
                <w:color w:val="auto"/>
              </w:rPr>
              <w:t>横幅定量偏差  ≤</w:t>
            </w:r>
          </w:p>
        </w:tc>
        <w:tc>
          <w:tcPr>
            <w:tcW w:w="1516" w:type="dxa"/>
            <w:tcBorders>
              <w:top w:val="single" w:color="auto" w:sz="4" w:space="0"/>
              <w:left w:val="single" w:color="auto" w:sz="4" w:space="0"/>
              <w:bottom w:val="single" w:color="auto" w:sz="4" w:space="0"/>
              <w:right w:val="single" w:color="auto" w:sz="4" w:space="0"/>
            </w:tcBorders>
            <w:vAlign w:val="center"/>
          </w:tcPr>
          <w:p w14:paraId="1B3CF216">
            <w:pPr>
              <w:pStyle w:val="33"/>
              <w:rPr>
                <w:color w:val="auto"/>
              </w:rPr>
            </w:pPr>
            <w:r>
              <w:rPr>
                <w:rFonts w:hint="eastAsia"/>
                <w:color w:val="auto"/>
              </w:rPr>
              <w:t>%</w:t>
            </w:r>
          </w:p>
        </w:tc>
        <w:tc>
          <w:tcPr>
            <w:tcW w:w="1835" w:type="dxa"/>
            <w:gridSpan w:val="5"/>
            <w:tcBorders>
              <w:top w:val="single" w:color="auto" w:sz="4" w:space="0"/>
              <w:left w:val="single" w:color="auto" w:sz="4" w:space="0"/>
              <w:bottom w:val="single" w:color="auto" w:sz="4" w:space="0"/>
              <w:right w:val="single" w:color="auto" w:sz="4" w:space="0"/>
            </w:tcBorders>
            <w:vAlign w:val="center"/>
          </w:tcPr>
          <w:p w14:paraId="0C2003FF">
            <w:pPr>
              <w:pStyle w:val="33"/>
              <w:rPr>
                <w:color w:val="auto"/>
              </w:rPr>
            </w:pPr>
            <w:r>
              <w:rPr>
                <w:rFonts w:hint="eastAsia"/>
                <w:color w:val="auto"/>
              </w:rPr>
              <w:t>3.0</w:t>
            </w:r>
          </w:p>
        </w:tc>
        <w:tc>
          <w:tcPr>
            <w:tcW w:w="1836" w:type="dxa"/>
            <w:gridSpan w:val="5"/>
            <w:tcBorders>
              <w:top w:val="single" w:color="auto" w:sz="4" w:space="0"/>
              <w:left w:val="single" w:color="auto" w:sz="4" w:space="0"/>
              <w:bottom w:val="single" w:color="auto" w:sz="4" w:space="0"/>
              <w:right w:val="single" w:color="auto" w:sz="4" w:space="0"/>
            </w:tcBorders>
            <w:vAlign w:val="center"/>
          </w:tcPr>
          <w:p w14:paraId="4346047C">
            <w:pPr>
              <w:pStyle w:val="33"/>
              <w:rPr>
                <w:color w:val="auto"/>
              </w:rPr>
            </w:pPr>
            <w:r>
              <w:rPr>
                <w:rFonts w:hint="eastAsia"/>
                <w:color w:val="auto"/>
              </w:rPr>
              <w:t>4.0</w:t>
            </w:r>
          </w:p>
        </w:tc>
        <w:tc>
          <w:tcPr>
            <w:tcW w:w="1476" w:type="dxa"/>
            <w:gridSpan w:val="3"/>
            <w:tcBorders>
              <w:top w:val="single" w:color="auto" w:sz="4" w:space="0"/>
              <w:left w:val="single" w:color="auto" w:sz="4" w:space="0"/>
              <w:bottom w:val="single" w:color="auto" w:sz="4" w:space="0"/>
              <w:right w:val="single" w:color="auto" w:sz="4" w:space="0"/>
            </w:tcBorders>
            <w:vAlign w:val="center"/>
          </w:tcPr>
          <w:p w14:paraId="7026E162">
            <w:pPr>
              <w:pStyle w:val="33"/>
              <w:rPr>
                <w:color w:val="auto"/>
              </w:rPr>
            </w:pPr>
            <w:r>
              <w:rPr>
                <w:rFonts w:hint="eastAsia"/>
                <w:color w:val="auto"/>
              </w:rPr>
              <w:t>5.0</w:t>
            </w:r>
          </w:p>
        </w:tc>
      </w:tr>
      <w:tr w14:paraId="63CD0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4D02A701">
            <w:pPr>
              <w:pStyle w:val="33"/>
              <w:rPr>
                <w:color w:val="auto"/>
              </w:rPr>
            </w:pPr>
            <w:r>
              <w:rPr>
                <w:rFonts w:hint="eastAsia"/>
                <w:color w:val="auto"/>
              </w:rPr>
              <w:t>厚度偏差  ≤</w:t>
            </w:r>
          </w:p>
        </w:tc>
        <w:tc>
          <w:tcPr>
            <w:tcW w:w="1516" w:type="dxa"/>
            <w:tcBorders>
              <w:top w:val="single" w:color="auto" w:sz="4" w:space="0"/>
              <w:left w:val="single" w:color="auto" w:sz="4" w:space="0"/>
              <w:bottom w:val="single" w:color="auto" w:sz="4" w:space="0"/>
              <w:right w:val="single" w:color="auto" w:sz="4" w:space="0"/>
            </w:tcBorders>
            <w:vAlign w:val="center"/>
          </w:tcPr>
          <w:p w14:paraId="79CDA62E">
            <w:pPr>
              <w:pStyle w:val="33"/>
              <w:rPr>
                <w:color w:val="auto"/>
              </w:rPr>
            </w:pPr>
            <w:r>
              <w:rPr>
                <w:rFonts w:hint="eastAsia"/>
                <w:color w:val="auto"/>
              </w:rPr>
              <w:t>μ</w:t>
            </w:r>
          </w:p>
        </w:tc>
        <w:tc>
          <w:tcPr>
            <w:tcW w:w="1835" w:type="dxa"/>
            <w:gridSpan w:val="5"/>
            <w:tcBorders>
              <w:top w:val="single" w:color="auto" w:sz="4" w:space="0"/>
              <w:left w:val="single" w:color="auto" w:sz="4" w:space="0"/>
              <w:bottom w:val="single" w:color="auto" w:sz="4" w:space="0"/>
              <w:right w:val="single" w:color="auto" w:sz="4" w:space="0"/>
            </w:tcBorders>
            <w:vAlign w:val="center"/>
          </w:tcPr>
          <w:p w14:paraId="616D243A">
            <w:pPr>
              <w:pStyle w:val="33"/>
              <w:rPr>
                <w:color w:val="auto"/>
              </w:rPr>
            </w:pPr>
            <w:r>
              <w:rPr>
                <w:rFonts w:hint="eastAsia"/>
                <w:color w:val="auto"/>
              </w:rPr>
              <w:t>±15</w:t>
            </w:r>
          </w:p>
        </w:tc>
        <w:tc>
          <w:tcPr>
            <w:tcW w:w="1836" w:type="dxa"/>
            <w:gridSpan w:val="5"/>
            <w:tcBorders>
              <w:top w:val="single" w:color="auto" w:sz="4" w:space="0"/>
              <w:left w:val="single" w:color="auto" w:sz="4" w:space="0"/>
              <w:bottom w:val="single" w:color="auto" w:sz="4" w:space="0"/>
              <w:right w:val="single" w:color="auto" w:sz="4" w:space="0"/>
            </w:tcBorders>
            <w:vAlign w:val="center"/>
          </w:tcPr>
          <w:p w14:paraId="3313A61B">
            <w:pPr>
              <w:pStyle w:val="33"/>
              <w:rPr>
                <w:color w:val="auto"/>
              </w:rPr>
            </w:pPr>
            <w:r>
              <w:rPr>
                <w:rFonts w:hint="eastAsia"/>
                <w:color w:val="auto"/>
              </w:rPr>
              <w:t>±20</w:t>
            </w:r>
          </w:p>
        </w:tc>
        <w:tc>
          <w:tcPr>
            <w:tcW w:w="1476" w:type="dxa"/>
            <w:gridSpan w:val="3"/>
            <w:tcBorders>
              <w:top w:val="single" w:color="auto" w:sz="4" w:space="0"/>
              <w:left w:val="single" w:color="auto" w:sz="4" w:space="0"/>
              <w:bottom w:val="single" w:color="auto" w:sz="4" w:space="0"/>
              <w:right w:val="single" w:color="auto" w:sz="4" w:space="0"/>
            </w:tcBorders>
            <w:vAlign w:val="center"/>
          </w:tcPr>
          <w:p w14:paraId="13D815E7">
            <w:pPr>
              <w:pStyle w:val="33"/>
              <w:rPr>
                <w:color w:val="auto"/>
              </w:rPr>
            </w:pPr>
            <w:r>
              <w:rPr>
                <w:rFonts w:hint="eastAsia"/>
                <w:color w:val="auto"/>
              </w:rPr>
              <w:t>±25</w:t>
            </w:r>
          </w:p>
        </w:tc>
      </w:tr>
      <w:tr w14:paraId="175F5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2ED284DF">
            <w:pPr>
              <w:pStyle w:val="33"/>
              <w:rPr>
                <w:color w:val="auto"/>
              </w:rPr>
            </w:pPr>
            <w:r>
              <w:rPr>
                <w:rFonts w:hint="eastAsia"/>
                <w:color w:val="auto"/>
              </w:rPr>
              <w:t>紧度</w:t>
            </w:r>
          </w:p>
        </w:tc>
        <w:tc>
          <w:tcPr>
            <w:tcW w:w="1516" w:type="dxa"/>
            <w:tcBorders>
              <w:top w:val="single" w:color="auto" w:sz="4" w:space="0"/>
              <w:left w:val="single" w:color="auto" w:sz="4" w:space="0"/>
              <w:bottom w:val="single" w:color="auto" w:sz="4" w:space="0"/>
              <w:right w:val="single" w:color="auto" w:sz="4" w:space="0"/>
            </w:tcBorders>
            <w:vAlign w:val="center"/>
          </w:tcPr>
          <w:p w14:paraId="5D4021C5">
            <w:pPr>
              <w:pStyle w:val="33"/>
              <w:rPr>
                <w:color w:val="auto"/>
              </w:rPr>
            </w:pPr>
            <w:r>
              <w:rPr>
                <w:rFonts w:hint="eastAsia"/>
                <w:color w:val="auto"/>
              </w:rPr>
              <w:t>g/cm</w:t>
            </w:r>
            <w:r>
              <w:rPr>
                <w:rFonts w:hint="eastAsia"/>
                <w:color w:val="auto"/>
                <w:vertAlign w:val="superscript"/>
              </w:rPr>
              <w:t>3</w:t>
            </w:r>
          </w:p>
        </w:tc>
        <w:tc>
          <w:tcPr>
            <w:tcW w:w="917" w:type="dxa"/>
            <w:gridSpan w:val="3"/>
            <w:tcBorders>
              <w:top w:val="single" w:color="auto" w:sz="4" w:space="0"/>
              <w:left w:val="single" w:color="auto" w:sz="4" w:space="0"/>
              <w:bottom w:val="single" w:color="auto" w:sz="4" w:space="0"/>
              <w:right w:val="single" w:color="auto" w:sz="4" w:space="0"/>
            </w:tcBorders>
            <w:vAlign w:val="center"/>
          </w:tcPr>
          <w:p w14:paraId="127022A6">
            <w:pPr>
              <w:pStyle w:val="33"/>
              <w:rPr>
                <w:color w:val="auto"/>
              </w:rPr>
            </w:pPr>
            <w:r>
              <w:rPr>
                <w:rFonts w:hint="eastAsia"/>
                <w:color w:val="auto"/>
              </w:rPr>
              <w:t>1.00</w:t>
            </w:r>
          </w:p>
        </w:tc>
        <w:tc>
          <w:tcPr>
            <w:tcW w:w="918" w:type="dxa"/>
            <w:gridSpan w:val="2"/>
            <w:tcBorders>
              <w:top w:val="single" w:color="auto" w:sz="4" w:space="0"/>
              <w:left w:val="single" w:color="auto" w:sz="4" w:space="0"/>
              <w:bottom w:val="single" w:color="auto" w:sz="4" w:space="0"/>
              <w:right w:val="single" w:color="auto" w:sz="4" w:space="0"/>
            </w:tcBorders>
            <w:vAlign w:val="center"/>
          </w:tcPr>
          <w:p w14:paraId="005C7CB4">
            <w:pPr>
              <w:pStyle w:val="33"/>
              <w:rPr>
                <w:color w:val="auto"/>
              </w:rPr>
            </w:pPr>
            <w:r>
              <w:rPr>
                <w:rFonts w:hint="eastAsia"/>
                <w:color w:val="auto"/>
              </w:rPr>
              <w:t>0.84</w:t>
            </w:r>
          </w:p>
        </w:tc>
        <w:tc>
          <w:tcPr>
            <w:tcW w:w="918" w:type="dxa"/>
            <w:gridSpan w:val="3"/>
            <w:tcBorders>
              <w:top w:val="single" w:color="auto" w:sz="4" w:space="0"/>
              <w:left w:val="single" w:color="auto" w:sz="4" w:space="0"/>
              <w:bottom w:val="single" w:color="auto" w:sz="4" w:space="0"/>
              <w:right w:val="single" w:color="auto" w:sz="4" w:space="0"/>
            </w:tcBorders>
            <w:vAlign w:val="center"/>
          </w:tcPr>
          <w:p w14:paraId="6BE1171C">
            <w:pPr>
              <w:pStyle w:val="33"/>
              <w:rPr>
                <w:color w:val="auto"/>
              </w:rPr>
            </w:pPr>
            <w:r>
              <w:rPr>
                <w:rFonts w:hint="eastAsia"/>
                <w:color w:val="auto"/>
              </w:rPr>
              <w:t>1.10</w:t>
            </w:r>
          </w:p>
        </w:tc>
        <w:tc>
          <w:tcPr>
            <w:tcW w:w="918" w:type="dxa"/>
            <w:gridSpan w:val="2"/>
            <w:tcBorders>
              <w:top w:val="single" w:color="auto" w:sz="4" w:space="0"/>
              <w:left w:val="single" w:color="auto" w:sz="4" w:space="0"/>
              <w:bottom w:val="single" w:color="auto" w:sz="4" w:space="0"/>
              <w:right w:val="single" w:color="auto" w:sz="4" w:space="0"/>
            </w:tcBorders>
            <w:vAlign w:val="center"/>
          </w:tcPr>
          <w:p w14:paraId="7728BBB6">
            <w:pPr>
              <w:pStyle w:val="33"/>
              <w:rPr>
                <w:color w:val="auto"/>
              </w:rPr>
            </w:pPr>
            <w:r>
              <w:rPr>
                <w:rFonts w:hint="eastAsia"/>
                <w:color w:val="auto"/>
              </w:rPr>
              <w:t>0.84</w:t>
            </w:r>
          </w:p>
        </w:tc>
        <w:tc>
          <w:tcPr>
            <w:tcW w:w="920" w:type="dxa"/>
            <w:gridSpan w:val="2"/>
            <w:tcBorders>
              <w:top w:val="single" w:color="auto" w:sz="4" w:space="0"/>
              <w:left w:val="single" w:color="auto" w:sz="4" w:space="0"/>
              <w:bottom w:val="single" w:color="auto" w:sz="4" w:space="0"/>
              <w:right w:val="single" w:color="auto" w:sz="4" w:space="0"/>
            </w:tcBorders>
            <w:vAlign w:val="center"/>
          </w:tcPr>
          <w:p w14:paraId="3DFEF631">
            <w:pPr>
              <w:pStyle w:val="33"/>
              <w:rPr>
                <w:color w:val="auto"/>
              </w:rPr>
            </w:pPr>
            <w:r>
              <w:rPr>
                <w:rFonts w:hint="eastAsia"/>
                <w:color w:val="auto"/>
              </w:rPr>
              <w:t>1.10</w:t>
            </w:r>
          </w:p>
        </w:tc>
        <w:tc>
          <w:tcPr>
            <w:tcW w:w="556" w:type="dxa"/>
            <w:tcBorders>
              <w:top w:val="single" w:color="auto" w:sz="4" w:space="0"/>
              <w:left w:val="single" w:color="auto" w:sz="4" w:space="0"/>
              <w:bottom w:val="single" w:color="auto" w:sz="4" w:space="0"/>
              <w:right w:val="single" w:color="auto" w:sz="4" w:space="0"/>
            </w:tcBorders>
            <w:vAlign w:val="center"/>
          </w:tcPr>
          <w:p w14:paraId="70B62968">
            <w:pPr>
              <w:pStyle w:val="33"/>
              <w:rPr>
                <w:color w:val="auto"/>
              </w:rPr>
            </w:pPr>
            <w:r>
              <w:rPr>
                <w:rFonts w:hint="eastAsia"/>
                <w:color w:val="auto"/>
              </w:rPr>
              <w:t>0.84</w:t>
            </w:r>
          </w:p>
        </w:tc>
      </w:tr>
      <w:tr w14:paraId="4F4BA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668E7995">
            <w:pPr>
              <w:pStyle w:val="33"/>
              <w:rPr>
                <w:color w:val="auto"/>
              </w:rPr>
            </w:pPr>
            <w:r>
              <w:rPr>
                <w:color w:val="auto"/>
              </w:rPr>
              <w:t>D65</w:t>
            </w:r>
            <w:r>
              <w:rPr>
                <w:rFonts w:hint="eastAsia"/>
                <w:color w:val="auto"/>
              </w:rPr>
              <w:t>亮度（正反面均）  ≤</w:t>
            </w:r>
          </w:p>
        </w:tc>
        <w:tc>
          <w:tcPr>
            <w:tcW w:w="1516" w:type="dxa"/>
            <w:tcBorders>
              <w:top w:val="single" w:color="auto" w:sz="4" w:space="0"/>
              <w:left w:val="single" w:color="auto" w:sz="4" w:space="0"/>
              <w:bottom w:val="single" w:color="auto" w:sz="4" w:space="0"/>
              <w:right w:val="single" w:color="auto" w:sz="4" w:space="0"/>
            </w:tcBorders>
            <w:vAlign w:val="center"/>
          </w:tcPr>
          <w:p w14:paraId="02DB321C">
            <w:pPr>
              <w:pStyle w:val="33"/>
              <w:rPr>
                <w:color w:val="auto"/>
              </w:rPr>
            </w:pPr>
            <w:r>
              <w:rPr>
                <w:color w:val="auto"/>
              </w:rPr>
              <w:t>%</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2E1DFBA5">
            <w:pPr>
              <w:pStyle w:val="33"/>
              <w:rPr>
                <w:color w:val="auto"/>
              </w:rPr>
            </w:pPr>
            <w:r>
              <w:rPr>
                <w:rFonts w:hint="eastAsia"/>
                <w:color w:val="auto"/>
              </w:rPr>
              <w:t>93.0</w:t>
            </w:r>
          </w:p>
        </w:tc>
      </w:tr>
      <w:tr w14:paraId="49CAF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24660A68">
            <w:pPr>
              <w:pStyle w:val="33"/>
              <w:rPr>
                <w:color w:val="auto"/>
              </w:rPr>
            </w:pPr>
            <w:r>
              <w:rPr>
                <w:rFonts w:hint="eastAsia"/>
                <w:color w:val="auto"/>
              </w:rPr>
              <w:t>光泽度  ≥</w:t>
            </w:r>
          </w:p>
        </w:tc>
        <w:tc>
          <w:tcPr>
            <w:tcW w:w="1516" w:type="dxa"/>
            <w:tcBorders>
              <w:top w:val="single" w:color="auto" w:sz="4" w:space="0"/>
              <w:left w:val="single" w:color="auto" w:sz="4" w:space="0"/>
              <w:bottom w:val="single" w:color="auto" w:sz="4" w:space="0"/>
              <w:right w:val="single" w:color="auto" w:sz="4" w:space="0"/>
            </w:tcBorders>
            <w:vAlign w:val="center"/>
          </w:tcPr>
          <w:p w14:paraId="79AA0BFF">
            <w:pPr>
              <w:pStyle w:val="33"/>
              <w:rPr>
                <w:color w:val="auto"/>
              </w:rPr>
            </w:pPr>
            <w:r>
              <w:rPr>
                <w:rFonts w:hint="eastAsia"/>
                <w:color w:val="auto"/>
              </w:rPr>
              <w:t>光泽度单位</w:t>
            </w:r>
          </w:p>
        </w:tc>
        <w:tc>
          <w:tcPr>
            <w:tcW w:w="883" w:type="dxa"/>
            <w:gridSpan w:val="2"/>
            <w:tcBorders>
              <w:top w:val="single" w:color="auto" w:sz="4" w:space="0"/>
              <w:left w:val="single" w:color="auto" w:sz="4" w:space="0"/>
              <w:bottom w:val="single" w:color="auto" w:sz="4" w:space="0"/>
              <w:right w:val="single" w:color="auto" w:sz="4" w:space="0"/>
            </w:tcBorders>
            <w:vAlign w:val="center"/>
          </w:tcPr>
          <w:p w14:paraId="5822C2CE">
            <w:pPr>
              <w:pStyle w:val="33"/>
              <w:rPr>
                <w:color w:val="auto"/>
              </w:rPr>
            </w:pPr>
            <w:r>
              <w:rPr>
                <w:rFonts w:hint="eastAsia"/>
                <w:color w:val="auto"/>
              </w:rPr>
              <w:t>60</w:t>
            </w:r>
          </w:p>
        </w:tc>
        <w:tc>
          <w:tcPr>
            <w:tcW w:w="883" w:type="dxa"/>
            <w:gridSpan w:val="2"/>
            <w:tcBorders>
              <w:top w:val="single" w:color="auto" w:sz="4" w:space="0"/>
              <w:left w:val="single" w:color="auto" w:sz="4" w:space="0"/>
              <w:bottom w:val="single" w:color="auto" w:sz="4" w:space="0"/>
              <w:right w:val="single" w:color="auto" w:sz="4" w:space="0"/>
            </w:tcBorders>
            <w:vAlign w:val="center"/>
          </w:tcPr>
          <w:p w14:paraId="0B9B3C23">
            <w:pPr>
              <w:pStyle w:val="33"/>
              <w:rPr>
                <w:color w:val="auto"/>
              </w:rPr>
            </w:pPr>
            <w:r>
              <w:rPr>
                <w:rFonts w:hint="eastAsia"/>
                <w:color w:val="auto"/>
              </w:rPr>
              <w:t>50</w:t>
            </w:r>
          </w:p>
        </w:tc>
        <w:tc>
          <w:tcPr>
            <w:tcW w:w="935" w:type="dxa"/>
            <w:gridSpan w:val="2"/>
            <w:tcBorders>
              <w:top w:val="single" w:color="auto" w:sz="4" w:space="0"/>
              <w:left w:val="single" w:color="auto" w:sz="4" w:space="0"/>
              <w:bottom w:val="single" w:color="auto" w:sz="4" w:space="0"/>
              <w:right w:val="single" w:color="auto" w:sz="4" w:space="0"/>
            </w:tcBorders>
            <w:vAlign w:val="center"/>
          </w:tcPr>
          <w:p w14:paraId="70A413CA">
            <w:pPr>
              <w:pStyle w:val="33"/>
              <w:rPr>
                <w:color w:val="auto"/>
              </w:rPr>
            </w:pPr>
            <w:r>
              <w:rPr>
                <w:rFonts w:hint="eastAsia"/>
                <w:color w:val="auto"/>
              </w:rPr>
              <w:t>48</w:t>
            </w:r>
          </w:p>
        </w:tc>
        <w:tc>
          <w:tcPr>
            <w:tcW w:w="935" w:type="dxa"/>
            <w:gridSpan w:val="3"/>
            <w:tcBorders>
              <w:top w:val="single" w:color="auto" w:sz="4" w:space="0"/>
              <w:left w:val="single" w:color="auto" w:sz="4" w:space="0"/>
              <w:bottom w:val="single" w:color="auto" w:sz="4" w:space="0"/>
              <w:right w:val="single" w:color="auto" w:sz="4" w:space="0"/>
            </w:tcBorders>
            <w:vAlign w:val="center"/>
          </w:tcPr>
          <w:p w14:paraId="5D5EBFFD">
            <w:pPr>
              <w:pStyle w:val="33"/>
              <w:rPr>
                <w:color w:val="auto"/>
              </w:rPr>
            </w:pPr>
            <w:r>
              <w:rPr>
                <w:rFonts w:hint="eastAsia"/>
                <w:color w:val="auto"/>
              </w:rPr>
              <w:t>45</w:t>
            </w:r>
          </w:p>
        </w:tc>
        <w:tc>
          <w:tcPr>
            <w:tcW w:w="939" w:type="dxa"/>
            <w:gridSpan w:val="2"/>
            <w:tcBorders>
              <w:top w:val="single" w:color="auto" w:sz="4" w:space="0"/>
              <w:left w:val="single" w:color="auto" w:sz="4" w:space="0"/>
              <w:bottom w:val="single" w:color="auto" w:sz="4" w:space="0"/>
              <w:right w:val="single" w:color="auto" w:sz="4" w:space="0"/>
            </w:tcBorders>
            <w:vAlign w:val="center"/>
          </w:tcPr>
          <w:p w14:paraId="46B7C308">
            <w:pPr>
              <w:pStyle w:val="33"/>
              <w:rPr>
                <w:color w:val="auto"/>
              </w:rPr>
            </w:pPr>
            <w:r>
              <w:rPr>
                <w:rFonts w:hint="eastAsia"/>
                <w:color w:val="auto"/>
              </w:rPr>
              <w:t>40</w:t>
            </w:r>
          </w:p>
        </w:tc>
        <w:tc>
          <w:tcPr>
            <w:tcW w:w="572" w:type="dxa"/>
            <w:gridSpan w:val="2"/>
            <w:tcBorders>
              <w:top w:val="single" w:color="auto" w:sz="4" w:space="0"/>
              <w:left w:val="single" w:color="auto" w:sz="4" w:space="0"/>
              <w:bottom w:val="single" w:color="auto" w:sz="4" w:space="0"/>
              <w:right w:val="single" w:color="auto" w:sz="4" w:space="0"/>
            </w:tcBorders>
            <w:vAlign w:val="center"/>
          </w:tcPr>
          <w:p w14:paraId="16F82C5F">
            <w:pPr>
              <w:pStyle w:val="33"/>
              <w:rPr>
                <w:color w:val="auto"/>
              </w:rPr>
            </w:pPr>
            <w:r>
              <w:rPr>
                <w:rFonts w:hint="eastAsia"/>
                <w:color w:val="auto"/>
              </w:rPr>
              <w:t>-</w:t>
            </w:r>
          </w:p>
        </w:tc>
      </w:tr>
      <w:tr w14:paraId="0EAA7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44A3D468">
            <w:pPr>
              <w:pStyle w:val="33"/>
              <w:rPr>
                <w:color w:val="auto"/>
              </w:rPr>
            </w:pPr>
            <w:r>
              <w:rPr>
                <w:rFonts w:hint="eastAsia"/>
                <w:color w:val="auto"/>
              </w:rPr>
              <w:t>印刷光泽度  ≥</w:t>
            </w:r>
          </w:p>
        </w:tc>
        <w:tc>
          <w:tcPr>
            <w:tcW w:w="1516" w:type="dxa"/>
            <w:tcBorders>
              <w:top w:val="single" w:color="auto" w:sz="4" w:space="0"/>
              <w:left w:val="single" w:color="auto" w:sz="4" w:space="0"/>
              <w:bottom w:val="single" w:color="auto" w:sz="4" w:space="0"/>
              <w:right w:val="single" w:color="auto" w:sz="4" w:space="0"/>
            </w:tcBorders>
            <w:vAlign w:val="center"/>
          </w:tcPr>
          <w:p w14:paraId="5C18757E">
            <w:pPr>
              <w:pStyle w:val="33"/>
              <w:rPr>
                <w:color w:val="auto"/>
              </w:rPr>
            </w:pPr>
            <w:r>
              <w:rPr>
                <w:rFonts w:hint="eastAsia"/>
                <w:color w:val="auto"/>
              </w:rPr>
              <w:t>光泽度单位</w:t>
            </w:r>
          </w:p>
        </w:tc>
        <w:tc>
          <w:tcPr>
            <w:tcW w:w="883" w:type="dxa"/>
            <w:gridSpan w:val="2"/>
            <w:tcBorders>
              <w:top w:val="single" w:color="auto" w:sz="4" w:space="0"/>
              <w:left w:val="single" w:color="auto" w:sz="4" w:space="0"/>
              <w:bottom w:val="single" w:color="auto" w:sz="4" w:space="0"/>
              <w:right w:val="single" w:color="auto" w:sz="4" w:space="0"/>
            </w:tcBorders>
            <w:vAlign w:val="center"/>
          </w:tcPr>
          <w:p w14:paraId="31604934">
            <w:pPr>
              <w:pStyle w:val="33"/>
              <w:rPr>
                <w:color w:val="auto"/>
              </w:rPr>
            </w:pPr>
            <w:r>
              <w:rPr>
                <w:rFonts w:hint="eastAsia"/>
                <w:color w:val="auto"/>
              </w:rPr>
              <w:t>92</w:t>
            </w:r>
          </w:p>
        </w:tc>
        <w:tc>
          <w:tcPr>
            <w:tcW w:w="883" w:type="dxa"/>
            <w:gridSpan w:val="2"/>
            <w:tcBorders>
              <w:top w:val="single" w:color="auto" w:sz="4" w:space="0"/>
              <w:left w:val="single" w:color="auto" w:sz="4" w:space="0"/>
              <w:bottom w:val="single" w:color="auto" w:sz="4" w:space="0"/>
              <w:right w:val="single" w:color="auto" w:sz="4" w:space="0"/>
            </w:tcBorders>
            <w:vAlign w:val="center"/>
          </w:tcPr>
          <w:p w14:paraId="55E50EFB">
            <w:pPr>
              <w:pStyle w:val="33"/>
              <w:rPr>
                <w:color w:val="auto"/>
              </w:rPr>
            </w:pPr>
            <w:r>
              <w:rPr>
                <w:rFonts w:hint="eastAsia"/>
                <w:color w:val="auto"/>
              </w:rPr>
              <w:t>90</w:t>
            </w:r>
          </w:p>
        </w:tc>
        <w:tc>
          <w:tcPr>
            <w:tcW w:w="935" w:type="dxa"/>
            <w:gridSpan w:val="2"/>
            <w:tcBorders>
              <w:top w:val="single" w:color="auto" w:sz="4" w:space="0"/>
              <w:left w:val="single" w:color="auto" w:sz="4" w:space="0"/>
              <w:bottom w:val="single" w:color="auto" w:sz="4" w:space="0"/>
              <w:right w:val="single" w:color="auto" w:sz="4" w:space="0"/>
            </w:tcBorders>
            <w:vAlign w:val="center"/>
          </w:tcPr>
          <w:p w14:paraId="4F7C8AC6">
            <w:pPr>
              <w:pStyle w:val="33"/>
              <w:rPr>
                <w:color w:val="auto"/>
              </w:rPr>
            </w:pPr>
            <w:r>
              <w:rPr>
                <w:rFonts w:hint="eastAsia"/>
                <w:color w:val="auto"/>
              </w:rPr>
              <w:t>89</w:t>
            </w:r>
          </w:p>
        </w:tc>
        <w:tc>
          <w:tcPr>
            <w:tcW w:w="935" w:type="dxa"/>
            <w:gridSpan w:val="3"/>
            <w:tcBorders>
              <w:top w:val="single" w:color="auto" w:sz="4" w:space="0"/>
              <w:left w:val="single" w:color="auto" w:sz="4" w:space="0"/>
              <w:bottom w:val="single" w:color="auto" w:sz="4" w:space="0"/>
              <w:right w:val="single" w:color="auto" w:sz="4" w:space="0"/>
            </w:tcBorders>
            <w:vAlign w:val="center"/>
          </w:tcPr>
          <w:p w14:paraId="77E4B4BA">
            <w:pPr>
              <w:pStyle w:val="33"/>
              <w:rPr>
                <w:color w:val="auto"/>
              </w:rPr>
            </w:pPr>
            <w:r>
              <w:rPr>
                <w:rFonts w:hint="eastAsia"/>
                <w:color w:val="auto"/>
              </w:rPr>
              <w:t>87</w:t>
            </w:r>
          </w:p>
        </w:tc>
        <w:tc>
          <w:tcPr>
            <w:tcW w:w="939" w:type="dxa"/>
            <w:gridSpan w:val="2"/>
            <w:tcBorders>
              <w:top w:val="single" w:color="auto" w:sz="4" w:space="0"/>
              <w:left w:val="single" w:color="auto" w:sz="4" w:space="0"/>
              <w:bottom w:val="single" w:color="auto" w:sz="4" w:space="0"/>
              <w:right w:val="single" w:color="auto" w:sz="4" w:space="0"/>
            </w:tcBorders>
            <w:vAlign w:val="center"/>
          </w:tcPr>
          <w:p w14:paraId="1BF64BDE">
            <w:pPr>
              <w:pStyle w:val="33"/>
              <w:rPr>
                <w:color w:val="auto"/>
              </w:rPr>
            </w:pPr>
            <w:r>
              <w:rPr>
                <w:rFonts w:hint="eastAsia"/>
                <w:color w:val="auto"/>
              </w:rPr>
              <w:t>84</w:t>
            </w:r>
          </w:p>
        </w:tc>
        <w:tc>
          <w:tcPr>
            <w:tcW w:w="572" w:type="dxa"/>
            <w:gridSpan w:val="2"/>
            <w:tcBorders>
              <w:top w:val="single" w:color="auto" w:sz="4" w:space="0"/>
              <w:left w:val="single" w:color="auto" w:sz="4" w:space="0"/>
              <w:bottom w:val="single" w:color="auto" w:sz="4" w:space="0"/>
              <w:right w:val="single" w:color="auto" w:sz="4" w:space="0"/>
            </w:tcBorders>
            <w:vAlign w:val="center"/>
          </w:tcPr>
          <w:p w14:paraId="52C946B5">
            <w:pPr>
              <w:pStyle w:val="33"/>
              <w:rPr>
                <w:color w:val="auto"/>
              </w:rPr>
            </w:pPr>
            <w:r>
              <w:rPr>
                <w:rFonts w:hint="eastAsia"/>
                <w:color w:val="auto"/>
              </w:rPr>
              <w:t>82</w:t>
            </w:r>
          </w:p>
        </w:tc>
      </w:tr>
      <w:tr w14:paraId="05B0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1F9EB2EA">
            <w:pPr>
              <w:pStyle w:val="33"/>
              <w:rPr>
                <w:color w:val="auto"/>
              </w:rPr>
            </w:pPr>
            <w:r>
              <w:rPr>
                <w:rFonts w:hint="eastAsia"/>
                <w:color w:val="auto"/>
              </w:rPr>
              <w:t>印刷表面粗糙度  ≤</w:t>
            </w:r>
          </w:p>
        </w:tc>
        <w:tc>
          <w:tcPr>
            <w:tcW w:w="1516" w:type="dxa"/>
            <w:tcBorders>
              <w:top w:val="single" w:color="auto" w:sz="4" w:space="0"/>
              <w:left w:val="single" w:color="auto" w:sz="4" w:space="0"/>
              <w:bottom w:val="single" w:color="auto" w:sz="4" w:space="0"/>
              <w:right w:val="single" w:color="auto" w:sz="4" w:space="0"/>
            </w:tcBorders>
            <w:vAlign w:val="center"/>
          </w:tcPr>
          <w:p w14:paraId="26427AA0">
            <w:pPr>
              <w:pStyle w:val="33"/>
              <w:rPr>
                <w:color w:val="auto"/>
              </w:rPr>
            </w:pPr>
            <w:r>
              <w:rPr>
                <w:rFonts w:hint="eastAsia"/>
                <w:color w:val="auto"/>
              </w:rPr>
              <w:t>μm</w:t>
            </w:r>
          </w:p>
        </w:tc>
        <w:tc>
          <w:tcPr>
            <w:tcW w:w="1766" w:type="dxa"/>
            <w:gridSpan w:val="4"/>
            <w:tcBorders>
              <w:top w:val="single" w:color="auto" w:sz="4" w:space="0"/>
              <w:left w:val="single" w:color="auto" w:sz="4" w:space="0"/>
              <w:bottom w:val="single" w:color="auto" w:sz="4" w:space="0"/>
              <w:right w:val="single" w:color="auto" w:sz="4" w:space="0"/>
            </w:tcBorders>
            <w:vAlign w:val="center"/>
          </w:tcPr>
          <w:p w14:paraId="0EA1DA86">
            <w:pPr>
              <w:pStyle w:val="33"/>
              <w:rPr>
                <w:color w:val="auto"/>
              </w:rPr>
            </w:pPr>
            <w:r>
              <w:rPr>
                <w:rFonts w:hint="eastAsia"/>
                <w:color w:val="auto"/>
              </w:rPr>
              <w:t>1.20</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764CAFB5">
            <w:pPr>
              <w:pStyle w:val="33"/>
              <w:rPr>
                <w:color w:val="auto"/>
              </w:rPr>
            </w:pPr>
            <w:r>
              <w:rPr>
                <w:rFonts w:hint="eastAsia"/>
                <w:color w:val="auto"/>
              </w:rPr>
              <w:t>1.50</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7BA50B52">
            <w:pPr>
              <w:pStyle w:val="33"/>
              <w:rPr>
                <w:color w:val="auto"/>
              </w:rPr>
            </w:pPr>
            <w:r>
              <w:rPr>
                <w:rFonts w:hint="eastAsia"/>
                <w:color w:val="auto"/>
              </w:rPr>
              <w:t>2.00</w:t>
            </w:r>
          </w:p>
        </w:tc>
      </w:tr>
      <w:tr w14:paraId="4746D6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6B96E7E2">
            <w:pPr>
              <w:pStyle w:val="33"/>
              <w:rPr>
                <w:color w:val="auto"/>
              </w:rPr>
            </w:pPr>
            <w:r>
              <w:rPr>
                <w:rFonts w:hint="eastAsia"/>
                <w:color w:val="auto"/>
              </w:rPr>
              <w:t>油墨吸收性</w:t>
            </w:r>
          </w:p>
        </w:tc>
        <w:tc>
          <w:tcPr>
            <w:tcW w:w="1516" w:type="dxa"/>
            <w:tcBorders>
              <w:top w:val="single" w:color="auto" w:sz="4" w:space="0"/>
              <w:left w:val="single" w:color="auto" w:sz="4" w:space="0"/>
              <w:bottom w:val="single" w:color="auto" w:sz="4" w:space="0"/>
              <w:right w:val="single" w:color="auto" w:sz="4" w:space="0"/>
            </w:tcBorders>
            <w:vAlign w:val="center"/>
          </w:tcPr>
          <w:p w14:paraId="174AB4C7">
            <w:pPr>
              <w:pStyle w:val="33"/>
              <w:rPr>
                <w:color w:val="auto"/>
              </w:rPr>
            </w:pPr>
            <w:r>
              <w:rPr>
                <w:rFonts w:hint="eastAsia"/>
                <w:color w:val="auto"/>
              </w:rPr>
              <w:t>%</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31CAAC75">
            <w:pPr>
              <w:pStyle w:val="33"/>
              <w:rPr>
                <w:color w:val="auto"/>
              </w:rPr>
            </w:pPr>
            <w:r>
              <w:rPr>
                <w:rFonts w:hint="eastAsia"/>
                <w:color w:val="auto"/>
              </w:rPr>
              <w:t>3~14</w:t>
            </w:r>
          </w:p>
        </w:tc>
      </w:tr>
      <w:tr w14:paraId="40FAE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3C2DBE26">
            <w:pPr>
              <w:pStyle w:val="33"/>
              <w:rPr>
                <w:color w:val="auto"/>
              </w:rPr>
            </w:pPr>
            <w:r>
              <w:rPr>
                <w:rFonts w:hint="eastAsia"/>
                <w:color w:val="auto"/>
              </w:rPr>
              <w:t>印刷表面强度  ≥</w:t>
            </w:r>
          </w:p>
        </w:tc>
        <w:tc>
          <w:tcPr>
            <w:tcW w:w="1516" w:type="dxa"/>
            <w:tcBorders>
              <w:top w:val="single" w:color="auto" w:sz="4" w:space="0"/>
              <w:left w:val="single" w:color="auto" w:sz="4" w:space="0"/>
              <w:bottom w:val="single" w:color="auto" w:sz="4" w:space="0"/>
              <w:right w:val="single" w:color="auto" w:sz="4" w:space="0"/>
            </w:tcBorders>
            <w:vAlign w:val="center"/>
          </w:tcPr>
          <w:p w14:paraId="41E4959D">
            <w:pPr>
              <w:pStyle w:val="33"/>
              <w:rPr>
                <w:color w:val="auto"/>
              </w:rPr>
            </w:pPr>
            <w:r>
              <w:rPr>
                <w:rFonts w:hint="eastAsia"/>
                <w:color w:val="auto"/>
              </w:rPr>
              <w:t>m/s</w:t>
            </w:r>
          </w:p>
        </w:tc>
        <w:tc>
          <w:tcPr>
            <w:tcW w:w="1766" w:type="dxa"/>
            <w:gridSpan w:val="4"/>
            <w:tcBorders>
              <w:top w:val="single" w:color="auto" w:sz="4" w:space="0"/>
              <w:left w:val="single" w:color="auto" w:sz="4" w:space="0"/>
              <w:bottom w:val="single" w:color="auto" w:sz="4" w:space="0"/>
              <w:right w:val="single" w:color="auto" w:sz="4" w:space="0"/>
            </w:tcBorders>
            <w:vAlign w:val="center"/>
          </w:tcPr>
          <w:p w14:paraId="794C91C1">
            <w:pPr>
              <w:pStyle w:val="33"/>
              <w:rPr>
                <w:color w:val="auto"/>
              </w:rPr>
            </w:pPr>
            <w:r>
              <w:rPr>
                <w:rFonts w:hint="eastAsia"/>
                <w:color w:val="auto"/>
              </w:rPr>
              <w:t>1.60</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0980A4A2">
            <w:pPr>
              <w:pStyle w:val="33"/>
              <w:rPr>
                <w:color w:val="auto"/>
              </w:rPr>
            </w:pPr>
            <w:r>
              <w:rPr>
                <w:rFonts w:hint="eastAsia"/>
                <w:color w:val="auto"/>
              </w:rPr>
              <w:t>1.40</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273896B9">
            <w:pPr>
              <w:pStyle w:val="33"/>
              <w:rPr>
                <w:color w:val="auto"/>
              </w:rPr>
            </w:pPr>
            <w:r>
              <w:rPr>
                <w:rFonts w:hint="eastAsia"/>
                <w:color w:val="auto"/>
              </w:rPr>
              <w:t>1.20</w:t>
            </w:r>
          </w:p>
        </w:tc>
      </w:tr>
      <w:tr w14:paraId="3C04C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73230502">
            <w:pPr>
              <w:pStyle w:val="33"/>
              <w:rPr>
                <w:color w:val="auto"/>
              </w:rPr>
            </w:pPr>
            <w:r>
              <w:rPr>
                <w:rFonts w:hint="eastAsia"/>
                <w:color w:val="auto"/>
              </w:rPr>
              <w:t>横向耐折度  ≥</w:t>
            </w:r>
          </w:p>
        </w:tc>
        <w:tc>
          <w:tcPr>
            <w:tcW w:w="1516" w:type="dxa"/>
            <w:tcBorders>
              <w:top w:val="single" w:color="auto" w:sz="4" w:space="0"/>
              <w:left w:val="single" w:color="auto" w:sz="4" w:space="0"/>
              <w:bottom w:val="single" w:color="auto" w:sz="4" w:space="0"/>
              <w:right w:val="single" w:color="auto" w:sz="4" w:space="0"/>
            </w:tcBorders>
            <w:vAlign w:val="center"/>
          </w:tcPr>
          <w:p w14:paraId="21840129">
            <w:pPr>
              <w:pStyle w:val="33"/>
              <w:rPr>
                <w:color w:val="auto"/>
              </w:rPr>
            </w:pPr>
            <w:r>
              <w:rPr>
                <w:rFonts w:hint="eastAsia"/>
                <w:color w:val="auto"/>
              </w:rPr>
              <w:t>次</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041BDD48">
            <w:pPr>
              <w:pStyle w:val="33"/>
              <w:rPr>
                <w:color w:val="auto"/>
              </w:rPr>
            </w:pPr>
            <w:r>
              <w:rPr>
                <w:rFonts w:hint="eastAsia"/>
                <w:color w:val="auto"/>
              </w:rPr>
              <w:t>15</w:t>
            </w:r>
          </w:p>
        </w:tc>
      </w:tr>
      <w:tr w14:paraId="00B52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263" w:type="dxa"/>
            <w:gridSpan w:val="2"/>
            <w:tcBorders>
              <w:top w:val="single" w:color="auto" w:sz="4" w:space="0"/>
              <w:left w:val="single" w:color="auto" w:sz="4" w:space="0"/>
              <w:bottom w:val="single" w:color="auto" w:sz="4" w:space="0"/>
              <w:right w:val="single" w:color="auto" w:sz="4" w:space="0"/>
            </w:tcBorders>
            <w:vAlign w:val="center"/>
          </w:tcPr>
          <w:p w14:paraId="011E9EAC">
            <w:pPr>
              <w:pStyle w:val="33"/>
              <w:rPr>
                <w:color w:val="auto"/>
              </w:rPr>
            </w:pPr>
            <w:r>
              <w:rPr>
                <w:rFonts w:hint="eastAsia"/>
                <w:color w:val="auto"/>
              </w:rPr>
              <w:t>内结合强度  ≥</w:t>
            </w:r>
          </w:p>
        </w:tc>
        <w:tc>
          <w:tcPr>
            <w:tcW w:w="1516" w:type="dxa"/>
            <w:tcBorders>
              <w:top w:val="single" w:color="auto" w:sz="4" w:space="0"/>
              <w:left w:val="single" w:color="auto" w:sz="4" w:space="0"/>
              <w:bottom w:val="single" w:color="auto" w:sz="4" w:space="0"/>
              <w:right w:val="single" w:color="auto" w:sz="4" w:space="0"/>
            </w:tcBorders>
            <w:vAlign w:val="center"/>
          </w:tcPr>
          <w:p w14:paraId="0EB9E19D">
            <w:pPr>
              <w:pStyle w:val="33"/>
              <w:rPr>
                <w:color w:val="auto"/>
              </w:rPr>
            </w:pPr>
            <w:r>
              <w:rPr>
                <w:rFonts w:hint="eastAsia"/>
                <w:color w:val="auto"/>
              </w:rPr>
              <w:t>J/m</w:t>
            </w:r>
            <w:r>
              <w:rPr>
                <w:rFonts w:hint="eastAsia"/>
                <w:color w:val="auto"/>
                <w:vertAlign w:val="superscript"/>
              </w:rPr>
              <w:t>2</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0C10EF33">
            <w:pPr>
              <w:pStyle w:val="33"/>
              <w:rPr>
                <w:color w:val="auto"/>
              </w:rPr>
            </w:pPr>
            <w:r>
              <w:rPr>
                <w:rFonts w:hint="eastAsia"/>
                <w:color w:val="auto"/>
              </w:rPr>
              <w:t>100</w:t>
            </w:r>
          </w:p>
        </w:tc>
      </w:tr>
      <w:tr w14:paraId="3CC31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817" w:type="dxa"/>
            <w:vMerge w:val="restart"/>
            <w:tcBorders>
              <w:top w:val="single" w:color="auto" w:sz="4" w:space="0"/>
              <w:left w:val="single" w:color="auto" w:sz="4" w:space="0"/>
              <w:bottom w:val="single" w:color="auto" w:sz="4" w:space="0"/>
              <w:right w:val="single" w:color="auto" w:sz="4" w:space="0"/>
            </w:tcBorders>
            <w:vAlign w:val="center"/>
          </w:tcPr>
          <w:p w14:paraId="0B27BF6D">
            <w:pPr>
              <w:pStyle w:val="33"/>
              <w:rPr>
                <w:color w:val="auto"/>
              </w:rPr>
            </w:pPr>
            <w:r>
              <w:rPr>
                <w:rFonts w:hint="eastAsia"/>
                <w:color w:val="auto"/>
              </w:rPr>
              <w:t>吸水性≤</w:t>
            </w:r>
          </w:p>
        </w:tc>
        <w:tc>
          <w:tcPr>
            <w:tcW w:w="1446" w:type="dxa"/>
            <w:tcBorders>
              <w:top w:val="single" w:color="auto" w:sz="4" w:space="0"/>
              <w:left w:val="single" w:color="auto" w:sz="4" w:space="0"/>
              <w:bottom w:val="single" w:color="auto" w:sz="4" w:space="0"/>
              <w:right w:val="single" w:color="auto" w:sz="4" w:space="0"/>
            </w:tcBorders>
            <w:vAlign w:val="center"/>
          </w:tcPr>
          <w:p w14:paraId="0EE77C90">
            <w:pPr>
              <w:pStyle w:val="33"/>
              <w:rPr>
                <w:color w:val="auto"/>
              </w:rPr>
            </w:pPr>
            <w:r>
              <w:rPr>
                <w:rFonts w:hint="eastAsia"/>
                <w:color w:val="auto"/>
              </w:rPr>
              <w:t>正面</w:t>
            </w:r>
          </w:p>
        </w:tc>
        <w:tc>
          <w:tcPr>
            <w:tcW w:w="1516" w:type="dxa"/>
            <w:tcBorders>
              <w:top w:val="single" w:color="auto" w:sz="4" w:space="0"/>
              <w:left w:val="single" w:color="auto" w:sz="4" w:space="0"/>
              <w:bottom w:val="single" w:color="auto" w:sz="4" w:space="0"/>
              <w:right w:val="single" w:color="auto" w:sz="4" w:space="0"/>
            </w:tcBorders>
            <w:vAlign w:val="center"/>
          </w:tcPr>
          <w:p w14:paraId="61A24A1F">
            <w:pPr>
              <w:pStyle w:val="33"/>
              <w:rPr>
                <w:color w:val="auto"/>
              </w:rPr>
            </w:pPr>
            <w:r>
              <w:rPr>
                <w:rFonts w:hint="eastAsia"/>
                <w:color w:val="auto"/>
              </w:rPr>
              <w:t>g/m</w:t>
            </w:r>
            <w:r>
              <w:rPr>
                <w:rFonts w:hint="eastAsia"/>
                <w:color w:val="auto"/>
                <w:vertAlign w:val="superscript"/>
              </w:rPr>
              <w:t>2</w:t>
            </w:r>
          </w:p>
        </w:tc>
        <w:tc>
          <w:tcPr>
            <w:tcW w:w="1766" w:type="dxa"/>
            <w:gridSpan w:val="4"/>
            <w:tcBorders>
              <w:top w:val="single" w:color="auto" w:sz="4" w:space="0"/>
              <w:left w:val="single" w:color="auto" w:sz="4" w:space="0"/>
              <w:bottom w:val="single" w:color="auto" w:sz="4" w:space="0"/>
              <w:right w:val="single" w:color="auto" w:sz="4" w:space="0"/>
            </w:tcBorders>
            <w:vAlign w:val="center"/>
          </w:tcPr>
          <w:p w14:paraId="3A5F1C95">
            <w:pPr>
              <w:pStyle w:val="33"/>
              <w:rPr>
                <w:color w:val="auto"/>
              </w:rPr>
            </w:pPr>
            <w:r>
              <w:rPr>
                <w:rFonts w:hint="eastAsia"/>
                <w:color w:val="auto"/>
              </w:rPr>
              <w:t>40</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1CC47604">
            <w:pPr>
              <w:pStyle w:val="33"/>
              <w:rPr>
                <w:color w:val="auto"/>
              </w:rPr>
            </w:pPr>
            <w:r>
              <w:rPr>
                <w:rFonts w:hint="eastAsia"/>
                <w:color w:val="auto"/>
              </w:rPr>
              <w:t>50</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134442CB">
            <w:pPr>
              <w:pStyle w:val="33"/>
              <w:rPr>
                <w:color w:val="auto"/>
              </w:rPr>
            </w:pPr>
            <w:r>
              <w:rPr>
                <w:rFonts w:hint="eastAsia"/>
                <w:color w:val="auto"/>
              </w:rPr>
              <w:t>60</w:t>
            </w:r>
          </w:p>
        </w:tc>
      </w:tr>
      <w:tr w14:paraId="2CA11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tcBorders>
              <w:top w:val="single" w:color="auto" w:sz="4" w:space="0"/>
              <w:left w:val="single" w:color="auto" w:sz="4" w:space="0"/>
              <w:bottom w:val="single" w:color="auto" w:sz="4" w:space="0"/>
              <w:right w:val="single" w:color="auto" w:sz="4" w:space="0"/>
            </w:tcBorders>
            <w:vAlign w:val="center"/>
          </w:tcPr>
          <w:p w14:paraId="22D6BAF3">
            <w:pPr>
              <w:pStyle w:val="33"/>
              <w:rPr>
                <w:color w:val="auto"/>
              </w:rPr>
            </w:pPr>
          </w:p>
        </w:tc>
        <w:tc>
          <w:tcPr>
            <w:tcW w:w="1446" w:type="dxa"/>
            <w:tcBorders>
              <w:top w:val="single" w:color="auto" w:sz="4" w:space="0"/>
              <w:left w:val="single" w:color="auto" w:sz="4" w:space="0"/>
              <w:bottom w:val="single" w:color="auto" w:sz="4" w:space="0"/>
              <w:right w:val="single" w:color="auto" w:sz="4" w:space="0"/>
            </w:tcBorders>
            <w:vAlign w:val="center"/>
          </w:tcPr>
          <w:p w14:paraId="22CED3B9">
            <w:pPr>
              <w:pStyle w:val="33"/>
              <w:rPr>
                <w:color w:val="auto"/>
              </w:rPr>
            </w:pPr>
            <w:r>
              <w:rPr>
                <w:rFonts w:hint="eastAsia"/>
                <w:color w:val="auto"/>
              </w:rPr>
              <w:t>反面</w:t>
            </w:r>
          </w:p>
        </w:tc>
        <w:tc>
          <w:tcPr>
            <w:tcW w:w="1516" w:type="dxa"/>
            <w:tcBorders>
              <w:top w:val="single" w:color="auto" w:sz="4" w:space="0"/>
              <w:left w:val="single" w:color="auto" w:sz="4" w:space="0"/>
              <w:bottom w:val="single" w:color="auto" w:sz="4" w:space="0"/>
              <w:right w:val="single" w:color="auto" w:sz="4" w:space="0"/>
            </w:tcBorders>
            <w:vAlign w:val="center"/>
          </w:tcPr>
          <w:p w14:paraId="739D12B5">
            <w:pPr>
              <w:pStyle w:val="33"/>
              <w:rPr>
                <w:color w:val="auto"/>
              </w:rPr>
            </w:pPr>
            <w:r>
              <w:rPr>
                <w:rFonts w:hint="eastAsia"/>
                <w:color w:val="auto"/>
              </w:rPr>
              <w:t>g/m</w:t>
            </w:r>
            <w:r>
              <w:rPr>
                <w:rFonts w:hint="eastAsia"/>
                <w:color w:val="auto"/>
                <w:vertAlign w:val="superscript"/>
              </w:rPr>
              <w:t>2</w:t>
            </w:r>
          </w:p>
        </w:tc>
        <w:tc>
          <w:tcPr>
            <w:tcW w:w="865" w:type="dxa"/>
            <w:tcBorders>
              <w:top w:val="single" w:color="auto" w:sz="4" w:space="0"/>
              <w:left w:val="single" w:color="auto" w:sz="4" w:space="0"/>
              <w:bottom w:val="single" w:color="auto" w:sz="4" w:space="0"/>
              <w:right w:val="single" w:color="auto" w:sz="4" w:space="0"/>
            </w:tcBorders>
            <w:vAlign w:val="center"/>
          </w:tcPr>
          <w:p w14:paraId="6BE393ED">
            <w:pPr>
              <w:pStyle w:val="33"/>
              <w:rPr>
                <w:color w:val="auto"/>
              </w:rPr>
            </w:pPr>
            <w:r>
              <w:rPr>
                <w:rFonts w:hint="eastAsia"/>
                <w:color w:val="auto"/>
              </w:rPr>
              <w:t>40</w:t>
            </w:r>
          </w:p>
        </w:tc>
        <w:tc>
          <w:tcPr>
            <w:tcW w:w="901" w:type="dxa"/>
            <w:gridSpan w:val="3"/>
            <w:tcBorders>
              <w:top w:val="single" w:color="auto" w:sz="4" w:space="0"/>
              <w:left w:val="single" w:color="auto" w:sz="4" w:space="0"/>
              <w:bottom w:val="single" w:color="auto" w:sz="4" w:space="0"/>
              <w:right w:val="single" w:color="auto" w:sz="4" w:space="0"/>
            </w:tcBorders>
            <w:vAlign w:val="center"/>
          </w:tcPr>
          <w:p w14:paraId="14AED3C7">
            <w:pPr>
              <w:pStyle w:val="33"/>
              <w:rPr>
                <w:color w:val="auto"/>
              </w:rPr>
            </w:pPr>
            <w:r>
              <w:rPr>
                <w:rFonts w:hint="eastAsia"/>
                <w:color w:val="auto"/>
              </w:rPr>
              <w:t>100</w:t>
            </w:r>
          </w:p>
        </w:tc>
        <w:tc>
          <w:tcPr>
            <w:tcW w:w="949" w:type="dxa"/>
            <w:gridSpan w:val="3"/>
            <w:tcBorders>
              <w:top w:val="single" w:color="auto" w:sz="4" w:space="0"/>
              <w:left w:val="single" w:color="auto" w:sz="4" w:space="0"/>
              <w:bottom w:val="single" w:color="auto" w:sz="4" w:space="0"/>
              <w:right w:val="single" w:color="auto" w:sz="4" w:space="0"/>
            </w:tcBorders>
            <w:vAlign w:val="center"/>
          </w:tcPr>
          <w:p w14:paraId="11FF2355">
            <w:pPr>
              <w:pStyle w:val="33"/>
              <w:rPr>
                <w:color w:val="auto"/>
              </w:rPr>
            </w:pPr>
            <w:r>
              <w:rPr>
                <w:rFonts w:hint="eastAsia"/>
                <w:color w:val="auto"/>
              </w:rPr>
              <w:t>50</w:t>
            </w:r>
          </w:p>
        </w:tc>
        <w:tc>
          <w:tcPr>
            <w:tcW w:w="921" w:type="dxa"/>
            <w:gridSpan w:val="2"/>
            <w:tcBorders>
              <w:top w:val="single" w:color="auto" w:sz="4" w:space="0"/>
              <w:left w:val="single" w:color="auto" w:sz="4" w:space="0"/>
              <w:bottom w:val="single" w:color="auto" w:sz="4" w:space="0"/>
              <w:right w:val="single" w:color="auto" w:sz="4" w:space="0"/>
            </w:tcBorders>
            <w:vAlign w:val="center"/>
          </w:tcPr>
          <w:p w14:paraId="03FB238A">
            <w:pPr>
              <w:pStyle w:val="33"/>
              <w:rPr>
                <w:color w:val="auto"/>
              </w:rPr>
            </w:pPr>
            <w:r>
              <w:rPr>
                <w:rFonts w:hint="eastAsia"/>
                <w:color w:val="auto"/>
              </w:rPr>
              <w:t>100</w:t>
            </w:r>
          </w:p>
        </w:tc>
        <w:tc>
          <w:tcPr>
            <w:tcW w:w="939" w:type="dxa"/>
            <w:gridSpan w:val="2"/>
            <w:tcBorders>
              <w:top w:val="single" w:color="auto" w:sz="4" w:space="0"/>
              <w:left w:val="single" w:color="auto" w:sz="4" w:space="0"/>
              <w:bottom w:val="single" w:color="auto" w:sz="4" w:space="0"/>
              <w:right w:val="single" w:color="auto" w:sz="4" w:space="0"/>
            </w:tcBorders>
            <w:vAlign w:val="center"/>
          </w:tcPr>
          <w:p w14:paraId="548F0653">
            <w:pPr>
              <w:pStyle w:val="33"/>
              <w:rPr>
                <w:color w:val="auto"/>
              </w:rPr>
            </w:pPr>
            <w:r>
              <w:rPr>
                <w:rFonts w:hint="eastAsia"/>
                <w:color w:val="auto"/>
              </w:rPr>
              <w:t>60</w:t>
            </w:r>
          </w:p>
        </w:tc>
        <w:tc>
          <w:tcPr>
            <w:tcW w:w="572" w:type="dxa"/>
            <w:gridSpan w:val="2"/>
            <w:tcBorders>
              <w:top w:val="single" w:color="auto" w:sz="4" w:space="0"/>
              <w:left w:val="single" w:color="auto" w:sz="4" w:space="0"/>
              <w:bottom w:val="single" w:color="auto" w:sz="4" w:space="0"/>
              <w:right w:val="single" w:color="auto" w:sz="4" w:space="0"/>
            </w:tcBorders>
            <w:vAlign w:val="center"/>
          </w:tcPr>
          <w:p w14:paraId="0DF289E7">
            <w:pPr>
              <w:pStyle w:val="33"/>
              <w:rPr>
                <w:color w:val="auto"/>
              </w:rPr>
            </w:pPr>
            <w:r>
              <w:rPr>
                <w:rFonts w:hint="eastAsia"/>
                <w:color w:val="auto"/>
              </w:rPr>
              <w:t>100</w:t>
            </w:r>
          </w:p>
        </w:tc>
      </w:tr>
      <w:tr w14:paraId="2E98E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tcBorders>
              <w:top w:val="single" w:color="auto" w:sz="4" w:space="0"/>
              <w:left w:val="single" w:color="auto" w:sz="4" w:space="0"/>
              <w:right w:val="single" w:color="auto" w:sz="4" w:space="0"/>
            </w:tcBorders>
            <w:vAlign w:val="center"/>
          </w:tcPr>
          <w:p w14:paraId="31B63945">
            <w:pPr>
              <w:pStyle w:val="33"/>
              <w:rPr>
                <w:color w:val="auto"/>
              </w:rPr>
            </w:pPr>
            <w:r>
              <w:rPr>
                <w:rFonts w:hint="eastAsia"/>
                <w:color w:val="auto"/>
              </w:rPr>
              <w:t>尘埃度≤</w:t>
            </w:r>
          </w:p>
        </w:tc>
        <w:tc>
          <w:tcPr>
            <w:tcW w:w="1446" w:type="dxa"/>
            <w:tcBorders>
              <w:top w:val="single" w:color="auto" w:sz="4" w:space="0"/>
              <w:left w:val="single" w:color="auto" w:sz="4" w:space="0"/>
              <w:bottom w:val="single" w:color="auto" w:sz="4" w:space="0"/>
              <w:right w:val="single" w:color="auto" w:sz="4" w:space="0"/>
            </w:tcBorders>
            <w:vAlign w:val="center"/>
          </w:tcPr>
          <w:p w14:paraId="36BFC8D6">
            <w:pPr>
              <w:pStyle w:val="33"/>
              <w:rPr>
                <w:color w:val="auto"/>
                <w:vertAlign w:val="superscript"/>
              </w:rPr>
            </w:pPr>
            <w:r>
              <w:rPr>
                <w:rFonts w:hint="eastAsia"/>
                <w:color w:val="auto"/>
              </w:rPr>
              <w:t>0.2mm</w:t>
            </w:r>
            <w:r>
              <w:rPr>
                <w:rFonts w:hint="eastAsia"/>
                <w:color w:val="auto"/>
                <w:vertAlign w:val="superscript"/>
              </w:rPr>
              <w:t>2</w:t>
            </w:r>
            <w:r>
              <w:rPr>
                <w:rFonts w:hint="eastAsia"/>
                <w:color w:val="auto"/>
              </w:rPr>
              <w:t>~1.0mm</w:t>
            </w:r>
            <w:r>
              <w:rPr>
                <w:rFonts w:hint="eastAsia"/>
                <w:color w:val="auto"/>
                <w:vertAlign w:val="superscript"/>
              </w:rPr>
              <w:t>2</w:t>
            </w:r>
          </w:p>
        </w:tc>
        <w:tc>
          <w:tcPr>
            <w:tcW w:w="1516" w:type="dxa"/>
            <w:vMerge w:val="restart"/>
            <w:tcBorders>
              <w:top w:val="single" w:color="auto" w:sz="4" w:space="0"/>
              <w:left w:val="single" w:color="auto" w:sz="4" w:space="0"/>
              <w:right w:val="single" w:color="auto" w:sz="4" w:space="0"/>
            </w:tcBorders>
            <w:vAlign w:val="center"/>
          </w:tcPr>
          <w:p w14:paraId="76887921">
            <w:pPr>
              <w:pStyle w:val="33"/>
              <w:rPr>
                <w:color w:val="auto"/>
                <w:vertAlign w:val="superscript"/>
              </w:rPr>
            </w:pPr>
            <w:r>
              <w:rPr>
                <w:rFonts w:hint="eastAsia"/>
                <w:color w:val="auto"/>
              </w:rPr>
              <w:t>个/m</w:t>
            </w:r>
            <w:r>
              <w:rPr>
                <w:rFonts w:hint="eastAsia"/>
                <w:color w:val="auto"/>
                <w:vertAlign w:val="superscript"/>
              </w:rPr>
              <w:t>2</w:t>
            </w:r>
          </w:p>
        </w:tc>
        <w:tc>
          <w:tcPr>
            <w:tcW w:w="865" w:type="dxa"/>
            <w:tcBorders>
              <w:top w:val="single" w:color="auto" w:sz="4" w:space="0"/>
              <w:left w:val="single" w:color="auto" w:sz="4" w:space="0"/>
              <w:bottom w:val="single" w:color="auto" w:sz="4" w:space="0"/>
              <w:right w:val="single" w:color="auto" w:sz="4" w:space="0"/>
            </w:tcBorders>
            <w:vAlign w:val="center"/>
          </w:tcPr>
          <w:p w14:paraId="6C9BDA73">
            <w:pPr>
              <w:pStyle w:val="33"/>
              <w:rPr>
                <w:color w:val="auto"/>
              </w:rPr>
            </w:pPr>
            <w:r>
              <w:rPr>
                <w:rFonts w:hint="eastAsia"/>
                <w:color w:val="auto"/>
              </w:rPr>
              <w:t>15</w:t>
            </w:r>
          </w:p>
        </w:tc>
        <w:tc>
          <w:tcPr>
            <w:tcW w:w="901" w:type="dxa"/>
            <w:gridSpan w:val="3"/>
            <w:tcBorders>
              <w:top w:val="single" w:color="auto" w:sz="4" w:space="0"/>
              <w:left w:val="single" w:color="auto" w:sz="4" w:space="0"/>
              <w:bottom w:val="single" w:color="auto" w:sz="4" w:space="0"/>
              <w:right w:val="single" w:color="auto" w:sz="4" w:space="0"/>
            </w:tcBorders>
            <w:vAlign w:val="center"/>
          </w:tcPr>
          <w:p w14:paraId="32186A89">
            <w:pPr>
              <w:pStyle w:val="33"/>
              <w:rPr>
                <w:color w:val="auto"/>
              </w:rPr>
            </w:pPr>
            <w:r>
              <w:rPr>
                <w:rFonts w:hint="eastAsia"/>
                <w:color w:val="auto"/>
              </w:rPr>
              <w:t>12</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58D60ED9">
            <w:pPr>
              <w:pStyle w:val="33"/>
              <w:rPr>
                <w:color w:val="auto"/>
              </w:rPr>
            </w:pPr>
            <w:r>
              <w:rPr>
                <w:rFonts w:hint="eastAsia"/>
                <w:color w:val="auto"/>
              </w:rPr>
              <w:t>20</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71CBB2D8">
            <w:pPr>
              <w:pStyle w:val="33"/>
              <w:rPr>
                <w:color w:val="auto"/>
              </w:rPr>
            </w:pPr>
            <w:r>
              <w:rPr>
                <w:rFonts w:hint="eastAsia"/>
                <w:color w:val="auto"/>
              </w:rPr>
              <w:t>32</w:t>
            </w:r>
          </w:p>
        </w:tc>
      </w:tr>
      <w:tr w14:paraId="76886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tcBorders>
              <w:left w:val="single" w:color="auto" w:sz="4" w:space="0"/>
              <w:right w:val="single" w:color="auto" w:sz="4" w:space="0"/>
            </w:tcBorders>
            <w:vAlign w:val="center"/>
          </w:tcPr>
          <w:p w14:paraId="7C001982">
            <w:pPr>
              <w:pStyle w:val="33"/>
              <w:rPr>
                <w:color w:val="auto"/>
              </w:rPr>
            </w:pPr>
          </w:p>
        </w:tc>
        <w:tc>
          <w:tcPr>
            <w:tcW w:w="1446" w:type="dxa"/>
            <w:tcBorders>
              <w:top w:val="single" w:color="auto" w:sz="4" w:space="0"/>
              <w:left w:val="single" w:color="auto" w:sz="4" w:space="0"/>
              <w:bottom w:val="single" w:color="auto" w:sz="4" w:space="0"/>
              <w:right w:val="single" w:color="auto" w:sz="4" w:space="0"/>
            </w:tcBorders>
            <w:vAlign w:val="center"/>
          </w:tcPr>
          <w:p w14:paraId="2ADF9A05">
            <w:pPr>
              <w:pStyle w:val="33"/>
              <w:rPr>
                <w:color w:val="auto"/>
                <w:vertAlign w:val="superscript"/>
              </w:rPr>
            </w:pPr>
            <w:r>
              <w:rPr>
                <w:rFonts w:hint="eastAsia"/>
                <w:color w:val="auto"/>
              </w:rPr>
              <w:t>&gt;1.0mm</w:t>
            </w:r>
            <w:r>
              <w:rPr>
                <w:rFonts w:hint="eastAsia"/>
                <w:color w:val="auto"/>
                <w:vertAlign w:val="superscript"/>
              </w:rPr>
              <w:t>2</w:t>
            </w:r>
            <w:r>
              <w:rPr>
                <w:rFonts w:hint="eastAsia"/>
                <w:color w:val="auto"/>
              </w:rPr>
              <w:t>~1.5mm</w:t>
            </w:r>
            <w:r>
              <w:rPr>
                <w:rFonts w:hint="eastAsia"/>
                <w:color w:val="auto"/>
                <w:vertAlign w:val="superscript"/>
              </w:rPr>
              <w:t>2</w:t>
            </w:r>
          </w:p>
        </w:tc>
        <w:tc>
          <w:tcPr>
            <w:tcW w:w="1516" w:type="dxa"/>
            <w:vMerge w:val="continue"/>
            <w:tcBorders>
              <w:left w:val="single" w:color="auto" w:sz="4" w:space="0"/>
              <w:right w:val="single" w:color="auto" w:sz="4" w:space="0"/>
            </w:tcBorders>
            <w:vAlign w:val="center"/>
          </w:tcPr>
          <w:p w14:paraId="5F248D27">
            <w:pPr>
              <w:pStyle w:val="33"/>
              <w:rPr>
                <w:color w:val="auto"/>
              </w:rPr>
            </w:pPr>
          </w:p>
        </w:tc>
        <w:tc>
          <w:tcPr>
            <w:tcW w:w="865" w:type="dxa"/>
            <w:tcBorders>
              <w:top w:val="single" w:color="auto" w:sz="4" w:space="0"/>
              <w:left w:val="single" w:color="auto" w:sz="4" w:space="0"/>
              <w:bottom w:val="single" w:color="auto" w:sz="4" w:space="0"/>
              <w:right w:val="single" w:color="auto" w:sz="4" w:space="0"/>
            </w:tcBorders>
            <w:vAlign w:val="center"/>
          </w:tcPr>
          <w:p w14:paraId="1847FB1F">
            <w:pPr>
              <w:pStyle w:val="33"/>
              <w:rPr>
                <w:color w:val="auto"/>
              </w:rPr>
            </w:pPr>
            <w:r>
              <w:rPr>
                <w:rFonts w:hint="eastAsia"/>
                <w:color w:val="auto"/>
              </w:rPr>
              <w:t>不应有</w:t>
            </w:r>
          </w:p>
        </w:tc>
        <w:tc>
          <w:tcPr>
            <w:tcW w:w="901" w:type="dxa"/>
            <w:gridSpan w:val="3"/>
            <w:tcBorders>
              <w:top w:val="single" w:color="auto" w:sz="4" w:space="0"/>
              <w:left w:val="single" w:color="auto" w:sz="4" w:space="0"/>
              <w:bottom w:val="single" w:color="auto" w:sz="4" w:space="0"/>
              <w:right w:val="single" w:color="auto" w:sz="4" w:space="0"/>
            </w:tcBorders>
            <w:vAlign w:val="center"/>
          </w:tcPr>
          <w:p w14:paraId="1C798199">
            <w:pPr>
              <w:pStyle w:val="33"/>
              <w:rPr>
                <w:color w:val="auto"/>
              </w:rPr>
            </w:pPr>
            <w:r>
              <w:rPr>
                <w:rFonts w:hint="eastAsia"/>
                <w:color w:val="auto"/>
              </w:rPr>
              <w:t>不应有</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0EEBBE3D">
            <w:pPr>
              <w:pStyle w:val="33"/>
              <w:rPr>
                <w:color w:val="auto"/>
              </w:rPr>
            </w:pPr>
            <w:r>
              <w:rPr>
                <w:rFonts w:hint="eastAsia"/>
                <w:color w:val="auto"/>
              </w:rPr>
              <w:t>不应有</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33C70E9D">
            <w:pPr>
              <w:pStyle w:val="33"/>
              <w:rPr>
                <w:color w:val="auto"/>
              </w:rPr>
            </w:pPr>
            <w:r>
              <w:rPr>
                <w:rFonts w:hint="eastAsia"/>
                <w:color w:val="auto"/>
              </w:rPr>
              <w:t>2</w:t>
            </w:r>
          </w:p>
        </w:tc>
      </w:tr>
      <w:tr w14:paraId="53089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tcBorders>
              <w:left w:val="single" w:color="auto" w:sz="4" w:space="0"/>
              <w:bottom w:val="single" w:color="auto" w:sz="4" w:space="0"/>
              <w:right w:val="single" w:color="auto" w:sz="4" w:space="0"/>
            </w:tcBorders>
            <w:vAlign w:val="center"/>
          </w:tcPr>
          <w:p w14:paraId="25C012A7">
            <w:pPr>
              <w:pStyle w:val="33"/>
              <w:rPr>
                <w:color w:val="auto"/>
              </w:rPr>
            </w:pPr>
          </w:p>
        </w:tc>
        <w:tc>
          <w:tcPr>
            <w:tcW w:w="1446" w:type="dxa"/>
            <w:tcBorders>
              <w:top w:val="single" w:color="auto" w:sz="4" w:space="0"/>
              <w:left w:val="single" w:color="auto" w:sz="4" w:space="0"/>
              <w:bottom w:val="single" w:color="auto" w:sz="4" w:space="0"/>
              <w:right w:val="single" w:color="auto" w:sz="4" w:space="0"/>
            </w:tcBorders>
            <w:vAlign w:val="center"/>
          </w:tcPr>
          <w:p w14:paraId="54985DEB">
            <w:pPr>
              <w:pStyle w:val="33"/>
              <w:rPr>
                <w:color w:val="auto"/>
                <w:vertAlign w:val="superscript"/>
              </w:rPr>
            </w:pPr>
            <w:r>
              <w:rPr>
                <w:rFonts w:hint="eastAsia"/>
                <w:color w:val="auto"/>
              </w:rPr>
              <w:t>&gt;1.5mm</w:t>
            </w:r>
            <w:r>
              <w:rPr>
                <w:rFonts w:hint="eastAsia"/>
                <w:color w:val="auto"/>
                <w:vertAlign w:val="superscript"/>
              </w:rPr>
              <w:t>2</w:t>
            </w:r>
          </w:p>
        </w:tc>
        <w:tc>
          <w:tcPr>
            <w:tcW w:w="1516" w:type="dxa"/>
            <w:vMerge w:val="continue"/>
            <w:tcBorders>
              <w:left w:val="single" w:color="auto" w:sz="4" w:space="0"/>
              <w:bottom w:val="single" w:color="auto" w:sz="4" w:space="0"/>
              <w:right w:val="single" w:color="auto" w:sz="4" w:space="0"/>
            </w:tcBorders>
            <w:vAlign w:val="center"/>
          </w:tcPr>
          <w:p w14:paraId="7457E49F">
            <w:pPr>
              <w:pStyle w:val="33"/>
              <w:rPr>
                <w:color w:val="auto"/>
              </w:rPr>
            </w:pPr>
          </w:p>
        </w:tc>
        <w:tc>
          <w:tcPr>
            <w:tcW w:w="865" w:type="dxa"/>
            <w:tcBorders>
              <w:top w:val="single" w:color="auto" w:sz="4" w:space="0"/>
              <w:left w:val="single" w:color="auto" w:sz="4" w:space="0"/>
              <w:bottom w:val="single" w:color="auto" w:sz="4" w:space="0"/>
              <w:right w:val="single" w:color="auto" w:sz="4" w:space="0"/>
            </w:tcBorders>
            <w:vAlign w:val="center"/>
          </w:tcPr>
          <w:p w14:paraId="6AEAA94F">
            <w:pPr>
              <w:pStyle w:val="33"/>
              <w:rPr>
                <w:color w:val="auto"/>
              </w:rPr>
            </w:pPr>
            <w:r>
              <w:rPr>
                <w:rFonts w:hint="eastAsia"/>
                <w:color w:val="auto"/>
              </w:rPr>
              <w:t>不应有</w:t>
            </w:r>
          </w:p>
        </w:tc>
        <w:tc>
          <w:tcPr>
            <w:tcW w:w="901" w:type="dxa"/>
            <w:gridSpan w:val="3"/>
            <w:tcBorders>
              <w:top w:val="single" w:color="auto" w:sz="4" w:space="0"/>
              <w:left w:val="single" w:color="auto" w:sz="4" w:space="0"/>
              <w:bottom w:val="single" w:color="auto" w:sz="4" w:space="0"/>
              <w:right w:val="single" w:color="auto" w:sz="4" w:space="0"/>
            </w:tcBorders>
            <w:vAlign w:val="center"/>
          </w:tcPr>
          <w:p w14:paraId="476E3E26">
            <w:pPr>
              <w:pStyle w:val="33"/>
              <w:rPr>
                <w:color w:val="auto"/>
              </w:rPr>
            </w:pPr>
            <w:r>
              <w:rPr>
                <w:rFonts w:hint="eastAsia"/>
                <w:color w:val="auto"/>
              </w:rPr>
              <w:t>不应有</w:t>
            </w:r>
          </w:p>
        </w:tc>
        <w:tc>
          <w:tcPr>
            <w:tcW w:w="1870" w:type="dxa"/>
            <w:gridSpan w:val="5"/>
            <w:tcBorders>
              <w:top w:val="single" w:color="auto" w:sz="4" w:space="0"/>
              <w:left w:val="single" w:color="auto" w:sz="4" w:space="0"/>
              <w:bottom w:val="single" w:color="auto" w:sz="4" w:space="0"/>
              <w:right w:val="single" w:color="auto" w:sz="4" w:space="0"/>
            </w:tcBorders>
            <w:vAlign w:val="center"/>
          </w:tcPr>
          <w:p w14:paraId="6E3768D5">
            <w:pPr>
              <w:pStyle w:val="33"/>
              <w:rPr>
                <w:color w:val="auto"/>
              </w:rPr>
            </w:pPr>
            <w:r>
              <w:rPr>
                <w:rFonts w:hint="eastAsia"/>
                <w:color w:val="auto"/>
              </w:rPr>
              <w:t>不应有</w:t>
            </w:r>
          </w:p>
        </w:tc>
        <w:tc>
          <w:tcPr>
            <w:tcW w:w="1511" w:type="dxa"/>
            <w:gridSpan w:val="4"/>
            <w:tcBorders>
              <w:top w:val="single" w:color="auto" w:sz="4" w:space="0"/>
              <w:left w:val="single" w:color="auto" w:sz="4" w:space="0"/>
              <w:bottom w:val="single" w:color="auto" w:sz="4" w:space="0"/>
              <w:right w:val="single" w:color="auto" w:sz="4" w:space="0"/>
            </w:tcBorders>
            <w:vAlign w:val="center"/>
          </w:tcPr>
          <w:p w14:paraId="2DF2B4A3">
            <w:pPr>
              <w:pStyle w:val="33"/>
              <w:rPr>
                <w:color w:val="auto"/>
              </w:rPr>
            </w:pPr>
            <w:r>
              <w:rPr>
                <w:rFonts w:hint="eastAsia"/>
                <w:color w:val="auto"/>
              </w:rPr>
              <w:t>不应有</w:t>
            </w:r>
          </w:p>
        </w:tc>
      </w:tr>
      <w:tr w14:paraId="26771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tcBorders>
              <w:top w:val="single" w:color="auto" w:sz="4" w:space="0"/>
              <w:left w:val="single" w:color="auto" w:sz="4" w:space="0"/>
              <w:right w:val="single" w:color="auto" w:sz="4" w:space="0"/>
            </w:tcBorders>
            <w:vAlign w:val="center"/>
          </w:tcPr>
          <w:p w14:paraId="71B214BC">
            <w:pPr>
              <w:pStyle w:val="33"/>
              <w:rPr>
                <w:color w:val="auto"/>
              </w:rPr>
            </w:pPr>
            <w:r>
              <w:rPr>
                <w:rFonts w:hint="eastAsia"/>
                <w:color w:val="auto"/>
              </w:rPr>
              <w:t>交货水分</w:t>
            </w:r>
          </w:p>
        </w:tc>
        <w:tc>
          <w:tcPr>
            <w:tcW w:w="1446" w:type="dxa"/>
            <w:tcBorders>
              <w:top w:val="single" w:color="auto" w:sz="4" w:space="0"/>
              <w:left w:val="single" w:color="auto" w:sz="4" w:space="0"/>
              <w:bottom w:val="single" w:color="auto" w:sz="4" w:space="0"/>
              <w:right w:val="single" w:color="auto" w:sz="4" w:space="0"/>
            </w:tcBorders>
            <w:vAlign w:val="center"/>
          </w:tcPr>
          <w:p w14:paraId="1450E67A">
            <w:pPr>
              <w:pStyle w:val="33"/>
              <w:rPr>
                <w:color w:val="auto"/>
                <w:vertAlign w:val="superscript"/>
              </w:rPr>
            </w:pPr>
            <w:r>
              <w:rPr>
                <w:rFonts w:hint="eastAsia"/>
                <w:color w:val="auto"/>
              </w:rPr>
              <w:t>170g/m</w:t>
            </w:r>
            <w:r>
              <w:rPr>
                <w:rFonts w:hint="eastAsia"/>
                <w:color w:val="auto"/>
                <w:vertAlign w:val="superscript"/>
              </w:rPr>
              <w:t>2</w:t>
            </w:r>
            <w:r>
              <w:rPr>
                <w:rFonts w:hint="eastAsia"/>
                <w:color w:val="auto"/>
              </w:rPr>
              <w:t>~230g/m</w:t>
            </w:r>
            <w:r>
              <w:rPr>
                <w:rFonts w:hint="eastAsia"/>
                <w:color w:val="auto"/>
                <w:vertAlign w:val="superscript"/>
              </w:rPr>
              <w:t>2</w:t>
            </w:r>
          </w:p>
        </w:tc>
        <w:tc>
          <w:tcPr>
            <w:tcW w:w="1516" w:type="dxa"/>
            <w:vMerge w:val="restart"/>
            <w:tcBorders>
              <w:top w:val="single" w:color="auto" w:sz="4" w:space="0"/>
              <w:left w:val="single" w:color="auto" w:sz="4" w:space="0"/>
              <w:right w:val="single" w:color="auto" w:sz="4" w:space="0"/>
            </w:tcBorders>
            <w:vAlign w:val="center"/>
          </w:tcPr>
          <w:p w14:paraId="7EA69F4C">
            <w:pPr>
              <w:pStyle w:val="33"/>
              <w:rPr>
                <w:color w:val="auto"/>
              </w:rPr>
            </w:pPr>
            <w:r>
              <w:rPr>
                <w:color w:val="auto"/>
              </w:rPr>
              <w:t>%</w:t>
            </w: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593A23AA">
            <w:pPr>
              <w:pStyle w:val="33"/>
              <w:rPr>
                <w:color w:val="auto"/>
              </w:rPr>
            </w:pPr>
            <w:r>
              <w:rPr>
                <w:rFonts w:hint="eastAsia"/>
                <w:color w:val="auto"/>
              </w:rPr>
              <w:t>6.5±1.5</w:t>
            </w:r>
          </w:p>
        </w:tc>
      </w:tr>
      <w:tr w14:paraId="3D5D1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tcBorders>
              <w:left w:val="single" w:color="auto" w:sz="4" w:space="0"/>
              <w:right w:val="single" w:color="auto" w:sz="4" w:space="0"/>
            </w:tcBorders>
            <w:vAlign w:val="center"/>
          </w:tcPr>
          <w:p w14:paraId="39449BA5">
            <w:pPr>
              <w:pStyle w:val="33"/>
              <w:rPr>
                <w:color w:val="auto"/>
              </w:rPr>
            </w:pPr>
          </w:p>
        </w:tc>
        <w:tc>
          <w:tcPr>
            <w:tcW w:w="1446" w:type="dxa"/>
            <w:tcBorders>
              <w:top w:val="single" w:color="auto" w:sz="4" w:space="0"/>
              <w:left w:val="single" w:color="auto" w:sz="4" w:space="0"/>
              <w:bottom w:val="single" w:color="auto" w:sz="4" w:space="0"/>
              <w:right w:val="single" w:color="auto" w:sz="4" w:space="0"/>
            </w:tcBorders>
            <w:vAlign w:val="center"/>
          </w:tcPr>
          <w:p w14:paraId="794F9AE5">
            <w:pPr>
              <w:pStyle w:val="33"/>
              <w:rPr>
                <w:color w:val="auto"/>
                <w:vertAlign w:val="superscript"/>
              </w:rPr>
            </w:pPr>
            <w:r>
              <w:rPr>
                <w:rFonts w:hint="eastAsia"/>
                <w:color w:val="auto"/>
              </w:rPr>
              <w:t>&gt;230g/m</w:t>
            </w:r>
            <w:r>
              <w:rPr>
                <w:rFonts w:hint="eastAsia"/>
                <w:color w:val="auto"/>
                <w:vertAlign w:val="superscript"/>
              </w:rPr>
              <w:t>2</w:t>
            </w:r>
            <w:r>
              <w:rPr>
                <w:rFonts w:hint="eastAsia"/>
                <w:color w:val="auto"/>
              </w:rPr>
              <w:t>~330g/m</w:t>
            </w:r>
            <w:r>
              <w:rPr>
                <w:rFonts w:hint="eastAsia"/>
                <w:color w:val="auto"/>
                <w:vertAlign w:val="superscript"/>
              </w:rPr>
              <w:t>2</w:t>
            </w:r>
          </w:p>
        </w:tc>
        <w:tc>
          <w:tcPr>
            <w:tcW w:w="1516" w:type="dxa"/>
            <w:vMerge w:val="continue"/>
            <w:tcBorders>
              <w:left w:val="single" w:color="auto" w:sz="4" w:space="0"/>
              <w:right w:val="single" w:color="auto" w:sz="4" w:space="0"/>
            </w:tcBorders>
            <w:vAlign w:val="center"/>
          </w:tcPr>
          <w:p w14:paraId="7DF64B08">
            <w:pPr>
              <w:pStyle w:val="33"/>
              <w:rPr>
                <w:color w:val="auto"/>
              </w:rPr>
            </w:pP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6CA97E3F">
            <w:pPr>
              <w:pStyle w:val="33"/>
              <w:rPr>
                <w:color w:val="auto"/>
              </w:rPr>
            </w:pPr>
            <w:r>
              <w:rPr>
                <w:rFonts w:hint="eastAsia"/>
                <w:color w:val="auto"/>
              </w:rPr>
              <w:t>7.0±1.5</w:t>
            </w:r>
          </w:p>
        </w:tc>
      </w:tr>
      <w:tr w14:paraId="7D8FE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tcBorders>
              <w:left w:val="single" w:color="auto" w:sz="4" w:space="0"/>
              <w:bottom w:val="single" w:color="auto" w:sz="4" w:space="0"/>
              <w:right w:val="single" w:color="auto" w:sz="4" w:space="0"/>
            </w:tcBorders>
            <w:vAlign w:val="center"/>
          </w:tcPr>
          <w:p w14:paraId="301C824D">
            <w:pPr>
              <w:pStyle w:val="33"/>
              <w:rPr>
                <w:color w:val="auto"/>
              </w:rPr>
            </w:pPr>
          </w:p>
        </w:tc>
        <w:tc>
          <w:tcPr>
            <w:tcW w:w="1446" w:type="dxa"/>
            <w:tcBorders>
              <w:top w:val="single" w:color="auto" w:sz="4" w:space="0"/>
              <w:left w:val="single" w:color="auto" w:sz="4" w:space="0"/>
              <w:bottom w:val="single" w:color="auto" w:sz="4" w:space="0"/>
              <w:right w:val="single" w:color="auto" w:sz="4" w:space="0"/>
            </w:tcBorders>
            <w:vAlign w:val="center"/>
          </w:tcPr>
          <w:p w14:paraId="6BB2A757">
            <w:pPr>
              <w:pStyle w:val="33"/>
              <w:rPr>
                <w:color w:val="auto"/>
                <w:vertAlign w:val="superscript"/>
              </w:rPr>
            </w:pPr>
            <w:r>
              <w:rPr>
                <w:rFonts w:hint="eastAsia"/>
                <w:color w:val="auto"/>
              </w:rPr>
              <w:t>&gt;330g/m</w:t>
            </w:r>
            <w:r>
              <w:rPr>
                <w:rFonts w:hint="eastAsia"/>
                <w:color w:val="auto"/>
                <w:vertAlign w:val="superscript"/>
              </w:rPr>
              <w:t>2</w:t>
            </w:r>
          </w:p>
        </w:tc>
        <w:tc>
          <w:tcPr>
            <w:tcW w:w="1516" w:type="dxa"/>
            <w:vMerge w:val="continue"/>
            <w:tcBorders>
              <w:left w:val="single" w:color="auto" w:sz="4" w:space="0"/>
              <w:bottom w:val="single" w:color="auto" w:sz="4" w:space="0"/>
              <w:right w:val="single" w:color="auto" w:sz="4" w:space="0"/>
            </w:tcBorders>
            <w:vAlign w:val="center"/>
          </w:tcPr>
          <w:p w14:paraId="3FCAA047">
            <w:pPr>
              <w:pStyle w:val="33"/>
              <w:rPr>
                <w:color w:val="auto"/>
              </w:rPr>
            </w:pPr>
          </w:p>
        </w:tc>
        <w:tc>
          <w:tcPr>
            <w:tcW w:w="5147" w:type="dxa"/>
            <w:gridSpan w:val="13"/>
            <w:tcBorders>
              <w:top w:val="single" w:color="auto" w:sz="4" w:space="0"/>
              <w:left w:val="single" w:color="auto" w:sz="4" w:space="0"/>
              <w:bottom w:val="single" w:color="auto" w:sz="4" w:space="0"/>
              <w:right w:val="single" w:color="auto" w:sz="4" w:space="0"/>
            </w:tcBorders>
            <w:vAlign w:val="center"/>
          </w:tcPr>
          <w:p w14:paraId="5B739E61">
            <w:pPr>
              <w:pStyle w:val="33"/>
              <w:rPr>
                <w:color w:val="auto"/>
              </w:rPr>
            </w:pPr>
            <w:r>
              <w:rPr>
                <w:rFonts w:hint="eastAsia"/>
                <w:color w:val="auto"/>
              </w:rPr>
              <w:t>8.0±1.5</w:t>
            </w:r>
          </w:p>
        </w:tc>
      </w:tr>
      <w:tr w14:paraId="23188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6" w:type="dxa"/>
            <w:gridSpan w:val="16"/>
            <w:tcBorders>
              <w:top w:val="single" w:color="auto" w:sz="4" w:space="0"/>
              <w:left w:val="single" w:color="auto" w:sz="4" w:space="0"/>
              <w:bottom w:val="single" w:color="auto" w:sz="4" w:space="0"/>
              <w:right w:val="single" w:color="auto" w:sz="4" w:space="0"/>
            </w:tcBorders>
            <w:vAlign w:val="center"/>
          </w:tcPr>
          <w:p w14:paraId="03EC80DF">
            <w:pPr>
              <w:pStyle w:val="33"/>
              <w:rPr>
                <w:color w:val="auto"/>
              </w:rPr>
            </w:pPr>
          </w:p>
        </w:tc>
      </w:tr>
    </w:tbl>
    <w:p w14:paraId="22A02020">
      <w:pPr>
        <w:ind w:firstLine="480"/>
        <w:rPr>
          <w:color w:val="auto"/>
        </w:rPr>
      </w:pPr>
    </w:p>
    <w:p w14:paraId="03BF09AB">
      <w:pPr>
        <w:pStyle w:val="7"/>
        <w:rPr>
          <w:color w:val="auto"/>
        </w:rPr>
      </w:pPr>
      <w:r>
        <w:rPr>
          <w:rFonts w:hint="eastAsia"/>
          <w:color w:val="auto"/>
        </w:rPr>
        <w:t>食品包装用淋膜纸和纸板（GB/T36392-2025）</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1705"/>
        <w:gridCol w:w="1706"/>
        <w:gridCol w:w="1706"/>
        <w:gridCol w:w="2245"/>
      </w:tblGrid>
      <w:tr w14:paraId="62D1A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Merge w:val="restart"/>
            <w:vAlign w:val="center"/>
          </w:tcPr>
          <w:p w14:paraId="440DE22A">
            <w:pPr>
              <w:pStyle w:val="33"/>
              <w:rPr>
                <w:color w:val="auto"/>
              </w:rPr>
            </w:pPr>
            <w:r>
              <w:rPr>
                <w:rFonts w:hint="eastAsia"/>
                <w:color w:val="auto"/>
              </w:rPr>
              <w:t>指标名称</w:t>
            </w:r>
          </w:p>
        </w:tc>
        <w:tc>
          <w:tcPr>
            <w:tcW w:w="5657" w:type="dxa"/>
            <w:gridSpan w:val="3"/>
            <w:vAlign w:val="center"/>
          </w:tcPr>
          <w:p w14:paraId="06B82E37">
            <w:pPr>
              <w:pStyle w:val="33"/>
              <w:rPr>
                <w:color w:val="auto"/>
              </w:rPr>
            </w:pPr>
            <w:r>
              <w:rPr>
                <w:rFonts w:hint="eastAsia"/>
                <w:color w:val="auto"/>
              </w:rPr>
              <w:t>规定</w:t>
            </w:r>
          </w:p>
        </w:tc>
      </w:tr>
      <w:tr w14:paraId="6676F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Merge w:val="continue"/>
            <w:vAlign w:val="center"/>
          </w:tcPr>
          <w:p w14:paraId="07D1AC36">
            <w:pPr>
              <w:pStyle w:val="33"/>
              <w:rPr>
                <w:color w:val="auto"/>
              </w:rPr>
            </w:pPr>
          </w:p>
        </w:tc>
        <w:tc>
          <w:tcPr>
            <w:tcW w:w="1706" w:type="dxa"/>
            <w:vAlign w:val="center"/>
          </w:tcPr>
          <w:p w14:paraId="11C858B4">
            <w:pPr>
              <w:pStyle w:val="33"/>
              <w:rPr>
                <w:color w:val="auto"/>
              </w:rPr>
            </w:pPr>
            <w:r>
              <w:rPr>
                <w:rFonts w:hint="eastAsia"/>
                <w:color w:val="auto"/>
              </w:rPr>
              <w:t>Ⅰ型</w:t>
            </w:r>
          </w:p>
        </w:tc>
        <w:tc>
          <w:tcPr>
            <w:tcW w:w="1706" w:type="dxa"/>
            <w:vAlign w:val="center"/>
          </w:tcPr>
          <w:p w14:paraId="4DFFB700">
            <w:pPr>
              <w:pStyle w:val="33"/>
              <w:rPr>
                <w:color w:val="auto"/>
              </w:rPr>
            </w:pPr>
            <w:r>
              <w:rPr>
                <w:rFonts w:hint="eastAsia"/>
                <w:color w:val="auto"/>
              </w:rPr>
              <w:t>Ⅱ型</w:t>
            </w:r>
          </w:p>
        </w:tc>
        <w:tc>
          <w:tcPr>
            <w:tcW w:w="2245" w:type="dxa"/>
            <w:vAlign w:val="center"/>
          </w:tcPr>
          <w:p w14:paraId="661C4B05">
            <w:pPr>
              <w:pStyle w:val="33"/>
              <w:rPr>
                <w:color w:val="auto"/>
              </w:rPr>
            </w:pPr>
            <w:r>
              <w:rPr>
                <w:rFonts w:hint="eastAsia"/>
                <w:color w:val="auto"/>
              </w:rPr>
              <w:t>Ⅲ型</w:t>
            </w:r>
          </w:p>
        </w:tc>
      </w:tr>
      <w:tr w14:paraId="6D384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482AD13D">
            <w:pPr>
              <w:pStyle w:val="33"/>
              <w:rPr>
                <w:color w:val="auto"/>
              </w:rPr>
            </w:pPr>
            <w:r>
              <w:rPr>
                <w:rFonts w:hint="eastAsia"/>
                <w:color w:val="auto"/>
              </w:rPr>
              <w:t>定量偏差/%</w:t>
            </w:r>
          </w:p>
        </w:tc>
        <w:tc>
          <w:tcPr>
            <w:tcW w:w="5657" w:type="dxa"/>
            <w:gridSpan w:val="3"/>
            <w:vAlign w:val="center"/>
          </w:tcPr>
          <w:p w14:paraId="03E116E7">
            <w:pPr>
              <w:pStyle w:val="33"/>
              <w:rPr>
                <w:color w:val="auto"/>
              </w:rPr>
            </w:pPr>
            <w:r>
              <w:rPr>
                <w:rFonts w:hint="eastAsia"/>
                <w:color w:val="auto"/>
              </w:rPr>
              <w:t>±4.0</w:t>
            </w:r>
          </w:p>
        </w:tc>
      </w:tr>
      <w:tr w14:paraId="5C0FB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635B6774">
            <w:pPr>
              <w:pStyle w:val="33"/>
              <w:rPr>
                <w:color w:val="auto"/>
              </w:rPr>
            </w:pPr>
            <w:r>
              <w:rPr>
                <w:rFonts w:hint="eastAsia"/>
                <w:color w:val="auto"/>
              </w:rPr>
              <w:t>横幅厚度偏差/%</w:t>
            </w:r>
          </w:p>
        </w:tc>
        <w:tc>
          <w:tcPr>
            <w:tcW w:w="5657" w:type="dxa"/>
            <w:gridSpan w:val="3"/>
            <w:vAlign w:val="center"/>
          </w:tcPr>
          <w:p w14:paraId="4C5B0D08">
            <w:pPr>
              <w:pStyle w:val="33"/>
              <w:rPr>
                <w:color w:val="auto"/>
              </w:rPr>
            </w:pPr>
            <w:r>
              <w:rPr>
                <w:rFonts w:hint="eastAsia"/>
                <w:color w:val="auto"/>
              </w:rPr>
              <w:t>≤4</w:t>
            </w:r>
          </w:p>
        </w:tc>
      </w:tr>
      <w:tr w14:paraId="5DD9F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vMerge w:val="restart"/>
            <w:vAlign w:val="center"/>
          </w:tcPr>
          <w:p w14:paraId="2447C77F">
            <w:pPr>
              <w:pStyle w:val="33"/>
              <w:rPr>
                <w:color w:val="auto"/>
              </w:rPr>
            </w:pPr>
            <w:r>
              <w:rPr>
                <w:rFonts w:hint="eastAsia"/>
                <w:color w:val="auto"/>
              </w:rPr>
              <w:t>膜定量偏差/(g/m</w:t>
            </w:r>
            <w:r>
              <w:rPr>
                <w:rFonts w:hint="eastAsia"/>
                <w:color w:val="auto"/>
                <w:vertAlign w:val="superscript"/>
              </w:rPr>
              <w:t>2</w:t>
            </w:r>
            <w:r>
              <w:rPr>
                <w:rFonts w:hint="eastAsia"/>
                <w:color w:val="auto"/>
              </w:rPr>
              <w:t>)</w:t>
            </w:r>
          </w:p>
        </w:tc>
        <w:tc>
          <w:tcPr>
            <w:tcW w:w="1705" w:type="dxa"/>
            <w:vAlign w:val="center"/>
          </w:tcPr>
          <w:p w14:paraId="70BD0A5B">
            <w:pPr>
              <w:pStyle w:val="33"/>
              <w:rPr>
                <w:color w:val="auto"/>
              </w:rPr>
            </w:pPr>
            <w:r>
              <w:rPr>
                <w:rFonts w:hint="eastAsia"/>
                <w:color w:val="auto"/>
              </w:rPr>
              <w:t>PLA淋膜纸和纸板</w:t>
            </w:r>
          </w:p>
        </w:tc>
        <w:tc>
          <w:tcPr>
            <w:tcW w:w="3412" w:type="dxa"/>
            <w:gridSpan w:val="2"/>
            <w:vAlign w:val="center"/>
          </w:tcPr>
          <w:p w14:paraId="720455AC">
            <w:pPr>
              <w:pStyle w:val="33"/>
              <w:rPr>
                <w:color w:val="auto"/>
              </w:rPr>
            </w:pPr>
            <w:r>
              <w:rPr>
                <w:rFonts w:hint="eastAsia"/>
                <w:color w:val="auto"/>
              </w:rPr>
              <w:t>±2.0</w:t>
            </w:r>
          </w:p>
        </w:tc>
        <w:tc>
          <w:tcPr>
            <w:tcW w:w="2245" w:type="dxa"/>
            <w:vAlign w:val="center"/>
          </w:tcPr>
          <w:p w14:paraId="2B57AECE">
            <w:pPr>
              <w:pStyle w:val="33"/>
              <w:rPr>
                <w:color w:val="auto"/>
              </w:rPr>
            </w:pPr>
            <w:r>
              <w:rPr>
                <w:rFonts w:hint="eastAsia"/>
                <w:color w:val="auto"/>
              </w:rPr>
              <w:t>±3.0</w:t>
            </w:r>
          </w:p>
        </w:tc>
      </w:tr>
      <w:tr w14:paraId="4DDAE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vMerge w:val="continue"/>
            <w:vAlign w:val="center"/>
          </w:tcPr>
          <w:p w14:paraId="0CEB316B">
            <w:pPr>
              <w:pStyle w:val="33"/>
              <w:rPr>
                <w:color w:val="auto"/>
              </w:rPr>
            </w:pPr>
          </w:p>
        </w:tc>
        <w:tc>
          <w:tcPr>
            <w:tcW w:w="1705" w:type="dxa"/>
            <w:vAlign w:val="center"/>
          </w:tcPr>
          <w:p w14:paraId="35D39915">
            <w:pPr>
              <w:pStyle w:val="33"/>
              <w:rPr>
                <w:color w:val="auto"/>
              </w:rPr>
            </w:pPr>
            <w:r>
              <w:rPr>
                <w:rFonts w:hint="eastAsia"/>
                <w:color w:val="auto"/>
              </w:rPr>
              <w:t>其他淋膜纸和纸板</w:t>
            </w:r>
          </w:p>
        </w:tc>
        <w:tc>
          <w:tcPr>
            <w:tcW w:w="3412" w:type="dxa"/>
            <w:gridSpan w:val="2"/>
            <w:vAlign w:val="center"/>
          </w:tcPr>
          <w:p w14:paraId="717BF5CA">
            <w:pPr>
              <w:pStyle w:val="33"/>
              <w:rPr>
                <w:color w:val="auto"/>
              </w:rPr>
            </w:pPr>
            <w:r>
              <w:rPr>
                <w:rFonts w:hint="eastAsia"/>
                <w:color w:val="auto"/>
              </w:rPr>
              <w:t>±1.0</w:t>
            </w:r>
          </w:p>
        </w:tc>
        <w:tc>
          <w:tcPr>
            <w:tcW w:w="2245" w:type="dxa"/>
            <w:vAlign w:val="center"/>
          </w:tcPr>
          <w:p w14:paraId="3B913CEC">
            <w:pPr>
              <w:pStyle w:val="33"/>
              <w:rPr>
                <w:color w:val="auto"/>
              </w:rPr>
            </w:pPr>
            <w:r>
              <w:rPr>
                <w:rFonts w:hint="eastAsia"/>
                <w:color w:val="auto"/>
              </w:rPr>
              <w:t>±2.0</w:t>
            </w:r>
          </w:p>
        </w:tc>
      </w:tr>
      <w:tr w14:paraId="20E30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6D66E57B">
            <w:pPr>
              <w:pStyle w:val="33"/>
              <w:rPr>
                <w:color w:val="auto"/>
              </w:rPr>
            </w:pPr>
            <w:r>
              <w:rPr>
                <w:rFonts w:hint="eastAsia"/>
                <w:color w:val="auto"/>
              </w:rPr>
              <w:t>黏合程度/%</w:t>
            </w:r>
          </w:p>
        </w:tc>
        <w:tc>
          <w:tcPr>
            <w:tcW w:w="5657" w:type="dxa"/>
            <w:gridSpan w:val="3"/>
            <w:vAlign w:val="center"/>
          </w:tcPr>
          <w:p w14:paraId="30BEC046">
            <w:pPr>
              <w:pStyle w:val="33"/>
              <w:rPr>
                <w:color w:val="auto"/>
              </w:rPr>
            </w:pPr>
            <w:r>
              <w:rPr>
                <w:rFonts w:hint="eastAsia"/>
                <w:color w:val="auto"/>
              </w:rPr>
              <w:t>≥80</w:t>
            </w:r>
          </w:p>
        </w:tc>
      </w:tr>
      <w:tr w14:paraId="6BF1E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6DDE23C1">
            <w:pPr>
              <w:pStyle w:val="33"/>
              <w:rPr>
                <w:color w:val="auto"/>
              </w:rPr>
            </w:pPr>
            <w:r>
              <w:rPr>
                <w:rFonts w:hint="eastAsia"/>
                <w:color w:val="auto"/>
              </w:rPr>
              <w:t>膜孔眼</w:t>
            </w:r>
          </w:p>
        </w:tc>
        <w:tc>
          <w:tcPr>
            <w:tcW w:w="5657" w:type="dxa"/>
            <w:gridSpan w:val="3"/>
            <w:vAlign w:val="center"/>
          </w:tcPr>
          <w:p w14:paraId="69228269">
            <w:pPr>
              <w:pStyle w:val="33"/>
              <w:rPr>
                <w:color w:val="auto"/>
              </w:rPr>
            </w:pPr>
            <w:r>
              <w:rPr>
                <w:rFonts w:hint="eastAsia"/>
                <w:color w:val="auto"/>
              </w:rPr>
              <w:t>无</w:t>
            </w:r>
          </w:p>
        </w:tc>
      </w:tr>
      <w:tr w14:paraId="24608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693F7C53">
            <w:pPr>
              <w:pStyle w:val="33"/>
              <w:rPr>
                <w:color w:val="auto"/>
              </w:rPr>
            </w:pPr>
            <w:r>
              <w:rPr>
                <w:rFonts w:hint="eastAsia"/>
                <w:color w:val="auto"/>
              </w:rPr>
              <w:t>耐脂度</w:t>
            </w:r>
          </w:p>
        </w:tc>
        <w:tc>
          <w:tcPr>
            <w:tcW w:w="1706" w:type="dxa"/>
            <w:vAlign w:val="center"/>
          </w:tcPr>
          <w:p w14:paraId="43915CBC">
            <w:pPr>
              <w:pStyle w:val="33"/>
              <w:rPr>
                <w:color w:val="auto"/>
              </w:rPr>
            </w:pPr>
            <w:r>
              <w:rPr>
                <w:rFonts w:hint="eastAsia"/>
                <w:color w:val="auto"/>
              </w:rPr>
              <w:t>-</w:t>
            </w:r>
          </w:p>
        </w:tc>
        <w:tc>
          <w:tcPr>
            <w:tcW w:w="1706" w:type="dxa"/>
            <w:vAlign w:val="center"/>
          </w:tcPr>
          <w:p w14:paraId="3A9F774E">
            <w:pPr>
              <w:pStyle w:val="33"/>
              <w:rPr>
                <w:color w:val="auto"/>
              </w:rPr>
            </w:pPr>
            <w:r>
              <w:rPr>
                <w:rFonts w:hint="eastAsia"/>
                <w:color w:val="auto"/>
              </w:rPr>
              <w:t>无明显油斑渗透</w:t>
            </w:r>
          </w:p>
        </w:tc>
        <w:tc>
          <w:tcPr>
            <w:tcW w:w="2245" w:type="dxa"/>
            <w:vAlign w:val="center"/>
          </w:tcPr>
          <w:p w14:paraId="12B0D177">
            <w:pPr>
              <w:pStyle w:val="33"/>
              <w:rPr>
                <w:color w:val="auto"/>
              </w:rPr>
            </w:pPr>
            <w:r>
              <w:rPr>
                <w:rFonts w:hint="eastAsia"/>
                <w:color w:val="auto"/>
              </w:rPr>
              <w:t>-</w:t>
            </w:r>
          </w:p>
        </w:tc>
      </w:tr>
      <w:tr w14:paraId="5433D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5FDF097F">
            <w:pPr>
              <w:pStyle w:val="33"/>
              <w:rPr>
                <w:color w:val="auto"/>
              </w:rPr>
            </w:pPr>
            <w:r>
              <w:rPr>
                <w:rFonts w:hint="eastAsia"/>
                <w:color w:val="auto"/>
              </w:rPr>
              <w:t>渗漏性能</w:t>
            </w:r>
          </w:p>
        </w:tc>
        <w:tc>
          <w:tcPr>
            <w:tcW w:w="1706" w:type="dxa"/>
            <w:vAlign w:val="center"/>
          </w:tcPr>
          <w:p w14:paraId="0A7C46AD">
            <w:pPr>
              <w:pStyle w:val="33"/>
              <w:rPr>
                <w:color w:val="auto"/>
              </w:rPr>
            </w:pPr>
            <w:r>
              <w:rPr>
                <w:rFonts w:hint="eastAsia"/>
                <w:color w:val="auto"/>
              </w:rPr>
              <w:t>-</w:t>
            </w:r>
          </w:p>
        </w:tc>
        <w:tc>
          <w:tcPr>
            <w:tcW w:w="3951" w:type="dxa"/>
            <w:gridSpan w:val="2"/>
            <w:vAlign w:val="center"/>
          </w:tcPr>
          <w:p w14:paraId="66F4B0E9">
            <w:pPr>
              <w:pStyle w:val="33"/>
              <w:rPr>
                <w:color w:val="auto"/>
              </w:rPr>
            </w:pPr>
            <w:r>
              <w:rPr>
                <w:rFonts w:hint="eastAsia"/>
                <w:color w:val="auto"/>
              </w:rPr>
              <w:t>无渗漏</w:t>
            </w:r>
          </w:p>
        </w:tc>
      </w:tr>
      <w:tr w14:paraId="67724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vMerge w:val="restart"/>
            <w:vAlign w:val="center"/>
          </w:tcPr>
          <w:p w14:paraId="260201C8">
            <w:pPr>
              <w:pStyle w:val="33"/>
              <w:rPr>
                <w:color w:val="auto"/>
              </w:rPr>
            </w:pPr>
            <w:r>
              <w:rPr>
                <w:rFonts w:hint="eastAsia"/>
                <w:color w:val="auto"/>
              </w:rPr>
              <w:t>边渗透</w:t>
            </w:r>
          </w:p>
        </w:tc>
        <w:tc>
          <w:tcPr>
            <w:tcW w:w="1705" w:type="dxa"/>
            <w:vAlign w:val="center"/>
          </w:tcPr>
          <w:p w14:paraId="360B241B">
            <w:pPr>
              <w:pStyle w:val="33"/>
              <w:rPr>
                <w:color w:val="auto"/>
              </w:rPr>
            </w:pPr>
            <w:r>
              <w:rPr>
                <w:rFonts w:hint="eastAsia"/>
                <w:color w:val="auto"/>
              </w:rPr>
              <w:t>边渗透质量/(kg/m</w:t>
            </w:r>
            <w:r>
              <w:rPr>
                <w:rFonts w:hint="eastAsia"/>
                <w:color w:val="auto"/>
                <w:vertAlign w:val="superscript"/>
              </w:rPr>
              <w:t>2</w:t>
            </w:r>
            <w:r>
              <w:rPr>
                <w:rFonts w:hint="eastAsia"/>
                <w:color w:val="auto"/>
              </w:rPr>
              <w:t>)</w:t>
            </w:r>
          </w:p>
        </w:tc>
        <w:tc>
          <w:tcPr>
            <w:tcW w:w="1706" w:type="dxa"/>
            <w:vAlign w:val="center"/>
          </w:tcPr>
          <w:p w14:paraId="64750077">
            <w:pPr>
              <w:pStyle w:val="33"/>
              <w:rPr>
                <w:color w:val="auto"/>
              </w:rPr>
            </w:pPr>
            <w:r>
              <w:rPr>
                <w:rFonts w:hint="eastAsia"/>
                <w:color w:val="auto"/>
              </w:rPr>
              <w:t>-</w:t>
            </w:r>
          </w:p>
        </w:tc>
        <w:tc>
          <w:tcPr>
            <w:tcW w:w="1706" w:type="dxa"/>
            <w:vAlign w:val="center"/>
          </w:tcPr>
          <w:p w14:paraId="779FBB34">
            <w:pPr>
              <w:pStyle w:val="33"/>
              <w:rPr>
                <w:color w:val="auto"/>
              </w:rPr>
            </w:pPr>
            <w:r>
              <w:rPr>
                <w:rFonts w:hint="eastAsia"/>
                <w:color w:val="auto"/>
              </w:rPr>
              <w:t>-</w:t>
            </w:r>
          </w:p>
        </w:tc>
        <w:tc>
          <w:tcPr>
            <w:tcW w:w="2245" w:type="dxa"/>
            <w:vAlign w:val="center"/>
          </w:tcPr>
          <w:p w14:paraId="45DDC243">
            <w:pPr>
              <w:pStyle w:val="33"/>
              <w:rPr>
                <w:color w:val="auto"/>
              </w:rPr>
            </w:pPr>
            <w:r>
              <w:rPr>
                <w:rFonts w:hint="eastAsia"/>
                <w:color w:val="auto"/>
              </w:rPr>
              <w:t>≤2.5</w:t>
            </w:r>
          </w:p>
        </w:tc>
      </w:tr>
      <w:tr w14:paraId="34E25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5" w:type="dxa"/>
            <w:vMerge w:val="continue"/>
            <w:vAlign w:val="center"/>
          </w:tcPr>
          <w:p w14:paraId="7B3C6A12">
            <w:pPr>
              <w:pStyle w:val="33"/>
              <w:rPr>
                <w:color w:val="auto"/>
              </w:rPr>
            </w:pPr>
          </w:p>
        </w:tc>
        <w:tc>
          <w:tcPr>
            <w:tcW w:w="1705" w:type="dxa"/>
            <w:vAlign w:val="center"/>
          </w:tcPr>
          <w:p w14:paraId="57BE1DF6">
            <w:pPr>
              <w:pStyle w:val="33"/>
              <w:rPr>
                <w:color w:val="auto"/>
              </w:rPr>
            </w:pPr>
            <w:r>
              <w:rPr>
                <w:rFonts w:hint="eastAsia"/>
                <w:color w:val="auto"/>
              </w:rPr>
              <w:t>边渗透距离（纵横向均）/mm</w:t>
            </w:r>
          </w:p>
        </w:tc>
        <w:tc>
          <w:tcPr>
            <w:tcW w:w="1706" w:type="dxa"/>
            <w:vAlign w:val="center"/>
          </w:tcPr>
          <w:p w14:paraId="33905616">
            <w:pPr>
              <w:pStyle w:val="33"/>
              <w:rPr>
                <w:color w:val="auto"/>
              </w:rPr>
            </w:pPr>
            <w:r>
              <w:rPr>
                <w:rFonts w:hint="eastAsia"/>
                <w:color w:val="auto"/>
              </w:rPr>
              <w:t>-</w:t>
            </w:r>
          </w:p>
        </w:tc>
        <w:tc>
          <w:tcPr>
            <w:tcW w:w="1706" w:type="dxa"/>
            <w:vAlign w:val="center"/>
          </w:tcPr>
          <w:p w14:paraId="43435D2A">
            <w:pPr>
              <w:pStyle w:val="33"/>
              <w:rPr>
                <w:color w:val="auto"/>
              </w:rPr>
            </w:pPr>
            <w:r>
              <w:rPr>
                <w:rFonts w:hint="eastAsia"/>
                <w:color w:val="auto"/>
              </w:rPr>
              <w:t>-</w:t>
            </w:r>
          </w:p>
        </w:tc>
        <w:tc>
          <w:tcPr>
            <w:tcW w:w="2245" w:type="dxa"/>
            <w:vAlign w:val="center"/>
          </w:tcPr>
          <w:p w14:paraId="0A59DF90">
            <w:pPr>
              <w:pStyle w:val="33"/>
              <w:rPr>
                <w:color w:val="auto"/>
              </w:rPr>
            </w:pPr>
            <w:r>
              <w:rPr>
                <w:rFonts w:hint="eastAsia"/>
                <w:color w:val="auto"/>
              </w:rPr>
              <w:t>≤5</w:t>
            </w:r>
          </w:p>
        </w:tc>
      </w:tr>
      <w:tr w14:paraId="69075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7A51A6AD">
            <w:pPr>
              <w:pStyle w:val="33"/>
              <w:rPr>
                <w:color w:val="auto"/>
              </w:rPr>
            </w:pPr>
            <w:r>
              <w:rPr>
                <w:rFonts w:hint="eastAsia"/>
                <w:color w:val="auto"/>
              </w:rPr>
              <w:t>润湿张力/(mN/m)</w:t>
            </w:r>
          </w:p>
        </w:tc>
        <w:tc>
          <w:tcPr>
            <w:tcW w:w="5657" w:type="dxa"/>
            <w:gridSpan w:val="3"/>
            <w:vAlign w:val="center"/>
          </w:tcPr>
          <w:p w14:paraId="6BFD21D2">
            <w:pPr>
              <w:pStyle w:val="33"/>
              <w:rPr>
                <w:color w:val="auto"/>
              </w:rPr>
            </w:pPr>
            <w:r>
              <w:rPr>
                <w:rFonts w:hint="eastAsia"/>
                <w:color w:val="auto"/>
              </w:rPr>
              <w:t>≥38.0</w:t>
            </w:r>
          </w:p>
        </w:tc>
      </w:tr>
      <w:tr w14:paraId="1027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588178CC">
            <w:pPr>
              <w:pStyle w:val="33"/>
              <w:rPr>
                <w:color w:val="auto"/>
              </w:rPr>
            </w:pPr>
            <w:r>
              <w:rPr>
                <w:rFonts w:hint="eastAsia"/>
                <w:color w:val="auto"/>
              </w:rPr>
              <w:t>交货水分/%</w:t>
            </w:r>
          </w:p>
        </w:tc>
        <w:tc>
          <w:tcPr>
            <w:tcW w:w="5657" w:type="dxa"/>
            <w:gridSpan w:val="3"/>
            <w:vAlign w:val="center"/>
          </w:tcPr>
          <w:p w14:paraId="48917AF6">
            <w:pPr>
              <w:pStyle w:val="33"/>
              <w:rPr>
                <w:color w:val="auto"/>
              </w:rPr>
            </w:pPr>
            <w:r>
              <w:rPr>
                <w:rFonts w:hint="eastAsia"/>
                <w:color w:val="auto"/>
              </w:rPr>
              <w:t>3.0~9.0</w:t>
            </w:r>
          </w:p>
        </w:tc>
      </w:tr>
      <w:tr w14:paraId="05E69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10" w:type="dxa"/>
            <w:gridSpan w:val="2"/>
            <w:vAlign w:val="center"/>
          </w:tcPr>
          <w:p w14:paraId="67E33627">
            <w:pPr>
              <w:pStyle w:val="33"/>
              <w:rPr>
                <w:color w:val="auto"/>
              </w:rPr>
            </w:pPr>
            <w:r>
              <w:rPr>
                <w:rFonts w:hint="eastAsia"/>
                <w:color w:val="auto"/>
              </w:rPr>
              <w:t>不可降解成分</w:t>
            </w:r>
          </w:p>
        </w:tc>
        <w:tc>
          <w:tcPr>
            <w:tcW w:w="5657" w:type="dxa"/>
            <w:gridSpan w:val="3"/>
            <w:vAlign w:val="center"/>
          </w:tcPr>
          <w:p w14:paraId="45A27EC8">
            <w:pPr>
              <w:pStyle w:val="33"/>
              <w:rPr>
                <w:color w:val="auto"/>
              </w:rPr>
            </w:pPr>
            <w:r>
              <w:rPr>
                <w:rFonts w:hint="eastAsia"/>
                <w:color w:val="auto"/>
              </w:rPr>
              <w:t>不含PE、PP和PET成分</w:t>
            </w:r>
          </w:p>
        </w:tc>
      </w:tr>
    </w:tbl>
    <w:p w14:paraId="57AC3248">
      <w:pPr>
        <w:ind w:firstLine="0" w:firstLineChars="0"/>
        <w:rPr>
          <w:color w:val="auto"/>
        </w:rPr>
      </w:pPr>
    </w:p>
    <w:p w14:paraId="03D8EF2D">
      <w:pPr>
        <w:pStyle w:val="4"/>
        <w:rPr>
          <w:color w:val="auto"/>
        </w:rPr>
      </w:pPr>
      <w:bookmarkStart w:id="190" w:name="_Toc225216694"/>
      <w:r>
        <w:rPr>
          <w:color w:val="auto"/>
        </w:rPr>
        <w:t>总平面布置</w:t>
      </w:r>
      <w:bookmarkEnd w:id="190"/>
    </w:p>
    <w:p w14:paraId="70192475">
      <w:pPr>
        <w:ind w:firstLine="480"/>
        <w:rPr>
          <w:color w:val="auto"/>
        </w:rPr>
      </w:pPr>
      <w:r>
        <w:rPr>
          <w:rFonts w:hint="eastAsia"/>
          <w:color w:val="auto"/>
        </w:rPr>
        <w:t>本项目改造相关建筑物为造纸车间、整理车间等，通过在原有车间增加部分设备、提升部分关键设备和系统性能，以达到生产线提产的目的。本项目不改变生产区现有平面布置。</w:t>
      </w:r>
      <w:r>
        <w:rPr>
          <w:rFonts w:hint="eastAsia" w:hAnsi="宋体"/>
          <w:bCs/>
          <w:color w:val="auto"/>
        </w:rPr>
        <w:t>工艺流程由北至南，呈“1”字型并列布置</w:t>
      </w:r>
      <w:r>
        <w:rPr>
          <w:rFonts w:hint="eastAsia"/>
          <w:color w:val="auto"/>
        </w:rPr>
        <w:t>，流程简捷；生产过程中关联紧密的生产车间布置紧凑，可减少生产物料的输送距离，节约能耗和管线投资。</w:t>
      </w:r>
    </w:p>
    <w:p w14:paraId="0E40EFEC">
      <w:pPr>
        <w:ind w:firstLine="480"/>
        <w:rPr>
          <w:color w:val="auto"/>
        </w:rPr>
      </w:pPr>
      <w:r>
        <w:rPr>
          <w:rFonts w:hint="eastAsia"/>
          <w:color w:val="auto"/>
        </w:rPr>
        <w:t>新建污水处理站位于现有污水处理设施西侧，紧邻现有设施，减少污水管线布设。</w:t>
      </w:r>
    </w:p>
    <w:p w14:paraId="50B30112">
      <w:pPr>
        <w:ind w:firstLine="480"/>
        <w:rPr>
          <w:color w:val="auto"/>
        </w:rPr>
      </w:pPr>
      <w:r>
        <w:rPr>
          <w:rFonts w:hint="eastAsia"/>
          <w:color w:val="auto"/>
        </w:rPr>
        <w:t>项目平面布置图详见附图2-1。</w:t>
      </w:r>
    </w:p>
    <w:p w14:paraId="546711B3">
      <w:pPr>
        <w:pStyle w:val="4"/>
        <w:rPr>
          <w:color w:val="auto"/>
        </w:rPr>
      </w:pPr>
      <w:bookmarkStart w:id="191" w:name="_Toc225216695"/>
      <w:r>
        <w:rPr>
          <w:color w:val="auto"/>
        </w:rPr>
        <w:t>主要原辅料、能源消耗</w:t>
      </w:r>
      <w:bookmarkEnd w:id="191"/>
    </w:p>
    <w:p w14:paraId="0E7296D2">
      <w:pPr>
        <w:ind w:firstLine="480"/>
        <w:rPr>
          <w:color w:val="auto"/>
        </w:rPr>
      </w:pPr>
      <w:r>
        <w:rPr>
          <w:rFonts w:hint="eastAsia"/>
          <w:color w:val="auto"/>
        </w:rPr>
        <w:t>本项目涉及的两条生产线均通过改造实现</w:t>
      </w:r>
      <w:r>
        <w:rPr>
          <w:color w:val="auto"/>
        </w:rPr>
        <w:t>150</w:t>
      </w:r>
      <w:r>
        <w:rPr>
          <w:rFonts w:hint="eastAsia"/>
          <w:color w:val="auto"/>
        </w:rPr>
        <w:t>万吨</w:t>
      </w:r>
      <w:r>
        <w:rPr>
          <w:color w:val="auto"/>
        </w:rPr>
        <w:t>/</w:t>
      </w:r>
      <w:r>
        <w:rPr>
          <w:rFonts w:hint="eastAsia"/>
          <w:color w:val="auto"/>
        </w:rPr>
        <w:t>年的产能，由于在早期设计和改造过程中的差异及产品结果的不同，两条生产线主要原辅材料消化有所不同。</w:t>
      </w:r>
    </w:p>
    <w:p w14:paraId="2415F0A1">
      <w:pPr>
        <w:ind w:firstLine="480"/>
        <w:rPr>
          <w:color w:val="auto"/>
        </w:rPr>
      </w:pPr>
      <w:r>
        <w:rPr>
          <w:rFonts w:hint="eastAsia"/>
          <w:color w:val="auto"/>
        </w:rPr>
        <w:t>生产线改造过程中除了提高车速外，还调整产品结构，生产高克重产品。通过更换设备减少纸张粘缸、破洞断纸等情况的发生，减少纸损量。</w:t>
      </w:r>
    </w:p>
    <w:p w14:paraId="4993BBB3">
      <w:pPr>
        <w:ind w:firstLine="480"/>
        <w:rPr>
          <w:color w:val="auto"/>
        </w:rPr>
      </w:pPr>
      <w:r>
        <w:rPr>
          <w:rFonts w:hint="eastAsia"/>
          <w:color w:val="auto"/>
        </w:rPr>
        <w:t>同时，对生产线进行绿色升级改造通过更换高耗能的生产设备，加强生产线的自动化、智能化控制，根据多年生产经验，精准控制生产过程中的温度、湿度等指标，增加水回用率和热能回收。</w:t>
      </w:r>
    </w:p>
    <w:p w14:paraId="3CDECE07">
      <w:pPr>
        <w:ind w:firstLine="480"/>
        <w:rPr>
          <w:color w:val="auto"/>
        </w:rPr>
      </w:pPr>
      <w:r>
        <w:rPr>
          <w:rFonts w:hint="eastAsia"/>
          <w:color w:val="auto"/>
        </w:rPr>
        <w:t>项目通过设备改造和工艺优化，有效减少单位产品清水、蒸汽、电力能源的消耗。</w:t>
      </w:r>
    </w:p>
    <w:p w14:paraId="111EEDCD">
      <w:pPr>
        <w:ind w:firstLine="480"/>
        <w:rPr>
          <w:color w:val="auto"/>
        </w:rPr>
      </w:pPr>
      <w:r>
        <w:rPr>
          <w:rFonts w:hint="eastAsia"/>
          <w:color w:val="auto"/>
        </w:rPr>
        <w:t>项目主要原辅材料及能源消耗见下表。</w:t>
      </w:r>
    </w:p>
    <w:p w14:paraId="6785B8E5">
      <w:pPr>
        <w:pStyle w:val="7"/>
        <w:rPr>
          <w:color w:val="auto"/>
        </w:rPr>
      </w:pPr>
      <w:r>
        <w:rPr>
          <w:rFonts w:hint="eastAsia"/>
          <w:color w:val="auto"/>
        </w:rPr>
        <w:t>1</w:t>
      </w:r>
      <w:r>
        <w:rPr>
          <w:color w:val="auto"/>
        </w:rPr>
        <w:t>#</w:t>
      </w:r>
      <w:r>
        <w:rPr>
          <w:rFonts w:hint="eastAsia"/>
          <w:color w:val="auto"/>
        </w:rPr>
        <w:t>白卡纸生产线</w:t>
      </w:r>
      <w:r>
        <w:rPr>
          <w:color w:val="auto"/>
        </w:rPr>
        <w:t>主要原材物料消耗</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560"/>
        <w:gridCol w:w="709"/>
        <w:gridCol w:w="709"/>
        <w:gridCol w:w="850"/>
        <w:gridCol w:w="567"/>
        <w:gridCol w:w="1134"/>
        <w:gridCol w:w="1418"/>
        <w:gridCol w:w="1134"/>
      </w:tblGrid>
      <w:tr w14:paraId="0CCD0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tblHeader/>
          <w:jc w:val="center"/>
        </w:trPr>
        <w:tc>
          <w:tcPr>
            <w:tcW w:w="703" w:type="dxa"/>
            <w:vMerge w:val="restart"/>
            <w:vAlign w:val="center"/>
          </w:tcPr>
          <w:p w14:paraId="73049E3B">
            <w:pPr>
              <w:pStyle w:val="33"/>
              <w:rPr>
                <w:color w:val="auto"/>
              </w:rPr>
            </w:pPr>
            <w:r>
              <w:rPr>
                <w:color w:val="auto"/>
              </w:rPr>
              <w:t>序号</w:t>
            </w:r>
          </w:p>
        </w:tc>
        <w:tc>
          <w:tcPr>
            <w:tcW w:w="1560" w:type="dxa"/>
            <w:vMerge w:val="restart"/>
            <w:vAlign w:val="center"/>
          </w:tcPr>
          <w:p w14:paraId="13372570">
            <w:pPr>
              <w:pStyle w:val="33"/>
              <w:rPr>
                <w:color w:val="auto"/>
              </w:rPr>
            </w:pPr>
            <w:r>
              <w:rPr>
                <w:color w:val="auto"/>
              </w:rPr>
              <w:t>项目</w:t>
            </w:r>
          </w:p>
        </w:tc>
        <w:tc>
          <w:tcPr>
            <w:tcW w:w="2268" w:type="dxa"/>
            <w:gridSpan w:val="3"/>
            <w:vAlign w:val="center"/>
          </w:tcPr>
          <w:p w14:paraId="3D7AAE2C">
            <w:pPr>
              <w:pStyle w:val="33"/>
              <w:rPr>
                <w:color w:val="auto"/>
              </w:rPr>
            </w:pPr>
            <w:r>
              <w:rPr>
                <w:color w:val="auto"/>
              </w:rPr>
              <w:t>吨纸消耗</w:t>
            </w:r>
          </w:p>
        </w:tc>
        <w:tc>
          <w:tcPr>
            <w:tcW w:w="3119" w:type="dxa"/>
            <w:gridSpan w:val="3"/>
            <w:vAlign w:val="center"/>
          </w:tcPr>
          <w:p w14:paraId="7B2A7995">
            <w:pPr>
              <w:pStyle w:val="33"/>
              <w:rPr>
                <w:color w:val="auto"/>
              </w:rPr>
            </w:pPr>
            <w:r>
              <w:rPr>
                <w:color w:val="auto"/>
              </w:rPr>
              <w:t>年耗指标</w:t>
            </w:r>
          </w:p>
        </w:tc>
        <w:tc>
          <w:tcPr>
            <w:tcW w:w="1134" w:type="dxa"/>
            <w:vMerge w:val="restart"/>
            <w:vAlign w:val="center"/>
          </w:tcPr>
          <w:p w14:paraId="27874E21">
            <w:pPr>
              <w:pStyle w:val="33"/>
              <w:rPr>
                <w:color w:val="auto"/>
              </w:rPr>
            </w:pPr>
            <w:r>
              <w:rPr>
                <w:color w:val="auto"/>
              </w:rPr>
              <w:t>备注</w:t>
            </w:r>
          </w:p>
        </w:tc>
      </w:tr>
      <w:tr w14:paraId="4021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blHeader/>
          <w:jc w:val="center"/>
        </w:trPr>
        <w:tc>
          <w:tcPr>
            <w:tcW w:w="703" w:type="dxa"/>
            <w:vMerge w:val="continue"/>
            <w:tcBorders>
              <w:bottom w:val="single" w:color="auto" w:sz="4" w:space="0"/>
            </w:tcBorders>
            <w:vAlign w:val="center"/>
          </w:tcPr>
          <w:p w14:paraId="31393A7D">
            <w:pPr>
              <w:pStyle w:val="33"/>
              <w:rPr>
                <w:color w:val="auto"/>
              </w:rPr>
            </w:pPr>
          </w:p>
        </w:tc>
        <w:tc>
          <w:tcPr>
            <w:tcW w:w="1560" w:type="dxa"/>
            <w:vMerge w:val="continue"/>
            <w:tcBorders>
              <w:bottom w:val="single" w:color="auto" w:sz="4" w:space="0"/>
            </w:tcBorders>
            <w:vAlign w:val="center"/>
          </w:tcPr>
          <w:p w14:paraId="7B858920">
            <w:pPr>
              <w:pStyle w:val="33"/>
              <w:rPr>
                <w:color w:val="auto"/>
              </w:rPr>
            </w:pPr>
          </w:p>
        </w:tc>
        <w:tc>
          <w:tcPr>
            <w:tcW w:w="709" w:type="dxa"/>
            <w:tcBorders>
              <w:bottom w:val="single" w:color="auto" w:sz="4" w:space="0"/>
            </w:tcBorders>
            <w:vAlign w:val="center"/>
          </w:tcPr>
          <w:p w14:paraId="4CEA87E9">
            <w:pPr>
              <w:pStyle w:val="33"/>
              <w:rPr>
                <w:color w:val="auto"/>
              </w:rPr>
            </w:pPr>
            <w:r>
              <w:rPr>
                <w:color w:val="auto"/>
              </w:rPr>
              <w:t>单位</w:t>
            </w:r>
          </w:p>
        </w:tc>
        <w:tc>
          <w:tcPr>
            <w:tcW w:w="709" w:type="dxa"/>
            <w:tcBorders>
              <w:bottom w:val="single" w:color="auto" w:sz="4" w:space="0"/>
            </w:tcBorders>
            <w:vAlign w:val="center"/>
          </w:tcPr>
          <w:p w14:paraId="5C6CD613">
            <w:pPr>
              <w:pStyle w:val="33"/>
              <w:rPr>
                <w:color w:val="auto"/>
              </w:rPr>
            </w:pPr>
            <w:r>
              <w:rPr>
                <w:color w:val="auto"/>
              </w:rPr>
              <w:t>改造前</w:t>
            </w:r>
          </w:p>
        </w:tc>
        <w:tc>
          <w:tcPr>
            <w:tcW w:w="850" w:type="dxa"/>
            <w:tcBorders>
              <w:bottom w:val="single" w:color="auto" w:sz="4" w:space="0"/>
            </w:tcBorders>
            <w:vAlign w:val="center"/>
          </w:tcPr>
          <w:p w14:paraId="565D8E56">
            <w:pPr>
              <w:pStyle w:val="33"/>
              <w:rPr>
                <w:color w:val="auto"/>
              </w:rPr>
            </w:pPr>
            <w:r>
              <w:rPr>
                <w:color w:val="auto"/>
              </w:rPr>
              <w:t>改造后</w:t>
            </w:r>
          </w:p>
        </w:tc>
        <w:tc>
          <w:tcPr>
            <w:tcW w:w="567" w:type="dxa"/>
            <w:tcBorders>
              <w:bottom w:val="single" w:color="auto" w:sz="4" w:space="0"/>
            </w:tcBorders>
            <w:vAlign w:val="center"/>
          </w:tcPr>
          <w:p w14:paraId="5E2A679C">
            <w:pPr>
              <w:pStyle w:val="33"/>
              <w:rPr>
                <w:color w:val="auto"/>
              </w:rPr>
            </w:pPr>
            <w:r>
              <w:rPr>
                <w:color w:val="auto"/>
              </w:rPr>
              <w:t>单位</w:t>
            </w:r>
          </w:p>
        </w:tc>
        <w:tc>
          <w:tcPr>
            <w:tcW w:w="1134" w:type="dxa"/>
            <w:tcBorders>
              <w:bottom w:val="single" w:color="auto" w:sz="4" w:space="0"/>
            </w:tcBorders>
            <w:vAlign w:val="center"/>
          </w:tcPr>
          <w:p w14:paraId="1BD5BADE">
            <w:pPr>
              <w:pStyle w:val="33"/>
              <w:rPr>
                <w:color w:val="auto"/>
              </w:rPr>
            </w:pPr>
            <w:r>
              <w:rPr>
                <w:color w:val="auto"/>
              </w:rPr>
              <w:t>改造前</w:t>
            </w:r>
          </w:p>
          <w:p w14:paraId="716E9F67">
            <w:pPr>
              <w:pStyle w:val="33"/>
              <w:rPr>
                <w:color w:val="auto"/>
              </w:rPr>
            </w:pPr>
            <w:r>
              <w:rPr>
                <w:color w:val="auto"/>
              </w:rPr>
              <w:t>(100万吨)</w:t>
            </w:r>
          </w:p>
        </w:tc>
        <w:tc>
          <w:tcPr>
            <w:tcW w:w="1418" w:type="dxa"/>
            <w:tcBorders>
              <w:bottom w:val="single" w:color="auto" w:sz="4" w:space="0"/>
            </w:tcBorders>
            <w:vAlign w:val="center"/>
          </w:tcPr>
          <w:p w14:paraId="3BE61A92">
            <w:pPr>
              <w:pStyle w:val="33"/>
              <w:rPr>
                <w:color w:val="auto"/>
              </w:rPr>
            </w:pPr>
            <w:r>
              <w:rPr>
                <w:color w:val="auto"/>
              </w:rPr>
              <w:t>改造后</w:t>
            </w:r>
          </w:p>
          <w:p w14:paraId="0596191A">
            <w:pPr>
              <w:pStyle w:val="33"/>
              <w:rPr>
                <w:color w:val="auto"/>
              </w:rPr>
            </w:pPr>
            <w:r>
              <w:rPr>
                <w:color w:val="auto"/>
              </w:rPr>
              <w:t>(150万吨)</w:t>
            </w:r>
          </w:p>
        </w:tc>
        <w:tc>
          <w:tcPr>
            <w:tcW w:w="1134" w:type="dxa"/>
            <w:vMerge w:val="continue"/>
            <w:tcBorders>
              <w:bottom w:val="single" w:color="auto" w:sz="4" w:space="0"/>
            </w:tcBorders>
            <w:vAlign w:val="center"/>
          </w:tcPr>
          <w:p w14:paraId="6A4DA78D">
            <w:pPr>
              <w:pStyle w:val="33"/>
              <w:rPr>
                <w:color w:val="auto"/>
              </w:rPr>
            </w:pPr>
          </w:p>
        </w:tc>
      </w:tr>
      <w:tr w14:paraId="66457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67EC2E76">
            <w:pPr>
              <w:pStyle w:val="33"/>
              <w:rPr>
                <w:color w:val="auto"/>
              </w:rPr>
            </w:pPr>
            <w:r>
              <w:rPr>
                <w:color w:val="auto"/>
              </w:rPr>
              <w:t>一</w:t>
            </w:r>
          </w:p>
        </w:tc>
        <w:tc>
          <w:tcPr>
            <w:tcW w:w="1560" w:type="dxa"/>
            <w:vAlign w:val="center"/>
          </w:tcPr>
          <w:p w14:paraId="6ABF5FF9">
            <w:pPr>
              <w:pStyle w:val="33"/>
              <w:rPr>
                <w:color w:val="auto"/>
              </w:rPr>
            </w:pPr>
            <w:r>
              <w:rPr>
                <w:color w:val="auto"/>
              </w:rPr>
              <w:t>纤维原料</w:t>
            </w:r>
          </w:p>
        </w:tc>
        <w:tc>
          <w:tcPr>
            <w:tcW w:w="709" w:type="dxa"/>
            <w:vAlign w:val="center"/>
          </w:tcPr>
          <w:p w14:paraId="4AD1BE01">
            <w:pPr>
              <w:pStyle w:val="33"/>
              <w:rPr>
                <w:color w:val="auto"/>
              </w:rPr>
            </w:pPr>
            <w:r>
              <w:rPr>
                <w:color w:val="auto"/>
              </w:rPr>
              <w:t>kg</w:t>
            </w:r>
          </w:p>
        </w:tc>
        <w:tc>
          <w:tcPr>
            <w:tcW w:w="709" w:type="dxa"/>
            <w:vAlign w:val="center"/>
          </w:tcPr>
          <w:p w14:paraId="6B731170">
            <w:pPr>
              <w:pStyle w:val="33"/>
              <w:rPr>
                <w:color w:val="auto"/>
              </w:rPr>
            </w:pPr>
            <w:r>
              <w:rPr>
                <w:color w:val="auto"/>
              </w:rPr>
              <w:t>729</w:t>
            </w:r>
          </w:p>
        </w:tc>
        <w:tc>
          <w:tcPr>
            <w:tcW w:w="850" w:type="dxa"/>
            <w:vAlign w:val="center"/>
          </w:tcPr>
          <w:p w14:paraId="3870F72A">
            <w:pPr>
              <w:pStyle w:val="33"/>
              <w:rPr>
                <w:color w:val="auto"/>
              </w:rPr>
            </w:pPr>
            <w:r>
              <w:rPr>
                <w:color w:val="auto"/>
              </w:rPr>
              <w:t>744</w:t>
            </w:r>
          </w:p>
        </w:tc>
        <w:tc>
          <w:tcPr>
            <w:tcW w:w="567" w:type="dxa"/>
            <w:vAlign w:val="center"/>
          </w:tcPr>
          <w:p w14:paraId="60C6DB4D">
            <w:pPr>
              <w:pStyle w:val="33"/>
              <w:rPr>
                <w:color w:val="auto"/>
              </w:rPr>
            </w:pPr>
            <w:r>
              <w:rPr>
                <w:color w:val="auto"/>
              </w:rPr>
              <w:t>t</w:t>
            </w:r>
          </w:p>
        </w:tc>
        <w:tc>
          <w:tcPr>
            <w:tcW w:w="1134" w:type="dxa"/>
            <w:vAlign w:val="center"/>
          </w:tcPr>
          <w:p w14:paraId="47D7F908">
            <w:pPr>
              <w:pStyle w:val="33"/>
              <w:rPr>
                <w:color w:val="auto"/>
              </w:rPr>
            </w:pPr>
            <w:r>
              <w:rPr>
                <w:color w:val="auto"/>
              </w:rPr>
              <w:t>729000</w:t>
            </w:r>
          </w:p>
        </w:tc>
        <w:tc>
          <w:tcPr>
            <w:tcW w:w="1418" w:type="dxa"/>
            <w:vAlign w:val="center"/>
          </w:tcPr>
          <w:p w14:paraId="43797C80">
            <w:pPr>
              <w:pStyle w:val="33"/>
              <w:rPr>
                <w:color w:val="auto"/>
              </w:rPr>
            </w:pPr>
            <w:r>
              <w:rPr>
                <w:color w:val="auto"/>
              </w:rPr>
              <w:t>1116000</w:t>
            </w:r>
          </w:p>
        </w:tc>
        <w:tc>
          <w:tcPr>
            <w:tcW w:w="1134" w:type="dxa"/>
            <w:vAlign w:val="center"/>
          </w:tcPr>
          <w:p w14:paraId="26AA171D">
            <w:pPr>
              <w:pStyle w:val="33"/>
              <w:rPr>
                <w:color w:val="auto"/>
              </w:rPr>
            </w:pPr>
          </w:p>
        </w:tc>
      </w:tr>
      <w:tr w14:paraId="7A64B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2790E24">
            <w:pPr>
              <w:pStyle w:val="33"/>
              <w:rPr>
                <w:color w:val="auto"/>
              </w:rPr>
            </w:pPr>
            <w:r>
              <w:rPr>
                <w:color w:val="auto"/>
              </w:rPr>
              <w:t>1</w:t>
            </w:r>
          </w:p>
        </w:tc>
        <w:tc>
          <w:tcPr>
            <w:tcW w:w="1560" w:type="dxa"/>
            <w:vAlign w:val="center"/>
          </w:tcPr>
          <w:p w14:paraId="492030CD">
            <w:pPr>
              <w:pStyle w:val="33"/>
              <w:rPr>
                <w:color w:val="auto"/>
              </w:rPr>
            </w:pPr>
            <w:r>
              <w:rPr>
                <w:color w:val="auto"/>
              </w:rPr>
              <w:t>NBKP</w:t>
            </w:r>
            <w:r>
              <w:rPr>
                <w:rFonts w:hint="eastAsia"/>
                <w:color w:val="auto"/>
              </w:rPr>
              <w:t>（漂白针叶木硫酸盐浆）</w:t>
            </w:r>
          </w:p>
        </w:tc>
        <w:tc>
          <w:tcPr>
            <w:tcW w:w="709" w:type="dxa"/>
            <w:vAlign w:val="center"/>
          </w:tcPr>
          <w:p w14:paraId="72FD0B60">
            <w:pPr>
              <w:pStyle w:val="33"/>
              <w:rPr>
                <w:color w:val="auto"/>
              </w:rPr>
            </w:pPr>
            <w:r>
              <w:rPr>
                <w:color w:val="auto"/>
              </w:rPr>
              <w:t>kg</w:t>
            </w:r>
          </w:p>
        </w:tc>
        <w:tc>
          <w:tcPr>
            <w:tcW w:w="709" w:type="dxa"/>
            <w:vAlign w:val="center"/>
          </w:tcPr>
          <w:p w14:paraId="70AA5915">
            <w:pPr>
              <w:pStyle w:val="33"/>
              <w:rPr>
                <w:color w:val="auto"/>
              </w:rPr>
            </w:pPr>
            <w:r>
              <w:rPr>
                <w:color w:val="auto"/>
              </w:rPr>
              <w:t>77</w:t>
            </w:r>
          </w:p>
        </w:tc>
        <w:tc>
          <w:tcPr>
            <w:tcW w:w="850" w:type="dxa"/>
            <w:vAlign w:val="center"/>
          </w:tcPr>
          <w:p w14:paraId="52287A88">
            <w:pPr>
              <w:pStyle w:val="33"/>
              <w:rPr>
                <w:color w:val="auto"/>
              </w:rPr>
            </w:pPr>
            <w:r>
              <w:rPr>
                <w:color w:val="auto"/>
              </w:rPr>
              <w:t>39</w:t>
            </w:r>
          </w:p>
        </w:tc>
        <w:tc>
          <w:tcPr>
            <w:tcW w:w="567" w:type="dxa"/>
            <w:vAlign w:val="center"/>
          </w:tcPr>
          <w:p w14:paraId="75F18FA4">
            <w:pPr>
              <w:pStyle w:val="33"/>
              <w:rPr>
                <w:color w:val="auto"/>
              </w:rPr>
            </w:pPr>
            <w:r>
              <w:rPr>
                <w:color w:val="auto"/>
              </w:rPr>
              <w:t>t</w:t>
            </w:r>
          </w:p>
        </w:tc>
        <w:tc>
          <w:tcPr>
            <w:tcW w:w="1134" w:type="dxa"/>
            <w:vAlign w:val="center"/>
          </w:tcPr>
          <w:p w14:paraId="4F20776B">
            <w:pPr>
              <w:pStyle w:val="33"/>
              <w:rPr>
                <w:color w:val="auto"/>
              </w:rPr>
            </w:pPr>
            <w:r>
              <w:rPr>
                <w:color w:val="auto"/>
              </w:rPr>
              <w:t>77000</w:t>
            </w:r>
          </w:p>
        </w:tc>
        <w:tc>
          <w:tcPr>
            <w:tcW w:w="1418" w:type="dxa"/>
            <w:vAlign w:val="center"/>
          </w:tcPr>
          <w:p w14:paraId="2B9232FE">
            <w:pPr>
              <w:pStyle w:val="33"/>
              <w:rPr>
                <w:color w:val="auto"/>
              </w:rPr>
            </w:pPr>
            <w:r>
              <w:rPr>
                <w:color w:val="auto"/>
              </w:rPr>
              <w:t>58500</w:t>
            </w:r>
          </w:p>
        </w:tc>
        <w:tc>
          <w:tcPr>
            <w:tcW w:w="1134" w:type="dxa"/>
            <w:vAlign w:val="center"/>
          </w:tcPr>
          <w:p w14:paraId="22BAFC10">
            <w:pPr>
              <w:pStyle w:val="33"/>
              <w:rPr>
                <w:color w:val="auto"/>
              </w:rPr>
            </w:pPr>
            <w:r>
              <w:rPr>
                <w:color w:val="auto"/>
              </w:rPr>
              <w:t>99.5%得率，风干</w:t>
            </w:r>
          </w:p>
        </w:tc>
      </w:tr>
      <w:tr w14:paraId="44415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3" w:type="dxa"/>
            <w:vAlign w:val="center"/>
          </w:tcPr>
          <w:p w14:paraId="04E8F9BF">
            <w:pPr>
              <w:pStyle w:val="33"/>
              <w:rPr>
                <w:color w:val="auto"/>
              </w:rPr>
            </w:pPr>
            <w:r>
              <w:rPr>
                <w:color w:val="auto"/>
              </w:rPr>
              <w:t>2</w:t>
            </w:r>
          </w:p>
        </w:tc>
        <w:tc>
          <w:tcPr>
            <w:tcW w:w="1560" w:type="dxa"/>
            <w:vAlign w:val="center"/>
          </w:tcPr>
          <w:p w14:paraId="78C1B713">
            <w:pPr>
              <w:pStyle w:val="33"/>
              <w:rPr>
                <w:color w:val="auto"/>
              </w:rPr>
            </w:pPr>
            <w:r>
              <w:rPr>
                <w:color w:val="auto"/>
              </w:rPr>
              <w:t>LBKP</w:t>
            </w:r>
            <w:r>
              <w:rPr>
                <w:rFonts w:hint="eastAsia"/>
                <w:color w:val="auto"/>
              </w:rPr>
              <w:t>（漂白阔叶木硫酸盐浆）</w:t>
            </w:r>
          </w:p>
        </w:tc>
        <w:tc>
          <w:tcPr>
            <w:tcW w:w="709" w:type="dxa"/>
            <w:vAlign w:val="center"/>
          </w:tcPr>
          <w:p w14:paraId="3A9957ED">
            <w:pPr>
              <w:pStyle w:val="33"/>
              <w:rPr>
                <w:color w:val="auto"/>
              </w:rPr>
            </w:pPr>
            <w:r>
              <w:rPr>
                <w:color w:val="auto"/>
              </w:rPr>
              <w:t>kg</w:t>
            </w:r>
          </w:p>
        </w:tc>
        <w:tc>
          <w:tcPr>
            <w:tcW w:w="709" w:type="dxa"/>
            <w:vAlign w:val="center"/>
          </w:tcPr>
          <w:p w14:paraId="27CEFB09">
            <w:pPr>
              <w:pStyle w:val="33"/>
              <w:rPr>
                <w:color w:val="auto"/>
              </w:rPr>
            </w:pPr>
            <w:r>
              <w:rPr>
                <w:color w:val="auto"/>
              </w:rPr>
              <w:t>289</w:t>
            </w:r>
          </w:p>
        </w:tc>
        <w:tc>
          <w:tcPr>
            <w:tcW w:w="850" w:type="dxa"/>
            <w:vAlign w:val="center"/>
          </w:tcPr>
          <w:p w14:paraId="4A815D3D">
            <w:pPr>
              <w:pStyle w:val="33"/>
              <w:rPr>
                <w:color w:val="auto"/>
              </w:rPr>
            </w:pPr>
            <w:r>
              <w:rPr>
                <w:color w:val="auto"/>
              </w:rPr>
              <w:t>277</w:t>
            </w:r>
          </w:p>
        </w:tc>
        <w:tc>
          <w:tcPr>
            <w:tcW w:w="567" w:type="dxa"/>
            <w:vAlign w:val="center"/>
          </w:tcPr>
          <w:p w14:paraId="5FE2C640">
            <w:pPr>
              <w:pStyle w:val="33"/>
              <w:rPr>
                <w:color w:val="auto"/>
              </w:rPr>
            </w:pPr>
            <w:r>
              <w:rPr>
                <w:color w:val="auto"/>
              </w:rPr>
              <w:t>t</w:t>
            </w:r>
          </w:p>
        </w:tc>
        <w:tc>
          <w:tcPr>
            <w:tcW w:w="1134" w:type="dxa"/>
            <w:vAlign w:val="center"/>
          </w:tcPr>
          <w:p w14:paraId="19DC5DF8">
            <w:pPr>
              <w:pStyle w:val="33"/>
              <w:rPr>
                <w:color w:val="auto"/>
              </w:rPr>
            </w:pPr>
            <w:r>
              <w:rPr>
                <w:color w:val="auto"/>
              </w:rPr>
              <w:t>289000</w:t>
            </w:r>
          </w:p>
        </w:tc>
        <w:tc>
          <w:tcPr>
            <w:tcW w:w="1418" w:type="dxa"/>
            <w:vAlign w:val="center"/>
          </w:tcPr>
          <w:p w14:paraId="360DA8F8">
            <w:pPr>
              <w:pStyle w:val="33"/>
              <w:rPr>
                <w:color w:val="auto"/>
              </w:rPr>
            </w:pPr>
            <w:r>
              <w:rPr>
                <w:color w:val="auto"/>
              </w:rPr>
              <w:t>415500</w:t>
            </w:r>
          </w:p>
        </w:tc>
        <w:tc>
          <w:tcPr>
            <w:tcW w:w="1134" w:type="dxa"/>
            <w:vAlign w:val="center"/>
          </w:tcPr>
          <w:p w14:paraId="4517FC93">
            <w:pPr>
              <w:pStyle w:val="33"/>
              <w:rPr>
                <w:color w:val="auto"/>
              </w:rPr>
            </w:pPr>
            <w:r>
              <w:rPr>
                <w:color w:val="auto"/>
              </w:rPr>
              <w:t>99.5%得率，风干</w:t>
            </w:r>
          </w:p>
        </w:tc>
      </w:tr>
      <w:tr w14:paraId="6CD8F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3" w:type="dxa"/>
            <w:vAlign w:val="center"/>
          </w:tcPr>
          <w:p w14:paraId="1A7392F1">
            <w:pPr>
              <w:pStyle w:val="33"/>
              <w:rPr>
                <w:color w:val="auto"/>
              </w:rPr>
            </w:pPr>
            <w:r>
              <w:rPr>
                <w:color w:val="auto"/>
              </w:rPr>
              <w:t>3</w:t>
            </w:r>
          </w:p>
        </w:tc>
        <w:tc>
          <w:tcPr>
            <w:tcW w:w="1560" w:type="dxa"/>
            <w:vAlign w:val="center"/>
          </w:tcPr>
          <w:p w14:paraId="5ED8F5B3">
            <w:pPr>
              <w:pStyle w:val="33"/>
              <w:rPr>
                <w:color w:val="auto"/>
              </w:rPr>
            </w:pPr>
            <w:r>
              <w:rPr>
                <w:color w:val="auto"/>
              </w:rPr>
              <w:t>自制化机浆</w:t>
            </w:r>
          </w:p>
        </w:tc>
        <w:tc>
          <w:tcPr>
            <w:tcW w:w="709" w:type="dxa"/>
            <w:vAlign w:val="center"/>
          </w:tcPr>
          <w:p w14:paraId="4456BF2D">
            <w:pPr>
              <w:pStyle w:val="33"/>
              <w:rPr>
                <w:color w:val="auto"/>
              </w:rPr>
            </w:pPr>
            <w:r>
              <w:rPr>
                <w:color w:val="auto"/>
              </w:rPr>
              <w:t>kg</w:t>
            </w:r>
          </w:p>
        </w:tc>
        <w:tc>
          <w:tcPr>
            <w:tcW w:w="709" w:type="dxa"/>
            <w:vAlign w:val="center"/>
          </w:tcPr>
          <w:p w14:paraId="4EF0F172">
            <w:pPr>
              <w:pStyle w:val="33"/>
              <w:rPr>
                <w:color w:val="auto"/>
              </w:rPr>
            </w:pPr>
            <w:r>
              <w:rPr>
                <w:color w:val="auto"/>
              </w:rPr>
              <w:t>363</w:t>
            </w:r>
          </w:p>
        </w:tc>
        <w:tc>
          <w:tcPr>
            <w:tcW w:w="850" w:type="dxa"/>
            <w:vAlign w:val="center"/>
          </w:tcPr>
          <w:p w14:paraId="0C6B82ED">
            <w:pPr>
              <w:pStyle w:val="33"/>
              <w:rPr>
                <w:color w:val="auto"/>
              </w:rPr>
            </w:pPr>
            <w:r>
              <w:rPr>
                <w:color w:val="auto"/>
              </w:rPr>
              <w:t>400</w:t>
            </w:r>
          </w:p>
        </w:tc>
        <w:tc>
          <w:tcPr>
            <w:tcW w:w="567" w:type="dxa"/>
            <w:vAlign w:val="center"/>
          </w:tcPr>
          <w:p w14:paraId="138A6FC7">
            <w:pPr>
              <w:pStyle w:val="33"/>
              <w:rPr>
                <w:color w:val="auto"/>
              </w:rPr>
            </w:pPr>
            <w:r>
              <w:rPr>
                <w:color w:val="auto"/>
              </w:rPr>
              <w:t>t</w:t>
            </w:r>
          </w:p>
        </w:tc>
        <w:tc>
          <w:tcPr>
            <w:tcW w:w="1134" w:type="dxa"/>
            <w:vAlign w:val="center"/>
          </w:tcPr>
          <w:p w14:paraId="40EEE92E">
            <w:pPr>
              <w:pStyle w:val="33"/>
              <w:rPr>
                <w:color w:val="auto"/>
              </w:rPr>
            </w:pPr>
            <w:r>
              <w:rPr>
                <w:color w:val="auto"/>
              </w:rPr>
              <w:t>363000</w:t>
            </w:r>
          </w:p>
        </w:tc>
        <w:tc>
          <w:tcPr>
            <w:tcW w:w="1418" w:type="dxa"/>
            <w:vAlign w:val="center"/>
          </w:tcPr>
          <w:p w14:paraId="287452EB">
            <w:pPr>
              <w:pStyle w:val="33"/>
              <w:rPr>
                <w:color w:val="auto"/>
              </w:rPr>
            </w:pPr>
            <w:r>
              <w:rPr>
                <w:color w:val="auto"/>
              </w:rPr>
              <w:t>600000</w:t>
            </w:r>
          </w:p>
        </w:tc>
        <w:tc>
          <w:tcPr>
            <w:tcW w:w="1134" w:type="dxa"/>
            <w:vAlign w:val="center"/>
          </w:tcPr>
          <w:p w14:paraId="119DC69C">
            <w:pPr>
              <w:pStyle w:val="33"/>
              <w:rPr>
                <w:color w:val="auto"/>
              </w:rPr>
            </w:pPr>
            <w:r>
              <w:rPr>
                <w:color w:val="auto"/>
              </w:rPr>
              <w:t>自制浆</w:t>
            </w:r>
          </w:p>
        </w:tc>
      </w:tr>
      <w:tr w14:paraId="0B861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3" w:type="dxa"/>
            <w:vAlign w:val="center"/>
          </w:tcPr>
          <w:p w14:paraId="5B42C857">
            <w:pPr>
              <w:pStyle w:val="33"/>
              <w:rPr>
                <w:color w:val="auto"/>
              </w:rPr>
            </w:pPr>
            <w:r>
              <w:rPr>
                <w:color w:val="auto"/>
              </w:rPr>
              <w:t>4</w:t>
            </w:r>
          </w:p>
        </w:tc>
        <w:tc>
          <w:tcPr>
            <w:tcW w:w="1560" w:type="dxa"/>
            <w:vAlign w:val="center"/>
          </w:tcPr>
          <w:p w14:paraId="2C0C8C0C">
            <w:pPr>
              <w:pStyle w:val="33"/>
              <w:rPr>
                <w:color w:val="auto"/>
              </w:rPr>
            </w:pPr>
            <w:r>
              <w:rPr>
                <w:color w:val="auto"/>
              </w:rPr>
              <w:t>商品化机浆</w:t>
            </w:r>
          </w:p>
        </w:tc>
        <w:tc>
          <w:tcPr>
            <w:tcW w:w="709" w:type="dxa"/>
            <w:vAlign w:val="center"/>
          </w:tcPr>
          <w:p w14:paraId="7865650C">
            <w:pPr>
              <w:pStyle w:val="33"/>
              <w:rPr>
                <w:color w:val="auto"/>
              </w:rPr>
            </w:pPr>
            <w:r>
              <w:rPr>
                <w:color w:val="auto"/>
              </w:rPr>
              <w:t>kg</w:t>
            </w:r>
          </w:p>
        </w:tc>
        <w:tc>
          <w:tcPr>
            <w:tcW w:w="709" w:type="dxa"/>
            <w:vAlign w:val="center"/>
          </w:tcPr>
          <w:p w14:paraId="64E28281">
            <w:pPr>
              <w:pStyle w:val="33"/>
              <w:rPr>
                <w:color w:val="auto"/>
              </w:rPr>
            </w:pPr>
          </w:p>
        </w:tc>
        <w:tc>
          <w:tcPr>
            <w:tcW w:w="850" w:type="dxa"/>
            <w:vAlign w:val="center"/>
          </w:tcPr>
          <w:p w14:paraId="60B58686">
            <w:pPr>
              <w:pStyle w:val="33"/>
              <w:rPr>
                <w:color w:val="auto"/>
              </w:rPr>
            </w:pPr>
            <w:r>
              <w:rPr>
                <w:color w:val="auto"/>
              </w:rPr>
              <w:t>28</w:t>
            </w:r>
          </w:p>
        </w:tc>
        <w:tc>
          <w:tcPr>
            <w:tcW w:w="567" w:type="dxa"/>
            <w:vAlign w:val="center"/>
          </w:tcPr>
          <w:p w14:paraId="2EF69F98">
            <w:pPr>
              <w:pStyle w:val="33"/>
              <w:rPr>
                <w:color w:val="auto"/>
              </w:rPr>
            </w:pPr>
            <w:r>
              <w:rPr>
                <w:color w:val="auto"/>
              </w:rPr>
              <w:t>t</w:t>
            </w:r>
          </w:p>
        </w:tc>
        <w:tc>
          <w:tcPr>
            <w:tcW w:w="1134" w:type="dxa"/>
            <w:vAlign w:val="center"/>
          </w:tcPr>
          <w:p w14:paraId="465546B0">
            <w:pPr>
              <w:pStyle w:val="33"/>
              <w:rPr>
                <w:color w:val="auto"/>
              </w:rPr>
            </w:pPr>
          </w:p>
        </w:tc>
        <w:tc>
          <w:tcPr>
            <w:tcW w:w="1418" w:type="dxa"/>
            <w:vAlign w:val="center"/>
          </w:tcPr>
          <w:p w14:paraId="508597D1">
            <w:pPr>
              <w:pStyle w:val="33"/>
              <w:rPr>
                <w:color w:val="auto"/>
              </w:rPr>
            </w:pPr>
            <w:r>
              <w:rPr>
                <w:color w:val="auto"/>
              </w:rPr>
              <w:t>42000</w:t>
            </w:r>
          </w:p>
        </w:tc>
        <w:tc>
          <w:tcPr>
            <w:tcW w:w="1134" w:type="dxa"/>
            <w:vAlign w:val="center"/>
          </w:tcPr>
          <w:p w14:paraId="301E0A83">
            <w:pPr>
              <w:pStyle w:val="33"/>
              <w:rPr>
                <w:color w:val="auto"/>
              </w:rPr>
            </w:pPr>
            <w:r>
              <w:rPr>
                <w:color w:val="auto"/>
              </w:rPr>
              <w:t>99.5%得率，风干</w:t>
            </w:r>
          </w:p>
        </w:tc>
      </w:tr>
      <w:tr w14:paraId="70CCB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32633F4C">
            <w:pPr>
              <w:pStyle w:val="33"/>
              <w:rPr>
                <w:color w:val="auto"/>
              </w:rPr>
            </w:pPr>
            <w:r>
              <w:rPr>
                <w:color w:val="auto"/>
              </w:rPr>
              <w:t>二</w:t>
            </w:r>
          </w:p>
        </w:tc>
        <w:tc>
          <w:tcPr>
            <w:tcW w:w="1560" w:type="dxa"/>
            <w:vAlign w:val="center"/>
          </w:tcPr>
          <w:p w14:paraId="24802792">
            <w:pPr>
              <w:pStyle w:val="33"/>
              <w:rPr>
                <w:color w:val="auto"/>
              </w:rPr>
            </w:pPr>
            <w:r>
              <w:rPr>
                <w:color w:val="auto"/>
              </w:rPr>
              <w:t>化工品</w:t>
            </w:r>
          </w:p>
        </w:tc>
        <w:tc>
          <w:tcPr>
            <w:tcW w:w="709" w:type="dxa"/>
            <w:vAlign w:val="center"/>
          </w:tcPr>
          <w:p w14:paraId="637AC129">
            <w:pPr>
              <w:pStyle w:val="33"/>
              <w:rPr>
                <w:color w:val="auto"/>
              </w:rPr>
            </w:pPr>
          </w:p>
        </w:tc>
        <w:tc>
          <w:tcPr>
            <w:tcW w:w="709" w:type="dxa"/>
            <w:vAlign w:val="center"/>
          </w:tcPr>
          <w:p w14:paraId="775139C7">
            <w:pPr>
              <w:pStyle w:val="33"/>
              <w:rPr>
                <w:color w:val="auto"/>
              </w:rPr>
            </w:pPr>
          </w:p>
        </w:tc>
        <w:tc>
          <w:tcPr>
            <w:tcW w:w="850" w:type="dxa"/>
            <w:vAlign w:val="center"/>
          </w:tcPr>
          <w:p w14:paraId="0222791D">
            <w:pPr>
              <w:pStyle w:val="33"/>
              <w:rPr>
                <w:color w:val="auto"/>
              </w:rPr>
            </w:pPr>
          </w:p>
        </w:tc>
        <w:tc>
          <w:tcPr>
            <w:tcW w:w="567" w:type="dxa"/>
            <w:vAlign w:val="center"/>
          </w:tcPr>
          <w:p w14:paraId="7F8CFDB6">
            <w:pPr>
              <w:pStyle w:val="33"/>
              <w:rPr>
                <w:color w:val="auto"/>
              </w:rPr>
            </w:pPr>
          </w:p>
        </w:tc>
        <w:tc>
          <w:tcPr>
            <w:tcW w:w="1134" w:type="dxa"/>
            <w:vAlign w:val="center"/>
          </w:tcPr>
          <w:p w14:paraId="5EEE2774">
            <w:pPr>
              <w:pStyle w:val="33"/>
              <w:rPr>
                <w:color w:val="auto"/>
              </w:rPr>
            </w:pPr>
          </w:p>
        </w:tc>
        <w:tc>
          <w:tcPr>
            <w:tcW w:w="1418" w:type="dxa"/>
            <w:vAlign w:val="center"/>
          </w:tcPr>
          <w:p w14:paraId="716C731E">
            <w:pPr>
              <w:pStyle w:val="33"/>
              <w:rPr>
                <w:color w:val="auto"/>
              </w:rPr>
            </w:pPr>
          </w:p>
        </w:tc>
        <w:tc>
          <w:tcPr>
            <w:tcW w:w="1134" w:type="dxa"/>
            <w:vAlign w:val="center"/>
          </w:tcPr>
          <w:p w14:paraId="688927E7">
            <w:pPr>
              <w:pStyle w:val="33"/>
              <w:rPr>
                <w:color w:val="auto"/>
              </w:rPr>
            </w:pPr>
          </w:p>
        </w:tc>
      </w:tr>
      <w:tr w14:paraId="174AB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78EB1759">
            <w:pPr>
              <w:pStyle w:val="33"/>
              <w:rPr>
                <w:color w:val="auto"/>
              </w:rPr>
            </w:pPr>
            <w:r>
              <w:rPr>
                <w:color w:val="auto"/>
              </w:rPr>
              <w:t>1</w:t>
            </w:r>
          </w:p>
        </w:tc>
        <w:tc>
          <w:tcPr>
            <w:tcW w:w="1560" w:type="dxa"/>
            <w:vAlign w:val="center"/>
          </w:tcPr>
          <w:p w14:paraId="6DEBA88A">
            <w:pPr>
              <w:pStyle w:val="33"/>
              <w:rPr>
                <w:color w:val="auto"/>
              </w:rPr>
            </w:pPr>
            <w:r>
              <w:rPr>
                <w:color w:val="auto"/>
              </w:rPr>
              <w:t>瓷土</w:t>
            </w:r>
          </w:p>
        </w:tc>
        <w:tc>
          <w:tcPr>
            <w:tcW w:w="709" w:type="dxa"/>
            <w:vAlign w:val="center"/>
          </w:tcPr>
          <w:p w14:paraId="04ADB60A">
            <w:pPr>
              <w:pStyle w:val="33"/>
              <w:rPr>
                <w:color w:val="auto"/>
              </w:rPr>
            </w:pPr>
            <w:r>
              <w:rPr>
                <w:color w:val="auto"/>
              </w:rPr>
              <w:t>kg</w:t>
            </w:r>
          </w:p>
        </w:tc>
        <w:tc>
          <w:tcPr>
            <w:tcW w:w="709" w:type="dxa"/>
            <w:vAlign w:val="center"/>
          </w:tcPr>
          <w:p w14:paraId="172D5382">
            <w:pPr>
              <w:pStyle w:val="33"/>
              <w:rPr>
                <w:color w:val="auto"/>
              </w:rPr>
            </w:pPr>
            <w:r>
              <w:rPr>
                <w:color w:val="auto"/>
              </w:rPr>
              <w:t>11</w:t>
            </w:r>
          </w:p>
        </w:tc>
        <w:tc>
          <w:tcPr>
            <w:tcW w:w="850" w:type="dxa"/>
            <w:vAlign w:val="center"/>
          </w:tcPr>
          <w:p w14:paraId="40E96CB5">
            <w:pPr>
              <w:pStyle w:val="33"/>
              <w:rPr>
                <w:color w:val="auto"/>
              </w:rPr>
            </w:pPr>
            <w:r>
              <w:rPr>
                <w:color w:val="auto"/>
              </w:rPr>
              <w:t>11</w:t>
            </w:r>
          </w:p>
        </w:tc>
        <w:tc>
          <w:tcPr>
            <w:tcW w:w="567" w:type="dxa"/>
            <w:vAlign w:val="center"/>
          </w:tcPr>
          <w:p w14:paraId="55FC245C">
            <w:pPr>
              <w:pStyle w:val="33"/>
              <w:rPr>
                <w:color w:val="auto"/>
              </w:rPr>
            </w:pPr>
            <w:r>
              <w:rPr>
                <w:color w:val="auto"/>
              </w:rPr>
              <w:t>t</w:t>
            </w:r>
          </w:p>
        </w:tc>
        <w:tc>
          <w:tcPr>
            <w:tcW w:w="1134" w:type="dxa"/>
            <w:vAlign w:val="center"/>
          </w:tcPr>
          <w:p w14:paraId="450BB7A3">
            <w:pPr>
              <w:pStyle w:val="33"/>
              <w:rPr>
                <w:color w:val="auto"/>
              </w:rPr>
            </w:pPr>
            <w:r>
              <w:rPr>
                <w:color w:val="auto"/>
              </w:rPr>
              <w:t>11000</w:t>
            </w:r>
          </w:p>
        </w:tc>
        <w:tc>
          <w:tcPr>
            <w:tcW w:w="1418" w:type="dxa"/>
            <w:vAlign w:val="center"/>
          </w:tcPr>
          <w:p w14:paraId="6D90B65D">
            <w:pPr>
              <w:pStyle w:val="33"/>
              <w:rPr>
                <w:color w:val="auto"/>
              </w:rPr>
            </w:pPr>
            <w:r>
              <w:rPr>
                <w:color w:val="auto"/>
              </w:rPr>
              <w:t>16500</w:t>
            </w:r>
          </w:p>
        </w:tc>
        <w:tc>
          <w:tcPr>
            <w:tcW w:w="1134" w:type="dxa"/>
            <w:vAlign w:val="center"/>
          </w:tcPr>
          <w:p w14:paraId="63B0F8EE">
            <w:pPr>
              <w:pStyle w:val="33"/>
              <w:rPr>
                <w:color w:val="auto"/>
              </w:rPr>
            </w:pPr>
          </w:p>
        </w:tc>
      </w:tr>
      <w:tr w14:paraId="1F427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28AAD5FC">
            <w:pPr>
              <w:pStyle w:val="33"/>
              <w:rPr>
                <w:color w:val="auto"/>
              </w:rPr>
            </w:pPr>
            <w:r>
              <w:rPr>
                <w:color w:val="auto"/>
              </w:rPr>
              <w:t>2</w:t>
            </w:r>
          </w:p>
        </w:tc>
        <w:tc>
          <w:tcPr>
            <w:tcW w:w="1560" w:type="dxa"/>
            <w:vAlign w:val="center"/>
          </w:tcPr>
          <w:p w14:paraId="3CDFF459">
            <w:pPr>
              <w:pStyle w:val="33"/>
              <w:rPr>
                <w:color w:val="auto"/>
              </w:rPr>
            </w:pPr>
            <w:r>
              <w:rPr>
                <w:color w:val="auto"/>
              </w:rPr>
              <w:t>碳酸钙</w:t>
            </w:r>
          </w:p>
        </w:tc>
        <w:tc>
          <w:tcPr>
            <w:tcW w:w="709" w:type="dxa"/>
            <w:vAlign w:val="center"/>
          </w:tcPr>
          <w:p w14:paraId="76ADBEF7">
            <w:pPr>
              <w:pStyle w:val="33"/>
              <w:rPr>
                <w:color w:val="auto"/>
              </w:rPr>
            </w:pPr>
            <w:r>
              <w:rPr>
                <w:color w:val="auto"/>
              </w:rPr>
              <w:t>kg</w:t>
            </w:r>
          </w:p>
        </w:tc>
        <w:tc>
          <w:tcPr>
            <w:tcW w:w="709" w:type="dxa"/>
            <w:vAlign w:val="center"/>
          </w:tcPr>
          <w:p w14:paraId="0283F242">
            <w:pPr>
              <w:pStyle w:val="33"/>
              <w:rPr>
                <w:color w:val="auto"/>
              </w:rPr>
            </w:pPr>
            <w:r>
              <w:rPr>
                <w:color w:val="auto"/>
              </w:rPr>
              <w:t>182</w:t>
            </w:r>
          </w:p>
        </w:tc>
        <w:tc>
          <w:tcPr>
            <w:tcW w:w="850" w:type="dxa"/>
            <w:vAlign w:val="center"/>
          </w:tcPr>
          <w:p w14:paraId="1AF19071">
            <w:pPr>
              <w:pStyle w:val="33"/>
              <w:rPr>
                <w:color w:val="auto"/>
              </w:rPr>
            </w:pPr>
            <w:r>
              <w:rPr>
                <w:color w:val="auto"/>
              </w:rPr>
              <w:t>182</w:t>
            </w:r>
          </w:p>
        </w:tc>
        <w:tc>
          <w:tcPr>
            <w:tcW w:w="567" w:type="dxa"/>
            <w:vAlign w:val="center"/>
          </w:tcPr>
          <w:p w14:paraId="403EF6F3">
            <w:pPr>
              <w:pStyle w:val="33"/>
              <w:rPr>
                <w:color w:val="auto"/>
              </w:rPr>
            </w:pPr>
            <w:r>
              <w:rPr>
                <w:color w:val="auto"/>
              </w:rPr>
              <w:t>t</w:t>
            </w:r>
          </w:p>
        </w:tc>
        <w:tc>
          <w:tcPr>
            <w:tcW w:w="1134" w:type="dxa"/>
            <w:vAlign w:val="center"/>
          </w:tcPr>
          <w:p w14:paraId="4A94A616">
            <w:pPr>
              <w:pStyle w:val="33"/>
              <w:rPr>
                <w:color w:val="auto"/>
              </w:rPr>
            </w:pPr>
            <w:r>
              <w:rPr>
                <w:color w:val="auto"/>
              </w:rPr>
              <w:t>182000</w:t>
            </w:r>
          </w:p>
        </w:tc>
        <w:tc>
          <w:tcPr>
            <w:tcW w:w="1418" w:type="dxa"/>
            <w:vAlign w:val="center"/>
          </w:tcPr>
          <w:p w14:paraId="43B483B7">
            <w:pPr>
              <w:pStyle w:val="33"/>
              <w:rPr>
                <w:color w:val="auto"/>
              </w:rPr>
            </w:pPr>
            <w:r>
              <w:rPr>
                <w:color w:val="auto"/>
              </w:rPr>
              <w:t>273000</w:t>
            </w:r>
          </w:p>
        </w:tc>
        <w:tc>
          <w:tcPr>
            <w:tcW w:w="1134" w:type="dxa"/>
            <w:vAlign w:val="center"/>
          </w:tcPr>
          <w:p w14:paraId="7F2DE8A1">
            <w:pPr>
              <w:pStyle w:val="33"/>
              <w:rPr>
                <w:color w:val="auto"/>
              </w:rPr>
            </w:pPr>
          </w:p>
        </w:tc>
      </w:tr>
      <w:tr w14:paraId="64444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52F351D2">
            <w:pPr>
              <w:pStyle w:val="33"/>
              <w:rPr>
                <w:color w:val="auto"/>
              </w:rPr>
            </w:pPr>
            <w:r>
              <w:rPr>
                <w:color w:val="auto"/>
              </w:rPr>
              <w:t>3</w:t>
            </w:r>
          </w:p>
        </w:tc>
        <w:tc>
          <w:tcPr>
            <w:tcW w:w="1560" w:type="dxa"/>
            <w:vAlign w:val="center"/>
          </w:tcPr>
          <w:p w14:paraId="5B96CCB0">
            <w:pPr>
              <w:pStyle w:val="33"/>
              <w:rPr>
                <w:color w:val="auto"/>
              </w:rPr>
            </w:pPr>
            <w:r>
              <w:rPr>
                <w:color w:val="auto"/>
              </w:rPr>
              <w:t>滑石粉</w:t>
            </w:r>
          </w:p>
        </w:tc>
        <w:tc>
          <w:tcPr>
            <w:tcW w:w="709" w:type="dxa"/>
            <w:vAlign w:val="center"/>
          </w:tcPr>
          <w:p w14:paraId="43376F41">
            <w:pPr>
              <w:pStyle w:val="33"/>
              <w:rPr>
                <w:color w:val="auto"/>
              </w:rPr>
            </w:pPr>
            <w:r>
              <w:rPr>
                <w:color w:val="auto"/>
              </w:rPr>
              <w:t>kg</w:t>
            </w:r>
          </w:p>
        </w:tc>
        <w:tc>
          <w:tcPr>
            <w:tcW w:w="709" w:type="dxa"/>
            <w:vAlign w:val="center"/>
          </w:tcPr>
          <w:p w14:paraId="40B3D8FF">
            <w:pPr>
              <w:pStyle w:val="33"/>
              <w:rPr>
                <w:color w:val="auto"/>
              </w:rPr>
            </w:pPr>
            <w:r>
              <w:rPr>
                <w:color w:val="auto"/>
              </w:rPr>
              <w:t>30</w:t>
            </w:r>
          </w:p>
        </w:tc>
        <w:tc>
          <w:tcPr>
            <w:tcW w:w="850" w:type="dxa"/>
            <w:vAlign w:val="center"/>
          </w:tcPr>
          <w:p w14:paraId="4E9873F2">
            <w:pPr>
              <w:pStyle w:val="33"/>
              <w:rPr>
                <w:color w:val="auto"/>
              </w:rPr>
            </w:pPr>
            <w:r>
              <w:rPr>
                <w:color w:val="auto"/>
              </w:rPr>
              <w:t>86</w:t>
            </w:r>
          </w:p>
        </w:tc>
        <w:tc>
          <w:tcPr>
            <w:tcW w:w="567" w:type="dxa"/>
            <w:vAlign w:val="center"/>
          </w:tcPr>
          <w:p w14:paraId="49A4E56D">
            <w:pPr>
              <w:pStyle w:val="33"/>
              <w:rPr>
                <w:color w:val="auto"/>
              </w:rPr>
            </w:pPr>
            <w:r>
              <w:rPr>
                <w:color w:val="auto"/>
              </w:rPr>
              <w:t>t</w:t>
            </w:r>
          </w:p>
        </w:tc>
        <w:tc>
          <w:tcPr>
            <w:tcW w:w="1134" w:type="dxa"/>
            <w:vAlign w:val="center"/>
          </w:tcPr>
          <w:p w14:paraId="5602709F">
            <w:pPr>
              <w:pStyle w:val="33"/>
              <w:rPr>
                <w:color w:val="auto"/>
              </w:rPr>
            </w:pPr>
            <w:r>
              <w:rPr>
                <w:color w:val="auto"/>
              </w:rPr>
              <w:t>30000</w:t>
            </w:r>
          </w:p>
        </w:tc>
        <w:tc>
          <w:tcPr>
            <w:tcW w:w="1418" w:type="dxa"/>
            <w:vAlign w:val="center"/>
          </w:tcPr>
          <w:p w14:paraId="36A75E6D">
            <w:pPr>
              <w:pStyle w:val="33"/>
              <w:rPr>
                <w:color w:val="auto"/>
              </w:rPr>
            </w:pPr>
            <w:r>
              <w:rPr>
                <w:color w:val="auto"/>
              </w:rPr>
              <w:t>129000</w:t>
            </w:r>
          </w:p>
        </w:tc>
        <w:tc>
          <w:tcPr>
            <w:tcW w:w="1134" w:type="dxa"/>
            <w:vAlign w:val="center"/>
          </w:tcPr>
          <w:p w14:paraId="4DDE4D32">
            <w:pPr>
              <w:pStyle w:val="33"/>
              <w:rPr>
                <w:color w:val="auto"/>
              </w:rPr>
            </w:pPr>
          </w:p>
        </w:tc>
      </w:tr>
      <w:tr w14:paraId="7C490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2AC7D1D7">
            <w:pPr>
              <w:pStyle w:val="33"/>
              <w:rPr>
                <w:color w:val="auto"/>
              </w:rPr>
            </w:pPr>
            <w:r>
              <w:rPr>
                <w:color w:val="auto"/>
              </w:rPr>
              <w:t>4</w:t>
            </w:r>
          </w:p>
        </w:tc>
        <w:tc>
          <w:tcPr>
            <w:tcW w:w="1560" w:type="dxa"/>
            <w:vAlign w:val="center"/>
          </w:tcPr>
          <w:p w14:paraId="4EC9F07C">
            <w:pPr>
              <w:pStyle w:val="33"/>
              <w:rPr>
                <w:color w:val="auto"/>
              </w:rPr>
            </w:pPr>
            <w:r>
              <w:rPr>
                <w:color w:val="auto"/>
              </w:rPr>
              <w:t>胶乳</w:t>
            </w:r>
          </w:p>
        </w:tc>
        <w:tc>
          <w:tcPr>
            <w:tcW w:w="709" w:type="dxa"/>
            <w:vAlign w:val="center"/>
          </w:tcPr>
          <w:p w14:paraId="341B948C">
            <w:pPr>
              <w:pStyle w:val="33"/>
              <w:rPr>
                <w:color w:val="auto"/>
              </w:rPr>
            </w:pPr>
            <w:r>
              <w:rPr>
                <w:color w:val="auto"/>
              </w:rPr>
              <w:t>kg</w:t>
            </w:r>
          </w:p>
        </w:tc>
        <w:tc>
          <w:tcPr>
            <w:tcW w:w="709" w:type="dxa"/>
            <w:vAlign w:val="center"/>
          </w:tcPr>
          <w:p w14:paraId="211E8DFC">
            <w:pPr>
              <w:pStyle w:val="33"/>
              <w:rPr>
                <w:color w:val="auto"/>
              </w:rPr>
            </w:pPr>
            <w:r>
              <w:rPr>
                <w:color w:val="auto"/>
              </w:rPr>
              <w:t>30</w:t>
            </w:r>
          </w:p>
        </w:tc>
        <w:tc>
          <w:tcPr>
            <w:tcW w:w="850" w:type="dxa"/>
            <w:vAlign w:val="center"/>
          </w:tcPr>
          <w:p w14:paraId="2C39CF32">
            <w:pPr>
              <w:pStyle w:val="33"/>
              <w:rPr>
                <w:color w:val="auto"/>
              </w:rPr>
            </w:pPr>
            <w:r>
              <w:rPr>
                <w:color w:val="auto"/>
              </w:rPr>
              <w:t>30</w:t>
            </w:r>
          </w:p>
        </w:tc>
        <w:tc>
          <w:tcPr>
            <w:tcW w:w="567" w:type="dxa"/>
            <w:vAlign w:val="center"/>
          </w:tcPr>
          <w:p w14:paraId="40CE720D">
            <w:pPr>
              <w:pStyle w:val="33"/>
              <w:rPr>
                <w:color w:val="auto"/>
              </w:rPr>
            </w:pPr>
            <w:r>
              <w:rPr>
                <w:color w:val="auto"/>
              </w:rPr>
              <w:t>t</w:t>
            </w:r>
          </w:p>
        </w:tc>
        <w:tc>
          <w:tcPr>
            <w:tcW w:w="1134" w:type="dxa"/>
            <w:vAlign w:val="center"/>
          </w:tcPr>
          <w:p w14:paraId="4AFA421A">
            <w:pPr>
              <w:pStyle w:val="33"/>
              <w:rPr>
                <w:color w:val="auto"/>
              </w:rPr>
            </w:pPr>
            <w:r>
              <w:rPr>
                <w:color w:val="auto"/>
              </w:rPr>
              <w:t>30000</w:t>
            </w:r>
          </w:p>
        </w:tc>
        <w:tc>
          <w:tcPr>
            <w:tcW w:w="1418" w:type="dxa"/>
            <w:vAlign w:val="center"/>
          </w:tcPr>
          <w:p w14:paraId="7DC6B011">
            <w:pPr>
              <w:pStyle w:val="33"/>
              <w:rPr>
                <w:color w:val="auto"/>
              </w:rPr>
            </w:pPr>
            <w:r>
              <w:rPr>
                <w:color w:val="auto"/>
              </w:rPr>
              <w:t>45000</w:t>
            </w:r>
          </w:p>
        </w:tc>
        <w:tc>
          <w:tcPr>
            <w:tcW w:w="1134" w:type="dxa"/>
            <w:vAlign w:val="center"/>
          </w:tcPr>
          <w:p w14:paraId="4A5D6719">
            <w:pPr>
              <w:pStyle w:val="33"/>
              <w:rPr>
                <w:color w:val="auto"/>
              </w:rPr>
            </w:pPr>
          </w:p>
        </w:tc>
      </w:tr>
      <w:tr w14:paraId="136B2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195338F6">
            <w:pPr>
              <w:pStyle w:val="33"/>
              <w:rPr>
                <w:color w:val="auto"/>
              </w:rPr>
            </w:pPr>
            <w:r>
              <w:rPr>
                <w:color w:val="auto"/>
              </w:rPr>
              <w:t>5</w:t>
            </w:r>
          </w:p>
        </w:tc>
        <w:tc>
          <w:tcPr>
            <w:tcW w:w="1560" w:type="dxa"/>
            <w:vAlign w:val="center"/>
          </w:tcPr>
          <w:p w14:paraId="28BCE1F4">
            <w:pPr>
              <w:pStyle w:val="33"/>
              <w:rPr>
                <w:color w:val="auto"/>
              </w:rPr>
            </w:pPr>
            <w:r>
              <w:rPr>
                <w:color w:val="auto"/>
              </w:rPr>
              <w:t>氧化淀粉</w:t>
            </w:r>
          </w:p>
        </w:tc>
        <w:tc>
          <w:tcPr>
            <w:tcW w:w="709" w:type="dxa"/>
            <w:vAlign w:val="center"/>
          </w:tcPr>
          <w:p w14:paraId="71350409">
            <w:pPr>
              <w:pStyle w:val="33"/>
              <w:rPr>
                <w:color w:val="auto"/>
              </w:rPr>
            </w:pPr>
            <w:r>
              <w:rPr>
                <w:color w:val="auto"/>
              </w:rPr>
              <w:t>kg</w:t>
            </w:r>
          </w:p>
        </w:tc>
        <w:tc>
          <w:tcPr>
            <w:tcW w:w="709" w:type="dxa"/>
            <w:vAlign w:val="center"/>
          </w:tcPr>
          <w:p w14:paraId="19E8C887">
            <w:pPr>
              <w:pStyle w:val="33"/>
              <w:rPr>
                <w:color w:val="auto"/>
              </w:rPr>
            </w:pPr>
            <w:r>
              <w:rPr>
                <w:color w:val="auto"/>
              </w:rPr>
              <w:t>7</w:t>
            </w:r>
          </w:p>
        </w:tc>
        <w:tc>
          <w:tcPr>
            <w:tcW w:w="850" w:type="dxa"/>
            <w:vAlign w:val="center"/>
          </w:tcPr>
          <w:p w14:paraId="1261B53E">
            <w:pPr>
              <w:pStyle w:val="33"/>
              <w:rPr>
                <w:color w:val="auto"/>
              </w:rPr>
            </w:pPr>
            <w:r>
              <w:rPr>
                <w:color w:val="auto"/>
              </w:rPr>
              <w:t>7</w:t>
            </w:r>
          </w:p>
        </w:tc>
        <w:tc>
          <w:tcPr>
            <w:tcW w:w="567" w:type="dxa"/>
            <w:vAlign w:val="center"/>
          </w:tcPr>
          <w:p w14:paraId="4972C8F7">
            <w:pPr>
              <w:pStyle w:val="33"/>
              <w:rPr>
                <w:color w:val="auto"/>
              </w:rPr>
            </w:pPr>
            <w:r>
              <w:rPr>
                <w:color w:val="auto"/>
              </w:rPr>
              <w:t>t</w:t>
            </w:r>
          </w:p>
        </w:tc>
        <w:tc>
          <w:tcPr>
            <w:tcW w:w="1134" w:type="dxa"/>
            <w:vAlign w:val="center"/>
          </w:tcPr>
          <w:p w14:paraId="53948378">
            <w:pPr>
              <w:pStyle w:val="33"/>
              <w:rPr>
                <w:color w:val="auto"/>
              </w:rPr>
            </w:pPr>
            <w:r>
              <w:rPr>
                <w:color w:val="auto"/>
              </w:rPr>
              <w:t>7000</w:t>
            </w:r>
          </w:p>
        </w:tc>
        <w:tc>
          <w:tcPr>
            <w:tcW w:w="1418" w:type="dxa"/>
            <w:vAlign w:val="center"/>
          </w:tcPr>
          <w:p w14:paraId="03848756">
            <w:pPr>
              <w:pStyle w:val="33"/>
              <w:rPr>
                <w:color w:val="auto"/>
              </w:rPr>
            </w:pPr>
            <w:r>
              <w:rPr>
                <w:color w:val="auto"/>
              </w:rPr>
              <w:t>10500</w:t>
            </w:r>
          </w:p>
        </w:tc>
        <w:tc>
          <w:tcPr>
            <w:tcW w:w="1134" w:type="dxa"/>
            <w:vAlign w:val="center"/>
          </w:tcPr>
          <w:p w14:paraId="0E48A192">
            <w:pPr>
              <w:pStyle w:val="33"/>
              <w:rPr>
                <w:color w:val="auto"/>
              </w:rPr>
            </w:pPr>
          </w:p>
        </w:tc>
      </w:tr>
      <w:tr w14:paraId="78B52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0FFB8A91">
            <w:pPr>
              <w:pStyle w:val="33"/>
              <w:rPr>
                <w:color w:val="auto"/>
              </w:rPr>
            </w:pPr>
            <w:r>
              <w:rPr>
                <w:color w:val="auto"/>
              </w:rPr>
              <w:t>6</w:t>
            </w:r>
          </w:p>
        </w:tc>
        <w:tc>
          <w:tcPr>
            <w:tcW w:w="1560" w:type="dxa"/>
            <w:vAlign w:val="center"/>
          </w:tcPr>
          <w:p w14:paraId="3FFF83CA">
            <w:pPr>
              <w:pStyle w:val="33"/>
              <w:rPr>
                <w:color w:val="auto"/>
              </w:rPr>
            </w:pPr>
            <w:r>
              <w:rPr>
                <w:color w:val="auto"/>
              </w:rPr>
              <w:t>阳离子淀粉</w:t>
            </w:r>
          </w:p>
        </w:tc>
        <w:tc>
          <w:tcPr>
            <w:tcW w:w="709" w:type="dxa"/>
            <w:vAlign w:val="center"/>
          </w:tcPr>
          <w:p w14:paraId="486FAF2E">
            <w:pPr>
              <w:pStyle w:val="33"/>
              <w:rPr>
                <w:color w:val="auto"/>
              </w:rPr>
            </w:pPr>
            <w:r>
              <w:rPr>
                <w:color w:val="auto"/>
              </w:rPr>
              <w:t>kg</w:t>
            </w:r>
          </w:p>
        </w:tc>
        <w:tc>
          <w:tcPr>
            <w:tcW w:w="709" w:type="dxa"/>
            <w:vAlign w:val="center"/>
          </w:tcPr>
          <w:p w14:paraId="7FA04688">
            <w:pPr>
              <w:pStyle w:val="33"/>
              <w:rPr>
                <w:color w:val="auto"/>
              </w:rPr>
            </w:pPr>
            <w:r>
              <w:rPr>
                <w:color w:val="auto"/>
              </w:rPr>
              <w:t>15</w:t>
            </w:r>
          </w:p>
        </w:tc>
        <w:tc>
          <w:tcPr>
            <w:tcW w:w="850" w:type="dxa"/>
            <w:vAlign w:val="center"/>
          </w:tcPr>
          <w:p w14:paraId="42BED2E8">
            <w:pPr>
              <w:pStyle w:val="33"/>
              <w:rPr>
                <w:color w:val="auto"/>
              </w:rPr>
            </w:pPr>
            <w:r>
              <w:rPr>
                <w:color w:val="auto"/>
              </w:rPr>
              <w:t>15</w:t>
            </w:r>
          </w:p>
        </w:tc>
        <w:tc>
          <w:tcPr>
            <w:tcW w:w="567" w:type="dxa"/>
            <w:vAlign w:val="center"/>
          </w:tcPr>
          <w:p w14:paraId="2DADDFBB">
            <w:pPr>
              <w:pStyle w:val="33"/>
              <w:rPr>
                <w:color w:val="auto"/>
              </w:rPr>
            </w:pPr>
            <w:r>
              <w:rPr>
                <w:color w:val="auto"/>
              </w:rPr>
              <w:t>t</w:t>
            </w:r>
          </w:p>
        </w:tc>
        <w:tc>
          <w:tcPr>
            <w:tcW w:w="1134" w:type="dxa"/>
            <w:vAlign w:val="center"/>
          </w:tcPr>
          <w:p w14:paraId="026CCD6C">
            <w:pPr>
              <w:pStyle w:val="33"/>
              <w:rPr>
                <w:color w:val="auto"/>
              </w:rPr>
            </w:pPr>
            <w:r>
              <w:rPr>
                <w:color w:val="auto"/>
              </w:rPr>
              <w:t>15000</w:t>
            </w:r>
          </w:p>
        </w:tc>
        <w:tc>
          <w:tcPr>
            <w:tcW w:w="1418" w:type="dxa"/>
            <w:vAlign w:val="center"/>
          </w:tcPr>
          <w:p w14:paraId="23115C76">
            <w:pPr>
              <w:pStyle w:val="33"/>
              <w:rPr>
                <w:color w:val="auto"/>
              </w:rPr>
            </w:pPr>
            <w:r>
              <w:rPr>
                <w:color w:val="auto"/>
              </w:rPr>
              <w:t>22500</w:t>
            </w:r>
          </w:p>
        </w:tc>
        <w:tc>
          <w:tcPr>
            <w:tcW w:w="1134" w:type="dxa"/>
            <w:vAlign w:val="center"/>
          </w:tcPr>
          <w:p w14:paraId="6C14E57F">
            <w:pPr>
              <w:pStyle w:val="33"/>
              <w:rPr>
                <w:color w:val="auto"/>
              </w:rPr>
            </w:pPr>
          </w:p>
        </w:tc>
      </w:tr>
      <w:tr w14:paraId="60305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5899D0A1">
            <w:pPr>
              <w:pStyle w:val="33"/>
              <w:rPr>
                <w:color w:val="auto"/>
              </w:rPr>
            </w:pPr>
            <w:r>
              <w:rPr>
                <w:color w:val="auto"/>
              </w:rPr>
              <w:t>7</w:t>
            </w:r>
          </w:p>
        </w:tc>
        <w:tc>
          <w:tcPr>
            <w:tcW w:w="1560" w:type="dxa"/>
            <w:vAlign w:val="center"/>
          </w:tcPr>
          <w:p w14:paraId="1FE58E3A">
            <w:pPr>
              <w:pStyle w:val="33"/>
              <w:rPr>
                <w:color w:val="auto"/>
              </w:rPr>
            </w:pPr>
            <w:r>
              <w:rPr>
                <w:color w:val="auto"/>
              </w:rPr>
              <w:t>硫酸铝</w:t>
            </w:r>
          </w:p>
        </w:tc>
        <w:tc>
          <w:tcPr>
            <w:tcW w:w="709" w:type="dxa"/>
            <w:vAlign w:val="center"/>
          </w:tcPr>
          <w:p w14:paraId="448E0376">
            <w:pPr>
              <w:pStyle w:val="33"/>
              <w:rPr>
                <w:color w:val="auto"/>
              </w:rPr>
            </w:pPr>
            <w:r>
              <w:rPr>
                <w:color w:val="auto"/>
              </w:rPr>
              <w:t>kg</w:t>
            </w:r>
          </w:p>
        </w:tc>
        <w:tc>
          <w:tcPr>
            <w:tcW w:w="709" w:type="dxa"/>
            <w:vAlign w:val="center"/>
          </w:tcPr>
          <w:p w14:paraId="1727AF25">
            <w:pPr>
              <w:pStyle w:val="33"/>
              <w:rPr>
                <w:color w:val="auto"/>
              </w:rPr>
            </w:pPr>
            <w:r>
              <w:rPr>
                <w:color w:val="auto"/>
              </w:rPr>
              <w:t>30</w:t>
            </w:r>
          </w:p>
        </w:tc>
        <w:tc>
          <w:tcPr>
            <w:tcW w:w="850" w:type="dxa"/>
            <w:vAlign w:val="center"/>
          </w:tcPr>
          <w:p w14:paraId="6876D9C8">
            <w:pPr>
              <w:pStyle w:val="33"/>
              <w:rPr>
                <w:color w:val="auto"/>
              </w:rPr>
            </w:pPr>
            <w:r>
              <w:rPr>
                <w:color w:val="auto"/>
              </w:rPr>
              <w:t>32</w:t>
            </w:r>
          </w:p>
        </w:tc>
        <w:tc>
          <w:tcPr>
            <w:tcW w:w="567" w:type="dxa"/>
            <w:vAlign w:val="center"/>
          </w:tcPr>
          <w:p w14:paraId="328DC877">
            <w:pPr>
              <w:pStyle w:val="33"/>
              <w:rPr>
                <w:color w:val="auto"/>
              </w:rPr>
            </w:pPr>
            <w:r>
              <w:rPr>
                <w:color w:val="auto"/>
              </w:rPr>
              <w:t>t</w:t>
            </w:r>
          </w:p>
        </w:tc>
        <w:tc>
          <w:tcPr>
            <w:tcW w:w="1134" w:type="dxa"/>
            <w:vAlign w:val="center"/>
          </w:tcPr>
          <w:p w14:paraId="04504BE9">
            <w:pPr>
              <w:pStyle w:val="33"/>
              <w:rPr>
                <w:color w:val="auto"/>
              </w:rPr>
            </w:pPr>
            <w:r>
              <w:rPr>
                <w:color w:val="auto"/>
              </w:rPr>
              <w:t>30000</w:t>
            </w:r>
          </w:p>
        </w:tc>
        <w:tc>
          <w:tcPr>
            <w:tcW w:w="1418" w:type="dxa"/>
            <w:vAlign w:val="center"/>
          </w:tcPr>
          <w:p w14:paraId="177CD27C">
            <w:pPr>
              <w:pStyle w:val="33"/>
              <w:rPr>
                <w:color w:val="auto"/>
              </w:rPr>
            </w:pPr>
            <w:r>
              <w:rPr>
                <w:color w:val="auto"/>
              </w:rPr>
              <w:t>48000</w:t>
            </w:r>
          </w:p>
        </w:tc>
        <w:tc>
          <w:tcPr>
            <w:tcW w:w="1134" w:type="dxa"/>
            <w:vAlign w:val="center"/>
          </w:tcPr>
          <w:p w14:paraId="2AA3924D">
            <w:pPr>
              <w:pStyle w:val="33"/>
              <w:rPr>
                <w:color w:val="auto"/>
              </w:rPr>
            </w:pPr>
          </w:p>
        </w:tc>
      </w:tr>
      <w:tr w14:paraId="4269D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3896486A">
            <w:pPr>
              <w:pStyle w:val="33"/>
              <w:rPr>
                <w:color w:val="auto"/>
              </w:rPr>
            </w:pPr>
            <w:r>
              <w:rPr>
                <w:color w:val="auto"/>
              </w:rPr>
              <w:t>8</w:t>
            </w:r>
          </w:p>
        </w:tc>
        <w:tc>
          <w:tcPr>
            <w:tcW w:w="1560" w:type="dxa"/>
            <w:vAlign w:val="center"/>
          </w:tcPr>
          <w:p w14:paraId="7864D79B">
            <w:pPr>
              <w:pStyle w:val="33"/>
              <w:rPr>
                <w:color w:val="auto"/>
              </w:rPr>
            </w:pPr>
            <w:r>
              <w:rPr>
                <w:color w:val="auto"/>
              </w:rPr>
              <w:t>松香</w:t>
            </w:r>
          </w:p>
        </w:tc>
        <w:tc>
          <w:tcPr>
            <w:tcW w:w="709" w:type="dxa"/>
            <w:vAlign w:val="center"/>
          </w:tcPr>
          <w:p w14:paraId="4FB051FD">
            <w:pPr>
              <w:pStyle w:val="33"/>
              <w:rPr>
                <w:color w:val="auto"/>
              </w:rPr>
            </w:pPr>
            <w:r>
              <w:rPr>
                <w:color w:val="auto"/>
              </w:rPr>
              <w:t>kg</w:t>
            </w:r>
          </w:p>
        </w:tc>
        <w:tc>
          <w:tcPr>
            <w:tcW w:w="709" w:type="dxa"/>
            <w:vAlign w:val="center"/>
          </w:tcPr>
          <w:p w14:paraId="3A463A57">
            <w:pPr>
              <w:pStyle w:val="33"/>
              <w:rPr>
                <w:color w:val="auto"/>
              </w:rPr>
            </w:pPr>
            <w:r>
              <w:rPr>
                <w:color w:val="auto"/>
              </w:rPr>
              <w:t>25</w:t>
            </w:r>
          </w:p>
        </w:tc>
        <w:tc>
          <w:tcPr>
            <w:tcW w:w="850" w:type="dxa"/>
            <w:vAlign w:val="center"/>
          </w:tcPr>
          <w:p w14:paraId="3338F6DF">
            <w:pPr>
              <w:pStyle w:val="33"/>
              <w:rPr>
                <w:color w:val="auto"/>
              </w:rPr>
            </w:pPr>
            <w:r>
              <w:rPr>
                <w:color w:val="auto"/>
              </w:rPr>
              <w:t>29</w:t>
            </w:r>
          </w:p>
        </w:tc>
        <w:tc>
          <w:tcPr>
            <w:tcW w:w="567" w:type="dxa"/>
            <w:vAlign w:val="center"/>
          </w:tcPr>
          <w:p w14:paraId="2B6385A1">
            <w:pPr>
              <w:pStyle w:val="33"/>
              <w:rPr>
                <w:color w:val="auto"/>
              </w:rPr>
            </w:pPr>
            <w:r>
              <w:rPr>
                <w:color w:val="auto"/>
              </w:rPr>
              <w:t>t</w:t>
            </w:r>
          </w:p>
        </w:tc>
        <w:tc>
          <w:tcPr>
            <w:tcW w:w="1134" w:type="dxa"/>
            <w:vAlign w:val="center"/>
          </w:tcPr>
          <w:p w14:paraId="240A494E">
            <w:pPr>
              <w:pStyle w:val="33"/>
              <w:rPr>
                <w:color w:val="auto"/>
              </w:rPr>
            </w:pPr>
            <w:r>
              <w:rPr>
                <w:color w:val="auto"/>
              </w:rPr>
              <w:t>25000</w:t>
            </w:r>
          </w:p>
        </w:tc>
        <w:tc>
          <w:tcPr>
            <w:tcW w:w="1418" w:type="dxa"/>
            <w:vAlign w:val="center"/>
          </w:tcPr>
          <w:p w14:paraId="39AB0AAE">
            <w:pPr>
              <w:pStyle w:val="33"/>
              <w:rPr>
                <w:color w:val="auto"/>
              </w:rPr>
            </w:pPr>
            <w:r>
              <w:rPr>
                <w:color w:val="auto"/>
              </w:rPr>
              <w:t>43500</w:t>
            </w:r>
          </w:p>
        </w:tc>
        <w:tc>
          <w:tcPr>
            <w:tcW w:w="1134" w:type="dxa"/>
            <w:vAlign w:val="center"/>
          </w:tcPr>
          <w:p w14:paraId="71C58AC7">
            <w:pPr>
              <w:pStyle w:val="33"/>
              <w:rPr>
                <w:color w:val="auto"/>
              </w:rPr>
            </w:pPr>
          </w:p>
        </w:tc>
      </w:tr>
      <w:tr w14:paraId="5D461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7293E363">
            <w:pPr>
              <w:pStyle w:val="33"/>
              <w:rPr>
                <w:color w:val="auto"/>
              </w:rPr>
            </w:pPr>
            <w:r>
              <w:rPr>
                <w:color w:val="auto"/>
              </w:rPr>
              <w:t>9</w:t>
            </w:r>
          </w:p>
        </w:tc>
        <w:tc>
          <w:tcPr>
            <w:tcW w:w="1560" w:type="dxa"/>
            <w:vAlign w:val="center"/>
          </w:tcPr>
          <w:p w14:paraId="2E87332B">
            <w:pPr>
              <w:pStyle w:val="33"/>
              <w:rPr>
                <w:color w:val="auto"/>
              </w:rPr>
            </w:pPr>
            <w:r>
              <w:rPr>
                <w:color w:val="auto"/>
              </w:rPr>
              <w:t>CMC</w:t>
            </w:r>
            <w:r>
              <w:rPr>
                <w:rFonts w:hint="eastAsia"/>
                <w:color w:val="auto"/>
              </w:rPr>
              <w:t>（羧甲基纤维素钠）</w:t>
            </w:r>
          </w:p>
        </w:tc>
        <w:tc>
          <w:tcPr>
            <w:tcW w:w="709" w:type="dxa"/>
            <w:vAlign w:val="center"/>
          </w:tcPr>
          <w:p w14:paraId="13C2C92C">
            <w:pPr>
              <w:pStyle w:val="33"/>
              <w:rPr>
                <w:color w:val="auto"/>
              </w:rPr>
            </w:pPr>
            <w:r>
              <w:rPr>
                <w:color w:val="auto"/>
              </w:rPr>
              <w:t>kg</w:t>
            </w:r>
          </w:p>
        </w:tc>
        <w:tc>
          <w:tcPr>
            <w:tcW w:w="709" w:type="dxa"/>
            <w:vAlign w:val="center"/>
          </w:tcPr>
          <w:p w14:paraId="32AC5A94">
            <w:pPr>
              <w:pStyle w:val="33"/>
              <w:rPr>
                <w:color w:val="auto"/>
              </w:rPr>
            </w:pPr>
            <w:r>
              <w:rPr>
                <w:color w:val="auto"/>
              </w:rPr>
              <w:t>0.55</w:t>
            </w:r>
          </w:p>
        </w:tc>
        <w:tc>
          <w:tcPr>
            <w:tcW w:w="850" w:type="dxa"/>
            <w:vAlign w:val="center"/>
          </w:tcPr>
          <w:p w14:paraId="191B9F15">
            <w:pPr>
              <w:pStyle w:val="33"/>
              <w:rPr>
                <w:color w:val="auto"/>
              </w:rPr>
            </w:pPr>
            <w:r>
              <w:rPr>
                <w:color w:val="auto"/>
              </w:rPr>
              <w:t>0.55</w:t>
            </w:r>
          </w:p>
        </w:tc>
        <w:tc>
          <w:tcPr>
            <w:tcW w:w="567" w:type="dxa"/>
            <w:vAlign w:val="center"/>
          </w:tcPr>
          <w:p w14:paraId="53B2AEC3">
            <w:pPr>
              <w:pStyle w:val="33"/>
              <w:rPr>
                <w:color w:val="auto"/>
              </w:rPr>
            </w:pPr>
            <w:r>
              <w:rPr>
                <w:color w:val="auto"/>
              </w:rPr>
              <w:t>t</w:t>
            </w:r>
          </w:p>
        </w:tc>
        <w:tc>
          <w:tcPr>
            <w:tcW w:w="1134" w:type="dxa"/>
            <w:vAlign w:val="center"/>
          </w:tcPr>
          <w:p w14:paraId="08E74948">
            <w:pPr>
              <w:pStyle w:val="33"/>
              <w:rPr>
                <w:color w:val="auto"/>
              </w:rPr>
            </w:pPr>
            <w:r>
              <w:rPr>
                <w:color w:val="auto"/>
              </w:rPr>
              <w:t>550</w:t>
            </w:r>
          </w:p>
        </w:tc>
        <w:tc>
          <w:tcPr>
            <w:tcW w:w="1418" w:type="dxa"/>
            <w:vAlign w:val="center"/>
          </w:tcPr>
          <w:p w14:paraId="2BF30BDA">
            <w:pPr>
              <w:pStyle w:val="33"/>
              <w:rPr>
                <w:color w:val="auto"/>
              </w:rPr>
            </w:pPr>
            <w:r>
              <w:rPr>
                <w:color w:val="auto"/>
              </w:rPr>
              <w:t>825</w:t>
            </w:r>
          </w:p>
        </w:tc>
        <w:tc>
          <w:tcPr>
            <w:tcW w:w="1134" w:type="dxa"/>
            <w:vAlign w:val="center"/>
          </w:tcPr>
          <w:p w14:paraId="261A629E">
            <w:pPr>
              <w:pStyle w:val="33"/>
              <w:rPr>
                <w:color w:val="auto"/>
              </w:rPr>
            </w:pPr>
          </w:p>
        </w:tc>
      </w:tr>
      <w:tr w14:paraId="5F9F0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652B61B4">
            <w:pPr>
              <w:pStyle w:val="33"/>
              <w:rPr>
                <w:color w:val="auto"/>
              </w:rPr>
            </w:pPr>
            <w:r>
              <w:rPr>
                <w:color w:val="auto"/>
              </w:rPr>
              <w:t>10</w:t>
            </w:r>
          </w:p>
        </w:tc>
        <w:tc>
          <w:tcPr>
            <w:tcW w:w="1560" w:type="dxa"/>
            <w:vAlign w:val="center"/>
          </w:tcPr>
          <w:p w14:paraId="4C501D57">
            <w:pPr>
              <w:pStyle w:val="33"/>
              <w:rPr>
                <w:color w:val="auto"/>
              </w:rPr>
            </w:pPr>
            <w:r>
              <w:rPr>
                <w:color w:val="auto"/>
              </w:rPr>
              <w:t>消泡剂</w:t>
            </w:r>
          </w:p>
        </w:tc>
        <w:tc>
          <w:tcPr>
            <w:tcW w:w="709" w:type="dxa"/>
            <w:vAlign w:val="center"/>
          </w:tcPr>
          <w:p w14:paraId="38828279">
            <w:pPr>
              <w:pStyle w:val="33"/>
              <w:rPr>
                <w:color w:val="auto"/>
              </w:rPr>
            </w:pPr>
            <w:r>
              <w:rPr>
                <w:color w:val="auto"/>
              </w:rPr>
              <w:t>kg</w:t>
            </w:r>
          </w:p>
        </w:tc>
        <w:tc>
          <w:tcPr>
            <w:tcW w:w="709" w:type="dxa"/>
            <w:vAlign w:val="center"/>
          </w:tcPr>
          <w:p w14:paraId="01D43D11">
            <w:pPr>
              <w:pStyle w:val="33"/>
              <w:rPr>
                <w:color w:val="auto"/>
              </w:rPr>
            </w:pPr>
            <w:r>
              <w:rPr>
                <w:color w:val="auto"/>
              </w:rPr>
              <w:t>0.25</w:t>
            </w:r>
          </w:p>
        </w:tc>
        <w:tc>
          <w:tcPr>
            <w:tcW w:w="850" w:type="dxa"/>
            <w:vAlign w:val="center"/>
          </w:tcPr>
          <w:p w14:paraId="4637783D">
            <w:pPr>
              <w:pStyle w:val="33"/>
              <w:rPr>
                <w:color w:val="auto"/>
              </w:rPr>
            </w:pPr>
            <w:r>
              <w:rPr>
                <w:color w:val="auto"/>
              </w:rPr>
              <w:t>0.42</w:t>
            </w:r>
          </w:p>
        </w:tc>
        <w:tc>
          <w:tcPr>
            <w:tcW w:w="567" w:type="dxa"/>
            <w:vAlign w:val="center"/>
          </w:tcPr>
          <w:p w14:paraId="590C8571">
            <w:pPr>
              <w:pStyle w:val="33"/>
              <w:rPr>
                <w:color w:val="auto"/>
              </w:rPr>
            </w:pPr>
            <w:r>
              <w:rPr>
                <w:color w:val="auto"/>
              </w:rPr>
              <w:t>t</w:t>
            </w:r>
          </w:p>
        </w:tc>
        <w:tc>
          <w:tcPr>
            <w:tcW w:w="1134" w:type="dxa"/>
            <w:vAlign w:val="center"/>
          </w:tcPr>
          <w:p w14:paraId="50682341">
            <w:pPr>
              <w:pStyle w:val="33"/>
              <w:rPr>
                <w:color w:val="auto"/>
              </w:rPr>
            </w:pPr>
            <w:r>
              <w:rPr>
                <w:color w:val="auto"/>
              </w:rPr>
              <w:t>250</w:t>
            </w:r>
          </w:p>
        </w:tc>
        <w:tc>
          <w:tcPr>
            <w:tcW w:w="1418" w:type="dxa"/>
            <w:vAlign w:val="center"/>
          </w:tcPr>
          <w:p w14:paraId="461D6156">
            <w:pPr>
              <w:pStyle w:val="33"/>
              <w:rPr>
                <w:color w:val="auto"/>
              </w:rPr>
            </w:pPr>
            <w:r>
              <w:rPr>
                <w:color w:val="auto"/>
              </w:rPr>
              <w:t>630</w:t>
            </w:r>
          </w:p>
        </w:tc>
        <w:tc>
          <w:tcPr>
            <w:tcW w:w="1134" w:type="dxa"/>
            <w:vAlign w:val="center"/>
          </w:tcPr>
          <w:p w14:paraId="702BE938">
            <w:pPr>
              <w:pStyle w:val="33"/>
              <w:rPr>
                <w:color w:val="auto"/>
              </w:rPr>
            </w:pPr>
          </w:p>
        </w:tc>
      </w:tr>
      <w:tr w14:paraId="7F7D4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72C55709">
            <w:pPr>
              <w:pStyle w:val="33"/>
              <w:rPr>
                <w:color w:val="auto"/>
              </w:rPr>
            </w:pPr>
            <w:r>
              <w:rPr>
                <w:color w:val="auto"/>
              </w:rPr>
              <w:t>11</w:t>
            </w:r>
          </w:p>
        </w:tc>
        <w:tc>
          <w:tcPr>
            <w:tcW w:w="1560" w:type="dxa"/>
            <w:vAlign w:val="center"/>
          </w:tcPr>
          <w:p w14:paraId="17A8E843">
            <w:pPr>
              <w:pStyle w:val="33"/>
              <w:rPr>
                <w:color w:val="auto"/>
              </w:rPr>
            </w:pPr>
            <w:r>
              <w:rPr>
                <w:color w:val="auto"/>
              </w:rPr>
              <w:t>润滑剂</w:t>
            </w:r>
          </w:p>
        </w:tc>
        <w:tc>
          <w:tcPr>
            <w:tcW w:w="709" w:type="dxa"/>
            <w:vAlign w:val="center"/>
          </w:tcPr>
          <w:p w14:paraId="45E30CB5">
            <w:pPr>
              <w:pStyle w:val="33"/>
              <w:rPr>
                <w:color w:val="auto"/>
              </w:rPr>
            </w:pPr>
            <w:r>
              <w:rPr>
                <w:color w:val="auto"/>
              </w:rPr>
              <w:t>kg</w:t>
            </w:r>
          </w:p>
        </w:tc>
        <w:tc>
          <w:tcPr>
            <w:tcW w:w="709" w:type="dxa"/>
            <w:vAlign w:val="center"/>
          </w:tcPr>
          <w:p w14:paraId="326B68B3">
            <w:pPr>
              <w:pStyle w:val="33"/>
              <w:rPr>
                <w:color w:val="auto"/>
              </w:rPr>
            </w:pPr>
            <w:r>
              <w:rPr>
                <w:color w:val="auto"/>
              </w:rPr>
              <w:t>0.95</w:t>
            </w:r>
          </w:p>
        </w:tc>
        <w:tc>
          <w:tcPr>
            <w:tcW w:w="850" w:type="dxa"/>
            <w:vAlign w:val="center"/>
          </w:tcPr>
          <w:p w14:paraId="5D9C78E9">
            <w:pPr>
              <w:pStyle w:val="33"/>
              <w:rPr>
                <w:color w:val="auto"/>
              </w:rPr>
            </w:pPr>
            <w:r>
              <w:rPr>
                <w:color w:val="auto"/>
              </w:rPr>
              <w:t>0.64</w:t>
            </w:r>
          </w:p>
        </w:tc>
        <w:tc>
          <w:tcPr>
            <w:tcW w:w="567" w:type="dxa"/>
            <w:vAlign w:val="center"/>
          </w:tcPr>
          <w:p w14:paraId="56D77356">
            <w:pPr>
              <w:pStyle w:val="33"/>
              <w:rPr>
                <w:color w:val="auto"/>
              </w:rPr>
            </w:pPr>
            <w:r>
              <w:rPr>
                <w:color w:val="auto"/>
              </w:rPr>
              <w:t>t</w:t>
            </w:r>
          </w:p>
        </w:tc>
        <w:tc>
          <w:tcPr>
            <w:tcW w:w="1134" w:type="dxa"/>
            <w:vAlign w:val="center"/>
          </w:tcPr>
          <w:p w14:paraId="22708B47">
            <w:pPr>
              <w:pStyle w:val="33"/>
              <w:rPr>
                <w:color w:val="auto"/>
              </w:rPr>
            </w:pPr>
            <w:r>
              <w:rPr>
                <w:color w:val="auto"/>
              </w:rPr>
              <w:t>950</w:t>
            </w:r>
          </w:p>
        </w:tc>
        <w:tc>
          <w:tcPr>
            <w:tcW w:w="1418" w:type="dxa"/>
            <w:vAlign w:val="center"/>
          </w:tcPr>
          <w:p w14:paraId="529BDEE2">
            <w:pPr>
              <w:pStyle w:val="33"/>
              <w:rPr>
                <w:color w:val="auto"/>
              </w:rPr>
            </w:pPr>
            <w:r>
              <w:rPr>
                <w:color w:val="auto"/>
              </w:rPr>
              <w:t>960</w:t>
            </w:r>
          </w:p>
        </w:tc>
        <w:tc>
          <w:tcPr>
            <w:tcW w:w="1134" w:type="dxa"/>
            <w:vAlign w:val="center"/>
          </w:tcPr>
          <w:p w14:paraId="40C277DE">
            <w:pPr>
              <w:pStyle w:val="33"/>
              <w:rPr>
                <w:color w:val="auto"/>
              </w:rPr>
            </w:pPr>
          </w:p>
        </w:tc>
      </w:tr>
      <w:tr w14:paraId="5E77C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04C55A45">
            <w:pPr>
              <w:pStyle w:val="33"/>
              <w:rPr>
                <w:color w:val="auto"/>
              </w:rPr>
            </w:pPr>
            <w:r>
              <w:rPr>
                <w:color w:val="auto"/>
              </w:rPr>
              <w:t>12</w:t>
            </w:r>
          </w:p>
        </w:tc>
        <w:tc>
          <w:tcPr>
            <w:tcW w:w="1560" w:type="dxa"/>
            <w:vAlign w:val="center"/>
          </w:tcPr>
          <w:p w14:paraId="2224BF8B">
            <w:pPr>
              <w:pStyle w:val="33"/>
              <w:rPr>
                <w:color w:val="auto"/>
              </w:rPr>
            </w:pPr>
            <w:r>
              <w:rPr>
                <w:color w:val="auto"/>
              </w:rPr>
              <w:t>湿强剂</w:t>
            </w:r>
          </w:p>
        </w:tc>
        <w:tc>
          <w:tcPr>
            <w:tcW w:w="709" w:type="dxa"/>
            <w:vAlign w:val="center"/>
          </w:tcPr>
          <w:p w14:paraId="76D4ECFE">
            <w:pPr>
              <w:pStyle w:val="33"/>
              <w:rPr>
                <w:color w:val="auto"/>
              </w:rPr>
            </w:pPr>
            <w:r>
              <w:rPr>
                <w:color w:val="auto"/>
              </w:rPr>
              <w:t>kg</w:t>
            </w:r>
          </w:p>
        </w:tc>
        <w:tc>
          <w:tcPr>
            <w:tcW w:w="709" w:type="dxa"/>
            <w:vAlign w:val="center"/>
          </w:tcPr>
          <w:p w14:paraId="6194C0A3">
            <w:pPr>
              <w:pStyle w:val="33"/>
              <w:rPr>
                <w:color w:val="auto"/>
              </w:rPr>
            </w:pPr>
            <w:r>
              <w:rPr>
                <w:color w:val="auto"/>
              </w:rPr>
              <w:t>0.6</w:t>
            </w:r>
          </w:p>
        </w:tc>
        <w:tc>
          <w:tcPr>
            <w:tcW w:w="850" w:type="dxa"/>
            <w:vAlign w:val="center"/>
          </w:tcPr>
          <w:p w14:paraId="22AF0A81">
            <w:pPr>
              <w:pStyle w:val="33"/>
              <w:rPr>
                <w:color w:val="auto"/>
              </w:rPr>
            </w:pPr>
            <w:r>
              <w:rPr>
                <w:color w:val="auto"/>
              </w:rPr>
              <w:t>0.6</w:t>
            </w:r>
          </w:p>
        </w:tc>
        <w:tc>
          <w:tcPr>
            <w:tcW w:w="567" w:type="dxa"/>
            <w:vAlign w:val="center"/>
          </w:tcPr>
          <w:p w14:paraId="3032AFCF">
            <w:pPr>
              <w:pStyle w:val="33"/>
              <w:rPr>
                <w:color w:val="auto"/>
              </w:rPr>
            </w:pPr>
            <w:r>
              <w:rPr>
                <w:color w:val="auto"/>
              </w:rPr>
              <w:t>t</w:t>
            </w:r>
          </w:p>
        </w:tc>
        <w:tc>
          <w:tcPr>
            <w:tcW w:w="1134" w:type="dxa"/>
            <w:vAlign w:val="center"/>
          </w:tcPr>
          <w:p w14:paraId="238F73D7">
            <w:pPr>
              <w:pStyle w:val="33"/>
              <w:rPr>
                <w:color w:val="auto"/>
              </w:rPr>
            </w:pPr>
            <w:r>
              <w:rPr>
                <w:color w:val="auto"/>
              </w:rPr>
              <w:t>600</w:t>
            </w:r>
          </w:p>
        </w:tc>
        <w:tc>
          <w:tcPr>
            <w:tcW w:w="1418" w:type="dxa"/>
            <w:vAlign w:val="center"/>
          </w:tcPr>
          <w:p w14:paraId="515BB833">
            <w:pPr>
              <w:pStyle w:val="33"/>
              <w:rPr>
                <w:color w:val="auto"/>
              </w:rPr>
            </w:pPr>
            <w:r>
              <w:rPr>
                <w:color w:val="auto"/>
              </w:rPr>
              <w:t>900</w:t>
            </w:r>
          </w:p>
        </w:tc>
        <w:tc>
          <w:tcPr>
            <w:tcW w:w="1134" w:type="dxa"/>
            <w:vAlign w:val="center"/>
          </w:tcPr>
          <w:p w14:paraId="46B6661A">
            <w:pPr>
              <w:pStyle w:val="33"/>
              <w:rPr>
                <w:color w:val="auto"/>
              </w:rPr>
            </w:pPr>
          </w:p>
        </w:tc>
      </w:tr>
      <w:tr w14:paraId="4D70A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1" w:hRule="atLeast"/>
          <w:jc w:val="center"/>
        </w:trPr>
        <w:tc>
          <w:tcPr>
            <w:tcW w:w="703" w:type="dxa"/>
            <w:vAlign w:val="center"/>
          </w:tcPr>
          <w:p w14:paraId="34A69FB8">
            <w:pPr>
              <w:pStyle w:val="33"/>
              <w:rPr>
                <w:color w:val="auto"/>
              </w:rPr>
            </w:pPr>
            <w:r>
              <w:rPr>
                <w:color w:val="auto"/>
              </w:rPr>
              <w:t>13</w:t>
            </w:r>
          </w:p>
        </w:tc>
        <w:tc>
          <w:tcPr>
            <w:tcW w:w="1560" w:type="dxa"/>
            <w:vAlign w:val="center"/>
          </w:tcPr>
          <w:p w14:paraId="774A2604">
            <w:pPr>
              <w:pStyle w:val="33"/>
              <w:rPr>
                <w:color w:val="auto"/>
              </w:rPr>
            </w:pPr>
            <w:r>
              <w:rPr>
                <w:color w:val="auto"/>
              </w:rPr>
              <w:t>分散剂</w:t>
            </w:r>
          </w:p>
        </w:tc>
        <w:tc>
          <w:tcPr>
            <w:tcW w:w="709" w:type="dxa"/>
            <w:vAlign w:val="center"/>
          </w:tcPr>
          <w:p w14:paraId="72A14EED">
            <w:pPr>
              <w:pStyle w:val="33"/>
              <w:rPr>
                <w:color w:val="auto"/>
              </w:rPr>
            </w:pPr>
            <w:r>
              <w:rPr>
                <w:color w:val="auto"/>
              </w:rPr>
              <w:t>kg</w:t>
            </w:r>
          </w:p>
        </w:tc>
        <w:tc>
          <w:tcPr>
            <w:tcW w:w="709" w:type="dxa"/>
            <w:vAlign w:val="center"/>
          </w:tcPr>
          <w:p w14:paraId="315DD475">
            <w:pPr>
              <w:pStyle w:val="33"/>
              <w:rPr>
                <w:color w:val="auto"/>
              </w:rPr>
            </w:pPr>
            <w:r>
              <w:rPr>
                <w:color w:val="auto"/>
              </w:rPr>
              <w:t>0.53</w:t>
            </w:r>
          </w:p>
        </w:tc>
        <w:tc>
          <w:tcPr>
            <w:tcW w:w="850" w:type="dxa"/>
            <w:vAlign w:val="center"/>
          </w:tcPr>
          <w:p w14:paraId="77AC57CE">
            <w:pPr>
              <w:pStyle w:val="33"/>
              <w:rPr>
                <w:color w:val="auto"/>
              </w:rPr>
            </w:pPr>
            <w:r>
              <w:rPr>
                <w:color w:val="auto"/>
              </w:rPr>
              <w:t>0.53</w:t>
            </w:r>
          </w:p>
        </w:tc>
        <w:tc>
          <w:tcPr>
            <w:tcW w:w="567" w:type="dxa"/>
            <w:vAlign w:val="center"/>
          </w:tcPr>
          <w:p w14:paraId="29B168BB">
            <w:pPr>
              <w:pStyle w:val="33"/>
              <w:rPr>
                <w:color w:val="auto"/>
              </w:rPr>
            </w:pPr>
            <w:r>
              <w:rPr>
                <w:color w:val="auto"/>
              </w:rPr>
              <w:t>t</w:t>
            </w:r>
          </w:p>
        </w:tc>
        <w:tc>
          <w:tcPr>
            <w:tcW w:w="1134" w:type="dxa"/>
            <w:vAlign w:val="center"/>
          </w:tcPr>
          <w:p w14:paraId="160BA12F">
            <w:pPr>
              <w:pStyle w:val="33"/>
              <w:rPr>
                <w:color w:val="auto"/>
              </w:rPr>
            </w:pPr>
            <w:r>
              <w:rPr>
                <w:color w:val="auto"/>
              </w:rPr>
              <w:t>530</w:t>
            </w:r>
          </w:p>
        </w:tc>
        <w:tc>
          <w:tcPr>
            <w:tcW w:w="1418" w:type="dxa"/>
            <w:vAlign w:val="center"/>
          </w:tcPr>
          <w:p w14:paraId="573333FB">
            <w:pPr>
              <w:pStyle w:val="33"/>
              <w:rPr>
                <w:color w:val="auto"/>
              </w:rPr>
            </w:pPr>
            <w:r>
              <w:rPr>
                <w:color w:val="auto"/>
              </w:rPr>
              <w:t>795</w:t>
            </w:r>
          </w:p>
        </w:tc>
        <w:tc>
          <w:tcPr>
            <w:tcW w:w="1134" w:type="dxa"/>
            <w:vAlign w:val="center"/>
          </w:tcPr>
          <w:p w14:paraId="625E0EF4">
            <w:pPr>
              <w:pStyle w:val="33"/>
              <w:rPr>
                <w:color w:val="auto"/>
              </w:rPr>
            </w:pPr>
          </w:p>
        </w:tc>
      </w:tr>
      <w:tr w14:paraId="7E556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74CEE8DF">
            <w:pPr>
              <w:pStyle w:val="33"/>
              <w:rPr>
                <w:color w:val="auto"/>
              </w:rPr>
            </w:pPr>
            <w:r>
              <w:rPr>
                <w:color w:val="auto"/>
              </w:rPr>
              <w:t>14</w:t>
            </w:r>
          </w:p>
        </w:tc>
        <w:tc>
          <w:tcPr>
            <w:tcW w:w="1560" w:type="dxa"/>
            <w:vAlign w:val="center"/>
          </w:tcPr>
          <w:p w14:paraId="40C8AF8B">
            <w:pPr>
              <w:pStyle w:val="33"/>
              <w:rPr>
                <w:color w:val="auto"/>
              </w:rPr>
            </w:pPr>
            <w:r>
              <w:rPr>
                <w:color w:val="auto"/>
              </w:rPr>
              <w:t>氢氧化钠</w:t>
            </w:r>
          </w:p>
        </w:tc>
        <w:tc>
          <w:tcPr>
            <w:tcW w:w="709" w:type="dxa"/>
            <w:vAlign w:val="center"/>
          </w:tcPr>
          <w:p w14:paraId="6E033D23">
            <w:pPr>
              <w:pStyle w:val="33"/>
              <w:rPr>
                <w:color w:val="auto"/>
              </w:rPr>
            </w:pPr>
            <w:r>
              <w:rPr>
                <w:color w:val="auto"/>
              </w:rPr>
              <w:t>kg</w:t>
            </w:r>
          </w:p>
        </w:tc>
        <w:tc>
          <w:tcPr>
            <w:tcW w:w="709" w:type="dxa"/>
            <w:vAlign w:val="center"/>
          </w:tcPr>
          <w:p w14:paraId="0D4D5929">
            <w:pPr>
              <w:pStyle w:val="33"/>
              <w:rPr>
                <w:color w:val="auto"/>
              </w:rPr>
            </w:pPr>
            <w:r>
              <w:rPr>
                <w:color w:val="auto"/>
              </w:rPr>
              <w:t>0.2</w:t>
            </w:r>
          </w:p>
        </w:tc>
        <w:tc>
          <w:tcPr>
            <w:tcW w:w="850" w:type="dxa"/>
            <w:vAlign w:val="center"/>
          </w:tcPr>
          <w:p w14:paraId="6B622DAB">
            <w:pPr>
              <w:pStyle w:val="33"/>
              <w:rPr>
                <w:color w:val="auto"/>
              </w:rPr>
            </w:pPr>
            <w:r>
              <w:rPr>
                <w:color w:val="auto"/>
              </w:rPr>
              <w:t>0.62</w:t>
            </w:r>
          </w:p>
        </w:tc>
        <w:tc>
          <w:tcPr>
            <w:tcW w:w="567" w:type="dxa"/>
            <w:vAlign w:val="center"/>
          </w:tcPr>
          <w:p w14:paraId="307EE6AB">
            <w:pPr>
              <w:pStyle w:val="33"/>
              <w:rPr>
                <w:color w:val="auto"/>
              </w:rPr>
            </w:pPr>
            <w:r>
              <w:rPr>
                <w:color w:val="auto"/>
              </w:rPr>
              <w:t>t</w:t>
            </w:r>
          </w:p>
        </w:tc>
        <w:tc>
          <w:tcPr>
            <w:tcW w:w="1134" w:type="dxa"/>
            <w:vAlign w:val="center"/>
          </w:tcPr>
          <w:p w14:paraId="0F63F72E">
            <w:pPr>
              <w:pStyle w:val="33"/>
              <w:rPr>
                <w:color w:val="auto"/>
              </w:rPr>
            </w:pPr>
            <w:r>
              <w:rPr>
                <w:color w:val="auto"/>
              </w:rPr>
              <w:t>200</w:t>
            </w:r>
          </w:p>
        </w:tc>
        <w:tc>
          <w:tcPr>
            <w:tcW w:w="1418" w:type="dxa"/>
            <w:vAlign w:val="center"/>
          </w:tcPr>
          <w:p w14:paraId="090E5703">
            <w:pPr>
              <w:pStyle w:val="33"/>
              <w:rPr>
                <w:color w:val="auto"/>
              </w:rPr>
            </w:pPr>
            <w:r>
              <w:rPr>
                <w:color w:val="auto"/>
              </w:rPr>
              <w:t>930</w:t>
            </w:r>
          </w:p>
        </w:tc>
        <w:tc>
          <w:tcPr>
            <w:tcW w:w="1134" w:type="dxa"/>
            <w:vAlign w:val="center"/>
          </w:tcPr>
          <w:p w14:paraId="062CC384">
            <w:pPr>
              <w:pStyle w:val="33"/>
              <w:rPr>
                <w:color w:val="auto"/>
              </w:rPr>
            </w:pPr>
          </w:p>
        </w:tc>
      </w:tr>
      <w:tr w14:paraId="164D6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2D3655E1">
            <w:pPr>
              <w:pStyle w:val="33"/>
              <w:rPr>
                <w:color w:val="auto"/>
              </w:rPr>
            </w:pPr>
            <w:r>
              <w:rPr>
                <w:color w:val="auto"/>
              </w:rPr>
              <w:t>15</w:t>
            </w:r>
          </w:p>
        </w:tc>
        <w:tc>
          <w:tcPr>
            <w:tcW w:w="1560" w:type="dxa"/>
            <w:vAlign w:val="center"/>
          </w:tcPr>
          <w:p w14:paraId="188970C8">
            <w:pPr>
              <w:pStyle w:val="33"/>
              <w:rPr>
                <w:color w:val="auto"/>
              </w:rPr>
            </w:pPr>
            <w:r>
              <w:rPr>
                <w:color w:val="auto"/>
              </w:rPr>
              <w:t>助留剂</w:t>
            </w:r>
          </w:p>
        </w:tc>
        <w:tc>
          <w:tcPr>
            <w:tcW w:w="709" w:type="dxa"/>
            <w:vAlign w:val="center"/>
          </w:tcPr>
          <w:p w14:paraId="6BB86C8A">
            <w:pPr>
              <w:pStyle w:val="33"/>
              <w:rPr>
                <w:color w:val="auto"/>
              </w:rPr>
            </w:pPr>
            <w:r>
              <w:rPr>
                <w:color w:val="auto"/>
              </w:rPr>
              <w:t>kg</w:t>
            </w:r>
          </w:p>
        </w:tc>
        <w:tc>
          <w:tcPr>
            <w:tcW w:w="709" w:type="dxa"/>
            <w:vAlign w:val="center"/>
          </w:tcPr>
          <w:p w14:paraId="1D28D9B4">
            <w:pPr>
              <w:pStyle w:val="33"/>
              <w:rPr>
                <w:color w:val="auto"/>
              </w:rPr>
            </w:pPr>
            <w:r>
              <w:rPr>
                <w:color w:val="auto"/>
              </w:rPr>
              <w:t>0.5</w:t>
            </w:r>
          </w:p>
        </w:tc>
        <w:tc>
          <w:tcPr>
            <w:tcW w:w="850" w:type="dxa"/>
            <w:vAlign w:val="center"/>
          </w:tcPr>
          <w:p w14:paraId="433493B3">
            <w:pPr>
              <w:pStyle w:val="33"/>
              <w:rPr>
                <w:color w:val="auto"/>
              </w:rPr>
            </w:pPr>
            <w:r>
              <w:rPr>
                <w:color w:val="auto"/>
              </w:rPr>
              <w:t>2.08</w:t>
            </w:r>
          </w:p>
        </w:tc>
        <w:tc>
          <w:tcPr>
            <w:tcW w:w="567" w:type="dxa"/>
            <w:vAlign w:val="center"/>
          </w:tcPr>
          <w:p w14:paraId="5313148A">
            <w:pPr>
              <w:pStyle w:val="33"/>
              <w:rPr>
                <w:color w:val="auto"/>
              </w:rPr>
            </w:pPr>
            <w:r>
              <w:rPr>
                <w:color w:val="auto"/>
              </w:rPr>
              <w:t>t</w:t>
            </w:r>
          </w:p>
        </w:tc>
        <w:tc>
          <w:tcPr>
            <w:tcW w:w="1134" w:type="dxa"/>
            <w:vAlign w:val="center"/>
          </w:tcPr>
          <w:p w14:paraId="1E07DC29">
            <w:pPr>
              <w:pStyle w:val="33"/>
              <w:rPr>
                <w:color w:val="auto"/>
              </w:rPr>
            </w:pPr>
            <w:r>
              <w:rPr>
                <w:color w:val="auto"/>
              </w:rPr>
              <w:t>500</w:t>
            </w:r>
          </w:p>
        </w:tc>
        <w:tc>
          <w:tcPr>
            <w:tcW w:w="1418" w:type="dxa"/>
            <w:vAlign w:val="center"/>
          </w:tcPr>
          <w:p w14:paraId="2E95C532">
            <w:pPr>
              <w:pStyle w:val="33"/>
              <w:rPr>
                <w:color w:val="auto"/>
              </w:rPr>
            </w:pPr>
            <w:r>
              <w:rPr>
                <w:color w:val="auto"/>
              </w:rPr>
              <w:t>3120</w:t>
            </w:r>
          </w:p>
        </w:tc>
        <w:tc>
          <w:tcPr>
            <w:tcW w:w="1134" w:type="dxa"/>
            <w:vAlign w:val="center"/>
          </w:tcPr>
          <w:p w14:paraId="42BAE0C3">
            <w:pPr>
              <w:pStyle w:val="33"/>
              <w:rPr>
                <w:color w:val="auto"/>
              </w:rPr>
            </w:pPr>
          </w:p>
        </w:tc>
      </w:tr>
      <w:tr w14:paraId="5D57E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3" w:type="dxa"/>
            <w:vAlign w:val="center"/>
          </w:tcPr>
          <w:p w14:paraId="3318BBB0">
            <w:pPr>
              <w:pStyle w:val="33"/>
              <w:rPr>
                <w:color w:val="auto"/>
              </w:rPr>
            </w:pPr>
            <w:r>
              <w:rPr>
                <w:color w:val="auto"/>
              </w:rPr>
              <w:t>三</w:t>
            </w:r>
          </w:p>
        </w:tc>
        <w:tc>
          <w:tcPr>
            <w:tcW w:w="1560" w:type="dxa"/>
            <w:vAlign w:val="center"/>
          </w:tcPr>
          <w:p w14:paraId="56E51A50">
            <w:pPr>
              <w:pStyle w:val="33"/>
              <w:rPr>
                <w:color w:val="auto"/>
              </w:rPr>
            </w:pPr>
            <w:r>
              <w:rPr>
                <w:color w:val="auto"/>
              </w:rPr>
              <w:t>耗材</w:t>
            </w:r>
          </w:p>
        </w:tc>
        <w:tc>
          <w:tcPr>
            <w:tcW w:w="709" w:type="dxa"/>
            <w:vAlign w:val="center"/>
          </w:tcPr>
          <w:p w14:paraId="2E2F64ED">
            <w:pPr>
              <w:pStyle w:val="33"/>
              <w:rPr>
                <w:color w:val="auto"/>
              </w:rPr>
            </w:pPr>
          </w:p>
        </w:tc>
        <w:tc>
          <w:tcPr>
            <w:tcW w:w="709" w:type="dxa"/>
            <w:vAlign w:val="center"/>
          </w:tcPr>
          <w:p w14:paraId="6B3FA738">
            <w:pPr>
              <w:pStyle w:val="33"/>
              <w:rPr>
                <w:color w:val="auto"/>
              </w:rPr>
            </w:pPr>
          </w:p>
        </w:tc>
        <w:tc>
          <w:tcPr>
            <w:tcW w:w="850" w:type="dxa"/>
            <w:vAlign w:val="center"/>
          </w:tcPr>
          <w:p w14:paraId="03FF085B">
            <w:pPr>
              <w:pStyle w:val="33"/>
              <w:rPr>
                <w:color w:val="auto"/>
              </w:rPr>
            </w:pPr>
          </w:p>
        </w:tc>
        <w:tc>
          <w:tcPr>
            <w:tcW w:w="567" w:type="dxa"/>
            <w:vAlign w:val="center"/>
          </w:tcPr>
          <w:p w14:paraId="69F04C05">
            <w:pPr>
              <w:pStyle w:val="33"/>
              <w:rPr>
                <w:color w:val="auto"/>
              </w:rPr>
            </w:pPr>
          </w:p>
        </w:tc>
        <w:tc>
          <w:tcPr>
            <w:tcW w:w="1134" w:type="dxa"/>
            <w:vAlign w:val="center"/>
          </w:tcPr>
          <w:p w14:paraId="42A1482A">
            <w:pPr>
              <w:pStyle w:val="33"/>
              <w:rPr>
                <w:color w:val="auto"/>
              </w:rPr>
            </w:pPr>
          </w:p>
        </w:tc>
        <w:tc>
          <w:tcPr>
            <w:tcW w:w="1418" w:type="dxa"/>
            <w:vAlign w:val="center"/>
          </w:tcPr>
          <w:p w14:paraId="405A3FC3">
            <w:pPr>
              <w:pStyle w:val="33"/>
              <w:rPr>
                <w:color w:val="auto"/>
              </w:rPr>
            </w:pPr>
          </w:p>
        </w:tc>
        <w:tc>
          <w:tcPr>
            <w:tcW w:w="1134" w:type="dxa"/>
            <w:vAlign w:val="center"/>
          </w:tcPr>
          <w:p w14:paraId="614CE0C6">
            <w:pPr>
              <w:pStyle w:val="33"/>
              <w:rPr>
                <w:color w:val="auto"/>
              </w:rPr>
            </w:pPr>
          </w:p>
        </w:tc>
      </w:tr>
      <w:tr w14:paraId="6800D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0B78100">
            <w:pPr>
              <w:pStyle w:val="33"/>
              <w:rPr>
                <w:color w:val="auto"/>
              </w:rPr>
            </w:pPr>
            <w:r>
              <w:rPr>
                <w:color w:val="auto"/>
              </w:rPr>
              <w:t>1</w:t>
            </w:r>
          </w:p>
        </w:tc>
        <w:tc>
          <w:tcPr>
            <w:tcW w:w="1560" w:type="dxa"/>
            <w:vAlign w:val="center"/>
          </w:tcPr>
          <w:p w14:paraId="6ADC8F6D">
            <w:pPr>
              <w:pStyle w:val="33"/>
              <w:rPr>
                <w:color w:val="auto"/>
              </w:rPr>
            </w:pPr>
            <w:r>
              <w:rPr>
                <w:color w:val="auto"/>
              </w:rPr>
              <w:t>包装纸</w:t>
            </w:r>
          </w:p>
        </w:tc>
        <w:tc>
          <w:tcPr>
            <w:tcW w:w="709" w:type="dxa"/>
            <w:vAlign w:val="center"/>
          </w:tcPr>
          <w:p w14:paraId="2A772BCE">
            <w:pPr>
              <w:pStyle w:val="33"/>
              <w:rPr>
                <w:color w:val="auto"/>
              </w:rPr>
            </w:pPr>
            <w:r>
              <w:rPr>
                <w:color w:val="auto"/>
              </w:rPr>
              <w:t>kg</w:t>
            </w:r>
          </w:p>
        </w:tc>
        <w:tc>
          <w:tcPr>
            <w:tcW w:w="709" w:type="dxa"/>
            <w:vAlign w:val="center"/>
          </w:tcPr>
          <w:p w14:paraId="38D84432">
            <w:pPr>
              <w:pStyle w:val="33"/>
              <w:rPr>
                <w:color w:val="auto"/>
              </w:rPr>
            </w:pPr>
            <w:r>
              <w:rPr>
                <w:color w:val="auto"/>
              </w:rPr>
              <w:t>5</w:t>
            </w:r>
          </w:p>
        </w:tc>
        <w:tc>
          <w:tcPr>
            <w:tcW w:w="850" w:type="dxa"/>
            <w:vAlign w:val="center"/>
          </w:tcPr>
          <w:p w14:paraId="5BBCFB25">
            <w:pPr>
              <w:pStyle w:val="33"/>
              <w:rPr>
                <w:color w:val="auto"/>
              </w:rPr>
            </w:pPr>
            <w:r>
              <w:rPr>
                <w:color w:val="auto"/>
              </w:rPr>
              <w:t>5</w:t>
            </w:r>
          </w:p>
        </w:tc>
        <w:tc>
          <w:tcPr>
            <w:tcW w:w="567" w:type="dxa"/>
            <w:vAlign w:val="center"/>
          </w:tcPr>
          <w:p w14:paraId="7BFB9121">
            <w:pPr>
              <w:pStyle w:val="33"/>
              <w:rPr>
                <w:color w:val="auto"/>
              </w:rPr>
            </w:pPr>
            <w:r>
              <w:rPr>
                <w:color w:val="auto"/>
              </w:rPr>
              <w:t>t</w:t>
            </w:r>
          </w:p>
        </w:tc>
        <w:tc>
          <w:tcPr>
            <w:tcW w:w="1134" w:type="dxa"/>
            <w:vAlign w:val="center"/>
          </w:tcPr>
          <w:p w14:paraId="7CFBA542">
            <w:pPr>
              <w:pStyle w:val="33"/>
              <w:rPr>
                <w:color w:val="auto"/>
              </w:rPr>
            </w:pPr>
            <w:r>
              <w:rPr>
                <w:color w:val="auto"/>
              </w:rPr>
              <w:t>5000</w:t>
            </w:r>
          </w:p>
        </w:tc>
        <w:tc>
          <w:tcPr>
            <w:tcW w:w="1418" w:type="dxa"/>
            <w:vAlign w:val="center"/>
          </w:tcPr>
          <w:p w14:paraId="5CFFC1FF">
            <w:pPr>
              <w:pStyle w:val="33"/>
              <w:rPr>
                <w:color w:val="auto"/>
              </w:rPr>
            </w:pPr>
            <w:r>
              <w:rPr>
                <w:color w:val="auto"/>
              </w:rPr>
              <w:t>7500</w:t>
            </w:r>
          </w:p>
        </w:tc>
        <w:tc>
          <w:tcPr>
            <w:tcW w:w="1134" w:type="dxa"/>
            <w:vAlign w:val="center"/>
          </w:tcPr>
          <w:p w14:paraId="5AC23890">
            <w:pPr>
              <w:pStyle w:val="33"/>
              <w:rPr>
                <w:color w:val="auto"/>
              </w:rPr>
            </w:pPr>
          </w:p>
        </w:tc>
      </w:tr>
      <w:tr w14:paraId="4A149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04988B7C">
            <w:pPr>
              <w:pStyle w:val="33"/>
              <w:rPr>
                <w:color w:val="auto"/>
              </w:rPr>
            </w:pPr>
            <w:r>
              <w:rPr>
                <w:color w:val="auto"/>
              </w:rPr>
              <w:t>2</w:t>
            </w:r>
          </w:p>
        </w:tc>
        <w:tc>
          <w:tcPr>
            <w:tcW w:w="1560" w:type="dxa"/>
            <w:vAlign w:val="center"/>
          </w:tcPr>
          <w:p w14:paraId="6B2BCCFD">
            <w:pPr>
              <w:pStyle w:val="33"/>
              <w:rPr>
                <w:color w:val="auto"/>
              </w:rPr>
            </w:pPr>
            <w:r>
              <w:rPr>
                <w:color w:val="auto"/>
              </w:rPr>
              <w:t>聚酯网</w:t>
            </w:r>
          </w:p>
        </w:tc>
        <w:tc>
          <w:tcPr>
            <w:tcW w:w="709" w:type="dxa"/>
            <w:vAlign w:val="center"/>
          </w:tcPr>
          <w:p w14:paraId="0A6407EA">
            <w:pPr>
              <w:pStyle w:val="33"/>
              <w:rPr>
                <w:color w:val="auto"/>
              </w:rPr>
            </w:pPr>
            <w:r>
              <w:rPr>
                <w:color w:val="auto"/>
              </w:rPr>
              <w:t>m</w:t>
            </w:r>
            <w:r>
              <w:rPr>
                <w:color w:val="auto"/>
                <w:vertAlign w:val="superscript"/>
              </w:rPr>
              <w:t>2</w:t>
            </w:r>
          </w:p>
        </w:tc>
        <w:tc>
          <w:tcPr>
            <w:tcW w:w="709" w:type="dxa"/>
            <w:vAlign w:val="center"/>
          </w:tcPr>
          <w:p w14:paraId="3A90552E">
            <w:pPr>
              <w:pStyle w:val="33"/>
              <w:rPr>
                <w:color w:val="auto"/>
              </w:rPr>
            </w:pPr>
            <w:r>
              <w:rPr>
                <w:color w:val="auto"/>
              </w:rPr>
              <w:t>0.02</w:t>
            </w:r>
          </w:p>
        </w:tc>
        <w:tc>
          <w:tcPr>
            <w:tcW w:w="850" w:type="dxa"/>
            <w:vAlign w:val="center"/>
          </w:tcPr>
          <w:p w14:paraId="4E208FE4">
            <w:pPr>
              <w:pStyle w:val="33"/>
              <w:rPr>
                <w:color w:val="auto"/>
              </w:rPr>
            </w:pPr>
            <w:r>
              <w:rPr>
                <w:color w:val="auto"/>
              </w:rPr>
              <w:t>0.02</w:t>
            </w:r>
          </w:p>
        </w:tc>
        <w:tc>
          <w:tcPr>
            <w:tcW w:w="567" w:type="dxa"/>
            <w:vAlign w:val="center"/>
          </w:tcPr>
          <w:p w14:paraId="523CF0EC">
            <w:pPr>
              <w:pStyle w:val="33"/>
              <w:rPr>
                <w:color w:val="auto"/>
              </w:rPr>
            </w:pPr>
            <w:r>
              <w:rPr>
                <w:color w:val="auto"/>
              </w:rPr>
              <w:t>m</w:t>
            </w:r>
            <w:r>
              <w:rPr>
                <w:color w:val="auto"/>
                <w:vertAlign w:val="superscript"/>
              </w:rPr>
              <w:t>2</w:t>
            </w:r>
          </w:p>
        </w:tc>
        <w:tc>
          <w:tcPr>
            <w:tcW w:w="1134" w:type="dxa"/>
            <w:vAlign w:val="center"/>
          </w:tcPr>
          <w:p w14:paraId="06F37870">
            <w:pPr>
              <w:pStyle w:val="33"/>
              <w:rPr>
                <w:color w:val="auto"/>
              </w:rPr>
            </w:pPr>
            <w:r>
              <w:rPr>
                <w:color w:val="auto"/>
              </w:rPr>
              <w:t>20000</w:t>
            </w:r>
          </w:p>
        </w:tc>
        <w:tc>
          <w:tcPr>
            <w:tcW w:w="1418" w:type="dxa"/>
            <w:vAlign w:val="center"/>
          </w:tcPr>
          <w:p w14:paraId="456006FA">
            <w:pPr>
              <w:pStyle w:val="33"/>
              <w:rPr>
                <w:color w:val="auto"/>
              </w:rPr>
            </w:pPr>
            <w:r>
              <w:rPr>
                <w:color w:val="auto"/>
              </w:rPr>
              <w:t>30000</w:t>
            </w:r>
          </w:p>
        </w:tc>
        <w:tc>
          <w:tcPr>
            <w:tcW w:w="1134" w:type="dxa"/>
            <w:vAlign w:val="center"/>
          </w:tcPr>
          <w:p w14:paraId="0FF877B2">
            <w:pPr>
              <w:pStyle w:val="33"/>
              <w:rPr>
                <w:color w:val="auto"/>
              </w:rPr>
            </w:pPr>
          </w:p>
        </w:tc>
      </w:tr>
      <w:tr w14:paraId="3F722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2F54CBD">
            <w:pPr>
              <w:pStyle w:val="33"/>
              <w:rPr>
                <w:color w:val="auto"/>
              </w:rPr>
            </w:pPr>
            <w:r>
              <w:rPr>
                <w:color w:val="auto"/>
              </w:rPr>
              <w:t>3</w:t>
            </w:r>
          </w:p>
        </w:tc>
        <w:tc>
          <w:tcPr>
            <w:tcW w:w="1560" w:type="dxa"/>
            <w:vAlign w:val="center"/>
          </w:tcPr>
          <w:p w14:paraId="678D9A0B">
            <w:pPr>
              <w:pStyle w:val="33"/>
              <w:rPr>
                <w:color w:val="auto"/>
              </w:rPr>
            </w:pPr>
            <w:r>
              <w:rPr>
                <w:color w:val="auto"/>
              </w:rPr>
              <w:t>干网</w:t>
            </w:r>
          </w:p>
        </w:tc>
        <w:tc>
          <w:tcPr>
            <w:tcW w:w="709" w:type="dxa"/>
            <w:vAlign w:val="center"/>
          </w:tcPr>
          <w:p w14:paraId="3E5B785B">
            <w:pPr>
              <w:pStyle w:val="33"/>
              <w:rPr>
                <w:color w:val="auto"/>
              </w:rPr>
            </w:pPr>
            <w:r>
              <w:rPr>
                <w:color w:val="auto"/>
              </w:rPr>
              <w:t>m</w:t>
            </w:r>
            <w:r>
              <w:rPr>
                <w:color w:val="auto"/>
                <w:vertAlign w:val="superscript"/>
              </w:rPr>
              <w:t>2</w:t>
            </w:r>
          </w:p>
        </w:tc>
        <w:tc>
          <w:tcPr>
            <w:tcW w:w="709" w:type="dxa"/>
            <w:vAlign w:val="center"/>
          </w:tcPr>
          <w:p w14:paraId="56250529">
            <w:pPr>
              <w:pStyle w:val="33"/>
              <w:rPr>
                <w:color w:val="auto"/>
              </w:rPr>
            </w:pPr>
            <w:r>
              <w:rPr>
                <w:color w:val="auto"/>
              </w:rPr>
              <w:t>0.02</w:t>
            </w:r>
          </w:p>
        </w:tc>
        <w:tc>
          <w:tcPr>
            <w:tcW w:w="850" w:type="dxa"/>
            <w:vAlign w:val="center"/>
          </w:tcPr>
          <w:p w14:paraId="6543E862">
            <w:pPr>
              <w:pStyle w:val="33"/>
              <w:rPr>
                <w:color w:val="auto"/>
              </w:rPr>
            </w:pPr>
            <w:r>
              <w:rPr>
                <w:color w:val="auto"/>
              </w:rPr>
              <w:t>0.02</w:t>
            </w:r>
          </w:p>
        </w:tc>
        <w:tc>
          <w:tcPr>
            <w:tcW w:w="567" w:type="dxa"/>
            <w:vAlign w:val="center"/>
          </w:tcPr>
          <w:p w14:paraId="7936E66B">
            <w:pPr>
              <w:pStyle w:val="33"/>
              <w:rPr>
                <w:color w:val="auto"/>
              </w:rPr>
            </w:pPr>
            <w:r>
              <w:rPr>
                <w:color w:val="auto"/>
              </w:rPr>
              <w:t>m</w:t>
            </w:r>
            <w:r>
              <w:rPr>
                <w:color w:val="auto"/>
                <w:vertAlign w:val="superscript"/>
              </w:rPr>
              <w:t>2</w:t>
            </w:r>
          </w:p>
        </w:tc>
        <w:tc>
          <w:tcPr>
            <w:tcW w:w="1134" w:type="dxa"/>
            <w:vAlign w:val="center"/>
          </w:tcPr>
          <w:p w14:paraId="4A328983">
            <w:pPr>
              <w:pStyle w:val="33"/>
              <w:rPr>
                <w:color w:val="auto"/>
              </w:rPr>
            </w:pPr>
            <w:r>
              <w:rPr>
                <w:color w:val="auto"/>
              </w:rPr>
              <w:t>20000</w:t>
            </w:r>
          </w:p>
        </w:tc>
        <w:tc>
          <w:tcPr>
            <w:tcW w:w="1418" w:type="dxa"/>
            <w:vAlign w:val="center"/>
          </w:tcPr>
          <w:p w14:paraId="0FD23D23">
            <w:pPr>
              <w:pStyle w:val="33"/>
              <w:rPr>
                <w:color w:val="auto"/>
              </w:rPr>
            </w:pPr>
            <w:r>
              <w:rPr>
                <w:color w:val="auto"/>
              </w:rPr>
              <w:t>30000</w:t>
            </w:r>
          </w:p>
        </w:tc>
        <w:tc>
          <w:tcPr>
            <w:tcW w:w="1134" w:type="dxa"/>
            <w:vAlign w:val="center"/>
          </w:tcPr>
          <w:p w14:paraId="0F801354">
            <w:pPr>
              <w:pStyle w:val="33"/>
              <w:rPr>
                <w:color w:val="auto"/>
              </w:rPr>
            </w:pPr>
          </w:p>
        </w:tc>
      </w:tr>
      <w:tr w14:paraId="17CE0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92AA4D4">
            <w:pPr>
              <w:pStyle w:val="33"/>
              <w:rPr>
                <w:color w:val="auto"/>
              </w:rPr>
            </w:pPr>
            <w:r>
              <w:rPr>
                <w:color w:val="auto"/>
              </w:rPr>
              <w:t>4</w:t>
            </w:r>
          </w:p>
        </w:tc>
        <w:tc>
          <w:tcPr>
            <w:tcW w:w="1560" w:type="dxa"/>
            <w:vAlign w:val="center"/>
          </w:tcPr>
          <w:p w14:paraId="14022645">
            <w:pPr>
              <w:pStyle w:val="33"/>
              <w:rPr>
                <w:color w:val="auto"/>
              </w:rPr>
            </w:pPr>
            <w:r>
              <w:rPr>
                <w:color w:val="auto"/>
              </w:rPr>
              <w:t>毛布</w:t>
            </w:r>
          </w:p>
        </w:tc>
        <w:tc>
          <w:tcPr>
            <w:tcW w:w="709" w:type="dxa"/>
            <w:vAlign w:val="center"/>
          </w:tcPr>
          <w:p w14:paraId="3182E2F5">
            <w:pPr>
              <w:pStyle w:val="33"/>
              <w:rPr>
                <w:color w:val="auto"/>
              </w:rPr>
            </w:pPr>
            <w:r>
              <w:rPr>
                <w:color w:val="auto"/>
              </w:rPr>
              <w:t>kg</w:t>
            </w:r>
          </w:p>
        </w:tc>
        <w:tc>
          <w:tcPr>
            <w:tcW w:w="709" w:type="dxa"/>
            <w:vAlign w:val="center"/>
          </w:tcPr>
          <w:p w14:paraId="0549AC32">
            <w:pPr>
              <w:pStyle w:val="33"/>
              <w:rPr>
                <w:color w:val="auto"/>
              </w:rPr>
            </w:pPr>
            <w:r>
              <w:rPr>
                <w:color w:val="auto"/>
              </w:rPr>
              <w:t>0.035</w:t>
            </w:r>
          </w:p>
        </w:tc>
        <w:tc>
          <w:tcPr>
            <w:tcW w:w="850" w:type="dxa"/>
            <w:vAlign w:val="center"/>
          </w:tcPr>
          <w:p w14:paraId="765FAFCF">
            <w:pPr>
              <w:pStyle w:val="33"/>
              <w:rPr>
                <w:color w:val="auto"/>
              </w:rPr>
            </w:pPr>
            <w:r>
              <w:rPr>
                <w:color w:val="auto"/>
              </w:rPr>
              <w:t>0.035</w:t>
            </w:r>
          </w:p>
        </w:tc>
        <w:tc>
          <w:tcPr>
            <w:tcW w:w="567" w:type="dxa"/>
            <w:vAlign w:val="center"/>
          </w:tcPr>
          <w:p w14:paraId="4FE89A80">
            <w:pPr>
              <w:pStyle w:val="33"/>
              <w:rPr>
                <w:color w:val="auto"/>
              </w:rPr>
            </w:pPr>
            <w:r>
              <w:rPr>
                <w:color w:val="auto"/>
              </w:rPr>
              <w:t>t</w:t>
            </w:r>
          </w:p>
        </w:tc>
        <w:tc>
          <w:tcPr>
            <w:tcW w:w="1134" w:type="dxa"/>
            <w:vAlign w:val="center"/>
          </w:tcPr>
          <w:p w14:paraId="297BF58C">
            <w:pPr>
              <w:pStyle w:val="33"/>
              <w:rPr>
                <w:color w:val="auto"/>
              </w:rPr>
            </w:pPr>
            <w:r>
              <w:rPr>
                <w:color w:val="auto"/>
              </w:rPr>
              <w:t>35</w:t>
            </w:r>
          </w:p>
        </w:tc>
        <w:tc>
          <w:tcPr>
            <w:tcW w:w="1418" w:type="dxa"/>
            <w:vAlign w:val="center"/>
          </w:tcPr>
          <w:p w14:paraId="1387B58F">
            <w:pPr>
              <w:pStyle w:val="33"/>
              <w:rPr>
                <w:color w:val="auto"/>
              </w:rPr>
            </w:pPr>
            <w:r>
              <w:rPr>
                <w:color w:val="auto"/>
              </w:rPr>
              <w:t>52.5</w:t>
            </w:r>
          </w:p>
        </w:tc>
        <w:tc>
          <w:tcPr>
            <w:tcW w:w="1134" w:type="dxa"/>
            <w:vAlign w:val="center"/>
          </w:tcPr>
          <w:p w14:paraId="584CDD2E">
            <w:pPr>
              <w:pStyle w:val="33"/>
              <w:rPr>
                <w:color w:val="auto"/>
              </w:rPr>
            </w:pPr>
          </w:p>
        </w:tc>
      </w:tr>
      <w:tr w14:paraId="1D87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566ED91C">
            <w:pPr>
              <w:pStyle w:val="33"/>
              <w:rPr>
                <w:color w:val="auto"/>
              </w:rPr>
            </w:pPr>
            <w:r>
              <w:rPr>
                <w:color w:val="auto"/>
              </w:rPr>
              <w:t>四</w:t>
            </w:r>
          </w:p>
        </w:tc>
        <w:tc>
          <w:tcPr>
            <w:tcW w:w="1560" w:type="dxa"/>
            <w:vAlign w:val="center"/>
          </w:tcPr>
          <w:p w14:paraId="758BE188">
            <w:pPr>
              <w:pStyle w:val="33"/>
              <w:rPr>
                <w:color w:val="auto"/>
              </w:rPr>
            </w:pPr>
            <w:r>
              <w:rPr>
                <w:color w:val="auto"/>
              </w:rPr>
              <w:t>能源</w:t>
            </w:r>
          </w:p>
        </w:tc>
        <w:tc>
          <w:tcPr>
            <w:tcW w:w="709" w:type="dxa"/>
            <w:vAlign w:val="center"/>
          </w:tcPr>
          <w:p w14:paraId="125820DC">
            <w:pPr>
              <w:pStyle w:val="33"/>
              <w:rPr>
                <w:color w:val="auto"/>
              </w:rPr>
            </w:pPr>
          </w:p>
        </w:tc>
        <w:tc>
          <w:tcPr>
            <w:tcW w:w="709" w:type="dxa"/>
            <w:vAlign w:val="center"/>
          </w:tcPr>
          <w:p w14:paraId="59F1548A">
            <w:pPr>
              <w:pStyle w:val="33"/>
              <w:rPr>
                <w:color w:val="auto"/>
              </w:rPr>
            </w:pPr>
          </w:p>
        </w:tc>
        <w:tc>
          <w:tcPr>
            <w:tcW w:w="850" w:type="dxa"/>
            <w:vAlign w:val="center"/>
          </w:tcPr>
          <w:p w14:paraId="1A4509F4">
            <w:pPr>
              <w:pStyle w:val="33"/>
              <w:rPr>
                <w:color w:val="auto"/>
              </w:rPr>
            </w:pPr>
          </w:p>
        </w:tc>
        <w:tc>
          <w:tcPr>
            <w:tcW w:w="567" w:type="dxa"/>
            <w:vAlign w:val="center"/>
          </w:tcPr>
          <w:p w14:paraId="659B849E">
            <w:pPr>
              <w:pStyle w:val="33"/>
              <w:rPr>
                <w:color w:val="auto"/>
              </w:rPr>
            </w:pPr>
          </w:p>
        </w:tc>
        <w:tc>
          <w:tcPr>
            <w:tcW w:w="1134" w:type="dxa"/>
            <w:vAlign w:val="center"/>
          </w:tcPr>
          <w:p w14:paraId="1A3B9D55">
            <w:pPr>
              <w:pStyle w:val="33"/>
              <w:rPr>
                <w:color w:val="auto"/>
              </w:rPr>
            </w:pPr>
          </w:p>
        </w:tc>
        <w:tc>
          <w:tcPr>
            <w:tcW w:w="1418" w:type="dxa"/>
            <w:vAlign w:val="center"/>
          </w:tcPr>
          <w:p w14:paraId="7C0F89FC">
            <w:pPr>
              <w:pStyle w:val="33"/>
              <w:rPr>
                <w:color w:val="auto"/>
              </w:rPr>
            </w:pPr>
          </w:p>
        </w:tc>
        <w:tc>
          <w:tcPr>
            <w:tcW w:w="1134" w:type="dxa"/>
            <w:vAlign w:val="center"/>
          </w:tcPr>
          <w:p w14:paraId="7B2D8D04">
            <w:pPr>
              <w:pStyle w:val="33"/>
              <w:rPr>
                <w:color w:val="auto"/>
              </w:rPr>
            </w:pPr>
          </w:p>
        </w:tc>
      </w:tr>
      <w:tr w14:paraId="527A5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7F783F77">
            <w:pPr>
              <w:pStyle w:val="33"/>
              <w:rPr>
                <w:color w:val="auto"/>
              </w:rPr>
            </w:pPr>
            <w:r>
              <w:rPr>
                <w:color w:val="auto"/>
              </w:rPr>
              <w:t>1</w:t>
            </w:r>
          </w:p>
        </w:tc>
        <w:tc>
          <w:tcPr>
            <w:tcW w:w="1560" w:type="dxa"/>
            <w:vAlign w:val="center"/>
          </w:tcPr>
          <w:p w14:paraId="4327A2C7">
            <w:pPr>
              <w:pStyle w:val="33"/>
              <w:rPr>
                <w:color w:val="auto"/>
              </w:rPr>
            </w:pPr>
            <w:r>
              <w:rPr>
                <w:color w:val="auto"/>
              </w:rPr>
              <w:t>清水</w:t>
            </w:r>
          </w:p>
        </w:tc>
        <w:tc>
          <w:tcPr>
            <w:tcW w:w="709" w:type="dxa"/>
            <w:vAlign w:val="center"/>
          </w:tcPr>
          <w:p w14:paraId="629C9185">
            <w:pPr>
              <w:pStyle w:val="33"/>
              <w:rPr>
                <w:color w:val="auto"/>
              </w:rPr>
            </w:pPr>
            <w:r>
              <w:rPr>
                <w:color w:val="auto"/>
              </w:rPr>
              <w:t>m</w:t>
            </w:r>
            <w:r>
              <w:rPr>
                <w:color w:val="auto"/>
                <w:vertAlign w:val="superscript"/>
              </w:rPr>
              <w:t>3</w:t>
            </w:r>
          </w:p>
        </w:tc>
        <w:tc>
          <w:tcPr>
            <w:tcW w:w="709" w:type="dxa"/>
            <w:vAlign w:val="center"/>
          </w:tcPr>
          <w:p w14:paraId="2B87845E">
            <w:pPr>
              <w:pStyle w:val="33"/>
              <w:rPr>
                <w:color w:val="auto"/>
              </w:rPr>
            </w:pPr>
            <w:r>
              <w:rPr>
                <w:color w:val="auto"/>
              </w:rPr>
              <w:t>12</w:t>
            </w:r>
          </w:p>
        </w:tc>
        <w:tc>
          <w:tcPr>
            <w:tcW w:w="850" w:type="dxa"/>
            <w:vAlign w:val="center"/>
          </w:tcPr>
          <w:p w14:paraId="08EDD6F4">
            <w:pPr>
              <w:pStyle w:val="33"/>
              <w:rPr>
                <w:color w:val="auto"/>
              </w:rPr>
            </w:pPr>
            <w:r>
              <w:rPr>
                <w:color w:val="auto"/>
              </w:rPr>
              <w:t>4.67</w:t>
            </w:r>
          </w:p>
        </w:tc>
        <w:tc>
          <w:tcPr>
            <w:tcW w:w="567" w:type="dxa"/>
            <w:vAlign w:val="center"/>
          </w:tcPr>
          <w:p w14:paraId="275C0916">
            <w:pPr>
              <w:pStyle w:val="33"/>
              <w:rPr>
                <w:rFonts w:hint="eastAsia" w:ascii="宋体" w:hAnsi="宋体"/>
                <w:color w:val="auto"/>
                <w:vertAlign w:val="superscript"/>
              </w:rPr>
            </w:pPr>
            <w:r>
              <w:rPr>
                <w:rFonts w:ascii="宋体" w:hAnsi="宋体"/>
                <w:color w:val="auto"/>
              </w:rPr>
              <w:t>万</w:t>
            </w:r>
            <w:r>
              <w:rPr>
                <w:color w:val="auto"/>
              </w:rPr>
              <w:t>m</w:t>
            </w:r>
            <w:r>
              <w:rPr>
                <w:rFonts w:hint="eastAsia"/>
                <w:color w:val="auto"/>
                <w:vertAlign w:val="superscript"/>
              </w:rPr>
              <w:t>3</w:t>
            </w:r>
          </w:p>
        </w:tc>
        <w:tc>
          <w:tcPr>
            <w:tcW w:w="1134" w:type="dxa"/>
            <w:vAlign w:val="center"/>
          </w:tcPr>
          <w:p w14:paraId="10D55E8C">
            <w:pPr>
              <w:pStyle w:val="33"/>
              <w:rPr>
                <w:color w:val="auto"/>
              </w:rPr>
            </w:pPr>
            <w:r>
              <w:rPr>
                <w:color w:val="auto"/>
              </w:rPr>
              <w:t>1200</w:t>
            </w:r>
          </w:p>
        </w:tc>
        <w:tc>
          <w:tcPr>
            <w:tcW w:w="1418" w:type="dxa"/>
            <w:vAlign w:val="center"/>
          </w:tcPr>
          <w:p w14:paraId="6498D442">
            <w:pPr>
              <w:pStyle w:val="33"/>
              <w:rPr>
                <w:color w:val="auto"/>
              </w:rPr>
            </w:pPr>
            <w:r>
              <w:rPr>
                <w:color w:val="auto"/>
              </w:rPr>
              <w:t>700.5</w:t>
            </w:r>
          </w:p>
        </w:tc>
        <w:tc>
          <w:tcPr>
            <w:tcW w:w="1134" w:type="dxa"/>
            <w:vAlign w:val="center"/>
          </w:tcPr>
          <w:p w14:paraId="5613D90B">
            <w:pPr>
              <w:pStyle w:val="33"/>
              <w:rPr>
                <w:color w:val="auto"/>
              </w:rPr>
            </w:pPr>
          </w:p>
        </w:tc>
      </w:tr>
      <w:tr w14:paraId="2452E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3AA24114">
            <w:pPr>
              <w:pStyle w:val="33"/>
              <w:rPr>
                <w:color w:val="auto"/>
              </w:rPr>
            </w:pPr>
            <w:r>
              <w:rPr>
                <w:color w:val="auto"/>
              </w:rPr>
              <w:t>2</w:t>
            </w:r>
          </w:p>
        </w:tc>
        <w:tc>
          <w:tcPr>
            <w:tcW w:w="1560" w:type="dxa"/>
            <w:vAlign w:val="center"/>
          </w:tcPr>
          <w:p w14:paraId="7DA76B89">
            <w:pPr>
              <w:pStyle w:val="33"/>
              <w:rPr>
                <w:color w:val="auto"/>
              </w:rPr>
            </w:pPr>
            <w:r>
              <w:rPr>
                <w:color w:val="auto"/>
              </w:rPr>
              <w:t>电</w:t>
            </w:r>
          </w:p>
        </w:tc>
        <w:tc>
          <w:tcPr>
            <w:tcW w:w="709" w:type="dxa"/>
            <w:vAlign w:val="center"/>
          </w:tcPr>
          <w:p w14:paraId="1AD56DB8">
            <w:pPr>
              <w:pStyle w:val="33"/>
              <w:rPr>
                <w:color w:val="auto"/>
              </w:rPr>
            </w:pPr>
            <w:r>
              <w:rPr>
                <w:color w:val="auto"/>
              </w:rPr>
              <w:t>kWh</w:t>
            </w:r>
          </w:p>
        </w:tc>
        <w:tc>
          <w:tcPr>
            <w:tcW w:w="709" w:type="dxa"/>
            <w:vAlign w:val="center"/>
          </w:tcPr>
          <w:p w14:paraId="08DEE491">
            <w:pPr>
              <w:pStyle w:val="33"/>
              <w:rPr>
                <w:color w:val="auto"/>
              </w:rPr>
            </w:pPr>
            <w:r>
              <w:rPr>
                <w:color w:val="auto"/>
              </w:rPr>
              <w:t>600</w:t>
            </w:r>
          </w:p>
        </w:tc>
        <w:tc>
          <w:tcPr>
            <w:tcW w:w="850" w:type="dxa"/>
            <w:vAlign w:val="center"/>
          </w:tcPr>
          <w:p w14:paraId="69F35568">
            <w:pPr>
              <w:pStyle w:val="33"/>
              <w:rPr>
                <w:color w:val="auto"/>
              </w:rPr>
            </w:pPr>
            <w:r>
              <w:rPr>
                <w:color w:val="auto"/>
              </w:rPr>
              <w:t>450</w:t>
            </w:r>
          </w:p>
        </w:tc>
        <w:tc>
          <w:tcPr>
            <w:tcW w:w="567" w:type="dxa"/>
            <w:vAlign w:val="center"/>
          </w:tcPr>
          <w:p w14:paraId="3720629B">
            <w:pPr>
              <w:pStyle w:val="33"/>
              <w:rPr>
                <w:color w:val="auto"/>
                <w:sz w:val="18"/>
                <w:szCs w:val="18"/>
              </w:rPr>
            </w:pPr>
            <w:r>
              <w:rPr>
                <w:color w:val="auto"/>
                <w:sz w:val="18"/>
                <w:szCs w:val="18"/>
              </w:rPr>
              <w:t>万kWh</w:t>
            </w:r>
          </w:p>
        </w:tc>
        <w:tc>
          <w:tcPr>
            <w:tcW w:w="1134" w:type="dxa"/>
            <w:vAlign w:val="center"/>
          </w:tcPr>
          <w:p w14:paraId="70739665">
            <w:pPr>
              <w:pStyle w:val="33"/>
              <w:rPr>
                <w:color w:val="auto"/>
              </w:rPr>
            </w:pPr>
            <w:r>
              <w:rPr>
                <w:color w:val="auto"/>
              </w:rPr>
              <w:t>60000</w:t>
            </w:r>
          </w:p>
        </w:tc>
        <w:tc>
          <w:tcPr>
            <w:tcW w:w="1418" w:type="dxa"/>
            <w:vAlign w:val="center"/>
          </w:tcPr>
          <w:p w14:paraId="1D5D827A">
            <w:pPr>
              <w:pStyle w:val="33"/>
              <w:rPr>
                <w:color w:val="auto"/>
              </w:rPr>
            </w:pPr>
            <w:r>
              <w:rPr>
                <w:color w:val="auto"/>
              </w:rPr>
              <w:t>67500</w:t>
            </w:r>
          </w:p>
        </w:tc>
        <w:tc>
          <w:tcPr>
            <w:tcW w:w="1134" w:type="dxa"/>
            <w:vAlign w:val="center"/>
          </w:tcPr>
          <w:p w14:paraId="27633772">
            <w:pPr>
              <w:pStyle w:val="33"/>
              <w:rPr>
                <w:color w:val="auto"/>
              </w:rPr>
            </w:pPr>
          </w:p>
        </w:tc>
      </w:tr>
      <w:tr w14:paraId="05557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AB27FA5">
            <w:pPr>
              <w:pStyle w:val="33"/>
              <w:rPr>
                <w:color w:val="auto"/>
              </w:rPr>
            </w:pPr>
            <w:r>
              <w:rPr>
                <w:color w:val="auto"/>
              </w:rPr>
              <w:t>3</w:t>
            </w:r>
          </w:p>
        </w:tc>
        <w:tc>
          <w:tcPr>
            <w:tcW w:w="1560" w:type="dxa"/>
            <w:vAlign w:val="center"/>
          </w:tcPr>
          <w:p w14:paraId="4CD78D0B">
            <w:pPr>
              <w:pStyle w:val="33"/>
              <w:rPr>
                <w:color w:val="auto"/>
              </w:rPr>
            </w:pPr>
            <w:r>
              <w:rPr>
                <w:color w:val="auto"/>
              </w:rPr>
              <w:t>蒸汽</w:t>
            </w:r>
          </w:p>
        </w:tc>
        <w:tc>
          <w:tcPr>
            <w:tcW w:w="709" w:type="dxa"/>
            <w:vAlign w:val="center"/>
          </w:tcPr>
          <w:p w14:paraId="044AD05E">
            <w:pPr>
              <w:pStyle w:val="33"/>
              <w:rPr>
                <w:color w:val="auto"/>
              </w:rPr>
            </w:pPr>
            <w:r>
              <w:rPr>
                <w:color w:val="auto"/>
              </w:rPr>
              <w:t>t</w:t>
            </w:r>
          </w:p>
        </w:tc>
        <w:tc>
          <w:tcPr>
            <w:tcW w:w="709" w:type="dxa"/>
            <w:vAlign w:val="center"/>
          </w:tcPr>
          <w:p w14:paraId="452852CE">
            <w:pPr>
              <w:pStyle w:val="33"/>
              <w:rPr>
                <w:color w:val="auto"/>
              </w:rPr>
            </w:pPr>
            <w:r>
              <w:rPr>
                <w:color w:val="auto"/>
              </w:rPr>
              <w:t>2.15</w:t>
            </w:r>
          </w:p>
        </w:tc>
        <w:tc>
          <w:tcPr>
            <w:tcW w:w="850" w:type="dxa"/>
            <w:vAlign w:val="center"/>
          </w:tcPr>
          <w:p w14:paraId="36FD8C91">
            <w:pPr>
              <w:pStyle w:val="33"/>
              <w:rPr>
                <w:color w:val="auto"/>
              </w:rPr>
            </w:pPr>
            <w:r>
              <w:rPr>
                <w:color w:val="auto"/>
              </w:rPr>
              <w:t>1.31</w:t>
            </w:r>
          </w:p>
        </w:tc>
        <w:tc>
          <w:tcPr>
            <w:tcW w:w="567" w:type="dxa"/>
            <w:vAlign w:val="center"/>
          </w:tcPr>
          <w:p w14:paraId="38066773">
            <w:pPr>
              <w:pStyle w:val="33"/>
              <w:rPr>
                <w:color w:val="auto"/>
              </w:rPr>
            </w:pPr>
            <w:r>
              <w:rPr>
                <w:color w:val="auto"/>
              </w:rPr>
              <w:t>万t</w:t>
            </w:r>
          </w:p>
        </w:tc>
        <w:tc>
          <w:tcPr>
            <w:tcW w:w="1134" w:type="dxa"/>
            <w:vAlign w:val="center"/>
          </w:tcPr>
          <w:p w14:paraId="68BB7945">
            <w:pPr>
              <w:pStyle w:val="33"/>
              <w:rPr>
                <w:color w:val="auto"/>
              </w:rPr>
            </w:pPr>
            <w:r>
              <w:rPr>
                <w:color w:val="auto"/>
              </w:rPr>
              <w:t>215</w:t>
            </w:r>
          </w:p>
        </w:tc>
        <w:tc>
          <w:tcPr>
            <w:tcW w:w="1418" w:type="dxa"/>
            <w:vAlign w:val="center"/>
          </w:tcPr>
          <w:p w14:paraId="7B284BBE">
            <w:pPr>
              <w:pStyle w:val="33"/>
              <w:rPr>
                <w:color w:val="auto"/>
              </w:rPr>
            </w:pPr>
            <w:r>
              <w:rPr>
                <w:color w:val="auto"/>
              </w:rPr>
              <w:t>195.8</w:t>
            </w:r>
          </w:p>
        </w:tc>
        <w:tc>
          <w:tcPr>
            <w:tcW w:w="1134" w:type="dxa"/>
            <w:vAlign w:val="center"/>
          </w:tcPr>
          <w:p w14:paraId="53EEA5A5">
            <w:pPr>
              <w:pStyle w:val="33"/>
              <w:rPr>
                <w:color w:val="auto"/>
              </w:rPr>
            </w:pPr>
          </w:p>
        </w:tc>
      </w:tr>
      <w:tr w14:paraId="5206B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3B584F66">
            <w:pPr>
              <w:pStyle w:val="33"/>
              <w:rPr>
                <w:color w:val="auto"/>
              </w:rPr>
            </w:pPr>
          </w:p>
        </w:tc>
        <w:tc>
          <w:tcPr>
            <w:tcW w:w="1560" w:type="dxa"/>
            <w:vAlign w:val="center"/>
          </w:tcPr>
          <w:p w14:paraId="45EADC56">
            <w:pPr>
              <w:pStyle w:val="33"/>
              <w:rPr>
                <w:color w:val="auto"/>
              </w:rPr>
            </w:pPr>
            <w:r>
              <w:rPr>
                <w:color w:val="auto"/>
              </w:rPr>
              <w:t>其中:</w:t>
            </w:r>
          </w:p>
        </w:tc>
        <w:tc>
          <w:tcPr>
            <w:tcW w:w="709" w:type="dxa"/>
            <w:vAlign w:val="center"/>
          </w:tcPr>
          <w:p w14:paraId="5E13B8BD">
            <w:pPr>
              <w:pStyle w:val="33"/>
              <w:rPr>
                <w:color w:val="auto"/>
              </w:rPr>
            </w:pPr>
            <w:r>
              <w:rPr>
                <w:color w:val="auto"/>
              </w:rPr>
              <w:t>5bar</w:t>
            </w:r>
          </w:p>
        </w:tc>
        <w:tc>
          <w:tcPr>
            <w:tcW w:w="709" w:type="dxa"/>
            <w:vAlign w:val="center"/>
          </w:tcPr>
          <w:p w14:paraId="35A32146">
            <w:pPr>
              <w:pStyle w:val="33"/>
              <w:rPr>
                <w:color w:val="auto"/>
              </w:rPr>
            </w:pPr>
            <w:r>
              <w:rPr>
                <w:color w:val="auto"/>
              </w:rPr>
              <w:t>2</w:t>
            </w:r>
          </w:p>
        </w:tc>
        <w:tc>
          <w:tcPr>
            <w:tcW w:w="850" w:type="dxa"/>
            <w:vAlign w:val="center"/>
          </w:tcPr>
          <w:p w14:paraId="4E404283">
            <w:pPr>
              <w:pStyle w:val="33"/>
              <w:rPr>
                <w:color w:val="auto"/>
              </w:rPr>
            </w:pPr>
            <w:r>
              <w:rPr>
                <w:color w:val="auto"/>
              </w:rPr>
              <w:t>1.25</w:t>
            </w:r>
          </w:p>
        </w:tc>
        <w:tc>
          <w:tcPr>
            <w:tcW w:w="567" w:type="dxa"/>
            <w:vAlign w:val="center"/>
          </w:tcPr>
          <w:p w14:paraId="12446B64">
            <w:pPr>
              <w:pStyle w:val="33"/>
              <w:rPr>
                <w:color w:val="auto"/>
              </w:rPr>
            </w:pPr>
            <w:r>
              <w:rPr>
                <w:color w:val="auto"/>
              </w:rPr>
              <w:t>万t</w:t>
            </w:r>
          </w:p>
        </w:tc>
        <w:tc>
          <w:tcPr>
            <w:tcW w:w="1134" w:type="dxa"/>
            <w:vAlign w:val="center"/>
          </w:tcPr>
          <w:p w14:paraId="65D89FF6">
            <w:pPr>
              <w:pStyle w:val="33"/>
              <w:rPr>
                <w:color w:val="auto"/>
              </w:rPr>
            </w:pPr>
            <w:r>
              <w:rPr>
                <w:color w:val="auto"/>
              </w:rPr>
              <w:t>200</w:t>
            </w:r>
          </w:p>
        </w:tc>
        <w:tc>
          <w:tcPr>
            <w:tcW w:w="1418" w:type="dxa"/>
            <w:vAlign w:val="center"/>
          </w:tcPr>
          <w:p w14:paraId="427D88E4">
            <w:pPr>
              <w:pStyle w:val="33"/>
              <w:rPr>
                <w:color w:val="auto"/>
              </w:rPr>
            </w:pPr>
            <w:r>
              <w:rPr>
                <w:color w:val="auto"/>
              </w:rPr>
              <w:t>187.5</w:t>
            </w:r>
          </w:p>
        </w:tc>
        <w:tc>
          <w:tcPr>
            <w:tcW w:w="1134" w:type="dxa"/>
            <w:vAlign w:val="center"/>
          </w:tcPr>
          <w:p w14:paraId="64F97B93">
            <w:pPr>
              <w:pStyle w:val="33"/>
              <w:rPr>
                <w:color w:val="auto"/>
              </w:rPr>
            </w:pPr>
          </w:p>
        </w:tc>
      </w:tr>
      <w:tr w14:paraId="64EF7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66366E60">
            <w:pPr>
              <w:pStyle w:val="33"/>
              <w:rPr>
                <w:rFonts w:hint="eastAsia" w:ascii="宋体" w:hAnsi="宋体" w:cs="宋体"/>
                <w:color w:val="auto"/>
                <w:sz w:val="24"/>
              </w:rPr>
            </w:pPr>
          </w:p>
        </w:tc>
        <w:tc>
          <w:tcPr>
            <w:tcW w:w="1560" w:type="dxa"/>
            <w:vAlign w:val="center"/>
          </w:tcPr>
          <w:p w14:paraId="51354B4A">
            <w:pPr>
              <w:pStyle w:val="33"/>
              <w:rPr>
                <w:rFonts w:hint="eastAsia" w:ascii="宋体" w:hAnsi="宋体" w:cs="宋体"/>
                <w:color w:val="auto"/>
                <w:sz w:val="24"/>
              </w:rPr>
            </w:pPr>
          </w:p>
        </w:tc>
        <w:tc>
          <w:tcPr>
            <w:tcW w:w="709" w:type="dxa"/>
            <w:vAlign w:val="center"/>
          </w:tcPr>
          <w:p w14:paraId="04963DBD">
            <w:pPr>
              <w:pStyle w:val="33"/>
              <w:rPr>
                <w:color w:val="auto"/>
              </w:rPr>
            </w:pPr>
            <w:r>
              <w:rPr>
                <w:color w:val="auto"/>
              </w:rPr>
              <w:t>13bar</w:t>
            </w:r>
          </w:p>
        </w:tc>
        <w:tc>
          <w:tcPr>
            <w:tcW w:w="709" w:type="dxa"/>
            <w:vAlign w:val="center"/>
          </w:tcPr>
          <w:p w14:paraId="12CB25B3">
            <w:pPr>
              <w:pStyle w:val="33"/>
              <w:rPr>
                <w:color w:val="auto"/>
              </w:rPr>
            </w:pPr>
            <w:r>
              <w:rPr>
                <w:color w:val="auto"/>
              </w:rPr>
              <w:t>0.15</w:t>
            </w:r>
          </w:p>
        </w:tc>
        <w:tc>
          <w:tcPr>
            <w:tcW w:w="850" w:type="dxa"/>
            <w:vAlign w:val="center"/>
          </w:tcPr>
          <w:p w14:paraId="1671F3AF">
            <w:pPr>
              <w:pStyle w:val="33"/>
              <w:rPr>
                <w:color w:val="auto"/>
              </w:rPr>
            </w:pPr>
            <w:r>
              <w:rPr>
                <w:color w:val="auto"/>
              </w:rPr>
              <w:t>0.06</w:t>
            </w:r>
          </w:p>
        </w:tc>
        <w:tc>
          <w:tcPr>
            <w:tcW w:w="567" w:type="dxa"/>
            <w:vAlign w:val="center"/>
          </w:tcPr>
          <w:p w14:paraId="2C9E4822">
            <w:pPr>
              <w:pStyle w:val="33"/>
              <w:rPr>
                <w:color w:val="auto"/>
              </w:rPr>
            </w:pPr>
            <w:r>
              <w:rPr>
                <w:color w:val="auto"/>
              </w:rPr>
              <w:t>万t</w:t>
            </w:r>
          </w:p>
        </w:tc>
        <w:tc>
          <w:tcPr>
            <w:tcW w:w="1134" w:type="dxa"/>
            <w:vAlign w:val="center"/>
          </w:tcPr>
          <w:p w14:paraId="4F4205BC">
            <w:pPr>
              <w:pStyle w:val="33"/>
              <w:rPr>
                <w:color w:val="auto"/>
              </w:rPr>
            </w:pPr>
            <w:r>
              <w:rPr>
                <w:color w:val="auto"/>
              </w:rPr>
              <w:t>15</w:t>
            </w:r>
          </w:p>
        </w:tc>
        <w:tc>
          <w:tcPr>
            <w:tcW w:w="1418" w:type="dxa"/>
            <w:vAlign w:val="center"/>
          </w:tcPr>
          <w:p w14:paraId="32E2DEC8">
            <w:pPr>
              <w:pStyle w:val="33"/>
              <w:rPr>
                <w:color w:val="auto"/>
              </w:rPr>
            </w:pPr>
            <w:r>
              <w:rPr>
                <w:color w:val="auto"/>
              </w:rPr>
              <w:t>8.25</w:t>
            </w:r>
          </w:p>
        </w:tc>
        <w:tc>
          <w:tcPr>
            <w:tcW w:w="1134" w:type="dxa"/>
            <w:vAlign w:val="center"/>
          </w:tcPr>
          <w:p w14:paraId="44895E32">
            <w:pPr>
              <w:pStyle w:val="33"/>
              <w:rPr>
                <w:rFonts w:hint="eastAsia" w:ascii="宋体" w:hAnsi="宋体" w:cs="宋体"/>
                <w:color w:val="auto"/>
                <w:sz w:val="22"/>
                <w:szCs w:val="22"/>
              </w:rPr>
            </w:pPr>
          </w:p>
        </w:tc>
      </w:tr>
      <w:tr w14:paraId="12467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52EFBBF7">
            <w:pPr>
              <w:pStyle w:val="33"/>
              <w:rPr>
                <w:rFonts w:hint="eastAsia" w:ascii="宋体" w:hAnsi="宋体" w:cs="宋体"/>
                <w:color w:val="auto"/>
                <w:sz w:val="24"/>
              </w:rPr>
            </w:pPr>
            <w:r>
              <w:rPr>
                <w:rFonts w:ascii="宋体" w:hAnsi="宋体" w:cs="宋体"/>
                <w:color w:val="auto"/>
                <w:sz w:val="24"/>
              </w:rPr>
              <w:t>4</w:t>
            </w:r>
          </w:p>
        </w:tc>
        <w:tc>
          <w:tcPr>
            <w:tcW w:w="1560" w:type="dxa"/>
            <w:vAlign w:val="center"/>
          </w:tcPr>
          <w:p w14:paraId="520AD6E9">
            <w:pPr>
              <w:pStyle w:val="33"/>
              <w:rPr>
                <w:rFonts w:hint="eastAsia" w:ascii="宋体" w:hAnsi="宋体" w:cs="宋体"/>
                <w:color w:val="auto"/>
                <w:sz w:val="24"/>
              </w:rPr>
            </w:pPr>
            <w:r>
              <w:rPr>
                <w:rFonts w:hint="eastAsia" w:ascii="宋体" w:hAnsi="宋体" w:cs="宋体"/>
                <w:color w:val="auto"/>
                <w:sz w:val="24"/>
              </w:rPr>
              <w:t>天然气</w:t>
            </w:r>
          </w:p>
        </w:tc>
        <w:tc>
          <w:tcPr>
            <w:tcW w:w="709" w:type="dxa"/>
            <w:vAlign w:val="center"/>
          </w:tcPr>
          <w:p w14:paraId="04E37CDE">
            <w:pPr>
              <w:pStyle w:val="33"/>
              <w:rPr>
                <w:color w:val="auto"/>
              </w:rPr>
            </w:pPr>
            <w:r>
              <w:rPr>
                <w:color w:val="auto"/>
              </w:rPr>
              <w:t>m</w:t>
            </w:r>
            <w:r>
              <w:rPr>
                <w:color w:val="auto"/>
                <w:vertAlign w:val="superscript"/>
              </w:rPr>
              <w:t>3</w:t>
            </w:r>
          </w:p>
        </w:tc>
        <w:tc>
          <w:tcPr>
            <w:tcW w:w="709" w:type="dxa"/>
            <w:vAlign w:val="center"/>
          </w:tcPr>
          <w:p w14:paraId="263A0A6C">
            <w:pPr>
              <w:pStyle w:val="33"/>
              <w:rPr>
                <w:color w:val="auto"/>
              </w:rPr>
            </w:pPr>
            <w:r>
              <w:rPr>
                <w:color w:val="auto"/>
              </w:rPr>
              <w:t>6.25</w:t>
            </w:r>
          </w:p>
        </w:tc>
        <w:tc>
          <w:tcPr>
            <w:tcW w:w="850" w:type="dxa"/>
            <w:vAlign w:val="center"/>
          </w:tcPr>
          <w:p w14:paraId="1BAE8670">
            <w:pPr>
              <w:pStyle w:val="33"/>
              <w:rPr>
                <w:color w:val="auto"/>
              </w:rPr>
            </w:pPr>
            <w:r>
              <w:rPr>
                <w:color w:val="auto"/>
              </w:rPr>
              <w:t>6.25</w:t>
            </w:r>
          </w:p>
        </w:tc>
        <w:tc>
          <w:tcPr>
            <w:tcW w:w="567" w:type="dxa"/>
            <w:vAlign w:val="center"/>
          </w:tcPr>
          <w:p w14:paraId="116828D1">
            <w:pPr>
              <w:pStyle w:val="33"/>
              <w:rPr>
                <w:rFonts w:hint="eastAsia" w:ascii="宋体" w:hAnsi="宋体"/>
                <w:color w:val="auto"/>
              </w:rPr>
            </w:pPr>
            <w:r>
              <w:rPr>
                <w:rFonts w:ascii="宋体" w:hAnsi="宋体"/>
                <w:color w:val="auto"/>
              </w:rPr>
              <w:t>万</w:t>
            </w:r>
            <w:r>
              <w:rPr>
                <w:color w:val="auto"/>
              </w:rPr>
              <w:t>m</w:t>
            </w:r>
            <w:r>
              <w:rPr>
                <w:rFonts w:hint="eastAsia"/>
                <w:color w:val="auto"/>
                <w:vertAlign w:val="superscript"/>
              </w:rPr>
              <w:t>3</w:t>
            </w:r>
          </w:p>
        </w:tc>
        <w:tc>
          <w:tcPr>
            <w:tcW w:w="1134" w:type="dxa"/>
            <w:vAlign w:val="center"/>
          </w:tcPr>
          <w:p w14:paraId="63F2A141">
            <w:pPr>
              <w:pStyle w:val="33"/>
              <w:rPr>
                <w:color w:val="auto"/>
              </w:rPr>
            </w:pPr>
            <w:r>
              <w:rPr>
                <w:rFonts w:hint="eastAsia"/>
                <w:color w:val="auto"/>
                <w:szCs w:val="21"/>
              </w:rPr>
              <w:t>625</w:t>
            </w:r>
          </w:p>
        </w:tc>
        <w:tc>
          <w:tcPr>
            <w:tcW w:w="1418" w:type="dxa"/>
            <w:vAlign w:val="center"/>
          </w:tcPr>
          <w:p w14:paraId="6E2137D1">
            <w:pPr>
              <w:pStyle w:val="33"/>
              <w:rPr>
                <w:color w:val="auto"/>
              </w:rPr>
            </w:pPr>
            <w:r>
              <w:rPr>
                <w:color w:val="auto"/>
              </w:rPr>
              <w:t>937.5</w:t>
            </w:r>
          </w:p>
        </w:tc>
        <w:tc>
          <w:tcPr>
            <w:tcW w:w="1134" w:type="dxa"/>
            <w:vAlign w:val="center"/>
          </w:tcPr>
          <w:p w14:paraId="0B673AC6">
            <w:pPr>
              <w:pStyle w:val="33"/>
              <w:rPr>
                <w:rFonts w:hint="eastAsia" w:ascii="宋体" w:hAnsi="宋体" w:cs="宋体"/>
                <w:color w:val="auto"/>
                <w:sz w:val="22"/>
                <w:szCs w:val="22"/>
              </w:rPr>
            </w:pPr>
          </w:p>
        </w:tc>
      </w:tr>
    </w:tbl>
    <w:p w14:paraId="44BB77D4">
      <w:pPr>
        <w:ind w:firstLine="0" w:firstLineChars="0"/>
        <w:rPr>
          <w:color w:val="auto"/>
        </w:rPr>
      </w:pPr>
    </w:p>
    <w:p w14:paraId="4027A0A3">
      <w:pPr>
        <w:pStyle w:val="7"/>
        <w:rPr>
          <w:color w:val="auto"/>
        </w:rPr>
      </w:pPr>
      <w:r>
        <w:rPr>
          <w:color w:val="auto"/>
        </w:rPr>
        <w:t>2#</w:t>
      </w:r>
      <w:r>
        <w:rPr>
          <w:rFonts w:hint="eastAsia"/>
          <w:color w:val="auto"/>
        </w:rPr>
        <w:t>白卡纸生产线</w:t>
      </w:r>
      <w:r>
        <w:rPr>
          <w:color w:val="auto"/>
        </w:rPr>
        <w:t>主要原材物料消耗</w:t>
      </w:r>
    </w:p>
    <w:tbl>
      <w:tblPr>
        <w:tblStyle w:val="26"/>
        <w:tblW w:w="86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418"/>
        <w:gridCol w:w="709"/>
        <w:gridCol w:w="850"/>
        <w:gridCol w:w="851"/>
        <w:gridCol w:w="708"/>
        <w:gridCol w:w="1134"/>
        <w:gridCol w:w="1276"/>
        <w:gridCol w:w="1134"/>
      </w:tblGrid>
      <w:tr w14:paraId="4BC6F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562" w:type="dxa"/>
            <w:vMerge w:val="restart"/>
            <w:vAlign w:val="center"/>
          </w:tcPr>
          <w:p w14:paraId="4E5A13E4">
            <w:pPr>
              <w:pStyle w:val="33"/>
              <w:rPr>
                <w:color w:val="auto"/>
              </w:rPr>
            </w:pPr>
            <w:r>
              <w:rPr>
                <w:color w:val="auto"/>
              </w:rPr>
              <w:t>序号</w:t>
            </w:r>
          </w:p>
        </w:tc>
        <w:tc>
          <w:tcPr>
            <w:tcW w:w="1418" w:type="dxa"/>
            <w:vMerge w:val="restart"/>
            <w:vAlign w:val="center"/>
          </w:tcPr>
          <w:p w14:paraId="70B9EE49">
            <w:pPr>
              <w:pStyle w:val="33"/>
              <w:rPr>
                <w:color w:val="auto"/>
              </w:rPr>
            </w:pPr>
            <w:r>
              <w:rPr>
                <w:color w:val="auto"/>
              </w:rPr>
              <w:t>项目</w:t>
            </w:r>
          </w:p>
        </w:tc>
        <w:tc>
          <w:tcPr>
            <w:tcW w:w="709" w:type="dxa"/>
            <w:vMerge w:val="restart"/>
            <w:vAlign w:val="center"/>
          </w:tcPr>
          <w:p w14:paraId="27F76C45">
            <w:pPr>
              <w:pStyle w:val="33"/>
              <w:rPr>
                <w:color w:val="auto"/>
              </w:rPr>
            </w:pPr>
            <w:r>
              <w:rPr>
                <w:color w:val="auto"/>
              </w:rPr>
              <w:t>单位</w:t>
            </w:r>
          </w:p>
        </w:tc>
        <w:tc>
          <w:tcPr>
            <w:tcW w:w="1701" w:type="dxa"/>
            <w:gridSpan w:val="2"/>
            <w:vAlign w:val="center"/>
          </w:tcPr>
          <w:p w14:paraId="5A014F62">
            <w:pPr>
              <w:pStyle w:val="33"/>
              <w:rPr>
                <w:color w:val="auto"/>
              </w:rPr>
            </w:pPr>
            <w:r>
              <w:rPr>
                <w:color w:val="auto"/>
              </w:rPr>
              <w:t>吨纸消耗</w:t>
            </w:r>
          </w:p>
        </w:tc>
        <w:tc>
          <w:tcPr>
            <w:tcW w:w="708" w:type="dxa"/>
            <w:vMerge w:val="restart"/>
            <w:vAlign w:val="center"/>
          </w:tcPr>
          <w:p w14:paraId="7F4F44E7">
            <w:pPr>
              <w:pStyle w:val="33"/>
              <w:rPr>
                <w:color w:val="auto"/>
              </w:rPr>
            </w:pPr>
            <w:r>
              <w:rPr>
                <w:color w:val="auto"/>
              </w:rPr>
              <w:t>单位</w:t>
            </w:r>
          </w:p>
        </w:tc>
        <w:tc>
          <w:tcPr>
            <w:tcW w:w="2410" w:type="dxa"/>
            <w:gridSpan w:val="2"/>
            <w:vAlign w:val="center"/>
          </w:tcPr>
          <w:p w14:paraId="1F135E1C">
            <w:pPr>
              <w:pStyle w:val="33"/>
              <w:rPr>
                <w:color w:val="auto"/>
              </w:rPr>
            </w:pPr>
            <w:r>
              <w:rPr>
                <w:color w:val="auto"/>
              </w:rPr>
              <w:t>年耗指标</w:t>
            </w:r>
          </w:p>
        </w:tc>
        <w:tc>
          <w:tcPr>
            <w:tcW w:w="1134" w:type="dxa"/>
            <w:vMerge w:val="restart"/>
            <w:vAlign w:val="center"/>
          </w:tcPr>
          <w:p w14:paraId="450E2C51">
            <w:pPr>
              <w:pStyle w:val="33"/>
              <w:rPr>
                <w:color w:val="auto"/>
              </w:rPr>
            </w:pPr>
            <w:r>
              <w:rPr>
                <w:color w:val="auto"/>
              </w:rPr>
              <w:t>备注</w:t>
            </w:r>
          </w:p>
        </w:tc>
      </w:tr>
      <w:tr w14:paraId="00B6F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 w:hRule="atLeast"/>
          <w:tblHeader/>
          <w:jc w:val="center"/>
        </w:trPr>
        <w:tc>
          <w:tcPr>
            <w:tcW w:w="562" w:type="dxa"/>
            <w:vMerge w:val="continue"/>
            <w:tcBorders>
              <w:bottom w:val="single" w:color="auto" w:sz="4" w:space="0"/>
            </w:tcBorders>
            <w:vAlign w:val="center"/>
          </w:tcPr>
          <w:p w14:paraId="2B3B988A">
            <w:pPr>
              <w:pStyle w:val="33"/>
              <w:rPr>
                <w:color w:val="auto"/>
                <w:szCs w:val="21"/>
              </w:rPr>
            </w:pPr>
          </w:p>
        </w:tc>
        <w:tc>
          <w:tcPr>
            <w:tcW w:w="1418" w:type="dxa"/>
            <w:vMerge w:val="continue"/>
            <w:tcBorders>
              <w:bottom w:val="single" w:color="auto" w:sz="4" w:space="0"/>
            </w:tcBorders>
            <w:vAlign w:val="center"/>
          </w:tcPr>
          <w:p w14:paraId="2857BE40">
            <w:pPr>
              <w:pStyle w:val="33"/>
              <w:rPr>
                <w:color w:val="auto"/>
                <w:szCs w:val="21"/>
              </w:rPr>
            </w:pPr>
          </w:p>
        </w:tc>
        <w:tc>
          <w:tcPr>
            <w:tcW w:w="709" w:type="dxa"/>
            <w:vMerge w:val="continue"/>
            <w:tcBorders>
              <w:bottom w:val="single" w:color="auto" w:sz="4" w:space="0"/>
            </w:tcBorders>
            <w:vAlign w:val="center"/>
          </w:tcPr>
          <w:p w14:paraId="492A681A">
            <w:pPr>
              <w:pStyle w:val="33"/>
              <w:rPr>
                <w:color w:val="auto"/>
                <w:szCs w:val="21"/>
              </w:rPr>
            </w:pPr>
          </w:p>
        </w:tc>
        <w:tc>
          <w:tcPr>
            <w:tcW w:w="850" w:type="dxa"/>
            <w:tcBorders>
              <w:bottom w:val="single" w:color="auto" w:sz="4" w:space="0"/>
            </w:tcBorders>
            <w:vAlign w:val="center"/>
          </w:tcPr>
          <w:p w14:paraId="7AE898E4">
            <w:pPr>
              <w:pStyle w:val="33"/>
              <w:rPr>
                <w:color w:val="auto"/>
                <w:szCs w:val="21"/>
              </w:rPr>
            </w:pPr>
            <w:r>
              <w:rPr>
                <w:color w:val="auto"/>
                <w:szCs w:val="21"/>
              </w:rPr>
              <w:t>改造前</w:t>
            </w:r>
          </w:p>
        </w:tc>
        <w:tc>
          <w:tcPr>
            <w:tcW w:w="851" w:type="dxa"/>
            <w:tcBorders>
              <w:bottom w:val="single" w:color="auto" w:sz="4" w:space="0"/>
            </w:tcBorders>
            <w:vAlign w:val="center"/>
          </w:tcPr>
          <w:p w14:paraId="483E4ECD">
            <w:pPr>
              <w:pStyle w:val="33"/>
              <w:rPr>
                <w:color w:val="auto"/>
                <w:szCs w:val="21"/>
              </w:rPr>
            </w:pPr>
            <w:r>
              <w:rPr>
                <w:color w:val="auto"/>
                <w:szCs w:val="21"/>
              </w:rPr>
              <w:t>改造后</w:t>
            </w:r>
          </w:p>
        </w:tc>
        <w:tc>
          <w:tcPr>
            <w:tcW w:w="708" w:type="dxa"/>
            <w:vMerge w:val="continue"/>
            <w:tcBorders>
              <w:bottom w:val="single" w:color="auto" w:sz="4" w:space="0"/>
            </w:tcBorders>
            <w:vAlign w:val="center"/>
          </w:tcPr>
          <w:p w14:paraId="1961DE93">
            <w:pPr>
              <w:pStyle w:val="33"/>
              <w:rPr>
                <w:color w:val="auto"/>
                <w:szCs w:val="21"/>
              </w:rPr>
            </w:pPr>
          </w:p>
        </w:tc>
        <w:tc>
          <w:tcPr>
            <w:tcW w:w="1134" w:type="dxa"/>
            <w:tcBorders>
              <w:bottom w:val="single" w:color="auto" w:sz="4" w:space="0"/>
            </w:tcBorders>
            <w:vAlign w:val="center"/>
          </w:tcPr>
          <w:p w14:paraId="5AA4678C">
            <w:pPr>
              <w:pStyle w:val="33"/>
              <w:rPr>
                <w:color w:val="auto"/>
                <w:szCs w:val="21"/>
              </w:rPr>
            </w:pPr>
            <w:r>
              <w:rPr>
                <w:color w:val="auto"/>
                <w:szCs w:val="21"/>
              </w:rPr>
              <w:t>改造前</w:t>
            </w:r>
          </w:p>
          <w:p w14:paraId="70253DE6">
            <w:pPr>
              <w:pStyle w:val="33"/>
              <w:rPr>
                <w:color w:val="auto"/>
                <w:szCs w:val="21"/>
              </w:rPr>
            </w:pPr>
            <w:r>
              <w:rPr>
                <w:color w:val="auto"/>
                <w:szCs w:val="21"/>
              </w:rPr>
              <w:t>(90万吨)</w:t>
            </w:r>
          </w:p>
        </w:tc>
        <w:tc>
          <w:tcPr>
            <w:tcW w:w="1276" w:type="dxa"/>
            <w:tcBorders>
              <w:bottom w:val="single" w:color="auto" w:sz="4" w:space="0"/>
            </w:tcBorders>
            <w:vAlign w:val="center"/>
          </w:tcPr>
          <w:p w14:paraId="5FC48ACD">
            <w:pPr>
              <w:pStyle w:val="33"/>
              <w:rPr>
                <w:color w:val="auto"/>
                <w:szCs w:val="21"/>
              </w:rPr>
            </w:pPr>
            <w:r>
              <w:rPr>
                <w:color w:val="auto"/>
                <w:szCs w:val="21"/>
              </w:rPr>
              <w:t>改造后</w:t>
            </w:r>
          </w:p>
          <w:p w14:paraId="120DCA32">
            <w:pPr>
              <w:pStyle w:val="33"/>
              <w:rPr>
                <w:color w:val="auto"/>
                <w:szCs w:val="21"/>
              </w:rPr>
            </w:pPr>
            <w:r>
              <w:rPr>
                <w:color w:val="auto"/>
                <w:szCs w:val="21"/>
              </w:rPr>
              <w:t>(150万吨)</w:t>
            </w:r>
          </w:p>
        </w:tc>
        <w:tc>
          <w:tcPr>
            <w:tcW w:w="1134" w:type="dxa"/>
            <w:vMerge w:val="continue"/>
            <w:tcBorders>
              <w:bottom w:val="single" w:color="auto" w:sz="4" w:space="0"/>
            </w:tcBorders>
            <w:vAlign w:val="center"/>
          </w:tcPr>
          <w:p w14:paraId="36128CF9">
            <w:pPr>
              <w:pStyle w:val="33"/>
              <w:rPr>
                <w:color w:val="auto"/>
                <w:szCs w:val="21"/>
              </w:rPr>
            </w:pPr>
          </w:p>
        </w:tc>
      </w:tr>
      <w:tr w14:paraId="49B67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064BBC60">
            <w:pPr>
              <w:pStyle w:val="33"/>
              <w:rPr>
                <w:color w:val="auto"/>
                <w:szCs w:val="21"/>
              </w:rPr>
            </w:pPr>
            <w:r>
              <w:rPr>
                <w:color w:val="auto"/>
                <w:szCs w:val="21"/>
              </w:rPr>
              <w:t>一</w:t>
            </w:r>
          </w:p>
        </w:tc>
        <w:tc>
          <w:tcPr>
            <w:tcW w:w="1418" w:type="dxa"/>
            <w:vAlign w:val="center"/>
          </w:tcPr>
          <w:p w14:paraId="22865BC3">
            <w:pPr>
              <w:pStyle w:val="33"/>
              <w:rPr>
                <w:color w:val="auto"/>
                <w:szCs w:val="21"/>
              </w:rPr>
            </w:pPr>
            <w:r>
              <w:rPr>
                <w:color w:val="auto"/>
                <w:szCs w:val="21"/>
              </w:rPr>
              <w:t>纤维原料</w:t>
            </w:r>
          </w:p>
        </w:tc>
        <w:tc>
          <w:tcPr>
            <w:tcW w:w="709" w:type="dxa"/>
            <w:vAlign w:val="center"/>
          </w:tcPr>
          <w:p w14:paraId="177AFF3F">
            <w:pPr>
              <w:pStyle w:val="33"/>
              <w:rPr>
                <w:color w:val="auto"/>
                <w:szCs w:val="21"/>
              </w:rPr>
            </w:pPr>
            <w:r>
              <w:rPr>
                <w:color w:val="auto"/>
                <w:szCs w:val="21"/>
              </w:rPr>
              <w:t>kg</w:t>
            </w:r>
          </w:p>
        </w:tc>
        <w:tc>
          <w:tcPr>
            <w:tcW w:w="850" w:type="dxa"/>
            <w:vAlign w:val="center"/>
          </w:tcPr>
          <w:p w14:paraId="649EDF4D">
            <w:pPr>
              <w:pStyle w:val="33"/>
              <w:rPr>
                <w:color w:val="auto"/>
                <w:szCs w:val="21"/>
              </w:rPr>
            </w:pPr>
            <w:r>
              <w:rPr>
                <w:color w:val="auto"/>
                <w:szCs w:val="21"/>
              </w:rPr>
              <w:t>729</w:t>
            </w:r>
          </w:p>
        </w:tc>
        <w:tc>
          <w:tcPr>
            <w:tcW w:w="851" w:type="dxa"/>
            <w:vAlign w:val="center"/>
          </w:tcPr>
          <w:p w14:paraId="3DE97323">
            <w:pPr>
              <w:pStyle w:val="33"/>
              <w:rPr>
                <w:color w:val="auto"/>
                <w:szCs w:val="21"/>
              </w:rPr>
            </w:pPr>
            <w:r>
              <w:rPr>
                <w:color w:val="auto"/>
                <w:szCs w:val="21"/>
              </w:rPr>
              <w:t>745</w:t>
            </w:r>
          </w:p>
        </w:tc>
        <w:tc>
          <w:tcPr>
            <w:tcW w:w="708" w:type="dxa"/>
            <w:vAlign w:val="center"/>
          </w:tcPr>
          <w:p w14:paraId="3FF2E5EC">
            <w:pPr>
              <w:pStyle w:val="33"/>
              <w:rPr>
                <w:color w:val="auto"/>
                <w:szCs w:val="21"/>
              </w:rPr>
            </w:pPr>
            <w:r>
              <w:rPr>
                <w:color w:val="auto"/>
                <w:szCs w:val="21"/>
              </w:rPr>
              <w:t>t</w:t>
            </w:r>
          </w:p>
        </w:tc>
        <w:tc>
          <w:tcPr>
            <w:tcW w:w="1134" w:type="dxa"/>
            <w:vAlign w:val="center"/>
          </w:tcPr>
          <w:p w14:paraId="646B7143">
            <w:pPr>
              <w:pStyle w:val="33"/>
              <w:rPr>
                <w:color w:val="auto"/>
                <w:szCs w:val="21"/>
              </w:rPr>
            </w:pPr>
            <w:r>
              <w:rPr>
                <w:color w:val="auto"/>
                <w:szCs w:val="21"/>
              </w:rPr>
              <w:t>656100</w:t>
            </w:r>
          </w:p>
        </w:tc>
        <w:tc>
          <w:tcPr>
            <w:tcW w:w="1276" w:type="dxa"/>
            <w:vAlign w:val="center"/>
          </w:tcPr>
          <w:p w14:paraId="08E51213">
            <w:pPr>
              <w:pStyle w:val="33"/>
              <w:rPr>
                <w:color w:val="auto"/>
                <w:szCs w:val="21"/>
              </w:rPr>
            </w:pPr>
            <w:r>
              <w:rPr>
                <w:color w:val="auto"/>
                <w:szCs w:val="21"/>
              </w:rPr>
              <w:t>1175000</w:t>
            </w:r>
          </w:p>
        </w:tc>
        <w:tc>
          <w:tcPr>
            <w:tcW w:w="1134" w:type="dxa"/>
            <w:vAlign w:val="center"/>
          </w:tcPr>
          <w:p w14:paraId="56F32A9C">
            <w:pPr>
              <w:pStyle w:val="33"/>
              <w:rPr>
                <w:color w:val="auto"/>
                <w:szCs w:val="21"/>
              </w:rPr>
            </w:pPr>
          </w:p>
        </w:tc>
      </w:tr>
      <w:tr w14:paraId="6A9BD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77D96A83">
            <w:pPr>
              <w:pStyle w:val="33"/>
              <w:rPr>
                <w:color w:val="auto"/>
                <w:szCs w:val="21"/>
              </w:rPr>
            </w:pPr>
            <w:r>
              <w:rPr>
                <w:color w:val="auto"/>
                <w:szCs w:val="21"/>
              </w:rPr>
              <w:t>1</w:t>
            </w:r>
          </w:p>
        </w:tc>
        <w:tc>
          <w:tcPr>
            <w:tcW w:w="1418" w:type="dxa"/>
            <w:vAlign w:val="center"/>
          </w:tcPr>
          <w:p w14:paraId="6AD80A3D">
            <w:pPr>
              <w:pStyle w:val="33"/>
              <w:rPr>
                <w:color w:val="auto"/>
                <w:szCs w:val="21"/>
              </w:rPr>
            </w:pPr>
            <w:r>
              <w:rPr>
                <w:color w:val="auto"/>
              </w:rPr>
              <w:t>NBKP</w:t>
            </w:r>
            <w:r>
              <w:rPr>
                <w:rFonts w:hint="eastAsia"/>
                <w:color w:val="auto"/>
              </w:rPr>
              <w:t>（漂白针叶木硫酸盐浆）</w:t>
            </w:r>
          </w:p>
        </w:tc>
        <w:tc>
          <w:tcPr>
            <w:tcW w:w="709" w:type="dxa"/>
            <w:vAlign w:val="center"/>
          </w:tcPr>
          <w:p w14:paraId="7D0DC0AA">
            <w:pPr>
              <w:pStyle w:val="33"/>
              <w:rPr>
                <w:color w:val="auto"/>
                <w:szCs w:val="21"/>
              </w:rPr>
            </w:pPr>
            <w:r>
              <w:rPr>
                <w:color w:val="auto"/>
                <w:szCs w:val="21"/>
              </w:rPr>
              <w:t>kg</w:t>
            </w:r>
          </w:p>
        </w:tc>
        <w:tc>
          <w:tcPr>
            <w:tcW w:w="850" w:type="dxa"/>
            <w:vAlign w:val="center"/>
          </w:tcPr>
          <w:p w14:paraId="13A5395D">
            <w:pPr>
              <w:pStyle w:val="33"/>
              <w:rPr>
                <w:color w:val="auto"/>
                <w:szCs w:val="21"/>
              </w:rPr>
            </w:pPr>
            <w:r>
              <w:rPr>
                <w:color w:val="auto"/>
                <w:szCs w:val="21"/>
              </w:rPr>
              <w:t>77</w:t>
            </w:r>
          </w:p>
        </w:tc>
        <w:tc>
          <w:tcPr>
            <w:tcW w:w="851" w:type="dxa"/>
            <w:vAlign w:val="center"/>
          </w:tcPr>
          <w:p w14:paraId="44966526">
            <w:pPr>
              <w:pStyle w:val="33"/>
              <w:rPr>
                <w:color w:val="auto"/>
                <w:szCs w:val="21"/>
              </w:rPr>
            </w:pPr>
            <w:r>
              <w:rPr>
                <w:color w:val="auto"/>
                <w:szCs w:val="21"/>
              </w:rPr>
              <w:t>41</w:t>
            </w:r>
          </w:p>
        </w:tc>
        <w:tc>
          <w:tcPr>
            <w:tcW w:w="708" w:type="dxa"/>
            <w:vAlign w:val="center"/>
          </w:tcPr>
          <w:p w14:paraId="58B33DC4">
            <w:pPr>
              <w:pStyle w:val="33"/>
              <w:rPr>
                <w:color w:val="auto"/>
                <w:szCs w:val="21"/>
              </w:rPr>
            </w:pPr>
            <w:r>
              <w:rPr>
                <w:color w:val="auto"/>
                <w:szCs w:val="21"/>
              </w:rPr>
              <w:t>t</w:t>
            </w:r>
          </w:p>
        </w:tc>
        <w:tc>
          <w:tcPr>
            <w:tcW w:w="1134" w:type="dxa"/>
            <w:vAlign w:val="center"/>
          </w:tcPr>
          <w:p w14:paraId="6F5575AC">
            <w:pPr>
              <w:pStyle w:val="33"/>
              <w:rPr>
                <w:color w:val="auto"/>
                <w:szCs w:val="21"/>
              </w:rPr>
            </w:pPr>
            <w:r>
              <w:rPr>
                <w:color w:val="auto"/>
                <w:szCs w:val="21"/>
              </w:rPr>
              <w:t>69300</w:t>
            </w:r>
          </w:p>
        </w:tc>
        <w:tc>
          <w:tcPr>
            <w:tcW w:w="1276" w:type="dxa"/>
            <w:vAlign w:val="center"/>
          </w:tcPr>
          <w:p w14:paraId="3C902FC9">
            <w:pPr>
              <w:pStyle w:val="33"/>
              <w:rPr>
                <w:color w:val="auto"/>
                <w:szCs w:val="21"/>
              </w:rPr>
            </w:pPr>
            <w:r>
              <w:rPr>
                <w:color w:val="auto"/>
                <w:szCs w:val="21"/>
              </w:rPr>
              <w:t>61500</w:t>
            </w:r>
          </w:p>
        </w:tc>
        <w:tc>
          <w:tcPr>
            <w:tcW w:w="1134" w:type="dxa"/>
            <w:vAlign w:val="center"/>
          </w:tcPr>
          <w:p w14:paraId="028605DE">
            <w:pPr>
              <w:pStyle w:val="33"/>
              <w:rPr>
                <w:color w:val="auto"/>
                <w:szCs w:val="21"/>
              </w:rPr>
            </w:pPr>
            <w:r>
              <w:rPr>
                <w:color w:val="auto"/>
                <w:szCs w:val="21"/>
              </w:rPr>
              <w:t>99.5%得率，风干</w:t>
            </w:r>
          </w:p>
        </w:tc>
      </w:tr>
      <w:tr w14:paraId="532FF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2" w:type="dxa"/>
            <w:vAlign w:val="center"/>
          </w:tcPr>
          <w:p w14:paraId="76F8315B">
            <w:pPr>
              <w:pStyle w:val="33"/>
              <w:rPr>
                <w:color w:val="auto"/>
                <w:szCs w:val="21"/>
              </w:rPr>
            </w:pPr>
            <w:r>
              <w:rPr>
                <w:color w:val="auto"/>
                <w:szCs w:val="21"/>
              </w:rPr>
              <w:t>2</w:t>
            </w:r>
          </w:p>
        </w:tc>
        <w:tc>
          <w:tcPr>
            <w:tcW w:w="1418" w:type="dxa"/>
            <w:vAlign w:val="center"/>
          </w:tcPr>
          <w:p w14:paraId="2A8A5DAE">
            <w:pPr>
              <w:pStyle w:val="33"/>
              <w:rPr>
                <w:color w:val="auto"/>
                <w:szCs w:val="21"/>
              </w:rPr>
            </w:pPr>
            <w:r>
              <w:rPr>
                <w:color w:val="auto"/>
              </w:rPr>
              <w:t>LBKP</w:t>
            </w:r>
            <w:r>
              <w:rPr>
                <w:rFonts w:hint="eastAsia"/>
                <w:color w:val="auto"/>
              </w:rPr>
              <w:t>（漂白阔叶木硫酸盐浆）</w:t>
            </w:r>
          </w:p>
        </w:tc>
        <w:tc>
          <w:tcPr>
            <w:tcW w:w="709" w:type="dxa"/>
            <w:vAlign w:val="center"/>
          </w:tcPr>
          <w:p w14:paraId="1938AC2A">
            <w:pPr>
              <w:pStyle w:val="33"/>
              <w:rPr>
                <w:color w:val="auto"/>
                <w:szCs w:val="21"/>
              </w:rPr>
            </w:pPr>
            <w:r>
              <w:rPr>
                <w:color w:val="auto"/>
                <w:szCs w:val="21"/>
              </w:rPr>
              <w:t>kg</w:t>
            </w:r>
          </w:p>
        </w:tc>
        <w:tc>
          <w:tcPr>
            <w:tcW w:w="850" w:type="dxa"/>
            <w:vAlign w:val="center"/>
          </w:tcPr>
          <w:p w14:paraId="2E317378">
            <w:pPr>
              <w:pStyle w:val="33"/>
              <w:rPr>
                <w:color w:val="auto"/>
                <w:szCs w:val="21"/>
              </w:rPr>
            </w:pPr>
            <w:r>
              <w:rPr>
                <w:color w:val="auto"/>
                <w:szCs w:val="21"/>
              </w:rPr>
              <w:t>289</w:t>
            </w:r>
          </w:p>
        </w:tc>
        <w:tc>
          <w:tcPr>
            <w:tcW w:w="851" w:type="dxa"/>
            <w:vAlign w:val="center"/>
          </w:tcPr>
          <w:p w14:paraId="3A277C84">
            <w:pPr>
              <w:pStyle w:val="33"/>
              <w:rPr>
                <w:color w:val="auto"/>
                <w:szCs w:val="21"/>
              </w:rPr>
            </w:pPr>
            <w:r>
              <w:rPr>
                <w:color w:val="auto"/>
                <w:szCs w:val="21"/>
              </w:rPr>
              <w:t>265</w:t>
            </w:r>
          </w:p>
        </w:tc>
        <w:tc>
          <w:tcPr>
            <w:tcW w:w="708" w:type="dxa"/>
            <w:vAlign w:val="center"/>
          </w:tcPr>
          <w:p w14:paraId="17E09717">
            <w:pPr>
              <w:pStyle w:val="33"/>
              <w:rPr>
                <w:color w:val="auto"/>
                <w:szCs w:val="21"/>
              </w:rPr>
            </w:pPr>
            <w:r>
              <w:rPr>
                <w:color w:val="auto"/>
                <w:szCs w:val="21"/>
              </w:rPr>
              <w:t>t</w:t>
            </w:r>
          </w:p>
        </w:tc>
        <w:tc>
          <w:tcPr>
            <w:tcW w:w="1134" w:type="dxa"/>
            <w:vAlign w:val="center"/>
          </w:tcPr>
          <w:p w14:paraId="1E111D9B">
            <w:pPr>
              <w:pStyle w:val="33"/>
              <w:rPr>
                <w:color w:val="auto"/>
                <w:szCs w:val="21"/>
              </w:rPr>
            </w:pPr>
            <w:r>
              <w:rPr>
                <w:color w:val="auto"/>
                <w:szCs w:val="21"/>
              </w:rPr>
              <w:t>260100</w:t>
            </w:r>
          </w:p>
        </w:tc>
        <w:tc>
          <w:tcPr>
            <w:tcW w:w="1276" w:type="dxa"/>
            <w:vAlign w:val="center"/>
          </w:tcPr>
          <w:p w14:paraId="11A98B65">
            <w:pPr>
              <w:pStyle w:val="33"/>
              <w:rPr>
                <w:color w:val="auto"/>
                <w:szCs w:val="21"/>
              </w:rPr>
            </w:pPr>
            <w:r>
              <w:rPr>
                <w:color w:val="auto"/>
                <w:szCs w:val="21"/>
              </w:rPr>
              <w:t>397500</w:t>
            </w:r>
          </w:p>
        </w:tc>
        <w:tc>
          <w:tcPr>
            <w:tcW w:w="1134" w:type="dxa"/>
            <w:vAlign w:val="center"/>
          </w:tcPr>
          <w:p w14:paraId="30554B21">
            <w:pPr>
              <w:pStyle w:val="33"/>
              <w:rPr>
                <w:color w:val="auto"/>
                <w:szCs w:val="21"/>
              </w:rPr>
            </w:pPr>
            <w:r>
              <w:rPr>
                <w:color w:val="auto"/>
                <w:szCs w:val="21"/>
              </w:rPr>
              <w:t>99.5%得率，风干</w:t>
            </w:r>
          </w:p>
        </w:tc>
      </w:tr>
      <w:tr w14:paraId="4AF28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2" w:type="dxa"/>
            <w:vAlign w:val="center"/>
          </w:tcPr>
          <w:p w14:paraId="71EEBD49">
            <w:pPr>
              <w:pStyle w:val="33"/>
              <w:rPr>
                <w:color w:val="auto"/>
                <w:szCs w:val="21"/>
              </w:rPr>
            </w:pPr>
            <w:r>
              <w:rPr>
                <w:color w:val="auto"/>
                <w:szCs w:val="21"/>
              </w:rPr>
              <w:t>3</w:t>
            </w:r>
          </w:p>
        </w:tc>
        <w:tc>
          <w:tcPr>
            <w:tcW w:w="1418" w:type="dxa"/>
            <w:vAlign w:val="center"/>
          </w:tcPr>
          <w:p w14:paraId="6EE08244">
            <w:pPr>
              <w:pStyle w:val="33"/>
              <w:rPr>
                <w:color w:val="auto"/>
                <w:szCs w:val="21"/>
              </w:rPr>
            </w:pPr>
            <w:r>
              <w:rPr>
                <w:color w:val="auto"/>
                <w:szCs w:val="21"/>
              </w:rPr>
              <w:t>自制化机浆</w:t>
            </w:r>
          </w:p>
        </w:tc>
        <w:tc>
          <w:tcPr>
            <w:tcW w:w="709" w:type="dxa"/>
            <w:vAlign w:val="center"/>
          </w:tcPr>
          <w:p w14:paraId="35F26882">
            <w:pPr>
              <w:pStyle w:val="33"/>
              <w:rPr>
                <w:color w:val="auto"/>
                <w:szCs w:val="21"/>
              </w:rPr>
            </w:pPr>
            <w:r>
              <w:rPr>
                <w:color w:val="auto"/>
                <w:szCs w:val="21"/>
              </w:rPr>
              <w:t>kg</w:t>
            </w:r>
          </w:p>
        </w:tc>
        <w:tc>
          <w:tcPr>
            <w:tcW w:w="850" w:type="dxa"/>
            <w:vAlign w:val="center"/>
          </w:tcPr>
          <w:p w14:paraId="2FA01C2B">
            <w:pPr>
              <w:pStyle w:val="33"/>
              <w:rPr>
                <w:color w:val="auto"/>
                <w:szCs w:val="21"/>
              </w:rPr>
            </w:pPr>
            <w:r>
              <w:rPr>
                <w:color w:val="auto"/>
                <w:szCs w:val="21"/>
              </w:rPr>
              <w:t>363</w:t>
            </w:r>
          </w:p>
        </w:tc>
        <w:tc>
          <w:tcPr>
            <w:tcW w:w="851" w:type="dxa"/>
            <w:vAlign w:val="center"/>
          </w:tcPr>
          <w:p w14:paraId="2C656867">
            <w:pPr>
              <w:pStyle w:val="33"/>
              <w:rPr>
                <w:color w:val="auto"/>
                <w:szCs w:val="21"/>
              </w:rPr>
            </w:pPr>
            <w:r>
              <w:rPr>
                <w:color w:val="auto"/>
                <w:szCs w:val="21"/>
              </w:rPr>
              <w:t>400</w:t>
            </w:r>
          </w:p>
        </w:tc>
        <w:tc>
          <w:tcPr>
            <w:tcW w:w="708" w:type="dxa"/>
            <w:vAlign w:val="center"/>
          </w:tcPr>
          <w:p w14:paraId="4962F589">
            <w:pPr>
              <w:pStyle w:val="33"/>
              <w:rPr>
                <w:color w:val="auto"/>
                <w:szCs w:val="21"/>
              </w:rPr>
            </w:pPr>
            <w:r>
              <w:rPr>
                <w:color w:val="auto"/>
                <w:szCs w:val="21"/>
              </w:rPr>
              <w:t>t</w:t>
            </w:r>
          </w:p>
        </w:tc>
        <w:tc>
          <w:tcPr>
            <w:tcW w:w="1134" w:type="dxa"/>
            <w:vAlign w:val="center"/>
          </w:tcPr>
          <w:p w14:paraId="7472527F">
            <w:pPr>
              <w:pStyle w:val="33"/>
              <w:rPr>
                <w:color w:val="auto"/>
                <w:szCs w:val="21"/>
              </w:rPr>
            </w:pPr>
            <w:r>
              <w:rPr>
                <w:color w:val="auto"/>
                <w:szCs w:val="21"/>
              </w:rPr>
              <w:t>326700</w:t>
            </w:r>
          </w:p>
        </w:tc>
        <w:tc>
          <w:tcPr>
            <w:tcW w:w="1276" w:type="dxa"/>
            <w:vAlign w:val="center"/>
          </w:tcPr>
          <w:p w14:paraId="60D3C826">
            <w:pPr>
              <w:pStyle w:val="33"/>
              <w:rPr>
                <w:color w:val="auto"/>
                <w:szCs w:val="21"/>
              </w:rPr>
            </w:pPr>
            <w:r>
              <w:rPr>
                <w:color w:val="auto"/>
                <w:szCs w:val="21"/>
              </w:rPr>
              <w:t>600000</w:t>
            </w:r>
          </w:p>
        </w:tc>
        <w:tc>
          <w:tcPr>
            <w:tcW w:w="1134" w:type="dxa"/>
            <w:vAlign w:val="center"/>
          </w:tcPr>
          <w:p w14:paraId="37B236F1">
            <w:pPr>
              <w:pStyle w:val="33"/>
              <w:rPr>
                <w:color w:val="auto"/>
                <w:szCs w:val="21"/>
              </w:rPr>
            </w:pPr>
            <w:r>
              <w:rPr>
                <w:color w:val="auto"/>
                <w:szCs w:val="21"/>
              </w:rPr>
              <w:t>自制浆</w:t>
            </w:r>
          </w:p>
        </w:tc>
      </w:tr>
      <w:tr w14:paraId="12486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562" w:type="dxa"/>
            <w:vAlign w:val="center"/>
          </w:tcPr>
          <w:p w14:paraId="56151D9D">
            <w:pPr>
              <w:pStyle w:val="33"/>
              <w:rPr>
                <w:color w:val="auto"/>
                <w:szCs w:val="21"/>
              </w:rPr>
            </w:pPr>
            <w:r>
              <w:rPr>
                <w:color w:val="auto"/>
                <w:szCs w:val="21"/>
              </w:rPr>
              <w:t>4</w:t>
            </w:r>
          </w:p>
        </w:tc>
        <w:tc>
          <w:tcPr>
            <w:tcW w:w="1418" w:type="dxa"/>
            <w:vAlign w:val="center"/>
          </w:tcPr>
          <w:p w14:paraId="031DEEC0">
            <w:pPr>
              <w:pStyle w:val="33"/>
              <w:rPr>
                <w:color w:val="auto"/>
                <w:szCs w:val="21"/>
              </w:rPr>
            </w:pPr>
            <w:r>
              <w:rPr>
                <w:color w:val="auto"/>
                <w:szCs w:val="21"/>
              </w:rPr>
              <w:t>商品化机浆</w:t>
            </w:r>
          </w:p>
        </w:tc>
        <w:tc>
          <w:tcPr>
            <w:tcW w:w="709" w:type="dxa"/>
            <w:vAlign w:val="center"/>
          </w:tcPr>
          <w:p w14:paraId="2E5CDFA4">
            <w:pPr>
              <w:pStyle w:val="33"/>
              <w:rPr>
                <w:color w:val="auto"/>
                <w:szCs w:val="21"/>
              </w:rPr>
            </w:pPr>
            <w:r>
              <w:rPr>
                <w:color w:val="auto"/>
                <w:szCs w:val="21"/>
              </w:rPr>
              <w:t>kg</w:t>
            </w:r>
          </w:p>
        </w:tc>
        <w:tc>
          <w:tcPr>
            <w:tcW w:w="850" w:type="dxa"/>
            <w:vAlign w:val="center"/>
          </w:tcPr>
          <w:p w14:paraId="3BFC70A5">
            <w:pPr>
              <w:pStyle w:val="33"/>
              <w:rPr>
                <w:color w:val="auto"/>
                <w:szCs w:val="21"/>
              </w:rPr>
            </w:pPr>
          </w:p>
        </w:tc>
        <w:tc>
          <w:tcPr>
            <w:tcW w:w="851" w:type="dxa"/>
            <w:vAlign w:val="center"/>
          </w:tcPr>
          <w:p w14:paraId="5E7A4128">
            <w:pPr>
              <w:pStyle w:val="33"/>
              <w:rPr>
                <w:color w:val="auto"/>
                <w:szCs w:val="21"/>
              </w:rPr>
            </w:pPr>
            <w:r>
              <w:rPr>
                <w:color w:val="auto"/>
                <w:szCs w:val="21"/>
              </w:rPr>
              <w:t>39</w:t>
            </w:r>
          </w:p>
        </w:tc>
        <w:tc>
          <w:tcPr>
            <w:tcW w:w="708" w:type="dxa"/>
            <w:vAlign w:val="center"/>
          </w:tcPr>
          <w:p w14:paraId="132285DC">
            <w:pPr>
              <w:pStyle w:val="33"/>
              <w:rPr>
                <w:color w:val="auto"/>
                <w:szCs w:val="21"/>
              </w:rPr>
            </w:pPr>
            <w:r>
              <w:rPr>
                <w:color w:val="auto"/>
                <w:szCs w:val="21"/>
              </w:rPr>
              <w:t>t</w:t>
            </w:r>
          </w:p>
        </w:tc>
        <w:tc>
          <w:tcPr>
            <w:tcW w:w="1134" w:type="dxa"/>
            <w:vAlign w:val="center"/>
          </w:tcPr>
          <w:p w14:paraId="2E75F2BC">
            <w:pPr>
              <w:pStyle w:val="33"/>
              <w:rPr>
                <w:color w:val="auto"/>
                <w:szCs w:val="21"/>
              </w:rPr>
            </w:pPr>
          </w:p>
        </w:tc>
        <w:tc>
          <w:tcPr>
            <w:tcW w:w="1276" w:type="dxa"/>
            <w:vAlign w:val="center"/>
          </w:tcPr>
          <w:p w14:paraId="7DEDD768">
            <w:pPr>
              <w:pStyle w:val="33"/>
              <w:rPr>
                <w:color w:val="auto"/>
                <w:szCs w:val="21"/>
              </w:rPr>
            </w:pPr>
            <w:r>
              <w:rPr>
                <w:color w:val="auto"/>
                <w:szCs w:val="21"/>
              </w:rPr>
              <w:t>58500</w:t>
            </w:r>
          </w:p>
        </w:tc>
        <w:tc>
          <w:tcPr>
            <w:tcW w:w="1134" w:type="dxa"/>
            <w:vAlign w:val="center"/>
          </w:tcPr>
          <w:p w14:paraId="286DAB11">
            <w:pPr>
              <w:pStyle w:val="33"/>
              <w:rPr>
                <w:color w:val="auto"/>
                <w:szCs w:val="21"/>
              </w:rPr>
            </w:pPr>
            <w:r>
              <w:rPr>
                <w:color w:val="auto"/>
                <w:szCs w:val="21"/>
              </w:rPr>
              <w:t>99.5%得率，风干</w:t>
            </w:r>
          </w:p>
        </w:tc>
      </w:tr>
      <w:tr w14:paraId="7DCB3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7FE7E15E">
            <w:pPr>
              <w:pStyle w:val="33"/>
              <w:rPr>
                <w:color w:val="auto"/>
                <w:szCs w:val="21"/>
              </w:rPr>
            </w:pPr>
            <w:r>
              <w:rPr>
                <w:color w:val="auto"/>
                <w:szCs w:val="21"/>
              </w:rPr>
              <w:t>二</w:t>
            </w:r>
          </w:p>
        </w:tc>
        <w:tc>
          <w:tcPr>
            <w:tcW w:w="1418" w:type="dxa"/>
            <w:vAlign w:val="center"/>
          </w:tcPr>
          <w:p w14:paraId="7DBDD080">
            <w:pPr>
              <w:pStyle w:val="33"/>
              <w:rPr>
                <w:color w:val="auto"/>
                <w:szCs w:val="21"/>
              </w:rPr>
            </w:pPr>
            <w:r>
              <w:rPr>
                <w:color w:val="auto"/>
                <w:szCs w:val="21"/>
              </w:rPr>
              <w:t>化工品</w:t>
            </w:r>
          </w:p>
        </w:tc>
        <w:tc>
          <w:tcPr>
            <w:tcW w:w="709" w:type="dxa"/>
            <w:vAlign w:val="center"/>
          </w:tcPr>
          <w:p w14:paraId="75F4BA5A">
            <w:pPr>
              <w:pStyle w:val="33"/>
              <w:rPr>
                <w:color w:val="auto"/>
                <w:szCs w:val="21"/>
              </w:rPr>
            </w:pPr>
          </w:p>
        </w:tc>
        <w:tc>
          <w:tcPr>
            <w:tcW w:w="850" w:type="dxa"/>
            <w:vAlign w:val="center"/>
          </w:tcPr>
          <w:p w14:paraId="489E18A3">
            <w:pPr>
              <w:pStyle w:val="33"/>
              <w:rPr>
                <w:color w:val="auto"/>
                <w:szCs w:val="21"/>
              </w:rPr>
            </w:pPr>
          </w:p>
        </w:tc>
        <w:tc>
          <w:tcPr>
            <w:tcW w:w="851" w:type="dxa"/>
            <w:vAlign w:val="center"/>
          </w:tcPr>
          <w:p w14:paraId="74240E7C">
            <w:pPr>
              <w:pStyle w:val="33"/>
              <w:rPr>
                <w:color w:val="auto"/>
                <w:szCs w:val="21"/>
              </w:rPr>
            </w:pPr>
          </w:p>
        </w:tc>
        <w:tc>
          <w:tcPr>
            <w:tcW w:w="708" w:type="dxa"/>
            <w:vAlign w:val="center"/>
          </w:tcPr>
          <w:p w14:paraId="264CB31E">
            <w:pPr>
              <w:pStyle w:val="33"/>
              <w:rPr>
                <w:color w:val="auto"/>
                <w:szCs w:val="21"/>
              </w:rPr>
            </w:pPr>
          </w:p>
        </w:tc>
        <w:tc>
          <w:tcPr>
            <w:tcW w:w="1134" w:type="dxa"/>
            <w:vAlign w:val="center"/>
          </w:tcPr>
          <w:p w14:paraId="67805A57">
            <w:pPr>
              <w:pStyle w:val="33"/>
              <w:rPr>
                <w:color w:val="auto"/>
                <w:szCs w:val="21"/>
              </w:rPr>
            </w:pPr>
          </w:p>
        </w:tc>
        <w:tc>
          <w:tcPr>
            <w:tcW w:w="1276" w:type="dxa"/>
            <w:vAlign w:val="center"/>
          </w:tcPr>
          <w:p w14:paraId="4216B0A5">
            <w:pPr>
              <w:pStyle w:val="33"/>
              <w:rPr>
                <w:color w:val="auto"/>
                <w:szCs w:val="21"/>
              </w:rPr>
            </w:pPr>
          </w:p>
        </w:tc>
        <w:tc>
          <w:tcPr>
            <w:tcW w:w="1134" w:type="dxa"/>
            <w:vAlign w:val="center"/>
          </w:tcPr>
          <w:p w14:paraId="7B837923">
            <w:pPr>
              <w:pStyle w:val="33"/>
              <w:rPr>
                <w:color w:val="auto"/>
                <w:szCs w:val="21"/>
              </w:rPr>
            </w:pPr>
          </w:p>
        </w:tc>
      </w:tr>
      <w:tr w14:paraId="159E2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778AF06E">
            <w:pPr>
              <w:pStyle w:val="33"/>
              <w:rPr>
                <w:color w:val="auto"/>
                <w:szCs w:val="21"/>
              </w:rPr>
            </w:pPr>
            <w:r>
              <w:rPr>
                <w:color w:val="auto"/>
                <w:szCs w:val="21"/>
              </w:rPr>
              <w:t>1</w:t>
            </w:r>
          </w:p>
        </w:tc>
        <w:tc>
          <w:tcPr>
            <w:tcW w:w="1418" w:type="dxa"/>
            <w:vAlign w:val="center"/>
          </w:tcPr>
          <w:p w14:paraId="283691CA">
            <w:pPr>
              <w:pStyle w:val="33"/>
              <w:rPr>
                <w:color w:val="auto"/>
                <w:szCs w:val="21"/>
              </w:rPr>
            </w:pPr>
            <w:r>
              <w:rPr>
                <w:color w:val="auto"/>
                <w:szCs w:val="21"/>
              </w:rPr>
              <w:t>瓷土</w:t>
            </w:r>
          </w:p>
        </w:tc>
        <w:tc>
          <w:tcPr>
            <w:tcW w:w="709" w:type="dxa"/>
            <w:vAlign w:val="center"/>
          </w:tcPr>
          <w:p w14:paraId="5083C687">
            <w:pPr>
              <w:pStyle w:val="33"/>
              <w:rPr>
                <w:color w:val="auto"/>
                <w:szCs w:val="21"/>
              </w:rPr>
            </w:pPr>
            <w:r>
              <w:rPr>
                <w:color w:val="auto"/>
                <w:szCs w:val="21"/>
              </w:rPr>
              <w:t>kg</w:t>
            </w:r>
          </w:p>
        </w:tc>
        <w:tc>
          <w:tcPr>
            <w:tcW w:w="850" w:type="dxa"/>
            <w:vAlign w:val="center"/>
          </w:tcPr>
          <w:p w14:paraId="6A640235">
            <w:pPr>
              <w:pStyle w:val="33"/>
              <w:rPr>
                <w:color w:val="auto"/>
                <w:szCs w:val="21"/>
              </w:rPr>
            </w:pPr>
            <w:r>
              <w:rPr>
                <w:color w:val="auto"/>
                <w:szCs w:val="21"/>
              </w:rPr>
              <w:t>11</w:t>
            </w:r>
          </w:p>
        </w:tc>
        <w:tc>
          <w:tcPr>
            <w:tcW w:w="851" w:type="dxa"/>
            <w:vAlign w:val="center"/>
          </w:tcPr>
          <w:p w14:paraId="19B58AF1">
            <w:pPr>
              <w:pStyle w:val="33"/>
              <w:rPr>
                <w:color w:val="auto"/>
                <w:szCs w:val="21"/>
              </w:rPr>
            </w:pPr>
            <w:r>
              <w:rPr>
                <w:color w:val="auto"/>
                <w:szCs w:val="21"/>
              </w:rPr>
              <w:t>11</w:t>
            </w:r>
          </w:p>
        </w:tc>
        <w:tc>
          <w:tcPr>
            <w:tcW w:w="708" w:type="dxa"/>
            <w:vAlign w:val="center"/>
          </w:tcPr>
          <w:p w14:paraId="649FF14D">
            <w:pPr>
              <w:pStyle w:val="33"/>
              <w:rPr>
                <w:color w:val="auto"/>
                <w:szCs w:val="21"/>
              </w:rPr>
            </w:pPr>
            <w:r>
              <w:rPr>
                <w:color w:val="auto"/>
                <w:szCs w:val="21"/>
              </w:rPr>
              <w:t>t</w:t>
            </w:r>
          </w:p>
        </w:tc>
        <w:tc>
          <w:tcPr>
            <w:tcW w:w="1134" w:type="dxa"/>
            <w:vAlign w:val="center"/>
          </w:tcPr>
          <w:p w14:paraId="66F90830">
            <w:pPr>
              <w:pStyle w:val="33"/>
              <w:rPr>
                <w:color w:val="auto"/>
                <w:szCs w:val="21"/>
              </w:rPr>
            </w:pPr>
            <w:r>
              <w:rPr>
                <w:color w:val="auto"/>
                <w:szCs w:val="21"/>
              </w:rPr>
              <w:t>9900</w:t>
            </w:r>
          </w:p>
        </w:tc>
        <w:tc>
          <w:tcPr>
            <w:tcW w:w="1276" w:type="dxa"/>
            <w:vAlign w:val="center"/>
          </w:tcPr>
          <w:p w14:paraId="7ABC04E2">
            <w:pPr>
              <w:pStyle w:val="33"/>
              <w:rPr>
                <w:color w:val="auto"/>
                <w:szCs w:val="21"/>
              </w:rPr>
            </w:pPr>
            <w:r>
              <w:rPr>
                <w:color w:val="auto"/>
                <w:szCs w:val="21"/>
              </w:rPr>
              <w:t>16500</w:t>
            </w:r>
          </w:p>
        </w:tc>
        <w:tc>
          <w:tcPr>
            <w:tcW w:w="1134" w:type="dxa"/>
            <w:vAlign w:val="center"/>
          </w:tcPr>
          <w:p w14:paraId="1A143E13">
            <w:pPr>
              <w:pStyle w:val="33"/>
              <w:rPr>
                <w:color w:val="auto"/>
                <w:szCs w:val="21"/>
              </w:rPr>
            </w:pPr>
          </w:p>
        </w:tc>
      </w:tr>
      <w:tr w14:paraId="50316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707DF381">
            <w:pPr>
              <w:pStyle w:val="33"/>
              <w:rPr>
                <w:color w:val="auto"/>
                <w:szCs w:val="21"/>
              </w:rPr>
            </w:pPr>
            <w:r>
              <w:rPr>
                <w:color w:val="auto"/>
                <w:szCs w:val="21"/>
              </w:rPr>
              <w:t>2</w:t>
            </w:r>
          </w:p>
        </w:tc>
        <w:tc>
          <w:tcPr>
            <w:tcW w:w="1418" w:type="dxa"/>
            <w:vAlign w:val="center"/>
          </w:tcPr>
          <w:p w14:paraId="2AF39A45">
            <w:pPr>
              <w:pStyle w:val="33"/>
              <w:rPr>
                <w:color w:val="auto"/>
                <w:szCs w:val="21"/>
              </w:rPr>
            </w:pPr>
            <w:r>
              <w:rPr>
                <w:color w:val="auto"/>
                <w:szCs w:val="21"/>
              </w:rPr>
              <w:t>碳酸钙</w:t>
            </w:r>
          </w:p>
        </w:tc>
        <w:tc>
          <w:tcPr>
            <w:tcW w:w="709" w:type="dxa"/>
            <w:vAlign w:val="center"/>
          </w:tcPr>
          <w:p w14:paraId="5E720D06">
            <w:pPr>
              <w:pStyle w:val="33"/>
              <w:rPr>
                <w:color w:val="auto"/>
                <w:szCs w:val="21"/>
              </w:rPr>
            </w:pPr>
            <w:r>
              <w:rPr>
                <w:color w:val="auto"/>
                <w:szCs w:val="21"/>
              </w:rPr>
              <w:t>kg</w:t>
            </w:r>
          </w:p>
        </w:tc>
        <w:tc>
          <w:tcPr>
            <w:tcW w:w="850" w:type="dxa"/>
            <w:vAlign w:val="center"/>
          </w:tcPr>
          <w:p w14:paraId="586A95B7">
            <w:pPr>
              <w:pStyle w:val="33"/>
              <w:rPr>
                <w:color w:val="auto"/>
                <w:szCs w:val="21"/>
              </w:rPr>
            </w:pPr>
            <w:r>
              <w:rPr>
                <w:color w:val="auto"/>
                <w:szCs w:val="21"/>
              </w:rPr>
              <w:t>182</w:t>
            </w:r>
          </w:p>
        </w:tc>
        <w:tc>
          <w:tcPr>
            <w:tcW w:w="851" w:type="dxa"/>
            <w:vAlign w:val="center"/>
          </w:tcPr>
          <w:p w14:paraId="0BFE74F6">
            <w:pPr>
              <w:pStyle w:val="33"/>
              <w:rPr>
                <w:color w:val="auto"/>
                <w:szCs w:val="21"/>
              </w:rPr>
            </w:pPr>
            <w:r>
              <w:rPr>
                <w:color w:val="auto"/>
                <w:szCs w:val="21"/>
              </w:rPr>
              <w:t>258</w:t>
            </w:r>
          </w:p>
        </w:tc>
        <w:tc>
          <w:tcPr>
            <w:tcW w:w="708" w:type="dxa"/>
            <w:vAlign w:val="center"/>
          </w:tcPr>
          <w:p w14:paraId="3BD9AEED">
            <w:pPr>
              <w:pStyle w:val="33"/>
              <w:rPr>
                <w:color w:val="auto"/>
                <w:szCs w:val="21"/>
              </w:rPr>
            </w:pPr>
            <w:r>
              <w:rPr>
                <w:color w:val="auto"/>
                <w:szCs w:val="21"/>
              </w:rPr>
              <w:t>t</w:t>
            </w:r>
          </w:p>
        </w:tc>
        <w:tc>
          <w:tcPr>
            <w:tcW w:w="1134" w:type="dxa"/>
            <w:vAlign w:val="center"/>
          </w:tcPr>
          <w:p w14:paraId="29187E5C">
            <w:pPr>
              <w:pStyle w:val="33"/>
              <w:rPr>
                <w:color w:val="auto"/>
                <w:szCs w:val="21"/>
              </w:rPr>
            </w:pPr>
            <w:r>
              <w:rPr>
                <w:color w:val="auto"/>
                <w:szCs w:val="21"/>
              </w:rPr>
              <w:t>163800</w:t>
            </w:r>
          </w:p>
        </w:tc>
        <w:tc>
          <w:tcPr>
            <w:tcW w:w="1276" w:type="dxa"/>
            <w:vAlign w:val="center"/>
          </w:tcPr>
          <w:p w14:paraId="2BB4551B">
            <w:pPr>
              <w:pStyle w:val="33"/>
              <w:rPr>
                <w:color w:val="auto"/>
                <w:szCs w:val="21"/>
              </w:rPr>
            </w:pPr>
            <w:r>
              <w:rPr>
                <w:color w:val="auto"/>
                <w:szCs w:val="21"/>
              </w:rPr>
              <w:t>387000</w:t>
            </w:r>
          </w:p>
        </w:tc>
        <w:tc>
          <w:tcPr>
            <w:tcW w:w="1134" w:type="dxa"/>
            <w:vAlign w:val="center"/>
          </w:tcPr>
          <w:p w14:paraId="4031C3CD">
            <w:pPr>
              <w:pStyle w:val="33"/>
              <w:rPr>
                <w:color w:val="auto"/>
                <w:szCs w:val="21"/>
              </w:rPr>
            </w:pPr>
          </w:p>
        </w:tc>
      </w:tr>
      <w:tr w14:paraId="519DA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11F85B5E">
            <w:pPr>
              <w:pStyle w:val="33"/>
              <w:rPr>
                <w:color w:val="auto"/>
                <w:szCs w:val="21"/>
              </w:rPr>
            </w:pPr>
            <w:r>
              <w:rPr>
                <w:color w:val="auto"/>
                <w:szCs w:val="21"/>
              </w:rPr>
              <w:t>3</w:t>
            </w:r>
          </w:p>
        </w:tc>
        <w:tc>
          <w:tcPr>
            <w:tcW w:w="1418" w:type="dxa"/>
            <w:vAlign w:val="center"/>
          </w:tcPr>
          <w:p w14:paraId="7FD5E522">
            <w:pPr>
              <w:pStyle w:val="33"/>
              <w:rPr>
                <w:color w:val="auto"/>
                <w:szCs w:val="21"/>
              </w:rPr>
            </w:pPr>
            <w:r>
              <w:rPr>
                <w:color w:val="auto"/>
                <w:szCs w:val="21"/>
              </w:rPr>
              <w:t>滑石粉</w:t>
            </w:r>
          </w:p>
        </w:tc>
        <w:tc>
          <w:tcPr>
            <w:tcW w:w="709" w:type="dxa"/>
            <w:vAlign w:val="center"/>
          </w:tcPr>
          <w:p w14:paraId="4BC44E33">
            <w:pPr>
              <w:pStyle w:val="33"/>
              <w:rPr>
                <w:color w:val="auto"/>
                <w:szCs w:val="21"/>
              </w:rPr>
            </w:pPr>
            <w:r>
              <w:rPr>
                <w:color w:val="auto"/>
                <w:szCs w:val="21"/>
              </w:rPr>
              <w:t>kg</w:t>
            </w:r>
          </w:p>
        </w:tc>
        <w:tc>
          <w:tcPr>
            <w:tcW w:w="850" w:type="dxa"/>
            <w:vAlign w:val="center"/>
          </w:tcPr>
          <w:p w14:paraId="44F8D651">
            <w:pPr>
              <w:pStyle w:val="33"/>
              <w:rPr>
                <w:color w:val="auto"/>
                <w:szCs w:val="21"/>
              </w:rPr>
            </w:pPr>
            <w:r>
              <w:rPr>
                <w:color w:val="auto"/>
                <w:szCs w:val="21"/>
              </w:rPr>
              <w:t>30</w:t>
            </w:r>
          </w:p>
        </w:tc>
        <w:tc>
          <w:tcPr>
            <w:tcW w:w="851" w:type="dxa"/>
            <w:vAlign w:val="center"/>
          </w:tcPr>
          <w:p w14:paraId="1942A876">
            <w:pPr>
              <w:pStyle w:val="33"/>
              <w:rPr>
                <w:color w:val="auto"/>
                <w:szCs w:val="21"/>
              </w:rPr>
            </w:pPr>
            <w:r>
              <w:rPr>
                <w:color w:val="auto"/>
                <w:szCs w:val="21"/>
              </w:rPr>
              <w:t>30</w:t>
            </w:r>
          </w:p>
        </w:tc>
        <w:tc>
          <w:tcPr>
            <w:tcW w:w="708" w:type="dxa"/>
            <w:vAlign w:val="center"/>
          </w:tcPr>
          <w:p w14:paraId="2D4571D6">
            <w:pPr>
              <w:pStyle w:val="33"/>
              <w:rPr>
                <w:color w:val="auto"/>
                <w:szCs w:val="21"/>
              </w:rPr>
            </w:pPr>
            <w:r>
              <w:rPr>
                <w:color w:val="auto"/>
                <w:szCs w:val="21"/>
              </w:rPr>
              <w:t>t</w:t>
            </w:r>
          </w:p>
        </w:tc>
        <w:tc>
          <w:tcPr>
            <w:tcW w:w="1134" w:type="dxa"/>
            <w:vAlign w:val="center"/>
          </w:tcPr>
          <w:p w14:paraId="5C2CF6B5">
            <w:pPr>
              <w:pStyle w:val="33"/>
              <w:rPr>
                <w:color w:val="auto"/>
                <w:szCs w:val="21"/>
              </w:rPr>
            </w:pPr>
            <w:r>
              <w:rPr>
                <w:color w:val="auto"/>
                <w:szCs w:val="21"/>
              </w:rPr>
              <w:t>27000</w:t>
            </w:r>
          </w:p>
        </w:tc>
        <w:tc>
          <w:tcPr>
            <w:tcW w:w="1276" w:type="dxa"/>
            <w:vAlign w:val="center"/>
          </w:tcPr>
          <w:p w14:paraId="44016109">
            <w:pPr>
              <w:pStyle w:val="33"/>
              <w:rPr>
                <w:color w:val="auto"/>
                <w:szCs w:val="21"/>
              </w:rPr>
            </w:pPr>
            <w:r>
              <w:rPr>
                <w:color w:val="auto"/>
                <w:szCs w:val="21"/>
              </w:rPr>
              <w:t>45000</w:t>
            </w:r>
          </w:p>
        </w:tc>
        <w:tc>
          <w:tcPr>
            <w:tcW w:w="1134" w:type="dxa"/>
            <w:vAlign w:val="center"/>
          </w:tcPr>
          <w:p w14:paraId="03F46399">
            <w:pPr>
              <w:pStyle w:val="33"/>
              <w:rPr>
                <w:color w:val="auto"/>
                <w:szCs w:val="21"/>
              </w:rPr>
            </w:pPr>
          </w:p>
        </w:tc>
      </w:tr>
      <w:tr w14:paraId="7959D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287A2B1F">
            <w:pPr>
              <w:pStyle w:val="33"/>
              <w:rPr>
                <w:color w:val="auto"/>
                <w:szCs w:val="21"/>
              </w:rPr>
            </w:pPr>
            <w:r>
              <w:rPr>
                <w:color w:val="auto"/>
                <w:szCs w:val="21"/>
              </w:rPr>
              <w:t>4</w:t>
            </w:r>
          </w:p>
        </w:tc>
        <w:tc>
          <w:tcPr>
            <w:tcW w:w="1418" w:type="dxa"/>
            <w:vAlign w:val="center"/>
          </w:tcPr>
          <w:p w14:paraId="71D4FA48">
            <w:pPr>
              <w:pStyle w:val="33"/>
              <w:rPr>
                <w:color w:val="auto"/>
                <w:szCs w:val="21"/>
              </w:rPr>
            </w:pPr>
            <w:r>
              <w:rPr>
                <w:color w:val="auto"/>
                <w:szCs w:val="21"/>
              </w:rPr>
              <w:t>胶乳</w:t>
            </w:r>
          </w:p>
        </w:tc>
        <w:tc>
          <w:tcPr>
            <w:tcW w:w="709" w:type="dxa"/>
            <w:vAlign w:val="center"/>
          </w:tcPr>
          <w:p w14:paraId="12929AF0">
            <w:pPr>
              <w:pStyle w:val="33"/>
              <w:rPr>
                <w:color w:val="auto"/>
                <w:szCs w:val="21"/>
              </w:rPr>
            </w:pPr>
            <w:r>
              <w:rPr>
                <w:color w:val="auto"/>
                <w:szCs w:val="21"/>
              </w:rPr>
              <w:t>kg</w:t>
            </w:r>
          </w:p>
        </w:tc>
        <w:tc>
          <w:tcPr>
            <w:tcW w:w="850" w:type="dxa"/>
            <w:vAlign w:val="center"/>
          </w:tcPr>
          <w:p w14:paraId="1D4EA98E">
            <w:pPr>
              <w:pStyle w:val="33"/>
              <w:rPr>
                <w:color w:val="auto"/>
                <w:szCs w:val="21"/>
              </w:rPr>
            </w:pPr>
            <w:r>
              <w:rPr>
                <w:color w:val="auto"/>
                <w:szCs w:val="21"/>
              </w:rPr>
              <w:t>30</w:t>
            </w:r>
          </w:p>
        </w:tc>
        <w:tc>
          <w:tcPr>
            <w:tcW w:w="851" w:type="dxa"/>
            <w:vAlign w:val="center"/>
          </w:tcPr>
          <w:p w14:paraId="6DCB612F">
            <w:pPr>
              <w:pStyle w:val="33"/>
              <w:rPr>
                <w:color w:val="auto"/>
                <w:szCs w:val="21"/>
              </w:rPr>
            </w:pPr>
            <w:r>
              <w:rPr>
                <w:color w:val="auto"/>
                <w:szCs w:val="21"/>
              </w:rPr>
              <w:t>36</w:t>
            </w:r>
          </w:p>
        </w:tc>
        <w:tc>
          <w:tcPr>
            <w:tcW w:w="708" w:type="dxa"/>
            <w:vAlign w:val="center"/>
          </w:tcPr>
          <w:p w14:paraId="2E5C358C">
            <w:pPr>
              <w:pStyle w:val="33"/>
              <w:rPr>
                <w:color w:val="auto"/>
                <w:szCs w:val="21"/>
              </w:rPr>
            </w:pPr>
            <w:r>
              <w:rPr>
                <w:color w:val="auto"/>
                <w:szCs w:val="21"/>
              </w:rPr>
              <w:t>t</w:t>
            </w:r>
          </w:p>
        </w:tc>
        <w:tc>
          <w:tcPr>
            <w:tcW w:w="1134" w:type="dxa"/>
            <w:vAlign w:val="center"/>
          </w:tcPr>
          <w:p w14:paraId="227EFDE0">
            <w:pPr>
              <w:pStyle w:val="33"/>
              <w:rPr>
                <w:color w:val="auto"/>
                <w:szCs w:val="21"/>
              </w:rPr>
            </w:pPr>
            <w:r>
              <w:rPr>
                <w:color w:val="auto"/>
                <w:szCs w:val="21"/>
              </w:rPr>
              <w:t>27000</w:t>
            </w:r>
          </w:p>
        </w:tc>
        <w:tc>
          <w:tcPr>
            <w:tcW w:w="1276" w:type="dxa"/>
            <w:vAlign w:val="center"/>
          </w:tcPr>
          <w:p w14:paraId="7CDE2ED2">
            <w:pPr>
              <w:pStyle w:val="33"/>
              <w:rPr>
                <w:color w:val="auto"/>
                <w:szCs w:val="21"/>
              </w:rPr>
            </w:pPr>
            <w:r>
              <w:rPr>
                <w:color w:val="auto"/>
                <w:szCs w:val="21"/>
              </w:rPr>
              <w:t>54000</w:t>
            </w:r>
          </w:p>
        </w:tc>
        <w:tc>
          <w:tcPr>
            <w:tcW w:w="1134" w:type="dxa"/>
            <w:vAlign w:val="center"/>
          </w:tcPr>
          <w:p w14:paraId="72B7342F">
            <w:pPr>
              <w:pStyle w:val="33"/>
              <w:rPr>
                <w:color w:val="auto"/>
                <w:szCs w:val="21"/>
              </w:rPr>
            </w:pPr>
          </w:p>
        </w:tc>
      </w:tr>
      <w:tr w14:paraId="364F3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07E76371">
            <w:pPr>
              <w:pStyle w:val="33"/>
              <w:rPr>
                <w:color w:val="auto"/>
                <w:szCs w:val="21"/>
              </w:rPr>
            </w:pPr>
            <w:r>
              <w:rPr>
                <w:color w:val="auto"/>
                <w:szCs w:val="21"/>
              </w:rPr>
              <w:t>5</w:t>
            </w:r>
          </w:p>
        </w:tc>
        <w:tc>
          <w:tcPr>
            <w:tcW w:w="1418" w:type="dxa"/>
            <w:vAlign w:val="center"/>
          </w:tcPr>
          <w:p w14:paraId="52DEAD4F">
            <w:pPr>
              <w:pStyle w:val="33"/>
              <w:rPr>
                <w:color w:val="auto"/>
                <w:szCs w:val="21"/>
              </w:rPr>
            </w:pPr>
            <w:r>
              <w:rPr>
                <w:color w:val="auto"/>
                <w:szCs w:val="21"/>
              </w:rPr>
              <w:t>氧化淀粉</w:t>
            </w:r>
          </w:p>
        </w:tc>
        <w:tc>
          <w:tcPr>
            <w:tcW w:w="709" w:type="dxa"/>
            <w:vAlign w:val="center"/>
          </w:tcPr>
          <w:p w14:paraId="43AB7F93">
            <w:pPr>
              <w:pStyle w:val="33"/>
              <w:rPr>
                <w:color w:val="auto"/>
                <w:szCs w:val="21"/>
              </w:rPr>
            </w:pPr>
            <w:r>
              <w:rPr>
                <w:color w:val="auto"/>
                <w:szCs w:val="21"/>
              </w:rPr>
              <w:t>kg</w:t>
            </w:r>
          </w:p>
        </w:tc>
        <w:tc>
          <w:tcPr>
            <w:tcW w:w="850" w:type="dxa"/>
            <w:vAlign w:val="center"/>
          </w:tcPr>
          <w:p w14:paraId="2549F602">
            <w:pPr>
              <w:pStyle w:val="33"/>
              <w:rPr>
                <w:color w:val="auto"/>
                <w:szCs w:val="21"/>
              </w:rPr>
            </w:pPr>
            <w:r>
              <w:rPr>
                <w:color w:val="auto"/>
                <w:szCs w:val="21"/>
              </w:rPr>
              <w:t>7</w:t>
            </w:r>
          </w:p>
        </w:tc>
        <w:tc>
          <w:tcPr>
            <w:tcW w:w="851" w:type="dxa"/>
            <w:vAlign w:val="center"/>
          </w:tcPr>
          <w:p w14:paraId="216F68C5">
            <w:pPr>
              <w:pStyle w:val="33"/>
              <w:rPr>
                <w:color w:val="auto"/>
                <w:szCs w:val="21"/>
              </w:rPr>
            </w:pPr>
            <w:r>
              <w:rPr>
                <w:color w:val="auto"/>
                <w:szCs w:val="21"/>
              </w:rPr>
              <w:t>7</w:t>
            </w:r>
          </w:p>
        </w:tc>
        <w:tc>
          <w:tcPr>
            <w:tcW w:w="708" w:type="dxa"/>
            <w:vAlign w:val="center"/>
          </w:tcPr>
          <w:p w14:paraId="4A131054">
            <w:pPr>
              <w:pStyle w:val="33"/>
              <w:rPr>
                <w:color w:val="auto"/>
                <w:szCs w:val="21"/>
              </w:rPr>
            </w:pPr>
            <w:r>
              <w:rPr>
                <w:color w:val="auto"/>
                <w:szCs w:val="21"/>
              </w:rPr>
              <w:t>t</w:t>
            </w:r>
          </w:p>
        </w:tc>
        <w:tc>
          <w:tcPr>
            <w:tcW w:w="1134" w:type="dxa"/>
            <w:vAlign w:val="center"/>
          </w:tcPr>
          <w:p w14:paraId="58663A49">
            <w:pPr>
              <w:pStyle w:val="33"/>
              <w:rPr>
                <w:color w:val="auto"/>
                <w:szCs w:val="21"/>
              </w:rPr>
            </w:pPr>
            <w:r>
              <w:rPr>
                <w:color w:val="auto"/>
                <w:szCs w:val="21"/>
              </w:rPr>
              <w:t>6300</w:t>
            </w:r>
          </w:p>
        </w:tc>
        <w:tc>
          <w:tcPr>
            <w:tcW w:w="1276" w:type="dxa"/>
            <w:vAlign w:val="center"/>
          </w:tcPr>
          <w:p w14:paraId="64D6DF34">
            <w:pPr>
              <w:pStyle w:val="33"/>
              <w:rPr>
                <w:color w:val="auto"/>
                <w:szCs w:val="21"/>
              </w:rPr>
            </w:pPr>
            <w:r>
              <w:rPr>
                <w:color w:val="auto"/>
                <w:szCs w:val="21"/>
              </w:rPr>
              <w:t>10500</w:t>
            </w:r>
          </w:p>
        </w:tc>
        <w:tc>
          <w:tcPr>
            <w:tcW w:w="1134" w:type="dxa"/>
            <w:vAlign w:val="center"/>
          </w:tcPr>
          <w:p w14:paraId="223DC22E">
            <w:pPr>
              <w:pStyle w:val="33"/>
              <w:rPr>
                <w:color w:val="auto"/>
                <w:szCs w:val="21"/>
              </w:rPr>
            </w:pPr>
          </w:p>
        </w:tc>
      </w:tr>
      <w:tr w14:paraId="5FEC2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17AF511B">
            <w:pPr>
              <w:pStyle w:val="33"/>
              <w:rPr>
                <w:color w:val="auto"/>
                <w:szCs w:val="21"/>
              </w:rPr>
            </w:pPr>
            <w:r>
              <w:rPr>
                <w:color w:val="auto"/>
                <w:szCs w:val="21"/>
              </w:rPr>
              <w:t>6</w:t>
            </w:r>
          </w:p>
        </w:tc>
        <w:tc>
          <w:tcPr>
            <w:tcW w:w="1418" w:type="dxa"/>
            <w:vAlign w:val="center"/>
          </w:tcPr>
          <w:p w14:paraId="3BC731D4">
            <w:pPr>
              <w:pStyle w:val="33"/>
              <w:rPr>
                <w:color w:val="auto"/>
                <w:szCs w:val="21"/>
              </w:rPr>
            </w:pPr>
            <w:r>
              <w:rPr>
                <w:color w:val="auto"/>
                <w:szCs w:val="21"/>
              </w:rPr>
              <w:t>阳离子淀粉</w:t>
            </w:r>
          </w:p>
        </w:tc>
        <w:tc>
          <w:tcPr>
            <w:tcW w:w="709" w:type="dxa"/>
            <w:vAlign w:val="center"/>
          </w:tcPr>
          <w:p w14:paraId="63CF749F">
            <w:pPr>
              <w:pStyle w:val="33"/>
              <w:rPr>
                <w:color w:val="auto"/>
                <w:szCs w:val="21"/>
              </w:rPr>
            </w:pPr>
            <w:r>
              <w:rPr>
                <w:color w:val="auto"/>
                <w:szCs w:val="21"/>
              </w:rPr>
              <w:t>kg</w:t>
            </w:r>
          </w:p>
        </w:tc>
        <w:tc>
          <w:tcPr>
            <w:tcW w:w="850" w:type="dxa"/>
            <w:vAlign w:val="center"/>
          </w:tcPr>
          <w:p w14:paraId="28B9D31A">
            <w:pPr>
              <w:pStyle w:val="33"/>
              <w:rPr>
                <w:color w:val="auto"/>
                <w:szCs w:val="21"/>
              </w:rPr>
            </w:pPr>
            <w:r>
              <w:rPr>
                <w:color w:val="auto"/>
                <w:szCs w:val="21"/>
              </w:rPr>
              <w:t>15</w:t>
            </w:r>
          </w:p>
        </w:tc>
        <w:tc>
          <w:tcPr>
            <w:tcW w:w="851" w:type="dxa"/>
            <w:vAlign w:val="center"/>
          </w:tcPr>
          <w:p w14:paraId="7BE45007">
            <w:pPr>
              <w:pStyle w:val="33"/>
              <w:rPr>
                <w:color w:val="auto"/>
                <w:szCs w:val="21"/>
              </w:rPr>
            </w:pPr>
            <w:r>
              <w:rPr>
                <w:color w:val="auto"/>
                <w:szCs w:val="21"/>
              </w:rPr>
              <w:t>15</w:t>
            </w:r>
          </w:p>
        </w:tc>
        <w:tc>
          <w:tcPr>
            <w:tcW w:w="708" w:type="dxa"/>
            <w:vAlign w:val="center"/>
          </w:tcPr>
          <w:p w14:paraId="00DF169B">
            <w:pPr>
              <w:pStyle w:val="33"/>
              <w:rPr>
                <w:color w:val="auto"/>
                <w:szCs w:val="21"/>
              </w:rPr>
            </w:pPr>
            <w:r>
              <w:rPr>
                <w:color w:val="auto"/>
                <w:szCs w:val="21"/>
              </w:rPr>
              <w:t>t</w:t>
            </w:r>
          </w:p>
        </w:tc>
        <w:tc>
          <w:tcPr>
            <w:tcW w:w="1134" w:type="dxa"/>
            <w:vAlign w:val="center"/>
          </w:tcPr>
          <w:p w14:paraId="0972E7BE">
            <w:pPr>
              <w:pStyle w:val="33"/>
              <w:rPr>
                <w:color w:val="auto"/>
                <w:szCs w:val="21"/>
              </w:rPr>
            </w:pPr>
            <w:r>
              <w:rPr>
                <w:color w:val="auto"/>
                <w:szCs w:val="21"/>
              </w:rPr>
              <w:t>13500</w:t>
            </w:r>
          </w:p>
        </w:tc>
        <w:tc>
          <w:tcPr>
            <w:tcW w:w="1276" w:type="dxa"/>
            <w:vAlign w:val="center"/>
          </w:tcPr>
          <w:p w14:paraId="183116AE">
            <w:pPr>
              <w:pStyle w:val="33"/>
              <w:rPr>
                <w:color w:val="auto"/>
                <w:szCs w:val="21"/>
              </w:rPr>
            </w:pPr>
            <w:r>
              <w:rPr>
                <w:color w:val="auto"/>
                <w:szCs w:val="21"/>
              </w:rPr>
              <w:t>22500</w:t>
            </w:r>
          </w:p>
        </w:tc>
        <w:tc>
          <w:tcPr>
            <w:tcW w:w="1134" w:type="dxa"/>
            <w:vAlign w:val="center"/>
          </w:tcPr>
          <w:p w14:paraId="2E3FC819">
            <w:pPr>
              <w:pStyle w:val="33"/>
              <w:rPr>
                <w:color w:val="auto"/>
                <w:szCs w:val="21"/>
              </w:rPr>
            </w:pPr>
          </w:p>
        </w:tc>
      </w:tr>
      <w:tr w14:paraId="37D56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02EFBD17">
            <w:pPr>
              <w:pStyle w:val="33"/>
              <w:rPr>
                <w:color w:val="auto"/>
                <w:szCs w:val="21"/>
              </w:rPr>
            </w:pPr>
            <w:r>
              <w:rPr>
                <w:color w:val="auto"/>
                <w:szCs w:val="21"/>
              </w:rPr>
              <w:t>7</w:t>
            </w:r>
          </w:p>
        </w:tc>
        <w:tc>
          <w:tcPr>
            <w:tcW w:w="1418" w:type="dxa"/>
            <w:vAlign w:val="center"/>
          </w:tcPr>
          <w:p w14:paraId="4235D44D">
            <w:pPr>
              <w:pStyle w:val="33"/>
              <w:rPr>
                <w:color w:val="auto"/>
                <w:szCs w:val="21"/>
              </w:rPr>
            </w:pPr>
            <w:r>
              <w:rPr>
                <w:color w:val="auto"/>
                <w:szCs w:val="21"/>
              </w:rPr>
              <w:t>硫酸铝</w:t>
            </w:r>
          </w:p>
        </w:tc>
        <w:tc>
          <w:tcPr>
            <w:tcW w:w="709" w:type="dxa"/>
            <w:vAlign w:val="center"/>
          </w:tcPr>
          <w:p w14:paraId="261E699D">
            <w:pPr>
              <w:pStyle w:val="33"/>
              <w:rPr>
                <w:color w:val="auto"/>
                <w:szCs w:val="21"/>
              </w:rPr>
            </w:pPr>
            <w:r>
              <w:rPr>
                <w:color w:val="auto"/>
                <w:szCs w:val="21"/>
              </w:rPr>
              <w:t>kg</w:t>
            </w:r>
          </w:p>
        </w:tc>
        <w:tc>
          <w:tcPr>
            <w:tcW w:w="850" w:type="dxa"/>
            <w:vAlign w:val="center"/>
          </w:tcPr>
          <w:p w14:paraId="77C67C21">
            <w:pPr>
              <w:pStyle w:val="33"/>
              <w:rPr>
                <w:color w:val="auto"/>
                <w:szCs w:val="21"/>
              </w:rPr>
            </w:pPr>
            <w:r>
              <w:rPr>
                <w:color w:val="auto"/>
                <w:szCs w:val="21"/>
              </w:rPr>
              <w:t>30</w:t>
            </w:r>
          </w:p>
        </w:tc>
        <w:tc>
          <w:tcPr>
            <w:tcW w:w="851" w:type="dxa"/>
            <w:vAlign w:val="center"/>
          </w:tcPr>
          <w:p w14:paraId="149504DD">
            <w:pPr>
              <w:pStyle w:val="33"/>
              <w:rPr>
                <w:color w:val="auto"/>
                <w:szCs w:val="21"/>
              </w:rPr>
            </w:pPr>
            <w:r>
              <w:rPr>
                <w:color w:val="auto"/>
                <w:szCs w:val="21"/>
              </w:rPr>
              <w:t>30</w:t>
            </w:r>
          </w:p>
        </w:tc>
        <w:tc>
          <w:tcPr>
            <w:tcW w:w="708" w:type="dxa"/>
            <w:vAlign w:val="center"/>
          </w:tcPr>
          <w:p w14:paraId="33E843F7">
            <w:pPr>
              <w:pStyle w:val="33"/>
              <w:rPr>
                <w:color w:val="auto"/>
                <w:szCs w:val="21"/>
              </w:rPr>
            </w:pPr>
            <w:r>
              <w:rPr>
                <w:color w:val="auto"/>
                <w:szCs w:val="21"/>
              </w:rPr>
              <w:t>t</w:t>
            </w:r>
          </w:p>
        </w:tc>
        <w:tc>
          <w:tcPr>
            <w:tcW w:w="1134" w:type="dxa"/>
            <w:vAlign w:val="center"/>
          </w:tcPr>
          <w:p w14:paraId="70841E9D">
            <w:pPr>
              <w:pStyle w:val="33"/>
              <w:rPr>
                <w:color w:val="auto"/>
                <w:szCs w:val="21"/>
              </w:rPr>
            </w:pPr>
            <w:r>
              <w:rPr>
                <w:color w:val="auto"/>
                <w:szCs w:val="21"/>
              </w:rPr>
              <w:t>27000</w:t>
            </w:r>
          </w:p>
        </w:tc>
        <w:tc>
          <w:tcPr>
            <w:tcW w:w="1276" w:type="dxa"/>
            <w:vAlign w:val="center"/>
          </w:tcPr>
          <w:p w14:paraId="17975C9B">
            <w:pPr>
              <w:pStyle w:val="33"/>
              <w:rPr>
                <w:color w:val="auto"/>
                <w:szCs w:val="21"/>
              </w:rPr>
            </w:pPr>
            <w:r>
              <w:rPr>
                <w:color w:val="auto"/>
                <w:szCs w:val="21"/>
              </w:rPr>
              <w:t>45000</w:t>
            </w:r>
          </w:p>
        </w:tc>
        <w:tc>
          <w:tcPr>
            <w:tcW w:w="1134" w:type="dxa"/>
            <w:vAlign w:val="center"/>
          </w:tcPr>
          <w:p w14:paraId="24C86B9F">
            <w:pPr>
              <w:pStyle w:val="33"/>
              <w:rPr>
                <w:color w:val="auto"/>
                <w:szCs w:val="21"/>
              </w:rPr>
            </w:pPr>
          </w:p>
        </w:tc>
      </w:tr>
      <w:tr w14:paraId="09DD1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10D9E2AC">
            <w:pPr>
              <w:pStyle w:val="33"/>
              <w:rPr>
                <w:color w:val="auto"/>
                <w:szCs w:val="21"/>
              </w:rPr>
            </w:pPr>
            <w:r>
              <w:rPr>
                <w:color w:val="auto"/>
                <w:szCs w:val="21"/>
              </w:rPr>
              <w:t>8</w:t>
            </w:r>
          </w:p>
        </w:tc>
        <w:tc>
          <w:tcPr>
            <w:tcW w:w="1418" w:type="dxa"/>
            <w:vAlign w:val="center"/>
          </w:tcPr>
          <w:p w14:paraId="11D994CA">
            <w:pPr>
              <w:pStyle w:val="33"/>
              <w:rPr>
                <w:color w:val="auto"/>
                <w:szCs w:val="21"/>
              </w:rPr>
            </w:pPr>
            <w:r>
              <w:rPr>
                <w:color w:val="auto"/>
                <w:szCs w:val="21"/>
              </w:rPr>
              <w:t>松香</w:t>
            </w:r>
          </w:p>
        </w:tc>
        <w:tc>
          <w:tcPr>
            <w:tcW w:w="709" w:type="dxa"/>
            <w:vAlign w:val="center"/>
          </w:tcPr>
          <w:p w14:paraId="632DB49D">
            <w:pPr>
              <w:pStyle w:val="33"/>
              <w:rPr>
                <w:color w:val="auto"/>
                <w:szCs w:val="21"/>
              </w:rPr>
            </w:pPr>
            <w:r>
              <w:rPr>
                <w:color w:val="auto"/>
                <w:szCs w:val="21"/>
              </w:rPr>
              <w:t>kg</w:t>
            </w:r>
          </w:p>
        </w:tc>
        <w:tc>
          <w:tcPr>
            <w:tcW w:w="850" w:type="dxa"/>
            <w:vAlign w:val="center"/>
          </w:tcPr>
          <w:p w14:paraId="6B76E3D1">
            <w:pPr>
              <w:pStyle w:val="33"/>
              <w:rPr>
                <w:color w:val="auto"/>
                <w:szCs w:val="21"/>
              </w:rPr>
            </w:pPr>
            <w:r>
              <w:rPr>
                <w:color w:val="auto"/>
                <w:szCs w:val="21"/>
              </w:rPr>
              <w:t>25</w:t>
            </w:r>
          </w:p>
        </w:tc>
        <w:tc>
          <w:tcPr>
            <w:tcW w:w="851" w:type="dxa"/>
            <w:vAlign w:val="center"/>
          </w:tcPr>
          <w:p w14:paraId="4B0EC1A3">
            <w:pPr>
              <w:pStyle w:val="33"/>
              <w:rPr>
                <w:color w:val="auto"/>
                <w:szCs w:val="21"/>
              </w:rPr>
            </w:pPr>
            <w:r>
              <w:rPr>
                <w:color w:val="auto"/>
                <w:szCs w:val="21"/>
              </w:rPr>
              <w:t>25</w:t>
            </w:r>
          </w:p>
        </w:tc>
        <w:tc>
          <w:tcPr>
            <w:tcW w:w="708" w:type="dxa"/>
            <w:vAlign w:val="center"/>
          </w:tcPr>
          <w:p w14:paraId="102755AC">
            <w:pPr>
              <w:pStyle w:val="33"/>
              <w:rPr>
                <w:color w:val="auto"/>
                <w:szCs w:val="21"/>
              </w:rPr>
            </w:pPr>
            <w:r>
              <w:rPr>
                <w:color w:val="auto"/>
                <w:szCs w:val="21"/>
              </w:rPr>
              <w:t>t</w:t>
            </w:r>
          </w:p>
        </w:tc>
        <w:tc>
          <w:tcPr>
            <w:tcW w:w="1134" w:type="dxa"/>
            <w:vAlign w:val="center"/>
          </w:tcPr>
          <w:p w14:paraId="500E5796">
            <w:pPr>
              <w:pStyle w:val="33"/>
              <w:rPr>
                <w:color w:val="auto"/>
                <w:szCs w:val="21"/>
              </w:rPr>
            </w:pPr>
            <w:r>
              <w:rPr>
                <w:color w:val="auto"/>
                <w:szCs w:val="21"/>
              </w:rPr>
              <w:t>22500</w:t>
            </w:r>
          </w:p>
        </w:tc>
        <w:tc>
          <w:tcPr>
            <w:tcW w:w="1276" w:type="dxa"/>
            <w:vAlign w:val="center"/>
          </w:tcPr>
          <w:p w14:paraId="514306DC">
            <w:pPr>
              <w:pStyle w:val="33"/>
              <w:rPr>
                <w:color w:val="auto"/>
                <w:szCs w:val="21"/>
              </w:rPr>
            </w:pPr>
            <w:r>
              <w:rPr>
                <w:color w:val="auto"/>
                <w:szCs w:val="21"/>
              </w:rPr>
              <w:t>37500</w:t>
            </w:r>
          </w:p>
        </w:tc>
        <w:tc>
          <w:tcPr>
            <w:tcW w:w="1134" w:type="dxa"/>
            <w:vAlign w:val="center"/>
          </w:tcPr>
          <w:p w14:paraId="136AF8F2">
            <w:pPr>
              <w:pStyle w:val="33"/>
              <w:rPr>
                <w:color w:val="auto"/>
                <w:szCs w:val="21"/>
              </w:rPr>
            </w:pPr>
          </w:p>
        </w:tc>
      </w:tr>
      <w:tr w14:paraId="2DA6D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021FAFEF">
            <w:pPr>
              <w:pStyle w:val="33"/>
              <w:rPr>
                <w:color w:val="auto"/>
                <w:szCs w:val="21"/>
              </w:rPr>
            </w:pPr>
            <w:r>
              <w:rPr>
                <w:color w:val="auto"/>
                <w:szCs w:val="21"/>
              </w:rPr>
              <w:t>9</w:t>
            </w:r>
          </w:p>
        </w:tc>
        <w:tc>
          <w:tcPr>
            <w:tcW w:w="1418" w:type="dxa"/>
            <w:vAlign w:val="center"/>
          </w:tcPr>
          <w:p w14:paraId="14AD0FF6">
            <w:pPr>
              <w:pStyle w:val="33"/>
              <w:rPr>
                <w:color w:val="auto"/>
                <w:szCs w:val="21"/>
              </w:rPr>
            </w:pPr>
            <w:r>
              <w:rPr>
                <w:color w:val="auto"/>
                <w:szCs w:val="21"/>
              </w:rPr>
              <w:t>CMC</w:t>
            </w:r>
            <w:r>
              <w:rPr>
                <w:rFonts w:hint="eastAsia"/>
                <w:color w:val="auto"/>
              </w:rPr>
              <w:t>（羧甲基纤维素钠）</w:t>
            </w:r>
          </w:p>
        </w:tc>
        <w:tc>
          <w:tcPr>
            <w:tcW w:w="709" w:type="dxa"/>
            <w:vAlign w:val="center"/>
          </w:tcPr>
          <w:p w14:paraId="4E4A0352">
            <w:pPr>
              <w:pStyle w:val="33"/>
              <w:rPr>
                <w:color w:val="auto"/>
                <w:szCs w:val="21"/>
              </w:rPr>
            </w:pPr>
            <w:r>
              <w:rPr>
                <w:color w:val="auto"/>
                <w:szCs w:val="21"/>
              </w:rPr>
              <w:t>kg</w:t>
            </w:r>
          </w:p>
        </w:tc>
        <w:tc>
          <w:tcPr>
            <w:tcW w:w="850" w:type="dxa"/>
            <w:vAlign w:val="center"/>
          </w:tcPr>
          <w:p w14:paraId="086E3F0D">
            <w:pPr>
              <w:pStyle w:val="33"/>
              <w:rPr>
                <w:color w:val="auto"/>
                <w:szCs w:val="21"/>
              </w:rPr>
            </w:pPr>
            <w:r>
              <w:rPr>
                <w:color w:val="auto"/>
                <w:szCs w:val="21"/>
              </w:rPr>
              <w:t>0.55</w:t>
            </w:r>
          </w:p>
        </w:tc>
        <w:tc>
          <w:tcPr>
            <w:tcW w:w="851" w:type="dxa"/>
            <w:vAlign w:val="center"/>
          </w:tcPr>
          <w:p w14:paraId="08759C89">
            <w:pPr>
              <w:pStyle w:val="33"/>
              <w:rPr>
                <w:color w:val="auto"/>
                <w:szCs w:val="21"/>
              </w:rPr>
            </w:pPr>
            <w:r>
              <w:rPr>
                <w:color w:val="auto"/>
                <w:szCs w:val="21"/>
              </w:rPr>
              <w:t>0.55</w:t>
            </w:r>
          </w:p>
        </w:tc>
        <w:tc>
          <w:tcPr>
            <w:tcW w:w="708" w:type="dxa"/>
            <w:vAlign w:val="center"/>
          </w:tcPr>
          <w:p w14:paraId="2302D9D6">
            <w:pPr>
              <w:pStyle w:val="33"/>
              <w:rPr>
                <w:color w:val="auto"/>
                <w:szCs w:val="21"/>
              </w:rPr>
            </w:pPr>
            <w:r>
              <w:rPr>
                <w:color w:val="auto"/>
                <w:szCs w:val="21"/>
              </w:rPr>
              <w:t>t</w:t>
            </w:r>
          </w:p>
        </w:tc>
        <w:tc>
          <w:tcPr>
            <w:tcW w:w="1134" w:type="dxa"/>
            <w:vAlign w:val="center"/>
          </w:tcPr>
          <w:p w14:paraId="3F6BA4B5">
            <w:pPr>
              <w:pStyle w:val="33"/>
              <w:rPr>
                <w:color w:val="auto"/>
                <w:szCs w:val="21"/>
              </w:rPr>
            </w:pPr>
            <w:r>
              <w:rPr>
                <w:color w:val="auto"/>
                <w:szCs w:val="21"/>
              </w:rPr>
              <w:t>495</w:t>
            </w:r>
          </w:p>
        </w:tc>
        <w:tc>
          <w:tcPr>
            <w:tcW w:w="1276" w:type="dxa"/>
            <w:vAlign w:val="center"/>
          </w:tcPr>
          <w:p w14:paraId="1F9A95EA">
            <w:pPr>
              <w:pStyle w:val="33"/>
              <w:rPr>
                <w:color w:val="auto"/>
                <w:szCs w:val="21"/>
              </w:rPr>
            </w:pPr>
            <w:r>
              <w:rPr>
                <w:color w:val="auto"/>
                <w:szCs w:val="21"/>
              </w:rPr>
              <w:t>825</w:t>
            </w:r>
          </w:p>
        </w:tc>
        <w:tc>
          <w:tcPr>
            <w:tcW w:w="1134" w:type="dxa"/>
            <w:vAlign w:val="center"/>
          </w:tcPr>
          <w:p w14:paraId="0875E38A">
            <w:pPr>
              <w:pStyle w:val="33"/>
              <w:rPr>
                <w:color w:val="auto"/>
                <w:szCs w:val="21"/>
              </w:rPr>
            </w:pPr>
          </w:p>
        </w:tc>
      </w:tr>
      <w:tr w14:paraId="28527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752F8613">
            <w:pPr>
              <w:pStyle w:val="33"/>
              <w:rPr>
                <w:color w:val="auto"/>
                <w:szCs w:val="21"/>
              </w:rPr>
            </w:pPr>
            <w:r>
              <w:rPr>
                <w:color w:val="auto"/>
                <w:szCs w:val="21"/>
              </w:rPr>
              <w:t>10</w:t>
            </w:r>
          </w:p>
        </w:tc>
        <w:tc>
          <w:tcPr>
            <w:tcW w:w="1418" w:type="dxa"/>
            <w:vAlign w:val="center"/>
          </w:tcPr>
          <w:p w14:paraId="3B3771C0">
            <w:pPr>
              <w:pStyle w:val="33"/>
              <w:rPr>
                <w:color w:val="auto"/>
                <w:szCs w:val="21"/>
              </w:rPr>
            </w:pPr>
            <w:r>
              <w:rPr>
                <w:color w:val="auto"/>
                <w:szCs w:val="21"/>
              </w:rPr>
              <w:t>消泡剂</w:t>
            </w:r>
          </w:p>
        </w:tc>
        <w:tc>
          <w:tcPr>
            <w:tcW w:w="709" w:type="dxa"/>
            <w:vAlign w:val="center"/>
          </w:tcPr>
          <w:p w14:paraId="5913AD7D">
            <w:pPr>
              <w:pStyle w:val="33"/>
              <w:rPr>
                <w:color w:val="auto"/>
                <w:szCs w:val="21"/>
              </w:rPr>
            </w:pPr>
            <w:r>
              <w:rPr>
                <w:color w:val="auto"/>
                <w:szCs w:val="21"/>
              </w:rPr>
              <w:t>kg</w:t>
            </w:r>
          </w:p>
        </w:tc>
        <w:tc>
          <w:tcPr>
            <w:tcW w:w="850" w:type="dxa"/>
            <w:vAlign w:val="center"/>
          </w:tcPr>
          <w:p w14:paraId="62F36CF9">
            <w:pPr>
              <w:pStyle w:val="33"/>
              <w:rPr>
                <w:color w:val="auto"/>
                <w:szCs w:val="21"/>
              </w:rPr>
            </w:pPr>
            <w:r>
              <w:rPr>
                <w:color w:val="auto"/>
                <w:szCs w:val="21"/>
              </w:rPr>
              <w:t>0.25</w:t>
            </w:r>
          </w:p>
        </w:tc>
        <w:tc>
          <w:tcPr>
            <w:tcW w:w="851" w:type="dxa"/>
            <w:vAlign w:val="center"/>
          </w:tcPr>
          <w:p w14:paraId="2FA8811F">
            <w:pPr>
              <w:pStyle w:val="33"/>
              <w:rPr>
                <w:color w:val="auto"/>
                <w:szCs w:val="21"/>
              </w:rPr>
            </w:pPr>
            <w:r>
              <w:rPr>
                <w:color w:val="auto"/>
                <w:szCs w:val="21"/>
              </w:rPr>
              <w:t>1</w:t>
            </w:r>
          </w:p>
        </w:tc>
        <w:tc>
          <w:tcPr>
            <w:tcW w:w="708" w:type="dxa"/>
            <w:vAlign w:val="center"/>
          </w:tcPr>
          <w:p w14:paraId="6E6E54FB">
            <w:pPr>
              <w:pStyle w:val="33"/>
              <w:rPr>
                <w:color w:val="auto"/>
                <w:szCs w:val="21"/>
              </w:rPr>
            </w:pPr>
            <w:r>
              <w:rPr>
                <w:color w:val="auto"/>
                <w:szCs w:val="21"/>
              </w:rPr>
              <w:t>t</w:t>
            </w:r>
          </w:p>
        </w:tc>
        <w:tc>
          <w:tcPr>
            <w:tcW w:w="1134" w:type="dxa"/>
            <w:vAlign w:val="center"/>
          </w:tcPr>
          <w:p w14:paraId="19BF0F68">
            <w:pPr>
              <w:pStyle w:val="33"/>
              <w:rPr>
                <w:color w:val="auto"/>
                <w:szCs w:val="21"/>
              </w:rPr>
            </w:pPr>
            <w:r>
              <w:rPr>
                <w:color w:val="auto"/>
                <w:szCs w:val="21"/>
              </w:rPr>
              <w:t>225</w:t>
            </w:r>
          </w:p>
        </w:tc>
        <w:tc>
          <w:tcPr>
            <w:tcW w:w="1276" w:type="dxa"/>
            <w:vAlign w:val="center"/>
          </w:tcPr>
          <w:p w14:paraId="51BEC3C0">
            <w:pPr>
              <w:pStyle w:val="33"/>
              <w:rPr>
                <w:color w:val="auto"/>
                <w:szCs w:val="21"/>
              </w:rPr>
            </w:pPr>
            <w:r>
              <w:rPr>
                <w:color w:val="auto"/>
                <w:szCs w:val="21"/>
              </w:rPr>
              <w:t>1500</w:t>
            </w:r>
          </w:p>
        </w:tc>
        <w:tc>
          <w:tcPr>
            <w:tcW w:w="1134" w:type="dxa"/>
            <w:vAlign w:val="center"/>
          </w:tcPr>
          <w:p w14:paraId="1E6874B8">
            <w:pPr>
              <w:pStyle w:val="33"/>
              <w:rPr>
                <w:color w:val="auto"/>
                <w:szCs w:val="21"/>
              </w:rPr>
            </w:pPr>
          </w:p>
        </w:tc>
      </w:tr>
      <w:tr w14:paraId="76623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7E2FCD2A">
            <w:pPr>
              <w:pStyle w:val="33"/>
              <w:rPr>
                <w:color w:val="auto"/>
                <w:szCs w:val="21"/>
              </w:rPr>
            </w:pPr>
            <w:r>
              <w:rPr>
                <w:color w:val="auto"/>
                <w:szCs w:val="21"/>
              </w:rPr>
              <w:t>11</w:t>
            </w:r>
          </w:p>
        </w:tc>
        <w:tc>
          <w:tcPr>
            <w:tcW w:w="1418" w:type="dxa"/>
            <w:vAlign w:val="center"/>
          </w:tcPr>
          <w:p w14:paraId="0ADEAF7C">
            <w:pPr>
              <w:pStyle w:val="33"/>
              <w:rPr>
                <w:color w:val="auto"/>
                <w:szCs w:val="21"/>
              </w:rPr>
            </w:pPr>
            <w:r>
              <w:rPr>
                <w:color w:val="auto"/>
                <w:szCs w:val="21"/>
              </w:rPr>
              <w:t>润滑剂</w:t>
            </w:r>
          </w:p>
        </w:tc>
        <w:tc>
          <w:tcPr>
            <w:tcW w:w="709" w:type="dxa"/>
            <w:vAlign w:val="center"/>
          </w:tcPr>
          <w:p w14:paraId="1BFED8D4">
            <w:pPr>
              <w:pStyle w:val="33"/>
              <w:rPr>
                <w:color w:val="auto"/>
                <w:szCs w:val="21"/>
              </w:rPr>
            </w:pPr>
            <w:r>
              <w:rPr>
                <w:color w:val="auto"/>
                <w:szCs w:val="21"/>
              </w:rPr>
              <w:t>kg</w:t>
            </w:r>
          </w:p>
        </w:tc>
        <w:tc>
          <w:tcPr>
            <w:tcW w:w="850" w:type="dxa"/>
            <w:vAlign w:val="center"/>
          </w:tcPr>
          <w:p w14:paraId="1AD0FA03">
            <w:pPr>
              <w:pStyle w:val="33"/>
              <w:rPr>
                <w:color w:val="auto"/>
                <w:szCs w:val="21"/>
              </w:rPr>
            </w:pPr>
            <w:r>
              <w:rPr>
                <w:color w:val="auto"/>
                <w:szCs w:val="21"/>
              </w:rPr>
              <w:t>0.95</w:t>
            </w:r>
          </w:p>
        </w:tc>
        <w:tc>
          <w:tcPr>
            <w:tcW w:w="851" w:type="dxa"/>
            <w:vAlign w:val="center"/>
          </w:tcPr>
          <w:p w14:paraId="5E13F305">
            <w:pPr>
              <w:pStyle w:val="33"/>
              <w:rPr>
                <w:color w:val="auto"/>
                <w:szCs w:val="21"/>
              </w:rPr>
            </w:pPr>
            <w:r>
              <w:rPr>
                <w:color w:val="auto"/>
                <w:szCs w:val="21"/>
              </w:rPr>
              <w:t>1</w:t>
            </w:r>
          </w:p>
        </w:tc>
        <w:tc>
          <w:tcPr>
            <w:tcW w:w="708" w:type="dxa"/>
            <w:vAlign w:val="center"/>
          </w:tcPr>
          <w:p w14:paraId="3E5EEDEB">
            <w:pPr>
              <w:pStyle w:val="33"/>
              <w:rPr>
                <w:color w:val="auto"/>
                <w:szCs w:val="21"/>
              </w:rPr>
            </w:pPr>
            <w:r>
              <w:rPr>
                <w:color w:val="auto"/>
                <w:szCs w:val="21"/>
              </w:rPr>
              <w:t>t</w:t>
            </w:r>
          </w:p>
        </w:tc>
        <w:tc>
          <w:tcPr>
            <w:tcW w:w="1134" w:type="dxa"/>
            <w:vAlign w:val="center"/>
          </w:tcPr>
          <w:p w14:paraId="5ADA27D0">
            <w:pPr>
              <w:pStyle w:val="33"/>
              <w:rPr>
                <w:color w:val="auto"/>
                <w:szCs w:val="21"/>
              </w:rPr>
            </w:pPr>
            <w:r>
              <w:rPr>
                <w:color w:val="auto"/>
                <w:szCs w:val="21"/>
              </w:rPr>
              <w:t>855</w:t>
            </w:r>
          </w:p>
        </w:tc>
        <w:tc>
          <w:tcPr>
            <w:tcW w:w="1276" w:type="dxa"/>
            <w:vAlign w:val="center"/>
          </w:tcPr>
          <w:p w14:paraId="7E362F6D">
            <w:pPr>
              <w:pStyle w:val="33"/>
              <w:rPr>
                <w:color w:val="auto"/>
                <w:szCs w:val="21"/>
              </w:rPr>
            </w:pPr>
            <w:r>
              <w:rPr>
                <w:color w:val="auto"/>
                <w:szCs w:val="21"/>
              </w:rPr>
              <w:t>1500</w:t>
            </w:r>
          </w:p>
        </w:tc>
        <w:tc>
          <w:tcPr>
            <w:tcW w:w="1134" w:type="dxa"/>
            <w:vAlign w:val="center"/>
          </w:tcPr>
          <w:p w14:paraId="7FC652C4">
            <w:pPr>
              <w:pStyle w:val="33"/>
              <w:rPr>
                <w:color w:val="auto"/>
                <w:szCs w:val="21"/>
              </w:rPr>
            </w:pPr>
          </w:p>
        </w:tc>
      </w:tr>
      <w:tr w14:paraId="21253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01" w:hRule="atLeast"/>
          <w:jc w:val="center"/>
        </w:trPr>
        <w:tc>
          <w:tcPr>
            <w:tcW w:w="562" w:type="dxa"/>
            <w:vAlign w:val="center"/>
          </w:tcPr>
          <w:p w14:paraId="311472EC">
            <w:pPr>
              <w:pStyle w:val="33"/>
              <w:rPr>
                <w:color w:val="auto"/>
                <w:szCs w:val="21"/>
              </w:rPr>
            </w:pPr>
            <w:r>
              <w:rPr>
                <w:color w:val="auto"/>
                <w:szCs w:val="21"/>
              </w:rPr>
              <w:t>12</w:t>
            </w:r>
          </w:p>
        </w:tc>
        <w:tc>
          <w:tcPr>
            <w:tcW w:w="1418" w:type="dxa"/>
            <w:vAlign w:val="center"/>
          </w:tcPr>
          <w:p w14:paraId="78899DD3">
            <w:pPr>
              <w:pStyle w:val="33"/>
              <w:rPr>
                <w:color w:val="auto"/>
                <w:szCs w:val="21"/>
              </w:rPr>
            </w:pPr>
            <w:r>
              <w:rPr>
                <w:color w:val="auto"/>
                <w:szCs w:val="21"/>
              </w:rPr>
              <w:t>湿强剂</w:t>
            </w:r>
          </w:p>
        </w:tc>
        <w:tc>
          <w:tcPr>
            <w:tcW w:w="709" w:type="dxa"/>
            <w:vAlign w:val="center"/>
          </w:tcPr>
          <w:p w14:paraId="52789C8A">
            <w:pPr>
              <w:pStyle w:val="33"/>
              <w:rPr>
                <w:color w:val="auto"/>
                <w:szCs w:val="21"/>
              </w:rPr>
            </w:pPr>
            <w:r>
              <w:rPr>
                <w:color w:val="auto"/>
                <w:szCs w:val="21"/>
              </w:rPr>
              <w:t>kg</w:t>
            </w:r>
          </w:p>
        </w:tc>
        <w:tc>
          <w:tcPr>
            <w:tcW w:w="850" w:type="dxa"/>
            <w:vAlign w:val="center"/>
          </w:tcPr>
          <w:p w14:paraId="781A41C1">
            <w:pPr>
              <w:pStyle w:val="33"/>
              <w:rPr>
                <w:color w:val="auto"/>
                <w:szCs w:val="21"/>
              </w:rPr>
            </w:pPr>
            <w:r>
              <w:rPr>
                <w:color w:val="auto"/>
                <w:szCs w:val="21"/>
              </w:rPr>
              <w:t>0.6</w:t>
            </w:r>
          </w:p>
        </w:tc>
        <w:tc>
          <w:tcPr>
            <w:tcW w:w="851" w:type="dxa"/>
            <w:vAlign w:val="center"/>
          </w:tcPr>
          <w:p w14:paraId="22599156">
            <w:pPr>
              <w:pStyle w:val="33"/>
              <w:rPr>
                <w:color w:val="auto"/>
                <w:szCs w:val="21"/>
              </w:rPr>
            </w:pPr>
            <w:r>
              <w:rPr>
                <w:color w:val="auto"/>
                <w:szCs w:val="21"/>
              </w:rPr>
              <w:t>0.6</w:t>
            </w:r>
          </w:p>
        </w:tc>
        <w:tc>
          <w:tcPr>
            <w:tcW w:w="708" w:type="dxa"/>
            <w:vAlign w:val="center"/>
          </w:tcPr>
          <w:p w14:paraId="61294C68">
            <w:pPr>
              <w:pStyle w:val="33"/>
              <w:rPr>
                <w:color w:val="auto"/>
                <w:szCs w:val="21"/>
              </w:rPr>
            </w:pPr>
            <w:r>
              <w:rPr>
                <w:color w:val="auto"/>
                <w:szCs w:val="21"/>
              </w:rPr>
              <w:t>t</w:t>
            </w:r>
          </w:p>
        </w:tc>
        <w:tc>
          <w:tcPr>
            <w:tcW w:w="1134" w:type="dxa"/>
            <w:vAlign w:val="center"/>
          </w:tcPr>
          <w:p w14:paraId="08652C84">
            <w:pPr>
              <w:pStyle w:val="33"/>
              <w:rPr>
                <w:color w:val="auto"/>
                <w:szCs w:val="21"/>
              </w:rPr>
            </w:pPr>
            <w:r>
              <w:rPr>
                <w:color w:val="auto"/>
                <w:szCs w:val="21"/>
              </w:rPr>
              <w:t>540</w:t>
            </w:r>
          </w:p>
        </w:tc>
        <w:tc>
          <w:tcPr>
            <w:tcW w:w="1276" w:type="dxa"/>
            <w:vAlign w:val="center"/>
          </w:tcPr>
          <w:p w14:paraId="2C698BA9">
            <w:pPr>
              <w:pStyle w:val="33"/>
              <w:rPr>
                <w:color w:val="auto"/>
                <w:szCs w:val="21"/>
              </w:rPr>
            </w:pPr>
            <w:r>
              <w:rPr>
                <w:color w:val="auto"/>
                <w:szCs w:val="21"/>
              </w:rPr>
              <w:t>900</w:t>
            </w:r>
          </w:p>
        </w:tc>
        <w:tc>
          <w:tcPr>
            <w:tcW w:w="1134" w:type="dxa"/>
            <w:vAlign w:val="center"/>
          </w:tcPr>
          <w:p w14:paraId="681FA5B6">
            <w:pPr>
              <w:pStyle w:val="33"/>
              <w:rPr>
                <w:color w:val="auto"/>
                <w:szCs w:val="21"/>
              </w:rPr>
            </w:pPr>
          </w:p>
        </w:tc>
      </w:tr>
      <w:tr w14:paraId="057F1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2BB1177F">
            <w:pPr>
              <w:pStyle w:val="33"/>
              <w:rPr>
                <w:color w:val="auto"/>
                <w:szCs w:val="21"/>
              </w:rPr>
            </w:pPr>
            <w:r>
              <w:rPr>
                <w:color w:val="auto"/>
                <w:szCs w:val="21"/>
              </w:rPr>
              <w:t>13</w:t>
            </w:r>
          </w:p>
        </w:tc>
        <w:tc>
          <w:tcPr>
            <w:tcW w:w="1418" w:type="dxa"/>
            <w:vAlign w:val="center"/>
          </w:tcPr>
          <w:p w14:paraId="43DF3722">
            <w:pPr>
              <w:pStyle w:val="33"/>
              <w:rPr>
                <w:color w:val="auto"/>
                <w:szCs w:val="21"/>
              </w:rPr>
            </w:pPr>
            <w:r>
              <w:rPr>
                <w:color w:val="auto"/>
                <w:szCs w:val="21"/>
              </w:rPr>
              <w:t>分散剂</w:t>
            </w:r>
          </w:p>
        </w:tc>
        <w:tc>
          <w:tcPr>
            <w:tcW w:w="709" w:type="dxa"/>
            <w:vAlign w:val="center"/>
          </w:tcPr>
          <w:p w14:paraId="6552DE94">
            <w:pPr>
              <w:pStyle w:val="33"/>
              <w:rPr>
                <w:color w:val="auto"/>
                <w:szCs w:val="21"/>
              </w:rPr>
            </w:pPr>
            <w:r>
              <w:rPr>
                <w:color w:val="auto"/>
                <w:szCs w:val="21"/>
              </w:rPr>
              <w:t>kg</w:t>
            </w:r>
          </w:p>
        </w:tc>
        <w:tc>
          <w:tcPr>
            <w:tcW w:w="850" w:type="dxa"/>
            <w:vAlign w:val="center"/>
          </w:tcPr>
          <w:p w14:paraId="3731BBB1">
            <w:pPr>
              <w:pStyle w:val="33"/>
              <w:rPr>
                <w:color w:val="auto"/>
                <w:szCs w:val="21"/>
              </w:rPr>
            </w:pPr>
            <w:r>
              <w:rPr>
                <w:color w:val="auto"/>
                <w:szCs w:val="21"/>
              </w:rPr>
              <w:t>0.53</w:t>
            </w:r>
          </w:p>
        </w:tc>
        <w:tc>
          <w:tcPr>
            <w:tcW w:w="851" w:type="dxa"/>
            <w:vAlign w:val="center"/>
          </w:tcPr>
          <w:p w14:paraId="09FA4CAC">
            <w:pPr>
              <w:pStyle w:val="33"/>
              <w:rPr>
                <w:color w:val="auto"/>
                <w:szCs w:val="21"/>
              </w:rPr>
            </w:pPr>
            <w:r>
              <w:rPr>
                <w:color w:val="auto"/>
                <w:szCs w:val="21"/>
              </w:rPr>
              <w:t>1</w:t>
            </w:r>
          </w:p>
        </w:tc>
        <w:tc>
          <w:tcPr>
            <w:tcW w:w="708" w:type="dxa"/>
            <w:vAlign w:val="center"/>
          </w:tcPr>
          <w:p w14:paraId="625C0E04">
            <w:pPr>
              <w:pStyle w:val="33"/>
              <w:rPr>
                <w:color w:val="auto"/>
                <w:szCs w:val="21"/>
              </w:rPr>
            </w:pPr>
            <w:r>
              <w:rPr>
                <w:color w:val="auto"/>
                <w:szCs w:val="21"/>
              </w:rPr>
              <w:t>t</w:t>
            </w:r>
          </w:p>
        </w:tc>
        <w:tc>
          <w:tcPr>
            <w:tcW w:w="1134" w:type="dxa"/>
            <w:vAlign w:val="center"/>
          </w:tcPr>
          <w:p w14:paraId="00929DC0">
            <w:pPr>
              <w:pStyle w:val="33"/>
              <w:rPr>
                <w:color w:val="auto"/>
                <w:szCs w:val="21"/>
              </w:rPr>
            </w:pPr>
            <w:r>
              <w:rPr>
                <w:color w:val="auto"/>
                <w:szCs w:val="21"/>
              </w:rPr>
              <w:t>477</w:t>
            </w:r>
          </w:p>
        </w:tc>
        <w:tc>
          <w:tcPr>
            <w:tcW w:w="1276" w:type="dxa"/>
            <w:vAlign w:val="center"/>
          </w:tcPr>
          <w:p w14:paraId="13BA909D">
            <w:pPr>
              <w:pStyle w:val="33"/>
              <w:rPr>
                <w:color w:val="auto"/>
                <w:szCs w:val="21"/>
              </w:rPr>
            </w:pPr>
            <w:r>
              <w:rPr>
                <w:color w:val="auto"/>
                <w:szCs w:val="21"/>
              </w:rPr>
              <w:t>1500</w:t>
            </w:r>
          </w:p>
        </w:tc>
        <w:tc>
          <w:tcPr>
            <w:tcW w:w="1134" w:type="dxa"/>
            <w:vAlign w:val="center"/>
          </w:tcPr>
          <w:p w14:paraId="774AA3E9">
            <w:pPr>
              <w:pStyle w:val="33"/>
              <w:rPr>
                <w:color w:val="auto"/>
                <w:szCs w:val="21"/>
              </w:rPr>
            </w:pPr>
          </w:p>
        </w:tc>
      </w:tr>
      <w:tr w14:paraId="5DE07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775279EC">
            <w:pPr>
              <w:pStyle w:val="33"/>
              <w:rPr>
                <w:color w:val="auto"/>
                <w:szCs w:val="21"/>
              </w:rPr>
            </w:pPr>
            <w:r>
              <w:rPr>
                <w:color w:val="auto"/>
                <w:szCs w:val="21"/>
              </w:rPr>
              <w:t>14</w:t>
            </w:r>
          </w:p>
        </w:tc>
        <w:tc>
          <w:tcPr>
            <w:tcW w:w="1418" w:type="dxa"/>
            <w:vAlign w:val="center"/>
          </w:tcPr>
          <w:p w14:paraId="321C4AEC">
            <w:pPr>
              <w:pStyle w:val="33"/>
              <w:rPr>
                <w:color w:val="auto"/>
                <w:szCs w:val="21"/>
              </w:rPr>
            </w:pPr>
            <w:r>
              <w:rPr>
                <w:color w:val="auto"/>
                <w:szCs w:val="21"/>
              </w:rPr>
              <w:t>氢氧化钠</w:t>
            </w:r>
          </w:p>
        </w:tc>
        <w:tc>
          <w:tcPr>
            <w:tcW w:w="709" w:type="dxa"/>
            <w:vAlign w:val="center"/>
          </w:tcPr>
          <w:p w14:paraId="027300B4">
            <w:pPr>
              <w:pStyle w:val="33"/>
              <w:rPr>
                <w:color w:val="auto"/>
                <w:szCs w:val="21"/>
              </w:rPr>
            </w:pPr>
            <w:r>
              <w:rPr>
                <w:color w:val="auto"/>
                <w:szCs w:val="21"/>
              </w:rPr>
              <w:t>kg</w:t>
            </w:r>
          </w:p>
        </w:tc>
        <w:tc>
          <w:tcPr>
            <w:tcW w:w="850" w:type="dxa"/>
            <w:vAlign w:val="center"/>
          </w:tcPr>
          <w:p w14:paraId="10EE9903">
            <w:pPr>
              <w:pStyle w:val="33"/>
              <w:rPr>
                <w:color w:val="auto"/>
                <w:szCs w:val="21"/>
              </w:rPr>
            </w:pPr>
            <w:r>
              <w:rPr>
                <w:color w:val="auto"/>
                <w:szCs w:val="21"/>
              </w:rPr>
              <w:t>0.2</w:t>
            </w:r>
          </w:p>
        </w:tc>
        <w:tc>
          <w:tcPr>
            <w:tcW w:w="851" w:type="dxa"/>
            <w:vAlign w:val="center"/>
          </w:tcPr>
          <w:p w14:paraId="2C70D498">
            <w:pPr>
              <w:pStyle w:val="33"/>
              <w:rPr>
                <w:color w:val="auto"/>
                <w:szCs w:val="21"/>
              </w:rPr>
            </w:pPr>
            <w:r>
              <w:rPr>
                <w:color w:val="auto"/>
                <w:szCs w:val="21"/>
              </w:rPr>
              <w:t>1</w:t>
            </w:r>
          </w:p>
        </w:tc>
        <w:tc>
          <w:tcPr>
            <w:tcW w:w="708" w:type="dxa"/>
            <w:vAlign w:val="center"/>
          </w:tcPr>
          <w:p w14:paraId="7F98A727">
            <w:pPr>
              <w:pStyle w:val="33"/>
              <w:rPr>
                <w:color w:val="auto"/>
                <w:szCs w:val="21"/>
              </w:rPr>
            </w:pPr>
            <w:r>
              <w:rPr>
                <w:color w:val="auto"/>
                <w:szCs w:val="21"/>
              </w:rPr>
              <w:t>t</w:t>
            </w:r>
          </w:p>
        </w:tc>
        <w:tc>
          <w:tcPr>
            <w:tcW w:w="1134" w:type="dxa"/>
            <w:vAlign w:val="center"/>
          </w:tcPr>
          <w:p w14:paraId="1E517E81">
            <w:pPr>
              <w:pStyle w:val="33"/>
              <w:rPr>
                <w:color w:val="auto"/>
                <w:szCs w:val="21"/>
              </w:rPr>
            </w:pPr>
            <w:r>
              <w:rPr>
                <w:color w:val="auto"/>
                <w:szCs w:val="21"/>
              </w:rPr>
              <w:t>180</w:t>
            </w:r>
          </w:p>
        </w:tc>
        <w:tc>
          <w:tcPr>
            <w:tcW w:w="1276" w:type="dxa"/>
            <w:vAlign w:val="center"/>
          </w:tcPr>
          <w:p w14:paraId="376ECDBE">
            <w:pPr>
              <w:pStyle w:val="33"/>
              <w:rPr>
                <w:color w:val="auto"/>
                <w:szCs w:val="21"/>
              </w:rPr>
            </w:pPr>
            <w:r>
              <w:rPr>
                <w:color w:val="auto"/>
                <w:szCs w:val="21"/>
              </w:rPr>
              <w:t>1500</w:t>
            </w:r>
          </w:p>
        </w:tc>
        <w:tc>
          <w:tcPr>
            <w:tcW w:w="1134" w:type="dxa"/>
            <w:vAlign w:val="center"/>
          </w:tcPr>
          <w:p w14:paraId="30D7B250">
            <w:pPr>
              <w:pStyle w:val="33"/>
              <w:rPr>
                <w:color w:val="auto"/>
                <w:szCs w:val="21"/>
              </w:rPr>
            </w:pPr>
          </w:p>
        </w:tc>
      </w:tr>
      <w:tr w14:paraId="30965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07DDB9AE">
            <w:pPr>
              <w:pStyle w:val="33"/>
              <w:rPr>
                <w:color w:val="auto"/>
                <w:szCs w:val="21"/>
              </w:rPr>
            </w:pPr>
            <w:r>
              <w:rPr>
                <w:color w:val="auto"/>
                <w:szCs w:val="21"/>
              </w:rPr>
              <w:t>15</w:t>
            </w:r>
          </w:p>
        </w:tc>
        <w:tc>
          <w:tcPr>
            <w:tcW w:w="1418" w:type="dxa"/>
            <w:vAlign w:val="center"/>
          </w:tcPr>
          <w:p w14:paraId="602909C6">
            <w:pPr>
              <w:pStyle w:val="33"/>
              <w:rPr>
                <w:color w:val="auto"/>
                <w:szCs w:val="21"/>
              </w:rPr>
            </w:pPr>
            <w:r>
              <w:rPr>
                <w:color w:val="auto"/>
                <w:szCs w:val="21"/>
              </w:rPr>
              <w:t>助留剂</w:t>
            </w:r>
          </w:p>
        </w:tc>
        <w:tc>
          <w:tcPr>
            <w:tcW w:w="709" w:type="dxa"/>
            <w:vAlign w:val="center"/>
          </w:tcPr>
          <w:p w14:paraId="2168C84C">
            <w:pPr>
              <w:pStyle w:val="33"/>
              <w:rPr>
                <w:color w:val="auto"/>
                <w:szCs w:val="21"/>
              </w:rPr>
            </w:pPr>
            <w:r>
              <w:rPr>
                <w:color w:val="auto"/>
                <w:szCs w:val="21"/>
              </w:rPr>
              <w:t>kg</w:t>
            </w:r>
          </w:p>
        </w:tc>
        <w:tc>
          <w:tcPr>
            <w:tcW w:w="850" w:type="dxa"/>
            <w:vAlign w:val="center"/>
          </w:tcPr>
          <w:p w14:paraId="4BD8DD81">
            <w:pPr>
              <w:pStyle w:val="33"/>
              <w:rPr>
                <w:color w:val="auto"/>
                <w:szCs w:val="21"/>
              </w:rPr>
            </w:pPr>
            <w:r>
              <w:rPr>
                <w:color w:val="auto"/>
                <w:szCs w:val="21"/>
              </w:rPr>
              <w:t>0.5</w:t>
            </w:r>
          </w:p>
        </w:tc>
        <w:tc>
          <w:tcPr>
            <w:tcW w:w="851" w:type="dxa"/>
            <w:vAlign w:val="center"/>
          </w:tcPr>
          <w:p w14:paraId="59B68C28">
            <w:pPr>
              <w:pStyle w:val="33"/>
              <w:rPr>
                <w:color w:val="auto"/>
                <w:szCs w:val="21"/>
              </w:rPr>
            </w:pPr>
            <w:r>
              <w:rPr>
                <w:color w:val="auto"/>
                <w:szCs w:val="21"/>
              </w:rPr>
              <w:t>1</w:t>
            </w:r>
          </w:p>
        </w:tc>
        <w:tc>
          <w:tcPr>
            <w:tcW w:w="708" w:type="dxa"/>
            <w:vAlign w:val="center"/>
          </w:tcPr>
          <w:p w14:paraId="4B2BC2C2">
            <w:pPr>
              <w:pStyle w:val="33"/>
              <w:rPr>
                <w:color w:val="auto"/>
                <w:szCs w:val="21"/>
              </w:rPr>
            </w:pPr>
            <w:r>
              <w:rPr>
                <w:color w:val="auto"/>
                <w:szCs w:val="21"/>
              </w:rPr>
              <w:t>t</w:t>
            </w:r>
          </w:p>
        </w:tc>
        <w:tc>
          <w:tcPr>
            <w:tcW w:w="1134" w:type="dxa"/>
            <w:vAlign w:val="center"/>
          </w:tcPr>
          <w:p w14:paraId="68DB595A">
            <w:pPr>
              <w:pStyle w:val="33"/>
              <w:rPr>
                <w:color w:val="auto"/>
                <w:szCs w:val="21"/>
              </w:rPr>
            </w:pPr>
            <w:r>
              <w:rPr>
                <w:color w:val="auto"/>
                <w:szCs w:val="21"/>
              </w:rPr>
              <w:t>450</w:t>
            </w:r>
          </w:p>
        </w:tc>
        <w:tc>
          <w:tcPr>
            <w:tcW w:w="1276" w:type="dxa"/>
            <w:vAlign w:val="center"/>
          </w:tcPr>
          <w:p w14:paraId="41FFB979">
            <w:pPr>
              <w:pStyle w:val="33"/>
              <w:rPr>
                <w:color w:val="auto"/>
                <w:szCs w:val="21"/>
              </w:rPr>
            </w:pPr>
            <w:r>
              <w:rPr>
                <w:color w:val="auto"/>
                <w:szCs w:val="21"/>
              </w:rPr>
              <w:t>1500</w:t>
            </w:r>
          </w:p>
        </w:tc>
        <w:tc>
          <w:tcPr>
            <w:tcW w:w="1134" w:type="dxa"/>
            <w:vAlign w:val="center"/>
          </w:tcPr>
          <w:p w14:paraId="0A7B2064">
            <w:pPr>
              <w:pStyle w:val="33"/>
              <w:rPr>
                <w:color w:val="auto"/>
                <w:szCs w:val="21"/>
              </w:rPr>
            </w:pPr>
          </w:p>
        </w:tc>
      </w:tr>
      <w:tr w14:paraId="3927F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562" w:type="dxa"/>
            <w:vAlign w:val="center"/>
          </w:tcPr>
          <w:p w14:paraId="118BE2FE">
            <w:pPr>
              <w:pStyle w:val="33"/>
              <w:rPr>
                <w:color w:val="auto"/>
                <w:szCs w:val="21"/>
              </w:rPr>
            </w:pPr>
            <w:r>
              <w:rPr>
                <w:color w:val="auto"/>
                <w:szCs w:val="21"/>
              </w:rPr>
              <w:t>三</w:t>
            </w:r>
          </w:p>
        </w:tc>
        <w:tc>
          <w:tcPr>
            <w:tcW w:w="1418" w:type="dxa"/>
            <w:vAlign w:val="center"/>
          </w:tcPr>
          <w:p w14:paraId="3E8FF32E">
            <w:pPr>
              <w:pStyle w:val="33"/>
              <w:rPr>
                <w:color w:val="auto"/>
                <w:szCs w:val="21"/>
              </w:rPr>
            </w:pPr>
            <w:r>
              <w:rPr>
                <w:color w:val="auto"/>
                <w:szCs w:val="21"/>
              </w:rPr>
              <w:t>耗材</w:t>
            </w:r>
          </w:p>
        </w:tc>
        <w:tc>
          <w:tcPr>
            <w:tcW w:w="709" w:type="dxa"/>
            <w:vAlign w:val="center"/>
          </w:tcPr>
          <w:p w14:paraId="3370FB70">
            <w:pPr>
              <w:pStyle w:val="33"/>
              <w:rPr>
                <w:color w:val="auto"/>
                <w:szCs w:val="21"/>
              </w:rPr>
            </w:pPr>
          </w:p>
        </w:tc>
        <w:tc>
          <w:tcPr>
            <w:tcW w:w="850" w:type="dxa"/>
            <w:vAlign w:val="center"/>
          </w:tcPr>
          <w:p w14:paraId="106AB55B">
            <w:pPr>
              <w:pStyle w:val="33"/>
              <w:rPr>
                <w:color w:val="auto"/>
                <w:szCs w:val="21"/>
              </w:rPr>
            </w:pPr>
          </w:p>
        </w:tc>
        <w:tc>
          <w:tcPr>
            <w:tcW w:w="851" w:type="dxa"/>
            <w:vAlign w:val="center"/>
          </w:tcPr>
          <w:p w14:paraId="68BC2A57">
            <w:pPr>
              <w:pStyle w:val="33"/>
              <w:rPr>
                <w:color w:val="auto"/>
                <w:szCs w:val="21"/>
              </w:rPr>
            </w:pPr>
          </w:p>
        </w:tc>
        <w:tc>
          <w:tcPr>
            <w:tcW w:w="708" w:type="dxa"/>
            <w:vAlign w:val="center"/>
          </w:tcPr>
          <w:p w14:paraId="15B133FC">
            <w:pPr>
              <w:pStyle w:val="33"/>
              <w:rPr>
                <w:color w:val="auto"/>
                <w:szCs w:val="21"/>
              </w:rPr>
            </w:pPr>
          </w:p>
        </w:tc>
        <w:tc>
          <w:tcPr>
            <w:tcW w:w="1134" w:type="dxa"/>
            <w:vAlign w:val="center"/>
          </w:tcPr>
          <w:p w14:paraId="4A23FEFF">
            <w:pPr>
              <w:pStyle w:val="33"/>
              <w:rPr>
                <w:color w:val="auto"/>
                <w:szCs w:val="21"/>
              </w:rPr>
            </w:pPr>
          </w:p>
        </w:tc>
        <w:tc>
          <w:tcPr>
            <w:tcW w:w="1276" w:type="dxa"/>
            <w:vAlign w:val="center"/>
          </w:tcPr>
          <w:p w14:paraId="61FA5C2B">
            <w:pPr>
              <w:pStyle w:val="33"/>
              <w:rPr>
                <w:color w:val="auto"/>
                <w:szCs w:val="21"/>
              </w:rPr>
            </w:pPr>
          </w:p>
        </w:tc>
        <w:tc>
          <w:tcPr>
            <w:tcW w:w="1134" w:type="dxa"/>
            <w:vAlign w:val="center"/>
          </w:tcPr>
          <w:p w14:paraId="5CAECE29">
            <w:pPr>
              <w:pStyle w:val="33"/>
              <w:rPr>
                <w:color w:val="auto"/>
                <w:szCs w:val="21"/>
              </w:rPr>
            </w:pPr>
          </w:p>
        </w:tc>
      </w:tr>
      <w:tr w14:paraId="6F2CB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4CD60B65">
            <w:pPr>
              <w:pStyle w:val="33"/>
              <w:rPr>
                <w:color w:val="auto"/>
                <w:szCs w:val="21"/>
              </w:rPr>
            </w:pPr>
            <w:r>
              <w:rPr>
                <w:color w:val="auto"/>
                <w:szCs w:val="21"/>
              </w:rPr>
              <w:t>1</w:t>
            </w:r>
          </w:p>
        </w:tc>
        <w:tc>
          <w:tcPr>
            <w:tcW w:w="1418" w:type="dxa"/>
            <w:vAlign w:val="center"/>
          </w:tcPr>
          <w:p w14:paraId="4A7FEE58">
            <w:pPr>
              <w:pStyle w:val="33"/>
              <w:rPr>
                <w:color w:val="auto"/>
                <w:szCs w:val="21"/>
              </w:rPr>
            </w:pPr>
            <w:r>
              <w:rPr>
                <w:color w:val="auto"/>
                <w:szCs w:val="21"/>
              </w:rPr>
              <w:t>包装纸</w:t>
            </w:r>
          </w:p>
        </w:tc>
        <w:tc>
          <w:tcPr>
            <w:tcW w:w="709" w:type="dxa"/>
            <w:vAlign w:val="center"/>
          </w:tcPr>
          <w:p w14:paraId="28E778D7">
            <w:pPr>
              <w:pStyle w:val="33"/>
              <w:rPr>
                <w:color w:val="auto"/>
                <w:szCs w:val="21"/>
              </w:rPr>
            </w:pPr>
            <w:r>
              <w:rPr>
                <w:color w:val="auto"/>
                <w:szCs w:val="21"/>
              </w:rPr>
              <w:t>kg</w:t>
            </w:r>
          </w:p>
        </w:tc>
        <w:tc>
          <w:tcPr>
            <w:tcW w:w="850" w:type="dxa"/>
            <w:vAlign w:val="center"/>
          </w:tcPr>
          <w:p w14:paraId="5313A5E6">
            <w:pPr>
              <w:pStyle w:val="33"/>
              <w:rPr>
                <w:color w:val="auto"/>
                <w:szCs w:val="21"/>
              </w:rPr>
            </w:pPr>
            <w:r>
              <w:rPr>
                <w:color w:val="auto"/>
                <w:szCs w:val="21"/>
              </w:rPr>
              <w:t>5</w:t>
            </w:r>
          </w:p>
        </w:tc>
        <w:tc>
          <w:tcPr>
            <w:tcW w:w="851" w:type="dxa"/>
            <w:vAlign w:val="center"/>
          </w:tcPr>
          <w:p w14:paraId="33D04192">
            <w:pPr>
              <w:pStyle w:val="33"/>
              <w:rPr>
                <w:color w:val="auto"/>
                <w:szCs w:val="21"/>
              </w:rPr>
            </w:pPr>
            <w:r>
              <w:rPr>
                <w:color w:val="auto"/>
                <w:szCs w:val="21"/>
              </w:rPr>
              <w:t>5</w:t>
            </w:r>
          </w:p>
        </w:tc>
        <w:tc>
          <w:tcPr>
            <w:tcW w:w="708" w:type="dxa"/>
            <w:vAlign w:val="center"/>
          </w:tcPr>
          <w:p w14:paraId="57704FC9">
            <w:pPr>
              <w:pStyle w:val="33"/>
              <w:rPr>
                <w:color w:val="auto"/>
                <w:szCs w:val="21"/>
              </w:rPr>
            </w:pPr>
            <w:r>
              <w:rPr>
                <w:color w:val="auto"/>
                <w:szCs w:val="21"/>
              </w:rPr>
              <w:t>t</w:t>
            </w:r>
          </w:p>
        </w:tc>
        <w:tc>
          <w:tcPr>
            <w:tcW w:w="1134" w:type="dxa"/>
            <w:vAlign w:val="center"/>
          </w:tcPr>
          <w:p w14:paraId="0AB1B262">
            <w:pPr>
              <w:pStyle w:val="33"/>
              <w:rPr>
                <w:color w:val="auto"/>
                <w:szCs w:val="21"/>
              </w:rPr>
            </w:pPr>
            <w:r>
              <w:rPr>
                <w:color w:val="auto"/>
                <w:szCs w:val="21"/>
              </w:rPr>
              <w:t>5000</w:t>
            </w:r>
          </w:p>
        </w:tc>
        <w:tc>
          <w:tcPr>
            <w:tcW w:w="1276" w:type="dxa"/>
            <w:vAlign w:val="center"/>
          </w:tcPr>
          <w:p w14:paraId="5E14FD57">
            <w:pPr>
              <w:pStyle w:val="33"/>
              <w:rPr>
                <w:color w:val="auto"/>
                <w:szCs w:val="21"/>
              </w:rPr>
            </w:pPr>
            <w:r>
              <w:rPr>
                <w:color w:val="auto"/>
                <w:szCs w:val="21"/>
              </w:rPr>
              <w:t>7500</w:t>
            </w:r>
          </w:p>
        </w:tc>
        <w:tc>
          <w:tcPr>
            <w:tcW w:w="1134" w:type="dxa"/>
            <w:vAlign w:val="center"/>
          </w:tcPr>
          <w:p w14:paraId="6647E518">
            <w:pPr>
              <w:pStyle w:val="33"/>
              <w:rPr>
                <w:color w:val="auto"/>
                <w:szCs w:val="21"/>
              </w:rPr>
            </w:pPr>
          </w:p>
        </w:tc>
      </w:tr>
      <w:tr w14:paraId="13CAA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6" w:hRule="atLeast"/>
          <w:jc w:val="center"/>
        </w:trPr>
        <w:tc>
          <w:tcPr>
            <w:tcW w:w="562" w:type="dxa"/>
            <w:vAlign w:val="center"/>
          </w:tcPr>
          <w:p w14:paraId="21B05269">
            <w:pPr>
              <w:pStyle w:val="33"/>
              <w:rPr>
                <w:color w:val="auto"/>
                <w:szCs w:val="21"/>
              </w:rPr>
            </w:pPr>
            <w:r>
              <w:rPr>
                <w:color w:val="auto"/>
                <w:szCs w:val="21"/>
              </w:rPr>
              <w:t>2</w:t>
            </w:r>
          </w:p>
        </w:tc>
        <w:tc>
          <w:tcPr>
            <w:tcW w:w="1418" w:type="dxa"/>
            <w:vAlign w:val="center"/>
          </w:tcPr>
          <w:p w14:paraId="04565CB1">
            <w:pPr>
              <w:pStyle w:val="33"/>
              <w:rPr>
                <w:color w:val="auto"/>
                <w:szCs w:val="21"/>
              </w:rPr>
            </w:pPr>
            <w:r>
              <w:rPr>
                <w:color w:val="auto"/>
                <w:szCs w:val="21"/>
              </w:rPr>
              <w:t>聚酯网</w:t>
            </w:r>
          </w:p>
        </w:tc>
        <w:tc>
          <w:tcPr>
            <w:tcW w:w="709" w:type="dxa"/>
            <w:vAlign w:val="center"/>
          </w:tcPr>
          <w:p w14:paraId="002E9DEA">
            <w:pPr>
              <w:pStyle w:val="33"/>
              <w:rPr>
                <w:color w:val="auto"/>
                <w:szCs w:val="21"/>
              </w:rPr>
            </w:pPr>
            <w:r>
              <w:rPr>
                <w:color w:val="auto"/>
                <w:szCs w:val="21"/>
              </w:rPr>
              <w:t>m</w:t>
            </w:r>
            <w:r>
              <w:rPr>
                <w:color w:val="auto"/>
                <w:szCs w:val="21"/>
                <w:vertAlign w:val="superscript"/>
              </w:rPr>
              <w:t>2</w:t>
            </w:r>
          </w:p>
        </w:tc>
        <w:tc>
          <w:tcPr>
            <w:tcW w:w="850" w:type="dxa"/>
            <w:vAlign w:val="center"/>
          </w:tcPr>
          <w:p w14:paraId="176CC28C">
            <w:pPr>
              <w:pStyle w:val="33"/>
              <w:rPr>
                <w:color w:val="auto"/>
                <w:szCs w:val="21"/>
              </w:rPr>
            </w:pPr>
            <w:r>
              <w:rPr>
                <w:color w:val="auto"/>
                <w:szCs w:val="21"/>
              </w:rPr>
              <w:t>0.02</w:t>
            </w:r>
          </w:p>
        </w:tc>
        <w:tc>
          <w:tcPr>
            <w:tcW w:w="851" w:type="dxa"/>
            <w:vAlign w:val="center"/>
          </w:tcPr>
          <w:p w14:paraId="4270329A">
            <w:pPr>
              <w:pStyle w:val="33"/>
              <w:rPr>
                <w:color w:val="auto"/>
                <w:szCs w:val="21"/>
              </w:rPr>
            </w:pPr>
            <w:r>
              <w:rPr>
                <w:color w:val="auto"/>
                <w:szCs w:val="21"/>
              </w:rPr>
              <w:t>0.02</w:t>
            </w:r>
          </w:p>
        </w:tc>
        <w:tc>
          <w:tcPr>
            <w:tcW w:w="708" w:type="dxa"/>
            <w:vAlign w:val="center"/>
          </w:tcPr>
          <w:p w14:paraId="65521990">
            <w:pPr>
              <w:pStyle w:val="33"/>
              <w:rPr>
                <w:color w:val="auto"/>
                <w:szCs w:val="21"/>
              </w:rPr>
            </w:pPr>
            <w:r>
              <w:rPr>
                <w:color w:val="auto"/>
                <w:szCs w:val="21"/>
              </w:rPr>
              <w:t>m</w:t>
            </w:r>
            <w:r>
              <w:rPr>
                <w:color w:val="auto"/>
                <w:szCs w:val="21"/>
                <w:vertAlign w:val="superscript"/>
              </w:rPr>
              <w:t>2</w:t>
            </w:r>
          </w:p>
        </w:tc>
        <w:tc>
          <w:tcPr>
            <w:tcW w:w="1134" w:type="dxa"/>
            <w:vAlign w:val="center"/>
          </w:tcPr>
          <w:p w14:paraId="19AB90A4">
            <w:pPr>
              <w:pStyle w:val="33"/>
              <w:rPr>
                <w:color w:val="auto"/>
                <w:szCs w:val="21"/>
              </w:rPr>
            </w:pPr>
            <w:r>
              <w:rPr>
                <w:color w:val="auto"/>
                <w:szCs w:val="21"/>
              </w:rPr>
              <w:t>20000</w:t>
            </w:r>
          </w:p>
        </w:tc>
        <w:tc>
          <w:tcPr>
            <w:tcW w:w="1276" w:type="dxa"/>
            <w:vAlign w:val="center"/>
          </w:tcPr>
          <w:p w14:paraId="65D8A98F">
            <w:pPr>
              <w:pStyle w:val="33"/>
              <w:rPr>
                <w:color w:val="auto"/>
                <w:szCs w:val="21"/>
              </w:rPr>
            </w:pPr>
            <w:r>
              <w:rPr>
                <w:color w:val="auto"/>
                <w:szCs w:val="21"/>
              </w:rPr>
              <w:t>30000</w:t>
            </w:r>
          </w:p>
        </w:tc>
        <w:tc>
          <w:tcPr>
            <w:tcW w:w="1134" w:type="dxa"/>
            <w:vAlign w:val="center"/>
          </w:tcPr>
          <w:p w14:paraId="43EDC5D0">
            <w:pPr>
              <w:pStyle w:val="33"/>
              <w:rPr>
                <w:color w:val="auto"/>
                <w:szCs w:val="21"/>
              </w:rPr>
            </w:pPr>
          </w:p>
        </w:tc>
      </w:tr>
      <w:tr w14:paraId="46908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609680F5">
            <w:pPr>
              <w:pStyle w:val="33"/>
              <w:rPr>
                <w:color w:val="auto"/>
                <w:szCs w:val="21"/>
              </w:rPr>
            </w:pPr>
            <w:r>
              <w:rPr>
                <w:color w:val="auto"/>
                <w:szCs w:val="21"/>
              </w:rPr>
              <w:t>3</w:t>
            </w:r>
          </w:p>
        </w:tc>
        <w:tc>
          <w:tcPr>
            <w:tcW w:w="1418" w:type="dxa"/>
            <w:vAlign w:val="center"/>
          </w:tcPr>
          <w:p w14:paraId="08DE0F46">
            <w:pPr>
              <w:pStyle w:val="33"/>
              <w:rPr>
                <w:color w:val="auto"/>
                <w:szCs w:val="21"/>
              </w:rPr>
            </w:pPr>
            <w:r>
              <w:rPr>
                <w:color w:val="auto"/>
                <w:szCs w:val="21"/>
              </w:rPr>
              <w:t>干网</w:t>
            </w:r>
          </w:p>
        </w:tc>
        <w:tc>
          <w:tcPr>
            <w:tcW w:w="709" w:type="dxa"/>
            <w:vAlign w:val="center"/>
          </w:tcPr>
          <w:p w14:paraId="49FCA2DB">
            <w:pPr>
              <w:pStyle w:val="33"/>
              <w:rPr>
                <w:color w:val="auto"/>
                <w:szCs w:val="21"/>
              </w:rPr>
            </w:pPr>
            <w:r>
              <w:rPr>
                <w:color w:val="auto"/>
                <w:szCs w:val="21"/>
              </w:rPr>
              <w:t>m</w:t>
            </w:r>
            <w:r>
              <w:rPr>
                <w:color w:val="auto"/>
                <w:szCs w:val="21"/>
                <w:vertAlign w:val="superscript"/>
              </w:rPr>
              <w:t>2</w:t>
            </w:r>
          </w:p>
        </w:tc>
        <w:tc>
          <w:tcPr>
            <w:tcW w:w="850" w:type="dxa"/>
            <w:vAlign w:val="center"/>
          </w:tcPr>
          <w:p w14:paraId="7C008EC3">
            <w:pPr>
              <w:pStyle w:val="33"/>
              <w:rPr>
                <w:color w:val="auto"/>
                <w:szCs w:val="21"/>
              </w:rPr>
            </w:pPr>
            <w:r>
              <w:rPr>
                <w:color w:val="auto"/>
                <w:szCs w:val="21"/>
              </w:rPr>
              <w:t>0.02</w:t>
            </w:r>
          </w:p>
        </w:tc>
        <w:tc>
          <w:tcPr>
            <w:tcW w:w="851" w:type="dxa"/>
            <w:vAlign w:val="center"/>
          </w:tcPr>
          <w:p w14:paraId="3C71BB90">
            <w:pPr>
              <w:pStyle w:val="33"/>
              <w:rPr>
                <w:color w:val="auto"/>
                <w:szCs w:val="21"/>
              </w:rPr>
            </w:pPr>
            <w:r>
              <w:rPr>
                <w:color w:val="auto"/>
                <w:szCs w:val="21"/>
              </w:rPr>
              <w:t>0.02</w:t>
            </w:r>
          </w:p>
        </w:tc>
        <w:tc>
          <w:tcPr>
            <w:tcW w:w="708" w:type="dxa"/>
            <w:vAlign w:val="center"/>
          </w:tcPr>
          <w:p w14:paraId="72354C5D">
            <w:pPr>
              <w:pStyle w:val="33"/>
              <w:rPr>
                <w:color w:val="auto"/>
                <w:szCs w:val="21"/>
              </w:rPr>
            </w:pPr>
            <w:r>
              <w:rPr>
                <w:color w:val="auto"/>
                <w:szCs w:val="21"/>
              </w:rPr>
              <w:t>m</w:t>
            </w:r>
            <w:r>
              <w:rPr>
                <w:color w:val="auto"/>
                <w:szCs w:val="21"/>
                <w:vertAlign w:val="superscript"/>
              </w:rPr>
              <w:t>2</w:t>
            </w:r>
          </w:p>
        </w:tc>
        <w:tc>
          <w:tcPr>
            <w:tcW w:w="1134" w:type="dxa"/>
            <w:vAlign w:val="center"/>
          </w:tcPr>
          <w:p w14:paraId="01BF8FD0">
            <w:pPr>
              <w:pStyle w:val="33"/>
              <w:rPr>
                <w:color w:val="auto"/>
                <w:szCs w:val="21"/>
              </w:rPr>
            </w:pPr>
            <w:r>
              <w:rPr>
                <w:color w:val="auto"/>
                <w:szCs w:val="21"/>
              </w:rPr>
              <w:t>20000</w:t>
            </w:r>
          </w:p>
        </w:tc>
        <w:tc>
          <w:tcPr>
            <w:tcW w:w="1276" w:type="dxa"/>
            <w:vAlign w:val="center"/>
          </w:tcPr>
          <w:p w14:paraId="2CFCD423">
            <w:pPr>
              <w:pStyle w:val="33"/>
              <w:rPr>
                <w:color w:val="auto"/>
                <w:szCs w:val="21"/>
              </w:rPr>
            </w:pPr>
            <w:r>
              <w:rPr>
                <w:color w:val="auto"/>
                <w:szCs w:val="21"/>
              </w:rPr>
              <w:t>30000</w:t>
            </w:r>
          </w:p>
        </w:tc>
        <w:tc>
          <w:tcPr>
            <w:tcW w:w="1134" w:type="dxa"/>
            <w:vAlign w:val="center"/>
          </w:tcPr>
          <w:p w14:paraId="7A6317AF">
            <w:pPr>
              <w:pStyle w:val="33"/>
              <w:rPr>
                <w:color w:val="auto"/>
                <w:szCs w:val="21"/>
              </w:rPr>
            </w:pPr>
          </w:p>
        </w:tc>
      </w:tr>
      <w:tr w14:paraId="3CD52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313E63C5">
            <w:pPr>
              <w:pStyle w:val="33"/>
              <w:rPr>
                <w:color w:val="auto"/>
                <w:szCs w:val="21"/>
              </w:rPr>
            </w:pPr>
            <w:r>
              <w:rPr>
                <w:color w:val="auto"/>
                <w:szCs w:val="21"/>
              </w:rPr>
              <w:t>4</w:t>
            </w:r>
          </w:p>
        </w:tc>
        <w:tc>
          <w:tcPr>
            <w:tcW w:w="1418" w:type="dxa"/>
            <w:vAlign w:val="center"/>
          </w:tcPr>
          <w:p w14:paraId="418659A1">
            <w:pPr>
              <w:pStyle w:val="33"/>
              <w:rPr>
                <w:color w:val="auto"/>
                <w:szCs w:val="21"/>
              </w:rPr>
            </w:pPr>
            <w:r>
              <w:rPr>
                <w:color w:val="auto"/>
                <w:szCs w:val="21"/>
              </w:rPr>
              <w:t>毛布</w:t>
            </w:r>
          </w:p>
        </w:tc>
        <w:tc>
          <w:tcPr>
            <w:tcW w:w="709" w:type="dxa"/>
            <w:vAlign w:val="center"/>
          </w:tcPr>
          <w:p w14:paraId="5A293FE4">
            <w:pPr>
              <w:pStyle w:val="33"/>
              <w:rPr>
                <w:color w:val="auto"/>
                <w:szCs w:val="21"/>
              </w:rPr>
            </w:pPr>
            <w:r>
              <w:rPr>
                <w:color w:val="auto"/>
                <w:szCs w:val="21"/>
              </w:rPr>
              <w:t>kg</w:t>
            </w:r>
          </w:p>
        </w:tc>
        <w:tc>
          <w:tcPr>
            <w:tcW w:w="850" w:type="dxa"/>
            <w:vAlign w:val="center"/>
          </w:tcPr>
          <w:p w14:paraId="7B84F5D3">
            <w:pPr>
              <w:pStyle w:val="33"/>
              <w:rPr>
                <w:color w:val="auto"/>
                <w:szCs w:val="21"/>
              </w:rPr>
            </w:pPr>
            <w:r>
              <w:rPr>
                <w:color w:val="auto"/>
                <w:szCs w:val="21"/>
              </w:rPr>
              <w:t>0.035</w:t>
            </w:r>
          </w:p>
        </w:tc>
        <w:tc>
          <w:tcPr>
            <w:tcW w:w="851" w:type="dxa"/>
            <w:vAlign w:val="center"/>
          </w:tcPr>
          <w:p w14:paraId="36D7A45A">
            <w:pPr>
              <w:pStyle w:val="33"/>
              <w:rPr>
                <w:color w:val="auto"/>
                <w:szCs w:val="21"/>
              </w:rPr>
            </w:pPr>
            <w:r>
              <w:rPr>
                <w:color w:val="auto"/>
                <w:szCs w:val="21"/>
              </w:rPr>
              <w:t>0.035</w:t>
            </w:r>
          </w:p>
        </w:tc>
        <w:tc>
          <w:tcPr>
            <w:tcW w:w="708" w:type="dxa"/>
            <w:vAlign w:val="center"/>
          </w:tcPr>
          <w:p w14:paraId="09C8DE8D">
            <w:pPr>
              <w:pStyle w:val="33"/>
              <w:rPr>
                <w:color w:val="auto"/>
                <w:szCs w:val="21"/>
              </w:rPr>
            </w:pPr>
            <w:r>
              <w:rPr>
                <w:color w:val="auto"/>
                <w:szCs w:val="21"/>
              </w:rPr>
              <w:t>t</w:t>
            </w:r>
          </w:p>
        </w:tc>
        <w:tc>
          <w:tcPr>
            <w:tcW w:w="1134" w:type="dxa"/>
            <w:vAlign w:val="center"/>
          </w:tcPr>
          <w:p w14:paraId="7A0E7021">
            <w:pPr>
              <w:pStyle w:val="33"/>
              <w:rPr>
                <w:color w:val="auto"/>
                <w:szCs w:val="21"/>
              </w:rPr>
            </w:pPr>
            <w:r>
              <w:rPr>
                <w:color w:val="auto"/>
                <w:szCs w:val="21"/>
              </w:rPr>
              <w:t>35</w:t>
            </w:r>
          </w:p>
        </w:tc>
        <w:tc>
          <w:tcPr>
            <w:tcW w:w="1276" w:type="dxa"/>
            <w:vAlign w:val="center"/>
          </w:tcPr>
          <w:p w14:paraId="16F0A8F0">
            <w:pPr>
              <w:pStyle w:val="33"/>
              <w:rPr>
                <w:color w:val="auto"/>
                <w:szCs w:val="21"/>
              </w:rPr>
            </w:pPr>
            <w:r>
              <w:rPr>
                <w:color w:val="auto"/>
                <w:szCs w:val="21"/>
              </w:rPr>
              <w:t>52.5</w:t>
            </w:r>
          </w:p>
        </w:tc>
        <w:tc>
          <w:tcPr>
            <w:tcW w:w="1134" w:type="dxa"/>
            <w:vAlign w:val="center"/>
          </w:tcPr>
          <w:p w14:paraId="298DB7E9">
            <w:pPr>
              <w:pStyle w:val="33"/>
              <w:rPr>
                <w:color w:val="auto"/>
                <w:szCs w:val="21"/>
              </w:rPr>
            </w:pPr>
          </w:p>
        </w:tc>
      </w:tr>
      <w:tr w14:paraId="4A7A4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59144AB2">
            <w:pPr>
              <w:pStyle w:val="33"/>
              <w:rPr>
                <w:color w:val="auto"/>
                <w:szCs w:val="21"/>
              </w:rPr>
            </w:pPr>
            <w:r>
              <w:rPr>
                <w:color w:val="auto"/>
                <w:szCs w:val="21"/>
              </w:rPr>
              <w:t>四</w:t>
            </w:r>
          </w:p>
        </w:tc>
        <w:tc>
          <w:tcPr>
            <w:tcW w:w="1418" w:type="dxa"/>
            <w:vAlign w:val="center"/>
          </w:tcPr>
          <w:p w14:paraId="7A82771C">
            <w:pPr>
              <w:pStyle w:val="33"/>
              <w:rPr>
                <w:color w:val="auto"/>
                <w:szCs w:val="21"/>
              </w:rPr>
            </w:pPr>
            <w:r>
              <w:rPr>
                <w:color w:val="auto"/>
                <w:szCs w:val="21"/>
              </w:rPr>
              <w:t>能源</w:t>
            </w:r>
          </w:p>
        </w:tc>
        <w:tc>
          <w:tcPr>
            <w:tcW w:w="709" w:type="dxa"/>
            <w:vAlign w:val="center"/>
          </w:tcPr>
          <w:p w14:paraId="7A207550">
            <w:pPr>
              <w:pStyle w:val="33"/>
              <w:rPr>
                <w:color w:val="auto"/>
                <w:szCs w:val="21"/>
              </w:rPr>
            </w:pPr>
          </w:p>
        </w:tc>
        <w:tc>
          <w:tcPr>
            <w:tcW w:w="850" w:type="dxa"/>
            <w:vAlign w:val="center"/>
          </w:tcPr>
          <w:p w14:paraId="4A417FEA">
            <w:pPr>
              <w:pStyle w:val="33"/>
              <w:rPr>
                <w:color w:val="auto"/>
                <w:szCs w:val="21"/>
              </w:rPr>
            </w:pPr>
          </w:p>
        </w:tc>
        <w:tc>
          <w:tcPr>
            <w:tcW w:w="851" w:type="dxa"/>
            <w:vAlign w:val="center"/>
          </w:tcPr>
          <w:p w14:paraId="4DD5059B">
            <w:pPr>
              <w:pStyle w:val="33"/>
              <w:rPr>
                <w:color w:val="auto"/>
                <w:szCs w:val="21"/>
              </w:rPr>
            </w:pPr>
          </w:p>
        </w:tc>
        <w:tc>
          <w:tcPr>
            <w:tcW w:w="708" w:type="dxa"/>
            <w:vAlign w:val="center"/>
          </w:tcPr>
          <w:p w14:paraId="0044DDBC">
            <w:pPr>
              <w:pStyle w:val="33"/>
              <w:rPr>
                <w:color w:val="auto"/>
                <w:szCs w:val="21"/>
              </w:rPr>
            </w:pPr>
          </w:p>
        </w:tc>
        <w:tc>
          <w:tcPr>
            <w:tcW w:w="1134" w:type="dxa"/>
            <w:vAlign w:val="center"/>
          </w:tcPr>
          <w:p w14:paraId="6CFB2147">
            <w:pPr>
              <w:pStyle w:val="33"/>
              <w:rPr>
                <w:color w:val="auto"/>
                <w:szCs w:val="21"/>
              </w:rPr>
            </w:pPr>
          </w:p>
        </w:tc>
        <w:tc>
          <w:tcPr>
            <w:tcW w:w="1276" w:type="dxa"/>
            <w:vAlign w:val="center"/>
          </w:tcPr>
          <w:p w14:paraId="79389288">
            <w:pPr>
              <w:pStyle w:val="33"/>
              <w:rPr>
                <w:color w:val="auto"/>
                <w:szCs w:val="21"/>
              </w:rPr>
            </w:pPr>
          </w:p>
        </w:tc>
        <w:tc>
          <w:tcPr>
            <w:tcW w:w="1134" w:type="dxa"/>
            <w:vAlign w:val="center"/>
          </w:tcPr>
          <w:p w14:paraId="0A5A6FA9">
            <w:pPr>
              <w:pStyle w:val="33"/>
              <w:rPr>
                <w:color w:val="auto"/>
                <w:szCs w:val="21"/>
              </w:rPr>
            </w:pPr>
          </w:p>
        </w:tc>
      </w:tr>
      <w:tr w14:paraId="463A1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50866C53">
            <w:pPr>
              <w:pStyle w:val="33"/>
              <w:rPr>
                <w:color w:val="auto"/>
                <w:szCs w:val="21"/>
              </w:rPr>
            </w:pPr>
            <w:r>
              <w:rPr>
                <w:color w:val="auto"/>
                <w:szCs w:val="21"/>
              </w:rPr>
              <w:t>1</w:t>
            </w:r>
          </w:p>
        </w:tc>
        <w:tc>
          <w:tcPr>
            <w:tcW w:w="1418" w:type="dxa"/>
            <w:vAlign w:val="center"/>
          </w:tcPr>
          <w:p w14:paraId="4FF68A7D">
            <w:pPr>
              <w:pStyle w:val="33"/>
              <w:rPr>
                <w:color w:val="auto"/>
                <w:szCs w:val="21"/>
              </w:rPr>
            </w:pPr>
            <w:r>
              <w:rPr>
                <w:color w:val="auto"/>
                <w:szCs w:val="21"/>
              </w:rPr>
              <w:t>清水</w:t>
            </w:r>
          </w:p>
        </w:tc>
        <w:tc>
          <w:tcPr>
            <w:tcW w:w="709" w:type="dxa"/>
            <w:vAlign w:val="center"/>
          </w:tcPr>
          <w:p w14:paraId="402BAB30">
            <w:pPr>
              <w:pStyle w:val="33"/>
              <w:rPr>
                <w:color w:val="auto"/>
                <w:szCs w:val="21"/>
              </w:rPr>
            </w:pPr>
            <w:r>
              <w:rPr>
                <w:color w:val="auto"/>
                <w:szCs w:val="21"/>
              </w:rPr>
              <w:t>m</w:t>
            </w:r>
            <w:r>
              <w:rPr>
                <w:color w:val="auto"/>
                <w:szCs w:val="21"/>
                <w:vertAlign w:val="superscript"/>
              </w:rPr>
              <w:t>3</w:t>
            </w:r>
          </w:p>
        </w:tc>
        <w:tc>
          <w:tcPr>
            <w:tcW w:w="850" w:type="dxa"/>
            <w:vAlign w:val="center"/>
          </w:tcPr>
          <w:p w14:paraId="665318BE">
            <w:pPr>
              <w:pStyle w:val="33"/>
              <w:rPr>
                <w:color w:val="auto"/>
                <w:szCs w:val="21"/>
              </w:rPr>
            </w:pPr>
            <w:r>
              <w:rPr>
                <w:color w:val="auto"/>
                <w:szCs w:val="21"/>
              </w:rPr>
              <w:t>7</w:t>
            </w:r>
          </w:p>
        </w:tc>
        <w:tc>
          <w:tcPr>
            <w:tcW w:w="851" w:type="dxa"/>
            <w:vAlign w:val="center"/>
          </w:tcPr>
          <w:p w14:paraId="1CE915BB">
            <w:pPr>
              <w:pStyle w:val="33"/>
              <w:rPr>
                <w:color w:val="auto"/>
                <w:szCs w:val="21"/>
              </w:rPr>
            </w:pPr>
            <w:r>
              <w:rPr>
                <w:color w:val="auto"/>
                <w:szCs w:val="21"/>
              </w:rPr>
              <w:t>5.12</w:t>
            </w:r>
          </w:p>
        </w:tc>
        <w:tc>
          <w:tcPr>
            <w:tcW w:w="708" w:type="dxa"/>
            <w:vAlign w:val="center"/>
          </w:tcPr>
          <w:p w14:paraId="34F35F35">
            <w:pPr>
              <w:pStyle w:val="33"/>
              <w:rPr>
                <w:rFonts w:hint="eastAsia" w:ascii="宋体" w:hAnsi="宋体"/>
                <w:color w:val="auto"/>
                <w:szCs w:val="21"/>
              </w:rPr>
            </w:pPr>
            <w:r>
              <w:rPr>
                <w:rFonts w:ascii="宋体" w:hAnsi="宋体"/>
                <w:color w:val="auto"/>
                <w:szCs w:val="21"/>
              </w:rPr>
              <w:t>万</w:t>
            </w:r>
            <w:r>
              <w:rPr>
                <w:color w:val="auto"/>
                <w:szCs w:val="21"/>
              </w:rPr>
              <w:t>m</w:t>
            </w:r>
            <w:r>
              <w:rPr>
                <w:color w:val="auto"/>
                <w:szCs w:val="21"/>
                <w:vertAlign w:val="superscript"/>
              </w:rPr>
              <w:t>3</w:t>
            </w:r>
          </w:p>
        </w:tc>
        <w:tc>
          <w:tcPr>
            <w:tcW w:w="1134" w:type="dxa"/>
            <w:vAlign w:val="center"/>
          </w:tcPr>
          <w:p w14:paraId="77983789">
            <w:pPr>
              <w:pStyle w:val="33"/>
              <w:rPr>
                <w:color w:val="auto"/>
                <w:szCs w:val="21"/>
              </w:rPr>
            </w:pPr>
            <w:r>
              <w:rPr>
                <w:color w:val="auto"/>
                <w:szCs w:val="21"/>
              </w:rPr>
              <w:t>630</w:t>
            </w:r>
          </w:p>
        </w:tc>
        <w:tc>
          <w:tcPr>
            <w:tcW w:w="1276" w:type="dxa"/>
            <w:vAlign w:val="center"/>
          </w:tcPr>
          <w:p w14:paraId="25978752">
            <w:pPr>
              <w:pStyle w:val="33"/>
              <w:rPr>
                <w:color w:val="auto"/>
                <w:szCs w:val="21"/>
              </w:rPr>
            </w:pPr>
            <w:r>
              <w:rPr>
                <w:color w:val="auto"/>
                <w:szCs w:val="21"/>
              </w:rPr>
              <w:t>768</w:t>
            </w:r>
          </w:p>
        </w:tc>
        <w:tc>
          <w:tcPr>
            <w:tcW w:w="1134" w:type="dxa"/>
            <w:vAlign w:val="center"/>
          </w:tcPr>
          <w:p w14:paraId="412F14B4">
            <w:pPr>
              <w:pStyle w:val="33"/>
              <w:rPr>
                <w:color w:val="auto"/>
                <w:szCs w:val="21"/>
              </w:rPr>
            </w:pPr>
          </w:p>
        </w:tc>
      </w:tr>
      <w:tr w14:paraId="0268C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3D40E81D">
            <w:pPr>
              <w:pStyle w:val="33"/>
              <w:rPr>
                <w:color w:val="auto"/>
                <w:szCs w:val="21"/>
              </w:rPr>
            </w:pPr>
            <w:r>
              <w:rPr>
                <w:color w:val="auto"/>
                <w:szCs w:val="21"/>
              </w:rPr>
              <w:t>2</w:t>
            </w:r>
          </w:p>
        </w:tc>
        <w:tc>
          <w:tcPr>
            <w:tcW w:w="1418" w:type="dxa"/>
            <w:vAlign w:val="center"/>
          </w:tcPr>
          <w:p w14:paraId="7E158696">
            <w:pPr>
              <w:pStyle w:val="33"/>
              <w:rPr>
                <w:color w:val="auto"/>
                <w:szCs w:val="21"/>
              </w:rPr>
            </w:pPr>
            <w:r>
              <w:rPr>
                <w:color w:val="auto"/>
                <w:szCs w:val="21"/>
              </w:rPr>
              <w:t>电</w:t>
            </w:r>
          </w:p>
        </w:tc>
        <w:tc>
          <w:tcPr>
            <w:tcW w:w="709" w:type="dxa"/>
            <w:vAlign w:val="center"/>
          </w:tcPr>
          <w:p w14:paraId="1AD91178">
            <w:pPr>
              <w:pStyle w:val="33"/>
              <w:rPr>
                <w:color w:val="auto"/>
                <w:szCs w:val="21"/>
              </w:rPr>
            </w:pPr>
            <w:r>
              <w:rPr>
                <w:color w:val="auto"/>
                <w:szCs w:val="21"/>
              </w:rPr>
              <w:t>kWh</w:t>
            </w:r>
          </w:p>
        </w:tc>
        <w:tc>
          <w:tcPr>
            <w:tcW w:w="850" w:type="dxa"/>
            <w:vAlign w:val="center"/>
          </w:tcPr>
          <w:p w14:paraId="147FEE81">
            <w:pPr>
              <w:pStyle w:val="33"/>
              <w:rPr>
                <w:color w:val="auto"/>
                <w:szCs w:val="21"/>
              </w:rPr>
            </w:pPr>
            <w:r>
              <w:rPr>
                <w:color w:val="auto"/>
                <w:szCs w:val="21"/>
              </w:rPr>
              <w:t>440</w:t>
            </w:r>
          </w:p>
        </w:tc>
        <w:tc>
          <w:tcPr>
            <w:tcW w:w="851" w:type="dxa"/>
            <w:vAlign w:val="center"/>
          </w:tcPr>
          <w:p w14:paraId="0AED9066">
            <w:pPr>
              <w:pStyle w:val="33"/>
              <w:rPr>
                <w:color w:val="auto"/>
                <w:szCs w:val="21"/>
              </w:rPr>
            </w:pPr>
            <w:r>
              <w:rPr>
                <w:color w:val="auto"/>
                <w:szCs w:val="21"/>
              </w:rPr>
              <w:t>385</w:t>
            </w:r>
          </w:p>
        </w:tc>
        <w:tc>
          <w:tcPr>
            <w:tcW w:w="708" w:type="dxa"/>
            <w:vAlign w:val="center"/>
          </w:tcPr>
          <w:p w14:paraId="56C9621C">
            <w:pPr>
              <w:pStyle w:val="33"/>
              <w:rPr>
                <w:color w:val="auto"/>
                <w:szCs w:val="21"/>
              </w:rPr>
            </w:pPr>
            <w:r>
              <w:rPr>
                <w:color w:val="auto"/>
                <w:szCs w:val="21"/>
              </w:rPr>
              <w:t>万kWh</w:t>
            </w:r>
          </w:p>
        </w:tc>
        <w:tc>
          <w:tcPr>
            <w:tcW w:w="1134" w:type="dxa"/>
            <w:vAlign w:val="center"/>
          </w:tcPr>
          <w:p w14:paraId="06C5A9D6">
            <w:pPr>
              <w:pStyle w:val="33"/>
              <w:rPr>
                <w:color w:val="auto"/>
                <w:szCs w:val="21"/>
              </w:rPr>
            </w:pPr>
            <w:r>
              <w:rPr>
                <w:color w:val="auto"/>
                <w:szCs w:val="21"/>
              </w:rPr>
              <w:t>39600</w:t>
            </w:r>
          </w:p>
        </w:tc>
        <w:tc>
          <w:tcPr>
            <w:tcW w:w="1276" w:type="dxa"/>
            <w:vAlign w:val="center"/>
          </w:tcPr>
          <w:p w14:paraId="68112C2A">
            <w:pPr>
              <w:pStyle w:val="33"/>
              <w:rPr>
                <w:color w:val="auto"/>
                <w:szCs w:val="21"/>
              </w:rPr>
            </w:pPr>
            <w:r>
              <w:rPr>
                <w:color w:val="auto"/>
                <w:szCs w:val="21"/>
              </w:rPr>
              <w:t>57750</w:t>
            </w:r>
          </w:p>
        </w:tc>
        <w:tc>
          <w:tcPr>
            <w:tcW w:w="1134" w:type="dxa"/>
            <w:vAlign w:val="center"/>
          </w:tcPr>
          <w:p w14:paraId="75D834A6">
            <w:pPr>
              <w:pStyle w:val="33"/>
              <w:rPr>
                <w:color w:val="auto"/>
                <w:szCs w:val="21"/>
              </w:rPr>
            </w:pPr>
          </w:p>
        </w:tc>
      </w:tr>
      <w:tr w14:paraId="6A62C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0966F40B">
            <w:pPr>
              <w:pStyle w:val="33"/>
              <w:rPr>
                <w:color w:val="auto"/>
                <w:szCs w:val="21"/>
              </w:rPr>
            </w:pPr>
            <w:r>
              <w:rPr>
                <w:color w:val="auto"/>
                <w:szCs w:val="21"/>
              </w:rPr>
              <w:t>3</w:t>
            </w:r>
          </w:p>
        </w:tc>
        <w:tc>
          <w:tcPr>
            <w:tcW w:w="1418" w:type="dxa"/>
            <w:vAlign w:val="center"/>
          </w:tcPr>
          <w:p w14:paraId="4DAD0DE2">
            <w:pPr>
              <w:pStyle w:val="33"/>
              <w:rPr>
                <w:color w:val="auto"/>
                <w:szCs w:val="21"/>
              </w:rPr>
            </w:pPr>
            <w:r>
              <w:rPr>
                <w:color w:val="auto"/>
                <w:szCs w:val="21"/>
              </w:rPr>
              <w:t>蒸汽</w:t>
            </w:r>
          </w:p>
        </w:tc>
        <w:tc>
          <w:tcPr>
            <w:tcW w:w="709" w:type="dxa"/>
            <w:vAlign w:val="center"/>
          </w:tcPr>
          <w:p w14:paraId="02FA774E">
            <w:pPr>
              <w:pStyle w:val="33"/>
              <w:rPr>
                <w:color w:val="auto"/>
                <w:szCs w:val="21"/>
              </w:rPr>
            </w:pPr>
            <w:r>
              <w:rPr>
                <w:color w:val="auto"/>
                <w:szCs w:val="21"/>
              </w:rPr>
              <w:t>t</w:t>
            </w:r>
          </w:p>
        </w:tc>
        <w:tc>
          <w:tcPr>
            <w:tcW w:w="850" w:type="dxa"/>
            <w:vAlign w:val="center"/>
          </w:tcPr>
          <w:p w14:paraId="5DBF9837">
            <w:pPr>
              <w:pStyle w:val="33"/>
              <w:rPr>
                <w:color w:val="auto"/>
                <w:szCs w:val="21"/>
              </w:rPr>
            </w:pPr>
            <w:r>
              <w:rPr>
                <w:color w:val="auto"/>
                <w:szCs w:val="21"/>
              </w:rPr>
              <w:t>1.5</w:t>
            </w:r>
          </w:p>
        </w:tc>
        <w:tc>
          <w:tcPr>
            <w:tcW w:w="851" w:type="dxa"/>
            <w:vAlign w:val="center"/>
          </w:tcPr>
          <w:p w14:paraId="1A3F6E9F">
            <w:pPr>
              <w:pStyle w:val="33"/>
              <w:rPr>
                <w:color w:val="auto"/>
                <w:szCs w:val="21"/>
              </w:rPr>
            </w:pPr>
            <w:r>
              <w:rPr>
                <w:color w:val="auto"/>
                <w:szCs w:val="21"/>
              </w:rPr>
              <w:t>1.12</w:t>
            </w:r>
          </w:p>
        </w:tc>
        <w:tc>
          <w:tcPr>
            <w:tcW w:w="708" w:type="dxa"/>
            <w:vAlign w:val="center"/>
          </w:tcPr>
          <w:p w14:paraId="0E837ED0">
            <w:pPr>
              <w:pStyle w:val="33"/>
              <w:rPr>
                <w:color w:val="auto"/>
                <w:szCs w:val="21"/>
              </w:rPr>
            </w:pPr>
            <w:r>
              <w:rPr>
                <w:color w:val="auto"/>
                <w:szCs w:val="21"/>
              </w:rPr>
              <w:t>万t</w:t>
            </w:r>
          </w:p>
        </w:tc>
        <w:tc>
          <w:tcPr>
            <w:tcW w:w="1134" w:type="dxa"/>
            <w:vAlign w:val="center"/>
          </w:tcPr>
          <w:p w14:paraId="65A4BC1D">
            <w:pPr>
              <w:pStyle w:val="33"/>
              <w:rPr>
                <w:color w:val="auto"/>
                <w:szCs w:val="21"/>
              </w:rPr>
            </w:pPr>
            <w:r>
              <w:rPr>
                <w:color w:val="auto"/>
                <w:szCs w:val="21"/>
              </w:rPr>
              <w:t>135</w:t>
            </w:r>
          </w:p>
        </w:tc>
        <w:tc>
          <w:tcPr>
            <w:tcW w:w="1276" w:type="dxa"/>
            <w:vAlign w:val="center"/>
          </w:tcPr>
          <w:p w14:paraId="7BD19A78">
            <w:pPr>
              <w:pStyle w:val="33"/>
              <w:rPr>
                <w:color w:val="auto"/>
                <w:szCs w:val="21"/>
              </w:rPr>
            </w:pPr>
            <w:r>
              <w:rPr>
                <w:color w:val="auto"/>
                <w:szCs w:val="21"/>
              </w:rPr>
              <w:t>168.3</w:t>
            </w:r>
          </w:p>
        </w:tc>
        <w:tc>
          <w:tcPr>
            <w:tcW w:w="1134" w:type="dxa"/>
            <w:vAlign w:val="center"/>
          </w:tcPr>
          <w:p w14:paraId="331FEA0D">
            <w:pPr>
              <w:pStyle w:val="33"/>
              <w:rPr>
                <w:color w:val="auto"/>
                <w:szCs w:val="21"/>
              </w:rPr>
            </w:pPr>
          </w:p>
        </w:tc>
      </w:tr>
      <w:tr w14:paraId="69F89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69EC0F62">
            <w:pPr>
              <w:pStyle w:val="33"/>
              <w:rPr>
                <w:color w:val="auto"/>
                <w:szCs w:val="21"/>
              </w:rPr>
            </w:pPr>
          </w:p>
        </w:tc>
        <w:tc>
          <w:tcPr>
            <w:tcW w:w="1418" w:type="dxa"/>
            <w:vAlign w:val="center"/>
          </w:tcPr>
          <w:p w14:paraId="20170057">
            <w:pPr>
              <w:pStyle w:val="33"/>
              <w:rPr>
                <w:color w:val="auto"/>
                <w:szCs w:val="21"/>
              </w:rPr>
            </w:pPr>
            <w:r>
              <w:rPr>
                <w:color w:val="auto"/>
                <w:szCs w:val="21"/>
              </w:rPr>
              <w:t>其中:</w:t>
            </w:r>
          </w:p>
        </w:tc>
        <w:tc>
          <w:tcPr>
            <w:tcW w:w="709" w:type="dxa"/>
            <w:vAlign w:val="center"/>
          </w:tcPr>
          <w:p w14:paraId="2D74C600">
            <w:pPr>
              <w:pStyle w:val="33"/>
              <w:rPr>
                <w:color w:val="auto"/>
                <w:szCs w:val="21"/>
              </w:rPr>
            </w:pPr>
            <w:r>
              <w:rPr>
                <w:color w:val="auto"/>
                <w:szCs w:val="21"/>
              </w:rPr>
              <w:t>5bar</w:t>
            </w:r>
          </w:p>
        </w:tc>
        <w:tc>
          <w:tcPr>
            <w:tcW w:w="850" w:type="dxa"/>
            <w:vAlign w:val="center"/>
          </w:tcPr>
          <w:p w14:paraId="73DCB0E8">
            <w:pPr>
              <w:pStyle w:val="33"/>
              <w:rPr>
                <w:color w:val="auto"/>
                <w:szCs w:val="21"/>
              </w:rPr>
            </w:pPr>
            <w:r>
              <w:rPr>
                <w:color w:val="auto"/>
                <w:szCs w:val="21"/>
              </w:rPr>
              <w:t>1.3</w:t>
            </w:r>
          </w:p>
        </w:tc>
        <w:tc>
          <w:tcPr>
            <w:tcW w:w="851" w:type="dxa"/>
            <w:vAlign w:val="center"/>
          </w:tcPr>
          <w:p w14:paraId="747BBC59">
            <w:pPr>
              <w:pStyle w:val="33"/>
              <w:rPr>
                <w:color w:val="auto"/>
                <w:szCs w:val="21"/>
              </w:rPr>
            </w:pPr>
            <w:r>
              <w:rPr>
                <w:color w:val="auto"/>
                <w:szCs w:val="21"/>
              </w:rPr>
              <w:t>1.01</w:t>
            </w:r>
          </w:p>
        </w:tc>
        <w:tc>
          <w:tcPr>
            <w:tcW w:w="708" w:type="dxa"/>
            <w:vAlign w:val="center"/>
          </w:tcPr>
          <w:p w14:paraId="49F59D24">
            <w:pPr>
              <w:pStyle w:val="33"/>
              <w:rPr>
                <w:color w:val="auto"/>
                <w:szCs w:val="21"/>
              </w:rPr>
            </w:pPr>
            <w:r>
              <w:rPr>
                <w:color w:val="auto"/>
                <w:szCs w:val="21"/>
              </w:rPr>
              <w:t>万t</w:t>
            </w:r>
          </w:p>
        </w:tc>
        <w:tc>
          <w:tcPr>
            <w:tcW w:w="1134" w:type="dxa"/>
            <w:vAlign w:val="center"/>
          </w:tcPr>
          <w:p w14:paraId="6E9A3CD3">
            <w:pPr>
              <w:pStyle w:val="33"/>
              <w:rPr>
                <w:color w:val="auto"/>
                <w:szCs w:val="21"/>
              </w:rPr>
            </w:pPr>
            <w:r>
              <w:rPr>
                <w:color w:val="auto"/>
                <w:szCs w:val="21"/>
              </w:rPr>
              <w:t>117</w:t>
            </w:r>
          </w:p>
        </w:tc>
        <w:tc>
          <w:tcPr>
            <w:tcW w:w="1276" w:type="dxa"/>
            <w:vAlign w:val="center"/>
          </w:tcPr>
          <w:p w14:paraId="2E1C672F">
            <w:pPr>
              <w:pStyle w:val="33"/>
              <w:rPr>
                <w:color w:val="auto"/>
                <w:szCs w:val="21"/>
              </w:rPr>
            </w:pPr>
            <w:r>
              <w:rPr>
                <w:color w:val="auto"/>
                <w:szCs w:val="21"/>
              </w:rPr>
              <w:t>151.8</w:t>
            </w:r>
          </w:p>
        </w:tc>
        <w:tc>
          <w:tcPr>
            <w:tcW w:w="1134" w:type="dxa"/>
            <w:vAlign w:val="center"/>
          </w:tcPr>
          <w:p w14:paraId="12AF4BB8">
            <w:pPr>
              <w:pStyle w:val="33"/>
              <w:rPr>
                <w:color w:val="auto"/>
                <w:szCs w:val="21"/>
              </w:rPr>
            </w:pPr>
          </w:p>
        </w:tc>
      </w:tr>
      <w:tr w14:paraId="34797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01A8E3BA">
            <w:pPr>
              <w:pStyle w:val="33"/>
              <w:rPr>
                <w:color w:val="auto"/>
                <w:szCs w:val="21"/>
              </w:rPr>
            </w:pPr>
          </w:p>
        </w:tc>
        <w:tc>
          <w:tcPr>
            <w:tcW w:w="1418" w:type="dxa"/>
            <w:vAlign w:val="center"/>
          </w:tcPr>
          <w:p w14:paraId="47350FD1">
            <w:pPr>
              <w:pStyle w:val="33"/>
              <w:rPr>
                <w:color w:val="auto"/>
                <w:szCs w:val="21"/>
              </w:rPr>
            </w:pPr>
          </w:p>
        </w:tc>
        <w:tc>
          <w:tcPr>
            <w:tcW w:w="709" w:type="dxa"/>
            <w:vAlign w:val="center"/>
          </w:tcPr>
          <w:p w14:paraId="59AC9613">
            <w:pPr>
              <w:pStyle w:val="33"/>
              <w:rPr>
                <w:color w:val="auto"/>
                <w:szCs w:val="21"/>
              </w:rPr>
            </w:pPr>
            <w:r>
              <w:rPr>
                <w:color w:val="auto"/>
                <w:szCs w:val="21"/>
              </w:rPr>
              <w:t>13bar</w:t>
            </w:r>
          </w:p>
        </w:tc>
        <w:tc>
          <w:tcPr>
            <w:tcW w:w="850" w:type="dxa"/>
            <w:vAlign w:val="center"/>
          </w:tcPr>
          <w:p w14:paraId="4D063157">
            <w:pPr>
              <w:pStyle w:val="33"/>
              <w:rPr>
                <w:color w:val="auto"/>
                <w:szCs w:val="21"/>
              </w:rPr>
            </w:pPr>
            <w:r>
              <w:rPr>
                <w:color w:val="auto"/>
                <w:szCs w:val="21"/>
              </w:rPr>
              <w:t>0.2</w:t>
            </w:r>
          </w:p>
        </w:tc>
        <w:tc>
          <w:tcPr>
            <w:tcW w:w="851" w:type="dxa"/>
            <w:vAlign w:val="center"/>
          </w:tcPr>
          <w:p w14:paraId="019FB9AA">
            <w:pPr>
              <w:pStyle w:val="33"/>
              <w:rPr>
                <w:color w:val="auto"/>
                <w:szCs w:val="21"/>
              </w:rPr>
            </w:pPr>
            <w:r>
              <w:rPr>
                <w:color w:val="auto"/>
                <w:szCs w:val="21"/>
              </w:rPr>
              <w:t>0.11</w:t>
            </w:r>
          </w:p>
        </w:tc>
        <w:tc>
          <w:tcPr>
            <w:tcW w:w="708" w:type="dxa"/>
            <w:vAlign w:val="center"/>
          </w:tcPr>
          <w:p w14:paraId="67A2672D">
            <w:pPr>
              <w:pStyle w:val="33"/>
              <w:rPr>
                <w:color w:val="auto"/>
                <w:szCs w:val="21"/>
              </w:rPr>
            </w:pPr>
            <w:r>
              <w:rPr>
                <w:color w:val="auto"/>
                <w:szCs w:val="21"/>
              </w:rPr>
              <w:t>万t</w:t>
            </w:r>
          </w:p>
        </w:tc>
        <w:tc>
          <w:tcPr>
            <w:tcW w:w="1134" w:type="dxa"/>
            <w:vAlign w:val="center"/>
          </w:tcPr>
          <w:p w14:paraId="5C5D20EF">
            <w:pPr>
              <w:pStyle w:val="33"/>
              <w:rPr>
                <w:color w:val="auto"/>
                <w:szCs w:val="21"/>
              </w:rPr>
            </w:pPr>
            <w:r>
              <w:rPr>
                <w:color w:val="auto"/>
                <w:szCs w:val="21"/>
              </w:rPr>
              <w:t>18</w:t>
            </w:r>
          </w:p>
        </w:tc>
        <w:tc>
          <w:tcPr>
            <w:tcW w:w="1276" w:type="dxa"/>
            <w:vAlign w:val="center"/>
          </w:tcPr>
          <w:p w14:paraId="7BC5523A">
            <w:pPr>
              <w:pStyle w:val="33"/>
              <w:rPr>
                <w:color w:val="auto"/>
                <w:szCs w:val="21"/>
              </w:rPr>
            </w:pPr>
            <w:r>
              <w:rPr>
                <w:color w:val="auto"/>
                <w:szCs w:val="21"/>
              </w:rPr>
              <w:t>16.5</w:t>
            </w:r>
          </w:p>
        </w:tc>
        <w:tc>
          <w:tcPr>
            <w:tcW w:w="1134" w:type="dxa"/>
            <w:vAlign w:val="center"/>
          </w:tcPr>
          <w:p w14:paraId="5BF0805E">
            <w:pPr>
              <w:pStyle w:val="33"/>
              <w:rPr>
                <w:color w:val="auto"/>
                <w:szCs w:val="21"/>
              </w:rPr>
            </w:pPr>
          </w:p>
        </w:tc>
      </w:tr>
      <w:tr w14:paraId="07686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62" w:type="dxa"/>
            <w:vAlign w:val="center"/>
          </w:tcPr>
          <w:p w14:paraId="32990546">
            <w:pPr>
              <w:pStyle w:val="33"/>
              <w:rPr>
                <w:color w:val="auto"/>
                <w:szCs w:val="21"/>
              </w:rPr>
            </w:pPr>
            <w:r>
              <w:rPr>
                <w:color w:val="auto"/>
                <w:szCs w:val="21"/>
              </w:rPr>
              <w:t>4</w:t>
            </w:r>
          </w:p>
        </w:tc>
        <w:tc>
          <w:tcPr>
            <w:tcW w:w="1418" w:type="dxa"/>
            <w:vAlign w:val="center"/>
          </w:tcPr>
          <w:p w14:paraId="336C0BA6">
            <w:pPr>
              <w:pStyle w:val="33"/>
              <w:rPr>
                <w:color w:val="auto"/>
                <w:szCs w:val="21"/>
              </w:rPr>
            </w:pPr>
            <w:r>
              <w:rPr>
                <w:color w:val="auto"/>
                <w:szCs w:val="21"/>
              </w:rPr>
              <w:t>天然气</w:t>
            </w:r>
          </w:p>
        </w:tc>
        <w:tc>
          <w:tcPr>
            <w:tcW w:w="709" w:type="dxa"/>
            <w:vAlign w:val="center"/>
          </w:tcPr>
          <w:p w14:paraId="5307A224">
            <w:pPr>
              <w:pStyle w:val="33"/>
              <w:rPr>
                <w:color w:val="auto"/>
                <w:szCs w:val="21"/>
              </w:rPr>
            </w:pPr>
            <w:r>
              <w:rPr>
                <w:color w:val="auto"/>
                <w:szCs w:val="21"/>
              </w:rPr>
              <w:t>m</w:t>
            </w:r>
            <w:r>
              <w:rPr>
                <w:color w:val="auto"/>
                <w:szCs w:val="21"/>
                <w:vertAlign w:val="superscript"/>
              </w:rPr>
              <w:t>3</w:t>
            </w:r>
          </w:p>
        </w:tc>
        <w:tc>
          <w:tcPr>
            <w:tcW w:w="850" w:type="dxa"/>
            <w:vAlign w:val="center"/>
          </w:tcPr>
          <w:p w14:paraId="66E419D0">
            <w:pPr>
              <w:pStyle w:val="33"/>
              <w:rPr>
                <w:color w:val="auto"/>
                <w:szCs w:val="21"/>
              </w:rPr>
            </w:pPr>
            <w:r>
              <w:rPr>
                <w:rFonts w:hint="eastAsia"/>
                <w:color w:val="auto"/>
                <w:szCs w:val="21"/>
              </w:rPr>
              <w:t>8</w:t>
            </w:r>
          </w:p>
        </w:tc>
        <w:tc>
          <w:tcPr>
            <w:tcW w:w="851" w:type="dxa"/>
            <w:vAlign w:val="center"/>
          </w:tcPr>
          <w:p w14:paraId="57BF3F7D">
            <w:pPr>
              <w:pStyle w:val="33"/>
              <w:rPr>
                <w:color w:val="auto"/>
                <w:szCs w:val="21"/>
              </w:rPr>
            </w:pPr>
            <w:r>
              <w:rPr>
                <w:color w:val="auto"/>
                <w:szCs w:val="21"/>
              </w:rPr>
              <w:t>8</w:t>
            </w:r>
          </w:p>
        </w:tc>
        <w:tc>
          <w:tcPr>
            <w:tcW w:w="708" w:type="dxa"/>
            <w:vAlign w:val="center"/>
          </w:tcPr>
          <w:p w14:paraId="5EF39312">
            <w:pPr>
              <w:pStyle w:val="33"/>
              <w:rPr>
                <w:rFonts w:hint="eastAsia" w:ascii="宋体" w:hAnsi="宋体"/>
                <w:color w:val="auto"/>
                <w:szCs w:val="21"/>
              </w:rPr>
            </w:pPr>
            <w:r>
              <w:rPr>
                <w:rFonts w:ascii="宋体" w:hAnsi="宋体"/>
                <w:color w:val="auto"/>
                <w:szCs w:val="21"/>
              </w:rPr>
              <w:t>万</w:t>
            </w:r>
            <w:r>
              <w:rPr>
                <w:color w:val="auto"/>
                <w:szCs w:val="21"/>
              </w:rPr>
              <w:t>m</w:t>
            </w:r>
            <w:r>
              <w:rPr>
                <w:color w:val="auto"/>
                <w:szCs w:val="21"/>
                <w:vertAlign w:val="superscript"/>
              </w:rPr>
              <w:t>3</w:t>
            </w:r>
          </w:p>
        </w:tc>
        <w:tc>
          <w:tcPr>
            <w:tcW w:w="1134" w:type="dxa"/>
            <w:vAlign w:val="center"/>
          </w:tcPr>
          <w:p w14:paraId="415E12A0">
            <w:pPr>
              <w:pStyle w:val="33"/>
              <w:rPr>
                <w:color w:val="auto"/>
                <w:szCs w:val="21"/>
              </w:rPr>
            </w:pPr>
            <w:r>
              <w:rPr>
                <w:rFonts w:hint="eastAsia"/>
                <w:color w:val="auto"/>
                <w:szCs w:val="21"/>
              </w:rPr>
              <w:t>720</w:t>
            </w:r>
          </w:p>
        </w:tc>
        <w:tc>
          <w:tcPr>
            <w:tcW w:w="1276" w:type="dxa"/>
            <w:vAlign w:val="center"/>
          </w:tcPr>
          <w:p w14:paraId="50FD4BFB">
            <w:pPr>
              <w:pStyle w:val="33"/>
              <w:rPr>
                <w:color w:val="auto"/>
                <w:szCs w:val="21"/>
              </w:rPr>
            </w:pPr>
            <w:r>
              <w:rPr>
                <w:color w:val="auto"/>
                <w:szCs w:val="21"/>
              </w:rPr>
              <w:t>1200</w:t>
            </w:r>
          </w:p>
        </w:tc>
        <w:tc>
          <w:tcPr>
            <w:tcW w:w="1134" w:type="dxa"/>
            <w:vAlign w:val="center"/>
          </w:tcPr>
          <w:p w14:paraId="2058BD71">
            <w:pPr>
              <w:pStyle w:val="33"/>
              <w:rPr>
                <w:color w:val="auto"/>
                <w:szCs w:val="21"/>
              </w:rPr>
            </w:pPr>
          </w:p>
        </w:tc>
      </w:tr>
    </w:tbl>
    <w:p w14:paraId="003537B4">
      <w:pPr>
        <w:ind w:firstLine="0" w:firstLineChars="0"/>
        <w:rPr>
          <w:color w:val="auto"/>
        </w:rPr>
      </w:pPr>
    </w:p>
    <w:p w14:paraId="008BC928">
      <w:pPr>
        <w:pStyle w:val="7"/>
        <w:rPr>
          <w:color w:val="auto"/>
        </w:rPr>
      </w:pPr>
      <w:r>
        <w:rPr>
          <w:rFonts w:hint="eastAsia"/>
          <w:color w:val="auto"/>
        </w:rPr>
        <w:t>生产过程原辅材料消耗汇总表</w:t>
      </w:r>
    </w:p>
    <w:tbl>
      <w:tblPr>
        <w:tblStyle w:val="26"/>
        <w:tblW w:w="8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401"/>
        <w:gridCol w:w="709"/>
        <w:gridCol w:w="992"/>
        <w:gridCol w:w="1201"/>
        <w:gridCol w:w="1276"/>
        <w:gridCol w:w="2216"/>
      </w:tblGrid>
      <w:tr w14:paraId="2E785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jc w:val="center"/>
        </w:trPr>
        <w:tc>
          <w:tcPr>
            <w:tcW w:w="705" w:type="dxa"/>
            <w:vMerge w:val="restart"/>
            <w:tcBorders>
              <w:top w:val="single" w:color="auto" w:sz="4" w:space="0"/>
              <w:left w:val="single" w:color="auto" w:sz="4" w:space="0"/>
              <w:bottom w:val="single" w:color="auto" w:sz="4" w:space="0"/>
              <w:right w:val="single" w:color="auto" w:sz="4" w:space="0"/>
            </w:tcBorders>
            <w:vAlign w:val="center"/>
          </w:tcPr>
          <w:p w14:paraId="0C639799">
            <w:pPr>
              <w:pStyle w:val="33"/>
              <w:rPr>
                <w:color w:val="auto"/>
              </w:rPr>
            </w:pPr>
            <w:r>
              <w:rPr>
                <w:color w:val="auto"/>
              </w:rPr>
              <w:t>序号</w:t>
            </w:r>
          </w:p>
        </w:tc>
        <w:tc>
          <w:tcPr>
            <w:tcW w:w="1401" w:type="dxa"/>
            <w:vMerge w:val="restart"/>
            <w:tcBorders>
              <w:top w:val="single" w:color="auto" w:sz="4" w:space="0"/>
              <w:left w:val="single" w:color="auto" w:sz="4" w:space="0"/>
              <w:bottom w:val="single" w:color="auto" w:sz="4" w:space="0"/>
              <w:right w:val="single" w:color="auto" w:sz="4" w:space="0"/>
            </w:tcBorders>
            <w:vAlign w:val="center"/>
          </w:tcPr>
          <w:p w14:paraId="63BB8785">
            <w:pPr>
              <w:pStyle w:val="33"/>
              <w:rPr>
                <w:color w:val="auto"/>
              </w:rPr>
            </w:pPr>
            <w:r>
              <w:rPr>
                <w:color w:val="auto"/>
              </w:rPr>
              <w:t>项  目</w:t>
            </w:r>
          </w:p>
        </w:tc>
        <w:tc>
          <w:tcPr>
            <w:tcW w:w="709" w:type="dxa"/>
            <w:vMerge w:val="restart"/>
            <w:vAlign w:val="center"/>
          </w:tcPr>
          <w:p w14:paraId="440A04E8">
            <w:pPr>
              <w:pStyle w:val="33"/>
              <w:rPr>
                <w:color w:val="auto"/>
              </w:rPr>
            </w:pPr>
            <w:r>
              <w:rPr>
                <w:color w:val="auto"/>
              </w:rPr>
              <w:t>单位</w:t>
            </w:r>
          </w:p>
        </w:tc>
        <w:tc>
          <w:tcPr>
            <w:tcW w:w="3469" w:type="dxa"/>
            <w:gridSpan w:val="3"/>
            <w:tcBorders>
              <w:right w:val="single" w:color="auto" w:sz="4" w:space="0"/>
            </w:tcBorders>
            <w:vAlign w:val="center"/>
          </w:tcPr>
          <w:p w14:paraId="4758CF94">
            <w:pPr>
              <w:pStyle w:val="33"/>
              <w:rPr>
                <w:color w:val="auto"/>
              </w:rPr>
            </w:pPr>
            <w:r>
              <w:rPr>
                <w:color w:val="auto"/>
              </w:rPr>
              <w:t>年耗指标</w:t>
            </w:r>
          </w:p>
        </w:tc>
        <w:tc>
          <w:tcPr>
            <w:tcW w:w="2216" w:type="dxa"/>
            <w:vMerge w:val="restart"/>
            <w:tcBorders>
              <w:top w:val="single" w:color="auto" w:sz="4" w:space="0"/>
              <w:left w:val="single" w:color="auto" w:sz="4" w:space="0"/>
              <w:bottom w:val="single" w:color="auto" w:sz="4" w:space="0"/>
              <w:right w:val="single" w:color="auto" w:sz="4" w:space="0"/>
            </w:tcBorders>
            <w:vAlign w:val="center"/>
          </w:tcPr>
          <w:p w14:paraId="35202D58">
            <w:pPr>
              <w:pStyle w:val="33"/>
              <w:rPr>
                <w:color w:val="auto"/>
              </w:rPr>
            </w:pPr>
            <w:r>
              <w:rPr>
                <w:color w:val="auto"/>
              </w:rPr>
              <w:t>备注</w:t>
            </w:r>
          </w:p>
        </w:tc>
      </w:tr>
      <w:tr w14:paraId="3D03E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705" w:type="dxa"/>
            <w:vMerge w:val="continue"/>
            <w:tcBorders>
              <w:top w:val="single" w:color="auto" w:sz="4" w:space="0"/>
              <w:left w:val="single" w:color="auto" w:sz="4" w:space="0"/>
              <w:bottom w:val="single" w:color="auto" w:sz="4" w:space="0"/>
              <w:right w:val="single" w:color="auto" w:sz="4" w:space="0"/>
            </w:tcBorders>
            <w:vAlign w:val="center"/>
          </w:tcPr>
          <w:p w14:paraId="595CC8ED">
            <w:pPr>
              <w:pStyle w:val="33"/>
              <w:rPr>
                <w:color w:val="auto"/>
              </w:rPr>
            </w:pPr>
          </w:p>
        </w:tc>
        <w:tc>
          <w:tcPr>
            <w:tcW w:w="1401" w:type="dxa"/>
            <w:vMerge w:val="continue"/>
            <w:tcBorders>
              <w:top w:val="single" w:color="auto" w:sz="4" w:space="0"/>
              <w:left w:val="single" w:color="auto" w:sz="4" w:space="0"/>
              <w:bottom w:val="single" w:color="auto" w:sz="4" w:space="0"/>
              <w:right w:val="single" w:color="auto" w:sz="4" w:space="0"/>
            </w:tcBorders>
            <w:vAlign w:val="center"/>
          </w:tcPr>
          <w:p w14:paraId="579504BD">
            <w:pPr>
              <w:pStyle w:val="33"/>
              <w:rPr>
                <w:color w:val="auto"/>
              </w:rPr>
            </w:pPr>
          </w:p>
        </w:tc>
        <w:tc>
          <w:tcPr>
            <w:tcW w:w="709" w:type="dxa"/>
            <w:vMerge w:val="continue"/>
            <w:vAlign w:val="center"/>
          </w:tcPr>
          <w:p w14:paraId="57C44482">
            <w:pPr>
              <w:pStyle w:val="33"/>
              <w:rPr>
                <w:color w:val="auto"/>
              </w:rPr>
            </w:pPr>
          </w:p>
        </w:tc>
        <w:tc>
          <w:tcPr>
            <w:tcW w:w="992" w:type="dxa"/>
            <w:vAlign w:val="center"/>
          </w:tcPr>
          <w:p w14:paraId="4FCFBACC">
            <w:pPr>
              <w:pStyle w:val="33"/>
              <w:rPr>
                <w:color w:val="auto"/>
              </w:rPr>
            </w:pPr>
            <w:r>
              <w:rPr>
                <w:color w:val="auto"/>
              </w:rPr>
              <w:t>改造前190万吨</w:t>
            </w:r>
          </w:p>
        </w:tc>
        <w:tc>
          <w:tcPr>
            <w:tcW w:w="1201" w:type="dxa"/>
            <w:tcBorders>
              <w:top w:val="single" w:color="auto" w:sz="4" w:space="0"/>
              <w:left w:val="single" w:color="auto" w:sz="4" w:space="0"/>
              <w:bottom w:val="single" w:color="auto" w:sz="4" w:space="0"/>
              <w:right w:val="single" w:color="auto" w:sz="4" w:space="0"/>
            </w:tcBorders>
            <w:vAlign w:val="center"/>
          </w:tcPr>
          <w:p w14:paraId="625441BB">
            <w:pPr>
              <w:pStyle w:val="33"/>
              <w:rPr>
                <w:color w:val="auto"/>
              </w:rPr>
            </w:pPr>
            <w:r>
              <w:rPr>
                <w:color w:val="auto"/>
              </w:rPr>
              <w:t>改造增产110万吨</w:t>
            </w:r>
          </w:p>
        </w:tc>
        <w:tc>
          <w:tcPr>
            <w:tcW w:w="1276" w:type="dxa"/>
            <w:tcBorders>
              <w:top w:val="single" w:color="auto" w:sz="4" w:space="0"/>
              <w:left w:val="single" w:color="auto" w:sz="4" w:space="0"/>
              <w:bottom w:val="single" w:color="auto" w:sz="4" w:space="0"/>
              <w:right w:val="single" w:color="auto" w:sz="4" w:space="0"/>
            </w:tcBorders>
            <w:vAlign w:val="center"/>
          </w:tcPr>
          <w:p w14:paraId="556A85B0">
            <w:pPr>
              <w:pStyle w:val="33"/>
              <w:rPr>
                <w:color w:val="auto"/>
              </w:rPr>
            </w:pPr>
            <w:r>
              <w:rPr>
                <w:color w:val="auto"/>
              </w:rPr>
              <w:t>改造后300万吨</w:t>
            </w:r>
          </w:p>
        </w:tc>
        <w:tc>
          <w:tcPr>
            <w:tcW w:w="2216" w:type="dxa"/>
            <w:vMerge w:val="continue"/>
            <w:tcBorders>
              <w:top w:val="single" w:color="auto" w:sz="4" w:space="0"/>
              <w:left w:val="single" w:color="auto" w:sz="4" w:space="0"/>
              <w:bottom w:val="single" w:color="auto" w:sz="4" w:space="0"/>
              <w:right w:val="single" w:color="auto" w:sz="4" w:space="0"/>
            </w:tcBorders>
            <w:vAlign w:val="center"/>
          </w:tcPr>
          <w:p w14:paraId="72979A36">
            <w:pPr>
              <w:pStyle w:val="33"/>
              <w:rPr>
                <w:color w:val="auto"/>
              </w:rPr>
            </w:pPr>
          </w:p>
        </w:tc>
      </w:tr>
      <w:tr w14:paraId="3D003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8AB2678">
            <w:pPr>
              <w:pStyle w:val="33"/>
              <w:rPr>
                <w:color w:val="auto"/>
              </w:rPr>
            </w:pPr>
            <w:r>
              <w:rPr>
                <w:color w:val="auto"/>
              </w:rPr>
              <w:t>1</w:t>
            </w:r>
          </w:p>
        </w:tc>
        <w:tc>
          <w:tcPr>
            <w:tcW w:w="1401" w:type="dxa"/>
            <w:tcBorders>
              <w:top w:val="single" w:color="auto" w:sz="4" w:space="0"/>
              <w:left w:val="single" w:color="auto" w:sz="4" w:space="0"/>
              <w:bottom w:val="single" w:color="auto" w:sz="4" w:space="0"/>
              <w:right w:val="single" w:color="auto" w:sz="4" w:space="0"/>
            </w:tcBorders>
            <w:vAlign w:val="center"/>
          </w:tcPr>
          <w:p w14:paraId="38EFAC93">
            <w:pPr>
              <w:pStyle w:val="33"/>
              <w:rPr>
                <w:color w:val="auto"/>
              </w:rPr>
            </w:pPr>
            <w:r>
              <w:rPr>
                <w:color w:val="auto"/>
                <w:szCs w:val="21"/>
              </w:rPr>
              <w:t>NBKP</w:t>
            </w:r>
          </w:p>
        </w:tc>
        <w:tc>
          <w:tcPr>
            <w:tcW w:w="709" w:type="dxa"/>
            <w:vAlign w:val="center"/>
          </w:tcPr>
          <w:p w14:paraId="1C85E024">
            <w:pPr>
              <w:pStyle w:val="33"/>
              <w:rPr>
                <w:color w:val="auto"/>
              </w:rPr>
            </w:pPr>
            <w:r>
              <w:rPr>
                <w:color w:val="auto"/>
                <w:szCs w:val="21"/>
              </w:rPr>
              <w:t>kg</w:t>
            </w:r>
          </w:p>
        </w:tc>
        <w:tc>
          <w:tcPr>
            <w:tcW w:w="992" w:type="dxa"/>
            <w:vAlign w:val="bottom"/>
          </w:tcPr>
          <w:p w14:paraId="140F3752">
            <w:pPr>
              <w:pStyle w:val="33"/>
              <w:rPr>
                <w:color w:val="auto"/>
              </w:rPr>
            </w:pPr>
            <w:r>
              <w:rPr>
                <w:rFonts w:eastAsia="等线"/>
                <w:color w:val="auto"/>
                <w:sz w:val="22"/>
                <w:szCs w:val="22"/>
              </w:rPr>
              <w:t>146300</w:t>
            </w:r>
          </w:p>
        </w:tc>
        <w:tc>
          <w:tcPr>
            <w:tcW w:w="1201" w:type="dxa"/>
            <w:tcBorders>
              <w:top w:val="single" w:color="auto" w:sz="4" w:space="0"/>
              <w:left w:val="single" w:color="auto" w:sz="4" w:space="0"/>
              <w:bottom w:val="single" w:color="auto" w:sz="4" w:space="0"/>
              <w:right w:val="single" w:color="auto" w:sz="4" w:space="0"/>
            </w:tcBorders>
            <w:vAlign w:val="bottom"/>
          </w:tcPr>
          <w:p w14:paraId="3CC10856">
            <w:pPr>
              <w:pStyle w:val="33"/>
              <w:rPr>
                <w:color w:val="auto"/>
              </w:rPr>
            </w:pPr>
            <w:r>
              <w:rPr>
                <w:rFonts w:eastAsia="等线"/>
                <w:color w:val="auto"/>
                <w:sz w:val="22"/>
                <w:szCs w:val="22"/>
              </w:rPr>
              <w:t>-26300</w:t>
            </w:r>
          </w:p>
        </w:tc>
        <w:tc>
          <w:tcPr>
            <w:tcW w:w="1276" w:type="dxa"/>
            <w:tcBorders>
              <w:top w:val="single" w:color="auto" w:sz="4" w:space="0"/>
              <w:left w:val="single" w:color="auto" w:sz="4" w:space="0"/>
              <w:bottom w:val="single" w:color="auto" w:sz="4" w:space="0"/>
              <w:right w:val="single" w:color="auto" w:sz="4" w:space="0"/>
            </w:tcBorders>
            <w:vAlign w:val="bottom"/>
          </w:tcPr>
          <w:p w14:paraId="5469A95A">
            <w:pPr>
              <w:pStyle w:val="33"/>
              <w:rPr>
                <w:color w:val="auto"/>
              </w:rPr>
            </w:pPr>
            <w:r>
              <w:rPr>
                <w:rFonts w:eastAsia="等线"/>
                <w:color w:val="auto"/>
                <w:sz w:val="22"/>
                <w:szCs w:val="22"/>
              </w:rPr>
              <w:t>120000</w:t>
            </w:r>
          </w:p>
        </w:tc>
        <w:tc>
          <w:tcPr>
            <w:tcW w:w="2216" w:type="dxa"/>
            <w:tcBorders>
              <w:top w:val="single" w:color="auto" w:sz="4" w:space="0"/>
              <w:left w:val="single" w:color="auto" w:sz="4" w:space="0"/>
              <w:bottom w:val="single" w:color="auto" w:sz="4" w:space="0"/>
              <w:right w:val="single" w:color="auto" w:sz="4" w:space="0"/>
            </w:tcBorders>
            <w:vAlign w:val="center"/>
          </w:tcPr>
          <w:p w14:paraId="7492C0ED">
            <w:pPr>
              <w:pStyle w:val="33"/>
              <w:rPr>
                <w:color w:val="auto"/>
              </w:rPr>
            </w:pPr>
            <w:r>
              <w:rPr>
                <w:color w:val="auto"/>
              </w:rPr>
              <w:t>99.5%得率，风干</w:t>
            </w:r>
          </w:p>
        </w:tc>
      </w:tr>
      <w:tr w14:paraId="745815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D82B8B8">
            <w:pPr>
              <w:pStyle w:val="33"/>
              <w:rPr>
                <w:color w:val="auto"/>
              </w:rPr>
            </w:pPr>
            <w:r>
              <w:rPr>
                <w:color w:val="auto"/>
              </w:rPr>
              <w:t>2</w:t>
            </w:r>
          </w:p>
        </w:tc>
        <w:tc>
          <w:tcPr>
            <w:tcW w:w="1401" w:type="dxa"/>
            <w:tcBorders>
              <w:top w:val="single" w:color="auto" w:sz="4" w:space="0"/>
              <w:left w:val="single" w:color="auto" w:sz="4" w:space="0"/>
              <w:bottom w:val="single" w:color="auto" w:sz="4" w:space="0"/>
              <w:right w:val="single" w:color="auto" w:sz="4" w:space="0"/>
            </w:tcBorders>
            <w:vAlign w:val="center"/>
          </w:tcPr>
          <w:p w14:paraId="2AF53B9E">
            <w:pPr>
              <w:pStyle w:val="33"/>
              <w:rPr>
                <w:color w:val="auto"/>
              </w:rPr>
            </w:pPr>
            <w:r>
              <w:rPr>
                <w:color w:val="auto"/>
                <w:szCs w:val="21"/>
              </w:rPr>
              <w:t>LBKP</w:t>
            </w:r>
          </w:p>
        </w:tc>
        <w:tc>
          <w:tcPr>
            <w:tcW w:w="709" w:type="dxa"/>
            <w:vAlign w:val="center"/>
          </w:tcPr>
          <w:p w14:paraId="2BE738A9">
            <w:pPr>
              <w:pStyle w:val="33"/>
              <w:rPr>
                <w:color w:val="auto"/>
              </w:rPr>
            </w:pPr>
            <w:r>
              <w:rPr>
                <w:color w:val="auto"/>
                <w:szCs w:val="21"/>
              </w:rPr>
              <w:t>kg</w:t>
            </w:r>
          </w:p>
        </w:tc>
        <w:tc>
          <w:tcPr>
            <w:tcW w:w="992" w:type="dxa"/>
            <w:vAlign w:val="bottom"/>
          </w:tcPr>
          <w:p w14:paraId="6AA6879E">
            <w:pPr>
              <w:pStyle w:val="33"/>
              <w:rPr>
                <w:color w:val="auto"/>
              </w:rPr>
            </w:pPr>
            <w:r>
              <w:rPr>
                <w:rFonts w:eastAsia="等线"/>
                <w:color w:val="auto"/>
                <w:sz w:val="22"/>
                <w:szCs w:val="22"/>
              </w:rPr>
              <w:t>549100</w:t>
            </w:r>
          </w:p>
        </w:tc>
        <w:tc>
          <w:tcPr>
            <w:tcW w:w="1201" w:type="dxa"/>
            <w:tcBorders>
              <w:top w:val="single" w:color="auto" w:sz="4" w:space="0"/>
              <w:left w:val="single" w:color="auto" w:sz="4" w:space="0"/>
              <w:bottom w:val="single" w:color="auto" w:sz="4" w:space="0"/>
              <w:right w:val="single" w:color="auto" w:sz="4" w:space="0"/>
            </w:tcBorders>
            <w:vAlign w:val="bottom"/>
          </w:tcPr>
          <w:p w14:paraId="148DFEEC">
            <w:pPr>
              <w:pStyle w:val="33"/>
              <w:rPr>
                <w:color w:val="auto"/>
              </w:rPr>
            </w:pPr>
            <w:r>
              <w:rPr>
                <w:rFonts w:eastAsia="等线"/>
                <w:color w:val="auto"/>
                <w:sz w:val="22"/>
                <w:szCs w:val="22"/>
              </w:rPr>
              <w:t>263900</w:t>
            </w:r>
          </w:p>
        </w:tc>
        <w:tc>
          <w:tcPr>
            <w:tcW w:w="1276" w:type="dxa"/>
            <w:tcBorders>
              <w:top w:val="single" w:color="auto" w:sz="4" w:space="0"/>
              <w:left w:val="single" w:color="auto" w:sz="4" w:space="0"/>
              <w:bottom w:val="single" w:color="auto" w:sz="4" w:space="0"/>
              <w:right w:val="single" w:color="auto" w:sz="4" w:space="0"/>
            </w:tcBorders>
            <w:vAlign w:val="bottom"/>
          </w:tcPr>
          <w:p w14:paraId="26796F57">
            <w:pPr>
              <w:pStyle w:val="33"/>
              <w:rPr>
                <w:color w:val="auto"/>
              </w:rPr>
            </w:pPr>
            <w:r>
              <w:rPr>
                <w:rFonts w:eastAsia="等线"/>
                <w:color w:val="auto"/>
                <w:sz w:val="22"/>
                <w:szCs w:val="22"/>
              </w:rPr>
              <w:t>813000</w:t>
            </w:r>
          </w:p>
        </w:tc>
        <w:tc>
          <w:tcPr>
            <w:tcW w:w="2216" w:type="dxa"/>
            <w:tcBorders>
              <w:top w:val="single" w:color="auto" w:sz="4" w:space="0"/>
              <w:left w:val="single" w:color="auto" w:sz="4" w:space="0"/>
              <w:bottom w:val="single" w:color="auto" w:sz="4" w:space="0"/>
              <w:right w:val="single" w:color="auto" w:sz="4" w:space="0"/>
            </w:tcBorders>
            <w:vAlign w:val="center"/>
          </w:tcPr>
          <w:p w14:paraId="1BB11AA6">
            <w:pPr>
              <w:pStyle w:val="33"/>
              <w:rPr>
                <w:color w:val="auto"/>
              </w:rPr>
            </w:pPr>
            <w:r>
              <w:rPr>
                <w:color w:val="auto"/>
              </w:rPr>
              <w:t>99.5%得率，风干</w:t>
            </w:r>
          </w:p>
        </w:tc>
      </w:tr>
      <w:tr w14:paraId="027AF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22D00F1">
            <w:pPr>
              <w:pStyle w:val="33"/>
              <w:rPr>
                <w:color w:val="auto"/>
              </w:rPr>
            </w:pPr>
            <w:r>
              <w:rPr>
                <w:color w:val="auto"/>
              </w:rPr>
              <w:t>3</w:t>
            </w:r>
          </w:p>
        </w:tc>
        <w:tc>
          <w:tcPr>
            <w:tcW w:w="1401" w:type="dxa"/>
            <w:tcBorders>
              <w:top w:val="single" w:color="auto" w:sz="4" w:space="0"/>
              <w:left w:val="single" w:color="auto" w:sz="4" w:space="0"/>
              <w:bottom w:val="single" w:color="auto" w:sz="4" w:space="0"/>
              <w:right w:val="single" w:color="auto" w:sz="4" w:space="0"/>
            </w:tcBorders>
            <w:vAlign w:val="center"/>
          </w:tcPr>
          <w:p w14:paraId="438A20C0">
            <w:pPr>
              <w:pStyle w:val="33"/>
              <w:rPr>
                <w:color w:val="auto"/>
              </w:rPr>
            </w:pPr>
            <w:r>
              <w:rPr>
                <w:color w:val="auto"/>
                <w:szCs w:val="21"/>
              </w:rPr>
              <w:t>自制化机浆</w:t>
            </w:r>
          </w:p>
        </w:tc>
        <w:tc>
          <w:tcPr>
            <w:tcW w:w="709" w:type="dxa"/>
            <w:vAlign w:val="center"/>
          </w:tcPr>
          <w:p w14:paraId="08A8CBA8">
            <w:pPr>
              <w:pStyle w:val="33"/>
              <w:rPr>
                <w:color w:val="auto"/>
              </w:rPr>
            </w:pPr>
            <w:r>
              <w:rPr>
                <w:color w:val="auto"/>
                <w:szCs w:val="21"/>
              </w:rPr>
              <w:t>kg</w:t>
            </w:r>
          </w:p>
        </w:tc>
        <w:tc>
          <w:tcPr>
            <w:tcW w:w="992" w:type="dxa"/>
            <w:vAlign w:val="bottom"/>
          </w:tcPr>
          <w:p w14:paraId="2F6D65C3">
            <w:pPr>
              <w:pStyle w:val="33"/>
              <w:rPr>
                <w:color w:val="auto"/>
              </w:rPr>
            </w:pPr>
            <w:r>
              <w:rPr>
                <w:rFonts w:eastAsia="等线"/>
                <w:color w:val="auto"/>
                <w:sz w:val="22"/>
                <w:szCs w:val="22"/>
              </w:rPr>
              <w:t>689700</w:t>
            </w:r>
          </w:p>
        </w:tc>
        <w:tc>
          <w:tcPr>
            <w:tcW w:w="1201" w:type="dxa"/>
            <w:tcBorders>
              <w:top w:val="single" w:color="auto" w:sz="4" w:space="0"/>
              <w:left w:val="single" w:color="auto" w:sz="4" w:space="0"/>
              <w:bottom w:val="single" w:color="auto" w:sz="4" w:space="0"/>
              <w:right w:val="single" w:color="auto" w:sz="4" w:space="0"/>
            </w:tcBorders>
            <w:vAlign w:val="bottom"/>
          </w:tcPr>
          <w:p w14:paraId="131D373B">
            <w:pPr>
              <w:pStyle w:val="33"/>
              <w:rPr>
                <w:color w:val="auto"/>
              </w:rPr>
            </w:pPr>
            <w:r>
              <w:rPr>
                <w:rFonts w:eastAsia="等线"/>
                <w:color w:val="auto"/>
                <w:sz w:val="22"/>
                <w:szCs w:val="22"/>
              </w:rPr>
              <w:t>510300</w:t>
            </w:r>
          </w:p>
        </w:tc>
        <w:tc>
          <w:tcPr>
            <w:tcW w:w="1276" w:type="dxa"/>
            <w:tcBorders>
              <w:top w:val="single" w:color="auto" w:sz="4" w:space="0"/>
              <w:left w:val="single" w:color="auto" w:sz="4" w:space="0"/>
              <w:bottom w:val="single" w:color="auto" w:sz="4" w:space="0"/>
              <w:right w:val="single" w:color="auto" w:sz="4" w:space="0"/>
            </w:tcBorders>
            <w:vAlign w:val="bottom"/>
          </w:tcPr>
          <w:p w14:paraId="62DC884E">
            <w:pPr>
              <w:pStyle w:val="33"/>
              <w:rPr>
                <w:color w:val="auto"/>
              </w:rPr>
            </w:pPr>
            <w:r>
              <w:rPr>
                <w:rFonts w:eastAsia="等线"/>
                <w:color w:val="auto"/>
                <w:sz w:val="22"/>
                <w:szCs w:val="22"/>
              </w:rPr>
              <w:t>1200000</w:t>
            </w:r>
          </w:p>
        </w:tc>
        <w:tc>
          <w:tcPr>
            <w:tcW w:w="2216" w:type="dxa"/>
            <w:tcBorders>
              <w:top w:val="single" w:color="auto" w:sz="4" w:space="0"/>
              <w:left w:val="single" w:color="auto" w:sz="4" w:space="0"/>
              <w:bottom w:val="single" w:color="auto" w:sz="4" w:space="0"/>
              <w:right w:val="single" w:color="auto" w:sz="4" w:space="0"/>
            </w:tcBorders>
            <w:vAlign w:val="center"/>
          </w:tcPr>
          <w:p w14:paraId="4166092E">
            <w:pPr>
              <w:pStyle w:val="33"/>
              <w:rPr>
                <w:color w:val="auto"/>
              </w:rPr>
            </w:pPr>
            <w:r>
              <w:rPr>
                <w:color w:val="auto"/>
              </w:rPr>
              <w:t>自制浆</w:t>
            </w:r>
          </w:p>
        </w:tc>
      </w:tr>
      <w:tr w14:paraId="4EE8C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1AEE7A4">
            <w:pPr>
              <w:pStyle w:val="33"/>
              <w:rPr>
                <w:color w:val="auto"/>
              </w:rPr>
            </w:pPr>
            <w:r>
              <w:rPr>
                <w:color w:val="auto"/>
              </w:rPr>
              <w:t>4</w:t>
            </w:r>
          </w:p>
        </w:tc>
        <w:tc>
          <w:tcPr>
            <w:tcW w:w="1401" w:type="dxa"/>
            <w:tcBorders>
              <w:top w:val="single" w:color="auto" w:sz="4" w:space="0"/>
              <w:left w:val="single" w:color="auto" w:sz="4" w:space="0"/>
              <w:bottom w:val="single" w:color="auto" w:sz="4" w:space="0"/>
              <w:right w:val="single" w:color="auto" w:sz="4" w:space="0"/>
            </w:tcBorders>
            <w:vAlign w:val="center"/>
          </w:tcPr>
          <w:p w14:paraId="6DF94CBA">
            <w:pPr>
              <w:pStyle w:val="33"/>
              <w:rPr>
                <w:color w:val="auto"/>
              </w:rPr>
            </w:pPr>
            <w:r>
              <w:rPr>
                <w:color w:val="auto"/>
                <w:szCs w:val="21"/>
              </w:rPr>
              <w:t>商品化机浆</w:t>
            </w:r>
          </w:p>
        </w:tc>
        <w:tc>
          <w:tcPr>
            <w:tcW w:w="709" w:type="dxa"/>
            <w:vAlign w:val="center"/>
          </w:tcPr>
          <w:p w14:paraId="4278363F">
            <w:pPr>
              <w:pStyle w:val="33"/>
              <w:rPr>
                <w:color w:val="auto"/>
              </w:rPr>
            </w:pPr>
            <w:r>
              <w:rPr>
                <w:color w:val="auto"/>
                <w:szCs w:val="21"/>
              </w:rPr>
              <w:t>kg</w:t>
            </w:r>
          </w:p>
        </w:tc>
        <w:tc>
          <w:tcPr>
            <w:tcW w:w="992" w:type="dxa"/>
            <w:vAlign w:val="bottom"/>
          </w:tcPr>
          <w:p w14:paraId="66D50AE6">
            <w:pPr>
              <w:pStyle w:val="33"/>
              <w:rPr>
                <w:color w:val="auto"/>
              </w:rPr>
            </w:pPr>
            <w:r>
              <w:rPr>
                <w:rFonts w:eastAsia="等线"/>
                <w:color w:val="auto"/>
                <w:sz w:val="22"/>
                <w:szCs w:val="22"/>
              </w:rPr>
              <w:t>0</w:t>
            </w:r>
          </w:p>
        </w:tc>
        <w:tc>
          <w:tcPr>
            <w:tcW w:w="1201" w:type="dxa"/>
            <w:tcBorders>
              <w:top w:val="single" w:color="auto" w:sz="4" w:space="0"/>
              <w:left w:val="single" w:color="auto" w:sz="4" w:space="0"/>
              <w:bottom w:val="single" w:color="auto" w:sz="4" w:space="0"/>
              <w:right w:val="single" w:color="auto" w:sz="4" w:space="0"/>
            </w:tcBorders>
            <w:vAlign w:val="bottom"/>
          </w:tcPr>
          <w:p w14:paraId="5F1FE5A1">
            <w:pPr>
              <w:pStyle w:val="33"/>
              <w:rPr>
                <w:color w:val="auto"/>
              </w:rPr>
            </w:pPr>
            <w:r>
              <w:rPr>
                <w:rFonts w:eastAsia="等线"/>
                <w:color w:val="auto"/>
                <w:sz w:val="22"/>
                <w:szCs w:val="22"/>
              </w:rPr>
              <w:t>100500</w:t>
            </w:r>
          </w:p>
        </w:tc>
        <w:tc>
          <w:tcPr>
            <w:tcW w:w="1276" w:type="dxa"/>
            <w:tcBorders>
              <w:top w:val="single" w:color="auto" w:sz="4" w:space="0"/>
              <w:left w:val="single" w:color="auto" w:sz="4" w:space="0"/>
              <w:bottom w:val="single" w:color="auto" w:sz="4" w:space="0"/>
              <w:right w:val="single" w:color="auto" w:sz="4" w:space="0"/>
            </w:tcBorders>
            <w:vAlign w:val="bottom"/>
          </w:tcPr>
          <w:p w14:paraId="65B93524">
            <w:pPr>
              <w:pStyle w:val="33"/>
              <w:rPr>
                <w:color w:val="auto"/>
              </w:rPr>
            </w:pPr>
            <w:r>
              <w:rPr>
                <w:rFonts w:eastAsia="等线"/>
                <w:color w:val="auto"/>
                <w:sz w:val="22"/>
                <w:szCs w:val="22"/>
              </w:rPr>
              <w:t>100500</w:t>
            </w:r>
          </w:p>
        </w:tc>
        <w:tc>
          <w:tcPr>
            <w:tcW w:w="2216" w:type="dxa"/>
            <w:tcBorders>
              <w:top w:val="single" w:color="auto" w:sz="4" w:space="0"/>
              <w:left w:val="single" w:color="auto" w:sz="4" w:space="0"/>
              <w:bottom w:val="single" w:color="auto" w:sz="4" w:space="0"/>
              <w:right w:val="single" w:color="auto" w:sz="4" w:space="0"/>
            </w:tcBorders>
            <w:vAlign w:val="center"/>
          </w:tcPr>
          <w:p w14:paraId="0D389640">
            <w:pPr>
              <w:pStyle w:val="33"/>
              <w:rPr>
                <w:color w:val="auto"/>
              </w:rPr>
            </w:pPr>
            <w:r>
              <w:rPr>
                <w:color w:val="auto"/>
              </w:rPr>
              <w:t>99.5%得率，风干</w:t>
            </w:r>
          </w:p>
        </w:tc>
      </w:tr>
      <w:tr w14:paraId="4E513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617113B">
            <w:pPr>
              <w:pStyle w:val="33"/>
              <w:rPr>
                <w:color w:val="auto"/>
              </w:rPr>
            </w:pPr>
            <w:r>
              <w:rPr>
                <w:color w:val="auto"/>
              </w:rPr>
              <w:t>5</w:t>
            </w:r>
          </w:p>
        </w:tc>
        <w:tc>
          <w:tcPr>
            <w:tcW w:w="1401" w:type="dxa"/>
            <w:tcBorders>
              <w:top w:val="single" w:color="auto" w:sz="4" w:space="0"/>
              <w:left w:val="single" w:color="auto" w:sz="4" w:space="0"/>
              <w:bottom w:val="single" w:color="auto" w:sz="4" w:space="0"/>
              <w:right w:val="single" w:color="auto" w:sz="4" w:space="0"/>
            </w:tcBorders>
            <w:vAlign w:val="center"/>
          </w:tcPr>
          <w:p w14:paraId="7DFCDE92">
            <w:pPr>
              <w:pStyle w:val="33"/>
              <w:rPr>
                <w:color w:val="auto"/>
              </w:rPr>
            </w:pPr>
            <w:r>
              <w:rPr>
                <w:color w:val="auto"/>
                <w:szCs w:val="21"/>
              </w:rPr>
              <w:t>瓷土</w:t>
            </w:r>
          </w:p>
        </w:tc>
        <w:tc>
          <w:tcPr>
            <w:tcW w:w="709" w:type="dxa"/>
            <w:vAlign w:val="center"/>
          </w:tcPr>
          <w:p w14:paraId="0E426913">
            <w:pPr>
              <w:pStyle w:val="33"/>
              <w:rPr>
                <w:color w:val="auto"/>
              </w:rPr>
            </w:pPr>
            <w:r>
              <w:rPr>
                <w:color w:val="auto"/>
                <w:szCs w:val="21"/>
              </w:rPr>
              <w:t>kg</w:t>
            </w:r>
          </w:p>
        </w:tc>
        <w:tc>
          <w:tcPr>
            <w:tcW w:w="992" w:type="dxa"/>
            <w:vAlign w:val="bottom"/>
          </w:tcPr>
          <w:p w14:paraId="1FBDB410">
            <w:pPr>
              <w:pStyle w:val="33"/>
              <w:rPr>
                <w:color w:val="auto"/>
              </w:rPr>
            </w:pPr>
            <w:r>
              <w:rPr>
                <w:rFonts w:eastAsia="等线"/>
                <w:color w:val="auto"/>
                <w:sz w:val="22"/>
                <w:szCs w:val="22"/>
              </w:rPr>
              <w:t>20900</w:t>
            </w:r>
          </w:p>
        </w:tc>
        <w:tc>
          <w:tcPr>
            <w:tcW w:w="1201" w:type="dxa"/>
            <w:tcBorders>
              <w:top w:val="single" w:color="auto" w:sz="4" w:space="0"/>
              <w:left w:val="single" w:color="auto" w:sz="4" w:space="0"/>
              <w:bottom w:val="single" w:color="auto" w:sz="4" w:space="0"/>
              <w:right w:val="single" w:color="auto" w:sz="4" w:space="0"/>
            </w:tcBorders>
            <w:vAlign w:val="bottom"/>
          </w:tcPr>
          <w:p w14:paraId="2C04211B">
            <w:pPr>
              <w:pStyle w:val="33"/>
              <w:rPr>
                <w:color w:val="auto"/>
              </w:rPr>
            </w:pPr>
            <w:r>
              <w:rPr>
                <w:rFonts w:eastAsia="等线"/>
                <w:color w:val="auto"/>
                <w:sz w:val="22"/>
                <w:szCs w:val="22"/>
              </w:rPr>
              <w:t>12100</w:t>
            </w:r>
          </w:p>
        </w:tc>
        <w:tc>
          <w:tcPr>
            <w:tcW w:w="1276" w:type="dxa"/>
            <w:tcBorders>
              <w:top w:val="single" w:color="auto" w:sz="4" w:space="0"/>
              <w:left w:val="single" w:color="auto" w:sz="4" w:space="0"/>
              <w:bottom w:val="single" w:color="auto" w:sz="4" w:space="0"/>
              <w:right w:val="single" w:color="auto" w:sz="4" w:space="0"/>
            </w:tcBorders>
            <w:vAlign w:val="bottom"/>
          </w:tcPr>
          <w:p w14:paraId="3576CFD7">
            <w:pPr>
              <w:pStyle w:val="33"/>
              <w:rPr>
                <w:color w:val="auto"/>
              </w:rPr>
            </w:pPr>
            <w:r>
              <w:rPr>
                <w:rFonts w:eastAsia="等线"/>
                <w:color w:val="auto"/>
                <w:sz w:val="22"/>
                <w:szCs w:val="22"/>
              </w:rPr>
              <w:t>33000</w:t>
            </w:r>
          </w:p>
        </w:tc>
        <w:tc>
          <w:tcPr>
            <w:tcW w:w="2216" w:type="dxa"/>
            <w:tcBorders>
              <w:top w:val="single" w:color="auto" w:sz="4" w:space="0"/>
              <w:left w:val="single" w:color="auto" w:sz="4" w:space="0"/>
              <w:bottom w:val="single" w:color="auto" w:sz="4" w:space="0"/>
              <w:right w:val="single" w:color="auto" w:sz="4" w:space="0"/>
            </w:tcBorders>
            <w:vAlign w:val="center"/>
          </w:tcPr>
          <w:p w14:paraId="2A104C70">
            <w:pPr>
              <w:pStyle w:val="33"/>
              <w:rPr>
                <w:color w:val="auto"/>
              </w:rPr>
            </w:pPr>
          </w:p>
        </w:tc>
      </w:tr>
      <w:tr w14:paraId="4C800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1D90B5F3">
            <w:pPr>
              <w:pStyle w:val="33"/>
              <w:rPr>
                <w:color w:val="auto"/>
              </w:rPr>
            </w:pPr>
            <w:r>
              <w:rPr>
                <w:color w:val="auto"/>
              </w:rPr>
              <w:t>6</w:t>
            </w:r>
          </w:p>
        </w:tc>
        <w:tc>
          <w:tcPr>
            <w:tcW w:w="1401" w:type="dxa"/>
            <w:tcBorders>
              <w:top w:val="single" w:color="auto" w:sz="4" w:space="0"/>
              <w:left w:val="single" w:color="auto" w:sz="4" w:space="0"/>
              <w:bottom w:val="single" w:color="auto" w:sz="4" w:space="0"/>
              <w:right w:val="single" w:color="auto" w:sz="4" w:space="0"/>
            </w:tcBorders>
            <w:vAlign w:val="center"/>
          </w:tcPr>
          <w:p w14:paraId="53A0F89A">
            <w:pPr>
              <w:pStyle w:val="33"/>
              <w:rPr>
                <w:color w:val="auto"/>
              </w:rPr>
            </w:pPr>
            <w:r>
              <w:rPr>
                <w:color w:val="auto"/>
                <w:szCs w:val="21"/>
              </w:rPr>
              <w:t>碳酸钙</w:t>
            </w:r>
          </w:p>
        </w:tc>
        <w:tc>
          <w:tcPr>
            <w:tcW w:w="709" w:type="dxa"/>
            <w:vAlign w:val="center"/>
          </w:tcPr>
          <w:p w14:paraId="62977CE8">
            <w:pPr>
              <w:pStyle w:val="33"/>
              <w:rPr>
                <w:color w:val="auto"/>
              </w:rPr>
            </w:pPr>
            <w:r>
              <w:rPr>
                <w:color w:val="auto"/>
                <w:szCs w:val="21"/>
              </w:rPr>
              <w:t>kg</w:t>
            </w:r>
          </w:p>
        </w:tc>
        <w:tc>
          <w:tcPr>
            <w:tcW w:w="992" w:type="dxa"/>
            <w:vAlign w:val="bottom"/>
          </w:tcPr>
          <w:p w14:paraId="5D7808B8">
            <w:pPr>
              <w:pStyle w:val="33"/>
              <w:rPr>
                <w:color w:val="auto"/>
              </w:rPr>
            </w:pPr>
            <w:r>
              <w:rPr>
                <w:rFonts w:eastAsia="等线"/>
                <w:color w:val="auto"/>
                <w:sz w:val="22"/>
                <w:szCs w:val="22"/>
              </w:rPr>
              <w:t>345800</w:t>
            </w:r>
          </w:p>
        </w:tc>
        <w:tc>
          <w:tcPr>
            <w:tcW w:w="1201" w:type="dxa"/>
            <w:tcBorders>
              <w:top w:val="single" w:color="auto" w:sz="4" w:space="0"/>
              <w:left w:val="single" w:color="auto" w:sz="4" w:space="0"/>
              <w:bottom w:val="single" w:color="auto" w:sz="4" w:space="0"/>
              <w:right w:val="single" w:color="auto" w:sz="4" w:space="0"/>
            </w:tcBorders>
            <w:vAlign w:val="bottom"/>
          </w:tcPr>
          <w:p w14:paraId="5FAC0F91">
            <w:pPr>
              <w:pStyle w:val="33"/>
              <w:rPr>
                <w:color w:val="auto"/>
              </w:rPr>
            </w:pPr>
            <w:r>
              <w:rPr>
                <w:rFonts w:eastAsia="等线"/>
                <w:color w:val="auto"/>
                <w:sz w:val="22"/>
                <w:szCs w:val="22"/>
              </w:rPr>
              <w:t>314200</w:t>
            </w:r>
          </w:p>
        </w:tc>
        <w:tc>
          <w:tcPr>
            <w:tcW w:w="1276" w:type="dxa"/>
            <w:tcBorders>
              <w:top w:val="single" w:color="auto" w:sz="4" w:space="0"/>
              <w:left w:val="single" w:color="auto" w:sz="4" w:space="0"/>
              <w:bottom w:val="single" w:color="auto" w:sz="4" w:space="0"/>
              <w:right w:val="single" w:color="auto" w:sz="4" w:space="0"/>
            </w:tcBorders>
            <w:vAlign w:val="bottom"/>
          </w:tcPr>
          <w:p w14:paraId="66DE1467">
            <w:pPr>
              <w:pStyle w:val="33"/>
              <w:rPr>
                <w:color w:val="auto"/>
              </w:rPr>
            </w:pPr>
            <w:r>
              <w:rPr>
                <w:rFonts w:eastAsia="等线"/>
                <w:color w:val="auto"/>
                <w:sz w:val="22"/>
                <w:szCs w:val="22"/>
              </w:rPr>
              <w:t>660000</w:t>
            </w:r>
          </w:p>
        </w:tc>
        <w:tc>
          <w:tcPr>
            <w:tcW w:w="2216" w:type="dxa"/>
            <w:tcBorders>
              <w:top w:val="single" w:color="auto" w:sz="4" w:space="0"/>
              <w:left w:val="single" w:color="auto" w:sz="4" w:space="0"/>
              <w:bottom w:val="single" w:color="auto" w:sz="4" w:space="0"/>
              <w:right w:val="single" w:color="auto" w:sz="4" w:space="0"/>
            </w:tcBorders>
            <w:vAlign w:val="center"/>
          </w:tcPr>
          <w:p w14:paraId="70C18E61">
            <w:pPr>
              <w:pStyle w:val="33"/>
              <w:rPr>
                <w:color w:val="auto"/>
              </w:rPr>
            </w:pPr>
          </w:p>
        </w:tc>
      </w:tr>
      <w:tr w14:paraId="0F114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67746420">
            <w:pPr>
              <w:pStyle w:val="33"/>
              <w:rPr>
                <w:color w:val="auto"/>
              </w:rPr>
            </w:pPr>
            <w:r>
              <w:rPr>
                <w:color w:val="auto"/>
              </w:rPr>
              <w:t>7</w:t>
            </w:r>
          </w:p>
        </w:tc>
        <w:tc>
          <w:tcPr>
            <w:tcW w:w="1401" w:type="dxa"/>
            <w:tcBorders>
              <w:top w:val="single" w:color="auto" w:sz="4" w:space="0"/>
              <w:left w:val="single" w:color="auto" w:sz="4" w:space="0"/>
              <w:bottom w:val="single" w:color="auto" w:sz="4" w:space="0"/>
              <w:right w:val="single" w:color="auto" w:sz="4" w:space="0"/>
            </w:tcBorders>
            <w:vAlign w:val="center"/>
          </w:tcPr>
          <w:p w14:paraId="773220CC">
            <w:pPr>
              <w:pStyle w:val="33"/>
              <w:rPr>
                <w:color w:val="auto"/>
              </w:rPr>
            </w:pPr>
            <w:r>
              <w:rPr>
                <w:color w:val="auto"/>
                <w:szCs w:val="21"/>
              </w:rPr>
              <w:t>滑石粉</w:t>
            </w:r>
          </w:p>
        </w:tc>
        <w:tc>
          <w:tcPr>
            <w:tcW w:w="709" w:type="dxa"/>
            <w:vAlign w:val="center"/>
          </w:tcPr>
          <w:p w14:paraId="744A6783">
            <w:pPr>
              <w:pStyle w:val="33"/>
              <w:rPr>
                <w:color w:val="auto"/>
              </w:rPr>
            </w:pPr>
            <w:r>
              <w:rPr>
                <w:color w:val="auto"/>
                <w:szCs w:val="21"/>
              </w:rPr>
              <w:t>kg</w:t>
            </w:r>
          </w:p>
        </w:tc>
        <w:tc>
          <w:tcPr>
            <w:tcW w:w="992" w:type="dxa"/>
            <w:vAlign w:val="bottom"/>
          </w:tcPr>
          <w:p w14:paraId="76C3BC4A">
            <w:pPr>
              <w:pStyle w:val="33"/>
              <w:rPr>
                <w:color w:val="auto"/>
              </w:rPr>
            </w:pPr>
            <w:r>
              <w:rPr>
                <w:rFonts w:eastAsia="等线"/>
                <w:color w:val="auto"/>
                <w:sz w:val="22"/>
                <w:szCs w:val="22"/>
              </w:rPr>
              <w:t>57000</w:t>
            </w:r>
          </w:p>
        </w:tc>
        <w:tc>
          <w:tcPr>
            <w:tcW w:w="1201" w:type="dxa"/>
            <w:tcBorders>
              <w:top w:val="single" w:color="auto" w:sz="4" w:space="0"/>
              <w:left w:val="single" w:color="auto" w:sz="4" w:space="0"/>
              <w:bottom w:val="single" w:color="auto" w:sz="4" w:space="0"/>
              <w:right w:val="single" w:color="auto" w:sz="4" w:space="0"/>
            </w:tcBorders>
            <w:vAlign w:val="bottom"/>
          </w:tcPr>
          <w:p w14:paraId="23FFF077">
            <w:pPr>
              <w:pStyle w:val="33"/>
              <w:rPr>
                <w:color w:val="auto"/>
              </w:rPr>
            </w:pPr>
            <w:r>
              <w:rPr>
                <w:rFonts w:eastAsia="等线"/>
                <w:color w:val="auto"/>
                <w:sz w:val="22"/>
                <w:szCs w:val="22"/>
              </w:rPr>
              <w:t>117000</w:t>
            </w:r>
          </w:p>
        </w:tc>
        <w:tc>
          <w:tcPr>
            <w:tcW w:w="1276" w:type="dxa"/>
            <w:tcBorders>
              <w:top w:val="single" w:color="auto" w:sz="4" w:space="0"/>
              <w:left w:val="single" w:color="auto" w:sz="4" w:space="0"/>
              <w:bottom w:val="single" w:color="auto" w:sz="4" w:space="0"/>
              <w:right w:val="single" w:color="auto" w:sz="4" w:space="0"/>
            </w:tcBorders>
            <w:vAlign w:val="bottom"/>
          </w:tcPr>
          <w:p w14:paraId="2CB8D242">
            <w:pPr>
              <w:pStyle w:val="33"/>
              <w:rPr>
                <w:color w:val="auto"/>
              </w:rPr>
            </w:pPr>
            <w:r>
              <w:rPr>
                <w:rFonts w:eastAsia="等线"/>
                <w:color w:val="auto"/>
                <w:sz w:val="22"/>
                <w:szCs w:val="22"/>
              </w:rPr>
              <w:t>174000</w:t>
            </w:r>
          </w:p>
        </w:tc>
        <w:tc>
          <w:tcPr>
            <w:tcW w:w="2216" w:type="dxa"/>
            <w:tcBorders>
              <w:top w:val="single" w:color="auto" w:sz="4" w:space="0"/>
              <w:left w:val="single" w:color="auto" w:sz="4" w:space="0"/>
              <w:bottom w:val="single" w:color="auto" w:sz="4" w:space="0"/>
              <w:right w:val="single" w:color="auto" w:sz="4" w:space="0"/>
            </w:tcBorders>
            <w:vAlign w:val="center"/>
          </w:tcPr>
          <w:p w14:paraId="4966FD53">
            <w:pPr>
              <w:pStyle w:val="33"/>
              <w:rPr>
                <w:color w:val="auto"/>
              </w:rPr>
            </w:pPr>
          </w:p>
        </w:tc>
      </w:tr>
      <w:tr w14:paraId="5F571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3EC1448">
            <w:pPr>
              <w:pStyle w:val="33"/>
              <w:rPr>
                <w:color w:val="auto"/>
              </w:rPr>
            </w:pPr>
            <w:r>
              <w:rPr>
                <w:color w:val="auto"/>
              </w:rPr>
              <w:t>8</w:t>
            </w:r>
          </w:p>
        </w:tc>
        <w:tc>
          <w:tcPr>
            <w:tcW w:w="1401" w:type="dxa"/>
            <w:tcBorders>
              <w:top w:val="single" w:color="auto" w:sz="4" w:space="0"/>
              <w:left w:val="single" w:color="auto" w:sz="4" w:space="0"/>
              <w:bottom w:val="single" w:color="auto" w:sz="4" w:space="0"/>
              <w:right w:val="single" w:color="auto" w:sz="4" w:space="0"/>
            </w:tcBorders>
            <w:vAlign w:val="center"/>
          </w:tcPr>
          <w:p w14:paraId="32D2CE4C">
            <w:pPr>
              <w:pStyle w:val="33"/>
              <w:rPr>
                <w:color w:val="auto"/>
              </w:rPr>
            </w:pPr>
            <w:r>
              <w:rPr>
                <w:color w:val="auto"/>
                <w:szCs w:val="21"/>
              </w:rPr>
              <w:t>胶乳</w:t>
            </w:r>
          </w:p>
        </w:tc>
        <w:tc>
          <w:tcPr>
            <w:tcW w:w="709" w:type="dxa"/>
            <w:vAlign w:val="center"/>
          </w:tcPr>
          <w:p w14:paraId="4E96911D">
            <w:pPr>
              <w:pStyle w:val="33"/>
              <w:rPr>
                <w:color w:val="auto"/>
              </w:rPr>
            </w:pPr>
            <w:r>
              <w:rPr>
                <w:color w:val="auto"/>
                <w:szCs w:val="21"/>
              </w:rPr>
              <w:t>kg</w:t>
            </w:r>
          </w:p>
        </w:tc>
        <w:tc>
          <w:tcPr>
            <w:tcW w:w="992" w:type="dxa"/>
            <w:vAlign w:val="bottom"/>
          </w:tcPr>
          <w:p w14:paraId="5FF618DB">
            <w:pPr>
              <w:pStyle w:val="33"/>
              <w:rPr>
                <w:color w:val="auto"/>
              </w:rPr>
            </w:pPr>
            <w:r>
              <w:rPr>
                <w:rFonts w:eastAsia="等线"/>
                <w:color w:val="auto"/>
                <w:sz w:val="22"/>
                <w:szCs w:val="22"/>
              </w:rPr>
              <w:t>57000</w:t>
            </w:r>
          </w:p>
        </w:tc>
        <w:tc>
          <w:tcPr>
            <w:tcW w:w="1201" w:type="dxa"/>
            <w:tcBorders>
              <w:top w:val="single" w:color="auto" w:sz="4" w:space="0"/>
              <w:left w:val="single" w:color="auto" w:sz="4" w:space="0"/>
              <w:bottom w:val="single" w:color="auto" w:sz="4" w:space="0"/>
              <w:right w:val="single" w:color="auto" w:sz="4" w:space="0"/>
            </w:tcBorders>
            <w:vAlign w:val="bottom"/>
          </w:tcPr>
          <w:p w14:paraId="7FBABF50">
            <w:pPr>
              <w:pStyle w:val="33"/>
              <w:rPr>
                <w:color w:val="auto"/>
              </w:rPr>
            </w:pPr>
            <w:r>
              <w:rPr>
                <w:rFonts w:eastAsia="等线"/>
                <w:color w:val="auto"/>
                <w:sz w:val="22"/>
                <w:szCs w:val="22"/>
              </w:rPr>
              <w:t>42000</w:t>
            </w:r>
          </w:p>
        </w:tc>
        <w:tc>
          <w:tcPr>
            <w:tcW w:w="1276" w:type="dxa"/>
            <w:tcBorders>
              <w:top w:val="single" w:color="auto" w:sz="4" w:space="0"/>
              <w:left w:val="single" w:color="auto" w:sz="4" w:space="0"/>
              <w:bottom w:val="single" w:color="auto" w:sz="4" w:space="0"/>
              <w:right w:val="single" w:color="auto" w:sz="4" w:space="0"/>
            </w:tcBorders>
            <w:vAlign w:val="bottom"/>
          </w:tcPr>
          <w:p w14:paraId="3A4A5B2C">
            <w:pPr>
              <w:pStyle w:val="33"/>
              <w:rPr>
                <w:color w:val="auto"/>
              </w:rPr>
            </w:pPr>
            <w:r>
              <w:rPr>
                <w:rFonts w:eastAsia="等线"/>
                <w:color w:val="auto"/>
                <w:sz w:val="22"/>
                <w:szCs w:val="22"/>
              </w:rPr>
              <w:t>99000</w:t>
            </w:r>
          </w:p>
        </w:tc>
        <w:tc>
          <w:tcPr>
            <w:tcW w:w="2216" w:type="dxa"/>
            <w:tcBorders>
              <w:top w:val="single" w:color="auto" w:sz="4" w:space="0"/>
              <w:left w:val="single" w:color="auto" w:sz="4" w:space="0"/>
              <w:bottom w:val="single" w:color="auto" w:sz="4" w:space="0"/>
              <w:right w:val="single" w:color="auto" w:sz="4" w:space="0"/>
            </w:tcBorders>
            <w:vAlign w:val="center"/>
          </w:tcPr>
          <w:p w14:paraId="51986B3E">
            <w:pPr>
              <w:pStyle w:val="33"/>
              <w:rPr>
                <w:color w:val="auto"/>
              </w:rPr>
            </w:pPr>
          </w:p>
        </w:tc>
      </w:tr>
      <w:tr w14:paraId="1E036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AE35908">
            <w:pPr>
              <w:pStyle w:val="33"/>
              <w:rPr>
                <w:color w:val="auto"/>
              </w:rPr>
            </w:pPr>
            <w:r>
              <w:rPr>
                <w:color w:val="auto"/>
              </w:rPr>
              <w:t>9</w:t>
            </w:r>
          </w:p>
        </w:tc>
        <w:tc>
          <w:tcPr>
            <w:tcW w:w="1401" w:type="dxa"/>
            <w:tcBorders>
              <w:top w:val="single" w:color="auto" w:sz="4" w:space="0"/>
              <w:left w:val="single" w:color="auto" w:sz="4" w:space="0"/>
              <w:bottom w:val="single" w:color="auto" w:sz="4" w:space="0"/>
              <w:right w:val="single" w:color="auto" w:sz="4" w:space="0"/>
            </w:tcBorders>
            <w:vAlign w:val="center"/>
          </w:tcPr>
          <w:p w14:paraId="6EDB5D52">
            <w:pPr>
              <w:pStyle w:val="33"/>
              <w:rPr>
                <w:color w:val="auto"/>
              </w:rPr>
            </w:pPr>
            <w:r>
              <w:rPr>
                <w:color w:val="auto"/>
                <w:szCs w:val="21"/>
              </w:rPr>
              <w:t>氧化淀粉</w:t>
            </w:r>
          </w:p>
        </w:tc>
        <w:tc>
          <w:tcPr>
            <w:tcW w:w="709" w:type="dxa"/>
            <w:vAlign w:val="center"/>
          </w:tcPr>
          <w:p w14:paraId="1B77C2C3">
            <w:pPr>
              <w:pStyle w:val="33"/>
              <w:rPr>
                <w:color w:val="auto"/>
              </w:rPr>
            </w:pPr>
            <w:r>
              <w:rPr>
                <w:color w:val="auto"/>
                <w:szCs w:val="21"/>
              </w:rPr>
              <w:t>kg</w:t>
            </w:r>
          </w:p>
        </w:tc>
        <w:tc>
          <w:tcPr>
            <w:tcW w:w="992" w:type="dxa"/>
            <w:vAlign w:val="bottom"/>
          </w:tcPr>
          <w:p w14:paraId="14CF6DEC">
            <w:pPr>
              <w:pStyle w:val="33"/>
              <w:rPr>
                <w:color w:val="auto"/>
              </w:rPr>
            </w:pPr>
            <w:r>
              <w:rPr>
                <w:rFonts w:eastAsia="等线"/>
                <w:color w:val="auto"/>
                <w:sz w:val="22"/>
                <w:szCs w:val="22"/>
              </w:rPr>
              <w:t>13300</w:t>
            </w:r>
          </w:p>
        </w:tc>
        <w:tc>
          <w:tcPr>
            <w:tcW w:w="1201" w:type="dxa"/>
            <w:tcBorders>
              <w:top w:val="single" w:color="auto" w:sz="4" w:space="0"/>
              <w:left w:val="single" w:color="auto" w:sz="4" w:space="0"/>
              <w:bottom w:val="single" w:color="auto" w:sz="4" w:space="0"/>
              <w:right w:val="single" w:color="auto" w:sz="4" w:space="0"/>
            </w:tcBorders>
            <w:vAlign w:val="bottom"/>
          </w:tcPr>
          <w:p w14:paraId="4C5A9B9F">
            <w:pPr>
              <w:pStyle w:val="33"/>
              <w:rPr>
                <w:color w:val="auto"/>
              </w:rPr>
            </w:pPr>
            <w:r>
              <w:rPr>
                <w:rFonts w:eastAsia="等线"/>
                <w:color w:val="auto"/>
                <w:sz w:val="22"/>
                <w:szCs w:val="22"/>
              </w:rPr>
              <w:t>7700</w:t>
            </w:r>
          </w:p>
        </w:tc>
        <w:tc>
          <w:tcPr>
            <w:tcW w:w="1276" w:type="dxa"/>
            <w:tcBorders>
              <w:top w:val="single" w:color="auto" w:sz="4" w:space="0"/>
              <w:left w:val="single" w:color="auto" w:sz="4" w:space="0"/>
              <w:bottom w:val="single" w:color="auto" w:sz="4" w:space="0"/>
              <w:right w:val="single" w:color="auto" w:sz="4" w:space="0"/>
            </w:tcBorders>
            <w:vAlign w:val="bottom"/>
          </w:tcPr>
          <w:p w14:paraId="4B110571">
            <w:pPr>
              <w:pStyle w:val="33"/>
              <w:rPr>
                <w:color w:val="auto"/>
              </w:rPr>
            </w:pPr>
            <w:r>
              <w:rPr>
                <w:rFonts w:eastAsia="等线"/>
                <w:color w:val="auto"/>
                <w:sz w:val="22"/>
                <w:szCs w:val="22"/>
              </w:rPr>
              <w:t>21000</w:t>
            </w:r>
          </w:p>
        </w:tc>
        <w:tc>
          <w:tcPr>
            <w:tcW w:w="2216" w:type="dxa"/>
            <w:tcBorders>
              <w:top w:val="single" w:color="auto" w:sz="4" w:space="0"/>
              <w:left w:val="single" w:color="auto" w:sz="4" w:space="0"/>
              <w:bottom w:val="single" w:color="auto" w:sz="4" w:space="0"/>
              <w:right w:val="single" w:color="auto" w:sz="4" w:space="0"/>
            </w:tcBorders>
            <w:vAlign w:val="center"/>
          </w:tcPr>
          <w:p w14:paraId="670AA25B">
            <w:pPr>
              <w:pStyle w:val="33"/>
              <w:rPr>
                <w:color w:val="auto"/>
              </w:rPr>
            </w:pPr>
          </w:p>
        </w:tc>
      </w:tr>
      <w:tr w14:paraId="3C4A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02F5728A">
            <w:pPr>
              <w:pStyle w:val="33"/>
              <w:rPr>
                <w:color w:val="auto"/>
              </w:rPr>
            </w:pPr>
            <w:r>
              <w:rPr>
                <w:color w:val="auto"/>
              </w:rPr>
              <w:t>10</w:t>
            </w:r>
          </w:p>
        </w:tc>
        <w:tc>
          <w:tcPr>
            <w:tcW w:w="1401" w:type="dxa"/>
            <w:tcBorders>
              <w:top w:val="single" w:color="auto" w:sz="4" w:space="0"/>
              <w:left w:val="single" w:color="auto" w:sz="4" w:space="0"/>
              <w:bottom w:val="single" w:color="auto" w:sz="4" w:space="0"/>
              <w:right w:val="single" w:color="auto" w:sz="4" w:space="0"/>
            </w:tcBorders>
            <w:vAlign w:val="center"/>
          </w:tcPr>
          <w:p w14:paraId="1D37C3F8">
            <w:pPr>
              <w:pStyle w:val="33"/>
              <w:rPr>
                <w:color w:val="auto"/>
              </w:rPr>
            </w:pPr>
            <w:r>
              <w:rPr>
                <w:color w:val="auto"/>
                <w:szCs w:val="21"/>
              </w:rPr>
              <w:t>阳离子淀粉</w:t>
            </w:r>
          </w:p>
        </w:tc>
        <w:tc>
          <w:tcPr>
            <w:tcW w:w="709" w:type="dxa"/>
            <w:vAlign w:val="center"/>
          </w:tcPr>
          <w:p w14:paraId="465B0DEE">
            <w:pPr>
              <w:pStyle w:val="33"/>
              <w:rPr>
                <w:color w:val="auto"/>
              </w:rPr>
            </w:pPr>
            <w:r>
              <w:rPr>
                <w:color w:val="auto"/>
                <w:szCs w:val="21"/>
              </w:rPr>
              <w:t>kg</w:t>
            </w:r>
          </w:p>
        </w:tc>
        <w:tc>
          <w:tcPr>
            <w:tcW w:w="992" w:type="dxa"/>
            <w:vAlign w:val="bottom"/>
          </w:tcPr>
          <w:p w14:paraId="35198611">
            <w:pPr>
              <w:pStyle w:val="33"/>
              <w:rPr>
                <w:color w:val="auto"/>
              </w:rPr>
            </w:pPr>
            <w:r>
              <w:rPr>
                <w:rFonts w:eastAsia="等线"/>
                <w:color w:val="auto"/>
                <w:sz w:val="22"/>
                <w:szCs w:val="22"/>
              </w:rPr>
              <w:t>28500</w:t>
            </w:r>
          </w:p>
        </w:tc>
        <w:tc>
          <w:tcPr>
            <w:tcW w:w="1201" w:type="dxa"/>
            <w:tcBorders>
              <w:top w:val="single" w:color="auto" w:sz="4" w:space="0"/>
              <w:left w:val="single" w:color="auto" w:sz="4" w:space="0"/>
              <w:bottom w:val="single" w:color="auto" w:sz="4" w:space="0"/>
              <w:right w:val="single" w:color="auto" w:sz="4" w:space="0"/>
            </w:tcBorders>
            <w:vAlign w:val="bottom"/>
          </w:tcPr>
          <w:p w14:paraId="69AE39AB">
            <w:pPr>
              <w:pStyle w:val="33"/>
              <w:rPr>
                <w:color w:val="auto"/>
              </w:rPr>
            </w:pPr>
            <w:r>
              <w:rPr>
                <w:rFonts w:eastAsia="等线"/>
                <w:color w:val="auto"/>
                <w:sz w:val="22"/>
                <w:szCs w:val="22"/>
              </w:rPr>
              <w:t>16500</w:t>
            </w:r>
          </w:p>
        </w:tc>
        <w:tc>
          <w:tcPr>
            <w:tcW w:w="1276" w:type="dxa"/>
            <w:tcBorders>
              <w:top w:val="single" w:color="auto" w:sz="4" w:space="0"/>
              <w:left w:val="single" w:color="auto" w:sz="4" w:space="0"/>
              <w:bottom w:val="single" w:color="auto" w:sz="4" w:space="0"/>
              <w:right w:val="single" w:color="auto" w:sz="4" w:space="0"/>
            </w:tcBorders>
            <w:vAlign w:val="bottom"/>
          </w:tcPr>
          <w:p w14:paraId="5BE73DDF">
            <w:pPr>
              <w:pStyle w:val="33"/>
              <w:rPr>
                <w:color w:val="auto"/>
              </w:rPr>
            </w:pPr>
            <w:r>
              <w:rPr>
                <w:rFonts w:eastAsia="等线"/>
                <w:color w:val="auto"/>
                <w:sz w:val="22"/>
                <w:szCs w:val="22"/>
              </w:rPr>
              <w:t>45000</w:t>
            </w:r>
          </w:p>
        </w:tc>
        <w:tc>
          <w:tcPr>
            <w:tcW w:w="2216" w:type="dxa"/>
            <w:tcBorders>
              <w:top w:val="single" w:color="auto" w:sz="4" w:space="0"/>
              <w:left w:val="single" w:color="auto" w:sz="4" w:space="0"/>
              <w:bottom w:val="single" w:color="auto" w:sz="4" w:space="0"/>
              <w:right w:val="single" w:color="auto" w:sz="4" w:space="0"/>
            </w:tcBorders>
            <w:vAlign w:val="center"/>
          </w:tcPr>
          <w:p w14:paraId="513D6B4D">
            <w:pPr>
              <w:pStyle w:val="33"/>
              <w:rPr>
                <w:color w:val="auto"/>
              </w:rPr>
            </w:pPr>
          </w:p>
        </w:tc>
      </w:tr>
      <w:tr w14:paraId="35464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0B75AEC2">
            <w:pPr>
              <w:pStyle w:val="33"/>
              <w:rPr>
                <w:color w:val="auto"/>
              </w:rPr>
            </w:pPr>
            <w:r>
              <w:rPr>
                <w:color w:val="auto"/>
              </w:rPr>
              <w:t>11</w:t>
            </w:r>
          </w:p>
        </w:tc>
        <w:tc>
          <w:tcPr>
            <w:tcW w:w="1401" w:type="dxa"/>
            <w:tcBorders>
              <w:top w:val="single" w:color="auto" w:sz="4" w:space="0"/>
              <w:left w:val="single" w:color="auto" w:sz="4" w:space="0"/>
              <w:bottom w:val="single" w:color="auto" w:sz="4" w:space="0"/>
              <w:right w:val="single" w:color="auto" w:sz="4" w:space="0"/>
            </w:tcBorders>
            <w:vAlign w:val="center"/>
          </w:tcPr>
          <w:p w14:paraId="3CBE09F7">
            <w:pPr>
              <w:pStyle w:val="33"/>
              <w:rPr>
                <w:color w:val="auto"/>
              </w:rPr>
            </w:pPr>
            <w:r>
              <w:rPr>
                <w:color w:val="auto"/>
                <w:szCs w:val="21"/>
              </w:rPr>
              <w:t>硫酸铝</w:t>
            </w:r>
          </w:p>
        </w:tc>
        <w:tc>
          <w:tcPr>
            <w:tcW w:w="709" w:type="dxa"/>
            <w:vAlign w:val="center"/>
          </w:tcPr>
          <w:p w14:paraId="370EC6C5">
            <w:pPr>
              <w:pStyle w:val="33"/>
              <w:rPr>
                <w:color w:val="auto"/>
              </w:rPr>
            </w:pPr>
            <w:r>
              <w:rPr>
                <w:color w:val="auto"/>
                <w:szCs w:val="21"/>
              </w:rPr>
              <w:t>kg</w:t>
            </w:r>
          </w:p>
        </w:tc>
        <w:tc>
          <w:tcPr>
            <w:tcW w:w="992" w:type="dxa"/>
            <w:vAlign w:val="bottom"/>
          </w:tcPr>
          <w:p w14:paraId="166B007E">
            <w:pPr>
              <w:pStyle w:val="33"/>
              <w:rPr>
                <w:color w:val="auto"/>
              </w:rPr>
            </w:pPr>
            <w:r>
              <w:rPr>
                <w:rFonts w:eastAsia="等线"/>
                <w:color w:val="auto"/>
                <w:sz w:val="22"/>
                <w:szCs w:val="22"/>
              </w:rPr>
              <w:t>57000</w:t>
            </w:r>
          </w:p>
        </w:tc>
        <w:tc>
          <w:tcPr>
            <w:tcW w:w="1201" w:type="dxa"/>
            <w:tcBorders>
              <w:top w:val="single" w:color="auto" w:sz="4" w:space="0"/>
              <w:left w:val="single" w:color="auto" w:sz="4" w:space="0"/>
              <w:bottom w:val="single" w:color="auto" w:sz="4" w:space="0"/>
              <w:right w:val="single" w:color="auto" w:sz="4" w:space="0"/>
            </w:tcBorders>
            <w:vAlign w:val="bottom"/>
          </w:tcPr>
          <w:p w14:paraId="57CB7EE7">
            <w:pPr>
              <w:pStyle w:val="33"/>
              <w:rPr>
                <w:color w:val="auto"/>
              </w:rPr>
            </w:pPr>
            <w:r>
              <w:rPr>
                <w:rFonts w:eastAsia="等线"/>
                <w:color w:val="auto"/>
                <w:sz w:val="22"/>
                <w:szCs w:val="22"/>
              </w:rPr>
              <w:t>36000</w:t>
            </w:r>
          </w:p>
        </w:tc>
        <w:tc>
          <w:tcPr>
            <w:tcW w:w="1276" w:type="dxa"/>
            <w:tcBorders>
              <w:top w:val="single" w:color="auto" w:sz="4" w:space="0"/>
              <w:left w:val="single" w:color="auto" w:sz="4" w:space="0"/>
              <w:bottom w:val="single" w:color="auto" w:sz="4" w:space="0"/>
              <w:right w:val="single" w:color="auto" w:sz="4" w:space="0"/>
            </w:tcBorders>
            <w:vAlign w:val="bottom"/>
          </w:tcPr>
          <w:p w14:paraId="34D0458D">
            <w:pPr>
              <w:pStyle w:val="33"/>
              <w:rPr>
                <w:color w:val="auto"/>
              </w:rPr>
            </w:pPr>
            <w:r>
              <w:rPr>
                <w:rFonts w:eastAsia="等线"/>
                <w:color w:val="auto"/>
                <w:sz w:val="22"/>
                <w:szCs w:val="22"/>
              </w:rPr>
              <w:t>93000</w:t>
            </w:r>
          </w:p>
        </w:tc>
        <w:tc>
          <w:tcPr>
            <w:tcW w:w="2216" w:type="dxa"/>
            <w:tcBorders>
              <w:top w:val="single" w:color="auto" w:sz="4" w:space="0"/>
              <w:left w:val="single" w:color="auto" w:sz="4" w:space="0"/>
              <w:bottom w:val="single" w:color="auto" w:sz="4" w:space="0"/>
              <w:right w:val="single" w:color="auto" w:sz="4" w:space="0"/>
            </w:tcBorders>
            <w:vAlign w:val="center"/>
          </w:tcPr>
          <w:p w14:paraId="3508FFB3">
            <w:pPr>
              <w:pStyle w:val="33"/>
              <w:rPr>
                <w:color w:val="auto"/>
              </w:rPr>
            </w:pPr>
          </w:p>
        </w:tc>
      </w:tr>
      <w:tr w14:paraId="7C165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6464957A">
            <w:pPr>
              <w:pStyle w:val="33"/>
              <w:rPr>
                <w:color w:val="auto"/>
              </w:rPr>
            </w:pPr>
            <w:r>
              <w:rPr>
                <w:color w:val="auto"/>
              </w:rPr>
              <w:t>12</w:t>
            </w:r>
          </w:p>
        </w:tc>
        <w:tc>
          <w:tcPr>
            <w:tcW w:w="1401" w:type="dxa"/>
            <w:tcBorders>
              <w:top w:val="single" w:color="auto" w:sz="4" w:space="0"/>
              <w:left w:val="single" w:color="auto" w:sz="4" w:space="0"/>
              <w:bottom w:val="single" w:color="auto" w:sz="4" w:space="0"/>
              <w:right w:val="single" w:color="auto" w:sz="4" w:space="0"/>
            </w:tcBorders>
            <w:vAlign w:val="center"/>
          </w:tcPr>
          <w:p w14:paraId="01C74676">
            <w:pPr>
              <w:pStyle w:val="33"/>
              <w:rPr>
                <w:color w:val="auto"/>
              </w:rPr>
            </w:pPr>
            <w:r>
              <w:rPr>
                <w:color w:val="auto"/>
                <w:szCs w:val="21"/>
              </w:rPr>
              <w:t>松香</w:t>
            </w:r>
          </w:p>
        </w:tc>
        <w:tc>
          <w:tcPr>
            <w:tcW w:w="709" w:type="dxa"/>
            <w:vAlign w:val="center"/>
          </w:tcPr>
          <w:p w14:paraId="7F2C1543">
            <w:pPr>
              <w:pStyle w:val="33"/>
              <w:rPr>
                <w:color w:val="auto"/>
              </w:rPr>
            </w:pPr>
            <w:r>
              <w:rPr>
                <w:color w:val="auto"/>
                <w:szCs w:val="21"/>
              </w:rPr>
              <w:t>kg</w:t>
            </w:r>
          </w:p>
        </w:tc>
        <w:tc>
          <w:tcPr>
            <w:tcW w:w="992" w:type="dxa"/>
            <w:vAlign w:val="bottom"/>
          </w:tcPr>
          <w:p w14:paraId="290AC16E">
            <w:pPr>
              <w:pStyle w:val="33"/>
              <w:rPr>
                <w:color w:val="auto"/>
              </w:rPr>
            </w:pPr>
            <w:r>
              <w:rPr>
                <w:rFonts w:eastAsia="等线"/>
                <w:color w:val="auto"/>
                <w:sz w:val="22"/>
                <w:szCs w:val="22"/>
              </w:rPr>
              <w:t>47500</w:t>
            </w:r>
          </w:p>
        </w:tc>
        <w:tc>
          <w:tcPr>
            <w:tcW w:w="1201" w:type="dxa"/>
            <w:tcBorders>
              <w:top w:val="single" w:color="auto" w:sz="4" w:space="0"/>
              <w:left w:val="single" w:color="auto" w:sz="4" w:space="0"/>
              <w:bottom w:val="single" w:color="auto" w:sz="4" w:space="0"/>
              <w:right w:val="single" w:color="auto" w:sz="4" w:space="0"/>
            </w:tcBorders>
            <w:vAlign w:val="bottom"/>
          </w:tcPr>
          <w:p w14:paraId="38BF1EB4">
            <w:pPr>
              <w:pStyle w:val="33"/>
              <w:rPr>
                <w:color w:val="auto"/>
              </w:rPr>
            </w:pPr>
            <w:r>
              <w:rPr>
                <w:rFonts w:eastAsia="等线"/>
                <w:color w:val="auto"/>
                <w:sz w:val="22"/>
                <w:szCs w:val="22"/>
              </w:rPr>
              <w:t>33500</w:t>
            </w:r>
          </w:p>
        </w:tc>
        <w:tc>
          <w:tcPr>
            <w:tcW w:w="1276" w:type="dxa"/>
            <w:tcBorders>
              <w:top w:val="single" w:color="auto" w:sz="4" w:space="0"/>
              <w:left w:val="single" w:color="auto" w:sz="4" w:space="0"/>
              <w:bottom w:val="single" w:color="auto" w:sz="4" w:space="0"/>
              <w:right w:val="single" w:color="auto" w:sz="4" w:space="0"/>
            </w:tcBorders>
            <w:vAlign w:val="bottom"/>
          </w:tcPr>
          <w:p w14:paraId="1709BA48">
            <w:pPr>
              <w:pStyle w:val="33"/>
              <w:rPr>
                <w:color w:val="auto"/>
              </w:rPr>
            </w:pPr>
            <w:r>
              <w:rPr>
                <w:rFonts w:eastAsia="等线"/>
                <w:color w:val="auto"/>
                <w:sz w:val="22"/>
                <w:szCs w:val="22"/>
              </w:rPr>
              <w:t>81000</w:t>
            </w:r>
          </w:p>
        </w:tc>
        <w:tc>
          <w:tcPr>
            <w:tcW w:w="2216" w:type="dxa"/>
            <w:tcBorders>
              <w:top w:val="single" w:color="auto" w:sz="4" w:space="0"/>
              <w:left w:val="single" w:color="auto" w:sz="4" w:space="0"/>
              <w:bottom w:val="single" w:color="auto" w:sz="4" w:space="0"/>
              <w:right w:val="single" w:color="auto" w:sz="4" w:space="0"/>
            </w:tcBorders>
            <w:vAlign w:val="center"/>
          </w:tcPr>
          <w:p w14:paraId="6B3C1C4B">
            <w:pPr>
              <w:pStyle w:val="33"/>
              <w:rPr>
                <w:color w:val="auto"/>
              </w:rPr>
            </w:pPr>
          </w:p>
        </w:tc>
      </w:tr>
      <w:tr w14:paraId="2395D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FE154AA">
            <w:pPr>
              <w:pStyle w:val="33"/>
              <w:rPr>
                <w:color w:val="auto"/>
              </w:rPr>
            </w:pPr>
            <w:r>
              <w:rPr>
                <w:color w:val="auto"/>
              </w:rPr>
              <w:t>13</w:t>
            </w:r>
          </w:p>
        </w:tc>
        <w:tc>
          <w:tcPr>
            <w:tcW w:w="1401" w:type="dxa"/>
            <w:tcBorders>
              <w:top w:val="single" w:color="auto" w:sz="4" w:space="0"/>
              <w:left w:val="single" w:color="auto" w:sz="4" w:space="0"/>
              <w:bottom w:val="single" w:color="auto" w:sz="4" w:space="0"/>
              <w:right w:val="single" w:color="auto" w:sz="4" w:space="0"/>
            </w:tcBorders>
            <w:vAlign w:val="center"/>
          </w:tcPr>
          <w:p w14:paraId="0279EBFB">
            <w:pPr>
              <w:pStyle w:val="33"/>
              <w:rPr>
                <w:color w:val="auto"/>
              </w:rPr>
            </w:pPr>
            <w:r>
              <w:rPr>
                <w:color w:val="auto"/>
                <w:szCs w:val="21"/>
              </w:rPr>
              <w:t>CMC</w:t>
            </w:r>
          </w:p>
        </w:tc>
        <w:tc>
          <w:tcPr>
            <w:tcW w:w="709" w:type="dxa"/>
            <w:vAlign w:val="center"/>
          </w:tcPr>
          <w:p w14:paraId="0EFE3CAB">
            <w:pPr>
              <w:pStyle w:val="33"/>
              <w:rPr>
                <w:color w:val="auto"/>
              </w:rPr>
            </w:pPr>
            <w:r>
              <w:rPr>
                <w:color w:val="auto"/>
                <w:szCs w:val="21"/>
              </w:rPr>
              <w:t>kg</w:t>
            </w:r>
          </w:p>
        </w:tc>
        <w:tc>
          <w:tcPr>
            <w:tcW w:w="992" w:type="dxa"/>
            <w:vAlign w:val="bottom"/>
          </w:tcPr>
          <w:p w14:paraId="74350945">
            <w:pPr>
              <w:pStyle w:val="33"/>
              <w:rPr>
                <w:color w:val="auto"/>
              </w:rPr>
            </w:pPr>
            <w:r>
              <w:rPr>
                <w:rFonts w:eastAsia="等线"/>
                <w:color w:val="auto"/>
                <w:sz w:val="22"/>
                <w:szCs w:val="22"/>
              </w:rPr>
              <w:t>1045</w:t>
            </w:r>
          </w:p>
        </w:tc>
        <w:tc>
          <w:tcPr>
            <w:tcW w:w="1201" w:type="dxa"/>
            <w:tcBorders>
              <w:top w:val="single" w:color="auto" w:sz="4" w:space="0"/>
              <w:left w:val="single" w:color="auto" w:sz="4" w:space="0"/>
              <w:bottom w:val="single" w:color="auto" w:sz="4" w:space="0"/>
              <w:right w:val="single" w:color="auto" w:sz="4" w:space="0"/>
            </w:tcBorders>
            <w:vAlign w:val="bottom"/>
          </w:tcPr>
          <w:p w14:paraId="54CF7E79">
            <w:pPr>
              <w:pStyle w:val="33"/>
              <w:rPr>
                <w:color w:val="auto"/>
              </w:rPr>
            </w:pPr>
            <w:r>
              <w:rPr>
                <w:rFonts w:eastAsia="等线"/>
                <w:color w:val="auto"/>
                <w:sz w:val="22"/>
                <w:szCs w:val="22"/>
              </w:rPr>
              <w:t>605</w:t>
            </w:r>
          </w:p>
        </w:tc>
        <w:tc>
          <w:tcPr>
            <w:tcW w:w="1276" w:type="dxa"/>
            <w:tcBorders>
              <w:top w:val="single" w:color="auto" w:sz="4" w:space="0"/>
              <w:left w:val="single" w:color="auto" w:sz="4" w:space="0"/>
              <w:bottom w:val="single" w:color="auto" w:sz="4" w:space="0"/>
              <w:right w:val="single" w:color="auto" w:sz="4" w:space="0"/>
            </w:tcBorders>
            <w:vAlign w:val="bottom"/>
          </w:tcPr>
          <w:p w14:paraId="3733D401">
            <w:pPr>
              <w:pStyle w:val="33"/>
              <w:rPr>
                <w:color w:val="auto"/>
              </w:rPr>
            </w:pPr>
            <w:r>
              <w:rPr>
                <w:rFonts w:eastAsia="等线"/>
                <w:color w:val="auto"/>
                <w:sz w:val="22"/>
                <w:szCs w:val="22"/>
              </w:rPr>
              <w:t>1650</w:t>
            </w:r>
          </w:p>
        </w:tc>
        <w:tc>
          <w:tcPr>
            <w:tcW w:w="2216" w:type="dxa"/>
            <w:tcBorders>
              <w:top w:val="single" w:color="auto" w:sz="4" w:space="0"/>
              <w:left w:val="single" w:color="auto" w:sz="4" w:space="0"/>
              <w:bottom w:val="single" w:color="auto" w:sz="4" w:space="0"/>
              <w:right w:val="single" w:color="auto" w:sz="4" w:space="0"/>
            </w:tcBorders>
            <w:vAlign w:val="center"/>
          </w:tcPr>
          <w:p w14:paraId="5A59015B">
            <w:pPr>
              <w:pStyle w:val="33"/>
              <w:rPr>
                <w:color w:val="auto"/>
              </w:rPr>
            </w:pPr>
          </w:p>
        </w:tc>
      </w:tr>
      <w:tr w14:paraId="43642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62B85DB">
            <w:pPr>
              <w:pStyle w:val="33"/>
              <w:rPr>
                <w:color w:val="auto"/>
              </w:rPr>
            </w:pPr>
            <w:r>
              <w:rPr>
                <w:color w:val="auto"/>
              </w:rPr>
              <w:t>14</w:t>
            </w:r>
          </w:p>
        </w:tc>
        <w:tc>
          <w:tcPr>
            <w:tcW w:w="1401" w:type="dxa"/>
            <w:tcBorders>
              <w:top w:val="single" w:color="auto" w:sz="4" w:space="0"/>
              <w:left w:val="single" w:color="auto" w:sz="4" w:space="0"/>
              <w:bottom w:val="single" w:color="auto" w:sz="4" w:space="0"/>
              <w:right w:val="single" w:color="auto" w:sz="4" w:space="0"/>
            </w:tcBorders>
            <w:vAlign w:val="center"/>
          </w:tcPr>
          <w:p w14:paraId="0EBB08EA">
            <w:pPr>
              <w:pStyle w:val="33"/>
              <w:rPr>
                <w:color w:val="auto"/>
              </w:rPr>
            </w:pPr>
            <w:r>
              <w:rPr>
                <w:color w:val="auto"/>
                <w:szCs w:val="21"/>
              </w:rPr>
              <w:t>消泡剂</w:t>
            </w:r>
          </w:p>
        </w:tc>
        <w:tc>
          <w:tcPr>
            <w:tcW w:w="709" w:type="dxa"/>
            <w:vAlign w:val="center"/>
          </w:tcPr>
          <w:p w14:paraId="2CA0DD8E">
            <w:pPr>
              <w:pStyle w:val="33"/>
              <w:rPr>
                <w:color w:val="auto"/>
              </w:rPr>
            </w:pPr>
            <w:r>
              <w:rPr>
                <w:color w:val="auto"/>
                <w:szCs w:val="21"/>
              </w:rPr>
              <w:t>kg</w:t>
            </w:r>
          </w:p>
        </w:tc>
        <w:tc>
          <w:tcPr>
            <w:tcW w:w="992" w:type="dxa"/>
            <w:vAlign w:val="bottom"/>
          </w:tcPr>
          <w:p w14:paraId="07DC301F">
            <w:pPr>
              <w:pStyle w:val="33"/>
              <w:rPr>
                <w:color w:val="auto"/>
              </w:rPr>
            </w:pPr>
            <w:r>
              <w:rPr>
                <w:rFonts w:eastAsia="等线"/>
                <w:color w:val="auto"/>
                <w:sz w:val="22"/>
                <w:szCs w:val="22"/>
              </w:rPr>
              <w:t>475</w:t>
            </w:r>
          </w:p>
        </w:tc>
        <w:tc>
          <w:tcPr>
            <w:tcW w:w="1201" w:type="dxa"/>
            <w:tcBorders>
              <w:top w:val="single" w:color="auto" w:sz="4" w:space="0"/>
              <w:left w:val="single" w:color="auto" w:sz="4" w:space="0"/>
              <w:bottom w:val="single" w:color="auto" w:sz="4" w:space="0"/>
              <w:right w:val="single" w:color="auto" w:sz="4" w:space="0"/>
            </w:tcBorders>
            <w:vAlign w:val="bottom"/>
          </w:tcPr>
          <w:p w14:paraId="0535E699">
            <w:pPr>
              <w:pStyle w:val="33"/>
              <w:rPr>
                <w:color w:val="auto"/>
              </w:rPr>
            </w:pPr>
            <w:r>
              <w:rPr>
                <w:rFonts w:eastAsia="等线"/>
                <w:color w:val="auto"/>
                <w:sz w:val="22"/>
                <w:szCs w:val="22"/>
              </w:rPr>
              <w:t>1655</w:t>
            </w:r>
          </w:p>
        </w:tc>
        <w:tc>
          <w:tcPr>
            <w:tcW w:w="1276" w:type="dxa"/>
            <w:tcBorders>
              <w:top w:val="single" w:color="auto" w:sz="4" w:space="0"/>
              <w:left w:val="single" w:color="auto" w:sz="4" w:space="0"/>
              <w:bottom w:val="single" w:color="auto" w:sz="4" w:space="0"/>
              <w:right w:val="single" w:color="auto" w:sz="4" w:space="0"/>
            </w:tcBorders>
            <w:vAlign w:val="bottom"/>
          </w:tcPr>
          <w:p w14:paraId="7FDC2CCE">
            <w:pPr>
              <w:pStyle w:val="33"/>
              <w:rPr>
                <w:color w:val="auto"/>
              </w:rPr>
            </w:pPr>
            <w:r>
              <w:rPr>
                <w:rFonts w:eastAsia="等线"/>
                <w:color w:val="auto"/>
                <w:sz w:val="22"/>
                <w:szCs w:val="22"/>
              </w:rPr>
              <w:t>2130</w:t>
            </w:r>
          </w:p>
        </w:tc>
        <w:tc>
          <w:tcPr>
            <w:tcW w:w="2216" w:type="dxa"/>
            <w:tcBorders>
              <w:top w:val="single" w:color="auto" w:sz="4" w:space="0"/>
              <w:left w:val="single" w:color="auto" w:sz="4" w:space="0"/>
              <w:bottom w:val="single" w:color="auto" w:sz="4" w:space="0"/>
              <w:right w:val="single" w:color="auto" w:sz="4" w:space="0"/>
            </w:tcBorders>
            <w:vAlign w:val="center"/>
          </w:tcPr>
          <w:p w14:paraId="3CAFE800">
            <w:pPr>
              <w:pStyle w:val="33"/>
              <w:rPr>
                <w:color w:val="auto"/>
              </w:rPr>
            </w:pPr>
          </w:p>
        </w:tc>
      </w:tr>
      <w:tr w14:paraId="5A696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74A978CF">
            <w:pPr>
              <w:pStyle w:val="33"/>
              <w:rPr>
                <w:color w:val="auto"/>
              </w:rPr>
            </w:pPr>
            <w:r>
              <w:rPr>
                <w:color w:val="auto"/>
              </w:rPr>
              <w:t>15</w:t>
            </w:r>
          </w:p>
        </w:tc>
        <w:tc>
          <w:tcPr>
            <w:tcW w:w="1401" w:type="dxa"/>
            <w:tcBorders>
              <w:top w:val="single" w:color="auto" w:sz="4" w:space="0"/>
              <w:left w:val="single" w:color="auto" w:sz="4" w:space="0"/>
              <w:bottom w:val="single" w:color="auto" w:sz="4" w:space="0"/>
              <w:right w:val="single" w:color="auto" w:sz="4" w:space="0"/>
            </w:tcBorders>
            <w:vAlign w:val="center"/>
          </w:tcPr>
          <w:p w14:paraId="248C85E0">
            <w:pPr>
              <w:pStyle w:val="33"/>
              <w:rPr>
                <w:color w:val="auto"/>
              </w:rPr>
            </w:pPr>
            <w:r>
              <w:rPr>
                <w:color w:val="auto"/>
                <w:szCs w:val="21"/>
              </w:rPr>
              <w:t>润滑剂</w:t>
            </w:r>
          </w:p>
        </w:tc>
        <w:tc>
          <w:tcPr>
            <w:tcW w:w="709" w:type="dxa"/>
            <w:vAlign w:val="center"/>
          </w:tcPr>
          <w:p w14:paraId="4E81D66B">
            <w:pPr>
              <w:pStyle w:val="33"/>
              <w:rPr>
                <w:color w:val="auto"/>
              </w:rPr>
            </w:pPr>
            <w:r>
              <w:rPr>
                <w:color w:val="auto"/>
                <w:szCs w:val="21"/>
              </w:rPr>
              <w:t>kg</w:t>
            </w:r>
          </w:p>
        </w:tc>
        <w:tc>
          <w:tcPr>
            <w:tcW w:w="992" w:type="dxa"/>
            <w:vAlign w:val="bottom"/>
          </w:tcPr>
          <w:p w14:paraId="16263974">
            <w:pPr>
              <w:pStyle w:val="33"/>
              <w:rPr>
                <w:color w:val="auto"/>
              </w:rPr>
            </w:pPr>
            <w:r>
              <w:rPr>
                <w:rFonts w:eastAsia="等线"/>
                <w:color w:val="auto"/>
                <w:sz w:val="22"/>
                <w:szCs w:val="22"/>
              </w:rPr>
              <w:t>1805</w:t>
            </w:r>
          </w:p>
        </w:tc>
        <w:tc>
          <w:tcPr>
            <w:tcW w:w="1201" w:type="dxa"/>
            <w:tcBorders>
              <w:top w:val="single" w:color="auto" w:sz="4" w:space="0"/>
              <w:left w:val="single" w:color="auto" w:sz="4" w:space="0"/>
              <w:bottom w:val="single" w:color="auto" w:sz="4" w:space="0"/>
              <w:right w:val="single" w:color="auto" w:sz="4" w:space="0"/>
            </w:tcBorders>
            <w:vAlign w:val="bottom"/>
          </w:tcPr>
          <w:p w14:paraId="74D9671F">
            <w:pPr>
              <w:pStyle w:val="33"/>
              <w:rPr>
                <w:color w:val="auto"/>
              </w:rPr>
            </w:pPr>
            <w:r>
              <w:rPr>
                <w:rFonts w:eastAsia="等线"/>
                <w:color w:val="auto"/>
                <w:sz w:val="22"/>
                <w:szCs w:val="22"/>
              </w:rPr>
              <w:t>655</w:t>
            </w:r>
          </w:p>
        </w:tc>
        <w:tc>
          <w:tcPr>
            <w:tcW w:w="1276" w:type="dxa"/>
            <w:tcBorders>
              <w:top w:val="single" w:color="auto" w:sz="4" w:space="0"/>
              <w:left w:val="single" w:color="auto" w:sz="4" w:space="0"/>
              <w:bottom w:val="single" w:color="auto" w:sz="4" w:space="0"/>
              <w:right w:val="single" w:color="auto" w:sz="4" w:space="0"/>
            </w:tcBorders>
            <w:vAlign w:val="bottom"/>
          </w:tcPr>
          <w:p w14:paraId="5356181B">
            <w:pPr>
              <w:pStyle w:val="33"/>
              <w:rPr>
                <w:color w:val="auto"/>
              </w:rPr>
            </w:pPr>
            <w:r>
              <w:rPr>
                <w:rFonts w:eastAsia="等线"/>
                <w:color w:val="auto"/>
                <w:sz w:val="22"/>
                <w:szCs w:val="22"/>
              </w:rPr>
              <w:t>2460</w:t>
            </w:r>
          </w:p>
        </w:tc>
        <w:tc>
          <w:tcPr>
            <w:tcW w:w="2216" w:type="dxa"/>
            <w:tcBorders>
              <w:top w:val="single" w:color="auto" w:sz="4" w:space="0"/>
              <w:left w:val="single" w:color="auto" w:sz="4" w:space="0"/>
              <w:bottom w:val="single" w:color="auto" w:sz="4" w:space="0"/>
              <w:right w:val="single" w:color="auto" w:sz="4" w:space="0"/>
            </w:tcBorders>
            <w:vAlign w:val="center"/>
          </w:tcPr>
          <w:p w14:paraId="28E7A9CA">
            <w:pPr>
              <w:pStyle w:val="33"/>
              <w:rPr>
                <w:color w:val="auto"/>
              </w:rPr>
            </w:pPr>
          </w:p>
        </w:tc>
      </w:tr>
      <w:tr w14:paraId="02E89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187BE480">
            <w:pPr>
              <w:pStyle w:val="33"/>
              <w:rPr>
                <w:color w:val="auto"/>
              </w:rPr>
            </w:pPr>
            <w:r>
              <w:rPr>
                <w:color w:val="auto"/>
              </w:rPr>
              <w:t>16</w:t>
            </w:r>
          </w:p>
        </w:tc>
        <w:tc>
          <w:tcPr>
            <w:tcW w:w="1401" w:type="dxa"/>
            <w:tcBorders>
              <w:top w:val="single" w:color="auto" w:sz="4" w:space="0"/>
              <w:left w:val="single" w:color="auto" w:sz="4" w:space="0"/>
              <w:bottom w:val="single" w:color="auto" w:sz="4" w:space="0"/>
              <w:right w:val="single" w:color="auto" w:sz="4" w:space="0"/>
            </w:tcBorders>
            <w:vAlign w:val="center"/>
          </w:tcPr>
          <w:p w14:paraId="63F9C0B0">
            <w:pPr>
              <w:pStyle w:val="33"/>
              <w:rPr>
                <w:color w:val="auto"/>
              </w:rPr>
            </w:pPr>
            <w:r>
              <w:rPr>
                <w:color w:val="auto"/>
                <w:szCs w:val="21"/>
              </w:rPr>
              <w:t>湿强剂</w:t>
            </w:r>
          </w:p>
        </w:tc>
        <w:tc>
          <w:tcPr>
            <w:tcW w:w="709" w:type="dxa"/>
            <w:vAlign w:val="center"/>
          </w:tcPr>
          <w:p w14:paraId="54A2AD2F">
            <w:pPr>
              <w:pStyle w:val="33"/>
              <w:rPr>
                <w:color w:val="auto"/>
              </w:rPr>
            </w:pPr>
            <w:r>
              <w:rPr>
                <w:color w:val="auto"/>
                <w:szCs w:val="21"/>
              </w:rPr>
              <w:t>kg</w:t>
            </w:r>
          </w:p>
        </w:tc>
        <w:tc>
          <w:tcPr>
            <w:tcW w:w="992" w:type="dxa"/>
            <w:vAlign w:val="bottom"/>
          </w:tcPr>
          <w:p w14:paraId="4D1F1AFD">
            <w:pPr>
              <w:pStyle w:val="33"/>
              <w:rPr>
                <w:color w:val="auto"/>
              </w:rPr>
            </w:pPr>
            <w:r>
              <w:rPr>
                <w:rFonts w:eastAsia="等线"/>
                <w:color w:val="auto"/>
                <w:sz w:val="22"/>
                <w:szCs w:val="22"/>
              </w:rPr>
              <w:t>1140</w:t>
            </w:r>
          </w:p>
        </w:tc>
        <w:tc>
          <w:tcPr>
            <w:tcW w:w="1201" w:type="dxa"/>
            <w:tcBorders>
              <w:top w:val="single" w:color="auto" w:sz="4" w:space="0"/>
              <w:left w:val="single" w:color="auto" w:sz="4" w:space="0"/>
              <w:bottom w:val="single" w:color="auto" w:sz="4" w:space="0"/>
              <w:right w:val="single" w:color="auto" w:sz="4" w:space="0"/>
            </w:tcBorders>
            <w:vAlign w:val="bottom"/>
          </w:tcPr>
          <w:p w14:paraId="1781C3A5">
            <w:pPr>
              <w:pStyle w:val="33"/>
              <w:rPr>
                <w:color w:val="auto"/>
              </w:rPr>
            </w:pPr>
            <w:r>
              <w:rPr>
                <w:rFonts w:eastAsia="等线"/>
                <w:color w:val="auto"/>
                <w:sz w:val="22"/>
                <w:szCs w:val="22"/>
              </w:rPr>
              <w:t>660</w:t>
            </w:r>
          </w:p>
        </w:tc>
        <w:tc>
          <w:tcPr>
            <w:tcW w:w="1276" w:type="dxa"/>
            <w:tcBorders>
              <w:top w:val="single" w:color="auto" w:sz="4" w:space="0"/>
              <w:left w:val="single" w:color="auto" w:sz="4" w:space="0"/>
              <w:bottom w:val="single" w:color="auto" w:sz="4" w:space="0"/>
              <w:right w:val="single" w:color="auto" w:sz="4" w:space="0"/>
            </w:tcBorders>
            <w:vAlign w:val="bottom"/>
          </w:tcPr>
          <w:p w14:paraId="683B4504">
            <w:pPr>
              <w:pStyle w:val="33"/>
              <w:rPr>
                <w:color w:val="auto"/>
              </w:rPr>
            </w:pPr>
            <w:r>
              <w:rPr>
                <w:rFonts w:eastAsia="等线"/>
                <w:color w:val="auto"/>
                <w:sz w:val="22"/>
                <w:szCs w:val="22"/>
              </w:rPr>
              <w:t>1800</w:t>
            </w:r>
          </w:p>
        </w:tc>
        <w:tc>
          <w:tcPr>
            <w:tcW w:w="2216" w:type="dxa"/>
            <w:tcBorders>
              <w:top w:val="single" w:color="auto" w:sz="4" w:space="0"/>
              <w:left w:val="single" w:color="auto" w:sz="4" w:space="0"/>
              <w:bottom w:val="single" w:color="auto" w:sz="4" w:space="0"/>
              <w:right w:val="single" w:color="auto" w:sz="4" w:space="0"/>
            </w:tcBorders>
            <w:vAlign w:val="center"/>
          </w:tcPr>
          <w:p w14:paraId="44D38D82">
            <w:pPr>
              <w:pStyle w:val="33"/>
              <w:rPr>
                <w:color w:val="auto"/>
              </w:rPr>
            </w:pPr>
          </w:p>
        </w:tc>
      </w:tr>
      <w:tr w14:paraId="7710D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F5CAB50">
            <w:pPr>
              <w:pStyle w:val="33"/>
              <w:rPr>
                <w:color w:val="auto"/>
              </w:rPr>
            </w:pPr>
            <w:r>
              <w:rPr>
                <w:color w:val="auto"/>
              </w:rPr>
              <w:t>17</w:t>
            </w:r>
          </w:p>
        </w:tc>
        <w:tc>
          <w:tcPr>
            <w:tcW w:w="1401" w:type="dxa"/>
            <w:tcBorders>
              <w:top w:val="single" w:color="auto" w:sz="4" w:space="0"/>
              <w:left w:val="single" w:color="auto" w:sz="4" w:space="0"/>
              <w:bottom w:val="single" w:color="auto" w:sz="4" w:space="0"/>
              <w:right w:val="single" w:color="auto" w:sz="4" w:space="0"/>
            </w:tcBorders>
            <w:vAlign w:val="center"/>
          </w:tcPr>
          <w:p w14:paraId="1124F203">
            <w:pPr>
              <w:pStyle w:val="33"/>
              <w:rPr>
                <w:color w:val="auto"/>
              </w:rPr>
            </w:pPr>
            <w:r>
              <w:rPr>
                <w:color w:val="auto"/>
                <w:szCs w:val="21"/>
              </w:rPr>
              <w:t>分散剂</w:t>
            </w:r>
          </w:p>
        </w:tc>
        <w:tc>
          <w:tcPr>
            <w:tcW w:w="709" w:type="dxa"/>
            <w:vAlign w:val="center"/>
          </w:tcPr>
          <w:p w14:paraId="5F65BBC0">
            <w:pPr>
              <w:pStyle w:val="33"/>
              <w:rPr>
                <w:color w:val="auto"/>
              </w:rPr>
            </w:pPr>
            <w:r>
              <w:rPr>
                <w:color w:val="auto"/>
                <w:szCs w:val="21"/>
              </w:rPr>
              <w:t>kg</w:t>
            </w:r>
          </w:p>
        </w:tc>
        <w:tc>
          <w:tcPr>
            <w:tcW w:w="992" w:type="dxa"/>
            <w:vAlign w:val="bottom"/>
          </w:tcPr>
          <w:p w14:paraId="18A847BF">
            <w:pPr>
              <w:pStyle w:val="33"/>
              <w:rPr>
                <w:color w:val="auto"/>
              </w:rPr>
            </w:pPr>
            <w:r>
              <w:rPr>
                <w:rFonts w:eastAsia="等线"/>
                <w:color w:val="auto"/>
                <w:sz w:val="22"/>
                <w:szCs w:val="22"/>
              </w:rPr>
              <w:t>1007</w:t>
            </w:r>
          </w:p>
        </w:tc>
        <w:tc>
          <w:tcPr>
            <w:tcW w:w="1201" w:type="dxa"/>
            <w:tcBorders>
              <w:top w:val="single" w:color="auto" w:sz="4" w:space="0"/>
              <w:left w:val="single" w:color="auto" w:sz="4" w:space="0"/>
              <w:bottom w:val="single" w:color="auto" w:sz="4" w:space="0"/>
              <w:right w:val="single" w:color="auto" w:sz="4" w:space="0"/>
            </w:tcBorders>
            <w:vAlign w:val="bottom"/>
          </w:tcPr>
          <w:p w14:paraId="72A97059">
            <w:pPr>
              <w:pStyle w:val="33"/>
              <w:rPr>
                <w:color w:val="auto"/>
              </w:rPr>
            </w:pPr>
            <w:r>
              <w:rPr>
                <w:rFonts w:eastAsia="等线"/>
                <w:color w:val="auto"/>
                <w:sz w:val="22"/>
                <w:szCs w:val="22"/>
              </w:rPr>
              <w:t>1288</w:t>
            </w:r>
          </w:p>
        </w:tc>
        <w:tc>
          <w:tcPr>
            <w:tcW w:w="1276" w:type="dxa"/>
            <w:tcBorders>
              <w:top w:val="single" w:color="auto" w:sz="4" w:space="0"/>
              <w:left w:val="single" w:color="auto" w:sz="4" w:space="0"/>
              <w:bottom w:val="single" w:color="auto" w:sz="4" w:space="0"/>
              <w:right w:val="single" w:color="auto" w:sz="4" w:space="0"/>
            </w:tcBorders>
            <w:vAlign w:val="bottom"/>
          </w:tcPr>
          <w:p w14:paraId="6947EF01">
            <w:pPr>
              <w:pStyle w:val="33"/>
              <w:rPr>
                <w:color w:val="auto"/>
              </w:rPr>
            </w:pPr>
            <w:r>
              <w:rPr>
                <w:rFonts w:eastAsia="等线"/>
                <w:color w:val="auto"/>
                <w:sz w:val="22"/>
                <w:szCs w:val="22"/>
              </w:rPr>
              <w:t>2295</w:t>
            </w:r>
          </w:p>
        </w:tc>
        <w:tc>
          <w:tcPr>
            <w:tcW w:w="2216" w:type="dxa"/>
            <w:tcBorders>
              <w:top w:val="single" w:color="auto" w:sz="4" w:space="0"/>
              <w:left w:val="single" w:color="auto" w:sz="4" w:space="0"/>
              <w:bottom w:val="single" w:color="auto" w:sz="4" w:space="0"/>
              <w:right w:val="single" w:color="auto" w:sz="4" w:space="0"/>
            </w:tcBorders>
            <w:vAlign w:val="center"/>
          </w:tcPr>
          <w:p w14:paraId="07A8F021">
            <w:pPr>
              <w:pStyle w:val="33"/>
              <w:rPr>
                <w:color w:val="auto"/>
              </w:rPr>
            </w:pPr>
          </w:p>
        </w:tc>
      </w:tr>
      <w:tr w14:paraId="3AB82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B476E7F">
            <w:pPr>
              <w:pStyle w:val="33"/>
              <w:rPr>
                <w:color w:val="auto"/>
              </w:rPr>
            </w:pPr>
            <w:r>
              <w:rPr>
                <w:color w:val="auto"/>
              </w:rPr>
              <w:t>18</w:t>
            </w:r>
          </w:p>
        </w:tc>
        <w:tc>
          <w:tcPr>
            <w:tcW w:w="1401" w:type="dxa"/>
            <w:tcBorders>
              <w:top w:val="single" w:color="auto" w:sz="4" w:space="0"/>
              <w:left w:val="single" w:color="auto" w:sz="4" w:space="0"/>
              <w:bottom w:val="single" w:color="auto" w:sz="4" w:space="0"/>
              <w:right w:val="single" w:color="auto" w:sz="4" w:space="0"/>
            </w:tcBorders>
            <w:vAlign w:val="center"/>
          </w:tcPr>
          <w:p w14:paraId="5E66E9F5">
            <w:pPr>
              <w:pStyle w:val="33"/>
              <w:rPr>
                <w:color w:val="auto"/>
              </w:rPr>
            </w:pPr>
            <w:r>
              <w:rPr>
                <w:color w:val="auto"/>
                <w:szCs w:val="21"/>
              </w:rPr>
              <w:t>氢氧化钠</w:t>
            </w:r>
          </w:p>
        </w:tc>
        <w:tc>
          <w:tcPr>
            <w:tcW w:w="709" w:type="dxa"/>
            <w:vAlign w:val="center"/>
          </w:tcPr>
          <w:p w14:paraId="45754D95">
            <w:pPr>
              <w:pStyle w:val="33"/>
              <w:rPr>
                <w:color w:val="auto"/>
              </w:rPr>
            </w:pPr>
            <w:r>
              <w:rPr>
                <w:color w:val="auto"/>
                <w:szCs w:val="21"/>
              </w:rPr>
              <w:t>kg</w:t>
            </w:r>
          </w:p>
        </w:tc>
        <w:tc>
          <w:tcPr>
            <w:tcW w:w="992" w:type="dxa"/>
            <w:vAlign w:val="bottom"/>
          </w:tcPr>
          <w:p w14:paraId="0687E7FB">
            <w:pPr>
              <w:pStyle w:val="33"/>
              <w:rPr>
                <w:color w:val="auto"/>
              </w:rPr>
            </w:pPr>
            <w:r>
              <w:rPr>
                <w:rFonts w:eastAsia="等线"/>
                <w:color w:val="auto"/>
                <w:sz w:val="22"/>
                <w:szCs w:val="22"/>
              </w:rPr>
              <w:t>380</w:t>
            </w:r>
          </w:p>
        </w:tc>
        <w:tc>
          <w:tcPr>
            <w:tcW w:w="1201" w:type="dxa"/>
            <w:tcBorders>
              <w:top w:val="single" w:color="auto" w:sz="4" w:space="0"/>
              <w:left w:val="single" w:color="auto" w:sz="4" w:space="0"/>
              <w:bottom w:val="single" w:color="auto" w:sz="4" w:space="0"/>
              <w:right w:val="single" w:color="auto" w:sz="4" w:space="0"/>
            </w:tcBorders>
            <w:vAlign w:val="bottom"/>
          </w:tcPr>
          <w:p w14:paraId="363A205C">
            <w:pPr>
              <w:pStyle w:val="33"/>
              <w:rPr>
                <w:color w:val="auto"/>
              </w:rPr>
            </w:pPr>
            <w:r>
              <w:rPr>
                <w:rFonts w:eastAsia="等线"/>
                <w:color w:val="auto"/>
                <w:sz w:val="22"/>
                <w:szCs w:val="22"/>
              </w:rPr>
              <w:t>2050</w:t>
            </w:r>
          </w:p>
        </w:tc>
        <w:tc>
          <w:tcPr>
            <w:tcW w:w="1276" w:type="dxa"/>
            <w:tcBorders>
              <w:top w:val="single" w:color="auto" w:sz="4" w:space="0"/>
              <w:left w:val="single" w:color="auto" w:sz="4" w:space="0"/>
              <w:bottom w:val="single" w:color="auto" w:sz="4" w:space="0"/>
              <w:right w:val="single" w:color="auto" w:sz="4" w:space="0"/>
            </w:tcBorders>
            <w:vAlign w:val="bottom"/>
          </w:tcPr>
          <w:p w14:paraId="6EF838FE">
            <w:pPr>
              <w:pStyle w:val="33"/>
              <w:rPr>
                <w:color w:val="auto"/>
              </w:rPr>
            </w:pPr>
            <w:r>
              <w:rPr>
                <w:rFonts w:eastAsia="等线"/>
                <w:color w:val="auto"/>
                <w:sz w:val="22"/>
                <w:szCs w:val="22"/>
              </w:rPr>
              <w:t>2430</w:t>
            </w:r>
          </w:p>
        </w:tc>
        <w:tc>
          <w:tcPr>
            <w:tcW w:w="2216" w:type="dxa"/>
            <w:tcBorders>
              <w:top w:val="single" w:color="auto" w:sz="4" w:space="0"/>
              <w:left w:val="single" w:color="auto" w:sz="4" w:space="0"/>
              <w:bottom w:val="single" w:color="auto" w:sz="4" w:space="0"/>
              <w:right w:val="single" w:color="auto" w:sz="4" w:space="0"/>
            </w:tcBorders>
            <w:vAlign w:val="center"/>
          </w:tcPr>
          <w:p w14:paraId="43AF64BB">
            <w:pPr>
              <w:pStyle w:val="33"/>
              <w:rPr>
                <w:color w:val="auto"/>
              </w:rPr>
            </w:pPr>
          </w:p>
        </w:tc>
      </w:tr>
      <w:tr w14:paraId="5A055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5F7D800">
            <w:pPr>
              <w:pStyle w:val="33"/>
              <w:rPr>
                <w:color w:val="auto"/>
              </w:rPr>
            </w:pPr>
            <w:r>
              <w:rPr>
                <w:color w:val="auto"/>
              </w:rPr>
              <w:t>19</w:t>
            </w:r>
          </w:p>
        </w:tc>
        <w:tc>
          <w:tcPr>
            <w:tcW w:w="1401" w:type="dxa"/>
            <w:tcBorders>
              <w:top w:val="single" w:color="auto" w:sz="4" w:space="0"/>
              <w:left w:val="single" w:color="auto" w:sz="4" w:space="0"/>
              <w:bottom w:val="single" w:color="auto" w:sz="4" w:space="0"/>
              <w:right w:val="single" w:color="auto" w:sz="4" w:space="0"/>
            </w:tcBorders>
            <w:vAlign w:val="center"/>
          </w:tcPr>
          <w:p w14:paraId="502655BC">
            <w:pPr>
              <w:pStyle w:val="33"/>
              <w:rPr>
                <w:color w:val="auto"/>
              </w:rPr>
            </w:pPr>
            <w:r>
              <w:rPr>
                <w:color w:val="auto"/>
                <w:szCs w:val="21"/>
              </w:rPr>
              <w:t>助留剂</w:t>
            </w:r>
          </w:p>
        </w:tc>
        <w:tc>
          <w:tcPr>
            <w:tcW w:w="709" w:type="dxa"/>
            <w:vAlign w:val="center"/>
          </w:tcPr>
          <w:p w14:paraId="60013655">
            <w:pPr>
              <w:pStyle w:val="33"/>
              <w:rPr>
                <w:color w:val="auto"/>
              </w:rPr>
            </w:pPr>
            <w:r>
              <w:rPr>
                <w:color w:val="auto"/>
                <w:szCs w:val="21"/>
              </w:rPr>
              <w:t>kg</w:t>
            </w:r>
          </w:p>
        </w:tc>
        <w:tc>
          <w:tcPr>
            <w:tcW w:w="992" w:type="dxa"/>
            <w:vAlign w:val="bottom"/>
          </w:tcPr>
          <w:p w14:paraId="052DE6A0">
            <w:pPr>
              <w:pStyle w:val="33"/>
              <w:rPr>
                <w:color w:val="auto"/>
              </w:rPr>
            </w:pPr>
            <w:r>
              <w:rPr>
                <w:rFonts w:eastAsia="等线"/>
                <w:color w:val="auto"/>
                <w:sz w:val="22"/>
                <w:szCs w:val="22"/>
              </w:rPr>
              <w:t>950</w:t>
            </w:r>
          </w:p>
        </w:tc>
        <w:tc>
          <w:tcPr>
            <w:tcW w:w="1201" w:type="dxa"/>
            <w:tcBorders>
              <w:top w:val="single" w:color="auto" w:sz="4" w:space="0"/>
              <w:left w:val="single" w:color="auto" w:sz="4" w:space="0"/>
              <w:bottom w:val="single" w:color="auto" w:sz="4" w:space="0"/>
              <w:right w:val="single" w:color="auto" w:sz="4" w:space="0"/>
            </w:tcBorders>
            <w:vAlign w:val="bottom"/>
          </w:tcPr>
          <w:p w14:paraId="21965F6A">
            <w:pPr>
              <w:pStyle w:val="33"/>
              <w:rPr>
                <w:color w:val="auto"/>
              </w:rPr>
            </w:pPr>
            <w:r>
              <w:rPr>
                <w:rFonts w:eastAsia="等线"/>
                <w:color w:val="auto"/>
                <w:sz w:val="22"/>
                <w:szCs w:val="22"/>
              </w:rPr>
              <w:t>3670</w:t>
            </w:r>
          </w:p>
        </w:tc>
        <w:tc>
          <w:tcPr>
            <w:tcW w:w="1276" w:type="dxa"/>
            <w:tcBorders>
              <w:top w:val="single" w:color="auto" w:sz="4" w:space="0"/>
              <w:left w:val="single" w:color="auto" w:sz="4" w:space="0"/>
              <w:bottom w:val="single" w:color="auto" w:sz="4" w:space="0"/>
              <w:right w:val="single" w:color="auto" w:sz="4" w:space="0"/>
            </w:tcBorders>
            <w:vAlign w:val="bottom"/>
          </w:tcPr>
          <w:p w14:paraId="20D7342F">
            <w:pPr>
              <w:pStyle w:val="33"/>
              <w:rPr>
                <w:color w:val="auto"/>
              </w:rPr>
            </w:pPr>
            <w:r>
              <w:rPr>
                <w:rFonts w:eastAsia="等线"/>
                <w:color w:val="auto"/>
                <w:sz w:val="22"/>
                <w:szCs w:val="22"/>
              </w:rPr>
              <w:t>4620</w:t>
            </w:r>
          </w:p>
        </w:tc>
        <w:tc>
          <w:tcPr>
            <w:tcW w:w="2216" w:type="dxa"/>
            <w:tcBorders>
              <w:top w:val="single" w:color="auto" w:sz="4" w:space="0"/>
              <w:left w:val="single" w:color="auto" w:sz="4" w:space="0"/>
              <w:bottom w:val="single" w:color="auto" w:sz="4" w:space="0"/>
              <w:right w:val="single" w:color="auto" w:sz="4" w:space="0"/>
            </w:tcBorders>
            <w:vAlign w:val="center"/>
          </w:tcPr>
          <w:p w14:paraId="7AF9BE45">
            <w:pPr>
              <w:pStyle w:val="33"/>
              <w:rPr>
                <w:color w:val="auto"/>
              </w:rPr>
            </w:pPr>
          </w:p>
        </w:tc>
      </w:tr>
      <w:tr w14:paraId="1B820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55DD77D">
            <w:pPr>
              <w:pStyle w:val="33"/>
              <w:rPr>
                <w:color w:val="auto"/>
              </w:rPr>
            </w:pPr>
            <w:r>
              <w:rPr>
                <w:color w:val="auto"/>
              </w:rPr>
              <w:t>20</w:t>
            </w:r>
          </w:p>
        </w:tc>
        <w:tc>
          <w:tcPr>
            <w:tcW w:w="1401" w:type="dxa"/>
            <w:tcBorders>
              <w:top w:val="single" w:color="auto" w:sz="4" w:space="0"/>
              <w:left w:val="single" w:color="auto" w:sz="4" w:space="0"/>
              <w:bottom w:val="single" w:color="auto" w:sz="4" w:space="0"/>
              <w:right w:val="single" w:color="auto" w:sz="4" w:space="0"/>
            </w:tcBorders>
            <w:vAlign w:val="center"/>
          </w:tcPr>
          <w:p w14:paraId="1C20AC48">
            <w:pPr>
              <w:pStyle w:val="33"/>
              <w:rPr>
                <w:color w:val="auto"/>
              </w:rPr>
            </w:pPr>
            <w:r>
              <w:rPr>
                <w:color w:val="auto"/>
                <w:szCs w:val="21"/>
              </w:rPr>
              <w:t>包装纸</w:t>
            </w:r>
          </w:p>
        </w:tc>
        <w:tc>
          <w:tcPr>
            <w:tcW w:w="709" w:type="dxa"/>
            <w:vAlign w:val="center"/>
          </w:tcPr>
          <w:p w14:paraId="366CB41E">
            <w:pPr>
              <w:pStyle w:val="33"/>
              <w:rPr>
                <w:color w:val="auto"/>
              </w:rPr>
            </w:pPr>
            <w:r>
              <w:rPr>
                <w:color w:val="auto"/>
                <w:szCs w:val="21"/>
              </w:rPr>
              <w:t>kg</w:t>
            </w:r>
          </w:p>
        </w:tc>
        <w:tc>
          <w:tcPr>
            <w:tcW w:w="992" w:type="dxa"/>
            <w:vAlign w:val="bottom"/>
          </w:tcPr>
          <w:p w14:paraId="327744F7">
            <w:pPr>
              <w:pStyle w:val="33"/>
              <w:rPr>
                <w:color w:val="auto"/>
              </w:rPr>
            </w:pPr>
            <w:r>
              <w:rPr>
                <w:rFonts w:eastAsia="等线"/>
                <w:color w:val="auto"/>
                <w:sz w:val="22"/>
                <w:szCs w:val="22"/>
              </w:rPr>
              <w:t>9500</w:t>
            </w:r>
          </w:p>
        </w:tc>
        <w:tc>
          <w:tcPr>
            <w:tcW w:w="1201" w:type="dxa"/>
            <w:tcBorders>
              <w:top w:val="single" w:color="auto" w:sz="4" w:space="0"/>
              <w:left w:val="single" w:color="auto" w:sz="4" w:space="0"/>
              <w:bottom w:val="single" w:color="auto" w:sz="4" w:space="0"/>
              <w:right w:val="single" w:color="auto" w:sz="4" w:space="0"/>
            </w:tcBorders>
            <w:vAlign w:val="bottom"/>
          </w:tcPr>
          <w:p w14:paraId="06A15C78">
            <w:pPr>
              <w:pStyle w:val="33"/>
              <w:rPr>
                <w:color w:val="auto"/>
              </w:rPr>
            </w:pPr>
            <w:r>
              <w:rPr>
                <w:rFonts w:eastAsia="等线"/>
                <w:color w:val="auto"/>
                <w:sz w:val="22"/>
                <w:szCs w:val="22"/>
              </w:rPr>
              <w:t>5500</w:t>
            </w:r>
          </w:p>
        </w:tc>
        <w:tc>
          <w:tcPr>
            <w:tcW w:w="1276" w:type="dxa"/>
            <w:tcBorders>
              <w:top w:val="single" w:color="auto" w:sz="4" w:space="0"/>
              <w:left w:val="single" w:color="auto" w:sz="4" w:space="0"/>
              <w:bottom w:val="single" w:color="auto" w:sz="4" w:space="0"/>
              <w:right w:val="single" w:color="auto" w:sz="4" w:space="0"/>
            </w:tcBorders>
            <w:vAlign w:val="bottom"/>
          </w:tcPr>
          <w:p w14:paraId="77652615">
            <w:pPr>
              <w:pStyle w:val="33"/>
              <w:rPr>
                <w:color w:val="auto"/>
              </w:rPr>
            </w:pPr>
            <w:r>
              <w:rPr>
                <w:rFonts w:eastAsia="等线"/>
                <w:color w:val="auto"/>
                <w:sz w:val="22"/>
                <w:szCs w:val="22"/>
              </w:rPr>
              <w:t>15000</w:t>
            </w:r>
          </w:p>
        </w:tc>
        <w:tc>
          <w:tcPr>
            <w:tcW w:w="2216" w:type="dxa"/>
            <w:tcBorders>
              <w:top w:val="single" w:color="auto" w:sz="4" w:space="0"/>
              <w:left w:val="single" w:color="auto" w:sz="4" w:space="0"/>
              <w:bottom w:val="single" w:color="auto" w:sz="4" w:space="0"/>
              <w:right w:val="single" w:color="auto" w:sz="4" w:space="0"/>
            </w:tcBorders>
            <w:vAlign w:val="center"/>
          </w:tcPr>
          <w:p w14:paraId="7E72F731">
            <w:pPr>
              <w:pStyle w:val="33"/>
              <w:rPr>
                <w:color w:val="auto"/>
              </w:rPr>
            </w:pPr>
          </w:p>
        </w:tc>
      </w:tr>
      <w:tr w14:paraId="2276C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65A1BBD2">
            <w:pPr>
              <w:pStyle w:val="33"/>
              <w:rPr>
                <w:color w:val="auto"/>
              </w:rPr>
            </w:pPr>
            <w:r>
              <w:rPr>
                <w:color w:val="auto"/>
              </w:rPr>
              <w:t>21</w:t>
            </w:r>
          </w:p>
        </w:tc>
        <w:tc>
          <w:tcPr>
            <w:tcW w:w="1401" w:type="dxa"/>
            <w:tcBorders>
              <w:top w:val="single" w:color="auto" w:sz="4" w:space="0"/>
              <w:left w:val="single" w:color="auto" w:sz="4" w:space="0"/>
              <w:bottom w:val="single" w:color="auto" w:sz="4" w:space="0"/>
              <w:right w:val="single" w:color="auto" w:sz="4" w:space="0"/>
            </w:tcBorders>
            <w:vAlign w:val="center"/>
          </w:tcPr>
          <w:p w14:paraId="08AF41CE">
            <w:pPr>
              <w:pStyle w:val="33"/>
              <w:rPr>
                <w:color w:val="auto"/>
              </w:rPr>
            </w:pPr>
            <w:r>
              <w:rPr>
                <w:color w:val="auto"/>
                <w:szCs w:val="21"/>
              </w:rPr>
              <w:t>聚酯网</w:t>
            </w:r>
          </w:p>
        </w:tc>
        <w:tc>
          <w:tcPr>
            <w:tcW w:w="709" w:type="dxa"/>
            <w:vAlign w:val="center"/>
          </w:tcPr>
          <w:p w14:paraId="3DFDA4A3">
            <w:pPr>
              <w:pStyle w:val="33"/>
              <w:rPr>
                <w:color w:val="auto"/>
              </w:rPr>
            </w:pPr>
            <w:r>
              <w:rPr>
                <w:color w:val="auto"/>
                <w:szCs w:val="21"/>
              </w:rPr>
              <w:t>m</w:t>
            </w:r>
            <w:r>
              <w:rPr>
                <w:color w:val="auto"/>
                <w:szCs w:val="21"/>
                <w:vertAlign w:val="superscript"/>
              </w:rPr>
              <w:t>2</w:t>
            </w:r>
          </w:p>
        </w:tc>
        <w:tc>
          <w:tcPr>
            <w:tcW w:w="992" w:type="dxa"/>
            <w:vAlign w:val="bottom"/>
          </w:tcPr>
          <w:p w14:paraId="1CE326A0">
            <w:pPr>
              <w:pStyle w:val="33"/>
              <w:rPr>
                <w:color w:val="auto"/>
              </w:rPr>
            </w:pPr>
            <w:r>
              <w:rPr>
                <w:rFonts w:eastAsia="等线"/>
                <w:color w:val="auto"/>
                <w:sz w:val="22"/>
                <w:szCs w:val="22"/>
              </w:rPr>
              <w:t>38000</w:t>
            </w:r>
          </w:p>
        </w:tc>
        <w:tc>
          <w:tcPr>
            <w:tcW w:w="1201" w:type="dxa"/>
            <w:tcBorders>
              <w:top w:val="single" w:color="auto" w:sz="4" w:space="0"/>
              <w:left w:val="single" w:color="auto" w:sz="4" w:space="0"/>
              <w:bottom w:val="single" w:color="auto" w:sz="4" w:space="0"/>
              <w:right w:val="single" w:color="auto" w:sz="4" w:space="0"/>
            </w:tcBorders>
            <w:vAlign w:val="bottom"/>
          </w:tcPr>
          <w:p w14:paraId="42E453F6">
            <w:pPr>
              <w:pStyle w:val="33"/>
              <w:rPr>
                <w:color w:val="auto"/>
              </w:rPr>
            </w:pPr>
            <w:r>
              <w:rPr>
                <w:rFonts w:eastAsia="等线"/>
                <w:color w:val="auto"/>
                <w:sz w:val="22"/>
                <w:szCs w:val="22"/>
              </w:rPr>
              <w:t>22000</w:t>
            </w:r>
          </w:p>
        </w:tc>
        <w:tc>
          <w:tcPr>
            <w:tcW w:w="1276" w:type="dxa"/>
            <w:tcBorders>
              <w:top w:val="single" w:color="auto" w:sz="4" w:space="0"/>
              <w:left w:val="single" w:color="auto" w:sz="4" w:space="0"/>
              <w:bottom w:val="single" w:color="auto" w:sz="4" w:space="0"/>
              <w:right w:val="single" w:color="auto" w:sz="4" w:space="0"/>
            </w:tcBorders>
            <w:vAlign w:val="bottom"/>
          </w:tcPr>
          <w:p w14:paraId="4C75D6B7">
            <w:pPr>
              <w:pStyle w:val="33"/>
              <w:rPr>
                <w:color w:val="auto"/>
              </w:rPr>
            </w:pPr>
            <w:r>
              <w:rPr>
                <w:rFonts w:eastAsia="等线"/>
                <w:color w:val="auto"/>
                <w:sz w:val="22"/>
                <w:szCs w:val="22"/>
              </w:rPr>
              <w:t>60000</w:t>
            </w:r>
          </w:p>
        </w:tc>
        <w:tc>
          <w:tcPr>
            <w:tcW w:w="2216" w:type="dxa"/>
            <w:tcBorders>
              <w:top w:val="single" w:color="auto" w:sz="4" w:space="0"/>
              <w:left w:val="single" w:color="auto" w:sz="4" w:space="0"/>
              <w:bottom w:val="single" w:color="auto" w:sz="4" w:space="0"/>
              <w:right w:val="single" w:color="auto" w:sz="4" w:space="0"/>
            </w:tcBorders>
            <w:vAlign w:val="center"/>
          </w:tcPr>
          <w:p w14:paraId="5FBAF5DB">
            <w:pPr>
              <w:pStyle w:val="33"/>
              <w:rPr>
                <w:color w:val="auto"/>
              </w:rPr>
            </w:pPr>
          </w:p>
        </w:tc>
      </w:tr>
      <w:tr w14:paraId="2E81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1F3A65C">
            <w:pPr>
              <w:pStyle w:val="33"/>
              <w:rPr>
                <w:color w:val="auto"/>
              </w:rPr>
            </w:pPr>
            <w:r>
              <w:rPr>
                <w:color w:val="auto"/>
              </w:rPr>
              <w:t>22</w:t>
            </w:r>
          </w:p>
        </w:tc>
        <w:tc>
          <w:tcPr>
            <w:tcW w:w="1401" w:type="dxa"/>
            <w:tcBorders>
              <w:top w:val="single" w:color="auto" w:sz="4" w:space="0"/>
              <w:left w:val="single" w:color="auto" w:sz="4" w:space="0"/>
              <w:bottom w:val="single" w:color="auto" w:sz="4" w:space="0"/>
              <w:right w:val="single" w:color="auto" w:sz="4" w:space="0"/>
            </w:tcBorders>
            <w:vAlign w:val="center"/>
          </w:tcPr>
          <w:p w14:paraId="3B41EA12">
            <w:pPr>
              <w:pStyle w:val="33"/>
              <w:rPr>
                <w:color w:val="auto"/>
              </w:rPr>
            </w:pPr>
            <w:r>
              <w:rPr>
                <w:color w:val="auto"/>
                <w:szCs w:val="21"/>
              </w:rPr>
              <w:t>干网</w:t>
            </w:r>
          </w:p>
        </w:tc>
        <w:tc>
          <w:tcPr>
            <w:tcW w:w="709" w:type="dxa"/>
            <w:vAlign w:val="center"/>
          </w:tcPr>
          <w:p w14:paraId="7D7DB544">
            <w:pPr>
              <w:pStyle w:val="33"/>
              <w:rPr>
                <w:color w:val="auto"/>
              </w:rPr>
            </w:pPr>
            <w:r>
              <w:rPr>
                <w:color w:val="auto"/>
                <w:szCs w:val="21"/>
              </w:rPr>
              <w:t>m</w:t>
            </w:r>
            <w:r>
              <w:rPr>
                <w:color w:val="auto"/>
                <w:szCs w:val="21"/>
                <w:vertAlign w:val="superscript"/>
              </w:rPr>
              <w:t>2</w:t>
            </w:r>
          </w:p>
        </w:tc>
        <w:tc>
          <w:tcPr>
            <w:tcW w:w="992" w:type="dxa"/>
            <w:vAlign w:val="bottom"/>
          </w:tcPr>
          <w:p w14:paraId="2F6A8774">
            <w:pPr>
              <w:pStyle w:val="33"/>
              <w:rPr>
                <w:color w:val="auto"/>
              </w:rPr>
            </w:pPr>
            <w:r>
              <w:rPr>
                <w:rFonts w:eastAsia="等线"/>
                <w:color w:val="auto"/>
                <w:sz w:val="22"/>
                <w:szCs w:val="22"/>
              </w:rPr>
              <w:t>38000</w:t>
            </w:r>
          </w:p>
        </w:tc>
        <w:tc>
          <w:tcPr>
            <w:tcW w:w="1201" w:type="dxa"/>
            <w:tcBorders>
              <w:top w:val="single" w:color="auto" w:sz="4" w:space="0"/>
              <w:left w:val="single" w:color="auto" w:sz="4" w:space="0"/>
              <w:bottom w:val="single" w:color="auto" w:sz="4" w:space="0"/>
              <w:right w:val="single" w:color="auto" w:sz="4" w:space="0"/>
            </w:tcBorders>
            <w:vAlign w:val="bottom"/>
          </w:tcPr>
          <w:p w14:paraId="1ECB77FA">
            <w:pPr>
              <w:pStyle w:val="33"/>
              <w:rPr>
                <w:color w:val="auto"/>
              </w:rPr>
            </w:pPr>
            <w:r>
              <w:rPr>
                <w:rFonts w:eastAsia="等线"/>
                <w:color w:val="auto"/>
                <w:sz w:val="22"/>
                <w:szCs w:val="22"/>
              </w:rPr>
              <w:t>22000</w:t>
            </w:r>
          </w:p>
        </w:tc>
        <w:tc>
          <w:tcPr>
            <w:tcW w:w="1276" w:type="dxa"/>
            <w:tcBorders>
              <w:top w:val="single" w:color="auto" w:sz="4" w:space="0"/>
              <w:left w:val="single" w:color="auto" w:sz="4" w:space="0"/>
              <w:bottom w:val="single" w:color="auto" w:sz="4" w:space="0"/>
              <w:right w:val="single" w:color="auto" w:sz="4" w:space="0"/>
            </w:tcBorders>
            <w:vAlign w:val="bottom"/>
          </w:tcPr>
          <w:p w14:paraId="7EC67879">
            <w:pPr>
              <w:pStyle w:val="33"/>
              <w:rPr>
                <w:color w:val="auto"/>
              </w:rPr>
            </w:pPr>
            <w:r>
              <w:rPr>
                <w:rFonts w:eastAsia="等线"/>
                <w:color w:val="auto"/>
                <w:sz w:val="22"/>
                <w:szCs w:val="22"/>
              </w:rPr>
              <w:t>60000</w:t>
            </w:r>
          </w:p>
        </w:tc>
        <w:tc>
          <w:tcPr>
            <w:tcW w:w="2216" w:type="dxa"/>
            <w:tcBorders>
              <w:top w:val="single" w:color="auto" w:sz="4" w:space="0"/>
              <w:left w:val="single" w:color="auto" w:sz="4" w:space="0"/>
              <w:bottom w:val="single" w:color="auto" w:sz="4" w:space="0"/>
              <w:right w:val="single" w:color="auto" w:sz="4" w:space="0"/>
            </w:tcBorders>
            <w:vAlign w:val="center"/>
          </w:tcPr>
          <w:p w14:paraId="1F08C52D">
            <w:pPr>
              <w:pStyle w:val="33"/>
              <w:rPr>
                <w:color w:val="auto"/>
              </w:rPr>
            </w:pPr>
          </w:p>
        </w:tc>
      </w:tr>
      <w:tr w14:paraId="64A5F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292A89BC">
            <w:pPr>
              <w:pStyle w:val="33"/>
              <w:rPr>
                <w:color w:val="auto"/>
              </w:rPr>
            </w:pPr>
            <w:r>
              <w:rPr>
                <w:color w:val="auto"/>
              </w:rPr>
              <w:t>23</w:t>
            </w:r>
          </w:p>
        </w:tc>
        <w:tc>
          <w:tcPr>
            <w:tcW w:w="1401" w:type="dxa"/>
            <w:tcBorders>
              <w:top w:val="single" w:color="auto" w:sz="4" w:space="0"/>
              <w:left w:val="single" w:color="auto" w:sz="4" w:space="0"/>
              <w:bottom w:val="single" w:color="auto" w:sz="4" w:space="0"/>
              <w:right w:val="single" w:color="auto" w:sz="4" w:space="0"/>
            </w:tcBorders>
            <w:vAlign w:val="center"/>
          </w:tcPr>
          <w:p w14:paraId="5FF2C7FD">
            <w:pPr>
              <w:pStyle w:val="33"/>
              <w:rPr>
                <w:color w:val="auto"/>
              </w:rPr>
            </w:pPr>
            <w:r>
              <w:rPr>
                <w:color w:val="auto"/>
                <w:szCs w:val="21"/>
              </w:rPr>
              <w:t>毛布</w:t>
            </w:r>
          </w:p>
        </w:tc>
        <w:tc>
          <w:tcPr>
            <w:tcW w:w="709" w:type="dxa"/>
            <w:vAlign w:val="center"/>
          </w:tcPr>
          <w:p w14:paraId="7C2642AB">
            <w:pPr>
              <w:pStyle w:val="33"/>
              <w:rPr>
                <w:color w:val="auto"/>
              </w:rPr>
            </w:pPr>
            <w:r>
              <w:rPr>
                <w:color w:val="auto"/>
                <w:szCs w:val="21"/>
              </w:rPr>
              <w:t>kg</w:t>
            </w:r>
          </w:p>
        </w:tc>
        <w:tc>
          <w:tcPr>
            <w:tcW w:w="992" w:type="dxa"/>
            <w:vAlign w:val="bottom"/>
          </w:tcPr>
          <w:p w14:paraId="714444B4">
            <w:pPr>
              <w:pStyle w:val="33"/>
              <w:rPr>
                <w:color w:val="auto"/>
              </w:rPr>
            </w:pPr>
            <w:r>
              <w:rPr>
                <w:rFonts w:eastAsia="等线"/>
                <w:color w:val="auto"/>
                <w:sz w:val="22"/>
                <w:szCs w:val="22"/>
              </w:rPr>
              <w:t>66.5</w:t>
            </w:r>
          </w:p>
        </w:tc>
        <w:tc>
          <w:tcPr>
            <w:tcW w:w="1201" w:type="dxa"/>
            <w:tcBorders>
              <w:top w:val="single" w:color="auto" w:sz="4" w:space="0"/>
              <w:left w:val="single" w:color="auto" w:sz="4" w:space="0"/>
              <w:bottom w:val="single" w:color="auto" w:sz="4" w:space="0"/>
              <w:right w:val="single" w:color="auto" w:sz="4" w:space="0"/>
            </w:tcBorders>
            <w:vAlign w:val="bottom"/>
          </w:tcPr>
          <w:p w14:paraId="4CC6C5A5">
            <w:pPr>
              <w:pStyle w:val="33"/>
              <w:rPr>
                <w:color w:val="auto"/>
              </w:rPr>
            </w:pPr>
            <w:r>
              <w:rPr>
                <w:rFonts w:eastAsia="等线"/>
                <w:color w:val="auto"/>
                <w:sz w:val="22"/>
                <w:szCs w:val="22"/>
              </w:rPr>
              <w:t>38.5</w:t>
            </w:r>
          </w:p>
        </w:tc>
        <w:tc>
          <w:tcPr>
            <w:tcW w:w="1276" w:type="dxa"/>
            <w:tcBorders>
              <w:top w:val="single" w:color="auto" w:sz="4" w:space="0"/>
              <w:left w:val="single" w:color="auto" w:sz="4" w:space="0"/>
              <w:bottom w:val="single" w:color="auto" w:sz="4" w:space="0"/>
              <w:right w:val="single" w:color="auto" w:sz="4" w:space="0"/>
            </w:tcBorders>
            <w:vAlign w:val="bottom"/>
          </w:tcPr>
          <w:p w14:paraId="00992862">
            <w:pPr>
              <w:pStyle w:val="33"/>
              <w:rPr>
                <w:color w:val="auto"/>
              </w:rPr>
            </w:pPr>
            <w:r>
              <w:rPr>
                <w:rFonts w:eastAsia="等线"/>
                <w:color w:val="auto"/>
                <w:sz w:val="22"/>
                <w:szCs w:val="22"/>
              </w:rPr>
              <w:t>105</w:t>
            </w:r>
          </w:p>
        </w:tc>
        <w:tc>
          <w:tcPr>
            <w:tcW w:w="2216" w:type="dxa"/>
            <w:tcBorders>
              <w:top w:val="single" w:color="auto" w:sz="4" w:space="0"/>
              <w:left w:val="single" w:color="auto" w:sz="4" w:space="0"/>
              <w:bottom w:val="single" w:color="auto" w:sz="4" w:space="0"/>
              <w:right w:val="single" w:color="auto" w:sz="4" w:space="0"/>
            </w:tcBorders>
            <w:vAlign w:val="center"/>
          </w:tcPr>
          <w:p w14:paraId="0EAED820">
            <w:pPr>
              <w:pStyle w:val="33"/>
              <w:rPr>
                <w:color w:val="auto"/>
              </w:rPr>
            </w:pPr>
          </w:p>
        </w:tc>
      </w:tr>
      <w:tr w14:paraId="6B01A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47AA8ECD">
            <w:pPr>
              <w:pStyle w:val="33"/>
              <w:rPr>
                <w:color w:val="auto"/>
              </w:rPr>
            </w:pPr>
            <w:r>
              <w:rPr>
                <w:rFonts w:hint="eastAsia"/>
                <w:color w:val="auto"/>
              </w:rPr>
              <w:t>24</w:t>
            </w:r>
          </w:p>
        </w:tc>
        <w:tc>
          <w:tcPr>
            <w:tcW w:w="1401" w:type="dxa"/>
            <w:tcBorders>
              <w:top w:val="single" w:color="auto" w:sz="4" w:space="0"/>
              <w:left w:val="single" w:color="auto" w:sz="4" w:space="0"/>
              <w:bottom w:val="single" w:color="auto" w:sz="4" w:space="0"/>
              <w:right w:val="single" w:color="auto" w:sz="4" w:space="0"/>
            </w:tcBorders>
            <w:vAlign w:val="center"/>
          </w:tcPr>
          <w:p w14:paraId="75352337">
            <w:pPr>
              <w:pStyle w:val="33"/>
              <w:rPr>
                <w:color w:val="auto"/>
              </w:rPr>
            </w:pPr>
            <w:r>
              <w:rPr>
                <w:color w:val="auto"/>
                <w:szCs w:val="21"/>
              </w:rPr>
              <w:t>清水</w:t>
            </w:r>
          </w:p>
        </w:tc>
        <w:tc>
          <w:tcPr>
            <w:tcW w:w="709" w:type="dxa"/>
            <w:vAlign w:val="center"/>
          </w:tcPr>
          <w:p w14:paraId="1294DF88">
            <w:pPr>
              <w:pStyle w:val="33"/>
              <w:rPr>
                <w:color w:val="auto"/>
              </w:rPr>
            </w:pPr>
            <w:r>
              <w:rPr>
                <w:color w:val="auto"/>
                <w:szCs w:val="21"/>
              </w:rPr>
              <w:t>m</w:t>
            </w:r>
            <w:r>
              <w:rPr>
                <w:color w:val="auto"/>
                <w:szCs w:val="21"/>
                <w:vertAlign w:val="superscript"/>
              </w:rPr>
              <w:t>3</w:t>
            </w:r>
          </w:p>
        </w:tc>
        <w:tc>
          <w:tcPr>
            <w:tcW w:w="992" w:type="dxa"/>
            <w:vAlign w:val="bottom"/>
          </w:tcPr>
          <w:p w14:paraId="57CDB5E0">
            <w:pPr>
              <w:pStyle w:val="33"/>
              <w:rPr>
                <w:color w:val="auto"/>
              </w:rPr>
            </w:pPr>
            <w:r>
              <w:rPr>
                <w:rFonts w:eastAsia="等线"/>
                <w:color w:val="auto"/>
                <w:sz w:val="22"/>
                <w:szCs w:val="22"/>
              </w:rPr>
              <w:t>1830</w:t>
            </w:r>
          </w:p>
        </w:tc>
        <w:tc>
          <w:tcPr>
            <w:tcW w:w="1201" w:type="dxa"/>
            <w:tcBorders>
              <w:top w:val="single" w:color="auto" w:sz="4" w:space="0"/>
              <w:left w:val="single" w:color="auto" w:sz="4" w:space="0"/>
              <w:bottom w:val="single" w:color="auto" w:sz="4" w:space="0"/>
              <w:right w:val="single" w:color="auto" w:sz="4" w:space="0"/>
            </w:tcBorders>
            <w:vAlign w:val="bottom"/>
          </w:tcPr>
          <w:p w14:paraId="74502345">
            <w:pPr>
              <w:pStyle w:val="33"/>
              <w:rPr>
                <w:color w:val="auto"/>
              </w:rPr>
            </w:pPr>
            <w:r>
              <w:rPr>
                <w:rFonts w:eastAsia="等线"/>
                <w:color w:val="auto"/>
                <w:sz w:val="22"/>
                <w:szCs w:val="22"/>
              </w:rPr>
              <w:t>-361.5</w:t>
            </w:r>
          </w:p>
        </w:tc>
        <w:tc>
          <w:tcPr>
            <w:tcW w:w="1276" w:type="dxa"/>
            <w:tcBorders>
              <w:top w:val="single" w:color="auto" w:sz="4" w:space="0"/>
              <w:left w:val="single" w:color="auto" w:sz="4" w:space="0"/>
              <w:bottom w:val="single" w:color="auto" w:sz="4" w:space="0"/>
              <w:right w:val="single" w:color="auto" w:sz="4" w:space="0"/>
            </w:tcBorders>
            <w:vAlign w:val="bottom"/>
          </w:tcPr>
          <w:p w14:paraId="4165F71E">
            <w:pPr>
              <w:pStyle w:val="33"/>
              <w:rPr>
                <w:color w:val="auto"/>
              </w:rPr>
            </w:pPr>
            <w:r>
              <w:rPr>
                <w:rFonts w:eastAsia="等线"/>
                <w:color w:val="auto"/>
                <w:sz w:val="22"/>
                <w:szCs w:val="22"/>
              </w:rPr>
              <w:t>1468.5</w:t>
            </w:r>
          </w:p>
        </w:tc>
        <w:tc>
          <w:tcPr>
            <w:tcW w:w="2216" w:type="dxa"/>
            <w:tcBorders>
              <w:top w:val="single" w:color="auto" w:sz="4" w:space="0"/>
              <w:left w:val="single" w:color="auto" w:sz="4" w:space="0"/>
              <w:bottom w:val="single" w:color="auto" w:sz="4" w:space="0"/>
              <w:right w:val="single" w:color="auto" w:sz="4" w:space="0"/>
            </w:tcBorders>
            <w:vAlign w:val="center"/>
          </w:tcPr>
          <w:p w14:paraId="7FC606D9">
            <w:pPr>
              <w:pStyle w:val="33"/>
              <w:rPr>
                <w:color w:val="auto"/>
              </w:rPr>
            </w:pPr>
          </w:p>
        </w:tc>
      </w:tr>
      <w:tr w14:paraId="07CF2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522F5C61">
            <w:pPr>
              <w:pStyle w:val="33"/>
              <w:rPr>
                <w:color w:val="auto"/>
              </w:rPr>
            </w:pPr>
            <w:r>
              <w:rPr>
                <w:rFonts w:hint="eastAsia"/>
                <w:color w:val="auto"/>
              </w:rPr>
              <w:t>25</w:t>
            </w:r>
          </w:p>
        </w:tc>
        <w:tc>
          <w:tcPr>
            <w:tcW w:w="1401" w:type="dxa"/>
            <w:tcBorders>
              <w:top w:val="single" w:color="auto" w:sz="4" w:space="0"/>
              <w:left w:val="single" w:color="auto" w:sz="4" w:space="0"/>
              <w:bottom w:val="single" w:color="auto" w:sz="4" w:space="0"/>
              <w:right w:val="single" w:color="auto" w:sz="4" w:space="0"/>
            </w:tcBorders>
            <w:vAlign w:val="center"/>
          </w:tcPr>
          <w:p w14:paraId="7DF7E148">
            <w:pPr>
              <w:pStyle w:val="33"/>
              <w:rPr>
                <w:color w:val="auto"/>
              </w:rPr>
            </w:pPr>
            <w:r>
              <w:rPr>
                <w:color w:val="auto"/>
                <w:szCs w:val="21"/>
              </w:rPr>
              <w:t>电</w:t>
            </w:r>
          </w:p>
        </w:tc>
        <w:tc>
          <w:tcPr>
            <w:tcW w:w="709" w:type="dxa"/>
            <w:vAlign w:val="center"/>
          </w:tcPr>
          <w:p w14:paraId="298A8483">
            <w:pPr>
              <w:pStyle w:val="33"/>
              <w:rPr>
                <w:color w:val="auto"/>
              </w:rPr>
            </w:pPr>
            <w:r>
              <w:rPr>
                <w:color w:val="auto"/>
                <w:szCs w:val="21"/>
              </w:rPr>
              <w:t>kWh</w:t>
            </w:r>
          </w:p>
        </w:tc>
        <w:tc>
          <w:tcPr>
            <w:tcW w:w="992" w:type="dxa"/>
            <w:vAlign w:val="bottom"/>
          </w:tcPr>
          <w:p w14:paraId="1230863A">
            <w:pPr>
              <w:pStyle w:val="33"/>
              <w:rPr>
                <w:color w:val="auto"/>
              </w:rPr>
            </w:pPr>
            <w:r>
              <w:rPr>
                <w:rFonts w:eastAsia="等线"/>
                <w:color w:val="auto"/>
                <w:sz w:val="22"/>
                <w:szCs w:val="22"/>
              </w:rPr>
              <w:t>99600</w:t>
            </w:r>
          </w:p>
        </w:tc>
        <w:tc>
          <w:tcPr>
            <w:tcW w:w="1201" w:type="dxa"/>
            <w:tcBorders>
              <w:top w:val="single" w:color="auto" w:sz="4" w:space="0"/>
              <w:left w:val="single" w:color="auto" w:sz="4" w:space="0"/>
              <w:bottom w:val="single" w:color="auto" w:sz="4" w:space="0"/>
              <w:right w:val="single" w:color="auto" w:sz="4" w:space="0"/>
            </w:tcBorders>
            <w:vAlign w:val="bottom"/>
          </w:tcPr>
          <w:p w14:paraId="420A6B15">
            <w:pPr>
              <w:pStyle w:val="33"/>
              <w:rPr>
                <w:color w:val="auto"/>
              </w:rPr>
            </w:pPr>
            <w:r>
              <w:rPr>
                <w:rFonts w:eastAsia="等线"/>
                <w:color w:val="auto"/>
                <w:sz w:val="22"/>
                <w:szCs w:val="22"/>
              </w:rPr>
              <w:t>25650</w:t>
            </w:r>
          </w:p>
        </w:tc>
        <w:tc>
          <w:tcPr>
            <w:tcW w:w="1276" w:type="dxa"/>
            <w:tcBorders>
              <w:top w:val="single" w:color="auto" w:sz="4" w:space="0"/>
              <w:left w:val="single" w:color="auto" w:sz="4" w:space="0"/>
              <w:bottom w:val="single" w:color="auto" w:sz="4" w:space="0"/>
              <w:right w:val="single" w:color="auto" w:sz="4" w:space="0"/>
            </w:tcBorders>
            <w:vAlign w:val="bottom"/>
          </w:tcPr>
          <w:p w14:paraId="24BAE823">
            <w:pPr>
              <w:pStyle w:val="33"/>
              <w:rPr>
                <w:color w:val="auto"/>
              </w:rPr>
            </w:pPr>
            <w:r>
              <w:rPr>
                <w:rFonts w:eastAsia="等线"/>
                <w:color w:val="auto"/>
                <w:sz w:val="22"/>
                <w:szCs w:val="22"/>
              </w:rPr>
              <w:t>125250</w:t>
            </w:r>
          </w:p>
        </w:tc>
        <w:tc>
          <w:tcPr>
            <w:tcW w:w="2216" w:type="dxa"/>
            <w:tcBorders>
              <w:top w:val="single" w:color="auto" w:sz="4" w:space="0"/>
              <w:left w:val="single" w:color="auto" w:sz="4" w:space="0"/>
              <w:bottom w:val="single" w:color="auto" w:sz="4" w:space="0"/>
              <w:right w:val="single" w:color="auto" w:sz="4" w:space="0"/>
            </w:tcBorders>
            <w:vAlign w:val="center"/>
          </w:tcPr>
          <w:p w14:paraId="31684295">
            <w:pPr>
              <w:pStyle w:val="33"/>
              <w:rPr>
                <w:color w:val="auto"/>
              </w:rPr>
            </w:pPr>
          </w:p>
        </w:tc>
      </w:tr>
      <w:tr w14:paraId="6F3C6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vMerge w:val="restart"/>
            <w:tcBorders>
              <w:top w:val="single" w:color="auto" w:sz="4" w:space="0"/>
              <w:left w:val="single" w:color="auto" w:sz="4" w:space="0"/>
              <w:right w:val="single" w:color="auto" w:sz="4" w:space="0"/>
            </w:tcBorders>
            <w:vAlign w:val="center"/>
          </w:tcPr>
          <w:p w14:paraId="4B7AB1E9">
            <w:pPr>
              <w:pStyle w:val="33"/>
              <w:rPr>
                <w:color w:val="auto"/>
              </w:rPr>
            </w:pPr>
            <w:r>
              <w:rPr>
                <w:rFonts w:hint="eastAsia"/>
                <w:color w:val="auto"/>
              </w:rPr>
              <w:t>26</w:t>
            </w:r>
          </w:p>
        </w:tc>
        <w:tc>
          <w:tcPr>
            <w:tcW w:w="1401" w:type="dxa"/>
            <w:tcBorders>
              <w:top w:val="single" w:color="auto" w:sz="4" w:space="0"/>
              <w:left w:val="single" w:color="auto" w:sz="4" w:space="0"/>
              <w:bottom w:val="single" w:color="auto" w:sz="4" w:space="0"/>
              <w:right w:val="single" w:color="auto" w:sz="4" w:space="0"/>
            </w:tcBorders>
            <w:vAlign w:val="center"/>
          </w:tcPr>
          <w:p w14:paraId="3D080FFC">
            <w:pPr>
              <w:pStyle w:val="33"/>
              <w:rPr>
                <w:color w:val="auto"/>
              </w:rPr>
            </w:pPr>
            <w:r>
              <w:rPr>
                <w:color w:val="auto"/>
                <w:szCs w:val="21"/>
              </w:rPr>
              <w:t>蒸汽</w:t>
            </w:r>
          </w:p>
        </w:tc>
        <w:tc>
          <w:tcPr>
            <w:tcW w:w="709" w:type="dxa"/>
            <w:vAlign w:val="center"/>
          </w:tcPr>
          <w:p w14:paraId="795A164D">
            <w:pPr>
              <w:pStyle w:val="33"/>
              <w:rPr>
                <w:color w:val="auto"/>
              </w:rPr>
            </w:pPr>
            <w:r>
              <w:rPr>
                <w:color w:val="auto"/>
                <w:szCs w:val="21"/>
              </w:rPr>
              <w:t>t</w:t>
            </w:r>
          </w:p>
        </w:tc>
        <w:tc>
          <w:tcPr>
            <w:tcW w:w="992" w:type="dxa"/>
            <w:vAlign w:val="bottom"/>
          </w:tcPr>
          <w:p w14:paraId="1A6C778B">
            <w:pPr>
              <w:pStyle w:val="33"/>
              <w:rPr>
                <w:color w:val="auto"/>
              </w:rPr>
            </w:pPr>
            <w:r>
              <w:rPr>
                <w:rFonts w:eastAsia="等线"/>
                <w:color w:val="auto"/>
                <w:sz w:val="22"/>
                <w:szCs w:val="22"/>
              </w:rPr>
              <w:t>350</w:t>
            </w:r>
          </w:p>
        </w:tc>
        <w:tc>
          <w:tcPr>
            <w:tcW w:w="1201" w:type="dxa"/>
            <w:tcBorders>
              <w:top w:val="single" w:color="auto" w:sz="4" w:space="0"/>
              <w:left w:val="single" w:color="auto" w:sz="4" w:space="0"/>
              <w:bottom w:val="single" w:color="auto" w:sz="4" w:space="0"/>
              <w:right w:val="single" w:color="auto" w:sz="4" w:space="0"/>
            </w:tcBorders>
            <w:vAlign w:val="bottom"/>
          </w:tcPr>
          <w:p w14:paraId="10168D6C">
            <w:pPr>
              <w:pStyle w:val="33"/>
              <w:rPr>
                <w:color w:val="auto"/>
              </w:rPr>
            </w:pPr>
            <w:r>
              <w:rPr>
                <w:rFonts w:eastAsia="等线"/>
                <w:color w:val="auto"/>
                <w:sz w:val="22"/>
                <w:szCs w:val="22"/>
              </w:rPr>
              <w:t>14.5</w:t>
            </w:r>
          </w:p>
        </w:tc>
        <w:tc>
          <w:tcPr>
            <w:tcW w:w="1276" w:type="dxa"/>
            <w:tcBorders>
              <w:top w:val="single" w:color="auto" w:sz="4" w:space="0"/>
              <w:left w:val="single" w:color="auto" w:sz="4" w:space="0"/>
              <w:bottom w:val="single" w:color="auto" w:sz="4" w:space="0"/>
              <w:right w:val="single" w:color="auto" w:sz="4" w:space="0"/>
            </w:tcBorders>
            <w:vAlign w:val="bottom"/>
          </w:tcPr>
          <w:p w14:paraId="4C3C2F0B">
            <w:pPr>
              <w:pStyle w:val="33"/>
              <w:rPr>
                <w:color w:val="auto"/>
              </w:rPr>
            </w:pPr>
            <w:r>
              <w:rPr>
                <w:rFonts w:eastAsia="等线"/>
                <w:color w:val="auto"/>
                <w:sz w:val="22"/>
                <w:szCs w:val="22"/>
              </w:rPr>
              <w:t>364.5</w:t>
            </w:r>
          </w:p>
        </w:tc>
        <w:tc>
          <w:tcPr>
            <w:tcW w:w="2216" w:type="dxa"/>
            <w:tcBorders>
              <w:top w:val="single" w:color="auto" w:sz="4" w:space="0"/>
              <w:left w:val="single" w:color="auto" w:sz="4" w:space="0"/>
              <w:bottom w:val="single" w:color="auto" w:sz="4" w:space="0"/>
              <w:right w:val="single" w:color="auto" w:sz="4" w:space="0"/>
            </w:tcBorders>
            <w:vAlign w:val="center"/>
          </w:tcPr>
          <w:p w14:paraId="3BE5856C">
            <w:pPr>
              <w:pStyle w:val="33"/>
              <w:rPr>
                <w:color w:val="auto"/>
              </w:rPr>
            </w:pPr>
          </w:p>
        </w:tc>
      </w:tr>
      <w:tr w14:paraId="78D8D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vMerge w:val="continue"/>
            <w:tcBorders>
              <w:left w:val="single" w:color="auto" w:sz="4" w:space="0"/>
              <w:right w:val="single" w:color="auto" w:sz="4" w:space="0"/>
            </w:tcBorders>
            <w:vAlign w:val="center"/>
          </w:tcPr>
          <w:p w14:paraId="4D32354B">
            <w:pPr>
              <w:pStyle w:val="33"/>
              <w:rPr>
                <w:color w:val="auto"/>
              </w:rPr>
            </w:pPr>
          </w:p>
        </w:tc>
        <w:tc>
          <w:tcPr>
            <w:tcW w:w="1401" w:type="dxa"/>
            <w:tcBorders>
              <w:top w:val="single" w:color="auto" w:sz="4" w:space="0"/>
              <w:left w:val="single" w:color="auto" w:sz="4" w:space="0"/>
              <w:bottom w:val="single" w:color="auto" w:sz="4" w:space="0"/>
              <w:right w:val="single" w:color="auto" w:sz="4" w:space="0"/>
            </w:tcBorders>
            <w:vAlign w:val="center"/>
          </w:tcPr>
          <w:p w14:paraId="1A3365A6">
            <w:pPr>
              <w:pStyle w:val="33"/>
              <w:rPr>
                <w:color w:val="auto"/>
              </w:rPr>
            </w:pPr>
            <w:r>
              <w:rPr>
                <w:color w:val="auto"/>
                <w:szCs w:val="21"/>
              </w:rPr>
              <w:t>其中:</w:t>
            </w:r>
          </w:p>
        </w:tc>
        <w:tc>
          <w:tcPr>
            <w:tcW w:w="709" w:type="dxa"/>
            <w:vAlign w:val="center"/>
          </w:tcPr>
          <w:p w14:paraId="40CF5E42">
            <w:pPr>
              <w:pStyle w:val="33"/>
              <w:rPr>
                <w:color w:val="auto"/>
              </w:rPr>
            </w:pPr>
            <w:r>
              <w:rPr>
                <w:color w:val="auto"/>
                <w:szCs w:val="21"/>
              </w:rPr>
              <w:t>5bar</w:t>
            </w:r>
          </w:p>
        </w:tc>
        <w:tc>
          <w:tcPr>
            <w:tcW w:w="992" w:type="dxa"/>
            <w:vAlign w:val="bottom"/>
          </w:tcPr>
          <w:p w14:paraId="53E4901F">
            <w:pPr>
              <w:pStyle w:val="33"/>
              <w:rPr>
                <w:color w:val="auto"/>
              </w:rPr>
            </w:pPr>
            <w:r>
              <w:rPr>
                <w:rFonts w:eastAsia="等线"/>
                <w:color w:val="auto"/>
                <w:sz w:val="22"/>
                <w:szCs w:val="22"/>
              </w:rPr>
              <w:t>317</w:t>
            </w:r>
          </w:p>
        </w:tc>
        <w:tc>
          <w:tcPr>
            <w:tcW w:w="1201" w:type="dxa"/>
            <w:tcBorders>
              <w:top w:val="single" w:color="auto" w:sz="4" w:space="0"/>
              <w:left w:val="single" w:color="auto" w:sz="4" w:space="0"/>
              <w:bottom w:val="single" w:color="auto" w:sz="4" w:space="0"/>
              <w:right w:val="single" w:color="auto" w:sz="4" w:space="0"/>
            </w:tcBorders>
            <w:vAlign w:val="bottom"/>
          </w:tcPr>
          <w:p w14:paraId="6E5FD25B">
            <w:pPr>
              <w:pStyle w:val="33"/>
              <w:rPr>
                <w:color w:val="auto"/>
              </w:rPr>
            </w:pPr>
            <w:r>
              <w:rPr>
                <w:rFonts w:eastAsia="等线"/>
                <w:color w:val="auto"/>
                <w:sz w:val="22"/>
                <w:szCs w:val="22"/>
              </w:rPr>
              <w:t>22</w:t>
            </w:r>
          </w:p>
        </w:tc>
        <w:tc>
          <w:tcPr>
            <w:tcW w:w="1276" w:type="dxa"/>
            <w:tcBorders>
              <w:top w:val="single" w:color="auto" w:sz="4" w:space="0"/>
              <w:left w:val="single" w:color="auto" w:sz="4" w:space="0"/>
              <w:bottom w:val="single" w:color="auto" w:sz="4" w:space="0"/>
              <w:right w:val="single" w:color="auto" w:sz="4" w:space="0"/>
            </w:tcBorders>
            <w:vAlign w:val="bottom"/>
          </w:tcPr>
          <w:p w14:paraId="6D15D8BA">
            <w:pPr>
              <w:pStyle w:val="33"/>
              <w:rPr>
                <w:color w:val="auto"/>
              </w:rPr>
            </w:pPr>
            <w:r>
              <w:rPr>
                <w:rFonts w:eastAsia="等线"/>
                <w:color w:val="auto"/>
                <w:sz w:val="22"/>
                <w:szCs w:val="22"/>
              </w:rPr>
              <w:t>339</w:t>
            </w:r>
          </w:p>
        </w:tc>
        <w:tc>
          <w:tcPr>
            <w:tcW w:w="2216" w:type="dxa"/>
            <w:tcBorders>
              <w:top w:val="single" w:color="auto" w:sz="4" w:space="0"/>
              <w:left w:val="single" w:color="auto" w:sz="4" w:space="0"/>
              <w:bottom w:val="single" w:color="auto" w:sz="4" w:space="0"/>
              <w:right w:val="single" w:color="auto" w:sz="4" w:space="0"/>
            </w:tcBorders>
            <w:vAlign w:val="center"/>
          </w:tcPr>
          <w:p w14:paraId="7A285885">
            <w:pPr>
              <w:pStyle w:val="33"/>
              <w:rPr>
                <w:color w:val="auto"/>
              </w:rPr>
            </w:pPr>
          </w:p>
        </w:tc>
      </w:tr>
      <w:tr w14:paraId="07F09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vMerge w:val="continue"/>
            <w:tcBorders>
              <w:left w:val="single" w:color="auto" w:sz="4" w:space="0"/>
              <w:bottom w:val="single" w:color="auto" w:sz="4" w:space="0"/>
              <w:right w:val="single" w:color="auto" w:sz="4" w:space="0"/>
            </w:tcBorders>
            <w:vAlign w:val="center"/>
          </w:tcPr>
          <w:p w14:paraId="6C2E2271">
            <w:pPr>
              <w:pStyle w:val="33"/>
              <w:rPr>
                <w:color w:val="auto"/>
              </w:rPr>
            </w:pPr>
          </w:p>
        </w:tc>
        <w:tc>
          <w:tcPr>
            <w:tcW w:w="1401" w:type="dxa"/>
            <w:tcBorders>
              <w:top w:val="single" w:color="auto" w:sz="4" w:space="0"/>
              <w:left w:val="single" w:color="auto" w:sz="4" w:space="0"/>
              <w:bottom w:val="single" w:color="auto" w:sz="4" w:space="0"/>
              <w:right w:val="single" w:color="auto" w:sz="4" w:space="0"/>
            </w:tcBorders>
            <w:vAlign w:val="center"/>
          </w:tcPr>
          <w:p w14:paraId="40EC29C9">
            <w:pPr>
              <w:pStyle w:val="33"/>
              <w:rPr>
                <w:color w:val="auto"/>
              </w:rPr>
            </w:pPr>
          </w:p>
        </w:tc>
        <w:tc>
          <w:tcPr>
            <w:tcW w:w="709" w:type="dxa"/>
            <w:vAlign w:val="center"/>
          </w:tcPr>
          <w:p w14:paraId="3F0BCAAD">
            <w:pPr>
              <w:pStyle w:val="33"/>
              <w:rPr>
                <w:color w:val="auto"/>
              </w:rPr>
            </w:pPr>
            <w:r>
              <w:rPr>
                <w:color w:val="auto"/>
                <w:szCs w:val="21"/>
              </w:rPr>
              <w:t>13bar</w:t>
            </w:r>
          </w:p>
        </w:tc>
        <w:tc>
          <w:tcPr>
            <w:tcW w:w="992" w:type="dxa"/>
            <w:vAlign w:val="bottom"/>
          </w:tcPr>
          <w:p w14:paraId="1838CF63">
            <w:pPr>
              <w:pStyle w:val="33"/>
              <w:rPr>
                <w:color w:val="auto"/>
              </w:rPr>
            </w:pPr>
            <w:r>
              <w:rPr>
                <w:rFonts w:eastAsia="等线"/>
                <w:color w:val="auto"/>
                <w:sz w:val="22"/>
                <w:szCs w:val="22"/>
              </w:rPr>
              <w:t>33</w:t>
            </w:r>
          </w:p>
        </w:tc>
        <w:tc>
          <w:tcPr>
            <w:tcW w:w="1201" w:type="dxa"/>
            <w:tcBorders>
              <w:top w:val="single" w:color="auto" w:sz="4" w:space="0"/>
              <w:left w:val="single" w:color="auto" w:sz="4" w:space="0"/>
              <w:bottom w:val="single" w:color="auto" w:sz="4" w:space="0"/>
              <w:right w:val="single" w:color="auto" w:sz="4" w:space="0"/>
            </w:tcBorders>
            <w:vAlign w:val="bottom"/>
          </w:tcPr>
          <w:p w14:paraId="426B33B4">
            <w:pPr>
              <w:pStyle w:val="33"/>
              <w:rPr>
                <w:color w:val="auto"/>
              </w:rPr>
            </w:pPr>
            <w:r>
              <w:rPr>
                <w:rFonts w:eastAsia="等线"/>
                <w:color w:val="auto"/>
                <w:sz w:val="22"/>
                <w:szCs w:val="22"/>
              </w:rPr>
              <w:t>-7.5</w:t>
            </w:r>
          </w:p>
        </w:tc>
        <w:tc>
          <w:tcPr>
            <w:tcW w:w="1276" w:type="dxa"/>
            <w:tcBorders>
              <w:top w:val="single" w:color="auto" w:sz="4" w:space="0"/>
              <w:left w:val="single" w:color="auto" w:sz="4" w:space="0"/>
              <w:bottom w:val="single" w:color="auto" w:sz="4" w:space="0"/>
              <w:right w:val="single" w:color="auto" w:sz="4" w:space="0"/>
            </w:tcBorders>
            <w:vAlign w:val="bottom"/>
          </w:tcPr>
          <w:p w14:paraId="25AB469A">
            <w:pPr>
              <w:pStyle w:val="33"/>
              <w:rPr>
                <w:color w:val="auto"/>
              </w:rPr>
            </w:pPr>
            <w:r>
              <w:rPr>
                <w:rFonts w:eastAsia="等线"/>
                <w:color w:val="auto"/>
                <w:sz w:val="22"/>
                <w:szCs w:val="22"/>
              </w:rPr>
              <w:t>25.5</w:t>
            </w:r>
          </w:p>
        </w:tc>
        <w:tc>
          <w:tcPr>
            <w:tcW w:w="2216" w:type="dxa"/>
            <w:tcBorders>
              <w:top w:val="single" w:color="auto" w:sz="4" w:space="0"/>
              <w:left w:val="single" w:color="auto" w:sz="4" w:space="0"/>
              <w:bottom w:val="single" w:color="auto" w:sz="4" w:space="0"/>
              <w:right w:val="single" w:color="auto" w:sz="4" w:space="0"/>
            </w:tcBorders>
            <w:vAlign w:val="center"/>
          </w:tcPr>
          <w:p w14:paraId="36C03CFD">
            <w:pPr>
              <w:pStyle w:val="33"/>
              <w:rPr>
                <w:color w:val="auto"/>
              </w:rPr>
            </w:pPr>
          </w:p>
        </w:tc>
      </w:tr>
      <w:tr w14:paraId="3CC02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5" w:type="dxa"/>
            <w:tcBorders>
              <w:top w:val="single" w:color="auto" w:sz="4" w:space="0"/>
              <w:left w:val="single" w:color="auto" w:sz="4" w:space="0"/>
              <w:bottom w:val="single" w:color="auto" w:sz="4" w:space="0"/>
              <w:right w:val="single" w:color="auto" w:sz="4" w:space="0"/>
            </w:tcBorders>
            <w:vAlign w:val="center"/>
          </w:tcPr>
          <w:p w14:paraId="6F152AB9">
            <w:pPr>
              <w:pStyle w:val="33"/>
              <w:rPr>
                <w:color w:val="auto"/>
              </w:rPr>
            </w:pPr>
            <w:r>
              <w:rPr>
                <w:rFonts w:hint="eastAsia"/>
                <w:color w:val="auto"/>
              </w:rPr>
              <w:t>27</w:t>
            </w:r>
          </w:p>
        </w:tc>
        <w:tc>
          <w:tcPr>
            <w:tcW w:w="1401" w:type="dxa"/>
            <w:tcBorders>
              <w:top w:val="single" w:color="auto" w:sz="4" w:space="0"/>
              <w:left w:val="single" w:color="auto" w:sz="4" w:space="0"/>
              <w:bottom w:val="single" w:color="auto" w:sz="4" w:space="0"/>
              <w:right w:val="single" w:color="auto" w:sz="4" w:space="0"/>
            </w:tcBorders>
            <w:vAlign w:val="center"/>
          </w:tcPr>
          <w:p w14:paraId="1A14DDD1">
            <w:pPr>
              <w:pStyle w:val="33"/>
              <w:rPr>
                <w:color w:val="auto"/>
              </w:rPr>
            </w:pPr>
            <w:r>
              <w:rPr>
                <w:color w:val="auto"/>
                <w:szCs w:val="21"/>
              </w:rPr>
              <w:t>天然气</w:t>
            </w:r>
          </w:p>
        </w:tc>
        <w:tc>
          <w:tcPr>
            <w:tcW w:w="709" w:type="dxa"/>
            <w:vAlign w:val="center"/>
          </w:tcPr>
          <w:p w14:paraId="2D8E5B71">
            <w:pPr>
              <w:pStyle w:val="33"/>
              <w:rPr>
                <w:color w:val="auto"/>
              </w:rPr>
            </w:pPr>
            <w:r>
              <w:rPr>
                <w:color w:val="auto"/>
                <w:szCs w:val="21"/>
              </w:rPr>
              <w:t>m</w:t>
            </w:r>
            <w:r>
              <w:rPr>
                <w:color w:val="auto"/>
                <w:szCs w:val="21"/>
                <w:vertAlign w:val="superscript"/>
              </w:rPr>
              <w:t>3</w:t>
            </w:r>
          </w:p>
        </w:tc>
        <w:tc>
          <w:tcPr>
            <w:tcW w:w="992" w:type="dxa"/>
            <w:vAlign w:val="bottom"/>
          </w:tcPr>
          <w:p w14:paraId="0E9A9B36">
            <w:pPr>
              <w:pStyle w:val="33"/>
              <w:rPr>
                <w:color w:val="auto"/>
              </w:rPr>
            </w:pPr>
            <w:r>
              <w:rPr>
                <w:rFonts w:eastAsia="等线"/>
                <w:color w:val="auto"/>
                <w:sz w:val="22"/>
                <w:szCs w:val="22"/>
              </w:rPr>
              <w:t>1345</w:t>
            </w:r>
          </w:p>
        </w:tc>
        <w:tc>
          <w:tcPr>
            <w:tcW w:w="1201" w:type="dxa"/>
            <w:tcBorders>
              <w:top w:val="single" w:color="auto" w:sz="4" w:space="0"/>
              <w:left w:val="single" w:color="auto" w:sz="4" w:space="0"/>
              <w:bottom w:val="single" w:color="auto" w:sz="4" w:space="0"/>
              <w:right w:val="single" w:color="auto" w:sz="4" w:space="0"/>
            </w:tcBorders>
            <w:vAlign w:val="bottom"/>
          </w:tcPr>
          <w:p w14:paraId="4956C096">
            <w:pPr>
              <w:pStyle w:val="33"/>
              <w:rPr>
                <w:color w:val="auto"/>
              </w:rPr>
            </w:pPr>
            <w:r>
              <w:rPr>
                <w:rFonts w:eastAsia="等线"/>
                <w:color w:val="auto"/>
                <w:sz w:val="22"/>
                <w:szCs w:val="22"/>
              </w:rPr>
              <w:t>792.5</w:t>
            </w:r>
          </w:p>
        </w:tc>
        <w:tc>
          <w:tcPr>
            <w:tcW w:w="1276" w:type="dxa"/>
            <w:tcBorders>
              <w:top w:val="single" w:color="auto" w:sz="4" w:space="0"/>
              <w:left w:val="single" w:color="auto" w:sz="4" w:space="0"/>
              <w:bottom w:val="single" w:color="auto" w:sz="4" w:space="0"/>
              <w:right w:val="single" w:color="auto" w:sz="4" w:space="0"/>
            </w:tcBorders>
            <w:vAlign w:val="bottom"/>
          </w:tcPr>
          <w:p w14:paraId="20271FB9">
            <w:pPr>
              <w:pStyle w:val="33"/>
              <w:rPr>
                <w:color w:val="auto"/>
              </w:rPr>
            </w:pPr>
            <w:r>
              <w:rPr>
                <w:rFonts w:eastAsia="等线"/>
                <w:color w:val="auto"/>
                <w:sz w:val="22"/>
                <w:szCs w:val="22"/>
              </w:rPr>
              <w:t>2137.5</w:t>
            </w:r>
          </w:p>
        </w:tc>
        <w:tc>
          <w:tcPr>
            <w:tcW w:w="2216" w:type="dxa"/>
            <w:tcBorders>
              <w:top w:val="single" w:color="auto" w:sz="4" w:space="0"/>
              <w:left w:val="single" w:color="auto" w:sz="4" w:space="0"/>
              <w:bottom w:val="single" w:color="auto" w:sz="4" w:space="0"/>
              <w:right w:val="single" w:color="auto" w:sz="4" w:space="0"/>
            </w:tcBorders>
            <w:vAlign w:val="center"/>
          </w:tcPr>
          <w:p w14:paraId="17F8BEE5">
            <w:pPr>
              <w:pStyle w:val="33"/>
              <w:rPr>
                <w:color w:val="auto"/>
              </w:rPr>
            </w:pPr>
          </w:p>
        </w:tc>
      </w:tr>
    </w:tbl>
    <w:p w14:paraId="5149A3CD">
      <w:pPr>
        <w:ind w:firstLine="0" w:firstLineChars="0"/>
        <w:rPr>
          <w:color w:val="auto"/>
        </w:rPr>
      </w:pPr>
    </w:p>
    <w:p w14:paraId="0A57E341">
      <w:pPr>
        <w:ind w:firstLine="480"/>
        <w:rPr>
          <w:color w:val="auto"/>
        </w:rPr>
      </w:pPr>
      <w:r>
        <w:rPr>
          <w:rFonts w:hint="eastAsia"/>
          <w:color w:val="auto"/>
        </w:rPr>
        <w:t>漂白针叶木浆、漂白阔叶木浆、桉木湿浆：主要成分为纤维，根据国家发布的《产业结构调整指导目录》，2020年1月1日开始，元素氯漂白制浆工艺属于淘汰类，故目前市场所购买的商品木浆，均为无元素氯漂白工艺生产的产品。</w:t>
      </w:r>
    </w:p>
    <w:p w14:paraId="68B5E5FD">
      <w:pPr>
        <w:ind w:firstLine="480"/>
        <w:rPr>
          <w:color w:val="auto"/>
        </w:rPr>
      </w:pPr>
      <w:r>
        <w:rPr>
          <w:rFonts w:cs="Times New Roman"/>
          <w:color w:val="auto"/>
          <w:kern w:val="0"/>
          <w:szCs w:val="21"/>
        </w:rPr>
        <w:t>CMC</w:t>
      </w:r>
      <w:r>
        <w:rPr>
          <w:rFonts w:hint="eastAsia"/>
          <w:color w:val="auto"/>
        </w:rPr>
        <w:t>：</w:t>
      </w:r>
      <w:r>
        <w:rPr>
          <w:color w:val="auto"/>
        </w:rPr>
        <w:t>羧甲基纤维素（CMC）属阴离子型纤维素醚类，外观为白色或微黄色絮状纤维粉末或白色粉末，无臭无味，无毒；易溶于冷水或热水，形成具有一定粘度的透明溶液。溶液为中性或微碱性，不溶于乙醇、乙醚、异丙醇、丙酮等有机溶剂，可溶于含水60%的乙醇或丙酮溶液。CMC可作为粘合剂 、增稠剂、悬浮剂、乳化剂、分散剂、稳定剂、上浆剂等</w:t>
      </w:r>
      <w:r>
        <w:rPr>
          <w:rFonts w:hint="eastAsia"/>
          <w:color w:val="auto"/>
        </w:rPr>
        <w:t>。</w:t>
      </w:r>
    </w:p>
    <w:p w14:paraId="25450FA6">
      <w:pPr>
        <w:ind w:firstLine="480"/>
        <w:rPr>
          <w:color w:val="auto"/>
        </w:rPr>
      </w:pPr>
      <w:r>
        <w:rPr>
          <w:color w:val="auto"/>
        </w:rPr>
        <w:t>松香</w:t>
      </w:r>
      <w:r>
        <w:rPr>
          <w:rFonts w:hint="eastAsia"/>
          <w:color w:val="auto"/>
        </w:rPr>
        <w:t>：</w:t>
      </w:r>
      <w:r>
        <w:rPr>
          <w:color w:val="auto"/>
        </w:rPr>
        <w:t>为一种透明、脆性的固体天然树脂，是比较复杂的混合物，由树脂酸(枞酸、海松酸)、少量脂肪酸、松脂酸酐和中性物等组成。松香的主要成分为树脂酸，占90%左右，分子式为C</w:t>
      </w:r>
      <w:r>
        <w:rPr>
          <w:color w:val="auto"/>
          <w:vertAlign w:val="subscript"/>
        </w:rPr>
        <w:t>19</w:t>
      </w:r>
      <w:r>
        <w:rPr>
          <w:color w:val="auto"/>
        </w:rPr>
        <w:t>H</w:t>
      </w:r>
      <w:r>
        <w:rPr>
          <w:color w:val="auto"/>
          <w:vertAlign w:val="subscript"/>
        </w:rPr>
        <w:t>29</w:t>
      </w:r>
      <w:r>
        <w:rPr>
          <w:color w:val="auto"/>
        </w:rPr>
        <w:t>COOH，分子量302.46。树脂酸是最有代表性的松香酸，属不饱和酸，含有共轭双键，强烈吸收紫外光，在空气中能自动氧化或诱导后氧化。松香在造纸工业上用作抄纸胶料。松香与苛性钠制成松香钠皂，即胶料，胶料与纸浆混合并加入明矾，使松香成为不溶于水的游离树脂酸微粒附着在小纤维上，当纸浆在干燥圆筒上滚压加热时，松香软化填充在纤维之间，这种作用叫“上胶”或“施胶”。纸张“上胶”后，可增强抗水性，防止墨水渗透，改善强度和平滑度，减少伸缩度</w:t>
      </w:r>
      <w:r>
        <w:rPr>
          <w:rFonts w:hint="eastAsia"/>
          <w:color w:val="auto"/>
        </w:rPr>
        <w:t>。</w:t>
      </w:r>
    </w:p>
    <w:p w14:paraId="65762CFE">
      <w:pPr>
        <w:ind w:firstLine="480"/>
        <w:rPr>
          <w:color w:val="auto"/>
        </w:rPr>
      </w:pPr>
      <w:r>
        <w:rPr>
          <w:rFonts w:hint="eastAsia"/>
          <w:color w:val="auto"/>
        </w:rPr>
        <w:t>湿强剂：主要成分为聚酰胺环氧氯丙烷树脂。外观为淡黄色粘稠状液体，固含量12.5±0.5﹪，密度为1.03g/cm</w:t>
      </w:r>
      <w:r>
        <w:rPr>
          <w:rFonts w:hint="eastAsia"/>
          <w:color w:val="auto"/>
          <w:vertAlign w:val="superscript"/>
        </w:rPr>
        <w:t>3</w:t>
      </w:r>
      <w:r>
        <w:rPr>
          <w:rFonts w:hint="eastAsia"/>
          <w:color w:val="auto"/>
        </w:rPr>
        <w:t>，粘度 30-90mPa﹒s(25℃)，pH值3-4.5，溶于水。一种能大幅度提高页干、湿强度的目前世界上常用的新一代无毒、无味的造纸助剂，适合各类有湿强要求的纸张生产，因其兼有助留、助滤的特性，还可作为造纸过程的助留剂，助滤剂。</w:t>
      </w:r>
    </w:p>
    <w:p w14:paraId="01A8F660">
      <w:pPr>
        <w:ind w:firstLine="480"/>
        <w:rPr>
          <w:color w:val="auto"/>
        </w:rPr>
      </w:pPr>
      <w:r>
        <w:rPr>
          <w:color w:val="auto"/>
        </w:rPr>
        <w:t>硫酸铝</w:t>
      </w:r>
      <w:r>
        <w:rPr>
          <w:rFonts w:hint="eastAsia"/>
          <w:color w:val="auto"/>
        </w:rPr>
        <w:t>：</w:t>
      </w:r>
      <w:r>
        <w:rPr>
          <w:color w:val="auto"/>
        </w:rPr>
        <w:t>硫酸铝是一种常见的无机盐，化学式为Al</w:t>
      </w:r>
      <w:r>
        <w:rPr>
          <w:color w:val="auto"/>
          <w:vertAlign w:val="subscript"/>
        </w:rPr>
        <w:t>2</w:t>
      </w:r>
      <w:r>
        <w:rPr>
          <w:color w:val="auto"/>
        </w:rPr>
        <w:t>(SO</w:t>
      </w:r>
      <w:r>
        <w:rPr>
          <w:color w:val="auto"/>
          <w:vertAlign w:val="subscript"/>
        </w:rPr>
        <w:t>4</w:t>
      </w:r>
      <w:r>
        <w:rPr>
          <w:color w:val="auto"/>
        </w:rPr>
        <w:t>)</w:t>
      </w:r>
      <w:r>
        <w:rPr>
          <w:color w:val="auto"/>
          <w:vertAlign w:val="subscript"/>
        </w:rPr>
        <w:t>3</w:t>
      </w:r>
      <w:r>
        <w:rPr>
          <w:color w:val="auto"/>
        </w:rPr>
        <w:t>，分子量约为342.15，常以结晶水合物形式存在，分子式为Al</w:t>
      </w:r>
      <w:r>
        <w:rPr>
          <w:color w:val="auto"/>
          <w:vertAlign w:val="subscript"/>
        </w:rPr>
        <w:t>2</w:t>
      </w:r>
      <w:r>
        <w:rPr>
          <w:color w:val="auto"/>
        </w:rPr>
        <w:t>(SO</w:t>
      </w:r>
      <w:r>
        <w:rPr>
          <w:color w:val="auto"/>
          <w:vertAlign w:val="subscript"/>
        </w:rPr>
        <w:t>4</w:t>
      </w:r>
      <w:r>
        <w:rPr>
          <w:color w:val="auto"/>
        </w:rPr>
        <w:t>)</w:t>
      </w:r>
      <w:r>
        <w:rPr>
          <w:color w:val="auto"/>
          <w:vertAlign w:val="subscript"/>
        </w:rPr>
        <w:t>3</w:t>
      </w:r>
      <w:r>
        <w:rPr>
          <w:color w:val="auto"/>
        </w:rPr>
        <w:t>·nH</w:t>
      </w:r>
      <w:r>
        <w:rPr>
          <w:color w:val="auto"/>
          <w:vertAlign w:val="subscript"/>
        </w:rPr>
        <w:t>2</w:t>
      </w:r>
      <w:r>
        <w:rPr>
          <w:color w:val="auto"/>
        </w:rPr>
        <w:t>O。外观通常为白色、无味、有光泽的晶体或粉末，易吸湿，密度2.71g/cm</w:t>
      </w:r>
      <w:r>
        <w:rPr>
          <w:rFonts w:hint="eastAsia"/>
          <w:color w:val="auto"/>
          <w:vertAlign w:val="superscript"/>
        </w:rPr>
        <w:t>3</w:t>
      </w:r>
      <w:r>
        <w:rPr>
          <w:color w:val="auto"/>
        </w:rPr>
        <w:t>，熔点770℃；]溶于水，微溶于醇。在造纸工业中，硫酸铝主要用于施胶、调节pH值、澄清加工过程中用水及作为媒染剂</w:t>
      </w:r>
      <w:r>
        <w:rPr>
          <w:rFonts w:hint="eastAsia"/>
          <w:color w:val="auto"/>
        </w:rPr>
        <w:t>。</w:t>
      </w:r>
    </w:p>
    <w:p w14:paraId="4A007C25">
      <w:pPr>
        <w:ind w:firstLine="480"/>
        <w:rPr>
          <w:color w:val="auto"/>
        </w:rPr>
      </w:pPr>
      <w:r>
        <w:rPr>
          <w:rFonts w:hint="eastAsia"/>
          <w:color w:val="auto"/>
        </w:rPr>
        <w:t>消泡剂：</w:t>
      </w:r>
      <w:r>
        <w:rPr>
          <w:color w:val="auto"/>
          <w:szCs w:val="24"/>
        </w:rPr>
        <w:t>白色乳状液体，脂肪醇类</w:t>
      </w:r>
      <w:r>
        <w:rPr>
          <w:rFonts w:hint="eastAsia"/>
          <w:color w:val="auto"/>
          <w:szCs w:val="24"/>
        </w:rPr>
        <w:t>。</w:t>
      </w:r>
      <w:r>
        <w:rPr>
          <w:rFonts w:hint="eastAsia"/>
          <w:color w:val="auto"/>
        </w:rPr>
        <w:t>造纸消泡剂是针对造纸工业的抄纸工艺起泡特点而设计，使用本品可以有效控制纸浆、泡沫漫溢和提高抄纸质量。广泛应用于造纸抄造系统消泡，亦可用于造纸污水处理、防冻液、蒸馏系统消泡。抄纸白水中的泡沫主要来源于打浆过程中向浆池中添加的许多化学助剂，如助滤剂、助留剂、湿强剂、施胶剂等等，它们在打浆和白水封闭循环过程中很容易产生气泡。国产的消泡剂主要以烃类、油脂类和有机硅为主，而脂肪醇类的消泡剂最突出的优点是能迅速快捷的脱除浆料中的气体和消除水面泡沫，对施胶的影响最小，而且使用成本较低，是当今抄纸消泡剂的发展方向。</w:t>
      </w:r>
    </w:p>
    <w:p w14:paraId="39B6D6F1">
      <w:pPr>
        <w:ind w:firstLine="0" w:firstLineChars="0"/>
        <w:rPr>
          <w:color w:val="auto"/>
        </w:rPr>
      </w:pPr>
    </w:p>
    <w:p w14:paraId="40C1EC9D">
      <w:pPr>
        <w:pStyle w:val="4"/>
        <w:rPr>
          <w:color w:val="auto"/>
        </w:rPr>
      </w:pPr>
      <w:bookmarkStart w:id="192" w:name="_Toc225216696"/>
      <w:r>
        <w:rPr>
          <w:rFonts w:hint="eastAsia"/>
          <w:color w:val="auto"/>
        </w:rPr>
        <w:t>主要生产设备</w:t>
      </w:r>
      <w:bookmarkEnd w:id="192"/>
    </w:p>
    <w:p w14:paraId="4BE5E432">
      <w:pPr>
        <w:ind w:firstLine="480"/>
        <w:rPr>
          <w:color w:val="auto"/>
        </w:rPr>
      </w:pPr>
      <w:r>
        <w:rPr>
          <w:rFonts w:hint="eastAsia"/>
          <w:color w:val="auto"/>
        </w:rPr>
        <w:t>为了满足年产190万吨提升至300万吨的要求，其中，1#白卡纸生产线产能从100万吨/年提升到150万吨/年，2#白卡纸生产线产能从90万吨/年提升到150万吨/年。主要改造内容及新增设备如下。</w:t>
      </w:r>
    </w:p>
    <w:p w14:paraId="32234F42">
      <w:pPr>
        <w:pStyle w:val="7"/>
        <w:rPr>
          <w:color w:val="auto"/>
        </w:rPr>
      </w:pPr>
      <w:r>
        <w:rPr>
          <w:rFonts w:hint="eastAsia"/>
          <w:color w:val="auto"/>
        </w:rPr>
        <w:t>项目主要改造生产设备表</w:t>
      </w:r>
    </w:p>
    <w:tbl>
      <w:tblPr>
        <w:tblStyle w:val="26"/>
        <w:tblW w:w="8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720"/>
        <w:gridCol w:w="2694"/>
        <w:gridCol w:w="3590"/>
      </w:tblGrid>
      <w:tr w14:paraId="44B38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80" w:type="dxa"/>
            <w:vAlign w:val="center"/>
          </w:tcPr>
          <w:p w14:paraId="096872D4">
            <w:pPr>
              <w:pStyle w:val="33"/>
              <w:rPr>
                <w:color w:val="auto"/>
              </w:rPr>
            </w:pPr>
            <w:r>
              <w:rPr>
                <w:color w:val="auto"/>
              </w:rPr>
              <w:t>序号</w:t>
            </w:r>
          </w:p>
        </w:tc>
        <w:tc>
          <w:tcPr>
            <w:tcW w:w="1720" w:type="dxa"/>
            <w:vAlign w:val="center"/>
          </w:tcPr>
          <w:p w14:paraId="0709F0F5">
            <w:pPr>
              <w:pStyle w:val="33"/>
              <w:rPr>
                <w:color w:val="auto"/>
              </w:rPr>
            </w:pPr>
            <w:r>
              <w:rPr>
                <w:color w:val="auto"/>
              </w:rPr>
              <w:t>车间</w:t>
            </w:r>
          </w:p>
        </w:tc>
        <w:tc>
          <w:tcPr>
            <w:tcW w:w="2694" w:type="dxa"/>
            <w:vAlign w:val="center"/>
          </w:tcPr>
          <w:p w14:paraId="236D947D">
            <w:pPr>
              <w:pStyle w:val="33"/>
              <w:rPr>
                <w:color w:val="auto"/>
              </w:rPr>
            </w:pPr>
            <w:r>
              <w:rPr>
                <w:color w:val="auto"/>
              </w:rPr>
              <w:t>技改内容</w:t>
            </w:r>
          </w:p>
        </w:tc>
        <w:tc>
          <w:tcPr>
            <w:tcW w:w="3590" w:type="dxa"/>
            <w:vAlign w:val="center"/>
          </w:tcPr>
          <w:p w14:paraId="3DE63CB4">
            <w:pPr>
              <w:pStyle w:val="33"/>
              <w:rPr>
                <w:color w:val="auto"/>
              </w:rPr>
            </w:pPr>
            <w:r>
              <w:rPr>
                <w:color w:val="auto"/>
              </w:rPr>
              <w:t>设备名称及型号</w:t>
            </w:r>
          </w:p>
        </w:tc>
      </w:tr>
      <w:tr w14:paraId="1033C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78947C8">
            <w:pPr>
              <w:pStyle w:val="33"/>
              <w:rPr>
                <w:color w:val="auto"/>
              </w:rPr>
            </w:pPr>
            <w:r>
              <w:rPr>
                <w:color w:val="auto"/>
              </w:rPr>
              <w:t>1</w:t>
            </w:r>
          </w:p>
        </w:tc>
        <w:tc>
          <w:tcPr>
            <w:tcW w:w="1720" w:type="dxa"/>
            <w:vAlign w:val="center"/>
          </w:tcPr>
          <w:p w14:paraId="28939C99">
            <w:pPr>
              <w:pStyle w:val="33"/>
              <w:rPr>
                <w:color w:val="auto"/>
              </w:rPr>
            </w:pPr>
            <w:r>
              <w:rPr>
                <w:color w:val="auto"/>
              </w:rPr>
              <w:t>1#白卡纸生产线</w:t>
            </w:r>
          </w:p>
        </w:tc>
        <w:tc>
          <w:tcPr>
            <w:tcW w:w="2694" w:type="dxa"/>
            <w:vAlign w:val="center"/>
          </w:tcPr>
          <w:p w14:paraId="41EB645C">
            <w:pPr>
              <w:pStyle w:val="33"/>
              <w:rPr>
                <w:color w:val="auto"/>
              </w:rPr>
            </w:pPr>
            <w:r>
              <w:rPr>
                <w:color w:val="auto"/>
              </w:rPr>
              <w:t>前干气罩通风技改</w:t>
            </w:r>
          </w:p>
        </w:tc>
        <w:tc>
          <w:tcPr>
            <w:tcW w:w="3590" w:type="dxa"/>
            <w:vAlign w:val="center"/>
          </w:tcPr>
          <w:p w14:paraId="7E7601E6">
            <w:pPr>
              <w:pStyle w:val="33"/>
              <w:rPr>
                <w:color w:val="auto"/>
              </w:rPr>
            </w:pPr>
            <w:r>
              <w:rPr>
                <w:color w:val="auto"/>
              </w:rPr>
              <w:t>增加2台风机，4-79-18C/D</w:t>
            </w:r>
          </w:p>
        </w:tc>
      </w:tr>
      <w:tr w14:paraId="7D903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D0BE3F4">
            <w:pPr>
              <w:pStyle w:val="33"/>
              <w:rPr>
                <w:color w:val="auto"/>
              </w:rPr>
            </w:pPr>
            <w:r>
              <w:rPr>
                <w:color w:val="auto"/>
              </w:rPr>
              <w:t>2</w:t>
            </w:r>
          </w:p>
        </w:tc>
        <w:tc>
          <w:tcPr>
            <w:tcW w:w="1720" w:type="dxa"/>
            <w:vAlign w:val="center"/>
          </w:tcPr>
          <w:p w14:paraId="3C34E4B4">
            <w:pPr>
              <w:pStyle w:val="33"/>
              <w:rPr>
                <w:color w:val="auto"/>
              </w:rPr>
            </w:pPr>
            <w:r>
              <w:rPr>
                <w:color w:val="auto"/>
              </w:rPr>
              <w:t>1#白卡纸生产线</w:t>
            </w:r>
          </w:p>
        </w:tc>
        <w:tc>
          <w:tcPr>
            <w:tcW w:w="2694" w:type="dxa"/>
            <w:vAlign w:val="center"/>
          </w:tcPr>
          <w:p w14:paraId="543697CB">
            <w:pPr>
              <w:pStyle w:val="33"/>
              <w:rPr>
                <w:color w:val="auto"/>
              </w:rPr>
            </w:pPr>
            <w:r>
              <w:rPr>
                <w:color w:val="auto"/>
              </w:rPr>
              <w:t>提高前干proreaLeas真空技改</w:t>
            </w:r>
          </w:p>
        </w:tc>
        <w:tc>
          <w:tcPr>
            <w:tcW w:w="3590" w:type="dxa"/>
            <w:vAlign w:val="center"/>
          </w:tcPr>
          <w:p w14:paraId="4D6A2EBF">
            <w:pPr>
              <w:pStyle w:val="33"/>
              <w:rPr>
                <w:color w:val="auto"/>
              </w:rPr>
            </w:pPr>
            <w:r>
              <w:rPr>
                <w:color w:val="auto"/>
              </w:rPr>
              <w:t>增加2台风机，TYGWF-1300C，VR63S10C</w:t>
            </w:r>
          </w:p>
        </w:tc>
      </w:tr>
      <w:tr w14:paraId="50829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01D0DFC">
            <w:pPr>
              <w:pStyle w:val="33"/>
              <w:rPr>
                <w:color w:val="auto"/>
              </w:rPr>
            </w:pPr>
            <w:r>
              <w:rPr>
                <w:color w:val="auto"/>
              </w:rPr>
              <w:t>3</w:t>
            </w:r>
          </w:p>
        </w:tc>
        <w:tc>
          <w:tcPr>
            <w:tcW w:w="1720" w:type="dxa"/>
            <w:vAlign w:val="center"/>
          </w:tcPr>
          <w:p w14:paraId="15AE4501">
            <w:pPr>
              <w:pStyle w:val="33"/>
              <w:rPr>
                <w:color w:val="auto"/>
              </w:rPr>
            </w:pPr>
            <w:r>
              <w:rPr>
                <w:color w:val="auto"/>
              </w:rPr>
              <w:t>1#白卡纸生产线</w:t>
            </w:r>
          </w:p>
        </w:tc>
        <w:tc>
          <w:tcPr>
            <w:tcW w:w="2694" w:type="dxa"/>
            <w:vAlign w:val="center"/>
          </w:tcPr>
          <w:p w14:paraId="599A03A4">
            <w:pPr>
              <w:pStyle w:val="33"/>
              <w:rPr>
                <w:color w:val="auto"/>
              </w:rPr>
            </w:pPr>
            <w:r>
              <w:rPr>
                <w:color w:val="auto"/>
              </w:rPr>
              <w:t>网部汽罩吊顶改善</w:t>
            </w:r>
          </w:p>
        </w:tc>
        <w:tc>
          <w:tcPr>
            <w:tcW w:w="3590" w:type="dxa"/>
            <w:vAlign w:val="center"/>
          </w:tcPr>
          <w:p w14:paraId="048A80F9">
            <w:pPr>
              <w:pStyle w:val="33"/>
              <w:rPr>
                <w:color w:val="auto"/>
              </w:rPr>
            </w:pPr>
            <w:r>
              <w:rPr>
                <w:color w:val="auto"/>
              </w:rPr>
              <w:t>增加不锈钢吊顶</w:t>
            </w:r>
          </w:p>
        </w:tc>
      </w:tr>
      <w:tr w14:paraId="1ACD5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C877CEA">
            <w:pPr>
              <w:pStyle w:val="33"/>
              <w:rPr>
                <w:color w:val="auto"/>
              </w:rPr>
            </w:pPr>
            <w:r>
              <w:rPr>
                <w:color w:val="auto"/>
              </w:rPr>
              <w:t>4</w:t>
            </w:r>
          </w:p>
        </w:tc>
        <w:tc>
          <w:tcPr>
            <w:tcW w:w="1720" w:type="dxa"/>
            <w:vAlign w:val="center"/>
          </w:tcPr>
          <w:p w14:paraId="34D0005D">
            <w:pPr>
              <w:pStyle w:val="33"/>
              <w:rPr>
                <w:color w:val="auto"/>
              </w:rPr>
            </w:pPr>
            <w:r>
              <w:rPr>
                <w:color w:val="auto"/>
              </w:rPr>
              <w:t>1#白卡纸生产线</w:t>
            </w:r>
          </w:p>
        </w:tc>
        <w:tc>
          <w:tcPr>
            <w:tcW w:w="2694" w:type="dxa"/>
            <w:vAlign w:val="center"/>
          </w:tcPr>
          <w:p w14:paraId="2AAAC415">
            <w:pPr>
              <w:pStyle w:val="33"/>
              <w:rPr>
                <w:color w:val="auto"/>
              </w:rPr>
            </w:pPr>
            <w:r>
              <w:rPr>
                <w:color w:val="auto"/>
              </w:rPr>
              <w:t>新增前干燥气罩排风</w:t>
            </w:r>
          </w:p>
        </w:tc>
        <w:tc>
          <w:tcPr>
            <w:tcW w:w="3590" w:type="dxa"/>
            <w:vAlign w:val="center"/>
          </w:tcPr>
          <w:p w14:paraId="74311A5D">
            <w:pPr>
              <w:pStyle w:val="33"/>
              <w:rPr>
                <w:color w:val="auto"/>
              </w:rPr>
            </w:pPr>
            <w:r>
              <w:rPr>
                <w:color w:val="auto"/>
              </w:rPr>
              <w:t>增加2台风机，4-79-18D</w:t>
            </w:r>
          </w:p>
        </w:tc>
      </w:tr>
      <w:tr w14:paraId="5243F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3D8FCCB">
            <w:pPr>
              <w:pStyle w:val="33"/>
              <w:rPr>
                <w:color w:val="auto"/>
              </w:rPr>
            </w:pPr>
            <w:r>
              <w:rPr>
                <w:color w:val="auto"/>
              </w:rPr>
              <w:t>5</w:t>
            </w:r>
          </w:p>
        </w:tc>
        <w:tc>
          <w:tcPr>
            <w:tcW w:w="1720" w:type="dxa"/>
            <w:vAlign w:val="center"/>
          </w:tcPr>
          <w:p w14:paraId="4666E8E3">
            <w:pPr>
              <w:pStyle w:val="33"/>
              <w:rPr>
                <w:color w:val="auto"/>
              </w:rPr>
            </w:pPr>
            <w:r>
              <w:rPr>
                <w:color w:val="auto"/>
              </w:rPr>
              <w:t>1#白卡纸生产线</w:t>
            </w:r>
          </w:p>
        </w:tc>
        <w:tc>
          <w:tcPr>
            <w:tcW w:w="2694" w:type="dxa"/>
            <w:vAlign w:val="center"/>
          </w:tcPr>
          <w:p w14:paraId="750130F1">
            <w:pPr>
              <w:pStyle w:val="33"/>
              <w:rPr>
                <w:color w:val="auto"/>
              </w:rPr>
            </w:pPr>
            <w:r>
              <w:rPr>
                <w:color w:val="auto"/>
              </w:rPr>
              <w:t>真空泵房新增加7、8号汽水分离器罐克负泵</w:t>
            </w:r>
          </w:p>
        </w:tc>
        <w:tc>
          <w:tcPr>
            <w:tcW w:w="3590" w:type="dxa"/>
            <w:vAlign w:val="center"/>
          </w:tcPr>
          <w:p w14:paraId="49BF7DA5">
            <w:pPr>
              <w:pStyle w:val="33"/>
              <w:rPr>
                <w:color w:val="auto"/>
              </w:rPr>
            </w:pPr>
            <w:r>
              <w:rPr>
                <w:color w:val="auto"/>
              </w:rPr>
              <w:t>增加2台克负泵,IRP42-150, ACP150-250.5S</w:t>
            </w:r>
          </w:p>
        </w:tc>
      </w:tr>
      <w:tr w14:paraId="158C4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13BE67EB">
            <w:pPr>
              <w:pStyle w:val="33"/>
              <w:rPr>
                <w:color w:val="auto"/>
              </w:rPr>
            </w:pPr>
            <w:r>
              <w:rPr>
                <w:color w:val="auto"/>
              </w:rPr>
              <w:t>6</w:t>
            </w:r>
          </w:p>
        </w:tc>
        <w:tc>
          <w:tcPr>
            <w:tcW w:w="1720" w:type="dxa"/>
            <w:vAlign w:val="center"/>
          </w:tcPr>
          <w:p w14:paraId="0AA56CC7">
            <w:pPr>
              <w:pStyle w:val="33"/>
              <w:rPr>
                <w:color w:val="auto"/>
              </w:rPr>
            </w:pPr>
            <w:r>
              <w:rPr>
                <w:color w:val="auto"/>
              </w:rPr>
              <w:t>1#白卡纸生产线</w:t>
            </w:r>
          </w:p>
        </w:tc>
        <w:tc>
          <w:tcPr>
            <w:tcW w:w="2694" w:type="dxa"/>
            <w:vAlign w:val="center"/>
          </w:tcPr>
          <w:p w14:paraId="074ACFEF">
            <w:pPr>
              <w:pStyle w:val="33"/>
              <w:rPr>
                <w:color w:val="auto"/>
              </w:rPr>
            </w:pPr>
            <w:r>
              <w:rPr>
                <w:color w:val="auto"/>
              </w:rPr>
              <w:t>前干刮刀夹进行技改</w:t>
            </w:r>
          </w:p>
        </w:tc>
        <w:tc>
          <w:tcPr>
            <w:tcW w:w="3590" w:type="dxa"/>
            <w:vAlign w:val="center"/>
          </w:tcPr>
          <w:p w14:paraId="5C17BBCB">
            <w:pPr>
              <w:pStyle w:val="33"/>
              <w:rPr>
                <w:color w:val="auto"/>
              </w:rPr>
            </w:pPr>
            <w:r>
              <w:rPr>
                <w:color w:val="auto"/>
              </w:rPr>
              <w:t>增加15套刮刀夹具XTABC FWAN</w:t>
            </w:r>
          </w:p>
        </w:tc>
      </w:tr>
      <w:tr w14:paraId="5EF08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2BB22C5">
            <w:pPr>
              <w:pStyle w:val="33"/>
              <w:rPr>
                <w:color w:val="auto"/>
              </w:rPr>
            </w:pPr>
            <w:r>
              <w:rPr>
                <w:color w:val="auto"/>
              </w:rPr>
              <w:t>7</w:t>
            </w:r>
          </w:p>
        </w:tc>
        <w:tc>
          <w:tcPr>
            <w:tcW w:w="1720" w:type="dxa"/>
            <w:vAlign w:val="center"/>
          </w:tcPr>
          <w:p w14:paraId="2031C446">
            <w:pPr>
              <w:pStyle w:val="33"/>
              <w:rPr>
                <w:color w:val="auto"/>
              </w:rPr>
            </w:pPr>
            <w:r>
              <w:rPr>
                <w:color w:val="auto"/>
              </w:rPr>
              <w:t>1#白卡纸生产线</w:t>
            </w:r>
          </w:p>
        </w:tc>
        <w:tc>
          <w:tcPr>
            <w:tcW w:w="2694" w:type="dxa"/>
            <w:vAlign w:val="center"/>
          </w:tcPr>
          <w:p w14:paraId="304369B4">
            <w:pPr>
              <w:pStyle w:val="33"/>
              <w:rPr>
                <w:color w:val="auto"/>
              </w:rPr>
            </w:pPr>
            <w:r>
              <w:rPr>
                <w:color w:val="auto"/>
              </w:rPr>
              <w:t>施胶螺杆泵改转子泵</w:t>
            </w:r>
          </w:p>
        </w:tc>
        <w:tc>
          <w:tcPr>
            <w:tcW w:w="3590" w:type="dxa"/>
            <w:vAlign w:val="center"/>
          </w:tcPr>
          <w:p w14:paraId="253AE1AE">
            <w:pPr>
              <w:pStyle w:val="33"/>
              <w:rPr>
                <w:color w:val="auto"/>
              </w:rPr>
            </w:pPr>
            <w:r>
              <w:rPr>
                <w:color w:val="auto"/>
              </w:rPr>
              <w:t>增加2台泵,150TLS4-150C</w:t>
            </w:r>
          </w:p>
        </w:tc>
      </w:tr>
      <w:tr w14:paraId="7B864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C9F811C">
            <w:pPr>
              <w:pStyle w:val="33"/>
              <w:rPr>
                <w:color w:val="auto"/>
              </w:rPr>
            </w:pPr>
            <w:r>
              <w:rPr>
                <w:color w:val="auto"/>
              </w:rPr>
              <w:t>8</w:t>
            </w:r>
          </w:p>
        </w:tc>
        <w:tc>
          <w:tcPr>
            <w:tcW w:w="1720" w:type="dxa"/>
            <w:vAlign w:val="center"/>
          </w:tcPr>
          <w:p w14:paraId="1E28DFB9">
            <w:pPr>
              <w:pStyle w:val="33"/>
              <w:rPr>
                <w:color w:val="auto"/>
              </w:rPr>
            </w:pPr>
            <w:r>
              <w:rPr>
                <w:color w:val="auto"/>
              </w:rPr>
              <w:t>1#白卡纸生产线</w:t>
            </w:r>
          </w:p>
        </w:tc>
        <w:tc>
          <w:tcPr>
            <w:tcW w:w="2694" w:type="dxa"/>
            <w:vAlign w:val="center"/>
          </w:tcPr>
          <w:p w14:paraId="211B79CD">
            <w:pPr>
              <w:pStyle w:val="33"/>
              <w:rPr>
                <w:color w:val="auto"/>
              </w:rPr>
            </w:pPr>
            <w:r>
              <w:rPr>
                <w:color w:val="auto"/>
              </w:rPr>
              <w:t>涂布螺杆泵技改NM148大泵</w:t>
            </w:r>
          </w:p>
        </w:tc>
        <w:tc>
          <w:tcPr>
            <w:tcW w:w="3590" w:type="dxa"/>
            <w:vAlign w:val="center"/>
          </w:tcPr>
          <w:p w14:paraId="361C6CCA">
            <w:pPr>
              <w:pStyle w:val="33"/>
              <w:rPr>
                <w:color w:val="auto"/>
              </w:rPr>
            </w:pPr>
            <w:r>
              <w:rPr>
                <w:color w:val="auto"/>
              </w:rPr>
              <w:t>增加2台泵, NM148SY02D09Z</w:t>
            </w:r>
          </w:p>
        </w:tc>
      </w:tr>
      <w:tr w14:paraId="7FB7D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69726D64">
            <w:pPr>
              <w:pStyle w:val="33"/>
              <w:rPr>
                <w:color w:val="auto"/>
              </w:rPr>
            </w:pPr>
            <w:r>
              <w:rPr>
                <w:color w:val="auto"/>
              </w:rPr>
              <w:t>9</w:t>
            </w:r>
          </w:p>
        </w:tc>
        <w:tc>
          <w:tcPr>
            <w:tcW w:w="1720" w:type="dxa"/>
            <w:vAlign w:val="center"/>
          </w:tcPr>
          <w:p w14:paraId="65DB7875">
            <w:pPr>
              <w:pStyle w:val="33"/>
              <w:rPr>
                <w:color w:val="auto"/>
              </w:rPr>
            </w:pPr>
            <w:r>
              <w:rPr>
                <w:color w:val="auto"/>
              </w:rPr>
              <w:t>1#白卡纸生产线</w:t>
            </w:r>
          </w:p>
        </w:tc>
        <w:tc>
          <w:tcPr>
            <w:tcW w:w="2694" w:type="dxa"/>
            <w:vAlign w:val="center"/>
          </w:tcPr>
          <w:p w14:paraId="2FA90642">
            <w:pPr>
              <w:pStyle w:val="33"/>
              <w:rPr>
                <w:color w:val="auto"/>
              </w:rPr>
            </w:pPr>
            <w:r>
              <w:rPr>
                <w:color w:val="auto"/>
              </w:rPr>
              <w:t>涂布IR红外发射器后半部分改造升级</w:t>
            </w:r>
          </w:p>
        </w:tc>
        <w:tc>
          <w:tcPr>
            <w:tcW w:w="3590" w:type="dxa"/>
            <w:vAlign w:val="center"/>
          </w:tcPr>
          <w:p w14:paraId="0261DF15">
            <w:pPr>
              <w:pStyle w:val="33"/>
              <w:rPr>
                <w:color w:val="auto"/>
              </w:rPr>
            </w:pPr>
            <w:r>
              <w:rPr>
                <w:color w:val="auto"/>
              </w:rPr>
              <w:t>增加1套设备SOLARONICS Ger12HiK</w:t>
            </w:r>
          </w:p>
        </w:tc>
      </w:tr>
      <w:tr w14:paraId="3F4E7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AFCAF90">
            <w:pPr>
              <w:pStyle w:val="33"/>
              <w:rPr>
                <w:color w:val="auto"/>
              </w:rPr>
            </w:pPr>
            <w:r>
              <w:rPr>
                <w:color w:val="auto"/>
              </w:rPr>
              <w:t>10</w:t>
            </w:r>
          </w:p>
        </w:tc>
        <w:tc>
          <w:tcPr>
            <w:tcW w:w="1720" w:type="dxa"/>
            <w:vAlign w:val="center"/>
          </w:tcPr>
          <w:p w14:paraId="5AE7F337">
            <w:pPr>
              <w:pStyle w:val="33"/>
              <w:rPr>
                <w:color w:val="auto"/>
              </w:rPr>
            </w:pPr>
            <w:r>
              <w:rPr>
                <w:color w:val="auto"/>
              </w:rPr>
              <w:t>1#白卡纸生产线</w:t>
            </w:r>
          </w:p>
        </w:tc>
        <w:tc>
          <w:tcPr>
            <w:tcW w:w="2694" w:type="dxa"/>
            <w:vAlign w:val="center"/>
          </w:tcPr>
          <w:p w14:paraId="0F6A5EE6">
            <w:pPr>
              <w:pStyle w:val="33"/>
              <w:rPr>
                <w:color w:val="auto"/>
              </w:rPr>
            </w:pPr>
            <w:r>
              <w:rPr>
                <w:color w:val="auto"/>
              </w:rPr>
              <w:t>WMS断纸分析系统升级</w:t>
            </w:r>
          </w:p>
        </w:tc>
        <w:tc>
          <w:tcPr>
            <w:tcW w:w="3590" w:type="dxa"/>
            <w:vAlign w:val="center"/>
          </w:tcPr>
          <w:p w14:paraId="7EC74FD4">
            <w:pPr>
              <w:pStyle w:val="33"/>
              <w:rPr>
                <w:color w:val="auto"/>
              </w:rPr>
            </w:pPr>
            <w:r>
              <w:rPr>
                <w:color w:val="auto"/>
              </w:rPr>
              <w:t>增加48台摄像机PROCEMEX  PX7216</w:t>
            </w:r>
          </w:p>
        </w:tc>
      </w:tr>
      <w:tr w14:paraId="5440F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FB7760E">
            <w:pPr>
              <w:pStyle w:val="33"/>
              <w:rPr>
                <w:color w:val="auto"/>
              </w:rPr>
            </w:pPr>
            <w:r>
              <w:rPr>
                <w:color w:val="auto"/>
              </w:rPr>
              <w:t>11</w:t>
            </w:r>
          </w:p>
        </w:tc>
        <w:tc>
          <w:tcPr>
            <w:tcW w:w="1720" w:type="dxa"/>
            <w:vAlign w:val="center"/>
          </w:tcPr>
          <w:p w14:paraId="7C38CD40">
            <w:pPr>
              <w:pStyle w:val="33"/>
              <w:rPr>
                <w:color w:val="auto"/>
              </w:rPr>
            </w:pPr>
            <w:r>
              <w:rPr>
                <w:color w:val="auto"/>
              </w:rPr>
              <w:t>1#白卡纸生产线</w:t>
            </w:r>
          </w:p>
        </w:tc>
        <w:tc>
          <w:tcPr>
            <w:tcW w:w="2694" w:type="dxa"/>
            <w:vAlign w:val="center"/>
          </w:tcPr>
          <w:p w14:paraId="2A270C1C">
            <w:pPr>
              <w:pStyle w:val="33"/>
              <w:rPr>
                <w:color w:val="auto"/>
              </w:rPr>
            </w:pPr>
            <w:r>
              <w:rPr>
                <w:color w:val="auto"/>
              </w:rPr>
              <w:t>施胶、硬压引纸系统升级</w:t>
            </w:r>
          </w:p>
        </w:tc>
        <w:tc>
          <w:tcPr>
            <w:tcW w:w="3590" w:type="dxa"/>
            <w:vAlign w:val="center"/>
          </w:tcPr>
          <w:p w14:paraId="37084B64">
            <w:pPr>
              <w:pStyle w:val="33"/>
              <w:rPr>
                <w:color w:val="auto"/>
              </w:rPr>
            </w:pPr>
            <w:r>
              <w:rPr>
                <w:color w:val="auto"/>
              </w:rPr>
              <w:t>增加2套引纸臂，PN.QRYZ-5001</w:t>
            </w:r>
          </w:p>
        </w:tc>
      </w:tr>
      <w:tr w14:paraId="24C2C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C636BFF">
            <w:pPr>
              <w:pStyle w:val="33"/>
              <w:rPr>
                <w:color w:val="auto"/>
              </w:rPr>
            </w:pPr>
            <w:r>
              <w:rPr>
                <w:color w:val="auto"/>
              </w:rPr>
              <w:t>12</w:t>
            </w:r>
          </w:p>
        </w:tc>
        <w:tc>
          <w:tcPr>
            <w:tcW w:w="1720" w:type="dxa"/>
            <w:vAlign w:val="center"/>
          </w:tcPr>
          <w:p w14:paraId="6D32EE33">
            <w:pPr>
              <w:pStyle w:val="33"/>
              <w:rPr>
                <w:color w:val="auto"/>
              </w:rPr>
            </w:pPr>
            <w:r>
              <w:rPr>
                <w:color w:val="auto"/>
              </w:rPr>
              <w:t>1#白卡纸生产线</w:t>
            </w:r>
          </w:p>
        </w:tc>
        <w:tc>
          <w:tcPr>
            <w:tcW w:w="2694" w:type="dxa"/>
            <w:vAlign w:val="center"/>
          </w:tcPr>
          <w:p w14:paraId="55E90F31">
            <w:pPr>
              <w:pStyle w:val="33"/>
              <w:rPr>
                <w:color w:val="auto"/>
              </w:rPr>
            </w:pPr>
            <w:r>
              <w:rPr>
                <w:color w:val="auto"/>
              </w:rPr>
              <w:t>WIS纸病检测系统升级</w:t>
            </w:r>
          </w:p>
        </w:tc>
        <w:tc>
          <w:tcPr>
            <w:tcW w:w="3590" w:type="dxa"/>
            <w:vAlign w:val="center"/>
          </w:tcPr>
          <w:p w14:paraId="68F89D98">
            <w:pPr>
              <w:pStyle w:val="33"/>
              <w:rPr>
                <w:color w:val="auto"/>
              </w:rPr>
            </w:pPr>
            <w:r>
              <w:rPr>
                <w:color w:val="auto"/>
              </w:rPr>
              <w:t>增加1套WIS纸病检测系统</w:t>
            </w:r>
          </w:p>
        </w:tc>
      </w:tr>
      <w:tr w14:paraId="7975C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F1C03EA">
            <w:pPr>
              <w:pStyle w:val="33"/>
              <w:rPr>
                <w:color w:val="auto"/>
              </w:rPr>
            </w:pPr>
            <w:r>
              <w:rPr>
                <w:color w:val="auto"/>
              </w:rPr>
              <w:t>13</w:t>
            </w:r>
          </w:p>
        </w:tc>
        <w:tc>
          <w:tcPr>
            <w:tcW w:w="1720" w:type="dxa"/>
            <w:vAlign w:val="center"/>
          </w:tcPr>
          <w:p w14:paraId="50CF1FBE">
            <w:pPr>
              <w:pStyle w:val="33"/>
              <w:rPr>
                <w:color w:val="auto"/>
              </w:rPr>
            </w:pPr>
            <w:r>
              <w:rPr>
                <w:color w:val="auto"/>
              </w:rPr>
              <w:t>1#白卡纸生产线</w:t>
            </w:r>
          </w:p>
        </w:tc>
        <w:tc>
          <w:tcPr>
            <w:tcW w:w="2694" w:type="dxa"/>
            <w:vAlign w:val="center"/>
          </w:tcPr>
          <w:p w14:paraId="35019FE7">
            <w:pPr>
              <w:pStyle w:val="33"/>
              <w:rPr>
                <w:color w:val="auto"/>
              </w:rPr>
            </w:pPr>
            <w:r>
              <w:rPr>
                <w:color w:val="auto"/>
              </w:rPr>
              <w:t>涂布1新增E-COS过滤器</w:t>
            </w:r>
          </w:p>
        </w:tc>
        <w:tc>
          <w:tcPr>
            <w:tcW w:w="3590" w:type="dxa"/>
            <w:vAlign w:val="center"/>
          </w:tcPr>
          <w:p w14:paraId="1A603FA1">
            <w:pPr>
              <w:pStyle w:val="33"/>
              <w:rPr>
                <w:color w:val="auto"/>
              </w:rPr>
            </w:pPr>
            <w:r>
              <w:rPr>
                <w:color w:val="auto"/>
              </w:rPr>
              <w:t>增加3套过滤器，ECO-S Ø160x700</w:t>
            </w:r>
          </w:p>
        </w:tc>
      </w:tr>
      <w:tr w14:paraId="549DC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762CC17">
            <w:pPr>
              <w:pStyle w:val="33"/>
              <w:rPr>
                <w:color w:val="auto"/>
              </w:rPr>
            </w:pPr>
            <w:r>
              <w:rPr>
                <w:color w:val="auto"/>
              </w:rPr>
              <w:t>14</w:t>
            </w:r>
          </w:p>
        </w:tc>
        <w:tc>
          <w:tcPr>
            <w:tcW w:w="1720" w:type="dxa"/>
            <w:vAlign w:val="center"/>
          </w:tcPr>
          <w:p w14:paraId="643C4EB8">
            <w:pPr>
              <w:pStyle w:val="33"/>
              <w:rPr>
                <w:color w:val="auto"/>
              </w:rPr>
            </w:pPr>
            <w:r>
              <w:rPr>
                <w:color w:val="auto"/>
              </w:rPr>
              <w:t>1#白卡纸生产线</w:t>
            </w:r>
          </w:p>
        </w:tc>
        <w:tc>
          <w:tcPr>
            <w:tcW w:w="2694" w:type="dxa"/>
            <w:vAlign w:val="center"/>
          </w:tcPr>
          <w:p w14:paraId="78A4C3CE">
            <w:pPr>
              <w:pStyle w:val="33"/>
              <w:rPr>
                <w:color w:val="auto"/>
              </w:rPr>
            </w:pPr>
            <w:r>
              <w:rPr>
                <w:color w:val="auto"/>
              </w:rPr>
              <w:t>施胶工作站上、下辊回料各增加2台振动筛</w:t>
            </w:r>
          </w:p>
        </w:tc>
        <w:tc>
          <w:tcPr>
            <w:tcW w:w="3590" w:type="dxa"/>
            <w:vAlign w:val="center"/>
          </w:tcPr>
          <w:p w14:paraId="63F8A34E">
            <w:pPr>
              <w:pStyle w:val="33"/>
              <w:rPr>
                <w:color w:val="auto"/>
              </w:rPr>
            </w:pPr>
            <w:r>
              <w:rPr>
                <w:color w:val="auto"/>
              </w:rPr>
              <w:t>增加4台振动筛，LLT612-4</w:t>
            </w:r>
          </w:p>
        </w:tc>
      </w:tr>
      <w:tr w14:paraId="24598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53653EE">
            <w:pPr>
              <w:pStyle w:val="33"/>
              <w:rPr>
                <w:color w:val="auto"/>
              </w:rPr>
            </w:pPr>
            <w:r>
              <w:rPr>
                <w:color w:val="auto"/>
              </w:rPr>
              <w:t>15</w:t>
            </w:r>
          </w:p>
        </w:tc>
        <w:tc>
          <w:tcPr>
            <w:tcW w:w="1720" w:type="dxa"/>
            <w:vAlign w:val="center"/>
          </w:tcPr>
          <w:p w14:paraId="503EB0FE">
            <w:pPr>
              <w:pStyle w:val="33"/>
              <w:rPr>
                <w:color w:val="auto"/>
              </w:rPr>
            </w:pPr>
            <w:r>
              <w:rPr>
                <w:color w:val="auto"/>
              </w:rPr>
              <w:t>1#白卡纸生产线</w:t>
            </w:r>
          </w:p>
        </w:tc>
        <w:tc>
          <w:tcPr>
            <w:tcW w:w="2694" w:type="dxa"/>
            <w:vAlign w:val="center"/>
          </w:tcPr>
          <w:p w14:paraId="1018F0D2">
            <w:pPr>
              <w:pStyle w:val="33"/>
              <w:rPr>
                <w:color w:val="auto"/>
              </w:rPr>
            </w:pPr>
            <w:r>
              <w:rPr>
                <w:color w:val="auto"/>
              </w:rPr>
              <w:t>卷取社会卡喷水封边改造</w:t>
            </w:r>
          </w:p>
        </w:tc>
        <w:tc>
          <w:tcPr>
            <w:tcW w:w="3590" w:type="dxa"/>
            <w:vAlign w:val="center"/>
          </w:tcPr>
          <w:p w14:paraId="27DB5506">
            <w:pPr>
              <w:pStyle w:val="33"/>
              <w:rPr>
                <w:color w:val="auto"/>
              </w:rPr>
            </w:pPr>
            <w:r>
              <w:rPr>
                <w:color w:val="auto"/>
              </w:rPr>
              <w:t>增加1套设备</w:t>
            </w:r>
          </w:p>
        </w:tc>
      </w:tr>
      <w:tr w14:paraId="6256B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1A4A139B">
            <w:pPr>
              <w:pStyle w:val="33"/>
              <w:rPr>
                <w:color w:val="auto"/>
              </w:rPr>
            </w:pPr>
            <w:r>
              <w:rPr>
                <w:color w:val="auto"/>
              </w:rPr>
              <w:t>16</w:t>
            </w:r>
          </w:p>
        </w:tc>
        <w:tc>
          <w:tcPr>
            <w:tcW w:w="1720" w:type="dxa"/>
            <w:vAlign w:val="center"/>
          </w:tcPr>
          <w:p w14:paraId="26DEF42E">
            <w:pPr>
              <w:pStyle w:val="33"/>
              <w:rPr>
                <w:color w:val="auto"/>
              </w:rPr>
            </w:pPr>
            <w:r>
              <w:rPr>
                <w:color w:val="auto"/>
              </w:rPr>
              <w:t>1#白卡纸生产线</w:t>
            </w:r>
          </w:p>
        </w:tc>
        <w:tc>
          <w:tcPr>
            <w:tcW w:w="2694" w:type="dxa"/>
            <w:vAlign w:val="center"/>
          </w:tcPr>
          <w:p w14:paraId="524A5E81">
            <w:pPr>
              <w:pStyle w:val="33"/>
              <w:rPr>
                <w:color w:val="auto"/>
              </w:rPr>
            </w:pPr>
            <w:r>
              <w:rPr>
                <w:color w:val="auto"/>
              </w:rPr>
              <w:t>表胶上下辊分开供料</w:t>
            </w:r>
          </w:p>
        </w:tc>
        <w:tc>
          <w:tcPr>
            <w:tcW w:w="3590" w:type="dxa"/>
            <w:vAlign w:val="center"/>
          </w:tcPr>
          <w:p w14:paraId="0A1853E2">
            <w:pPr>
              <w:pStyle w:val="33"/>
              <w:rPr>
                <w:color w:val="auto"/>
              </w:rPr>
            </w:pPr>
            <w:r>
              <w:rPr>
                <w:color w:val="auto"/>
              </w:rPr>
              <w:t>增加1台泵，75TLS9-24C</w:t>
            </w:r>
          </w:p>
        </w:tc>
      </w:tr>
      <w:tr w14:paraId="14A54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2BD6568">
            <w:pPr>
              <w:pStyle w:val="33"/>
              <w:rPr>
                <w:color w:val="auto"/>
              </w:rPr>
            </w:pPr>
            <w:r>
              <w:rPr>
                <w:color w:val="auto"/>
              </w:rPr>
              <w:t>17</w:t>
            </w:r>
          </w:p>
        </w:tc>
        <w:tc>
          <w:tcPr>
            <w:tcW w:w="1720" w:type="dxa"/>
            <w:vAlign w:val="center"/>
          </w:tcPr>
          <w:p w14:paraId="26E810E3">
            <w:pPr>
              <w:pStyle w:val="33"/>
              <w:rPr>
                <w:color w:val="auto"/>
              </w:rPr>
            </w:pPr>
            <w:r>
              <w:rPr>
                <w:color w:val="auto"/>
              </w:rPr>
              <w:t>1#白卡纸生产线</w:t>
            </w:r>
          </w:p>
        </w:tc>
        <w:tc>
          <w:tcPr>
            <w:tcW w:w="2694" w:type="dxa"/>
            <w:vAlign w:val="center"/>
          </w:tcPr>
          <w:p w14:paraId="2FDCA098">
            <w:pPr>
              <w:pStyle w:val="33"/>
              <w:rPr>
                <w:color w:val="auto"/>
              </w:rPr>
            </w:pPr>
            <w:r>
              <w:rPr>
                <w:color w:val="auto"/>
              </w:rPr>
              <w:t>网部真空复合辊辊内增加双向喷淋及高压清洗水管喷淋改造</w:t>
            </w:r>
          </w:p>
        </w:tc>
        <w:tc>
          <w:tcPr>
            <w:tcW w:w="3590" w:type="dxa"/>
            <w:vAlign w:val="center"/>
          </w:tcPr>
          <w:p w14:paraId="3E09AFAD">
            <w:pPr>
              <w:pStyle w:val="33"/>
              <w:rPr>
                <w:color w:val="auto"/>
              </w:rPr>
            </w:pPr>
            <w:r>
              <w:rPr>
                <w:color w:val="auto"/>
              </w:rPr>
              <w:t>增加784套喷嘴，RTDZ12111024</w:t>
            </w:r>
          </w:p>
        </w:tc>
      </w:tr>
      <w:tr w14:paraId="5D9FF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4663E05">
            <w:pPr>
              <w:pStyle w:val="33"/>
              <w:rPr>
                <w:color w:val="auto"/>
              </w:rPr>
            </w:pPr>
            <w:r>
              <w:rPr>
                <w:color w:val="auto"/>
              </w:rPr>
              <w:t>18</w:t>
            </w:r>
          </w:p>
        </w:tc>
        <w:tc>
          <w:tcPr>
            <w:tcW w:w="1720" w:type="dxa"/>
            <w:vAlign w:val="center"/>
          </w:tcPr>
          <w:p w14:paraId="016609DB">
            <w:pPr>
              <w:pStyle w:val="33"/>
              <w:rPr>
                <w:color w:val="auto"/>
              </w:rPr>
            </w:pPr>
            <w:r>
              <w:rPr>
                <w:color w:val="auto"/>
              </w:rPr>
              <w:t>1#白卡纸生产线</w:t>
            </w:r>
          </w:p>
        </w:tc>
        <w:tc>
          <w:tcPr>
            <w:tcW w:w="2694" w:type="dxa"/>
            <w:vAlign w:val="center"/>
          </w:tcPr>
          <w:p w14:paraId="4294C756">
            <w:pPr>
              <w:pStyle w:val="33"/>
              <w:rPr>
                <w:color w:val="auto"/>
              </w:rPr>
            </w:pPr>
            <w:r>
              <w:rPr>
                <w:color w:val="auto"/>
              </w:rPr>
              <w:t>卷取新增换卷吹气系统</w:t>
            </w:r>
          </w:p>
        </w:tc>
        <w:tc>
          <w:tcPr>
            <w:tcW w:w="3590" w:type="dxa"/>
            <w:vAlign w:val="center"/>
          </w:tcPr>
          <w:p w14:paraId="60B01199">
            <w:pPr>
              <w:pStyle w:val="33"/>
              <w:rPr>
                <w:color w:val="auto"/>
              </w:rPr>
            </w:pPr>
            <w:r>
              <w:rPr>
                <w:color w:val="auto"/>
              </w:rPr>
              <w:t>增加1套设备</w:t>
            </w:r>
          </w:p>
        </w:tc>
      </w:tr>
      <w:tr w14:paraId="66EA1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D53BAB0">
            <w:pPr>
              <w:pStyle w:val="33"/>
              <w:rPr>
                <w:color w:val="auto"/>
              </w:rPr>
            </w:pPr>
            <w:r>
              <w:rPr>
                <w:color w:val="auto"/>
              </w:rPr>
              <w:t>19</w:t>
            </w:r>
          </w:p>
        </w:tc>
        <w:tc>
          <w:tcPr>
            <w:tcW w:w="1720" w:type="dxa"/>
            <w:vAlign w:val="center"/>
          </w:tcPr>
          <w:p w14:paraId="702DDF08">
            <w:pPr>
              <w:pStyle w:val="33"/>
              <w:rPr>
                <w:color w:val="auto"/>
              </w:rPr>
            </w:pPr>
            <w:r>
              <w:rPr>
                <w:color w:val="auto"/>
              </w:rPr>
              <w:t>1#白卡纸生产线</w:t>
            </w:r>
          </w:p>
        </w:tc>
        <w:tc>
          <w:tcPr>
            <w:tcW w:w="2694" w:type="dxa"/>
            <w:vAlign w:val="center"/>
          </w:tcPr>
          <w:p w14:paraId="2AD221BB">
            <w:pPr>
              <w:pStyle w:val="33"/>
              <w:rPr>
                <w:color w:val="auto"/>
              </w:rPr>
            </w:pPr>
            <w:r>
              <w:rPr>
                <w:color w:val="auto"/>
              </w:rPr>
              <w:t>卷取换卷喷胶系统及水针系统技改升级</w:t>
            </w:r>
          </w:p>
        </w:tc>
        <w:tc>
          <w:tcPr>
            <w:tcW w:w="3590" w:type="dxa"/>
            <w:vAlign w:val="center"/>
          </w:tcPr>
          <w:p w14:paraId="5A64C518">
            <w:pPr>
              <w:pStyle w:val="33"/>
              <w:rPr>
                <w:color w:val="auto"/>
              </w:rPr>
            </w:pPr>
            <w:r>
              <w:rPr>
                <w:color w:val="auto"/>
              </w:rPr>
              <w:t>增加1套设备</w:t>
            </w:r>
          </w:p>
        </w:tc>
      </w:tr>
      <w:tr w14:paraId="004E4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CD35CE3">
            <w:pPr>
              <w:pStyle w:val="33"/>
              <w:rPr>
                <w:color w:val="auto"/>
              </w:rPr>
            </w:pPr>
            <w:r>
              <w:rPr>
                <w:color w:val="auto"/>
              </w:rPr>
              <w:t>20</w:t>
            </w:r>
          </w:p>
        </w:tc>
        <w:tc>
          <w:tcPr>
            <w:tcW w:w="1720" w:type="dxa"/>
            <w:vAlign w:val="center"/>
          </w:tcPr>
          <w:p w14:paraId="139F3B65">
            <w:pPr>
              <w:pStyle w:val="33"/>
              <w:rPr>
                <w:color w:val="auto"/>
              </w:rPr>
            </w:pPr>
            <w:r>
              <w:rPr>
                <w:color w:val="auto"/>
              </w:rPr>
              <w:t>1#白卡纸生产线</w:t>
            </w:r>
          </w:p>
        </w:tc>
        <w:tc>
          <w:tcPr>
            <w:tcW w:w="2694" w:type="dxa"/>
            <w:vAlign w:val="center"/>
          </w:tcPr>
          <w:p w14:paraId="5EB65DBE">
            <w:pPr>
              <w:pStyle w:val="33"/>
              <w:rPr>
                <w:color w:val="auto"/>
              </w:rPr>
            </w:pPr>
            <w:r>
              <w:rPr>
                <w:color w:val="auto"/>
              </w:rPr>
              <w:t>涂1-4食品卡旁通回路技改</w:t>
            </w:r>
          </w:p>
        </w:tc>
        <w:tc>
          <w:tcPr>
            <w:tcW w:w="3590" w:type="dxa"/>
            <w:vAlign w:val="center"/>
          </w:tcPr>
          <w:p w14:paraId="153729E1">
            <w:pPr>
              <w:pStyle w:val="33"/>
              <w:rPr>
                <w:color w:val="auto"/>
              </w:rPr>
            </w:pPr>
            <w:r>
              <w:rPr>
                <w:color w:val="auto"/>
              </w:rPr>
              <w:t>增加5台变频器ABB ACS880、5台电机22KW、6根导辊</w:t>
            </w:r>
          </w:p>
        </w:tc>
      </w:tr>
      <w:tr w14:paraId="37A11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5FDEFF2">
            <w:pPr>
              <w:pStyle w:val="33"/>
              <w:rPr>
                <w:color w:val="auto"/>
              </w:rPr>
            </w:pPr>
            <w:r>
              <w:rPr>
                <w:color w:val="auto"/>
              </w:rPr>
              <w:t>21</w:t>
            </w:r>
          </w:p>
        </w:tc>
        <w:tc>
          <w:tcPr>
            <w:tcW w:w="1720" w:type="dxa"/>
            <w:vAlign w:val="center"/>
          </w:tcPr>
          <w:p w14:paraId="09EB04D7">
            <w:pPr>
              <w:pStyle w:val="33"/>
              <w:rPr>
                <w:color w:val="auto"/>
              </w:rPr>
            </w:pPr>
            <w:r>
              <w:rPr>
                <w:color w:val="auto"/>
              </w:rPr>
              <w:t>1#白卡纸生产线</w:t>
            </w:r>
          </w:p>
        </w:tc>
        <w:tc>
          <w:tcPr>
            <w:tcW w:w="2694" w:type="dxa"/>
            <w:vAlign w:val="center"/>
          </w:tcPr>
          <w:p w14:paraId="18255984">
            <w:pPr>
              <w:pStyle w:val="33"/>
              <w:rPr>
                <w:color w:val="auto"/>
              </w:rPr>
            </w:pPr>
            <w:r>
              <w:rPr>
                <w:color w:val="auto"/>
              </w:rPr>
              <w:t>涂1-4喷嘴梁角度调节机构偏心轮技改</w:t>
            </w:r>
          </w:p>
        </w:tc>
        <w:tc>
          <w:tcPr>
            <w:tcW w:w="3590" w:type="dxa"/>
            <w:vAlign w:val="center"/>
          </w:tcPr>
          <w:p w14:paraId="6BE7D346">
            <w:pPr>
              <w:pStyle w:val="33"/>
              <w:rPr>
                <w:color w:val="auto"/>
              </w:rPr>
            </w:pPr>
            <w:r>
              <w:rPr>
                <w:color w:val="auto"/>
              </w:rPr>
              <w:t>增加1套设备</w:t>
            </w:r>
          </w:p>
        </w:tc>
      </w:tr>
      <w:tr w14:paraId="450D2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A3E2116">
            <w:pPr>
              <w:pStyle w:val="33"/>
              <w:rPr>
                <w:color w:val="auto"/>
              </w:rPr>
            </w:pPr>
            <w:r>
              <w:rPr>
                <w:color w:val="auto"/>
              </w:rPr>
              <w:t>22</w:t>
            </w:r>
          </w:p>
        </w:tc>
        <w:tc>
          <w:tcPr>
            <w:tcW w:w="1720" w:type="dxa"/>
            <w:vAlign w:val="center"/>
          </w:tcPr>
          <w:p w14:paraId="7C882573">
            <w:pPr>
              <w:pStyle w:val="33"/>
              <w:rPr>
                <w:color w:val="auto"/>
              </w:rPr>
            </w:pPr>
            <w:r>
              <w:rPr>
                <w:color w:val="auto"/>
              </w:rPr>
              <w:t>1#白卡纸生产线</w:t>
            </w:r>
          </w:p>
        </w:tc>
        <w:tc>
          <w:tcPr>
            <w:tcW w:w="2694" w:type="dxa"/>
            <w:vAlign w:val="center"/>
          </w:tcPr>
          <w:p w14:paraId="0E11B287">
            <w:pPr>
              <w:pStyle w:val="33"/>
              <w:rPr>
                <w:color w:val="auto"/>
              </w:rPr>
            </w:pPr>
            <w:r>
              <w:rPr>
                <w:color w:val="auto"/>
              </w:rPr>
              <w:t>涂4工作站桶槽增加搅拌器</w:t>
            </w:r>
          </w:p>
        </w:tc>
        <w:tc>
          <w:tcPr>
            <w:tcW w:w="3590" w:type="dxa"/>
            <w:vAlign w:val="center"/>
          </w:tcPr>
          <w:p w14:paraId="57FAA15C">
            <w:pPr>
              <w:pStyle w:val="33"/>
              <w:rPr>
                <w:color w:val="auto"/>
              </w:rPr>
            </w:pPr>
            <w:r>
              <w:rPr>
                <w:color w:val="auto"/>
              </w:rPr>
              <w:t>增加1套搅拌设备</w:t>
            </w:r>
          </w:p>
        </w:tc>
      </w:tr>
      <w:tr w14:paraId="53E18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4E04D66">
            <w:pPr>
              <w:pStyle w:val="33"/>
              <w:rPr>
                <w:color w:val="auto"/>
              </w:rPr>
            </w:pPr>
            <w:r>
              <w:rPr>
                <w:color w:val="auto"/>
              </w:rPr>
              <w:t>23</w:t>
            </w:r>
          </w:p>
        </w:tc>
        <w:tc>
          <w:tcPr>
            <w:tcW w:w="1720" w:type="dxa"/>
            <w:vAlign w:val="center"/>
          </w:tcPr>
          <w:p w14:paraId="4C061620">
            <w:pPr>
              <w:pStyle w:val="33"/>
              <w:rPr>
                <w:color w:val="auto"/>
              </w:rPr>
            </w:pPr>
            <w:r>
              <w:rPr>
                <w:color w:val="auto"/>
              </w:rPr>
              <w:t>1#白卡纸生产线</w:t>
            </w:r>
          </w:p>
        </w:tc>
        <w:tc>
          <w:tcPr>
            <w:tcW w:w="2694" w:type="dxa"/>
            <w:vAlign w:val="center"/>
          </w:tcPr>
          <w:p w14:paraId="208B9BD3">
            <w:pPr>
              <w:pStyle w:val="33"/>
              <w:rPr>
                <w:color w:val="auto"/>
              </w:rPr>
            </w:pPr>
            <w:r>
              <w:rPr>
                <w:color w:val="auto"/>
              </w:rPr>
              <w:t>涂布头涂布刮刀边喷8℃冷冻水代替温水技改</w:t>
            </w:r>
          </w:p>
        </w:tc>
        <w:tc>
          <w:tcPr>
            <w:tcW w:w="3590" w:type="dxa"/>
            <w:vAlign w:val="center"/>
          </w:tcPr>
          <w:p w14:paraId="26E5AB18">
            <w:pPr>
              <w:pStyle w:val="33"/>
              <w:rPr>
                <w:color w:val="auto"/>
              </w:rPr>
            </w:pPr>
            <w:r>
              <w:rPr>
                <w:color w:val="auto"/>
              </w:rPr>
              <w:t>增加1套设备</w:t>
            </w:r>
          </w:p>
        </w:tc>
      </w:tr>
      <w:tr w14:paraId="7F176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0F49703F">
            <w:pPr>
              <w:pStyle w:val="33"/>
              <w:rPr>
                <w:color w:val="auto"/>
              </w:rPr>
            </w:pPr>
            <w:r>
              <w:rPr>
                <w:color w:val="auto"/>
              </w:rPr>
              <w:t>24</w:t>
            </w:r>
          </w:p>
        </w:tc>
        <w:tc>
          <w:tcPr>
            <w:tcW w:w="1720" w:type="dxa"/>
            <w:vAlign w:val="center"/>
          </w:tcPr>
          <w:p w14:paraId="0F63D437">
            <w:pPr>
              <w:pStyle w:val="33"/>
              <w:rPr>
                <w:color w:val="auto"/>
              </w:rPr>
            </w:pPr>
            <w:r>
              <w:rPr>
                <w:color w:val="auto"/>
              </w:rPr>
              <w:t>1#白卡纸生产线</w:t>
            </w:r>
          </w:p>
        </w:tc>
        <w:tc>
          <w:tcPr>
            <w:tcW w:w="2694" w:type="dxa"/>
            <w:vAlign w:val="center"/>
          </w:tcPr>
          <w:p w14:paraId="03D105B8">
            <w:pPr>
              <w:pStyle w:val="33"/>
              <w:rPr>
                <w:color w:val="auto"/>
              </w:rPr>
            </w:pPr>
            <w:r>
              <w:rPr>
                <w:color w:val="auto"/>
              </w:rPr>
              <w:t>1-18#缸的双向稳定器改为proreaLeas双向稳定器</w:t>
            </w:r>
          </w:p>
        </w:tc>
        <w:tc>
          <w:tcPr>
            <w:tcW w:w="3590" w:type="dxa"/>
            <w:vAlign w:val="center"/>
          </w:tcPr>
          <w:p w14:paraId="04D51F1E">
            <w:pPr>
              <w:pStyle w:val="33"/>
              <w:rPr>
                <w:color w:val="auto"/>
              </w:rPr>
            </w:pPr>
            <w:r>
              <w:rPr>
                <w:color w:val="auto"/>
              </w:rPr>
              <w:t>增加1套设备</w:t>
            </w:r>
          </w:p>
        </w:tc>
      </w:tr>
      <w:tr w14:paraId="40E94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0246AE3">
            <w:pPr>
              <w:pStyle w:val="33"/>
              <w:rPr>
                <w:color w:val="auto"/>
              </w:rPr>
            </w:pPr>
            <w:r>
              <w:rPr>
                <w:color w:val="auto"/>
              </w:rPr>
              <w:t>25</w:t>
            </w:r>
          </w:p>
        </w:tc>
        <w:tc>
          <w:tcPr>
            <w:tcW w:w="1720" w:type="dxa"/>
            <w:vAlign w:val="center"/>
          </w:tcPr>
          <w:p w14:paraId="5025555D">
            <w:pPr>
              <w:pStyle w:val="33"/>
              <w:rPr>
                <w:color w:val="auto"/>
              </w:rPr>
            </w:pPr>
            <w:r>
              <w:rPr>
                <w:color w:val="auto"/>
              </w:rPr>
              <w:t>1#白卡纸生产线</w:t>
            </w:r>
          </w:p>
        </w:tc>
        <w:tc>
          <w:tcPr>
            <w:tcW w:w="2694" w:type="dxa"/>
            <w:vAlign w:val="center"/>
          </w:tcPr>
          <w:p w14:paraId="4348B4E4">
            <w:pPr>
              <w:pStyle w:val="33"/>
              <w:rPr>
                <w:color w:val="auto"/>
              </w:rPr>
            </w:pPr>
            <w:r>
              <w:rPr>
                <w:color w:val="auto"/>
              </w:rPr>
              <w:t>引纸水针系统技改</w:t>
            </w:r>
          </w:p>
        </w:tc>
        <w:tc>
          <w:tcPr>
            <w:tcW w:w="3590" w:type="dxa"/>
            <w:vAlign w:val="center"/>
          </w:tcPr>
          <w:p w14:paraId="57505C14">
            <w:pPr>
              <w:pStyle w:val="33"/>
              <w:rPr>
                <w:color w:val="auto"/>
              </w:rPr>
            </w:pPr>
            <w:r>
              <w:rPr>
                <w:color w:val="auto"/>
              </w:rPr>
              <w:t>增加1套设备</w:t>
            </w:r>
          </w:p>
        </w:tc>
      </w:tr>
      <w:tr w14:paraId="66F3F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19C7C81">
            <w:pPr>
              <w:pStyle w:val="33"/>
              <w:rPr>
                <w:color w:val="auto"/>
              </w:rPr>
            </w:pPr>
            <w:r>
              <w:rPr>
                <w:color w:val="auto"/>
              </w:rPr>
              <w:t>26</w:t>
            </w:r>
          </w:p>
        </w:tc>
        <w:tc>
          <w:tcPr>
            <w:tcW w:w="1720" w:type="dxa"/>
            <w:vAlign w:val="center"/>
          </w:tcPr>
          <w:p w14:paraId="7B613CDF">
            <w:pPr>
              <w:pStyle w:val="33"/>
              <w:rPr>
                <w:color w:val="auto"/>
              </w:rPr>
            </w:pPr>
            <w:r>
              <w:rPr>
                <w:color w:val="auto"/>
              </w:rPr>
              <w:t>1#白卡纸生产线</w:t>
            </w:r>
          </w:p>
        </w:tc>
        <w:tc>
          <w:tcPr>
            <w:tcW w:w="2694" w:type="dxa"/>
            <w:vAlign w:val="center"/>
          </w:tcPr>
          <w:p w14:paraId="5C693950">
            <w:pPr>
              <w:pStyle w:val="33"/>
              <w:rPr>
                <w:color w:val="auto"/>
              </w:rPr>
            </w:pPr>
            <w:r>
              <w:rPr>
                <w:color w:val="auto"/>
              </w:rPr>
              <w:t>卷取水针系统技改</w:t>
            </w:r>
          </w:p>
        </w:tc>
        <w:tc>
          <w:tcPr>
            <w:tcW w:w="3590" w:type="dxa"/>
            <w:vAlign w:val="center"/>
          </w:tcPr>
          <w:p w14:paraId="4BC8871B">
            <w:pPr>
              <w:pStyle w:val="33"/>
              <w:rPr>
                <w:color w:val="auto"/>
              </w:rPr>
            </w:pPr>
            <w:r>
              <w:rPr>
                <w:color w:val="auto"/>
              </w:rPr>
              <w:t>增加1套储能器PN.ACL-30CA-HF6-0.3</w:t>
            </w:r>
          </w:p>
        </w:tc>
      </w:tr>
      <w:tr w14:paraId="01E75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852773E">
            <w:pPr>
              <w:pStyle w:val="33"/>
              <w:rPr>
                <w:color w:val="auto"/>
              </w:rPr>
            </w:pPr>
            <w:r>
              <w:rPr>
                <w:color w:val="auto"/>
              </w:rPr>
              <w:t>27</w:t>
            </w:r>
          </w:p>
        </w:tc>
        <w:tc>
          <w:tcPr>
            <w:tcW w:w="1720" w:type="dxa"/>
            <w:vAlign w:val="center"/>
          </w:tcPr>
          <w:p w14:paraId="4EB56222">
            <w:pPr>
              <w:pStyle w:val="33"/>
              <w:rPr>
                <w:color w:val="auto"/>
              </w:rPr>
            </w:pPr>
            <w:r>
              <w:rPr>
                <w:color w:val="auto"/>
              </w:rPr>
              <w:t>1#白卡纸生产线</w:t>
            </w:r>
          </w:p>
        </w:tc>
        <w:tc>
          <w:tcPr>
            <w:tcW w:w="2694" w:type="dxa"/>
            <w:vAlign w:val="center"/>
          </w:tcPr>
          <w:p w14:paraId="1F829FAD">
            <w:pPr>
              <w:pStyle w:val="33"/>
              <w:rPr>
                <w:color w:val="auto"/>
              </w:rPr>
            </w:pPr>
            <w:r>
              <w:rPr>
                <w:color w:val="auto"/>
              </w:rPr>
              <w:t>前干刮刀升级改造</w:t>
            </w:r>
          </w:p>
        </w:tc>
        <w:tc>
          <w:tcPr>
            <w:tcW w:w="3590" w:type="dxa"/>
            <w:vAlign w:val="center"/>
          </w:tcPr>
          <w:p w14:paraId="713463D8">
            <w:pPr>
              <w:pStyle w:val="33"/>
              <w:rPr>
                <w:color w:val="auto"/>
              </w:rPr>
            </w:pPr>
            <w:r>
              <w:rPr>
                <w:color w:val="auto"/>
              </w:rPr>
              <w:t>增加15套刮刀</w:t>
            </w:r>
          </w:p>
        </w:tc>
      </w:tr>
      <w:tr w14:paraId="2B664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324B55A">
            <w:pPr>
              <w:pStyle w:val="33"/>
              <w:rPr>
                <w:color w:val="auto"/>
              </w:rPr>
            </w:pPr>
            <w:r>
              <w:rPr>
                <w:color w:val="auto"/>
              </w:rPr>
              <w:t>28</w:t>
            </w:r>
          </w:p>
        </w:tc>
        <w:tc>
          <w:tcPr>
            <w:tcW w:w="1720" w:type="dxa"/>
            <w:vAlign w:val="center"/>
          </w:tcPr>
          <w:p w14:paraId="524E1583">
            <w:pPr>
              <w:pStyle w:val="33"/>
              <w:rPr>
                <w:color w:val="auto"/>
              </w:rPr>
            </w:pPr>
            <w:r>
              <w:rPr>
                <w:color w:val="auto"/>
              </w:rPr>
              <w:t>1#白卡纸生产线</w:t>
            </w:r>
          </w:p>
        </w:tc>
        <w:tc>
          <w:tcPr>
            <w:tcW w:w="2694" w:type="dxa"/>
            <w:vAlign w:val="center"/>
          </w:tcPr>
          <w:p w14:paraId="189C2EF0">
            <w:pPr>
              <w:pStyle w:val="33"/>
              <w:rPr>
                <w:color w:val="auto"/>
              </w:rPr>
            </w:pPr>
            <w:r>
              <w:rPr>
                <w:color w:val="auto"/>
              </w:rPr>
              <w:t>CCK配方站系统升级</w:t>
            </w:r>
          </w:p>
        </w:tc>
        <w:tc>
          <w:tcPr>
            <w:tcW w:w="3590" w:type="dxa"/>
            <w:vAlign w:val="center"/>
          </w:tcPr>
          <w:p w14:paraId="3AC179B1">
            <w:pPr>
              <w:pStyle w:val="33"/>
              <w:rPr>
                <w:color w:val="auto"/>
              </w:rPr>
            </w:pPr>
            <w:r>
              <w:rPr>
                <w:color w:val="auto"/>
              </w:rPr>
              <w:t>增加1套设备</w:t>
            </w:r>
          </w:p>
        </w:tc>
      </w:tr>
      <w:tr w14:paraId="4CA45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0CBB1BD6">
            <w:pPr>
              <w:pStyle w:val="33"/>
              <w:rPr>
                <w:color w:val="auto"/>
              </w:rPr>
            </w:pPr>
            <w:r>
              <w:rPr>
                <w:color w:val="auto"/>
              </w:rPr>
              <w:t>29</w:t>
            </w:r>
          </w:p>
        </w:tc>
        <w:tc>
          <w:tcPr>
            <w:tcW w:w="1720" w:type="dxa"/>
            <w:vAlign w:val="center"/>
          </w:tcPr>
          <w:p w14:paraId="012792A6">
            <w:pPr>
              <w:pStyle w:val="33"/>
              <w:rPr>
                <w:color w:val="auto"/>
              </w:rPr>
            </w:pPr>
            <w:r>
              <w:rPr>
                <w:color w:val="auto"/>
              </w:rPr>
              <w:t>1#白卡纸生产线</w:t>
            </w:r>
          </w:p>
        </w:tc>
        <w:tc>
          <w:tcPr>
            <w:tcW w:w="2694" w:type="dxa"/>
            <w:vAlign w:val="center"/>
          </w:tcPr>
          <w:p w14:paraId="66319CBB">
            <w:pPr>
              <w:pStyle w:val="33"/>
              <w:rPr>
                <w:color w:val="auto"/>
              </w:rPr>
            </w:pPr>
            <w:r>
              <w:rPr>
                <w:color w:val="auto"/>
              </w:rPr>
              <w:t>涂布一、二、四旁通技改</w:t>
            </w:r>
          </w:p>
        </w:tc>
        <w:tc>
          <w:tcPr>
            <w:tcW w:w="3590" w:type="dxa"/>
            <w:vAlign w:val="center"/>
          </w:tcPr>
          <w:p w14:paraId="18569524">
            <w:pPr>
              <w:pStyle w:val="33"/>
              <w:rPr>
                <w:color w:val="auto"/>
              </w:rPr>
            </w:pPr>
            <w:r>
              <w:rPr>
                <w:color w:val="auto"/>
              </w:rPr>
              <w:t>增加6根导辊</w:t>
            </w:r>
          </w:p>
        </w:tc>
      </w:tr>
      <w:tr w14:paraId="21F83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57CCF9E1">
            <w:pPr>
              <w:pStyle w:val="33"/>
              <w:rPr>
                <w:color w:val="auto"/>
              </w:rPr>
            </w:pPr>
            <w:r>
              <w:rPr>
                <w:color w:val="auto"/>
              </w:rPr>
              <w:t>30</w:t>
            </w:r>
          </w:p>
        </w:tc>
        <w:tc>
          <w:tcPr>
            <w:tcW w:w="1720" w:type="dxa"/>
            <w:vAlign w:val="center"/>
          </w:tcPr>
          <w:p w14:paraId="6D9B1915">
            <w:pPr>
              <w:pStyle w:val="33"/>
              <w:rPr>
                <w:color w:val="auto"/>
              </w:rPr>
            </w:pPr>
            <w:r>
              <w:rPr>
                <w:color w:val="auto"/>
              </w:rPr>
              <w:t>1#白卡纸生产线</w:t>
            </w:r>
          </w:p>
        </w:tc>
        <w:tc>
          <w:tcPr>
            <w:tcW w:w="2694" w:type="dxa"/>
            <w:vAlign w:val="center"/>
          </w:tcPr>
          <w:p w14:paraId="721E2D7E">
            <w:pPr>
              <w:pStyle w:val="33"/>
              <w:rPr>
                <w:color w:val="auto"/>
              </w:rPr>
            </w:pPr>
            <w:r>
              <w:rPr>
                <w:color w:val="auto"/>
              </w:rPr>
              <w:t>水环真空泵改透平机</w:t>
            </w:r>
          </w:p>
        </w:tc>
        <w:tc>
          <w:tcPr>
            <w:tcW w:w="3590" w:type="dxa"/>
            <w:vAlign w:val="center"/>
          </w:tcPr>
          <w:p w14:paraId="0AC42626">
            <w:pPr>
              <w:pStyle w:val="33"/>
              <w:rPr>
                <w:color w:val="auto"/>
              </w:rPr>
            </w:pPr>
            <w:r>
              <w:rPr>
                <w:color w:val="auto"/>
              </w:rPr>
              <w:t>增加4台透平机</w:t>
            </w:r>
          </w:p>
        </w:tc>
      </w:tr>
      <w:tr w14:paraId="24A78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B834F6E">
            <w:pPr>
              <w:pStyle w:val="33"/>
              <w:rPr>
                <w:color w:val="auto"/>
              </w:rPr>
            </w:pPr>
            <w:r>
              <w:rPr>
                <w:color w:val="auto"/>
              </w:rPr>
              <w:t>31</w:t>
            </w:r>
          </w:p>
        </w:tc>
        <w:tc>
          <w:tcPr>
            <w:tcW w:w="1720" w:type="dxa"/>
            <w:vAlign w:val="center"/>
          </w:tcPr>
          <w:p w14:paraId="078B0402">
            <w:pPr>
              <w:pStyle w:val="33"/>
              <w:rPr>
                <w:color w:val="auto"/>
              </w:rPr>
            </w:pPr>
            <w:r>
              <w:rPr>
                <w:color w:val="auto"/>
              </w:rPr>
              <w:t>2#白卡纸生产线</w:t>
            </w:r>
          </w:p>
        </w:tc>
        <w:tc>
          <w:tcPr>
            <w:tcW w:w="2694" w:type="dxa"/>
            <w:vAlign w:val="center"/>
          </w:tcPr>
          <w:p w14:paraId="7B257A6B">
            <w:pPr>
              <w:pStyle w:val="33"/>
              <w:rPr>
                <w:color w:val="auto"/>
              </w:rPr>
            </w:pPr>
            <w:r>
              <w:rPr>
                <w:color w:val="auto"/>
              </w:rPr>
              <w:t>涂布工作站涂一螺杆泵改造</w:t>
            </w:r>
          </w:p>
        </w:tc>
        <w:tc>
          <w:tcPr>
            <w:tcW w:w="3590" w:type="dxa"/>
            <w:vAlign w:val="center"/>
          </w:tcPr>
          <w:p w14:paraId="67D655D4">
            <w:pPr>
              <w:pStyle w:val="33"/>
              <w:rPr>
                <w:color w:val="auto"/>
              </w:rPr>
            </w:pPr>
            <w:r>
              <w:rPr>
                <w:color w:val="auto"/>
              </w:rPr>
              <w:t>增加3台泵NM148-7000262</w:t>
            </w:r>
          </w:p>
        </w:tc>
      </w:tr>
      <w:tr w14:paraId="0F5A1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94E0151">
            <w:pPr>
              <w:pStyle w:val="33"/>
              <w:rPr>
                <w:color w:val="auto"/>
              </w:rPr>
            </w:pPr>
            <w:r>
              <w:rPr>
                <w:color w:val="auto"/>
              </w:rPr>
              <w:t>32</w:t>
            </w:r>
          </w:p>
        </w:tc>
        <w:tc>
          <w:tcPr>
            <w:tcW w:w="1720" w:type="dxa"/>
            <w:vAlign w:val="center"/>
          </w:tcPr>
          <w:p w14:paraId="509556AB">
            <w:pPr>
              <w:pStyle w:val="33"/>
              <w:rPr>
                <w:color w:val="auto"/>
              </w:rPr>
            </w:pPr>
            <w:r>
              <w:rPr>
                <w:color w:val="auto"/>
              </w:rPr>
              <w:t>2#白卡纸生产线</w:t>
            </w:r>
          </w:p>
        </w:tc>
        <w:tc>
          <w:tcPr>
            <w:tcW w:w="2694" w:type="dxa"/>
            <w:vAlign w:val="center"/>
          </w:tcPr>
          <w:p w14:paraId="0C2ABA96">
            <w:pPr>
              <w:pStyle w:val="33"/>
              <w:rPr>
                <w:color w:val="auto"/>
              </w:rPr>
            </w:pPr>
            <w:r>
              <w:rPr>
                <w:color w:val="auto"/>
              </w:rPr>
              <w:t>油站冷却系统升级改造</w:t>
            </w:r>
          </w:p>
        </w:tc>
        <w:tc>
          <w:tcPr>
            <w:tcW w:w="3590" w:type="dxa"/>
            <w:vAlign w:val="center"/>
          </w:tcPr>
          <w:p w14:paraId="5E44C583">
            <w:pPr>
              <w:pStyle w:val="33"/>
              <w:rPr>
                <w:color w:val="auto"/>
              </w:rPr>
            </w:pPr>
            <w:r>
              <w:rPr>
                <w:color w:val="auto"/>
              </w:rPr>
              <w:t>增加1套换热器</w:t>
            </w:r>
          </w:p>
        </w:tc>
      </w:tr>
      <w:tr w14:paraId="2C5AD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0DEBFA81">
            <w:pPr>
              <w:pStyle w:val="33"/>
              <w:rPr>
                <w:color w:val="auto"/>
              </w:rPr>
            </w:pPr>
            <w:r>
              <w:rPr>
                <w:color w:val="auto"/>
              </w:rPr>
              <w:t>33</w:t>
            </w:r>
          </w:p>
        </w:tc>
        <w:tc>
          <w:tcPr>
            <w:tcW w:w="1720" w:type="dxa"/>
            <w:vAlign w:val="center"/>
          </w:tcPr>
          <w:p w14:paraId="30F5EA73">
            <w:pPr>
              <w:pStyle w:val="33"/>
              <w:rPr>
                <w:color w:val="auto"/>
              </w:rPr>
            </w:pPr>
            <w:r>
              <w:rPr>
                <w:color w:val="auto"/>
              </w:rPr>
              <w:t>2#白卡纸生产线</w:t>
            </w:r>
          </w:p>
        </w:tc>
        <w:tc>
          <w:tcPr>
            <w:tcW w:w="2694" w:type="dxa"/>
            <w:vAlign w:val="center"/>
          </w:tcPr>
          <w:p w14:paraId="65301178">
            <w:pPr>
              <w:pStyle w:val="33"/>
              <w:rPr>
                <w:color w:val="auto"/>
              </w:rPr>
            </w:pPr>
            <w:r>
              <w:rPr>
                <w:color w:val="auto"/>
              </w:rPr>
              <w:t>尾缸刮刀升级改造</w:t>
            </w:r>
          </w:p>
        </w:tc>
        <w:tc>
          <w:tcPr>
            <w:tcW w:w="3590" w:type="dxa"/>
            <w:vAlign w:val="center"/>
          </w:tcPr>
          <w:p w14:paraId="001B24AE">
            <w:pPr>
              <w:pStyle w:val="33"/>
              <w:rPr>
                <w:color w:val="auto"/>
              </w:rPr>
            </w:pPr>
            <w:r>
              <w:rPr>
                <w:color w:val="auto"/>
              </w:rPr>
              <w:t>增加1套设备</w:t>
            </w:r>
          </w:p>
        </w:tc>
      </w:tr>
      <w:tr w14:paraId="0962A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3597110">
            <w:pPr>
              <w:pStyle w:val="33"/>
              <w:rPr>
                <w:color w:val="auto"/>
              </w:rPr>
            </w:pPr>
            <w:r>
              <w:rPr>
                <w:color w:val="auto"/>
              </w:rPr>
              <w:t>34</w:t>
            </w:r>
          </w:p>
        </w:tc>
        <w:tc>
          <w:tcPr>
            <w:tcW w:w="1720" w:type="dxa"/>
            <w:vAlign w:val="center"/>
          </w:tcPr>
          <w:p w14:paraId="09533AD2">
            <w:pPr>
              <w:pStyle w:val="33"/>
              <w:rPr>
                <w:color w:val="auto"/>
              </w:rPr>
            </w:pPr>
            <w:r>
              <w:rPr>
                <w:color w:val="auto"/>
              </w:rPr>
              <w:t>整理车间</w:t>
            </w:r>
          </w:p>
        </w:tc>
        <w:tc>
          <w:tcPr>
            <w:tcW w:w="2694" w:type="dxa"/>
            <w:vAlign w:val="center"/>
          </w:tcPr>
          <w:p w14:paraId="5904531E">
            <w:pPr>
              <w:pStyle w:val="33"/>
              <w:rPr>
                <w:color w:val="auto"/>
              </w:rPr>
            </w:pPr>
            <w:r>
              <w:rPr>
                <w:color w:val="auto"/>
              </w:rPr>
              <w:t>2#3#小复卷夹头自动化改造</w:t>
            </w:r>
          </w:p>
        </w:tc>
        <w:tc>
          <w:tcPr>
            <w:tcW w:w="3590" w:type="dxa"/>
            <w:vAlign w:val="center"/>
          </w:tcPr>
          <w:p w14:paraId="15F59505">
            <w:pPr>
              <w:pStyle w:val="33"/>
              <w:rPr>
                <w:color w:val="auto"/>
              </w:rPr>
            </w:pPr>
            <w:r>
              <w:rPr>
                <w:color w:val="auto"/>
              </w:rPr>
              <w:t>增加2套设备</w:t>
            </w:r>
          </w:p>
        </w:tc>
      </w:tr>
      <w:tr w14:paraId="4CCC3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2804DA38">
            <w:pPr>
              <w:pStyle w:val="33"/>
              <w:rPr>
                <w:color w:val="auto"/>
              </w:rPr>
            </w:pPr>
            <w:r>
              <w:rPr>
                <w:color w:val="auto"/>
              </w:rPr>
              <w:t>35</w:t>
            </w:r>
          </w:p>
        </w:tc>
        <w:tc>
          <w:tcPr>
            <w:tcW w:w="1720" w:type="dxa"/>
            <w:vAlign w:val="center"/>
          </w:tcPr>
          <w:p w14:paraId="5D345BE0">
            <w:pPr>
              <w:pStyle w:val="33"/>
              <w:rPr>
                <w:color w:val="auto"/>
              </w:rPr>
            </w:pPr>
            <w:r>
              <w:rPr>
                <w:color w:val="auto"/>
              </w:rPr>
              <w:t>整理车间</w:t>
            </w:r>
          </w:p>
        </w:tc>
        <w:tc>
          <w:tcPr>
            <w:tcW w:w="2694" w:type="dxa"/>
            <w:vAlign w:val="center"/>
          </w:tcPr>
          <w:p w14:paraId="3CB58FCB">
            <w:pPr>
              <w:pStyle w:val="33"/>
              <w:rPr>
                <w:color w:val="auto"/>
              </w:rPr>
            </w:pPr>
            <w:r>
              <w:rPr>
                <w:color w:val="auto"/>
              </w:rPr>
              <w:t>卷筒包装机自动上木塞头</w:t>
            </w:r>
          </w:p>
        </w:tc>
        <w:tc>
          <w:tcPr>
            <w:tcW w:w="3590" w:type="dxa"/>
            <w:vAlign w:val="center"/>
          </w:tcPr>
          <w:p w14:paraId="1C5A3C69">
            <w:pPr>
              <w:pStyle w:val="33"/>
              <w:rPr>
                <w:color w:val="auto"/>
              </w:rPr>
            </w:pPr>
            <w:r>
              <w:rPr>
                <w:color w:val="auto"/>
              </w:rPr>
              <w:t>增加2套设备</w:t>
            </w:r>
          </w:p>
        </w:tc>
      </w:tr>
      <w:tr w14:paraId="439EB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9EC8ECA">
            <w:pPr>
              <w:pStyle w:val="33"/>
              <w:rPr>
                <w:color w:val="auto"/>
              </w:rPr>
            </w:pPr>
            <w:r>
              <w:rPr>
                <w:color w:val="auto"/>
              </w:rPr>
              <w:t>3</w:t>
            </w:r>
            <w:r>
              <w:rPr>
                <w:rFonts w:hint="eastAsia"/>
                <w:color w:val="auto"/>
              </w:rPr>
              <w:t>6</w:t>
            </w:r>
          </w:p>
        </w:tc>
        <w:tc>
          <w:tcPr>
            <w:tcW w:w="1720" w:type="dxa"/>
            <w:vAlign w:val="center"/>
          </w:tcPr>
          <w:p w14:paraId="132EB274">
            <w:pPr>
              <w:pStyle w:val="33"/>
              <w:rPr>
                <w:color w:val="auto"/>
              </w:rPr>
            </w:pPr>
            <w:r>
              <w:rPr>
                <w:color w:val="auto"/>
              </w:rPr>
              <w:t>整理车间</w:t>
            </w:r>
          </w:p>
        </w:tc>
        <w:tc>
          <w:tcPr>
            <w:tcW w:w="2694" w:type="dxa"/>
            <w:vAlign w:val="center"/>
          </w:tcPr>
          <w:p w14:paraId="0180C22B">
            <w:pPr>
              <w:pStyle w:val="33"/>
              <w:rPr>
                <w:color w:val="auto"/>
              </w:rPr>
            </w:pPr>
            <w:r>
              <w:rPr>
                <w:color w:val="auto"/>
              </w:rPr>
              <w:t>平板车间新增令包机</w:t>
            </w:r>
          </w:p>
        </w:tc>
        <w:tc>
          <w:tcPr>
            <w:tcW w:w="3590" w:type="dxa"/>
            <w:vAlign w:val="center"/>
          </w:tcPr>
          <w:p w14:paraId="43A59DAC">
            <w:pPr>
              <w:pStyle w:val="33"/>
              <w:rPr>
                <w:color w:val="auto"/>
              </w:rPr>
            </w:pPr>
            <w:r>
              <w:rPr>
                <w:color w:val="auto"/>
              </w:rPr>
              <w:t>增加1套设备，4200令/8小时</w:t>
            </w:r>
          </w:p>
        </w:tc>
      </w:tr>
      <w:tr w14:paraId="3FD7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3AC11C0B">
            <w:pPr>
              <w:pStyle w:val="33"/>
              <w:rPr>
                <w:color w:val="auto"/>
              </w:rPr>
            </w:pPr>
            <w:r>
              <w:rPr>
                <w:color w:val="auto"/>
              </w:rPr>
              <w:t>3</w:t>
            </w:r>
            <w:r>
              <w:rPr>
                <w:rFonts w:hint="eastAsia"/>
                <w:color w:val="auto"/>
              </w:rPr>
              <w:t>7</w:t>
            </w:r>
          </w:p>
        </w:tc>
        <w:tc>
          <w:tcPr>
            <w:tcW w:w="1720" w:type="dxa"/>
            <w:vAlign w:val="center"/>
          </w:tcPr>
          <w:p w14:paraId="1D5DB774">
            <w:pPr>
              <w:pStyle w:val="33"/>
              <w:rPr>
                <w:color w:val="auto"/>
              </w:rPr>
            </w:pPr>
            <w:r>
              <w:rPr>
                <w:color w:val="auto"/>
              </w:rPr>
              <w:t>整理车间</w:t>
            </w:r>
          </w:p>
        </w:tc>
        <w:tc>
          <w:tcPr>
            <w:tcW w:w="2694" w:type="dxa"/>
            <w:vAlign w:val="center"/>
          </w:tcPr>
          <w:p w14:paraId="2F538E5F">
            <w:pPr>
              <w:pStyle w:val="33"/>
              <w:rPr>
                <w:color w:val="auto"/>
              </w:rPr>
            </w:pPr>
            <w:r>
              <w:rPr>
                <w:color w:val="auto"/>
              </w:rPr>
              <w:t>新增2台小复卷机</w:t>
            </w:r>
          </w:p>
        </w:tc>
        <w:tc>
          <w:tcPr>
            <w:tcW w:w="3590" w:type="dxa"/>
            <w:vAlign w:val="center"/>
          </w:tcPr>
          <w:p w14:paraId="338992F3">
            <w:pPr>
              <w:pStyle w:val="33"/>
              <w:rPr>
                <w:color w:val="auto"/>
              </w:rPr>
            </w:pPr>
            <w:r>
              <w:rPr>
                <w:color w:val="auto"/>
              </w:rPr>
              <w:t>增加2套设备，500吨/天</w:t>
            </w:r>
          </w:p>
        </w:tc>
      </w:tr>
      <w:tr w14:paraId="56958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0" w:type="dxa"/>
            <w:vAlign w:val="center"/>
          </w:tcPr>
          <w:p w14:paraId="4313189A">
            <w:pPr>
              <w:pStyle w:val="33"/>
              <w:rPr>
                <w:color w:val="auto"/>
              </w:rPr>
            </w:pPr>
            <w:r>
              <w:rPr>
                <w:color w:val="auto"/>
              </w:rPr>
              <w:t>3</w:t>
            </w:r>
            <w:r>
              <w:rPr>
                <w:rFonts w:hint="eastAsia"/>
                <w:color w:val="auto"/>
              </w:rPr>
              <w:t>8</w:t>
            </w:r>
          </w:p>
        </w:tc>
        <w:tc>
          <w:tcPr>
            <w:tcW w:w="1720" w:type="dxa"/>
            <w:vAlign w:val="center"/>
          </w:tcPr>
          <w:p w14:paraId="4EA3B49F">
            <w:pPr>
              <w:pStyle w:val="33"/>
              <w:rPr>
                <w:color w:val="auto"/>
              </w:rPr>
            </w:pPr>
            <w:r>
              <w:rPr>
                <w:color w:val="auto"/>
              </w:rPr>
              <w:t>整理车间</w:t>
            </w:r>
          </w:p>
        </w:tc>
        <w:tc>
          <w:tcPr>
            <w:tcW w:w="2694" w:type="dxa"/>
            <w:vAlign w:val="center"/>
          </w:tcPr>
          <w:p w14:paraId="79550815">
            <w:pPr>
              <w:pStyle w:val="33"/>
              <w:rPr>
                <w:color w:val="auto"/>
              </w:rPr>
            </w:pPr>
            <w:r>
              <w:rPr>
                <w:color w:val="auto"/>
              </w:rPr>
              <w:t>新增6#卷筒包装机</w:t>
            </w:r>
          </w:p>
        </w:tc>
        <w:tc>
          <w:tcPr>
            <w:tcW w:w="3590" w:type="dxa"/>
            <w:vAlign w:val="center"/>
          </w:tcPr>
          <w:p w14:paraId="4E24030A">
            <w:pPr>
              <w:pStyle w:val="33"/>
              <w:rPr>
                <w:color w:val="auto"/>
              </w:rPr>
            </w:pPr>
            <w:r>
              <w:rPr>
                <w:color w:val="auto"/>
              </w:rPr>
              <w:t>增加1套设备，150R/H</w:t>
            </w:r>
          </w:p>
        </w:tc>
      </w:tr>
    </w:tbl>
    <w:p w14:paraId="574D140A">
      <w:pPr>
        <w:ind w:firstLine="480"/>
        <w:rPr>
          <w:color w:val="auto"/>
        </w:rPr>
      </w:pPr>
    </w:p>
    <w:p w14:paraId="6A9588EB">
      <w:pPr>
        <w:pStyle w:val="4"/>
        <w:rPr>
          <w:color w:val="auto"/>
        </w:rPr>
      </w:pPr>
      <w:bookmarkStart w:id="193" w:name="_Toc225216697"/>
      <w:r>
        <w:rPr>
          <w:color w:val="auto"/>
        </w:rPr>
        <w:t>公用工程</w:t>
      </w:r>
      <w:bookmarkEnd w:id="193"/>
    </w:p>
    <w:p w14:paraId="497FB6C6">
      <w:pPr>
        <w:pStyle w:val="5"/>
        <w:rPr>
          <w:color w:val="auto"/>
        </w:rPr>
      </w:pPr>
      <w:r>
        <w:rPr>
          <w:rFonts w:hint="eastAsia"/>
          <w:color w:val="auto"/>
        </w:rPr>
        <w:t>给水工程</w:t>
      </w:r>
    </w:p>
    <w:p w14:paraId="41F3C62F">
      <w:pPr>
        <w:ind w:firstLine="480"/>
        <w:rPr>
          <w:color w:val="auto"/>
        </w:rPr>
      </w:pPr>
      <w:r>
        <w:rPr>
          <w:rFonts w:hint="eastAsia"/>
          <w:color w:val="auto"/>
        </w:rPr>
        <w:t>本项目生产所需清水和厂区生活用水都由公司现有给水站提供，满足本项目所需水质、水量及水压要求。</w:t>
      </w:r>
    </w:p>
    <w:p w14:paraId="4D940C8E">
      <w:pPr>
        <w:ind w:firstLine="480"/>
        <w:rPr>
          <w:color w:val="auto"/>
        </w:rPr>
      </w:pPr>
    </w:p>
    <w:p w14:paraId="3390989B">
      <w:pPr>
        <w:pStyle w:val="5"/>
        <w:rPr>
          <w:color w:val="auto"/>
        </w:rPr>
      </w:pPr>
      <w:r>
        <w:rPr>
          <w:rFonts w:hint="eastAsia"/>
          <w:color w:val="auto"/>
        </w:rPr>
        <w:t>排水工程</w:t>
      </w:r>
    </w:p>
    <w:p w14:paraId="2DEFF779">
      <w:pPr>
        <w:ind w:firstLine="480"/>
        <w:rPr>
          <w:color w:val="auto"/>
        </w:rPr>
      </w:pPr>
      <w:r>
        <w:rPr>
          <w:rFonts w:hint="eastAsia"/>
          <w:color w:val="auto"/>
        </w:rPr>
        <w:t>本项目需处理废水主要为各车间的生产废水、生活废水。</w:t>
      </w:r>
    </w:p>
    <w:p w14:paraId="03861EE9">
      <w:pPr>
        <w:ind w:firstLine="480"/>
        <w:rPr>
          <w:color w:val="auto"/>
        </w:rPr>
      </w:pPr>
      <w:r>
        <w:rPr>
          <w:rFonts w:hint="eastAsia"/>
          <w:color w:val="auto"/>
        </w:rPr>
        <w:t>广西金桂浆纸业有限公司现有2套废水处理站，处理能力分别为1#污水处理站60000m³/d，2#污水处理站45000m³/d，在建1个新增处理能力21000m</w:t>
      </w:r>
      <w:r>
        <w:rPr>
          <w:rFonts w:hint="eastAsia"/>
          <w:color w:val="auto"/>
          <w:vertAlign w:val="superscript"/>
        </w:rPr>
        <w:t>3</w:t>
      </w:r>
      <w:r>
        <w:rPr>
          <w:rFonts w:hint="eastAsia"/>
          <w:color w:val="auto"/>
        </w:rPr>
        <w:t>/d的</w:t>
      </w:r>
      <w:r>
        <w:rPr>
          <w:color w:val="auto"/>
        </w:rPr>
        <w:t>污水处理站绿色升级改造</w:t>
      </w:r>
      <w:r>
        <w:rPr>
          <w:rFonts w:hint="eastAsia"/>
          <w:color w:val="auto"/>
        </w:rPr>
        <w:t>项目。其中1#污水处理站已运行15年，实际处理能力已小于设计处理能力，为确保本项目及金桂年产180万吨高档纸板项目第二阶段项目废水达标排放，本工程拟新建废水处理站一座，设计规模20000m³/d，本工程生产废水收集后集中排至新建废水处理站进行处理，达标后排放，新建1套设计规模</w:t>
      </w:r>
      <w:r>
        <w:rPr>
          <w:color w:val="auto"/>
        </w:rPr>
        <w:t>5000m</w:t>
      </w:r>
      <w:r>
        <w:rPr>
          <w:rFonts w:hint="eastAsia"/>
          <w:color w:val="auto"/>
          <w:vertAlign w:val="superscript"/>
        </w:rPr>
        <w:t>3</w:t>
      </w:r>
      <w:r>
        <w:rPr>
          <w:color w:val="auto"/>
        </w:rPr>
        <w:t>/d</w:t>
      </w:r>
      <w:r>
        <w:rPr>
          <w:rFonts w:hint="eastAsia"/>
          <w:color w:val="auto"/>
        </w:rPr>
        <w:t>的中水回用系统，部分3#污水处理站</w:t>
      </w:r>
      <w:r>
        <w:rPr>
          <w:color w:val="auto"/>
        </w:rPr>
        <w:t>出水经过滤及除硬处理后，回用至冷却塔补水工段。</w:t>
      </w:r>
    </w:p>
    <w:p w14:paraId="7A302B0D">
      <w:pPr>
        <w:pStyle w:val="5"/>
        <w:rPr>
          <w:color w:val="auto"/>
        </w:rPr>
      </w:pPr>
      <w:r>
        <w:rPr>
          <w:rFonts w:hint="eastAsia"/>
          <w:color w:val="auto"/>
        </w:rPr>
        <w:t>雨水及事故应急池</w:t>
      </w:r>
    </w:p>
    <w:p w14:paraId="3D509740">
      <w:pPr>
        <w:ind w:firstLine="484"/>
        <w:rPr>
          <w:color w:val="auto"/>
        </w:rPr>
      </w:pPr>
      <w:r>
        <w:rPr>
          <w:rFonts w:hint="eastAsia"/>
          <w:color w:val="auto"/>
          <w:spacing w:val="1"/>
          <w:szCs w:val="21"/>
        </w:rPr>
        <w:t>雨水及事故应急池依托现有工程。其中</w:t>
      </w:r>
      <w:r>
        <w:rPr>
          <w:color w:val="auto"/>
          <w:spacing w:val="1"/>
          <w:szCs w:val="21"/>
        </w:rPr>
        <w:t>厂区</w:t>
      </w:r>
      <w:r>
        <w:rPr>
          <w:rFonts w:hint="eastAsia"/>
          <w:color w:val="auto"/>
          <w:spacing w:val="1"/>
          <w:szCs w:val="21"/>
        </w:rPr>
        <w:t>已建成</w:t>
      </w:r>
      <w:r>
        <w:rPr>
          <w:color w:val="auto"/>
          <w:spacing w:val="1"/>
          <w:szCs w:val="21"/>
        </w:rPr>
        <w:t>设</w:t>
      </w:r>
      <w:r>
        <w:rPr>
          <w:rFonts w:eastAsia="Times New Roman"/>
          <w:color w:val="auto"/>
          <w:spacing w:val="1"/>
          <w:szCs w:val="21"/>
        </w:rPr>
        <w:t>3</w:t>
      </w:r>
      <w:r>
        <w:rPr>
          <w:color w:val="auto"/>
          <w:spacing w:val="1"/>
          <w:szCs w:val="21"/>
        </w:rPr>
        <w:t>×</w:t>
      </w:r>
      <w:r>
        <w:rPr>
          <w:rFonts w:eastAsia="Times New Roman"/>
          <w:color w:val="auto"/>
          <w:spacing w:val="1"/>
          <w:szCs w:val="21"/>
        </w:rPr>
        <w:t>10000m</w:t>
      </w:r>
      <w:r>
        <w:rPr>
          <w:rFonts w:eastAsia="Times New Roman"/>
          <w:color w:val="auto"/>
          <w:spacing w:val="1"/>
          <w:position w:val="7"/>
          <w:sz w:val="14"/>
          <w:szCs w:val="14"/>
        </w:rPr>
        <w:t>3</w:t>
      </w:r>
      <w:r>
        <w:rPr>
          <w:color w:val="auto"/>
          <w:spacing w:val="1"/>
          <w:szCs w:val="21"/>
        </w:rPr>
        <w:t>事故池；过氧化氢项目设</w:t>
      </w:r>
      <w:r>
        <w:rPr>
          <w:rFonts w:eastAsia="Times New Roman"/>
          <w:color w:val="auto"/>
          <w:spacing w:val="1"/>
          <w:szCs w:val="21"/>
        </w:rPr>
        <w:t>1</w:t>
      </w:r>
      <w:r>
        <w:rPr>
          <w:color w:val="auto"/>
          <w:spacing w:val="1"/>
          <w:szCs w:val="21"/>
        </w:rPr>
        <w:t>座</w:t>
      </w:r>
      <w:r>
        <w:rPr>
          <w:rFonts w:eastAsia="Times New Roman"/>
          <w:color w:val="auto"/>
          <w:spacing w:val="1"/>
          <w:szCs w:val="21"/>
        </w:rPr>
        <w:t>2000m</w:t>
      </w:r>
      <w:r>
        <w:rPr>
          <w:rFonts w:eastAsia="Times New Roman"/>
          <w:color w:val="auto"/>
          <w:spacing w:val="1"/>
          <w:position w:val="7"/>
          <w:sz w:val="14"/>
          <w:szCs w:val="14"/>
        </w:rPr>
        <w:t>3</w:t>
      </w:r>
      <w:r>
        <w:rPr>
          <w:color w:val="auto"/>
          <w:spacing w:val="-2"/>
          <w:szCs w:val="21"/>
        </w:rPr>
        <w:t>事故池及</w:t>
      </w:r>
      <w:r>
        <w:rPr>
          <w:rFonts w:hint="eastAsia"/>
          <w:color w:val="auto"/>
          <w:spacing w:val="-2"/>
          <w:szCs w:val="21"/>
        </w:rPr>
        <w:t>1座1000m</w:t>
      </w:r>
      <w:r>
        <w:rPr>
          <w:rFonts w:hint="eastAsia"/>
          <w:color w:val="auto"/>
          <w:spacing w:val="-2"/>
          <w:szCs w:val="21"/>
          <w:vertAlign w:val="superscript"/>
        </w:rPr>
        <w:t>3</w:t>
      </w:r>
      <w:r>
        <w:rPr>
          <w:rFonts w:hint="eastAsia"/>
          <w:color w:val="auto"/>
          <w:spacing w:val="-2"/>
          <w:szCs w:val="21"/>
        </w:rPr>
        <w:t>和</w:t>
      </w:r>
      <w:r>
        <w:rPr>
          <w:rFonts w:eastAsia="Times New Roman"/>
          <w:color w:val="auto"/>
          <w:spacing w:val="-2"/>
          <w:szCs w:val="21"/>
        </w:rPr>
        <w:t>1</w:t>
      </w:r>
      <w:r>
        <w:rPr>
          <w:color w:val="auto"/>
          <w:spacing w:val="-2"/>
          <w:szCs w:val="21"/>
        </w:rPr>
        <w:t>座</w:t>
      </w:r>
      <w:r>
        <w:rPr>
          <w:rFonts w:eastAsia="Times New Roman"/>
          <w:color w:val="auto"/>
          <w:spacing w:val="-2"/>
          <w:szCs w:val="21"/>
        </w:rPr>
        <w:t>500m</w:t>
      </w:r>
      <w:r>
        <w:rPr>
          <w:rFonts w:eastAsia="Times New Roman"/>
          <w:color w:val="auto"/>
          <w:spacing w:val="-2"/>
          <w:position w:val="7"/>
          <w:sz w:val="14"/>
          <w:szCs w:val="14"/>
        </w:rPr>
        <w:t>3</w:t>
      </w:r>
      <w:r>
        <w:rPr>
          <w:color w:val="auto"/>
          <w:spacing w:val="-2"/>
          <w:szCs w:val="21"/>
        </w:rPr>
        <w:t>初期雨水池</w:t>
      </w:r>
      <w:r>
        <w:rPr>
          <w:rFonts w:hint="eastAsia"/>
          <w:color w:val="auto"/>
          <w:spacing w:val="-2"/>
          <w:szCs w:val="21"/>
        </w:rPr>
        <w:t>；</w:t>
      </w:r>
      <w:r>
        <w:rPr>
          <w:rFonts w:hint="eastAsia" w:ascii="宋体" w:hAnsi="宋体" w:cs="宋体"/>
          <w:color w:val="auto"/>
          <w:szCs w:val="21"/>
        </w:rPr>
        <w:t>已批在建1</w:t>
      </w:r>
      <w:r>
        <w:rPr>
          <w:rFonts w:hint="eastAsia" w:eastAsia="Times New Roman"/>
          <w:color w:val="auto"/>
          <w:szCs w:val="21"/>
        </w:rPr>
        <w:t>000m</w:t>
      </w:r>
      <w:r>
        <w:rPr>
          <w:rFonts w:hint="eastAsia" w:eastAsia="Times New Roman"/>
          <w:color w:val="auto"/>
          <w:szCs w:val="21"/>
          <w:vertAlign w:val="superscript"/>
        </w:rPr>
        <w:t>3</w:t>
      </w:r>
      <w:r>
        <w:rPr>
          <w:rFonts w:hint="eastAsia" w:ascii="宋体" w:hAnsi="宋体" w:cs="宋体"/>
          <w:color w:val="auto"/>
          <w:szCs w:val="21"/>
        </w:rPr>
        <w:t>初期雨水池。</w:t>
      </w:r>
    </w:p>
    <w:p w14:paraId="6684F16C">
      <w:pPr>
        <w:pStyle w:val="5"/>
        <w:rPr>
          <w:color w:val="auto"/>
        </w:rPr>
      </w:pPr>
      <w:r>
        <w:rPr>
          <w:rFonts w:hint="eastAsia"/>
          <w:color w:val="auto"/>
        </w:rPr>
        <w:t>供电</w:t>
      </w:r>
    </w:p>
    <w:p w14:paraId="29C6C916">
      <w:pPr>
        <w:ind w:firstLine="480"/>
        <w:rPr>
          <w:color w:val="auto"/>
        </w:rPr>
      </w:pPr>
      <w:r>
        <w:rPr>
          <w:rFonts w:hint="eastAsia"/>
          <w:color w:val="auto"/>
        </w:rPr>
        <w:t>本项目新增用电负荷约为30MW，厂区自备热电站现有一期规模为2×670t/h循环硫化床锅炉+2×150MW抽汽冷凝式汽轮发电机组，二期规模为1×670t/h循环硫化床锅炉+1×90MW背压式汽轮发电机组。同时现有220kV变电站通过220kV的线路与钦州港揽坪变电站连接并网，满足新增负荷能源供应。本项目用电是有可靠保障的。</w:t>
      </w:r>
    </w:p>
    <w:p w14:paraId="36DCCF9F">
      <w:pPr>
        <w:pStyle w:val="5"/>
        <w:rPr>
          <w:color w:val="auto"/>
        </w:rPr>
      </w:pPr>
      <w:r>
        <w:rPr>
          <w:rFonts w:hint="eastAsia"/>
          <w:color w:val="auto"/>
        </w:rPr>
        <w:t>供热</w:t>
      </w:r>
    </w:p>
    <w:p w14:paraId="10AC5314">
      <w:pPr>
        <w:ind w:firstLine="480"/>
        <w:rPr>
          <w:color w:val="auto"/>
        </w:rPr>
      </w:pPr>
      <w:r>
        <w:rPr>
          <w:rFonts w:hint="eastAsia"/>
          <w:color w:val="auto"/>
        </w:rPr>
        <w:t>改造前后热负荷计算见下表：</w:t>
      </w:r>
    </w:p>
    <w:p w14:paraId="1D57A87D">
      <w:pPr>
        <w:pStyle w:val="7"/>
        <w:rPr>
          <w:color w:val="auto"/>
        </w:rPr>
      </w:pPr>
      <w:r>
        <w:rPr>
          <w:rFonts w:hint="eastAsia"/>
          <w:color w:val="auto"/>
        </w:rPr>
        <w:t>热负荷计算</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7"/>
        <w:gridCol w:w="2127"/>
        <w:gridCol w:w="754"/>
        <w:gridCol w:w="709"/>
        <w:gridCol w:w="992"/>
        <w:gridCol w:w="992"/>
        <w:gridCol w:w="993"/>
        <w:gridCol w:w="1740"/>
      </w:tblGrid>
      <w:tr w14:paraId="6ED6A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Merge w:val="restart"/>
            <w:vAlign w:val="center"/>
          </w:tcPr>
          <w:p w14:paraId="5575FA2B">
            <w:pPr>
              <w:pStyle w:val="33"/>
              <w:rPr>
                <w:color w:val="auto"/>
              </w:rPr>
            </w:pPr>
            <w:r>
              <w:rPr>
                <w:color w:val="auto"/>
              </w:rPr>
              <w:t>序号</w:t>
            </w:r>
          </w:p>
        </w:tc>
        <w:tc>
          <w:tcPr>
            <w:tcW w:w="2127" w:type="dxa"/>
            <w:vMerge w:val="restart"/>
            <w:vAlign w:val="center"/>
          </w:tcPr>
          <w:p w14:paraId="2A0B3344">
            <w:pPr>
              <w:pStyle w:val="33"/>
              <w:rPr>
                <w:color w:val="auto"/>
              </w:rPr>
            </w:pPr>
            <w:r>
              <w:rPr>
                <w:color w:val="auto"/>
              </w:rPr>
              <w:t xml:space="preserve"> 车间名称</w:t>
            </w:r>
          </w:p>
        </w:tc>
        <w:tc>
          <w:tcPr>
            <w:tcW w:w="1463" w:type="dxa"/>
            <w:gridSpan w:val="2"/>
            <w:vAlign w:val="center"/>
          </w:tcPr>
          <w:p w14:paraId="0ABA83E9">
            <w:pPr>
              <w:pStyle w:val="33"/>
              <w:rPr>
                <w:color w:val="auto"/>
              </w:rPr>
            </w:pPr>
            <w:r>
              <w:rPr>
                <w:color w:val="auto"/>
              </w:rPr>
              <w:t>吨纸单耗t/t</w:t>
            </w:r>
          </w:p>
        </w:tc>
        <w:tc>
          <w:tcPr>
            <w:tcW w:w="1984" w:type="dxa"/>
            <w:gridSpan w:val="2"/>
            <w:vAlign w:val="center"/>
          </w:tcPr>
          <w:p w14:paraId="30632AB5">
            <w:pPr>
              <w:pStyle w:val="33"/>
              <w:rPr>
                <w:color w:val="auto"/>
              </w:rPr>
            </w:pPr>
            <w:r>
              <w:rPr>
                <w:color w:val="auto"/>
              </w:rPr>
              <w:t>改造前t/h</w:t>
            </w:r>
          </w:p>
        </w:tc>
        <w:tc>
          <w:tcPr>
            <w:tcW w:w="2733" w:type="dxa"/>
            <w:gridSpan w:val="2"/>
            <w:vAlign w:val="center"/>
          </w:tcPr>
          <w:p w14:paraId="676A29E8">
            <w:pPr>
              <w:pStyle w:val="33"/>
              <w:rPr>
                <w:color w:val="auto"/>
              </w:rPr>
            </w:pPr>
            <w:r>
              <w:rPr>
                <w:color w:val="auto"/>
              </w:rPr>
              <w:t>改造后t/h</w:t>
            </w:r>
          </w:p>
        </w:tc>
      </w:tr>
      <w:tr w14:paraId="4FC0A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Merge w:val="continue"/>
            <w:vAlign w:val="center"/>
          </w:tcPr>
          <w:p w14:paraId="3BBAF106">
            <w:pPr>
              <w:pStyle w:val="33"/>
              <w:rPr>
                <w:color w:val="auto"/>
              </w:rPr>
            </w:pPr>
          </w:p>
        </w:tc>
        <w:tc>
          <w:tcPr>
            <w:tcW w:w="2127" w:type="dxa"/>
            <w:vMerge w:val="continue"/>
            <w:vAlign w:val="center"/>
          </w:tcPr>
          <w:p w14:paraId="0DBD35CB">
            <w:pPr>
              <w:pStyle w:val="33"/>
              <w:rPr>
                <w:color w:val="auto"/>
              </w:rPr>
            </w:pPr>
          </w:p>
        </w:tc>
        <w:tc>
          <w:tcPr>
            <w:tcW w:w="754" w:type="dxa"/>
            <w:vAlign w:val="center"/>
          </w:tcPr>
          <w:p w14:paraId="2EC57295">
            <w:pPr>
              <w:pStyle w:val="33"/>
              <w:rPr>
                <w:color w:val="auto"/>
              </w:rPr>
            </w:pPr>
            <w:r>
              <w:rPr>
                <w:color w:val="auto"/>
              </w:rPr>
              <w:t>中压</w:t>
            </w:r>
          </w:p>
        </w:tc>
        <w:tc>
          <w:tcPr>
            <w:tcW w:w="709" w:type="dxa"/>
            <w:vAlign w:val="center"/>
          </w:tcPr>
          <w:p w14:paraId="67C97CB1">
            <w:pPr>
              <w:pStyle w:val="33"/>
              <w:rPr>
                <w:color w:val="auto"/>
              </w:rPr>
            </w:pPr>
            <w:r>
              <w:rPr>
                <w:color w:val="auto"/>
              </w:rPr>
              <w:t>低压</w:t>
            </w:r>
          </w:p>
        </w:tc>
        <w:tc>
          <w:tcPr>
            <w:tcW w:w="992" w:type="dxa"/>
            <w:vAlign w:val="center"/>
          </w:tcPr>
          <w:p w14:paraId="37C185D7">
            <w:pPr>
              <w:pStyle w:val="33"/>
              <w:rPr>
                <w:color w:val="auto"/>
              </w:rPr>
            </w:pPr>
            <w:r>
              <w:rPr>
                <w:color w:val="auto"/>
              </w:rPr>
              <w:t>中压</w:t>
            </w:r>
          </w:p>
        </w:tc>
        <w:tc>
          <w:tcPr>
            <w:tcW w:w="992" w:type="dxa"/>
            <w:vAlign w:val="center"/>
          </w:tcPr>
          <w:p w14:paraId="16386665">
            <w:pPr>
              <w:pStyle w:val="33"/>
              <w:rPr>
                <w:color w:val="auto"/>
              </w:rPr>
            </w:pPr>
            <w:r>
              <w:rPr>
                <w:color w:val="auto"/>
              </w:rPr>
              <w:t>低压</w:t>
            </w:r>
          </w:p>
        </w:tc>
        <w:tc>
          <w:tcPr>
            <w:tcW w:w="993" w:type="dxa"/>
            <w:vAlign w:val="center"/>
          </w:tcPr>
          <w:p w14:paraId="0CBCE9A4">
            <w:pPr>
              <w:pStyle w:val="33"/>
              <w:rPr>
                <w:color w:val="auto"/>
              </w:rPr>
            </w:pPr>
            <w:r>
              <w:rPr>
                <w:color w:val="auto"/>
              </w:rPr>
              <w:t>中压</w:t>
            </w:r>
          </w:p>
        </w:tc>
        <w:tc>
          <w:tcPr>
            <w:tcW w:w="1740" w:type="dxa"/>
            <w:vAlign w:val="center"/>
          </w:tcPr>
          <w:p w14:paraId="465BEDDA">
            <w:pPr>
              <w:pStyle w:val="33"/>
              <w:rPr>
                <w:color w:val="auto"/>
              </w:rPr>
            </w:pPr>
            <w:r>
              <w:rPr>
                <w:color w:val="auto"/>
              </w:rPr>
              <w:t>低压</w:t>
            </w:r>
          </w:p>
        </w:tc>
      </w:tr>
      <w:tr w14:paraId="052D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2C53273E">
            <w:pPr>
              <w:pStyle w:val="33"/>
              <w:rPr>
                <w:color w:val="auto"/>
              </w:rPr>
            </w:pPr>
            <w:r>
              <w:rPr>
                <w:rFonts w:hint="eastAsia"/>
                <w:color w:val="auto"/>
              </w:rPr>
              <w:t>一</w:t>
            </w:r>
          </w:p>
        </w:tc>
        <w:tc>
          <w:tcPr>
            <w:tcW w:w="8307" w:type="dxa"/>
            <w:gridSpan w:val="7"/>
            <w:vAlign w:val="center"/>
          </w:tcPr>
          <w:p w14:paraId="0D154CBE">
            <w:pPr>
              <w:pStyle w:val="33"/>
              <w:rPr>
                <w:color w:val="auto"/>
              </w:rPr>
            </w:pPr>
            <w:r>
              <w:rPr>
                <w:rFonts w:hint="eastAsia"/>
                <w:color w:val="auto"/>
              </w:rPr>
              <w:t>改造前</w:t>
            </w:r>
            <w:r>
              <w:rPr>
                <w:color w:val="auto"/>
              </w:rPr>
              <w:t>/</w:t>
            </w:r>
            <w:r>
              <w:rPr>
                <w:rFonts w:hint="eastAsia"/>
                <w:color w:val="auto"/>
              </w:rPr>
              <w:t>190万吨规模</w:t>
            </w:r>
          </w:p>
        </w:tc>
      </w:tr>
      <w:tr w14:paraId="32E8F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4AEA0BB8">
            <w:pPr>
              <w:pStyle w:val="33"/>
              <w:rPr>
                <w:color w:val="auto"/>
              </w:rPr>
            </w:pPr>
            <w:r>
              <w:rPr>
                <w:color w:val="auto"/>
              </w:rPr>
              <w:t>1</w:t>
            </w:r>
          </w:p>
        </w:tc>
        <w:tc>
          <w:tcPr>
            <w:tcW w:w="2127" w:type="dxa"/>
            <w:vAlign w:val="center"/>
          </w:tcPr>
          <w:p w14:paraId="0FD07953">
            <w:pPr>
              <w:pStyle w:val="33"/>
              <w:rPr>
                <w:color w:val="auto"/>
              </w:rPr>
            </w:pPr>
            <w:r>
              <w:rPr>
                <w:color w:val="auto"/>
              </w:rPr>
              <w:t>1#白卡纸</w:t>
            </w:r>
            <w:r>
              <w:rPr>
                <w:rFonts w:hint="eastAsia"/>
                <w:color w:val="auto"/>
              </w:rPr>
              <w:t>生产</w:t>
            </w:r>
            <w:r>
              <w:rPr>
                <w:color w:val="auto"/>
              </w:rPr>
              <w:t>线</w:t>
            </w:r>
          </w:p>
        </w:tc>
        <w:tc>
          <w:tcPr>
            <w:tcW w:w="754" w:type="dxa"/>
            <w:vAlign w:val="center"/>
          </w:tcPr>
          <w:p w14:paraId="4BCB12B5">
            <w:pPr>
              <w:pStyle w:val="33"/>
              <w:rPr>
                <w:color w:val="auto"/>
              </w:rPr>
            </w:pPr>
            <w:r>
              <w:rPr>
                <w:rFonts w:hint="eastAsia"/>
                <w:color w:val="auto"/>
              </w:rPr>
              <w:t>0.15</w:t>
            </w:r>
          </w:p>
        </w:tc>
        <w:tc>
          <w:tcPr>
            <w:tcW w:w="709" w:type="dxa"/>
            <w:vAlign w:val="center"/>
          </w:tcPr>
          <w:p w14:paraId="48999460">
            <w:pPr>
              <w:pStyle w:val="33"/>
              <w:rPr>
                <w:color w:val="auto"/>
              </w:rPr>
            </w:pPr>
            <w:r>
              <w:rPr>
                <w:rFonts w:hint="eastAsia"/>
                <w:color w:val="auto"/>
              </w:rPr>
              <w:t>2</w:t>
            </w:r>
          </w:p>
        </w:tc>
        <w:tc>
          <w:tcPr>
            <w:tcW w:w="992" w:type="dxa"/>
            <w:vAlign w:val="center"/>
          </w:tcPr>
          <w:p w14:paraId="46DE12EC">
            <w:pPr>
              <w:pStyle w:val="33"/>
              <w:rPr>
                <w:color w:val="auto"/>
              </w:rPr>
            </w:pPr>
            <w:r>
              <w:rPr>
                <w:color w:val="auto"/>
              </w:rPr>
              <w:t>18.</w:t>
            </w:r>
            <w:r>
              <w:rPr>
                <w:rFonts w:hint="eastAsia"/>
                <w:color w:val="auto"/>
              </w:rPr>
              <w:t>38</w:t>
            </w:r>
          </w:p>
        </w:tc>
        <w:tc>
          <w:tcPr>
            <w:tcW w:w="992" w:type="dxa"/>
            <w:vAlign w:val="center"/>
          </w:tcPr>
          <w:p w14:paraId="5088BEBA">
            <w:pPr>
              <w:pStyle w:val="33"/>
              <w:rPr>
                <w:color w:val="auto"/>
              </w:rPr>
            </w:pPr>
            <w:r>
              <w:rPr>
                <w:rFonts w:hint="eastAsia"/>
                <w:color w:val="auto"/>
              </w:rPr>
              <w:t>245.1</w:t>
            </w:r>
          </w:p>
        </w:tc>
        <w:tc>
          <w:tcPr>
            <w:tcW w:w="993" w:type="dxa"/>
            <w:vAlign w:val="center"/>
          </w:tcPr>
          <w:p w14:paraId="2909BAFE">
            <w:pPr>
              <w:pStyle w:val="33"/>
              <w:rPr>
                <w:color w:val="auto"/>
              </w:rPr>
            </w:pPr>
            <w:r>
              <w:rPr>
                <w:rFonts w:hint="eastAsia"/>
                <w:color w:val="auto"/>
              </w:rPr>
              <w:t>—</w:t>
            </w:r>
          </w:p>
        </w:tc>
        <w:tc>
          <w:tcPr>
            <w:tcW w:w="1740" w:type="dxa"/>
            <w:vAlign w:val="center"/>
          </w:tcPr>
          <w:p w14:paraId="75575872">
            <w:pPr>
              <w:pStyle w:val="33"/>
              <w:rPr>
                <w:color w:val="auto"/>
              </w:rPr>
            </w:pPr>
            <w:r>
              <w:rPr>
                <w:rFonts w:hint="eastAsia"/>
                <w:color w:val="auto"/>
              </w:rPr>
              <w:t>—</w:t>
            </w:r>
          </w:p>
        </w:tc>
      </w:tr>
      <w:tr w14:paraId="10D42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2DDC84D7">
            <w:pPr>
              <w:pStyle w:val="33"/>
              <w:rPr>
                <w:color w:val="auto"/>
              </w:rPr>
            </w:pPr>
            <w:r>
              <w:rPr>
                <w:color w:val="auto"/>
              </w:rPr>
              <w:t>2</w:t>
            </w:r>
          </w:p>
        </w:tc>
        <w:tc>
          <w:tcPr>
            <w:tcW w:w="2127" w:type="dxa"/>
            <w:vAlign w:val="center"/>
          </w:tcPr>
          <w:p w14:paraId="7FE0EF63">
            <w:pPr>
              <w:pStyle w:val="33"/>
              <w:rPr>
                <w:color w:val="auto"/>
              </w:rPr>
            </w:pPr>
            <w:r>
              <w:rPr>
                <w:color w:val="auto"/>
              </w:rPr>
              <w:t>2#白卡纸</w:t>
            </w:r>
            <w:r>
              <w:rPr>
                <w:rFonts w:hint="eastAsia"/>
                <w:color w:val="auto"/>
              </w:rPr>
              <w:t>生产</w:t>
            </w:r>
            <w:r>
              <w:rPr>
                <w:color w:val="auto"/>
              </w:rPr>
              <w:t>线</w:t>
            </w:r>
          </w:p>
        </w:tc>
        <w:tc>
          <w:tcPr>
            <w:tcW w:w="754" w:type="dxa"/>
            <w:vAlign w:val="center"/>
          </w:tcPr>
          <w:p w14:paraId="734CAD83">
            <w:pPr>
              <w:pStyle w:val="33"/>
              <w:rPr>
                <w:color w:val="auto"/>
              </w:rPr>
            </w:pPr>
            <w:r>
              <w:rPr>
                <w:color w:val="auto"/>
              </w:rPr>
              <w:t>0.</w:t>
            </w:r>
            <w:r>
              <w:rPr>
                <w:rFonts w:hint="eastAsia"/>
                <w:color w:val="auto"/>
              </w:rPr>
              <w:t>2</w:t>
            </w:r>
          </w:p>
        </w:tc>
        <w:tc>
          <w:tcPr>
            <w:tcW w:w="709" w:type="dxa"/>
            <w:vAlign w:val="center"/>
          </w:tcPr>
          <w:p w14:paraId="5FA960DE">
            <w:pPr>
              <w:pStyle w:val="33"/>
              <w:rPr>
                <w:color w:val="auto"/>
              </w:rPr>
            </w:pPr>
            <w:r>
              <w:rPr>
                <w:rFonts w:hint="eastAsia"/>
                <w:color w:val="auto"/>
              </w:rPr>
              <w:t>1.3</w:t>
            </w:r>
          </w:p>
        </w:tc>
        <w:tc>
          <w:tcPr>
            <w:tcW w:w="992" w:type="dxa"/>
            <w:vAlign w:val="center"/>
          </w:tcPr>
          <w:p w14:paraId="7FF5FC3C">
            <w:pPr>
              <w:pStyle w:val="33"/>
              <w:rPr>
                <w:color w:val="auto"/>
              </w:rPr>
            </w:pPr>
            <w:r>
              <w:rPr>
                <w:rFonts w:hint="eastAsia"/>
                <w:color w:val="auto"/>
              </w:rPr>
              <w:t>22.06</w:t>
            </w:r>
          </w:p>
        </w:tc>
        <w:tc>
          <w:tcPr>
            <w:tcW w:w="992" w:type="dxa"/>
            <w:vAlign w:val="center"/>
          </w:tcPr>
          <w:p w14:paraId="1ADA96F7">
            <w:pPr>
              <w:pStyle w:val="33"/>
              <w:rPr>
                <w:color w:val="auto"/>
              </w:rPr>
            </w:pPr>
            <w:r>
              <w:rPr>
                <w:rFonts w:hint="eastAsia"/>
                <w:color w:val="auto"/>
              </w:rPr>
              <w:t>143.38</w:t>
            </w:r>
          </w:p>
        </w:tc>
        <w:tc>
          <w:tcPr>
            <w:tcW w:w="993" w:type="dxa"/>
          </w:tcPr>
          <w:p w14:paraId="4EDE3D4C">
            <w:pPr>
              <w:pStyle w:val="33"/>
              <w:rPr>
                <w:color w:val="auto"/>
              </w:rPr>
            </w:pPr>
            <w:r>
              <w:rPr>
                <w:rFonts w:hint="eastAsia"/>
                <w:color w:val="auto"/>
              </w:rPr>
              <w:t>—</w:t>
            </w:r>
          </w:p>
        </w:tc>
        <w:tc>
          <w:tcPr>
            <w:tcW w:w="1740" w:type="dxa"/>
          </w:tcPr>
          <w:p w14:paraId="3EE275F5">
            <w:pPr>
              <w:pStyle w:val="33"/>
              <w:rPr>
                <w:color w:val="auto"/>
              </w:rPr>
            </w:pPr>
            <w:r>
              <w:rPr>
                <w:rFonts w:hint="eastAsia"/>
                <w:color w:val="auto"/>
              </w:rPr>
              <w:t>—</w:t>
            </w:r>
          </w:p>
        </w:tc>
      </w:tr>
      <w:tr w14:paraId="5B57F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34F68389">
            <w:pPr>
              <w:pStyle w:val="33"/>
              <w:rPr>
                <w:color w:val="auto"/>
              </w:rPr>
            </w:pPr>
            <w:r>
              <w:rPr>
                <w:color w:val="auto"/>
              </w:rPr>
              <w:t>3</w:t>
            </w:r>
          </w:p>
        </w:tc>
        <w:tc>
          <w:tcPr>
            <w:tcW w:w="2127" w:type="dxa"/>
            <w:vAlign w:val="center"/>
          </w:tcPr>
          <w:p w14:paraId="7020EDD1">
            <w:pPr>
              <w:pStyle w:val="33"/>
              <w:rPr>
                <w:color w:val="auto"/>
              </w:rPr>
            </w:pPr>
            <w:r>
              <w:rPr>
                <w:color w:val="auto"/>
              </w:rPr>
              <w:t>纸机外其他车间用汽</w:t>
            </w:r>
          </w:p>
        </w:tc>
        <w:tc>
          <w:tcPr>
            <w:tcW w:w="754" w:type="dxa"/>
          </w:tcPr>
          <w:p w14:paraId="3A505CF8">
            <w:pPr>
              <w:pStyle w:val="33"/>
              <w:rPr>
                <w:color w:val="auto"/>
              </w:rPr>
            </w:pPr>
            <w:r>
              <w:rPr>
                <w:rFonts w:hint="eastAsia"/>
                <w:color w:val="auto"/>
              </w:rPr>
              <w:t>—</w:t>
            </w:r>
          </w:p>
        </w:tc>
        <w:tc>
          <w:tcPr>
            <w:tcW w:w="709" w:type="dxa"/>
          </w:tcPr>
          <w:p w14:paraId="380B5B41">
            <w:pPr>
              <w:pStyle w:val="33"/>
              <w:rPr>
                <w:color w:val="auto"/>
              </w:rPr>
            </w:pPr>
            <w:r>
              <w:rPr>
                <w:rFonts w:hint="eastAsia"/>
                <w:color w:val="auto"/>
              </w:rPr>
              <w:t>—</w:t>
            </w:r>
          </w:p>
        </w:tc>
        <w:tc>
          <w:tcPr>
            <w:tcW w:w="992" w:type="dxa"/>
            <w:vAlign w:val="center"/>
          </w:tcPr>
          <w:p w14:paraId="26B89931">
            <w:pPr>
              <w:pStyle w:val="33"/>
              <w:rPr>
                <w:color w:val="auto"/>
              </w:rPr>
            </w:pPr>
            <w:r>
              <w:rPr>
                <w:color w:val="auto"/>
              </w:rPr>
              <w:t>17.3</w:t>
            </w:r>
          </w:p>
        </w:tc>
        <w:tc>
          <w:tcPr>
            <w:tcW w:w="992" w:type="dxa"/>
            <w:vAlign w:val="center"/>
          </w:tcPr>
          <w:p w14:paraId="12D9B8B5">
            <w:pPr>
              <w:pStyle w:val="33"/>
              <w:rPr>
                <w:color w:val="auto"/>
              </w:rPr>
            </w:pPr>
            <w:r>
              <w:rPr>
                <w:color w:val="auto"/>
              </w:rPr>
              <w:t>140.3</w:t>
            </w:r>
          </w:p>
        </w:tc>
        <w:tc>
          <w:tcPr>
            <w:tcW w:w="993" w:type="dxa"/>
          </w:tcPr>
          <w:p w14:paraId="458FAB4E">
            <w:pPr>
              <w:pStyle w:val="33"/>
              <w:rPr>
                <w:color w:val="auto"/>
              </w:rPr>
            </w:pPr>
            <w:r>
              <w:rPr>
                <w:rFonts w:hint="eastAsia"/>
                <w:color w:val="auto"/>
              </w:rPr>
              <w:t>—</w:t>
            </w:r>
          </w:p>
        </w:tc>
        <w:tc>
          <w:tcPr>
            <w:tcW w:w="1740" w:type="dxa"/>
          </w:tcPr>
          <w:p w14:paraId="33ABA7FA">
            <w:pPr>
              <w:pStyle w:val="33"/>
              <w:rPr>
                <w:color w:val="auto"/>
              </w:rPr>
            </w:pPr>
            <w:r>
              <w:rPr>
                <w:rFonts w:hint="eastAsia"/>
                <w:color w:val="auto"/>
              </w:rPr>
              <w:t>—</w:t>
            </w:r>
          </w:p>
        </w:tc>
      </w:tr>
      <w:tr w14:paraId="2A23D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58AEFBF4">
            <w:pPr>
              <w:pStyle w:val="33"/>
              <w:rPr>
                <w:color w:val="auto"/>
              </w:rPr>
            </w:pPr>
          </w:p>
        </w:tc>
        <w:tc>
          <w:tcPr>
            <w:tcW w:w="2127" w:type="dxa"/>
            <w:vAlign w:val="center"/>
          </w:tcPr>
          <w:p w14:paraId="4C04AE3C">
            <w:pPr>
              <w:pStyle w:val="33"/>
              <w:rPr>
                <w:color w:val="auto"/>
              </w:rPr>
            </w:pPr>
            <w:r>
              <w:rPr>
                <w:color w:val="auto"/>
              </w:rPr>
              <w:t>小计</w:t>
            </w:r>
          </w:p>
        </w:tc>
        <w:tc>
          <w:tcPr>
            <w:tcW w:w="754" w:type="dxa"/>
          </w:tcPr>
          <w:p w14:paraId="6A9D1188">
            <w:pPr>
              <w:pStyle w:val="33"/>
              <w:rPr>
                <w:color w:val="auto"/>
              </w:rPr>
            </w:pPr>
            <w:r>
              <w:rPr>
                <w:rFonts w:hint="eastAsia"/>
                <w:color w:val="auto"/>
              </w:rPr>
              <w:t>—</w:t>
            </w:r>
          </w:p>
        </w:tc>
        <w:tc>
          <w:tcPr>
            <w:tcW w:w="709" w:type="dxa"/>
          </w:tcPr>
          <w:p w14:paraId="26B6712A">
            <w:pPr>
              <w:pStyle w:val="33"/>
              <w:rPr>
                <w:color w:val="auto"/>
              </w:rPr>
            </w:pPr>
            <w:r>
              <w:rPr>
                <w:rFonts w:hint="eastAsia"/>
                <w:color w:val="auto"/>
              </w:rPr>
              <w:t>—</w:t>
            </w:r>
          </w:p>
        </w:tc>
        <w:tc>
          <w:tcPr>
            <w:tcW w:w="992" w:type="dxa"/>
            <w:vAlign w:val="center"/>
          </w:tcPr>
          <w:p w14:paraId="40201B2B">
            <w:pPr>
              <w:pStyle w:val="33"/>
              <w:rPr>
                <w:color w:val="auto"/>
              </w:rPr>
            </w:pPr>
            <w:r>
              <w:rPr>
                <w:rFonts w:hint="eastAsia"/>
                <w:color w:val="auto"/>
              </w:rPr>
              <w:t>57.74</w:t>
            </w:r>
          </w:p>
        </w:tc>
        <w:tc>
          <w:tcPr>
            <w:tcW w:w="992" w:type="dxa"/>
            <w:vAlign w:val="center"/>
          </w:tcPr>
          <w:p w14:paraId="2ABF2254">
            <w:pPr>
              <w:pStyle w:val="33"/>
              <w:rPr>
                <w:color w:val="auto"/>
              </w:rPr>
            </w:pPr>
            <w:r>
              <w:rPr>
                <w:rFonts w:hint="eastAsia"/>
                <w:color w:val="auto"/>
              </w:rPr>
              <w:t>528.78</w:t>
            </w:r>
          </w:p>
        </w:tc>
        <w:tc>
          <w:tcPr>
            <w:tcW w:w="993" w:type="dxa"/>
          </w:tcPr>
          <w:p w14:paraId="0194C4F7">
            <w:pPr>
              <w:pStyle w:val="33"/>
              <w:rPr>
                <w:color w:val="auto"/>
              </w:rPr>
            </w:pPr>
            <w:r>
              <w:rPr>
                <w:rFonts w:hint="eastAsia"/>
                <w:color w:val="auto"/>
              </w:rPr>
              <w:t>—</w:t>
            </w:r>
          </w:p>
        </w:tc>
        <w:tc>
          <w:tcPr>
            <w:tcW w:w="1740" w:type="dxa"/>
          </w:tcPr>
          <w:p w14:paraId="4354E00B">
            <w:pPr>
              <w:pStyle w:val="33"/>
              <w:rPr>
                <w:color w:val="auto"/>
              </w:rPr>
            </w:pPr>
            <w:r>
              <w:rPr>
                <w:rFonts w:hint="eastAsia"/>
                <w:color w:val="auto"/>
              </w:rPr>
              <w:t>—</w:t>
            </w:r>
          </w:p>
        </w:tc>
      </w:tr>
      <w:tr w14:paraId="48E29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3BB6C43E">
            <w:pPr>
              <w:pStyle w:val="33"/>
              <w:rPr>
                <w:color w:val="auto"/>
              </w:rPr>
            </w:pPr>
            <w:r>
              <w:rPr>
                <w:color w:val="auto"/>
              </w:rPr>
              <w:t>二</w:t>
            </w:r>
          </w:p>
        </w:tc>
        <w:tc>
          <w:tcPr>
            <w:tcW w:w="8307" w:type="dxa"/>
            <w:gridSpan w:val="7"/>
            <w:vAlign w:val="center"/>
          </w:tcPr>
          <w:p w14:paraId="6D9359A2">
            <w:pPr>
              <w:pStyle w:val="33"/>
              <w:rPr>
                <w:color w:val="auto"/>
              </w:rPr>
            </w:pPr>
            <w:r>
              <w:rPr>
                <w:rFonts w:hint="eastAsia"/>
                <w:color w:val="auto"/>
              </w:rPr>
              <w:t>改造</w:t>
            </w:r>
            <w:r>
              <w:rPr>
                <w:color w:val="auto"/>
              </w:rPr>
              <w:t>后</w:t>
            </w:r>
            <w:r>
              <w:rPr>
                <w:rFonts w:hint="eastAsia"/>
                <w:color w:val="auto"/>
              </w:rPr>
              <w:t>/300万吨规模</w:t>
            </w:r>
          </w:p>
        </w:tc>
      </w:tr>
      <w:tr w14:paraId="56C7D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37D19F1C">
            <w:pPr>
              <w:pStyle w:val="33"/>
              <w:rPr>
                <w:color w:val="auto"/>
              </w:rPr>
            </w:pPr>
            <w:r>
              <w:rPr>
                <w:rFonts w:hint="eastAsia"/>
                <w:color w:val="auto"/>
              </w:rPr>
              <w:t>1</w:t>
            </w:r>
          </w:p>
        </w:tc>
        <w:tc>
          <w:tcPr>
            <w:tcW w:w="2127" w:type="dxa"/>
            <w:vAlign w:val="center"/>
          </w:tcPr>
          <w:p w14:paraId="7FD1D0BB">
            <w:pPr>
              <w:pStyle w:val="33"/>
              <w:rPr>
                <w:color w:val="auto"/>
              </w:rPr>
            </w:pPr>
            <w:r>
              <w:rPr>
                <w:color w:val="auto"/>
              </w:rPr>
              <w:t>1#白卡纸</w:t>
            </w:r>
            <w:r>
              <w:rPr>
                <w:rFonts w:hint="eastAsia"/>
                <w:color w:val="auto"/>
              </w:rPr>
              <w:t>生产</w:t>
            </w:r>
            <w:r>
              <w:rPr>
                <w:color w:val="auto"/>
              </w:rPr>
              <w:t>线</w:t>
            </w:r>
          </w:p>
        </w:tc>
        <w:tc>
          <w:tcPr>
            <w:tcW w:w="754" w:type="dxa"/>
            <w:vAlign w:val="center"/>
          </w:tcPr>
          <w:p w14:paraId="2F4194CA">
            <w:pPr>
              <w:pStyle w:val="33"/>
              <w:rPr>
                <w:color w:val="auto"/>
              </w:rPr>
            </w:pPr>
            <w:r>
              <w:rPr>
                <w:color w:val="auto"/>
              </w:rPr>
              <w:t>0.06</w:t>
            </w:r>
          </w:p>
        </w:tc>
        <w:tc>
          <w:tcPr>
            <w:tcW w:w="709" w:type="dxa"/>
            <w:vAlign w:val="center"/>
          </w:tcPr>
          <w:p w14:paraId="01F5D0CB">
            <w:pPr>
              <w:pStyle w:val="33"/>
              <w:rPr>
                <w:color w:val="auto"/>
              </w:rPr>
            </w:pPr>
            <w:r>
              <w:rPr>
                <w:color w:val="auto"/>
              </w:rPr>
              <w:t>1.25</w:t>
            </w:r>
          </w:p>
        </w:tc>
        <w:tc>
          <w:tcPr>
            <w:tcW w:w="992" w:type="dxa"/>
          </w:tcPr>
          <w:p w14:paraId="4E57B331">
            <w:pPr>
              <w:pStyle w:val="33"/>
              <w:rPr>
                <w:color w:val="auto"/>
              </w:rPr>
            </w:pPr>
            <w:r>
              <w:rPr>
                <w:rFonts w:hint="eastAsia"/>
                <w:color w:val="auto"/>
              </w:rPr>
              <w:t>—</w:t>
            </w:r>
          </w:p>
        </w:tc>
        <w:tc>
          <w:tcPr>
            <w:tcW w:w="992" w:type="dxa"/>
          </w:tcPr>
          <w:p w14:paraId="15824888">
            <w:pPr>
              <w:pStyle w:val="33"/>
              <w:rPr>
                <w:color w:val="auto"/>
              </w:rPr>
            </w:pPr>
            <w:r>
              <w:rPr>
                <w:rFonts w:hint="eastAsia"/>
                <w:color w:val="auto"/>
              </w:rPr>
              <w:t>—</w:t>
            </w:r>
          </w:p>
        </w:tc>
        <w:tc>
          <w:tcPr>
            <w:tcW w:w="993" w:type="dxa"/>
            <w:vAlign w:val="center"/>
          </w:tcPr>
          <w:p w14:paraId="422538D6">
            <w:pPr>
              <w:pStyle w:val="33"/>
              <w:rPr>
                <w:color w:val="auto"/>
              </w:rPr>
            </w:pPr>
            <w:r>
              <w:rPr>
                <w:rFonts w:hint="eastAsia"/>
                <w:color w:val="auto"/>
              </w:rPr>
              <w:t>11.03</w:t>
            </w:r>
          </w:p>
        </w:tc>
        <w:tc>
          <w:tcPr>
            <w:tcW w:w="1740" w:type="dxa"/>
            <w:vAlign w:val="center"/>
          </w:tcPr>
          <w:p w14:paraId="290242C2">
            <w:pPr>
              <w:pStyle w:val="33"/>
              <w:rPr>
                <w:color w:val="auto"/>
              </w:rPr>
            </w:pPr>
            <w:r>
              <w:rPr>
                <w:rFonts w:hint="eastAsia"/>
                <w:color w:val="auto"/>
              </w:rPr>
              <w:t>229.78</w:t>
            </w:r>
          </w:p>
        </w:tc>
      </w:tr>
      <w:tr w14:paraId="4F9B7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4CA51110">
            <w:pPr>
              <w:pStyle w:val="33"/>
              <w:rPr>
                <w:color w:val="auto"/>
              </w:rPr>
            </w:pPr>
            <w:r>
              <w:rPr>
                <w:rFonts w:hint="eastAsia"/>
                <w:color w:val="auto"/>
              </w:rPr>
              <w:t>2</w:t>
            </w:r>
          </w:p>
        </w:tc>
        <w:tc>
          <w:tcPr>
            <w:tcW w:w="2127" w:type="dxa"/>
            <w:vAlign w:val="center"/>
          </w:tcPr>
          <w:p w14:paraId="738C8347">
            <w:pPr>
              <w:pStyle w:val="33"/>
              <w:rPr>
                <w:color w:val="auto"/>
              </w:rPr>
            </w:pPr>
            <w:r>
              <w:rPr>
                <w:color w:val="auto"/>
              </w:rPr>
              <w:t>2#白卡纸</w:t>
            </w:r>
            <w:r>
              <w:rPr>
                <w:rFonts w:hint="eastAsia"/>
                <w:color w:val="auto"/>
              </w:rPr>
              <w:t>生产</w:t>
            </w:r>
            <w:r>
              <w:rPr>
                <w:color w:val="auto"/>
              </w:rPr>
              <w:t>线</w:t>
            </w:r>
          </w:p>
        </w:tc>
        <w:tc>
          <w:tcPr>
            <w:tcW w:w="754" w:type="dxa"/>
            <w:vAlign w:val="center"/>
          </w:tcPr>
          <w:p w14:paraId="70952D48">
            <w:pPr>
              <w:pStyle w:val="33"/>
              <w:rPr>
                <w:color w:val="auto"/>
              </w:rPr>
            </w:pPr>
            <w:r>
              <w:rPr>
                <w:color w:val="auto"/>
              </w:rPr>
              <w:t>0.11</w:t>
            </w:r>
          </w:p>
        </w:tc>
        <w:tc>
          <w:tcPr>
            <w:tcW w:w="709" w:type="dxa"/>
            <w:vAlign w:val="center"/>
          </w:tcPr>
          <w:p w14:paraId="25F711FA">
            <w:pPr>
              <w:pStyle w:val="33"/>
              <w:rPr>
                <w:color w:val="auto"/>
              </w:rPr>
            </w:pPr>
            <w:r>
              <w:rPr>
                <w:color w:val="auto"/>
              </w:rPr>
              <w:t>1.01</w:t>
            </w:r>
          </w:p>
        </w:tc>
        <w:tc>
          <w:tcPr>
            <w:tcW w:w="992" w:type="dxa"/>
          </w:tcPr>
          <w:p w14:paraId="1279702D">
            <w:pPr>
              <w:pStyle w:val="33"/>
              <w:rPr>
                <w:color w:val="auto"/>
              </w:rPr>
            </w:pPr>
            <w:r>
              <w:rPr>
                <w:rFonts w:hint="eastAsia"/>
                <w:color w:val="auto"/>
              </w:rPr>
              <w:t>—</w:t>
            </w:r>
          </w:p>
        </w:tc>
        <w:tc>
          <w:tcPr>
            <w:tcW w:w="992" w:type="dxa"/>
          </w:tcPr>
          <w:p w14:paraId="57D12558">
            <w:pPr>
              <w:pStyle w:val="33"/>
              <w:rPr>
                <w:color w:val="auto"/>
              </w:rPr>
            </w:pPr>
            <w:r>
              <w:rPr>
                <w:rFonts w:hint="eastAsia"/>
                <w:color w:val="auto"/>
              </w:rPr>
              <w:t>—</w:t>
            </w:r>
          </w:p>
        </w:tc>
        <w:tc>
          <w:tcPr>
            <w:tcW w:w="993" w:type="dxa"/>
            <w:vAlign w:val="center"/>
          </w:tcPr>
          <w:p w14:paraId="0D928740">
            <w:pPr>
              <w:pStyle w:val="33"/>
              <w:rPr>
                <w:color w:val="auto"/>
              </w:rPr>
            </w:pPr>
            <w:r>
              <w:rPr>
                <w:rFonts w:hint="eastAsia"/>
                <w:color w:val="auto"/>
              </w:rPr>
              <w:t>20.22</w:t>
            </w:r>
          </w:p>
        </w:tc>
        <w:tc>
          <w:tcPr>
            <w:tcW w:w="1740" w:type="dxa"/>
            <w:vAlign w:val="center"/>
          </w:tcPr>
          <w:p w14:paraId="495B5367">
            <w:pPr>
              <w:pStyle w:val="33"/>
              <w:rPr>
                <w:color w:val="auto"/>
              </w:rPr>
            </w:pPr>
            <w:r>
              <w:rPr>
                <w:rFonts w:hint="eastAsia"/>
                <w:color w:val="auto"/>
              </w:rPr>
              <w:t>185.66</w:t>
            </w:r>
          </w:p>
        </w:tc>
      </w:tr>
      <w:tr w14:paraId="49521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1A145B4E">
            <w:pPr>
              <w:pStyle w:val="33"/>
              <w:rPr>
                <w:color w:val="auto"/>
              </w:rPr>
            </w:pPr>
            <w:r>
              <w:rPr>
                <w:color w:val="auto"/>
              </w:rPr>
              <w:t>3</w:t>
            </w:r>
          </w:p>
        </w:tc>
        <w:tc>
          <w:tcPr>
            <w:tcW w:w="2127" w:type="dxa"/>
            <w:vAlign w:val="center"/>
          </w:tcPr>
          <w:p w14:paraId="19FF81F3">
            <w:pPr>
              <w:pStyle w:val="33"/>
              <w:rPr>
                <w:color w:val="auto"/>
              </w:rPr>
            </w:pPr>
            <w:r>
              <w:rPr>
                <w:color w:val="auto"/>
              </w:rPr>
              <w:t>纸机外其他车间用汽</w:t>
            </w:r>
          </w:p>
        </w:tc>
        <w:tc>
          <w:tcPr>
            <w:tcW w:w="754" w:type="dxa"/>
          </w:tcPr>
          <w:p w14:paraId="7A290D1B">
            <w:pPr>
              <w:pStyle w:val="33"/>
              <w:rPr>
                <w:color w:val="auto"/>
              </w:rPr>
            </w:pPr>
            <w:r>
              <w:rPr>
                <w:rFonts w:hint="eastAsia"/>
                <w:color w:val="auto"/>
              </w:rPr>
              <w:t>—</w:t>
            </w:r>
          </w:p>
        </w:tc>
        <w:tc>
          <w:tcPr>
            <w:tcW w:w="709" w:type="dxa"/>
          </w:tcPr>
          <w:p w14:paraId="13E8D01A">
            <w:pPr>
              <w:pStyle w:val="33"/>
              <w:rPr>
                <w:color w:val="auto"/>
              </w:rPr>
            </w:pPr>
            <w:r>
              <w:rPr>
                <w:rFonts w:hint="eastAsia"/>
                <w:color w:val="auto"/>
              </w:rPr>
              <w:t>—</w:t>
            </w:r>
          </w:p>
        </w:tc>
        <w:tc>
          <w:tcPr>
            <w:tcW w:w="992" w:type="dxa"/>
          </w:tcPr>
          <w:p w14:paraId="658442B2">
            <w:pPr>
              <w:pStyle w:val="33"/>
              <w:rPr>
                <w:color w:val="auto"/>
              </w:rPr>
            </w:pPr>
            <w:r>
              <w:rPr>
                <w:rFonts w:hint="eastAsia"/>
                <w:color w:val="auto"/>
              </w:rPr>
              <w:t>—</w:t>
            </w:r>
          </w:p>
        </w:tc>
        <w:tc>
          <w:tcPr>
            <w:tcW w:w="992" w:type="dxa"/>
          </w:tcPr>
          <w:p w14:paraId="1DFF8AEC">
            <w:pPr>
              <w:pStyle w:val="33"/>
              <w:rPr>
                <w:color w:val="auto"/>
              </w:rPr>
            </w:pPr>
            <w:r>
              <w:rPr>
                <w:rFonts w:hint="eastAsia"/>
                <w:color w:val="auto"/>
              </w:rPr>
              <w:t>—</w:t>
            </w:r>
          </w:p>
        </w:tc>
        <w:tc>
          <w:tcPr>
            <w:tcW w:w="993" w:type="dxa"/>
            <w:vAlign w:val="center"/>
          </w:tcPr>
          <w:p w14:paraId="6F81348E">
            <w:pPr>
              <w:pStyle w:val="33"/>
              <w:rPr>
                <w:color w:val="auto"/>
              </w:rPr>
            </w:pPr>
            <w:r>
              <w:rPr>
                <w:color w:val="auto"/>
              </w:rPr>
              <w:t>17.3</w:t>
            </w:r>
          </w:p>
        </w:tc>
        <w:tc>
          <w:tcPr>
            <w:tcW w:w="1740" w:type="dxa"/>
            <w:vAlign w:val="center"/>
          </w:tcPr>
          <w:p w14:paraId="4ACA2DF6">
            <w:pPr>
              <w:pStyle w:val="33"/>
              <w:rPr>
                <w:color w:val="auto"/>
              </w:rPr>
            </w:pPr>
            <w:r>
              <w:rPr>
                <w:color w:val="auto"/>
              </w:rPr>
              <w:t>140.3</w:t>
            </w:r>
          </w:p>
        </w:tc>
      </w:tr>
      <w:tr w14:paraId="42F5D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6C950F4D">
            <w:pPr>
              <w:pStyle w:val="33"/>
              <w:rPr>
                <w:color w:val="auto"/>
              </w:rPr>
            </w:pPr>
            <w:r>
              <w:rPr>
                <w:rFonts w:hint="eastAsia"/>
                <w:color w:val="auto"/>
              </w:rPr>
              <w:t>4</w:t>
            </w:r>
          </w:p>
        </w:tc>
        <w:tc>
          <w:tcPr>
            <w:tcW w:w="2127" w:type="dxa"/>
            <w:vAlign w:val="center"/>
          </w:tcPr>
          <w:p w14:paraId="2D78FC6D">
            <w:pPr>
              <w:pStyle w:val="33"/>
              <w:rPr>
                <w:color w:val="auto"/>
              </w:rPr>
            </w:pPr>
            <w:r>
              <w:rPr>
                <w:color w:val="auto"/>
              </w:rPr>
              <w:t>小计</w:t>
            </w:r>
          </w:p>
        </w:tc>
        <w:tc>
          <w:tcPr>
            <w:tcW w:w="754" w:type="dxa"/>
          </w:tcPr>
          <w:p w14:paraId="1578BA64">
            <w:pPr>
              <w:pStyle w:val="33"/>
              <w:rPr>
                <w:color w:val="auto"/>
              </w:rPr>
            </w:pPr>
            <w:r>
              <w:rPr>
                <w:rFonts w:hint="eastAsia"/>
                <w:color w:val="auto"/>
              </w:rPr>
              <w:t>—</w:t>
            </w:r>
          </w:p>
        </w:tc>
        <w:tc>
          <w:tcPr>
            <w:tcW w:w="709" w:type="dxa"/>
          </w:tcPr>
          <w:p w14:paraId="53934B2B">
            <w:pPr>
              <w:pStyle w:val="33"/>
              <w:rPr>
                <w:color w:val="auto"/>
              </w:rPr>
            </w:pPr>
            <w:r>
              <w:rPr>
                <w:rFonts w:hint="eastAsia"/>
                <w:color w:val="auto"/>
              </w:rPr>
              <w:t>—</w:t>
            </w:r>
          </w:p>
        </w:tc>
        <w:tc>
          <w:tcPr>
            <w:tcW w:w="992" w:type="dxa"/>
          </w:tcPr>
          <w:p w14:paraId="54B79D57">
            <w:pPr>
              <w:pStyle w:val="33"/>
              <w:rPr>
                <w:color w:val="auto"/>
              </w:rPr>
            </w:pPr>
            <w:r>
              <w:rPr>
                <w:rFonts w:hint="eastAsia"/>
                <w:color w:val="auto"/>
              </w:rPr>
              <w:t>—</w:t>
            </w:r>
          </w:p>
        </w:tc>
        <w:tc>
          <w:tcPr>
            <w:tcW w:w="992" w:type="dxa"/>
          </w:tcPr>
          <w:p w14:paraId="231C01F3">
            <w:pPr>
              <w:pStyle w:val="33"/>
              <w:rPr>
                <w:color w:val="auto"/>
              </w:rPr>
            </w:pPr>
            <w:r>
              <w:rPr>
                <w:rFonts w:hint="eastAsia"/>
                <w:color w:val="auto"/>
              </w:rPr>
              <w:t>—</w:t>
            </w:r>
          </w:p>
        </w:tc>
        <w:tc>
          <w:tcPr>
            <w:tcW w:w="993" w:type="dxa"/>
            <w:vAlign w:val="center"/>
          </w:tcPr>
          <w:p w14:paraId="04839DF9">
            <w:pPr>
              <w:pStyle w:val="33"/>
              <w:rPr>
                <w:color w:val="auto"/>
              </w:rPr>
            </w:pPr>
            <w:r>
              <w:rPr>
                <w:rFonts w:hint="eastAsia"/>
                <w:color w:val="auto"/>
              </w:rPr>
              <w:t>48.55</w:t>
            </w:r>
          </w:p>
        </w:tc>
        <w:tc>
          <w:tcPr>
            <w:tcW w:w="1740" w:type="dxa"/>
            <w:vAlign w:val="center"/>
          </w:tcPr>
          <w:p w14:paraId="48501300">
            <w:pPr>
              <w:pStyle w:val="33"/>
              <w:rPr>
                <w:color w:val="auto"/>
              </w:rPr>
            </w:pPr>
            <w:r>
              <w:rPr>
                <w:rFonts w:hint="eastAsia"/>
                <w:color w:val="auto"/>
              </w:rPr>
              <w:t>555.74</w:t>
            </w:r>
          </w:p>
        </w:tc>
      </w:tr>
      <w:tr w14:paraId="6E4D6F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7" w:type="dxa"/>
            <w:vAlign w:val="center"/>
          </w:tcPr>
          <w:p w14:paraId="6BD3A8AB">
            <w:pPr>
              <w:pStyle w:val="33"/>
              <w:rPr>
                <w:color w:val="auto"/>
              </w:rPr>
            </w:pPr>
            <w:r>
              <w:rPr>
                <w:color w:val="auto"/>
              </w:rPr>
              <w:t>三</w:t>
            </w:r>
          </w:p>
        </w:tc>
        <w:tc>
          <w:tcPr>
            <w:tcW w:w="2127" w:type="dxa"/>
            <w:vAlign w:val="center"/>
          </w:tcPr>
          <w:p w14:paraId="31FA94B2">
            <w:pPr>
              <w:pStyle w:val="33"/>
              <w:rPr>
                <w:color w:val="auto"/>
              </w:rPr>
            </w:pPr>
            <w:r>
              <w:rPr>
                <w:color w:val="auto"/>
              </w:rPr>
              <w:t>本项目新增用汽量</w:t>
            </w:r>
          </w:p>
        </w:tc>
        <w:tc>
          <w:tcPr>
            <w:tcW w:w="754" w:type="dxa"/>
          </w:tcPr>
          <w:p w14:paraId="75272BC8">
            <w:pPr>
              <w:pStyle w:val="33"/>
              <w:rPr>
                <w:color w:val="auto"/>
              </w:rPr>
            </w:pPr>
            <w:r>
              <w:rPr>
                <w:rFonts w:hint="eastAsia"/>
                <w:color w:val="auto"/>
              </w:rPr>
              <w:t>—</w:t>
            </w:r>
          </w:p>
        </w:tc>
        <w:tc>
          <w:tcPr>
            <w:tcW w:w="709" w:type="dxa"/>
          </w:tcPr>
          <w:p w14:paraId="7AC77D8E">
            <w:pPr>
              <w:pStyle w:val="33"/>
              <w:rPr>
                <w:color w:val="auto"/>
              </w:rPr>
            </w:pPr>
            <w:r>
              <w:rPr>
                <w:rFonts w:hint="eastAsia"/>
                <w:color w:val="auto"/>
              </w:rPr>
              <w:t>—</w:t>
            </w:r>
          </w:p>
        </w:tc>
        <w:tc>
          <w:tcPr>
            <w:tcW w:w="992" w:type="dxa"/>
          </w:tcPr>
          <w:p w14:paraId="5228B1FC">
            <w:pPr>
              <w:pStyle w:val="33"/>
              <w:rPr>
                <w:color w:val="auto"/>
              </w:rPr>
            </w:pPr>
            <w:r>
              <w:rPr>
                <w:rFonts w:hint="eastAsia"/>
                <w:color w:val="auto"/>
              </w:rPr>
              <w:t>—</w:t>
            </w:r>
          </w:p>
        </w:tc>
        <w:tc>
          <w:tcPr>
            <w:tcW w:w="992" w:type="dxa"/>
          </w:tcPr>
          <w:p w14:paraId="7E41050F">
            <w:pPr>
              <w:pStyle w:val="33"/>
              <w:rPr>
                <w:color w:val="auto"/>
              </w:rPr>
            </w:pPr>
            <w:r>
              <w:rPr>
                <w:rFonts w:hint="eastAsia"/>
                <w:color w:val="auto"/>
              </w:rPr>
              <w:t>—</w:t>
            </w:r>
          </w:p>
        </w:tc>
        <w:tc>
          <w:tcPr>
            <w:tcW w:w="993" w:type="dxa"/>
            <w:vAlign w:val="center"/>
          </w:tcPr>
          <w:p w14:paraId="1F6BFB99">
            <w:pPr>
              <w:pStyle w:val="33"/>
              <w:rPr>
                <w:color w:val="auto"/>
              </w:rPr>
            </w:pPr>
            <w:r>
              <w:rPr>
                <w:rFonts w:hint="eastAsia"/>
                <w:color w:val="auto"/>
              </w:rPr>
              <w:t>-9.19</w:t>
            </w:r>
          </w:p>
        </w:tc>
        <w:tc>
          <w:tcPr>
            <w:tcW w:w="1740" w:type="dxa"/>
            <w:vAlign w:val="center"/>
          </w:tcPr>
          <w:p w14:paraId="0C9FECD5">
            <w:pPr>
              <w:pStyle w:val="33"/>
              <w:rPr>
                <w:color w:val="auto"/>
              </w:rPr>
            </w:pPr>
            <w:r>
              <w:rPr>
                <w:rFonts w:hint="eastAsia"/>
                <w:color w:val="auto"/>
              </w:rPr>
              <w:t>26.96</w:t>
            </w:r>
          </w:p>
        </w:tc>
      </w:tr>
    </w:tbl>
    <w:p w14:paraId="29FA2758">
      <w:pPr>
        <w:ind w:firstLine="480"/>
        <w:rPr>
          <w:color w:val="auto"/>
        </w:rPr>
      </w:pPr>
    </w:p>
    <w:p w14:paraId="3D3B00ED">
      <w:pPr>
        <w:ind w:firstLine="480"/>
        <w:rPr>
          <w:color w:val="auto"/>
        </w:rPr>
      </w:pPr>
      <w:r>
        <w:rPr>
          <w:rFonts w:hint="eastAsia"/>
          <w:color w:val="auto"/>
        </w:rPr>
        <w:t>本项目新增低压蒸汽用量为26.96t/h，减少中压蒸汽为9.19t/h，合计增加蒸汽用量为：26.96-9.19=17.77（t/h）。蒸汽供应全部来自厂区内自备热电站，3台锅炉向外供汽量为968t/h（其中低压848t/h，中压120t/h）。目前现有生产线用汽量中压蒸汽57.74t/h，低压蒸汽528.78t/h。热电站有富余量的蒸汽，中压蒸汽120-57.74=62.26（t/h），低压蒸汽848-528.78=319.22（t/h）。升级改造后本全厂的蒸汽用量为604.29 t/h（其中低压555.74 t/h，中压48.55t/h）。热电站的供汽能力满足升级改造的需求。热电站热能由供热锅炉提供，由于当前供热锅炉已经满负荷运行，本项目不新增供热锅炉负荷，由于项目使用增加的蒸汽量通过热电站调节蒸汽分配，相应减少发电蒸汽实现，即部分用于发电的蒸汽用于本项目。项目建成后，锅炉生产负荷不变，但热电站发电量减少。</w:t>
      </w:r>
    </w:p>
    <w:p w14:paraId="00B9F371">
      <w:pPr>
        <w:pStyle w:val="5"/>
        <w:rPr>
          <w:color w:val="auto"/>
        </w:rPr>
      </w:pPr>
      <w:r>
        <w:rPr>
          <w:rFonts w:hint="eastAsia"/>
          <w:color w:val="auto"/>
        </w:rPr>
        <w:t>消防系统</w:t>
      </w:r>
    </w:p>
    <w:p w14:paraId="014F3D9E">
      <w:pPr>
        <w:ind w:firstLine="480"/>
        <w:rPr>
          <w:color w:val="auto"/>
        </w:rPr>
      </w:pPr>
      <w:r>
        <w:rPr>
          <w:rFonts w:hint="eastAsia"/>
          <w:color w:val="auto"/>
        </w:rPr>
        <w:t>本工程主要在造纸联合厂房进行工艺改造，故消防设施可以利旧使用。造纸联合厂房已经设置有室内外消火栓给水系统、磷酸铵盐干粉灭火器系统、纸机密闭气罩喷淋系统。项目所在厂区已经设置有室内外消火栓给水系统、自动喷淋、消防水炮给水系统，且各消防系统分别设置了独立的管网。企业已自建一座消防站，并定期对公司全员进行消防培训。</w:t>
      </w:r>
    </w:p>
    <w:p w14:paraId="6C6D381B">
      <w:pPr>
        <w:pStyle w:val="5"/>
        <w:rPr>
          <w:color w:val="auto"/>
        </w:rPr>
      </w:pPr>
      <w:r>
        <w:rPr>
          <w:rFonts w:hint="eastAsia"/>
          <w:color w:val="auto"/>
        </w:rPr>
        <w:t>供气</w:t>
      </w:r>
    </w:p>
    <w:p w14:paraId="7D3E904E">
      <w:pPr>
        <w:ind w:firstLine="480"/>
        <w:rPr>
          <w:color w:val="auto"/>
        </w:rPr>
      </w:pPr>
      <w:r>
        <w:rPr>
          <w:rFonts w:hint="eastAsia"/>
          <w:color w:val="auto"/>
        </w:rPr>
        <w:t>依托</w:t>
      </w:r>
      <w:r>
        <w:rPr>
          <w:color w:val="auto"/>
        </w:rPr>
        <w:t>金桂公司现有天然气计量站，由管道接入</w:t>
      </w:r>
      <w:r>
        <w:rPr>
          <w:rFonts w:hint="eastAsia"/>
          <w:color w:val="auto"/>
        </w:rPr>
        <w:t>。</w:t>
      </w:r>
    </w:p>
    <w:p w14:paraId="2D4242E0">
      <w:pPr>
        <w:pStyle w:val="4"/>
        <w:rPr>
          <w:color w:val="auto"/>
        </w:rPr>
      </w:pPr>
      <w:bookmarkStart w:id="194" w:name="_Toc225216698"/>
      <w:r>
        <w:rPr>
          <w:color w:val="auto"/>
        </w:rPr>
        <w:t>储运工程</w:t>
      </w:r>
      <w:bookmarkEnd w:id="194"/>
    </w:p>
    <w:p w14:paraId="620C4717">
      <w:pPr>
        <w:ind w:firstLine="480"/>
        <w:rPr>
          <w:color w:val="auto"/>
          <w:spacing w:val="-3"/>
          <w:szCs w:val="21"/>
        </w:rPr>
      </w:pPr>
      <w:r>
        <w:rPr>
          <w:rFonts w:hint="eastAsia"/>
          <w:color w:val="auto"/>
        </w:rPr>
        <w:t>根据项目可行性研究报告，本项目使用的化学品储罐、</w:t>
      </w:r>
      <w:r>
        <w:rPr>
          <w:rFonts w:hint="eastAsia"/>
          <w:color w:val="auto"/>
          <w:spacing w:val="-3"/>
          <w:szCs w:val="21"/>
        </w:rPr>
        <w:t>各类仓库均可依托现有工程，不新建。</w:t>
      </w:r>
    </w:p>
    <w:p w14:paraId="0782D0C5">
      <w:pPr>
        <w:ind w:firstLine="468"/>
        <w:rPr>
          <w:color w:val="auto"/>
          <w:spacing w:val="-3"/>
          <w:szCs w:val="21"/>
        </w:rPr>
      </w:pPr>
      <w:r>
        <w:rPr>
          <w:rFonts w:hint="eastAsia"/>
          <w:color w:val="auto"/>
          <w:spacing w:val="-3"/>
          <w:szCs w:val="21"/>
        </w:rPr>
        <w:t>现有工程储运工程包括：</w:t>
      </w:r>
    </w:p>
    <w:p w14:paraId="6713295F">
      <w:pPr>
        <w:ind w:firstLine="468"/>
        <w:rPr>
          <w:color w:val="auto"/>
          <w:spacing w:val="-3"/>
          <w:szCs w:val="21"/>
        </w:rPr>
      </w:pPr>
      <w:r>
        <w:rPr>
          <w:rFonts w:hint="eastAsia"/>
          <w:color w:val="auto"/>
          <w:spacing w:val="-3"/>
        </w:rPr>
        <w:t>1、</w:t>
      </w:r>
      <w:r>
        <w:rPr>
          <w:color w:val="auto"/>
          <w:spacing w:val="-3"/>
        </w:rPr>
        <w:t>化学品储</w:t>
      </w:r>
      <w:r>
        <w:rPr>
          <w:color w:val="auto"/>
        </w:rPr>
        <w:t>罐</w:t>
      </w:r>
      <w:r>
        <w:rPr>
          <w:rFonts w:hint="eastAsia"/>
          <w:color w:val="auto"/>
        </w:rPr>
        <w:t>：</w:t>
      </w:r>
      <w:r>
        <w:rPr>
          <w:color w:val="auto"/>
        </w:rPr>
        <w:t>NaOH储罐2个（1×100m</w:t>
      </w:r>
      <w:r>
        <w:rPr>
          <w:color w:val="auto"/>
          <w:position w:val="7"/>
          <w:sz w:val="14"/>
          <w:szCs w:val="14"/>
        </w:rPr>
        <w:t>3</w:t>
      </w:r>
      <w:r>
        <w:rPr>
          <w:color w:val="auto"/>
        </w:rPr>
        <w:t>、1×1000m</w:t>
      </w:r>
      <w:r>
        <w:rPr>
          <w:color w:val="auto"/>
          <w:position w:val="7"/>
          <w:sz w:val="14"/>
          <w:szCs w:val="14"/>
        </w:rPr>
        <w:t>3</w:t>
      </w:r>
      <w:r>
        <w:rPr>
          <w:color w:val="auto"/>
        </w:rPr>
        <w:t>）、白液储罐1个</w:t>
      </w:r>
      <w:r>
        <w:rPr>
          <w:color w:val="auto"/>
          <w:spacing w:val="-2"/>
        </w:rPr>
        <w:t>（550m</w:t>
      </w:r>
      <w:r>
        <w:rPr>
          <w:color w:val="auto"/>
          <w:spacing w:val="-2"/>
          <w:position w:val="7"/>
          <w:sz w:val="14"/>
          <w:szCs w:val="14"/>
        </w:rPr>
        <w:t>3</w:t>
      </w:r>
      <w:r>
        <w:rPr>
          <w:color w:val="auto"/>
          <w:spacing w:val="-2"/>
        </w:rPr>
        <w:t>）、混合苏打储罐4个（1×550m</w:t>
      </w:r>
      <w:r>
        <w:rPr>
          <w:color w:val="auto"/>
          <w:spacing w:val="-2"/>
          <w:position w:val="7"/>
          <w:sz w:val="14"/>
          <w:szCs w:val="14"/>
        </w:rPr>
        <w:t>3</w:t>
      </w:r>
      <w:r>
        <w:rPr>
          <w:color w:val="auto"/>
          <w:spacing w:val="-2"/>
        </w:rPr>
        <w:t>、3×100m</w:t>
      </w:r>
      <w:r>
        <w:rPr>
          <w:color w:val="auto"/>
          <w:spacing w:val="-2"/>
          <w:position w:val="7"/>
          <w:sz w:val="14"/>
          <w:szCs w:val="14"/>
        </w:rPr>
        <w:t>3</w:t>
      </w:r>
      <w:r>
        <w:rPr>
          <w:color w:val="auto"/>
          <w:spacing w:val="-2"/>
        </w:rPr>
        <w:t>）、</w:t>
      </w:r>
      <w:r>
        <w:rPr>
          <w:color w:val="auto"/>
          <w:spacing w:val="4"/>
        </w:rPr>
        <w:t>H</w:t>
      </w:r>
      <w:r>
        <w:rPr>
          <w:color w:val="auto"/>
          <w:spacing w:val="4"/>
          <w:position w:val="-2"/>
          <w:sz w:val="14"/>
          <w:szCs w:val="14"/>
        </w:rPr>
        <w:t>2</w:t>
      </w:r>
      <w:r>
        <w:rPr>
          <w:color w:val="auto"/>
          <w:spacing w:val="4"/>
        </w:rPr>
        <w:t>O</w:t>
      </w:r>
      <w:r>
        <w:rPr>
          <w:color w:val="auto"/>
          <w:spacing w:val="4"/>
          <w:position w:val="-2"/>
          <w:sz w:val="14"/>
          <w:szCs w:val="14"/>
        </w:rPr>
        <w:t>2</w:t>
      </w:r>
      <w:r>
        <w:rPr>
          <w:color w:val="auto"/>
          <w:spacing w:val="4"/>
        </w:rPr>
        <w:t>储罐5个（3×1000m</w:t>
      </w:r>
      <w:r>
        <w:rPr>
          <w:color w:val="auto"/>
          <w:spacing w:val="4"/>
          <w:position w:val="7"/>
          <w:sz w:val="14"/>
          <w:szCs w:val="14"/>
        </w:rPr>
        <w:t>3</w:t>
      </w:r>
      <w:r>
        <w:rPr>
          <w:color w:val="auto"/>
          <w:spacing w:val="4"/>
        </w:rPr>
        <w:t>，2×50m</w:t>
      </w:r>
      <w:r>
        <w:rPr>
          <w:color w:val="auto"/>
          <w:spacing w:val="4"/>
          <w:position w:val="7"/>
          <w:sz w:val="14"/>
          <w:szCs w:val="14"/>
        </w:rPr>
        <w:t>3</w:t>
      </w:r>
      <w:r>
        <w:rPr>
          <w:color w:val="auto"/>
          <w:spacing w:val="4"/>
        </w:rPr>
        <w:t>）、醋酸储罐3个</w:t>
      </w:r>
      <w:r>
        <w:rPr>
          <w:color w:val="auto"/>
          <w:spacing w:val="-6"/>
        </w:rPr>
        <w:t>（3×210m</w:t>
      </w:r>
      <w:r>
        <w:rPr>
          <w:color w:val="auto"/>
          <w:spacing w:val="-6"/>
          <w:position w:val="7"/>
          <w:sz w:val="14"/>
          <w:szCs w:val="14"/>
        </w:rPr>
        <w:t>3</w:t>
      </w:r>
      <w:r>
        <w:rPr>
          <w:color w:val="auto"/>
          <w:spacing w:val="-6"/>
        </w:rPr>
        <w:t>）、盐酸储罐2个（1×80m</w:t>
      </w:r>
      <w:r>
        <w:rPr>
          <w:color w:val="auto"/>
          <w:spacing w:val="-6"/>
          <w:position w:val="7"/>
          <w:sz w:val="14"/>
          <w:szCs w:val="14"/>
        </w:rPr>
        <w:t>3</w:t>
      </w:r>
      <w:r>
        <w:rPr>
          <w:color w:val="auto"/>
          <w:spacing w:val="-6"/>
        </w:rPr>
        <w:t>、1×60m</w:t>
      </w:r>
      <w:r>
        <w:rPr>
          <w:color w:val="auto"/>
          <w:spacing w:val="-6"/>
          <w:position w:val="7"/>
          <w:sz w:val="14"/>
          <w:szCs w:val="14"/>
        </w:rPr>
        <w:t>3</w:t>
      </w:r>
      <w:r>
        <w:rPr>
          <w:color w:val="auto"/>
          <w:spacing w:val="-7"/>
        </w:rPr>
        <w:t>）、液氨</w:t>
      </w:r>
      <w:r>
        <w:rPr>
          <w:color w:val="auto"/>
          <w:spacing w:val="-5"/>
        </w:rPr>
        <w:t>储罐2个（2×50m</w:t>
      </w:r>
      <w:r>
        <w:rPr>
          <w:color w:val="auto"/>
          <w:spacing w:val="-5"/>
          <w:position w:val="7"/>
          <w:sz w:val="14"/>
          <w:szCs w:val="14"/>
        </w:rPr>
        <w:t>3</w:t>
      </w:r>
      <w:r>
        <w:rPr>
          <w:color w:val="auto"/>
          <w:spacing w:val="-5"/>
        </w:rPr>
        <w:t>）、液化石油气储罐3个（3×100m</w:t>
      </w:r>
      <w:r>
        <w:rPr>
          <w:color w:val="auto"/>
          <w:spacing w:val="-5"/>
          <w:position w:val="7"/>
          <w:sz w:val="14"/>
          <w:szCs w:val="14"/>
        </w:rPr>
        <w:t>3</w:t>
      </w:r>
      <w:r>
        <w:rPr>
          <w:color w:val="auto"/>
          <w:spacing w:val="-5"/>
        </w:rPr>
        <w:t>）、</w:t>
      </w:r>
      <w:r>
        <w:rPr>
          <w:color w:val="auto"/>
          <w:spacing w:val="-6"/>
        </w:rPr>
        <w:t>柴油储罐4个（2×500m</w:t>
      </w:r>
      <w:r>
        <w:rPr>
          <w:color w:val="auto"/>
          <w:spacing w:val="-6"/>
          <w:position w:val="7"/>
          <w:sz w:val="14"/>
          <w:szCs w:val="14"/>
        </w:rPr>
        <w:t>3</w:t>
      </w:r>
      <w:r>
        <w:rPr>
          <w:color w:val="auto"/>
          <w:spacing w:val="-6"/>
        </w:rPr>
        <w:t>，1×50m</w:t>
      </w:r>
      <w:r>
        <w:rPr>
          <w:color w:val="auto"/>
          <w:spacing w:val="-6"/>
          <w:position w:val="7"/>
          <w:sz w:val="14"/>
          <w:szCs w:val="14"/>
        </w:rPr>
        <w:t>3</w:t>
      </w:r>
      <w:r>
        <w:rPr>
          <w:color w:val="auto"/>
          <w:spacing w:val="-6"/>
        </w:rPr>
        <w:t>、1×300m</w:t>
      </w:r>
      <w:r>
        <w:rPr>
          <w:color w:val="auto"/>
          <w:spacing w:val="-6"/>
          <w:position w:val="7"/>
          <w:sz w:val="14"/>
          <w:szCs w:val="14"/>
        </w:rPr>
        <w:t>3</w:t>
      </w:r>
      <w:r>
        <w:rPr>
          <w:color w:val="auto"/>
          <w:spacing w:val="-6"/>
        </w:rPr>
        <w:t>）、DTPA储</w:t>
      </w:r>
      <w:r>
        <w:rPr>
          <w:color w:val="auto"/>
          <w:spacing w:val="-4"/>
        </w:rPr>
        <w:t>罐3个（3×100m</w:t>
      </w:r>
      <w:r>
        <w:rPr>
          <w:color w:val="auto"/>
          <w:spacing w:val="-4"/>
          <w:position w:val="7"/>
          <w:sz w:val="14"/>
          <w:szCs w:val="14"/>
        </w:rPr>
        <w:t>3</w:t>
      </w:r>
      <w:r>
        <w:rPr>
          <w:color w:val="auto"/>
          <w:spacing w:val="-4"/>
        </w:rPr>
        <w:t>）、汽油储罐1个（30m</w:t>
      </w:r>
      <w:r>
        <w:rPr>
          <w:color w:val="auto"/>
          <w:spacing w:val="-4"/>
          <w:position w:val="7"/>
          <w:sz w:val="14"/>
          <w:szCs w:val="14"/>
        </w:rPr>
        <w:t>3</w:t>
      </w:r>
      <w:r>
        <w:rPr>
          <w:color w:val="auto"/>
          <w:spacing w:val="-4"/>
        </w:rPr>
        <w:t>）、重油储罐2</w:t>
      </w:r>
      <w:r>
        <w:rPr>
          <w:color w:val="auto"/>
          <w:spacing w:val="-2"/>
        </w:rPr>
        <w:t>个（2×2000m</w:t>
      </w:r>
      <w:r>
        <w:rPr>
          <w:color w:val="auto"/>
          <w:spacing w:val="-2"/>
          <w:position w:val="7"/>
          <w:sz w:val="14"/>
          <w:szCs w:val="14"/>
        </w:rPr>
        <w:t>3</w:t>
      </w:r>
      <w:r>
        <w:rPr>
          <w:color w:val="auto"/>
          <w:spacing w:val="-2"/>
        </w:rPr>
        <w:t>）、稳定剂储罐6个（6×100m</w:t>
      </w:r>
      <w:r>
        <w:rPr>
          <w:color w:val="auto"/>
          <w:spacing w:val="-2"/>
          <w:position w:val="7"/>
          <w:sz w:val="14"/>
          <w:szCs w:val="14"/>
        </w:rPr>
        <w:t>3</w:t>
      </w:r>
      <w:r>
        <w:rPr>
          <w:color w:val="auto"/>
          <w:spacing w:val="-2"/>
        </w:rPr>
        <w:t>）。</w:t>
      </w:r>
      <w:r>
        <w:rPr>
          <w:color w:val="auto"/>
          <w:spacing w:val="-6"/>
        </w:rPr>
        <w:t>过氧化氢装置区设双氧水产品储罐4个（4×2169m</w:t>
      </w:r>
      <w:r>
        <w:rPr>
          <w:color w:val="auto"/>
          <w:spacing w:val="-6"/>
          <w:position w:val="7"/>
          <w:sz w:val="14"/>
          <w:szCs w:val="14"/>
        </w:rPr>
        <w:t>3</w:t>
      </w:r>
      <w:r>
        <w:rPr>
          <w:color w:val="auto"/>
          <w:spacing w:val="-6"/>
        </w:rPr>
        <w:t>）、中</w:t>
      </w:r>
      <w:r>
        <w:rPr>
          <w:color w:val="auto"/>
          <w:spacing w:val="-5"/>
        </w:rPr>
        <w:t>间罐2个（2×1140m</w:t>
      </w:r>
      <w:r>
        <w:rPr>
          <w:color w:val="auto"/>
          <w:spacing w:val="-5"/>
          <w:position w:val="7"/>
          <w:sz w:val="14"/>
          <w:szCs w:val="14"/>
        </w:rPr>
        <w:t>3</w:t>
      </w:r>
      <w:r>
        <w:rPr>
          <w:color w:val="auto"/>
          <w:spacing w:val="-5"/>
        </w:rPr>
        <w:t>）、重芳烃罐、磷</w:t>
      </w:r>
      <w:r>
        <w:rPr>
          <w:color w:val="auto"/>
          <w:spacing w:val="-6"/>
        </w:rPr>
        <w:t>酸罐、四丁基脲、</w:t>
      </w:r>
      <w:r>
        <w:rPr>
          <w:color w:val="auto"/>
          <w:spacing w:val="-3"/>
        </w:rPr>
        <w:t>磷酸三辛酯各1个（4×118m</w:t>
      </w:r>
      <w:r>
        <w:rPr>
          <w:color w:val="auto"/>
          <w:spacing w:val="-3"/>
          <w:position w:val="7"/>
          <w:sz w:val="14"/>
          <w:szCs w:val="14"/>
        </w:rPr>
        <w:t>3</w:t>
      </w:r>
      <w:r>
        <w:rPr>
          <w:color w:val="auto"/>
          <w:spacing w:val="-3"/>
        </w:rPr>
        <w:t>）。</w:t>
      </w:r>
    </w:p>
    <w:p w14:paraId="285F5C81">
      <w:pPr>
        <w:ind w:firstLine="468"/>
        <w:rPr>
          <w:color w:val="auto"/>
          <w:spacing w:val="-3"/>
          <w:szCs w:val="21"/>
        </w:rPr>
      </w:pPr>
      <w:r>
        <w:rPr>
          <w:rFonts w:hint="eastAsia"/>
          <w:color w:val="auto"/>
          <w:spacing w:val="-3"/>
          <w:szCs w:val="21"/>
        </w:rPr>
        <w:t>2、</w:t>
      </w:r>
      <w:r>
        <w:rPr>
          <w:color w:val="auto"/>
          <w:spacing w:val="-3"/>
          <w:szCs w:val="21"/>
        </w:rPr>
        <w:t>各类仓库</w:t>
      </w:r>
      <w:r>
        <w:rPr>
          <w:rFonts w:hint="eastAsia"/>
          <w:color w:val="auto"/>
          <w:spacing w:val="-3"/>
          <w:szCs w:val="21"/>
        </w:rPr>
        <w:t>：</w:t>
      </w:r>
      <w:r>
        <w:rPr>
          <w:color w:val="auto"/>
          <w:spacing w:val="-1"/>
          <w:szCs w:val="21"/>
        </w:rPr>
        <w:t>物料仓库建筑面积</w:t>
      </w:r>
      <w:r>
        <w:rPr>
          <w:rFonts w:eastAsia="Times New Roman"/>
          <w:color w:val="auto"/>
          <w:spacing w:val="-1"/>
          <w:szCs w:val="21"/>
        </w:rPr>
        <w:t>17940m</w:t>
      </w:r>
      <w:r>
        <w:rPr>
          <w:rFonts w:eastAsia="Times New Roman"/>
          <w:color w:val="auto"/>
          <w:spacing w:val="-1"/>
          <w:position w:val="7"/>
          <w:sz w:val="14"/>
          <w:szCs w:val="14"/>
        </w:rPr>
        <w:t>2</w:t>
      </w:r>
      <w:r>
        <w:rPr>
          <w:color w:val="auto"/>
          <w:spacing w:val="-1"/>
          <w:szCs w:val="21"/>
        </w:rPr>
        <w:t>。纸成品仓库建筑面积</w:t>
      </w:r>
      <w:r>
        <w:rPr>
          <w:rFonts w:eastAsia="Times New Roman"/>
          <w:color w:val="auto"/>
          <w:spacing w:val="-1"/>
          <w:szCs w:val="21"/>
        </w:rPr>
        <w:t>3×23500m</w:t>
      </w:r>
      <w:r>
        <w:rPr>
          <w:rFonts w:eastAsia="Times New Roman"/>
          <w:color w:val="auto"/>
          <w:spacing w:val="-1"/>
          <w:position w:val="7"/>
          <w:sz w:val="14"/>
          <w:szCs w:val="14"/>
        </w:rPr>
        <w:t>2</w:t>
      </w:r>
      <w:r>
        <w:rPr>
          <w:color w:val="auto"/>
          <w:spacing w:val="-1"/>
          <w:szCs w:val="21"/>
        </w:rPr>
        <w:t>，共</w:t>
      </w:r>
      <w:r>
        <w:rPr>
          <w:rFonts w:eastAsia="Times New Roman"/>
          <w:color w:val="auto"/>
          <w:spacing w:val="-1"/>
          <w:szCs w:val="21"/>
        </w:rPr>
        <w:t>70500m</w:t>
      </w:r>
      <w:r>
        <w:rPr>
          <w:rFonts w:eastAsia="Times New Roman"/>
          <w:color w:val="auto"/>
          <w:spacing w:val="-1"/>
          <w:position w:val="7"/>
          <w:sz w:val="14"/>
          <w:szCs w:val="14"/>
        </w:rPr>
        <w:t>2</w:t>
      </w:r>
      <w:r>
        <w:rPr>
          <w:color w:val="auto"/>
          <w:spacing w:val="-1"/>
          <w:szCs w:val="21"/>
        </w:rPr>
        <w:t>。造纸化工品仓库建筑面积</w:t>
      </w:r>
      <w:r>
        <w:rPr>
          <w:rFonts w:eastAsia="Times New Roman"/>
          <w:color w:val="auto"/>
          <w:spacing w:val="-1"/>
          <w:szCs w:val="21"/>
        </w:rPr>
        <w:t>9000m</w:t>
      </w:r>
      <w:r>
        <w:rPr>
          <w:rFonts w:eastAsia="Times New Roman"/>
          <w:color w:val="auto"/>
          <w:spacing w:val="-1"/>
          <w:position w:val="7"/>
          <w:sz w:val="14"/>
          <w:szCs w:val="14"/>
        </w:rPr>
        <w:t>2</w:t>
      </w:r>
      <w:r>
        <w:rPr>
          <w:color w:val="auto"/>
          <w:spacing w:val="-1"/>
          <w:szCs w:val="21"/>
        </w:rPr>
        <w:t>。过氧化氢项目配套仓库建筑面积</w:t>
      </w:r>
      <w:r>
        <w:rPr>
          <w:rFonts w:eastAsia="Times New Roman"/>
          <w:color w:val="auto"/>
          <w:spacing w:val="-1"/>
          <w:szCs w:val="21"/>
        </w:rPr>
        <w:t>882m</w:t>
      </w:r>
      <w:r>
        <w:rPr>
          <w:rFonts w:eastAsia="Times New Roman"/>
          <w:color w:val="auto"/>
          <w:spacing w:val="-1"/>
          <w:position w:val="7"/>
          <w:sz w:val="14"/>
          <w:szCs w:val="14"/>
        </w:rPr>
        <w:t>2</w:t>
      </w:r>
      <w:r>
        <w:rPr>
          <w:color w:val="auto"/>
          <w:spacing w:val="-1"/>
          <w:szCs w:val="21"/>
        </w:rPr>
        <w:t>。</w:t>
      </w:r>
    </w:p>
    <w:p w14:paraId="4D402695">
      <w:pPr>
        <w:ind w:firstLine="468"/>
        <w:rPr>
          <w:color w:val="auto"/>
          <w:spacing w:val="-3"/>
          <w:szCs w:val="21"/>
        </w:rPr>
      </w:pPr>
      <w:r>
        <w:rPr>
          <w:rFonts w:hint="eastAsia"/>
          <w:color w:val="auto"/>
          <w:spacing w:val="-3"/>
          <w:szCs w:val="21"/>
        </w:rPr>
        <w:t>3、</w:t>
      </w:r>
      <w:r>
        <w:rPr>
          <w:color w:val="auto"/>
          <w:spacing w:val="-3"/>
          <w:szCs w:val="21"/>
        </w:rPr>
        <w:t>厂外工程</w:t>
      </w:r>
      <w:r>
        <w:rPr>
          <w:rFonts w:hint="eastAsia"/>
          <w:color w:val="auto"/>
        </w:rPr>
        <w:t>：</w:t>
      </w:r>
      <w:r>
        <w:rPr>
          <w:color w:val="auto"/>
          <w:spacing w:val="-4"/>
          <w:szCs w:val="21"/>
        </w:rPr>
        <w:t>使用钦州港公用码头</w:t>
      </w:r>
    </w:p>
    <w:p w14:paraId="0C1034A5">
      <w:pPr>
        <w:pStyle w:val="4"/>
        <w:rPr>
          <w:color w:val="auto"/>
        </w:rPr>
      </w:pPr>
      <w:bookmarkStart w:id="195" w:name="_Toc225216699"/>
      <w:r>
        <w:rPr>
          <w:color w:val="auto"/>
        </w:rPr>
        <w:t>辅助工程</w:t>
      </w:r>
      <w:bookmarkEnd w:id="195"/>
    </w:p>
    <w:p w14:paraId="64C05802">
      <w:pPr>
        <w:pStyle w:val="5"/>
        <w:rPr>
          <w:color w:val="auto"/>
        </w:rPr>
      </w:pPr>
      <w:r>
        <w:rPr>
          <w:rFonts w:hint="eastAsia"/>
          <w:color w:val="auto"/>
        </w:rPr>
        <w:t>通风采暖</w:t>
      </w:r>
    </w:p>
    <w:p w14:paraId="6EA39314">
      <w:pPr>
        <w:ind w:firstLine="480"/>
        <w:rPr>
          <w:color w:val="auto"/>
        </w:rPr>
      </w:pPr>
      <w:r>
        <w:rPr>
          <w:rFonts w:hint="eastAsia"/>
          <w:color w:val="auto"/>
        </w:rPr>
        <w:t>因本次改造只是在原有车间增加部分工艺设备，其他未做变动，所以采暖维持原设计不变。</w:t>
      </w:r>
    </w:p>
    <w:p w14:paraId="19EF92B2">
      <w:pPr>
        <w:ind w:firstLine="480"/>
        <w:rPr>
          <w:color w:val="auto"/>
        </w:rPr>
      </w:pPr>
      <w:r>
        <w:rPr>
          <w:rFonts w:hint="eastAsia"/>
          <w:color w:val="auto"/>
        </w:rPr>
        <w:t>因本次改造1#白卡纸生产线前干部气罩增加了2台气罩排风机、真空系统增加了2台排风机，为了满足车间风量平衡，车间通风系统应增加4台送风机，其他通风方案维持原设计不变。</w:t>
      </w:r>
    </w:p>
    <w:p w14:paraId="19FB879F">
      <w:pPr>
        <w:pStyle w:val="5"/>
        <w:rPr>
          <w:color w:val="auto"/>
        </w:rPr>
      </w:pPr>
      <w:r>
        <w:rPr>
          <w:rFonts w:hint="eastAsia"/>
          <w:color w:val="auto"/>
        </w:rPr>
        <w:t xml:space="preserve">压缩空气站 </w:t>
      </w:r>
    </w:p>
    <w:p w14:paraId="7B5B4F0C">
      <w:pPr>
        <w:ind w:firstLine="480"/>
        <w:rPr>
          <w:color w:val="auto"/>
        </w:rPr>
      </w:pPr>
      <w:r>
        <w:rPr>
          <w:rFonts w:hint="eastAsia"/>
          <w:color w:val="auto"/>
        </w:rPr>
        <w:t>本项目压缩空气由原生产车间内配置的空压站供应，原空压站有较大的余量，能满足本期改造工程新增压缩空气用量的需求。</w:t>
      </w:r>
    </w:p>
    <w:p w14:paraId="5669ED82">
      <w:pPr>
        <w:pStyle w:val="5"/>
        <w:rPr>
          <w:color w:val="auto"/>
        </w:rPr>
      </w:pPr>
      <w:r>
        <w:rPr>
          <w:rFonts w:hint="eastAsia"/>
          <w:color w:val="auto"/>
        </w:rPr>
        <w:t>自动化与信息化工程</w:t>
      </w:r>
    </w:p>
    <w:p w14:paraId="0A724118">
      <w:pPr>
        <w:ind w:firstLine="480"/>
        <w:rPr>
          <w:color w:val="auto"/>
        </w:rPr>
      </w:pPr>
      <w:r>
        <w:rPr>
          <w:rFonts w:hint="eastAsia"/>
          <w:color w:val="auto"/>
        </w:rPr>
        <w:t>在生产线采用DCS（集散控制系统），实现对生产过程及工艺参数的自动控制；部分特殊的设备或系统随机配备PLC（可编程逻辑控制器）对其工作状态进行控制；纸机采用独立的MCS（纸机控制系统）控制。</w:t>
      </w:r>
    </w:p>
    <w:p w14:paraId="2F07867C">
      <w:pPr>
        <w:ind w:firstLine="480"/>
        <w:rPr>
          <w:color w:val="auto"/>
        </w:rPr>
      </w:pPr>
      <w:r>
        <w:rPr>
          <w:rFonts w:hint="eastAsia"/>
          <w:color w:val="auto"/>
        </w:rPr>
        <w:t>在纸机生产线上设置QCS（质量控制系统），对纸页的定量、水分进行在线检测并反馈给DCS进行控制，保证各参数在给定范围内。</w:t>
      </w:r>
    </w:p>
    <w:p w14:paraId="6ECB1051">
      <w:pPr>
        <w:ind w:firstLine="480"/>
        <w:rPr>
          <w:color w:val="auto"/>
        </w:rPr>
      </w:pPr>
      <w:r>
        <w:rPr>
          <w:rFonts w:hint="eastAsia"/>
          <w:color w:val="auto"/>
        </w:rPr>
        <w:t>本期改造项目新增的控制系统，增加在原DCS控制室和机柜室中。</w:t>
      </w:r>
    </w:p>
    <w:p w14:paraId="143B7848">
      <w:pPr>
        <w:ind w:firstLine="480"/>
        <w:rPr>
          <w:color w:val="auto"/>
        </w:rPr>
      </w:pPr>
      <w:r>
        <w:rPr>
          <w:rFonts w:hint="eastAsia"/>
          <w:color w:val="auto"/>
        </w:rPr>
        <w:t>本期改造工程的范围主要为在原车间内增加部分生产设备，达到提产的目的。因此，火灾自动报警系统、通讯系统、安全技术防范系统及信息网络仍沿用原项目配套装置。</w:t>
      </w:r>
    </w:p>
    <w:p w14:paraId="626252F5">
      <w:pPr>
        <w:pStyle w:val="5"/>
        <w:rPr>
          <w:color w:val="auto"/>
        </w:rPr>
      </w:pPr>
      <w:r>
        <w:rPr>
          <w:rFonts w:hint="eastAsia"/>
          <w:color w:val="auto"/>
        </w:rPr>
        <w:t>机修</w:t>
      </w:r>
    </w:p>
    <w:p w14:paraId="607526A6">
      <w:pPr>
        <w:ind w:firstLine="480"/>
        <w:rPr>
          <w:color w:val="auto"/>
        </w:rPr>
      </w:pPr>
      <w:r>
        <w:rPr>
          <w:rFonts w:hint="eastAsia"/>
          <w:color w:val="auto"/>
        </w:rPr>
        <w:t>本工程车间内现有配置维修车间能够满足车间内日常维修服务，其他的通用设备的维修依托当地社会力量来进行维修服务。</w:t>
      </w:r>
    </w:p>
    <w:p w14:paraId="3C03C143">
      <w:pPr>
        <w:pStyle w:val="5"/>
        <w:rPr>
          <w:color w:val="auto"/>
        </w:rPr>
      </w:pPr>
      <w:r>
        <w:rPr>
          <w:rFonts w:hint="eastAsia"/>
          <w:color w:val="auto"/>
        </w:rPr>
        <w:t>化验</w:t>
      </w:r>
    </w:p>
    <w:p w14:paraId="27BE9ED6">
      <w:pPr>
        <w:ind w:firstLine="480"/>
        <w:rPr>
          <w:color w:val="auto"/>
        </w:rPr>
      </w:pPr>
      <w:r>
        <w:rPr>
          <w:rFonts w:hint="eastAsia"/>
          <w:color w:val="auto"/>
        </w:rPr>
        <w:t>本工程在原车间已配套化验室，本次改造不新增化验室。</w:t>
      </w:r>
    </w:p>
    <w:p w14:paraId="4D46B473">
      <w:pPr>
        <w:pStyle w:val="5"/>
        <w:rPr>
          <w:color w:val="auto"/>
        </w:rPr>
      </w:pPr>
      <w:r>
        <w:rPr>
          <w:rFonts w:hint="eastAsia"/>
          <w:color w:val="auto"/>
        </w:rPr>
        <w:t>办公生活设施</w:t>
      </w:r>
    </w:p>
    <w:p w14:paraId="44EBB256">
      <w:pPr>
        <w:ind w:firstLine="480"/>
        <w:rPr>
          <w:color w:val="auto"/>
        </w:rPr>
      </w:pPr>
      <w:r>
        <w:rPr>
          <w:rFonts w:hint="eastAsia"/>
          <w:color w:val="auto"/>
        </w:rPr>
        <w:t>本项目为升级改造工程，不新增员工，原建的办公楼、宿舍楼、食堂等生活配套设施可满足正常生产、生活所需。</w:t>
      </w:r>
    </w:p>
    <w:p w14:paraId="656BAF92">
      <w:pPr>
        <w:pStyle w:val="4"/>
        <w:rPr>
          <w:color w:val="auto"/>
        </w:rPr>
      </w:pPr>
      <w:bookmarkStart w:id="196" w:name="_Toc225216700"/>
      <w:r>
        <w:rPr>
          <w:rFonts w:hint="eastAsia"/>
          <w:color w:val="auto"/>
        </w:rPr>
        <w:t>环保工程</w:t>
      </w:r>
      <w:bookmarkEnd w:id="196"/>
    </w:p>
    <w:p w14:paraId="55187504">
      <w:pPr>
        <w:pStyle w:val="5"/>
        <w:rPr>
          <w:color w:val="auto"/>
        </w:rPr>
      </w:pPr>
      <w:r>
        <w:rPr>
          <w:rFonts w:hint="eastAsia"/>
          <w:color w:val="auto"/>
        </w:rPr>
        <w:t>新建污水处理站及中水回用系统</w:t>
      </w:r>
    </w:p>
    <w:p w14:paraId="48D5EC50">
      <w:pPr>
        <w:ind w:firstLine="480"/>
        <w:rPr>
          <w:color w:val="auto"/>
        </w:rPr>
      </w:pPr>
      <w:r>
        <w:rPr>
          <w:rFonts w:hint="eastAsia"/>
          <w:color w:val="auto"/>
        </w:rPr>
        <w:t>本工程拟新建废水处理站一座，设计规模20000m³/d，本工程生产废水收集后集中排至新建废水处理站进行处理，达标后排放，新建1套设计规模</w:t>
      </w:r>
      <w:r>
        <w:rPr>
          <w:color w:val="auto"/>
        </w:rPr>
        <w:t>5000m</w:t>
      </w:r>
      <w:r>
        <w:rPr>
          <w:rFonts w:hint="eastAsia"/>
          <w:color w:val="auto"/>
          <w:vertAlign w:val="superscript"/>
        </w:rPr>
        <w:t>3</w:t>
      </w:r>
      <w:r>
        <w:rPr>
          <w:color w:val="auto"/>
        </w:rPr>
        <w:t>/d</w:t>
      </w:r>
      <w:r>
        <w:rPr>
          <w:rFonts w:hint="eastAsia"/>
          <w:color w:val="auto"/>
        </w:rPr>
        <w:t>的中水回用系统，部分3#污水处理站</w:t>
      </w:r>
      <w:r>
        <w:rPr>
          <w:color w:val="auto"/>
        </w:rPr>
        <w:t>出水经过滤及除硬处理后，回用至冷却塔补水工段。</w:t>
      </w:r>
    </w:p>
    <w:p w14:paraId="51D794B3">
      <w:pPr>
        <w:ind w:firstLine="480"/>
        <w:rPr>
          <w:color w:val="auto"/>
        </w:rPr>
      </w:pPr>
      <w:r>
        <w:rPr>
          <w:color w:val="auto"/>
        </w:rPr>
        <w:t>污水处理流程如下：</w:t>
      </w:r>
    </w:p>
    <w:p w14:paraId="5670767C">
      <w:pPr>
        <w:ind w:firstLine="480"/>
        <w:rPr>
          <w:color w:val="auto"/>
        </w:rPr>
      </w:pPr>
      <w:r>
        <w:rPr>
          <w:color w:val="auto"/>
        </w:rPr>
        <w:drawing>
          <wp:inline distT="0" distB="0" distL="0" distR="0">
            <wp:extent cx="4602480" cy="4922520"/>
            <wp:effectExtent l="0" t="0" r="7620" b="0"/>
            <wp:docPr id="1483689399" name="图片 1" descr="广西金桂高档纸板改造项目废水处理工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89399" name="图片 1" descr="广西金桂高档纸板改造项目废水处理工艺"/>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4602480" cy="4922520"/>
                    </a:xfrm>
                    <a:prstGeom prst="rect">
                      <a:avLst/>
                    </a:prstGeom>
                    <a:noFill/>
                    <a:ln>
                      <a:noFill/>
                    </a:ln>
                  </pic:spPr>
                </pic:pic>
              </a:graphicData>
            </a:graphic>
          </wp:inline>
        </w:drawing>
      </w:r>
    </w:p>
    <w:p w14:paraId="337E5C9F">
      <w:pPr>
        <w:pStyle w:val="8"/>
        <w:rPr>
          <w:color w:val="auto"/>
        </w:rPr>
      </w:pPr>
      <w:r>
        <w:rPr>
          <w:rFonts w:hint="eastAsia"/>
          <w:color w:val="auto"/>
        </w:rPr>
        <w:t>污水处理站工艺流程图</w:t>
      </w:r>
    </w:p>
    <w:p w14:paraId="11B416FB">
      <w:pPr>
        <w:ind w:firstLine="480"/>
        <w:rPr>
          <w:color w:val="auto"/>
        </w:rPr>
      </w:pPr>
      <w:r>
        <w:rPr>
          <w:color w:val="auto"/>
        </w:rPr>
        <w:t>经处理各处理单元对污染物的去除率预测值见下表：</w:t>
      </w:r>
    </w:p>
    <w:p w14:paraId="44E25F25">
      <w:pPr>
        <w:pStyle w:val="7"/>
        <w:rPr>
          <w:color w:val="auto"/>
        </w:rPr>
      </w:pPr>
      <w:r>
        <w:rPr>
          <w:rFonts w:hint="eastAsia"/>
          <w:color w:val="auto"/>
        </w:rPr>
        <w:t>新建污水处理站</w:t>
      </w:r>
      <w:r>
        <w:rPr>
          <w:color w:val="auto"/>
        </w:rPr>
        <w:t>各处理单元对污染物的去除率</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8"/>
        <w:gridCol w:w="1090"/>
        <w:gridCol w:w="1090"/>
        <w:gridCol w:w="1134"/>
        <w:gridCol w:w="996"/>
        <w:gridCol w:w="993"/>
        <w:gridCol w:w="1208"/>
        <w:gridCol w:w="1207"/>
      </w:tblGrid>
      <w:tr w14:paraId="3DBF6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388" w:type="dxa"/>
            <w:gridSpan w:val="3"/>
            <w:vMerge w:val="restart"/>
            <w:tcBorders>
              <w:top w:val="single" w:color="auto" w:sz="4" w:space="0"/>
              <w:left w:val="single" w:color="auto" w:sz="4" w:space="0"/>
              <w:bottom w:val="single" w:color="auto" w:sz="4" w:space="0"/>
              <w:right w:val="single" w:color="auto" w:sz="4" w:space="0"/>
            </w:tcBorders>
            <w:vAlign w:val="center"/>
          </w:tcPr>
          <w:p w14:paraId="3B68DE9E">
            <w:pPr>
              <w:pStyle w:val="33"/>
              <w:rPr>
                <w:color w:val="auto"/>
                <w:sz w:val="24"/>
              </w:rPr>
            </w:pPr>
            <w:r>
              <w:rPr>
                <w:rFonts w:hint="eastAsia" w:ascii="宋体" w:hAnsi="宋体" w:cs="宋体"/>
                <w:color w:val="auto"/>
                <w:sz w:val="24"/>
                <w:lang w:bidi="ar"/>
              </w:rPr>
              <w:t>项目</w:t>
            </w:r>
          </w:p>
        </w:tc>
        <w:tc>
          <w:tcPr>
            <w:tcW w:w="1134" w:type="dxa"/>
            <w:tcBorders>
              <w:top w:val="single" w:color="auto" w:sz="4" w:space="0"/>
              <w:left w:val="single" w:color="auto" w:sz="4" w:space="0"/>
              <w:bottom w:val="single" w:color="auto" w:sz="4" w:space="0"/>
              <w:right w:val="single" w:color="auto" w:sz="4" w:space="0"/>
            </w:tcBorders>
            <w:vAlign w:val="center"/>
          </w:tcPr>
          <w:p w14:paraId="41311483">
            <w:pPr>
              <w:pStyle w:val="33"/>
              <w:rPr>
                <w:color w:val="auto"/>
              </w:rPr>
            </w:pPr>
            <w:r>
              <w:rPr>
                <w:color w:val="auto"/>
              </w:rPr>
              <w:t>CODcr</w:t>
            </w:r>
          </w:p>
        </w:tc>
        <w:tc>
          <w:tcPr>
            <w:tcW w:w="996" w:type="dxa"/>
            <w:tcBorders>
              <w:top w:val="single" w:color="auto" w:sz="4" w:space="0"/>
              <w:left w:val="single" w:color="auto" w:sz="4" w:space="0"/>
              <w:bottom w:val="single" w:color="auto" w:sz="4" w:space="0"/>
              <w:right w:val="single" w:color="auto" w:sz="4" w:space="0"/>
            </w:tcBorders>
            <w:vAlign w:val="center"/>
          </w:tcPr>
          <w:p w14:paraId="12ECB983">
            <w:pPr>
              <w:pStyle w:val="33"/>
              <w:rPr>
                <w:color w:val="auto"/>
              </w:rPr>
            </w:pPr>
            <w:r>
              <w:rPr>
                <w:color w:val="auto"/>
              </w:rPr>
              <w:t>BOD</w:t>
            </w:r>
            <w:r>
              <w:rPr>
                <w:color w:val="auto"/>
                <w:vertAlign w:val="subscript"/>
              </w:rPr>
              <w:t>5</w:t>
            </w:r>
          </w:p>
        </w:tc>
        <w:tc>
          <w:tcPr>
            <w:tcW w:w="993" w:type="dxa"/>
            <w:tcBorders>
              <w:top w:val="single" w:color="auto" w:sz="4" w:space="0"/>
              <w:left w:val="single" w:color="auto" w:sz="4" w:space="0"/>
              <w:bottom w:val="single" w:color="auto" w:sz="4" w:space="0"/>
              <w:right w:val="single" w:color="auto" w:sz="4" w:space="0"/>
            </w:tcBorders>
            <w:vAlign w:val="center"/>
          </w:tcPr>
          <w:p w14:paraId="1E959ADA">
            <w:pPr>
              <w:pStyle w:val="33"/>
              <w:rPr>
                <w:color w:val="auto"/>
              </w:rPr>
            </w:pPr>
            <w:r>
              <w:rPr>
                <w:color w:val="auto"/>
              </w:rPr>
              <w:t>SS</w:t>
            </w:r>
          </w:p>
        </w:tc>
        <w:tc>
          <w:tcPr>
            <w:tcW w:w="1208" w:type="dxa"/>
            <w:vMerge w:val="restart"/>
            <w:tcBorders>
              <w:top w:val="single" w:color="auto" w:sz="4" w:space="0"/>
              <w:left w:val="single" w:color="auto" w:sz="4" w:space="0"/>
              <w:bottom w:val="single" w:color="auto" w:sz="4" w:space="0"/>
              <w:right w:val="single" w:color="auto" w:sz="4" w:space="0"/>
            </w:tcBorders>
            <w:vAlign w:val="center"/>
          </w:tcPr>
          <w:p w14:paraId="6C6262E0">
            <w:pPr>
              <w:pStyle w:val="33"/>
              <w:rPr>
                <w:color w:val="auto"/>
              </w:rPr>
            </w:pPr>
            <w:r>
              <w:rPr>
                <w:rFonts w:hint="eastAsia"/>
                <w:color w:val="auto"/>
              </w:rPr>
              <w:t>氨氮</w:t>
            </w:r>
            <w:r>
              <w:rPr>
                <w:color w:val="auto"/>
              </w:rPr>
              <w:t>(mg/L)</w:t>
            </w:r>
          </w:p>
        </w:tc>
        <w:tc>
          <w:tcPr>
            <w:tcW w:w="1207" w:type="dxa"/>
            <w:vMerge w:val="restart"/>
            <w:tcBorders>
              <w:top w:val="single" w:color="auto" w:sz="4" w:space="0"/>
              <w:left w:val="single" w:color="auto" w:sz="4" w:space="0"/>
              <w:bottom w:val="single" w:color="auto" w:sz="4" w:space="0"/>
              <w:right w:val="single" w:color="auto" w:sz="4" w:space="0"/>
            </w:tcBorders>
            <w:vAlign w:val="center"/>
          </w:tcPr>
          <w:p w14:paraId="157828BC">
            <w:pPr>
              <w:pStyle w:val="33"/>
              <w:rPr>
                <w:color w:val="auto"/>
              </w:rPr>
            </w:pPr>
            <w:r>
              <w:rPr>
                <w:rFonts w:hint="eastAsia"/>
                <w:color w:val="auto"/>
              </w:rPr>
              <w:t>色度（倍）</w:t>
            </w:r>
          </w:p>
        </w:tc>
      </w:tr>
      <w:tr w14:paraId="1D0F8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388" w:type="dxa"/>
            <w:gridSpan w:val="3"/>
            <w:vMerge w:val="continue"/>
            <w:tcBorders>
              <w:top w:val="single" w:color="auto" w:sz="4" w:space="0"/>
              <w:left w:val="single" w:color="auto" w:sz="4" w:space="0"/>
              <w:bottom w:val="single" w:color="auto" w:sz="4" w:space="0"/>
              <w:right w:val="single" w:color="auto" w:sz="4" w:space="0"/>
            </w:tcBorders>
            <w:vAlign w:val="center"/>
          </w:tcPr>
          <w:p w14:paraId="7256301A">
            <w:pPr>
              <w:pStyle w:val="33"/>
              <w:rPr>
                <w:color w:val="auto"/>
                <w:sz w:val="24"/>
              </w:rPr>
            </w:pPr>
          </w:p>
        </w:tc>
        <w:tc>
          <w:tcPr>
            <w:tcW w:w="1134" w:type="dxa"/>
            <w:tcBorders>
              <w:top w:val="single" w:color="auto" w:sz="4" w:space="0"/>
              <w:left w:val="single" w:color="auto" w:sz="4" w:space="0"/>
              <w:bottom w:val="single" w:color="auto" w:sz="4" w:space="0"/>
              <w:right w:val="single" w:color="auto" w:sz="4" w:space="0"/>
            </w:tcBorders>
            <w:vAlign w:val="center"/>
          </w:tcPr>
          <w:p w14:paraId="6F8037AC">
            <w:pPr>
              <w:pStyle w:val="33"/>
              <w:rPr>
                <w:color w:val="auto"/>
              </w:rPr>
            </w:pPr>
            <w:r>
              <w:rPr>
                <w:color w:val="auto"/>
              </w:rPr>
              <w:t>(mg/L)</w:t>
            </w:r>
          </w:p>
        </w:tc>
        <w:tc>
          <w:tcPr>
            <w:tcW w:w="996" w:type="dxa"/>
            <w:tcBorders>
              <w:top w:val="single" w:color="auto" w:sz="4" w:space="0"/>
              <w:left w:val="single" w:color="auto" w:sz="4" w:space="0"/>
              <w:bottom w:val="single" w:color="auto" w:sz="4" w:space="0"/>
              <w:right w:val="single" w:color="auto" w:sz="4" w:space="0"/>
            </w:tcBorders>
            <w:vAlign w:val="center"/>
          </w:tcPr>
          <w:p w14:paraId="24E4C6C9">
            <w:pPr>
              <w:pStyle w:val="33"/>
              <w:rPr>
                <w:color w:val="auto"/>
              </w:rPr>
            </w:pPr>
            <w:r>
              <w:rPr>
                <w:color w:val="auto"/>
              </w:rPr>
              <w:t>(mg/L)</w:t>
            </w:r>
          </w:p>
        </w:tc>
        <w:tc>
          <w:tcPr>
            <w:tcW w:w="993" w:type="dxa"/>
            <w:tcBorders>
              <w:top w:val="single" w:color="auto" w:sz="4" w:space="0"/>
              <w:left w:val="single" w:color="auto" w:sz="4" w:space="0"/>
              <w:bottom w:val="single" w:color="auto" w:sz="4" w:space="0"/>
              <w:right w:val="single" w:color="auto" w:sz="4" w:space="0"/>
            </w:tcBorders>
            <w:vAlign w:val="center"/>
          </w:tcPr>
          <w:p w14:paraId="77AAC5E3">
            <w:pPr>
              <w:pStyle w:val="33"/>
              <w:rPr>
                <w:color w:val="auto"/>
              </w:rPr>
            </w:pPr>
            <w:r>
              <w:rPr>
                <w:color w:val="auto"/>
              </w:rPr>
              <w:t>(mg/L)</w:t>
            </w:r>
          </w:p>
        </w:tc>
        <w:tc>
          <w:tcPr>
            <w:tcW w:w="1208" w:type="dxa"/>
            <w:vMerge w:val="continue"/>
            <w:tcBorders>
              <w:top w:val="single" w:color="auto" w:sz="4" w:space="0"/>
              <w:left w:val="single" w:color="auto" w:sz="4" w:space="0"/>
              <w:bottom w:val="single" w:color="auto" w:sz="4" w:space="0"/>
              <w:right w:val="single" w:color="auto" w:sz="4" w:space="0"/>
            </w:tcBorders>
            <w:vAlign w:val="center"/>
          </w:tcPr>
          <w:p w14:paraId="6D76907F">
            <w:pPr>
              <w:pStyle w:val="33"/>
              <w:rPr>
                <w:color w:val="auto"/>
              </w:rPr>
            </w:pPr>
          </w:p>
        </w:tc>
        <w:tc>
          <w:tcPr>
            <w:tcW w:w="1207" w:type="dxa"/>
            <w:vMerge w:val="continue"/>
            <w:tcBorders>
              <w:top w:val="single" w:color="auto" w:sz="4" w:space="0"/>
              <w:left w:val="single" w:color="auto" w:sz="4" w:space="0"/>
              <w:bottom w:val="single" w:color="auto" w:sz="4" w:space="0"/>
              <w:right w:val="single" w:color="auto" w:sz="4" w:space="0"/>
            </w:tcBorders>
            <w:vAlign w:val="center"/>
          </w:tcPr>
          <w:p w14:paraId="78923BDD">
            <w:pPr>
              <w:pStyle w:val="33"/>
              <w:rPr>
                <w:color w:val="auto"/>
              </w:rPr>
            </w:pPr>
          </w:p>
        </w:tc>
      </w:tr>
      <w:tr w14:paraId="3D882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restart"/>
            <w:tcBorders>
              <w:top w:val="single" w:color="auto" w:sz="4" w:space="0"/>
              <w:left w:val="single" w:color="auto" w:sz="4" w:space="0"/>
              <w:right w:val="single" w:color="auto" w:sz="4" w:space="0"/>
            </w:tcBorders>
            <w:vAlign w:val="center"/>
          </w:tcPr>
          <w:p w14:paraId="775AD5AC">
            <w:pPr>
              <w:pStyle w:val="33"/>
              <w:rPr>
                <w:color w:val="auto"/>
              </w:rPr>
            </w:pPr>
            <w:r>
              <w:rPr>
                <w:rFonts w:hint="eastAsia"/>
                <w:color w:val="auto"/>
              </w:rPr>
              <w:t>物化</w:t>
            </w:r>
          </w:p>
          <w:p w14:paraId="72C42A02">
            <w:pPr>
              <w:pStyle w:val="33"/>
              <w:rPr>
                <w:color w:val="auto"/>
              </w:rPr>
            </w:pPr>
            <w:r>
              <w:rPr>
                <w:rFonts w:hint="eastAsia"/>
                <w:color w:val="auto"/>
              </w:rPr>
              <w:t>处理</w:t>
            </w:r>
          </w:p>
        </w:tc>
        <w:tc>
          <w:tcPr>
            <w:tcW w:w="1090" w:type="dxa"/>
            <w:vMerge w:val="restart"/>
            <w:tcBorders>
              <w:top w:val="single" w:color="auto" w:sz="4" w:space="0"/>
              <w:left w:val="single" w:color="auto" w:sz="4" w:space="0"/>
              <w:bottom w:val="single" w:color="auto" w:sz="4" w:space="0"/>
              <w:right w:val="single" w:color="auto" w:sz="4" w:space="0"/>
            </w:tcBorders>
            <w:vAlign w:val="center"/>
          </w:tcPr>
          <w:p w14:paraId="6A8C78BF">
            <w:pPr>
              <w:pStyle w:val="33"/>
              <w:rPr>
                <w:color w:val="auto"/>
              </w:rPr>
            </w:pPr>
            <w:r>
              <w:rPr>
                <w:rFonts w:hint="eastAsia"/>
                <w:color w:val="auto"/>
              </w:rPr>
              <w:t>集水池</w:t>
            </w:r>
          </w:p>
        </w:tc>
        <w:tc>
          <w:tcPr>
            <w:tcW w:w="1090" w:type="dxa"/>
            <w:tcBorders>
              <w:top w:val="single" w:color="auto" w:sz="4" w:space="0"/>
              <w:left w:val="single" w:color="auto" w:sz="4" w:space="0"/>
              <w:bottom w:val="single" w:color="auto" w:sz="4" w:space="0"/>
              <w:right w:val="single" w:color="auto" w:sz="4" w:space="0"/>
            </w:tcBorders>
            <w:vAlign w:val="center"/>
          </w:tcPr>
          <w:p w14:paraId="2A01387D">
            <w:pPr>
              <w:pStyle w:val="33"/>
              <w:rPr>
                <w:color w:val="auto"/>
              </w:rPr>
            </w:pPr>
            <w:r>
              <w:rPr>
                <w:rFonts w:hint="eastAsia"/>
                <w:color w:val="auto"/>
              </w:rPr>
              <w:t>进水</w:t>
            </w:r>
          </w:p>
        </w:tc>
        <w:tc>
          <w:tcPr>
            <w:tcW w:w="1134" w:type="dxa"/>
            <w:tcBorders>
              <w:top w:val="single" w:color="auto" w:sz="4" w:space="0"/>
              <w:left w:val="single" w:color="auto" w:sz="4" w:space="0"/>
              <w:bottom w:val="single" w:color="auto" w:sz="4" w:space="0"/>
              <w:right w:val="single" w:color="auto" w:sz="4" w:space="0"/>
            </w:tcBorders>
            <w:vAlign w:val="center"/>
          </w:tcPr>
          <w:p w14:paraId="0BE0EBFB">
            <w:pPr>
              <w:pStyle w:val="33"/>
              <w:rPr>
                <w:color w:val="auto"/>
              </w:rPr>
            </w:pPr>
            <w:r>
              <w:rPr>
                <w:color w:val="auto"/>
              </w:rPr>
              <w:t>2700</w:t>
            </w:r>
          </w:p>
        </w:tc>
        <w:tc>
          <w:tcPr>
            <w:tcW w:w="996" w:type="dxa"/>
            <w:tcBorders>
              <w:top w:val="single" w:color="auto" w:sz="4" w:space="0"/>
              <w:left w:val="single" w:color="auto" w:sz="4" w:space="0"/>
              <w:bottom w:val="single" w:color="auto" w:sz="4" w:space="0"/>
              <w:right w:val="single" w:color="auto" w:sz="4" w:space="0"/>
            </w:tcBorders>
            <w:vAlign w:val="center"/>
          </w:tcPr>
          <w:p w14:paraId="4EC9A41F">
            <w:pPr>
              <w:pStyle w:val="33"/>
              <w:rPr>
                <w:color w:val="auto"/>
              </w:rPr>
            </w:pPr>
            <w:r>
              <w:rPr>
                <w:color w:val="auto"/>
              </w:rPr>
              <w:t>1400</w:t>
            </w:r>
          </w:p>
        </w:tc>
        <w:tc>
          <w:tcPr>
            <w:tcW w:w="993" w:type="dxa"/>
            <w:tcBorders>
              <w:top w:val="single" w:color="auto" w:sz="4" w:space="0"/>
              <w:left w:val="single" w:color="auto" w:sz="4" w:space="0"/>
              <w:bottom w:val="single" w:color="auto" w:sz="4" w:space="0"/>
              <w:right w:val="single" w:color="auto" w:sz="4" w:space="0"/>
            </w:tcBorders>
            <w:vAlign w:val="center"/>
          </w:tcPr>
          <w:p w14:paraId="28AA0BFC">
            <w:pPr>
              <w:pStyle w:val="33"/>
              <w:rPr>
                <w:color w:val="auto"/>
              </w:rPr>
            </w:pPr>
            <w:r>
              <w:rPr>
                <w:color w:val="auto"/>
              </w:rPr>
              <w:t>700</w:t>
            </w:r>
          </w:p>
        </w:tc>
        <w:tc>
          <w:tcPr>
            <w:tcW w:w="1208" w:type="dxa"/>
            <w:tcBorders>
              <w:top w:val="single" w:color="auto" w:sz="4" w:space="0"/>
              <w:left w:val="single" w:color="auto" w:sz="4" w:space="0"/>
              <w:bottom w:val="single" w:color="auto" w:sz="4" w:space="0"/>
              <w:right w:val="single" w:color="auto" w:sz="4" w:space="0"/>
            </w:tcBorders>
            <w:vAlign w:val="center"/>
          </w:tcPr>
          <w:p w14:paraId="1E9A8A68">
            <w:pPr>
              <w:pStyle w:val="33"/>
              <w:rPr>
                <w:color w:val="auto"/>
              </w:rPr>
            </w:pPr>
            <w:r>
              <w:rPr>
                <w:color w:val="auto"/>
              </w:rPr>
              <w:t>4</w:t>
            </w:r>
          </w:p>
        </w:tc>
        <w:tc>
          <w:tcPr>
            <w:tcW w:w="1207" w:type="dxa"/>
            <w:tcBorders>
              <w:top w:val="single" w:color="auto" w:sz="4" w:space="0"/>
              <w:left w:val="single" w:color="auto" w:sz="4" w:space="0"/>
              <w:bottom w:val="single" w:color="auto" w:sz="4" w:space="0"/>
              <w:right w:val="single" w:color="auto" w:sz="4" w:space="0"/>
            </w:tcBorders>
            <w:vAlign w:val="center"/>
          </w:tcPr>
          <w:p w14:paraId="29BC72AD">
            <w:pPr>
              <w:pStyle w:val="33"/>
              <w:rPr>
                <w:color w:val="auto"/>
              </w:rPr>
            </w:pPr>
            <w:r>
              <w:rPr>
                <w:color w:val="auto"/>
              </w:rPr>
              <w:t>800</w:t>
            </w:r>
          </w:p>
        </w:tc>
      </w:tr>
      <w:tr w14:paraId="5AC65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2B6D70DF">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208FE7F7">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4BC2B71C">
            <w:pPr>
              <w:pStyle w:val="33"/>
              <w:rPr>
                <w:color w:val="auto"/>
              </w:rPr>
            </w:pPr>
            <w:r>
              <w:rPr>
                <w:rFonts w:hint="eastAsia"/>
                <w:color w:val="auto"/>
              </w:rPr>
              <w:t>去除率</w:t>
            </w:r>
          </w:p>
        </w:tc>
        <w:tc>
          <w:tcPr>
            <w:tcW w:w="1134" w:type="dxa"/>
            <w:tcBorders>
              <w:top w:val="single" w:color="auto" w:sz="4" w:space="0"/>
              <w:left w:val="single" w:color="auto" w:sz="4" w:space="0"/>
              <w:bottom w:val="single" w:color="auto" w:sz="4" w:space="0"/>
              <w:right w:val="single" w:color="auto" w:sz="4" w:space="0"/>
            </w:tcBorders>
            <w:vAlign w:val="center"/>
          </w:tcPr>
          <w:p w14:paraId="07F798D9">
            <w:pPr>
              <w:pStyle w:val="33"/>
              <w:rPr>
                <w:color w:val="auto"/>
              </w:rPr>
            </w:pPr>
            <w:r>
              <w:rPr>
                <w:color w:val="auto"/>
              </w:rPr>
              <w:t>0</w:t>
            </w:r>
          </w:p>
        </w:tc>
        <w:tc>
          <w:tcPr>
            <w:tcW w:w="996" w:type="dxa"/>
            <w:tcBorders>
              <w:top w:val="single" w:color="auto" w:sz="4" w:space="0"/>
              <w:left w:val="single" w:color="auto" w:sz="4" w:space="0"/>
              <w:bottom w:val="single" w:color="auto" w:sz="4" w:space="0"/>
              <w:right w:val="single" w:color="auto" w:sz="4" w:space="0"/>
            </w:tcBorders>
            <w:vAlign w:val="center"/>
          </w:tcPr>
          <w:p w14:paraId="40AF70FB">
            <w:pPr>
              <w:pStyle w:val="33"/>
              <w:rPr>
                <w:color w:val="auto"/>
              </w:rPr>
            </w:pPr>
            <w:r>
              <w:rPr>
                <w:color w:val="auto"/>
              </w:rPr>
              <w:t>0</w:t>
            </w:r>
          </w:p>
        </w:tc>
        <w:tc>
          <w:tcPr>
            <w:tcW w:w="993" w:type="dxa"/>
            <w:tcBorders>
              <w:top w:val="single" w:color="auto" w:sz="4" w:space="0"/>
              <w:left w:val="single" w:color="auto" w:sz="4" w:space="0"/>
              <w:bottom w:val="single" w:color="auto" w:sz="4" w:space="0"/>
              <w:right w:val="single" w:color="auto" w:sz="4" w:space="0"/>
            </w:tcBorders>
            <w:vAlign w:val="center"/>
          </w:tcPr>
          <w:p w14:paraId="258E3736">
            <w:pPr>
              <w:pStyle w:val="33"/>
              <w:rPr>
                <w:color w:val="auto"/>
              </w:rPr>
            </w:pPr>
            <w:r>
              <w:rPr>
                <w:color w:val="auto"/>
              </w:rPr>
              <w:t>0</w:t>
            </w:r>
          </w:p>
        </w:tc>
        <w:tc>
          <w:tcPr>
            <w:tcW w:w="1208" w:type="dxa"/>
            <w:tcBorders>
              <w:top w:val="single" w:color="auto" w:sz="4" w:space="0"/>
              <w:left w:val="single" w:color="auto" w:sz="4" w:space="0"/>
              <w:bottom w:val="single" w:color="auto" w:sz="4" w:space="0"/>
              <w:right w:val="single" w:color="auto" w:sz="4" w:space="0"/>
            </w:tcBorders>
            <w:vAlign w:val="center"/>
          </w:tcPr>
          <w:p w14:paraId="5BE8C6EA">
            <w:pPr>
              <w:pStyle w:val="33"/>
              <w:rPr>
                <w:color w:val="auto"/>
              </w:rPr>
            </w:pPr>
            <w:r>
              <w:rPr>
                <w:color w:val="auto"/>
              </w:rPr>
              <w:t>0</w:t>
            </w:r>
          </w:p>
        </w:tc>
        <w:tc>
          <w:tcPr>
            <w:tcW w:w="1207" w:type="dxa"/>
            <w:tcBorders>
              <w:top w:val="single" w:color="auto" w:sz="4" w:space="0"/>
              <w:left w:val="single" w:color="auto" w:sz="4" w:space="0"/>
              <w:bottom w:val="single" w:color="auto" w:sz="4" w:space="0"/>
              <w:right w:val="single" w:color="auto" w:sz="4" w:space="0"/>
            </w:tcBorders>
            <w:vAlign w:val="center"/>
          </w:tcPr>
          <w:p w14:paraId="0C23F6F9">
            <w:pPr>
              <w:pStyle w:val="33"/>
              <w:rPr>
                <w:color w:val="auto"/>
              </w:rPr>
            </w:pPr>
            <w:r>
              <w:rPr>
                <w:color w:val="auto"/>
              </w:rPr>
              <w:t>0</w:t>
            </w:r>
          </w:p>
        </w:tc>
      </w:tr>
      <w:tr w14:paraId="4CA9D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068B4C4E">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28FAF15A">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3E09D932">
            <w:pPr>
              <w:pStyle w:val="33"/>
              <w:rPr>
                <w:color w:val="auto"/>
              </w:rPr>
            </w:pPr>
            <w:r>
              <w:rPr>
                <w:rFonts w:hint="eastAsia"/>
                <w:color w:val="auto"/>
              </w:rPr>
              <w:t>出水</w:t>
            </w:r>
          </w:p>
        </w:tc>
        <w:tc>
          <w:tcPr>
            <w:tcW w:w="1134" w:type="dxa"/>
            <w:tcBorders>
              <w:top w:val="single" w:color="auto" w:sz="4" w:space="0"/>
              <w:left w:val="single" w:color="auto" w:sz="4" w:space="0"/>
              <w:bottom w:val="single" w:color="auto" w:sz="4" w:space="0"/>
              <w:right w:val="single" w:color="auto" w:sz="4" w:space="0"/>
            </w:tcBorders>
            <w:vAlign w:val="center"/>
          </w:tcPr>
          <w:p w14:paraId="1ADE224A">
            <w:pPr>
              <w:pStyle w:val="33"/>
              <w:rPr>
                <w:color w:val="auto"/>
              </w:rPr>
            </w:pPr>
            <w:r>
              <w:rPr>
                <w:color w:val="auto"/>
              </w:rPr>
              <w:t>2700</w:t>
            </w:r>
          </w:p>
        </w:tc>
        <w:tc>
          <w:tcPr>
            <w:tcW w:w="996" w:type="dxa"/>
            <w:tcBorders>
              <w:top w:val="single" w:color="auto" w:sz="4" w:space="0"/>
              <w:left w:val="single" w:color="auto" w:sz="4" w:space="0"/>
              <w:bottom w:val="single" w:color="auto" w:sz="4" w:space="0"/>
              <w:right w:val="single" w:color="auto" w:sz="4" w:space="0"/>
            </w:tcBorders>
            <w:vAlign w:val="center"/>
          </w:tcPr>
          <w:p w14:paraId="56D64387">
            <w:pPr>
              <w:pStyle w:val="33"/>
              <w:rPr>
                <w:color w:val="auto"/>
              </w:rPr>
            </w:pPr>
            <w:r>
              <w:rPr>
                <w:color w:val="auto"/>
              </w:rPr>
              <w:t>1400</w:t>
            </w:r>
          </w:p>
        </w:tc>
        <w:tc>
          <w:tcPr>
            <w:tcW w:w="993" w:type="dxa"/>
            <w:tcBorders>
              <w:top w:val="single" w:color="auto" w:sz="4" w:space="0"/>
              <w:left w:val="single" w:color="auto" w:sz="4" w:space="0"/>
              <w:bottom w:val="single" w:color="auto" w:sz="4" w:space="0"/>
              <w:right w:val="single" w:color="auto" w:sz="4" w:space="0"/>
            </w:tcBorders>
            <w:vAlign w:val="center"/>
          </w:tcPr>
          <w:p w14:paraId="74E9794B">
            <w:pPr>
              <w:pStyle w:val="33"/>
              <w:rPr>
                <w:color w:val="auto"/>
              </w:rPr>
            </w:pPr>
            <w:r>
              <w:rPr>
                <w:color w:val="auto"/>
              </w:rPr>
              <w:t>700</w:t>
            </w:r>
          </w:p>
        </w:tc>
        <w:tc>
          <w:tcPr>
            <w:tcW w:w="1208" w:type="dxa"/>
            <w:tcBorders>
              <w:top w:val="single" w:color="auto" w:sz="4" w:space="0"/>
              <w:left w:val="single" w:color="auto" w:sz="4" w:space="0"/>
              <w:bottom w:val="single" w:color="auto" w:sz="4" w:space="0"/>
              <w:right w:val="single" w:color="auto" w:sz="4" w:space="0"/>
            </w:tcBorders>
            <w:vAlign w:val="center"/>
          </w:tcPr>
          <w:p w14:paraId="3BDF17A0">
            <w:pPr>
              <w:pStyle w:val="33"/>
              <w:rPr>
                <w:color w:val="auto"/>
              </w:rPr>
            </w:pPr>
            <w:r>
              <w:rPr>
                <w:color w:val="auto"/>
              </w:rPr>
              <w:t>4</w:t>
            </w:r>
          </w:p>
        </w:tc>
        <w:tc>
          <w:tcPr>
            <w:tcW w:w="1207" w:type="dxa"/>
            <w:tcBorders>
              <w:top w:val="single" w:color="auto" w:sz="4" w:space="0"/>
              <w:left w:val="single" w:color="auto" w:sz="4" w:space="0"/>
              <w:bottom w:val="single" w:color="auto" w:sz="4" w:space="0"/>
              <w:right w:val="single" w:color="auto" w:sz="4" w:space="0"/>
            </w:tcBorders>
            <w:vAlign w:val="center"/>
          </w:tcPr>
          <w:p w14:paraId="789A25D2">
            <w:pPr>
              <w:pStyle w:val="33"/>
              <w:rPr>
                <w:color w:val="auto"/>
              </w:rPr>
            </w:pPr>
            <w:r>
              <w:rPr>
                <w:color w:val="auto"/>
              </w:rPr>
              <w:t>800</w:t>
            </w:r>
          </w:p>
        </w:tc>
      </w:tr>
      <w:tr w14:paraId="73A49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2B4A5126">
            <w:pPr>
              <w:pStyle w:val="33"/>
              <w:rPr>
                <w:color w:val="auto"/>
              </w:rPr>
            </w:pPr>
          </w:p>
        </w:tc>
        <w:tc>
          <w:tcPr>
            <w:tcW w:w="1090" w:type="dxa"/>
            <w:vMerge w:val="restart"/>
            <w:tcBorders>
              <w:top w:val="single" w:color="auto" w:sz="4" w:space="0"/>
              <w:left w:val="single" w:color="auto" w:sz="4" w:space="0"/>
              <w:bottom w:val="single" w:color="auto" w:sz="4" w:space="0"/>
              <w:right w:val="single" w:color="auto" w:sz="4" w:space="0"/>
            </w:tcBorders>
            <w:vAlign w:val="center"/>
          </w:tcPr>
          <w:p w14:paraId="5D17E5AF">
            <w:pPr>
              <w:pStyle w:val="33"/>
              <w:rPr>
                <w:color w:val="auto"/>
              </w:rPr>
            </w:pPr>
            <w:r>
              <w:rPr>
                <w:rFonts w:hint="eastAsia"/>
                <w:color w:val="auto"/>
              </w:rPr>
              <w:t>斜网</w:t>
            </w:r>
          </w:p>
        </w:tc>
        <w:tc>
          <w:tcPr>
            <w:tcW w:w="1090" w:type="dxa"/>
            <w:tcBorders>
              <w:top w:val="single" w:color="auto" w:sz="4" w:space="0"/>
              <w:left w:val="single" w:color="auto" w:sz="4" w:space="0"/>
              <w:bottom w:val="single" w:color="auto" w:sz="4" w:space="0"/>
              <w:right w:val="single" w:color="auto" w:sz="4" w:space="0"/>
            </w:tcBorders>
            <w:vAlign w:val="center"/>
          </w:tcPr>
          <w:p w14:paraId="78D36454">
            <w:pPr>
              <w:pStyle w:val="33"/>
              <w:rPr>
                <w:color w:val="auto"/>
              </w:rPr>
            </w:pPr>
            <w:r>
              <w:rPr>
                <w:rFonts w:hint="eastAsia"/>
                <w:color w:val="auto"/>
              </w:rPr>
              <w:t>进水</w:t>
            </w:r>
          </w:p>
        </w:tc>
        <w:tc>
          <w:tcPr>
            <w:tcW w:w="1134" w:type="dxa"/>
            <w:tcBorders>
              <w:top w:val="single" w:color="auto" w:sz="4" w:space="0"/>
              <w:left w:val="single" w:color="auto" w:sz="4" w:space="0"/>
              <w:bottom w:val="single" w:color="auto" w:sz="4" w:space="0"/>
              <w:right w:val="single" w:color="auto" w:sz="4" w:space="0"/>
            </w:tcBorders>
            <w:vAlign w:val="center"/>
          </w:tcPr>
          <w:p w14:paraId="60BCF116">
            <w:pPr>
              <w:pStyle w:val="33"/>
              <w:rPr>
                <w:color w:val="auto"/>
              </w:rPr>
            </w:pPr>
            <w:r>
              <w:rPr>
                <w:color w:val="auto"/>
              </w:rPr>
              <w:t>2700</w:t>
            </w:r>
          </w:p>
        </w:tc>
        <w:tc>
          <w:tcPr>
            <w:tcW w:w="996" w:type="dxa"/>
            <w:tcBorders>
              <w:top w:val="single" w:color="auto" w:sz="4" w:space="0"/>
              <w:left w:val="single" w:color="auto" w:sz="4" w:space="0"/>
              <w:bottom w:val="single" w:color="auto" w:sz="4" w:space="0"/>
              <w:right w:val="single" w:color="auto" w:sz="4" w:space="0"/>
            </w:tcBorders>
            <w:vAlign w:val="center"/>
          </w:tcPr>
          <w:p w14:paraId="4B79BB86">
            <w:pPr>
              <w:pStyle w:val="33"/>
              <w:rPr>
                <w:color w:val="auto"/>
              </w:rPr>
            </w:pPr>
            <w:r>
              <w:rPr>
                <w:color w:val="auto"/>
              </w:rPr>
              <w:t>1400</w:t>
            </w:r>
          </w:p>
        </w:tc>
        <w:tc>
          <w:tcPr>
            <w:tcW w:w="993" w:type="dxa"/>
            <w:tcBorders>
              <w:top w:val="single" w:color="auto" w:sz="4" w:space="0"/>
              <w:left w:val="single" w:color="auto" w:sz="4" w:space="0"/>
              <w:bottom w:val="single" w:color="auto" w:sz="4" w:space="0"/>
              <w:right w:val="single" w:color="auto" w:sz="4" w:space="0"/>
            </w:tcBorders>
            <w:vAlign w:val="center"/>
          </w:tcPr>
          <w:p w14:paraId="181BD80D">
            <w:pPr>
              <w:pStyle w:val="33"/>
              <w:rPr>
                <w:color w:val="auto"/>
              </w:rPr>
            </w:pPr>
            <w:r>
              <w:rPr>
                <w:color w:val="auto"/>
              </w:rPr>
              <w:t>700</w:t>
            </w:r>
          </w:p>
        </w:tc>
        <w:tc>
          <w:tcPr>
            <w:tcW w:w="1208" w:type="dxa"/>
            <w:tcBorders>
              <w:top w:val="single" w:color="auto" w:sz="4" w:space="0"/>
              <w:left w:val="single" w:color="auto" w:sz="4" w:space="0"/>
              <w:bottom w:val="single" w:color="auto" w:sz="4" w:space="0"/>
              <w:right w:val="single" w:color="auto" w:sz="4" w:space="0"/>
            </w:tcBorders>
            <w:vAlign w:val="center"/>
          </w:tcPr>
          <w:p w14:paraId="7F3C326D">
            <w:pPr>
              <w:pStyle w:val="33"/>
              <w:rPr>
                <w:color w:val="auto"/>
              </w:rPr>
            </w:pPr>
            <w:r>
              <w:rPr>
                <w:color w:val="auto"/>
              </w:rPr>
              <w:t>4</w:t>
            </w:r>
          </w:p>
        </w:tc>
        <w:tc>
          <w:tcPr>
            <w:tcW w:w="1207" w:type="dxa"/>
            <w:tcBorders>
              <w:top w:val="single" w:color="auto" w:sz="4" w:space="0"/>
              <w:left w:val="single" w:color="auto" w:sz="4" w:space="0"/>
              <w:bottom w:val="single" w:color="auto" w:sz="4" w:space="0"/>
              <w:right w:val="single" w:color="auto" w:sz="4" w:space="0"/>
            </w:tcBorders>
            <w:vAlign w:val="center"/>
          </w:tcPr>
          <w:p w14:paraId="43677948">
            <w:pPr>
              <w:pStyle w:val="33"/>
              <w:rPr>
                <w:color w:val="auto"/>
              </w:rPr>
            </w:pPr>
            <w:r>
              <w:rPr>
                <w:color w:val="auto"/>
              </w:rPr>
              <w:t>800</w:t>
            </w:r>
          </w:p>
        </w:tc>
      </w:tr>
      <w:tr w14:paraId="70CA6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0C774159">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5612A11D">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23BBAEB4">
            <w:pPr>
              <w:pStyle w:val="33"/>
              <w:rPr>
                <w:color w:val="auto"/>
              </w:rPr>
            </w:pPr>
            <w:r>
              <w:rPr>
                <w:rFonts w:hint="eastAsia"/>
                <w:color w:val="auto"/>
              </w:rPr>
              <w:t>去除率</w:t>
            </w:r>
          </w:p>
        </w:tc>
        <w:tc>
          <w:tcPr>
            <w:tcW w:w="1134" w:type="dxa"/>
            <w:tcBorders>
              <w:top w:val="single" w:color="auto" w:sz="4" w:space="0"/>
              <w:left w:val="single" w:color="auto" w:sz="4" w:space="0"/>
              <w:bottom w:val="single" w:color="auto" w:sz="4" w:space="0"/>
              <w:right w:val="single" w:color="auto" w:sz="4" w:space="0"/>
            </w:tcBorders>
            <w:vAlign w:val="center"/>
          </w:tcPr>
          <w:p w14:paraId="7229E8B5">
            <w:pPr>
              <w:pStyle w:val="33"/>
              <w:rPr>
                <w:color w:val="auto"/>
              </w:rPr>
            </w:pPr>
            <w:r>
              <w:rPr>
                <w:color w:val="auto"/>
              </w:rPr>
              <w:t>20%</w:t>
            </w:r>
          </w:p>
        </w:tc>
        <w:tc>
          <w:tcPr>
            <w:tcW w:w="996" w:type="dxa"/>
            <w:tcBorders>
              <w:top w:val="single" w:color="auto" w:sz="4" w:space="0"/>
              <w:left w:val="single" w:color="auto" w:sz="4" w:space="0"/>
              <w:bottom w:val="single" w:color="auto" w:sz="4" w:space="0"/>
              <w:right w:val="single" w:color="auto" w:sz="4" w:space="0"/>
            </w:tcBorders>
            <w:vAlign w:val="center"/>
          </w:tcPr>
          <w:p w14:paraId="4CD1663B">
            <w:pPr>
              <w:pStyle w:val="33"/>
              <w:rPr>
                <w:color w:val="auto"/>
              </w:rPr>
            </w:pPr>
            <w:r>
              <w:rPr>
                <w:color w:val="auto"/>
              </w:rPr>
              <w:t>15%</w:t>
            </w:r>
          </w:p>
        </w:tc>
        <w:tc>
          <w:tcPr>
            <w:tcW w:w="993" w:type="dxa"/>
            <w:tcBorders>
              <w:top w:val="single" w:color="auto" w:sz="4" w:space="0"/>
              <w:left w:val="single" w:color="auto" w:sz="4" w:space="0"/>
              <w:bottom w:val="single" w:color="auto" w:sz="4" w:space="0"/>
              <w:right w:val="single" w:color="auto" w:sz="4" w:space="0"/>
            </w:tcBorders>
            <w:vAlign w:val="center"/>
          </w:tcPr>
          <w:p w14:paraId="184BD6A7">
            <w:pPr>
              <w:pStyle w:val="33"/>
              <w:rPr>
                <w:color w:val="auto"/>
              </w:rPr>
            </w:pPr>
            <w:r>
              <w:rPr>
                <w:color w:val="auto"/>
              </w:rPr>
              <w:t>40%</w:t>
            </w:r>
          </w:p>
        </w:tc>
        <w:tc>
          <w:tcPr>
            <w:tcW w:w="1208" w:type="dxa"/>
            <w:tcBorders>
              <w:top w:val="single" w:color="auto" w:sz="4" w:space="0"/>
              <w:left w:val="single" w:color="auto" w:sz="4" w:space="0"/>
              <w:bottom w:val="single" w:color="auto" w:sz="4" w:space="0"/>
              <w:right w:val="single" w:color="auto" w:sz="4" w:space="0"/>
            </w:tcBorders>
            <w:vAlign w:val="center"/>
          </w:tcPr>
          <w:p w14:paraId="307689C1">
            <w:pPr>
              <w:pStyle w:val="33"/>
              <w:rPr>
                <w:color w:val="auto"/>
              </w:rPr>
            </w:pPr>
            <w:r>
              <w:rPr>
                <w:color w:val="auto"/>
              </w:rPr>
              <w:t>2%</w:t>
            </w:r>
          </w:p>
        </w:tc>
        <w:tc>
          <w:tcPr>
            <w:tcW w:w="1207" w:type="dxa"/>
            <w:tcBorders>
              <w:top w:val="single" w:color="auto" w:sz="4" w:space="0"/>
              <w:left w:val="single" w:color="auto" w:sz="4" w:space="0"/>
              <w:bottom w:val="single" w:color="auto" w:sz="4" w:space="0"/>
              <w:right w:val="single" w:color="auto" w:sz="4" w:space="0"/>
            </w:tcBorders>
            <w:vAlign w:val="center"/>
          </w:tcPr>
          <w:p w14:paraId="4E8F76B9">
            <w:pPr>
              <w:pStyle w:val="33"/>
              <w:rPr>
                <w:color w:val="auto"/>
              </w:rPr>
            </w:pPr>
            <w:r>
              <w:rPr>
                <w:color w:val="auto"/>
              </w:rPr>
              <w:t>10%</w:t>
            </w:r>
          </w:p>
        </w:tc>
      </w:tr>
      <w:tr w14:paraId="2ED23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1FE71BFA">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0028FBB3">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3F4CA625">
            <w:pPr>
              <w:pStyle w:val="33"/>
              <w:rPr>
                <w:color w:val="auto"/>
              </w:rPr>
            </w:pPr>
            <w:r>
              <w:rPr>
                <w:rFonts w:hint="eastAsia"/>
                <w:color w:val="auto"/>
              </w:rPr>
              <w:t>出水</w:t>
            </w:r>
          </w:p>
        </w:tc>
        <w:tc>
          <w:tcPr>
            <w:tcW w:w="1134" w:type="dxa"/>
            <w:tcBorders>
              <w:top w:val="single" w:color="auto" w:sz="4" w:space="0"/>
              <w:left w:val="single" w:color="auto" w:sz="4" w:space="0"/>
              <w:bottom w:val="single" w:color="auto" w:sz="4" w:space="0"/>
              <w:right w:val="single" w:color="auto" w:sz="4" w:space="0"/>
            </w:tcBorders>
            <w:vAlign w:val="center"/>
          </w:tcPr>
          <w:p w14:paraId="7A8EA20C">
            <w:pPr>
              <w:pStyle w:val="33"/>
              <w:rPr>
                <w:color w:val="auto"/>
              </w:rPr>
            </w:pPr>
            <w:r>
              <w:rPr>
                <w:color w:val="auto"/>
              </w:rPr>
              <w:t>2160</w:t>
            </w:r>
          </w:p>
        </w:tc>
        <w:tc>
          <w:tcPr>
            <w:tcW w:w="996" w:type="dxa"/>
            <w:tcBorders>
              <w:top w:val="single" w:color="auto" w:sz="4" w:space="0"/>
              <w:left w:val="single" w:color="auto" w:sz="4" w:space="0"/>
              <w:bottom w:val="single" w:color="auto" w:sz="4" w:space="0"/>
              <w:right w:val="single" w:color="auto" w:sz="4" w:space="0"/>
            </w:tcBorders>
            <w:vAlign w:val="center"/>
          </w:tcPr>
          <w:p w14:paraId="4CEB8EF5">
            <w:pPr>
              <w:pStyle w:val="33"/>
              <w:rPr>
                <w:color w:val="auto"/>
              </w:rPr>
            </w:pPr>
            <w:r>
              <w:rPr>
                <w:color w:val="auto"/>
              </w:rPr>
              <w:t>1190</w:t>
            </w:r>
          </w:p>
        </w:tc>
        <w:tc>
          <w:tcPr>
            <w:tcW w:w="993" w:type="dxa"/>
            <w:tcBorders>
              <w:top w:val="single" w:color="auto" w:sz="4" w:space="0"/>
              <w:left w:val="single" w:color="auto" w:sz="4" w:space="0"/>
              <w:bottom w:val="single" w:color="auto" w:sz="4" w:space="0"/>
              <w:right w:val="single" w:color="auto" w:sz="4" w:space="0"/>
            </w:tcBorders>
            <w:vAlign w:val="center"/>
          </w:tcPr>
          <w:p w14:paraId="03D83CBA">
            <w:pPr>
              <w:pStyle w:val="33"/>
              <w:rPr>
                <w:color w:val="auto"/>
              </w:rPr>
            </w:pPr>
            <w:r>
              <w:rPr>
                <w:color w:val="auto"/>
              </w:rPr>
              <w:t>420</w:t>
            </w:r>
          </w:p>
        </w:tc>
        <w:tc>
          <w:tcPr>
            <w:tcW w:w="1208" w:type="dxa"/>
            <w:tcBorders>
              <w:top w:val="single" w:color="auto" w:sz="4" w:space="0"/>
              <w:left w:val="single" w:color="auto" w:sz="4" w:space="0"/>
              <w:bottom w:val="single" w:color="auto" w:sz="4" w:space="0"/>
              <w:right w:val="single" w:color="auto" w:sz="4" w:space="0"/>
            </w:tcBorders>
            <w:vAlign w:val="center"/>
          </w:tcPr>
          <w:p w14:paraId="199E5861">
            <w:pPr>
              <w:pStyle w:val="33"/>
              <w:rPr>
                <w:color w:val="auto"/>
              </w:rPr>
            </w:pPr>
            <w:r>
              <w:rPr>
                <w:color w:val="auto"/>
              </w:rPr>
              <w:t>3.92</w:t>
            </w:r>
          </w:p>
        </w:tc>
        <w:tc>
          <w:tcPr>
            <w:tcW w:w="1207" w:type="dxa"/>
            <w:tcBorders>
              <w:top w:val="single" w:color="auto" w:sz="4" w:space="0"/>
              <w:left w:val="single" w:color="auto" w:sz="4" w:space="0"/>
              <w:bottom w:val="single" w:color="auto" w:sz="4" w:space="0"/>
              <w:right w:val="single" w:color="auto" w:sz="4" w:space="0"/>
            </w:tcBorders>
            <w:vAlign w:val="center"/>
          </w:tcPr>
          <w:p w14:paraId="6AB14C8A">
            <w:pPr>
              <w:pStyle w:val="33"/>
              <w:rPr>
                <w:color w:val="auto"/>
              </w:rPr>
            </w:pPr>
            <w:r>
              <w:rPr>
                <w:color w:val="auto"/>
              </w:rPr>
              <w:t>720</w:t>
            </w:r>
          </w:p>
        </w:tc>
      </w:tr>
      <w:tr w14:paraId="0B6A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51E294CA">
            <w:pPr>
              <w:pStyle w:val="33"/>
              <w:rPr>
                <w:color w:val="auto"/>
              </w:rPr>
            </w:pPr>
          </w:p>
        </w:tc>
        <w:tc>
          <w:tcPr>
            <w:tcW w:w="1090" w:type="dxa"/>
            <w:vMerge w:val="restart"/>
            <w:tcBorders>
              <w:top w:val="single" w:color="auto" w:sz="4" w:space="0"/>
              <w:left w:val="single" w:color="auto" w:sz="4" w:space="0"/>
              <w:bottom w:val="single" w:color="auto" w:sz="4" w:space="0"/>
              <w:right w:val="single" w:color="auto" w:sz="4" w:space="0"/>
            </w:tcBorders>
            <w:vAlign w:val="center"/>
          </w:tcPr>
          <w:p w14:paraId="7C72DBA7">
            <w:pPr>
              <w:pStyle w:val="33"/>
              <w:rPr>
                <w:color w:val="auto"/>
              </w:rPr>
            </w:pPr>
            <w:r>
              <w:rPr>
                <w:rFonts w:hint="eastAsia"/>
                <w:color w:val="auto"/>
              </w:rPr>
              <w:t>混凝</w:t>
            </w:r>
            <w:r>
              <w:rPr>
                <w:color w:val="auto"/>
              </w:rPr>
              <w:t>+</w:t>
            </w:r>
            <w:r>
              <w:rPr>
                <w:rFonts w:hint="eastAsia"/>
                <w:color w:val="auto"/>
              </w:rPr>
              <w:t>初沉池</w:t>
            </w:r>
          </w:p>
        </w:tc>
        <w:tc>
          <w:tcPr>
            <w:tcW w:w="1090" w:type="dxa"/>
            <w:tcBorders>
              <w:top w:val="single" w:color="auto" w:sz="4" w:space="0"/>
              <w:left w:val="single" w:color="auto" w:sz="4" w:space="0"/>
              <w:bottom w:val="single" w:color="auto" w:sz="4" w:space="0"/>
              <w:right w:val="single" w:color="auto" w:sz="4" w:space="0"/>
            </w:tcBorders>
            <w:vAlign w:val="center"/>
          </w:tcPr>
          <w:p w14:paraId="5D618070">
            <w:pPr>
              <w:pStyle w:val="33"/>
              <w:rPr>
                <w:color w:val="auto"/>
              </w:rPr>
            </w:pPr>
            <w:r>
              <w:rPr>
                <w:rFonts w:hint="eastAsia"/>
                <w:color w:val="auto"/>
              </w:rPr>
              <w:t>进水</w:t>
            </w:r>
          </w:p>
        </w:tc>
        <w:tc>
          <w:tcPr>
            <w:tcW w:w="1134" w:type="dxa"/>
            <w:tcBorders>
              <w:top w:val="single" w:color="auto" w:sz="4" w:space="0"/>
              <w:left w:val="single" w:color="auto" w:sz="4" w:space="0"/>
              <w:bottom w:val="single" w:color="auto" w:sz="4" w:space="0"/>
              <w:right w:val="single" w:color="auto" w:sz="4" w:space="0"/>
            </w:tcBorders>
            <w:vAlign w:val="center"/>
          </w:tcPr>
          <w:p w14:paraId="008942C0">
            <w:pPr>
              <w:pStyle w:val="33"/>
              <w:rPr>
                <w:color w:val="auto"/>
              </w:rPr>
            </w:pPr>
            <w:r>
              <w:rPr>
                <w:color w:val="auto"/>
              </w:rPr>
              <w:t>2160</w:t>
            </w:r>
          </w:p>
        </w:tc>
        <w:tc>
          <w:tcPr>
            <w:tcW w:w="996" w:type="dxa"/>
            <w:tcBorders>
              <w:top w:val="single" w:color="auto" w:sz="4" w:space="0"/>
              <w:left w:val="single" w:color="auto" w:sz="4" w:space="0"/>
              <w:bottom w:val="single" w:color="auto" w:sz="4" w:space="0"/>
              <w:right w:val="single" w:color="auto" w:sz="4" w:space="0"/>
            </w:tcBorders>
            <w:vAlign w:val="center"/>
          </w:tcPr>
          <w:p w14:paraId="2CD26F1B">
            <w:pPr>
              <w:pStyle w:val="33"/>
              <w:rPr>
                <w:color w:val="auto"/>
              </w:rPr>
            </w:pPr>
            <w:r>
              <w:rPr>
                <w:color w:val="auto"/>
              </w:rPr>
              <w:t>1190</w:t>
            </w:r>
          </w:p>
        </w:tc>
        <w:tc>
          <w:tcPr>
            <w:tcW w:w="993" w:type="dxa"/>
            <w:tcBorders>
              <w:top w:val="single" w:color="auto" w:sz="4" w:space="0"/>
              <w:left w:val="single" w:color="auto" w:sz="4" w:space="0"/>
              <w:bottom w:val="single" w:color="auto" w:sz="4" w:space="0"/>
              <w:right w:val="single" w:color="auto" w:sz="4" w:space="0"/>
            </w:tcBorders>
            <w:vAlign w:val="center"/>
          </w:tcPr>
          <w:p w14:paraId="1FFD30DC">
            <w:pPr>
              <w:pStyle w:val="33"/>
              <w:rPr>
                <w:color w:val="auto"/>
              </w:rPr>
            </w:pPr>
            <w:r>
              <w:rPr>
                <w:color w:val="auto"/>
              </w:rPr>
              <w:t>420</w:t>
            </w:r>
          </w:p>
        </w:tc>
        <w:tc>
          <w:tcPr>
            <w:tcW w:w="1208" w:type="dxa"/>
            <w:tcBorders>
              <w:top w:val="single" w:color="auto" w:sz="4" w:space="0"/>
              <w:left w:val="single" w:color="auto" w:sz="4" w:space="0"/>
              <w:bottom w:val="single" w:color="auto" w:sz="4" w:space="0"/>
              <w:right w:val="single" w:color="auto" w:sz="4" w:space="0"/>
            </w:tcBorders>
            <w:vAlign w:val="center"/>
          </w:tcPr>
          <w:p w14:paraId="4F4822ED">
            <w:pPr>
              <w:pStyle w:val="33"/>
              <w:rPr>
                <w:color w:val="auto"/>
              </w:rPr>
            </w:pPr>
            <w:r>
              <w:rPr>
                <w:color w:val="auto"/>
              </w:rPr>
              <w:t>3.92</w:t>
            </w:r>
          </w:p>
        </w:tc>
        <w:tc>
          <w:tcPr>
            <w:tcW w:w="1207" w:type="dxa"/>
            <w:tcBorders>
              <w:top w:val="single" w:color="auto" w:sz="4" w:space="0"/>
              <w:left w:val="single" w:color="auto" w:sz="4" w:space="0"/>
              <w:bottom w:val="single" w:color="auto" w:sz="4" w:space="0"/>
              <w:right w:val="single" w:color="auto" w:sz="4" w:space="0"/>
            </w:tcBorders>
            <w:vAlign w:val="center"/>
          </w:tcPr>
          <w:p w14:paraId="1D70CCBB">
            <w:pPr>
              <w:pStyle w:val="33"/>
              <w:rPr>
                <w:color w:val="auto"/>
              </w:rPr>
            </w:pPr>
            <w:r>
              <w:rPr>
                <w:color w:val="auto"/>
              </w:rPr>
              <w:t>720</w:t>
            </w:r>
          </w:p>
        </w:tc>
      </w:tr>
      <w:tr w14:paraId="07365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208660E8">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5E407880">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6A5BA6A1">
            <w:pPr>
              <w:pStyle w:val="33"/>
              <w:rPr>
                <w:color w:val="auto"/>
              </w:rPr>
            </w:pPr>
            <w:r>
              <w:rPr>
                <w:rFonts w:hint="eastAsia"/>
                <w:color w:val="auto"/>
              </w:rPr>
              <w:t>去除率</w:t>
            </w:r>
          </w:p>
        </w:tc>
        <w:tc>
          <w:tcPr>
            <w:tcW w:w="1134" w:type="dxa"/>
            <w:tcBorders>
              <w:top w:val="single" w:color="auto" w:sz="4" w:space="0"/>
              <w:left w:val="single" w:color="auto" w:sz="4" w:space="0"/>
              <w:bottom w:val="single" w:color="auto" w:sz="4" w:space="0"/>
              <w:right w:val="single" w:color="auto" w:sz="4" w:space="0"/>
            </w:tcBorders>
            <w:vAlign w:val="center"/>
          </w:tcPr>
          <w:p w14:paraId="5914706A">
            <w:pPr>
              <w:pStyle w:val="33"/>
              <w:rPr>
                <w:color w:val="auto"/>
              </w:rPr>
            </w:pPr>
            <w:r>
              <w:rPr>
                <w:color w:val="auto"/>
              </w:rPr>
              <w:t>60%</w:t>
            </w:r>
          </w:p>
        </w:tc>
        <w:tc>
          <w:tcPr>
            <w:tcW w:w="996" w:type="dxa"/>
            <w:tcBorders>
              <w:top w:val="single" w:color="auto" w:sz="4" w:space="0"/>
              <w:left w:val="single" w:color="auto" w:sz="4" w:space="0"/>
              <w:bottom w:val="single" w:color="auto" w:sz="4" w:space="0"/>
              <w:right w:val="single" w:color="auto" w:sz="4" w:space="0"/>
            </w:tcBorders>
            <w:vAlign w:val="center"/>
          </w:tcPr>
          <w:p w14:paraId="00296B01">
            <w:pPr>
              <w:pStyle w:val="33"/>
              <w:rPr>
                <w:color w:val="auto"/>
              </w:rPr>
            </w:pPr>
            <w:r>
              <w:rPr>
                <w:color w:val="auto"/>
              </w:rPr>
              <w:t>28%</w:t>
            </w:r>
          </w:p>
        </w:tc>
        <w:tc>
          <w:tcPr>
            <w:tcW w:w="993" w:type="dxa"/>
            <w:tcBorders>
              <w:top w:val="single" w:color="auto" w:sz="4" w:space="0"/>
              <w:left w:val="single" w:color="auto" w:sz="4" w:space="0"/>
              <w:bottom w:val="single" w:color="auto" w:sz="4" w:space="0"/>
              <w:right w:val="single" w:color="auto" w:sz="4" w:space="0"/>
            </w:tcBorders>
            <w:vAlign w:val="center"/>
          </w:tcPr>
          <w:p w14:paraId="4FFAA655">
            <w:pPr>
              <w:pStyle w:val="33"/>
              <w:rPr>
                <w:color w:val="auto"/>
              </w:rPr>
            </w:pPr>
            <w:r>
              <w:rPr>
                <w:color w:val="auto"/>
              </w:rPr>
              <w:t>65%</w:t>
            </w:r>
          </w:p>
        </w:tc>
        <w:tc>
          <w:tcPr>
            <w:tcW w:w="1208" w:type="dxa"/>
            <w:tcBorders>
              <w:top w:val="single" w:color="auto" w:sz="4" w:space="0"/>
              <w:left w:val="single" w:color="auto" w:sz="4" w:space="0"/>
              <w:bottom w:val="single" w:color="auto" w:sz="4" w:space="0"/>
              <w:right w:val="single" w:color="auto" w:sz="4" w:space="0"/>
            </w:tcBorders>
            <w:vAlign w:val="center"/>
          </w:tcPr>
          <w:p w14:paraId="5DCBE1B9">
            <w:pPr>
              <w:pStyle w:val="33"/>
              <w:rPr>
                <w:color w:val="auto"/>
              </w:rPr>
            </w:pPr>
            <w:r>
              <w:rPr>
                <w:color w:val="auto"/>
              </w:rPr>
              <w:t>2%</w:t>
            </w:r>
          </w:p>
        </w:tc>
        <w:tc>
          <w:tcPr>
            <w:tcW w:w="1207" w:type="dxa"/>
            <w:tcBorders>
              <w:top w:val="single" w:color="auto" w:sz="4" w:space="0"/>
              <w:left w:val="single" w:color="auto" w:sz="4" w:space="0"/>
              <w:bottom w:val="single" w:color="auto" w:sz="4" w:space="0"/>
              <w:right w:val="single" w:color="auto" w:sz="4" w:space="0"/>
            </w:tcBorders>
            <w:vAlign w:val="center"/>
          </w:tcPr>
          <w:p w14:paraId="719F4C12">
            <w:pPr>
              <w:pStyle w:val="33"/>
              <w:rPr>
                <w:color w:val="auto"/>
              </w:rPr>
            </w:pPr>
            <w:r>
              <w:rPr>
                <w:color w:val="auto"/>
              </w:rPr>
              <w:t>20%</w:t>
            </w:r>
          </w:p>
        </w:tc>
      </w:tr>
      <w:tr w14:paraId="45D1F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bottom w:val="single" w:color="auto" w:sz="4" w:space="0"/>
              <w:right w:val="single" w:color="auto" w:sz="4" w:space="0"/>
            </w:tcBorders>
            <w:vAlign w:val="center"/>
          </w:tcPr>
          <w:p w14:paraId="4A63562A">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5FED70F5">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33134FD4">
            <w:pPr>
              <w:pStyle w:val="33"/>
              <w:rPr>
                <w:color w:val="auto"/>
              </w:rPr>
            </w:pPr>
            <w:r>
              <w:rPr>
                <w:rFonts w:hint="eastAsia"/>
                <w:color w:val="auto"/>
              </w:rPr>
              <w:t>出水</w:t>
            </w:r>
          </w:p>
        </w:tc>
        <w:tc>
          <w:tcPr>
            <w:tcW w:w="1134" w:type="dxa"/>
            <w:tcBorders>
              <w:top w:val="single" w:color="auto" w:sz="4" w:space="0"/>
              <w:left w:val="single" w:color="auto" w:sz="4" w:space="0"/>
              <w:bottom w:val="single" w:color="auto" w:sz="4" w:space="0"/>
              <w:right w:val="single" w:color="auto" w:sz="4" w:space="0"/>
            </w:tcBorders>
            <w:vAlign w:val="center"/>
          </w:tcPr>
          <w:p w14:paraId="06EA5647">
            <w:pPr>
              <w:pStyle w:val="33"/>
              <w:rPr>
                <w:color w:val="auto"/>
              </w:rPr>
            </w:pPr>
            <w:r>
              <w:rPr>
                <w:color w:val="auto"/>
              </w:rPr>
              <w:t>864</w:t>
            </w:r>
          </w:p>
        </w:tc>
        <w:tc>
          <w:tcPr>
            <w:tcW w:w="996" w:type="dxa"/>
            <w:tcBorders>
              <w:top w:val="single" w:color="auto" w:sz="4" w:space="0"/>
              <w:left w:val="single" w:color="auto" w:sz="4" w:space="0"/>
              <w:bottom w:val="single" w:color="auto" w:sz="4" w:space="0"/>
              <w:right w:val="single" w:color="auto" w:sz="4" w:space="0"/>
            </w:tcBorders>
            <w:vAlign w:val="center"/>
          </w:tcPr>
          <w:p w14:paraId="66FCA899">
            <w:pPr>
              <w:pStyle w:val="33"/>
              <w:rPr>
                <w:color w:val="auto"/>
              </w:rPr>
            </w:pPr>
            <w:r>
              <w:rPr>
                <w:color w:val="auto"/>
              </w:rPr>
              <w:t>856.8</w:t>
            </w:r>
          </w:p>
        </w:tc>
        <w:tc>
          <w:tcPr>
            <w:tcW w:w="993" w:type="dxa"/>
            <w:tcBorders>
              <w:top w:val="single" w:color="auto" w:sz="4" w:space="0"/>
              <w:left w:val="single" w:color="auto" w:sz="4" w:space="0"/>
              <w:bottom w:val="single" w:color="auto" w:sz="4" w:space="0"/>
              <w:right w:val="single" w:color="auto" w:sz="4" w:space="0"/>
            </w:tcBorders>
            <w:vAlign w:val="center"/>
          </w:tcPr>
          <w:p w14:paraId="05DCE860">
            <w:pPr>
              <w:pStyle w:val="33"/>
              <w:rPr>
                <w:color w:val="auto"/>
              </w:rPr>
            </w:pPr>
            <w:r>
              <w:rPr>
                <w:color w:val="auto"/>
              </w:rPr>
              <w:t>147</w:t>
            </w:r>
          </w:p>
        </w:tc>
        <w:tc>
          <w:tcPr>
            <w:tcW w:w="1208" w:type="dxa"/>
            <w:tcBorders>
              <w:top w:val="single" w:color="auto" w:sz="4" w:space="0"/>
              <w:left w:val="single" w:color="auto" w:sz="4" w:space="0"/>
              <w:bottom w:val="single" w:color="auto" w:sz="4" w:space="0"/>
              <w:right w:val="single" w:color="auto" w:sz="4" w:space="0"/>
            </w:tcBorders>
            <w:vAlign w:val="center"/>
          </w:tcPr>
          <w:p w14:paraId="06CB68D8">
            <w:pPr>
              <w:pStyle w:val="33"/>
              <w:rPr>
                <w:color w:val="auto"/>
              </w:rPr>
            </w:pPr>
            <w:r>
              <w:rPr>
                <w:color w:val="auto"/>
              </w:rPr>
              <w:t>3.8416</w:t>
            </w:r>
          </w:p>
        </w:tc>
        <w:tc>
          <w:tcPr>
            <w:tcW w:w="1207" w:type="dxa"/>
            <w:tcBorders>
              <w:top w:val="single" w:color="auto" w:sz="4" w:space="0"/>
              <w:left w:val="single" w:color="auto" w:sz="4" w:space="0"/>
              <w:bottom w:val="single" w:color="auto" w:sz="4" w:space="0"/>
              <w:right w:val="single" w:color="auto" w:sz="4" w:space="0"/>
            </w:tcBorders>
            <w:vAlign w:val="center"/>
          </w:tcPr>
          <w:p w14:paraId="4481E243">
            <w:pPr>
              <w:pStyle w:val="33"/>
              <w:rPr>
                <w:color w:val="auto"/>
              </w:rPr>
            </w:pPr>
            <w:r>
              <w:rPr>
                <w:color w:val="auto"/>
              </w:rPr>
              <w:t>576</w:t>
            </w:r>
          </w:p>
        </w:tc>
      </w:tr>
      <w:tr w14:paraId="26232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restart"/>
            <w:tcBorders>
              <w:top w:val="single" w:color="auto" w:sz="4" w:space="0"/>
              <w:left w:val="single" w:color="auto" w:sz="4" w:space="0"/>
              <w:right w:val="single" w:color="auto" w:sz="4" w:space="0"/>
            </w:tcBorders>
            <w:vAlign w:val="center"/>
          </w:tcPr>
          <w:p w14:paraId="23C63FBF">
            <w:pPr>
              <w:pStyle w:val="33"/>
              <w:rPr>
                <w:color w:val="auto"/>
              </w:rPr>
            </w:pPr>
            <w:r>
              <w:rPr>
                <w:rFonts w:hint="eastAsia"/>
                <w:color w:val="auto"/>
              </w:rPr>
              <w:t>生化</w:t>
            </w:r>
          </w:p>
          <w:p w14:paraId="078853D6">
            <w:pPr>
              <w:pStyle w:val="33"/>
              <w:rPr>
                <w:color w:val="auto"/>
              </w:rPr>
            </w:pPr>
            <w:r>
              <w:rPr>
                <w:rFonts w:hint="eastAsia"/>
                <w:color w:val="auto"/>
              </w:rPr>
              <w:t>处理</w:t>
            </w:r>
          </w:p>
        </w:tc>
        <w:tc>
          <w:tcPr>
            <w:tcW w:w="1090" w:type="dxa"/>
            <w:vMerge w:val="restart"/>
            <w:tcBorders>
              <w:top w:val="single" w:color="auto" w:sz="4" w:space="0"/>
              <w:left w:val="single" w:color="auto" w:sz="4" w:space="0"/>
              <w:bottom w:val="single" w:color="auto" w:sz="4" w:space="0"/>
              <w:right w:val="single" w:color="auto" w:sz="4" w:space="0"/>
            </w:tcBorders>
            <w:vAlign w:val="center"/>
          </w:tcPr>
          <w:p w14:paraId="1404FD3B">
            <w:pPr>
              <w:pStyle w:val="33"/>
              <w:rPr>
                <w:color w:val="auto"/>
              </w:rPr>
            </w:pPr>
            <w:r>
              <w:rPr>
                <w:rFonts w:hint="eastAsia"/>
                <w:color w:val="auto"/>
              </w:rPr>
              <w:t>曝气池</w:t>
            </w:r>
            <w:r>
              <w:rPr>
                <w:color w:val="auto"/>
              </w:rPr>
              <w:t>+</w:t>
            </w:r>
            <w:r>
              <w:rPr>
                <w:rFonts w:hint="eastAsia"/>
                <w:color w:val="auto"/>
              </w:rPr>
              <w:t>二沉池</w:t>
            </w:r>
          </w:p>
        </w:tc>
        <w:tc>
          <w:tcPr>
            <w:tcW w:w="1090" w:type="dxa"/>
            <w:tcBorders>
              <w:top w:val="single" w:color="auto" w:sz="4" w:space="0"/>
              <w:left w:val="single" w:color="auto" w:sz="4" w:space="0"/>
              <w:bottom w:val="single" w:color="auto" w:sz="4" w:space="0"/>
              <w:right w:val="single" w:color="auto" w:sz="4" w:space="0"/>
            </w:tcBorders>
            <w:vAlign w:val="center"/>
          </w:tcPr>
          <w:p w14:paraId="1E7374A9">
            <w:pPr>
              <w:pStyle w:val="33"/>
              <w:rPr>
                <w:color w:val="auto"/>
              </w:rPr>
            </w:pPr>
            <w:r>
              <w:rPr>
                <w:rFonts w:hint="eastAsia"/>
                <w:color w:val="auto"/>
              </w:rPr>
              <w:t>进水</w:t>
            </w:r>
          </w:p>
        </w:tc>
        <w:tc>
          <w:tcPr>
            <w:tcW w:w="1134" w:type="dxa"/>
            <w:tcBorders>
              <w:top w:val="single" w:color="auto" w:sz="4" w:space="0"/>
              <w:left w:val="single" w:color="auto" w:sz="4" w:space="0"/>
              <w:bottom w:val="single" w:color="auto" w:sz="4" w:space="0"/>
              <w:right w:val="single" w:color="auto" w:sz="4" w:space="0"/>
            </w:tcBorders>
            <w:vAlign w:val="center"/>
          </w:tcPr>
          <w:p w14:paraId="4E4F4206">
            <w:pPr>
              <w:pStyle w:val="33"/>
              <w:rPr>
                <w:color w:val="auto"/>
              </w:rPr>
            </w:pPr>
            <w:r>
              <w:rPr>
                <w:color w:val="auto"/>
              </w:rPr>
              <w:t>864</w:t>
            </w:r>
          </w:p>
        </w:tc>
        <w:tc>
          <w:tcPr>
            <w:tcW w:w="996" w:type="dxa"/>
            <w:tcBorders>
              <w:top w:val="single" w:color="auto" w:sz="4" w:space="0"/>
              <w:left w:val="single" w:color="auto" w:sz="4" w:space="0"/>
              <w:bottom w:val="single" w:color="auto" w:sz="4" w:space="0"/>
              <w:right w:val="single" w:color="auto" w:sz="4" w:space="0"/>
            </w:tcBorders>
            <w:vAlign w:val="center"/>
          </w:tcPr>
          <w:p w14:paraId="51A4B6B9">
            <w:pPr>
              <w:pStyle w:val="33"/>
              <w:rPr>
                <w:color w:val="auto"/>
              </w:rPr>
            </w:pPr>
            <w:r>
              <w:rPr>
                <w:color w:val="auto"/>
              </w:rPr>
              <w:t>856.8</w:t>
            </w:r>
          </w:p>
        </w:tc>
        <w:tc>
          <w:tcPr>
            <w:tcW w:w="993" w:type="dxa"/>
            <w:tcBorders>
              <w:top w:val="single" w:color="auto" w:sz="4" w:space="0"/>
              <w:left w:val="single" w:color="auto" w:sz="4" w:space="0"/>
              <w:bottom w:val="single" w:color="auto" w:sz="4" w:space="0"/>
              <w:right w:val="single" w:color="auto" w:sz="4" w:space="0"/>
            </w:tcBorders>
            <w:vAlign w:val="center"/>
          </w:tcPr>
          <w:p w14:paraId="3702A92E">
            <w:pPr>
              <w:pStyle w:val="33"/>
              <w:rPr>
                <w:color w:val="auto"/>
              </w:rPr>
            </w:pPr>
            <w:r>
              <w:rPr>
                <w:color w:val="auto"/>
              </w:rPr>
              <w:t>147</w:t>
            </w:r>
          </w:p>
        </w:tc>
        <w:tc>
          <w:tcPr>
            <w:tcW w:w="1208" w:type="dxa"/>
            <w:tcBorders>
              <w:top w:val="single" w:color="auto" w:sz="4" w:space="0"/>
              <w:left w:val="single" w:color="auto" w:sz="4" w:space="0"/>
              <w:bottom w:val="single" w:color="auto" w:sz="4" w:space="0"/>
              <w:right w:val="single" w:color="auto" w:sz="4" w:space="0"/>
            </w:tcBorders>
            <w:vAlign w:val="center"/>
          </w:tcPr>
          <w:p w14:paraId="7C21189B">
            <w:pPr>
              <w:pStyle w:val="33"/>
              <w:rPr>
                <w:color w:val="auto"/>
              </w:rPr>
            </w:pPr>
            <w:r>
              <w:rPr>
                <w:color w:val="auto"/>
              </w:rPr>
              <w:t>3.8416</w:t>
            </w:r>
          </w:p>
        </w:tc>
        <w:tc>
          <w:tcPr>
            <w:tcW w:w="1207" w:type="dxa"/>
            <w:tcBorders>
              <w:top w:val="single" w:color="auto" w:sz="4" w:space="0"/>
              <w:left w:val="single" w:color="auto" w:sz="4" w:space="0"/>
              <w:bottom w:val="single" w:color="auto" w:sz="4" w:space="0"/>
              <w:right w:val="single" w:color="auto" w:sz="4" w:space="0"/>
            </w:tcBorders>
            <w:vAlign w:val="center"/>
          </w:tcPr>
          <w:p w14:paraId="1CB9FCC7">
            <w:pPr>
              <w:pStyle w:val="33"/>
              <w:rPr>
                <w:color w:val="auto"/>
              </w:rPr>
            </w:pPr>
            <w:r>
              <w:rPr>
                <w:color w:val="auto"/>
              </w:rPr>
              <w:t>576</w:t>
            </w:r>
          </w:p>
        </w:tc>
      </w:tr>
      <w:tr w14:paraId="435CB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2E4A57C0">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75153BEF">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4AA94233">
            <w:pPr>
              <w:pStyle w:val="33"/>
              <w:rPr>
                <w:color w:val="auto"/>
              </w:rPr>
            </w:pPr>
            <w:r>
              <w:rPr>
                <w:rFonts w:hint="eastAsia"/>
                <w:color w:val="auto"/>
              </w:rPr>
              <w:t>去除率</w:t>
            </w:r>
          </w:p>
        </w:tc>
        <w:tc>
          <w:tcPr>
            <w:tcW w:w="1134" w:type="dxa"/>
            <w:tcBorders>
              <w:top w:val="single" w:color="auto" w:sz="4" w:space="0"/>
              <w:left w:val="single" w:color="auto" w:sz="4" w:space="0"/>
              <w:bottom w:val="single" w:color="auto" w:sz="4" w:space="0"/>
              <w:right w:val="single" w:color="auto" w:sz="4" w:space="0"/>
            </w:tcBorders>
            <w:vAlign w:val="center"/>
          </w:tcPr>
          <w:p w14:paraId="5A5D7A77">
            <w:pPr>
              <w:pStyle w:val="33"/>
              <w:rPr>
                <w:color w:val="auto"/>
              </w:rPr>
            </w:pPr>
            <w:r>
              <w:rPr>
                <w:color w:val="auto"/>
              </w:rPr>
              <w:t>82%</w:t>
            </w:r>
          </w:p>
        </w:tc>
        <w:tc>
          <w:tcPr>
            <w:tcW w:w="996" w:type="dxa"/>
            <w:tcBorders>
              <w:top w:val="single" w:color="auto" w:sz="4" w:space="0"/>
              <w:left w:val="single" w:color="auto" w:sz="4" w:space="0"/>
              <w:bottom w:val="single" w:color="auto" w:sz="4" w:space="0"/>
              <w:right w:val="single" w:color="auto" w:sz="4" w:space="0"/>
            </w:tcBorders>
            <w:vAlign w:val="center"/>
          </w:tcPr>
          <w:p w14:paraId="4F2FFC33">
            <w:pPr>
              <w:pStyle w:val="33"/>
              <w:rPr>
                <w:color w:val="auto"/>
              </w:rPr>
            </w:pPr>
            <w:r>
              <w:rPr>
                <w:color w:val="auto"/>
              </w:rPr>
              <w:t>95%</w:t>
            </w:r>
          </w:p>
        </w:tc>
        <w:tc>
          <w:tcPr>
            <w:tcW w:w="993" w:type="dxa"/>
            <w:tcBorders>
              <w:top w:val="single" w:color="auto" w:sz="4" w:space="0"/>
              <w:left w:val="single" w:color="auto" w:sz="4" w:space="0"/>
              <w:bottom w:val="single" w:color="auto" w:sz="4" w:space="0"/>
              <w:right w:val="single" w:color="auto" w:sz="4" w:space="0"/>
            </w:tcBorders>
            <w:vAlign w:val="center"/>
          </w:tcPr>
          <w:p w14:paraId="7EEB099D">
            <w:pPr>
              <w:pStyle w:val="33"/>
              <w:rPr>
                <w:color w:val="auto"/>
              </w:rPr>
            </w:pPr>
            <w:r>
              <w:rPr>
                <w:color w:val="auto"/>
              </w:rPr>
              <w:t>70%</w:t>
            </w:r>
          </w:p>
        </w:tc>
        <w:tc>
          <w:tcPr>
            <w:tcW w:w="1208" w:type="dxa"/>
            <w:tcBorders>
              <w:top w:val="single" w:color="auto" w:sz="4" w:space="0"/>
              <w:left w:val="single" w:color="auto" w:sz="4" w:space="0"/>
              <w:bottom w:val="single" w:color="auto" w:sz="4" w:space="0"/>
              <w:right w:val="single" w:color="auto" w:sz="4" w:space="0"/>
            </w:tcBorders>
            <w:vAlign w:val="center"/>
          </w:tcPr>
          <w:p w14:paraId="19DCCB1E">
            <w:pPr>
              <w:pStyle w:val="33"/>
              <w:rPr>
                <w:color w:val="auto"/>
              </w:rPr>
            </w:pPr>
            <w:r>
              <w:rPr>
                <w:color w:val="auto"/>
              </w:rPr>
              <w:t>20%</w:t>
            </w:r>
          </w:p>
        </w:tc>
        <w:tc>
          <w:tcPr>
            <w:tcW w:w="1207" w:type="dxa"/>
            <w:tcBorders>
              <w:top w:val="single" w:color="auto" w:sz="4" w:space="0"/>
              <w:left w:val="single" w:color="auto" w:sz="4" w:space="0"/>
              <w:bottom w:val="single" w:color="auto" w:sz="4" w:space="0"/>
              <w:right w:val="single" w:color="auto" w:sz="4" w:space="0"/>
            </w:tcBorders>
            <w:vAlign w:val="center"/>
          </w:tcPr>
          <w:p w14:paraId="4668F3C6">
            <w:pPr>
              <w:pStyle w:val="33"/>
              <w:rPr>
                <w:color w:val="auto"/>
              </w:rPr>
            </w:pPr>
            <w:r>
              <w:rPr>
                <w:color w:val="auto"/>
              </w:rPr>
              <w:t>70%</w:t>
            </w:r>
          </w:p>
        </w:tc>
      </w:tr>
      <w:tr w14:paraId="323A6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9" w:hRule="atLeast"/>
          <w:jc w:val="center"/>
        </w:trPr>
        <w:tc>
          <w:tcPr>
            <w:tcW w:w="1208" w:type="dxa"/>
            <w:vMerge w:val="continue"/>
            <w:tcBorders>
              <w:left w:val="single" w:color="auto" w:sz="4" w:space="0"/>
              <w:right w:val="single" w:color="auto" w:sz="4" w:space="0"/>
            </w:tcBorders>
            <w:vAlign w:val="center"/>
          </w:tcPr>
          <w:p w14:paraId="57DB2DC0">
            <w:pPr>
              <w:pStyle w:val="33"/>
              <w:rPr>
                <w:color w:val="auto"/>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0E76F8F8">
            <w:pPr>
              <w:pStyle w:val="33"/>
              <w:rPr>
                <w:color w:val="auto"/>
              </w:rPr>
            </w:pPr>
          </w:p>
        </w:tc>
        <w:tc>
          <w:tcPr>
            <w:tcW w:w="1090" w:type="dxa"/>
            <w:tcBorders>
              <w:top w:val="single" w:color="auto" w:sz="4" w:space="0"/>
              <w:left w:val="single" w:color="auto" w:sz="4" w:space="0"/>
              <w:bottom w:val="single" w:color="auto" w:sz="4" w:space="0"/>
              <w:right w:val="single" w:color="auto" w:sz="4" w:space="0"/>
            </w:tcBorders>
            <w:vAlign w:val="center"/>
          </w:tcPr>
          <w:p w14:paraId="0539E9E2">
            <w:pPr>
              <w:pStyle w:val="33"/>
              <w:rPr>
                <w:color w:val="auto"/>
              </w:rPr>
            </w:pPr>
            <w:r>
              <w:rPr>
                <w:rFonts w:hint="eastAsia"/>
                <w:color w:val="auto"/>
              </w:rPr>
              <w:t>出水</w:t>
            </w:r>
          </w:p>
        </w:tc>
        <w:tc>
          <w:tcPr>
            <w:tcW w:w="1134" w:type="dxa"/>
            <w:tcBorders>
              <w:top w:val="single" w:color="auto" w:sz="4" w:space="0"/>
              <w:left w:val="single" w:color="auto" w:sz="4" w:space="0"/>
              <w:bottom w:val="single" w:color="auto" w:sz="4" w:space="0"/>
              <w:right w:val="single" w:color="auto" w:sz="4" w:space="0"/>
            </w:tcBorders>
            <w:vAlign w:val="center"/>
          </w:tcPr>
          <w:p w14:paraId="19CE47E3">
            <w:pPr>
              <w:pStyle w:val="33"/>
              <w:rPr>
                <w:color w:val="auto"/>
              </w:rPr>
            </w:pPr>
            <w:r>
              <w:rPr>
                <w:color w:val="auto"/>
              </w:rPr>
              <w:t>155.52</w:t>
            </w:r>
          </w:p>
        </w:tc>
        <w:tc>
          <w:tcPr>
            <w:tcW w:w="996" w:type="dxa"/>
            <w:tcBorders>
              <w:top w:val="single" w:color="auto" w:sz="4" w:space="0"/>
              <w:left w:val="single" w:color="auto" w:sz="4" w:space="0"/>
              <w:bottom w:val="single" w:color="auto" w:sz="4" w:space="0"/>
              <w:right w:val="single" w:color="auto" w:sz="4" w:space="0"/>
            </w:tcBorders>
            <w:vAlign w:val="center"/>
          </w:tcPr>
          <w:p w14:paraId="19A89F91">
            <w:pPr>
              <w:pStyle w:val="33"/>
              <w:rPr>
                <w:color w:val="auto"/>
              </w:rPr>
            </w:pPr>
            <w:r>
              <w:rPr>
                <w:color w:val="auto"/>
              </w:rPr>
              <w:t>42.84</w:t>
            </w:r>
          </w:p>
        </w:tc>
        <w:tc>
          <w:tcPr>
            <w:tcW w:w="993" w:type="dxa"/>
            <w:tcBorders>
              <w:top w:val="single" w:color="auto" w:sz="4" w:space="0"/>
              <w:left w:val="single" w:color="auto" w:sz="4" w:space="0"/>
              <w:bottom w:val="single" w:color="auto" w:sz="4" w:space="0"/>
              <w:right w:val="single" w:color="auto" w:sz="4" w:space="0"/>
            </w:tcBorders>
            <w:vAlign w:val="center"/>
          </w:tcPr>
          <w:p w14:paraId="74FE37D1">
            <w:pPr>
              <w:pStyle w:val="33"/>
              <w:rPr>
                <w:color w:val="auto"/>
              </w:rPr>
            </w:pPr>
            <w:r>
              <w:rPr>
                <w:color w:val="auto"/>
              </w:rPr>
              <w:t>44.1</w:t>
            </w:r>
          </w:p>
        </w:tc>
        <w:tc>
          <w:tcPr>
            <w:tcW w:w="1208" w:type="dxa"/>
            <w:tcBorders>
              <w:top w:val="single" w:color="auto" w:sz="4" w:space="0"/>
              <w:left w:val="single" w:color="auto" w:sz="4" w:space="0"/>
              <w:bottom w:val="single" w:color="auto" w:sz="4" w:space="0"/>
              <w:right w:val="single" w:color="auto" w:sz="4" w:space="0"/>
            </w:tcBorders>
            <w:vAlign w:val="center"/>
          </w:tcPr>
          <w:p w14:paraId="57B04B54">
            <w:pPr>
              <w:pStyle w:val="33"/>
              <w:rPr>
                <w:color w:val="auto"/>
              </w:rPr>
            </w:pPr>
            <w:r>
              <w:rPr>
                <w:color w:val="auto"/>
              </w:rPr>
              <w:t>3.07328</w:t>
            </w:r>
          </w:p>
        </w:tc>
        <w:tc>
          <w:tcPr>
            <w:tcW w:w="1207" w:type="dxa"/>
            <w:tcBorders>
              <w:top w:val="single" w:color="auto" w:sz="4" w:space="0"/>
              <w:left w:val="single" w:color="auto" w:sz="4" w:space="0"/>
              <w:bottom w:val="single" w:color="auto" w:sz="4" w:space="0"/>
              <w:right w:val="single" w:color="auto" w:sz="4" w:space="0"/>
            </w:tcBorders>
            <w:vAlign w:val="center"/>
          </w:tcPr>
          <w:p w14:paraId="2146BFD7">
            <w:pPr>
              <w:pStyle w:val="33"/>
              <w:rPr>
                <w:color w:val="auto"/>
              </w:rPr>
            </w:pPr>
            <w:r>
              <w:rPr>
                <w:color w:val="auto"/>
              </w:rPr>
              <w:t>172.8</w:t>
            </w:r>
          </w:p>
        </w:tc>
      </w:tr>
      <w:tr w14:paraId="2074D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0" w:hRule="atLeast"/>
          <w:jc w:val="center"/>
        </w:trPr>
        <w:tc>
          <w:tcPr>
            <w:tcW w:w="1208" w:type="dxa"/>
            <w:vMerge w:val="restart"/>
            <w:tcBorders>
              <w:left w:val="single" w:color="auto" w:sz="4" w:space="0"/>
              <w:right w:val="single" w:color="auto" w:sz="4" w:space="0"/>
            </w:tcBorders>
            <w:vAlign w:val="center"/>
          </w:tcPr>
          <w:p w14:paraId="06326A46">
            <w:pPr>
              <w:pStyle w:val="33"/>
              <w:rPr>
                <w:color w:val="auto"/>
              </w:rPr>
            </w:pPr>
            <w:r>
              <w:rPr>
                <w:rFonts w:hint="eastAsia"/>
                <w:color w:val="auto"/>
              </w:rPr>
              <w:t>深度</w:t>
            </w:r>
          </w:p>
          <w:p w14:paraId="5723ACFC">
            <w:pPr>
              <w:pStyle w:val="33"/>
              <w:rPr>
                <w:color w:val="auto"/>
              </w:rPr>
            </w:pPr>
            <w:r>
              <w:rPr>
                <w:rFonts w:hint="eastAsia"/>
                <w:color w:val="auto"/>
              </w:rPr>
              <w:t>处理</w:t>
            </w:r>
          </w:p>
        </w:tc>
        <w:tc>
          <w:tcPr>
            <w:tcW w:w="1090" w:type="dxa"/>
            <w:vMerge w:val="restart"/>
            <w:tcBorders>
              <w:top w:val="single" w:color="auto" w:sz="4" w:space="0"/>
              <w:left w:val="single" w:color="auto" w:sz="4" w:space="0"/>
              <w:bottom w:val="single" w:color="auto" w:sz="4" w:space="0"/>
              <w:right w:val="single" w:color="auto" w:sz="4" w:space="0"/>
            </w:tcBorders>
            <w:vAlign w:val="center"/>
          </w:tcPr>
          <w:p w14:paraId="0EB02A2C">
            <w:pPr>
              <w:pStyle w:val="33"/>
              <w:rPr>
                <w:color w:val="auto"/>
              </w:rPr>
            </w:pPr>
            <w:r>
              <w:rPr>
                <w:rFonts w:hint="eastAsia"/>
                <w:color w:val="auto"/>
              </w:rPr>
              <w:t>混凝</w:t>
            </w:r>
            <w:r>
              <w:rPr>
                <w:color w:val="auto"/>
              </w:rPr>
              <w:t>+</w:t>
            </w:r>
            <w:r>
              <w:rPr>
                <w:rFonts w:hint="eastAsia"/>
                <w:color w:val="auto"/>
              </w:rPr>
              <w:t>沉淀池</w:t>
            </w:r>
            <w:r>
              <w:rPr>
                <w:color w:val="auto"/>
              </w:rPr>
              <w:t>+</w:t>
            </w:r>
            <w:r>
              <w:rPr>
                <w:rFonts w:hint="eastAsia"/>
                <w:color w:val="auto"/>
              </w:rPr>
              <w:t>滤池</w:t>
            </w:r>
          </w:p>
        </w:tc>
        <w:tc>
          <w:tcPr>
            <w:tcW w:w="1090" w:type="dxa"/>
            <w:tcBorders>
              <w:top w:val="single" w:color="auto" w:sz="4" w:space="0"/>
              <w:left w:val="single" w:color="auto" w:sz="4" w:space="0"/>
              <w:bottom w:val="single" w:color="auto" w:sz="4" w:space="0"/>
              <w:right w:val="single" w:color="auto" w:sz="4" w:space="0"/>
            </w:tcBorders>
            <w:vAlign w:val="center"/>
          </w:tcPr>
          <w:p w14:paraId="174E9FAC">
            <w:pPr>
              <w:pStyle w:val="33"/>
              <w:rPr>
                <w:color w:val="auto"/>
              </w:rPr>
            </w:pPr>
            <w:r>
              <w:rPr>
                <w:rFonts w:hint="eastAsia"/>
                <w:color w:val="auto"/>
              </w:rPr>
              <w:t>进水</w:t>
            </w:r>
          </w:p>
        </w:tc>
        <w:tc>
          <w:tcPr>
            <w:tcW w:w="1134" w:type="dxa"/>
            <w:tcBorders>
              <w:top w:val="single" w:color="auto" w:sz="4" w:space="0"/>
              <w:left w:val="single" w:color="auto" w:sz="4" w:space="0"/>
              <w:bottom w:val="single" w:color="auto" w:sz="4" w:space="0"/>
              <w:right w:val="single" w:color="auto" w:sz="4" w:space="0"/>
            </w:tcBorders>
            <w:vAlign w:val="center"/>
          </w:tcPr>
          <w:p w14:paraId="3E503A1D">
            <w:pPr>
              <w:pStyle w:val="33"/>
              <w:rPr>
                <w:color w:val="auto"/>
              </w:rPr>
            </w:pPr>
            <w:r>
              <w:rPr>
                <w:color w:val="auto"/>
              </w:rPr>
              <w:t>155.52</w:t>
            </w:r>
          </w:p>
        </w:tc>
        <w:tc>
          <w:tcPr>
            <w:tcW w:w="996" w:type="dxa"/>
            <w:tcBorders>
              <w:top w:val="single" w:color="auto" w:sz="4" w:space="0"/>
              <w:left w:val="single" w:color="auto" w:sz="4" w:space="0"/>
              <w:bottom w:val="single" w:color="auto" w:sz="4" w:space="0"/>
              <w:right w:val="single" w:color="auto" w:sz="4" w:space="0"/>
            </w:tcBorders>
            <w:vAlign w:val="center"/>
          </w:tcPr>
          <w:p w14:paraId="26D23FF5">
            <w:pPr>
              <w:pStyle w:val="33"/>
              <w:rPr>
                <w:color w:val="auto"/>
              </w:rPr>
            </w:pPr>
            <w:r>
              <w:rPr>
                <w:color w:val="auto"/>
              </w:rPr>
              <w:t>42.84</w:t>
            </w:r>
          </w:p>
        </w:tc>
        <w:tc>
          <w:tcPr>
            <w:tcW w:w="993" w:type="dxa"/>
            <w:tcBorders>
              <w:top w:val="single" w:color="auto" w:sz="4" w:space="0"/>
              <w:left w:val="single" w:color="auto" w:sz="4" w:space="0"/>
              <w:bottom w:val="single" w:color="auto" w:sz="4" w:space="0"/>
              <w:right w:val="single" w:color="auto" w:sz="4" w:space="0"/>
            </w:tcBorders>
            <w:vAlign w:val="center"/>
          </w:tcPr>
          <w:p w14:paraId="6AEC502D">
            <w:pPr>
              <w:pStyle w:val="33"/>
              <w:rPr>
                <w:color w:val="auto"/>
              </w:rPr>
            </w:pPr>
            <w:r>
              <w:rPr>
                <w:color w:val="auto"/>
              </w:rPr>
              <w:t>44.1</w:t>
            </w:r>
          </w:p>
        </w:tc>
        <w:tc>
          <w:tcPr>
            <w:tcW w:w="1208" w:type="dxa"/>
            <w:tcBorders>
              <w:top w:val="single" w:color="auto" w:sz="4" w:space="0"/>
              <w:left w:val="single" w:color="auto" w:sz="4" w:space="0"/>
              <w:bottom w:val="single" w:color="auto" w:sz="4" w:space="0"/>
              <w:right w:val="single" w:color="auto" w:sz="4" w:space="0"/>
            </w:tcBorders>
            <w:vAlign w:val="center"/>
          </w:tcPr>
          <w:p w14:paraId="06CCB4B4">
            <w:pPr>
              <w:pStyle w:val="33"/>
              <w:rPr>
                <w:color w:val="auto"/>
              </w:rPr>
            </w:pPr>
            <w:r>
              <w:rPr>
                <w:color w:val="auto"/>
              </w:rPr>
              <w:t>3.07328</w:t>
            </w:r>
          </w:p>
        </w:tc>
        <w:tc>
          <w:tcPr>
            <w:tcW w:w="1207" w:type="dxa"/>
            <w:tcBorders>
              <w:top w:val="single" w:color="auto" w:sz="4" w:space="0"/>
              <w:left w:val="single" w:color="auto" w:sz="4" w:space="0"/>
              <w:bottom w:val="single" w:color="auto" w:sz="4" w:space="0"/>
              <w:right w:val="single" w:color="auto" w:sz="4" w:space="0"/>
            </w:tcBorders>
            <w:vAlign w:val="center"/>
          </w:tcPr>
          <w:p w14:paraId="763D15A9">
            <w:pPr>
              <w:pStyle w:val="33"/>
              <w:rPr>
                <w:color w:val="auto"/>
              </w:rPr>
            </w:pPr>
            <w:r>
              <w:rPr>
                <w:color w:val="auto"/>
              </w:rPr>
              <w:t>172.8</w:t>
            </w:r>
          </w:p>
        </w:tc>
      </w:tr>
      <w:tr w14:paraId="4E783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08" w:type="dxa"/>
            <w:vMerge w:val="continue"/>
            <w:tcBorders>
              <w:left w:val="single" w:color="auto" w:sz="4" w:space="0"/>
              <w:right w:val="single" w:color="auto" w:sz="4" w:space="0"/>
            </w:tcBorders>
            <w:vAlign w:val="center"/>
          </w:tcPr>
          <w:p w14:paraId="3E772A55">
            <w:pPr>
              <w:pStyle w:val="33"/>
              <w:rPr>
                <w:color w:val="auto"/>
                <w:sz w:val="24"/>
              </w:rPr>
            </w:pPr>
          </w:p>
        </w:tc>
        <w:tc>
          <w:tcPr>
            <w:tcW w:w="1090" w:type="dxa"/>
            <w:vMerge w:val="continue"/>
            <w:tcBorders>
              <w:top w:val="single" w:color="auto" w:sz="4" w:space="0"/>
              <w:left w:val="single" w:color="auto" w:sz="4" w:space="0"/>
              <w:bottom w:val="single" w:color="auto" w:sz="4" w:space="0"/>
              <w:right w:val="single" w:color="auto" w:sz="4" w:space="0"/>
            </w:tcBorders>
            <w:vAlign w:val="center"/>
          </w:tcPr>
          <w:p w14:paraId="7C9FCCA7">
            <w:pPr>
              <w:pStyle w:val="33"/>
              <w:rPr>
                <w:color w:val="auto"/>
                <w:sz w:val="24"/>
              </w:rPr>
            </w:pPr>
          </w:p>
        </w:tc>
        <w:tc>
          <w:tcPr>
            <w:tcW w:w="1090" w:type="dxa"/>
            <w:tcBorders>
              <w:top w:val="single" w:color="auto" w:sz="4" w:space="0"/>
              <w:left w:val="single" w:color="auto" w:sz="4" w:space="0"/>
              <w:bottom w:val="single" w:color="auto" w:sz="4" w:space="0"/>
              <w:right w:val="single" w:color="auto" w:sz="4" w:space="0"/>
            </w:tcBorders>
            <w:vAlign w:val="center"/>
          </w:tcPr>
          <w:p w14:paraId="197B1157">
            <w:pPr>
              <w:pStyle w:val="33"/>
              <w:rPr>
                <w:color w:val="auto"/>
              </w:rPr>
            </w:pPr>
            <w:r>
              <w:rPr>
                <w:rFonts w:hint="eastAsia"/>
                <w:color w:val="auto"/>
              </w:rPr>
              <w:t>去除率</w:t>
            </w:r>
          </w:p>
        </w:tc>
        <w:tc>
          <w:tcPr>
            <w:tcW w:w="1134" w:type="dxa"/>
            <w:tcBorders>
              <w:top w:val="single" w:color="auto" w:sz="4" w:space="0"/>
              <w:left w:val="single" w:color="auto" w:sz="4" w:space="0"/>
              <w:bottom w:val="single" w:color="auto" w:sz="4" w:space="0"/>
              <w:right w:val="single" w:color="auto" w:sz="4" w:space="0"/>
            </w:tcBorders>
            <w:vAlign w:val="center"/>
          </w:tcPr>
          <w:p w14:paraId="2154F506">
            <w:pPr>
              <w:pStyle w:val="33"/>
              <w:rPr>
                <w:color w:val="auto"/>
              </w:rPr>
            </w:pPr>
            <w:r>
              <w:rPr>
                <w:color w:val="auto"/>
              </w:rPr>
              <w:t>60%</w:t>
            </w:r>
          </w:p>
        </w:tc>
        <w:tc>
          <w:tcPr>
            <w:tcW w:w="996" w:type="dxa"/>
            <w:tcBorders>
              <w:top w:val="single" w:color="auto" w:sz="4" w:space="0"/>
              <w:left w:val="single" w:color="auto" w:sz="4" w:space="0"/>
              <w:bottom w:val="single" w:color="auto" w:sz="4" w:space="0"/>
              <w:right w:val="single" w:color="auto" w:sz="4" w:space="0"/>
            </w:tcBorders>
            <w:vAlign w:val="center"/>
          </w:tcPr>
          <w:p w14:paraId="5348A66B">
            <w:pPr>
              <w:pStyle w:val="33"/>
              <w:rPr>
                <w:color w:val="auto"/>
              </w:rPr>
            </w:pPr>
            <w:r>
              <w:rPr>
                <w:color w:val="auto"/>
              </w:rPr>
              <w:t>55%</w:t>
            </w:r>
          </w:p>
        </w:tc>
        <w:tc>
          <w:tcPr>
            <w:tcW w:w="993" w:type="dxa"/>
            <w:tcBorders>
              <w:top w:val="single" w:color="auto" w:sz="4" w:space="0"/>
              <w:left w:val="single" w:color="auto" w:sz="4" w:space="0"/>
              <w:bottom w:val="single" w:color="auto" w:sz="4" w:space="0"/>
              <w:right w:val="single" w:color="auto" w:sz="4" w:space="0"/>
            </w:tcBorders>
            <w:vAlign w:val="center"/>
          </w:tcPr>
          <w:p w14:paraId="25253C67">
            <w:pPr>
              <w:pStyle w:val="33"/>
              <w:rPr>
                <w:color w:val="auto"/>
              </w:rPr>
            </w:pPr>
            <w:r>
              <w:rPr>
                <w:color w:val="auto"/>
              </w:rPr>
              <w:t>70%</w:t>
            </w:r>
          </w:p>
        </w:tc>
        <w:tc>
          <w:tcPr>
            <w:tcW w:w="1208" w:type="dxa"/>
            <w:tcBorders>
              <w:top w:val="single" w:color="auto" w:sz="4" w:space="0"/>
              <w:left w:val="single" w:color="auto" w:sz="4" w:space="0"/>
              <w:bottom w:val="single" w:color="auto" w:sz="4" w:space="0"/>
              <w:right w:val="single" w:color="auto" w:sz="4" w:space="0"/>
            </w:tcBorders>
            <w:vAlign w:val="center"/>
          </w:tcPr>
          <w:p w14:paraId="208AF39E">
            <w:pPr>
              <w:pStyle w:val="33"/>
              <w:rPr>
                <w:color w:val="auto"/>
              </w:rPr>
            </w:pPr>
            <w:r>
              <w:rPr>
                <w:color w:val="auto"/>
              </w:rPr>
              <w:t>20%</w:t>
            </w:r>
          </w:p>
        </w:tc>
        <w:tc>
          <w:tcPr>
            <w:tcW w:w="1207" w:type="dxa"/>
            <w:tcBorders>
              <w:top w:val="single" w:color="auto" w:sz="4" w:space="0"/>
              <w:left w:val="single" w:color="auto" w:sz="4" w:space="0"/>
              <w:bottom w:val="single" w:color="auto" w:sz="4" w:space="0"/>
              <w:right w:val="single" w:color="auto" w:sz="4" w:space="0"/>
            </w:tcBorders>
            <w:vAlign w:val="center"/>
          </w:tcPr>
          <w:p w14:paraId="0DB0B0B8">
            <w:pPr>
              <w:pStyle w:val="33"/>
              <w:rPr>
                <w:color w:val="auto"/>
              </w:rPr>
            </w:pPr>
            <w:r>
              <w:rPr>
                <w:color w:val="auto"/>
              </w:rPr>
              <w:t>85%</w:t>
            </w:r>
          </w:p>
        </w:tc>
      </w:tr>
      <w:tr w14:paraId="74670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7" w:hRule="atLeast"/>
          <w:jc w:val="center"/>
        </w:trPr>
        <w:tc>
          <w:tcPr>
            <w:tcW w:w="1208" w:type="dxa"/>
            <w:vMerge w:val="continue"/>
            <w:tcBorders>
              <w:left w:val="single" w:color="auto" w:sz="4" w:space="0"/>
              <w:right w:val="single" w:color="auto" w:sz="4" w:space="0"/>
            </w:tcBorders>
            <w:vAlign w:val="center"/>
          </w:tcPr>
          <w:p w14:paraId="760D8AD8">
            <w:pPr>
              <w:pStyle w:val="33"/>
              <w:rPr>
                <w:color w:val="auto"/>
                <w:szCs w:val="21"/>
              </w:rPr>
            </w:pPr>
          </w:p>
        </w:tc>
        <w:tc>
          <w:tcPr>
            <w:tcW w:w="1090" w:type="dxa"/>
            <w:vMerge w:val="continue"/>
            <w:tcBorders>
              <w:left w:val="single" w:color="auto" w:sz="4" w:space="0"/>
              <w:right w:val="single" w:color="auto" w:sz="4" w:space="0"/>
            </w:tcBorders>
            <w:vAlign w:val="center"/>
          </w:tcPr>
          <w:p w14:paraId="00947AE8">
            <w:pPr>
              <w:pStyle w:val="33"/>
              <w:rPr>
                <w:color w:val="auto"/>
              </w:rPr>
            </w:pPr>
          </w:p>
        </w:tc>
        <w:tc>
          <w:tcPr>
            <w:tcW w:w="1090" w:type="dxa"/>
            <w:tcBorders>
              <w:left w:val="single" w:color="auto" w:sz="4" w:space="0"/>
              <w:right w:val="single" w:color="auto" w:sz="4" w:space="0"/>
            </w:tcBorders>
            <w:vAlign w:val="center"/>
          </w:tcPr>
          <w:p w14:paraId="5B3BC243">
            <w:pPr>
              <w:pStyle w:val="33"/>
              <w:rPr>
                <w:color w:val="auto"/>
              </w:rPr>
            </w:pPr>
            <w:r>
              <w:rPr>
                <w:rFonts w:hint="eastAsia"/>
                <w:color w:val="auto"/>
              </w:rPr>
              <w:t>出水</w:t>
            </w:r>
          </w:p>
        </w:tc>
        <w:tc>
          <w:tcPr>
            <w:tcW w:w="1134" w:type="dxa"/>
            <w:tcBorders>
              <w:top w:val="single" w:color="auto" w:sz="4" w:space="0"/>
              <w:left w:val="single" w:color="auto" w:sz="4" w:space="0"/>
              <w:bottom w:val="single" w:color="auto" w:sz="4" w:space="0"/>
              <w:right w:val="single" w:color="auto" w:sz="4" w:space="0"/>
            </w:tcBorders>
            <w:vAlign w:val="center"/>
          </w:tcPr>
          <w:p w14:paraId="1E987616">
            <w:pPr>
              <w:pStyle w:val="33"/>
              <w:rPr>
                <w:color w:val="auto"/>
              </w:rPr>
            </w:pPr>
            <w:r>
              <w:rPr>
                <w:color w:val="auto"/>
              </w:rPr>
              <w:t>62.208</w:t>
            </w:r>
          </w:p>
        </w:tc>
        <w:tc>
          <w:tcPr>
            <w:tcW w:w="996" w:type="dxa"/>
            <w:tcBorders>
              <w:top w:val="single" w:color="auto" w:sz="4" w:space="0"/>
              <w:left w:val="single" w:color="auto" w:sz="4" w:space="0"/>
              <w:bottom w:val="single" w:color="auto" w:sz="4" w:space="0"/>
              <w:right w:val="single" w:color="auto" w:sz="4" w:space="0"/>
            </w:tcBorders>
            <w:vAlign w:val="center"/>
          </w:tcPr>
          <w:p w14:paraId="59F6DE97">
            <w:pPr>
              <w:pStyle w:val="33"/>
              <w:rPr>
                <w:color w:val="auto"/>
              </w:rPr>
            </w:pPr>
            <w:r>
              <w:rPr>
                <w:color w:val="auto"/>
              </w:rPr>
              <w:t>19.278</w:t>
            </w:r>
          </w:p>
        </w:tc>
        <w:tc>
          <w:tcPr>
            <w:tcW w:w="993" w:type="dxa"/>
            <w:tcBorders>
              <w:top w:val="single" w:color="auto" w:sz="4" w:space="0"/>
              <w:left w:val="single" w:color="auto" w:sz="4" w:space="0"/>
              <w:bottom w:val="single" w:color="auto" w:sz="4" w:space="0"/>
              <w:right w:val="single" w:color="auto" w:sz="4" w:space="0"/>
            </w:tcBorders>
            <w:vAlign w:val="center"/>
          </w:tcPr>
          <w:p w14:paraId="6EC63453">
            <w:pPr>
              <w:pStyle w:val="33"/>
              <w:rPr>
                <w:color w:val="auto"/>
              </w:rPr>
            </w:pPr>
            <w:r>
              <w:rPr>
                <w:color w:val="auto"/>
              </w:rPr>
              <w:t>13.23</w:t>
            </w:r>
          </w:p>
        </w:tc>
        <w:tc>
          <w:tcPr>
            <w:tcW w:w="1208" w:type="dxa"/>
            <w:tcBorders>
              <w:top w:val="single" w:color="auto" w:sz="4" w:space="0"/>
              <w:left w:val="single" w:color="auto" w:sz="4" w:space="0"/>
              <w:bottom w:val="single" w:color="auto" w:sz="4" w:space="0"/>
              <w:right w:val="single" w:color="auto" w:sz="4" w:space="0"/>
            </w:tcBorders>
            <w:vAlign w:val="center"/>
          </w:tcPr>
          <w:p w14:paraId="44D23C74">
            <w:pPr>
              <w:pStyle w:val="33"/>
              <w:rPr>
                <w:color w:val="auto"/>
              </w:rPr>
            </w:pPr>
            <w:r>
              <w:rPr>
                <w:rFonts w:hint="eastAsia"/>
                <w:color w:val="auto"/>
              </w:rPr>
              <w:t>＜</w:t>
            </w:r>
            <w:r>
              <w:rPr>
                <w:color w:val="auto"/>
              </w:rPr>
              <w:t>3</w:t>
            </w:r>
          </w:p>
        </w:tc>
        <w:tc>
          <w:tcPr>
            <w:tcW w:w="1207" w:type="dxa"/>
            <w:tcBorders>
              <w:top w:val="single" w:color="auto" w:sz="4" w:space="0"/>
              <w:left w:val="single" w:color="auto" w:sz="4" w:space="0"/>
              <w:bottom w:val="single" w:color="auto" w:sz="4" w:space="0"/>
              <w:right w:val="single" w:color="auto" w:sz="4" w:space="0"/>
            </w:tcBorders>
            <w:vAlign w:val="center"/>
          </w:tcPr>
          <w:p w14:paraId="506601FC">
            <w:pPr>
              <w:pStyle w:val="33"/>
              <w:rPr>
                <w:color w:val="auto"/>
              </w:rPr>
            </w:pPr>
            <w:r>
              <w:rPr>
                <w:color w:val="auto"/>
              </w:rPr>
              <w:t>25.92</w:t>
            </w:r>
          </w:p>
        </w:tc>
      </w:tr>
      <w:tr w14:paraId="6B930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3" w:hRule="atLeast"/>
          <w:jc w:val="center"/>
        </w:trPr>
        <w:tc>
          <w:tcPr>
            <w:tcW w:w="3388" w:type="dxa"/>
            <w:gridSpan w:val="3"/>
            <w:tcBorders>
              <w:left w:val="single" w:color="auto" w:sz="4" w:space="0"/>
              <w:right w:val="single" w:color="auto" w:sz="4" w:space="0"/>
            </w:tcBorders>
            <w:vAlign w:val="center"/>
          </w:tcPr>
          <w:p w14:paraId="2F1908B2">
            <w:pPr>
              <w:pStyle w:val="33"/>
              <w:rPr>
                <w:color w:val="auto"/>
              </w:rPr>
            </w:pPr>
            <w:r>
              <w:rPr>
                <w:rFonts w:hint="eastAsia"/>
                <w:color w:val="auto"/>
              </w:rPr>
              <w:t>排放标准</w:t>
            </w:r>
          </w:p>
        </w:tc>
        <w:tc>
          <w:tcPr>
            <w:tcW w:w="1134" w:type="dxa"/>
            <w:tcBorders>
              <w:top w:val="single" w:color="auto" w:sz="4" w:space="0"/>
              <w:left w:val="single" w:color="auto" w:sz="4" w:space="0"/>
              <w:right w:val="single" w:color="auto" w:sz="4" w:space="0"/>
            </w:tcBorders>
            <w:vAlign w:val="center"/>
          </w:tcPr>
          <w:p w14:paraId="6E6F6B5B">
            <w:pPr>
              <w:pStyle w:val="33"/>
              <w:rPr>
                <w:color w:val="auto"/>
              </w:rPr>
            </w:pPr>
            <w:r>
              <w:rPr>
                <w:color w:val="auto"/>
              </w:rPr>
              <w:t>65</w:t>
            </w:r>
          </w:p>
        </w:tc>
        <w:tc>
          <w:tcPr>
            <w:tcW w:w="996" w:type="dxa"/>
            <w:tcBorders>
              <w:top w:val="single" w:color="auto" w:sz="4" w:space="0"/>
              <w:left w:val="single" w:color="auto" w:sz="4" w:space="0"/>
              <w:right w:val="single" w:color="auto" w:sz="4" w:space="0"/>
            </w:tcBorders>
            <w:vAlign w:val="center"/>
          </w:tcPr>
          <w:p w14:paraId="437661F8">
            <w:pPr>
              <w:pStyle w:val="33"/>
              <w:rPr>
                <w:color w:val="auto"/>
              </w:rPr>
            </w:pPr>
            <w:r>
              <w:rPr>
                <w:color w:val="auto"/>
              </w:rPr>
              <w:t>20</w:t>
            </w:r>
          </w:p>
        </w:tc>
        <w:tc>
          <w:tcPr>
            <w:tcW w:w="993" w:type="dxa"/>
            <w:tcBorders>
              <w:top w:val="single" w:color="auto" w:sz="4" w:space="0"/>
              <w:left w:val="single" w:color="auto" w:sz="4" w:space="0"/>
              <w:right w:val="single" w:color="auto" w:sz="4" w:space="0"/>
            </w:tcBorders>
            <w:vAlign w:val="center"/>
          </w:tcPr>
          <w:p w14:paraId="2F992DC1">
            <w:pPr>
              <w:pStyle w:val="33"/>
              <w:rPr>
                <w:color w:val="auto"/>
              </w:rPr>
            </w:pPr>
            <w:r>
              <w:rPr>
                <w:color w:val="auto"/>
              </w:rPr>
              <w:t>30</w:t>
            </w:r>
          </w:p>
        </w:tc>
        <w:tc>
          <w:tcPr>
            <w:tcW w:w="1208" w:type="dxa"/>
            <w:tcBorders>
              <w:top w:val="single" w:color="auto" w:sz="4" w:space="0"/>
              <w:left w:val="single" w:color="auto" w:sz="4" w:space="0"/>
              <w:right w:val="single" w:color="auto" w:sz="4" w:space="0"/>
            </w:tcBorders>
            <w:vAlign w:val="center"/>
          </w:tcPr>
          <w:p w14:paraId="227D039B">
            <w:pPr>
              <w:pStyle w:val="33"/>
              <w:rPr>
                <w:color w:val="auto"/>
              </w:rPr>
            </w:pPr>
            <w:r>
              <w:rPr>
                <w:color w:val="auto"/>
              </w:rPr>
              <w:t>5</w:t>
            </w:r>
          </w:p>
        </w:tc>
        <w:tc>
          <w:tcPr>
            <w:tcW w:w="1207" w:type="dxa"/>
            <w:tcBorders>
              <w:top w:val="single" w:color="auto" w:sz="4" w:space="0"/>
              <w:left w:val="single" w:color="auto" w:sz="4" w:space="0"/>
              <w:right w:val="single" w:color="auto" w:sz="4" w:space="0"/>
            </w:tcBorders>
            <w:vAlign w:val="center"/>
          </w:tcPr>
          <w:p w14:paraId="31001785">
            <w:pPr>
              <w:pStyle w:val="33"/>
              <w:rPr>
                <w:color w:val="auto"/>
              </w:rPr>
            </w:pPr>
            <w:r>
              <w:rPr>
                <w:color w:val="auto"/>
              </w:rPr>
              <w:t>50</w:t>
            </w:r>
          </w:p>
        </w:tc>
      </w:tr>
    </w:tbl>
    <w:p w14:paraId="039C0CE2">
      <w:pPr>
        <w:ind w:firstLine="360"/>
        <w:rPr>
          <w:color w:val="auto"/>
          <w:sz w:val="18"/>
          <w:szCs w:val="18"/>
        </w:rPr>
      </w:pPr>
      <w:r>
        <w:rPr>
          <w:rFonts w:hint="eastAsia"/>
          <w:color w:val="auto"/>
          <w:sz w:val="18"/>
          <w:szCs w:val="18"/>
        </w:rPr>
        <w:t>注：根据《钦州市生态环境局关于协调落实三期工程年产</w:t>
      </w:r>
      <w:r>
        <w:rPr>
          <w:color w:val="auto"/>
          <w:sz w:val="18"/>
          <w:szCs w:val="18"/>
        </w:rPr>
        <w:t>300</w:t>
      </w:r>
      <w:r>
        <w:rPr>
          <w:rFonts w:hint="eastAsia"/>
          <w:color w:val="auto"/>
          <w:sz w:val="18"/>
          <w:szCs w:val="18"/>
        </w:rPr>
        <w:t>万吨林浆纸一体化项目主要污染物区域削减方案相关情况的报告》，金桂企业排放废水</w:t>
      </w:r>
      <w:r>
        <w:rPr>
          <w:color w:val="auto"/>
          <w:sz w:val="18"/>
          <w:szCs w:val="18"/>
        </w:rPr>
        <w:t>CODcr</w:t>
      </w:r>
      <w:r>
        <w:rPr>
          <w:rFonts w:hint="eastAsia"/>
          <w:color w:val="auto"/>
          <w:sz w:val="18"/>
          <w:szCs w:val="18"/>
        </w:rPr>
        <w:t>浓度应小于</w:t>
      </w:r>
      <w:r>
        <w:rPr>
          <w:color w:val="auto"/>
          <w:sz w:val="18"/>
          <w:szCs w:val="18"/>
        </w:rPr>
        <w:t>65mg/L</w:t>
      </w:r>
      <w:r>
        <w:rPr>
          <w:rFonts w:hint="eastAsia"/>
          <w:color w:val="auto"/>
          <w:sz w:val="18"/>
          <w:szCs w:val="18"/>
        </w:rPr>
        <w:t>，氨氮浓度应小于</w:t>
      </w:r>
      <w:r>
        <w:rPr>
          <w:color w:val="auto"/>
          <w:sz w:val="18"/>
          <w:szCs w:val="18"/>
        </w:rPr>
        <w:t>5mg/L</w:t>
      </w:r>
      <w:r>
        <w:rPr>
          <w:rFonts w:hint="eastAsia"/>
          <w:color w:val="auto"/>
          <w:sz w:val="18"/>
          <w:szCs w:val="18"/>
        </w:rPr>
        <w:t>。其余污染物标准执行《制浆造纸工业水污染物排放标准》（</w:t>
      </w:r>
      <w:r>
        <w:rPr>
          <w:color w:val="auto"/>
          <w:sz w:val="18"/>
          <w:szCs w:val="18"/>
        </w:rPr>
        <w:t>GB3544- 2008</w:t>
      </w:r>
      <w:r>
        <w:rPr>
          <w:rFonts w:hint="eastAsia"/>
          <w:color w:val="auto"/>
          <w:sz w:val="18"/>
          <w:szCs w:val="18"/>
        </w:rPr>
        <w:t>）表</w:t>
      </w:r>
      <w:r>
        <w:rPr>
          <w:color w:val="auto"/>
          <w:sz w:val="18"/>
          <w:szCs w:val="18"/>
        </w:rPr>
        <w:t>2</w:t>
      </w:r>
      <w:r>
        <w:rPr>
          <w:rFonts w:hint="eastAsia"/>
          <w:color w:val="auto"/>
          <w:sz w:val="18"/>
          <w:szCs w:val="18"/>
        </w:rPr>
        <w:t>中“新建制浆造纸企业”排放标准。</w:t>
      </w:r>
    </w:p>
    <w:p w14:paraId="021B1C5C">
      <w:pPr>
        <w:ind w:firstLine="480"/>
        <w:rPr>
          <w:color w:val="auto"/>
        </w:rPr>
      </w:pPr>
      <w:r>
        <w:rPr>
          <w:color w:val="auto"/>
        </w:rPr>
        <w:t>本期新增20000m</w:t>
      </w:r>
      <w:r>
        <w:rPr>
          <w:rFonts w:hint="eastAsia"/>
          <w:color w:val="auto"/>
          <w:vertAlign w:val="superscript"/>
        </w:rPr>
        <w:t>3</w:t>
      </w:r>
      <w:r>
        <w:rPr>
          <w:color w:val="auto"/>
        </w:rPr>
        <w:t>/d废水处理站主要设备选择详见下表。</w:t>
      </w:r>
    </w:p>
    <w:p w14:paraId="651BAE4A">
      <w:pPr>
        <w:pStyle w:val="7"/>
        <w:rPr>
          <w:color w:val="auto"/>
        </w:rPr>
      </w:pPr>
      <w:r>
        <w:rPr>
          <w:rFonts w:hint="eastAsia"/>
          <w:color w:val="auto"/>
        </w:rPr>
        <w:t>新建污水处理站</w:t>
      </w:r>
      <w:r>
        <w:rPr>
          <w:color w:val="auto"/>
        </w:rPr>
        <w:t>综合废水处理主要设备表</w:t>
      </w:r>
    </w:p>
    <w:tbl>
      <w:tblPr>
        <w:tblStyle w:val="26"/>
        <w:tblW w:w="895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5"/>
        <w:gridCol w:w="1765"/>
        <w:gridCol w:w="2964"/>
        <w:gridCol w:w="1134"/>
        <w:gridCol w:w="709"/>
        <w:gridCol w:w="992"/>
        <w:gridCol w:w="850"/>
      </w:tblGrid>
      <w:tr w14:paraId="36E83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45" w:type="dxa"/>
            <w:vMerge w:val="restart"/>
            <w:vAlign w:val="center"/>
          </w:tcPr>
          <w:p w14:paraId="71FA47EA">
            <w:pPr>
              <w:pStyle w:val="33"/>
              <w:rPr>
                <w:color w:val="auto"/>
              </w:rPr>
            </w:pPr>
            <w:r>
              <w:rPr>
                <w:color w:val="auto"/>
              </w:rPr>
              <w:t>序号</w:t>
            </w:r>
          </w:p>
        </w:tc>
        <w:tc>
          <w:tcPr>
            <w:tcW w:w="1765" w:type="dxa"/>
            <w:vMerge w:val="restart"/>
            <w:vAlign w:val="center"/>
          </w:tcPr>
          <w:p w14:paraId="29A5D698">
            <w:pPr>
              <w:pStyle w:val="33"/>
              <w:rPr>
                <w:color w:val="auto"/>
              </w:rPr>
            </w:pPr>
            <w:r>
              <w:rPr>
                <w:color w:val="auto"/>
              </w:rPr>
              <w:t>名称</w:t>
            </w:r>
          </w:p>
        </w:tc>
        <w:tc>
          <w:tcPr>
            <w:tcW w:w="2964" w:type="dxa"/>
            <w:vMerge w:val="restart"/>
            <w:vAlign w:val="center"/>
          </w:tcPr>
          <w:p w14:paraId="5A263EFD">
            <w:pPr>
              <w:pStyle w:val="33"/>
              <w:rPr>
                <w:color w:val="auto"/>
              </w:rPr>
            </w:pPr>
            <w:r>
              <w:rPr>
                <w:color w:val="auto"/>
              </w:rPr>
              <w:t>规格及技术参数</w:t>
            </w:r>
          </w:p>
        </w:tc>
        <w:tc>
          <w:tcPr>
            <w:tcW w:w="1134" w:type="dxa"/>
            <w:vMerge w:val="restart"/>
            <w:vAlign w:val="center"/>
          </w:tcPr>
          <w:p w14:paraId="084B4B7A">
            <w:pPr>
              <w:pStyle w:val="33"/>
              <w:rPr>
                <w:color w:val="auto"/>
              </w:rPr>
            </w:pPr>
            <w:r>
              <w:rPr>
                <w:color w:val="auto"/>
              </w:rPr>
              <w:t>功率</w:t>
            </w:r>
          </w:p>
          <w:p w14:paraId="4B9B3972">
            <w:pPr>
              <w:pStyle w:val="33"/>
              <w:rPr>
                <w:color w:val="auto"/>
              </w:rPr>
            </w:pPr>
            <w:r>
              <w:rPr>
                <w:color w:val="auto"/>
              </w:rPr>
              <w:t>KW</w:t>
            </w:r>
          </w:p>
        </w:tc>
        <w:tc>
          <w:tcPr>
            <w:tcW w:w="709" w:type="dxa"/>
            <w:vMerge w:val="restart"/>
            <w:vAlign w:val="center"/>
          </w:tcPr>
          <w:p w14:paraId="1CF7B81D">
            <w:pPr>
              <w:pStyle w:val="33"/>
              <w:rPr>
                <w:color w:val="auto"/>
              </w:rPr>
            </w:pPr>
            <w:r>
              <w:rPr>
                <w:color w:val="auto"/>
              </w:rPr>
              <w:t>单位</w:t>
            </w:r>
          </w:p>
        </w:tc>
        <w:tc>
          <w:tcPr>
            <w:tcW w:w="1842" w:type="dxa"/>
            <w:gridSpan w:val="2"/>
            <w:vAlign w:val="center"/>
          </w:tcPr>
          <w:p w14:paraId="665EE103">
            <w:pPr>
              <w:pStyle w:val="33"/>
              <w:rPr>
                <w:color w:val="auto"/>
              </w:rPr>
            </w:pPr>
            <w:r>
              <w:rPr>
                <w:color w:val="auto"/>
              </w:rPr>
              <w:t>数量</w:t>
            </w:r>
          </w:p>
        </w:tc>
      </w:tr>
      <w:tr w14:paraId="21551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545" w:type="dxa"/>
            <w:vMerge w:val="continue"/>
            <w:vAlign w:val="center"/>
          </w:tcPr>
          <w:p w14:paraId="06B67F8D">
            <w:pPr>
              <w:pStyle w:val="33"/>
              <w:rPr>
                <w:color w:val="auto"/>
              </w:rPr>
            </w:pPr>
          </w:p>
        </w:tc>
        <w:tc>
          <w:tcPr>
            <w:tcW w:w="1765" w:type="dxa"/>
            <w:vMerge w:val="continue"/>
            <w:vAlign w:val="center"/>
          </w:tcPr>
          <w:p w14:paraId="22480364">
            <w:pPr>
              <w:pStyle w:val="33"/>
              <w:rPr>
                <w:color w:val="auto"/>
              </w:rPr>
            </w:pPr>
          </w:p>
        </w:tc>
        <w:tc>
          <w:tcPr>
            <w:tcW w:w="2964" w:type="dxa"/>
            <w:vMerge w:val="continue"/>
            <w:vAlign w:val="center"/>
          </w:tcPr>
          <w:p w14:paraId="3FB6CB86">
            <w:pPr>
              <w:pStyle w:val="33"/>
              <w:rPr>
                <w:color w:val="auto"/>
              </w:rPr>
            </w:pPr>
          </w:p>
        </w:tc>
        <w:tc>
          <w:tcPr>
            <w:tcW w:w="1134" w:type="dxa"/>
            <w:vMerge w:val="continue"/>
            <w:vAlign w:val="center"/>
          </w:tcPr>
          <w:p w14:paraId="62AAB65C">
            <w:pPr>
              <w:pStyle w:val="33"/>
              <w:rPr>
                <w:color w:val="auto"/>
              </w:rPr>
            </w:pPr>
          </w:p>
        </w:tc>
        <w:tc>
          <w:tcPr>
            <w:tcW w:w="709" w:type="dxa"/>
            <w:vMerge w:val="continue"/>
            <w:vAlign w:val="center"/>
          </w:tcPr>
          <w:p w14:paraId="4A22C9BA">
            <w:pPr>
              <w:pStyle w:val="33"/>
              <w:rPr>
                <w:color w:val="auto"/>
              </w:rPr>
            </w:pPr>
          </w:p>
        </w:tc>
        <w:tc>
          <w:tcPr>
            <w:tcW w:w="992" w:type="dxa"/>
            <w:vAlign w:val="center"/>
          </w:tcPr>
          <w:p w14:paraId="33A1CA66">
            <w:pPr>
              <w:pStyle w:val="33"/>
              <w:rPr>
                <w:color w:val="auto"/>
              </w:rPr>
            </w:pPr>
            <w:r>
              <w:rPr>
                <w:color w:val="auto"/>
              </w:rPr>
              <w:t>台数</w:t>
            </w:r>
          </w:p>
        </w:tc>
        <w:tc>
          <w:tcPr>
            <w:tcW w:w="850" w:type="dxa"/>
            <w:vAlign w:val="center"/>
          </w:tcPr>
          <w:p w14:paraId="60DE7F1F">
            <w:pPr>
              <w:pStyle w:val="33"/>
              <w:rPr>
                <w:color w:val="auto"/>
              </w:rPr>
            </w:pPr>
            <w:r>
              <w:rPr>
                <w:color w:val="auto"/>
              </w:rPr>
              <w:t>备用</w:t>
            </w:r>
          </w:p>
        </w:tc>
      </w:tr>
      <w:tr w14:paraId="5886C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45" w:type="dxa"/>
            <w:vAlign w:val="center"/>
          </w:tcPr>
          <w:p w14:paraId="59239C75">
            <w:pPr>
              <w:pStyle w:val="33"/>
              <w:rPr>
                <w:color w:val="auto"/>
              </w:rPr>
            </w:pPr>
            <w:r>
              <w:rPr>
                <w:color w:val="auto"/>
              </w:rPr>
              <w:t>1</w:t>
            </w:r>
          </w:p>
        </w:tc>
        <w:tc>
          <w:tcPr>
            <w:tcW w:w="1765" w:type="dxa"/>
            <w:vAlign w:val="center"/>
          </w:tcPr>
          <w:p w14:paraId="4636293E">
            <w:pPr>
              <w:pStyle w:val="33"/>
              <w:rPr>
                <w:color w:val="auto"/>
              </w:rPr>
            </w:pPr>
            <w:r>
              <w:rPr>
                <w:color w:val="auto"/>
              </w:rPr>
              <w:t>初沉池污泥泵</w:t>
            </w:r>
          </w:p>
        </w:tc>
        <w:tc>
          <w:tcPr>
            <w:tcW w:w="2964" w:type="dxa"/>
            <w:vAlign w:val="center"/>
          </w:tcPr>
          <w:p w14:paraId="26D90937">
            <w:pPr>
              <w:pStyle w:val="33"/>
              <w:rPr>
                <w:color w:val="auto"/>
              </w:rPr>
            </w:pPr>
            <w:r>
              <w:rPr>
                <w:color w:val="auto"/>
              </w:rPr>
              <w:t>Q=30m</w:t>
            </w:r>
            <w:r>
              <w:rPr>
                <w:color w:val="auto"/>
                <w:vertAlign w:val="superscript"/>
              </w:rPr>
              <w:t>3</w:t>
            </w:r>
            <w:r>
              <w:rPr>
                <w:color w:val="auto"/>
              </w:rPr>
              <w:t>/h H=12m</w:t>
            </w:r>
          </w:p>
        </w:tc>
        <w:tc>
          <w:tcPr>
            <w:tcW w:w="1134" w:type="dxa"/>
            <w:vAlign w:val="center"/>
          </w:tcPr>
          <w:p w14:paraId="6F4346B7">
            <w:pPr>
              <w:pStyle w:val="33"/>
              <w:rPr>
                <w:color w:val="auto"/>
              </w:rPr>
            </w:pPr>
            <w:r>
              <w:rPr>
                <w:color w:val="auto"/>
              </w:rPr>
              <w:t>4</w:t>
            </w:r>
          </w:p>
        </w:tc>
        <w:tc>
          <w:tcPr>
            <w:tcW w:w="709" w:type="dxa"/>
            <w:vAlign w:val="center"/>
          </w:tcPr>
          <w:p w14:paraId="02FCBC1E">
            <w:pPr>
              <w:pStyle w:val="33"/>
              <w:rPr>
                <w:color w:val="auto"/>
              </w:rPr>
            </w:pPr>
            <w:r>
              <w:rPr>
                <w:color w:val="auto"/>
              </w:rPr>
              <w:t>台</w:t>
            </w:r>
          </w:p>
        </w:tc>
        <w:tc>
          <w:tcPr>
            <w:tcW w:w="992" w:type="dxa"/>
            <w:vAlign w:val="center"/>
          </w:tcPr>
          <w:p w14:paraId="34C97216">
            <w:pPr>
              <w:pStyle w:val="33"/>
              <w:rPr>
                <w:color w:val="auto"/>
              </w:rPr>
            </w:pPr>
            <w:r>
              <w:rPr>
                <w:color w:val="auto"/>
              </w:rPr>
              <w:t>3</w:t>
            </w:r>
          </w:p>
        </w:tc>
        <w:tc>
          <w:tcPr>
            <w:tcW w:w="850" w:type="dxa"/>
            <w:vAlign w:val="center"/>
          </w:tcPr>
          <w:p w14:paraId="2F2A8FC3">
            <w:pPr>
              <w:pStyle w:val="33"/>
              <w:rPr>
                <w:color w:val="auto"/>
              </w:rPr>
            </w:pPr>
            <w:r>
              <w:rPr>
                <w:color w:val="auto"/>
              </w:rPr>
              <w:t>1</w:t>
            </w:r>
          </w:p>
        </w:tc>
      </w:tr>
      <w:tr w14:paraId="56214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trPr>
        <w:tc>
          <w:tcPr>
            <w:tcW w:w="545" w:type="dxa"/>
            <w:vAlign w:val="center"/>
          </w:tcPr>
          <w:p w14:paraId="46141EFE">
            <w:pPr>
              <w:pStyle w:val="33"/>
              <w:rPr>
                <w:color w:val="auto"/>
              </w:rPr>
            </w:pPr>
            <w:r>
              <w:rPr>
                <w:color w:val="auto"/>
              </w:rPr>
              <w:t>2</w:t>
            </w:r>
          </w:p>
        </w:tc>
        <w:tc>
          <w:tcPr>
            <w:tcW w:w="1765" w:type="dxa"/>
            <w:vAlign w:val="center"/>
          </w:tcPr>
          <w:p w14:paraId="0CF5C57A">
            <w:pPr>
              <w:pStyle w:val="33"/>
              <w:rPr>
                <w:color w:val="auto"/>
              </w:rPr>
            </w:pPr>
            <w:r>
              <w:rPr>
                <w:color w:val="auto"/>
              </w:rPr>
              <w:t>周边传动刮泥机</w:t>
            </w:r>
          </w:p>
        </w:tc>
        <w:tc>
          <w:tcPr>
            <w:tcW w:w="2964" w:type="dxa"/>
            <w:vAlign w:val="center"/>
          </w:tcPr>
          <w:p w14:paraId="4BA58C92">
            <w:pPr>
              <w:pStyle w:val="33"/>
              <w:rPr>
                <w:color w:val="auto"/>
              </w:rPr>
            </w:pPr>
            <w:r>
              <w:rPr>
                <w:color w:val="auto"/>
              </w:rPr>
              <w:t>Φ38×4m</w:t>
            </w:r>
          </w:p>
        </w:tc>
        <w:tc>
          <w:tcPr>
            <w:tcW w:w="1134" w:type="dxa"/>
            <w:vAlign w:val="center"/>
          </w:tcPr>
          <w:p w14:paraId="290EA02C">
            <w:pPr>
              <w:pStyle w:val="33"/>
              <w:rPr>
                <w:color w:val="auto"/>
              </w:rPr>
            </w:pPr>
            <w:r>
              <w:rPr>
                <w:color w:val="auto"/>
              </w:rPr>
              <w:t>2×2.2</w:t>
            </w:r>
          </w:p>
        </w:tc>
        <w:tc>
          <w:tcPr>
            <w:tcW w:w="709" w:type="dxa"/>
            <w:vAlign w:val="center"/>
          </w:tcPr>
          <w:p w14:paraId="31237760">
            <w:pPr>
              <w:pStyle w:val="33"/>
              <w:rPr>
                <w:color w:val="auto"/>
              </w:rPr>
            </w:pPr>
            <w:r>
              <w:rPr>
                <w:color w:val="auto"/>
              </w:rPr>
              <w:t>台</w:t>
            </w:r>
          </w:p>
        </w:tc>
        <w:tc>
          <w:tcPr>
            <w:tcW w:w="992" w:type="dxa"/>
            <w:vAlign w:val="center"/>
          </w:tcPr>
          <w:p w14:paraId="38A76AFA">
            <w:pPr>
              <w:pStyle w:val="33"/>
              <w:rPr>
                <w:color w:val="auto"/>
              </w:rPr>
            </w:pPr>
            <w:r>
              <w:rPr>
                <w:color w:val="auto"/>
              </w:rPr>
              <w:t>1</w:t>
            </w:r>
          </w:p>
        </w:tc>
        <w:tc>
          <w:tcPr>
            <w:tcW w:w="850" w:type="dxa"/>
            <w:vAlign w:val="center"/>
          </w:tcPr>
          <w:p w14:paraId="09BFCF24">
            <w:pPr>
              <w:pStyle w:val="33"/>
              <w:rPr>
                <w:color w:val="auto"/>
              </w:rPr>
            </w:pPr>
          </w:p>
        </w:tc>
      </w:tr>
      <w:tr w14:paraId="5C134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545" w:type="dxa"/>
            <w:vAlign w:val="center"/>
          </w:tcPr>
          <w:p w14:paraId="55C8A75F">
            <w:pPr>
              <w:pStyle w:val="33"/>
              <w:rPr>
                <w:color w:val="auto"/>
              </w:rPr>
            </w:pPr>
            <w:r>
              <w:rPr>
                <w:color w:val="auto"/>
              </w:rPr>
              <w:t>3</w:t>
            </w:r>
          </w:p>
        </w:tc>
        <w:tc>
          <w:tcPr>
            <w:tcW w:w="1765" w:type="dxa"/>
            <w:vAlign w:val="center"/>
          </w:tcPr>
          <w:p w14:paraId="0DC9BF55">
            <w:pPr>
              <w:pStyle w:val="33"/>
              <w:rPr>
                <w:color w:val="auto"/>
              </w:rPr>
            </w:pPr>
            <w:r>
              <w:rPr>
                <w:color w:val="auto"/>
              </w:rPr>
              <w:t>射流曝气装置</w:t>
            </w:r>
          </w:p>
        </w:tc>
        <w:tc>
          <w:tcPr>
            <w:tcW w:w="2964" w:type="dxa"/>
            <w:vAlign w:val="center"/>
          </w:tcPr>
          <w:p w14:paraId="0FBDCEDD">
            <w:pPr>
              <w:pStyle w:val="33"/>
              <w:rPr>
                <w:color w:val="auto"/>
              </w:rPr>
            </w:pPr>
            <w:r>
              <w:rPr>
                <w:color w:val="auto"/>
              </w:rPr>
              <w:t>SOR=1550kgO2/h</w:t>
            </w:r>
          </w:p>
        </w:tc>
        <w:tc>
          <w:tcPr>
            <w:tcW w:w="1134" w:type="dxa"/>
            <w:vAlign w:val="center"/>
          </w:tcPr>
          <w:p w14:paraId="7FB5A37D">
            <w:pPr>
              <w:pStyle w:val="33"/>
              <w:rPr>
                <w:color w:val="auto"/>
              </w:rPr>
            </w:pPr>
          </w:p>
        </w:tc>
        <w:tc>
          <w:tcPr>
            <w:tcW w:w="709" w:type="dxa"/>
            <w:vAlign w:val="center"/>
          </w:tcPr>
          <w:p w14:paraId="764DDCE1">
            <w:pPr>
              <w:pStyle w:val="33"/>
              <w:rPr>
                <w:color w:val="auto"/>
              </w:rPr>
            </w:pPr>
            <w:r>
              <w:rPr>
                <w:color w:val="auto"/>
              </w:rPr>
              <w:t>套</w:t>
            </w:r>
          </w:p>
        </w:tc>
        <w:tc>
          <w:tcPr>
            <w:tcW w:w="992" w:type="dxa"/>
            <w:vAlign w:val="center"/>
          </w:tcPr>
          <w:p w14:paraId="241FA84A">
            <w:pPr>
              <w:pStyle w:val="33"/>
              <w:rPr>
                <w:color w:val="auto"/>
              </w:rPr>
            </w:pPr>
            <w:r>
              <w:rPr>
                <w:color w:val="auto"/>
              </w:rPr>
              <w:t>1</w:t>
            </w:r>
          </w:p>
        </w:tc>
        <w:tc>
          <w:tcPr>
            <w:tcW w:w="850" w:type="dxa"/>
            <w:vAlign w:val="center"/>
          </w:tcPr>
          <w:p w14:paraId="6D87DECB">
            <w:pPr>
              <w:pStyle w:val="33"/>
              <w:rPr>
                <w:color w:val="auto"/>
              </w:rPr>
            </w:pPr>
          </w:p>
        </w:tc>
      </w:tr>
      <w:tr w14:paraId="0A4F2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545" w:type="dxa"/>
            <w:vAlign w:val="center"/>
          </w:tcPr>
          <w:p w14:paraId="6B7C390E">
            <w:pPr>
              <w:pStyle w:val="33"/>
              <w:rPr>
                <w:color w:val="auto"/>
              </w:rPr>
            </w:pPr>
            <w:r>
              <w:rPr>
                <w:color w:val="auto"/>
              </w:rPr>
              <w:t>4</w:t>
            </w:r>
          </w:p>
        </w:tc>
        <w:tc>
          <w:tcPr>
            <w:tcW w:w="1765" w:type="dxa"/>
            <w:vAlign w:val="center"/>
          </w:tcPr>
          <w:p w14:paraId="17A5B710">
            <w:pPr>
              <w:pStyle w:val="33"/>
              <w:rPr>
                <w:color w:val="auto"/>
              </w:rPr>
            </w:pPr>
            <w:r>
              <w:rPr>
                <w:color w:val="auto"/>
              </w:rPr>
              <w:t>二沉池刮泥机</w:t>
            </w:r>
          </w:p>
        </w:tc>
        <w:tc>
          <w:tcPr>
            <w:tcW w:w="2964" w:type="dxa"/>
            <w:vAlign w:val="center"/>
          </w:tcPr>
          <w:p w14:paraId="4B6CA6B8">
            <w:pPr>
              <w:pStyle w:val="33"/>
              <w:rPr>
                <w:color w:val="auto"/>
              </w:rPr>
            </w:pPr>
            <w:r>
              <w:rPr>
                <w:color w:val="auto"/>
              </w:rPr>
              <w:t>Φ46×4.0m</w:t>
            </w:r>
          </w:p>
        </w:tc>
        <w:tc>
          <w:tcPr>
            <w:tcW w:w="1134" w:type="dxa"/>
            <w:vAlign w:val="center"/>
          </w:tcPr>
          <w:p w14:paraId="2244CCBE">
            <w:pPr>
              <w:pStyle w:val="33"/>
              <w:rPr>
                <w:color w:val="auto"/>
              </w:rPr>
            </w:pPr>
            <w:r>
              <w:rPr>
                <w:color w:val="auto"/>
              </w:rPr>
              <w:t>2×2.2</w:t>
            </w:r>
          </w:p>
        </w:tc>
        <w:tc>
          <w:tcPr>
            <w:tcW w:w="709" w:type="dxa"/>
            <w:vAlign w:val="center"/>
          </w:tcPr>
          <w:p w14:paraId="446F5E14">
            <w:pPr>
              <w:pStyle w:val="33"/>
              <w:rPr>
                <w:color w:val="auto"/>
              </w:rPr>
            </w:pPr>
            <w:r>
              <w:rPr>
                <w:color w:val="auto"/>
              </w:rPr>
              <w:t>台</w:t>
            </w:r>
          </w:p>
        </w:tc>
        <w:tc>
          <w:tcPr>
            <w:tcW w:w="992" w:type="dxa"/>
            <w:vAlign w:val="center"/>
          </w:tcPr>
          <w:p w14:paraId="7F7902EC">
            <w:pPr>
              <w:pStyle w:val="33"/>
              <w:rPr>
                <w:color w:val="auto"/>
              </w:rPr>
            </w:pPr>
            <w:r>
              <w:rPr>
                <w:color w:val="auto"/>
              </w:rPr>
              <w:t>1</w:t>
            </w:r>
          </w:p>
        </w:tc>
        <w:tc>
          <w:tcPr>
            <w:tcW w:w="850" w:type="dxa"/>
            <w:vAlign w:val="center"/>
          </w:tcPr>
          <w:p w14:paraId="607219E2">
            <w:pPr>
              <w:pStyle w:val="33"/>
              <w:rPr>
                <w:color w:val="auto"/>
              </w:rPr>
            </w:pPr>
          </w:p>
        </w:tc>
      </w:tr>
      <w:tr w14:paraId="7D611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545" w:type="dxa"/>
            <w:vAlign w:val="center"/>
          </w:tcPr>
          <w:p w14:paraId="19F1C274">
            <w:pPr>
              <w:pStyle w:val="33"/>
              <w:rPr>
                <w:color w:val="auto"/>
              </w:rPr>
            </w:pPr>
            <w:r>
              <w:rPr>
                <w:color w:val="auto"/>
              </w:rPr>
              <w:t>5</w:t>
            </w:r>
          </w:p>
        </w:tc>
        <w:tc>
          <w:tcPr>
            <w:tcW w:w="1765" w:type="dxa"/>
            <w:vAlign w:val="center"/>
          </w:tcPr>
          <w:p w14:paraId="6ABD996E">
            <w:pPr>
              <w:pStyle w:val="33"/>
              <w:rPr>
                <w:color w:val="auto"/>
              </w:rPr>
            </w:pPr>
            <w:r>
              <w:rPr>
                <w:color w:val="auto"/>
              </w:rPr>
              <w:t>鼓风机</w:t>
            </w:r>
          </w:p>
        </w:tc>
        <w:tc>
          <w:tcPr>
            <w:tcW w:w="2964" w:type="dxa"/>
            <w:vAlign w:val="center"/>
          </w:tcPr>
          <w:p w14:paraId="06B40122">
            <w:pPr>
              <w:pStyle w:val="33"/>
              <w:rPr>
                <w:color w:val="auto"/>
              </w:rPr>
            </w:pPr>
            <w:r>
              <w:rPr>
                <w:color w:val="auto"/>
              </w:rPr>
              <w:t>Q=200m</w:t>
            </w:r>
            <w:r>
              <w:rPr>
                <w:color w:val="auto"/>
                <w:vertAlign w:val="superscript"/>
              </w:rPr>
              <w:t>3</w:t>
            </w:r>
            <w:r>
              <w:rPr>
                <w:color w:val="auto"/>
              </w:rPr>
              <w:t>/min H=9m</w:t>
            </w:r>
          </w:p>
        </w:tc>
        <w:tc>
          <w:tcPr>
            <w:tcW w:w="1134" w:type="dxa"/>
            <w:vAlign w:val="center"/>
          </w:tcPr>
          <w:p w14:paraId="429C259B">
            <w:pPr>
              <w:pStyle w:val="33"/>
              <w:rPr>
                <w:color w:val="auto"/>
              </w:rPr>
            </w:pPr>
            <w:r>
              <w:rPr>
                <w:color w:val="auto"/>
              </w:rPr>
              <w:t>355</w:t>
            </w:r>
          </w:p>
        </w:tc>
        <w:tc>
          <w:tcPr>
            <w:tcW w:w="709" w:type="dxa"/>
            <w:vAlign w:val="center"/>
          </w:tcPr>
          <w:p w14:paraId="7B5B843F">
            <w:pPr>
              <w:pStyle w:val="33"/>
              <w:rPr>
                <w:color w:val="auto"/>
              </w:rPr>
            </w:pPr>
            <w:r>
              <w:rPr>
                <w:color w:val="auto"/>
              </w:rPr>
              <w:t>台</w:t>
            </w:r>
          </w:p>
        </w:tc>
        <w:tc>
          <w:tcPr>
            <w:tcW w:w="992" w:type="dxa"/>
            <w:vAlign w:val="center"/>
          </w:tcPr>
          <w:p w14:paraId="00ED5608">
            <w:pPr>
              <w:pStyle w:val="33"/>
              <w:rPr>
                <w:color w:val="auto"/>
              </w:rPr>
            </w:pPr>
            <w:r>
              <w:rPr>
                <w:color w:val="auto"/>
              </w:rPr>
              <w:t>4</w:t>
            </w:r>
          </w:p>
        </w:tc>
        <w:tc>
          <w:tcPr>
            <w:tcW w:w="850" w:type="dxa"/>
            <w:vAlign w:val="center"/>
          </w:tcPr>
          <w:p w14:paraId="2C0A2F2C">
            <w:pPr>
              <w:pStyle w:val="33"/>
              <w:rPr>
                <w:color w:val="auto"/>
              </w:rPr>
            </w:pPr>
            <w:r>
              <w:rPr>
                <w:color w:val="auto"/>
              </w:rPr>
              <w:t>1</w:t>
            </w:r>
          </w:p>
        </w:tc>
      </w:tr>
      <w:tr w14:paraId="35F7E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trPr>
        <w:tc>
          <w:tcPr>
            <w:tcW w:w="545" w:type="dxa"/>
            <w:vAlign w:val="center"/>
          </w:tcPr>
          <w:p w14:paraId="1038DADD">
            <w:pPr>
              <w:pStyle w:val="33"/>
              <w:rPr>
                <w:color w:val="auto"/>
              </w:rPr>
            </w:pPr>
            <w:r>
              <w:rPr>
                <w:color w:val="auto"/>
              </w:rPr>
              <w:t>6</w:t>
            </w:r>
          </w:p>
        </w:tc>
        <w:tc>
          <w:tcPr>
            <w:tcW w:w="1765" w:type="dxa"/>
            <w:vAlign w:val="center"/>
          </w:tcPr>
          <w:p w14:paraId="70311418">
            <w:pPr>
              <w:pStyle w:val="33"/>
              <w:rPr>
                <w:color w:val="auto"/>
              </w:rPr>
            </w:pPr>
            <w:r>
              <w:rPr>
                <w:color w:val="auto"/>
              </w:rPr>
              <w:t>旋流曝气器</w:t>
            </w:r>
          </w:p>
        </w:tc>
        <w:tc>
          <w:tcPr>
            <w:tcW w:w="2964" w:type="dxa"/>
            <w:vAlign w:val="center"/>
          </w:tcPr>
          <w:p w14:paraId="25DCC552">
            <w:pPr>
              <w:pStyle w:val="33"/>
              <w:rPr>
                <w:color w:val="auto"/>
              </w:rPr>
            </w:pPr>
            <w:r>
              <w:rPr>
                <w:color w:val="auto"/>
              </w:rPr>
              <w:t>单台供气量0.6~1.3m</w:t>
            </w:r>
            <w:r>
              <w:rPr>
                <w:color w:val="auto"/>
                <w:vertAlign w:val="superscript"/>
              </w:rPr>
              <w:t>3</w:t>
            </w:r>
            <w:r>
              <w:rPr>
                <w:color w:val="auto"/>
              </w:rPr>
              <w:t>/min；单只覆盖面积6~10m</w:t>
            </w:r>
            <w:r>
              <w:rPr>
                <w:rFonts w:hint="eastAsia"/>
                <w:color w:val="auto"/>
                <w:vertAlign w:val="superscript"/>
              </w:rPr>
              <w:t>2</w:t>
            </w:r>
          </w:p>
        </w:tc>
        <w:tc>
          <w:tcPr>
            <w:tcW w:w="1134" w:type="dxa"/>
            <w:vAlign w:val="center"/>
          </w:tcPr>
          <w:p w14:paraId="218AA425">
            <w:pPr>
              <w:pStyle w:val="33"/>
              <w:rPr>
                <w:color w:val="auto"/>
              </w:rPr>
            </w:pPr>
          </w:p>
        </w:tc>
        <w:tc>
          <w:tcPr>
            <w:tcW w:w="709" w:type="dxa"/>
            <w:vAlign w:val="center"/>
          </w:tcPr>
          <w:p w14:paraId="5EC7F29C">
            <w:pPr>
              <w:pStyle w:val="33"/>
              <w:rPr>
                <w:color w:val="auto"/>
              </w:rPr>
            </w:pPr>
            <w:r>
              <w:rPr>
                <w:color w:val="auto"/>
              </w:rPr>
              <w:t>批</w:t>
            </w:r>
          </w:p>
        </w:tc>
        <w:tc>
          <w:tcPr>
            <w:tcW w:w="992" w:type="dxa"/>
            <w:vAlign w:val="center"/>
          </w:tcPr>
          <w:p w14:paraId="37B33C57">
            <w:pPr>
              <w:pStyle w:val="33"/>
              <w:rPr>
                <w:color w:val="auto"/>
              </w:rPr>
            </w:pPr>
            <w:r>
              <w:rPr>
                <w:color w:val="auto"/>
              </w:rPr>
              <w:t>1</w:t>
            </w:r>
          </w:p>
        </w:tc>
        <w:tc>
          <w:tcPr>
            <w:tcW w:w="850" w:type="dxa"/>
            <w:vAlign w:val="center"/>
          </w:tcPr>
          <w:p w14:paraId="721E9E22">
            <w:pPr>
              <w:pStyle w:val="33"/>
              <w:rPr>
                <w:color w:val="auto"/>
              </w:rPr>
            </w:pPr>
          </w:p>
        </w:tc>
      </w:tr>
      <w:tr w14:paraId="3CD38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545" w:type="dxa"/>
            <w:vAlign w:val="center"/>
          </w:tcPr>
          <w:p w14:paraId="02F439DD">
            <w:pPr>
              <w:pStyle w:val="33"/>
              <w:rPr>
                <w:color w:val="auto"/>
              </w:rPr>
            </w:pPr>
            <w:r>
              <w:rPr>
                <w:color w:val="auto"/>
              </w:rPr>
              <w:t>7</w:t>
            </w:r>
          </w:p>
        </w:tc>
        <w:tc>
          <w:tcPr>
            <w:tcW w:w="1765" w:type="dxa"/>
            <w:vAlign w:val="center"/>
          </w:tcPr>
          <w:p w14:paraId="6E5C7C6B">
            <w:pPr>
              <w:pStyle w:val="33"/>
              <w:rPr>
                <w:color w:val="auto"/>
              </w:rPr>
            </w:pPr>
            <w:r>
              <w:rPr>
                <w:color w:val="auto"/>
              </w:rPr>
              <w:t>回流污泥泵</w:t>
            </w:r>
          </w:p>
        </w:tc>
        <w:tc>
          <w:tcPr>
            <w:tcW w:w="2964" w:type="dxa"/>
            <w:vAlign w:val="center"/>
          </w:tcPr>
          <w:p w14:paraId="6D1E0A5C">
            <w:pPr>
              <w:pStyle w:val="33"/>
              <w:rPr>
                <w:color w:val="auto"/>
              </w:rPr>
            </w:pPr>
            <w:r>
              <w:rPr>
                <w:color w:val="auto"/>
              </w:rPr>
              <w:t>Q=700m</w:t>
            </w:r>
            <w:r>
              <w:rPr>
                <w:color w:val="auto"/>
                <w:vertAlign w:val="superscript"/>
              </w:rPr>
              <w:t>3</w:t>
            </w:r>
            <w:r>
              <w:rPr>
                <w:color w:val="auto"/>
              </w:rPr>
              <w:t>/h H=8m</w:t>
            </w:r>
          </w:p>
        </w:tc>
        <w:tc>
          <w:tcPr>
            <w:tcW w:w="1134" w:type="dxa"/>
            <w:vAlign w:val="center"/>
          </w:tcPr>
          <w:p w14:paraId="34805526">
            <w:pPr>
              <w:pStyle w:val="33"/>
              <w:rPr>
                <w:color w:val="auto"/>
              </w:rPr>
            </w:pPr>
            <w:r>
              <w:rPr>
                <w:color w:val="auto"/>
              </w:rPr>
              <w:t>55</w:t>
            </w:r>
          </w:p>
        </w:tc>
        <w:tc>
          <w:tcPr>
            <w:tcW w:w="709" w:type="dxa"/>
            <w:vAlign w:val="center"/>
          </w:tcPr>
          <w:p w14:paraId="3A4F51AC">
            <w:pPr>
              <w:pStyle w:val="33"/>
              <w:rPr>
                <w:color w:val="auto"/>
              </w:rPr>
            </w:pPr>
            <w:r>
              <w:rPr>
                <w:color w:val="auto"/>
              </w:rPr>
              <w:t>台</w:t>
            </w:r>
          </w:p>
        </w:tc>
        <w:tc>
          <w:tcPr>
            <w:tcW w:w="992" w:type="dxa"/>
            <w:vAlign w:val="center"/>
          </w:tcPr>
          <w:p w14:paraId="0FFCF62C">
            <w:pPr>
              <w:pStyle w:val="33"/>
              <w:rPr>
                <w:color w:val="auto"/>
              </w:rPr>
            </w:pPr>
            <w:r>
              <w:rPr>
                <w:color w:val="auto"/>
              </w:rPr>
              <w:t>3</w:t>
            </w:r>
          </w:p>
        </w:tc>
        <w:tc>
          <w:tcPr>
            <w:tcW w:w="850" w:type="dxa"/>
            <w:vAlign w:val="center"/>
          </w:tcPr>
          <w:p w14:paraId="767CC2C8">
            <w:pPr>
              <w:pStyle w:val="33"/>
              <w:rPr>
                <w:color w:val="auto"/>
              </w:rPr>
            </w:pPr>
            <w:r>
              <w:rPr>
                <w:color w:val="auto"/>
              </w:rPr>
              <w:t>1</w:t>
            </w:r>
          </w:p>
        </w:tc>
      </w:tr>
      <w:tr w14:paraId="0A119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545" w:type="dxa"/>
            <w:vAlign w:val="center"/>
          </w:tcPr>
          <w:p w14:paraId="1A049F71">
            <w:pPr>
              <w:pStyle w:val="33"/>
              <w:rPr>
                <w:color w:val="auto"/>
              </w:rPr>
            </w:pPr>
            <w:r>
              <w:rPr>
                <w:color w:val="auto"/>
              </w:rPr>
              <w:t>8</w:t>
            </w:r>
          </w:p>
        </w:tc>
        <w:tc>
          <w:tcPr>
            <w:tcW w:w="1765" w:type="dxa"/>
            <w:vAlign w:val="center"/>
          </w:tcPr>
          <w:p w14:paraId="3E657CC1">
            <w:pPr>
              <w:pStyle w:val="33"/>
              <w:rPr>
                <w:color w:val="auto"/>
              </w:rPr>
            </w:pPr>
            <w:r>
              <w:rPr>
                <w:color w:val="auto"/>
              </w:rPr>
              <w:t>剩余污泥泵</w:t>
            </w:r>
          </w:p>
        </w:tc>
        <w:tc>
          <w:tcPr>
            <w:tcW w:w="2964" w:type="dxa"/>
            <w:vAlign w:val="center"/>
          </w:tcPr>
          <w:p w14:paraId="566FD59F">
            <w:pPr>
              <w:pStyle w:val="33"/>
              <w:rPr>
                <w:color w:val="auto"/>
              </w:rPr>
            </w:pPr>
            <w:r>
              <w:rPr>
                <w:color w:val="auto"/>
              </w:rPr>
              <w:t>Q=80m</w:t>
            </w:r>
            <w:r>
              <w:rPr>
                <w:color w:val="auto"/>
                <w:vertAlign w:val="superscript"/>
              </w:rPr>
              <w:t>3</w:t>
            </w:r>
            <w:r>
              <w:rPr>
                <w:color w:val="auto"/>
              </w:rPr>
              <w:t>/h H=8m</w:t>
            </w:r>
          </w:p>
        </w:tc>
        <w:tc>
          <w:tcPr>
            <w:tcW w:w="1134" w:type="dxa"/>
            <w:vAlign w:val="center"/>
          </w:tcPr>
          <w:p w14:paraId="1B6328FA">
            <w:pPr>
              <w:pStyle w:val="33"/>
              <w:rPr>
                <w:color w:val="auto"/>
              </w:rPr>
            </w:pPr>
            <w:r>
              <w:rPr>
                <w:color w:val="auto"/>
              </w:rPr>
              <w:t>11</w:t>
            </w:r>
          </w:p>
        </w:tc>
        <w:tc>
          <w:tcPr>
            <w:tcW w:w="709" w:type="dxa"/>
            <w:vAlign w:val="center"/>
          </w:tcPr>
          <w:p w14:paraId="4627CE18">
            <w:pPr>
              <w:pStyle w:val="33"/>
              <w:rPr>
                <w:color w:val="auto"/>
              </w:rPr>
            </w:pPr>
            <w:r>
              <w:rPr>
                <w:color w:val="auto"/>
              </w:rPr>
              <w:t>台</w:t>
            </w:r>
          </w:p>
        </w:tc>
        <w:tc>
          <w:tcPr>
            <w:tcW w:w="992" w:type="dxa"/>
            <w:vAlign w:val="center"/>
          </w:tcPr>
          <w:p w14:paraId="001A4F4E">
            <w:pPr>
              <w:pStyle w:val="33"/>
              <w:rPr>
                <w:color w:val="auto"/>
              </w:rPr>
            </w:pPr>
            <w:r>
              <w:rPr>
                <w:color w:val="auto"/>
              </w:rPr>
              <w:t>2</w:t>
            </w:r>
          </w:p>
        </w:tc>
        <w:tc>
          <w:tcPr>
            <w:tcW w:w="850" w:type="dxa"/>
            <w:vAlign w:val="center"/>
          </w:tcPr>
          <w:p w14:paraId="0C611BFC">
            <w:pPr>
              <w:pStyle w:val="33"/>
              <w:rPr>
                <w:color w:val="auto"/>
              </w:rPr>
            </w:pPr>
            <w:r>
              <w:rPr>
                <w:color w:val="auto"/>
              </w:rPr>
              <w:t>1</w:t>
            </w:r>
          </w:p>
        </w:tc>
      </w:tr>
      <w:tr w14:paraId="44225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610E56D6">
            <w:pPr>
              <w:pStyle w:val="33"/>
              <w:rPr>
                <w:color w:val="auto"/>
              </w:rPr>
            </w:pPr>
            <w:r>
              <w:rPr>
                <w:color w:val="auto"/>
              </w:rPr>
              <w:t>9</w:t>
            </w:r>
          </w:p>
        </w:tc>
        <w:tc>
          <w:tcPr>
            <w:tcW w:w="1765" w:type="dxa"/>
            <w:vAlign w:val="center"/>
          </w:tcPr>
          <w:p w14:paraId="7E2648BD">
            <w:pPr>
              <w:pStyle w:val="33"/>
              <w:rPr>
                <w:color w:val="auto"/>
              </w:rPr>
            </w:pPr>
            <w:r>
              <w:rPr>
                <w:color w:val="auto"/>
              </w:rPr>
              <w:t>搅拌机</w:t>
            </w:r>
          </w:p>
        </w:tc>
        <w:tc>
          <w:tcPr>
            <w:tcW w:w="2964" w:type="dxa"/>
            <w:vAlign w:val="center"/>
          </w:tcPr>
          <w:p w14:paraId="1DC178FE">
            <w:pPr>
              <w:pStyle w:val="33"/>
              <w:rPr>
                <w:color w:val="auto"/>
              </w:rPr>
            </w:pPr>
          </w:p>
        </w:tc>
        <w:tc>
          <w:tcPr>
            <w:tcW w:w="1134" w:type="dxa"/>
            <w:vAlign w:val="center"/>
          </w:tcPr>
          <w:p w14:paraId="224B6558">
            <w:pPr>
              <w:pStyle w:val="33"/>
              <w:rPr>
                <w:color w:val="auto"/>
              </w:rPr>
            </w:pPr>
            <w:r>
              <w:rPr>
                <w:color w:val="auto"/>
              </w:rPr>
              <w:t>1.1+0.75+0.55</w:t>
            </w:r>
          </w:p>
        </w:tc>
        <w:tc>
          <w:tcPr>
            <w:tcW w:w="709" w:type="dxa"/>
            <w:vAlign w:val="center"/>
          </w:tcPr>
          <w:p w14:paraId="417B95DE">
            <w:pPr>
              <w:pStyle w:val="33"/>
              <w:rPr>
                <w:color w:val="auto"/>
              </w:rPr>
            </w:pPr>
            <w:r>
              <w:rPr>
                <w:color w:val="auto"/>
              </w:rPr>
              <w:t>套</w:t>
            </w:r>
          </w:p>
        </w:tc>
        <w:tc>
          <w:tcPr>
            <w:tcW w:w="992" w:type="dxa"/>
            <w:vAlign w:val="center"/>
          </w:tcPr>
          <w:p w14:paraId="3D3148A1">
            <w:pPr>
              <w:pStyle w:val="33"/>
              <w:rPr>
                <w:color w:val="auto"/>
              </w:rPr>
            </w:pPr>
            <w:r>
              <w:rPr>
                <w:color w:val="auto"/>
              </w:rPr>
              <w:t>2</w:t>
            </w:r>
          </w:p>
        </w:tc>
        <w:tc>
          <w:tcPr>
            <w:tcW w:w="850" w:type="dxa"/>
            <w:vAlign w:val="center"/>
          </w:tcPr>
          <w:p w14:paraId="26BC204E">
            <w:pPr>
              <w:pStyle w:val="33"/>
              <w:rPr>
                <w:color w:val="auto"/>
              </w:rPr>
            </w:pPr>
          </w:p>
        </w:tc>
      </w:tr>
      <w:tr w14:paraId="581C7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74DB11C3">
            <w:pPr>
              <w:pStyle w:val="33"/>
              <w:rPr>
                <w:color w:val="auto"/>
              </w:rPr>
            </w:pPr>
            <w:r>
              <w:rPr>
                <w:color w:val="auto"/>
              </w:rPr>
              <w:t>10</w:t>
            </w:r>
          </w:p>
        </w:tc>
        <w:tc>
          <w:tcPr>
            <w:tcW w:w="1765" w:type="dxa"/>
            <w:vAlign w:val="center"/>
          </w:tcPr>
          <w:p w14:paraId="13456A51">
            <w:pPr>
              <w:pStyle w:val="33"/>
              <w:rPr>
                <w:color w:val="auto"/>
              </w:rPr>
            </w:pPr>
            <w:r>
              <w:rPr>
                <w:color w:val="auto"/>
              </w:rPr>
              <w:t>周边传动刮泥机</w:t>
            </w:r>
          </w:p>
        </w:tc>
        <w:tc>
          <w:tcPr>
            <w:tcW w:w="2964" w:type="dxa"/>
            <w:vAlign w:val="center"/>
          </w:tcPr>
          <w:p w14:paraId="690C5E4B">
            <w:pPr>
              <w:pStyle w:val="33"/>
              <w:rPr>
                <w:color w:val="auto"/>
              </w:rPr>
            </w:pPr>
            <w:r>
              <w:rPr>
                <w:color w:val="auto"/>
              </w:rPr>
              <w:t>Φ38×4m</w:t>
            </w:r>
          </w:p>
        </w:tc>
        <w:tc>
          <w:tcPr>
            <w:tcW w:w="1134" w:type="dxa"/>
            <w:vAlign w:val="center"/>
          </w:tcPr>
          <w:p w14:paraId="1A8A5E48">
            <w:pPr>
              <w:pStyle w:val="33"/>
              <w:rPr>
                <w:color w:val="auto"/>
              </w:rPr>
            </w:pPr>
            <w:r>
              <w:rPr>
                <w:color w:val="auto"/>
              </w:rPr>
              <w:t>2×2.2</w:t>
            </w:r>
          </w:p>
        </w:tc>
        <w:tc>
          <w:tcPr>
            <w:tcW w:w="709" w:type="dxa"/>
            <w:vAlign w:val="center"/>
          </w:tcPr>
          <w:p w14:paraId="494FAD5F">
            <w:pPr>
              <w:pStyle w:val="33"/>
              <w:rPr>
                <w:color w:val="auto"/>
              </w:rPr>
            </w:pPr>
            <w:r>
              <w:rPr>
                <w:color w:val="auto"/>
              </w:rPr>
              <w:t>台</w:t>
            </w:r>
          </w:p>
        </w:tc>
        <w:tc>
          <w:tcPr>
            <w:tcW w:w="992" w:type="dxa"/>
            <w:vAlign w:val="center"/>
          </w:tcPr>
          <w:p w14:paraId="10BAFEB7">
            <w:pPr>
              <w:pStyle w:val="33"/>
              <w:rPr>
                <w:color w:val="auto"/>
              </w:rPr>
            </w:pPr>
            <w:r>
              <w:rPr>
                <w:color w:val="auto"/>
              </w:rPr>
              <w:t>1</w:t>
            </w:r>
          </w:p>
        </w:tc>
        <w:tc>
          <w:tcPr>
            <w:tcW w:w="850" w:type="dxa"/>
            <w:vAlign w:val="center"/>
          </w:tcPr>
          <w:p w14:paraId="70CA66DA">
            <w:pPr>
              <w:pStyle w:val="33"/>
              <w:rPr>
                <w:color w:val="auto"/>
              </w:rPr>
            </w:pPr>
          </w:p>
        </w:tc>
      </w:tr>
      <w:tr w14:paraId="43441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5651238F">
            <w:pPr>
              <w:pStyle w:val="33"/>
              <w:rPr>
                <w:color w:val="auto"/>
              </w:rPr>
            </w:pPr>
            <w:r>
              <w:rPr>
                <w:color w:val="auto"/>
              </w:rPr>
              <w:t>11</w:t>
            </w:r>
          </w:p>
        </w:tc>
        <w:tc>
          <w:tcPr>
            <w:tcW w:w="1765" w:type="dxa"/>
            <w:vAlign w:val="center"/>
          </w:tcPr>
          <w:p w14:paraId="01CE0AEE">
            <w:pPr>
              <w:pStyle w:val="33"/>
              <w:rPr>
                <w:color w:val="auto"/>
              </w:rPr>
            </w:pPr>
            <w:r>
              <w:rPr>
                <w:color w:val="auto"/>
              </w:rPr>
              <w:t>无阀过滤器</w:t>
            </w:r>
          </w:p>
        </w:tc>
        <w:tc>
          <w:tcPr>
            <w:tcW w:w="2964" w:type="dxa"/>
            <w:vAlign w:val="center"/>
          </w:tcPr>
          <w:p w14:paraId="5886081A">
            <w:pPr>
              <w:pStyle w:val="33"/>
              <w:rPr>
                <w:color w:val="auto"/>
              </w:rPr>
            </w:pPr>
            <w:r>
              <w:rPr>
                <w:color w:val="auto"/>
              </w:rPr>
              <w:t>Q=250m</w:t>
            </w:r>
            <w:r>
              <w:rPr>
                <w:color w:val="auto"/>
                <w:vertAlign w:val="superscript"/>
              </w:rPr>
              <w:t>3</w:t>
            </w:r>
            <w:r>
              <w:rPr>
                <w:color w:val="auto"/>
              </w:rPr>
              <w:t>/h</w:t>
            </w:r>
          </w:p>
        </w:tc>
        <w:tc>
          <w:tcPr>
            <w:tcW w:w="1134" w:type="dxa"/>
            <w:vAlign w:val="center"/>
          </w:tcPr>
          <w:p w14:paraId="28F1BDC4">
            <w:pPr>
              <w:pStyle w:val="33"/>
              <w:rPr>
                <w:color w:val="auto"/>
              </w:rPr>
            </w:pPr>
          </w:p>
        </w:tc>
        <w:tc>
          <w:tcPr>
            <w:tcW w:w="709" w:type="dxa"/>
            <w:vAlign w:val="center"/>
          </w:tcPr>
          <w:p w14:paraId="5D09DD65">
            <w:pPr>
              <w:pStyle w:val="33"/>
              <w:rPr>
                <w:color w:val="auto"/>
              </w:rPr>
            </w:pPr>
            <w:r>
              <w:rPr>
                <w:color w:val="auto"/>
              </w:rPr>
              <w:t>台</w:t>
            </w:r>
          </w:p>
        </w:tc>
        <w:tc>
          <w:tcPr>
            <w:tcW w:w="992" w:type="dxa"/>
            <w:vAlign w:val="center"/>
          </w:tcPr>
          <w:p w14:paraId="5E7F59AF">
            <w:pPr>
              <w:pStyle w:val="33"/>
              <w:rPr>
                <w:color w:val="auto"/>
              </w:rPr>
            </w:pPr>
            <w:r>
              <w:rPr>
                <w:color w:val="auto"/>
              </w:rPr>
              <w:t>4</w:t>
            </w:r>
          </w:p>
        </w:tc>
        <w:tc>
          <w:tcPr>
            <w:tcW w:w="850" w:type="dxa"/>
            <w:vAlign w:val="center"/>
          </w:tcPr>
          <w:p w14:paraId="56A0814A">
            <w:pPr>
              <w:pStyle w:val="33"/>
              <w:rPr>
                <w:color w:val="auto"/>
              </w:rPr>
            </w:pPr>
          </w:p>
        </w:tc>
      </w:tr>
      <w:tr w14:paraId="1938E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273818FE">
            <w:pPr>
              <w:pStyle w:val="33"/>
              <w:rPr>
                <w:color w:val="auto"/>
              </w:rPr>
            </w:pPr>
            <w:r>
              <w:rPr>
                <w:color w:val="auto"/>
              </w:rPr>
              <w:t>12</w:t>
            </w:r>
          </w:p>
        </w:tc>
        <w:tc>
          <w:tcPr>
            <w:tcW w:w="1765" w:type="dxa"/>
            <w:vAlign w:val="center"/>
          </w:tcPr>
          <w:p w14:paraId="2E2381BF">
            <w:pPr>
              <w:pStyle w:val="33"/>
              <w:rPr>
                <w:color w:val="auto"/>
              </w:rPr>
            </w:pPr>
            <w:r>
              <w:rPr>
                <w:color w:val="auto"/>
              </w:rPr>
              <w:t>过滤提升泵</w:t>
            </w:r>
          </w:p>
        </w:tc>
        <w:tc>
          <w:tcPr>
            <w:tcW w:w="2964" w:type="dxa"/>
            <w:vAlign w:val="center"/>
          </w:tcPr>
          <w:p w14:paraId="23353C14">
            <w:pPr>
              <w:pStyle w:val="33"/>
              <w:rPr>
                <w:color w:val="auto"/>
              </w:rPr>
            </w:pPr>
            <w:r>
              <w:rPr>
                <w:color w:val="auto"/>
              </w:rPr>
              <w:t>Q=500m</w:t>
            </w:r>
            <w:r>
              <w:rPr>
                <w:color w:val="auto"/>
                <w:vertAlign w:val="superscript"/>
              </w:rPr>
              <w:t>3</w:t>
            </w:r>
            <w:r>
              <w:rPr>
                <w:color w:val="auto"/>
              </w:rPr>
              <w:t>/h H=20m</w:t>
            </w:r>
          </w:p>
        </w:tc>
        <w:tc>
          <w:tcPr>
            <w:tcW w:w="1134" w:type="dxa"/>
            <w:vAlign w:val="center"/>
          </w:tcPr>
          <w:p w14:paraId="4C4E8DE0">
            <w:pPr>
              <w:pStyle w:val="33"/>
              <w:rPr>
                <w:color w:val="auto"/>
              </w:rPr>
            </w:pPr>
            <w:r>
              <w:rPr>
                <w:color w:val="auto"/>
              </w:rPr>
              <w:t>45</w:t>
            </w:r>
          </w:p>
        </w:tc>
        <w:tc>
          <w:tcPr>
            <w:tcW w:w="709" w:type="dxa"/>
            <w:vAlign w:val="center"/>
          </w:tcPr>
          <w:p w14:paraId="7CA5B691">
            <w:pPr>
              <w:pStyle w:val="33"/>
              <w:rPr>
                <w:color w:val="auto"/>
              </w:rPr>
            </w:pPr>
            <w:r>
              <w:rPr>
                <w:color w:val="auto"/>
              </w:rPr>
              <w:t>台</w:t>
            </w:r>
          </w:p>
        </w:tc>
        <w:tc>
          <w:tcPr>
            <w:tcW w:w="992" w:type="dxa"/>
            <w:vAlign w:val="center"/>
          </w:tcPr>
          <w:p w14:paraId="7C59E3F7">
            <w:pPr>
              <w:pStyle w:val="33"/>
              <w:rPr>
                <w:color w:val="auto"/>
              </w:rPr>
            </w:pPr>
            <w:r>
              <w:rPr>
                <w:color w:val="auto"/>
              </w:rPr>
              <w:t>3</w:t>
            </w:r>
          </w:p>
        </w:tc>
        <w:tc>
          <w:tcPr>
            <w:tcW w:w="850" w:type="dxa"/>
            <w:vAlign w:val="center"/>
          </w:tcPr>
          <w:p w14:paraId="1F8B6E59">
            <w:pPr>
              <w:pStyle w:val="33"/>
              <w:rPr>
                <w:color w:val="auto"/>
              </w:rPr>
            </w:pPr>
            <w:r>
              <w:rPr>
                <w:color w:val="auto"/>
              </w:rPr>
              <w:t>1</w:t>
            </w:r>
          </w:p>
        </w:tc>
      </w:tr>
      <w:tr w14:paraId="1B114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37202218">
            <w:pPr>
              <w:pStyle w:val="33"/>
              <w:rPr>
                <w:color w:val="auto"/>
              </w:rPr>
            </w:pPr>
            <w:r>
              <w:rPr>
                <w:color w:val="auto"/>
              </w:rPr>
              <w:t>13</w:t>
            </w:r>
          </w:p>
        </w:tc>
        <w:tc>
          <w:tcPr>
            <w:tcW w:w="1765" w:type="dxa"/>
            <w:vAlign w:val="center"/>
          </w:tcPr>
          <w:p w14:paraId="66C8CF07">
            <w:pPr>
              <w:pStyle w:val="33"/>
              <w:rPr>
                <w:color w:val="auto"/>
              </w:rPr>
            </w:pPr>
            <w:r>
              <w:rPr>
                <w:color w:val="auto"/>
              </w:rPr>
              <w:t>回用水泵</w:t>
            </w:r>
          </w:p>
        </w:tc>
        <w:tc>
          <w:tcPr>
            <w:tcW w:w="2964" w:type="dxa"/>
            <w:vAlign w:val="center"/>
          </w:tcPr>
          <w:p w14:paraId="40BB375B">
            <w:pPr>
              <w:pStyle w:val="33"/>
              <w:rPr>
                <w:color w:val="auto"/>
              </w:rPr>
            </w:pPr>
            <w:r>
              <w:rPr>
                <w:color w:val="auto"/>
              </w:rPr>
              <w:t>Q=250m</w:t>
            </w:r>
            <w:r>
              <w:rPr>
                <w:color w:val="auto"/>
                <w:vertAlign w:val="superscript"/>
              </w:rPr>
              <w:t>3</w:t>
            </w:r>
            <w:r>
              <w:rPr>
                <w:color w:val="auto"/>
              </w:rPr>
              <w:t>/h H=50m</w:t>
            </w:r>
          </w:p>
        </w:tc>
        <w:tc>
          <w:tcPr>
            <w:tcW w:w="1134" w:type="dxa"/>
            <w:vAlign w:val="center"/>
          </w:tcPr>
          <w:p w14:paraId="6947628A">
            <w:pPr>
              <w:pStyle w:val="33"/>
              <w:rPr>
                <w:color w:val="auto"/>
              </w:rPr>
            </w:pPr>
            <w:r>
              <w:rPr>
                <w:color w:val="auto"/>
              </w:rPr>
              <w:t>55</w:t>
            </w:r>
          </w:p>
        </w:tc>
        <w:tc>
          <w:tcPr>
            <w:tcW w:w="709" w:type="dxa"/>
            <w:vAlign w:val="center"/>
          </w:tcPr>
          <w:p w14:paraId="729C4915">
            <w:pPr>
              <w:pStyle w:val="33"/>
              <w:rPr>
                <w:color w:val="auto"/>
              </w:rPr>
            </w:pPr>
            <w:r>
              <w:rPr>
                <w:color w:val="auto"/>
              </w:rPr>
              <w:t>台</w:t>
            </w:r>
          </w:p>
        </w:tc>
        <w:tc>
          <w:tcPr>
            <w:tcW w:w="992" w:type="dxa"/>
            <w:vAlign w:val="center"/>
          </w:tcPr>
          <w:p w14:paraId="70AC9B9E">
            <w:pPr>
              <w:pStyle w:val="33"/>
              <w:rPr>
                <w:color w:val="auto"/>
              </w:rPr>
            </w:pPr>
            <w:r>
              <w:rPr>
                <w:color w:val="auto"/>
              </w:rPr>
              <w:t>2</w:t>
            </w:r>
          </w:p>
        </w:tc>
        <w:tc>
          <w:tcPr>
            <w:tcW w:w="850" w:type="dxa"/>
            <w:vAlign w:val="center"/>
          </w:tcPr>
          <w:p w14:paraId="28DAF94E">
            <w:pPr>
              <w:pStyle w:val="33"/>
              <w:rPr>
                <w:color w:val="auto"/>
              </w:rPr>
            </w:pPr>
            <w:r>
              <w:rPr>
                <w:color w:val="auto"/>
              </w:rPr>
              <w:t>1</w:t>
            </w:r>
          </w:p>
        </w:tc>
      </w:tr>
      <w:tr w14:paraId="4F2CC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7FE31BB9">
            <w:pPr>
              <w:pStyle w:val="33"/>
              <w:rPr>
                <w:color w:val="auto"/>
              </w:rPr>
            </w:pPr>
            <w:r>
              <w:rPr>
                <w:color w:val="auto"/>
              </w:rPr>
              <w:t>14</w:t>
            </w:r>
          </w:p>
        </w:tc>
        <w:tc>
          <w:tcPr>
            <w:tcW w:w="1765" w:type="dxa"/>
            <w:vAlign w:val="center"/>
          </w:tcPr>
          <w:p w14:paraId="46AB8A22">
            <w:pPr>
              <w:pStyle w:val="33"/>
              <w:rPr>
                <w:color w:val="auto"/>
              </w:rPr>
            </w:pPr>
            <w:r>
              <w:rPr>
                <w:color w:val="auto"/>
              </w:rPr>
              <w:t>多介质过滤器</w:t>
            </w:r>
          </w:p>
        </w:tc>
        <w:tc>
          <w:tcPr>
            <w:tcW w:w="2964" w:type="dxa"/>
            <w:vAlign w:val="center"/>
          </w:tcPr>
          <w:p w14:paraId="3DDF12FE">
            <w:pPr>
              <w:pStyle w:val="33"/>
              <w:rPr>
                <w:color w:val="auto"/>
              </w:rPr>
            </w:pPr>
            <w:r>
              <w:rPr>
                <w:color w:val="auto"/>
              </w:rPr>
              <w:t>出力Q=250m</w:t>
            </w:r>
            <w:r>
              <w:rPr>
                <w:color w:val="auto"/>
                <w:vertAlign w:val="superscript"/>
              </w:rPr>
              <w:t>3</w:t>
            </w:r>
            <w:r>
              <w:rPr>
                <w:color w:val="auto"/>
              </w:rPr>
              <w:t>/h</w:t>
            </w:r>
          </w:p>
        </w:tc>
        <w:tc>
          <w:tcPr>
            <w:tcW w:w="1134" w:type="dxa"/>
            <w:vAlign w:val="center"/>
          </w:tcPr>
          <w:p w14:paraId="31E86F8B">
            <w:pPr>
              <w:pStyle w:val="33"/>
              <w:rPr>
                <w:color w:val="auto"/>
              </w:rPr>
            </w:pPr>
            <w:r>
              <w:rPr>
                <w:color w:val="auto"/>
              </w:rPr>
              <w:t>0.55</w:t>
            </w:r>
          </w:p>
        </w:tc>
        <w:tc>
          <w:tcPr>
            <w:tcW w:w="709" w:type="dxa"/>
            <w:vAlign w:val="center"/>
          </w:tcPr>
          <w:p w14:paraId="3D0BF619">
            <w:pPr>
              <w:pStyle w:val="33"/>
              <w:rPr>
                <w:color w:val="auto"/>
              </w:rPr>
            </w:pPr>
            <w:r>
              <w:rPr>
                <w:color w:val="auto"/>
              </w:rPr>
              <w:t>台</w:t>
            </w:r>
          </w:p>
        </w:tc>
        <w:tc>
          <w:tcPr>
            <w:tcW w:w="992" w:type="dxa"/>
            <w:vAlign w:val="center"/>
          </w:tcPr>
          <w:p w14:paraId="0EECE551">
            <w:pPr>
              <w:pStyle w:val="33"/>
              <w:rPr>
                <w:color w:val="auto"/>
              </w:rPr>
            </w:pPr>
            <w:r>
              <w:rPr>
                <w:color w:val="auto"/>
              </w:rPr>
              <w:t>1</w:t>
            </w:r>
          </w:p>
        </w:tc>
        <w:tc>
          <w:tcPr>
            <w:tcW w:w="850" w:type="dxa"/>
            <w:vAlign w:val="center"/>
          </w:tcPr>
          <w:p w14:paraId="31260BCD">
            <w:pPr>
              <w:pStyle w:val="33"/>
              <w:rPr>
                <w:color w:val="auto"/>
              </w:rPr>
            </w:pPr>
          </w:p>
        </w:tc>
      </w:tr>
      <w:tr w14:paraId="027DB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04FD25A9">
            <w:pPr>
              <w:pStyle w:val="33"/>
              <w:rPr>
                <w:color w:val="auto"/>
              </w:rPr>
            </w:pPr>
            <w:r>
              <w:rPr>
                <w:color w:val="auto"/>
              </w:rPr>
              <w:t>15</w:t>
            </w:r>
          </w:p>
        </w:tc>
        <w:tc>
          <w:tcPr>
            <w:tcW w:w="1765" w:type="dxa"/>
            <w:vAlign w:val="center"/>
          </w:tcPr>
          <w:p w14:paraId="7E9A7279">
            <w:pPr>
              <w:pStyle w:val="33"/>
              <w:rPr>
                <w:color w:val="auto"/>
              </w:rPr>
            </w:pPr>
            <w:r>
              <w:rPr>
                <w:color w:val="auto"/>
              </w:rPr>
              <w:t>自清洗过滤器</w:t>
            </w:r>
          </w:p>
        </w:tc>
        <w:tc>
          <w:tcPr>
            <w:tcW w:w="2964" w:type="dxa"/>
            <w:vAlign w:val="center"/>
          </w:tcPr>
          <w:p w14:paraId="06268100">
            <w:pPr>
              <w:pStyle w:val="33"/>
              <w:rPr>
                <w:color w:val="auto"/>
              </w:rPr>
            </w:pPr>
            <w:r>
              <w:rPr>
                <w:color w:val="auto"/>
              </w:rPr>
              <w:t>出力Q=250m</w:t>
            </w:r>
            <w:r>
              <w:rPr>
                <w:color w:val="auto"/>
                <w:vertAlign w:val="superscript"/>
              </w:rPr>
              <w:t>3</w:t>
            </w:r>
            <w:r>
              <w:rPr>
                <w:color w:val="auto"/>
              </w:rPr>
              <w:t>/h,滤网精度100μm，大通量折叠滤芯</w:t>
            </w:r>
          </w:p>
        </w:tc>
        <w:tc>
          <w:tcPr>
            <w:tcW w:w="1134" w:type="dxa"/>
            <w:vAlign w:val="center"/>
          </w:tcPr>
          <w:p w14:paraId="0E2F85FD">
            <w:pPr>
              <w:pStyle w:val="33"/>
              <w:rPr>
                <w:color w:val="auto"/>
              </w:rPr>
            </w:pPr>
          </w:p>
        </w:tc>
        <w:tc>
          <w:tcPr>
            <w:tcW w:w="709" w:type="dxa"/>
            <w:vAlign w:val="center"/>
          </w:tcPr>
          <w:p w14:paraId="5033FC19">
            <w:pPr>
              <w:pStyle w:val="33"/>
              <w:rPr>
                <w:color w:val="auto"/>
              </w:rPr>
            </w:pPr>
            <w:r>
              <w:rPr>
                <w:color w:val="auto"/>
              </w:rPr>
              <w:t>台</w:t>
            </w:r>
          </w:p>
        </w:tc>
        <w:tc>
          <w:tcPr>
            <w:tcW w:w="992" w:type="dxa"/>
            <w:vAlign w:val="center"/>
          </w:tcPr>
          <w:p w14:paraId="755B25F8">
            <w:pPr>
              <w:pStyle w:val="33"/>
              <w:rPr>
                <w:color w:val="auto"/>
              </w:rPr>
            </w:pPr>
            <w:r>
              <w:rPr>
                <w:color w:val="auto"/>
              </w:rPr>
              <w:t>1</w:t>
            </w:r>
          </w:p>
        </w:tc>
        <w:tc>
          <w:tcPr>
            <w:tcW w:w="850" w:type="dxa"/>
            <w:vAlign w:val="center"/>
          </w:tcPr>
          <w:p w14:paraId="44CC8198">
            <w:pPr>
              <w:pStyle w:val="33"/>
              <w:rPr>
                <w:color w:val="auto"/>
              </w:rPr>
            </w:pPr>
          </w:p>
        </w:tc>
      </w:tr>
      <w:tr w14:paraId="35E6A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545" w:type="dxa"/>
            <w:vAlign w:val="center"/>
          </w:tcPr>
          <w:p w14:paraId="2BE42EB0">
            <w:pPr>
              <w:pStyle w:val="33"/>
              <w:rPr>
                <w:color w:val="auto"/>
              </w:rPr>
            </w:pPr>
            <w:r>
              <w:rPr>
                <w:color w:val="auto"/>
              </w:rPr>
              <w:t>16</w:t>
            </w:r>
          </w:p>
        </w:tc>
        <w:tc>
          <w:tcPr>
            <w:tcW w:w="1765" w:type="dxa"/>
            <w:vAlign w:val="center"/>
          </w:tcPr>
          <w:p w14:paraId="6BDFDBEC">
            <w:pPr>
              <w:pStyle w:val="33"/>
              <w:rPr>
                <w:color w:val="auto"/>
              </w:rPr>
            </w:pPr>
            <w:r>
              <w:rPr>
                <w:color w:val="auto"/>
              </w:rPr>
              <w:t>软化处理设备</w:t>
            </w:r>
          </w:p>
        </w:tc>
        <w:tc>
          <w:tcPr>
            <w:tcW w:w="2964" w:type="dxa"/>
            <w:vAlign w:val="center"/>
          </w:tcPr>
          <w:p w14:paraId="0604D03E">
            <w:pPr>
              <w:pStyle w:val="33"/>
              <w:rPr>
                <w:color w:val="auto"/>
              </w:rPr>
            </w:pPr>
            <w:r>
              <w:rPr>
                <w:color w:val="auto"/>
              </w:rPr>
              <w:t>离子交换</w:t>
            </w:r>
          </w:p>
        </w:tc>
        <w:tc>
          <w:tcPr>
            <w:tcW w:w="1134" w:type="dxa"/>
            <w:vAlign w:val="center"/>
          </w:tcPr>
          <w:p w14:paraId="01B59665">
            <w:pPr>
              <w:pStyle w:val="33"/>
              <w:rPr>
                <w:color w:val="auto"/>
              </w:rPr>
            </w:pPr>
          </w:p>
        </w:tc>
        <w:tc>
          <w:tcPr>
            <w:tcW w:w="709" w:type="dxa"/>
            <w:vAlign w:val="center"/>
          </w:tcPr>
          <w:p w14:paraId="2E575930">
            <w:pPr>
              <w:pStyle w:val="33"/>
              <w:rPr>
                <w:color w:val="auto"/>
              </w:rPr>
            </w:pPr>
            <w:r>
              <w:rPr>
                <w:color w:val="auto"/>
              </w:rPr>
              <w:t>套</w:t>
            </w:r>
          </w:p>
        </w:tc>
        <w:tc>
          <w:tcPr>
            <w:tcW w:w="992" w:type="dxa"/>
            <w:vAlign w:val="center"/>
          </w:tcPr>
          <w:p w14:paraId="68055EA1">
            <w:pPr>
              <w:pStyle w:val="33"/>
              <w:rPr>
                <w:color w:val="auto"/>
              </w:rPr>
            </w:pPr>
            <w:r>
              <w:rPr>
                <w:color w:val="auto"/>
              </w:rPr>
              <w:t>1</w:t>
            </w:r>
          </w:p>
        </w:tc>
        <w:tc>
          <w:tcPr>
            <w:tcW w:w="850" w:type="dxa"/>
            <w:vAlign w:val="center"/>
          </w:tcPr>
          <w:p w14:paraId="310C2F50">
            <w:pPr>
              <w:pStyle w:val="33"/>
              <w:rPr>
                <w:color w:val="auto"/>
              </w:rPr>
            </w:pPr>
          </w:p>
        </w:tc>
      </w:tr>
    </w:tbl>
    <w:p w14:paraId="1303CE66">
      <w:pPr>
        <w:ind w:firstLine="480"/>
        <w:rPr>
          <w:rFonts w:hint="eastAsia"/>
          <w:color w:val="auto"/>
        </w:rPr>
      </w:pPr>
    </w:p>
    <w:p w14:paraId="4E64C113">
      <w:pPr>
        <w:ind w:firstLine="480"/>
        <w:rPr>
          <w:color w:val="auto"/>
        </w:rPr>
      </w:pPr>
      <w:r>
        <w:rPr>
          <w:rFonts w:hint="eastAsia"/>
          <w:color w:val="auto"/>
        </w:rPr>
        <w:t>本期新增20000m³/d废水处理站主要建、构筑物详见下表。</w:t>
      </w:r>
    </w:p>
    <w:p w14:paraId="0A4FD823">
      <w:pPr>
        <w:pStyle w:val="7"/>
        <w:rPr>
          <w:color w:val="auto"/>
        </w:rPr>
      </w:pPr>
      <w:r>
        <w:rPr>
          <w:rFonts w:hint="eastAsia"/>
          <w:color w:val="auto"/>
        </w:rPr>
        <w:t>新建污水处理站废水处理主要建、构筑物表</w:t>
      </w:r>
    </w:p>
    <w:tbl>
      <w:tblPr>
        <w:tblStyle w:val="26"/>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813"/>
        <w:gridCol w:w="2329"/>
        <w:gridCol w:w="801"/>
        <w:gridCol w:w="875"/>
        <w:gridCol w:w="2611"/>
      </w:tblGrid>
      <w:tr w14:paraId="65B9E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8" w:type="dxa"/>
            <w:tcMar>
              <w:left w:w="0" w:type="dxa"/>
              <w:right w:w="0" w:type="dxa"/>
            </w:tcMar>
            <w:vAlign w:val="center"/>
          </w:tcPr>
          <w:p w14:paraId="34236F36">
            <w:pPr>
              <w:pStyle w:val="33"/>
              <w:rPr>
                <w:color w:val="auto"/>
              </w:rPr>
            </w:pPr>
            <w:r>
              <w:rPr>
                <w:rFonts w:hint="eastAsia"/>
                <w:color w:val="auto"/>
              </w:rPr>
              <w:t>序号</w:t>
            </w:r>
          </w:p>
        </w:tc>
        <w:tc>
          <w:tcPr>
            <w:tcW w:w="1813" w:type="dxa"/>
            <w:tcMar>
              <w:left w:w="0" w:type="dxa"/>
              <w:right w:w="0" w:type="dxa"/>
            </w:tcMar>
            <w:vAlign w:val="center"/>
          </w:tcPr>
          <w:p w14:paraId="4E6E42CF">
            <w:pPr>
              <w:pStyle w:val="33"/>
              <w:rPr>
                <w:color w:val="auto"/>
              </w:rPr>
            </w:pPr>
            <w:r>
              <w:rPr>
                <w:rFonts w:hint="eastAsia"/>
                <w:color w:val="auto"/>
              </w:rPr>
              <w:t>名称</w:t>
            </w:r>
          </w:p>
        </w:tc>
        <w:tc>
          <w:tcPr>
            <w:tcW w:w="2329" w:type="dxa"/>
            <w:tcMar>
              <w:left w:w="0" w:type="dxa"/>
              <w:right w:w="0" w:type="dxa"/>
            </w:tcMar>
            <w:vAlign w:val="center"/>
          </w:tcPr>
          <w:p w14:paraId="7705D105">
            <w:pPr>
              <w:pStyle w:val="33"/>
              <w:rPr>
                <w:color w:val="auto"/>
              </w:rPr>
            </w:pPr>
            <w:r>
              <w:rPr>
                <w:rFonts w:hint="eastAsia"/>
                <w:color w:val="auto"/>
              </w:rPr>
              <w:t>平面尺寸</w:t>
            </w:r>
          </w:p>
        </w:tc>
        <w:tc>
          <w:tcPr>
            <w:tcW w:w="801" w:type="dxa"/>
            <w:tcMar>
              <w:left w:w="0" w:type="dxa"/>
              <w:right w:w="0" w:type="dxa"/>
            </w:tcMar>
            <w:vAlign w:val="center"/>
          </w:tcPr>
          <w:p w14:paraId="35309425">
            <w:pPr>
              <w:pStyle w:val="33"/>
              <w:rPr>
                <w:color w:val="auto"/>
              </w:rPr>
            </w:pPr>
            <w:r>
              <w:rPr>
                <w:rFonts w:hint="eastAsia"/>
                <w:color w:val="auto"/>
              </w:rPr>
              <w:t>单位</w:t>
            </w:r>
          </w:p>
        </w:tc>
        <w:tc>
          <w:tcPr>
            <w:tcW w:w="875" w:type="dxa"/>
            <w:tcMar>
              <w:left w:w="0" w:type="dxa"/>
              <w:right w:w="0" w:type="dxa"/>
            </w:tcMar>
            <w:vAlign w:val="center"/>
          </w:tcPr>
          <w:p w14:paraId="23B01580">
            <w:pPr>
              <w:pStyle w:val="33"/>
              <w:rPr>
                <w:color w:val="auto"/>
              </w:rPr>
            </w:pPr>
            <w:r>
              <w:rPr>
                <w:rFonts w:hint="eastAsia"/>
                <w:color w:val="auto"/>
              </w:rPr>
              <w:t>数量</w:t>
            </w:r>
          </w:p>
        </w:tc>
        <w:tc>
          <w:tcPr>
            <w:tcW w:w="2611" w:type="dxa"/>
            <w:tcMar>
              <w:left w:w="0" w:type="dxa"/>
              <w:right w:w="0" w:type="dxa"/>
            </w:tcMar>
            <w:vAlign w:val="center"/>
          </w:tcPr>
          <w:p w14:paraId="3535A2F9">
            <w:pPr>
              <w:pStyle w:val="33"/>
              <w:rPr>
                <w:color w:val="auto"/>
              </w:rPr>
            </w:pPr>
            <w:r>
              <w:rPr>
                <w:rFonts w:hint="eastAsia"/>
                <w:color w:val="auto"/>
              </w:rPr>
              <w:t>结构特征</w:t>
            </w:r>
          </w:p>
        </w:tc>
      </w:tr>
      <w:tr w14:paraId="6B58C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38" w:type="dxa"/>
            <w:tcMar>
              <w:left w:w="0" w:type="dxa"/>
              <w:right w:w="0" w:type="dxa"/>
            </w:tcMar>
            <w:vAlign w:val="center"/>
          </w:tcPr>
          <w:p w14:paraId="2883947A">
            <w:pPr>
              <w:pStyle w:val="33"/>
              <w:rPr>
                <w:color w:val="auto"/>
              </w:rPr>
            </w:pPr>
            <w:r>
              <w:rPr>
                <w:rFonts w:hint="eastAsia"/>
                <w:color w:val="auto"/>
              </w:rPr>
              <w:t>1</w:t>
            </w:r>
          </w:p>
        </w:tc>
        <w:tc>
          <w:tcPr>
            <w:tcW w:w="1813" w:type="dxa"/>
            <w:tcMar>
              <w:left w:w="0" w:type="dxa"/>
              <w:right w:w="0" w:type="dxa"/>
            </w:tcMar>
            <w:vAlign w:val="center"/>
          </w:tcPr>
          <w:p w14:paraId="5AE3E110">
            <w:pPr>
              <w:pStyle w:val="33"/>
              <w:rPr>
                <w:color w:val="auto"/>
              </w:rPr>
            </w:pPr>
            <w:r>
              <w:rPr>
                <w:rFonts w:hint="eastAsia"/>
                <w:color w:val="auto"/>
              </w:rPr>
              <w:t>集水池+斜网间</w:t>
            </w:r>
          </w:p>
        </w:tc>
        <w:tc>
          <w:tcPr>
            <w:tcW w:w="2329" w:type="dxa"/>
            <w:tcMar>
              <w:left w:w="0" w:type="dxa"/>
              <w:right w:w="0" w:type="dxa"/>
            </w:tcMar>
            <w:vAlign w:val="center"/>
          </w:tcPr>
          <w:p w14:paraId="733E0D5C">
            <w:pPr>
              <w:pStyle w:val="33"/>
              <w:rPr>
                <w:color w:val="auto"/>
              </w:rPr>
            </w:pPr>
            <w:r>
              <w:rPr>
                <w:rFonts w:hint="eastAsia"/>
                <w:color w:val="auto"/>
              </w:rPr>
              <w:t>40</w:t>
            </w:r>
            <w:r>
              <w:rPr>
                <w:color w:val="auto"/>
              </w:rPr>
              <w:t>m</w:t>
            </w:r>
            <w:r>
              <w:rPr>
                <w:rFonts w:hint="eastAsia"/>
                <w:color w:val="auto"/>
              </w:rPr>
              <w:t>×19</w:t>
            </w:r>
            <w:r>
              <w:rPr>
                <w:color w:val="auto"/>
              </w:rPr>
              <w:t>m</w:t>
            </w:r>
            <w:r>
              <w:rPr>
                <w:rFonts w:hint="eastAsia"/>
                <w:color w:val="auto"/>
              </w:rPr>
              <w:t>×16</w:t>
            </w:r>
            <w:r>
              <w:rPr>
                <w:color w:val="auto"/>
              </w:rPr>
              <w:t>m</w:t>
            </w:r>
          </w:p>
        </w:tc>
        <w:tc>
          <w:tcPr>
            <w:tcW w:w="801" w:type="dxa"/>
            <w:tcMar>
              <w:left w:w="0" w:type="dxa"/>
              <w:right w:w="0" w:type="dxa"/>
            </w:tcMar>
            <w:vAlign w:val="center"/>
          </w:tcPr>
          <w:p w14:paraId="2E936780">
            <w:pPr>
              <w:pStyle w:val="33"/>
              <w:rPr>
                <w:color w:val="auto"/>
              </w:rPr>
            </w:pPr>
            <w:r>
              <w:rPr>
                <w:rFonts w:hint="eastAsia"/>
                <w:color w:val="auto"/>
              </w:rPr>
              <w:t>座</w:t>
            </w:r>
          </w:p>
        </w:tc>
        <w:tc>
          <w:tcPr>
            <w:tcW w:w="875" w:type="dxa"/>
            <w:tcMar>
              <w:left w:w="0" w:type="dxa"/>
              <w:right w:w="0" w:type="dxa"/>
            </w:tcMar>
            <w:vAlign w:val="center"/>
          </w:tcPr>
          <w:p w14:paraId="67F674B0">
            <w:pPr>
              <w:pStyle w:val="33"/>
              <w:rPr>
                <w:color w:val="auto"/>
              </w:rPr>
            </w:pPr>
            <w:r>
              <w:rPr>
                <w:rFonts w:hint="eastAsia"/>
                <w:color w:val="auto"/>
              </w:rPr>
              <w:t>1</w:t>
            </w:r>
          </w:p>
        </w:tc>
        <w:tc>
          <w:tcPr>
            <w:tcW w:w="2611" w:type="dxa"/>
            <w:tcMar>
              <w:left w:w="0" w:type="dxa"/>
              <w:right w:w="0" w:type="dxa"/>
            </w:tcMar>
            <w:vAlign w:val="center"/>
          </w:tcPr>
          <w:p w14:paraId="74E75FF2">
            <w:pPr>
              <w:pStyle w:val="33"/>
              <w:rPr>
                <w:color w:val="auto"/>
              </w:rPr>
            </w:pPr>
            <w:r>
              <w:rPr>
                <w:rFonts w:hint="eastAsia"/>
                <w:color w:val="auto"/>
              </w:rPr>
              <w:t>地下为砼水池，地上为框架结构</w:t>
            </w:r>
          </w:p>
        </w:tc>
      </w:tr>
      <w:tr w14:paraId="63DCB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8" w:type="dxa"/>
            <w:tcMar>
              <w:left w:w="0" w:type="dxa"/>
              <w:right w:w="0" w:type="dxa"/>
            </w:tcMar>
            <w:vAlign w:val="center"/>
          </w:tcPr>
          <w:p w14:paraId="482C1806">
            <w:pPr>
              <w:pStyle w:val="33"/>
              <w:rPr>
                <w:color w:val="auto"/>
              </w:rPr>
            </w:pPr>
            <w:r>
              <w:rPr>
                <w:rFonts w:hint="eastAsia"/>
                <w:color w:val="auto"/>
              </w:rPr>
              <w:t>2</w:t>
            </w:r>
          </w:p>
        </w:tc>
        <w:tc>
          <w:tcPr>
            <w:tcW w:w="1813" w:type="dxa"/>
            <w:tcMar>
              <w:left w:w="0" w:type="dxa"/>
              <w:right w:w="0" w:type="dxa"/>
            </w:tcMar>
            <w:vAlign w:val="center"/>
          </w:tcPr>
          <w:p w14:paraId="5EA27E50">
            <w:pPr>
              <w:pStyle w:val="33"/>
              <w:rPr>
                <w:color w:val="auto"/>
              </w:rPr>
            </w:pPr>
            <w:r>
              <w:rPr>
                <w:rFonts w:hint="eastAsia"/>
                <w:color w:val="auto"/>
              </w:rPr>
              <w:t>初沉池</w:t>
            </w:r>
          </w:p>
        </w:tc>
        <w:tc>
          <w:tcPr>
            <w:tcW w:w="2329" w:type="dxa"/>
            <w:tcMar>
              <w:left w:w="0" w:type="dxa"/>
              <w:right w:w="0" w:type="dxa"/>
            </w:tcMar>
            <w:vAlign w:val="center"/>
          </w:tcPr>
          <w:p w14:paraId="1AD49EA1">
            <w:pPr>
              <w:pStyle w:val="33"/>
              <w:rPr>
                <w:color w:val="auto"/>
              </w:rPr>
            </w:pPr>
            <w:r>
              <w:rPr>
                <w:rFonts w:hint="eastAsia"/>
                <w:color w:val="auto"/>
              </w:rPr>
              <w:t>Φ38</w:t>
            </w:r>
            <w:r>
              <w:rPr>
                <w:color w:val="auto"/>
              </w:rPr>
              <w:t>m</w:t>
            </w:r>
            <w:r>
              <w:rPr>
                <w:rFonts w:hint="eastAsia"/>
                <w:color w:val="auto"/>
              </w:rPr>
              <w:t xml:space="preserve"> </w:t>
            </w:r>
            <w:r>
              <w:rPr>
                <w:color w:val="auto"/>
              </w:rPr>
              <w:t>H=</w:t>
            </w:r>
            <w:r>
              <w:rPr>
                <w:rFonts w:hint="eastAsia"/>
                <w:color w:val="auto"/>
              </w:rPr>
              <w:t>4</w:t>
            </w:r>
            <w:r>
              <w:rPr>
                <w:color w:val="auto"/>
              </w:rPr>
              <w:t>.0m</w:t>
            </w:r>
          </w:p>
        </w:tc>
        <w:tc>
          <w:tcPr>
            <w:tcW w:w="801" w:type="dxa"/>
            <w:tcMar>
              <w:left w:w="0" w:type="dxa"/>
              <w:right w:w="0" w:type="dxa"/>
            </w:tcMar>
            <w:vAlign w:val="center"/>
          </w:tcPr>
          <w:p w14:paraId="69D6389D">
            <w:pPr>
              <w:pStyle w:val="33"/>
              <w:rPr>
                <w:color w:val="auto"/>
              </w:rPr>
            </w:pPr>
            <w:r>
              <w:rPr>
                <w:rFonts w:hint="eastAsia"/>
                <w:color w:val="auto"/>
              </w:rPr>
              <w:t>座</w:t>
            </w:r>
          </w:p>
        </w:tc>
        <w:tc>
          <w:tcPr>
            <w:tcW w:w="875" w:type="dxa"/>
            <w:tcMar>
              <w:left w:w="0" w:type="dxa"/>
              <w:right w:w="0" w:type="dxa"/>
            </w:tcMar>
            <w:vAlign w:val="center"/>
          </w:tcPr>
          <w:p w14:paraId="5A46CCBB">
            <w:pPr>
              <w:pStyle w:val="33"/>
              <w:rPr>
                <w:color w:val="auto"/>
              </w:rPr>
            </w:pPr>
            <w:r>
              <w:rPr>
                <w:rFonts w:hint="eastAsia"/>
                <w:color w:val="auto"/>
              </w:rPr>
              <w:t>1</w:t>
            </w:r>
          </w:p>
        </w:tc>
        <w:tc>
          <w:tcPr>
            <w:tcW w:w="2611" w:type="dxa"/>
            <w:tcMar>
              <w:left w:w="0" w:type="dxa"/>
              <w:right w:w="0" w:type="dxa"/>
            </w:tcMar>
            <w:vAlign w:val="center"/>
          </w:tcPr>
          <w:p w14:paraId="6928F8C6">
            <w:pPr>
              <w:pStyle w:val="33"/>
              <w:rPr>
                <w:color w:val="auto"/>
              </w:rPr>
            </w:pPr>
            <w:r>
              <w:rPr>
                <w:rFonts w:hint="eastAsia"/>
                <w:color w:val="auto"/>
              </w:rPr>
              <w:t>砼水池</w:t>
            </w:r>
          </w:p>
        </w:tc>
      </w:tr>
      <w:tr w14:paraId="58924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249CDDB6">
            <w:pPr>
              <w:pStyle w:val="33"/>
              <w:rPr>
                <w:color w:val="auto"/>
              </w:rPr>
            </w:pPr>
            <w:r>
              <w:rPr>
                <w:rFonts w:hint="eastAsia"/>
                <w:color w:val="auto"/>
              </w:rPr>
              <w:t>3</w:t>
            </w:r>
          </w:p>
        </w:tc>
        <w:tc>
          <w:tcPr>
            <w:tcW w:w="1813" w:type="dxa"/>
            <w:tcMar>
              <w:left w:w="0" w:type="dxa"/>
              <w:right w:w="0" w:type="dxa"/>
            </w:tcMar>
            <w:vAlign w:val="center"/>
          </w:tcPr>
          <w:p w14:paraId="30F24E5C">
            <w:pPr>
              <w:pStyle w:val="33"/>
              <w:rPr>
                <w:color w:val="auto"/>
              </w:rPr>
            </w:pPr>
            <w:r>
              <w:rPr>
                <w:rFonts w:hint="eastAsia"/>
                <w:color w:val="auto"/>
              </w:rPr>
              <w:t>曝气池</w:t>
            </w:r>
          </w:p>
        </w:tc>
        <w:tc>
          <w:tcPr>
            <w:tcW w:w="2329" w:type="dxa"/>
            <w:tcMar>
              <w:left w:w="0" w:type="dxa"/>
              <w:right w:w="0" w:type="dxa"/>
            </w:tcMar>
            <w:vAlign w:val="center"/>
          </w:tcPr>
          <w:p w14:paraId="5AB4DE96">
            <w:pPr>
              <w:pStyle w:val="33"/>
              <w:rPr>
                <w:color w:val="auto"/>
              </w:rPr>
            </w:pPr>
            <w:r>
              <w:rPr>
                <w:rFonts w:hint="eastAsia"/>
                <w:color w:val="auto"/>
              </w:rPr>
              <w:t>85m×46m×9m(水深8m)</w:t>
            </w:r>
          </w:p>
        </w:tc>
        <w:tc>
          <w:tcPr>
            <w:tcW w:w="801" w:type="dxa"/>
            <w:tcMar>
              <w:left w:w="0" w:type="dxa"/>
              <w:right w:w="0" w:type="dxa"/>
            </w:tcMar>
            <w:vAlign w:val="center"/>
          </w:tcPr>
          <w:p w14:paraId="67CBFF0D">
            <w:pPr>
              <w:pStyle w:val="33"/>
              <w:rPr>
                <w:color w:val="auto"/>
              </w:rPr>
            </w:pPr>
            <w:r>
              <w:rPr>
                <w:rFonts w:hint="eastAsia"/>
                <w:color w:val="auto"/>
              </w:rPr>
              <w:t>座</w:t>
            </w:r>
          </w:p>
        </w:tc>
        <w:tc>
          <w:tcPr>
            <w:tcW w:w="875" w:type="dxa"/>
            <w:tcMar>
              <w:left w:w="0" w:type="dxa"/>
              <w:right w:w="0" w:type="dxa"/>
            </w:tcMar>
            <w:vAlign w:val="center"/>
          </w:tcPr>
          <w:p w14:paraId="18047868">
            <w:pPr>
              <w:pStyle w:val="33"/>
              <w:rPr>
                <w:color w:val="auto"/>
              </w:rPr>
            </w:pPr>
            <w:r>
              <w:rPr>
                <w:rFonts w:hint="eastAsia"/>
                <w:color w:val="auto"/>
              </w:rPr>
              <w:t>1</w:t>
            </w:r>
          </w:p>
        </w:tc>
        <w:tc>
          <w:tcPr>
            <w:tcW w:w="2611" w:type="dxa"/>
            <w:tcMar>
              <w:left w:w="0" w:type="dxa"/>
              <w:right w:w="0" w:type="dxa"/>
            </w:tcMar>
            <w:vAlign w:val="center"/>
          </w:tcPr>
          <w:p w14:paraId="7E8BE9B8">
            <w:pPr>
              <w:pStyle w:val="33"/>
              <w:rPr>
                <w:color w:val="auto"/>
              </w:rPr>
            </w:pPr>
            <w:r>
              <w:rPr>
                <w:rFonts w:hint="eastAsia"/>
                <w:color w:val="auto"/>
              </w:rPr>
              <w:t>砼水池，停留时间37.5hr</w:t>
            </w:r>
          </w:p>
        </w:tc>
      </w:tr>
      <w:tr w14:paraId="215CF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38" w:type="dxa"/>
            <w:tcMar>
              <w:left w:w="0" w:type="dxa"/>
              <w:right w:w="0" w:type="dxa"/>
            </w:tcMar>
            <w:vAlign w:val="center"/>
          </w:tcPr>
          <w:p w14:paraId="7E48E169">
            <w:pPr>
              <w:pStyle w:val="33"/>
              <w:rPr>
                <w:color w:val="auto"/>
              </w:rPr>
            </w:pPr>
            <w:r>
              <w:rPr>
                <w:rFonts w:hint="eastAsia"/>
                <w:color w:val="auto"/>
              </w:rPr>
              <w:t>4</w:t>
            </w:r>
          </w:p>
        </w:tc>
        <w:tc>
          <w:tcPr>
            <w:tcW w:w="1813" w:type="dxa"/>
            <w:tcMar>
              <w:left w:w="0" w:type="dxa"/>
              <w:right w:w="0" w:type="dxa"/>
            </w:tcMar>
            <w:vAlign w:val="center"/>
          </w:tcPr>
          <w:p w14:paraId="4CFC78AC">
            <w:pPr>
              <w:pStyle w:val="33"/>
              <w:rPr>
                <w:color w:val="auto"/>
              </w:rPr>
            </w:pPr>
            <w:r>
              <w:rPr>
                <w:rFonts w:hint="eastAsia"/>
                <w:color w:val="auto"/>
              </w:rPr>
              <w:t>二沉池</w:t>
            </w:r>
          </w:p>
        </w:tc>
        <w:tc>
          <w:tcPr>
            <w:tcW w:w="2329" w:type="dxa"/>
            <w:tcMar>
              <w:left w:w="0" w:type="dxa"/>
              <w:right w:w="0" w:type="dxa"/>
            </w:tcMar>
            <w:vAlign w:val="center"/>
          </w:tcPr>
          <w:p w14:paraId="0CAE3E52">
            <w:pPr>
              <w:pStyle w:val="33"/>
              <w:rPr>
                <w:color w:val="auto"/>
              </w:rPr>
            </w:pPr>
            <w:r>
              <w:rPr>
                <w:rFonts w:hint="eastAsia"/>
                <w:color w:val="auto"/>
              </w:rPr>
              <w:t>Φ46</w:t>
            </w:r>
            <w:r>
              <w:rPr>
                <w:color w:val="auto"/>
              </w:rPr>
              <w:t>m</w:t>
            </w:r>
            <w:r>
              <w:rPr>
                <w:rFonts w:hint="eastAsia"/>
                <w:color w:val="auto"/>
              </w:rPr>
              <w:t xml:space="preserve"> </w:t>
            </w:r>
            <w:r>
              <w:rPr>
                <w:color w:val="auto"/>
              </w:rPr>
              <w:t>H=</w:t>
            </w:r>
            <w:r>
              <w:rPr>
                <w:rFonts w:hint="eastAsia"/>
                <w:color w:val="auto"/>
              </w:rPr>
              <w:t>4</w:t>
            </w:r>
            <w:r>
              <w:rPr>
                <w:color w:val="auto"/>
              </w:rPr>
              <w:t>.</w:t>
            </w:r>
            <w:r>
              <w:rPr>
                <w:rFonts w:hint="eastAsia"/>
                <w:color w:val="auto"/>
              </w:rPr>
              <w:t>0</w:t>
            </w:r>
            <w:r>
              <w:rPr>
                <w:color w:val="auto"/>
              </w:rPr>
              <w:t>m</w:t>
            </w:r>
          </w:p>
        </w:tc>
        <w:tc>
          <w:tcPr>
            <w:tcW w:w="801" w:type="dxa"/>
            <w:tcMar>
              <w:left w:w="0" w:type="dxa"/>
              <w:right w:w="0" w:type="dxa"/>
            </w:tcMar>
            <w:vAlign w:val="center"/>
          </w:tcPr>
          <w:p w14:paraId="13998F7B">
            <w:pPr>
              <w:pStyle w:val="33"/>
              <w:rPr>
                <w:color w:val="auto"/>
              </w:rPr>
            </w:pPr>
            <w:r>
              <w:rPr>
                <w:rFonts w:hint="eastAsia"/>
                <w:color w:val="auto"/>
              </w:rPr>
              <w:t>座</w:t>
            </w:r>
          </w:p>
        </w:tc>
        <w:tc>
          <w:tcPr>
            <w:tcW w:w="875" w:type="dxa"/>
            <w:tcMar>
              <w:left w:w="0" w:type="dxa"/>
              <w:right w:w="0" w:type="dxa"/>
            </w:tcMar>
            <w:vAlign w:val="center"/>
          </w:tcPr>
          <w:p w14:paraId="0522244C">
            <w:pPr>
              <w:pStyle w:val="33"/>
              <w:rPr>
                <w:color w:val="auto"/>
              </w:rPr>
            </w:pPr>
            <w:r>
              <w:rPr>
                <w:rFonts w:hint="eastAsia"/>
                <w:color w:val="auto"/>
              </w:rPr>
              <w:t>1</w:t>
            </w:r>
          </w:p>
        </w:tc>
        <w:tc>
          <w:tcPr>
            <w:tcW w:w="2611" w:type="dxa"/>
            <w:tcMar>
              <w:left w:w="0" w:type="dxa"/>
              <w:right w:w="0" w:type="dxa"/>
            </w:tcMar>
            <w:vAlign w:val="center"/>
          </w:tcPr>
          <w:p w14:paraId="09D73D72">
            <w:pPr>
              <w:pStyle w:val="33"/>
              <w:rPr>
                <w:color w:val="auto"/>
              </w:rPr>
            </w:pPr>
            <w:r>
              <w:rPr>
                <w:rFonts w:hint="eastAsia"/>
                <w:color w:val="auto"/>
              </w:rPr>
              <w:t>砼水池</w:t>
            </w:r>
          </w:p>
        </w:tc>
      </w:tr>
      <w:tr w14:paraId="20455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0761F65D">
            <w:pPr>
              <w:pStyle w:val="33"/>
              <w:rPr>
                <w:color w:val="auto"/>
              </w:rPr>
            </w:pPr>
            <w:r>
              <w:rPr>
                <w:rFonts w:hint="eastAsia"/>
                <w:color w:val="auto"/>
              </w:rPr>
              <w:t>5</w:t>
            </w:r>
          </w:p>
        </w:tc>
        <w:tc>
          <w:tcPr>
            <w:tcW w:w="1813" w:type="dxa"/>
            <w:tcMar>
              <w:left w:w="0" w:type="dxa"/>
              <w:right w:w="0" w:type="dxa"/>
            </w:tcMar>
            <w:vAlign w:val="center"/>
          </w:tcPr>
          <w:p w14:paraId="543504B5">
            <w:pPr>
              <w:pStyle w:val="33"/>
              <w:rPr>
                <w:color w:val="auto"/>
              </w:rPr>
            </w:pPr>
            <w:r>
              <w:rPr>
                <w:rFonts w:hint="eastAsia"/>
                <w:color w:val="auto"/>
              </w:rPr>
              <w:t>混凝反应池</w:t>
            </w:r>
          </w:p>
        </w:tc>
        <w:tc>
          <w:tcPr>
            <w:tcW w:w="2329" w:type="dxa"/>
            <w:tcMar>
              <w:left w:w="0" w:type="dxa"/>
              <w:right w:w="0" w:type="dxa"/>
            </w:tcMar>
            <w:vAlign w:val="center"/>
          </w:tcPr>
          <w:p w14:paraId="11027311">
            <w:pPr>
              <w:pStyle w:val="33"/>
              <w:rPr>
                <w:color w:val="auto"/>
              </w:rPr>
            </w:pPr>
            <w:r>
              <w:rPr>
                <w:rFonts w:hint="eastAsia"/>
                <w:color w:val="auto"/>
              </w:rPr>
              <w:t>14×4.5×4.8m</w:t>
            </w:r>
          </w:p>
        </w:tc>
        <w:tc>
          <w:tcPr>
            <w:tcW w:w="801" w:type="dxa"/>
            <w:tcMar>
              <w:left w:w="0" w:type="dxa"/>
              <w:right w:w="0" w:type="dxa"/>
            </w:tcMar>
            <w:vAlign w:val="center"/>
          </w:tcPr>
          <w:p w14:paraId="26050874">
            <w:pPr>
              <w:pStyle w:val="33"/>
              <w:rPr>
                <w:color w:val="auto"/>
              </w:rPr>
            </w:pPr>
            <w:r>
              <w:rPr>
                <w:rFonts w:hint="eastAsia"/>
                <w:color w:val="auto"/>
              </w:rPr>
              <w:t>座</w:t>
            </w:r>
          </w:p>
        </w:tc>
        <w:tc>
          <w:tcPr>
            <w:tcW w:w="875" w:type="dxa"/>
            <w:tcMar>
              <w:left w:w="0" w:type="dxa"/>
              <w:right w:w="0" w:type="dxa"/>
            </w:tcMar>
            <w:vAlign w:val="center"/>
          </w:tcPr>
          <w:p w14:paraId="2A22033D">
            <w:pPr>
              <w:pStyle w:val="33"/>
              <w:rPr>
                <w:color w:val="auto"/>
              </w:rPr>
            </w:pPr>
            <w:r>
              <w:rPr>
                <w:rFonts w:hint="eastAsia"/>
                <w:color w:val="auto"/>
              </w:rPr>
              <w:t>1</w:t>
            </w:r>
          </w:p>
        </w:tc>
        <w:tc>
          <w:tcPr>
            <w:tcW w:w="2611" w:type="dxa"/>
            <w:tcMar>
              <w:left w:w="0" w:type="dxa"/>
              <w:right w:w="0" w:type="dxa"/>
            </w:tcMar>
            <w:vAlign w:val="center"/>
          </w:tcPr>
          <w:p w14:paraId="75E2FE5E">
            <w:pPr>
              <w:pStyle w:val="33"/>
              <w:rPr>
                <w:color w:val="auto"/>
              </w:rPr>
            </w:pPr>
            <w:r>
              <w:rPr>
                <w:rFonts w:hint="eastAsia"/>
                <w:color w:val="auto"/>
              </w:rPr>
              <w:t>砼水池</w:t>
            </w:r>
          </w:p>
        </w:tc>
      </w:tr>
      <w:tr w14:paraId="3E483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1F901EE5">
            <w:pPr>
              <w:pStyle w:val="33"/>
              <w:rPr>
                <w:color w:val="auto"/>
              </w:rPr>
            </w:pPr>
            <w:r>
              <w:rPr>
                <w:rFonts w:hint="eastAsia"/>
                <w:color w:val="auto"/>
              </w:rPr>
              <w:t>6</w:t>
            </w:r>
          </w:p>
        </w:tc>
        <w:tc>
          <w:tcPr>
            <w:tcW w:w="1813" w:type="dxa"/>
            <w:tcMar>
              <w:left w:w="0" w:type="dxa"/>
              <w:right w:w="0" w:type="dxa"/>
            </w:tcMar>
            <w:vAlign w:val="center"/>
          </w:tcPr>
          <w:p w14:paraId="76FE075D">
            <w:pPr>
              <w:pStyle w:val="33"/>
              <w:rPr>
                <w:color w:val="auto"/>
              </w:rPr>
            </w:pPr>
            <w:r>
              <w:rPr>
                <w:rFonts w:hint="eastAsia"/>
                <w:color w:val="auto"/>
              </w:rPr>
              <w:t>终沉池</w:t>
            </w:r>
          </w:p>
        </w:tc>
        <w:tc>
          <w:tcPr>
            <w:tcW w:w="2329" w:type="dxa"/>
            <w:tcMar>
              <w:left w:w="0" w:type="dxa"/>
              <w:right w:w="0" w:type="dxa"/>
            </w:tcMar>
            <w:vAlign w:val="center"/>
          </w:tcPr>
          <w:p w14:paraId="0A6D6244">
            <w:pPr>
              <w:pStyle w:val="33"/>
              <w:rPr>
                <w:color w:val="auto"/>
              </w:rPr>
            </w:pPr>
            <w:r>
              <w:rPr>
                <w:rFonts w:hint="eastAsia"/>
                <w:color w:val="auto"/>
              </w:rPr>
              <w:t>Φ38</w:t>
            </w:r>
            <w:r>
              <w:rPr>
                <w:color w:val="auto"/>
              </w:rPr>
              <w:t>m</w:t>
            </w:r>
            <w:r>
              <w:rPr>
                <w:rFonts w:hint="eastAsia"/>
                <w:color w:val="auto"/>
              </w:rPr>
              <w:t xml:space="preserve"> </w:t>
            </w:r>
            <w:r>
              <w:rPr>
                <w:color w:val="auto"/>
              </w:rPr>
              <w:t>H=</w:t>
            </w:r>
            <w:r>
              <w:rPr>
                <w:rFonts w:hint="eastAsia"/>
                <w:color w:val="auto"/>
              </w:rPr>
              <w:t>4</w:t>
            </w:r>
            <w:r>
              <w:rPr>
                <w:color w:val="auto"/>
              </w:rPr>
              <w:t>.0m</w:t>
            </w:r>
          </w:p>
        </w:tc>
        <w:tc>
          <w:tcPr>
            <w:tcW w:w="801" w:type="dxa"/>
            <w:tcMar>
              <w:left w:w="0" w:type="dxa"/>
              <w:right w:w="0" w:type="dxa"/>
            </w:tcMar>
            <w:vAlign w:val="center"/>
          </w:tcPr>
          <w:p w14:paraId="215F7856">
            <w:pPr>
              <w:pStyle w:val="33"/>
              <w:rPr>
                <w:color w:val="auto"/>
              </w:rPr>
            </w:pPr>
            <w:r>
              <w:rPr>
                <w:rFonts w:hint="eastAsia"/>
                <w:color w:val="auto"/>
              </w:rPr>
              <w:t>座</w:t>
            </w:r>
          </w:p>
        </w:tc>
        <w:tc>
          <w:tcPr>
            <w:tcW w:w="875" w:type="dxa"/>
            <w:tcMar>
              <w:left w:w="0" w:type="dxa"/>
              <w:right w:w="0" w:type="dxa"/>
            </w:tcMar>
            <w:vAlign w:val="center"/>
          </w:tcPr>
          <w:p w14:paraId="66984678">
            <w:pPr>
              <w:pStyle w:val="33"/>
              <w:rPr>
                <w:color w:val="auto"/>
              </w:rPr>
            </w:pPr>
            <w:r>
              <w:rPr>
                <w:rFonts w:hint="eastAsia"/>
                <w:color w:val="auto"/>
              </w:rPr>
              <w:t>1</w:t>
            </w:r>
          </w:p>
        </w:tc>
        <w:tc>
          <w:tcPr>
            <w:tcW w:w="2611" w:type="dxa"/>
            <w:tcMar>
              <w:left w:w="0" w:type="dxa"/>
              <w:right w:w="0" w:type="dxa"/>
            </w:tcMar>
            <w:vAlign w:val="center"/>
          </w:tcPr>
          <w:p w14:paraId="7AD45184">
            <w:pPr>
              <w:pStyle w:val="33"/>
              <w:rPr>
                <w:color w:val="auto"/>
              </w:rPr>
            </w:pPr>
            <w:r>
              <w:rPr>
                <w:color w:val="auto"/>
              </w:rPr>
              <w:t>砼</w:t>
            </w:r>
            <w:r>
              <w:rPr>
                <w:rFonts w:hint="eastAsia"/>
                <w:color w:val="auto"/>
              </w:rPr>
              <w:t>水池</w:t>
            </w:r>
          </w:p>
        </w:tc>
      </w:tr>
      <w:tr w14:paraId="10A9C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72CD359E">
            <w:pPr>
              <w:pStyle w:val="33"/>
              <w:rPr>
                <w:color w:val="auto"/>
              </w:rPr>
            </w:pPr>
            <w:r>
              <w:rPr>
                <w:rFonts w:hint="eastAsia"/>
                <w:color w:val="auto"/>
              </w:rPr>
              <w:t>7</w:t>
            </w:r>
          </w:p>
        </w:tc>
        <w:tc>
          <w:tcPr>
            <w:tcW w:w="1813" w:type="dxa"/>
            <w:tcMar>
              <w:left w:w="0" w:type="dxa"/>
              <w:right w:w="0" w:type="dxa"/>
            </w:tcMar>
            <w:vAlign w:val="center"/>
          </w:tcPr>
          <w:p w14:paraId="458EEAA1">
            <w:pPr>
              <w:pStyle w:val="33"/>
              <w:rPr>
                <w:color w:val="auto"/>
              </w:rPr>
            </w:pPr>
            <w:r>
              <w:rPr>
                <w:rFonts w:hint="eastAsia"/>
                <w:color w:val="auto"/>
              </w:rPr>
              <w:t>事故池</w:t>
            </w:r>
          </w:p>
        </w:tc>
        <w:tc>
          <w:tcPr>
            <w:tcW w:w="2329" w:type="dxa"/>
            <w:tcMar>
              <w:left w:w="0" w:type="dxa"/>
              <w:right w:w="0" w:type="dxa"/>
            </w:tcMar>
            <w:vAlign w:val="center"/>
          </w:tcPr>
          <w:p w14:paraId="16CC02A0">
            <w:pPr>
              <w:pStyle w:val="33"/>
              <w:rPr>
                <w:color w:val="auto"/>
              </w:rPr>
            </w:pPr>
            <w:r>
              <w:rPr>
                <w:rFonts w:hint="eastAsia"/>
                <w:color w:val="auto"/>
              </w:rPr>
              <w:t>40×28×6.5(水深6m)</w:t>
            </w:r>
          </w:p>
        </w:tc>
        <w:tc>
          <w:tcPr>
            <w:tcW w:w="801" w:type="dxa"/>
            <w:tcMar>
              <w:left w:w="0" w:type="dxa"/>
              <w:right w:w="0" w:type="dxa"/>
            </w:tcMar>
            <w:vAlign w:val="center"/>
          </w:tcPr>
          <w:p w14:paraId="2B8D6953">
            <w:pPr>
              <w:pStyle w:val="33"/>
              <w:rPr>
                <w:color w:val="auto"/>
                <w:lang w:eastAsia="en-US"/>
              </w:rPr>
            </w:pPr>
            <w:r>
              <w:rPr>
                <w:rFonts w:hint="eastAsia"/>
                <w:color w:val="auto"/>
              </w:rPr>
              <w:t>座</w:t>
            </w:r>
          </w:p>
        </w:tc>
        <w:tc>
          <w:tcPr>
            <w:tcW w:w="875" w:type="dxa"/>
            <w:tcMar>
              <w:left w:w="0" w:type="dxa"/>
              <w:right w:w="0" w:type="dxa"/>
            </w:tcMar>
            <w:vAlign w:val="center"/>
          </w:tcPr>
          <w:p w14:paraId="6B0E6DA4">
            <w:pPr>
              <w:pStyle w:val="33"/>
              <w:rPr>
                <w:color w:val="auto"/>
              </w:rPr>
            </w:pPr>
            <w:r>
              <w:rPr>
                <w:rFonts w:hint="eastAsia"/>
                <w:color w:val="auto"/>
              </w:rPr>
              <w:t>1</w:t>
            </w:r>
          </w:p>
        </w:tc>
        <w:tc>
          <w:tcPr>
            <w:tcW w:w="2611" w:type="dxa"/>
            <w:tcMar>
              <w:left w:w="0" w:type="dxa"/>
              <w:right w:w="0" w:type="dxa"/>
            </w:tcMar>
            <w:vAlign w:val="center"/>
          </w:tcPr>
          <w:p w14:paraId="23911A46">
            <w:pPr>
              <w:pStyle w:val="33"/>
              <w:rPr>
                <w:color w:val="auto"/>
                <w:lang w:eastAsia="en-US"/>
              </w:rPr>
            </w:pPr>
            <w:r>
              <w:rPr>
                <w:rFonts w:hint="eastAsia"/>
                <w:color w:val="auto"/>
              </w:rPr>
              <w:t>砼水池</w:t>
            </w:r>
          </w:p>
        </w:tc>
      </w:tr>
      <w:tr w14:paraId="1206F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5C2832E9">
            <w:pPr>
              <w:pStyle w:val="33"/>
              <w:rPr>
                <w:color w:val="auto"/>
              </w:rPr>
            </w:pPr>
            <w:r>
              <w:rPr>
                <w:rFonts w:hint="eastAsia"/>
                <w:color w:val="auto"/>
              </w:rPr>
              <w:t>8</w:t>
            </w:r>
          </w:p>
        </w:tc>
        <w:tc>
          <w:tcPr>
            <w:tcW w:w="1813" w:type="dxa"/>
            <w:tcMar>
              <w:left w:w="0" w:type="dxa"/>
              <w:right w:w="0" w:type="dxa"/>
            </w:tcMar>
            <w:vAlign w:val="center"/>
          </w:tcPr>
          <w:p w14:paraId="0D35F96D">
            <w:pPr>
              <w:pStyle w:val="33"/>
              <w:rPr>
                <w:color w:val="auto"/>
              </w:rPr>
            </w:pPr>
            <w:r>
              <w:rPr>
                <w:rFonts w:hint="eastAsia"/>
                <w:color w:val="auto"/>
              </w:rPr>
              <w:t>鼓风机房</w:t>
            </w:r>
          </w:p>
        </w:tc>
        <w:tc>
          <w:tcPr>
            <w:tcW w:w="2329" w:type="dxa"/>
            <w:tcMar>
              <w:left w:w="0" w:type="dxa"/>
              <w:right w:w="0" w:type="dxa"/>
            </w:tcMar>
            <w:vAlign w:val="center"/>
          </w:tcPr>
          <w:p w14:paraId="6AAE89D6">
            <w:pPr>
              <w:pStyle w:val="33"/>
              <w:rPr>
                <w:color w:val="auto"/>
              </w:rPr>
            </w:pPr>
            <w:r>
              <w:rPr>
                <w:rFonts w:hint="eastAsia"/>
                <w:color w:val="auto"/>
              </w:rPr>
              <w:t>41×10.5×8</w:t>
            </w:r>
          </w:p>
        </w:tc>
        <w:tc>
          <w:tcPr>
            <w:tcW w:w="801" w:type="dxa"/>
            <w:tcMar>
              <w:left w:w="0" w:type="dxa"/>
              <w:right w:w="0" w:type="dxa"/>
            </w:tcMar>
            <w:vAlign w:val="center"/>
          </w:tcPr>
          <w:p w14:paraId="44EABC45">
            <w:pPr>
              <w:pStyle w:val="33"/>
              <w:rPr>
                <w:color w:val="auto"/>
                <w:lang w:eastAsia="en-US"/>
              </w:rPr>
            </w:pPr>
            <w:r>
              <w:rPr>
                <w:rFonts w:hint="eastAsia"/>
                <w:color w:val="auto"/>
              </w:rPr>
              <w:t>座</w:t>
            </w:r>
          </w:p>
        </w:tc>
        <w:tc>
          <w:tcPr>
            <w:tcW w:w="875" w:type="dxa"/>
            <w:tcMar>
              <w:left w:w="0" w:type="dxa"/>
              <w:right w:w="0" w:type="dxa"/>
            </w:tcMar>
            <w:vAlign w:val="center"/>
          </w:tcPr>
          <w:p w14:paraId="7C45819F">
            <w:pPr>
              <w:pStyle w:val="33"/>
              <w:rPr>
                <w:color w:val="auto"/>
              </w:rPr>
            </w:pPr>
            <w:r>
              <w:rPr>
                <w:rFonts w:hint="eastAsia"/>
                <w:color w:val="auto"/>
              </w:rPr>
              <w:t>1</w:t>
            </w:r>
          </w:p>
        </w:tc>
        <w:tc>
          <w:tcPr>
            <w:tcW w:w="2611" w:type="dxa"/>
            <w:tcMar>
              <w:left w:w="0" w:type="dxa"/>
              <w:right w:w="0" w:type="dxa"/>
            </w:tcMar>
            <w:vAlign w:val="center"/>
          </w:tcPr>
          <w:p w14:paraId="118AB9CF">
            <w:pPr>
              <w:pStyle w:val="33"/>
              <w:rPr>
                <w:color w:val="auto"/>
              </w:rPr>
            </w:pPr>
            <w:r>
              <w:rPr>
                <w:rFonts w:hint="eastAsia"/>
                <w:color w:val="auto"/>
              </w:rPr>
              <w:t>单层，框架结构</w:t>
            </w:r>
          </w:p>
        </w:tc>
      </w:tr>
    </w:tbl>
    <w:p w14:paraId="302088C7">
      <w:pPr>
        <w:ind w:firstLine="480"/>
        <w:rPr>
          <w:color w:val="auto"/>
        </w:rPr>
      </w:pPr>
    </w:p>
    <w:p w14:paraId="6B2C0A3D">
      <w:pPr>
        <w:pStyle w:val="7"/>
        <w:rPr>
          <w:color w:val="auto"/>
        </w:rPr>
      </w:pPr>
      <w:r>
        <w:rPr>
          <w:rFonts w:hint="eastAsia"/>
          <w:color w:val="auto"/>
        </w:rPr>
        <w:t>新建污水处理站污水处理站</w:t>
      </w:r>
      <w:r>
        <w:rPr>
          <w:color w:val="auto"/>
        </w:rPr>
        <w:t>物料消耗</w:t>
      </w:r>
    </w:p>
    <w:tbl>
      <w:tblPr>
        <w:tblStyle w:val="26"/>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2299"/>
        <w:gridCol w:w="1559"/>
        <w:gridCol w:w="1985"/>
        <w:gridCol w:w="2521"/>
      </w:tblGrid>
      <w:tr w14:paraId="17B53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blHeader/>
          <w:jc w:val="center"/>
        </w:trPr>
        <w:tc>
          <w:tcPr>
            <w:tcW w:w="703" w:type="dxa"/>
            <w:vMerge w:val="restart"/>
            <w:vAlign w:val="center"/>
          </w:tcPr>
          <w:p w14:paraId="1391BF19">
            <w:pPr>
              <w:pStyle w:val="33"/>
              <w:rPr>
                <w:color w:val="auto"/>
              </w:rPr>
            </w:pPr>
            <w:r>
              <w:rPr>
                <w:color w:val="auto"/>
              </w:rPr>
              <w:t>序号</w:t>
            </w:r>
          </w:p>
        </w:tc>
        <w:tc>
          <w:tcPr>
            <w:tcW w:w="2299" w:type="dxa"/>
            <w:vMerge w:val="restart"/>
            <w:vAlign w:val="center"/>
          </w:tcPr>
          <w:p w14:paraId="595CDC26">
            <w:pPr>
              <w:pStyle w:val="33"/>
              <w:rPr>
                <w:color w:val="auto"/>
              </w:rPr>
            </w:pPr>
            <w:r>
              <w:rPr>
                <w:color w:val="auto"/>
              </w:rPr>
              <w:t>项目</w:t>
            </w:r>
          </w:p>
        </w:tc>
        <w:tc>
          <w:tcPr>
            <w:tcW w:w="1559" w:type="dxa"/>
            <w:vMerge w:val="restart"/>
            <w:vAlign w:val="center"/>
          </w:tcPr>
          <w:p w14:paraId="5A76953D">
            <w:pPr>
              <w:pStyle w:val="33"/>
              <w:rPr>
                <w:color w:val="auto"/>
              </w:rPr>
            </w:pPr>
            <w:r>
              <w:rPr>
                <w:color w:val="auto"/>
              </w:rPr>
              <w:t>单位</w:t>
            </w:r>
          </w:p>
        </w:tc>
        <w:tc>
          <w:tcPr>
            <w:tcW w:w="1985" w:type="dxa"/>
            <w:vMerge w:val="restart"/>
            <w:vAlign w:val="center"/>
          </w:tcPr>
          <w:p w14:paraId="12483388">
            <w:pPr>
              <w:pStyle w:val="33"/>
              <w:rPr>
                <w:color w:val="auto"/>
              </w:rPr>
            </w:pPr>
            <w:r>
              <w:rPr>
                <w:color w:val="auto"/>
              </w:rPr>
              <w:t>年耗指标</w:t>
            </w:r>
          </w:p>
        </w:tc>
        <w:tc>
          <w:tcPr>
            <w:tcW w:w="2521" w:type="dxa"/>
            <w:vMerge w:val="restart"/>
            <w:vAlign w:val="center"/>
          </w:tcPr>
          <w:p w14:paraId="76EDB13C">
            <w:pPr>
              <w:pStyle w:val="33"/>
              <w:rPr>
                <w:color w:val="auto"/>
              </w:rPr>
            </w:pPr>
            <w:r>
              <w:rPr>
                <w:color w:val="auto"/>
              </w:rPr>
              <w:t>备注</w:t>
            </w:r>
          </w:p>
        </w:tc>
      </w:tr>
      <w:tr w14:paraId="6A627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blHeader/>
          <w:jc w:val="center"/>
        </w:trPr>
        <w:tc>
          <w:tcPr>
            <w:tcW w:w="703" w:type="dxa"/>
            <w:vMerge w:val="continue"/>
            <w:tcBorders>
              <w:bottom w:val="single" w:color="auto" w:sz="4" w:space="0"/>
            </w:tcBorders>
            <w:vAlign w:val="center"/>
          </w:tcPr>
          <w:p w14:paraId="1E7BAE3C">
            <w:pPr>
              <w:pStyle w:val="33"/>
              <w:rPr>
                <w:color w:val="auto"/>
                <w:szCs w:val="21"/>
              </w:rPr>
            </w:pPr>
          </w:p>
        </w:tc>
        <w:tc>
          <w:tcPr>
            <w:tcW w:w="2299" w:type="dxa"/>
            <w:vMerge w:val="continue"/>
            <w:tcBorders>
              <w:bottom w:val="single" w:color="auto" w:sz="4" w:space="0"/>
            </w:tcBorders>
            <w:vAlign w:val="center"/>
          </w:tcPr>
          <w:p w14:paraId="09D800AD">
            <w:pPr>
              <w:pStyle w:val="33"/>
              <w:rPr>
                <w:color w:val="auto"/>
                <w:szCs w:val="21"/>
              </w:rPr>
            </w:pPr>
          </w:p>
        </w:tc>
        <w:tc>
          <w:tcPr>
            <w:tcW w:w="1559" w:type="dxa"/>
            <w:vMerge w:val="continue"/>
            <w:tcBorders>
              <w:bottom w:val="single" w:color="auto" w:sz="4" w:space="0"/>
            </w:tcBorders>
            <w:vAlign w:val="center"/>
          </w:tcPr>
          <w:p w14:paraId="3E9EAE43">
            <w:pPr>
              <w:pStyle w:val="33"/>
              <w:rPr>
                <w:color w:val="auto"/>
                <w:szCs w:val="21"/>
              </w:rPr>
            </w:pPr>
          </w:p>
        </w:tc>
        <w:tc>
          <w:tcPr>
            <w:tcW w:w="1985" w:type="dxa"/>
            <w:vMerge w:val="continue"/>
            <w:tcBorders>
              <w:bottom w:val="single" w:color="auto" w:sz="4" w:space="0"/>
            </w:tcBorders>
            <w:vAlign w:val="center"/>
          </w:tcPr>
          <w:p w14:paraId="689009C4">
            <w:pPr>
              <w:pStyle w:val="33"/>
              <w:rPr>
                <w:color w:val="auto"/>
                <w:szCs w:val="21"/>
              </w:rPr>
            </w:pPr>
          </w:p>
        </w:tc>
        <w:tc>
          <w:tcPr>
            <w:tcW w:w="2521" w:type="dxa"/>
            <w:vMerge w:val="continue"/>
            <w:tcBorders>
              <w:bottom w:val="single" w:color="auto" w:sz="4" w:space="0"/>
            </w:tcBorders>
            <w:vAlign w:val="center"/>
          </w:tcPr>
          <w:p w14:paraId="78D3A4B4">
            <w:pPr>
              <w:pStyle w:val="33"/>
              <w:rPr>
                <w:color w:val="auto"/>
                <w:szCs w:val="21"/>
              </w:rPr>
            </w:pPr>
          </w:p>
        </w:tc>
      </w:tr>
      <w:tr w14:paraId="1A5A6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jc w:val="center"/>
        </w:trPr>
        <w:tc>
          <w:tcPr>
            <w:tcW w:w="703" w:type="dxa"/>
            <w:tcBorders>
              <w:bottom w:val="single" w:color="auto" w:sz="4" w:space="0"/>
            </w:tcBorders>
            <w:vAlign w:val="center"/>
          </w:tcPr>
          <w:p w14:paraId="5F13123E">
            <w:pPr>
              <w:pStyle w:val="33"/>
              <w:rPr>
                <w:color w:val="auto"/>
                <w:szCs w:val="21"/>
              </w:rPr>
            </w:pPr>
            <w:r>
              <w:rPr>
                <w:rFonts w:hint="eastAsia"/>
                <w:color w:val="auto"/>
                <w:szCs w:val="21"/>
              </w:rPr>
              <w:t>1</w:t>
            </w:r>
          </w:p>
        </w:tc>
        <w:tc>
          <w:tcPr>
            <w:tcW w:w="2299" w:type="dxa"/>
            <w:tcBorders>
              <w:bottom w:val="single" w:color="auto" w:sz="4" w:space="0"/>
            </w:tcBorders>
            <w:vAlign w:val="center"/>
          </w:tcPr>
          <w:p w14:paraId="79AFB22E">
            <w:pPr>
              <w:pStyle w:val="33"/>
              <w:rPr>
                <w:color w:val="auto"/>
                <w:szCs w:val="21"/>
              </w:rPr>
            </w:pPr>
            <w:r>
              <w:rPr>
                <w:color w:val="auto"/>
                <w:szCs w:val="21"/>
                <w:lang w:bidi="ar"/>
              </w:rPr>
              <w:t>阴离子PAM</w:t>
            </w:r>
          </w:p>
        </w:tc>
        <w:tc>
          <w:tcPr>
            <w:tcW w:w="1559" w:type="dxa"/>
            <w:tcBorders>
              <w:bottom w:val="single" w:color="auto" w:sz="4" w:space="0"/>
            </w:tcBorders>
            <w:vAlign w:val="center"/>
          </w:tcPr>
          <w:p w14:paraId="645390DC">
            <w:pPr>
              <w:pStyle w:val="33"/>
              <w:rPr>
                <w:color w:val="auto"/>
                <w:szCs w:val="21"/>
              </w:rPr>
            </w:pPr>
            <w:r>
              <w:rPr>
                <w:color w:val="auto"/>
                <w:szCs w:val="21"/>
              </w:rPr>
              <w:t>t</w:t>
            </w:r>
          </w:p>
        </w:tc>
        <w:tc>
          <w:tcPr>
            <w:tcW w:w="1985" w:type="dxa"/>
            <w:tcBorders>
              <w:bottom w:val="single" w:color="auto" w:sz="4" w:space="0"/>
            </w:tcBorders>
            <w:vAlign w:val="center"/>
          </w:tcPr>
          <w:p w14:paraId="74E93564">
            <w:pPr>
              <w:pStyle w:val="33"/>
              <w:rPr>
                <w:color w:val="auto"/>
                <w:szCs w:val="21"/>
              </w:rPr>
            </w:pPr>
            <w:r>
              <w:rPr>
                <w:rFonts w:hint="eastAsia"/>
                <w:color w:val="auto"/>
                <w:szCs w:val="21"/>
              </w:rPr>
              <w:t>73</w:t>
            </w:r>
          </w:p>
        </w:tc>
        <w:tc>
          <w:tcPr>
            <w:tcW w:w="2521" w:type="dxa"/>
            <w:tcBorders>
              <w:bottom w:val="single" w:color="auto" w:sz="4" w:space="0"/>
            </w:tcBorders>
            <w:vAlign w:val="center"/>
          </w:tcPr>
          <w:p w14:paraId="31B225A1">
            <w:pPr>
              <w:pStyle w:val="33"/>
              <w:rPr>
                <w:color w:val="auto"/>
                <w:szCs w:val="21"/>
              </w:rPr>
            </w:pPr>
            <w:r>
              <w:rPr>
                <w:color w:val="auto"/>
                <w:szCs w:val="21"/>
              </w:rPr>
              <w:t>絮凝剂</w:t>
            </w:r>
          </w:p>
        </w:tc>
      </w:tr>
      <w:tr w14:paraId="7203B7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tblHeader/>
          <w:jc w:val="center"/>
        </w:trPr>
        <w:tc>
          <w:tcPr>
            <w:tcW w:w="703" w:type="dxa"/>
            <w:tcBorders>
              <w:bottom w:val="single" w:color="auto" w:sz="4" w:space="0"/>
            </w:tcBorders>
            <w:vAlign w:val="center"/>
          </w:tcPr>
          <w:p w14:paraId="18EE5189">
            <w:pPr>
              <w:pStyle w:val="33"/>
              <w:rPr>
                <w:color w:val="auto"/>
                <w:szCs w:val="21"/>
              </w:rPr>
            </w:pPr>
            <w:r>
              <w:rPr>
                <w:rFonts w:hint="eastAsia"/>
                <w:color w:val="auto"/>
                <w:szCs w:val="21"/>
              </w:rPr>
              <w:t>2</w:t>
            </w:r>
          </w:p>
        </w:tc>
        <w:tc>
          <w:tcPr>
            <w:tcW w:w="2299" w:type="dxa"/>
            <w:tcBorders>
              <w:bottom w:val="single" w:color="auto" w:sz="4" w:space="0"/>
            </w:tcBorders>
            <w:vAlign w:val="center"/>
          </w:tcPr>
          <w:p w14:paraId="09BABE94">
            <w:pPr>
              <w:pStyle w:val="33"/>
              <w:rPr>
                <w:color w:val="auto"/>
                <w:szCs w:val="21"/>
              </w:rPr>
            </w:pPr>
            <w:r>
              <w:rPr>
                <w:color w:val="auto"/>
                <w:szCs w:val="21"/>
                <w:lang w:bidi="ar"/>
              </w:rPr>
              <w:t>阳离子</w:t>
            </w:r>
            <w:r>
              <w:rPr>
                <w:color w:val="auto"/>
                <w:sz w:val="20"/>
                <w:szCs w:val="20"/>
                <w:lang w:bidi="ar"/>
              </w:rPr>
              <w:t>PAM</w:t>
            </w:r>
          </w:p>
        </w:tc>
        <w:tc>
          <w:tcPr>
            <w:tcW w:w="1559" w:type="dxa"/>
            <w:tcBorders>
              <w:bottom w:val="single" w:color="auto" w:sz="4" w:space="0"/>
            </w:tcBorders>
            <w:vAlign w:val="center"/>
          </w:tcPr>
          <w:p w14:paraId="5C2DE405">
            <w:pPr>
              <w:pStyle w:val="33"/>
              <w:rPr>
                <w:color w:val="auto"/>
                <w:szCs w:val="21"/>
              </w:rPr>
            </w:pPr>
            <w:r>
              <w:rPr>
                <w:color w:val="auto"/>
                <w:szCs w:val="21"/>
              </w:rPr>
              <w:t>t</w:t>
            </w:r>
          </w:p>
        </w:tc>
        <w:tc>
          <w:tcPr>
            <w:tcW w:w="1985" w:type="dxa"/>
            <w:tcBorders>
              <w:bottom w:val="single" w:color="auto" w:sz="4" w:space="0"/>
            </w:tcBorders>
            <w:vAlign w:val="center"/>
          </w:tcPr>
          <w:p w14:paraId="67916CC1">
            <w:pPr>
              <w:pStyle w:val="33"/>
              <w:rPr>
                <w:color w:val="auto"/>
                <w:szCs w:val="21"/>
              </w:rPr>
            </w:pPr>
            <w:r>
              <w:rPr>
                <w:rFonts w:hint="eastAsia"/>
                <w:color w:val="auto"/>
                <w:szCs w:val="21"/>
              </w:rPr>
              <w:t>438</w:t>
            </w:r>
          </w:p>
        </w:tc>
        <w:tc>
          <w:tcPr>
            <w:tcW w:w="2521" w:type="dxa"/>
            <w:tcBorders>
              <w:bottom w:val="single" w:color="auto" w:sz="4" w:space="0"/>
            </w:tcBorders>
            <w:vAlign w:val="center"/>
          </w:tcPr>
          <w:p w14:paraId="51061941">
            <w:pPr>
              <w:pStyle w:val="33"/>
              <w:rPr>
                <w:color w:val="auto"/>
                <w:szCs w:val="21"/>
              </w:rPr>
            </w:pPr>
            <w:r>
              <w:rPr>
                <w:color w:val="auto"/>
                <w:szCs w:val="21"/>
              </w:rPr>
              <w:t>絮凝剂</w:t>
            </w:r>
          </w:p>
        </w:tc>
      </w:tr>
      <w:tr w14:paraId="1813B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393DD74">
            <w:pPr>
              <w:pStyle w:val="33"/>
              <w:rPr>
                <w:color w:val="auto"/>
                <w:szCs w:val="21"/>
              </w:rPr>
            </w:pPr>
            <w:r>
              <w:rPr>
                <w:rFonts w:hint="eastAsia"/>
                <w:color w:val="auto"/>
                <w:szCs w:val="21"/>
              </w:rPr>
              <w:t>3</w:t>
            </w:r>
          </w:p>
        </w:tc>
        <w:tc>
          <w:tcPr>
            <w:tcW w:w="2299" w:type="dxa"/>
            <w:vAlign w:val="center"/>
          </w:tcPr>
          <w:p w14:paraId="2AA3546E">
            <w:pPr>
              <w:pStyle w:val="33"/>
              <w:rPr>
                <w:color w:val="auto"/>
                <w:szCs w:val="21"/>
              </w:rPr>
            </w:pPr>
            <w:r>
              <w:rPr>
                <w:color w:val="auto"/>
                <w:szCs w:val="21"/>
                <w:lang w:bidi="ar"/>
              </w:rPr>
              <w:t>PAC(10%)</w:t>
            </w:r>
          </w:p>
        </w:tc>
        <w:tc>
          <w:tcPr>
            <w:tcW w:w="1559" w:type="dxa"/>
            <w:vAlign w:val="center"/>
          </w:tcPr>
          <w:p w14:paraId="56EAB6A8">
            <w:pPr>
              <w:pStyle w:val="33"/>
              <w:rPr>
                <w:color w:val="auto"/>
                <w:szCs w:val="21"/>
              </w:rPr>
            </w:pPr>
            <w:r>
              <w:rPr>
                <w:color w:val="auto"/>
                <w:szCs w:val="21"/>
              </w:rPr>
              <w:t>t</w:t>
            </w:r>
          </w:p>
        </w:tc>
        <w:tc>
          <w:tcPr>
            <w:tcW w:w="1985" w:type="dxa"/>
            <w:vAlign w:val="center"/>
          </w:tcPr>
          <w:p w14:paraId="056E3BCD">
            <w:pPr>
              <w:pStyle w:val="33"/>
              <w:rPr>
                <w:color w:val="auto"/>
                <w:szCs w:val="21"/>
              </w:rPr>
            </w:pPr>
            <w:r>
              <w:rPr>
                <w:rFonts w:hint="eastAsia"/>
                <w:color w:val="auto"/>
                <w:szCs w:val="21"/>
              </w:rPr>
              <w:t>876</w:t>
            </w:r>
          </w:p>
        </w:tc>
        <w:tc>
          <w:tcPr>
            <w:tcW w:w="2521" w:type="dxa"/>
            <w:vAlign w:val="center"/>
          </w:tcPr>
          <w:p w14:paraId="70F8E91B">
            <w:pPr>
              <w:pStyle w:val="33"/>
              <w:rPr>
                <w:color w:val="auto"/>
                <w:szCs w:val="21"/>
              </w:rPr>
            </w:pPr>
            <w:r>
              <w:rPr>
                <w:color w:val="auto"/>
                <w:szCs w:val="21"/>
              </w:rPr>
              <w:t>絮凝剂</w:t>
            </w:r>
          </w:p>
        </w:tc>
      </w:tr>
      <w:tr w14:paraId="01640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3" w:type="dxa"/>
            <w:vAlign w:val="center"/>
          </w:tcPr>
          <w:p w14:paraId="47270A14">
            <w:pPr>
              <w:pStyle w:val="33"/>
              <w:rPr>
                <w:color w:val="auto"/>
                <w:szCs w:val="21"/>
              </w:rPr>
            </w:pPr>
            <w:r>
              <w:rPr>
                <w:rFonts w:hint="eastAsia"/>
                <w:color w:val="auto"/>
                <w:szCs w:val="21"/>
              </w:rPr>
              <w:t>4</w:t>
            </w:r>
          </w:p>
        </w:tc>
        <w:tc>
          <w:tcPr>
            <w:tcW w:w="2299" w:type="dxa"/>
            <w:vAlign w:val="center"/>
          </w:tcPr>
          <w:p w14:paraId="3FBA708A">
            <w:pPr>
              <w:pStyle w:val="33"/>
              <w:rPr>
                <w:color w:val="auto"/>
                <w:szCs w:val="21"/>
              </w:rPr>
            </w:pPr>
            <w:r>
              <w:rPr>
                <w:color w:val="auto"/>
                <w:szCs w:val="21"/>
                <w:lang w:bidi="ar"/>
              </w:rPr>
              <w:t>消泡剂</w:t>
            </w:r>
          </w:p>
        </w:tc>
        <w:tc>
          <w:tcPr>
            <w:tcW w:w="1559" w:type="dxa"/>
            <w:vAlign w:val="center"/>
          </w:tcPr>
          <w:p w14:paraId="6E7C3EB6">
            <w:pPr>
              <w:pStyle w:val="33"/>
              <w:rPr>
                <w:color w:val="auto"/>
                <w:szCs w:val="21"/>
              </w:rPr>
            </w:pPr>
            <w:r>
              <w:rPr>
                <w:color w:val="auto"/>
                <w:szCs w:val="21"/>
              </w:rPr>
              <w:t>t</w:t>
            </w:r>
          </w:p>
        </w:tc>
        <w:tc>
          <w:tcPr>
            <w:tcW w:w="1985" w:type="dxa"/>
            <w:vAlign w:val="center"/>
          </w:tcPr>
          <w:p w14:paraId="2F7ED17E">
            <w:pPr>
              <w:pStyle w:val="33"/>
              <w:rPr>
                <w:color w:val="auto"/>
                <w:szCs w:val="21"/>
              </w:rPr>
            </w:pPr>
            <w:r>
              <w:rPr>
                <w:rFonts w:hint="eastAsia"/>
                <w:color w:val="auto"/>
                <w:szCs w:val="21"/>
              </w:rPr>
              <w:t>73</w:t>
            </w:r>
          </w:p>
        </w:tc>
        <w:tc>
          <w:tcPr>
            <w:tcW w:w="2521" w:type="dxa"/>
            <w:vAlign w:val="center"/>
          </w:tcPr>
          <w:p w14:paraId="2F378E8A">
            <w:pPr>
              <w:pStyle w:val="33"/>
              <w:rPr>
                <w:color w:val="auto"/>
                <w:szCs w:val="21"/>
              </w:rPr>
            </w:pPr>
          </w:p>
        </w:tc>
      </w:tr>
      <w:tr w14:paraId="4CA2A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703" w:type="dxa"/>
            <w:vAlign w:val="center"/>
          </w:tcPr>
          <w:p w14:paraId="766EE731">
            <w:pPr>
              <w:pStyle w:val="33"/>
              <w:rPr>
                <w:color w:val="auto"/>
                <w:szCs w:val="21"/>
              </w:rPr>
            </w:pPr>
            <w:r>
              <w:rPr>
                <w:rFonts w:hint="eastAsia"/>
                <w:color w:val="auto"/>
                <w:szCs w:val="21"/>
              </w:rPr>
              <w:t>5</w:t>
            </w:r>
          </w:p>
        </w:tc>
        <w:tc>
          <w:tcPr>
            <w:tcW w:w="2299" w:type="dxa"/>
            <w:vAlign w:val="center"/>
          </w:tcPr>
          <w:p w14:paraId="17A8281C">
            <w:pPr>
              <w:pStyle w:val="33"/>
              <w:rPr>
                <w:color w:val="auto"/>
                <w:szCs w:val="21"/>
              </w:rPr>
            </w:pPr>
            <w:r>
              <w:rPr>
                <w:color w:val="auto"/>
                <w:szCs w:val="21"/>
                <w:lang w:bidi="ar"/>
              </w:rPr>
              <w:t>尿素</w:t>
            </w:r>
          </w:p>
        </w:tc>
        <w:tc>
          <w:tcPr>
            <w:tcW w:w="1559" w:type="dxa"/>
            <w:vAlign w:val="center"/>
          </w:tcPr>
          <w:p w14:paraId="29176901">
            <w:pPr>
              <w:pStyle w:val="33"/>
              <w:rPr>
                <w:color w:val="auto"/>
                <w:szCs w:val="21"/>
              </w:rPr>
            </w:pPr>
            <w:r>
              <w:rPr>
                <w:color w:val="auto"/>
                <w:szCs w:val="21"/>
              </w:rPr>
              <w:t>t</w:t>
            </w:r>
          </w:p>
        </w:tc>
        <w:tc>
          <w:tcPr>
            <w:tcW w:w="1985" w:type="dxa"/>
            <w:vAlign w:val="center"/>
          </w:tcPr>
          <w:p w14:paraId="02241300">
            <w:pPr>
              <w:pStyle w:val="33"/>
              <w:rPr>
                <w:color w:val="auto"/>
                <w:szCs w:val="21"/>
              </w:rPr>
            </w:pPr>
            <w:r>
              <w:rPr>
                <w:rFonts w:hint="eastAsia"/>
                <w:color w:val="auto"/>
                <w:szCs w:val="21"/>
              </w:rPr>
              <w:t>730</w:t>
            </w:r>
          </w:p>
        </w:tc>
        <w:tc>
          <w:tcPr>
            <w:tcW w:w="2521" w:type="dxa"/>
            <w:vAlign w:val="center"/>
          </w:tcPr>
          <w:p w14:paraId="3CF98CFD">
            <w:pPr>
              <w:pStyle w:val="33"/>
              <w:rPr>
                <w:color w:val="auto"/>
                <w:szCs w:val="21"/>
              </w:rPr>
            </w:pPr>
            <w:r>
              <w:rPr>
                <w:rFonts w:hint="eastAsia"/>
                <w:color w:val="auto"/>
                <w:szCs w:val="21"/>
              </w:rPr>
              <w:t>营养素</w:t>
            </w:r>
          </w:p>
        </w:tc>
      </w:tr>
      <w:tr w14:paraId="33B22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703" w:type="dxa"/>
            <w:vAlign w:val="center"/>
          </w:tcPr>
          <w:p w14:paraId="165E8B59">
            <w:pPr>
              <w:pStyle w:val="33"/>
              <w:rPr>
                <w:color w:val="auto"/>
                <w:szCs w:val="21"/>
              </w:rPr>
            </w:pPr>
            <w:r>
              <w:rPr>
                <w:rFonts w:hint="eastAsia"/>
                <w:color w:val="auto"/>
                <w:szCs w:val="21"/>
              </w:rPr>
              <w:t>6</w:t>
            </w:r>
          </w:p>
        </w:tc>
        <w:tc>
          <w:tcPr>
            <w:tcW w:w="2299" w:type="dxa"/>
            <w:vAlign w:val="center"/>
          </w:tcPr>
          <w:p w14:paraId="4414A3C8">
            <w:pPr>
              <w:pStyle w:val="33"/>
              <w:rPr>
                <w:color w:val="auto"/>
                <w:szCs w:val="21"/>
              </w:rPr>
            </w:pPr>
            <w:r>
              <w:rPr>
                <w:color w:val="auto"/>
                <w:szCs w:val="21"/>
                <w:lang w:bidi="ar"/>
              </w:rPr>
              <w:t>磷酸三钠</w:t>
            </w:r>
          </w:p>
        </w:tc>
        <w:tc>
          <w:tcPr>
            <w:tcW w:w="1559" w:type="dxa"/>
            <w:vAlign w:val="center"/>
          </w:tcPr>
          <w:p w14:paraId="66DC1050">
            <w:pPr>
              <w:pStyle w:val="33"/>
              <w:rPr>
                <w:color w:val="auto"/>
                <w:szCs w:val="21"/>
              </w:rPr>
            </w:pPr>
            <w:r>
              <w:rPr>
                <w:color w:val="auto"/>
                <w:szCs w:val="21"/>
              </w:rPr>
              <w:t>t</w:t>
            </w:r>
          </w:p>
        </w:tc>
        <w:tc>
          <w:tcPr>
            <w:tcW w:w="1985" w:type="dxa"/>
            <w:vAlign w:val="center"/>
          </w:tcPr>
          <w:p w14:paraId="236AB30B">
            <w:pPr>
              <w:pStyle w:val="33"/>
              <w:rPr>
                <w:color w:val="auto"/>
                <w:szCs w:val="21"/>
              </w:rPr>
            </w:pPr>
            <w:r>
              <w:rPr>
                <w:rFonts w:hint="eastAsia"/>
                <w:color w:val="auto"/>
                <w:szCs w:val="21"/>
              </w:rPr>
              <w:t>365</w:t>
            </w:r>
          </w:p>
        </w:tc>
        <w:tc>
          <w:tcPr>
            <w:tcW w:w="2521" w:type="dxa"/>
            <w:vAlign w:val="center"/>
          </w:tcPr>
          <w:p w14:paraId="4F6368A3">
            <w:pPr>
              <w:pStyle w:val="33"/>
              <w:rPr>
                <w:color w:val="auto"/>
                <w:szCs w:val="21"/>
              </w:rPr>
            </w:pPr>
            <w:r>
              <w:rPr>
                <w:rFonts w:hint="eastAsia"/>
                <w:color w:val="auto"/>
                <w:szCs w:val="21"/>
              </w:rPr>
              <w:t>营养素</w:t>
            </w:r>
          </w:p>
        </w:tc>
      </w:tr>
    </w:tbl>
    <w:p w14:paraId="1DB5CC11">
      <w:pPr>
        <w:spacing w:before="120" w:beforeLines="50"/>
        <w:ind w:firstLine="480"/>
        <w:rPr>
          <w:color w:val="auto"/>
        </w:rPr>
      </w:pPr>
      <w:r>
        <w:rPr>
          <w:color w:val="auto"/>
        </w:rPr>
        <w:t>主要原辅料化学品物化性质如下：</w:t>
      </w:r>
    </w:p>
    <w:p w14:paraId="626273B4">
      <w:pPr>
        <w:ind w:firstLine="480"/>
        <w:rPr>
          <w:color w:val="auto"/>
        </w:rPr>
      </w:pPr>
      <w:r>
        <w:rPr>
          <w:rFonts w:hint="eastAsia"/>
          <w:color w:val="auto"/>
        </w:rPr>
        <w:t>1、</w:t>
      </w:r>
      <w:r>
        <w:rPr>
          <w:color w:val="auto"/>
        </w:rPr>
        <w:t>磷酸三钠：分子式Na</w:t>
      </w:r>
      <w:r>
        <w:rPr>
          <w:color w:val="auto"/>
          <w:vertAlign w:val="subscript"/>
        </w:rPr>
        <w:t>3</w:t>
      </w:r>
      <w:r>
        <w:rPr>
          <w:color w:val="auto"/>
        </w:rPr>
        <w:t>PO</w:t>
      </w:r>
      <w:r>
        <w:rPr>
          <w:color w:val="auto"/>
          <w:vertAlign w:val="subscript"/>
        </w:rPr>
        <w:t>4</w:t>
      </w:r>
      <w:r>
        <w:rPr>
          <w:color w:val="auto"/>
        </w:rPr>
        <w:t>，无色晶体，溶于水，不溶于乙醇，不燃，对黏膜有轻度刺激作用。</w:t>
      </w:r>
    </w:p>
    <w:p w14:paraId="75FD9DD3">
      <w:pPr>
        <w:ind w:firstLine="480"/>
        <w:rPr>
          <w:color w:val="auto"/>
        </w:rPr>
      </w:pPr>
      <w:r>
        <w:rPr>
          <w:rFonts w:hint="eastAsia"/>
          <w:color w:val="auto"/>
        </w:rPr>
        <w:t>2、</w:t>
      </w:r>
      <w:r>
        <w:rPr>
          <w:color w:val="auto"/>
        </w:rPr>
        <w:t>尿素：分子式CH</w:t>
      </w:r>
      <w:r>
        <w:rPr>
          <w:rFonts w:hint="eastAsia"/>
          <w:color w:val="auto"/>
          <w:vertAlign w:val="subscript"/>
        </w:rPr>
        <w:t>4</w:t>
      </w:r>
      <w:r>
        <w:rPr>
          <w:color w:val="auto"/>
        </w:rPr>
        <w:t>N</w:t>
      </w:r>
      <w:r>
        <w:rPr>
          <w:rFonts w:hint="eastAsia"/>
          <w:color w:val="auto"/>
          <w:vertAlign w:val="subscript"/>
        </w:rPr>
        <w:t>2</w:t>
      </w:r>
      <w:r>
        <w:rPr>
          <w:color w:val="auto"/>
        </w:rPr>
        <w:t>O（或CO(NH</w:t>
      </w:r>
      <w:r>
        <w:rPr>
          <w:rFonts w:hint="eastAsia"/>
          <w:color w:val="auto"/>
          <w:vertAlign w:val="subscript"/>
        </w:rPr>
        <w:t>2</w:t>
      </w:r>
      <w:r>
        <w:rPr>
          <w:color w:val="auto"/>
        </w:rPr>
        <w:t>)</w:t>
      </w:r>
      <w:r>
        <w:rPr>
          <w:rFonts w:hint="eastAsia"/>
          <w:color w:val="auto"/>
          <w:vertAlign w:val="subscript"/>
        </w:rPr>
        <w:t>2</w:t>
      </w:r>
      <w:r>
        <w:rPr>
          <w:color w:val="auto"/>
        </w:rPr>
        <w:t>），白色结晶粉末，无味无臭，易溶于水、乙醇和苯，微溶于乙醚、氯仿。尿素在常温常压下稳定。对热不稳定，加热至150~160℃将脱氨成缩二脲。</w:t>
      </w:r>
    </w:p>
    <w:p w14:paraId="1D9C94E6">
      <w:pPr>
        <w:ind w:firstLine="480"/>
        <w:rPr>
          <w:color w:val="auto"/>
        </w:rPr>
      </w:pPr>
      <w:r>
        <w:rPr>
          <w:rFonts w:hint="eastAsia"/>
          <w:color w:val="auto"/>
        </w:rPr>
        <w:t>3、</w:t>
      </w:r>
      <w:r>
        <w:rPr>
          <w:color w:val="auto"/>
        </w:rPr>
        <w:t>阴离子PAM：阴离子聚丙烯酰胺（AnionicPolyacrylamide，简称APAM）是一种高分子聚合物，分子式为(C</w:t>
      </w:r>
      <w:r>
        <w:rPr>
          <w:color w:val="auto"/>
          <w:vertAlign w:val="subscript"/>
        </w:rPr>
        <w:t>3</w:t>
      </w:r>
      <w:r>
        <w:rPr>
          <w:color w:val="auto"/>
        </w:rPr>
        <w:t>H</w:t>
      </w:r>
      <w:r>
        <w:rPr>
          <w:color w:val="auto"/>
          <w:vertAlign w:val="subscript"/>
        </w:rPr>
        <w:t>5</w:t>
      </w:r>
      <w:r>
        <w:rPr>
          <w:color w:val="auto"/>
        </w:rPr>
        <w:t>NO)</w:t>
      </w:r>
      <w:r>
        <w:rPr>
          <w:color w:val="auto"/>
          <w:vertAlign w:val="subscript"/>
        </w:rPr>
        <w:t>n</w:t>
      </w:r>
      <w:r>
        <w:rPr>
          <w:color w:val="auto"/>
        </w:rPr>
        <w:t>，通过丙烯酰胺（AM）单体聚合而成，分子链上带有负电荷基团（如羧酸根）。干粉APAM为白色或微黄色粉末（颗粒状），胶体APAM为无色或浅黄色透明胶体，易溶于水（20℃时100mL水溶解108g），难溶于乙醇、丙酮等有机溶剂，在常温下稳定，高温（&gt;120℃）时会分解，失去絮凝活性。水溶液在高温下易降解，需现配现用，本身无毒，但残留的丙烯酰胺单体（AM）有毒（神经性致毒剂）。用于饮用水处理时，残留AM含量需≤0.05%；工业应用时，残留AM含量通常≤0.2%。</w:t>
      </w:r>
    </w:p>
    <w:p w14:paraId="1B090F1A">
      <w:pPr>
        <w:ind w:firstLine="480"/>
        <w:rPr>
          <w:color w:val="auto"/>
        </w:rPr>
      </w:pPr>
      <w:r>
        <w:rPr>
          <w:rFonts w:hint="eastAsia"/>
          <w:color w:val="auto"/>
        </w:rPr>
        <w:t>4、</w:t>
      </w:r>
      <w:r>
        <w:rPr>
          <w:color w:val="auto"/>
        </w:rPr>
        <w:t>阳离子PAM：阳离子聚丙烯酰胺（CationicPolyacrylamide，简称CPAM）是一种高分子聚合物，分子式为(C</w:t>
      </w:r>
      <w:r>
        <w:rPr>
          <w:color w:val="auto"/>
          <w:vertAlign w:val="subscript"/>
        </w:rPr>
        <w:t>3</w:t>
      </w:r>
      <w:r>
        <w:rPr>
          <w:color w:val="auto"/>
        </w:rPr>
        <w:t>H</w:t>
      </w:r>
      <w:r>
        <w:rPr>
          <w:color w:val="auto"/>
          <w:vertAlign w:val="subscript"/>
        </w:rPr>
        <w:t>5</w:t>
      </w:r>
      <w:r>
        <w:rPr>
          <w:color w:val="auto"/>
        </w:rPr>
        <w:t>NO)</w:t>
      </w:r>
      <w:r>
        <w:rPr>
          <w:color w:val="auto"/>
          <w:vertAlign w:val="subscript"/>
        </w:rPr>
        <w:t>n</w:t>
      </w:r>
      <w:r>
        <w:rPr>
          <w:color w:val="auto"/>
        </w:rPr>
        <w:t>（带有正电荷基团，如季铵盐），通过丙烯酰胺与阳离子单体（如丙烯酰氧乙基三甲基氯化铵）共聚而成。干粉CPAM为白色或微黄色粉末（颗粒状），胶体CPAM为无色或浅黄色透明胶体。在常温下稳定，高温（&gt;120℃）时会分解，失去絮凝活性。水溶液在高温下易降解，需现配现用。本身无毒，但残留的丙烯酰胺单体（AM）有毒（神经性致毒剂）。此外，CPAM中的阳离子基团（如季铵盐）可能对皮肤和黏膜有刺激性。用于饮用水处理时，残留AM含量需≤0.05%；工业应用时，残留AM含量通常≤0.2%。</w:t>
      </w:r>
    </w:p>
    <w:p w14:paraId="4595203A">
      <w:pPr>
        <w:ind w:firstLine="480"/>
        <w:rPr>
          <w:color w:val="auto"/>
        </w:rPr>
      </w:pPr>
      <w:r>
        <w:rPr>
          <w:rFonts w:hint="eastAsia"/>
          <w:color w:val="auto"/>
        </w:rPr>
        <w:t>5、</w:t>
      </w:r>
      <w:r>
        <w:rPr>
          <w:color w:val="auto"/>
        </w:rPr>
        <w:t>聚合氯化铝（PAC）：聚合氯化铝（PolyaluminiumChloride，简称PAC）是一种介于AlCl</w:t>
      </w:r>
      <w:r>
        <w:rPr>
          <w:color w:val="auto"/>
          <w:vertAlign w:val="subscript"/>
        </w:rPr>
        <w:t>3</w:t>
      </w:r>
      <w:r>
        <w:rPr>
          <w:color w:val="auto"/>
        </w:rPr>
        <w:t>和Al(OH)</w:t>
      </w:r>
      <w:r>
        <w:rPr>
          <w:color w:val="auto"/>
          <w:vertAlign w:val="subscript"/>
        </w:rPr>
        <w:t>3</w:t>
      </w:r>
      <w:r>
        <w:rPr>
          <w:color w:val="auto"/>
        </w:rPr>
        <w:t>之间的水溶性无机高分子聚合物，化学通式为[Al</w:t>
      </w:r>
      <w:r>
        <w:rPr>
          <w:color w:val="auto"/>
          <w:vertAlign w:val="subscript"/>
        </w:rPr>
        <w:t>2</w:t>
      </w:r>
      <w:r>
        <w:rPr>
          <w:color w:val="auto"/>
        </w:rPr>
        <w:t>(OH)</w:t>
      </w:r>
      <w:r>
        <w:rPr>
          <w:color w:val="auto"/>
          <w:vertAlign w:val="subscript"/>
        </w:rPr>
        <w:t>n</w:t>
      </w:r>
      <w:r>
        <w:rPr>
          <w:color w:val="auto"/>
        </w:rPr>
        <w:t>Cl</w:t>
      </w:r>
      <w:r>
        <w:rPr>
          <w:color w:val="auto"/>
          <w:vertAlign w:val="subscript"/>
        </w:rPr>
        <w:t>6-n</w:t>
      </w:r>
      <w:r>
        <w:rPr>
          <w:color w:val="auto"/>
        </w:rPr>
        <w:t>]</w:t>
      </w:r>
      <w:r>
        <w:rPr>
          <w:color w:val="auto"/>
          <w:vertAlign w:val="subscript"/>
        </w:rPr>
        <w:t>m</w:t>
      </w:r>
      <w:r>
        <w:rPr>
          <w:color w:val="auto"/>
        </w:rPr>
        <w:t>（n=1~5，m为聚合度）。PAC分为液体和固体两种形态。液体PAC为无色或淡黄色透明液体；固体PAC为金黄色、红褐色或白色树脂状固体（饮用水级固体PAC颜色更浅，如金黄色)。易溶于水，水溶液呈酸性（pH3.5~5.0，1%水溶液），常温下稳定，高温（&gt;500℃）时会分解，失去结晶水并逐渐炭化。本身无毒，对皮肤和黏膜无刺激性。但高浓度溶液可能刺激呼吸道，需避免直接接触。</w:t>
      </w:r>
    </w:p>
    <w:p w14:paraId="6B9A834C">
      <w:pPr>
        <w:pStyle w:val="5"/>
        <w:rPr>
          <w:color w:val="auto"/>
        </w:rPr>
      </w:pPr>
      <w:r>
        <w:rPr>
          <w:rFonts w:hint="eastAsia"/>
          <w:color w:val="auto"/>
        </w:rPr>
        <w:t>淋膜纸废气处理</w:t>
      </w:r>
    </w:p>
    <w:p w14:paraId="5CB0D299">
      <w:pPr>
        <w:ind w:firstLine="480"/>
        <w:rPr>
          <w:color w:val="auto"/>
        </w:rPr>
      </w:pPr>
      <w:r>
        <w:rPr>
          <w:rFonts w:hint="eastAsia"/>
          <w:color w:val="auto"/>
        </w:rPr>
        <w:t>淋膜纸生产线中PE颗粒加工、淋膜等产生有机废气工序均设置有集气罩，废气收集后进入二级活性炭处理装置处理后通过排气筒排放。</w:t>
      </w:r>
    </w:p>
    <w:p w14:paraId="09D2C4CD">
      <w:pPr>
        <w:ind w:firstLine="480"/>
        <w:rPr>
          <w:color w:val="auto"/>
        </w:rPr>
      </w:pPr>
    </w:p>
    <w:p w14:paraId="41FD3C2A">
      <w:pPr>
        <w:pStyle w:val="4"/>
        <w:rPr>
          <w:color w:val="auto"/>
        </w:rPr>
      </w:pPr>
      <w:bookmarkStart w:id="197" w:name="_Toc225216701"/>
      <w:r>
        <w:rPr>
          <w:rFonts w:hint="eastAsia"/>
          <w:color w:val="auto"/>
        </w:rPr>
        <w:t>依托工程</w:t>
      </w:r>
      <w:bookmarkEnd w:id="197"/>
    </w:p>
    <w:p w14:paraId="2AF9DF44">
      <w:pPr>
        <w:ind w:firstLine="480"/>
        <w:rPr>
          <w:color w:val="auto"/>
        </w:rPr>
      </w:pPr>
      <w:r>
        <w:rPr>
          <w:color w:val="auto"/>
        </w:rPr>
        <w:t>海底排放工程</w:t>
      </w:r>
      <w:r>
        <w:rPr>
          <w:rFonts w:hint="eastAsia"/>
          <w:color w:val="auto"/>
        </w:rPr>
        <w:t>：</w:t>
      </w:r>
      <w:r>
        <w:rPr>
          <w:color w:val="auto"/>
        </w:rPr>
        <w:t>污水提升泵设计流量为2.778m</w:t>
      </w:r>
      <w:r>
        <w:rPr>
          <w:color w:val="auto"/>
          <w:vertAlign w:val="superscript"/>
        </w:rPr>
        <w:t>3</w:t>
      </w:r>
      <w:r>
        <w:rPr>
          <w:color w:val="auto"/>
        </w:rPr>
        <w:t>/s，提升能力24万m</w:t>
      </w:r>
      <w:r>
        <w:rPr>
          <w:color w:val="auto"/>
          <w:vertAlign w:val="superscript"/>
        </w:rPr>
        <w:t>3</w:t>
      </w:r>
      <w:r>
        <w:rPr>
          <w:color w:val="auto"/>
        </w:rPr>
        <w:t>/d。排放管线直径1600mm，可输送量20万m</w:t>
      </w:r>
      <w:r>
        <w:rPr>
          <w:color w:val="auto"/>
          <w:vertAlign w:val="superscript"/>
        </w:rPr>
        <w:t>3</w:t>
      </w:r>
      <w:r>
        <w:rPr>
          <w:color w:val="auto"/>
        </w:rPr>
        <w:t>/d。排污口处于钦州港大榄坪排污混合区（GX057DIV），范围是21°39′19″N、108° 39′46″E，21°39′43″N、108°39′29″E，21°39′40″ N、108°38′49″E，21°38′51″N、108°38′49″E，21°38′54″N、108°39′39″E围成的海域，面积为3平方公</w:t>
      </w:r>
      <w:r>
        <w:rPr>
          <w:rFonts w:hint="eastAsia"/>
          <w:color w:val="auto"/>
        </w:rPr>
        <w:t>里。</w:t>
      </w:r>
    </w:p>
    <w:p w14:paraId="4EF6FC88">
      <w:pPr>
        <w:pStyle w:val="4"/>
        <w:rPr>
          <w:color w:val="auto"/>
        </w:rPr>
      </w:pPr>
      <w:bookmarkStart w:id="198" w:name="_Toc225216702"/>
      <w:r>
        <w:rPr>
          <w:rFonts w:hint="eastAsia"/>
          <w:color w:val="auto"/>
        </w:rPr>
        <w:t>相关工程</w:t>
      </w:r>
      <w:bookmarkEnd w:id="198"/>
    </w:p>
    <w:p w14:paraId="7442DC86">
      <w:pPr>
        <w:ind w:firstLine="480"/>
        <w:rPr>
          <w:color w:val="auto"/>
          <w:lang w:val="zh-CN"/>
        </w:rPr>
      </w:pPr>
      <w:r>
        <w:rPr>
          <w:color w:val="auto"/>
          <w:lang w:val="zh-CN"/>
        </w:rPr>
        <w:t>广西金桂浆纸业有限公司</w:t>
      </w:r>
      <w:r>
        <w:rPr>
          <w:rFonts w:hint="eastAsia"/>
          <w:color w:val="auto"/>
          <w:lang w:val="zh-CN"/>
        </w:rPr>
        <w:t>原拟投资建设</w:t>
      </w:r>
      <w:r>
        <w:rPr>
          <w:color w:val="auto"/>
          <w:lang w:val="zh-CN"/>
        </w:rPr>
        <w:t>广西金桂浆纸业有限公司三期工程年产300万吨林浆纸一体化项目</w:t>
      </w:r>
      <w:r>
        <w:rPr>
          <w:rFonts w:hint="eastAsia"/>
          <w:color w:val="auto"/>
          <w:lang w:val="zh-CN"/>
        </w:rPr>
        <w:t>。项目总投资2832713万元。其中，建设投资 2566583万元，建设期利息71211万元，流动资金194919万元。该项目总占地面积118.39万m</w:t>
      </w:r>
      <w:r>
        <w:rPr>
          <w:rFonts w:hint="eastAsia"/>
          <w:color w:val="auto"/>
          <w:vertAlign w:val="superscript"/>
          <w:lang w:val="zh-CN"/>
        </w:rPr>
        <w:t>2</w:t>
      </w:r>
      <w:r>
        <w:rPr>
          <w:rFonts w:hint="eastAsia"/>
          <w:color w:val="auto"/>
          <w:lang w:val="zh-CN"/>
        </w:rPr>
        <w:t>（合1775.85亩）。总建筑面积341584.5m</w:t>
      </w:r>
      <w:r>
        <w:rPr>
          <w:rFonts w:hint="eastAsia"/>
          <w:color w:val="auto"/>
          <w:vertAlign w:val="superscript"/>
          <w:lang w:val="zh-CN"/>
        </w:rPr>
        <w:t>2</w:t>
      </w:r>
      <w:r>
        <w:rPr>
          <w:rFonts w:hint="eastAsia"/>
          <w:color w:val="auto"/>
          <w:lang w:val="zh-CN"/>
        </w:rPr>
        <w:t>。</w:t>
      </w:r>
      <w:r>
        <w:rPr>
          <w:color w:val="auto"/>
          <w:spacing w:val="-13"/>
        </w:rPr>
        <w:t>项目建设规模为：</w:t>
      </w:r>
      <w:r>
        <w:rPr>
          <w:rFonts w:eastAsia="Times New Roman"/>
          <w:color w:val="auto"/>
          <w:spacing w:val="24"/>
        </w:rPr>
        <w:t>160</w:t>
      </w:r>
      <w:r>
        <w:rPr>
          <w:color w:val="auto"/>
          <w:spacing w:val="-4"/>
        </w:rPr>
        <w:t>万吨</w:t>
      </w:r>
      <w:r>
        <w:rPr>
          <w:rFonts w:eastAsia="Times New Roman"/>
          <w:color w:val="auto"/>
          <w:spacing w:val="-4"/>
        </w:rPr>
        <w:t>/</w:t>
      </w:r>
      <w:r>
        <w:rPr>
          <w:color w:val="auto"/>
          <w:spacing w:val="-18"/>
        </w:rPr>
        <w:t>年化学浆生产线、</w:t>
      </w:r>
      <w:r>
        <w:rPr>
          <w:rFonts w:eastAsia="Times New Roman"/>
          <w:color w:val="auto"/>
          <w:spacing w:val="-4"/>
        </w:rPr>
        <w:t>40</w:t>
      </w:r>
      <w:r>
        <w:rPr>
          <w:color w:val="auto"/>
          <w:spacing w:val="-4"/>
        </w:rPr>
        <w:t>万吨</w:t>
      </w:r>
      <w:r>
        <w:rPr>
          <w:rFonts w:eastAsia="Times New Roman"/>
          <w:color w:val="auto"/>
          <w:spacing w:val="-4"/>
        </w:rPr>
        <w:t>/</w:t>
      </w:r>
      <w:r>
        <w:rPr>
          <w:color w:val="auto"/>
          <w:spacing w:val="-4"/>
        </w:rPr>
        <w:t>年化机浆生产线、</w:t>
      </w:r>
      <w:r>
        <w:rPr>
          <w:rFonts w:eastAsia="Times New Roman"/>
          <w:color w:val="auto"/>
          <w:spacing w:val="-2"/>
        </w:rPr>
        <w:t>100</w:t>
      </w:r>
      <w:r>
        <w:rPr>
          <w:color w:val="auto"/>
          <w:spacing w:val="-2"/>
        </w:rPr>
        <w:t>万吨</w:t>
      </w:r>
      <w:r>
        <w:rPr>
          <w:rFonts w:eastAsia="Times New Roman"/>
          <w:color w:val="auto"/>
          <w:spacing w:val="-2"/>
        </w:rPr>
        <w:t>/</w:t>
      </w:r>
      <w:r>
        <w:rPr>
          <w:color w:val="auto"/>
          <w:spacing w:val="-6"/>
        </w:rPr>
        <w:t>年涂布白卡纸生产线。</w:t>
      </w:r>
    </w:p>
    <w:p w14:paraId="20610AD9">
      <w:pPr>
        <w:ind w:firstLine="480"/>
        <w:rPr>
          <w:color w:val="auto"/>
        </w:rPr>
      </w:pPr>
      <w:r>
        <w:rPr>
          <w:rFonts w:hint="eastAsia"/>
          <w:color w:val="auto"/>
        </w:rPr>
        <w:t>2024年12月3日，中国（广西）自由贸易试验区钦州港片区行政审批局《关于广西金桂浆纸业有限公司三期工程年产</w:t>
      </w:r>
      <w:r>
        <w:rPr>
          <w:color w:val="auto"/>
          <w:lang w:val="zh-CN"/>
        </w:rPr>
        <w:t>300万吨林浆纸一体化项目</w:t>
      </w:r>
      <w:r>
        <w:rPr>
          <w:rFonts w:hint="eastAsia"/>
          <w:color w:val="auto"/>
          <w:lang w:val="zh-CN"/>
        </w:rPr>
        <w:t>变更建设单位及相关批文有效期的意见》，原则同意</w:t>
      </w:r>
      <w:r>
        <w:rPr>
          <w:rFonts w:hint="eastAsia"/>
          <w:color w:val="auto"/>
        </w:rPr>
        <w:t>广西金桂浆纸业有限公司三期工程年产</w:t>
      </w:r>
      <w:r>
        <w:rPr>
          <w:color w:val="auto"/>
          <w:lang w:val="zh-CN"/>
        </w:rPr>
        <w:t>300万吨林浆纸一体化项目</w:t>
      </w:r>
      <w:r>
        <w:rPr>
          <w:rFonts w:hint="eastAsia"/>
          <w:color w:val="auto"/>
          <w:lang w:val="zh-CN"/>
        </w:rPr>
        <w:t>建设单位由“</w:t>
      </w:r>
      <w:r>
        <w:rPr>
          <w:rFonts w:hint="eastAsia"/>
          <w:color w:val="auto"/>
        </w:rPr>
        <w:t>广西金桂浆纸业有限公司”变更为“广西金洲浆纸业有限公司”，项目名称由“广西金桂浆纸业有限公司三期工程年产</w:t>
      </w:r>
      <w:r>
        <w:rPr>
          <w:color w:val="auto"/>
          <w:lang w:val="zh-CN"/>
        </w:rPr>
        <w:t>300万吨林浆纸一体化项目</w:t>
      </w:r>
      <w:r>
        <w:rPr>
          <w:rFonts w:hint="eastAsia"/>
          <w:color w:val="auto"/>
          <w:lang w:val="zh-CN"/>
        </w:rPr>
        <w:t>”</w:t>
      </w:r>
      <w:r>
        <w:rPr>
          <w:rFonts w:hint="eastAsia"/>
          <w:color w:val="auto"/>
        </w:rPr>
        <w:t>变更为“广西金洲浆纸业有限公司年产</w:t>
      </w:r>
      <w:r>
        <w:rPr>
          <w:color w:val="auto"/>
          <w:lang w:val="zh-CN"/>
        </w:rPr>
        <w:t>300万吨林浆纸一体化项目</w:t>
      </w:r>
      <w:r>
        <w:rPr>
          <w:rFonts w:hint="eastAsia"/>
          <w:color w:val="auto"/>
        </w:rPr>
        <w:t>”。该项目投产后，可为本项目提供部分纸浆原料。</w:t>
      </w:r>
    </w:p>
    <w:p w14:paraId="4412E8D5">
      <w:pPr>
        <w:pStyle w:val="3"/>
        <w:rPr>
          <w:color w:val="auto"/>
        </w:rPr>
      </w:pPr>
      <w:bookmarkStart w:id="199" w:name="_Toc221355711"/>
      <w:bookmarkStart w:id="200" w:name="_Toc225216703"/>
      <w:r>
        <w:rPr>
          <w:color w:val="auto"/>
        </w:rPr>
        <w:t>影响因素分析</w:t>
      </w:r>
      <w:bookmarkEnd w:id="199"/>
      <w:bookmarkEnd w:id="200"/>
    </w:p>
    <w:p w14:paraId="247AF970">
      <w:pPr>
        <w:pStyle w:val="4"/>
        <w:rPr>
          <w:color w:val="auto"/>
        </w:rPr>
      </w:pPr>
      <w:bookmarkStart w:id="201" w:name="_Toc225216704"/>
      <w:r>
        <w:rPr>
          <w:color w:val="auto"/>
        </w:rPr>
        <w:t>生产工艺流程</w:t>
      </w:r>
      <w:r>
        <w:rPr>
          <w:rFonts w:hint="eastAsia"/>
          <w:color w:val="auto"/>
        </w:rPr>
        <w:t>及产污节点分析</w:t>
      </w:r>
      <w:bookmarkEnd w:id="201"/>
    </w:p>
    <w:p w14:paraId="18582A84">
      <w:pPr>
        <w:pStyle w:val="5"/>
        <w:spacing w:before="80" w:after="60"/>
        <w:rPr>
          <w:bCs w:val="0"/>
          <w:color w:val="auto"/>
        </w:rPr>
      </w:pPr>
      <w:r>
        <w:rPr>
          <w:rFonts w:hint="eastAsia"/>
          <w:bCs w:val="0"/>
          <w:color w:val="auto"/>
        </w:rPr>
        <w:t>工程技术方案</w:t>
      </w:r>
    </w:p>
    <w:p w14:paraId="0963C2C1">
      <w:pPr>
        <w:ind w:firstLine="480"/>
        <w:rPr>
          <w:color w:val="auto"/>
        </w:rPr>
      </w:pPr>
      <w:r>
        <w:rPr>
          <w:rFonts w:hint="eastAsia"/>
          <w:color w:val="auto"/>
        </w:rPr>
        <w:t>1、</w:t>
      </w:r>
      <w:r>
        <w:rPr>
          <w:color w:val="auto"/>
        </w:rPr>
        <w:t>纤维原料的选择</w:t>
      </w:r>
    </w:p>
    <w:p w14:paraId="53330D73">
      <w:pPr>
        <w:ind w:firstLine="480"/>
        <w:rPr>
          <w:color w:val="auto"/>
        </w:rPr>
      </w:pPr>
      <w:r>
        <w:rPr>
          <w:rFonts w:hint="eastAsia"/>
          <w:color w:val="auto"/>
        </w:rPr>
        <w:t>根据拟建工程产品特性，成品要求有较好的松厚度、挺度、光泽度和印刷适应性能，同时根据公司的实际生产经验，确定原料配比方案，具体见下表。</w:t>
      </w:r>
    </w:p>
    <w:p w14:paraId="0B4978B7">
      <w:pPr>
        <w:pStyle w:val="7"/>
        <w:rPr>
          <w:color w:val="auto"/>
        </w:rPr>
      </w:pPr>
      <w:r>
        <w:rPr>
          <w:rFonts w:hint="eastAsia"/>
          <w:color w:val="auto"/>
        </w:rPr>
        <w:t>原料配比方案构成</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3"/>
        <w:gridCol w:w="7693"/>
      </w:tblGrid>
      <w:tr w14:paraId="0A23E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858" w:type="pct"/>
            <w:vAlign w:val="center"/>
          </w:tcPr>
          <w:p w14:paraId="1CA8C55F">
            <w:pPr>
              <w:pStyle w:val="33"/>
              <w:rPr>
                <w:color w:val="auto"/>
              </w:rPr>
            </w:pPr>
            <w:r>
              <w:rPr>
                <w:rFonts w:hint="eastAsia"/>
                <w:color w:val="auto"/>
              </w:rPr>
              <w:t>项目</w:t>
            </w:r>
          </w:p>
        </w:tc>
        <w:tc>
          <w:tcPr>
            <w:tcW w:w="4142" w:type="pct"/>
            <w:vAlign w:val="center"/>
          </w:tcPr>
          <w:p w14:paraId="11A88C88">
            <w:pPr>
              <w:pStyle w:val="33"/>
              <w:rPr>
                <w:color w:val="auto"/>
              </w:rPr>
            </w:pPr>
            <w:r>
              <w:rPr>
                <w:rFonts w:hint="eastAsia"/>
                <w:color w:val="auto"/>
              </w:rPr>
              <w:t>原料结构</w:t>
            </w:r>
          </w:p>
        </w:tc>
      </w:tr>
      <w:tr w14:paraId="10774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pct"/>
            <w:vAlign w:val="center"/>
          </w:tcPr>
          <w:p w14:paraId="7804A89B">
            <w:pPr>
              <w:pStyle w:val="33"/>
              <w:rPr>
                <w:color w:val="auto"/>
              </w:rPr>
            </w:pPr>
            <w:r>
              <w:rPr>
                <w:color w:val="auto"/>
              </w:rPr>
              <w:t>面层</w:t>
            </w:r>
          </w:p>
        </w:tc>
        <w:tc>
          <w:tcPr>
            <w:tcW w:w="4142" w:type="pct"/>
            <w:vAlign w:val="center"/>
          </w:tcPr>
          <w:p w14:paraId="5BFCE8AE">
            <w:pPr>
              <w:pStyle w:val="33"/>
              <w:rPr>
                <w:color w:val="auto"/>
              </w:rPr>
            </w:pPr>
          </w:p>
        </w:tc>
      </w:tr>
      <w:tr w14:paraId="6B813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pct"/>
            <w:vAlign w:val="center"/>
          </w:tcPr>
          <w:p w14:paraId="49F89159">
            <w:pPr>
              <w:pStyle w:val="33"/>
              <w:rPr>
                <w:color w:val="auto"/>
              </w:rPr>
            </w:pPr>
            <w:r>
              <w:rPr>
                <w:color w:val="auto"/>
              </w:rPr>
              <w:t>芯层</w:t>
            </w:r>
          </w:p>
        </w:tc>
        <w:tc>
          <w:tcPr>
            <w:tcW w:w="4142" w:type="pct"/>
            <w:vAlign w:val="center"/>
          </w:tcPr>
          <w:p w14:paraId="1EDEFC49">
            <w:pPr>
              <w:pStyle w:val="33"/>
              <w:rPr>
                <w:color w:val="auto"/>
              </w:rPr>
            </w:pPr>
          </w:p>
        </w:tc>
      </w:tr>
      <w:tr w14:paraId="10D0A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8" w:type="pct"/>
            <w:vAlign w:val="center"/>
          </w:tcPr>
          <w:p w14:paraId="586E2089">
            <w:pPr>
              <w:pStyle w:val="33"/>
              <w:rPr>
                <w:color w:val="auto"/>
              </w:rPr>
            </w:pPr>
            <w:r>
              <w:rPr>
                <w:color w:val="auto"/>
              </w:rPr>
              <w:t>底层</w:t>
            </w:r>
          </w:p>
        </w:tc>
        <w:tc>
          <w:tcPr>
            <w:tcW w:w="4142" w:type="pct"/>
            <w:vAlign w:val="center"/>
          </w:tcPr>
          <w:p w14:paraId="0B171D6D">
            <w:pPr>
              <w:pStyle w:val="33"/>
              <w:rPr>
                <w:color w:val="auto"/>
              </w:rPr>
            </w:pPr>
          </w:p>
        </w:tc>
      </w:tr>
    </w:tbl>
    <w:p w14:paraId="2F8311EB">
      <w:pPr>
        <w:spacing w:before="120" w:beforeLines="50"/>
        <w:ind w:firstLine="484" w:firstLineChars="202"/>
        <w:rPr>
          <w:color w:val="auto"/>
          <w:szCs w:val="28"/>
        </w:rPr>
      </w:pPr>
      <w:r>
        <w:rPr>
          <w:rFonts w:hint="eastAsia"/>
          <w:color w:val="auto"/>
          <w:szCs w:val="28"/>
        </w:rPr>
        <w:t>2、</w:t>
      </w:r>
      <w:r>
        <w:rPr>
          <w:color w:val="auto"/>
          <w:szCs w:val="28"/>
        </w:rPr>
        <w:t>生产技术方案</w:t>
      </w:r>
    </w:p>
    <w:p w14:paraId="52531F7D">
      <w:pPr>
        <w:ind w:firstLine="480"/>
        <w:rPr>
          <w:color w:val="auto"/>
          <w:szCs w:val="28"/>
        </w:rPr>
      </w:pPr>
      <w:r>
        <w:rPr>
          <w:rFonts w:hint="eastAsia"/>
          <w:color w:val="auto"/>
          <w:szCs w:val="28"/>
        </w:rPr>
        <w:t>本项目为高档白卡纸生产线，结合市场需求和生产经验，考虑技术先进、工艺合理、节约投资、稳妥可靠等因素，对现有2台三长网多缸涂布纸板机进行升级改造。改造完成后1#白卡纸生产线纸机幅宽为8100mm、工作车速1400m/min；2#白卡纸生产线纸机幅宽为8100mm、工作车速1350m/min。产能均为150万吨/年。主要改造内容及效果见下表。</w:t>
      </w:r>
    </w:p>
    <w:p w14:paraId="7B40DB28">
      <w:pPr>
        <w:pStyle w:val="7"/>
        <w:rPr>
          <w:color w:val="auto"/>
        </w:rPr>
      </w:pPr>
      <w:r>
        <w:rPr>
          <w:rFonts w:hint="eastAsia"/>
          <w:color w:val="auto"/>
        </w:rPr>
        <w:t>主要改造内容及效果汇总表</w:t>
      </w:r>
    </w:p>
    <w:tbl>
      <w:tblPr>
        <w:tblStyle w:val="26"/>
        <w:tblW w:w="9067" w:type="dxa"/>
        <w:tblInd w:w="0" w:type="dxa"/>
        <w:tblLayout w:type="fixed"/>
        <w:tblCellMar>
          <w:top w:w="0" w:type="dxa"/>
          <w:left w:w="0" w:type="dxa"/>
          <w:bottom w:w="0" w:type="dxa"/>
          <w:right w:w="0" w:type="dxa"/>
        </w:tblCellMar>
      </w:tblPr>
      <w:tblGrid>
        <w:gridCol w:w="594"/>
        <w:gridCol w:w="1102"/>
        <w:gridCol w:w="2127"/>
        <w:gridCol w:w="4110"/>
        <w:gridCol w:w="1134"/>
      </w:tblGrid>
      <w:tr w14:paraId="5571F86A">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48F31FB">
            <w:pPr>
              <w:pStyle w:val="33"/>
              <w:rPr>
                <w:color w:val="auto"/>
              </w:rPr>
            </w:pPr>
            <w:r>
              <w:rPr>
                <w:rFonts w:hint="eastAsia"/>
                <w:color w:val="auto"/>
              </w:rPr>
              <w:t>序号</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47D6C1C">
            <w:pPr>
              <w:pStyle w:val="33"/>
              <w:rPr>
                <w:color w:val="auto"/>
              </w:rPr>
            </w:pPr>
            <w:r>
              <w:rPr>
                <w:rFonts w:hint="eastAsia"/>
                <w:color w:val="auto"/>
              </w:rPr>
              <w:t>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AA946D0">
            <w:pPr>
              <w:pStyle w:val="33"/>
              <w:rPr>
                <w:color w:val="auto"/>
              </w:rPr>
            </w:pPr>
            <w:r>
              <w:rPr>
                <w:rFonts w:hint="eastAsia"/>
                <w:color w:val="auto"/>
              </w:rPr>
              <w:t>技改内容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0E6ED4">
            <w:pPr>
              <w:pStyle w:val="33"/>
              <w:rPr>
                <w:color w:val="auto"/>
              </w:rPr>
            </w:pPr>
            <w:r>
              <w:rPr>
                <w:rFonts w:hint="eastAsia"/>
                <w:color w:val="auto"/>
              </w:rPr>
              <w:t>解决的问题</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BEAFFA">
            <w:pPr>
              <w:pStyle w:val="33"/>
              <w:rPr>
                <w:color w:val="auto"/>
              </w:rPr>
            </w:pPr>
            <w:r>
              <w:rPr>
                <w:rFonts w:hint="eastAsia"/>
                <w:color w:val="auto"/>
              </w:rPr>
              <w:t>效果</w:t>
            </w:r>
          </w:p>
        </w:tc>
      </w:tr>
      <w:tr w14:paraId="1B72E86E">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053D83F">
            <w:pPr>
              <w:pStyle w:val="33"/>
              <w:rPr>
                <w:color w:val="auto"/>
              </w:rPr>
            </w:pPr>
            <w:r>
              <w:rPr>
                <w:rFonts w:hint="eastAsia"/>
                <w:color w:val="auto"/>
              </w:rPr>
              <w:t>1</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B9BA547">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D207E12">
            <w:pPr>
              <w:pStyle w:val="33"/>
              <w:jc w:val="both"/>
              <w:rPr>
                <w:color w:val="auto"/>
              </w:rPr>
            </w:pPr>
            <w:r>
              <w:rPr>
                <w:rFonts w:hint="eastAsia"/>
                <w:color w:val="auto"/>
              </w:rPr>
              <w:t>前干气罩通风技改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29133F6">
            <w:pPr>
              <w:pStyle w:val="33"/>
              <w:jc w:val="both"/>
              <w:rPr>
                <w:color w:val="auto"/>
              </w:rPr>
            </w:pPr>
            <w:r>
              <w:rPr>
                <w:rFonts w:hint="eastAsia"/>
                <w:color w:val="auto"/>
              </w:rPr>
              <w:t>1#造纸车间前干气罩湿气大零位底，造成纸张粘缸破洞断纸，气罩顶部结露滴落纸面造成黄斑纸病</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783196B">
            <w:pPr>
              <w:pStyle w:val="33"/>
              <w:rPr>
                <w:color w:val="auto"/>
              </w:rPr>
            </w:pPr>
            <w:r>
              <w:rPr>
                <w:rFonts w:hint="eastAsia"/>
                <w:color w:val="auto"/>
              </w:rPr>
              <w:t>减少断纸</w:t>
            </w:r>
          </w:p>
        </w:tc>
      </w:tr>
      <w:tr w14:paraId="3AF84140">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4B842D">
            <w:pPr>
              <w:pStyle w:val="33"/>
              <w:rPr>
                <w:color w:val="auto"/>
              </w:rPr>
            </w:pPr>
            <w:r>
              <w:rPr>
                <w:rFonts w:hint="eastAsia"/>
                <w:color w:val="auto"/>
              </w:rPr>
              <w:t>2</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1A7F60">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95553A">
            <w:pPr>
              <w:pStyle w:val="33"/>
              <w:jc w:val="both"/>
              <w:rPr>
                <w:color w:val="auto"/>
              </w:rPr>
            </w:pPr>
            <w:r>
              <w:rPr>
                <w:rFonts w:hint="eastAsia"/>
                <w:color w:val="auto"/>
              </w:rPr>
              <w:t>提高前干proreaLeas真空技改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8F35342">
            <w:pPr>
              <w:pStyle w:val="33"/>
              <w:jc w:val="both"/>
              <w:rPr>
                <w:color w:val="auto"/>
              </w:rPr>
            </w:pPr>
            <w:r>
              <w:rPr>
                <w:rFonts w:hint="eastAsia"/>
                <w:color w:val="auto"/>
              </w:rPr>
              <w:t>1#造纸车间稳定箱真空不足，纸幅易破洞断纸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9CDE5DF">
            <w:pPr>
              <w:pStyle w:val="33"/>
              <w:rPr>
                <w:color w:val="auto"/>
              </w:rPr>
            </w:pPr>
            <w:r>
              <w:rPr>
                <w:rFonts w:hint="eastAsia"/>
                <w:color w:val="auto"/>
              </w:rPr>
              <w:t>减少断纸</w:t>
            </w:r>
          </w:p>
        </w:tc>
      </w:tr>
      <w:tr w14:paraId="3D32BE1B">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0EC18A7">
            <w:pPr>
              <w:pStyle w:val="33"/>
              <w:rPr>
                <w:color w:val="auto"/>
              </w:rPr>
            </w:pPr>
            <w:r>
              <w:rPr>
                <w:rFonts w:hint="eastAsia"/>
                <w:color w:val="auto"/>
              </w:rPr>
              <w:t>3</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C7AA7CA">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883EA84">
            <w:pPr>
              <w:pStyle w:val="33"/>
              <w:jc w:val="both"/>
              <w:rPr>
                <w:color w:val="auto"/>
              </w:rPr>
            </w:pPr>
            <w:r>
              <w:rPr>
                <w:rFonts w:hint="eastAsia"/>
                <w:color w:val="auto"/>
              </w:rPr>
              <w:t>1#造纸车间网部汽罩吊顶改善</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7C8A6A4">
            <w:pPr>
              <w:pStyle w:val="33"/>
              <w:jc w:val="both"/>
              <w:rPr>
                <w:color w:val="auto"/>
              </w:rPr>
            </w:pPr>
            <w:r>
              <w:rPr>
                <w:rFonts w:hint="eastAsia"/>
                <w:color w:val="auto"/>
              </w:rPr>
              <w:t>1#造纸车间网部上方汽罩吊顶因腐蚀生锈掉锈块，连续造成14次断纸异常和一次底网损害故障</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7ADAF81">
            <w:pPr>
              <w:pStyle w:val="33"/>
              <w:rPr>
                <w:color w:val="auto"/>
              </w:rPr>
            </w:pPr>
            <w:r>
              <w:rPr>
                <w:rFonts w:hint="eastAsia"/>
                <w:color w:val="auto"/>
              </w:rPr>
              <w:t>减少断纸</w:t>
            </w:r>
          </w:p>
        </w:tc>
      </w:tr>
      <w:tr w14:paraId="61CA2B68">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B3EE45">
            <w:pPr>
              <w:pStyle w:val="33"/>
              <w:rPr>
                <w:color w:val="auto"/>
              </w:rPr>
            </w:pPr>
            <w:r>
              <w:rPr>
                <w:rFonts w:hint="eastAsia"/>
                <w:color w:val="auto"/>
              </w:rPr>
              <w:t>4</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7C8AC73">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88C9A62">
            <w:pPr>
              <w:pStyle w:val="33"/>
              <w:jc w:val="both"/>
              <w:rPr>
                <w:color w:val="auto"/>
              </w:rPr>
            </w:pPr>
            <w:r>
              <w:rPr>
                <w:rFonts w:hint="eastAsia"/>
                <w:color w:val="auto"/>
              </w:rPr>
              <w:t>新增前干燥气罩排风</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50B7CF1">
            <w:pPr>
              <w:pStyle w:val="33"/>
              <w:jc w:val="both"/>
              <w:rPr>
                <w:color w:val="auto"/>
              </w:rPr>
            </w:pPr>
            <w:r>
              <w:rPr>
                <w:rFonts w:hint="eastAsia"/>
                <w:color w:val="auto"/>
              </w:rPr>
              <w:t>解决品质及提速瓶颈，增加单排稳纸器真空；解决高车速纸幅标边和粘缸问题</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4C4ED24">
            <w:pPr>
              <w:pStyle w:val="33"/>
              <w:rPr>
                <w:color w:val="auto"/>
              </w:rPr>
            </w:pPr>
            <w:r>
              <w:rPr>
                <w:rFonts w:hint="eastAsia"/>
                <w:color w:val="auto"/>
              </w:rPr>
              <w:t>提高车速</w:t>
            </w:r>
          </w:p>
        </w:tc>
      </w:tr>
      <w:tr w14:paraId="7AF5B272">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3F030DD">
            <w:pPr>
              <w:pStyle w:val="33"/>
              <w:rPr>
                <w:color w:val="auto"/>
              </w:rPr>
            </w:pPr>
            <w:r>
              <w:rPr>
                <w:rFonts w:hint="eastAsia"/>
                <w:color w:val="auto"/>
              </w:rPr>
              <w:t>5</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08F6055">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76F72C0">
            <w:pPr>
              <w:pStyle w:val="33"/>
              <w:jc w:val="both"/>
              <w:rPr>
                <w:color w:val="auto"/>
              </w:rPr>
            </w:pPr>
            <w:r>
              <w:rPr>
                <w:rFonts w:hint="eastAsia"/>
                <w:color w:val="auto"/>
              </w:rPr>
              <w:t>真空泵房新增加7、8号汽水分离器罐克负泵</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91E95E">
            <w:pPr>
              <w:pStyle w:val="33"/>
              <w:jc w:val="both"/>
              <w:rPr>
                <w:color w:val="auto"/>
              </w:rPr>
            </w:pPr>
            <w:r>
              <w:rPr>
                <w:rFonts w:hint="eastAsia"/>
                <w:color w:val="auto"/>
              </w:rPr>
              <w:t>解决原有克负泵抽量不足，罐体内液位高，导致压部毛布脱水量不足；造成纸幅容易压烂断纸。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DB2AF23">
            <w:pPr>
              <w:pStyle w:val="33"/>
              <w:rPr>
                <w:color w:val="auto"/>
              </w:rPr>
            </w:pPr>
            <w:r>
              <w:rPr>
                <w:rFonts w:hint="eastAsia"/>
                <w:color w:val="auto"/>
              </w:rPr>
              <w:t>减少断纸</w:t>
            </w:r>
          </w:p>
        </w:tc>
      </w:tr>
      <w:tr w14:paraId="1C76519A">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ECBAC6F">
            <w:pPr>
              <w:pStyle w:val="33"/>
              <w:rPr>
                <w:color w:val="auto"/>
              </w:rPr>
            </w:pPr>
            <w:r>
              <w:rPr>
                <w:rFonts w:hint="eastAsia"/>
                <w:color w:val="auto"/>
              </w:rPr>
              <w:t>6</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6A30341">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6C0A1CA">
            <w:pPr>
              <w:pStyle w:val="33"/>
              <w:jc w:val="both"/>
              <w:rPr>
                <w:color w:val="auto"/>
              </w:rPr>
            </w:pPr>
            <w:r>
              <w:rPr>
                <w:rFonts w:hint="eastAsia"/>
                <w:color w:val="auto"/>
              </w:rPr>
              <w:t>前干刮刀夹进行技改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70B9FAB">
            <w:pPr>
              <w:pStyle w:val="33"/>
              <w:jc w:val="both"/>
              <w:rPr>
                <w:color w:val="auto"/>
              </w:rPr>
            </w:pPr>
            <w:r>
              <w:rPr>
                <w:rFonts w:hint="eastAsia"/>
                <w:color w:val="auto"/>
              </w:rPr>
              <w:t>减少前干断纸卡纸时间</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F9426E">
            <w:pPr>
              <w:pStyle w:val="33"/>
              <w:rPr>
                <w:color w:val="auto"/>
              </w:rPr>
            </w:pPr>
            <w:r>
              <w:rPr>
                <w:rFonts w:hint="eastAsia"/>
                <w:color w:val="auto"/>
              </w:rPr>
              <w:t>减少断纸</w:t>
            </w:r>
          </w:p>
        </w:tc>
      </w:tr>
      <w:tr w14:paraId="2E1B6368">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2253A0B">
            <w:pPr>
              <w:pStyle w:val="33"/>
              <w:rPr>
                <w:color w:val="auto"/>
              </w:rPr>
            </w:pPr>
            <w:r>
              <w:rPr>
                <w:rFonts w:hint="eastAsia"/>
                <w:color w:val="auto"/>
              </w:rPr>
              <w:t>7</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9307B34">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3F3777A">
            <w:pPr>
              <w:pStyle w:val="33"/>
              <w:jc w:val="both"/>
              <w:rPr>
                <w:color w:val="auto"/>
              </w:rPr>
            </w:pPr>
            <w:r>
              <w:rPr>
                <w:rFonts w:hint="eastAsia"/>
                <w:color w:val="auto"/>
              </w:rPr>
              <w:t>施胶螺杆泵改转子泵</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E3B37EC">
            <w:pPr>
              <w:pStyle w:val="33"/>
              <w:jc w:val="both"/>
              <w:rPr>
                <w:color w:val="auto"/>
              </w:rPr>
            </w:pPr>
            <w:r>
              <w:rPr>
                <w:rFonts w:hint="eastAsia"/>
                <w:color w:val="auto"/>
              </w:rPr>
              <w:t>解决设备故障率高及流量达不到1700L/MIN</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0DD1FD8">
            <w:pPr>
              <w:pStyle w:val="33"/>
              <w:rPr>
                <w:color w:val="auto"/>
              </w:rPr>
            </w:pPr>
          </w:p>
        </w:tc>
      </w:tr>
      <w:tr w14:paraId="1AC3BBDC">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C160A0">
            <w:pPr>
              <w:pStyle w:val="33"/>
              <w:rPr>
                <w:color w:val="auto"/>
              </w:rPr>
            </w:pPr>
            <w:r>
              <w:rPr>
                <w:rFonts w:hint="eastAsia"/>
                <w:color w:val="auto"/>
              </w:rPr>
              <w:t>8</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4A4BDC7">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116B9C">
            <w:pPr>
              <w:pStyle w:val="33"/>
              <w:jc w:val="both"/>
              <w:rPr>
                <w:color w:val="auto"/>
              </w:rPr>
            </w:pPr>
            <w:r>
              <w:rPr>
                <w:rFonts w:hint="eastAsia"/>
                <w:color w:val="auto"/>
              </w:rPr>
              <w:t>涂布螺杆泵技改NM148大泵</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5A244E">
            <w:pPr>
              <w:pStyle w:val="33"/>
              <w:jc w:val="both"/>
              <w:rPr>
                <w:color w:val="auto"/>
              </w:rPr>
            </w:pPr>
            <w:r>
              <w:rPr>
                <w:rFonts w:hint="eastAsia"/>
                <w:color w:val="auto"/>
              </w:rPr>
              <w:t>解决设备故障率高及流量达不到2000L/MIN</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F2F75B7">
            <w:pPr>
              <w:pStyle w:val="33"/>
              <w:rPr>
                <w:color w:val="auto"/>
              </w:rPr>
            </w:pPr>
          </w:p>
        </w:tc>
      </w:tr>
      <w:tr w14:paraId="311D075D">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0A9A3F">
            <w:pPr>
              <w:pStyle w:val="33"/>
              <w:rPr>
                <w:color w:val="auto"/>
              </w:rPr>
            </w:pPr>
            <w:r>
              <w:rPr>
                <w:rFonts w:hint="eastAsia"/>
                <w:color w:val="auto"/>
              </w:rPr>
              <w:t>9</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BCC4CFC">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B2412D">
            <w:pPr>
              <w:pStyle w:val="33"/>
              <w:jc w:val="both"/>
              <w:rPr>
                <w:color w:val="auto"/>
              </w:rPr>
            </w:pPr>
            <w:r>
              <w:rPr>
                <w:rFonts w:hint="eastAsia"/>
                <w:color w:val="auto"/>
              </w:rPr>
              <w:t>涂布IR红外发射器后半部分改造升级</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7B4F31">
            <w:pPr>
              <w:pStyle w:val="33"/>
              <w:jc w:val="both"/>
              <w:rPr>
                <w:color w:val="auto"/>
              </w:rPr>
            </w:pPr>
            <w:r>
              <w:rPr>
                <w:rFonts w:hint="eastAsia"/>
                <w:color w:val="auto"/>
              </w:rPr>
              <w:t>点火时间长，点火困难，点不着火，运行中容易熄灭，故障率高，造成成纸回抄，严重影响生产。</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199B761">
            <w:pPr>
              <w:pStyle w:val="33"/>
              <w:rPr>
                <w:color w:val="auto"/>
              </w:rPr>
            </w:pPr>
          </w:p>
        </w:tc>
      </w:tr>
      <w:tr w14:paraId="36EF131E">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1B04FD4">
            <w:pPr>
              <w:pStyle w:val="33"/>
              <w:rPr>
                <w:color w:val="auto"/>
              </w:rPr>
            </w:pPr>
            <w:r>
              <w:rPr>
                <w:rFonts w:hint="eastAsia"/>
                <w:color w:val="auto"/>
              </w:rPr>
              <w:t>10</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3F35813">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86A57F">
            <w:pPr>
              <w:pStyle w:val="33"/>
              <w:jc w:val="both"/>
              <w:rPr>
                <w:color w:val="auto"/>
              </w:rPr>
            </w:pPr>
            <w:r>
              <w:rPr>
                <w:rFonts w:hint="eastAsia"/>
                <w:color w:val="auto"/>
              </w:rPr>
              <w:t>WMS断纸分析系统升级</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87D5BF">
            <w:pPr>
              <w:pStyle w:val="33"/>
              <w:jc w:val="both"/>
              <w:rPr>
                <w:color w:val="auto"/>
              </w:rPr>
            </w:pPr>
            <w:r>
              <w:rPr>
                <w:rFonts w:hint="eastAsia"/>
                <w:color w:val="auto"/>
              </w:rPr>
              <w:t>WMS断纸侦测系统摄像头清晰度较低,监控画面效果不佳,不便于分析断纸原因并发现问题点,断纸异常点检出率低</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1FEDB4">
            <w:pPr>
              <w:pStyle w:val="33"/>
              <w:rPr>
                <w:color w:val="auto"/>
              </w:rPr>
            </w:pPr>
            <w:r>
              <w:rPr>
                <w:rFonts w:hint="eastAsia"/>
                <w:color w:val="auto"/>
              </w:rPr>
              <w:t>稳定品质，减少不合格品数量</w:t>
            </w:r>
          </w:p>
        </w:tc>
      </w:tr>
      <w:tr w14:paraId="7F9D1FFB">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BD4223">
            <w:pPr>
              <w:pStyle w:val="33"/>
              <w:rPr>
                <w:color w:val="auto"/>
              </w:rPr>
            </w:pPr>
            <w:r>
              <w:rPr>
                <w:rFonts w:hint="eastAsia"/>
                <w:color w:val="auto"/>
              </w:rPr>
              <w:t>11</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9F0331">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4A5DC6">
            <w:pPr>
              <w:pStyle w:val="33"/>
              <w:jc w:val="both"/>
              <w:rPr>
                <w:color w:val="auto"/>
              </w:rPr>
            </w:pPr>
            <w:r>
              <w:rPr>
                <w:rFonts w:hint="eastAsia"/>
                <w:color w:val="auto"/>
              </w:rPr>
              <w:t>施胶、硬压引纸系统升级</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DFC28C8">
            <w:pPr>
              <w:pStyle w:val="33"/>
              <w:jc w:val="both"/>
              <w:rPr>
                <w:color w:val="auto"/>
              </w:rPr>
            </w:pPr>
            <w:r>
              <w:rPr>
                <w:rFonts w:hint="eastAsia"/>
                <w:color w:val="auto"/>
              </w:rPr>
              <w:t>1#造纸车间 施胶和硬压引纸皮带引纸困难，引纸时浪费时间较多</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DB54ECF">
            <w:pPr>
              <w:pStyle w:val="33"/>
              <w:rPr>
                <w:color w:val="auto"/>
              </w:rPr>
            </w:pPr>
          </w:p>
        </w:tc>
      </w:tr>
      <w:tr w14:paraId="50514230">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9E0D6A5">
            <w:pPr>
              <w:pStyle w:val="33"/>
              <w:rPr>
                <w:color w:val="auto"/>
              </w:rPr>
            </w:pPr>
            <w:r>
              <w:rPr>
                <w:rFonts w:hint="eastAsia"/>
                <w:color w:val="auto"/>
              </w:rPr>
              <w:t>12</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975886">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2BEBB1">
            <w:pPr>
              <w:pStyle w:val="33"/>
              <w:jc w:val="both"/>
              <w:rPr>
                <w:color w:val="auto"/>
              </w:rPr>
            </w:pPr>
            <w:r>
              <w:rPr>
                <w:rFonts w:hint="eastAsia"/>
                <w:color w:val="auto"/>
              </w:rPr>
              <w:t>WIS纸病检测系统升级项目</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FDA510">
            <w:pPr>
              <w:pStyle w:val="33"/>
              <w:jc w:val="both"/>
              <w:rPr>
                <w:color w:val="auto"/>
              </w:rPr>
            </w:pPr>
            <w:r>
              <w:rPr>
                <w:rFonts w:hint="eastAsia"/>
                <w:color w:val="auto"/>
              </w:rPr>
              <w:t>当前所用WIS相机分辨率低，无法准确识别漏涂、背流、刮线、表面垃圾等纸病，WIS只有正面纸病的检测功能，没有背面纸病检测功能，无法发现并及时处理，造成大量因背面纸病原因降级回抄；当前所用WIS相机分辨率低，无法准确识别纤维团，不能提前预警改善，造成甩浆断纸；因当前WIS检测分辨率偏低造成漏误检导致不良品流向市场，造成客诉，对公司的产品口碑和形象造成不良影响。</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B246C2">
            <w:pPr>
              <w:pStyle w:val="33"/>
              <w:rPr>
                <w:color w:val="auto"/>
              </w:rPr>
            </w:pPr>
            <w:r>
              <w:rPr>
                <w:rFonts w:hint="eastAsia"/>
                <w:color w:val="auto"/>
              </w:rPr>
              <w:t>稳定品质，减少不合格品数量</w:t>
            </w:r>
          </w:p>
        </w:tc>
      </w:tr>
      <w:tr w14:paraId="4521F86C">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86510BD">
            <w:pPr>
              <w:pStyle w:val="33"/>
              <w:rPr>
                <w:color w:val="auto"/>
              </w:rPr>
            </w:pPr>
            <w:r>
              <w:rPr>
                <w:rFonts w:hint="eastAsia"/>
                <w:color w:val="auto"/>
              </w:rPr>
              <w:t>13</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84012AE">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D1965E5">
            <w:pPr>
              <w:pStyle w:val="33"/>
              <w:jc w:val="both"/>
              <w:rPr>
                <w:color w:val="auto"/>
              </w:rPr>
            </w:pPr>
            <w:r>
              <w:rPr>
                <w:rFonts w:hint="eastAsia"/>
                <w:color w:val="auto"/>
              </w:rPr>
              <w:t>涂布1新增E-COS过滤器</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66BD03">
            <w:pPr>
              <w:pStyle w:val="33"/>
              <w:jc w:val="both"/>
              <w:rPr>
                <w:color w:val="auto"/>
              </w:rPr>
            </w:pPr>
            <w:r>
              <w:rPr>
                <w:rFonts w:hint="eastAsia"/>
                <w:color w:val="auto"/>
              </w:rPr>
              <w:t>成纸两侧1米范围内正面小凸点严重，严重影响</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A6DE61E">
            <w:pPr>
              <w:pStyle w:val="33"/>
              <w:rPr>
                <w:color w:val="auto"/>
              </w:rPr>
            </w:pPr>
            <w:r>
              <w:rPr>
                <w:rFonts w:hint="eastAsia"/>
                <w:color w:val="auto"/>
              </w:rPr>
              <w:t>稳定品质，减少不合格品数量</w:t>
            </w:r>
          </w:p>
        </w:tc>
      </w:tr>
      <w:tr w14:paraId="6AEE4527">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34413D0">
            <w:pPr>
              <w:pStyle w:val="33"/>
              <w:rPr>
                <w:color w:val="auto"/>
              </w:rPr>
            </w:pPr>
            <w:r>
              <w:rPr>
                <w:rFonts w:hint="eastAsia"/>
                <w:color w:val="auto"/>
              </w:rPr>
              <w:t>14</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5B8DE77">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03B5525">
            <w:pPr>
              <w:pStyle w:val="33"/>
              <w:jc w:val="both"/>
              <w:rPr>
                <w:color w:val="auto"/>
              </w:rPr>
            </w:pPr>
            <w:r>
              <w:rPr>
                <w:rFonts w:hint="eastAsia"/>
                <w:color w:val="auto"/>
              </w:rPr>
              <w:t>施胶工作站上、下辊回料各增加2台振动筛</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F3E4515">
            <w:pPr>
              <w:pStyle w:val="33"/>
              <w:jc w:val="both"/>
              <w:rPr>
                <w:color w:val="auto"/>
              </w:rPr>
            </w:pPr>
            <w:r>
              <w:rPr>
                <w:rFonts w:hint="eastAsia"/>
                <w:color w:val="auto"/>
              </w:rPr>
              <w:t>使用玉米淀粉后胶液中纸毛及蛋白多，纸面纸毛降级，施胶喷嘴积胶堵塞漏涂</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ED0BE5">
            <w:pPr>
              <w:pStyle w:val="33"/>
              <w:rPr>
                <w:color w:val="auto"/>
              </w:rPr>
            </w:pPr>
            <w:r>
              <w:rPr>
                <w:rFonts w:hint="eastAsia"/>
                <w:color w:val="auto"/>
              </w:rPr>
              <w:t>稳定品质，减少不合格品数量</w:t>
            </w:r>
          </w:p>
        </w:tc>
      </w:tr>
      <w:tr w14:paraId="60BB5AF0">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1DFD7C3">
            <w:pPr>
              <w:pStyle w:val="33"/>
              <w:rPr>
                <w:color w:val="auto"/>
              </w:rPr>
            </w:pPr>
            <w:r>
              <w:rPr>
                <w:rFonts w:hint="eastAsia"/>
                <w:color w:val="auto"/>
              </w:rPr>
              <w:t>15</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3653194">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C2BB729">
            <w:pPr>
              <w:pStyle w:val="33"/>
              <w:jc w:val="both"/>
              <w:rPr>
                <w:color w:val="auto"/>
              </w:rPr>
            </w:pPr>
            <w:r>
              <w:rPr>
                <w:rFonts w:hint="eastAsia"/>
                <w:color w:val="auto"/>
              </w:rPr>
              <w:t>卷取社会卡喷水封边改造</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1E62CF">
            <w:pPr>
              <w:pStyle w:val="33"/>
              <w:jc w:val="both"/>
              <w:rPr>
                <w:color w:val="auto"/>
              </w:rPr>
            </w:pPr>
            <w:r>
              <w:rPr>
                <w:rFonts w:hint="eastAsia"/>
                <w:color w:val="auto"/>
              </w:rPr>
              <w:t>换卷压纸辊甩纸严重，碎纸飞到卷纸缸前面造成断破掉、打底不良导致母卷跑偏及断纸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CC15A8B">
            <w:pPr>
              <w:pStyle w:val="33"/>
              <w:rPr>
                <w:color w:val="auto"/>
              </w:rPr>
            </w:pPr>
            <w:r>
              <w:rPr>
                <w:rFonts w:hint="eastAsia"/>
                <w:color w:val="auto"/>
              </w:rPr>
              <w:t>稳定车速</w:t>
            </w:r>
          </w:p>
        </w:tc>
      </w:tr>
      <w:tr w14:paraId="533D4586">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E9C9E3B">
            <w:pPr>
              <w:pStyle w:val="33"/>
              <w:rPr>
                <w:color w:val="auto"/>
              </w:rPr>
            </w:pPr>
            <w:r>
              <w:rPr>
                <w:rFonts w:hint="eastAsia"/>
                <w:color w:val="auto"/>
              </w:rPr>
              <w:t>16</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96EE645">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E84BEAF">
            <w:pPr>
              <w:pStyle w:val="33"/>
              <w:jc w:val="both"/>
              <w:rPr>
                <w:color w:val="auto"/>
              </w:rPr>
            </w:pPr>
            <w:r>
              <w:rPr>
                <w:rFonts w:hint="eastAsia"/>
                <w:color w:val="auto"/>
              </w:rPr>
              <w:t>1#造纸车间表胶上下辊分开供料</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593FC57">
            <w:pPr>
              <w:pStyle w:val="33"/>
              <w:jc w:val="both"/>
              <w:rPr>
                <w:color w:val="auto"/>
              </w:rPr>
            </w:pPr>
            <w:r>
              <w:rPr>
                <w:rFonts w:hint="eastAsia"/>
                <w:color w:val="auto"/>
              </w:rPr>
              <w:t>原来上下辊供料共用一条管道，一旦设备异常上下辊供料全都面临断料风险，施胶辊脱开断纸及品质异常；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447B5B">
            <w:pPr>
              <w:pStyle w:val="33"/>
              <w:rPr>
                <w:color w:val="auto"/>
              </w:rPr>
            </w:pPr>
            <w:r>
              <w:rPr>
                <w:rFonts w:hint="eastAsia"/>
                <w:color w:val="auto"/>
              </w:rPr>
              <w:t>稳定品质，减少不合格品数量</w:t>
            </w:r>
          </w:p>
        </w:tc>
      </w:tr>
      <w:tr w14:paraId="3B5A9354">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0A0FC12">
            <w:pPr>
              <w:pStyle w:val="33"/>
              <w:rPr>
                <w:color w:val="auto"/>
              </w:rPr>
            </w:pPr>
            <w:r>
              <w:rPr>
                <w:rFonts w:hint="eastAsia"/>
                <w:color w:val="auto"/>
              </w:rPr>
              <w:t>17</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AF328EF">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D765655">
            <w:pPr>
              <w:pStyle w:val="33"/>
              <w:jc w:val="both"/>
              <w:rPr>
                <w:color w:val="auto"/>
              </w:rPr>
            </w:pPr>
            <w:r>
              <w:rPr>
                <w:rFonts w:hint="eastAsia"/>
                <w:color w:val="auto"/>
              </w:rPr>
              <w:t>1#造纸车间网部真空复合辊辊内增加双向喷淋及高压清洗水管喷淋改造</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FDAB7F3">
            <w:pPr>
              <w:pStyle w:val="33"/>
              <w:jc w:val="both"/>
              <w:rPr>
                <w:color w:val="auto"/>
              </w:rPr>
            </w:pPr>
            <w:r>
              <w:rPr>
                <w:rFonts w:hint="eastAsia"/>
                <w:color w:val="auto"/>
              </w:rPr>
              <w:t>辊芯积浆严重堵塞辊孔，辊内喷淋润滑不够密封条磨损严重，漏真空，甩浆断纸多，严重影响车速提及运行效率</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4CF9A2D">
            <w:pPr>
              <w:pStyle w:val="33"/>
              <w:rPr>
                <w:color w:val="auto"/>
              </w:rPr>
            </w:pPr>
            <w:r>
              <w:rPr>
                <w:rFonts w:hint="eastAsia"/>
                <w:color w:val="auto"/>
              </w:rPr>
              <w:t>提高车速</w:t>
            </w:r>
          </w:p>
        </w:tc>
      </w:tr>
      <w:tr w14:paraId="3AC7F9A6">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CD2D556">
            <w:pPr>
              <w:pStyle w:val="33"/>
              <w:rPr>
                <w:color w:val="auto"/>
              </w:rPr>
            </w:pPr>
            <w:r>
              <w:rPr>
                <w:rFonts w:hint="eastAsia"/>
                <w:color w:val="auto"/>
              </w:rPr>
              <w:t>18</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4EF338">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2D5A746">
            <w:pPr>
              <w:pStyle w:val="33"/>
              <w:jc w:val="both"/>
              <w:rPr>
                <w:color w:val="auto"/>
              </w:rPr>
            </w:pPr>
            <w:r>
              <w:rPr>
                <w:rFonts w:hint="eastAsia"/>
                <w:color w:val="auto"/>
              </w:rPr>
              <w:t>卷取新增换卷吹气系统</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97F12E8">
            <w:pPr>
              <w:pStyle w:val="33"/>
              <w:jc w:val="both"/>
              <w:rPr>
                <w:color w:val="auto"/>
              </w:rPr>
            </w:pPr>
            <w:r>
              <w:rPr>
                <w:rFonts w:hint="eastAsia"/>
                <w:color w:val="auto"/>
              </w:rPr>
              <w:t>换卷压纸辊甩纸严重，碎纸飞到卷纸缸前面造成断破掉、打底不良导致母卷跑偏及断纸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05061A">
            <w:pPr>
              <w:pStyle w:val="33"/>
              <w:rPr>
                <w:color w:val="auto"/>
              </w:rPr>
            </w:pPr>
            <w:r>
              <w:rPr>
                <w:rFonts w:hint="eastAsia"/>
                <w:color w:val="auto"/>
              </w:rPr>
              <w:t>提高车速</w:t>
            </w:r>
          </w:p>
        </w:tc>
      </w:tr>
      <w:tr w14:paraId="21715DF0">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C125DB">
            <w:pPr>
              <w:pStyle w:val="33"/>
              <w:rPr>
                <w:color w:val="auto"/>
              </w:rPr>
            </w:pPr>
            <w:r>
              <w:rPr>
                <w:rFonts w:hint="eastAsia"/>
                <w:color w:val="auto"/>
              </w:rPr>
              <w:t>19</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0D60027">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CD0977B">
            <w:pPr>
              <w:pStyle w:val="33"/>
              <w:jc w:val="both"/>
              <w:rPr>
                <w:color w:val="auto"/>
              </w:rPr>
            </w:pPr>
            <w:r>
              <w:rPr>
                <w:rFonts w:hint="eastAsia"/>
                <w:color w:val="auto"/>
              </w:rPr>
              <w:t>卷取换卷喷胶系统及水针系统技改升级</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50362D">
            <w:pPr>
              <w:pStyle w:val="33"/>
              <w:jc w:val="both"/>
              <w:rPr>
                <w:color w:val="auto"/>
              </w:rPr>
            </w:pPr>
            <w:r>
              <w:rPr>
                <w:rFonts w:hint="eastAsia"/>
                <w:color w:val="auto"/>
              </w:rPr>
              <w:t>换卷三角头不贴铁芯辊，折起来后打底不好直接挤破母卷造纸跑偏及断纸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3B5D27">
            <w:pPr>
              <w:pStyle w:val="33"/>
              <w:rPr>
                <w:color w:val="auto"/>
              </w:rPr>
            </w:pPr>
          </w:p>
        </w:tc>
      </w:tr>
      <w:tr w14:paraId="18706F84">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2D7F94">
            <w:pPr>
              <w:pStyle w:val="33"/>
              <w:rPr>
                <w:color w:val="auto"/>
              </w:rPr>
            </w:pPr>
            <w:r>
              <w:rPr>
                <w:rFonts w:hint="eastAsia"/>
                <w:color w:val="auto"/>
              </w:rPr>
              <w:t>20</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D841DDF">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07AA3F8">
            <w:pPr>
              <w:pStyle w:val="33"/>
              <w:jc w:val="both"/>
              <w:rPr>
                <w:color w:val="auto"/>
              </w:rPr>
            </w:pPr>
            <w:r>
              <w:rPr>
                <w:rFonts w:hint="eastAsia"/>
                <w:color w:val="auto"/>
              </w:rPr>
              <w:t>涂1-4食品卡旁通回路技改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BF11E2A">
            <w:pPr>
              <w:pStyle w:val="33"/>
              <w:jc w:val="both"/>
              <w:rPr>
                <w:color w:val="auto"/>
              </w:rPr>
            </w:pPr>
            <w:r>
              <w:rPr>
                <w:rFonts w:hint="eastAsia"/>
                <w:color w:val="auto"/>
              </w:rPr>
              <w:t>走社卡回路纸幅容易跑偏，引纸时间长，容易产生表面垃圾</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1EE629">
            <w:pPr>
              <w:pStyle w:val="33"/>
              <w:rPr>
                <w:color w:val="auto"/>
              </w:rPr>
            </w:pPr>
            <w:r>
              <w:rPr>
                <w:rFonts w:hint="eastAsia"/>
                <w:color w:val="auto"/>
              </w:rPr>
              <w:t>稳定品质，减少不合格品数量</w:t>
            </w:r>
          </w:p>
        </w:tc>
      </w:tr>
      <w:tr w14:paraId="6D38CA5D">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C72CC68">
            <w:pPr>
              <w:pStyle w:val="33"/>
              <w:rPr>
                <w:color w:val="auto"/>
              </w:rPr>
            </w:pPr>
            <w:r>
              <w:rPr>
                <w:rFonts w:hint="eastAsia"/>
                <w:color w:val="auto"/>
              </w:rPr>
              <w:t>21</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B188720">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704AC32">
            <w:pPr>
              <w:pStyle w:val="33"/>
              <w:jc w:val="both"/>
              <w:rPr>
                <w:color w:val="auto"/>
              </w:rPr>
            </w:pPr>
            <w:r>
              <w:rPr>
                <w:rFonts w:hint="eastAsia"/>
                <w:color w:val="auto"/>
              </w:rPr>
              <w:t>涂1-4喷嘴梁角度调节机构偏心轮技改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94EBE46">
            <w:pPr>
              <w:pStyle w:val="33"/>
              <w:jc w:val="both"/>
              <w:rPr>
                <w:color w:val="auto"/>
              </w:rPr>
            </w:pPr>
            <w:r>
              <w:rPr>
                <w:rFonts w:hint="eastAsia"/>
                <w:color w:val="auto"/>
              </w:rPr>
              <w:t>从开机那时候，上涂后喷嘴极容易发生背流，喷嘴角度已降到最低，无调节的空间</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CE6618A">
            <w:pPr>
              <w:pStyle w:val="33"/>
              <w:rPr>
                <w:color w:val="auto"/>
              </w:rPr>
            </w:pPr>
            <w:r>
              <w:rPr>
                <w:rFonts w:hint="eastAsia"/>
                <w:color w:val="auto"/>
              </w:rPr>
              <w:t>提高车速</w:t>
            </w:r>
          </w:p>
        </w:tc>
      </w:tr>
      <w:tr w14:paraId="62DD4E6B">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B84CD1">
            <w:pPr>
              <w:pStyle w:val="33"/>
              <w:rPr>
                <w:color w:val="auto"/>
              </w:rPr>
            </w:pPr>
            <w:r>
              <w:rPr>
                <w:rFonts w:hint="eastAsia"/>
                <w:color w:val="auto"/>
              </w:rPr>
              <w:t>22</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767D1A7">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4E2EACE">
            <w:pPr>
              <w:pStyle w:val="33"/>
              <w:jc w:val="both"/>
              <w:rPr>
                <w:color w:val="auto"/>
              </w:rPr>
            </w:pPr>
            <w:r>
              <w:rPr>
                <w:rFonts w:hint="eastAsia"/>
                <w:color w:val="auto"/>
              </w:rPr>
              <w:t>涂4工作站桶槽增加搅拌器</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056B355">
            <w:pPr>
              <w:pStyle w:val="33"/>
              <w:jc w:val="both"/>
              <w:rPr>
                <w:color w:val="auto"/>
              </w:rPr>
            </w:pPr>
            <w:r>
              <w:rPr>
                <w:rFonts w:hint="eastAsia"/>
                <w:color w:val="auto"/>
              </w:rPr>
              <w:t>涂料粘度高，在桶槽里面无法流动，涂料气泡含量严重超标，被泵抽到喷嘴导致震动异常</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92A9D32">
            <w:pPr>
              <w:pStyle w:val="33"/>
              <w:rPr>
                <w:color w:val="auto"/>
              </w:rPr>
            </w:pPr>
          </w:p>
        </w:tc>
      </w:tr>
      <w:tr w14:paraId="27AD2B0A">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F16551B">
            <w:pPr>
              <w:pStyle w:val="33"/>
              <w:rPr>
                <w:color w:val="auto"/>
              </w:rPr>
            </w:pPr>
            <w:r>
              <w:rPr>
                <w:rFonts w:hint="eastAsia"/>
                <w:color w:val="auto"/>
              </w:rPr>
              <w:t>23</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6CBDEC6">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2E3656">
            <w:pPr>
              <w:pStyle w:val="33"/>
              <w:jc w:val="both"/>
              <w:rPr>
                <w:color w:val="auto"/>
              </w:rPr>
            </w:pPr>
            <w:r>
              <w:rPr>
                <w:rFonts w:hint="eastAsia"/>
                <w:color w:val="auto"/>
              </w:rPr>
              <w:t>涂布头涂布刮刀边喷8℃冷冻水代替温水技改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5E74401">
            <w:pPr>
              <w:pStyle w:val="33"/>
              <w:jc w:val="both"/>
              <w:rPr>
                <w:color w:val="auto"/>
              </w:rPr>
            </w:pPr>
            <w:r>
              <w:rPr>
                <w:rFonts w:hint="eastAsia"/>
                <w:color w:val="auto"/>
              </w:rPr>
              <w:t>福伊特设计涂布头边喷使用50℃温水，刮刀与纸幅一直处于热磨损的状态，热水无法降温，导致刮刀磨损快使用寿命短，发生带料压伤降级</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28AE23">
            <w:pPr>
              <w:pStyle w:val="33"/>
              <w:rPr>
                <w:color w:val="auto"/>
              </w:rPr>
            </w:pPr>
          </w:p>
        </w:tc>
      </w:tr>
      <w:tr w14:paraId="6EED4AE6">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958EC8F">
            <w:pPr>
              <w:pStyle w:val="33"/>
              <w:rPr>
                <w:color w:val="auto"/>
              </w:rPr>
            </w:pPr>
            <w:r>
              <w:rPr>
                <w:rFonts w:hint="eastAsia"/>
                <w:color w:val="auto"/>
              </w:rPr>
              <w:t>24</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3780032">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DAC3443">
            <w:pPr>
              <w:pStyle w:val="33"/>
              <w:jc w:val="both"/>
              <w:rPr>
                <w:color w:val="auto"/>
              </w:rPr>
            </w:pPr>
            <w:r>
              <w:rPr>
                <w:rFonts w:hint="eastAsia"/>
                <w:color w:val="auto"/>
              </w:rPr>
              <w:t>1-18#缸的双向稳定器由“”改为“proreaLeas”双向稳定器</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5DCDB9">
            <w:pPr>
              <w:pStyle w:val="33"/>
              <w:jc w:val="both"/>
              <w:rPr>
                <w:color w:val="auto"/>
              </w:rPr>
            </w:pPr>
            <w:r>
              <w:rPr>
                <w:rFonts w:hint="eastAsia"/>
                <w:color w:val="auto"/>
              </w:rPr>
              <w:t>福伊特开配备的是双向稳定器，只有一排密封刮刀，纸幅剥离区域真空不稳定极易发生粘缸鼓泡打折断纸，车速低，车速无法提升。</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3AA14D0">
            <w:pPr>
              <w:pStyle w:val="33"/>
              <w:rPr>
                <w:color w:val="auto"/>
              </w:rPr>
            </w:pPr>
            <w:r>
              <w:rPr>
                <w:rFonts w:hint="eastAsia"/>
                <w:color w:val="auto"/>
              </w:rPr>
              <w:t>提高车速</w:t>
            </w:r>
          </w:p>
        </w:tc>
      </w:tr>
      <w:tr w14:paraId="31790D6E">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05F4381">
            <w:pPr>
              <w:pStyle w:val="33"/>
              <w:rPr>
                <w:color w:val="auto"/>
              </w:rPr>
            </w:pPr>
            <w:r>
              <w:rPr>
                <w:rFonts w:hint="eastAsia"/>
                <w:color w:val="auto"/>
              </w:rPr>
              <w:t>25</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1AD7FB6">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8092668">
            <w:pPr>
              <w:pStyle w:val="33"/>
              <w:jc w:val="both"/>
              <w:rPr>
                <w:color w:val="auto"/>
              </w:rPr>
            </w:pPr>
            <w:r>
              <w:rPr>
                <w:rFonts w:hint="eastAsia"/>
                <w:color w:val="auto"/>
              </w:rPr>
              <w:t>引纸水针系统压力低</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21353F4">
            <w:pPr>
              <w:pStyle w:val="33"/>
              <w:jc w:val="both"/>
              <w:rPr>
                <w:color w:val="auto"/>
              </w:rPr>
            </w:pPr>
            <w:r>
              <w:rPr>
                <w:rFonts w:hint="eastAsia"/>
                <w:color w:val="auto"/>
              </w:rPr>
              <w:t>引纸水针压力低引纸切不开切不好，引纸困难，增加换向阀使双泵能相互打压等，由原来的110mbar提升到150mbar</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A887EE7">
            <w:pPr>
              <w:pStyle w:val="33"/>
              <w:rPr>
                <w:color w:val="auto"/>
              </w:rPr>
            </w:pPr>
            <w:r>
              <w:rPr>
                <w:rFonts w:hint="eastAsia"/>
                <w:color w:val="auto"/>
              </w:rPr>
              <w:t>提高车速</w:t>
            </w:r>
          </w:p>
        </w:tc>
      </w:tr>
      <w:tr w14:paraId="15598C92">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C050091">
            <w:pPr>
              <w:pStyle w:val="33"/>
              <w:rPr>
                <w:color w:val="auto"/>
              </w:rPr>
            </w:pPr>
            <w:r>
              <w:rPr>
                <w:rFonts w:hint="eastAsia"/>
                <w:color w:val="auto"/>
              </w:rPr>
              <w:t>26</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6F378B8">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56AED9B">
            <w:pPr>
              <w:pStyle w:val="33"/>
              <w:jc w:val="both"/>
              <w:rPr>
                <w:color w:val="auto"/>
              </w:rPr>
            </w:pPr>
            <w:r>
              <w:rPr>
                <w:rFonts w:hint="eastAsia"/>
                <w:color w:val="auto"/>
              </w:rPr>
              <w:t>卷取水针压力不稳定</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22A2714">
            <w:pPr>
              <w:pStyle w:val="33"/>
              <w:jc w:val="both"/>
              <w:rPr>
                <w:color w:val="auto"/>
              </w:rPr>
            </w:pPr>
            <w:r>
              <w:rPr>
                <w:rFonts w:hint="eastAsia"/>
                <w:color w:val="auto"/>
              </w:rPr>
              <w:t>卷取水针压力不稳定导致换卷切纸不稳定，增加水针储能器，保障换卷水压稳定可靠</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62A06F5">
            <w:pPr>
              <w:pStyle w:val="33"/>
              <w:rPr>
                <w:color w:val="auto"/>
              </w:rPr>
            </w:pPr>
          </w:p>
        </w:tc>
      </w:tr>
      <w:tr w14:paraId="45C0ED97">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7726CEC">
            <w:pPr>
              <w:pStyle w:val="33"/>
              <w:rPr>
                <w:color w:val="auto"/>
              </w:rPr>
            </w:pPr>
            <w:r>
              <w:rPr>
                <w:rFonts w:hint="eastAsia"/>
                <w:color w:val="auto"/>
              </w:rPr>
              <w:t>27</w:t>
            </w:r>
          </w:p>
        </w:tc>
        <w:tc>
          <w:tcPr>
            <w:tcW w:w="1102"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14:paraId="6BC94FD5">
            <w:pPr>
              <w:pStyle w:val="33"/>
              <w:rPr>
                <w:color w:val="auto"/>
              </w:rPr>
            </w:pPr>
            <w:r>
              <w:rPr>
                <w:rFonts w:hint="eastAsia"/>
                <w:color w:val="auto"/>
              </w:rPr>
              <w:t>1#造纸车间</w:t>
            </w:r>
          </w:p>
        </w:tc>
        <w:tc>
          <w:tcPr>
            <w:tcW w:w="2127"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14:paraId="25087DC4">
            <w:pPr>
              <w:pStyle w:val="33"/>
              <w:jc w:val="both"/>
              <w:rPr>
                <w:color w:val="auto"/>
              </w:rPr>
            </w:pPr>
            <w:r>
              <w:rPr>
                <w:rFonts w:hint="eastAsia"/>
                <w:color w:val="auto"/>
              </w:rPr>
              <w:t>前干刮刀升级改造</w:t>
            </w:r>
          </w:p>
        </w:tc>
        <w:tc>
          <w:tcPr>
            <w:tcW w:w="4110"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14:paraId="51CD8485">
            <w:pPr>
              <w:pStyle w:val="33"/>
              <w:jc w:val="both"/>
              <w:rPr>
                <w:color w:val="auto"/>
              </w:rPr>
            </w:pPr>
            <w:r>
              <w:rPr>
                <w:rFonts w:hint="eastAsia"/>
                <w:color w:val="auto"/>
              </w:rPr>
              <w:t>刮刀卡纸损失时间严重影响了纸机的运行效率，需要把前干刮刀夹进行技改，避免刮刀卡纸提高纸机运行效率。计划请购15把刮刀夹进行技改。优先对6-31号刮刀夹进行技改，减少刮刀卡纸时间，提升纸机运行效率。</w:t>
            </w:r>
          </w:p>
        </w:tc>
        <w:tc>
          <w:tcPr>
            <w:tcW w:w="1134" w:type="dxa"/>
            <w:tcBorders>
              <w:top w:val="single" w:color="000000" w:sz="4" w:space="0"/>
              <w:left w:val="single" w:color="000000" w:sz="4" w:space="0"/>
              <w:bottom w:val="nil"/>
              <w:right w:val="single" w:color="000000" w:sz="4" w:space="0"/>
            </w:tcBorders>
            <w:tcMar>
              <w:top w:w="15" w:type="dxa"/>
              <w:left w:w="15" w:type="dxa"/>
              <w:right w:w="15" w:type="dxa"/>
            </w:tcMar>
            <w:vAlign w:val="center"/>
          </w:tcPr>
          <w:p w14:paraId="5461C49F">
            <w:pPr>
              <w:pStyle w:val="33"/>
              <w:rPr>
                <w:color w:val="auto"/>
              </w:rPr>
            </w:pPr>
            <w:r>
              <w:rPr>
                <w:rFonts w:hint="eastAsia"/>
                <w:color w:val="auto"/>
              </w:rPr>
              <w:t>提高车速</w:t>
            </w:r>
          </w:p>
        </w:tc>
      </w:tr>
      <w:tr w14:paraId="0CF04900">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678DEE">
            <w:pPr>
              <w:pStyle w:val="33"/>
              <w:rPr>
                <w:color w:val="auto"/>
              </w:rPr>
            </w:pPr>
            <w:r>
              <w:rPr>
                <w:rFonts w:hint="eastAsia"/>
                <w:color w:val="auto"/>
              </w:rPr>
              <w:t>28</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0BC8F4B">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CD2140E">
            <w:pPr>
              <w:pStyle w:val="33"/>
              <w:jc w:val="both"/>
              <w:rPr>
                <w:color w:val="auto"/>
              </w:rPr>
            </w:pPr>
            <w:r>
              <w:rPr>
                <w:rFonts w:hint="eastAsia"/>
                <w:color w:val="auto"/>
              </w:rPr>
              <w:t>1#造纸车间CCK配方站系统升级项目</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457D9C7">
            <w:pPr>
              <w:pStyle w:val="33"/>
              <w:jc w:val="both"/>
              <w:rPr>
                <w:color w:val="auto"/>
              </w:rPr>
            </w:pPr>
            <w:r>
              <w:rPr>
                <w:color w:val="auto"/>
              </w:rPr>
              <w:t>改造方案：</w:t>
            </w:r>
          </w:p>
          <w:p w14:paraId="1774679E">
            <w:pPr>
              <w:pStyle w:val="33"/>
              <w:jc w:val="both"/>
              <w:rPr>
                <w:color w:val="auto"/>
              </w:rPr>
            </w:pPr>
            <w:r>
              <w:rPr>
                <w:color w:val="auto"/>
              </w:rPr>
              <w:t>1、将配方站系统进行全面升级，原硬件升级，原window xp系统升级到window10，服务器软件由升级ONLINE ACN服务器。全面升级后的配方站服务器，可以帮助生产快速调整配方，查询报表，提高操作效率及管理，避免服务器死机，掉线导致生产制备。</w:t>
            </w:r>
          </w:p>
          <w:p w14:paraId="42580E77">
            <w:pPr>
              <w:pStyle w:val="33"/>
              <w:jc w:val="both"/>
              <w:rPr>
                <w:color w:val="auto"/>
              </w:rPr>
            </w:pPr>
            <w:r>
              <w:rPr>
                <w:color w:val="auto"/>
              </w:rPr>
              <w:t>2、离线系统备用，当主服务器故障后，备用服务器切换上线，即可实现零故障损失时间。</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2FB99B">
            <w:pPr>
              <w:pStyle w:val="33"/>
              <w:rPr>
                <w:color w:val="auto"/>
              </w:rPr>
            </w:pPr>
          </w:p>
        </w:tc>
      </w:tr>
      <w:tr w14:paraId="0099DCDB">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92D48BB">
            <w:pPr>
              <w:pStyle w:val="33"/>
              <w:rPr>
                <w:color w:val="auto"/>
              </w:rPr>
            </w:pPr>
            <w:r>
              <w:rPr>
                <w:rFonts w:hint="eastAsia"/>
                <w:color w:val="auto"/>
              </w:rPr>
              <w:t>29</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94C35ED">
            <w:pPr>
              <w:pStyle w:val="33"/>
              <w:rPr>
                <w:color w:val="auto"/>
              </w:rPr>
            </w:pPr>
            <w:r>
              <w:rPr>
                <w:rFonts w:hint="eastAsia"/>
                <w:color w:val="auto"/>
              </w:rPr>
              <w:t>1#造纸车间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BBDB903">
            <w:pPr>
              <w:pStyle w:val="33"/>
              <w:jc w:val="both"/>
              <w:rPr>
                <w:color w:val="auto"/>
              </w:rPr>
            </w:pPr>
            <w:r>
              <w:rPr>
                <w:rFonts w:hint="eastAsia"/>
                <w:color w:val="auto"/>
              </w:rPr>
              <w:t>1#造纸车间涂布一、二、四旁通技改项目</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0D79507">
            <w:pPr>
              <w:pStyle w:val="33"/>
              <w:jc w:val="both"/>
              <w:rPr>
                <w:color w:val="auto"/>
              </w:rPr>
            </w:pPr>
            <w:r>
              <w:rPr>
                <w:color w:val="auto"/>
              </w:rPr>
              <w:t>改造方案：</w:t>
            </w:r>
          </w:p>
          <w:p w14:paraId="186F81DB">
            <w:pPr>
              <w:pStyle w:val="33"/>
              <w:jc w:val="both"/>
              <w:rPr>
                <w:color w:val="auto"/>
              </w:rPr>
            </w:pPr>
            <w:r>
              <w:rPr>
                <w:color w:val="auto"/>
              </w:rPr>
              <w:t>为了降低食品卡生产期间的涂布段电能损耗，通过在涂布1/2/4这三组分别新增2个导辊共计6个导辊改变生产食品卡时纸幅路径，实现纸幅不用进过HCB-turn，9个导辊传动及HCB6台风机可以停止运行，从而降低设备损耗及电能浪费。</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8D57944">
            <w:pPr>
              <w:pStyle w:val="33"/>
              <w:rPr>
                <w:color w:val="auto"/>
              </w:rPr>
            </w:pPr>
            <w:r>
              <w:rPr>
                <w:color w:val="auto"/>
              </w:rPr>
              <w:t>降低能耗</w:t>
            </w:r>
          </w:p>
        </w:tc>
      </w:tr>
      <w:tr w14:paraId="26D91B45">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9BA650C">
            <w:pPr>
              <w:pStyle w:val="33"/>
              <w:rPr>
                <w:color w:val="auto"/>
              </w:rPr>
            </w:pPr>
            <w:r>
              <w:rPr>
                <w:rFonts w:hint="eastAsia"/>
                <w:color w:val="auto"/>
              </w:rPr>
              <w:t>30</w:t>
            </w:r>
          </w:p>
        </w:tc>
        <w:tc>
          <w:tcPr>
            <w:tcW w:w="1102"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6EC34CA2">
            <w:pPr>
              <w:pStyle w:val="33"/>
              <w:rPr>
                <w:color w:val="auto"/>
              </w:rPr>
            </w:pPr>
            <w:r>
              <w:rPr>
                <w:rFonts w:hint="eastAsia"/>
                <w:color w:val="auto"/>
              </w:rPr>
              <w:t>1#造纸车间</w:t>
            </w:r>
          </w:p>
        </w:tc>
        <w:tc>
          <w:tcPr>
            <w:tcW w:w="2127"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555FCEEF">
            <w:pPr>
              <w:pStyle w:val="33"/>
              <w:jc w:val="both"/>
              <w:rPr>
                <w:color w:val="auto"/>
              </w:rPr>
            </w:pPr>
            <w:r>
              <w:rPr>
                <w:rFonts w:hint="eastAsia"/>
                <w:color w:val="auto"/>
              </w:rPr>
              <w:t>1#造纸车间水环真空泵改透平机</w:t>
            </w:r>
          </w:p>
        </w:tc>
        <w:tc>
          <w:tcPr>
            <w:tcW w:w="4110"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57929498">
            <w:pPr>
              <w:pStyle w:val="33"/>
              <w:jc w:val="both"/>
              <w:rPr>
                <w:color w:val="auto"/>
              </w:rPr>
            </w:pPr>
            <w:r>
              <w:rPr>
                <w:rFonts w:hint="eastAsia"/>
                <w:color w:val="auto"/>
              </w:rPr>
              <w:t>现1#造纸车间网压部的真空箱、真空辊的真空依靠水环真空泵系统提供。水环真空泵系统一共12台真空泵，用电和水量大，每年耗电量为7361.28万度；每年耗水量为186624m³ ；另外，由于1#造纸车间水环真空泵依靠水作为介质真空，经过多年的连续使用，真空泵的内部、真空泵密封水管道、真空泵操作水管道已锈蚀严重，对网压部真空系统稳定带来严峻挑战。</w:t>
            </w:r>
          </w:p>
        </w:tc>
        <w:tc>
          <w:tcPr>
            <w:tcW w:w="1134"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2D5B6908">
            <w:pPr>
              <w:pStyle w:val="33"/>
              <w:rPr>
                <w:color w:val="auto"/>
              </w:rPr>
            </w:pPr>
            <w:r>
              <w:rPr>
                <w:rFonts w:hint="eastAsia"/>
                <w:color w:val="auto"/>
              </w:rPr>
              <w:t>降低能耗</w:t>
            </w:r>
          </w:p>
        </w:tc>
      </w:tr>
      <w:tr w14:paraId="42AA35D7">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1F7E4DB">
            <w:pPr>
              <w:pStyle w:val="33"/>
              <w:rPr>
                <w:color w:val="auto"/>
              </w:rPr>
            </w:pPr>
            <w:r>
              <w:rPr>
                <w:rFonts w:hint="eastAsia"/>
                <w:color w:val="auto"/>
              </w:rPr>
              <w:t>31</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E1387A4">
            <w:pPr>
              <w:pStyle w:val="33"/>
              <w:rPr>
                <w:color w:val="auto"/>
              </w:rPr>
            </w:pPr>
            <w:r>
              <w:rPr>
                <w:rFonts w:hint="eastAsia"/>
                <w:color w:val="auto"/>
              </w:rPr>
              <w:t>2#造纸车间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E476F93">
            <w:pPr>
              <w:pStyle w:val="33"/>
              <w:jc w:val="both"/>
              <w:rPr>
                <w:color w:val="auto"/>
              </w:rPr>
            </w:pPr>
            <w:r>
              <w:rPr>
                <w:rFonts w:hint="eastAsia"/>
                <w:color w:val="auto"/>
              </w:rPr>
              <w:t>涂布工作站涂一螺杆泵改造升级项目</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59041CD">
            <w:pPr>
              <w:pStyle w:val="33"/>
              <w:jc w:val="both"/>
              <w:rPr>
                <w:color w:val="auto"/>
              </w:rPr>
            </w:pPr>
            <w:r>
              <w:rPr>
                <w:color w:val="auto"/>
              </w:rPr>
              <w:t>改造方案：</w:t>
            </w:r>
            <w:r>
              <w:rPr>
                <w:color w:val="auto"/>
              </w:rPr>
              <w:br w:type="textWrapping"/>
            </w:r>
            <w:r>
              <w:rPr>
                <w:color w:val="auto"/>
              </w:rPr>
              <w:t>先对涂一上料站进行改造试用，经与耐驰进行方案讨论，拟参考选用NM148-7000262型号代替现用PCM240ID5型号，采购3台新泵进行升级改造，2用1备。耐驰NM148螺杆泵运行稳定，故障率小，可减少异常停机时间，维护周期长，节省人力物力。</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A3948CA">
            <w:pPr>
              <w:pStyle w:val="33"/>
              <w:rPr>
                <w:color w:val="auto"/>
              </w:rPr>
            </w:pPr>
            <w:r>
              <w:rPr>
                <w:color w:val="auto"/>
              </w:rPr>
              <w:t>提高车速</w:t>
            </w:r>
          </w:p>
        </w:tc>
      </w:tr>
      <w:tr w14:paraId="6A2128FA">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6E04563">
            <w:pPr>
              <w:pStyle w:val="33"/>
              <w:rPr>
                <w:color w:val="auto"/>
              </w:rPr>
            </w:pPr>
            <w:r>
              <w:rPr>
                <w:rFonts w:hint="eastAsia"/>
                <w:color w:val="auto"/>
              </w:rPr>
              <w:t>32</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4D296FF">
            <w:pPr>
              <w:pStyle w:val="33"/>
              <w:rPr>
                <w:color w:val="auto"/>
              </w:rPr>
            </w:pPr>
            <w:r>
              <w:rPr>
                <w:rFonts w:hint="eastAsia"/>
                <w:color w:val="auto"/>
              </w:rPr>
              <w:t>2#造纸车间</w:t>
            </w:r>
          </w:p>
        </w:tc>
        <w:tc>
          <w:tcPr>
            <w:tcW w:w="2127"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0DF778AD">
            <w:pPr>
              <w:pStyle w:val="33"/>
              <w:jc w:val="both"/>
              <w:rPr>
                <w:color w:val="auto"/>
              </w:rPr>
            </w:pPr>
            <w:r>
              <w:rPr>
                <w:rFonts w:hint="eastAsia"/>
                <w:color w:val="auto"/>
              </w:rPr>
              <w:t>2#造纸车间油站冷却系统升级改造</w:t>
            </w:r>
          </w:p>
        </w:tc>
        <w:tc>
          <w:tcPr>
            <w:tcW w:w="4110"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69DD35A0">
            <w:pPr>
              <w:pStyle w:val="33"/>
              <w:jc w:val="both"/>
              <w:rPr>
                <w:color w:val="auto"/>
              </w:rPr>
            </w:pPr>
            <w:r>
              <w:rPr>
                <w:rFonts w:hint="eastAsia"/>
                <w:color w:val="auto"/>
              </w:rPr>
              <w:t>2#造纸车间纸机干部一润滑油站热交换器设计车速1450 m/min，换热量已经达到最大值，影响提速，通过对现有油站交换器进行升级，热交换器交换量可满足纸机1500的目标车速，车速提升50m/min</w:t>
            </w:r>
          </w:p>
        </w:tc>
        <w:tc>
          <w:tcPr>
            <w:tcW w:w="1134"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665F1E7A">
            <w:pPr>
              <w:pStyle w:val="33"/>
              <w:rPr>
                <w:color w:val="auto"/>
              </w:rPr>
            </w:pPr>
            <w:r>
              <w:rPr>
                <w:rFonts w:hint="eastAsia"/>
                <w:color w:val="auto"/>
              </w:rPr>
              <w:t>提高车速</w:t>
            </w:r>
          </w:p>
        </w:tc>
      </w:tr>
      <w:tr w14:paraId="5E7BF35D">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52DE5ED">
            <w:pPr>
              <w:pStyle w:val="33"/>
              <w:rPr>
                <w:color w:val="auto"/>
              </w:rPr>
            </w:pPr>
            <w:r>
              <w:rPr>
                <w:rFonts w:hint="eastAsia"/>
                <w:color w:val="auto"/>
              </w:rPr>
              <w:t>33</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CDA662E">
            <w:pPr>
              <w:pStyle w:val="33"/>
              <w:rPr>
                <w:color w:val="auto"/>
              </w:rPr>
            </w:pPr>
            <w:r>
              <w:rPr>
                <w:rFonts w:hint="eastAsia"/>
                <w:color w:val="auto"/>
              </w:rPr>
              <w:t>2#造纸车间</w:t>
            </w:r>
          </w:p>
        </w:tc>
        <w:tc>
          <w:tcPr>
            <w:tcW w:w="2127"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018EA537">
            <w:pPr>
              <w:pStyle w:val="33"/>
              <w:jc w:val="both"/>
              <w:rPr>
                <w:color w:val="auto"/>
              </w:rPr>
            </w:pPr>
            <w:r>
              <w:rPr>
                <w:rFonts w:hint="eastAsia"/>
                <w:color w:val="auto"/>
              </w:rPr>
              <w:t>2#造纸车间尾缸刮刀升级改造</w:t>
            </w:r>
          </w:p>
        </w:tc>
        <w:tc>
          <w:tcPr>
            <w:tcW w:w="4110"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5864F2CA">
            <w:pPr>
              <w:pStyle w:val="33"/>
              <w:jc w:val="both"/>
              <w:rPr>
                <w:color w:val="auto"/>
              </w:rPr>
            </w:pPr>
            <w:r>
              <w:rPr>
                <w:rFonts w:hint="eastAsia"/>
                <w:color w:val="auto"/>
              </w:rPr>
              <w:t>2#造纸车间尾缸刮刀在引纸过程中卡纸，清理卡纸造成大量损失时间，通过对现有尾缸刮刀进行整体更换升级为新型号刮刀，平均每月减少影响时间约3小时，年减少影响时间180*12=2160min</w:t>
            </w:r>
          </w:p>
        </w:tc>
        <w:tc>
          <w:tcPr>
            <w:tcW w:w="1134" w:type="dxa"/>
            <w:tcBorders>
              <w:top w:val="nil"/>
              <w:left w:val="single" w:color="000000" w:sz="4" w:space="0"/>
              <w:bottom w:val="single" w:color="000000" w:sz="4" w:space="0"/>
              <w:right w:val="single" w:color="000000" w:sz="4" w:space="0"/>
            </w:tcBorders>
            <w:tcMar>
              <w:top w:w="15" w:type="dxa"/>
              <w:left w:w="15" w:type="dxa"/>
              <w:right w:w="15" w:type="dxa"/>
            </w:tcMar>
            <w:vAlign w:val="center"/>
          </w:tcPr>
          <w:p w14:paraId="33C317FC">
            <w:pPr>
              <w:pStyle w:val="33"/>
              <w:rPr>
                <w:color w:val="auto"/>
              </w:rPr>
            </w:pPr>
            <w:r>
              <w:rPr>
                <w:rFonts w:hint="eastAsia"/>
                <w:color w:val="auto"/>
              </w:rPr>
              <w:t>提高车速</w:t>
            </w:r>
          </w:p>
        </w:tc>
      </w:tr>
      <w:tr w14:paraId="4705D975">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434284D">
            <w:pPr>
              <w:pStyle w:val="33"/>
              <w:rPr>
                <w:color w:val="auto"/>
              </w:rPr>
            </w:pPr>
            <w:r>
              <w:rPr>
                <w:rFonts w:hint="eastAsia"/>
                <w:color w:val="auto"/>
              </w:rPr>
              <w:t>34</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FFAF2ED">
            <w:pPr>
              <w:pStyle w:val="33"/>
              <w:rPr>
                <w:color w:val="auto"/>
              </w:rPr>
            </w:pPr>
            <w:r>
              <w:rPr>
                <w:rFonts w:hint="eastAsia"/>
                <w:color w:val="auto"/>
              </w:rPr>
              <w:t>整理车间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9466FF4">
            <w:pPr>
              <w:pStyle w:val="33"/>
              <w:jc w:val="both"/>
              <w:rPr>
                <w:color w:val="auto"/>
              </w:rPr>
            </w:pPr>
            <w:r>
              <w:rPr>
                <w:rFonts w:hint="eastAsia"/>
                <w:color w:val="auto"/>
              </w:rPr>
              <w:t>2#3#小复卷夹头自动化</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E418EDF">
            <w:pPr>
              <w:pStyle w:val="33"/>
              <w:jc w:val="both"/>
              <w:rPr>
                <w:color w:val="auto"/>
              </w:rPr>
            </w:pPr>
            <w:r>
              <w:rPr>
                <w:rFonts w:hint="eastAsia"/>
                <w:color w:val="auto"/>
              </w:rPr>
              <w:t>技改前2#3#小复卷收卷部夹头调整为手动操作，换规格需要8~10分钟/次，改为自动夹头，节省50%换规格时间，产量提高450吨/月；</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412F9CB">
            <w:pPr>
              <w:pStyle w:val="33"/>
              <w:rPr>
                <w:color w:val="auto"/>
              </w:rPr>
            </w:pPr>
            <w:r>
              <w:rPr>
                <w:rFonts w:hint="eastAsia"/>
                <w:color w:val="auto"/>
              </w:rPr>
              <w:t>提高车速</w:t>
            </w:r>
          </w:p>
        </w:tc>
      </w:tr>
      <w:tr w14:paraId="504F6088">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67428E2">
            <w:pPr>
              <w:pStyle w:val="33"/>
              <w:rPr>
                <w:color w:val="auto"/>
              </w:rPr>
            </w:pPr>
            <w:r>
              <w:rPr>
                <w:rFonts w:hint="eastAsia"/>
                <w:color w:val="auto"/>
              </w:rPr>
              <w:t>35</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1513599">
            <w:pPr>
              <w:pStyle w:val="33"/>
              <w:rPr>
                <w:color w:val="auto"/>
              </w:rPr>
            </w:pPr>
            <w:r>
              <w:rPr>
                <w:rFonts w:hint="eastAsia"/>
                <w:color w:val="auto"/>
              </w:rPr>
              <w:t>整理车间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3822412">
            <w:pPr>
              <w:pStyle w:val="33"/>
              <w:jc w:val="both"/>
              <w:rPr>
                <w:color w:val="auto"/>
              </w:rPr>
            </w:pPr>
            <w:r>
              <w:rPr>
                <w:rFonts w:hint="eastAsia"/>
                <w:color w:val="auto"/>
              </w:rPr>
              <w:t>1#造纸车间卷筒包装机自动上木塞头（2台）</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2AE992F">
            <w:pPr>
              <w:pStyle w:val="33"/>
              <w:jc w:val="both"/>
              <w:rPr>
                <w:color w:val="auto"/>
              </w:rPr>
            </w:pPr>
            <w:r>
              <w:rPr>
                <w:rFonts w:hint="eastAsia"/>
                <w:color w:val="auto"/>
              </w:rPr>
              <w:t>技改前卷筒包装机木塞头为人工放置，每班需安排3人敲木塞头；增加2台自动上木塞头设备，可以节降人力9人，有助于提升产能并降低返包率</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F378753">
            <w:pPr>
              <w:pStyle w:val="33"/>
              <w:rPr>
                <w:color w:val="auto"/>
              </w:rPr>
            </w:pPr>
            <w:r>
              <w:rPr>
                <w:rFonts w:hint="eastAsia"/>
                <w:color w:val="auto"/>
              </w:rPr>
              <w:t>提高车速</w:t>
            </w:r>
          </w:p>
        </w:tc>
      </w:tr>
      <w:tr w14:paraId="6A1CAE6E">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01A8E66">
            <w:pPr>
              <w:pStyle w:val="33"/>
              <w:rPr>
                <w:color w:val="auto"/>
              </w:rPr>
            </w:pPr>
            <w:r>
              <w:rPr>
                <w:rFonts w:hint="eastAsia"/>
                <w:color w:val="auto"/>
              </w:rPr>
              <w:t>36</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5D5C508">
            <w:pPr>
              <w:pStyle w:val="33"/>
              <w:rPr>
                <w:color w:val="auto"/>
              </w:rPr>
            </w:pPr>
            <w:r>
              <w:rPr>
                <w:rFonts w:hint="eastAsia"/>
                <w:color w:val="auto"/>
              </w:rPr>
              <w:t>整理车间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04F4A5EB">
            <w:pPr>
              <w:pStyle w:val="33"/>
              <w:jc w:val="both"/>
              <w:rPr>
                <w:color w:val="auto"/>
              </w:rPr>
            </w:pPr>
            <w:r>
              <w:rPr>
                <w:rFonts w:hint="eastAsia"/>
                <w:color w:val="auto"/>
              </w:rPr>
              <w:t>整理部平板车间新增令包机</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88DCBF6">
            <w:pPr>
              <w:pStyle w:val="33"/>
              <w:jc w:val="both"/>
              <w:rPr>
                <w:color w:val="auto"/>
              </w:rPr>
            </w:pPr>
            <w:r>
              <w:rPr>
                <w:rFonts w:hint="eastAsia"/>
                <w:color w:val="auto"/>
              </w:rPr>
              <w:t>2022年5月开始，平板订单增加，平板订单增加100%，令包订单增加500%，金桂只有2台令包机，无法满足生产；充分利用闲置资源，经过与金海整理部沟通，从金海友厂调拨1台令包装机，转让给金桂使用</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32D680EC">
            <w:pPr>
              <w:pStyle w:val="33"/>
              <w:rPr>
                <w:color w:val="auto"/>
              </w:rPr>
            </w:pPr>
          </w:p>
        </w:tc>
      </w:tr>
      <w:tr w14:paraId="3946B2A1">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95CA3DA">
            <w:pPr>
              <w:pStyle w:val="33"/>
              <w:rPr>
                <w:color w:val="auto"/>
              </w:rPr>
            </w:pPr>
            <w:r>
              <w:rPr>
                <w:rFonts w:hint="eastAsia"/>
                <w:color w:val="auto"/>
              </w:rPr>
              <w:t>37</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206BFA2">
            <w:pPr>
              <w:pStyle w:val="33"/>
              <w:rPr>
                <w:color w:val="auto"/>
              </w:rPr>
            </w:pPr>
            <w:r>
              <w:rPr>
                <w:rFonts w:hint="eastAsia"/>
                <w:color w:val="auto"/>
              </w:rPr>
              <w:t>整理车间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77F270BB">
            <w:pPr>
              <w:pStyle w:val="33"/>
              <w:jc w:val="both"/>
              <w:rPr>
                <w:color w:val="auto"/>
              </w:rPr>
            </w:pPr>
            <w:r>
              <w:rPr>
                <w:rFonts w:hint="eastAsia"/>
                <w:color w:val="auto"/>
              </w:rPr>
              <w:t>新增2台小复机项目</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2ADBAFB2">
            <w:pPr>
              <w:pStyle w:val="33"/>
              <w:jc w:val="both"/>
              <w:rPr>
                <w:color w:val="auto"/>
              </w:rPr>
            </w:pPr>
            <w:r>
              <w:rPr>
                <w:rFonts w:hint="eastAsia"/>
                <w:color w:val="auto"/>
              </w:rPr>
              <w:t>技改前2023年卷筒订单占比90%，按当前纸机车速，1#造纸车间大复卷机产能已无法满足纸机需求，综合现有产能及24年产量提升需求考虑，需要增加两台小复卷机</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8EFF995">
            <w:pPr>
              <w:pStyle w:val="33"/>
              <w:rPr>
                <w:color w:val="auto"/>
              </w:rPr>
            </w:pPr>
            <w:r>
              <w:rPr>
                <w:rFonts w:hint="eastAsia"/>
                <w:color w:val="auto"/>
              </w:rPr>
              <w:t>提高车速</w:t>
            </w:r>
          </w:p>
        </w:tc>
      </w:tr>
      <w:tr w14:paraId="5D31BCA3">
        <w:tblPrEx>
          <w:tblCellMar>
            <w:top w:w="0" w:type="dxa"/>
            <w:left w:w="0" w:type="dxa"/>
            <w:bottom w:w="0" w:type="dxa"/>
            <w:right w:w="0" w:type="dxa"/>
          </w:tblCellMar>
        </w:tblPrEx>
        <w:trPr>
          <w:trHeight w:val="20" w:hRule="atLeast"/>
        </w:trPr>
        <w:tc>
          <w:tcPr>
            <w:tcW w:w="59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83F9ABC">
            <w:pPr>
              <w:pStyle w:val="33"/>
              <w:rPr>
                <w:color w:val="auto"/>
              </w:rPr>
            </w:pPr>
            <w:r>
              <w:rPr>
                <w:rFonts w:hint="eastAsia"/>
                <w:color w:val="auto"/>
              </w:rPr>
              <w:t>38</w:t>
            </w:r>
          </w:p>
        </w:tc>
        <w:tc>
          <w:tcPr>
            <w:tcW w:w="110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6B200CBD">
            <w:pPr>
              <w:pStyle w:val="33"/>
              <w:rPr>
                <w:color w:val="auto"/>
              </w:rPr>
            </w:pPr>
            <w:r>
              <w:rPr>
                <w:rFonts w:hint="eastAsia"/>
                <w:color w:val="auto"/>
              </w:rPr>
              <w:t>整理车间</w:t>
            </w:r>
          </w:p>
        </w:tc>
        <w:tc>
          <w:tcPr>
            <w:tcW w:w="2127"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4795A4D2">
            <w:pPr>
              <w:pStyle w:val="33"/>
              <w:jc w:val="both"/>
              <w:rPr>
                <w:color w:val="auto"/>
              </w:rPr>
            </w:pPr>
            <w:r>
              <w:rPr>
                <w:rFonts w:hint="eastAsia"/>
                <w:color w:val="auto"/>
              </w:rPr>
              <w:t>新增6#卷筒包装机（含输送带正反转整改）</w:t>
            </w:r>
          </w:p>
        </w:tc>
        <w:tc>
          <w:tcPr>
            <w:tcW w:w="4110"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52E0F75C">
            <w:pPr>
              <w:pStyle w:val="33"/>
              <w:jc w:val="both"/>
              <w:rPr>
                <w:color w:val="auto"/>
              </w:rPr>
            </w:pPr>
            <w:r>
              <w:rPr>
                <w:rFonts w:hint="eastAsia"/>
                <w:color w:val="auto"/>
              </w:rPr>
              <w:t>金桂2#造纸车间卷筒区域设置3台卷筒包装机，目前只安装了两台，包装能力无法覆盖两台纸机全部卷筒订单，致1#造纸车间剩余45.34%卷筒进入平仓，为提升金桂立体库效率，增加6#卷筒包装机；</w:t>
            </w:r>
          </w:p>
        </w:tc>
        <w:tc>
          <w:tcPr>
            <w:tcW w:w="1134"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14:paraId="1B7E73EB">
            <w:pPr>
              <w:pStyle w:val="33"/>
              <w:rPr>
                <w:color w:val="auto"/>
              </w:rPr>
            </w:pPr>
            <w:r>
              <w:rPr>
                <w:rFonts w:hint="eastAsia"/>
                <w:color w:val="auto"/>
              </w:rPr>
              <w:t>提高车速</w:t>
            </w:r>
          </w:p>
        </w:tc>
      </w:tr>
    </w:tbl>
    <w:p w14:paraId="63EA864E">
      <w:pPr>
        <w:ind w:firstLine="0" w:firstLineChars="0"/>
        <w:rPr>
          <w:color w:val="auto"/>
          <w:szCs w:val="28"/>
        </w:rPr>
      </w:pPr>
    </w:p>
    <w:p w14:paraId="59EBE450">
      <w:pPr>
        <w:ind w:firstLine="480"/>
        <w:rPr>
          <w:color w:val="auto"/>
        </w:rPr>
      </w:pPr>
      <w:r>
        <w:rPr>
          <w:rFonts w:hint="eastAsia"/>
          <w:color w:val="auto"/>
        </w:rPr>
        <w:t>①备浆车间</w:t>
      </w:r>
    </w:p>
    <w:p w14:paraId="49A2AC1A">
      <w:pPr>
        <w:ind w:firstLine="480"/>
        <w:rPr>
          <w:color w:val="auto"/>
        </w:rPr>
      </w:pPr>
      <w:r>
        <w:rPr>
          <w:rFonts w:hint="eastAsia"/>
          <w:color w:val="auto"/>
        </w:rPr>
        <w:t>根据生产规模及产品的原料结构，在1#、2#备浆车间各设置四条浆板处理线、一条湿浆线及一条损纸处理线，处理NBKP、LBKP、APMP浆板、APMP湿浆和损纸，各生产线处理能力和而处理方法具体见下表。</w:t>
      </w:r>
    </w:p>
    <w:p w14:paraId="00B12F86">
      <w:pPr>
        <w:pStyle w:val="7"/>
        <w:rPr>
          <w:color w:val="auto"/>
        </w:rPr>
      </w:pPr>
      <w:r>
        <w:rPr>
          <w:rFonts w:hint="eastAsia"/>
          <w:color w:val="auto"/>
        </w:rPr>
        <w:t>备浆车间处理能力及处理方法</w:t>
      </w:r>
    </w:p>
    <w:tbl>
      <w:tblPr>
        <w:tblStyle w:val="26"/>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9"/>
        <w:gridCol w:w="2009"/>
        <w:gridCol w:w="2375"/>
        <w:gridCol w:w="3050"/>
      </w:tblGrid>
      <w:tr w14:paraId="56953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Merge w:val="restart"/>
            <w:vAlign w:val="center"/>
          </w:tcPr>
          <w:p w14:paraId="2878E57F">
            <w:pPr>
              <w:pStyle w:val="33"/>
              <w:rPr>
                <w:color w:val="auto"/>
              </w:rPr>
            </w:pPr>
            <w:r>
              <w:rPr>
                <w:rFonts w:hint="eastAsia"/>
                <w:color w:val="auto"/>
              </w:rPr>
              <w:t>处理原料</w:t>
            </w:r>
          </w:p>
        </w:tc>
        <w:tc>
          <w:tcPr>
            <w:tcW w:w="2359" w:type="pct"/>
            <w:gridSpan w:val="2"/>
            <w:vAlign w:val="center"/>
          </w:tcPr>
          <w:p w14:paraId="3875B8D7">
            <w:pPr>
              <w:pStyle w:val="33"/>
              <w:rPr>
                <w:color w:val="auto"/>
              </w:rPr>
            </w:pPr>
            <w:r>
              <w:rPr>
                <w:rFonts w:hint="eastAsia"/>
                <w:color w:val="auto"/>
              </w:rPr>
              <w:t>处理能力（t/d）</w:t>
            </w:r>
          </w:p>
        </w:tc>
        <w:tc>
          <w:tcPr>
            <w:tcW w:w="1641" w:type="pct"/>
            <w:vMerge w:val="restart"/>
            <w:vAlign w:val="center"/>
          </w:tcPr>
          <w:p w14:paraId="135247B2">
            <w:pPr>
              <w:pStyle w:val="33"/>
              <w:rPr>
                <w:color w:val="auto"/>
              </w:rPr>
            </w:pPr>
            <w:r>
              <w:rPr>
                <w:rFonts w:hint="eastAsia"/>
                <w:color w:val="auto"/>
              </w:rPr>
              <w:t>处理方法</w:t>
            </w:r>
          </w:p>
        </w:tc>
      </w:tr>
      <w:tr w14:paraId="53EF7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Merge w:val="continue"/>
            <w:vAlign w:val="center"/>
          </w:tcPr>
          <w:p w14:paraId="72BBA9B9">
            <w:pPr>
              <w:pStyle w:val="33"/>
              <w:rPr>
                <w:color w:val="auto"/>
              </w:rPr>
            </w:pPr>
          </w:p>
        </w:tc>
        <w:tc>
          <w:tcPr>
            <w:tcW w:w="1081" w:type="pct"/>
            <w:vAlign w:val="center"/>
          </w:tcPr>
          <w:p w14:paraId="246B0B14">
            <w:pPr>
              <w:pStyle w:val="33"/>
              <w:rPr>
                <w:color w:val="auto"/>
              </w:rPr>
            </w:pPr>
            <w:r>
              <w:rPr>
                <w:rFonts w:hint="eastAsia"/>
                <w:color w:val="auto"/>
              </w:rPr>
              <w:t>1#备浆车间</w:t>
            </w:r>
          </w:p>
        </w:tc>
        <w:tc>
          <w:tcPr>
            <w:tcW w:w="1278" w:type="pct"/>
            <w:vAlign w:val="center"/>
          </w:tcPr>
          <w:p w14:paraId="3994D542">
            <w:pPr>
              <w:pStyle w:val="33"/>
              <w:rPr>
                <w:color w:val="auto"/>
              </w:rPr>
            </w:pPr>
            <w:r>
              <w:rPr>
                <w:rFonts w:hint="eastAsia"/>
                <w:color w:val="auto"/>
              </w:rPr>
              <w:t>2#备浆车间</w:t>
            </w:r>
          </w:p>
        </w:tc>
        <w:tc>
          <w:tcPr>
            <w:tcW w:w="1641" w:type="pct"/>
            <w:vMerge w:val="continue"/>
            <w:vAlign w:val="center"/>
          </w:tcPr>
          <w:p w14:paraId="1DC61A66">
            <w:pPr>
              <w:pStyle w:val="33"/>
              <w:rPr>
                <w:color w:val="auto"/>
              </w:rPr>
            </w:pPr>
          </w:p>
        </w:tc>
      </w:tr>
      <w:tr w14:paraId="56904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361A596E">
            <w:pPr>
              <w:pStyle w:val="33"/>
              <w:rPr>
                <w:color w:val="auto"/>
              </w:rPr>
            </w:pPr>
            <w:r>
              <w:rPr>
                <w:rFonts w:hint="eastAsia"/>
                <w:color w:val="auto"/>
              </w:rPr>
              <w:t>商品NBKP浆板</w:t>
            </w:r>
          </w:p>
        </w:tc>
        <w:tc>
          <w:tcPr>
            <w:tcW w:w="1081" w:type="pct"/>
            <w:vAlign w:val="center"/>
          </w:tcPr>
          <w:p w14:paraId="2BE59632">
            <w:pPr>
              <w:pStyle w:val="33"/>
              <w:rPr>
                <w:color w:val="auto"/>
              </w:rPr>
            </w:pPr>
            <w:r>
              <w:rPr>
                <w:rFonts w:hint="eastAsia"/>
                <w:color w:val="auto"/>
              </w:rPr>
              <w:t>370</w:t>
            </w:r>
          </w:p>
        </w:tc>
        <w:tc>
          <w:tcPr>
            <w:tcW w:w="1278" w:type="pct"/>
            <w:vAlign w:val="center"/>
          </w:tcPr>
          <w:p w14:paraId="2E842E49">
            <w:pPr>
              <w:pStyle w:val="33"/>
              <w:rPr>
                <w:color w:val="auto"/>
              </w:rPr>
            </w:pPr>
            <w:r>
              <w:rPr>
                <w:rFonts w:hint="eastAsia"/>
                <w:color w:val="auto"/>
              </w:rPr>
              <w:t>370</w:t>
            </w:r>
          </w:p>
        </w:tc>
        <w:tc>
          <w:tcPr>
            <w:tcW w:w="1641" w:type="pct"/>
            <w:vAlign w:val="center"/>
          </w:tcPr>
          <w:p w14:paraId="21BFCFB6">
            <w:pPr>
              <w:pStyle w:val="33"/>
              <w:rPr>
                <w:color w:val="auto"/>
              </w:rPr>
            </w:pPr>
            <w:r>
              <w:rPr>
                <w:rFonts w:hint="eastAsia"/>
                <w:color w:val="auto"/>
              </w:rPr>
              <w:t>碎解、除砂、磨浆、调浓</w:t>
            </w:r>
          </w:p>
        </w:tc>
      </w:tr>
      <w:tr w14:paraId="713DD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771691D7">
            <w:pPr>
              <w:pStyle w:val="33"/>
              <w:rPr>
                <w:color w:val="auto"/>
              </w:rPr>
            </w:pPr>
            <w:r>
              <w:rPr>
                <w:rFonts w:hint="eastAsia"/>
                <w:color w:val="auto"/>
              </w:rPr>
              <w:t>商品LBKP浆板</w:t>
            </w:r>
          </w:p>
        </w:tc>
        <w:tc>
          <w:tcPr>
            <w:tcW w:w="1081" w:type="pct"/>
            <w:vAlign w:val="center"/>
          </w:tcPr>
          <w:p w14:paraId="37E5E097">
            <w:pPr>
              <w:pStyle w:val="33"/>
              <w:rPr>
                <w:color w:val="auto"/>
              </w:rPr>
            </w:pPr>
            <w:r>
              <w:rPr>
                <w:rFonts w:hint="eastAsia"/>
                <w:color w:val="auto"/>
              </w:rPr>
              <w:t>2×800</w:t>
            </w:r>
          </w:p>
        </w:tc>
        <w:tc>
          <w:tcPr>
            <w:tcW w:w="1278" w:type="pct"/>
            <w:vAlign w:val="center"/>
          </w:tcPr>
          <w:p w14:paraId="7F405618">
            <w:pPr>
              <w:pStyle w:val="33"/>
              <w:rPr>
                <w:color w:val="auto"/>
              </w:rPr>
            </w:pPr>
            <w:r>
              <w:rPr>
                <w:rFonts w:hint="eastAsia"/>
                <w:color w:val="auto"/>
              </w:rPr>
              <w:t>2×800</w:t>
            </w:r>
          </w:p>
        </w:tc>
        <w:tc>
          <w:tcPr>
            <w:tcW w:w="1641" w:type="pct"/>
            <w:vAlign w:val="center"/>
          </w:tcPr>
          <w:p w14:paraId="08E5C186">
            <w:pPr>
              <w:pStyle w:val="33"/>
              <w:rPr>
                <w:color w:val="auto"/>
              </w:rPr>
            </w:pPr>
            <w:bookmarkStart w:id="202" w:name="OLE_LINK1"/>
            <w:r>
              <w:rPr>
                <w:rFonts w:hint="eastAsia"/>
                <w:color w:val="auto"/>
              </w:rPr>
              <w:t>碎解、除砂、磨浆、调浓</w:t>
            </w:r>
            <w:bookmarkEnd w:id="202"/>
          </w:p>
        </w:tc>
      </w:tr>
      <w:tr w14:paraId="25CF9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6D25B15E">
            <w:pPr>
              <w:pStyle w:val="33"/>
              <w:rPr>
                <w:color w:val="auto"/>
              </w:rPr>
            </w:pPr>
            <w:r>
              <w:rPr>
                <w:rFonts w:hint="eastAsia"/>
                <w:color w:val="auto"/>
              </w:rPr>
              <w:t>商品APMP浆板</w:t>
            </w:r>
          </w:p>
        </w:tc>
        <w:tc>
          <w:tcPr>
            <w:tcW w:w="1081" w:type="pct"/>
            <w:vAlign w:val="center"/>
          </w:tcPr>
          <w:p w14:paraId="5A124D05">
            <w:pPr>
              <w:pStyle w:val="33"/>
              <w:rPr>
                <w:color w:val="auto"/>
              </w:rPr>
            </w:pPr>
            <w:r>
              <w:rPr>
                <w:rFonts w:hint="eastAsia"/>
                <w:color w:val="auto"/>
              </w:rPr>
              <w:t>900</w:t>
            </w:r>
          </w:p>
        </w:tc>
        <w:tc>
          <w:tcPr>
            <w:tcW w:w="1278" w:type="pct"/>
            <w:vAlign w:val="center"/>
          </w:tcPr>
          <w:p w14:paraId="7A5931C2">
            <w:pPr>
              <w:pStyle w:val="33"/>
              <w:rPr>
                <w:color w:val="auto"/>
              </w:rPr>
            </w:pPr>
            <w:r>
              <w:rPr>
                <w:rFonts w:hint="eastAsia"/>
                <w:color w:val="auto"/>
              </w:rPr>
              <w:t>900</w:t>
            </w:r>
          </w:p>
        </w:tc>
        <w:tc>
          <w:tcPr>
            <w:tcW w:w="1641" w:type="pct"/>
            <w:vAlign w:val="center"/>
          </w:tcPr>
          <w:p w14:paraId="0B21ABFC">
            <w:pPr>
              <w:pStyle w:val="33"/>
              <w:rPr>
                <w:color w:val="auto"/>
              </w:rPr>
            </w:pPr>
            <w:r>
              <w:rPr>
                <w:rFonts w:hint="eastAsia"/>
                <w:color w:val="auto"/>
              </w:rPr>
              <w:t>碎解、除砂、磨浆、调浓</w:t>
            </w:r>
          </w:p>
        </w:tc>
      </w:tr>
      <w:tr w14:paraId="40587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28C689D3">
            <w:pPr>
              <w:pStyle w:val="33"/>
              <w:rPr>
                <w:color w:val="auto"/>
              </w:rPr>
            </w:pPr>
            <w:r>
              <w:rPr>
                <w:rFonts w:hint="eastAsia"/>
                <w:color w:val="auto"/>
              </w:rPr>
              <w:t>APMP自制浆</w:t>
            </w:r>
          </w:p>
        </w:tc>
        <w:tc>
          <w:tcPr>
            <w:tcW w:w="1081" w:type="pct"/>
            <w:vAlign w:val="center"/>
          </w:tcPr>
          <w:p w14:paraId="63A23D6A">
            <w:pPr>
              <w:pStyle w:val="33"/>
              <w:rPr>
                <w:color w:val="auto"/>
              </w:rPr>
            </w:pPr>
            <w:r>
              <w:rPr>
                <w:rFonts w:hint="eastAsia"/>
                <w:color w:val="auto"/>
              </w:rPr>
              <w:t>1800</w:t>
            </w:r>
          </w:p>
        </w:tc>
        <w:tc>
          <w:tcPr>
            <w:tcW w:w="1278" w:type="pct"/>
            <w:vAlign w:val="center"/>
          </w:tcPr>
          <w:p w14:paraId="2C7147E7">
            <w:pPr>
              <w:pStyle w:val="33"/>
              <w:rPr>
                <w:color w:val="auto"/>
              </w:rPr>
            </w:pPr>
            <w:r>
              <w:rPr>
                <w:rFonts w:hint="eastAsia"/>
                <w:color w:val="auto"/>
              </w:rPr>
              <w:t>1800</w:t>
            </w:r>
          </w:p>
        </w:tc>
        <w:tc>
          <w:tcPr>
            <w:tcW w:w="1641" w:type="pct"/>
            <w:vAlign w:val="center"/>
          </w:tcPr>
          <w:p w14:paraId="621AFC93">
            <w:pPr>
              <w:pStyle w:val="33"/>
              <w:rPr>
                <w:color w:val="auto"/>
              </w:rPr>
            </w:pPr>
            <w:r>
              <w:rPr>
                <w:rFonts w:hint="eastAsia"/>
                <w:color w:val="auto"/>
              </w:rPr>
              <w:t>除砂、磨浆、调浓</w:t>
            </w:r>
          </w:p>
        </w:tc>
      </w:tr>
      <w:tr w14:paraId="1802A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14:paraId="1BF08EDC">
            <w:pPr>
              <w:pStyle w:val="33"/>
              <w:rPr>
                <w:color w:val="auto"/>
              </w:rPr>
            </w:pPr>
            <w:r>
              <w:rPr>
                <w:rFonts w:hint="eastAsia"/>
                <w:color w:val="auto"/>
              </w:rPr>
              <w:t>损纸</w:t>
            </w:r>
          </w:p>
        </w:tc>
        <w:tc>
          <w:tcPr>
            <w:tcW w:w="1081" w:type="pct"/>
            <w:vAlign w:val="center"/>
          </w:tcPr>
          <w:p w14:paraId="76A55D31">
            <w:pPr>
              <w:pStyle w:val="33"/>
              <w:rPr>
                <w:color w:val="auto"/>
              </w:rPr>
            </w:pPr>
            <w:r>
              <w:rPr>
                <w:rFonts w:hint="eastAsia"/>
                <w:color w:val="auto"/>
              </w:rPr>
              <w:t>500</w:t>
            </w:r>
          </w:p>
        </w:tc>
        <w:tc>
          <w:tcPr>
            <w:tcW w:w="1278" w:type="pct"/>
            <w:vAlign w:val="center"/>
          </w:tcPr>
          <w:p w14:paraId="76FA2238">
            <w:pPr>
              <w:pStyle w:val="33"/>
              <w:rPr>
                <w:color w:val="auto"/>
              </w:rPr>
            </w:pPr>
            <w:r>
              <w:rPr>
                <w:rFonts w:hint="eastAsia"/>
                <w:color w:val="auto"/>
              </w:rPr>
              <w:t>500</w:t>
            </w:r>
          </w:p>
        </w:tc>
        <w:tc>
          <w:tcPr>
            <w:tcW w:w="1641" w:type="pct"/>
            <w:vAlign w:val="center"/>
          </w:tcPr>
          <w:p w14:paraId="40F527BF">
            <w:pPr>
              <w:pStyle w:val="33"/>
              <w:rPr>
                <w:color w:val="auto"/>
              </w:rPr>
            </w:pPr>
            <w:r>
              <w:rPr>
                <w:rFonts w:hint="eastAsia"/>
                <w:color w:val="auto"/>
              </w:rPr>
              <w:t>除砂、疏解、打浆、调浓</w:t>
            </w:r>
          </w:p>
        </w:tc>
      </w:tr>
    </w:tbl>
    <w:p w14:paraId="392C4DB1">
      <w:pPr>
        <w:ind w:firstLine="480"/>
        <w:rPr>
          <w:color w:val="auto"/>
          <w:szCs w:val="21"/>
        </w:rPr>
      </w:pPr>
      <w:r>
        <w:rPr>
          <w:rFonts w:hint="eastAsia"/>
          <w:color w:val="auto"/>
          <w:szCs w:val="21"/>
        </w:rPr>
        <w:t>注：表格中为1个备浆车间配套内容。</w:t>
      </w:r>
    </w:p>
    <w:p w14:paraId="3F5CD117">
      <w:pPr>
        <w:ind w:firstLine="480"/>
        <w:rPr>
          <w:color w:val="auto"/>
          <w:szCs w:val="21"/>
        </w:rPr>
      </w:pPr>
      <w:r>
        <w:rPr>
          <w:rFonts w:hint="eastAsia"/>
          <w:color w:val="auto"/>
          <w:szCs w:val="21"/>
        </w:rPr>
        <w:t>根据项目物料平衡计算，项目建成后，1#造纸车间和2#造纸车间需要处理NBKP浆板353t/d，LBKP浆板2391t/d，商品APMP浆板884t/d，</w:t>
      </w:r>
      <w:r>
        <w:rPr>
          <w:rFonts w:hint="eastAsia"/>
          <w:color w:val="auto"/>
        </w:rPr>
        <w:t>APMP自制浆2941t/d，1#、2#备浆车间处理能力可以满足生产要求。</w:t>
      </w:r>
    </w:p>
    <w:p w14:paraId="73AD44C2">
      <w:pPr>
        <w:ind w:firstLine="480"/>
        <w:rPr>
          <w:color w:val="auto"/>
        </w:rPr>
      </w:pPr>
      <w:r>
        <w:rPr>
          <w:rFonts w:hint="eastAsia"/>
          <w:color w:val="auto"/>
        </w:rPr>
        <w:t>②造纸车间</w:t>
      </w:r>
    </w:p>
    <w:p w14:paraId="5933AEED">
      <w:pPr>
        <w:ind w:firstLine="480"/>
        <w:rPr>
          <w:color w:val="auto"/>
        </w:rPr>
      </w:pPr>
      <w:r>
        <w:rPr>
          <w:rFonts w:hint="eastAsia"/>
          <w:color w:val="auto"/>
        </w:rPr>
        <w:t>2台纸机每台纸板机生产能力为150万吨/年，生产技术方案配备见下表。</w:t>
      </w:r>
    </w:p>
    <w:p w14:paraId="2ECA9C08">
      <w:pPr>
        <w:pStyle w:val="7"/>
        <w:rPr>
          <w:color w:val="auto"/>
        </w:rPr>
      </w:pPr>
      <w:r>
        <w:rPr>
          <w:rFonts w:hint="eastAsia"/>
          <w:color w:val="auto"/>
        </w:rPr>
        <w:t>生产技术方案配备表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2247"/>
        <w:gridCol w:w="5992"/>
      </w:tblGrid>
      <w:tr w14:paraId="17178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2DD0A1E5">
            <w:pPr>
              <w:pStyle w:val="33"/>
              <w:rPr>
                <w:color w:val="auto"/>
              </w:rPr>
            </w:pPr>
            <w:r>
              <w:rPr>
                <w:rFonts w:hint="eastAsia"/>
                <w:color w:val="auto"/>
              </w:rPr>
              <w:t>序号</w:t>
            </w:r>
          </w:p>
        </w:tc>
        <w:tc>
          <w:tcPr>
            <w:tcW w:w="1210" w:type="pct"/>
            <w:vAlign w:val="center"/>
          </w:tcPr>
          <w:p w14:paraId="37DF9081">
            <w:pPr>
              <w:pStyle w:val="33"/>
              <w:rPr>
                <w:color w:val="auto"/>
              </w:rPr>
            </w:pPr>
            <w:r>
              <w:rPr>
                <w:rFonts w:hint="eastAsia"/>
                <w:color w:val="auto"/>
              </w:rPr>
              <w:t>名 称</w:t>
            </w:r>
          </w:p>
        </w:tc>
        <w:tc>
          <w:tcPr>
            <w:tcW w:w="3226" w:type="pct"/>
            <w:vAlign w:val="center"/>
          </w:tcPr>
          <w:p w14:paraId="16B77530">
            <w:pPr>
              <w:pStyle w:val="33"/>
              <w:rPr>
                <w:color w:val="auto"/>
              </w:rPr>
            </w:pPr>
            <w:r>
              <w:rPr>
                <w:rFonts w:hint="eastAsia"/>
                <w:color w:val="auto"/>
              </w:rPr>
              <w:t>配置方案</w:t>
            </w:r>
          </w:p>
        </w:tc>
      </w:tr>
      <w:tr w14:paraId="0DE82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7BCF6416">
            <w:pPr>
              <w:pStyle w:val="33"/>
              <w:rPr>
                <w:color w:val="auto"/>
              </w:rPr>
            </w:pPr>
            <w:r>
              <w:rPr>
                <w:rFonts w:hint="eastAsia"/>
                <w:color w:val="auto"/>
              </w:rPr>
              <w:t>1</w:t>
            </w:r>
          </w:p>
        </w:tc>
        <w:tc>
          <w:tcPr>
            <w:tcW w:w="1210" w:type="pct"/>
            <w:vAlign w:val="center"/>
          </w:tcPr>
          <w:p w14:paraId="5E3F8B5D">
            <w:pPr>
              <w:pStyle w:val="33"/>
              <w:rPr>
                <w:color w:val="auto"/>
              </w:rPr>
            </w:pPr>
            <w:r>
              <w:rPr>
                <w:rFonts w:hint="eastAsia"/>
                <w:color w:val="auto"/>
              </w:rPr>
              <w:t>产品品种</w:t>
            </w:r>
          </w:p>
        </w:tc>
        <w:tc>
          <w:tcPr>
            <w:tcW w:w="3226" w:type="pct"/>
            <w:vAlign w:val="center"/>
          </w:tcPr>
          <w:p w14:paraId="46D253DD">
            <w:pPr>
              <w:pStyle w:val="33"/>
              <w:jc w:val="both"/>
              <w:rPr>
                <w:color w:val="auto"/>
              </w:rPr>
            </w:pPr>
            <w:r>
              <w:rPr>
                <w:rFonts w:hint="eastAsia"/>
                <w:color w:val="auto"/>
              </w:rPr>
              <w:t>社会卡纸、食品卡纸</w:t>
            </w:r>
          </w:p>
        </w:tc>
      </w:tr>
      <w:tr w14:paraId="4409E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1D2FBE1A">
            <w:pPr>
              <w:pStyle w:val="33"/>
              <w:rPr>
                <w:color w:val="auto"/>
              </w:rPr>
            </w:pPr>
            <w:r>
              <w:rPr>
                <w:color w:val="auto"/>
              </w:rPr>
              <w:t>2</w:t>
            </w:r>
          </w:p>
        </w:tc>
        <w:tc>
          <w:tcPr>
            <w:tcW w:w="1210" w:type="pct"/>
            <w:vAlign w:val="center"/>
          </w:tcPr>
          <w:p w14:paraId="4B9CA524">
            <w:pPr>
              <w:pStyle w:val="33"/>
              <w:rPr>
                <w:color w:val="auto"/>
              </w:rPr>
            </w:pPr>
            <w:r>
              <w:rPr>
                <w:rFonts w:hint="eastAsia"/>
                <w:color w:val="auto"/>
              </w:rPr>
              <w:t>上浆系统</w:t>
            </w:r>
          </w:p>
        </w:tc>
        <w:tc>
          <w:tcPr>
            <w:tcW w:w="3226" w:type="pct"/>
            <w:vAlign w:val="center"/>
          </w:tcPr>
          <w:p w14:paraId="53782AAC">
            <w:pPr>
              <w:pStyle w:val="33"/>
              <w:jc w:val="both"/>
              <w:rPr>
                <w:color w:val="auto"/>
              </w:rPr>
            </w:pPr>
            <w:r>
              <w:rPr>
                <w:rFonts w:hint="eastAsia"/>
                <w:color w:val="auto"/>
              </w:rPr>
              <w:t>上浆泵、低浓除砂、冲浆泵、压力筛</w:t>
            </w:r>
          </w:p>
        </w:tc>
      </w:tr>
      <w:tr w14:paraId="57949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4AA6B70A">
            <w:pPr>
              <w:pStyle w:val="33"/>
              <w:rPr>
                <w:color w:val="auto"/>
              </w:rPr>
            </w:pPr>
            <w:r>
              <w:rPr>
                <w:rFonts w:hint="eastAsia"/>
                <w:color w:val="auto"/>
              </w:rPr>
              <w:t>3</w:t>
            </w:r>
          </w:p>
        </w:tc>
        <w:tc>
          <w:tcPr>
            <w:tcW w:w="1210" w:type="pct"/>
            <w:vAlign w:val="center"/>
          </w:tcPr>
          <w:p w14:paraId="78C8D4FE">
            <w:pPr>
              <w:pStyle w:val="33"/>
              <w:rPr>
                <w:color w:val="auto"/>
              </w:rPr>
            </w:pPr>
            <w:r>
              <w:rPr>
                <w:rFonts w:hint="eastAsia"/>
                <w:color w:val="auto"/>
              </w:rPr>
              <w:t>成形器</w:t>
            </w:r>
          </w:p>
        </w:tc>
        <w:tc>
          <w:tcPr>
            <w:tcW w:w="3226" w:type="pct"/>
            <w:vAlign w:val="center"/>
          </w:tcPr>
          <w:p w14:paraId="4BA016B9">
            <w:pPr>
              <w:pStyle w:val="33"/>
              <w:jc w:val="both"/>
              <w:rPr>
                <w:color w:val="auto"/>
              </w:rPr>
            </w:pPr>
            <w:r>
              <w:rPr>
                <w:rFonts w:hint="eastAsia"/>
                <w:color w:val="auto"/>
              </w:rPr>
              <w:t>三长网+上成型器</w:t>
            </w:r>
          </w:p>
        </w:tc>
      </w:tr>
      <w:tr w14:paraId="57241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7AEBFB40">
            <w:pPr>
              <w:pStyle w:val="33"/>
              <w:rPr>
                <w:color w:val="auto"/>
              </w:rPr>
            </w:pPr>
            <w:r>
              <w:rPr>
                <w:rFonts w:hint="eastAsia"/>
                <w:color w:val="auto"/>
              </w:rPr>
              <w:t>4</w:t>
            </w:r>
          </w:p>
        </w:tc>
        <w:tc>
          <w:tcPr>
            <w:tcW w:w="1210" w:type="pct"/>
            <w:vAlign w:val="center"/>
          </w:tcPr>
          <w:p w14:paraId="4A12C1F5">
            <w:pPr>
              <w:pStyle w:val="33"/>
              <w:rPr>
                <w:color w:val="auto"/>
              </w:rPr>
            </w:pPr>
            <w:r>
              <w:rPr>
                <w:rFonts w:hint="eastAsia"/>
                <w:color w:val="auto"/>
              </w:rPr>
              <w:t>压榨部</w:t>
            </w:r>
          </w:p>
        </w:tc>
        <w:tc>
          <w:tcPr>
            <w:tcW w:w="3226" w:type="pct"/>
            <w:vAlign w:val="center"/>
          </w:tcPr>
          <w:p w14:paraId="4CA7A9A6">
            <w:pPr>
              <w:pStyle w:val="33"/>
              <w:jc w:val="both"/>
              <w:rPr>
                <w:color w:val="auto"/>
              </w:rPr>
            </w:pPr>
            <w:r>
              <w:rPr>
                <w:rFonts w:hint="eastAsia"/>
                <w:color w:val="auto"/>
              </w:rPr>
              <w:t>2道靴压+光压</w:t>
            </w:r>
          </w:p>
        </w:tc>
      </w:tr>
      <w:tr w14:paraId="22B3E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1D955998">
            <w:pPr>
              <w:pStyle w:val="33"/>
              <w:rPr>
                <w:color w:val="auto"/>
              </w:rPr>
            </w:pPr>
            <w:r>
              <w:rPr>
                <w:rFonts w:hint="eastAsia"/>
                <w:color w:val="auto"/>
              </w:rPr>
              <w:t>5</w:t>
            </w:r>
          </w:p>
        </w:tc>
        <w:tc>
          <w:tcPr>
            <w:tcW w:w="1210" w:type="pct"/>
            <w:vAlign w:val="center"/>
          </w:tcPr>
          <w:p w14:paraId="059AD578">
            <w:pPr>
              <w:pStyle w:val="33"/>
              <w:rPr>
                <w:color w:val="auto"/>
              </w:rPr>
            </w:pPr>
            <w:r>
              <w:rPr>
                <w:rFonts w:hint="eastAsia"/>
                <w:color w:val="auto"/>
              </w:rPr>
              <w:t>烘干部</w:t>
            </w:r>
          </w:p>
        </w:tc>
        <w:tc>
          <w:tcPr>
            <w:tcW w:w="3226" w:type="pct"/>
            <w:vAlign w:val="center"/>
          </w:tcPr>
          <w:p w14:paraId="1FFC0761">
            <w:pPr>
              <w:pStyle w:val="33"/>
              <w:jc w:val="both"/>
              <w:rPr>
                <w:color w:val="auto"/>
              </w:rPr>
            </w:pPr>
            <w:r>
              <w:rPr>
                <w:rFonts w:hint="eastAsia"/>
                <w:color w:val="auto"/>
              </w:rPr>
              <w:t>多段通汽、密闭气罩、热回收</w:t>
            </w:r>
          </w:p>
        </w:tc>
      </w:tr>
      <w:tr w14:paraId="4569B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6A2079B0">
            <w:pPr>
              <w:pStyle w:val="33"/>
              <w:rPr>
                <w:color w:val="auto"/>
              </w:rPr>
            </w:pPr>
            <w:r>
              <w:rPr>
                <w:rFonts w:hint="eastAsia"/>
                <w:color w:val="auto"/>
              </w:rPr>
              <w:t>6</w:t>
            </w:r>
          </w:p>
        </w:tc>
        <w:tc>
          <w:tcPr>
            <w:tcW w:w="1210" w:type="pct"/>
            <w:vAlign w:val="center"/>
          </w:tcPr>
          <w:p w14:paraId="7AE9446D">
            <w:pPr>
              <w:pStyle w:val="33"/>
              <w:rPr>
                <w:color w:val="auto"/>
              </w:rPr>
            </w:pPr>
            <w:r>
              <w:rPr>
                <w:rFonts w:hint="eastAsia"/>
                <w:color w:val="auto"/>
              </w:rPr>
              <w:t>施胶</w:t>
            </w:r>
          </w:p>
        </w:tc>
        <w:tc>
          <w:tcPr>
            <w:tcW w:w="3226" w:type="pct"/>
            <w:vAlign w:val="center"/>
          </w:tcPr>
          <w:p w14:paraId="61F31497">
            <w:pPr>
              <w:pStyle w:val="33"/>
              <w:jc w:val="both"/>
              <w:rPr>
                <w:color w:val="auto"/>
              </w:rPr>
            </w:pPr>
            <w:r>
              <w:rPr>
                <w:rFonts w:hint="eastAsia"/>
                <w:color w:val="auto"/>
              </w:rPr>
              <w:t>膜转移施胶机</w:t>
            </w:r>
          </w:p>
        </w:tc>
      </w:tr>
      <w:tr w14:paraId="7D0B0D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047507F6">
            <w:pPr>
              <w:pStyle w:val="33"/>
              <w:rPr>
                <w:color w:val="auto"/>
              </w:rPr>
            </w:pPr>
            <w:r>
              <w:rPr>
                <w:rFonts w:hint="eastAsia"/>
                <w:color w:val="auto"/>
              </w:rPr>
              <w:t>7</w:t>
            </w:r>
          </w:p>
        </w:tc>
        <w:tc>
          <w:tcPr>
            <w:tcW w:w="1210" w:type="pct"/>
            <w:vAlign w:val="center"/>
          </w:tcPr>
          <w:p w14:paraId="18BF1BB2">
            <w:pPr>
              <w:pStyle w:val="33"/>
              <w:rPr>
                <w:color w:val="auto"/>
              </w:rPr>
            </w:pPr>
            <w:r>
              <w:rPr>
                <w:rFonts w:hint="eastAsia"/>
                <w:color w:val="auto"/>
              </w:rPr>
              <w:t>涂布</w:t>
            </w:r>
          </w:p>
        </w:tc>
        <w:tc>
          <w:tcPr>
            <w:tcW w:w="3226" w:type="pct"/>
            <w:vAlign w:val="center"/>
          </w:tcPr>
          <w:p w14:paraId="76963F65">
            <w:pPr>
              <w:pStyle w:val="33"/>
              <w:jc w:val="both"/>
              <w:rPr>
                <w:color w:val="auto"/>
              </w:rPr>
            </w:pPr>
            <w:r>
              <w:rPr>
                <w:rFonts w:hint="eastAsia"/>
                <w:color w:val="auto"/>
              </w:rPr>
              <w:t>4组涂布站（3+1）</w:t>
            </w:r>
          </w:p>
        </w:tc>
      </w:tr>
      <w:tr w14:paraId="6FBD7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2C18E67D">
            <w:pPr>
              <w:pStyle w:val="33"/>
              <w:rPr>
                <w:color w:val="auto"/>
              </w:rPr>
            </w:pPr>
            <w:r>
              <w:rPr>
                <w:rFonts w:hint="eastAsia"/>
                <w:color w:val="auto"/>
              </w:rPr>
              <w:t>8</w:t>
            </w:r>
          </w:p>
        </w:tc>
        <w:tc>
          <w:tcPr>
            <w:tcW w:w="1210" w:type="pct"/>
            <w:vAlign w:val="center"/>
          </w:tcPr>
          <w:p w14:paraId="524F2340">
            <w:pPr>
              <w:pStyle w:val="33"/>
              <w:rPr>
                <w:color w:val="auto"/>
              </w:rPr>
            </w:pPr>
            <w:r>
              <w:rPr>
                <w:rFonts w:hint="eastAsia"/>
                <w:color w:val="auto"/>
              </w:rPr>
              <w:t>压光</w:t>
            </w:r>
          </w:p>
        </w:tc>
        <w:tc>
          <w:tcPr>
            <w:tcW w:w="3226" w:type="pct"/>
            <w:vAlign w:val="center"/>
          </w:tcPr>
          <w:p w14:paraId="41081FEC">
            <w:pPr>
              <w:pStyle w:val="33"/>
              <w:jc w:val="both"/>
              <w:rPr>
                <w:color w:val="auto"/>
              </w:rPr>
            </w:pPr>
            <w:r>
              <w:rPr>
                <w:rFonts w:hint="eastAsia"/>
                <w:color w:val="auto"/>
              </w:rPr>
              <w:t>热辊硬压光</w:t>
            </w:r>
          </w:p>
        </w:tc>
      </w:tr>
      <w:tr w14:paraId="52717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5302EBD9">
            <w:pPr>
              <w:pStyle w:val="33"/>
              <w:rPr>
                <w:color w:val="auto"/>
              </w:rPr>
            </w:pPr>
            <w:r>
              <w:rPr>
                <w:rFonts w:hint="eastAsia"/>
                <w:color w:val="auto"/>
              </w:rPr>
              <w:t>9</w:t>
            </w:r>
          </w:p>
        </w:tc>
        <w:tc>
          <w:tcPr>
            <w:tcW w:w="1210" w:type="pct"/>
            <w:vAlign w:val="center"/>
          </w:tcPr>
          <w:p w14:paraId="321ED5F3">
            <w:pPr>
              <w:pStyle w:val="33"/>
              <w:rPr>
                <w:color w:val="auto"/>
              </w:rPr>
            </w:pPr>
            <w:r>
              <w:rPr>
                <w:rFonts w:hint="eastAsia"/>
                <w:color w:val="auto"/>
              </w:rPr>
              <w:t>表面整饰</w:t>
            </w:r>
          </w:p>
        </w:tc>
        <w:tc>
          <w:tcPr>
            <w:tcW w:w="3226" w:type="pct"/>
            <w:vAlign w:val="center"/>
          </w:tcPr>
          <w:p w14:paraId="64029741">
            <w:pPr>
              <w:pStyle w:val="33"/>
              <w:jc w:val="both"/>
              <w:rPr>
                <w:color w:val="auto"/>
              </w:rPr>
            </w:pPr>
            <w:r>
              <w:rPr>
                <w:rFonts w:hint="eastAsia"/>
                <w:color w:val="auto"/>
              </w:rPr>
              <w:t>软压光机</w:t>
            </w:r>
          </w:p>
        </w:tc>
      </w:tr>
      <w:tr w14:paraId="6B8E8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664ED1A7">
            <w:pPr>
              <w:pStyle w:val="33"/>
              <w:rPr>
                <w:color w:val="auto"/>
              </w:rPr>
            </w:pPr>
            <w:r>
              <w:rPr>
                <w:rFonts w:hint="eastAsia"/>
                <w:color w:val="auto"/>
              </w:rPr>
              <w:t>10</w:t>
            </w:r>
          </w:p>
        </w:tc>
        <w:tc>
          <w:tcPr>
            <w:tcW w:w="1210" w:type="pct"/>
            <w:vAlign w:val="center"/>
          </w:tcPr>
          <w:p w14:paraId="78CDEFAC">
            <w:pPr>
              <w:pStyle w:val="33"/>
              <w:rPr>
                <w:color w:val="auto"/>
              </w:rPr>
            </w:pPr>
            <w:r>
              <w:rPr>
                <w:rFonts w:hint="eastAsia"/>
                <w:color w:val="auto"/>
              </w:rPr>
              <w:t>卷取</w:t>
            </w:r>
          </w:p>
        </w:tc>
        <w:tc>
          <w:tcPr>
            <w:tcW w:w="3226" w:type="pct"/>
            <w:vAlign w:val="center"/>
          </w:tcPr>
          <w:p w14:paraId="0F708AEE">
            <w:pPr>
              <w:pStyle w:val="33"/>
              <w:jc w:val="both"/>
              <w:rPr>
                <w:color w:val="auto"/>
              </w:rPr>
            </w:pPr>
            <w:r>
              <w:rPr>
                <w:rFonts w:hint="eastAsia"/>
                <w:color w:val="auto"/>
              </w:rPr>
              <w:t>水平式圆筒卷纸机</w:t>
            </w:r>
          </w:p>
        </w:tc>
      </w:tr>
      <w:tr w14:paraId="32348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54DA6B57">
            <w:pPr>
              <w:pStyle w:val="33"/>
              <w:rPr>
                <w:color w:val="auto"/>
              </w:rPr>
            </w:pPr>
            <w:r>
              <w:rPr>
                <w:rFonts w:hint="eastAsia"/>
                <w:color w:val="auto"/>
              </w:rPr>
              <w:t>11</w:t>
            </w:r>
          </w:p>
        </w:tc>
        <w:tc>
          <w:tcPr>
            <w:tcW w:w="1210" w:type="pct"/>
            <w:vAlign w:val="center"/>
          </w:tcPr>
          <w:p w14:paraId="5A54D806">
            <w:pPr>
              <w:pStyle w:val="33"/>
              <w:rPr>
                <w:color w:val="auto"/>
              </w:rPr>
            </w:pPr>
            <w:r>
              <w:rPr>
                <w:rFonts w:hint="eastAsia"/>
                <w:color w:val="auto"/>
              </w:rPr>
              <w:t>复卷</w:t>
            </w:r>
          </w:p>
        </w:tc>
        <w:tc>
          <w:tcPr>
            <w:tcW w:w="3226" w:type="pct"/>
            <w:vAlign w:val="center"/>
          </w:tcPr>
          <w:p w14:paraId="03F03BD8">
            <w:pPr>
              <w:pStyle w:val="33"/>
              <w:jc w:val="both"/>
              <w:rPr>
                <w:color w:val="auto"/>
              </w:rPr>
            </w:pPr>
            <w:r>
              <w:rPr>
                <w:rFonts w:hint="eastAsia"/>
                <w:color w:val="auto"/>
              </w:rPr>
              <w:t>带张力和紧度控制装置的复卷机</w:t>
            </w:r>
          </w:p>
        </w:tc>
      </w:tr>
      <w:tr w14:paraId="30A8D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238E523A">
            <w:pPr>
              <w:pStyle w:val="33"/>
              <w:rPr>
                <w:color w:val="auto"/>
              </w:rPr>
            </w:pPr>
            <w:r>
              <w:rPr>
                <w:rFonts w:hint="eastAsia"/>
                <w:color w:val="auto"/>
              </w:rPr>
              <w:t>12</w:t>
            </w:r>
          </w:p>
        </w:tc>
        <w:tc>
          <w:tcPr>
            <w:tcW w:w="1210" w:type="pct"/>
            <w:vAlign w:val="center"/>
          </w:tcPr>
          <w:p w14:paraId="25F5360A">
            <w:pPr>
              <w:pStyle w:val="33"/>
              <w:rPr>
                <w:color w:val="auto"/>
              </w:rPr>
            </w:pPr>
            <w:r>
              <w:rPr>
                <w:rFonts w:hint="eastAsia"/>
                <w:color w:val="auto"/>
              </w:rPr>
              <w:t>完成</w:t>
            </w:r>
          </w:p>
        </w:tc>
        <w:tc>
          <w:tcPr>
            <w:tcW w:w="3226" w:type="pct"/>
            <w:vAlign w:val="center"/>
          </w:tcPr>
          <w:p w14:paraId="4B26F599">
            <w:pPr>
              <w:pStyle w:val="33"/>
              <w:jc w:val="both"/>
              <w:rPr>
                <w:color w:val="auto"/>
              </w:rPr>
            </w:pPr>
            <w:r>
              <w:rPr>
                <w:rFonts w:hint="eastAsia"/>
                <w:color w:val="auto"/>
              </w:rPr>
              <w:t>100%卷筒纸生产线</w:t>
            </w:r>
          </w:p>
        </w:tc>
      </w:tr>
    </w:tbl>
    <w:p w14:paraId="5787D89C">
      <w:pPr>
        <w:pStyle w:val="5"/>
        <w:rPr>
          <w:color w:val="auto"/>
        </w:rPr>
      </w:pPr>
      <w:r>
        <w:rPr>
          <w:rFonts w:hint="eastAsia"/>
          <w:color w:val="auto"/>
        </w:rPr>
        <w:t>主体工程分析</w:t>
      </w:r>
    </w:p>
    <w:p w14:paraId="118DC3E6">
      <w:pPr>
        <w:ind w:firstLine="480"/>
        <w:rPr>
          <w:color w:val="auto"/>
        </w:rPr>
      </w:pPr>
      <w:r>
        <w:rPr>
          <w:rFonts w:hint="eastAsia"/>
          <w:color w:val="auto"/>
        </w:rPr>
        <w:t>1、备浆车间</w:t>
      </w:r>
    </w:p>
    <w:p w14:paraId="06A0FF43">
      <w:pPr>
        <w:ind w:firstLine="480"/>
        <w:rPr>
          <w:color w:val="auto"/>
        </w:rPr>
      </w:pPr>
      <w:r>
        <w:rPr>
          <w:color w:val="auto"/>
        </w:rPr>
        <w:t>NBKP浆生产线</w:t>
      </w:r>
      <w:r>
        <w:rPr>
          <w:rFonts w:hint="eastAsia"/>
          <w:color w:val="auto"/>
        </w:rPr>
        <w:t>：</w:t>
      </w:r>
      <w:r>
        <w:rPr>
          <w:color w:val="auto"/>
        </w:rPr>
        <w:t>漂白商品针叶木浆板经自动解包和除铁丝后用链板机</w:t>
      </w:r>
      <w:r>
        <w:rPr>
          <w:rFonts w:hint="eastAsia"/>
          <w:color w:val="auto"/>
        </w:rPr>
        <w:t>输送至</w:t>
      </w:r>
      <w:r>
        <w:rPr>
          <w:color w:val="auto"/>
        </w:rPr>
        <w:t>水力碎浆机中碎解，碎解好的浆料由泵送至</w:t>
      </w:r>
      <w:r>
        <w:rPr>
          <w:rFonts w:hint="eastAsia"/>
          <w:color w:val="auto"/>
        </w:rPr>
        <w:t>卸料浆塔，泵入</w:t>
      </w:r>
      <w:r>
        <w:rPr>
          <w:color w:val="auto"/>
        </w:rPr>
        <w:t>高浓除砂</w:t>
      </w:r>
      <w:r>
        <w:rPr>
          <w:rFonts w:hint="eastAsia"/>
          <w:color w:val="auto"/>
        </w:rPr>
        <w:t>器</w:t>
      </w:r>
      <w:r>
        <w:rPr>
          <w:color w:val="auto"/>
        </w:rPr>
        <w:t>，</w:t>
      </w:r>
      <w:r>
        <w:rPr>
          <w:rFonts w:hint="eastAsia"/>
          <w:color w:val="auto"/>
        </w:rPr>
        <w:t>良浆进入叩前</w:t>
      </w:r>
      <w:r>
        <w:rPr>
          <w:color w:val="auto"/>
        </w:rPr>
        <w:t>浆</w:t>
      </w:r>
      <w:r>
        <w:rPr>
          <w:rFonts w:hint="eastAsia"/>
          <w:color w:val="auto"/>
        </w:rPr>
        <w:t>池</w:t>
      </w:r>
      <w:r>
        <w:rPr>
          <w:color w:val="auto"/>
        </w:rPr>
        <w:t>，再</w:t>
      </w:r>
      <w:r>
        <w:rPr>
          <w:rFonts w:hint="eastAsia"/>
          <w:color w:val="auto"/>
        </w:rPr>
        <w:t>由</w:t>
      </w:r>
      <w:r>
        <w:rPr>
          <w:color w:val="auto"/>
        </w:rPr>
        <w:t>浆泵送至磨浆机</w:t>
      </w:r>
      <w:r>
        <w:rPr>
          <w:rFonts w:hint="eastAsia"/>
          <w:color w:val="auto"/>
        </w:rPr>
        <w:t>打浆（3台串联</w:t>
      </w:r>
      <w:r>
        <w:rPr>
          <w:color w:val="auto"/>
        </w:rPr>
        <w:t>磨浆</w:t>
      </w:r>
      <w:r>
        <w:rPr>
          <w:rFonts w:hint="eastAsia"/>
          <w:color w:val="auto"/>
        </w:rPr>
        <w:t>）</w:t>
      </w:r>
      <w:r>
        <w:rPr>
          <w:color w:val="auto"/>
        </w:rPr>
        <w:t>，合格浆料进入叩后浆</w:t>
      </w:r>
      <w:r>
        <w:rPr>
          <w:rFonts w:hint="eastAsia"/>
          <w:color w:val="auto"/>
        </w:rPr>
        <w:t>池</w:t>
      </w:r>
      <w:r>
        <w:rPr>
          <w:color w:val="auto"/>
        </w:rPr>
        <w:t>贮存，最后用浆泵送至配浆池进行配浆。</w:t>
      </w:r>
    </w:p>
    <w:p w14:paraId="696D635C">
      <w:pPr>
        <w:ind w:firstLine="480"/>
        <w:rPr>
          <w:color w:val="auto"/>
        </w:rPr>
      </w:pPr>
      <w:r>
        <w:rPr>
          <w:color w:val="auto"/>
        </w:rPr>
        <w:t>LBKP浆生产线</w:t>
      </w:r>
      <w:r>
        <w:rPr>
          <w:rFonts w:hint="eastAsia"/>
          <w:color w:val="auto"/>
        </w:rPr>
        <w:t>：</w:t>
      </w:r>
      <w:r>
        <w:rPr>
          <w:color w:val="auto"/>
        </w:rPr>
        <w:t>漂白商品阔叶木浆板经自动解包和除铁丝后用链板机送到水力碎浆机中碎解，碎解好的浆料由泵送至</w:t>
      </w:r>
      <w:r>
        <w:rPr>
          <w:rFonts w:hint="eastAsia"/>
          <w:color w:val="auto"/>
        </w:rPr>
        <w:t>卸料浆塔，泵入</w:t>
      </w:r>
      <w:r>
        <w:rPr>
          <w:color w:val="auto"/>
        </w:rPr>
        <w:t>高浓除砂</w:t>
      </w:r>
      <w:r>
        <w:rPr>
          <w:rFonts w:hint="eastAsia"/>
          <w:color w:val="auto"/>
        </w:rPr>
        <w:t>器</w:t>
      </w:r>
      <w:r>
        <w:rPr>
          <w:color w:val="auto"/>
        </w:rPr>
        <w:t>，</w:t>
      </w:r>
      <w:r>
        <w:rPr>
          <w:rFonts w:hint="eastAsia"/>
          <w:color w:val="auto"/>
        </w:rPr>
        <w:t>良浆进入叩前</w:t>
      </w:r>
      <w:r>
        <w:rPr>
          <w:color w:val="auto"/>
        </w:rPr>
        <w:t>浆</w:t>
      </w:r>
      <w:r>
        <w:rPr>
          <w:rFonts w:hint="eastAsia"/>
          <w:color w:val="auto"/>
        </w:rPr>
        <w:t>池</w:t>
      </w:r>
      <w:r>
        <w:rPr>
          <w:color w:val="auto"/>
        </w:rPr>
        <w:t>，再用浆泵送至2台串联磨浆机（共</w:t>
      </w:r>
      <w:r>
        <w:rPr>
          <w:rFonts w:hint="eastAsia"/>
          <w:color w:val="auto"/>
        </w:rPr>
        <w:t>四</w:t>
      </w:r>
      <w:r>
        <w:rPr>
          <w:color w:val="auto"/>
        </w:rPr>
        <w:t>组）磨浆，合格浆料进入叩后浆</w:t>
      </w:r>
      <w:r>
        <w:rPr>
          <w:rFonts w:hint="eastAsia"/>
          <w:color w:val="auto"/>
        </w:rPr>
        <w:t>池</w:t>
      </w:r>
      <w:r>
        <w:rPr>
          <w:color w:val="auto"/>
        </w:rPr>
        <w:t>贮存，最后用浆泵送至配浆池进行配浆。</w:t>
      </w:r>
    </w:p>
    <w:p w14:paraId="2489BF34">
      <w:pPr>
        <w:ind w:firstLine="480"/>
        <w:rPr>
          <w:color w:val="auto"/>
        </w:rPr>
      </w:pPr>
      <w:r>
        <w:rPr>
          <w:color w:val="auto"/>
        </w:rPr>
        <w:t>APMP浆生产线</w:t>
      </w:r>
      <w:r>
        <w:rPr>
          <w:rFonts w:hint="eastAsia"/>
          <w:color w:val="auto"/>
        </w:rPr>
        <w:t>：</w:t>
      </w:r>
      <w:r>
        <w:rPr>
          <w:color w:val="auto"/>
        </w:rPr>
        <w:t>商品</w:t>
      </w:r>
      <w:r>
        <w:rPr>
          <w:rFonts w:hint="eastAsia"/>
          <w:color w:val="auto"/>
        </w:rPr>
        <w:t>化机浆</w:t>
      </w:r>
      <w:r>
        <w:rPr>
          <w:color w:val="auto"/>
        </w:rPr>
        <w:t>板经自动解包和除铁丝后用链板机送到水力碎浆机中碎解，碎解好的浆料由泵送至</w:t>
      </w:r>
      <w:r>
        <w:rPr>
          <w:rFonts w:hint="eastAsia"/>
          <w:color w:val="auto"/>
        </w:rPr>
        <w:t>卸料浆塔。</w:t>
      </w:r>
      <w:r>
        <w:rPr>
          <w:color w:val="auto"/>
        </w:rPr>
        <w:t>从</w:t>
      </w:r>
      <w:r>
        <w:rPr>
          <w:rFonts w:hint="eastAsia"/>
          <w:color w:val="auto"/>
        </w:rPr>
        <w:t>原有</w:t>
      </w:r>
      <w:r>
        <w:rPr>
          <w:color w:val="auto"/>
        </w:rPr>
        <w:t>化机浆车间送来的自制APMP</w:t>
      </w:r>
      <w:r>
        <w:rPr>
          <w:rFonts w:hint="eastAsia"/>
          <w:color w:val="auto"/>
        </w:rPr>
        <w:t>也进入卸料</w:t>
      </w:r>
      <w:r>
        <w:rPr>
          <w:color w:val="auto"/>
        </w:rPr>
        <w:t>浆塔贮存</w:t>
      </w:r>
      <w:r>
        <w:rPr>
          <w:rFonts w:hint="eastAsia"/>
          <w:color w:val="auto"/>
        </w:rPr>
        <w:t>，然后一并泵入</w:t>
      </w:r>
      <w:r>
        <w:rPr>
          <w:color w:val="auto"/>
        </w:rPr>
        <w:t>高浓除砂</w:t>
      </w:r>
      <w:r>
        <w:rPr>
          <w:rFonts w:hint="eastAsia"/>
          <w:color w:val="auto"/>
        </w:rPr>
        <w:t>器</w:t>
      </w:r>
      <w:r>
        <w:rPr>
          <w:color w:val="auto"/>
        </w:rPr>
        <w:t>，送</w:t>
      </w:r>
      <w:r>
        <w:rPr>
          <w:rFonts w:hint="eastAsia"/>
          <w:color w:val="auto"/>
        </w:rPr>
        <w:t>至叩前</w:t>
      </w:r>
      <w:r>
        <w:rPr>
          <w:color w:val="auto"/>
        </w:rPr>
        <w:t>浆</w:t>
      </w:r>
      <w:r>
        <w:rPr>
          <w:rFonts w:hint="eastAsia"/>
          <w:color w:val="auto"/>
        </w:rPr>
        <w:t>池</w:t>
      </w:r>
      <w:r>
        <w:rPr>
          <w:color w:val="auto"/>
        </w:rPr>
        <w:t>，再用浆泵送</w:t>
      </w:r>
      <w:r>
        <w:rPr>
          <w:rFonts w:hint="eastAsia"/>
          <w:color w:val="auto"/>
        </w:rPr>
        <w:t>至6</w:t>
      </w:r>
      <w:r>
        <w:rPr>
          <w:color w:val="auto"/>
        </w:rPr>
        <w:t>台</w:t>
      </w:r>
      <w:r>
        <w:rPr>
          <w:rFonts w:hint="eastAsia"/>
          <w:color w:val="auto"/>
        </w:rPr>
        <w:t>并</w:t>
      </w:r>
      <w:r>
        <w:rPr>
          <w:color w:val="auto"/>
        </w:rPr>
        <w:t>联</w:t>
      </w:r>
      <w:r>
        <w:rPr>
          <w:rFonts w:hint="eastAsia"/>
          <w:color w:val="auto"/>
        </w:rPr>
        <w:t>疏解机进行</w:t>
      </w:r>
      <w:r>
        <w:rPr>
          <w:color w:val="auto"/>
        </w:rPr>
        <w:t>磨浆，合格浆料进入叩后浆塔贮存，最后用浆泵送至配浆池进行配浆。</w:t>
      </w:r>
    </w:p>
    <w:p w14:paraId="5378EE41">
      <w:pPr>
        <w:ind w:firstLine="480"/>
        <w:rPr>
          <w:color w:val="auto"/>
        </w:rPr>
      </w:pPr>
      <w:r>
        <w:rPr>
          <w:color w:val="auto"/>
        </w:rPr>
        <w:t>损纸系统</w:t>
      </w:r>
      <w:r>
        <w:rPr>
          <w:rFonts w:hint="eastAsia"/>
          <w:color w:val="auto"/>
        </w:rPr>
        <w:t>：</w:t>
      </w:r>
      <w:r>
        <w:rPr>
          <w:color w:val="auto"/>
        </w:rPr>
        <w:t>损纸分干损纸和湿损纸二个系统</w:t>
      </w:r>
      <w:r>
        <w:rPr>
          <w:rFonts w:hint="eastAsia"/>
          <w:color w:val="auto"/>
        </w:rPr>
        <w:t>。</w:t>
      </w:r>
      <w:r>
        <w:rPr>
          <w:color w:val="auto"/>
        </w:rPr>
        <w:t>纸机湿损纸系统</w:t>
      </w:r>
      <w:r>
        <w:rPr>
          <w:rFonts w:hint="eastAsia"/>
          <w:color w:val="auto"/>
        </w:rPr>
        <w:t>：</w:t>
      </w:r>
      <w:r>
        <w:rPr>
          <w:color w:val="auto"/>
        </w:rPr>
        <w:t>伏辊池损纸先进入损纸浓缩机浓缩至4.5～5%的浓度后</w:t>
      </w:r>
      <w:r>
        <w:rPr>
          <w:rFonts w:hint="eastAsia"/>
          <w:color w:val="auto"/>
        </w:rPr>
        <w:t>进</w:t>
      </w:r>
      <w:r>
        <w:rPr>
          <w:color w:val="auto"/>
        </w:rPr>
        <w:t>损纸浆池，泵送入湿损纸浆塔贮存；伏辊和压榨较大量损纸经损纸水力碎浆机处理后直接进损纸贮浆塔贮存，浓度较低时经浓缩机</w:t>
      </w:r>
      <w:r>
        <w:rPr>
          <w:rFonts w:hint="eastAsia"/>
          <w:color w:val="auto"/>
        </w:rPr>
        <w:t>浓缩</w:t>
      </w:r>
      <w:r>
        <w:rPr>
          <w:color w:val="auto"/>
        </w:rPr>
        <w:t>后泵送备浆车间芯层配浆系统</w:t>
      </w:r>
      <w:r>
        <w:rPr>
          <w:rFonts w:hint="eastAsia"/>
          <w:color w:val="auto"/>
        </w:rPr>
        <w:t>。</w:t>
      </w:r>
      <w:r>
        <w:rPr>
          <w:color w:val="auto"/>
        </w:rPr>
        <w:t>干部产生的</w:t>
      </w:r>
      <w:r>
        <w:rPr>
          <w:rFonts w:hint="eastAsia"/>
          <w:color w:val="auto"/>
        </w:rPr>
        <w:t>干</w:t>
      </w:r>
      <w:r>
        <w:rPr>
          <w:color w:val="auto"/>
        </w:rPr>
        <w:t>损纸，经过机下水力碎浆机碎解，然后泵送至中间损纸浆池过渡，再送损纸浆塔贮存。损纸浆塔贮存的浆，泵送至损纸浓缩机浓缩后经中间浆池，再泵送至高浓除砂器除去可能有的砂粒，然后良浆进一级三段压力筛选系统，杂质排地沟；经一段和二段筛选后的损纸良浆直接进入纤维疏解机疏解后进浆池暂存，然后泵送芯层配浆系统；筛选后浆渣经疏解机处理后进入三段筛再筛选，良浆送至前面浓缩后中间浆池，浆渣排入废渣处理系统。</w:t>
      </w:r>
    </w:p>
    <w:p w14:paraId="61590E93">
      <w:pPr>
        <w:ind w:firstLine="480"/>
        <w:rPr>
          <w:color w:val="auto"/>
        </w:rPr>
      </w:pPr>
      <w:r>
        <w:rPr>
          <w:color w:val="auto"/>
        </w:rPr>
        <w:t>配浆系统</w:t>
      </w:r>
      <w:r>
        <w:rPr>
          <w:rFonts w:hint="eastAsia"/>
          <w:color w:val="auto"/>
        </w:rPr>
        <w:t>：</w:t>
      </w:r>
      <w:r>
        <w:rPr>
          <w:color w:val="auto"/>
        </w:rPr>
        <w:t>从NBKP、LBKP和APMP生产线送来的浆料按一定比例进入各层配浆池进行配</w:t>
      </w:r>
      <w:r>
        <w:rPr>
          <w:rFonts w:hint="eastAsia"/>
          <w:color w:val="auto"/>
        </w:rPr>
        <w:t>浆</w:t>
      </w:r>
      <w:r>
        <w:rPr>
          <w:color w:val="auto"/>
        </w:rPr>
        <w:t>；</w:t>
      </w:r>
      <w:r>
        <w:rPr>
          <w:rFonts w:hint="eastAsia"/>
          <w:color w:val="auto"/>
        </w:rPr>
        <w:t>社会卡纸各层浆料配比为：</w:t>
      </w:r>
      <w:r>
        <w:rPr>
          <w:color w:val="auto"/>
        </w:rPr>
        <w:t>面层浆</w:t>
      </w:r>
      <w:r>
        <w:rPr>
          <w:rFonts w:hint="eastAsia"/>
          <w:color w:val="auto"/>
        </w:rPr>
        <w:t>由25%</w:t>
      </w:r>
      <w:r>
        <w:rPr>
          <w:color w:val="auto"/>
        </w:rPr>
        <w:t>NBKP和</w:t>
      </w:r>
      <w:r>
        <w:rPr>
          <w:rFonts w:hint="eastAsia"/>
          <w:color w:val="auto"/>
        </w:rPr>
        <w:t>75%</w:t>
      </w:r>
      <w:r>
        <w:rPr>
          <w:color w:val="auto"/>
        </w:rPr>
        <w:t>LBKP</w:t>
      </w:r>
      <w:r>
        <w:rPr>
          <w:rFonts w:hint="eastAsia"/>
          <w:color w:val="auto"/>
        </w:rPr>
        <w:t>组成</w:t>
      </w:r>
      <w:r>
        <w:rPr>
          <w:color w:val="auto"/>
        </w:rPr>
        <w:t>，经混合器混合后进入面层配浆池；芯层浆</w:t>
      </w:r>
      <w:r>
        <w:rPr>
          <w:rFonts w:hint="eastAsia"/>
          <w:color w:val="auto"/>
        </w:rPr>
        <w:t>由10%</w:t>
      </w:r>
      <w:r>
        <w:rPr>
          <w:color w:val="auto"/>
        </w:rPr>
        <w:t>LBKP和</w:t>
      </w:r>
      <w:r>
        <w:rPr>
          <w:rFonts w:hint="eastAsia"/>
          <w:color w:val="auto"/>
        </w:rPr>
        <w:t>70%</w:t>
      </w:r>
      <w:r>
        <w:rPr>
          <w:color w:val="auto"/>
        </w:rPr>
        <w:t>APMP浆及</w:t>
      </w:r>
      <w:r>
        <w:rPr>
          <w:rFonts w:hint="eastAsia"/>
          <w:color w:val="auto"/>
        </w:rPr>
        <w:t>20%</w:t>
      </w:r>
      <w:r>
        <w:rPr>
          <w:color w:val="auto"/>
        </w:rPr>
        <w:t>损纸浆</w:t>
      </w:r>
      <w:r>
        <w:rPr>
          <w:rFonts w:hint="eastAsia"/>
          <w:color w:val="auto"/>
        </w:rPr>
        <w:t>组成</w:t>
      </w:r>
      <w:r>
        <w:rPr>
          <w:color w:val="auto"/>
        </w:rPr>
        <w:t>，经混合器混合后进入芯层配浆池；底层浆</w:t>
      </w:r>
      <w:r>
        <w:rPr>
          <w:rFonts w:hint="eastAsia"/>
          <w:color w:val="auto"/>
        </w:rPr>
        <w:t>由25%</w:t>
      </w:r>
      <w:r>
        <w:rPr>
          <w:color w:val="auto"/>
        </w:rPr>
        <w:t>NBKP和</w:t>
      </w:r>
      <w:r>
        <w:rPr>
          <w:rFonts w:hint="eastAsia"/>
          <w:color w:val="auto"/>
        </w:rPr>
        <w:t>75%</w:t>
      </w:r>
      <w:r>
        <w:rPr>
          <w:color w:val="auto"/>
        </w:rPr>
        <w:t>LBKP浆</w:t>
      </w:r>
      <w:r>
        <w:rPr>
          <w:rFonts w:hint="eastAsia"/>
          <w:color w:val="auto"/>
        </w:rPr>
        <w:t>组成，</w:t>
      </w:r>
      <w:r>
        <w:rPr>
          <w:color w:val="auto"/>
        </w:rPr>
        <w:t>经混合器混合后进入底层配浆池</w:t>
      </w:r>
      <w:r>
        <w:rPr>
          <w:rFonts w:hint="eastAsia"/>
          <w:color w:val="auto"/>
        </w:rPr>
        <w:t>。食品卡纸各层浆料配比为：</w:t>
      </w:r>
      <w:r>
        <w:rPr>
          <w:color w:val="auto"/>
        </w:rPr>
        <w:t>面层浆</w:t>
      </w:r>
      <w:r>
        <w:rPr>
          <w:rFonts w:hint="eastAsia"/>
          <w:color w:val="auto"/>
        </w:rPr>
        <w:t>35%</w:t>
      </w:r>
      <w:r>
        <w:rPr>
          <w:color w:val="auto"/>
        </w:rPr>
        <w:t>的NBKP和</w:t>
      </w:r>
      <w:r>
        <w:rPr>
          <w:rFonts w:hint="eastAsia"/>
          <w:color w:val="auto"/>
        </w:rPr>
        <w:t>65%</w:t>
      </w:r>
      <w:r>
        <w:rPr>
          <w:color w:val="auto"/>
        </w:rPr>
        <w:t>的LBKP</w:t>
      </w:r>
      <w:r>
        <w:rPr>
          <w:rFonts w:hint="eastAsia"/>
          <w:color w:val="auto"/>
        </w:rPr>
        <w:t>组成</w:t>
      </w:r>
      <w:r>
        <w:rPr>
          <w:color w:val="auto"/>
        </w:rPr>
        <w:t>，经混合器混合后进入面层配浆池；芯层浆</w:t>
      </w:r>
      <w:r>
        <w:rPr>
          <w:rFonts w:hint="eastAsia"/>
          <w:color w:val="auto"/>
        </w:rPr>
        <w:t>由10%</w:t>
      </w:r>
      <w:r>
        <w:rPr>
          <w:color w:val="auto"/>
        </w:rPr>
        <w:t>LBKP和</w:t>
      </w:r>
      <w:r>
        <w:rPr>
          <w:rFonts w:hint="eastAsia"/>
          <w:color w:val="auto"/>
        </w:rPr>
        <w:t>70%</w:t>
      </w:r>
      <w:r>
        <w:rPr>
          <w:color w:val="auto"/>
        </w:rPr>
        <w:t>APMP浆及</w:t>
      </w:r>
      <w:r>
        <w:rPr>
          <w:rFonts w:hint="eastAsia"/>
          <w:color w:val="auto"/>
        </w:rPr>
        <w:t>20%</w:t>
      </w:r>
      <w:r>
        <w:rPr>
          <w:color w:val="auto"/>
        </w:rPr>
        <w:t>损纸浆</w:t>
      </w:r>
      <w:r>
        <w:rPr>
          <w:rFonts w:hint="eastAsia"/>
          <w:color w:val="auto"/>
        </w:rPr>
        <w:t>组成</w:t>
      </w:r>
      <w:r>
        <w:rPr>
          <w:color w:val="auto"/>
        </w:rPr>
        <w:t>，经混合器混合后进入芯层配浆池；底层浆</w:t>
      </w:r>
      <w:r>
        <w:rPr>
          <w:rFonts w:hint="eastAsia"/>
          <w:color w:val="auto"/>
        </w:rPr>
        <w:t>由35%</w:t>
      </w:r>
      <w:r>
        <w:rPr>
          <w:color w:val="auto"/>
        </w:rPr>
        <w:t>NBKP和</w:t>
      </w:r>
      <w:r>
        <w:rPr>
          <w:rFonts w:hint="eastAsia"/>
          <w:color w:val="auto"/>
        </w:rPr>
        <w:t>65%</w:t>
      </w:r>
      <w:r>
        <w:rPr>
          <w:color w:val="auto"/>
        </w:rPr>
        <w:t>LBKP浆</w:t>
      </w:r>
      <w:r>
        <w:rPr>
          <w:rFonts w:hint="eastAsia"/>
          <w:color w:val="auto"/>
        </w:rPr>
        <w:t>组成，</w:t>
      </w:r>
      <w:r>
        <w:rPr>
          <w:color w:val="auto"/>
        </w:rPr>
        <w:t>经混合器混合后进入底层配浆池。各层配好后的浆料用浆泵送至各个纸机浆池，再用泵送造纸车间各上浆系统。</w:t>
      </w:r>
    </w:p>
    <w:p w14:paraId="30910AE0">
      <w:pPr>
        <w:ind w:firstLine="480"/>
        <w:rPr>
          <w:color w:val="auto"/>
        </w:rPr>
      </w:pPr>
      <w:r>
        <w:rPr>
          <w:rFonts w:hint="eastAsia"/>
          <w:color w:val="auto"/>
        </w:rPr>
        <w:t>2、造纸车间</w:t>
      </w:r>
    </w:p>
    <w:p w14:paraId="475AF550">
      <w:pPr>
        <w:ind w:firstLine="480"/>
        <w:rPr>
          <w:color w:val="auto"/>
        </w:rPr>
      </w:pPr>
      <w:r>
        <w:rPr>
          <w:rFonts w:hint="eastAsia"/>
          <w:color w:val="auto"/>
        </w:rPr>
        <w:t>（1）</w:t>
      </w:r>
      <w:r>
        <w:rPr>
          <w:color w:val="auto"/>
        </w:rPr>
        <w:t>面层上浆系统</w:t>
      </w:r>
      <w:r>
        <w:rPr>
          <w:rFonts w:hint="eastAsia"/>
          <w:color w:val="auto"/>
        </w:rPr>
        <w:t>：</w:t>
      </w:r>
      <w:r>
        <w:rPr>
          <w:color w:val="auto"/>
        </w:rPr>
        <w:t>由备浆车间</w:t>
      </w:r>
      <w:r>
        <w:rPr>
          <w:rFonts w:hint="eastAsia"/>
          <w:color w:val="auto"/>
        </w:rPr>
        <w:t>配浆池</w:t>
      </w:r>
      <w:r>
        <w:rPr>
          <w:color w:val="auto"/>
        </w:rPr>
        <w:t>送来的成浆送到</w:t>
      </w:r>
      <w:r>
        <w:rPr>
          <w:rFonts w:hint="eastAsia"/>
          <w:color w:val="auto"/>
        </w:rPr>
        <w:t>纸机浆池，再由浆泵送至</w:t>
      </w:r>
      <w:r>
        <w:rPr>
          <w:color w:val="auto"/>
        </w:rPr>
        <w:t>机外白水</w:t>
      </w:r>
      <w:r>
        <w:rPr>
          <w:rFonts w:hint="eastAsia"/>
          <w:color w:val="auto"/>
        </w:rPr>
        <w:t>槽中与白水混合后进入1#</w:t>
      </w:r>
      <w:r>
        <w:rPr>
          <w:color w:val="auto"/>
        </w:rPr>
        <w:t>冲浆</w:t>
      </w:r>
      <w:r>
        <w:rPr>
          <w:rFonts w:hint="eastAsia"/>
          <w:color w:val="auto"/>
        </w:rPr>
        <w:t>泵</w:t>
      </w:r>
      <w:r>
        <w:rPr>
          <w:color w:val="auto"/>
        </w:rPr>
        <w:t>，然后由泵送到一级三段高效除砂器系统进行除砂，除砂后出来的良浆送</w:t>
      </w:r>
      <w:r>
        <w:rPr>
          <w:rFonts w:hint="eastAsia"/>
          <w:color w:val="auto"/>
        </w:rPr>
        <w:t>面</w:t>
      </w:r>
      <w:r>
        <w:rPr>
          <w:color w:val="auto"/>
        </w:rPr>
        <w:t>层脱气系统进行脱气，再经</w:t>
      </w:r>
      <w:r>
        <w:rPr>
          <w:rFonts w:hint="eastAsia"/>
          <w:color w:val="auto"/>
        </w:rPr>
        <w:t>2#</w:t>
      </w:r>
      <w:r>
        <w:rPr>
          <w:color w:val="auto"/>
        </w:rPr>
        <w:t>冲浆泵送一级</w:t>
      </w:r>
      <w:r>
        <w:rPr>
          <w:rFonts w:hint="eastAsia"/>
          <w:color w:val="auto"/>
        </w:rPr>
        <w:t>二</w:t>
      </w:r>
      <w:r>
        <w:rPr>
          <w:color w:val="auto"/>
        </w:rPr>
        <w:t>段压力筛系统进行筛选，由一段纸机压力筛</w:t>
      </w:r>
      <w:r>
        <w:rPr>
          <w:rFonts w:hint="eastAsia"/>
          <w:color w:val="auto"/>
        </w:rPr>
        <w:t>处理后</w:t>
      </w:r>
      <w:r>
        <w:rPr>
          <w:color w:val="auto"/>
        </w:rPr>
        <w:t>的良浆送流浆箱上网抄造。</w:t>
      </w:r>
    </w:p>
    <w:p w14:paraId="0781D1E9">
      <w:pPr>
        <w:ind w:firstLine="480"/>
        <w:rPr>
          <w:color w:val="auto"/>
        </w:rPr>
      </w:pPr>
      <w:r>
        <w:rPr>
          <w:rFonts w:hint="eastAsia"/>
          <w:color w:val="auto"/>
        </w:rPr>
        <w:t>（2）</w:t>
      </w:r>
      <w:r>
        <w:rPr>
          <w:color w:val="auto"/>
        </w:rPr>
        <w:t>芯层上浆系统</w:t>
      </w:r>
      <w:r>
        <w:rPr>
          <w:rFonts w:hint="eastAsia"/>
          <w:color w:val="auto"/>
        </w:rPr>
        <w:t>：</w:t>
      </w:r>
      <w:r>
        <w:rPr>
          <w:color w:val="auto"/>
        </w:rPr>
        <w:t>主工艺流程与面层相同，不同点在于芯层系统设置有</w:t>
      </w:r>
      <w:r>
        <w:rPr>
          <w:rFonts w:hint="eastAsia"/>
          <w:color w:val="auto"/>
        </w:rPr>
        <w:t>损纸配浆</w:t>
      </w:r>
      <w:r>
        <w:rPr>
          <w:color w:val="auto"/>
        </w:rPr>
        <w:t>系统</w:t>
      </w:r>
      <w:r>
        <w:rPr>
          <w:rFonts w:hint="eastAsia"/>
          <w:color w:val="auto"/>
        </w:rPr>
        <w:t>和稀释水系统。</w:t>
      </w:r>
      <w:r>
        <w:rPr>
          <w:color w:val="auto"/>
        </w:rPr>
        <w:t>由备浆车间</w:t>
      </w:r>
      <w:r>
        <w:rPr>
          <w:rFonts w:hint="eastAsia"/>
          <w:color w:val="auto"/>
        </w:rPr>
        <w:t>配浆池</w:t>
      </w:r>
      <w:r>
        <w:rPr>
          <w:color w:val="auto"/>
        </w:rPr>
        <w:t>送来的成浆送到</w:t>
      </w:r>
      <w:r>
        <w:rPr>
          <w:rFonts w:hint="eastAsia"/>
          <w:color w:val="auto"/>
        </w:rPr>
        <w:t>纸机浆池，再由浆泵送至</w:t>
      </w:r>
      <w:r>
        <w:rPr>
          <w:color w:val="auto"/>
        </w:rPr>
        <w:t>机外白水</w:t>
      </w:r>
      <w:r>
        <w:rPr>
          <w:rFonts w:hint="eastAsia"/>
          <w:color w:val="auto"/>
        </w:rPr>
        <w:t>槽中与白水混合后进入1#</w:t>
      </w:r>
      <w:r>
        <w:rPr>
          <w:color w:val="auto"/>
        </w:rPr>
        <w:t>冲浆</w:t>
      </w:r>
      <w:r>
        <w:rPr>
          <w:rFonts w:hint="eastAsia"/>
          <w:color w:val="auto"/>
        </w:rPr>
        <w:t>泵</w:t>
      </w:r>
      <w:r>
        <w:rPr>
          <w:color w:val="auto"/>
        </w:rPr>
        <w:t>，然后由泵送到一级三段高效除砂器系统进行除砂，除砂后出来的良浆送脱气系统进行脱气，再经冲浆泵送一级三段压力筛系统进行筛选，由一段纸机压力筛出来的良浆送流浆箱上网抄造。</w:t>
      </w:r>
      <w:r>
        <w:rPr>
          <w:rFonts w:hint="eastAsia"/>
          <w:color w:val="auto"/>
        </w:rPr>
        <w:t>同时，部分白水从机外白水槽进入</w:t>
      </w:r>
      <w:r>
        <w:rPr>
          <w:color w:val="auto"/>
        </w:rPr>
        <w:t>稀释水筛</w:t>
      </w:r>
      <w:r>
        <w:rPr>
          <w:rFonts w:hint="eastAsia"/>
          <w:color w:val="auto"/>
        </w:rPr>
        <w:t>，</w:t>
      </w:r>
      <w:r>
        <w:rPr>
          <w:color w:val="auto"/>
        </w:rPr>
        <w:t>进入流浆箱，</w:t>
      </w:r>
      <w:r>
        <w:rPr>
          <w:rFonts w:hint="eastAsia"/>
          <w:color w:val="auto"/>
        </w:rPr>
        <w:t>控制芯层上网浓度。</w:t>
      </w:r>
    </w:p>
    <w:p w14:paraId="1A5E94F0">
      <w:pPr>
        <w:ind w:firstLine="480"/>
        <w:rPr>
          <w:color w:val="auto"/>
        </w:rPr>
      </w:pPr>
      <w:r>
        <w:rPr>
          <w:rFonts w:hint="eastAsia"/>
          <w:color w:val="auto"/>
        </w:rPr>
        <w:t>（3）</w:t>
      </w:r>
      <w:r>
        <w:rPr>
          <w:color w:val="auto"/>
        </w:rPr>
        <w:t>底层上浆系统</w:t>
      </w:r>
      <w:r>
        <w:rPr>
          <w:rFonts w:hint="eastAsia"/>
          <w:color w:val="auto"/>
        </w:rPr>
        <w:t>：</w:t>
      </w:r>
      <w:r>
        <w:rPr>
          <w:color w:val="auto"/>
        </w:rPr>
        <w:t>工艺流程与</w:t>
      </w:r>
      <w:r>
        <w:rPr>
          <w:rFonts w:hint="eastAsia"/>
          <w:color w:val="auto"/>
        </w:rPr>
        <w:t>面</w:t>
      </w:r>
      <w:r>
        <w:rPr>
          <w:color w:val="auto"/>
        </w:rPr>
        <w:t>层相同</w:t>
      </w:r>
      <w:r>
        <w:rPr>
          <w:rFonts w:hint="eastAsia"/>
          <w:color w:val="auto"/>
        </w:rPr>
        <w:t>。</w:t>
      </w:r>
    </w:p>
    <w:p w14:paraId="4C9892FF">
      <w:pPr>
        <w:ind w:firstLine="480"/>
        <w:rPr>
          <w:color w:val="auto"/>
        </w:rPr>
      </w:pPr>
      <w:r>
        <w:rPr>
          <w:rFonts w:hint="eastAsia"/>
          <w:color w:val="auto"/>
        </w:rPr>
        <w:t>（4）</w:t>
      </w:r>
      <w:r>
        <w:rPr>
          <w:color w:val="auto"/>
        </w:rPr>
        <w:t>纸机抄造系统</w:t>
      </w:r>
      <w:r>
        <w:rPr>
          <w:rFonts w:hint="eastAsia"/>
          <w:color w:val="auto"/>
        </w:rPr>
        <w:t>：</w:t>
      </w:r>
      <w:r>
        <w:rPr>
          <w:color w:val="auto"/>
        </w:rPr>
        <w:t>由上浆系统面、芯、底层纸机筛来的合格浆料送至各层流浆箱，浆水在流浆箱中混合稀释后各自喷</w:t>
      </w:r>
      <w:r>
        <w:rPr>
          <w:rFonts w:hint="eastAsia"/>
          <w:color w:val="auto"/>
        </w:rPr>
        <w:t>入</w:t>
      </w:r>
      <w:r>
        <w:rPr>
          <w:color w:val="auto"/>
        </w:rPr>
        <w:t>面、芯、底层网，其中芯层网配有上成型器帮助脱水</w:t>
      </w:r>
      <w:r>
        <w:rPr>
          <w:rFonts w:hint="eastAsia"/>
          <w:color w:val="auto"/>
        </w:rPr>
        <w:t>。</w:t>
      </w:r>
      <w:r>
        <w:rPr>
          <w:color w:val="auto"/>
        </w:rPr>
        <w:t>经各自网部脱水和三层复合后的纸页，进入压榨部进一步脱水，然后进前干燥部进行干燥；前干燥部出来的纸张进入表面施胶机双面施胶，通过空气转向器和红外干燥后进入后干燥部干燥；</w:t>
      </w:r>
      <w:r>
        <w:rPr>
          <w:rFonts w:hint="eastAsia"/>
          <w:color w:val="auto"/>
        </w:rPr>
        <w:t>干部出来的纸页</w:t>
      </w:r>
      <w:r>
        <w:rPr>
          <w:color w:val="auto"/>
        </w:rPr>
        <w:t>进入</w:t>
      </w:r>
      <w:r>
        <w:rPr>
          <w:rFonts w:hint="eastAsia"/>
          <w:color w:val="auto"/>
        </w:rPr>
        <w:t>硬压光机处理，然后</w:t>
      </w:r>
      <w:r>
        <w:rPr>
          <w:color w:val="auto"/>
        </w:rPr>
        <w:t>进入涂布</w:t>
      </w:r>
      <w:r>
        <w:rPr>
          <w:rFonts w:hint="eastAsia"/>
          <w:color w:val="auto"/>
        </w:rPr>
        <w:t>机（4个涂布站）</w:t>
      </w:r>
      <w:r>
        <w:rPr>
          <w:color w:val="auto"/>
        </w:rPr>
        <w:t>涂布，再经由红外干燥器、热风干燥箱和烘缸组成的组合式干燥系统干燥；涂布干燥后的纸页进</w:t>
      </w:r>
      <w:r>
        <w:rPr>
          <w:rFonts w:hint="eastAsia"/>
          <w:color w:val="auto"/>
        </w:rPr>
        <w:t>二</w:t>
      </w:r>
      <w:r>
        <w:rPr>
          <w:color w:val="auto"/>
        </w:rPr>
        <w:t>辊双面软压光机压光处理，再在卷纸机上卷取，经自动输送搁纸架到分切复卷机。</w:t>
      </w:r>
    </w:p>
    <w:p w14:paraId="62416535">
      <w:pPr>
        <w:ind w:firstLine="480"/>
        <w:rPr>
          <w:color w:val="auto"/>
        </w:rPr>
      </w:pPr>
      <w:r>
        <w:rPr>
          <w:rFonts w:hint="eastAsia"/>
          <w:color w:val="auto"/>
        </w:rPr>
        <w:t>（5）烘干工序</w:t>
      </w:r>
    </w:p>
    <w:p w14:paraId="3351BB2F">
      <w:pPr>
        <w:ind w:firstLine="480"/>
        <w:rPr>
          <w:color w:val="auto"/>
        </w:rPr>
      </w:pPr>
      <w:r>
        <w:rPr>
          <w:rFonts w:hint="eastAsia"/>
          <w:color w:val="auto"/>
        </w:rPr>
        <w:t>抄造过程中，需要对纸进行烘干，降低纸含水率。项目干燥采用蒸汽干燥、红外干燥器、热风干燥箱和烘缸组成的组合式干燥系统干燥。</w:t>
      </w:r>
    </w:p>
    <w:p w14:paraId="1BF0721D">
      <w:pPr>
        <w:ind w:firstLine="480"/>
        <w:rPr>
          <w:color w:val="auto"/>
        </w:rPr>
      </w:pPr>
      <w:r>
        <w:rPr>
          <w:rFonts w:hint="eastAsia"/>
          <w:color w:val="auto"/>
        </w:rPr>
        <w:t>干燥部主要使用蒸汽干燥，干燥后蒸汽回收利用。</w:t>
      </w:r>
    </w:p>
    <w:p w14:paraId="13368921">
      <w:pPr>
        <w:ind w:firstLine="480"/>
        <w:rPr>
          <w:color w:val="auto"/>
        </w:rPr>
      </w:pPr>
      <w:r>
        <w:rPr>
          <w:rFonts w:hint="eastAsia"/>
          <w:color w:val="auto"/>
        </w:rPr>
        <w:t>施胶、涂布等工段使用红外干燥及热风干燥。项目热风通过配备低氮燃烧器的天然气燃烧装置产生，燃烧器产生的气体温度较高，不能直接用用于纸页干燥，需要掺冷风后才能使用。根据生产设计，热风与掺入冷风的比例为1：10。掺入的冷风中，80%为烘干后回流热气，20%为外部常温空气。热风干燥在密闭的热风干燥箱中进行，干燥后产生的废气收集，其中约73%通过风管回流到进口，与热风及空气均匀混合后重新利用，约27%的废气由引风机抽走后，通过屋顶排气筒排放，降低热风系统中水蒸气的含量。</w:t>
      </w:r>
    </w:p>
    <w:p w14:paraId="398484FE">
      <w:pPr>
        <w:ind w:firstLine="480"/>
        <w:rPr>
          <w:color w:val="auto"/>
        </w:rPr>
      </w:pPr>
      <w:r>
        <w:rPr>
          <w:rFonts w:hint="eastAsia"/>
          <w:color w:val="auto"/>
        </w:rPr>
        <w:t>压光工段使用由热导热油干燥。项目热导热油使用天然气导热油炉加热，干燥过程为间接加热。导热油炉间断运行，</w:t>
      </w:r>
      <w:r>
        <w:rPr>
          <w:color w:val="auto"/>
        </w:rPr>
        <w:t>每隔半个小时燃烧1次，每次燃烧5分钟</w:t>
      </w:r>
      <w:r>
        <w:rPr>
          <w:rFonts w:hint="eastAsia"/>
          <w:color w:val="auto"/>
        </w:rPr>
        <w:t>。</w:t>
      </w:r>
    </w:p>
    <w:p w14:paraId="2BEEDAE4">
      <w:pPr>
        <w:ind w:firstLine="480"/>
        <w:rPr>
          <w:color w:val="auto"/>
        </w:rPr>
      </w:pPr>
      <w:r>
        <w:rPr>
          <w:rFonts w:hint="eastAsia"/>
          <w:color w:val="auto"/>
        </w:rPr>
        <w:t>（6）</w:t>
      </w:r>
      <w:r>
        <w:rPr>
          <w:color w:val="auto"/>
        </w:rPr>
        <w:t>从卷纸机下来的纸卷经复卷分</w:t>
      </w:r>
      <w:r>
        <w:rPr>
          <w:rFonts w:hint="eastAsia"/>
          <w:color w:val="auto"/>
        </w:rPr>
        <w:t>切后</w:t>
      </w:r>
      <w:r>
        <w:rPr>
          <w:color w:val="auto"/>
        </w:rPr>
        <w:t>，</w:t>
      </w:r>
      <w:r>
        <w:rPr>
          <w:rFonts w:hint="eastAsia"/>
          <w:color w:val="auto"/>
        </w:rPr>
        <w:t>纸卷输送</w:t>
      </w:r>
      <w:r>
        <w:rPr>
          <w:color w:val="auto"/>
        </w:rPr>
        <w:t>至</w:t>
      </w:r>
      <w:r>
        <w:rPr>
          <w:rFonts w:hint="eastAsia"/>
          <w:color w:val="auto"/>
        </w:rPr>
        <w:t>自动</w:t>
      </w:r>
      <w:r>
        <w:rPr>
          <w:color w:val="auto"/>
        </w:rPr>
        <w:t>卷筒纸包装生产线</w:t>
      </w:r>
      <w:r>
        <w:rPr>
          <w:rFonts w:hint="eastAsia"/>
          <w:color w:val="auto"/>
        </w:rPr>
        <w:t>，</w:t>
      </w:r>
      <w:r>
        <w:rPr>
          <w:color w:val="auto"/>
        </w:rPr>
        <w:t>生产卷筒纸</w:t>
      </w:r>
      <w:r>
        <w:rPr>
          <w:rFonts w:hint="eastAsia"/>
          <w:color w:val="auto"/>
        </w:rPr>
        <w:t>。</w:t>
      </w:r>
    </w:p>
    <w:p w14:paraId="055035C6">
      <w:pPr>
        <w:ind w:firstLine="480"/>
        <w:rPr>
          <w:color w:val="auto"/>
        </w:rPr>
      </w:pPr>
      <w:r>
        <w:rPr>
          <w:rFonts w:hint="eastAsia"/>
          <w:color w:val="auto"/>
        </w:rPr>
        <w:t>（7）抄纸工段还配有流送系统、真空系统、清水系统、白水系统、损纸处理系统、蒸汽及冷凝水系统、压缩空气系统等辅助系统。</w:t>
      </w:r>
    </w:p>
    <w:p w14:paraId="712B9158">
      <w:pPr>
        <w:ind w:firstLine="480"/>
        <w:rPr>
          <w:color w:val="auto"/>
        </w:rPr>
      </w:pPr>
      <w:r>
        <w:rPr>
          <w:rFonts w:hint="eastAsia"/>
          <w:color w:val="auto"/>
        </w:rPr>
        <w:t>工艺流程见下图3.2-1。</w:t>
      </w:r>
    </w:p>
    <w:p w14:paraId="2F73C173">
      <w:pPr>
        <w:ind w:firstLine="480"/>
        <w:rPr>
          <w:color w:val="auto"/>
        </w:rPr>
      </w:pPr>
      <w:r>
        <w:rPr>
          <w:rFonts w:hint="eastAsia"/>
          <w:color w:val="auto"/>
        </w:rPr>
        <w:t>备浆和造纸车间多数工序涉及白水的收集或回用，车间设置机外白水槽和白水池以及白水塔，白水系统所需清水在白水池进行补充，多余白水在白水塔外排。</w:t>
      </w:r>
    </w:p>
    <w:p w14:paraId="32455EDD">
      <w:pPr>
        <w:ind w:firstLine="480"/>
        <w:rPr>
          <w:color w:val="auto"/>
        </w:rPr>
        <w:sectPr>
          <w:headerReference r:id="rId26" w:type="default"/>
          <w:pgSz w:w="11906" w:h="16838"/>
          <w:pgMar w:top="1418" w:right="1418" w:bottom="1418" w:left="1418" w:header="851" w:footer="992" w:gutter="0"/>
          <w:cols w:space="425" w:num="1"/>
          <w:docGrid w:linePitch="326" w:charSpace="0"/>
        </w:sectPr>
      </w:pPr>
    </w:p>
    <w:p w14:paraId="202884C0">
      <w:pPr>
        <w:ind w:firstLine="480"/>
        <w:jc w:val="center"/>
        <w:rPr>
          <w:rFonts w:hint="eastAsia" w:ascii="宋体" w:hAnsi="宋体"/>
          <w:bCs/>
          <w:color w:val="auto"/>
          <w:sz w:val="30"/>
          <w:szCs w:val="30"/>
        </w:rPr>
      </w:pPr>
      <w:r>
        <w:rPr>
          <w:rFonts w:hint="eastAsia"/>
          <w:color w:val="auto"/>
        </w:rPr>
        <w:t xml:space="preserve"> </w:t>
      </w:r>
    </w:p>
    <w:p w14:paraId="4D796C53">
      <w:pPr>
        <w:pStyle w:val="8"/>
        <w:rPr>
          <w:color w:val="auto"/>
        </w:rPr>
      </w:pPr>
      <w:r>
        <w:rPr>
          <w:rFonts w:hint="eastAsia"/>
          <w:color w:val="auto"/>
        </w:rPr>
        <w:t>备浆和造纸车间工艺流程图</w:t>
      </w:r>
    </w:p>
    <w:p w14:paraId="0D944057">
      <w:pPr>
        <w:ind w:firstLine="480"/>
        <w:rPr>
          <w:color w:val="auto"/>
        </w:rPr>
      </w:pPr>
    </w:p>
    <w:p w14:paraId="44C82ABA">
      <w:pPr>
        <w:ind w:firstLine="480"/>
        <w:rPr>
          <w:color w:val="auto"/>
        </w:rPr>
      </w:pPr>
      <w:r>
        <w:rPr>
          <w:rFonts w:hint="eastAsia"/>
          <w:color w:val="auto"/>
        </w:rPr>
        <w:t>（3）主要工艺技术参数</w:t>
      </w:r>
    </w:p>
    <w:p w14:paraId="4E1BEB4D">
      <w:pPr>
        <w:ind w:firstLine="480"/>
        <w:rPr>
          <w:color w:val="auto"/>
        </w:rPr>
      </w:pPr>
      <w:r>
        <w:rPr>
          <w:rFonts w:hint="eastAsia"/>
          <w:color w:val="auto"/>
        </w:rPr>
        <w:t>备浆车间主要工艺技术参数见下表。</w:t>
      </w:r>
    </w:p>
    <w:p w14:paraId="201EB8A0">
      <w:pPr>
        <w:pStyle w:val="7"/>
        <w:rPr>
          <w:color w:val="auto"/>
        </w:rPr>
      </w:pPr>
      <w:r>
        <w:rPr>
          <w:rFonts w:hint="eastAsia"/>
          <w:color w:val="auto"/>
        </w:rPr>
        <w:t>备浆车间主要工艺技术参数表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1"/>
        <w:gridCol w:w="3569"/>
        <w:gridCol w:w="1354"/>
        <w:gridCol w:w="2039"/>
        <w:gridCol w:w="1382"/>
      </w:tblGrid>
      <w:tr w14:paraId="6026F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559D88D2">
            <w:pPr>
              <w:pStyle w:val="33"/>
              <w:rPr>
                <w:color w:val="auto"/>
              </w:rPr>
            </w:pPr>
            <w:r>
              <w:rPr>
                <w:color w:val="auto"/>
              </w:rPr>
              <w:t>序号</w:t>
            </w:r>
          </w:p>
        </w:tc>
        <w:tc>
          <w:tcPr>
            <w:tcW w:w="1922" w:type="pct"/>
            <w:vAlign w:val="center"/>
          </w:tcPr>
          <w:p w14:paraId="1796D10F">
            <w:pPr>
              <w:pStyle w:val="33"/>
              <w:rPr>
                <w:color w:val="auto"/>
              </w:rPr>
            </w:pPr>
            <w:r>
              <w:rPr>
                <w:color w:val="auto"/>
              </w:rPr>
              <w:t>名       称</w:t>
            </w:r>
          </w:p>
        </w:tc>
        <w:tc>
          <w:tcPr>
            <w:tcW w:w="729" w:type="pct"/>
            <w:vAlign w:val="center"/>
          </w:tcPr>
          <w:p w14:paraId="0FDEEE17">
            <w:pPr>
              <w:pStyle w:val="33"/>
              <w:rPr>
                <w:color w:val="auto"/>
              </w:rPr>
            </w:pPr>
            <w:r>
              <w:rPr>
                <w:color w:val="auto"/>
              </w:rPr>
              <w:t>单 位</w:t>
            </w:r>
          </w:p>
        </w:tc>
        <w:tc>
          <w:tcPr>
            <w:tcW w:w="1098" w:type="pct"/>
            <w:vAlign w:val="center"/>
          </w:tcPr>
          <w:p w14:paraId="7660A053">
            <w:pPr>
              <w:pStyle w:val="33"/>
              <w:rPr>
                <w:color w:val="auto"/>
              </w:rPr>
            </w:pPr>
            <w:r>
              <w:rPr>
                <w:color w:val="auto"/>
              </w:rPr>
              <w:t>参  数</w:t>
            </w:r>
          </w:p>
        </w:tc>
        <w:tc>
          <w:tcPr>
            <w:tcW w:w="744" w:type="pct"/>
            <w:vAlign w:val="center"/>
          </w:tcPr>
          <w:p w14:paraId="73F3844A">
            <w:pPr>
              <w:pStyle w:val="33"/>
              <w:rPr>
                <w:color w:val="auto"/>
              </w:rPr>
            </w:pPr>
            <w:r>
              <w:rPr>
                <w:color w:val="auto"/>
              </w:rPr>
              <w:t>备    注</w:t>
            </w:r>
          </w:p>
        </w:tc>
      </w:tr>
      <w:tr w14:paraId="3EF186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52463ABE">
            <w:pPr>
              <w:pStyle w:val="33"/>
              <w:rPr>
                <w:color w:val="auto"/>
              </w:rPr>
            </w:pPr>
            <w:r>
              <w:rPr>
                <w:color w:val="auto"/>
              </w:rPr>
              <w:t>1</w:t>
            </w:r>
          </w:p>
        </w:tc>
        <w:tc>
          <w:tcPr>
            <w:tcW w:w="1922" w:type="pct"/>
            <w:vAlign w:val="center"/>
          </w:tcPr>
          <w:p w14:paraId="6B486862">
            <w:pPr>
              <w:pStyle w:val="33"/>
              <w:rPr>
                <w:color w:val="auto"/>
              </w:rPr>
            </w:pPr>
            <w:r>
              <w:rPr>
                <w:color w:val="auto"/>
              </w:rPr>
              <w:t>年工作日</w:t>
            </w:r>
          </w:p>
        </w:tc>
        <w:tc>
          <w:tcPr>
            <w:tcW w:w="729" w:type="pct"/>
            <w:vAlign w:val="center"/>
          </w:tcPr>
          <w:p w14:paraId="53D95DE1">
            <w:pPr>
              <w:pStyle w:val="33"/>
              <w:rPr>
                <w:color w:val="auto"/>
              </w:rPr>
            </w:pPr>
            <w:r>
              <w:rPr>
                <w:color w:val="auto"/>
              </w:rPr>
              <w:t>d</w:t>
            </w:r>
          </w:p>
        </w:tc>
        <w:tc>
          <w:tcPr>
            <w:tcW w:w="1098" w:type="pct"/>
            <w:vAlign w:val="center"/>
          </w:tcPr>
          <w:p w14:paraId="54F35854">
            <w:pPr>
              <w:pStyle w:val="33"/>
              <w:rPr>
                <w:color w:val="auto"/>
              </w:rPr>
            </w:pPr>
          </w:p>
        </w:tc>
        <w:tc>
          <w:tcPr>
            <w:tcW w:w="744" w:type="pct"/>
            <w:vAlign w:val="center"/>
          </w:tcPr>
          <w:p w14:paraId="16907552">
            <w:pPr>
              <w:pStyle w:val="33"/>
              <w:rPr>
                <w:color w:val="auto"/>
              </w:rPr>
            </w:pPr>
          </w:p>
        </w:tc>
      </w:tr>
      <w:tr w14:paraId="3E14A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7" w:type="pct"/>
            <w:vAlign w:val="center"/>
          </w:tcPr>
          <w:p w14:paraId="52BC3A68">
            <w:pPr>
              <w:pStyle w:val="33"/>
              <w:rPr>
                <w:color w:val="auto"/>
              </w:rPr>
            </w:pPr>
            <w:r>
              <w:rPr>
                <w:color w:val="auto"/>
              </w:rPr>
              <w:t>2</w:t>
            </w:r>
          </w:p>
        </w:tc>
        <w:tc>
          <w:tcPr>
            <w:tcW w:w="1922" w:type="pct"/>
            <w:vAlign w:val="center"/>
          </w:tcPr>
          <w:p w14:paraId="1A199075">
            <w:pPr>
              <w:pStyle w:val="33"/>
              <w:rPr>
                <w:color w:val="auto"/>
              </w:rPr>
            </w:pPr>
            <w:r>
              <w:rPr>
                <w:color w:val="auto"/>
              </w:rPr>
              <w:t>日工作时</w:t>
            </w:r>
          </w:p>
        </w:tc>
        <w:tc>
          <w:tcPr>
            <w:tcW w:w="729" w:type="pct"/>
            <w:vAlign w:val="center"/>
          </w:tcPr>
          <w:p w14:paraId="61C7A8D3">
            <w:pPr>
              <w:pStyle w:val="33"/>
              <w:rPr>
                <w:color w:val="auto"/>
              </w:rPr>
            </w:pPr>
            <w:r>
              <w:rPr>
                <w:color w:val="auto"/>
              </w:rPr>
              <w:t>h</w:t>
            </w:r>
          </w:p>
        </w:tc>
        <w:tc>
          <w:tcPr>
            <w:tcW w:w="1098" w:type="pct"/>
            <w:vAlign w:val="center"/>
          </w:tcPr>
          <w:p w14:paraId="43A49C11">
            <w:pPr>
              <w:pStyle w:val="33"/>
              <w:rPr>
                <w:color w:val="auto"/>
              </w:rPr>
            </w:pPr>
          </w:p>
        </w:tc>
        <w:tc>
          <w:tcPr>
            <w:tcW w:w="744" w:type="pct"/>
            <w:vAlign w:val="center"/>
          </w:tcPr>
          <w:p w14:paraId="1D0403DB">
            <w:pPr>
              <w:pStyle w:val="33"/>
              <w:rPr>
                <w:color w:val="auto"/>
              </w:rPr>
            </w:pPr>
          </w:p>
        </w:tc>
      </w:tr>
      <w:tr w14:paraId="38423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Merge w:val="restart"/>
            <w:vAlign w:val="center"/>
          </w:tcPr>
          <w:p w14:paraId="3A5378AE">
            <w:pPr>
              <w:pStyle w:val="33"/>
              <w:rPr>
                <w:color w:val="auto"/>
              </w:rPr>
            </w:pPr>
            <w:r>
              <w:rPr>
                <w:color w:val="auto"/>
              </w:rPr>
              <w:t>3</w:t>
            </w:r>
          </w:p>
        </w:tc>
        <w:tc>
          <w:tcPr>
            <w:tcW w:w="1922" w:type="pct"/>
            <w:vAlign w:val="center"/>
          </w:tcPr>
          <w:p w14:paraId="2F497F5B">
            <w:pPr>
              <w:pStyle w:val="33"/>
              <w:rPr>
                <w:color w:val="auto"/>
              </w:rPr>
            </w:pPr>
            <w:r>
              <w:rPr>
                <w:color w:val="auto"/>
              </w:rPr>
              <w:t>生产能力</w:t>
            </w:r>
          </w:p>
        </w:tc>
        <w:tc>
          <w:tcPr>
            <w:tcW w:w="729" w:type="pct"/>
            <w:vAlign w:val="center"/>
          </w:tcPr>
          <w:p w14:paraId="31A79F39">
            <w:pPr>
              <w:pStyle w:val="33"/>
              <w:rPr>
                <w:color w:val="auto"/>
                <w:lang w:val="de-DE"/>
              </w:rPr>
            </w:pPr>
            <w:r>
              <w:rPr>
                <w:color w:val="auto"/>
                <w:lang w:val="de-DE"/>
              </w:rPr>
              <w:t>t/d</w:t>
            </w:r>
          </w:p>
        </w:tc>
        <w:tc>
          <w:tcPr>
            <w:tcW w:w="1098" w:type="pct"/>
            <w:vAlign w:val="center"/>
          </w:tcPr>
          <w:p w14:paraId="06942D65">
            <w:pPr>
              <w:pStyle w:val="33"/>
              <w:rPr>
                <w:color w:val="auto"/>
              </w:rPr>
            </w:pPr>
          </w:p>
        </w:tc>
        <w:tc>
          <w:tcPr>
            <w:tcW w:w="744" w:type="pct"/>
            <w:vAlign w:val="center"/>
          </w:tcPr>
          <w:p w14:paraId="7D9E2D71">
            <w:pPr>
              <w:pStyle w:val="33"/>
              <w:rPr>
                <w:color w:val="auto"/>
              </w:rPr>
            </w:pPr>
          </w:p>
        </w:tc>
      </w:tr>
      <w:tr w14:paraId="693C7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Merge w:val="continue"/>
            <w:vAlign w:val="center"/>
          </w:tcPr>
          <w:p w14:paraId="5F9BD139">
            <w:pPr>
              <w:pStyle w:val="33"/>
              <w:rPr>
                <w:color w:val="auto"/>
              </w:rPr>
            </w:pPr>
          </w:p>
        </w:tc>
        <w:tc>
          <w:tcPr>
            <w:tcW w:w="1922" w:type="pct"/>
            <w:vAlign w:val="center"/>
          </w:tcPr>
          <w:p w14:paraId="77B66AA5">
            <w:pPr>
              <w:pStyle w:val="33"/>
              <w:rPr>
                <w:color w:val="auto"/>
              </w:rPr>
            </w:pPr>
            <w:r>
              <w:rPr>
                <w:color w:val="auto"/>
              </w:rPr>
              <w:t>NBKP生产线</w:t>
            </w:r>
          </w:p>
        </w:tc>
        <w:tc>
          <w:tcPr>
            <w:tcW w:w="729" w:type="pct"/>
            <w:vAlign w:val="center"/>
          </w:tcPr>
          <w:p w14:paraId="2C262E35">
            <w:pPr>
              <w:pStyle w:val="33"/>
              <w:rPr>
                <w:color w:val="auto"/>
                <w:lang w:val="de-DE"/>
              </w:rPr>
            </w:pPr>
            <w:r>
              <w:rPr>
                <w:color w:val="auto"/>
                <w:lang w:val="de-DE"/>
              </w:rPr>
              <w:t>t/d</w:t>
            </w:r>
          </w:p>
        </w:tc>
        <w:tc>
          <w:tcPr>
            <w:tcW w:w="1098" w:type="pct"/>
            <w:vAlign w:val="center"/>
          </w:tcPr>
          <w:p w14:paraId="4FC7813E">
            <w:pPr>
              <w:pStyle w:val="33"/>
              <w:rPr>
                <w:color w:val="auto"/>
              </w:rPr>
            </w:pPr>
          </w:p>
        </w:tc>
        <w:tc>
          <w:tcPr>
            <w:tcW w:w="744" w:type="pct"/>
            <w:vAlign w:val="center"/>
          </w:tcPr>
          <w:p w14:paraId="33B60722">
            <w:pPr>
              <w:pStyle w:val="33"/>
              <w:rPr>
                <w:color w:val="auto"/>
              </w:rPr>
            </w:pPr>
          </w:p>
        </w:tc>
      </w:tr>
      <w:tr w14:paraId="69810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Merge w:val="continue"/>
            <w:vAlign w:val="center"/>
          </w:tcPr>
          <w:p w14:paraId="4F4E2179">
            <w:pPr>
              <w:pStyle w:val="33"/>
              <w:rPr>
                <w:color w:val="auto"/>
              </w:rPr>
            </w:pPr>
          </w:p>
        </w:tc>
        <w:tc>
          <w:tcPr>
            <w:tcW w:w="1922" w:type="pct"/>
            <w:vAlign w:val="center"/>
          </w:tcPr>
          <w:p w14:paraId="03670A09">
            <w:pPr>
              <w:pStyle w:val="33"/>
              <w:rPr>
                <w:color w:val="auto"/>
              </w:rPr>
            </w:pPr>
            <w:r>
              <w:rPr>
                <w:color w:val="auto"/>
              </w:rPr>
              <w:t>LBKP生产线</w:t>
            </w:r>
          </w:p>
        </w:tc>
        <w:tc>
          <w:tcPr>
            <w:tcW w:w="729" w:type="pct"/>
            <w:vAlign w:val="center"/>
          </w:tcPr>
          <w:p w14:paraId="22F89E0A">
            <w:pPr>
              <w:pStyle w:val="33"/>
              <w:rPr>
                <w:color w:val="auto"/>
                <w:lang w:val="de-DE"/>
              </w:rPr>
            </w:pPr>
            <w:r>
              <w:rPr>
                <w:color w:val="auto"/>
                <w:lang w:val="de-DE"/>
              </w:rPr>
              <w:t>t/d</w:t>
            </w:r>
          </w:p>
        </w:tc>
        <w:tc>
          <w:tcPr>
            <w:tcW w:w="1098" w:type="pct"/>
            <w:vAlign w:val="center"/>
          </w:tcPr>
          <w:p w14:paraId="36D3A3E6">
            <w:pPr>
              <w:pStyle w:val="33"/>
              <w:rPr>
                <w:color w:val="auto"/>
              </w:rPr>
            </w:pPr>
          </w:p>
        </w:tc>
        <w:tc>
          <w:tcPr>
            <w:tcW w:w="744" w:type="pct"/>
            <w:vAlign w:val="center"/>
          </w:tcPr>
          <w:p w14:paraId="70438638">
            <w:pPr>
              <w:pStyle w:val="33"/>
              <w:rPr>
                <w:color w:val="auto"/>
              </w:rPr>
            </w:pPr>
          </w:p>
        </w:tc>
      </w:tr>
      <w:tr w14:paraId="0DB13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Merge w:val="continue"/>
            <w:vAlign w:val="center"/>
          </w:tcPr>
          <w:p w14:paraId="14EE366C">
            <w:pPr>
              <w:pStyle w:val="33"/>
              <w:rPr>
                <w:color w:val="auto"/>
              </w:rPr>
            </w:pPr>
          </w:p>
        </w:tc>
        <w:tc>
          <w:tcPr>
            <w:tcW w:w="1922" w:type="pct"/>
            <w:vAlign w:val="center"/>
          </w:tcPr>
          <w:p w14:paraId="11AA9791">
            <w:pPr>
              <w:pStyle w:val="33"/>
              <w:rPr>
                <w:color w:val="auto"/>
              </w:rPr>
            </w:pPr>
            <w:r>
              <w:rPr>
                <w:color w:val="auto"/>
              </w:rPr>
              <w:t>商品APMP生产线</w:t>
            </w:r>
          </w:p>
        </w:tc>
        <w:tc>
          <w:tcPr>
            <w:tcW w:w="729" w:type="pct"/>
            <w:vAlign w:val="center"/>
          </w:tcPr>
          <w:p w14:paraId="58855058">
            <w:pPr>
              <w:pStyle w:val="33"/>
              <w:rPr>
                <w:color w:val="auto"/>
                <w:lang w:val="de-DE"/>
              </w:rPr>
            </w:pPr>
            <w:r>
              <w:rPr>
                <w:color w:val="auto"/>
                <w:lang w:val="de-DE"/>
              </w:rPr>
              <w:t>t/d</w:t>
            </w:r>
          </w:p>
        </w:tc>
        <w:tc>
          <w:tcPr>
            <w:tcW w:w="1098" w:type="pct"/>
            <w:vAlign w:val="center"/>
          </w:tcPr>
          <w:p w14:paraId="0D68226E">
            <w:pPr>
              <w:pStyle w:val="33"/>
              <w:rPr>
                <w:color w:val="auto"/>
              </w:rPr>
            </w:pPr>
          </w:p>
        </w:tc>
        <w:tc>
          <w:tcPr>
            <w:tcW w:w="744" w:type="pct"/>
            <w:vAlign w:val="center"/>
          </w:tcPr>
          <w:p w14:paraId="6EFD7CFF">
            <w:pPr>
              <w:pStyle w:val="33"/>
              <w:rPr>
                <w:color w:val="auto"/>
              </w:rPr>
            </w:pPr>
          </w:p>
        </w:tc>
      </w:tr>
      <w:tr w14:paraId="1C424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Merge w:val="continue"/>
            <w:vAlign w:val="center"/>
          </w:tcPr>
          <w:p w14:paraId="62447BF6">
            <w:pPr>
              <w:pStyle w:val="33"/>
              <w:rPr>
                <w:color w:val="auto"/>
              </w:rPr>
            </w:pPr>
          </w:p>
        </w:tc>
        <w:tc>
          <w:tcPr>
            <w:tcW w:w="1922" w:type="pct"/>
            <w:vAlign w:val="center"/>
          </w:tcPr>
          <w:p w14:paraId="78546920">
            <w:pPr>
              <w:pStyle w:val="33"/>
              <w:rPr>
                <w:color w:val="auto"/>
              </w:rPr>
            </w:pPr>
            <w:r>
              <w:rPr>
                <w:color w:val="auto"/>
              </w:rPr>
              <w:t>自制APMP生产线</w:t>
            </w:r>
          </w:p>
        </w:tc>
        <w:tc>
          <w:tcPr>
            <w:tcW w:w="729" w:type="pct"/>
            <w:vAlign w:val="center"/>
          </w:tcPr>
          <w:p w14:paraId="5951EBE1">
            <w:pPr>
              <w:pStyle w:val="33"/>
              <w:rPr>
                <w:color w:val="auto"/>
                <w:lang w:val="de-DE"/>
              </w:rPr>
            </w:pPr>
            <w:r>
              <w:rPr>
                <w:color w:val="auto"/>
                <w:lang w:val="de-DE"/>
              </w:rPr>
              <w:t>t/d</w:t>
            </w:r>
          </w:p>
        </w:tc>
        <w:tc>
          <w:tcPr>
            <w:tcW w:w="1098" w:type="pct"/>
            <w:vAlign w:val="center"/>
          </w:tcPr>
          <w:p w14:paraId="36D30F4C">
            <w:pPr>
              <w:pStyle w:val="33"/>
              <w:rPr>
                <w:color w:val="auto"/>
              </w:rPr>
            </w:pPr>
          </w:p>
        </w:tc>
        <w:tc>
          <w:tcPr>
            <w:tcW w:w="744" w:type="pct"/>
            <w:vAlign w:val="center"/>
          </w:tcPr>
          <w:p w14:paraId="59FEBA6A">
            <w:pPr>
              <w:pStyle w:val="33"/>
              <w:rPr>
                <w:color w:val="auto"/>
              </w:rPr>
            </w:pPr>
          </w:p>
        </w:tc>
      </w:tr>
      <w:tr w14:paraId="77ECF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367401A0">
            <w:pPr>
              <w:pStyle w:val="33"/>
              <w:rPr>
                <w:color w:val="auto"/>
              </w:rPr>
            </w:pPr>
            <w:r>
              <w:rPr>
                <w:color w:val="auto"/>
              </w:rPr>
              <w:t>4</w:t>
            </w:r>
          </w:p>
        </w:tc>
        <w:tc>
          <w:tcPr>
            <w:tcW w:w="1922" w:type="pct"/>
            <w:vAlign w:val="center"/>
          </w:tcPr>
          <w:p w14:paraId="1B6F30D1">
            <w:pPr>
              <w:pStyle w:val="33"/>
              <w:rPr>
                <w:color w:val="auto"/>
              </w:rPr>
            </w:pPr>
            <w:r>
              <w:rPr>
                <w:color w:val="auto"/>
              </w:rPr>
              <w:t>浆板碎解浓度</w:t>
            </w:r>
          </w:p>
        </w:tc>
        <w:tc>
          <w:tcPr>
            <w:tcW w:w="729" w:type="pct"/>
            <w:vAlign w:val="center"/>
          </w:tcPr>
          <w:p w14:paraId="13B085AA">
            <w:pPr>
              <w:pStyle w:val="33"/>
              <w:rPr>
                <w:color w:val="auto"/>
              </w:rPr>
            </w:pPr>
            <w:r>
              <w:rPr>
                <w:color w:val="auto"/>
              </w:rPr>
              <w:t>%</w:t>
            </w:r>
          </w:p>
        </w:tc>
        <w:tc>
          <w:tcPr>
            <w:tcW w:w="1098" w:type="pct"/>
            <w:vAlign w:val="center"/>
          </w:tcPr>
          <w:p w14:paraId="76048606">
            <w:pPr>
              <w:pStyle w:val="33"/>
              <w:rPr>
                <w:color w:val="auto"/>
              </w:rPr>
            </w:pPr>
          </w:p>
        </w:tc>
        <w:tc>
          <w:tcPr>
            <w:tcW w:w="744" w:type="pct"/>
            <w:vAlign w:val="center"/>
          </w:tcPr>
          <w:p w14:paraId="26968805">
            <w:pPr>
              <w:pStyle w:val="33"/>
              <w:rPr>
                <w:color w:val="auto"/>
              </w:rPr>
            </w:pPr>
          </w:p>
        </w:tc>
      </w:tr>
      <w:tr w14:paraId="01655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595CE79A">
            <w:pPr>
              <w:pStyle w:val="33"/>
              <w:rPr>
                <w:color w:val="auto"/>
              </w:rPr>
            </w:pPr>
            <w:r>
              <w:rPr>
                <w:color w:val="auto"/>
              </w:rPr>
              <w:t>5</w:t>
            </w:r>
          </w:p>
        </w:tc>
        <w:tc>
          <w:tcPr>
            <w:tcW w:w="1922" w:type="pct"/>
            <w:vAlign w:val="center"/>
          </w:tcPr>
          <w:p w14:paraId="5C2DD3FD">
            <w:pPr>
              <w:pStyle w:val="33"/>
              <w:rPr>
                <w:color w:val="auto"/>
              </w:rPr>
            </w:pPr>
            <w:r>
              <w:rPr>
                <w:color w:val="auto"/>
              </w:rPr>
              <w:t>高浓除渣筛进浆浓度</w:t>
            </w:r>
          </w:p>
        </w:tc>
        <w:tc>
          <w:tcPr>
            <w:tcW w:w="729" w:type="pct"/>
            <w:vAlign w:val="center"/>
          </w:tcPr>
          <w:p w14:paraId="652A70F7">
            <w:pPr>
              <w:pStyle w:val="33"/>
              <w:rPr>
                <w:color w:val="auto"/>
              </w:rPr>
            </w:pPr>
            <w:r>
              <w:rPr>
                <w:color w:val="auto"/>
              </w:rPr>
              <w:t>%</w:t>
            </w:r>
          </w:p>
        </w:tc>
        <w:tc>
          <w:tcPr>
            <w:tcW w:w="1098" w:type="pct"/>
            <w:vAlign w:val="center"/>
          </w:tcPr>
          <w:p w14:paraId="283CAEB1">
            <w:pPr>
              <w:pStyle w:val="33"/>
              <w:rPr>
                <w:color w:val="auto"/>
              </w:rPr>
            </w:pPr>
          </w:p>
        </w:tc>
        <w:tc>
          <w:tcPr>
            <w:tcW w:w="744" w:type="pct"/>
            <w:vAlign w:val="center"/>
          </w:tcPr>
          <w:p w14:paraId="3B06728D">
            <w:pPr>
              <w:pStyle w:val="33"/>
              <w:rPr>
                <w:color w:val="auto"/>
              </w:rPr>
            </w:pPr>
          </w:p>
        </w:tc>
      </w:tr>
      <w:tr w14:paraId="3B1F0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270E8914">
            <w:pPr>
              <w:pStyle w:val="33"/>
              <w:rPr>
                <w:color w:val="auto"/>
              </w:rPr>
            </w:pPr>
            <w:r>
              <w:rPr>
                <w:color w:val="auto"/>
              </w:rPr>
              <w:t>6</w:t>
            </w:r>
          </w:p>
        </w:tc>
        <w:tc>
          <w:tcPr>
            <w:tcW w:w="1922" w:type="pct"/>
            <w:vAlign w:val="center"/>
          </w:tcPr>
          <w:p w14:paraId="73AD79FD">
            <w:pPr>
              <w:pStyle w:val="33"/>
              <w:rPr>
                <w:color w:val="auto"/>
              </w:rPr>
            </w:pPr>
            <w:r>
              <w:rPr>
                <w:color w:val="auto"/>
              </w:rPr>
              <w:t>打浆浓度</w:t>
            </w:r>
          </w:p>
        </w:tc>
        <w:tc>
          <w:tcPr>
            <w:tcW w:w="729" w:type="pct"/>
            <w:vAlign w:val="center"/>
          </w:tcPr>
          <w:p w14:paraId="612DCD51">
            <w:pPr>
              <w:pStyle w:val="33"/>
              <w:rPr>
                <w:color w:val="auto"/>
              </w:rPr>
            </w:pPr>
            <w:r>
              <w:rPr>
                <w:color w:val="auto"/>
              </w:rPr>
              <w:t>%</w:t>
            </w:r>
          </w:p>
        </w:tc>
        <w:tc>
          <w:tcPr>
            <w:tcW w:w="1098" w:type="pct"/>
            <w:vAlign w:val="center"/>
          </w:tcPr>
          <w:p w14:paraId="352A7BF6">
            <w:pPr>
              <w:pStyle w:val="33"/>
              <w:rPr>
                <w:color w:val="auto"/>
              </w:rPr>
            </w:pPr>
          </w:p>
        </w:tc>
        <w:tc>
          <w:tcPr>
            <w:tcW w:w="744" w:type="pct"/>
            <w:vAlign w:val="center"/>
          </w:tcPr>
          <w:p w14:paraId="39E2568C">
            <w:pPr>
              <w:pStyle w:val="33"/>
              <w:rPr>
                <w:color w:val="auto"/>
              </w:rPr>
            </w:pPr>
          </w:p>
        </w:tc>
      </w:tr>
      <w:tr w14:paraId="46C0B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311A7A57">
            <w:pPr>
              <w:pStyle w:val="33"/>
              <w:rPr>
                <w:color w:val="auto"/>
              </w:rPr>
            </w:pPr>
            <w:r>
              <w:rPr>
                <w:color w:val="auto"/>
              </w:rPr>
              <w:t>7</w:t>
            </w:r>
          </w:p>
        </w:tc>
        <w:tc>
          <w:tcPr>
            <w:tcW w:w="1922" w:type="pct"/>
            <w:vAlign w:val="center"/>
          </w:tcPr>
          <w:p w14:paraId="5FD42841">
            <w:pPr>
              <w:pStyle w:val="33"/>
              <w:rPr>
                <w:color w:val="auto"/>
              </w:rPr>
            </w:pPr>
            <w:r>
              <w:rPr>
                <w:color w:val="auto"/>
              </w:rPr>
              <w:t>NBKP成浆叩解度</w:t>
            </w:r>
          </w:p>
        </w:tc>
        <w:tc>
          <w:tcPr>
            <w:tcW w:w="729" w:type="pct"/>
            <w:vAlign w:val="center"/>
          </w:tcPr>
          <w:p w14:paraId="69193ED8">
            <w:pPr>
              <w:pStyle w:val="33"/>
              <w:rPr>
                <w:color w:val="auto"/>
              </w:rPr>
            </w:pPr>
            <w:r>
              <w:rPr>
                <w:color w:val="auto"/>
              </w:rPr>
              <w:t>SR°</w:t>
            </w:r>
          </w:p>
        </w:tc>
        <w:tc>
          <w:tcPr>
            <w:tcW w:w="1098" w:type="pct"/>
            <w:vAlign w:val="center"/>
          </w:tcPr>
          <w:p w14:paraId="088CE0A1">
            <w:pPr>
              <w:pStyle w:val="33"/>
              <w:rPr>
                <w:color w:val="auto"/>
              </w:rPr>
            </w:pPr>
          </w:p>
        </w:tc>
        <w:tc>
          <w:tcPr>
            <w:tcW w:w="744" w:type="pct"/>
            <w:vAlign w:val="center"/>
          </w:tcPr>
          <w:p w14:paraId="1F923324">
            <w:pPr>
              <w:pStyle w:val="33"/>
              <w:rPr>
                <w:color w:val="auto"/>
              </w:rPr>
            </w:pPr>
          </w:p>
        </w:tc>
      </w:tr>
      <w:tr w14:paraId="515DF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6B3F2802">
            <w:pPr>
              <w:pStyle w:val="33"/>
              <w:rPr>
                <w:color w:val="auto"/>
              </w:rPr>
            </w:pPr>
            <w:r>
              <w:rPr>
                <w:color w:val="auto"/>
              </w:rPr>
              <w:t>8</w:t>
            </w:r>
          </w:p>
        </w:tc>
        <w:tc>
          <w:tcPr>
            <w:tcW w:w="1922" w:type="pct"/>
            <w:vAlign w:val="center"/>
          </w:tcPr>
          <w:p w14:paraId="70EEC531">
            <w:pPr>
              <w:pStyle w:val="33"/>
              <w:rPr>
                <w:color w:val="auto"/>
              </w:rPr>
            </w:pPr>
            <w:r>
              <w:rPr>
                <w:color w:val="auto"/>
              </w:rPr>
              <w:t>LBKP成浆叩解度</w:t>
            </w:r>
          </w:p>
        </w:tc>
        <w:tc>
          <w:tcPr>
            <w:tcW w:w="729" w:type="pct"/>
            <w:vAlign w:val="center"/>
          </w:tcPr>
          <w:p w14:paraId="130FDB5F">
            <w:pPr>
              <w:pStyle w:val="33"/>
              <w:rPr>
                <w:color w:val="auto"/>
              </w:rPr>
            </w:pPr>
            <w:r>
              <w:rPr>
                <w:color w:val="auto"/>
              </w:rPr>
              <w:t>SR°</w:t>
            </w:r>
          </w:p>
        </w:tc>
        <w:tc>
          <w:tcPr>
            <w:tcW w:w="1098" w:type="pct"/>
            <w:vAlign w:val="center"/>
          </w:tcPr>
          <w:p w14:paraId="625F74A5">
            <w:pPr>
              <w:pStyle w:val="33"/>
              <w:rPr>
                <w:color w:val="auto"/>
              </w:rPr>
            </w:pPr>
          </w:p>
        </w:tc>
        <w:tc>
          <w:tcPr>
            <w:tcW w:w="744" w:type="pct"/>
            <w:vAlign w:val="center"/>
          </w:tcPr>
          <w:p w14:paraId="030AD36F">
            <w:pPr>
              <w:pStyle w:val="33"/>
              <w:rPr>
                <w:color w:val="auto"/>
              </w:rPr>
            </w:pPr>
          </w:p>
        </w:tc>
      </w:tr>
      <w:tr w14:paraId="79027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1CA42291">
            <w:pPr>
              <w:pStyle w:val="33"/>
              <w:rPr>
                <w:color w:val="auto"/>
              </w:rPr>
            </w:pPr>
            <w:r>
              <w:rPr>
                <w:color w:val="auto"/>
              </w:rPr>
              <w:t>9</w:t>
            </w:r>
          </w:p>
        </w:tc>
        <w:tc>
          <w:tcPr>
            <w:tcW w:w="1922" w:type="pct"/>
            <w:vAlign w:val="center"/>
          </w:tcPr>
          <w:p w14:paraId="5FCEC454">
            <w:pPr>
              <w:pStyle w:val="33"/>
              <w:rPr>
                <w:color w:val="auto"/>
              </w:rPr>
            </w:pPr>
            <w:r>
              <w:rPr>
                <w:color w:val="auto"/>
              </w:rPr>
              <w:t>APMP成浆叩解度</w:t>
            </w:r>
          </w:p>
        </w:tc>
        <w:tc>
          <w:tcPr>
            <w:tcW w:w="729" w:type="pct"/>
            <w:vAlign w:val="center"/>
          </w:tcPr>
          <w:p w14:paraId="1A4EB870">
            <w:pPr>
              <w:pStyle w:val="33"/>
              <w:rPr>
                <w:color w:val="auto"/>
              </w:rPr>
            </w:pPr>
            <w:r>
              <w:rPr>
                <w:color w:val="auto"/>
              </w:rPr>
              <w:t>SR°</w:t>
            </w:r>
          </w:p>
        </w:tc>
        <w:tc>
          <w:tcPr>
            <w:tcW w:w="1098" w:type="pct"/>
            <w:vAlign w:val="center"/>
          </w:tcPr>
          <w:p w14:paraId="59066612">
            <w:pPr>
              <w:pStyle w:val="33"/>
              <w:rPr>
                <w:color w:val="auto"/>
              </w:rPr>
            </w:pPr>
          </w:p>
        </w:tc>
        <w:tc>
          <w:tcPr>
            <w:tcW w:w="744" w:type="pct"/>
            <w:vAlign w:val="center"/>
          </w:tcPr>
          <w:p w14:paraId="6586A205">
            <w:pPr>
              <w:pStyle w:val="33"/>
              <w:rPr>
                <w:color w:val="auto"/>
              </w:rPr>
            </w:pPr>
          </w:p>
        </w:tc>
      </w:tr>
      <w:tr w14:paraId="634AD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6FEA90E1">
            <w:pPr>
              <w:pStyle w:val="33"/>
              <w:rPr>
                <w:color w:val="auto"/>
              </w:rPr>
            </w:pPr>
            <w:r>
              <w:rPr>
                <w:color w:val="auto"/>
              </w:rPr>
              <w:t>10</w:t>
            </w:r>
          </w:p>
        </w:tc>
        <w:tc>
          <w:tcPr>
            <w:tcW w:w="1922" w:type="pct"/>
            <w:vAlign w:val="center"/>
          </w:tcPr>
          <w:p w14:paraId="14C4FC41">
            <w:pPr>
              <w:pStyle w:val="33"/>
              <w:rPr>
                <w:color w:val="auto"/>
              </w:rPr>
            </w:pPr>
            <w:r>
              <w:rPr>
                <w:color w:val="auto"/>
              </w:rPr>
              <w:t>浆板制浆得率</w:t>
            </w:r>
          </w:p>
        </w:tc>
        <w:tc>
          <w:tcPr>
            <w:tcW w:w="729" w:type="pct"/>
            <w:vAlign w:val="center"/>
          </w:tcPr>
          <w:p w14:paraId="640E0E78">
            <w:pPr>
              <w:pStyle w:val="33"/>
              <w:rPr>
                <w:color w:val="auto"/>
              </w:rPr>
            </w:pPr>
            <w:r>
              <w:rPr>
                <w:color w:val="auto"/>
              </w:rPr>
              <w:t>%</w:t>
            </w:r>
          </w:p>
        </w:tc>
        <w:tc>
          <w:tcPr>
            <w:tcW w:w="1098" w:type="pct"/>
            <w:vAlign w:val="center"/>
          </w:tcPr>
          <w:p w14:paraId="0A4E0F07">
            <w:pPr>
              <w:pStyle w:val="33"/>
              <w:rPr>
                <w:color w:val="auto"/>
              </w:rPr>
            </w:pPr>
          </w:p>
        </w:tc>
        <w:tc>
          <w:tcPr>
            <w:tcW w:w="744" w:type="pct"/>
            <w:vAlign w:val="center"/>
          </w:tcPr>
          <w:p w14:paraId="6FA33590">
            <w:pPr>
              <w:pStyle w:val="33"/>
              <w:rPr>
                <w:color w:val="auto"/>
              </w:rPr>
            </w:pPr>
          </w:p>
        </w:tc>
      </w:tr>
      <w:tr w14:paraId="26A6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7" w:type="pct"/>
            <w:vAlign w:val="center"/>
          </w:tcPr>
          <w:p w14:paraId="48B75D15">
            <w:pPr>
              <w:pStyle w:val="33"/>
              <w:rPr>
                <w:color w:val="auto"/>
              </w:rPr>
            </w:pPr>
            <w:r>
              <w:rPr>
                <w:color w:val="auto"/>
              </w:rPr>
              <w:t>11</w:t>
            </w:r>
          </w:p>
        </w:tc>
        <w:tc>
          <w:tcPr>
            <w:tcW w:w="1922" w:type="pct"/>
            <w:vAlign w:val="center"/>
          </w:tcPr>
          <w:p w14:paraId="3D7AC998">
            <w:pPr>
              <w:pStyle w:val="33"/>
              <w:rPr>
                <w:color w:val="auto"/>
              </w:rPr>
            </w:pPr>
            <w:r>
              <w:rPr>
                <w:color w:val="auto"/>
              </w:rPr>
              <w:t>成浆浓度</w:t>
            </w:r>
          </w:p>
        </w:tc>
        <w:tc>
          <w:tcPr>
            <w:tcW w:w="729" w:type="pct"/>
            <w:vAlign w:val="center"/>
          </w:tcPr>
          <w:p w14:paraId="2A949354">
            <w:pPr>
              <w:pStyle w:val="33"/>
              <w:rPr>
                <w:color w:val="auto"/>
              </w:rPr>
            </w:pPr>
            <w:r>
              <w:rPr>
                <w:color w:val="auto"/>
              </w:rPr>
              <w:t>%</w:t>
            </w:r>
          </w:p>
        </w:tc>
        <w:tc>
          <w:tcPr>
            <w:tcW w:w="1098" w:type="pct"/>
            <w:vAlign w:val="center"/>
          </w:tcPr>
          <w:p w14:paraId="20E4BF74">
            <w:pPr>
              <w:pStyle w:val="33"/>
              <w:rPr>
                <w:color w:val="auto"/>
              </w:rPr>
            </w:pPr>
          </w:p>
        </w:tc>
        <w:tc>
          <w:tcPr>
            <w:tcW w:w="744" w:type="pct"/>
            <w:vAlign w:val="center"/>
          </w:tcPr>
          <w:p w14:paraId="029198FD">
            <w:pPr>
              <w:pStyle w:val="33"/>
              <w:rPr>
                <w:color w:val="auto"/>
              </w:rPr>
            </w:pPr>
          </w:p>
        </w:tc>
      </w:tr>
    </w:tbl>
    <w:p w14:paraId="7819798A">
      <w:pPr>
        <w:ind w:firstLine="480"/>
        <w:rPr>
          <w:color w:val="auto"/>
        </w:rPr>
      </w:pPr>
      <w:r>
        <w:rPr>
          <w:rFonts w:hint="eastAsia"/>
          <w:color w:val="auto"/>
        </w:rPr>
        <w:t>造纸车间主要工艺技术参数见下表。</w:t>
      </w:r>
    </w:p>
    <w:p w14:paraId="6ACD97B2">
      <w:pPr>
        <w:pStyle w:val="7"/>
        <w:rPr>
          <w:color w:val="auto"/>
        </w:rPr>
      </w:pPr>
      <w:r>
        <w:rPr>
          <w:rFonts w:hint="eastAsia"/>
          <w:color w:val="auto"/>
        </w:rPr>
        <w:t>造纸车间主要工艺技术参数</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2639"/>
        <w:gridCol w:w="1370"/>
        <w:gridCol w:w="1980"/>
        <w:gridCol w:w="2282"/>
      </w:tblGrid>
      <w:tr w14:paraId="538E1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blHeader/>
        </w:trPr>
        <w:tc>
          <w:tcPr>
            <w:tcW w:w="546" w:type="pct"/>
            <w:vAlign w:val="bottom"/>
          </w:tcPr>
          <w:p w14:paraId="6C417548">
            <w:pPr>
              <w:pStyle w:val="33"/>
              <w:rPr>
                <w:color w:val="auto"/>
              </w:rPr>
            </w:pPr>
            <w:r>
              <w:rPr>
                <w:color w:val="auto"/>
              </w:rPr>
              <w:t>序号</w:t>
            </w:r>
          </w:p>
        </w:tc>
        <w:tc>
          <w:tcPr>
            <w:tcW w:w="1421" w:type="pct"/>
            <w:vAlign w:val="bottom"/>
          </w:tcPr>
          <w:p w14:paraId="263D4178">
            <w:pPr>
              <w:pStyle w:val="33"/>
              <w:rPr>
                <w:color w:val="auto"/>
              </w:rPr>
            </w:pPr>
            <w:r>
              <w:rPr>
                <w:color w:val="auto"/>
              </w:rPr>
              <w:t>参数名称</w:t>
            </w:r>
          </w:p>
        </w:tc>
        <w:tc>
          <w:tcPr>
            <w:tcW w:w="738" w:type="pct"/>
            <w:vAlign w:val="bottom"/>
          </w:tcPr>
          <w:p w14:paraId="17056B3E">
            <w:pPr>
              <w:pStyle w:val="33"/>
              <w:rPr>
                <w:color w:val="auto"/>
              </w:rPr>
            </w:pPr>
            <w:r>
              <w:rPr>
                <w:color w:val="auto"/>
              </w:rPr>
              <w:t>单 位</w:t>
            </w:r>
          </w:p>
        </w:tc>
        <w:tc>
          <w:tcPr>
            <w:tcW w:w="1066" w:type="pct"/>
            <w:vAlign w:val="bottom"/>
          </w:tcPr>
          <w:p w14:paraId="45EFEA69">
            <w:pPr>
              <w:pStyle w:val="33"/>
              <w:rPr>
                <w:color w:val="auto"/>
              </w:rPr>
            </w:pPr>
            <w:r>
              <w:rPr>
                <w:rFonts w:hint="eastAsia"/>
                <w:color w:val="auto"/>
              </w:rPr>
              <w:t>社会卡纸</w:t>
            </w:r>
            <w:r>
              <w:rPr>
                <w:color w:val="auto"/>
              </w:rPr>
              <w:t>参数</w:t>
            </w:r>
          </w:p>
        </w:tc>
        <w:tc>
          <w:tcPr>
            <w:tcW w:w="1229" w:type="pct"/>
            <w:vAlign w:val="bottom"/>
          </w:tcPr>
          <w:p w14:paraId="2000A386">
            <w:pPr>
              <w:pStyle w:val="33"/>
              <w:rPr>
                <w:color w:val="auto"/>
              </w:rPr>
            </w:pPr>
            <w:r>
              <w:rPr>
                <w:rFonts w:hint="eastAsia"/>
                <w:color w:val="auto"/>
              </w:rPr>
              <w:t>食品卡纸参数</w:t>
            </w:r>
          </w:p>
        </w:tc>
      </w:tr>
      <w:tr w14:paraId="17C91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trPr>
        <w:tc>
          <w:tcPr>
            <w:tcW w:w="546" w:type="pct"/>
            <w:vAlign w:val="center"/>
          </w:tcPr>
          <w:p w14:paraId="0DE0A0E6">
            <w:pPr>
              <w:pStyle w:val="33"/>
              <w:rPr>
                <w:color w:val="auto"/>
              </w:rPr>
            </w:pPr>
            <w:r>
              <w:rPr>
                <w:color w:val="auto"/>
              </w:rPr>
              <w:t>1</w:t>
            </w:r>
          </w:p>
        </w:tc>
        <w:tc>
          <w:tcPr>
            <w:tcW w:w="1421" w:type="pct"/>
            <w:vAlign w:val="center"/>
          </w:tcPr>
          <w:p w14:paraId="7D8952BF">
            <w:pPr>
              <w:pStyle w:val="33"/>
              <w:rPr>
                <w:color w:val="auto"/>
              </w:rPr>
            </w:pPr>
            <w:r>
              <w:rPr>
                <w:color w:val="auto"/>
              </w:rPr>
              <w:t>年工作日</w:t>
            </w:r>
          </w:p>
        </w:tc>
        <w:tc>
          <w:tcPr>
            <w:tcW w:w="738" w:type="pct"/>
            <w:vAlign w:val="center"/>
          </w:tcPr>
          <w:p w14:paraId="18385643">
            <w:pPr>
              <w:pStyle w:val="33"/>
              <w:rPr>
                <w:color w:val="auto"/>
              </w:rPr>
            </w:pPr>
            <w:r>
              <w:rPr>
                <w:color w:val="auto"/>
              </w:rPr>
              <w:t>d</w:t>
            </w:r>
          </w:p>
        </w:tc>
        <w:tc>
          <w:tcPr>
            <w:tcW w:w="2295" w:type="pct"/>
            <w:gridSpan w:val="2"/>
            <w:vAlign w:val="center"/>
          </w:tcPr>
          <w:p w14:paraId="4451F8F8">
            <w:pPr>
              <w:pStyle w:val="33"/>
              <w:rPr>
                <w:color w:val="auto"/>
              </w:rPr>
            </w:pPr>
          </w:p>
        </w:tc>
      </w:tr>
      <w:tr w14:paraId="0EEEE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1897D921">
            <w:pPr>
              <w:pStyle w:val="33"/>
              <w:rPr>
                <w:color w:val="auto"/>
              </w:rPr>
            </w:pPr>
            <w:r>
              <w:rPr>
                <w:color w:val="auto"/>
              </w:rPr>
              <w:t>2</w:t>
            </w:r>
          </w:p>
        </w:tc>
        <w:tc>
          <w:tcPr>
            <w:tcW w:w="1421" w:type="pct"/>
            <w:vAlign w:val="center"/>
          </w:tcPr>
          <w:p w14:paraId="147186FB">
            <w:pPr>
              <w:pStyle w:val="33"/>
              <w:rPr>
                <w:color w:val="auto"/>
              </w:rPr>
            </w:pPr>
            <w:r>
              <w:rPr>
                <w:color w:val="auto"/>
              </w:rPr>
              <w:t>日工作时</w:t>
            </w:r>
          </w:p>
        </w:tc>
        <w:tc>
          <w:tcPr>
            <w:tcW w:w="738" w:type="pct"/>
            <w:vAlign w:val="center"/>
          </w:tcPr>
          <w:p w14:paraId="6254034E">
            <w:pPr>
              <w:pStyle w:val="33"/>
              <w:rPr>
                <w:color w:val="auto"/>
              </w:rPr>
            </w:pPr>
            <w:r>
              <w:rPr>
                <w:color w:val="auto"/>
              </w:rPr>
              <w:t>h</w:t>
            </w:r>
          </w:p>
        </w:tc>
        <w:tc>
          <w:tcPr>
            <w:tcW w:w="2295" w:type="pct"/>
            <w:gridSpan w:val="2"/>
            <w:vAlign w:val="center"/>
          </w:tcPr>
          <w:p w14:paraId="4C0FA30C">
            <w:pPr>
              <w:pStyle w:val="33"/>
              <w:rPr>
                <w:color w:val="auto"/>
              </w:rPr>
            </w:pPr>
          </w:p>
        </w:tc>
      </w:tr>
      <w:tr w14:paraId="0D497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7E8BA978">
            <w:pPr>
              <w:pStyle w:val="33"/>
              <w:rPr>
                <w:color w:val="auto"/>
              </w:rPr>
            </w:pPr>
            <w:r>
              <w:rPr>
                <w:color w:val="auto"/>
              </w:rPr>
              <w:t>3</w:t>
            </w:r>
          </w:p>
        </w:tc>
        <w:tc>
          <w:tcPr>
            <w:tcW w:w="1421" w:type="pct"/>
            <w:vAlign w:val="center"/>
          </w:tcPr>
          <w:p w14:paraId="4EF15E8C">
            <w:pPr>
              <w:pStyle w:val="33"/>
              <w:rPr>
                <w:color w:val="auto"/>
              </w:rPr>
            </w:pPr>
            <w:r>
              <w:rPr>
                <w:color w:val="auto"/>
              </w:rPr>
              <w:t>产量</w:t>
            </w:r>
          </w:p>
        </w:tc>
        <w:tc>
          <w:tcPr>
            <w:tcW w:w="738" w:type="pct"/>
            <w:vAlign w:val="center"/>
          </w:tcPr>
          <w:p w14:paraId="1CC507BD">
            <w:pPr>
              <w:pStyle w:val="33"/>
              <w:rPr>
                <w:color w:val="auto"/>
              </w:rPr>
            </w:pPr>
            <w:r>
              <w:rPr>
                <w:rFonts w:hint="eastAsia"/>
                <w:color w:val="auto"/>
              </w:rPr>
              <w:t>万</w:t>
            </w:r>
            <w:r>
              <w:rPr>
                <w:color w:val="auto"/>
              </w:rPr>
              <w:t>t/</w:t>
            </w:r>
            <w:r>
              <w:rPr>
                <w:rFonts w:hint="eastAsia"/>
                <w:color w:val="auto"/>
              </w:rPr>
              <w:t>a</w:t>
            </w:r>
          </w:p>
        </w:tc>
        <w:tc>
          <w:tcPr>
            <w:tcW w:w="1066" w:type="pct"/>
            <w:vAlign w:val="center"/>
          </w:tcPr>
          <w:p w14:paraId="4DC6A032">
            <w:pPr>
              <w:pStyle w:val="33"/>
              <w:rPr>
                <w:color w:val="auto"/>
              </w:rPr>
            </w:pPr>
          </w:p>
        </w:tc>
        <w:tc>
          <w:tcPr>
            <w:tcW w:w="1229" w:type="pct"/>
            <w:vAlign w:val="center"/>
          </w:tcPr>
          <w:p w14:paraId="57FC8364">
            <w:pPr>
              <w:pStyle w:val="33"/>
              <w:rPr>
                <w:color w:val="auto"/>
              </w:rPr>
            </w:pPr>
          </w:p>
        </w:tc>
      </w:tr>
      <w:tr w14:paraId="357D0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5735620A">
            <w:pPr>
              <w:pStyle w:val="33"/>
              <w:rPr>
                <w:color w:val="auto"/>
              </w:rPr>
            </w:pPr>
            <w:r>
              <w:rPr>
                <w:color w:val="auto"/>
              </w:rPr>
              <w:t>4</w:t>
            </w:r>
          </w:p>
        </w:tc>
        <w:tc>
          <w:tcPr>
            <w:tcW w:w="1421" w:type="pct"/>
            <w:vAlign w:val="center"/>
          </w:tcPr>
          <w:p w14:paraId="35FEFA71">
            <w:pPr>
              <w:pStyle w:val="33"/>
              <w:rPr>
                <w:color w:val="auto"/>
              </w:rPr>
            </w:pPr>
            <w:r>
              <w:rPr>
                <w:color w:val="auto"/>
              </w:rPr>
              <w:t>定量</w:t>
            </w:r>
          </w:p>
        </w:tc>
        <w:tc>
          <w:tcPr>
            <w:tcW w:w="738" w:type="pct"/>
            <w:vAlign w:val="center"/>
          </w:tcPr>
          <w:p w14:paraId="11DA8E9B">
            <w:pPr>
              <w:pStyle w:val="33"/>
              <w:rPr>
                <w:color w:val="auto"/>
              </w:rPr>
            </w:pPr>
            <w:r>
              <w:rPr>
                <w:color w:val="auto"/>
              </w:rPr>
              <w:t>g/m</w:t>
            </w:r>
            <w:r>
              <w:rPr>
                <w:color w:val="auto"/>
                <w:vertAlign w:val="superscript"/>
              </w:rPr>
              <w:t>2</w:t>
            </w:r>
          </w:p>
        </w:tc>
        <w:tc>
          <w:tcPr>
            <w:tcW w:w="2295" w:type="pct"/>
            <w:gridSpan w:val="2"/>
            <w:vAlign w:val="center"/>
          </w:tcPr>
          <w:p w14:paraId="1DD2A7D3">
            <w:pPr>
              <w:pStyle w:val="33"/>
              <w:rPr>
                <w:color w:val="auto"/>
              </w:rPr>
            </w:pPr>
          </w:p>
        </w:tc>
      </w:tr>
      <w:tr w14:paraId="74F75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17948653">
            <w:pPr>
              <w:pStyle w:val="33"/>
              <w:rPr>
                <w:color w:val="auto"/>
              </w:rPr>
            </w:pPr>
            <w:r>
              <w:rPr>
                <w:color w:val="auto"/>
              </w:rPr>
              <w:t>5</w:t>
            </w:r>
          </w:p>
        </w:tc>
        <w:tc>
          <w:tcPr>
            <w:tcW w:w="1421" w:type="pct"/>
            <w:vAlign w:val="center"/>
          </w:tcPr>
          <w:p w14:paraId="37F1ED6D">
            <w:pPr>
              <w:pStyle w:val="33"/>
              <w:rPr>
                <w:color w:val="auto"/>
              </w:rPr>
            </w:pPr>
            <w:r>
              <w:rPr>
                <w:color w:val="auto"/>
              </w:rPr>
              <w:t>施胶量</w:t>
            </w:r>
          </w:p>
        </w:tc>
        <w:tc>
          <w:tcPr>
            <w:tcW w:w="738" w:type="pct"/>
            <w:vAlign w:val="center"/>
          </w:tcPr>
          <w:p w14:paraId="572E4F2E">
            <w:pPr>
              <w:pStyle w:val="33"/>
              <w:rPr>
                <w:color w:val="auto"/>
              </w:rPr>
            </w:pPr>
            <w:r>
              <w:rPr>
                <w:color w:val="auto"/>
              </w:rPr>
              <w:t>g/m</w:t>
            </w:r>
            <w:r>
              <w:rPr>
                <w:color w:val="auto"/>
                <w:vertAlign w:val="superscript"/>
              </w:rPr>
              <w:t>2</w:t>
            </w:r>
          </w:p>
        </w:tc>
        <w:tc>
          <w:tcPr>
            <w:tcW w:w="2295" w:type="pct"/>
            <w:gridSpan w:val="2"/>
            <w:vAlign w:val="center"/>
          </w:tcPr>
          <w:p w14:paraId="26A076B9">
            <w:pPr>
              <w:pStyle w:val="33"/>
              <w:rPr>
                <w:color w:val="auto"/>
              </w:rPr>
            </w:pPr>
          </w:p>
        </w:tc>
      </w:tr>
      <w:tr w14:paraId="5B321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4FD05809">
            <w:pPr>
              <w:pStyle w:val="33"/>
              <w:rPr>
                <w:color w:val="auto"/>
              </w:rPr>
            </w:pPr>
            <w:r>
              <w:rPr>
                <w:color w:val="auto"/>
              </w:rPr>
              <w:t>6</w:t>
            </w:r>
          </w:p>
        </w:tc>
        <w:tc>
          <w:tcPr>
            <w:tcW w:w="1421" w:type="pct"/>
            <w:vAlign w:val="center"/>
          </w:tcPr>
          <w:p w14:paraId="06CE3980">
            <w:pPr>
              <w:pStyle w:val="33"/>
              <w:rPr>
                <w:color w:val="auto"/>
              </w:rPr>
            </w:pPr>
            <w:r>
              <w:rPr>
                <w:color w:val="auto"/>
              </w:rPr>
              <w:t>涂布量</w:t>
            </w:r>
          </w:p>
        </w:tc>
        <w:tc>
          <w:tcPr>
            <w:tcW w:w="738" w:type="pct"/>
            <w:vAlign w:val="center"/>
          </w:tcPr>
          <w:p w14:paraId="30808A04">
            <w:pPr>
              <w:pStyle w:val="33"/>
              <w:rPr>
                <w:color w:val="auto"/>
              </w:rPr>
            </w:pPr>
            <w:r>
              <w:rPr>
                <w:color w:val="auto"/>
              </w:rPr>
              <w:t>g/m</w:t>
            </w:r>
            <w:r>
              <w:rPr>
                <w:color w:val="auto"/>
                <w:vertAlign w:val="superscript"/>
              </w:rPr>
              <w:t>2</w:t>
            </w:r>
          </w:p>
        </w:tc>
        <w:tc>
          <w:tcPr>
            <w:tcW w:w="2295" w:type="pct"/>
            <w:gridSpan w:val="2"/>
            <w:vAlign w:val="center"/>
          </w:tcPr>
          <w:p w14:paraId="4E3B7CDD">
            <w:pPr>
              <w:pStyle w:val="33"/>
              <w:rPr>
                <w:color w:val="auto"/>
              </w:rPr>
            </w:pPr>
          </w:p>
        </w:tc>
      </w:tr>
      <w:tr w14:paraId="3A6F5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2C1F4B68">
            <w:pPr>
              <w:pStyle w:val="33"/>
              <w:rPr>
                <w:color w:val="auto"/>
              </w:rPr>
            </w:pPr>
            <w:r>
              <w:rPr>
                <w:color w:val="auto"/>
              </w:rPr>
              <w:t>7</w:t>
            </w:r>
          </w:p>
        </w:tc>
        <w:tc>
          <w:tcPr>
            <w:tcW w:w="1421" w:type="pct"/>
            <w:vAlign w:val="center"/>
          </w:tcPr>
          <w:p w14:paraId="479C9BF7">
            <w:pPr>
              <w:pStyle w:val="33"/>
              <w:rPr>
                <w:color w:val="auto"/>
              </w:rPr>
            </w:pPr>
            <w:r>
              <w:rPr>
                <w:color w:val="auto"/>
              </w:rPr>
              <w:t>纸机工作车速</w:t>
            </w:r>
          </w:p>
        </w:tc>
        <w:tc>
          <w:tcPr>
            <w:tcW w:w="738" w:type="pct"/>
            <w:vAlign w:val="center"/>
          </w:tcPr>
          <w:p w14:paraId="5E181BA2">
            <w:pPr>
              <w:pStyle w:val="33"/>
              <w:rPr>
                <w:color w:val="auto"/>
              </w:rPr>
            </w:pPr>
            <w:r>
              <w:rPr>
                <w:color w:val="auto"/>
              </w:rPr>
              <w:t>m/min</w:t>
            </w:r>
          </w:p>
        </w:tc>
        <w:tc>
          <w:tcPr>
            <w:tcW w:w="2295" w:type="pct"/>
            <w:gridSpan w:val="2"/>
            <w:vAlign w:val="center"/>
          </w:tcPr>
          <w:p w14:paraId="507BDA37">
            <w:pPr>
              <w:pStyle w:val="33"/>
              <w:rPr>
                <w:color w:val="auto"/>
              </w:rPr>
            </w:pPr>
          </w:p>
        </w:tc>
      </w:tr>
      <w:tr w14:paraId="2C1E44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5D414E80">
            <w:pPr>
              <w:pStyle w:val="33"/>
              <w:rPr>
                <w:color w:val="auto"/>
              </w:rPr>
            </w:pPr>
            <w:r>
              <w:rPr>
                <w:color w:val="auto"/>
              </w:rPr>
              <w:t>8</w:t>
            </w:r>
          </w:p>
        </w:tc>
        <w:tc>
          <w:tcPr>
            <w:tcW w:w="1421" w:type="pct"/>
            <w:vAlign w:val="center"/>
          </w:tcPr>
          <w:p w14:paraId="2D6D5F51">
            <w:pPr>
              <w:pStyle w:val="33"/>
              <w:rPr>
                <w:color w:val="auto"/>
              </w:rPr>
            </w:pPr>
            <w:r>
              <w:rPr>
                <w:color w:val="auto"/>
              </w:rPr>
              <w:t>纸机</w:t>
            </w:r>
            <w:r>
              <w:rPr>
                <w:rFonts w:hint="eastAsia"/>
                <w:color w:val="auto"/>
              </w:rPr>
              <w:t>设计</w:t>
            </w:r>
            <w:r>
              <w:rPr>
                <w:color w:val="auto"/>
              </w:rPr>
              <w:t>车速</w:t>
            </w:r>
          </w:p>
        </w:tc>
        <w:tc>
          <w:tcPr>
            <w:tcW w:w="738" w:type="pct"/>
            <w:vAlign w:val="center"/>
          </w:tcPr>
          <w:p w14:paraId="57EE5F98">
            <w:pPr>
              <w:pStyle w:val="33"/>
              <w:rPr>
                <w:color w:val="auto"/>
              </w:rPr>
            </w:pPr>
            <w:r>
              <w:rPr>
                <w:color w:val="auto"/>
              </w:rPr>
              <w:t>m/min</w:t>
            </w:r>
          </w:p>
        </w:tc>
        <w:tc>
          <w:tcPr>
            <w:tcW w:w="2295" w:type="pct"/>
            <w:gridSpan w:val="2"/>
            <w:vAlign w:val="center"/>
          </w:tcPr>
          <w:p w14:paraId="2B991DF0">
            <w:pPr>
              <w:pStyle w:val="33"/>
              <w:rPr>
                <w:color w:val="auto"/>
              </w:rPr>
            </w:pPr>
          </w:p>
        </w:tc>
      </w:tr>
      <w:tr w14:paraId="58F0A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203A7534">
            <w:pPr>
              <w:pStyle w:val="33"/>
              <w:rPr>
                <w:color w:val="auto"/>
              </w:rPr>
            </w:pPr>
            <w:r>
              <w:rPr>
                <w:color w:val="auto"/>
              </w:rPr>
              <w:t>9</w:t>
            </w:r>
          </w:p>
        </w:tc>
        <w:tc>
          <w:tcPr>
            <w:tcW w:w="1421" w:type="pct"/>
            <w:vAlign w:val="center"/>
          </w:tcPr>
          <w:p w14:paraId="7DAF1AA3">
            <w:pPr>
              <w:pStyle w:val="33"/>
              <w:rPr>
                <w:color w:val="auto"/>
              </w:rPr>
            </w:pPr>
            <w:r>
              <w:rPr>
                <w:color w:val="auto"/>
              </w:rPr>
              <w:t>卷纸机上纸幅宽</w:t>
            </w:r>
          </w:p>
        </w:tc>
        <w:tc>
          <w:tcPr>
            <w:tcW w:w="738" w:type="pct"/>
            <w:vAlign w:val="center"/>
          </w:tcPr>
          <w:p w14:paraId="419DDBBF">
            <w:pPr>
              <w:pStyle w:val="33"/>
              <w:rPr>
                <w:color w:val="auto"/>
              </w:rPr>
            </w:pPr>
            <w:r>
              <w:rPr>
                <w:color w:val="auto"/>
              </w:rPr>
              <w:t>mm</w:t>
            </w:r>
          </w:p>
        </w:tc>
        <w:tc>
          <w:tcPr>
            <w:tcW w:w="2295" w:type="pct"/>
            <w:gridSpan w:val="2"/>
            <w:vAlign w:val="center"/>
          </w:tcPr>
          <w:p w14:paraId="151B71FD">
            <w:pPr>
              <w:pStyle w:val="33"/>
              <w:rPr>
                <w:color w:val="auto"/>
              </w:rPr>
            </w:pPr>
          </w:p>
        </w:tc>
      </w:tr>
      <w:tr w14:paraId="7460E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23CB2961">
            <w:pPr>
              <w:pStyle w:val="33"/>
              <w:rPr>
                <w:color w:val="auto"/>
              </w:rPr>
            </w:pPr>
            <w:r>
              <w:rPr>
                <w:color w:val="auto"/>
              </w:rPr>
              <w:t>10</w:t>
            </w:r>
          </w:p>
        </w:tc>
        <w:tc>
          <w:tcPr>
            <w:tcW w:w="1421" w:type="pct"/>
            <w:vAlign w:val="center"/>
          </w:tcPr>
          <w:p w14:paraId="43FF3F63">
            <w:pPr>
              <w:pStyle w:val="33"/>
              <w:rPr>
                <w:color w:val="auto"/>
              </w:rPr>
            </w:pPr>
            <w:r>
              <w:rPr>
                <w:color w:val="auto"/>
              </w:rPr>
              <w:t>出网部干</w:t>
            </w:r>
            <w:r>
              <w:rPr>
                <w:rFonts w:hint="eastAsia"/>
                <w:color w:val="auto"/>
              </w:rPr>
              <w:t>度</w:t>
            </w:r>
          </w:p>
        </w:tc>
        <w:tc>
          <w:tcPr>
            <w:tcW w:w="738" w:type="pct"/>
            <w:vAlign w:val="center"/>
          </w:tcPr>
          <w:p w14:paraId="322F87F1">
            <w:pPr>
              <w:pStyle w:val="33"/>
              <w:rPr>
                <w:color w:val="auto"/>
              </w:rPr>
            </w:pPr>
            <w:r>
              <w:rPr>
                <w:color w:val="auto"/>
              </w:rPr>
              <w:t>%</w:t>
            </w:r>
          </w:p>
        </w:tc>
        <w:tc>
          <w:tcPr>
            <w:tcW w:w="2295" w:type="pct"/>
            <w:gridSpan w:val="2"/>
            <w:vAlign w:val="center"/>
          </w:tcPr>
          <w:p w14:paraId="647EED42">
            <w:pPr>
              <w:pStyle w:val="33"/>
              <w:rPr>
                <w:color w:val="auto"/>
              </w:rPr>
            </w:pPr>
          </w:p>
        </w:tc>
      </w:tr>
      <w:tr w14:paraId="0A902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455C9C39">
            <w:pPr>
              <w:pStyle w:val="33"/>
              <w:rPr>
                <w:color w:val="auto"/>
              </w:rPr>
            </w:pPr>
            <w:r>
              <w:rPr>
                <w:color w:val="auto"/>
              </w:rPr>
              <w:t>11</w:t>
            </w:r>
          </w:p>
        </w:tc>
        <w:tc>
          <w:tcPr>
            <w:tcW w:w="1421" w:type="pct"/>
            <w:vAlign w:val="center"/>
          </w:tcPr>
          <w:p w14:paraId="0CE20E74">
            <w:pPr>
              <w:pStyle w:val="33"/>
              <w:rPr>
                <w:color w:val="auto"/>
              </w:rPr>
            </w:pPr>
            <w:r>
              <w:rPr>
                <w:color w:val="auto"/>
              </w:rPr>
              <w:t>出压榨部干度</w:t>
            </w:r>
          </w:p>
        </w:tc>
        <w:tc>
          <w:tcPr>
            <w:tcW w:w="738" w:type="pct"/>
            <w:vAlign w:val="center"/>
          </w:tcPr>
          <w:p w14:paraId="57512027">
            <w:pPr>
              <w:pStyle w:val="33"/>
              <w:rPr>
                <w:color w:val="auto"/>
              </w:rPr>
            </w:pPr>
            <w:r>
              <w:rPr>
                <w:color w:val="auto"/>
              </w:rPr>
              <w:t>%</w:t>
            </w:r>
          </w:p>
        </w:tc>
        <w:tc>
          <w:tcPr>
            <w:tcW w:w="2295" w:type="pct"/>
            <w:gridSpan w:val="2"/>
            <w:vAlign w:val="center"/>
          </w:tcPr>
          <w:p w14:paraId="5E4B51DB">
            <w:pPr>
              <w:pStyle w:val="33"/>
              <w:rPr>
                <w:color w:val="auto"/>
              </w:rPr>
            </w:pPr>
          </w:p>
        </w:tc>
      </w:tr>
      <w:tr w14:paraId="50B02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577496A9">
            <w:pPr>
              <w:pStyle w:val="33"/>
              <w:rPr>
                <w:color w:val="auto"/>
              </w:rPr>
            </w:pPr>
            <w:r>
              <w:rPr>
                <w:color w:val="auto"/>
              </w:rPr>
              <w:t>12</w:t>
            </w:r>
          </w:p>
        </w:tc>
        <w:tc>
          <w:tcPr>
            <w:tcW w:w="1421" w:type="pct"/>
            <w:vAlign w:val="center"/>
          </w:tcPr>
          <w:p w14:paraId="2EC4C53C">
            <w:pPr>
              <w:pStyle w:val="33"/>
              <w:rPr>
                <w:color w:val="auto"/>
              </w:rPr>
            </w:pPr>
            <w:r>
              <w:rPr>
                <w:color w:val="auto"/>
              </w:rPr>
              <w:t>涂布前干度</w:t>
            </w:r>
          </w:p>
        </w:tc>
        <w:tc>
          <w:tcPr>
            <w:tcW w:w="738" w:type="pct"/>
            <w:vAlign w:val="center"/>
          </w:tcPr>
          <w:p w14:paraId="4DCF6198">
            <w:pPr>
              <w:pStyle w:val="33"/>
              <w:rPr>
                <w:color w:val="auto"/>
              </w:rPr>
            </w:pPr>
            <w:r>
              <w:rPr>
                <w:color w:val="auto"/>
              </w:rPr>
              <w:t>%</w:t>
            </w:r>
          </w:p>
        </w:tc>
        <w:tc>
          <w:tcPr>
            <w:tcW w:w="2295" w:type="pct"/>
            <w:gridSpan w:val="2"/>
            <w:vAlign w:val="center"/>
          </w:tcPr>
          <w:p w14:paraId="27DFD30C">
            <w:pPr>
              <w:pStyle w:val="33"/>
              <w:rPr>
                <w:color w:val="auto"/>
              </w:rPr>
            </w:pPr>
          </w:p>
        </w:tc>
      </w:tr>
      <w:tr w14:paraId="19FC9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6" w:type="pct"/>
            <w:vAlign w:val="center"/>
          </w:tcPr>
          <w:p w14:paraId="114D2BBA">
            <w:pPr>
              <w:pStyle w:val="33"/>
              <w:rPr>
                <w:color w:val="auto"/>
              </w:rPr>
            </w:pPr>
            <w:r>
              <w:rPr>
                <w:color w:val="auto"/>
              </w:rPr>
              <w:t>13</w:t>
            </w:r>
          </w:p>
        </w:tc>
        <w:tc>
          <w:tcPr>
            <w:tcW w:w="1421" w:type="pct"/>
            <w:vAlign w:val="center"/>
          </w:tcPr>
          <w:p w14:paraId="58933C16">
            <w:pPr>
              <w:pStyle w:val="33"/>
              <w:rPr>
                <w:color w:val="auto"/>
              </w:rPr>
            </w:pPr>
            <w:r>
              <w:rPr>
                <w:color w:val="auto"/>
              </w:rPr>
              <w:t>成纸干度</w:t>
            </w:r>
          </w:p>
        </w:tc>
        <w:tc>
          <w:tcPr>
            <w:tcW w:w="738" w:type="pct"/>
            <w:vAlign w:val="center"/>
          </w:tcPr>
          <w:p w14:paraId="2374F6B4">
            <w:pPr>
              <w:pStyle w:val="33"/>
              <w:rPr>
                <w:color w:val="auto"/>
              </w:rPr>
            </w:pPr>
            <w:r>
              <w:rPr>
                <w:color w:val="auto"/>
              </w:rPr>
              <w:t>%</w:t>
            </w:r>
          </w:p>
        </w:tc>
        <w:tc>
          <w:tcPr>
            <w:tcW w:w="2295" w:type="pct"/>
            <w:gridSpan w:val="2"/>
            <w:vAlign w:val="center"/>
          </w:tcPr>
          <w:p w14:paraId="592921A5">
            <w:pPr>
              <w:pStyle w:val="33"/>
              <w:rPr>
                <w:color w:val="auto"/>
              </w:rPr>
            </w:pPr>
          </w:p>
        </w:tc>
      </w:tr>
      <w:tr w14:paraId="6FA68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0953B9F2">
            <w:pPr>
              <w:pStyle w:val="33"/>
              <w:rPr>
                <w:color w:val="auto"/>
              </w:rPr>
            </w:pPr>
            <w:r>
              <w:rPr>
                <w:color w:val="auto"/>
              </w:rPr>
              <w:t>14</w:t>
            </w:r>
          </w:p>
        </w:tc>
        <w:tc>
          <w:tcPr>
            <w:tcW w:w="1421" w:type="pct"/>
            <w:vAlign w:val="center"/>
          </w:tcPr>
          <w:p w14:paraId="6C111F93">
            <w:pPr>
              <w:pStyle w:val="33"/>
              <w:rPr>
                <w:color w:val="auto"/>
              </w:rPr>
            </w:pPr>
            <w:r>
              <w:rPr>
                <w:color w:val="auto"/>
              </w:rPr>
              <w:t>抄造率</w:t>
            </w:r>
          </w:p>
        </w:tc>
        <w:tc>
          <w:tcPr>
            <w:tcW w:w="738" w:type="pct"/>
            <w:vAlign w:val="center"/>
          </w:tcPr>
          <w:p w14:paraId="67F5401D">
            <w:pPr>
              <w:pStyle w:val="33"/>
              <w:rPr>
                <w:color w:val="auto"/>
              </w:rPr>
            </w:pPr>
            <w:r>
              <w:rPr>
                <w:color w:val="auto"/>
              </w:rPr>
              <w:t>%</w:t>
            </w:r>
          </w:p>
        </w:tc>
        <w:tc>
          <w:tcPr>
            <w:tcW w:w="2295" w:type="pct"/>
            <w:gridSpan w:val="2"/>
            <w:vAlign w:val="center"/>
          </w:tcPr>
          <w:p w14:paraId="46A98029">
            <w:pPr>
              <w:pStyle w:val="33"/>
              <w:rPr>
                <w:color w:val="auto"/>
              </w:rPr>
            </w:pPr>
          </w:p>
        </w:tc>
      </w:tr>
      <w:tr w14:paraId="2563A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6" w:type="pct"/>
            <w:vAlign w:val="center"/>
          </w:tcPr>
          <w:p w14:paraId="628C5621">
            <w:pPr>
              <w:pStyle w:val="33"/>
              <w:rPr>
                <w:color w:val="auto"/>
              </w:rPr>
            </w:pPr>
            <w:r>
              <w:rPr>
                <w:color w:val="auto"/>
              </w:rPr>
              <w:t>15</w:t>
            </w:r>
          </w:p>
        </w:tc>
        <w:tc>
          <w:tcPr>
            <w:tcW w:w="1421" w:type="pct"/>
            <w:vAlign w:val="center"/>
          </w:tcPr>
          <w:p w14:paraId="3CD11CDC">
            <w:pPr>
              <w:pStyle w:val="33"/>
              <w:rPr>
                <w:color w:val="auto"/>
              </w:rPr>
            </w:pPr>
            <w:r>
              <w:rPr>
                <w:color w:val="auto"/>
              </w:rPr>
              <w:t>成品率</w:t>
            </w:r>
          </w:p>
        </w:tc>
        <w:tc>
          <w:tcPr>
            <w:tcW w:w="738" w:type="pct"/>
            <w:vAlign w:val="center"/>
          </w:tcPr>
          <w:p w14:paraId="3D4CFAD7">
            <w:pPr>
              <w:pStyle w:val="33"/>
              <w:rPr>
                <w:color w:val="auto"/>
              </w:rPr>
            </w:pPr>
            <w:r>
              <w:rPr>
                <w:color w:val="auto"/>
              </w:rPr>
              <w:t>%</w:t>
            </w:r>
          </w:p>
        </w:tc>
        <w:tc>
          <w:tcPr>
            <w:tcW w:w="2295" w:type="pct"/>
            <w:gridSpan w:val="2"/>
            <w:vAlign w:val="center"/>
          </w:tcPr>
          <w:p w14:paraId="4D3FD88E">
            <w:pPr>
              <w:pStyle w:val="33"/>
              <w:rPr>
                <w:color w:val="auto"/>
              </w:rPr>
            </w:pPr>
          </w:p>
        </w:tc>
      </w:tr>
    </w:tbl>
    <w:p w14:paraId="45DAFBDC">
      <w:pPr>
        <w:ind w:firstLine="480"/>
        <w:rPr>
          <w:color w:val="auto"/>
        </w:rPr>
      </w:pPr>
    </w:p>
    <w:p w14:paraId="0F5F12B6">
      <w:pPr>
        <w:pStyle w:val="4"/>
        <w:rPr>
          <w:color w:val="auto"/>
        </w:rPr>
      </w:pPr>
      <w:bookmarkStart w:id="203" w:name="_Toc225216705"/>
      <w:r>
        <w:rPr>
          <w:color w:val="auto"/>
        </w:rPr>
        <w:t>主要污染源分析</w:t>
      </w:r>
      <w:bookmarkEnd w:id="203"/>
    </w:p>
    <w:p w14:paraId="71C1FC34">
      <w:pPr>
        <w:ind w:firstLine="480"/>
        <w:rPr>
          <w:color w:val="auto"/>
        </w:rPr>
      </w:pPr>
      <w:r>
        <w:rPr>
          <w:color w:val="auto"/>
        </w:rPr>
        <w:t>项目产污环节汇总见</w:t>
      </w:r>
      <w:r>
        <w:rPr>
          <w:rFonts w:hint="eastAsia"/>
          <w:color w:val="auto"/>
        </w:rPr>
        <w:t>下表</w:t>
      </w:r>
      <w:r>
        <w:rPr>
          <w:color w:val="auto"/>
        </w:rPr>
        <w:t>。</w:t>
      </w:r>
    </w:p>
    <w:p w14:paraId="39F555D2">
      <w:pPr>
        <w:pStyle w:val="7"/>
        <w:rPr>
          <w:color w:val="auto"/>
        </w:rPr>
      </w:pPr>
      <w:r>
        <w:rPr>
          <w:rFonts w:hint="eastAsia"/>
          <w:color w:val="auto"/>
        </w:rPr>
        <w:t>项目主要产污环节汇总</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0"/>
        <w:gridCol w:w="812"/>
        <w:gridCol w:w="2065"/>
        <w:gridCol w:w="1984"/>
        <w:gridCol w:w="1287"/>
        <w:gridCol w:w="1731"/>
        <w:gridCol w:w="916"/>
      </w:tblGrid>
      <w:tr w14:paraId="2F129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trPr>
        <w:tc>
          <w:tcPr>
            <w:tcW w:w="264" w:type="pct"/>
            <w:vAlign w:val="center"/>
          </w:tcPr>
          <w:p w14:paraId="13EA27BE">
            <w:pPr>
              <w:pStyle w:val="33"/>
              <w:rPr>
                <w:color w:val="auto"/>
              </w:rPr>
            </w:pPr>
            <w:r>
              <w:rPr>
                <w:color w:val="auto"/>
              </w:rPr>
              <w:t>类别</w:t>
            </w:r>
          </w:p>
        </w:tc>
        <w:tc>
          <w:tcPr>
            <w:tcW w:w="1549" w:type="pct"/>
            <w:gridSpan w:val="2"/>
            <w:vAlign w:val="center"/>
          </w:tcPr>
          <w:p w14:paraId="19035E52">
            <w:pPr>
              <w:pStyle w:val="33"/>
              <w:rPr>
                <w:color w:val="auto"/>
              </w:rPr>
            </w:pPr>
            <w:r>
              <w:rPr>
                <w:color w:val="auto"/>
              </w:rPr>
              <w:t>污染源</w:t>
            </w:r>
          </w:p>
        </w:tc>
        <w:tc>
          <w:tcPr>
            <w:tcW w:w="1068" w:type="pct"/>
            <w:vAlign w:val="center"/>
          </w:tcPr>
          <w:p w14:paraId="31462F68">
            <w:pPr>
              <w:pStyle w:val="33"/>
              <w:rPr>
                <w:color w:val="auto"/>
              </w:rPr>
            </w:pPr>
            <w:r>
              <w:rPr>
                <w:color w:val="auto"/>
              </w:rPr>
              <w:t>污染物</w:t>
            </w:r>
          </w:p>
        </w:tc>
        <w:tc>
          <w:tcPr>
            <w:tcW w:w="693" w:type="pct"/>
            <w:vAlign w:val="center"/>
          </w:tcPr>
          <w:p w14:paraId="6C95646C">
            <w:pPr>
              <w:pStyle w:val="33"/>
              <w:rPr>
                <w:color w:val="auto"/>
              </w:rPr>
            </w:pPr>
            <w:r>
              <w:rPr>
                <w:color w:val="auto"/>
              </w:rPr>
              <w:t>治理措施</w:t>
            </w:r>
          </w:p>
        </w:tc>
        <w:tc>
          <w:tcPr>
            <w:tcW w:w="932" w:type="pct"/>
            <w:vAlign w:val="center"/>
          </w:tcPr>
          <w:p w14:paraId="3A3A738D">
            <w:pPr>
              <w:pStyle w:val="33"/>
              <w:rPr>
                <w:color w:val="auto"/>
              </w:rPr>
            </w:pPr>
            <w:r>
              <w:rPr>
                <w:color w:val="auto"/>
              </w:rPr>
              <w:t>排放去向</w:t>
            </w:r>
          </w:p>
        </w:tc>
        <w:tc>
          <w:tcPr>
            <w:tcW w:w="493" w:type="pct"/>
            <w:vAlign w:val="center"/>
          </w:tcPr>
          <w:p w14:paraId="6F6FCCD9">
            <w:pPr>
              <w:pStyle w:val="33"/>
              <w:rPr>
                <w:color w:val="auto"/>
              </w:rPr>
            </w:pPr>
            <w:r>
              <w:rPr>
                <w:color w:val="auto"/>
              </w:rPr>
              <w:t>污染源编号</w:t>
            </w:r>
          </w:p>
        </w:tc>
      </w:tr>
      <w:tr w14:paraId="4ADA9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restart"/>
            <w:vAlign w:val="center"/>
          </w:tcPr>
          <w:p w14:paraId="78654BD7">
            <w:pPr>
              <w:pStyle w:val="33"/>
              <w:rPr>
                <w:color w:val="auto"/>
              </w:rPr>
            </w:pPr>
            <w:r>
              <w:rPr>
                <w:color w:val="auto"/>
              </w:rPr>
              <w:t>废气</w:t>
            </w:r>
          </w:p>
        </w:tc>
        <w:tc>
          <w:tcPr>
            <w:tcW w:w="437" w:type="pct"/>
            <w:vMerge w:val="restart"/>
            <w:vAlign w:val="center"/>
          </w:tcPr>
          <w:p w14:paraId="611B62DA">
            <w:pPr>
              <w:pStyle w:val="33"/>
              <w:rPr>
                <w:color w:val="auto"/>
              </w:rPr>
            </w:pPr>
            <w:r>
              <w:rPr>
                <w:rFonts w:hint="eastAsia"/>
                <w:color w:val="auto"/>
              </w:rPr>
              <w:t>有组织</w:t>
            </w:r>
          </w:p>
        </w:tc>
        <w:tc>
          <w:tcPr>
            <w:tcW w:w="1112" w:type="pct"/>
            <w:vAlign w:val="center"/>
          </w:tcPr>
          <w:p w14:paraId="72AC26D3">
            <w:pPr>
              <w:pStyle w:val="33"/>
              <w:rPr>
                <w:color w:val="auto"/>
              </w:rPr>
            </w:pPr>
            <w:r>
              <w:rPr>
                <w:rFonts w:hint="eastAsia"/>
                <w:color w:val="auto"/>
              </w:rPr>
              <w:t>造纸车间烘干废气</w:t>
            </w:r>
          </w:p>
        </w:tc>
        <w:tc>
          <w:tcPr>
            <w:tcW w:w="1068" w:type="pct"/>
            <w:vAlign w:val="center"/>
          </w:tcPr>
          <w:p w14:paraId="515A607E">
            <w:pPr>
              <w:pStyle w:val="33"/>
              <w:rPr>
                <w:color w:val="auto"/>
              </w:rPr>
            </w:pPr>
            <w:r>
              <w:rPr>
                <w:rFonts w:hint="eastAsia"/>
                <w:color w:val="auto"/>
              </w:rPr>
              <w:t>二氧化硫、氮氧化物、烟尘</w:t>
            </w:r>
          </w:p>
        </w:tc>
        <w:tc>
          <w:tcPr>
            <w:tcW w:w="1625" w:type="pct"/>
            <w:gridSpan w:val="2"/>
            <w:vAlign w:val="center"/>
          </w:tcPr>
          <w:p w14:paraId="133494B9">
            <w:pPr>
              <w:pStyle w:val="33"/>
              <w:rPr>
                <w:color w:val="auto"/>
              </w:rPr>
            </w:pPr>
            <w:r>
              <w:rPr>
                <w:rFonts w:hint="eastAsia"/>
                <w:color w:val="auto"/>
              </w:rPr>
              <w:t>屋顶排气筒排放</w:t>
            </w:r>
          </w:p>
        </w:tc>
        <w:tc>
          <w:tcPr>
            <w:tcW w:w="493" w:type="pct"/>
            <w:vAlign w:val="center"/>
          </w:tcPr>
          <w:p w14:paraId="633A339A">
            <w:pPr>
              <w:pStyle w:val="33"/>
              <w:rPr>
                <w:color w:val="auto"/>
              </w:rPr>
            </w:pPr>
            <w:r>
              <w:rPr>
                <w:rFonts w:hint="eastAsia"/>
                <w:color w:val="auto"/>
              </w:rPr>
              <w:t>G1</w:t>
            </w:r>
          </w:p>
        </w:tc>
      </w:tr>
      <w:tr w14:paraId="12D22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2EBFC2AC">
            <w:pPr>
              <w:pStyle w:val="33"/>
              <w:rPr>
                <w:color w:val="auto"/>
              </w:rPr>
            </w:pPr>
          </w:p>
        </w:tc>
        <w:tc>
          <w:tcPr>
            <w:tcW w:w="437" w:type="pct"/>
            <w:vMerge w:val="continue"/>
            <w:vAlign w:val="center"/>
          </w:tcPr>
          <w:p w14:paraId="0D9C1C0D">
            <w:pPr>
              <w:pStyle w:val="33"/>
              <w:rPr>
                <w:color w:val="auto"/>
              </w:rPr>
            </w:pPr>
          </w:p>
        </w:tc>
        <w:tc>
          <w:tcPr>
            <w:tcW w:w="1112" w:type="pct"/>
            <w:vAlign w:val="center"/>
          </w:tcPr>
          <w:p w14:paraId="38ECD0DA">
            <w:pPr>
              <w:pStyle w:val="33"/>
              <w:rPr>
                <w:color w:val="auto"/>
              </w:rPr>
            </w:pPr>
            <w:r>
              <w:rPr>
                <w:rFonts w:hint="eastAsia"/>
                <w:color w:val="auto"/>
              </w:rPr>
              <w:t>造纸车间导热油炉废气</w:t>
            </w:r>
          </w:p>
        </w:tc>
        <w:tc>
          <w:tcPr>
            <w:tcW w:w="1068" w:type="pct"/>
            <w:vAlign w:val="center"/>
          </w:tcPr>
          <w:p w14:paraId="70150286">
            <w:pPr>
              <w:pStyle w:val="33"/>
              <w:rPr>
                <w:color w:val="auto"/>
              </w:rPr>
            </w:pPr>
            <w:r>
              <w:rPr>
                <w:rFonts w:hint="eastAsia"/>
                <w:color w:val="auto"/>
              </w:rPr>
              <w:t>二氧化硫、氮氧化物、烟尘</w:t>
            </w:r>
          </w:p>
        </w:tc>
        <w:tc>
          <w:tcPr>
            <w:tcW w:w="1625" w:type="pct"/>
            <w:gridSpan w:val="2"/>
            <w:vAlign w:val="center"/>
          </w:tcPr>
          <w:p w14:paraId="710ECBE2">
            <w:pPr>
              <w:pStyle w:val="33"/>
              <w:rPr>
                <w:color w:val="auto"/>
              </w:rPr>
            </w:pPr>
            <w:r>
              <w:rPr>
                <w:rFonts w:hint="eastAsia"/>
                <w:color w:val="auto"/>
              </w:rPr>
              <w:t>排气筒排放</w:t>
            </w:r>
          </w:p>
        </w:tc>
        <w:tc>
          <w:tcPr>
            <w:tcW w:w="493" w:type="pct"/>
            <w:vAlign w:val="center"/>
          </w:tcPr>
          <w:p w14:paraId="5FB08B05">
            <w:pPr>
              <w:pStyle w:val="33"/>
              <w:rPr>
                <w:color w:val="auto"/>
              </w:rPr>
            </w:pPr>
            <w:r>
              <w:rPr>
                <w:rFonts w:hint="eastAsia"/>
                <w:color w:val="auto"/>
              </w:rPr>
              <w:t>G2</w:t>
            </w:r>
          </w:p>
        </w:tc>
      </w:tr>
      <w:tr w14:paraId="708BB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7E3D600E">
            <w:pPr>
              <w:pStyle w:val="33"/>
              <w:rPr>
                <w:color w:val="auto"/>
              </w:rPr>
            </w:pPr>
          </w:p>
        </w:tc>
        <w:tc>
          <w:tcPr>
            <w:tcW w:w="437" w:type="pct"/>
            <w:vMerge w:val="continue"/>
            <w:vAlign w:val="center"/>
          </w:tcPr>
          <w:p w14:paraId="139AECEE">
            <w:pPr>
              <w:pStyle w:val="33"/>
              <w:rPr>
                <w:color w:val="auto"/>
              </w:rPr>
            </w:pPr>
          </w:p>
        </w:tc>
        <w:tc>
          <w:tcPr>
            <w:tcW w:w="1112" w:type="pct"/>
            <w:vAlign w:val="center"/>
          </w:tcPr>
          <w:p w14:paraId="3980130B">
            <w:pPr>
              <w:pStyle w:val="33"/>
              <w:rPr>
                <w:color w:val="auto"/>
              </w:rPr>
            </w:pPr>
            <w:r>
              <w:rPr>
                <w:rFonts w:hint="eastAsia"/>
                <w:color w:val="auto"/>
              </w:rPr>
              <w:t>淋膜纸生产废气</w:t>
            </w:r>
          </w:p>
        </w:tc>
        <w:tc>
          <w:tcPr>
            <w:tcW w:w="1068" w:type="pct"/>
            <w:vAlign w:val="center"/>
          </w:tcPr>
          <w:p w14:paraId="016769C3">
            <w:pPr>
              <w:pStyle w:val="33"/>
              <w:rPr>
                <w:color w:val="auto"/>
              </w:rPr>
            </w:pPr>
            <w:r>
              <w:rPr>
                <w:rFonts w:hint="eastAsia"/>
                <w:color w:val="auto"/>
              </w:rPr>
              <w:t>非甲烷总烃</w:t>
            </w:r>
          </w:p>
        </w:tc>
        <w:tc>
          <w:tcPr>
            <w:tcW w:w="1625" w:type="pct"/>
            <w:gridSpan w:val="2"/>
            <w:vAlign w:val="center"/>
          </w:tcPr>
          <w:p w14:paraId="77510C5E">
            <w:pPr>
              <w:pStyle w:val="33"/>
              <w:rPr>
                <w:color w:val="auto"/>
              </w:rPr>
            </w:pPr>
            <w:r>
              <w:rPr>
                <w:rFonts w:hint="eastAsia"/>
                <w:color w:val="auto"/>
              </w:rPr>
              <w:t>二级活性炭吸附处理后，通过排气筒排放</w:t>
            </w:r>
          </w:p>
        </w:tc>
        <w:tc>
          <w:tcPr>
            <w:tcW w:w="493" w:type="pct"/>
            <w:vAlign w:val="center"/>
          </w:tcPr>
          <w:p w14:paraId="7B546AA2">
            <w:pPr>
              <w:pStyle w:val="33"/>
              <w:rPr>
                <w:color w:val="auto"/>
              </w:rPr>
            </w:pPr>
            <w:r>
              <w:rPr>
                <w:rFonts w:hint="eastAsia"/>
                <w:color w:val="auto"/>
              </w:rPr>
              <w:t>G3</w:t>
            </w:r>
          </w:p>
        </w:tc>
      </w:tr>
      <w:tr w14:paraId="34C37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4ECDF31F">
            <w:pPr>
              <w:pStyle w:val="33"/>
              <w:rPr>
                <w:color w:val="auto"/>
              </w:rPr>
            </w:pPr>
          </w:p>
        </w:tc>
        <w:tc>
          <w:tcPr>
            <w:tcW w:w="437" w:type="pct"/>
            <w:vMerge w:val="continue"/>
            <w:vAlign w:val="center"/>
          </w:tcPr>
          <w:p w14:paraId="4DF4DB9B">
            <w:pPr>
              <w:pStyle w:val="33"/>
              <w:rPr>
                <w:color w:val="auto"/>
              </w:rPr>
            </w:pPr>
          </w:p>
        </w:tc>
        <w:tc>
          <w:tcPr>
            <w:tcW w:w="1112" w:type="pct"/>
            <w:vAlign w:val="center"/>
          </w:tcPr>
          <w:p w14:paraId="4599A000">
            <w:pPr>
              <w:pStyle w:val="33"/>
              <w:rPr>
                <w:color w:val="auto"/>
              </w:rPr>
            </w:pPr>
            <w:r>
              <w:rPr>
                <w:rFonts w:hint="eastAsia"/>
                <w:color w:val="auto"/>
              </w:rPr>
              <w:t>污水处理站废气</w:t>
            </w:r>
          </w:p>
        </w:tc>
        <w:tc>
          <w:tcPr>
            <w:tcW w:w="1068" w:type="pct"/>
            <w:vAlign w:val="center"/>
          </w:tcPr>
          <w:p w14:paraId="319BFFE9">
            <w:pPr>
              <w:pStyle w:val="33"/>
              <w:rPr>
                <w:color w:val="auto"/>
              </w:rPr>
            </w:pPr>
            <w:r>
              <w:rPr>
                <w:rFonts w:hint="eastAsia"/>
                <w:color w:val="auto"/>
              </w:rPr>
              <w:t>硫化氢、氨、臭气浓度</w:t>
            </w:r>
          </w:p>
        </w:tc>
        <w:tc>
          <w:tcPr>
            <w:tcW w:w="1625" w:type="pct"/>
            <w:gridSpan w:val="2"/>
            <w:vAlign w:val="center"/>
          </w:tcPr>
          <w:p w14:paraId="48B5544D">
            <w:pPr>
              <w:pStyle w:val="33"/>
              <w:rPr>
                <w:color w:val="auto"/>
              </w:rPr>
            </w:pPr>
            <w:r>
              <w:rPr>
                <w:color w:val="auto"/>
              </w:rPr>
              <w:t>“碱洗喷淋+生物滤池”处理</w:t>
            </w:r>
            <w:r>
              <w:rPr>
                <w:rFonts w:hint="eastAsia"/>
                <w:color w:val="auto"/>
              </w:rPr>
              <w:t>后，通过排气筒排放</w:t>
            </w:r>
          </w:p>
        </w:tc>
        <w:tc>
          <w:tcPr>
            <w:tcW w:w="493" w:type="pct"/>
            <w:vAlign w:val="center"/>
          </w:tcPr>
          <w:p w14:paraId="6F6FF2D3">
            <w:pPr>
              <w:pStyle w:val="33"/>
              <w:rPr>
                <w:color w:val="auto"/>
              </w:rPr>
            </w:pPr>
            <w:r>
              <w:rPr>
                <w:rFonts w:hint="eastAsia"/>
                <w:color w:val="auto"/>
              </w:rPr>
              <w:t>G4</w:t>
            </w:r>
          </w:p>
        </w:tc>
      </w:tr>
      <w:tr w14:paraId="42B50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3EC11B03">
            <w:pPr>
              <w:pStyle w:val="33"/>
              <w:rPr>
                <w:color w:val="auto"/>
              </w:rPr>
            </w:pPr>
          </w:p>
        </w:tc>
        <w:tc>
          <w:tcPr>
            <w:tcW w:w="437" w:type="pct"/>
            <w:vMerge w:val="restart"/>
            <w:vAlign w:val="center"/>
          </w:tcPr>
          <w:p w14:paraId="11361EEE">
            <w:pPr>
              <w:pStyle w:val="33"/>
              <w:rPr>
                <w:color w:val="auto"/>
              </w:rPr>
            </w:pPr>
            <w:r>
              <w:rPr>
                <w:color w:val="auto"/>
              </w:rPr>
              <w:t>无组织</w:t>
            </w:r>
          </w:p>
        </w:tc>
        <w:tc>
          <w:tcPr>
            <w:tcW w:w="1112" w:type="pct"/>
            <w:vAlign w:val="center"/>
          </w:tcPr>
          <w:p w14:paraId="644D45F5">
            <w:pPr>
              <w:pStyle w:val="33"/>
              <w:rPr>
                <w:color w:val="auto"/>
              </w:rPr>
            </w:pPr>
            <w:r>
              <w:rPr>
                <w:rFonts w:hint="eastAsia"/>
                <w:color w:val="auto"/>
              </w:rPr>
              <w:t>车间无组织粉尘</w:t>
            </w:r>
          </w:p>
        </w:tc>
        <w:tc>
          <w:tcPr>
            <w:tcW w:w="1068" w:type="pct"/>
            <w:vAlign w:val="center"/>
          </w:tcPr>
          <w:p w14:paraId="0381BC5F">
            <w:pPr>
              <w:pStyle w:val="33"/>
              <w:rPr>
                <w:color w:val="auto"/>
              </w:rPr>
            </w:pPr>
            <w:r>
              <w:rPr>
                <w:color w:val="auto"/>
              </w:rPr>
              <w:t>颗粒物</w:t>
            </w:r>
          </w:p>
        </w:tc>
        <w:tc>
          <w:tcPr>
            <w:tcW w:w="1625" w:type="pct"/>
            <w:gridSpan w:val="2"/>
            <w:vAlign w:val="center"/>
          </w:tcPr>
          <w:p w14:paraId="23243F5C">
            <w:pPr>
              <w:pStyle w:val="33"/>
              <w:rPr>
                <w:color w:val="auto"/>
              </w:rPr>
            </w:pPr>
            <w:r>
              <w:rPr>
                <w:color w:val="auto"/>
              </w:rPr>
              <w:t>加强通风、</w:t>
            </w:r>
            <w:r>
              <w:rPr>
                <w:rFonts w:hint="eastAsia"/>
                <w:color w:val="auto"/>
              </w:rPr>
              <w:t>定期清理</w:t>
            </w:r>
            <w:r>
              <w:rPr>
                <w:color w:val="auto"/>
              </w:rPr>
              <w:t>、无组织排放</w:t>
            </w:r>
          </w:p>
        </w:tc>
        <w:tc>
          <w:tcPr>
            <w:tcW w:w="493" w:type="pct"/>
            <w:vAlign w:val="center"/>
          </w:tcPr>
          <w:p w14:paraId="409F84C3">
            <w:pPr>
              <w:pStyle w:val="33"/>
              <w:rPr>
                <w:color w:val="auto"/>
              </w:rPr>
            </w:pPr>
            <w:r>
              <w:rPr>
                <w:color w:val="auto"/>
              </w:rPr>
              <w:t>G</w:t>
            </w:r>
            <w:r>
              <w:rPr>
                <w:rFonts w:hint="eastAsia"/>
                <w:color w:val="auto"/>
              </w:rPr>
              <w:t>u</w:t>
            </w:r>
            <w:r>
              <w:rPr>
                <w:color w:val="auto"/>
              </w:rPr>
              <w:t>1</w:t>
            </w:r>
          </w:p>
        </w:tc>
      </w:tr>
      <w:tr w14:paraId="2AD19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3A4A4F39">
            <w:pPr>
              <w:pStyle w:val="33"/>
              <w:rPr>
                <w:color w:val="auto"/>
              </w:rPr>
            </w:pPr>
          </w:p>
        </w:tc>
        <w:tc>
          <w:tcPr>
            <w:tcW w:w="437" w:type="pct"/>
            <w:vMerge w:val="continue"/>
            <w:vAlign w:val="center"/>
          </w:tcPr>
          <w:p w14:paraId="4FCE1705">
            <w:pPr>
              <w:pStyle w:val="33"/>
              <w:rPr>
                <w:color w:val="auto"/>
              </w:rPr>
            </w:pPr>
          </w:p>
        </w:tc>
        <w:tc>
          <w:tcPr>
            <w:tcW w:w="1112" w:type="pct"/>
            <w:vAlign w:val="center"/>
          </w:tcPr>
          <w:p w14:paraId="30560870">
            <w:pPr>
              <w:pStyle w:val="33"/>
              <w:rPr>
                <w:color w:val="auto"/>
              </w:rPr>
            </w:pPr>
            <w:r>
              <w:rPr>
                <w:rFonts w:hint="eastAsia"/>
                <w:color w:val="auto"/>
              </w:rPr>
              <w:t>淋膜纸生产无组织废气</w:t>
            </w:r>
          </w:p>
        </w:tc>
        <w:tc>
          <w:tcPr>
            <w:tcW w:w="1068" w:type="pct"/>
            <w:vAlign w:val="center"/>
          </w:tcPr>
          <w:p w14:paraId="6F8E808F">
            <w:pPr>
              <w:pStyle w:val="33"/>
              <w:rPr>
                <w:color w:val="auto"/>
              </w:rPr>
            </w:pPr>
            <w:r>
              <w:rPr>
                <w:rFonts w:hint="eastAsia"/>
                <w:color w:val="auto"/>
              </w:rPr>
              <w:t>非甲烷总烃</w:t>
            </w:r>
          </w:p>
        </w:tc>
        <w:tc>
          <w:tcPr>
            <w:tcW w:w="1625" w:type="pct"/>
            <w:gridSpan w:val="2"/>
            <w:vAlign w:val="center"/>
          </w:tcPr>
          <w:p w14:paraId="48E6DFEA">
            <w:pPr>
              <w:pStyle w:val="33"/>
              <w:rPr>
                <w:color w:val="auto"/>
              </w:rPr>
            </w:pPr>
            <w:r>
              <w:rPr>
                <w:color w:val="auto"/>
              </w:rPr>
              <w:t>加强通风</w:t>
            </w:r>
          </w:p>
        </w:tc>
        <w:tc>
          <w:tcPr>
            <w:tcW w:w="493" w:type="pct"/>
            <w:vAlign w:val="center"/>
          </w:tcPr>
          <w:p w14:paraId="5C28F87C">
            <w:pPr>
              <w:pStyle w:val="33"/>
              <w:rPr>
                <w:color w:val="auto"/>
              </w:rPr>
            </w:pPr>
            <w:r>
              <w:rPr>
                <w:color w:val="auto"/>
              </w:rPr>
              <w:t>G</w:t>
            </w:r>
            <w:r>
              <w:rPr>
                <w:rFonts w:hint="eastAsia"/>
                <w:color w:val="auto"/>
              </w:rPr>
              <w:t>u2</w:t>
            </w:r>
          </w:p>
        </w:tc>
      </w:tr>
      <w:tr w14:paraId="6675E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1615FCBD">
            <w:pPr>
              <w:pStyle w:val="33"/>
              <w:rPr>
                <w:color w:val="auto"/>
              </w:rPr>
            </w:pPr>
          </w:p>
        </w:tc>
        <w:tc>
          <w:tcPr>
            <w:tcW w:w="437" w:type="pct"/>
            <w:vMerge w:val="continue"/>
            <w:vAlign w:val="center"/>
          </w:tcPr>
          <w:p w14:paraId="648D9BE0">
            <w:pPr>
              <w:pStyle w:val="33"/>
              <w:rPr>
                <w:color w:val="auto"/>
              </w:rPr>
            </w:pPr>
          </w:p>
        </w:tc>
        <w:tc>
          <w:tcPr>
            <w:tcW w:w="1112" w:type="pct"/>
            <w:vAlign w:val="center"/>
          </w:tcPr>
          <w:p w14:paraId="27A1C993">
            <w:pPr>
              <w:pStyle w:val="33"/>
              <w:rPr>
                <w:color w:val="auto"/>
              </w:rPr>
            </w:pPr>
            <w:r>
              <w:rPr>
                <w:rFonts w:hint="eastAsia"/>
                <w:color w:val="auto"/>
              </w:rPr>
              <w:t>污水处理站无组织废气</w:t>
            </w:r>
          </w:p>
        </w:tc>
        <w:tc>
          <w:tcPr>
            <w:tcW w:w="1068" w:type="pct"/>
            <w:vAlign w:val="center"/>
          </w:tcPr>
          <w:p w14:paraId="04BEE725">
            <w:pPr>
              <w:pStyle w:val="33"/>
              <w:rPr>
                <w:color w:val="auto"/>
              </w:rPr>
            </w:pPr>
            <w:r>
              <w:rPr>
                <w:rFonts w:hint="eastAsia"/>
                <w:color w:val="auto"/>
              </w:rPr>
              <w:t>硫化氢、氨、臭气浓度</w:t>
            </w:r>
          </w:p>
        </w:tc>
        <w:tc>
          <w:tcPr>
            <w:tcW w:w="1625" w:type="pct"/>
            <w:gridSpan w:val="2"/>
            <w:vAlign w:val="center"/>
          </w:tcPr>
          <w:p w14:paraId="2AB628A5">
            <w:pPr>
              <w:pStyle w:val="33"/>
              <w:rPr>
                <w:color w:val="auto"/>
              </w:rPr>
            </w:pPr>
            <w:r>
              <w:rPr>
                <w:color w:val="auto"/>
              </w:rPr>
              <w:t>加强通风</w:t>
            </w:r>
          </w:p>
        </w:tc>
        <w:tc>
          <w:tcPr>
            <w:tcW w:w="493" w:type="pct"/>
            <w:vAlign w:val="center"/>
          </w:tcPr>
          <w:p w14:paraId="2942103E">
            <w:pPr>
              <w:pStyle w:val="33"/>
              <w:rPr>
                <w:color w:val="auto"/>
              </w:rPr>
            </w:pPr>
            <w:r>
              <w:rPr>
                <w:color w:val="auto"/>
              </w:rPr>
              <w:t>G</w:t>
            </w:r>
            <w:r>
              <w:rPr>
                <w:rFonts w:hint="eastAsia"/>
                <w:color w:val="auto"/>
              </w:rPr>
              <w:t>u3</w:t>
            </w:r>
          </w:p>
        </w:tc>
      </w:tr>
      <w:tr w14:paraId="7DAF1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264" w:type="pct"/>
            <w:vAlign w:val="center"/>
          </w:tcPr>
          <w:p w14:paraId="76F61BC5">
            <w:pPr>
              <w:pStyle w:val="33"/>
              <w:rPr>
                <w:color w:val="auto"/>
              </w:rPr>
            </w:pPr>
            <w:r>
              <w:rPr>
                <w:color w:val="auto"/>
              </w:rPr>
              <w:t>废水</w:t>
            </w:r>
          </w:p>
        </w:tc>
        <w:tc>
          <w:tcPr>
            <w:tcW w:w="437" w:type="pct"/>
            <w:vAlign w:val="center"/>
          </w:tcPr>
          <w:p w14:paraId="5A945165">
            <w:pPr>
              <w:pStyle w:val="33"/>
              <w:rPr>
                <w:color w:val="auto"/>
              </w:rPr>
            </w:pPr>
            <w:r>
              <w:rPr>
                <w:color w:val="auto"/>
              </w:rPr>
              <w:t>生产线</w:t>
            </w:r>
          </w:p>
        </w:tc>
        <w:tc>
          <w:tcPr>
            <w:tcW w:w="1112" w:type="pct"/>
            <w:vAlign w:val="center"/>
          </w:tcPr>
          <w:p w14:paraId="07038136">
            <w:pPr>
              <w:pStyle w:val="33"/>
              <w:rPr>
                <w:color w:val="auto"/>
              </w:rPr>
            </w:pPr>
            <w:r>
              <w:rPr>
                <w:rFonts w:hint="eastAsia"/>
                <w:color w:val="auto"/>
              </w:rPr>
              <w:t>生产废水</w:t>
            </w:r>
          </w:p>
        </w:tc>
        <w:tc>
          <w:tcPr>
            <w:tcW w:w="1068" w:type="pct"/>
            <w:vAlign w:val="center"/>
          </w:tcPr>
          <w:p w14:paraId="2C80AF36">
            <w:pPr>
              <w:pStyle w:val="33"/>
              <w:rPr>
                <w:color w:val="auto"/>
              </w:rPr>
            </w:pPr>
            <w:r>
              <w:rPr>
                <w:bCs/>
                <w:color w:val="auto"/>
              </w:rPr>
              <w:t>COD</w:t>
            </w:r>
            <w:r>
              <w:rPr>
                <w:bCs/>
                <w:color w:val="auto"/>
                <w:vertAlign w:val="subscript"/>
              </w:rPr>
              <w:t>Cr</w:t>
            </w:r>
            <w:r>
              <w:rPr>
                <w:bCs/>
                <w:color w:val="auto"/>
              </w:rPr>
              <w:t>、BOD</w:t>
            </w:r>
            <w:r>
              <w:rPr>
                <w:bCs/>
                <w:color w:val="auto"/>
                <w:vertAlign w:val="subscript"/>
              </w:rPr>
              <w:t>5</w:t>
            </w:r>
            <w:r>
              <w:rPr>
                <w:bCs/>
                <w:color w:val="auto"/>
              </w:rPr>
              <w:t>、SS、NH</w:t>
            </w:r>
            <w:r>
              <w:rPr>
                <w:bCs/>
                <w:color w:val="auto"/>
                <w:vertAlign w:val="subscript"/>
              </w:rPr>
              <w:t>3</w:t>
            </w:r>
            <w:r>
              <w:rPr>
                <w:bCs/>
                <w:color w:val="auto"/>
              </w:rPr>
              <w:t>-N</w:t>
            </w:r>
            <w:r>
              <w:rPr>
                <w:rFonts w:hint="eastAsia"/>
                <w:bCs/>
                <w:color w:val="auto"/>
              </w:rPr>
              <w:t>、TN、TP</w:t>
            </w:r>
          </w:p>
        </w:tc>
        <w:tc>
          <w:tcPr>
            <w:tcW w:w="693" w:type="pct"/>
            <w:vAlign w:val="center"/>
          </w:tcPr>
          <w:p w14:paraId="5FCE861A">
            <w:pPr>
              <w:pStyle w:val="33"/>
              <w:rPr>
                <w:color w:val="auto"/>
              </w:rPr>
            </w:pPr>
            <w:r>
              <w:rPr>
                <w:rFonts w:hint="eastAsia"/>
                <w:color w:val="auto"/>
              </w:rPr>
              <w:t>“混凝沉淀+好氧处理+物化”三级处理</w:t>
            </w:r>
          </w:p>
        </w:tc>
        <w:tc>
          <w:tcPr>
            <w:tcW w:w="932" w:type="pct"/>
            <w:vAlign w:val="center"/>
          </w:tcPr>
          <w:p w14:paraId="10FB8B55">
            <w:pPr>
              <w:pStyle w:val="33"/>
              <w:rPr>
                <w:color w:val="auto"/>
              </w:rPr>
            </w:pPr>
            <w:r>
              <w:rPr>
                <w:rFonts w:hint="eastAsia"/>
                <w:color w:val="auto"/>
              </w:rPr>
              <w:t>排海</w:t>
            </w:r>
          </w:p>
        </w:tc>
        <w:tc>
          <w:tcPr>
            <w:tcW w:w="493" w:type="pct"/>
            <w:vAlign w:val="center"/>
          </w:tcPr>
          <w:p w14:paraId="1D1D0756">
            <w:pPr>
              <w:pStyle w:val="33"/>
              <w:rPr>
                <w:color w:val="auto"/>
              </w:rPr>
            </w:pPr>
            <w:r>
              <w:rPr>
                <w:color w:val="auto"/>
              </w:rPr>
              <w:t>W1</w:t>
            </w:r>
          </w:p>
        </w:tc>
      </w:tr>
      <w:tr w14:paraId="25263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restart"/>
            <w:vAlign w:val="center"/>
          </w:tcPr>
          <w:p w14:paraId="419C9E6B">
            <w:pPr>
              <w:pStyle w:val="33"/>
              <w:rPr>
                <w:color w:val="auto"/>
              </w:rPr>
            </w:pPr>
            <w:r>
              <w:rPr>
                <w:color w:val="auto"/>
              </w:rPr>
              <w:t>固体废物</w:t>
            </w:r>
          </w:p>
        </w:tc>
        <w:tc>
          <w:tcPr>
            <w:tcW w:w="437" w:type="pct"/>
            <w:vMerge w:val="restart"/>
            <w:vAlign w:val="center"/>
          </w:tcPr>
          <w:p w14:paraId="30764ACF">
            <w:pPr>
              <w:pStyle w:val="33"/>
              <w:rPr>
                <w:color w:val="auto"/>
              </w:rPr>
            </w:pPr>
            <w:r>
              <w:rPr>
                <w:color w:val="auto"/>
              </w:rPr>
              <w:t>生产线</w:t>
            </w:r>
          </w:p>
        </w:tc>
        <w:tc>
          <w:tcPr>
            <w:tcW w:w="1112" w:type="pct"/>
            <w:vAlign w:val="center"/>
          </w:tcPr>
          <w:p w14:paraId="4520BC2B">
            <w:pPr>
              <w:pStyle w:val="33"/>
              <w:rPr>
                <w:color w:val="auto"/>
              </w:rPr>
            </w:pPr>
            <w:r>
              <w:rPr>
                <w:rFonts w:hint="eastAsia"/>
                <w:color w:val="auto"/>
              </w:rPr>
              <w:t>备浆车间</w:t>
            </w:r>
          </w:p>
        </w:tc>
        <w:tc>
          <w:tcPr>
            <w:tcW w:w="1068" w:type="pct"/>
            <w:vAlign w:val="center"/>
          </w:tcPr>
          <w:p w14:paraId="13DF96B7">
            <w:pPr>
              <w:pStyle w:val="33"/>
              <w:rPr>
                <w:color w:val="auto"/>
              </w:rPr>
            </w:pPr>
            <w:r>
              <w:rPr>
                <w:rFonts w:hint="eastAsia"/>
                <w:color w:val="auto"/>
              </w:rPr>
              <w:t>废铁丝</w:t>
            </w:r>
          </w:p>
        </w:tc>
        <w:tc>
          <w:tcPr>
            <w:tcW w:w="1625" w:type="pct"/>
            <w:gridSpan w:val="2"/>
            <w:vAlign w:val="center"/>
          </w:tcPr>
          <w:p w14:paraId="03A59CD6">
            <w:pPr>
              <w:pStyle w:val="33"/>
              <w:rPr>
                <w:color w:val="auto"/>
              </w:rPr>
            </w:pPr>
            <w:r>
              <w:rPr>
                <w:rFonts w:hint="eastAsia"/>
                <w:color w:val="auto"/>
              </w:rPr>
              <w:t>收集</w:t>
            </w:r>
            <w:r>
              <w:rPr>
                <w:color w:val="auto"/>
              </w:rPr>
              <w:t>后</w:t>
            </w:r>
            <w:r>
              <w:rPr>
                <w:rFonts w:hint="eastAsia"/>
                <w:color w:val="auto"/>
              </w:rPr>
              <w:t>外售资源</w:t>
            </w:r>
            <w:r>
              <w:rPr>
                <w:color w:val="auto"/>
              </w:rPr>
              <w:t>回收公司</w:t>
            </w:r>
          </w:p>
        </w:tc>
        <w:tc>
          <w:tcPr>
            <w:tcW w:w="493" w:type="pct"/>
            <w:vAlign w:val="center"/>
          </w:tcPr>
          <w:p w14:paraId="037E739F">
            <w:pPr>
              <w:pStyle w:val="33"/>
              <w:rPr>
                <w:color w:val="auto"/>
              </w:rPr>
            </w:pPr>
            <w:r>
              <w:rPr>
                <w:rFonts w:hint="eastAsia"/>
                <w:color w:val="auto"/>
              </w:rPr>
              <w:t>S1</w:t>
            </w:r>
          </w:p>
        </w:tc>
      </w:tr>
      <w:tr w14:paraId="543BE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Merge w:val="continue"/>
            <w:vAlign w:val="center"/>
          </w:tcPr>
          <w:p w14:paraId="4EA52D0D">
            <w:pPr>
              <w:pStyle w:val="33"/>
              <w:rPr>
                <w:color w:val="auto"/>
              </w:rPr>
            </w:pPr>
          </w:p>
        </w:tc>
        <w:tc>
          <w:tcPr>
            <w:tcW w:w="437" w:type="pct"/>
            <w:vMerge w:val="continue"/>
            <w:vAlign w:val="center"/>
          </w:tcPr>
          <w:p w14:paraId="31BE2843">
            <w:pPr>
              <w:pStyle w:val="33"/>
              <w:rPr>
                <w:color w:val="auto"/>
              </w:rPr>
            </w:pPr>
          </w:p>
        </w:tc>
        <w:tc>
          <w:tcPr>
            <w:tcW w:w="1112" w:type="pct"/>
            <w:vAlign w:val="center"/>
          </w:tcPr>
          <w:p w14:paraId="671B5254">
            <w:pPr>
              <w:pStyle w:val="33"/>
              <w:rPr>
                <w:color w:val="auto"/>
              </w:rPr>
            </w:pPr>
            <w:r>
              <w:rPr>
                <w:rFonts w:hint="eastAsia"/>
                <w:color w:val="auto"/>
              </w:rPr>
              <w:t>网部</w:t>
            </w:r>
          </w:p>
        </w:tc>
        <w:tc>
          <w:tcPr>
            <w:tcW w:w="1068" w:type="pct"/>
            <w:vAlign w:val="center"/>
          </w:tcPr>
          <w:p w14:paraId="1E323F01">
            <w:pPr>
              <w:pStyle w:val="33"/>
              <w:rPr>
                <w:color w:val="auto"/>
              </w:rPr>
            </w:pPr>
            <w:r>
              <w:rPr>
                <w:rFonts w:hint="eastAsia"/>
                <w:color w:val="auto"/>
              </w:rPr>
              <w:t>废聚酯网</w:t>
            </w:r>
          </w:p>
        </w:tc>
        <w:tc>
          <w:tcPr>
            <w:tcW w:w="1625" w:type="pct"/>
            <w:gridSpan w:val="2"/>
            <w:vAlign w:val="center"/>
          </w:tcPr>
          <w:p w14:paraId="08A7BEB7">
            <w:pPr>
              <w:pStyle w:val="33"/>
              <w:rPr>
                <w:color w:val="auto"/>
              </w:rPr>
            </w:pPr>
            <w:r>
              <w:rPr>
                <w:rFonts w:hint="eastAsia"/>
                <w:color w:val="auto"/>
              </w:rPr>
              <w:t>收集后交由相关资源回收公司回收利用</w:t>
            </w:r>
          </w:p>
        </w:tc>
        <w:tc>
          <w:tcPr>
            <w:tcW w:w="493" w:type="pct"/>
            <w:vAlign w:val="center"/>
          </w:tcPr>
          <w:p w14:paraId="264C328C">
            <w:pPr>
              <w:pStyle w:val="33"/>
              <w:rPr>
                <w:color w:val="auto"/>
              </w:rPr>
            </w:pPr>
            <w:r>
              <w:rPr>
                <w:rFonts w:hint="eastAsia"/>
                <w:color w:val="auto"/>
              </w:rPr>
              <w:t>S2</w:t>
            </w:r>
          </w:p>
        </w:tc>
      </w:tr>
      <w:tr w14:paraId="10B65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64" w:type="pct"/>
            <w:vAlign w:val="center"/>
          </w:tcPr>
          <w:p w14:paraId="0D68592E">
            <w:pPr>
              <w:pStyle w:val="33"/>
              <w:rPr>
                <w:color w:val="auto"/>
              </w:rPr>
            </w:pPr>
            <w:r>
              <w:rPr>
                <w:rFonts w:hint="eastAsia"/>
                <w:color w:val="auto"/>
              </w:rPr>
              <w:t>噪声</w:t>
            </w:r>
          </w:p>
        </w:tc>
        <w:tc>
          <w:tcPr>
            <w:tcW w:w="1549" w:type="pct"/>
            <w:gridSpan w:val="2"/>
            <w:vAlign w:val="center"/>
          </w:tcPr>
          <w:p w14:paraId="50E3C1EE">
            <w:pPr>
              <w:pStyle w:val="33"/>
              <w:rPr>
                <w:color w:val="auto"/>
              </w:rPr>
            </w:pPr>
            <w:r>
              <w:rPr>
                <w:color w:val="auto"/>
              </w:rPr>
              <w:t>生产线</w:t>
            </w:r>
          </w:p>
        </w:tc>
        <w:tc>
          <w:tcPr>
            <w:tcW w:w="1068" w:type="pct"/>
            <w:vAlign w:val="center"/>
          </w:tcPr>
          <w:p w14:paraId="4C939A8E">
            <w:pPr>
              <w:pStyle w:val="33"/>
              <w:rPr>
                <w:color w:val="auto"/>
              </w:rPr>
            </w:pPr>
            <w:r>
              <w:rPr>
                <w:rFonts w:hint="eastAsia"/>
                <w:color w:val="auto"/>
              </w:rPr>
              <w:t>等效A声级</w:t>
            </w:r>
          </w:p>
        </w:tc>
        <w:tc>
          <w:tcPr>
            <w:tcW w:w="1625" w:type="pct"/>
            <w:gridSpan w:val="2"/>
            <w:vAlign w:val="center"/>
          </w:tcPr>
          <w:p w14:paraId="559D2448">
            <w:pPr>
              <w:pStyle w:val="33"/>
              <w:rPr>
                <w:color w:val="auto"/>
              </w:rPr>
            </w:pPr>
            <w:r>
              <w:rPr>
                <w:rFonts w:hint="eastAsia"/>
                <w:color w:val="auto"/>
              </w:rPr>
              <w:t>厂房隔声、减振等措施</w:t>
            </w:r>
          </w:p>
        </w:tc>
        <w:tc>
          <w:tcPr>
            <w:tcW w:w="493" w:type="pct"/>
            <w:vAlign w:val="center"/>
          </w:tcPr>
          <w:p w14:paraId="0885D12D">
            <w:pPr>
              <w:pStyle w:val="33"/>
              <w:rPr>
                <w:color w:val="auto"/>
              </w:rPr>
            </w:pPr>
            <w:r>
              <w:rPr>
                <w:rFonts w:hint="eastAsia"/>
                <w:color w:val="auto"/>
              </w:rPr>
              <w:t>/</w:t>
            </w:r>
          </w:p>
        </w:tc>
      </w:tr>
    </w:tbl>
    <w:p w14:paraId="6E42E1F6">
      <w:pPr>
        <w:ind w:firstLine="480"/>
        <w:rPr>
          <w:color w:val="auto"/>
        </w:rPr>
      </w:pPr>
    </w:p>
    <w:p w14:paraId="183D8801">
      <w:pPr>
        <w:pStyle w:val="3"/>
        <w:rPr>
          <w:color w:val="auto"/>
        </w:rPr>
      </w:pPr>
      <w:bookmarkStart w:id="204" w:name="_Toc221355712"/>
      <w:bookmarkStart w:id="205" w:name="_Toc225216706"/>
      <w:r>
        <w:rPr>
          <w:color w:val="auto"/>
        </w:rPr>
        <w:t>相关平衡</w:t>
      </w:r>
      <w:bookmarkEnd w:id="204"/>
      <w:bookmarkEnd w:id="205"/>
    </w:p>
    <w:p w14:paraId="1554DB86">
      <w:pPr>
        <w:pStyle w:val="4"/>
        <w:rPr>
          <w:color w:val="auto"/>
        </w:rPr>
      </w:pPr>
      <w:bookmarkStart w:id="206" w:name="_Toc225216707"/>
      <w:r>
        <w:rPr>
          <w:rFonts w:hint="eastAsia"/>
          <w:color w:val="auto"/>
        </w:rPr>
        <w:t>物料平衡</w:t>
      </w:r>
      <w:bookmarkEnd w:id="206"/>
    </w:p>
    <w:p w14:paraId="476E0E74">
      <w:pPr>
        <w:pStyle w:val="7"/>
        <w:rPr>
          <w:color w:val="auto"/>
        </w:rPr>
      </w:pPr>
      <w:r>
        <w:rPr>
          <w:rFonts w:hint="eastAsia"/>
          <w:color w:val="auto"/>
        </w:rPr>
        <w:t>1#造纸车间物料平衡表   单位：t/d</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980"/>
        <w:gridCol w:w="1656"/>
        <w:gridCol w:w="1112"/>
        <w:gridCol w:w="2212"/>
        <w:gridCol w:w="1513"/>
      </w:tblGrid>
      <w:tr w14:paraId="1BA37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rPr>
        <w:tc>
          <w:tcPr>
            <w:tcW w:w="2395" w:type="pct"/>
            <w:gridSpan w:val="3"/>
            <w:vAlign w:val="center"/>
          </w:tcPr>
          <w:p w14:paraId="642D59FF">
            <w:pPr>
              <w:pStyle w:val="33"/>
              <w:rPr>
                <w:color w:val="auto"/>
              </w:rPr>
            </w:pPr>
            <w:r>
              <w:rPr>
                <w:rFonts w:hint="eastAsia"/>
                <w:color w:val="auto"/>
              </w:rPr>
              <w:t>物料投入</w:t>
            </w:r>
          </w:p>
        </w:tc>
        <w:tc>
          <w:tcPr>
            <w:tcW w:w="2605" w:type="pct"/>
            <w:gridSpan w:val="3"/>
            <w:vAlign w:val="center"/>
          </w:tcPr>
          <w:p w14:paraId="3AE26E05">
            <w:pPr>
              <w:pStyle w:val="33"/>
              <w:rPr>
                <w:color w:val="auto"/>
              </w:rPr>
            </w:pPr>
            <w:r>
              <w:rPr>
                <w:rFonts w:hint="eastAsia"/>
                <w:color w:val="auto"/>
              </w:rPr>
              <w:t>物料产出</w:t>
            </w:r>
          </w:p>
        </w:tc>
      </w:tr>
      <w:tr w14:paraId="62D3D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69E27332">
            <w:pPr>
              <w:pStyle w:val="33"/>
              <w:rPr>
                <w:color w:val="auto"/>
              </w:rPr>
            </w:pPr>
            <w:r>
              <w:rPr>
                <w:rFonts w:hint="eastAsia"/>
                <w:color w:val="auto"/>
              </w:rPr>
              <w:t>序号</w:t>
            </w:r>
          </w:p>
        </w:tc>
        <w:tc>
          <w:tcPr>
            <w:tcW w:w="1066" w:type="pct"/>
          </w:tcPr>
          <w:p w14:paraId="2F6A3E1A">
            <w:pPr>
              <w:pStyle w:val="33"/>
              <w:rPr>
                <w:color w:val="auto"/>
              </w:rPr>
            </w:pPr>
            <w:r>
              <w:rPr>
                <w:rFonts w:hint="eastAsia"/>
                <w:color w:val="auto"/>
              </w:rPr>
              <w:t>物料名称</w:t>
            </w:r>
          </w:p>
        </w:tc>
        <w:tc>
          <w:tcPr>
            <w:tcW w:w="891" w:type="pct"/>
          </w:tcPr>
          <w:p w14:paraId="19DD255E">
            <w:pPr>
              <w:pStyle w:val="33"/>
              <w:rPr>
                <w:color w:val="auto"/>
              </w:rPr>
            </w:pPr>
            <w:r>
              <w:rPr>
                <w:rFonts w:hint="eastAsia"/>
                <w:color w:val="auto"/>
              </w:rPr>
              <w:t>投入量</w:t>
            </w:r>
          </w:p>
        </w:tc>
        <w:tc>
          <w:tcPr>
            <w:tcW w:w="599" w:type="pct"/>
          </w:tcPr>
          <w:p w14:paraId="53EF4A49">
            <w:pPr>
              <w:pStyle w:val="33"/>
              <w:rPr>
                <w:color w:val="auto"/>
              </w:rPr>
            </w:pPr>
            <w:r>
              <w:rPr>
                <w:rFonts w:hint="eastAsia"/>
                <w:color w:val="auto"/>
              </w:rPr>
              <w:t>序号</w:t>
            </w:r>
          </w:p>
        </w:tc>
        <w:tc>
          <w:tcPr>
            <w:tcW w:w="1191" w:type="pct"/>
          </w:tcPr>
          <w:p w14:paraId="1E01A2C5">
            <w:pPr>
              <w:pStyle w:val="33"/>
              <w:rPr>
                <w:color w:val="auto"/>
              </w:rPr>
            </w:pPr>
            <w:r>
              <w:rPr>
                <w:rFonts w:hint="eastAsia"/>
                <w:color w:val="auto"/>
              </w:rPr>
              <w:t>物料名称</w:t>
            </w:r>
          </w:p>
        </w:tc>
        <w:tc>
          <w:tcPr>
            <w:tcW w:w="815" w:type="pct"/>
          </w:tcPr>
          <w:p w14:paraId="3FCE27A6">
            <w:pPr>
              <w:pStyle w:val="33"/>
              <w:rPr>
                <w:color w:val="auto"/>
              </w:rPr>
            </w:pPr>
            <w:r>
              <w:rPr>
                <w:rFonts w:hint="eastAsia"/>
                <w:color w:val="auto"/>
              </w:rPr>
              <w:t>产出量</w:t>
            </w:r>
          </w:p>
        </w:tc>
      </w:tr>
      <w:tr w14:paraId="14F4B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74895F71">
            <w:pPr>
              <w:pStyle w:val="33"/>
              <w:rPr>
                <w:color w:val="auto"/>
              </w:rPr>
            </w:pPr>
            <w:r>
              <w:rPr>
                <w:color w:val="auto"/>
              </w:rPr>
              <w:t>1</w:t>
            </w:r>
          </w:p>
        </w:tc>
        <w:tc>
          <w:tcPr>
            <w:tcW w:w="1066" w:type="pct"/>
          </w:tcPr>
          <w:p w14:paraId="551F5A93">
            <w:pPr>
              <w:pStyle w:val="33"/>
              <w:rPr>
                <w:color w:val="auto"/>
              </w:rPr>
            </w:pPr>
            <w:r>
              <w:rPr>
                <w:rFonts w:hint="eastAsia"/>
                <w:color w:val="auto"/>
              </w:rPr>
              <w:t>商品</w:t>
            </w:r>
            <w:r>
              <w:rPr>
                <w:color w:val="auto"/>
              </w:rPr>
              <w:t>NBKP</w:t>
            </w:r>
          </w:p>
        </w:tc>
        <w:tc>
          <w:tcPr>
            <w:tcW w:w="891" w:type="pct"/>
          </w:tcPr>
          <w:p w14:paraId="2EE2A23A">
            <w:pPr>
              <w:pStyle w:val="33"/>
              <w:rPr>
                <w:color w:val="auto"/>
              </w:rPr>
            </w:pPr>
            <w:r>
              <w:rPr>
                <w:color w:val="auto"/>
              </w:rPr>
              <w:t xml:space="preserve">154.85 </w:t>
            </w:r>
          </w:p>
        </w:tc>
        <w:tc>
          <w:tcPr>
            <w:tcW w:w="599" w:type="pct"/>
          </w:tcPr>
          <w:p w14:paraId="47766954">
            <w:pPr>
              <w:pStyle w:val="33"/>
              <w:rPr>
                <w:color w:val="auto"/>
              </w:rPr>
            </w:pPr>
            <w:r>
              <w:rPr>
                <w:color w:val="auto"/>
              </w:rPr>
              <w:t>1</w:t>
            </w:r>
          </w:p>
        </w:tc>
        <w:tc>
          <w:tcPr>
            <w:tcW w:w="1191" w:type="pct"/>
          </w:tcPr>
          <w:p w14:paraId="24B3A8B0">
            <w:pPr>
              <w:pStyle w:val="33"/>
              <w:rPr>
                <w:color w:val="auto"/>
              </w:rPr>
            </w:pPr>
            <w:r>
              <w:rPr>
                <w:rFonts w:hint="eastAsia"/>
                <w:color w:val="auto"/>
              </w:rPr>
              <w:t>白卡纸</w:t>
            </w:r>
          </w:p>
        </w:tc>
        <w:tc>
          <w:tcPr>
            <w:tcW w:w="815" w:type="pct"/>
          </w:tcPr>
          <w:p w14:paraId="1B5B345E">
            <w:pPr>
              <w:pStyle w:val="33"/>
              <w:rPr>
                <w:color w:val="auto"/>
              </w:rPr>
            </w:pPr>
            <w:r>
              <w:rPr>
                <w:color w:val="auto"/>
              </w:rPr>
              <w:t xml:space="preserve">3970.59 </w:t>
            </w:r>
          </w:p>
        </w:tc>
      </w:tr>
      <w:tr w14:paraId="10295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0B4812B2">
            <w:pPr>
              <w:pStyle w:val="33"/>
              <w:rPr>
                <w:color w:val="auto"/>
              </w:rPr>
            </w:pPr>
            <w:r>
              <w:rPr>
                <w:color w:val="auto"/>
              </w:rPr>
              <w:t>2</w:t>
            </w:r>
          </w:p>
        </w:tc>
        <w:tc>
          <w:tcPr>
            <w:tcW w:w="1066" w:type="pct"/>
          </w:tcPr>
          <w:p w14:paraId="6701E831">
            <w:pPr>
              <w:pStyle w:val="33"/>
              <w:rPr>
                <w:color w:val="auto"/>
              </w:rPr>
            </w:pPr>
            <w:r>
              <w:rPr>
                <w:rFonts w:hint="eastAsia"/>
                <w:color w:val="auto"/>
              </w:rPr>
              <w:t>商品</w:t>
            </w:r>
            <w:r>
              <w:rPr>
                <w:color w:val="auto"/>
              </w:rPr>
              <w:t>LBKP</w:t>
            </w:r>
          </w:p>
        </w:tc>
        <w:tc>
          <w:tcPr>
            <w:tcW w:w="891" w:type="pct"/>
          </w:tcPr>
          <w:p w14:paraId="4F357C1D">
            <w:pPr>
              <w:pStyle w:val="33"/>
              <w:rPr>
                <w:color w:val="auto"/>
              </w:rPr>
            </w:pPr>
            <w:r>
              <w:rPr>
                <w:color w:val="auto"/>
              </w:rPr>
              <w:t xml:space="preserve">1099.85 </w:t>
            </w:r>
          </w:p>
        </w:tc>
        <w:tc>
          <w:tcPr>
            <w:tcW w:w="599" w:type="pct"/>
          </w:tcPr>
          <w:p w14:paraId="51E735FB">
            <w:pPr>
              <w:pStyle w:val="33"/>
              <w:rPr>
                <w:color w:val="auto"/>
              </w:rPr>
            </w:pPr>
            <w:r>
              <w:rPr>
                <w:color w:val="auto"/>
              </w:rPr>
              <w:t>2</w:t>
            </w:r>
          </w:p>
        </w:tc>
        <w:tc>
          <w:tcPr>
            <w:tcW w:w="1191" w:type="pct"/>
          </w:tcPr>
          <w:p w14:paraId="2E0EC908">
            <w:pPr>
              <w:pStyle w:val="33"/>
              <w:rPr>
                <w:color w:val="auto"/>
              </w:rPr>
            </w:pPr>
            <w:r>
              <w:rPr>
                <w:rFonts w:hint="eastAsia"/>
                <w:color w:val="auto"/>
              </w:rPr>
              <w:t>排渣</w:t>
            </w:r>
          </w:p>
        </w:tc>
        <w:tc>
          <w:tcPr>
            <w:tcW w:w="815" w:type="pct"/>
          </w:tcPr>
          <w:p w14:paraId="08431280">
            <w:pPr>
              <w:pStyle w:val="33"/>
              <w:rPr>
                <w:color w:val="auto"/>
              </w:rPr>
            </w:pPr>
            <w:r>
              <w:rPr>
                <w:color w:val="auto"/>
              </w:rPr>
              <w:t xml:space="preserve">286.76 </w:t>
            </w:r>
          </w:p>
        </w:tc>
      </w:tr>
      <w:tr w14:paraId="773A0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1DD8A1BF">
            <w:pPr>
              <w:pStyle w:val="33"/>
              <w:rPr>
                <w:color w:val="auto"/>
              </w:rPr>
            </w:pPr>
            <w:r>
              <w:rPr>
                <w:color w:val="auto"/>
              </w:rPr>
              <w:t>3</w:t>
            </w:r>
          </w:p>
        </w:tc>
        <w:tc>
          <w:tcPr>
            <w:tcW w:w="1066" w:type="pct"/>
          </w:tcPr>
          <w:p w14:paraId="1AC1EE5C">
            <w:pPr>
              <w:pStyle w:val="33"/>
              <w:rPr>
                <w:color w:val="auto"/>
              </w:rPr>
            </w:pPr>
            <w:r>
              <w:rPr>
                <w:rFonts w:hint="eastAsia"/>
                <w:color w:val="auto"/>
              </w:rPr>
              <w:t>自制化机浆</w:t>
            </w:r>
          </w:p>
        </w:tc>
        <w:tc>
          <w:tcPr>
            <w:tcW w:w="891" w:type="pct"/>
          </w:tcPr>
          <w:p w14:paraId="1CE20E53">
            <w:pPr>
              <w:pStyle w:val="33"/>
              <w:rPr>
                <w:color w:val="auto"/>
              </w:rPr>
            </w:pPr>
            <w:r>
              <w:rPr>
                <w:color w:val="auto"/>
              </w:rPr>
              <w:t xml:space="preserve">1323.53 </w:t>
            </w:r>
          </w:p>
        </w:tc>
        <w:tc>
          <w:tcPr>
            <w:tcW w:w="599" w:type="pct"/>
          </w:tcPr>
          <w:p w14:paraId="274C43E5">
            <w:pPr>
              <w:pStyle w:val="33"/>
              <w:rPr>
                <w:color w:val="auto"/>
              </w:rPr>
            </w:pPr>
            <w:r>
              <w:rPr>
                <w:color w:val="auto"/>
              </w:rPr>
              <w:t>3</w:t>
            </w:r>
          </w:p>
        </w:tc>
        <w:tc>
          <w:tcPr>
            <w:tcW w:w="1191" w:type="pct"/>
          </w:tcPr>
          <w:p w14:paraId="33D57572">
            <w:pPr>
              <w:pStyle w:val="33"/>
              <w:rPr>
                <w:color w:val="auto"/>
              </w:rPr>
            </w:pPr>
            <w:r>
              <w:rPr>
                <w:rFonts w:hint="eastAsia"/>
                <w:color w:val="auto"/>
              </w:rPr>
              <w:t>废水带走</w:t>
            </w:r>
          </w:p>
        </w:tc>
        <w:tc>
          <w:tcPr>
            <w:tcW w:w="815" w:type="pct"/>
          </w:tcPr>
          <w:p w14:paraId="1F07544F">
            <w:pPr>
              <w:pStyle w:val="33"/>
              <w:rPr>
                <w:color w:val="auto"/>
              </w:rPr>
            </w:pPr>
            <w:r>
              <w:rPr>
                <w:color w:val="auto"/>
              </w:rPr>
              <w:t xml:space="preserve">157.06 </w:t>
            </w:r>
          </w:p>
        </w:tc>
      </w:tr>
      <w:tr w14:paraId="1EAD6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097263B2">
            <w:pPr>
              <w:pStyle w:val="33"/>
              <w:rPr>
                <w:color w:val="auto"/>
              </w:rPr>
            </w:pPr>
            <w:r>
              <w:rPr>
                <w:color w:val="auto"/>
              </w:rPr>
              <w:t>4</w:t>
            </w:r>
          </w:p>
        </w:tc>
        <w:tc>
          <w:tcPr>
            <w:tcW w:w="1066" w:type="pct"/>
          </w:tcPr>
          <w:p w14:paraId="0467593E">
            <w:pPr>
              <w:pStyle w:val="33"/>
              <w:rPr>
                <w:color w:val="auto"/>
              </w:rPr>
            </w:pPr>
            <w:r>
              <w:rPr>
                <w:rFonts w:hint="eastAsia"/>
                <w:color w:val="auto"/>
              </w:rPr>
              <w:t>商品化机浆</w:t>
            </w:r>
          </w:p>
        </w:tc>
        <w:tc>
          <w:tcPr>
            <w:tcW w:w="891" w:type="pct"/>
          </w:tcPr>
          <w:p w14:paraId="0BD74E22">
            <w:pPr>
              <w:pStyle w:val="33"/>
              <w:rPr>
                <w:color w:val="auto"/>
              </w:rPr>
            </w:pPr>
            <w:r>
              <w:rPr>
                <w:color w:val="auto"/>
              </w:rPr>
              <w:t xml:space="preserve">375.88 </w:t>
            </w:r>
          </w:p>
        </w:tc>
        <w:tc>
          <w:tcPr>
            <w:tcW w:w="599" w:type="pct"/>
          </w:tcPr>
          <w:p w14:paraId="5DDD2114">
            <w:pPr>
              <w:pStyle w:val="33"/>
              <w:rPr>
                <w:color w:val="auto"/>
              </w:rPr>
            </w:pPr>
          </w:p>
        </w:tc>
        <w:tc>
          <w:tcPr>
            <w:tcW w:w="1191" w:type="pct"/>
          </w:tcPr>
          <w:p w14:paraId="074AD4FC">
            <w:pPr>
              <w:pStyle w:val="33"/>
              <w:rPr>
                <w:color w:val="auto"/>
              </w:rPr>
            </w:pPr>
          </w:p>
        </w:tc>
        <w:tc>
          <w:tcPr>
            <w:tcW w:w="815" w:type="pct"/>
          </w:tcPr>
          <w:p w14:paraId="5CD97D6B">
            <w:pPr>
              <w:pStyle w:val="33"/>
              <w:rPr>
                <w:color w:val="auto"/>
              </w:rPr>
            </w:pPr>
          </w:p>
        </w:tc>
      </w:tr>
      <w:tr w14:paraId="5D50E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7CB0CF15">
            <w:pPr>
              <w:pStyle w:val="33"/>
              <w:rPr>
                <w:color w:val="auto"/>
              </w:rPr>
            </w:pPr>
            <w:r>
              <w:rPr>
                <w:color w:val="auto"/>
              </w:rPr>
              <w:t>5</w:t>
            </w:r>
          </w:p>
        </w:tc>
        <w:tc>
          <w:tcPr>
            <w:tcW w:w="1066" w:type="pct"/>
          </w:tcPr>
          <w:p w14:paraId="26055935">
            <w:pPr>
              <w:pStyle w:val="33"/>
              <w:rPr>
                <w:color w:val="auto"/>
              </w:rPr>
            </w:pPr>
            <w:r>
              <w:rPr>
                <w:rFonts w:hint="eastAsia"/>
                <w:color w:val="auto"/>
              </w:rPr>
              <w:t>化学品</w:t>
            </w:r>
          </w:p>
        </w:tc>
        <w:tc>
          <w:tcPr>
            <w:tcW w:w="891" w:type="pct"/>
          </w:tcPr>
          <w:p w14:paraId="363C1468">
            <w:pPr>
              <w:pStyle w:val="33"/>
              <w:rPr>
                <w:color w:val="auto"/>
              </w:rPr>
            </w:pPr>
            <w:r>
              <w:rPr>
                <w:color w:val="auto"/>
              </w:rPr>
              <w:t xml:space="preserve">1460.29 </w:t>
            </w:r>
          </w:p>
        </w:tc>
        <w:tc>
          <w:tcPr>
            <w:tcW w:w="599" w:type="pct"/>
          </w:tcPr>
          <w:p w14:paraId="39E79E91">
            <w:pPr>
              <w:pStyle w:val="33"/>
              <w:rPr>
                <w:color w:val="auto"/>
              </w:rPr>
            </w:pPr>
          </w:p>
        </w:tc>
        <w:tc>
          <w:tcPr>
            <w:tcW w:w="1191" w:type="pct"/>
          </w:tcPr>
          <w:p w14:paraId="05BAF0C7">
            <w:pPr>
              <w:pStyle w:val="33"/>
              <w:rPr>
                <w:color w:val="auto"/>
              </w:rPr>
            </w:pPr>
          </w:p>
        </w:tc>
        <w:tc>
          <w:tcPr>
            <w:tcW w:w="815" w:type="pct"/>
          </w:tcPr>
          <w:p w14:paraId="6FB3BC6F">
            <w:pPr>
              <w:pStyle w:val="33"/>
              <w:rPr>
                <w:color w:val="auto"/>
              </w:rPr>
            </w:pPr>
          </w:p>
        </w:tc>
      </w:tr>
      <w:tr w14:paraId="3A866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03" w:type="pct"/>
            <w:gridSpan w:val="2"/>
          </w:tcPr>
          <w:p w14:paraId="08DB3E53">
            <w:pPr>
              <w:pStyle w:val="33"/>
              <w:rPr>
                <w:color w:val="auto"/>
              </w:rPr>
            </w:pPr>
            <w:r>
              <w:rPr>
                <w:rFonts w:hint="eastAsia"/>
                <w:color w:val="auto"/>
              </w:rPr>
              <w:t>合计</w:t>
            </w:r>
          </w:p>
        </w:tc>
        <w:tc>
          <w:tcPr>
            <w:tcW w:w="891" w:type="pct"/>
          </w:tcPr>
          <w:p w14:paraId="2D7B76A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sz w:val="21"/>
                <w:szCs w:val="21"/>
              </w:rPr>
              <w:t xml:space="preserve">4414.41 </w:t>
            </w:r>
          </w:p>
          <w:p w14:paraId="5DF2AE6C">
            <w:pPr>
              <w:pStyle w:val="33"/>
              <w:rPr>
                <w:color w:val="auto"/>
              </w:rPr>
            </w:pPr>
          </w:p>
        </w:tc>
        <w:tc>
          <w:tcPr>
            <w:tcW w:w="1790" w:type="pct"/>
            <w:gridSpan w:val="2"/>
          </w:tcPr>
          <w:p w14:paraId="0651124A">
            <w:pPr>
              <w:pStyle w:val="33"/>
              <w:rPr>
                <w:color w:val="auto"/>
              </w:rPr>
            </w:pPr>
            <w:r>
              <w:rPr>
                <w:rFonts w:hint="eastAsia"/>
                <w:color w:val="auto"/>
              </w:rPr>
              <w:t>合计</w:t>
            </w:r>
          </w:p>
        </w:tc>
        <w:tc>
          <w:tcPr>
            <w:tcW w:w="815" w:type="pct"/>
          </w:tcPr>
          <w:p w14:paraId="6F3760B8">
            <w:pPr>
              <w:pStyle w:val="33"/>
              <w:rPr>
                <w:color w:val="auto"/>
              </w:rPr>
            </w:pPr>
            <w:r>
              <w:rPr>
                <w:color w:val="auto"/>
              </w:rPr>
              <w:t>4414.41</w:t>
            </w:r>
          </w:p>
        </w:tc>
      </w:tr>
    </w:tbl>
    <w:p w14:paraId="4C4BC148">
      <w:pPr>
        <w:ind w:firstLine="480"/>
        <w:rPr>
          <w:color w:val="auto"/>
        </w:rPr>
      </w:pPr>
      <w:r>
        <w:rPr>
          <w:rFonts w:hint="eastAsia"/>
          <w:color w:val="auto"/>
        </w:rPr>
        <w:object>
          <v:shape id="_x0000_i1025" o:spt="75" type="#_x0000_t75" style="height:182.5pt;width:423.5pt;" o:ole="t" filled="f" o:preferrelative="t" stroked="f" coordsize="21600,21600">
            <v:path/>
            <v:fill on="f" focussize="0,0"/>
            <v:stroke on="f" joinstyle="miter"/>
            <v:imagedata r:id="rId57" o:title=""/>
            <o:lock v:ext="edit" aspectratio="t"/>
            <w10:wrap type="none"/>
            <w10:anchorlock/>
          </v:shape>
          <o:OLEObject Type="Embed" ProgID="Visio.Drawing.15" ShapeID="_x0000_i1025" DrawAspect="Content" ObjectID="_1468075725" r:id="rId56">
            <o:LockedField>false</o:LockedField>
          </o:OLEObject>
        </w:object>
      </w:r>
    </w:p>
    <w:p w14:paraId="360B4682">
      <w:pPr>
        <w:pStyle w:val="8"/>
        <w:rPr>
          <w:color w:val="auto"/>
        </w:rPr>
      </w:pPr>
      <w:r>
        <w:rPr>
          <w:color w:val="auto"/>
        </w:rPr>
        <w:t>1#</w:t>
      </w:r>
      <w:r>
        <w:rPr>
          <w:rFonts w:hint="eastAsia"/>
          <w:color w:val="auto"/>
        </w:rPr>
        <w:t>造纸车间物料平衡图</w:t>
      </w:r>
      <w:r>
        <w:rPr>
          <w:color w:val="auto"/>
        </w:rPr>
        <w:t xml:space="preserve">    </w:t>
      </w:r>
      <w:r>
        <w:rPr>
          <w:rFonts w:hint="eastAsia"/>
          <w:color w:val="auto"/>
        </w:rPr>
        <w:t>单位：</w:t>
      </w:r>
      <w:r>
        <w:rPr>
          <w:color w:val="auto"/>
        </w:rPr>
        <w:t>t/d</w:t>
      </w:r>
    </w:p>
    <w:p w14:paraId="2B28E3EF">
      <w:pPr>
        <w:pStyle w:val="7"/>
        <w:rPr>
          <w:color w:val="auto"/>
        </w:rPr>
      </w:pPr>
      <w:r>
        <w:rPr>
          <w:color w:val="auto"/>
        </w:rPr>
        <w:t>2#</w:t>
      </w:r>
      <w:r>
        <w:rPr>
          <w:rFonts w:hint="eastAsia"/>
          <w:color w:val="auto"/>
        </w:rPr>
        <w:t>造纸车间物料平衡表</w:t>
      </w:r>
      <w:r>
        <w:rPr>
          <w:color w:val="auto"/>
        </w:rPr>
        <w:t xml:space="preserve">   </w:t>
      </w:r>
      <w:r>
        <w:rPr>
          <w:rFonts w:hint="eastAsia"/>
          <w:color w:val="auto"/>
        </w:rPr>
        <w:t>单位：</w:t>
      </w:r>
      <w:r>
        <w:rPr>
          <w:color w:val="auto"/>
        </w:rPr>
        <w:t>t/d</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2"/>
        <w:gridCol w:w="1980"/>
        <w:gridCol w:w="1656"/>
        <w:gridCol w:w="1112"/>
        <w:gridCol w:w="2212"/>
        <w:gridCol w:w="1513"/>
      </w:tblGrid>
      <w:tr w14:paraId="1EC64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395" w:type="pct"/>
            <w:gridSpan w:val="3"/>
            <w:vAlign w:val="center"/>
          </w:tcPr>
          <w:p w14:paraId="5ABD0843">
            <w:pPr>
              <w:pStyle w:val="33"/>
              <w:rPr>
                <w:color w:val="auto"/>
              </w:rPr>
            </w:pPr>
            <w:r>
              <w:rPr>
                <w:rFonts w:hint="eastAsia"/>
                <w:color w:val="auto"/>
              </w:rPr>
              <w:t>物料投入</w:t>
            </w:r>
          </w:p>
        </w:tc>
        <w:tc>
          <w:tcPr>
            <w:tcW w:w="2605" w:type="pct"/>
            <w:gridSpan w:val="3"/>
            <w:vAlign w:val="center"/>
          </w:tcPr>
          <w:p w14:paraId="20F2D446">
            <w:pPr>
              <w:pStyle w:val="33"/>
              <w:rPr>
                <w:color w:val="auto"/>
              </w:rPr>
            </w:pPr>
            <w:r>
              <w:rPr>
                <w:rFonts w:hint="eastAsia"/>
                <w:color w:val="auto"/>
              </w:rPr>
              <w:t>物料产出</w:t>
            </w:r>
          </w:p>
        </w:tc>
      </w:tr>
      <w:tr w14:paraId="2E8EA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373B7F2F">
            <w:pPr>
              <w:pStyle w:val="33"/>
              <w:rPr>
                <w:color w:val="auto"/>
              </w:rPr>
            </w:pPr>
            <w:r>
              <w:rPr>
                <w:rFonts w:hint="eastAsia"/>
                <w:color w:val="auto"/>
              </w:rPr>
              <w:t>序号</w:t>
            </w:r>
          </w:p>
        </w:tc>
        <w:tc>
          <w:tcPr>
            <w:tcW w:w="1066" w:type="pct"/>
          </w:tcPr>
          <w:p w14:paraId="008AFE67">
            <w:pPr>
              <w:pStyle w:val="33"/>
              <w:rPr>
                <w:color w:val="auto"/>
              </w:rPr>
            </w:pPr>
            <w:r>
              <w:rPr>
                <w:rFonts w:hint="eastAsia"/>
                <w:color w:val="auto"/>
              </w:rPr>
              <w:t>物料名称</w:t>
            </w:r>
          </w:p>
        </w:tc>
        <w:tc>
          <w:tcPr>
            <w:tcW w:w="891" w:type="pct"/>
          </w:tcPr>
          <w:p w14:paraId="6F4E5E1A">
            <w:pPr>
              <w:pStyle w:val="33"/>
              <w:rPr>
                <w:color w:val="auto"/>
              </w:rPr>
            </w:pPr>
            <w:r>
              <w:rPr>
                <w:rFonts w:hint="eastAsia"/>
                <w:color w:val="auto"/>
              </w:rPr>
              <w:t>投入量</w:t>
            </w:r>
          </w:p>
        </w:tc>
        <w:tc>
          <w:tcPr>
            <w:tcW w:w="599" w:type="pct"/>
          </w:tcPr>
          <w:p w14:paraId="2C7CFD7D">
            <w:pPr>
              <w:pStyle w:val="33"/>
              <w:rPr>
                <w:color w:val="auto"/>
              </w:rPr>
            </w:pPr>
            <w:r>
              <w:rPr>
                <w:rFonts w:hint="eastAsia"/>
                <w:color w:val="auto"/>
              </w:rPr>
              <w:t>序号</w:t>
            </w:r>
          </w:p>
        </w:tc>
        <w:tc>
          <w:tcPr>
            <w:tcW w:w="1191" w:type="pct"/>
          </w:tcPr>
          <w:p w14:paraId="521574F5">
            <w:pPr>
              <w:pStyle w:val="33"/>
              <w:rPr>
                <w:color w:val="auto"/>
              </w:rPr>
            </w:pPr>
            <w:r>
              <w:rPr>
                <w:rFonts w:hint="eastAsia"/>
                <w:color w:val="auto"/>
              </w:rPr>
              <w:t>物料名称</w:t>
            </w:r>
          </w:p>
        </w:tc>
        <w:tc>
          <w:tcPr>
            <w:tcW w:w="815" w:type="pct"/>
          </w:tcPr>
          <w:p w14:paraId="1C34BEF6">
            <w:pPr>
              <w:pStyle w:val="33"/>
              <w:rPr>
                <w:color w:val="auto"/>
              </w:rPr>
            </w:pPr>
            <w:r>
              <w:rPr>
                <w:rFonts w:hint="eastAsia"/>
                <w:color w:val="auto"/>
              </w:rPr>
              <w:t>产出量</w:t>
            </w:r>
          </w:p>
        </w:tc>
      </w:tr>
      <w:tr w14:paraId="0A748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3103D9B5">
            <w:pPr>
              <w:pStyle w:val="33"/>
              <w:rPr>
                <w:color w:val="auto"/>
              </w:rPr>
            </w:pPr>
            <w:r>
              <w:rPr>
                <w:color w:val="auto"/>
              </w:rPr>
              <w:t>1</w:t>
            </w:r>
          </w:p>
        </w:tc>
        <w:tc>
          <w:tcPr>
            <w:tcW w:w="1066" w:type="pct"/>
          </w:tcPr>
          <w:p w14:paraId="7BC3CF30">
            <w:pPr>
              <w:pStyle w:val="33"/>
              <w:rPr>
                <w:color w:val="auto"/>
              </w:rPr>
            </w:pPr>
            <w:r>
              <w:rPr>
                <w:rFonts w:hint="eastAsia"/>
                <w:color w:val="auto"/>
              </w:rPr>
              <w:t>商品</w:t>
            </w:r>
            <w:r>
              <w:rPr>
                <w:color w:val="auto"/>
              </w:rPr>
              <w:t>NBKP</w:t>
            </w:r>
          </w:p>
        </w:tc>
        <w:tc>
          <w:tcPr>
            <w:tcW w:w="891" w:type="pct"/>
            <w:vAlign w:val="center"/>
          </w:tcPr>
          <w:p w14:paraId="21F06DDC">
            <w:pPr>
              <w:pStyle w:val="33"/>
              <w:rPr>
                <w:color w:val="auto"/>
              </w:rPr>
            </w:pPr>
            <w:r>
              <w:rPr>
                <w:rFonts w:eastAsia="等线" w:cs="Times New Roman"/>
                <w:color w:val="auto"/>
                <w:szCs w:val="21"/>
              </w:rPr>
              <w:t xml:space="preserve">162.79 </w:t>
            </w:r>
          </w:p>
        </w:tc>
        <w:tc>
          <w:tcPr>
            <w:tcW w:w="599" w:type="pct"/>
          </w:tcPr>
          <w:p w14:paraId="1FB3497F">
            <w:pPr>
              <w:pStyle w:val="33"/>
              <w:rPr>
                <w:color w:val="auto"/>
              </w:rPr>
            </w:pPr>
            <w:r>
              <w:rPr>
                <w:color w:val="auto"/>
              </w:rPr>
              <w:t>1</w:t>
            </w:r>
          </w:p>
        </w:tc>
        <w:tc>
          <w:tcPr>
            <w:tcW w:w="1191" w:type="pct"/>
          </w:tcPr>
          <w:p w14:paraId="3C1745EF">
            <w:pPr>
              <w:pStyle w:val="33"/>
              <w:rPr>
                <w:color w:val="auto"/>
              </w:rPr>
            </w:pPr>
            <w:r>
              <w:rPr>
                <w:rFonts w:hint="eastAsia"/>
                <w:color w:val="auto"/>
              </w:rPr>
              <w:t>白卡纸</w:t>
            </w:r>
          </w:p>
        </w:tc>
        <w:tc>
          <w:tcPr>
            <w:tcW w:w="815" w:type="pct"/>
          </w:tcPr>
          <w:p w14:paraId="63E2AF86">
            <w:pPr>
              <w:pStyle w:val="33"/>
              <w:rPr>
                <w:color w:val="auto"/>
              </w:rPr>
            </w:pPr>
            <w:r>
              <w:rPr>
                <w:color w:val="auto"/>
              </w:rPr>
              <w:t xml:space="preserve">3970.59 </w:t>
            </w:r>
          </w:p>
        </w:tc>
      </w:tr>
      <w:tr w14:paraId="68DD8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34AD6510">
            <w:pPr>
              <w:pStyle w:val="33"/>
              <w:rPr>
                <w:color w:val="auto"/>
              </w:rPr>
            </w:pPr>
            <w:r>
              <w:rPr>
                <w:color w:val="auto"/>
              </w:rPr>
              <w:t>2</w:t>
            </w:r>
          </w:p>
        </w:tc>
        <w:tc>
          <w:tcPr>
            <w:tcW w:w="1066" w:type="pct"/>
          </w:tcPr>
          <w:p w14:paraId="7B0AF512">
            <w:pPr>
              <w:pStyle w:val="33"/>
              <w:rPr>
                <w:color w:val="auto"/>
              </w:rPr>
            </w:pPr>
            <w:r>
              <w:rPr>
                <w:rFonts w:hint="eastAsia"/>
                <w:color w:val="auto"/>
              </w:rPr>
              <w:t>商品</w:t>
            </w:r>
            <w:r>
              <w:rPr>
                <w:color w:val="auto"/>
              </w:rPr>
              <w:t>LBKP</w:t>
            </w:r>
          </w:p>
        </w:tc>
        <w:tc>
          <w:tcPr>
            <w:tcW w:w="891" w:type="pct"/>
            <w:vAlign w:val="center"/>
          </w:tcPr>
          <w:p w14:paraId="6E68A0B5">
            <w:pPr>
              <w:pStyle w:val="33"/>
              <w:rPr>
                <w:color w:val="auto"/>
              </w:rPr>
            </w:pPr>
            <w:r>
              <w:rPr>
                <w:rFonts w:eastAsia="等线" w:cs="Times New Roman"/>
                <w:color w:val="auto"/>
                <w:szCs w:val="21"/>
              </w:rPr>
              <w:t xml:space="preserve">1052.21 </w:t>
            </w:r>
          </w:p>
        </w:tc>
        <w:tc>
          <w:tcPr>
            <w:tcW w:w="599" w:type="pct"/>
          </w:tcPr>
          <w:p w14:paraId="3EEA329F">
            <w:pPr>
              <w:pStyle w:val="33"/>
              <w:rPr>
                <w:color w:val="auto"/>
              </w:rPr>
            </w:pPr>
            <w:r>
              <w:rPr>
                <w:color w:val="auto"/>
              </w:rPr>
              <w:t>2</w:t>
            </w:r>
          </w:p>
        </w:tc>
        <w:tc>
          <w:tcPr>
            <w:tcW w:w="1191" w:type="pct"/>
          </w:tcPr>
          <w:p w14:paraId="39A4C2C5">
            <w:pPr>
              <w:pStyle w:val="33"/>
              <w:rPr>
                <w:color w:val="auto"/>
              </w:rPr>
            </w:pPr>
            <w:r>
              <w:rPr>
                <w:rFonts w:hint="eastAsia"/>
                <w:color w:val="auto"/>
              </w:rPr>
              <w:t>排渣</w:t>
            </w:r>
          </w:p>
        </w:tc>
        <w:tc>
          <w:tcPr>
            <w:tcW w:w="815" w:type="pct"/>
          </w:tcPr>
          <w:p w14:paraId="00D0E493">
            <w:pPr>
              <w:pStyle w:val="33"/>
              <w:rPr>
                <w:color w:val="auto"/>
              </w:rPr>
            </w:pPr>
            <w:r>
              <w:rPr>
                <w:color w:val="auto"/>
              </w:rPr>
              <w:t xml:space="preserve">308.82 </w:t>
            </w:r>
          </w:p>
        </w:tc>
      </w:tr>
      <w:tr w14:paraId="7DFA6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15E4A93E">
            <w:pPr>
              <w:pStyle w:val="33"/>
              <w:rPr>
                <w:color w:val="auto"/>
              </w:rPr>
            </w:pPr>
            <w:r>
              <w:rPr>
                <w:color w:val="auto"/>
              </w:rPr>
              <w:t>3</w:t>
            </w:r>
          </w:p>
        </w:tc>
        <w:tc>
          <w:tcPr>
            <w:tcW w:w="1066" w:type="pct"/>
          </w:tcPr>
          <w:p w14:paraId="003D7450">
            <w:pPr>
              <w:pStyle w:val="33"/>
              <w:rPr>
                <w:color w:val="auto"/>
              </w:rPr>
            </w:pPr>
            <w:r>
              <w:rPr>
                <w:rFonts w:hint="eastAsia"/>
                <w:color w:val="auto"/>
              </w:rPr>
              <w:t>自制化机浆</w:t>
            </w:r>
          </w:p>
        </w:tc>
        <w:tc>
          <w:tcPr>
            <w:tcW w:w="891" w:type="pct"/>
            <w:vAlign w:val="center"/>
          </w:tcPr>
          <w:p w14:paraId="50A3CACC">
            <w:pPr>
              <w:pStyle w:val="33"/>
              <w:rPr>
                <w:color w:val="auto"/>
              </w:rPr>
            </w:pPr>
            <w:r>
              <w:rPr>
                <w:rFonts w:eastAsia="等线" w:cs="Times New Roman"/>
                <w:color w:val="auto"/>
                <w:szCs w:val="21"/>
              </w:rPr>
              <w:t xml:space="preserve">1323.53 </w:t>
            </w:r>
          </w:p>
        </w:tc>
        <w:tc>
          <w:tcPr>
            <w:tcW w:w="599" w:type="pct"/>
          </w:tcPr>
          <w:p w14:paraId="36A7D49F">
            <w:pPr>
              <w:pStyle w:val="33"/>
              <w:rPr>
                <w:color w:val="auto"/>
              </w:rPr>
            </w:pPr>
            <w:r>
              <w:rPr>
                <w:color w:val="auto"/>
              </w:rPr>
              <w:t>3</w:t>
            </w:r>
          </w:p>
        </w:tc>
        <w:tc>
          <w:tcPr>
            <w:tcW w:w="1191" w:type="pct"/>
          </w:tcPr>
          <w:p w14:paraId="5F9497D3">
            <w:pPr>
              <w:pStyle w:val="33"/>
              <w:rPr>
                <w:color w:val="auto"/>
              </w:rPr>
            </w:pPr>
            <w:r>
              <w:rPr>
                <w:rFonts w:hint="eastAsia"/>
                <w:color w:val="auto"/>
              </w:rPr>
              <w:t>废水带走</w:t>
            </w:r>
          </w:p>
        </w:tc>
        <w:tc>
          <w:tcPr>
            <w:tcW w:w="815" w:type="pct"/>
          </w:tcPr>
          <w:p w14:paraId="62915F1A">
            <w:pPr>
              <w:pStyle w:val="33"/>
              <w:rPr>
                <w:color w:val="auto"/>
              </w:rPr>
            </w:pPr>
            <w:r>
              <w:rPr>
                <w:color w:val="auto"/>
              </w:rPr>
              <w:t xml:space="preserve">253.68 </w:t>
            </w:r>
          </w:p>
        </w:tc>
      </w:tr>
      <w:tr w14:paraId="12EFB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0A373DDC">
            <w:pPr>
              <w:pStyle w:val="33"/>
              <w:rPr>
                <w:color w:val="auto"/>
              </w:rPr>
            </w:pPr>
            <w:r>
              <w:rPr>
                <w:color w:val="auto"/>
              </w:rPr>
              <w:t>4</w:t>
            </w:r>
          </w:p>
        </w:tc>
        <w:tc>
          <w:tcPr>
            <w:tcW w:w="1066" w:type="pct"/>
          </w:tcPr>
          <w:p w14:paraId="044CDC7E">
            <w:pPr>
              <w:pStyle w:val="33"/>
              <w:rPr>
                <w:color w:val="auto"/>
              </w:rPr>
            </w:pPr>
            <w:r>
              <w:rPr>
                <w:rFonts w:hint="eastAsia"/>
                <w:color w:val="auto"/>
              </w:rPr>
              <w:t>商品化机浆</w:t>
            </w:r>
          </w:p>
        </w:tc>
        <w:tc>
          <w:tcPr>
            <w:tcW w:w="891" w:type="pct"/>
            <w:vAlign w:val="center"/>
          </w:tcPr>
          <w:p w14:paraId="13B390C3">
            <w:pPr>
              <w:pStyle w:val="33"/>
              <w:rPr>
                <w:color w:val="auto"/>
              </w:rPr>
            </w:pPr>
            <w:r>
              <w:rPr>
                <w:rFonts w:eastAsia="等线" w:cs="Times New Roman"/>
                <w:color w:val="auto"/>
                <w:szCs w:val="21"/>
              </w:rPr>
              <w:t xml:space="preserve">419.56 </w:t>
            </w:r>
          </w:p>
        </w:tc>
        <w:tc>
          <w:tcPr>
            <w:tcW w:w="599" w:type="pct"/>
          </w:tcPr>
          <w:p w14:paraId="6AC54B26">
            <w:pPr>
              <w:pStyle w:val="33"/>
              <w:rPr>
                <w:color w:val="auto"/>
              </w:rPr>
            </w:pPr>
          </w:p>
        </w:tc>
        <w:tc>
          <w:tcPr>
            <w:tcW w:w="1191" w:type="pct"/>
          </w:tcPr>
          <w:p w14:paraId="2DE0E77E">
            <w:pPr>
              <w:pStyle w:val="33"/>
              <w:rPr>
                <w:color w:val="auto"/>
              </w:rPr>
            </w:pPr>
          </w:p>
        </w:tc>
        <w:tc>
          <w:tcPr>
            <w:tcW w:w="815" w:type="pct"/>
          </w:tcPr>
          <w:p w14:paraId="281D9BD3">
            <w:pPr>
              <w:pStyle w:val="33"/>
              <w:rPr>
                <w:color w:val="auto"/>
              </w:rPr>
            </w:pPr>
          </w:p>
        </w:tc>
      </w:tr>
      <w:tr w14:paraId="45259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7" w:type="pct"/>
          </w:tcPr>
          <w:p w14:paraId="11A5B6E4">
            <w:pPr>
              <w:pStyle w:val="33"/>
              <w:rPr>
                <w:color w:val="auto"/>
              </w:rPr>
            </w:pPr>
            <w:r>
              <w:rPr>
                <w:color w:val="auto"/>
              </w:rPr>
              <w:t>5</w:t>
            </w:r>
          </w:p>
        </w:tc>
        <w:tc>
          <w:tcPr>
            <w:tcW w:w="1066" w:type="pct"/>
          </w:tcPr>
          <w:p w14:paraId="1D660778">
            <w:pPr>
              <w:pStyle w:val="33"/>
              <w:rPr>
                <w:color w:val="auto"/>
              </w:rPr>
            </w:pPr>
            <w:r>
              <w:rPr>
                <w:rFonts w:hint="eastAsia"/>
                <w:color w:val="auto"/>
              </w:rPr>
              <w:t>化学品</w:t>
            </w:r>
          </w:p>
        </w:tc>
        <w:tc>
          <w:tcPr>
            <w:tcW w:w="891" w:type="pct"/>
            <w:vAlign w:val="center"/>
          </w:tcPr>
          <w:p w14:paraId="6E395ABC">
            <w:pPr>
              <w:pStyle w:val="33"/>
              <w:rPr>
                <w:color w:val="auto"/>
              </w:rPr>
            </w:pPr>
            <w:r>
              <w:rPr>
                <w:rFonts w:eastAsia="等线" w:cs="Times New Roman"/>
                <w:color w:val="auto"/>
                <w:szCs w:val="21"/>
              </w:rPr>
              <w:t xml:space="preserve">1575.00 </w:t>
            </w:r>
          </w:p>
        </w:tc>
        <w:tc>
          <w:tcPr>
            <w:tcW w:w="599" w:type="pct"/>
          </w:tcPr>
          <w:p w14:paraId="295ADDD4">
            <w:pPr>
              <w:pStyle w:val="33"/>
              <w:rPr>
                <w:color w:val="auto"/>
              </w:rPr>
            </w:pPr>
          </w:p>
        </w:tc>
        <w:tc>
          <w:tcPr>
            <w:tcW w:w="1191" w:type="pct"/>
          </w:tcPr>
          <w:p w14:paraId="1DFCC77D">
            <w:pPr>
              <w:pStyle w:val="33"/>
              <w:rPr>
                <w:color w:val="auto"/>
              </w:rPr>
            </w:pPr>
          </w:p>
        </w:tc>
        <w:tc>
          <w:tcPr>
            <w:tcW w:w="815" w:type="pct"/>
          </w:tcPr>
          <w:p w14:paraId="057DC61A">
            <w:pPr>
              <w:pStyle w:val="33"/>
              <w:rPr>
                <w:color w:val="auto"/>
              </w:rPr>
            </w:pPr>
          </w:p>
        </w:tc>
      </w:tr>
      <w:tr w14:paraId="3147F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03" w:type="pct"/>
            <w:gridSpan w:val="2"/>
          </w:tcPr>
          <w:p w14:paraId="4DFA8348">
            <w:pPr>
              <w:pStyle w:val="33"/>
              <w:rPr>
                <w:color w:val="auto"/>
              </w:rPr>
            </w:pPr>
            <w:r>
              <w:rPr>
                <w:rFonts w:hint="eastAsia"/>
                <w:color w:val="auto"/>
              </w:rPr>
              <w:t>合计</w:t>
            </w:r>
          </w:p>
        </w:tc>
        <w:tc>
          <w:tcPr>
            <w:tcW w:w="891" w:type="pct"/>
          </w:tcPr>
          <w:p w14:paraId="1E8B4616">
            <w:pPr>
              <w:pStyle w:val="33"/>
              <w:rPr>
                <w:color w:val="auto"/>
              </w:rPr>
            </w:pPr>
            <w:r>
              <w:rPr>
                <w:color w:val="auto"/>
              </w:rPr>
              <w:t>4533.09</w:t>
            </w:r>
          </w:p>
        </w:tc>
        <w:tc>
          <w:tcPr>
            <w:tcW w:w="1790" w:type="pct"/>
            <w:gridSpan w:val="2"/>
          </w:tcPr>
          <w:p w14:paraId="600C872B">
            <w:pPr>
              <w:pStyle w:val="33"/>
              <w:rPr>
                <w:color w:val="auto"/>
              </w:rPr>
            </w:pPr>
            <w:r>
              <w:rPr>
                <w:rFonts w:hint="eastAsia"/>
                <w:color w:val="auto"/>
              </w:rPr>
              <w:t>合计</w:t>
            </w:r>
          </w:p>
        </w:tc>
        <w:tc>
          <w:tcPr>
            <w:tcW w:w="815" w:type="pct"/>
          </w:tcPr>
          <w:p w14:paraId="5BAA59E8">
            <w:pPr>
              <w:pStyle w:val="33"/>
              <w:rPr>
                <w:color w:val="auto"/>
              </w:rPr>
            </w:pPr>
            <w:r>
              <w:rPr>
                <w:color w:val="auto"/>
              </w:rPr>
              <w:t>4533.09</w:t>
            </w:r>
          </w:p>
        </w:tc>
      </w:tr>
    </w:tbl>
    <w:p w14:paraId="7302C788">
      <w:pPr>
        <w:ind w:firstLine="480"/>
        <w:rPr>
          <w:color w:val="auto"/>
        </w:rPr>
      </w:pPr>
    </w:p>
    <w:p w14:paraId="5196E86A">
      <w:pPr>
        <w:ind w:firstLine="480"/>
        <w:rPr>
          <w:color w:val="auto"/>
        </w:rPr>
      </w:pPr>
      <w:r>
        <w:rPr>
          <w:rFonts w:hint="eastAsia"/>
          <w:color w:val="auto"/>
        </w:rPr>
        <w:object>
          <v:shape id="_x0000_i1026" o:spt="75" type="#_x0000_t75" style="height:186pt;width:433pt;" o:ole="t" filled="f" o:preferrelative="t" stroked="f" coordsize="21600,21600">
            <v:path/>
            <v:fill on="f" focussize="0,0"/>
            <v:stroke on="f" joinstyle="miter"/>
            <v:imagedata r:id="rId59" o:title=""/>
            <o:lock v:ext="edit" aspectratio="t"/>
            <w10:wrap type="none"/>
            <w10:anchorlock/>
          </v:shape>
          <o:OLEObject Type="Embed" ProgID="Visio.Drawing.15" ShapeID="_x0000_i1026" DrawAspect="Content" ObjectID="_1468075726" r:id="rId58">
            <o:LockedField>false</o:LockedField>
          </o:OLEObject>
        </w:object>
      </w:r>
    </w:p>
    <w:p w14:paraId="255F040D">
      <w:pPr>
        <w:pStyle w:val="8"/>
        <w:rPr>
          <w:color w:val="auto"/>
        </w:rPr>
      </w:pPr>
      <w:r>
        <w:rPr>
          <w:color w:val="auto"/>
        </w:rPr>
        <w:t>2#</w:t>
      </w:r>
      <w:r>
        <w:rPr>
          <w:rFonts w:hint="eastAsia"/>
          <w:color w:val="auto"/>
        </w:rPr>
        <w:t>造纸车间物料平衡</w:t>
      </w:r>
      <w:r>
        <w:rPr>
          <w:color w:val="auto"/>
        </w:rPr>
        <w:t xml:space="preserve">    </w:t>
      </w:r>
      <w:r>
        <w:rPr>
          <w:rFonts w:hint="eastAsia"/>
          <w:color w:val="auto"/>
        </w:rPr>
        <w:t>单位：</w:t>
      </w:r>
      <w:r>
        <w:rPr>
          <w:color w:val="auto"/>
        </w:rPr>
        <w:t>t/d</w:t>
      </w:r>
    </w:p>
    <w:p w14:paraId="0BB7D4A6">
      <w:pPr>
        <w:ind w:firstLine="480"/>
        <w:rPr>
          <w:color w:val="auto"/>
        </w:rPr>
      </w:pPr>
    </w:p>
    <w:p w14:paraId="02D37A03">
      <w:pPr>
        <w:pStyle w:val="4"/>
        <w:rPr>
          <w:color w:val="auto"/>
        </w:rPr>
      </w:pPr>
      <w:bookmarkStart w:id="207" w:name="_Toc225216708"/>
      <w:r>
        <w:rPr>
          <w:rFonts w:hint="eastAsia"/>
          <w:color w:val="auto"/>
        </w:rPr>
        <w:t>水平衡</w:t>
      </w:r>
      <w:bookmarkEnd w:id="207"/>
    </w:p>
    <w:p w14:paraId="2D3CD94B">
      <w:pPr>
        <w:pStyle w:val="7"/>
        <w:rPr>
          <w:color w:val="auto"/>
        </w:rPr>
      </w:pPr>
      <w:r>
        <w:rPr>
          <w:rFonts w:hint="eastAsia"/>
          <w:color w:val="auto"/>
        </w:rPr>
        <w:t>1#造纸车间水平衡表   单位：t/d</w:t>
      </w:r>
    </w:p>
    <w:tbl>
      <w:tblPr>
        <w:tblStyle w:val="26"/>
        <w:tblW w:w="90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1417"/>
        <w:gridCol w:w="1843"/>
        <w:gridCol w:w="1559"/>
        <w:gridCol w:w="1551"/>
      </w:tblGrid>
      <w:tr w14:paraId="382C3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4106" w:type="dxa"/>
            <w:gridSpan w:val="2"/>
            <w:noWrap/>
            <w:vAlign w:val="bottom"/>
          </w:tcPr>
          <w:p w14:paraId="109BB4E2">
            <w:pPr>
              <w:pStyle w:val="33"/>
              <w:rPr>
                <w:color w:val="auto"/>
              </w:rPr>
            </w:pPr>
            <w:r>
              <w:rPr>
                <w:color w:val="auto"/>
              </w:rPr>
              <w:t>物料投入</w:t>
            </w:r>
          </w:p>
        </w:tc>
        <w:tc>
          <w:tcPr>
            <w:tcW w:w="3402" w:type="dxa"/>
            <w:gridSpan w:val="2"/>
            <w:noWrap/>
            <w:vAlign w:val="bottom"/>
          </w:tcPr>
          <w:p w14:paraId="3180E05E">
            <w:pPr>
              <w:pStyle w:val="33"/>
              <w:rPr>
                <w:color w:val="auto"/>
              </w:rPr>
            </w:pPr>
            <w:r>
              <w:rPr>
                <w:color w:val="auto"/>
              </w:rPr>
              <w:t>物料产出</w:t>
            </w:r>
          </w:p>
        </w:tc>
        <w:tc>
          <w:tcPr>
            <w:tcW w:w="1551" w:type="dxa"/>
          </w:tcPr>
          <w:p w14:paraId="1D9C1898">
            <w:pPr>
              <w:pStyle w:val="33"/>
              <w:rPr>
                <w:color w:val="auto"/>
              </w:rPr>
            </w:pPr>
            <w:r>
              <w:rPr>
                <w:rFonts w:hint="eastAsia"/>
                <w:color w:val="auto"/>
              </w:rPr>
              <w:t>去向</w:t>
            </w:r>
          </w:p>
        </w:tc>
      </w:tr>
      <w:tr w14:paraId="0EAA8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134559C8">
            <w:pPr>
              <w:pStyle w:val="33"/>
              <w:rPr>
                <w:color w:val="auto"/>
              </w:rPr>
            </w:pPr>
            <w:r>
              <w:rPr>
                <w:rFonts w:hint="eastAsia"/>
                <w:color w:val="auto"/>
              </w:rPr>
              <w:t>清水</w:t>
            </w:r>
          </w:p>
        </w:tc>
        <w:tc>
          <w:tcPr>
            <w:tcW w:w="1417" w:type="dxa"/>
            <w:noWrap/>
            <w:vAlign w:val="bottom"/>
          </w:tcPr>
          <w:p w14:paraId="6691FC09">
            <w:pPr>
              <w:pStyle w:val="33"/>
              <w:rPr>
                <w:color w:val="auto"/>
              </w:rPr>
            </w:pPr>
            <w:r>
              <w:rPr>
                <w:rFonts w:hint="eastAsia"/>
                <w:color w:val="auto"/>
              </w:rPr>
              <w:t>21617.65</w:t>
            </w:r>
          </w:p>
        </w:tc>
        <w:tc>
          <w:tcPr>
            <w:tcW w:w="1843" w:type="dxa"/>
            <w:noWrap/>
            <w:vAlign w:val="bottom"/>
          </w:tcPr>
          <w:p w14:paraId="097ECFD2">
            <w:pPr>
              <w:pStyle w:val="33"/>
              <w:rPr>
                <w:color w:val="auto"/>
              </w:rPr>
            </w:pPr>
            <w:r>
              <w:rPr>
                <w:rFonts w:hint="eastAsia"/>
                <w:color w:val="auto"/>
              </w:rPr>
              <w:t>白水</w:t>
            </w:r>
          </w:p>
        </w:tc>
        <w:tc>
          <w:tcPr>
            <w:tcW w:w="1559" w:type="dxa"/>
            <w:noWrap/>
            <w:vAlign w:val="bottom"/>
          </w:tcPr>
          <w:p w14:paraId="60F76A01">
            <w:pPr>
              <w:pStyle w:val="33"/>
              <w:rPr>
                <w:color w:val="auto"/>
              </w:rPr>
            </w:pPr>
            <w:r>
              <w:rPr>
                <w:rFonts w:hint="eastAsia"/>
                <w:color w:val="auto"/>
              </w:rPr>
              <w:t xml:space="preserve">23637.06 </w:t>
            </w:r>
          </w:p>
        </w:tc>
        <w:tc>
          <w:tcPr>
            <w:tcW w:w="1551" w:type="dxa"/>
          </w:tcPr>
          <w:p w14:paraId="42EE437E">
            <w:pPr>
              <w:pStyle w:val="33"/>
              <w:rPr>
                <w:color w:val="auto"/>
              </w:rPr>
            </w:pPr>
            <w:r>
              <w:rPr>
                <w:rFonts w:hint="eastAsia"/>
                <w:color w:val="auto"/>
              </w:rPr>
              <w:t>回化机浆车间</w:t>
            </w:r>
          </w:p>
        </w:tc>
      </w:tr>
      <w:tr w14:paraId="2AF72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3E82B45D">
            <w:pPr>
              <w:pStyle w:val="33"/>
              <w:rPr>
                <w:color w:val="auto"/>
              </w:rPr>
            </w:pPr>
            <w:r>
              <w:rPr>
                <w:rFonts w:hint="eastAsia"/>
                <w:color w:val="auto"/>
              </w:rPr>
              <w:t>自制浆中含水</w:t>
            </w:r>
          </w:p>
        </w:tc>
        <w:tc>
          <w:tcPr>
            <w:tcW w:w="1417" w:type="dxa"/>
            <w:noWrap/>
            <w:vAlign w:val="bottom"/>
          </w:tcPr>
          <w:p w14:paraId="374E33D8">
            <w:pPr>
              <w:pStyle w:val="33"/>
              <w:rPr>
                <w:color w:val="auto"/>
              </w:rPr>
            </w:pPr>
            <w:r>
              <w:rPr>
                <w:rFonts w:hint="eastAsia"/>
                <w:color w:val="auto"/>
              </w:rPr>
              <w:t>28088.24</w:t>
            </w:r>
          </w:p>
        </w:tc>
        <w:tc>
          <w:tcPr>
            <w:tcW w:w="1843" w:type="dxa"/>
            <w:noWrap/>
            <w:vAlign w:val="bottom"/>
          </w:tcPr>
          <w:p w14:paraId="4E27BA10">
            <w:pPr>
              <w:pStyle w:val="33"/>
              <w:rPr>
                <w:color w:val="auto"/>
              </w:rPr>
            </w:pPr>
            <w:r>
              <w:rPr>
                <w:rFonts w:hint="eastAsia"/>
                <w:color w:val="auto"/>
              </w:rPr>
              <w:t>干燥散汽</w:t>
            </w:r>
          </w:p>
        </w:tc>
        <w:tc>
          <w:tcPr>
            <w:tcW w:w="1559" w:type="dxa"/>
            <w:noWrap/>
            <w:vAlign w:val="bottom"/>
          </w:tcPr>
          <w:p w14:paraId="6519D46C">
            <w:pPr>
              <w:pStyle w:val="33"/>
              <w:rPr>
                <w:color w:val="auto"/>
              </w:rPr>
            </w:pPr>
            <w:r>
              <w:rPr>
                <w:rFonts w:hint="eastAsia"/>
                <w:color w:val="auto"/>
              </w:rPr>
              <w:t>5294.12</w:t>
            </w:r>
          </w:p>
        </w:tc>
        <w:tc>
          <w:tcPr>
            <w:tcW w:w="1551" w:type="dxa"/>
          </w:tcPr>
          <w:p w14:paraId="289A2ACA">
            <w:pPr>
              <w:pStyle w:val="33"/>
              <w:rPr>
                <w:color w:val="auto"/>
              </w:rPr>
            </w:pPr>
            <w:r>
              <w:rPr>
                <w:rFonts w:hint="eastAsia"/>
                <w:color w:val="auto"/>
              </w:rPr>
              <w:t>散失</w:t>
            </w:r>
          </w:p>
        </w:tc>
      </w:tr>
      <w:tr w14:paraId="4F72F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65A8C1F3">
            <w:pPr>
              <w:pStyle w:val="33"/>
              <w:rPr>
                <w:color w:val="auto"/>
              </w:rPr>
            </w:pPr>
            <w:r>
              <w:rPr>
                <w:rFonts w:hint="eastAsia"/>
                <w:color w:val="auto"/>
              </w:rPr>
              <w:t>商品浆含水</w:t>
            </w:r>
          </w:p>
        </w:tc>
        <w:tc>
          <w:tcPr>
            <w:tcW w:w="1417" w:type="dxa"/>
            <w:noWrap/>
            <w:vAlign w:val="bottom"/>
          </w:tcPr>
          <w:p w14:paraId="1625635E">
            <w:pPr>
              <w:pStyle w:val="33"/>
              <w:rPr>
                <w:rFonts w:eastAsia="Times New Roman" w:cs="Times New Roman"/>
                <w:color w:val="auto"/>
                <w:sz w:val="20"/>
                <w:szCs w:val="20"/>
              </w:rPr>
            </w:pPr>
            <w:r>
              <w:rPr>
                <w:rFonts w:hint="eastAsia"/>
                <w:color w:val="auto"/>
              </w:rPr>
              <w:t>181.18</w:t>
            </w:r>
          </w:p>
        </w:tc>
        <w:tc>
          <w:tcPr>
            <w:tcW w:w="1843" w:type="dxa"/>
            <w:noWrap/>
            <w:vAlign w:val="bottom"/>
          </w:tcPr>
          <w:p w14:paraId="3361C9B1">
            <w:pPr>
              <w:pStyle w:val="33"/>
              <w:rPr>
                <w:color w:val="auto"/>
              </w:rPr>
            </w:pPr>
            <w:r>
              <w:rPr>
                <w:rFonts w:hint="eastAsia"/>
                <w:color w:val="auto"/>
              </w:rPr>
              <w:t>废水</w:t>
            </w:r>
          </w:p>
        </w:tc>
        <w:tc>
          <w:tcPr>
            <w:tcW w:w="1559" w:type="dxa"/>
            <w:noWrap/>
            <w:vAlign w:val="bottom"/>
          </w:tcPr>
          <w:p w14:paraId="49835C26">
            <w:pPr>
              <w:pStyle w:val="33"/>
              <w:rPr>
                <w:color w:val="auto"/>
              </w:rPr>
            </w:pPr>
            <w:r>
              <w:rPr>
                <w:rFonts w:hint="eastAsia"/>
                <w:color w:val="auto"/>
              </w:rPr>
              <w:t xml:space="preserve">20514.71 </w:t>
            </w:r>
          </w:p>
        </w:tc>
        <w:tc>
          <w:tcPr>
            <w:tcW w:w="1551" w:type="dxa"/>
          </w:tcPr>
          <w:p w14:paraId="3C899084">
            <w:pPr>
              <w:pStyle w:val="33"/>
              <w:rPr>
                <w:color w:val="auto"/>
              </w:rPr>
            </w:pPr>
            <w:r>
              <w:rPr>
                <w:rFonts w:hint="eastAsia"/>
                <w:color w:val="auto"/>
              </w:rPr>
              <w:t>去污水处理站</w:t>
            </w:r>
          </w:p>
        </w:tc>
      </w:tr>
      <w:tr w14:paraId="25D1F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0884E743">
            <w:pPr>
              <w:pStyle w:val="33"/>
              <w:rPr>
                <w:color w:val="auto"/>
              </w:rPr>
            </w:pPr>
            <w:r>
              <w:rPr>
                <w:rFonts w:hint="eastAsia"/>
                <w:color w:val="auto"/>
              </w:rPr>
              <w:t>蒸汽</w:t>
            </w:r>
          </w:p>
        </w:tc>
        <w:tc>
          <w:tcPr>
            <w:tcW w:w="1417" w:type="dxa"/>
            <w:noWrap/>
            <w:vAlign w:val="bottom"/>
          </w:tcPr>
          <w:p w14:paraId="6DA8BCF8">
            <w:pPr>
              <w:pStyle w:val="33"/>
              <w:rPr>
                <w:rFonts w:cs="Times New Roman" w:eastAsiaTheme="minorEastAsia"/>
                <w:color w:val="auto"/>
                <w:sz w:val="20"/>
                <w:szCs w:val="20"/>
              </w:rPr>
            </w:pPr>
            <w:r>
              <w:rPr>
                <w:rFonts w:hint="eastAsia" w:cs="Times New Roman" w:eastAsiaTheme="minorEastAsia"/>
                <w:color w:val="auto"/>
                <w:sz w:val="20"/>
                <w:szCs w:val="20"/>
              </w:rPr>
              <w:t>5779</w:t>
            </w:r>
          </w:p>
        </w:tc>
        <w:tc>
          <w:tcPr>
            <w:tcW w:w="1843" w:type="dxa"/>
            <w:noWrap/>
            <w:vAlign w:val="bottom"/>
          </w:tcPr>
          <w:p w14:paraId="7D6668CE">
            <w:pPr>
              <w:pStyle w:val="33"/>
              <w:rPr>
                <w:rFonts w:eastAsia="Times New Roman" w:cs="Times New Roman"/>
                <w:color w:val="auto"/>
                <w:sz w:val="20"/>
                <w:szCs w:val="20"/>
              </w:rPr>
            </w:pPr>
            <w:r>
              <w:rPr>
                <w:rFonts w:hint="eastAsia"/>
                <w:color w:val="auto"/>
              </w:rPr>
              <w:t>产品含水</w:t>
            </w:r>
          </w:p>
        </w:tc>
        <w:tc>
          <w:tcPr>
            <w:tcW w:w="1559" w:type="dxa"/>
            <w:noWrap/>
            <w:vAlign w:val="bottom"/>
          </w:tcPr>
          <w:p w14:paraId="5CCFAAA2">
            <w:pPr>
              <w:pStyle w:val="33"/>
              <w:rPr>
                <w:rFonts w:eastAsia="Times New Roman" w:cs="Times New Roman"/>
                <w:color w:val="auto"/>
                <w:sz w:val="20"/>
                <w:szCs w:val="20"/>
              </w:rPr>
            </w:pPr>
            <w:r>
              <w:rPr>
                <w:rFonts w:hint="eastAsia"/>
                <w:color w:val="auto"/>
              </w:rPr>
              <w:t>441.18</w:t>
            </w:r>
          </w:p>
        </w:tc>
        <w:tc>
          <w:tcPr>
            <w:tcW w:w="1551" w:type="dxa"/>
          </w:tcPr>
          <w:p w14:paraId="7DE5E4D6">
            <w:pPr>
              <w:pStyle w:val="33"/>
              <w:rPr>
                <w:color w:val="auto"/>
              </w:rPr>
            </w:pPr>
            <w:r>
              <w:rPr>
                <w:rFonts w:hint="eastAsia"/>
                <w:color w:val="auto"/>
              </w:rPr>
              <w:t>产品带走</w:t>
            </w:r>
          </w:p>
        </w:tc>
      </w:tr>
      <w:tr w14:paraId="59312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6EFAF24A">
            <w:pPr>
              <w:pStyle w:val="33"/>
              <w:rPr>
                <w:color w:val="auto"/>
              </w:rPr>
            </w:pPr>
          </w:p>
        </w:tc>
        <w:tc>
          <w:tcPr>
            <w:tcW w:w="1417" w:type="dxa"/>
            <w:noWrap/>
            <w:vAlign w:val="bottom"/>
          </w:tcPr>
          <w:p w14:paraId="2C2DFDB7">
            <w:pPr>
              <w:pStyle w:val="33"/>
              <w:rPr>
                <w:rFonts w:eastAsia="Times New Roman" w:cs="Times New Roman"/>
                <w:color w:val="auto"/>
                <w:sz w:val="20"/>
                <w:szCs w:val="20"/>
              </w:rPr>
            </w:pPr>
          </w:p>
        </w:tc>
        <w:tc>
          <w:tcPr>
            <w:tcW w:w="1843" w:type="dxa"/>
            <w:noWrap/>
            <w:vAlign w:val="bottom"/>
          </w:tcPr>
          <w:p w14:paraId="7B6B20A1">
            <w:pPr>
              <w:pStyle w:val="33"/>
              <w:rPr>
                <w:color w:val="auto"/>
              </w:rPr>
            </w:pPr>
            <w:r>
              <w:rPr>
                <w:rFonts w:hint="eastAsia"/>
                <w:color w:val="auto"/>
              </w:rPr>
              <w:t>蒸汽回水</w:t>
            </w:r>
          </w:p>
        </w:tc>
        <w:tc>
          <w:tcPr>
            <w:tcW w:w="1559" w:type="dxa"/>
            <w:noWrap/>
            <w:vAlign w:val="bottom"/>
          </w:tcPr>
          <w:p w14:paraId="57CFC7CF">
            <w:pPr>
              <w:pStyle w:val="33"/>
              <w:rPr>
                <w:color w:val="auto"/>
              </w:rPr>
            </w:pPr>
            <w:r>
              <w:rPr>
                <w:rFonts w:hint="eastAsia"/>
                <w:color w:val="auto"/>
              </w:rPr>
              <w:t>5779</w:t>
            </w:r>
          </w:p>
        </w:tc>
        <w:tc>
          <w:tcPr>
            <w:tcW w:w="1551" w:type="dxa"/>
          </w:tcPr>
          <w:p w14:paraId="507453B5">
            <w:pPr>
              <w:pStyle w:val="33"/>
              <w:rPr>
                <w:color w:val="auto"/>
              </w:rPr>
            </w:pPr>
            <w:r>
              <w:rPr>
                <w:rFonts w:hint="eastAsia" w:cs="Times New Roman" w:eastAsiaTheme="minorEastAsia"/>
                <w:color w:val="auto"/>
                <w:sz w:val="20"/>
                <w:szCs w:val="20"/>
              </w:rPr>
              <w:t>去化水车间</w:t>
            </w:r>
          </w:p>
        </w:tc>
      </w:tr>
      <w:tr w14:paraId="13C13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02DDD05A">
            <w:pPr>
              <w:pStyle w:val="33"/>
              <w:rPr>
                <w:color w:val="auto"/>
              </w:rPr>
            </w:pPr>
            <w:r>
              <w:rPr>
                <w:rFonts w:hint="eastAsia"/>
                <w:color w:val="auto"/>
              </w:rPr>
              <w:t>合计</w:t>
            </w:r>
          </w:p>
        </w:tc>
        <w:tc>
          <w:tcPr>
            <w:tcW w:w="1417" w:type="dxa"/>
            <w:noWrap/>
            <w:vAlign w:val="center"/>
          </w:tcPr>
          <w:p w14:paraId="128EC26C">
            <w:pPr>
              <w:pStyle w:val="33"/>
              <w:rPr>
                <w:color w:val="auto"/>
              </w:rPr>
            </w:pPr>
            <w:r>
              <w:rPr>
                <w:rFonts w:eastAsia="等线" w:cs="Times New Roman"/>
                <w:color w:val="auto"/>
                <w:szCs w:val="21"/>
              </w:rPr>
              <w:t>55666.07</w:t>
            </w:r>
          </w:p>
        </w:tc>
        <w:tc>
          <w:tcPr>
            <w:tcW w:w="1843" w:type="dxa"/>
            <w:noWrap/>
            <w:vAlign w:val="bottom"/>
          </w:tcPr>
          <w:p w14:paraId="09C565C8">
            <w:pPr>
              <w:pStyle w:val="33"/>
              <w:rPr>
                <w:color w:val="auto"/>
              </w:rPr>
            </w:pPr>
            <w:r>
              <w:rPr>
                <w:rFonts w:hint="eastAsia"/>
                <w:color w:val="auto"/>
              </w:rPr>
              <w:t>合计</w:t>
            </w:r>
          </w:p>
        </w:tc>
        <w:tc>
          <w:tcPr>
            <w:tcW w:w="1559" w:type="dxa"/>
            <w:noWrap/>
            <w:vAlign w:val="center"/>
          </w:tcPr>
          <w:p w14:paraId="74DE6B24">
            <w:pPr>
              <w:pStyle w:val="33"/>
              <w:rPr>
                <w:color w:val="auto"/>
              </w:rPr>
            </w:pPr>
            <w:r>
              <w:rPr>
                <w:rFonts w:eastAsia="等线" w:cs="Times New Roman"/>
                <w:color w:val="auto"/>
                <w:szCs w:val="21"/>
              </w:rPr>
              <w:t>55666.07</w:t>
            </w:r>
          </w:p>
        </w:tc>
        <w:tc>
          <w:tcPr>
            <w:tcW w:w="1551" w:type="dxa"/>
          </w:tcPr>
          <w:p w14:paraId="61627FC9">
            <w:pPr>
              <w:pStyle w:val="33"/>
              <w:rPr>
                <w:rFonts w:eastAsia="等线" w:cs="Times New Roman"/>
                <w:color w:val="auto"/>
                <w:szCs w:val="21"/>
              </w:rPr>
            </w:pPr>
          </w:p>
        </w:tc>
      </w:tr>
    </w:tbl>
    <w:p w14:paraId="27A7B4B3">
      <w:pPr>
        <w:ind w:firstLine="480"/>
        <w:rPr>
          <w:color w:val="auto"/>
        </w:rPr>
      </w:pPr>
    </w:p>
    <w:p w14:paraId="6EBB709A">
      <w:pPr>
        <w:pStyle w:val="7"/>
        <w:rPr>
          <w:color w:val="auto"/>
        </w:rPr>
      </w:pPr>
      <w:r>
        <w:rPr>
          <w:rFonts w:hint="eastAsia"/>
          <w:color w:val="auto"/>
        </w:rPr>
        <w:t>2#造纸车间水平衡表   单位：t/d</w:t>
      </w:r>
    </w:p>
    <w:tbl>
      <w:tblPr>
        <w:tblStyle w:val="26"/>
        <w:tblW w:w="90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9"/>
        <w:gridCol w:w="1417"/>
        <w:gridCol w:w="1843"/>
        <w:gridCol w:w="1559"/>
        <w:gridCol w:w="1551"/>
      </w:tblGrid>
      <w:tr w14:paraId="745F2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4106" w:type="dxa"/>
            <w:gridSpan w:val="2"/>
            <w:noWrap/>
            <w:vAlign w:val="bottom"/>
          </w:tcPr>
          <w:p w14:paraId="27DBA667">
            <w:pPr>
              <w:pStyle w:val="33"/>
              <w:rPr>
                <w:color w:val="auto"/>
              </w:rPr>
            </w:pPr>
            <w:r>
              <w:rPr>
                <w:color w:val="auto"/>
              </w:rPr>
              <w:t>物料投入</w:t>
            </w:r>
          </w:p>
        </w:tc>
        <w:tc>
          <w:tcPr>
            <w:tcW w:w="3402" w:type="dxa"/>
            <w:gridSpan w:val="2"/>
            <w:noWrap/>
            <w:vAlign w:val="bottom"/>
          </w:tcPr>
          <w:p w14:paraId="308B8AF8">
            <w:pPr>
              <w:pStyle w:val="33"/>
              <w:rPr>
                <w:color w:val="auto"/>
              </w:rPr>
            </w:pPr>
            <w:r>
              <w:rPr>
                <w:color w:val="auto"/>
              </w:rPr>
              <w:t>物料产出</w:t>
            </w:r>
          </w:p>
        </w:tc>
        <w:tc>
          <w:tcPr>
            <w:tcW w:w="1551" w:type="dxa"/>
          </w:tcPr>
          <w:p w14:paraId="6C5B937A">
            <w:pPr>
              <w:pStyle w:val="33"/>
              <w:rPr>
                <w:color w:val="auto"/>
              </w:rPr>
            </w:pPr>
            <w:r>
              <w:rPr>
                <w:rFonts w:hint="eastAsia"/>
                <w:color w:val="auto"/>
              </w:rPr>
              <w:t>去向</w:t>
            </w:r>
          </w:p>
        </w:tc>
      </w:tr>
      <w:tr w14:paraId="2D605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tcPr>
          <w:p w14:paraId="013C33A1">
            <w:pPr>
              <w:pStyle w:val="33"/>
              <w:rPr>
                <w:color w:val="auto"/>
              </w:rPr>
            </w:pPr>
            <w:r>
              <w:rPr>
                <w:rFonts w:hint="eastAsia"/>
                <w:color w:val="auto"/>
              </w:rPr>
              <w:t>清水</w:t>
            </w:r>
          </w:p>
        </w:tc>
        <w:tc>
          <w:tcPr>
            <w:tcW w:w="1417" w:type="dxa"/>
            <w:noWrap/>
          </w:tcPr>
          <w:p w14:paraId="7D955EB5">
            <w:pPr>
              <w:pStyle w:val="33"/>
              <w:rPr>
                <w:color w:val="auto"/>
              </w:rPr>
            </w:pPr>
            <w:r>
              <w:rPr>
                <w:rFonts w:hint="eastAsia"/>
                <w:color w:val="auto"/>
              </w:rPr>
              <w:t>22500</w:t>
            </w:r>
          </w:p>
        </w:tc>
        <w:tc>
          <w:tcPr>
            <w:tcW w:w="1843" w:type="dxa"/>
            <w:noWrap/>
          </w:tcPr>
          <w:p w14:paraId="665F40EF">
            <w:pPr>
              <w:pStyle w:val="33"/>
              <w:rPr>
                <w:color w:val="auto"/>
              </w:rPr>
            </w:pPr>
            <w:r>
              <w:rPr>
                <w:rFonts w:hint="eastAsia"/>
                <w:color w:val="auto"/>
              </w:rPr>
              <w:t>白水</w:t>
            </w:r>
          </w:p>
        </w:tc>
        <w:tc>
          <w:tcPr>
            <w:tcW w:w="1559" w:type="dxa"/>
            <w:noWrap/>
          </w:tcPr>
          <w:p w14:paraId="6F4B0DE1">
            <w:pPr>
              <w:pStyle w:val="33"/>
              <w:rPr>
                <w:color w:val="auto"/>
              </w:rPr>
            </w:pPr>
            <w:r>
              <w:rPr>
                <w:rFonts w:hint="eastAsia"/>
                <w:color w:val="auto"/>
              </w:rPr>
              <w:t>23637.5</w:t>
            </w:r>
          </w:p>
        </w:tc>
        <w:tc>
          <w:tcPr>
            <w:tcW w:w="1551" w:type="dxa"/>
          </w:tcPr>
          <w:p w14:paraId="343461D0">
            <w:pPr>
              <w:pStyle w:val="33"/>
              <w:rPr>
                <w:color w:val="auto"/>
              </w:rPr>
            </w:pPr>
            <w:r>
              <w:rPr>
                <w:rFonts w:hint="eastAsia"/>
                <w:color w:val="auto"/>
              </w:rPr>
              <w:t>回化机浆车间</w:t>
            </w:r>
          </w:p>
        </w:tc>
      </w:tr>
      <w:tr w14:paraId="433BB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tcPr>
          <w:p w14:paraId="6302B6F6">
            <w:pPr>
              <w:pStyle w:val="33"/>
              <w:rPr>
                <w:color w:val="auto"/>
              </w:rPr>
            </w:pPr>
            <w:r>
              <w:rPr>
                <w:rFonts w:hint="eastAsia"/>
                <w:color w:val="auto"/>
              </w:rPr>
              <w:t>自制浆中含水</w:t>
            </w:r>
          </w:p>
        </w:tc>
        <w:tc>
          <w:tcPr>
            <w:tcW w:w="1417" w:type="dxa"/>
            <w:noWrap/>
          </w:tcPr>
          <w:p w14:paraId="7A31E038">
            <w:pPr>
              <w:pStyle w:val="33"/>
              <w:rPr>
                <w:color w:val="auto"/>
              </w:rPr>
            </w:pPr>
            <w:r>
              <w:rPr>
                <w:rFonts w:hint="eastAsia"/>
                <w:color w:val="auto"/>
              </w:rPr>
              <w:t>28088.23529</w:t>
            </w:r>
          </w:p>
        </w:tc>
        <w:tc>
          <w:tcPr>
            <w:tcW w:w="1843" w:type="dxa"/>
            <w:noWrap/>
          </w:tcPr>
          <w:p w14:paraId="6673B0EA">
            <w:pPr>
              <w:pStyle w:val="33"/>
              <w:rPr>
                <w:color w:val="auto"/>
              </w:rPr>
            </w:pPr>
            <w:r>
              <w:rPr>
                <w:rFonts w:hint="eastAsia"/>
                <w:color w:val="auto"/>
              </w:rPr>
              <w:t>干燥散汽</w:t>
            </w:r>
          </w:p>
        </w:tc>
        <w:tc>
          <w:tcPr>
            <w:tcW w:w="1559" w:type="dxa"/>
            <w:noWrap/>
          </w:tcPr>
          <w:p w14:paraId="7F56E27C">
            <w:pPr>
              <w:pStyle w:val="33"/>
              <w:rPr>
                <w:color w:val="auto"/>
              </w:rPr>
            </w:pPr>
            <w:r>
              <w:rPr>
                <w:rFonts w:hint="eastAsia"/>
                <w:color w:val="auto"/>
              </w:rPr>
              <w:t>5294.12</w:t>
            </w:r>
          </w:p>
        </w:tc>
        <w:tc>
          <w:tcPr>
            <w:tcW w:w="1551" w:type="dxa"/>
          </w:tcPr>
          <w:p w14:paraId="3A55A5AD">
            <w:pPr>
              <w:pStyle w:val="33"/>
              <w:rPr>
                <w:color w:val="auto"/>
              </w:rPr>
            </w:pPr>
            <w:r>
              <w:rPr>
                <w:rFonts w:hint="eastAsia"/>
                <w:color w:val="auto"/>
              </w:rPr>
              <w:t>散失</w:t>
            </w:r>
          </w:p>
        </w:tc>
      </w:tr>
      <w:tr w14:paraId="56204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tcPr>
          <w:p w14:paraId="658DC719">
            <w:pPr>
              <w:pStyle w:val="33"/>
              <w:rPr>
                <w:color w:val="auto"/>
              </w:rPr>
            </w:pPr>
            <w:r>
              <w:rPr>
                <w:rFonts w:hint="eastAsia"/>
                <w:color w:val="auto"/>
              </w:rPr>
              <w:t>商品浆含水</w:t>
            </w:r>
          </w:p>
        </w:tc>
        <w:tc>
          <w:tcPr>
            <w:tcW w:w="1417" w:type="dxa"/>
            <w:noWrap/>
          </w:tcPr>
          <w:p w14:paraId="0B1BFE86">
            <w:pPr>
              <w:pStyle w:val="33"/>
              <w:rPr>
                <w:rFonts w:eastAsia="Times New Roman" w:cs="Times New Roman"/>
                <w:color w:val="auto"/>
                <w:sz w:val="20"/>
                <w:szCs w:val="20"/>
              </w:rPr>
            </w:pPr>
            <w:r>
              <w:rPr>
                <w:rFonts w:hint="eastAsia"/>
                <w:color w:val="auto"/>
              </w:rPr>
              <w:t>181.6176471</w:t>
            </w:r>
          </w:p>
        </w:tc>
        <w:tc>
          <w:tcPr>
            <w:tcW w:w="1843" w:type="dxa"/>
            <w:noWrap/>
          </w:tcPr>
          <w:p w14:paraId="4C00187F">
            <w:pPr>
              <w:pStyle w:val="33"/>
              <w:rPr>
                <w:color w:val="auto"/>
              </w:rPr>
            </w:pPr>
            <w:r>
              <w:rPr>
                <w:rFonts w:hint="eastAsia"/>
                <w:color w:val="auto"/>
              </w:rPr>
              <w:t>废水</w:t>
            </w:r>
          </w:p>
        </w:tc>
        <w:tc>
          <w:tcPr>
            <w:tcW w:w="1559" w:type="dxa"/>
            <w:noWrap/>
          </w:tcPr>
          <w:p w14:paraId="3AB8945B">
            <w:pPr>
              <w:pStyle w:val="33"/>
              <w:rPr>
                <w:color w:val="auto"/>
              </w:rPr>
            </w:pPr>
            <w:r>
              <w:rPr>
                <w:rFonts w:hint="eastAsia"/>
                <w:color w:val="auto"/>
              </w:rPr>
              <w:t>21397.06</w:t>
            </w:r>
          </w:p>
        </w:tc>
        <w:tc>
          <w:tcPr>
            <w:tcW w:w="1551" w:type="dxa"/>
          </w:tcPr>
          <w:p w14:paraId="41CCB6D4">
            <w:pPr>
              <w:pStyle w:val="33"/>
              <w:rPr>
                <w:color w:val="auto"/>
              </w:rPr>
            </w:pPr>
            <w:r>
              <w:rPr>
                <w:rFonts w:hint="eastAsia"/>
                <w:color w:val="auto"/>
              </w:rPr>
              <w:t>去污水处理站</w:t>
            </w:r>
          </w:p>
        </w:tc>
      </w:tr>
      <w:tr w14:paraId="0CC2E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tcPr>
          <w:p w14:paraId="2F57FE5D">
            <w:pPr>
              <w:pStyle w:val="33"/>
              <w:rPr>
                <w:color w:val="auto"/>
              </w:rPr>
            </w:pPr>
            <w:r>
              <w:rPr>
                <w:rFonts w:hint="eastAsia"/>
                <w:color w:val="auto"/>
              </w:rPr>
              <w:t>蒸汽</w:t>
            </w:r>
          </w:p>
        </w:tc>
        <w:tc>
          <w:tcPr>
            <w:tcW w:w="1417" w:type="dxa"/>
            <w:noWrap/>
          </w:tcPr>
          <w:p w14:paraId="5DC60E46">
            <w:pPr>
              <w:pStyle w:val="33"/>
              <w:rPr>
                <w:rFonts w:cs="Times New Roman" w:eastAsiaTheme="minorEastAsia"/>
                <w:color w:val="auto"/>
                <w:sz w:val="20"/>
                <w:szCs w:val="20"/>
              </w:rPr>
            </w:pPr>
            <w:r>
              <w:rPr>
                <w:rFonts w:hint="eastAsia" w:cs="Times New Roman" w:eastAsiaTheme="minorEastAsia"/>
                <w:color w:val="auto"/>
                <w:sz w:val="20"/>
                <w:szCs w:val="20"/>
              </w:rPr>
              <w:t>4941</w:t>
            </w:r>
          </w:p>
        </w:tc>
        <w:tc>
          <w:tcPr>
            <w:tcW w:w="1843" w:type="dxa"/>
            <w:noWrap/>
          </w:tcPr>
          <w:p w14:paraId="121E8121">
            <w:pPr>
              <w:pStyle w:val="33"/>
              <w:rPr>
                <w:rFonts w:eastAsia="Times New Roman" w:cs="Times New Roman"/>
                <w:color w:val="auto"/>
                <w:sz w:val="20"/>
                <w:szCs w:val="20"/>
              </w:rPr>
            </w:pPr>
            <w:r>
              <w:rPr>
                <w:rFonts w:hint="eastAsia"/>
                <w:color w:val="auto"/>
              </w:rPr>
              <w:t>产品含水</w:t>
            </w:r>
          </w:p>
        </w:tc>
        <w:tc>
          <w:tcPr>
            <w:tcW w:w="1559" w:type="dxa"/>
            <w:noWrap/>
          </w:tcPr>
          <w:p w14:paraId="374C7F78">
            <w:pPr>
              <w:pStyle w:val="33"/>
              <w:rPr>
                <w:rFonts w:eastAsia="Times New Roman" w:cs="Times New Roman"/>
                <w:color w:val="auto"/>
                <w:sz w:val="20"/>
                <w:szCs w:val="20"/>
              </w:rPr>
            </w:pPr>
            <w:r>
              <w:rPr>
                <w:rFonts w:hint="eastAsia"/>
                <w:color w:val="auto"/>
              </w:rPr>
              <w:t>441.18</w:t>
            </w:r>
          </w:p>
        </w:tc>
        <w:tc>
          <w:tcPr>
            <w:tcW w:w="1551" w:type="dxa"/>
          </w:tcPr>
          <w:p w14:paraId="468FC3E5">
            <w:pPr>
              <w:pStyle w:val="33"/>
              <w:rPr>
                <w:color w:val="auto"/>
              </w:rPr>
            </w:pPr>
            <w:r>
              <w:rPr>
                <w:rFonts w:hint="eastAsia"/>
                <w:color w:val="auto"/>
              </w:rPr>
              <w:t>产品带走</w:t>
            </w:r>
          </w:p>
        </w:tc>
      </w:tr>
      <w:tr w14:paraId="46E56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tcPr>
          <w:p w14:paraId="71217E04">
            <w:pPr>
              <w:pStyle w:val="33"/>
              <w:rPr>
                <w:color w:val="auto"/>
              </w:rPr>
            </w:pPr>
          </w:p>
        </w:tc>
        <w:tc>
          <w:tcPr>
            <w:tcW w:w="1417" w:type="dxa"/>
            <w:noWrap/>
          </w:tcPr>
          <w:p w14:paraId="2CEC46EE">
            <w:pPr>
              <w:pStyle w:val="33"/>
              <w:rPr>
                <w:rFonts w:eastAsia="Times New Roman" w:cs="Times New Roman"/>
                <w:color w:val="auto"/>
                <w:sz w:val="20"/>
                <w:szCs w:val="20"/>
              </w:rPr>
            </w:pPr>
          </w:p>
        </w:tc>
        <w:tc>
          <w:tcPr>
            <w:tcW w:w="1843" w:type="dxa"/>
            <w:noWrap/>
          </w:tcPr>
          <w:p w14:paraId="7F69EC74">
            <w:pPr>
              <w:pStyle w:val="33"/>
              <w:rPr>
                <w:color w:val="auto"/>
              </w:rPr>
            </w:pPr>
            <w:r>
              <w:rPr>
                <w:rFonts w:hint="eastAsia"/>
                <w:color w:val="auto"/>
              </w:rPr>
              <w:t>蒸汽回水</w:t>
            </w:r>
          </w:p>
        </w:tc>
        <w:tc>
          <w:tcPr>
            <w:tcW w:w="1559" w:type="dxa"/>
            <w:noWrap/>
          </w:tcPr>
          <w:p w14:paraId="1DA10FBC">
            <w:pPr>
              <w:pStyle w:val="33"/>
              <w:rPr>
                <w:color w:val="auto"/>
              </w:rPr>
            </w:pPr>
            <w:r>
              <w:rPr>
                <w:rFonts w:hint="eastAsia" w:cs="Times New Roman" w:eastAsiaTheme="minorEastAsia"/>
                <w:color w:val="auto"/>
                <w:sz w:val="20"/>
                <w:szCs w:val="20"/>
              </w:rPr>
              <w:t>4941</w:t>
            </w:r>
          </w:p>
        </w:tc>
        <w:tc>
          <w:tcPr>
            <w:tcW w:w="1551" w:type="dxa"/>
          </w:tcPr>
          <w:p w14:paraId="65439D4B">
            <w:pPr>
              <w:pStyle w:val="33"/>
              <w:rPr>
                <w:rFonts w:cs="Times New Roman" w:eastAsiaTheme="minorEastAsia"/>
                <w:color w:val="auto"/>
                <w:sz w:val="20"/>
                <w:szCs w:val="20"/>
              </w:rPr>
            </w:pPr>
            <w:r>
              <w:rPr>
                <w:rFonts w:hint="eastAsia" w:cs="Times New Roman" w:eastAsiaTheme="minorEastAsia"/>
                <w:color w:val="auto"/>
                <w:sz w:val="20"/>
                <w:szCs w:val="20"/>
              </w:rPr>
              <w:t>去化水车间</w:t>
            </w:r>
          </w:p>
        </w:tc>
      </w:tr>
      <w:tr w14:paraId="1CE16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689" w:type="dxa"/>
            <w:noWrap/>
            <w:vAlign w:val="bottom"/>
          </w:tcPr>
          <w:p w14:paraId="2C014BAF">
            <w:pPr>
              <w:pStyle w:val="33"/>
              <w:rPr>
                <w:color w:val="auto"/>
              </w:rPr>
            </w:pPr>
            <w:r>
              <w:rPr>
                <w:rFonts w:hint="eastAsia"/>
                <w:color w:val="auto"/>
              </w:rPr>
              <w:t>合计</w:t>
            </w:r>
          </w:p>
        </w:tc>
        <w:tc>
          <w:tcPr>
            <w:tcW w:w="1417" w:type="dxa"/>
            <w:noWrap/>
            <w:vAlign w:val="center"/>
          </w:tcPr>
          <w:p w14:paraId="48C137D0">
            <w:pPr>
              <w:pStyle w:val="33"/>
              <w:rPr>
                <w:color w:val="auto"/>
              </w:rPr>
            </w:pPr>
            <w:r>
              <w:rPr>
                <w:rFonts w:eastAsia="等线" w:cs="Times New Roman"/>
                <w:color w:val="auto"/>
                <w:szCs w:val="21"/>
              </w:rPr>
              <w:t>55710.85</w:t>
            </w:r>
          </w:p>
        </w:tc>
        <w:tc>
          <w:tcPr>
            <w:tcW w:w="1843" w:type="dxa"/>
            <w:noWrap/>
            <w:vAlign w:val="bottom"/>
          </w:tcPr>
          <w:p w14:paraId="37870C17">
            <w:pPr>
              <w:pStyle w:val="33"/>
              <w:rPr>
                <w:color w:val="auto"/>
              </w:rPr>
            </w:pPr>
            <w:r>
              <w:rPr>
                <w:rFonts w:hint="eastAsia"/>
                <w:color w:val="auto"/>
              </w:rPr>
              <w:t>合计</w:t>
            </w:r>
          </w:p>
        </w:tc>
        <w:tc>
          <w:tcPr>
            <w:tcW w:w="1559" w:type="dxa"/>
            <w:noWrap/>
            <w:vAlign w:val="center"/>
          </w:tcPr>
          <w:p w14:paraId="52E7ACEA">
            <w:pPr>
              <w:pStyle w:val="33"/>
              <w:rPr>
                <w:color w:val="auto"/>
              </w:rPr>
            </w:pPr>
            <w:r>
              <w:rPr>
                <w:rFonts w:eastAsia="等线" w:cs="Times New Roman"/>
                <w:color w:val="auto"/>
                <w:szCs w:val="21"/>
              </w:rPr>
              <w:t>55710.86</w:t>
            </w:r>
          </w:p>
        </w:tc>
        <w:tc>
          <w:tcPr>
            <w:tcW w:w="1551" w:type="dxa"/>
          </w:tcPr>
          <w:p w14:paraId="13FB67F1">
            <w:pPr>
              <w:pStyle w:val="33"/>
              <w:rPr>
                <w:rFonts w:eastAsia="等线" w:cs="Times New Roman"/>
                <w:color w:val="auto"/>
                <w:szCs w:val="21"/>
              </w:rPr>
            </w:pPr>
          </w:p>
        </w:tc>
      </w:tr>
    </w:tbl>
    <w:p w14:paraId="15F89CA4">
      <w:pPr>
        <w:ind w:firstLine="480"/>
        <w:rPr>
          <w:color w:val="auto"/>
        </w:rPr>
      </w:pPr>
    </w:p>
    <w:p w14:paraId="72D2C98F">
      <w:pPr>
        <w:pStyle w:val="7"/>
        <w:rPr>
          <w:color w:val="auto"/>
        </w:rPr>
      </w:pPr>
      <w:r>
        <w:rPr>
          <w:rFonts w:hint="eastAsia"/>
          <w:color w:val="auto"/>
        </w:rPr>
        <w:t>项目建成后全厂水平衡表   单位：t/d</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88"/>
        <w:gridCol w:w="2401"/>
        <w:gridCol w:w="926"/>
        <w:gridCol w:w="2544"/>
        <w:gridCol w:w="926"/>
      </w:tblGrid>
      <w:tr w14:paraId="2A1D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noWrap/>
            <w:vAlign w:val="center"/>
          </w:tcPr>
          <w:p w14:paraId="35E4B502">
            <w:pPr>
              <w:pStyle w:val="33"/>
              <w:rPr>
                <w:color w:val="auto"/>
              </w:rPr>
            </w:pPr>
            <w:r>
              <w:rPr>
                <w:rFonts w:hint="eastAsia"/>
                <w:color w:val="auto"/>
              </w:rPr>
              <w:t>生产工序</w:t>
            </w:r>
          </w:p>
        </w:tc>
        <w:tc>
          <w:tcPr>
            <w:tcW w:w="1793" w:type="pct"/>
            <w:gridSpan w:val="2"/>
            <w:noWrap/>
            <w:vAlign w:val="center"/>
          </w:tcPr>
          <w:p w14:paraId="13C85508">
            <w:pPr>
              <w:pStyle w:val="33"/>
              <w:rPr>
                <w:color w:val="auto"/>
              </w:rPr>
            </w:pPr>
            <w:r>
              <w:rPr>
                <w:rFonts w:hint="eastAsia"/>
                <w:color w:val="auto"/>
              </w:rPr>
              <w:t>进水</w:t>
            </w:r>
          </w:p>
        </w:tc>
        <w:tc>
          <w:tcPr>
            <w:tcW w:w="1869" w:type="pct"/>
            <w:gridSpan w:val="2"/>
            <w:noWrap/>
            <w:vAlign w:val="center"/>
          </w:tcPr>
          <w:p w14:paraId="589A14CF">
            <w:pPr>
              <w:pStyle w:val="33"/>
              <w:rPr>
                <w:color w:val="auto"/>
              </w:rPr>
            </w:pPr>
            <w:r>
              <w:rPr>
                <w:rFonts w:hint="eastAsia"/>
                <w:color w:val="auto"/>
              </w:rPr>
              <w:t>排水</w:t>
            </w:r>
          </w:p>
        </w:tc>
      </w:tr>
      <w:tr w14:paraId="24FDD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7ABF4E56">
            <w:pPr>
              <w:pStyle w:val="33"/>
              <w:rPr>
                <w:color w:val="auto"/>
              </w:rPr>
            </w:pPr>
            <w:r>
              <w:rPr>
                <w:color w:val="auto"/>
              </w:rPr>
              <w:t>备料车间</w:t>
            </w:r>
          </w:p>
        </w:tc>
        <w:tc>
          <w:tcPr>
            <w:tcW w:w="1292" w:type="pct"/>
            <w:noWrap/>
            <w:vAlign w:val="center"/>
          </w:tcPr>
          <w:p w14:paraId="182D3F37">
            <w:pPr>
              <w:pStyle w:val="33"/>
              <w:rPr>
                <w:color w:val="auto"/>
              </w:rPr>
            </w:pPr>
            <w:r>
              <w:rPr>
                <w:color w:val="auto"/>
              </w:rPr>
              <w:t>原料带水</w:t>
            </w:r>
          </w:p>
        </w:tc>
        <w:tc>
          <w:tcPr>
            <w:tcW w:w="501" w:type="pct"/>
            <w:noWrap/>
            <w:vAlign w:val="center"/>
          </w:tcPr>
          <w:p w14:paraId="1ADEF221">
            <w:pPr>
              <w:pStyle w:val="33"/>
              <w:rPr>
                <w:color w:val="auto"/>
              </w:rPr>
            </w:pPr>
            <w:r>
              <w:rPr>
                <w:color w:val="auto"/>
              </w:rPr>
              <w:t>3261</w:t>
            </w:r>
          </w:p>
        </w:tc>
        <w:tc>
          <w:tcPr>
            <w:tcW w:w="1368" w:type="pct"/>
            <w:noWrap/>
            <w:vAlign w:val="center"/>
          </w:tcPr>
          <w:p w14:paraId="75FBAAF6">
            <w:pPr>
              <w:pStyle w:val="33"/>
              <w:rPr>
                <w:color w:val="auto"/>
              </w:rPr>
            </w:pPr>
            <w:r>
              <w:rPr>
                <w:color w:val="auto"/>
              </w:rPr>
              <w:t>木片带水</w:t>
            </w:r>
          </w:p>
        </w:tc>
        <w:tc>
          <w:tcPr>
            <w:tcW w:w="501" w:type="pct"/>
            <w:noWrap/>
            <w:vAlign w:val="center"/>
          </w:tcPr>
          <w:p w14:paraId="52DA8A70">
            <w:pPr>
              <w:pStyle w:val="33"/>
              <w:rPr>
                <w:color w:val="auto"/>
              </w:rPr>
            </w:pPr>
            <w:r>
              <w:rPr>
                <w:color w:val="auto"/>
              </w:rPr>
              <w:t>3099</w:t>
            </w:r>
          </w:p>
        </w:tc>
      </w:tr>
      <w:tr w14:paraId="5C939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B490322">
            <w:pPr>
              <w:pStyle w:val="33"/>
              <w:rPr>
                <w:color w:val="auto"/>
              </w:rPr>
            </w:pPr>
          </w:p>
        </w:tc>
        <w:tc>
          <w:tcPr>
            <w:tcW w:w="1292" w:type="pct"/>
            <w:noWrap/>
            <w:vAlign w:val="center"/>
          </w:tcPr>
          <w:p w14:paraId="7B09FD59">
            <w:pPr>
              <w:pStyle w:val="33"/>
              <w:rPr>
                <w:color w:val="auto"/>
              </w:rPr>
            </w:pPr>
            <w:r>
              <w:rPr>
                <w:color w:val="auto"/>
              </w:rPr>
              <w:t>1#碱回收车间冷凝水</w:t>
            </w:r>
          </w:p>
        </w:tc>
        <w:tc>
          <w:tcPr>
            <w:tcW w:w="501" w:type="pct"/>
            <w:noWrap/>
            <w:vAlign w:val="center"/>
          </w:tcPr>
          <w:p w14:paraId="494942E8">
            <w:pPr>
              <w:pStyle w:val="33"/>
              <w:rPr>
                <w:color w:val="auto"/>
              </w:rPr>
            </w:pPr>
            <w:r>
              <w:rPr>
                <w:color w:val="auto"/>
              </w:rPr>
              <w:t>1849</w:t>
            </w:r>
          </w:p>
        </w:tc>
        <w:tc>
          <w:tcPr>
            <w:tcW w:w="1368" w:type="pct"/>
            <w:noWrap/>
            <w:vAlign w:val="center"/>
          </w:tcPr>
          <w:p w14:paraId="1A9896A0">
            <w:pPr>
              <w:pStyle w:val="33"/>
              <w:rPr>
                <w:color w:val="auto"/>
              </w:rPr>
            </w:pPr>
            <w:r>
              <w:rPr>
                <w:color w:val="auto"/>
              </w:rPr>
              <w:t>损失</w:t>
            </w:r>
          </w:p>
        </w:tc>
        <w:tc>
          <w:tcPr>
            <w:tcW w:w="501" w:type="pct"/>
            <w:noWrap/>
            <w:vAlign w:val="center"/>
          </w:tcPr>
          <w:p w14:paraId="6AD73185">
            <w:pPr>
              <w:pStyle w:val="33"/>
              <w:rPr>
                <w:color w:val="auto"/>
              </w:rPr>
            </w:pPr>
            <w:r>
              <w:rPr>
                <w:color w:val="auto"/>
              </w:rPr>
              <w:t>162</w:t>
            </w:r>
          </w:p>
        </w:tc>
      </w:tr>
      <w:tr w14:paraId="6D47E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597283A">
            <w:pPr>
              <w:pStyle w:val="33"/>
              <w:rPr>
                <w:color w:val="auto"/>
              </w:rPr>
            </w:pPr>
          </w:p>
        </w:tc>
        <w:tc>
          <w:tcPr>
            <w:tcW w:w="1292" w:type="pct"/>
            <w:noWrap/>
            <w:vAlign w:val="center"/>
          </w:tcPr>
          <w:p w14:paraId="32EF0580">
            <w:pPr>
              <w:pStyle w:val="33"/>
              <w:rPr>
                <w:rFonts w:eastAsia="Times New Roman" w:cs="Times New Roman"/>
                <w:color w:val="auto"/>
                <w:sz w:val="20"/>
                <w:szCs w:val="20"/>
              </w:rPr>
            </w:pPr>
          </w:p>
        </w:tc>
        <w:tc>
          <w:tcPr>
            <w:tcW w:w="501" w:type="pct"/>
            <w:noWrap/>
            <w:vAlign w:val="center"/>
          </w:tcPr>
          <w:p w14:paraId="16B2BD78">
            <w:pPr>
              <w:pStyle w:val="33"/>
              <w:rPr>
                <w:rFonts w:eastAsia="Times New Roman" w:cs="Times New Roman"/>
                <w:color w:val="auto"/>
                <w:sz w:val="20"/>
                <w:szCs w:val="20"/>
              </w:rPr>
            </w:pPr>
          </w:p>
        </w:tc>
        <w:tc>
          <w:tcPr>
            <w:tcW w:w="1368" w:type="pct"/>
            <w:noWrap/>
            <w:vAlign w:val="center"/>
          </w:tcPr>
          <w:p w14:paraId="621B6063">
            <w:pPr>
              <w:pStyle w:val="33"/>
              <w:rPr>
                <w:color w:val="auto"/>
              </w:rPr>
            </w:pPr>
            <w:r>
              <w:rPr>
                <w:color w:val="auto"/>
              </w:rPr>
              <w:t>污水</w:t>
            </w:r>
          </w:p>
        </w:tc>
        <w:tc>
          <w:tcPr>
            <w:tcW w:w="501" w:type="pct"/>
            <w:noWrap/>
            <w:vAlign w:val="center"/>
          </w:tcPr>
          <w:p w14:paraId="4F4D8DDB">
            <w:pPr>
              <w:pStyle w:val="33"/>
              <w:rPr>
                <w:color w:val="auto"/>
              </w:rPr>
            </w:pPr>
            <w:r>
              <w:rPr>
                <w:color w:val="auto"/>
              </w:rPr>
              <w:t>1849</w:t>
            </w:r>
          </w:p>
        </w:tc>
      </w:tr>
      <w:tr w14:paraId="6B427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50329B93">
            <w:pPr>
              <w:pStyle w:val="33"/>
              <w:rPr>
                <w:color w:val="auto"/>
              </w:rPr>
            </w:pPr>
            <w:r>
              <w:rPr>
                <w:color w:val="auto"/>
              </w:rPr>
              <w:t>1#~3#化机浆车间</w:t>
            </w:r>
          </w:p>
        </w:tc>
        <w:tc>
          <w:tcPr>
            <w:tcW w:w="1292" w:type="pct"/>
            <w:noWrap/>
            <w:vAlign w:val="center"/>
          </w:tcPr>
          <w:p w14:paraId="4087284D">
            <w:pPr>
              <w:pStyle w:val="33"/>
              <w:rPr>
                <w:color w:val="auto"/>
              </w:rPr>
            </w:pPr>
            <w:r>
              <w:rPr>
                <w:color w:val="auto"/>
              </w:rPr>
              <w:t>清水</w:t>
            </w:r>
          </w:p>
        </w:tc>
        <w:tc>
          <w:tcPr>
            <w:tcW w:w="501" w:type="pct"/>
            <w:noWrap/>
            <w:vAlign w:val="center"/>
          </w:tcPr>
          <w:p w14:paraId="1C21D9E8">
            <w:pPr>
              <w:pStyle w:val="33"/>
              <w:rPr>
                <w:color w:val="auto"/>
              </w:rPr>
            </w:pPr>
            <w:r>
              <w:rPr>
                <w:color w:val="auto"/>
              </w:rPr>
              <w:t>19361.37</w:t>
            </w:r>
          </w:p>
        </w:tc>
        <w:tc>
          <w:tcPr>
            <w:tcW w:w="1368" w:type="pct"/>
            <w:noWrap/>
            <w:vAlign w:val="center"/>
          </w:tcPr>
          <w:p w14:paraId="59B15B24">
            <w:pPr>
              <w:pStyle w:val="33"/>
              <w:rPr>
                <w:color w:val="auto"/>
              </w:rPr>
            </w:pPr>
            <w:r>
              <w:rPr>
                <w:color w:val="auto"/>
              </w:rPr>
              <w:t>损失</w:t>
            </w:r>
          </w:p>
        </w:tc>
        <w:tc>
          <w:tcPr>
            <w:tcW w:w="501" w:type="pct"/>
            <w:noWrap/>
            <w:vAlign w:val="center"/>
          </w:tcPr>
          <w:p w14:paraId="04026752">
            <w:pPr>
              <w:pStyle w:val="33"/>
              <w:rPr>
                <w:color w:val="auto"/>
              </w:rPr>
            </w:pPr>
            <w:r>
              <w:rPr>
                <w:color w:val="auto"/>
              </w:rPr>
              <w:t>1107</w:t>
            </w:r>
          </w:p>
        </w:tc>
      </w:tr>
      <w:tr w14:paraId="65BA6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FBD7251">
            <w:pPr>
              <w:pStyle w:val="33"/>
              <w:rPr>
                <w:color w:val="auto"/>
              </w:rPr>
            </w:pPr>
          </w:p>
        </w:tc>
        <w:tc>
          <w:tcPr>
            <w:tcW w:w="1292" w:type="pct"/>
            <w:noWrap/>
            <w:vAlign w:val="center"/>
          </w:tcPr>
          <w:p w14:paraId="51D78DED">
            <w:pPr>
              <w:pStyle w:val="33"/>
              <w:rPr>
                <w:color w:val="auto"/>
              </w:rPr>
            </w:pPr>
            <w:r>
              <w:rPr>
                <w:color w:val="auto"/>
              </w:rPr>
              <w:t>化学品带水</w:t>
            </w:r>
          </w:p>
        </w:tc>
        <w:tc>
          <w:tcPr>
            <w:tcW w:w="501" w:type="pct"/>
            <w:noWrap/>
            <w:vAlign w:val="center"/>
          </w:tcPr>
          <w:p w14:paraId="556CAAB7">
            <w:pPr>
              <w:pStyle w:val="33"/>
              <w:rPr>
                <w:color w:val="auto"/>
              </w:rPr>
            </w:pPr>
            <w:r>
              <w:rPr>
                <w:color w:val="auto"/>
              </w:rPr>
              <w:t>359</w:t>
            </w:r>
          </w:p>
        </w:tc>
        <w:tc>
          <w:tcPr>
            <w:tcW w:w="1368" w:type="pct"/>
            <w:noWrap/>
            <w:vAlign w:val="center"/>
          </w:tcPr>
          <w:p w14:paraId="44DE24B8">
            <w:pPr>
              <w:pStyle w:val="33"/>
              <w:rPr>
                <w:color w:val="auto"/>
              </w:rPr>
            </w:pPr>
            <w:r>
              <w:rPr>
                <w:color w:val="auto"/>
              </w:rPr>
              <w:t>去1#纸机浆中含水</w:t>
            </w:r>
          </w:p>
        </w:tc>
        <w:tc>
          <w:tcPr>
            <w:tcW w:w="501" w:type="pct"/>
            <w:noWrap/>
            <w:vAlign w:val="center"/>
          </w:tcPr>
          <w:p w14:paraId="19337273">
            <w:pPr>
              <w:pStyle w:val="33"/>
              <w:rPr>
                <w:color w:val="auto"/>
              </w:rPr>
            </w:pPr>
            <w:r>
              <w:rPr>
                <w:color w:val="auto"/>
              </w:rPr>
              <w:t>28088.24</w:t>
            </w:r>
          </w:p>
        </w:tc>
      </w:tr>
      <w:tr w14:paraId="78BD6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A94320D">
            <w:pPr>
              <w:pStyle w:val="33"/>
              <w:rPr>
                <w:color w:val="auto"/>
              </w:rPr>
            </w:pPr>
          </w:p>
        </w:tc>
        <w:tc>
          <w:tcPr>
            <w:tcW w:w="1292" w:type="pct"/>
            <w:noWrap/>
            <w:vAlign w:val="center"/>
          </w:tcPr>
          <w:p w14:paraId="6250F07E">
            <w:pPr>
              <w:pStyle w:val="33"/>
              <w:rPr>
                <w:color w:val="auto"/>
              </w:rPr>
            </w:pPr>
            <w:r>
              <w:rPr>
                <w:color w:val="auto"/>
              </w:rPr>
              <w:t>化学水车间纯水</w:t>
            </w:r>
          </w:p>
        </w:tc>
        <w:tc>
          <w:tcPr>
            <w:tcW w:w="501" w:type="pct"/>
            <w:noWrap/>
            <w:vAlign w:val="center"/>
          </w:tcPr>
          <w:p w14:paraId="5626EE75">
            <w:pPr>
              <w:pStyle w:val="33"/>
              <w:rPr>
                <w:color w:val="auto"/>
              </w:rPr>
            </w:pPr>
            <w:r>
              <w:rPr>
                <w:color w:val="auto"/>
              </w:rPr>
              <w:t>956</w:t>
            </w:r>
          </w:p>
        </w:tc>
        <w:tc>
          <w:tcPr>
            <w:tcW w:w="1368" w:type="pct"/>
            <w:noWrap/>
            <w:vAlign w:val="center"/>
          </w:tcPr>
          <w:p w14:paraId="2E96F2CB">
            <w:pPr>
              <w:pStyle w:val="33"/>
              <w:rPr>
                <w:color w:val="auto"/>
              </w:rPr>
            </w:pPr>
            <w:r>
              <w:rPr>
                <w:color w:val="auto"/>
              </w:rPr>
              <w:t>废水去2#碱回收车间</w:t>
            </w:r>
          </w:p>
        </w:tc>
        <w:tc>
          <w:tcPr>
            <w:tcW w:w="501" w:type="pct"/>
            <w:noWrap/>
            <w:vAlign w:val="center"/>
          </w:tcPr>
          <w:p w14:paraId="6FED2BFC">
            <w:pPr>
              <w:pStyle w:val="33"/>
              <w:rPr>
                <w:color w:val="auto"/>
              </w:rPr>
            </w:pPr>
            <w:r>
              <w:rPr>
                <w:color w:val="auto"/>
              </w:rPr>
              <w:t>7353</w:t>
            </w:r>
          </w:p>
        </w:tc>
      </w:tr>
      <w:tr w14:paraId="6C1E2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14E6CD0C">
            <w:pPr>
              <w:pStyle w:val="33"/>
              <w:rPr>
                <w:color w:val="auto"/>
              </w:rPr>
            </w:pPr>
          </w:p>
        </w:tc>
        <w:tc>
          <w:tcPr>
            <w:tcW w:w="1292" w:type="pct"/>
            <w:noWrap/>
            <w:vAlign w:val="center"/>
          </w:tcPr>
          <w:p w14:paraId="75550F9C">
            <w:pPr>
              <w:pStyle w:val="33"/>
              <w:rPr>
                <w:color w:val="auto"/>
              </w:rPr>
            </w:pPr>
            <w:r>
              <w:rPr>
                <w:color w:val="auto"/>
              </w:rPr>
              <w:t>2#碱回收 车间冷凝水</w:t>
            </w:r>
          </w:p>
        </w:tc>
        <w:tc>
          <w:tcPr>
            <w:tcW w:w="501" w:type="pct"/>
            <w:noWrap/>
            <w:vAlign w:val="center"/>
          </w:tcPr>
          <w:p w14:paraId="5B44D419">
            <w:pPr>
              <w:pStyle w:val="33"/>
              <w:rPr>
                <w:color w:val="auto"/>
              </w:rPr>
            </w:pPr>
            <w:r>
              <w:rPr>
                <w:color w:val="auto"/>
              </w:rPr>
              <w:t>6420</w:t>
            </w:r>
          </w:p>
        </w:tc>
        <w:tc>
          <w:tcPr>
            <w:tcW w:w="1368" w:type="pct"/>
            <w:noWrap/>
            <w:vAlign w:val="center"/>
          </w:tcPr>
          <w:p w14:paraId="7A89A9CE">
            <w:pPr>
              <w:pStyle w:val="33"/>
              <w:rPr>
                <w:color w:val="auto"/>
              </w:rPr>
            </w:pPr>
            <w:r>
              <w:rPr>
                <w:color w:val="auto"/>
              </w:rPr>
              <w:t>去2#纸机浆中含水</w:t>
            </w:r>
          </w:p>
        </w:tc>
        <w:tc>
          <w:tcPr>
            <w:tcW w:w="501" w:type="pct"/>
            <w:noWrap/>
            <w:vAlign w:val="center"/>
          </w:tcPr>
          <w:p w14:paraId="0E44452A">
            <w:pPr>
              <w:pStyle w:val="33"/>
              <w:rPr>
                <w:color w:val="auto"/>
              </w:rPr>
            </w:pPr>
            <w:r>
              <w:rPr>
                <w:color w:val="auto"/>
              </w:rPr>
              <w:t>28088.24</w:t>
            </w:r>
          </w:p>
        </w:tc>
      </w:tr>
      <w:tr w14:paraId="1EDF2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B454ED3">
            <w:pPr>
              <w:pStyle w:val="33"/>
              <w:rPr>
                <w:color w:val="auto"/>
              </w:rPr>
            </w:pPr>
          </w:p>
        </w:tc>
        <w:tc>
          <w:tcPr>
            <w:tcW w:w="1292" w:type="pct"/>
            <w:noWrap/>
            <w:vAlign w:val="center"/>
          </w:tcPr>
          <w:p w14:paraId="0CEDE6C6">
            <w:pPr>
              <w:pStyle w:val="33"/>
              <w:rPr>
                <w:color w:val="auto"/>
              </w:rPr>
            </w:pPr>
            <w:r>
              <w:rPr>
                <w:color w:val="auto"/>
              </w:rPr>
              <w:t>木片带水</w:t>
            </w:r>
          </w:p>
        </w:tc>
        <w:tc>
          <w:tcPr>
            <w:tcW w:w="501" w:type="pct"/>
            <w:noWrap/>
            <w:vAlign w:val="center"/>
          </w:tcPr>
          <w:p w14:paraId="1DBADF8C">
            <w:pPr>
              <w:pStyle w:val="33"/>
              <w:rPr>
                <w:color w:val="auto"/>
              </w:rPr>
            </w:pPr>
            <w:r>
              <w:rPr>
                <w:color w:val="auto"/>
              </w:rPr>
              <w:t>3099</w:t>
            </w:r>
          </w:p>
        </w:tc>
        <w:tc>
          <w:tcPr>
            <w:tcW w:w="1368" w:type="pct"/>
            <w:noWrap/>
            <w:vAlign w:val="center"/>
          </w:tcPr>
          <w:p w14:paraId="251EB861">
            <w:pPr>
              <w:pStyle w:val="33"/>
              <w:rPr>
                <w:color w:val="auto"/>
              </w:rPr>
            </w:pPr>
            <w:r>
              <w:rPr>
                <w:color w:val="auto"/>
              </w:rPr>
              <w:t>二次蒸汽</w:t>
            </w:r>
          </w:p>
        </w:tc>
        <w:tc>
          <w:tcPr>
            <w:tcW w:w="501" w:type="pct"/>
            <w:noWrap/>
            <w:vAlign w:val="center"/>
          </w:tcPr>
          <w:p w14:paraId="269435C2">
            <w:pPr>
              <w:pStyle w:val="33"/>
              <w:rPr>
                <w:color w:val="auto"/>
              </w:rPr>
            </w:pPr>
            <w:r>
              <w:rPr>
                <w:color w:val="auto"/>
              </w:rPr>
              <w:t>882</w:t>
            </w:r>
          </w:p>
        </w:tc>
      </w:tr>
      <w:tr w14:paraId="32478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2395556">
            <w:pPr>
              <w:pStyle w:val="33"/>
              <w:rPr>
                <w:color w:val="auto"/>
              </w:rPr>
            </w:pPr>
          </w:p>
        </w:tc>
        <w:tc>
          <w:tcPr>
            <w:tcW w:w="1292" w:type="pct"/>
            <w:noWrap/>
            <w:vAlign w:val="center"/>
          </w:tcPr>
          <w:p w14:paraId="1C8BC499">
            <w:pPr>
              <w:pStyle w:val="33"/>
              <w:rPr>
                <w:color w:val="auto"/>
              </w:rPr>
            </w:pPr>
            <w:r>
              <w:rPr>
                <w:color w:val="auto"/>
              </w:rPr>
              <w:t>1#纸机白水</w:t>
            </w:r>
          </w:p>
        </w:tc>
        <w:tc>
          <w:tcPr>
            <w:tcW w:w="501" w:type="pct"/>
            <w:noWrap/>
            <w:vAlign w:val="center"/>
          </w:tcPr>
          <w:p w14:paraId="3901DAE7">
            <w:pPr>
              <w:pStyle w:val="33"/>
              <w:rPr>
                <w:color w:val="auto"/>
              </w:rPr>
            </w:pPr>
            <w:r>
              <w:rPr>
                <w:color w:val="auto"/>
              </w:rPr>
              <w:t>23637.06</w:t>
            </w:r>
          </w:p>
        </w:tc>
        <w:tc>
          <w:tcPr>
            <w:tcW w:w="1368" w:type="pct"/>
            <w:noWrap/>
            <w:vAlign w:val="center"/>
          </w:tcPr>
          <w:p w14:paraId="1737A809">
            <w:pPr>
              <w:pStyle w:val="33"/>
              <w:rPr>
                <w:color w:val="auto"/>
              </w:rPr>
            </w:pPr>
            <w:r>
              <w:rPr>
                <w:color w:val="auto"/>
              </w:rPr>
              <w:t>废水去1#碱回收车间</w:t>
            </w:r>
          </w:p>
        </w:tc>
        <w:tc>
          <w:tcPr>
            <w:tcW w:w="501" w:type="pct"/>
            <w:noWrap/>
            <w:vAlign w:val="center"/>
          </w:tcPr>
          <w:p w14:paraId="4D362C1F">
            <w:pPr>
              <w:pStyle w:val="33"/>
              <w:rPr>
                <w:color w:val="auto"/>
              </w:rPr>
            </w:pPr>
            <w:r>
              <w:rPr>
                <w:color w:val="auto"/>
              </w:rPr>
              <w:t>14706</w:t>
            </w:r>
          </w:p>
        </w:tc>
      </w:tr>
      <w:tr w14:paraId="51619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DEDE7B9">
            <w:pPr>
              <w:pStyle w:val="33"/>
              <w:rPr>
                <w:color w:val="auto"/>
              </w:rPr>
            </w:pPr>
          </w:p>
        </w:tc>
        <w:tc>
          <w:tcPr>
            <w:tcW w:w="1292" w:type="pct"/>
            <w:noWrap/>
            <w:vAlign w:val="center"/>
          </w:tcPr>
          <w:p w14:paraId="2ADF9A98">
            <w:pPr>
              <w:pStyle w:val="33"/>
              <w:rPr>
                <w:color w:val="auto"/>
              </w:rPr>
            </w:pPr>
            <w:r>
              <w:rPr>
                <w:color w:val="auto"/>
              </w:rPr>
              <w:t>2#纸机白水</w:t>
            </w:r>
          </w:p>
        </w:tc>
        <w:tc>
          <w:tcPr>
            <w:tcW w:w="501" w:type="pct"/>
            <w:noWrap/>
            <w:vAlign w:val="center"/>
          </w:tcPr>
          <w:p w14:paraId="5F3A92C2">
            <w:pPr>
              <w:pStyle w:val="33"/>
              <w:rPr>
                <w:color w:val="auto"/>
              </w:rPr>
            </w:pPr>
            <w:r>
              <w:rPr>
                <w:color w:val="auto"/>
              </w:rPr>
              <w:t>23637.5</w:t>
            </w:r>
          </w:p>
        </w:tc>
        <w:tc>
          <w:tcPr>
            <w:tcW w:w="1368" w:type="pct"/>
            <w:noWrap/>
            <w:vAlign w:val="center"/>
          </w:tcPr>
          <w:p w14:paraId="651CF8A3">
            <w:pPr>
              <w:pStyle w:val="33"/>
              <w:rPr>
                <w:color w:val="auto"/>
              </w:rPr>
            </w:pPr>
            <w:r>
              <w:rPr>
                <w:color w:val="auto"/>
              </w:rPr>
              <w:t>浆中含水</w:t>
            </w:r>
          </w:p>
        </w:tc>
        <w:tc>
          <w:tcPr>
            <w:tcW w:w="501" w:type="pct"/>
            <w:noWrap/>
            <w:vAlign w:val="center"/>
          </w:tcPr>
          <w:p w14:paraId="237B6F17">
            <w:pPr>
              <w:pStyle w:val="33"/>
              <w:rPr>
                <w:color w:val="auto"/>
              </w:rPr>
            </w:pPr>
            <w:r>
              <w:rPr>
                <w:color w:val="auto"/>
              </w:rPr>
              <w:t>0</w:t>
            </w:r>
          </w:p>
        </w:tc>
      </w:tr>
      <w:tr w14:paraId="597ED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72E0978">
            <w:pPr>
              <w:pStyle w:val="33"/>
              <w:rPr>
                <w:color w:val="auto"/>
              </w:rPr>
            </w:pPr>
          </w:p>
        </w:tc>
        <w:tc>
          <w:tcPr>
            <w:tcW w:w="1292" w:type="pct"/>
            <w:noWrap/>
            <w:vAlign w:val="center"/>
          </w:tcPr>
          <w:p w14:paraId="2C2E1244">
            <w:pPr>
              <w:pStyle w:val="33"/>
              <w:rPr>
                <w:color w:val="auto"/>
              </w:rPr>
            </w:pPr>
            <w:r>
              <w:rPr>
                <w:color w:val="auto"/>
              </w:rPr>
              <w:t>2#碱回收车间白液带水</w:t>
            </w:r>
          </w:p>
        </w:tc>
        <w:tc>
          <w:tcPr>
            <w:tcW w:w="501" w:type="pct"/>
            <w:noWrap/>
            <w:vAlign w:val="center"/>
          </w:tcPr>
          <w:p w14:paraId="7E7F9417">
            <w:pPr>
              <w:pStyle w:val="33"/>
              <w:rPr>
                <w:color w:val="auto"/>
              </w:rPr>
            </w:pPr>
            <w:r>
              <w:rPr>
                <w:color w:val="auto"/>
              </w:rPr>
              <w:t>426</w:t>
            </w:r>
          </w:p>
        </w:tc>
        <w:tc>
          <w:tcPr>
            <w:tcW w:w="1368" w:type="pct"/>
            <w:noWrap/>
            <w:vAlign w:val="center"/>
          </w:tcPr>
          <w:p w14:paraId="7F612AF1">
            <w:pPr>
              <w:pStyle w:val="33"/>
              <w:rPr>
                <w:color w:val="auto"/>
              </w:rPr>
            </w:pPr>
          </w:p>
        </w:tc>
        <w:tc>
          <w:tcPr>
            <w:tcW w:w="501" w:type="pct"/>
            <w:noWrap/>
            <w:vAlign w:val="center"/>
          </w:tcPr>
          <w:p w14:paraId="4DB951AB">
            <w:pPr>
              <w:pStyle w:val="33"/>
              <w:rPr>
                <w:rFonts w:eastAsia="Times New Roman" w:cs="Times New Roman"/>
                <w:color w:val="auto"/>
                <w:sz w:val="20"/>
                <w:szCs w:val="20"/>
              </w:rPr>
            </w:pPr>
          </w:p>
        </w:tc>
      </w:tr>
      <w:tr w14:paraId="170FA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25E54D5">
            <w:pPr>
              <w:pStyle w:val="33"/>
              <w:rPr>
                <w:rFonts w:eastAsia="Times New Roman" w:cs="Times New Roman"/>
                <w:color w:val="auto"/>
                <w:sz w:val="20"/>
                <w:szCs w:val="20"/>
              </w:rPr>
            </w:pPr>
          </w:p>
        </w:tc>
        <w:tc>
          <w:tcPr>
            <w:tcW w:w="1292" w:type="pct"/>
            <w:noWrap/>
            <w:vAlign w:val="center"/>
          </w:tcPr>
          <w:p w14:paraId="27E96624">
            <w:pPr>
              <w:pStyle w:val="33"/>
              <w:rPr>
                <w:color w:val="auto"/>
              </w:rPr>
            </w:pPr>
            <w:r>
              <w:rPr>
                <w:color w:val="auto"/>
              </w:rPr>
              <w:t>1#碱回收车间白液带水</w:t>
            </w:r>
          </w:p>
        </w:tc>
        <w:tc>
          <w:tcPr>
            <w:tcW w:w="501" w:type="pct"/>
            <w:noWrap/>
            <w:vAlign w:val="center"/>
          </w:tcPr>
          <w:p w14:paraId="4000492C">
            <w:pPr>
              <w:pStyle w:val="33"/>
              <w:rPr>
                <w:color w:val="auto"/>
              </w:rPr>
            </w:pPr>
            <w:r>
              <w:rPr>
                <w:color w:val="auto"/>
              </w:rPr>
              <w:t>852</w:t>
            </w:r>
          </w:p>
        </w:tc>
        <w:tc>
          <w:tcPr>
            <w:tcW w:w="1368" w:type="pct"/>
            <w:noWrap/>
            <w:vAlign w:val="center"/>
          </w:tcPr>
          <w:p w14:paraId="6603EB82">
            <w:pPr>
              <w:pStyle w:val="33"/>
              <w:rPr>
                <w:color w:val="auto"/>
              </w:rPr>
            </w:pPr>
          </w:p>
        </w:tc>
        <w:tc>
          <w:tcPr>
            <w:tcW w:w="501" w:type="pct"/>
            <w:noWrap/>
            <w:vAlign w:val="center"/>
          </w:tcPr>
          <w:p w14:paraId="3F6EC1DA">
            <w:pPr>
              <w:pStyle w:val="33"/>
              <w:rPr>
                <w:rFonts w:eastAsia="Times New Roman" w:cs="Times New Roman"/>
                <w:color w:val="auto"/>
                <w:sz w:val="20"/>
                <w:szCs w:val="20"/>
              </w:rPr>
            </w:pPr>
          </w:p>
        </w:tc>
      </w:tr>
      <w:tr w14:paraId="6C5A7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4EFB971A">
            <w:pPr>
              <w:pStyle w:val="33"/>
              <w:rPr>
                <w:rFonts w:eastAsia="Times New Roman" w:cs="Times New Roman"/>
                <w:color w:val="auto"/>
                <w:sz w:val="20"/>
                <w:szCs w:val="20"/>
              </w:rPr>
            </w:pPr>
          </w:p>
        </w:tc>
        <w:tc>
          <w:tcPr>
            <w:tcW w:w="1292" w:type="pct"/>
            <w:noWrap/>
            <w:vAlign w:val="center"/>
          </w:tcPr>
          <w:p w14:paraId="24E0AD3E">
            <w:pPr>
              <w:pStyle w:val="33"/>
              <w:rPr>
                <w:color w:val="auto"/>
              </w:rPr>
            </w:pPr>
            <w:r>
              <w:rPr>
                <w:color w:val="auto"/>
              </w:rPr>
              <w:t>1#碱回收 车间冷凝水</w:t>
            </w:r>
          </w:p>
        </w:tc>
        <w:tc>
          <w:tcPr>
            <w:tcW w:w="501" w:type="pct"/>
            <w:noWrap/>
            <w:vAlign w:val="center"/>
          </w:tcPr>
          <w:p w14:paraId="5A62F378">
            <w:pPr>
              <w:pStyle w:val="33"/>
              <w:rPr>
                <w:color w:val="auto"/>
              </w:rPr>
            </w:pPr>
            <w:r>
              <w:rPr>
                <w:color w:val="auto"/>
              </w:rPr>
              <w:t>0</w:t>
            </w:r>
          </w:p>
        </w:tc>
        <w:tc>
          <w:tcPr>
            <w:tcW w:w="1368" w:type="pct"/>
            <w:noWrap/>
            <w:vAlign w:val="center"/>
          </w:tcPr>
          <w:p w14:paraId="21233B88">
            <w:pPr>
              <w:pStyle w:val="33"/>
              <w:rPr>
                <w:color w:val="auto"/>
              </w:rPr>
            </w:pPr>
          </w:p>
        </w:tc>
        <w:tc>
          <w:tcPr>
            <w:tcW w:w="501" w:type="pct"/>
            <w:noWrap/>
            <w:vAlign w:val="center"/>
          </w:tcPr>
          <w:p w14:paraId="5FAF8A53">
            <w:pPr>
              <w:pStyle w:val="33"/>
              <w:rPr>
                <w:rFonts w:eastAsia="Times New Roman" w:cs="Times New Roman"/>
                <w:color w:val="auto"/>
                <w:sz w:val="20"/>
                <w:szCs w:val="20"/>
              </w:rPr>
            </w:pPr>
          </w:p>
        </w:tc>
      </w:tr>
      <w:tr w14:paraId="3DEDA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64685EA">
            <w:pPr>
              <w:pStyle w:val="33"/>
              <w:rPr>
                <w:rFonts w:eastAsia="Times New Roman" w:cs="Times New Roman"/>
                <w:color w:val="auto"/>
                <w:sz w:val="20"/>
                <w:szCs w:val="20"/>
              </w:rPr>
            </w:pPr>
          </w:p>
        </w:tc>
        <w:tc>
          <w:tcPr>
            <w:tcW w:w="1292" w:type="pct"/>
            <w:noWrap/>
            <w:vAlign w:val="center"/>
          </w:tcPr>
          <w:p w14:paraId="3A8C5087">
            <w:pPr>
              <w:pStyle w:val="33"/>
              <w:rPr>
                <w:color w:val="auto"/>
              </w:rPr>
            </w:pPr>
            <w:r>
              <w:rPr>
                <w:color w:val="auto"/>
              </w:rPr>
              <w:t>抄浆车间白水</w:t>
            </w:r>
          </w:p>
        </w:tc>
        <w:tc>
          <w:tcPr>
            <w:tcW w:w="501" w:type="pct"/>
            <w:noWrap/>
            <w:vAlign w:val="center"/>
          </w:tcPr>
          <w:p w14:paraId="33FA21D0">
            <w:pPr>
              <w:pStyle w:val="33"/>
              <w:rPr>
                <w:color w:val="auto"/>
              </w:rPr>
            </w:pPr>
            <w:r>
              <w:rPr>
                <w:color w:val="auto"/>
              </w:rPr>
              <w:t>0</w:t>
            </w:r>
          </w:p>
        </w:tc>
        <w:tc>
          <w:tcPr>
            <w:tcW w:w="1368" w:type="pct"/>
            <w:noWrap/>
            <w:vAlign w:val="center"/>
          </w:tcPr>
          <w:p w14:paraId="1DEFE914">
            <w:pPr>
              <w:pStyle w:val="33"/>
              <w:rPr>
                <w:color w:val="auto"/>
              </w:rPr>
            </w:pPr>
          </w:p>
        </w:tc>
        <w:tc>
          <w:tcPr>
            <w:tcW w:w="501" w:type="pct"/>
            <w:noWrap/>
            <w:vAlign w:val="center"/>
          </w:tcPr>
          <w:p w14:paraId="17CD66CE">
            <w:pPr>
              <w:pStyle w:val="33"/>
              <w:rPr>
                <w:rFonts w:eastAsia="Times New Roman" w:cs="Times New Roman"/>
                <w:color w:val="auto"/>
                <w:sz w:val="20"/>
                <w:szCs w:val="20"/>
              </w:rPr>
            </w:pPr>
          </w:p>
        </w:tc>
      </w:tr>
      <w:tr w14:paraId="682AC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1E0DB13">
            <w:pPr>
              <w:pStyle w:val="33"/>
              <w:rPr>
                <w:rFonts w:eastAsia="Times New Roman" w:cs="Times New Roman"/>
                <w:color w:val="auto"/>
                <w:sz w:val="20"/>
                <w:szCs w:val="20"/>
              </w:rPr>
            </w:pPr>
          </w:p>
        </w:tc>
        <w:tc>
          <w:tcPr>
            <w:tcW w:w="1292" w:type="pct"/>
            <w:noWrap/>
            <w:vAlign w:val="center"/>
          </w:tcPr>
          <w:p w14:paraId="0A415B12">
            <w:pPr>
              <w:pStyle w:val="33"/>
              <w:rPr>
                <w:color w:val="auto"/>
              </w:rPr>
            </w:pPr>
            <w:r>
              <w:rPr>
                <w:color w:val="auto"/>
              </w:rPr>
              <w:t>3#纸机白水</w:t>
            </w:r>
          </w:p>
        </w:tc>
        <w:tc>
          <w:tcPr>
            <w:tcW w:w="501" w:type="pct"/>
            <w:noWrap/>
            <w:vAlign w:val="center"/>
          </w:tcPr>
          <w:p w14:paraId="084F7BFD">
            <w:pPr>
              <w:pStyle w:val="33"/>
              <w:rPr>
                <w:color w:val="auto"/>
              </w:rPr>
            </w:pPr>
            <w:r>
              <w:rPr>
                <w:color w:val="auto"/>
              </w:rPr>
              <w:t>1476.54</w:t>
            </w:r>
          </w:p>
        </w:tc>
        <w:tc>
          <w:tcPr>
            <w:tcW w:w="1368" w:type="pct"/>
            <w:noWrap/>
            <w:vAlign w:val="center"/>
          </w:tcPr>
          <w:p w14:paraId="6C544018">
            <w:pPr>
              <w:pStyle w:val="33"/>
              <w:rPr>
                <w:color w:val="auto"/>
              </w:rPr>
            </w:pPr>
          </w:p>
        </w:tc>
        <w:tc>
          <w:tcPr>
            <w:tcW w:w="501" w:type="pct"/>
            <w:noWrap/>
            <w:vAlign w:val="center"/>
          </w:tcPr>
          <w:p w14:paraId="772BD8D8">
            <w:pPr>
              <w:pStyle w:val="33"/>
              <w:rPr>
                <w:rFonts w:eastAsia="Times New Roman" w:cs="Times New Roman"/>
                <w:color w:val="auto"/>
                <w:sz w:val="20"/>
                <w:szCs w:val="20"/>
              </w:rPr>
            </w:pPr>
          </w:p>
        </w:tc>
      </w:tr>
      <w:tr w14:paraId="2C1C0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2DC58207">
            <w:pPr>
              <w:pStyle w:val="33"/>
              <w:rPr>
                <w:b/>
                <w:bCs/>
                <w:color w:val="auto"/>
              </w:rPr>
            </w:pPr>
            <w:r>
              <w:rPr>
                <w:b/>
                <w:bCs/>
                <w:color w:val="auto"/>
              </w:rPr>
              <w:t>抄浆车间</w:t>
            </w:r>
          </w:p>
        </w:tc>
        <w:tc>
          <w:tcPr>
            <w:tcW w:w="1292" w:type="pct"/>
            <w:noWrap/>
            <w:vAlign w:val="center"/>
          </w:tcPr>
          <w:p w14:paraId="0D1A18E5">
            <w:pPr>
              <w:pStyle w:val="33"/>
              <w:rPr>
                <w:b/>
                <w:bCs/>
                <w:color w:val="auto"/>
              </w:rPr>
            </w:pPr>
            <w:r>
              <w:rPr>
                <w:b/>
                <w:bCs/>
                <w:color w:val="auto"/>
              </w:rPr>
              <w:t>浆中带水</w:t>
            </w:r>
          </w:p>
        </w:tc>
        <w:tc>
          <w:tcPr>
            <w:tcW w:w="501" w:type="pct"/>
            <w:noWrap/>
            <w:vAlign w:val="center"/>
          </w:tcPr>
          <w:p w14:paraId="3D39AE35">
            <w:pPr>
              <w:pStyle w:val="33"/>
              <w:rPr>
                <w:b/>
                <w:bCs/>
                <w:color w:val="auto"/>
              </w:rPr>
            </w:pPr>
            <w:r>
              <w:rPr>
                <w:b/>
                <w:bCs/>
                <w:color w:val="auto"/>
              </w:rPr>
              <w:t>0</w:t>
            </w:r>
          </w:p>
        </w:tc>
        <w:tc>
          <w:tcPr>
            <w:tcW w:w="1368" w:type="pct"/>
            <w:noWrap/>
            <w:vAlign w:val="center"/>
          </w:tcPr>
          <w:p w14:paraId="68DCF6C0">
            <w:pPr>
              <w:pStyle w:val="33"/>
              <w:rPr>
                <w:b/>
                <w:bCs/>
                <w:color w:val="auto"/>
              </w:rPr>
            </w:pPr>
            <w:r>
              <w:rPr>
                <w:b/>
                <w:bCs/>
                <w:color w:val="auto"/>
              </w:rPr>
              <w:t>白水</w:t>
            </w:r>
          </w:p>
        </w:tc>
        <w:tc>
          <w:tcPr>
            <w:tcW w:w="501" w:type="pct"/>
            <w:noWrap/>
            <w:vAlign w:val="center"/>
          </w:tcPr>
          <w:p w14:paraId="7FF3193C">
            <w:pPr>
              <w:pStyle w:val="33"/>
              <w:rPr>
                <w:b/>
                <w:bCs/>
                <w:color w:val="auto"/>
              </w:rPr>
            </w:pPr>
            <w:r>
              <w:rPr>
                <w:b/>
                <w:bCs/>
                <w:color w:val="auto"/>
              </w:rPr>
              <w:t>0</w:t>
            </w:r>
          </w:p>
        </w:tc>
      </w:tr>
      <w:tr w14:paraId="499F1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4AFDC529">
            <w:pPr>
              <w:pStyle w:val="33"/>
              <w:rPr>
                <w:b/>
                <w:bCs/>
                <w:color w:val="auto"/>
              </w:rPr>
            </w:pPr>
          </w:p>
        </w:tc>
        <w:tc>
          <w:tcPr>
            <w:tcW w:w="1292" w:type="pct"/>
            <w:noWrap/>
            <w:vAlign w:val="center"/>
          </w:tcPr>
          <w:p w14:paraId="0481A23F">
            <w:pPr>
              <w:pStyle w:val="33"/>
              <w:rPr>
                <w:b/>
                <w:bCs/>
                <w:color w:val="auto"/>
              </w:rPr>
            </w:pPr>
          </w:p>
        </w:tc>
        <w:tc>
          <w:tcPr>
            <w:tcW w:w="501" w:type="pct"/>
            <w:noWrap/>
            <w:vAlign w:val="center"/>
          </w:tcPr>
          <w:p w14:paraId="7C39F106">
            <w:pPr>
              <w:pStyle w:val="33"/>
              <w:rPr>
                <w:b/>
                <w:bCs/>
                <w:color w:val="auto"/>
              </w:rPr>
            </w:pPr>
          </w:p>
        </w:tc>
        <w:tc>
          <w:tcPr>
            <w:tcW w:w="1368" w:type="pct"/>
            <w:noWrap/>
            <w:vAlign w:val="center"/>
          </w:tcPr>
          <w:p w14:paraId="55E05E7A">
            <w:pPr>
              <w:pStyle w:val="33"/>
              <w:rPr>
                <w:b/>
                <w:bCs/>
                <w:color w:val="auto"/>
              </w:rPr>
            </w:pPr>
            <w:r>
              <w:rPr>
                <w:b/>
                <w:bCs/>
                <w:color w:val="auto"/>
              </w:rPr>
              <w:t>浆板含水</w:t>
            </w:r>
          </w:p>
        </w:tc>
        <w:tc>
          <w:tcPr>
            <w:tcW w:w="501" w:type="pct"/>
            <w:noWrap/>
            <w:vAlign w:val="center"/>
          </w:tcPr>
          <w:p w14:paraId="1B954C5C">
            <w:pPr>
              <w:pStyle w:val="33"/>
              <w:rPr>
                <w:b/>
                <w:bCs/>
                <w:color w:val="auto"/>
              </w:rPr>
            </w:pPr>
            <w:r>
              <w:rPr>
                <w:b/>
                <w:bCs/>
                <w:color w:val="auto"/>
              </w:rPr>
              <w:t>0</w:t>
            </w:r>
          </w:p>
        </w:tc>
      </w:tr>
      <w:tr w14:paraId="3F619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74EA3F0">
            <w:pPr>
              <w:pStyle w:val="33"/>
              <w:rPr>
                <w:b/>
                <w:bCs/>
                <w:color w:val="auto"/>
              </w:rPr>
            </w:pPr>
          </w:p>
        </w:tc>
        <w:tc>
          <w:tcPr>
            <w:tcW w:w="1292" w:type="pct"/>
            <w:noWrap/>
            <w:vAlign w:val="center"/>
          </w:tcPr>
          <w:p w14:paraId="1EF437C2">
            <w:pPr>
              <w:pStyle w:val="33"/>
              <w:rPr>
                <w:b/>
                <w:bCs/>
                <w:color w:val="auto"/>
              </w:rPr>
            </w:pPr>
          </w:p>
        </w:tc>
        <w:tc>
          <w:tcPr>
            <w:tcW w:w="501" w:type="pct"/>
            <w:noWrap/>
            <w:vAlign w:val="center"/>
          </w:tcPr>
          <w:p w14:paraId="1A0BD3D6">
            <w:pPr>
              <w:pStyle w:val="33"/>
              <w:rPr>
                <w:b/>
                <w:bCs/>
                <w:color w:val="auto"/>
              </w:rPr>
            </w:pPr>
          </w:p>
        </w:tc>
        <w:tc>
          <w:tcPr>
            <w:tcW w:w="1368" w:type="pct"/>
            <w:noWrap/>
            <w:vAlign w:val="center"/>
          </w:tcPr>
          <w:p w14:paraId="52CA81B9">
            <w:pPr>
              <w:pStyle w:val="33"/>
              <w:rPr>
                <w:b/>
                <w:bCs/>
                <w:color w:val="auto"/>
              </w:rPr>
            </w:pPr>
            <w:r>
              <w:rPr>
                <w:b/>
                <w:bCs/>
                <w:color w:val="auto"/>
              </w:rPr>
              <w:t>损失</w:t>
            </w:r>
          </w:p>
        </w:tc>
        <w:tc>
          <w:tcPr>
            <w:tcW w:w="501" w:type="pct"/>
            <w:noWrap/>
            <w:vAlign w:val="center"/>
          </w:tcPr>
          <w:p w14:paraId="3DDF6CE6">
            <w:pPr>
              <w:pStyle w:val="33"/>
              <w:rPr>
                <w:b/>
                <w:bCs/>
                <w:color w:val="auto"/>
              </w:rPr>
            </w:pPr>
            <w:r>
              <w:rPr>
                <w:b/>
                <w:bCs/>
                <w:color w:val="auto"/>
              </w:rPr>
              <w:t>0</w:t>
            </w:r>
          </w:p>
        </w:tc>
      </w:tr>
      <w:tr w14:paraId="20858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28B13DD6">
            <w:pPr>
              <w:pStyle w:val="33"/>
              <w:rPr>
                <w:color w:val="auto"/>
              </w:rPr>
            </w:pPr>
            <w:r>
              <w:rPr>
                <w:color w:val="auto"/>
              </w:rPr>
              <w:t>4#化机浆车间</w:t>
            </w:r>
          </w:p>
        </w:tc>
        <w:tc>
          <w:tcPr>
            <w:tcW w:w="1292" w:type="pct"/>
            <w:noWrap/>
            <w:vAlign w:val="center"/>
          </w:tcPr>
          <w:p w14:paraId="329E13D5">
            <w:pPr>
              <w:pStyle w:val="33"/>
              <w:rPr>
                <w:color w:val="auto"/>
              </w:rPr>
            </w:pPr>
            <w:r>
              <w:rPr>
                <w:color w:val="auto"/>
              </w:rPr>
              <w:t>清水</w:t>
            </w:r>
          </w:p>
        </w:tc>
        <w:tc>
          <w:tcPr>
            <w:tcW w:w="501" w:type="pct"/>
            <w:noWrap/>
            <w:vAlign w:val="center"/>
          </w:tcPr>
          <w:p w14:paraId="756BAB17">
            <w:pPr>
              <w:pStyle w:val="33"/>
              <w:rPr>
                <w:color w:val="auto"/>
              </w:rPr>
            </w:pPr>
            <w:r>
              <w:rPr>
                <w:color w:val="auto"/>
              </w:rPr>
              <w:t>6324</w:t>
            </w:r>
          </w:p>
        </w:tc>
        <w:tc>
          <w:tcPr>
            <w:tcW w:w="1368" w:type="pct"/>
            <w:noWrap/>
            <w:vAlign w:val="center"/>
          </w:tcPr>
          <w:p w14:paraId="3E8F93F5">
            <w:pPr>
              <w:pStyle w:val="33"/>
              <w:rPr>
                <w:color w:val="auto"/>
              </w:rPr>
            </w:pPr>
            <w:r>
              <w:rPr>
                <w:color w:val="auto"/>
              </w:rPr>
              <w:t>损失</w:t>
            </w:r>
          </w:p>
        </w:tc>
        <w:tc>
          <w:tcPr>
            <w:tcW w:w="501" w:type="pct"/>
            <w:noWrap/>
            <w:vAlign w:val="center"/>
          </w:tcPr>
          <w:p w14:paraId="252BE88F">
            <w:pPr>
              <w:pStyle w:val="33"/>
              <w:rPr>
                <w:color w:val="auto"/>
              </w:rPr>
            </w:pPr>
            <w:r>
              <w:rPr>
                <w:color w:val="auto"/>
              </w:rPr>
              <w:t>554</w:t>
            </w:r>
          </w:p>
        </w:tc>
      </w:tr>
      <w:tr w14:paraId="2B895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D603BC6">
            <w:pPr>
              <w:pStyle w:val="33"/>
              <w:rPr>
                <w:color w:val="auto"/>
              </w:rPr>
            </w:pPr>
          </w:p>
        </w:tc>
        <w:tc>
          <w:tcPr>
            <w:tcW w:w="1292" w:type="pct"/>
            <w:noWrap/>
            <w:vAlign w:val="center"/>
          </w:tcPr>
          <w:p w14:paraId="2FE1E975">
            <w:pPr>
              <w:pStyle w:val="33"/>
              <w:rPr>
                <w:color w:val="auto"/>
              </w:rPr>
            </w:pPr>
            <w:r>
              <w:rPr>
                <w:color w:val="auto"/>
              </w:rPr>
              <w:t>木片带水</w:t>
            </w:r>
          </w:p>
        </w:tc>
        <w:tc>
          <w:tcPr>
            <w:tcW w:w="501" w:type="pct"/>
            <w:noWrap/>
            <w:vAlign w:val="center"/>
          </w:tcPr>
          <w:p w14:paraId="08C5EEC5">
            <w:pPr>
              <w:pStyle w:val="33"/>
              <w:rPr>
                <w:color w:val="auto"/>
              </w:rPr>
            </w:pPr>
            <w:r>
              <w:rPr>
                <w:color w:val="auto"/>
              </w:rPr>
              <w:t>1549</w:t>
            </w:r>
          </w:p>
        </w:tc>
        <w:tc>
          <w:tcPr>
            <w:tcW w:w="1368" w:type="pct"/>
            <w:noWrap/>
            <w:vAlign w:val="center"/>
          </w:tcPr>
          <w:p w14:paraId="2C65B710">
            <w:pPr>
              <w:pStyle w:val="33"/>
              <w:rPr>
                <w:color w:val="auto"/>
              </w:rPr>
            </w:pPr>
            <w:r>
              <w:rPr>
                <w:color w:val="auto"/>
              </w:rPr>
              <w:t>去纸机浆中含水</w:t>
            </w:r>
          </w:p>
        </w:tc>
        <w:tc>
          <w:tcPr>
            <w:tcW w:w="501" w:type="pct"/>
            <w:noWrap/>
            <w:vAlign w:val="center"/>
          </w:tcPr>
          <w:p w14:paraId="552C9CD4">
            <w:pPr>
              <w:pStyle w:val="33"/>
              <w:rPr>
                <w:color w:val="auto"/>
              </w:rPr>
            </w:pPr>
            <w:r>
              <w:rPr>
                <w:color w:val="auto"/>
              </w:rPr>
              <w:t>28088</w:t>
            </w:r>
          </w:p>
        </w:tc>
      </w:tr>
      <w:tr w14:paraId="729C9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4FE0C483">
            <w:pPr>
              <w:pStyle w:val="33"/>
              <w:rPr>
                <w:color w:val="auto"/>
              </w:rPr>
            </w:pPr>
          </w:p>
        </w:tc>
        <w:tc>
          <w:tcPr>
            <w:tcW w:w="1292" w:type="pct"/>
            <w:noWrap/>
            <w:vAlign w:val="center"/>
          </w:tcPr>
          <w:p w14:paraId="7CDFA828">
            <w:pPr>
              <w:pStyle w:val="33"/>
              <w:rPr>
                <w:color w:val="auto"/>
              </w:rPr>
            </w:pPr>
            <w:r>
              <w:rPr>
                <w:color w:val="auto"/>
              </w:rPr>
              <w:t>化学品带水</w:t>
            </w:r>
          </w:p>
        </w:tc>
        <w:tc>
          <w:tcPr>
            <w:tcW w:w="501" w:type="pct"/>
            <w:noWrap/>
            <w:vAlign w:val="center"/>
          </w:tcPr>
          <w:p w14:paraId="2B430D2E">
            <w:pPr>
              <w:pStyle w:val="33"/>
              <w:rPr>
                <w:color w:val="auto"/>
              </w:rPr>
            </w:pPr>
            <w:r>
              <w:rPr>
                <w:color w:val="auto"/>
              </w:rPr>
              <w:t>179</w:t>
            </w:r>
          </w:p>
        </w:tc>
        <w:tc>
          <w:tcPr>
            <w:tcW w:w="1368" w:type="pct"/>
            <w:noWrap/>
            <w:vAlign w:val="center"/>
          </w:tcPr>
          <w:p w14:paraId="465D60EC">
            <w:pPr>
              <w:pStyle w:val="33"/>
              <w:rPr>
                <w:color w:val="auto"/>
              </w:rPr>
            </w:pPr>
            <w:r>
              <w:rPr>
                <w:color w:val="auto"/>
              </w:rPr>
              <w:t>废水去2#碱回收车间</w:t>
            </w:r>
          </w:p>
        </w:tc>
        <w:tc>
          <w:tcPr>
            <w:tcW w:w="501" w:type="pct"/>
            <w:noWrap/>
            <w:vAlign w:val="center"/>
          </w:tcPr>
          <w:p w14:paraId="075C14F4">
            <w:pPr>
              <w:pStyle w:val="33"/>
              <w:rPr>
                <w:color w:val="auto"/>
              </w:rPr>
            </w:pPr>
            <w:r>
              <w:rPr>
                <w:color w:val="auto"/>
              </w:rPr>
              <w:t>11029</w:t>
            </w:r>
          </w:p>
        </w:tc>
      </w:tr>
      <w:tr w14:paraId="01ADD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C971C1D">
            <w:pPr>
              <w:pStyle w:val="33"/>
              <w:rPr>
                <w:color w:val="auto"/>
              </w:rPr>
            </w:pPr>
          </w:p>
        </w:tc>
        <w:tc>
          <w:tcPr>
            <w:tcW w:w="1292" w:type="pct"/>
            <w:noWrap/>
            <w:vAlign w:val="center"/>
          </w:tcPr>
          <w:p w14:paraId="4C1E9286">
            <w:pPr>
              <w:pStyle w:val="33"/>
              <w:rPr>
                <w:color w:val="auto"/>
              </w:rPr>
            </w:pPr>
            <w:r>
              <w:rPr>
                <w:color w:val="auto"/>
              </w:rPr>
              <w:t>化学水车间纯水</w:t>
            </w:r>
          </w:p>
        </w:tc>
        <w:tc>
          <w:tcPr>
            <w:tcW w:w="501" w:type="pct"/>
            <w:noWrap/>
            <w:vAlign w:val="center"/>
          </w:tcPr>
          <w:p w14:paraId="4BE8009C">
            <w:pPr>
              <w:pStyle w:val="33"/>
              <w:rPr>
                <w:color w:val="auto"/>
              </w:rPr>
            </w:pPr>
            <w:r>
              <w:rPr>
                <w:color w:val="auto"/>
              </w:rPr>
              <w:t>478</w:t>
            </w:r>
          </w:p>
        </w:tc>
        <w:tc>
          <w:tcPr>
            <w:tcW w:w="1368" w:type="pct"/>
            <w:noWrap/>
            <w:vAlign w:val="center"/>
          </w:tcPr>
          <w:p w14:paraId="1E6C4A06">
            <w:pPr>
              <w:pStyle w:val="33"/>
              <w:rPr>
                <w:color w:val="auto"/>
              </w:rPr>
            </w:pPr>
            <w:r>
              <w:rPr>
                <w:color w:val="auto"/>
              </w:rPr>
              <w:t>二次蒸汽</w:t>
            </w:r>
          </w:p>
        </w:tc>
        <w:tc>
          <w:tcPr>
            <w:tcW w:w="501" w:type="pct"/>
            <w:noWrap/>
            <w:vAlign w:val="center"/>
          </w:tcPr>
          <w:p w14:paraId="3B608A7E">
            <w:pPr>
              <w:pStyle w:val="33"/>
              <w:rPr>
                <w:color w:val="auto"/>
              </w:rPr>
            </w:pPr>
            <w:r>
              <w:rPr>
                <w:color w:val="auto"/>
              </w:rPr>
              <w:t>441</w:t>
            </w:r>
          </w:p>
        </w:tc>
      </w:tr>
      <w:tr w14:paraId="43E32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04AE9223">
            <w:pPr>
              <w:pStyle w:val="33"/>
              <w:rPr>
                <w:color w:val="auto"/>
              </w:rPr>
            </w:pPr>
          </w:p>
        </w:tc>
        <w:tc>
          <w:tcPr>
            <w:tcW w:w="1292" w:type="pct"/>
            <w:noWrap/>
            <w:vAlign w:val="center"/>
          </w:tcPr>
          <w:p w14:paraId="3828EE08">
            <w:pPr>
              <w:pStyle w:val="33"/>
              <w:rPr>
                <w:color w:val="auto"/>
              </w:rPr>
            </w:pPr>
            <w:r>
              <w:rPr>
                <w:color w:val="auto"/>
              </w:rPr>
              <w:t>2#碱回收 车间冷凝水</w:t>
            </w:r>
          </w:p>
        </w:tc>
        <w:tc>
          <w:tcPr>
            <w:tcW w:w="501" w:type="pct"/>
            <w:noWrap/>
            <w:vAlign w:val="center"/>
          </w:tcPr>
          <w:p w14:paraId="154084E9">
            <w:pPr>
              <w:pStyle w:val="33"/>
              <w:rPr>
                <w:color w:val="auto"/>
              </w:rPr>
            </w:pPr>
            <w:r>
              <w:rPr>
                <w:color w:val="auto"/>
              </w:rPr>
              <w:t>8088</w:t>
            </w:r>
          </w:p>
        </w:tc>
        <w:tc>
          <w:tcPr>
            <w:tcW w:w="1368" w:type="pct"/>
            <w:noWrap/>
            <w:vAlign w:val="center"/>
          </w:tcPr>
          <w:p w14:paraId="6737AB4B">
            <w:pPr>
              <w:pStyle w:val="33"/>
              <w:rPr>
                <w:color w:val="auto"/>
              </w:rPr>
            </w:pPr>
          </w:p>
        </w:tc>
        <w:tc>
          <w:tcPr>
            <w:tcW w:w="501" w:type="pct"/>
            <w:noWrap/>
            <w:vAlign w:val="center"/>
          </w:tcPr>
          <w:p w14:paraId="5DB3557B">
            <w:pPr>
              <w:pStyle w:val="33"/>
              <w:rPr>
                <w:rFonts w:eastAsia="Times New Roman" w:cs="Times New Roman"/>
                <w:color w:val="auto"/>
                <w:sz w:val="20"/>
                <w:szCs w:val="20"/>
              </w:rPr>
            </w:pPr>
          </w:p>
        </w:tc>
      </w:tr>
      <w:tr w14:paraId="464E7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C219255">
            <w:pPr>
              <w:pStyle w:val="33"/>
              <w:rPr>
                <w:rFonts w:eastAsia="Times New Roman" w:cs="Times New Roman"/>
                <w:color w:val="auto"/>
                <w:sz w:val="20"/>
                <w:szCs w:val="20"/>
              </w:rPr>
            </w:pPr>
          </w:p>
        </w:tc>
        <w:tc>
          <w:tcPr>
            <w:tcW w:w="1292" w:type="pct"/>
            <w:noWrap/>
            <w:vAlign w:val="center"/>
          </w:tcPr>
          <w:p w14:paraId="2EF7BEFE">
            <w:pPr>
              <w:pStyle w:val="33"/>
              <w:rPr>
                <w:color w:val="auto"/>
              </w:rPr>
            </w:pPr>
            <w:r>
              <w:rPr>
                <w:color w:val="auto"/>
              </w:rPr>
              <w:t>2#碱回收车间白液带水</w:t>
            </w:r>
          </w:p>
        </w:tc>
        <w:tc>
          <w:tcPr>
            <w:tcW w:w="501" w:type="pct"/>
            <w:noWrap/>
            <w:vAlign w:val="center"/>
          </w:tcPr>
          <w:p w14:paraId="7166D057">
            <w:pPr>
              <w:pStyle w:val="33"/>
              <w:rPr>
                <w:color w:val="auto"/>
              </w:rPr>
            </w:pPr>
            <w:r>
              <w:rPr>
                <w:color w:val="auto"/>
              </w:rPr>
              <w:t>639</w:t>
            </w:r>
          </w:p>
        </w:tc>
        <w:tc>
          <w:tcPr>
            <w:tcW w:w="1368" w:type="pct"/>
            <w:noWrap/>
            <w:vAlign w:val="center"/>
          </w:tcPr>
          <w:p w14:paraId="1053910B">
            <w:pPr>
              <w:pStyle w:val="33"/>
              <w:rPr>
                <w:color w:val="auto"/>
              </w:rPr>
            </w:pPr>
          </w:p>
        </w:tc>
        <w:tc>
          <w:tcPr>
            <w:tcW w:w="501" w:type="pct"/>
            <w:noWrap/>
            <w:vAlign w:val="center"/>
          </w:tcPr>
          <w:p w14:paraId="70F01B26">
            <w:pPr>
              <w:pStyle w:val="33"/>
              <w:rPr>
                <w:rFonts w:eastAsia="Times New Roman" w:cs="Times New Roman"/>
                <w:color w:val="auto"/>
                <w:sz w:val="20"/>
                <w:szCs w:val="20"/>
              </w:rPr>
            </w:pPr>
          </w:p>
        </w:tc>
      </w:tr>
      <w:tr w14:paraId="4AD30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4C4220DA">
            <w:pPr>
              <w:pStyle w:val="33"/>
              <w:rPr>
                <w:rFonts w:eastAsia="Times New Roman" w:cs="Times New Roman"/>
                <w:color w:val="auto"/>
                <w:sz w:val="20"/>
                <w:szCs w:val="20"/>
              </w:rPr>
            </w:pPr>
          </w:p>
        </w:tc>
        <w:tc>
          <w:tcPr>
            <w:tcW w:w="1292" w:type="pct"/>
            <w:noWrap/>
            <w:vAlign w:val="center"/>
          </w:tcPr>
          <w:p w14:paraId="1FF31BAC">
            <w:pPr>
              <w:pStyle w:val="33"/>
              <w:rPr>
                <w:color w:val="auto"/>
              </w:rPr>
            </w:pPr>
            <w:r>
              <w:rPr>
                <w:color w:val="auto"/>
              </w:rPr>
              <w:t>3#纸机白水</w:t>
            </w:r>
          </w:p>
        </w:tc>
        <w:tc>
          <w:tcPr>
            <w:tcW w:w="501" w:type="pct"/>
            <w:noWrap/>
            <w:vAlign w:val="center"/>
          </w:tcPr>
          <w:p w14:paraId="4C794C1B">
            <w:pPr>
              <w:pStyle w:val="33"/>
              <w:rPr>
                <w:color w:val="auto"/>
              </w:rPr>
            </w:pPr>
            <w:r>
              <w:rPr>
                <w:color w:val="auto"/>
              </w:rPr>
              <w:t>22855</w:t>
            </w:r>
          </w:p>
        </w:tc>
        <w:tc>
          <w:tcPr>
            <w:tcW w:w="1368" w:type="pct"/>
            <w:noWrap/>
            <w:vAlign w:val="center"/>
          </w:tcPr>
          <w:p w14:paraId="6469919B">
            <w:pPr>
              <w:pStyle w:val="33"/>
              <w:rPr>
                <w:color w:val="auto"/>
              </w:rPr>
            </w:pPr>
          </w:p>
        </w:tc>
        <w:tc>
          <w:tcPr>
            <w:tcW w:w="501" w:type="pct"/>
            <w:noWrap/>
            <w:vAlign w:val="center"/>
          </w:tcPr>
          <w:p w14:paraId="4103D36E">
            <w:pPr>
              <w:pStyle w:val="33"/>
              <w:rPr>
                <w:rFonts w:eastAsia="Times New Roman" w:cs="Times New Roman"/>
                <w:color w:val="auto"/>
                <w:sz w:val="20"/>
                <w:szCs w:val="20"/>
              </w:rPr>
            </w:pPr>
          </w:p>
        </w:tc>
      </w:tr>
      <w:tr w14:paraId="3B700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74CFC433">
            <w:pPr>
              <w:pStyle w:val="33"/>
              <w:rPr>
                <w:color w:val="auto"/>
              </w:rPr>
            </w:pPr>
            <w:r>
              <w:rPr>
                <w:color w:val="auto"/>
              </w:rPr>
              <w:t>1#碱回收车间</w:t>
            </w:r>
          </w:p>
        </w:tc>
        <w:tc>
          <w:tcPr>
            <w:tcW w:w="1292" w:type="pct"/>
            <w:noWrap/>
            <w:vAlign w:val="center"/>
          </w:tcPr>
          <w:p w14:paraId="61A6C818">
            <w:pPr>
              <w:pStyle w:val="33"/>
              <w:rPr>
                <w:color w:val="auto"/>
              </w:rPr>
            </w:pPr>
            <w:r>
              <w:rPr>
                <w:color w:val="auto"/>
              </w:rPr>
              <w:t>1#~3#化机浆车间废水</w:t>
            </w:r>
          </w:p>
        </w:tc>
        <w:tc>
          <w:tcPr>
            <w:tcW w:w="501" w:type="pct"/>
            <w:noWrap/>
            <w:vAlign w:val="center"/>
          </w:tcPr>
          <w:p w14:paraId="56572C64">
            <w:pPr>
              <w:pStyle w:val="33"/>
              <w:rPr>
                <w:color w:val="auto"/>
              </w:rPr>
            </w:pPr>
            <w:r>
              <w:rPr>
                <w:color w:val="auto"/>
              </w:rPr>
              <w:t>14706</w:t>
            </w:r>
          </w:p>
        </w:tc>
        <w:tc>
          <w:tcPr>
            <w:tcW w:w="1368" w:type="pct"/>
            <w:noWrap/>
            <w:vAlign w:val="center"/>
          </w:tcPr>
          <w:p w14:paraId="694ED2D7">
            <w:pPr>
              <w:pStyle w:val="33"/>
              <w:rPr>
                <w:color w:val="auto"/>
              </w:rPr>
            </w:pPr>
            <w:r>
              <w:rPr>
                <w:color w:val="auto"/>
              </w:rPr>
              <w:t>冷凝水去 备料车间</w:t>
            </w:r>
          </w:p>
        </w:tc>
        <w:tc>
          <w:tcPr>
            <w:tcW w:w="501" w:type="pct"/>
            <w:noWrap/>
            <w:vAlign w:val="center"/>
          </w:tcPr>
          <w:p w14:paraId="0FFB6C22">
            <w:pPr>
              <w:pStyle w:val="33"/>
              <w:rPr>
                <w:color w:val="auto"/>
              </w:rPr>
            </w:pPr>
            <w:r>
              <w:rPr>
                <w:color w:val="auto"/>
              </w:rPr>
              <w:t>1849</w:t>
            </w:r>
          </w:p>
        </w:tc>
      </w:tr>
      <w:tr w14:paraId="396EB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408C044">
            <w:pPr>
              <w:pStyle w:val="33"/>
              <w:rPr>
                <w:color w:val="auto"/>
              </w:rPr>
            </w:pPr>
          </w:p>
        </w:tc>
        <w:tc>
          <w:tcPr>
            <w:tcW w:w="1292" w:type="pct"/>
            <w:noWrap/>
            <w:vAlign w:val="center"/>
          </w:tcPr>
          <w:p w14:paraId="6EC4C31F">
            <w:pPr>
              <w:pStyle w:val="33"/>
              <w:rPr>
                <w:color w:val="auto"/>
              </w:rPr>
            </w:pPr>
            <w:r>
              <w:rPr>
                <w:color w:val="auto"/>
              </w:rPr>
              <w:t>1#~3#化机浆车间二次蒸汽</w:t>
            </w:r>
          </w:p>
        </w:tc>
        <w:tc>
          <w:tcPr>
            <w:tcW w:w="501" w:type="pct"/>
            <w:noWrap/>
            <w:vAlign w:val="center"/>
          </w:tcPr>
          <w:p w14:paraId="0D7E74FA">
            <w:pPr>
              <w:pStyle w:val="33"/>
              <w:rPr>
                <w:color w:val="auto"/>
              </w:rPr>
            </w:pPr>
            <w:r>
              <w:rPr>
                <w:color w:val="auto"/>
              </w:rPr>
              <w:t>882</w:t>
            </w:r>
          </w:p>
        </w:tc>
        <w:tc>
          <w:tcPr>
            <w:tcW w:w="1368" w:type="pct"/>
            <w:noWrap/>
            <w:vAlign w:val="center"/>
          </w:tcPr>
          <w:p w14:paraId="475A3FE9">
            <w:pPr>
              <w:pStyle w:val="33"/>
              <w:rPr>
                <w:color w:val="auto"/>
              </w:rPr>
            </w:pPr>
            <w:r>
              <w:rPr>
                <w:color w:val="auto"/>
              </w:rPr>
              <w:t>冷凝水去1~3#化机浆车间</w:t>
            </w:r>
          </w:p>
        </w:tc>
        <w:tc>
          <w:tcPr>
            <w:tcW w:w="501" w:type="pct"/>
            <w:noWrap/>
            <w:vAlign w:val="center"/>
          </w:tcPr>
          <w:p w14:paraId="6C52A41C">
            <w:pPr>
              <w:pStyle w:val="33"/>
              <w:rPr>
                <w:color w:val="auto"/>
              </w:rPr>
            </w:pPr>
            <w:r>
              <w:rPr>
                <w:color w:val="auto"/>
              </w:rPr>
              <w:t>0</w:t>
            </w:r>
          </w:p>
        </w:tc>
      </w:tr>
      <w:tr w14:paraId="6F0C0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783FC3A">
            <w:pPr>
              <w:pStyle w:val="33"/>
              <w:rPr>
                <w:color w:val="auto"/>
              </w:rPr>
            </w:pPr>
          </w:p>
        </w:tc>
        <w:tc>
          <w:tcPr>
            <w:tcW w:w="1292" w:type="pct"/>
            <w:noWrap/>
            <w:vAlign w:val="center"/>
          </w:tcPr>
          <w:p w14:paraId="4D7027C5">
            <w:pPr>
              <w:pStyle w:val="33"/>
              <w:rPr>
                <w:color w:val="auto"/>
              </w:rPr>
            </w:pPr>
            <w:r>
              <w:rPr>
                <w:color w:val="auto"/>
              </w:rPr>
              <w:t>清水</w:t>
            </w:r>
          </w:p>
        </w:tc>
        <w:tc>
          <w:tcPr>
            <w:tcW w:w="501" w:type="pct"/>
            <w:noWrap/>
            <w:vAlign w:val="center"/>
          </w:tcPr>
          <w:p w14:paraId="62B27D37">
            <w:pPr>
              <w:pStyle w:val="33"/>
              <w:rPr>
                <w:color w:val="auto"/>
              </w:rPr>
            </w:pPr>
            <w:r>
              <w:rPr>
                <w:color w:val="auto"/>
              </w:rPr>
              <w:t>3378</w:t>
            </w:r>
          </w:p>
        </w:tc>
        <w:tc>
          <w:tcPr>
            <w:tcW w:w="1368" w:type="pct"/>
            <w:noWrap/>
            <w:vAlign w:val="center"/>
          </w:tcPr>
          <w:p w14:paraId="747AA036">
            <w:pPr>
              <w:pStyle w:val="33"/>
              <w:rPr>
                <w:color w:val="auto"/>
              </w:rPr>
            </w:pPr>
            <w:r>
              <w:rPr>
                <w:color w:val="auto"/>
              </w:rPr>
              <w:t>白液带水</w:t>
            </w:r>
          </w:p>
        </w:tc>
        <w:tc>
          <w:tcPr>
            <w:tcW w:w="501" w:type="pct"/>
            <w:noWrap/>
            <w:vAlign w:val="center"/>
          </w:tcPr>
          <w:p w14:paraId="1F6133C7">
            <w:pPr>
              <w:pStyle w:val="33"/>
              <w:rPr>
                <w:color w:val="auto"/>
              </w:rPr>
            </w:pPr>
            <w:r>
              <w:rPr>
                <w:color w:val="auto"/>
              </w:rPr>
              <w:t>852</w:t>
            </w:r>
          </w:p>
        </w:tc>
      </w:tr>
      <w:tr w14:paraId="7A76A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C35F488">
            <w:pPr>
              <w:pStyle w:val="33"/>
              <w:rPr>
                <w:color w:val="auto"/>
              </w:rPr>
            </w:pPr>
          </w:p>
        </w:tc>
        <w:tc>
          <w:tcPr>
            <w:tcW w:w="1292" w:type="pct"/>
            <w:noWrap/>
            <w:vAlign w:val="center"/>
          </w:tcPr>
          <w:p w14:paraId="7CF2E1A4">
            <w:pPr>
              <w:pStyle w:val="33"/>
              <w:rPr>
                <w:color w:val="auto"/>
              </w:rPr>
            </w:pPr>
            <w:r>
              <w:rPr>
                <w:color w:val="auto"/>
              </w:rPr>
              <w:t>化学水车间纯水</w:t>
            </w:r>
          </w:p>
        </w:tc>
        <w:tc>
          <w:tcPr>
            <w:tcW w:w="501" w:type="pct"/>
            <w:noWrap/>
            <w:vAlign w:val="center"/>
          </w:tcPr>
          <w:p w14:paraId="0CC7416C">
            <w:pPr>
              <w:pStyle w:val="33"/>
              <w:rPr>
                <w:color w:val="auto"/>
              </w:rPr>
            </w:pPr>
            <w:r>
              <w:rPr>
                <w:color w:val="auto"/>
              </w:rPr>
              <w:t>672</w:t>
            </w:r>
          </w:p>
        </w:tc>
        <w:tc>
          <w:tcPr>
            <w:tcW w:w="1368" w:type="pct"/>
            <w:noWrap/>
            <w:vAlign w:val="center"/>
          </w:tcPr>
          <w:p w14:paraId="532594FD">
            <w:pPr>
              <w:pStyle w:val="33"/>
              <w:rPr>
                <w:color w:val="auto"/>
              </w:rPr>
            </w:pPr>
            <w:r>
              <w:rPr>
                <w:color w:val="auto"/>
              </w:rPr>
              <w:t>蒸汽泠凝水回化学水车间</w:t>
            </w:r>
          </w:p>
        </w:tc>
        <w:tc>
          <w:tcPr>
            <w:tcW w:w="501" w:type="pct"/>
            <w:noWrap/>
            <w:vAlign w:val="center"/>
          </w:tcPr>
          <w:p w14:paraId="63D1960F">
            <w:pPr>
              <w:pStyle w:val="33"/>
              <w:rPr>
                <w:color w:val="auto"/>
              </w:rPr>
            </w:pPr>
            <w:r>
              <w:rPr>
                <w:color w:val="auto"/>
              </w:rPr>
              <w:t>518</w:t>
            </w:r>
          </w:p>
        </w:tc>
      </w:tr>
      <w:tr w14:paraId="53B69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559E3BE">
            <w:pPr>
              <w:pStyle w:val="33"/>
              <w:rPr>
                <w:color w:val="auto"/>
              </w:rPr>
            </w:pPr>
          </w:p>
        </w:tc>
        <w:tc>
          <w:tcPr>
            <w:tcW w:w="1292" w:type="pct"/>
            <w:noWrap/>
            <w:vAlign w:val="center"/>
          </w:tcPr>
          <w:p w14:paraId="5482B914">
            <w:pPr>
              <w:pStyle w:val="33"/>
              <w:rPr>
                <w:rFonts w:eastAsia="Times New Roman" w:cs="Times New Roman"/>
                <w:color w:val="auto"/>
                <w:sz w:val="20"/>
                <w:szCs w:val="20"/>
              </w:rPr>
            </w:pPr>
          </w:p>
        </w:tc>
        <w:tc>
          <w:tcPr>
            <w:tcW w:w="501" w:type="pct"/>
            <w:noWrap/>
            <w:vAlign w:val="center"/>
          </w:tcPr>
          <w:p w14:paraId="360311ED">
            <w:pPr>
              <w:pStyle w:val="33"/>
              <w:rPr>
                <w:rFonts w:eastAsia="Times New Roman" w:cs="Times New Roman"/>
                <w:color w:val="auto"/>
                <w:sz w:val="20"/>
                <w:szCs w:val="20"/>
              </w:rPr>
            </w:pPr>
          </w:p>
        </w:tc>
        <w:tc>
          <w:tcPr>
            <w:tcW w:w="1368" w:type="pct"/>
            <w:noWrap/>
            <w:vAlign w:val="center"/>
          </w:tcPr>
          <w:p w14:paraId="2ED38CE3">
            <w:pPr>
              <w:pStyle w:val="33"/>
              <w:rPr>
                <w:color w:val="auto"/>
              </w:rPr>
            </w:pPr>
            <w:r>
              <w:rPr>
                <w:color w:val="auto"/>
              </w:rPr>
              <w:t>白泥、绿泥、石灰渣带走</w:t>
            </w:r>
          </w:p>
        </w:tc>
        <w:tc>
          <w:tcPr>
            <w:tcW w:w="501" w:type="pct"/>
            <w:noWrap/>
            <w:vAlign w:val="center"/>
          </w:tcPr>
          <w:p w14:paraId="04D0A780">
            <w:pPr>
              <w:pStyle w:val="33"/>
              <w:rPr>
                <w:color w:val="auto"/>
              </w:rPr>
            </w:pPr>
            <w:r>
              <w:rPr>
                <w:color w:val="auto"/>
              </w:rPr>
              <w:t>84</w:t>
            </w:r>
          </w:p>
        </w:tc>
      </w:tr>
      <w:tr w14:paraId="352EF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1E6A9790">
            <w:pPr>
              <w:pStyle w:val="33"/>
              <w:rPr>
                <w:color w:val="auto"/>
              </w:rPr>
            </w:pPr>
          </w:p>
        </w:tc>
        <w:tc>
          <w:tcPr>
            <w:tcW w:w="1292" w:type="pct"/>
            <w:noWrap/>
            <w:vAlign w:val="center"/>
          </w:tcPr>
          <w:p w14:paraId="7A452C3A">
            <w:pPr>
              <w:pStyle w:val="33"/>
              <w:rPr>
                <w:rFonts w:eastAsia="Times New Roman" w:cs="Times New Roman"/>
                <w:color w:val="auto"/>
                <w:sz w:val="20"/>
                <w:szCs w:val="20"/>
              </w:rPr>
            </w:pPr>
          </w:p>
        </w:tc>
        <w:tc>
          <w:tcPr>
            <w:tcW w:w="501" w:type="pct"/>
            <w:noWrap/>
            <w:vAlign w:val="center"/>
          </w:tcPr>
          <w:p w14:paraId="4ABEA0C2">
            <w:pPr>
              <w:pStyle w:val="33"/>
              <w:rPr>
                <w:rFonts w:eastAsia="Times New Roman" w:cs="Times New Roman"/>
                <w:color w:val="auto"/>
                <w:sz w:val="20"/>
                <w:szCs w:val="20"/>
              </w:rPr>
            </w:pPr>
          </w:p>
        </w:tc>
        <w:tc>
          <w:tcPr>
            <w:tcW w:w="1368" w:type="pct"/>
            <w:noWrap/>
            <w:vAlign w:val="center"/>
          </w:tcPr>
          <w:p w14:paraId="0E2A1DB4">
            <w:pPr>
              <w:pStyle w:val="33"/>
              <w:rPr>
                <w:color w:val="auto"/>
              </w:rPr>
            </w:pPr>
            <w:r>
              <w:rPr>
                <w:color w:val="auto"/>
              </w:rPr>
              <w:t>损失</w:t>
            </w:r>
          </w:p>
        </w:tc>
        <w:tc>
          <w:tcPr>
            <w:tcW w:w="501" w:type="pct"/>
            <w:noWrap/>
            <w:vAlign w:val="center"/>
          </w:tcPr>
          <w:p w14:paraId="00C23319">
            <w:pPr>
              <w:pStyle w:val="33"/>
              <w:rPr>
                <w:color w:val="auto"/>
              </w:rPr>
            </w:pPr>
            <w:r>
              <w:rPr>
                <w:color w:val="auto"/>
              </w:rPr>
              <w:t>1793</w:t>
            </w:r>
          </w:p>
        </w:tc>
      </w:tr>
      <w:tr w14:paraId="3751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68A7039">
            <w:pPr>
              <w:pStyle w:val="33"/>
              <w:rPr>
                <w:color w:val="auto"/>
              </w:rPr>
            </w:pPr>
          </w:p>
        </w:tc>
        <w:tc>
          <w:tcPr>
            <w:tcW w:w="1292" w:type="pct"/>
            <w:noWrap/>
            <w:vAlign w:val="center"/>
          </w:tcPr>
          <w:p w14:paraId="68002CEF">
            <w:pPr>
              <w:pStyle w:val="33"/>
              <w:rPr>
                <w:rFonts w:eastAsia="Times New Roman" w:cs="Times New Roman"/>
                <w:color w:val="auto"/>
                <w:sz w:val="20"/>
                <w:szCs w:val="20"/>
              </w:rPr>
            </w:pPr>
          </w:p>
        </w:tc>
        <w:tc>
          <w:tcPr>
            <w:tcW w:w="501" w:type="pct"/>
            <w:noWrap/>
            <w:vAlign w:val="center"/>
          </w:tcPr>
          <w:p w14:paraId="69C8B679">
            <w:pPr>
              <w:pStyle w:val="33"/>
              <w:rPr>
                <w:rFonts w:eastAsia="Times New Roman" w:cs="Times New Roman"/>
                <w:color w:val="auto"/>
                <w:sz w:val="20"/>
                <w:szCs w:val="20"/>
              </w:rPr>
            </w:pPr>
          </w:p>
        </w:tc>
        <w:tc>
          <w:tcPr>
            <w:tcW w:w="1368" w:type="pct"/>
            <w:noWrap/>
            <w:vAlign w:val="center"/>
          </w:tcPr>
          <w:p w14:paraId="540D1E24">
            <w:pPr>
              <w:pStyle w:val="33"/>
              <w:rPr>
                <w:color w:val="auto"/>
              </w:rPr>
            </w:pPr>
            <w:r>
              <w:rPr>
                <w:color w:val="auto"/>
              </w:rPr>
              <w:t>废水</w:t>
            </w:r>
          </w:p>
        </w:tc>
        <w:tc>
          <w:tcPr>
            <w:tcW w:w="501" w:type="pct"/>
            <w:noWrap/>
            <w:vAlign w:val="center"/>
          </w:tcPr>
          <w:p w14:paraId="164A3148">
            <w:pPr>
              <w:pStyle w:val="33"/>
              <w:rPr>
                <w:color w:val="auto"/>
              </w:rPr>
            </w:pPr>
            <w:r>
              <w:rPr>
                <w:color w:val="auto"/>
              </w:rPr>
              <w:t>14542</w:t>
            </w:r>
          </w:p>
        </w:tc>
      </w:tr>
      <w:tr w14:paraId="1FB68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0D0478AE">
            <w:pPr>
              <w:pStyle w:val="33"/>
              <w:rPr>
                <w:color w:val="auto"/>
              </w:rPr>
            </w:pPr>
            <w:r>
              <w:rPr>
                <w:color w:val="auto"/>
              </w:rPr>
              <w:t>2#碱回收车间</w:t>
            </w:r>
          </w:p>
        </w:tc>
        <w:tc>
          <w:tcPr>
            <w:tcW w:w="1292" w:type="pct"/>
            <w:noWrap/>
            <w:vAlign w:val="center"/>
          </w:tcPr>
          <w:p w14:paraId="7F965E15">
            <w:pPr>
              <w:pStyle w:val="33"/>
              <w:rPr>
                <w:color w:val="auto"/>
              </w:rPr>
            </w:pPr>
            <w:r>
              <w:rPr>
                <w:color w:val="auto"/>
              </w:rPr>
              <w:t>4#化机浆车间废水</w:t>
            </w:r>
          </w:p>
        </w:tc>
        <w:tc>
          <w:tcPr>
            <w:tcW w:w="501" w:type="pct"/>
            <w:noWrap/>
            <w:vAlign w:val="center"/>
          </w:tcPr>
          <w:p w14:paraId="46A458A5">
            <w:pPr>
              <w:pStyle w:val="33"/>
              <w:rPr>
                <w:color w:val="auto"/>
              </w:rPr>
            </w:pPr>
            <w:r>
              <w:rPr>
                <w:color w:val="auto"/>
              </w:rPr>
              <w:t>11029</w:t>
            </w:r>
          </w:p>
        </w:tc>
        <w:tc>
          <w:tcPr>
            <w:tcW w:w="1368" w:type="pct"/>
            <w:noWrap/>
            <w:vAlign w:val="center"/>
          </w:tcPr>
          <w:p w14:paraId="29E98616">
            <w:pPr>
              <w:pStyle w:val="33"/>
              <w:rPr>
                <w:color w:val="auto"/>
              </w:rPr>
            </w:pPr>
            <w:r>
              <w:rPr>
                <w:color w:val="auto"/>
              </w:rPr>
              <w:t>冷凝水去4#化机浆车间</w:t>
            </w:r>
          </w:p>
        </w:tc>
        <w:tc>
          <w:tcPr>
            <w:tcW w:w="501" w:type="pct"/>
            <w:noWrap/>
            <w:vAlign w:val="center"/>
          </w:tcPr>
          <w:p w14:paraId="7EC9D327">
            <w:pPr>
              <w:pStyle w:val="33"/>
              <w:rPr>
                <w:color w:val="auto"/>
              </w:rPr>
            </w:pPr>
            <w:r>
              <w:rPr>
                <w:color w:val="auto"/>
              </w:rPr>
              <w:t>8088</w:t>
            </w:r>
          </w:p>
        </w:tc>
      </w:tr>
      <w:tr w14:paraId="237CE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821672C">
            <w:pPr>
              <w:pStyle w:val="33"/>
              <w:rPr>
                <w:color w:val="auto"/>
              </w:rPr>
            </w:pPr>
          </w:p>
        </w:tc>
        <w:tc>
          <w:tcPr>
            <w:tcW w:w="1292" w:type="pct"/>
            <w:noWrap/>
            <w:vAlign w:val="center"/>
          </w:tcPr>
          <w:p w14:paraId="747FD4CE">
            <w:pPr>
              <w:pStyle w:val="33"/>
              <w:rPr>
                <w:color w:val="auto"/>
              </w:rPr>
            </w:pPr>
            <w:r>
              <w:rPr>
                <w:color w:val="auto"/>
              </w:rPr>
              <w:t>4#化机浆车间二次蒸汽</w:t>
            </w:r>
          </w:p>
        </w:tc>
        <w:tc>
          <w:tcPr>
            <w:tcW w:w="501" w:type="pct"/>
            <w:noWrap/>
            <w:vAlign w:val="center"/>
          </w:tcPr>
          <w:p w14:paraId="6713CA29">
            <w:pPr>
              <w:pStyle w:val="33"/>
              <w:rPr>
                <w:color w:val="auto"/>
              </w:rPr>
            </w:pPr>
            <w:r>
              <w:rPr>
                <w:color w:val="auto"/>
              </w:rPr>
              <w:t>441</w:t>
            </w:r>
          </w:p>
        </w:tc>
        <w:tc>
          <w:tcPr>
            <w:tcW w:w="1368" w:type="pct"/>
            <w:noWrap/>
            <w:vAlign w:val="center"/>
          </w:tcPr>
          <w:p w14:paraId="7D3F7350">
            <w:pPr>
              <w:pStyle w:val="33"/>
              <w:rPr>
                <w:color w:val="auto"/>
              </w:rPr>
            </w:pPr>
            <w:r>
              <w:rPr>
                <w:color w:val="auto"/>
              </w:rPr>
              <w:t>白液带水去4#化机浆车间</w:t>
            </w:r>
          </w:p>
        </w:tc>
        <w:tc>
          <w:tcPr>
            <w:tcW w:w="501" w:type="pct"/>
            <w:noWrap/>
            <w:vAlign w:val="center"/>
          </w:tcPr>
          <w:p w14:paraId="0637BDE6">
            <w:pPr>
              <w:pStyle w:val="33"/>
              <w:rPr>
                <w:color w:val="auto"/>
              </w:rPr>
            </w:pPr>
            <w:r>
              <w:rPr>
                <w:color w:val="auto"/>
              </w:rPr>
              <w:t>639</w:t>
            </w:r>
          </w:p>
        </w:tc>
      </w:tr>
      <w:tr w14:paraId="22096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38" w:type="pct"/>
            <w:vMerge w:val="continue"/>
            <w:noWrap/>
            <w:vAlign w:val="center"/>
          </w:tcPr>
          <w:p w14:paraId="08E4714E">
            <w:pPr>
              <w:pStyle w:val="33"/>
              <w:rPr>
                <w:color w:val="auto"/>
              </w:rPr>
            </w:pPr>
          </w:p>
        </w:tc>
        <w:tc>
          <w:tcPr>
            <w:tcW w:w="1292" w:type="pct"/>
            <w:noWrap/>
            <w:vAlign w:val="center"/>
          </w:tcPr>
          <w:p w14:paraId="3EDB637A">
            <w:pPr>
              <w:pStyle w:val="33"/>
              <w:rPr>
                <w:color w:val="auto"/>
              </w:rPr>
            </w:pPr>
            <w:r>
              <w:rPr>
                <w:color w:val="auto"/>
              </w:rPr>
              <w:t>清水</w:t>
            </w:r>
          </w:p>
        </w:tc>
        <w:tc>
          <w:tcPr>
            <w:tcW w:w="501" w:type="pct"/>
            <w:noWrap/>
            <w:vAlign w:val="center"/>
          </w:tcPr>
          <w:p w14:paraId="01840442">
            <w:pPr>
              <w:pStyle w:val="33"/>
              <w:rPr>
                <w:color w:val="auto"/>
              </w:rPr>
            </w:pPr>
            <w:r>
              <w:rPr>
                <w:color w:val="auto"/>
              </w:rPr>
              <w:t>4222</w:t>
            </w:r>
          </w:p>
        </w:tc>
        <w:tc>
          <w:tcPr>
            <w:tcW w:w="1368" w:type="pct"/>
            <w:noWrap/>
            <w:vAlign w:val="center"/>
          </w:tcPr>
          <w:p w14:paraId="40A40FA6">
            <w:pPr>
              <w:pStyle w:val="33"/>
              <w:rPr>
                <w:color w:val="auto"/>
              </w:rPr>
            </w:pPr>
            <w:r>
              <w:rPr>
                <w:color w:val="auto"/>
              </w:rPr>
              <w:t>蒸汽泠凝水回化学水车间</w:t>
            </w:r>
          </w:p>
        </w:tc>
        <w:tc>
          <w:tcPr>
            <w:tcW w:w="501" w:type="pct"/>
            <w:noWrap/>
            <w:vAlign w:val="center"/>
          </w:tcPr>
          <w:p w14:paraId="70F92B92">
            <w:pPr>
              <w:pStyle w:val="33"/>
              <w:rPr>
                <w:color w:val="auto"/>
              </w:rPr>
            </w:pPr>
            <w:r>
              <w:rPr>
                <w:color w:val="auto"/>
              </w:rPr>
              <w:t>326</w:t>
            </w:r>
          </w:p>
        </w:tc>
      </w:tr>
      <w:tr w14:paraId="7AB97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D596C95">
            <w:pPr>
              <w:pStyle w:val="33"/>
              <w:rPr>
                <w:color w:val="auto"/>
              </w:rPr>
            </w:pPr>
          </w:p>
        </w:tc>
        <w:tc>
          <w:tcPr>
            <w:tcW w:w="1292" w:type="pct"/>
            <w:noWrap/>
            <w:vAlign w:val="center"/>
          </w:tcPr>
          <w:p w14:paraId="4AA77A14">
            <w:pPr>
              <w:pStyle w:val="33"/>
              <w:rPr>
                <w:color w:val="auto"/>
              </w:rPr>
            </w:pPr>
            <w:r>
              <w:rPr>
                <w:color w:val="auto"/>
              </w:rPr>
              <w:t>1#~3#化机浆车间废水</w:t>
            </w:r>
          </w:p>
        </w:tc>
        <w:tc>
          <w:tcPr>
            <w:tcW w:w="501" w:type="pct"/>
            <w:noWrap/>
            <w:vAlign w:val="center"/>
          </w:tcPr>
          <w:p w14:paraId="160324F7">
            <w:pPr>
              <w:pStyle w:val="33"/>
              <w:rPr>
                <w:color w:val="auto"/>
              </w:rPr>
            </w:pPr>
            <w:r>
              <w:rPr>
                <w:color w:val="auto"/>
              </w:rPr>
              <w:t>7353</w:t>
            </w:r>
          </w:p>
        </w:tc>
        <w:tc>
          <w:tcPr>
            <w:tcW w:w="1368" w:type="pct"/>
            <w:noWrap/>
            <w:vAlign w:val="center"/>
          </w:tcPr>
          <w:p w14:paraId="11ADC717">
            <w:pPr>
              <w:pStyle w:val="33"/>
              <w:rPr>
                <w:color w:val="auto"/>
              </w:rPr>
            </w:pPr>
            <w:r>
              <w:rPr>
                <w:color w:val="auto"/>
              </w:rPr>
              <w:t>白泥、绿泥、石灰渣带走</w:t>
            </w:r>
          </w:p>
        </w:tc>
        <w:tc>
          <w:tcPr>
            <w:tcW w:w="501" w:type="pct"/>
            <w:noWrap/>
            <w:vAlign w:val="center"/>
          </w:tcPr>
          <w:p w14:paraId="52BB690A">
            <w:pPr>
              <w:pStyle w:val="33"/>
              <w:rPr>
                <w:color w:val="auto"/>
              </w:rPr>
            </w:pPr>
            <w:r>
              <w:rPr>
                <w:color w:val="auto"/>
              </w:rPr>
              <w:t>105</w:t>
            </w:r>
          </w:p>
        </w:tc>
      </w:tr>
      <w:tr w14:paraId="0AE4C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89D607C">
            <w:pPr>
              <w:pStyle w:val="33"/>
              <w:rPr>
                <w:color w:val="auto"/>
              </w:rPr>
            </w:pPr>
          </w:p>
        </w:tc>
        <w:tc>
          <w:tcPr>
            <w:tcW w:w="1292" w:type="pct"/>
            <w:noWrap/>
            <w:vAlign w:val="center"/>
          </w:tcPr>
          <w:p w14:paraId="088B42C0">
            <w:pPr>
              <w:pStyle w:val="33"/>
              <w:rPr>
                <w:color w:val="auto"/>
              </w:rPr>
            </w:pPr>
            <w:r>
              <w:rPr>
                <w:color w:val="auto"/>
              </w:rPr>
              <w:t>化学水车间纯水</w:t>
            </w:r>
          </w:p>
        </w:tc>
        <w:tc>
          <w:tcPr>
            <w:tcW w:w="501" w:type="pct"/>
            <w:noWrap/>
            <w:vAlign w:val="center"/>
          </w:tcPr>
          <w:p w14:paraId="618C8116">
            <w:pPr>
              <w:pStyle w:val="33"/>
              <w:rPr>
                <w:color w:val="auto"/>
              </w:rPr>
            </w:pPr>
            <w:r>
              <w:rPr>
                <w:color w:val="auto"/>
              </w:rPr>
              <w:t>792</w:t>
            </w:r>
          </w:p>
        </w:tc>
        <w:tc>
          <w:tcPr>
            <w:tcW w:w="1368" w:type="pct"/>
            <w:noWrap/>
            <w:vAlign w:val="center"/>
          </w:tcPr>
          <w:p w14:paraId="664111D1">
            <w:pPr>
              <w:pStyle w:val="33"/>
              <w:rPr>
                <w:color w:val="auto"/>
              </w:rPr>
            </w:pPr>
            <w:r>
              <w:rPr>
                <w:color w:val="auto"/>
              </w:rPr>
              <w:t>损失</w:t>
            </w:r>
          </w:p>
        </w:tc>
        <w:tc>
          <w:tcPr>
            <w:tcW w:w="501" w:type="pct"/>
            <w:noWrap/>
            <w:vAlign w:val="center"/>
          </w:tcPr>
          <w:p w14:paraId="69555D2F">
            <w:pPr>
              <w:pStyle w:val="33"/>
              <w:rPr>
                <w:color w:val="auto"/>
              </w:rPr>
            </w:pPr>
            <w:r>
              <w:rPr>
                <w:color w:val="auto"/>
              </w:rPr>
              <w:t>2242</w:t>
            </w:r>
          </w:p>
        </w:tc>
      </w:tr>
      <w:tr w14:paraId="66F1C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04D65A51">
            <w:pPr>
              <w:pStyle w:val="33"/>
              <w:rPr>
                <w:color w:val="auto"/>
              </w:rPr>
            </w:pPr>
          </w:p>
        </w:tc>
        <w:tc>
          <w:tcPr>
            <w:tcW w:w="1292" w:type="pct"/>
            <w:noWrap/>
            <w:vAlign w:val="center"/>
          </w:tcPr>
          <w:p w14:paraId="2E539365">
            <w:pPr>
              <w:pStyle w:val="33"/>
              <w:rPr>
                <w:rFonts w:eastAsia="Times New Roman" w:cs="Times New Roman"/>
                <w:color w:val="auto"/>
                <w:sz w:val="20"/>
                <w:szCs w:val="20"/>
              </w:rPr>
            </w:pPr>
          </w:p>
        </w:tc>
        <w:tc>
          <w:tcPr>
            <w:tcW w:w="501" w:type="pct"/>
            <w:noWrap/>
            <w:vAlign w:val="center"/>
          </w:tcPr>
          <w:p w14:paraId="574A457C">
            <w:pPr>
              <w:pStyle w:val="33"/>
              <w:rPr>
                <w:rFonts w:eastAsia="Times New Roman" w:cs="Times New Roman"/>
                <w:color w:val="auto"/>
                <w:sz w:val="20"/>
                <w:szCs w:val="20"/>
              </w:rPr>
            </w:pPr>
          </w:p>
        </w:tc>
        <w:tc>
          <w:tcPr>
            <w:tcW w:w="1368" w:type="pct"/>
            <w:noWrap/>
            <w:vAlign w:val="center"/>
          </w:tcPr>
          <w:p w14:paraId="57587DF0">
            <w:pPr>
              <w:pStyle w:val="33"/>
              <w:rPr>
                <w:color w:val="auto"/>
              </w:rPr>
            </w:pPr>
            <w:r>
              <w:rPr>
                <w:color w:val="auto"/>
              </w:rPr>
              <w:t>废水</w:t>
            </w:r>
          </w:p>
        </w:tc>
        <w:tc>
          <w:tcPr>
            <w:tcW w:w="501" w:type="pct"/>
            <w:noWrap/>
            <w:vAlign w:val="center"/>
          </w:tcPr>
          <w:p w14:paraId="78E43C7F">
            <w:pPr>
              <w:pStyle w:val="33"/>
              <w:rPr>
                <w:color w:val="auto"/>
              </w:rPr>
            </w:pPr>
            <w:r>
              <w:rPr>
                <w:color w:val="auto"/>
              </w:rPr>
              <w:t>5591</w:t>
            </w:r>
          </w:p>
        </w:tc>
      </w:tr>
      <w:tr w14:paraId="4A7C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529EDD6">
            <w:pPr>
              <w:pStyle w:val="33"/>
              <w:rPr>
                <w:color w:val="auto"/>
              </w:rPr>
            </w:pPr>
          </w:p>
        </w:tc>
        <w:tc>
          <w:tcPr>
            <w:tcW w:w="1292" w:type="pct"/>
            <w:noWrap/>
            <w:vAlign w:val="center"/>
          </w:tcPr>
          <w:p w14:paraId="14960C4D">
            <w:pPr>
              <w:pStyle w:val="33"/>
              <w:rPr>
                <w:rFonts w:eastAsia="Times New Roman" w:cs="Times New Roman"/>
                <w:color w:val="auto"/>
                <w:sz w:val="20"/>
                <w:szCs w:val="20"/>
              </w:rPr>
            </w:pPr>
          </w:p>
        </w:tc>
        <w:tc>
          <w:tcPr>
            <w:tcW w:w="501" w:type="pct"/>
            <w:noWrap/>
            <w:vAlign w:val="center"/>
          </w:tcPr>
          <w:p w14:paraId="5B62AC7B">
            <w:pPr>
              <w:pStyle w:val="33"/>
              <w:rPr>
                <w:rFonts w:eastAsia="Times New Roman" w:cs="Times New Roman"/>
                <w:color w:val="auto"/>
                <w:sz w:val="20"/>
                <w:szCs w:val="20"/>
              </w:rPr>
            </w:pPr>
          </w:p>
        </w:tc>
        <w:tc>
          <w:tcPr>
            <w:tcW w:w="1368" w:type="pct"/>
            <w:noWrap/>
            <w:vAlign w:val="center"/>
          </w:tcPr>
          <w:p w14:paraId="737FC199">
            <w:pPr>
              <w:pStyle w:val="33"/>
              <w:rPr>
                <w:color w:val="auto"/>
              </w:rPr>
            </w:pPr>
            <w:r>
              <w:rPr>
                <w:color w:val="auto"/>
              </w:rPr>
              <w:t>白液带水去1~3#化机浆车间</w:t>
            </w:r>
          </w:p>
        </w:tc>
        <w:tc>
          <w:tcPr>
            <w:tcW w:w="501" w:type="pct"/>
            <w:noWrap/>
            <w:vAlign w:val="center"/>
          </w:tcPr>
          <w:p w14:paraId="0732FF66">
            <w:pPr>
              <w:pStyle w:val="33"/>
              <w:rPr>
                <w:color w:val="auto"/>
              </w:rPr>
            </w:pPr>
            <w:r>
              <w:rPr>
                <w:color w:val="auto"/>
              </w:rPr>
              <w:t>426</w:t>
            </w:r>
          </w:p>
        </w:tc>
      </w:tr>
      <w:tr w14:paraId="30BA2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B096A2F">
            <w:pPr>
              <w:pStyle w:val="33"/>
              <w:rPr>
                <w:color w:val="auto"/>
              </w:rPr>
            </w:pPr>
          </w:p>
        </w:tc>
        <w:tc>
          <w:tcPr>
            <w:tcW w:w="1292" w:type="pct"/>
            <w:noWrap/>
            <w:vAlign w:val="center"/>
          </w:tcPr>
          <w:p w14:paraId="233B4499">
            <w:pPr>
              <w:pStyle w:val="33"/>
              <w:rPr>
                <w:rFonts w:eastAsia="Times New Roman" w:cs="Times New Roman"/>
                <w:color w:val="auto"/>
                <w:sz w:val="20"/>
                <w:szCs w:val="20"/>
              </w:rPr>
            </w:pPr>
          </w:p>
        </w:tc>
        <w:tc>
          <w:tcPr>
            <w:tcW w:w="501" w:type="pct"/>
            <w:noWrap/>
            <w:vAlign w:val="center"/>
          </w:tcPr>
          <w:p w14:paraId="33C36BE9">
            <w:pPr>
              <w:pStyle w:val="33"/>
              <w:rPr>
                <w:rFonts w:eastAsia="Times New Roman" w:cs="Times New Roman"/>
                <w:color w:val="auto"/>
                <w:sz w:val="20"/>
                <w:szCs w:val="20"/>
              </w:rPr>
            </w:pPr>
          </w:p>
        </w:tc>
        <w:tc>
          <w:tcPr>
            <w:tcW w:w="1368" w:type="pct"/>
            <w:noWrap/>
            <w:vAlign w:val="center"/>
          </w:tcPr>
          <w:p w14:paraId="6B0FAAAD">
            <w:pPr>
              <w:pStyle w:val="33"/>
              <w:rPr>
                <w:color w:val="auto"/>
              </w:rPr>
            </w:pPr>
            <w:r>
              <w:rPr>
                <w:color w:val="auto"/>
              </w:rPr>
              <w:t>冷凝水去1~3#化机浆车间</w:t>
            </w:r>
          </w:p>
        </w:tc>
        <w:tc>
          <w:tcPr>
            <w:tcW w:w="501" w:type="pct"/>
            <w:noWrap/>
            <w:vAlign w:val="center"/>
          </w:tcPr>
          <w:p w14:paraId="5313914D">
            <w:pPr>
              <w:pStyle w:val="33"/>
              <w:rPr>
                <w:color w:val="auto"/>
              </w:rPr>
            </w:pPr>
            <w:r>
              <w:rPr>
                <w:color w:val="auto"/>
              </w:rPr>
              <w:t>6420</w:t>
            </w:r>
          </w:p>
        </w:tc>
      </w:tr>
      <w:tr w14:paraId="15DAD3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6F49DB13">
            <w:pPr>
              <w:pStyle w:val="33"/>
              <w:rPr>
                <w:color w:val="auto"/>
              </w:rPr>
            </w:pPr>
            <w:r>
              <w:rPr>
                <w:color w:val="auto"/>
              </w:rPr>
              <w:t>1#造纸车间</w:t>
            </w:r>
          </w:p>
        </w:tc>
        <w:tc>
          <w:tcPr>
            <w:tcW w:w="1292" w:type="pct"/>
            <w:noWrap/>
            <w:vAlign w:val="center"/>
          </w:tcPr>
          <w:p w14:paraId="7F66645B">
            <w:pPr>
              <w:pStyle w:val="33"/>
              <w:rPr>
                <w:color w:val="auto"/>
              </w:rPr>
            </w:pPr>
            <w:r>
              <w:rPr>
                <w:color w:val="auto"/>
              </w:rPr>
              <w:t>清水</w:t>
            </w:r>
          </w:p>
        </w:tc>
        <w:tc>
          <w:tcPr>
            <w:tcW w:w="501" w:type="pct"/>
            <w:noWrap/>
            <w:vAlign w:val="center"/>
          </w:tcPr>
          <w:p w14:paraId="1624EC06">
            <w:pPr>
              <w:pStyle w:val="33"/>
              <w:rPr>
                <w:color w:val="auto"/>
              </w:rPr>
            </w:pPr>
            <w:r>
              <w:rPr>
                <w:color w:val="auto"/>
              </w:rPr>
              <w:t>21617.65</w:t>
            </w:r>
          </w:p>
        </w:tc>
        <w:tc>
          <w:tcPr>
            <w:tcW w:w="1368" w:type="pct"/>
            <w:noWrap/>
            <w:vAlign w:val="center"/>
          </w:tcPr>
          <w:p w14:paraId="217F6A7D">
            <w:pPr>
              <w:pStyle w:val="33"/>
              <w:rPr>
                <w:color w:val="auto"/>
              </w:rPr>
            </w:pPr>
            <w:r>
              <w:rPr>
                <w:color w:val="auto"/>
              </w:rPr>
              <w:t>白水</w:t>
            </w:r>
          </w:p>
        </w:tc>
        <w:tc>
          <w:tcPr>
            <w:tcW w:w="501" w:type="pct"/>
            <w:noWrap/>
            <w:vAlign w:val="center"/>
          </w:tcPr>
          <w:p w14:paraId="3024FBC0">
            <w:pPr>
              <w:pStyle w:val="33"/>
              <w:rPr>
                <w:color w:val="auto"/>
              </w:rPr>
            </w:pPr>
            <w:r>
              <w:rPr>
                <w:color w:val="auto"/>
              </w:rPr>
              <w:t>23637.06</w:t>
            </w:r>
          </w:p>
        </w:tc>
      </w:tr>
      <w:tr w14:paraId="03AEE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06EC4041">
            <w:pPr>
              <w:pStyle w:val="33"/>
              <w:rPr>
                <w:color w:val="auto"/>
              </w:rPr>
            </w:pPr>
          </w:p>
        </w:tc>
        <w:tc>
          <w:tcPr>
            <w:tcW w:w="1292" w:type="pct"/>
            <w:noWrap/>
            <w:vAlign w:val="center"/>
          </w:tcPr>
          <w:p w14:paraId="3069B570">
            <w:pPr>
              <w:pStyle w:val="33"/>
              <w:rPr>
                <w:color w:val="auto"/>
              </w:rPr>
            </w:pPr>
            <w:r>
              <w:rPr>
                <w:color w:val="auto"/>
              </w:rPr>
              <w:t>自制浆中含水</w:t>
            </w:r>
          </w:p>
        </w:tc>
        <w:tc>
          <w:tcPr>
            <w:tcW w:w="501" w:type="pct"/>
            <w:noWrap/>
            <w:vAlign w:val="center"/>
          </w:tcPr>
          <w:p w14:paraId="62624986">
            <w:pPr>
              <w:pStyle w:val="33"/>
              <w:rPr>
                <w:color w:val="auto"/>
              </w:rPr>
            </w:pPr>
            <w:r>
              <w:rPr>
                <w:color w:val="auto"/>
              </w:rPr>
              <w:t>28088.24</w:t>
            </w:r>
          </w:p>
        </w:tc>
        <w:tc>
          <w:tcPr>
            <w:tcW w:w="1368" w:type="pct"/>
            <w:noWrap/>
            <w:vAlign w:val="center"/>
          </w:tcPr>
          <w:p w14:paraId="6FAB9097">
            <w:pPr>
              <w:pStyle w:val="33"/>
              <w:rPr>
                <w:color w:val="auto"/>
              </w:rPr>
            </w:pPr>
            <w:r>
              <w:rPr>
                <w:color w:val="auto"/>
              </w:rPr>
              <w:t>干燥散汽</w:t>
            </w:r>
          </w:p>
        </w:tc>
        <w:tc>
          <w:tcPr>
            <w:tcW w:w="501" w:type="pct"/>
            <w:noWrap/>
            <w:vAlign w:val="center"/>
          </w:tcPr>
          <w:p w14:paraId="23D6D4D0">
            <w:pPr>
              <w:pStyle w:val="33"/>
              <w:rPr>
                <w:color w:val="auto"/>
              </w:rPr>
            </w:pPr>
            <w:r>
              <w:rPr>
                <w:color w:val="auto"/>
              </w:rPr>
              <w:t>5735.294</w:t>
            </w:r>
          </w:p>
        </w:tc>
      </w:tr>
      <w:tr w14:paraId="79896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914B39C">
            <w:pPr>
              <w:pStyle w:val="33"/>
              <w:rPr>
                <w:color w:val="auto"/>
              </w:rPr>
            </w:pPr>
          </w:p>
        </w:tc>
        <w:tc>
          <w:tcPr>
            <w:tcW w:w="1292" w:type="pct"/>
            <w:noWrap/>
            <w:vAlign w:val="center"/>
          </w:tcPr>
          <w:p w14:paraId="5A3B603B">
            <w:pPr>
              <w:pStyle w:val="33"/>
              <w:rPr>
                <w:color w:val="auto"/>
              </w:rPr>
            </w:pPr>
            <w:r>
              <w:rPr>
                <w:color w:val="auto"/>
              </w:rPr>
              <w:t>商品浆含水</w:t>
            </w:r>
          </w:p>
        </w:tc>
        <w:tc>
          <w:tcPr>
            <w:tcW w:w="501" w:type="pct"/>
            <w:noWrap/>
            <w:vAlign w:val="center"/>
          </w:tcPr>
          <w:p w14:paraId="32E79B3D">
            <w:pPr>
              <w:pStyle w:val="33"/>
              <w:rPr>
                <w:color w:val="auto"/>
              </w:rPr>
            </w:pPr>
            <w:r>
              <w:rPr>
                <w:color w:val="auto"/>
              </w:rPr>
              <w:t>181.1765</w:t>
            </w:r>
          </w:p>
        </w:tc>
        <w:tc>
          <w:tcPr>
            <w:tcW w:w="1368" w:type="pct"/>
            <w:noWrap/>
            <w:vAlign w:val="center"/>
          </w:tcPr>
          <w:p w14:paraId="7A3B4AE6">
            <w:pPr>
              <w:pStyle w:val="33"/>
              <w:rPr>
                <w:color w:val="auto"/>
              </w:rPr>
            </w:pPr>
            <w:r>
              <w:rPr>
                <w:color w:val="auto"/>
              </w:rPr>
              <w:t>废水</w:t>
            </w:r>
          </w:p>
        </w:tc>
        <w:tc>
          <w:tcPr>
            <w:tcW w:w="501" w:type="pct"/>
            <w:noWrap/>
            <w:vAlign w:val="center"/>
          </w:tcPr>
          <w:p w14:paraId="4FB54E4B">
            <w:pPr>
              <w:pStyle w:val="33"/>
              <w:rPr>
                <w:color w:val="auto"/>
              </w:rPr>
            </w:pPr>
            <w:r>
              <w:rPr>
                <w:color w:val="auto"/>
              </w:rPr>
              <w:t>20514.71</w:t>
            </w:r>
          </w:p>
        </w:tc>
      </w:tr>
      <w:tr w14:paraId="672B4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338" w:type="pct"/>
            <w:vMerge w:val="restart"/>
            <w:noWrap/>
            <w:vAlign w:val="center"/>
          </w:tcPr>
          <w:p w14:paraId="68CBF787">
            <w:pPr>
              <w:pStyle w:val="33"/>
              <w:rPr>
                <w:color w:val="auto"/>
              </w:rPr>
            </w:pPr>
            <w:r>
              <w:rPr>
                <w:color w:val="auto"/>
              </w:rPr>
              <w:t>2#造纸车间</w:t>
            </w:r>
          </w:p>
        </w:tc>
        <w:tc>
          <w:tcPr>
            <w:tcW w:w="1292" w:type="pct"/>
            <w:noWrap/>
            <w:vAlign w:val="center"/>
          </w:tcPr>
          <w:p w14:paraId="73E3D6FF">
            <w:pPr>
              <w:pStyle w:val="33"/>
              <w:rPr>
                <w:color w:val="auto"/>
              </w:rPr>
            </w:pPr>
            <w:r>
              <w:rPr>
                <w:color w:val="auto"/>
              </w:rPr>
              <w:t>清水</w:t>
            </w:r>
          </w:p>
        </w:tc>
        <w:tc>
          <w:tcPr>
            <w:tcW w:w="501" w:type="pct"/>
            <w:noWrap/>
            <w:vAlign w:val="center"/>
          </w:tcPr>
          <w:p w14:paraId="06BBF67E">
            <w:pPr>
              <w:pStyle w:val="33"/>
              <w:rPr>
                <w:color w:val="auto"/>
              </w:rPr>
            </w:pPr>
            <w:r>
              <w:rPr>
                <w:color w:val="auto"/>
              </w:rPr>
              <w:t>22500</w:t>
            </w:r>
          </w:p>
        </w:tc>
        <w:tc>
          <w:tcPr>
            <w:tcW w:w="1368" w:type="pct"/>
            <w:noWrap/>
            <w:vAlign w:val="center"/>
          </w:tcPr>
          <w:p w14:paraId="73EBEB01">
            <w:pPr>
              <w:pStyle w:val="33"/>
              <w:rPr>
                <w:color w:val="auto"/>
              </w:rPr>
            </w:pPr>
            <w:r>
              <w:rPr>
                <w:color w:val="auto"/>
              </w:rPr>
              <w:t>白水</w:t>
            </w:r>
          </w:p>
        </w:tc>
        <w:tc>
          <w:tcPr>
            <w:tcW w:w="501" w:type="pct"/>
            <w:noWrap/>
            <w:vAlign w:val="center"/>
          </w:tcPr>
          <w:p w14:paraId="3CA37E26">
            <w:pPr>
              <w:pStyle w:val="33"/>
              <w:rPr>
                <w:color w:val="auto"/>
              </w:rPr>
            </w:pPr>
            <w:r>
              <w:rPr>
                <w:color w:val="auto"/>
              </w:rPr>
              <w:t>23637.5</w:t>
            </w:r>
          </w:p>
        </w:tc>
      </w:tr>
      <w:tr w14:paraId="0278B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02C8858D">
            <w:pPr>
              <w:pStyle w:val="33"/>
              <w:rPr>
                <w:color w:val="auto"/>
              </w:rPr>
            </w:pPr>
          </w:p>
        </w:tc>
        <w:tc>
          <w:tcPr>
            <w:tcW w:w="1292" w:type="pct"/>
            <w:noWrap/>
            <w:vAlign w:val="center"/>
          </w:tcPr>
          <w:p w14:paraId="61B81B5B">
            <w:pPr>
              <w:pStyle w:val="33"/>
              <w:rPr>
                <w:color w:val="auto"/>
              </w:rPr>
            </w:pPr>
            <w:r>
              <w:rPr>
                <w:color w:val="auto"/>
              </w:rPr>
              <w:t>自制浆中含水</w:t>
            </w:r>
          </w:p>
        </w:tc>
        <w:tc>
          <w:tcPr>
            <w:tcW w:w="501" w:type="pct"/>
            <w:noWrap/>
            <w:vAlign w:val="center"/>
          </w:tcPr>
          <w:p w14:paraId="6EFE678C">
            <w:pPr>
              <w:pStyle w:val="33"/>
              <w:rPr>
                <w:color w:val="auto"/>
              </w:rPr>
            </w:pPr>
            <w:r>
              <w:rPr>
                <w:color w:val="auto"/>
              </w:rPr>
              <w:t>28088.24</w:t>
            </w:r>
          </w:p>
        </w:tc>
        <w:tc>
          <w:tcPr>
            <w:tcW w:w="1368" w:type="pct"/>
            <w:noWrap/>
            <w:vAlign w:val="center"/>
          </w:tcPr>
          <w:p w14:paraId="30D74F82">
            <w:pPr>
              <w:pStyle w:val="33"/>
              <w:rPr>
                <w:color w:val="auto"/>
              </w:rPr>
            </w:pPr>
            <w:r>
              <w:rPr>
                <w:color w:val="auto"/>
              </w:rPr>
              <w:t>干燥散汽</w:t>
            </w:r>
          </w:p>
        </w:tc>
        <w:tc>
          <w:tcPr>
            <w:tcW w:w="501" w:type="pct"/>
            <w:noWrap/>
            <w:vAlign w:val="center"/>
          </w:tcPr>
          <w:p w14:paraId="4F120C90">
            <w:pPr>
              <w:pStyle w:val="33"/>
              <w:rPr>
                <w:color w:val="auto"/>
              </w:rPr>
            </w:pPr>
            <w:r>
              <w:rPr>
                <w:color w:val="auto"/>
              </w:rPr>
              <w:t>5735.294</w:t>
            </w:r>
          </w:p>
        </w:tc>
      </w:tr>
      <w:tr w14:paraId="37E51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D2140A9">
            <w:pPr>
              <w:pStyle w:val="33"/>
              <w:rPr>
                <w:color w:val="auto"/>
              </w:rPr>
            </w:pPr>
          </w:p>
        </w:tc>
        <w:tc>
          <w:tcPr>
            <w:tcW w:w="1292" w:type="pct"/>
            <w:noWrap/>
            <w:vAlign w:val="center"/>
          </w:tcPr>
          <w:p w14:paraId="2FBA781A">
            <w:pPr>
              <w:pStyle w:val="33"/>
              <w:rPr>
                <w:color w:val="auto"/>
              </w:rPr>
            </w:pPr>
            <w:r>
              <w:rPr>
                <w:color w:val="auto"/>
              </w:rPr>
              <w:t>商品浆含水</w:t>
            </w:r>
          </w:p>
        </w:tc>
        <w:tc>
          <w:tcPr>
            <w:tcW w:w="501" w:type="pct"/>
            <w:noWrap/>
            <w:vAlign w:val="center"/>
          </w:tcPr>
          <w:p w14:paraId="1F9E4CCC">
            <w:pPr>
              <w:pStyle w:val="33"/>
              <w:rPr>
                <w:color w:val="auto"/>
              </w:rPr>
            </w:pPr>
            <w:r>
              <w:rPr>
                <w:color w:val="auto"/>
              </w:rPr>
              <w:t>181.6176</w:t>
            </w:r>
          </w:p>
        </w:tc>
        <w:tc>
          <w:tcPr>
            <w:tcW w:w="1368" w:type="pct"/>
            <w:noWrap/>
            <w:vAlign w:val="center"/>
          </w:tcPr>
          <w:p w14:paraId="16F4EF4D">
            <w:pPr>
              <w:pStyle w:val="33"/>
              <w:rPr>
                <w:color w:val="auto"/>
              </w:rPr>
            </w:pPr>
            <w:r>
              <w:rPr>
                <w:color w:val="auto"/>
              </w:rPr>
              <w:t>废水</w:t>
            </w:r>
          </w:p>
        </w:tc>
        <w:tc>
          <w:tcPr>
            <w:tcW w:w="501" w:type="pct"/>
            <w:noWrap/>
            <w:vAlign w:val="center"/>
          </w:tcPr>
          <w:p w14:paraId="4D8D117F">
            <w:pPr>
              <w:pStyle w:val="33"/>
              <w:rPr>
                <w:color w:val="auto"/>
              </w:rPr>
            </w:pPr>
            <w:r>
              <w:rPr>
                <w:color w:val="auto"/>
              </w:rPr>
              <w:t>21397.06</w:t>
            </w:r>
          </w:p>
        </w:tc>
      </w:tr>
      <w:tr w14:paraId="2C8EE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367EBD0D">
            <w:pPr>
              <w:pStyle w:val="33"/>
              <w:rPr>
                <w:color w:val="auto"/>
              </w:rPr>
            </w:pPr>
            <w:r>
              <w:rPr>
                <w:color w:val="auto"/>
              </w:rPr>
              <w:t>1#化学水车间</w:t>
            </w:r>
          </w:p>
        </w:tc>
        <w:tc>
          <w:tcPr>
            <w:tcW w:w="1292" w:type="pct"/>
            <w:noWrap/>
            <w:vAlign w:val="center"/>
          </w:tcPr>
          <w:p w14:paraId="37277D48">
            <w:pPr>
              <w:pStyle w:val="33"/>
              <w:rPr>
                <w:color w:val="auto"/>
              </w:rPr>
            </w:pPr>
            <w:r>
              <w:rPr>
                <w:color w:val="auto"/>
              </w:rPr>
              <w:t>清水</w:t>
            </w:r>
          </w:p>
        </w:tc>
        <w:tc>
          <w:tcPr>
            <w:tcW w:w="501" w:type="pct"/>
            <w:noWrap/>
            <w:vAlign w:val="center"/>
          </w:tcPr>
          <w:p w14:paraId="00FDF9AB">
            <w:pPr>
              <w:pStyle w:val="33"/>
              <w:rPr>
                <w:color w:val="auto"/>
              </w:rPr>
            </w:pPr>
            <w:r>
              <w:rPr>
                <w:color w:val="auto"/>
              </w:rPr>
              <w:t>4448</w:t>
            </w:r>
          </w:p>
        </w:tc>
        <w:tc>
          <w:tcPr>
            <w:tcW w:w="1368" w:type="pct"/>
            <w:noWrap/>
            <w:vAlign w:val="center"/>
          </w:tcPr>
          <w:p w14:paraId="2A5FC5AD">
            <w:pPr>
              <w:pStyle w:val="33"/>
              <w:rPr>
                <w:color w:val="auto"/>
              </w:rPr>
            </w:pPr>
            <w:r>
              <w:rPr>
                <w:color w:val="auto"/>
              </w:rPr>
              <w:t>去1#2#锅炉</w:t>
            </w:r>
          </w:p>
        </w:tc>
        <w:tc>
          <w:tcPr>
            <w:tcW w:w="501" w:type="pct"/>
            <w:noWrap/>
            <w:vAlign w:val="center"/>
          </w:tcPr>
          <w:p w14:paraId="372F4C4D">
            <w:pPr>
              <w:pStyle w:val="33"/>
              <w:rPr>
                <w:color w:val="auto"/>
              </w:rPr>
            </w:pPr>
            <w:r>
              <w:rPr>
                <w:color w:val="auto"/>
              </w:rPr>
              <w:t>25877</w:t>
            </w:r>
          </w:p>
        </w:tc>
      </w:tr>
      <w:tr w14:paraId="5AC21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01F7B2CC">
            <w:pPr>
              <w:pStyle w:val="33"/>
              <w:rPr>
                <w:color w:val="auto"/>
              </w:rPr>
            </w:pPr>
          </w:p>
        </w:tc>
        <w:tc>
          <w:tcPr>
            <w:tcW w:w="1292" w:type="pct"/>
            <w:noWrap/>
            <w:vAlign w:val="center"/>
          </w:tcPr>
          <w:p w14:paraId="1692E180">
            <w:pPr>
              <w:pStyle w:val="33"/>
              <w:rPr>
                <w:color w:val="auto"/>
              </w:rPr>
            </w:pPr>
            <w:r>
              <w:rPr>
                <w:color w:val="auto"/>
              </w:rPr>
              <w:t>1#碱回收车间蒸汽冷凝水</w:t>
            </w:r>
          </w:p>
        </w:tc>
        <w:tc>
          <w:tcPr>
            <w:tcW w:w="501" w:type="pct"/>
            <w:noWrap/>
            <w:vAlign w:val="center"/>
          </w:tcPr>
          <w:p w14:paraId="1BE1B77B">
            <w:pPr>
              <w:pStyle w:val="33"/>
              <w:rPr>
                <w:color w:val="auto"/>
              </w:rPr>
            </w:pPr>
            <w:r>
              <w:rPr>
                <w:color w:val="auto"/>
              </w:rPr>
              <w:t>518</w:t>
            </w:r>
          </w:p>
        </w:tc>
        <w:tc>
          <w:tcPr>
            <w:tcW w:w="1368" w:type="pct"/>
            <w:noWrap/>
            <w:vAlign w:val="center"/>
          </w:tcPr>
          <w:p w14:paraId="3D48BB35">
            <w:pPr>
              <w:pStyle w:val="33"/>
              <w:rPr>
                <w:color w:val="auto"/>
              </w:rPr>
            </w:pPr>
            <w:r>
              <w:rPr>
                <w:color w:val="auto"/>
              </w:rPr>
              <w:t>1~3#化机浆车间</w:t>
            </w:r>
          </w:p>
        </w:tc>
        <w:tc>
          <w:tcPr>
            <w:tcW w:w="501" w:type="pct"/>
            <w:noWrap/>
            <w:vAlign w:val="center"/>
          </w:tcPr>
          <w:p w14:paraId="2A42ABB5">
            <w:pPr>
              <w:pStyle w:val="33"/>
              <w:rPr>
                <w:color w:val="auto"/>
              </w:rPr>
            </w:pPr>
            <w:r>
              <w:rPr>
                <w:color w:val="auto"/>
              </w:rPr>
              <w:t>956</w:t>
            </w:r>
          </w:p>
        </w:tc>
      </w:tr>
      <w:tr w14:paraId="01152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2B4F6B5">
            <w:pPr>
              <w:pStyle w:val="33"/>
              <w:rPr>
                <w:color w:val="auto"/>
              </w:rPr>
            </w:pPr>
          </w:p>
        </w:tc>
        <w:tc>
          <w:tcPr>
            <w:tcW w:w="1292" w:type="pct"/>
            <w:noWrap/>
            <w:vAlign w:val="center"/>
          </w:tcPr>
          <w:p w14:paraId="53697723">
            <w:pPr>
              <w:pStyle w:val="33"/>
              <w:rPr>
                <w:color w:val="auto"/>
              </w:rPr>
            </w:pPr>
            <w:r>
              <w:rPr>
                <w:color w:val="auto"/>
              </w:rPr>
              <w:t>2#碱回收车间蒸汽冷凝水</w:t>
            </w:r>
          </w:p>
        </w:tc>
        <w:tc>
          <w:tcPr>
            <w:tcW w:w="501" w:type="pct"/>
            <w:noWrap/>
            <w:vAlign w:val="center"/>
          </w:tcPr>
          <w:p w14:paraId="100C5D73">
            <w:pPr>
              <w:pStyle w:val="33"/>
              <w:rPr>
                <w:color w:val="auto"/>
              </w:rPr>
            </w:pPr>
            <w:r>
              <w:rPr>
                <w:color w:val="auto"/>
              </w:rPr>
              <w:t>326</w:t>
            </w:r>
          </w:p>
        </w:tc>
        <w:tc>
          <w:tcPr>
            <w:tcW w:w="1368" w:type="pct"/>
            <w:noWrap/>
            <w:vAlign w:val="center"/>
          </w:tcPr>
          <w:p w14:paraId="4569AF30">
            <w:pPr>
              <w:pStyle w:val="33"/>
              <w:rPr>
                <w:color w:val="auto"/>
              </w:rPr>
            </w:pPr>
            <w:r>
              <w:rPr>
                <w:color w:val="auto"/>
              </w:rPr>
              <w:t>4#化机浆车间</w:t>
            </w:r>
          </w:p>
        </w:tc>
        <w:tc>
          <w:tcPr>
            <w:tcW w:w="501" w:type="pct"/>
            <w:noWrap/>
            <w:vAlign w:val="center"/>
          </w:tcPr>
          <w:p w14:paraId="027296F0">
            <w:pPr>
              <w:pStyle w:val="33"/>
              <w:rPr>
                <w:color w:val="auto"/>
              </w:rPr>
            </w:pPr>
            <w:r>
              <w:rPr>
                <w:color w:val="auto"/>
              </w:rPr>
              <w:t>478</w:t>
            </w:r>
          </w:p>
        </w:tc>
      </w:tr>
      <w:tr w14:paraId="27B0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3B1B457">
            <w:pPr>
              <w:pStyle w:val="33"/>
              <w:rPr>
                <w:color w:val="auto"/>
              </w:rPr>
            </w:pPr>
          </w:p>
        </w:tc>
        <w:tc>
          <w:tcPr>
            <w:tcW w:w="1292" w:type="pct"/>
            <w:noWrap/>
            <w:vAlign w:val="center"/>
          </w:tcPr>
          <w:p w14:paraId="73602E1C">
            <w:pPr>
              <w:pStyle w:val="33"/>
              <w:rPr>
                <w:color w:val="auto"/>
              </w:rPr>
            </w:pPr>
            <w:r>
              <w:rPr>
                <w:color w:val="auto"/>
              </w:rPr>
              <w:t>其他单元蒸汽冷凝水</w:t>
            </w:r>
          </w:p>
        </w:tc>
        <w:tc>
          <w:tcPr>
            <w:tcW w:w="501" w:type="pct"/>
            <w:noWrap/>
            <w:vAlign w:val="center"/>
          </w:tcPr>
          <w:p w14:paraId="4BD5E44A">
            <w:pPr>
              <w:pStyle w:val="33"/>
              <w:rPr>
                <w:color w:val="auto"/>
              </w:rPr>
            </w:pPr>
            <w:r>
              <w:rPr>
                <w:color w:val="auto"/>
              </w:rPr>
              <w:t>6509</w:t>
            </w:r>
          </w:p>
        </w:tc>
        <w:tc>
          <w:tcPr>
            <w:tcW w:w="1368" w:type="pct"/>
            <w:noWrap/>
            <w:vAlign w:val="center"/>
          </w:tcPr>
          <w:p w14:paraId="67A3D3B5">
            <w:pPr>
              <w:pStyle w:val="33"/>
              <w:rPr>
                <w:color w:val="auto"/>
              </w:rPr>
            </w:pPr>
            <w:r>
              <w:rPr>
                <w:color w:val="auto"/>
              </w:rPr>
              <w:t>1#碱回收炉</w:t>
            </w:r>
          </w:p>
        </w:tc>
        <w:tc>
          <w:tcPr>
            <w:tcW w:w="501" w:type="pct"/>
            <w:noWrap/>
            <w:vAlign w:val="center"/>
          </w:tcPr>
          <w:p w14:paraId="12FDA504">
            <w:pPr>
              <w:pStyle w:val="33"/>
              <w:rPr>
                <w:color w:val="auto"/>
              </w:rPr>
            </w:pPr>
            <w:r>
              <w:rPr>
                <w:color w:val="auto"/>
              </w:rPr>
              <w:t>672</w:t>
            </w:r>
          </w:p>
        </w:tc>
      </w:tr>
      <w:tr w14:paraId="1DEA1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22A43C5">
            <w:pPr>
              <w:pStyle w:val="33"/>
              <w:rPr>
                <w:color w:val="auto"/>
              </w:rPr>
            </w:pPr>
          </w:p>
        </w:tc>
        <w:tc>
          <w:tcPr>
            <w:tcW w:w="1292" w:type="pct"/>
            <w:noWrap/>
            <w:vAlign w:val="center"/>
          </w:tcPr>
          <w:p w14:paraId="1A769A89">
            <w:pPr>
              <w:pStyle w:val="33"/>
              <w:rPr>
                <w:color w:val="auto"/>
              </w:rPr>
            </w:pPr>
            <w:r>
              <w:rPr>
                <w:color w:val="auto"/>
              </w:rPr>
              <w:t>1#2#锅炉回水</w:t>
            </w:r>
          </w:p>
        </w:tc>
        <w:tc>
          <w:tcPr>
            <w:tcW w:w="501" w:type="pct"/>
            <w:noWrap/>
            <w:vAlign w:val="center"/>
          </w:tcPr>
          <w:p w14:paraId="53133590">
            <w:pPr>
              <w:pStyle w:val="33"/>
              <w:rPr>
                <w:color w:val="auto"/>
              </w:rPr>
            </w:pPr>
            <w:r>
              <w:rPr>
                <w:color w:val="auto"/>
              </w:rPr>
              <w:t>17374</w:t>
            </w:r>
          </w:p>
        </w:tc>
        <w:tc>
          <w:tcPr>
            <w:tcW w:w="1368" w:type="pct"/>
            <w:noWrap/>
            <w:vAlign w:val="center"/>
          </w:tcPr>
          <w:p w14:paraId="22FAAD35">
            <w:pPr>
              <w:pStyle w:val="33"/>
              <w:rPr>
                <w:color w:val="auto"/>
              </w:rPr>
            </w:pPr>
            <w:r>
              <w:rPr>
                <w:color w:val="auto"/>
              </w:rPr>
              <w:t>2#碱回收炉</w:t>
            </w:r>
          </w:p>
        </w:tc>
        <w:tc>
          <w:tcPr>
            <w:tcW w:w="501" w:type="pct"/>
            <w:noWrap/>
            <w:vAlign w:val="center"/>
          </w:tcPr>
          <w:p w14:paraId="05D38035">
            <w:pPr>
              <w:pStyle w:val="33"/>
              <w:rPr>
                <w:color w:val="auto"/>
              </w:rPr>
            </w:pPr>
            <w:r>
              <w:rPr>
                <w:color w:val="auto"/>
              </w:rPr>
              <w:t>792</w:t>
            </w:r>
          </w:p>
        </w:tc>
      </w:tr>
      <w:tr w14:paraId="159E5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94DFA17">
            <w:pPr>
              <w:pStyle w:val="33"/>
              <w:rPr>
                <w:color w:val="auto"/>
              </w:rPr>
            </w:pPr>
          </w:p>
        </w:tc>
        <w:tc>
          <w:tcPr>
            <w:tcW w:w="1292" w:type="pct"/>
            <w:noWrap/>
            <w:vAlign w:val="center"/>
          </w:tcPr>
          <w:p w14:paraId="7F801EF1">
            <w:pPr>
              <w:pStyle w:val="33"/>
              <w:rPr>
                <w:rFonts w:eastAsia="Times New Roman" w:cs="Times New Roman"/>
                <w:color w:val="auto"/>
                <w:sz w:val="20"/>
                <w:szCs w:val="20"/>
              </w:rPr>
            </w:pPr>
          </w:p>
        </w:tc>
        <w:tc>
          <w:tcPr>
            <w:tcW w:w="501" w:type="pct"/>
            <w:noWrap/>
            <w:vAlign w:val="center"/>
          </w:tcPr>
          <w:p w14:paraId="712FF48A">
            <w:pPr>
              <w:pStyle w:val="33"/>
              <w:rPr>
                <w:rFonts w:eastAsia="Times New Roman" w:cs="Times New Roman"/>
                <w:color w:val="auto"/>
                <w:sz w:val="20"/>
                <w:szCs w:val="20"/>
              </w:rPr>
            </w:pPr>
          </w:p>
        </w:tc>
        <w:tc>
          <w:tcPr>
            <w:tcW w:w="1368" w:type="pct"/>
            <w:noWrap/>
            <w:vAlign w:val="center"/>
          </w:tcPr>
          <w:p w14:paraId="57C54F0A">
            <w:pPr>
              <w:pStyle w:val="33"/>
              <w:rPr>
                <w:color w:val="auto"/>
              </w:rPr>
            </w:pPr>
            <w:r>
              <w:rPr>
                <w:color w:val="auto"/>
              </w:rPr>
              <w:t>废水</w:t>
            </w:r>
          </w:p>
        </w:tc>
        <w:tc>
          <w:tcPr>
            <w:tcW w:w="501" w:type="pct"/>
            <w:noWrap/>
            <w:vAlign w:val="center"/>
          </w:tcPr>
          <w:p w14:paraId="477604AE">
            <w:pPr>
              <w:pStyle w:val="33"/>
              <w:rPr>
                <w:color w:val="auto"/>
              </w:rPr>
            </w:pPr>
            <w:r>
              <w:rPr>
                <w:color w:val="auto"/>
              </w:rPr>
              <w:t>400</w:t>
            </w:r>
          </w:p>
        </w:tc>
      </w:tr>
      <w:tr w14:paraId="6E563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052D7173">
            <w:pPr>
              <w:pStyle w:val="33"/>
              <w:rPr>
                <w:color w:val="auto"/>
              </w:rPr>
            </w:pPr>
            <w:r>
              <w:rPr>
                <w:color w:val="auto"/>
              </w:rPr>
              <w:t>1#2#锅炉</w:t>
            </w:r>
          </w:p>
        </w:tc>
        <w:tc>
          <w:tcPr>
            <w:tcW w:w="1292" w:type="pct"/>
            <w:noWrap/>
            <w:vAlign w:val="center"/>
          </w:tcPr>
          <w:p w14:paraId="3B65FC54">
            <w:pPr>
              <w:pStyle w:val="33"/>
              <w:rPr>
                <w:color w:val="auto"/>
              </w:rPr>
            </w:pPr>
            <w:r>
              <w:rPr>
                <w:color w:val="auto"/>
              </w:rPr>
              <w:t>脱硫脱硝用清水</w:t>
            </w:r>
          </w:p>
        </w:tc>
        <w:tc>
          <w:tcPr>
            <w:tcW w:w="501" w:type="pct"/>
            <w:noWrap/>
            <w:vAlign w:val="center"/>
          </w:tcPr>
          <w:p w14:paraId="528DFB28">
            <w:pPr>
              <w:pStyle w:val="33"/>
              <w:rPr>
                <w:color w:val="auto"/>
              </w:rPr>
            </w:pPr>
            <w:r>
              <w:rPr>
                <w:color w:val="auto"/>
              </w:rPr>
              <w:t>1932</w:t>
            </w:r>
          </w:p>
        </w:tc>
        <w:tc>
          <w:tcPr>
            <w:tcW w:w="1368" w:type="pct"/>
            <w:noWrap/>
            <w:vAlign w:val="center"/>
          </w:tcPr>
          <w:p w14:paraId="2BE902CD">
            <w:pPr>
              <w:pStyle w:val="33"/>
              <w:rPr>
                <w:color w:val="auto"/>
              </w:rPr>
            </w:pPr>
            <w:r>
              <w:rPr>
                <w:color w:val="auto"/>
              </w:rPr>
              <w:t>蒸汽</w:t>
            </w:r>
          </w:p>
        </w:tc>
        <w:tc>
          <w:tcPr>
            <w:tcW w:w="501" w:type="pct"/>
            <w:noWrap/>
            <w:vAlign w:val="center"/>
          </w:tcPr>
          <w:p w14:paraId="251D4113">
            <w:pPr>
              <w:pStyle w:val="33"/>
              <w:rPr>
                <w:color w:val="auto"/>
              </w:rPr>
            </w:pPr>
            <w:r>
              <w:rPr>
                <w:color w:val="auto"/>
              </w:rPr>
              <w:t>8136</w:t>
            </w:r>
          </w:p>
        </w:tc>
      </w:tr>
      <w:tr w14:paraId="76A1F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D9A7C15">
            <w:pPr>
              <w:pStyle w:val="33"/>
              <w:rPr>
                <w:color w:val="auto"/>
              </w:rPr>
            </w:pPr>
          </w:p>
        </w:tc>
        <w:tc>
          <w:tcPr>
            <w:tcW w:w="1292" w:type="pct"/>
            <w:noWrap/>
            <w:vAlign w:val="center"/>
          </w:tcPr>
          <w:p w14:paraId="2A973AD3">
            <w:pPr>
              <w:pStyle w:val="33"/>
              <w:rPr>
                <w:color w:val="auto"/>
              </w:rPr>
            </w:pPr>
            <w:r>
              <w:rPr>
                <w:color w:val="auto"/>
              </w:rPr>
              <w:t>1#化学水车间来水</w:t>
            </w:r>
          </w:p>
        </w:tc>
        <w:tc>
          <w:tcPr>
            <w:tcW w:w="501" w:type="pct"/>
            <w:noWrap/>
            <w:vAlign w:val="center"/>
          </w:tcPr>
          <w:p w14:paraId="06B87A9C">
            <w:pPr>
              <w:pStyle w:val="33"/>
              <w:rPr>
                <w:color w:val="auto"/>
              </w:rPr>
            </w:pPr>
            <w:r>
              <w:rPr>
                <w:color w:val="auto"/>
              </w:rPr>
              <w:t>25877</w:t>
            </w:r>
          </w:p>
        </w:tc>
        <w:tc>
          <w:tcPr>
            <w:tcW w:w="1368" w:type="pct"/>
            <w:noWrap/>
            <w:vAlign w:val="center"/>
          </w:tcPr>
          <w:p w14:paraId="6E4470DC">
            <w:pPr>
              <w:pStyle w:val="33"/>
              <w:rPr>
                <w:color w:val="auto"/>
              </w:rPr>
            </w:pPr>
            <w:r>
              <w:rPr>
                <w:color w:val="auto"/>
              </w:rPr>
              <w:t>去1#化学水车间</w:t>
            </w:r>
          </w:p>
        </w:tc>
        <w:tc>
          <w:tcPr>
            <w:tcW w:w="501" w:type="pct"/>
            <w:noWrap/>
            <w:vAlign w:val="center"/>
          </w:tcPr>
          <w:p w14:paraId="52AA9EFB">
            <w:pPr>
              <w:pStyle w:val="33"/>
              <w:rPr>
                <w:color w:val="auto"/>
              </w:rPr>
            </w:pPr>
            <w:r>
              <w:rPr>
                <w:color w:val="auto"/>
              </w:rPr>
              <w:t>17374</w:t>
            </w:r>
          </w:p>
        </w:tc>
      </w:tr>
      <w:tr w14:paraId="316E2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E469736">
            <w:pPr>
              <w:pStyle w:val="33"/>
              <w:rPr>
                <w:color w:val="auto"/>
              </w:rPr>
            </w:pPr>
          </w:p>
        </w:tc>
        <w:tc>
          <w:tcPr>
            <w:tcW w:w="1292" w:type="pct"/>
            <w:noWrap/>
            <w:vAlign w:val="center"/>
          </w:tcPr>
          <w:p w14:paraId="3523B561">
            <w:pPr>
              <w:pStyle w:val="33"/>
              <w:rPr>
                <w:rFonts w:eastAsia="Times New Roman" w:cs="Times New Roman"/>
                <w:color w:val="auto"/>
                <w:sz w:val="20"/>
                <w:szCs w:val="20"/>
              </w:rPr>
            </w:pPr>
          </w:p>
        </w:tc>
        <w:tc>
          <w:tcPr>
            <w:tcW w:w="501" w:type="pct"/>
            <w:noWrap/>
            <w:vAlign w:val="center"/>
          </w:tcPr>
          <w:p w14:paraId="35F21E02">
            <w:pPr>
              <w:pStyle w:val="33"/>
              <w:rPr>
                <w:rFonts w:eastAsia="Times New Roman" w:cs="Times New Roman"/>
                <w:color w:val="auto"/>
                <w:sz w:val="20"/>
                <w:szCs w:val="20"/>
              </w:rPr>
            </w:pPr>
          </w:p>
        </w:tc>
        <w:tc>
          <w:tcPr>
            <w:tcW w:w="1368" w:type="pct"/>
            <w:noWrap/>
            <w:vAlign w:val="center"/>
          </w:tcPr>
          <w:p w14:paraId="24760F6A">
            <w:pPr>
              <w:pStyle w:val="33"/>
              <w:rPr>
                <w:color w:val="auto"/>
              </w:rPr>
            </w:pPr>
            <w:r>
              <w:rPr>
                <w:color w:val="auto"/>
              </w:rPr>
              <w:t>汽水及气封损失</w:t>
            </w:r>
          </w:p>
        </w:tc>
        <w:tc>
          <w:tcPr>
            <w:tcW w:w="501" w:type="pct"/>
            <w:noWrap/>
            <w:vAlign w:val="center"/>
          </w:tcPr>
          <w:p w14:paraId="603A236E">
            <w:pPr>
              <w:pStyle w:val="33"/>
              <w:rPr>
                <w:color w:val="auto"/>
              </w:rPr>
            </w:pPr>
            <w:r>
              <w:rPr>
                <w:color w:val="auto"/>
              </w:rPr>
              <w:t>218</w:t>
            </w:r>
          </w:p>
        </w:tc>
      </w:tr>
      <w:tr w14:paraId="05627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B23AA23">
            <w:pPr>
              <w:pStyle w:val="33"/>
              <w:rPr>
                <w:color w:val="auto"/>
              </w:rPr>
            </w:pPr>
          </w:p>
        </w:tc>
        <w:tc>
          <w:tcPr>
            <w:tcW w:w="1292" w:type="pct"/>
            <w:noWrap/>
            <w:vAlign w:val="center"/>
          </w:tcPr>
          <w:p w14:paraId="5242E019">
            <w:pPr>
              <w:pStyle w:val="33"/>
              <w:rPr>
                <w:rFonts w:eastAsia="Times New Roman" w:cs="Times New Roman"/>
                <w:color w:val="auto"/>
                <w:sz w:val="20"/>
                <w:szCs w:val="20"/>
              </w:rPr>
            </w:pPr>
          </w:p>
        </w:tc>
        <w:tc>
          <w:tcPr>
            <w:tcW w:w="501" w:type="pct"/>
            <w:noWrap/>
            <w:vAlign w:val="center"/>
          </w:tcPr>
          <w:p w14:paraId="6A9C01C3">
            <w:pPr>
              <w:pStyle w:val="33"/>
              <w:rPr>
                <w:rFonts w:eastAsia="Times New Roman" w:cs="Times New Roman"/>
                <w:color w:val="auto"/>
                <w:sz w:val="20"/>
                <w:szCs w:val="20"/>
              </w:rPr>
            </w:pPr>
          </w:p>
        </w:tc>
        <w:tc>
          <w:tcPr>
            <w:tcW w:w="1368" w:type="pct"/>
            <w:noWrap/>
            <w:vAlign w:val="center"/>
          </w:tcPr>
          <w:p w14:paraId="7DFC7824">
            <w:pPr>
              <w:pStyle w:val="33"/>
              <w:rPr>
                <w:color w:val="auto"/>
              </w:rPr>
            </w:pPr>
            <w:r>
              <w:rPr>
                <w:color w:val="auto"/>
              </w:rPr>
              <w:t>锅炉排水</w:t>
            </w:r>
          </w:p>
        </w:tc>
        <w:tc>
          <w:tcPr>
            <w:tcW w:w="501" w:type="pct"/>
            <w:noWrap/>
            <w:vAlign w:val="center"/>
          </w:tcPr>
          <w:p w14:paraId="599A0945">
            <w:pPr>
              <w:pStyle w:val="33"/>
              <w:rPr>
                <w:color w:val="auto"/>
              </w:rPr>
            </w:pPr>
            <w:r>
              <w:rPr>
                <w:color w:val="auto"/>
              </w:rPr>
              <w:t>149</w:t>
            </w:r>
          </w:p>
        </w:tc>
      </w:tr>
      <w:tr w14:paraId="499EE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C77A0C9">
            <w:pPr>
              <w:pStyle w:val="33"/>
              <w:rPr>
                <w:color w:val="auto"/>
              </w:rPr>
            </w:pPr>
          </w:p>
        </w:tc>
        <w:tc>
          <w:tcPr>
            <w:tcW w:w="1292" w:type="pct"/>
            <w:noWrap/>
            <w:vAlign w:val="center"/>
          </w:tcPr>
          <w:p w14:paraId="045FF858">
            <w:pPr>
              <w:pStyle w:val="33"/>
              <w:rPr>
                <w:rFonts w:eastAsia="Times New Roman" w:cs="Times New Roman"/>
                <w:color w:val="auto"/>
                <w:sz w:val="20"/>
                <w:szCs w:val="20"/>
              </w:rPr>
            </w:pPr>
          </w:p>
        </w:tc>
        <w:tc>
          <w:tcPr>
            <w:tcW w:w="501" w:type="pct"/>
            <w:noWrap/>
            <w:vAlign w:val="center"/>
          </w:tcPr>
          <w:p w14:paraId="70C6F9B8">
            <w:pPr>
              <w:pStyle w:val="33"/>
              <w:rPr>
                <w:rFonts w:eastAsia="Times New Roman" w:cs="Times New Roman"/>
                <w:color w:val="auto"/>
                <w:sz w:val="20"/>
                <w:szCs w:val="20"/>
              </w:rPr>
            </w:pPr>
          </w:p>
        </w:tc>
        <w:tc>
          <w:tcPr>
            <w:tcW w:w="1368" w:type="pct"/>
            <w:noWrap/>
            <w:vAlign w:val="center"/>
          </w:tcPr>
          <w:p w14:paraId="1C66F910">
            <w:pPr>
              <w:pStyle w:val="33"/>
              <w:rPr>
                <w:color w:val="auto"/>
              </w:rPr>
            </w:pPr>
            <w:r>
              <w:rPr>
                <w:color w:val="auto"/>
              </w:rPr>
              <w:t>脱硫脱硝排水</w:t>
            </w:r>
          </w:p>
        </w:tc>
        <w:tc>
          <w:tcPr>
            <w:tcW w:w="501" w:type="pct"/>
            <w:noWrap/>
            <w:vAlign w:val="center"/>
          </w:tcPr>
          <w:p w14:paraId="356D9FF9">
            <w:pPr>
              <w:pStyle w:val="33"/>
              <w:rPr>
                <w:color w:val="auto"/>
              </w:rPr>
            </w:pPr>
            <w:r>
              <w:rPr>
                <w:color w:val="auto"/>
              </w:rPr>
              <w:t>144</w:t>
            </w:r>
          </w:p>
        </w:tc>
      </w:tr>
      <w:tr w14:paraId="3C491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F05852B">
            <w:pPr>
              <w:pStyle w:val="33"/>
              <w:rPr>
                <w:color w:val="auto"/>
              </w:rPr>
            </w:pPr>
          </w:p>
        </w:tc>
        <w:tc>
          <w:tcPr>
            <w:tcW w:w="1292" w:type="pct"/>
            <w:noWrap/>
            <w:vAlign w:val="center"/>
          </w:tcPr>
          <w:p w14:paraId="41D2C2E6">
            <w:pPr>
              <w:pStyle w:val="33"/>
              <w:rPr>
                <w:rFonts w:eastAsia="Times New Roman" w:cs="Times New Roman"/>
                <w:color w:val="auto"/>
                <w:sz w:val="20"/>
                <w:szCs w:val="20"/>
              </w:rPr>
            </w:pPr>
          </w:p>
        </w:tc>
        <w:tc>
          <w:tcPr>
            <w:tcW w:w="501" w:type="pct"/>
            <w:noWrap/>
            <w:vAlign w:val="center"/>
          </w:tcPr>
          <w:p w14:paraId="4D8BCA32">
            <w:pPr>
              <w:pStyle w:val="33"/>
              <w:rPr>
                <w:rFonts w:eastAsia="Times New Roman" w:cs="Times New Roman"/>
                <w:color w:val="auto"/>
                <w:sz w:val="20"/>
                <w:szCs w:val="20"/>
              </w:rPr>
            </w:pPr>
          </w:p>
        </w:tc>
        <w:tc>
          <w:tcPr>
            <w:tcW w:w="1368" w:type="pct"/>
            <w:noWrap/>
            <w:vAlign w:val="center"/>
          </w:tcPr>
          <w:p w14:paraId="06D8B570">
            <w:pPr>
              <w:pStyle w:val="33"/>
              <w:rPr>
                <w:color w:val="auto"/>
              </w:rPr>
            </w:pPr>
            <w:r>
              <w:rPr>
                <w:color w:val="auto"/>
              </w:rPr>
              <w:t>脱硫脱硝损失</w:t>
            </w:r>
          </w:p>
        </w:tc>
        <w:tc>
          <w:tcPr>
            <w:tcW w:w="501" w:type="pct"/>
            <w:noWrap/>
            <w:vAlign w:val="center"/>
          </w:tcPr>
          <w:p w14:paraId="42B531ED">
            <w:pPr>
              <w:pStyle w:val="33"/>
              <w:rPr>
                <w:color w:val="auto"/>
              </w:rPr>
            </w:pPr>
            <w:r>
              <w:rPr>
                <w:color w:val="auto"/>
              </w:rPr>
              <w:t>1788</w:t>
            </w:r>
          </w:p>
        </w:tc>
      </w:tr>
      <w:tr w14:paraId="3FC9B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11C3787B">
            <w:pPr>
              <w:pStyle w:val="33"/>
              <w:rPr>
                <w:color w:val="auto"/>
              </w:rPr>
            </w:pPr>
            <w:r>
              <w:rPr>
                <w:color w:val="auto"/>
              </w:rPr>
              <w:t>热电站冷却塔</w:t>
            </w:r>
          </w:p>
        </w:tc>
        <w:tc>
          <w:tcPr>
            <w:tcW w:w="1292" w:type="pct"/>
            <w:noWrap/>
            <w:vAlign w:val="center"/>
          </w:tcPr>
          <w:p w14:paraId="12F1B66A">
            <w:pPr>
              <w:pStyle w:val="33"/>
              <w:rPr>
                <w:color w:val="auto"/>
              </w:rPr>
            </w:pPr>
            <w:r>
              <w:rPr>
                <w:color w:val="auto"/>
              </w:rPr>
              <w:t>清水</w:t>
            </w:r>
          </w:p>
        </w:tc>
        <w:tc>
          <w:tcPr>
            <w:tcW w:w="501" w:type="pct"/>
            <w:noWrap/>
            <w:vAlign w:val="center"/>
          </w:tcPr>
          <w:p w14:paraId="5DEFCF08">
            <w:pPr>
              <w:pStyle w:val="33"/>
              <w:rPr>
                <w:color w:val="auto"/>
              </w:rPr>
            </w:pPr>
            <w:r>
              <w:rPr>
                <w:rFonts w:hint="eastAsia"/>
                <w:color w:val="auto"/>
              </w:rPr>
              <w:t>7452.24</w:t>
            </w:r>
          </w:p>
        </w:tc>
        <w:tc>
          <w:tcPr>
            <w:tcW w:w="1368" w:type="pct"/>
            <w:noWrap/>
            <w:vAlign w:val="center"/>
          </w:tcPr>
          <w:p w14:paraId="53E64D88">
            <w:pPr>
              <w:pStyle w:val="33"/>
              <w:rPr>
                <w:color w:val="auto"/>
              </w:rPr>
            </w:pPr>
            <w:r>
              <w:rPr>
                <w:color w:val="auto"/>
              </w:rPr>
              <w:t>损失</w:t>
            </w:r>
          </w:p>
        </w:tc>
        <w:tc>
          <w:tcPr>
            <w:tcW w:w="501" w:type="pct"/>
            <w:noWrap/>
            <w:vAlign w:val="center"/>
          </w:tcPr>
          <w:p w14:paraId="45393C43">
            <w:pPr>
              <w:pStyle w:val="33"/>
              <w:rPr>
                <w:color w:val="auto"/>
              </w:rPr>
            </w:pPr>
            <w:r>
              <w:rPr>
                <w:color w:val="auto"/>
              </w:rPr>
              <w:t>10044</w:t>
            </w:r>
          </w:p>
        </w:tc>
      </w:tr>
      <w:tr w14:paraId="44D10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8C057A4">
            <w:pPr>
              <w:pStyle w:val="33"/>
              <w:rPr>
                <w:color w:val="auto"/>
              </w:rPr>
            </w:pPr>
          </w:p>
        </w:tc>
        <w:tc>
          <w:tcPr>
            <w:tcW w:w="1292" w:type="pct"/>
            <w:noWrap/>
            <w:vAlign w:val="center"/>
          </w:tcPr>
          <w:p w14:paraId="45EEFE87">
            <w:pPr>
              <w:pStyle w:val="33"/>
              <w:rPr>
                <w:rFonts w:eastAsia="Times New Roman" w:cs="Times New Roman"/>
                <w:color w:val="auto"/>
                <w:sz w:val="20"/>
                <w:szCs w:val="20"/>
              </w:rPr>
            </w:pPr>
            <w:r>
              <w:rPr>
                <w:rFonts w:hint="eastAsia" w:ascii="宋体" w:hAnsi="宋体" w:cs="宋体"/>
                <w:color w:val="auto"/>
                <w:sz w:val="20"/>
                <w:szCs w:val="20"/>
              </w:rPr>
              <w:t>中水</w:t>
            </w:r>
          </w:p>
        </w:tc>
        <w:tc>
          <w:tcPr>
            <w:tcW w:w="501" w:type="pct"/>
            <w:noWrap/>
            <w:vAlign w:val="center"/>
          </w:tcPr>
          <w:p w14:paraId="7CA7539C">
            <w:pPr>
              <w:pStyle w:val="33"/>
              <w:rPr>
                <w:rFonts w:cs="Times New Roman" w:eastAsiaTheme="minorEastAsia"/>
                <w:color w:val="auto"/>
                <w:sz w:val="20"/>
                <w:szCs w:val="20"/>
              </w:rPr>
            </w:pPr>
            <w:r>
              <w:rPr>
                <w:rFonts w:hint="eastAsia" w:cs="Times New Roman" w:eastAsiaTheme="minorEastAsia"/>
                <w:color w:val="auto"/>
                <w:sz w:val="20"/>
                <w:szCs w:val="20"/>
              </w:rPr>
              <w:t>3667.76</w:t>
            </w:r>
          </w:p>
        </w:tc>
        <w:tc>
          <w:tcPr>
            <w:tcW w:w="1368" w:type="pct"/>
            <w:noWrap/>
            <w:vAlign w:val="center"/>
          </w:tcPr>
          <w:p w14:paraId="3A3F8E52">
            <w:pPr>
              <w:pStyle w:val="33"/>
              <w:rPr>
                <w:color w:val="auto"/>
              </w:rPr>
            </w:pPr>
            <w:r>
              <w:rPr>
                <w:color w:val="auto"/>
              </w:rPr>
              <w:t>废水</w:t>
            </w:r>
          </w:p>
        </w:tc>
        <w:tc>
          <w:tcPr>
            <w:tcW w:w="501" w:type="pct"/>
            <w:noWrap/>
            <w:vAlign w:val="center"/>
          </w:tcPr>
          <w:p w14:paraId="3343A300">
            <w:pPr>
              <w:pStyle w:val="33"/>
              <w:rPr>
                <w:color w:val="auto"/>
              </w:rPr>
            </w:pPr>
            <w:r>
              <w:rPr>
                <w:color w:val="auto"/>
              </w:rPr>
              <w:t>1076</w:t>
            </w:r>
          </w:p>
        </w:tc>
      </w:tr>
      <w:tr w14:paraId="6F596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546DBD35">
            <w:pPr>
              <w:pStyle w:val="33"/>
              <w:rPr>
                <w:color w:val="auto"/>
              </w:rPr>
            </w:pPr>
            <w:r>
              <w:rPr>
                <w:color w:val="auto"/>
              </w:rPr>
              <w:t>其他用水</w:t>
            </w:r>
          </w:p>
        </w:tc>
        <w:tc>
          <w:tcPr>
            <w:tcW w:w="1292" w:type="pct"/>
            <w:noWrap/>
            <w:vAlign w:val="center"/>
          </w:tcPr>
          <w:p w14:paraId="110083D5">
            <w:pPr>
              <w:pStyle w:val="33"/>
              <w:rPr>
                <w:color w:val="auto"/>
              </w:rPr>
            </w:pPr>
            <w:r>
              <w:rPr>
                <w:color w:val="auto"/>
              </w:rPr>
              <w:t>清水</w:t>
            </w:r>
          </w:p>
        </w:tc>
        <w:tc>
          <w:tcPr>
            <w:tcW w:w="501" w:type="pct"/>
            <w:noWrap/>
            <w:vAlign w:val="center"/>
          </w:tcPr>
          <w:p w14:paraId="5BCE333B">
            <w:pPr>
              <w:pStyle w:val="33"/>
              <w:rPr>
                <w:color w:val="auto"/>
              </w:rPr>
            </w:pPr>
            <w:r>
              <w:rPr>
                <w:color w:val="auto"/>
              </w:rPr>
              <w:t>1463</w:t>
            </w:r>
          </w:p>
        </w:tc>
        <w:tc>
          <w:tcPr>
            <w:tcW w:w="1368" w:type="pct"/>
            <w:noWrap/>
            <w:vAlign w:val="center"/>
          </w:tcPr>
          <w:p w14:paraId="109048C3">
            <w:pPr>
              <w:pStyle w:val="33"/>
              <w:rPr>
                <w:color w:val="auto"/>
              </w:rPr>
            </w:pPr>
            <w:r>
              <w:rPr>
                <w:color w:val="auto"/>
              </w:rPr>
              <w:t>损失</w:t>
            </w:r>
          </w:p>
        </w:tc>
        <w:tc>
          <w:tcPr>
            <w:tcW w:w="501" w:type="pct"/>
            <w:noWrap/>
            <w:vAlign w:val="center"/>
          </w:tcPr>
          <w:p w14:paraId="0A440AA7">
            <w:pPr>
              <w:pStyle w:val="33"/>
              <w:rPr>
                <w:color w:val="auto"/>
              </w:rPr>
            </w:pPr>
            <w:r>
              <w:rPr>
                <w:color w:val="auto"/>
              </w:rPr>
              <w:t>147</w:t>
            </w:r>
          </w:p>
        </w:tc>
      </w:tr>
      <w:tr w14:paraId="0264B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43BF193">
            <w:pPr>
              <w:pStyle w:val="33"/>
              <w:rPr>
                <w:color w:val="auto"/>
              </w:rPr>
            </w:pPr>
          </w:p>
        </w:tc>
        <w:tc>
          <w:tcPr>
            <w:tcW w:w="1292" w:type="pct"/>
            <w:noWrap/>
            <w:vAlign w:val="center"/>
          </w:tcPr>
          <w:p w14:paraId="1AAF7F07">
            <w:pPr>
              <w:pStyle w:val="33"/>
              <w:rPr>
                <w:rFonts w:eastAsia="Times New Roman" w:cs="Times New Roman"/>
                <w:color w:val="auto"/>
                <w:sz w:val="20"/>
                <w:szCs w:val="20"/>
              </w:rPr>
            </w:pPr>
          </w:p>
        </w:tc>
        <w:tc>
          <w:tcPr>
            <w:tcW w:w="501" w:type="pct"/>
            <w:noWrap/>
            <w:vAlign w:val="center"/>
          </w:tcPr>
          <w:p w14:paraId="59A8F53A">
            <w:pPr>
              <w:pStyle w:val="33"/>
              <w:rPr>
                <w:rFonts w:eastAsia="Times New Roman" w:cs="Times New Roman"/>
                <w:color w:val="auto"/>
                <w:sz w:val="20"/>
                <w:szCs w:val="20"/>
              </w:rPr>
            </w:pPr>
          </w:p>
        </w:tc>
        <w:tc>
          <w:tcPr>
            <w:tcW w:w="1368" w:type="pct"/>
            <w:noWrap/>
            <w:vAlign w:val="center"/>
          </w:tcPr>
          <w:p w14:paraId="41D48910">
            <w:pPr>
              <w:pStyle w:val="33"/>
              <w:rPr>
                <w:color w:val="auto"/>
              </w:rPr>
            </w:pPr>
            <w:r>
              <w:rPr>
                <w:color w:val="auto"/>
              </w:rPr>
              <w:t>废水</w:t>
            </w:r>
          </w:p>
        </w:tc>
        <w:tc>
          <w:tcPr>
            <w:tcW w:w="501" w:type="pct"/>
            <w:noWrap/>
            <w:vAlign w:val="center"/>
          </w:tcPr>
          <w:p w14:paraId="119B003C">
            <w:pPr>
              <w:pStyle w:val="33"/>
              <w:rPr>
                <w:color w:val="auto"/>
              </w:rPr>
            </w:pPr>
            <w:r>
              <w:rPr>
                <w:color w:val="auto"/>
              </w:rPr>
              <w:t>1316</w:t>
            </w:r>
          </w:p>
        </w:tc>
      </w:tr>
      <w:tr w14:paraId="47D21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31BAC2D2">
            <w:pPr>
              <w:pStyle w:val="33"/>
              <w:rPr>
                <w:color w:val="auto"/>
              </w:rPr>
            </w:pPr>
            <w:r>
              <w:rPr>
                <w:color w:val="auto"/>
              </w:rPr>
              <w:t>生活用水</w:t>
            </w:r>
          </w:p>
        </w:tc>
        <w:tc>
          <w:tcPr>
            <w:tcW w:w="1292" w:type="pct"/>
            <w:noWrap/>
            <w:vAlign w:val="center"/>
          </w:tcPr>
          <w:p w14:paraId="64D0CF7F">
            <w:pPr>
              <w:pStyle w:val="33"/>
              <w:rPr>
                <w:color w:val="auto"/>
              </w:rPr>
            </w:pPr>
            <w:r>
              <w:rPr>
                <w:color w:val="auto"/>
              </w:rPr>
              <w:t>清水</w:t>
            </w:r>
          </w:p>
        </w:tc>
        <w:tc>
          <w:tcPr>
            <w:tcW w:w="501" w:type="pct"/>
            <w:noWrap/>
            <w:vAlign w:val="center"/>
          </w:tcPr>
          <w:p w14:paraId="39B539D7">
            <w:pPr>
              <w:pStyle w:val="33"/>
              <w:rPr>
                <w:color w:val="auto"/>
              </w:rPr>
            </w:pPr>
            <w:r>
              <w:rPr>
                <w:color w:val="auto"/>
              </w:rPr>
              <w:t>572</w:t>
            </w:r>
          </w:p>
        </w:tc>
        <w:tc>
          <w:tcPr>
            <w:tcW w:w="1368" w:type="pct"/>
            <w:noWrap/>
            <w:vAlign w:val="center"/>
          </w:tcPr>
          <w:p w14:paraId="7878CCDC">
            <w:pPr>
              <w:pStyle w:val="33"/>
              <w:rPr>
                <w:color w:val="auto"/>
              </w:rPr>
            </w:pPr>
            <w:r>
              <w:rPr>
                <w:color w:val="auto"/>
              </w:rPr>
              <w:t>损失</w:t>
            </w:r>
          </w:p>
        </w:tc>
        <w:tc>
          <w:tcPr>
            <w:tcW w:w="501" w:type="pct"/>
            <w:noWrap/>
            <w:vAlign w:val="center"/>
          </w:tcPr>
          <w:p w14:paraId="4D58195E">
            <w:pPr>
              <w:pStyle w:val="33"/>
              <w:rPr>
                <w:color w:val="auto"/>
              </w:rPr>
            </w:pPr>
            <w:r>
              <w:rPr>
                <w:color w:val="auto"/>
              </w:rPr>
              <w:t>58</w:t>
            </w:r>
          </w:p>
        </w:tc>
      </w:tr>
      <w:tr w14:paraId="11BDB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1FBCE37">
            <w:pPr>
              <w:pStyle w:val="33"/>
              <w:rPr>
                <w:color w:val="auto"/>
              </w:rPr>
            </w:pPr>
          </w:p>
        </w:tc>
        <w:tc>
          <w:tcPr>
            <w:tcW w:w="1292" w:type="pct"/>
            <w:noWrap/>
            <w:vAlign w:val="center"/>
          </w:tcPr>
          <w:p w14:paraId="1422F850">
            <w:pPr>
              <w:pStyle w:val="33"/>
              <w:rPr>
                <w:rFonts w:eastAsia="Times New Roman" w:cs="Times New Roman"/>
                <w:color w:val="auto"/>
                <w:sz w:val="20"/>
                <w:szCs w:val="20"/>
              </w:rPr>
            </w:pPr>
          </w:p>
        </w:tc>
        <w:tc>
          <w:tcPr>
            <w:tcW w:w="501" w:type="pct"/>
            <w:noWrap/>
            <w:vAlign w:val="center"/>
          </w:tcPr>
          <w:p w14:paraId="1C9CD0DC">
            <w:pPr>
              <w:pStyle w:val="33"/>
              <w:rPr>
                <w:rFonts w:eastAsia="Times New Roman" w:cs="Times New Roman"/>
                <w:color w:val="auto"/>
                <w:sz w:val="20"/>
                <w:szCs w:val="20"/>
              </w:rPr>
            </w:pPr>
          </w:p>
        </w:tc>
        <w:tc>
          <w:tcPr>
            <w:tcW w:w="1368" w:type="pct"/>
            <w:noWrap/>
            <w:vAlign w:val="center"/>
          </w:tcPr>
          <w:p w14:paraId="47053973">
            <w:pPr>
              <w:pStyle w:val="33"/>
              <w:rPr>
                <w:color w:val="auto"/>
              </w:rPr>
            </w:pPr>
            <w:r>
              <w:rPr>
                <w:color w:val="auto"/>
              </w:rPr>
              <w:t>废水</w:t>
            </w:r>
          </w:p>
        </w:tc>
        <w:tc>
          <w:tcPr>
            <w:tcW w:w="501" w:type="pct"/>
            <w:noWrap/>
            <w:vAlign w:val="center"/>
          </w:tcPr>
          <w:p w14:paraId="2E79CD17">
            <w:pPr>
              <w:pStyle w:val="33"/>
              <w:rPr>
                <w:color w:val="auto"/>
              </w:rPr>
            </w:pPr>
            <w:r>
              <w:rPr>
                <w:color w:val="auto"/>
              </w:rPr>
              <w:t>514</w:t>
            </w:r>
          </w:p>
        </w:tc>
      </w:tr>
      <w:tr w14:paraId="6539A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noWrap/>
            <w:vAlign w:val="center"/>
          </w:tcPr>
          <w:p w14:paraId="74E87106">
            <w:pPr>
              <w:pStyle w:val="33"/>
              <w:rPr>
                <w:color w:val="auto"/>
              </w:rPr>
            </w:pPr>
            <w:r>
              <w:rPr>
                <w:color w:val="auto"/>
              </w:rPr>
              <w:t>1#污水处理站</w:t>
            </w:r>
          </w:p>
        </w:tc>
        <w:tc>
          <w:tcPr>
            <w:tcW w:w="1292" w:type="pct"/>
            <w:noWrap/>
            <w:vAlign w:val="center"/>
          </w:tcPr>
          <w:p w14:paraId="1444DF9B">
            <w:pPr>
              <w:pStyle w:val="33"/>
              <w:rPr>
                <w:color w:val="auto"/>
              </w:rPr>
            </w:pPr>
            <w:r>
              <w:rPr>
                <w:color w:val="auto"/>
              </w:rPr>
              <w:t>清水</w:t>
            </w:r>
          </w:p>
        </w:tc>
        <w:tc>
          <w:tcPr>
            <w:tcW w:w="501" w:type="pct"/>
            <w:noWrap/>
            <w:vAlign w:val="center"/>
          </w:tcPr>
          <w:p w14:paraId="3142EA7E">
            <w:pPr>
              <w:pStyle w:val="33"/>
              <w:rPr>
                <w:color w:val="auto"/>
              </w:rPr>
            </w:pPr>
            <w:r>
              <w:rPr>
                <w:color w:val="auto"/>
              </w:rPr>
              <w:t>822</w:t>
            </w:r>
          </w:p>
        </w:tc>
        <w:tc>
          <w:tcPr>
            <w:tcW w:w="1368" w:type="pct"/>
            <w:noWrap/>
            <w:vAlign w:val="center"/>
          </w:tcPr>
          <w:p w14:paraId="6F2AAB8D">
            <w:pPr>
              <w:pStyle w:val="33"/>
              <w:rPr>
                <w:color w:val="auto"/>
              </w:rPr>
            </w:pPr>
            <w:r>
              <w:rPr>
                <w:color w:val="auto"/>
              </w:rPr>
              <w:t>废水</w:t>
            </w:r>
          </w:p>
        </w:tc>
        <w:tc>
          <w:tcPr>
            <w:tcW w:w="501" w:type="pct"/>
            <w:noWrap/>
            <w:vAlign w:val="center"/>
          </w:tcPr>
          <w:p w14:paraId="530440E0">
            <w:pPr>
              <w:pStyle w:val="33"/>
              <w:rPr>
                <w:color w:val="auto"/>
              </w:rPr>
            </w:pPr>
            <w:r>
              <w:rPr>
                <w:color w:val="auto"/>
              </w:rPr>
              <w:t>822</w:t>
            </w:r>
          </w:p>
        </w:tc>
      </w:tr>
      <w:tr w14:paraId="2698B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68F7756E">
            <w:pPr>
              <w:pStyle w:val="33"/>
              <w:rPr>
                <w:color w:val="auto"/>
              </w:rPr>
            </w:pPr>
            <w:r>
              <w:rPr>
                <w:color w:val="auto"/>
              </w:rPr>
              <w:t>过氧化氢项目</w:t>
            </w:r>
          </w:p>
        </w:tc>
        <w:tc>
          <w:tcPr>
            <w:tcW w:w="1292" w:type="pct"/>
            <w:noWrap/>
            <w:vAlign w:val="center"/>
          </w:tcPr>
          <w:p w14:paraId="7860F930">
            <w:pPr>
              <w:pStyle w:val="33"/>
              <w:rPr>
                <w:color w:val="auto"/>
              </w:rPr>
            </w:pPr>
            <w:r>
              <w:rPr>
                <w:color w:val="auto"/>
              </w:rPr>
              <w:t>清水</w:t>
            </w:r>
          </w:p>
        </w:tc>
        <w:tc>
          <w:tcPr>
            <w:tcW w:w="501" w:type="pct"/>
            <w:noWrap/>
            <w:vAlign w:val="center"/>
          </w:tcPr>
          <w:p w14:paraId="3B44ACC9">
            <w:pPr>
              <w:pStyle w:val="33"/>
              <w:rPr>
                <w:color w:val="auto"/>
              </w:rPr>
            </w:pPr>
            <w:r>
              <w:rPr>
                <w:color w:val="auto"/>
              </w:rPr>
              <w:t>1898</w:t>
            </w:r>
          </w:p>
        </w:tc>
        <w:tc>
          <w:tcPr>
            <w:tcW w:w="1368" w:type="pct"/>
            <w:noWrap/>
            <w:vAlign w:val="center"/>
          </w:tcPr>
          <w:p w14:paraId="54A568B8">
            <w:pPr>
              <w:pStyle w:val="33"/>
              <w:rPr>
                <w:color w:val="auto"/>
              </w:rPr>
            </w:pPr>
            <w:r>
              <w:rPr>
                <w:color w:val="auto"/>
              </w:rPr>
              <w:t>损失</w:t>
            </w:r>
          </w:p>
        </w:tc>
        <w:tc>
          <w:tcPr>
            <w:tcW w:w="501" w:type="pct"/>
            <w:noWrap/>
            <w:vAlign w:val="center"/>
          </w:tcPr>
          <w:p w14:paraId="68AF428B">
            <w:pPr>
              <w:pStyle w:val="33"/>
              <w:rPr>
                <w:color w:val="auto"/>
              </w:rPr>
            </w:pPr>
            <w:r>
              <w:rPr>
                <w:color w:val="auto"/>
              </w:rPr>
              <w:t>1700</w:t>
            </w:r>
          </w:p>
        </w:tc>
      </w:tr>
      <w:tr w14:paraId="1E657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4BBDA30C">
            <w:pPr>
              <w:pStyle w:val="33"/>
              <w:rPr>
                <w:color w:val="auto"/>
              </w:rPr>
            </w:pPr>
          </w:p>
        </w:tc>
        <w:tc>
          <w:tcPr>
            <w:tcW w:w="1292" w:type="pct"/>
            <w:noWrap/>
            <w:vAlign w:val="center"/>
          </w:tcPr>
          <w:p w14:paraId="4524F088">
            <w:pPr>
              <w:pStyle w:val="33"/>
              <w:rPr>
                <w:rFonts w:eastAsia="Times New Roman" w:cs="Times New Roman"/>
                <w:color w:val="auto"/>
                <w:sz w:val="20"/>
                <w:szCs w:val="20"/>
              </w:rPr>
            </w:pPr>
          </w:p>
        </w:tc>
        <w:tc>
          <w:tcPr>
            <w:tcW w:w="501" w:type="pct"/>
            <w:noWrap/>
            <w:vAlign w:val="center"/>
          </w:tcPr>
          <w:p w14:paraId="352C5DD6">
            <w:pPr>
              <w:pStyle w:val="33"/>
              <w:rPr>
                <w:rFonts w:eastAsia="Times New Roman" w:cs="Times New Roman"/>
                <w:color w:val="auto"/>
                <w:sz w:val="20"/>
                <w:szCs w:val="20"/>
              </w:rPr>
            </w:pPr>
          </w:p>
        </w:tc>
        <w:tc>
          <w:tcPr>
            <w:tcW w:w="1368" w:type="pct"/>
            <w:noWrap/>
            <w:vAlign w:val="center"/>
          </w:tcPr>
          <w:p w14:paraId="021898B6">
            <w:pPr>
              <w:pStyle w:val="33"/>
              <w:rPr>
                <w:color w:val="auto"/>
              </w:rPr>
            </w:pPr>
            <w:r>
              <w:rPr>
                <w:color w:val="auto"/>
              </w:rPr>
              <w:t>废水</w:t>
            </w:r>
          </w:p>
        </w:tc>
        <w:tc>
          <w:tcPr>
            <w:tcW w:w="501" w:type="pct"/>
            <w:noWrap/>
            <w:vAlign w:val="center"/>
          </w:tcPr>
          <w:p w14:paraId="04A739EA">
            <w:pPr>
              <w:pStyle w:val="33"/>
              <w:rPr>
                <w:color w:val="auto"/>
              </w:rPr>
            </w:pPr>
            <w:r>
              <w:rPr>
                <w:color w:val="auto"/>
              </w:rPr>
              <w:t>198</w:t>
            </w:r>
          </w:p>
        </w:tc>
      </w:tr>
      <w:tr w14:paraId="10053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237A79E0">
            <w:pPr>
              <w:pStyle w:val="33"/>
              <w:rPr>
                <w:color w:val="auto"/>
              </w:rPr>
            </w:pPr>
            <w:r>
              <w:rPr>
                <w:color w:val="auto"/>
              </w:rPr>
              <w:t>丁苯乳胶装置+</w:t>
            </w:r>
          </w:p>
        </w:tc>
        <w:tc>
          <w:tcPr>
            <w:tcW w:w="1292" w:type="pct"/>
            <w:noWrap/>
            <w:vAlign w:val="center"/>
          </w:tcPr>
          <w:p w14:paraId="2CA255BA">
            <w:pPr>
              <w:pStyle w:val="33"/>
              <w:rPr>
                <w:color w:val="auto"/>
              </w:rPr>
            </w:pPr>
            <w:r>
              <w:rPr>
                <w:color w:val="auto"/>
              </w:rPr>
              <w:t>清水</w:t>
            </w:r>
          </w:p>
        </w:tc>
        <w:tc>
          <w:tcPr>
            <w:tcW w:w="501" w:type="pct"/>
            <w:noWrap/>
            <w:vAlign w:val="center"/>
          </w:tcPr>
          <w:p w14:paraId="6ABF81C1">
            <w:pPr>
              <w:pStyle w:val="33"/>
              <w:rPr>
                <w:color w:val="auto"/>
              </w:rPr>
            </w:pPr>
            <w:r>
              <w:rPr>
                <w:color w:val="auto"/>
              </w:rPr>
              <w:t>947</w:t>
            </w:r>
          </w:p>
        </w:tc>
        <w:tc>
          <w:tcPr>
            <w:tcW w:w="1368" w:type="pct"/>
            <w:noWrap/>
            <w:vAlign w:val="center"/>
          </w:tcPr>
          <w:p w14:paraId="4FE1CA5D">
            <w:pPr>
              <w:pStyle w:val="33"/>
              <w:rPr>
                <w:color w:val="auto"/>
              </w:rPr>
            </w:pPr>
            <w:r>
              <w:rPr>
                <w:color w:val="auto"/>
              </w:rPr>
              <w:t>损失</w:t>
            </w:r>
          </w:p>
        </w:tc>
        <w:tc>
          <w:tcPr>
            <w:tcW w:w="501" w:type="pct"/>
            <w:noWrap/>
            <w:vAlign w:val="center"/>
          </w:tcPr>
          <w:p w14:paraId="241D384A">
            <w:pPr>
              <w:pStyle w:val="33"/>
              <w:rPr>
                <w:color w:val="auto"/>
              </w:rPr>
            </w:pPr>
            <w:r>
              <w:rPr>
                <w:color w:val="auto"/>
              </w:rPr>
              <w:t>485.66</w:t>
            </w:r>
          </w:p>
        </w:tc>
      </w:tr>
      <w:tr w14:paraId="4E272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2CCD506">
            <w:pPr>
              <w:pStyle w:val="33"/>
              <w:rPr>
                <w:color w:val="auto"/>
              </w:rPr>
            </w:pPr>
          </w:p>
        </w:tc>
        <w:tc>
          <w:tcPr>
            <w:tcW w:w="1292" w:type="pct"/>
            <w:noWrap/>
            <w:vAlign w:val="center"/>
          </w:tcPr>
          <w:p w14:paraId="771507FD">
            <w:pPr>
              <w:pStyle w:val="33"/>
              <w:rPr>
                <w:rFonts w:eastAsia="Times New Roman" w:cs="Times New Roman"/>
                <w:color w:val="auto"/>
                <w:sz w:val="20"/>
                <w:szCs w:val="20"/>
              </w:rPr>
            </w:pPr>
          </w:p>
        </w:tc>
        <w:tc>
          <w:tcPr>
            <w:tcW w:w="501" w:type="pct"/>
            <w:noWrap/>
            <w:vAlign w:val="center"/>
          </w:tcPr>
          <w:p w14:paraId="7CE079AE">
            <w:pPr>
              <w:pStyle w:val="33"/>
              <w:rPr>
                <w:rFonts w:eastAsia="Times New Roman" w:cs="Times New Roman"/>
                <w:color w:val="auto"/>
                <w:sz w:val="20"/>
                <w:szCs w:val="20"/>
              </w:rPr>
            </w:pPr>
          </w:p>
        </w:tc>
        <w:tc>
          <w:tcPr>
            <w:tcW w:w="1368" w:type="pct"/>
            <w:noWrap/>
            <w:vAlign w:val="center"/>
          </w:tcPr>
          <w:p w14:paraId="4AA90351">
            <w:pPr>
              <w:pStyle w:val="33"/>
              <w:rPr>
                <w:color w:val="auto"/>
              </w:rPr>
            </w:pPr>
            <w:r>
              <w:rPr>
                <w:color w:val="auto"/>
              </w:rPr>
              <w:t>废水</w:t>
            </w:r>
          </w:p>
        </w:tc>
        <w:tc>
          <w:tcPr>
            <w:tcW w:w="501" w:type="pct"/>
            <w:noWrap/>
            <w:vAlign w:val="center"/>
          </w:tcPr>
          <w:p w14:paraId="50F1250C">
            <w:pPr>
              <w:pStyle w:val="33"/>
              <w:rPr>
                <w:color w:val="auto"/>
              </w:rPr>
            </w:pPr>
            <w:r>
              <w:rPr>
                <w:color w:val="auto"/>
              </w:rPr>
              <w:t>461.34</w:t>
            </w:r>
          </w:p>
        </w:tc>
      </w:tr>
      <w:tr w14:paraId="77FFC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1338" w:type="pct"/>
            <w:vMerge w:val="restart"/>
            <w:noWrap/>
            <w:vAlign w:val="center"/>
          </w:tcPr>
          <w:p w14:paraId="5FE9560A">
            <w:pPr>
              <w:pStyle w:val="33"/>
              <w:rPr>
                <w:color w:val="auto"/>
              </w:rPr>
            </w:pPr>
            <w:r>
              <w:rPr>
                <w:color w:val="auto"/>
              </w:rPr>
              <w:t>3#造纸车间</w:t>
            </w:r>
          </w:p>
        </w:tc>
        <w:tc>
          <w:tcPr>
            <w:tcW w:w="1292" w:type="pct"/>
            <w:noWrap/>
            <w:vAlign w:val="center"/>
          </w:tcPr>
          <w:p w14:paraId="1596B1D9">
            <w:pPr>
              <w:pStyle w:val="33"/>
              <w:rPr>
                <w:color w:val="auto"/>
              </w:rPr>
            </w:pPr>
            <w:r>
              <w:rPr>
                <w:color w:val="auto"/>
              </w:rPr>
              <w:t>清水</w:t>
            </w:r>
          </w:p>
        </w:tc>
        <w:tc>
          <w:tcPr>
            <w:tcW w:w="501" w:type="pct"/>
            <w:noWrap/>
            <w:vAlign w:val="center"/>
          </w:tcPr>
          <w:p w14:paraId="5131A11B">
            <w:pPr>
              <w:pStyle w:val="33"/>
              <w:rPr>
                <w:color w:val="auto"/>
              </w:rPr>
            </w:pPr>
            <w:r>
              <w:rPr>
                <w:color w:val="auto"/>
              </w:rPr>
              <w:t>18900</w:t>
            </w:r>
          </w:p>
        </w:tc>
        <w:tc>
          <w:tcPr>
            <w:tcW w:w="1368" w:type="pct"/>
            <w:noWrap/>
            <w:vAlign w:val="center"/>
          </w:tcPr>
          <w:p w14:paraId="77FE6963">
            <w:pPr>
              <w:pStyle w:val="33"/>
              <w:rPr>
                <w:color w:val="auto"/>
              </w:rPr>
            </w:pPr>
            <w:r>
              <w:rPr>
                <w:color w:val="auto"/>
              </w:rPr>
              <w:t>去1~3#化机浆车间白水</w:t>
            </w:r>
          </w:p>
        </w:tc>
        <w:tc>
          <w:tcPr>
            <w:tcW w:w="501" w:type="pct"/>
            <w:noWrap/>
            <w:vAlign w:val="center"/>
          </w:tcPr>
          <w:p w14:paraId="761E0056">
            <w:pPr>
              <w:pStyle w:val="33"/>
              <w:rPr>
                <w:color w:val="auto"/>
              </w:rPr>
            </w:pPr>
            <w:r>
              <w:rPr>
                <w:color w:val="auto"/>
              </w:rPr>
              <w:t>1476.54</w:t>
            </w:r>
          </w:p>
        </w:tc>
      </w:tr>
      <w:tr w14:paraId="2A35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ADD0B2B">
            <w:pPr>
              <w:pStyle w:val="33"/>
              <w:rPr>
                <w:color w:val="auto"/>
              </w:rPr>
            </w:pPr>
          </w:p>
        </w:tc>
        <w:tc>
          <w:tcPr>
            <w:tcW w:w="1292" w:type="pct"/>
            <w:noWrap/>
            <w:vAlign w:val="center"/>
          </w:tcPr>
          <w:p w14:paraId="7D023960">
            <w:pPr>
              <w:pStyle w:val="33"/>
              <w:rPr>
                <w:color w:val="auto"/>
              </w:rPr>
            </w:pPr>
            <w:r>
              <w:rPr>
                <w:color w:val="auto"/>
              </w:rPr>
              <w:t>自制浆中含水</w:t>
            </w:r>
          </w:p>
        </w:tc>
        <w:tc>
          <w:tcPr>
            <w:tcW w:w="501" w:type="pct"/>
            <w:noWrap/>
            <w:vAlign w:val="center"/>
          </w:tcPr>
          <w:p w14:paraId="59600006">
            <w:pPr>
              <w:pStyle w:val="33"/>
              <w:rPr>
                <w:color w:val="auto"/>
              </w:rPr>
            </w:pPr>
            <w:r>
              <w:rPr>
                <w:color w:val="auto"/>
              </w:rPr>
              <w:t>28088</w:t>
            </w:r>
          </w:p>
        </w:tc>
        <w:tc>
          <w:tcPr>
            <w:tcW w:w="1368" w:type="pct"/>
            <w:noWrap/>
            <w:vAlign w:val="center"/>
          </w:tcPr>
          <w:p w14:paraId="52EDD29A">
            <w:pPr>
              <w:pStyle w:val="33"/>
              <w:rPr>
                <w:color w:val="auto"/>
              </w:rPr>
            </w:pPr>
            <w:r>
              <w:rPr>
                <w:color w:val="auto"/>
              </w:rPr>
              <w:t>干燥散汽</w:t>
            </w:r>
          </w:p>
        </w:tc>
        <w:tc>
          <w:tcPr>
            <w:tcW w:w="501" w:type="pct"/>
            <w:noWrap/>
            <w:vAlign w:val="center"/>
          </w:tcPr>
          <w:p w14:paraId="08B5316B">
            <w:pPr>
              <w:pStyle w:val="33"/>
              <w:rPr>
                <w:color w:val="auto"/>
              </w:rPr>
            </w:pPr>
            <w:r>
              <w:rPr>
                <w:color w:val="auto"/>
              </w:rPr>
              <w:t>3441</w:t>
            </w:r>
          </w:p>
        </w:tc>
      </w:tr>
      <w:tr w14:paraId="26505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4E295FB">
            <w:pPr>
              <w:pStyle w:val="33"/>
              <w:rPr>
                <w:color w:val="auto"/>
              </w:rPr>
            </w:pPr>
          </w:p>
        </w:tc>
        <w:tc>
          <w:tcPr>
            <w:tcW w:w="1292" w:type="pct"/>
            <w:noWrap/>
            <w:vAlign w:val="center"/>
          </w:tcPr>
          <w:p w14:paraId="63A0B94A">
            <w:pPr>
              <w:pStyle w:val="33"/>
              <w:rPr>
                <w:color w:val="auto"/>
              </w:rPr>
            </w:pPr>
            <w:r>
              <w:rPr>
                <w:color w:val="auto"/>
              </w:rPr>
              <w:t>外购浆中含水</w:t>
            </w:r>
          </w:p>
        </w:tc>
        <w:tc>
          <w:tcPr>
            <w:tcW w:w="501" w:type="pct"/>
            <w:noWrap/>
            <w:vAlign w:val="center"/>
          </w:tcPr>
          <w:p w14:paraId="27F1366F">
            <w:pPr>
              <w:pStyle w:val="33"/>
              <w:rPr>
                <w:color w:val="auto"/>
              </w:rPr>
            </w:pPr>
            <w:r>
              <w:rPr>
                <w:color w:val="auto"/>
              </w:rPr>
              <w:t>69.54248</w:t>
            </w:r>
          </w:p>
        </w:tc>
        <w:tc>
          <w:tcPr>
            <w:tcW w:w="1368" w:type="pct"/>
            <w:noWrap/>
            <w:vAlign w:val="center"/>
          </w:tcPr>
          <w:p w14:paraId="6BC1FF09">
            <w:pPr>
              <w:pStyle w:val="33"/>
              <w:rPr>
                <w:color w:val="auto"/>
              </w:rPr>
            </w:pPr>
            <w:r>
              <w:rPr>
                <w:color w:val="auto"/>
              </w:rPr>
              <w:t>废水</w:t>
            </w:r>
          </w:p>
        </w:tc>
        <w:tc>
          <w:tcPr>
            <w:tcW w:w="501" w:type="pct"/>
            <w:noWrap/>
            <w:vAlign w:val="center"/>
          </w:tcPr>
          <w:p w14:paraId="0C61FDC0">
            <w:pPr>
              <w:pStyle w:val="33"/>
              <w:rPr>
                <w:color w:val="auto"/>
              </w:rPr>
            </w:pPr>
            <w:r>
              <w:rPr>
                <w:color w:val="auto"/>
              </w:rPr>
              <w:t>19285</w:t>
            </w:r>
          </w:p>
        </w:tc>
      </w:tr>
      <w:tr w14:paraId="37BA0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41D2504">
            <w:pPr>
              <w:pStyle w:val="33"/>
              <w:rPr>
                <w:color w:val="auto"/>
              </w:rPr>
            </w:pPr>
          </w:p>
        </w:tc>
        <w:tc>
          <w:tcPr>
            <w:tcW w:w="1292" w:type="pct"/>
            <w:noWrap/>
            <w:vAlign w:val="center"/>
          </w:tcPr>
          <w:p w14:paraId="1D22056A">
            <w:pPr>
              <w:pStyle w:val="33"/>
              <w:rPr>
                <w:rFonts w:eastAsia="Times New Roman" w:cs="Times New Roman"/>
                <w:color w:val="auto"/>
                <w:sz w:val="20"/>
                <w:szCs w:val="20"/>
              </w:rPr>
            </w:pPr>
          </w:p>
        </w:tc>
        <w:tc>
          <w:tcPr>
            <w:tcW w:w="501" w:type="pct"/>
            <w:noWrap/>
            <w:vAlign w:val="center"/>
          </w:tcPr>
          <w:p w14:paraId="3D3669D5">
            <w:pPr>
              <w:pStyle w:val="33"/>
              <w:rPr>
                <w:rFonts w:eastAsia="Times New Roman" w:cs="Times New Roman"/>
                <w:color w:val="auto"/>
                <w:sz w:val="20"/>
                <w:szCs w:val="20"/>
              </w:rPr>
            </w:pPr>
          </w:p>
        </w:tc>
        <w:tc>
          <w:tcPr>
            <w:tcW w:w="1368" w:type="pct"/>
            <w:noWrap/>
            <w:vAlign w:val="center"/>
          </w:tcPr>
          <w:p w14:paraId="6B86DE4D">
            <w:pPr>
              <w:pStyle w:val="33"/>
              <w:rPr>
                <w:color w:val="auto"/>
              </w:rPr>
            </w:pPr>
            <w:r>
              <w:rPr>
                <w:color w:val="auto"/>
              </w:rPr>
              <w:t>去4#化机浆车间白水</w:t>
            </w:r>
          </w:p>
        </w:tc>
        <w:tc>
          <w:tcPr>
            <w:tcW w:w="501" w:type="pct"/>
            <w:noWrap/>
            <w:vAlign w:val="center"/>
          </w:tcPr>
          <w:p w14:paraId="300B2C94">
            <w:pPr>
              <w:pStyle w:val="33"/>
              <w:rPr>
                <w:color w:val="auto"/>
              </w:rPr>
            </w:pPr>
            <w:r>
              <w:rPr>
                <w:color w:val="auto"/>
              </w:rPr>
              <w:t>22855</w:t>
            </w:r>
          </w:p>
        </w:tc>
      </w:tr>
      <w:tr w14:paraId="47102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15E045E5">
            <w:pPr>
              <w:pStyle w:val="33"/>
              <w:rPr>
                <w:color w:val="auto"/>
              </w:rPr>
            </w:pPr>
            <w:r>
              <w:rPr>
                <w:color w:val="auto"/>
              </w:rPr>
              <w:t>2#化学水车间</w:t>
            </w:r>
          </w:p>
        </w:tc>
        <w:tc>
          <w:tcPr>
            <w:tcW w:w="1292" w:type="pct"/>
            <w:noWrap/>
            <w:vAlign w:val="center"/>
          </w:tcPr>
          <w:p w14:paraId="57E6306A">
            <w:pPr>
              <w:pStyle w:val="33"/>
              <w:rPr>
                <w:color w:val="auto"/>
              </w:rPr>
            </w:pPr>
            <w:r>
              <w:rPr>
                <w:color w:val="auto"/>
              </w:rPr>
              <w:t>清水</w:t>
            </w:r>
          </w:p>
        </w:tc>
        <w:tc>
          <w:tcPr>
            <w:tcW w:w="501" w:type="pct"/>
            <w:noWrap/>
            <w:vAlign w:val="center"/>
          </w:tcPr>
          <w:p w14:paraId="34DC44A0">
            <w:pPr>
              <w:pStyle w:val="33"/>
              <w:rPr>
                <w:color w:val="auto"/>
              </w:rPr>
            </w:pPr>
            <w:r>
              <w:rPr>
                <w:color w:val="auto"/>
              </w:rPr>
              <w:t>2352.4</w:t>
            </w:r>
          </w:p>
        </w:tc>
        <w:tc>
          <w:tcPr>
            <w:tcW w:w="1368" w:type="pct"/>
            <w:noWrap/>
            <w:vAlign w:val="center"/>
          </w:tcPr>
          <w:p w14:paraId="01417A1B">
            <w:pPr>
              <w:pStyle w:val="33"/>
              <w:rPr>
                <w:color w:val="auto"/>
              </w:rPr>
            </w:pPr>
            <w:r>
              <w:rPr>
                <w:color w:val="auto"/>
              </w:rPr>
              <w:t>去3#锅炉</w:t>
            </w:r>
          </w:p>
        </w:tc>
        <w:tc>
          <w:tcPr>
            <w:tcW w:w="501" w:type="pct"/>
            <w:noWrap/>
            <w:vAlign w:val="center"/>
          </w:tcPr>
          <w:p w14:paraId="47F61854">
            <w:pPr>
              <w:pStyle w:val="33"/>
              <w:rPr>
                <w:color w:val="auto"/>
              </w:rPr>
            </w:pPr>
            <w:r>
              <w:rPr>
                <w:color w:val="auto"/>
              </w:rPr>
              <w:t>12938.4</w:t>
            </w:r>
          </w:p>
        </w:tc>
      </w:tr>
      <w:tr w14:paraId="5AD49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11CF160">
            <w:pPr>
              <w:pStyle w:val="33"/>
              <w:rPr>
                <w:color w:val="auto"/>
              </w:rPr>
            </w:pPr>
          </w:p>
        </w:tc>
        <w:tc>
          <w:tcPr>
            <w:tcW w:w="1292" w:type="pct"/>
            <w:noWrap/>
            <w:vAlign w:val="center"/>
          </w:tcPr>
          <w:p w14:paraId="5E64D94C">
            <w:pPr>
              <w:pStyle w:val="33"/>
              <w:rPr>
                <w:color w:val="auto"/>
              </w:rPr>
            </w:pPr>
            <w:r>
              <w:rPr>
                <w:color w:val="auto"/>
              </w:rPr>
              <w:t>蒸汽冷凝水</w:t>
            </w:r>
          </w:p>
        </w:tc>
        <w:tc>
          <w:tcPr>
            <w:tcW w:w="501" w:type="pct"/>
            <w:noWrap/>
            <w:vAlign w:val="center"/>
          </w:tcPr>
          <w:p w14:paraId="5DF12840">
            <w:pPr>
              <w:pStyle w:val="33"/>
              <w:rPr>
                <w:color w:val="auto"/>
              </w:rPr>
            </w:pPr>
            <w:r>
              <w:rPr>
                <w:color w:val="auto"/>
              </w:rPr>
              <w:t>6960</w:t>
            </w:r>
          </w:p>
        </w:tc>
        <w:tc>
          <w:tcPr>
            <w:tcW w:w="1368" w:type="pct"/>
            <w:noWrap/>
            <w:vAlign w:val="center"/>
          </w:tcPr>
          <w:p w14:paraId="07A211D2">
            <w:pPr>
              <w:pStyle w:val="33"/>
              <w:rPr>
                <w:color w:val="auto"/>
              </w:rPr>
            </w:pPr>
            <w:r>
              <w:rPr>
                <w:color w:val="auto"/>
              </w:rPr>
              <w:t>废水</w:t>
            </w:r>
          </w:p>
        </w:tc>
        <w:tc>
          <w:tcPr>
            <w:tcW w:w="501" w:type="pct"/>
            <w:noWrap/>
            <w:vAlign w:val="center"/>
          </w:tcPr>
          <w:p w14:paraId="6F924E59">
            <w:pPr>
              <w:pStyle w:val="33"/>
              <w:rPr>
                <w:color w:val="auto"/>
              </w:rPr>
            </w:pPr>
            <w:r>
              <w:rPr>
                <w:color w:val="auto"/>
              </w:rPr>
              <w:t>130</w:t>
            </w:r>
          </w:p>
        </w:tc>
      </w:tr>
      <w:tr w14:paraId="77395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2945740A">
            <w:pPr>
              <w:pStyle w:val="33"/>
              <w:rPr>
                <w:color w:val="auto"/>
              </w:rPr>
            </w:pPr>
          </w:p>
        </w:tc>
        <w:tc>
          <w:tcPr>
            <w:tcW w:w="1292" w:type="pct"/>
            <w:noWrap/>
            <w:vAlign w:val="center"/>
          </w:tcPr>
          <w:p w14:paraId="68816B1D">
            <w:pPr>
              <w:pStyle w:val="33"/>
              <w:rPr>
                <w:color w:val="auto"/>
              </w:rPr>
            </w:pPr>
            <w:r>
              <w:rPr>
                <w:color w:val="auto"/>
              </w:rPr>
              <w:t>3#锅炉回水</w:t>
            </w:r>
          </w:p>
        </w:tc>
        <w:tc>
          <w:tcPr>
            <w:tcW w:w="501" w:type="pct"/>
            <w:noWrap/>
            <w:vAlign w:val="center"/>
          </w:tcPr>
          <w:p w14:paraId="47F71C50">
            <w:pPr>
              <w:pStyle w:val="33"/>
              <w:rPr>
                <w:color w:val="auto"/>
              </w:rPr>
            </w:pPr>
            <w:r>
              <w:rPr>
                <w:color w:val="auto"/>
              </w:rPr>
              <w:t>3756</w:t>
            </w:r>
          </w:p>
        </w:tc>
        <w:tc>
          <w:tcPr>
            <w:tcW w:w="1368" w:type="pct"/>
            <w:noWrap/>
            <w:vAlign w:val="center"/>
          </w:tcPr>
          <w:p w14:paraId="6E060EAA">
            <w:pPr>
              <w:pStyle w:val="33"/>
              <w:rPr>
                <w:color w:val="auto"/>
              </w:rPr>
            </w:pPr>
          </w:p>
        </w:tc>
        <w:tc>
          <w:tcPr>
            <w:tcW w:w="501" w:type="pct"/>
            <w:noWrap/>
            <w:vAlign w:val="center"/>
          </w:tcPr>
          <w:p w14:paraId="796D7548">
            <w:pPr>
              <w:pStyle w:val="33"/>
              <w:rPr>
                <w:rFonts w:eastAsia="Times New Roman" w:cs="Times New Roman"/>
                <w:color w:val="auto"/>
                <w:sz w:val="20"/>
                <w:szCs w:val="20"/>
              </w:rPr>
            </w:pPr>
          </w:p>
        </w:tc>
      </w:tr>
      <w:tr w14:paraId="697A3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61AF9A58">
            <w:pPr>
              <w:pStyle w:val="33"/>
              <w:rPr>
                <w:color w:val="auto"/>
              </w:rPr>
            </w:pPr>
            <w:r>
              <w:rPr>
                <w:color w:val="auto"/>
              </w:rPr>
              <w:t>3#锅炉</w:t>
            </w:r>
          </w:p>
        </w:tc>
        <w:tc>
          <w:tcPr>
            <w:tcW w:w="1292" w:type="pct"/>
            <w:noWrap/>
            <w:vAlign w:val="center"/>
          </w:tcPr>
          <w:p w14:paraId="28C11BE1">
            <w:pPr>
              <w:pStyle w:val="33"/>
              <w:rPr>
                <w:color w:val="auto"/>
              </w:rPr>
            </w:pPr>
            <w:r>
              <w:rPr>
                <w:color w:val="auto"/>
              </w:rPr>
              <w:t>脱硫脱硝用清水</w:t>
            </w:r>
          </w:p>
        </w:tc>
        <w:tc>
          <w:tcPr>
            <w:tcW w:w="501" w:type="pct"/>
            <w:noWrap/>
            <w:vAlign w:val="center"/>
          </w:tcPr>
          <w:p w14:paraId="13574E86">
            <w:pPr>
              <w:pStyle w:val="33"/>
              <w:rPr>
                <w:color w:val="auto"/>
              </w:rPr>
            </w:pPr>
            <w:r>
              <w:rPr>
                <w:color w:val="auto"/>
              </w:rPr>
              <w:t>966</w:t>
            </w:r>
          </w:p>
        </w:tc>
        <w:tc>
          <w:tcPr>
            <w:tcW w:w="1368" w:type="pct"/>
            <w:noWrap/>
            <w:vAlign w:val="center"/>
          </w:tcPr>
          <w:p w14:paraId="176C1E9C">
            <w:pPr>
              <w:pStyle w:val="33"/>
              <w:rPr>
                <w:color w:val="auto"/>
              </w:rPr>
            </w:pPr>
            <w:r>
              <w:rPr>
                <w:color w:val="auto"/>
              </w:rPr>
              <w:t>蒸汽</w:t>
            </w:r>
          </w:p>
        </w:tc>
        <w:tc>
          <w:tcPr>
            <w:tcW w:w="501" w:type="pct"/>
            <w:noWrap/>
            <w:vAlign w:val="center"/>
          </w:tcPr>
          <w:p w14:paraId="29DEF56E">
            <w:pPr>
              <w:pStyle w:val="33"/>
              <w:rPr>
                <w:color w:val="auto"/>
              </w:rPr>
            </w:pPr>
            <w:r>
              <w:rPr>
                <w:color w:val="auto"/>
              </w:rPr>
              <w:t>9079.2</w:t>
            </w:r>
          </w:p>
        </w:tc>
      </w:tr>
      <w:tr w14:paraId="4A48A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119AF39A">
            <w:pPr>
              <w:pStyle w:val="33"/>
              <w:rPr>
                <w:color w:val="auto"/>
              </w:rPr>
            </w:pPr>
          </w:p>
        </w:tc>
        <w:tc>
          <w:tcPr>
            <w:tcW w:w="1292" w:type="pct"/>
            <w:noWrap/>
            <w:vAlign w:val="center"/>
          </w:tcPr>
          <w:p w14:paraId="00801192">
            <w:pPr>
              <w:pStyle w:val="33"/>
              <w:rPr>
                <w:color w:val="auto"/>
              </w:rPr>
            </w:pPr>
            <w:r>
              <w:rPr>
                <w:color w:val="auto"/>
              </w:rPr>
              <w:t>2#化学水车间来水</w:t>
            </w:r>
          </w:p>
        </w:tc>
        <w:tc>
          <w:tcPr>
            <w:tcW w:w="501" w:type="pct"/>
            <w:noWrap/>
            <w:vAlign w:val="center"/>
          </w:tcPr>
          <w:p w14:paraId="4C2ED179">
            <w:pPr>
              <w:pStyle w:val="33"/>
              <w:rPr>
                <w:color w:val="auto"/>
              </w:rPr>
            </w:pPr>
            <w:r>
              <w:rPr>
                <w:color w:val="auto"/>
              </w:rPr>
              <w:t>12938.4</w:t>
            </w:r>
          </w:p>
        </w:tc>
        <w:tc>
          <w:tcPr>
            <w:tcW w:w="1368" w:type="pct"/>
            <w:noWrap/>
            <w:vAlign w:val="center"/>
          </w:tcPr>
          <w:p w14:paraId="3B26FB15">
            <w:pPr>
              <w:pStyle w:val="33"/>
              <w:rPr>
                <w:color w:val="auto"/>
              </w:rPr>
            </w:pPr>
            <w:r>
              <w:rPr>
                <w:color w:val="auto"/>
              </w:rPr>
              <w:t>去2#化学水车间</w:t>
            </w:r>
          </w:p>
        </w:tc>
        <w:tc>
          <w:tcPr>
            <w:tcW w:w="501" w:type="pct"/>
            <w:noWrap/>
            <w:vAlign w:val="center"/>
          </w:tcPr>
          <w:p w14:paraId="617B17B0">
            <w:pPr>
              <w:pStyle w:val="33"/>
              <w:rPr>
                <w:color w:val="auto"/>
              </w:rPr>
            </w:pPr>
            <w:r>
              <w:rPr>
                <w:color w:val="auto"/>
              </w:rPr>
              <w:t>3756</w:t>
            </w:r>
          </w:p>
        </w:tc>
      </w:tr>
      <w:tr w14:paraId="1C0B1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0C4E254">
            <w:pPr>
              <w:pStyle w:val="33"/>
              <w:rPr>
                <w:color w:val="auto"/>
              </w:rPr>
            </w:pPr>
          </w:p>
        </w:tc>
        <w:tc>
          <w:tcPr>
            <w:tcW w:w="1292" w:type="pct"/>
            <w:noWrap/>
            <w:vAlign w:val="center"/>
          </w:tcPr>
          <w:p w14:paraId="7C2BA64D">
            <w:pPr>
              <w:pStyle w:val="33"/>
              <w:rPr>
                <w:rFonts w:eastAsia="Times New Roman" w:cs="Times New Roman"/>
                <w:color w:val="auto"/>
                <w:sz w:val="20"/>
                <w:szCs w:val="20"/>
              </w:rPr>
            </w:pPr>
          </w:p>
        </w:tc>
        <w:tc>
          <w:tcPr>
            <w:tcW w:w="501" w:type="pct"/>
            <w:noWrap/>
            <w:vAlign w:val="center"/>
          </w:tcPr>
          <w:p w14:paraId="3197C67E">
            <w:pPr>
              <w:pStyle w:val="33"/>
              <w:rPr>
                <w:rFonts w:eastAsia="Times New Roman" w:cs="Times New Roman"/>
                <w:color w:val="auto"/>
                <w:sz w:val="20"/>
                <w:szCs w:val="20"/>
              </w:rPr>
            </w:pPr>
          </w:p>
        </w:tc>
        <w:tc>
          <w:tcPr>
            <w:tcW w:w="1368" w:type="pct"/>
            <w:noWrap/>
            <w:vAlign w:val="center"/>
          </w:tcPr>
          <w:p w14:paraId="26A6A69E">
            <w:pPr>
              <w:pStyle w:val="33"/>
              <w:rPr>
                <w:color w:val="auto"/>
              </w:rPr>
            </w:pPr>
            <w:r>
              <w:rPr>
                <w:color w:val="auto"/>
              </w:rPr>
              <w:t>汽水及气封损失</w:t>
            </w:r>
          </w:p>
        </w:tc>
        <w:tc>
          <w:tcPr>
            <w:tcW w:w="501" w:type="pct"/>
            <w:noWrap/>
            <w:vAlign w:val="center"/>
          </w:tcPr>
          <w:p w14:paraId="6252C2E1">
            <w:pPr>
              <w:pStyle w:val="33"/>
              <w:rPr>
                <w:color w:val="auto"/>
              </w:rPr>
            </w:pPr>
            <w:r>
              <w:rPr>
                <w:color w:val="auto"/>
              </w:rPr>
              <w:t>28.8</w:t>
            </w:r>
          </w:p>
        </w:tc>
      </w:tr>
      <w:tr w14:paraId="799BB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706BAB8E">
            <w:pPr>
              <w:pStyle w:val="33"/>
              <w:rPr>
                <w:color w:val="auto"/>
              </w:rPr>
            </w:pPr>
          </w:p>
        </w:tc>
        <w:tc>
          <w:tcPr>
            <w:tcW w:w="1292" w:type="pct"/>
            <w:noWrap/>
            <w:vAlign w:val="center"/>
          </w:tcPr>
          <w:p w14:paraId="6DA14C1C">
            <w:pPr>
              <w:pStyle w:val="33"/>
              <w:rPr>
                <w:rFonts w:eastAsia="Times New Roman" w:cs="Times New Roman"/>
                <w:color w:val="auto"/>
                <w:sz w:val="20"/>
                <w:szCs w:val="20"/>
              </w:rPr>
            </w:pPr>
          </w:p>
        </w:tc>
        <w:tc>
          <w:tcPr>
            <w:tcW w:w="501" w:type="pct"/>
            <w:noWrap/>
            <w:vAlign w:val="center"/>
          </w:tcPr>
          <w:p w14:paraId="5FF1D32B">
            <w:pPr>
              <w:pStyle w:val="33"/>
              <w:rPr>
                <w:rFonts w:eastAsia="Times New Roman" w:cs="Times New Roman"/>
                <w:color w:val="auto"/>
                <w:sz w:val="20"/>
                <w:szCs w:val="20"/>
              </w:rPr>
            </w:pPr>
          </w:p>
        </w:tc>
        <w:tc>
          <w:tcPr>
            <w:tcW w:w="1368" w:type="pct"/>
            <w:noWrap/>
            <w:vAlign w:val="center"/>
          </w:tcPr>
          <w:p w14:paraId="5B3F0258">
            <w:pPr>
              <w:pStyle w:val="33"/>
              <w:rPr>
                <w:color w:val="auto"/>
              </w:rPr>
            </w:pPr>
            <w:r>
              <w:rPr>
                <w:color w:val="auto"/>
              </w:rPr>
              <w:t>锅炉排水</w:t>
            </w:r>
          </w:p>
        </w:tc>
        <w:tc>
          <w:tcPr>
            <w:tcW w:w="501" w:type="pct"/>
            <w:noWrap/>
            <w:vAlign w:val="center"/>
          </w:tcPr>
          <w:p w14:paraId="1B49CF20">
            <w:pPr>
              <w:pStyle w:val="33"/>
              <w:rPr>
                <w:color w:val="auto"/>
              </w:rPr>
            </w:pPr>
            <w:r>
              <w:rPr>
                <w:color w:val="auto"/>
              </w:rPr>
              <w:t>74.4</w:t>
            </w:r>
          </w:p>
        </w:tc>
      </w:tr>
      <w:tr w14:paraId="2F291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664892E4">
            <w:pPr>
              <w:pStyle w:val="33"/>
              <w:rPr>
                <w:color w:val="auto"/>
              </w:rPr>
            </w:pPr>
          </w:p>
        </w:tc>
        <w:tc>
          <w:tcPr>
            <w:tcW w:w="1292" w:type="pct"/>
            <w:noWrap/>
            <w:vAlign w:val="center"/>
          </w:tcPr>
          <w:p w14:paraId="09381544">
            <w:pPr>
              <w:pStyle w:val="33"/>
              <w:rPr>
                <w:rFonts w:eastAsia="Times New Roman" w:cs="Times New Roman"/>
                <w:color w:val="auto"/>
                <w:sz w:val="20"/>
                <w:szCs w:val="20"/>
              </w:rPr>
            </w:pPr>
          </w:p>
        </w:tc>
        <w:tc>
          <w:tcPr>
            <w:tcW w:w="501" w:type="pct"/>
            <w:noWrap/>
            <w:vAlign w:val="center"/>
          </w:tcPr>
          <w:p w14:paraId="47947C6A">
            <w:pPr>
              <w:pStyle w:val="33"/>
              <w:rPr>
                <w:rFonts w:eastAsia="Times New Roman" w:cs="Times New Roman"/>
                <w:color w:val="auto"/>
                <w:sz w:val="20"/>
                <w:szCs w:val="20"/>
              </w:rPr>
            </w:pPr>
          </w:p>
        </w:tc>
        <w:tc>
          <w:tcPr>
            <w:tcW w:w="1368" w:type="pct"/>
            <w:noWrap/>
            <w:vAlign w:val="center"/>
          </w:tcPr>
          <w:p w14:paraId="2675B684">
            <w:pPr>
              <w:pStyle w:val="33"/>
              <w:rPr>
                <w:color w:val="auto"/>
              </w:rPr>
            </w:pPr>
            <w:r>
              <w:rPr>
                <w:color w:val="auto"/>
              </w:rPr>
              <w:t>脱硫脱硝排水</w:t>
            </w:r>
          </w:p>
        </w:tc>
        <w:tc>
          <w:tcPr>
            <w:tcW w:w="501" w:type="pct"/>
            <w:noWrap/>
            <w:vAlign w:val="center"/>
          </w:tcPr>
          <w:p w14:paraId="0CE7AEC9">
            <w:pPr>
              <w:pStyle w:val="33"/>
              <w:rPr>
                <w:color w:val="auto"/>
              </w:rPr>
            </w:pPr>
            <w:r>
              <w:rPr>
                <w:color w:val="auto"/>
              </w:rPr>
              <w:t>72</w:t>
            </w:r>
          </w:p>
        </w:tc>
      </w:tr>
      <w:tr w14:paraId="46BF1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57681D14">
            <w:pPr>
              <w:pStyle w:val="33"/>
              <w:rPr>
                <w:color w:val="auto"/>
              </w:rPr>
            </w:pPr>
          </w:p>
        </w:tc>
        <w:tc>
          <w:tcPr>
            <w:tcW w:w="1292" w:type="pct"/>
            <w:noWrap/>
            <w:vAlign w:val="center"/>
          </w:tcPr>
          <w:p w14:paraId="50307489">
            <w:pPr>
              <w:pStyle w:val="33"/>
              <w:rPr>
                <w:rFonts w:eastAsia="Times New Roman" w:cs="Times New Roman"/>
                <w:color w:val="auto"/>
                <w:sz w:val="20"/>
                <w:szCs w:val="20"/>
              </w:rPr>
            </w:pPr>
          </w:p>
        </w:tc>
        <w:tc>
          <w:tcPr>
            <w:tcW w:w="501" w:type="pct"/>
            <w:noWrap/>
            <w:vAlign w:val="center"/>
          </w:tcPr>
          <w:p w14:paraId="6DF397AA">
            <w:pPr>
              <w:pStyle w:val="33"/>
              <w:rPr>
                <w:rFonts w:eastAsia="Times New Roman" w:cs="Times New Roman"/>
                <w:color w:val="auto"/>
                <w:sz w:val="20"/>
                <w:szCs w:val="20"/>
              </w:rPr>
            </w:pPr>
          </w:p>
        </w:tc>
        <w:tc>
          <w:tcPr>
            <w:tcW w:w="1368" w:type="pct"/>
            <w:noWrap/>
            <w:vAlign w:val="center"/>
          </w:tcPr>
          <w:p w14:paraId="350E442D">
            <w:pPr>
              <w:pStyle w:val="33"/>
              <w:rPr>
                <w:color w:val="auto"/>
              </w:rPr>
            </w:pPr>
            <w:r>
              <w:rPr>
                <w:color w:val="auto"/>
              </w:rPr>
              <w:t>脱硫脱硝损失</w:t>
            </w:r>
          </w:p>
        </w:tc>
        <w:tc>
          <w:tcPr>
            <w:tcW w:w="501" w:type="pct"/>
            <w:noWrap/>
            <w:vAlign w:val="center"/>
          </w:tcPr>
          <w:p w14:paraId="7F5A5014">
            <w:pPr>
              <w:pStyle w:val="33"/>
              <w:rPr>
                <w:color w:val="auto"/>
              </w:rPr>
            </w:pPr>
            <w:r>
              <w:rPr>
                <w:color w:val="auto"/>
              </w:rPr>
              <w:t>894</w:t>
            </w:r>
          </w:p>
        </w:tc>
      </w:tr>
      <w:tr w14:paraId="1F95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restart"/>
            <w:noWrap/>
            <w:vAlign w:val="center"/>
          </w:tcPr>
          <w:p w14:paraId="537460E2">
            <w:pPr>
              <w:pStyle w:val="33"/>
              <w:rPr>
                <w:color w:val="auto"/>
              </w:rPr>
            </w:pPr>
            <w:r>
              <w:rPr>
                <w:color w:val="auto"/>
              </w:rPr>
              <w:t>已批180万吨项目生活用水</w:t>
            </w:r>
          </w:p>
        </w:tc>
        <w:tc>
          <w:tcPr>
            <w:tcW w:w="1292" w:type="pct"/>
            <w:noWrap/>
            <w:vAlign w:val="center"/>
          </w:tcPr>
          <w:p w14:paraId="32B5922C">
            <w:pPr>
              <w:pStyle w:val="33"/>
              <w:rPr>
                <w:color w:val="auto"/>
              </w:rPr>
            </w:pPr>
            <w:r>
              <w:rPr>
                <w:color w:val="auto"/>
              </w:rPr>
              <w:t>清水</w:t>
            </w:r>
          </w:p>
        </w:tc>
        <w:tc>
          <w:tcPr>
            <w:tcW w:w="501" w:type="pct"/>
            <w:noWrap/>
            <w:vAlign w:val="center"/>
          </w:tcPr>
          <w:p w14:paraId="7AB57FA4">
            <w:pPr>
              <w:pStyle w:val="33"/>
              <w:rPr>
                <w:color w:val="auto"/>
              </w:rPr>
            </w:pPr>
            <w:r>
              <w:rPr>
                <w:color w:val="auto"/>
              </w:rPr>
              <w:t>60</w:t>
            </w:r>
          </w:p>
        </w:tc>
        <w:tc>
          <w:tcPr>
            <w:tcW w:w="1368" w:type="pct"/>
            <w:noWrap/>
            <w:vAlign w:val="center"/>
          </w:tcPr>
          <w:p w14:paraId="1FEEB8BB">
            <w:pPr>
              <w:pStyle w:val="33"/>
              <w:rPr>
                <w:color w:val="auto"/>
              </w:rPr>
            </w:pPr>
            <w:r>
              <w:rPr>
                <w:color w:val="auto"/>
              </w:rPr>
              <w:t>损失</w:t>
            </w:r>
          </w:p>
        </w:tc>
        <w:tc>
          <w:tcPr>
            <w:tcW w:w="501" w:type="pct"/>
            <w:noWrap/>
            <w:vAlign w:val="center"/>
          </w:tcPr>
          <w:p w14:paraId="2431A50B">
            <w:pPr>
              <w:pStyle w:val="33"/>
              <w:rPr>
                <w:color w:val="auto"/>
              </w:rPr>
            </w:pPr>
            <w:r>
              <w:rPr>
                <w:color w:val="auto"/>
              </w:rPr>
              <w:t>6</w:t>
            </w:r>
          </w:p>
        </w:tc>
      </w:tr>
      <w:tr w14:paraId="756B7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vMerge w:val="continue"/>
            <w:noWrap/>
            <w:vAlign w:val="center"/>
          </w:tcPr>
          <w:p w14:paraId="3F819CAB">
            <w:pPr>
              <w:pStyle w:val="33"/>
              <w:rPr>
                <w:color w:val="auto"/>
              </w:rPr>
            </w:pPr>
          </w:p>
        </w:tc>
        <w:tc>
          <w:tcPr>
            <w:tcW w:w="1292" w:type="pct"/>
            <w:noWrap/>
            <w:vAlign w:val="center"/>
          </w:tcPr>
          <w:p w14:paraId="6A642FC6">
            <w:pPr>
              <w:pStyle w:val="33"/>
              <w:rPr>
                <w:rFonts w:eastAsia="Times New Roman" w:cs="Times New Roman"/>
                <w:color w:val="auto"/>
                <w:sz w:val="20"/>
                <w:szCs w:val="20"/>
              </w:rPr>
            </w:pPr>
          </w:p>
        </w:tc>
        <w:tc>
          <w:tcPr>
            <w:tcW w:w="501" w:type="pct"/>
            <w:noWrap/>
            <w:vAlign w:val="center"/>
          </w:tcPr>
          <w:p w14:paraId="2089AF19">
            <w:pPr>
              <w:pStyle w:val="33"/>
              <w:rPr>
                <w:rFonts w:eastAsia="Times New Roman" w:cs="Times New Roman"/>
                <w:color w:val="auto"/>
                <w:sz w:val="20"/>
                <w:szCs w:val="20"/>
              </w:rPr>
            </w:pPr>
          </w:p>
        </w:tc>
        <w:tc>
          <w:tcPr>
            <w:tcW w:w="1368" w:type="pct"/>
            <w:noWrap/>
            <w:vAlign w:val="center"/>
          </w:tcPr>
          <w:p w14:paraId="5D0F28B3">
            <w:pPr>
              <w:pStyle w:val="33"/>
              <w:rPr>
                <w:color w:val="auto"/>
              </w:rPr>
            </w:pPr>
            <w:r>
              <w:rPr>
                <w:color w:val="auto"/>
              </w:rPr>
              <w:t>废水</w:t>
            </w:r>
          </w:p>
        </w:tc>
        <w:tc>
          <w:tcPr>
            <w:tcW w:w="501" w:type="pct"/>
            <w:noWrap/>
            <w:vAlign w:val="center"/>
          </w:tcPr>
          <w:p w14:paraId="299933F8">
            <w:pPr>
              <w:pStyle w:val="33"/>
              <w:rPr>
                <w:color w:val="auto"/>
              </w:rPr>
            </w:pPr>
            <w:r>
              <w:rPr>
                <w:color w:val="auto"/>
              </w:rPr>
              <w:t>54</w:t>
            </w:r>
          </w:p>
        </w:tc>
      </w:tr>
      <w:tr w14:paraId="16A2B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noWrap/>
            <w:vAlign w:val="center"/>
          </w:tcPr>
          <w:p w14:paraId="5AAD6C25">
            <w:pPr>
              <w:pStyle w:val="33"/>
              <w:rPr>
                <w:color w:val="auto"/>
              </w:rPr>
            </w:pPr>
            <w:r>
              <w:rPr>
                <w:color w:val="auto"/>
              </w:rPr>
              <w:t>2#污水处理站</w:t>
            </w:r>
          </w:p>
        </w:tc>
        <w:tc>
          <w:tcPr>
            <w:tcW w:w="1292" w:type="pct"/>
            <w:noWrap/>
            <w:vAlign w:val="center"/>
          </w:tcPr>
          <w:p w14:paraId="4A1AB61C">
            <w:pPr>
              <w:pStyle w:val="33"/>
              <w:rPr>
                <w:color w:val="auto"/>
              </w:rPr>
            </w:pPr>
            <w:r>
              <w:rPr>
                <w:color w:val="auto"/>
              </w:rPr>
              <w:t>清水</w:t>
            </w:r>
          </w:p>
        </w:tc>
        <w:tc>
          <w:tcPr>
            <w:tcW w:w="501" w:type="pct"/>
            <w:noWrap/>
            <w:vAlign w:val="center"/>
          </w:tcPr>
          <w:p w14:paraId="7DC934DF">
            <w:pPr>
              <w:pStyle w:val="33"/>
              <w:rPr>
                <w:color w:val="auto"/>
              </w:rPr>
            </w:pPr>
            <w:r>
              <w:rPr>
                <w:color w:val="auto"/>
              </w:rPr>
              <w:t>412.82</w:t>
            </w:r>
          </w:p>
        </w:tc>
        <w:tc>
          <w:tcPr>
            <w:tcW w:w="1368" w:type="pct"/>
            <w:noWrap/>
            <w:vAlign w:val="center"/>
          </w:tcPr>
          <w:p w14:paraId="2AFE5403">
            <w:pPr>
              <w:pStyle w:val="33"/>
              <w:rPr>
                <w:color w:val="auto"/>
              </w:rPr>
            </w:pPr>
            <w:r>
              <w:rPr>
                <w:color w:val="auto"/>
              </w:rPr>
              <w:t>废水</w:t>
            </w:r>
          </w:p>
        </w:tc>
        <w:tc>
          <w:tcPr>
            <w:tcW w:w="501" w:type="pct"/>
            <w:noWrap/>
            <w:vAlign w:val="center"/>
          </w:tcPr>
          <w:p w14:paraId="79E9BA72">
            <w:pPr>
              <w:pStyle w:val="33"/>
              <w:rPr>
                <w:color w:val="auto"/>
              </w:rPr>
            </w:pPr>
            <w:r>
              <w:rPr>
                <w:color w:val="auto"/>
              </w:rPr>
              <w:t>412.82</w:t>
            </w:r>
          </w:p>
        </w:tc>
      </w:tr>
      <w:tr w14:paraId="5DE8C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38" w:type="pct"/>
            <w:noWrap/>
            <w:vAlign w:val="center"/>
          </w:tcPr>
          <w:p w14:paraId="0000429A">
            <w:pPr>
              <w:pStyle w:val="33"/>
              <w:rPr>
                <w:color w:val="auto"/>
              </w:rPr>
            </w:pPr>
            <w:r>
              <w:rPr>
                <w:color w:val="auto"/>
              </w:rPr>
              <w:t>已批180万吨项给水处理站</w:t>
            </w:r>
          </w:p>
        </w:tc>
        <w:tc>
          <w:tcPr>
            <w:tcW w:w="1292" w:type="pct"/>
            <w:noWrap/>
            <w:vAlign w:val="center"/>
          </w:tcPr>
          <w:p w14:paraId="2507B1D7">
            <w:pPr>
              <w:pStyle w:val="33"/>
              <w:rPr>
                <w:color w:val="auto"/>
              </w:rPr>
            </w:pPr>
            <w:r>
              <w:rPr>
                <w:color w:val="auto"/>
              </w:rPr>
              <w:t>清水</w:t>
            </w:r>
          </w:p>
        </w:tc>
        <w:tc>
          <w:tcPr>
            <w:tcW w:w="501" w:type="pct"/>
            <w:noWrap/>
            <w:vAlign w:val="center"/>
          </w:tcPr>
          <w:p w14:paraId="333E38CF">
            <w:pPr>
              <w:pStyle w:val="33"/>
              <w:rPr>
                <w:color w:val="auto"/>
              </w:rPr>
            </w:pPr>
            <w:r>
              <w:rPr>
                <w:color w:val="auto"/>
              </w:rPr>
              <w:t>526</w:t>
            </w:r>
          </w:p>
        </w:tc>
        <w:tc>
          <w:tcPr>
            <w:tcW w:w="1368" w:type="pct"/>
            <w:noWrap/>
            <w:vAlign w:val="center"/>
          </w:tcPr>
          <w:p w14:paraId="75162B32">
            <w:pPr>
              <w:pStyle w:val="33"/>
              <w:rPr>
                <w:color w:val="auto"/>
              </w:rPr>
            </w:pPr>
            <w:r>
              <w:rPr>
                <w:color w:val="auto"/>
              </w:rPr>
              <w:t>废水</w:t>
            </w:r>
          </w:p>
        </w:tc>
        <w:tc>
          <w:tcPr>
            <w:tcW w:w="501" w:type="pct"/>
            <w:noWrap/>
            <w:vAlign w:val="center"/>
          </w:tcPr>
          <w:p w14:paraId="6E8420BC">
            <w:pPr>
              <w:pStyle w:val="33"/>
              <w:rPr>
                <w:color w:val="auto"/>
              </w:rPr>
            </w:pPr>
            <w:r>
              <w:rPr>
                <w:color w:val="auto"/>
              </w:rPr>
              <w:t>526</w:t>
            </w:r>
          </w:p>
        </w:tc>
      </w:tr>
    </w:tbl>
    <w:p w14:paraId="77E9E3AF">
      <w:pPr>
        <w:ind w:firstLine="480"/>
        <w:rPr>
          <w:color w:val="auto"/>
        </w:rPr>
      </w:pPr>
    </w:p>
    <w:p w14:paraId="23D849A9">
      <w:pPr>
        <w:ind w:firstLine="480"/>
        <w:rPr>
          <w:color w:val="auto"/>
        </w:rPr>
        <w:sectPr>
          <w:footerReference r:id="rId27" w:type="default"/>
          <w:pgSz w:w="11905" w:h="16838"/>
          <w:pgMar w:top="1418" w:right="1418" w:bottom="1418" w:left="1418" w:header="851" w:footer="851" w:gutter="0"/>
          <w:pgNumType w:fmt="numberInDash"/>
          <w:cols w:space="720" w:num="1"/>
          <w:docGrid w:type="lines" w:linePitch="335" w:charSpace="0"/>
        </w:sectPr>
      </w:pPr>
    </w:p>
    <w:p w14:paraId="3AEDE6D9">
      <w:pPr>
        <w:ind w:firstLine="480"/>
        <w:jc w:val="center"/>
        <w:rPr>
          <w:color w:val="auto"/>
        </w:rPr>
      </w:pPr>
      <w:r>
        <w:rPr>
          <w:rFonts w:hint="eastAsia"/>
          <w:color w:val="auto"/>
        </w:rPr>
        <w:object>
          <v:shape id="_x0000_i1027" o:spt="75" type="#_x0000_t75" style="height:987.5pt;width:413.5pt;" o:ole="t" filled="f" o:preferrelative="t" stroked="f" coordsize="21600,21600">
            <v:path/>
            <v:fill on="f" focussize="0,0"/>
            <v:stroke on="f" joinstyle="miter"/>
            <v:imagedata r:id="rId61" o:title=""/>
            <o:lock v:ext="edit" aspectratio="t"/>
            <w10:wrap type="none"/>
            <w10:anchorlock/>
          </v:shape>
          <o:OLEObject Type="Embed" ProgID="Visio.Drawing.15" ShapeID="_x0000_i1027" DrawAspect="Content" ObjectID="_1468075727" r:id="rId60">
            <o:LockedField>false</o:LockedField>
          </o:OLEObject>
        </w:object>
      </w:r>
    </w:p>
    <w:p w14:paraId="7A0D136C">
      <w:pPr>
        <w:pStyle w:val="8"/>
        <w:rPr>
          <w:color w:val="auto"/>
        </w:rPr>
      </w:pPr>
      <w:r>
        <w:rPr>
          <w:rFonts w:hint="eastAsia"/>
          <w:color w:val="auto"/>
        </w:rPr>
        <w:t>项目建成后全厂水平衡图</w:t>
      </w:r>
    </w:p>
    <w:p w14:paraId="64C224C4">
      <w:pPr>
        <w:ind w:firstLine="480"/>
        <w:rPr>
          <w:color w:val="auto"/>
        </w:rPr>
        <w:sectPr>
          <w:pgSz w:w="16838" w:h="23811"/>
          <w:pgMar w:top="1418" w:right="1418" w:bottom="1418" w:left="1418" w:header="851" w:footer="851" w:gutter="0"/>
          <w:pgNumType w:fmt="numberInDash"/>
          <w:cols w:space="720" w:num="1"/>
          <w:docGrid w:type="lines" w:linePitch="335" w:charSpace="0"/>
        </w:sectPr>
      </w:pPr>
    </w:p>
    <w:p w14:paraId="4746A9F0">
      <w:pPr>
        <w:pStyle w:val="3"/>
        <w:rPr>
          <w:color w:val="auto"/>
        </w:rPr>
      </w:pPr>
      <w:bookmarkStart w:id="208" w:name="_Toc221355713"/>
      <w:bookmarkStart w:id="209" w:name="_Toc225216709"/>
      <w:r>
        <w:rPr>
          <w:color w:val="auto"/>
        </w:rPr>
        <w:t>施工期污染源分析</w:t>
      </w:r>
      <w:bookmarkEnd w:id="208"/>
      <w:bookmarkEnd w:id="209"/>
    </w:p>
    <w:p w14:paraId="181615F9">
      <w:pPr>
        <w:ind w:firstLine="480"/>
        <w:rPr>
          <w:color w:val="auto"/>
        </w:rPr>
      </w:pPr>
      <w:r>
        <w:rPr>
          <w:rFonts w:hint="eastAsia"/>
          <w:color w:val="auto"/>
        </w:rPr>
        <w:t>本项目生产线改造不涉及建筑物建设，施工期影响主要为污水处理站设施的构筑物建设、设备的安装及管道施工，主要包括场地平整、基础开挖、主体工程及设备安装。除工程构筑物永久性占地为持续性影响外，其余影响只在施工期内存在，影响范围较小，时间较短，预计本项目土建工程约18个月。</w:t>
      </w:r>
    </w:p>
    <w:p w14:paraId="2255C082">
      <w:pPr>
        <w:ind w:firstLine="480"/>
        <w:rPr>
          <w:color w:val="auto"/>
        </w:rPr>
      </w:pPr>
      <w:r>
        <w:rPr>
          <w:rFonts w:hint="eastAsia"/>
          <w:color w:val="auto"/>
        </w:rPr>
        <w:t>在整个施工过程均会产生废气、废水、噪声及固体废物。废气主要为扬尘及燃油机械废气；废水主要分为施工废水及施工人员生活污水；机械运行及车辆行驶产生噪声；主要固体废物包括建筑垃圾、弃土及施工人员生活垃圾。</w:t>
      </w:r>
    </w:p>
    <w:p w14:paraId="7CF2374C">
      <w:pPr>
        <w:pStyle w:val="4"/>
        <w:rPr>
          <w:color w:val="auto"/>
        </w:rPr>
      </w:pPr>
      <w:bookmarkStart w:id="210" w:name="_Toc225216710"/>
      <w:r>
        <w:rPr>
          <w:rFonts w:hint="eastAsia"/>
          <w:color w:val="auto"/>
        </w:rPr>
        <w:t>施工期大气污染物</w:t>
      </w:r>
      <w:bookmarkEnd w:id="210"/>
    </w:p>
    <w:p w14:paraId="6AA8042B">
      <w:pPr>
        <w:ind w:firstLine="480"/>
        <w:rPr>
          <w:color w:val="auto"/>
        </w:rPr>
      </w:pPr>
      <w:r>
        <w:rPr>
          <w:rFonts w:hint="eastAsia"/>
          <w:color w:val="auto"/>
        </w:rPr>
        <w:t>（1）施工扬尘</w:t>
      </w:r>
    </w:p>
    <w:p w14:paraId="4AB4C71A">
      <w:pPr>
        <w:ind w:firstLine="480"/>
        <w:rPr>
          <w:color w:val="auto"/>
        </w:rPr>
      </w:pPr>
      <w:r>
        <w:rPr>
          <w:rFonts w:hint="eastAsia"/>
          <w:color w:val="auto"/>
        </w:rPr>
        <w:t>施工期扬尘主要来自场地平整、开挖地基、工程建设、建筑材料运输和装卸、建筑垃圾堆放及清理等过程。另外，运输车辆在施工场内行驶产生的扬尘也是一个主要的污染源，运输扬尘主要来自泥土的装卸过程、运输车辆在施工场地行驶、运输车辆行驶过程中泥土洒落路面、运输车辆的车轮夹带泥土污染场地附近路面等。</w:t>
      </w:r>
    </w:p>
    <w:p w14:paraId="1447165A">
      <w:pPr>
        <w:ind w:firstLine="480"/>
        <w:rPr>
          <w:color w:val="auto"/>
        </w:rPr>
      </w:pPr>
      <w:r>
        <w:rPr>
          <w:rFonts w:hint="eastAsia"/>
          <w:color w:val="auto"/>
        </w:rPr>
        <w:t>扬尘量的大小与诸多因素有关，是一个复杂、较难定量的问题。本次评价采用类比分析法，利用已有施工场地的调查资料对大气环境影响进行分析。</w:t>
      </w:r>
    </w:p>
    <w:p w14:paraId="06312F60">
      <w:pPr>
        <w:ind w:firstLine="480"/>
        <w:rPr>
          <w:color w:val="auto"/>
        </w:rPr>
      </w:pPr>
      <w:r>
        <w:rPr>
          <w:rFonts w:hint="eastAsia"/>
          <w:color w:val="auto"/>
        </w:rPr>
        <w:t>施工活动的粉尘排放数量与施工面积和施工水平成比例的。根据相关工程的现场类比资料调查，施工现场的扬尘的日均浓度可达2.7mg/m</w:t>
      </w:r>
      <w:r>
        <w:rPr>
          <w:rFonts w:hint="eastAsia"/>
          <w:color w:val="auto"/>
          <w:vertAlign w:val="superscript"/>
        </w:rPr>
        <w:t>3</w:t>
      </w:r>
      <w:r>
        <w:rPr>
          <w:rFonts w:hint="eastAsia"/>
          <w:color w:val="auto"/>
        </w:rPr>
        <w:t>，超过国家空气环境质量标准8倍，影响范围大约在距施工中心50m的范围内。在距平整土地和拌和场地50m处，产生的扬尘TSP可降至1.0mg/m</w:t>
      </w:r>
      <w:r>
        <w:rPr>
          <w:rFonts w:hint="eastAsia"/>
          <w:color w:val="auto"/>
          <w:vertAlign w:val="superscript"/>
        </w:rPr>
        <w:t>3</w:t>
      </w:r>
      <w:r>
        <w:rPr>
          <w:rFonts w:hint="eastAsia"/>
          <w:color w:val="auto"/>
        </w:rPr>
        <w:t>，扬尘影响范围在距其150m处TSP浓度即可降为1.0mg/m</w:t>
      </w:r>
      <w:r>
        <w:rPr>
          <w:rFonts w:hint="eastAsia"/>
          <w:color w:val="auto"/>
          <w:vertAlign w:val="superscript"/>
        </w:rPr>
        <w:t>3</w:t>
      </w:r>
      <w:r>
        <w:rPr>
          <w:rFonts w:hint="eastAsia"/>
          <w:color w:val="auto"/>
        </w:rPr>
        <w:t>以下。</w:t>
      </w:r>
    </w:p>
    <w:p w14:paraId="27F31D97">
      <w:pPr>
        <w:ind w:firstLine="480"/>
        <w:rPr>
          <w:color w:val="auto"/>
        </w:rPr>
      </w:pPr>
      <w:r>
        <w:rPr>
          <w:rFonts w:hint="eastAsia"/>
          <w:color w:val="auto"/>
        </w:rPr>
        <w:t>因此，项目施工时须采取扬尘控制措施，主要包括：①进出施工场地路口硬化；②旱季加大洒水降尘次数；③及时清除运输车辆泥土和路面尘土；④建材等运输车辆密闭。</w:t>
      </w:r>
    </w:p>
    <w:p w14:paraId="34C2E7AC">
      <w:pPr>
        <w:ind w:firstLine="480"/>
        <w:rPr>
          <w:color w:val="auto"/>
        </w:rPr>
      </w:pPr>
      <w:r>
        <w:rPr>
          <w:rFonts w:hint="eastAsia"/>
          <w:color w:val="auto"/>
        </w:rPr>
        <w:t>（2）施工期场地临时堆土点扬尘</w:t>
      </w:r>
    </w:p>
    <w:p w14:paraId="343E85B4">
      <w:pPr>
        <w:ind w:firstLine="480"/>
        <w:rPr>
          <w:color w:val="auto"/>
        </w:rPr>
      </w:pPr>
      <w:r>
        <w:rPr>
          <w:rFonts w:hint="eastAsia"/>
          <w:color w:val="auto"/>
        </w:rPr>
        <w:t>露天堆放的沙石等建筑材料及裸露的堆土场，因含水率低容易被风干，若不注意防护，将产生大量易起尘的颗粒物。据调查，堆放的含水率为20%的新挖出的泥土，在一般天气情况下，几天内其泥堆表面即可被风干。在风速2.5m/s的一般情况下，临时堆放点的扬尘产生量较大。堆场起尘与物料性质和风速有较大关系。颗粒小，含水率低的粉料较易起尘。</w:t>
      </w:r>
    </w:p>
    <w:p w14:paraId="5D9C2A86">
      <w:pPr>
        <w:ind w:firstLine="480"/>
        <w:rPr>
          <w:color w:val="auto"/>
        </w:rPr>
      </w:pPr>
      <w:r>
        <w:rPr>
          <w:rFonts w:hint="eastAsia"/>
          <w:color w:val="auto"/>
        </w:rPr>
        <w:t>（3）交通运输扬尘</w:t>
      </w:r>
    </w:p>
    <w:p w14:paraId="4B18323E">
      <w:pPr>
        <w:ind w:firstLine="480"/>
        <w:rPr>
          <w:color w:val="auto"/>
        </w:rPr>
      </w:pPr>
      <w:r>
        <w:rPr>
          <w:rFonts w:hint="eastAsia"/>
          <w:color w:val="auto"/>
        </w:rPr>
        <w:t>泥土的装卸过程、运输车辆在施工场地行驶过程中泥土洒落路面、运输车辆的车轮夹带泥土污染场地附近路面以及在有风的条件下由于场地地表裸露而产生扬尘。</w:t>
      </w:r>
    </w:p>
    <w:p w14:paraId="7A4C4D03">
      <w:pPr>
        <w:ind w:firstLine="480"/>
        <w:rPr>
          <w:color w:val="auto"/>
        </w:rPr>
      </w:pPr>
      <w:r>
        <w:rPr>
          <w:rFonts w:hint="eastAsia"/>
          <w:color w:val="auto"/>
        </w:rPr>
        <w:t>据有关调查显示，运输车辆行驶产生的扬尘与道路路面及车辆行驶速度有关，在完全干燥情况下，在同样路面清洁情况下，车速越快，扬尘量越大；而在同样车速情况下，路面清洁度越差，则扬尘量越大。</w:t>
      </w:r>
    </w:p>
    <w:p w14:paraId="5C3359C9">
      <w:pPr>
        <w:ind w:firstLine="480"/>
        <w:rPr>
          <w:color w:val="auto"/>
        </w:rPr>
      </w:pPr>
      <w:r>
        <w:rPr>
          <w:rFonts w:hint="eastAsia"/>
          <w:color w:val="auto"/>
        </w:rPr>
        <w:t>（4）施工机械燃油废气</w:t>
      </w:r>
    </w:p>
    <w:p w14:paraId="39084ADD">
      <w:pPr>
        <w:ind w:firstLine="480"/>
        <w:rPr>
          <w:color w:val="auto"/>
        </w:rPr>
      </w:pPr>
      <w:r>
        <w:rPr>
          <w:rFonts w:hint="eastAsia"/>
          <w:color w:val="auto"/>
        </w:rPr>
        <w:t>施工工程车辆如挖掘机等燃油机械和运输车辆会产生汽车尾气，主要污染物为总悬浮颗粒物、二氧化碳、一氧化碳、二氧化氮及挥发性有机废气（VOC</w:t>
      </w:r>
      <w:r>
        <w:rPr>
          <w:rFonts w:hint="eastAsia"/>
          <w:color w:val="auto"/>
          <w:vertAlign w:val="subscript"/>
        </w:rPr>
        <w:t>S</w:t>
      </w:r>
      <w:r>
        <w:rPr>
          <w:rFonts w:hint="eastAsia"/>
          <w:color w:val="auto"/>
        </w:rPr>
        <w:t>）等。该部分废气排放量很小，一般扩散快，且施工机械数量少且较分散，污染物排放量较少。</w:t>
      </w:r>
    </w:p>
    <w:p w14:paraId="0E2CC7C5">
      <w:pPr>
        <w:ind w:firstLine="480"/>
        <w:rPr>
          <w:color w:val="auto"/>
        </w:rPr>
      </w:pPr>
      <w:r>
        <w:rPr>
          <w:rFonts w:hint="eastAsia"/>
          <w:color w:val="auto"/>
        </w:rPr>
        <w:t>（5）装修过程VOCs</w:t>
      </w:r>
    </w:p>
    <w:p w14:paraId="66F88EFB">
      <w:pPr>
        <w:ind w:firstLine="480"/>
        <w:rPr>
          <w:color w:val="auto"/>
        </w:rPr>
      </w:pPr>
      <w:r>
        <w:rPr>
          <w:rFonts w:hint="eastAsia"/>
          <w:color w:val="auto"/>
        </w:rPr>
        <w:t>装修使用材料油漆、乳胶漆、喷塑剂、黏合剂等产生的有机废气，包括甲醛、甲苯、二甲苯、氯化烃。装修过程中，较难估计装修材料使用量，在此只作定性分析。一般情况下，刚装修完毕，需加强室内通风换气，使室内空气质量达到《室内空气质量标准》（GB/T18883－2002）的要求。</w:t>
      </w:r>
    </w:p>
    <w:p w14:paraId="06CA2B97">
      <w:pPr>
        <w:pStyle w:val="4"/>
        <w:rPr>
          <w:color w:val="auto"/>
        </w:rPr>
      </w:pPr>
      <w:bookmarkStart w:id="211" w:name="_Toc225216711"/>
      <w:r>
        <w:rPr>
          <w:rFonts w:hint="eastAsia"/>
          <w:color w:val="auto"/>
        </w:rPr>
        <w:t>施工期废水</w:t>
      </w:r>
      <w:bookmarkEnd w:id="211"/>
    </w:p>
    <w:p w14:paraId="7AFBC83E">
      <w:pPr>
        <w:ind w:firstLine="480"/>
        <w:rPr>
          <w:color w:val="auto"/>
        </w:rPr>
      </w:pPr>
      <w:r>
        <w:rPr>
          <w:color w:val="auto"/>
        </w:rPr>
        <w:t>（1）施工废水</w:t>
      </w:r>
    </w:p>
    <w:p w14:paraId="283DEEC2">
      <w:pPr>
        <w:ind w:firstLine="480"/>
        <w:rPr>
          <w:color w:val="auto"/>
        </w:rPr>
      </w:pPr>
      <w:r>
        <w:rPr>
          <w:color w:val="auto"/>
        </w:rPr>
        <w:t>项目施工生产废水高峰期排放量约2</w:t>
      </w:r>
      <w:r>
        <w:rPr>
          <w:rFonts w:hint="eastAsia"/>
          <w:color w:val="auto"/>
        </w:rPr>
        <w:t>0</w:t>
      </w:r>
      <w:r>
        <w:rPr>
          <w:color w:val="auto"/>
        </w:rPr>
        <w:t>m</w:t>
      </w:r>
      <w:r>
        <w:rPr>
          <w:color w:val="auto"/>
          <w:vertAlign w:val="superscript"/>
        </w:rPr>
        <w:t>3</w:t>
      </w:r>
      <w:r>
        <w:rPr>
          <w:color w:val="auto"/>
        </w:rPr>
        <w:t>/d，主要包括基坑排水、砂石料加工系统冲洗水，混凝土加工系统冲洗废水及施工械机设备冲洗废水等，废水中主要污染物为悬浮物（SS）。项目基坑最大排水量约</w:t>
      </w:r>
      <w:r>
        <w:rPr>
          <w:rFonts w:hint="eastAsia"/>
          <w:color w:val="auto"/>
        </w:rPr>
        <w:t>5</w:t>
      </w:r>
      <w:r>
        <w:rPr>
          <w:color w:val="auto"/>
        </w:rPr>
        <w:t>m</w:t>
      </w:r>
      <w:r>
        <w:rPr>
          <w:color w:val="auto"/>
          <w:vertAlign w:val="superscript"/>
        </w:rPr>
        <w:t>3</w:t>
      </w:r>
      <w:r>
        <w:rPr>
          <w:color w:val="auto"/>
        </w:rPr>
        <w:t>/d，砂石料冲洗最大排水量约为</w:t>
      </w:r>
      <w:r>
        <w:rPr>
          <w:rFonts w:hint="eastAsia"/>
          <w:color w:val="auto"/>
        </w:rPr>
        <w:t>5</w:t>
      </w:r>
      <w:r>
        <w:rPr>
          <w:color w:val="auto"/>
        </w:rPr>
        <w:t>m</w:t>
      </w:r>
      <w:r>
        <w:rPr>
          <w:color w:val="auto"/>
          <w:vertAlign w:val="superscript"/>
        </w:rPr>
        <w:t>3</w:t>
      </w:r>
      <w:r>
        <w:rPr>
          <w:color w:val="auto"/>
        </w:rPr>
        <w:t>/d，均经格栅和沉淀处理达标后回用、喷洒降尘或周边植被绿化用水；混凝土加工系统冲洗废水最大排放量约</w:t>
      </w:r>
      <w:r>
        <w:rPr>
          <w:rFonts w:hint="eastAsia"/>
          <w:color w:val="auto"/>
        </w:rPr>
        <w:t>4</w:t>
      </w:r>
      <w:r>
        <w:rPr>
          <w:color w:val="auto"/>
        </w:rPr>
        <w:t>m</w:t>
      </w:r>
      <w:r>
        <w:rPr>
          <w:color w:val="auto"/>
          <w:vertAlign w:val="superscript"/>
        </w:rPr>
        <w:t>3</w:t>
      </w:r>
      <w:r>
        <w:rPr>
          <w:color w:val="auto"/>
        </w:rPr>
        <w:t>/d，经统一收集后，采取中和、沉淀等措施处理达标后，可回用或喷洒降尘或周边植被绿化用水；机械维修冲洗废水产生量约</w:t>
      </w:r>
      <w:r>
        <w:rPr>
          <w:rFonts w:hint="eastAsia"/>
          <w:color w:val="auto"/>
        </w:rPr>
        <w:t>3</w:t>
      </w:r>
      <w:r>
        <w:rPr>
          <w:color w:val="auto"/>
        </w:rPr>
        <w:t>m</w:t>
      </w:r>
      <w:r>
        <w:rPr>
          <w:color w:val="auto"/>
          <w:vertAlign w:val="superscript"/>
        </w:rPr>
        <w:t>3</w:t>
      </w:r>
      <w:r>
        <w:rPr>
          <w:color w:val="auto"/>
        </w:rPr>
        <w:t>/d，经沉淀和油水分离处理后回用或</w:t>
      </w:r>
      <w:r>
        <w:rPr>
          <w:rFonts w:hint="eastAsia"/>
          <w:color w:val="auto"/>
        </w:rPr>
        <w:t>依托企业现有污水处理设施处理</w:t>
      </w:r>
      <w:r>
        <w:rPr>
          <w:color w:val="auto"/>
        </w:rPr>
        <w:t>。</w:t>
      </w:r>
    </w:p>
    <w:p w14:paraId="6AFD423E">
      <w:pPr>
        <w:ind w:firstLine="480"/>
        <w:rPr>
          <w:color w:val="auto"/>
        </w:rPr>
      </w:pPr>
      <w:r>
        <w:rPr>
          <w:rFonts w:hint="eastAsia"/>
          <w:color w:val="auto"/>
        </w:rPr>
        <w:t>（2）调试废水</w:t>
      </w:r>
    </w:p>
    <w:p w14:paraId="10E34674">
      <w:pPr>
        <w:ind w:firstLine="480"/>
        <w:rPr>
          <w:color w:val="auto"/>
        </w:rPr>
      </w:pPr>
      <w:r>
        <w:rPr>
          <w:rFonts w:hint="eastAsia"/>
          <w:color w:val="auto"/>
        </w:rPr>
        <w:t>工程配套纳污管道敷设完毕后，需通入清水进行管道检漏试验，将会产生试验废水。工程总试验废水产生量约为</w:t>
      </w:r>
      <w:r>
        <w:rPr>
          <w:color w:val="auto"/>
        </w:rPr>
        <w:t>72m</w:t>
      </w:r>
      <w:r>
        <w:rPr>
          <w:color w:val="auto"/>
          <w:vertAlign w:val="superscript"/>
        </w:rPr>
        <w:t>3</w:t>
      </w:r>
      <w:r>
        <w:rPr>
          <w:rFonts w:hint="eastAsia"/>
          <w:color w:val="auto"/>
        </w:rPr>
        <w:t>，废水主要含少量泥沙等悬浮物，</w:t>
      </w:r>
      <w:r>
        <w:rPr>
          <w:color w:val="auto"/>
        </w:rPr>
        <w:t>SS</w:t>
      </w:r>
      <w:r>
        <w:rPr>
          <w:rFonts w:hint="eastAsia"/>
          <w:color w:val="auto"/>
        </w:rPr>
        <w:t>浓度低于</w:t>
      </w:r>
      <w:r>
        <w:rPr>
          <w:color w:val="auto"/>
        </w:rPr>
        <w:t>200mg/L</w:t>
      </w:r>
      <w:r>
        <w:rPr>
          <w:rFonts w:hint="eastAsia"/>
          <w:color w:val="auto"/>
        </w:rPr>
        <w:t>。管道施工过程须设置集水池，收集该类闭水试验废水，经沉淀处理后回用于施工本身及场地洒水降尘</w:t>
      </w:r>
      <w:r>
        <w:rPr>
          <w:color w:val="auto"/>
        </w:rPr>
        <w:t>或</w:t>
      </w:r>
      <w:r>
        <w:rPr>
          <w:rFonts w:hint="eastAsia"/>
          <w:color w:val="auto"/>
        </w:rPr>
        <w:t>依托企业现有污水处理设施处。</w:t>
      </w:r>
    </w:p>
    <w:p w14:paraId="7A12826A">
      <w:pPr>
        <w:ind w:firstLine="480"/>
        <w:rPr>
          <w:color w:val="auto"/>
        </w:rPr>
      </w:pPr>
      <w:r>
        <w:rPr>
          <w:color w:val="auto"/>
        </w:rPr>
        <w:t>（</w:t>
      </w:r>
      <w:r>
        <w:rPr>
          <w:rFonts w:hint="eastAsia"/>
          <w:color w:val="auto"/>
        </w:rPr>
        <w:t>3</w:t>
      </w:r>
      <w:r>
        <w:rPr>
          <w:color w:val="auto"/>
        </w:rPr>
        <w:t>）生活污水</w:t>
      </w:r>
    </w:p>
    <w:p w14:paraId="33221824">
      <w:pPr>
        <w:ind w:firstLine="480"/>
        <w:rPr>
          <w:color w:val="auto"/>
        </w:rPr>
      </w:pPr>
      <w:r>
        <w:rPr>
          <w:rFonts w:hint="eastAsia"/>
          <w:color w:val="auto"/>
        </w:rPr>
        <w:t>施工人员的生活污水，主要污染物为</w:t>
      </w:r>
      <w:r>
        <w:rPr>
          <w:color w:val="auto"/>
        </w:rPr>
        <w:t>COD</w:t>
      </w:r>
      <w:r>
        <w:rPr>
          <w:color w:val="auto"/>
          <w:vertAlign w:val="subscript"/>
        </w:rPr>
        <w:t>Cr</w:t>
      </w:r>
      <w:r>
        <w:rPr>
          <w:rFonts w:hint="eastAsia"/>
          <w:color w:val="auto"/>
        </w:rPr>
        <w:t>、BOD</w:t>
      </w:r>
      <w:r>
        <w:rPr>
          <w:rFonts w:hint="eastAsia"/>
          <w:color w:val="auto"/>
          <w:vertAlign w:val="subscript"/>
        </w:rPr>
        <w:t>5</w:t>
      </w:r>
      <w:r>
        <w:rPr>
          <w:rFonts w:hint="eastAsia"/>
          <w:color w:val="auto"/>
        </w:rPr>
        <w:t>、SS、氨氮等。</w:t>
      </w:r>
      <w:r>
        <w:rPr>
          <w:color w:val="auto"/>
        </w:rPr>
        <w:t>施工人员租用项目周边居民房，不设施工营地，施工人员生活污水依托当地已有的生活设施处理。</w:t>
      </w:r>
    </w:p>
    <w:p w14:paraId="3E04EBD4">
      <w:pPr>
        <w:ind w:firstLine="480"/>
        <w:rPr>
          <w:color w:val="auto"/>
        </w:rPr>
      </w:pPr>
      <w:r>
        <w:rPr>
          <w:color w:val="auto"/>
        </w:rPr>
        <w:t>根据类比，本项目施工期平均每天施工人员约2</w:t>
      </w:r>
      <w:r>
        <w:rPr>
          <w:rFonts w:hint="eastAsia"/>
          <w:color w:val="auto"/>
        </w:rPr>
        <w:t>0</w:t>
      </w:r>
      <w:r>
        <w:rPr>
          <w:color w:val="auto"/>
        </w:rPr>
        <w:t>人，人均用水量按0.2</w:t>
      </w:r>
      <w:r>
        <w:rPr>
          <w:rFonts w:hint="eastAsia"/>
          <w:color w:val="auto"/>
        </w:rPr>
        <w:t>m</w:t>
      </w:r>
      <w:r>
        <w:rPr>
          <w:color w:val="auto"/>
          <w:vertAlign w:val="superscript"/>
        </w:rPr>
        <w:t>3</w:t>
      </w:r>
      <w:r>
        <w:rPr>
          <w:color w:val="auto"/>
        </w:rPr>
        <w:t>/d计算，则每天用水量为</w:t>
      </w:r>
      <w:r>
        <w:rPr>
          <w:rFonts w:hint="eastAsia"/>
          <w:color w:val="auto"/>
        </w:rPr>
        <w:t>4</w:t>
      </w:r>
      <w:r>
        <w:rPr>
          <w:color w:val="auto"/>
        </w:rPr>
        <w:t>m</w:t>
      </w:r>
      <w:r>
        <w:rPr>
          <w:color w:val="auto"/>
          <w:vertAlign w:val="superscript"/>
        </w:rPr>
        <w:t>3</w:t>
      </w:r>
      <w:r>
        <w:rPr>
          <w:color w:val="auto"/>
        </w:rPr>
        <w:t>/d；取排放系数为0.8，每天产生的生活污水量为3.</w:t>
      </w:r>
      <w:r>
        <w:rPr>
          <w:rFonts w:hint="eastAsia"/>
          <w:color w:val="auto"/>
        </w:rPr>
        <w:t>2</w:t>
      </w:r>
      <w:r>
        <w:rPr>
          <w:color w:val="auto"/>
        </w:rPr>
        <w:t>m</w:t>
      </w:r>
      <w:r>
        <w:rPr>
          <w:color w:val="auto"/>
          <w:vertAlign w:val="superscript"/>
        </w:rPr>
        <w:t>3</w:t>
      </w:r>
      <w:r>
        <w:rPr>
          <w:color w:val="auto"/>
        </w:rPr>
        <w:t>/d，主要污染物为COD</w:t>
      </w:r>
      <w:r>
        <w:rPr>
          <w:color w:val="auto"/>
          <w:vertAlign w:val="subscript"/>
        </w:rPr>
        <w:t>Cr</w:t>
      </w:r>
      <w:r>
        <w:rPr>
          <w:color w:val="auto"/>
        </w:rPr>
        <w:t>、BOD</w:t>
      </w:r>
      <w:r>
        <w:rPr>
          <w:color w:val="auto"/>
          <w:vertAlign w:val="subscript"/>
        </w:rPr>
        <w:t>5</w:t>
      </w:r>
      <w:r>
        <w:rPr>
          <w:color w:val="auto"/>
        </w:rPr>
        <w:t>、NH</w:t>
      </w:r>
      <w:r>
        <w:rPr>
          <w:color w:val="auto"/>
          <w:vertAlign w:val="subscript"/>
        </w:rPr>
        <w:t>3</w:t>
      </w:r>
      <w:r>
        <w:rPr>
          <w:color w:val="auto"/>
        </w:rPr>
        <w:t>-N、SS、动植物油。生活污水产生及排放情况见</w:t>
      </w:r>
      <w:r>
        <w:rPr>
          <w:rFonts w:hint="eastAsia"/>
          <w:color w:val="auto"/>
        </w:rPr>
        <w:t>下表</w:t>
      </w:r>
      <w:r>
        <w:rPr>
          <w:color w:val="auto"/>
        </w:rPr>
        <w:t>。</w:t>
      </w:r>
    </w:p>
    <w:p w14:paraId="479DEEF1">
      <w:pPr>
        <w:pStyle w:val="7"/>
        <w:rPr>
          <w:color w:val="auto"/>
        </w:rPr>
      </w:pPr>
      <w:r>
        <w:rPr>
          <w:color w:val="auto"/>
        </w:rPr>
        <w:t>施工期生活污水产生及排放情况</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7"/>
        <w:gridCol w:w="2035"/>
        <w:gridCol w:w="2048"/>
        <w:gridCol w:w="2165"/>
        <w:gridCol w:w="1880"/>
      </w:tblGrid>
      <w:tr w14:paraId="567E7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vMerge w:val="restart"/>
            <w:tcBorders>
              <w:top w:val="single" w:color="auto" w:sz="4" w:space="0"/>
              <w:left w:val="single" w:color="auto" w:sz="4" w:space="0"/>
              <w:bottom w:val="single" w:color="auto" w:sz="4" w:space="0"/>
              <w:right w:val="single" w:color="auto" w:sz="4" w:space="0"/>
            </w:tcBorders>
            <w:vAlign w:val="center"/>
          </w:tcPr>
          <w:p w14:paraId="10E4726A">
            <w:pPr>
              <w:pStyle w:val="33"/>
              <w:rPr>
                <w:color w:val="auto"/>
              </w:rPr>
            </w:pPr>
            <w:r>
              <w:rPr>
                <w:color w:val="auto"/>
              </w:rPr>
              <w:t>污染物</w:t>
            </w:r>
          </w:p>
        </w:tc>
        <w:tc>
          <w:tcPr>
            <w:tcW w:w="2199" w:type="pct"/>
            <w:gridSpan w:val="2"/>
            <w:tcBorders>
              <w:top w:val="single" w:color="auto" w:sz="4" w:space="0"/>
              <w:left w:val="single" w:color="auto" w:sz="4" w:space="0"/>
              <w:bottom w:val="single" w:color="auto" w:sz="4" w:space="0"/>
              <w:right w:val="single" w:color="auto" w:sz="4" w:space="0"/>
            </w:tcBorders>
            <w:vAlign w:val="center"/>
          </w:tcPr>
          <w:p w14:paraId="2705FE56">
            <w:pPr>
              <w:pStyle w:val="33"/>
              <w:rPr>
                <w:color w:val="auto"/>
              </w:rPr>
            </w:pPr>
            <w:r>
              <w:rPr>
                <w:color w:val="auto"/>
              </w:rPr>
              <w:t>处理前</w:t>
            </w:r>
          </w:p>
        </w:tc>
        <w:tc>
          <w:tcPr>
            <w:tcW w:w="2178" w:type="pct"/>
            <w:gridSpan w:val="2"/>
            <w:tcBorders>
              <w:top w:val="single" w:color="auto" w:sz="4" w:space="0"/>
              <w:left w:val="single" w:color="auto" w:sz="4" w:space="0"/>
              <w:bottom w:val="single" w:color="auto" w:sz="4" w:space="0"/>
              <w:right w:val="single" w:color="auto" w:sz="4" w:space="0"/>
            </w:tcBorders>
            <w:vAlign w:val="center"/>
          </w:tcPr>
          <w:p w14:paraId="2BFAFB11">
            <w:pPr>
              <w:pStyle w:val="33"/>
              <w:rPr>
                <w:color w:val="auto"/>
              </w:rPr>
            </w:pPr>
            <w:r>
              <w:rPr>
                <w:color w:val="auto"/>
              </w:rPr>
              <w:t>处理后</w:t>
            </w:r>
          </w:p>
        </w:tc>
      </w:tr>
      <w:tr w14:paraId="736DA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vMerge w:val="continue"/>
            <w:tcBorders>
              <w:top w:val="single" w:color="auto" w:sz="4" w:space="0"/>
              <w:left w:val="single" w:color="auto" w:sz="4" w:space="0"/>
              <w:bottom w:val="single" w:color="auto" w:sz="4" w:space="0"/>
              <w:right w:val="single" w:color="auto" w:sz="4" w:space="0"/>
            </w:tcBorders>
            <w:vAlign w:val="center"/>
          </w:tcPr>
          <w:p w14:paraId="4D6D3710">
            <w:pPr>
              <w:pStyle w:val="33"/>
              <w:rPr>
                <w:color w:val="auto"/>
              </w:rPr>
            </w:pPr>
          </w:p>
        </w:tc>
        <w:tc>
          <w:tcPr>
            <w:tcW w:w="1096" w:type="pct"/>
            <w:tcBorders>
              <w:top w:val="single" w:color="auto" w:sz="4" w:space="0"/>
              <w:left w:val="single" w:color="auto" w:sz="4" w:space="0"/>
              <w:bottom w:val="single" w:color="auto" w:sz="4" w:space="0"/>
              <w:right w:val="single" w:color="auto" w:sz="4" w:space="0"/>
            </w:tcBorders>
            <w:vAlign w:val="center"/>
          </w:tcPr>
          <w:p w14:paraId="71E62D50">
            <w:pPr>
              <w:pStyle w:val="33"/>
              <w:rPr>
                <w:color w:val="auto"/>
              </w:rPr>
            </w:pPr>
            <w:r>
              <w:rPr>
                <w:color w:val="auto"/>
              </w:rPr>
              <w:t>产生浓度（mg/L）</w:t>
            </w:r>
          </w:p>
        </w:tc>
        <w:tc>
          <w:tcPr>
            <w:tcW w:w="1103" w:type="pct"/>
            <w:tcBorders>
              <w:top w:val="single" w:color="auto" w:sz="4" w:space="0"/>
              <w:left w:val="single" w:color="auto" w:sz="4" w:space="0"/>
              <w:bottom w:val="single" w:color="auto" w:sz="4" w:space="0"/>
              <w:right w:val="single" w:color="auto" w:sz="4" w:space="0"/>
            </w:tcBorders>
            <w:vAlign w:val="center"/>
          </w:tcPr>
          <w:p w14:paraId="2665415D">
            <w:pPr>
              <w:pStyle w:val="33"/>
              <w:rPr>
                <w:color w:val="auto"/>
              </w:rPr>
            </w:pPr>
            <w:r>
              <w:rPr>
                <w:color w:val="auto"/>
              </w:rPr>
              <w:t>产生量（kg/d）</w:t>
            </w:r>
          </w:p>
        </w:tc>
        <w:tc>
          <w:tcPr>
            <w:tcW w:w="1166" w:type="pct"/>
            <w:tcBorders>
              <w:top w:val="single" w:color="auto" w:sz="4" w:space="0"/>
              <w:left w:val="single" w:color="auto" w:sz="4" w:space="0"/>
              <w:bottom w:val="single" w:color="auto" w:sz="4" w:space="0"/>
              <w:right w:val="single" w:color="auto" w:sz="4" w:space="0"/>
            </w:tcBorders>
            <w:vAlign w:val="center"/>
          </w:tcPr>
          <w:p w14:paraId="15894476">
            <w:pPr>
              <w:pStyle w:val="33"/>
              <w:rPr>
                <w:color w:val="auto"/>
              </w:rPr>
            </w:pPr>
            <w:r>
              <w:rPr>
                <w:color w:val="auto"/>
              </w:rPr>
              <w:t>排放浓度（mg/L）</w:t>
            </w:r>
          </w:p>
        </w:tc>
        <w:tc>
          <w:tcPr>
            <w:tcW w:w="1012" w:type="pct"/>
            <w:tcBorders>
              <w:top w:val="single" w:color="auto" w:sz="4" w:space="0"/>
              <w:left w:val="single" w:color="auto" w:sz="4" w:space="0"/>
              <w:bottom w:val="single" w:color="auto" w:sz="4" w:space="0"/>
              <w:right w:val="single" w:color="auto" w:sz="4" w:space="0"/>
            </w:tcBorders>
            <w:vAlign w:val="center"/>
          </w:tcPr>
          <w:p w14:paraId="4E1414C5">
            <w:pPr>
              <w:pStyle w:val="33"/>
              <w:rPr>
                <w:color w:val="auto"/>
              </w:rPr>
            </w:pPr>
            <w:r>
              <w:rPr>
                <w:color w:val="auto"/>
              </w:rPr>
              <w:t>排放量（kg/d）</w:t>
            </w:r>
          </w:p>
        </w:tc>
      </w:tr>
      <w:tr w14:paraId="1031F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tcBorders>
              <w:top w:val="single" w:color="auto" w:sz="4" w:space="0"/>
              <w:left w:val="single" w:color="auto" w:sz="4" w:space="0"/>
              <w:bottom w:val="single" w:color="auto" w:sz="4" w:space="0"/>
              <w:right w:val="single" w:color="auto" w:sz="4" w:space="0"/>
            </w:tcBorders>
            <w:vAlign w:val="center"/>
          </w:tcPr>
          <w:p w14:paraId="4FFA6043">
            <w:pPr>
              <w:pStyle w:val="33"/>
              <w:rPr>
                <w:color w:val="auto"/>
              </w:rPr>
            </w:pPr>
            <w:r>
              <w:rPr>
                <w:color w:val="auto"/>
              </w:rPr>
              <w:t>COD</w:t>
            </w:r>
            <w:r>
              <w:rPr>
                <w:color w:val="auto"/>
                <w:vertAlign w:val="subscript"/>
              </w:rPr>
              <w:t>Cr</w:t>
            </w:r>
          </w:p>
        </w:tc>
        <w:tc>
          <w:tcPr>
            <w:tcW w:w="1096" w:type="pct"/>
            <w:tcBorders>
              <w:top w:val="single" w:color="auto" w:sz="4" w:space="0"/>
              <w:left w:val="single" w:color="auto" w:sz="4" w:space="0"/>
              <w:bottom w:val="single" w:color="auto" w:sz="4" w:space="0"/>
              <w:right w:val="single" w:color="auto" w:sz="4" w:space="0"/>
            </w:tcBorders>
            <w:vAlign w:val="center"/>
          </w:tcPr>
          <w:p w14:paraId="534BD70F">
            <w:pPr>
              <w:pStyle w:val="33"/>
              <w:rPr>
                <w:color w:val="auto"/>
              </w:rPr>
            </w:pPr>
            <w:r>
              <w:rPr>
                <w:rFonts w:hint="eastAsia"/>
                <w:color w:val="auto"/>
              </w:rPr>
              <w:t>35</w:t>
            </w:r>
            <w:r>
              <w:rPr>
                <w:color w:val="auto"/>
              </w:rPr>
              <w:t>0</w:t>
            </w:r>
          </w:p>
        </w:tc>
        <w:tc>
          <w:tcPr>
            <w:tcW w:w="1103" w:type="pct"/>
            <w:tcBorders>
              <w:top w:val="single" w:color="auto" w:sz="4" w:space="0"/>
              <w:left w:val="single" w:color="auto" w:sz="4" w:space="0"/>
              <w:bottom w:val="single" w:color="auto" w:sz="4" w:space="0"/>
              <w:right w:val="single" w:color="auto" w:sz="4" w:space="0"/>
            </w:tcBorders>
            <w:vAlign w:val="center"/>
          </w:tcPr>
          <w:p w14:paraId="1F8649CC">
            <w:pPr>
              <w:pStyle w:val="33"/>
              <w:rPr>
                <w:color w:val="auto"/>
              </w:rPr>
            </w:pPr>
            <w:r>
              <w:rPr>
                <w:rFonts w:hint="eastAsia"/>
                <w:color w:val="auto"/>
              </w:rPr>
              <w:t>1.12</w:t>
            </w:r>
          </w:p>
        </w:tc>
        <w:tc>
          <w:tcPr>
            <w:tcW w:w="1166" w:type="pct"/>
            <w:tcBorders>
              <w:top w:val="single" w:color="auto" w:sz="4" w:space="0"/>
              <w:left w:val="single" w:color="auto" w:sz="4" w:space="0"/>
              <w:bottom w:val="single" w:color="auto" w:sz="4" w:space="0"/>
              <w:right w:val="single" w:color="auto" w:sz="4" w:space="0"/>
            </w:tcBorders>
            <w:vAlign w:val="center"/>
          </w:tcPr>
          <w:p w14:paraId="7DC9C76F">
            <w:pPr>
              <w:pStyle w:val="33"/>
              <w:rPr>
                <w:color w:val="auto"/>
              </w:rPr>
            </w:pPr>
            <w:r>
              <w:rPr>
                <w:color w:val="auto"/>
              </w:rPr>
              <w:t>3</w:t>
            </w:r>
            <w:r>
              <w:rPr>
                <w:rFonts w:hint="eastAsia"/>
                <w:color w:val="auto"/>
              </w:rPr>
              <w:t>0</w:t>
            </w:r>
            <w:r>
              <w:rPr>
                <w:color w:val="auto"/>
              </w:rPr>
              <w:t>0</w:t>
            </w:r>
          </w:p>
        </w:tc>
        <w:tc>
          <w:tcPr>
            <w:tcW w:w="1012" w:type="pct"/>
            <w:tcBorders>
              <w:top w:val="single" w:color="auto" w:sz="4" w:space="0"/>
              <w:left w:val="single" w:color="auto" w:sz="4" w:space="0"/>
              <w:bottom w:val="single" w:color="auto" w:sz="4" w:space="0"/>
              <w:right w:val="single" w:color="auto" w:sz="4" w:space="0"/>
            </w:tcBorders>
            <w:vAlign w:val="center"/>
          </w:tcPr>
          <w:p w14:paraId="40F4F399">
            <w:pPr>
              <w:pStyle w:val="33"/>
              <w:rPr>
                <w:color w:val="auto"/>
              </w:rPr>
            </w:pPr>
            <w:r>
              <w:rPr>
                <w:rFonts w:hint="eastAsia"/>
                <w:color w:val="auto"/>
              </w:rPr>
              <w:t>0.96</w:t>
            </w:r>
          </w:p>
        </w:tc>
      </w:tr>
      <w:tr w14:paraId="65CA0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tcBorders>
              <w:top w:val="single" w:color="auto" w:sz="4" w:space="0"/>
              <w:left w:val="single" w:color="auto" w:sz="4" w:space="0"/>
              <w:bottom w:val="single" w:color="auto" w:sz="4" w:space="0"/>
              <w:right w:val="single" w:color="auto" w:sz="4" w:space="0"/>
            </w:tcBorders>
            <w:vAlign w:val="center"/>
          </w:tcPr>
          <w:p w14:paraId="68803803">
            <w:pPr>
              <w:pStyle w:val="33"/>
              <w:rPr>
                <w:color w:val="auto"/>
              </w:rPr>
            </w:pPr>
            <w:r>
              <w:rPr>
                <w:color w:val="auto"/>
              </w:rPr>
              <w:t>BOD</w:t>
            </w:r>
            <w:r>
              <w:rPr>
                <w:color w:val="auto"/>
                <w:vertAlign w:val="subscript"/>
              </w:rPr>
              <w:t>5</w:t>
            </w:r>
          </w:p>
        </w:tc>
        <w:tc>
          <w:tcPr>
            <w:tcW w:w="1096" w:type="pct"/>
            <w:tcBorders>
              <w:top w:val="single" w:color="auto" w:sz="4" w:space="0"/>
              <w:left w:val="single" w:color="auto" w:sz="4" w:space="0"/>
              <w:bottom w:val="single" w:color="auto" w:sz="4" w:space="0"/>
              <w:right w:val="single" w:color="auto" w:sz="4" w:space="0"/>
            </w:tcBorders>
            <w:vAlign w:val="center"/>
          </w:tcPr>
          <w:p w14:paraId="19F1B7AA">
            <w:pPr>
              <w:pStyle w:val="33"/>
              <w:rPr>
                <w:color w:val="auto"/>
              </w:rPr>
            </w:pPr>
            <w:r>
              <w:rPr>
                <w:color w:val="auto"/>
              </w:rPr>
              <w:t>250</w:t>
            </w:r>
          </w:p>
        </w:tc>
        <w:tc>
          <w:tcPr>
            <w:tcW w:w="1103" w:type="pct"/>
            <w:tcBorders>
              <w:top w:val="single" w:color="auto" w:sz="4" w:space="0"/>
              <w:left w:val="single" w:color="auto" w:sz="4" w:space="0"/>
              <w:bottom w:val="single" w:color="auto" w:sz="4" w:space="0"/>
              <w:right w:val="single" w:color="auto" w:sz="4" w:space="0"/>
            </w:tcBorders>
            <w:vAlign w:val="center"/>
          </w:tcPr>
          <w:p w14:paraId="691FAFCD">
            <w:pPr>
              <w:pStyle w:val="33"/>
              <w:rPr>
                <w:color w:val="auto"/>
              </w:rPr>
            </w:pPr>
            <w:r>
              <w:rPr>
                <w:rFonts w:hint="eastAsia"/>
                <w:color w:val="auto"/>
              </w:rPr>
              <w:t>0.8</w:t>
            </w:r>
          </w:p>
        </w:tc>
        <w:tc>
          <w:tcPr>
            <w:tcW w:w="1166" w:type="pct"/>
            <w:tcBorders>
              <w:top w:val="single" w:color="auto" w:sz="4" w:space="0"/>
              <w:left w:val="single" w:color="auto" w:sz="4" w:space="0"/>
              <w:bottom w:val="single" w:color="auto" w:sz="4" w:space="0"/>
              <w:right w:val="single" w:color="auto" w:sz="4" w:space="0"/>
            </w:tcBorders>
            <w:vAlign w:val="center"/>
          </w:tcPr>
          <w:p w14:paraId="7FA82A67">
            <w:pPr>
              <w:pStyle w:val="33"/>
              <w:rPr>
                <w:color w:val="auto"/>
              </w:rPr>
            </w:pPr>
            <w:r>
              <w:rPr>
                <w:color w:val="auto"/>
              </w:rPr>
              <w:t>150</w:t>
            </w:r>
          </w:p>
        </w:tc>
        <w:tc>
          <w:tcPr>
            <w:tcW w:w="1012" w:type="pct"/>
            <w:tcBorders>
              <w:top w:val="single" w:color="auto" w:sz="4" w:space="0"/>
              <w:left w:val="single" w:color="auto" w:sz="4" w:space="0"/>
              <w:bottom w:val="single" w:color="auto" w:sz="4" w:space="0"/>
              <w:right w:val="single" w:color="auto" w:sz="4" w:space="0"/>
            </w:tcBorders>
            <w:vAlign w:val="center"/>
          </w:tcPr>
          <w:p w14:paraId="716FB6F0">
            <w:pPr>
              <w:pStyle w:val="33"/>
              <w:rPr>
                <w:color w:val="auto"/>
              </w:rPr>
            </w:pPr>
            <w:r>
              <w:rPr>
                <w:rFonts w:hint="eastAsia"/>
                <w:color w:val="auto"/>
              </w:rPr>
              <w:t>0.48</w:t>
            </w:r>
          </w:p>
        </w:tc>
      </w:tr>
      <w:tr w14:paraId="6498F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tcBorders>
              <w:top w:val="single" w:color="auto" w:sz="4" w:space="0"/>
              <w:left w:val="single" w:color="auto" w:sz="4" w:space="0"/>
              <w:bottom w:val="single" w:color="auto" w:sz="4" w:space="0"/>
              <w:right w:val="single" w:color="auto" w:sz="4" w:space="0"/>
            </w:tcBorders>
            <w:vAlign w:val="center"/>
          </w:tcPr>
          <w:p w14:paraId="12D783C5">
            <w:pPr>
              <w:pStyle w:val="33"/>
              <w:rPr>
                <w:color w:val="auto"/>
              </w:rPr>
            </w:pPr>
            <w:r>
              <w:rPr>
                <w:color w:val="auto"/>
              </w:rPr>
              <w:t>NH</w:t>
            </w:r>
            <w:r>
              <w:rPr>
                <w:color w:val="auto"/>
                <w:vertAlign w:val="subscript"/>
              </w:rPr>
              <w:t>3</w:t>
            </w:r>
            <w:r>
              <w:rPr>
                <w:color w:val="auto"/>
              </w:rPr>
              <w:t>-N</w:t>
            </w:r>
          </w:p>
        </w:tc>
        <w:tc>
          <w:tcPr>
            <w:tcW w:w="1096" w:type="pct"/>
            <w:tcBorders>
              <w:top w:val="single" w:color="auto" w:sz="4" w:space="0"/>
              <w:left w:val="single" w:color="auto" w:sz="4" w:space="0"/>
              <w:bottom w:val="single" w:color="auto" w:sz="4" w:space="0"/>
              <w:right w:val="single" w:color="auto" w:sz="4" w:space="0"/>
            </w:tcBorders>
            <w:vAlign w:val="center"/>
          </w:tcPr>
          <w:p w14:paraId="70E6DDC0">
            <w:pPr>
              <w:pStyle w:val="33"/>
              <w:rPr>
                <w:color w:val="auto"/>
              </w:rPr>
            </w:pPr>
            <w:r>
              <w:rPr>
                <w:color w:val="auto"/>
              </w:rPr>
              <w:t>40</w:t>
            </w:r>
          </w:p>
        </w:tc>
        <w:tc>
          <w:tcPr>
            <w:tcW w:w="1103" w:type="pct"/>
            <w:tcBorders>
              <w:top w:val="single" w:color="auto" w:sz="4" w:space="0"/>
              <w:left w:val="single" w:color="auto" w:sz="4" w:space="0"/>
              <w:bottom w:val="single" w:color="auto" w:sz="4" w:space="0"/>
              <w:right w:val="single" w:color="auto" w:sz="4" w:space="0"/>
            </w:tcBorders>
            <w:vAlign w:val="center"/>
          </w:tcPr>
          <w:p w14:paraId="63D61000">
            <w:pPr>
              <w:pStyle w:val="33"/>
              <w:rPr>
                <w:color w:val="auto"/>
              </w:rPr>
            </w:pPr>
            <w:r>
              <w:rPr>
                <w:rFonts w:hint="eastAsia"/>
                <w:color w:val="auto"/>
              </w:rPr>
              <w:t>0.128</w:t>
            </w:r>
          </w:p>
        </w:tc>
        <w:tc>
          <w:tcPr>
            <w:tcW w:w="1166" w:type="pct"/>
            <w:tcBorders>
              <w:top w:val="single" w:color="auto" w:sz="4" w:space="0"/>
              <w:left w:val="single" w:color="auto" w:sz="4" w:space="0"/>
              <w:bottom w:val="single" w:color="auto" w:sz="4" w:space="0"/>
              <w:right w:val="single" w:color="auto" w:sz="4" w:space="0"/>
            </w:tcBorders>
            <w:vAlign w:val="center"/>
          </w:tcPr>
          <w:p w14:paraId="2630B694">
            <w:pPr>
              <w:pStyle w:val="33"/>
              <w:rPr>
                <w:color w:val="auto"/>
              </w:rPr>
            </w:pPr>
            <w:r>
              <w:rPr>
                <w:color w:val="auto"/>
              </w:rPr>
              <w:t>35</w:t>
            </w:r>
          </w:p>
        </w:tc>
        <w:tc>
          <w:tcPr>
            <w:tcW w:w="1012" w:type="pct"/>
            <w:tcBorders>
              <w:top w:val="single" w:color="auto" w:sz="4" w:space="0"/>
              <w:left w:val="single" w:color="auto" w:sz="4" w:space="0"/>
              <w:bottom w:val="single" w:color="auto" w:sz="4" w:space="0"/>
              <w:right w:val="single" w:color="auto" w:sz="4" w:space="0"/>
            </w:tcBorders>
            <w:vAlign w:val="center"/>
          </w:tcPr>
          <w:p w14:paraId="35D918CB">
            <w:pPr>
              <w:pStyle w:val="33"/>
              <w:rPr>
                <w:color w:val="auto"/>
              </w:rPr>
            </w:pPr>
            <w:r>
              <w:rPr>
                <w:rFonts w:hint="eastAsia"/>
                <w:color w:val="auto"/>
              </w:rPr>
              <w:t>0.112</w:t>
            </w:r>
          </w:p>
        </w:tc>
      </w:tr>
      <w:tr w14:paraId="44629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23" w:type="pct"/>
            <w:tcBorders>
              <w:top w:val="single" w:color="auto" w:sz="4" w:space="0"/>
              <w:left w:val="single" w:color="auto" w:sz="4" w:space="0"/>
              <w:bottom w:val="single" w:color="auto" w:sz="4" w:space="0"/>
              <w:right w:val="single" w:color="auto" w:sz="4" w:space="0"/>
            </w:tcBorders>
            <w:vAlign w:val="center"/>
          </w:tcPr>
          <w:p w14:paraId="5AB2C745">
            <w:pPr>
              <w:pStyle w:val="33"/>
              <w:rPr>
                <w:color w:val="auto"/>
              </w:rPr>
            </w:pPr>
            <w:r>
              <w:rPr>
                <w:color w:val="auto"/>
              </w:rPr>
              <w:t>SS</w:t>
            </w:r>
          </w:p>
        </w:tc>
        <w:tc>
          <w:tcPr>
            <w:tcW w:w="1096" w:type="pct"/>
            <w:tcBorders>
              <w:top w:val="single" w:color="auto" w:sz="4" w:space="0"/>
              <w:left w:val="single" w:color="auto" w:sz="4" w:space="0"/>
              <w:bottom w:val="single" w:color="auto" w:sz="4" w:space="0"/>
              <w:right w:val="single" w:color="auto" w:sz="4" w:space="0"/>
            </w:tcBorders>
            <w:vAlign w:val="center"/>
          </w:tcPr>
          <w:p w14:paraId="17937CF5">
            <w:pPr>
              <w:pStyle w:val="33"/>
              <w:rPr>
                <w:color w:val="auto"/>
              </w:rPr>
            </w:pPr>
            <w:r>
              <w:rPr>
                <w:color w:val="auto"/>
              </w:rPr>
              <w:t>300</w:t>
            </w:r>
          </w:p>
        </w:tc>
        <w:tc>
          <w:tcPr>
            <w:tcW w:w="1103" w:type="pct"/>
            <w:tcBorders>
              <w:top w:val="single" w:color="auto" w:sz="4" w:space="0"/>
              <w:left w:val="single" w:color="auto" w:sz="4" w:space="0"/>
              <w:bottom w:val="single" w:color="auto" w:sz="4" w:space="0"/>
              <w:right w:val="single" w:color="auto" w:sz="4" w:space="0"/>
            </w:tcBorders>
            <w:vAlign w:val="center"/>
          </w:tcPr>
          <w:p w14:paraId="102D8325">
            <w:pPr>
              <w:pStyle w:val="33"/>
              <w:rPr>
                <w:color w:val="auto"/>
              </w:rPr>
            </w:pPr>
            <w:r>
              <w:rPr>
                <w:rFonts w:hint="eastAsia"/>
                <w:color w:val="auto"/>
              </w:rPr>
              <w:t>0.96</w:t>
            </w:r>
          </w:p>
        </w:tc>
        <w:tc>
          <w:tcPr>
            <w:tcW w:w="1166" w:type="pct"/>
            <w:tcBorders>
              <w:top w:val="single" w:color="auto" w:sz="4" w:space="0"/>
              <w:left w:val="single" w:color="auto" w:sz="4" w:space="0"/>
              <w:bottom w:val="single" w:color="auto" w:sz="4" w:space="0"/>
              <w:right w:val="single" w:color="auto" w:sz="4" w:space="0"/>
            </w:tcBorders>
            <w:vAlign w:val="center"/>
          </w:tcPr>
          <w:p w14:paraId="3D0CE880">
            <w:pPr>
              <w:pStyle w:val="33"/>
              <w:rPr>
                <w:color w:val="auto"/>
              </w:rPr>
            </w:pPr>
            <w:r>
              <w:rPr>
                <w:color w:val="auto"/>
              </w:rPr>
              <w:t>150</w:t>
            </w:r>
          </w:p>
        </w:tc>
        <w:tc>
          <w:tcPr>
            <w:tcW w:w="1012" w:type="pct"/>
            <w:tcBorders>
              <w:top w:val="single" w:color="auto" w:sz="4" w:space="0"/>
              <w:left w:val="single" w:color="auto" w:sz="4" w:space="0"/>
              <w:bottom w:val="single" w:color="auto" w:sz="4" w:space="0"/>
              <w:right w:val="single" w:color="auto" w:sz="4" w:space="0"/>
            </w:tcBorders>
            <w:vAlign w:val="center"/>
          </w:tcPr>
          <w:p w14:paraId="334049F9">
            <w:pPr>
              <w:pStyle w:val="33"/>
              <w:rPr>
                <w:color w:val="auto"/>
              </w:rPr>
            </w:pPr>
            <w:r>
              <w:rPr>
                <w:rFonts w:hint="eastAsia"/>
                <w:color w:val="auto"/>
              </w:rPr>
              <w:t>0.48</w:t>
            </w:r>
          </w:p>
        </w:tc>
      </w:tr>
    </w:tbl>
    <w:p w14:paraId="1FA850B2">
      <w:pPr>
        <w:ind w:firstLine="480"/>
        <w:rPr>
          <w:color w:val="auto"/>
        </w:rPr>
      </w:pPr>
      <w:r>
        <w:rPr>
          <w:color w:val="auto"/>
        </w:rPr>
        <w:t>施工人员生活污水</w:t>
      </w:r>
      <w:r>
        <w:rPr>
          <w:rFonts w:hint="eastAsia"/>
          <w:color w:val="auto"/>
        </w:rPr>
        <w:t>均依托企业现有污水处理设施处理</w:t>
      </w:r>
      <w:r>
        <w:rPr>
          <w:color w:val="auto"/>
        </w:rPr>
        <w:t>。</w:t>
      </w:r>
    </w:p>
    <w:p w14:paraId="6126D272">
      <w:pPr>
        <w:pStyle w:val="4"/>
        <w:rPr>
          <w:color w:val="auto"/>
        </w:rPr>
      </w:pPr>
      <w:bookmarkStart w:id="212" w:name="_Toc225216712"/>
      <w:r>
        <w:rPr>
          <w:rFonts w:hint="eastAsia"/>
          <w:color w:val="auto"/>
        </w:rPr>
        <w:t>施工期声污染源</w:t>
      </w:r>
      <w:bookmarkEnd w:id="212"/>
    </w:p>
    <w:p w14:paraId="11F9DA64">
      <w:pPr>
        <w:ind w:firstLine="480"/>
        <w:rPr>
          <w:color w:val="auto"/>
        </w:rPr>
      </w:pPr>
      <w:r>
        <w:rPr>
          <w:color w:val="auto"/>
        </w:rPr>
        <w:t>在施工阶段，随着工程的进度和施工工序的更替，将会采用不同施工机械和施工方法。噪声源主要包括施工场地各类机械设备作业产生的噪声、运输车辆产生的交通噪声等。参考《环境噪声与振动控制工程技术导则》（HJ2034-2013），不同施工阶段各类施工机械在距离噪声源5m的声压级详</w:t>
      </w:r>
      <w:r>
        <w:rPr>
          <w:rFonts w:hint="eastAsia"/>
          <w:color w:val="auto"/>
        </w:rPr>
        <w:t>见下表</w:t>
      </w:r>
      <w:r>
        <w:rPr>
          <w:color w:val="auto"/>
        </w:rPr>
        <w:t>所示。</w:t>
      </w:r>
    </w:p>
    <w:p w14:paraId="393BDBBC">
      <w:pPr>
        <w:ind w:firstLine="480"/>
        <w:rPr>
          <w:color w:val="auto"/>
        </w:rPr>
      </w:pPr>
      <w:r>
        <w:rPr>
          <w:color w:val="auto"/>
        </w:rPr>
        <w:t>从</w:t>
      </w:r>
      <w:r>
        <w:rPr>
          <w:rFonts w:hint="eastAsia"/>
          <w:color w:val="auto"/>
        </w:rPr>
        <w:t>表</w:t>
      </w:r>
      <w:r>
        <w:rPr>
          <w:color w:val="auto"/>
        </w:rPr>
        <w:t>可以看出，各类机械施工的噪声级均比较大，加之人为噪声及其他施工声响，若未经妥善的隔声降噪处理，将对周围环境造成较大的不良影响。</w:t>
      </w:r>
    </w:p>
    <w:p w14:paraId="486997FC">
      <w:pPr>
        <w:pStyle w:val="7"/>
        <w:rPr>
          <w:color w:val="auto"/>
        </w:rPr>
      </w:pPr>
      <w:r>
        <w:rPr>
          <w:color w:val="auto"/>
        </w:rPr>
        <w:t>施工期主要机械设备噪声强度</w:t>
      </w:r>
    </w:p>
    <w:tbl>
      <w:tblPr>
        <w:tblStyle w:val="26"/>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2268"/>
        <w:gridCol w:w="1843"/>
        <w:gridCol w:w="2799"/>
      </w:tblGrid>
      <w:tr w14:paraId="709E6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376" w:type="dxa"/>
            <w:vAlign w:val="center"/>
          </w:tcPr>
          <w:p w14:paraId="15F86C7A">
            <w:pPr>
              <w:pStyle w:val="33"/>
              <w:rPr>
                <w:color w:val="auto"/>
              </w:rPr>
            </w:pPr>
            <w:r>
              <w:rPr>
                <w:color w:val="auto"/>
              </w:rPr>
              <w:t>施工阶段</w:t>
            </w:r>
          </w:p>
        </w:tc>
        <w:tc>
          <w:tcPr>
            <w:tcW w:w="2268" w:type="dxa"/>
            <w:vAlign w:val="center"/>
          </w:tcPr>
          <w:p w14:paraId="76663432">
            <w:pPr>
              <w:pStyle w:val="33"/>
              <w:rPr>
                <w:color w:val="auto"/>
              </w:rPr>
            </w:pPr>
            <w:r>
              <w:rPr>
                <w:color w:val="auto"/>
              </w:rPr>
              <w:t>噪声特点</w:t>
            </w:r>
          </w:p>
        </w:tc>
        <w:tc>
          <w:tcPr>
            <w:tcW w:w="1843" w:type="dxa"/>
            <w:vAlign w:val="center"/>
          </w:tcPr>
          <w:p w14:paraId="49ED64FD">
            <w:pPr>
              <w:pStyle w:val="33"/>
              <w:rPr>
                <w:color w:val="auto"/>
              </w:rPr>
            </w:pPr>
            <w:r>
              <w:rPr>
                <w:color w:val="auto"/>
              </w:rPr>
              <w:t>主要噪声源</w:t>
            </w:r>
          </w:p>
        </w:tc>
        <w:tc>
          <w:tcPr>
            <w:tcW w:w="2799" w:type="dxa"/>
            <w:vAlign w:val="center"/>
          </w:tcPr>
          <w:p w14:paraId="33481D72">
            <w:pPr>
              <w:pStyle w:val="33"/>
              <w:rPr>
                <w:color w:val="auto"/>
              </w:rPr>
            </w:pPr>
            <w:r>
              <w:rPr>
                <w:color w:val="auto"/>
              </w:rPr>
              <w:t>距声源5m的声压级dB(A)</w:t>
            </w:r>
          </w:p>
        </w:tc>
      </w:tr>
      <w:tr w14:paraId="3D768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restart"/>
            <w:vAlign w:val="center"/>
          </w:tcPr>
          <w:p w14:paraId="081F6251">
            <w:pPr>
              <w:pStyle w:val="33"/>
              <w:rPr>
                <w:color w:val="auto"/>
              </w:rPr>
            </w:pPr>
            <w:r>
              <w:rPr>
                <w:color w:val="auto"/>
              </w:rPr>
              <w:t>土石方阶段</w:t>
            </w:r>
          </w:p>
        </w:tc>
        <w:tc>
          <w:tcPr>
            <w:tcW w:w="2268" w:type="dxa"/>
            <w:vMerge w:val="restart"/>
            <w:vAlign w:val="center"/>
          </w:tcPr>
          <w:p w14:paraId="370B81D6">
            <w:pPr>
              <w:pStyle w:val="33"/>
              <w:rPr>
                <w:color w:val="auto"/>
              </w:rPr>
            </w:pPr>
            <w:r>
              <w:rPr>
                <w:color w:val="auto"/>
              </w:rPr>
              <w:t>移动式声源</w:t>
            </w:r>
          </w:p>
          <w:p w14:paraId="4F80C25D">
            <w:pPr>
              <w:pStyle w:val="33"/>
              <w:rPr>
                <w:color w:val="auto"/>
              </w:rPr>
            </w:pPr>
            <w:r>
              <w:rPr>
                <w:color w:val="auto"/>
              </w:rPr>
              <w:t>无明显指向性</w:t>
            </w:r>
          </w:p>
        </w:tc>
        <w:tc>
          <w:tcPr>
            <w:tcW w:w="1843" w:type="dxa"/>
            <w:vAlign w:val="center"/>
          </w:tcPr>
          <w:p w14:paraId="19AD388A">
            <w:pPr>
              <w:pStyle w:val="33"/>
              <w:rPr>
                <w:color w:val="auto"/>
              </w:rPr>
            </w:pPr>
            <w:r>
              <w:rPr>
                <w:color w:val="auto"/>
              </w:rPr>
              <w:t>推土机</w:t>
            </w:r>
          </w:p>
        </w:tc>
        <w:tc>
          <w:tcPr>
            <w:tcW w:w="2799" w:type="dxa"/>
            <w:vAlign w:val="center"/>
          </w:tcPr>
          <w:p w14:paraId="255EB5F0">
            <w:pPr>
              <w:pStyle w:val="33"/>
              <w:rPr>
                <w:color w:val="auto"/>
              </w:rPr>
            </w:pPr>
            <w:r>
              <w:rPr>
                <w:color w:val="auto"/>
              </w:rPr>
              <w:t>85</w:t>
            </w:r>
          </w:p>
        </w:tc>
      </w:tr>
      <w:tr w14:paraId="77F52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08262FB8">
            <w:pPr>
              <w:pStyle w:val="33"/>
              <w:rPr>
                <w:color w:val="auto"/>
              </w:rPr>
            </w:pPr>
          </w:p>
        </w:tc>
        <w:tc>
          <w:tcPr>
            <w:tcW w:w="2268" w:type="dxa"/>
            <w:vMerge w:val="continue"/>
            <w:vAlign w:val="center"/>
          </w:tcPr>
          <w:p w14:paraId="3C0161B6">
            <w:pPr>
              <w:pStyle w:val="33"/>
              <w:rPr>
                <w:color w:val="auto"/>
              </w:rPr>
            </w:pPr>
          </w:p>
        </w:tc>
        <w:tc>
          <w:tcPr>
            <w:tcW w:w="1843" w:type="dxa"/>
            <w:vAlign w:val="center"/>
          </w:tcPr>
          <w:p w14:paraId="1C0E61FB">
            <w:pPr>
              <w:pStyle w:val="33"/>
              <w:rPr>
                <w:color w:val="auto"/>
              </w:rPr>
            </w:pPr>
            <w:r>
              <w:rPr>
                <w:color w:val="auto"/>
              </w:rPr>
              <w:t>挖掘机</w:t>
            </w:r>
          </w:p>
        </w:tc>
        <w:tc>
          <w:tcPr>
            <w:tcW w:w="2799" w:type="dxa"/>
            <w:vAlign w:val="center"/>
          </w:tcPr>
          <w:p w14:paraId="6ED18C02">
            <w:pPr>
              <w:pStyle w:val="33"/>
              <w:rPr>
                <w:color w:val="auto"/>
              </w:rPr>
            </w:pPr>
            <w:r>
              <w:rPr>
                <w:color w:val="auto"/>
              </w:rPr>
              <w:t>85</w:t>
            </w:r>
          </w:p>
        </w:tc>
      </w:tr>
      <w:tr w14:paraId="75B3F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11FC71F9">
            <w:pPr>
              <w:pStyle w:val="33"/>
              <w:rPr>
                <w:color w:val="auto"/>
              </w:rPr>
            </w:pPr>
          </w:p>
        </w:tc>
        <w:tc>
          <w:tcPr>
            <w:tcW w:w="2268" w:type="dxa"/>
            <w:vMerge w:val="continue"/>
            <w:vAlign w:val="center"/>
          </w:tcPr>
          <w:p w14:paraId="1CAD2384">
            <w:pPr>
              <w:pStyle w:val="33"/>
              <w:rPr>
                <w:color w:val="auto"/>
              </w:rPr>
            </w:pPr>
          </w:p>
        </w:tc>
        <w:tc>
          <w:tcPr>
            <w:tcW w:w="1843" w:type="dxa"/>
            <w:vAlign w:val="center"/>
          </w:tcPr>
          <w:p w14:paraId="3938526D">
            <w:pPr>
              <w:pStyle w:val="33"/>
              <w:rPr>
                <w:color w:val="auto"/>
              </w:rPr>
            </w:pPr>
            <w:r>
              <w:rPr>
                <w:color w:val="auto"/>
              </w:rPr>
              <w:t>装载机</w:t>
            </w:r>
          </w:p>
        </w:tc>
        <w:tc>
          <w:tcPr>
            <w:tcW w:w="2799" w:type="dxa"/>
            <w:vAlign w:val="center"/>
          </w:tcPr>
          <w:p w14:paraId="40BEE069">
            <w:pPr>
              <w:pStyle w:val="33"/>
              <w:rPr>
                <w:color w:val="auto"/>
              </w:rPr>
            </w:pPr>
            <w:r>
              <w:rPr>
                <w:color w:val="auto"/>
              </w:rPr>
              <w:t>90</w:t>
            </w:r>
          </w:p>
        </w:tc>
      </w:tr>
      <w:tr w14:paraId="6E8E0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149FEE55">
            <w:pPr>
              <w:pStyle w:val="33"/>
              <w:rPr>
                <w:color w:val="auto"/>
              </w:rPr>
            </w:pPr>
          </w:p>
        </w:tc>
        <w:tc>
          <w:tcPr>
            <w:tcW w:w="2268" w:type="dxa"/>
            <w:vMerge w:val="continue"/>
            <w:vAlign w:val="center"/>
          </w:tcPr>
          <w:p w14:paraId="5686F723">
            <w:pPr>
              <w:pStyle w:val="33"/>
              <w:rPr>
                <w:color w:val="auto"/>
              </w:rPr>
            </w:pPr>
          </w:p>
        </w:tc>
        <w:tc>
          <w:tcPr>
            <w:tcW w:w="1843" w:type="dxa"/>
            <w:vAlign w:val="center"/>
          </w:tcPr>
          <w:p w14:paraId="12C3E5C4">
            <w:pPr>
              <w:pStyle w:val="33"/>
              <w:rPr>
                <w:color w:val="auto"/>
              </w:rPr>
            </w:pPr>
            <w:r>
              <w:rPr>
                <w:color w:val="auto"/>
              </w:rPr>
              <w:t>水泵</w:t>
            </w:r>
          </w:p>
        </w:tc>
        <w:tc>
          <w:tcPr>
            <w:tcW w:w="2799" w:type="dxa"/>
            <w:vAlign w:val="center"/>
          </w:tcPr>
          <w:p w14:paraId="005240D6">
            <w:pPr>
              <w:pStyle w:val="33"/>
              <w:rPr>
                <w:color w:val="auto"/>
              </w:rPr>
            </w:pPr>
            <w:r>
              <w:rPr>
                <w:color w:val="auto"/>
              </w:rPr>
              <w:t>90</w:t>
            </w:r>
          </w:p>
        </w:tc>
      </w:tr>
      <w:tr w14:paraId="13B2F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58C16EA5">
            <w:pPr>
              <w:pStyle w:val="33"/>
              <w:rPr>
                <w:color w:val="auto"/>
              </w:rPr>
            </w:pPr>
          </w:p>
        </w:tc>
        <w:tc>
          <w:tcPr>
            <w:tcW w:w="2268" w:type="dxa"/>
            <w:vMerge w:val="continue"/>
            <w:vAlign w:val="center"/>
          </w:tcPr>
          <w:p w14:paraId="0FBEA4C2">
            <w:pPr>
              <w:pStyle w:val="33"/>
              <w:rPr>
                <w:color w:val="auto"/>
              </w:rPr>
            </w:pPr>
          </w:p>
        </w:tc>
        <w:tc>
          <w:tcPr>
            <w:tcW w:w="1843" w:type="dxa"/>
            <w:vAlign w:val="center"/>
          </w:tcPr>
          <w:p w14:paraId="1FC360C6">
            <w:pPr>
              <w:pStyle w:val="33"/>
              <w:rPr>
                <w:color w:val="auto"/>
              </w:rPr>
            </w:pPr>
            <w:r>
              <w:rPr>
                <w:color w:val="auto"/>
              </w:rPr>
              <w:t>柴油发动机</w:t>
            </w:r>
          </w:p>
        </w:tc>
        <w:tc>
          <w:tcPr>
            <w:tcW w:w="2799" w:type="dxa"/>
            <w:vAlign w:val="center"/>
          </w:tcPr>
          <w:p w14:paraId="25644B8C">
            <w:pPr>
              <w:pStyle w:val="33"/>
              <w:rPr>
                <w:color w:val="auto"/>
              </w:rPr>
            </w:pPr>
            <w:r>
              <w:rPr>
                <w:color w:val="auto"/>
              </w:rPr>
              <w:t>100</w:t>
            </w:r>
          </w:p>
        </w:tc>
      </w:tr>
      <w:tr w14:paraId="7A4B5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53811FD1">
            <w:pPr>
              <w:pStyle w:val="33"/>
              <w:rPr>
                <w:color w:val="auto"/>
              </w:rPr>
            </w:pPr>
          </w:p>
        </w:tc>
        <w:tc>
          <w:tcPr>
            <w:tcW w:w="2268" w:type="dxa"/>
            <w:vMerge w:val="continue"/>
            <w:vAlign w:val="center"/>
          </w:tcPr>
          <w:p w14:paraId="1BAE797B">
            <w:pPr>
              <w:pStyle w:val="33"/>
              <w:rPr>
                <w:color w:val="auto"/>
              </w:rPr>
            </w:pPr>
          </w:p>
        </w:tc>
        <w:tc>
          <w:tcPr>
            <w:tcW w:w="1843" w:type="dxa"/>
            <w:vAlign w:val="center"/>
          </w:tcPr>
          <w:p w14:paraId="0F773462">
            <w:pPr>
              <w:pStyle w:val="33"/>
              <w:rPr>
                <w:color w:val="auto"/>
              </w:rPr>
            </w:pPr>
            <w:r>
              <w:rPr>
                <w:color w:val="auto"/>
              </w:rPr>
              <w:t>空压机</w:t>
            </w:r>
          </w:p>
        </w:tc>
        <w:tc>
          <w:tcPr>
            <w:tcW w:w="2799" w:type="dxa"/>
            <w:vAlign w:val="center"/>
          </w:tcPr>
          <w:p w14:paraId="6B215F21">
            <w:pPr>
              <w:pStyle w:val="33"/>
              <w:rPr>
                <w:color w:val="auto"/>
              </w:rPr>
            </w:pPr>
            <w:r>
              <w:rPr>
                <w:color w:val="auto"/>
              </w:rPr>
              <w:t>90</w:t>
            </w:r>
          </w:p>
        </w:tc>
      </w:tr>
      <w:tr w14:paraId="68295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36A5E68E">
            <w:pPr>
              <w:pStyle w:val="33"/>
              <w:rPr>
                <w:color w:val="auto"/>
              </w:rPr>
            </w:pPr>
          </w:p>
        </w:tc>
        <w:tc>
          <w:tcPr>
            <w:tcW w:w="2268" w:type="dxa"/>
            <w:vMerge w:val="continue"/>
            <w:vAlign w:val="center"/>
          </w:tcPr>
          <w:p w14:paraId="158AB007">
            <w:pPr>
              <w:pStyle w:val="33"/>
              <w:rPr>
                <w:color w:val="auto"/>
              </w:rPr>
            </w:pPr>
          </w:p>
        </w:tc>
        <w:tc>
          <w:tcPr>
            <w:tcW w:w="1843" w:type="dxa"/>
            <w:vAlign w:val="center"/>
          </w:tcPr>
          <w:p w14:paraId="048FB93D">
            <w:pPr>
              <w:pStyle w:val="33"/>
              <w:rPr>
                <w:color w:val="auto"/>
              </w:rPr>
            </w:pPr>
            <w:r>
              <w:rPr>
                <w:color w:val="auto"/>
              </w:rPr>
              <w:t>运输车辆</w:t>
            </w:r>
          </w:p>
        </w:tc>
        <w:tc>
          <w:tcPr>
            <w:tcW w:w="2799" w:type="dxa"/>
            <w:vAlign w:val="center"/>
          </w:tcPr>
          <w:p w14:paraId="18C21195">
            <w:pPr>
              <w:pStyle w:val="33"/>
              <w:rPr>
                <w:color w:val="auto"/>
              </w:rPr>
            </w:pPr>
            <w:r>
              <w:rPr>
                <w:color w:val="auto"/>
              </w:rPr>
              <w:t>85</w:t>
            </w:r>
          </w:p>
        </w:tc>
      </w:tr>
      <w:tr w14:paraId="245F5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restart"/>
            <w:vAlign w:val="center"/>
          </w:tcPr>
          <w:p w14:paraId="14491CA4">
            <w:pPr>
              <w:pStyle w:val="33"/>
              <w:rPr>
                <w:color w:val="auto"/>
              </w:rPr>
            </w:pPr>
            <w:r>
              <w:rPr>
                <w:color w:val="auto"/>
              </w:rPr>
              <w:t>基础施工阶段</w:t>
            </w:r>
          </w:p>
        </w:tc>
        <w:tc>
          <w:tcPr>
            <w:tcW w:w="2268" w:type="dxa"/>
            <w:vMerge w:val="restart"/>
            <w:vAlign w:val="center"/>
          </w:tcPr>
          <w:p w14:paraId="53DC802A">
            <w:pPr>
              <w:pStyle w:val="33"/>
              <w:rPr>
                <w:color w:val="auto"/>
              </w:rPr>
            </w:pPr>
            <w:r>
              <w:rPr>
                <w:color w:val="auto"/>
              </w:rPr>
              <w:t>典型的脉冲噪声</w:t>
            </w:r>
          </w:p>
          <w:p w14:paraId="4D2DBB20">
            <w:pPr>
              <w:pStyle w:val="33"/>
              <w:rPr>
                <w:color w:val="auto"/>
              </w:rPr>
            </w:pPr>
            <w:r>
              <w:rPr>
                <w:color w:val="auto"/>
              </w:rPr>
              <w:t>有明显指向性</w:t>
            </w:r>
          </w:p>
          <w:p w14:paraId="6E709BBB">
            <w:pPr>
              <w:pStyle w:val="33"/>
              <w:rPr>
                <w:color w:val="auto"/>
              </w:rPr>
            </w:pPr>
            <w:r>
              <w:rPr>
                <w:color w:val="auto"/>
              </w:rPr>
              <w:t>声功率级最高</w:t>
            </w:r>
          </w:p>
        </w:tc>
        <w:tc>
          <w:tcPr>
            <w:tcW w:w="1843" w:type="dxa"/>
            <w:vAlign w:val="center"/>
          </w:tcPr>
          <w:p w14:paraId="71133E5B">
            <w:pPr>
              <w:pStyle w:val="33"/>
              <w:rPr>
                <w:color w:val="auto"/>
              </w:rPr>
            </w:pPr>
            <w:r>
              <w:rPr>
                <w:color w:val="auto"/>
              </w:rPr>
              <w:t>振动夯锤</w:t>
            </w:r>
          </w:p>
        </w:tc>
        <w:tc>
          <w:tcPr>
            <w:tcW w:w="2799" w:type="dxa"/>
            <w:vAlign w:val="center"/>
          </w:tcPr>
          <w:p w14:paraId="0A4C18C8">
            <w:pPr>
              <w:pStyle w:val="33"/>
              <w:rPr>
                <w:color w:val="auto"/>
              </w:rPr>
            </w:pPr>
            <w:r>
              <w:rPr>
                <w:color w:val="auto"/>
              </w:rPr>
              <w:t>95</w:t>
            </w:r>
          </w:p>
        </w:tc>
      </w:tr>
      <w:tr w14:paraId="53700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376" w:type="dxa"/>
            <w:vMerge w:val="continue"/>
            <w:vAlign w:val="center"/>
          </w:tcPr>
          <w:p w14:paraId="79944967">
            <w:pPr>
              <w:pStyle w:val="33"/>
              <w:rPr>
                <w:color w:val="auto"/>
              </w:rPr>
            </w:pPr>
          </w:p>
        </w:tc>
        <w:tc>
          <w:tcPr>
            <w:tcW w:w="2268" w:type="dxa"/>
            <w:vMerge w:val="continue"/>
            <w:vAlign w:val="center"/>
          </w:tcPr>
          <w:p w14:paraId="48D0DF31">
            <w:pPr>
              <w:pStyle w:val="33"/>
              <w:rPr>
                <w:color w:val="auto"/>
              </w:rPr>
            </w:pPr>
          </w:p>
        </w:tc>
        <w:tc>
          <w:tcPr>
            <w:tcW w:w="1843" w:type="dxa"/>
            <w:vAlign w:val="center"/>
          </w:tcPr>
          <w:p w14:paraId="100F2E80">
            <w:pPr>
              <w:pStyle w:val="33"/>
              <w:rPr>
                <w:color w:val="auto"/>
              </w:rPr>
            </w:pPr>
            <w:r>
              <w:rPr>
                <w:color w:val="auto"/>
              </w:rPr>
              <w:t>振捣棒</w:t>
            </w:r>
          </w:p>
        </w:tc>
        <w:tc>
          <w:tcPr>
            <w:tcW w:w="2799" w:type="dxa"/>
            <w:vAlign w:val="center"/>
          </w:tcPr>
          <w:p w14:paraId="317793DB">
            <w:pPr>
              <w:pStyle w:val="33"/>
              <w:rPr>
                <w:color w:val="auto"/>
              </w:rPr>
            </w:pPr>
            <w:r>
              <w:rPr>
                <w:color w:val="auto"/>
              </w:rPr>
              <w:t>85</w:t>
            </w:r>
          </w:p>
        </w:tc>
      </w:tr>
      <w:tr w14:paraId="6768C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0C53B22E">
            <w:pPr>
              <w:pStyle w:val="33"/>
              <w:rPr>
                <w:color w:val="auto"/>
              </w:rPr>
            </w:pPr>
          </w:p>
        </w:tc>
        <w:tc>
          <w:tcPr>
            <w:tcW w:w="2268" w:type="dxa"/>
            <w:vMerge w:val="continue"/>
            <w:vAlign w:val="center"/>
          </w:tcPr>
          <w:p w14:paraId="01E74856">
            <w:pPr>
              <w:pStyle w:val="33"/>
              <w:rPr>
                <w:color w:val="auto"/>
              </w:rPr>
            </w:pPr>
          </w:p>
        </w:tc>
        <w:tc>
          <w:tcPr>
            <w:tcW w:w="1843" w:type="dxa"/>
            <w:vAlign w:val="center"/>
          </w:tcPr>
          <w:p w14:paraId="20CEB282">
            <w:pPr>
              <w:pStyle w:val="33"/>
              <w:rPr>
                <w:color w:val="auto"/>
              </w:rPr>
            </w:pPr>
            <w:r>
              <w:rPr>
                <w:color w:val="auto"/>
              </w:rPr>
              <w:t>风镐</w:t>
            </w:r>
          </w:p>
        </w:tc>
        <w:tc>
          <w:tcPr>
            <w:tcW w:w="2799" w:type="dxa"/>
            <w:vAlign w:val="center"/>
          </w:tcPr>
          <w:p w14:paraId="34A2DF99">
            <w:pPr>
              <w:pStyle w:val="33"/>
              <w:rPr>
                <w:color w:val="auto"/>
              </w:rPr>
            </w:pPr>
            <w:r>
              <w:rPr>
                <w:color w:val="auto"/>
              </w:rPr>
              <w:t>92</w:t>
            </w:r>
          </w:p>
        </w:tc>
      </w:tr>
      <w:tr w14:paraId="570FE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376" w:type="dxa"/>
            <w:vMerge w:val="restart"/>
            <w:vAlign w:val="center"/>
          </w:tcPr>
          <w:p w14:paraId="3ABA1C71">
            <w:pPr>
              <w:pStyle w:val="33"/>
              <w:rPr>
                <w:color w:val="auto"/>
              </w:rPr>
            </w:pPr>
            <w:r>
              <w:rPr>
                <w:color w:val="auto"/>
              </w:rPr>
              <w:t>结构施工阶段</w:t>
            </w:r>
          </w:p>
        </w:tc>
        <w:tc>
          <w:tcPr>
            <w:tcW w:w="2268" w:type="dxa"/>
            <w:vMerge w:val="restart"/>
            <w:vAlign w:val="center"/>
          </w:tcPr>
          <w:p w14:paraId="10E1E635">
            <w:pPr>
              <w:pStyle w:val="33"/>
              <w:rPr>
                <w:color w:val="auto"/>
              </w:rPr>
            </w:pPr>
            <w:r>
              <w:rPr>
                <w:color w:val="auto"/>
              </w:rPr>
              <w:t>施工期长</w:t>
            </w:r>
          </w:p>
          <w:p w14:paraId="454939D9">
            <w:pPr>
              <w:pStyle w:val="33"/>
              <w:rPr>
                <w:color w:val="auto"/>
              </w:rPr>
            </w:pPr>
            <w:r>
              <w:rPr>
                <w:color w:val="auto"/>
              </w:rPr>
              <w:t>工作时间长</w:t>
            </w:r>
          </w:p>
          <w:p w14:paraId="253D1552">
            <w:pPr>
              <w:pStyle w:val="33"/>
              <w:rPr>
                <w:color w:val="auto"/>
              </w:rPr>
            </w:pPr>
            <w:r>
              <w:rPr>
                <w:color w:val="auto"/>
              </w:rPr>
              <w:t>影响面广</w:t>
            </w:r>
          </w:p>
        </w:tc>
        <w:tc>
          <w:tcPr>
            <w:tcW w:w="1843" w:type="dxa"/>
            <w:vAlign w:val="center"/>
          </w:tcPr>
          <w:p w14:paraId="3367BC50">
            <w:pPr>
              <w:pStyle w:val="33"/>
              <w:rPr>
                <w:color w:val="auto"/>
              </w:rPr>
            </w:pPr>
            <w:r>
              <w:rPr>
                <w:color w:val="auto"/>
              </w:rPr>
              <w:t>电焊机</w:t>
            </w:r>
          </w:p>
        </w:tc>
        <w:tc>
          <w:tcPr>
            <w:tcW w:w="2799" w:type="dxa"/>
            <w:vAlign w:val="center"/>
          </w:tcPr>
          <w:p w14:paraId="2DB01484">
            <w:pPr>
              <w:pStyle w:val="33"/>
              <w:rPr>
                <w:color w:val="auto"/>
              </w:rPr>
            </w:pPr>
            <w:r>
              <w:rPr>
                <w:color w:val="auto"/>
              </w:rPr>
              <w:t>90</w:t>
            </w:r>
          </w:p>
        </w:tc>
      </w:tr>
      <w:tr w14:paraId="24D7E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176E143E">
            <w:pPr>
              <w:pStyle w:val="33"/>
              <w:rPr>
                <w:color w:val="auto"/>
              </w:rPr>
            </w:pPr>
          </w:p>
        </w:tc>
        <w:tc>
          <w:tcPr>
            <w:tcW w:w="2268" w:type="dxa"/>
            <w:vMerge w:val="continue"/>
            <w:vAlign w:val="center"/>
          </w:tcPr>
          <w:p w14:paraId="750B3B2E">
            <w:pPr>
              <w:pStyle w:val="33"/>
              <w:rPr>
                <w:color w:val="auto"/>
              </w:rPr>
            </w:pPr>
          </w:p>
        </w:tc>
        <w:tc>
          <w:tcPr>
            <w:tcW w:w="1843" w:type="dxa"/>
            <w:vAlign w:val="center"/>
          </w:tcPr>
          <w:p w14:paraId="4AEA3771">
            <w:pPr>
              <w:pStyle w:val="33"/>
              <w:rPr>
                <w:color w:val="auto"/>
              </w:rPr>
            </w:pPr>
            <w:r>
              <w:rPr>
                <w:color w:val="auto"/>
              </w:rPr>
              <w:t>运输车辆</w:t>
            </w:r>
          </w:p>
        </w:tc>
        <w:tc>
          <w:tcPr>
            <w:tcW w:w="2799" w:type="dxa"/>
            <w:vAlign w:val="center"/>
          </w:tcPr>
          <w:p w14:paraId="165DBAE7">
            <w:pPr>
              <w:pStyle w:val="33"/>
              <w:rPr>
                <w:color w:val="auto"/>
              </w:rPr>
            </w:pPr>
            <w:r>
              <w:rPr>
                <w:color w:val="auto"/>
              </w:rPr>
              <w:t>85</w:t>
            </w:r>
          </w:p>
        </w:tc>
      </w:tr>
      <w:tr w14:paraId="4DDE5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092D0C03">
            <w:pPr>
              <w:pStyle w:val="33"/>
              <w:rPr>
                <w:color w:val="auto"/>
              </w:rPr>
            </w:pPr>
          </w:p>
        </w:tc>
        <w:tc>
          <w:tcPr>
            <w:tcW w:w="2268" w:type="dxa"/>
            <w:vMerge w:val="continue"/>
            <w:vAlign w:val="center"/>
          </w:tcPr>
          <w:p w14:paraId="203296B9">
            <w:pPr>
              <w:pStyle w:val="33"/>
              <w:rPr>
                <w:color w:val="auto"/>
              </w:rPr>
            </w:pPr>
          </w:p>
        </w:tc>
        <w:tc>
          <w:tcPr>
            <w:tcW w:w="1843" w:type="dxa"/>
            <w:vAlign w:val="center"/>
          </w:tcPr>
          <w:p w14:paraId="4FCD038F">
            <w:pPr>
              <w:pStyle w:val="33"/>
              <w:rPr>
                <w:color w:val="auto"/>
              </w:rPr>
            </w:pPr>
            <w:r>
              <w:rPr>
                <w:color w:val="auto"/>
              </w:rPr>
              <w:t>人为噪音</w:t>
            </w:r>
          </w:p>
        </w:tc>
        <w:tc>
          <w:tcPr>
            <w:tcW w:w="2799" w:type="dxa"/>
            <w:vAlign w:val="center"/>
          </w:tcPr>
          <w:p w14:paraId="070E6250">
            <w:pPr>
              <w:pStyle w:val="33"/>
              <w:rPr>
                <w:color w:val="auto"/>
              </w:rPr>
            </w:pPr>
            <w:r>
              <w:rPr>
                <w:color w:val="auto"/>
              </w:rPr>
              <w:t>75</w:t>
            </w:r>
          </w:p>
        </w:tc>
      </w:tr>
      <w:tr w14:paraId="58FFB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65BB8C56">
            <w:pPr>
              <w:pStyle w:val="33"/>
              <w:rPr>
                <w:color w:val="auto"/>
              </w:rPr>
            </w:pPr>
          </w:p>
        </w:tc>
        <w:tc>
          <w:tcPr>
            <w:tcW w:w="2268" w:type="dxa"/>
            <w:vMerge w:val="continue"/>
            <w:vAlign w:val="center"/>
          </w:tcPr>
          <w:p w14:paraId="67039F13">
            <w:pPr>
              <w:pStyle w:val="33"/>
              <w:rPr>
                <w:color w:val="auto"/>
              </w:rPr>
            </w:pPr>
          </w:p>
        </w:tc>
        <w:tc>
          <w:tcPr>
            <w:tcW w:w="1843" w:type="dxa"/>
            <w:vAlign w:val="center"/>
          </w:tcPr>
          <w:p w14:paraId="10FA81F5">
            <w:pPr>
              <w:pStyle w:val="33"/>
              <w:rPr>
                <w:color w:val="auto"/>
              </w:rPr>
            </w:pPr>
            <w:r>
              <w:rPr>
                <w:color w:val="auto"/>
              </w:rPr>
              <w:t>电钻</w:t>
            </w:r>
          </w:p>
        </w:tc>
        <w:tc>
          <w:tcPr>
            <w:tcW w:w="2799" w:type="dxa"/>
            <w:vAlign w:val="center"/>
          </w:tcPr>
          <w:p w14:paraId="7558569D">
            <w:pPr>
              <w:pStyle w:val="33"/>
              <w:rPr>
                <w:color w:val="auto"/>
              </w:rPr>
            </w:pPr>
            <w:r>
              <w:rPr>
                <w:color w:val="auto"/>
              </w:rPr>
              <w:t>95</w:t>
            </w:r>
          </w:p>
        </w:tc>
      </w:tr>
      <w:tr w14:paraId="20CC9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643F095C">
            <w:pPr>
              <w:pStyle w:val="33"/>
              <w:rPr>
                <w:color w:val="auto"/>
              </w:rPr>
            </w:pPr>
          </w:p>
        </w:tc>
        <w:tc>
          <w:tcPr>
            <w:tcW w:w="2268" w:type="dxa"/>
            <w:vMerge w:val="continue"/>
            <w:vAlign w:val="center"/>
          </w:tcPr>
          <w:p w14:paraId="615701F6">
            <w:pPr>
              <w:pStyle w:val="33"/>
              <w:rPr>
                <w:color w:val="auto"/>
              </w:rPr>
            </w:pPr>
          </w:p>
        </w:tc>
        <w:tc>
          <w:tcPr>
            <w:tcW w:w="1843" w:type="dxa"/>
            <w:vAlign w:val="center"/>
          </w:tcPr>
          <w:p w14:paraId="61F317A7">
            <w:pPr>
              <w:pStyle w:val="33"/>
              <w:rPr>
                <w:color w:val="auto"/>
              </w:rPr>
            </w:pPr>
            <w:r>
              <w:rPr>
                <w:color w:val="auto"/>
              </w:rPr>
              <w:t>电锤</w:t>
            </w:r>
          </w:p>
        </w:tc>
        <w:tc>
          <w:tcPr>
            <w:tcW w:w="2799" w:type="dxa"/>
            <w:vAlign w:val="center"/>
          </w:tcPr>
          <w:p w14:paraId="45DF40FA">
            <w:pPr>
              <w:pStyle w:val="33"/>
              <w:rPr>
                <w:color w:val="auto"/>
              </w:rPr>
            </w:pPr>
            <w:r>
              <w:rPr>
                <w:color w:val="auto"/>
              </w:rPr>
              <w:t>100</w:t>
            </w:r>
          </w:p>
        </w:tc>
      </w:tr>
      <w:tr w14:paraId="73157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restart"/>
            <w:vAlign w:val="center"/>
          </w:tcPr>
          <w:p w14:paraId="631B71F6">
            <w:pPr>
              <w:pStyle w:val="33"/>
              <w:rPr>
                <w:color w:val="auto"/>
              </w:rPr>
            </w:pPr>
            <w:r>
              <w:rPr>
                <w:color w:val="auto"/>
              </w:rPr>
              <w:t>装修、设备安装阶段</w:t>
            </w:r>
          </w:p>
        </w:tc>
        <w:tc>
          <w:tcPr>
            <w:tcW w:w="2268" w:type="dxa"/>
            <w:vMerge w:val="restart"/>
            <w:vAlign w:val="center"/>
          </w:tcPr>
          <w:p w14:paraId="2EEFD3F1">
            <w:pPr>
              <w:pStyle w:val="33"/>
              <w:rPr>
                <w:color w:val="auto"/>
              </w:rPr>
            </w:pPr>
            <w:r>
              <w:rPr>
                <w:color w:val="auto"/>
              </w:rPr>
              <w:t>施工期长</w:t>
            </w:r>
          </w:p>
          <w:p w14:paraId="41A29BC4">
            <w:pPr>
              <w:pStyle w:val="33"/>
              <w:rPr>
                <w:color w:val="auto"/>
              </w:rPr>
            </w:pPr>
            <w:r>
              <w:rPr>
                <w:color w:val="auto"/>
              </w:rPr>
              <w:t>声源强度较小</w:t>
            </w:r>
          </w:p>
        </w:tc>
        <w:tc>
          <w:tcPr>
            <w:tcW w:w="1843" w:type="dxa"/>
            <w:vAlign w:val="center"/>
          </w:tcPr>
          <w:p w14:paraId="163E9887">
            <w:pPr>
              <w:pStyle w:val="33"/>
              <w:rPr>
                <w:color w:val="auto"/>
              </w:rPr>
            </w:pPr>
            <w:r>
              <w:rPr>
                <w:color w:val="auto"/>
              </w:rPr>
              <w:t>手工钻</w:t>
            </w:r>
          </w:p>
        </w:tc>
        <w:tc>
          <w:tcPr>
            <w:tcW w:w="2799" w:type="dxa"/>
            <w:vAlign w:val="center"/>
          </w:tcPr>
          <w:p w14:paraId="7A6E4337">
            <w:pPr>
              <w:pStyle w:val="33"/>
              <w:rPr>
                <w:color w:val="auto"/>
              </w:rPr>
            </w:pPr>
            <w:r>
              <w:rPr>
                <w:color w:val="auto"/>
              </w:rPr>
              <w:t>95</w:t>
            </w:r>
          </w:p>
        </w:tc>
      </w:tr>
      <w:tr w14:paraId="4CF27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1A546880">
            <w:pPr>
              <w:pStyle w:val="33"/>
              <w:rPr>
                <w:color w:val="auto"/>
              </w:rPr>
            </w:pPr>
          </w:p>
        </w:tc>
        <w:tc>
          <w:tcPr>
            <w:tcW w:w="2268" w:type="dxa"/>
            <w:vMerge w:val="continue"/>
            <w:vAlign w:val="center"/>
          </w:tcPr>
          <w:p w14:paraId="3339C1CE">
            <w:pPr>
              <w:pStyle w:val="33"/>
              <w:rPr>
                <w:color w:val="auto"/>
              </w:rPr>
            </w:pPr>
          </w:p>
        </w:tc>
        <w:tc>
          <w:tcPr>
            <w:tcW w:w="1843" w:type="dxa"/>
            <w:vAlign w:val="center"/>
          </w:tcPr>
          <w:p w14:paraId="49CCC45E">
            <w:pPr>
              <w:pStyle w:val="33"/>
              <w:rPr>
                <w:color w:val="auto"/>
              </w:rPr>
            </w:pPr>
            <w:r>
              <w:rPr>
                <w:color w:val="auto"/>
              </w:rPr>
              <w:t>电锯</w:t>
            </w:r>
          </w:p>
        </w:tc>
        <w:tc>
          <w:tcPr>
            <w:tcW w:w="2799" w:type="dxa"/>
            <w:vAlign w:val="center"/>
          </w:tcPr>
          <w:p w14:paraId="4F961D65">
            <w:pPr>
              <w:pStyle w:val="33"/>
              <w:rPr>
                <w:color w:val="auto"/>
              </w:rPr>
            </w:pPr>
            <w:r>
              <w:rPr>
                <w:color w:val="auto"/>
              </w:rPr>
              <w:t>90</w:t>
            </w:r>
          </w:p>
        </w:tc>
      </w:tr>
      <w:tr w14:paraId="6E090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76" w:type="dxa"/>
            <w:vMerge w:val="continue"/>
            <w:vAlign w:val="center"/>
          </w:tcPr>
          <w:p w14:paraId="0DD73125">
            <w:pPr>
              <w:pStyle w:val="33"/>
              <w:rPr>
                <w:color w:val="auto"/>
              </w:rPr>
            </w:pPr>
          </w:p>
        </w:tc>
        <w:tc>
          <w:tcPr>
            <w:tcW w:w="2268" w:type="dxa"/>
            <w:vMerge w:val="continue"/>
            <w:vAlign w:val="center"/>
          </w:tcPr>
          <w:p w14:paraId="138505B3">
            <w:pPr>
              <w:pStyle w:val="33"/>
              <w:rPr>
                <w:color w:val="auto"/>
              </w:rPr>
            </w:pPr>
          </w:p>
        </w:tc>
        <w:tc>
          <w:tcPr>
            <w:tcW w:w="1843" w:type="dxa"/>
            <w:vAlign w:val="center"/>
          </w:tcPr>
          <w:p w14:paraId="713872C6">
            <w:pPr>
              <w:pStyle w:val="33"/>
              <w:rPr>
                <w:color w:val="auto"/>
              </w:rPr>
            </w:pPr>
            <w:r>
              <w:rPr>
                <w:color w:val="auto"/>
              </w:rPr>
              <w:t>电刨</w:t>
            </w:r>
          </w:p>
        </w:tc>
        <w:tc>
          <w:tcPr>
            <w:tcW w:w="2799" w:type="dxa"/>
            <w:vAlign w:val="center"/>
          </w:tcPr>
          <w:p w14:paraId="1D981277">
            <w:pPr>
              <w:pStyle w:val="33"/>
              <w:rPr>
                <w:color w:val="auto"/>
              </w:rPr>
            </w:pPr>
            <w:r>
              <w:rPr>
                <w:color w:val="auto"/>
              </w:rPr>
              <w:t>95</w:t>
            </w:r>
          </w:p>
        </w:tc>
      </w:tr>
    </w:tbl>
    <w:p w14:paraId="0750E921">
      <w:pPr>
        <w:pStyle w:val="4"/>
        <w:rPr>
          <w:color w:val="auto"/>
        </w:rPr>
      </w:pPr>
      <w:bookmarkStart w:id="213" w:name="_Toc225216713"/>
      <w:r>
        <w:rPr>
          <w:rFonts w:hint="eastAsia"/>
          <w:color w:val="auto"/>
        </w:rPr>
        <w:t>施工期固体废物</w:t>
      </w:r>
      <w:bookmarkEnd w:id="213"/>
    </w:p>
    <w:p w14:paraId="5FB50736">
      <w:pPr>
        <w:ind w:firstLine="480"/>
        <w:rPr>
          <w:color w:val="auto"/>
        </w:rPr>
      </w:pPr>
      <w:r>
        <w:rPr>
          <w:rFonts w:hint="eastAsia"/>
          <w:color w:val="auto"/>
        </w:rPr>
        <w:t>施工期固废主要为设备安装产生的建筑垃圾和施工人员产生的生活垃圾。</w:t>
      </w:r>
    </w:p>
    <w:p w14:paraId="3EE28B5E">
      <w:pPr>
        <w:ind w:firstLine="480"/>
        <w:rPr>
          <w:color w:val="auto"/>
        </w:rPr>
      </w:pPr>
      <w:r>
        <w:rPr>
          <w:rFonts w:hint="eastAsia"/>
          <w:color w:val="auto"/>
        </w:rPr>
        <w:t>开挖土方均用于管道回填覆土，无弃土产生。如施工回填土方不足则由园区内部调剂，本工程不设永久弃渣场及取土场。污水管道开挖过程中，将开挖土方临时堆放在管沟一侧，根据施工时序表层土堆放在管沟回填土底部，施工结束后表层土最后回填，无需专门对污水管道开挖的表层土进行收集防护。管道施工作业带在施工中仅为占压，无需剥离</w:t>
      </w:r>
      <w:r>
        <w:rPr>
          <w:color w:val="auto"/>
        </w:rPr>
        <w:t>表土。</w:t>
      </w:r>
    </w:p>
    <w:p w14:paraId="14096C71">
      <w:pPr>
        <w:ind w:firstLine="480"/>
        <w:rPr>
          <w:color w:val="auto"/>
        </w:rPr>
      </w:pPr>
      <w:r>
        <w:rPr>
          <w:rFonts w:hint="eastAsia"/>
          <w:color w:val="auto"/>
        </w:rPr>
        <w:t>设备安装过程中产生的建筑垃圾主要包括施工剩余废物料、设备包装材料、装修过程产生的废油漆桶和废涂料桶等。建筑垃圾主要成分为：废弃的砂土石、水泥、弃砖、废金属、废瓷砖等。一般地，建筑垃圾产生量按</w:t>
      </w:r>
      <w:r>
        <w:rPr>
          <w:rFonts w:cs="Times New Roman"/>
          <w:color w:val="auto"/>
        </w:rPr>
        <w:t>0.5</w:t>
      </w:r>
      <w:r>
        <w:rPr>
          <w:rFonts w:hint="eastAsia"/>
          <w:color w:val="auto"/>
        </w:rPr>
        <w:t>～</w:t>
      </w:r>
      <w:r>
        <w:rPr>
          <w:rFonts w:cs="Times New Roman"/>
          <w:color w:val="auto"/>
        </w:rPr>
        <w:t>1.0kg/m</w:t>
      </w:r>
      <w:r>
        <w:rPr>
          <w:rFonts w:hint="eastAsia" w:cs="Times New Roman"/>
          <w:color w:val="auto"/>
          <w:vertAlign w:val="superscript"/>
        </w:rPr>
        <w:t>2</w:t>
      </w:r>
      <w:r>
        <w:rPr>
          <w:rFonts w:hint="eastAsia"/>
          <w:color w:val="auto"/>
        </w:rPr>
        <w:t>计算，本项目建筑面积约为</w:t>
      </w:r>
      <w:r>
        <w:rPr>
          <w:rFonts w:hint="eastAsia" w:cs="Times New Roman"/>
          <w:color w:val="auto"/>
        </w:rPr>
        <w:t>2</w:t>
      </w:r>
      <w:r>
        <w:rPr>
          <w:rFonts w:cs="Times New Roman"/>
          <w:color w:val="auto"/>
        </w:rPr>
        <w:t>0000m</w:t>
      </w:r>
      <w:r>
        <w:rPr>
          <w:rFonts w:hint="eastAsia" w:cs="Times New Roman"/>
          <w:color w:val="auto"/>
          <w:vertAlign w:val="superscript"/>
        </w:rPr>
        <w:t>2</w:t>
      </w:r>
      <w:r>
        <w:rPr>
          <w:rFonts w:hint="eastAsia"/>
          <w:color w:val="auto"/>
        </w:rPr>
        <w:t>，按</w:t>
      </w:r>
      <w:r>
        <w:rPr>
          <w:rFonts w:cs="Times New Roman"/>
          <w:color w:val="auto"/>
        </w:rPr>
        <w:t>1.0kg/m</w:t>
      </w:r>
      <w:r>
        <w:rPr>
          <w:rFonts w:hint="eastAsia" w:cs="Times New Roman"/>
          <w:color w:val="auto"/>
          <w:vertAlign w:val="superscript"/>
        </w:rPr>
        <w:t>2</w:t>
      </w:r>
      <w:r>
        <w:rPr>
          <w:rFonts w:hint="eastAsia"/>
          <w:color w:val="auto"/>
        </w:rPr>
        <w:t>计算，则本项目的建筑垃圾产生量约为</w:t>
      </w:r>
      <w:r>
        <w:rPr>
          <w:rFonts w:hint="eastAsia" w:cs="Times New Roman"/>
          <w:color w:val="auto"/>
        </w:rPr>
        <w:t>2</w:t>
      </w:r>
      <w:r>
        <w:rPr>
          <w:rFonts w:cs="Times New Roman"/>
          <w:color w:val="auto"/>
        </w:rPr>
        <w:t>0t</w:t>
      </w:r>
      <w:r>
        <w:rPr>
          <w:rFonts w:hint="eastAsia"/>
          <w:color w:val="auto"/>
        </w:rPr>
        <w:t>，主要是渣土、废弃建筑材料等。项目产生的建筑垃圾要按照</w:t>
      </w:r>
      <w:r>
        <w:rPr>
          <w:rFonts w:cs="Times New Roman"/>
          <w:color w:val="auto"/>
        </w:rPr>
        <w:t>2005</w:t>
      </w:r>
      <w:r>
        <w:rPr>
          <w:rFonts w:hint="eastAsia"/>
          <w:color w:val="auto"/>
        </w:rPr>
        <w:t>年建设部</w:t>
      </w:r>
      <w:r>
        <w:rPr>
          <w:rFonts w:cs="Times New Roman"/>
          <w:color w:val="auto"/>
        </w:rPr>
        <w:t>139</w:t>
      </w:r>
      <w:r>
        <w:rPr>
          <w:rFonts w:hint="eastAsia"/>
          <w:color w:val="auto"/>
        </w:rPr>
        <w:t>号令《城市建筑垃圾管理规定》，向城市市容卫生管理部门申报，妥善弃置消纳，防止污染环境。建筑垃圾绝大部分为无害物，其中能回收的应尽可能回收，不能回收的由施工单位统一收集后外运至当地环卫部门制定地方堆存。废油漆桶、废涂料桶应统一收集后交由生产商或由有资质单位回收处理，不得随意处置。</w:t>
      </w:r>
    </w:p>
    <w:p w14:paraId="4891F5FB">
      <w:pPr>
        <w:ind w:firstLine="480"/>
        <w:rPr>
          <w:color w:val="auto"/>
        </w:rPr>
      </w:pPr>
      <w:r>
        <w:rPr>
          <w:rFonts w:hint="eastAsia"/>
          <w:color w:val="auto"/>
        </w:rPr>
        <w:t>施工人员产生的生活垃圾伴随整个施工期的全过程，其成分是有机物较多。本项目施工高峰期预计进场工人</w:t>
      </w:r>
      <w:r>
        <w:rPr>
          <w:color w:val="auto"/>
        </w:rPr>
        <w:t>2</w:t>
      </w:r>
      <w:r>
        <w:rPr>
          <w:rFonts w:hint="eastAsia"/>
          <w:color w:val="auto"/>
        </w:rPr>
        <w:t>0人，人均生活垃圾产生量按0.8kg/人d计算，施工期垃圾日产生量</w:t>
      </w:r>
      <w:r>
        <w:rPr>
          <w:color w:val="auto"/>
        </w:rPr>
        <w:t>16</w:t>
      </w:r>
      <w:r>
        <w:rPr>
          <w:rFonts w:hint="eastAsia"/>
          <w:color w:val="auto"/>
        </w:rPr>
        <w:t>kg/d。施工期产生的生活垃圾由专人收集交环卫部门处理。</w:t>
      </w:r>
    </w:p>
    <w:p w14:paraId="6309EC73">
      <w:pPr>
        <w:pStyle w:val="3"/>
        <w:rPr>
          <w:color w:val="auto"/>
        </w:rPr>
      </w:pPr>
      <w:bookmarkStart w:id="214" w:name="_Toc221355714"/>
      <w:bookmarkStart w:id="215" w:name="_Toc225216714"/>
      <w:r>
        <w:rPr>
          <w:color w:val="auto"/>
        </w:rPr>
        <w:t>运营期污染源分析</w:t>
      </w:r>
      <w:bookmarkEnd w:id="214"/>
      <w:bookmarkEnd w:id="215"/>
    </w:p>
    <w:p w14:paraId="0EC0DF42">
      <w:pPr>
        <w:pStyle w:val="4"/>
        <w:rPr>
          <w:color w:val="auto"/>
        </w:rPr>
      </w:pPr>
      <w:bookmarkStart w:id="216" w:name="_Toc225216715"/>
      <w:r>
        <w:rPr>
          <w:color w:val="auto"/>
        </w:rPr>
        <w:t>废气源强分析</w:t>
      </w:r>
      <w:bookmarkEnd w:id="216"/>
    </w:p>
    <w:p w14:paraId="18419489">
      <w:pPr>
        <w:ind w:firstLine="480"/>
        <w:rPr>
          <w:color w:val="auto"/>
        </w:rPr>
      </w:pPr>
      <w:r>
        <w:rPr>
          <w:rFonts w:hint="eastAsia"/>
          <w:color w:val="auto"/>
        </w:rPr>
        <w:t>本项目主要产生的废气主要为造纸车间烘干废气、导热油炉废气、淋膜纸车间有机废气及污水处理站产生的恶臭气体等。</w:t>
      </w:r>
    </w:p>
    <w:p w14:paraId="37610985">
      <w:pPr>
        <w:pStyle w:val="5"/>
        <w:rPr>
          <w:color w:val="auto"/>
        </w:rPr>
      </w:pPr>
      <w:r>
        <w:rPr>
          <w:rFonts w:hint="eastAsia"/>
          <w:color w:val="auto"/>
        </w:rPr>
        <w:t>造纸车间烘干废气排放</w:t>
      </w:r>
    </w:p>
    <w:p w14:paraId="51398CBF">
      <w:pPr>
        <w:ind w:firstLine="480"/>
        <w:rPr>
          <w:color w:val="auto"/>
        </w:rPr>
      </w:pPr>
      <w:r>
        <w:rPr>
          <w:rFonts w:hint="eastAsia"/>
          <w:color w:val="auto"/>
        </w:rPr>
        <w:t>造纸车间施胶、涂布等工段使用热风烘干。项目热风通过配备低氮燃烧器的天然气燃烧装置产生，燃烧器产生的气体温度较高，不能直接用用于纸页干燥，需要掺冷风后才能使用。根据生产设计，热风与掺入冷风的比例为1：10。掺入的冷风中，80%为烘干后回流热气，20%为外部常温空气。热风干燥在密闭的热风干燥箱中进行，干燥后产生的废气收集，其中约73%通过风管回流到进口，与热风及空气均匀混合后重新利用，约27%的废气由引风机抽走后，通过屋顶排气筒排放，降低热风系统中水蒸气的含量。</w:t>
      </w:r>
    </w:p>
    <w:p w14:paraId="2A9A3C88">
      <w:pPr>
        <w:ind w:firstLine="480"/>
        <w:rPr>
          <w:color w:val="auto"/>
        </w:rPr>
      </w:pPr>
      <w:r>
        <w:rPr>
          <w:rFonts w:hint="eastAsia"/>
          <w:color w:val="auto"/>
        </w:rPr>
        <w:t>项目热风通过配备低氮燃烧器的天然气燃烧装置产生，燃烧器产生的气体温度较高，不能直接用用于纸页干燥，需要掺冷风后才能使用。根据生产设计，热风与掺入冷风的比例为1：10。掺入的冷风中，80%为烘干后回流热气，20%为外部常温空气。热风干燥在密闭的热风干燥箱中进行，干燥后产生的废气收集，其中约73%通过风管回流到进口，与热风及空气均匀混合后重新利用，约27%的废气由引风机抽走后，通过屋顶排气筒排放，降低热风系统中水蒸气的含量，排放烟气满足《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p w14:paraId="54397AE1">
      <w:pPr>
        <w:ind w:firstLine="480"/>
        <w:rPr>
          <w:color w:val="auto"/>
        </w:rPr>
      </w:pPr>
      <w:r>
        <w:rPr>
          <w:color w:val="auto"/>
        </w:rPr>
        <w:t>评价选用《排放源统计调查产排污核算方法和系数手册》“4430 工业锅炉（热力生产和供应行业）产污系数表-燃气工业锅炉”中的相关系数</w:t>
      </w:r>
      <w:r>
        <w:rPr>
          <w:rFonts w:hint="eastAsia"/>
          <w:color w:val="auto"/>
        </w:rPr>
        <w:t>及现有工程实测数据</w:t>
      </w:r>
      <w:r>
        <w:rPr>
          <w:color w:val="auto"/>
        </w:rPr>
        <w:t>。</w:t>
      </w:r>
    </w:p>
    <w:p w14:paraId="0A5C33D6">
      <w:pPr>
        <w:ind w:firstLine="480"/>
        <w:rPr>
          <w:color w:val="auto"/>
        </w:rPr>
      </w:pPr>
      <w:r>
        <w:rPr>
          <w:rFonts w:hint="eastAsia"/>
          <w:color w:val="auto"/>
        </w:rPr>
        <w:t>1、1#造纸车间烘干废气</w:t>
      </w:r>
    </w:p>
    <w:p w14:paraId="4FC7BC33">
      <w:pPr>
        <w:ind w:firstLine="480"/>
        <w:rPr>
          <w:color w:val="auto"/>
        </w:rPr>
      </w:pPr>
      <w:r>
        <w:rPr>
          <w:rFonts w:hint="eastAsia"/>
          <w:color w:val="auto"/>
        </w:rPr>
        <w:t>根据设计单位结合现有生产线工作情况估算，本项目完成后，1#造纸车间烘干用天然气使用量由562.5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增加到843.75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，烘干废气通过车间顶部5根30m高排气筒（DA029、DA033、DA035、DA037、DA039）排放，废气排放量变化情况为：</w:t>
      </w:r>
    </w:p>
    <w:p w14:paraId="3C2BEED1">
      <w:pPr>
        <w:ind w:firstLine="480"/>
        <w:rPr>
          <w:color w:val="auto"/>
        </w:rPr>
      </w:pPr>
      <w:r>
        <w:rPr>
          <w:color w:val="auto"/>
        </w:rPr>
        <w:t>a.烟气量估算</w:t>
      </w:r>
    </w:p>
    <w:p w14:paraId="7C75A309">
      <w:pPr>
        <w:ind w:firstLine="480"/>
        <w:rPr>
          <w:color w:val="auto"/>
        </w:rPr>
      </w:pPr>
      <w:r>
        <w:rPr>
          <w:color w:val="auto"/>
        </w:rPr>
        <w:t>参照《排放源统计调查产排污核算方法和系数手册》“4430 工业锅炉（热力生产和供应行业）产污系数表-燃气工业锅炉”，工业废气产生量为107753标立方米/万立方米-原料，则烟气量</w:t>
      </w:r>
      <w:r>
        <w:rPr>
          <w:rFonts w:hint="eastAsia"/>
          <w:color w:val="auto"/>
        </w:rPr>
        <w:t>由6061.11</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7427.83</w:t>
      </w:r>
      <w:r>
        <w:rPr>
          <w:color w:val="auto"/>
        </w:rPr>
        <w:t>m</w:t>
      </w:r>
      <w:r>
        <w:rPr>
          <w:color w:val="auto"/>
          <w:vertAlign w:val="superscript"/>
        </w:rPr>
        <w:t>3</w:t>
      </w:r>
      <w:r>
        <w:rPr>
          <w:color w:val="auto"/>
        </w:rPr>
        <w:t>/h）</w:t>
      </w:r>
      <w:r>
        <w:rPr>
          <w:rFonts w:hint="eastAsia"/>
          <w:color w:val="auto"/>
        </w:rPr>
        <w:t>增加至9091.66</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11141.74</w:t>
      </w:r>
      <w:r>
        <w:rPr>
          <w:color w:val="auto"/>
        </w:rPr>
        <w:t>m</w:t>
      </w:r>
      <w:r>
        <w:rPr>
          <w:color w:val="auto"/>
          <w:vertAlign w:val="superscript"/>
        </w:rPr>
        <w:t>3</w:t>
      </w:r>
      <w:r>
        <w:rPr>
          <w:color w:val="auto"/>
        </w:rPr>
        <w:t>/h）。</w:t>
      </w:r>
      <w:r>
        <w:rPr>
          <w:rFonts w:hint="eastAsia"/>
          <w:color w:val="auto"/>
        </w:rPr>
        <w:t>根据工程分析，排气筒排放的废气量约为天然气燃烧产生废气量的3倍，即单个排气筒废气量排放量为5455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（6685</w:t>
      </w:r>
      <w:r>
        <w:rPr>
          <w:color w:val="auto"/>
        </w:rPr>
        <w:t>m</w:t>
      </w:r>
      <w:r>
        <w:rPr>
          <w:color w:val="auto"/>
          <w:vertAlign w:val="superscript"/>
        </w:rPr>
        <w:t>3</w:t>
      </w:r>
      <w:r>
        <w:rPr>
          <w:color w:val="auto"/>
        </w:rPr>
        <w:t>/h</w:t>
      </w:r>
      <w:r>
        <w:rPr>
          <w:rFonts w:hint="eastAsia"/>
          <w:color w:val="auto"/>
        </w:rPr>
        <w:t>）。</w:t>
      </w:r>
    </w:p>
    <w:p w14:paraId="47FC8BAD">
      <w:pPr>
        <w:ind w:firstLine="480"/>
        <w:rPr>
          <w:color w:val="auto"/>
        </w:rPr>
      </w:pPr>
      <w:r>
        <w:rPr>
          <w:color w:val="auto"/>
        </w:rPr>
        <w:t>b.二氧化硫排放量估算</w:t>
      </w:r>
    </w:p>
    <w:p w14:paraId="3E874BFB">
      <w:pPr>
        <w:ind w:firstLine="480"/>
        <w:rPr>
          <w:color w:val="auto"/>
        </w:rPr>
      </w:pPr>
      <w:r>
        <w:rPr>
          <w:color w:val="auto"/>
        </w:rPr>
        <w:t>根据《排放源统计调查产排污核算方法和系数手册》“4430 工业锅炉（热力生产和供应行业）产污系数表-燃气工业锅炉”，天然气锅炉二氧化硫排放系数为0.02S千克/万立方米-原料（S参照二类天然气，以100计），则二氧化硫的排放量</w:t>
      </w:r>
      <w:r>
        <w:rPr>
          <w:rFonts w:hint="eastAsia"/>
          <w:color w:val="auto"/>
        </w:rPr>
        <w:t>由1.125</w:t>
      </w:r>
      <w:r>
        <w:rPr>
          <w:color w:val="auto"/>
        </w:rPr>
        <w:t>t/a</w:t>
      </w:r>
      <w:r>
        <w:rPr>
          <w:rFonts w:hint="eastAsia"/>
          <w:color w:val="auto"/>
        </w:rPr>
        <w:t>增加</w:t>
      </w:r>
      <w:r>
        <w:rPr>
          <w:color w:val="auto"/>
        </w:rPr>
        <w:t>为</w:t>
      </w:r>
      <w:r>
        <w:rPr>
          <w:rFonts w:hint="eastAsia"/>
          <w:color w:val="auto"/>
        </w:rPr>
        <w:t>1.688</w:t>
      </w:r>
      <w:r>
        <w:rPr>
          <w:color w:val="auto"/>
        </w:rPr>
        <w:t>t/a，排放速率</w:t>
      </w:r>
      <w:r>
        <w:rPr>
          <w:rFonts w:hint="eastAsia"/>
          <w:color w:val="auto"/>
        </w:rPr>
        <w:t>由0.14</w:t>
      </w:r>
      <w:r>
        <w:rPr>
          <w:color w:val="auto"/>
        </w:rPr>
        <w:t>kg/h</w:t>
      </w:r>
      <w:r>
        <w:rPr>
          <w:rFonts w:hint="eastAsia"/>
          <w:color w:val="auto"/>
        </w:rPr>
        <w:t>增加</w:t>
      </w:r>
      <w:r>
        <w:rPr>
          <w:color w:val="auto"/>
        </w:rPr>
        <w:t>为</w:t>
      </w:r>
      <w:r>
        <w:rPr>
          <w:rFonts w:hint="eastAsia"/>
          <w:color w:val="auto"/>
        </w:rPr>
        <w:t>0.21</w:t>
      </w:r>
      <w:r>
        <w:rPr>
          <w:color w:val="auto"/>
        </w:rPr>
        <w:t>kg/h</w:t>
      </w:r>
      <w:r>
        <w:rPr>
          <w:rFonts w:hint="eastAsia"/>
          <w:color w:val="auto"/>
        </w:rPr>
        <w:t>，排放浓度</w:t>
      </w:r>
      <w:r>
        <w:rPr>
          <w:color w:val="auto"/>
        </w:rPr>
        <w:t>6.19</w:t>
      </w:r>
      <w:r>
        <w:rPr>
          <w:rFonts w:hint="eastAsia"/>
          <w:color w:val="auto"/>
        </w:rPr>
        <w:t>mg/m</w:t>
      </w:r>
      <w:r>
        <w:rPr>
          <w:rFonts w:hint="eastAsia"/>
          <w:color w:val="auto"/>
          <w:vertAlign w:val="superscript"/>
        </w:rPr>
        <w:t>3</w:t>
      </w:r>
      <w:r>
        <w:rPr>
          <w:color w:val="auto"/>
        </w:rPr>
        <w:t>。</w:t>
      </w:r>
      <w:r>
        <w:rPr>
          <w:rFonts w:hint="eastAsia"/>
          <w:color w:val="auto"/>
        </w:rPr>
        <w:t>单个排气筒二氧化硫排放量为0.338t/a，排放速率0.041kg/h，排放浓度</w:t>
      </w:r>
      <w:r>
        <w:rPr>
          <w:color w:val="auto"/>
        </w:rPr>
        <w:t>6.19</w:t>
      </w:r>
      <w:r>
        <w:rPr>
          <w:rFonts w:hint="eastAsia"/>
          <w:color w:val="auto"/>
        </w:rPr>
        <w:t>mg/m</w:t>
      </w:r>
      <w:r>
        <w:rPr>
          <w:rFonts w:hint="eastAsia"/>
          <w:color w:val="auto"/>
          <w:vertAlign w:val="superscript"/>
        </w:rPr>
        <w:t>3</w:t>
      </w:r>
      <w:r>
        <w:rPr>
          <w:color w:val="auto"/>
        </w:rPr>
        <w:t>。</w:t>
      </w:r>
    </w:p>
    <w:p w14:paraId="677AB7BE">
      <w:pPr>
        <w:ind w:firstLine="480"/>
        <w:rPr>
          <w:color w:val="auto"/>
        </w:rPr>
      </w:pPr>
      <w:r>
        <w:rPr>
          <w:color w:val="auto"/>
        </w:rPr>
        <w:t>c.氮氧化物排放量估算</w:t>
      </w:r>
    </w:p>
    <w:p w14:paraId="196A48E2">
      <w:pPr>
        <w:ind w:firstLine="480"/>
        <w:rPr>
          <w:color w:val="auto"/>
        </w:rPr>
      </w:pPr>
      <w:r>
        <w:rPr>
          <w:color w:val="auto"/>
        </w:rPr>
        <w:t>根据</w:t>
      </w:r>
      <w:r>
        <w:rPr>
          <w:rFonts w:hint="eastAsia"/>
          <w:color w:val="auto"/>
        </w:rPr>
        <w:t>现有工程验收监测数据造纸车间天然气燃烧废气</w:t>
      </w:r>
      <w:r>
        <w:rPr>
          <w:color w:val="auto"/>
        </w:rPr>
        <w:t>氮氧化物排放浓度为</w:t>
      </w:r>
      <w:r>
        <w:rPr>
          <w:rFonts w:hint="eastAsia"/>
          <w:color w:val="auto"/>
        </w:rPr>
        <w:t>4~86</w:t>
      </w:r>
      <w:r>
        <w:rPr>
          <w:color w:val="auto"/>
        </w:rPr>
        <w:t>mg/m</w:t>
      </w:r>
      <w:r>
        <w:rPr>
          <w:color w:val="auto"/>
          <w:vertAlign w:val="superscript"/>
        </w:rPr>
        <w:t>3</w:t>
      </w:r>
      <w:r>
        <w:rPr>
          <w:rFonts w:hint="eastAsia"/>
          <w:color w:val="auto"/>
        </w:rPr>
        <w:t>（折算后）</w:t>
      </w:r>
      <w:r>
        <w:rPr>
          <w:color w:val="auto"/>
        </w:rPr>
        <w:t>，</w:t>
      </w:r>
      <w:r>
        <w:rPr>
          <w:rFonts w:hint="eastAsia"/>
          <w:color w:val="auto"/>
        </w:rPr>
        <w:t>评价按100</w:t>
      </w:r>
      <w:r>
        <w:rPr>
          <w:color w:val="auto"/>
        </w:rPr>
        <w:t>mg/m</w:t>
      </w:r>
      <w:r>
        <w:rPr>
          <w:color w:val="auto"/>
          <w:vertAlign w:val="superscript"/>
        </w:rPr>
        <w:t>3</w:t>
      </w:r>
      <w:r>
        <w:rPr>
          <w:rFonts w:hint="eastAsia"/>
          <w:color w:val="auto"/>
        </w:rPr>
        <w:t>计，</w:t>
      </w:r>
      <w:r>
        <w:rPr>
          <w:color w:val="auto"/>
        </w:rPr>
        <w:t>则氮氧化物的排放量</w:t>
      </w:r>
      <w:r>
        <w:rPr>
          <w:rFonts w:hint="eastAsia"/>
          <w:color w:val="auto"/>
        </w:rPr>
        <w:t>由6.061</w:t>
      </w:r>
      <w:r>
        <w:rPr>
          <w:color w:val="auto"/>
        </w:rPr>
        <w:t>t/a</w:t>
      </w:r>
      <w:r>
        <w:rPr>
          <w:rFonts w:hint="eastAsia"/>
          <w:color w:val="auto"/>
        </w:rPr>
        <w:t>增加</w:t>
      </w:r>
      <w:r>
        <w:rPr>
          <w:color w:val="auto"/>
        </w:rPr>
        <w:t>为</w:t>
      </w:r>
      <w:r>
        <w:rPr>
          <w:rFonts w:hint="eastAsia"/>
          <w:color w:val="auto"/>
        </w:rPr>
        <w:t>9.092</w:t>
      </w:r>
      <w:r>
        <w:rPr>
          <w:color w:val="auto"/>
        </w:rPr>
        <w:t>t/a，排放速率</w:t>
      </w:r>
      <w:r>
        <w:rPr>
          <w:rFonts w:hint="eastAsia"/>
          <w:color w:val="auto"/>
        </w:rPr>
        <w:t>由0.74</w:t>
      </w:r>
      <w:r>
        <w:rPr>
          <w:color w:val="auto"/>
        </w:rPr>
        <w:t>kg/h</w:t>
      </w:r>
      <w:r>
        <w:rPr>
          <w:rFonts w:hint="eastAsia"/>
          <w:color w:val="auto"/>
        </w:rPr>
        <w:t>增加</w:t>
      </w:r>
      <w:r>
        <w:rPr>
          <w:color w:val="auto"/>
        </w:rPr>
        <w:t>为</w:t>
      </w:r>
      <w:r>
        <w:rPr>
          <w:rFonts w:hint="eastAsia"/>
          <w:color w:val="auto"/>
        </w:rPr>
        <w:t>1.11</w:t>
      </w:r>
      <w:r>
        <w:rPr>
          <w:color w:val="auto"/>
        </w:rPr>
        <w:t>kg/h。</w:t>
      </w:r>
      <w:r>
        <w:rPr>
          <w:rFonts w:hint="eastAsia"/>
          <w:color w:val="auto"/>
        </w:rPr>
        <w:t>单个排气筒氮氧化物排放量为1.182t/a，排放速率0.22kg/h，排放浓度</w:t>
      </w:r>
      <w:r>
        <w:rPr>
          <w:color w:val="auto"/>
        </w:rPr>
        <w:t>33.3m</w:t>
      </w:r>
      <w:r>
        <w:rPr>
          <w:rFonts w:hint="eastAsia"/>
          <w:color w:val="auto"/>
        </w:rPr>
        <w:t>g/m</w:t>
      </w:r>
      <w:r>
        <w:rPr>
          <w:rFonts w:hint="eastAsia"/>
          <w:color w:val="auto"/>
          <w:vertAlign w:val="superscript"/>
        </w:rPr>
        <w:t>3</w:t>
      </w:r>
      <w:r>
        <w:rPr>
          <w:color w:val="auto"/>
        </w:rPr>
        <w:t>。</w:t>
      </w:r>
    </w:p>
    <w:p w14:paraId="5B838729">
      <w:pPr>
        <w:ind w:firstLine="480"/>
        <w:rPr>
          <w:color w:val="auto"/>
        </w:rPr>
      </w:pPr>
      <w:r>
        <w:rPr>
          <w:rFonts w:hint="eastAsia"/>
          <w:color w:val="auto"/>
        </w:rPr>
        <w:t>d</w:t>
      </w:r>
      <w:r>
        <w:rPr>
          <w:color w:val="auto"/>
        </w:rPr>
        <w:t>.</w:t>
      </w:r>
      <w:r>
        <w:rPr>
          <w:rFonts w:hint="eastAsia"/>
          <w:color w:val="auto"/>
        </w:rPr>
        <w:t>烟尘</w:t>
      </w:r>
      <w:r>
        <w:rPr>
          <w:color w:val="auto"/>
        </w:rPr>
        <w:t>排放量估算</w:t>
      </w:r>
    </w:p>
    <w:p w14:paraId="59A4F8A6">
      <w:pPr>
        <w:ind w:firstLine="480"/>
        <w:rPr>
          <w:color w:val="auto"/>
        </w:rPr>
      </w:pPr>
      <w:r>
        <w:rPr>
          <w:color w:val="auto"/>
        </w:rPr>
        <w:t>根据</w:t>
      </w:r>
      <w:r>
        <w:rPr>
          <w:rFonts w:hint="eastAsia"/>
          <w:color w:val="auto"/>
        </w:rPr>
        <w:t>现有工程验收监测数据造纸车间天然气燃烧废气烟尘</w:t>
      </w:r>
      <w:r>
        <w:rPr>
          <w:color w:val="auto"/>
        </w:rPr>
        <w:t>排放浓度为</w:t>
      </w:r>
      <w:r>
        <w:rPr>
          <w:rFonts w:hint="eastAsia"/>
          <w:color w:val="auto"/>
        </w:rPr>
        <w:t>1.3~3.7</w:t>
      </w:r>
      <w:r>
        <w:rPr>
          <w:color w:val="auto"/>
        </w:rPr>
        <w:t>mg/m</w:t>
      </w:r>
      <w:r>
        <w:rPr>
          <w:color w:val="auto"/>
          <w:vertAlign w:val="superscript"/>
        </w:rPr>
        <w:t>3</w:t>
      </w:r>
      <w:r>
        <w:rPr>
          <w:rFonts w:hint="eastAsia"/>
          <w:color w:val="auto"/>
        </w:rPr>
        <w:t>（折算后），评价按10</w:t>
      </w:r>
      <w:r>
        <w:rPr>
          <w:color w:val="auto"/>
        </w:rPr>
        <w:t>mg/m</w:t>
      </w:r>
      <w:r>
        <w:rPr>
          <w:color w:val="auto"/>
          <w:vertAlign w:val="superscript"/>
        </w:rPr>
        <w:t>3</w:t>
      </w:r>
      <w:r>
        <w:rPr>
          <w:rFonts w:hint="eastAsia"/>
          <w:color w:val="auto"/>
        </w:rPr>
        <w:t>计，</w:t>
      </w:r>
      <w:r>
        <w:rPr>
          <w:color w:val="auto"/>
        </w:rPr>
        <w:t>则</w:t>
      </w:r>
      <w:r>
        <w:rPr>
          <w:rFonts w:hint="eastAsia"/>
          <w:color w:val="auto"/>
        </w:rPr>
        <w:t>烟尘</w:t>
      </w:r>
      <w:r>
        <w:rPr>
          <w:color w:val="auto"/>
        </w:rPr>
        <w:t>的排放量</w:t>
      </w:r>
      <w:r>
        <w:rPr>
          <w:rFonts w:hint="eastAsia"/>
          <w:color w:val="auto"/>
        </w:rPr>
        <w:t>由0.606</w:t>
      </w:r>
      <w:r>
        <w:rPr>
          <w:color w:val="auto"/>
        </w:rPr>
        <w:t>t/a</w:t>
      </w:r>
      <w:r>
        <w:rPr>
          <w:rFonts w:hint="eastAsia"/>
          <w:color w:val="auto"/>
        </w:rPr>
        <w:t>增加</w:t>
      </w:r>
      <w:r>
        <w:rPr>
          <w:color w:val="auto"/>
        </w:rPr>
        <w:t>为</w:t>
      </w:r>
      <w:r>
        <w:rPr>
          <w:rFonts w:hint="eastAsia"/>
          <w:color w:val="auto"/>
        </w:rPr>
        <w:t>0.909</w:t>
      </w:r>
      <w:r>
        <w:rPr>
          <w:color w:val="auto"/>
        </w:rPr>
        <w:t>t/a，排放速率</w:t>
      </w:r>
      <w:r>
        <w:rPr>
          <w:rFonts w:hint="eastAsia"/>
          <w:color w:val="auto"/>
        </w:rPr>
        <w:t>由0.074</w:t>
      </w:r>
      <w:r>
        <w:rPr>
          <w:color w:val="auto"/>
        </w:rPr>
        <w:t>kg/h</w:t>
      </w:r>
      <w:r>
        <w:rPr>
          <w:rFonts w:hint="eastAsia"/>
          <w:color w:val="auto"/>
        </w:rPr>
        <w:t>增加</w:t>
      </w:r>
      <w:r>
        <w:rPr>
          <w:color w:val="auto"/>
        </w:rPr>
        <w:t>为</w:t>
      </w:r>
      <w:r>
        <w:rPr>
          <w:rFonts w:hint="eastAsia"/>
          <w:color w:val="auto"/>
        </w:rPr>
        <w:t>0.11</w:t>
      </w:r>
      <w:r>
        <w:rPr>
          <w:color w:val="auto"/>
        </w:rPr>
        <w:t>kg/h。</w:t>
      </w:r>
      <w:r>
        <w:rPr>
          <w:rFonts w:hint="eastAsia"/>
          <w:color w:val="auto"/>
        </w:rPr>
        <w:t>单个排气筒烟尘排放量为0.182t/a，排放速率0.022kg/h，排放浓度</w:t>
      </w:r>
      <w:r>
        <w:rPr>
          <w:color w:val="auto"/>
        </w:rPr>
        <w:t>3.3m</w:t>
      </w:r>
      <w:r>
        <w:rPr>
          <w:rFonts w:hint="eastAsia"/>
          <w:color w:val="auto"/>
        </w:rPr>
        <w:t>g/m</w:t>
      </w:r>
      <w:r>
        <w:rPr>
          <w:rFonts w:hint="eastAsia"/>
          <w:color w:val="auto"/>
          <w:vertAlign w:val="superscript"/>
        </w:rPr>
        <w:t>3</w:t>
      </w:r>
      <w:r>
        <w:rPr>
          <w:color w:val="auto"/>
        </w:rPr>
        <w:t>。</w:t>
      </w:r>
    </w:p>
    <w:p w14:paraId="1FB56A49">
      <w:pPr>
        <w:ind w:firstLine="480"/>
        <w:rPr>
          <w:color w:val="auto"/>
        </w:rPr>
      </w:pPr>
      <w:r>
        <w:rPr>
          <w:rFonts w:hint="eastAsia"/>
          <w:color w:val="auto"/>
        </w:rPr>
        <w:t>烘干废气通过车间顶部</w:t>
      </w:r>
      <w:r>
        <w:rPr>
          <w:color w:val="auto"/>
        </w:rPr>
        <w:t>5</w:t>
      </w:r>
      <w:r>
        <w:rPr>
          <w:rFonts w:hint="eastAsia"/>
          <w:color w:val="auto"/>
        </w:rPr>
        <w:t>根</w:t>
      </w:r>
      <w:r>
        <w:rPr>
          <w:color w:val="auto"/>
        </w:rPr>
        <w:t>30m</w:t>
      </w:r>
      <w:r>
        <w:rPr>
          <w:rFonts w:hint="eastAsia"/>
          <w:color w:val="auto"/>
        </w:rPr>
        <w:t>高排气筒（</w:t>
      </w:r>
      <w:r>
        <w:rPr>
          <w:color w:val="auto"/>
        </w:rPr>
        <w:t>DA029</w:t>
      </w:r>
      <w:r>
        <w:rPr>
          <w:rFonts w:hint="eastAsia"/>
          <w:color w:val="auto"/>
        </w:rPr>
        <w:t>、</w:t>
      </w:r>
      <w:r>
        <w:rPr>
          <w:color w:val="auto"/>
        </w:rPr>
        <w:t>DA033</w:t>
      </w:r>
      <w:r>
        <w:rPr>
          <w:rFonts w:hint="eastAsia"/>
          <w:color w:val="auto"/>
        </w:rPr>
        <w:t>、</w:t>
      </w:r>
      <w:r>
        <w:rPr>
          <w:color w:val="auto"/>
        </w:rPr>
        <w:t>DA035</w:t>
      </w:r>
      <w:r>
        <w:rPr>
          <w:rFonts w:hint="eastAsia"/>
          <w:color w:val="auto"/>
        </w:rPr>
        <w:t>、</w:t>
      </w:r>
      <w:r>
        <w:rPr>
          <w:color w:val="auto"/>
        </w:rPr>
        <w:t>DA037</w:t>
      </w:r>
      <w:r>
        <w:rPr>
          <w:rFonts w:hint="eastAsia"/>
          <w:color w:val="auto"/>
        </w:rPr>
        <w:t>、</w:t>
      </w:r>
      <w:r>
        <w:rPr>
          <w:color w:val="auto"/>
        </w:rPr>
        <w:t>DA039</w:t>
      </w:r>
      <w:r>
        <w:rPr>
          <w:rFonts w:hint="eastAsia"/>
          <w:color w:val="auto"/>
        </w:rPr>
        <w:t>）排放，由于</w:t>
      </w:r>
      <w:r>
        <w:rPr>
          <w:color w:val="auto"/>
        </w:rPr>
        <w:t>5</w:t>
      </w:r>
      <w:r>
        <w:rPr>
          <w:rFonts w:hint="eastAsia"/>
          <w:color w:val="auto"/>
        </w:rPr>
        <w:t>根排气筒中任意两个排气筒距离小于两个排气筒高度之和，根据《大气污染物综合排放标准》（</w:t>
      </w:r>
      <w:r>
        <w:rPr>
          <w:color w:val="auto"/>
        </w:rPr>
        <w:t>GB16297-1996</w:t>
      </w:r>
      <w:r>
        <w:rPr>
          <w:rFonts w:hint="eastAsia"/>
          <w:color w:val="auto"/>
        </w:rPr>
        <w:t>），以一个等效排气筒代表烘干废气排气筒，等效后，等效高度为</w:t>
      </w:r>
      <w:r>
        <w:rPr>
          <w:color w:val="auto"/>
        </w:rPr>
        <w:t>30m</w:t>
      </w:r>
      <w:r>
        <w:rPr>
          <w:rFonts w:hint="eastAsia"/>
          <w:color w:val="auto"/>
        </w:rPr>
        <w:t>，二氧化硫等效排放速率为</w:t>
      </w:r>
      <w:r>
        <w:rPr>
          <w:color w:val="auto"/>
        </w:rPr>
        <w:t>0.21kg/h</w:t>
      </w:r>
      <w:r>
        <w:rPr>
          <w:rFonts w:hint="eastAsia"/>
          <w:color w:val="auto"/>
        </w:rPr>
        <w:t>，氮氧化物等效排放速率为</w:t>
      </w:r>
      <w:r>
        <w:rPr>
          <w:color w:val="auto"/>
        </w:rPr>
        <w:t>1.11kg/h</w:t>
      </w:r>
      <w:r>
        <w:rPr>
          <w:rFonts w:hint="eastAsia"/>
          <w:color w:val="auto"/>
        </w:rPr>
        <w:t>，烟尘等效排放速率为</w:t>
      </w:r>
      <w:r>
        <w:rPr>
          <w:color w:val="auto"/>
        </w:rPr>
        <w:t>0.11kg/h</w:t>
      </w:r>
      <w:r>
        <w:rPr>
          <w:rFonts w:hint="eastAsia"/>
          <w:color w:val="auto"/>
        </w:rPr>
        <w:t>。等效后，污染物排放浓度和排放速率均可满足《大气污染物综合排放标准》（</w:t>
      </w:r>
      <w:r>
        <w:rPr>
          <w:color w:val="auto"/>
        </w:rPr>
        <w:t>GB16297-1996</w:t>
      </w:r>
      <w:r>
        <w:rPr>
          <w:rFonts w:hint="eastAsia"/>
          <w:color w:val="auto"/>
        </w:rPr>
        <w:t>）限值要求。</w:t>
      </w:r>
    </w:p>
    <w:p w14:paraId="2602EDAD">
      <w:pPr>
        <w:ind w:firstLine="480"/>
        <w:rPr>
          <w:color w:val="auto"/>
        </w:rPr>
      </w:pPr>
      <w:r>
        <w:rPr>
          <w:rFonts w:hint="eastAsia"/>
          <w:color w:val="auto"/>
        </w:rPr>
        <w:t>2、2#造纸车间烘干废气</w:t>
      </w:r>
    </w:p>
    <w:p w14:paraId="5964BC9E">
      <w:pPr>
        <w:ind w:firstLine="480"/>
        <w:rPr>
          <w:color w:val="auto"/>
        </w:rPr>
      </w:pPr>
      <w:r>
        <w:rPr>
          <w:rFonts w:hint="eastAsia"/>
          <w:color w:val="auto"/>
        </w:rPr>
        <w:t>根据设计单位结合现有生产线工作情况估算，本项目完成后，2#造纸车间烘干用天然气使用量由648</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增加到1080</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，烘干废气通过车间顶部4根24m高排气筒（DA032、DA034、DA036、DA038）和1根26m高排气筒（DA040）排放，废气排放量变化情况为：</w:t>
      </w:r>
    </w:p>
    <w:p w14:paraId="08A4F123">
      <w:pPr>
        <w:ind w:firstLine="480"/>
        <w:rPr>
          <w:color w:val="auto"/>
        </w:rPr>
      </w:pPr>
      <w:r>
        <w:rPr>
          <w:color w:val="auto"/>
        </w:rPr>
        <w:t>a.烟气量估算</w:t>
      </w:r>
    </w:p>
    <w:p w14:paraId="63C7089C">
      <w:pPr>
        <w:ind w:firstLine="480"/>
        <w:rPr>
          <w:color w:val="auto"/>
        </w:rPr>
      </w:pPr>
      <w:r>
        <w:rPr>
          <w:color w:val="auto"/>
        </w:rPr>
        <w:t>参照《排放源统计调查产排污核算方法和系数手册》“4430 工业锅炉（热力生产和供应行业）产污系数表-燃气工业锅炉”，工业废气产生量为107753标立方米/万立方米-原料，则烟气量</w:t>
      </w:r>
      <w:r>
        <w:rPr>
          <w:rFonts w:hint="eastAsia"/>
          <w:color w:val="auto"/>
        </w:rPr>
        <w:t>由6982.40</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8856.86</w:t>
      </w:r>
      <w:r>
        <w:rPr>
          <w:color w:val="auto"/>
        </w:rPr>
        <w:t>m</w:t>
      </w:r>
      <w:r>
        <w:rPr>
          <w:color w:val="auto"/>
          <w:vertAlign w:val="superscript"/>
        </w:rPr>
        <w:t>3</w:t>
      </w:r>
      <w:r>
        <w:rPr>
          <w:color w:val="auto"/>
        </w:rPr>
        <w:t>/h）</w:t>
      </w:r>
      <w:r>
        <w:rPr>
          <w:rFonts w:hint="eastAsia"/>
          <w:color w:val="auto"/>
        </w:rPr>
        <w:t>增加至11637.3</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14261.43</w:t>
      </w:r>
      <w:r>
        <w:rPr>
          <w:color w:val="auto"/>
        </w:rPr>
        <w:t>m</w:t>
      </w:r>
      <w:r>
        <w:rPr>
          <w:color w:val="auto"/>
          <w:vertAlign w:val="superscript"/>
        </w:rPr>
        <w:t>3</w:t>
      </w:r>
      <w:r>
        <w:rPr>
          <w:color w:val="auto"/>
        </w:rPr>
        <w:t>/h）。</w:t>
      </w:r>
      <w:r>
        <w:rPr>
          <w:rFonts w:hint="eastAsia"/>
          <w:color w:val="auto"/>
        </w:rPr>
        <w:t>根据工程分析，排气筒排放的废气量约为天然气燃烧产生废气量的3倍，即单个排气筒废气量排放量为6982</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8556.9</w:t>
      </w:r>
      <w:r>
        <w:rPr>
          <w:color w:val="auto"/>
        </w:rPr>
        <w:t>m</w:t>
      </w:r>
      <w:r>
        <w:rPr>
          <w:color w:val="auto"/>
          <w:vertAlign w:val="superscript"/>
        </w:rPr>
        <w:t>3</w:t>
      </w:r>
      <w:r>
        <w:rPr>
          <w:color w:val="auto"/>
        </w:rPr>
        <w:t>/h）</w:t>
      </w:r>
      <w:r>
        <w:rPr>
          <w:rFonts w:hint="eastAsia"/>
          <w:color w:val="auto"/>
        </w:rPr>
        <w:t>。</w:t>
      </w:r>
    </w:p>
    <w:p w14:paraId="7A747B24">
      <w:pPr>
        <w:ind w:firstLine="480"/>
        <w:rPr>
          <w:color w:val="auto"/>
        </w:rPr>
      </w:pPr>
      <w:r>
        <w:rPr>
          <w:color w:val="auto"/>
        </w:rPr>
        <w:t>b.二氧化硫排放量估算</w:t>
      </w:r>
    </w:p>
    <w:p w14:paraId="69174EFF">
      <w:pPr>
        <w:ind w:firstLine="480"/>
        <w:rPr>
          <w:color w:val="auto"/>
        </w:rPr>
      </w:pPr>
      <w:r>
        <w:rPr>
          <w:color w:val="auto"/>
        </w:rPr>
        <w:t>根据《排放源统计调查产排污核算方法和系数手册》“4430 工业锅炉（热力生产和供应行业）产污系数表-燃气工业锅炉”，天然气锅炉二氧化硫排放系数为0.02S千克/万立方米-原料（S参照二类天然气，以100计），则二氧化硫的排放量</w:t>
      </w:r>
      <w:r>
        <w:rPr>
          <w:rFonts w:hint="eastAsia"/>
          <w:color w:val="auto"/>
        </w:rPr>
        <w:t>由1.296</w:t>
      </w:r>
      <w:r>
        <w:rPr>
          <w:color w:val="auto"/>
        </w:rPr>
        <w:t>t/a</w:t>
      </w:r>
      <w:r>
        <w:rPr>
          <w:rFonts w:hint="eastAsia"/>
          <w:color w:val="auto"/>
        </w:rPr>
        <w:t>增加</w:t>
      </w:r>
      <w:r>
        <w:rPr>
          <w:color w:val="auto"/>
        </w:rPr>
        <w:t>为</w:t>
      </w:r>
      <w:r>
        <w:rPr>
          <w:rFonts w:hint="eastAsia"/>
          <w:color w:val="auto"/>
        </w:rPr>
        <w:t>2.16</w:t>
      </w:r>
      <w:r>
        <w:rPr>
          <w:color w:val="auto"/>
        </w:rPr>
        <w:t>t/a，排放速率</w:t>
      </w:r>
      <w:r>
        <w:rPr>
          <w:rFonts w:hint="eastAsia"/>
          <w:color w:val="auto"/>
        </w:rPr>
        <w:t>由0.16</w:t>
      </w:r>
      <w:r>
        <w:rPr>
          <w:color w:val="auto"/>
        </w:rPr>
        <w:t>kg/h</w:t>
      </w:r>
      <w:r>
        <w:rPr>
          <w:rFonts w:hint="eastAsia"/>
          <w:color w:val="auto"/>
        </w:rPr>
        <w:t>增加</w:t>
      </w:r>
      <w:r>
        <w:rPr>
          <w:color w:val="auto"/>
        </w:rPr>
        <w:t>为</w:t>
      </w:r>
      <w:r>
        <w:rPr>
          <w:rFonts w:hint="eastAsia"/>
          <w:color w:val="auto"/>
        </w:rPr>
        <w:t>0.26</w:t>
      </w:r>
      <w:r>
        <w:rPr>
          <w:color w:val="auto"/>
        </w:rPr>
        <w:t>kg/h。</w:t>
      </w:r>
      <w:r>
        <w:rPr>
          <w:rFonts w:hint="eastAsia"/>
          <w:color w:val="auto"/>
        </w:rPr>
        <w:t>单个排气筒二氧化硫排放量为0.432t/a，排放速率0.053kg/h，排放浓度</w:t>
      </w:r>
      <w:r>
        <w:rPr>
          <w:color w:val="auto"/>
        </w:rPr>
        <w:t>6.19</w:t>
      </w:r>
      <w:r>
        <w:rPr>
          <w:rFonts w:hint="eastAsia"/>
          <w:color w:val="auto"/>
        </w:rPr>
        <w:t>mg/m</w:t>
      </w:r>
      <w:r>
        <w:rPr>
          <w:rFonts w:hint="eastAsia"/>
          <w:color w:val="auto"/>
          <w:vertAlign w:val="superscript"/>
        </w:rPr>
        <w:t>3</w:t>
      </w:r>
      <w:r>
        <w:rPr>
          <w:color w:val="auto"/>
        </w:rPr>
        <w:t>。</w:t>
      </w:r>
    </w:p>
    <w:p w14:paraId="12B1FACE">
      <w:pPr>
        <w:ind w:firstLine="480"/>
        <w:rPr>
          <w:color w:val="auto"/>
        </w:rPr>
      </w:pPr>
      <w:r>
        <w:rPr>
          <w:color w:val="auto"/>
        </w:rPr>
        <w:t>c.氮氧化物排放量估算</w:t>
      </w:r>
    </w:p>
    <w:p w14:paraId="4837C396">
      <w:pPr>
        <w:ind w:firstLine="480"/>
        <w:rPr>
          <w:color w:val="auto"/>
        </w:rPr>
      </w:pPr>
      <w:r>
        <w:rPr>
          <w:color w:val="auto"/>
        </w:rPr>
        <w:t>根据</w:t>
      </w:r>
      <w:r>
        <w:rPr>
          <w:rFonts w:hint="eastAsia"/>
          <w:color w:val="auto"/>
        </w:rPr>
        <w:t>现有工程验收监测数据造纸车间天然气燃烧废气</w:t>
      </w:r>
      <w:r>
        <w:rPr>
          <w:color w:val="auto"/>
        </w:rPr>
        <w:t>氮氧化物排放浓度为</w:t>
      </w:r>
      <w:r>
        <w:rPr>
          <w:rFonts w:hint="eastAsia"/>
          <w:color w:val="auto"/>
        </w:rPr>
        <w:t>4~86</w:t>
      </w:r>
      <w:r>
        <w:rPr>
          <w:color w:val="auto"/>
        </w:rPr>
        <w:t>mg/m</w:t>
      </w:r>
      <w:r>
        <w:rPr>
          <w:color w:val="auto"/>
          <w:vertAlign w:val="superscript"/>
        </w:rPr>
        <w:t>3</w:t>
      </w:r>
      <w:r>
        <w:rPr>
          <w:rFonts w:hint="eastAsia"/>
          <w:color w:val="auto"/>
        </w:rPr>
        <w:t>（折算后）</w:t>
      </w:r>
      <w:r>
        <w:rPr>
          <w:color w:val="auto"/>
        </w:rPr>
        <w:t>，</w:t>
      </w:r>
      <w:r>
        <w:rPr>
          <w:rFonts w:hint="eastAsia"/>
          <w:color w:val="auto"/>
        </w:rPr>
        <w:t>评价按100</w:t>
      </w:r>
      <w:r>
        <w:rPr>
          <w:color w:val="auto"/>
        </w:rPr>
        <w:t>mg/m</w:t>
      </w:r>
      <w:r>
        <w:rPr>
          <w:color w:val="auto"/>
          <w:vertAlign w:val="superscript"/>
        </w:rPr>
        <w:t>3</w:t>
      </w:r>
      <w:r>
        <w:rPr>
          <w:rFonts w:hint="eastAsia"/>
          <w:color w:val="auto"/>
        </w:rPr>
        <w:t>计，</w:t>
      </w:r>
      <w:r>
        <w:rPr>
          <w:color w:val="auto"/>
        </w:rPr>
        <w:t>则氮氧化物的排放量</w:t>
      </w:r>
      <w:r>
        <w:rPr>
          <w:rFonts w:hint="eastAsia"/>
          <w:color w:val="auto"/>
        </w:rPr>
        <w:t>由6.982</w:t>
      </w:r>
      <w:r>
        <w:rPr>
          <w:color w:val="auto"/>
        </w:rPr>
        <w:t>t/a</w:t>
      </w:r>
      <w:r>
        <w:rPr>
          <w:rFonts w:hint="eastAsia"/>
          <w:color w:val="auto"/>
        </w:rPr>
        <w:t>增加</w:t>
      </w:r>
      <w:r>
        <w:rPr>
          <w:color w:val="auto"/>
        </w:rPr>
        <w:t>为</w:t>
      </w:r>
      <w:r>
        <w:rPr>
          <w:rFonts w:hint="eastAsia"/>
          <w:color w:val="auto"/>
        </w:rPr>
        <w:t>11.637</w:t>
      </w:r>
      <w:r>
        <w:rPr>
          <w:color w:val="auto"/>
        </w:rPr>
        <w:t>t/a，排放速率</w:t>
      </w:r>
      <w:r>
        <w:rPr>
          <w:rFonts w:hint="eastAsia"/>
          <w:color w:val="auto"/>
        </w:rPr>
        <w:t>由0.86</w:t>
      </w:r>
      <w:r>
        <w:rPr>
          <w:color w:val="auto"/>
        </w:rPr>
        <w:t>kg/h</w:t>
      </w:r>
      <w:r>
        <w:rPr>
          <w:rFonts w:hint="eastAsia"/>
          <w:color w:val="auto"/>
        </w:rPr>
        <w:t>增加</w:t>
      </w:r>
      <w:r>
        <w:rPr>
          <w:color w:val="auto"/>
        </w:rPr>
        <w:t>为</w:t>
      </w:r>
      <w:r>
        <w:rPr>
          <w:rFonts w:hint="eastAsia"/>
          <w:color w:val="auto"/>
        </w:rPr>
        <w:t>1.426</w:t>
      </w:r>
      <w:r>
        <w:rPr>
          <w:color w:val="auto"/>
        </w:rPr>
        <w:t>kg/h。</w:t>
      </w:r>
      <w:r>
        <w:rPr>
          <w:rFonts w:hint="eastAsia"/>
          <w:color w:val="auto"/>
        </w:rPr>
        <w:t>单个排气筒氮氧化物排放量为2.327t/a，排放速率0.29kg/h，排放浓度</w:t>
      </w:r>
      <w:r>
        <w:rPr>
          <w:color w:val="auto"/>
        </w:rPr>
        <w:t>33.3m</w:t>
      </w:r>
      <w:r>
        <w:rPr>
          <w:rFonts w:hint="eastAsia"/>
          <w:color w:val="auto"/>
        </w:rPr>
        <w:t>g/m</w:t>
      </w:r>
      <w:r>
        <w:rPr>
          <w:rFonts w:hint="eastAsia"/>
          <w:color w:val="auto"/>
          <w:vertAlign w:val="superscript"/>
        </w:rPr>
        <w:t>3</w:t>
      </w:r>
      <w:r>
        <w:rPr>
          <w:color w:val="auto"/>
        </w:rPr>
        <w:t>。</w:t>
      </w:r>
    </w:p>
    <w:p w14:paraId="0DDC20BA">
      <w:pPr>
        <w:ind w:firstLine="480"/>
        <w:rPr>
          <w:color w:val="auto"/>
        </w:rPr>
      </w:pPr>
      <w:r>
        <w:rPr>
          <w:rFonts w:hint="eastAsia"/>
          <w:color w:val="auto"/>
        </w:rPr>
        <w:t>d</w:t>
      </w:r>
      <w:r>
        <w:rPr>
          <w:color w:val="auto"/>
        </w:rPr>
        <w:t>.</w:t>
      </w:r>
      <w:r>
        <w:rPr>
          <w:rFonts w:hint="eastAsia"/>
          <w:color w:val="auto"/>
        </w:rPr>
        <w:t>烟尘</w:t>
      </w:r>
      <w:r>
        <w:rPr>
          <w:color w:val="auto"/>
        </w:rPr>
        <w:t>排放量估算</w:t>
      </w:r>
    </w:p>
    <w:p w14:paraId="3C456499">
      <w:pPr>
        <w:ind w:firstLine="480"/>
        <w:rPr>
          <w:color w:val="auto"/>
        </w:rPr>
      </w:pPr>
      <w:r>
        <w:rPr>
          <w:color w:val="auto"/>
        </w:rPr>
        <w:t>根据</w:t>
      </w:r>
      <w:r>
        <w:rPr>
          <w:rFonts w:hint="eastAsia"/>
          <w:color w:val="auto"/>
        </w:rPr>
        <w:t>现有工程验收监测数据造纸车间天然气燃烧废气烟尘</w:t>
      </w:r>
      <w:r>
        <w:rPr>
          <w:color w:val="auto"/>
        </w:rPr>
        <w:t>排放浓度为</w:t>
      </w:r>
      <w:r>
        <w:rPr>
          <w:rFonts w:hint="eastAsia"/>
          <w:color w:val="auto"/>
        </w:rPr>
        <w:t>1.3~3.7</w:t>
      </w:r>
      <w:r>
        <w:rPr>
          <w:color w:val="auto"/>
        </w:rPr>
        <w:t>mg/m</w:t>
      </w:r>
      <w:r>
        <w:rPr>
          <w:color w:val="auto"/>
          <w:vertAlign w:val="superscript"/>
        </w:rPr>
        <w:t>3</w:t>
      </w:r>
      <w:r>
        <w:rPr>
          <w:rFonts w:hint="eastAsia"/>
          <w:color w:val="auto"/>
        </w:rPr>
        <w:t>（折算后）</w:t>
      </w:r>
      <w:r>
        <w:rPr>
          <w:color w:val="auto"/>
        </w:rPr>
        <w:t>，</w:t>
      </w:r>
      <w:r>
        <w:rPr>
          <w:rFonts w:hint="eastAsia"/>
          <w:color w:val="auto"/>
        </w:rPr>
        <w:t>评价按10</w:t>
      </w:r>
      <w:r>
        <w:rPr>
          <w:color w:val="auto"/>
        </w:rPr>
        <w:t>mg/m</w:t>
      </w:r>
      <w:r>
        <w:rPr>
          <w:color w:val="auto"/>
          <w:vertAlign w:val="superscript"/>
        </w:rPr>
        <w:t>3</w:t>
      </w:r>
      <w:r>
        <w:rPr>
          <w:rFonts w:hint="eastAsia"/>
          <w:color w:val="auto"/>
        </w:rPr>
        <w:t>计，</w:t>
      </w:r>
      <w:r>
        <w:rPr>
          <w:color w:val="auto"/>
        </w:rPr>
        <w:t>则</w:t>
      </w:r>
      <w:r>
        <w:rPr>
          <w:rFonts w:hint="eastAsia"/>
          <w:color w:val="auto"/>
        </w:rPr>
        <w:t>烟尘</w:t>
      </w:r>
      <w:r>
        <w:rPr>
          <w:color w:val="auto"/>
        </w:rPr>
        <w:t>的排放量</w:t>
      </w:r>
      <w:r>
        <w:rPr>
          <w:rFonts w:hint="eastAsia"/>
          <w:color w:val="auto"/>
        </w:rPr>
        <w:t>由0.698</w:t>
      </w:r>
      <w:r>
        <w:rPr>
          <w:color w:val="auto"/>
        </w:rPr>
        <w:t>t/a</w:t>
      </w:r>
      <w:r>
        <w:rPr>
          <w:rFonts w:hint="eastAsia"/>
          <w:color w:val="auto"/>
        </w:rPr>
        <w:t>增加</w:t>
      </w:r>
      <w:r>
        <w:rPr>
          <w:color w:val="auto"/>
        </w:rPr>
        <w:t>为</w:t>
      </w:r>
      <w:r>
        <w:rPr>
          <w:rFonts w:hint="eastAsia"/>
          <w:color w:val="auto"/>
        </w:rPr>
        <w:t>1.164</w:t>
      </w:r>
      <w:r>
        <w:rPr>
          <w:color w:val="auto"/>
        </w:rPr>
        <w:t>t/a，排放速率</w:t>
      </w:r>
      <w:r>
        <w:rPr>
          <w:rFonts w:hint="eastAsia"/>
          <w:color w:val="auto"/>
        </w:rPr>
        <w:t>由0.086</w:t>
      </w:r>
      <w:r>
        <w:rPr>
          <w:color w:val="auto"/>
        </w:rPr>
        <w:t>kg/h</w:t>
      </w:r>
      <w:r>
        <w:rPr>
          <w:rFonts w:hint="eastAsia"/>
          <w:color w:val="auto"/>
        </w:rPr>
        <w:t>增加</w:t>
      </w:r>
      <w:r>
        <w:rPr>
          <w:color w:val="auto"/>
        </w:rPr>
        <w:t>为</w:t>
      </w:r>
      <w:r>
        <w:rPr>
          <w:rFonts w:hint="eastAsia"/>
          <w:color w:val="auto"/>
        </w:rPr>
        <w:t>0.14</w:t>
      </w:r>
      <w:r>
        <w:rPr>
          <w:color w:val="auto"/>
        </w:rPr>
        <w:t>kg/h。</w:t>
      </w:r>
      <w:r>
        <w:rPr>
          <w:rFonts w:hint="eastAsia"/>
          <w:color w:val="auto"/>
        </w:rPr>
        <w:t>单个排气筒烟尘排放量为0.233t/a，排放速率0.029kg/h，排放浓度</w:t>
      </w:r>
      <w:r>
        <w:rPr>
          <w:color w:val="auto"/>
        </w:rPr>
        <w:t>3.3</w:t>
      </w:r>
      <w:r>
        <w:rPr>
          <w:rFonts w:hint="eastAsia"/>
          <w:color w:val="auto"/>
        </w:rPr>
        <w:t>mg/m</w:t>
      </w:r>
      <w:r>
        <w:rPr>
          <w:rFonts w:hint="eastAsia"/>
          <w:color w:val="auto"/>
          <w:vertAlign w:val="superscript"/>
        </w:rPr>
        <w:t>3</w:t>
      </w:r>
      <w:r>
        <w:rPr>
          <w:color w:val="auto"/>
        </w:rPr>
        <w:t>。</w:t>
      </w:r>
    </w:p>
    <w:p w14:paraId="082413FE">
      <w:pPr>
        <w:ind w:firstLine="480"/>
        <w:rPr>
          <w:color w:val="auto"/>
        </w:rPr>
      </w:pPr>
      <w:r>
        <w:rPr>
          <w:rFonts w:hint="eastAsia"/>
          <w:color w:val="auto"/>
        </w:rPr>
        <w:t>综上，本项目完成后，造纸车间烘干废气量20728.98</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，二氧化硫排放量为3.848t/a，氮氧化物排放量为20.729t/a，烟尘排放量为2.073t/a。</w:t>
      </w:r>
    </w:p>
    <w:p w14:paraId="5BC05B6B">
      <w:pPr>
        <w:ind w:firstLine="480"/>
        <w:rPr>
          <w:color w:val="auto"/>
        </w:rPr>
      </w:pPr>
      <w:r>
        <w:rPr>
          <w:rFonts w:hint="eastAsia"/>
          <w:color w:val="auto"/>
        </w:rPr>
        <w:t>烘干废气通过车间顶部5根30m高排气筒（</w:t>
      </w:r>
      <w:r>
        <w:rPr>
          <w:color w:val="auto"/>
        </w:rPr>
        <w:t>DA032</w:t>
      </w:r>
      <w:r>
        <w:rPr>
          <w:rFonts w:hint="eastAsia"/>
          <w:color w:val="auto"/>
        </w:rPr>
        <w:t>、</w:t>
      </w:r>
      <w:r>
        <w:rPr>
          <w:color w:val="auto"/>
        </w:rPr>
        <w:t>DA034</w:t>
      </w:r>
      <w:r>
        <w:rPr>
          <w:rFonts w:hint="eastAsia"/>
          <w:color w:val="auto"/>
        </w:rPr>
        <w:t>、</w:t>
      </w:r>
      <w:r>
        <w:rPr>
          <w:color w:val="auto"/>
        </w:rPr>
        <w:t>DA036</w:t>
      </w:r>
      <w:r>
        <w:rPr>
          <w:rFonts w:hint="eastAsia"/>
          <w:color w:val="auto"/>
        </w:rPr>
        <w:t>、</w:t>
      </w:r>
      <w:r>
        <w:rPr>
          <w:color w:val="auto"/>
        </w:rPr>
        <w:t>DA038</w:t>
      </w:r>
      <w:r>
        <w:rPr>
          <w:rFonts w:hint="eastAsia"/>
          <w:color w:val="auto"/>
        </w:rPr>
        <w:t>、DA040）排放，由于5根排气筒中任意两个排气筒距离小于两个排气筒高度之和，根据《大气污染物综合排放标准》（</w:t>
      </w:r>
      <w:r>
        <w:rPr>
          <w:color w:val="auto"/>
        </w:rPr>
        <w:t>GB16297-1996</w:t>
      </w:r>
      <w:r>
        <w:rPr>
          <w:rFonts w:hint="eastAsia"/>
          <w:color w:val="auto"/>
        </w:rPr>
        <w:t>），以一个等效排气筒代表烘干废气排气筒，等效后，等效高度为25m，</w:t>
      </w:r>
      <w:r>
        <w:rPr>
          <w:color w:val="auto"/>
        </w:rPr>
        <w:t>二氧化硫</w:t>
      </w:r>
      <w:r>
        <w:rPr>
          <w:rFonts w:hint="eastAsia"/>
          <w:color w:val="auto"/>
        </w:rPr>
        <w:t>等效排放速率为0.26</w:t>
      </w:r>
      <w:r>
        <w:rPr>
          <w:color w:val="auto"/>
        </w:rPr>
        <w:t>kg/h</w:t>
      </w:r>
      <w:r>
        <w:rPr>
          <w:rFonts w:hint="eastAsia"/>
          <w:color w:val="auto"/>
        </w:rPr>
        <w:t>，</w:t>
      </w:r>
      <w:r>
        <w:rPr>
          <w:color w:val="auto"/>
        </w:rPr>
        <w:t>氮氧化物</w:t>
      </w:r>
      <w:r>
        <w:rPr>
          <w:rFonts w:hint="eastAsia"/>
          <w:color w:val="auto"/>
        </w:rPr>
        <w:t>等效排放速率为</w:t>
      </w:r>
      <w:r>
        <w:rPr>
          <w:color w:val="auto"/>
        </w:rPr>
        <w:t>1.426kg/h</w:t>
      </w:r>
      <w:r>
        <w:rPr>
          <w:rFonts w:hint="eastAsia"/>
          <w:color w:val="auto"/>
        </w:rPr>
        <w:t>，烟尘等效排放速率为0.14</w:t>
      </w:r>
      <w:r>
        <w:rPr>
          <w:color w:val="auto"/>
        </w:rPr>
        <w:t>kg/h</w:t>
      </w:r>
      <w:r>
        <w:rPr>
          <w:rFonts w:hint="eastAsia"/>
          <w:color w:val="auto"/>
        </w:rPr>
        <w:t>。等效后，污染物排放浓度和排放速率均可满足《大气污染物综合排放标准》（</w:t>
      </w:r>
      <w:r>
        <w:rPr>
          <w:color w:val="auto"/>
        </w:rPr>
        <w:t>GB16297-1996</w:t>
      </w:r>
      <w:r>
        <w:rPr>
          <w:rFonts w:hint="eastAsia"/>
          <w:color w:val="auto"/>
        </w:rPr>
        <w:t>）限值要求。</w:t>
      </w:r>
    </w:p>
    <w:p w14:paraId="6A3A5AF5">
      <w:pPr>
        <w:ind w:firstLine="480"/>
        <w:rPr>
          <w:color w:val="auto"/>
        </w:rPr>
      </w:pPr>
    </w:p>
    <w:p w14:paraId="3B58B9FA">
      <w:pPr>
        <w:pStyle w:val="5"/>
        <w:rPr>
          <w:color w:val="auto"/>
        </w:rPr>
      </w:pPr>
      <w:r>
        <w:rPr>
          <w:rFonts w:hint="eastAsia"/>
          <w:color w:val="auto"/>
        </w:rPr>
        <w:t>造纸车间导热油炉废气排放</w:t>
      </w:r>
    </w:p>
    <w:p w14:paraId="55E37FE4">
      <w:pPr>
        <w:ind w:firstLine="480"/>
        <w:rPr>
          <w:color w:val="auto"/>
        </w:rPr>
      </w:pPr>
      <w:r>
        <w:rPr>
          <w:rFonts w:hint="eastAsia"/>
          <w:color w:val="auto"/>
        </w:rPr>
        <w:t>造纸车间涂布工段压光工序使用导热油间接加热，项目使用天然气导热油炉间接加热导热油。导热油炉间断运行，</w:t>
      </w:r>
      <w:r>
        <w:rPr>
          <w:color w:val="auto"/>
        </w:rPr>
        <w:t>每隔半个小时燃烧1次，每次燃烧5分钟</w:t>
      </w:r>
      <w:r>
        <w:rPr>
          <w:rFonts w:hint="eastAsia"/>
          <w:color w:val="auto"/>
        </w:rPr>
        <w:t>。天然气燃烧产生的烟气各造纸车间顶部排气筒排放，排放烟气满足《锅炉大气污染物排放标准》（GB13271-2014）表2新建燃气锅炉排放限值中最高允许排放浓度限值。</w:t>
      </w:r>
    </w:p>
    <w:p w14:paraId="13AE2007">
      <w:pPr>
        <w:ind w:firstLine="480"/>
        <w:rPr>
          <w:color w:val="auto"/>
        </w:rPr>
      </w:pPr>
      <w:r>
        <w:rPr>
          <w:color w:val="auto"/>
        </w:rPr>
        <w:t>评价选用《排放源统计调查产排污核算方法和系数手册》“4430 工业锅炉（热力生产和供应行业）产污系数表-燃气工业锅炉”中的相关系数</w:t>
      </w:r>
      <w:r>
        <w:rPr>
          <w:rFonts w:hint="eastAsia"/>
          <w:color w:val="auto"/>
        </w:rPr>
        <w:t>及现有工程实测数据</w:t>
      </w:r>
      <w:r>
        <w:rPr>
          <w:color w:val="auto"/>
        </w:rPr>
        <w:t>。</w:t>
      </w:r>
    </w:p>
    <w:p w14:paraId="1A0F69FD">
      <w:pPr>
        <w:ind w:firstLine="480"/>
        <w:rPr>
          <w:color w:val="auto"/>
        </w:rPr>
      </w:pPr>
      <w:r>
        <w:rPr>
          <w:rFonts w:hint="eastAsia"/>
          <w:color w:val="auto"/>
        </w:rPr>
        <w:t>1、1#造纸车间导热油炉废气</w:t>
      </w:r>
    </w:p>
    <w:p w14:paraId="5C61C049">
      <w:pPr>
        <w:ind w:firstLine="480"/>
        <w:rPr>
          <w:color w:val="auto"/>
        </w:rPr>
      </w:pPr>
      <w:r>
        <w:rPr>
          <w:rFonts w:hint="eastAsia"/>
          <w:color w:val="auto"/>
        </w:rPr>
        <w:t>本项目完成后，1#加热导热油用天然气使用量由62.5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增加到93.75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，烘干废气通过车间侧方2根20m高排气筒（DA041、DA043）排放，废气排放量变化情况为：</w:t>
      </w:r>
    </w:p>
    <w:p w14:paraId="2D1AA542">
      <w:pPr>
        <w:ind w:firstLine="480"/>
        <w:rPr>
          <w:color w:val="auto"/>
        </w:rPr>
      </w:pPr>
      <w:r>
        <w:rPr>
          <w:color w:val="auto"/>
        </w:rPr>
        <w:t>a.烟气量估算</w:t>
      </w:r>
    </w:p>
    <w:p w14:paraId="7242AEAA">
      <w:pPr>
        <w:ind w:firstLine="480"/>
        <w:rPr>
          <w:color w:val="auto"/>
        </w:rPr>
      </w:pPr>
      <w:r>
        <w:rPr>
          <w:color w:val="auto"/>
        </w:rPr>
        <w:t>参照《排放源统计调查产排污核算方法和系数手册》“4430 工业锅炉（热力生产和供应行业）产污系数表-燃气工业锅炉”，工业废气产生量为107753标立方米/万立方米-原料，则烟气量</w:t>
      </w:r>
      <w:r>
        <w:rPr>
          <w:rFonts w:hint="eastAsia"/>
          <w:color w:val="auto"/>
        </w:rPr>
        <w:t>由673.46</w:t>
      </w:r>
      <w:r>
        <w:rPr>
          <w:color w:val="auto"/>
        </w:rPr>
        <w:t>×10</w:t>
      </w:r>
      <w:r>
        <w:rPr>
          <w:color w:val="auto"/>
          <w:vertAlign w:val="superscript"/>
        </w:rPr>
        <w:t>4</w:t>
      </w:r>
      <w:r>
        <w:rPr>
          <w:color w:val="auto"/>
        </w:rPr>
        <w:t>m</w:t>
      </w:r>
      <w:r>
        <w:rPr>
          <w:color w:val="auto"/>
          <w:vertAlign w:val="superscript"/>
        </w:rPr>
        <w:t>3</w:t>
      </w:r>
      <w:r>
        <w:rPr>
          <w:color w:val="auto"/>
        </w:rPr>
        <w:t>/a（4951.9m</w:t>
      </w:r>
      <w:r>
        <w:rPr>
          <w:color w:val="auto"/>
          <w:vertAlign w:val="superscript"/>
        </w:rPr>
        <w:t>3</w:t>
      </w:r>
      <w:r>
        <w:rPr>
          <w:color w:val="auto"/>
        </w:rPr>
        <w:t>/h）</w:t>
      </w:r>
      <w:r>
        <w:rPr>
          <w:rFonts w:hint="eastAsia"/>
          <w:color w:val="auto"/>
        </w:rPr>
        <w:t>增加至1010.18</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（7427.8</w:t>
      </w:r>
      <w:r>
        <w:rPr>
          <w:color w:val="auto"/>
        </w:rPr>
        <w:t>m</w:t>
      </w:r>
      <w:r>
        <w:rPr>
          <w:color w:val="auto"/>
          <w:vertAlign w:val="superscript"/>
        </w:rPr>
        <w:t>3</w:t>
      </w:r>
      <w:r>
        <w:rPr>
          <w:color w:val="auto"/>
        </w:rPr>
        <w:t>/h）。</w:t>
      </w:r>
      <w:r>
        <w:rPr>
          <w:rFonts w:hint="eastAsia"/>
          <w:color w:val="auto"/>
        </w:rPr>
        <w:t>单个排气筒废气量排放量为505.09</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w:t>
      </w:r>
      <w:r>
        <w:rPr>
          <w:color w:val="auto"/>
        </w:rPr>
        <w:t>3713.9m</w:t>
      </w:r>
      <w:r>
        <w:rPr>
          <w:color w:val="auto"/>
          <w:vertAlign w:val="superscript"/>
        </w:rPr>
        <w:t>3</w:t>
      </w:r>
      <w:r>
        <w:rPr>
          <w:color w:val="auto"/>
        </w:rPr>
        <w:t>/h）</w:t>
      </w:r>
      <w:r>
        <w:rPr>
          <w:rFonts w:hint="eastAsia"/>
          <w:color w:val="auto"/>
        </w:rPr>
        <w:t>。</w:t>
      </w:r>
    </w:p>
    <w:p w14:paraId="033399DC">
      <w:pPr>
        <w:ind w:firstLine="480"/>
        <w:rPr>
          <w:color w:val="auto"/>
        </w:rPr>
      </w:pPr>
      <w:r>
        <w:rPr>
          <w:color w:val="auto"/>
        </w:rPr>
        <w:t>b.二氧化硫排放量估算</w:t>
      </w:r>
    </w:p>
    <w:p w14:paraId="6DA24830">
      <w:pPr>
        <w:ind w:firstLine="480"/>
        <w:rPr>
          <w:color w:val="auto"/>
        </w:rPr>
      </w:pPr>
      <w:r>
        <w:rPr>
          <w:color w:val="auto"/>
        </w:rPr>
        <w:t>根据《排放源统计调查产排污核算方法和系数手册》“4430 工业锅炉（热力生产和供应行业）产污系数表-燃气工业锅炉”，天然气锅炉二氧化硫排放系数为0.02S千克/万立方米-原料（S参照二类天然气，以100计），则二氧化硫的排放量</w:t>
      </w:r>
      <w:r>
        <w:rPr>
          <w:rFonts w:hint="eastAsia"/>
          <w:color w:val="auto"/>
        </w:rPr>
        <w:t>由0.125</w:t>
      </w:r>
      <w:r>
        <w:rPr>
          <w:color w:val="auto"/>
        </w:rPr>
        <w:t>t/a</w:t>
      </w:r>
      <w:r>
        <w:rPr>
          <w:rFonts w:hint="eastAsia"/>
          <w:color w:val="auto"/>
        </w:rPr>
        <w:t>增加</w:t>
      </w:r>
      <w:r>
        <w:rPr>
          <w:color w:val="auto"/>
        </w:rPr>
        <w:t>为</w:t>
      </w:r>
      <w:r>
        <w:rPr>
          <w:rFonts w:hint="eastAsia"/>
          <w:color w:val="auto"/>
        </w:rPr>
        <w:t>0.188</w:t>
      </w:r>
      <w:r>
        <w:rPr>
          <w:color w:val="auto"/>
        </w:rPr>
        <w:t>t/a，排放速率</w:t>
      </w:r>
      <w:r>
        <w:rPr>
          <w:rFonts w:hint="eastAsia"/>
          <w:color w:val="auto"/>
        </w:rPr>
        <w:t>由</w:t>
      </w:r>
      <w:r>
        <w:rPr>
          <w:color w:val="auto"/>
        </w:rPr>
        <w:t>0.092kg/h</w:t>
      </w:r>
      <w:r>
        <w:rPr>
          <w:rFonts w:hint="eastAsia"/>
          <w:color w:val="auto"/>
        </w:rPr>
        <w:t>增加</w:t>
      </w:r>
      <w:r>
        <w:rPr>
          <w:color w:val="auto"/>
        </w:rPr>
        <w:t>为0.14kg/h</w:t>
      </w:r>
      <w:r>
        <w:rPr>
          <w:rFonts w:hint="eastAsia"/>
          <w:color w:val="auto"/>
        </w:rPr>
        <w:t>，排放浓度18.56mg/m</w:t>
      </w:r>
      <w:r>
        <w:rPr>
          <w:rFonts w:hint="eastAsia"/>
          <w:color w:val="auto"/>
          <w:vertAlign w:val="superscript"/>
        </w:rPr>
        <w:t>3</w:t>
      </w:r>
      <w:r>
        <w:rPr>
          <w:color w:val="auto"/>
        </w:rPr>
        <w:t>。</w:t>
      </w:r>
      <w:r>
        <w:rPr>
          <w:rFonts w:hint="eastAsia"/>
          <w:color w:val="auto"/>
        </w:rPr>
        <w:t>单个排气筒二氧化硫排放量为0.094t/a，排放速率</w:t>
      </w:r>
      <w:r>
        <w:rPr>
          <w:color w:val="auto"/>
        </w:rPr>
        <w:t>0.07kg/h</w:t>
      </w:r>
      <w:r>
        <w:rPr>
          <w:rFonts w:hint="eastAsia"/>
          <w:color w:val="auto"/>
        </w:rPr>
        <w:t>，排放浓度18.56mg/m</w:t>
      </w:r>
      <w:r>
        <w:rPr>
          <w:rFonts w:hint="eastAsia"/>
          <w:color w:val="auto"/>
          <w:vertAlign w:val="superscript"/>
        </w:rPr>
        <w:t>3</w:t>
      </w:r>
      <w:r>
        <w:rPr>
          <w:color w:val="auto"/>
        </w:rPr>
        <w:t>。</w:t>
      </w:r>
    </w:p>
    <w:p w14:paraId="05B84D48">
      <w:pPr>
        <w:ind w:firstLine="480"/>
        <w:rPr>
          <w:color w:val="auto"/>
        </w:rPr>
      </w:pPr>
      <w:r>
        <w:rPr>
          <w:color w:val="auto"/>
        </w:rPr>
        <w:t>c.氮氧化物排放量估算</w:t>
      </w:r>
    </w:p>
    <w:p w14:paraId="0A7986AC">
      <w:pPr>
        <w:ind w:firstLine="480"/>
        <w:rPr>
          <w:color w:val="auto"/>
        </w:rPr>
      </w:pPr>
      <w:r>
        <w:rPr>
          <w:color w:val="auto"/>
        </w:rPr>
        <w:t>根据</w:t>
      </w:r>
      <w:r>
        <w:rPr>
          <w:rFonts w:hint="eastAsia"/>
          <w:color w:val="auto"/>
        </w:rPr>
        <w:t>现有工程验收监测数据造纸车间天然气燃烧废气</w:t>
      </w:r>
      <w:r>
        <w:rPr>
          <w:color w:val="auto"/>
        </w:rPr>
        <w:t>氮氧化物排放浓度为</w:t>
      </w:r>
      <w:r>
        <w:rPr>
          <w:rFonts w:hint="eastAsia"/>
          <w:color w:val="auto"/>
        </w:rPr>
        <w:t>4~86</w:t>
      </w:r>
      <w:r>
        <w:rPr>
          <w:color w:val="auto"/>
        </w:rPr>
        <w:t>mg/m</w:t>
      </w:r>
      <w:r>
        <w:rPr>
          <w:color w:val="auto"/>
          <w:vertAlign w:val="superscript"/>
        </w:rPr>
        <w:t>3</w:t>
      </w:r>
      <w:r>
        <w:rPr>
          <w:color w:val="auto"/>
        </w:rPr>
        <w:t>，</w:t>
      </w:r>
      <w:r>
        <w:rPr>
          <w:rFonts w:hint="eastAsia"/>
          <w:color w:val="auto"/>
        </w:rPr>
        <w:t>评价按100</w:t>
      </w:r>
      <w:r>
        <w:rPr>
          <w:color w:val="auto"/>
        </w:rPr>
        <w:t>mg/m</w:t>
      </w:r>
      <w:r>
        <w:rPr>
          <w:color w:val="auto"/>
          <w:vertAlign w:val="superscript"/>
        </w:rPr>
        <w:t>3</w:t>
      </w:r>
      <w:r>
        <w:rPr>
          <w:rFonts w:hint="eastAsia"/>
          <w:color w:val="auto"/>
        </w:rPr>
        <w:t>计，</w:t>
      </w:r>
      <w:r>
        <w:rPr>
          <w:color w:val="auto"/>
        </w:rPr>
        <w:t>则氮氧化物的排放量</w:t>
      </w:r>
      <w:r>
        <w:rPr>
          <w:rFonts w:hint="eastAsia"/>
          <w:color w:val="auto"/>
        </w:rPr>
        <w:t>由0.674</w:t>
      </w:r>
      <w:r>
        <w:rPr>
          <w:color w:val="auto"/>
        </w:rPr>
        <w:t>t/a</w:t>
      </w:r>
      <w:r>
        <w:rPr>
          <w:rFonts w:hint="eastAsia"/>
          <w:color w:val="auto"/>
        </w:rPr>
        <w:t>增加</w:t>
      </w:r>
      <w:r>
        <w:rPr>
          <w:color w:val="auto"/>
        </w:rPr>
        <w:t>为</w:t>
      </w:r>
      <w:r>
        <w:rPr>
          <w:rFonts w:hint="eastAsia"/>
          <w:color w:val="auto"/>
        </w:rPr>
        <w:t>1.010</w:t>
      </w:r>
      <w:r>
        <w:rPr>
          <w:color w:val="auto"/>
        </w:rPr>
        <w:t>t/a，排放速率</w:t>
      </w:r>
      <w:r>
        <w:rPr>
          <w:rFonts w:hint="eastAsia"/>
          <w:color w:val="auto"/>
        </w:rPr>
        <w:t>由</w:t>
      </w:r>
      <w:r>
        <w:rPr>
          <w:color w:val="auto"/>
        </w:rPr>
        <w:t>0.50kg/h</w:t>
      </w:r>
      <w:r>
        <w:rPr>
          <w:rFonts w:hint="eastAsia"/>
          <w:color w:val="auto"/>
        </w:rPr>
        <w:t>增加为</w:t>
      </w:r>
      <w:r>
        <w:rPr>
          <w:color w:val="auto"/>
        </w:rPr>
        <w:t>0.74kg/h。</w:t>
      </w:r>
      <w:r>
        <w:rPr>
          <w:rFonts w:hint="eastAsia"/>
          <w:color w:val="auto"/>
        </w:rPr>
        <w:t>单个排气筒氮氧化物排放量为0.505t/a，排放速率</w:t>
      </w:r>
      <w:r>
        <w:rPr>
          <w:color w:val="auto"/>
        </w:rPr>
        <w:t>0.37kg</w:t>
      </w:r>
      <w:r>
        <w:rPr>
          <w:rFonts w:hint="eastAsia"/>
          <w:color w:val="auto"/>
        </w:rPr>
        <w:t>/h，排放浓度100mg/m</w:t>
      </w:r>
      <w:r>
        <w:rPr>
          <w:rFonts w:hint="eastAsia"/>
          <w:color w:val="auto"/>
          <w:vertAlign w:val="superscript"/>
        </w:rPr>
        <w:t>3</w:t>
      </w:r>
      <w:r>
        <w:rPr>
          <w:color w:val="auto"/>
        </w:rPr>
        <w:t>。</w:t>
      </w:r>
    </w:p>
    <w:p w14:paraId="73301AD8">
      <w:pPr>
        <w:ind w:firstLine="480"/>
        <w:rPr>
          <w:color w:val="auto"/>
        </w:rPr>
      </w:pPr>
      <w:r>
        <w:rPr>
          <w:rFonts w:hint="eastAsia"/>
          <w:color w:val="auto"/>
        </w:rPr>
        <w:t>d</w:t>
      </w:r>
      <w:r>
        <w:rPr>
          <w:color w:val="auto"/>
        </w:rPr>
        <w:t>.</w:t>
      </w:r>
      <w:r>
        <w:rPr>
          <w:rFonts w:hint="eastAsia"/>
          <w:color w:val="auto"/>
        </w:rPr>
        <w:t>烟尘</w:t>
      </w:r>
      <w:r>
        <w:rPr>
          <w:color w:val="auto"/>
        </w:rPr>
        <w:t>排放量估算</w:t>
      </w:r>
    </w:p>
    <w:p w14:paraId="1782D0AD">
      <w:pPr>
        <w:ind w:firstLine="480"/>
        <w:rPr>
          <w:color w:val="auto"/>
        </w:rPr>
      </w:pPr>
      <w:r>
        <w:rPr>
          <w:color w:val="auto"/>
        </w:rPr>
        <w:t>根据</w:t>
      </w:r>
      <w:r>
        <w:rPr>
          <w:rFonts w:hint="eastAsia"/>
          <w:color w:val="auto"/>
        </w:rPr>
        <w:t>现有工程验收监测数据造纸车间天然气燃烧废气烟尘</w:t>
      </w:r>
      <w:r>
        <w:rPr>
          <w:color w:val="auto"/>
        </w:rPr>
        <w:t>排放浓度为</w:t>
      </w:r>
      <w:r>
        <w:rPr>
          <w:rFonts w:hint="eastAsia"/>
          <w:color w:val="auto"/>
        </w:rPr>
        <w:t>1.3~3.7</w:t>
      </w:r>
      <w:r>
        <w:rPr>
          <w:color w:val="auto"/>
        </w:rPr>
        <w:t>mg/m</w:t>
      </w:r>
      <w:r>
        <w:rPr>
          <w:color w:val="auto"/>
          <w:vertAlign w:val="superscript"/>
        </w:rPr>
        <w:t>3</w:t>
      </w:r>
      <w:r>
        <w:rPr>
          <w:color w:val="auto"/>
        </w:rPr>
        <w:t>，</w:t>
      </w:r>
      <w:r>
        <w:rPr>
          <w:rFonts w:hint="eastAsia"/>
          <w:color w:val="auto"/>
        </w:rPr>
        <w:t>评价按10</w:t>
      </w:r>
      <w:r>
        <w:rPr>
          <w:color w:val="auto"/>
        </w:rPr>
        <w:t>mg/m</w:t>
      </w:r>
      <w:r>
        <w:rPr>
          <w:color w:val="auto"/>
          <w:vertAlign w:val="superscript"/>
        </w:rPr>
        <w:t>3</w:t>
      </w:r>
      <w:r>
        <w:rPr>
          <w:rFonts w:hint="eastAsia"/>
          <w:color w:val="auto"/>
        </w:rPr>
        <w:t>计，</w:t>
      </w:r>
      <w:r>
        <w:rPr>
          <w:color w:val="auto"/>
        </w:rPr>
        <w:t>则</w:t>
      </w:r>
      <w:r>
        <w:rPr>
          <w:rFonts w:hint="eastAsia"/>
          <w:color w:val="auto"/>
        </w:rPr>
        <w:t>烟尘</w:t>
      </w:r>
      <w:r>
        <w:rPr>
          <w:color w:val="auto"/>
        </w:rPr>
        <w:t>的排放量</w:t>
      </w:r>
      <w:r>
        <w:rPr>
          <w:rFonts w:hint="eastAsia"/>
          <w:color w:val="auto"/>
        </w:rPr>
        <w:t>由0.067</w:t>
      </w:r>
      <w:r>
        <w:rPr>
          <w:color w:val="auto"/>
        </w:rPr>
        <w:t>t/a</w:t>
      </w:r>
      <w:r>
        <w:rPr>
          <w:rFonts w:hint="eastAsia"/>
          <w:color w:val="auto"/>
        </w:rPr>
        <w:t>增加</w:t>
      </w:r>
      <w:r>
        <w:rPr>
          <w:color w:val="auto"/>
        </w:rPr>
        <w:t>为</w:t>
      </w:r>
      <w:r>
        <w:rPr>
          <w:rFonts w:hint="eastAsia"/>
          <w:color w:val="auto"/>
        </w:rPr>
        <w:t>0.101</w:t>
      </w:r>
      <w:r>
        <w:rPr>
          <w:color w:val="auto"/>
        </w:rPr>
        <w:t>t/a，排放速率</w:t>
      </w:r>
      <w:r>
        <w:rPr>
          <w:rFonts w:hint="eastAsia"/>
          <w:color w:val="auto"/>
        </w:rPr>
        <w:t>由</w:t>
      </w:r>
      <w:r>
        <w:rPr>
          <w:color w:val="auto"/>
        </w:rPr>
        <w:t>0.05kg/h</w:t>
      </w:r>
      <w:r>
        <w:rPr>
          <w:rFonts w:hint="eastAsia"/>
          <w:color w:val="auto"/>
        </w:rPr>
        <w:t>增加</w:t>
      </w:r>
      <w:r>
        <w:rPr>
          <w:color w:val="auto"/>
        </w:rPr>
        <w:t>为</w:t>
      </w:r>
      <w:r>
        <w:rPr>
          <w:rFonts w:hint="eastAsia"/>
          <w:color w:val="auto"/>
        </w:rPr>
        <w:t>0.07</w:t>
      </w:r>
      <w:r>
        <w:rPr>
          <w:color w:val="auto"/>
        </w:rPr>
        <w:t>kg/h。</w:t>
      </w:r>
      <w:r>
        <w:rPr>
          <w:rFonts w:hint="eastAsia"/>
          <w:color w:val="auto"/>
        </w:rPr>
        <w:t>单个排气筒烟尘排放量为0.051t/a，排放速率0.037kg/h，排放浓度10mg/m</w:t>
      </w:r>
      <w:r>
        <w:rPr>
          <w:rFonts w:hint="eastAsia"/>
          <w:color w:val="auto"/>
          <w:vertAlign w:val="superscript"/>
        </w:rPr>
        <w:t>3</w:t>
      </w:r>
      <w:r>
        <w:rPr>
          <w:color w:val="auto"/>
        </w:rPr>
        <w:t>。</w:t>
      </w:r>
    </w:p>
    <w:p w14:paraId="108C283C">
      <w:pPr>
        <w:ind w:firstLine="480"/>
        <w:rPr>
          <w:color w:val="auto"/>
        </w:rPr>
      </w:pPr>
      <w:r>
        <w:rPr>
          <w:rFonts w:hint="eastAsia"/>
          <w:color w:val="auto"/>
        </w:rPr>
        <w:t>2、2#造纸车间导热油炉废气</w:t>
      </w:r>
    </w:p>
    <w:p w14:paraId="0A380E2B">
      <w:pPr>
        <w:ind w:firstLine="480"/>
        <w:rPr>
          <w:color w:val="auto"/>
        </w:rPr>
      </w:pPr>
      <w:r>
        <w:rPr>
          <w:rFonts w:hint="eastAsia"/>
          <w:color w:val="auto"/>
        </w:rPr>
        <w:t>本项目完成后，2#造纸车间加热导热油用天然气使用量由62.5</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增加到120</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，烘干废气通过车间侧方2根16m高排气筒（DA042、DA04</w:t>
      </w:r>
      <w:r>
        <w:rPr>
          <w:rFonts w:hint="eastAsia"/>
          <w:color w:val="auto"/>
          <w:lang w:val="en-US" w:eastAsia="zh-CN"/>
        </w:rPr>
        <w:t>4</w:t>
      </w:r>
      <w:r>
        <w:rPr>
          <w:rFonts w:hint="eastAsia"/>
          <w:color w:val="auto"/>
        </w:rPr>
        <w:t>）排放，废气排放量变化情况为：</w:t>
      </w:r>
    </w:p>
    <w:p w14:paraId="7ACC18D9">
      <w:pPr>
        <w:ind w:firstLine="480"/>
        <w:rPr>
          <w:color w:val="auto"/>
        </w:rPr>
      </w:pPr>
      <w:r>
        <w:rPr>
          <w:color w:val="auto"/>
        </w:rPr>
        <w:t>a.烟气量估算</w:t>
      </w:r>
    </w:p>
    <w:p w14:paraId="02E22F67">
      <w:pPr>
        <w:ind w:firstLine="480"/>
        <w:rPr>
          <w:color w:val="auto"/>
        </w:rPr>
      </w:pPr>
      <w:r>
        <w:rPr>
          <w:color w:val="auto"/>
        </w:rPr>
        <w:t>参照《排放源统计调查产排污核算方法和系数手册》“4430 工业锅炉（热力生产和供应行业）产污系数表-燃气工业锅炉”，工业废气产生量为107753标立方米/万立方米-原料，则烟气量</w:t>
      </w:r>
      <w:r>
        <w:rPr>
          <w:rFonts w:hint="eastAsia"/>
          <w:color w:val="auto"/>
        </w:rPr>
        <w:t>由775.82</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w:t>
      </w:r>
      <w:r>
        <w:rPr>
          <w:color w:val="auto"/>
        </w:rPr>
        <w:t>5704.6m</w:t>
      </w:r>
      <w:r>
        <w:rPr>
          <w:color w:val="auto"/>
          <w:vertAlign w:val="superscript"/>
        </w:rPr>
        <w:t>3</w:t>
      </w:r>
      <w:r>
        <w:rPr>
          <w:color w:val="auto"/>
        </w:rPr>
        <w:t>/h）</w:t>
      </w:r>
      <w:r>
        <w:rPr>
          <w:rFonts w:hint="eastAsia"/>
          <w:color w:val="auto"/>
        </w:rPr>
        <w:t>增加至1293.04</w:t>
      </w:r>
      <w:r>
        <w:rPr>
          <w:color w:val="auto"/>
        </w:rPr>
        <w:t>×10</w:t>
      </w:r>
      <w:r>
        <w:rPr>
          <w:color w:val="auto"/>
          <w:vertAlign w:val="superscript"/>
        </w:rPr>
        <w:t>4</w:t>
      </w:r>
      <w:r>
        <w:rPr>
          <w:color w:val="auto"/>
        </w:rPr>
        <w:t>m</w:t>
      </w:r>
      <w:r>
        <w:rPr>
          <w:color w:val="auto"/>
          <w:vertAlign w:val="superscript"/>
        </w:rPr>
        <w:t>3</w:t>
      </w:r>
      <w:r>
        <w:rPr>
          <w:color w:val="auto"/>
        </w:rPr>
        <w:t>/a（9507.6m</w:t>
      </w:r>
      <w:r>
        <w:rPr>
          <w:color w:val="auto"/>
          <w:vertAlign w:val="superscript"/>
        </w:rPr>
        <w:t>3</w:t>
      </w:r>
      <w:r>
        <w:rPr>
          <w:color w:val="auto"/>
        </w:rPr>
        <w:t>/h）。</w:t>
      </w:r>
      <w:r>
        <w:rPr>
          <w:rFonts w:hint="eastAsia"/>
          <w:color w:val="auto"/>
        </w:rPr>
        <w:t>单个排气筒废气量排放量为646.52</w:t>
      </w:r>
      <w:r>
        <w:rPr>
          <w:color w:val="auto"/>
        </w:rPr>
        <w:t>×10</w:t>
      </w:r>
      <w:r>
        <w:rPr>
          <w:color w:val="auto"/>
          <w:vertAlign w:val="superscript"/>
        </w:rPr>
        <w:t>4</w:t>
      </w:r>
      <w:r>
        <w:rPr>
          <w:color w:val="auto"/>
        </w:rPr>
        <w:t>m</w:t>
      </w:r>
      <w:r>
        <w:rPr>
          <w:color w:val="auto"/>
          <w:vertAlign w:val="superscript"/>
        </w:rPr>
        <w:t>3</w:t>
      </w:r>
      <w:r>
        <w:rPr>
          <w:color w:val="auto"/>
        </w:rPr>
        <w:t>/a（4753.8m</w:t>
      </w:r>
      <w:r>
        <w:rPr>
          <w:color w:val="auto"/>
          <w:vertAlign w:val="superscript"/>
        </w:rPr>
        <w:t>3</w:t>
      </w:r>
      <w:r>
        <w:rPr>
          <w:color w:val="auto"/>
        </w:rPr>
        <w:t>/h）</w:t>
      </w:r>
      <w:r>
        <w:rPr>
          <w:rFonts w:hint="eastAsia"/>
          <w:color w:val="auto"/>
        </w:rPr>
        <w:t>。</w:t>
      </w:r>
    </w:p>
    <w:p w14:paraId="3A412B8E">
      <w:pPr>
        <w:ind w:firstLine="480"/>
        <w:rPr>
          <w:color w:val="auto"/>
        </w:rPr>
      </w:pPr>
      <w:r>
        <w:rPr>
          <w:color w:val="auto"/>
        </w:rPr>
        <w:t>b.二氧化硫排放量估算</w:t>
      </w:r>
    </w:p>
    <w:p w14:paraId="7130B5B6">
      <w:pPr>
        <w:ind w:firstLine="480"/>
        <w:rPr>
          <w:color w:val="auto"/>
        </w:rPr>
      </w:pPr>
      <w:r>
        <w:rPr>
          <w:color w:val="auto"/>
        </w:rPr>
        <w:t>根据《排放源统计调查产排污核算方法和系数手册》“4430 工业锅炉（热力生产和供应行业）产污系数表-燃气工业锅炉”，天然气锅炉二氧化硫排放系数为0.02S千克/万立方米-原料（S参照二类天然气，以100计），则二氧化硫的排放量</w:t>
      </w:r>
      <w:r>
        <w:rPr>
          <w:rFonts w:hint="eastAsia"/>
          <w:color w:val="auto"/>
        </w:rPr>
        <w:t>由0.144</w:t>
      </w:r>
      <w:r>
        <w:rPr>
          <w:color w:val="auto"/>
        </w:rPr>
        <w:t>t/a</w:t>
      </w:r>
      <w:r>
        <w:rPr>
          <w:rFonts w:hint="eastAsia"/>
          <w:color w:val="auto"/>
        </w:rPr>
        <w:t>增加</w:t>
      </w:r>
      <w:r>
        <w:rPr>
          <w:color w:val="auto"/>
        </w:rPr>
        <w:t>为</w:t>
      </w:r>
      <w:r>
        <w:rPr>
          <w:rFonts w:hint="eastAsia"/>
          <w:color w:val="auto"/>
        </w:rPr>
        <w:t>0.240</w:t>
      </w:r>
      <w:r>
        <w:rPr>
          <w:color w:val="auto"/>
        </w:rPr>
        <w:t>t/a，排放速率</w:t>
      </w:r>
      <w:r>
        <w:rPr>
          <w:rFonts w:hint="eastAsia"/>
          <w:color w:val="auto"/>
        </w:rPr>
        <w:t>由</w:t>
      </w:r>
      <w:r>
        <w:rPr>
          <w:color w:val="auto"/>
        </w:rPr>
        <w:t>0.</w:t>
      </w:r>
      <w:r>
        <w:rPr>
          <w:rFonts w:hint="eastAsia"/>
          <w:color w:val="auto"/>
        </w:rPr>
        <w:t>11</w:t>
      </w:r>
      <w:r>
        <w:rPr>
          <w:color w:val="auto"/>
        </w:rPr>
        <w:t>kg/h</w:t>
      </w:r>
      <w:r>
        <w:rPr>
          <w:rFonts w:hint="eastAsia"/>
          <w:color w:val="auto"/>
        </w:rPr>
        <w:t>增加</w:t>
      </w:r>
      <w:r>
        <w:rPr>
          <w:color w:val="auto"/>
        </w:rPr>
        <w:t>为0.18kg/h。</w:t>
      </w:r>
      <w:r>
        <w:rPr>
          <w:rFonts w:hint="eastAsia"/>
          <w:color w:val="auto"/>
        </w:rPr>
        <w:t>单个排气筒二氧化硫排放量为0.12t/a，排放速率</w:t>
      </w:r>
      <w:r>
        <w:rPr>
          <w:color w:val="auto"/>
        </w:rPr>
        <w:t>0.088</w:t>
      </w:r>
      <w:r>
        <w:rPr>
          <w:rFonts w:hint="eastAsia"/>
          <w:color w:val="auto"/>
        </w:rPr>
        <w:t>kg/h，排放浓度18.56mg/m</w:t>
      </w:r>
      <w:r>
        <w:rPr>
          <w:rFonts w:hint="eastAsia"/>
          <w:color w:val="auto"/>
          <w:vertAlign w:val="superscript"/>
        </w:rPr>
        <w:t>3</w:t>
      </w:r>
      <w:r>
        <w:rPr>
          <w:color w:val="auto"/>
        </w:rPr>
        <w:t>。</w:t>
      </w:r>
    </w:p>
    <w:p w14:paraId="74B7F0C3">
      <w:pPr>
        <w:ind w:firstLine="480"/>
        <w:rPr>
          <w:color w:val="auto"/>
        </w:rPr>
      </w:pPr>
      <w:r>
        <w:rPr>
          <w:color w:val="auto"/>
        </w:rPr>
        <w:t>c.氮氧化物排放量估算</w:t>
      </w:r>
    </w:p>
    <w:p w14:paraId="4F9C6D8A">
      <w:pPr>
        <w:ind w:firstLine="480"/>
        <w:rPr>
          <w:color w:val="auto"/>
        </w:rPr>
      </w:pPr>
      <w:r>
        <w:rPr>
          <w:color w:val="auto"/>
        </w:rPr>
        <w:t>根据</w:t>
      </w:r>
      <w:r>
        <w:rPr>
          <w:rFonts w:hint="eastAsia"/>
          <w:color w:val="auto"/>
        </w:rPr>
        <w:t>现有工程验收监测数据造纸车间天然气燃烧废气</w:t>
      </w:r>
      <w:r>
        <w:rPr>
          <w:color w:val="auto"/>
        </w:rPr>
        <w:t>氮氧化物排放浓度为</w:t>
      </w:r>
      <w:r>
        <w:rPr>
          <w:rFonts w:hint="eastAsia"/>
          <w:color w:val="auto"/>
        </w:rPr>
        <w:t>4~86</w:t>
      </w:r>
      <w:r>
        <w:rPr>
          <w:color w:val="auto"/>
        </w:rPr>
        <w:t>mg/m</w:t>
      </w:r>
      <w:r>
        <w:rPr>
          <w:color w:val="auto"/>
          <w:vertAlign w:val="superscript"/>
        </w:rPr>
        <w:t>3</w:t>
      </w:r>
      <w:r>
        <w:rPr>
          <w:color w:val="auto"/>
        </w:rPr>
        <w:t>，</w:t>
      </w:r>
      <w:r>
        <w:rPr>
          <w:rFonts w:hint="eastAsia"/>
          <w:color w:val="auto"/>
        </w:rPr>
        <w:t>评价按100</w:t>
      </w:r>
      <w:r>
        <w:rPr>
          <w:color w:val="auto"/>
        </w:rPr>
        <w:t>mg/m</w:t>
      </w:r>
      <w:r>
        <w:rPr>
          <w:color w:val="auto"/>
          <w:vertAlign w:val="superscript"/>
        </w:rPr>
        <w:t>3</w:t>
      </w:r>
      <w:r>
        <w:rPr>
          <w:rFonts w:hint="eastAsia"/>
          <w:color w:val="auto"/>
        </w:rPr>
        <w:t>计，</w:t>
      </w:r>
      <w:r>
        <w:rPr>
          <w:color w:val="auto"/>
        </w:rPr>
        <w:t>则氮氧化物的排放量</w:t>
      </w:r>
      <w:r>
        <w:rPr>
          <w:rFonts w:hint="eastAsia"/>
          <w:color w:val="auto"/>
        </w:rPr>
        <w:t>由0.776</w:t>
      </w:r>
      <w:r>
        <w:rPr>
          <w:color w:val="auto"/>
        </w:rPr>
        <w:t>t/a</w:t>
      </w:r>
      <w:r>
        <w:rPr>
          <w:rFonts w:hint="eastAsia"/>
          <w:color w:val="auto"/>
        </w:rPr>
        <w:t>增加</w:t>
      </w:r>
      <w:r>
        <w:rPr>
          <w:color w:val="auto"/>
        </w:rPr>
        <w:t>为</w:t>
      </w:r>
      <w:r>
        <w:rPr>
          <w:rFonts w:hint="eastAsia"/>
          <w:color w:val="auto"/>
        </w:rPr>
        <w:t>1.293</w:t>
      </w:r>
      <w:r>
        <w:rPr>
          <w:color w:val="auto"/>
        </w:rPr>
        <w:t>t/a，排放速率</w:t>
      </w:r>
      <w:r>
        <w:rPr>
          <w:rFonts w:hint="eastAsia"/>
          <w:color w:val="auto"/>
        </w:rPr>
        <w:t>由</w:t>
      </w:r>
      <w:r>
        <w:rPr>
          <w:color w:val="auto"/>
        </w:rPr>
        <w:t>0.57kg/h</w:t>
      </w:r>
      <w:r>
        <w:rPr>
          <w:rFonts w:hint="eastAsia"/>
          <w:color w:val="auto"/>
        </w:rPr>
        <w:t>增加</w:t>
      </w:r>
      <w:r>
        <w:rPr>
          <w:color w:val="auto"/>
        </w:rPr>
        <w:t>为0.95kg/h。</w:t>
      </w:r>
      <w:r>
        <w:rPr>
          <w:rFonts w:hint="eastAsia"/>
          <w:color w:val="auto"/>
        </w:rPr>
        <w:t>单个排气筒氮氧化物排放量为0.647t/a，排放速率</w:t>
      </w:r>
      <w:r>
        <w:rPr>
          <w:color w:val="auto"/>
        </w:rPr>
        <w:t>0.48k</w:t>
      </w:r>
      <w:r>
        <w:rPr>
          <w:rFonts w:hint="eastAsia"/>
          <w:color w:val="auto"/>
        </w:rPr>
        <w:t>g/h，排放浓度100mg/m</w:t>
      </w:r>
      <w:r>
        <w:rPr>
          <w:rFonts w:hint="eastAsia"/>
          <w:color w:val="auto"/>
          <w:vertAlign w:val="superscript"/>
        </w:rPr>
        <w:t>3</w:t>
      </w:r>
      <w:r>
        <w:rPr>
          <w:color w:val="auto"/>
        </w:rPr>
        <w:t>。</w:t>
      </w:r>
    </w:p>
    <w:p w14:paraId="3F2314FC">
      <w:pPr>
        <w:ind w:firstLine="480"/>
        <w:rPr>
          <w:color w:val="auto"/>
        </w:rPr>
      </w:pPr>
      <w:r>
        <w:rPr>
          <w:rFonts w:hint="eastAsia"/>
          <w:color w:val="auto"/>
        </w:rPr>
        <w:t>d</w:t>
      </w:r>
      <w:r>
        <w:rPr>
          <w:color w:val="auto"/>
        </w:rPr>
        <w:t>.</w:t>
      </w:r>
      <w:r>
        <w:rPr>
          <w:rFonts w:hint="eastAsia"/>
          <w:color w:val="auto"/>
        </w:rPr>
        <w:t>烟尘</w:t>
      </w:r>
      <w:r>
        <w:rPr>
          <w:color w:val="auto"/>
        </w:rPr>
        <w:t>排放量估算</w:t>
      </w:r>
    </w:p>
    <w:p w14:paraId="3FE8D6D2">
      <w:pPr>
        <w:ind w:firstLine="480"/>
        <w:rPr>
          <w:color w:val="auto"/>
        </w:rPr>
      </w:pPr>
      <w:r>
        <w:rPr>
          <w:color w:val="auto"/>
        </w:rPr>
        <w:t>根据</w:t>
      </w:r>
      <w:r>
        <w:rPr>
          <w:rFonts w:hint="eastAsia"/>
          <w:color w:val="auto"/>
        </w:rPr>
        <w:t>现有工程验收监测数据造纸车间天然气燃烧废气烟尘</w:t>
      </w:r>
      <w:r>
        <w:rPr>
          <w:color w:val="auto"/>
        </w:rPr>
        <w:t>排放浓度为</w:t>
      </w:r>
      <w:r>
        <w:rPr>
          <w:rFonts w:hint="eastAsia"/>
          <w:color w:val="auto"/>
        </w:rPr>
        <w:t>1.3~3.7</w:t>
      </w:r>
      <w:r>
        <w:rPr>
          <w:color w:val="auto"/>
        </w:rPr>
        <w:t>mg/m</w:t>
      </w:r>
      <w:r>
        <w:rPr>
          <w:color w:val="auto"/>
          <w:vertAlign w:val="superscript"/>
        </w:rPr>
        <w:t>3</w:t>
      </w:r>
      <w:r>
        <w:rPr>
          <w:color w:val="auto"/>
        </w:rPr>
        <w:t>，</w:t>
      </w:r>
      <w:r>
        <w:rPr>
          <w:rFonts w:hint="eastAsia"/>
          <w:color w:val="auto"/>
        </w:rPr>
        <w:t>评价按10</w:t>
      </w:r>
      <w:r>
        <w:rPr>
          <w:color w:val="auto"/>
        </w:rPr>
        <w:t>mg/m</w:t>
      </w:r>
      <w:r>
        <w:rPr>
          <w:color w:val="auto"/>
          <w:vertAlign w:val="superscript"/>
        </w:rPr>
        <w:t>3</w:t>
      </w:r>
      <w:r>
        <w:rPr>
          <w:rFonts w:hint="eastAsia"/>
          <w:color w:val="auto"/>
        </w:rPr>
        <w:t>计，</w:t>
      </w:r>
      <w:r>
        <w:rPr>
          <w:color w:val="auto"/>
        </w:rPr>
        <w:t>则</w:t>
      </w:r>
      <w:r>
        <w:rPr>
          <w:rFonts w:hint="eastAsia"/>
          <w:color w:val="auto"/>
        </w:rPr>
        <w:t>烟尘</w:t>
      </w:r>
      <w:r>
        <w:rPr>
          <w:color w:val="auto"/>
        </w:rPr>
        <w:t>的排放量</w:t>
      </w:r>
      <w:r>
        <w:rPr>
          <w:rFonts w:hint="eastAsia"/>
          <w:color w:val="auto"/>
        </w:rPr>
        <w:t>由0.078</w:t>
      </w:r>
      <w:r>
        <w:rPr>
          <w:color w:val="auto"/>
        </w:rPr>
        <w:t>t/a</w:t>
      </w:r>
      <w:r>
        <w:rPr>
          <w:rFonts w:hint="eastAsia"/>
          <w:color w:val="auto"/>
        </w:rPr>
        <w:t>增加</w:t>
      </w:r>
      <w:r>
        <w:rPr>
          <w:color w:val="auto"/>
        </w:rPr>
        <w:t>为</w:t>
      </w:r>
      <w:r>
        <w:rPr>
          <w:rFonts w:hint="eastAsia"/>
          <w:color w:val="auto"/>
        </w:rPr>
        <w:t>0.129</w:t>
      </w:r>
      <w:r>
        <w:rPr>
          <w:color w:val="auto"/>
        </w:rPr>
        <w:t>t/a，排放速率</w:t>
      </w:r>
      <w:r>
        <w:rPr>
          <w:rFonts w:hint="eastAsia"/>
          <w:color w:val="auto"/>
        </w:rPr>
        <w:t>由</w:t>
      </w:r>
      <w:r>
        <w:rPr>
          <w:color w:val="auto"/>
        </w:rPr>
        <w:t>0.057kg/h</w:t>
      </w:r>
      <w:r>
        <w:rPr>
          <w:rFonts w:hint="eastAsia"/>
          <w:color w:val="auto"/>
        </w:rPr>
        <w:t>增加为</w:t>
      </w:r>
      <w:r>
        <w:rPr>
          <w:color w:val="auto"/>
        </w:rPr>
        <w:t>0.095kg/h。</w:t>
      </w:r>
      <w:r>
        <w:rPr>
          <w:rFonts w:hint="eastAsia"/>
          <w:color w:val="auto"/>
        </w:rPr>
        <w:t>单个排气筒烟尘排放量为0.065t/a，排放速率</w:t>
      </w:r>
      <w:r>
        <w:rPr>
          <w:color w:val="auto"/>
        </w:rPr>
        <w:t>0.048</w:t>
      </w:r>
      <w:r>
        <w:rPr>
          <w:rFonts w:hint="eastAsia"/>
          <w:color w:val="auto"/>
        </w:rPr>
        <w:t>kg/h，排放浓度10mg/m</w:t>
      </w:r>
      <w:r>
        <w:rPr>
          <w:rFonts w:hint="eastAsia"/>
          <w:color w:val="auto"/>
          <w:vertAlign w:val="superscript"/>
        </w:rPr>
        <w:t>3</w:t>
      </w:r>
      <w:r>
        <w:rPr>
          <w:color w:val="auto"/>
        </w:rPr>
        <w:t>。</w:t>
      </w:r>
    </w:p>
    <w:p w14:paraId="628616DF">
      <w:pPr>
        <w:ind w:firstLine="480"/>
        <w:rPr>
          <w:color w:val="auto"/>
        </w:rPr>
      </w:pPr>
      <w:r>
        <w:rPr>
          <w:rFonts w:hint="eastAsia"/>
          <w:color w:val="auto"/>
        </w:rPr>
        <w:t>综上，本项目完成后，造纸车间导热油炉废气量2303.22</w:t>
      </w:r>
      <w:r>
        <w:rPr>
          <w:color w:val="auto"/>
        </w:rPr>
        <w:t>×10</w:t>
      </w:r>
      <w:r>
        <w:rPr>
          <w:color w:val="auto"/>
          <w:vertAlign w:val="superscript"/>
        </w:rPr>
        <w:t>4</w:t>
      </w:r>
      <w:r>
        <w:rPr>
          <w:color w:val="auto"/>
        </w:rPr>
        <w:t>m</w:t>
      </w:r>
      <w:r>
        <w:rPr>
          <w:color w:val="auto"/>
          <w:vertAlign w:val="superscript"/>
        </w:rPr>
        <w:t>3</w:t>
      </w:r>
      <w:r>
        <w:rPr>
          <w:color w:val="auto"/>
        </w:rPr>
        <w:t>/a</w:t>
      </w:r>
      <w:r>
        <w:rPr>
          <w:rFonts w:hint="eastAsia"/>
          <w:color w:val="auto"/>
        </w:rPr>
        <w:t>，二氧化硫排放量为0.428t/a，氮氧化物排放量为2.303t/a，烟尘排放量为0.230t/a。</w:t>
      </w:r>
    </w:p>
    <w:p w14:paraId="37A747C7">
      <w:pPr>
        <w:pStyle w:val="5"/>
        <w:rPr>
          <w:color w:val="auto"/>
        </w:rPr>
      </w:pPr>
      <w:r>
        <w:rPr>
          <w:rFonts w:hint="eastAsia"/>
          <w:color w:val="auto"/>
        </w:rPr>
        <w:t>淋膜纸生产有组织废气排放</w:t>
      </w:r>
    </w:p>
    <w:p w14:paraId="7DB7CDF5">
      <w:pPr>
        <w:ind w:firstLine="480"/>
        <w:rPr>
          <w:color w:val="auto"/>
        </w:rPr>
      </w:pPr>
      <w:r>
        <w:rPr>
          <w:rFonts w:hint="eastAsia"/>
          <w:color w:val="auto"/>
        </w:rPr>
        <w:t>淋膜纸生产过程中</w:t>
      </w:r>
      <w:r>
        <w:rPr>
          <w:color w:val="auto"/>
        </w:rPr>
        <w:t>PE</w:t>
      </w:r>
      <w:r>
        <w:rPr>
          <w:rFonts w:hint="eastAsia"/>
          <w:color w:val="auto"/>
        </w:rPr>
        <w:t>材料加热产生挥发性有机气体，主要成分为低分子烃类，以非甲烷总烃进行评价。为减少挥发性有机气体排放，淋膜纸生产线目前在主要加热设备上均设置密闭的集气设备，可高效收集产生的挥发性有机气体，本次项目继续采用现有气体收集系统。收集后的废气通过</w:t>
      </w:r>
      <w:r>
        <w:rPr>
          <w:color w:val="auto"/>
        </w:rPr>
        <w:t>4</w:t>
      </w:r>
      <w:r>
        <w:rPr>
          <w:rFonts w:hint="eastAsia"/>
          <w:color w:val="auto"/>
        </w:rPr>
        <w:t>根排气筒屋顶排放，由于现有排气筒高度不一，且未设置有机废气处理设备，本次项目将排气系统合并，在末端设置一套有机废气处理设备，处理后的废气通过</w:t>
      </w:r>
      <w:r>
        <w:rPr>
          <w:color w:val="auto"/>
        </w:rPr>
        <w:t>1</w:t>
      </w:r>
      <w:r>
        <w:rPr>
          <w:rFonts w:hint="eastAsia"/>
          <w:color w:val="auto"/>
        </w:rPr>
        <w:t>根排气筒排放。</w:t>
      </w:r>
    </w:p>
    <w:p w14:paraId="39DA1D46">
      <w:pPr>
        <w:ind w:firstLine="0" w:firstLineChars="0"/>
        <w:rPr>
          <w:color w:val="auto"/>
        </w:rPr>
      </w:pPr>
      <w:r>
        <w:rPr>
          <w:rFonts w:hint="eastAsia"/>
          <w:color w:val="auto"/>
        </w:rPr>
        <w:drawing>
          <wp:inline distT="0" distB="0" distL="0" distR="0">
            <wp:extent cx="2735580" cy="2052320"/>
            <wp:effectExtent l="0" t="0" r="7620" b="5080"/>
            <wp:docPr id="5051965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96540" name="图片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2736000" cy="2052678"/>
                    </a:xfrm>
                    <a:prstGeom prst="rect">
                      <a:avLst/>
                    </a:prstGeom>
                    <a:noFill/>
                    <a:ln>
                      <a:noFill/>
                    </a:ln>
                  </pic:spPr>
                </pic:pic>
              </a:graphicData>
            </a:graphic>
          </wp:inline>
        </w:drawing>
      </w:r>
      <w:r>
        <w:rPr>
          <w:rFonts w:hint="eastAsia"/>
          <w:color w:val="auto"/>
        </w:rPr>
        <w:t xml:space="preserve">  </w:t>
      </w:r>
      <w:r>
        <w:rPr>
          <w:rFonts w:hint="eastAsia"/>
          <w:color w:val="auto"/>
        </w:rPr>
        <w:drawing>
          <wp:inline distT="0" distB="0" distL="0" distR="0">
            <wp:extent cx="2735580" cy="2052320"/>
            <wp:effectExtent l="0" t="0" r="7620" b="5080"/>
            <wp:docPr id="9553824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382480" name="图片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736000" cy="2052678"/>
                    </a:xfrm>
                    <a:prstGeom prst="rect">
                      <a:avLst/>
                    </a:prstGeom>
                    <a:noFill/>
                    <a:ln>
                      <a:noFill/>
                    </a:ln>
                  </pic:spPr>
                </pic:pic>
              </a:graphicData>
            </a:graphic>
          </wp:inline>
        </w:drawing>
      </w:r>
    </w:p>
    <w:p w14:paraId="00DAA098">
      <w:pPr>
        <w:ind w:firstLine="0" w:firstLineChars="0"/>
        <w:rPr>
          <w:color w:val="auto"/>
        </w:rPr>
      </w:pPr>
      <w:r>
        <w:rPr>
          <w:rFonts w:hint="eastAsia"/>
          <w:color w:val="auto"/>
        </w:rPr>
        <w:drawing>
          <wp:inline distT="0" distB="0" distL="0" distR="0">
            <wp:extent cx="2735580" cy="2052320"/>
            <wp:effectExtent l="0" t="0" r="7620" b="5080"/>
            <wp:docPr id="10678496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49618" name="图片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2736000" cy="2052679"/>
                    </a:xfrm>
                    <a:prstGeom prst="rect">
                      <a:avLst/>
                    </a:prstGeom>
                    <a:noFill/>
                    <a:ln>
                      <a:noFill/>
                    </a:ln>
                  </pic:spPr>
                </pic:pic>
              </a:graphicData>
            </a:graphic>
          </wp:inline>
        </w:drawing>
      </w:r>
      <w:r>
        <w:rPr>
          <w:rFonts w:hint="eastAsia"/>
          <w:color w:val="auto"/>
        </w:rPr>
        <w:t xml:space="preserve">  </w:t>
      </w:r>
      <w:r>
        <w:rPr>
          <w:rFonts w:hint="eastAsia"/>
          <w:color w:val="auto"/>
        </w:rPr>
        <w:drawing>
          <wp:inline distT="0" distB="0" distL="0" distR="0">
            <wp:extent cx="2735580" cy="2052320"/>
            <wp:effectExtent l="0" t="0" r="7620" b="5080"/>
            <wp:docPr id="7696729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672950" name="图片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2736000" cy="2052679"/>
                    </a:xfrm>
                    <a:prstGeom prst="rect">
                      <a:avLst/>
                    </a:prstGeom>
                    <a:noFill/>
                    <a:ln>
                      <a:noFill/>
                    </a:ln>
                  </pic:spPr>
                </pic:pic>
              </a:graphicData>
            </a:graphic>
          </wp:inline>
        </w:drawing>
      </w:r>
    </w:p>
    <w:p w14:paraId="30362198">
      <w:pPr>
        <w:pStyle w:val="8"/>
        <w:rPr>
          <w:color w:val="auto"/>
        </w:rPr>
      </w:pPr>
      <w:r>
        <w:rPr>
          <w:rFonts w:hint="eastAsia"/>
          <w:color w:val="auto"/>
        </w:rPr>
        <w:t>淋膜纸生产线现有废气收集设备</w:t>
      </w:r>
    </w:p>
    <w:p w14:paraId="33EAA380">
      <w:pPr>
        <w:ind w:firstLine="480"/>
        <w:rPr>
          <w:color w:val="auto"/>
        </w:rPr>
      </w:pPr>
      <w:r>
        <w:rPr>
          <w:rFonts w:hint="eastAsia"/>
          <w:color w:val="auto"/>
        </w:rPr>
        <w:t>企业2025年9月委托广西泽顺检测服务有限公司在正常生产（满负荷工况）情况下，对淋膜纸生产线废气中非甲烷总烃排放情况进行了监测，监测结果见下表。</w:t>
      </w:r>
    </w:p>
    <w:p w14:paraId="0A44B68A">
      <w:pPr>
        <w:pStyle w:val="7"/>
        <w:rPr>
          <w:color w:val="auto"/>
        </w:rPr>
      </w:pPr>
      <w:r>
        <w:rPr>
          <w:rFonts w:hint="eastAsia"/>
          <w:color w:val="auto"/>
        </w:rPr>
        <w:t>淋膜车间1#排气筒监测结果</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3"/>
        <w:gridCol w:w="1548"/>
        <w:gridCol w:w="1548"/>
        <w:gridCol w:w="1548"/>
        <w:gridCol w:w="1548"/>
      </w:tblGrid>
      <w:tr w14:paraId="6FF9D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094" w:type="dxa"/>
            <w:vAlign w:val="center"/>
          </w:tcPr>
          <w:p w14:paraId="6909D7B7">
            <w:pPr>
              <w:pStyle w:val="33"/>
              <w:rPr>
                <w:color w:val="auto"/>
              </w:rPr>
            </w:pPr>
            <w:r>
              <w:rPr>
                <w:rFonts w:hint="eastAsia"/>
                <w:color w:val="auto"/>
              </w:rPr>
              <w:t>监测项目</w:t>
            </w:r>
          </w:p>
        </w:tc>
        <w:tc>
          <w:tcPr>
            <w:tcW w:w="1548" w:type="dxa"/>
            <w:vAlign w:val="center"/>
          </w:tcPr>
          <w:p w14:paraId="39A571CE">
            <w:pPr>
              <w:pStyle w:val="33"/>
              <w:rPr>
                <w:color w:val="auto"/>
              </w:rPr>
            </w:pPr>
            <w:r>
              <w:rPr>
                <w:rFonts w:hint="eastAsia"/>
                <w:color w:val="auto"/>
              </w:rPr>
              <w:t>第一次</w:t>
            </w:r>
          </w:p>
        </w:tc>
        <w:tc>
          <w:tcPr>
            <w:tcW w:w="1548" w:type="dxa"/>
            <w:vAlign w:val="center"/>
          </w:tcPr>
          <w:p w14:paraId="1B0BBC03">
            <w:pPr>
              <w:pStyle w:val="33"/>
              <w:rPr>
                <w:color w:val="auto"/>
              </w:rPr>
            </w:pPr>
            <w:r>
              <w:rPr>
                <w:rFonts w:hint="eastAsia"/>
                <w:color w:val="auto"/>
              </w:rPr>
              <w:t>第二次</w:t>
            </w:r>
          </w:p>
        </w:tc>
        <w:tc>
          <w:tcPr>
            <w:tcW w:w="1548" w:type="dxa"/>
            <w:vAlign w:val="center"/>
          </w:tcPr>
          <w:p w14:paraId="2C388034">
            <w:pPr>
              <w:pStyle w:val="33"/>
              <w:rPr>
                <w:color w:val="auto"/>
              </w:rPr>
            </w:pPr>
            <w:r>
              <w:rPr>
                <w:rFonts w:hint="eastAsia"/>
                <w:color w:val="auto"/>
              </w:rPr>
              <w:t>第三次</w:t>
            </w:r>
          </w:p>
        </w:tc>
        <w:tc>
          <w:tcPr>
            <w:tcW w:w="1548" w:type="dxa"/>
            <w:vAlign w:val="center"/>
          </w:tcPr>
          <w:p w14:paraId="0E9B1ED0">
            <w:pPr>
              <w:pStyle w:val="33"/>
              <w:rPr>
                <w:color w:val="auto"/>
              </w:rPr>
            </w:pPr>
            <w:r>
              <w:rPr>
                <w:rFonts w:hint="eastAsia"/>
                <w:color w:val="auto"/>
              </w:rPr>
              <w:t>平均值</w:t>
            </w:r>
          </w:p>
        </w:tc>
      </w:tr>
      <w:tr w14:paraId="7ABF4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597B4B62">
            <w:pPr>
              <w:pStyle w:val="33"/>
              <w:rPr>
                <w:color w:val="auto"/>
              </w:rPr>
            </w:pPr>
            <w:r>
              <w:rPr>
                <w:rFonts w:hint="eastAsia"/>
                <w:color w:val="auto"/>
              </w:rPr>
              <w:t>废气温度（℃）</w:t>
            </w:r>
          </w:p>
        </w:tc>
        <w:tc>
          <w:tcPr>
            <w:tcW w:w="1548" w:type="dxa"/>
            <w:vAlign w:val="center"/>
          </w:tcPr>
          <w:p w14:paraId="6A07D1F4">
            <w:pPr>
              <w:pStyle w:val="33"/>
              <w:rPr>
                <w:color w:val="auto"/>
              </w:rPr>
            </w:pPr>
            <w:r>
              <w:rPr>
                <w:rFonts w:hint="eastAsia"/>
                <w:color w:val="auto"/>
              </w:rPr>
              <w:t>51.1</w:t>
            </w:r>
          </w:p>
        </w:tc>
        <w:tc>
          <w:tcPr>
            <w:tcW w:w="1548" w:type="dxa"/>
            <w:vAlign w:val="center"/>
          </w:tcPr>
          <w:p w14:paraId="490E784C">
            <w:pPr>
              <w:pStyle w:val="33"/>
              <w:rPr>
                <w:color w:val="auto"/>
              </w:rPr>
            </w:pPr>
            <w:r>
              <w:rPr>
                <w:rFonts w:hint="eastAsia"/>
                <w:color w:val="auto"/>
              </w:rPr>
              <w:t>50.6</w:t>
            </w:r>
          </w:p>
        </w:tc>
        <w:tc>
          <w:tcPr>
            <w:tcW w:w="1548" w:type="dxa"/>
            <w:vAlign w:val="center"/>
          </w:tcPr>
          <w:p w14:paraId="4B29E2B6">
            <w:pPr>
              <w:pStyle w:val="33"/>
              <w:rPr>
                <w:color w:val="auto"/>
              </w:rPr>
            </w:pPr>
            <w:r>
              <w:rPr>
                <w:rFonts w:hint="eastAsia"/>
                <w:color w:val="auto"/>
              </w:rPr>
              <w:t>50.9</w:t>
            </w:r>
          </w:p>
        </w:tc>
        <w:tc>
          <w:tcPr>
            <w:tcW w:w="1548" w:type="dxa"/>
            <w:vAlign w:val="center"/>
          </w:tcPr>
          <w:p w14:paraId="20EB3790">
            <w:pPr>
              <w:pStyle w:val="33"/>
              <w:rPr>
                <w:color w:val="auto"/>
              </w:rPr>
            </w:pPr>
            <w:r>
              <w:rPr>
                <w:rFonts w:hint="eastAsia"/>
                <w:color w:val="auto"/>
              </w:rPr>
              <w:t>50.9</w:t>
            </w:r>
          </w:p>
        </w:tc>
      </w:tr>
      <w:tr w14:paraId="2C49F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1771BEF9">
            <w:pPr>
              <w:pStyle w:val="33"/>
              <w:rPr>
                <w:color w:val="auto"/>
              </w:rPr>
            </w:pPr>
            <w:r>
              <w:rPr>
                <w:rFonts w:hint="eastAsia"/>
                <w:color w:val="auto"/>
              </w:rPr>
              <w:t>废气含湿量（%）</w:t>
            </w:r>
          </w:p>
        </w:tc>
        <w:tc>
          <w:tcPr>
            <w:tcW w:w="1548" w:type="dxa"/>
            <w:vAlign w:val="center"/>
          </w:tcPr>
          <w:p w14:paraId="01B826C9">
            <w:pPr>
              <w:pStyle w:val="33"/>
              <w:rPr>
                <w:color w:val="auto"/>
              </w:rPr>
            </w:pPr>
            <w:r>
              <w:rPr>
                <w:rFonts w:hint="eastAsia"/>
                <w:color w:val="auto"/>
              </w:rPr>
              <w:t>5.07</w:t>
            </w:r>
          </w:p>
        </w:tc>
        <w:tc>
          <w:tcPr>
            <w:tcW w:w="1548" w:type="dxa"/>
            <w:vAlign w:val="center"/>
          </w:tcPr>
          <w:p w14:paraId="10B495B5">
            <w:pPr>
              <w:pStyle w:val="33"/>
              <w:rPr>
                <w:color w:val="auto"/>
              </w:rPr>
            </w:pPr>
            <w:r>
              <w:rPr>
                <w:rFonts w:hint="eastAsia"/>
                <w:color w:val="auto"/>
              </w:rPr>
              <w:t>5.14</w:t>
            </w:r>
          </w:p>
        </w:tc>
        <w:tc>
          <w:tcPr>
            <w:tcW w:w="1548" w:type="dxa"/>
            <w:vAlign w:val="center"/>
          </w:tcPr>
          <w:p w14:paraId="7AE00C6E">
            <w:pPr>
              <w:pStyle w:val="33"/>
              <w:rPr>
                <w:color w:val="auto"/>
              </w:rPr>
            </w:pPr>
            <w:r>
              <w:rPr>
                <w:rFonts w:hint="eastAsia"/>
                <w:color w:val="auto"/>
              </w:rPr>
              <w:t>5.19</w:t>
            </w:r>
          </w:p>
        </w:tc>
        <w:tc>
          <w:tcPr>
            <w:tcW w:w="1548" w:type="dxa"/>
            <w:vAlign w:val="center"/>
          </w:tcPr>
          <w:p w14:paraId="0049DA57">
            <w:pPr>
              <w:pStyle w:val="33"/>
              <w:rPr>
                <w:color w:val="auto"/>
              </w:rPr>
            </w:pPr>
            <w:r>
              <w:rPr>
                <w:rFonts w:hint="eastAsia"/>
                <w:color w:val="auto"/>
              </w:rPr>
              <w:t>5.13</w:t>
            </w:r>
          </w:p>
        </w:tc>
      </w:tr>
      <w:tr w14:paraId="36B15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0AC268B1">
            <w:pPr>
              <w:pStyle w:val="33"/>
              <w:rPr>
                <w:color w:val="auto"/>
              </w:rPr>
            </w:pPr>
            <w:r>
              <w:rPr>
                <w:rFonts w:hint="eastAsia"/>
                <w:color w:val="auto"/>
              </w:rPr>
              <w:t>废气流速（m/s）</w:t>
            </w:r>
          </w:p>
        </w:tc>
        <w:tc>
          <w:tcPr>
            <w:tcW w:w="1548" w:type="dxa"/>
            <w:vAlign w:val="center"/>
          </w:tcPr>
          <w:p w14:paraId="5F36FBDB">
            <w:pPr>
              <w:pStyle w:val="33"/>
              <w:rPr>
                <w:color w:val="auto"/>
              </w:rPr>
            </w:pPr>
            <w:r>
              <w:rPr>
                <w:rFonts w:hint="eastAsia"/>
                <w:color w:val="auto"/>
              </w:rPr>
              <w:t>17.5</w:t>
            </w:r>
          </w:p>
        </w:tc>
        <w:tc>
          <w:tcPr>
            <w:tcW w:w="1548" w:type="dxa"/>
            <w:vAlign w:val="center"/>
          </w:tcPr>
          <w:p w14:paraId="5B68EB2E">
            <w:pPr>
              <w:pStyle w:val="33"/>
              <w:rPr>
                <w:color w:val="auto"/>
              </w:rPr>
            </w:pPr>
            <w:r>
              <w:rPr>
                <w:rFonts w:hint="eastAsia"/>
                <w:color w:val="auto"/>
              </w:rPr>
              <w:t>17.8</w:t>
            </w:r>
          </w:p>
        </w:tc>
        <w:tc>
          <w:tcPr>
            <w:tcW w:w="1548" w:type="dxa"/>
            <w:vAlign w:val="center"/>
          </w:tcPr>
          <w:p w14:paraId="63132FC1">
            <w:pPr>
              <w:pStyle w:val="33"/>
              <w:rPr>
                <w:color w:val="auto"/>
              </w:rPr>
            </w:pPr>
            <w:r>
              <w:rPr>
                <w:rFonts w:hint="eastAsia"/>
                <w:color w:val="auto"/>
              </w:rPr>
              <w:t>18.2</w:t>
            </w:r>
          </w:p>
        </w:tc>
        <w:tc>
          <w:tcPr>
            <w:tcW w:w="1548" w:type="dxa"/>
            <w:vAlign w:val="center"/>
          </w:tcPr>
          <w:p w14:paraId="721BFC77">
            <w:pPr>
              <w:pStyle w:val="33"/>
              <w:rPr>
                <w:color w:val="auto"/>
              </w:rPr>
            </w:pPr>
            <w:r>
              <w:rPr>
                <w:rFonts w:hint="eastAsia"/>
                <w:color w:val="auto"/>
              </w:rPr>
              <w:t>17.8</w:t>
            </w:r>
          </w:p>
        </w:tc>
      </w:tr>
      <w:tr w14:paraId="45747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2E9F987A">
            <w:pPr>
              <w:pStyle w:val="33"/>
              <w:rPr>
                <w:color w:val="auto"/>
              </w:rPr>
            </w:pPr>
            <w:r>
              <w:rPr>
                <w:rFonts w:hint="eastAsia"/>
                <w:color w:val="auto"/>
              </w:rPr>
              <w:t>标况干气量（m</w:t>
            </w:r>
            <w:r>
              <w:rPr>
                <w:rFonts w:hint="eastAsia"/>
                <w:color w:val="auto"/>
                <w:vertAlign w:val="superscript"/>
              </w:rPr>
              <w:t>3</w:t>
            </w:r>
            <w:r>
              <w:rPr>
                <w:rFonts w:hint="eastAsia"/>
                <w:color w:val="auto"/>
              </w:rPr>
              <w:t>/h）</w:t>
            </w:r>
          </w:p>
        </w:tc>
        <w:tc>
          <w:tcPr>
            <w:tcW w:w="1548" w:type="dxa"/>
            <w:vAlign w:val="center"/>
          </w:tcPr>
          <w:p w14:paraId="3BA95ECE">
            <w:pPr>
              <w:pStyle w:val="33"/>
              <w:rPr>
                <w:color w:val="auto"/>
              </w:rPr>
            </w:pPr>
            <w:r>
              <w:rPr>
                <w:rFonts w:hint="eastAsia"/>
                <w:color w:val="auto"/>
              </w:rPr>
              <w:t>6289</w:t>
            </w:r>
          </w:p>
        </w:tc>
        <w:tc>
          <w:tcPr>
            <w:tcW w:w="1548" w:type="dxa"/>
            <w:vAlign w:val="center"/>
          </w:tcPr>
          <w:p w14:paraId="6BA6E08C">
            <w:pPr>
              <w:pStyle w:val="33"/>
              <w:rPr>
                <w:color w:val="auto"/>
              </w:rPr>
            </w:pPr>
            <w:r>
              <w:rPr>
                <w:rFonts w:hint="eastAsia"/>
                <w:color w:val="auto"/>
              </w:rPr>
              <w:t>6402</w:t>
            </w:r>
          </w:p>
        </w:tc>
        <w:tc>
          <w:tcPr>
            <w:tcW w:w="1548" w:type="dxa"/>
            <w:vAlign w:val="center"/>
          </w:tcPr>
          <w:p w14:paraId="7C014148">
            <w:pPr>
              <w:pStyle w:val="33"/>
              <w:rPr>
                <w:color w:val="auto"/>
              </w:rPr>
            </w:pPr>
            <w:r>
              <w:rPr>
                <w:rFonts w:hint="eastAsia"/>
                <w:color w:val="auto"/>
              </w:rPr>
              <w:t>6530</w:t>
            </w:r>
          </w:p>
        </w:tc>
        <w:tc>
          <w:tcPr>
            <w:tcW w:w="1548" w:type="dxa"/>
            <w:vAlign w:val="center"/>
          </w:tcPr>
          <w:p w14:paraId="5732730C">
            <w:pPr>
              <w:pStyle w:val="33"/>
              <w:rPr>
                <w:color w:val="auto"/>
              </w:rPr>
            </w:pPr>
            <w:r>
              <w:rPr>
                <w:rFonts w:hint="eastAsia"/>
                <w:color w:val="auto"/>
              </w:rPr>
              <w:t>6407</w:t>
            </w:r>
          </w:p>
        </w:tc>
      </w:tr>
      <w:tr w14:paraId="029B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5C8469EB">
            <w:pPr>
              <w:pStyle w:val="33"/>
              <w:rPr>
                <w:color w:val="auto"/>
              </w:rPr>
            </w:pPr>
            <w:r>
              <w:rPr>
                <w:rFonts w:hint="eastAsia"/>
                <w:color w:val="auto"/>
              </w:rPr>
              <w:t>实测浓度（mg/m</w:t>
            </w:r>
            <w:r>
              <w:rPr>
                <w:rFonts w:hint="eastAsia"/>
                <w:color w:val="auto"/>
                <w:vertAlign w:val="superscript"/>
              </w:rPr>
              <w:t>3</w:t>
            </w:r>
            <w:r>
              <w:rPr>
                <w:rFonts w:hint="eastAsia"/>
                <w:color w:val="auto"/>
              </w:rPr>
              <w:t>）</w:t>
            </w:r>
          </w:p>
        </w:tc>
        <w:tc>
          <w:tcPr>
            <w:tcW w:w="1548" w:type="dxa"/>
            <w:vAlign w:val="center"/>
          </w:tcPr>
          <w:p w14:paraId="5EE04292">
            <w:pPr>
              <w:pStyle w:val="33"/>
              <w:rPr>
                <w:color w:val="auto"/>
              </w:rPr>
            </w:pPr>
            <w:r>
              <w:rPr>
                <w:rFonts w:hint="eastAsia"/>
                <w:color w:val="auto"/>
              </w:rPr>
              <w:t>8.55</w:t>
            </w:r>
          </w:p>
        </w:tc>
        <w:tc>
          <w:tcPr>
            <w:tcW w:w="1548" w:type="dxa"/>
            <w:vAlign w:val="center"/>
          </w:tcPr>
          <w:p w14:paraId="5C66D1F3">
            <w:pPr>
              <w:pStyle w:val="33"/>
              <w:rPr>
                <w:color w:val="auto"/>
              </w:rPr>
            </w:pPr>
            <w:r>
              <w:rPr>
                <w:rFonts w:hint="eastAsia"/>
                <w:color w:val="auto"/>
              </w:rPr>
              <w:t>6.95</w:t>
            </w:r>
          </w:p>
        </w:tc>
        <w:tc>
          <w:tcPr>
            <w:tcW w:w="1548" w:type="dxa"/>
            <w:vAlign w:val="center"/>
          </w:tcPr>
          <w:p w14:paraId="6F913B3B">
            <w:pPr>
              <w:pStyle w:val="33"/>
              <w:rPr>
                <w:color w:val="auto"/>
              </w:rPr>
            </w:pPr>
            <w:r>
              <w:rPr>
                <w:rFonts w:hint="eastAsia"/>
                <w:color w:val="auto"/>
              </w:rPr>
              <w:t>7.91</w:t>
            </w:r>
          </w:p>
        </w:tc>
        <w:tc>
          <w:tcPr>
            <w:tcW w:w="1548" w:type="dxa"/>
            <w:vAlign w:val="center"/>
          </w:tcPr>
          <w:p w14:paraId="319A2C1D">
            <w:pPr>
              <w:pStyle w:val="33"/>
              <w:rPr>
                <w:color w:val="auto"/>
              </w:rPr>
            </w:pPr>
            <w:r>
              <w:rPr>
                <w:rFonts w:hint="eastAsia"/>
                <w:color w:val="auto"/>
              </w:rPr>
              <w:t>7.80</w:t>
            </w:r>
          </w:p>
        </w:tc>
      </w:tr>
      <w:tr w14:paraId="622DA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dxa"/>
            <w:vAlign w:val="center"/>
          </w:tcPr>
          <w:p w14:paraId="3C6DE223">
            <w:pPr>
              <w:pStyle w:val="33"/>
              <w:rPr>
                <w:color w:val="auto"/>
              </w:rPr>
            </w:pPr>
            <w:r>
              <w:rPr>
                <w:rFonts w:hint="eastAsia"/>
                <w:color w:val="auto"/>
              </w:rPr>
              <w:t>排放速率（kg/h）</w:t>
            </w:r>
          </w:p>
        </w:tc>
        <w:tc>
          <w:tcPr>
            <w:tcW w:w="1548" w:type="dxa"/>
            <w:vAlign w:val="center"/>
          </w:tcPr>
          <w:p w14:paraId="5E89383F">
            <w:pPr>
              <w:pStyle w:val="33"/>
              <w:rPr>
                <w:color w:val="auto"/>
              </w:rPr>
            </w:pPr>
            <w:r>
              <w:rPr>
                <w:rFonts w:hint="eastAsia"/>
                <w:color w:val="auto"/>
              </w:rPr>
              <w:t>0.05</w:t>
            </w:r>
          </w:p>
        </w:tc>
        <w:tc>
          <w:tcPr>
            <w:tcW w:w="1548" w:type="dxa"/>
            <w:vAlign w:val="center"/>
          </w:tcPr>
          <w:p w14:paraId="513FB96E">
            <w:pPr>
              <w:pStyle w:val="33"/>
              <w:rPr>
                <w:color w:val="auto"/>
              </w:rPr>
            </w:pPr>
            <w:r>
              <w:rPr>
                <w:rFonts w:hint="eastAsia"/>
                <w:color w:val="auto"/>
              </w:rPr>
              <w:t>0.04</w:t>
            </w:r>
          </w:p>
        </w:tc>
        <w:tc>
          <w:tcPr>
            <w:tcW w:w="1548" w:type="dxa"/>
            <w:vAlign w:val="center"/>
          </w:tcPr>
          <w:p w14:paraId="14B9840F">
            <w:pPr>
              <w:pStyle w:val="33"/>
              <w:rPr>
                <w:color w:val="auto"/>
              </w:rPr>
            </w:pPr>
            <w:r>
              <w:rPr>
                <w:rFonts w:hint="eastAsia"/>
                <w:color w:val="auto"/>
              </w:rPr>
              <w:t>0.05</w:t>
            </w:r>
          </w:p>
        </w:tc>
        <w:tc>
          <w:tcPr>
            <w:tcW w:w="1548" w:type="dxa"/>
            <w:vAlign w:val="center"/>
          </w:tcPr>
          <w:p w14:paraId="2C0BF7C9">
            <w:pPr>
              <w:pStyle w:val="33"/>
              <w:rPr>
                <w:color w:val="auto"/>
              </w:rPr>
            </w:pPr>
            <w:r>
              <w:rPr>
                <w:rFonts w:hint="eastAsia"/>
                <w:color w:val="auto"/>
              </w:rPr>
              <w:t>0.05</w:t>
            </w:r>
          </w:p>
        </w:tc>
      </w:tr>
    </w:tbl>
    <w:p w14:paraId="51FC9464">
      <w:pPr>
        <w:pStyle w:val="7"/>
        <w:rPr>
          <w:color w:val="auto"/>
        </w:rPr>
      </w:pPr>
      <w:r>
        <w:rPr>
          <w:rFonts w:hint="eastAsia"/>
          <w:color w:val="auto"/>
        </w:rPr>
        <w:t>淋膜车间2#排气筒监测结果</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5"/>
        <w:gridCol w:w="1511"/>
        <w:gridCol w:w="1511"/>
        <w:gridCol w:w="1511"/>
        <w:gridCol w:w="1511"/>
      </w:tblGrid>
      <w:tr w14:paraId="51FBD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61D595BF">
            <w:pPr>
              <w:pStyle w:val="33"/>
              <w:rPr>
                <w:color w:val="auto"/>
              </w:rPr>
            </w:pPr>
            <w:r>
              <w:rPr>
                <w:rFonts w:hint="eastAsia"/>
                <w:color w:val="auto"/>
              </w:rPr>
              <w:t>监测项目</w:t>
            </w:r>
          </w:p>
        </w:tc>
        <w:tc>
          <w:tcPr>
            <w:tcW w:w="1511" w:type="dxa"/>
            <w:vAlign w:val="center"/>
          </w:tcPr>
          <w:p w14:paraId="59DE9CEC">
            <w:pPr>
              <w:pStyle w:val="33"/>
              <w:rPr>
                <w:color w:val="auto"/>
              </w:rPr>
            </w:pPr>
            <w:r>
              <w:rPr>
                <w:rFonts w:hint="eastAsia"/>
                <w:color w:val="auto"/>
              </w:rPr>
              <w:t>第一次</w:t>
            </w:r>
          </w:p>
        </w:tc>
        <w:tc>
          <w:tcPr>
            <w:tcW w:w="1511" w:type="dxa"/>
            <w:vAlign w:val="center"/>
          </w:tcPr>
          <w:p w14:paraId="4C36F016">
            <w:pPr>
              <w:pStyle w:val="33"/>
              <w:rPr>
                <w:color w:val="auto"/>
              </w:rPr>
            </w:pPr>
            <w:r>
              <w:rPr>
                <w:rFonts w:hint="eastAsia"/>
                <w:color w:val="auto"/>
              </w:rPr>
              <w:t>第二次</w:t>
            </w:r>
          </w:p>
        </w:tc>
        <w:tc>
          <w:tcPr>
            <w:tcW w:w="1511" w:type="dxa"/>
            <w:vAlign w:val="center"/>
          </w:tcPr>
          <w:p w14:paraId="72A55A79">
            <w:pPr>
              <w:pStyle w:val="33"/>
              <w:rPr>
                <w:color w:val="auto"/>
              </w:rPr>
            </w:pPr>
            <w:r>
              <w:rPr>
                <w:rFonts w:hint="eastAsia"/>
                <w:color w:val="auto"/>
              </w:rPr>
              <w:t>第三次</w:t>
            </w:r>
          </w:p>
        </w:tc>
        <w:tc>
          <w:tcPr>
            <w:tcW w:w="1511" w:type="dxa"/>
            <w:vAlign w:val="center"/>
          </w:tcPr>
          <w:p w14:paraId="4C8CD608">
            <w:pPr>
              <w:pStyle w:val="33"/>
              <w:rPr>
                <w:color w:val="auto"/>
              </w:rPr>
            </w:pPr>
            <w:r>
              <w:rPr>
                <w:rFonts w:hint="eastAsia"/>
                <w:color w:val="auto"/>
              </w:rPr>
              <w:t>平均值</w:t>
            </w:r>
          </w:p>
        </w:tc>
      </w:tr>
      <w:tr w14:paraId="10FE1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4580BD55">
            <w:pPr>
              <w:pStyle w:val="33"/>
              <w:rPr>
                <w:color w:val="auto"/>
              </w:rPr>
            </w:pPr>
            <w:r>
              <w:rPr>
                <w:rFonts w:hint="eastAsia"/>
                <w:color w:val="auto"/>
              </w:rPr>
              <w:t>废气温度（℃）</w:t>
            </w:r>
          </w:p>
        </w:tc>
        <w:tc>
          <w:tcPr>
            <w:tcW w:w="1511" w:type="dxa"/>
            <w:vAlign w:val="center"/>
          </w:tcPr>
          <w:p w14:paraId="76EC3D78">
            <w:pPr>
              <w:pStyle w:val="33"/>
              <w:rPr>
                <w:color w:val="auto"/>
              </w:rPr>
            </w:pPr>
            <w:r>
              <w:rPr>
                <w:rFonts w:hint="eastAsia"/>
                <w:color w:val="auto"/>
              </w:rPr>
              <w:t>50.6</w:t>
            </w:r>
          </w:p>
        </w:tc>
        <w:tc>
          <w:tcPr>
            <w:tcW w:w="1511" w:type="dxa"/>
            <w:vAlign w:val="center"/>
          </w:tcPr>
          <w:p w14:paraId="5FFF0B65">
            <w:pPr>
              <w:pStyle w:val="33"/>
              <w:rPr>
                <w:color w:val="auto"/>
              </w:rPr>
            </w:pPr>
            <w:r>
              <w:rPr>
                <w:rFonts w:hint="eastAsia"/>
                <w:color w:val="auto"/>
              </w:rPr>
              <w:t>50.9</w:t>
            </w:r>
          </w:p>
        </w:tc>
        <w:tc>
          <w:tcPr>
            <w:tcW w:w="1511" w:type="dxa"/>
            <w:vAlign w:val="center"/>
          </w:tcPr>
          <w:p w14:paraId="5665039F">
            <w:pPr>
              <w:pStyle w:val="33"/>
              <w:rPr>
                <w:color w:val="auto"/>
              </w:rPr>
            </w:pPr>
            <w:r>
              <w:rPr>
                <w:rFonts w:hint="eastAsia"/>
                <w:color w:val="auto"/>
              </w:rPr>
              <w:t>50.2</w:t>
            </w:r>
          </w:p>
        </w:tc>
        <w:tc>
          <w:tcPr>
            <w:tcW w:w="1511" w:type="dxa"/>
            <w:vAlign w:val="center"/>
          </w:tcPr>
          <w:p w14:paraId="7C48D41C">
            <w:pPr>
              <w:pStyle w:val="33"/>
              <w:rPr>
                <w:color w:val="auto"/>
              </w:rPr>
            </w:pPr>
            <w:r>
              <w:rPr>
                <w:rFonts w:hint="eastAsia"/>
                <w:color w:val="auto"/>
              </w:rPr>
              <w:t>50.6</w:t>
            </w:r>
          </w:p>
        </w:tc>
      </w:tr>
      <w:tr w14:paraId="71ACA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7FF23B3A">
            <w:pPr>
              <w:pStyle w:val="33"/>
              <w:rPr>
                <w:color w:val="auto"/>
              </w:rPr>
            </w:pPr>
            <w:r>
              <w:rPr>
                <w:rFonts w:hint="eastAsia"/>
                <w:color w:val="auto"/>
              </w:rPr>
              <w:t>废气含湿量（%）</w:t>
            </w:r>
          </w:p>
        </w:tc>
        <w:tc>
          <w:tcPr>
            <w:tcW w:w="1511" w:type="dxa"/>
            <w:vAlign w:val="center"/>
          </w:tcPr>
          <w:p w14:paraId="0AD71C74">
            <w:pPr>
              <w:pStyle w:val="33"/>
              <w:rPr>
                <w:color w:val="auto"/>
              </w:rPr>
            </w:pPr>
            <w:r>
              <w:rPr>
                <w:rFonts w:hint="eastAsia"/>
                <w:color w:val="auto"/>
              </w:rPr>
              <w:t>4.96</w:t>
            </w:r>
          </w:p>
        </w:tc>
        <w:tc>
          <w:tcPr>
            <w:tcW w:w="1511" w:type="dxa"/>
            <w:vAlign w:val="center"/>
          </w:tcPr>
          <w:p w14:paraId="796B55B2">
            <w:pPr>
              <w:pStyle w:val="33"/>
              <w:rPr>
                <w:color w:val="auto"/>
              </w:rPr>
            </w:pPr>
            <w:r>
              <w:rPr>
                <w:rFonts w:hint="eastAsia"/>
                <w:color w:val="auto"/>
              </w:rPr>
              <w:t>5.02</w:t>
            </w:r>
          </w:p>
        </w:tc>
        <w:tc>
          <w:tcPr>
            <w:tcW w:w="1511" w:type="dxa"/>
            <w:vAlign w:val="center"/>
          </w:tcPr>
          <w:p w14:paraId="25C3796A">
            <w:pPr>
              <w:pStyle w:val="33"/>
              <w:rPr>
                <w:color w:val="auto"/>
              </w:rPr>
            </w:pPr>
            <w:r>
              <w:rPr>
                <w:rFonts w:hint="eastAsia"/>
                <w:color w:val="auto"/>
              </w:rPr>
              <w:t>5.09</w:t>
            </w:r>
          </w:p>
        </w:tc>
        <w:tc>
          <w:tcPr>
            <w:tcW w:w="1511" w:type="dxa"/>
            <w:vAlign w:val="center"/>
          </w:tcPr>
          <w:p w14:paraId="571592C6">
            <w:pPr>
              <w:pStyle w:val="33"/>
              <w:rPr>
                <w:color w:val="auto"/>
              </w:rPr>
            </w:pPr>
            <w:r>
              <w:rPr>
                <w:rFonts w:hint="eastAsia"/>
                <w:color w:val="auto"/>
              </w:rPr>
              <w:t>5.02</w:t>
            </w:r>
          </w:p>
        </w:tc>
      </w:tr>
      <w:tr w14:paraId="03976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07F9BD5E">
            <w:pPr>
              <w:pStyle w:val="33"/>
              <w:rPr>
                <w:color w:val="auto"/>
              </w:rPr>
            </w:pPr>
            <w:r>
              <w:rPr>
                <w:rFonts w:hint="eastAsia"/>
                <w:color w:val="auto"/>
              </w:rPr>
              <w:t>废气流速（m/s）</w:t>
            </w:r>
          </w:p>
        </w:tc>
        <w:tc>
          <w:tcPr>
            <w:tcW w:w="1511" w:type="dxa"/>
            <w:vAlign w:val="center"/>
          </w:tcPr>
          <w:p w14:paraId="12E267B0">
            <w:pPr>
              <w:pStyle w:val="33"/>
              <w:rPr>
                <w:color w:val="auto"/>
              </w:rPr>
            </w:pPr>
            <w:r>
              <w:rPr>
                <w:rFonts w:hint="eastAsia"/>
                <w:color w:val="auto"/>
              </w:rPr>
              <w:t>12.2</w:t>
            </w:r>
          </w:p>
        </w:tc>
        <w:tc>
          <w:tcPr>
            <w:tcW w:w="1511" w:type="dxa"/>
            <w:vAlign w:val="center"/>
          </w:tcPr>
          <w:p w14:paraId="12B088AE">
            <w:pPr>
              <w:pStyle w:val="33"/>
              <w:rPr>
                <w:color w:val="auto"/>
              </w:rPr>
            </w:pPr>
            <w:r>
              <w:rPr>
                <w:rFonts w:hint="eastAsia"/>
                <w:color w:val="auto"/>
              </w:rPr>
              <w:t>12.5</w:t>
            </w:r>
          </w:p>
        </w:tc>
        <w:tc>
          <w:tcPr>
            <w:tcW w:w="1511" w:type="dxa"/>
            <w:vAlign w:val="center"/>
          </w:tcPr>
          <w:p w14:paraId="19784877">
            <w:pPr>
              <w:pStyle w:val="33"/>
              <w:rPr>
                <w:color w:val="auto"/>
              </w:rPr>
            </w:pPr>
            <w:r>
              <w:rPr>
                <w:rFonts w:hint="eastAsia"/>
                <w:color w:val="auto"/>
              </w:rPr>
              <w:t>11.9</w:t>
            </w:r>
          </w:p>
        </w:tc>
        <w:tc>
          <w:tcPr>
            <w:tcW w:w="1511" w:type="dxa"/>
            <w:vAlign w:val="center"/>
          </w:tcPr>
          <w:p w14:paraId="3680BB1F">
            <w:pPr>
              <w:pStyle w:val="33"/>
              <w:rPr>
                <w:color w:val="auto"/>
              </w:rPr>
            </w:pPr>
            <w:r>
              <w:rPr>
                <w:rFonts w:hint="eastAsia"/>
                <w:color w:val="auto"/>
              </w:rPr>
              <w:t>12.2</w:t>
            </w:r>
          </w:p>
        </w:tc>
      </w:tr>
      <w:tr w14:paraId="22096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639B6ACA">
            <w:pPr>
              <w:pStyle w:val="33"/>
              <w:rPr>
                <w:color w:val="auto"/>
              </w:rPr>
            </w:pPr>
            <w:r>
              <w:rPr>
                <w:rFonts w:hint="eastAsia"/>
                <w:color w:val="auto"/>
              </w:rPr>
              <w:t>标况干气量（m</w:t>
            </w:r>
            <w:r>
              <w:rPr>
                <w:rFonts w:hint="eastAsia"/>
                <w:color w:val="auto"/>
                <w:vertAlign w:val="superscript"/>
              </w:rPr>
              <w:t>3</w:t>
            </w:r>
            <w:r>
              <w:rPr>
                <w:rFonts w:hint="eastAsia"/>
                <w:color w:val="auto"/>
              </w:rPr>
              <w:t>/h）</w:t>
            </w:r>
          </w:p>
        </w:tc>
        <w:tc>
          <w:tcPr>
            <w:tcW w:w="1511" w:type="dxa"/>
            <w:vAlign w:val="center"/>
          </w:tcPr>
          <w:p w14:paraId="5C5CA352">
            <w:pPr>
              <w:pStyle w:val="33"/>
              <w:rPr>
                <w:color w:val="auto"/>
              </w:rPr>
            </w:pPr>
            <w:r>
              <w:rPr>
                <w:rFonts w:hint="eastAsia"/>
                <w:color w:val="auto"/>
              </w:rPr>
              <w:t>4402</w:t>
            </w:r>
          </w:p>
        </w:tc>
        <w:tc>
          <w:tcPr>
            <w:tcW w:w="1511" w:type="dxa"/>
            <w:vAlign w:val="center"/>
          </w:tcPr>
          <w:p w14:paraId="68F255C1">
            <w:pPr>
              <w:pStyle w:val="33"/>
              <w:rPr>
                <w:color w:val="auto"/>
              </w:rPr>
            </w:pPr>
            <w:r>
              <w:rPr>
                <w:rFonts w:hint="eastAsia"/>
                <w:color w:val="auto"/>
              </w:rPr>
              <w:t>4501</w:t>
            </w:r>
          </w:p>
        </w:tc>
        <w:tc>
          <w:tcPr>
            <w:tcW w:w="1511" w:type="dxa"/>
            <w:vAlign w:val="center"/>
          </w:tcPr>
          <w:p w14:paraId="33D0CC91">
            <w:pPr>
              <w:pStyle w:val="33"/>
              <w:rPr>
                <w:color w:val="auto"/>
              </w:rPr>
            </w:pPr>
            <w:r>
              <w:rPr>
                <w:rFonts w:hint="eastAsia"/>
                <w:color w:val="auto"/>
              </w:rPr>
              <w:t>4292</w:t>
            </w:r>
          </w:p>
        </w:tc>
        <w:tc>
          <w:tcPr>
            <w:tcW w:w="1511" w:type="dxa"/>
            <w:vAlign w:val="center"/>
          </w:tcPr>
          <w:p w14:paraId="6C44AF63">
            <w:pPr>
              <w:pStyle w:val="33"/>
              <w:rPr>
                <w:color w:val="auto"/>
              </w:rPr>
            </w:pPr>
            <w:r>
              <w:rPr>
                <w:rFonts w:hint="eastAsia"/>
                <w:color w:val="auto"/>
              </w:rPr>
              <w:t>4398</w:t>
            </w:r>
          </w:p>
        </w:tc>
      </w:tr>
      <w:tr w14:paraId="36868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5E70643A">
            <w:pPr>
              <w:pStyle w:val="33"/>
              <w:rPr>
                <w:color w:val="auto"/>
              </w:rPr>
            </w:pPr>
            <w:r>
              <w:rPr>
                <w:rFonts w:hint="eastAsia"/>
                <w:color w:val="auto"/>
              </w:rPr>
              <w:t>实测浓度（mg/m</w:t>
            </w:r>
            <w:r>
              <w:rPr>
                <w:rFonts w:hint="eastAsia"/>
                <w:color w:val="auto"/>
                <w:vertAlign w:val="superscript"/>
              </w:rPr>
              <w:t>3</w:t>
            </w:r>
            <w:r>
              <w:rPr>
                <w:rFonts w:hint="eastAsia"/>
                <w:color w:val="auto"/>
              </w:rPr>
              <w:t>）</w:t>
            </w:r>
          </w:p>
        </w:tc>
        <w:tc>
          <w:tcPr>
            <w:tcW w:w="1511" w:type="dxa"/>
            <w:vAlign w:val="center"/>
          </w:tcPr>
          <w:p w14:paraId="18C1FB03">
            <w:pPr>
              <w:pStyle w:val="33"/>
              <w:rPr>
                <w:color w:val="auto"/>
              </w:rPr>
            </w:pPr>
            <w:r>
              <w:rPr>
                <w:rFonts w:hint="eastAsia"/>
                <w:color w:val="auto"/>
              </w:rPr>
              <w:t>5.38</w:t>
            </w:r>
          </w:p>
        </w:tc>
        <w:tc>
          <w:tcPr>
            <w:tcW w:w="1511" w:type="dxa"/>
            <w:vAlign w:val="center"/>
          </w:tcPr>
          <w:p w14:paraId="64C751D1">
            <w:pPr>
              <w:pStyle w:val="33"/>
              <w:rPr>
                <w:color w:val="auto"/>
              </w:rPr>
            </w:pPr>
            <w:r>
              <w:rPr>
                <w:rFonts w:hint="eastAsia"/>
                <w:color w:val="auto"/>
              </w:rPr>
              <w:t>6.38</w:t>
            </w:r>
          </w:p>
        </w:tc>
        <w:tc>
          <w:tcPr>
            <w:tcW w:w="1511" w:type="dxa"/>
            <w:vAlign w:val="center"/>
          </w:tcPr>
          <w:p w14:paraId="4D9AB3D0">
            <w:pPr>
              <w:pStyle w:val="33"/>
              <w:rPr>
                <w:color w:val="auto"/>
              </w:rPr>
            </w:pPr>
            <w:r>
              <w:rPr>
                <w:rFonts w:hint="eastAsia"/>
                <w:color w:val="auto"/>
              </w:rPr>
              <w:t>4.30</w:t>
            </w:r>
          </w:p>
        </w:tc>
        <w:tc>
          <w:tcPr>
            <w:tcW w:w="1511" w:type="dxa"/>
            <w:vAlign w:val="center"/>
          </w:tcPr>
          <w:p w14:paraId="42F11A30">
            <w:pPr>
              <w:pStyle w:val="33"/>
              <w:rPr>
                <w:color w:val="auto"/>
              </w:rPr>
            </w:pPr>
            <w:r>
              <w:rPr>
                <w:rFonts w:hint="eastAsia"/>
                <w:color w:val="auto"/>
              </w:rPr>
              <w:t>5.35</w:t>
            </w:r>
          </w:p>
        </w:tc>
      </w:tr>
      <w:tr w14:paraId="60540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61B470A0">
            <w:pPr>
              <w:pStyle w:val="33"/>
              <w:rPr>
                <w:color w:val="auto"/>
              </w:rPr>
            </w:pPr>
            <w:r>
              <w:rPr>
                <w:rFonts w:hint="eastAsia"/>
                <w:color w:val="auto"/>
              </w:rPr>
              <w:t>排放速率（kg/h）</w:t>
            </w:r>
          </w:p>
        </w:tc>
        <w:tc>
          <w:tcPr>
            <w:tcW w:w="1511" w:type="dxa"/>
            <w:vAlign w:val="center"/>
          </w:tcPr>
          <w:p w14:paraId="625196EB">
            <w:pPr>
              <w:pStyle w:val="33"/>
              <w:rPr>
                <w:color w:val="auto"/>
              </w:rPr>
            </w:pPr>
            <w:r>
              <w:rPr>
                <w:rFonts w:hint="eastAsia"/>
                <w:color w:val="auto"/>
              </w:rPr>
              <w:t>0.02</w:t>
            </w:r>
          </w:p>
        </w:tc>
        <w:tc>
          <w:tcPr>
            <w:tcW w:w="1511" w:type="dxa"/>
            <w:vAlign w:val="center"/>
          </w:tcPr>
          <w:p w14:paraId="6F17ABAE">
            <w:pPr>
              <w:pStyle w:val="33"/>
              <w:rPr>
                <w:color w:val="auto"/>
              </w:rPr>
            </w:pPr>
            <w:r>
              <w:rPr>
                <w:rFonts w:hint="eastAsia"/>
                <w:color w:val="auto"/>
              </w:rPr>
              <w:t>0.03</w:t>
            </w:r>
          </w:p>
        </w:tc>
        <w:tc>
          <w:tcPr>
            <w:tcW w:w="1511" w:type="dxa"/>
            <w:vAlign w:val="center"/>
          </w:tcPr>
          <w:p w14:paraId="7A222B24">
            <w:pPr>
              <w:pStyle w:val="33"/>
              <w:rPr>
                <w:color w:val="auto"/>
              </w:rPr>
            </w:pPr>
            <w:r>
              <w:rPr>
                <w:rFonts w:hint="eastAsia"/>
                <w:color w:val="auto"/>
              </w:rPr>
              <w:t>0.02</w:t>
            </w:r>
          </w:p>
        </w:tc>
        <w:tc>
          <w:tcPr>
            <w:tcW w:w="1511" w:type="dxa"/>
            <w:vAlign w:val="center"/>
          </w:tcPr>
          <w:p w14:paraId="0BDE0AE1">
            <w:pPr>
              <w:pStyle w:val="33"/>
              <w:rPr>
                <w:color w:val="auto"/>
              </w:rPr>
            </w:pPr>
            <w:r>
              <w:rPr>
                <w:rFonts w:hint="eastAsia"/>
                <w:color w:val="auto"/>
              </w:rPr>
              <w:t>0.02</w:t>
            </w:r>
          </w:p>
        </w:tc>
      </w:tr>
    </w:tbl>
    <w:p w14:paraId="123E57A8">
      <w:pPr>
        <w:pStyle w:val="7"/>
        <w:rPr>
          <w:color w:val="auto"/>
        </w:rPr>
      </w:pPr>
      <w:r>
        <w:rPr>
          <w:rFonts w:hint="eastAsia"/>
          <w:color w:val="auto"/>
        </w:rPr>
        <w:t>淋膜车间3#排气筒监测结果</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5"/>
        <w:gridCol w:w="1511"/>
        <w:gridCol w:w="1511"/>
        <w:gridCol w:w="1511"/>
        <w:gridCol w:w="1511"/>
      </w:tblGrid>
      <w:tr w14:paraId="1854A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7CB58CBD">
            <w:pPr>
              <w:pStyle w:val="33"/>
              <w:rPr>
                <w:color w:val="auto"/>
              </w:rPr>
            </w:pPr>
            <w:r>
              <w:rPr>
                <w:rFonts w:hint="eastAsia"/>
                <w:color w:val="auto"/>
              </w:rPr>
              <w:t>监测项目</w:t>
            </w:r>
          </w:p>
        </w:tc>
        <w:tc>
          <w:tcPr>
            <w:tcW w:w="1511" w:type="dxa"/>
            <w:vAlign w:val="center"/>
          </w:tcPr>
          <w:p w14:paraId="5BE51E27">
            <w:pPr>
              <w:pStyle w:val="33"/>
              <w:rPr>
                <w:color w:val="auto"/>
              </w:rPr>
            </w:pPr>
            <w:r>
              <w:rPr>
                <w:rFonts w:hint="eastAsia"/>
                <w:color w:val="auto"/>
              </w:rPr>
              <w:t>第一次</w:t>
            </w:r>
          </w:p>
        </w:tc>
        <w:tc>
          <w:tcPr>
            <w:tcW w:w="1511" w:type="dxa"/>
            <w:vAlign w:val="center"/>
          </w:tcPr>
          <w:p w14:paraId="7FC2A2CB">
            <w:pPr>
              <w:pStyle w:val="33"/>
              <w:rPr>
                <w:color w:val="auto"/>
              </w:rPr>
            </w:pPr>
            <w:r>
              <w:rPr>
                <w:rFonts w:hint="eastAsia"/>
                <w:color w:val="auto"/>
              </w:rPr>
              <w:t>第二次</w:t>
            </w:r>
          </w:p>
        </w:tc>
        <w:tc>
          <w:tcPr>
            <w:tcW w:w="1511" w:type="dxa"/>
            <w:vAlign w:val="center"/>
          </w:tcPr>
          <w:p w14:paraId="68EC43C6">
            <w:pPr>
              <w:pStyle w:val="33"/>
              <w:rPr>
                <w:color w:val="auto"/>
              </w:rPr>
            </w:pPr>
            <w:r>
              <w:rPr>
                <w:rFonts w:hint="eastAsia"/>
                <w:color w:val="auto"/>
              </w:rPr>
              <w:t>第三次</w:t>
            </w:r>
          </w:p>
        </w:tc>
        <w:tc>
          <w:tcPr>
            <w:tcW w:w="1511" w:type="dxa"/>
            <w:vAlign w:val="center"/>
          </w:tcPr>
          <w:p w14:paraId="4AF0F0D9">
            <w:pPr>
              <w:pStyle w:val="33"/>
              <w:rPr>
                <w:color w:val="auto"/>
              </w:rPr>
            </w:pPr>
            <w:r>
              <w:rPr>
                <w:rFonts w:hint="eastAsia"/>
                <w:color w:val="auto"/>
              </w:rPr>
              <w:t>平均值</w:t>
            </w:r>
          </w:p>
        </w:tc>
      </w:tr>
      <w:tr w14:paraId="76F49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01A12F40">
            <w:pPr>
              <w:pStyle w:val="33"/>
              <w:rPr>
                <w:color w:val="auto"/>
              </w:rPr>
            </w:pPr>
            <w:r>
              <w:rPr>
                <w:rFonts w:hint="eastAsia"/>
                <w:color w:val="auto"/>
              </w:rPr>
              <w:t>废气温度（℃）</w:t>
            </w:r>
          </w:p>
        </w:tc>
        <w:tc>
          <w:tcPr>
            <w:tcW w:w="1511" w:type="dxa"/>
            <w:vAlign w:val="center"/>
          </w:tcPr>
          <w:p w14:paraId="1F9E69CB">
            <w:pPr>
              <w:pStyle w:val="33"/>
              <w:rPr>
                <w:color w:val="auto"/>
              </w:rPr>
            </w:pPr>
            <w:r>
              <w:rPr>
                <w:rFonts w:hint="eastAsia"/>
                <w:color w:val="auto"/>
              </w:rPr>
              <w:t>41.1</w:t>
            </w:r>
          </w:p>
        </w:tc>
        <w:tc>
          <w:tcPr>
            <w:tcW w:w="1511" w:type="dxa"/>
            <w:vAlign w:val="center"/>
          </w:tcPr>
          <w:p w14:paraId="1B4D456D">
            <w:pPr>
              <w:pStyle w:val="33"/>
              <w:rPr>
                <w:color w:val="auto"/>
              </w:rPr>
            </w:pPr>
            <w:r>
              <w:rPr>
                <w:rFonts w:hint="eastAsia"/>
                <w:color w:val="auto"/>
              </w:rPr>
              <w:t>40.8</w:t>
            </w:r>
          </w:p>
        </w:tc>
        <w:tc>
          <w:tcPr>
            <w:tcW w:w="1511" w:type="dxa"/>
            <w:vAlign w:val="center"/>
          </w:tcPr>
          <w:p w14:paraId="7E6D19CF">
            <w:pPr>
              <w:pStyle w:val="33"/>
              <w:rPr>
                <w:color w:val="auto"/>
              </w:rPr>
            </w:pPr>
            <w:r>
              <w:rPr>
                <w:rFonts w:hint="eastAsia"/>
                <w:color w:val="auto"/>
              </w:rPr>
              <w:t>41.4</w:t>
            </w:r>
          </w:p>
        </w:tc>
        <w:tc>
          <w:tcPr>
            <w:tcW w:w="1511" w:type="dxa"/>
            <w:vAlign w:val="center"/>
          </w:tcPr>
          <w:p w14:paraId="3A840D07">
            <w:pPr>
              <w:pStyle w:val="33"/>
              <w:rPr>
                <w:color w:val="auto"/>
              </w:rPr>
            </w:pPr>
            <w:r>
              <w:rPr>
                <w:rFonts w:hint="eastAsia"/>
                <w:color w:val="auto"/>
              </w:rPr>
              <w:t>41.1</w:t>
            </w:r>
          </w:p>
        </w:tc>
      </w:tr>
      <w:tr w14:paraId="4CDED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20CFCD12">
            <w:pPr>
              <w:pStyle w:val="33"/>
              <w:rPr>
                <w:color w:val="auto"/>
              </w:rPr>
            </w:pPr>
            <w:r>
              <w:rPr>
                <w:rFonts w:hint="eastAsia"/>
                <w:color w:val="auto"/>
              </w:rPr>
              <w:t>废气含湿量（%）</w:t>
            </w:r>
          </w:p>
        </w:tc>
        <w:tc>
          <w:tcPr>
            <w:tcW w:w="1511" w:type="dxa"/>
            <w:vAlign w:val="center"/>
          </w:tcPr>
          <w:p w14:paraId="5EFAEA67">
            <w:pPr>
              <w:pStyle w:val="33"/>
              <w:rPr>
                <w:color w:val="auto"/>
              </w:rPr>
            </w:pPr>
            <w:r>
              <w:rPr>
                <w:rFonts w:hint="eastAsia"/>
                <w:color w:val="auto"/>
              </w:rPr>
              <w:t>5.12</w:t>
            </w:r>
          </w:p>
        </w:tc>
        <w:tc>
          <w:tcPr>
            <w:tcW w:w="1511" w:type="dxa"/>
            <w:vAlign w:val="center"/>
          </w:tcPr>
          <w:p w14:paraId="5AFF5A77">
            <w:pPr>
              <w:pStyle w:val="33"/>
              <w:rPr>
                <w:color w:val="auto"/>
              </w:rPr>
            </w:pPr>
            <w:r>
              <w:rPr>
                <w:rFonts w:hint="eastAsia"/>
                <w:color w:val="auto"/>
              </w:rPr>
              <w:t>5.05</w:t>
            </w:r>
          </w:p>
        </w:tc>
        <w:tc>
          <w:tcPr>
            <w:tcW w:w="1511" w:type="dxa"/>
            <w:vAlign w:val="center"/>
          </w:tcPr>
          <w:p w14:paraId="113E7A66">
            <w:pPr>
              <w:pStyle w:val="33"/>
              <w:rPr>
                <w:color w:val="auto"/>
              </w:rPr>
            </w:pPr>
            <w:r>
              <w:rPr>
                <w:rFonts w:hint="eastAsia"/>
                <w:color w:val="auto"/>
              </w:rPr>
              <w:t>5.11</w:t>
            </w:r>
          </w:p>
        </w:tc>
        <w:tc>
          <w:tcPr>
            <w:tcW w:w="1511" w:type="dxa"/>
            <w:vAlign w:val="center"/>
          </w:tcPr>
          <w:p w14:paraId="24EA5580">
            <w:pPr>
              <w:pStyle w:val="33"/>
              <w:rPr>
                <w:color w:val="auto"/>
              </w:rPr>
            </w:pPr>
            <w:r>
              <w:rPr>
                <w:rFonts w:hint="eastAsia"/>
                <w:color w:val="auto"/>
              </w:rPr>
              <w:t>5.09</w:t>
            </w:r>
          </w:p>
        </w:tc>
      </w:tr>
      <w:tr w14:paraId="00166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1CD3157D">
            <w:pPr>
              <w:pStyle w:val="33"/>
              <w:rPr>
                <w:color w:val="auto"/>
              </w:rPr>
            </w:pPr>
            <w:r>
              <w:rPr>
                <w:rFonts w:hint="eastAsia"/>
                <w:color w:val="auto"/>
              </w:rPr>
              <w:t>废气流速（m/s）</w:t>
            </w:r>
          </w:p>
        </w:tc>
        <w:tc>
          <w:tcPr>
            <w:tcW w:w="1511" w:type="dxa"/>
            <w:vAlign w:val="center"/>
          </w:tcPr>
          <w:p w14:paraId="68EC271D">
            <w:pPr>
              <w:pStyle w:val="33"/>
              <w:rPr>
                <w:color w:val="auto"/>
              </w:rPr>
            </w:pPr>
            <w:r>
              <w:rPr>
                <w:rFonts w:hint="eastAsia"/>
                <w:color w:val="auto"/>
              </w:rPr>
              <w:t>8.5</w:t>
            </w:r>
          </w:p>
        </w:tc>
        <w:tc>
          <w:tcPr>
            <w:tcW w:w="1511" w:type="dxa"/>
            <w:vAlign w:val="center"/>
          </w:tcPr>
          <w:p w14:paraId="46A5610C">
            <w:pPr>
              <w:pStyle w:val="33"/>
              <w:rPr>
                <w:color w:val="auto"/>
              </w:rPr>
            </w:pPr>
            <w:r>
              <w:rPr>
                <w:rFonts w:hint="eastAsia"/>
                <w:color w:val="auto"/>
              </w:rPr>
              <w:t>8.3</w:t>
            </w:r>
          </w:p>
        </w:tc>
        <w:tc>
          <w:tcPr>
            <w:tcW w:w="1511" w:type="dxa"/>
            <w:vAlign w:val="center"/>
          </w:tcPr>
          <w:p w14:paraId="5188D736">
            <w:pPr>
              <w:pStyle w:val="33"/>
              <w:rPr>
                <w:color w:val="auto"/>
              </w:rPr>
            </w:pPr>
            <w:r>
              <w:rPr>
                <w:rFonts w:hint="eastAsia"/>
                <w:color w:val="auto"/>
              </w:rPr>
              <w:t>8.1</w:t>
            </w:r>
          </w:p>
        </w:tc>
        <w:tc>
          <w:tcPr>
            <w:tcW w:w="1511" w:type="dxa"/>
            <w:vAlign w:val="center"/>
          </w:tcPr>
          <w:p w14:paraId="09B501E5">
            <w:pPr>
              <w:pStyle w:val="33"/>
              <w:rPr>
                <w:color w:val="auto"/>
              </w:rPr>
            </w:pPr>
            <w:r>
              <w:rPr>
                <w:rFonts w:hint="eastAsia"/>
                <w:color w:val="auto"/>
              </w:rPr>
              <w:t>8.3</w:t>
            </w:r>
          </w:p>
        </w:tc>
      </w:tr>
      <w:tr w14:paraId="000D6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76B06327">
            <w:pPr>
              <w:pStyle w:val="33"/>
              <w:rPr>
                <w:color w:val="auto"/>
              </w:rPr>
            </w:pPr>
            <w:r>
              <w:rPr>
                <w:rFonts w:hint="eastAsia"/>
                <w:color w:val="auto"/>
              </w:rPr>
              <w:t>标况干气量（m</w:t>
            </w:r>
            <w:r>
              <w:rPr>
                <w:rFonts w:hint="eastAsia"/>
                <w:color w:val="auto"/>
                <w:vertAlign w:val="superscript"/>
              </w:rPr>
              <w:t>3</w:t>
            </w:r>
            <w:r>
              <w:rPr>
                <w:rFonts w:hint="eastAsia"/>
                <w:color w:val="auto"/>
              </w:rPr>
              <w:t>/h）</w:t>
            </w:r>
          </w:p>
        </w:tc>
        <w:tc>
          <w:tcPr>
            <w:tcW w:w="1511" w:type="dxa"/>
            <w:vAlign w:val="center"/>
          </w:tcPr>
          <w:p w14:paraId="67D8B54B">
            <w:pPr>
              <w:pStyle w:val="33"/>
              <w:rPr>
                <w:color w:val="auto"/>
              </w:rPr>
            </w:pPr>
            <w:r>
              <w:rPr>
                <w:rFonts w:hint="eastAsia"/>
                <w:color w:val="auto"/>
              </w:rPr>
              <w:t>3151</w:t>
            </w:r>
          </w:p>
        </w:tc>
        <w:tc>
          <w:tcPr>
            <w:tcW w:w="1511" w:type="dxa"/>
            <w:vAlign w:val="center"/>
          </w:tcPr>
          <w:p w14:paraId="7FAFFBE6">
            <w:pPr>
              <w:pStyle w:val="33"/>
              <w:rPr>
                <w:color w:val="auto"/>
              </w:rPr>
            </w:pPr>
            <w:r>
              <w:rPr>
                <w:rFonts w:hint="eastAsia"/>
                <w:color w:val="auto"/>
              </w:rPr>
              <w:t>3083</w:t>
            </w:r>
          </w:p>
        </w:tc>
        <w:tc>
          <w:tcPr>
            <w:tcW w:w="1511" w:type="dxa"/>
            <w:vAlign w:val="center"/>
          </w:tcPr>
          <w:p w14:paraId="1D5F97D9">
            <w:pPr>
              <w:pStyle w:val="33"/>
              <w:rPr>
                <w:color w:val="auto"/>
              </w:rPr>
            </w:pPr>
            <w:r>
              <w:rPr>
                <w:rFonts w:hint="eastAsia"/>
                <w:color w:val="auto"/>
              </w:rPr>
              <w:t>3000</w:t>
            </w:r>
          </w:p>
        </w:tc>
        <w:tc>
          <w:tcPr>
            <w:tcW w:w="1511" w:type="dxa"/>
            <w:vAlign w:val="center"/>
          </w:tcPr>
          <w:p w14:paraId="77512BE2">
            <w:pPr>
              <w:pStyle w:val="33"/>
              <w:rPr>
                <w:color w:val="auto"/>
              </w:rPr>
            </w:pPr>
            <w:r>
              <w:rPr>
                <w:rFonts w:hint="eastAsia"/>
                <w:color w:val="auto"/>
              </w:rPr>
              <w:t>3078</w:t>
            </w:r>
          </w:p>
        </w:tc>
      </w:tr>
      <w:tr w14:paraId="0C34F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1CE6B531">
            <w:pPr>
              <w:pStyle w:val="33"/>
              <w:rPr>
                <w:color w:val="auto"/>
              </w:rPr>
            </w:pPr>
            <w:r>
              <w:rPr>
                <w:rFonts w:hint="eastAsia"/>
                <w:color w:val="auto"/>
              </w:rPr>
              <w:t>实测浓度（mg/m</w:t>
            </w:r>
            <w:r>
              <w:rPr>
                <w:rFonts w:hint="eastAsia"/>
                <w:color w:val="auto"/>
                <w:vertAlign w:val="superscript"/>
              </w:rPr>
              <w:t>3</w:t>
            </w:r>
            <w:r>
              <w:rPr>
                <w:rFonts w:hint="eastAsia"/>
                <w:color w:val="auto"/>
              </w:rPr>
              <w:t>）</w:t>
            </w:r>
          </w:p>
        </w:tc>
        <w:tc>
          <w:tcPr>
            <w:tcW w:w="1511" w:type="dxa"/>
            <w:vAlign w:val="center"/>
          </w:tcPr>
          <w:p w14:paraId="59C1D664">
            <w:pPr>
              <w:pStyle w:val="33"/>
              <w:rPr>
                <w:color w:val="auto"/>
              </w:rPr>
            </w:pPr>
            <w:r>
              <w:rPr>
                <w:rFonts w:hint="eastAsia"/>
                <w:color w:val="auto"/>
              </w:rPr>
              <w:t>6.44</w:t>
            </w:r>
          </w:p>
        </w:tc>
        <w:tc>
          <w:tcPr>
            <w:tcW w:w="1511" w:type="dxa"/>
            <w:vAlign w:val="center"/>
          </w:tcPr>
          <w:p w14:paraId="7C4AADA4">
            <w:pPr>
              <w:pStyle w:val="33"/>
              <w:rPr>
                <w:color w:val="auto"/>
              </w:rPr>
            </w:pPr>
            <w:r>
              <w:rPr>
                <w:rFonts w:hint="eastAsia"/>
                <w:color w:val="auto"/>
              </w:rPr>
              <w:t>5.54</w:t>
            </w:r>
          </w:p>
        </w:tc>
        <w:tc>
          <w:tcPr>
            <w:tcW w:w="1511" w:type="dxa"/>
            <w:vAlign w:val="center"/>
          </w:tcPr>
          <w:p w14:paraId="57F45B52">
            <w:pPr>
              <w:pStyle w:val="33"/>
              <w:rPr>
                <w:color w:val="auto"/>
              </w:rPr>
            </w:pPr>
            <w:r>
              <w:rPr>
                <w:rFonts w:hint="eastAsia"/>
                <w:color w:val="auto"/>
              </w:rPr>
              <w:t>5.84</w:t>
            </w:r>
          </w:p>
        </w:tc>
        <w:tc>
          <w:tcPr>
            <w:tcW w:w="1511" w:type="dxa"/>
            <w:vAlign w:val="center"/>
          </w:tcPr>
          <w:p w14:paraId="5460449C">
            <w:pPr>
              <w:pStyle w:val="33"/>
              <w:rPr>
                <w:color w:val="auto"/>
              </w:rPr>
            </w:pPr>
            <w:r>
              <w:rPr>
                <w:rFonts w:hint="eastAsia"/>
                <w:color w:val="auto"/>
              </w:rPr>
              <w:t>5.94</w:t>
            </w:r>
          </w:p>
        </w:tc>
      </w:tr>
      <w:tr w14:paraId="71189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67DF700B">
            <w:pPr>
              <w:pStyle w:val="33"/>
              <w:rPr>
                <w:color w:val="auto"/>
              </w:rPr>
            </w:pPr>
            <w:r>
              <w:rPr>
                <w:rFonts w:hint="eastAsia"/>
                <w:color w:val="auto"/>
              </w:rPr>
              <w:t>排放速率（kg/h）</w:t>
            </w:r>
          </w:p>
        </w:tc>
        <w:tc>
          <w:tcPr>
            <w:tcW w:w="1511" w:type="dxa"/>
            <w:vAlign w:val="center"/>
          </w:tcPr>
          <w:p w14:paraId="01DA316A">
            <w:pPr>
              <w:pStyle w:val="33"/>
              <w:rPr>
                <w:color w:val="auto"/>
              </w:rPr>
            </w:pPr>
            <w:r>
              <w:rPr>
                <w:rFonts w:hint="eastAsia"/>
                <w:color w:val="auto"/>
              </w:rPr>
              <w:t>0.02</w:t>
            </w:r>
          </w:p>
        </w:tc>
        <w:tc>
          <w:tcPr>
            <w:tcW w:w="1511" w:type="dxa"/>
            <w:vAlign w:val="center"/>
          </w:tcPr>
          <w:p w14:paraId="2AA653B3">
            <w:pPr>
              <w:pStyle w:val="33"/>
              <w:rPr>
                <w:color w:val="auto"/>
              </w:rPr>
            </w:pPr>
            <w:r>
              <w:rPr>
                <w:rFonts w:hint="eastAsia"/>
                <w:color w:val="auto"/>
              </w:rPr>
              <w:t>0.02</w:t>
            </w:r>
          </w:p>
        </w:tc>
        <w:tc>
          <w:tcPr>
            <w:tcW w:w="1511" w:type="dxa"/>
            <w:vAlign w:val="center"/>
          </w:tcPr>
          <w:p w14:paraId="49E5C99A">
            <w:pPr>
              <w:pStyle w:val="33"/>
              <w:rPr>
                <w:color w:val="auto"/>
              </w:rPr>
            </w:pPr>
            <w:r>
              <w:rPr>
                <w:rFonts w:hint="eastAsia"/>
                <w:color w:val="auto"/>
              </w:rPr>
              <w:t>0.02</w:t>
            </w:r>
          </w:p>
        </w:tc>
        <w:tc>
          <w:tcPr>
            <w:tcW w:w="1511" w:type="dxa"/>
            <w:vAlign w:val="center"/>
          </w:tcPr>
          <w:p w14:paraId="0F74060B">
            <w:pPr>
              <w:pStyle w:val="33"/>
              <w:rPr>
                <w:color w:val="auto"/>
              </w:rPr>
            </w:pPr>
            <w:r>
              <w:rPr>
                <w:rFonts w:hint="eastAsia"/>
                <w:color w:val="auto"/>
              </w:rPr>
              <w:t>0.02</w:t>
            </w:r>
          </w:p>
        </w:tc>
      </w:tr>
    </w:tbl>
    <w:p w14:paraId="57C3DF97">
      <w:pPr>
        <w:pStyle w:val="7"/>
        <w:rPr>
          <w:color w:val="auto"/>
        </w:rPr>
      </w:pPr>
      <w:r>
        <w:rPr>
          <w:rFonts w:hint="eastAsia"/>
          <w:color w:val="auto"/>
        </w:rPr>
        <w:t>淋膜车间4#排气筒监测结果</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5"/>
        <w:gridCol w:w="1511"/>
        <w:gridCol w:w="1511"/>
        <w:gridCol w:w="1511"/>
        <w:gridCol w:w="1511"/>
      </w:tblGrid>
      <w:tr w14:paraId="3FC04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106585CA">
            <w:pPr>
              <w:pStyle w:val="33"/>
              <w:rPr>
                <w:color w:val="auto"/>
              </w:rPr>
            </w:pPr>
            <w:r>
              <w:rPr>
                <w:rFonts w:hint="eastAsia"/>
                <w:color w:val="auto"/>
              </w:rPr>
              <w:t>监测项目</w:t>
            </w:r>
          </w:p>
        </w:tc>
        <w:tc>
          <w:tcPr>
            <w:tcW w:w="1511" w:type="dxa"/>
            <w:vAlign w:val="center"/>
          </w:tcPr>
          <w:p w14:paraId="21CA595F">
            <w:pPr>
              <w:pStyle w:val="33"/>
              <w:rPr>
                <w:color w:val="auto"/>
              </w:rPr>
            </w:pPr>
            <w:r>
              <w:rPr>
                <w:rFonts w:hint="eastAsia"/>
                <w:color w:val="auto"/>
              </w:rPr>
              <w:t>第一次</w:t>
            </w:r>
          </w:p>
        </w:tc>
        <w:tc>
          <w:tcPr>
            <w:tcW w:w="1511" w:type="dxa"/>
            <w:vAlign w:val="center"/>
          </w:tcPr>
          <w:p w14:paraId="6AD353D2">
            <w:pPr>
              <w:pStyle w:val="33"/>
              <w:rPr>
                <w:color w:val="auto"/>
              </w:rPr>
            </w:pPr>
            <w:r>
              <w:rPr>
                <w:rFonts w:hint="eastAsia"/>
                <w:color w:val="auto"/>
              </w:rPr>
              <w:t>第二次</w:t>
            </w:r>
          </w:p>
        </w:tc>
        <w:tc>
          <w:tcPr>
            <w:tcW w:w="1511" w:type="dxa"/>
            <w:vAlign w:val="center"/>
          </w:tcPr>
          <w:p w14:paraId="484395FA">
            <w:pPr>
              <w:pStyle w:val="33"/>
              <w:rPr>
                <w:color w:val="auto"/>
              </w:rPr>
            </w:pPr>
            <w:r>
              <w:rPr>
                <w:rFonts w:hint="eastAsia"/>
                <w:color w:val="auto"/>
              </w:rPr>
              <w:t>第三次</w:t>
            </w:r>
          </w:p>
        </w:tc>
        <w:tc>
          <w:tcPr>
            <w:tcW w:w="1511" w:type="dxa"/>
            <w:vAlign w:val="center"/>
          </w:tcPr>
          <w:p w14:paraId="63DD66DE">
            <w:pPr>
              <w:pStyle w:val="33"/>
              <w:rPr>
                <w:color w:val="auto"/>
              </w:rPr>
            </w:pPr>
            <w:r>
              <w:rPr>
                <w:rFonts w:hint="eastAsia"/>
                <w:color w:val="auto"/>
              </w:rPr>
              <w:t>平均值</w:t>
            </w:r>
          </w:p>
        </w:tc>
      </w:tr>
      <w:tr w14:paraId="0DDC6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4E17FF4F">
            <w:pPr>
              <w:pStyle w:val="33"/>
              <w:rPr>
                <w:color w:val="auto"/>
              </w:rPr>
            </w:pPr>
            <w:r>
              <w:rPr>
                <w:rFonts w:hint="eastAsia"/>
                <w:color w:val="auto"/>
              </w:rPr>
              <w:t>废气温度（℃）</w:t>
            </w:r>
          </w:p>
        </w:tc>
        <w:tc>
          <w:tcPr>
            <w:tcW w:w="1511" w:type="dxa"/>
            <w:vAlign w:val="center"/>
          </w:tcPr>
          <w:p w14:paraId="09AA5EB5">
            <w:pPr>
              <w:pStyle w:val="33"/>
              <w:rPr>
                <w:color w:val="auto"/>
              </w:rPr>
            </w:pPr>
            <w:r>
              <w:rPr>
                <w:rFonts w:hint="eastAsia"/>
                <w:color w:val="auto"/>
              </w:rPr>
              <w:t>46.7</w:t>
            </w:r>
          </w:p>
        </w:tc>
        <w:tc>
          <w:tcPr>
            <w:tcW w:w="1511" w:type="dxa"/>
            <w:vAlign w:val="center"/>
          </w:tcPr>
          <w:p w14:paraId="67FFF388">
            <w:pPr>
              <w:pStyle w:val="33"/>
              <w:rPr>
                <w:color w:val="auto"/>
              </w:rPr>
            </w:pPr>
            <w:r>
              <w:rPr>
                <w:rFonts w:hint="eastAsia"/>
                <w:color w:val="auto"/>
              </w:rPr>
              <w:t>45.7</w:t>
            </w:r>
          </w:p>
        </w:tc>
        <w:tc>
          <w:tcPr>
            <w:tcW w:w="1511" w:type="dxa"/>
            <w:vAlign w:val="center"/>
          </w:tcPr>
          <w:p w14:paraId="612EA7EF">
            <w:pPr>
              <w:pStyle w:val="33"/>
              <w:rPr>
                <w:color w:val="auto"/>
              </w:rPr>
            </w:pPr>
            <w:r>
              <w:rPr>
                <w:rFonts w:hint="eastAsia"/>
                <w:color w:val="auto"/>
              </w:rPr>
              <w:t>45.9</w:t>
            </w:r>
          </w:p>
        </w:tc>
        <w:tc>
          <w:tcPr>
            <w:tcW w:w="1511" w:type="dxa"/>
            <w:vAlign w:val="center"/>
          </w:tcPr>
          <w:p w14:paraId="55ED5B82">
            <w:pPr>
              <w:pStyle w:val="33"/>
              <w:rPr>
                <w:color w:val="auto"/>
              </w:rPr>
            </w:pPr>
            <w:r>
              <w:rPr>
                <w:rFonts w:hint="eastAsia"/>
                <w:color w:val="auto"/>
              </w:rPr>
              <w:t>46.1</w:t>
            </w:r>
          </w:p>
        </w:tc>
      </w:tr>
      <w:tr w14:paraId="1510D2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5AB594D2">
            <w:pPr>
              <w:pStyle w:val="33"/>
              <w:rPr>
                <w:color w:val="auto"/>
              </w:rPr>
            </w:pPr>
            <w:r>
              <w:rPr>
                <w:rFonts w:hint="eastAsia"/>
                <w:color w:val="auto"/>
              </w:rPr>
              <w:t>废气含湿量（%）</w:t>
            </w:r>
          </w:p>
        </w:tc>
        <w:tc>
          <w:tcPr>
            <w:tcW w:w="1511" w:type="dxa"/>
            <w:vAlign w:val="center"/>
          </w:tcPr>
          <w:p w14:paraId="031B27BE">
            <w:pPr>
              <w:pStyle w:val="33"/>
              <w:rPr>
                <w:color w:val="auto"/>
              </w:rPr>
            </w:pPr>
            <w:r>
              <w:rPr>
                <w:rFonts w:hint="eastAsia"/>
                <w:color w:val="auto"/>
              </w:rPr>
              <w:t>5.26</w:t>
            </w:r>
          </w:p>
        </w:tc>
        <w:tc>
          <w:tcPr>
            <w:tcW w:w="1511" w:type="dxa"/>
            <w:vAlign w:val="center"/>
          </w:tcPr>
          <w:p w14:paraId="43D04345">
            <w:pPr>
              <w:pStyle w:val="33"/>
              <w:rPr>
                <w:color w:val="auto"/>
              </w:rPr>
            </w:pPr>
            <w:r>
              <w:rPr>
                <w:rFonts w:hint="eastAsia"/>
                <w:color w:val="auto"/>
              </w:rPr>
              <w:t>5.36</w:t>
            </w:r>
          </w:p>
        </w:tc>
        <w:tc>
          <w:tcPr>
            <w:tcW w:w="1511" w:type="dxa"/>
            <w:vAlign w:val="center"/>
          </w:tcPr>
          <w:p w14:paraId="27B17E18">
            <w:pPr>
              <w:pStyle w:val="33"/>
              <w:rPr>
                <w:color w:val="auto"/>
              </w:rPr>
            </w:pPr>
            <w:r>
              <w:rPr>
                <w:rFonts w:hint="eastAsia"/>
                <w:color w:val="auto"/>
              </w:rPr>
              <w:t>5.22</w:t>
            </w:r>
          </w:p>
        </w:tc>
        <w:tc>
          <w:tcPr>
            <w:tcW w:w="1511" w:type="dxa"/>
            <w:vAlign w:val="center"/>
          </w:tcPr>
          <w:p w14:paraId="5F3F28E5">
            <w:pPr>
              <w:pStyle w:val="33"/>
              <w:rPr>
                <w:color w:val="auto"/>
              </w:rPr>
            </w:pPr>
            <w:r>
              <w:rPr>
                <w:rFonts w:hint="eastAsia"/>
                <w:color w:val="auto"/>
              </w:rPr>
              <w:t>5.28</w:t>
            </w:r>
          </w:p>
        </w:tc>
      </w:tr>
      <w:tr w14:paraId="1347C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416E1501">
            <w:pPr>
              <w:pStyle w:val="33"/>
              <w:rPr>
                <w:color w:val="auto"/>
              </w:rPr>
            </w:pPr>
            <w:r>
              <w:rPr>
                <w:rFonts w:hint="eastAsia"/>
                <w:color w:val="auto"/>
              </w:rPr>
              <w:t>废气流速（m/s）</w:t>
            </w:r>
          </w:p>
        </w:tc>
        <w:tc>
          <w:tcPr>
            <w:tcW w:w="1511" w:type="dxa"/>
            <w:vAlign w:val="center"/>
          </w:tcPr>
          <w:p w14:paraId="37289404">
            <w:pPr>
              <w:pStyle w:val="33"/>
              <w:rPr>
                <w:color w:val="auto"/>
              </w:rPr>
            </w:pPr>
            <w:r>
              <w:rPr>
                <w:rFonts w:hint="eastAsia"/>
                <w:color w:val="auto"/>
              </w:rPr>
              <w:t>8.8</w:t>
            </w:r>
          </w:p>
        </w:tc>
        <w:tc>
          <w:tcPr>
            <w:tcW w:w="1511" w:type="dxa"/>
            <w:vAlign w:val="center"/>
          </w:tcPr>
          <w:p w14:paraId="2AC33053">
            <w:pPr>
              <w:pStyle w:val="33"/>
              <w:rPr>
                <w:color w:val="auto"/>
              </w:rPr>
            </w:pPr>
            <w:r>
              <w:rPr>
                <w:rFonts w:hint="eastAsia"/>
                <w:color w:val="auto"/>
              </w:rPr>
              <w:t>8.9</w:t>
            </w:r>
          </w:p>
        </w:tc>
        <w:tc>
          <w:tcPr>
            <w:tcW w:w="1511" w:type="dxa"/>
            <w:vAlign w:val="center"/>
          </w:tcPr>
          <w:p w14:paraId="1D21B5F3">
            <w:pPr>
              <w:pStyle w:val="33"/>
              <w:rPr>
                <w:color w:val="auto"/>
              </w:rPr>
            </w:pPr>
            <w:r>
              <w:rPr>
                <w:rFonts w:hint="eastAsia"/>
                <w:color w:val="auto"/>
              </w:rPr>
              <w:t>8.6</w:t>
            </w:r>
          </w:p>
        </w:tc>
        <w:tc>
          <w:tcPr>
            <w:tcW w:w="1511" w:type="dxa"/>
            <w:vAlign w:val="center"/>
          </w:tcPr>
          <w:p w14:paraId="314DDDEE">
            <w:pPr>
              <w:pStyle w:val="33"/>
              <w:rPr>
                <w:color w:val="auto"/>
              </w:rPr>
            </w:pPr>
            <w:r>
              <w:rPr>
                <w:rFonts w:hint="eastAsia"/>
                <w:color w:val="auto"/>
              </w:rPr>
              <w:t>8.8</w:t>
            </w:r>
          </w:p>
        </w:tc>
      </w:tr>
      <w:tr w14:paraId="7CE49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4365629D">
            <w:pPr>
              <w:pStyle w:val="33"/>
              <w:rPr>
                <w:color w:val="auto"/>
              </w:rPr>
            </w:pPr>
            <w:r>
              <w:rPr>
                <w:rFonts w:hint="eastAsia"/>
                <w:color w:val="auto"/>
              </w:rPr>
              <w:t>标况干气量（m</w:t>
            </w:r>
            <w:r>
              <w:rPr>
                <w:rFonts w:hint="eastAsia"/>
                <w:color w:val="auto"/>
                <w:vertAlign w:val="superscript"/>
              </w:rPr>
              <w:t>3</w:t>
            </w:r>
            <w:r>
              <w:rPr>
                <w:rFonts w:hint="eastAsia"/>
                <w:color w:val="auto"/>
              </w:rPr>
              <w:t>/h）</w:t>
            </w:r>
          </w:p>
        </w:tc>
        <w:tc>
          <w:tcPr>
            <w:tcW w:w="1511" w:type="dxa"/>
            <w:vAlign w:val="center"/>
          </w:tcPr>
          <w:p w14:paraId="2384EB24">
            <w:pPr>
              <w:pStyle w:val="33"/>
              <w:rPr>
                <w:color w:val="auto"/>
              </w:rPr>
            </w:pPr>
            <w:r>
              <w:rPr>
                <w:rFonts w:hint="eastAsia"/>
                <w:color w:val="auto"/>
              </w:rPr>
              <w:t>3201</w:t>
            </w:r>
          </w:p>
        </w:tc>
        <w:tc>
          <w:tcPr>
            <w:tcW w:w="1511" w:type="dxa"/>
            <w:vAlign w:val="center"/>
          </w:tcPr>
          <w:p w14:paraId="3D3D9035">
            <w:pPr>
              <w:pStyle w:val="33"/>
              <w:rPr>
                <w:color w:val="auto"/>
              </w:rPr>
            </w:pPr>
            <w:r>
              <w:rPr>
                <w:rFonts w:hint="eastAsia"/>
                <w:color w:val="auto"/>
              </w:rPr>
              <w:t>3244</w:t>
            </w:r>
          </w:p>
        </w:tc>
        <w:tc>
          <w:tcPr>
            <w:tcW w:w="1511" w:type="dxa"/>
            <w:vAlign w:val="center"/>
          </w:tcPr>
          <w:p w14:paraId="7DD209B5">
            <w:pPr>
              <w:pStyle w:val="33"/>
              <w:rPr>
                <w:color w:val="auto"/>
              </w:rPr>
            </w:pPr>
            <w:r>
              <w:rPr>
                <w:rFonts w:hint="eastAsia"/>
                <w:color w:val="auto"/>
              </w:rPr>
              <w:t>3138</w:t>
            </w:r>
          </w:p>
        </w:tc>
        <w:tc>
          <w:tcPr>
            <w:tcW w:w="1511" w:type="dxa"/>
            <w:vAlign w:val="center"/>
          </w:tcPr>
          <w:p w14:paraId="7DCB5764">
            <w:pPr>
              <w:pStyle w:val="33"/>
              <w:rPr>
                <w:color w:val="auto"/>
              </w:rPr>
            </w:pPr>
            <w:r>
              <w:rPr>
                <w:rFonts w:hint="eastAsia"/>
                <w:color w:val="auto"/>
              </w:rPr>
              <w:t>3194</w:t>
            </w:r>
          </w:p>
        </w:tc>
      </w:tr>
      <w:tr w14:paraId="36F21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681793D7">
            <w:pPr>
              <w:pStyle w:val="33"/>
              <w:rPr>
                <w:color w:val="auto"/>
              </w:rPr>
            </w:pPr>
            <w:r>
              <w:rPr>
                <w:rFonts w:hint="eastAsia"/>
                <w:color w:val="auto"/>
              </w:rPr>
              <w:t>实测浓度（mg/m</w:t>
            </w:r>
            <w:r>
              <w:rPr>
                <w:rFonts w:hint="eastAsia"/>
                <w:color w:val="auto"/>
                <w:vertAlign w:val="superscript"/>
              </w:rPr>
              <w:t>3</w:t>
            </w:r>
            <w:r>
              <w:rPr>
                <w:rFonts w:hint="eastAsia"/>
                <w:color w:val="auto"/>
              </w:rPr>
              <w:t>）</w:t>
            </w:r>
          </w:p>
        </w:tc>
        <w:tc>
          <w:tcPr>
            <w:tcW w:w="1511" w:type="dxa"/>
            <w:vAlign w:val="center"/>
          </w:tcPr>
          <w:p w14:paraId="6B8F9B69">
            <w:pPr>
              <w:pStyle w:val="33"/>
              <w:rPr>
                <w:color w:val="auto"/>
              </w:rPr>
            </w:pPr>
            <w:r>
              <w:rPr>
                <w:rFonts w:hint="eastAsia"/>
                <w:color w:val="auto"/>
              </w:rPr>
              <w:t>5.83</w:t>
            </w:r>
          </w:p>
        </w:tc>
        <w:tc>
          <w:tcPr>
            <w:tcW w:w="1511" w:type="dxa"/>
            <w:vAlign w:val="center"/>
          </w:tcPr>
          <w:p w14:paraId="7F49F218">
            <w:pPr>
              <w:pStyle w:val="33"/>
              <w:rPr>
                <w:color w:val="auto"/>
              </w:rPr>
            </w:pPr>
            <w:r>
              <w:rPr>
                <w:rFonts w:hint="eastAsia"/>
                <w:color w:val="auto"/>
              </w:rPr>
              <w:t>7.25</w:t>
            </w:r>
          </w:p>
        </w:tc>
        <w:tc>
          <w:tcPr>
            <w:tcW w:w="1511" w:type="dxa"/>
            <w:vAlign w:val="center"/>
          </w:tcPr>
          <w:p w14:paraId="52D972BC">
            <w:pPr>
              <w:pStyle w:val="33"/>
              <w:rPr>
                <w:color w:val="auto"/>
              </w:rPr>
            </w:pPr>
            <w:r>
              <w:rPr>
                <w:rFonts w:hint="eastAsia"/>
                <w:color w:val="auto"/>
              </w:rPr>
              <w:t>6.78</w:t>
            </w:r>
          </w:p>
        </w:tc>
        <w:tc>
          <w:tcPr>
            <w:tcW w:w="1511" w:type="dxa"/>
            <w:vAlign w:val="center"/>
          </w:tcPr>
          <w:p w14:paraId="7B13856A">
            <w:pPr>
              <w:pStyle w:val="33"/>
              <w:rPr>
                <w:color w:val="auto"/>
              </w:rPr>
            </w:pPr>
            <w:r>
              <w:rPr>
                <w:rFonts w:hint="eastAsia"/>
                <w:color w:val="auto"/>
              </w:rPr>
              <w:t>6.62</w:t>
            </w:r>
          </w:p>
        </w:tc>
      </w:tr>
      <w:tr w14:paraId="140C1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15" w:type="dxa"/>
            <w:vAlign w:val="center"/>
          </w:tcPr>
          <w:p w14:paraId="011BE875">
            <w:pPr>
              <w:pStyle w:val="33"/>
              <w:rPr>
                <w:color w:val="auto"/>
              </w:rPr>
            </w:pPr>
            <w:r>
              <w:rPr>
                <w:rFonts w:hint="eastAsia"/>
                <w:color w:val="auto"/>
              </w:rPr>
              <w:t>排放速率（kg/h）</w:t>
            </w:r>
          </w:p>
        </w:tc>
        <w:tc>
          <w:tcPr>
            <w:tcW w:w="1511" w:type="dxa"/>
            <w:vAlign w:val="center"/>
          </w:tcPr>
          <w:p w14:paraId="26B17D9D">
            <w:pPr>
              <w:pStyle w:val="33"/>
              <w:rPr>
                <w:color w:val="auto"/>
              </w:rPr>
            </w:pPr>
            <w:r>
              <w:rPr>
                <w:rFonts w:hint="eastAsia"/>
                <w:color w:val="auto"/>
              </w:rPr>
              <w:t>0.02</w:t>
            </w:r>
          </w:p>
        </w:tc>
        <w:tc>
          <w:tcPr>
            <w:tcW w:w="1511" w:type="dxa"/>
            <w:vAlign w:val="center"/>
          </w:tcPr>
          <w:p w14:paraId="022CB0DA">
            <w:pPr>
              <w:pStyle w:val="33"/>
              <w:rPr>
                <w:color w:val="auto"/>
              </w:rPr>
            </w:pPr>
            <w:r>
              <w:rPr>
                <w:rFonts w:hint="eastAsia"/>
                <w:color w:val="auto"/>
              </w:rPr>
              <w:t>0.02</w:t>
            </w:r>
          </w:p>
        </w:tc>
        <w:tc>
          <w:tcPr>
            <w:tcW w:w="1511" w:type="dxa"/>
            <w:vAlign w:val="center"/>
          </w:tcPr>
          <w:p w14:paraId="07895EBF">
            <w:pPr>
              <w:pStyle w:val="33"/>
              <w:rPr>
                <w:color w:val="auto"/>
              </w:rPr>
            </w:pPr>
            <w:r>
              <w:rPr>
                <w:rFonts w:hint="eastAsia"/>
                <w:color w:val="auto"/>
              </w:rPr>
              <w:t>0.02</w:t>
            </w:r>
          </w:p>
        </w:tc>
        <w:tc>
          <w:tcPr>
            <w:tcW w:w="1511" w:type="dxa"/>
            <w:vAlign w:val="center"/>
          </w:tcPr>
          <w:p w14:paraId="3C04826B">
            <w:pPr>
              <w:pStyle w:val="33"/>
              <w:rPr>
                <w:color w:val="auto"/>
              </w:rPr>
            </w:pPr>
            <w:r>
              <w:rPr>
                <w:rFonts w:hint="eastAsia"/>
                <w:color w:val="auto"/>
              </w:rPr>
              <w:t>0.02</w:t>
            </w:r>
          </w:p>
        </w:tc>
      </w:tr>
    </w:tbl>
    <w:p w14:paraId="795DAAB6">
      <w:pPr>
        <w:ind w:firstLine="480"/>
        <w:rPr>
          <w:color w:val="auto"/>
        </w:rPr>
      </w:pPr>
      <w:r>
        <w:rPr>
          <w:rFonts w:hint="eastAsia"/>
          <w:color w:val="auto"/>
        </w:rPr>
        <w:t>根据监测结果，正常生产情况下，淋膜纸车间有组织废气量为17077m</w:t>
      </w:r>
      <w:r>
        <w:rPr>
          <w:rFonts w:hint="eastAsia"/>
          <w:color w:val="auto"/>
          <w:vertAlign w:val="superscript"/>
        </w:rPr>
        <w:t>3</w:t>
      </w:r>
      <w:r>
        <w:rPr>
          <w:rFonts w:hint="eastAsia"/>
          <w:color w:val="auto"/>
        </w:rPr>
        <w:t>/h，排放速率为0.11kg/h。本次改造工程完成后废气经二级活性炭吸附处理后，通过一根18m高排气筒</w:t>
      </w:r>
      <w:r>
        <w:rPr>
          <w:color w:val="auto"/>
        </w:rPr>
        <w:t>（DA0</w:t>
      </w:r>
      <w:r>
        <w:rPr>
          <w:rFonts w:hint="eastAsia"/>
          <w:color w:val="auto"/>
        </w:rPr>
        <w:t>46</w:t>
      </w:r>
      <w:r>
        <w:rPr>
          <w:color w:val="auto"/>
        </w:rPr>
        <w:t>）</w:t>
      </w:r>
      <w:r>
        <w:rPr>
          <w:rFonts w:hint="eastAsia"/>
          <w:color w:val="auto"/>
        </w:rPr>
        <w:t>排放。</w:t>
      </w:r>
    </w:p>
    <w:p w14:paraId="3D891A45">
      <w:pPr>
        <w:ind w:firstLine="480"/>
        <w:rPr>
          <w:color w:val="auto"/>
        </w:rPr>
      </w:pPr>
      <w:r>
        <w:rPr>
          <w:rFonts w:hint="eastAsia"/>
          <w:color w:val="auto"/>
        </w:rPr>
        <w:t>根据上述监测结果淋膜纸车间有组织废气产生量为13934.83×10</w:t>
      </w:r>
      <w:r>
        <w:rPr>
          <w:rFonts w:hint="eastAsia"/>
          <w:color w:val="auto"/>
          <w:vertAlign w:val="superscript"/>
        </w:rPr>
        <w:t>4</w:t>
      </w:r>
      <w:r>
        <w:rPr>
          <w:rFonts w:hint="eastAsia"/>
          <w:color w:val="auto"/>
        </w:rPr>
        <w:t>m</w:t>
      </w:r>
      <w:r>
        <w:rPr>
          <w:rFonts w:hint="eastAsia"/>
          <w:color w:val="auto"/>
          <w:vertAlign w:val="superscript"/>
        </w:rPr>
        <w:t>3</w:t>
      </w:r>
      <w:r>
        <w:rPr>
          <w:rFonts w:hint="eastAsia"/>
          <w:color w:val="auto"/>
        </w:rPr>
        <w:t>/a，非甲烷总烃产生量为0.898t/a，产生速率0.11kg/h，产生浓度6.44mg/m</w:t>
      </w:r>
      <w:r>
        <w:rPr>
          <w:rFonts w:hint="eastAsia"/>
          <w:color w:val="auto"/>
          <w:vertAlign w:val="superscript"/>
        </w:rPr>
        <w:t>3</w:t>
      </w:r>
      <w:r>
        <w:rPr>
          <w:rFonts w:hint="eastAsia"/>
          <w:color w:val="auto"/>
        </w:rPr>
        <w:t>。参考《广东省印刷行业挥发性有机化合物废气治理技术指南》表</w:t>
      </w:r>
      <w:r>
        <w:rPr>
          <w:color w:val="auto"/>
        </w:rPr>
        <w:t>5</w:t>
      </w:r>
      <w:r>
        <w:rPr>
          <w:rFonts w:hint="eastAsia"/>
          <w:color w:val="auto"/>
        </w:rPr>
        <w:t>，活性炭吸附装置进行及时更换时，吸附法对</w:t>
      </w:r>
      <w:r>
        <w:rPr>
          <w:color w:val="auto"/>
        </w:rPr>
        <w:t>VOCs</w:t>
      </w:r>
      <w:r>
        <w:rPr>
          <w:rFonts w:hint="eastAsia"/>
          <w:color w:val="auto"/>
        </w:rPr>
        <w:t>治理效率可达</w:t>
      </w:r>
      <w:r>
        <w:rPr>
          <w:color w:val="auto"/>
        </w:rPr>
        <w:t>50%~80%</w:t>
      </w:r>
      <w:r>
        <w:rPr>
          <w:rFonts w:hint="eastAsia"/>
          <w:color w:val="auto"/>
        </w:rPr>
        <w:t>，二级活性炭处理效率按</w:t>
      </w:r>
      <w:r>
        <w:rPr>
          <w:color w:val="auto"/>
        </w:rPr>
        <w:t>50%</w:t>
      </w:r>
      <w:r>
        <w:rPr>
          <w:rFonts w:hint="eastAsia"/>
          <w:color w:val="auto"/>
        </w:rPr>
        <w:t>计，则有淋膜纸车间有组织废气排放量为17077m</w:t>
      </w:r>
      <w:r>
        <w:rPr>
          <w:rFonts w:hint="eastAsia"/>
          <w:color w:val="auto"/>
          <w:vertAlign w:val="superscript"/>
        </w:rPr>
        <w:t>3</w:t>
      </w:r>
      <w:r>
        <w:rPr>
          <w:rFonts w:hint="eastAsia"/>
          <w:color w:val="auto"/>
        </w:rPr>
        <w:t>/h，排放速率为0.055kg/h，排放浓度为3.22mg/m</w:t>
      </w:r>
      <w:r>
        <w:rPr>
          <w:rFonts w:hint="eastAsia"/>
          <w:color w:val="auto"/>
          <w:vertAlign w:val="superscript"/>
        </w:rPr>
        <w:t>3</w:t>
      </w:r>
      <w:r>
        <w:rPr>
          <w:rFonts w:hint="eastAsia"/>
          <w:color w:val="auto"/>
        </w:rPr>
        <w:t>。排放浓度和排放速率均满足《大气污染物综合排放标准》（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p w14:paraId="0CA244A2">
      <w:pPr>
        <w:pStyle w:val="5"/>
        <w:rPr>
          <w:color w:val="auto"/>
        </w:rPr>
      </w:pPr>
      <w:r>
        <w:rPr>
          <w:rFonts w:hint="eastAsia"/>
          <w:color w:val="auto"/>
        </w:rPr>
        <w:t>无组织废气排放</w:t>
      </w:r>
    </w:p>
    <w:p w14:paraId="6B561A9F">
      <w:pPr>
        <w:ind w:firstLine="480"/>
        <w:rPr>
          <w:color w:val="auto"/>
        </w:rPr>
      </w:pPr>
      <w:r>
        <w:rPr>
          <w:rFonts w:hint="eastAsia"/>
          <w:color w:val="auto"/>
        </w:rPr>
        <w:t>1、造纸辅助车间无组织废气</w:t>
      </w:r>
    </w:p>
    <w:p w14:paraId="29836B01">
      <w:pPr>
        <w:ind w:firstLine="480"/>
        <w:rPr>
          <w:color w:val="auto"/>
        </w:rPr>
      </w:pPr>
      <w:r>
        <w:rPr>
          <w:rFonts w:hint="eastAsia"/>
          <w:color w:val="auto"/>
        </w:rPr>
        <w:t>造纸辅助车间GCC（研磨碳酸钙）车间投料斗、振动筛、破碎机出料、干磨机出料过程中产生一定的含尘废气，通过采购水洗后的大理石，可以从源头上减少原料含尘量；另外通过在投料斗、振动筛采取喷淋措施，可以减少原料及预处理段的废气含尘量；通过采用封闭式破碎机，可以避免破碎过程含尘废气的产生，在破碎机出料及输送段采用集气装置并安装布袋除尘器；通过采用封闭式干磨机，可以避免干磨过程含尘废气的产生，在干磨机出料处采用布袋除尘器用来集料。通过采取喷淋及布袋除尘器等措施，降低粉尘影响。</w:t>
      </w:r>
    </w:p>
    <w:p w14:paraId="4C77E80B">
      <w:pPr>
        <w:ind w:firstLine="480"/>
        <w:rPr>
          <w:color w:val="auto"/>
        </w:rPr>
      </w:pPr>
      <w:r>
        <w:rPr>
          <w:rFonts w:hint="eastAsia"/>
          <w:color w:val="auto"/>
        </w:rPr>
        <w:t>1#GCC（研磨碳酸钙）车间面积5100m</w:t>
      </w:r>
      <w:r>
        <w:rPr>
          <w:rFonts w:hint="eastAsia"/>
          <w:color w:val="auto"/>
          <w:vertAlign w:val="superscript"/>
        </w:rPr>
        <w:t>2</w:t>
      </w:r>
      <w:r>
        <w:rPr>
          <w:rFonts w:hint="eastAsia"/>
          <w:color w:val="auto"/>
        </w:rPr>
        <w:t>碳酸钙处理量由18.2万t/a增加至27.3万t/a，2#GCC（研磨碳酸钙）车间面积22000m</w:t>
      </w:r>
      <w:r>
        <w:rPr>
          <w:rFonts w:hint="eastAsia"/>
          <w:color w:val="auto"/>
          <w:vertAlign w:val="superscript"/>
        </w:rPr>
        <w:t>2</w:t>
      </w:r>
      <w:r>
        <w:rPr>
          <w:rFonts w:hint="eastAsia"/>
          <w:color w:val="auto"/>
        </w:rPr>
        <w:t>，碳酸钙处理量由16.38万t/a增加至38.7万t/a。根据现有工程，GCC（研磨碳酸钙）车间碳酸钙处理后的得率为99.995%，其他按无组织排放进行核算，1#GCC（研磨碳酸钙）排尘量由9.1t/a（1.12kg/h）增加至13.65t/a（1.67kg/h），增加4.55t/a（0.56kg/h）；2#GCC（研磨碳酸钙）车间排尘量由8.19t/a（1.00kg/h）增加至19.35t/a（2.37kg/h），增加11.16t/a（1.37kg/h）。废气通过屋顶换气风扇无组织排放，平均排放高度</w:t>
      </w:r>
      <w:r>
        <w:rPr>
          <w:color w:val="auto"/>
        </w:rPr>
        <w:t>23m</w:t>
      </w:r>
      <w:r>
        <w:rPr>
          <w:rFonts w:hint="eastAsia"/>
          <w:color w:val="auto"/>
        </w:rPr>
        <w:t>。</w:t>
      </w:r>
    </w:p>
    <w:p w14:paraId="38E9D25A">
      <w:pPr>
        <w:ind w:firstLine="480"/>
        <w:rPr>
          <w:color w:val="auto"/>
        </w:rPr>
      </w:pPr>
      <w:r>
        <w:rPr>
          <w:rFonts w:hint="eastAsia"/>
          <w:color w:val="auto"/>
        </w:rPr>
        <w:t>2、淋膜纸无组织废气</w:t>
      </w:r>
    </w:p>
    <w:p w14:paraId="589DEA62">
      <w:pPr>
        <w:ind w:firstLine="480"/>
        <w:rPr>
          <w:color w:val="auto"/>
        </w:rPr>
      </w:pPr>
      <w:r>
        <w:rPr>
          <w:rFonts w:hint="eastAsia"/>
          <w:color w:val="auto"/>
        </w:rPr>
        <w:t>淋膜纸车间集气罩收集效率按90%计，无组织排放速率为0.012kg/h，排放量0.098t/a。未收集的废气通过车间顶部换气扇无组织排放，平均排放高度13m。</w:t>
      </w:r>
    </w:p>
    <w:p w14:paraId="480862CE">
      <w:pPr>
        <w:pStyle w:val="5"/>
        <w:rPr>
          <w:color w:val="auto"/>
        </w:rPr>
      </w:pPr>
      <w:r>
        <w:rPr>
          <w:rFonts w:hint="eastAsia"/>
          <w:color w:val="auto"/>
        </w:rPr>
        <w:t>污水处理系统废气排放</w:t>
      </w:r>
    </w:p>
    <w:p w14:paraId="21A52336">
      <w:pPr>
        <w:ind w:firstLine="480"/>
        <w:rPr>
          <w:color w:val="auto"/>
        </w:rPr>
      </w:pPr>
      <w:r>
        <w:rPr>
          <w:color w:val="auto"/>
        </w:rPr>
        <w:t>（1）污水处理废气</w:t>
      </w:r>
    </w:p>
    <w:p w14:paraId="57448D1B">
      <w:pPr>
        <w:ind w:firstLine="480"/>
        <w:rPr>
          <w:color w:val="auto"/>
        </w:rPr>
      </w:pPr>
      <w:r>
        <w:rPr>
          <w:color w:val="auto"/>
        </w:rPr>
        <w:t>在污水处理厂运行过程中，由于伴随微生物、原生动物、菌股团等生物的新陈代谢而产生恶臭污染物，恶臭废气成分主要有五大类物质，随季节温度的变化恶臭强度有所变化，夏季气温高，臭气强，冬季气温低，臭气弱，臭气污染物的产生及排放量与污水处理厂的管理水平、污水处理厂的进水水质、污水处理厂的处理工艺及污水处理构筑物的表面面积等相关。</w:t>
      </w:r>
    </w:p>
    <w:p w14:paraId="7BE63160">
      <w:pPr>
        <w:pStyle w:val="7"/>
        <w:rPr>
          <w:color w:val="auto"/>
        </w:rPr>
      </w:pPr>
      <w:bookmarkStart w:id="217" w:name="_Ref168585107"/>
      <w:r>
        <w:rPr>
          <w:color w:val="auto"/>
        </w:rPr>
        <w:t>恶臭气体的主要成分</w:t>
      </w:r>
      <w:bookmarkEnd w:id="217"/>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6"/>
        <w:gridCol w:w="4039"/>
      </w:tblGrid>
      <w:tr w14:paraId="4CF5D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blHeader/>
          <w:jc w:val="center"/>
        </w:trPr>
        <w:tc>
          <w:tcPr>
            <w:tcW w:w="2825" w:type="pct"/>
            <w:tcBorders>
              <w:top w:val="single" w:color="auto" w:sz="4" w:space="0"/>
              <w:left w:val="single" w:color="auto" w:sz="4" w:space="0"/>
              <w:bottom w:val="single" w:color="auto" w:sz="4" w:space="0"/>
              <w:right w:val="single" w:color="auto" w:sz="4" w:space="0"/>
            </w:tcBorders>
            <w:vAlign w:val="center"/>
          </w:tcPr>
          <w:p w14:paraId="490137A5">
            <w:pPr>
              <w:pStyle w:val="33"/>
              <w:rPr>
                <w:color w:val="auto"/>
              </w:rPr>
            </w:pPr>
            <w:r>
              <w:rPr>
                <w:color w:val="auto"/>
              </w:rPr>
              <w:t>类别</w:t>
            </w:r>
          </w:p>
        </w:tc>
        <w:tc>
          <w:tcPr>
            <w:tcW w:w="2175" w:type="pct"/>
            <w:tcBorders>
              <w:top w:val="single" w:color="auto" w:sz="4" w:space="0"/>
              <w:left w:val="single" w:color="auto" w:sz="4" w:space="0"/>
              <w:bottom w:val="single" w:color="auto" w:sz="4" w:space="0"/>
              <w:right w:val="single" w:color="auto" w:sz="4" w:space="0"/>
            </w:tcBorders>
            <w:vAlign w:val="center"/>
          </w:tcPr>
          <w:p w14:paraId="4EC093E0">
            <w:pPr>
              <w:pStyle w:val="33"/>
              <w:rPr>
                <w:color w:val="auto"/>
              </w:rPr>
            </w:pPr>
            <w:r>
              <w:rPr>
                <w:color w:val="auto"/>
              </w:rPr>
              <w:t>代表性因子</w:t>
            </w:r>
          </w:p>
        </w:tc>
      </w:tr>
      <w:tr w14:paraId="24B48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pct"/>
            <w:tcBorders>
              <w:top w:val="single" w:color="auto" w:sz="4" w:space="0"/>
              <w:left w:val="single" w:color="auto" w:sz="4" w:space="0"/>
              <w:bottom w:val="single" w:color="auto" w:sz="4" w:space="0"/>
              <w:right w:val="single" w:color="auto" w:sz="4" w:space="0"/>
            </w:tcBorders>
            <w:vAlign w:val="center"/>
          </w:tcPr>
          <w:p w14:paraId="0E5A7079">
            <w:pPr>
              <w:pStyle w:val="33"/>
              <w:rPr>
                <w:color w:val="auto"/>
              </w:rPr>
            </w:pPr>
            <w:r>
              <w:rPr>
                <w:color w:val="auto"/>
              </w:rPr>
              <w:t>含硫的化合物：如硫化氢、硫醇类、硫醚类等</w:t>
            </w:r>
          </w:p>
        </w:tc>
        <w:tc>
          <w:tcPr>
            <w:tcW w:w="2175" w:type="pct"/>
            <w:tcBorders>
              <w:top w:val="single" w:color="auto" w:sz="4" w:space="0"/>
              <w:left w:val="single" w:color="auto" w:sz="4" w:space="0"/>
              <w:bottom w:val="single" w:color="auto" w:sz="4" w:space="0"/>
              <w:right w:val="single" w:color="auto" w:sz="4" w:space="0"/>
            </w:tcBorders>
            <w:vAlign w:val="center"/>
          </w:tcPr>
          <w:p w14:paraId="3E99934B">
            <w:pPr>
              <w:pStyle w:val="33"/>
              <w:rPr>
                <w:color w:val="auto"/>
              </w:rPr>
            </w:pPr>
            <w:r>
              <w:rPr>
                <w:color w:val="auto"/>
              </w:rPr>
              <w:t>H</w:t>
            </w:r>
            <w:r>
              <w:rPr>
                <w:color w:val="auto"/>
                <w:vertAlign w:val="subscript"/>
              </w:rPr>
              <w:t>2</w:t>
            </w:r>
            <w:r>
              <w:rPr>
                <w:color w:val="auto"/>
              </w:rPr>
              <w:t>S、CH</w:t>
            </w:r>
            <w:r>
              <w:rPr>
                <w:color w:val="auto"/>
                <w:vertAlign w:val="subscript"/>
              </w:rPr>
              <w:t>3</w:t>
            </w:r>
            <w:r>
              <w:rPr>
                <w:color w:val="auto"/>
              </w:rPr>
              <w:t>SH、CH</w:t>
            </w:r>
            <w:r>
              <w:rPr>
                <w:color w:val="auto"/>
                <w:vertAlign w:val="subscript"/>
              </w:rPr>
              <w:t>3</w:t>
            </w:r>
            <w:r>
              <w:rPr>
                <w:color w:val="auto"/>
              </w:rPr>
              <w:t>SCH</w:t>
            </w:r>
            <w:r>
              <w:rPr>
                <w:color w:val="auto"/>
                <w:vertAlign w:val="subscript"/>
              </w:rPr>
              <w:t>3</w:t>
            </w:r>
            <w:r>
              <w:rPr>
                <w:color w:val="auto"/>
              </w:rPr>
              <w:t>、CH</w:t>
            </w:r>
            <w:r>
              <w:rPr>
                <w:color w:val="auto"/>
                <w:vertAlign w:val="subscript"/>
              </w:rPr>
              <w:t>3</w:t>
            </w:r>
            <w:r>
              <w:rPr>
                <w:color w:val="auto"/>
              </w:rPr>
              <w:t>SSCH</w:t>
            </w:r>
            <w:r>
              <w:rPr>
                <w:color w:val="auto"/>
                <w:vertAlign w:val="subscript"/>
              </w:rPr>
              <w:t>3</w:t>
            </w:r>
          </w:p>
        </w:tc>
      </w:tr>
      <w:tr w14:paraId="17F58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pct"/>
            <w:tcBorders>
              <w:top w:val="single" w:color="auto" w:sz="4" w:space="0"/>
              <w:left w:val="single" w:color="auto" w:sz="4" w:space="0"/>
              <w:bottom w:val="single" w:color="auto" w:sz="4" w:space="0"/>
              <w:right w:val="single" w:color="auto" w:sz="4" w:space="0"/>
            </w:tcBorders>
            <w:vAlign w:val="center"/>
          </w:tcPr>
          <w:p w14:paraId="3D94C9CD">
            <w:pPr>
              <w:pStyle w:val="33"/>
              <w:rPr>
                <w:color w:val="auto"/>
              </w:rPr>
            </w:pPr>
            <w:r>
              <w:rPr>
                <w:color w:val="auto"/>
              </w:rPr>
              <w:t>含氨化合物：如氨、胺、吲哚类等</w:t>
            </w:r>
          </w:p>
        </w:tc>
        <w:tc>
          <w:tcPr>
            <w:tcW w:w="2175" w:type="pct"/>
            <w:tcBorders>
              <w:top w:val="single" w:color="auto" w:sz="4" w:space="0"/>
              <w:left w:val="single" w:color="auto" w:sz="4" w:space="0"/>
              <w:bottom w:val="single" w:color="auto" w:sz="4" w:space="0"/>
              <w:right w:val="single" w:color="auto" w:sz="4" w:space="0"/>
            </w:tcBorders>
            <w:vAlign w:val="center"/>
          </w:tcPr>
          <w:p w14:paraId="100E8448">
            <w:pPr>
              <w:pStyle w:val="33"/>
              <w:rPr>
                <w:color w:val="auto"/>
              </w:rPr>
            </w:pPr>
            <w:r>
              <w:rPr>
                <w:color w:val="auto"/>
              </w:rPr>
              <w:t>NH</w:t>
            </w:r>
            <w:r>
              <w:rPr>
                <w:color w:val="auto"/>
                <w:vertAlign w:val="subscript"/>
              </w:rPr>
              <w:t>3</w:t>
            </w:r>
            <w:r>
              <w:rPr>
                <w:color w:val="auto"/>
              </w:rPr>
              <w:t>、（CH</w:t>
            </w:r>
            <w:r>
              <w:rPr>
                <w:color w:val="auto"/>
                <w:vertAlign w:val="subscript"/>
              </w:rPr>
              <w:t>3</w:t>
            </w:r>
            <w:r>
              <w:rPr>
                <w:color w:val="auto"/>
              </w:rPr>
              <w:t>）</w:t>
            </w:r>
            <w:r>
              <w:rPr>
                <w:color w:val="auto"/>
                <w:vertAlign w:val="subscript"/>
              </w:rPr>
              <w:t>3</w:t>
            </w:r>
            <w:r>
              <w:rPr>
                <w:color w:val="auto"/>
              </w:rPr>
              <w:t>N、吲哚</w:t>
            </w:r>
          </w:p>
        </w:tc>
      </w:tr>
      <w:tr w14:paraId="19895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pct"/>
            <w:tcBorders>
              <w:top w:val="single" w:color="auto" w:sz="4" w:space="0"/>
              <w:left w:val="single" w:color="auto" w:sz="4" w:space="0"/>
              <w:bottom w:val="single" w:color="auto" w:sz="4" w:space="0"/>
              <w:right w:val="single" w:color="auto" w:sz="4" w:space="0"/>
            </w:tcBorders>
            <w:vAlign w:val="center"/>
          </w:tcPr>
          <w:p w14:paraId="41D25A75">
            <w:pPr>
              <w:pStyle w:val="33"/>
              <w:rPr>
                <w:color w:val="auto"/>
              </w:rPr>
            </w:pPr>
            <w:r>
              <w:rPr>
                <w:color w:val="auto"/>
              </w:rPr>
              <w:t>卤素及衍生物：如氯气、卤代烃等</w:t>
            </w:r>
          </w:p>
        </w:tc>
        <w:tc>
          <w:tcPr>
            <w:tcW w:w="2175" w:type="pct"/>
            <w:tcBorders>
              <w:top w:val="single" w:color="auto" w:sz="4" w:space="0"/>
              <w:left w:val="single" w:color="auto" w:sz="4" w:space="0"/>
              <w:bottom w:val="single" w:color="auto" w:sz="4" w:space="0"/>
              <w:right w:val="single" w:color="auto" w:sz="4" w:space="0"/>
            </w:tcBorders>
            <w:vAlign w:val="center"/>
          </w:tcPr>
          <w:p w14:paraId="3DE51CA9">
            <w:pPr>
              <w:pStyle w:val="33"/>
              <w:rPr>
                <w:color w:val="auto"/>
              </w:rPr>
            </w:pPr>
            <w:r>
              <w:rPr>
                <w:color w:val="auto"/>
              </w:rPr>
              <w:t>CS</w:t>
            </w:r>
            <w:r>
              <w:rPr>
                <w:color w:val="auto"/>
                <w:vertAlign w:val="subscript"/>
              </w:rPr>
              <w:t>2</w:t>
            </w:r>
          </w:p>
        </w:tc>
      </w:tr>
      <w:tr w14:paraId="2A46B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pct"/>
            <w:tcBorders>
              <w:top w:val="single" w:color="auto" w:sz="4" w:space="0"/>
              <w:left w:val="single" w:color="auto" w:sz="4" w:space="0"/>
              <w:bottom w:val="single" w:color="auto" w:sz="4" w:space="0"/>
              <w:right w:val="single" w:color="auto" w:sz="4" w:space="0"/>
            </w:tcBorders>
            <w:vAlign w:val="center"/>
          </w:tcPr>
          <w:p w14:paraId="44E667D5">
            <w:pPr>
              <w:pStyle w:val="33"/>
              <w:rPr>
                <w:color w:val="auto"/>
              </w:rPr>
            </w:pPr>
            <w:r>
              <w:rPr>
                <w:color w:val="auto"/>
              </w:rPr>
              <w:t>烃类：如烷烃、烯烃、炔烃、芳香烃</w:t>
            </w:r>
          </w:p>
        </w:tc>
        <w:tc>
          <w:tcPr>
            <w:tcW w:w="2175" w:type="pct"/>
            <w:tcBorders>
              <w:top w:val="single" w:color="auto" w:sz="4" w:space="0"/>
              <w:left w:val="single" w:color="auto" w:sz="4" w:space="0"/>
              <w:bottom w:val="single" w:color="auto" w:sz="4" w:space="0"/>
              <w:right w:val="single" w:color="auto" w:sz="4" w:space="0"/>
            </w:tcBorders>
            <w:vAlign w:val="center"/>
          </w:tcPr>
          <w:p w14:paraId="562A27D3">
            <w:pPr>
              <w:pStyle w:val="33"/>
              <w:rPr>
                <w:color w:val="auto"/>
              </w:rPr>
            </w:pPr>
            <w:r>
              <w:rPr>
                <w:color w:val="auto"/>
              </w:rPr>
              <w:t>CH</w:t>
            </w:r>
            <w:r>
              <w:rPr>
                <w:color w:val="auto"/>
                <w:vertAlign w:val="subscript"/>
              </w:rPr>
              <w:t>4</w:t>
            </w:r>
            <w:r>
              <w:rPr>
                <w:color w:val="auto"/>
              </w:rPr>
              <w:t>、苯乙烯</w:t>
            </w:r>
          </w:p>
        </w:tc>
      </w:tr>
      <w:tr w14:paraId="6ECDF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25" w:type="pct"/>
            <w:tcBorders>
              <w:top w:val="single" w:color="auto" w:sz="4" w:space="0"/>
              <w:left w:val="single" w:color="auto" w:sz="4" w:space="0"/>
              <w:bottom w:val="single" w:color="auto" w:sz="4" w:space="0"/>
              <w:right w:val="single" w:color="auto" w:sz="4" w:space="0"/>
            </w:tcBorders>
            <w:vAlign w:val="center"/>
          </w:tcPr>
          <w:p w14:paraId="75876D16">
            <w:pPr>
              <w:pStyle w:val="33"/>
              <w:rPr>
                <w:color w:val="auto"/>
              </w:rPr>
            </w:pPr>
            <w:r>
              <w:rPr>
                <w:color w:val="auto"/>
              </w:rPr>
              <w:t>含氧有机物：如醇、酚、醛、酮、有机酸等</w:t>
            </w:r>
          </w:p>
        </w:tc>
        <w:tc>
          <w:tcPr>
            <w:tcW w:w="2175" w:type="pct"/>
            <w:tcBorders>
              <w:top w:val="single" w:color="auto" w:sz="4" w:space="0"/>
              <w:left w:val="single" w:color="auto" w:sz="4" w:space="0"/>
              <w:bottom w:val="single" w:color="auto" w:sz="4" w:space="0"/>
              <w:right w:val="single" w:color="auto" w:sz="4" w:space="0"/>
            </w:tcBorders>
            <w:vAlign w:val="center"/>
          </w:tcPr>
          <w:p w14:paraId="6770D5FB">
            <w:pPr>
              <w:pStyle w:val="33"/>
              <w:rPr>
                <w:color w:val="auto"/>
              </w:rPr>
            </w:pPr>
            <w:r>
              <w:rPr>
                <w:color w:val="auto"/>
              </w:rPr>
              <w:t>/</w:t>
            </w:r>
          </w:p>
        </w:tc>
      </w:tr>
    </w:tbl>
    <w:p w14:paraId="6F267353">
      <w:pPr>
        <w:ind w:firstLine="480"/>
        <w:rPr>
          <w:color w:val="auto"/>
        </w:rPr>
      </w:pPr>
      <w:r>
        <w:rPr>
          <w:color w:val="auto"/>
        </w:rPr>
        <w:t>本项目运营期产生的废气主要是H</w:t>
      </w:r>
      <w:r>
        <w:rPr>
          <w:color w:val="auto"/>
          <w:vertAlign w:val="subscript"/>
        </w:rPr>
        <w:t>2</w:t>
      </w:r>
      <w:r>
        <w:rPr>
          <w:color w:val="auto"/>
        </w:rPr>
        <w:t>S、NH</w:t>
      </w:r>
      <w:r>
        <w:rPr>
          <w:color w:val="auto"/>
          <w:vertAlign w:val="subscript"/>
        </w:rPr>
        <w:t>3</w:t>
      </w:r>
      <w:r>
        <w:rPr>
          <w:color w:val="auto"/>
        </w:rPr>
        <w:t>等恶臭气体，其主要来源为废水预处理单元、生化处理单元和污泥脱水处理单元，未收集处理的臭气为面源。因各池体、车间等需经常性的检视和调试操作，不能做到完全密闭，上述构筑物单元仍有少量的无组织排放源产生。因此，考虑各池体的臭气收集率按90%计，未收集的恶臭气体通过无组织形式排放。</w:t>
      </w:r>
    </w:p>
    <w:p w14:paraId="31232C91">
      <w:pPr>
        <w:ind w:firstLine="480"/>
        <w:rPr>
          <w:color w:val="auto"/>
        </w:rPr>
      </w:pPr>
      <w:r>
        <w:rPr>
          <w:color w:val="auto"/>
        </w:rPr>
        <w:t>本项目拟对</w:t>
      </w:r>
      <w:r>
        <w:rPr>
          <w:rFonts w:hint="eastAsia"/>
          <w:color w:val="auto"/>
        </w:rPr>
        <w:t>集水池、初沉池、曝气池、混凝反应池、二沉池、终沉池、脱水机房、污泥浓缩池等</w:t>
      </w:r>
      <w:r>
        <w:rPr>
          <w:color w:val="auto"/>
        </w:rPr>
        <w:t>建筑物加盖密封，负压收集后经碱喷淋+生物除臭滤池技术处理。</w:t>
      </w:r>
      <w:r>
        <w:rPr>
          <w:rFonts w:hint="eastAsia"/>
          <w:color w:val="auto"/>
        </w:rPr>
        <w:t>集水池、初沉池、曝气池、混凝反应池、二沉池、终沉池、脱水机房、污泥浓缩池等</w:t>
      </w:r>
      <w:r>
        <w:rPr>
          <w:color w:val="auto"/>
        </w:rPr>
        <w:t>通过</w:t>
      </w:r>
      <w:r>
        <w:rPr>
          <w:rFonts w:hint="eastAsia"/>
          <w:color w:val="auto"/>
        </w:rPr>
        <w:t>1</w:t>
      </w:r>
      <w:r>
        <w:rPr>
          <w:color w:val="auto"/>
        </w:rPr>
        <w:t>5m高排气筒（DA0</w:t>
      </w:r>
      <w:r>
        <w:rPr>
          <w:rFonts w:hint="eastAsia"/>
          <w:color w:val="auto"/>
        </w:rPr>
        <w:t>47</w:t>
      </w:r>
      <w:r>
        <w:rPr>
          <w:color w:val="auto"/>
        </w:rPr>
        <w:t>）排放。本项目设置</w:t>
      </w:r>
      <w:r>
        <w:rPr>
          <w:rFonts w:hint="eastAsia"/>
          <w:color w:val="auto"/>
        </w:rPr>
        <w:t>1</w:t>
      </w:r>
      <w:r>
        <w:rPr>
          <w:color w:val="auto"/>
        </w:rPr>
        <w:t>套除臭装置，风量Q=</w:t>
      </w:r>
      <w:r>
        <w:rPr>
          <w:rFonts w:hint="eastAsia"/>
          <w:color w:val="auto"/>
        </w:rPr>
        <w:t>25</w:t>
      </w:r>
      <w:r>
        <w:rPr>
          <w:color w:val="auto"/>
        </w:rPr>
        <w:t>000m³/h。</w:t>
      </w:r>
    </w:p>
    <w:p w14:paraId="2D71826E">
      <w:pPr>
        <w:ind w:firstLine="480"/>
        <w:rPr>
          <w:color w:val="auto"/>
        </w:rPr>
      </w:pPr>
      <w:r>
        <w:rPr>
          <w:color w:val="auto"/>
        </w:rPr>
        <w:t>（2）源强计算</w:t>
      </w:r>
    </w:p>
    <w:p w14:paraId="76A581EF">
      <w:pPr>
        <w:ind w:firstLine="480"/>
        <w:rPr>
          <w:color w:val="auto"/>
        </w:rPr>
      </w:pPr>
      <w:bookmarkStart w:id="218" w:name="_Hlk130388454"/>
      <w:r>
        <w:rPr>
          <w:color w:val="auto"/>
        </w:rPr>
        <w:t>臭气污染物浓度参照国家住建部发布的《城镇污水处理厂臭气处理技术规程》（CJJ/T243-2016）及其编制条文说明，该技术规程给出了2005年对上海市各污水处理厂的处理构筑物的臭气物质的测定情况，具体</w:t>
      </w:r>
      <w:r>
        <w:rPr>
          <w:rFonts w:hint="eastAsia"/>
          <w:color w:val="auto"/>
        </w:rPr>
        <w:t>下表</w:t>
      </w:r>
      <w:r>
        <w:rPr>
          <w:color w:val="auto"/>
        </w:rPr>
        <w:t>，在各构筑物测定过程中，数据为敞开构筑物的监测数据，不同构筑物相差较大。</w:t>
      </w:r>
    </w:p>
    <w:bookmarkEnd w:id="218"/>
    <w:p w14:paraId="4676B512">
      <w:pPr>
        <w:pStyle w:val="7"/>
        <w:rPr>
          <w:color w:val="auto"/>
        </w:rPr>
      </w:pPr>
      <w:bookmarkStart w:id="219" w:name="_Ref115277552"/>
      <w:r>
        <w:rPr>
          <w:color w:val="auto"/>
        </w:rPr>
        <w:t>上海市污水处理厂各构筑物氨气浓度情况  单位：mg/m</w:t>
      </w:r>
      <w:r>
        <w:rPr>
          <w:color w:val="auto"/>
          <w:vertAlign w:val="superscript"/>
        </w:rPr>
        <w:t>3</w:t>
      </w:r>
      <w:bookmarkEnd w:id="219"/>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993"/>
        <w:gridCol w:w="1134"/>
        <w:gridCol w:w="850"/>
        <w:gridCol w:w="851"/>
        <w:gridCol w:w="1134"/>
        <w:gridCol w:w="708"/>
        <w:gridCol w:w="993"/>
        <w:gridCol w:w="813"/>
      </w:tblGrid>
      <w:tr w14:paraId="798DB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267D02AF">
            <w:pPr>
              <w:pStyle w:val="33"/>
              <w:rPr>
                <w:color w:val="auto"/>
              </w:rPr>
            </w:pPr>
            <w:r>
              <w:rPr>
                <w:color w:val="auto"/>
              </w:rPr>
              <w:t>污水处理厂</w:t>
            </w:r>
          </w:p>
        </w:tc>
        <w:tc>
          <w:tcPr>
            <w:tcW w:w="993" w:type="dxa"/>
            <w:vAlign w:val="center"/>
          </w:tcPr>
          <w:p w14:paraId="24DCB5BD">
            <w:pPr>
              <w:pStyle w:val="33"/>
              <w:rPr>
                <w:color w:val="auto"/>
              </w:rPr>
            </w:pPr>
            <w:r>
              <w:rPr>
                <w:color w:val="auto"/>
              </w:rPr>
              <w:t>格栅井</w:t>
            </w:r>
          </w:p>
        </w:tc>
        <w:tc>
          <w:tcPr>
            <w:tcW w:w="1134" w:type="dxa"/>
            <w:vAlign w:val="center"/>
          </w:tcPr>
          <w:p w14:paraId="4234D60C">
            <w:pPr>
              <w:pStyle w:val="33"/>
              <w:rPr>
                <w:color w:val="auto"/>
              </w:rPr>
            </w:pPr>
            <w:r>
              <w:rPr>
                <w:color w:val="auto"/>
              </w:rPr>
              <w:t>沉砂池</w:t>
            </w:r>
          </w:p>
        </w:tc>
        <w:tc>
          <w:tcPr>
            <w:tcW w:w="850" w:type="dxa"/>
            <w:vAlign w:val="center"/>
          </w:tcPr>
          <w:p w14:paraId="000461A8">
            <w:pPr>
              <w:pStyle w:val="33"/>
              <w:rPr>
                <w:color w:val="auto"/>
              </w:rPr>
            </w:pPr>
            <w:r>
              <w:rPr>
                <w:color w:val="auto"/>
              </w:rPr>
              <w:t>初沉池</w:t>
            </w:r>
          </w:p>
        </w:tc>
        <w:tc>
          <w:tcPr>
            <w:tcW w:w="851" w:type="dxa"/>
            <w:vAlign w:val="center"/>
          </w:tcPr>
          <w:p w14:paraId="43230E99">
            <w:pPr>
              <w:pStyle w:val="33"/>
              <w:rPr>
                <w:color w:val="auto"/>
              </w:rPr>
            </w:pPr>
            <w:r>
              <w:rPr>
                <w:color w:val="auto"/>
              </w:rPr>
              <w:t>曝气池</w:t>
            </w:r>
          </w:p>
        </w:tc>
        <w:tc>
          <w:tcPr>
            <w:tcW w:w="1134" w:type="dxa"/>
            <w:vAlign w:val="center"/>
          </w:tcPr>
          <w:p w14:paraId="32F3CFA3">
            <w:pPr>
              <w:pStyle w:val="33"/>
              <w:rPr>
                <w:color w:val="auto"/>
              </w:rPr>
            </w:pPr>
            <w:r>
              <w:rPr>
                <w:color w:val="auto"/>
              </w:rPr>
              <w:t>污泥浓缩池</w:t>
            </w:r>
          </w:p>
        </w:tc>
        <w:tc>
          <w:tcPr>
            <w:tcW w:w="708" w:type="dxa"/>
            <w:vAlign w:val="center"/>
          </w:tcPr>
          <w:p w14:paraId="4E716F90">
            <w:pPr>
              <w:pStyle w:val="33"/>
              <w:rPr>
                <w:color w:val="auto"/>
              </w:rPr>
            </w:pPr>
            <w:r>
              <w:rPr>
                <w:color w:val="auto"/>
              </w:rPr>
              <w:t>贮泥池</w:t>
            </w:r>
          </w:p>
        </w:tc>
        <w:tc>
          <w:tcPr>
            <w:tcW w:w="993" w:type="dxa"/>
            <w:vAlign w:val="center"/>
          </w:tcPr>
          <w:p w14:paraId="70D1CEDC">
            <w:pPr>
              <w:pStyle w:val="33"/>
              <w:rPr>
                <w:color w:val="auto"/>
              </w:rPr>
            </w:pPr>
            <w:r>
              <w:rPr>
                <w:color w:val="auto"/>
              </w:rPr>
              <w:t>脱水机房</w:t>
            </w:r>
          </w:p>
        </w:tc>
        <w:tc>
          <w:tcPr>
            <w:tcW w:w="813" w:type="dxa"/>
            <w:vAlign w:val="center"/>
          </w:tcPr>
          <w:p w14:paraId="3BF9CF2C">
            <w:pPr>
              <w:pStyle w:val="33"/>
              <w:rPr>
                <w:color w:val="auto"/>
              </w:rPr>
            </w:pPr>
            <w:r>
              <w:rPr>
                <w:color w:val="auto"/>
              </w:rPr>
              <w:t>污泥堆场</w:t>
            </w:r>
          </w:p>
        </w:tc>
      </w:tr>
      <w:tr w14:paraId="65914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4BE1AE57">
            <w:pPr>
              <w:pStyle w:val="33"/>
              <w:rPr>
                <w:color w:val="auto"/>
              </w:rPr>
            </w:pPr>
            <w:r>
              <w:rPr>
                <w:color w:val="auto"/>
              </w:rPr>
              <w:t>天山水质净化厂</w:t>
            </w:r>
          </w:p>
        </w:tc>
        <w:tc>
          <w:tcPr>
            <w:tcW w:w="993" w:type="dxa"/>
            <w:vAlign w:val="center"/>
          </w:tcPr>
          <w:p w14:paraId="2BEA0EF5">
            <w:pPr>
              <w:pStyle w:val="33"/>
              <w:rPr>
                <w:color w:val="auto"/>
              </w:rPr>
            </w:pPr>
            <w:r>
              <w:rPr>
                <w:color w:val="auto"/>
              </w:rPr>
              <w:t>0.54</w:t>
            </w:r>
          </w:p>
        </w:tc>
        <w:tc>
          <w:tcPr>
            <w:tcW w:w="1134" w:type="dxa"/>
            <w:vAlign w:val="center"/>
          </w:tcPr>
          <w:p w14:paraId="4D4C8E31">
            <w:pPr>
              <w:pStyle w:val="33"/>
              <w:rPr>
                <w:color w:val="auto"/>
              </w:rPr>
            </w:pPr>
            <w:r>
              <w:rPr>
                <w:color w:val="auto"/>
              </w:rPr>
              <w:t>—</w:t>
            </w:r>
          </w:p>
        </w:tc>
        <w:tc>
          <w:tcPr>
            <w:tcW w:w="850" w:type="dxa"/>
            <w:vAlign w:val="center"/>
          </w:tcPr>
          <w:p w14:paraId="0CF7C8B1">
            <w:pPr>
              <w:pStyle w:val="33"/>
              <w:rPr>
                <w:color w:val="auto"/>
              </w:rPr>
            </w:pPr>
            <w:r>
              <w:rPr>
                <w:color w:val="auto"/>
              </w:rPr>
              <w:t>0.30</w:t>
            </w:r>
          </w:p>
        </w:tc>
        <w:tc>
          <w:tcPr>
            <w:tcW w:w="851" w:type="dxa"/>
            <w:vAlign w:val="center"/>
          </w:tcPr>
          <w:p w14:paraId="18DAEE71">
            <w:pPr>
              <w:pStyle w:val="33"/>
              <w:rPr>
                <w:color w:val="auto"/>
              </w:rPr>
            </w:pPr>
            <w:r>
              <w:rPr>
                <w:color w:val="auto"/>
              </w:rPr>
              <w:t>0.24</w:t>
            </w:r>
          </w:p>
        </w:tc>
        <w:tc>
          <w:tcPr>
            <w:tcW w:w="1134" w:type="dxa"/>
            <w:vAlign w:val="center"/>
          </w:tcPr>
          <w:p w14:paraId="21FA2B1C">
            <w:pPr>
              <w:pStyle w:val="33"/>
              <w:rPr>
                <w:color w:val="auto"/>
              </w:rPr>
            </w:pPr>
            <w:r>
              <w:rPr>
                <w:color w:val="auto"/>
              </w:rPr>
              <w:t>—</w:t>
            </w:r>
          </w:p>
        </w:tc>
        <w:tc>
          <w:tcPr>
            <w:tcW w:w="708" w:type="dxa"/>
            <w:vAlign w:val="center"/>
          </w:tcPr>
          <w:p w14:paraId="1554A4A5">
            <w:pPr>
              <w:pStyle w:val="33"/>
              <w:rPr>
                <w:color w:val="auto"/>
              </w:rPr>
            </w:pPr>
            <w:r>
              <w:rPr>
                <w:color w:val="auto"/>
              </w:rPr>
              <w:t>5.48</w:t>
            </w:r>
          </w:p>
        </w:tc>
        <w:tc>
          <w:tcPr>
            <w:tcW w:w="993" w:type="dxa"/>
            <w:vAlign w:val="center"/>
          </w:tcPr>
          <w:p w14:paraId="6B3D0EC1">
            <w:pPr>
              <w:pStyle w:val="33"/>
              <w:rPr>
                <w:color w:val="auto"/>
              </w:rPr>
            </w:pPr>
            <w:r>
              <w:rPr>
                <w:color w:val="auto"/>
              </w:rPr>
              <w:t>0.71</w:t>
            </w:r>
          </w:p>
        </w:tc>
        <w:tc>
          <w:tcPr>
            <w:tcW w:w="813" w:type="dxa"/>
            <w:vAlign w:val="center"/>
          </w:tcPr>
          <w:p w14:paraId="206BE086">
            <w:pPr>
              <w:pStyle w:val="33"/>
              <w:rPr>
                <w:color w:val="auto"/>
              </w:rPr>
            </w:pPr>
            <w:r>
              <w:rPr>
                <w:color w:val="auto"/>
              </w:rPr>
              <w:t>—</w:t>
            </w:r>
          </w:p>
        </w:tc>
      </w:tr>
      <w:tr w14:paraId="798A1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11BA9EC9">
            <w:pPr>
              <w:pStyle w:val="33"/>
              <w:rPr>
                <w:color w:val="auto"/>
              </w:rPr>
            </w:pPr>
            <w:r>
              <w:rPr>
                <w:color w:val="auto"/>
              </w:rPr>
              <w:t>龙华水质净化厂</w:t>
            </w:r>
          </w:p>
        </w:tc>
        <w:tc>
          <w:tcPr>
            <w:tcW w:w="993" w:type="dxa"/>
            <w:vAlign w:val="center"/>
          </w:tcPr>
          <w:p w14:paraId="3F6A43BC">
            <w:pPr>
              <w:pStyle w:val="33"/>
              <w:rPr>
                <w:color w:val="auto"/>
              </w:rPr>
            </w:pPr>
            <w:r>
              <w:rPr>
                <w:color w:val="auto"/>
              </w:rPr>
              <w:t>—</w:t>
            </w:r>
          </w:p>
        </w:tc>
        <w:tc>
          <w:tcPr>
            <w:tcW w:w="1134" w:type="dxa"/>
            <w:vAlign w:val="center"/>
          </w:tcPr>
          <w:p w14:paraId="6AB55E68">
            <w:pPr>
              <w:pStyle w:val="33"/>
              <w:rPr>
                <w:color w:val="auto"/>
              </w:rPr>
            </w:pPr>
            <w:r>
              <w:rPr>
                <w:color w:val="auto"/>
              </w:rPr>
              <w:t>—</w:t>
            </w:r>
          </w:p>
        </w:tc>
        <w:tc>
          <w:tcPr>
            <w:tcW w:w="850" w:type="dxa"/>
            <w:vAlign w:val="center"/>
          </w:tcPr>
          <w:p w14:paraId="4AF3B730">
            <w:pPr>
              <w:pStyle w:val="33"/>
              <w:rPr>
                <w:color w:val="auto"/>
              </w:rPr>
            </w:pPr>
            <w:r>
              <w:rPr>
                <w:color w:val="auto"/>
              </w:rPr>
              <w:t>—</w:t>
            </w:r>
          </w:p>
        </w:tc>
        <w:tc>
          <w:tcPr>
            <w:tcW w:w="851" w:type="dxa"/>
            <w:vAlign w:val="center"/>
          </w:tcPr>
          <w:p w14:paraId="02C78C80">
            <w:pPr>
              <w:pStyle w:val="33"/>
              <w:rPr>
                <w:color w:val="auto"/>
              </w:rPr>
            </w:pPr>
            <w:r>
              <w:rPr>
                <w:color w:val="auto"/>
              </w:rPr>
              <w:t>1.19</w:t>
            </w:r>
          </w:p>
        </w:tc>
        <w:tc>
          <w:tcPr>
            <w:tcW w:w="1134" w:type="dxa"/>
            <w:vAlign w:val="center"/>
          </w:tcPr>
          <w:p w14:paraId="3C65B8BB">
            <w:pPr>
              <w:pStyle w:val="33"/>
              <w:rPr>
                <w:color w:val="auto"/>
              </w:rPr>
            </w:pPr>
            <w:r>
              <w:rPr>
                <w:color w:val="auto"/>
              </w:rPr>
              <w:t>3.46</w:t>
            </w:r>
          </w:p>
        </w:tc>
        <w:tc>
          <w:tcPr>
            <w:tcW w:w="708" w:type="dxa"/>
            <w:vAlign w:val="center"/>
          </w:tcPr>
          <w:p w14:paraId="256CBA8D">
            <w:pPr>
              <w:pStyle w:val="33"/>
              <w:rPr>
                <w:color w:val="auto"/>
              </w:rPr>
            </w:pPr>
            <w:r>
              <w:rPr>
                <w:color w:val="auto"/>
              </w:rPr>
              <w:t>—</w:t>
            </w:r>
          </w:p>
        </w:tc>
        <w:tc>
          <w:tcPr>
            <w:tcW w:w="993" w:type="dxa"/>
            <w:vAlign w:val="center"/>
          </w:tcPr>
          <w:p w14:paraId="573D6AD2">
            <w:pPr>
              <w:pStyle w:val="33"/>
              <w:rPr>
                <w:color w:val="auto"/>
              </w:rPr>
            </w:pPr>
            <w:r>
              <w:rPr>
                <w:color w:val="auto"/>
              </w:rPr>
              <w:t>0.60</w:t>
            </w:r>
          </w:p>
        </w:tc>
        <w:tc>
          <w:tcPr>
            <w:tcW w:w="813" w:type="dxa"/>
            <w:vAlign w:val="center"/>
          </w:tcPr>
          <w:p w14:paraId="6A37CB96">
            <w:pPr>
              <w:pStyle w:val="33"/>
              <w:rPr>
                <w:color w:val="auto"/>
              </w:rPr>
            </w:pPr>
            <w:r>
              <w:rPr>
                <w:color w:val="auto"/>
              </w:rPr>
              <w:t>—</w:t>
            </w:r>
          </w:p>
        </w:tc>
      </w:tr>
      <w:tr w14:paraId="67183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418A5040">
            <w:pPr>
              <w:pStyle w:val="33"/>
              <w:rPr>
                <w:color w:val="auto"/>
              </w:rPr>
            </w:pPr>
            <w:r>
              <w:rPr>
                <w:color w:val="auto"/>
              </w:rPr>
              <w:t>白龙港水质净化厂</w:t>
            </w:r>
          </w:p>
        </w:tc>
        <w:tc>
          <w:tcPr>
            <w:tcW w:w="993" w:type="dxa"/>
            <w:vAlign w:val="center"/>
          </w:tcPr>
          <w:p w14:paraId="72357134">
            <w:pPr>
              <w:pStyle w:val="33"/>
              <w:rPr>
                <w:color w:val="auto"/>
              </w:rPr>
            </w:pPr>
            <w:r>
              <w:rPr>
                <w:color w:val="auto"/>
              </w:rPr>
              <w:t>4.75</w:t>
            </w:r>
          </w:p>
        </w:tc>
        <w:tc>
          <w:tcPr>
            <w:tcW w:w="1134" w:type="dxa"/>
            <w:vAlign w:val="center"/>
          </w:tcPr>
          <w:p w14:paraId="0744BC73">
            <w:pPr>
              <w:pStyle w:val="33"/>
              <w:rPr>
                <w:color w:val="auto"/>
              </w:rPr>
            </w:pPr>
            <w:r>
              <w:rPr>
                <w:color w:val="auto"/>
              </w:rPr>
              <w:t>1.56</w:t>
            </w:r>
          </w:p>
        </w:tc>
        <w:tc>
          <w:tcPr>
            <w:tcW w:w="850" w:type="dxa"/>
            <w:vAlign w:val="center"/>
          </w:tcPr>
          <w:p w14:paraId="72FE3242">
            <w:pPr>
              <w:pStyle w:val="33"/>
              <w:rPr>
                <w:color w:val="auto"/>
              </w:rPr>
            </w:pPr>
            <w:r>
              <w:rPr>
                <w:color w:val="auto"/>
              </w:rPr>
              <w:t>—</w:t>
            </w:r>
          </w:p>
        </w:tc>
        <w:tc>
          <w:tcPr>
            <w:tcW w:w="851" w:type="dxa"/>
            <w:vAlign w:val="center"/>
          </w:tcPr>
          <w:p w14:paraId="1CDB0DCF">
            <w:pPr>
              <w:pStyle w:val="33"/>
              <w:rPr>
                <w:color w:val="auto"/>
              </w:rPr>
            </w:pPr>
            <w:r>
              <w:rPr>
                <w:color w:val="auto"/>
              </w:rPr>
              <w:t>—</w:t>
            </w:r>
          </w:p>
        </w:tc>
        <w:tc>
          <w:tcPr>
            <w:tcW w:w="1134" w:type="dxa"/>
            <w:vAlign w:val="center"/>
          </w:tcPr>
          <w:p w14:paraId="1AAD6D2F">
            <w:pPr>
              <w:pStyle w:val="33"/>
              <w:rPr>
                <w:color w:val="auto"/>
              </w:rPr>
            </w:pPr>
            <w:r>
              <w:rPr>
                <w:color w:val="auto"/>
              </w:rPr>
              <w:t>—</w:t>
            </w:r>
          </w:p>
        </w:tc>
        <w:tc>
          <w:tcPr>
            <w:tcW w:w="708" w:type="dxa"/>
            <w:vAlign w:val="center"/>
          </w:tcPr>
          <w:p w14:paraId="0A425348">
            <w:pPr>
              <w:pStyle w:val="33"/>
              <w:rPr>
                <w:color w:val="auto"/>
              </w:rPr>
            </w:pPr>
            <w:r>
              <w:rPr>
                <w:color w:val="auto"/>
              </w:rPr>
              <w:t>—</w:t>
            </w:r>
          </w:p>
        </w:tc>
        <w:tc>
          <w:tcPr>
            <w:tcW w:w="993" w:type="dxa"/>
            <w:vAlign w:val="center"/>
          </w:tcPr>
          <w:p w14:paraId="2D81B544">
            <w:pPr>
              <w:pStyle w:val="33"/>
              <w:rPr>
                <w:color w:val="auto"/>
              </w:rPr>
            </w:pPr>
            <w:r>
              <w:rPr>
                <w:color w:val="auto"/>
              </w:rPr>
              <w:t>4.28</w:t>
            </w:r>
          </w:p>
        </w:tc>
        <w:tc>
          <w:tcPr>
            <w:tcW w:w="813" w:type="dxa"/>
            <w:vAlign w:val="center"/>
          </w:tcPr>
          <w:p w14:paraId="6413CFD0">
            <w:pPr>
              <w:pStyle w:val="33"/>
              <w:rPr>
                <w:color w:val="auto"/>
              </w:rPr>
            </w:pPr>
            <w:r>
              <w:rPr>
                <w:color w:val="auto"/>
              </w:rPr>
              <w:t>1.59</w:t>
            </w:r>
          </w:p>
        </w:tc>
      </w:tr>
      <w:tr w14:paraId="4B018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28078FC8">
            <w:pPr>
              <w:pStyle w:val="33"/>
              <w:rPr>
                <w:color w:val="auto"/>
              </w:rPr>
            </w:pPr>
            <w:r>
              <w:rPr>
                <w:color w:val="auto"/>
              </w:rPr>
              <w:t>吴淞水质净化厂</w:t>
            </w:r>
          </w:p>
        </w:tc>
        <w:tc>
          <w:tcPr>
            <w:tcW w:w="993" w:type="dxa"/>
            <w:vAlign w:val="center"/>
          </w:tcPr>
          <w:p w14:paraId="4523A8DF">
            <w:pPr>
              <w:pStyle w:val="33"/>
              <w:rPr>
                <w:color w:val="auto"/>
              </w:rPr>
            </w:pPr>
            <w:r>
              <w:rPr>
                <w:color w:val="auto"/>
              </w:rPr>
              <w:t>0.66</w:t>
            </w:r>
          </w:p>
        </w:tc>
        <w:tc>
          <w:tcPr>
            <w:tcW w:w="1134" w:type="dxa"/>
            <w:vAlign w:val="center"/>
          </w:tcPr>
          <w:p w14:paraId="04125C37">
            <w:pPr>
              <w:pStyle w:val="33"/>
              <w:rPr>
                <w:color w:val="auto"/>
              </w:rPr>
            </w:pPr>
            <w:r>
              <w:rPr>
                <w:color w:val="auto"/>
              </w:rPr>
              <w:t>0.45</w:t>
            </w:r>
          </w:p>
        </w:tc>
        <w:tc>
          <w:tcPr>
            <w:tcW w:w="850" w:type="dxa"/>
            <w:vAlign w:val="center"/>
          </w:tcPr>
          <w:p w14:paraId="4F685E5B">
            <w:pPr>
              <w:pStyle w:val="33"/>
              <w:rPr>
                <w:color w:val="auto"/>
              </w:rPr>
            </w:pPr>
            <w:r>
              <w:rPr>
                <w:color w:val="auto"/>
              </w:rPr>
              <w:t>—</w:t>
            </w:r>
          </w:p>
        </w:tc>
        <w:tc>
          <w:tcPr>
            <w:tcW w:w="851" w:type="dxa"/>
            <w:vAlign w:val="center"/>
          </w:tcPr>
          <w:p w14:paraId="71F8A19F">
            <w:pPr>
              <w:pStyle w:val="33"/>
              <w:rPr>
                <w:color w:val="auto"/>
              </w:rPr>
            </w:pPr>
            <w:r>
              <w:rPr>
                <w:color w:val="auto"/>
              </w:rPr>
              <w:t>—</w:t>
            </w:r>
          </w:p>
        </w:tc>
        <w:tc>
          <w:tcPr>
            <w:tcW w:w="1134" w:type="dxa"/>
            <w:vAlign w:val="center"/>
          </w:tcPr>
          <w:p w14:paraId="6A5D456C">
            <w:pPr>
              <w:pStyle w:val="33"/>
              <w:rPr>
                <w:color w:val="auto"/>
              </w:rPr>
            </w:pPr>
            <w:r>
              <w:rPr>
                <w:color w:val="auto"/>
              </w:rPr>
              <w:t>0.28</w:t>
            </w:r>
          </w:p>
        </w:tc>
        <w:tc>
          <w:tcPr>
            <w:tcW w:w="708" w:type="dxa"/>
            <w:vAlign w:val="center"/>
          </w:tcPr>
          <w:p w14:paraId="173D3965">
            <w:pPr>
              <w:pStyle w:val="33"/>
              <w:rPr>
                <w:color w:val="auto"/>
              </w:rPr>
            </w:pPr>
          </w:p>
        </w:tc>
        <w:tc>
          <w:tcPr>
            <w:tcW w:w="993" w:type="dxa"/>
            <w:vAlign w:val="center"/>
          </w:tcPr>
          <w:p w14:paraId="22CFA685">
            <w:pPr>
              <w:pStyle w:val="33"/>
              <w:rPr>
                <w:color w:val="auto"/>
              </w:rPr>
            </w:pPr>
            <w:r>
              <w:rPr>
                <w:color w:val="auto"/>
              </w:rPr>
              <w:t>1.59</w:t>
            </w:r>
          </w:p>
        </w:tc>
        <w:tc>
          <w:tcPr>
            <w:tcW w:w="813" w:type="dxa"/>
            <w:vAlign w:val="center"/>
          </w:tcPr>
          <w:p w14:paraId="1333F318">
            <w:pPr>
              <w:pStyle w:val="33"/>
              <w:rPr>
                <w:color w:val="auto"/>
              </w:rPr>
            </w:pPr>
            <w:r>
              <w:rPr>
                <w:color w:val="auto"/>
              </w:rPr>
              <w:t>—</w:t>
            </w:r>
          </w:p>
        </w:tc>
      </w:tr>
      <w:tr w14:paraId="47A91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1533E574">
            <w:pPr>
              <w:pStyle w:val="33"/>
              <w:rPr>
                <w:color w:val="auto"/>
              </w:rPr>
            </w:pPr>
            <w:r>
              <w:rPr>
                <w:color w:val="auto"/>
              </w:rPr>
              <w:t>泗塘水质净化厂</w:t>
            </w:r>
          </w:p>
        </w:tc>
        <w:tc>
          <w:tcPr>
            <w:tcW w:w="993" w:type="dxa"/>
            <w:vAlign w:val="center"/>
          </w:tcPr>
          <w:p w14:paraId="02F64B7E">
            <w:pPr>
              <w:pStyle w:val="33"/>
              <w:rPr>
                <w:color w:val="auto"/>
              </w:rPr>
            </w:pPr>
            <w:r>
              <w:rPr>
                <w:color w:val="auto"/>
              </w:rPr>
              <w:t>4.07</w:t>
            </w:r>
          </w:p>
        </w:tc>
        <w:tc>
          <w:tcPr>
            <w:tcW w:w="1134" w:type="dxa"/>
            <w:vAlign w:val="center"/>
          </w:tcPr>
          <w:p w14:paraId="3DBAC4AA">
            <w:pPr>
              <w:pStyle w:val="33"/>
              <w:rPr>
                <w:color w:val="auto"/>
              </w:rPr>
            </w:pPr>
            <w:r>
              <w:rPr>
                <w:color w:val="auto"/>
              </w:rPr>
              <w:t>26.09</w:t>
            </w:r>
          </w:p>
        </w:tc>
        <w:tc>
          <w:tcPr>
            <w:tcW w:w="850" w:type="dxa"/>
            <w:vAlign w:val="center"/>
          </w:tcPr>
          <w:p w14:paraId="411787D3">
            <w:pPr>
              <w:pStyle w:val="33"/>
              <w:rPr>
                <w:color w:val="auto"/>
              </w:rPr>
            </w:pPr>
            <w:r>
              <w:rPr>
                <w:color w:val="auto"/>
              </w:rPr>
              <w:t>0.88</w:t>
            </w:r>
          </w:p>
        </w:tc>
        <w:tc>
          <w:tcPr>
            <w:tcW w:w="851" w:type="dxa"/>
            <w:vAlign w:val="center"/>
          </w:tcPr>
          <w:p w14:paraId="3EC280DF">
            <w:pPr>
              <w:pStyle w:val="33"/>
              <w:rPr>
                <w:color w:val="auto"/>
              </w:rPr>
            </w:pPr>
            <w:r>
              <w:rPr>
                <w:color w:val="auto"/>
              </w:rPr>
              <w:t>3.48</w:t>
            </w:r>
          </w:p>
        </w:tc>
        <w:tc>
          <w:tcPr>
            <w:tcW w:w="1134" w:type="dxa"/>
            <w:vAlign w:val="center"/>
          </w:tcPr>
          <w:p w14:paraId="46D6AEF9">
            <w:pPr>
              <w:pStyle w:val="33"/>
              <w:rPr>
                <w:color w:val="auto"/>
              </w:rPr>
            </w:pPr>
            <w:r>
              <w:rPr>
                <w:color w:val="auto"/>
              </w:rPr>
              <w:t>—</w:t>
            </w:r>
          </w:p>
        </w:tc>
        <w:tc>
          <w:tcPr>
            <w:tcW w:w="708" w:type="dxa"/>
            <w:vAlign w:val="center"/>
          </w:tcPr>
          <w:p w14:paraId="350356A2">
            <w:pPr>
              <w:pStyle w:val="33"/>
              <w:rPr>
                <w:color w:val="auto"/>
              </w:rPr>
            </w:pPr>
            <w:r>
              <w:rPr>
                <w:color w:val="auto"/>
              </w:rPr>
              <w:t>1.65</w:t>
            </w:r>
          </w:p>
        </w:tc>
        <w:tc>
          <w:tcPr>
            <w:tcW w:w="993" w:type="dxa"/>
            <w:vAlign w:val="center"/>
          </w:tcPr>
          <w:p w14:paraId="5C1F45F6">
            <w:pPr>
              <w:pStyle w:val="33"/>
              <w:rPr>
                <w:color w:val="auto"/>
              </w:rPr>
            </w:pPr>
            <w:r>
              <w:rPr>
                <w:color w:val="auto"/>
              </w:rPr>
              <w:t>—</w:t>
            </w:r>
          </w:p>
        </w:tc>
        <w:tc>
          <w:tcPr>
            <w:tcW w:w="813" w:type="dxa"/>
            <w:vAlign w:val="center"/>
          </w:tcPr>
          <w:p w14:paraId="36CBE8A7">
            <w:pPr>
              <w:pStyle w:val="33"/>
              <w:rPr>
                <w:color w:val="auto"/>
              </w:rPr>
            </w:pPr>
            <w:r>
              <w:rPr>
                <w:color w:val="auto"/>
              </w:rPr>
              <w:t>—</w:t>
            </w:r>
          </w:p>
        </w:tc>
      </w:tr>
      <w:tr w14:paraId="33E42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3C47FA25">
            <w:pPr>
              <w:pStyle w:val="33"/>
              <w:rPr>
                <w:color w:val="auto"/>
              </w:rPr>
            </w:pPr>
            <w:r>
              <w:rPr>
                <w:color w:val="auto"/>
              </w:rPr>
              <w:t>石洞口水质净化厂</w:t>
            </w:r>
          </w:p>
        </w:tc>
        <w:tc>
          <w:tcPr>
            <w:tcW w:w="993" w:type="dxa"/>
            <w:vAlign w:val="center"/>
          </w:tcPr>
          <w:p w14:paraId="3054346F">
            <w:pPr>
              <w:pStyle w:val="33"/>
              <w:rPr>
                <w:color w:val="auto"/>
              </w:rPr>
            </w:pPr>
            <w:r>
              <w:rPr>
                <w:color w:val="auto"/>
              </w:rPr>
              <w:t>12.53</w:t>
            </w:r>
          </w:p>
        </w:tc>
        <w:tc>
          <w:tcPr>
            <w:tcW w:w="1134" w:type="dxa"/>
            <w:vAlign w:val="center"/>
          </w:tcPr>
          <w:p w14:paraId="296C5BBF">
            <w:pPr>
              <w:pStyle w:val="33"/>
              <w:rPr>
                <w:color w:val="auto"/>
              </w:rPr>
            </w:pPr>
            <w:r>
              <w:rPr>
                <w:color w:val="auto"/>
              </w:rPr>
              <w:t>5.81</w:t>
            </w:r>
          </w:p>
        </w:tc>
        <w:tc>
          <w:tcPr>
            <w:tcW w:w="850" w:type="dxa"/>
            <w:vAlign w:val="center"/>
          </w:tcPr>
          <w:p w14:paraId="3D08648F">
            <w:pPr>
              <w:pStyle w:val="33"/>
              <w:rPr>
                <w:color w:val="auto"/>
              </w:rPr>
            </w:pPr>
            <w:r>
              <w:rPr>
                <w:color w:val="auto"/>
              </w:rPr>
              <w:t>—</w:t>
            </w:r>
          </w:p>
        </w:tc>
        <w:tc>
          <w:tcPr>
            <w:tcW w:w="851" w:type="dxa"/>
            <w:vAlign w:val="center"/>
          </w:tcPr>
          <w:p w14:paraId="0606A84E">
            <w:pPr>
              <w:pStyle w:val="33"/>
              <w:rPr>
                <w:color w:val="auto"/>
              </w:rPr>
            </w:pPr>
            <w:r>
              <w:rPr>
                <w:color w:val="auto"/>
              </w:rPr>
              <w:t>1.90</w:t>
            </w:r>
          </w:p>
        </w:tc>
        <w:tc>
          <w:tcPr>
            <w:tcW w:w="1134" w:type="dxa"/>
            <w:vAlign w:val="center"/>
          </w:tcPr>
          <w:p w14:paraId="48737075">
            <w:pPr>
              <w:pStyle w:val="33"/>
              <w:rPr>
                <w:color w:val="auto"/>
              </w:rPr>
            </w:pPr>
            <w:r>
              <w:rPr>
                <w:color w:val="auto"/>
              </w:rPr>
              <w:t>—</w:t>
            </w:r>
          </w:p>
        </w:tc>
        <w:tc>
          <w:tcPr>
            <w:tcW w:w="708" w:type="dxa"/>
            <w:vAlign w:val="center"/>
          </w:tcPr>
          <w:p w14:paraId="0FAE1438">
            <w:pPr>
              <w:pStyle w:val="33"/>
              <w:rPr>
                <w:color w:val="auto"/>
              </w:rPr>
            </w:pPr>
            <w:r>
              <w:rPr>
                <w:color w:val="auto"/>
              </w:rPr>
              <w:t>—</w:t>
            </w:r>
          </w:p>
        </w:tc>
        <w:tc>
          <w:tcPr>
            <w:tcW w:w="993" w:type="dxa"/>
            <w:vAlign w:val="center"/>
          </w:tcPr>
          <w:p w14:paraId="244A6869">
            <w:pPr>
              <w:pStyle w:val="33"/>
              <w:rPr>
                <w:color w:val="auto"/>
              </w:rPr>
            </w:pPr>
            <w:r>
              <w:rPr>
                <w:color w:val="auto"/>
              </w:rPr>
              <w:t>5.55</w:t>
            </w:r>
          </w:p>
        </w:tc>
        <w:tc>
          <w:tcPr>
            <w:tcW w:w="813" w:type="dxa"/>
            <w:vAlign w:val="center"/>
          </w:tcPr>
          <w:p w14:paraId="5594433C">
            <w:pPr>
              <w:pStyle w:val="33"/>
              <w:rPr>
                <w:color w:val="auto"/>
              </w:rPr>
            </w:pPr>
            <w:r>
              <w:rPr>
                <w:color w:val="auto"/>
              </w:rPr>
              <w:t>—</w:t>
            </w:r>
          </w:p>
        </w:tc>
      </w:tr>
      <w:tr w14:paraId="5B42B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5387B8C4">
            <w:pPr>
              <w:pStyle w:val="33"/>
              <w:rPr>
                <w:color w:val="auto"/>
              </w:rPr>
            </w:pPr>
            <w:r>
              <w:rPr>
                <w:color w:val="auto"/>
              </w:rPr>
              <w:t>长桥水质净化厂</w:t>
            </w:r>
          </w:p>
        </w:tc>
        <w:tc>
          <w:tcPr>
            <w:tcW w:w="993" w:type="dxa"/>
            <w:vAlign w:val="center"/>
          </w:tcPr>
          <w:p w14:paraId="18C81923">
            <w:pPr>
              <w:pStyle w:val="33"/>
              <w:rPr>
                <w:color w:val="auto"/>
              </w:rPr>
            </w:pPr>
            <w:r>
              <w:rPr>
                <w:color w:val="auto"/>
              </w:rPr>
              <w:t>0.24</w:t>
            </w:r>
          </w:p>
        </w:tc>
        <w:tc>
          <w:tcPr>
            <w:tcW w:w="1134" w:type="dxa"/>
            <w:vAlign w:val="center"/>
          </w:tcPr>
          <w:p w14:paraId="4F7916B3">
            <w:pPr>
              <w:pStyle w:val="33"/>
              <w:rPr>
                <w:color w:val="auto"/>
              </w:rPr>
            </w:pPr>
            <w:r>
              <w:rPr>
                <w:color w:val="auto"/>
              </w:rPr>
              <w:t>0.40</w:t>
            </w:r>
          </w:p>
        </w:tc>
        <w:tc>
          <w:tcPr>
            <w:tcW w:w="850" w:type="dxa"/>
            <w:vAlign w:val="center"/>
          </w:tcPr>
          <w:p w14:paraId="7368B9B3">
            <w:pPr>
              <w:pStyle w:val="33"/>
              <w:rPr>
                <w:color w:val="auto"/>
              </w:rPr>
            </w:pPr>
            <w:r>
              <w:rPr>
                <w:color w:val="auto"/>
              </w:rPr>
              <w:t>1.20</w:t>
            </w:r>
          </w:p>
        </w:tc>
        <w:tc>
          <w:tcPr>
            <w:tcW w:w="851" w:type="dxa"/>
            <w:vAlign w:val="center"/>
          </w:tcPr>
          <w:p w14:paraId="13A8FEB7">
            <w:pPr>
              <w:pStyle w:val="33"/>
              <w:rPr>
                <w:color w:val="auto"/>
              </w:rPr>
            </w:pPr>
            <w:r>
              <w:rPr>
                <w:color w:val="auto"/>
              </w:rPr>
              <w:t>1.79</w:t>
            </w:r>
          </w:p>
        </w:tc>
        <w:tc>
          <w:tcPr>
            <w:tcW w:w="1134" w:type="dxa"/>
            <w:vAlign w:val="center"/>
          </w:tcPr>
          <w:p w14:paraId="55408187">
            <w:pPr>
              <w:pStyle w:val="33"/>
              <w:rPr>
                <w:color w:val="auto"/>
              </w:rPr>
            </w:pPr>
            <w:r>
              <w:rPr>
                <w:color w:val="auto"/>
              </w:rPr>
              <w:t>0.09</w:t>
            </w:r>
          </w:p>
        </w:tc>
        <w:tc>
          <w:tcPr>
            <w:tcW w:w="708" w:type="dxa"/>
            <w:vAlign w:val="center"/>
          </w:tcPr>
          <w:p w14:paraId="26B60A16">
            <w:pPr>
              <w:pStyle w:val="33"/>
              <w:rPr>
                <w:color w:val="auto"/>
              </w:rPr>
            </w:pPr>
            <w:r>
              <w:rPr>
                <w:color w:val="auto"/>
              </w:rPr>
              <w:t>1.19</w:t>
            </w:r>
          </w:p>
        </w:tc>
        <w:tc>
          <w:tcPr>
            <w:tcW w:w="993" w:type="dxa"/>
            <w:vAlign w:val="center"/>
          </w:tcPr>
          <w:p w14:paraId="30ADB301">
            <w:pPr>
              <w:pStyle w:val="33"/>
              <w:rPr>
                <w:color w:val="auto"/>
              </w:rPr>
            </w:pPr>
            <w:r>
              <w:rPr>
                <w:color w:val="auto"/>
              </w:rPr>
              <w:t>—</w:t>
            </w:r>
          </w:p>
        </w:tc>
        <w:tc>
          <w:tcPr>
            <w:tcW w:w="813" w:type="dxa"/>
            <w:vAlign w:val="center"/>
          </w:tcPr>
          <w:p w14:paraId="12B8EC02">
            <w:pPr>
              <w:pStyle w:val="33"/>
              <w:rPr>
                <w:color w:val="auto"/>
              </w:rPr>
            </w:pPr>
            <w:r>
              <w:rPr>
                <w:color w:val="auto"/>
              </w:rPr>
              <w:t>—</w:t>
            </w:r>
          </w:p>
        </w:tc>
      </w:tr>
      <w:tr w14:paraId="5CDC2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29607265">
            <w:pPr>
              <w:pStyle w:val="33"/>
              <w:rPr>
                <w:color w:val="auto"/>
              </w:rPr>
            </w:pPr>
            <w:r>
              <w:rPr>
                <w:color w:val="auto"/>
              </w:rPr>
              <w:t>曲阳水质净化厂</w:t>
            </w:r>
          </w:p>
        </w:tc>
        <w:tc>
          <w:tcPr>
            <w:tcW w:w="993" w:type="dxa"/>
            <w:vAlign w:val="center"/>
          </w:tcPr>
          <w:p w14:paraId="74114602">
            <w:pPr>
              <w:pStyle w:val="33"/>
              <w:rPr>
                <w:color w:val="auto"/>
              </w:rPr>
            </w:pPr>
            <w:r>
              <w:rPr>
                <w:color w:val="auto"/>
              </w:rPr>
              <w:t>4.41</w:t>
            </w:r>
          </w:p>
        </w:tc>
        <w:tc>
          <w:tcPr>
            <w:tcW w:w="1134" w:type="dxa"/>
            <w:vAlign w:val="center"/>
          </w:tcPr>
          <w:p w14:paraId="55B7B934">
            <w:pPr>
              <w:pStyle w:val="33"/>
              <w:rPr>
                <w:color w:val="auto"/>
              </w:rPr>
            </w:pPr>
            <w:r>
              <w:rPr>
                <w:color w:val="auto"/>
              </w:rPr>
              <w:t>4.20</w:t>
            </w:r>
          </w:p>
        </w:tc>
        <w:tc>
          <w:tcPr>
            <w:tcW w:w="850" w:type="dxa"/>
            <w:vAlign w:val="center"/>
          </w:tcPr>
          <w:p w14:paraId="0448F11C">
            <w:pPr>
              <w:pStyle w:val="33"/>
              <w:rPr>
                <w:color w:val="auto"/>
              </w:rPr>
            </w:pPr>
            <w:r>
              <w:rPr>
                <w:color w:val="auto"/>
              </w:rPr>
              <w:t>1.99</w:t>
            </w:r>
          </w:p>
        </w:tc>
        <w:tc>
          <w:tcPr>
            <w:tcW w:w="851" w:type="dxa"/>
            <w:vAlign w:val="center"/>
          </w:tcPr>
          <w:p w14:paraId="7D568441">
            <w:pPr>
              <w:pStyle w:val="33"/>
              <w:rPr>
                <w:color w:val="auto"/>
              </w:rPr>
            </w:pPr>
            <w:r>
              <w:rPr>
                <w:color w:val="auto"/>
              </w:rPr>
              <w:t>12.25</w:t>
            </w:r>
          </w:p>
        </w:tc>
        <w:tc>
          <w:tcPr>
            <w:tcW w:w="1134" w:type="dxa"/>
            <w:vAlign w:val="center"/>
          </w:tcPr>
          <w:p w14:paraId="7B1C9D95">
            <w:pPr>
              <w:pStyle w:val="33"/>
              <w:rPr>
                <w:color w:val="auto"/>
              </w:rPr>
            </w:pPr>
            <w:r>
              <w:rPr>
                <w:color w:val="auto"/>
              </w:rPr>
              <w:t>1.28</w:t>
            </w:r>
          </w:p>
        </w:tc>
        <w:tc>
          <w:tcPr>
            <w:tcW w:w="708" w:type="dxa"/>
            <w:vAlign w:val="center"/>
          </w:tcPr>
          <w:p w14:paraId="13D65398">
            <w:pPr>
              <w:pStyle w:val="33"/>
              <w:rPr>
                <w:color w:val="auto"/>
              </w:rPr>
            </w:pPr>
            <w:r>
              <w:rPr>
                <w:color w:val="auto"/>
              </w:rPr>
              <w:t>—</w:t>
            </w:r>
          </w:p>
        </w:tc>
        <w:tc>
          <w:tcPr>
            <w:tcW w:w="993" w:type="dxa"/>
            <w:vAlign w:val="center"/>
          </w:tcPr>
          <w:p w14:paraId="2051A871">
            <w:pPr>
              <w:pStyle w:val="33"/>
              <w:rPr>
                <w:color w:val="auto"/>
              </w:rPr>
            </w:pPr>
            <w:r>
              <w:rPr>
                <w:color w:val="auto"/>
              </w:rPr>
              <w:t>3.87</w:t>
            </w:r>
          </w:p>
        </w:tc>
        <w:tc>
          <w:tcPr>
            <w:tcW w:w="813" w:type="dxa"/>
            <w:vAlign w:val="center"/>
          </w:tcPr>
          <w:p w14:paraId="77B7AFB2">
            <w:pPr>
              <w:pStyle w:val="33"/>
              <w:rPr>
                <w:color w:val="auto"/>
              </w:rPr>
            </w:pPr>
            <w:r>
              <w:rPr>
                <w:color w:val="auto"/>
              </w:rPr>
              <w:t>3.50</w:t>
            </w:r>
          </w:p>
        </w:tc>
      </w:tr>
      <w:tr w14:paraId="79D91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04A2A668">
            <w:pPr>
              <w:pStyle w:val="33"/>
              <w:rPr>
                <w:color w:val="auto"/>
              </w:rPr>
            </w:pPr>
            <w:r>
              <w:rPr>
                <w:color w:val="auto"/>
              </w:rPr>
              <w:t>平均值</w:t>
            </w:r>
          </w:p>
        </w:tc>
        <w:tc>
          <w:tcPr>
            <w:tcW w:w="993" w:type="dxa"/>
            <w:vAlign w:val="center"/>
          </w:tcPr>
          <w:p w14:paraId="6ED68619">
            <w:pPr>
              <w:pStyle w:val="33"/>
              <w:rPr>
                <w:color w:val="auto"/>
              </w:rPr>
            </w:pPr>
            <w:r>
              <w:rPr>
                <w:color w:val="auto"/>
              </w:rPr>
              <w:t>3.89</w:t>
            </w:r>
          </w:p>
        </w:tc>
        <w:tc>
          <w:tcPr>
            <w:tcW w:w="1134" w:type="dxa"/>
            <w:vAlign w:val="center"/>
          </w:tcPr>
          <w:p w14:paraId="36E34E44">
            <w:pPr>
              <w:pStyle w:val="33"/>
              <w:rPr>
                <w:color w:val="auto"/>
              </w:rPr>
            </w:pPr>
            <w:r>
              <w:rPr>
                <w:color w:val="auto"/>
              </w:rPr>
              <w:t>6.42</w:t>
            </w:r>
          </w:p>
        </w:tc>
        <w:tc>
          <w:tcPr>
            <w:tcW w:w="850" w:type="dxa"/>
            <w:vAlign w:val="center"/>
          </w:tcPr>
          <w:p w14:paraId="493E50CF">
            <w:pPr>
              <w:pStyle w:val="33"/>
              <w:rPr>
                <w:color w:val="auto"/>
              </w:rPr>
            </w:pPr>
            <w:r>
              <w:rPr>
                <w:color w:val="auto"/>
              </w:rPr>
              <w:t>1.09</w:t>
            </w:r>
          </w:p>
        </w:tc>
        <w:tc>
          <w:tcPr>
            <w:tcW w:w="851" w:type="dxa"/>
            <w:vAlign w:val="center"/>
          </w:tcPr>
          <w:p w14:paraId="76AEE153">
            <w:pPr>
              <w:pStyle w:val="33"/>
              <w:rPr>
                <w:color w:val="auto"/>
              </w:rPr>
            </w:pPr>
            <w:r>
              <w:rPr>
                <w:color w:val="auto"/>
              </w:rPr>
              <w:t>3.48</w:t>
            </w:r>
          </w:p>
        </w:tc>
        <w:tc>
          <w:tcPr>
            <w:tcW w:w="1134" w:type="dxa"/>
            <w:vAlign w:val="center"/>
          </w:tcPr>
          <w:p w14:paraId="2E071BF9">
            <w:pPr>
              <w:pStyle w:val="33"/>
              <w:rPr>
                <w:color w:val="auto"/>
              </w:rPr>
            </w:pPr>
            <w:r>
              <w:rPr>
                <w:color w:val="auto"/>
              </w:rPr>
              <w:t>1.28</w:t>
            </w:r>
          </w:p>
        </w:tc>
        <w:tc>
          <w:tcPr>
            <w:tcW w:w="708" w:type="dxa"/>
            <w:vAlign w:val="center"/>
          </w:tcPr>
          <w:p w14:paraId="61C8EBCF">
            <w:pPr>
              <w:pStyle w:val="33"/>
              <w:rPr>
                <w:color w:val="auto"/>
              </w:rPr>
            </w:pPr>
            <w:r>
              <w:rPr>
                <w:color w:val="auto"/>
              </w:rPr>
              <w:t>2.77</w:t>
            </w:r>
          </w:p>
        </w:tc>
        <w:tc>
          <w:tcPr>
            <w:tcW w:w="993" w:type="dxa"/>
            <w:vAlign w:val="center"/>
          </w:tcPr>
          <w:p w14:paraId="740B418F">
            <w:pPr>
              <w:pStyle w:val="33"/>
              <w:rPr>
                <w:color w:val="auto"/>
              </w:rPr>
            </w:pPr>
            <w:r>
              <w:rPr>
                <w:color w:val="auto"/>
              </w:rPr>
              <w:t>2.77</w:t>
            </w:r>
          </w:p>
        </w:tc>
        <w:tc>
          <w:tcPr>
            <w:tcW w:w="813" w:type="dxa"/>
            <w:vAlign w:val="center"/>
          </w:tcPr>
          <w:p w14:paraId="6EDEF139">
            <w:pPr>
              <w:pStyle w:val="33"/>
              <w:rPr>
                <w:color w:val="auto"/>
              </w:rPr>
            </w:pPr>
            <w:r>
              <w:rPr>
                <w:color w:val="auto"/>
              </w:rPr>
              <w:t>2.55</w:t>
            </w:r>
          </w:p>
        </w:tc>
      </w:tr>
      <w:tr w14:paraId="04994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1820DB46">
            <w:pPr>
              <w:pStyle w:val="33"/>
              <w:rPr>
                <w:color w:val="auto"/>
              </w:rPr>
            </w:pPr>
            <w:r>
              <w:rPr>
                <w:color w:val="auto"/>
              </w:rPr>
              <w:t>最大值</w:t>
            </w:r>
          </w:p>
        </w:tc>
        <w:tc>
          <w:tcPr>
            <w:tcW w:w="993" w:type="dxa"/>
            <w:vAlign w:val="center"/>
          </w:tcPr>
          <w:p w14:paraId="3F88CF0B">
            <w:pPr>
              <w:pStyle w:val="33"/>
              <w:rPr>
                <w:color w:val="auto"/>
              </w:rPr>
            </w:pPr>
            <w:r>
              <w:rPr>
                <w:color w:val="auto"/>
              </w:rPr>
              <w:t>12.53</w:t>
            </w:r>
          </w:p>
        </w:tc>
        <w:tc>
          <w:tcPr>
            <w:tcW w:w="1134" w:type="dxa"/>
            <w:vAlign w:val="center"/>
          </w:tcPr>
          <w:p w14:paraId="7E7B9ED3">
            <w:pPr>
              <w:pStyle w:val="33"/>
              <w:rPr>
                <w:color w:val="auto"/>
              </w:rPr>
            </w:pPr>
            <w:r>
              <w:rPr>
                <w:color w:val="auto"/>
              </w:rPr>
              <w:t>26.09</w:t>
            </w:r>
          </w:p>
        </w:tc>
        <w:tc>
          <w:tcPr>
            <w:tcW w:w="850" w:type="dxa"/>
            <w:vAlign w:val="center"/>
          </w:tcPr>
          <w:p w14:paraId="67890FF1">
            <w:pPr>
              <w:pStyle w:val="33"/>
              <w:rPr>
                <w:color w:val="auto"/>
              </w:rPr>
            </w:pPr>
            <w:r>
              <w:rPr>
                <w:color w:val="auto"/>
              </w:rPr>
              <w:t>1.99</w:t>
            </w:r>
          </w:p>
        </w:tc>
        <w:tc>
          <w:tcPr>
            <w:tcW w:w="851" w:type="dxa"/>
            <w:vAlign w:val="center"/>
          </w:tcPr>
          <w:p w14:paraId="1035842B">
            <w:pPr>
              <w:pStyle w:val="33"/>
              <w:rPr>
                <w:color w:val="auto"/>
              </w:rPr>
            </w:pPr>
            <w:r>
              <w:rPr>
                <w:color w:val="auto"/>
              </w:rPr>
              <w:t>12.25</w:t>
            </w:r>
          </w:p>
        </w:tc>
        <w:tc>
          <w:tcPr>
            <w:tcW w:w="1134" w:type="dxa"/>
            <w:vAlign w:val="center"/>
          </w:tcPr>
          <w:p w14:paraId="701C2382">
            <w:pPr>
              <w:pStyle w:val="33"/>
              <w:rPr>
                <w:color w:val="auto"/>
              </w:rPr>
            </w:pPr>
            <w:r>
              <w:rPr>
                <w:color w:val="auto"/>
              </w:rPr>
              <w:t>3.46</w:t>
            </w:r>
          </w:p>
        </w:tc>
        <w:tc>
          <w:tcPr>
            <w:tcW w:w="708" w:type="dxa"/>
            <w:vAlign w:val="center"/>
          </w:tcPr>
          <w:p w14:paraId="028B33C8">
            <w:pPr>
              <w:pStyle w:val="33"/>
              <w:rPr>
                <w:color w:val="auto"/>
              </w:rPr>
            </w:pPr>
            <w:r>
              <w:rPr>
                <w:color w:val="auto"/>
              </w:rPr>
              <w:t>5.48</w:t>
            </w:r>
          </w:p>
        </w:tc>
        <w:tc>
          <w:tcPr>
            <w:tcW w:w="993" w:type="dxa"/>
            <w:vAlign w:val="center"/>
          </w:tcPr>
          <w:p w14:paraId="314E3562">
            <w:pPr>
              <w:pStyle w:val="33"/>
              <w:rPr>
                <w:color w:val="auto"/>
              </w:rPr>
            </w:pPr>
            <w:r>
              <w:rPr>
                <w:color w:val="auto"/>
              </w:rPr>
              <w:t>5.55</w:t>
            </w:r>
          </w:p>
        </w:tc>
        <w:tc>
          <w:tcPr>
            <w:tcW w:w="813" w:type="dxa"/>
            <w:vAlign w:val="center"/>
          </w:tcPr>
          <w:p w14:paraId="2062AD26">
            <w:pPr>
              <w:pStyle w:val="33"/>
              <w:rPr>
                <w:color w:val="auto"/>
              </w:rPr>
            </w:pPr>
            <w:r>
              <w:rPr>
                <w:color w:val="auto"/>
              </w:rPr>
              <w:t>3.50</w:t>
            </w:r>
          </w:p>
        </w:tc>
      </w:tr>
      <w:tr w14:paraId="1D806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0810A9A6">
            <w:pPr>
              <w:pStyle w:val="33"/>
              <w:rPr>
                <w:color w:val="auto"/>
              </w:rPr>
            </w:pPr>
            <w:r>
              <w:rPr>
                <w:color w:val="auto"/>
              </w:rPr>
              <w:t>最小值</w:t>
            </w:r>
          </w:p>
        </w:tc>
        <w:tc>
          <w:tcPr>
            <w:tcW w:w="993" w:type="dxa"/>
            <w:vAlign w:val="center"/>
          </w:tcPr>
          <w:p w14:paraId="0248F4F7">
            <w:pPr>
              <w:pStyle w:val="33"/>
              <w:rPr>
                <w:color w:val="auto"/>
              </w:rPr>
            </w:pPr>
            <w:r>
              <w:rPr>
                <w:color w:val="auto"/>
              </w:rPr>
              <w:t>0.24</w:t>
            </w:r>
          </w:p>
        </w:tc>
        <w:tc>
          <w:tcPr>
            <w:tcW w:w="1134" w:type="dxa"/>
            <w:vAlign w:val="center"/>
          </w:tcPr>
          <w:p w14:paraId="43EA48EC">
            <w:pPr>
              <w:pStyle w:val="33"/>
              <w:rPr>
                <w:color w:val="auto"/>
              </w:rPr>
            </w:pPr>
            <w:r>
              <w:rPr>
                <w:color w:val="auto"/>
              </w:rPr>
              <w:t>0.40</w:t>
            </w:r>
          </w:p>
        </w:tc>
        <w:tc>
          <w:tcPr>
            <w:tcW w:w="850" w:type="dxa"/>
            <w:vAlign w:val="center"/>
          </w:tcPr>
          <w:p w14:paraId="0DFC717D">
            <w:pPr>
              <w:pStyle w:val="33"/>
              <w:rPr>
                <w:color w:val="auto"/>
              </w:rPr>
            </w:pPr>
            <w:r>
              <w:rPr>
                <w:color w:val="auto"/>
              </w:rPr>
              <w:t>0.30</w:t>
            </w:r>
          </w:p>
        </w:tc>
        <w:tc>
          <w:tcPr>
            <w:tcW w:w="851" w:type="dxa"/>
            <w:vAlign w:val="center"/>
          </w:tcPr>
          <w:p w14:paraId="289A742C">
            <w:pPr>
              <w:pStyle w:val="33"/>
              <w:rPr>
                <w:color w:val="auto"/>
              </w:rPr>
            </w:pPr>
            <w:r>
              <w:rPr>
                <w:color w:val="auto"/>
              </w:rPr>
              <w:t>0.24</w:t>
            </w:r>
          </w:p>
        </w:tc>
        <w:tc>
          <w:tcPr>
            <w:tcW w:w="1134" w:type="dxa"/>
            <w:vAlign w:val="center"/>
          </w:tcPr>
          <w:p w14:paraId="48677275">
            <w:pPr>
              <w:pStyle w:val="33"/>
              <w:rPr>
                <w:color w:val="auto"/>
              </w:rPr>
            </w:pPr>
            <w:r>
              <w:rPr>
                <w:color w:val="auto"/>
              </w:rPr>
              <w:t>0.09</w:t>
            </w:r>
          </w:p>
        </w:tc>
        <w:tc>
          <w:tcPr>
            <w:tcW w:w="708" w:type="dxa"/>
            <w:vAlign w:val="center"/>
          </w:tcPr>
          <w:p w14:paraId="439ECE5E">
            <w:pPr>
              <w:pStyle w:val="33"/>
              <w:rPr>
                <w:color w:val="auto"/>
              </w:rPr>
            </w:pPr>
            <w:r>
              <w:rPr>
                <w:color w:val="auto"/>
              </w:rPr>
              <w:t>1.19</w:t>
            </w:r>
          </w:p>
        </w:tc>
        <w:tc>
          <w:tcPr>
            <w:tcW w:w="993" w:type="dxa"/>
            <w:vAlign w:val="center"/>
          </w:tcPr>
          <w:p w14:paraId="3E5FBA26">
            <w:pPr>
              <w:pStyle w:val="33"/>
              <w:rPr>
                <w:color w:val="auto"/>
              </w:rPr>
            </w:pPr>
            <w:r>
              <w:rPr>
                <w:color w:val="auto"/>
              </w:rPr>
              <w:t>0.60</w:t>
            </w:r>
          </w:p>
        </w:tc>
        <w:tc>
          <w:tcPr>
            <w:tcW w:w="813" w:type="dxa"/>
            <w:vAlign w:val="center"/>
          </w:tcPr>
          <w:p w14:paraId="79752103">
            <w:pPr>
              <w:pStyle w:val="33"/>
              <w:rPr>
                <w:color w:val="auto"/>
              </w:rPr>
            </w:pPr>
            <w:r>
              <w:rPr>
                <w:color w:val="auto"/>
              </w:rPr>
              <w:t>1.59</w:t>
            </w:r>
          </w:p>
        </w:tc>
      </w:tr>
    </w:tbl>
    <w:p w14:paraId="4358CE4E">
      <w:pPr>
        <w:ind w:firstLine="480"/>
        <w:rPr>
          <w:color w:val="auto"/>
        </w:rPr>
      </w:pPr>
      <w:r>
        <w:rPr>
          <w:color w:val="auto"/>
        </w:rPr>
        <w:t>注：“—”标是该点未测，本次评价按平均值进行污染物计算。</w:t>
      </w:r>
    </w:p>
    <w:p w14:paraId="40EF58AF">
      <w:pPr>
        <w:pStyle w:val="7"/>
        <w:rPr>
          <w:color w:val="auto"/>
        </w:rPr>
      </w:pPr>
      <w:bookmarkStart w:id="220" w:name="_Ref115277562"/>
      <w:r>
        <w:rPr>
          <w:color w:val="auto"/>
        </w:rPr>
        <w:t>上海市污水处理厂各构筑物硫化氢浓度情况  单位：mg/m</w:t>
      </w:r>
      <w:r>
        <w:rPr>
          <w:color w:val="auto"/>
          <w:vertAlign w:val="superscript"/>
        </w:rPr>
        <w:t>3</w:t>
      </w:r>
      <w:bookmarkEnd w:id="220"/>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9"/>
        <w:gridCol w:w="993"/>
        <w:gridCol w:w="1134"/>
        <w:gridCol w:w="850"/>
        <w:gridCol w:w="851"/>
        <w:gridCol w:w="1134"/>
        <w:gridCol w:w="708"/>
        <w:gridCol w:w="993"/>
        <w:gridCol w:w="813"/>
      </w:tblGrid>
      <w:tr w14:paraId="28203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6E880D80">
            <w:pPr>
              <w:pStyle w:val="33"/>
              <w:rPr>
                <w:color w:val="auto"/>
              </w:rPr>
            </w:pPr>
            <w:r>
              <w:rPr>
                <w:color w:val="auto"/>
              </w:rPr>
              <w:t>污水处理厂</w:t>
            </w:r>
          </w:p>
        </w:tc>
        <w:tc>
          <w:tcPr>
            <w:tcW w:w="993" w:type="dxa"/>
            <w:vAlign w:val="center"/>
          </w:tcPr>
          <w:p w14:paraId="747AEB85">
            <w:pPr>
              <w:pStyle w:val="33"/>
              <w:rPr>
                <w:color w:val="auto"/>
              </w:rPr>
            </w:pPr>
            <w:r>
              <w:rPr>
                <w:color w:val="auto"/>
              </w:rPr>
              <w:t>格栅井</w:t>
            </w:r>
          </w:p>
        </w:tc>
        <w:tc>
          <w:tcPr>
            <w:tcW w:w="1134" w:type="dxa"/>
            <w:vAlign w:val="center"/>
          </w:tcPr>
          <w:p w14:paraId="2AAA4F9E">
            <w:pPr>
              <w:pStyle w:val="33"/>
              <w:rPr>
                <w:color w:val="auto"/>
              </w:rPr>
            </w:pPr>
            <w:r>
              <w:rPr>
                <w:color w:val="auto"/>
              </w:rPr>
              <w:t>沉砂池</w:t>
            </w:r>
          </w:p>
        </w:tc>
        <w:tc>
          <w:tcPr>
            <w:tcW w:w="850" w:type="dxa"/>
            <w:vAlign w:val="center"/>
          </w:tcPr>
          <w:p w14:paraId="62BD3571">
            <w:pPr>
              <w:pStyle w:val="33"/>
              <w:rPr>
                <w:color w:val="auto"/>
              </w:rPr>
            </w:pPr>
            <w:r>
              <w:rPr>
                <w:color w:val="auto"/>
              </w:rPr>
              <w:t>初沉池</w:t>
            </w:r>
          </w:p>
        </w:tc>
        <w:tc>
          <w:tcPr>
            <w:tcW w:w="851" w:type="dxa"/>
            <w:vAlign w:val="center"/>
          </w:tcPr>
          <w:p w14:paraId="0FB8101D">
            <w:pPr>
              <w:pStyle w:val="33"/>
              <w:rPr>
                <w:color w:val="auto"/>
              </w:rPr>
            </w:pPr>
            <w:r>
              <w:rPr>
                <w:color w:val="auto"/>
              </w:rPr>
              <w:t>曝气池</w:t>
            </w:r>
          </w:p>
        </w:tc>
        <w:tc>
          <w:tcPr>
            <w:tcW w:w="1134" w:type="dxa"/>
            <w:vAlign w:val="center"/>
          </w:tcPr>
          <w:p w14:paraId="234ED6C5">
            <w:pPr>
              <w:pStyle w:val="33"/>
              <w:rPr>
                <w:color w:val="auto"/>
              </w:rPr>
            </w:pPr>
            <w:r>
              <w:rPr>
                <w:color w:val="auto"/>
              </w:rPr>
              <w:t>污泥浓缩池</w:t>
            </w:r>
          </w:p>
        </w:tc>
        <w:tc>
          <w:tcPr>
            <w:tcW w:w="708" w:type="dxa"/>
            <w:vAlign w:val="center"/>
          </w:tcPr>
          <w:p w14:paraId="2291F9D1">
            <w:pPr>
              <w:pStyle w:val="33"/>
              <w:rPr>
                <w:color w:val="auto"/>
              </w:rPr>
            </w:pPr>
            <w:r>
              <w:rPr>
                <w:color w:val="auto"/>
              </w:rPr>
              <w:t>贮泥池</w:t>
            </w:r>
          </w:p>
        </w:tc>
        <w:tc>
          <w:tcPr>
            <w:tcW w:w="993" w:type="dxa"/>
            <w:vAlign w:val="center"/>
          </w:tcPr>
          <w:p w14:paraId="55298DE2">
            <w:pPr>
              <w:pStyle w:val="33"/>
              <w:rPr>
                <w:color w:val="auto"/>
              </w:rPr>
            </w:pPr>
            <w:r>
              <w:rPr>
                <w:color w:val="auto"/>
              </w:rPr>
              <w:t>脱水机房</w:t>
            </w:r>
          </w:p>
        </w:tc>
        <w:tc>
          <w:tcPr>
            <w:tcW w:w="813" w:type="dxa"/>
            <w:vAlign w:val="center"/>
          </w:tcPr>
          <w:p w14:paraId="3634F177">
            <w:pPr>
              <w:pStyle w:val="33"/>
              <w:rPr>
                <w:color w:val="auto"/>
              </w:rPr>
            </w:pPr>
            <w:r>
              <w:rPr>
                <w:color w:val="auto"/>
              </w:rPr>
              <w:t>污泥堆场</w:t>
            </w:r>
          </w:p>
        </w:tc>
      </w:tr>
      <w:tr w14:paraId="56A51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78038C54">
            <w:pPr>
              <w:pStyle w:val="33"/>
              <w:rPr>
                <w:color w:val="auto"/>
              </w:rPr>
            </w:pPr>
            <w:r>
              <w:rPr>
                <w:color w:val="auto"/>
              </w:rPr>
              <w:t>天山水质净化厂</w:t>
            </w:r>
          </w:p>
        </w:tc>
        <w:tc>
          <w:tcPr>
            <w:tcW w:w="993" w:type="dxa"/>
            <w:vAlign w:val="center"/>
          </w:tcPr>
          <w:p w14:paraId="3B2B69BA">
            <w:pPr>
              <w:pStyle w:val="33"/>
              <w:rPr>
                <w:color w:val="auto"/>
              </w:rPr>
            </w:pPr>
            <w:r>
              <w:rPr>
                <w:rFonts w:cs="Times New Roman" w:eastAsiaTheme="minorEastAsia"/>
                <w:color w:val="auto"/>
              </w:rPr>
              <w:t>0.05</w:t>
            </w:r>
          </w:p>
        </w:tc>
        <w:tc>
          <w:tcPr>
            <w:tcW w:w="1134" w:type="dxa"/>
            <w:vAlign w:val="center"/>
          </w:tcPr>
          <w:p w14:paraId="0B83DE1D">
            <w:pPr>
              <w:pStyle w:val="33"/>
              <w:rPr>
                <w:color w:val="auto"/>
              </w:rPr>
            </w:pPr>
            <w:r>
              <w:rPr>
                <w:rFonts w:cs="Times New Roman" w:eastAsiaTheme="minorEastAsia"/>
                <w:color w:val="auto"/>
              </w:rPr>
              <w:t>—</w:t>
            </w:r>
          </w:p>
        </w:tc>
        <w:tc>
          <w:tcPr>
            <w:tcW w:w="850" w:type="dxa"/>
            <w:vAlign w:val="center"/>
          </w:tcPr>
          <w:p w14:paraId="5CECB455">
            <w:pPr>
              <w:pStyle w:val="33"/>
              <w:rPr>
                <w:color w:val="auto"/>
              </w:rPr>
            </w:pPr>
            <w:r>
              <w:rPr>
                <w:rFonts w:cs="Times New Roman" w:eastAsiaTheme="minorEastAsia"/>
                <w:color w:val="auto"/>
              </w:rPr>
              <w:t>0.30</w:t>
            </w:r>
          </w:p>
        </w:tc>
        <w:tc>
          <w:tcPr>
            <w:tcW w:w="851" w:type="dxa"/>
            <w:vAlign w:val="center"/>
          </w:tcPr>
          <w:p w14:paraId="7FCF0AC0">
            <w:pPr>
              <w:pStyle w:val="33"/>
              <w:rPr>
                <w:color w:val="auto"/>
              </w:rPr>
            </w:pPr>
            <w:r>
              <w:rPr>
                <w:rFonts w:cs="Times New Roman" w:eastAsiaTheme="minorEastAsia"/>
                <w:color w:val="auto"/>
              </w:rPr>
              <w:t>0.24</w:t>
            </w:r>
          </w:p>
        </w:tc>
        <w:tc>
          <w:tcPr>
            <w:tcW w:w="1134" w:type="dxa"/>
            <w:vAlign w:val="center"/>
          </w:tcPr>
          <w:p w14:paraId="44DC5AD7">
            <w:pPr>
              <w:pStyle w:val="33"/>
              <w:rPr>
                <w:color w:val="auto"/>
              </w:rPr>
            </w:pPr>
            <w:r>
              <w:rPr>
                <w:rFonts w:cs="Times New Roman" w:eastAsiaTheme="minorEastAsia"/>
                <w:color w:val="auto"/>
              </w:rPr>
              <w:t>—</w:t>
            </w:r>
          </w:p>
        </w:tc>
        <w:tc>
          <w:tcPr>
            <w:tcW w:w="708" w:type="dxa"/>
            <w:vAlign w:val="center"/>
          </w:tcPr>
          <w:p w14:paraId="5495C3F2">
            <w:pPr>
              <w:pStyle w:val="33"/>
              <w:rPr>
                <w:color w:val="auto"/>
              </w:rPr>
            </w:pPr>
            <w:r>
              <w:rPr>
                <w:rFonts w:cs="Times New Roman" w:eastAsiaTheme="minorEastAsia"/>
                <w:color w:val="auto"/>
              </w:rPr>
              <w:t>1.61</w:t>
            </w:r>
          </w:p>
        </w:tc>
        <w:tc>
          <w:tcPr>
            <w:tcW w:w="993" w:type="dxa"/>
            <w:vAlign w:val="center"/>
          </w:tcPr>
          <w:p w14:paraId="108AEC97">
            <w:pPr>
              <w:pStyle w:val="33"/>
              <w:rPr>
                <w:color w:val="auto"/>
              </w:rPr>
            </w:pPr>
            <w:r>
              <w:rPr>
                <w:rFonts w:cs="Times New Roman" w:eastAsiaTheme="minorEastAsia"/>
                <w:color w:val="auto"/>
              </w:rPr>
              <w:t>2.84</w:t>
            </w:r>
          </w:p>
        </w:tc>
        <w:tc>
          <w:tcPr>
            <w:tcW w:w="813" w:type="dxa"/>
            <w:vAlign w:val="center"/>
          </w:tcPr>
          <w:p w14:paraId="3CA30FE2">
            <w:pPr>
              <w:pStyle w:val="33"/>
              <w:rPr>
                <w:color w:val="auto"/>
              </w:rPr>
            </w:pPr>
            <w:r>
              <w:rPr>
                <w:rFonts w:cs="Times New Roman" w:eastAsiaTheme="minorEastAsia"/>
                <w:color w:val="auto"/>
              </w:rPr>
              <w:t>—</w:t>
            </w:r>
          </w:p>
        </w:tc>
      </w:tr>
      <w:tr w14:paraId="3825C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17AFA545">
            <w:pPr>
              <w:pStyle w:val="33"/>
              <w:rPr>
                <w:color w:val="auto"/>
              </w:rPr>
            </w:pPr>
            <w:r>
              <w:rPr>
                <w:color w:val="auto"/>
              </w:rPr>
              <w:t>龙华水质净化厂</w:t>
            </w:r>
          </w:p>
        </w:tc>
        <w:tc>
          <w:tcPr>
            <w:tcW w:w="993" w:type="dxa"/>
            <w:vAlign w:val="center"/>
          </w:tcPr>
          <w:p w14:paraId="4864140B">
            <w:pPr>
              <w:pStyle w:val="33"/>
              <w:rPr>
                <w:color w:val="auto"/>
              </w:rPr>
            </w:pPr>
            <w:r>
              <w:rPr>
                <w:rFonts w:cs="Times New Roman" w:eastAsiaTheme="minorEastAsia"/>
                <w:color w:val="auto"/>
              </w:rPr>
              <w:t>—</w:t>
            </w:r>
          </w:p>
        </w:tc>
        <w:tc>
          <w:tcPr>
            <w:tcW w:w="1134" w:type="dxa"/>
            <w:vAlign w:val="center"/>
          </w:tcPr>
          <w:p w14:paraId="4261CAE1">
            <w:pPr>
              <w:pStyle w:val="33"/>
              <w:rPr>
                <w:color w:val="auto"/>
              </w:rPr>
            </w:pPr>
            <w:r>
              <w:rPr>
                <w:rFonts w:cs="Times New Roman" w:eastAsiaTheme="minorEastAsia"/>
                <w:color w:val="auto"/>
              </w:rPr>
              <w:t>—</w:t>
            </w:r>
          </w:p>
        </w:tc>
        <w:tc>
          <w:tcPr>
            <w:tcW w:w="850" w:type="dxa"/>
            <w:vAlign w:val="center"/>
          </w:tcPr>
          <w:p w14:paraId="3CB0EE42">
            <w:pPr>
              <w:pStyle w:val="33"/>
              <w:rPr>
                <w:color w:val="auto"/>
              </w:rPr>
            </w:pPr>
            <w:r>
              <w:rPr>
                <w:rFonts w:cs="Times New Roman" w:eastAsiaTheme="minorEastAsia"/>
                <w:color w:val="auto"/>
              </w:rPr>
              <w:t>—</w:t>
            </w:r>
          </w:p>
        </w:tc>
        <w:tc>
          <w:tcPr>
            <w:tcW w:w="851" w:type="dxa"/>
            <w:vAlign w:val="center"/>
          </w:tcPr>
          <w:p w14:paraId="6AB12F9E">
            <w:pPr>
              <w:pStyle w:val="33"/>
              <w:rPr>
                <w:color w:val="auto"/>
              </w:rPr>
            </w:pPr>
            <w:r>
              <w:rPr>
                <w:rFonts w:cs="Times New Roman" w:eastAsiaTheme="minorEastAsia"/>
                <w:color w:val="auto"/>
              </w:rPr>
              <w:t>0.01</w:t>
            </w:r>
          </w:p>
        </w:tc>
        <w:tc>
          <w:tcPr>
            <w:tcW w:w="1134" w:type="dxa"/>
            <w:vAlign w:val="center"/>
          </w:tcPr>
          <w:p w14:paraId="2A7CB1D7">
            <w:pPr>
              <w:pStyle w:val="33"/>
              <w:rPr>
                <w:color w:val="auto"/>
              </w:rPr>
            </w:pPr>
            <w:r>
              <w:rPr>
                <w:rFonts w:cs="Times New Roman" w:eastAsiaTheme="minorEastAsia"/>
                <w:color w:val="auto"/>
              </w:rPr>
              <w:t>0.80</w:t>
            </w:r>
          </w:p>
        </w:tc>
        <w:tc>
          <w:tcPr>
            <w:tcW w:w="708" w:type="dxa"/>
            <w:vAlign w:val="center"/>
          </w:tcPr>
          <w:p w14:paraId="0CBF5F19">
            <w:pPr>
              <w:pStyle w:val="33"/>
              <w:rPr>
                <w:color w:val="auto"/>
              </w:rPr>
            </w:pPr>
            <w:r>
              <w:rPr>
                <w:rFonts w:cs="Times New Roman" w:eastAsiaTheme="minorEastAsia"/>
                <w:color w:val="auto"/>
              </w:rPr>
              <w:t>—</w:t>
            </w:r>
          </w:p>
        </w:tc>
        <w:tc>
          <w:tcPr>
            <w:tcW w:w="993" w:type="dxa"/>
            <w:vAlign w:val="center"/>
          </w:tcPr>
          <w:p w14:paraId="24AFFB54">
            <w:pPr>
              <w:pStyle w:val="33"/>
              <w:rPr>
                <w:color w:val="auto"/>
              </w:rPr>
            </w:pPr>
            <w:r>
              <w:rPr>
                <w:rFonts w:cs="Times New Roman" w:eastAsiaTheme="minorEastAsia"/>
                <w:color w:val="auto"/>
              </w:rPr>
              <w:t>0.03</w:t>
            </w:r>
          </w:p>
        </w:tc>
        <w:tc>
          <w:tcPr>
            <w:tcW w:w="813" w:type="dxa"/>
            <w:vAlign w:val="center"/>
          </w:tcPr>
          <w:p w14:paraId="0E4996AB">
            <w:pPr>
              <w:pStyle w:val="33"/>
              <w:rPr>
                <w:color w:val="auto"/>
              </w:rPr>
            </w:pPr>
            <w:r>
              <w:rPr>
                <w:rFonts w:cs="Times New Roman" w:eastAsiaTheme="minorEastAsia"/>
                <w:color w:val="auto"/>
              </w:rPr>
              <w:t>—</w:t>
            </w:r>
          </w:p>
        </w:tc>
      </w:tr>
      <w:tr w14:paraId="56237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9" w:type="dxa"/>
            <w:vAlign w:val="center"/>
          </w:tcPr>
          <w:p w14:paraId="1C45DF02">
            <w:pPr>
              <w:pStyle w:val="33"/>
              <w:rPr>
                <w:color w:val="auto"/>
              </w:rPr>
            </w:pPr>
            <w:r>
              <w:rPr>
                <w:color w:val="auto"/>
              </w:rPr>
              <w:t>白龙港水质净化厂</w:t>
            </w:r>
          </w:p>
        </w:tc>
        <w:tc>
          <w:tcPr>
            <w:tcW w:w="993" w:type="dxa"/>
            <w:vAlign w:val="center"/>
          </w:tcPr>
          <w:p w14:paraId="3F8918DB">
            <w:pPr>
              <w:pStyle w:val="33"/>
              <w:rPr>
                <w:color w:val="auto"/>
              </w:rPr>
            </w:pPr>
            <w:r>
              <w:rPr>
                <w:rFonts w:cs="Times New Roman" w:eastAsiaTheme="minorEastAsia"/>
                <w:color w:val="auto"/>
              </w:rPr>
              <w:t>7.48</w:t>
            </w:r>
          </w:p>
        </w:tc>
        <w:tc>
          <w:tcPr>
            <w:tcW w:w="1134" w:type="dxa"/>
            <w:vAlign w:val="center"/>
          </w:tcPr>
          <w:p w14:paraId="098B6E31">
            <w:pPr>
              <w:pStyle w:val="33"/>
              <w:rPr>
                <w:color w:val="auto"/>
              </w:rPr>
            </w:pPr>
            <w:r>
              <w:rPr>
                <w:rFonts w:cs="Times New Roman" w:eastAsiaTheme="minorEastAsia"/>
                <w:color w:val="auto"/>
              </w:rPr>
              <w:t>28.24</w:t>
            </w:r>
          </w:p>
        </w:tc>
        <w:tc>
          <w:tcPr>
            <w:tcW w:w="850" w:type="dxa"/>
            <w:vAlign w:val="center"/>
          </w:tcPr>
          <w:p w14:paraId="450EFF1B">
            <w:pPr>
              <w:pStyle w:val="33"/>
              <w:rPr>
                <w:color w:val="auto"/>
              </w:rPr>
            </w:pPr>
            <w:r>
              <w:rPr>
                <w:rFonts w:cs="Times New Roman" w:eastAsiaTheme="minorEastAsia"/>
                <w:color w:val="auto"/>
              </w:rPr>
              <w:t>—</w:t>
            </w:r>
          </w:p>
        </w:tc>
        <w:tc>
          <w:tcPr>
            <w:tcW w:w="851" w:type="dxa"/>
            <w:vAlign w:val="center"/>
          </w:tcPr>
          <w:p w14:paraId="6B5D7637">
            <w:pPr>
              <w:pStyle w:val="33"/>
              <w:rPr>
                <w:color w:val="auto"/>
              </w:rPr>
            </w:pPr>
            <w:r>
              <w:rPr>
                <w:rFonts w:cs="Times New Roman" w:eastAsiaTheme="minorEastAsia"/>
                <w:color w:val="auto"/>
              </w:rPr>
              <w:t>—</w:t>
            </w:r>
          </w:p>
        </w:tc>
        <w:tc>
          <w:tcPr>
            <w:tcW w:w="1134" w:type="dxa"/>
            <w:vAlign w:val="center"/>
          </w:tcPr>
          <w:p w14:paraId="7B8CF9CA">
            <w:pPr>
              <w:pStyle w:val="33"/>
              <w:rPr>
                <w:color w:val="auto"/>
              </w:rPr>
            </w:pPr>
            <w:r>
              <w:rPr>
                <w:rFonts w:cs="Times New Roman" w:eastAsiaTheme="minorEastAsia"/>
                <w:color w:val="auto"/>
              </w:rPr>
              <w:t>—</w:t>
            </w:r>
          </w:p>
        </w:tc>
        <w:tc>
          <w:tcPr>
            <w:tcW w:w="708" w:type="dxa"/>
            <w:vAlign w:val="center"/>
          </w:tcPr>
          <w:p w14:paraId="6A57A41B">
            <w:pPr>
              <w:pStyle w:val="33"/>
              <w:rPr>
                <w:color w:val="auto"/>
              </w:rPr>
            </w:pPr>
            <w:r>
              <w:rPr>
                <w:rFonts w:cs="Times New Roman" w:eastAsiaTheme="minorEastAsia"/>
                <w:color w:val="auto"/>
              </w:rPr>
              <w:t>—</w:t>
            </w:r>
          </w:p>
        </w:tc>
        <w:tc>
          <w:tcPr>
            <w:tcW w:w="993" w:type="dxa"/>
            <w:vAlign w:val="center"/>
          </w:tcPr>
          <w:p w14:paraId="3F3F8509">
            <w:pPr>
              <w:pStyle w:val="33"/>
              <w:rPr>
                <w:color w:val="auto"/>
              </w:rPr>
            </w:pPr>
            <w:r>
              <w:rPr>
                <w:rFonts w:cs="Times New Roman" w:eastAsiaTheme="minorEastAsia"/>
                <w:color w:val="auto"/>
              </w:rPr>
              <w:t>0.06</w:t>
            </w:r>
          </w:p>
        </w:tc>
        <w:tc>
          <w:tcPr>
            <w:tcW w:w="813" w:type="dxa"/>
            <w:vAlign w:val="center"/>
          </w:tcPr>
          <w:p w14:paraId="02DF9353">
            <w:pPr>
              <w:pStyle w:val="33"/>
              <w:rPr>
                <w:color w:val="auto"/>
              </w:rPr>
            </w:pPr>
            <w:r>
              <w:rPr>
                <w:rFonts w:cs="Times New Roman" w:eastAsiaTheme="minorEastAsia"/>
                <w:color w:val="auto"/>
              </w:rPr>
              <w:t>0.20</w:t>
            </w:r>
          </w:p>
        </w:tc>
      </w:tr>
      <w:tr w14:paraId="66E70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2A95EAAB">
            <w:pPr>
              <w:pStyle w:val="33"/>
              <w:rPr>
                <w:color w:val="auto"/>
              </w:rPr>
            </w:pPr>
            <w:r>
              <w:rPr>
                <w:color w:val="auto"/>
              </w:rPr>
              <w:t>吴淞水质净化厂</w:t>
            </w:r>
          </w:p>
        </w:tc>
        <w:tc>
          <w:tcPr>
            <w:tcW w:w="993" w:type="dxa"/>
            <w:vAlign w:val="center"/>
          </w:tcPr>
          <w:p w14:paraId="54586050">
            <w:pPr>
              <w:pStyle w:val="33"/>
              <w:rPr>
                <w:color w:val="auto"/>
              </w:rPr>
            </w:pPr>
            <w:r>
              <w:rPr>
                <w:rFonts w:cs="Times New Roman" w:eastAsiaTheme="minorEastAsia"/>
                <w:color w:val="auto"/>
              </w:rPr>
              <w:t>0.03</w:t>
            </w:r>
          </w:p>
        </w:tc>
        <w:tc>
          <w:tcPr>
            <w:tcW w:w="1134" w:type="dxa"/>
            <w:vAlign w:val="center"/>
          </w:tcPr>
          <w:p w14:paraId="5D73ADC2">
            <w:pPr>
              <w:pStyle w:val="33"/>
              <w:rPr>
                <w:color w:val="auto"/>
              </w:rPr>
            </w:pPr>
            <w:r>
              <w:rPr>
                <w:rFonts w:cs="Times New Roman" w:eastAsiaTheme="minorEastAsia"/>
                <w:color w:val="auto"/>
              </w:rPr>
              <w:t>0.84</w:t>
            </w:r>
          </w:p>
        </w:tc>
        <w:tc>
          <w:tcPr>
            <w:tcW w:w="850" w:type="dxa"/>
            <w:vAlign w:val="center"/>
          </w:tcPr>
          <w:p w14:paraId="39DDDD5E">
            <w:pPr>
              <w:pStyle w:val="33"/>
              <w:rPr>
                <w:color w:val="auto"/>
              </w:rPr>
            </w:pPr>
            <w:r>
              <w:rPr>
                <w:rFonts w:cs="Times New Roman" w:eastAsiaTheme="minorEastAsia"/>
                <w:color w:val="auto"/>
              </w:rPr>
              <w:t>—</w:t>
            </w:r>
          </w:p>
        </w:tc>
        <w:tc>
          <w:tcPr>
            <w:tcW w:w="851" w:type="dxa"/>
            <w:vAlign w:val="center"/>
          </w:tcPr>
          <w:p w14:paraId="0F823C96">
            <w:pPr>
              <w:pStyle w:val="33"/>
              <w:rPr>
                <w:color w:val="auto"/>
              </w:rPr>
            </w:pPr>
            <w:r>
              <w:rPr>
                <w:rFonts w:cs="Times New Roman" w:eastAsiaTheme="minorEastAsia"/>
                <w:color w:val="auto"/>
              </w:rPr>
              <w:t>—</w:t>
            </w:r>
          </w:p>
        </w:tc>
        <w:tc>
          <w:tcPr>
            <w:tcW w:w="1134" w:type="dxa"/>
            <w:vAlign w:val="center"/>
          </w:tcPr>
          <w:p w14:paraId="125B0D61">
            <w:pPr>
              <w:pStyle w:val="33"/>
              <w:rPr>
                <w:color w:val="auto"/>
              </w:rPr>
            </w:pPr>
            <w:r>
              <w:rPr>
                <w:rFonts w:cs="Times New Roman" w:eastAsiaTheme="minorEastAsia"/>
                <w:color w:val="auto"/>
              </w:rPr>
              <w:t>0.11</w:t>
            </w:r>
          </w:p>
        </w:tc>
        <w:tc>
          <w:tcPr>
            <w:tcW w:w="708" w:type="dxa"/>
            <w:vAlign w:val="center"/>
          </w:tcPr>
          <w:p w14:paraId="4A1CEF45">
            <w:pPr>
              <w:pStyle w:val="33"/>
              <w:rPr>
                <w:color w:val="auto"/>
              </w:rPr>
            </w:pPr>
            <w:r>
              <w:rPr>
                <w:rFonts w:cs="Times New Roman" w:eastAsiaTheme="minorEastAsia"/>
                <w:color w:val="auto"/>
              </w:rPr>
              <w:t>—</w:t>
            </w:r>
          </w:p>
        </w:tc>
        <w:tc>
          <w:tcPr>
            <w:tcW w:w="993" w:type="dxa"/>
            <w:vAlign w:val="center"/>
          </w:tcPr>
          <w:p w14:paraId="53140A46">
            <w:pPr>
              <w:pStyle w:val="33"/>
              <w:rPr>
                <w:color w:val="auto"/>
              </w:rPr>
            </w:pPr>
            <w:r>
              <w:rPr>
                <w:rFonts w:cs="Times New Roman" w:eastAsiaTheme="minorEastAsia"/>
                <w:color w:val="auto"/>
              </w:rPr>
              <w:t>2.39</w:t>
            </w:r>
          </w:p>
        </w:tc>
        <w:tc>
          <w:tcPr>
            <w:tcW w:w="813" w:type="dxa"/>
            <w:vAlign w:val="center"/>
          </w:tcPr>
          <w:p w14:paraId="42DB01F6">
            <w:pPr>
              <w:pStyle w:val="33"/>
              <w:rPr>
                <w:color w:val="auto"/>
              </w:rPr>
            </w:pPr>
            <w:r>
              <w:rPr>
                <w:rFonts w:cs="Times New Roman" w:eastAsiaTheme="minorEastAsia"/>
                <w:color w:val="auto"/>
              </w:rPr>
              <w:t>—</w:t>
            </w:r>
          </w:p>
        </w:tc>
      </w:tr>
      <w:tr w14:paraId="1E6C8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492D305E">
            <w:pPr>
              <w:pStyle w:val="33"/>
              <w:rPr>
                <w:color w:val="auto"/>
              </w:rPr>
            </w:pPr>
            <w:r>
              <w:rPr>
                <w:color w:val="auto"/>
              </w:rPr>
              <w:t>泗塘水质净化厂</w:t>
            </w:r>
          </w:p>
        </w:tc>
        <w:tc>
          <w:tcPr>
            <w:tcW w:w="993" w:type="dxa"/>
            <w:vAlign w:val="center"/>
          </w:tcPr>
          <w:p w14:paraId="65A55977">
            <w:pPr>
              <w:pStyle w:val="33"/>
              <w:rPr>
                <w:color w:val="auto"/>
              </w:rPr>
            </w:pPr>
            <w:r>
              <w:rPr>
                <w:rFonts w:cs="Times New Roman" w:eastAsiaTheme="minorEastAsia"/>
                <w:color w:val="auto"/>
              </w:rPr>
              <w:t>0.07</w:t>
            </w:r>
          </w:p>
        </w:tc>
        <w:tc>
          <w:tcPr>
            <w:tcW w:w="1134" w:type="dxa"/>
            <w:vAlign w:val="center"/>
          </w:tcPr>
          <w:p w14:paraId="136629D6">
            <w:pPr>
              <w:pStyle w:val="33"/>
              <w:rPr>
                <w:color w:val="auto"/>
              </w:rPr>
            </w:pPr>
            <w:r>
              <w:rPr>
                <w:rFonts w:cs="Times New Roman" w:eastAsiaTheme="minorEastAsia"/>
                <w:color w:val="auto"/>
              </w:rPr>
              <w:t>0.29</w:t>
            </w:r>
          </w:p>
        </w:tc>
        <w:tc>
          <w:tcPr>
            <w:tcW w:w="850" w:type="dxa"/>
            <w:vAlign w:val="center"/>
          </w:tcPr>
          <w:p w14:paraId="515FB708">
            <w:pPr>
              <w:pStyle w:val="33"/>
              <w:rPr>
                <w:color w:val="auto"/>
              </w:rPr>
            </w:pPr>
            <w:r>
              <w:rPr>
                <w:rFonts w:cs="Times New Roman" w:eastAsiaTheme="minorEastAsia"/>
                <w:color w:val="auto"/>
              </w:rPr>
              <w:t>0.28</w:t>
            </w:r>
          </w:p>
        </w:tc>
        <w:tc>
          <w:tcPr>
            <w:tcW w:w="851" w:type="dxa"/>
            <w:vAlign w:val="center"/>
          </w:tcPr>
          <w:p w14:paraId="5FFD81E6">
            <w:pPr>
              <w:pStyle w:val="33"/>
              <w:rPr>
                <w:color w:val="auto"/>
              </w:rPr>
            </w:pPr>
            <w:r>
              <w:rPr>
                <w:rFonts w:cs="Times New Roman" w:eastAsiaTheme="minorEastAsia"/>
                <w:color w:val="auto"/>
              </w:rPr>
              <w:t>0.34</w:t>
            </w:r>
          </w:p>
        </w:tc>
        <w:tc>
          <w:tcPr>
            <w:tcW w:w="1134" w:type="dxa"/>
            <w:vAlign w:val="center"/>
          </w:tcPr>
          <w:p w14:paraId="1B6D4626">
            <w:pPr>
              <w:pStyle w:val="33"/>
              <w:rPr>
                <w:color w:val="auto"/>
              </w:rPr>
            </w:pPr>
            <w:r>
              <w:rPr>
                <w:rFonts w:cs="Times New Roman" w:eastAsiaTheme="minorEastAsia"/>
                <w:color w:val="auto"/>
              </w:rPr>
              <w:t>—</w:t>
            </w:r>
          </w:p>
        </w:tc>
        <w:tc>
          <w:tcPr>
            <w:tcW w:w="708" w:type="dxa"/>
            <w:vAlign w:val="center"/>
          </w:tcPr>
          <w:p w14:paraId="4A28E15E">
            <w:pPr>
              <w:pStyle w:val="33"/>
              <w:rPr>
                <w:color w:val="auto"/>
              </w:rPr>
            </w:pPr>
            <w:r>
              <w:rPr>
                <w:rFonts w:cs="Times New Roman" w:eastAsiaTheme="minorEastAsia"/>
                <w:color w:val="auto"/>
              </w:rPr>
              <w:t>0.03</w:t>
            </w:r>
          </w:p>
        </w:tc>
        <w:tc>
          <w:tcPr>
            <w:tcW w:w="993" w:type="dxa"/>
            <w:vAlign w:val="center"/>
          </w:tcPr>
          <w:p w14:paraId="1D5AAA84">
            <w:pPr>
              <w:pStyle w:val="33"/>
              <w:rPr>
                <w:color w:val="auto"/>
              </w:rPr>
            </w:pPr>
            <w:r>
              <w:rPr>
                <w:rFonts w:cs="Times New Roman" w:eastAsiaTheme="minorEastAsia"/>
                <w:color w:val="auto"/>
              </w:rPr>
              <w:t>—</w:t>
            </w:r>
          </w:p>
        </w:tc>
        <w:tc>
          <w:tcPr>
            <w:tcW w:w="813" w:type="dxa"/>
            <w:vAlign w:val="center"/>
          </w:tcPr>
          <w:p w14:paraId="3A4C5BDA">
            <w:pPr>
              <w:pStyle w:val="33"/>
              <w:rPr>
                <w:color w:val="auto"/>
              </w:rPr>
            </w:pPr>
            <w:r>
              <w:rPr>
                <w:rFonts w:cs="Times New Roman" w:eastAsiaTheme="minorEastAsia"/>
                <w:color w:val="auto"/>
              </w:rPr>
              <w:t>—</w:t>
            </w:r>
          </w:p>
        </w:tc>
      </w:tr>
      <w:tr w14:paraId="23187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43C8EDDA">
            <w:pPr>
              <w:pStyle w:val="33"/>
              <w:rPr>
                <w:color w:val="auto"/>
              </w:rPr>
            </w:pPr>
            <w:r>
              <w:rPr>
                <w:color w:val="auto"/>
              </w:rPr>
              <w:t>石洞口水质净化厂</w:t>
            </w:r>
          </w:p>
        </w:tc>
        <w:tc>
          <w:tcPr>
            <w:tcW w:w="993" w:type="dxa"/>
            <w:vAlign w:val="center"/>
          </w:tcPr>
          <w:p w14:paraId="0E599113">
            <w:pPr>
              <w:pStyle w:val="33"/>
              <w:rPr>
                <w:color w:val="auto"/>
              </w:rPr>
            </w:pPr>
            <w:r>
              <w:rPr>
                <w:rFonts w:cs="Times New Roman" w:eastAsiaTheme="minorEastAsia"/>
                <w:color w:val="auto"/>
              </w:rPr>
              <w:t>6.19</w:t>
            </w:r>
          </w:p>
        </w:tc>
        <w:tc>
          <w:tcPr>
            <w:tcW w:w="1134" w:type="dxa"/>
            <w:vAlign w:val="center"/>
          </w:tcPr>
          <w:p w14:paraId="1D1F4751">
            <w:pPr>
              <w:pStyle w:val="33"/>
              <w:rPr>
                <w:color w:val="auto"/>
              </w:rPr>
            </w:pPr>
            <w:r>
              <w:rPr>
                <w:rFonts w:cs="Times New Roman" w:eastAsiaTheme="minorEastAsia"/>
                <w:color w:val="auto"/>
              </w:rPr>
              <w:t>0.01</w:t>
            </w:r>
          </w:p>
        </w:tc>
        <w:tc>
          <w:tcPr>
            <w:tcW w:w="850" w:type="dxa"/>
            <w:vAlign w:val="center"/>
          </w:tcPr>
          <w:p w14:paraId="53FFB7DB">
            <w:pPr>
              <w:pStyle w:val="33"/>
              <w:rPr>
                <w:color w:val="auto"/>
              </w:rPr>
            </w:pPr>
            <w:r>
              <w:rPr>
                <w:rFonts w:cs="Times New Roman" w:eastAsiaTheme="minorEastAsia"/>
                <w:color w:val="auto"/>
              </w:rPr>
              <w:t>—</w:t>
            </w:r>
          </w:p>
        </w:tc>
        <w:tc>
          <w:tcPr>
            <w:tcW w:w="851" w:type="dxa"/>
            <w:vAlign w:val="center"/>
          </w:tcPr>
          <w:p w14:paraId="143D26B3">
            <w:pPr>
              <w:pStyle w:val="33"/>
              <w:rPr>
                <w:color w:val="auto"/>
              </w:rPr>
            </w:pPr>
            <w:r>
              <w:rPr>
                <w:rFonts w:cs="Times New Roman" w:eastAsiaTheme="minorEastAsia"/>
                <w:color w:val="auto"/>
              </w:rPr>
              <w:t>0.03</w:t>
            </w:r>
          </w:p>
        </w:tc>
        <w:tc>
          <w:tcPr>
            <w:tcW w:w="1134" w:type="dxa"/>
            <w:vAlign w:val="center"/>
          </w:tcPr>
          <w:p w14:paraId="09026837">
            <w:pPr>
              <w:pStyle w:val="33"/>
              <w:rPr>
                <w:color w:val="auto"/>
              </w:rPr>
            </w:pPr>
            <w:r>
              <w:rPr>
                <w:rFonts w:cs="Times New Roman" w:eastAsiaTheme="minorEastAsia"/>
                <w:color w:val="auto"/>
              </w:rPr>
              <w:t>—</w:t>
            </w:r>
          </w:p>
        </w:tc>
        <w:tc>
          <w:tcPr>
            <w:tcW w:w="708" w:type="dxa"/>
            <w:vAlign w:val="center"/>
          </w:tcPr>
          <w:p w14:paraId="3C64A886">
            <w:pPr>
              <w:pStyle w:val="33"/>
              <w:rPr>
                <w:color w:val="auto"/>
              </w:rPr>
            </w:pPr>
            <w:r>
              <w:rPr>
                <w:rFonts w:cs="Times New Roman" w:eastAsiaTheme="minorEastAsia"/>
                <w:color w:val="auto"/>
              </w:rPr>
              <w:t>—</w:t>
            </w:r>
          </w:p>
        </w:tc>
        <w:tc>
          <w:tcPr>
            <w:tcW w:w="993" w:type="dxa"/>
            <w:vAlign w:val="center"/>
          </w:tcPr>
          <w:p w14:paraId="7CA1EC66">
            <w:pPr>
              <w:pStyle w:val="33"/>
              <w:rPr>
                <w:color w:val="auto"/>
              </w:rPr>
            </w:pPr>
            <w:r>
              <w:rPr>
                <w:rFonts w:cs="Times New Roman" w:eastAsiaTheme="minorEastAsia"/>
                <w:color w:val="auto"/>
              </w:rPr>
              <w:t>4.07</w:t>
            </w:r>
          </w:p>
        </w:tc>
        <w:tc>
          <w:tcPr>
            <w:tcW w:w="813" w:type="dxa"/>
            <w:vAlign w:val="center"/>
          </w:tcPr>
          <w:p w14:paraId="6AF70F72">
            <w:pPr>
              <w:pStyle w:val="33"/>
              <w:rPr>
                <w:color w:val="auto"/>
              </w:rPr>
            </w:pPr>
            <w:r>
              <w:rPr>
                <w:rFonts w:cs="Times New Roman" w:eastAsiaTheme="minorEastAsia"/>
                <w:color w:val="auto"/>
              </w:rPr>
              <w:t>—</w:t>
            </w:r>
          </w:p>
        </w:tc>
      </w:tr>
      <w:tr w14:paraId="05060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9" w:type="dxa"/>
            <w:vAlign w:val="center"/>
          </w:tcPr>
          <w:p w14:paraId="7C5288C4">
            <w:pPr>
              <w:pStyle w:val="33"/>
              <w:rPr>
                <w:color w:val="auto"/>
              </w:rPr>
            </w:pPr>
            <w:r>
              <w:rPr>
                <w:color w:val="auto"/>
              </w:rPr>
              <w:t>长桥水质净化厂</w:t>
            </w:r>
          </w:p>
        </w:tc>
        <w:tc>
          <w:tcPr>
            <w:tcW w:w="993" w:type="dxa"/>
            <w:vAlign w:val="center"/>
          </w:tcPr>
          <w:p w14:paraId="0555CB3B">
            <w:pPr>
              <w:pStyle w:val="33"/>
              <w:rPr>
                <w:color w:val="auto"/>
              </w:rPr>
            </w:pPr>
            <w:r>
              <w:rPr>
                <w:rFonts w:cs="Times New Roman" w:eastAsiaTheme="minorEastAsia"/>
                <w:color w:val="auto"/>
              </w:rPr>
              <w:t>0.07</w:t>
            </w:r>
          </w:p>
        </w:tc>
        <w:tc>
          <w:tcPr>
            <w:tcW w:w="1134" w:type="dxa"/>
            <w:vAlign w:val="center"/>
          </w:tcPr>
          <w:p w14:paraId="47624C02">
            <w:pPr>
              <w:pStyle w:val="33"/>
              <w:rPr>
                <w:color w:val="auto"/>
              </w:rPr>
            </w:pPr>
            <w:r>
              <w:rPr>
                <w:rFonts w:cs="Times New Roman" w:eastAsiaTheme="minorEastAsia"/>
                <w:color w:val="auto"/>
              </w:rPr>
              <w:t>0.11</w:t>
            </w:r>
          </w:p>
        </w:tc>
        <w:tc>
          <w:tcPr>
            <w:tcW w:w="850" w:type="dxa"/>
            <w:vAlign w:val="center"/>
          </w:tcPr>
          <w:p w14:paraId="210ABDB3">
            <w:pPr>
              <w:pStyle w:val="33"/>
              <w:rPr>
                <w:color w:val="auto"/>
              </w:rPr>
            </w:pPr>
            <w:r>
              <w:rPr>
                <w:rFonts w:cs="Times New Roman" w:eastAsiaTheme="minorEastAsia"/>
                <w:color w:val="auto"/>
              </w:rPr>
              <w:t>0.12</w:t>
            </w:r>
          </w:p>
        </w:tc>
        <w:tc>
          <w:tcPr>
            <w:tcW w:w="851" w:type="dxa"/>
            <w:vAlign w:val="center"/>
          </w:tcPr>
          <w:p w14:paraId="341C2EC1">
            <w:pPr>
              <w:pStyle w:val="33"/>
              <w:rPr>
                <w:color w:val="auto"/>
              </w:rPr>
            </w:pPr>
            <w:r>
              <w:rPr>
                <w:rFonts w:cs="Times New Roman" w:eastAsiaTheme="minorEastAsia"/>
                <w:color w:val="auto"/>
              </w:rPr>
              <w:t>0.02</w:t>
            </w:r>
          </w:p>
        </w:tc>
        <w:tc>
          <w:tcPr>
            <w:tcW w:w="1134" w:type="dxa"/>
            <w:vAlign w:val="center"/>
          </w:tcPr>
          <w:p w14:paraId="383A7AD4">
            <w:pPr>
              <w:pStyle w:val="33"/>
              <w:rPr>
                <w:color w:val="auto"/>
              </w:rPr>
            </w:pPr>
            <w:r>
              <w:rPr>
                <w:rFonts w:cs="Times New Roman" w:eastAsiaTheme="minorEastAsia"/>
                <w:color w:val="auto"/>
              </w:rPr>
              <w:t>6.95</w:t>
            </w:r>
          </w:p>
        </w:tc>
        <w:tc>
          <w:tcPr>
            <w:tcW w:w="708" w:type="dxa"/>
            <w:vAlign w:val="center"/>
          </w:tcPr>
          <w:p w14:paraId="3686F341">
            <w:pPr>
              <w:pStyle w:val="33"/>
              <w:rPr>
                <w:color w:val="auto"/>
              </w:rPr>
            </w:pPr>
            <w:r>
              <w:rPr>
                <w:rFonts w:cs="Times New Roman" w:eastAsiaTheme="minorEastAsia"/>
                <w:color w:val="auto"/>
              </w:rPr>
              <w:t>0.04</w:t>
            </w:r>
          </w:p>
        </w:tc>
        <w:tc>
          <w:tcPr>
            <w:tcW w:w="993" w:type="dxa"/>
            <w:vAlign w:val="center"/>
          </w:tcPr>
          <w:p w14:paraId="722ECF17">
            <w:pPr>
              <w:pStyle w:val="33"/>
              <w:rPr>
                <w:color w:val="auto"/>
              </w:rPr>
            </w:pPr>
            <w:r>
              <w:rPr>
                <w:rFonts w:cs="Times New Roman" w:eastAsiaTheme="minorEastAsia"/>
                <w:color w:val="auto"/>
              </w:rPr>
              <w:t>—</w:t>
            </w:r>
          </w:p>
        </w:tc>
        <w:tc>
          <w:tcPr>
            <w:tcW w:w="813" w:type="dxa"/>
            <w:vAlign w:val="center"/>
          </w:tcPr>
          <w:p w14:paraId="08CB9454">
            <w:pPr>
              <w:pStyle w:val="33"/>
              <w:rPr>
                <w:color w:val="auto"/>
              </w:rPr>
            </w:pPr>
            <w:r>
              <w:rPr>
                <w:rFonts w:cs="Times New Roman" w:eastAsiaTheme="minorEastAsia"/>
                <w:color w:val="auto"/>
              </w:rPr>
              <w:t>—</w:t>
            </w:r>
          </w:p>
        </w:tc>
      </w:tr>
      <w:tr w14:paraId="776B3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5464DA2B">
            <w:pPr>
              <w:pStyle w:val="33"/>
              <w:rPr>
                <w:color w:val="auto"/>
              </w:rPr>
            </w:pPr>
            <w:r>
              <w:rPr>
                <w:color w:val="auto"/>
              </w:rPr>
              <w:t>曲阳水质净化厂</w:t>
            </w:r>
          </w:p>
        </w:tc>
        <w:tc>
          <w:tcPr>
            <w:tcW w:w="993" w:type="dxa"/>
            <w:vAlign w:val="center"/>
          </w:tcPr>
          <w:p w14:paraId="3C128AA6">
            <w:pPr>
              <w:pStyle w:val="33"/>
              <w:rPr>
                <w:color w:val="auto"/>
              </w:rPr>
            </w:pPr>
            <w:r>
              <w:rPr>
                <w:rFonts w:cs="Times New Roman" w:eastAsiaTheme="minorEastAsia"/>
                <w:color w:val="auto"/>
              </w:rPr>
              <w:t>0.36</w:t>
            </w:r>
          </w:p>
        </w:tc>
        <w:tc>
          <w:tcPr>
            <w:tcW w:w="1134" w:type="dxa"/>
            <w:vAlign w:val="center"/>
          </w:tcPr>
          <w:p w14:paraId="2E5DD2C7">
            <w:pPr>
              <w:pStyle w:val="33"/>
              <w:rPr>
                <w:color w:val="auto"/>
              </w:rPr>
            </w:pPr>
            <w:r>
              <w:rPr>
                <w:rFonts w:cs="Times New Roman" w:eastAsiaTheme="minorEastAsia"/>
                <w:color w:val="auto"/>
              </w:rPr>
              <w:t>0.45</w:t>
            </w:r>
          </w:p>
        </w:tc>
        <w:tc>
          <w:tcPr>
            <w:tcW w:w="850" w:type="dxa"/>
            <w:vAlign w:val="center"/>
          </w:tcPr>
          <w:p w14:paraId="606BF947">
            <w:pPr>
              <w:pStyle w:val="33"/>
              <w:rPr>
                <w:color w:val="auto"/>
              </w:rPr>
            </w:pPr>
            <w:r>
              <w:rPr>
                <w:rFonts w:cs="Times New Roman" w:eastAsiaTheme="minorEastAsia"/>
                <w:color w:val="auto"/>
              </w:rPr>
              <w:t>0.05</w:t>
            </w:r>
          </w:p>
        </w:tc>
        <w:tc>
          <w:tcPr>
            <w:tcW w:w="851" w:type="dxa"/>
            <w:vAlign w:val="center"/>
          </w:tcPr>
          <w:p w14:paraId="29470298">
            <w:pPr>
              <w:pStyle w:val="33"/>
              <w:rPr>
                <w:color w:val="auto"/>
              </w:rPr>
            </w:pPr>
            <w:r>
              <w:rPr>
                <w:rFonts w:cs="Times New Roman" w:eastAsiaTheme="minorEastAsia"/>
                <w:color w:val="auto"/>
              </w:rPr>
              <w:t>0.02</w:t>
            </w:r>
          </w:p>
        </w:tc>
        <w:tc>
          <w:tcPr>
            <w:tcW w:w="1134" w:type="dxa"/>
            <w:vAlign w:val="center"/>
          </w:tcPr>
          <w:p w14:paraId="243B46FB">
            <w:pPr>
              <w:pStyle w:val="33"/>
              <w:rPr>
                <w:color w:val="auto"/>
              </w:rPr>
            </w:pPr>
            <w:r>
              <w:rPr>
                <w:rFonts w:cs="Times New Roman" w:eastAsiaTheme="minorEastAsia"/>
                <w:color w:val="auto"/>
              </w:rPr>
              <w:t>47.18</w:t>
            </w:r>
          </w:p>
        </w:tc>
        <w:tc>
          <w:tcPr>
            <w:tcW w:w="708" w:type="dxa"/>
            <w:vAlign w:val="center"/>
          </w:tcPr>
          <w:p w14:paraId="111EC2C9">
            <w:pPr>
              <w:pStyle w:val="33"/>
              <w:rPr>
                <w:color w:val="auto"/>
              </w:rPr>
            </w:pPr>
            <w:r>
              <w:rPr>
                <w:rFonts w:cs="Times New Roman" w:eastAsiaTheme="minorEastAsia"/>
                <w:color w:val="auto"/>
              </w:rPr>
              <w:t>—</w:t>
            </w:r>
          </w:p>
        </w:tc>
        <w:tc>
          <w:tcPr>
            <w:tcW w:w="993" w:type="dxa"/>
            <w:vAlign w:val="center"/>
          </w:tcPr>
          <w:p w14:paraId="642343F4">
            <w:pPr>
              <w:pStyle w:val="33"/>
              <w:rPr>
                <w:color w:val="auto"/>
              </w:rPr>
            </w:pPr>
            <w:r>
              <w:rPr>
                <w:rFonts w:cs="Times New Roman" w:eastAsiaTheme="minorEastAsia"/>
                <w:color w:val="auto"/>
              </w:rPr>
              <w:t>10.09</w:t>
            </w:r>
          </w:p>
        </w:tc>
        <w:tc>
          <w:tcPr>
            <w:tcW w:w="813" w:type="dxa"/>
            <w:vAlign w:val="center"/>
          </w:tcPr>
          <w:p w14:paraId="37F2C48D">
            <w:pPr>
              <w:pStyle w:val="33"/>
              <w:rPr>
                <w:color w:val="auto"/>
              </w:rPr>
            </w:pPr>
            <w:r>
              <w:rPr>
                <w:rFonts w:cs="Times New Roman" w:eastAsiaTheme="minorEastAsia"/>
                <w:color w:val="auto"/>
              </w:rPr>
              <w:t>2.96</w:t>
            </w:r>
          </w:p>
        </w:tc>
      </w:tr>
      <w:tr w14:paraId="4FFD4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809" w:type="dxa"/>
            <w:vAlign w:val="center"/>
          </w:tcPr>
          <w:p w14:paraId="67523AF7">
            <w:pPr>
              <w:pStyle w:val="33"/>
              <w:rPr>
                <w:color w:val="auto"/>
              </w:rPr>
            </w:pPr>
            <w:r>
              <w:rPr>
                <w:color w:val="auto"/>
              </w:rPr>
              <w:t>平均值</w:t>
            </w:r>
          </w:p>
        </w:tc>
        <w:tc>
          <w:tcPr>
            <w:tcW w:w="993" w:type="dxa"/>
            <w:vAlign w:val="center"/>
          </w:tcPr>
          <w:p w14:paraId="58ACF377">
            <w:pPr>
              <w:pStyle w:val="33"/>
              <w:rPr>
                <w:color w:val="auto"/>
              </w:rPr>
            </w:pPr>
            <w:r>
              <w:rPr>
                <w:rFonts w:cs="Times New Roman" w:eastAsiaTheme="minorEastAsia"/>
                <w:color w:val="auto"/>
              </w:rPr>
              <w:t>2.04</w:t>
            </w:r>
          </w:p>
        </w:tc>
        <w:tc>
          <w:tcPr>
            <w:tcW w:w="1134" w:type="dxa"/>
            <w:vAlign w:val="center"/>
          </w:tcPr>
          <w:p w14:paraId="7E04FEFC">
            <w:pPr>
              <w:pStyle w:val="33"/>
              <w:rPr>
                <w:color w:val="auto"/>
              </w:rPr>
            </w:pPr>
            <w:r>
              <w:rPr>
                <w:rFonts w:cs="Times New Roman" w:eastAsiaTheme="minorEastAsia"/>
                <w:color w:val="auto"/>
              </w:rPr>
              <w:t>4.99</w:t>
            </w:r>
          </w:p>
        </w:tc>
        <w:tc>
          <w:tcPr>
            <w:tcW w:w="850" w:type="dxa"/>
            <w:vAlign w:val="center"/>
          </w:tcPr>
          <w:p w14:paraId="20B6F2D3">
            <w:pPr>
              <w:pStyle w:val="33"/>
              <w:rPr>
                <w:color w:val="auto"/>
              </w:rPr>
            </w:pPr>
            <w:r>
              <w:rPr>
                <w:rFonts w:cs="Times New Roman" w:eastAsiaTheme="minorEastAsia"/>
                <w:color w:val="auto"/>
              </w:rPr>
              <w:t>0.19</w:t>
            </w:r>
          </w:p>
        </w:tc>
        <w:tc>
          <w:tcPr>
            <w:tcW w:w="851" w:type="dxa"/>
            <w:vAlign w:val="center"/>
          </w:tcPr>
          <w:p w14:paraId="258E4413">
            <w:pPr>
              <w:pStyle w:val="33"/>
              <w:rPr>
                <w:color w:val="auto"/>
              </w:rPr>
            </w:pPr>
            <w:r>
              <w:rPr>
                <w:rFonts w:cs="Times New Roman" w:eastAsiaTheme="minorEastAsia"/>
                <w:color w:val="auto"/>
              </w:rPr>
              <w:t>0.11</w:t>
            </w:r>
          </w:p>
        </w:tc>
        <w:tc>
          <w:tcPr>
            <w:tcW w:w="1134" w:type="dxa"/>
            <w:vAlign w:val="center"/>
          </w:tcPr>
          <w:p w14:paraId="5DD641F3">
            <w:pPr>
              <w:pStyle w:val="33"/>
              <w:rPr>
                <w:color w:val="auto"/>
              </w:rPr>
            </w:pPr>
            <w:r>
              <w:rPr>
                <w:rFonts w:cs="Times New Roman" w:eastAsiaTheme="minorEastAsia"/>
                <w:color w:val="auto"/>
              </w:rPr>
              <w:t>13.76</w:t>
            </w:r>
          </w:p>
        </w:tc>
        <w:tc>
          <w:tcPr>
            <w:tcW w:w="708" w:type="dxa"/>
            <w:vAlign w:val="center"/>
          </w:tcPr>
          <w:p w14:paraId="7FACF831">
            <w:pPr>
              <w:pStyle w:val="33"/>
              <w:rPr>
                <w:color w:val="auto"/>
              </w:rPr>
            </w:pPr>
            <w:r>
              <w:rPr>
                <w:rFonts w:cs="Times New Roman" w:eastAsiaTheme="minorEastAsia"/>
                <w:color w:val="auto"/>
              </w:rPr>
              <w:t>0.56</w:t>
            </w:r>
          </w:p>
        </w:tc>
        <w:tc>
          <w:tcPr>
            <w:tcW w:w="993" w:type="dxa"/>
            <w:vAlign w:val="center"/>
          </w:tcPr>
          <w:p w14:paraId="29BA65BD">
            <w:pPr>
              <w:pStyle w:val="33"/>
              <w:rPr>
                <w:color w:val="auto"/>
              </w:rPr>
            </w:pPr>
            <w:r>
              <w:rPr>
                <w:rFonts w:cs="Times New Roman" w:eastAsiaTheme="minorEastAsia"/>
                <w:color w:val="auto"/>
              </w:rPr>
              <w:t>3.25</w:t>
            </w:r>
          </w:p>
        </w:tc>
        <w:tc>
          <w:tcPr>
            <w:tcW w:w="813" w:type="dxa"/>
            <w:vAlign w:val="center"/>
          </w:tcPr>
          <w:p w14:paraId="6EDDD9E6">
            <w:pPr>
              <w:pStyle w:val="33"/>
              <w:rPr>
                <w:color w:val="auto"/>
              </w:rPr>
            </w:pPr>
            <w:r>
              <w:rPr>
                <w:rFonts w:cs="Times New Roman" w:eastAsiaTheme="minorEastAsia"/>
                <w:color w:val="auto"/>
              </w:rPr>
              <w:t>1.58</w:t>
            </w:r>
          </w:p>
        </w:tc>
      </w:tr>
      <w:tr w14:paraId="06F18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43DB1BC6">
            <w:pPr>
              <w:pStyle w:val="33"/>
              <w:rPr>
                <w:color w:val="auto"/>
              </w:rPr>
            </w:pPr>
            <w:r>
              <w:rPr>
                <w:color w:val="auto"/>
              </w:rPr>
              <w:t>最大值</w:t>
            </w:r>
          </w:p>
        </w:tc>
        <w:tc>
          <w:tcPr>
            <w:tcW w:w="993" w:type="dxa"/>
            <w:vAlign w:val="center"/>
          </w:tcPr>
          <w:p w14:paraId="47C5451C">
            <w:pPr>
              <w:pStyle w:val="33"/>
              <w:rPr>
                <w:color w:val="auto"/>
              </w:rPr>
            </w:pPr>
            <w:r>
              <w:rPr>
                <w:rFonts w:cs="Times New Roman" w:eastAsiaTheme="minorEastAsia"/>
                <w:color w:val="auto"/>
              </w:rPr>
              <w:t>7.48</w:t>
            </w:r>
          </w:p>
        </w:tc>
        <w:tc>
          <w:tcPr>
            <w:tcW w:w="1134" w:type="dxa"/>
            <w:vAlign w:val="center"/>
          </w:tcPr>
          <w:p w14:paraId="75F91644">
            <w:pPr>
              <w:pStyle w:val="33"/>
              <w:rPr>
                <w:color w:val="auto"/>
              </w:rPr>
            </w:pPr>
            <w:r>
              <w:rPr>
                <w:rFonts w:cs="Times New Roman" w:eastAsiaTheme="minorEastAsia"/>
                <w:color w:val="auto"/>
              </w:rPr>
              <w:t>28.24</w:t>
            </w:r>
          </w:p>
        </w:tc>
        <w:tc>
          <w:tcPr>
            <w:tcW w:w="850" w:type="dxa"/>
            <w:vAlign w:val="center"/>
          </w:tcPr>
          <w:p w14:paraId="6FD81966">
            <w:pPr>
              <w:pStyle w:val="33"/>
              <w:rPr>
                <w:color w:val="auto"/>
              </w:rPr>
            </w:pPr>
            <w:r>
              <w:rPr>
                <w:rFonts w:cs="Times New Roman" w:eastAsiaTheme="minorEastAsia"/>
                <w:color w:val="auto"/>
              </w:rPr>
              <w:t>0.30</w:t>
            </w:r>
          </w:p>
        </w:tc>
        <w:tc>
          <w:tcPr>
            <w:tcW w:w="851" w:type="dxa"/>
            <w:vAlign w:val="center"/>
          </w:tcPr>
          <w:p w14:paraId="50535112">
            <w:pPr>
              <w:pStyle w:val="33"/>
              <w:rPr>
                <w:color w:val="auto"/>
              </w:rPr>
            </w:pPr>
            <w:r>
              <w:rPr>
                <w:rFonts w:cs="Times New Roman" w:eastAsiaTheme="minorEastAsia"/>
                <w:color w:val="auto"/>
              </w:rPr>
              <w:t>0.34</w:t>
            </w:r>
          </w:p>
        </w:tc>
        <w:tc>
          <w:tcPr>
            <w:tcW w:w="1134" w:type="dxa"/>
            <w:vAlign w:val="center"/>
          </w:tcPr>
          <w:p w14:paraId="2759F27D">
            <w:pPr>
              <w:pStyle w:val="33"/>
              <w:rPr>
                <w:color w:val="auto"/>
              </w:rPr>
            </w:pPr>
            <w:r>
              <w:rPr>
                <w:rFonts w:cs="Times New Roman" w:eastAsiaTheme="minorEastAsia"/>
                <w:color w:val="auto"/>
              </w:rPr>
              <w:t>47.18</w:t>
            </w:r>
          </w:p>
        </w:tc>
        <w:tc>
          <w:tcPr>
            <w:tcW w:w="708" w:type="dxa"/>
            <w:vAlign w:val="center"/>
          </w:tcPr>
          <w:p w14:paraId="40B85BCF">
            <w:pPr>
              <w:pStyle w:val="33"/>
              <w:rPr>
                <w:color w:val="auto"/>
              </w:rPr>
            </w:pPr>
            <w:r>
              <w:rPr>
                <w:rFonts w:cs="Times New Roman" w:eastAsiaTheme="minorEastAsia"/>
                <w:color w:val="auto"/>
              </w:rPr>
              <w:t>1.61</w:t>
            </w:r>
          </w:p>
        </w:tc>
        <w:tc>
          <w:tcPr>
            <w:tcW w:w="993" w:type="dxa"/>
            <w:vAlign w:val="center"/>
          </w:tcPr>
          <w:p w14:paraId="7BA6E917">
            <w:pPr>
              <w:pStyle w:val="33"/>
              <w:rPr>
                <w:color w:val="auto"/>
              </w:rPr>
            </w:pPr>
            <w:r>
              <w:rPr>
                <w:rFonts w:cs="Times New Roman" w:eastAsiaTheme="minorEastAsia"/>
                <w:color w:val="auto"/>
              </w:rPr>
              <w:t>10.09</w:t>
            </w:r>
          </w:p>
        </w:tc>
        <w:tc>
          <w:tcPr>
            <w:tcW w:w="813" w:type="dxa"/>
            <w:vAlign w:val="center"/>
          </w:tcPr>
          <w:p w14:paraId="4D490FD7">
            <w:pPr>
              <w:pStyle w:val="33"/>
              <w:rPr>
                <w:color w:val="auto"/>
              </w:rPr>
            </w:pPr>
            <w:r>
              <w:rPr>
                <w:rFonts w:cs="Times New Roman" w:eastAsiaTheme="minorEastAsia"/>
                <w:color w:val="auto"/>
              </w:rPr>
              <w:t>2.96</w:t>
            </w:r>
          </w:p>
        </w:tc>
      </w:tr>
      <w:tr w14:paraId="4FAA1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09" w:type="dxa"/>
            <w:vAlign w:val="center"/>
          </w:tcPr>
          <w:p w14:paraId="7AF90469">
            <w:pPr>
              <w:pStyle w:val="33"/>
              <w:rPr>
                <w:color w:val="auto"/>
              </w:rPr>
            </w:pPr>
            <w:r>
              <w:rPr>
                <w:color w:val="auto"/>
              </w:rPr>
              <w:t>最小值</w:t>
            </w:r>
          </w:p>
        </w:tc>
        <w:tc>
          <w:tcPr>
            <w:tcW w:w="993" w:type="dxa"/>
            <w:vAlign w:val="center"/>
          </w:tcPr>
          <w:p w14:paraId="3E2B2482">
            <w:pPr>
              <w:pStyle w:val="33"/>
              <w:rPr>
                <w:color w:val="auto"/>
              </w:rPr>
            </w:pPr>
            <w:r>
              <w:rPr>
                <w:rFonts w:cs="Times New Roman" w:eastAsiaTheme="minorEastAsia"/>
                <w:color w:val="auto"/>
              </w:rPr>
              <w:t>0.03</w:t>
            </w:r>
          </w:p>
        </w:tc>
        <w:tc>
          <w:tcPr>
            <w:tcW w:w="1134" w:type="dxa"/>
            <w:vAlign w:val="center"/>
          </w:tcPr>
          <w:p w14:paraId="18246C84">
            <w:pPr>
              <w:pStyle w:val="33"/>
              <w:rPr>
                <w:color w:val="auto"/>
              </w:rPr>
            </w:pPr>
            <w:r>
              <w:rPr>
                <w:rFonts w:cs="Times New Roman" w:eastAsiaTheme="minorEastAsia"/>
                <w:color w:val="auto"/>
              </w:rPr>
              <w:t>0.01</w:t>
            </w:r>
          </w:p>
        </w:tc>
        <w:tc>
          <w:tcPr>
            <w:tcW w:w="850" w:type="dxa"/>
            <w:vAlign w:val="center"/>
          </w:tcPr>
          <w:p w14:paraId="4863BCE6">
            <w:pPr>
              <w:pStyle w:val="33"/>
              <w:rPr>
                <w:color w:val="auto"/>
              </w:rPr>
            </w:pPr>
            <w:r>
              <w:rPr>
                <w:rFonts w:cs="Times New Roman" w:eastAsiaTheme="minorEastAsia"/>
                <w:color w:val="auto"/>
              </w:rPr>
              <w:t>0.05</w:t>
            </w:r>
          </w:p>
        </w:tc>
        <w:tc>
          <w:tcPr>
            <w:tcW w:w="851" w:type="dxa"/>
            <w:vAlign w:val="center"/>
          </w:tcPr>
          <w:p w14:paraId="35529F31">
            <w:pPr>
              <w:pStyle w:val="33"/>
              <w:rPr>
                <w:color w:val="auto"/>
              </w:rPr>
            </w:pPr>
            <w:r>
              <w:rPr>
                <w:rFonts w:cs="Times New Roman" w:eastAsiaTheme="minorEastAsia"/>
                <w:color w:val="auto"/>
              </w:rPr>
              <w:t>0.01</w:t>
            </w:r>
          </w:p>
        </w:tc>
        <w:tc>
          <w:tcPr>
            <w:tcW w:w="1134" w:type="dxa"/>
            <w:vAlign w:val="center"/>
          </w:tcPr>
          <w:p w14:paraId="3DB1FA43">
            <w:pPr>
              <w:pStyle w:val="33"/>
              <w:rPr>
                <w:color w:val="auto"/>
              </w:rPr>
            </w:pPr>
            <w:r>
              <w:rPr>
                <w:rFonts w:cs="Times New Roman" w:eastAsiaTheme="minorEastAsia"/>
                <w:color w:val="auto"/>
              </w:rPr>
              <w:t>0.11</w:t>
            </w:r>
          </w:p>
        </w:tc>
        <w:tc>
          <w:tcPr>
            <w:tcW w:w="708" w:type="dxa"/>
            <w:vAlign w:val="center"/>
          </w:tcPr>
          <w:p w14:paraId="6FDA9F8C">
            <w:pPr>
              <w:pStyle w:val="33"/>
              <w:rPr>
                <w:color w:val="auto"/>
              </w:rPr>
            </w:pPr>
            <w:r>
              <w:rPr>
                <w:rFonts w:cs="Times New Roman" w:eastAsiaTheme="minorEastAsia"/>
                <w:color w:val="auto"/>
              </w:rPr>
              <w:t>0.03</w:t>
            </w:r>
          </w:p>
        </w:tc>
        <w:tc>
          <w:tcPr>
            <w:tcW w:w="993" w:type="dxa"/>
            <w:vAlign w:val="center"/>
          </w:tcPr>
          <w:p w14:paraId="3127BB71">
            <w:pPr>
              <w:pStyle w:val="33"/>
              <w:rPr>
                <w:color w:val="auto"/>
              </w:rPr>
            </w:pPr>
            <w:r>
              <w:rPr>
                <w:rFonts w:cs="Times New Roman" w:eastAsiaTheme="minorEastAsia"/>
                <w:color w:val="auto"/>
              </w:rPr>
              <w:t>0.03</w:t>
            </w:r>
          </w:p>
        </w:tc>
        <w:tc>
          <w:tcPr>
            <w:tcW w:w="813" w:type="dxa"/>
            <w:vAlign w:val="center"/>
          </w:tcPr>
          <w:p w14:paraId="5C4EA202">
            <w:pPr>
              <w:pStyle w:val="33"/>
              <w:rPr>
                <w:color w:val="auto"/>
              </w:rPr>
            </w:pPr>
            <w:r>
              <w:rPr>
                <w:rFonts w:cs="Times New Roman" w:eastAsiaTheme="minorEastAsia"/>
                <w:color w:val="auto"/>
              </w:rPr>
              <w:t>0.20</w:t>
            </w:r>
          </w:p>
        </w:tc>
      </w:tr>
    </w:tbl>
    <w:p w14:paraId="572644C9">
      <w:pPr>
        <w:ind w:firstLine="480"/>
        <w:rPr>
          <w:color w:val="auto"/>
        </w:rPr>
      </w:pPr>
      <w:r>
        <w:rPr>
          <w:color w:val="auto"/>
        </w:rPr>
        <w:t>注：“—”标是该点未测，本次评价按平均值进行污染物计算。</w:t>
      </w:r>
    </w:p>
    <w:p w14:paraId="7229B6D2">
      <w:pPr>
        <w:ind w:firstLine="480"/>
        <w:rPr>
          <w:color w:val="auto"/>
        </w:rPr>
      </w:pPr>
      <w:r>
        <w:rPr>
          <w:color w:val="auto"/>
        </w:rPr>
        <w:t>本项目各构筑物NH</w:t>
      </w:r>
      <w:r>
        <w:rPr>
          <w:color w:val="auto"/>
          <w:vertAlign w:val="subscript"/>
        </w:rPr>
        <w:t>3</w:t>
      </w:r>
      <w:r>
        <w:rPr>
          <w:color w:val="auto"/>
        </w:rPr>
        <w:t>和H</w:t>
      </w:r>
      <w:r>
        <w:rPr>
          <w:color w:val="auto"/>
          <w:vertAlign w:val="subscript"/>
        </w:rPr>
        <w:t>2</w:t>
      </w:r>
      <w:r>
        <w:rPr>
          <w:color w:val="auto"/>
        </w:rPr>
        <w:t>S浓度</w:t>
      </w:r>
      <w:r>
        <w:rPr>
          <w:rFonts w:hint="eastAsia"/>
          <w:color w:val="auto"/>
        </w:rPr>
        <w:t>参照上表</w:t>
      </w:r>
      <w:r>
        <w:rPr>
          <w:color w:val="auto"/>
        </w:rPr>
        <w:t>的平均值。</w:t>
      </w:r>
    </w:p>
    <w:p w14:paraId="45579465">
      <w:pPr>
        <w:ind w:firstLine="480"/>
        <w:rPr>
          <w:color w:val="auto"/>
        </w:rPr>
      </w:pPr>
      <w:r>
        <w:rPr>
          <w:rFonts w:hint="eastAsia"/>
          <w:color w:val="auto"/>
        </w:rPr>
        <w:t>参照</w:t>
      </w:r>
      <w:r>
        <w:rPr>
          <w:color w:val="auto"/>
        </w:rPr>
        <w:t>《城镇污水处理厂臭气处理技术规程》（CJJ/T243-2016）的“3.1节 臭气风量”和“3.2节 臭气污染物浓度 表3.2.2”进行本项目的臭气源强核算。本项目恶臭污染物产生量计算见</w:t>
      </w:r>
      <w:r>
        <w:rPr>
          <w:rFonts w:hint="eastAsia"/>
          <w:color w:val="auto"/>
        </w:rPr>
        <w:t>下表</w:t>
      </w:r>
      <w:r>
        <w:rPr>
          <w:color w:val="auto"/>
        </w:rPr>
        <w:t>。</w:t>
      </w:r>
    </w:p>
    <w:p w14:paraId="4BE4B524">
      <w:pPr>
        <w:pStyle w:val="7"/>
        <w:rPr>
          <w:color w:val="auto"/>
        </w:rPr>
      </w:pPr>
      <w:bookmarkStart w:id="221" w:name="_Ref115277835"/>
      <w:r>
        <w:rPr>
          <w:color w:val="auto"/>
        </w:rPr>
        <w:t>计算运营期</w:t>
      </w:r>
      <w:bookmarkEnd w:id="221"/>
      <w:r>
        <w:rPr>
          <w:color w:val="auto"/>
        </w:rPr>
        <w:t>H</w:t>
      </w:r>
      <w:r>
        <w:rPr>
          <w:color w:val="auto"/>
          <w:vertAlign w:val="subscript"/>
        </w:rPr>
        <w:t>2</w:t>
      </w:r>
      <w:r>
        <w:rPr>
          <w:color w:val="auto"/>
        </w:rPr>
        <w:t>S、NH</w:t>
      </w:r>
      <w:r>
        <w:rPr>
          <w:color w:val="auto"/>
          <w:vertAlign w:val="subscript"/>
        </w:rPr>
        <w:t>3</w:t>
      </w:r>
      <w:r>
        <w:rPr>
          <w:color w:val="auto"/>
        </w:rPr>
        <w:t>污染物产生量一览表</w:t>
      </w:r>
    </w:p>
    <w:tbl>
      <w:tblPr>
        <w:tblStyle w:val="26"/>
        <w:tblW w:w="5000" w:type="pct"/>
        <w:tblInd w:w="0" w:type="dxa"/>
        <w:tblLayout w:type="autofit"/>
        <w:tblCellMar>
          <w:top w:w="0" w:type="dxa"/>
          <w:left w:w="108" w:type="dxa"/>
          <w:bottom w:w="0" w:type="dxa"/>
          <w:right w:w="108" w:type="dxa"/>
        </w:tblCellMar>
      </w:tblPr>
      <w:tblGrid>
        <w:gridCol w:w="2215"/>
        <w:gridCol w:w="1019"/>
        <w:gridCol w:w="1120"/>
        <w:gridCol w:w="1309"/>
        <w:gridCol w:w="1162"/>
        <w:gridCol w:w="1306"/>
        <w:gridCol w:w="1154"/>
      </w:tblGrid>
      <w:tr w14:paraId="1B7A28B0">
        <w:trPr>
          <w:trHeight w:val="660" w:hRule="atLeast"/>
        </w:trPr>
        <w:tc>
          <w:tcPr>
            <w:tcW w:w="1193" w:type="pct"/>
            <w:tcBorders>
              <w:top w:val="single" w:color="auto" w:sz="4" w:space="0"/>
              <w:left w:val="single" w:color="auto" w:sz="4" w:space="0"/>
              <w:bottom w:val="single" w:color="auto" w:sz="4" w:space="0"/>
              <w:right w:val="single" w:color="auto" w:sz="4" w:space="0"/>
            </w:tcBorders>
            <w:noWrap/>
            <w:vAlign w:val="center"/>
          </w:tcPr>
          <w:p w14:paraId="200606BD">
            <w:pPr>
              <w:pStyle w:val="33"/>
              <w:rPr>
                <w:color w:val="auto"/>
              </w:rPr>
            </w:pPr>
            <w:r>
              <w:rPr>
                <w:color w:val="auto"/>
              </w:rPr>
              <w:t>构筑物名称</w:t>
            </w:r>
          </w:p>
        </w:tc>
        <w:tc>
          <w:tcPr>
            <w:tcW w:w="549" w:type="pct"/>
            <w:tcBorders>
              <w:top w:val="single" w:color="auto" w:sz="4" w:space="0"/>
              <w:left w:val="nil"/>
              <w:bottom w:val="single" w:color="auto" w:sz="4" w:space="0"/>
              <w:right w:val="single" w:color="auto" w:sz="4" w:space="0"/>
            </w:tcBorders>
            <w:vAlign w:val="center"/>
          </w:tcPr>
          <w:p w14:paraId="223D4047">
            <w:pPr>
              <w:pStyle w:val="33"/>
              <w:rPr>
                <w:color w:val="auto"/>
              </w:rPr>
            </w:pPr>
            <w:r>
              <w:rPr>
                <w:color w:val="auto"/>
              </w:rPr>
              <w:t>总面积（m</w:t>
            </w:r>
            <w:r>
              <w:rPr>
                <w:color w:val="auto"/>
                <w:vertAlign w:val="superscript"/>
              </w:rPr>
              <w:t>2</w:t>
            </w:r>
            <w:r>
              <w:rPr>
                <w:color w:val="auto"/>
              </w:rPr>
              <w:t>）</w:t>
            </w:r>
          </w:p>
        </w:tc>
        <w:tc>
          <w:tcPr>
            <w:tcW w:w="603" w:type="pct"/>
            <w:tcBorders>
              <w:top w:val="single" w:color="auto" w:sz="4" w:space="0"/>
              <w:left w:val="nil"/>
              <w:bottom w:val="single" w:color="auto" w:sz="4" w:space="0"/>
              <w:right w:val="single" w:color="auto" w:sz="4" w:space="0"/>
            </w:tcBorders>
            <w:vAlign w:val="center"/>
          </w:tcPr>
          <w:p w14:paraId="22D79F70">
            <w:pPr>
              <w:pStyle w:val="33"/>
              <w:rPr>
                <w:color w:val="auto"/>
              </w:rPr>
            </w:pPr>
            <w:r>
              <w:rPr>
                <w:color w:val="auto"/>
              </w:rPr>
              <w:t>散发风量m</w:t>
            </w:r>
            <w:r>
              <w:rPr>
                <w:color w:val="auto"/>
                <w:vertAlign w:val="superscript"/>
              </w:rPr>
              <w:t>3</w:t>
            </w:r>
            <w:r>
              <w:rPr>
                <w:color w:val="auto"/>
              </w:rPr>
              <w:t>/m</w:t>
            </w:r>
            <w:r>
              <w:rPr>
                <w:color w:val="auto"/>
                <w:vertAlign w:val="superscript"/>
              </w:rPr>
              <w:t>2</w:t>
            </w:r>
            <w:r>
              <w:rPr>
                <w:color w:val="auto"/>
              </w:rPr>
              <w:t>·h</w:t>
            </w:r>
          </w:p>
        </w:tc>
        <w:tc>
          <w:tcPr>
            <w:tcW w:w="705" w:type="pct"/>
            <w:tcBorders>
              <w:top w:val="single" w:color="auto" w:sz="4" w:space="0"/>
              <w:left w:val="nil"/>
              <w:bottom w:val="single" w:color="auto" w:sz="4" w:space="0"/>
              <w:right w:val="single" w:color="auto" w:sz="4" w:space="0"/>
            </w:tcBorders>
            <w:vAlign w:val="center"/>
          </w:tcPr>
          <w:p w14:paraId="450C55A4">
            <w:pPr>
              <w:pStyle w:val="33"/>
              <w:rPr>
                <w:color w:val="auto"/>
              </w:rPr>
            </w:pPr>
            <w:r>
              <w:rPr>
                <w:color w:val="auto"/>
              </w:rPr>
              <w:t>NH</w:t>
            </w:r>
            <w:r>
              <w:rPr>
                <w:color w:val="auto"/>
                <w:vertAlign w:val="subscript"/>
              </w:rPr>
              <w:t>3</w:t>
            </w:r>
            <w:r>
              <w:rPr>
                <w:color w:val="auto"/>
              </w:rPr>
              <w:t>平均浓度mg/m</w:t>
            </w:r>
            <w:r>
              <w:rPr>
                <w:color w:val="auto"/>
                <w:vertAlign w:val="superscript"/>
              </w:rPr>
              <w:t>3</w:t>
            </w:r>
          </w:p>
        </w:tc>
        <w:tc>
          <w:tcPr>
            <w:tcW w:w="626" w:type="pct"/>
            <w:tcBorders>
              <w:top w:val="single" w:color="auto" w:sz="4" w:space="0"/>
              <w:left w:val="nil"/>
              <w:bottom w:val="single" w:color="auto" w:sz="4" w:space="0"/>
              <w:right w:val="single" w:color="auto" w:sz="4" w:space="0"/>
            </w:tcBorders>
            <w:vAlign w:val="center"/>
          </w:tcPr>
          <w:p w14:paraId="053E5923">
            <w:pPr>
              <w:pStyle w:val="33"/>
              <w:rPr>
                <w:color w:val="auto"/>
              </w:rPr>
            </w:pPr>
            <w:r>
              <w:rPr>
                <w:color w:val="auto"/>
              </w:rPr>
              <w:t>NH</w:t>
            </w:r>
            <w:r>
              <w:rPr>
                <w:color w:val="auto"/>
                <w:vertAlign w:val="subscript"/>
              </w:rPr>
              <w:t>3</w:t>
            </w:r>
            <w:r>
              <w:rPr>
                <w:color w:val="auto"/>
              </w:rPr>
              <w:t>产生量kg/h</w:t>
            </w:r>
          </w:p>
        </w:tc>
        <w:tc>
          <w:tcPr>
            <w:tcW w:w="703" w:type="pct"/>
            <w:tcBorders>
              <w:top w:val="single" w:color="auto" w:sz="4" w:space="0"/>
              <w:left w:val="nil"/>
              <w:bottom w:val="single" w:color="auto" w:sz="4" w:space="0"/>
              <w:right w:val="single" w:color="auto" w:sz="4" w:space="0"/>
            </w:tcBorders>
            <w:vAlign w:val="center"/>
          </w:tcPr>
          <w:p w14:paraId="43EE3E0D">
            <w:pPr>
              <w:pStyle w:val="33"/>
              <w:rPr>
                <w:color w:val="auto"/>
              </w:rPr>
            </w:pPr>
            <w:r>
              <w:rPr>
                <w:color w:val="auto"/>
              </w:rPr>
              <w:t>H</w:t>
            </w:r>
            <w:r>
              <w:rPr>
                <w:color w:val="auto"/>
                <w:vertAlign w:val="subscript"/>
              </w:rPr>
              <w:t>2</w:t>
            </w:r>
            <w:r>
              <w:rPr>
                <w:color w:val="auto"/>
              </w:rPr>
              <w:t>S平均浓度mg/m</w:t>
            </w:r>
            <w:r>
              <w:rPr>
                <w:color w:val="auto"/>
                <w:vertAlign w:val="superscript"/>
              </w:rPr>
              <w:t>3</w:t>
            </w:r>
          </w:p>
        </w:tc>
        <w:tc>
          <w:tcPr>
            <w:tcW w:w="621" w:type="pct"/>
            <w:tcBorders>
              <w:top w:val="single" w:color="auto" w:sz="4" w:space="0"/>
              <w:left w:val="nil"/>
              <w:bottom w:val="single" w:color="auto" w:sz="4" w:space="0"/>
              <w:right w:val="single" w:color="auto" w:sz="4" w:space="0"/>
            </w:tcBorders>
            <w:vAlign w:val="center"/>
          </w:tcPr>
          <w:p w14:paraId="25CF4441">
            <w:pPr>
              <w:pStyle w:val="33"/>
              <w:rPr>
                <w:color w:val="auto"/>
              </w:rPr>
            </w:pPr>
            <w:r>
              <w:rPr>
                <w:color w:val="auto"/>
              </w:rPr>
              <w:t>H</w:t>
            </w:r>
            <w:r>
              <w:rPr>
                <w:color w:val="auto"/>
                <w:vertAlign w:val="subscript"/>
              </w:rPr>
              <w:t>2</w:t>
            </w:r>
            <w:r>
              <w:rPr>
                <w:color w:val="auto"/>
              </w:rPr>
              <w:t>S产生量kg/h</w:t>
            </w:r>
          </w:p>
        </w:tc>
      </w:tr>
      <w:tr w14:paraId="04919630">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3877AED2">
            <w:pPr>
              <w:pStyle w:val="33"/>
              <w:rPr>
                <w:color w:val="auto"/>
              </w:rPr>
            </w:pPr>
            <w:r>
              <w:rPr>
                <w:rFonts w:hint="eastAsia"/>
                <w:color w:val="auto"/>
                <w:sz w:val="20"/>
                <w:szCs w:val="20"/>
              </w:rPr>
              <w:t>集水池</w:t>
            </w:r>
          </w:p>
        </w:tc>
        <w:tc>
          <w:tcPr>
            <w:tcW w:w="549" w:type="pct"/>
            <w:tcBorders>
              <w:top w:val="nil"/>
              <w:left w:val="nil"/>
              <w:bottom w:val="single" w:color="auto" w:sz="4" w:space="0"/>
              <w:right w:val="single" w:color="auto" w:sz="4" w:space="0"/>
            </w:tcBorders>
            <w:noWrap/>
            <w:vAlign w:val="center"/>
          </w:tcPr>
          <w:p w14:paraId="627A81AF">
            <w:pPr>
              <w:pStyle w:val="33"/>
              <w:rPr>
                <w:color w:val="auto"/>
              </w:rPr>
            </w:pPr>
            <w:r>
              <w:rPr>
                <w:rFonts w:eastAsia="等线" w:cs="Times New Roman"/>
                <w:color w:val="auto"/>
                <w:sz w:val="20"/>
                <w:szCs w:val="20"/>
              </w:rPr>
              <w:t>760</w:t>
            </w:r>
          </w:p>
        </w:tc>
        <w:tc>
          <w:tcPr>
            <w:tcW w:w="603" w:type="pct"/>
            <w:tcBorders>
              <w:top w:val="nil"/>
              <w:left w:val="nil"/>
              <w:bottom w:val="single" w:color="auto" w:sz="4" w:space="0"/>
              <w:right w:val="single" w:color="auto" w:sz="4" w:space="0"/>
            </w:tcBorders>
            <w:noWrap/>
            <w:vAlign w:val="center"/>
          </w:tcPr>
          <w:p w14:paraId="10CDF6C9">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48813930">
            <w:pPr>
              <w:pStyle w:val="33"/>
              <w:rPr>
                <w:color w:val="auto"/>
              </w:rPr>
            </w:pPr>
            <w:r>
              <w:rPr>
                <w:rFonts w:eastAsia="等线" w:cs="Times New Roman"/>
                <w:color w:val="auto"/>
                <w:sz w:val="20"/>
                <w:szCs w:val="20"/>
              </w:rPr>
              <w:t>3.89</w:t>
            </w:r>
          </w:p>
        </w:tc>
        <w:tc>
          <w:tcPr>
            <w:tcW w:w="626" w:type="pct"/>
            <w:tcBorders>
              <w:top w:val="nil"/>
              <w:left w:val="nil"/>
              <w:bottom w:val="single" w:color="auto" w:sz="4" w:space="0"/>
              <w:right w:val="single" w:color="auto" w:sz="4" w:space="0"/>
            </w:tcBorders>
            <w:noWrap/>
            <w:vAlign w:val="center"/>
          </w:tcPr>
          <w:p w14:paraId="207BBACF">
            <w:pPr>
              <w:pStyle w:val="33"/>
              <w:rPr>
                <w:color w:val="auto"/>
              </w:rPr>
            </w:pPr>
            <w:r>
              <w:rPr>
                <w:rFonts w:eastAsia="等线" w:cs="Times New Roman"/>
                <w:color w:val="auto"/>
                <w:sz w:val="20"/>
                <w:szCs w:val="20"/>
              </w:rPr>
              <w:t>0.005913</w:t>
            </w:r>
          </w:p>
        </w:tc>
        <w:tc>
          <w:tcPr>
            <w:tcW w:w="703" w:type="pct"/>
            <w:tcBorders>
              <w:top w:val="nil"/>
              <w:left w:val="nil"/>
              <w:bottom w:val="single" w:color="auto" w:sz="4" w:space="0"/>
              <w:right w:val="single" w:color="auto" w:sz="4" w:space="0"/>
            </w:tcBorders>
            <w:noWrap/>
            <w:vAlign w:val="center"/>
          </w:tcPr>
          <w:p w14:paraId="45BA5EE8">
            <w:pPr>
              <w:pStyle w:val="33"/>
              <w:rPr>
                <w:color w:val="auto"/>
              </w:rPr>
            </w:pPr>
            <w:r>
              <w:rPr>
                <w:rFonts w:eastAsia="等线" w:cs="Times New Roman"/>
                <w:color w:val="auto"/>
                <w:sz w:val="20"/>
                <w:szCs w:val="20"/>
              </w:rPr>
              <w:t>2.04</w:t>
            </w:r>
          </w:p>
        </w:tc>
        <w:tc>
          <w:tcPr>
            <w:tcW w:w="621" w:type="pct"/>
            <w:tcBorders>
              <w:top w:val="nil"/>
              <w:left w:val="nil"/>
              <w:bottom w:val="single" w:color="auto" w:sz="4" w:space="0"/>
              <w:right w:val="single" w:color="auto" w:sz="4" w:space="0"/>
            </w:tcBorders>
            <w:noWrap/>
            <w:vAlign w:val="center"/>
          </w:tcPr>
          <w:p w14:paraId="19D7BD9B">
            <w:pPr>
              <w:pStyle w:val="33"/>
              <w:rPr>
                <w:color w:val="auto"/>
              </w:rPr>
            </w:pPr>
            <w:r>
              <w:rPr>
                <w:rFonts w:eastAsia="等线" w:cs="Times New Roman"/>
                <w:color w:val="auto"/>
                <w:sz w:val="20"/>
                <w:szCs w:val="20"/>
              </w:rPr>
              <w:t>0.003101</w:t>
            </w:r>
          </w:p>
        </w:tc>
      </w:tr>
      <w:tr w14:paraId="24CE0274">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603B6FB9">
            <w:pPr>
              <w:pStyle w:val="33"/>
              <w:rPr>
                <w:color w:val="auto"/>
              </w:rPr>
            </w:pPr>
            <w:r>
              <w:rPr>
                <w:rFonts w:hint="eastAsia"/>
                <w:color w:val="auto"/>
                <w:sz w:val="20"/>
                <w:szCs w:val="20"/>
              </w:rPr>
              <w:t>初沉池</w:t>
            </w:r>
          </w:p>
        </w:tc>
        <w:tc>
          <w:tcPr>
            <w:tcW w:w="549" w:type="pct"/>
            <w:tcBorders>
              <w:top w:val="nil"/>
              <w:left w:val="nil"/>
              <w:bottom w:val="single" w:color="auto" w:sz="4" w:space="0"/>
              <w:right w:val="single" w:color="auto" w:sz="4" w:space="0"/>
            </w:tcBorders>
            <w:noWrap/>
            <w:vAlign w:val="center"/>
          </w:tcPr>
          <w:p w14:paraId="633A0690">
            <w:pPr>
              <w:pStyle w:val="33"/>
              <w:rPr>
                <w:color w:val="auto"/>
              </w:rPr>
            </w:pPr>
            <w:r>
              <w:rPr>
                <w:rFonts w:eastAsia="等线" w:cs="Times New Roman"/>
                <w:color w:val="auto"/>
                <w:sz w:val="20"/>
                <w:szCs w:val="20"/>
              </w:rPr>
              <w:t>1133.54</w:t>
            </w:r>
          </w:p>
        </w:tc>
        <w:tc>
          <w:tcPr>
            <w:tcW w:w="603" w:type="pct"/>
            <w:tcBorders>
              <w:top w:val="nil"/>
              <w:left w:val="nil"/>
              <w:bottom w:val="single" w:color="auto" w:sz="4" w:space="0"/>
              <w:right w:val="single" w:color="auto" w:sz="4" w:space="0"/>
            </w:tcBorders>
            <w:noWrap/>
            <w:vAlign w:val="center"/>
          </w:tcPr>
          <w:p w14:paraId="441AB3E7">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4F748CD8">
            <w:pPr>
              <w:pStyle w:val="33"/>
              <w:rPr>
                <w:color w:val="auto"/>
              </w:rPr>
            </w:pPr>
            <w:r>
              <w:rPr>
                <w:rFonts w:eastAsia="等线" w:cs="Times New Roman"/>
                <w:color w:val="auto"/>
                <w:sz w:val="20"/>
                <w:szCs w:val="20"/>
              </w:rPr>
              <w:t>1.09</w:t>
            </w:r>
          </w:p>
        </w:tc>
        <w:tc>
          <w:tcPr>
            <w:tcW w:w="626" w:type="pct"/>
            <w:tcBorders>
              <w:top w:val="nil"/>
              <w:left w:val="nil"/>
              <w:bottom w:val="single" w:color="auto" w:sz="4" w:space="0"/>
              <w:right w:val="single" w:color="auto" w:sz="4" w:space="0"/>
            </w:tcBorders>
            <w:noWrap/>
            <w:vAlign w:val="center"/>
          </w:tcPr>
          <w:p w14:paraId="454C11D6">
            <w:pPr>
              <w:pStyle w:val="33"/>
              <w:rPr>
                <w:color w:val="auto"/>
              </w:rPr>
            </w:pPr>
            <w:r>
              <w:rPr>
                <w:rFonts w:eastAsia="等线" w:cs="Times New Roman"/>
                <w:color w:val="auto"/>
                <w:sz w:val="20"/>
                <w:szCs w:val="20"/>
              </w:rPr>
              <w:t>0.002471</w:t>
            </w:r>
          </w:p>
        </w:tc>
        <w:tc>
          <w:tcPr>
            <w:tcW w:w="703" w:type="pct"/>
            <w:tcBorders>
              <w:top w:val="nil"/>
              <w:left w:val="nil"/>
              <w:bottom w:val="single" w:color="auto" w:sz="4" w:space="0"/>
              <w:right w:val="single" w:color="auto" w:sz="4" w:space="0"/>
            </w:tcBorders>
            <w:noWrap/>
            <w:vAlign w:val="center"/>
          </w:tcPr>
          <w:p w14:paraId="125510A4">
            <w:pPr>
              <w:pStyle w:val="33"/>
              <w:rPr>
                <w:color w:val="auto"/>
              </w:rPr>
            </w:pPr>
            <w:r>
              <w:rPr>
                <w:rFonts w:eastAsia="等线" w:cs="Times New Roman"/>
                <w:color w:val="auto"/>
                <w:sz w:val="20"/>
                <w:szCs w:val="20"/>
              </w:rPr>
              <w:t>0.19</w:t>
            </w:r>
          </w:p>
        </w:tc>
        <w:tc>
          <w:tcPr>
            <w:tcW w:w="621" w:type="pct"/>
            <w:tcBorders>
              <w:top w:val="nil"/>
              <w:left w:val="nil"/>
              <w:bottom w:val="single" w:color="auto" w:sz="4" w:space="0"/>
              <w:right w:val="single" w:color="auto" w:sz="4" w:space="0"/>
            </w:tcBorders>
            <w:noWrap/>
            <w:vAlign w:val="center"/>
          </w:tcPr>
          <w:p w14:paraId="646C2B82">
            <w:pPr>
              <w:pStyle w:val="33"/>
              <w:rPr>
                <w:color w:val="auto"/>
              </w:rPr>
            </w:pPr>
            <w:r>
              <w:rPr>
                <w:rFonts w:eastAsia="等线" w:cs="Times New Roman"/>
                <w:color w:val="auto"/>
                <w:sz w:val="20"/>
                <w:szCs w:val="20"/>
              </w:rPr>
              <w:t>0.000431</w:t>
            </w:r>
          </w:p>
        </w:tc>
      </w:tr>
      <w:tr w14:paraId="0814F44D">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0E40E905">
            <w:pPr>
              <w:pStyle w:val="33"/>
              <w:rPr>
                <w:color w:val="auto"/>
              </w:rPr>
            </w:pPr>
            <w:r>
              <w:rPr>
                <w:rFonts w:hint="eastAsia"/>
                <w:color w:val="auto"/>
                <w:sz w:val="20"/>
                <w:szCs w:val="20"/>
              </w:rPr>
              <w:t>曝气池</w:t>
            </w:r>
          </w:p>
        </w:tc>
        <w:tc>
          <w:tcPr>
            <w:tcW w:w="549" w:type="pct"/>
            <w:tcBorders>
              <w:top w:val="nil"/>
              <w:left w:val="nil"/>
              <w:bottom w:val="single" w:color="auto" w:sz="4" w:space="0"/>
              <w:right w:val="single" w:color="auto" w:sz="4" w:space="0"/>
            </w:tcBorders>
            <w:noWrap/>
            <w:vAlign w:val="center"/>
          </w:tcPr>
          <w:p w14:paraId="6B38263A">
            <w:pPr>
              <w:pStyle w:val="33"/>
              <w:rPr>
                <w:color w:val="auto"/>
              </w:rPr>
            </w:pPr>
            <w:r>
              <w:rPr>
                <w:rFonts w:eastAsia="等线" w:cs="Times New Roman"/>
                <w:color w:val="auto"/>
                <w:sz w:val="20"/>
                <w:szCs w:val="20"/>
              </w:rPr>
              <w:t>3956</w:t>
            </w:r>
          </w:p>
        </w:tc>
        <w:tc>
          <w:tcPr>
            <w:tcW w:w="603" w:type="pct"/>
            <w:tcBorders>
              <w:top w:val="nil"/>
              <w:left w:val="nil"/>
              <w:bottom w:val="single" w:color="auto" w:sz="4" w:space="0"/>
              <w:right w:val="single" w:color="auto" w:sz="4" w:space="0"/>
            </w:tcBorders>
            <w:noWrap/>
            <w:vAlign w:val="center"/>
          </w:tcPr>
          <w:p w14:paraId="641F6EDD">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24ECEE6D">
            <w:pPr>
              <w:pStyle w:val="33"/>
              <w:rPr>
                <w:color w:val="auto"/>
              </w:rPr>
            </w:pPr>
            <w:r>
              <w:rPr>
                <w:rFonts w:eastAsia="等线" w:cs="Times New Roman"/>
                <w:color w:val="auto"/>
                <w:sz w:val="20"/>
                <w:szCs w:val="20"/>
              </w:rPr>
              <w:t>1.09</w:t>
            </w:r>
          </w:p>
        </w:tc>
        <w:tc>
          <w:tcPr>
            <w:tcW w:w="626" w:type="pct"/>
            <w:tcBorders>
              <w:top w:val="nil"/>
              <w:left w:val="nil"/>
              <w:bottom w:val="single" w:color="auto" w:sz="4" w:space="0"/>
              <w:right w:val="single" w:color="auto" w:sz="4" w:space="0"/>
            </w:tcBorders>
            <w:noWrap/>
            <w:vAlign w:val="center"/>
          </w:tcPr>
          <w:p w14:paraId="308392C8">
            <w:pPr>
              <w:pStyle w:val="33"/>
              <w:rPr>
                <w:color w:val="auto"/>
              </w:rPr>
            </w:pPr>
            <w:r>
              <w:rPr>
                <w:rFonts w:eastAsia="等线" w:cs="Times New Roman"/>
                <w:color w:val="auto"/>
                <w:sz w:val="20"/>
                <w:szCs w:val="20"/>
              </w:rPr>
              <w:t>0.008624</w:t>
            </w:r>
          </w:p>
        </w:tc>
        <w:tc>
          <w:tcPr>
            <w:tcW w:w="703" w:type="pct"/>
            <w:tcBorders>
              <w:top w:val="nil"/>
              <w:left w:val="nil"/>
              <w:bottom w:val="single" w:color="auto" w:sz="4" w:space="0"/>
              <w:right w:val="single" w:color="auto" w:sz="4" w:space="0"/>
            </w:tcBorders>
            <w:noWrap/>
            <w:vAlign w:val="center"/>
          </w:tcPr>
          <w:p w14:paraId="42A2CB90">
            <w:pPr>
              <w:pStyle w:val="33"/>
              <w:rPr>
                <w:color w:val="auto"/>
              </w:rPr>
            </w:pPr>
            <w:r>
              <w:rPr>
                <w:rFonts w:eastAsia="等线" w:cs="Times New Roman"/>
                <w:color w:val="auto"/>
                <w:sz w:val="20"/>
                <w:szCs w:val="20"/>
              </w:rPr>
              <w:t>0.19</w:t>
            </w:r>
          </w:p>
        </w:tc>
        <w:tc>
          <w:tcPr>
            <w:tcW w:w="621" w:type="pct"/>
            <w:tcBorders>
              <w:top w:val="nil"/>
              <w:left w:val="nil"/>
              <w:bottom w:val="single" w:color="auto" w:sz="4" w:space="0"/>
              <w:right w:val="single" w:color="auto" w:sz="4" w:space="0"/>
            </w:tcBorders>
            <w:noWrap/>
            <w:vAlign w:val="center"/>
          </w:tcPr>
          <w:p w14:paraId="7A682308">
            <w:pPr>
              <w:pStyle w:val="33"/>
              <w:rPr>
                <w:color w:val="auto"/>
              </w:rPr>
            </w:pPr>
            <w:r>
              <w:rPr>
                <w:rFonts w:eastAsia="等线" w:cs="Times New Roman"/>
                <w:color w:val="auto"/>
                <w:sz w:val="20"/>
                <w:szCs w:val="20"/>
              </w:rPr>
              <w:t>0.001503</w:t>
            </w:r>
          </w:p>
        </w:tc>
      </w:tr>
      <w:tr w14:paraId="338318C7">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26ECF455">
            <w:pPr>
              <w:pStyle w:val="33"/>
              <w:rPr>
                <w:color w:val="auto"/>
              </w:rPr>
            </w:pPr>
            <w:r>
              <w:rPr>
                <w:rFonts w:hint="eastAsia"/>
                <w:color w:val="auto"/>
                <w:sz w:val="20"/>
                <w:szCs w:val="20"/>
              </w:rPr>
              <w:t>混凝反应池1</w:t>
            </w:r>
          </w:p>
        </w:tc>
        <w:tc>
          <w:tcPr>
            <w:tcW w:w="549" w:type="pct"/>
            <w:tcBorders>
              <w:top w:val="nil"/>
              <w:left w:val="nil"/>
              <w:bottom w:val="single" w:color="auto" w:sz="4" w:space="0"/>
              <w:right w:val="single" w:color="auto" w:sz="4" w:space="0"/>
            </w:tcBorders>
            <w:noWrap/>
            <w:vAlign w:val="center"/>
          </w:tcPr>
          <w:p w14:paraId="6B6629DB">
            <w:pPr>
              <w:pStyle w:val="33"/>
              <w:rPr>
                <w:color w:val="auto"/>
              </w:rPr>
            </w:pPr>
            <w:r>
              <w:rPr>
                <w:rFonts w:eastAsia="等线" w:cs="Times New Roman"/>
                <w:color w:val="auto"/>
                <w:sz w:val="20"/>
                <w:szCs w:val="20"/>
              </w:rPr>
              <w:t>63</w:t>
            </w:r>
          </w:p>
        </w:tc>
        <w:tc>
          <w:tcPr>
            <w:tcW w:w="603" w:type="pct"/>
            <w:tcBorders>
              <w:top w:val="nil"/>
              <w:left w:val="nil"/>
              <w:bottom w:val="single" w:color="auto" w:sz="4" w:space="0"/>
              <w:right w:val="single" w:color="auto" w:sz="4" w:space="0"/>
            </w:tcBorders>
            <w:noWrap/>
            <w:vAlign w:val="center"/>
          </w:tcPr>
          <w:p w14:paraId="4960B39D">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1DD76E05">
            <w:pPr>
              <w:pStyle w:val="33"/>
              <w:rPr>
                <w:color w:val="auto"/>
              </w:rPr>
            </w:pPr>
            <w:r>
              <w:rPr>
                <w:rFonts w:eastAsia="等线" w:cs="Times New Roman"/>
                <w:color w:val="auto"/>
                <w:sz w:val="20"/>
                <w:szCs w:val="20"/>
              </w:rPr>
              <w:t>3.89</w:t>
            </w:r>
          </w:p>
        </w:tc>
        <w:tc>
          <w:tcPr>
            <w:tcW w:w="626" w:type="pct"/>
            <w:tcBorders>
              <w:top w:val="nil"/>
              <w:left w:val="nil"/>
              <w:bottom w:val="single" w:color="auto" w:sz="4" w:space="0"/>
              <w:right w:val="single" w:color="auto" w:sz="4" w:space="0"/>
            </w:tcBorders>
            <w:noWrap/>
            <w:vAlign w:val="center"/>
          </w:tcPr>
          <w:p w14:paraId="6CA48371">
            <w:pPr>
              <w:pStyle w:val="33"/>
              <w:rPr>
                <w:color w:val="auto"/>
              </w:rPr>
            </w:pPr>
            <w:r>
              <w:rPr>
                <w:rFonts w:eastAsia="等线" w:cs="Times New Roman"/>
                <w:color w:val="auto"/>
                <w:sz w:val="20"/>
                <w:szCs w:val="20"/>
              </w:rPr>
              <w:t>0.00049</w:t>
            </w:r>
          </w:p>
        </w:tc>
        <w:tc>
          <w:tcPr>
            <w:tcW w:w="703" w:type="pct"/>
            <w:tcBorders>
              <w:top w:val="nil"/>
              <w:left w:val="nil"/>
              <w:bottom w:val="single" w:color="auto" w:sz="4" w:space="0"/>
              <w:right w:val="single" w:color="auto" w:sz="4" w:space="0"/>
            </w:tcBorders>
            <w:noWrap/>
            <w:vAlign w:val="center"/>
          </w:tcPr>
          <w:p w14:paraId="7E5366C8">
            <w:pPr>
              <w:pStyle w:val="33"/>
              <w:rPr>
                <w:color w:val="auto"/>
              </w:rPr>
            </w:pPr>
            <w:r>
              <w:rPr>
                <w:rFonts w:eastAsia="等线" w:cs="Times New Roman"/>
                <w:color w:val="auto"/>
                <w:sz w:val="20"/>
                <w:szCs w:val="20"/>
              </w:rPr>
              <w:t>2.04</w:t>
            </w:r>
          </w:p>
        </w:tc>
        <w:tc>
          <w:tcPr>
            <w:tcW w:w="621" w:type="pct"/>
            <w:tcBorders>
              <w:top w:val="nil"/>
              <w:left w:val="nil"/>
              <w:bottom w:val="single" w:color="auto" w:sz="4" w:space="0"/>
              <w:right w:val="single" w:color="auto" w:sz="4" w:space="0"/>
            </w:tcBorders>
            <w:noWrap/>
            <w:vAlign w:val="center"/>
          </w:tcPr>
          <w:p w14:paraId="609AF3AD">
            <w:pPr>
              <w:pStyle w:val="33"/>
              <w:rPr>
                <w:color w:val="auto"/>
              </w:rPr>
            </w:pPr>
            <w:r>
              <w:rPr>
                <w:rFonts w:eastAsia="等线" w:cs="Times New Roman"/>
                <w:color w:val="auto"/>
                <w:sz w:val="20"/>
                <w:szCs w:val="20"/>
              </w:rPr>
              <w:t>0.000257</w:t>
            </w:r>
          </w:p>
        </w:tc>
      </w:tr>
      <w:tr w14:paraId="0EE7BA32">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475A5778">
            <w:pPr>
              <w:pStyle w:val="33"/>
              <w:rPr>
                <w:color w:val="auto"/>
              </w:rPr>
            </w:pPr>
            <w:r>
              <w:rPr>
                <w:rFonts w:hint="eastAsia"/>
                <w:color w:val="auto"/>
                <w:sz w:val="20"/>
                <w:szCs w:val="20"/>
              </w:rPr>
              <w:t>二沉池</w:t>
            </w:r>
          </w:p>
        </w:tc>
        <w:tc>
          <w:tcPr>
            <w:tcW w:w="549" w:type="pct"/>
            <w:tcBorders>
              <w:top w:val="nil"/>
              <w:left w:val="nil"/>
              <w:bottom w:val="single" w:color="auto" w:sz="4" w:space="0"/>
              <w:right w:val="single" w:color="auto" w:sz="4" w:space="0"/>
            </w:tcBorders>
            <w:noWrap/>
            <w:vAlign w:val="center"/>
          </w:tcPr>
          <w:p w14:paraId="6FDA73E0">
            <w:pPr>
              <w:pStyle w:val="33"/>
              <w:rPr>
                <w:color w:val="auto"/>
              </w:rPr>
            </w:pPr>
            <w:r>
              <w:rPr>
                <w:rFonts w:eastAsia="等线" w:cs="Times New Roman"/>
                <w:color w:val="auto"/>
                <w:sz w:val="20"/>
                <w:szCs w:val="20"/>
              </w:rPr>
              <w:t>1661.06</w:t>
            </w:r>
          </w:p>
        </w:tc>
        <w:tc>
          <w:tcPr>
            <w:tcW w:w="603" w:type="pct"/>
            <w:tcBorders>
              <w:top w:val="nil"/>
              <w:left w:val="nil"/>
              <w:bottom w:val="single" w:color="auto" w:sz="4" w:space="0"/>
              <w:right w:val="single" w:color="auto" w:sz="4" w:space="0"/>
            </w:tcBorders>
            <w:noWrap/>
            <w:vAlign w:val="center"/>
          </w:tcPr>
          <w:p w14:paraId="2A9C5E0C">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4BD0CDFF">
            <w:pPr>
              <w:pStyle w:val="33"/>
              <w:rPr>
                <w:color w:val="auto"/>
              </w:rPr>
            </w:pPr>
            <w:r>
              <w:rPr>
                <w:rFonts w:eastAsia="等线" w:cs="Times New Roman"/>
                <w:color w:val="auto"/>
                <w:sz w:val="20"/>
                <w:szCs w:val="20"/>
              </w:rPr>
              <w:t>1.09</w:t>
            </w:r>
          </w:p>
        </w:tc>
        <w:tc>
          <w:tcPr>
            <w:tcW w:w="626" w:type="pct"/>
            <w:tcBorders>
              <w:top w:val="nil"/>
              <w:left w:val="nil"/>
              <w:bottom w:val="single" w:color="auto" w:sz="4" w:space="0"/>
              <w:right w:val="single" w:color="auto" w:sz="4" w:space="0"/>
            </w:tcBorders>
            <w:noWrap/>
            <w:vAlign w:val="center"/>
          </w:tcPr>
          <w:p w14:paraId="247B8F19">
            <w:pPr>
              <w:pStyle w:val="33"/>
              <w:rPr>
                <w:color w:val="auto"/>
              </w:rPr>
            </w:pPr>
            <w:r>
              <w:rPr>
                <w:rFonts w:eastAsia="等线" w:cs="Times New Roman"/>
                <w:color w:val="auto"/>
                <w:sz w:val="20"/>
                <w:szCs w:val="20"/>
              </w:rPr>
              <w:t>0.003621</w:t>
            </w:r>
          </w:p>
        </w:tc>
        <w:tc>
          <w:tcPr>
            <w:tcW w:w="703" w:type="pct"/>
            <w:tcBorders>
              <w:top w:val="nil"/>
              <w:left w:val="nil"/>
              <w:bottom w:val="single" w:color="auto" w:sz="4" w:space="0"/>
              <w:right w:val="single" w:color="auto" w:sz="4" w:space="0"/>
            </w:tcBorders>
            <w:noWrap/>
            <w:vAlign w:val="center"/>
          </w:tcPr>
          <w:p w14:paraId="332D754B">
            <w:pPr>
              <w:pStyle w:val="33"/>
              <w:rPr>
                <w:color w:val="auto"/>
              </w:rPr>
            </w:pPr>
            <w:r>
              <w:rPr>
                <w:rFonts w:eastAsia="等线" w:cs="Times New Roman"/>
                <w:color w:val="auto"/>
                <w:sz w:val="20"/>
                <w:szCs w:val="20"/>
              </w:rPr>
              <w:t>0.19</w:t>
            </w:r>
          </w:p>
        </w:tc>
        <w:tc>
          <w:tcPr>
            <w:tcW w:w="621" w:type="pct"/>
            <w:tcBorders>
              <w:top w:val="nil"/>
              <w:left w:val="nil"/>
              <w:bottom w:val="single" w:color="auto" w:sz="4" w:space="0"/>
              <w:right w:val="single" w:color="auto" w:sz="4" w:space="0"/>
            </w:tcBorders>
            <w:noWrap/>
            <w:vAlign w:val="center"/>
          </w:tcPr>
          <w:p w14:paraId="71F99576">
            <w:pPr>
              <w:pStyle w:val="33"/>
              <w:rPr>
                <w:color w:val="auto"/>
              </w:rPr>
            </w:pPr>
            <w:r>
              <w:rPr>
                <w:rFonts w:eastAsia="等线" w:cs="Times New Roman"/>
                <w:color w:val="auto"/>
                <w:sz w:val="20"/>
                <w:szCs w:val="20"/>
              </w:rPr>
              <w:t>0.000631</w:t>
            </w:r>
          </w:p>
        </w:tc>
      </w:tr>
      <w:tr w14:paraId="022CBCE3">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6ADEBA0C">
            <w:pPr>
              <w:pStyle w:val="33"/>
              <w:rPr>
                <w:color w:val="auto"/>
              </w:rPr>
            </w:pPr>
            <w:r>
              <w:rPr>
                <w:rFonts w:hint="eastAsia"/>
                <w:color w:val="auto"/>
                <w:sz w:val="20"/>
                <w:szCs w:val="20"/>
              </w:rPr>
              <w:t>混凝反应池2</w:t>
            </w:r>
          </w:p>
        </w:tc>
        <w:tc>
          <w:tcPr>
            <w:tcW w:w="549" w:type="pct"/>
            <w:tcBorders>
              <w:top w:val="nil"/>
              <w:left w:val="nil"/>
              <w:bottom w:val="single" w:color="auto" w:sz="4" w:space="0"/>
              <w:right w:val="single" w:color="auto" w:sz="4" w:space="0"/>
            </w:tcBorders>
            <w:noWrap/>
            <w:vAlign w:val="center"/>
          </w:tcPr>
          <w:p w14:paraId="7D944CCD">
            <w:pPr>
              <w:pStyle w:val="33"/>
              <w:rPr>
                <w:color w:val="auto"/>
              </w:rPr>
            </w:pPr>
            <w:r>
              <w:rPr>
                <w:rFonts w:eastAsia="等线" w:cs="Times New Roman"/>
                <w:color w:val="auto"/>
                <w:sz w:val="20"/>
                <w:szCs w:val="20"/>
              </w:rPr>
              <w:t>84</w:t>
            </w:r>
          </w:p>
        </w:tc>
        <w:tc>
          <w:tcPr>
            <w:tcW w:w="603" w:type="pct"/>
            <w:tcBorders>
              <w:top w:val="nil"/>
              <w:left w:val="nil"/>
              <w:bottom w:val="single" w:color="auto" w:sz="4" w:space="0"/>
              <w:right w:val="single" w:color="auto" w:sz="4" w:space="0"/>
            </w:tcBorders>
            <w:noWrap/>
            <w:vAlign w:val="center"/>
          </w:tcPr>
          <w:p w14:paraId="3D534AC9">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3F68D3AA">
            <w:pPr>
              <w:pStyle w:val="33"/>
              <w:rPr>
                <w:color w:val="auto"/>
              </w:rPr>
            </w:pPr>
            <w:r>
              <w:rPr>
                <w:rFonts w:eastAsia="等线" w:cs="Times New Roman"/>
                <w:color w:val="auto"/>
                <w:sz w:val="20"/>
                <w:szCs w:val="20"/>
              </w:rPr>
              <w:t>3.89</w:t>
            </w:r>
          </w:p>
        </w:tc>
        <w:tc>
          <w:tcPr>
            <w:tcW w:w="626" w:type="pct"/>
            <w:tcBorders>
              <w:top w:val="nil"/>
              <w:left w:val="nil"/>
              <w:bottom w:val="single" w:color="auto" w:sz="4" w:space="0"/>
              <w:right w:val="single" w:color="auto" w:sz="4" w:space="0"/>
            </w:tcBorders>
            <w:noWrap/>
            <w:vAlign w:val="center"/>
          </w:tcPr>
          <w:p w14:paraId="338D0803">
            <w:pPr>
              <w:pStyle w:val="33"/>
              <w:rPr>
                <w:color w:val="auto"/>
              </w:rPr>
            </w:pPr>
            <w:r>
              <w:rPr>
                <w:rFonts w:eastAsia="等线" w:cs="Times New Roman"/>
                <w:color w:val="auto"/>
                <w:sz w:val="20"/>
                <w:szCs w:val="20"/>
              </w:rPr>
              <w:t>0.000654</w:t>
            </w:r>
          </w:p>
        </w:tc>
        <w:tc>
          <w:tcPr>
            <w:tcW w:w="703" w:type="pct"/>
            <w:tcBorders>
              <w:top w:val="nil"/>
              <w:left w:val="nil"/>
              <w:bottom w:val="single" w:color="auto" w:sz="4" w:space="0"/>
              <w:right w:val="single" w:color="auto" w:sz="4" w:space="0"/>
            </w:tcBorders>
            <w:noWrap/>
            <w:vAlign w:val="center"/>
          </w:tcPr>
          <w:p w14:paraId="44791A1B">
            <w:pPr>
              <w:pStyle w:val="33"/>
              <w:rPr>
                <w:color w:val="auto"/>
              </w:rPr>
            </w:pPr>
            <w:r>
              <w:rPr>
                <w:rFonts w:eastAsia="等线" w:cs="Times New Roman"/>
                <w:color w:val="auto"/>
                <w:sz w:val="20"/>
                <w:szCs w:val="20"/>
              </w:rPr>
              <w:t>2.04</w:t>
            </w:r>
          </w:p>
        </w:tc>
        <w:tc>
          <w:tcPr>
            <w:tcW w:w="621" w:type="pct"/>
            <w:tcBorders>
              <w:top w:val="nil"/>
              <w:left w:val="nil"/>
              <w:bottom w:val="single" w:color="auto" w:sz="4" w:space="0"/>
              <w:right w:val="single" w:color="auto" w:sz="4" w:space="0"/>
            </w:tcBorders>
            <w:noWrap/>
            <w:vAlign w:val="center"/>
          </w:tcPr>
          <w:p w14:paraId="74EB4E6E">
            <w:pPr>
              <w:pStyle w:val="33"/>
              <w:rPr>
                <w:color w:val="auto"/>
              </w:rPr>
            </w:pPr>
            <w:r>
              <w:rPr>
                <w:rFonts w:eastAsia="等线" w:cs="Times New Roman"/>
                <w:color w:val="auto"/>
                <w:sz w:val="20"/>
                <w:szCs w:val="20"/>
              </w:rPr>
              <w:t>0.000343</w:t>
            </w:r>
          </w:p>
        </w:tc>
      </w:tr>
      <w:tr w14:paraId="1C83F112">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09570BBD">
            <w:pPr>
              <w:pStyle w:val="33"/>
              <w:rPr>
                <w:color w:val="auto"/>
              </w:rPr>
            </w:pPr>
            <w:r>
              <w:rPr>
                <w:rFonts w:hint="eastAsia"/>
                <w:color w:val="auto"/>
                <w:sz w:val="20"/>
                <w:szCs w:val="20"/>
              </w:rPr>
              <w:t>终沉池</w:t>
            </w:r>
          </w:p>
        </w:tc>
        <w:tc>
          <w:tcPr>
            <w:tcW w:w="549" w:type="pct"/>
            <w:tcBorders>
              <w:top w:val="nil"/>
              <w:left w:val="nil"/>
              <w:bottom w:val="single" w:color="auto" w:sz="4" w:space="0"/>
              <w:right w:val="single" w:color="auto" w:sz="4" w:space="0"/>
            </w:tcBorders>
            <w:noWrap/>
            <w:vAlign w:val="center"/>
          </w:tcPr>
          <w:p w14:paraId="6B69F8C6">
            <w:pPr>
              <w:pStyle w:val="33"/>
              <w:rPr>
                <w:color w:val="auto"/>
              </w:rPr>
            </w:pPr>
            <w:r>
              <w:rPr>
                <w:rFonts w:eastAsia="等线" w:cs="Times New Roman"/>
                <w:color w:val="auto"/>
                <w:sz w:val="20"/>
                <w:szCs w:val="20"/>
              </w:rPr>
              <w:t>1133.54</w:t>
            </w:r>
          </w:p>
        </w:tc>
        <w:tc>
          <w:tcPr>
            <w:tcW w:w="603" w:type="pct"/>
            <w:tcBorders>
              <w:top w:val="nil"/>
              <w:left w:val="nil"/>
              <w:bottom w:val="single" w:color="auto" w:sz="4" w:space="0"/>
              <w:right w:val="single" w:color="auto" w:sz="4" w:space="0"/>
            </w:tcBorders>
            <w:noWrap/>
            <w:vAlign w:val="center"/>
          </w:tcPr>
          <w:p w14:paraId="5B79ADB8">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660A48D4">
            <w:pPr>
              <w:pStyle w:val="33"/>
              <w:rPr>
                <w:color w:val="auto"/>
              </w:rPr>
            </w:pPr>
            <w:r>
              <w:rPr>
                <w:rFonts w:eastAsia="等线" w:cs="Times New Roman"/>
                <w:color w:val="auto"/>
                <w:sz w:val="20"/>
                <w:szCs w:val="20"/>
              </w:rPr>
              <w:t>1.09</w:t>
            </w:r>
          </w:p>
        </w:tc>
        <w:tc>
          <w:tcPr>
            <w:tcW w:w="626" w:type="pct"/>
            <w:tcBorders>
              <w:top w:val="nil"/>
              <w:left w:val="nil"/>
              <w:bottom w:val="single" w:color="auto" w:sz="4" w:space="0"/>
              <w:right w:val="single" w:color="auto" w:sz="4" w:space="0"/>
            </w:tcBorders>
            <w:noWrap/>
            <w:vAlign w:val="center"/>
          </w:tcPr>
          <w:p w14:paraId="3398D6D1">
            <w:pPr>
              <w:pStyle w:val="33"/>
              <w:rPr>
                <w:color w:val="auto"/>
              </w:rPr>
            </w:pPr>
            <w:r>
              <w:rPr>
                <w:rFonts w:eastAsia="等线" w:cs="Times New Roman"/>
                <w:color w:val="auto"/>
                <w:sz w:val="20"/>
                <w:szCs w:val="20"/>
              </w:rPr>
              <w:t>0.002471</w:t>
            </w:r>
          </w:p>
        </w:tc>
        <w:tc>
          <w:tcPr>
            <w:tcW w:w="703" w:type="pct"/>
            <w:tcBorders>
              <w:top w:val="nil"/>
              <w:left w:val="nil"/>
              <w:bottom w:val="single" w:color="auto" w:sz="4" w:space="0"/>
              <w:right w:val="single" w:color="auto" w:sz="4" w:space="0"/>
            </w:tcBorders>
            <w:noWrap/>
            <w:vAlign w:val="center"/>
          </w:tcPr>
          <w:p w14:paraId="0975D5B0">
            <w:pPr>
              <w:pStyle w:val="33"/>
              <w:rPr>
                <w:color w:val="auto"/>
              </w:rPr>
            </w:pPr>
            <w:r>
              <w:rPr>
                <w:rFonts w:eastAsia="等线" w:cs="Times New Roman"/>
                <w:color w:val="auto"/>
                <w:sz w:val="20"/>
                <w:szCs w:val="20"/>
              </w:rPr>
              <w:t>2.04</w:t>
            </w:r>
          </w:p>
        </w:tc>
        <w:tc>
          <w:tcPr>
            <w:tcW w:w="621" w:type="pct"/>
            <w:tcBorders>
              <w:top w:val="nil"/>
              <w:left w:val="nil"/>
              <w:bottom w:val="single" w:color="auto" w:sz="4" w:space="0"/>
              <w:right w:val="single" w:color="auto" w:sz="4" w:space="0"/>
            </w:tcBorders>
            <w:noWrap/>
            <w:vAlign w:val="center"/>
          </w:tcPr>
          <w:p w14:paraId="0893788A">
            <w:pPr>
              <w:pStyle w:val="33"/>
              <w:rPr>
                <w:color w:val="auto"/>
              </w:rPr>
            </w:pPr>
            <w:r>
              <w:rPr>
                <w:rFonts w:eastAsia="等线" w:cs="Times New Roman"/>
                <w:color w:val="auto"/>
                <w:sz w:val="20"/>
                <w:szCs w:val="20"/>
              </w:rPr>
              <w:t>0.004625</w:t>
            </w:r>
          </w:p>
        </w:tc>
      </w:tr>
      <w:tr w14:paraId="09840A96">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0CC3F617">
            <w:pPr>
              <w:pStyle w:val="33"/>
              <w:rPr>
                <w:color w:val="auto"/>
              </w:rPr>
            </w:pPr>
            <w:r>
              <w:rPr>
                <w:rFonts w:hint="eastAsia"/>
                <w:color w:val="auto"/>
                <w:sz w:val="20"/>
                <w:szCs w:val="20"/>
              </w:rPr>
              <w:t>脱水机房</w:t>
            </w:r>
          </w:p>
        </w:tc>
        <w:tc>
          <w:tcPr>
            <w:tcW w:w="549" w:type="pct"/>
            <w:tcBorders>
              <w:top w:val="nil"/>
              <w:left w:val="nil"/>
              <w:bottom w:val="single" w:color="auto" w:sz="4" w:space="0"/>
              <w:right w:val="single" w:color="auto" w:sz="4" w:space="0"/>
            </w:tcBorders>
            <w:noWrap/>
            <w:vAlign w:val="center"/>
          </w:tcPr>
          <w:p w14:paraId="54C48CD2">
            <w:pPr>
              <w:pStyle w:val="33"/>
              <w:rPr>
                <w:color w:val="auto"/>
              </w:rPr>
            </w:pPr>
            <w:r>
              <w:rPr>
                <w:rFonts w:eastAsia="等线" w:cs="Times New Roman"/>
                <w:color w:val="auto"/>
                <w:sz w:val="20"/>
                <w:szCs w:val="20"/>
              </w:rPr>
              <w:t>1808.64</w:t>
            </w:r>
          </w:p>
        </w:tc>
        <w:tc>
          <w:tcPr>
            <w:tcW w:w="603" w:type="pct"/>
            <w:tcBorders>
              <w:top w:val="nil"/>
              <w:left w:val="nil"/>
              <w:bottom w:val="single" w:color="auto" w:sz="4" w:space="0"/>
              <w:right w:val="single" w:color="auto" w:sz="4" w:space="0"/>
            </w:tcBorders>
            <w:noWrap/>
            <w:vAlign w:val="center"/>
          </w:tcPr>
          <w:p w14:paraId="135B4489">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2F60F2FE">
            <w:pPr>
              <w:pStyle w:val="33"/>
              <w:rPr>
                <w:color w:val="auto"/>
              </w:rPr>
            </w:pPr>
            <w:r>
              <w:rPr>
                <w:rFonts w:eastAsia="等线" w:cs="Times New Roman"/>
                <w:color w:val="auto"/>
                <w:sz w:val="20"/>
                <w:szCs w:val="20"/>
              </w:rPr>
              <w:t>2.77</w:t>
            </w:r>
          </w:p>
        </w:tc>
        <w:tc>
          <w:tcPr>
            <w:tcW w:w="626" w:type="pct"/>
            <w:tcBorders>
              <w:top w:val="nil"/>
              <w:left w:val="nil"/>
              <w:bottom w:val="single" w:color="auto" w:sz="4" w:space="0"/>
              <w:right w:val="single" w:color="auto" w:sz="4" w:space="0"/>
            </w:tcBorders>
            <w:noWrap/>
            <w:vAlign w:val="center"/>
          </w:tcPr>
          <w:p w14:paraId="3556CF18">
            <w:pPr>
              <w:pStyle w:val="33"/>
              <w:rPr>
                <w:color w:val="auto"/>
              </w:rPr>
            </w:pPr>
            <w:r>
              <w:rPr>
                <w:rFonts w:eastAsia="等线" w:cs="Times New Roman"/>
                <w:color w:val="auto"/>
                <w:sz w:val="20"/>
                <w:szCs w:val="20"/>
              </w:rPr>
              <w:t>0.01002</w:t>
            </w:r>
          </w:p>
        </w:tc>
        <w:tc>
          <w:tcPr>
            <w:tcW w:w="703" w:type="pct"/>
            <w:tcBorders>
              <w:top w:val="nil"/>
              <w:left w:val="nil"/>
              <w:bottom w:val="single" w:color="auto" w:sz="4" w:space="0"/>
              <w:right w:val="single" w:color="auto" w:sz="4" w:space="0"/>
            </w:tcBorders>
            <w:noWrap/>
            <w:vAlign w:val="center"/>
          </w:tcPr>
          <w:p w14:paraId="5E5396DF">
            <w:pPr>
              <w:pStyle w:val="33"/>
              <w:rPr>
                <w:color w:val="auto"/>
              </w:rPr>
            </w:pPr>
            <w:r>
              <w:rPr>
                <w:rFonts w:eastAsia="等线" w:cs="Times New Roman"/>
                <w:color w:val="auto"/>
                <w:sz w:val="20"/>
                <w:szCs w:val="20"/>
              </w:rPr>
              <w:t>3.25</w:t>
            </w:r>
          </w:p>
        </w:tc>
        <w:tc>
          <w:tcPr>
            <w:tcW w:w="621" w:type="pct"/>
            <w:tcBorders>
              <w:top w:val="nil"/>
              <w:left w:val="nil"/>
              <w:bottom w:val="single" w:color="auto" w:sz="4" w:space="0"/>
              <w:right w:val="single" w:color="auto" w:sz="4" w:space="0"/>
            </w:tcBorders>
            <w:noWrap/>
            <w:vAlign w:val="center"/>
          </w:tcPr>
          <w:p w14:paraId="47CFC9F8">
            <w:pPr>
              <w:pStyle w:val="33"/>
              <w:rPr>
                <w:color w:val="auto"/>
              </w:rPr>
            </w:pPr>
            <w:r>
              <w:rPr>
                <w:rFonts w:eastAsia="等线" w:cs="Times New Roman"/>
                <w:color w:val="auto"/>
                <w:sz w:val="20"/>
                <w:szCs w:val="20"/>
              </w:rPr>
              <w:t>0.011756</w:t>
            </w:r>
          </w:p>
        </w:tc>
      </w:tr>
      <w:tr w14:paraId="75B0CA48">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2996C7A7">
            <w:pPr>
              <w:pStyle w:val="33"/>
              <w:rPr>
                <w:color w:val="auto"/>
              </w:rPr>
            </w:pPr>
            <w:r>
              <w:rPr>
                <w:rFonts w:hint="eastAsia"/>
                <w:color w:val="auto"/>
                <w:sz w:val="20"/>
                <w:szCs w:val="20"/>
              </w:rPr>
              <w:t>污泥浓缩池1</w:t>
            </w:r>
          </w:p>
        </w:tc>
        <w:tc>
          <w:tcPr>
            <w:tcW w:w="549" w:type="pct"/>
            <w:tcBorders>
              <w:top w:val="nil"/>
              <w:left w:val="nil"/>
              <w:bottom w:val="single" w:color="auto" w:sz="4" w:space="0"/>
              <w:right w:val="single" w:color="auto" w:sz="4" w:space="0"/>
            </w:tcBorders>
            <w:noWrap/>
            <w:vAlign w:val="center"/>
          </w:tcPr>
          <w:p w14:paraId="18761D20">
            <w:pPr>
              <w:pStyle w:val="33"/>
              <w:rPr>
                <w:color w:val="auto"/>
              </w:rPr>
            </w:pPr>
            <w:r>
              <w:rPr>
                <w:rFonts w:eastAsia="等线" w:cs="Times New Roman"/>
                <w:color w:val="auto"/>
                <w:sz w:val="20"/>
                <w:szCs w:val="20"/>
              </w:rPr>
              <w:t>176.625</w:t>
            </w:r>
          </w:p>
        </w:tc>
        <w:tc>
          <w:tcPr>
            <w:tcW w:w="603" w:type="pct"/>
            <w:tcBorders>
              <w:top w:val="nil"/>
              <w:left w:val="nil"/>
              <w:bottom w:val="single" w:color="auto" w:sz="4" w:space="0"/>
              <w:right w:val="single" w:color="auto" w:sz="4" w:space="0"/>
            </w:tcBorders>
            <w:noWrap/>
            <w:vAlign w:val="center"/>
          </w:tcPr>
          <w:p w14:paraId="064804BC">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13EA44F1">
            <w:pPr>
              <w:pStyle w:val="33"/>
              <w:rPr>
                <w:color w:val="auto"/>
              </w:rPr>
            </w:pPr>
            <w:r>
              <w:rPr>
                <w:rFonts w:eastAsia="等线" w:cs="Times New Roman"/>
                <w:color w:val="auto"/>
                <w:sz w:val="20"/>
                <w:szCs w:val="20"/>
              </w:rPr>
              <w:t>1.28</w:t>
            </w:r>
          </w:p>
        </w:tc>
        <w:tc>
          <w:tcPr>
            <w:tcW w:w="626" w:type="pct"/>
            <w:tcBorders>
              <w:top w:val="nil"/>
              <w:left w:val="nil"/>
              <w:bottom w:val="single" w:color="auto" w:sz="4" w:space="0"/>
              <w:right w:val="single" w:color="auto" w:sz="4" w:space="0"/>
            </w:tcBorders>
            <w:noWrap/>
            <w:vAlign w:val="center"/>
          </w:tcPr>
          <w:p w14:paraId="1D637E36">
            <w:pPr>
              <w:pStyle w:val="33"/>
              <w:rPr>
                <w:color w:val="auto"/>
              </w:rPr>
            </w:pPr>
            <w:r>
              <w:rPr>
                <w:rFonts w:eastAsia="等线" w:cs="Times New Roman"/>
                <w:color w:val="auto"/>
                <w:sz w:val="20"/>
                <w:szCs w:val="20"/>
              </w:rPr>
              <w:t>0.000452</w:t>
            </w:r>
          </w:p>
        </w:tc>
        <w:tc>
          <w:tcPr>
            <w:tcW w:w="703" w:type="pct"/>
            <w:tcBorders>
              <w:top w:val="nil"/>
              <w:left w:val="nil"/>
              <w:bottom w:val="single" w:color="auto" w:sz="4" w:space="0"/>
              <w:right w:val="single" w:color="auto" w:sz="4" w:space="0"/>
            </w:tcBorders>
            <w:noWrap/>
            <w:vAlign w:val="center"/>
          </w:tcPr>
          <w:p w14:paraId="0CED9AFD">
            <w:pPr>
              <w:pStyle w:val="33"/>
              <w:rPr>
                <w:color w:val="auto"/>
              </w:rPr>
            </w:pPr>
            <w:r>
              <w:rPr>
                <w:rFonts w:eastAsia="等线" w:cs="Times New Roman"/>
                <w:color w:val="auto"/>
                <w:sz w:val="20"/>
                <w:szCs w:val="20"/>
              </w:rPr>
              <w:t>13.76</w:t>
            </w:r>
          </w:p>
        </w:tc>
        <w:tc>
          <w:tcPr>
            <w:tcW w:w="621" w:type="pct"/>
            <w:tcBorders>
              <w:top w:val="nil"/>
              <w:left w:val="nil"/>
              <w:bottom w:val="single" w:color="auto" w:sz="4" w:space="0"/>
              <w:right w:val="single" w:color="auto" w:sz="4" w:space="0"/>
            </w:tcBorders>
            <w:noWrap/>
            <w:vAlign w:val="center"/>
          </w:tcPr>
          <w:p w14:paraId="125F8653">
            <w:pPr>
              <w:pStyle w:val="33"/>
              <w:rPr>
                <w:color w:val="auto"/>
              </w:rPr>
            </w:pPr>
            <w:r>
              <w:rPr>
                <w:rFonts w:eastAsia="等线" w:cs="Times New Roman"/>
                <w:color w:val="auto"/>
                <w:sz w:val="20"/>
                <w:szCs w:val="20"/>
              </w:rPr>
              <w:t>0.004861</w:t>
            </w:r>
          </w:p>
        </w:tc>
      </w:tr>
      <w:tr w14:paraId="2F877AA4">
        <w:tblPrEx>
          <w:tblCellMar>
            <w:top w:w="0" w:type="dxa"/>
            <w:left w:w="108" w:type="dxa"/>
            <w:bottom w:w="0" w:type="dxa"/>
            <w:right w:w="108" w:type="dxa"/>
          </w:tblCellMar>
        </w:tblPrEx>
        <w:trPr>
          <w:trHeight w:val="315" w:hRule="atLeast"/>
        </w:trPr>
        <w:tc>
          <w:tcPr>
            <w:tcW w:w="1193" w:type="pct"/>
            <w:tcBorders>
              <w:top w:val="nil"/>
              <w:left w:val="single" w:color="auto" w:sz="4" w:space="0"/>
              <w:bottom w:val="single" w:color="auto" w:sz="4" w:space="0"/>
              <w:right w:val="single" w:color="auto" w:sz="4" w:space="0"/>
            </w:tcBorders>
            <w:vAlign w:val="center"/>
          </w:tcPr>
          <w:p w14:paraId="1A4D2BD6">
            <w:pPr>
              <w:pStyle w:val="33"/>
              <w:rPr>
                <w:color w:val="auto"/>
              </w:rPr>
            </w:pPr>
            <w:r>
              <w:rPr>
                <w:rFonts w:hint="eastAsia"/>
                <w:color w:val="auto"/>
                <w:sz w:val="20"/>
                <w:szCs w:val="20"/>
              </w:rPr>
              <w:t>污泥浓缩池2</w:t>
            </w:r>
          </w:p>
        </w:tc>
        <w:tc>
          <w:tcPr>
            <w:tcW w:w="549" w:type="pct"/>
            <w:tcBorders>
              <w:top w:val="nil"/>
              <w:left w:val="nil"/>
              <w:bottom w:val="single" w:color="auto" w:sz="4" w:space="0"/>
              <w:right w:val="single" w:color="auto" w:sz="4" w:space="0"/>
            </w:tcBorders>
            <w:noWrap/>
            <w:vAlign w:val="center"/>
          </w:tcPr>
          <w:p w14:paraId="1D977800">
            <w:pPr>
              <w:pStyle w:val="33"/>
              <w:rPr>
                <w:color w:val="auto"/>
              </w:rPr>
            </w:pPr>
            <w:r>
              <w:rPr>
                <w:rFonts w:eastAsia="等线" w:cs="Times New Roman"/>
                <w:color w:val="auto"/>
                <w:sz w:val="20"/>
                <w:szCs w:val="20"/>
              </w:rPr>
              <w:t>176.625</w:t>
            </w:r>
          </w:p>
        </w:tc>
        <w:tc>
          <w:tcPr>
            <w:tcW w:w="603" w:type="pct"/>
            <w:tcBorders>
              <w:top w:val="nil"/>
              <w:left w:val="nil"/>
              <w:bottom w:val="single" w:color="auto" w:sz="4" w:space="0"/>
              <w:right w:val="single" w:color="auto" w:sz="4" w:space="0"/>
            </w:tcBorders>
            <w:noWrap/>
            <w:vAlign w:val="center"/>
          </w:tcPr>
          <w:p w14:paraId="56E367DF">
            <w:pPr>
              <w:pStyle w:val="33"/>
              <w:rPr>
                <w:color w:val="auto"/>
              </w:rPr>
            </w:pPr>
            <w:r>
              <w:rPr>
                <w:rFonts w:eastAsia="等线" w:cs="Times New Roman"/>
                <w:color w:val="auto"/>
                <w:sz w:val="20"/>
                <w:szCs w:val="20"/>
              </w:rPr>
              <w:t>2</w:t>
            </w:r>
          </w:p>
        </w:tc>
        <w:tc>
          <w:tcPr>
            <w:tcW w:w="705" w:type="pct"/>
            <w:tcBorders>
              <w:top w:val="nil"/>
              <w:left w:val="nil"/>
              <w:bottom w:val="single" w:color="auto" w:sz="4" w:space="0"/>
              <w:right w:val="single" w:color="auto" w:sz="4" w:space="0"/>
            </w:tcBorders>
            <w:noWrap/>
            <w:vAlign w:val="center"/>
          </w:tcPr>
          <w:p w14:paraId="6D14C7FA">
            <w:pPr>
              <w:pStyle w:val="33"/>
              <w:rPr>
                <w:color w:val="auto"/>
              </w:rPr>
            </w:pPr>
            <w:r>
              <w:rPr>
                <w:rFonts w:eastAsia="等线" w:cs="Times New Roman"/>
                <w:color w:val="auto"/>
                <w:sz w:val="20"/>
                <w:szCs w:val="20"/>
              </w:rPr>
              <w:t>1.28</w:t>
            </w:r>
          </w:p>
        </w:tc>
        <w:tc>
          <w:tcPr>
            <w:tcW w:w="626" w:type="pct"/>
            <w:tcBorders>
              <w:top w:val="nil"/>
              <w:left w:val="nil"/>
              <w:bottom w:val="single" w:color="auto" w:sz="4" w:space="0"/>
              <w:right w:val="single" w:color="auto" w:sz="4" w:space="0"/>
            </w:tcBorders>
            <w:noWrap/>
            <w:vAlign w:val="center"/>
          </w:tcPr>
          <w:p w14:paraId="5148A639">
            <w:pPr>
              <w:pStyle w:val="33"/>
              <w:rPr>
                <w:color w:val="auto"/>
              </w:rPr>
            </w:pPr>
            <w:r>
              <w:rPr>
                <w:rFonts w:eastAsia="等线" w:cs="Times New Roman"/>
                <w:color w:val="auto"/>
                <w:sz w:val="20"/>
                <w:szCs w:val="20"/>
              </w:rPr>
              <w:t>0.000452</w:t>
            </w:r>
          </w:p>
        </w:tc>
        <w:tc>
          <w:tcPr>
            <w:tcW w:w="703" w:type="pct"/>
            <w:tcBorders>
              <w:top w:val="nil"/>
              <w:left w:val="nil"/>
              <w:bottom w:val="single" w:color="auto" w:sz="4" w:space="0"/>
              <w:right w:val="single" w:color="auto" w:sz="4" w:space="0"/>
            </w:tcBorders>
            <w:noWrap/>
            <w:vAlign w:val="center"/>
          </w:tcPr>
          <w:p w14:paraId="6B1DC1D4">
            <w:pPr>
              <w:pStyle w:val="33"/>
              <w:rPr>
                <w:color w:val="auto"/>
              </w:rPr>
            </w:pPr>
            <w:r>
              <w:rPr>
                <w:rFonts w:eastAsia="等线" w:cs="Times New Roman"/>
                <w:color w:val="auto"/>
                <w:sz w:val="20"/>
                <w:szCs w:val="20"/>
              </w:rPr>
              <w:t>13.76</w:t>
            </w:r>
          </w:p>
        </w:tc>
        <w:tc>
          <w:tcPr>
            <w:tcW w:w="621" w:type="pct"/>
            <w:tcBorders>
              <w:top w:val="nil"/>
              <w:left w:val="nil"/>
              <w:bottom w:val="single" w:color="auto" w:sz="4" w:space="0"/>
              <w:right w:val="single" w:color="auto" w:sz="4" w:space="0"/>
            </w:tcBorders>
            <w:noWrap/>
            <w:vAlign w:val="center"/>
          </w:tcPr>
          <w:p w14:paraId="6FA1DC25">
            <w:pPr>
              <w:pStyle w:val="33"/>
              <w:rPr>
                <w:color w:val="auto"/>
              </w:rPr>
            </w:pPr>
            <w:r>
              <w:rPr>
                <w:rFonts w:eastAsia="等线" w:cs="Times New Roman"/>
                <w:color w:val="auto"/>
                <w:sz w:val="20"/>
                <w:szCs w:val="20"/>
              </w:rPr>
              <w:t>0.004861</w:t>
            </w:r>
          </w:p>
        </w:tc>
      </w:tr>
    </w:tbl>
    <w:p w14:paraId="5054F4FC">
      <w:pPr>
        <w:ind w:firstLine="480"/>
        <w:rPr>
          <w:color w:val="auto"/>
        </w:rPr>
      </w:pPr>
      <w:r>
        <w:rPr>
          <w:color w:val="auto"/>
        </w:rPr>
        <w:t>臭气浓度参照《城镇污水处理厂臭气处理技术规程》（CJJ/T243-2016）的表3.2.2 污水处理厂臭气污染物浓度的中间值，污水预处理和污水处理区域取2500（无量纲），污泥处理区域取50000（无量纲）。</w:t>
      </w:r>
    </w:p>
    <w:p w14:paraId="66473F5C">
      <w:pPr>
        <w:ind w:firstLine="480"/>
        <w:rPr>
          <w:color w:val="auto"/>
        </w:rPr>
      </w:pPr>
      <w:r>
        <w:rPr>
          <w:color w:val="auto"/>
        </w:rPr>
        <w:t>本项目对构筑物采用加盖密闭方式收集恶臭废气，收集效率取90%，采用“碱洗喷淋+生物滤池”处理恶臭废气，处理效率氨取90%，硫化氢取95%，臭气浓度取95%。估算本项目产生的臭气源强</w:t>
      </w:r>
      <w:r>
        <w:rPr>
          <w:rFonts w:hint="eastAsia"/>
          <w:color w:val="auto"/>
        </w:rPr>
        <w:t>见下表</w:t>
      </w:r>
      <w:r>
        <w:rPr>
          <w:color w:val="auto"/>
        </w:rPr>
        <w:t>。</w:t>
      </w:r>
    </w:p>
    <w:p w14:paraId="5656A821">
      <w:pPr>
        <w:ind w:firstLine="480"/>
        <w:rPr>
          <w:color w:val="auto"/>
        </w:rPr>
      </w:pPr>
    </w:p>
    <w:p w14:paraId="521D389D">
      <w:pPr>
        <w:ind w:firstLine="480"/>
        <w:rPr>
          <w:color w:val="auto"/>
        </w:rPr>
        <w:sectPr>
          <w:pgSz w:w="11905" w:h="16838"/>
          <w:pgMar w:top="1418" w:right="1418" w:bottom="1418" w:left="1418" w:header="851" w:footer="851" w:gutter="0"/>
          <w:pgNumType w:fmt="numberInDash"/>
          <w:cols w:space="720" w:num="1"/>
          <w:docGrid w:type="lines" w:linePitch="335" w:charSpace="0"/>
        </w:sectPr>
      </w:pPr>
    </w:p>
    <w:p w14:paraId="3033650F">
      <w:pPr>
        <w:pStyle w:val="7"/>
        <w:rPr>
          <w:color w:val="auto"/>
        </w:rPr>
      </w:pPr>
      <w:bookmarkStart w:id="222" w:name="_Ref212109074"/>
      <w:r>
        <w:rPr>
          <w:color w:val="auto"/>
        </w:rPr>
        <w:t>有组织大气污染物产生及排放情况一览表</w:t>
      </w:r>
      <w:bookmarkEnd w:id="222"/>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429"/>
        <w:gridCol w:w="1056"/>
        <w:gridCol w:w="846"/>
        <w:gridCol w:w="778"/>
        <w:gridCol w:w="804"/>
        <w:gridCol w:w="949"/>
        <w:gridCol w:w="601"/>
        <w:gridCol w:w="811"/>
        <w:gridCol w:w="933"/>
        <w:gridCol w:w="958"/>
        <w:gridCol w:w="953"/>
        <w:gridCol w:w="731"/>
        <w:gridCol w:w="748"/>
        <w:gridCol w:w="572"/>
        <w:gridCol w:w="788"/>
        <w:gridCol w:w="835"/>
      </w:tblGrid>
      <w:tr w14:paraId="35E61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50" w:type="pct"/>
            <w:vMerge w:val="restart"/>
            <w:vAlign w:val="center"/>
          </w:tcPr>
          <w:p w14:paraId="3EB8CE8F">
            <w:pPr>
              <w:pStyle w:val="33"/>
              <w:rPr>
                <w:color w:val="auto"/>
              </w:rPr>
            </w:pPr>
            <w:r>
              <w:rPr>
                <w:color w:val="auto"/>
              </w:rPr>
              <w:t>序号</w:t>
            </w:r>
          </w:p>
        </w:tc>
        <w:tc>
          <w:tcPr>
            <w:tcW w:w="503" w:type="pct"/>
            <w:vMerge w:val="restart"/>
            <w:vAlign w:val="center"/>
          </w:tcPr>
          <w:p w14:paraId="52D9232F">
            <w:pPr>
              <w:pStyle w:val="33"/>
              <w:rPr>
                <w:color w:val="auto"/>
              </w:rPr>
            </w:pPr>
            <w:r>
              <w:rPr>
                <w:color w:val="auto"/>
              </w:rPr>
              <w:t>构筑物</w:t>
            </w:r>
          </w:p>
        </w:tc>
        <w:tc>
          <w:tcPr>
            <w:tcW w:w="371" w:type="pct"/>
            <w:vMerge w:val="restart"/>
            <w:vAlign w:val="center"/>
          </w:tcPr>
          <w:p w14:paraId="6F2796BE">
            <w:pPr>
              <w:pStyle w:val="33"/>
              <w:rPr>
                <w:color w:val="auto"/>
              </w:rPr>
            </w:pPr>
            <w:r>
              <w:rPr>
                <w:color w:val="auto"/>
              </w:rPr>
              <w:t>污染物</w:t>
            </w:r>
          </w:p>
        </w:tc>
        <w:tc>
          <w:tcPr>
            <w:tcW w:w="298" w:type="pct"/>
            <w:vMerge w:val="restart"/>
            <w:vAlign w:val="center"/>
          </w:tcPr>
          <w:p w14:paraId="5CCEDA9A">
            <w:pPr>
              <w:pStyle w:val="33"/>
              <w:rPr>
                <w:color w:val="auto"/>
              </w:rPr>
            </w:pPr>
            <w:r>
              <w:rPr>
                <w:color w:val="auto"/>
              </w:rPr>
              <w:t>核算方法</w:t>
            </w:r>
          </w:p>
        </w:tc>
        <w:tc>
          <w:tcPr>
            <w:tcW w:w="891" w:type="pct"/>
            <w:gridSpan w:val="3"/>
            <w:vAlign w:val="center"/>
          </w:tcPr>
          <w:p w14:paraId="06A52F39">
            <w:pPr>
              <w:pStyle w:val="33"/>
              <w:rPr>
                <w:color w:val="auto"/>
              </w:rPr>
            </w:pPr>
            <w:r>
              <w:rPr>
                <w:color w:val="auto"/>
              </w:rPr>
              <w:t>污染物的产生情况</w:t>
            </w:r>
          </w:p>
        </w:tc>
        <w:tc>
          <w:tcPr>
            <w:tcW w:w="211" w:type="pct"/>
            <w:vMerge w:val="restart"/>
            <w:vAlign w:val="center"/>
          </w:tcPr>
          <w:p w14:paraId="0A11590E">
            <w:pPr>
              <w:pStyle w:val="33"/>
              <w:rPr>
                <w:color w:val="auto"/>
              </w:rPr>
            </w:pPr>
            <w:r>
              <w:rPr>
                <w:color w:val="auto"/>
              </w:rPr>
              <w:t>处理措施</w:t>
            </w:r>
          </w:p>
        </w:tc>
        <w:tc>
          <w:tcPr>
            <w:tcW w:w="285" w:type="pct"/>
            <w:vMerge w:val="restart"/>
            <w:vAlign w:val="center"/>
          </w:tcPr>
          <w:p w14:paraId="56921C2A">
            <w:pPr>
              <w:pStyle w:val="33"/>
              <w:rPr>
                <w:color w:val="auto"/>
              </w:rPr>
            </w:pPr>
            <w:r>
              <w:rPr>
                <w:color w:val="auto"/>
              </w:rPr>
              <w:t>去除效率%</w:t>
            </w:r>
          </w:p>
        </w:tc>
        <w:tc>
          <w:tcPr>
            <w:tcW w:w="999" w:type="pct"/>
            <w:gridSpan w:val="3"/>
            <w:vAlign w:val="center"/>
          </w:tcPr>
          <w:p w14:paraId="3E4F6C4C">
            <w:pPr>
              <w:pStyle w:val="33"/>
              <w:rPr>
                <w:color w:val="auto"/>
              </w:rPr>
            </w:pPr>
            <w:r>
              <w:rPr>
                <w:color w:val="auto"/>
              </w:rPr>
              <w:t>污染物的排放情况</w:t>
            </w:r>
          </w:p>
        </w:tc>
        <w:tc>
          <w:tcPr>
            <w:tcW w:w="257" w:type="pct"/>
            <w:vMerge w:val="restart"/>
            <w:vAlign w:val="center"/>
          </w:tcPr>
          <w:p w14:paraId="07FA6ED0">
            <w:pPr>
              <w:pStyle w:val="33"/>
              <w:rPr>
                <w:color w:val="auto"/>
              </w:rPr>
            </w:pPr>
            <w:r>
              <w:rPr>
                <w:color w:val="auto"/>
              </w:rPr>
              <w:t>排放标准(kg/h)</w:t>
            </w:r>
          </w:p>
        </w:tc>
        <w:tc>
          <w:tcPr>
            <w:tcW w:w="1035" w:type="pct"/>
            <w:gridSpan w:val="4"/>
            <w:vAlign w:val="center"/>
          </w:tcPr>
          <w:p w14:paraId="2D79D4D1">
            <w:pPr>
              <w:pStyle w:val="33"/>
              <w:rPr>
                <w:color w:val="auto"/>
              </w:rPr>
            </w:pPr>
            <w:r>
              <w:rPr>
                <w:color w:val="auto"/>
              </w:rPr>
              <w:t>烟囱</w:t>
            </w:r>
          </w:p>
        </w:tc>
      </w:tr>
      <w:tr w14:paraId="0E1CC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150" w:type="pct"/>
            <w:vMerge w:val="continue"/>
            <w:vAlign w:val="center"/>
          </w:tcPr>
          <w:p w14:paraId="5667F60D">
            <w:pPr>
              <w:pStyle w:val="33"/>
              <w:rPr>
                <w:color w:val="auto"/>
              </w:rPr>
            </w:pPr>
          </w:p>
        </w:tc>
        <w:tc>
          <w:tcPr>
            <w:tcW w:w="503" w:type="pct"/>
            <w:vMerge w:val="continue"/>
            <w:vAlign w:val="center"/>
          </w:tcPr>
          <w:p w14:paraId="6D57442F">
            <w:pPr>
              <w:pStyle w:val="33"/>
              <w:rPr>
                <w:color w:val="auto"/>
              </w:rPr>
            </w:pPr>
          </w:p>
        </w:tc>
        <w:tc>
          <w:tcPr>
            <w:tcW w:w="371" w:type="pct"/>
            <w:vMerge w:val="continue"/>
            <w:vAlign w:val="center"/>
          </w:tcPr>
          <w:p w14:paraId="47DFBBC1">
            <w:pPr>
              <w:pStyle w:val="33"/>
              <w:rPr>
                <w:color w:val="auto"/>
              </w:rPr>
            </w:pPr>
          </w:p>
        </w:tc>
        <w:tc>
          <w:tcPr>
            <w:tcW w:w="298" w:type="pct"/>
            <w:vMerge w:val="continue"/>
            <w:vAlign w:val="center"/>
          </w:tcPr>
          <w:p w14:paraId="6D32BE8A">
            <w:pPr>
              <w:pStyle w:val="33"/>
              <w:rPr>
                <w:color w:val="auto"/>
              </w:rPr>
            </w:pPr>
          </w:p>
        </w:tc>
        <w:tc>
          <w:tcPr>
            <w:tcW w:w="274" w:type="pct"/>
            <w:vAlign w:val="center"/>
          </w:tcPr>
          <w:p w14:paraId="4EC4B5C2">
            <w:pPr>
              <w:pStyle w:val="33"/>
              <w:rPr>
                <w:color w:val="auto"/>
              </w:rPr>
            </w:pPr>
            <w:r>
              <w:rPr>
                <w:color w:val="auto"/>
              </w:rPr>
              <w:t>产生速率(kg/h)</w:t>
            </w:r>
          </w:p>
        </w:tc>
        <w:tc>
          <w:tcPr>
            <w:tcW w:w="283" w:type="pct"/>
            <w:vAlign w:val="center"/>
          </w:tcPr>
          <w:p w14:paraId="6B7DB69B">
            <w:pPr>
              <w:pStyle w:val="33"/>
              <w:rPr>
                <w:color w:val="auto"/>
              </w:rPr>
            </w:pPr>
            <w:r>
              <w:rPr>
                <w:color w:val="auto"/>
              </w:rPr>
              <w:t>产生量(t/a)</w:t>
            </w:r>
          </w:p>
        </w:tc>
        <w:tc>
          <w:tcPr>
            <w:tcW w:w="334" w:type="pct"/>
            <w:vAlign w:val="center"/>
          </w:tcPr>
          <w:p w14:paraId="50D33E0F">
            <w:pPr>
              <w:pStyle w:val="33"/>
              <w:rPr>
                <w:color w:val="auto"/>
              </w:rPr>
            </w:pPr>
            <w:r>
              <w:rPr>
                <w:color w:val="auto"/>
              </w:rPr>
              <w:t>产生浓度(mg/m</w:t>
            </w:r>
            <w:r>
              <w:rPr>
                <w:color w:val="auto"/>
                <w:vertAlign w:val="superscript"/>
              </w:rPr>
              <w:t>3</w:t>
            </w:r>
            <w:r>
              <w:rPr>
                <w:color w:val="auto"/>
              </w:rPr>
              <w:t>)</w:t>
            </w:r>
          </w:p>
        </w:tc>
        <w:tc>
          <w:tcPr>
            <w:tcW w:w="211" w:type="pct"/>
            <w:vMerge w:val="continue"/>
            <w:vAlign w:val="center"/>
          </w:tcPr>
          <w:p w14:paraId="5300B910">
            <w:pPr>
              <w:pStyle w:val="33"/>
              <w:rPr>
                <w:color w:val="auto"/>
              </w:rPr>
            </w:pPr>
          </w:p>
        </w:tc>
        <w:tc>
          <w:tcPr>
            <w:tcW w:w="285" w:type="pct"/>
            <w:vMerge w:val="continue"/>
            <w:vAlign w:val="center"/>
          </w:tcPr>
          <w:p w14:paraId="5DC87F11">
            <w:pPr>
              <w:pStyle w:val="33"/>
              <w:rPr>
                <w:color w:val="auto"/>
              </w:rPr>
            </w:pPr>
          </w:p>
        </w:tc>
        <w:tc>
          <w:tcPr>
            <w:tcW w:w="328" w:type="pct"/>
            <w:vAlign w:val="center"/>
          </w:tcPr>
          <w:p w14:paraId="6FBF8A5C">
            <w:pPr>
              <w:pStyle w:val="33"/>
              <w:rPr>
                <w:color w:val="auto"/>
              </w:rPr>
            </w:pPr>
            <w:r>
              <w:rPr>
                <w:color w:val="auto"/>
              </w:rPr>
              <w:t>排放速率(kg/h)</w:t>
            </w:r>
          </w:p>
        </w:tc>
        <w:tc>
          <w:tcPr>
            <w:tcW w:w="337" w:type="pct"/>
            <w:vAlign w:val="center"/>
          </w:tcPr>
          <w:p w14:paraId="222BEDCD">
            <w:pPr>
              <w:pStyle w:val="33"/>
              <w:rPr>
                <w:color w:val="auto"/>
              </w:rPr>
            </w:pPr>
            <w:r>
              <w:rPr>
                <w:color w:val="auto"/>
              </w:rPr>
              <w:t>排放量(t/a)</w:t>
            </w:r>
          </w:p>
        </w:tc>
        <w:tc>
          <w:tcPr>
            <w:tcW w:w="335" w:type="pct"/>
            <w:vAlign w:val="center"/>
          </w:tcPr>
          <w:p w14:paraId="0A4E870D">
            <w:pPr>
              <w:pStyle w:val="33"/>
              <w:rPr>
                <w:color w:val="auto"/>
              </w:rPr>
            </w:pPr>
            <w:r>
              <w:rPr>
                <w:color w:val="auto"/>
              </w:rPr>
              <w:t>排放浓度(mg/m</w:t>
            </w:r>
            <w:r>
              <w:rPr>
                <w:color w:val="auto"/>
                <w:vertAlign w:val="superscript"/>
              </w:rPr>
              <w:t>3</w:t>
            </w:r>
            <w:r>
              <w:rPr>
                <w:color w:val="auto"/>
              </w:rPr>
              <w:t>)</w:t>
            </w:r>
          </w:p>
        </w:tc>
        <w:tc>
          <w:tcPr>
            <w:tcW w:w="257" w:type="pct"/>
            <w:vMerge w:val="continue"/>
            <w:vAlign w:val="center"/>
          </w:tcPr>
          <w:p w14:paraId="019FAC55">
            <w:pPr>
              <w:pStyle w:val="33"/>
              <w:rPr>
                <w:color w:val="auto"/>
              </w:rPr>
            </w:pPr>
          </w:p>
        </w:tc>
        <w:tc>
          <w:tcPr>
            <w:tcW w:w="263" w:type="pct"/>
            <w:vAlign w:val="center"/>
          </w:tcPr>
          <w:p w14:paraId="65A2EB9A">
            <w:pPr>
              <w:pStyle w:val="33"/>
              <w:rPr>
                <w:color w:val="auto"/>
              </w:rPr>
            </w:pPr>
            <w:r>
              <w:rPr>
                <w:color w:val="auto"/>
              </w:rPr>
              <w:t>高度/直径(m)</w:t>
            </w:r>
          </w:p>
        </w:tc>
        <w:tc>
          <w:tcPr>
            <w:tcW w:w="201" w:type="pct"/>
            <w:vAlign w:val="center"/>
          </w:tcPr>
          <w:p w14:paraId="36357207">
            <w:pPr>
              <w:pStyle w:val="33"/>
              <w:rPr>
                <w:color w:val="auto"/>
              </w:rPr>
            </w:pPr>
            <w:r>
              <w:rPr>
                <w:color w:val="auto"/>
              </w:rPr>
              <w:t>烟气温度(℃)</w:t>
            </w:r>
          </w:p>
        </w:tc>
        <w:tc>
          <w:tcPr>
            <w:tcW w:w="277" w:type="pct"/>
            <w:vAlign w:val="center"/>
          </w:tcPr>
          <w:p w14:paraId="3B6437E2">
            <w:pPr>
              <w:pStyle w:val="33"/>
              <w:rPr>
                <w:color w:val="auto"/>
              </w:rPr>
            </w:pPr>
            <w:r>
              <w:rPr>
                <w:color w:val="auto"/>
              </w:rPr>
              <w:t>排气量(m</w:t>
            </w:r>
            <w:r>
              <w:rPr>
                <w:color w:val="auto"/>
                <w:vertAlign w:val="superscript"/>
              </w:rPr>
              <w:t>3</w:t>
            </w:r>
            <w:r>
              <w:rPr>
                <w:color w:val="auto"/>
              </w:rPr>
              <w:t>/h)</w:t>
            </w:r>
          </w:p>
        </w:tc>
        <w:tc>
          <w:tcPr>
            <w:tcW w:w="294" w:type="pct"/>
            <w:vAlign w:val="center"/>
          </w:tcPr>
          <w:p w14:paraId="0EC09B91">
            <w:pPr>
              <w:pStyle w:val="33"/>
              <w:rPr>
                <w:color w:val="auto"/>
              </w:rPr>
            </w:pPr>
            <w:r>
              <w:rPr>
                <w:color w:val="auto"/>
              </w:rPr>
              <w:t>编号</w:t>
            </w:r>
          </w:p>
        </w:tc>
      </w:tr>
      <w:tr w14:paraId="02084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003AEB37">
            <w:pPr>
              <w:pStyle w:val="33"/>
              <w:rPr>
                <w:color w:val="auto"/>
              </w:rPr>
            </w:pPr>
            <w:r>
              <w:rPr>
                <w:color w:val="auto"/>
              </w:rPr>
              <w:t>1</w:t>
            </w:r>
          </w:p>
        </w:tc>
        <w:tc>
          <w:tcPr>
            <w:tcW w:w="503" w:type="pct"/>
            <w:vMerge w:val="restart"/>
            <w:noWrap/>
            <w:vAlign w:val="center"/>
          </w:tcPr>
          <w:p w14:paraId="6F5E430B">
            <w:pPr>
              <w:pStyle w:val="33"/>
              <w:rPr>
                <w:color w:val="auto"/>
              </w:rPr>
            </w:pPr>
            <w:r>
              <w:rPr>
                <w:rFonts w:hint="eastAsia"/>
                <w:color w:val="auto"/>
                <w:sz w:val="20"/>
                <w:szCs w:val="20"/>
              </w:rPr>
              <w:t>集水池</w:t>
            </w:r>
          </w:p>
        </w:tc>
        <w:tc>
          <w:tcPr>
            <w:tcW w:w="371" w:type="pct"/>
            <w:noWrap/>
            <w:vAlign w:val="center"/>
          </w:tcPr>
          <w:p w14:paraId="0E3EE154">
            <w:pPr>
              <w:pStyle w:val="33"/>
              <w:rPr>
                <w:color w:val="auto"/>
              </w:rPr>
            </w:pPr>
            <w:r>
              <w:rPr>
                <w:color w:val="auto"/>
              </w:rPr>
              <w:t>NH</w:t>
            </w:r>
            <w:r>
              <w:rPr>
                <w:color w:val="auto"/>
                <w:vertAlign w:val="subscript"/>
              </w:rPr>
              <w:t>3</w:t>
            </w:r>
          </w:p>
        </w:tc>
        <w:tc>
          <w:tcPr>
            <w:tcW w:w="298" w:type="pct"/>
            <w:vMerge w:val="restart"/>
            <w:noWrap/>
            <w:vAlign w:val="center"/>
          </w:tcPr>
          <w:p w14:paraId="1D571DC6">
            <w:pPr>
              <w:pStyle w:val="33"/>
              <w:rPr>
                <w:color w:val="auto"/>
              </w:rPr>
            </w:pPr>
            <w:r>
              <w:rPr>
                <w:color w:val="auto"/>
              </w:rPr>
              <w:t>系数法</w:t>
            </w:r>
          </w:p>
        </w:tc>
        <w:tc>
          <w:tcPr>
            <w:tcW w:w="274" w:type="pct"/>
            <w:noWrap/>
            <w:vAlign w:val="center"/>
          </w:tcPr>
          <w:p w14:paraId="321DE8A2">
            <w:pPr>
              <w:pStyle w:val="33"/>
              <w:rPr>
                <w:color w:val="auto"/>
              </w:rPr>
            </w:pPr>
            <w:r>
              <w:rPr>
                <w:rFonts w:eastAsia="等线" w:cs="Times New Roman"/>
                <w:color w:val="auto"/>
                <w:sz w:val="20"/>
                <w:szCs w:val="20"/>
              </w:rPr>
              <w:t>0.0059</w:t>
            </w:r>
          </w:p>
        </w:tc>
        <w:tc>
          <w:tcPr>
            <w:tcW w:w="283" w:type="pct"/>
            <w:noWrap/>
            <w:vAlign w:val="center"/>
          </w:tcPr>
          <w:p w14:paraId="40724F11">
            <w:pPr>
              <w:pStyle w:val="33"/>
              <w:rPr>
                <w:color w:val="auto"/>
              </w:rPr>
            </w:pPr>
            <w:r>
              <w:rPr>
                <w:rFonts w:eastAsia="等线" w:cs="Times New Roman"/>
                <w:color w:val="auto"/>
                <w:sz w:val="20"/>
                <w:szCs w:val="20"/>
              </w:rPr>
              <w:t>0.0518</w:t>
            </w:r>
          </w:p>
        </w:tc>
        <w:tc>
          <w:tcPr>
            <w:tcW w:w="334" w:type="pct"/>
            <w:noWrap/>
            <w:vAlign w:val="center"/>
          </w:tcPr>
          <w:p w14:paraId="7C500C33">
            <w:pPr>
              <w:pStyle w:val="33"/>
              <w:rPr>
                <w:color w:val="auto"/>
              </w:rPr>
            </w:pPr>
            <w:r>
              <w:rPr>
                <w:rFonts w:eastAsia="等线" w:cs="Times New Roman"/>
                <w:color w:val="auto"/>
                <w:sz w:val="20"/>
                <w:szCs w:val="20"/>
              </w:rPr>
              <w:t>0.2365</w:t>
            </w:r>
          </w:p>
        </w:tc>
        <w:tc>
          <w:tcPr>
            <w:tcW w:w="211" w:type="pct"/>
            <w:vMerge w:val="restart"/>
            <w:vAlign w:val="center"/>
          </w:tcPr>
          <w:p w14:paraId="25F0F63E">
            <w:pPr>
              <w:pStyle w:val="33"/>
              <w:rPr>
                <w:color w:val="auto"/>
              </w:rPr>
            </w:pPr>
            <w:r>
              <w:rPr>
                <w:color w:val="auto"/>
              </w:rPr>
              <w:t>收集效率90%</w:t>
            </w:r>
          </w:p>
        </w:tc>
        <w:tc>
          <w:tcPr>
            <w:tcW w:w="285" w:type="pct"/>
            <w:vMerge w:val="restart"/>
            <w:vAlign w:val="center"/>
          </w:tcPr>
          <w:p w14:paraId="282369CA">
            <w:pPr>
              <w:pStyle w:val="33"/>
              <w:rPr>
                <w:color w:val="auto"/>
              </w:rPr>
            </w:pPr>
            <w:r>
              <w:rPr>
                <w:color w:val="auto"/>
              </w:rPr>
              <w:t>氨气90%，硫化氢95%</w:t>
            </w:r>
          </w:p>
        </w:tc>
        <w:tc>
          <w:tcPr>
            <w:tcW w:w="328" w:type="pct"/>
            <w:noWrap/>
            <w:vAlign w:val="center"/>
          </w:tcPr>
          <w:p w14:paraId="719E25E0">
            <w:pPr>
              <w:pStyle w:val="33"/>
              <w:rPr>
                <w:color w:val="auto"/>
              </w:rPr>
            </w:pPr>
            <w:r>
              <w:rPr>
                <w:rFonts w:eastAsia="等线" w:cs="Times New Roman"/>
                <w:color w:val="auto"/>
                <w:sz w:val="20"/>
                <w:szCs w:val="20"/>
              </w:rPr>
              <w:t>0.0005</w:t>
            </w:r>
          </w:p>
        </w:tc>
        <w:tc>
          <w:tcPr>
            <w:tcW w:w="337" w:type="pct"/>
            <w:noWrap/>
            <w:vAlign w:val="center"/>
          </w:tcPr>
          <w:p w14:paraId="5B1FE4C1">
            <w:pPr>
              <w:pStyle w:val="33"/>
              <w:rPr>
                <w:color w:val="auto"/>
              </w:rPr>
            </w:pPr>
            <w:r>
              <w:rPr>
                <w:rFonts w:eastAsia="等线" w:cs="Times New Roman"/>
                <w:color w:val="auto"/>
                <w:sz w:val="20"/>
                <w:szCs w:val="20"/>
              </w:rPr>
              <w:t>0.0047</w:t>
            </w:r>
          </w:p>
        </w:tc>
        <w:tc>
          <w:tcPr>
            <w:tcW w:w="335" w:type="pct"/>
            <w:noWrap/>
            <w:vAlign w:val="center"/>
          </w:tcPr>
          <w:p w14:paraId="7197ACFB">
            <w:pPr>
              <w:pStyle w:val="33"/>
              <w:rPr>
                <w:color w:val="auto"/>
              </w:rPr>
            </w:pPr>
            <w:r>
              <w:rPr>
                <w:rFonts w:eastAsia="等线" w:cs="Times New Roman"/>
                <w:color w:val="auto"/>
                <w:sz w:val="20"/>
                <w:szCs w:val="20"/>
              </w:rPr>
              <w:t>0.0213</w:t>
            </w:r>
          </w:p>
        </w:tc>
        <w:tc>
          <w:tcPr>
            <w:tcW w:w="257" w:type="pct"/>
            <w:noWrap/>
            <w:vAlign w:val="center"/>
          </w:tcPr>
          <w:p w14:paraId="62D41676">
            <w:pPr>
              <w:pStyle w:val="33"/>
              <w:rPr>
                <w:color w:val="auto"/>
              </w:rPr>
            </w:pPr>
            <w:r>
              <w:rPr>
                <w:rFonts w:eastAsia="等线" w:cs="Times New Roman"/>
                <w:color w:val="auto"/>
                <w:sz w:val="20"/>
                <w:szCs w:val="20"/>
              </w:rPr>
              <w:t>4.9</w:t>
            </w:r>
          </w:p>
        </w:tc>
        <w:tc>
          <w:tcPr>
            <w:tcW w:w="263" w:type="pct"/>
            <w:vMerge w:val="restart"/>
            <w:noWrap/>
            <w:vAlign w:val="center"/>
          </w:tcPr>
          <w:p w14:paraId="7D6EA1AD">
            <w:pPr>
              <w:pStyle w:val="33"/>
              <w:rPr>
                <w:color w:val="auto"/>
              </w:rPr>
            </w:pPr>
            <w:r>
              <w:rPr>
                <w:rFonts w:hint="eastAsia"/>
                <w:color w:val="auto"/>
              </w:rPr>
              <w:t>1</w:t>
            </w:r>
            <w:r>
              <w:rPr>
                <w:color w:val="auto"/>
              </w:rPr>
              <w:t>5/</w:t>
            </w:r>
            <w:r>
              <w:rPr>
                <w:rFonts w:hint="eastAsia"/>
                <w:color w:val="auto"/>
              </w:rPr>
              <w:t>0.8</w:t>
            </w:r>
          </w:p>
        </w:tc>
        <w:tc>
          <w:tcPr>
            <w:tcW w:w="201" w:type="pct"/>
            <w:vMerge w:val="restart"/>
            <w:noWrap/>
            <w:vAlign w:val="center"/>
          </w:tcPr>
          <w:p w14:paraId="183D70DF">
            <w:pPr>
              <w:pStyle w:val="33"/>
              <w:rPr>
                <w:color w:val="auto"/>
              </w:rPr>
            </w:pPr>
            <w:r>
              <w:rPr>
                <w:color w:val="auto"/>
              </w:rPr>
              <w:t>25</w:t>
            </w:r>
          </w:p>
        </w:tc>
        <w:tc>
          <w:tcPr>
            <w:tcW w:w="277" w:type="pct"/>
            <w:vMerge w:val="restart"/>
            <w:noWrap/>
            <w:vAlign w:val="center"/>
          </w:tcPr>
          <w:p w14:paraId="081FDAC8">
            <w:pPr>
              <w:pStyle w:val="33"/>
              <w:rPr>
                <w:color w:val="auto"/>
              </w:rPr>
            </w:pPr>
            <w:r>
              <w:rPr>
                <w:rFonts w:hint="eastAsia"/>
                <w:color w:val="auto"/>
              </w:rPr>
              <w:t>25</w:t>
            </w:r>
            <w:r>
              <w:rPr>
                <w:color w:val="auto"/>
              </w:rPr>
              <w:t>000</w:t>
            </w:r>
          </w:p>
        </w:tc>
        <w:tc>
          <w:tcPr>
            <w:tcW w:w="294" w:type="pct"/>
            <w:vMerge w:val="restart"/>
            <w:noWrap/>
            <w:vAlign w:val="center"/>
          </w:tcPr>
          <w:p w14:paraId="579ECC16">
            <w:pPr>
              <w:pStyle w:val="33"/>
              <w:rPr>
                <w:color w:val="auto"/>
              </w:rPr>
            </w:pPr>
            <w:r>
              <w:rPr>
                <w:color w:val="auto"/>
              </w:rPr>
              <w:t>DA0</w:t>
            </w:r>
            <w:r>
              <w:rPr>
                <w:rFonts w:hint="eastAsia"/>
                <w:color w:val="auto"/>
              </w:rPr>
              <w:t>47</w:t>
            </w:r>
          </w:p>
        </w:tc>
      </w:tr>
      <w:tr w14:paraId="502D2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138A2644">
            <w:pPr>
              <w:pStyle w:val="33"/>
              <w:rPr>
                <w:color w:val="auto"/>
              </w:rPr>
            </w:pPr>
          </w:p>
        </w:tc>
        <w:tc>
          <w:tcPr>
            <w:tcW w:w="503" w:type="pct"/>
            <w:vMerge w:val="continue"/>
            <w:vAlign w:val="center"/>
          </w:tcPr>
          <w:p w14:paraId="35EAC763">
            <w:pPr>
              <w:pStyle w:val="33"/>
              <w:rPr>
                <w:color w:val="auto"/>
              </w:rPr>
            </w:pPr>
          </w:p>
        </w:tc>
        <w:tc>
          <w:tcPr>
            <w:tcW w:w="371" w:type="pct"/>
            <w:noWrap/>
            <w:vAlign w:val="center"/>
          </w:tcPr>
          <w:p w14:paraId="0AEFF2CA">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3241F059">
            <w:pPr>
              <w:pStyle w:val="33"/>
              <w:rPr>
                <w:color w:val="auto"/>
              </w:rPr>
            </w:pPr>
          </w:p>
        </w:tc>
        <w:tc>
          <w:tcPr>
            <w:tcW w:w="274" w:type="pct"/>
            <w:noWrap/>
            <w:vAlign w:val="center"/>
          </w:tcPr>
          <w:p w14:paraId="26AE4C51">
            <w:pPr>
              <w:pStyle w:val="33"/>
              <w:rPr>
                <w:color w:val="auto"/>
              </w:rPr>
            </w:pPr>
            <w:r>
              <w:rPr>
                <w:rFonts w:eastAsia="等线" w:cs="Times New Roman"/>
                <w:color w:val="auto"/>
                <w:sz w:val="20"/>
                <w:szCs w:val="20"/>
              </w:rPr>
              <w:t>0.0031</w:t>
            </w:r>
          </w:p>
        </w:tc>
        <w:tc>
          <w:tcPr>
            <w:tcW w:w="283" w:type="pct"/>
            <w:noWrap/>
            <w:vAlign w:val="center"/>
          </w:tcPr>
          <w:p w14:paraId="07B28BEE">
            <w:pPr>
              <w:pStyle w:val="33"/>
              <w:rPr>
                <w:color w:val="auto"/>
              </w:rPr>
            </w:pPr>
            <w:r>
              <w:rPr>
                <w:rFonts w:eastAsia="等线" w:cs="Times New Roman"/>
                <w:color w:val="auto"/>
                <w:sz w:val="20"/>
                <w:szCs w:val="20"/>
              </w:rPr>
              <w:t>0.0272</w:t>
            </w:r>
          </w:p>
        </w:tc>
        <w:tc>
          <w:tcPr>
            <w:tcW w:w="334" w:type="pct"/>
            <w:noWrap/>
            <w:vAlign w:val="center"/>
          </w:tcPr>
          <w:p w14:paraId="67AEEE65">
            <w:pPr>
              <w:pStyle w:val="33"/>
              <w:rPr>
                <w:color w:val="auto"/>
              </w:rPr>
            </w:pPr>
            <w:r>
              <w:rPr>
                <w:rFonts w:eastAsia="等线" w:cs="Times New Roman"/>
                <w:color w:val="auto"/>
                <w:sz w:val="20"/>
                <w:szCs w:val="20"/>
              </w:rPr>
              <w:t>0.1240</w:t>
            </w:r>
          </w:p>
        </w:tc>
        <w:tc>
          <w:tcPr>
            <w:tcW w:w="211" w:type="pct"/>
            <w:vMerge w:val="continue"/>
            <w:vAlign w:val="center"/>
          </w:tcPr>
          <w:p w14:paraId="3CFC76BA">
            <w:pPr>
              <w:pStyle w:val="33"/>
              <w:rPr>
                <w:color w:val="auto"/>
              </w:rPr>
            </w:pPr>
          </w:p>
        </w:tc>
        <w:tc>
          <w:tcPr>
            <w:tcW w:w="285" w:type="pct"/>
            <w:vMerge w:val="continue"/>
            <w:vAlign w:val="center"/>
          </w:tcPr>
          <w:p w14:paraId="3C6395D6">
            <w:pPr>
              <w:pStyle w:val="33"/>
              <w:rPr>
                <w:color w:val="auto"/>
              </w:rPr>
            </w:pPr>
          </w:p>
        </w:tc>
        <w:tc>
          <w:tcPr>
            <w:tcW w:w="328" w:type="pct"/>
            <w:noWrap/>
            <w:vAlign w:val="center"/>
          </w:tcPr>
          <w:p w14:paraId="53780B88">
            <w:pPr>
              <w:pStyle w:val="33"/>
              <w:rPr>
                <w:color w:val="auto"/>
              </w:rPr>
            </w:pPr>
            <w:r>
              <w:rPr>
                <w:rFonts w:eastAsia="等线" w:cs="Times New Roman"/>
                <w:color w:val="auto"/>
                <w:sz w:val="20"/>
                <w:szCs w:val="20"/>
              </w:rPr>
              <w:t>0.0001</w:t>
            </w:r>
          </w:p>
        </w:tc>
        <w:tc>
          <w:tcPr>
            <w:tcW w:w="337" w:type="pct"/>
            <w:noWrap/>
            <w:vAlign w:val="center"/>
          </w:tcPr>
          <w:p w14:paraId="3F5F439D">
            <w:pPr>
              <w:pStyle w:val="33"/>
              <w:rPr>
                <w:color w:val="auto"/>
              </w:rPr>
            </w:pPr>
            <w:r>
              <w:rPr>
                <w:rFonts w:eastAsia="等线" w:cs="Times New Roman"/>
                <w:color w:val="auto"/>
                <w:sz w:val="20"/>
                <w:szCs w:val="20"/>
              </w:rPr>
              <w:t>0.0012</w:t>
            </w:r>
          </w:p>
        </w:tc>
        <w:tc>
          <w:tcPr>
            <w:tcW w:w="335" w:type="pct"/>
            <w:noWrap/>
            <w:vAlign w:val="center"/>
          </w:tcPr>
          <w:p w14:paraId="44B1A465">
            <w:pPr>
              <w:pStyle w:val="33"/>
              <w:rPr>
                <w:color w:val="auto"/>
              </w:rPr>
            </w:pPr>
            <w:r>
              <w:rPr>
                <w:rFonts w:eastAsia="等线" w:cs="Times New Roman"/>
                <w:color w:val="auto"/>
                <w:sz w:val="20"/>
                <w:szCs w:val="20"/>
              </w:rPr>
              <w:t>0.0056</w:t>
            </w:r>
          </w:p>
        </w:tc>
        <w:tc>
          <w:tcPr>
            <w:tcW w:w="257" w:type="pct"/>
            <w:noWrap/>
            <w:vAlign w:val="center"/>
          </w:tcPr>
          <w:p w14:paraId="6DFC7FAB">
            <w:pPr>
              <w:pStyle w:val="33"/>
              <w:rPr>
                <w:color w:val="auto"/>
              </w:rPr>
            </w:pPr>
            <w:r>
              <w:rPr>
                <w:rFonts w:eastAsia="等线" w:cs="Times New Roman"/>
                <w:color w:val="auto"/>
                <w:sz w:val="20"/>
                <w:szCs w:val="20"/>
              </w:rPr>
              <w:t>0.33</w:t>
            </w:r>
          </w:p>
        </w:tc>
        <w:tc>
          <w:tcPr>
            <w:tcW w:w="263" w:type="pct"/>
            <w:vMerge w:val="continue"/>
            <w:vAlign w:val="center"/>
          </w:tcPr>
          <w:p w14:paraId="0ABAC02E">
            <w:pPr>
              <w:pStyle w:val="33"/>
              <w:rPr>
                <w:color w:val="auto"/>
              </w:rPr>
            </w:pPr>
          </w:p>
        </w:tc>
        <w:tc>
          <w:tcPr>
            <w:tcW w:w="201" w:type="pct"/>
            <w:vMerge w:val="continue"/>
            <w:vAlign w:val="center"/>
          </w:tcPr>
          <w:p w14:paraId="396B5E55">
            <w:pPr>
              <w:pStyle w:val="33"/>
              <w:rPr>
                <w:color w:val="auto"/>
              </w:rPr>
            </w:pPr>
          </w:p>
        </w:tc>
        <w:tc>
          <w:tcPr>
            <w:tcW w:w="277" w:type="pct"/>
            <w:vMerge w:val="continue"/>
            <w:vAlign w:val="center"/>
          </w:tcPr>
          <w:p w14:paraId="670EB081">
            <w:pPr>
              <w:pStyle w:val="33"/>
              <w:rPr>
                <w:color w:val="auto"/>
              </w:rPr>
            </w:pPr>
          </w:p>
        </w:tc>
        <w:tc>
          <w:tcPr>
            <w:tcW w:w="294" w:type="pct"/>
            <w:vMerge w:val="continue"/>
            <w:vAlign w:val="center"/>
          </w:tcPr>
          <w:p w14:paraId="39962599">
            <w:pPr>
              <w:pStyle w:val="33"/>
              <w:rPr>
                <w:color w:val="auto"/>
              </w:rPr>
            </w:pPr>
          </w:p>
        </w:tc>
      </w:tr>
      <w:tr w14:paraId="682DD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6EF79A24">
            <w:pPr>
              <w:pStyle w:val="33"/>
              <w:rPr>
                <w:color w:val="auto"/>
              </w:rPr>
            </w:pPr>
            <w:r>
              <w:rPr>
                <w:color w:val="auto"/>
              </w:rPr>
              <w:t>2</w:t>
            </w:r>
          </w:p>
        </w:tc>
        <w:tc>
          <w:tcPr>
            <w:tcW w:w="503" w:type="pct"/>
            <w:vMerge w:val="restart"/>
            <w:noWrap/>
            <w:vAlign w:val="center"/>
          </w:tcPr>
          <w:p w14:paraId="2BE147C6">
            <w:pPr>
              <w:pStyle w:val="33"/>
              <w:rPr>
                <w:color w:val="auto"/>
              </w:rPr>
            </w:pPr>
            <w:r>
              <w:rPr>
                <w:rFonts w:hint="eastAsia"/>
                <w:color w:val="auto"/>
                <w:sz w:val="20"/>
                <w:szCs w:val="20"/>
              </w:rPr>
              <w:t>初沉池</w:t>
            </w:r>
          </w:p>
        </w:tc>
        <w:tc>
          <w:tcPr>
            <w:tcW w:w="371" w:type="pct"/>
            <w:noWrap/>
            <w:vAlign w:val="center"/>
          </w:tcPr>
          <w:p w14:paraId="7C8B3198">
            <w:pPr>
              <w:pStyle w:val="33"/>
              <w:rPr>
                <w:color w:val="auto"/>
              </w:rPr>
            </w:pPr>
            <w:r>
              <w:rPr>
                <w:color w:val="auto"/>
              </w:rPr>
              <w:t>NH</w:t>
            </w:r>
            <w:r>
              <w:rPr>
                <w:color w:val="auto"/>
                <w:vertAlign w:val="subscript"/>
              </w:rPr>
              <w:t>3</w:t>
            </w:r>
          </w:p>
        </w:tc>
        <w:tc>
          <w:tcPr>
            <w:tcW w:w="298" w:type="pct"/>
            <w:vMerge w:val="continue"/>
            <w:vAlign w:val="center"/>
          </w:tcPr>
          <w:p w14:paraId="02FA9D0B">
            <w:pPr>
              <w:pStyle w:val="33"/>
              <w:rPr>
                <w:color w:val="auto"/>
              </w:rPr>
            </w:pPr>
          </w:p>
        </w:tc>
        <w:tc>
          <w:tcPr>
            <w:tcW w:w="274" w:type="pct"/>
            <w:noWrap/>
            <w:vAlign w:val="center"/>
          </w:tcPr>
          <w:p w14:paraId="6367562F">
            <w:pPr>
              <w:pStyle w:val="33"/>
              <w:rPr>
                <w:color w:val="auto"/>
              </w:rPr>
            </w:pPr>
            <w:r>
              <w:rPr>
                <w:rFonts w:eastAsia="等线" w:cs="Times New Roman"/>
                <w:color w:val="auto"/>
                <w:sz w:val="20"/>
                <w:szCs w:val="20"/>
              </w:rPr>
              <w:t>0.0025</w:t>
            </w:r>
          </w:p>
        </w:tc>
        <w:tc>
          <w:tcPr>
            <w:tcW w:w="283" w:type="pct"/>
            <w:noWrap/>
            <w:vAlign w:val="center"/>
          </w:tcPr>
          <w:p w14:paraId="0E6222D8">
            <w:pPr>
              <w:pStyle w:val="33"/>
              <w:rPr>
                <w:color w:val="auto"/>
              </w:rPr>
            </w:pPr>
            <w:r>
              <w:rPr>
                <w:rFonts w:eastAsia="等线" w:cs="Times New Roman"/>
                <w:color w:val="auto"/>
                <w:sz w:val="20"/>
                <w:szCs w:val="20"/>
              </w:rPr>
              <w:t>0.0216</w:t>
            </w:r>
          </w:p>
        </w:tc>
        <w:tc>
          <w:tcPr>
            <w:tcW w:w="334" w:type="pct"/>
            <w:noWrap/>
            <w:vAlign w:val="center"/>
          </w:tcPr>
          <w:p w14:paraId="65DF73CF">
            <w:pPr>
              <w:pStyle w:val="33"/>
              <w:rPr>
                <w:color w:val="auto"/>
              </w:rPr>
            </w:pPr>
            <w:r>
              <w:rPr>
                <w:rFonts w:eastAsia="等线" w:cs="Times New Roman"/>
                <w:color w:val="auto"/>
                <w:sz w:val="20"/>
                <w:szCs w:val="20"/>
              </w:rPr>
              <w:t>0.0988</w:t>
            </w:r>
          </w:p>
        </w:tc>
        <w:tc>
          <w:tcPr>
            <w:tcW w:w="211" w:type="pct"/>
            <w:vMerge w:val="continue"/>
            <w:vAlign w:val="center"/>
          </w:tcPr>
          <w:p w14:paraId="486AC702">
            <w:pPr>
              <w:pStyle w:val="33"/>
              <w:rPr>
                <w:color w:val="auto"/>
              </w:rPr>
            </w:pPr>
          </w:p>
        </w:tc>
        <w:tc>
          <w:tcPr>
            <w:tcW w:w="285" w:type="pct"/>
            <w:vMerge w:val="continue"/>
            <w:vAlign w:val="center"/>
          </w:tcPr>
          <w:p w14:paraId="43616667">
            <w:pPr>
              <w:pStyle w:val="33"/>
              <w:rPr>
                <w:color w:val="auto"/>
              </w:rPr>
            </w:pPr>
          </w:p>
        </w:tc>
        <w:tc>
          <w:tcPr>
            <w:tcW w:w="328" w:type="pct"/>
            <w:noWrap/>
            <w:vAlign w:val="center"/>
          </w:tcPr>
          <w:p w14:paraId="0AA24C9F">
            <w:pPr>
              <w:pStyle w:val="33"/>
              <w:rPr>
                <w:color w:val="auto"/>
              </w:rPr>
            </w:pPr>
            <w:r>
              <w:rPr>
                <w:rFonts w:eastAsia="等线" w:cs="Times New Roman"/>
                <w:color w:val="auto"/>
                <w:sz w:val="20"/>
                <w:szCs w:val="20"/>
              </w:rPr>
              <w:t>0.0002</w:t>
            </w:r>
          </w:p>
        </w:tc>
        <w:tc>
          <w:tcPr>
            <w:tcW w:w="337" w:type="pct"/>
            <w:noWrap/>
            <w:vAlign w:val="center"/>
          </w:tcPr>
          <w:p w14:paraId="0F622304">
            <w:pPr>
              <w:pStyle w:val="33"/>
              <w:rPr>
                <w:color w:val="auto"/>
              </w:rPr>
            </w:pPr>
            <w:r>
              <w:rPr>
                <w:rFonts w:eastAsia="等线" w:cs="Times New Roman"/>
                <w:color w:val="auto"/>
                <w:sz w:val="20"/>
                <w:szCs w:val="20"/>
              </w:rPr>
              <w:t>0.0019</w:t>
            </w:r>
          </w:p>
        </w:tc>
        <w:tc>
          <w:tcPr>
            <w:tcW w:w="335" w:type="pct"/>
            <w:noWrap/>
            <w:vAlign w:val="center"/>
          </w:tcPr>
          <w:p w14:paraId="42E60D38">
            <w:pPr>
              <w:pStyle w:val="33"/>
              <w:rPr>
                <w:color w:val="auto"/>
              </w:rPr>
            </w:pPr>
            <w:r>
              <w:rPr>
                <w:rFonts w:eastAsia="等线" w:cs="Times New Roman"/>
                <w:color w:val="auto"/>
                <w:sz w:val="20"/>
                <w:szCs w:val="20"/>
              </w:rPr>
              <w:t>0.0089</w:t>
            </w:r>
          </w:p>
        </w:tc>
        <w:tc>
          <w:tcPr>
            <w:tcW w:w="257" w:type="pct"/>
            <w:noWrap/>
            <w:vAlign w:val="center"/>
          </w:tcPr>
          <w:p w14:paraId="0E96031A">
            <w:pPr>
              <w:pStyle w:val="33"/>
              <w:rPr>
                <w:color w:val="auto"/>
              </w:rPr>
            </w:pPr>
            <w:r>
              <w:rPr>
                <w:rFonts w:eastAsia="等线" w:cs="Times New Roman"/>
                <w:color w:val="auto"/>
                <w:sz w:val="20"/>
                <w:szCs w:val="20"/>
              </w:rPr>
              <w:t>4.9</w:t>
            </w:r>
          </w:p>
        </w:tc>
        <w:tc>
          <w:tcPr>
            <w:tcW w:w="263" w:type="pct"/>
            <w:vMerge w:val="continue"/>
            <w:vAlign w:val="center"/>
          </w:tcPr>
          <w:p w14:paraId="2C01A32F">
            <w:pPr>
              <w:pStyle w:val="33"/>
              <w:rPr>
                <w:color w:val="auto"/>
              </w:rPr>
            </w:pPr>
          </w:p>
        </w:tc>
        <w:tc>
          <w:tcPr>
            <w:tcW w:w="201" w:type="pct"/>
            <w:vMerge w:val="continue"/>
            <w:vAlign w:val="center"/>
          </w:tcPr>
          <w:p w14:paraId="55DE1864">
            <w:pPr>
              <w:pStyle w:val="33"/>
              <w:rPr>
                <w:color w:val="auto"/>
              </w:rPr>
            </w:pPr>
          </w:p>
        </w:tc>
        <w:tc>
          <w:tcPr>
            <w:tcW w:w="277" w:type="pct"/>
            <w:vMerge w:val="continue"/>
            <w:vAlign w:val="center"/>
          </w:tcPr>
          <w:p w14:paraId="445A97C2">
            <w:pPr>
              <w:pStyle w:val="33"/>
              <w:rPr>
                <w:color w:val="auto"/>
              </w:rPr>
            </w:pPr>
          </w:p>
        </w:tc>
        <w:tc>
          <w:tcPr>
            <w:tcW w:w="294" w:type="pct"/>
            <w:vMerge w:val="continue"/>
            <w:vAlign w:val="center"/>
          </w:tcPr>
          <w:p w14:paraId="627CC8BD">
            <w:pPr>
              <w:pStyle w:val="33"/>
              <w:rPr>
                <w:color w:val="auto"/>
              </w:rPr>
            </w:pPr>
          </w:p>
        </w:tc>
      </w:tr>
      <w:tr w14:paraId="19DA0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429CB465">
            <w:pPr>
              <w:pStyle w:val="33"/>
              <w:rPr>
                <w:color w:val="auto"/>
              </w:rPr>
            </w:pPr>
          </w:p>
        </w:tc>
        <w:tc>
          <w:tcPr>
            <w:tcW w:w="503" w:type="pct"/>
            <w:vMerge w:val="continue"/>
            <w:vAlign w:val="center"/>
          </w:tcPr>
          <w:p w14:paraId="10C15C0A">
            <w:pPr>
              <w:pStyle w:val="33"/>
              <w:rPr>
                <w:color w:val="auto"/>
              </w:rPr>
            </w:pPr>
          </w:p>
        </w:tc>
        <w:tc>
          <w:tcPr>
            <w:tcW w:w="371" w:type="pct"/>
            <w:noWrap/>
            <w:vAlign w:val="center"/>
          </w:tcPr>
          <w:p w14:paraId="64F49AD6">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16E4EE38">
            <w:pPr>
              <w:pStyle w:val="33"/>
              <w:rPr>
                <w:color w:val="auto"/>
              </w:rPr>
            </w:pPr>
          </w:p>
        </w:tc>
        <w:tc>
          <w:tcPr>
            <w:tcW w:w="274" w:type="pct"/>
            <w:noWrap/>
            <w:vAlign w:val="center"/>
          </w:tcPr>
          <w:p w14:paraId="67939217">
            <w:pPr>
              <w:pStyle w:val="33"/>
              <w:rPr>
                <w:color w:val="auto"/>
              </w:rPr>
            </w:pPr>
            <w:r>
              <w:rPr>
                <w:rFonts w:eastAsia="等线" w:cs="Times New Roman"/>
                <w:color w:val="auto"/>
                <w:sz w:val="20"/>
                <w:szCs w:val="20"/>
              </w:rPr>
              <w:t>0.0004</w:t>
            </w:r>
          </w:p>
        </w:tc>
        <w:tc>
          <w:tcPr>
            <w:tcW w:w="283" w:type="pct"/>
            <w:noWrap/>
            <w:vAlign w:val="center"/>
          </w:tcPr>
          <w:p w14:paraId="23585B97">
            <w:pPr>
              <w:pStyle w:val="33"/>
              <w:rPr>
                <w:color w:val="auto"/>
              </w:rPr>
            </w:pPr>
            <w:r>
              <w:rPr>
                <w:rFonts w:eastAsia="等线" w:cs="Times New Roman"/>
                <w:color w:val="auto"/>
                <w:sz w:val="20"/>
                <w:szCs w:val="20"/>
              </w:rPr>
              <w:t>0.0038</w:t>
            </w:r>
          </w:p>
        </w:tc>
        <w:tc>
          <w:tcPr>
            <w:tcW w:w="334" w:type="pct"/>
            <w:noWrap/>
            <w:vAlign w:val="center"/>
          </w:tcPr>
          <w:p w14:paraId="0FBE8487">
            <w:pPr>
              <w:pStyle w:val="33"/>
              <w:rPr>
                <w:color w:val="auto"/>
              </w:rPr>
            </w:pPr>
            <w:r>
              <w:rPr>
                <w:rFonts w:eastAsia="等线" w:cs="Times New Roman"/>
                <w:color w:val="auto"/>
                <w:sz w:val="20"/>
                <w:szCs w:val="20"/>
              </w:rPr>
              <w:t>0.0172</w:t>
            </w:r>
          </w:p>
        </w:tc>
        <w:tc>
          <w:tcPr>
            <w:tcW w:w="211" w:type="pct"/>
            <w:vMerge w:val="continue"/>
            <w:vAlign w:val="center"/>
          </w:tcPr>
          <w:p w14:paraId="1AEEEC43">
            <w:pPr>
              <w:pStyle w:val="33"/>
              <w:rPr>
                <w:color w:val="auto"/>
              </w:rPr>
            </w:pPr>
          </w:p>
        </w:tc>
        <w:tc>
          <w:tcPr>
            <w:tcW w:w="285" w:type="pct"/>
            <w:vMerge w:val="continue"/>
            <w:vAlign w:val="center"/>
          </w:tcPr>
          <w:p w14:paraId="5AEA892D">
            <w:pPr>
              <w:pStyle w:val="33"/>
              <w:rPr>
                <w:color w:val="auto"/>
              </w:rPr>
            </w:pPr>
          </w:p>
        </w:tc>
        <w:tc>
          <w:tcPr>
            <w:tcW w:w="328" w:type="pct"/>
            <w:noWrap/>
            <w:vAlign w:val="center"/>
          </w:tcPr>
          <w:p w14:paraId="729D5E15">
            <w:pPr>
              <w:pStyle w:val="33"/>
              <w:rPr>
                <w:color w:val="auto"/>
              </w:rPr>
            </w:pPr>
            <w:r>
              <w:rPr>
                <w:rFonts w:eastAsia="等线" w:cs="Times New Roman"/>
                <w:color w:val="auto"/>
                <w:sz w:val="20"/>
                <w:szCs w:val="20"/>
              </w:rPr>
              <w:t>0.0000</w:t>
            </w:r>
          </w:p>
        </w:tc>
        <w:tc>
          <w:tcPr>
            <w:tcW w:w="337" w:type="pct"/>
            <w:noWrap/>
            <w:vAlign w:val="center"/>
          </w:tcPr>
          <w:p w14:paraId="1A2F4A8F">
            <w:pPr>
              <w:pStyle w:val="33"/>
              <w:rPr>
                <w:color w:val="auto"/>
              </w:rPr>
            </w:pPr>
            <w:r>
              <w:rPr>
                <w:rFonts w:eastAsia="等线" w:cs="Times New Roman"/>
                <w:color w:val="auto"/>
                <w:sz w:val="20"/>
                <w:szCs w:val="20"/>
              </w:rPr>
              <w:t>0.0002</w:t>
            </w:r>
          </w:p>
        </w:tc>
        <w:tc>
          <w:tcPr>
            <w:tcW w:w="335" w:type="pct"/>
            <w:noWrap/>
            <w:vAlign w:val="center"/>
          </w:tcPr>
          <w:p w14:paraId="234C1E67">
            <w:pPr>
              <w:pStyle w:val="33"/>
              <w:rPr>
                <w:color w:val="auto"/>
              </w:rPr>
            </w:pPr>
            <w:r>
              <w:rPr>
                <w:rFonts w:eastAsia="等线" w:cs="Times New Roman"/>
                <w:color w:val="auto"/>
                <w:sz w:val="20"/>
                <w:szCs w:val="20"/>
              </w:rPr>
              <w:t>0.0008</w:t>
            </w:r>
          </w:p>
        </w:tc>
        <w:tc>
          <w:tcPr>
            <w:tcW w:w="257" w:type="pct"/>
            <w:noWrap/>
            <w:vAlign w:val="center"/>
          </w:tcPr>
          <w:p w14:paraId="3A370FB6">
            <w:pPr>
              <w:pStyle w:val="33"/>
              <w:rPr>
                <w:color w:val="auto"/>
              </w:rPr>
            </w:pPr>
            <w:r>
              <w:rPr>
                <w:rFonts w:eastAsia="等线" w:cs="Times New Roman"/>
                <w:color w:val="auto"/>
                <w:sz w:val="20"/>
                <w:szCs w:val="20"/>
              </w:rPr>
              <w:t>0.33</w:t>
            </w:r>
          </w:p>
        </w:tc>
        <w:tc>
          <w:tcPr>
            <w:tcW w:w="263" w:type="pct"/>
            <w:vMerge w:val="continue"/>
            <w:vAlign w:val="center"/>
          </w:tcPr>
          <w:p w14:paraId="6D629F18">
            <w:pPr>
              <w:pStyle w:val="33"/>
              <w:rPr>
                <w:color w:val="auto"/>
              </w:rPr>
            </w:pPr>
          </w:p>
        </w:tc>
        <w:tc>
          <w:tcPr>
            <w:tcW w:w="201" w:type="pct"/>
            <w:vMerge w:val="continue"/>
            <w:vAlign w:val="center"/>
          </w:tcPr>
          <w:p w14:paraId="7B7E3DB9">
            <w:pPr>
              <w:pStyle w:val="33"/>
              <w:rPr>
                <w:color w:val="auto"/>
              </w:rPr>
            </w:pPr>
          </w:p>
        </w:tc>
        <w:tc>
          <w:tcPr>
            <w:tcW w:w="277" w:type="pct"/>
            <w:vMerge w:val="continue"/>
            <w:vAlign w:val="center"/>
          </w:tcPr>
          <w:p w14:paraId="3512D287">
            <w:pPr>
              <w:pStyle w:val="33"/>
              <w:rPr>
                <w:color w:val="auto"/>
              </w:rPr>
            </w:pPr>
          </w:p>
        </w:tc>
        <w:tc>
          <w:tcPr>
            <w:tcW w:w="294" w:type="pct"/>
            <w:vMerge w:val="continue"/>
            <w:vAlign w:val="center"/>
          </w:tcPr>
          <w:p w14:paraId="2E23434F">
            <w:pPr>
              <w:pStyle w:val="33"/>
              <w:rPr>
                <w:color w:val="auto"/>
              </w:rPr>
            </w:pPr>
          </w:p>
        </w:tc>
      </w:tr>
      <w:tr w14:paraId="5319D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5C0CAE8E">
            <w:pPr>
              <w:pStyle w:val="33"/>
              <w:rPr>
                <w:color w:val="auto"/>
              </w:rPr>
            </w:pPr>
            <w:r>
              <w:rPr>
                <w:color w:val="auto"/>
              </w:rPr>
              <w:t>3</w:t>
            </w:r>
          </w:p>
        </w:tc>
        <w:tc>
          <w:tcPr>
            <w:tcW w:w="503" w:type="pct"/>
            <w:vMerge w:val="restart"/>
            <w:noWrap/>
            <w:vAlign w:val="center"/>
          </w:tcPr>
          <w:p w14:paraId="6D915B65">
            <w:pPr>
              <w:pStyle w:val="33"/>
              <w:rPr>
                <w:color w:val="auto"/>
              </w:rPr>
            </w:pPr>
            <w:r>
              <w:rPr>
                <w:rFonts w:hint="eastAsia"/>
                <w:color w:val="auto"/>
                <w:sz w:val="20"/>
                <w:szCs w:val="20"/>
              </w:rPr>
              <w:t>曝气池</w:t>
            </w:r>
          </w:p>
        </w:tc>
        <w:tc>
          <w:tcPr>
            <w:tcW w:w="371" w:type="pct"/>
            <w:noWrap/>
            <w:vAlign w:val="center"/>
          </w:tcPr>
          <w:p w14:paraId="7C6C1B69">
            <w:pPr>
              <w:pStyle w:val="33"/>
              <w:rPr>
                <w:color w:val="auto"/>
              </w:rPr>
            </w:pPr>
            <w:r>
              <w:rPr>
                <w:color w:val="auto"/>
              </w:rPr>
              <w:t>NH</w:t>
            </w:r>
            <w:r>
              <w:rPr>
                <w:color w:val="auto"/>
                <w:vertAlign w:val="subscript"/>
              </w:rPr>
              <w:t>3</w:t>
            </w:r>
          </w:p>
        </w:tc>
        <w:tc>
          <w:tcPr>
            <w:tcW w:w="298" w:type="pct"/>
            <w:vMerge w:val="continue"/>
            <w:vAlign w:val="center"/>
          </w:tcPr>
          <w:p w14:paraId="5A6496BC">
            <w:pPr>
              <w:pStyle w:val="33"/>
              <w:rPr>
                <w:color w:val="auto"/>
              </w:rPr>
            </w:pPr>
          </w:p>
        </w:tc>
        <w:tc>
          <w:tcPr>
            <w:tcW w:w="274" w:type="pct"/>
            <w:noWrap/>
            <w:vAlign w:val="center"/>
          </w:tcPr>
          <w:p w14:paraId="5FF7936B">
            <w:pPr>
              <w:pStyle w:val="33"/>
              <w:rPr>
                <w:color w:val="auto"/>
              </w:rPr>
            </w:pPr>
            <w:r>
              <w:rPr>
                <w:rFonts w:eastAsia="等线" w:cs="Times New Roman"/>
                <w:color w:val="auto"/>
                <w:sz w:val="20"/>
                <w:szCs w:val="20"/>
              </w:rPr>
              <w:t>0.0086</w:t>
            </w:r>
          </w:p>
        </w:tc>
        <w:tc>
          <w:tcPr>
            <w:tcW w:w="283" w:type="pct"/>
            <w:noWrap/>
            <w:vAlign w:val="center"/>
          </w:tcPr>
          <w:p w14:paraId="37DF6A01">
            <w:pPr>
              <w:pStyle w:val="33"/>
              <w:rPr>
                <w:color w:val="auto"/>
              </w:rPr>
            </w:pPr>
            <w:r>
              <w:rPr>
                <w:rFonts w:eastAsia="等线" w:cs="Times New Roman"/>
                <w:color w:val="auto"/>
                <w:sz w:val="20"/>
                <w:szCs w:val="20"/>
              </w:rPr>
              <w:t>0.0755</w:t>
            </w:r>
          </w:p>
        </w:tc>
        <w:tc>
          <w:tcPr>
            <w:tcW w:w="334" w:type="pct"/>
            <w:noWrap/>
            <w:vAlign w:val="center"/>
          </w:tcPr>
          <w:p w14:paraId="10F2850E">
            <w:pPr>
              <w:pStyle w:val="33"/>
              <w:rPr>
                <w:color w:val="auto"/>
              </w:rPr>
            </w:pPr>
            <w:r>
              <w:rPr>
                <w:rFonts w:eastAsia="等线" w:cs="Times New Roman"/>
                <w:color w:val="auto"/>
                <w:sz w:val="20"/>
                <w:szCs w:val="20"/>
              </w:rPr>
              <w:t>0.3450</w:t>
            </w:r>
          </w:p>
        </w:tc>
        <w:tc>
          <w:tcPr>
            <w:tcW w:w="211" w:type="pct"/>
            <w:vMerge w:val="continue"/>
            <w:vAlign w:val="center"/>
          </w:tcPr>
          <w:p w14:paraId="42E711A6">
            <w:pPr>
              <w:pStyle w:val="33"/>
              <w:rPr>
                <w:color w:val="auto"/>
              </w:rPr>
            </w:pPr>
          </w:p>
        </w:tc>
        <w:tc>
          <w:tcPr>
            <w:tcW w:w="285" w:type="pct"/>
            <w:vMerge w:val="continue"/>
            <w:vAlign w:val="center"/>
          </w:tcPr>
          <w:p w14:paraId="359CE38C">
            <w:pPr>
              <w:pStyle w:val="33"/>
              <w:rPr>
                <w:color w:val="auto"/>
              </w:rPr>
            </w:pPr>
          </w:p>
        </w:tc>
        <w:tc>
          <w:tcPr>
            <w:tcW w:w="328" w:type="pct"/>
            <w:noWrap/>
            <w:vAlign w:val="center"/>
          </w:tcPr>
          <w:p w14:paraId="5ED24E52">
            <w:pPr>
              <w:pStyle w:val="33"/>
              <w:rPr>
                <w:color w:val="auto"/>
              </w:rPr>
            </w:pPr>
            <w:r>
              <w:rPr>
                <w:rFonts w:eastAsia="等线" w:cs="Times New Roman"/>
                <w:color w:val="auto"/>
                <w:sz w:val="20"/>
                <w:szCs w:val="20"/>
              </w:rPr>
              <w:t>0.0008</w:t>
            </w:r>
          </w:p>
        </w:tc>
        <w:tc>
          <w:tcPr>
            <w:tcW w:w="337" w:type="pct"/>
            <w:noWrap/>
            <w:vAlign w:val="center"/>
          </w:tcPr>
          <w:p w14:paraId="45137F2C">
            <w:pPr>
              <w:pStyle w:val="33"/>
              <w:rPr>
                <w:color w:val="auto"/>
              </w:rPr>
            </w:pPr>
            <w:r>
              <w:rPr>
                <w:rFonts w:eastAsia="等线" w:cs="Times New Roman"/>
                <w:color w:val="auto"/>
                <w:sz w:val="20"/>
                <w:szCs w:val="20"/>
              </w:rPr>
              <w:t>0.0068</w:t>
            </w:r>
          </w:p>
        </w:tc>
        <w:tc>
          <w:tcPr>
            <w:tcW w:w="335" w:type="pct"/>
            <w:noWrap/>
            <w:vAlign w:val="center"/>
          </w:tcPr>
          <w:p w14:paraId="18029D98">
            <w:pPr>
              <w:pStyle w:val="33"/>
              <w:rPr>
                <w:color w:val="auto"/>
              </w:rPr>
            </w:pPr>
            <w:r>
              <w:rPr>
                <w:rFonts w:eastAsia="等线" w:cs="Times New Roman"/>
                <w:color w:val="auto"/>
                <w:sz w:val="20"/>
                <w:szCs w:val="20"/>
              </w:rPr>
              <w:t>0.0310</w:t>
            </w:r>
          </w:p>
        </w:tc>
        <w:tc>
          <w:tcPr>
            <w:tcW w:w="257" w:type="pct"/>
            <w:noWrap/>
            <w:vAlign w:val="center"/>
          </w:tcPr>
          <w:p w14:paraId="37648532">
            <w:pPr>
              <w:pStyle w:val="33"/>
              <w:rPr>
                <w:color w:val="auto"/>
              </w:rPr>
            </w:pPr>
            <w:r>
              <w:rPr>
                <w:rFonts w:eastAsia="等线" w:cs="Times New Roman"/>
                <w:color w:val="auto"/>
                <w:sz w:val="20"/>
                <w:szCs w:val="20"/>
              </w:rPr>
              <w:t>4.9</w:t>
            </w:r>
          </w:p>
        </w:tc>
        <w:tc>
          <w:tcPr>
            <w:tcW w:w="263" w:type="pct"/>
            <w:vMerge w:val="continue"/>
            <w:vAlign w:val="center"/>
          </w:tcPr>
          <w:p w14:paraId="265692C0">
            <w:pPr>
              <w:pStyle w:val="33"/>
              <w:rPr>
                <w:color w:val="auto"/>
              </w:rPr>
            </w:pPr>
          </w:p>
        </w:tc>
        <w:tc>
          <w:tcPr>
            <w:tcW w:w="201" w:type="pct"/>
            <w:vMerge w:val="continue"/>
            <w:vAlign w:val="center"/>
          </w:tcPr>
          <w:p w14:paraId="6248A371">
            <w:pPr>
              <w:pStyle w:val="33"/>
              <w:rPr>
                <w:color w:val="auto"/>
              </w:rPr>
            </w:pPr>
          </w:p>
        </w:tc>
        <w:tc>
          <w:tcPr>
            <w:tcW w:w="277" w:type="pct"/>
            <w:vMerge w:val="continue"/>
            <w:vAlign w:val="center"/>
          </w:tcPr>
          <w:p w14:paraId="17B32223">
            <w:pPr>
              <w:pStyle w:val="33"/>
              <w:rPr>
                <w:color w:val="auto"/>
              </w:rPr>
            </w:pPr>
          </w:p>
        </w:tc>
        <w:tc>
          <w:tcPr>
            <w:tcW w:w="294" w:type="pct"/>
            <w:vMerge w:val="continue"/>
            <w:vAlign w:val="center"/>
          </w:tcPr>
          <w:p w14:paraId="4E314466">
            <w:pPr>
              <w:pStyle w:val="33"/>
              <w:rPr>
                <w:color w:val="auto"/>
              </w:rPr>
            </w:pPr>
          </w:p>
        </w:tc>
      </w:tr>
      <w:tr w14:paraId="0921B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20BD87B8">
            <w:pPr>
              <w:pStyle w:val="33"/>
              <w:rPr>
                <w:color w:val="auto"/>
              </w:rPr>
            </w:pPr>
          </w:p>
        </w:tc>
        <w:tc>
          <w:tcPr>
            <w:tcW w:w="503" w:type="pct"/>
            <w:vMerge w:val="continue"/>
            <w:vAlign w:val="center"/>
          </w:tcPr>
          <w:p w14:paraId="220C6B79">
            <w:pPr>
              <w:pStyle w:val="33"/>
              <w:rPr>
                <w:color w:val="auto"/>
              </w:rPr>
            </w:pPr>
          </w:p>
        </w:tc>
        <w:tc>
          <w:tcPr>
            <w:tcW w:w="371" w:type="pct"/>
            <w:noWrap/>
            <w:vAlign w:val="center"/>
          </w:tcPr>
          <w:p w14:paraId="5183BB53">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45B64C19">
            <w:pPr>
              <w:pStyle w:val="33"/>
              <w:rPr>
                <w:color w:val="auto"/>
              </w:rPr>
            </w:pPr>
          </w:p>
        </w:tc>
        <w:tc>
          <w:tcPr>
            <w:tcW w:w="274" w:type="pct"/>
            <w:noWrap/>
            <w:vAlign w:val="center"/>
          </w:tcPr>
          <w:p w14:paraId="7D9238F7">
            <w:pPr>
              <w:pStyle w:val="33"/>
              <w:rPr>
                <w:color w:val="auto"/>
              </w:rPr>
            </w:pPr>
            <w:r>
              <w:rPr>
                <w:rFonts w:eastAsia="等线" w:cs="Times New Roman"/>
                <w:color w:val="auto"/>
                <w:sz w:val="20"/>
                <w:szCs w:val="20"/>
              </w:rPr>
              <w:t>0.0015</w:t>
            </w:r>
          </w:p>
        </w:tc>
        <w:tc>
          <w:tcPr>
            <w:tcW w:w="283" w:type="pct"/>
            <w:noWrap/>
            <w:vAlign w:val="center"/>
          </w:tcPr>
          <w:p w14:paraId="6DA04C6C">
            <w:pPr>
              <w:pStyle w:val="33"/>
              <w:rPr>
                <w:color w:val="auto"/>
              </w:rPr>
            </w:pPr>
            <w:r>
              <w:rPr>
                <w:rFonts w:eastAsia="等线" w:cs="Times New Roman"/>
                <w:color w:val="auto"/>
                <w:sz w:val="20"/>
                <w:szCs w:val="20"/>
              </w:rPr>
              <w:t>0.0132</w:t>
            </w:r>
          </w:p>
        </w:tc>
        <w:tc>
          <w:tcPr>
            <w:tcW w:w="334" w:type="pct"/>
            <w:noWrap/>
            <w:vAlign w:val="center"/>
          </w:tcPr>
          <w:p w14:paraId="39A0AC44">
            <w:pPr>
              <w:pStyle w:val="33"/>
              <w:rPr>
                <w:color w:val="auto"/>
              </w:rPr>
            </w:pPr>
            <w:r>
              <w:rPr>
                <w:rFonts w:eastAsia="等线" w:cs="Times New Roman"/>
                <w:color w:val="auto"/>
                <w:sz w:val="20"/>
                <w:szCs w:val="20"/>
              </w:rPr>
              <w:t>0.0601</w:t>
            </w:r>
          </w:p>
        </w:tc>
        <w:tc>
          <w:tcPr>
            <w:tcW w:w="211" w:type="pct"/>
            <w:vMerge w:val="continue"/>
            <w:vAlign w:val="center"/>
          </w:tcPr>
          <w:p w14:paraId="63FD8F3B">
            <w:pPr>
              <w:pStyle w:val="33"/>
              <w:rPr>
                <w:color w:val="auto"/>
              </w:rPr>
            </w:pPr>
          </w:p>
        </w:tc>
        <w:tc>
          <w:tcPr>
            <w:tcW w:w="285" w:type="pct"/>
            <w:vMerge w:val="continue"/>
            <w:vAlign w:val="center"/>
          </w:tcPr>
          <w:p w14:paraId="116CC52B">
            <w:pPr>
              <w:pStyle w:val="33"/>
              <w:rPr>
                <w:color w:val="auto"/>
              </w:rPr>
            </w:pPr>
          </w:p>
        </w:tc>
        <w:tc>
          <w:tcPr>
            <w:tcW w:w="328" w:type="pct"/>
            <w:noWrap/>
            <w:vAlign w:val="center"/>
          </w:tcPr>
          <w:p w14:paraId="14D4CA55">
            <w:pPr>
              <w:pStyle w:val="33"/>
              <w:rPr>
                <w:color w:val="auto"/>
              </w:rPr>
            </w:pPr>
            <w:r>
              <w:rPr>
                <w:rFonts w:eastAsia="等线" w:cs="Times New Roman"/>
                <w:color w:val="auto"/>
                <w:sz w:val="20"/>
                <w:szCs w:val="20"/>
              </w:rPr>
              <w:t>0.0001</w:t>
            </w:r>
          </w:p>
        </w:tc>
        <w:tc>
          <w:tcPr>
            <w:tcW w:w="337" w:type="pct"/>
            <w:noWrap/>
            <w:vAlign w:val="center"/>
          </w:tcPr>
          <w:p w14:paraId="4262CBD6">
            <w:pPr>
              <w:pStyle w:val="33"/>
              <w:rPr>
                <w:color w:val="auto"/>
              </w:rPr>
            </w:pPr>
            <w:r>
              <w:rPr>
                <w:rFonts w:eastAsia="等线" w:cs="Times New Roman"/>
                <w:color w:val="auto"/>
                <w:sz w:val="20"/>
                <w:szCs w:val="20"/>
              </w:rPr>
              <w:t>0.0006</w:t>
            </w:r>
          </w:p>
        </w:tc>
        <w:tc>
          <w:tcPr>
            <w:tcW w:w="335" w:type="pct"/>
            <w:noWrap/>
            <w:vAlign w:val="center"/>
          </w:tcPr>
          <w:p w14:paraId="6332A9FB">
            <w:pPr>
              <w:pStyle w:val="33"/>
              <w:rPr>
                <w:color w:val="auto"/>
              </w:rPr>
            </w:pPr>
            <w:r>
              <w:rPr>
                <w:rFonts w:eastAsia="等线" w:cs="Times New Roman"/>
                <w:color w:val="auto"/>
                <w:sz w:val="20"/>
                <w:szCs w:val="20"/>
              </w:rPr>
              <w:t>0.0027</w:t>
            </w:r>
          </w:p>
        </w:tc>
        <w:tc>
          <w:tcPr>
            <w:tcW w:w="257" w:type="pct"/>
            <w:noWrap/>
            <w:vAlign w:val="center"/>
          </w:tcPr>
          <w:p w14:paraId="29AFE8D6">
            <w:pPr>
              <w:pStyle w:val="33"/>
              <w:rPr>
                <w:color w:val="auto"/>
              </w:rPr>
            </w:pPr>
            <w:r>
              <w:rPr>
                <w:rFonts w:eastAsia="等线" w:cs="Times New Roman"/>
                <w:color w:val="auto"/>
                <w:sz w:val="20"/>
                <w:szCs w:val="20"/>
              </w:rPr>
              <w:t>0.33</w:t>
            </w:r>
          </w:p>
        </w:tc>
        <w:tc>
          <w:tcPr>
            <w:tcW w:w="263" w:type="pct"/>
            <w:vMerge w:val="continue"/>
            <w:vAlign w:val="center"/>
          </w:tcPr>
          <w:p w14:paraId="5C842DBC">
            <w:pPr>
              <w:pStyle w:val="33"/>
              <w:rPr>
                <w:color w:val="auto"/>
              </w:rPr>
            </w:pPr>
          </w:p>
        </w:tc>
        <w:tc>
          <w:tcPr>
            <w:tcW w:w="201" w:type="pct"/>
            <w:vMerge w:val="continue"/>
            <w:vAlign w:val="center"/>
          </w:tcPr>
          <w:p w14:paraId="55DB76E3">
            <w:pPr>
              <w:pStyle w:val="33"/>
              <w:rPr>
                <w:color w:val="auto"/>
              </w:rPr>
            </w:pPr>
          </w:p>
        </w:tc>
        <w:tc>
          <w:tcPr>
            <w:tcW w:w="277" w:type="pct"/>
            <w:vMerge w:val="continue"/>
            <w:vAlign w:val="center"/>
          </w:tcPr>
          <w:p w14:paraId="5F6CCA64">
            <w:pPr>
              <w:pStyle w:val="33"/>
              <w:rPr>
                <w:color w:val="auto"/>
              </w:rPr>
            </w:pPr>
          </w:p>
        </w:tc>
        <w:tc>
          <w:tcPr>
            <w:tcW w:w="294" w:type="pct"/>
            <w:vMerge w:val="continue"/>
            <w:vAlign w:val="center"/>
          </w:tcPr>
          <w:p w14:paraId="6B9D35B1">
            <w:pPr>
              <w:pStyle w:val="33"/>
              <w:rPr>
                <w:color w:val="auto"/>
              </w:rPr>
            </w:pPr>
          </w:p>
        </w:tc>
      </w:tr>
      <w:tr w14:paraId="5733E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6EBEBF51">
            <w:pPr>
              <w:pStyle w:val="33"/>
              <w:rPr>
                <w:color w:val="auto"/>
              </w:rPr>
            </w:pPr>
            <w:r>
              <w:rPr>
                <w:color w:val="auto"/>
              </w:rPr>
              <w:t>4</w:t>
            </w:r>
          </w:p>
        </w:tc>
        <w:tc>
          <w:tcPr>
            <w:tcW w:w="503" w:type="pct"/>
            <w:vMerge w:val="restart"/>
            <w:noWrap/>
            <w:vAlign w:val="center"/>
          </w:tcPr>
          <w:p w14:paraId="26BE759F">
            <w:pPr>
              <w:pStyle w:val="33"/>
              <w:rPr>
                <w:color w:val="auto"/>
              </w:rPr>
            </w:pPr>
            <w:r>
              <w:rPr>
                <w:rFonts w:hint="eastAsia"/>
                <w:color w:val="auto"/>
                <w:sz w:val="20"/>
                <w:szCs w:val="20"/>
              </w:rPr>
              <w:t>混凝反应池1</w:t>
            </w:r>
          </w:p>
        </w:tc>
        <w:tc>
          <w:tcPr>
            <w:tcW w:w="371" w:type="pct"/>
            <w:noWrap/>
            <w:vAlign w:val="center"/>
          </w:tcPr>
          <w:p w14:paraId="73B31D84">
            <w:pPr>
              <w:pStyle w:val="33"/>
              <w:rPr>
                <w:color w:val="auto"/>
              </w:rPr>
            </w:pPr>
            <w:r>
              <w:rPr>
                <w:color w:val="auto"/>
              </w:rPr>
              <w:t>NH</w:t>
            </w:r>
            <w:r>
              <w:rPr>
                <w:color w:val="auto"/>
                <w:vertAlign w:val="subscript"/>
              </w:rPr>
              <w:t>3</w:t>
            </w:r>
          </w:p>
        </w:tc>
        <w:tc>
          <w:tcPr>
            <w:tcW w:w="298" w:type="pct"/>
            <w:vMerge w:val="continue"/>
            <w:vAlign w:val="center"/>
          </w:tcPr>
          <w:p w14:paraId="3980391B">
            <w:pPr>
              <w:pStyle w:val="33"/>
              <w:rPr>
                <w:color w:val="auto"/>
              </w:rPr>
            </w:pPr>
          </w:p>
        </w:tc>
        <w:tc>
          <w:tcPr>
            <w:tcW w:w="274" w:type="pct"/>
            <w:noWrap/>
            <w:vAlign w:val="center"/>
          </w:tcPr>
          <w:p w14:paraId="071B86DF">
            <w:pPr>
              <w:pStyle w:val="33"/>
              <w:rPr>
                <w:color w:val="auto"/>
              </w:rPr>
            </w:pPr>
            <w:r>
              <w:rPr>
                <w:rFonts w:eastAsia="等线" w:cs="Times New Roman"/>
                <w:color w:val="auto"/>
                <w:sz w:val="20"/>
                <w:szCs w:val="20"/>
              </w:rPr>
              <w:t>0.0005</w:t>
            </w:r>
          </w:p>
        </w:tc>
        <w:tc>
          <w:tcPr>
            <w:tcW w:w="283" w:type="pct"/>
            <w:noWrap/>
            <w:vAlign w:val="center"/>
          </w:tcPr>
          <w:p w14:paraId="4611C61E">
            <w:pPr>
              <w:pStyle w:val="33"/>
              <w:rPr>
                <w:color w:val="auto"/>
              </w:rPr>
            </w:pPr>
            <w:r>
              <w:rPr>
                <w:rFonts w:eastAsia="等线" w:cs="Times New Roman"/>
                <w:color w:val="auto"/>
                <w:sz w:val="20"/>
                <w:szCs w:val="20"/>
              </w:rPr>
              <w:t>0.0043</w:t>
            </w:r>
          </w:p>
        </w:tc>
        <w:tc>
          <w:tcPr>
            <w:tcW w:w="334" w:type="pct"/>
            <w:noWrap/>
            <w:vAlign w:val="center"/>
          </w:tcPr>
          <w:p w14:paraId="32EA5413">
            <w:pPr>
              <w:pStyle w:val="33"/>
              <w:rPr>
                <w:color w:val="auto"/>
              </w:rPr>
            </w:pPr>
            <w:r>
              <w:rPr>
                <w:rFonts w:eastAsia="等线" w:cs="Times New Roman"/>
                <w:color w:val="auto"/>
                <w:sz w:val="20"/>
                <w:szCs w:val="20"/>
              </w:rPr>
              <w:t>0.0196</w:t>
            </w:r>
          </w:p>
        </w:tc>
        <w:tc>
          <w:tcPr>
            <w:tcW w:w="211" w:type="pct"/>
            <w:vMerge w:val="continue"/>
            <w:vAlign w:val="center"/>
          </w:tcPr>
          <w:p w14:paraId="62A83B4F">
            <w:pPr>
              <w:pStyle w:val="33"/>
              <w:rPr>
                <w:color w:val="auto"/>
              </w:rPr>
            </w:pPr>
          </w:p>
        </w:tc>
        <w:tc>
          <w:tcPr>
            <w:tcW w:w="285" w:type="pct"/>
            <w:vMerge w:val="continue"/>
            <w:vAlign w:val="center"/>
          </w:tcPr>
          <w:p w14:paraId="6AF840CE">
            <w:pPr>
              <w:pStyle w:val="33"/>
              <w:rPr>
                <w:color w:val="auto"/>
              </w:rPr>
            </w:pPr>
          </w:p>
        </w:tc>
        <w:tc>
          <w:tcPr>
            <w:tcW w:w="328" w:type="pct"/>
            <w:noWrap/>
            <w:vAlign w:val="center"/>
          </w:tcPr>
          <w:p w14:paraId="50DB0962">
            <w:pPr>
              <w:pStyle w:val="33"/>
              <w:rPr>
                <w:color w:val="auto"/>
              </w:rPr>
            </w:pPr>
            <w:r>
              <w:rPr>
                <w:rFonts w:eastAsia="等线" w:cs="Times New Roman"/>
                <w:color w:val="auto"/>
                <w:sz w:val="20"/>
                <w:szCs w:val="20"/>
              </w:rPr>
              <w:t>0.0000</w:t>
            </w:r>
          </w:p>
        </w:tc>
        <w:tc>
          <w:tcPr>
            <w:tcW w:w="337" w:type="pct"/>
            <w:noWrap/>
            <w:vAlign w:val="center"/>
          </w:tcPr>
          <w:p w14:paraId="7E03D9D4">
            <w:pPr>
              <w:pStyle w:val="33"/>
              <w:rPr>
                <w:color w:val="auto"/>
              </w:rPr>
            </w:pPr>
            <w:r>
              <w:rPr>
                <w:rFonts w:eastAsia="等线" w:cs="Times New Roman"/>
                <w:color w:val="auto"/>
                <w:sz w:val="20"/>
                <w:szCs w:val="20"/>
              </w:rPr>
              <w:t>0.0004</w:t>
            </w:r>
          </w:p>
        </w:tc>
        <w:tc>
          <w:tcPr>
            <w:tcW w:w="335" w:type="pct"/>
            <w:noWrap/>
            <w:vAlign w:val="center"/>
          </w:tcPr>
          <w:p w14:paraId="74C88310">
            <w:pPr>
              <w:pStyle w:val="33"/>
              <w:rPr>
                <w:color w:val="auto"/>
              </w:rPr>
            </w:pPr>
            <w:r>
              <w:rPr>
                <w:rFonts w:eastAsia="等线" w:cs="Times New Roman"/>
                <w:color w:val="auto"/>
                <w:sz w:val="20"/>
                <w:szCs w:val="20"/>
              </w:rPr>
              <w:t>0.0018</w:t>
            </w:r>
          </w:p>
        </w:tc>
        <w:tc>
          <w:tcPr>
            <w:tcW w:w="257" w:type="pct"/>
            <w:noWrap/>
            <w:vAlign w:val="center"/>
          </w:tcPr>
          <w:p w14:paraId="4B58F020">
            <w:pPr>
              <w:pStyle w:val="33"/>
              <w:rPr>
                <w:color w:val="auto"/>
              </w:rPr>
            </w:pPr>
            <w:r>
              <w:rPr>
                <w:rFonts w:eastAsia="等线" w:cs="Times New Roman"/>
                <w:color w:val="auto"/>
                <w:sz w:val="20"/>
                <w:szCs w:val="20"/>
              </w:rPr>
              <w:t>4.9</w:t>
            </w:r>
          </w:p>
        </w:tc>
        <w:tc>
          <w:tcPr>
            <w:tcW w:w="263" w:type="pct"/>
            <w:vMerge w:val="continue"/>
            <w:vAlign w:val="center"/>
          </w:tcPr>
          <w:p w14:paraId="2E00EA72">
            <w:pPr>
              <w:pStyle w:val="33"/>
              <w:rPr>
                <w:color w:val="auto"/>
              </w:rPr>
            </w:pPr>
          </w:p>
        </w:tc>
        <w:tc>
          <w:tcPr>
            <w:tcW w:w="201" w:type="pct"/>
            <w:vMerge w:val="continue"/>
            <w:vAlign w:val="center"/>
          </w:tcPr>
          <w:p w14:paraId="742EE3B0">
            <w:pPr>
              <w:pStyle w:val="33"/>
              <w:rPr>
                <w:color w:val="auto"/>
              </w:rPr>
            </w:pPr>
          </w:p>
        </w:tc>
        <w:tc>
          <w:tcPr>
            <w:tcW w:w="277" w:type="pct"/>
            <w:vMerge w:val="continue"/>
            <w:vAlign w:val="center"/>
          </w:tcPr>
          <w:p w14:paraId="45E1D3B1">
            <w:pPr>
              <w:pStyle w:val="33"/>
              <w:rPr>
                <w:color w:val="auto"/>
              </w:rPr>
            </w:pPr>
          </w:p>
        </w:tc>
        <w:tc>
          <w:tcPr>
            <w:tcW w:w="294" w:type="pct"/>
            <w:vMerge w:val="continue"/>
            <w:vAlign w:val="center"/>
          </w:tcPr>
          <w:p w14:paraId="038317C7">
            <w:pPr>
              <w:pStyle w:val="33"/>
              <w:rPr>
                <w:color w:val="auto"/>
              </w:rPr>
            </w:pPr>
          </w:p>
        </w:tc>
      </w:tr>
      <w:tr w14:paraId="4C55F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7CE68FDD">
            <w:pPr>
              <w:pStyle w:val="33"/>
              <w:rPr>
                <w:color w:val="auto"/>
              </w:rPr>
            </w:pPr>
          </w:p>
        </w:tc>
        <w:tc>
          <w:tcPr>
            <w:tcW w:w="503" w:type="pct"/>
            <w:vMerge w:val="continue"/>
            <w:vAlign w:val="center"/>
          </w:tcPr>
          <w:p w14:paraId="342A0C52">
            <w:pPr>
              <w:pStyle w:val="33"/>
              <w:rPr>
                <w:color w:val="auto"/>
              </w:rPr>
            </w:pPr>
          </w:p>
        </w:tc>
        <w:tc>
          <w:tcPr>
            <w:tcW w:w="371" w:type="pct"/>
            <w:noWrap/>
            <w:vAlign w:val="center"/>
          </w:tcPr>
          <w:p w14:paraId="4C276328">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1E13C64E">
            <w:pPr>
              <w:pStyle w:val="33"/>
              <w:rPr>
                <w:color w:val="auto"/>
              </w:rPr>
            </w:pPr>
          </w:p>
        </w:tc>
        <w:tc>
          <w:tcPr>
            <w:tcW w:w="274" w:type="pct"/>
            <w:noWrap/>
            <w:vAlign w:val="center"/>
          </w:tcPr>
          <w:p w14:paraId="77AB70D4">
            <w:pPr>
              <w:pStyle w:val="33"/>
              <w:rPr>
                <w:color w:val="auto"/>
              </w:rPr>
            </w:pPr>
            <w:r>
              <w:rPr>
                <w:rFonts w:eastAsia="等线" w:cs="Times New Roman"/>
                <w:color w:val="auto"/>
                <w:sz w:val="20"/>
                <w:szCs w:val="20"/>
              </w:rPr>
              <w:t>0.0003</w:t>
            </w:r>
          </w:p>
        </w:tc>
        <w:tc>
          <w:tcPr>
            <w:tcW w:w="283" w:type="pct"/>
            <w:noWrap/>
            <w:vAlign w:val="center"/>
          </w:tcPr>
          <w:p w14:paraId="071474B2">
            <w:pPr>
              <w:pStyle w:val="33"/>
              <w:rPr>
                <w:color w:val="auto"/>
              </w:rPr>
            </w:pPr>
            <w:r>
              <w:rPr>
                <w:rFonts w:eastAsia="等线" w:cs="Times New Roman"/>
                <w:color w:val="auto"/>
                <w:sz w:val="20"/>
                <w:szCs w:val="20"/>
              </w:rPr>
              <w:t>0.0023</w:t>
            </w:r>
          </w:p>
        </w:tc>
        <w:tc>
          <w:tcPr>
            <w:tcW w:w="334" w:type="pct"/>
            <w:noWrap/>
            <w:vAlign w:val="center"/>
          </w:tcPr>
          <w:p w14:paraId="36CD97EC">
            <w:pPr>
              <w:pStyle w:val="33"/>
              <w:rPr>
                <w:color w:val="auto"/>
              </w:rPr>
            </w:pPr>
            <w:r>
              <w:rPr>
                <w:rFonts w:eastAsia="等线" w:cs="Times New Roman"/>
                <w:color w:val="auto"/>
                <w:sz w:val="20"/>
                <w:szCs w:val="20"/>
              </w:rPr>
              <w:t>0.0103</w:t>
            </w:r>
          </w:p>
        </w:tc>
        <w:tc>
          <w:tcPr>
            <w:tcW w:w="211" w:type="pct"/>
            <w:vMerge w:val="continue"/>
            <w:vAlign w:val="center"/>
          </w:tcPr>
          <w:p w14:paraId="084A089D">
            <w:pPr>
              <w:pStyle w:val="33"/>
              <w:rPr>
                <w:color w:val="auto"/>
              </w:rPr>
            </w:pPr>
          </w:p>
        </w:tc>
        <w:tc>
          <w:tcPr>
            <w:tcW w:w="285" w:type="pct"/>
            <w:vMerge w:val="continue"/>
            <w:vAlign w:val="center"/>
          </w:tcPr>
          <w:p w14:paraId="1B391447">
            <w:pPr>
              <w:pStyle w:val="33"/>
              <w:rPr>
                <w:color w:val="auto"/>
              </w:rPr>
            </w:pPr>
          </w:p>
        </w:tc>
        <w:tc>
          <w:tcPr>
            <w:tcW w:w="328" w:type="pct"/>
            <w:noWrap/>
            <w:vAlign w:val="center"/>
          </w:tcPr>
          <w:p w14:paraId="77CBA5D5">
            <w:pPr>
              <w:pStyle w:val="33"/>
              <w:rPr>
                <w:color w:val="auto"/>
              </w:rPr>
            </w:pPr>
            <w:r>
              <w:rPr>
                <w:rFonts w:eastAsia="等线" w:cs="Times New Roman"/>
                <w:color w:val="auto"/>
                <w:sz w:val="20"/>
                <w:szCs w:val="20"/>
              </w:rPr>
              <w:t>0.0000</w:t>
            </w:r>
          </w:p>
        </w:tc>
        <w:tc>
          <w:tcPr>
            <w:tcW w:w="337" w:type="pct"/>
            <w:noWrap/>
            <w:vAlign w:val="center"/>
          </w:tcPr>
          <w:p w14:paraId="5AA5C581">
            <w:pPr>
              <w:pStyle w:val="33"/>
              <w:rPr>
                <w:color w:val="auto"/>
              </w:rPr>
            </w:pPr>
            <w:r>
              <w:rPr>
                <w:rFonts w:eastAsia="等线" w:cs="Times New Roman"/>
                <w:color w:val="auto"/>
                <w:sz w:val="20"/>
                <w:szCs w:val="20"/>
              </w:rPr>
              <w:t>0.0001</w:t>
            </w:r>
          </w:p>
        </w:tc>
        <w:tc>
          <w:tcPr>
            <w:tcW w:w="335" w:type="pct"/>
            <w:noWrap/>
            <w:vAlign w:val="center"/>
          </w:tcPr>
          <w:p w14:paraId="2496B9B6">
            <w:pPr>
              <w:pStyle w:val="33"/>
              <w:rPr>
                <w:color w:val="auto"/>
              </w:rPr>
            </w:pPr>
            <w:r>
              <w:rPr>
                <w:rFonts w:eastAsia="等线" w:cs="Times New Roman"/>
                <w:color w:val="auto"/>
                <w:sz w:val="20"/>
                <w:szCs w:val="20"/>
              </w:rPr>
              <w:t>0.0005</w:t>
            </w:r>
          </w:p>
        </w:tc>
        <w:tc>
          <w:tcPr>
            <w:tcW w:w="257" w:type="pct"/>
            <w:noWrap/>
            <w:vAlign w:val="center"/>
          </w:tcPr>
          <w:p w14:paraId="455F3869">
            <w:pPr>
              <w:pStyle w:val="33"/>
              <w:rPr>
                <w:color w:val="auto"/>
              </w:rPr>
            </w:pPr>
            <w:r>
              <w:rPr>
                <w:rFonts w:eastAsia="等线" w:cs="Times New Roman"/>
                <w:color w:val="auto"/>
                <w:sz w:val="20"/>
                <w:szCs w:val="20"/>
              </w:rPr>
              <w:t>0.33</w:t>
            </w:r>
          </w:p>
        </w:tc>
        <w:tc>
          <w:tcPr>
            <w:tcW w:w="263" w:type="pct"/>
            <w:vMerge w:val="continue"/>
            <w:vAlign w:val="center"/>
          </w:tcPr>
          <w:p w14:paraId="7103DDF2">
            <w:pPr>
              <w:pStyle w:val="33"/>
              <w:rPr>
                <w:color w:val="auto"/>
              </w:rPr>
            </w:pPr>
          </w:p>
        </w:tc>
        <w:tc>
          <w:tcPr>
            <w:tcW w:w="201" w:type="pct"/>
            <w:vMerge w:val="continue"/>
            <w:vAlign w:val="center"/>
          </w:tcPr>
          <w:p w14:paraId="3C6689E5">
            <w:pPr>
              <w:pStyle w:val="33"/>
              <w:rPr>
                <w:color w:val="auto"/>
              </w:rPr>
            </w:pPr>
          </w:p>
        </w:tc>
        <w:tc>
          <w:tcPr>
            <w:tcW w:w="277" w:type="pct"/>
            <w:vMerge w:val="continue"/>
            <w:vAlign w:val="center"/>
          </w:tcPr>
          <w:p w14:paraId="44C4EF22">
            <w:pPr>
              <w:pStyle w:val="33"/>
              <w:rPr>
                <w:color w:val="auto"/>
              </w:rPr>
            </w:pPr>
          </w:p>
        </w:tc>
        <w:tc>
          <w:tcPr>
            <w:tcW w:w="294" w:type="pct"/>
            <w:vMerge w:val="continue"/>
            <w:vAlign w:val="center"/>
          </w:tcPr>
          <w:p w14:paraId="5216B621">
            <w:pPr>
              <w:pStyle w:val="33"/>
              <w:rPr>
                <w:color w:val="auto"/>
              </w:rPr>
            </w:pPr>
          </w:p>
        </w:tc>
      </w:tr>
      <w:tr w14:paraId="1D87A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18906953">
            <w:pPr>
              <w:pStyle w:val="33"/>
              <w:rPr>
                <w:color w:val="auto"/>
              </w:rPr>
            </w:pPr>
            <w:r>
              <w:rPr>
                <w:color w:val="auto"/>
              </w:rPr>
              <w:t>5</w:t>
            </w:r>
          </w:p>
        </w:tc>
        <w:tc>
          <w:tcPr>
            <w:tcW w:w="503" w:type="pct"/>
            <w:vMerge w:val="restart"/>
            <w:noWrap/>
            <w:vAlign w:val="center"/>
          </w:tcPr>
          <w:p w14:paraId="772564CC">
            <w:pPr>
              <w:pStyle w:val="33"/>
              <w:rPr>
                <w:color w:val="auto"/>
              </w:rPr>
            </w:pPr>
            <w:r>
              <w:rPr>
                <w:rFonts w:hint="eastAsia"/>
                <w:color w:val="auto"/>
                <w:sz w:val="20"/>
                <w:szCs w:val="20"/>
              </w:rPr>
              <w:t>二沉池</w:t>
            </w:r>
          </w:p>
        </w:tc>
        <w:tc>
          <w:tcPr>
            <w:tcW w:w="371" w:type="pct"/>
            <w:noWrap/>
            <w:vAlign w:val="center"/>
          </w:tcPr>
          <w:p w14:paraId="7098E988">
            <w:pPr>
              <w:pStyle w:val="33"/>
              <w:rPr>
                <w:color w:val="auto"/>
              </w:rPr>
            </w:pPr>
            <w:r>
              <w:rPr>
                <w:color w:val="auto"/>
              </w:rPr>
              <w:t>NH</w:t>
            </w:r>
            <w:r>
              <w:rPr>
                <w:color w:val="auto"/>
                <w:vertAlign w:val="subscript"/>
              </w:rPr>
              <w:t>3</w:t>
            </w:r>
          </w:p>
        </w:tc>
        <w:tc>
          <w:tcPr>
            <w:tcW w:w="298" w:type="pct"/>
            <w:vMerge w:val="continue"/>
            <w:vAlign w:val="center"/>
          </w:tcPr>
          <w:p w14:paraId="3543F753">
            <w:pPr>
              <w:pStyle w:val="33"/>
              <w:rPr>
                <w:color w:val="auto"/>
              </w:rPr>
            </w:pPr>
          </w:p>
        </w:tc>
        <w:tc>
          <w:tcPr>
            <w:tcW w:w="274" w:type="pct"/>
            <w:noWrap/>
            <w:vAlign w:val="center"/>
          </w:tcPr>
          <w:p w14:paraId="0B73FACE">
            <w:pPr>
              <w:pStyle w:val="33"/>
              <w:rPr>
                <w:color w:val="auto"/>
              </w:rPr>
            </w:pPr>
            <w:r>
              <w:rPr>
                <w:rFonts w:eastAsia="等线" w:cs="Times New Roman"/>
                <w:color w:val="auto"/>
                <w:sz w:val="20"/>
                <w:szCs w:val="20"/>
              </w:rPr>
              <w:t>0.0036</w:t>
            </w:r>
          </w:p>
        </w:tc>
        <w:tc>
          <w:tcPr>
            <w:tcW w:w="283" w:type="pct"/>
            <w:noWrap/>
            <w:vAlign w:val="center"/>
          </w:tcPr>
          <w:p w14:paraId="7B696788">
            <w:pPr>
              <w:pStyle w:val="33"/>
              <w:rPr>
                <w:color w:val="auto"/>
              </w:rPr>
            </w:pPr>
            <w:r>
              <w:rPr>
                <w:rFonts w:eastAsia="等线" w:cs="Times New Roman"/>
                <w:color w:val="auto"/>
                <w:sz w:val="20"/>
                <w:szCs w:val="20"/>
              </w:rPr>
              <w:t>0.0317</w:t>
            </w:r>
          </w:p>
        </w:tc>
        <w:tc>
          <w:tcPr>
            <w:tcW w:w="334" w:type="pct"/>
            <w:noWrap/>
            <w:vAlign w:val="center"/>
          </w:tcPr>
          <w:p w14:paraId="15B5BD2D">
            <w:pPr>
              <w:pStyle w:val="33"/>
              <w:rPr>
                <w:color w:val="auto"/>
              </w:rPr>
            </w:pPr>
            <w:r>
              <w:rPr>
                <w:rFonts w:eastAsia="等线" w:cs="Times New Roman"/>
                <w:color w:val="auto"/>
                <w:sz w:val="20"/>
                <w:szCs w:val="20"/>
              </w:rPr>
              <w:t>0.1448</w:t>
            </w:r>
          </w:p>
        </w:tc>
        <w:tc>
          <w:tcPr>
            <w:tcW w:w="211" w:type="pct"/>
            <w:vMerge w:val="continue"/>
            <w:vAlign w:val="center"/>
          </w:tcPr>
          <w:p w14:paraId="7827290F">
            <w:pPr>
              <w:pStyle w:val="33"/>
              <w:rPr>
                <w:color w:val="auto"/>
              </w:rPr>
            </w:pPr>
          </w:p>
        </w:tc>
        <w:tc>
          <w:tcPr>
            <w:tcW w:w="285" w:type="pct"/>
            <w:vMerge w:val="continue"/>
            <w:vAlign w:val="center"/>
          </w:tcPr>
          <w:p w14:paraId="115F09C1">
            <w:pPr>
              <w:pStyle w:val="33"/>
              <w:rPr>
                <w:color w:val="auto"/>
              </w:rPr>
            </w:pPr>
          </w:p>
        </w:tc>
        <w:tc>
          <w:tcPr>
            <w:tcW w:w="328" w:type="pct"/>
            <w:noWrap/>
            <w:vAlign w:val="center"/>
          </w:tcPr>
          <w:p w14:paraId="0605FAC6">
            <w:pPr>
              <w:pStyle w:val="33"/>
              <w:rPr>
                <w:color w:val="auto"/>
              </w:rPr>
            </w:pPr>
            <w:r>
              <w:rPr>
                <w:rFonts w:eastAsia="等线" w:cs="Times New Roman"/>
                <w:color w:val="auto"/>
                <w:sz w:val="20"/>
                <w:szCs w:val="20"/>
              </w:rPr>
              <w:t>0.0003</w:t>
            </w:r>
          </w:p>
        </w:tc>
        <w:tc>
          <w:tcPr>
            <w:tcW w:w="337" w:type="pct"/>
            <w:noWrap/>
            <w:vAlign w:val="center"/>
          </w:tcPr>
          <w:p w14:paraId="2E722040">
            <w:pPr>
              <w:pStyle w:val="33"/>
              <w:rPr>
                <w:color w:val="auto"/>
              </w:rPr>
            </w:pPr>
            <w:r>
              <w:rPr>
                <w:rFonts w:eastAsia="等线" w:cs="Times New Roman"/>
                <w:color w:val="auto"/>
                <w:sz w:val="20"/>
                <w:szCs w:val="20"/>
              </w:rPr>
              <w:t>0.0029</w:t>
            </w:r>
          </w:p>
        </w:tc>
        <w:tc>
          <w:tcPr>
            <w:tcW w:w="335" w:type="pct"/>
            <w:noWrap/>
            <w:vAlign w:val="center"/>
          </w:tcPr>
          <w:p w14:paraId="6B4BF211">
            <w:pPr>
              <w:pStyle w:val="33"/>
              <w:rPr>
                <w:color w:val="auto"/>
              </w:rPr>
            </w:pPr>
            <w:r>
              <w:rPr>
                <w:rFonts w:eastAsia="等线" w:cs="Times New Roman"/>
                <w:color w:val="auto"/>
                <w:sz w:val="20"/>
                <w:szCs w:val="20"/>
              </w:rPr>
              <w:t>0.0130</w:t>
            </w:r>
          </w:p>
        </w:tc>
        <w:tc>
          <w:tcPr>
            <w:tcW w:w="257" w:type="pct"/>
            <w:noWrap/>
            <w:vAlign w:val="center"/>
          </w:tcPr>
          <w:p w14:paraId="5B926691">
            <w:pPr>
              <w:pStyle w:val="33"/>
              <w:rPr>
                <w:color w:val="auto"/>
              </w:rPr>
            </w:pPr>
            <w:r>
              <w:rPr>
                <w:rFonts w:eastAsia="等线" w:cs="Times New Roman"/>
                <w:color w:val="auto"/>
                <w:sz w:val="20"/>
                <w:szCs w:val="20"/>
              </w:rPr>
              <w:t>4.9</w:t>
            </w:r>
          </w:p>
        </w:tc>
        <w:tc>
          <w:tcPr>
            <w:tcW w:w="263" w:type="pct"/>
            <w:vMerge w:val="continue"/>
            <w:vAlign w:val="center"/>
          </w:tcPr>
          <w:p w14:paraId="1A75B433">
            <w:pPr>
              <w:pStyle w:val="33"/>
              <w:rPr>
                <w:color w:val="auto"/>
              </w:rPr>
            </w:pPr>
          </w:p>
        </w:tc>
        <w:tc>
          <w:tcPr>
            <w:tcW w:w="201" w:type="pct"/>
            <w:vMerge w:val="continue"/>
            <w:vAlign w:val="center"/>
          </w:tcPr>
          <w:p w14:paraId="308ED51B">
            <w:pPr>
              <w:pStyle w:val="33"/>
              <w:rPr>
                <w:color w:val="auto"/>
              </w:rPr>
            </w:pPr>
          </w:p>
        </w:tc>
        <w:tc>
          <w:tcPr>
            <w:tcW w:w="277" w:type="pct"/>
            <w:vMerge w:val="continue"/>
            <w:vAlign w:val="center"/>
          </w:tcPr>
          <w:p w14:paraId="729238B5">
            <w:pPr>
              <w:pStyle w:val="33"/>
              <w:rPr>
                <w:color w:val="auto"/>
              </w:rPr>
            </w:pPr>
          </w:p>
        </w:tc>
        <w:tc>
          <w:tcPr>
            <w:tcW w:w="294" w:type="pct"/>
            <w:vMerge w:val="continue"/>
            <w:vAlign w:val="center"/>
          </w:tcPr>
          <w:p w14:paraId="6E967807">
            <w:pPr>
              <w:pStyle w:val="33"/>
              <w:rPr>
                <w:color w:val="auto"/>
              </w:rPr>
            </w:pPr>
          </w:p>
        </w:tc>
      </w:tr>
      <w:tr w14:paraId="73289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779A0733">
            <w:pPr>
              <w:pStyle w:val="33"/>
              <w:rPr>
                <w:color w:val="auto"/>
              </w:rPr>
            </w:pPr>
          </w:p>
        </w:tc>
        <w:tc>
          <w:tcPr>
            <w:tcW w:w="503" w:type="pct"/>
            <w:vMerge w:val="continue"/>
            <w:vAlign w:val="center"/>
          </w:tcPr>
          <w:p w14:paraId="6B132B75">
            <w:pPr>
              <w:pStyle w:val="33"/>
              <w:rPr>
                <w:color w:val="auto"/>
              </w:rPr>
            </w:pPr>
          </w:p>
        </w:tc>
        <w:tc>
          <w:tcPr>
            <w:tcW w:w="371" w:type="pct"/>
            <w:noWrap/>
            <w:vAlign w:val="center"/>
          </w:tcPr>
          <w:p w14:paraId="59771220">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47FF41BF">
            <w:pPr>
              <w:pStyle w:val="33"/>
              <w:rPr>
                <w:color w:val="auto"/>
              </w:rPr>
            </w:pPr>
          </w:p>
        </w:tc>
        <w:tc>
          <w:tcPr>
            <w:tcW w:w="274" w:type="pct"/>
            <w:noWrap/>
            <w:vAlign w:val="center"/>
          </w:tcPr>
          <w:p w14:paraId="268A1A59">
            <w:pPr>
              <w:pStyle w:val="33"/>
              <w:rPr>
                <w:color w:val="auto"/>
              </w:rPr>
            </w:pPr>
            <w:r>
              <w:rPr>
                <w:rFonts w:eastAsia="等线" w:cs="Times New Roman"/>
                <w:color w:val="auto"/>
                <w:sz w:val="20"/>
                <w:szCs w:val="20"/>
              </w:rPr>
              <w:t>0.0006</w:t>
            </w:r>
          </w:p>
        </w:tc>
        <w:tc>
          <w:tcPr>
            <w:tcW w:w="283" w:type="pct"/>
            <w:noWrap/>
            <w:vAlign w:val="center"/>
          </w:tcPr>
          <w:p w14:paraId="1B2199A2">
            <w:pPr>
              <w:pStyle w:val="33"/>
              <w:rPr>
                <w:color w:val="auto"/>
              </w:rPr>
            </w:pPr>
            <w:r>
              <w:rPr>
                <w:rFonts w:eastAsia="等线" w:cs="Times New Roman"/>
                <w:color w:val="auto"/>
                <w:sz w:val="20"/>
                <w:szCs w:val="20"/>
              </w:rPr>
              <w:t>0.0055</w:t>
            </w:r>
          </w:p>
        </w:tc>
        <w:tc>
          <w:tcPr>
            <w:tcW w:w="334" w:type="pct"/>
            <w:noWrap/>
            <w:vAlign w:val="center"/>
          </w:tcPr>
          <w:p w14:paraId="730F9266">
            <w:pPr>
              <w:pStyle w:val="33"/>
              <w:rPr>
                <w:color w:val="auto"/>
              </w:rPr>
            </w:pPr>
            <w:r>
              <w:rPr>
                <w:rFonts w:eastAsia="等线" w:cs="Times New Roman"/>
                <w:color w:val="auto"/>
                <w:sz w:val="20"/>
                <w:szCs w:val="20"/>
              </w:rPr>
              <w:t>0.0252</w:t>
            </w:r>
          </w:p>
        </w:tc>
        <w:tc>
          <w:tcPr>
            <w:tcW w:w="211" w:type="pct"/>
            <w:vMerge w:val="continue"/>
            <w:vAlign w:val="center"/>
          </w:tcPr>
          <w:p w14:paraId="377035E3">
            <w:pPr>
              <w:pStyle w:val="33"/>
              <w:rPr>
                <w:color w:val="auto"/>
              </w:rPr>
            </w:pPr>
          </w:p>
        </w:tc>
        <w:tc>
          <w:tcPr>
            <w:tcW w:w="285" w:type="pct"/>
            <w:vMerge w:val="continue"/>
            <w:vAlign w:val="center"/>
          </w:tcPr>
          <w:p w14:paraId="66D00F6B">
            <w:pPr>
              <w:pStyle w:val="33"/>
              <w:rPr>
                <w:color w:val="auto"/>
              </w:rPr>
            </w:pPr>
          </w:p>
        </w:tc>
        <w:tc>
          <w:tcPr>
            <w:tcW w:w="328" w:type="pct"/>
            <w:noWrap/>
            <w:vAlign w:val="center"/>
          </w:tcPr>
          <w:p w14:paraId="56EC606C">
            <w:pPr>
              <w:pStyle w:val="33"/>
              <w:rPr>
                <w:color w:val="auto"/>
              </w:rPr>
            </w:pPr>
            <w:r>
              <w:rPr>
                <w:rFonts w:eastAsia="等线" w:cs="Times New Roman"/>
                <w:color w:val="auto"/>
                <w:sz w:val="20"/>
                <w:szCs w:val="20"/>
              </w:rPr>
              <w:t>0.0000</w:t>
            </w:r>
          </w:p>
        </w:tc>
        <w:tc>
          <w:tcPr>
            <w:tcW w:w="337" w:type="pct"/>
            <w:noWrap/>
            <w:vAlign w:val="center"/>
          </w:tcPr>
          <w:p w14:paraId="453C064C">
            <w:pPr>
              <w:pStyle w:val="33"/>
              <w:rPr>
                <w:color w:val="auto"/>
              </w:rPr>
            </w:pPr>
            <w:r>
              <w:rPr>
                <w:rFonts w:eastAsia="等线" w:cs="Times New Roman"/>
                <w:color w:val="auto"/>
                <w:sz w:val="20"/>
                <w:szCs w:val="20"/>
              </w:rPr>
              <w:t>0.0002</w:t>
            </w:r>
          </w:p>
        </w:tc>
        <w:tc>
          <w:tcPr>
            <w:tcW w:w="335" w:type="pct"/>
            <w:noWrap/>
            <w:vAlign w:val="center"/>
          </w:tcPr>
          <w:p w14:paraId="2ACA5D24">
            <w:pPr>
              <w:pStyle w:val="33"/>
              <w:rPr>
                <w:color w:val="auto"/>
              </w:rPr>
            </w:pPr>
            <w:r>
              <w:rPr>
                <w:rFonts w:eastAsia="等线" w:cs="Times New Roman"/>
                <w:color w:val="auto"/>
                <w:sz w:val="20"/>
                <w:szCs w:val="20"/>
              </w:rPr>
              <w:t>0.0011</w:t>
            </w:r>
          </w:p>
        </w:tc>
        <w:tc>
          <w:tcPr>
            <w:tcW w:w="257" w:type="pct"/>
            <w:noWrap/>
            <w:vAlign w:val="center"/>
          </w:tcPr>
          <w:p w14:paraId="3063E527">
            <w:pPr>
              <w:pStyle w:val="33"/>
              <w:rPr>
                <w:color w:val="auto"/>
              </w:rPr>
            </w:pPr>
            <w:r>
              <w:rPr>
                <w:rFonts w:eastAsia="等线" w:cs="Times New Roman"/>
                <w:color w:val="auto"/>
                <w:sz w:val="20"/>
                <w:szCs w:val="20"/>
              </w:rPr>
              <w:t>0.33</w:t>
            </w:r>
          </w:p>
        </w:tc>
        <w:tc>
          <w:tcPr>
            <w:tcW w:w="263" w:type="pct"/>
            <w:vMerge w:val="continue"/>
            <w:vAlign w:val="center"/>
          </w:tcPr>
          <w:p w14:paraId="035AD00E">
            <w:pPr>
              <w:pStyle w:val="33"/>
              <w:rPr>
                <w:color w:val="auto"/>
              </w:rPr>
            </w:pPr>
          </w:p>
        </w:tc>
        <w:tc>
          <w:tcPr>
            <w:tcW w:w="201" w:type="pct"/>
            <w:vMerge w:val="continue"/>
            <w:vAlign w:val="center"/>
          </w:tcPr>
          <w:p w14:paraId="4DEC561E">
            <w:pPr>
              <w:pStyle w:val="33"/>
              <w:rPr>
                <w:color w:val="auto"/>
              </w:rPr>
            </w:pPr>
          </w:p>
        </w:tc>
        <w:tc>
          <w:tcPr>
            <w:tcW w:w="277" w:type="pct"/>
            <w:vMerge w:val="continue"/>
            <w:vAlign w:val="center"/>
          </w:tcPr>
          <w:p w14:paraId="7EB09D1A">
            <w:pPr>
              <w:pStyle w:val="33"/>
              <w:rPr>
                <w:color w:val="auto"/>
              </w:rPr>
            </w:pPr>
          </w:p>
        </w:tc>
        <w:tc>
          <w:tcPr>
            <w:tcW w:w="294" w:type="pct"/>
            <w:vMerge w:val="continue"/>
            <w:vAlign w:val="center"/>
          </w:tcPr>
          <w:p w14:paraId="5887F757">
            <w:pPr>
              <w:pStyle w:val="33"/>
              <w:rPr>
                <w:color w:val="auto"/>
              </w:rPr>
            </w:pPr>
          </w:p>
        </w:tc>
      </w:tr>
      <w:tr w14:paraId="6332E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77845665">
            <w:pPr>
              <w:pStyle w:val="33"/>
              <w:rPr>
                <w:color w:val="auto"/>
              </w:rPr>
            </w:pPr>
            <w:r>
              <w:rPr>
                <w:color w:val="auto"/>
              </w:rPr>
              <w:t>6</w:t>
            </w:r>
          </w:p>
        </w:tc>
        <w:tc>
          <w:tcPr>
            <w:tcW w:w="503" w:type="pct"/>
            <w:vMerge w:val="restart"/>
            <w:noWrap/>
            <w:vAlign w:val="center"/>
          </w:tcPr>
          <w:p w14:paraId="2AF35668">
            <w:pPr>
              <w:pStyle w:val="33"/>
              <w:rPr>
                <w:color w:val="auto"/>
              </w:rPr>
            </w:pPr>
            <w:r>
              <w:rPr>
                <w:rFonts w:hint="eastAsia"/>
                <w:color w:val="auto"/>
                <w:sz w:val="20"/>
                <w:szCs w:val="20"/>
              </w:rPr>
              <w:t>混凝反应池2</w:t>
            </w:r>
          </w:p>
        </w:tc>
        <w:tc>
          <w:tcPr>
            <w:tcW w:w="371" w:type="pct"/>
            <w:noWrap/>
            <w:vAlign w:val="center"/>
          </w:tcPr>
          <w:p w14:paraId="5446950B">
            <w:pPr>
              <w:pStyle w:val="33"/>
              <w:rPr>
                <w:color w:val="auto"/>
              </w:rPr>
            </w:pPr>
            <w:r>
              <w:rPr>
                <w:color w:val="auto"/>
              </w:rPr>
              <w:t>NH</w:t>
            </w:r>
            <w:r>
              <w:rPr>
                <w:color w:val="auto"/>
                <w:vertAlign w:val="subscript"/>
              </w:rPr>
              <w:t>3</w:t>
            </w:r>
          </w:p>
        </w:tc>
        <w:tc>
          <w:tcPr>
            <w:tcW w:w="298" w:type="pct"/>
            <w:vMerge w:val="continue"/>
            <w:vAlign w:val="center"/>
          </w:tcPr>
          <w:p w14:paraId="32D0A8DB">
            <w:pPr>
              <w:pStyle w:val="33"/>
              <w:rPr>
                <w:color w:val="auto"/>
              </w:rPr>
            </w:pPr>
          </w:p>
        </w:tc>
        <w:tc>
          <w:tcPr>
            <w:tcW w:w="274" w:type="pct"/>
            <w:noWrap/>
            <w:vAlign w:val="center"/>
          </w:tcPr>
          <w:p w14:paraId="09EA9594">
            <w:pPr>
              <w:pStyle w:val="33"/>
              <w:rPr>
                <w:color w:val="auto"/>
              </w:rPr>
            </w:pPr>
            <w:r>
              <w:rPr>
                <w:rFonts w:eastAsia="等线" w:cs="Times New Roman"/>
                <w:color w:val="auto"/>
                <w:sz w:val="20"/>
                <w:szCs w:val="20"/>
              </w:rPr>
              <w:t>0.0007</w:t>
            </w:r>
          </w:p>
        </w:tc>
        <w:tc>
          <w:tcPr>
            <w:tcW w:w="283" w:type="pct"/>
            <w:noWrap/>
            <w:vAlign w:val="center"/>
          </w:tcPr>
          <w:p w14:paraId="07791534">
            <w:pPr>
              <w:pStyle w:val="33"/>
              <w:rPr>
                <w:color w:val="auto"/>
              </w:rPr>
            </w:pPr>
            <w:r>
              <w:rPr>
                <w:rFonts w:eastAsia="等线" w:cs="Times New Roman"/>
                <w:color w:val="auto"/>
                <w:sz w:val="20"/>
                <w:szCs w:val="20"/>
              </w:rPr>
              <w:t>0.0057</w:t>
            </w:r>
          </w:p>
        </w:tc>
        <w:tc>
          <w:tcPr>
            <w:tcW w:w="334" w:type="pct"/>
            <w:noWrap/>
            <w:vAlign w:val="center"/>
          </w:tcPr>
          <w:p w14:paraId="4B2F157A">
            <w:pPr>
              <w:pStyle w:val="33"/>
              <w:rPr>
                <w:color w:val="auto"/>
              </w:rPr>
            </w:pPr>
            <w:r>
              <w:rPr>
                <w:rFonts w:eastAsia="等线" w:cs="Times New Roman"/>
                <w:color w:val="auto"/>
                <w:sz w:val="20"/>
                <w:szCs w:val="20"/>
              </w:rPr>
              <w:t>0.0261</w:t>
            </w:r>
          </w:p>
        </w:tc>
        <w:tc>
          <w:tcPr>
            <w:tcW w:w="211" w:type="pct"/>
            <w:vMerge w:val="continue"/>
            <w:vAlign w:val="center"/>
          </w:tcPr>
          <w:p w14:paraId="6857BBE4">
            <w:pPr>
              <w:pStyle w:val="33"/>
              <w:rPr>
                <w:color w:val="auto"/>
              </w:rPr>
            </w:pPr>
          </w:p>
        </w:tc>
        <w:tc>
          <w:tcPr>
            <w:tcW w:w="285" w:type="pct"/>
            <w:vMerge w:val="continue"/>
            <w:vAlign w:val="center"/>
          </w:tcPr>
          <w:p w14:paraId="08CFFA1D">
            <w:pPr>
              <w:pStyle w:val="33"/>
              <w:rPr>
                <w:color w:val="auto"/>
              </w:rPr>
            </w:pPr>
          </w:p>
        </w:tc>
        <w:tc>
          <w:tcPr>
            <w:tcW w:w="328" w:type="pct"/>
            <w:noWrap/>
            <w:vAlign w:val="center"/>
          </w:tcPr>
          <w:p w14:paraId="2DBAEDAC">
            <w:pPr>
              <w:pStyle w:val="33"/>
              <w:rPr>
                <w:color w:val="auto"/>
              </w:rPr>
            </w:pPr>
            <w:r>
              <w:rPr>
                <w:rFonts w:eastAsia="等线" w:cs="Times New Roman"/>
                <w:color w:val="auto"/>
                <w:sz w:val="20"/>
                <w:szCs w:val="20"/>
              </w:rPr>
              <w:t>0.0001</w:t>
            </w:r>
          </w:p>
        </w:tc>
        <w:tc>
          <w:tcPr>
            <w:tcW w:w="337" w:type="pct"/>
            <w:noWrap/>
            <w:vAlign w:val="center"/>
          </w:tcPr>
          <w:p w14:paraId="773CAFBB">
            <w:pPr>
              <w:pStyle w:val="33"/>
              <w:rPr>
                <w:color w:val="auto"/>
              </w:rPr>
            </w:pPr>
            <w:r>
              <w:rPr>
                <w:rFonts w:eastAsia="等线" w:cs="Times New Roman"/>
                <w:color w:val="auto"/>
                <w:sz w:val="20"/>
                <w:szCs w:val="20"/>
              </w:rPr>
              <w:t>0.0005</w:t>
            </w:r>
          </w:p>
        </w:tc>
        <w:tc>
          <w:tcPr>
            <w:tcW w:w="335" w:type="pct"/>
            <w:noWrap/>
            <w:vAlign w:val="center"/>
          </w:tcPr>
          <w:p w14:paraId="6E2E8760">
            <w:pPr>
              <w:pStyle w:val="33"/>
              <w:rPr>
                <w:color w:val="auto"/>
              </w:rPr>
            </w:pPr>
            <w:r>
              <w:rPr>
                <w:rFonts w:eastAsia="等线" w:cs="Times New Roman"/>
                <w:color w:val="auto"/>
                <w:sz w:val="20"/>
                <w:szCs w:val="20"/>
              </w:rPr>
              <w:t>0.0024</w:t>
            </w:r>
          </w:p>
        </w:tc>
        <w:tc>
          <w:tcPr>
            <w:tcW w:w="257" w:type="pct"/>
            <w:noWrap/>
            <w:vAlign w:val="center"/>
          </w:tcPr>
          <w:p w14:paraId="0A0C6431">
            <w:pPr>
              <w:pStyle w:val="33"/>
              <w:rPr>
                <w:color w:val="auto"/>
              </w:rPr>
            </w:pPr>
            <w:r>
              <w:rPr>
                <w:rFonts w:eastAsia="等线" w:cs="Times New Roman"/>
                <w:color w:val="auto"/>
                <w:sz w:val="20"/>
                <w:szCs w:val="20"/>
              </w:rPr>
              <w:t>4.9</w:t>
            </w:r>
          </w:p>
        </w:tc>
        <w:tc>
          <w:tcPr>
            <w:tcW w:w="263" w:type="pct"/>
            <w:vMerge w:val="continue"/>
            <w:vAlign w:val="center"/>
          </w:tcPr>
          <w:p w14:paraId="186C5816">
            <w:pPr>
              <w:pStyle w:val="33"/>
              <w:rPr>
                <w:color w:val="auto"/>
              </w:rPr>
            </w:pPr>
          </w:p>
        </w:tc>
        <w:tc>
          <w:tcPr>
            <w:tcW w:w="201" w:type="pct"/>
            <w:vMerge w:val="continue"/>
            <w:vAlign w:val="center"/>
          </w:tcPr>
          <w:p w14:paraId="0F7C04E2">
            <w:pPr>
              <w:pStyle w:val="33"/>
              <w:rPr>
                <w:color w:val="auto"/>
              </w:rPr>
            </w:pPr>
          </w:p>
        </w:tc>
        <w:tc>
          <w:tcPr>
            <w:tcW w:w="277" w:type="pct"/>
            <w:vMerge w:val="continue"/>
            <w:vAlign w:val="center"/>
          </w:tcPr>
          <w:p w14:paraId="23D4111E">
            <w:pPr>
              <w:pStyle w:val="33"/>
              <w:rPr>
                <w:color w:val="auto"/>
              </w:rPr>
            </w:pPr>
          </w:p>
        </w:tc>
        <w:tc>
          <w:tcPr>
            <w:tcW w:w="294" w:type="pct"/>
            <w:vMerge w:val="continue"/>
            <w:vAlign w:val="center"/>
          </w:tcPr>
          <w:p w14:paraId="19A17C86">
            <w:pPr>
              <w:pStyle w:val="33"/>
              <w:rPr>
                <w:color w:val="auto"/>
              </w:rPr>
            </w:pPr>
          </w:p>
        </w:tc>
      </w:tr>
      <w:tr w14:paraId="42CF8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329136B8">
            <w:pPr>
              <w:pStyle w:val="33"/>
              <w:rPr>
                <w:color w:val="auto"/>
              </w:rPr>
            </w:pPr>
          </w:p>
        </w:tc>
        <w:tc>
          <w:tcPr>
            <w:tcW w:w="503" w:type="pct"/>
            <w:vMerge w:val="continue"/>
            <w:vAlign w:val="center"/>
          </w:tcPr>
          <w:p w14:paraId="07ECF75B">
            <w:pPr>
              <w:pStyle w:val="33"/>
              <w:rPr>
                <w:color w:val="auto"/>
              </w:rPr>
            </w:pPr>
          </w:p>
        </w:tc>
        <w:tc>
          <w:tcPr>
            <w:tcW w:w="371" w:type="pct"/>
            <w:noWrap/>
            <w:vAlign w:val="center"/>
          </w:tcPr>
          <w:p w14:paraId="28DA0E9D">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506F6B7C">
            <w:pPr>
              <w:pStyle w:val="33"/>
              <w:rPr>
                <w:color w:val="auto"/>
              </w:rPr>
            </w:pPr>
          </w:p>
        </w:tc>
        <w:tc>
          <w:tcPr>
            <w:tcW w:w="274" w:type="pct"/>
            <w:noWrap/>
            <w:vAlign w:val="center"/>
          </w:tcPr>
          <w:p w14:paraId="5D7B54B4">
            <w:pPr>
              <w:pStyle w:val="33"/>
              <w:rPr>
                <w:color w:val="auto"/>
              </w:rPr>
            </w:pPr>
            <w:r>
              <w:rPr>
                <w:rFonts w:eastAsia="等线" w:cs="Times New Roman"/>
                <w:color w:val="auto"/>
                <w:sz w:val="20"/>
                <w:szCs w:val="20"/>
              </w:rPr>
              <w:t>0.0003</w:t>
            </w:r>
          </w:p>
        </w:tc>
        <w:tc>
          <w:tcPr>
            <w:tcW w:w="283" w:type="pct"/>
            <w:noWrap/>
            <w:vAlign w:val="center"/>
          </w:tcPr>
          <w:p w14:paraId="5F6D635E">
            <w:pPr>
              <w:pStyle w:val="33"/>
              <w:rPr>
                <w:color w:val="auto"/>
              </w:rPr>
            </w:pPr>
            <w:r>
              <w:rPr>
                <w:rFonts w:eastAsia="等线" w:cs="Times New Roman"/>
                <w:color w:val="auto"/>
                <w:sz w:val="20"/>
                <w:szCs w:val="20"/>
              </w:rPr>
              <w:t>0.0030</w:t>
            </w:r>
          </w:p>
        </w:tc>
        <w:tc>
          <w:tcPr>
            <w:tcW w:w="334" w:type="pct"/>
            <w:noWrap/>
            <w:vAlign w:val="center"/>
          </w:tcPr>
          <w:p w14:paraId="0289EF29">
            <w:pPr>
              <w:pStyle w:val="33"/>
              <w:rPr>
                <w:color w:val="auto"/>
              </w:rPr>
            </w:pPr>
            <w:r>
              <w:rPr>
                <w:rFonts w:eastAsia="等线" w:cs="Times New Roman"/>
                <w:color w:val="auto"/>
                <w:sz w:val="20"/>
                <w:szCs w:val="20"/>
              </w:rPr>
              <w:t>0.0137</w:t>
            </w:r>
          </w:p>
        </w:tc>
        <w:tc>
          <w:tcPr>
            <w:tcW w:w="211" w:type="pct"/>
            <w:vMerge w:val="continue"/>
            <w:vAlign w:val="center"/>
          </w:tcPr>
          <w:p w14:paraId="00A89B7D">
            <w:pPr>
              <w:pStyle w:val="33"/>
              <w:rPr>
                <w:color w:val="auto"/>
              </w:rPr>
            </w:pPr>
          </w:p>
        </w:tc>
        <w:tc>
          <w:tcPr>
            <w:tcW w:w="285" w:type="pct"/>
            <w:vMerge w:val="continue"/>
            <w:vAlign w:val="center"/>
          </w:tcPr>
          <w:p w14:paraId="5F61C89A">
            <w:pPr>
              <w:pStyle w:val="33"/>
              <w:rPr>
                <w:color w:val="auto"/>
              </w:rPr>
            </w:pPr>
          </w:p>
        </w:tc>
        <w:tc>
          <w:tcPr>
            <w:tcW w:w="328" w:type="pct"/>
            <w:noWrap/>
            <w:vAlign w:val="center"/>
          </w:tcPr>
          <w:p w14:paraId="4559A3A4">
            <w:pPr>
              <w:pStyle w:val="33"/>
              <w:rPr>
                <w:color w:val="auto"/>
              </w:rPr>
            </w:pPr>
            <w:r>
              <w:rPr>
                <w:rFonts w:eastAsia="等线" w:cs="Times New Roman"/>
                <w:color w:val="auto"/>
                <w:sz w:val="20"/>
                <w:szCs w:val="20"/>
              </w:rPr>
              <w:t>0.0000</w:t>
            </w:r>
          </w:p>
        </w:tc>
        <w:tc>
          <w:tcPr>
            <w:tcW w:w="337" w:type="pct"/>
            <w:noWrap/>
            <w:vAlign w:val="center"/>
          </w:tcPr>
          <w:p w14:paraId="1AE7A04C">
            <w:pPr>
              <w:pStyle w:val="33"/>
              <w:rPr>
                <w:color w:val="auto"/>
              </w:rPr>
            </w:pPr>
            <w:r>
              <w:rPr>
                <w:rFonts w:eastAsia="等线" w:cs="Times New Roman"/>
                <w:color w:val="auto"/>
                <w:sz w:val="20"/>
                <w:szCs w:val="20"/>
              </w:rPr>
              <w:t>0.0001</w:t>
            </w:r>
          </w:p>
        </w:tc>
        <w:tc>
          <w:tcPr>
            <w:tcW w:w="335" w:type="pct"/>
            <w:noWrap/>
            <w:vAlign w:val="center"/>
          </w:tcPr>
          <w:p w14:paraId="42FD55A8">
            <w:pPr>
              <w:pStyle w:val="33"/>
              <w:rPr>
                <w:color w:val="auto"/>
              </w:rPr>
            </w:pPr>
            <w:r>
              <w:rPr>
                <w:rFonts w:eastAsia="等线" w:cs="Times New Roman"/>
                <w:color w:val="auto"/>
                <w:sz w:val="20"/>
                <w:szCs w:val="20"/>
              </w:rPr>
              <w:t>0.0006</w:t>
            </w:r>
          </w:p>
        </w:tc>
        <w:tc>
          <w:tcPr>
            <w:tcW w:w="257" w:type="pct"/>
            <w:noWrap/>
            <w:vAlign w:val="center"/>
          </w:tcPr>
          <w:p w14:paraId="0BCBE3E7">
            <w:pPr>
              <w:pStyle w:val="33"/>
              <w:rPr>
                <w:color w:val="auto"/>
              </w:rPr>
            </w:pPr>
            <w:r>
              <w:rPr>
                <w:rFonts w:eastAsia="等线" w:cs="Times New Roman"/>
                <w:color w:val="auto"/>
                <w:sz w:val="20"/>
                <w:szCs w:val="20"/>
              </w:rPr>
              <w:t>0.33</w:t>
            </w:r>
          </w:p>
        </w:tc>
        <w:tc>
          <w:tcPr>
            <w:tcW w:w="263" w:type="pct"/>
            <w:vMerge w:val="continue"/>
            <w:vAlign w:val="center"/>
          </w:tcPr>
          <w:p w14:paraId="27F2CE8A">
            <w:pPr>
              <w:pStyle w:val="33"/>
              <w:rPr>
                <w:color w:val="auto"/>
              </w:rPr>
            </w:pPr>
          </w:p>
        </w:tc>
        <w:tc>
          <w:tcPr>
            <w:tcW w:w="201" w:type="pct"/>
            <w:vMerge w:val="continue"/>
            <w:vAlign w:val="center"/>
          </w:tcPr>
          <w:p w14:paraId="28EA51C3">
            <w:pPr>
              <w:pStyle w:val="33"/>
              <w:rPr>
                <w:color w:val="auto"/>
              </w:rPr>
            </w:pPr>
          </w:p>
        </w:tc>
        <w:tc>
          <w:tcPr>
            <w:tcW w:w="277" w:type="pct"/>
            <w:vMerge w:val="continue"/>
            <w:vAlign w:val="center"/>
          </w:tcPr>
          <w:p w14:paraId="404F6036">
            <w:pPr>
              <w:pStyle w:val="33"/>
              <w:rPr>
                <w:color w:val="auto"/>
              </w:rPr>
            </w:pPr>
          </w:p>
        </w:tc>
        <w:tc>
          <w:tcPr>
            <w:tcW w:w="294" w:type="pct"/>
            <w:vMerge w:val="continue"/>
            <w:vAlign w:val="center"/>
          </w:tcPr>
          <w:p w14:paraId="402ABE33">
            <w:pPr>
              <w:pStyle w:val="33"/>
              <w:rPr>
                <w:color w:val="auto"/>
              </w:rPr>
            </w:pPr>
          </w:p>
        </w:tc>
      </w:tr>
      <w:tr w14:paraId="16E2A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2EB114D7">
            <w:pPr>
              <w:pStyle w:val="33"/>
              <w:rPr>
                <w:color w:val="auto"/>
              </w:rPr>
            </w:pPr>
            <w:r>
              <w:rPr>
                <w:color w:val="auto"/>
              </w:rPr>
              <w:t>7</w:t>
            </w:r>
          </w:p>
        </w:tc>
        <w:tc>
          <w:tcPr>
            <w:tcW w:w="503" w:type="pct"/>
            <w:vMerge w:val="restart"/>
            <w:noWrap/>
            <w:vAlign w:val="center"/>
          </w:tcPr>
          <w:p w14:paraId="5A7936C6">
            <w:pPr>
              <w:pStyle w:val="33"/>
              <w:rPr>
                <w:color w:val="auto"/>
              </w:rPr>
            </w:pPr>
            <w:r>
              <w:rPr>
                <w:rFonts w:hint="eastAsia"/>
                <w:color w:val="auto"/>
                <w:sz w:val="20"/>
                <w:szCs w:val="20"/>
              </w:rPr>
              <w:t>终沉池</w:t>
            </w:r>
          </w:p>
        </w:tc>
        <w:tc>
          <w:tcPr>
            <w:tcW w:w="371" w:type="pct"/>
            <w:noWrap/>
            <w:vAlign w:val="center"/>
          </w:tcPr>
          <w:p w14:paraId="77372C62">
            <w:pPr>
              <w:pStyle w:val="33"/>
              <w:rPr>
                <w:color w:val="auto"/>
              </w:rPr>
            </w:pPr>
            <w:r>
              <w:rPr>
                <w:color w:val="auto"/>
              </w:rPr>
              <w:t>NH</w:t>
            </w:r>
            <w:r>
              <w:rPr>
                <w:color w:val="auto"/>
                <w:vertAlign w:val="subscript"/>
              </w:rPr>
              <w:t>3</w:t>
            </w:r>
          </w:p>
        </w:tc>
        <w:tc>
          <w:tcPr>
            <w:tcW w:w="298" w:type="pct"/>
            <w:vMerge w:val="continue"/>
            <w:vAlign w:val="center"/>
          </w:tcPr>
          <w:p w14:paraId="1AAE9F5E">
            <w:pPr>
              <w:pStyle w:val="33"/>
              <w:rPr>
                <w:color w:val="auto"/>
              </w:rPr>
            </w:pPr>
          </w:p>
        </w:tc>
        <w:tc>
          <w:tcPr>
            <w:tcW w:w="274" w:type="pct"/>
            <w:noWrap/>
            <w:vAlign w:val="center"/>
          </w:tcPr>
          <w:p w14:paraId="3824A50D">
            <w:pPr>
              <w:pStyle w:val="33"/>
              <w:rPr>
                <w:color w:val="auto"/>
              </w:rPr>
            </w:pPr>
            <w:r>
              <w:rPr>
                <w:rFonts w:eastAsia="等线" w:cs="Times New Roman"/>
                <w:color w:val="auto"/>
                <w:sz w:val="20"/>
                <w:szCs w:val="20"/>
              </w:rPr>
              <w:t>0.0025</w:t>
            </w:r>
          </w:p>
        </w:tc>
        <w:tc>
          <w:tcPr>
            <w:tcW w:w="283" w:type="pct"/>
            <w:noWrap/>
            <w:vAlign w:val="center"/>
          </w:tcPr>
          <w:p w14:paraId="70DCBDA2">
            <w:pPr>
              <w:pStyle w:val="33"/>
              <w:rPr>
                <w:color w:val="auto"/>
              </w:rPr>
            </w:pPr>
            <w:r>
              <w:rPr>
                <w:rFonts w:eastAsia="等线" w:cs="Times New Roman"/>
                <w:color w:val="auto"/>
                <w:sz w:val="20"/>
                <w:szCs w:val="20"/>
              </w:rPr>
              <w:t>0.0216</w:t>
            </w:r>
          </w:p>
        </w:tc>
        <w:tc>
          <w:tcPr>
            <w:tcW w:w="334" w:type="pct"/>
            <w:noWrap/>
            <w:vAlign w:val="center"/>
          </w:tcPr>
          <w:p w14:paraId="5F63EEDA">
            <w:pPr>
              <w:pStyle w:val="33"/>
              <w:rPr>
                <w:color w:val="auto"/>
              </w:rPr>
            </w:pPr>
            <w:r>
              <w:rPr>
                <w:rFonts w:eastAsia="等线" w:cs="Times New Roman"/>
                <w:color w:val="auto"/>
                <w:sz w:val="20"/>
                <w:szCs w:val="20"/>
              </w:rPr>
              <w:t>0.0988</w:t>
            </w:r>
          </w:p>
        </w:tc>
        <w:tc>
          <w:tcPr>
            <w:tcW w:w="211" w:type="pct"/>
            <w:vMerge w:val="continue"/>
            <w:vAlign w:val="center"/>
          </w:tcPr>
          <w:p w14:paraId="17CF1CE8">
            <w:pPr>
              <w:pStyle w:val="33"/>
              <w:rPr>
                <w:color w:val="auto"/>
              </w:rPr>
            </w:pPr>
          </w:p>
        </w:tc>
        <w:tc>
          <w:tcPr>
            <w:tcW w:w="285" w:type="pct"/>
            <w:vMerge w:val="continue"/>
            <w:vAlign w:val="center"/>
          </w:tcPr>
          <w:p w14:paraId="7F949F7C">
            <w:pPr>
              <w:pStyle w:val="33"/>
              <w:rPr>
                <w:color w:val="auto"/>
              </w:rPr>
            </w:pPr>
          </w:p>
        </w:tc>
        <w:tc>
          <w:tcPr>
            <w:tcW w:w="328" w:type="pct"/>
            <w:noWrap/>
            <w:vAlign w:val="center"/>
          </w:tcPr>
          <w:p w14:paraId="03B74286">
            <w:pPr>
              <w:pStyle w:val="33"/>
              <w:rPr>
                <w:color w:val="auto"/>
              </w:rPr>
            </w:pPr>
            <w:r>
              <w:rPr>
                <w:rFonts w:eastAsia="等线" w:cs="Times New Roman"/>
                <w:color w:val="auto"/>
                <w:sz w:val="20"/>
                <w:szCs w:val="20"/>
              </w:rPr>
              <w:t>0.0002</w:t>
            </w:r>
          </w:p>
        </w:tc>
        <w:tc>
          <w:tcPr>
            <w:tcW w:w="337" w:type="pct"/>
            <w:noWrap/>
            <w:vAlign w:val="center"/>
          </w:tcPr>
          <w:p w14:paraId="287FC681">
            <w:pPr>
              <w:pStyle w:val="33"/>
              <w:rPr>
                <w:color w:val="auto"/>
              </w:rPr>
            </w:pPr>
            <w:r>
              <w:rPr>
                <w:rFonts w:eastAsia="等线" w:cs="Times New Roman"/>
                <w:color w:val="auto"/>
                <w:sz w:val="20"/>
                <w:szCs w:val="20"/>
              </w:rPr>
              <w:t>0.0019</w:t>
            </w:r>
          </w:p>
        </w:tc>
        <w:tc>
          <w:tcPr>
            <w:tcW w:w="335" w:type="pct"/>
            <w:noWrap/>
            <w:vAlign w:val="center"/>
          </w:tcPr>
          <w:p w14:paraId="48EF02B4">
            <w:pPr>
              <w:pStyle w:val="33"/>
              <w:rPr>
                <w:color w:val="auto"/>
              </w:rPr>
            </w:pPr>
            <w:r>
              <w:rPr>
                <w:rFonts w:eastAsia="等线" w:cs="Times New Roman"/>
                <w:color w:val="auto"/>
                <w:sz w:val="20"/>
                <w:szCs w:val="20"/>
              </w:rPr>
              <w:t>0.0089</w:t>
            </w:r>
          </w:p>
        </w:tc>
        <w:tc>
          <w:tcPr>
            <w:tcW w:w="257" w:type="pct"/>
            <w:noWrap/>
            <w:vAlign w:val="center"/>
          </w:tcPr>
          <w:p w14:paraId="144783F1">
            <w:pPr>
              <w:pStyle w:val="33"/>
              <w:rPr>
                <w:color w:val="auto"/>
              </w:rPr>
            </w:pPr>
            <w:r>
              <w:rPr>
                <w:rFonts w:eastAsia="等线" w:cs="Times New Roman"/>
                <w:color w:val="auto"/>
                <w:sz w:val="20"/>
                <w:szCs w:val="20"/>
              </w:rPr>
              <w:t>4.9</w:t>
            </w:r>
          </w:p>
        </w:tc>
        <w:tc>
          <w:tcPr>
            <w:tcW w:w="263" w:type="pct"/>
            <w:vMerge w:val="continue"/>
            <w:vAlign w:val="center"/>
          </w:tcPr>
          <w:p w14:paraId="169D7225">
            <w:pPr>
              <w:pStyle w:val="33"/>
              <w:rPr>
                <w:color w:val="auto"/>
              </w:rPr>
            </w:pPr>
          </w:p>
        </w:tc>
        <w:tc>
          <w:tcPr>
            <w:tcW w:w="201" w:type="pct"/>
            <w:vMerge w:val="continue"/>
            <w:vAlign w:val="center"/>
          </w:tcPr>
          <w:p w14:paraId="3130B4C2">
            <w:pPr>
              <w:pStyle w:val="33"/>
              <w:rPr>
                <w:color w:val="auto"/>
              </w:rPr>
            </w:pPr>
          </w:p>
        </w:tc>
        <w:tc>
          <w:tcPr>
            <w:tcW w:w="277" w:type="pct"/>
            <w:vMerge w:val="continue"/>
            <w:vAlign w:val="center"/>
          </w:tcPr>
          <w:p w14:paraId="34933C9C">
            <w:pPr>
              <w:pStyle w:val="33"/>
              <w:rPr>
                <w:color w:val="auto"/>
              </w:rPr>
            </w:pPr>
          </w:p>
        </w:tc>
        <w:tc>
          <w:tcPr>
            <w:tcW w:w="294" w:type="pct"/>
            <w:vMerge w:val="continue"/>
            <w:vAlign w:val="center"/>
          </w:tcPr>
          <w:p w14:paraId="0F89071D">
            <w:pPr>
              <w:pStyle w:val="33"/>
              <w:rPr>
                <w:color w:val="auto"/>
              </w:rPr>
            </w:pPr>
          </w:p>
        </w:tc>
      </w:tr>
      <w:tr w14:paraId="3EA5E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0F29AFDC">
            <w:pPr>
              <w:pStyle w:val="33"/>
              <w:rPr>
                <w:color w:val="auto"/>
              </w:rPr>
            </w:pPr>
          </w:p>
        </w:tc>
        <w:tc>
          <w:tcPr>
            <w:tcW w:w="503" w:type="pct"/>
            <w:vMerge w:val="continue"/>
            <w:vAlign w:val="center"/>
          </w:tcPr>
          <w:p w14:paraId="4D4C35C8">
            <w:pPr>
              <w:pStyle w:val="33"/>
              <w:rPr>
                <w:color w:val="auto"/>
              </w:rPr>
            </w:pPr>
          </w:p>
        </w:tc>
        <w:tc>
          <w:tcPr>
            <w:tcW w:w="371" w:type="pct"/>
            <w:noWrap/>
            <w:vAlign w:val="center"/>
          </w:tcPr>
          <w:p w14:paraId="7FB80F98">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533B4788">
            <w:pPr>
              <w:pStyle w:val="33"/>
              <w:rPr>
                <w:color w:val="auto"/>
              </w:rPr>
            </w:pPr>
          </w:p>
        </w:tc>
        <w:tc>
          <w:tcPr>
            <w:tcW w:w="274" w:type="pct"/>
            <w:noWrap/>
            <w:vAlign w:val="center"/>
          </w:tcPr>
          <w:p w14:paraId="24341C6D">
            <w:pPr>
              <w:pStyle w:val="33"/>
              <w:rPr>
                <w:color w:val="auto"/>
              </w:rPr>
            </w:pPr>
            <w:r>
              <w:rPr>
                <w:rFonts w:eastAsia="等线" w:cs="Times New Roman"/>
                <w:color w:val="auto"/>
                <w:sz w:val="20"/>
                <w:szCs w:val="20"/>
              </w:rPr>
              <w:t>0.0046</w:t>
            </w:r>
          </w:p>
        </w:tc>
        <w:tc>
          <w:tcPr>
            <w:tcW w:w="283" w:type="pct"/>
            <w:noWrap/>
            <w:vAlign w:val="center"/>
          </w:tcPr>
          <w:p w14:paraId="7E334A46">
            <w:pPr>
              <w:pStyle w:val="33"/>
              <w:rPr>
                <w:color w:val="auto"/>
              </w:rPr>
            </w:pPr>
            <w:r>
              <w:rPr>
                <w:rFonts w:eastAsia="等线" w:cs="Times New Roman"/>
                <w:color w:val="auto"/>
                <w:sz w:val="20"/>
                <w:szCs w:val="20"/>
              </w:rPr>
              <w:t>0.0405</w:t>
            </w:r>
          </w:p>
        </w:tc>
        <w:tc>
          <w:tcPr>
            <w:tcW w:w="334" w:type="pct"/>
            <w:noWrap/>
            <w:vAlign w:val="center"/>
          </w:tcPr>
          <w:p w14:paraId="10B566FA">
            <w:pPr>
              <w:pStyle w:val="33"/>
              <w:rPr>
                <w:color w:val="auto"/>
              </w:rPr>
            </w:pPr>
            <w:r>
              <w:rPr>
                <w:rFonts w:eastAsia="等线" w:cs="Times New Roman"/>
                <w:color w:val="auto"/>
                <w:sz w:val="20"/>
                <w:szCs w:val="20"/>
              </w:rPr>
              <w:t>0.1850</w:t>
            </w:r>
          </w:p>
        </w:tc>
        <w:tc>
          <w:tcPr>
            <w:tcW w:w="211" w:type="pct"/>
            <w:vMerge w:val="continue"/>
            <w:vAlign w:val="center"/>
          </w:tcPr>
          <w:p w14:paraId="1A3C4EED">
            <w:pPr>
              <w:pStyle w:val="33"/>
              <w:rPr>
                <w:color w:val="auto"/>
              </w:rPr>
            </w:pPr>
          </w:p>
        </w:tc>
        <w:tc>
          <w:tcPr>
            <w:tcW w:w="285" w:type="pct"/>
            <w:vMerge w:val="continue"/>
            <w:vAlign w:val="center"/>
          </w:tcPr>
          <w:p w14:paraId="16ACA63A">
            <w:pPr>
              <w:pStyle w:val="33"/>
              <w:rPr>
                <w:color w:val="auto"/>
              </w:rPr>
            </w:pPr>
          </w:p>
        </w:tc>
        <w:tc>
          <w:tcPr>
            <w:tcW w:w="328" w:type="pct"/>
            <w:noWrap/>
            <w:vAlign w:val="center"/>
          </w:tcPr>
          <w:p w14:paraId="7871C786">
            <w:pPr>
              <w:pStyle w:val="33"/>
              <w:rPr>
                <w:color w:val="auto"/>
              </w:rPr>
            </w:pPr>
            <w:r>
              <w:rPr>
                <w:rFonts w:eastAsia="等线" w:cs="Times New Roman"/>
                <w:color w:val="auto"/>
                <w:sz w:val="20"/>
                <w:szCs w:val="20"/>
              </w:rPr>
              <w:t>0.0002</w:t>
            </w:r>
          </w:p>
        </w:tc>
        <w:tc>
          <w:tcPr>
            <w:tcW w:w="337" w:type="pct"/>
            <w:noWrap/>
            <w:vAlign w:val="center"/>
          </w:tcPr>
          <w:p w14:paraId="40005252">
            <w:pPr>
              <w:pStyle w:val="33"/>
              <w:rPr>
                <w:color w:val="auto"/>
              </w:rPr>
            </w:pPr>
            <w:r>
              <w:rPr>
                <w:rFonts w:eastAsia="等线" w:cs="Times New Roman"/>
                <w:color w:val="auto"/>
                <w:sz w:val="20"/>
                <w:szCs w:val="20"/>
              </w:rPr>
              <w:t>0.0018</w:t>
            </w:r>
          </w:p>
        </w:tc>
        <w:tc>
          <w:tcPr>
            <w:tcW w:w="335" w:type="pct"/>
            <w:noWrap/>
            <w:vAlign w:val="center"/>
          </w:tcPr>
          <w:p w14:paraId="6762EA54">
            <w:pPr>
              <w:pStyle w:val="33"/>
              <w:rPr>
                <w:color w:val="auto"/>
              </w:rPr>
            </w:pPr>
            <w:r>
              <w:rPr>
                <w:rFonts w:eastAsia="等线" w:cs="Times New Roman"/>
                <w:color w:val="auto"/>
                <w:sz w:val="20"/>
                <w:szCs w:val="20"/>
              </w:rPr>
              <w:t>0.0083</w:t>
            </w:r>
          </w:p>
        </w:tc>
        <w:tc>
          <w:tcPr>
            <w:tcW w:w="257" w:type="pct"/>
            <w:noWrap/>
            <w:vAlign w:val="center"/>
          </w:tcPr>
          <w:p w14:paraId="58C490D9">
            <w:pPr>
              <w:pStyle w:val="33"/>
              <w:rPr>
                <w:color w:val="auto"/>
              </w:rPr>
            </w:pPr>
            <w:r>
              <w:rPr>
                <w:rFonts w:eastAsia="等线" w:cs="Times New Roman"/>
                <w:color w:val="auto"/>
                <w:sz w:val="20"/>
                <w:szCs w:val="20"/>
              </w:rPr>
              <w:t>0.33</w:t>
            </w:r>
          </w:p>
        </w:tc>
        <w:tc>
          <w:tcPr>
            <w:tcW w:w="263" w:type="pct"/>
            <w:vMerge w:val="continue"/>
            <w:vAlign w:val="center"/>
          </w:tcPr>
          <w:p w14:paraId="07F5CA19">
            <w:pPr>
              <w:pStyle w:val="33"/>
              <w:rPr>
                <w:color w:val="auto"/>
              </w:rPr>
            </w:pPr>
          </w:p>
        </w:tc>
        <w:tc>
          <w:tcPr>
            <w:tcW w:w="201" w:type="pct"/>
            <w:vMerge w:val="continue"/>
            <w:vAlign w:val="center"/>
          </w:tcPr>
          <w:p w14:paraId="7B56DED2">
            <w:pPr>
              <w:pStyle w:val="33"/>
              <w:rPr>
                <w:color w:val="auto"/>
              </w:rPr>
            </w:pPr>
          </w:p>
        </w:tc>
        <w:tc>
          <w:tcPr>
            <w:tcW w:w="277" w:type="pct"/>
            <w:vMerge w:val="continue"/>
            <w:vAlign w:val="center"/>
          </w:tcPr>
          <w:p w14:paraId="4EAF11E7">
            <w:pPr>
              <w:pStyle w:val="33"/>
              <w:rPr>
                <w:color w:val="auto"/>
              </w:rPr>
            </w:pPr>
          </w:p>
        </w:tc>
        <w:tc>
          <w:tcPr>
            <w:tcW w:w="294" w:type="pct"/>
            <w:vMerge w:val="continue"/>
            <w:vAlign w:val="center"/>
          </w:tcPr>
          <w:p w14:paraId="2D4EAF40">
            <w:pPr>
              <w:pStyle w:val="33"/>
              <w:rPr>
                <w:color w:val="auto"/>
              </w:rPr>
            </w:pPr>
          </w:p>
        </w:tc>
      </w:tr>
      <w:tr w14:paraId="301BF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7D770BE2">
            <w:pPr>
              <w:pStyle w:val="33"/>
              <w:rPr>
                <w:color w:val="auto"/>
              </w:rPr>
            </w:pPr>
            <w:r>
              <w:rPr>
                <w:color w:val="auto"/>
              </w:rPr>
              <w:t>8</w:t>
            </w:r>
          </w:p>
        </w:tc>
        <w:tc>
          <w:tcPr>
            <w:tcW w:w="503" w:type="pct"/>
            <w:vMerge w:val="restart"/>
            <w:noWrap/>
            <w:vAlign w:val="center"/>
          </w:tcPr>
          <w:p w14:paraId="5B0FDFC6">
            <w:pPr>
              <w:pStyle w:val="33"/>
              <w:rPr>
                <w:color w:val="auto"/>
              </w:rPr>
            </w:pPr>
            <w:r>
              <w:rPr>
                <w:rFonts w:hint="eastAsia"/>
                <w:color w:val="auto"/>
                <w:sz w:val="20"/>
                <w:szCs w:val="20"/>
              </w:rPr>
              <w:t>脱水机房</w:t>
            </w:r>
          </w:p>
        </w:tc>
        <w:tc>
          <w:tcPr>
            <w:tcW w:w="371" w:type="pct"/>
            <w:noWrap/>
            <w:vAlign w:val="center"/>
          </w:tcPr>
          <w:p w14:paraId="0B08A6BE">
            <w:pPr>
              <w:pStyle w:val="33"/>
              <w:rPr>
                <w:color w:val="auto"/>
              </w:rPr>
            </w:pPr>
            <w:r>
              <w:rPr>
                <w:color w:val="auto"/>
              </w:rPr>
              <w:t>NH</w:t>
            </w:r>
            <w:r>
              <w:rPr>
                <w:color w:val="auto"/>
                <w:vertAlign w:val="subscript"/>
              </w:rPr>
              <w:t>3</w:t>
            </w:r>
          </w:p>
        </w:tc>
        <w:tc>
          <w:tcPr>
            <w:tcW w:w="298" w:type="pct"/>
            <w:vMerge w:val="continue"/>
            <w:vAlign w:val="center"/>
          </w:tcPr>
          <w:p w14:paraId="65F18B82">
            <w:pPr>
              <w:pStyle w:val="33"/>
              <w:rPr>
                <w:color w:val="auto"/>
              </w:rPr>
            </w:pPr>
          </w:p>
        </w:tc>
        <w:tc>
          <w:tcPr>
            <w:tcW w:w="274" w:type="pct"/>
            <w:noWrap/>
            <w:vAlign w:val="center"/>
          </w:tcPr>
          <w:p w14:paraId="7E81D4D0">
            <w:pPr>
              <w:pStyle w:val="33"/>
              <w:rPr>
                <w:color w:val="auto"/>
              </w:rPr>
            </w:pPr>
            <w:r>
              <w:rPr>
                <w:rFonts w:eastAsia="等线" w:cs="Times New Roman"/>
                <w:color w:val="auto"/>
                <w:sz w:val="20"/>
                <w:szCs w:val="20"/>
              </w:rPr>
              <w:t>0.0100</w:t>
            </w:r>
          </w:p>
        </w:tc>
        <w:tc>
          <w:tcPr>
            <w:tcW w:w="283" w:type="pct"/>
            <w:noWrap/>
            <w:vAlign w:val="center"/>
          </w:tcPr>
          <w:p w14:paraId="55CE208E">
            <w:pPr>
              <w:pStyle w:val="33"/>
              <w:rPr>
                <w:color w:val="auto"/>
              </w:rPr>
            </w:pPr>
            <w:r>
              <w:rPr>
                <w:rFonts w:eastAsia="等线" w:cs="Times New Roman"/>
                <w:color w:val="auto"/>
                <w:sz w:val="20"/>
                <w:szCs w:val="20"/>
              </w:rPr>
              <w:t>0.0878</w:t>
            </w:r>
          </w:p>
        </w:tc>
        <w:tc>
          <w:tcPr>
            <w:tcW w:w="334" w:type="pct"/>
            <w:noWrap/>
            <w:vAlign w:val="center"/>
          </w:tcPr>
          <w:p w14:paraId="5FC3BE20">
            <w:pPr>
              <w:pStyle w:val="33"/>
              <w:rPr>
                <w:color w:val="auto"/>
              </w:rPr>
            </w:pPr>
            <w:r>
              <w:rPr>
                <w:rFonts w:eastAsia="等线" w:cs="Times New Roman"/>
                <w:color w:val="auto"/>
                <w:sz w:val="20"/>
                <w:szCs w:val="20"/>
              </w:rPr>
              <w:t>0.4008</w:t>
            </w:r>
          </w:p>
        </w:tc>
        <w:tc>
          <w:tcPr>
            <w:tcW w:w="211" w:type="pct"/>
            <w:vMerge w:val="continue"/>
            <w:vAlign w:val="center"/>
          </w:tcPr>
          <w:p w14:paraId="7361C9F5">
            <w:pPr>
              <w:pStyle w:val="33"/>
              <w:rPr>
                <w:color w:val="auto"/>
              </w:rPr>
            </w:pPr>
          </w:p>
        </w:tc>
        <w:tc>
          <w:tcPr>
            <w:tcW w:w="285" w:type="pct"/>
            <w:vMerge w:val="continue"/>
            <w:vAlign w:val="center"/>
          </w:tcPr>
          <w:p w14:paraId="098DB145">
            <w:pPr>
              <w:pStyle w:val="33"/>
              <w:rPr>
                <w:color w:val="auto"/>
              </w:rPr>
            </w:pPr>
          </w:p>
        </w:tc>
        <w:tc>
          <w:tcPr>
            <w:tcW w:w="328" w:type="pct"/>
            <w:noWrap/>
            <w:vAlign w:val="center"/>
          </w:tcPr>
          <w:p w14:paraId="1BD661E3">
            <w:pPr>
              <w:pStyle w:val="33"/>
              <w:rPr>
                <w:color w:val="auto"/>
              </w:rPr>
            </w:pPr>
            <w:r>
              <w:rPr>
                <w:rFonts w:eastAsia="等线" w:cs="Times New Roman"/>
                <w:color w:val="auto"/>
                <w:sz w:val="20"/>
                <w:szCs w:val="20"/>
              </w:rPr>
              <w:t>0.0009</w:t>
            </w:r>
          </w:p>
        </w:tc>
        <w:tc>
          <w:tcPr>
            <w:tcW w:w="337" w:type="pct"/>
            <w:noWrap/>
            <w:vAlign w:val="center"/>
          </w:tcPr>
          <w:p w14:paraId="0A75EF53">
            <w:pPr>
              <w:pStyle w:val="33"/>
              <w:rPr>
                <w:color w:val="auto"/>
              </w:rPr>
            </w:pPr>
            <w:r>
              <w:rPr>
                <w:rFonts w:eastAsia="等线" w:cs="Times New Roman"/>
                <w:color w:val="auto"/>
                <w:sz w:val="20"/>
                <w:szCs w:val="20"/>
              </w:rPr>
              <w:t>0.0079</w:t>
            </w:r>
          </w:p>
        </w:tc>
        <w:tc>
          <w:tcPr>
            <w:tcW w:w="335" w:type="pct"/>
            <w:noWrap/>
            <w:vAlign w:val="center"/>
          </w:tcPr>
          <w:p w14:paraId="696AFCEB">
            <w:pPr>
              <w:pStyle w:val="33"/>
              <w:rPr>
                <w:color w:val="auto"/>
              </w:rPr>
            </w:pPr>
            <w:r>
              <w:rPr>
                <w:rFonts w:eastAsia="等线" w:cs="Times New Roman"/>
                <w:color w:val="auto"/>
                <w:sz w:val="20"/>
                <w:szCs w:val="20"/>
              </w:rPr>
              <w:t>0.0361</w:t>
            </w:r>
          </w:p>
        </w:tc>
        <w:tc>
          <w:tcPr>
            <w:tcW w:w="257" w:type="pct"/>
            <w:noWrap/>
            <w:vAlign w:val="center"/>
          </w:tcPr>
          <w:p w14:paraId="4875C54C">
            <w:pPr>
              <w:pStyle w:val="33"/>
              <w:rPr>
                <w:color w:val="auto"/>
              </w:rPr>
            </w:pPr>
            <w:r>
              <w:rPr>
                <w:rFonts w:eastAsia="等线" w:cs="Times New Roman"/>
                <w:color w:val="auto"/>
                <w:sz w:val="20"/>
                <w:szCs w:val="20"/>
              </w:rPr>
              <w:t>4.9</w:t>
            </w:r>
          </w:p>
        </w:tc>
        <w:tc>
          <w:tcPr>
            <w:tcW w:w="263" w:type="pct"/>
            <w:vMerge w:val="continue"/>
            <w:vAlign w:val="center"/>
          </w:tcPr>
          <w:p w14:paraId="691ECD19">
            <w:pPr>
              <w:pStyle w:val="33"/>
              <w:rPr>
                <w:color w:val="auto"/>
              </w:rPr>
            </w:pPr>
          </w:p>
        </w:tc>
        <w:tc>
          <w:tcPr>
            <w:tcW w:w="201" w:type="pct"/>
            <w:vMerge w:val="continue"/>
            <w:vAlign w:val="center"/>
          </w:tcPr>
          <w:p w14:paraId="5DAF25C7">
            <w:pPr>
              <w:pStyle w:val="33"/>
              <w:rPr>
                <w:color w:val="auto"/>
              </w:rPr>
            </w:pPr>
          </w:p>
        </w:tc>
        <w:tc>
          <w:tcPr>
            <w:tcW w:w="277" w:type="pct"/>
            <w:vMerge w:val="continue"/>
            <w:vAlign w:val="center"/>
          </w:tcPr>
          <w:p w14:paraId="23491A23">
            <w:pPr>
              <w:pStyle w:val="33"/>
              <w:rPr>
                <w:color w:val="auto"/>
              </w:rPr>
            </w:pPr>
          </w:p>
        </w:tc>
        <w:tc>
          <w:tcPr>
            <w:tcW w:w="294" w:type="pct"/>
            <w:vMerge w:val="continue"/>
            <w:vAlign w:val="center"/>
          </w:tcPr>
          <w:p w14:paraId="467C7832">
            <w:pPr>
              <w:pStyle w:val="33"/>
              <w:rPr>
                <w:color w:val="auto"/>
              </w:rPr>
            </w:pPr>
          </w:p>
        </w:tc>
      </w:tr>
      <w:tr w14:paraId="39507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3C76D527">
            <w:pPr>
              <w:pStyle w:val="33"/>
              <w:rPr>
                <w:color w:val="auto"/>
              </w:rPr>
            </w:pPr>
          </w:p>
        </w:tc>
        <w:tc>
          <w:tcPr>
            <w:tcW w:w="503" w:type="pct"/>
            <w:vMerge w:val="continue"/>
            <w:vAlign w:val="center"/>
          </w:tcPr>
          <w:p w14:paraId="35DC1EB2">
            <w:pPr>
              <w:pStyle w:val="33"/>
              <w:rPr>
                <w:color w:val="auto"/>
              </w:rPr>
            </w:pPr>
          </w:p>
        </w:tc>
        <w:tc>
          <w:tcPr>
            <w:tcW w:w="371" w:type="pct"/>
            <w:noWrap/>
            <w:vAlign w:val="center"/>
          </w:tcPr>
          <w:p w14:paraId="58927139">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050E7A64">
            <w:pPr>
              <w:pStyle w:val="33"/>
              <w:rPr>
                <w:color w:val="auto"/>
              </w:rPr>
            </w:pPr>
          </w:p>
        </w:tc>
        <w:tc>
          <w:tcPr>
            <w:tcW w:w="274" w:type="pct"/>
            <w:noWrap/>
            <w:vAlign w:val="center"/>
          </w:tcPr>
          <w:p w14:paraId="177A0A46">
            <w:pPr>
              <w:pStyle w:val="33"/>
              <w:rPr>
                <w:color w:val="auto"/>
              </w:rPr>
            </w:pPr>
            <w:r>
              <w:rPr>
                <w:rFonts w:eastAsia="等线" w:cs="Times New Roman"/>
                <w:color w:val="auto"/>
                <w:sz w:val="20"/>
                <w:szCs w:val="20"/>
              </w:rPr>
              <w:t>0.0118</w:t>
            </w:r>
          </w:p>
        </w:tc>
        <w:tc>
          <w:tcPr>
            <w:tcW w:w="283" w:type="pct"/>
            <w:noWrap/>
            <w:vAlign w:val="center"/>
          </w:tcPr>
          <w:p w14:paraId="3FE8DEE5">
            <w:pPr>
              <w:pStyle w:val="33"/>
              <w:rPr>
                <w:color w:val="auto"/>
              </w:rPr>
            </w:pPr>
            <w:r>
              <w:rPr>
                <w:rFonts w:eastAsia="等线" w:cs="Times New Roman"/>
                <w:color w:val="auto"/>
                <w:sz w:val="20"/>
                <w:szCs w:val="20"/>
              </w:rPr>
              <w:t>0.1030</w:t>
            </w:r>
          </w:p>
        </w:tc>
        <w:tc>
          <w:tcPr>
            <w:tcW w:w="334" w:type="pct"/>
            <w:noWrap/>
            <w:vAlign w:val="center"/>
          </w:tcPr>
          <w:p w14:paraId="63BBCB42">
            <w:pPr>
              <w:pStyle w:val="33"/>
              <w:rPr>
                <w:color w:val="auto"/>
              </w:rPr>
            </w:pPr>
            <w:r>
              <w:rPr>
                <w:rFonts w:eastAsia="等线" w:cs="Times New Roman"/>
                <w:color w:val="auto"/>
                <w:sz w:val="20"/>
                <w:szCs w:val="20"/>
              </w:rPr>
              <w:t>0.4702</w:t>
            </w:r>
          </w:p>
        </w:tc>
        <w:tc>
          <w:tcPr>
            <w:tcW w:w="211" w:type="pct"/>
            <w:vMerge w:val="continue"/>
            <w:vAlign w:val="center"/>
          </w:tcPr>
          <w:p w14:paraId="36719B89">
            <w:pPr>
              <w:pStyle w:val="33"/>
              <w:rPr>
                <w:color w:val="auto"/>
              </w:rPr>
            </w:pPr>
          </w:p>
        </w:tc>
        <w:tc>
          <w:tcPr>
            <w:tcW w:w="285" w:type="pct"/>
            <w:vMerge w:val="continue"/>
            <w:vAlign w:val="center"/>
          </w:tcPr>
          <w:p w14:paraId="3F68BA93">
            <w:pPr>
              <w:pStyle w:val="33"/>
              <w:rPr>
                <w:color w:val="auto"/>
              </w:rPr>
            </w:pPr>
          </w:p>
        </w:tc>
        <w:tc>
          <w:tcPr>
            <w:tcW w:w="328" w:type="pct"/>
            <w:noWrap/>
            <w:vAlign w:val="center"/>
          </w:tcPr>
          <w:p w14:paraId="2FCA7125">
            <w:pPr>
              <w:pStyle w:val="33"/>
              <w:rPr>
                <w:color w:val="auto"/>
              </w:rPr>
            </w:pPr>
            <w:r>
              <w:rPr>
                <w:rFonts w:eastAsia="等线" w:cs="Times New Roman"/>
                <w:color w:val="auto"/>
                <w:sz w:val="20"/>
                <w:szCs w:val="20"/>
              </w:rPr>
              <w:t>0.0005</w:t>
            </w:r>
          </w:p>
        </w:tc>
        <w:tc>
          <w:tcPr>
            <w:tcW w:w="337" w:type="pct"/>
            <w:noWrap/>
            <w:vAlign w:val="center"/>
          </w:tcPr>
          <w:p w14:paraId="046366D2">
            <w:pPr>
              <w:pStyle w:val="33"/>
              <w:rPr>
                <w:color w:val="auto"/>
              </w:rPr>
            </w:pPr>
            <w:r>
              <w:rPr>
                <w:rFonts w:eastAsia="等线" w:cs="Times New Roman"/>
                <w:color w:val="auto"/>
                <w:sz w:val="20"/>
                <w:szCs w:val="20"/>
              </w:rPr>
              <w:t>0.0046</w:t>
            </w:r>
          </w:p>
        </w:tc>
        <w:tc>
          <w:tcPr>
            <w:tcW w:w="335" w:type="pct"/>
            <w:noWrap/>
            <w:vAlign w:val="center"/>
          </w:tcPr>
          <w:p w14:paraId="746C399D">
            <w:pPr>
              <w:pStyle w:val="33"/>
              <w:rPr>
                <w:color w:val="auto"/>
              </w:rPr>
            </w:pPr>
            <w:r>
              <w:rPr>
                <w:rFonts w:eastAsia="等线" w:cs="Times New Roman"/>
                <w:color w:val="auto"/>
                <w:sz w:val="20"/>
                <w:szCs w:val="20"/>
              </w:rPr>
              <w:t>0.0212</w:t>
            </w:r>
          </w:p>
        </w:tc>
        <w:tc>
          <w:tcPr>
            <w:tcW w:w="257" w:type="pct"/>
            <w:noWrap/>
            <w:vAlign w:val="center"/>
          </w:tcPr>
          <w:p w14:paraId="76EB2621">
            <w:pPr>
              <w:pStyle w:val="33"/>
              <w:rPr>
                <w:color w:val="auto"/>
              </w:rPr>
            </w:pPr>
            <w:r>
              <w:rPr>
                <w:rFonts w:eastAsia="等线" w:cs="Times New Roman"/>
                <w:color w:val="auto"/>
                <w:sz w:val="20"/>
                <w:szCs w:val="20"/>
              </w:rPr>
              <w:t>0.33</w:t>
            </w:r>
          </w:p>
        </w:tc>
        <w:tc>
          <w:tcPr>
            <w:tcW w:w="263" w:type="pct"/>
            <w:vMerge w:val="continue"/>
            <w:vAlign w:val="center"/>
          </w:tcPr>
          <w:p w14:paraId="3622C7FC">
            <w:pPr>
              <w:pStyle w:val="33"/>
              <w:rPr>
                <w:color w:val="auto"/>
              </w:rPr>
            </w:pPr>
          </w:p>
        </w:tc>
        <w:tc>
          <w:tcPr>
            <w:tcW w:w="201" w:type="pct"/>
            <w:vMerge w:val="continue"/>
            <w:vAlign w:val="center"/>
          </w:tcPr>
          <w:p w14:paraId="6F5EDC18">
            <w:pPr>
              <w:pStyle w:val="33"/>
              <w:rPr>
                <w:color w:val="auto"/>
              </w:rPr>
            </w:pPr>
          </w:p>
        </w:tc>
        <w:tc>
          <w:tcPr>
            <w:tcW w:w="277" w:type="pct"/>
            <w:vMerge w:val="continue"/>
            <w:vAlign w:val="center"/>
          </w:tcPr>
          <w:p w14:paraId="252E84D9">
            <w:pPr>
              <w:pStyle w:val="33"/>
              <w:rPr>
                <w:color w:val="auto"/>
              </w:rPr>
            </w:pPr>
          </w:p>
        </w:tc>
        <w:tc>
          <w:tcPr>
            <w:tcW w:w="294" w:type="pct"/>
            <w:vMerge w:val="continue"/>
            <w:vAlign w:val="center"/>
          </w:tcPr>
          <w:p w14:paraId="04AB43B0">
            <w:pPr>
              <w:pStyle w:val="33"/>
              <w:rPr>
                <w:color w:val="auto"/>
              </w:rPr>
            </w:pPr>
          </w:p>
        </w:tc>
      </w:tr>
      <w:tr w14:paraId="253F8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5FB2B7C9">
            <w:pPr>
              <w:pStyle w:val="33"/>
              <w:rPr>
                <w:color w:val="auto"/>
              </w:rPr>
            </w:pPr>
            <w:r>
              <w:rPr>
                <w:color w:val="auto"/>
              </w:rPr>
              <w:t>9</w:t>
            </w:r>
          </w:p>
        </w:tc>
        <w:tc>
          <w:tcPr>
            <w:tcW w:w="503" w:type="pct"/>
            <w:vMerge w:val="restart"/>
            <w:noWrap/>
            <w:vAlign w:val="center"/>
          </w:tcPr>
          <w:p w14:paraId="66419067">
            <w:pPr>
              <w:pStyle w:val="33"/>
              <w:rPr>
                <w:color w:val="auto"/>
              </w:rPr>
            </w:pPr>
            <w:r>
              <w:rPr>
                <w:rFonts w:hint="eastAsia"/>
                <w:color w:val="auto"/>
                <w:sz w:val="20"/>
                <w:szCs w:val="20"/>
              </w:rPr>
              <w:t>污泥浓缩池1</w:t>
            </w:r>
          </w:p>
        </w:tc>
        <w:tc>
          <w:tcPr>
            <w:tcW w:w="371" w:type="pct"/>
            <w:noWrap/>
            <w:vAlign w:val="center"/>
          </w:tcPr>
          <w:p w14:paraId="7C4DBF51">
            <w:pPr>
              <w:pStyle w:val="33"/>
              <w:rPr>
                <w:color w:val="auto"/>
              </w:rPr>
            </w:pPr>
            <w:r>
              <w:rPr>
                <w:color w:val="auto"/>
              </w:rPr>
              <w:t>NH</w:t>
            </w:r>
            <w:r>
              <w:rPr>
                <w:color w:val="auto"/>
                <w:vertAlign w:val="subscript"/>
              </w:rPr>
              <w:t>3</w:t>
            </w:r>
          </w:p>
        </w:tc>
        <w:tc>
          <w:tcPr>
            <w:tcW w:w="298" w:type="pct"/>
            <w:vMerge w:val="continue"/>
            <w:vAlign w:val="center"/>
          </w:tcPr>
          <w:p w14:paraId="4DB188F3">
            <w:pPr>
              <w:pStyle w:val="33"/>
              <w:rPr>
                <w:color w:val="auto"/>
              </w:rPr>
            </w:pPr>
          </w:p>
        </w:tc>
        <w:tc>
          <w:tcPr>
            <w:tcW w:w="274" w:type="pct"/>
            <w:noWrap/>
            <w:vAlign w:val="center"/>
          </w:tcPr>
          <w:p w14:paraId="2EDFBC4D">
            <w:pPr>
              <w:pStyle w:val="33"/>
              <w:rPr>
                <w:color w:val="auto"/>
              </w:rPr>
            </w:pPr>
            <w:r>
              <w:rPr>
                <w:rFonts w:eastAsia="等线" w:cs="Times New Roman"/>
                <w:color w:val="auto"/>
                <w:sz w:val="20"/>
                <w:szCs w:val="20"/>
              </w:rPr>
              <w:t>0.0005</w:t>
            </w:r>
          </w:p>
        </w:tc>
        <w:tc>
          <w:tcPr>
            <w:tcW w:w="283" w:type="pct"/>
            <w:noWrap/>
            <w:vAlign w:val="center"/>
          </w:tcPr>
          <w:p w14:paraId="5847B0A2">
            <w:pPr>
              <w:pStyle w:val="33"/>
              <w:rPr>
                <w:color w:val="auto"/>
              </w:rPr>
            </w:pPr>
            <w:r>
              <w:rPr>
                <w:rFonts w:eastAsia="等线" w:cs="Times New Roman"/>
                <w:color w:val="auto"/>
                <w:sz w:val="20"/>
                <w:szCs w:val="20"/>
              </w:rPr>
              <w:t>0.0040</w:t>
            </w:r>
          </w:p>
        </w:tc>
        <w:tc>
          <w:tcPr>
            <w:tcW w:w="334" w:type="pct"/>
            <w:noWrap/>
            <w:vAlign w:val="center"/>
          </w:tcPr>
          <w:p w14:paraId="51502ED0">
            <w:pPr>
              <w:pStyle w:val="33"/>
              <w:rPr>
                <w:color w:val="auto"/>
              </w:rPr>
            </w:pPr>
            <w:r>
              <w:rPr>
                <w:rFonts w:eastAsia="等线" w:cs="Times New Roman"/>
                <w:color w:val="auto"/>
                <w:sz w:val="20"/>
                <w:szCs w:val="20"/>
              </w:rPr>
              <w:t>0.0181</w:t>
            </w:r>
          </w:p>
        </w:tc>
        <w:tc>
          <w:tcPr>
            <w:tcW w:w="211" w:type="pct"/>
            <w:vMerge w:val="continue"/>
            <w:vAlign w:val="center"/>
          </w:tcPr>
          <w:p w14:paraId="0C20B3FD">
            <w:pPr>
              <w:pStyle w:val="33"/>
              <w:rPr>
                <w:color w:val="auto"/>
              </w:rPr>
            </w:pPr>
          </w:p>
        </w:tc>
        <w:tc>
          <w:tcPr>
            <w:tcW w:w="285" w:type="pct"/>
            <w:vMerge w:val="continue"/>
            <w:vAlign w:val="center"/>
          </w:tcPr>
          <w:p w14:paraId="5DA59CE4">
            <w:pPr>
              <w:pStyle w:val="33"/>
              <w:rPr>
                <w:color w:val="auto"/>
              </w:rPr>
            </w:pPr>
          </w:p>
        </w:tc>
        <w:tc>
          <w:tcPr>
            <w:tcW w:w="328" w:type="pct"/>
            <w:noWrap/>
            <w:vAlign w:val="center"/>
          </w:tcPr>
          <w:p w14:paraId="3580C892">
            <w:pPr>
              <w:pStyle w:val="33"/>
              <w:rPr>
                <w:color w:val="auto"/>
              </w:rPr>
            </w:pPr>
            <w:r>
              <w:rPr>
                <w:rFonts w:eastAsia="等线" w:cs="Times New Roman"/>
                <w:color w:val="auto"/>
                <w:sz w:val="20"/>
                <w:szCs w:val="20"/>
              </w:rPr>
              <w:t>0.0000</w:t>
            </w:r>
          </w:p>
        </w:tc>
        <w:tc>
          <w:tcPr>
            <w:tcW w:w="337" w:type="pct"/>
            <w:noWrap/>
            <w:vAlign w:val="center"/>
          </w:tcPr>
          <w:p w14:paraId="289B588A">
            <w:pPr>
              <w:pStyle w:val="33"/>
              <w:rPr>
                <w:color w:val="auto"/>
              </w:rPr>
            </w:pPr>
            <w:r>
              <w:rPr>
                <w:rFonts w:eastAsia="等线" w:cs="Times New Roman"/>
                <w:color w:val="auto"/>
                <w:sz w:val="20"/>
                <w:szCs w:val="20"/>
              </w:rPr>
              <w:t>0.0004</w:t>
            </w:r>
          </w:p>
        </w:tc>
        <w:tc>
          <w:tcPr>
            <w:tcW w:w="335" w:type="pct"/>
            <w:noWrap/>
            <w:vAlign w:val="center"/>
          </w:tcPr>
          <w:p w14:paraId="6AA07541">
            <w:pPr>
              <w:pStyle w:val="33"/>
              <w:rPr>
                <w:color w:val="auto"/>
              </w:rPr>
            </w:pPr>
            <w:r>
              <w:rPr>
                <w:rFonts w:eastAsia="等线" w:cs="Times New Roman"/>
                <w:color w:val="auto"/>
                <w:sz w:val="20"/>
                <w:szCs w:val="20"/>
              </w:rPr>
              <w:t>0.0016</w:t>
            </w:r>
          </w:p>
        </w:tc>
        <w:tc>
          <w:tcPr>
            <w:tcW w:w="257" w:type="pct"/>
            <w:noWrap/>
            <w:vAlign w:val="center"/>
          </w:tcPr>
          <w:p w14:paraId="28BF37A0">
            <w:pPr>
              <w:pStyle w:val="33"/>
              <w:rPr>
                <w:color w:val="auto"/>
              </w:rPr>
            </w:pPr>
            <w:r>
              <w:rPr>
                <w:rFonts w:eastAsia="等线" w:cs="Times New Roman"/>
                <w:color w:val="auto"/>
                <w:sz w:val="20"/>
                <w:szCs w:val="20"/>
              </w:rPr>
              <w:t>4.9</w:t>
            </w:r>
          </w:p>
        </w:tc>
        <w:tc>
          <w:tcPr>
            <w:tcW w:w="263" w:type="pct"/>
            <w:vMerge w:val="continue"/>
            <w:vAlign w:val="center"/>
          </w:tcPr>
          <w:p w14:paraId="4AC5B603">
            <w:pPr>
              <w:pStyle w:val="33"/>
              <w:rPr>
                <w:color w:val="auto"/>
              </w:rPr>
            </w:pPr>
          </w:p>
        </w:tc>
        <w:tc>
          <w:tcPr>
            <w:tcW w:w="201" w:type="pct"/>
            <w:vMerge w:val="continue"/>
            <w:vAlign w:val="center"/>
          </w:tcPr>
          <w:p w14:paraId="1DE47678">
            <w:pPr>
              <w:pStyle w:val="33"/>
              <w:rPr>
                <w:color w:val="auto"/>
              </w:rPr>
            </w:pPr>
          </w:p>
        </w:tc>
        <w:tc>
          <w:tcPr>
            <w:tcW w:w="277" w:type="pct"/>
            <w:vMerge w:val="continue"/>
            <w:vAlign w:val="center"/>
          </w:tcPr>
          <w:p w14:paraId="60A1AA37">
            <w:pPr>
              <w:pStyle w:val="33"/>
              <w:rPr>
                <w:color w:val="auto"/>
              </w:rPr>
            </w:pPr>
          </w:p>
        </w:tc>
        <w:tc>
          <w:tcPr>
            <w:tcW w:w="294" w:type="pct"/>
            <w:vMerge w:val="continue"/>
            <w:vAlign w:val="center"/>
          </w:tcPr>
          <w:p w14:paraId="350BEAE7">
            <w:pPr>
              <w:pStyle w:val="33"/>
              <w:rPr>
                <w:color w:val="auto"/>
              </w:rPr>
            </w:pPr>
          </w:p>
        </w:tc>
      </w:tr>
      <w:tr w14:paraId="64008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1056EBD5">
            <w:pPr>
              <w:pStyle w:val="33"/>
              <w:rPr>
                <w:color w:val="auto"/>
              </w:rPr>
            </w:pPr>
          </w:p>
        </w:tc>
        <w:tc>
          <w:tcPr>
            <w:tcW w:w="503" w:type="pct"/>
            <w:vMerge w:val="continue"/>
            <w:vAlign w:val="center"/>
          </w:tcPr>
          <w:p w14:paraId="71A1FAEE">
            <w:pPr>
              <w:pStyle w:val="33"/>
              <w:rPr>
                <w:color w:val="auto"/>
              </w:rPr>
            </w:pPr>
          </w:p>
        </w:tc>
        <w:tc>
          <w:tcPr>
            <w:tcW w:w="371" w:type="pct"/>
            <w:noWrap/>
            <w:vAlign w:val="center"/>
          </w:tcPr>
          <w:p w14:paraId="6E247146">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071A6B2A">
            <w:pPr>
              <w:pStyle w:val="33"/>
              <w:rPr>
                <w:color w:val="auto"/>
              </w:rPr>
            </w:pPr>
          </w:p>
        </w:tc>
        <w:tc>
          <w:tcPr>
            <w:tcW w:w="274" w:type="pct"/>
            <w:noWrap/>
            <w:vAlign w:val="center"/>
          </w:tcPr>
          <w:p w14:paraId="1B8DF0EB">
            <w:pPr>
              <w:pStyle w:val="33"/>
              <w:rPr>
                <w:color w:val="auto"/>
              </w:rPr>
            </w:pPr>
            <w:r>
              <w:rPr>
                <w:rFonts w:eastAsia="等线" w:cs="Times New Roman"/>
                <w:color w:val="auto"/>
                <w:sz w:val="20"/>
                <w:szCs w:val="20"/>
              </w:rPr>
              <w:t>0.0049</w:t>
            </w:r>
          </w:p>
        </w:tc>
        <w:tc>
          <w:tcPr>
            <w:tcW w:w="283" w:type="pct"/>
            <w:noWrap/>
            <w:vAlign w:val="center"/>
          </w:tcPr>
          <w:p w14:paraId="2F6025DD">
            <w:pPr>
              <w:pStyle w:val="33"/>
              <w:rPr>
                <w:color w:val="auto"/>
              </w:rPr>
            </w:pPr>
            <w:r>
              <w:rPr>
                <w:rFonts w:eastAsia="等线" w:cs="Times New Roman"/>
                <w:color w:val="auto"/>
                <w:sz w:val="20"/>
                <w:szCs w:val="20"/>
              </w:rPr>
              <w:t>0.0426</w:t>
            </w:r>
          </w:p>
        </w:tc>
        <w:tc>
          <w:tcPr>
            <w:tcW w:w="334" w:type="pct"/>
            <w:noWrap/>
            <w:vAlign w:val="center"/>
          </w:tcPr>
          <w:p w14:paraId="1699557F">
            <w:pPr>
              <w:pStyle w:val="33"/>
              <w:rPr>
                <w:color w:val="auto"/>
              </w:rPr>
            </w:pPr>
            <w:r>
              <w:rPr>
                <w:rFonts w:eastAsia="等线" w:cs="Times New Roman"/>
                <w:color w:val="auto"/>
                <w:sz w:val="20"/>
                <w:szCs w:val="20"/>
              </w:rPr>
              <w:t>0.1944</w:t>
            </w:r>
          </w:p>
        </w:tc>
        <w:tc>
          <w:tcPr>
            <w:tcW w:w="211" w:type="pct"/>
            <w:vMerge w:val="continue"/>
            <w:vAlign w:val="center"/>
          </w:tcPr>
          <w:p w14:paraId="1371A42F">
            <w:pPr>
              <w:pStyle w:val="33"/>
              <w:rPr>
                <w:color w:val="auto"/>
              </w:rPr>
            </w:pPr>
          </w:p>
        </w:tc>
        <w:tc>
          <w:tcPr>
            <w:tcW w:w="285" w:type="pct"/>
            <w:vMerge w:val="continue"/>
            <w:vAlign w:val="center"/>
          </w:tcPr>
          <w:p w14:paraId="09B457A6">
            <w:pPr>
              <w:pStyle w:val="33"/>
              <w:rPr>
                <w:color w:val="auto"/>
              </w:rPr>
            </w:pPr>
          </w:p>
        </w:tc>
        <w:tc>
          <w:tcPr>
            <w:tcW w:w="328" w:type="pct"/>
            <w:noWrap/>
            <w:vAlign w:val="center"/>
          </w:tcPr>
          <w:p w14:paraId="66933419">
            <w:pPr>
              <w:pStyle w:val="33"/>
              <w:rPr>
                <w:color w:val="auto"/>
              </w:rPr>
            </w:pPr>
            <w:r>
              <w:rPr>
                <w:rFonts w:eastAsia="等线" w:cs="Times New Roman"/>
                <w:color w:val="auto"/>
                <w:sz w:val="20"/>
                <w:szCs w:val="20"/>
              </w:rPr>
              <w:t>0.0002</w:t>
            </w:r>
          </w:p>
        </w:tc>
        <w:tc>
          <w:tcPr>
            <w:tcW w:w="337" w:type="pct"/>
            <w:noWrap/>
            <w:vAlign w:val="center"/>
          </w:tcPr>
          <w:p w14:paraId="38429726">
            <w:pPr>
              <w:pStyle w:val="33"/>
              <w:rPr>
                <w:color w:val="auto"/>
              </w:rPr>
            </w:pPr>
            <w:r>
              <w:rPr>
                <w:rFonts w:eastAsia="等线" w:cs="Times New Roman"/>
                <w:color w:val="auto"/>
                <w:sz w:val="20"/>
                <w:szCs w:val="20"/>
              </w:rPr>
              <w:t>0.0019</w:t>
            </w:r>
          </w:p>
        </w:tc>
        <w:tc>
          <w:tcPr>
            <w:tcW w:w="335" w:type="pct"/>
            <w:noWrap/>
            <w:vAlign w:val="center"/>
          </w:tcPr>
          <w:p w14:paraId="6DAD4E24">
            <w:pPr>
              <w:pStyle w:val="33"/>
              <w:rPr>
                <w:color w:val="auto"/>
              </w:rPr>
            </w:pPr>
            <w:r>
              <w:rPr>
                <w:rFonts w:eastAsia="等线" w:cs="Times New Roman"/>
                <w:color w:val="auto"/>
                <w:sz w:val="20"/>
                <w:szCs w:val="20"/>
              </w:rPr>
              <w:t>0.0087</w:t>
            </w:r>
          </w:p>
        </w:tc>
        <w:tc>
          <w:tcPr>
            <w:tcW w:w="257" w:type="pct"/>
            <w:noWrap/>
            <w:vAlign w:val="center"/>
          </w:tcPr>
          <w:p w14:paraId="2C9BA3E8">
            <w:pPr>
              <w:pStyle w:val="33"/>
              <w:rPr>
                <w:color w:val="auto"/>
              </w:rPr>
            </w:pPr>
            <w:r>
              <w:rPr>
                <w:rFonts w:eastAsia="等线" w:cs="Times New Roman"/>
                <w:color w:val="auto"/>
                <w:sz w:val="20"/>
                <w:szCs w:val="20"/>
              </w:rPr>
              <w:t>0.33</w:t>
            </w:r>
          </w:p>
        </w:tc>
        <w:tc>
          <w:tcPr>
            <w:tcW w:w="263" w:type="pct"/>
            <w:vMerge w:val="continue"/>
            <w:vAlign w:val="center"/>
          </w:tcPr>
          <w:p w14:paraId="69EBB340">
            <w:pPr>
              <w:pStyle w:val="33"/>
              <w:rPr>
                <w:color w:val="auto"/>
              </w:rPr>
            </w:pPr>
          </w:p>
        </w:tc>
        <w:tc>
          <w:tcPr>
            <w:tcW w:w="201" w:type="pct"/>
            <w:vMerge w:val="continue"/>
            <w:vAlign w:val="center"/>
          </w:tcPr>
          <w:p w14:paraId="12489264">
            <w:pPr>
              <w:pStyle w:val="33"/>
              <w:rPr>
                <w:color w:val="auto"/>
              </w:rPr>
            </w:pPr>
          </w:p>
        </w:tc>
        <w:tc>
          <w:tcPr>
            <w:tcW w:w="277" w:type="pct"/>
            <w:vMerge w:val="continue"/>
            <w:vAlign w:val="center"/>
          </w:tcPr>
          <w:p w14:paraId="0524CEA3">
            <w:pPr>
              <w:pStyle w:val="33"/>
              <w:rPr>
                <w:color w:val="auto"/>
              </w:rPr>
            </w:pPr>
          </w:p>
        </w:tc>
        <w:tc>
          <w:tcPr>
            <w:tcW w:w="294" w:type="pct"/>
            <w:vMerge w:val="continue"/>
            <w:vAlign w:val="center"/>
          </w:tcPr>
          <w:p w14:paraId="7018018D">
            <w:pPr>
              <w:pStyle w:val="33"/>
              <w:rPr>
                <w:color w:val="auto"/>
              </w:rPr>
            </w:pPr>
          </w:p>
        </w:tc>
      </w:tr>
      <w:tr w14:paraId="7AB10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restart"/>
            <w:vAlign w:val="center"/>
          </w:tcPr>
          <w:p w14:paraId="2A43EA0A">
            <w:pPr>
              <w:pStyle w:val="33"/>
              <w:rPr>
                <w:color w:val="auto"/>
              </w:rPr>
            </w:pPr>
            <w:r>
              <w:rPr>
                <w:color w:val="auto"/>
              </w:rPr>
              <w:t>1</w:t>
            </w:r>
            <w:r>
              <w:rPr>
                <w:rFonts w:hint="eastAsia"/>
                <w:color w:val="auto"/>
              </w:rPr>
              <w:t>0</w:t>
            </w:r>
          </w:p>
        </w:tc>
        <w:tc>
          <w:tcPr>
            <w:tcW w:w="503" w:type="pct"/>
            <w:vMerge w:val="restart"/>
            <w:noWrap/>
            <w:vAlign w:val="center"/>
          </w:tcPr>
          <w:p w14:paraId="0A764A77">
            <w:pPr>
              <w:pStyle w:val="33"/>
              <w:rPr>
                <w:color w:val="auto"/>
              </w:rPr>
            </w:pPr>
            <w:r>
              <w:rPr>
                <w:rFonts w:hint="eastAsia"/>
                <w:color w:val="auto"/>
                <w:sz w:val="20"/>
                <w:szCs w:val="20"/>
              </w:rPr>
              <w:t>污泥浓缩池2</w:t>
            </w:r>
          </w:p>
        </w:tc>
        <w:tc>
          <w:tcPr>
            <w:tcW w:w="371" w:type="pct"/>
            <w:noWrap/>
            <w:vAlign w:val="center"/>
          </w:tcPr>
          <w:p w14:paraId="77137FFC">
            <w:pPr>
              <w:pStyle w:val="33"/>
              <w:rPr>
                <w:color w:val="auto"/>
              </w:rPr>
            </w:pPr>
            <w:r>
              <w:rPr>
                <w:color w:val="auto"/>
              </w:rPr>
              <w:t>NH</w:t>
            </w:r>
            <w:r>
              <w:rPr>
                <w:color w:val="auto"/>
                <w:vertAlign w:val="subscript"/>
              </w:rPr>
              <w:t>3</w:t>
            </w:r>
          </w:p>
        </w:tc>
        <w:tc>
          <w:tcPr>
            <w:tcW w:w="298" w:type="pct"/>
            <w:vMerge w:val="continue"/>
            <w:vAlign w:val="center"/>
          </w:tcPr>
          <w:p w14:paraId="4221CEB3">
            <w:pPr>
              <w:pStyle w:val="33"/>
              <w:rPr>
                <w:color w:val="auto"/>
              </w:rPr>
            </w:pPr>
          </w:p>
        </w:tc>
        <w:tc>
          <w:tcPr>
            <w:tcW w:w="274" w:type="pct"/>
            <w:noWrap/>
            <w:vAlign w:val="center"/>
          </w:tcPr>
          <w:p w14:paraId="26036F16">
            <w:pPr>
              <w:pStyle w:val="33"/>
              <w:rPr>
                <w:color w:val="auto"/>
              </w:rPr>
            </w:pPr>
            <w:r>
              <w:rPr>
                <w:rFonts w:eastAsia="等线" w:cs="Times New Roman"/>
                <w:color w:val="auto"/>
                <w:sz w:val="20"/>
                <w:szCs w:val="20"/>
              </w:rPr>
              <w:t>0.0005</w:t>
            </w:r>
          </w:p>
        </w:tc>
        <w:tc>
          <w:tcPr>
            <w:tcW w:w="283" w:type="pct"/>
            <w:noWrap/>
            <w:vAlign w:val="center"/>
          </w:tcPr>
          <w:p w14:paraId="6CC97276">
            <w:pPr>
              <w:pStyle w:val="33"/>
              <w:rPr>
                <w:color w:val="auto"/>
              </w:rPr>
            </w:pPr>
            <w:r>
              <w:rPr>
                <w:rFonts w:eastAsia="等线" w:cs="Times New Roman"/>
                <w:color w:val="auto"/>
                <w:sz w:val="20"/>
                <w:szCs w:val="20"/>
              </w:rPr>
              <w:t>0.0040</w:t>
            </w:r>
          </w:p>
        </w:tc>
        <w:tc>
          <w:tcPr>
            <w:tcW w:w="334" w:type="pct"/>
            <w:noWrap/>
            <w:vAlign w:val="center"/>
          </w:tcPr>
          <w:p w14:paraId="0739000C">
            <w:pPr>
              <w:pStyle w:val="33"/>
              <w:rPr>
                <w:color w:val="auto"/>
              </w:rPr>
            </w:pPr>
            <w:r>
              <w:rPr>
                <w:rFonts w:eastAsia="等线" w:cs="Times New Roman"/>
                <w:color w:val="auto"/>
                <w:sz w:val="20"/>
                <w:szCs w:val="20"/>
              </w:rPr>
              <w:t>0.0181</w:t>
            </w:r>
          </w:p>
        </w:tc>
        <w:tc>
          <w:tcPr>
            <w:tcW w:w="211" w:type="pct"/>
            <w:vMerge w:val="continue"/>
            <w:vAlign w:val="center"/>
          </w:tcPr>
          <w:p w14:paraId="30C3847B">
            <w:pPr>
              <w:pStyle w:val="33"/>
              <w:rPr>
                <w:color w:val="auto"/>
              </w:rPr>
            </w:pPr>
          </w:p>
        </w:tc>
        <w:tc>
          <w:tcPr>
            <w:tcW w:w="285" w:type="pct"/>
            <w:vMerge w:val="continue"/>
            <w:vAlign w:val="center"/>
          </w:tcPr>
          <w:p w14:paraId="57BE3E65">
            <w:pPr>
              <w:pStyle w:val="33"/>
              <w:rPr>
                <w:color w:val="auto"/>
              </w:rPr>
            </w:pPr>
          </w:p>
        </w:tc>
        <w:tc>
          <w:tcPr>
            <w:tcW w:w="328" w:type="pct"/>
            <w:noWrap/>
            <w:vAlign w:val="center"/>
          </w:tcPr>
          <w:p w14:paraId="386C8F1F">
            <w:pPr>
              <w:pStyle w:val="33"/>
              <w:rPr>
                <w:color w:val="auto"/>
              </w:rPr>
            </w:pPr>
            <w:r>
              <w:rPr>
                <w:rFonts w:eastAsia="等线" w:cs="Times New Roman"/>
                <w:color w:val="auto"/>
                <w:sz w:val="20"/>
                <w:szCs w:val="20"/>
              </w:rPr>
              <w:t>0.0000</w:t>
            </w:r>
          </w:p>
        </w:tc>
        <w:tc>
          <w:tcPr>
            <w:tcW w:w="337" w:type="pct"/>
            <w:noWrap/>
            <w:vAlign w:val="center"/>
          </w:tcPr>
          <w:p w14:paraId="37BB575A">
            <w:pPr>
              <w:pStyle w:val="33"/>
              <w:rPr>
                <w:color w:val="auto"/>
              </w:rPr>
            </w:pPr>
            <w:r>
              <w:rPr>
                <w:rFonts w:eastAsia="等线" w:cs="Times New Roman"/>
                <w:color w:val="auto"/>
                <w:sz w:val="20"/>
                <w:szCs w:val="20"/>
              </w:rPr>
              <w:t>0.0004</w:t>
            </w:r>
          </w:p>
        </w:tc>
        <w:tc>
          <w:tcPr>
            <w:tcW w:w="335" w:type="pct"/>
            <w:noWrap/>
            <w:vAlign w:val="center"/>
          </w:tcPr>
          <w:p w14:paraId="2912EF4A">
            <w:pPr>
              <w:pStyle w:val="33"/>
              <w:rPr>
                <w:color w:val="auto"/>
              </w:rPr>
            </w:pPr>
            <w:r>
              <w:rPr>
                <w:rFonts w:eastAsia="等线" w:cs="Times New Roman"/>
                <w:color w:val="auto"/>
                <w:sz w:val="20"/>
                <w:szCs w:val="20"/>
              </w:rPr>
              <w:t>0.0016</w:t>
            </w:r>
          </w:p>
        </w:tc>
        <w:tc>
          <w:tcPr>
            <w:tcW w:w="257" w:type="pct"/>
            <w:noWrap/>
            <w:vAlign w:val="center"/>
          </w:tcPr>
          <w:p w14:paraId="5672AA52">
            <w:pPr>
              <w:pStyle w:val="33"/>
              <w:rPr>
                <w:color w:val="auto"/>
              </w:rPr>
            </w:pPr>
            <w:r>
              <w:rPr>
                <w:rFonts w:eastAsia="等线" w:cs="Times New Roman"/>
                <w:color w:val="auto"/>
                <w:sz w:val="20"/>
                <w:szCs w:val="20"/>
              </w:rPr>
              <w:t>4.9</w:t>
            </w:r>
          </w:p>
        </w:tc>
        <w:tc>
          <w:tcPr>
            <w:tcW w:w="263" w:type="pct"/>
            <w:vMerge w:val="continue"/>
            <w:noWrap/>
            <w:vAlign w:val="center"/>
          </w:tcPr>
          <w:p w14:paraId="07FCEDB9">
            <w:pPr>
              <w:pStyle w:val="33"/>
              <w:rPr>
                <w:color w:val="auto"/>
              </w:rPr>
            </w:pPr>
          </w:p>
        </w:tc>
        <w:tc>
          <w:tcPr>
            <w:tcW w:w="201" w:type="pct"/>
            <w:vMerge w:val="continue"/>
            <w:noWrap/>
            <w:vAlign w:val="center"/>
          </w:tcPr>
          <w:p w14:paraId="0D389532">
            <w:pPr>
              <w:pStyle w:val="33"/>
              <w:rPr>
                <w:color w:val="auto"/>
              </w:rPr>
            </w:pPr>
          </w:p>
        </w:tc>
        <w:tc>
          <w:tcPr>
            <w:tcW w:w="277" w:type="pct"/>
            <w:vMerge w:val="continue"/>
            <w:noWrap/>
            <w:vAlign w:val="center"/>
          </w:tcPr>
          <w:p w14:paraId="4EC0617A">
            <w:pPr>
              <w:pStyle w:val="33"/>
              <w:rPr>
                <w:color w:val="auto"/>
              </w:rPr>
            </w:pPr>
          </w:p>
        </w:tc>
        <w:tc>
          <w:tcPr>
            <w:tcW w:w="294" w:type="pct"/>
            <w:vMerge w:val="continue"/>
            <w:noWrap/>
            <w:vAlign w:val="center"/>
          </w:tcPr>
          <w:p w14:paraId="4EAA69FD">
            <w:pPr>
              <w:pStyle w:val="33"/>
              <w:rPr>
                <w:color w:val="auto"/>
              </w:rPr>
            </w:pPr>
          </w:p>
        </w:tc>
      </w:tr>
      <w:tr w14:paraId="3D951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0" w:type="pct"/>
            <w:vMerge w:val="continue"/>
            <w:vAlign w:val="center"/>
          </w:tcPr>
          <w:p w14:paraId="737E55A6">
            <w:pPr>
              <w:pStyle w:val="33"/>
              <w:rPr>
                <w:color w:val="auto"/>
              </w:rPr>
            </w:pPr>
          </w:p>
        </w:tc>
        <w:tc>
          <w:tcPr>
            <w:tcW w:w="503" w:type="pct"/>
            <w:vMerge w:val="continue"/>
            <w:vAlign w:val="center"/>
          </w:tcPr>
          <w:p w14:paraId="50A8A662">
            <w:pPr>
              <w:pStyle w:val="33"/>
              <w:rPr>
                <w:color w:val="auto"/>
              </w:rPr>
            </w:pPr>
          </w:p>
        </w:tc>
        <w:tc>
          <w:tcPr>
            <w:tcW w:w="371" w:type="pct"/>
            <w:noWrap/>
            <w:vAlign w:val="center"/>
          </w:tcPr>
          <w:p w14:paraId="7103D8C9">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3BA09965">
            <w:pPr>
              <w:pStyle w:val="33"/>
              <w:rPr>
                <w:color w:val="auto"/>
              </w:rPr>
            </w:pPr>
          </w:p>
        </w:tc>
        <w:tc>
          <w:tcPr>
            <w:tcW w:w="274" w:type="pct"/>
            <w:noWrap/>
            <w:vAlign w:val="center"/>
          </w:tcPr>
          <w:p w14:paraId="1B2993A2">
            <w:pPr>
              <w:pStyle w:val="33"/>
              <w:rPr>
                <w:color w:val="auto"/>
              </w:rPr>
            </w:pPr>
            <w:r>
              <w:rPr>
                <w:rFonts w:eastAsia="等线" w:cs="Times New Roman"/>
                <w:color w:val="auto"/>
                <w:sz w:val="20"/>
                <w:szCs w:val="20"/>
              </w:rPr>
              <w:t>0.0049</w:t>
            </w:r>
          </w:p>
        </w:tc>
        <w:tc>
          <w:tcPr>
            <w:tcW w:w="283" w:type="pct"/>
            <w:noWrap/>
            <w:vAlign w:val="center"/>
          </w:tcPr>
          <w:p w14:paraId="25115C75">
            <w:pPr>
              <w:pStyle w:val="33"/>
              <w:rPr>
                <w:color w:val="auto"/>
              </w:rPr>
            </w:pPr>
            <w:r>
              <w:rPr>
                <w:rFonts w:eastAsia="等线" w:cs="Times New Roman"/>
                <w:color w:val="auto"/>
                <w:sz w:val="20"/>
                <w:szCs w:val="20"/>
              </w:rPr>
              <w:t>0.0426</w:t>
            </w:r>
          </w:p>
        </w:tc>
        <w:tc>
          <w:tcPr>
            <w:tcW w:w="334" w:type="pct"/>
            <w:noWrap/>
            <w:vAlign w:val="center"/>
          </w:tcPr>
          <w:p w14:paraId="2614CD98">
            <w:pPr>
              <w:pStyle w:val="33"/>
              <w:rPr>
                <w:color w:val="auto"/>
              </w:rPr>
            </w:pPr>
            <w:r>
              <w:rPr>
                <w:rFonts w:eastAsia="等线" w:cs="Times New Roman"/>
                <w:color w:val="auto"/>
                <w:sz w:val="20"/>
                <w:szCs w:val="20"/>
              </w:rPr>
              <w:t>0.1944</w:t>
            </w:r>
          </w:p>
        </w:tc>
        <w:tc>
          <w:tcPr>
            <w:tcW w:w="211" w:type="pct"/>
            <w:vMerge w:val="continue"/>
            <w:vAlign w:val="center"/>
          </w:tcPr>
          <w:p w14:paraId="072018F0">
            <w:pPr>
              <w:pStyle w:val="33"/>
              <w:rPr>
                <w:color w:val="auto"/>
              </w:rPr>
            </w:pPr>
          </w:p>
        </w:tc>
        <w:tc>
          <w:tcPr>
            <w:tcW w:w="285" w:type="pct"/>
            <w:vMerge w:val="continue"/>
            <w:vAlign w:val="center"/>
          </w:tcPr>
          <w:p w14:paraId="7569650F">
            <w:pPr>
              <w:pStyle w:val="33"/>
              <w:rPr>
                <w:color w:val="auto"/>
              </w:rPr>
            </w:pPr>
          </w:p>
        </w:tc>
        <w:tc>
          <w:tcPr>
            <w:tcW w:w="328" w:type="pct"/>
            <w:noWrap/>
            <w:vAlign w:val="center"/>
          </w:tcPr>
          <w:p w14:paraId="6756E14A">
            <w:pPr>
              <w:pStyle w:val="33"/>
              <w:rPr>
                <w:color w:val="auto"/>
              </w:rPr>
            </w:pPr>
            <w:r>
              <w:rPr>
                <w:rFonts w:eastAsia="等线" w:cs="Times New Roman"/>
                <w:color w:val="auto"/>
                <w:sz w:val="20"/>
                <w:szCs w:val="20"/>
              </w:rPr>
              <w:t>0.0002</w:t>
            </w:r>
          </w:p>
        </w:tc>
        <w:tc>
          <w:tcPr>
            <w:tcW w:w="337" w:type="pct"/>
            <w:noWrap/>
            <w:vAlign w:val="center"/>
          </w:tcPr>
          <w:p w14:paraId="0B0DC301">
            <w:pPr>
              <w:pStyle w:val="33"/>
              <w:rPr>
                <w:color w:val="auto"/>
              </w:rPr>
            </w:pPr>
            <w:r>
              <w:rPr>
                <w:rFonts w:eastAsia="等线" w:cs="Times New Roman"/>
                <w:color w:val="auto"/>
                <w:sz w:val="20"/>
                <w:szCs w:val="20"/>
              </w:rPr>
              <w:t>0.0019</w:t>
            </w:r>
          </w:p>
        </w:tc>
        <w:tc>
          <w:tcPr>
            <w:tcW w:w="335" w:type="pct"/>
            <w:noWrap/>
            <w:vAlign w:val="center"/>
          </w:tcPr>
          <w:p w14:paraId="29FEBF27">
            <w:pPr>
              <w:pStyle w:val="33"/>
              <w:rPr>
                <w:color w:val="auto"/>
              </w:rPr>
            </w:pPr>
            <w:r>
              <w:rPr>
                <w:rFonts w:eastAsia="等线" w:cs="Times New Roman"/>
                <w:color w:val="auto"/>
                <w:sz w:val="20"/>
                <w:szCs w:val="20"/>
              </w:rPr>
              <w:t>0.0087</w:t>
            </w:r>
          </w:p>
        </w:tc>
        <w:tc>
          <w:tcPr>
            <w:tcW w:w="257" w:type="pct"/>
            <w:noWrap/>
            <w:vAlign w:val="center"/>
          </w:tcPr>
          <w:p w14:paraId="2CF80114">
            <w:pPr>
              <w:pStyle w:val="33"/>
              <w:rPr>
                <w:color w:val="auto"/>
              </w:rPr>
            </w:pPr>
            <w:r>
              <w:rPr>
                <w:rFonts w:eastAsia="等线" w:cs="Times New Roman"/>
                <w:color w:val="auto"/>
                <w:sz w:val="20"/>
                <w:szCs w:val="20"/>
              </w:rPr>
              <w:t>0.33</w:t>
            </w:r>
          </w:p>
        </w:tc>
        <w:tc>
          <w:tcPr>
            <w:tcW w:w="263" w:type="pct"/>
            <w:vMerge w:val="continue"/>
            <w:vAlign w:val="center"/>
          </w:tcPr>
          <w:p w14:paraId="414E21CD">
            <w:pPr>
              <w:pStyle w:val="33"/>
              <w:rPr>
                <w:color w:val="auto"/>
              </w:rPr>
            </w:pPr>
          </w:p>
        </w:tc>
        <w:tc>
          <w:tcPr>
            <w:tcW w:w="201" w:type="pct"/>
            <w:vMerge w:val="continue"/>
            <w:vAlign w:val="center"/>
          </w:tcPr>
          <w:p w14:paraId="6D737E86">
            <w:pPr>
              <w:pStyle w:val="33"/>
              <w:rPr>
                <w:color w:val="auto"/>
              </w:rPr>
            </w:pPr>
          </w:p>
        </w:tc>
        <w:tc>
          <w:tcPr>
            <w:tcW w:w="277" w:type="pct"/>
            <w:vMerge w:val="continue"/>
            <w:vAlign w:val="center"/>
          </w:tcPr>
          <w:p w14:paraId="02C9DEB5">
            <w:pPr>
              <w:pStyle w:val="33"/>
              <w:rPr>
                <w:color w:val="auto"/>
              </w:rPr>
            </w:pPr>
          </w:p>
        </w:tc>
        <w:tc>
          <w:tcPr>
            <w:tcW w:w="294" w:type="pct"/>
            <w:vMerge w:val="continue"/>
            <w:vAlign w:val="center"/>
          </w:tcPr>
          <w:p w14:paraId="15717B55">
            <w:pPr>
              <w:pStyle w:val="33"/>
              <w:rPr>
                <w:color w:val="auto"/>
              </w:rPr>
            </w:pPr>
          </w:p>
        </w:tc>
      </w:tr>
      <w:tr w14:paraId="6B6DF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52" w:type="pct"/>
            <w:gridSpan w:val="2"/>
            <w:vMerge w:val="restart"/>
            <w:noWrap/>
            <w:vAlign w:val="center"/>
          </w:tcPr>
          <w:p w14:paraId="4C17C561">
            <w:pPr>
              <w:pStyle w:val="33"/>
              <w:rPr>
                <w:color w:val="auto"/>
              </w:rPr>
            </w:pPr>
            <w:r>
              <w:rPr>
                <w:color w:val="auto"/>
              </w:rPr>
              <w:t>合计</w:t>
            </w:r>
          </w:p>
        </w:tc>
        <w:tc>
          <w:tcPr>
            <w:tcW w:w="371" w:type="pct"/>
            <w:noWrap/>
            <w:vAlign w:val="center"/>
          </w:tcPr>
          <w:p w14:paraId="46FBF6B3">
            <w:pPr>
              <w:pStyle w:val="33"/>
              <w:rPr>
                <w:color w:val="auto"/>
              </w:rPr>
            </w:pPr>
            <w:r>
              <w:rPr>
                <w:color w:val="auto"/>
              </w:rPr>
              <w:t>NH</w:t>
            </w:r>
            <w:r>
              <w:rPr>
                <w:color w:val="auto"/>
                <w:vertAlign w:val="subscript"/>
              </w:rPr>
              <w:t>3</w:t>
            </w:r>
          </w:p>
        </w:tc>
        <w:tc>
          <w:tcPr>
            <w:tcW w:w="298" w:type="pct"/>
            <w:vMerge w:val="continue"/>
            <w:vAlign w:val="center"/>
          </w:tcPr>
          <w:p w14:paraId="4B341069">
            <w:pPr>
              <w:pStyle w:val="33"/>
              <w:rPr>
                <w:color w:val="auto"/>
              </w:rPr>
            </w:pPr>
          </w:p>
        </w:tc>
        <w:tc>
          <w:tcPr>
            <w:tcW w:w="274" w:type="pct"/>
            <w:noWrap/>
            <w:vAlign w:val="center"/>
          </w:tcPr>
          <w:p w14:paraId="27666EC1">
            <w:pPr>
              <w:pStyle w:val="33"/>
              <w:rPr>
                <w:color w:val="auto"/>
              </w:rPr>
            </w:pPr>
            <w:r>
              <w:rPr>
                <w:rFonts w:eastAsia="等线" w:cs="Times New Roman"/>
                <w:color w:val="auto"/>
                <w:sz w:val="20"/>
                <w:szCs w:val="20"/>
              </w:rPr>
              <w:t>0.0352</w:t>
            </w:r>
          </w:p>
        </w:tc>
        <w:tc>
          <w:tcPr>
            <w:tcW w:w="283" w:type="pct"/>
            <w:noWrap/>
            <w:vAlign w:val="center"/>
          </w:tcPr>
          <w:p w14:paraId="1FB39717">
            <w:pPr>
              <w:pStyle w:val="33"/>
              <w:rPr>
                <w:color w:val="auto"/>
              </w:rPr>
            </w:pPr>
            <w:r>
              <w:rPr>
                <w:rFonts w:eastAsia="等线" w:cs="Times New Roman"/>
                <w:color w:val="auto"/>
                <w:sz w:val="20"/>
                <w:szCs w:val="20"/>
              </w:rPr>
              <w:t>0.3081</w:t>
            </w:r>
          </w:p>
        </w:tc>
        <w:tc>
          <w:tcPr>
            <w:tcW w:w="334" w:type="pct"/>
            <w:noWrap/>
            <w:vAlign w:val="center"/>
          </w:tcPr>
          <w:p w14:paraId="47B810F1">
            <w:pPr>
              <w:pStyle w:val="33"/>
              <w:rPr>
                <w:color w:val="auto"/>
              </w:rPr>
            </w:pPr>
            <w:r>
              <w:rPr>
                <w:rFonts w:eastAsia="等线" w:cs="Times New Roman"/>
                <w:color w:val="auto"/>
                <w:sz w:val="20"/>
                <w:szCs w:val="20"/>
              </w:rPr>
              <w:t>1.4067</w:t>
            </w:r>
          </w:p>
        </w:tc>
        <w:tc>
          <w:tcPr>
            <w:tcW w:w="211" w:type="pct"/>
            <w:vMerge w:val="continue"/>
            <w:vAlign w:val="center"/>
          </w:tcPr>
          <w:p w14:paraId="7B6EC13E">
            <w:pPr>
              <w:pStyle w:val="33"/>
              <w:rPr>
                <w:color w:val="auto"/>
              </w:rPr>
            </w:pPr>
          </w:p>
        </w:tc>
        <w:tc>
          <w:tcPr>
            <w:tcW w:w="285" w:type="pct"/>
            <w:vMerge w:val="continue"/>
            <w:vAlign w:val="center"/>
          </w:tcPr>
          <w:p w14:paraId="62F8639A">
            <w:pPr>
              <w:pStyle w:val="33"/>
              <w:rPr>
                <w:color w:val="auto"/>
              </w:rPr>
            </w:pPr>
          </w:p>
        </w:tc>
        <w:tc>
          <w:tcPr>
            <w:tcW w:w="328" w:type="pct"/>
            <w:noWrap/>
            <w:vAlign w:val="center"/>
          </w:tcPr>
          <w:p w14:paraId="6E12035A">
            <w:pPr>
              <w:pStyle w:val="33"/>
              <w:rPr>
                <w:color w:val="auto"/>
              </w:rPr>
            </w:pPr>
            <w:r>
              <w:rPr>
                <w:rFonts w:eastAsia="等线" w:cs="Times New Roman"/>
                <w:color w:val="auto"/>
                <w:sz w:val="20"/>
                <w:szCs w:val="20"/>
              </w:rPr>
              <w:t>0.0032</w:t>
            </w:r>
          </w:p>
        </w:tc>
        <w:tc>
          <w:tcPr>
            <w:tcW w:w="337" w:type="pct"/>
            <w:noWrap/>
            <w:vAlign w:val="center"/>
          </w:tcPr>
          <w:p w14:paraId="44178FED">
            <w:pPr>
              <w:pStyle w:val="33"/>
              <w:rPr>
                <w:color w:val="auto"/>
              </w:rPr>
            </w:pPr>
            <w:r>
              <w:rPr>
                <w:rFonts w:eastAsia="等线" w:cs="Times New Roman"/>
                <w:color w:val="auto"/>
                <w:sz w:val="20"/>
                <w:szCs w:val="20"/>
              </w:rPr>
              <w:t>0.0277</w:t>
            </w:r>
          </w:p>
        </w:tc>
        <w:tc>
          <w:tcPr>
            <w:tcW w:w="335" w:type="pct"/>
            <w:noWrap/>
            <w:vAlign w:val="center"/>
          </w:tcPr>
          <w:p w14:paraId="56F9573B">
            <w:pPr>
              <w:pStyle w:val="33"/>
              <w:rPr>
                <w:color w:val="auto"/>
              </w:rPr>
            </w:pPr>
            <w:r>
              <w:rPr>
                <w:rFonts w:eastAsia="等线" w:cs="Times New Roman"/>
                <w:color w:val="auto"/>
                <w:sz w:val="20"/>
                <w:szCs w:val="20"/>
              </w:rPr>
              <w:t>0.1266</w:t>
            </w:r>
          </w:p>
        </w:tc>
        <w:tc>
          <w:tcPr>
            <w:tcW w:w="257" w:type="pct"/>
            <w:noWrap/>
            <w:vAlign w:val="center"/>
          </w:tcPr>
          <w:p w14:paraId="36944DFF">
            <w:pPr>
              <w:pStyle w:val="33"/>
              <w:rPr>
                <w:color w:val="auto"/>
              </w:rPr>
            </w:pPr>
            <w:r>
              <w:rPr>
                <w:rFonts w:eastAsia="等线" w:cs="Times New Roman"/>
                <w:color w:val="auto"/>
                <w:sz w:val="20"/>
                <w:szCs w:val="20"/>
              </w:rPr>
              <w:t>4.9</w:t>
            </w:r>
          </w:p>
        </w:tc>
        <w:tc>
          <w:tcPr>
            <w:tcW w:w="263" w:type="pct"/>
            <w:vMerge w:val="continue"/>
            <w:vAlign w:val="center"/>
          </w:tcPr>
          <w:p w14:paraId="72810820">
            <w:pPr>
              <w:pStyle w:val="33"/>
              <w:rPr>
                <w:color w:val="auto"/>
              </w:rPr>
            </w:pPr>
          </w:p>
        </w:tc>
        <w:tc>
          <w:tcPr>
            <w:tcW w:w="201" w:type="pct"/>
            <w:vMerge w:val="continue"/>
            <w:vAlign w:val="center"/>
          </w:tcPr>
          <w:p w14:paraId="5B21A152">
            <w:pPr>
              <w:pStyle w:val="33"/>
              <w:rPr>
                <w:color w:val="auto"/>
              </w:rPr>
            </w:pPr>
          </w:p>
        </w:tc>
        <w:tc>
          <w:tcPr>
            <w:tcW w:w="277" w:type="pct"/>
            <w:vMerge w:val="continue"/>
            <w:vAlign w:val="center"/>
          </w:tcPr>
          <w:p w14:paraId="34369DA2">
            <w:pPr>
              <w:pStyle w:val="33"/>
              <w:rPr>
                <w:color w:val="auto"/>
              </w:rPr>
            </w:pPr>
          </w:p>
        </w:tc>
        <w:tc>
          <w:tcPr>
            <w:tcW w:w="294" w:type="pct"/>
            <w:vMerge w:val="continue"/>
            <w:vAlign w:val="center"/>
          </w:tcPr>
          <w:p w14:paraId="2E4A1756">
            <w:pPr>
              <w:pStyle w:val="33"/>
              <w:rPr>
                <w:color w:val="auto"/>
              </w:rPr>
            </w:pPr>
          </w:p>
        </w:tc>
      </w:tr>
      <w:tr w14:paraId="43B93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52" w:type="pct"/>
            <w:gridSpan w:val="2"/>
            <w:vMerge w:val="continue"/>
            <w:noWrap/>
            <w:vAlign w:val="center"/>
          </w:tcPr>
          <w:p w14:paraId="75829EA2">
            <w:pPr>
              <w:pStyle w:val="33"/>
              <w:rPr>
                <w:color w:val="auto"/>
              </w:rPr>
            </w:pPr>
          </w:p>
        </w:tc>
        <w:tc>
          <w:tcPr>
            <w:tcW w:w="371" w:type="pct"/>
            <w:noWrap/>
            <w:vAlign w:val="center"/>
          </w:tcPr>
          <w:p w14:paraId="2F0C9261">
            <w:pPr>
              <w:pStyle w:val="33"/>
              <w:rPr>
                <w:color w:val="auto"/>
              </w:rPr>
            </w:pPr>
            <w:r>
              <w:rPr>
                <w:color w:val="auto"/>
              </w:rPr>
              <w:t>H</w:t>
            </w:r>
            <w:r>
              <w:rPr>
                <w:color w:val="auto"/>
                <w:vertAlign w:val="subscript"/>
              </w:rPr>
              <w:t>2</w:t>
            </w:r>
            <w:r>
              <w:rPr>
                <w:color w:val="auto"/>
              </w:rPr>
              <w:t>S</w:t>
            </w:r>
          </w:p>
        </w:tc>
        <w:tc>
          <w:tcPr>
            <w:tcW w:w="298" w:type="pct"/>
            <w:vMerge w:val="continue"/>
            <w:vAlign w:val="center"/>
          </w:tcPr>
          <w:p w14:paraId="105871E0">
            <w:pPr>
              <w:pStyle w:val="33"/>
              <w:rPr>
                <w:color w:val="auto"/>
              </w:rPr>
            </w:pPr>
          </w:p>
        </w:tc>
        <w:tc>
          <w:tcPr>
            <w:tcW w:w="274" w:type="pct"/>
            <w:noWrap/>
            <w:vAlign w:val="center"/>
          </w:tcPr>
          <w:p w14:paraId="2C1561AA">
            <w:pPr>
              <w:pStyle w:val="33"/>
              <w:rPr>
                <w:color w:val="auto"/>
              </w:rPr>
            </w:pPr>
            <w:r>
              <w:rPr>
                <w:rFonts w:eastAsia="等线" w:cs="Times New Roman"/>
                <w:color w:val="auto"/>
                <w:sz w:val="20"/>
                <w:szCs w:val="20"/>
              </w:rPr>
              <w:t>0.0324</w:t>
            </w:r>
          </w:p>
        </w:tc>
        <w:tc>
          <w:tcPr>
            <w:tcW w:w="283" w:type="pct"/>
            <w:noWrap/>
            <w:vAlign w:val="center"/>
          </w:tcPr>
          <w:p w14:paraId="4B506E94">
            <w:pPr>
              <w:pStyle w:val="33"/>
              <w:rPr>
                <w:color w:val="auto"/>
              </w:rPr>
            </w:pPr>
            <w:r>
              <w:rPr>
                <w:rFonts w:eastAsia="等线" w:cs="Times New Roman"/>
                <w:color w:val="auto"/>
                <w:sz w:val="20"/>
                <w:szCs w:val="20"/>
              </w:rPr>
              <w:t>0.2835</w:t>
            </w:r>
          </w:p>
        </w:tc>
        <w:tc>
          <w:tcPr>
            <w:tcW w:w="334" w:type="pct"/>
            <w:noWrap/>
            <w:vAlign w:val="center"/>
          </w:tcPr>
          <w:p w14:paraId="67AF09F7">
            <w:pPr>
              <w:pStyle w:val="33"/>
              <w:rPr>
                <w:color w:val="auto"/>
              </w:rPr>
            </w:pPr>
            <w:r>
              <w:rPr>
                <w:rFonts w:eastAsia="等线" w:cs="Times New Roman"/>
                <w:color w:val="auto"/>
                <w:sz w:val="20"/>
                <w:szCs w:val="20"/>
              </w:rPr>
              <w:t>1.2947</w:t>
            </w:r>
          </w:p>
        </w:tc>
        <w:tc>
          <w:tcPr>
            <w:tcW w:w="211" w:type="pct"/>
            <w:vMerge w:val="continue"/>
            <w:vAlign w:val="center"/>
          </w:tcPr>
          <w:p w14:paraId="411E3FA4">
            <w:pPr>
              <w:pStyle w:val="33"/>
              <w:rPr>
                <w:color w:val="auto"/>
              </w:rPr>
            </w:pPr>
          </w:p>
        </w:tc>
        <w:tc>
          <w:tcPr>
            <w:tcW w:w="285" w:type="pct"/>
            <w:vMerge w:val="continue"/>
            <w:vAlign w:val="center"/>
          </w:tcPr>
          <w:p w14:paraId="407C5A88">
            <w:pPr>
              <w:pStyle w:val="33"/>
              <w:rPr>
                <w:color w:val="auto"/>
              </w:rPr>
            </w:pPr>
          </w:p>
        </w:tc>
        <w:tc>
          <w:tcPr>
            <w:tcW w:w="328" w:type="pct"/>
            <w:noWrap/>
            <w:vAlign w:val="center"/>
          </w:tcPr>
          <w:p w14:paraId="7DA9F915">
            <w:pPr>
              <w:pStyle w:val="33"/>
              <w:rPr>
                <w:color w:val="auto"/>
              </w:rPr>
            </w:pPr>
            <w:r>
              <w:rPr>
                <w:rFonts w:eastAsia="等线" w:cs="Times New Roman"/>
                <w:color w:val="auto"/>
                <w:sz w:val="20"/>
                <w:szCs w:val="20"/>
              </w:rPr>
              <w:t>0.0015</w:t>
            </w:r>
          </w:p>
        </w:tc>
        <w:tc>
          <w:tcPr>
            <w:tcW w:w="337" w:type="pct"/>
            <w:noWrap/>
            <w:vAlign w:val="center"/>
          </w:tcPr>
          <w:p w14:paraId="7CC5871F">
            <w:pPr>
              <w:pStyle w:val="33"/>
              <w:rPr>
                <w:color w:val="auto"/>
              </w:rPr>
            </w:pPr>
            <w:r>
              <w:rPr>
                <w:rFonts w:eastAsia="等线" w:cs="Times New Roman"/>
                <w:color w:val="auto"/>
                <w:sz w:val="20"/>
                <w:szCs w:val="20"/>
              </w:rPr>
              <w:t>0.0128</w:t>
            </w:r>
          </w:p>
        </w:tc>
        <w:tc>
          <w:tcPr>
            <w:tcW w:w="335" w:type="pct"/>
            <w:noWrap/>
            <w:vAlign w:val="center"/>
          </w:tcPr>
          <w:p w14:paraId="40DDB110">
            <w:pPr>
              <w:pStyle w:val="33"/>
              <w:rPr>
                <w:color w:val="auto"/>
              </w:rPr>
            </w:pPr>
            <w:r>
              <w:rPr>
                <w:rFonts w:eastAsia="等线" w:cs="Times New Roman"/>
                <w:color w:val="auto"/>
                <w:sz w:val="20"/>
                <w:szCs w:val="20"/>
              </w:rPr>
              <w:t>0.0583</w:t>
            </w:r>
          </w:p>
        </w:tc>
        <w:tc>
          <w:tcPr>
            <w:tcW w:w="257" w:type="pct"/>
            <w:noWrap/>
            <w:vAlign w:val="center"/>
          </w:tcPr>
          <w:p w14:paraId="13DE95F2">
            <w:pPr>
              <w:pStyle w:val="33"/>
              <w:rPr>
                <w:color w:val="auto"/>
              </w:rPr>
            </w:pPr>
            <w:r>
              <w:rPr>
                <w:rFonts w:eastAsia="等线" w:cs="Times New Roman"/>
                <w:color w:val="auto"/>
                <w:sz w:val="20"/>
                <w:szCs w:val="20"/>
              </w:rPr>
              <w:t>0.33</w:t>
            </w:r>
          </w:p>
        </w:tc>
        <w:tc>
          <w:tcPr>
            <w:tcW w:w="263" w:type="pct"/>
            <w:vMerge w:val="continue"/>
            <w:vAlign w:val="center"/>
          </w:tcPr>
          <w:p w14:paraId="5D2B244D">
            <w:pPr>
              <w:pStyle w:val="33"/>
              <w:rPr>
                <w:color w:val="auto"/>
              </w:rPr>
            </w:pPr>
          </w:p>
        </w:tc>
        <w:tc>
          <w:tcPr>
            <w:tcW w:w="201" w:type="pct"/>
            <w:vMerge w:val="continue"/>
            <w:vAlign w:val="center"/>
          </w:tcPr>
          <w:p w14:paraId="5B1C9170">
            <w:pPr>
              <w:pStyle w:val="33"/>
              <w:rPr>
                <w:color w:val="auto"/>
              </w:rPr>
            </w:pPr>
          </w:p>
        </w:tc>
        <w:tc>
          <w:tcPr>
            <w:tcW w:w="277" w:type="pct"/>
            <w:vMerge w:val="continue"/>
            <w:vAlign w:val="center"/>
          </w:tcPr>
          <w:p w14:paraId="72044C01">
            <w:pPr>
              <w:pStyle w:val="33"/>
              <w:rPr>
                <w:color w:val="auto"/>
              </w:rPr>
            </w:pPr>
          </w:p>
        </w:tc>
        <w:tc>
          <w:tcPr>
            <w:tcW w:w="294" w:type="pct"/>
            <w:vMerge w:val="continue"/>
            <w:vAlign w:val="center"/>
          </w:tcPr>
          <w:p w14:paraId="29E4A5CB">
            <w:pPr>
              <w:pStyle w:val="33"/>
              <w:rPr>
                <w:color w:val="auto"/>
              </w:rPr>
            </w:pPr>
          </w:p>
        </w:tc>
      </w:tr>
      <w:tr w14:paraId="4B786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52" w:type="pct"/>
            <w:gridSpan w:val="2"/>
            <w:vMerge w:val="continue"/>
            <w:vAlign w:val="center"/>
          </w:tcPr>
          <w:p w14:paraId="33A96794">
            <w:pPr>
              <w:pStyle w:val="33"/>
              <w:rPr>
                <w:color w:val="auto"/>
              </w:rPr>
            </w:pPr>
          </w:p>
        </w:tc>
        <w:tc>
          <w:tcPr>
            <w:tcW w:w="371" w:type="pct"/>
            <w:noWrap/>
            <w:vAlign w:val="center"/>
          </w:tcPr>
          <w:p w14:paraId="04F76C77">
            <w:pPr>
              <w:pStyle w:val="33"/>
              <w:rPr>
                <w:color w:val="auto"/>
              </w:rPr>
            </w:pPr>
            <w:r>
              <w:rPr>
                <w:color w:val="auto"/>
              </w:rPr>
              <w:t>臭气浓度</w:t>
            </w:r>
          </w:p>
        </w:tc>
        <w:tc>
          <w:tcPr>
            <w:tcW w:w="298" w:type="pct"/>
            <w:vMerge w:val="continue"/>
            <w:vAlign w:val="center"/>
          </w:tcPr>
          <w:p w14:paraId="2308C096">
            <w:pPr>
              <w:pStyle w:val="33"/>
              <w:rPr>
                <w:color w:val="auto"/>
              </w:rPr>
            </w:pPr>
          </w:p>
        </w:tc>
        <w:tc>
          <w:tcPr>
            <w:tcW w:w="891" w:type="pct"/>
            <w:gridSpan w:val="3"/>
            <w:noWrap/>
            <w:vAlign w:val="center"/>
          </w:tcPr>
          <w:p w14:paraId="21D10C8A">
            <w:pPr>
              <w:pStyle w:val="33"/>
              <w:rPr>
                <w:color w:val="auto"/>
              </w:rPr>
            </w:pPr>
            <w:r>
              <w:rPr>
                <w:color w:val="auto"/>
              </w:rPr>
              <w:t>2500（无量纲）</w:t>
            </w:r>
          </w:p>
        </w:tc>
        <w:tc>
          <w:tcPr>
            <w:tcW w:w="211" w:type="pct"/>
            <w:vMerge w:val="continue"/>
            <w:vAlign w:val="center"/>
          </w:tcPr>
          <w:p w14:paraId="6BDAE000">
            <w:pPr>
              <w:pStyle w:val="33"/>
              <w:rPr>
                <w:color w:val="auto"/>
              </w:rPr>
            </w:pPr>
          </w:p>
        </w:tc>
        <w:tc>
          <w:tcPr>
            <w:tcW w:w="285" w:type="pct"/>
            <w:vMerge w:val="continue"/>
            <w:vAlign w:val="center"/>
          </w:tcPr>
          <w:p w14:paraId="46D03FFC">
            <w:pPr>
              <w:pStyle w:val="33"/>
              <w:rPr>
                <w:color w:val="auto"/>
              </w:rPr>
            </w:pPr>
          </w:p>
        </w:tc>
        <w:tc>
          <w:tcPr>
            <w:tcW w:w="999" w:type="pct"/>
            <w:gridSpan w:val="3"/>
            <w:noWrap/>
            <w:vAlign w:val="center"/>
          </w:tcPr>
          <w:p w14:paraId="3E33743F">
            <w:pPr>
              <w:pStyle w:val="33"/>
              <w:rPr>
                <w:color w:val="auto"/>
              </w:rPr>
            </w:pPr>
            <w:r>
              <w:rPr>
                <w:color w:val="auto"/>
              </w:rPr>
              <w:t>112.5（无量纲）</w:t>
            </w:r>
          </w:p>
        </w:tc>
        <w:tc>
          <w:tcPr>
            <w:tcW w:w="257" w:type="pct"/>
            <w:noWrap/>
            <w:vAlign w:val="center"/>
          </w:tcPr>
          <w:p w14:paraId="56FF7C96">
            <w:pPr>
              <w:pStyle w:val="33"/>
              <w:rPr>
                <w:color w:val="auto"/>
              </w:rPr>
            </w:pPr>
            <w:r>
              <w:rPr>
                <w:color w:val="auto"/>
              </w:rPr>
              <w:t>6000</w:t>
            </w:r>
          </w:p>
        </w:tc>
        <w:tc>
          <w:tcPr>
            <w:tcW w:w="263" w:type="pct"/>
            <w:vMerge w:val="continue"/>
            <w:vAlign w:val="center"/>
          </w:tcPr>
          <w:p w14:paraId="225B6F52">
            <w:pPr>
              <w:pStyle w:val="33"/>
              <w:rPr>
                <w:color w:val="auto"/>
              </w:rPr>
            </w:pPr>
          </w:p>
        </w:tc>
        <w:tc>
          <w:tcPr>
            <w:tcW w:w="201" w:type="pct"/>
            <w:vMerge w:val="continue"/>
            <w:vAlign w:val="center"/>
          </w:tcPr>
          <w:p w14:paraId="28CA54B0">
            <w:pPr>
              <w:pStyle w:val="33"/>
              <w:rPr>
                <w:color w:val="auto"/>
              </w:rPr>
            </w:pPr>
          </w:p>
        </w:tc>
        <w:tc>
          <w:tcPr>
            <w:tcW w:w="277" w:type="pct"/>
            <w:vMerge w:val="continue"/>
            <w:vAlign w:val="center"/>
          </w:tcPr>
          <w:p w14:paraId="751FAABE">
            <w:pPr>
              <w:pStyle w:val="33"/>
              <w:rPr>
                <w:color w:val="auto"/>
              </w:rPr>
            </w:pPr>
          </w:p>
        </w:tc>
        <w:tc>
          <w:tcPr>
            <w:tcW w:w="294" w:type="pct"/>
            <w:vMerge w:val="continue"/>
            <w:vAlign w:val="center"/>
          </w:tcPr>
          <w:p w14:paraId="5AE62DD0">
            <w:pPr>
              <w:pStyle w:val="33"/>
              <w:rPr>
                <w:color w:val="auto"/>
              </w:rPr>
            </w:pPr>
          </w:p>
        </w:tc>
      </w:tr>
    </w:tbl>
    <w:p w14:paraId="6D925F6A">
      <w:pPr>
        <w:ind w:firstLine="480"/>
        <w:rPr>
          <w:color w:val="auto"/>
        </w:rPr>
      </w:pPr>
    </w:p>
    <w:p w14:paraId="157B5748">
      <w:pPr>
        <w:ind w:firstLine="480"/>
        <w:rPr>
          <w:color w:val="auto"/>
        </w:rPr>
        <w:sectPr>
          <w:pgSz w:w="16838" w:h="11905" w:orient="landscape"/>
          <w:pgMar w:top="1418" w:right="1418" w:bottom="1418" w:left="1418" w:header="851" w:footer="851" w:gutter="0"/>
          <w:pgNumType w:fmt="numberInDash"/>
          <w:cols w:space="720" w:num="1"/>
          <w:docGrid w:type="lines" w:linePitch="335" w:charSpace="0"/>
        </w:sectPr>
      </w:pPr>
    </w:p>
    <w:p w14:paraId="376CE700">
      <w:pPr>
        <w:pStyle w:val="7"/>
        <w:rPr>
          <w:color w:val="auto"/>
        </w:rPr>
      </w:pPr>
      <w:bookmarkStart w:id="223" w:name="_Ref168565239"/>
      <w:r>
        <w:rPr>
          <w:color w:val="auto"/>
        </w:rPr>
        <w:t>无组织大气污染物产生及排放情况一览表</w:t>
      </w:r>
      <w:bookmarkEnd w:id="223"/>
    </w:p>
    <w:tbl>
      <w:tblPr>
        <w:tblStyle w:val="26"/>
        <w:tblW w:w="5000" w:type="pct"/>
        <w:tblInd w:w="0" w:type="dxa"/>
        <w:tblLayout w:type="autofit"/>
        <w:tblCellMar>
          <w:top w:w="0" w:type="dxa"/>
          <w:left w:w="108" w:type="dxa"/>
          <w:bottom w:w="0" w:type="dxa"/>
          <w:right w:w="108" w:type="dxa"/>
        </w:tblCellMar>
      </w:tblPr>
      <w:tblGrid>
        <w:gridCol w:w="1033"/>
        <w:gridCol w:w="3248"/>
        <w:gridCol w:w="1489"/>
        <w:gridCol w:w="1644"/>
        <w:gridCol w:w="1872"/>
      </w:tblGrid>
      <w:tr w14:paraId="09BD9F27">
        <w:tblPrEx>
          <w:tblCellMar>
            <w:top w:w="0" w:type="dxa"/>
            <w:left w:w="108" w:type="dxa"/>
            <w:bottom w:w="0" w:type="dxa"/>
            <w:right w:w="108" w:type="dxa"/>
          </w:tblCellMar>
        </w:tblPrEx>
        <w:trPr>
          <w:trHeight w:val="340" w:hRule="atLeast"/>
        </w:trPr>
        <w:tc>
          <w:tcPr>
            <w:tcW w:w="556" w:type="pct"/>
            <w:vMerge w:val="restart"/>
            <w:tcBorders>
              <w:top w:val="single" w:color="auto" w:sz="4" w:space="0"/>
              <w:left w:val="single" w:color="auto" w:sz="4" w:space="0"/>
              <w:bottom w:val="single" w:color="auto" w:sz="4" w:space="0"/>
              <w:right w:val="single" w:color="auto" w:sz="4" w:space="0"/>
            </w:tcBorders>
            <w:vAlign w:val="center"/>
          </w:tcPr>
          <w:p w14:paraId="67E6BADF">
            <w:pPr>
              <w:pStyle w:val="33"/>
              <w:rPr>
                <w:color w:val="auto"/>
              </w:rPr>
            </w:pPr>
            <w:r>
              <w:rPr>
                <w:color w:val="auto"/>
              </w:rPr>
              <w:t>序号</w:t>
            </w:r>
          </w:p>
        </w:tc>
        <w:tc>
          <w:tcPr>
            <w:tcW w:w="1749" w:type="pct"/>
            <w:vMerge w:val="restart"/>
            <w:tcBorders>
              <w:top w:val="single" w:color="auto" w:sz="4" w:space="0"/>
              <w:left w:val="single" w:color="auto" w:sz="4" w:space="0"/>
              <w:bottom w:val="single" w:color="auto" w:sz="4" w:space="0"/>
              <w:right w:val="single" w:color="auto" w:sz="4" w:space="0"/>
            </w:tcBorders>
            <w:vAlign w:val="center"/>
          </w:tcPr>
          <w:p w14:paraId="199BEEFB">
            <w:pPr>
              <w:pStyle w:val="33"/>
              <w:rPr>
                <w:color w:val="auto"/>
              </w:rPr>
            </w:pPr>
            <w:r>
              <w:rPr>
                <w:color w:val="auto"/>
              </w:rPr>
              <w:t>构筑物</w:t>
            </w:r>
          </w:p>
        </w:tc>
        <w:tc>
          <w:tcPr>
            <w:tcW w:w="802" w:type="pct"/>
            <w:vMerge w:val="restart"/>
            <w:tcBorders>
              <w:top w:val="single" w:color="auto" w:sz="4" w:space="0"/>
              <w:left w:val="nil"/>
              <w:right w:val="single" w:color="auto" w:sz="4" w:space="0"/>
            </w:tcBorders>
            <w:vAlign w:val="center"/>
          </w:tcPr>
          <w:p w14:paraId="0E2BD13A">
            <w:pPr>
              <w:pStyle w:val="33"/>
              <w:rPr>
                <w:color w:val="auto"/>
              </w:rPr>
            </w:pPr>
            <w:r>
              <w:rPr>
                <w:color w:val="auto"/>
              </w:rPr>
              <w:t>污染因子</w:t>
            </w:r>
          </w:p>
        </w:tc>
        <w:tc>
          <w:tcPr>
            <w:tcW w:w="1893" w:type="pct"/>
            <w:gridSpan w:val="2"/>
            <w:tcBorders>
              <w:top w:val="single" w:color="auto" w:sz="4" w:space="0"/>
              <w:left w:val="nil"/>
              <w:bottom w:val="single" w:color="auto" w:sz="4" w:space="0"/>
              <w:right w:val="single" w:color="auto" w:sz="4" w:space="0"/>
            </w:tcBorders>
            <w:vAlign w:val="center"/>
          </w:tcPr>
          <w:p w14:paraId="420660D5">
            <w:pPr>
              <w:pStyle w:val="33"/>
              <w:rPr>
                <w:color w:val="auto"/>
              </w:rPr>
            </w:pPr>
            <w:r>
              <w:rPr>
                <w:color w:val="auto"/>
              </w:rPr>
              <w:t>无组织排放</w:t>
            </w:r>
          </w:p>
        </w:tc>
      </w:tr>
      <w:tr w14:paraId="286627F7">
        <w:tblPrEx>
          <w:tblCellMar>
            <w:top w:w="0" w:type="dxa"/>
            <w:left w:w="108" w:type="dxa"/>
            <w:bottom w:w="0" w:type="dxa"/>
            <w:right w:w="108" w:type="dxa"/>
          </w:tblCellMar>
        </w:tblPrEx>
        <w:trPr>
          <w:trHeight w:val="340" w:hRule="atLeast"/>
        </w:trPr>
        <w:tc>
          <w:tcPr>
            <w:tcW w:w="556" w:type="pct"/>
            <w:vMerge w:val="continue"/>
            <w:tcBorders>
              <w:top w:val="single" w:color="auto" w:sz="4" w:space="0"/>
              <w:left w:val="single" w:color="auto" w:sz="4" w:space="0"/>
              <w:bottom w:val="single" w:color="auto" w:sz="4" w:space="0"/>
              <w:right w:val="single" w:color="auto" w:sz="4" w:space="0"/>
            </w:tcBorders>
            <w:vAlign w:val="center"/>
          </w:tcPr>
          <w:p w14:paraId="4A8F517E">
            <w:pPr>
              <w:pStyle w:val="33"/>
              <w:rPr>
                <w:color w:val="auto"/>
              </w:rPr>
            </w:pPr>
          </w:p>
        </w:tc>
        <w:tc>
          <w:tcPr>
            <w:tcW w:w="1749" w:type="pct"/>
            <w:vMerge w:val="continue"/>
            <w:tcBorders>
              <w:top w:val="single" w:color="auto" w:sz="4" w:space="0"/>
              <w:left w:val="single" w:color="auto" w:sz="4" w:space="0"/>
              <w:bottom w:val="single" w:color="auto" w:sz="4" w:space="0"/>
              <w:right w:val="single" w:color="auto" w:sz="4" w:space="0"/>
            </w:tcBorders>
            <w:vAlign w:val="center"/>
          </w:tcPr>
          <w:p w14:paraId="77361CB2">
            <w:pPr>
              <w:pStyle w:val="33"/>
              <w:rPr>
                <w:color w:val="auto"/>
              </w:rPr>
            </w:pPr>
          </w:p>
        </w:tc>
        <w:tc>
          <w:tcPr>
            <w:tcW w:w="802" w:type="pct"/>
            <w:vMerge w:val="continue"/>
            <w:tcBorders>
              <w:left w:val="nil"/>
              <w:bottom w:val="single" w:color="auto" w:sz="4" w:space="0"/>
              <w:right w:val="single" w:color="auto" w:sz="4" w:space="0"/>
            </w:tcBorders>
            <w:vAlign w:val="center"/>
          </w:tcPr>
          <w:p w14:paraId="71F7D544">
            <w:pPr>
              <w:pStyle w:val="33"/>
              <w:rPr>
                <w:color w:val="auto"/>
              </w:rPr>
            </w:pPr>
          </w:p>
        </w:tc>
        <w:tc>
          <w:tcPr>
            <w:tcW w:w="885" w:type="pct"/>
            <w:tcBorders>
              <w:top w:val="nil"/>
              <w:left w:val="nil"/>
              <w:bottom w:val="single" w:color="auto" w:sz="4" w:space="0"/>
              <w:right w:val="single" w:color="auto" w:sz="4" w:space="0"/>
            </w:tcBorders>
            <w:vAlign w:val="center"/>
          </w:tcPr>
          <w:p w14:paraId="4BBD949A">
            <w:pPr>
              <w:pStyle w:val="33"/>
              <w:rPr>
                <w:color w:val="auto"/>
              </w:rPr>
            </w:pPr>
            <w:r>
              <w:rPr>
                <w:color w:val="auto"/>
              </w:rPr>
              <w:t>kg/h</w:t>
            </w:r>
          </w:p>
        </w:tc>
        <w:tc>
          <w:tcPr>
            <w:tcW w:w="1008" w:type="pct"/>
            <w:tcBorders>
              <w:top w:val="nil"/>
              <w:left w:val="nil"/>
              <w:bottom w:val="single" w:color="auto" w:sz="4" w:space="0"/>
              <w:right w:val="single" w:color="auto" w:sz="4" w:space="0"/>
            </w:tcBorders>
            <w:vAlign w:val="center"/>
          </w:tcPr>
          <w:p w14:paraId="42FABE5F">
            <w:pPr>
              <w:pStyle w:val="33"/>
              <w:rPr>
                <w:color w:val="auto"/>
              </w:rPr>
            </w:pPr>
            <w:r>
              <w:rPr>
                <w:color w:val="auto"/>
              </w:rPr>
              <w:t>t/a</w:t>
            </w:r>
          </w:p>
        </w:tc>
      </w:tr>
      <w:tr w14:paraId="0D2D04B8">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72180652">
            <w:pPr>
              <w:pStyle w:val="33"/>
              <w:rPr>
                <w:color w:val="auto"/>
              </w:rPr>
            </w:pPr>
            <w:r>
              <w:rPr>
                <w:color w:val="auto"/>
              </w:rPr>
              <w:t>1</w:t>
            </w:r>
          </w:p>
        </w:tc>
        <w:tc>
          <w:tcPr>
            <w:tcW w:w="1749" w:type="pct"/>
            <w:vMerge w:val="restart"/>
            <w:tcBorders>
              <w:top w:val="nil"/>
              <w:left w:val="single" w:color="auto" w:sz="4" w:space="0"/>
              <w:bottom w:val="single" w:color="auto" w:sz="4" w:space="0"/>
              <w:right w:val="single" w:color="auto" w:sz="4" w:space="0"/>
            </w:tcBorders>
            <w:noWrap/>
            <w:vAlign w:val="center"/>
          </w:tcPr>
          <w:p w14:paraId="1EB75E98">
            <w:pPr>
              <w:pStyle w:val="33"/>
              <w:rPr>
                <w:color w:val="auto"/>
              </w:rPr>
            </w:pPr>
            <w:r>
              <w:rPr>
                <w:color w:val="auto"/>
              </w:rPr>
              <w:t>集水池</w:t>
            </w:r>
          </w:p>
        </w:tc>
        <w:tc>
          <w:tcPr>
            <w:tcW w:w="802" w:type="pct"/>
            <w:tcBorders>
              <w:top w:val="nil"/>
              <w:left w:val="nil"/>
              <w:bottom w:val="single" w:color="auto" w:sz="4" w:space="0"/>
              <w:right w:val="single" w:color="auto" w:sz="4" w:space="0"/>
            </w:tcBorders>
            <w:noWrap/>
            <w:vAlign w:val="center"/>
          </w:tcPr>
          <w:p w14:paraId="7BB4A8C9">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5CBC105E">
            <w:pPr>
              <w:pStyle w:val="33"/>
              <w:rPr>
                <w:color w:val="auto"/>
              </w:rPr>
            </w:pPr>
            <w:r>
              <w:rPr>
                <w:color w:val="auto"/>
              </w:rPr>
              <w:t>0.00059</w:t>
            </w:r>
          </w:p>
        </w:tc>
        <w:tc>
          <w:tcPr>
            <w:tcW w:w="1008" w:type="pct"/>
            <w:tcBorders>
              <w:top w:val="nil"/>
              <w:left w:val="nil"/>
              <w:bottom w:val="single" w:color="auto" w:sz="4" w:space="0"/>
              <w:right w:val="single" w:color="auto" w:sz="4" w:space="0"/>
            </w:tcBorders>
            <w:noWrap/>
            <w:vAlign w:val="bottom"/>
          </w:tcPr>
          <w:p w14:paraId="35CCCEF9">
            <w:pPr>
              <w:pStyle w:val="33"/>
              <w:rPr>
                <w:color w:val="auto"/>
              </w:rPr>
            </w:pPr>
            <w:r>
              <w:rPr>
                <w:color w:val="auto"/>
              </w:rPr>
              <w:t>0.00518</w:t>
            </w:r>
          </w:p>
        </w:tc>
      </w:tr>
      <w:tr w14:paraId="1ABA18C8">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131ACDA7">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06504C19">
            <w:pPr>
              <w:pStyle w:val="33"/>
              <w:rPr>
                <w:color w:val="auto"/>
              </w:rPr>
            </w:pPr>
          </w:p>
        </w:tc>
        <w:tc>
          <w:tcPr>
            <w:tcW w:w="802" w:type="pct"/>
            <w:tcBorders>
              <w:top w:val="nil"/>
              <w:left w:val="nil"/>
              <w:bottom w:val="single" w:color="auto" w:sz="4" w:space="0"/>
              <w:right w:val="single" w:color="auto" w:sz="4" w:space="0"/>
            </w:tcBorders>
            <w:noWrap/>
            <w:vAlign w:val="center"/>
          </w:tcPr>
          <w:p w14:paraId="5184190C">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53C1C384">
            <w:pPr>
              <w:pStyle w:val="33"/>
              <w:rPr>
                <w:color w:val="auto"/>
              </w:rPr>
            </w:pPr>
            <w:r>
              <w:rPr>
                <w:color w:val="auto"/>
              </w:rPr>
              <w:t>0.00031</w:t>
            </w:r>
          </w:p>
        </w:tc>
        <w:tc>
          <w:tcPr>
            <w:tcW w:w="1008" w:type="pct"/>
            <w:tcBorders>
              <w:top w:val="nil"/>
              <w:left w:val="nil"/>
              <w:bottom w:val="single" w:color="auto" w:sz="4" w:space="0"/>
              <w:right w:val="single" w:color="auto" w:sz="4" w:space="0"/>
            </w:tcBorders>
            <w:noWrap/>
            <w:vAlign w:val="bottom"/>
          </w:tcPr>
          <w:p w14:paraId="4B7676D8">
            <w:pPr>
              <w:pStyle w:val="33"/>
              <w:rPr>
                <w:color w:val="auto"/>
              </w:rPr>
            </w:pPr>
            <w:r>
              <w:rPr>
                <w:color w:val="auto"/>
              </w:rPr>
              <w:t>0.00272</w:t>
            </w:r>
          </w:p>
        </w:tc>
      </w:tr>
      <w:tr w14:paraId="696FCB76">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7055821A">
            <w:pPr>
              <w:pStyle w:val="33"/>
              <w:rPr>
                <w:color w:val="auto"/>
              </w:rPr>
            </w:pPr>
            <w:r>
              <w:rPr>
                <w:color w:val="auto"/>
              </w:rPr>
              <w:t>2</w:t>
            </w:r>
          </w:p>
        </w:tc>
        <w:tc>
          <w:tcPr>
            <w:tcW w:w="1749" w:type="pct"/>
            <w:vMerge w:val="restart"/>
            <w:tcBorders>
              <w:top w:val="nil"/>
              <w:left w:val="single" w:color="auto" w:sz="4" w:space="0"/>
              <w:bottom w:val="single" w:color="auto" w:sz="4" w:space="0"/>
              <w:right w:val="single" w:color="auto" w:sz="4" w:space="0"/>
            </w:tcBorders>
            <w:noWrap/>
            <w:vAlign w:val="center"/>
          </w:tcPr>
          <w:p w14:paraId="1B6D0A4C">
            <w:pPr>
              <w:pStyle w:val="33"/>
              <w:rPr>
                <w:color w:val="auto"/>
              </w:rPr>
            </w:pPr>
            <w:r>
              <w:rPr>
                <w:color w:val="auto"/>
              </w:rPr>
              <w:t>初沉池</w:t>
            </w:r>
          </w:p>
        </w:tc>
        <w:tc>
          <w:tcPr>
            <w:tcW w:w="802" w:type="pct"/>
            <w:tcBorders>
              <w:top w:val="nil"/>
              <w:left w:val="nil"/>
              <w:bottom w:val="single" w:color="auto" w:sz="4" w:space="0"/>
              <w:right w:val="single" w:color="auto" w:sz="4" w:space="0"/>
            </w:tcBorders>
            <w:noWrap/>
            <w:vAlign w:val="center"/>
          </w:tcPr>
          <w:p w14:paraId="4130B9FC">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055BD11E">
            <w:pPr>
              <w:pStyle w:val="33"/>
              <w:rPr>
                <w:color w:val="auto"/>
              </w:rPr>
            </w:pPr>
            <w:r>
              <w:rPr>
                <w:color w:val="auto"/>
              </w:rPr>
              <w:t>0.00025</w:t>
            </w:r>
          </w:p>
        </w:tc>
        <w:tc>
          <w:tcPr>
            <w:tcW w:w="1008" w:type="pct"/>
            <w:tcBorders>
              <w:top w:val="nil"/>
              <w:left w:val="nil"/>
              <w:bottom w:val="single" w:color="auto" w:sz="4" w:space="0"/>
              <w:right w:val="single" w:color="auto" w:sz="4" w:space="0"/>
            </w:tcBorders>
            <w:noWrap/>
            <w:vAlign w:val="bottom"/>
          </w:tcPr>
          <w:p w14:paraId="2E7213D6">
            <w:pPr>
              <w:pStyle w:val="33"/>
              <w:rPr>
                <w:color w:val="auto"/>
              </w:rPr>
            </w:pPr>
            <w:r>
              <w:rPr>
                <w:color w:val="auto"/>
              </w:rPr>
              <w:t>0.00216</w:t>
            </w:r>
          </w:p>
        </w:tc>
      </w:tr>
      <w:tr w14:paraId="31A2A365">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00DD5C17">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47229940">
            <w:pPr>
              <w:pStyle w:val="33"/>
              <w:rPr>
                <w:color w:val="auto"/>
              </w:rPr>
            </w:pPr>
          </w:p>
        </w:tc>
        <w:tc>
          <w:tcPr>
            <w:tcW w:w="802" w:type="pct"/>
            <w:tcBorders>
              <w:top w:val="nil"/>
              <w:left w:val="nil"/>
              <w:bottom w:val="single" w:color="auto" w:sz="4" w:space="0"/>
              <w:right w:val="single" w:color="auto" w:sz="4" w:space="0"/>
            </w:tcBorders>
            <w:noWrap/>
            <w:vAlign w:val="center"/>
          </w:tcPr>
          <w:p w14:paraId="155DFD40">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51C94CC0">
            <w:pPr>
              <w:pStyle w:val="33"/>
              <w:rPr>
                <w:color w:val="auto"/>
              </w:rPr>
            </w:pPr>
            <w:r>
              <w:rPr>
                <w:color w:val="auto"/>
              </w:rPr>
              <w:t>0.00004</w:t>
            </w:r>
          </w:p>
        </w:tc>
        <w:tc>
          <w:tcPr>
            <w:tcW w:w="1008" w:type="pct"/>
            <w:tcBorders>
              <w:top w:val="nil"/>
              <w:left w:val="nil"/>
              <w:bottom w:val="single" w:color="auto" w:sz="4" w:space="0"/>
              <w:right w:val="single" w:color="auto" w:sz="4" w:space="0"/>
            </w:tcBorders>
            <w:noWrap/>
            <w:vAlign w:val="bottom"/>
          </w:tcPr>
          <w:p w14:paraId="32924D0C">
            <w:pPr>
              <w:pStyle w:val="33"/>
              <w:rPr>
                <w:color w:val="auto"/>
              </w:rPr>
            </w:pPr>
            <w:r>
              <w:rPr>
                <w:color w:val="auto"/>
              </w:rPr>
              <w:t>0.00038</w:t>
            </w:r>
          </w:p>
        </w:tc>
      </w:tr>
      <w:tr w14:paraId="6C170CE0">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476331F5">
            <w:pPr>
              <w:pStyle w:val="33"/>
              <w:rPr>
                <w:color w:val="auto"/>
              </w:rPr>
            </w:pPr>
            <w:r>
              <w:rPr>
                <w:color w:val="auto"/>
              </w:rPr>
              <w:t>3</w:t>
            </w:r>
          </w:p>
        </w:tc>
        <w:tc>
          <w:tcPr>
            <w:tcW w:w="1749" w:type="pct"/>
            <w:vMerge w:val="restart"/>
            <w:tcBorders>
              <w:top w:val="nil"/>
              <w:left w:val="single" w:color="auto" w:sz="4" w:space="0"/>
              <w:bottom w:val="single" w:color="auto" w:sz="4" w:space="0"/>
              <w:right w:val="single" w:color="auto" w:sz="4" w:space="0"/>
            </w:tcBorders>
            <w:noWrap/>
            <w:vAlign w:val="center"/>
          </w:tcPr>
          <w:p w14:paraId="43805CCB">
            <w:pPr>
              <w:pStyle w:val="33"/>
              <w:rPr>
                <w:color w:val="auto"/>
              </w:rPr>
            </w:pPr>
            <w:r>
              <w:rPr>
                <w:color w:val="auto"/>
              </w:rPr>
              <w:t>曝气池</w:t>
            </w:r>
          </w:p>
        </w:tc>
        <w:tc>
          <w:tcPr>
            <w:tcW w:w="802" w:type="pct"/>
            <w:tcBorders>
              <w:top w:val="nil"/>
              <w:left w:val="nil"/>
              <w:bottom w:val="single" w:color="auto" w:sz="4" w:space="0"/>
              <w:right w:val="single" w:color="auto" w:sz="4" w:space="0"/>
            </w:tcBorders>
            <w:noWrap/>
            <w:vAlign w:val="center"/>
          </w:tcPr>
          <w:p w14:paraId="2E74BAF4">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4F34E8FF">
            <w:pPr>
              <w:pStyle w:val="33"/>
              <w:rPr>
                <w:color w:val="auto"/>
              </w:rPr>
            </w:pPr>
            <w:r>
              <w:rPr>
                <w:color w:val="auto"/>
              </w:rPr>
              <w:t>0.00086</w:t>
            </w:r>
          </w:p>
        </w:tc>
        <w:tc>
          <w:tcPr>
            <w:tcW w:w="1008" w:type="pct"/>
            <w:tcBorders>
              <w:top w:val="nil"/>
              <w:left w:val="nil"/>
              <w:bottom w:val="single" w:color="auto" w:sz="4" w:space="0"/>
              <w:right w:val="single" w:color="auto" w:sz="4" w:space="0"/>
            </w:tcBorders>
            <w:noWrap/>
            <w:vAlign w:val="bottom"/>
          </w:tcPr>
          <w:p w14:paraId="3BDB6DFB">
            <w:pPr>
              <w:pStyle w:val="33"/>
              <w:rPr>
                <w:color w:val="auto"/>
              </w:rPr>
            </w:pPr>
            <w:r>
              <w:rPr>
                <w:color w:val="auto"/>
              </w:rPr>
              <w:t>0.00755</w:t>
            </w:r>
          </w:p>
        </w:tc>
      </w:tr>
      <w:tr w14:paraId="60CEF258">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4B55CD48">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35B1302E">
            <w:pPr>
              <w:pStyle w:val="33"/>
              <w:rPr>
                <w:color w:val="auto"/>
              </w:rPr>
            </w:pPr>
          </w:p>
        </w:tc>
        <w:tc>
          <w:tcPr>
            <w:tcW w:w="802" w:type="pct"/>
            <w:tcBorders>
              <w:top w:val="nil"/>
              <w:left w:val="nil"/>
              <w:bottom w:val="single" w:color="auto" w:sz="4" w:space="0"/>
              <w:right w:val="single" w:color="auto" w:sz="4" w:space="0"/>
            </w:tcBorders>
            <w:noWrap/>
            <w:vAlign w:val="center"/>
          </w:tcPr>
          <w:p w14:paraId="69921333">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23F7781A">
            <w:pPr>
              <w:pStyle w:val="33"/>
              <w:rPr>
                <w:color w:val="auto"/>
              </w:rPr>
            </w:pPr>
            <w:r>
              <w:rPr>
                <w:color w:val="auto"/>
              </w:rPr>
              <w:t>0.00015</w:t>
            </w:r>
          </w:p>
        </w:tc>
        <w:tc>
          <w:tcPr>
            <w:tcW w:w="1008" w:type="pct"/>
            <w:tcBorders>
              <w:top w:val="nil"/>
              <w:left w:val="nil"/>
              <w:bottom w:val="single" w:color="auto" w:sz="4" w:space="0"/>
              <w:right w:val="single" w:color="auto" w:sz="4" w:space="0"/>
            </w:tcBorders>
            <w:noWrap/>
            <w:vAlign w:val="bottom"/>
          </w:tcPr>
          <w:p w14:paraId="67C7387D">
            <w:pPr>
              <w:pStyle w:val="33"/>
              <w:rPr>
                <w:color w:val="auto"/>
              </w:rPr>
            </w:pPr>
            <w:r>
              <w:rPr>
                <w:color w:val="auto"/>
              </w:rPr>
              <w:t>0.00132</w:t>
            </w:r>
          </w:p>
        </w:tc>
      </w:tr>
      <w:tr w14:paraId="37DB8E47">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7E33F920">
            <w:pPr>
              <w:pStyle w:val="33"/>
              <w:rPr>
                <w:color w:val="auto"/>
              </w:rPr>
            </w:pPr>
            <w:r>
              <w:rPr>
                <w:color w:val="auto"/>
              </w:rPr>
              <w:t>4</w:t>
            </w:r>
          </w:p>
        </w:tc>
        <w:tc>
          <w:tcPr>
            <w:tcW w:w="1749" w:type="pct"/>
            <w:vMerge w:val="restart"/>
            <w:tcBorders>
              <w:top w:val="nil"/>
              <w:left w:val="single" w:color="auto" w:sz="4" w:space="0"/>
              <w:bottom w:val="single" w:color="auto" w:sz="4" w:space="0"/>
              <w:right w:val="single" w:color="auto" w:sz="4" w:space="0"/>
            </w:tcBorders>
            <w:noWrap/>
            <w:vAlign w:val="center"/>
          </w:tcPr>
          <w:p w14:paraId="2AE934B1">
            <w:pPr>
              <w:pStyle w:val="33"/>
              <w:rPr>
                <w:color w:val="auto"/>
              </w:rPr>
            </w:pPr>
            <w:r>
              <w:rPr>
                <w:color w:val="auto"/>
              </w:rPr>
              <w:t>混凝反应池1</w:t>
            </w:r>
          </w:p>
        </w:tc>
        <w:tc>
          <w:tcPr>
            <w:tcW w:w="802" w:type="pct"/>
            <w:tcBorders>
              <w:top w:val="nil"/>
              <w:left w:val="nil"/>
              <w:bottom w:val="single" w:color="auto" w:sz="4" w:space="0"/>
              <w:right w:val="single" w:color="auto" w:sz="4" w:space="0"/>
            </w:tcBorders>
            <w:noWrap/>
            <w:vAlign w:val="center"/>
          </w:tcPr>
          <w:p w14:paraId="4F972BB6">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7574D4E8">
            <w:pPr>
              <w:pStyle w:val="33"/>
              <w:rPr>
                <w:color w:val="auto"/>
              </w:rPr>
            </w:pPr>
            <w:r>
              <w:rPr>
                <w:color w:val="auto"/>
              </w:rPr>
              <w:t>0.00005</w:t>
            </w:r>
          </w:p>
        </w:tc>
        <w:tc>
          <w:tcPr>
            <w:tcW w:w="1008" w:type="pct"/>
            <w:tcBorders>
              <w:top w:val="nil"/>
              <w:left w:val="nil"/>
              <w:bottom w:val="single" w:color="auto" w:sz="4" w:space="0"/>
              <w:right w:val="single" w:color="auto" w:sz="4" w:space="0"/>
            </w:tcBorders>
            <w:noWrap/>
            <w:vAlign w:val="bottom"/>
          </w:tcPr>
          <w:p w14:paraId="1E18C8C9">
            <w:pPr>
              <w:pStyle w:val="33"/>
              <w:rPr>
                <w:color w:val="auto"/>
              </w:rPr>
            </w:pPr>
            <w:r>
              <w:rPr>
                <w:color w:val="auto"/>
              </w:rPr>
              <w:t>0.00043</w:t>
            </w:r>
          </w:p>
        </w:tc>
      </w:tr>
      <w:tr w14:paraId="3C76A7A1">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7CEE09AA">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52F5B0B9">
            <w:pPr>
              <w:pStyle w:val="33"/>
              <w:rPr>
                <w:color w:val="auto"/>
              </w:rPr>
            </w:pPr>
          </w:p>
        </w:tc>
        <w:tc>
          <w:tcPr>
            <w:tcW w:w="802" w:type="pct"/>
            <w:tcBorders>
              <w:top w:val="nil"/>
              <w:left w:val="nil"/>
              <w:bottom w:val="single" w:color="auto" w:sz="4" w:space="0"/>
              <w:right w:val="single" w:color="auto" w:sz="4" w:space="0"/>
            </w:tcBorders>
            <w:noWrap/>
            <w:vAlign w:val="center"/>
          </w:tcPr>
          <w:p w14:paraId="36898DB0">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560D62AA">
            <w:pPr>
              <w:pStyle w:val="33"/>
              <w:rPr>
                <w:color w:val="auto"/>
              </w:rPr>
            </w:pPr>
            <w:r>
              <w:rPr>
                <w:color w:val="auto"/>
              </w:rPr>
              <w:t>0.00003</w:t>
            </w:r>
          </w:p>
        </w:tc>
        <w:tc>
          <w:tcPr>
            <w:tcW w:w="1008" w:type="pct"/>
            <w:tcBorders>
              <w:top w:val="nil"/>
              <w:left w:val="nil"/>
              <w:bottom w:val="single" w:color="auto" w:sz="4" w:space="0"/>
              <w:right w:val="single" w:color="auto" w:sz="4" w:space="0"/>
            </w:tcBorders>
            <w:noWrap/>
            <w:vAlign w:val="bottom"/>
          </w:tcPr>
          <w:p w14:paraId="5A8F09C5">
            <w:pPr>
              <w:pStyle w:val="33"/>
              <w:rPr>
                <w:color w:val="auto"/>
              </w:rPr>
            </w:pPr>
            <w:r>
              <w:rPr>
                <w:color w:val="auto"/>
              </w:rPr>
              <w:t>0.00023</w:t>
            </w:r>
          </w:p>
        </w:tc>
      </w:tr>
      <w:tr w14:paraId="6F81DD0A">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2F0995E5">
            <w:pPr>
              <w:pStyle w:val="33"/>
              <w:rPr>
                <w:color w:val="auto"/>
              </w:rPr>
            </w:pPr>
            <w:r>
              <w:rPr>
                <w:color w:val="auto"/>
              </w:rPr>
              <w:t>5</w:t>
            </w:r>
          </w:p>
        </w:tc>
        <w:tc>
          <w:tcPr>
            <w:tcW w:w="1749" w:type="pct"/>
            <w:vMerge w:val="restart"/>
            <w:tcBorders>
              <w:top w:val="nil"/>
              <w:left w:val="single" w:color="auto" w:sz="4" w:space="0"/>
              <w:bottom w:val="single" w:color="auto" w:sz="4" w:space="0"/>
              <w:right w:val="single" w:color="auto" w:sz="4" w:space="0"/>
            </w:tcBorders>
            <w:noWrap/>
            <w:vAlign w:val="center"/>
          </w:tcPr>
          <w:p w14:paraId="1DC833D5">
            <w:pPr>
              <w:pStyle w:val="33"/>
              <w:rPr>
                <w:color w:val="auto"/>
              </w:rPr>
            </w:pPr>
            <w:r>
              <w:rPr>
                <w:color w:val="auto"/>
              </w:rPr>
              <w:t>二沉池</w:t>
            </w:r>
          </w:p>
        </w:tc>
        <w:tc>
          <w:tcPr>
            <w:tcW w:w="802" w:type="pct"/>
            <w:tcBorders>
              <w:top w:val="nil"/>
              <w:left w:val="nil"/>
              <w:bottom w:val="single" w:color="auto" w:sz="4" w:space="0"/>
              <w:right w:val="single" w:color="auto" w:sz="4" w:space="0"/>
            </w:tcBorders>
            <w:noWrap/>
            <w:vAlign w:val="center"/>
          </w:tcPr>
          <w:p w14:paraId="24792A5A">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575A8C78">
            <w:pPr>
              <w:pStyle w:val="33"/>
              <w:rPr>
                <w:color w:val="auto"/>
              </w:rPr>
            </w:pPr>
            <w:r>
              <w:rPr>
                <w:color w:val="auto"/>
              </w:rPr>
              <w:t>0.00036</w:t>
            </w:r>
          </w:p>
        </w:tc>
        <w:tc>
          <w:tcPr>
            <w:tcW w:w="1008" w:type="pct"/>
            <w:tcBorders>
              <w:top w:val="nil"/>
              <w:left w:val="nil"/>
              <w:bottom w:val="single" w:color="auto" w:sz="4" w:space="0"/>
              <w:right w:val="single" w:color="auto" w:sz="4" w:space="0"/>
            </w:tcBorders>
            <w:noWrap/>
            <w:vAlign w:val="bottom"/>
          </w:tcPr>
          <w:p w14:paraId="47CBC643">
            <w:pPr>
              <w:pStyle w:val="33"/>
              <w:rPr>
                <w:color w:val="auto"/>
              </w:rPr>
            </w:pPr>
            <w:r>
              <w:rPr>
                <w:color w:val="auto"/>
              </w:rPr>
              <w:t>0.00317</w:t>
            </w:r>
          </w:p>
        </w:tc>
      </w:tr>
      <w:tr w14:paraId="218D9C81">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6409CDA1">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67228336">
            <w:pPr>
              <w:pStyle w:val="33"/>
              <w:rPr>
                <w:color w:val="auto"/>
              </w:rPr>
            </w:pPr>
          </w:p>
        </w:tc>
        <w:tc>
          <w:tcPr>
            <w:tcW w:w="802" w:type="pct"/>
            <w:tcBorders>
              <w:top w:val="nil"/>
              <w:left w:val="nil"/>
              <w:bottom w:val="single" w:color="auto" w:sz="4" w:space="0"/>
              <w:right w:val="single" w:color="auto" w:sz="4" w:space="0"/>
            </w:tcBorders>
            <w:noWrap/>
            <w:vAlign w:val="center"/>
          </w:tcPr>
          <w:p w14:paraId="321093C6">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4101CEA6">
            <w:pPr>
              <w:pStyle w:val="33"/>
              <w:rPr>
                <w:color w:val="auto"/>
              </w:rPr>
            </w:pPr>
            <w:r>
              <w:rPr>
                <w:color w:val="auto"/>
              </w:rPr>
              <w:t>0.00006</w:t>
            </w:r>
          </w:p>
        </w:tc>
        <w:tc>
          <w:tcPr>
            <w:tcW w:w="1008" w:type="pct"/>
            <w:tcBorders>
              <w:top w:val="nil"/>
              <w:left w:val="nil"/>
              <w:bottom w:val="single" w:color="auto" w:sz="4" w:space="0"/>
              <w:right w:val="single" w:color="auto" w:sz="4" w:space="0"/>
            </w:tcBorders>
            <w:noWrap/>
            <w:vAlign w:val="bottom"/>
          </w:tcPr>
          <w:p w14:paraId="7D618739">
            <w:pPr>
              <w:pStyle w:val="33"/>
              <w:rPr>
                <w:color w:val="auto"/>
              </w:rPr>
            </w:pPr>
            <w:r>
              <w:rPr>
                <w:color w:val="auto"/>
              </w:rPr>
              <w:t>0.00055</w:t>
            </w:r>
          </w:p>
        </w:tc>
      </w:tr>
      <w:tr w14:paraId="22094C80">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50B9D203">
            <w:pPr>
              <w:pStyle w:val="33"/>
              <w:rPr>
                <w:color w:val="auto"/>
              </w:rPr>
            </w:pPr>
            <w:r>
              <w:rPr>
                <w:color w:val="auto"/>
              </w:rPr>
              <w:t>6</w:t>
            </w:r>
          </w:p>
        </w:tc>
        <w:tc>
          <w:tcPr>
            <w:tcW w:w="1749" w:type="pct"/>
            <w:vMerge w:val="restart"/>
            <w:tcBorders>
              <w:top w:val="nil"/>
              <w:left w:val="single" w:color="auto" w:sz="4" w:space="0"/>
              <w:bottom w:val="single" w:color="auto" w:sz="4" w:space="0"/>
              <w:right w:val="single" w:color="auto" w:sz="4" w:space="0"/>
            </w:tcBorders>
            <w:noWrap/>
            <w:vAlign w:val="center"/>
          </w:tcPr>
          <w:p w14:paraId="03BA8C11">
            <w:pPr>
              <w:pStyle w:val="33"/>
              <w:rPr>
                <w:color w:val="auto"/>
              </w:rPr>
            </w:pPr>
            <w:r>
              <w:rPr>
                <w:color w:val="auto"/>
              </w:rPr>
              <w:t>混凝反应池2</w:t>
            </w:r>
          </w:p>
        </w:tc>
        <w:tc>
          <w:tcPr>
            <w:tcW w:w="802" w:type="pct"/>
            <w:tcBorders>
              <w:top w:val="nil"/>
              <w:left w:val="nil"/>
              <w:bottom w:val="single" w:color="auto" w:sz="4" w:space="0"/>
              <w:right w:val="single" w:color="auto" w:sz="4" w:space="0"/>
            </w:tcBorders>
            <w:noWrap/>
            <w:vAlign w:val="center"/>
          </w:tcPr>
          <w:p w14:paraId="269C2CE3">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5072C998">
            <w:pPr>
              <w:pStyle w:val="33"/>
              <w:rPr>
                <w:color w:val="auto"/>
              </w:rPr>
            </w:pPr>
            <w:r>
              <w:rPr>
                <w:color w:val="auto"/>
              </w:rPr>
              <w:t>0.00007</w:t>
            </w:r>
          </w:p>
        </w:tc>
        <w:tc>
          <w:tcPr>
            <w:tcW w:w="1008" w:type="pct"/>
            <w:tcBorders>
              <w:top w:val="nil"/>
              <w:left w:val="nil"/>
              <w:bottom w:val="single" w:color="auto" w:sz="4" w:space="0"/>
              <w:right w:val="single" w:color="auto" w:sz="4" w:space="0"/>
            </w:tcBorders>
            <w:noWrap/>
            <w:vAlign w:val="bottom"/>
          </w:tcPr>
          <w:p w14:paraId="5EACB0D9">
            <w:pPr>
              <w:pStyle w:val="33"/>
              <w:rPr>
                <w:color w:val="auto"/>
              </w:rPr>
            </w:pPr>
            <w:r>
              <w:rPr>
                <w:color w:val="auto"/>
              </w:rPr>
              <w:t>0.00057</w:t>
            </w:r>
          </w:p>
        </w:tc>
      </w:tr>
      <w:tr w14:paraId="7AF01C73">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59C891E8">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7E924F17">
            <w:pPr>
              <w:pStyle w:val="33"/>
              <w:rPr>
                <w:color w:val="auto"/>
              </w:rPr>
            </w:pPr>
          </w:p>
        </w:tc>
        <w:tc>
          <w:tcPr>
            <w:tcW w:w="802" w:type="pct"/>
            <w:tcBorders>
              <w:top w:val="nil"/>
              <w:left w:val="nil"/>
              <w:bottom w:val="single" w:color="auto" w:sz="4" w:space="0"/>
              <w:right w:val="single" w:color="auto" w:sz="4" w:space="0"/>
            </w:tcBorders>
            <w:noWrap/>
            <w:vAlign w:val="center"/>
          </w:tcPr>
          <w:p w14:paraId="4DF10F14">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33DC577F">
            <w:pPr>
              <w:pStyle w:val="33"/>
              <w:rPr>
                <w:color w:val="auto"/>
              </w:rPr>
            </w:pPr>
            <w:r>
              <w:rPr>
                <w:color w:val="auto"/>
              </w:rPr>
              <w:t>0.00003</w:t>
            </w:r>
          </w:p>
        </w:tc>
        <w:tc>
          <w:tcPr>
            <w:tcW w:w="1008" w:type="pct"/>
            <w:tcBorders>
              <w:top w:val="nil"/>
              <w:left w:val="nil"/>
              <w:bottom w:val="single" w:color="auto" w:sz="4" w:space="0"/>
              <w:right w:val="single" w:color="auto" w:sz="4" w:space="0"/>
            </w:tcBorders>
            <w:noWrap/>
            <w:vAlign w:val="bottom"/>
          </w:tcPr>
          <w:p w14:paraId="271565D3">
            <w:pPr>
              <w:pStyle w:val="33"/>
              <w:rPr>
                <w:color w:val="auto"/>
              </w:rPr>
            </w:pPr>
            <w:r>
              <w:rPr>
                <w:color w:val="auto"/>
              </w:rPr>
              <w:t>0.00030</w:t>
            </w:r>
          </w:p>
        </w:tc>
      </w:tr>
      <w:tr w14:paraId="1D58DAAD">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68806EF2">
            <w:pPr>
              <w:pStyle w:val="33"/>
              <w:rPr>
                <w:color w:val="auto"/>
              </w:rPr>
            </w:pPr>
            <w:r>
              <w:rPr>
                <w:color w:val="auto"/>
              </w:rPr>
              <w:t>7</w:t>
            </w:r>
          </w:p>
        </w:tc>
        <w:tc>
          <w:tcPr>
            <w:tcW w:w="1749" w:type="pct"/>
            <w:vMerge w:val="restart"/>
            <w:tcBorders>
              <w:top w:val="nil"/>
              <w:left w:val="single" w:color="auto" w:sz="4" w:space="0"/>
              <w:bottom w:val="single" w:color="auto" w:sz="4" w:space="0"/>
              <w:right w:val="single" w:color="auto" w:sz="4" w:space="0"/>
            </w:tcBorders>
            <w:noWrap/>
            <w:vAlign w:val="center"/>
          </w:tcPr>
          <w:p w14:paraId="222D2DD5">
            <w:pPr>
              <w:pStyle w:val="33"/>
              <w:rPr>
                <w:color w:val="auto"/>
              </w:rPr>
            </w:pPr>
            <w:r>
              <w:rPr>
                <w:color w:val="auto"/>
              </w:rPr>
              <w:t>终沉池</w:t>
            </w:r>
          </w:p>
        </w:tc>
        <w:tc>
          <w:tcPr>
            <w:tcW w:w="802" w:type="pct"/>
            <w:tcBorders>
              <w:top w:val="nil"/>
              <w:left w:val="nil"/>
              <w:bottom w:val="single" w:color="auto" w:sz="4" w:space="0"/>
              <w:right w:val="single" w:color="auto" w:sz="4" w:space="0"/>
            </w:tcBorders>
            <w:noWrap/>
            <w:vAlign w:val="center"/>
          </w:tcPr>
          <w:p w14:paraId="3A43F7C8">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5C857E5C">
            <w:pPr>
              <w:pStyle w:val="33"/>
              <w:rPr>
                <w:color w:val="auto"/>
              </w:rPr>
            </w:pPr>
            <w:r>
              <w:rPr>
                <w:color w:val="auto"/>
              </w:rPr>
              <w:t>0.00025</w:t>
            </w:r>
          </w:p>
        </w:tc>
        <w:tc>
          <w:tcPr>
            <w:tcW w:w="1008" w:type="pct"/>
            <w:tcBorders>
              <w:top w:val="nil"/>
              <w:left w:val="nil"/>
              <w:bottom w:val="single" w:color="auto" w:sz="4" w:space="0"/>
              <w:right w:val="single" w:color="auto" w:sz="4" w:space="0"/>
            </w:tcBorders>
            <w:noWrap/>
            <w:vAlign w:val="bottom"/>
          </w:tcPr>
          <w:p w14:paraId="084D6CF0">
            <w:pPr>
              <w:pStyle w:val="33"/>
              <w:rPr>
                <w:color w:val="auto"/>
              </w:rPr>
            </w:pPr>
            <w:r>
              <w:rPr>
                <w:color w:val="auto"/>
              </w:rPr>
              <w:t>0.00216</w:t>
            </w:r>
          </w:p>
        </w:tc>
      </w:tr>
      <w:tr w14:paraId="2D045EA3">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74C9EE1E">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01C0FBD9">
            <w:pPr>
              <w:pStyle w:val="33"/>
              <w:rPr>
                <w:color w:val="auto"/>
              </w:rPr>
            </w:pPr>
          </w:p>
        </w:tc>
        <w:tc>
          <w:tcPr>
            <w:tcW w:w="802" w:type="pct"/>
            <w:tcBorders>
              <w:top w:val="nil"/>
              <w:left w:val="nil"/>
              <w:bottom w:val="single" w:color="auto" w:sz="4" w:space="0"/>
              <w:right w:val="single" w:color="auto" w:sz="4" w:space="0"/>
            </w:tcBorders>
            <w:noWrap/>
            <w:vAlign w:val="center"/>
          </w:tcPr>
          <w:p w14:paraId="638A6C8D">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50734A52">
            <w:pPr>
              <w:pStyle w:val="33"/>
              <w:rPr>
                <w:color w:val="auto"/>
              </w:rPr>
            </w:pPr>
            <w:r>
              <w:rPr>
                <w:color w:val="auto"/>
              </w:rPr>
              <w:t>0.00046</w:t>
            </w:r>
          </w:p>
        </w:tc>
        <w:tc>
          <w:tcPr>
            <w:tcW w:w="1008" w:type="pct"/>
            <w:tcBorders>
              <w:top w:val="nil"/>
              <w:left w:val="nil"/>
              <w:bottom w:val="single" w:color="auto" w:sz="4" w:space="0"/>
              <w:right w:val="single" w:color="auto" w:sz="4" w:space="0"/>
            </w:tcBorders>
            <w:noWrap/>
            <w:vAlign w:val="bottom"/>
          </w:tcPr>
          <w:p w14:paraId="71F7083F">
            <w:pPr>
              <w:pStyle w:val="33"/>
              <w:rPr>
                <w:color w:val="auto"/>
              </w:rPr>
            </w:pPr>
            <w:r>
              <w:rPr>
                <w:color w:val="auto"/>
              </w:rPr>
              <w:t>0.00405</w:t>
            </w:r>
          </w:p>
        </w:tc>
      </w:tr>
      <w:tr w14:paraId="12FB454C">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1BAF4F89">
            <w:pPr>
              <w:pStyle w:val="33"/>
              <w:rPr>
                <w:color w:val="auto"/>
              </w:rPr>
            </w:pPr>
            <w:r>
              <w:rPr>
                <w:color w:val="auto"/>
              </w:rPr>
              <w:t>8</w:t>
            </w:r>
          </w:p>
        </w:tc>
        <w:tc>
          <w:tcPr>
            <w:tcW w:w="1749" w:type="pct"/>
            <w:vMerge w:val="restart"/>
            <w:tcBorders>
              <w:top w:val="nil"/>
              <w:left w:val="single" w:color="auto" w:sz="4" w:space="0"/>
              <w:bottom w:val="single" w:color="auto" w:sz="4" w:space="0"/>
              <w:right w:val="single" w:color="auto" w:sz="4" w:space="0"/>
            </w:tcBorders>
            <w:noWrap/>
            <w:vAlign w:val="center"/>
          </w:tcPr>
          <w:p w14:paraId="2F8AF6B7">
            <w:pPr>
              <w:pStyle w:val="33"/>
              <w:rPr>
                <w:color w:val="auto"/>
              </w:rPr>
            </w:pPr>
            <w:r>
              <w:rPr>
                <w:color w:val="auto"/>
              </w:rPr>
              <w:t>脱水机房</w:t>
            </w:r>
          </w:p>
        </w:tc>
        <w:tc>
          <w:tcPr>
            <w:tcW w:w="802" w:type="pct"/>
            <w:tcBorders>
              <w:top w:val="nil"/>
              <w:left w:val="nil"/>
              <w:bottom w:val="single" w:color="auto" w:sz="4" w:space="0"/>
              <w:right w:val="single" w:color="auto" w:sz="4" w:space="0"/>
            </w:tcBorders>
            <w:noWrap/>
            <w:vAlign w:val="center"/>
          </w:tcPr>
          <w:p w14:paraId="012789F3">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64E3DCFB">
            <w:pPr>
              <w:pStyle w:val="33"/>
              <w:rPr>
                <w:color w:val="auto"/>
              </w:rPr>
            </w:pPr>
            <w:r>
              <w:rPr>
                <w:color w:val="auto"/>
              </w:rPr>
              <w:t>0.00100</w:t>
            </w:r>
          </w:p>
        </w:tc>
        <w:tc>
          <w:tcPr>
            <w:tcW w:w="1008" w:type="pct"/>
            <w:tcBorders>
              <w:top w:val="nil"/>
              <w:left w:val="nil"/>
              <w:bottom w:val="single" w:color="auto" w:sz="4" w:space="0"/>
              <w:right w:val="single" w:color="auto" w:sz="4" w:space="0"/>
            </w:tcBorders>
            <w:noWrap/>
            <w:vAlign w:val="bottom"/>
          </w:tcPr>
          <w:p w14:paraId="14A181BF">
            <w:pPr>
              <w:pStyle w:val="33"/>
              <w:rPr>
                <w:color w:val="auto"/>
              </w:rPr>
            </w:pPr>
            <w:r>
              <w:rPr>
                <w:color w:val="auto"/>
              </w:rPr>
              <w:t>0.00878</w:t>
            </w:r>
          </w:p>
        </w:tc>
      </w:tr>
      <w:tr w14:paraId="1840D0E0">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4C9E1DF8">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68F0971F">
            <w:pPr>
              <w:pStyle w:val="33"/>
              <w:rPr>
                <w:color w:val="auto"/>
              </w:rPr>
            </w:pPr>
          </w:p>
        </w:tc>
        <w:tc>
          <w:tcPr>
            <w:tcW w:w="802" w:type="pct"/>
            <w:tcBorders>
              <w:top w:val="nil"/>
              <w:left w:val="nil"/>
              <w:bottom w:val="single" w:color="auto" w:sz="4" w:space="0"/>
              <w:right w:val="single" w:color="auto" w:sz="4" w:space="0"/>
            </w:tcBorders>
            <w:noWrap/>
            <w:vAlign w:val="center"/>
          </w:tcPr>
          <w:p w14:paraId="70E26CE8">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3978E8A8">
            <w:pPr>
              <w:pStyle w:val="33"/>
              <w:rPr>
                <w:color w:val="auto"/>
              </w:rPr>
            </w:pPr>
            <w:r>
              <w:rPr>
                <w:color w:val="auto"/>
              </w:rPr>
              <w:t>0.00118</w:t>
            </w:r>
          </w:p>
        </w:tc>
        <w:tc>
          <w:tcPr>
            <w:tcW w:w="1008" w:type="pct"/>
            <w:tcBorders>
              <w:top w:val="nil"/>
              <w:left w:val="nil"/>
              <w:bottom w:val="single" w:color="auto" w:sz="4" w:space="0"/>
              <w:right w:val="single" w:color="auto" w:sz="4" w:space="0"/>
            </w:tcBorders>
            <w:noWrap/>
            <w:vAlign w:val="bottom"/>
          </w:tcPr>
          <w:p w14:paraId="6E824FEB">
            <w:pPr>
              <w:pStyle w:val="33"/>
              <w:rPr>
                <w:color w:val="auto"/>
              </w:rPr>
            </w:pPr>
            <w:r>
              <w:rPr>
                <w:color w:val="auto"/>
              </w:rPr>
              <w:t>0.01030</w:t>
            </w:r>
          </w:p>
        </w:tc>
      </w:tr>
      <w:tr w14:paraId="50995583">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0999E770">
            <w:pPr>
              <w:pStyle w:val="33"/>
              <w:rPr>
                <w:color w:val="auto"/>
              </w:rPr>
            </w:pPr>
            <w:r>
              <w:rPr>
                <w:color w:val="auto"/>
              </w:rPr>
              <w:t>9</w:t>
            </w:r>
          </w:p>
        </w:tc>
        <w:tc>
          <w:tcPr>
            <w:tcW w:w="1749" w:type="pct"/>
            <w:vMerge w:val="restart"/>
            <w:tcBorders>
              <w:top w:val="nil"/>
              <w:left w:val="single" w:color="auto" w:sz="4" w:space="0"/>
              <w:bottom w:val="single" w:color="auto" w:sz="4" w:space="0"/>
              <w:right w:val="single" w:color="auto" w:sz="4" w:space="0"/>
            </w:tcBorders>
            <w:noWrap/>
            <w:vAlign w:val="center"/>
          </w:tcPr>
          <w:p w14:paraId="705060CB">
            <w:pPr>
              <w:pStyle w:val="33"/>
              <w:rPr>
                <w:color w:val="auto"/>
              </w:rPr>
            </w:pPr>
            <w:r>
              <w:rPr>
                <w:color w:val="auto"/>
              </w:rPr>
              <w:t>污泥浓缩池1</w:t>
            </w:r>
          </w:p>
        </w:tc>
        <w:tc>
          <w:tcPr>
            <w:tcW w:w="802" w:type="pct"/>
            <w:tcBorders>
              <w:top w:val="nil"/>
              <w:left w:val="nil"/>
              <w:bottom w:val="single" w:color="auto" w:sz="4" w:space="0"/>
              <w:right w:val="single" w:color="auto" w:sz="4" w:space="0"/>
            </w:tcBorders>
            <w:noWrap/>
            <w:vAlign w:val="center"/>
          </w:tcPr>
          <w:p w14:paraId="569E32EC">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0E146639">
            <w:pPr>
              <w:pStyle w:val="33"/>
              <w:rPr>
                <w:color w:val="auto"/>
              </w:rPr>
            </w:pPr>
            <w:r>
              <w:rPr>
                <w:color w:val="auto"/>
              </w:rPr>
              <w:t>0.00005</w:t>
            </w:r>
          </w:p>
        </w:tc>
        <w:tc>
          <w:tcPr>
            <w:tcW w:w="1008" w:type="pct"/>
            <w:tcBorders>
              <w:top w:val="nil"/>
              <w:left w:val="nil"/>
              <w:bottom w:val="single" w:color="auto" w:sz="4" w:space="0"/>
              <w:right w:val="single" w:color="auto" w:sz="4" w:space="0"/>
            </w:tcBorders>
            <w:noWrap/>
            <w:vAlign w:val="bottom"/>
          </w:tcPr>
          <w:p w14:paraId="3FA24E0E">
            <w:pPr>
              <w:pStyle w:val="33"/>
              <w:rPr>
                <w:color w:val="auto"/>
              </w:rPr>
            </w:pPr>
            <w:r>
              <w:rPr>
                <w:color w:val="auto"/>
              </w:rPr>
              <w:t>0.00040</w:t>
            </w:r>
          </w:p>
        </w:tc>
      </w:tr>
      <w:tr w14:paraId="1ACAD157">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2572680B">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310E4597">
            <w:pPr>
              <w:pStyle w:val="33"/>
              <w:rPr>
                <w:color w:val="auto"/>
              </w:rPr>
            </w:pPr>
          </w:p>
        </w:tc>
        <w:tc>
          <w:tcPr>
            <w:tcW w:w="802" w:type="pct"/>
            <w:tcBorders>
              <w:top w:val="nil"/>
              <w:left w:val="nil"/>
              <w:bottom w:val="single" w:color="auto" w:sz="4" w:space="0"/>
              <w:right w:val="single" w:color="auto" w:sz="4" w:space="0"/>
            </w:tcBorders>
            <w:noWrap/>
            <w:vAlign w:val="center"/>
          </w:tcPr>
          <w:p w14:paraId="0B90724C">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3F7D892D">
            <w:pPr>
              <w:pStyle w:val="33"/>
              <w:rPr>
                <w:color w:val="auto"/>
              </w:rPr>
            </w:pPr>
            <w:r>
              <w:rPr>
                <w:color w:val="auto"/>
              </w:rPr>
              <w:t>0.00049</w:t>
            </w:r>
          </w:p>
        </w:tc>
        <w:tc>
          <w:tcPr>
            <w:tcW w:w="1008" w:type="pct"/>
            <w:tcBorders>
              <w:top w:val="nil"/>
              <w:left w:val="nil"/>
              <w:bottom w:val="single" w:color="auto" w:sz="4" w:space="0"/>
              <w:right w:val="single" w:color="auto" w:sz="4" w:space="0"/>
            </w:tcBorders>
            <w:noWrap/>
            <w:vAlign w:val="bottom"/>
          </w:tcPr>
          <w:p w14:paraId="4E046CB2">
            <w:pPr>
              <w:pStyle w:val="33"/>
              <w:rPr>
                <w:color w:val="auto"/>
              </w:rPr>
            </w:pPr>
            <w:r>
              <w:rPr>
                <w:color w:val="auto"/>
              </w:rPr>
              <w:t>0.00426</w:t>
            </w:r>
          </w:p>
        </w:tc>
      </w:tr>
      <w:tr w14:paraId="044D2F86">
        <w:tblPrEx>
          <w:tblCellMar>
            <w:top w:w="0" w:type="dxa"/>
            <w:left w:w="108" w:type="dxa"/>
            <w:bottom w:w="0" w:type="dxa"/>
            <w:right w:w="108" w:type="dxa"/>
          </w:tblCellMar>
        </w:tblPrEx>
        <w:trPr>
          <w:trHeight w:val="340" w:hRule="atLeast"/>
        </w:trPr>
        <w:tc>
          <w:tcPr>
            <w:tcW w:w="556" w:type="pct"/>
            <w:vMerge w:val="restart"/>
            <w:tcBorders>
              <w:top w:val="nil"/>
              <w:left w:val="single" w:color="auto" w:sz="4" w:space="0"/>
              <w:bottom w:val="single" w:color="auto" w:sz="4" w:space="0"/>
              <w:right w:val="single" w:color="auto" w:sz="4" w:space="0"/>
            </w:tcBorders>
            <w:vAlign w:val="center"/>
          </w:tcPr>
          <w:p w14:paraId="71CDC6ED">
            <w:pPr>
              <w:pStyle w:val="33"/>
              <w:rPr>
                <w:color w:val="auto"/>
              </w:rPr>
            </w:pPr>
            <w:r>
              <w:rPr>
                <w:color w:val="auto"/>
              </w:rPr>
              <w:t>10</w:t>
            </w:r>
          </w:p>
        </w:tc>
        <w:tc>
          <w:tcPr>
            <w:tcW w:w="1749" w:type="pct"/>
            <w:vMerge w:val="restart"/>
            <w:tcBorders>
              <w:top w:val="nil"/>
              <w:left w:val="single" w:color="auto" w:sz="4" w:space="0"/>
              <w:bottom w:val="single" w:color="auto" w:sz="4" w:space="0"/>
              <w:right w:val="single" w:color="auto" w:sz="4" w:space="0"/>
            </w:tcBorders>
            <w:noWrap/>
            <w:vAlign w:val="center"/>
          </w:tcPr>
          <w:p w14:paraId="7E556782">
            <w:pPr>
              <w:pStyle w:val="33"/>
              <w:rPr>
                <w:color w:val="auto"/>
              </w:rPr>
            </w:pPr>
            <w:r>
              <w:rPr>
                <w:color w:val="auto"/>
              </w:rPr>
              <w:t>污泥浓缩池2</w:t>
            </w:r>
          </w:p>
        </w:tc>
        <w:tc>
          <w:tcPr>
            <w:tcW w:w="802" w:type="pct"/>
            <w:tcBorders>
              <w:top w:val="nil"/>
              <w:left w:val="nil"/>
              <w:bottom w:val="single" w:color="auto" w:sz="4" w:space="0"/>
              <w:right w:val="single" w:color="auto" w:sz="4" w:space="0"/>
            </w:tcBorders>
            <w:noWrap/>
            <w:vAlign w:val="center"/>
          </w:tcPr>
          <w:p w14:paraId="2D70D858">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vAlign w:val="bottom"/>
          </w:tcPr>
          <w:p w14:paraId="5D287405">
            <w:pPr>
              <w:pStyle w:val="33"/>
              <w:rPr>
                <w:color w:val="auto"/>
              </w:rPr>
            </w:pPr>
            <w:r>
              <w:rPr>
                <w:color w:val="auto"/>
              </w:rPr>
              <w:t>0.00005</w:t>
            </w:r>
          </w:p>
        </w:tc>
        <w:tc>
          <w:tcPr>
            <w:tcW w:w="1008" w:type="pct"/>
            <w:tcBorders>
              <w:top w:val="nil"/>
              <w:left w:val="nil"/>
              <w:bottom w:val="single" w:color="auto" w:sz="4" w:space="0"/>
              <w:right w:val="single" w:color="auto" w:sz="4" w:space="0"/>
            </w:tcBorders>
            <w:noWrap/>
            <w:vAlign w:val="bottom"/>
          </w:tcPr>
          <w:p w14:paraId="73F7CBAA">
            <w:pPr>
              <w:pStyle w:val="33"/>
              <w:rPr>
                <w:color w:val="auto"/>
              </w:rPr>
            </w:pPr>
            <w:r>
              <w:rPr>
                <w:color w:val="auto"/>
              </w:rPr>
              <w:t>0.00040</w:t>
            </w:r>
          </w:p>
        </w:tc>
      </w:tr>
      <w:tr w14:paraId="29A327B7">
        <w:tblPrEx>
          <w:tblCellMar>
            <w:top w:w="0" w:type="dxa"/>
            <w:left w:w="108" w:type="dxa"/>
            <w:bottom w:w="0" w:type="dxa"/>
            <w:right w:w="108" w:type="dxa"/>
          </w:tblCellMar>
        </w:tblPrEx>
        <w:trPr>
          <w:trHeight w:val="340" w:hRule="atLeast"/>
        </w:trPr>
        <w:tc>
          <w:tcPr>
            <w:tcW w:w="556" w:type="pct"/>
            <w:vMerge w:val="continue"/>
            <w:tcBorders>
              <w:top w:val="nil"/>
              <w:left w:val="single" w:color="auto" w:sz="4" w:space="0"/>
              <w:bottom w:val="single" w:color="auto" w:sz="4" w:space="0"/>
              <w:right w:val="single" w:color="auto" w:sz="4" w:space="0"/>
            </w:tcBorders>
            <w:vAlign w:val="center"/>
          </w:tcPr>
          <w:p w14:paraId="2024D769">
            <w:pPr>
              <w:pStyle w:val="33"/>
              <w:rPr>
                <w:color w:val="auto"/>
              </w:rPr>
            </w:pPr>
          </w:p>
        </w:tc>
        <w:tc>
          <w:tcPr>
            <w:tcW w:w="1749" w:type="pct"/>
            <w:vMerge w:val="continue"/>
            <w:tcBorders>
              <w:top w:val="nil"/>
              <w:left w:val="single" w:color="auto" w:sz="4" w:space="0"/>
              <w:bottom w:val="single" w:color="auto" w:sz="4" w:space="0"/>
              <w:right w:val="single" w:color="auto" w:sz="4" w:space="0"/>
            </w:tcBorders>
            <w:vAlign w:val="center"/>
          </w:tcPr>
          <w:p w14:paraId="4068A5AB">
            <w:pPr>
              <w:pStyle w:val="33"/>
              <w:rPr>
                <w:color w:val="auto"/>
              </w:rPr>
            </w:pPr>
          </w:p>
        </w:tc>
        <w:tc>
          <w:tcPr>
            <w:tcW w:w="802" w:type="pct"/>
            <w:tcBorders>
              <w:top w:val="nil"/>
              <w:left w:val="nil"/>
              <w:bottom w:val="single" w:color="auto" w:sz="4" w:space="0"/>
              <w:right w:val="single" w:color="auto" w:sz="4" w:space="0"/>
            </w:tcBorders>
            <w:noWrap/>
            <w:vAlign w:val="center"/>
          </w:tcPr>
          <w:p w14:paraId="09A878C0">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vAlign w:val="bottom"/>
          </w:tcPr>
          <w:p w14:paraId="1F2D193F">
            <w:pPr>
              <w:pStyle w:val="33"/>
              <w:rPr>
                <w:color w:val="auto"/>
              </w:rPr>
            </w:pPr>
            <w:r>
              <w:rPr>
                <w:color w:val="auto"/>
              </w:rPr>
              <w:t>0.00049</w:t>
            </w:r>
          </w:p>
        </w:tc>
        <w:tc>
          <w:tcPr>
            <w:tcW w:w="1008" w:type="pct"/>
            <w:tcBorders>
              <w:top w:val="nil"/>
              <w:left w:val="nil"/>
              <w:bottom w:val="single" w:color="auto" w:sz="4" w:space="0"/>
              <w:right w:val="single" w:color="auto" w:sz="4" w:space="0"/>
            </w:tcBorders>
            <w:noWrap/>
            <w:vAlign w:val="bottom"/>
          </w:tcPr>
          <w:p w14:paraId="202E41E8">
            <w:pPr>
              <w:pStyle w:val="33"/>
              <w:rPr>
                <w:color w:val="auto"/>
              </w:rPr>
            </w:pPr>
            <w:r>
              <w:rPr>
                <w:color w:val="auto"/>
              </w:rPr>
              <w:t>0.00426</w:t>
            </w:r>
          </w:p>
        </w:tc>
      </w:tr>
      <w:tr w14:paraId="3EC3A4AB">
        <w:tblPrEx>
          <w:tblCellMar>
            <w:top w:w="0" w:type="dxa"/>
            <w:left w:w="108" w:type="dxa"/>
            <w:bottom w:w="0" w:type="dxa"/>
            <w:right w:w="108" w:type="dxa"/>
          </w:tblCellMar>
        </w:tblPrEx>
        <w:trPr>
          <w:trHeight w:val="340" w:hRule="atLeast"/>
        </w:trPr>
        <w:tc>
          <w:tcPr>
            <w:tcW w:w="2305" w:type="pct"/>
            <w:gridSpan w:val="2"/>
            <w:vMerge w:val="restart"/>
            <w:tcBorders>
              <w:top w:val="nil"/>
              <w:left w:val="single" w:color="auto" w:sz="4" w:space="0"/>
              <w:right w:val="single" w:color="auto" w:sz="4" w:space="0"/>
            </w:tcBorders>
            <w:noWrap/>
            <w:vAlign w:val="center"/>
          </w:tcPr>
          <w:p w14:paraId="1D3D7AD2">
            <w:pPr>
              <w:pStyle w:val="33"/>
              <w:rPr>
                <w:color w:val="auto"/>
              </w:rPr>
            </w:pPr>
            <w:r>
              <w:rPr>
                <w:color w:val="auto"/>
              </w:rPr>
              <w:t>合计</w:t>
            </w:r>
          </w:p>
        </w:tc>
        <w:tc>
          <w:tcPr>
            <w:tcW w:w="802" w:type="pct"/>
            <w:tcBorders>
              <w:top w:val="nil"/>
              <w:left w:val="nil"/>
              <w:bottom w:val="single" w:color="auto" w:sz="4" w:space="0"/>
              <w:right w:val="single" w:color="auto" w:sz="4" w:space="0"/>
            </w:tcBorders>
            <w:noWrap/>
            <w:vAlign w:val="center"/>
          </w:tcPr>
          <w:p w14:paraId="5A9D796B">
            <w:pPr>
              <w:pStyle w:val="33"/>
              <w:rPr>
                <w:color w:val="auto"/>
              </w:rPr>
            </w:pPr>
            <w:r>
              <w:rPr>
                <w:color w:val="auto"/>
              </w:rPr>
              <w:t>NH</w:t>
            </w:r>
            <w:r>
              <w:rPr>
                <w:color w:val="auto"/>
                <w:vertAlign w:val="subscript"/>
              </w:rPr>
              <w:t>3</w:t>
            </w:r>
          </w:p>
        </w:tc>
        <w:tc>
          <w:tcPr>
            <w:tcW w:w="885" w:type="pct"/>
            <w:tcBorders>
              <w:top w:val="nil"/>
              <w:left w:val="nil"/>
              <w:bottom w:val="single" w:color="auto" w:sz="4" w:space="0"/>
              <w:right w:val="single" w:color="auto" w:sz="4" w:space="0"/>
            </w:tcBorders>
            <w:noWrap/>
          </w:tcPr>
          <w:p w14:paraId="6647E160">
            <w:pPr>
              <w:pStyle w:val="33"/>
              <w:rPr>
                <w:color w:val="auto"/>
              </w:rPr>
            </w:pPr>
            <w:r>
              <w:rPr>
                <w:color w:val="auto"/>
              </w:rPr>
              <w:t>0.00352</w:t>
            </w:r>
          </w:p>
        </w:tc>
        <w:tc>
          <w:tcPr>
            <w:tcW w:w="1008" w:type="pct"/>
            <w:tcBorders>
              <w:top w:val="nil"/>
              <w:left w:val="nil"/>
              <w:bottom w:val="single" w:color="auto" w:sz="4" w:space="0"/>
              <w:right w:val="single" w:color="auto" w:sz="4" w:space="0"/>
            </w:tcBorders>
            <w:noWrap/>
          </w:tcPr>
          <w:p w14:paraId="6E9E021A">
            <w:pPr>
              <w:pStyle w:val="33"/>
              <w:rPr>
                <w:color w:val="auto"/>
              </w:rPr>
            </w:pPr>
            <w:r>
              <w:rPr>
                <w:color w:val="auto"/>
              </w:rPr>
              <w:t>0.03081</w:t>
            </w:r>
          </w:p>
        </w:tc>
      </w:tr>
      <w:tr w14:paraId="271AAF16">
        <w:tblPrEx>
          <w:tblCellMar>
            <w:top w:w="0" w:type="dxa"/>
            <w:left w:w="108" w:type="dxa"/>
            <w:bottom w:w="0" w:type="dxa"/>
            <w:right w:w="108" w:type="dxa"/>
          </w:tblCellMar>
        </w:tblPrEx>
        <w:trPr>
          <w:trHeight w:val="340" w:hRule="atLeast"/>
        </w:trPr>
        <w:tc>
          <w:tcPr>
            <w:tcW w:w="2305" w:type="pct"/>
            <w:gridSpan w:val="2"/>
            <w:vMerge w:val="continue"/>
            <w:tcBorders>
              <w:left w:val="single" w:color="auto" w:sz="4" w:space="0"/>
              <w:bottom w:val="single" w:color="auto" w:sz="4" w:space="0"/>
              <w:right w:val="single" w:color="auto" w:sz="4" w:space="0"/>
            </w:tcBorders>
            <w:noWrap/>
            <w:vAlign w:val="center"/>
          </w:tcPr>
          <w:p w14:paraId="72910C75">
            <w:pPr>
              <w:pStyle w:val="33"/>
              <w:rPr>
                <w:color w:val="auto"/>
              </w:rPr>
            </w:pPr>
          </w:p>
        </w:tc>
        <w:tc>
          <w:tcPr>
            <w:tcW w:w="802" w:type="pct"/>
            <w:tcBorders>
              <w:top w:val="nil"/>
              <w:left w:val="nil"/>
              <w:bottom w:val="single" w:color="auto" w:sz="4" w:space="0"/>
              <w:right w:val="single" w:color="auto" w:sz="4" w:space="0"/>
            </w:tcBorders>
            <w:noWrap/>
            <w:vAlign w:val="center"/>
          </w:tcPr>
          <w:p w14:paraId="4197EAA0">
            <w:pPr>
              <w:pStyle w:val="33"/>
              <w:rPr>
                <w:color w:val="auto"/>
              </w:rPr>
            </w:pPr>
            <w:r>
              <w:rPr>
                <w:color w:val="auto"/>
              </w:rPr>
              <w:t>H</w:t>
            </w:r>
            <w:r>
              <w:rPr>
                <w:color w:val="auto"/>
                <w:vertAlign w:val="subscript"/>
              </w:rPr>
              <w:t>2</w:t>
            </w:r>
            <w:r>
              <w:rPr>
                <w:color w:val="auto"/>
              </w:rPr>
              <w:t>S</w:t>
            </w:r>
          </w:p>
        </w:tc>
        <w:tc>
          <w:tcPr>
            <w:tcW w:w="885" w:type="pct"/>
            <w:tcBorders>
              <w:top w:val="nil"/>
              <w:left w:val="nil"/>
              <w:bottom w:val="single" w:color="auto" w:sz="4" w:space="0"/>
              <w:right w:val="single" w:color="auto" w:sz="4" w:space="0"/>
            </w:tcBorders>
            <w:noWrap/>
          </w:tcPr>
          <w:p w14:paraId="7C10DB5B">
            <w:pPr>
              <w:pStyle w:val="33"/>
              <w:rPr>
                <w:color w:val="auto"/>
              </w:rPr>
            </w:pPr>
            <w:r>
              <w:rPr>
                <w:color w:val="auto"/>
              </w:rPr>
              <w:t>0.00324</w:t>
            </w:r>
          </w:p>
        </w:tc>
        <w:tc>
          <w:tcPr>
            <w:tcW w:w="1008" w:type="pct"/>
            <w:tcBorders>
              <w:top w:val="nil"/>
              <w:left w:val="nil"/>
              <w:bottom w:val="single" w:color="auto" w:sz="4" w:space="0"/>
              <w:right w:val="single" w:color="auto" w:sz="4" w:space="0"/>
            </w:tcBorders>
            <w:noWrap/>
          </w:tcPr>
          <w:p w14:paraId="2DBC2D18">
            <w:pPr>
              <w:pStyle w:val="33"/>
              <w:rPr>
                <w:color w:val="auto"/>
              </w:rPr>
            </w:pPr>
            <w:r>
              <w:rPr>
                <w:color w:val="auto"/>
              </w:rPr>
              <w:t xml:space="preserve">0.02835 </w:t>
            </w:r>
          </w:p>
        </w:tc>
      </w:tr>
    </w:tbl>
    <w:p w14:paraId="26EC1008">
      <w:pPr>
        <w:pStyle w:val="4"/>
        <w:rPr>
          <w:color w:val="auto"/>
        </w:rPr>
      </w:pPr>
      <w:bookmarkStart w:id="224" w:name="_Toc225216716"/>
      <w:r>
        <w:rPr>
          <w:color w:val="auto"/>
        </w:rPr>
        <w:t>废水源强分析</w:t>
      </w:r>
      <w:bookmarkEnd w:id="224"/>
    </w:p>
    <w:p w14:paraId="492FC897">
      <w:pPr>
        <w:ind w:firstLine="480"/>
        <w:rPr>
          <w:color w:val="auto"/>
        </w:rPr>
      </w:pPr>
      <w:r>
        <w:rPr>
          <w:rFonts w:hint="eastAsia"/>
          <w:color w:val="auto"/>
        </w:rPr>
        <w:t>现有工程主要废水排放源包括：备料车间、化机浆车间、碱回收车间（主要为重污冷凝水）、白卡纸车间、抄浆车间多余白水、化学水车间、热电站锅炉排水、脱硫脱硝排水及冷却塔排水等。本项目建成后，排水情况主要变化：</w:t>
      </w:r>
    </w:p>
    <w:p w14:paraId="50B44495">
      <w:pPr>
        <w:ind w:firstLine="480"/>
        <w:rPr>
          <w:color w:val="auto"/>
        </w:rPr>
      </w:pPr>
      <w:r>
        <w:rPr>
          <w:rFonts w:hint="eastAsia"/>
          <w:color w:val="auto"/>
        </w:rPr>
        <w:t>1、根据项目可行性研究报告的初步估算，通过本次升级改造工程建设，对现有纸机设备和工艺进行改进，造纸车间单位产能排水量下降，其中1#纸机排水量由现在的每吨产品9.76m</w:t>
      </w:r>
      <w:r>
        <w:rPr>
          <w:rFonts w:hint="eastAsia"/>
          <w:color w:val="auto"/>
          <w:vertAlign w:val="superscript"/>
        </w:rPr>
        <w:t>3</w:t>
      </w:r>
      <w:r>
        <w:rPr>
          <w:rFonts w:hint="eastAsia"/>
          <w:color w:val="auto"/>
        </w:rPr>
        <w:t>废水下降至吨产品4.65m</w:t>
      </w:r>
      <w:r>
        <w:rPr>
          <w:rFonts w:hint="eastAsia"/>
          <w:color w:val="auto"/>
          <w:vertAlign w:val="superscript"/>
        </w:rPr>
        <w:t>3</w:t>
      </w:r>
      <w:r>
        <w:rPr>
          <w:rFonts w:hint="eastAsia"/>
          <w:color w:val="auto"/>
        </w:rPr>
        <w:t>废水；2#纸机排水量由现在的每吨产品7.29m</w:t>
      </w:r>
      <w:r>
        <w:rPr>
          <w:rFonts w:hint="eastAsia"/>
          <w:color w:val="auto"/>
          <w:vertAlign w:val="superscript"/>
        </w:rPr>
        <w:t>3</w:t>
      </w:r>
      <w:r>
        <w:rPr>
          <w:rFonts w:hint="eastAsia"/>
          <w:color w:val="auto"/>
        </w:rPr>
        <w:t>废水下降至吨产品4.85m</w:t>
      </w:r>
      <w:r>
        <w:rPr>
          <w:rFonts w:hint="eastAsia"/>
          <w:color w:val="auto"/>
          <w:vertAlign w:val="superscript"/>
        </w:rPr>
        <w:t>3</w:t>
      </w:r>
      <w:r>
        <w:rPr>
          <w:rFonts w:hint="eastAsia"/>
          <w:color w:val="auto"/>
        </w:rPr>
        <w:t>废水。改造完成后，造纸车间（含已批未建3#纸机）废水排放量由67276m</w:t>
      </w:r>
      <w:r>
        <w:rPr>
          <w:rFonts w:hint="eastAsia"/>
          <w:color w:val="auto"/>
          <w:vertAlign w:val="superscript"/>
        </w:rPr>
        <w:t>3</w:t>
      </w:r>
      <w:r>
        <w:rPr>
          <w:rFonts w:hint="eastAsia"/>
          <w:color w:val="auto"/>
        </w:rPr>
        <w:t>/d变为61196.76m</w:t>
      </w:r>
      <w:r>
        <w:rPr>
          <w:rFonts w:hint="eastAsia"/>
          <w:color w:val="auto"/>
          <w:vertAlign w:val="superscript"/>
        </w:rPr>
        <w:t>3</w:t>
      </w:r>
      <w:r>
        <w:rPr>
          <w:rFonts w:hint="eastAsia"/>
          <w:color w:val="auto"/>
        </w:rPr>
        <w:t>/d。</w:t>
      </w:r>
    </w:p>
    <w:p w14:paraId="77F839E6">
      <w:pPr>
        <w:ind w:firstLine="480"/>
        <w:rPr>
          <w:color w:val="auto"/>
        </w:rPr>
      </w:pPr>
      <w:r>
        <w:rPr>
          <w:rFonts w:hint="eastAsia"/>
          <w:color w:val="auto"/>
        </w:rPr>
        <w:t>2、本次升级改造项目完成后，生产的食品白卡纸质量要求较高，对使用的原料浆品质要求相应提高，原来回用于化机浆车间的碱回收车间冷凝水难以满足生产要求，这部分水不再回用生产，排污水处理站处理，1#碱回收车间排水量由4785m</w:t>
      </w:r>
      <w:r>
        <w:rPr>
          <w:rFonts w:hint="eastAsia"/>
          <w:color w:val="auto"/>
          <w:vertAlign w:val="superscript"/>
        </w:rPr>
        <w:t>3</w:t>
      </w:r>
      <w:r>
        <w:rPr>
          <w:rFonts w:hint="eastAsia"/>
          <w:color w:val="auto"/>
        </w:rPr>
        <w:t>/d变为14542m</w:t>
      </w:r>
      <w:r>
        <w:rPr>
          <w:rFonts w:hint="eastAsia"/>
          <w:color w:val="auto"/>
          <w:vertAlign w:val="superscript"/>
        </w:rPr>
        <w:t>3</w:t>
      </w:r>
      <w:r>
        <w:rPr>
          <w:rFonts w:hint="eastAsia"/>
          <w:color w:val="auto"/>
        </w:rPr>
        <w:t>/d。</w:t>
      </w:r>
    </w:p>
    <w:p w14:paraId="10AEEEF0">
      <w:pPr>
        <w:ind w:firstLine="480"/>
        <w:rPr>
          <w:color w:val="auto"/>
        </w:rPr>
      </w:pPr>
      <w:r>
        <w:rPr>
          <w:rFonts w:hint="eastAsia"/>
          <w:color w:val="auto"/>
        </w:rPr>
        <w:t>本次升级改造项目完成后新增污水量为3677.77m</w:t>
      </w:r>
      <w:r>
        <w:rPr>
          <w:rFonts w:hint="eastAsia"/>
          <w:color w:val="auto"/>
          <w:vertAlign w:val="superscript"/>
        </w:rPr>
        <w:t>3</w:t>
      </w:r>
      <w:r>
        <w:rPr>
          <w:rFonts w:hint="eastAsia"/>
          <w:color w:val="auto"/>
        </w:rPr>
        <w:t>/d。本项目新建一座污水处理站，处理能力为20000m</w:t>
      </w:r>
      <w:r>
        <w:rPr>
          <w:rFonts w:hint="eastAsia"/>
          <w:color w:val="auto"/>
          <w:vertAlign w:val="superscript"/>
        </w:rPr>
        <w:t>3</w:t>
      </w:r>
      <w:r>
        <w:rPr>
          <w:rFonts w:hint="eastAsia"/>
          <w:color w:val="auto"/>
        </w:rPr>
        <w:t>/d，处理能力满足该项目要求。污水处理站采用“混凝沉淀+好氧处理（SBR工艺）+物化”三级处理工艺，污水经处理达标后与现有污水处理站出水混合后经现有排海管线深海排放。</w:t>
      </w:r>
    </w:p>
    <w:p w14:paraId="0459C55B">
      <w:pPr>
        <w:ind w:firstLine="480"/>
        <w:rPr>
          <w:color w:val="auto"/>
        </w:rPr>
      </w:pPr>
      <w:r>
        <w:rPr>
          <w:rFonts w:hint="eastAsia"/>
          <w:color w:val="auto"/>
        </w:rPr>
        <w:t>新建污水处理站配套建设处理能力为</w:t>
      </w:r>
      <w:r>
        <w:rPr>
          <w:color w:val="auto"/>
        </w:rPr>
        <w:t>5000m³/d</w:t>
      </w:r>
      <w:r>
        <w:rPr>
          <w:rFonts w:hint="eastAsia"/>
          <w:color w:val="auto"/>
        </w:rPr>
        <w:t>的中水回用系统，污水处理站出水经过滤及除硬处理后，回用至冷却塔补水工段，确保本项目建设不增加企业排海管线深海排放水量。</w:t>
      </w:r>
    </w:p>
    <w:p w14:paraId="683790AE">
      <w:pPr>
        <w:ind w:firstLine="480"/>
        <w:rPr>
          <w:color w:val="auto"/>
        </w:rPr>
      </w:pPr>
      <w:r>
        <w:rPr>
          <w:rFonts w:hint="eastAsia"/>
          <w:color w:val="auto"/>
        </w:rPr>
        <w:t>项目建成前（含现有及在建项目）与项目建成后企业排水量变化情况见下表。</w:t>
      </w:r>
    </w:p>
    <w:p w14:paraId="4B0017CB">
      <w:pPr>
        <w:pStyle w:val="7"/>
        <w:rPr>
          <w:color w:val="auto"/>
        </w:rPr>
      </w:pPr>
      <w:r>
        <w:rPr>
          <w:rFonts w:hint="eastAsia"/>
          <w:color w:val="auto"/>
        </w:rPr>
        <w:t>项目建成前后排水情况一览表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1"/>
        <w:gridCol w:w="2942"/>
        <w:gridCol w:w="1631"/>
        <w:gridCol w:w="2097"/>
        <w:gridCol w:w="1085"/>
      </w:tblGrid>
      <w:tr w14:paraId="6EA54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0" w:hRule="atLeast"/>
        </w:trPr>
        <w:tc>
          <w:tcPr>
            <w:tcW w:w="825" w:type="pct"/>
            <w:vAlign w:val="center"/>
          </w:tcPr>
          <w:p w14:paraId="2A22B124">
            <w:pPr>
              <w:widowControl/>
              <w:spacing w:line="240" w:lineRule="auto"/>
              <w:ind w:firstLine="0" w:firstLineChars="0"/>
              <w:jc w:val="center"/>
              <w:rPr>
                <w:rFonts w:hint="eastAsia" w:ascii="宋体" w:hAnsi="宋体" w:cs="宋体"/>
                <w:b/>
                <w:bCs/>
                <w:color w:val="auto"/>
                <w:kern w:val="0"/>
                <w:sz w:val="21"/>
                <w:szCs w:val="21"/>
              </w:rPr>
            </w:pPr>
            <w:r>
              <w:rPr>
                <w:rFonts w:hint="eastAsia" w:ascii="宋体" w:hAnsi="宋体" w:cs="宋体"/>
                <w:b/>
                <w:bCs/>
                <w:color w:val="auto"/>
                <w:kern w:val="0"/>
                <w:sz w:val="21"/>
                <w:szCs w:val="21"/>
              </w:rPr>
              <w:t>序号</w:t>
            </w:r>
          </w:p>
        </w:tc>
        <w:tc>
          <w:tcPr>
            <w:tcW w:w="1584" w:type="pct"/>
            <w:vAlign w:val="center"/>
          </w:tcPr>
          <w:p w14:paraId="0FF269D4">
            <w:pPr>
              <w:widowControl/>
              <w:spacing w:line="240" w:lineRule="auto"/>
              <w:ind w:firstLine="0" w:firstLineChars="0"/>
              <w:jc w:val="center"/>
              <w:rPr>
                <w:rFonts w:hint="eastAsia" w:ascii="宋体" w:hAnsi="宋体" w:cs="宋体"/>
                <w:b/>
                <w:bCs/>
                <w:color w:val="auto"/>
                <w:kern w:val="0"/>
                <w:sz w:val="21"/>
                <w:szCs w:val="21"/>
              </w:rPr>
            </w:pPr>
            <w:r>
              <w:rPr>
                <w:rFonts w:hint="eastAsia" w:ascii="宋体" w:hAnsi="宋体" w:cs="宋体"/>
                <w:b/>
                <w:bCs/>
                <w:color w:val="auto"/>
                <w:kern w:val="0"/>
                <w:sz w:val="21"/>
                <w:szCs w:val="21"/>
              </w:rPr>
              <w:t>生产车间</w:t>
            </w:r>
          </w:p>
        </w:tc>
        <w:tc>
          <w:tcPr>
            <w:tcW w:w="878" w:type="pct"/>
            <w:vAlign w:val="center"/>
          </w:tcPr>
          <w:p w14:paraId="61D2A2E2">
            <w:pPr>
              <w:widowControl/>
              <w:spacing w:line="240" w:lineRule="auto"/>
              <w:ind w:firstLine="0" w:firstLineChars="0"/>
              <w:jc w:val="center"/>
              <w:rPr>
                <w:rFonts w:hint="eastAsia" w:ascii="宋体" w:hAnsi="宋体" w:cs="宋体"/>
                <w:b/>
                <w:bCs/>
                <w:color w:val="auto"/>
                <w:kern w:val="0"/>
                <w:sz w:val="21"/>
                <w:szCs w:val="21"/>
              </w:rPr>
            </w:pPr>
            <w:r>
              <w:rPr>
                <w:rFonts w:hint="eastAsia" w:ascii="宋体" w:hAnsi="宋体" w:cs="宋体"/>
                <w:b/>
                <w:bCs/>
                <w:color w:val="auto"/>
                <w:kern w:val="0"/>
                <w:sz w:val="21"/>
                <w:szCs w:val="21"/>
              </w:rPr>
              <w:t>项目建成前（</w:t>
            </w:r>
            <w:r>
              <w:rPr>
                <w:rFonts w:cs="Times New Roman"/>
                <w:b/>
                <w:bCs/>
                <w:color w:val="auto"/>
                <w:kern w:val="0"/>
                <w:sz w:val="21"/>
                <w:szCs w:val="21"/>
              </w:rPr>
              <w:t>m</w:t>
            </w:r>
            <w:r>
              <w:rPr>
                <w:rFonts w:cs="Times New Roman"/>
                <w:b/>
                <w:bCs/>
                <w:color w:val="auto"/>
                <w:kern w:val="0"/>
                <w:sz w:val="14"/>
                <w:szCs w:val="14"/>
              </w:rPr>
              <w:t>3</w:t>
            </w:r>
            <w:r>
              <w:rPr>
                <w:rFonts w:cs="Times New Roman"/>
                <w:b/>
                <w:bCs/>
                <w:color w:val="auto"/>
                <w:kern w:val="0"/>
                <w:sz w:val="21"/>
                <w:szCs w:val="21"/>
              </w:rPr>
              <w:t>/d</w:t>
            </w:r>
            <w:r>
              <w:rPr>
                <w:rFonts w:hint="eastAsia" w:ascii="宋体" w:hAnsi="宋体" w:cs="宋体"/>
                <w:b/>
                <w:bCs/>
                <w:color w:val="auto"/>
                <w:kern w:val="0"/>
                <w:sz w:val="21"/>
                <w:szCs w:val="21"/>
              </w:rPr>
              <w:t>）</w:t>
            </w:r>
          </w:p>
        </w:tc>
        <w:tc>
          <w:tcPr>
            <w:tcW w:w="1129" w:type="pct"/>
            <w:vAlign w:val="center"/>
          </w:tcPr>
          <w:p w14:paraId="68BFB322">
            <w:pPr>
              <w:widowControl/>
              <w:spacing w:line="240" w:lineRule="auto"/>
              <w:ind w:firstLine="0" w:firstLineChars="0"/>
              <w:jc w:val="center"/>
              <w:rPr>
                <w:rFonts w:hint="eastAsia" w:ascii="宋体" w:hAnsi="宋体" w:cs="宋体"/>
                <w:b/>
                <w:bCs/>
                <w:color w:val="auto"/>
                <w:kern w:val="0"/>
                <w:sz w:val="21"/>
                <w:szCs w:val="21"/>
              </w:rPr>
            </w:pPr>
            <w:r>
              <w:rPr>
                <w:rFonts w:hint="eastAsia" w:ascii="宋体" w:hAnsi="宋体" w:cs="宋体"/>
                <w:b/>
                <w:bCs/>
                <w:color w:val="auto"/>
                <w:kern w:val="0"/>
                <w:sz w:val="21"/>
                <w:szCs w:val="21"/>
              </w:rPr>
              <w:t>项目建成后（</w:t>
            </w:r>
            <w:r>
              <w:rPr>
                <w:rFonts w:cs="Times New Roman"/>
                <w:b/>
                <w:bCs/>
                <w:color w:val="auto"/>
                <w:kern w:val="0"/>
                <w:sz w:val="21"/>
                <w:szCs w:val="21"/>
              </w:rPr>
              <w:t>m</w:t>
            </w:r>
            <w:r>
              <w:rPr>
                <w:rFonts w:cs="Times New Roman"/>
                <w:b/>
                <w:bCs/>
                <w:color w:val="auto"/>
                <w:kern w:val="0"/>
                <w:sz w:val="14"/>
                <w:szCs w:val="14"/>
              </w:rPr>
              <w:t>3</w:t>
            </w:r>
            <w:r>
              <w:rPr>
                <w:rFonts w:cs="Times New Roman"/>
                <w:b/>
                <w:bCs/>
                <w:color w:val="auto"/>
                <w:kern w:val="0"/>
                <w:sz w:val="21"/>
                <w:szCs w:val="21"/>
              </w:rPr>
              <w:t>/d</w:t>
            </w:r>
            <w:r>
              <w:rPr>
                <w:rFonts w:hint="eastAsia" w:ascii="宋体" w:hAnsi="宋体" w:cs="宋体"/>
                <w:b/>
                <w:bCs/>
                <w:color w:val="auto"/>
                <w:kern w:val="0"/>
                <w:sz w:val="21"/>
                <w:szCs w:val="21"/>
              </w:rPr>
              <w:t>）</w:t>
            </w:r>
          </w:p>
        </w:tc>
        <w:tc>
          <w:tcPr>
            <w:tcW w:w="584" w:type="pct"/>
            <w:vAlign w:val="center"/>
          </w:tcPr>
          <w:p w14:paraId="1D4802EF">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变化情况</w:t>
            </w:r>
            <w:r>
              <w:rPr>
                <w:rFonts w:hint="eastAsia" w:ascii="宋体" w:hAnsi="宋体" w:cs="宋体"/>
                <w:b/>
                <w:bCs/>
                <w:color w:val="auto"/>
                <w:kern w:val="0"/>
                <w:sz w:val="21"/>
                <w:szCs w:val="21"/>
              </w:rPr>
              <w:t>（</w:t>
            </w:r>
            <w:r>
              <w:rPr>
                <w:rFonts w:cs="Times New Roman"/>
                <w:b/>
                <w:bCs/>
                <w:color w:val="auto"/>
                <w:kern w:val="0"/>
                <w:sz w:val="21"/>
                <w:szCs w:val="21"/>
              </w:rPr>
              <w:t>m</w:t>
            </w:r>
            <w:r>
              <w:rPr>
                <w:rFonts w:cs="Times New Roman"/>
                <w:b/>
                <w:bCs/>
                <w:color w:val="auto"/>
                <w:kern w:val="0"/>
                <w:sz w:val="14"/>
                <w:szCs w:val="14"/>
              </w:rPr>
              <w:t>3</w:t>
            </w:r>
            <w:r>
              <w:rPr>
                <w:rFonts w:cs="Times New Roman"/>
                <w:b/>
                <w:bCs/>
                <w:color w:val="auto"/>
                <w:kern w:val="0"/>
                <w:sz w:val="21"/>
                <w:szCs w:val="21"/>
              </w:rPr>
              <w:t>/d</w:t>
            </w:r>
            <w:r>
              <w:rPr>
                <w:rFonts w:hint="eastAsia" w:ascii="宋体" w:hAnsi="宋体" w:cs="宋体"/>
                <w:b/>
                <w:bCs/>
                <w:color w:val="auto"/>
                <w:kern w:val="0"/>
                <w:sz w:val="21"/>
                <w:szCs w:val="21"/>
              </w:rPr>
              <w:t>）</w:t>
            </w:r>
          </w:p>
        </w:tc>
      </w:tr>
      <w:tr w14:paraId="69613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56A12722">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p>
        </w:tc>
        <w:tc>
          <w:tcPr>
            <w:tcW w:w="1584" w:type="pct"/>
            <w:vAlign w:val="center"/>
          </w:tcPr>
          <w:p w14:paraId="7F671BFD">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备料车间</w:t>
            </w:r>
          </w:p>
        </w:tc>
        <w:tc>
          <w:tcPr>
            <w:tcW w:w="878" w:type="pct"/>
            <w:vAlign w:val="center"/>
          </w:tcPr>
          <w:p w14:paraId="31A9B48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1849</w:t>
            </w:r>
          </w:p>
        </w:tc>
        <w:tc>
          <w:tcPr>
            <w:tcW w:w="1129" w:type="pct"/>
            <w:vAlign w:val="center"/>
          </w:tcPr>
          <w:p w14:paraId="5680073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1849</w:t>
            </w:r>
          </w:p>
        </w:tc>
        <w:tc>
          <w:tcPr>
            <w:tcW w:w="584" w:type="pct"/>
            <w:vAlign w:val="center"/>
          </w:tcPr>
          <w:p w14:paraId="08A2D20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4CFB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51C4694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p>
        </w:tc>
        <w:tc>
          <w:tcPr>
            <w:tcW w:w="1584" w:type="pct"/>
            <w:vAlign w:val="center"/>
          </w:tcPr>
          <w:p w14:paraId="77075E4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w:t>
            </w:r>
            <w:r>
              <w:rPr>
                <w:rFonts w:hint="eastAsia" w:ascii="宋体" w:hAnsi="宋体" w:cs="Times New Roman"/>
                <w:color w:val="auto"/>
                <w:kern w:val="0"/>
                <w:sz w:val="21"/>
                <w:szCs w:val="21"/>
              </w:rPr>
              <w:t>化机浆车间</w:t>
            </w:r>
          </w:p>
        </w:tc>
        <w:tc>
          <w:tcPr>
            <w:tcW w:w="878" w:type="pct"/>
            <w:vAlign w:val="center"/>
          </w:tcPr>
          <w:p w14:paraId="70B9687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c>
          <w:tcPr>
            <w:tcW w:w="1129" w:type="pct"/>
            <w:vAlign w:val="center"/>
          </w:tcPr>
          <w:p w14:paraId="13E99BF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c>
          <w:tcPr>
            <w:tcW w:w="584" w:type="pct"/>
            <w:vAlign w:val="center"/>
          </w:tcPr>
          <w:p w14:paraId="040FFFA9">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27D4D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5F892C9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3</w:t>
            </w:r>
          </w:p>
        </w:tc>
        <w:tc>
          <w:tcPr>
            <w:tcW w:w="1584" w:type="pct"/>
            <w:vAlign w:val="center"/>
          </w:tcPr>
          <w:p w14:paraId="2C80FC3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w:t>
            </w:r>
            <w:r>
              <w:rPr>
                <w:rFonts w:hint="eastAsia" w:ascii="宋体" w:hAnsi="宋体" w:cs="Times New Roman"/>
                <w:color w:val="auto"/>
                <w:kern w:val="0"/>
                <w:sz w:val="21"/>
                <w:szCs w:val="21"/>
              </w:rPr>
              <w:t>化机浆车间</w:t>
            </w:r>
          </w:p>
        </w:tc>
        <w:tc>
          <w:tcPr>
            <w:tcW w:w="878" w:type="pct"/>
            <w:vAlign w:val="center"/>
          </w:tcPr>
          <w:p w14:paraId="6B58B5E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c>
          <w:tcPr>
            <w:tcW w:w="1129" w:type="pct"/>
            <w:vAlign w:val="center"/>
          </w:tcPr>
          <w:p w14:paraId="454641C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c>
          <w:tcPr>
            <w:tcW w:w="584" w:type="pct"/>
            <w:vAlign w:val="center"/>
          </w:tcPr>
          <w:p w14:paraId="3356E67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02C2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2C8CB4F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w:t>
            </w:r>
          </w:p>
        </w:tc>
        <w:tc>
          <w:tcPr>
            <w:tcW w:w="1584" w:type="pct"/>
            <w:vAlign w:val="center"/>
          </w:tcPr>
          <w:p w14:paraId="2D07231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碱回收车间</w:t>
            </w:r>
          </w:p>
        </w:tc>
        <w:tc>
          <w:tcPr>
            <w:tcW w:w="878" w:type="pct"/>
            <w:vAlign w:val="center"/>
          </w:tcPr>
          <w:p w14:paraId="05D9645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4785</w:t>
            </w:r>
          </w:p>
        </w:tc>
        <w:tc>
          <w:tcPr>
            <w:tcW w:w="1129" w:type="pct"/>
            <w:vAlign w:val="center"/>
          </w:tcPr>
          <w:p w14:paraId="7FEB790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14542</w:t>
            </w:r>
          </w:p>
        </w:tc>
        <w:tc>
          <w:tcPr>
            <w:tcW w:w="584" w:type="pct"/>
            <w:vAlign w:val="center"/>
          </w:tcPr>
          <w:p w14:paraId="078E10E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9757</w:t>
            </w:r>
          </w:p>
        </w:tc>
      </w:tr>
      <w:tr w14:paraId="2CFD0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69E5621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w:t>
            </w:r>
          </w:p>
        </w:tc>
        <w:tc>
          <w:tcPr>
            <w:tcW w:w="1584" w:type="pct"/>
            <w:vAlign w:val="center"/>
          </w:tcPr>
          <w:p w14:paraId="1FF1FA8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r>
              <w:rPr>
                <w:rFonts w:hint="eastAsia" w:ascii="宋体" w:hAnsi="宋体" w:cs="Times New Roman"/>
                <w:color w:val="auto"/>
                <w:kern w:val="0"/>
                <w:sz w:val="21"/>
                <w:szCs w:val="21"/>
              </w:rPr>
              <w:t>碱回收车间</w:t>
            </w:r>
          </w:p>
        </w:tc>
        <w:tc>
          <w:tcPr>
            <w:tcW w:w="878" w:type="pct"/>
            <w:vAlign w:val="center"/>
          </w:tcPr>
          <w:p w14:paraId="212500E2">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5591</w:t>
            </w:r>
          </w:p>
        </w:tc>
        <w:tc>
          <w:tcPr>
            <w:tcW w:w="1129" w:type="pct"/>
            <w:vAlign w:val="center"/>
          </w:tcPr>
          <w:p w14:paraId="239FB0E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5591</w:t>
            </w:r>
          </w:p>
        </w:tc>
        <w:tc>
          <w:tcPr>
            <w:tcW w:w="584" w:type="pct"/>
            <w:vAlign w:val="center"/>
          </w:tcPr>
          <w:p w14:paraId="4052366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67975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019DA84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6</w:t>
            </w:r>
          </w:p>
        </w:tc>
        <w:tc>
          <w:tcPr>
            <w:tcW w:w="1584" w:type="pct"/>
            <w:vAlign w:val="center"/>
          </w:tcPr>
          <w:p w14:paraId="184C5CC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造纸车间</w:t>
            </w:r>
          </w:p>
        </w:tc>
        <w:tc>
          <w:tcPr>
            <w:tcW w:w="878" w:type="pct"/>
            <w:vAlign w:val="center"/>
          </w:tcPr>
          <w:p w14:paraId="448FA9E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28706</w:t>
            </w:r>
          </w:p>
        </w:tc>
        <w:tc>
          <w:tcPr>
            <w:tcW w:w="1129" w:type="pct"/>
            <w:vAlign w:val="center"/>
          </w:tcPr>
          <w:p w14:paraId="56764BC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20514.71</w:t>
            </w:r>
          </w:p>
        </w:tc>
        <w:tc>
          <w:tcPr>
            <w:tcW w:w="584" w:type="pct"/>
            <w:vAlign w:val="center"/>
          </w:tcPr>
          <w:p w14:paraId="1345609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-8191.29</w:t>
            </w:r>
          </w:p>
        </w:tc>
      </w:tr>
      <w:tr w14:paraId="6103F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341D74B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7</w:t>
            </w:r>
          </w:p>
        </w:tc>
        <w:tc>
          <w:tcPr>
            <w:tcW w:w="1584" w:type="pct"/>
            <w:vAlign w:val="center"/>
          </w:tcPr>
          <w:p w14:paraId="69141C59">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r>
              <w:rPr>
                <w:rFonts w:hint="eastAsia" w:ascii="宋体" w:hAnsi="宋体" w:cs="Times New Roman"/>
                <w:color w:val="auto"/>
                <w:kern w:val="0"/>
                <w:sz w:val="21"/>
                <w:szCs w:val="21"/>
              </w:rPr>
              <w:t>造纸车间</w:t>
            </w:r>
          </w:p>
        </w:tc>
        <w:tc>
          <w:tcPr>
            <w:tcW w:w="878" w:type="pct"/>
            <w:vAlign w:val="center"/>
          </w:tcPr>
          <w:p w14:paraId="43906A2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19285</w:t>
            </w:r>
          </w:p>
        </w:tc>
        <w:tc>
          <w:tcPr>
            <w:tcW w:w="1129" w:type="pct"/>
            <w:vAlign w:val="center"/>
          </w:tcPr>
          <w:p w14:paraId="16465D7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21397.06</w:t>
            </w:r>
          </w:p>
        </w:tc>
        <w:tc>
          <w:tcPr>
            <w:tcW w:w="584" w:type="pct"/>
            <w:vAlign w:val="center"/>
          </w:tcPr>
          <w:p w14:paraId="247CC0F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2112.06</w:t>
            </w:r>
          </w:p>
        </w:tc>
      </w:tr>
      <w:tr w14:paraId="7A142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7142949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8</w:t>
            </w:r>
          </w:p>
        </w:tc>
        <w:tc>
          <w:tcPr>
            <w:tcW w:w="1584" w:type="pct"/>
            <w:vAlign w:val="center"/>
          </w:tcPr>
          <w:p w14:paraId="224C793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3#</w:t>
            </w:r>
            <w:r>
              <w:rPr>
                <w:rFonts w:hint="eastAsia" w:ascii="宋体" w:hAnsi="宋体" w:cs="Times New Roman"/>
                <w:color w:val="auto"/>
                <w:kern w:val="0"/>
                <w:sz w:val="21"/>
                <w:szCs w:val="21"/>
              </w:rPr>
              <w:t>造纸车间</w:t>
            </w:r>
          </w:p>
        </w:tc>
        <w:tc>
          <w:tcPr>
            <w:tcW w:w="878" w:type="pct"/>
            <w:vAlign w:val="center"/>
          </w:tcPr>
          <w:p w14:paraId="6AD4258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19285</w:t>
            </w:r>
          </w:p>
        </w:tc>
        <w:tc>
          <w:tcPr>
            <w:tcW w:w="1129" w:type="pct"/>
            <w:vAlign w:val="center"/>
          </w:tcPr>
          <w:p w14:paraId="67AF818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19285</w:t>
            </w:r>
          </w:p>
        </w:tc>
        <w:tc>
          <w:tcPr>
            <w:tcW w:w="584" w:type="pct"/>
            <w:vAlign w:val="center"/>
          </w:tcPr>
          <w:p w14:paraId="5308222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53817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7199B86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9</w:t>
            </w:r>
          </w:p>
        </w:tc>
        <w:tc>
          <w:tcPr>
            <w:tcW w:w="1584" w:type="pct"/>
            <w:vAlign w:val="center"/>
          </w:tcPr>
          <w:p w14:paraId="3144130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化学水车间</w:t>
            </w:r>
          </w:p>
        </w:tc>
        <w:tc>
          <w:tcPr>
            <w:tcW w:w="878" w:type="pct"/>
            <w:vAlign w:val="center"/>
          </w:tcPr>
          <w:p w14:paraId="1B9A8B4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400</w:t>
            </w:r>
          </w:p>
        </w:tc>
        <w:tc>
          <w:tcPr>
            <w:tcW w:w="1129" w:type="pct"/>
            <w:vAlign w:val="center"/>
          </w:tcPr>
          <w:p w14:paraId="12DEAC5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400</w:t>
            </w:r>
          </w:p>
        </w:tc>
        <w:tc>
          <w:tcPr>
            <w:tcW w:w="584" w:type="pct"/>
            <w:vAlign w:val="center"/>
          </w:tcPr>
          <w:p w14:paraId="03865542">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36165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2972664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10</w:t>
            </w:r>
          </w:p>
        </w:tc>
        <w:tc>
          <w:tcPr>
            <w:tcW w:w="1584" w:type="pct"/>
            <w:vAlign w:val="center"/>
          </w:tcPr>
          <w:p w14:paraId="24C98D4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r>
              <w:rPr>
                <w:rFonts w:hint="eastAsia" w:ascii="宋体" w:hAnsi="宋体" w:cs="Times New Roman"/>
                <w:color w:val="auto"/>
                <w:kern w:val="0"/>
                <w:sz w:val="21"/>
                <w:szCs w:val="21"/>
              </w:rPr>
              <w:t>化学水车间</w:t>
            </w:r>
          </w:p>
        </w:tc>
        <w:tc>
          <w:tcPr>
            <w:tcW w:w="878" w:type="pct"/>
            <w:vAlign w:val="center"/>
          </w:tcPr>
          <w:p w14:paraId="633CAE9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130</w:t>
            </w:r>
          </w:p>
        </w:tc>
        <w:tc>
          <w:tcPr>
            <w:tcW w:w="1129" w:type="pct"/>
            <w:vAlign w:val="center"/>
          </w:tcPr>
          <w:p w14:paraId="2A027E4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130</w:t>
            </w:r>
          </w:p>
        </w:tc>
        <w:tc>
          <w:tcPr>
            <w:tcW w:w="584" w:type="pct"/>
            <w:vAlign w:val="center"/>
          </w:tcPr>
          <w:p w14:paraId="3CB2E55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0E7BF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115CE69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11</w:t>
            </w:r>
          </w:p>
        </w:tc>
        <w:tc>
          <w:tcPr>
            <w:tcW w:w="1584" w:type="pct"/>
            <w:vAlign w:val="center"/>
          </w:tcPr>
          <w:p w14:paraId="3407FEA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w:t>
            </w:r>
            <w:r>
              <w:rPr>
                <w:rFonts w:eastAsia="等线" w:cs="Times New Roman"/>
                <w:color w:val="auto"/>
                <w:kern w:val="0"/>
                <w:sz w:val="21"/>
                <w:szCs w:val="21"/>
              </w:rPr>
              <w:t>2#</w:t>
            </w:r>
            <w:r>
              <w:rPr>
                <w:rFonts w:hint="eastAsia" w:ascii="宋体" w:hAnsi="宋体" w:cs="Times New Roman"/>
                <w:color w:val="auto"/>
                <w:kern w:val="0"/>
                <w:sz w:val="21"/>
                <w:szCs w:val="21"/>
              </w:rPr>
              <w:t>热电站冷却塔排水</w:t>
            </w:r>
          </w:p>
        </w:tc>
        <w:tc>
          <w:tcPr>
            <w:tcW w:w="878" w:type="pct"/>
            <w:vAlign w:val="center"/>
          </w:tcPr>
          <w:p w14:paraId="31C25DC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1076</w:t>
            </w:r>
          </w:p>
        </w:tc>
        <w:tc>
          <w:tcPr>
            <w:tcW w:w="1129" w:type="pct"/>
            <w:vAlign w:val="center"/>
          </w:tcPr>
          <w:p w14:paraId="0893C1A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1076</w:t>
            </w:r>
          </w:p>
        </w:tc>
        <w:tc>
          <w:tcPr>
            <w:tcW w:w="584" w:type="pct"/>
            <w:vAlign w:val="center"/>
          </w:tcPr>
          <w:p w14:paraId="277A00C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FF54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44A9BFA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12</w:t>
            </w:r>
          </w:p>
        </w:tc>
        <w:tc>
          <w:tcPr>
            <w:tcW w:w="1584" w:type="pct"/>
            <w:vAlign w:val="center"/>
          </w:tcPr>
          <w:p w14:paraId="3F29BCB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w:t>
            </w:r>
            <w:r>
              <w:rPr>
                <w:rFonts w:eastAsia="等线" w:cs="Times New Roman"/>
                <w:color w:val="auto"/>
                <w:kern w:val="0"/>
                <w:sz w:val="21"/>
                <w:szCs w:val="21"/>
              </w:rPr>
              <w:t>2#</w:t>
            </w:r>
            <w:r>
              <w:rPr>
                <w:rFonts w:hint="eastAsia" w:ascii="宋体" w:hAnsi="宋体" w:cs="Times New Roman"/>
                <w:color w:val="auto"/>
                <w:kern w:val="0"/>
                <w:sz w:val="21"/>
                <w:szCs w:val="21"/>
              </w:rPr>
              <w:t>锅炉脱硫脱硝</w:t>
            </w:r>
          </w:p>
        </w:tc>
        <w:tc>
          <w:tcPr>
            <w:tcW w:w="878" w:type="pct"/>
            <w:vAlign w:val="center"/>
          </w:tcPr>
          <w:p w14:paraId="3F396C8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144</w:t>
            </w:r>
          </w:p>
        </w:tc>
        <w:tc>
          <w:tcPr>
            <w:tcW w:w="1129" w:type="pct"/>
            <w:vAlign w:val="center"/>
          </w:tcPr>
          <w:p w14:paraId="190666A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144</w:t>
            </w:r>
          </w:p>
        </w:tc>
        <w:tc>
          <w:tcPr>
            <w:tcW w:w="584" w:type="pct"/>
            <w:vAlign w:val="center"/>
          </w:tcPr>
          <w:p w14:paraId="259C805D">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6540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7ECBBFA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w:t>
            </w:r>
          </w:p>
        </w:tc>
        <w:tc>
          <w:tcPr>
            <w:tcW w:w="1584" w:type="pct"/>
            <w:vAlign w:val="center"/>
          </w:tcPr>
          <w:p w14:paraId="6984EA2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w:t>
            </w:r>
            <w:r>
              <w:rPr>
                <w:rFonts w:eastAsia="等线" w:cs="Times New Roman"/>
                <w:color w:val="auto"/>
                <w:kern w:val="0"/>
                <w:sz w:val="21"/>
                <w:szCs w:val="21"/>
              </w:rPr>
              <w:t>2#</w:t>
            </w:r>
            <w:r>
              <w:rPr>
                <w:rFonts w:hint="eastAsia" w:ascii="宋体" w:hAnsi="宋体" w:cs="Times New Roman"/>
                <w:color w:val="auto"/>
                <w:kern w:val="0"/>
                <w:sz w:val="21"/>
                <w:szCs w:val="21"/>
              </w:rPr>
              <w:t>锅炉排水</w:t>
            </w:r>
          </w:p>
        </w:tc>
        <w:tc>
          <w:tcPr>
            <w:tcW w:w="878" w:type="pct"/>
            <w:vAlign w:val="center"/>
          </w:tcPr>
          <w:p w14:paraId="2B17845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149</w:t>
            </w:r>
          </w:p>
        </w:tc>
        <w:tc>
          <w:tcPr>
            <w:tcW w:w="1129" w:type="pct"/>
            <w:vAlign w:val="center"/>
          </w:tcPr>
          <w:p w14:paraId="403D54A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149</w:t>
            </w:r>
          </w:p>
        </w:tc>
        <w:tc>
          <w:tcPr>
            <w:tcW w:w="584" w:type="pct"/>
            <w:vAlign w:val="center"/>
          </w:tcPr>
          <w:p w14:paraId="0BE549F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6BBC2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11C403A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14</w:t>
            </w:r>
          </w:p>
        </w:tc>
        <w:tc>
          <w:tcPr>
            <w:tcW w:w="1584" w:type="pct"/>
            <w:vAlign w:val="center"/>
          </w:tcPr>
          <w:p w14:paraId="27CCDA7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3#</w:t>
            </w:r>
            <w:r>
              <w:rPr>
                <w:rFonts w:hint="eastAsia" w:ascii="宋体" w:hAnsi="宋体" w:cs="Times New Roman"/>
                <w:color w:val="auto"/>
                <w:kern w:val="0"/>
                <w:sz w:val="21"/>
                <w:szCs w:val="21"/>
              </w:rPr>
              <w:t>锅炉排水</w:t>
            </w:r>
          </w:p>
        </w:tc>
        <w:tc>
          <w:tcPr>
            <w:tcW w:w="878" w:type="pct"/>
            <w:vAlign w:val="center"/>
          </w:tcPr>
          <w:p w14:paraId="78E4BA1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74.4</w:t>
            </w:r>
          </w:p>
        </w:tc>
        <w:tc>
          <w:tcPr>
            <w:tcW w:w="1129" w:type="pct"/>
            <w:vAlign w:val="center"/>
          </w:tcPr>
          <w:p w14:paraId="79C35E5D">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74.4</w:t>
            </w:r>
          </w:p>
        </w:tc>
        <w:tc>
          <w:tcPr>
            <w:tcW w:w="584" w:type="pct"/>
            <w:vAlign w:val="center"/>
          </w:tcPr>
          <w:p w14:paraId="5708128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E26B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2B88726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15</w:t>
            </w:r>
          </w:p>
        </w:tc>
        <w:tc>
          <w:tcPr>
            <w:tcW w:w="1584" w:type="pct"/>
            <w:vAlign w:val="center"/>
          </w:tcPr>
          <w:p w14:paraId="2C9A521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3#</w:t>
            </w:r>
            <w:r>
              <w:rPr>
                <w:rFonts w:hint="eastAsia" w:ascii="宋体" w:hAnsi="宋体" w:cs="Times New Roman"/>
                <w:color w:val="auto"/>
                <w:kern w:val="0"/>
                <w:sz w:val="21"/>
                <w:szCs w:val="21"/>
              </w:rPr>
              <w:t>锅炉脱硫脱硝</w:t>
            </w:r>
          </w:p>
        </w:tc>
        <w:tc>
          <w:tcPr>
            <w:tcW w:w="878" w:type="pct"/>
            <w:vAlign w:val="center"/>
          </w:tcPr>
          <w:p w14:paraId="374CAA7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72</w:t>
            </w:r>
          </w:p>
        </w:tc>
        <w:tc>
          <w:tcPr>
            <w:tcW w:w="1129" w:type="pct"/>
            <w:vAlign w:val="center"/>
          </w:tcPr>
          <w:p w14:paraId="1334EDE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72</w:t>
            </w:r>
          </w:p>
        </w:tc>
        <w:tc>
          <w:tcPr>
            <w:tcW w:w="584" w:type="pct"/>
            <w:vAlign w:val="center"/>
          </w:tcPr>
          <w:p w14:paraId="709779C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1A45A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2F0172D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16</w:t>
            </w:r>
          </w:p>
        </w:tc>
        <w:tc>
          <w:tcPr>
            <w:tcW w:w="1584" w:type="pct"/>
            <w:vAlign w:val="center"/>
          </w:tcPr>
          <w:p w14:paraId="659F5115">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180</w:t>
            </w:r>
            <w:r>
              <w:rPr>
                <w:rFonts w:hint="eastAsia" w:ascii="宋体" w:hAnsi="宋体" w:cs="Times New Roman"/>
                <w:color w:val="auto"/>
                <w:kern w:val="0"/>
                <w:sz w:val="21"/>
                <w:szCs w:val="21"/>
              </w:rPr>
              <w:t>万吨项目给水处理站排水</w:t>
            </w:r>
          </w:p>
        </w:tc>
        <w:tc>
          <w:tcPr>
            <w:tcW w:w="878" w:type="pct"/>
            <w:vAlign w:val="center"/>
          </w:tcPr>
          <w:p w14:paraId="2BF68E9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526</w:t>
            </w:r>
          </w:p>
        </w:tc>
        <w:tc>
          <w:tcPr>
            <w:tcW w:w="1129" w:type="pct"/>
            <w:vAlign w:val="center"/>
          </w:tcPr>
          <w:p w14:paraId="2CC7EE6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526</w:t>
            </w:r>
          </w:p>
        </w:tc>
        <w:tc>
          <w:tcPr>
            <w:tcW w:w="584" w:type="pct"/>
            <w:vAlign w:val="center"/>
          </w:tcPr>
          <w:p w14:paraId="0D128359">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6FF54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7D05ED8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17</w:t>
            </w:r>
          </w:p>
        </w:tc>
        <w:tc>
          <w:tcPr>
            <w:tcW w:w="1584" w:type="pct"/>
            <w:vAlign w:val="center"/>
          </w:tcPr>
          <w:p w14:paraId="67776A87">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过氧化氢车间</w:t>
            </w:r>
          </w:p>
        </w:tc>
        <w:tc>
          <w:tcPr>
            <w:tcW w:w="878" w:type="pct"/>
            <w:vAlign w:val="center"/>
          </w:tcPr>
          <w:p w14:paraId="6B3EA65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198</w:t>
            </w:r>
          </w:p>
        </w:tc>
        <w:tc>
          <w:tcPr>
            <w:tcW w:w="1129" w:type="pct"/>
            <w:vAlign w:val="center"/>
          </w:tcPr>
          <w:p w14:paraId="5D7F532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198</w:t>
            </w:r>
          </w:p>
        </w:tc>
        <w:tc>
          <w:tcPr>
            <w:tcW w:w="584" w:type="pct"/>
            <w:vAlign w:val="center"/>
          </w:tcPr>
          <w:p w14:paraId="78A513C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1EC61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2FCFB95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18</w:t>
            </w:r>
          </w:p>
        </w:tc>
        <w:tc>
          <w:tcPr>
            <w:tcW w:w="1584" w:type="pct"/>
            <w:vAlign w:val="center"/>
          </w:tcPr>
          <w:p w14:paraId="4F0732C6">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丁苯橡胶项目</w:t>
            </w:r>
          </w:p>
        </w:tc>
        <w:tc>
          <w:tcPr>
            <w:tcW w:w="878" w:type="pct"/>
            <w:vAlign w:val="center"/>
          </w:tcPr>
          <w:p w14:paraId="6233B7C9">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461.34</w:t>
            </w:r>
          </w:p>
        </w:tc>
        <w:tc>
          <w:tcPr>
            <w:tcW w:w="1129" w:type="pct"/>
            <w:vAlign w:val="center"/>
          </w:tcPr>
          <w:p w14:paraId="751E7C6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461.34</w:t>
            </w:r>
          </w:p>
        </w:tc>
        <w:tc>
          <w:tcPr>
            <w:tcW w:w="584" w:type="pct"/>
            <w:vAlign w:val="center"/>
          </w:tcPr>
          <w:p w14:paraId="2D9741D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0CCDA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30991603">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19</w:t>
            </w:r>
          </w:p>
        </w:tc>
        <w:tc>
          <w:tcPr>
            <w:tcW w:w="1584" w:type="pct"/>
            <w:vAlign w:val="center"/>
          </w:tcPr>
          <w:p w14:paraId="7BEE515F">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生活用排水</w:t>
            </w:r>
          </w:p>
        </w:tc>
        <w:tc>
          <w:tcPr>
            <w:tcW w:w="878" w:type="pct"/>
            <w:vAlign w:val="center"/>
          </w:tcPr>
          <w:p w14:paraId="00B49304">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568</w:t>
            </w:r>
          </w:p>
        </w:tc>
        <w:tc>
          <w:tcPr>
            <w:tcW w:w="1129" w:type="pct"/>
            <w:vAlign w:val="center"/>
          </w:tcPr>
          <w:p w14:paraId="2A78AA5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568</w:t>
            </w:r>
          </w:p>
        </w:tc>
        <w:tc>
          <w:tcPr>
            <w:tcW w:w="584" w:type="pct"/>
            <w:vAlign w:val="center"/>
          </w:tcPr>
          <w:p w14:paraId="722B93A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54E0D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47D5D18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20</w:t>
            </w:r>
          </w:p>
        </w:tc>
        <w:tc>
          <w:tcPr>
            <w:tcW w:w="1584" w:type="pct"/>
            <w:vAlign w:val="center"/>
          </w:tcPr>
          <w:p w14:paraId="70D514CB">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w:t>
            </w:r>
            <w:r>
              <w:rPr>
                <w:rFonts w:hint="eastAsia" w:ascii="宋体" w:hAnsi="宋体" w:cs="Times New Roman"/>
                <w:color w:val="auto"/>
                <w:kern w:val="0"/>
                <w:sz w:val="21"/>
                <w:szCs w:val="21"/>
              </w:rPr>
              <w:t>污水处理站</w:t>
            </w:r>
          </w:p>
        </w:tc>
        <w:tc>
          <w:tcPr>
            <w:tcW w:w="878" w:type="pct"/>
            <w:vAlign w:val="center"/>
          </w:tcPr>
          <w:p w14:paraId="398B924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822</w:t>
            </w:r>
          </w:p>
        </w:tc>
        <w:tc>
          <w:tcPr>
            <w:tcW w:w="1129" w:type="pct"/>
            <w:vAlign w:val="center"/>
          </w:tcPr>
          <w:p w14:paraId="3A77823D">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822</w:t>
            </w:r>
          </w:p>
        </w:tc>
        <w:tc>
          <w:tcPr>
            <w:tcW w:w="584" w:type="pct"/>
            <w:vAlign w:val="center"/>
          </w:tcPr>
          <w:p w14:paraId="15CC2CD6">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78D91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5188E32A">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21</w:t>
            </w:r>
          </w:p>
        </w:tc>
        <w:tc>
          <w:tcPr>
            <w:tcW w:w="1584" w:type="pct"/>
            <w:vAlign w:val="center"/>
          </w:tcPr>
          <w:p w14:paraId="0B7FA564">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r>
              <w:rPr>
                <w:rFonts w:hint="eastAsia" w:ascii="宋体" w:hAnsi="宋体" w:cs="Times New Roman"/>
                <w:color w:val="auto"/>
                <w:kern w:val="0"/>
                <w:sz w:val="21"/>
                <w:szCs w:val="21"/>
              </w:rPr>
              <w:t>污水处理站</w:t>
            </w:r>
          </w:p>
        </w:tc>
        <w:tc>
          <w:tcPr>
            <w:tcW w:w="878" w:type="pct"/>
            <w:vAlign w:val="center"/>
          </w:tcPr>
          <w:p w14:paraId="3AF8ACB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412.8</w:t>
            </w:r>
          </w:p>
        </w:tc>
        <w:tc>
          <w:tcPr>
            <w:tcW w:w="1129" w:type="pct"/>
            <w:vAlign w:val="center"/>
          </w:tcPr>
          <w:p w14:paraId="7106DBF1">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412.8</w:t>
            </w:r>
          </w:p>
        </w:tc>
        <w:tc>
          <w:tcPr>
            <w:tcW w:w="584" w:type="pct"/>
            <w:vAlign w:val="center"/>
          </w:tcPr>
          <w:p w14:paraId="2F30A93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4B953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25" w:type="pct"/>
            <w:vAlign w:val="center"/>
          </w:tcPr>
          <w:p w14:paraId="3341971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2</w:t>
            </w:r>
            <w:r>
              <w:rPr>
                <w:rFonts w:hint="eastAsia" w:eastAsia="等线" w:cs="Times New Roman"/>
                <w:color w:val="auto"/>
                <w:kern w:val="0"/>
                <w:sz w:val="21"/>
                <w:szCs w:val="21"/>
              </w:rPr>
              <w:t>2</w:t>
            </w:r>
          </w:p>
        </w:tc>
        <w:tc>
          <w:tcPr>
            <w:tcW w:w="1584" w:type="pct"/>
            <w:vAlign w:val="center"/>
          </w:tcPr>
          <w:p w14:paraId="764F3CE0">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其他用排水</w:t>
            </w:r>
          </w:p>
        </w:tc>
        <w:tc>
          <w:tcPr>
            <w:tcW w:w="878" w:type="pct"/>
            <w:vAlign w:val="center"/>
          </w:tcPr>
          <w:p w14:paraId="58DF5B8E">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1316</w:t>
            </w:r>
          </w:p>
        </w:tc>
        <w:tc>
          <w:tcPr>
            <w:tcW w:w="1129" w:type="pct"/>
            <w:vAlign w:val="center"/>
          </w:tcPr>
          <w:p w14:paraId="0BC82BEF">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1316</w:t>
            </w:r>
          </w:p>
        </w:tc>
        <w:tc>
          <w:tcPr>
            <w:tcW w:w="584" w:type="pct"/>
            <w:vAlign w:val="center"/>
          </w:tcPr>
          <w:p w14:paraId="194A1F08">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0</w:t>
            </w:r>
          </w:p>
        </w:tc>
      </w:tr>
      <w:tr w14:paraId="2C214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2409" w:type="pct"/>
            <w:gridSpan w:val="2"/>
            <w:vAlign w:val="center"/>
          </w:tcPr>
          <w:p w14:paraId="36DF8990">
            <w:pPr>
              <w:widowControl/>
              <w:spacing w:line="240" w:lineRule="auto"/>
              <w:ind w:firstLine="0" w:firstLineChars="0"/>
              <w:jc w:val="center"/>
              <w:rPr>
                <w:rFonts w:hint="eastAsia" w:ascii="宋体" w:hAnsi="宋体" w:cs="宋体"/>
                <w:color w:val="auto"/>
                <w:kern w:val="0"/>
                <w:sz w:val="21"/>
                <w:szCs w:val="21"/>
              </w:rPr>
            </w:pPr>
            <w:r>
              <w:rPr>
                <w:rFonts w:hint="eastAsia" w:ascii="宋体" w:hAnsi="宋体" w:cs="宋体"/>
                <w:color w:val="auto"/>
                <w:kern w:val="0"/>
                <w:sz w:val="21"/>
                <w:szCs w:val="21"/>
              </w:rPr>
              <w:t>总计</w:t>
            </w:r>
          </w:p>
        </w:tc>
        <w:tc>
          <w:tcPr>
            <w:tcW w:w="878" w:type="pct"/>
            <w:vAlign w:val="center"/>
          </w:tcPr>
          <w:p w14:paraId="38AD388C">
            <w:pPr>
              <w:widowControl/>
              <w:spacing w:line="240" w:lineRule="auto"/>
              <w:ind w:firstLine="0" w:firstLineChars="0"/>
              <w:jc w:val="center"/>
              <w:rPr>
                <w:rFonts w:eastAsia="等线" w:cs="Times New Roman"/>
                <w:color w:val="auto"/>
                <w:kern w:val="0"/>
                <w:sz w:val="21"/>
                <w:szCs w:val="21"/>
              </w:rPr>
            </w:pPr>
            <w:r>
              <w:rPr>
                <w:rFonts w:eastAsia="等线" w:cs="Times New Roman"/>
                <w:color w:val="auto"/>
                <w:sz w:val="21"/>
                <w:szCs w:val="21"/>
              </w:rPr>
              <w:t>85850.54</w:t>
            </w:r>
          </w:p>
        </w:tc>
        <w:tc>
          <w:tcPr>
            <w:tcW w:w="1129" w:type="pct"/>
            <w:vAlign w:val="center"/>
          </w:tcPr>
          <w:p w14:paraId="685F2787">
            <w:pPr>
              <w:widowControl/>
              <w:spacing w:line="240" w:lineRule="auto"/>
              <w:ind w:firstLine="0" w:firstLineChars="0"/>
              <w:jc w:val="center"/>
              <w:rPr>
                <w:rFonts w:eastAsia="等线" w:cs="Times New Roman"/>
                <w:color w:val="auto"/>
                <w:kern w:val="0"/>
                <w:sz w:val="21"/>
                <w:szCs w:val="21"/>
              </w:rPr>
            </w:pPr>
            <w:r>
              <w:rPr>
                <w:rFonts w:eastAsia="等线" w:cs="Times New Roman"/>
                <w:color w:val="auto"/>
                <w:sz w:val="21"/>
                <w:szCs w:val="21"/>
              </w:rPr>
              <w:t>89528.31</w:t>
            </w:r>
          </w:p>
        </w:tc>
        <w:tc>
          <w:tcPr>
            <w:tcW w:w="584" w:type="pct"/>
            <w:vAlign w:val="center"/>
          </w:tcPr>
          <w:p w14:paraId="257C49A0">
            <w:pPr>
              <w:widowControl/>
              <w:spacing w:line="240" w:lineRule="auto"/>
              <w:ind w:firstLine="0" w:firstLineChars="0"/>
              <w:jc w:val="center"/>
              <w:rPr>
                <w:rFonts w:eastAsia="等线" w:cs="Times New Roman"/>
                <w:color w:val="auto"/>
                <w:kern w:val="0"/>
                <w:sz w:val="21"/>
                <w:szCs w:val="21"/>
              </w:rPr>
            </w:pPr>
            <w:r>
              <w:rPr>
                <w:rFonts w:eastAsia="等线" w:cs="Times New Roman"/>
                <w:color w:val="auto"/>
                <w:kern w:val="0"/>
                <w:sz w:val="21"/>
                <w:szCs w:val="21"/>
              </w:rPr>
              <w:t>3677.77</w:t>
            </w:r>
          </w:p>
        </w:tc>
      </w:tr>
    </w:tbl>
    <w:p w14:paraId="5BB7753F">
      <w:pPr>
        <w:ind w:firstLine="480"/>
        <w:rPr>
          <w:color w:val="auto"/>
        </w:rPr>
        <w:sectPr>
          <w:pgSz w:w="11906" w:h="16838"/>
          <w:pgMar w:top="1418" w:right="1418" w:bottom="1418" w:left="1418" w:header="851" w:footer="992" w:gutter="0"/>
          <w:cols w:space="425" w:num="1"/>
          <w:docGrid w:type="lines" w:linePitch="312" w:charSpace="0"/>
        </w:sectPr>
      </w:pPr>
    </w:p>
    <w:p w14:paraId="55531521">
      <w:pPr>
        <w:pStyle w:val="7"/>
        <w:rPr>
          <w:color w:val="auto"/>
        </w:rPr>
      </w:pPr>
      <w:r>
        <w:rPr>
          <w:rFonts w:hint="eastAsia"/>
          <w:color w:val="auto"/>
        </w:rPr>
        <w:t>改造项目完成后全厂废水水质、水量情况一览表</w:t>
      </w:r>
      <w:r>
        <w:rPr>
          <w:rFonts w:hint="eastAsia"/>
          <w:color w:val="auto"/>
        </w:rPr>
        <w:tab/>
      </w:r>
      <w:r>
        <w:rPr>
          <w:rFonts w:hint="eastAsia"/>
          <w:color w:val="auto"/>
        </w:rPr>
        <w:t>单位：mg/L（pH、色度、水量除外）</w:t>
      </w:r>
    </w:p>
    <w:tbl>
      <w:tblPr>
        <w:tblStyle w:val="26"/>
        <w:tblW w:w="13961" w:type="dxa"/>
        <w:tblInd w:w="1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972"/>
        <w:gridCol w:w="2838"/>
        <w:gridCol w:w="1561"/>
        <w:gridCol w:w="1420"/>
        <w:gridCol w:w="1278"/>
        <w:gridCol w:w="993"/>
        <w:gridCol w:w="851"/>
        <w:gridCol w:w="993"/>
        <w:gridCol w:w="1055"/>
      </w:tblGrid>
      <w:tr w14:paraId="09939B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4423E68F">
            <w:pPr>
              <w:pStyle w:val="33"/>
              <w:rPr>
                <w:color w:val="auto"/>
              </w:rPr>
            </w:pPr>
            <w:r>
              <w:rPr>
                <w:rFonts w:hint="eastAsia"/>
                <w:color w:val="auto"/>
              </w:rPr>
              <w:t>项目</w:t>
            </w:r>
          </w:p>
        </w:tc>
        <w:tc>
          <w:tcPr>
            <w:tcW w:w="2838" w:type="dxa"/>
            <w:vAlign w:val="center"/>
          </w:tcPr>
          <w:p w14:paraId="3050C442">
            <w:pPr>
              <w:pStyle w:val="33"/>
              <w:rPr>
                <w:color w:val="auto"/>
              </w:rPr>
            </w:pPr>
            <w:r>
              <w:rPr>
                <w:rFonts w:hint="eastAsia"/>
                <w:color w:val="auto"/>
                <w:spacing w:val="-18"/>
              </w:rPr>
              <w:t xml:space="preserve">水量 </w:t>
            </w:r>
            <w:r>
              <w:rPr>
                <w:color w:val="auto"/>
                <w:spacing w:val="-4"/>
              </w:rPr>
              <w:t>m</w:t>
            </w:r>
            <w:r>
              <w:rPr>
                <w:color w:val="auto"/>
                <w:spacing w:val="-4"/>
                <w:position w:val="7"/>
                <w:sz w:val="14"/>
              </w:rPr>
              <w:t>3</w:t>
            </w:r>
            <w:r>
              <w:rPr>
                <w:color w:val="auto"/>
                <w:spacing w:val="-4"/>
              </w:rPr>
              <w:t>/d</w:t>
            </w:r>
          </w:p>
        </w:tc>
        <w:tc>
          <w:tcPr>
            <w:tcW w:w="1561" w:type="dxa"/>
            <w:vAlign w:val="center"/>
          </w:tcPr>
          <w:p w14:paraId="2585D652">
            <w:pPr>
              <w:pStyle w:val="33"/>
              <w:rPr>
                <w:color w:val="auto"/>
              </w:rPr>
            </w:pPr>
            <w:r>
              <w:rPr>
                <w:color w:val="auto"/>
              </w:rPr>
              <w:t>pH</w:t>
            </w:r>
          </w:p>
        </w:tc>
        <w:tc>
          <w:tcPr>
            <w:tcW w:w="1420" w:type="dxa"/>
            <w:vAlign w:val="center"/>
          </w:tcPr>
          <w:p w14:paraId="1A7BC010">
            <w:pPr>
              <w:pStyle w:val="33"/>
              <w:rPr>
                <w:color w:val="auto"/>
                <w:sz w:val="14"/>
              </w:rPr>
            </w:pPr>
            <w:r>
              <w:rPr>
                <w:color w:val="auto"/>
                <w:spacing w:val="-4"/>
                <w:position w:val="2"/>
              </w:rPr>
              <w:t>BOD</w:t>
            </w:r>
            <w:r>
              <w:rPr>
                <w:color w:val="auto"/>
                <w:spacing w:val="-4"/>
                <w:sz w:val="14"/>
              </w:rPr>
              <w:t>5</w:t>
            </w:r>
          </w:p>
        </w:tc>
        <w:tc>
          <w:tcPr>
            <w:tcW w:w="1278" w:type="dxa"/>
            <w:vAlign w:val="center"/>
          </w:tcPr>
          <w:p w14:paraId="1883E91A">
            <w:pPr>
              <w:pStyle w:val="33"/>
              <w:rPr>
                <w:color w:val="auto"/>
                <w:sz w:val="14"/>
              </w:rPr>
            </w:pPr>
            <w:r>
              <w:rPr>
                <w:color w:val="auto"/>
                <w:spacing w:val="-4"/>
                <w:position w:val="2"/>
              </w:rPr>
              <w:t>COD</w:t>
            </w:r>
            <w:r>
              <w:rPr>
                <w:color w:val="auto"/>
                <w:spacing w:val="-4"/>
                <w:sz w:val="14"/>
              </w:rPr>
              <w:t>Cr</w:t>
            </w:r>
          </w:p>
        </w:tc>
        <w:tc>
          <w:tcPr>
            <w:tcW w:w="993" w:type="dxa"/>
            <w:vAlign w:val="center"/>
          </w:tcPr>
          <w:p w14:paraId="17924245">
            <w:pPr>
              <w:pStyle w:val="33"/>
              <w:rPr>
                <w:color w:val="auto"/>
              </w:rPr>
            </w:pPr>
            <w:r>
              <w:rPr>
                <w:color w:val="auto"/>
              </w:rPr>
              <w:t>SS</w:t>
            </w:r>
          </w:p>
        </w:tc>
        <w:tc>
          <w:tcPr>
            <w:tcW w:w="851" w:type="dxa"/>
            <w:vAlign w:val="center"/>
          </w:tcPr>
          <w:p w14:paraId="610510E7">
            <w:pPr>
              <w:pStyle w:val="33"/>
              <w:rPr>
                <w:color w:val="auto"/>
              </w:rPr>
            </w:pPr>
            <w:r>
              <w:rPr>
                <w:rFonts w:hint="eastAsia"/>
                <w:color w:val="auto"/>
              </w:rPr>
              <w:t>氨氮</w:t>
            </w:r>
          </w:p>
        </w:tc>
        <w:tc>
          <w:tcPr>
            <w:tcW w:w="993" w:type="dxa"/>
            <w:vAlign w:val="center"/>
          </w:tcPr>
          <w:p w14:paraId="1A6664D5">
            <w:pPr>
              <w:pStyle w:val="33"/>
              <w:rPr>
                <w:color w:val="auto"/>
              </w:rPr>
            </w:pPr>
            <w:r>
              <w:rPr>
                <w:rFonts w:hint="eastAsia"/>
                <w:color w:val="auto"/>
              </w:rPr>
              <w:t>总氮</w:t>
            </w:r>
          </w:p>
        </w:tc>
        <w:tc>
          <w:tcPr>
            <w:tcW w:w="1055" w:type="dxa"/>
            <w:vAlign w:val="center"/>
          </w:tcPr>
          <w:p w14:paraId="6536FCF8">
            <w:pPr>
              <w:pStyle w:val="33"/>
              <w:rPr>
                <w:color w:val="auto"/>
              </w:rPr>
            </w:pPr>
            <w:r>
              <w:rPr>
                <w:rFonts w:hint="eastAsia"/>
                <w:color w:val="auto"/>
              </w:rPr>
              <w:t>总磷</w:t>
            </w:r>
          </w:p>
        </w:tc>
      </w:tr>
      <w:tr w14:paraId="4CB80B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721EC1DB">
            <w:pPr>
              <w:pStyle w:val="33"/>
              <w:rPr>
                <w:color w:val="auto"/>
              </w:rPr>
            </w:pPr>
            <w:r>
              <w:rPr>
                <w:rFonts w:hint="eastAsia"/>
                <w:color w:val="auto"/>
                <w:spacing w:val="-4"/>
              </w:rPr>
              <w:t>备料车间</w:t>
            </w:r>
          </w:p>
        </w:tc>
        <w:tc>
          <w:tcPr>
            <w:tcW w:w="2838" w:type="dxa"/>
            <w:vAlign w:val="center"/>
          </w:tcPr>
          <w:p w14:paraId="20FFD823">
            <w:pPr>
              <w:pStyle w:val="33"/>
              <w:rPr>
                <w:color w:val="auto"/>
                <w:spacing w:val="-18"/>
              </w:rPr>
            </w:pPr>
            <w:r>
              <w:rPr>
                <w:rFonts w:hint="eastAsia"/>
                <w:color w:val="auto"/>
                <w:spacing w:val="-4"/>
              </w:rPr>
              <w:t>1849</w:t>
            </w:r>
          </w:p>
        </w:tc>
        <w:tc>
          <w:tcPr>
            <w:tcW w:w="1561" w:type="dxa"/>
            <w:vAlign w:val="center"/>
          </w:tcPr>
          <w:p w14:paraId="121367A5">
            <w:pPr>
              <w:pStyle w:val="33"/>
              <w:rPr>
                <w:color w:val="auto"/>
              </w:rPr>
            </w:pPr>
            <w:r>
              <w:rPr>
                <w:color w:val="auto"/>
                <w:spacing w:val="-2"/>
              </w:rPr>
              <w:t>6-</w:t>
            </w:r>
            <w:r>
              <w:rPr>
                <w:color w:val="auto"/>
                <w:spacing w:val="-10"/>
              </w:rPr>
              <w:t>9</w:t>
            </w:r>
          </w:p>
        </w:tc>
        <w:tc>
          <w:tcPr>
            <w:tcW w:w="1420" w:type="dxa"/>
            <w:vAlign w:val="center"/>
          </w:tcPr>
          <w:p w14:paraId="0D7BEFE0">
            <w:pPr>
              <w:pStyle w:val="33"/>
              <w:rPr>
                <w:color w:val="auto"/>
                <w:spacing w:val="-4"/>
                <w:position w:val="2"/>
              </w:rPr>
            </w:pPr>
            <w:r>
              <w:rPr>
                <w:rFonts w:eastAsia="等线"/>
                <w:color w:val="auto"/>
                <w:sz w:val="20"/>
                <w:szCs w:val="20"/>
              </w:rPr>
              <w:t>810</w:t>
            </w:r>
          </w:p>
        </w:tc>
        <w:tc>
          <w:tcPr>
            <w:tcW w:w="1278" w:type="dxa"/>
            <w:vAlign w:val="center"/>
          </w:tcPr>
          <w:p w14:paraId="66AE0A10">
            <w:pPr>
              <w:pStyle w:val="33"/>
              <w:rPr>
                <w:color w:val="auto"/>
                <w:spacing w:val="-4"/>
                <w:position w:val="2"/>
              </w:rPr>
            </w:pPr>
            <w:r>
              <w:rPr>
                <w:rFonts w:eastAsia="等线"/>
                <w:color w:val="auto"/>
                <w:sz w:val="20"/>
                <w:szCs w:val="20"/>
              </w:rPr>
              <w:t>2650</w:t>
            </w:r>
          </w:p>
        </w:tc>
        <w:tc>
          <w:tcPr>
            <w:tcW w:w="993" w:type="dxa"/>
            <w:vAlign w:val="center"/>
          </w:tcPr>
          <w:p w14:paraId="3DC4EFAA">
            <w:pPr>
              <w:pStyle w:val="33"/>
              <w:rPr>
                <w:color w:val="auto"/>
              </w:rPr>
            </w:pPr>
            <w:r>
              <w:rPr>
                <w:rFonts w:eastAsia="等线"/>
                <w:color w:val="auto"/>
                <w:sz w:val="20"/>
                <w:szCs w:val="20"/>
              </w:rPr>
              <w:t>930</w:t>
            </w:r>
          </w:p>
        </w:tc>
        <w:tc>
          <w:tcPr>
            <w:tcW w:w="851" w:type="dxa"/>
            <w:vAlign w:val="center"/>
          </w:tcPr>
          <w:p w14:paraId="472B1D28">
            <w:pPr>
              <w:pStyle w:val="33"/>
              <w:rPr>
                <w:color w:val="auto"/>
              </w:rPr>
            </w:pPr>
            <w:r>
              <w:rPr>
                <w:rFonts w:eastAsia="等线"/>
                <w:color w:val="auto"/>
                <w:sz w:val="20"/>
                <w:szCs w:val="20"/>
              </w:rPr>
              <w:t>/</w:t>
            </w:r>
          </w:p>
        </w:tc>
        <w:tc>
          <w:tcPr>
            <w:tcW w:w="993" w:type="dxa"/>
            <w:vAlign w:val="center"/>
          </w:tcPr>
          <w:p w14:paraId="5C0A5D8C">
            <w:pPr>
              <w:pStyle w:val="33"/>
              <w:rPr>
                <w:color w:val="auto"/>
              </w:rPr>
            </w:pPr>
            <w:r>
              <w:rPr>
                <w:rFonts w:eastAsia="等线"/>
                <w:color w:val="auto"/>
                <w:sz w:val="20"/>
                <w:szCs w:val="20"/>
              </w:rPr>
              <w:t>/</w:t>
            </w:r>
          </w:p>
        </w:tc>
        <w:tc>
          <w:tcPr>
            <w:tcW w:w="1055" w:type="dxa"/>
            <w:vAlign w:val="center"/>
          </w:tcPr>
          <w:p w14:paraId="14B3B1C8">
            <w:pPr>
              <w:pStyle w:val="33"/>
              <w:rPr>
                <w:color w:val="auto"/>
              </w:rPr>
            </w:pPr>
            <w:r>
              <w:rPr>
                <w:rFonts w:eastAsia="等线"/>
                <w:color w:val="auto"/>
                <w:sz w:val="20"/>
                <w:szCs w:val="20"/>
              </w:rPr>
              <w:t>/</w:t>
            </w:r>
          </w:p>
        </w:tc>
      </w:tr>
      <w:tr w14:paraId="2771CC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7ECBC10F">
            <w:pPr>
              <w:pStyle w:val="33"/>
              <w:rPr>
                <w:color w:val="auto"/>
              </w:rPr>
            </w:pPr>
            <w:r>
              <w:rPr>
                <w:color w:val="auto"/>
                <w:spacing w:val="-2"/>
              </w:rPr>
              <w:t>1#</w:t>
            </w:r>
            <w:r>
              <w:rPr>
                <w:rFonts w:hint="eastAsia"/>
                <w:color w:val="auto"/>
                <w:spacing w:val="-2"/>
              </w:rPr>
              <w:t>碱回收车间</w:t>
            </w:r>
          </w:p>
        </w:tc>
        <w:tc>
          <w:tcPr>
            <w:tcW w:w="2838" w:type="dxa"/>
            <w:vAlign w:val="center"/>
          </w:tcPr>
          <w:p w14:paraId="69BA5D40">
            <w:pPr>
              <w:pStyle w:val="33"/>
              <w:rPr>
                <w:color w:val="auto"/>
              </w:rPr>
            </w:pPr>
            <w:r>
              <w:rPr>
                <w:rFonts w:hint="eastAsia"/>
                <w:color w:val="auto"/>
                <w:spacing w:val="-4"/>
              </w:rPr>
              <w:t>14542</w:t>
            </w:r>
          </w:p>
        </w:tc>
        <w:tc>
          <w:tcPr>
            <w:tcW w:w="1561" w:type="dxa"/>
            <w:vAlign w:val="center"/>
          </w:tcPr>
          <w:p w14:paraId="2D984362">
            <w:pPr>
              <w:pStyle w:val="33"/>
              <w:rPr>
                <w:color w:val="auto"/>
              </w:rPr>
            </w:pPr>
            <w:r>
              <w:rPr>
                <w:color w:val="auto"/>
                <w:spacing w:val="-2"/>
              </w:rPr>
              <w:t>6-</w:t>
            </w:r>
            <w:r>
              <w:rPr>
                <w:color w:val="auto"/>
                <w:spacing w:val="-10"/>
              </w:rPr>
              <w:t>9</w:t>
            </w:r>
          </w:p>
        </w:tc>
        <w:tc>
          <w:tcPr>
            <w:tcW w:w="1420" w:type="dxa"/>
            <w:vAlign w:val="center"/>
          </w:tcPr>
          <w:p w14:paraId="455DC5FE">
            <w:pPr>
              <w:pStyle w:val="33"/>
              <w:rPr>
                <w:color w:val="auto"/>
              </w:rPr>
            </w:pPr>
            <w:r>
              <w:rPr>
                <w:rFonts w:eastAsia="等线"/>
                <w:color w:val="auto"/>
                <w:sz w:val="20"/>
                <w:szCs w:val="20"/>
              </w:rPr>
              <w:t>1130</w:t>
            </w:r>
          </w:p>
        </w:tc>
        <w:tc>
          <w:tcPr>
            <w:tcW w:w="1278" w:type="dxa"/>
            <w:vAlign w:val="center"/>
          </w:tcPr>
          <w:p w14:paraId="39816E60">
            <w:pPr>
              <w:pStyle w:val="33"/>
              <w:rPr>
                <w:color w:val="auto"/>
              </w:rPr>
            </w:pPr>
            <w:r>
              <w:rPr>
                <w:rFonts w:eastAsia="等线"/>
                <w:color w:val="auto"/>
                <w:sz w:val="20"/>
                <w:szCs w:val="20"/>
              </w:rPr>
              <w:t>2830</w:t>
            </w:r>
          </w:p>
        </w:tc>
        <w:tc>
          <w:tcPr>
            <w:tcW w:w="993" w:type="dxa"/>
            <w:vAlign w:val="center"/>
          </w:tcPr>
          <w:p w14:paraId="35742F32">
            <w:pPr>
              <w:pStyle w:val="33"/>
              <w:rPr>
                <w:color w:val="auto"/>
              </w:rPr>
            </w:pPr>
            <w:r>
              <w:rPr>
                <w:rFonts w:eastAsia="等线"/>
                <w:color w:val="auto"/>
                <w:sz w:val="20"/>
                <w:szCs w:val="20"/>
              </w:rPr>
              <w:t>1350</w:t>
            </w:r>
          </w:p>
        </w:tc>
        <w:tc>
          <w:tcPr>
            <w:tcW w:w="851" w:type="dxa"/>
            <w:vAlign w:val="center"/>
          </w:tcPr>
          <w:p w14:paraId="45434E3B">
            <w:pPr>
              <w:pStyle w:val="33"/>
              <w:rPr>
                <w:color w:val="auto"/>
              </w:rPr>
            </w:pPr>
            <w:r>
              <w:rPr>
                <w:rFonts w:eastAsia="等线"/>
                <w:color w:val="auto"/>
                <w:sz w:val="20"/>
                <w:szCs w:val="20"/>
              </w:rPr>
              <w:t>6.42</w:t>
            </w:r>
          </w:p>
        </w:tc>
        <w:tc>
          <w:tcPr>
            <w:tcW w:w="993" w:type="dxa"/>
            <w:vAlign w:val="center"/>
          </w:tcPr>
          <w:p w14:paraId="421D08B2">
            <w:pPr>
              <w:pStyle w:val="33"/>
              <w:rPr>
                <w:color w:val="auto"/>
              </w:rPr>
            </w:pPr>
            <w:r>
              <w:rPr>
                <w:rFonts w:eastAsia="等线"/>
                <w:color w:val="auto"/>
                <w:sz w:val="20"/>
                <w:szCs w:val="20"/>
              </w:rPr>
              <w:t>8.25</w:t>
            </w:r>
          </w:p>
        </w:tc>
        <w:tc>
          <w:tcPr>
            <w:tcW w:w="1055" w:type="dxa"/>
            <w:vAlign w:val="center"/>
          </w:tcPr>
          <w:p w14:paraId="6EE377A4">
            <w:pPr>
              <w:pStyle w:val="33"/>
              <w:rPr>
                <w:color w:val="auto"/>
              </w:rPr>
            </w:pPr>
            <w:r>
              <w:rPr>
                <w:rFonts w:eastAsia="等线"/>
                <w:color w:val="auto"/>
                <w:sz w:val="20"/>
                <w:szCs w:val="20"/>
              </w:rPr>
              <w:t>0.2</w:t>
            </w:r>
          </w:p>
        </w:tc>
      </w:tr>
      <w:tr w14:paraId="2DEE8F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53C903D2">
            <w:pPr>
              <w:pStyle w:val="33"/>
              <w:rPr>
                <w:color w:val="auto"/>
              </w:rPr>
            </w:pPr>
            <w:r>
              <w:rPr>
                <w:rFonts w:hint="eastAsia"/>
                <w:color w:val="auto"/>
                <w:spacing w:val="-2"/>
              </w:rPr>
              <w:t>1#造纸车间</w:t>
            </w:r>
          </w:p>
        </w:tc>
        <w:tc>
          <w:tcPr>
            <w:tcW w:w="2838" w:type="dxa"/>
            <w:vAlign w:val="center"/>
          </w:tcPr>
          <w:p w14:paraId="61A464DB">
            <w:pPr>
              <w:pStyle w:val="33"/>
              <w:rPr>
                <w:color w:val="auto"/>
              </w:rPr>
            </w:pPr>
            <w:r>
              <w:rPr>
                <w:rFonts w:hint="eastAsia"/>
                <w:color w:val="auto"/>
                <w:spacing w:val="-4"/>
              </w:rPr>
              <w:t>20514.71</w:t>
            </w:r>
          </w:p>
        </w:tc>
        <w:tc>
          <w:tcPr>
            <w:tcW w:w="1561" w:type="dxa"/>
            <w:vAlign w:val="center"/>
          </w:tcPr>
          <w:p w14:paraId="7ABE1007">
            <w:pPr>
              <w:pStyle w:val="33"/>
              <w:rPr>
                <w:color w:val="auto"/>
              </w:rPr>
            </w:pPr>
            <w:r>
              <w:rPr>
                <w:color w:val="auto"/>
                <w:spacing w:val="-2"/>
              </w:rPr>
              <w:t>6-</w:t>
            </w:r>
            <w:r>
              <w:rPr>
                <w:color w:val="auto"/>
                <w:spacing w:val="-10"/>
              </w:rPr>
              <w:t>9</w:t>
            </w:r>
          </w:p>
        </w:tc>
        <w:tc>
          <w:tcPr>
            <w:tcW w:w="1420" w:type="dxa"/>
            <w:vAlign w:val="center"/>
          </w:tcPr>
          <w:p w14:paraId="6879E104">
            <w:pPr>
              <w:pStyle w:val="33"/>
              <w:rPr>
                <w:color w:val="auto"/>
              </w:rPr>
            </w:pPr>
            <w:r>
              <w:rPr>
                <w:rFonts w:hint="eastAsia" w:eastAsia="等线"/>
                <w:color w:val="auto"/>
                <w:sz w:val="20"/>
                <w:szCs w:val="20"/>
              </w:rPr>
              <w:t>800</w:t>
            </w:r>
          </w:p>
        </w:tc>
        <w:tc>
          <w:tcPr>
            <w:tcW w:w="1278" w:type="dxa"/>
            <w:vAlign w:val="center"/>
          </w:tcPr>
          <w:p w14:paraId="26BA35B0">
            <w:pPr>
              <w:pStyle w:val="33"/>
              <w:rPr>
                <w:color w:val="auto"/>
              </w:rPr>
            </w:pPr>
            <w:r>
              <w:rPr>
                <w:rFonts w:hint="eastAsia" w:eastAsia="等线"/>
                <w:color w:val="auto"/>
                <w:sz w:val="20"/>
                <w:szCs w:val="20"/>
              </w:rPr>
              <w:t>1800</w:t>
            </w:r>
          </w:p>
        </w:tc>
        <w:tc>
          <w:tcPr>
            <w:tcW w:w="993" w:type="dxa"/>
            <w:vAlign w:val="center"/>
          </w:tcPr>
          <w:p w14:paraId="50AA759B">
            <w:pPr>
              <w:pStyle w:val="33"/>
              <w:rPr>
                <w:color w:val="auto"/>
              </w:rPr>
            </w:pPr>
            <w:r>
              <w:rPr>
                <w:rFonts w:hint="eastAsia" w:eastAsia="等线"/>
                <w:color w:val="auto"/>
                <w:sz w:val="20"/>
                <w:szCs w:val="20"/>
              </w:rPr>
              <w:t>1300</w:t>
            </w:r>
          </w:p>
        </w:tc>
        <w:tc>
          <w:tcPr>
            <w:tcW w:w="851" w:type="dxa"/>
            <w:vAlign w:val="center"/>
          </w:tcPr>
          <w:p w14:paraId="366E9EE4">
            <w:pPr>
              <w:pStyle w:val="33"/>
              <w:rPr>
                <w:color w:val="auto"/>
              </w:rPr>
            </w:pPr>
            <w:r>
              <w:rPr>
                <w:rFonts w:hint="eastAsia" w:eastAsia="等线"/>
                <w:color w:val="auto"/>
                <w:sz w:val="20"/>
                <w:szCs w:val="20"/>
              </w:rPr>
              <w:t>3</w:t>
            </w:r>
          </w:p>
        </w:tc>
        <w:tc>
          <w:tcPr>
            <w:tcW w:w="993" w:type="dxa"/>
            <w:vAlign w:val="center"/>
          </w:tcPr>
          <w:p w14:paraId="4CD253AA">
            <w:pPr>
              <w:pStyle w:val="33"/>
              <w:rPr>
                <w:color w:val="auto"/>
              </w:rPr>
            </w:pPr>
            <w:r>
              <w:rPr>
                <w:rFonts w:hint="eastAsia" w:eastAsia="等线"/>
                <w:color w:val="auto"/>
                <w:sz w:val="20"/>
                <w:szCs w:val="20"/>
              </w:rPr>
              <w:t>4</w:t>
            </w:r>
          </w:p>
        </w:tc>
        <w:tc>
          <w:tcPr>
            <w:tcW w:w="1055" w:type="dxa"/>
            <w:vAlign w:val="center"/>
          </w:tcPr>
          <w:p w14:paraId="3BE07B7F">
            <w:pPr>
              <w:pStyle w:val="33"/>
              <w:rPr>
                <w:color w:val="auto"/>
              </w:rPr>
            </w:pPr>
            <w:r>
              <w:rPr>
                <w:rFonts w:hint="eastAsia" w:eastAsia="等线"/>
                <w:color w:val="auto"/>
                <w:sz w:val="20"/>
                <w:szCs w:val="20"/>
              </w:rPr>
              <w:t>1</w:t>
            </w:r>
          </w:p>
        </w:tc>
      </w:tr>
      <w:tr w14:paraId="25E0A3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570485F9">
            <w:pPr>
              <w:pStyle w:val="33"/>
              <w:rPr>
                <w:color w:val="auto"/>
                <w:spacing w:val="-2"/>
              </w:rPr>
            </w:pPr>
            <w:r>
              <w:rPr>
                <w:rFonts w:hint="eastAsia"/>
                <w:color w:val="auto"/>
                <w:spacing w:val="-2"/>
              </w:rPr>
              <w:t>2#造纸车间</w:t>
            </w:r>
          </w:p>
        </w:tc>
        <w:tc>
          <w:tcPr>
            <w:tcW w:w="2838" w:type="dxa"/>
            <w:vAlign w:val="center"/>
          </w:tcPr>
          <w:p w14:paraId="6394924C">
            <w:pPr>
              <w:pStyle w:val="33"/>
              <w:rPr>
                <w:color w:val="auto"/>
                <w:spacing w:val="-4"/>
              </w:rPr>
            </w:pPr>
            <w:r>
              <w:rPr>
                <w:rFonts w:hint="eastAsia"/>
                <w:color w:val="auto"/>
                <w:spacing w:val="-4"/>
              </w:rPr>
              <w:t>21397.06</w:t>
            </w:r>
          </w:p>
        </w:tc>
        <w:tc>
          <w:tcPr>
            <w:tcW w:w="1561" w:type="dxa"/>
            <w:vAlign w:val="center"/>
          </w:tcPr>
          <w:p w14:paraId="55BD5C94">
            <w:pPr>
              <w:pStyle w:val="33"/>
              <w:rPr>
                <w:color w:val="auto"/>
                <w:spacing w:val="-2"/>
              </w:rPr>
            </w:pPr>
            <w:r>
              <w:rPr>
                <w:color w:val="auto"/>
                <w:spacing w:val="-2"/>
              </w:rPr>
              <w:t>6-</w:t>
            </w:r>
            <w:r>
              <w:rPr>
                <w:color w:val="auto"/>
                <w:spacing w:val="-10"/>
              </w:rPr>
              <w:t>9</w:t>
            </w:r>
          </w:p>
        </w:tc>
        <w:tc>
          <w:tcPr>
            <w:tcW w:w="1420" w:type="dxa"/>
            <w:vAlign w:val="center"/>
          </w:tcPr>
          <w:p w14:paraId="5C9573FA">
            <w:pPr>
              <w:pStyle w:val="33"/>
              <w:rPr>
                <w:color w:val="auto"/>
                <w:spacing w:val="-4"/>
              </w:rPr>
            </w:pPr>
            <w:r>
              <w:rPr>
                <w:rFonts w:hint="eastAsia" w:eastAsia="等线"/>
                <w:color w:val="auto"/>
                <w:sz w:val="20"/>
                <w:szCs w:val="20"/>
              </w:rPr>
              <w:t>800</w:t>
            </w:r>
          </w:p>
        </w:tc>
        <w:tc>
          <w:tcPr>
            <w:tcW w:w="1278" w:type="dxa"/>
            <w:vAlign w:val="center"/>
          </w:tcPr>
          <w:p w14:paraId="6C8F3255">
            <w:pPr>
              <w:pStyle w:val="33"/>
              <w:rPr>
                <w:color w:val="auto"/>
                <w:spacing w:val="-4"/>
              </w:rPr>
            </w:pPr>
            <w:r>
              <w:rPr>
                <w:rFonts w:hint="eastAsia" w:eastAsia="等线"/>
                <w:color w:val="auto"/>
                <w:sz w:val="20"/>
                <w:szCs w:val="20"/>
              </w:rPr>
              <w:t>1800</w:t>
            </w:r>
          </w:p>
        </w:tc>
        <w:tc>
          <w:tcPr>
            <w:tcW w:w="993" w:type="dxa"/>
            <w:vAlign w:val="center"/>
          </w:tcPr>
          <w:p w14:paraId="4C8AD207">
            <w:pPr>
              <w:pStyle w:val="33"/>
              <w:rPr>
                <w:color w:val="auto"/>
                <w:spacing w:val="-4"/>
              </w:rPr>
            </w:pPr>
            <w:r>
              <w:rPr>
                <w:rFonts w:hint="eastAsia" w:eastAsia="等线"/>
                <w:color w:val="auto"/>
                <w:sz w:val="20"/>
                <w:szCs w:val="20"/>
              </w:rPr>
              <w:t>1300</w:t>
            </w:r>
          </w:p>
        </w:tc>
        <w:tc>
          <w:tcPr>
            <w:tcW w:w="851" w:type="dxa"/>
            <w:vAlign w:val="center"/>
          </w:tcPr>
          <w:p w14:paraId="04A826CC">
            <w:pPr>
              <w:pStyle w:val="33"/>
              <w:rPr>
                <w:color w:val="auto"/>
              </w:rPr>
            </w:pPr>
            <w:r>
              <w:rPr>
                <w:rFonts w:hint="eastAsia" w:eastAsia="等线"/>
                <w:color w:val="auto"/>
                <w:sz w:val="20"/>
                <w:szCs w:val="20"/>
              </w:rPr>
              <w:t>3</w:t>
            </w:r>
          </w:p>
        </w:tc>
        <w:tc>
          <w:tcPr>
            <w:tcW w:w="993" w:type="dxa"/>
            <w:vAlign w:val="center"/>
          </w:tcPr>
          <w:p w14:paraId="41E501D4">
            <w:pPr>
              <w:pStyle w:val="33"/>
              <w:rPr>
                <w:color w:val="auto"/>
              </w:rPr>
            </w:pPr>
            <w:r>
              <w:rPr>
                <w:rFonts w:hint="eastAsia" w:eastAsia="等线"/>
                <w:color w:val="auto"/>
                <w:sz w:val="20"/>
                <w:szCs w:val="20"/>
              </w:rPr>
              <w:t>4</w:t>
            </w:r>
          </w:p>
        </w:tc>
        <w:tc>
          <w:tcPr>
            <w:tcW w:w="1055" w:type="dxa"/>
            <w:vAlign w:val="center"/>
          </w:tcPr>
          <w:p w14:paraId="0983F1D1">
            <w:pPr>
              <w:pStyle w:val="33"/>
              <w:rPr>
                <w:color w:val="auto"/>
              </w:rPr>
            </w:pPr>
            <w:r>
              <w:rPr>
                <w:rFonts w:hint="eastAsia" w:eastAsia="等线"/>
                <w:color w:val="auto"/>
                <w:sz w:val="20"/>
                <w:szCs w:val="20"/>
              </w:rPr>
              <w:t>1</w:t>
            </w:r>
          </w:p>
        </w:tc>
      </w:tr>
      <w:tr w14:paraId="52FEB1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7B69D1DB">
            <w:pPr>
              <w:pStyle w:val="33"/>
              <w:rPr>
                <w:color w:val="auto"/>
                <w:spacing w:val="-2"/>
              </w:rPr>
            </w:pPr>
            <w:r>
              <w:rPr>
                <w:rFonts w:hint="eastAsia"/>
                <w:color w:val="auto"/>
                <w:spacing w:val="-4"/>
              </w:rPr>
              <w:t>1#化学水车间</w:t>
            </w:r>
          </w:p>
        </w:tc>
        <w:tc>
          <w:tcPr>
            <w:tcW w:w="2838" w:type="dxa"/>
            <w:vAlign w:val="center"/>
          </w:tcPr>
          <w:p w14:paraId="25A4A7C3">
            <w:pPr>
              <w:pStyle w:val="33"/>
              <w:rPr>
                <w:color w:val="auto"/>
                <w:spacing w:val="-4"/>
              </w:rPr>
            </w:pPr>
            <w:r>
              <w:rPr>
                <w:color w:val="auto"/>
              </w:rPr>
              <w:t>400</w:t>
            </w:r>
          </w:p>
        </w:tc>
        <w:tc>
          <w:tcPr>
            <w:tcW w:w="1561" w:type="dxa"/>
            <w:vAlign w:val="center"/>
          </w:tcPr>
          <w:p w14:paraId="38C49837">
            <w:pPr>
              <w:pStyle w:val="33"/>
              <w:rPr>
                <w:color w:val="auto"/>
                <w:spacing w:val="-2"/>
              </w:rPr>
            </w:pPr>
            <w:r>
              <w:rPr>
                <w:color w:val="auto"/>
                <w:spacing w:val="-2"/>
              </w:rPr>
              <w:t>6-</w:t>
            </w:r>
            <w:r>
              <w:rPr>
                <w:color w:val="auto"/>
                <w:spacing w:val="-10"/>
              </w:rPr>
              <w:t>9</w:t>
            </w:r>
          </w:p>
        </w:tc>
        <w:tc>
          <w:tcPr>
            <w:tcW w:w="1420" w:type="dxa"/>
            <w:vAlign w:val="center"/>
          </w:tcPr>
          <w:p w14:paraId="69104E8B">
            <w:pPr>
              <w:pStyle w:val="33"/>
              <w:rPr>
                <w:color w:val="auto"/>
                <w:spacing w:val="-4"/>
              </w:rPr>
            </w:pPr>
            <w:r>
              <w:rPr>
                <w:rFonts w:eastAsia="等线"/>
                <w:color w:val="auto"/>
                <w:sz w:val="20"/>
                <w:szCs w:val="20"/>
              </w:rPr>
              <w:t>/</w:t>
            </w:r>
          </w:p>
        </w:tc>
        <w:tc>
          <w:tcPr>
            <w:tcW w:w="1278" w:type="dxa"/>
            <w:vAlign w:val="center"/>
          </w:tcPr>
          <w:p w14:paraId="31A21F29">
            <w:pPr>
              <w:pStyle w:val="33"/>
              <w:rPr>
                <w:color w:val="auto"/>
                <w:spacing w:val="-4"/>
              </w:rPr>
            </w:pPr>
            <w:r>
              <w:rPr>
                <w:rFonts w:eastAsia="等线"/>
                <w:color w:val="auto"/>
                <w:sz w:val="20"/>
                <w:szCs w:val="20"/>
              </w:rPr>
              <w:t>40</w:t>
            </w:r>
          </w:p>
        </w:tc>
        <w:tc>
          <w:tcPr>
            <w:tcW w:w="993" w:type="dxa"/>
            <w:vAlign w:val="center"/>
          </w:tcPr>
          <w:p w14:paraId="33923A9E">
            <w:pPr>
              <w:pStyle w:val="33"/>
              <w:rPr>
                <w:color w:val="auto"/>
                <w:spacing w:val="-4"/>
              </w:rPr>
            </w:pPr>
            <w:r>
              <w:rPr>
                <w:rFonts w:eastAsia="等线"/>
                <w:color w:val="auto"/>
                <w:sz w:val="20"/>
                <w:szCs w:val="20"/>
              </w:rPr>
              <w:t>10</w:t>
            </w:r>
          </w:p>
        </w:tc>
        <w:tc>
          <w:tcPr>
            <w:tcW w:w="851" w:type="dxa"/>
            <w:vAlign w:val="center"/>
          </w:tcPr>
          <w:p w14:paraId="0BDF8742">
            <w:pPr>
              <w:pStyle w:val="33"/>
              <w:rPr>
                <w:color w:val="auto"/>
              </w:rPr>
            </w:pPr>
            <w:r>
              <w:rPr>
                <w:rFonts w:eastAsia="等线"/>
                <w:color w:val="auto"/>
                <w:sz w:val="20"/>
                <w:szCs w:val="20"/>
              </w:rPr>
              <w:t>/</w:t>
            </w:r>
          </w:p>
        </w:tc>
        <w:tc>
          <w:tcPr>
            <w:tcW w:w="993" w:type="dxa"/>
            <w:vAlign w:val="center"/>
          </w:tcPr>
          <w:p w14:paraId="1954A9DF">
            <w:pPr>
              <w:pStyle w:val="33"/>
              <w:rPr>
                <w:color w:val="auto"/>
              </w:rPr>
            </w:pPr>
            <w:r>
              <w:rPr>
                <w:rFonts w:eastAsia="等线"/>
                <w:color w:val="auto"/>
                <w:sz w:val="20"/>
                <w:szCs w:val="20"/>
              </w:rPr>
              <w:t>/</w:t>
            </w:r>
          </w:p>
        </w:tc>
        <w:tc>
          <w:tcPr>
            <w:tcW w:w="1055" w:type="dxa"/>
            <w:vAlign w:val="center"/>
          </w:tcPr>
          <w:p w14:paraId="6005A102">
            <w:pPr>
              <w:pStyle w:val="33"/>
              <w:rPr>
                <w:color w:val="auto"/>
              </w:rPr>
            </w:pPr>
            <w:r>
              <w:rPr>
                <w:rFonts w:eastAsia="等线"/>
                <w:color w:val="auto"/>
                <w:sz w:val="20"/>
                <w:szCs w:val="20"/>
              </w:rPr>
              <w:t>/</w:t>
            </w:r>
          </w:p>
        </w:tc>
      </w:tr>
      <w:tr w14:paraId="474C3A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2DC2B24A">
            <w:pPr>
              <w:pStyle w:val="33"/>
              <w:rPr>
                <w:color w:val="auto"/>
                <w:spacing w:val="-4"/>
              </w:rPr>
            </w:pPr>
            <w:r>
              <w:rPr>
                <w:rFonts w:hint="eastAsia"/>
                <w:color w:val="auto"/>
                <w:spacing w:val="-4"/>
              </w:rPr>
              <w:t>2#化学水车间</w:t>
            </w:r>
          </w:p>
        </w:tc>
        <w:tc>
          <w:tcPr>
            <w:tcW w:w="2838" w:type="dxa"/>
            <w:vAlign w:val="center"/>
          </w:tcPr>
          <w:p w14:paraId="213E8140">
            <w:pPr>
              <w:pStyle w:val="33"/>
              <w:rPr>
                <w:color w:val="auto"/>
              </w:rPr>
            </w:pPr>
            <w:r>
              <w:rPr>
                <w:rFonts w:hint="eastAsia"/>
                <w:color w:val="auto"/>
              </w:rPr>
              <w:t>130</w:t>
            </w:r>
          </w:p>
        </w:tc>
        <w:tc>
          <w:tcPr>
            <w:tcW w:w="1561" w:type="dxa"/>
            <w:vAlign w:val="center"/>
          </w:tcPr>
          <w:p w14:paraId="75F128D9">
            <w:pPr>
              <w:pStyle w:val="33"/>
              <w:rPr>
                <w:color w:val="auto"/>
                <w:spacing w:val="-2"/>
              </w:rPr>
            </w:pPr>
            <w:r>
              <w:rPr>
                <w:color w:val="auto"/>
                <w:spacing w:val="-2"/>
              </w:rPr>
              <w:t>6-</w:t>
            </w:r>
            <w:r>
              <w:rPr>
                <w:color w:val="auto"/>
                <w:spacing w:val="-10"/>
              </w:rPr>
              <w:t>9</w:t>
            </w:r>
          </w:p>
        </w:tc>
        <w:tc>
          <w:tcPr>
            <w:tcW w:w="1420" w:type="dxa"/>
            <w:vAlign w:val="center"/>
          </w:tcPr>
          <w:p w14:paraId="3FB8FA4D">
            <w:pPr>
              <w:pStyle w:val="33"/>
              <w:rPr>
                <w:rFonts w:eastAsia="等线"/>
                <w:color w:val="auto"/>
                <w:sz w:val="20"/>
                <w:szCs w:val="20"/>
              </w:rPr>
            </w:pPr>
            <w:r>
              <w:rPr>
                <w:rFonts w:eastAsia="等线"/>
                <w:color w:val="auto"/>
                <w:sz w:val="20"/>
                <w:szCs w:val="20"/>
              </w:rPr>
              <w:t>/</w:t>
            </w:r>
          </w:p>
        </w:tc>
        <w:tc>
          <w:tcPr>
            <w:tcW w:w="1278" w:type="dxa"/>
            <w:vAlign w:val="center"/>
          </w:tcPr>
          <w:p w14:paraId="36674459">
            <w:pPr>
              <w:pStyle w:val="33"/>
              <w:rPr>
                <w:rFonts w:eastAsia="等线"/>
                <w:color w:val="auto"/>
                <w:sz w:val="20"/>
                <w:szCs w:val="20"/>
              </w:rPr>
            </w:pPr>
            <w:r>
              <w:rPr>
                <w:rFonts w:eastAsia="等线"/>
                <w:color w:val="auto"/>
                <w:sz w:val="20"/>
                <w:szCs w:val="20"/>
              </w:rPr>
              <w:t>40</w:t>
            </w:r>
          </w:p>
        </w:tc>
        <w:tc>
          <w:tcPr>
            <w:tcW w:w="993" w:type="dxa"/>
            <w:vAlign w:val="center"/>
          </w:tcPr>
          <w:p w14:paraId="32B5E525">
            <w:pPr>
              <w:pStyle w:val="33"/>
              <w:rPr>
                <w:rFonts w:eastAsia="等线"/>
                <w:color w:val="auto"/>
                <w:sz w:val="20"/>
                <w:szCs w:val="20"/>
              </w:rPr>
            </w:pPr>
            <w:r>
              <w:rPr>
                <w:rFonts w:eastAsia="等线"/>
                <w:color w:val="auto"/>
                <w:sz w:val="20"/>
                <w:szCs w:val="20"/>
              </w:rPr>
              <w:t>10</w:t>
            </w:r>
          </w:p>
        </w:tc>
        <w:tc>
          <w:tcPr>
            <w:tcW w:w="851" w:type="dxa"/>
            <w:vAlign w:val="center"/>
          </w:tcPr>
          <w:p w14:paraId="07249BFB">
            <w:pPr>
              <w:pStyle w:val="33"/>
              <w:rPr>
                <w:rFonts w:eastAsia="等线"/>
                <w:color w:val="auto"/>
                <w:sz w:val="20"/>
                <w:szCs w:val="20"/>
              </w:rPr>
            </w:pPr>
            <w:r>
              <w:rPr>
                <w:rFonts w:eastAsia="等线"/>
                <w:color w:val="auto"/>
                <w:sz w:val="20"/>
                <w:szCs w:val="20"/>
              </w:rPr>
              <w:t>/</w:t>
            </w:r>
          </w:p>
        </w:tc>
        <w:tc>
          <w:tcPr>
            <w:tcW w:w="993" w:type="dxa"/>
            <w:vAlign w:val="center"/>
          </w:tcPr>
          <w:p w14:paraId="22809000">
            <w:pPr>
              <w:pStyle w:val="33"/>
              <w:rPr>
                <w:rFonts w:eastAsia="等线"/>
                <w:color w:val="auto"/>
                <w:sz w:val="20"/>
                <w:szCs w:val="20"/>
              </w:rPr>
            </w:pPr>
            <w:r>
              <w:rPr>
                <w:rFonts w:eastAsia="等线"/>
                <w:color w:val="auto"/>
                <w:sz w:val="20"/>
                <w:szCs w:val="20"/>
              </w:rPr>
              <w:t>/</w:t>
            </w:r>
          </w:p>
        </w:tc>
        <w:tc>
          <w:tcPr>
            <w:tcW w:w="1055" w:type="dxa"/>
            <w:vAlign w:val="center"/>
          </w:tcPr>
          <w:p w14:paraId="39212319">
            <w:pPr>
              <w:pStyle w:val="33"/>
              <w:rPr>
                <w:rFonts w:eastAsia="等线"/>
                <w:color w:val="auto"/>
                <w:sz w:val="20"/>
                <w:szCs w:val="20"/>
              </w:rPr>
            </w:pPr>
            <w:r>
              <w:rPr>
                <w:rFonts w:eastAsia="等线"/>
                <w:color w:val="auto"/>
                <w:sz w:val="20"/>
                <w:szCs w:val="20"/>
              </w:rPr>
              <w:t>/</w:t>
            </w:r>
          </w:p>
        </w:tc>
      </w:tr>
      <w:tr w14:paraId="569BBB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67E3DFCD">
            <w:pPr>
              <w:pStyle w:val="33"/>
              <w:rPr>
                <w:color w:val="auto"/>
                <w:spacing w:val="-4"/>
              </w:rPr>
            </w:pPr>
            <w:r>
              <w:rPr>
                <w:rFonts w:hint="eastAsia"/>
                <w:color w:val="auto"/>
                <w:spacing w:val="-4"/>
              </w:rPr>
              <w:t>1#2#锅炉排水</w:t>
            </w:r>
          </w:p>
        </w:tc>
        <w:tc>
          <w:tcPr>
            <w:tcW w:w="2838" w:type="dxa"/>
            <w:vAlign w:val="center"/>
          </w:tcPr>
          <w:p w14:paraId="2C0D9709">
            <w:pPr>
              <w:pStyle w:val="33"/>
              <w:rPr>
                <w:color w:val="auto"/>
              </w:rPr>
            </w:pPr>
            <w:r>
              <w:rPr>
                <w:color w:val="auto"/>
              </w:rPr>
              <w:t>149</w:t>
            </w:r>
          </w:p>
        </w:tc>
        <w:tc>
          <w:tcPr>
            <w:tcW w:w="1561" w:type="dxa"/>
            <w:vAlign w:val="center"/>
          </w:tcPr>
          <w:p w14:paraId="20680CC3">
            <w:pPr>
              <w:pStyle w:val="33"/>
              <w:rPr>
                <w:color w:val="auto"/>
                <w:spacing w:val="-2"/>
              </w:rPr>
            </w:pPr>
            <w:r>
              <w:rPr>
                <w:color w:val="auto"/>
                <w:spacing w:val="-2"/>
              </w:rPr>
              <w:t>6-</w:t>
            </w:r>
            <w:r>
              <w:rPr>
                <w:color w:val="auto"/>
                <w:spacing w:val="-10"/>
              </w:rPr>
              <w:t>9</w:t>
            </w:r>
          </w:p>
        </w:tc>
        <w:tc>
          <w:tcPr>
            <w:tcW w:w="1420" w:type="dxa"/>
            <w:vAlign w:val="center"/>
          </w:tcPr>
          <w:p w14:paraId="52BE5C2C">
            <w:pPr>
              <w:pStyle w:val="33"/>
              <w:rPr>
                <w:color w:val="auto"/>
              </w:rPr>
            </w:pPr>
            <w:r>
              <w:rPr>
                <w:rFonts w:eastAsia="等线"/>
                <w:color w:val="auto"/>
                <w:sz w:val="20"/>
                <w:szCs w:val="20"/>
              </w:rPr>
              <w:t>3</w:t>
            </w:r>
          </w:p>
        </w:tc>
        <w:tc>
          <w:tcPr>
            <w:tcW w:w="1278" w:type="dxa"/>
            <w:vAlign w:val="center"/>
          </w:tcPr>
          <w:p w14:paraId="6BE2DAD3">
            <w:pPr>
              <w:pStyle w:val="33"/>
              <w:rPr>
                <w:color w:val="auto"/>
              </w:rPr>
            </w:pPr>
            <w:r>
              <w:rPr>
                <w:rFonts w:eastAsia="等线"/>
                <w:color w:val="auto"/>
                <w:sz w:val="20"/>
                <w:szCs w:val="20"/>
              </w:rPr>
              <w:t>15</w:t>
            </w:r>
          </w:p>
        </w:tc>
        <w:tc>
          <w:tcPr>
            <w:tcW w:w="993" w:type="dxa"/>
            <w:vAlign w:val="center"/>
          </w:tcPr>
          <w:p w14:paraId="78F1BE7E">
            <w:pPr>
              <w:pStyle w:val="33"/>
              <w:rPr>
                <w:color w:val="auto"/>
              </w:rPr>
            </w:pPr>
            <w:r>
              <w:rPr>
                <w:rFonts w:eastAsia="等线"/>
                <w:color w:val="auto"/>
                <w:sz w:val="20"/>
                <w:szCs w:val="20"/>
              </w:rPr>
              <w:t>2</w:t>
            </w:r>
          </w:p>
        </w:tc>
        <w:tc>
          <w:tcPr>
            <w:tcW w:w="851" w:type="dxa"/>
            <w:vAlign w:val="center"/>
          </w:tcPr>
          <w:p w14:paraId="6D25F310">
            <w:pPr>
              <w:pStyle w:val="33"/>
              <w:rPr>
                <w:color w:val="auto"/>
              </w:rPr>
            </w:pPr>
            <w:r>
              <w:rPr>
                <w:rFonts w:eastAsia="等线"/>
                <w:color w:val="auto"/>
                <w:sz w:val="20"/>
                <w:szCs w:val="20"/>
              </w:rPr>
              <w:t>/</w:t>
            </w:r>
          </w:p>
        </w:tc>
        <w:tc>
          <w:tcPr>
            <w:tcW w:w="993" w:type="dxa"/>
            <w:vAlign w:val="center"/>
          </w:tcPr>
          <w:p w14:paraId="63EAA06D">
            <w:pPr>
              <w:pStyle w:val="33"/>
              <w:rPr>
                <w:color w:val="auto"/>
              </w:rPr>
            </w:pPr>
            <w:r>
              <w:rPr>
                <w:rFonts w:eastAsia="等线"/>
                <w:color w:val="auto"/>
                <w:sz w:val="20"/>
                <w:szCs w:val="20"/>
              </w:rPr>
              <w:t>/</w:t>
            </w:r>
          </w:p>
        </w:tc>
        <w:tc>
          <w:tcPr>
            <w:tcW w:w="1055" w:type="dxa"/>
            <w:vAlign w:val="center"/>
          </w:tcPr>
          <w:p w14:paraId="3B1959ED">
            <w:pPr>
              <w:pStyle w:val="33"/>
              <w:rPr>
                <w:color w:val="auto"/>
              </w:rPr>
            </w:pPr>
            <w:r>
              <w:rPr>
                <w:rFonts w:eastAsia="等线"/>
                <w:color w:val="auto"/>
                <w:sz w:val="20"/>
                <w:szCs w:val="20"/>
              </w:rPr>
              <w:t>/</w:t>
            </w:r>
          </w:p>
        </w:tc>
      </w:tr>
      <w:tr w14:paraId="03B53F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7B22D6B2">
            <w:pPr>
              <w:pStyle w:val="33"/>
              <w:rPr>
                <w:color w:val="auto"/>
                <w:spacing w:val="-4"/>
              </w:rPr>
            </w:pPr>
            <w:r>
              <w:rPr>
                <w:rFonts w:hint="eastAsia"/>
                <w:color w:val="auto"/>
                <w:spacing w:val="-4"/>
              </w:rPr>
              <w:t>1#2#锅炉</w:t>
            </w:r>
            <w:r>
              <w:rPr>
                <w:rFonts w:hint="eastAsia"/>
                <w:color w:val="auto"/>
                <w:spacing w:val="-3"/>
              </w:rPr>
              <w:t>脱硫脱硝排水</w:t>
            </w:r>
          </w:p>
        </w:tc>
        <w:tc>
          <w:tcPr>
            <w:tcW w:w="2838" w:type="dxa"/>
            <w:vAlign w:val="center"/>
          </w:tcPr>
          <w:p w14:paraId="0293560A">
            <w:pPr>
              <w:pStyle w:val="33"/>
              <w:rPr>
                <w:color w:val="auto"/>
              </w:rPr>
            </w:pPr>
            <w:r>
              <w:rPr>
                <w:color w:val="auto"/>
              </w:rPr>
              <w:t>144</w:t>
            </w:r>
          </w:p>
        </w:tc>
        <w:tc>
          <w:tcPr>
            <w:tcW w:w="1561" w:type="dxa"/>
            <w:vAlign w:val="center"/>
          </w:tcPr>
          <w:p w14:paraId="69587C58">
            <w:pPr>
              <w:pStyle w:val="33"/>
              <w:rPr>
                <w:color w:val="auto"/>
                <w:spacing w:val="-2"/>
              </w:rPr>
            </w:pPr>
            <w:r>
              <w:rPr>
                <w:color w:val="auto"/>
                <w:spacing w:val="-2"/>
              </w:rPr>
              <w:t>6-</w:t>
            </w:r>
            <w:r>
              <w:rPr>
                <w:color w:val="auto"/>
                <w:spacing w:val="-10"/>
              </w:rPr>
              <w:t>9</w:t>
            </w:r>
          </w:p>
        </w:tc>
        <w:tc>
          <w:tcPr>
            <w:tcW w:w="1420" w:type="dxa"/>
            <w:vAlign w:val="center"/>
          </w:tcPr>
          <w:p w14:paraId="02A73D74">
            <w:pPr>
              <w:pStyle w:val="33"/>
              <w:rPr>
                <w:color w:val="auto"/>
              </w:rPr>
            </w:pPr>
            <w:r>
              <w:rPr>
                <w:rFonts w:eastAsia="等线"/>
                <w:color w:val="auto"/>
                <w:sz w:val="20"/>
                <w:szCs w:val="20"/>
              </w:rPr>
              <w:t>50</w:t>
            </w:r>
          </w:p>
        </w:tc>
        <w:tc>
          <w:tcPr>
            <w:tcW w:w="1278" w:type="dxa"/>
            <w:vAlign w:val="center"/>
          </w:tcPr>
          <w:p w14:paraId="64ED2A75">
            <w:pPr>
              <w:pStyle w:val="33"/>
              <w:rPr>
                <w:color w:val="auto"/>
              </w:rPr>
            </w:pPr>
            <w:r>
              <w:rPr>
                <w:rFonts w:eastAsia="等线"/>
                <w:color w:val="auto"/>
                <w:sz w:val="20"/>
                <w:szCs w:val="20"/>
              </w:rPr>
              <w:t>150</w:t>
            </w:r>
          </w:p>
        </w:tc>
        <w:tc>
          <w:tcPr>
            <w:tcW w:w="993" w:type="dxa"/>
            <w:vAlign w:val="center"/>
          </w:tcPr>
          <w:p w14:paraId="7982C7DC">
            <w:pPr>
              <w:pStyle w:val="33"/>
              <w:rPr>
                <w:color w:val="auto"/>
              </w:rPr>
            </w:pPr>
            <w:r>
              <w:rPr>
                <w:rFonts w:eastAsia="等线"/>
                <w:color w:val="auto"/>
                <w:sz w:val="20"/>
                <w:szCs w:val="20"/>
              </w:rPr>
              <w:t>1500</w:t>
            </w:r>
          </w:p>
        </w:tc>
        <w:tc>
          <w:tcPr>
            <w:tcW w:w="851" w:type="dxa"/>
            <w:vAlign w:val="center"/>
          </w:tcPr>
          <w:p w14:paraId="293A2F58">
            <w:pPr>
              <w:pStyle w:val="33"/>
              <w:rPr>
                <w:color w:val="auto"/>
              </w:rPr>
            </w:pPr>
            <w:r>
              <w:rPr>
                <w:rFonts w:eastAsia="等线"/>
                <w:color w:val="auto"/>
                <w:sz w:val="20"/>
                <w:szCs w:val="20"/>
              </w:rPr>
              <w:t>/</w:t>
            </w:r>
          </w:p>
        </w:tc>
        <w:tc>
          <w:tcPr>
            <w:tcW w:w="993" w:type="dxa"/>
            <w:vAlign w:val="center"/>
          </w:tcPr>
          <w:p w14:paraId="38371684">
            <w:pPr>
              <w:pStyle w:val="33"/>
              <w:rPr>
                <w:color w:val="auto"/>
              </w:rPr>
            </w:pPr>
            <w:r>
              <w:rPr>
                <w:rFonts w:eastAsia="等线"/>
                <w:color w:val="auto"/>
                <w:sz w:val="20"/>
                <w:szCs w:val="20"/>
              </w:rPr>
              <w:t>/</w:t>
            </w:r>
          </w:p>
        </w:tc>
        <w:tc>
          <w:tcPr>
            <w:tcW w:w="1055" w:type="dxa"/>
            <w:vAlign w:val="center"/>
          </w:tcPr>
          <w:p w14:paraId="34678DBC">
            <w:pPr>
              <w:pStyle w:val="33"/>
              <w:rPr>
                <w:color w:val="auto"/>
              </w:rPr>
            </w:pPr>
            <w:r>
              <w:rPr>
                <w:rFonts w:eastAsia="等线"/>
                <w:color w:val="auto"/>
                <w:sz w:val="20"/>
                <w:szCs w:val="20"/>
              </w:rPr>
              <w:t>/</w:t>
            </w:r>
          </w:p>
        </w:tc>
      </w:tr>
      <w:tr w14:paraId="0A83D1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5D4FAE46">
            <w:pPr>
              <w:pStyle w:val="33"/>
              <w:rPr>
                <w:color w:val="auto"/>
                <w:spacing w:val="-4"/>
              </w:rPr>
            </w:pPr>
            <w:r>
              <w:rPr>
                <w:rFonts w:hint="eastAsia"/>
                <w:color w:val="auto"/>
                <w:spacing w:val="-4"/>
              </w:rPr>
              <w:t>热电站冷却塔排水</w:t>
            </w:r>
          </w:p>
        </w:tc>
        <w:tc>
          <w:tcPr>
            <w:tcW w:w="2838" w:type="dxa"/>
            <w:vAlign w:val="center"/>
          </w:tcPr>
          <w:p w14:paraId="54DDA3F9">
            <w:pPr>
              <w:pStyle w:val="33"/>
              <w:rPr>
                <w:color w:val="auto"/>
              </w:rPr>
            </w:pPr>
            <w:r>
              <w:rPr>
                <w:color w:val="auto"/>
                <w:spacing w:val="-4"/>
              </w:rPr>
              <w:t>1076</w:t>
            </w:r>
          </w:p>
        </w:tc>
        <w:tc>
          <w:tcPr>
            <w:tcW w:w="1561" w:type="dxa"/>
            <w:vAlign w:val="center"/>
          </w:tcPr>
          <w:p w14:paraId="55E85A8D">
            <w:pPr>
              <w:pStyle w:val="33"/>
              <w:rPr>
                <w:color w:val="auto"/>
                <w:spacing w:val="-2"/>
              </w:rPr>
            </w:pPr>
            <w:r>
              <w:rPr>
                <w:color w:val="auto"/>
                <w:spacing w:val="-2"/>
              </w:rPr>
              <w:t>6-</w:t>
            </w:r>
            <w:r>
              <w:rPr>
                <w:color w:val="auto"/>
                <w:spacing w:val="-10"/>
              </w:rPr>
              <w:t>9</w:t>
            </w:r>
          </w:p>
        </w:tc>
        <w:tc>
          <w:tcPr>
            <w:tcW w:w="1420" w:type="dxa"/>
            <w:vAlign w:val="center"/>
          </w:tcPr>
          <w:p w14:paraId="4DE6BDEC">
            <w:pPr>
              <w:pStyle w:val="33"/>
              <w:rPr>
                <w:color w:val="auto"/>
              </w:rPr>
            </w:pPr>
            <w:r>
              <w:rPr>
                <w:rFonts w:eastAsia="等线"/>
                <w:color w:val="auto"/>
                <w:sz w:val="20"/>
                <w:szCs w:val="20"/>
              </w:rPr>
              <w:t>3</w:t>
            </w:r>
          </w:p>
        </w:tc>
        <w:tc>
          <w:tcPr>
            <w:tcW w:w="1278" w:type="dxa"/>
            <w:vAlign w:val="center"/>
          </w:tcPr>
          <w:p w14:paraId="2810D363">
            <w:pPr>
              <w:pStyle w:val="33"/>
              <w:rPr>
                <w:color w:val="auto"/>
              </w:rPr>
            </w:pPr>
            <w:r>
              <w:rPr>
                <w:rFonts w:eastAsia="等线"/>
                <w:color w:val="auto"/>
                <w:sz w:val="20"/>
                <w:szCs w:val="20"/>
              </w:rPr>
              <w:t>15</w:t>
            </w:r>
          </w:p>
        </w:tc>
        <w:tc>
          <w:tcPr>
            <w:tcW w:w="993" w:type="dxa"/>
            <w:vAlign w:val="center"/>
          </w:tcPr>
          <w:p w14:paraId="288A4FD6">
            <w:pPr>
              <w:pStyle w:val="33"/>
              <w:rPr>
                <w:color w:val="auto"/>
              </w:rPr>
            </w:pPr>
            <w:r>
              <w:rPr>
                <w:rFonts w:eastAsia="等线"/>
                <w:color w:val="auto"/>
                <w:sz w:val="20"/>
                <w:szCs w:val="20"/>
              </w:rPr>
              <w:t>2</w:t>
            </w:r>
          </w:p>
        </w:tc>
        <w:tc>
          <w:tcPr>
            <w:tcW w:w="851" w:type="dxa"/>
            <w:vAlign w:val="center"/>
          </w:tcPr>
          <w:p w14:paraId="5D259A89">
            <w:pPr>
              <w:pStyle w:val="33"/>
              <w:rPr>
                <w:color w:val="auto"/>
              </w:rPr>
            </w:pPr>
            <w:r>
              <w:rPr>
                <w:rFonts w:eastAsia="等线"/>
                <w:color w:val="auto"/>
                <w:sz w:val="20"/>
                <w:szCs w:val="20"/>
              </w:rPr>
              <w:t>/</w:t>
            </w:r>
          </w:p>
        </w:tc>
        <w:tc>
          <w:tcPr>
            <w:tcW w:w="993" w:type="dxa"/>
            <w:vAlign w:val="center"/>
          </w:tcPr>
          <w:p w14:paraId="06A652CA">
            <w:pPr>
              <w:pStyle w:val="33"/>
              <w:rPr>
                <w:color w:val="auto"/>
              </w:rPr>
            </w:pPr>
            <w:r>
              <w:rPr>
                <w:rFonts w:eastAsia="等线"/>
                <w:color w:val="auto"/>
                <w:sz w:val="20"/>
                <w:szCs w:val="20"/>
              </w:rPr>
              <w:t>/</w:t>
            </w:r>
          </w:p>
        </w:tc>
        <w:tc>
          <w:tcPr>
            <w:tcW w:w="1055" w:type="dxa"/>
            <w:vAlign w:val="center"/>
          </w:tcPr>
          <w:p w14:paraId="35C2BAC4">
            <w:pPr>
              <w:pStyle w:val="33"/>
              <w:rPr>
                <w:color w:val="auto"/>
              </w:rPr>
            </w:pPr>
            <w:r>
              <w:rPr>
                <w:rFonts w:eastAsia="等线"/>
                <w:color w:val="auto"/>
                <w:sz w:val="20"/>
                <w:szCs w:val="20"/>
              </w:rPr>
              <w:t>/</w:t>
            </w:r>
          </w:p>
        </w:tc>
      </w:tr>
      <w:tr w14:paraId="572126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340BBAB1">
            <w:pPr>
              <w:pStyle w:val="33"/>
              <w:rPr>
                <w:color w:val="auto"/>
              </w:rPr>
            </w:pPr>
            <w:r>
              <w:rPr>
                <w:rFonts w:hint="eastAsia"/>
                <w:color w:val="auto"/>
                <w:spacing w:val="-3"/>
              </w:rPr>
              <w:t>过氧化氢项目</w:t>
            </w:r>
          </w:p>
        </w:tc>
        <w:tc>
          <w:tcPr>
            <w:tcW w:w="2838" w:type="dxa"/>
            <w:vAlign w:val="center"/>
          </w:tcPr>
          <w:p w14:paraId="4105EB06">
            <w:pPr>
              <w:pStyle w:val="33"/>
              <w:rPr>
                <w:color w:val="auto"/>
              </w:rPr>
            </w:pPr>
            <w:r>
              <w:rPr>
                <w:color w:val="auto"/>
              </w:rPr>
              <w:t>198</w:t>
            </w:r>
          </w:p>
        </w:tc>
        <w:tc>
          <w:tcPr>
            <w:tcW w:w="1561" w:type="dxa"/>
            <w:vAlign w:val="center"/>
          </w:tcPr>
          <w:p w14:paraId="1B160D0A">
            <w:pPr>
              <w:pStyle w:val="33"/>
              <w:rPr>
                <w:color w:val="auto"/>
              </w:rPr>
            </w:pPr>
            <w:r>
              <w:rPr>
                <w:color w:val="auto"/>
                <w:spacing w:val="-2"/>
              </w:rPr>
              <w:t>6-</w:t>
            </w:r>
            <w:r>
              <w:rPr>
                <w:color w:val="auto"/>
                <w:spacing w:val="-10"/>
              </w:rPr>
              <w:t>9</w:t>
            </w:r>
          </w:p>
        </w:tc>
        <w:tc>
          <w:tcPr>
            <w:tcW w:w="1420" w:type="dxa"/>
            <w:vAlign w:val="center"/>
          </w:tcPr>
          <w:p w14:paraId="37FEF387">
            <w:pPr>
              <w:pStyle w:val="33"/>
              <w:rPr>
                <w:color w:val="auto"/>
              </w:rPr>
            </w:pPr>
            <w:r>
              <w:rPr>
                <w:rFonts w:eastAsia="等线"/>
                <w:color w:val="auto"/>
                <w:sz w:val="20"/>
                <w:szCs w:val="20"/>
              </w:rPr>
              <w:t>/</w:t>
            </w:r>
          </w:p>
        </w:tc>
        <w:tc>
          <w:tcPr>
            <w:tcW w:w="1278" w:type="dxa"/>
            <w:vAlign w:val="center"/>
          </w:tcPr>
          <w:p w14:paraId="4AD1530A">
            <w:pPr>
              <w:pStyle w:val="33"/>
              <w:rPr>
                <w:color w:val="auto"/>
              </w:rPr>
            </w:pPr>
            <w:r>
              <w:rPr>
                <w:rFonts w:eastAsia="等线"/>
                <w:color w:val="auto"/>
                <w:sz w:val="20"/>
                <w:szCs w:val="20"/>
              </w:rPr>
              <w:t>500</w:t>
            </w:r>
          </w:p>
        </w:tc>
        <w:tc>
          <w:tcPr>
            <w:tcW w:w="993" w:type="dxa"/>
            <w:vAlign w:val="center"/>
          </w:tcPr>
          <w:p w14:paraId="5B6B8E08">
            <w:pPr>
              <w:pStyle w:val="33"/>
              <w:rPr>
                <w:color w:val="auto"/>
              </w:rPr>
            </w:pPr>
            <w:r>
              <w:rPr>
                <w:rFonts w:eastAsia="等线"/>
                <w:color w:val="auto"/>
                <w:sz w:val="20"/>
                <w:szCs w:val="20"/>
              </w:rPr>
              <w:t>50</w:t>
            </w:r>
          </w:p>
        </w:tc>
        <w:tc>
          <w:tcPr>
            <w:tcW w:w="851" w:type="dxa"/>
            <w:vAlign w:val="center"/>
          </w:tcPr>
          <w:p w14:paraId="4834BC39">
            <w:pPr>
              <w:pStyle w:val="33"/>
              <w:rPr>
                <w:color w:val="auto"/>
              </w:rPr>
            </w:pPr>
            <w:r>
              <w:rPr>
                <w:rFonts w:eastAsia="等线"/>
                <w:color w:val="auto"/>
                <w:sz w:val="20"/>
                <w:szCs w:val="20"/>
              </w:rPr>
              <w:t>10</w:t>
            </w:r>
          </w:p>
        </w:tc>
        <w:tc>
          <w:tcPr>
            <w:tcW w:w="993" w:type="dxa"/>
            <w:vAlign w:val="center"/>
          </w:tcPr>
          <w:p w14:paraId="2A259F17">
            <w:pPr>
              <w:pStyle w:val="33"/>
              <w:rPr>
                <w:color w:val="auto"/>
              </w:rPr>
            </w:pPr>
            <w:r>
              <w:rPr>
                <w:rFonts w:eastAsia="等线"/>
                <w:color w:val="auto"/>
                <w:sz w:val="20"/>
                <w:szCs w:val="20"/>
              </w:rPr>
              <w:t>/</w:t>
            </w:r>
          </w:p>
        </w:tc>
        <w:tc>
          <w:tcPr>
            <w:tcW w:w="1055" w:type="dxa"/>
            <w:vAlign w:val="center"/>
          </w:tcPr>
          <w:p w14:paraId="0054FAAB">
            <w:pPr>
              <w:pStyle w:val="33"/>
              <w:rPr>
                <w:color w:val="auto"/>
              </w:rPr>
            </w:pPr>
            <w:r>
              <w:rPr>
                <w:rFonts w:eastAsia="等线"/>
                <w:color w:val="auto"/>
                <w:sz w:val="20"/>
                <w:szCs w:val="20"/>
              </w:rPr>
              <w:t>/</w:t>
            </w:r>
          </w:p>
        </w:tc>
      </w:tr>
      <w:tr w14:paraId="683E6B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2DC60F18">
            <w:pPr>
              <w:pStyle w:val="33"/>
              <w:rPr>
                <w:color w:val="auto"/>
              </w:rPr>
            </w:pPr>
            <w:r>
              <w:rPr>
                <w:rFonts w:hint="eastAsia"/>
                <w:color w:val="auto"/>
              </w:rPr>
              <w:t>丁苯乳胶装置</w:t>
            </w:r>
            <w:r>
              <w:rPr>
                <w:rFonts w:hint="eastAsia"/>
                <w:color w:val="auto"/>
                <w:spacing w:val="-2"/>
              </w:rPr>
              <w:t>（</w:t>
            </w:r>
            <w:r>
              <w:rPr>
                <w:rFonts w:hint="eastAsia"/>
                <w:color w:val="auto"/>
                <w:spacing w:val="-3"/>
              </w:rPr>
              <w:t>已批在建）</w:t>
            </w:r>
          </w:p>
        </w:tc>
        <w:tc>
          <w:tcPr>
            <w:tcW w:w="2838" w:type="dxa"/>
            <w:vAlign w:val="center"/>
          </w:tcPr>
          <w:p w14:paraId="223DCE68">
            <w:pPr>
              <w:pStyle w:val="33"/>
              <w:rPr>
                <w:color w:val="auto"/>
              </w:rPr>
            </w:pPr>
            <w:r>
              <w:rPr>
                <w:rFonts w:hint="eastAsia"/>
                <w:color w:val="auto"/>
              </w:rPr>
              <w:t>461.34</w:t>
            </w:r>
          </w:p>
        </w:tc>
        <w:tc>
          <w:tcPr>
            <w:tcW w:w="1561" w:type="dxa"/>
            <w:vAlign w:val="center"/>
          </w:tcPr>
          <w:p w14:paraId="38243895">
            <w:pPr>
              <w:pStyle w:val="33"/>
              <w:rPr>
                <w:color w:val="auto"/>
              </w:rPr>
            </w:pPr>
          </w:p>
        </w:tc>
        <w:tc>
          <w:tcPr>
            <w:tcW w:w="1420" w:type="dxa"/>
            <w:vAlign w:val="center"/>
          </w:tcPr>
          <w:p w14:paraId="609B8CEF">
            <w:pPr>
              <w:pStyle w:val="33"/>
              <w:rPr>
                <w:color w:val="auto"/>
              </w:rPr>
            </w:pPr>
            <w:r>
              <w:rPr>
                <w:rFonts w:eastAsia="等线"/>
                <w:color w:val="auto"/>
                <w:sz w:val="20"/>
                <w:szCs w:val="20"/>
              </w:rPr>
              <w:t>11</w:t>
            </w:r>
          </w:p>
        </w:tc>
        <w:tc>
          <w:tcPr>
            <w:tcW w:w="1278" w:type="dxa"/>
            <w:vAlign w:val="center"/>
          </w:tcPr>
          <w:p w14:paraId="4A7AA0BD">
            <w:pPr>
              <w:pStyle w:val="33"/>
              <w:rPr>
                <w:color w:val="auto"/>
              </w:rPr>
            </w:pPr>
            <w:r>
              <w:rPr>
                <w:rFonts w:eastAsia="等线"/>
                <w:color w:val="auto"/>
                <w:sz w:val="20"/>
                <w:szCs w:val="20"/>
              </w:rPr>
              <w:t>52</w:t>
            </w:r>
          </w:p>
        </w:tc>
        <w:tc>
          <w:tcPr>
            <w:tcW w:w="993" w:type="dxa"/>
            <w:vAlign w:val="center"/>
          </w:tcPr>
          <w:p w14:paraId="5D754C6C">
            <w:pPr>
              <w:pStyle w:val="33"/>
              <w:rPr>
                <w:color w:val="auto"/>
              </w:rPr>
            </w:pPr>
            <w:r>
              <w:rPr>
                <w:rFonts w:eastAsia="等线"/>
                <w:color w:val="auto"/>
                <w:sz w:val="20"/>
                <w:szCs w:val="20"/>
              </w:rPr>
              <w:t>6.7</w:t>
            </w:r>
          </w:p>
        </w:tc>
        <w:tc>
          <w:tcPr>
            <w:tcW w:w="851" w:type="dxa"/>
            <w:vAlign w:val="center"/>
          </w:tcPr>
          <w:p w14:paraId="7801BC4C">
            <w:pPr>
              <w:pStyle w:val="33"/>
              <w:rPr>
                <w:color w:val="auto"/>
              </w:rPr>
            </w:pPr>
            <w:r>
              <w:rPr>
                <w:rFonts w:eastAsia="等线"/>
                <w:color w:val="auto"/>
                <w:sz w:val="20"/>
                <w:szCs w:val="20"/>
              </w:rPr>
              <w:t>0.47</w:t>
            </w:r>
          </w:p>
        </w:tc>
        <w:tc>
          <w:tcPr>
            <w:tcW w:w="993" w:type="dxa"/>
            <w:vAlign w:val="center"/>
          </w:tcPr>
          <w:p w14:paraId="75A1B37B">
            <w:pPr>
              <w:pStyle w:val="33"/>
              <w:rPr>
                <w:color w:val="auto"/>
              </w:rPr>
            </w:pPr>
            <w:r>
              <w:rPr>
                <w:rFonts w:eastAsia="等线"/>
                <w:color w:val="auto"/>
                <w:sz w:val="20"/>
                <w:szCs w:val="20"/>
              </w:rPr>
              <w:t>3.6</w:t>
            </w:r>
          </w:p>
        </w:tc>
        <w:tc>
          <w:tcPr>
            <w:tcW w:w="1055" w:type="dxa"/>
            <w:vAlign w:val="center"/>
          </w:tcPr>
          <w:p w14:paraId="576F69E5">
            <w:pPr>
              <w:pStyle w:val="33"/>
              <w:rPr>
                <w:color w:val="auto"/>
              </w:rPr>
            </w:pPr>
            <w:r>
              <w:rPr>
                <w:rFonts w:eastAsia="等线"/>
                <w:color w:val="auto"/>
                <w:sz w:val="20"/>
                <w:szCs w:val="20"/>
              </w:rPr>
              <w:t>/</w:t>
            </w:r>
          </w:p>
        </w:tc>
      </w:tr>
      <w:tr w14:paraId="778717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3DBE6478">
            <w:pPr>
              <w:pStyle w:val="33"/>
              <w:rPr>
                <w:color w:val="auto"/>
              </w:rPr>
            </w:pPr>
            <w:r>
              <w:rPr>
                <w:color w:val="auto"/>
                <w:spacing w:val="-2"/>
              </w:rPr>
              <w:t>2#</w:t>
            </w:r>
            <w:r>
              <w:rPr>
                <w:rFonts w:hint="eastAsia"/>
                <w:color w:val="auto"/>
                <w:spacing w:val="-2"/>
              </w:rPr>
              <w:t>碱回收车间（</w:t>
            </w:r>
            <w:r>
              <w:rPr>
                <w:rFonts w:hint="eastAsia"/>
                <w:color w:val="auto"/>
                <w:spacing w:val="-3"/>
              </w:rPr>
              <w:t>已批在建</w:t>
            </w:r>
            <w:r>
              <w:rPr>
                <w:rFonts w:hint="eastAsia"/>
                <w:color w:val="auto"/>
                <w:spacing w:val="-2"/>
              </w:rPr>
              <w:t>）</w:t>
            </w:r>
          </w:p>
        </w:tc>
        <w:tc>
          <w:tcPr>
            <w:tcW w:w="2838" w:type="dxa"/>
            <w:vAlign w:val="center"/>
          </w:tcPr>
          <w:p w14:paraId="4C212A7B">
            <w:pPr>
              <w:pStyle w:val="33"/>
              <w:rPr>
                <w:color w:val="auto"/>
              </w:rPr>
            </w:pPr>
            <w:r>
              <w:rPr>
                <w:rFonts w:hint="eastAsia"/>
                <w:color w:val="auto"/>
                <w:spacing w:val="-4"/>
              </w:rPr>
              <w:t>5591</w:t>
            </w:r>
          </w:p>
        </w:tc>
        <w:tc>
          <w:tcPr>
            <w:tcW w:w="1561" w:type="dxa"/>
            <w:vAlign w:val="center"/>
          </w:tcPr>
          <w:p w14:paraId="2F679730">
            <w:pPr>
              <w:pStyle w:val="33"/>
              <w:rPr>
                <w:color w:val="auto"/>
              </w:rPr>
            </w:pPr>
            <w:r>
              <w:rPr>
                <w:color w:val="auto"/>
                <w:spacing w:val="-2"/>
              </w:rPr>
              <w:t>6-</w:t>
            </w:r>
            <w:r>
              <w:rPr>
                <w:color w:val="auto"/>
                <w:spacing w:val="-10"/>
              </w:rPr>
              <w:t>9</w:t>
            </w:r>
          </w:p>
        </w:tc>
        <w:tc>
          <w:tcPr>
            <w:tcW w:w="1420" w:type="dxa"/>
            <w:vAlign w:val="center"/>
          </w:tcPr>
          <w:p w14:paraId="341FD27F">
            <w:pPr>
              <w:pStyle w:val="33"/>
              <w:rPr>
                <w:color w:val="auto"/>
              </w:rPr>
            </w:pPr>
            <w:r>
              <w:rPr>
                <w:rFonts w:eastAsia="等线"/>
                <w:color w:val="auto"/>
                <w:sz w:val="20"/>
                <w:szCs w:val="20"/>
              </w:rPr>
              <w:t>1130</w:t>
            </w:r>
          </w:p>
        </w:tc>
        <w:tc>
          <w:tcPr>
            <w:tcW w:w="1278" w:type="dxa"/>
            <w:vAlign w:val="center"/>
          </w:tcPr>
          <w:p w14:paraId="43DB259B">
            <w:pPr>
              <w:pStyle w:val="33"/>
              <w:rPr>
                <w:color w:val="auto"/>
              </w:rPr>
            </w:pPr>
            <w:r>
              <w:rPr>
                <w:rFonts w:eastAsia="等线"/>
                <w:color w:val="auto"/>
                <w:sz w:val="20"/>
                <w:szCs w:val="20"/>
              </w:rPr>
              <w:t>2830</w:t>
            </w:r>
          </w:p>
        </w:tc>
        <w:tc>
          <w:tcPr>
            <w:tcW w:w="993" w:type="dxa"/>
            <w:vAlign w:val="center"/>
          </w:tcPr>
          <w:p w14:paraId="493E927C">
            <w:pPr>
              <w:pStyle w:val="33"/>
              <w:rPr>
                <w:color w:val="auto"/>
              </w:rPr>
            </w:pPr>
            <w:r>
              <w:rPr>
                <w:rFonts w:eastAsia="等线"/>
                <w:color w:val="auto"/>
                <w:sz w:val="20"/>
                <w:szCs w:val="20"/>
              </w:rPr>
              <w:t>1350</w:t>
            </w:r>
          </w:p>
        </w:tc>
        <w:tc>
          <w:tcPr>
            <w:tcW w:w="851" w:type="dxa"/>
            <w:vAlign w:val="center"/>
          </w:tcPr>
          <w:p w14:paraId="00867D76">
            <w:pPr>
              <w:pStyle w:val="33"/>
              <w:rPr>
                <w:color w:val="auto"/>
              </w:rPr>
            </w:pPr>
            <w:r>
              <w:rPr>
                <w:rFonts w:eastAsia="等线"/>
                <w:color w:val="auto"/>
                <w:sz w:val="20"/>
                <w:szCs w:val="20"/>
              </w:rPr>
              <w:t>6.42</w:t>
            </w:r>
          </w:p>
        </w:tc>
        <w:tc>
          <w:tcPr>
            <w:tcW w:w="993" w:type="dxa"/>
            <w:vAlign w:val="center"/>
          </w:tcPr>
          <w:p w14:paraId="4287C63F">
            <w:pPr>
              <w:pStyle w:val="33"/>
              <w:rPr>
                <w:color w:val="auto"/>
              </w:rPr>
            </w:pPr>
            <w:r>
              <w:rPr>
                <w:rFonts w:eastAsia="等线"/>
                <w:color w:val="auto"/>
                <w:sz w:val="20"/>
                <w:szCs w:val="20"/>
              </w:rPr>
              <w:t>8.25</w:t>
            </w:r>
          </w:p>
        </w:tc>
        <w:tc>
          <w:tcPr>
            <w:tcW w:w="1055" w:type="dxa"/>
            <w:vAlign w:val="center"/>
          </w:tcPr>
          <w:p w14:paraId="6DCD496F">
            <w:pPr>
              <w:pStyle w:val="33"/>
              <w:rPr>
                <w:color w:val="auto"/>
              </w:rPr>
            </w:pPr>
            <w:r>
              <w:rPr>
                <w:rFonts w:eastAsia="等线"/>
                <w:color w:val="auto"/>
                <w:sz w:val="20"/>
                <w:szCs w:val="20"/>
              </w:rPr>
              <w:t>0.2</w:t>
            </w:r>
          </w:p>
        </w:tc>
      </w:tr>
      <w:tr w14:paraId="05E87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14AB72E6">
            <w:pPr>
              <w:pStyle w:val="33"/>
              <w:rPr>
                <w:color w:val="auto"/>
              </w:rPr>
            </w:pPr>
            <w:r>
              <w:rPr>
                <w:rFonts w:hint="eastAsia"/>
                <w:color w:val="auto"/>
                <w:spacing w:val="-2"/>
              </w:rPr>
              <w:t>3#造纸车间（</w:t>
            </w:r>
            <w:r>
              <w:rPr>
                <w:rFonts w:hint="eastAsia"/>
                <w:color w:val="auto"/>
                <w:spacing w:val="-3"/>
              </w:rPr>
              <w:t>已批在建</w:t>
            </w:r>
            <w:r>
              <w:rPr>
                <w:rFonts w:hint="eastAsia"/>
                <w:color w:val="auto"/>
                <w:spacing w:val="-2"/>
              </w:rPr>
              <w:t>）</w:t>
            </w:r>
          </w:p>
        </w:tc>
        <w:tc>
          <w:tcPr>
            <w:tcW w:w="2838" w:type="dxa"/>
            <w:vAlign w:val="center"/>
          </w:tcPr>
          <w:p w14:paraId="10638D8A">
            <w:pPr>
              <w:pStyle w:val="33"/>
              <w:rPr>
                <w:color w:val="auto"/>
              </w:rPr>
            </w:pPr>
            <w:r>
              <w:rPr>
                <w:rFonts w:hint="eastAsia"/>
                <w:color w:val="auto"/>
                <w:spacing w:val="-4"/>
              </w:rPr>
              <w:t>19285</w:t>
            </w:r>
          </w:p>
        </w:tc>
        <w:tc>
          <w:tcPr>
            <w:tcW w:w="1561" w:type="dxa"/>
            <w:vAlign w:val="center"/>
          </w:tcPr>
          <w:p w14:paraId="5639B282">
            <w:pPr>
              <w:pStyle w:val="33"/>
              <w:rPr>
                <w:color w:val="auto"/>
              </w:rPr>
            </w:pPr>
            <w:r>
              <w:rPr>
                <w:color w:val="auto"/>
                <w:spacing w:val="-2"/>
              </w:rPr>
              <w:t>6-</w:t>
            </w:r>
            <w:r>
              <w:rPr>
                <w:color w:val="auto"/>
                <w:spacing w:val="-10"/>
              </w:rPr>
              <w:t>9</w:t>
            </w:r>
          </w:p>
        </w:tc>
        <w:tc>
          <w:tcPr>
            <w:tcW w:w="1420" w:type="dxa"/>
            <w:vAlign w:val="center"/>
          </w:tcPr>
          <w:p w14:paraId="7E821B16">
            <w:pPr>
              <w:pStyle w:val="33"/>
              <w:rPr>
                <w:color w:val="auto"/>
              </w:rPr>
            </w:pPr>
            <w:r>
              <w:rPr>
                <w:rFonts w:eastAsia="等线"/>
                <w:color w:val="auto"/>
                <w:sz w:val="20"/>
                <w:szCs w:val="20"/>
              </w:rPr>
              <w:t>1385</w:t>
            </w:r>
          </w:p>
        </w:tc>
        <w:tc>
          <w:tcPr>
            <w:tcW w:w="1278" w:type="dxa"/>
            <w:vAlign w:val="center"/>
          </w:tcPr>
          <w:p w14:paraId="6056107A">
            <w:pPr>
              <w:pStyle w:val="33"/>
              <w:rPr>
                <w:color w:val="auto"/>
              </w:rPr>
            </w:pPr>
            <w:r>
              <w:rPr>
                <w:rFonts w:eastAsia="等线"/>
                <w:color w:val="auto"/>
                <w:sz w:val="20"/>
                <w:szCs w:val="20"/>
              </w:rPr>
              <w:t>2760</w:t>
            </w:r>
          </w:p>
        </w:tc>
        <w:tc>
          <w:tcPr>
            <w:tcW w:w="993" w:type="dxa"/>
            <w:vAlign w:val="center"/>
          </w:tcPr>
          <w:p w14:paraId="60C31154">
            <w:pPr>
              <w:pStyle w:val="33"/>
              <w:rPr>
                <w:color w:val="auto"/>
              </w:rPr>
            </w:pPr>
            <w:r>
              <w:rPr>
                <w:rFonts w:eastAsia="等线"/>
                <w:color w:val="auto"/>
                <w:sz w:val="20"/>
                <w:szCs w:val="20"/>
              </w:rPr>
              <w:t>1830</w:t>
            </w:r>
          </w:p>
        </w:tc>
        <w:tc>
          <w:tcPr>
            <w:tcW w:w="851" w:type="dxa"/>
            <w:vAlign w:val="center"/>
          </w:tcPr>
          <w:p w14:paraId="367CAAC5">
            <w:pPr>
              <w:pStyle w:val="33"/>
              <w:rPr>
                <w:color w:val="auto"/>
              </w:rPr>
            </w:pPr>
            <w:r>
              <w:rPr>
                <w:rFonts w:eastAsia="等线"/>
                <w:color w:val="auto"/>
                <w:sz w:val="20"/>
                <w:szCs w:val="20"/>
              </w:rPr>
              <w:t>5.6</w:t>
            </w:r>
          </w:p>
        </w:tc>
        <w:tc>
          <w:tcPr>
            <w:tcW w:w="993" w:type="dxa"/>
            <w:vAlign w:val="center"/>
          </w:tcPr>
          <w:p w14:paraId="67B00694">
            <w:pPr>
              <w:pStyle w:val="33"/>
              <w:rPr>
                <w:color w:val="auto"/>
              </w:rPr>
            </w:pPr>
            <w:r>
              <w:rPr>
                <w:rFonts w:eastAsia="等线"/>
                <w:color w:val="auto"/>
                <w:sz w:val="20"/>
                <w:szCs w:val="20"/>
              </w:rPr>
              <w:t>10</w:t>
            </w:r>
          </w:p>
        </w:tc>
        <w:tc>
          <w:tcPr>
            <w:tcW w:w="1055" w:type="dxa"/>
            <w:vAlign w:val="center"/>
          </w:tcPr>
          <w:p w14:paraId="66F952C0">
            <w:pPr>
              <w:pStyle w:val="33"/>
              <w:rPr>
                <w:color w:val="auto"/>
              </w:rPr>
            </w:pPr>
            <w:r>
              <w:rPr>
                <w:rFonts w:eastAsia="等线"/>
                <w:color w:val="auto"/>
                <w:sz w:val="20"/>
                <w:szCs w:val="20"/>
              </w:rPr>
              <w:t>0.2</w:t>
            </w:r>
          </w:p>
        </w:tc>
      </w:tr>
      <w:tr w14:paraId="068CCC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42B6FA0B">
            <w:pPr>
              <w:pStyle w:val="33"/>
              <w:rPr>
                <w:color w:val="auto"/>
              </w:rPr>
            </w:pPr>
            <w:r>
              <w:rPr>
                <w:rFonts w:hint="eastAsia"/>
                <w:color w:val="auto"/>
                <w:spacing w:val="-4"/>
              </w:rPr>
              <w:t>2#化学水车间</w:t>
            </w:r>
            <w:r>
              <w:rPr>
                <w:rFonts w:hint="eastAsia"/>
                <w:color w:val="auto"/>
                <w:spacing w:val="-2"/>
              </w:rPr>
              <w:t>（</w:t>
            </w:r>
            <w:r>
              <w:rPr>
                <w:rFonts w:hint="eastAsia"/>
                <w:color w:val="auto"/>
                <w:spacing w:val="-3"/>
              </w:rPr>
              <w:t>已批在建）</w:t>
            </w:r>
          </w:p>
        </w:tc>
        <w:tc>
          <w:tcPr>
            <w:tcW w:w="2838" w:type="dxa"/>
            <w:vAlign w:val="center"/>
          </w:tcPr>
          <w:p w14:paraId="00A33E82">
            <w:pPr>
              <w:pStyle w:val="33"/>
              <w:rPr>
                <w:color w:val="auto"/>
              </w:rPr>
            </w:pPr>
            <w:r>
              <w:rPr>
                <w:rFonts w:hint="eastAsia"/>
                <w:color w:val="auto"/>
              </w:rPr>
              <w:t>130</w:t>
            </w:r>
          </w:p>
        </w:tc>
        <w:tc>
          <w:tcPr>
            <w:tcW w:w="1561" w:type="dxa"/>
            <w:vAlign w:val="center"/>
          </w:tcPr>
          <w:p w14:paraId="11A1B1C9">
            <w:pPr>
              <w:pStyle w:val="33"/>
              <w:rPr>
                <w:color w:val="auto"/>
              </w:rPr>
            </w:pPr>
            <w:r>
              <w:rPr>
                <w:color w:val="auto"/>
                <w:spacing w:val="-2"/>
              </w:rPr>
              <w:t>6-</w:t>
            </w:r>
            <w:r>
              <w:rPr>
                <w:color w:val="auto"/>
                <w:spacing w:val="-10"/>
              </w:rPr>
              <w:t>9</w:t>
            </w:r>
          </w:p>
        </w:tc>
        <w:tc>
          <w:tcPr>
            <w:tcW w:w="1420" w:type="dxa"/>
            <w:vAlign w:val="center"/>
          </w:tcPr>
          <w:p w14:paraId="032E141D">
            <w:pPr>
              <w:pStyle w:val="33"/>
              <w:rPr>
                <w:color w:val="auto"/>
              </w:rPr>
            </w:pPr>
            <w:r>
              <w:rPr>
                <w:rFonts w:eastAsia="等线"/>
                <w:color w:val="auto"/>
                <w:sz w:val="20"/>
                <w:szCs w:val="20"/>
              </w:rPr>
              <w:t>/</w:t>
            </w:r>
          </w:p>
        </w:tc>
        <w:tc>
          <w:tcPr>
            <w:tcW w:w="1278" w:type="dxa"/>
            <w:vAlign w:val="center"/>
          </w:tcPr>
          <w:p w14:paraId="19C63BF8">
            <w:pPr>
              <w:pStyle w:val="33"/>
              <w:rPr>
                <w:color w:val="auto"/>
              </w:rPr>
            </w:pPr>
            <w:r>
              <w:rPr>
                <w:rFonts w:eastAsia="等线"/>
                <w:color w:val="auto"/>
                <w:sz w:val="20"/>
                <w:szCs w:val="20"/>
              </w:rPr>
              <w:t>40</w:t>
            </w:r>
          </w:p>
        </w:tc>
        <w:tc>
          <w:tcPr>
            <w:tcW w:w="993" w:type="dxa"/>
            <w:vAlign w:val="center"/>
          </w:tcPr>
          <w:p w14:paraId="64F7675B">
            <w:pPr>
              <w:pStyle w:val="33"/>
              <w:rPr>
                <w:color w:val="auto"/>
              </w:rPr>
            </w:pPr>
            <w:r>
              <w:rPr>
                <w:rFonts w:eastAsia="等线"/>
                <w:color w:val="auto"/>
                <w:sz w:val="20"/>
                <w:szCs w:val="20"/>
              </w:rPr>
              <w:t>10</w:t>
            </w:r>
          </w:p>
        </w:tc>
        <w:tc>
          <w:tcPr>
            <w:tcW w:w="851" w:type="dxa"/>
            <w:vAlign w:val="center"/>
          </w:tcPr>
          <w:p w14:paraId="0245077C">
            <w:pPr>
              <w:pStyle w:val="33"/>
              <w:rPr>
                <w:color w:val="auto"/>
              </w:rPr>
            </w:pPr>
            <w:r>
              <w:rPr>
                <w:rFonts w:eastAsia="等线"/>
                <w:color w:val="auto"/>
                <w:sz w:val="20"/>
                <w:szCs w:val="20"/>
              </w:rPr>
              <w:t>/</w:t>
            </w:r>
          </w:p>
        </w:tc>
        <w:tc>
          <w:tcPr>
            <w:tcW w:w="993" w:type="dxa"/>
            <w:vAlign w:val="center"/>
          </w:tcPr>
          <w:p w14:paraId="2D3CCDC1">
            <w:pPr>
              <w:pStyle w:val="33"/>
              <w:rPr>
                <w:color w:val="auto"/>
              </w:rPr>
            </w:pPr>
            <w:r>
              <w:rPr>
                <w:rFonts w:eastAsia="等线"/>
                <w:color w:val="auto"/>
                <w:sz w:val="20"/>
                <w:szCs w:val="20"/>
              </w:rPr>
              <w:t>/</w:t>
            </w:r>
          </w:p>
        </w:tc>
        <w:tc>
          <w:tcPr>
            <w:tcW w:w="1055" w:type="dxa"/>
            <w:vAlign w:val="center"/>
          </w:tcPr>
          <w:p w14:paraId="10AE3751">
            <w:pPr>
              <w:pStyle w:val="33"/>
              <w:rPr>
                <w:color w:val="auto"/>
              </w:rPr>
            </w:pPr>
            <w:r>
              <w:rPr>
                <w:rFonts w:eastAsia="等线"/>
                <w:color w:val="auto"/>
                <w:sz w:val="20"/>
                <w:szCs w:val="20"/>
              </w:rPr>
              <w:t>/</w:t>
            </w:r>
          </w:p>
        </w:tc>
      </w:tr>
      <w:tr w14:paraId="735A9F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628E65E6">
            <w:pPr>
              <w:pStyle w:val="33"/>
              <w:rPr>
                <w:color w:val="auto"/>
              </w:rPr>
            </w:pPr>
            <w:r>
              <w:rPr>
                <w:rFonts w:hint="eastAsia"/>
                <w:color w:val="auto"/>
                <w:spacing w:val="-4"/>
              </w:rPr>
              <w:t>3#锅炉排水</w:t>
            </w:r>
            <w:r>
              <w:rPr>
                <w:rFonts w:hint="eastAsia"/>
                <w:color w:val="auto"/>
                <w:spacing w:val="-2"/>
              </w:rPr>
              <w:t>（</w:t>
            </w:r>
            <w:r>
              <w:rPr>
                <w:rFonts w:hint="eastAsia"/>
                <w:color w:val="auto"/>
                <w:spacing w:val="-3"/>
              </w:rPr>
              <w:t>已批在建）</w:t>
            </w:r>
          </w:p>
        </w:tc>
        <w:tc>
          <w:tcPr>
            <w:tcW w:w="2838" w:type="dxa"/>
            <w:vAlign w:val="center"/>
          </w:tcPr>
          <w:p w14:paraId="0BE81E1F">
            <w:pPr>
              <w:pStyle w:val="33"/>
              <w:rPr>
                <w:color w:val="auto"/>
              </w:rPr>
            </w:pPr>
            <w:r>
              <w:rPr>
                <w:rFonts w:hint="eastAsia"/>
                <w:color w:val="auto"/>
              </w:rPr>
              <w:t>74.4</w:t>
            </w:r>
          </w:p>
        </w:tc>
        <w:tc>
          <w:tcPr>
            <w:tcW w:w="1561" w:type="dxa"/>
            <w:vAlign w:val="center"/>
          </w:tcPr>
          <w:p w14:paraId="62D83E83">
            <w:pPr>
              <w:pStyle w:val="33"/>
              <w:rPr>
                <w:color w:val="auto"/>
              </w:rPr>
            </w:pPr>
            <w:r>
              <w:rPr>
                <w:color w:val="auto"/>
                <w:spacing w:val="-2"/>
              </w:rPr>
              <w:t>6-</w:t>
            </w:r>
            <w:r>
              <w:rPr>
                <w:color w:val="auto"/>
                <w:spacing w:val="-10"/>
              </w:rPr>
              <w:t>9</w:t>
            </w:r>
          </w:p>
        </w:tc>
        <w:tc>
          <w:tcPr>
            <w:tcW w:w="1420" w:type="dxa"/>
            <w:vAlign w:val="center"/>
          </w:tcPr>
          <w:p w14:paraId="1CE30AB9">
            <w:pPr>
              <w:pStyle w:val="33"/>
              <w:rPr>
                <w:color w:val="auto"/>
              </w:rPr>
            </w:pPr>
            <w:r>
              <w:rPr>
                <w:rFonts w:eastAsia="等线"/>
                <w:color w:val="auto"/>
                <w:sz w:val="20"/>
                <w:szCs w:val="20"/>
              </w:rPr>
              <w:t>3</w:t>
            </w:r>
          </w:p>
        </w:tc>
        <w:tc>
          <w:tcPr>
            <w:tcW w:w="1278" w:type="dxa"/>
            <w:vAlign w:val="center"/>
          </w:tcPr>
          <w:p w14:paraId="4D1F1A99">
            <w:pPr>
              <w:pStyle w:val="33"/>
              <w:rPr>
                <w:color w:val="auto"/>
              </w:rPr>
            </w:pPr>
            <w:r>
              <w:rPr>
                <w:rFonts w:eastAsia="等线"/>
                <w:color w:val="auto"/>
                <w:sz w:val="20"/>
                <w:szCs w:val="20"/>
              </w:rPr>
              <w:t>15</w:t>
            </w:r>
          </w:p>
        </w:tc>
        <w:tc>
          <w:tcPr>
            <w:tcW w:w="993" w:type="dxa"/>
            <w:vAlign w:val="center"/>
          </w:tcPr>
          <w:p w14:paraId="3D4C2CAF">
            <w:pPr>
              <w:pStyle w:val="33"/>
              <w:rPr>
                <w:color w:val="auto"/>
              </w:rPr>
            </w:pPr>
            <w:r>
              <w:rPr>
                <w:rFonts w:eastAsia="等线"/>
                <w:color w:val="auto"/>
                <w:sz w:val="20"/>
                <w:szCs w:val="20"/>
              </w:rPr>
              <w:t>2</w:t>
            </w:r>
          </w:p>
        </w:tc>
        <w:tc>
          <w:tcPr>
            <w:tcW w:w="851" w:type="dxa"/>
            <w:vAlign w:val="center"/>
          </w:tcPr>
          <w:p w14:paraId="2E5B0BE5">
            <w:pPr>
              <w:pStyle w:val="33"/>
              <w:rPr>
                <w:color w:val="auto"/>
              </w:rPr>
            </w:pPr>
            <w:r>
              <w:rPr>
                <w:rFonts w:eastAsia="等线"/>
                <w:color w:val="auto"/>
                <w:sz w:val="20"/>
                <w:szCs w:val="20"/>
              </w:rPr>
              <w:t>/</w:t>
            </w:r>
          </w:p>
        </w:tc>
        <w:tc>
          <w:tcPr>
            <w:tcW w:w="993" w:type="dxa"/>
            <w:vAlign w:val="center"/>
          </w:tcPr>
          <w:p w14:paraId="75E40D41">
            <w:pPr>
              <w:pStyle w:val="33"/>
              <w:rPr>
                <w:color w:val="auto"/>
              </w:rPr>
            </w:pPr>
            <w:r>
              <w:rPr>
                <w:rFonts w:eastAsia="等线"/>
                <w:color w:val="auto"/>
                <w:sz w:val="20"/>
                <w:szCs w:val="20"/>
              </w:rPr>
              <w:t>/</w:t>
            </w:r>
          </w:p>
        </w:tc>
        <w:tc>
          <w:tcPr>
            <w:tcW w:w="1055" w:type="dxa"/>
            <w:vAlign w:val="center"/>
          </w:tcPr>
          <w:p w14:paraId="48DD783D">
            <w:pPr>
              <w:pStyle w:val="33"/>
              <w:rPr>
                <w:color w:val="auto"/>
              </w:rPr>
            </w:pPr>
            <w:r>
              <w:rPr>
                <w:rFonts w:eastAsia="等线"/>
                <w:color w:val="auto"/>
                <w:sz w:val="20"/>
                <w:szCs w:val="20"/>
              </w:rPr>
              <w:t>/</w:t>
            </w:r>
          </w:p>
        </w:tc>
      </w:tr>
      <w:tr w14:paraId="31D566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769DBFA2">
            <w:pPr>
              <w:pStyle w:val="33"/>
              <w:rPr>
                <w:color w:val="auto"/>
              </w:rPr>
            </w:pPr>
            <w:r>
              <w:rPr>
                <w:rFonts w:hint="eastAsia"/>
                <w:color w:val="auto"/>
                <w:spacing w:val="-3"/>
              </w:rPr>
              <w:t>3#</w:t>
            </w:r>
            <w:r>
              <w:rPr>
                <w:rFonts w:hint="eastAsia"/>
                <w:color w:val="auto"/>
                <w:spacing w:val="-4"/>
              </w:rPr>
              <w:t>锅</w:t>
            </w:r>
            <w:r>
              <w:rPr>
                <w:rFonts w:hint="eastAsia"/>
                <w:color w:val="auto"/>
                <w:spacing w:val="-3"/>
              </w:rPr>
              <w:t>脱硫脱硝排水</w:t>
            </w:r>
            <w:r>
              <w:rPr>
                <w:rFonts w:hint="eastAsia"/>
                <w:color w:val="auto"/>
                <w:spacing w:val="-2"/>
              </w:rPr>
              <w:t>（</w:t>
            </w:r>
            <w:r>
              <w:rPr>
                <w:rFonts w:hint="eastAsia"/>
                <w:color w:val="auto"/>
                <w:spacing w:val="-3"/>
              </w:rPr>
              <w:t>已批在建）</w:t>
            </w:r>
          </w:p>
        </w:tc>
        <w:tc>
          <w:tcPr>
            <w:tcW w:w="2838" w:type="dxa"/>
            <w:vAlign w:val="center"/>
          </w:tcPr>
          <w:p w14:paraId="1CCD9D78">
            <w:pPr>
              <w:pStyle w:val="33"/>
              <w:rPr>
                <w:color w:val="auto"/>
              </w:rPr>
            </w:pPr>
            <w:r>
              <w:rPr>
                <w:rFonts w:hint="eastAsia"/>
                <w:color w:val="auto"/>
              </w:rPr>
              <w:t>72</w:t>
            </w:r>
          </w:p>
        </w:tc>
        <w:tc>
          <w:tcPr>
            <w:tcW w:w="1561" w:type="dxa"/>
            <w:vAlign w:val="center"/>
          </w:tcPr>
          <w:p w14:paraId="171EC290">
            <w:pPr>
              <w:pStyle w:val="33"/>
              <w:rPr>
                <w:color w:val="auto"/>
              </w:rPr>
            </w:pPr>
            <w:r>
              <w:rPr>
                <w:color w:val="auto"/>
                <w:spacing w:val="-2"/>
              </w:rPr>
              <w:t>6-</w:t>
            </w:r>
            <w:r>
              <w:rPr>
                <w:color w:val="auto"/>
                <w:spacing w:val="-10"/>
              </w:rPr>
              <w:t>9</w:t>
            </w:r>
          </w:p>
        </w:tc>
        <w:tc>
          <w:tcPr>
            <w:tcW w:w="1420" w:type="dxa"/>
            <w:vAlign w:val="center"/>
          </w:tcPr>
          <w:p w14:paraId="121ACA1C">
            <w:pPr>
              <w:pStyle w:val="33"/>
              <w:rPr>
                <w:color w:val="auto"/>
              </w:rPr>
            </w:pPr>
            <w:r>
              <w:rPr>
                <w:rFonts w:eastAsia="等线"/>
                <w:color w:val="auto"/>
                <w:sz w:val="20"/>
                <w:szCs w:val="20"/>
              </w:rPr>
              <w:t>50</w:t>
            </w:r>
          </w:p>
        </w:tc>
        <w:tc>
          <w:tcPr>
            <w:tcW w:w="1278" w:type="dxa"/>
            <w:vAlign w:val="center"/>
          </w:tcPr>
          <w:p w14:paraId="28C845B4">
            <w:pPr>
              <w:pStyle w:val="33"/>
              <w:rPr>
                <w:color w:val="auto"/>
              </w:rPr>
            </w:pPr>
            <w:r>
              <w:rPr>
                <w:rFonts w:eastAsia="等线"/>
                <w:color w:val="auto"/>
                <w:sz w:val="20"/>
                <w:szCs w:val="20"/>
              </w:rPr>
              <w:t>150</w:t>
            </w:r>
          </w:p>
        </w:tc>
        <w:tc>
          <w:tcPr>
            <w:tcW w:w="993" w:type="dxa"/>
            <w:vAlign w:val="center"/>
          </w:tcPr>
          <w:p w14:paraId="2626C057">
            <w:pPr>
              <w:pStyle w:val="33"/>
              <w:rPr>
                <w:color w:val="auto"/>
              </w:rPr>
            </w:pPr>
            <w:r>
              <w:rPr>
                <w:rFonts w:eastAsia="等线"/>
                <w:color w:val="auto"/>
                <w:sz w:val="20"/>
                <w:szCs w:val="20"/>
              </w:rPr>
              <w:t>1500</w:t>
            </w:r>
          </w:p>
        </w:tc>
        <w:tc>
          <w:tcPr>
            <w:tcW w:w="851" w:type="dxa"/>
            <w:vAlign w:val="center"/>
          </w:tcPr>
          <w:p w14:paraId="37AD9B0E">
            <w:pPr>
              <w:pStyle w:val="33"/>
              <w:rPr>
                <w:color w:val="auto"/>
              </w:rPr>
            </w:pPr>
            <w:r>
              <w:rPr>
                <w:rFonts w:eastAsia="等线"/>
                <w:color w:val="auto"/>
                <w:sz w:val="20"/>
                <w:szCs w:val="20"/>
              </w:rPr>
              <w:t>/</w:t>
            </w:r>
          </w:p>
        </w:tc>
        <w:tc>
          <w:tcPr>
            <w:tcW w:w="993" w:type="dxa"/>
            <w:vAlign w:val="center"/>
          </w:tcPr>
          <w:p w14:paraId="1A222C93">
            <w:pPr>
              <w:pStyle w:val="33"/>
              <w:rPr>
                <w:color w:val="auto"/>
              </w:rPr>
            </w:pPr>
            <w:r>
              <w:rPr>
                <w:rFonts w:eastAsia="等线"/>
                <w:color w:val="auto"/>
                <w:sz w:val="20"/>
                <w:szCs w:val="20"/>
              </w:rPr>
              <w:t>/</w:t>
            </w:r>
          </w:p>
        </w:tc>
        <w:tc>
          <w:tcPr>
            <w:tcW w:w="1055" w:type="dxa"/>
            <w:vAlign w:val="center"/>
          </w:tcPr>
          <w:p w14:paraId="2C14B7A1">
            <w:pPr>
              <w:pStyle w:val="33"/>
              <w:rPr>
                <w:color w:val="auto"/>
              </w:rPr>
            </w:pPr>
            <w:r>
              <w:rPr>
                <w:rFonts w:eastAsia="等线"/>
                <w:color w:val="auto"/>
                <w:sz w:val="20"/>
                <w:szCs w:val="20"/>
              </w:rPr>
              <w:t>/</w:t>
            </w:r>
          </w:p>
        </w:tc>
      </w:tr>
      <w:tr w14:paraId="12503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62BB6370">
            <w:pPr>
              <w:pStyle w:val="33"/>
              <w:rPr>
                <w:color w:val="auto"/>
              </w:rPr>
            </w:pPr>
            <w:r>
              <w:rPr>
                <w:rFonts w:hint="eastAsia"/>
                <w:color w:val="auto"/>
                <w:spacing w:val="-4"/>
              </w:rPr>
              <w:t>其他用水</w:t>
            </w:r>
          </w:p>
        </w:tc>
        <w:tc>
          <w:tcPr>
            <w:tcW w:w="2838" w:type="dxa"/>
            <w:vAlign w:val="center"/>
          </w:tcPr>
          <w:p w14:paraId="49E2B806">
            <w:pPr>
              <w:pStyle w:val="33"/>
              <w:rPr>
                <w:color w:val="auto"/>
              </w:rPr>
            </w:pPr>
            <w:r>
              <w:rPr>
                <w:color w:val="auto"/>
                <w:spacing w:val="-4"/>
              </w:rPr>
              <w:t>1316</w:t>
            </w:r>
          </w:p>
        </w:tc>
        <w:tc>
          <w:tcPr>
            <w:tcW w:w="1561" w:type="dxa"/>
            <w:vAlign w:val="center"/>
          </w:tcPr>
          <w:p w14:paraId="19BA8D15">
            <w:pPr>
              <w:pStyle w:val="33"/>
              <w:rPr>
                <w:color w:val="auto"/>
              </w:rPr>
            </w:pPr>
            <w:r>
              <w:rPr>
                <w:color w:val="auto"/>
                <w:spacing w:val="-2"/>
              </w:rPr>
              <w:t>6-</w:t>
            </w:r>
            <w:r>
              <w:rPr>
                <w:color w:val="auto"/>
                <w:spacing w:val="-10"/>
              </w:rPr>
              <w:t>9</w:t>
            </w:r>
          </w:p>
        </w:tc>
        <w:tc>
          <w:tcPr>
            <w:tcW w:w="1420" w:type="dxa"/>
            <w:vAlign w:val="center"/>
          </w:tcPr>
          <w:p w14:paraId="24C31C5F">
            <w:pPr>
              <w:pStyle w:val="33"/>
              <w:rPr>
                <w:color w:val="auto"/>
              </w:rPr>
            </w:pPr>
            <w:r>
              <w:rPr>
                <w:rFonts w:eastAsia="等线"/>
                <w:color w:val="auto"/>
                <w:sz w:val="20"/>
                <w:szCs w:val="20"/>
              </w:rPr>
              <w:t>230</w:t>
            </w:r>
          </w:p>
        </w:tc>
        <w:tc>
          <w:tcPr>
            <w:tcW w:w="1278" w:type="dxa"/>
            <w:vAlign w:val="center"/>
          </w:tcPr>
          <w:p w14:paraId="6C2435C3">
            <w:pPr>
              <w:pStyle w:val="33"/>
              <w:rPr>
                <w:color w:val="auto"/>
              </w:rPr>
            </w:pPr>
            <w:r>
              <w:rPr>
                <w:rFonts w:eastAsia="等线"/>
                <w:color w:val="auto"/>
                <w:sz w:val="20"/>
                <w:szCs w:val="20"/>
              </w:rPr>
              <w:t>650</w:t>
            </w:r>
          </w:p>
        </w:tc>
        <w:tc>
          <w:tcPr>
            <w:tcW w:w="993" w:type="dxa"/>
            <w:vAlign w:val="center"/>
          </w:tcPr>
          <w:p w14:paraId="442F5E18">
            <w:pPr>
              <w:pStyle w:val="33"/>
              <w:rPr>
                <w:color w:val="auto"/>
              </w:rPr>
            </w:pPr>
            <w:r>
              <w:rPr>
                <w:rFonts w:eastAsia="等线"/>
                <w:color w:val="auto"/>
                <w:sz w:val="20"/>
                <w:szCs w:val="20"/>
              </w:rPr>
              <w:t>550</w:t>
            </w:r>
          </w:p>
        </w:tc>
        <w:tc>
          <w:tcPr>
            <w:tcW w:w="851" w:type="dxa"/>
            <w:vAlign w:val="center"/>
          </w:tcPr>
          <w:p w14:paraId="68399A0E">
            <w:pPr>
              <w:pStyle w:val="33"/>
              <w:rPr>
                <w:color w:val="auto"/>
              </w:rPr>
            </w:pPr>
            <w:r>
              <w:rPr>
                <w:rFonts w:eastAsia="等线"/>
                <w:color w:val="auto"/>
                <w:sz w:val="20"/>
                <w:szCs w:val="20"/>
              </w:rPr>
              <w:t>/</w:t>
            </w:r>
          </w:p>
        </w:tc>
        <w:tc>
          <w:tcPr>
            <w:tcW w:w="993" w:type="dxa"/>
            <w:vAlign w:val="center"/>
          </w:tcPr>
          <w:p w14:paraId="04D7F50A">
            <w:pPr>
              <w:pStyle w:val="33"/>
              <w:rPr>
                <w:color w:val="auto"/>
              </w:rPr>
            </w:pPr>
            <w:r>
              <w:rPr>
                <w:rFonts w:eastAsia="等线"/>
                <w:color w:val="auto"/>
                <w:sz w:val="20"/>
                <w:szCs w:val="20"/>
              </w:rPr>
              <w:t>/</w:t>
            </w:r>
          </w:p>
        </w:tc>
        <w:tc>
          <w:tcPr>
            <w:tcW w:w="1055" w:type="dxa"/>
            <w:vAlign w:val="center"/>
          </w:tcPr>
          <w:p w14:paraId="6BE02DF6">
            <w:pPr>
              <w:pStyle w:val="33"/>
              <w:rPr>
                <w:color w:val="auto"/>
              </w:rPr>
            </w:pPr>
            <w:r>
              <w:rPr>
                <w:rFonts w:eastAsia="等线"/>
                <w:color w:val="auto"/>
                <w:sz w:val="20"/>
                <w:szCs w:val="20"/>
              </w:rPr>
              <w:t>/</w:t>
            </w:r>
          </w:p>
        </w:tc>
      </w:tr>
      <w:tr w14:paraId="5BFE23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29AC37D3">
            <w:pPr>
              <w:pStyle w:val="33"/>
              <w:rPr>
                <w:color w:val="auto"/>
              </w:rPr>
            </w:pPr>
            <w:r>
              <w:rPr>
                <w:rFonts w:hint="eastAsia"/>
                <w:color w:val="auto"/>
                <w:spacing w:val="-4"/>
              </w:rPr>
              <w:t>生活用水</w:t>
            </w:r>
          </w:p>
        </w:tc>
        <w:tc>
          <w:tcPr>
            <w:tcW w:w="2838" w:type="dxa"/>
            <w:vAlign w:val="center"/>
          </w:tcPr>
          <w:p w14:paraId="4EE66F85">
            <w:pPr>
              <w:pStyle w:val="33"/>
              <w:rPr>
                <w:color w:val="auto"/>
              </w:rPr>
            </w:pPr>
            <w:r>
              <w:rPr>
                <w:color w:val="auto"/>
              </w:rPr>
              <w:t>5</w:t>
            </w:r>
            <w:r>
              <w:rPr>
                <w:rFonts w:hint="eastAsia"/>
                <w:color w:val="auto"/>
              </w:rPr>
              <w:t>68</w:t>
            </w:r>
          </w:p>
        </w:tc>
        <w:tc>
          <w:tcPr>
            <w:tcW w:w="1561" w:type="dxa"/>
            <w:vAlign w:val="center"/>
          </w:tcPr>
          <w:p w14:paraId="7951214C">
            <w:pPr>
              <w:pStyle w:val="33"/>
              <w:rPr>
                <w:color w:val="auto"/>
              </w:rPr>
            </w:pPr>
            <w:r>
              <w:rPr>
                <w:color w:val="auto"/>
                <w:spacing w:val="-2"/>
              </w:rPr>
              <w:t>6-</w:t>
            </w:r>
            <w:r>
              <w:rPr>
                <w:color w:val="auto"/>
                <w:spacing w:val="-10"/>
              </w:rPr>
              <w:t>9</w:t>
            </w:r>
          </w:p>
        </w:tc>
        <w:tc>
          <w:tcPr>
            <w:tcW w:w="1420" w:type="dxa"/>
            <w:vAlign w:val="center"/>
          </w:tcPr>
          <w:p w14:paraId="38775499">
            <w:pPr>
              <w:pStyle w:val="33"/>
              <w:rPr>
                <w:color w:val="auto"/>
              </w:rPr>
            </w:pPr>
            <w:r>
              <w:rPr>
                <w:rFonts w:eastAsia="等线"/>
                <w:color w:val="auto"/>
                <w:sz w:val="20"/>
                <w:szCs w:val="20"/>
              </w:rPr>
              <w:t>200</w:t>
            </w:r>
          </w:p>
        </w:tc>
        <w:tc>
          <w:tcPr>
            <w:tcW w:w="1278" w:type="dxa"/>
            <w:vAlign w:val="center"/>
          </w:tcPr>
          <w:p w14:paraId="54F55250">
            <w:pPr>
              <w:pStyle w:val="33"/>
              <w:rPr>
                <w:color w:val="auto"/>
              </w:rPr>
            </w:pPr>
            <w:r>
              <w:rPr>
                <w:rFonts w:eastAsia="等线"/>
                <w:color w:val="auto"/>
                <w:sz w:val="20"/>
                <w:szCs w:val="20"/>
              </w:rPr>
              <w:t>400</w:t>
            </w:r>
          </w:p>
        </w:tc>
        <w:tc>
          <w:tcPr>
            <w:tcW w:w="993" w:type="dxa"/>
            <w:vAlign w:val="center"/>
          </w:tcPr>
          <w:p w14:paraId="6263B402">
            <w:pPr>
              <w:pStyle w:val="33"/>
              <w:rPr>
                <w:color w:val="auto"/>
              </w:rPr>
            </w:pPr>
            <w:r>
              <w:rPr>
                <w:rFonts w:eastAsia="等线"/>
                <w:color w:val="auto"/>
                <w:sz w:val="20"/>
                <w:szCs w:val="20"/>
              </w:rPr>
              <w:t>200</w:t>
            </w:r>
          </w:p>
        </w:tc>
        <w:tc>
          <w:tcPr>
            <w:tcW w:w="851" w:type="dxa"/>
            <w:vAlign w:val="center"/>
          </w:tcPr>
          <w:p w14:paraId="25FD8E9D">
            <w:pPr>
              <w:pStyle w:val="33"/>
              <w:rPr>
                <w:color w:val="auto"/>
              </w:rPr>
            </w:pPr>
            <w:r>
              <w:rPr>
                <w:rFonts w:eastAsia="等线"/>
                <w:color w:val="auto"/>
                <w:sz w:val="20"/>
                <w:szCs w:val="20"/>
              </w:rPr>
              <w:t>40</w:t>
            </w:r>
          </w:p>
        </w:tc>
        <w:tc>
          <w:tcPr>
            <w:tcW w:w="993" w:type="dxa"/>
            <w:vAlign w:val="center"/>
          </w:tcPr>
          <w:p w14:paraId="0B54E75E">
            <w:pPr>
              <w:pStyle w:val="33"/>
              <w:rPr>
                <w:color w:val="auto"/>
              </w:rPr>
            </w:pPr>
            <w:r>
              <w:rPr>
                <w:rFonts w:eastAsia="等线"/>
                <w:color w:val="auto"/>
                <w:sz w:val="20"/>
                <w:szCs w:val="20"/>
              </w:rPr>
              <w:t>60</w:t>
            </w:r>
          </w:p>
        </w:tc>
        <w:tc>
          <w:tcPr>
            <w:tcW w:w="1055" w:type="dxa"/>
            <w:vAlign w:val="center"/>
          </w:tcPr>
          <w:p w14:paraId="533CBBD1">
            <w:pPr>
              <w:pStyle w:val="33"/>
              <w:rPr>
                <w:color w:val="auto"/>
              </w:rPr>
            </w:pPr>
            <w:r>
              <w:rPr>
                <w:rFonts w:eastAsia="等线"/>
                <w:color w:val="auto"/>
                <w:sz w:val="20"/>
                <w:szCs w:val="20"/>
              </w:rPr>
              <w:t>5</w:t>
            </w:r>
          </w:p>
        </w:tc>
      </w:tr>
      <w:tr w14:paraId="62CA0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3FA03401">
            <w:pPr>
              <w:pStyle w:val="33"/>
              <w:rPr>
                <w:color w:val="auto"/>
              </w:rPr>
            </w:pPr>
            <w:r>
              <w:rPr>
                <w:rFonts w:hint="eastAsia"/>
                <w:color w:val="auto"/>
                <w:spacing w:val="-4"/>
              </w:rPr>
              <w:t>1#污水处理站</w:t>
            </w:r>
          </w:p>
        </w:tc>
        <w:tc>
          <w:tcPr>
            <w:tcW w:w="2838" w:type="dxa"/>
            <w:vAlign w:val="center"/>
          </w:tcPr>
          <w:p w14:paraId="7FF7D630">
            <w:pPr>
              <w:pStyle w:val="33"/>
              <w:rPr>
                <w:color w:val="auto"/>
              </w:rPr>
            </w:pPr>
            <w:r>
              <w:rPr>
                <w:color w:val="auto"/>
              </w:rPr>
              <w:t>822</w:t>
            </w:r>
          </w:p>
        </w:tc>
        <w:tc>
          <w:tcPr>
            <w:tcW w:w="1561" w:type="dxa"/>
            <w:vAlign w:val="center"/>
          </w:tcPr>
          <w:p w14:paraId="61E0E8BF">
            <w:pPr>
              <w:pStyle w:val="33"/>
              <w:rPr>
                <w:color w:val="auto"/>
              </w:rPr>
            </w:pPr>
            <w:r>
              <w:rPr>
                <w:color w:val="auto"/>
                <w:spacing w:val="-2"/>
              </w:rPr>
              <w:t>6-</w:t>
            </w:r>
            <w:r>
              <w:rPr>
                <w:color w:val="auto"/>
                <w:spacing w:val="-10"/>
              </w:rPr>
              <w:t>9</w:t>
            </w:r>
          </w:p>
        </w:tc>
        <w:tc>
          <w:tcPr>
            <w:tcW w:w="1420" w:type="dxa"/>
            <w:vAlign w:val="center"/>
          </w:tcPr>
          <w:p w14:paraId="0C4DC43A">
            <w:pPr>
              <w:pStyle w:val="33"/>
              <w:rPr>
                <w:color w:val="auto"/>
              </w:rPr>
            </w:pPr>
            <w:r>
              <w:rPr>
                <w:rFonts w:eastAsia="等线"/>
                <w:color w:val="auto"/>
                <w:sz w:val="20"/>
                <w:szCs w:val="20"/>
              </w:rPr>
              <w:t>280</w:t>
            </w:r>
          </w:p>
        </w:tc>
        <w:tc>
          <w:tcPr>
            <w:tcW w:w="1278" w:type="dxa"/>
            <w:vAlign w:val="center"/>
          </w:tcPr>
          <w:p w14:paraId="1E6D9A92">
            <w:pPr>
              <w:pStyle w:val="33"/>
              <w:rPr>
                <w:color w:val="auto"/>
              </w:rPr>
            </w:pPr>
            <w:r>
              <w:rPr>
                <w:rFonts w:eastAsia="等线"/>
                <w:color w:val="auto"/>
                <w:sz w:val="20"/>
                <w:szCs w:val="20"/>
              </w:rPr>
              <w:t>600</w:t>
            </w:r>
          </w:p>
        </w:tc>
        <w:tc>
          <w:tcPr>
            <w:tcW w:w="993" w:type="dxa"/>
            <w:vAlign w:val="center"/>
          </w:tcPr>
          <w:p w14:paraId="6DCFA109">
            <w:pPr>
              <w:pStyle w:val="33"/>
              <w:rPr>
                <w:color w:val="auto"/>
              </w:rPr>
            </w:pPr>
            <w:r>
              <w:rPr>
                <w:rFonts w:eastAsia="等线"/>
                <w:color w:val="auto"/>
                <w:sz w:val="20"/>
                <w:szCs w:val="20"/>
              </w:rPr>
              <w:t>1700</w:t>
            </w:r>
          </w:p>
        </w:tc>
        <w:tc>
          <w:tcPr>
            <w:tcW w:w="851" w:type="dxa"/>
            <w:vAlign w:val="center"/>
          </w:tcPr>
          <w:p w14:paraId="5161D9D8">
            <w:pPr>
              <w:pStyle w:val="33"/>
              <w:rPr>
                <w:color w:val="auto"/>
              </w:rPr>
            </w:pPr>
            <w:r>
              <w:rPr>
                <w:rFonts w:eastAsia="等线"/>
                <w:color w:val="auto"/>
                <w:sz w:val="20"/>
                <w:szCs w:val="20"/>
              </w:rPr>
              <w:t>/</w:t>
            </w:r>
          </w:p>
        </w:tc>
        <w:tc>
          <w:tcPr>
            <w:tcW w:w="993" w:type="dxa"/>
            <w:vAlign w:val="center"/>
          </w:tcPr>
          <w:p w14:paraId="31EF0BCF">
            <w:pPr>
              <w:pStyle w:val="33"/>
              <w:rPr>
                <w:color w:val="auto"/>
              </w:rPr>
            </w:pPr>
            <w:r>
              <w:rPr>
                <w:rFonts w:eastAsia="等线"/>
                <w:color w:val="auto"/>
                <w:sz w:val="20"/>
                <w:szCs w:val="20"/>
              </w:rPr>
              <w:t>/</w:t>
            </w:r>
          </w:p>
        </w:tc>
        <w:tc>
          <w:tcPr>
            <w:tcW w:w="1055" w:type="dxa"/>
            <w:vAlign w:val="center"/>
          </w:tcPr>
          <w:p w14:paraId="3AA4E3F5">
            <w:pPr>
              <w:pStyle w:val="33"/>
              <w:rPr>
                <w:color w:val="auto"/>
              </w:rPr>
            </w:pPr>
            <w:r>
              <w:rPr>
                <w:rFonts w:eastAsia="等线"/>
                <w:color w:val="auto"/>
                <w:sz w:val="20"/>
                <w:szCs w:val="20"/>
              </w:rPr>
              <w:t>/</w:t>
            </w:r>
          </w:p>
        </w:tc>
      </w:tr>
      <w:tr w14:paraId="1F0C26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2972" w:type="dxa"/>
            <w:vAlign w:val="center"/>
          </w:tcPr>
          <w:p w14:paraId="13BC7058">
            <w:pPr>
              <w:pStyle w:val="33"/>
              <w:rPr>
                <w:color w:val="auto"/>
                <w:spacing w:val="-4"/>
              </w:rPr>
            </w:pPr>
            <w:r>
              <w:rPr>
                <w:rFonts w:hint="eastAsia"/>
                <w:color w:val="auto"/>
                <w:spacing w:val="-4"/>
              </w:rPr>
              <w:t>2#污水处理站</w:t>
            </w:r>
          </w:p>
        </w:tc>
        <w:tc>
          <w:tcPr>
            <w:tcW w:w="2838" w:type="dxa"/>
            <w:vAlign w:val="center"/>
          </w:tcPr>
          <w:p w14:paraId="3F2E934C">
            <w:pPr>
              <w:pStyle w:val="33"/>
              <w:rPr>
                <w:color w:val="auto"/>
              </w:rPr>
            </w:pPr>
            <w:r>
              <w:rPr>
                <w:rFonts w:hint="eastAsia"/>
                <w:color w:val="auto"/>
              </w:rPr>
              <w:t>412.82</w:t>
            </w:r>
          </w:p>
        </w:tc>
        <w:tc>
          <w:tcPr>
            <w:tcW w:w="1561" w:type="dxa"/>
            <w:vAlign w:val="center"/>
          </w:tcPr>
          <w:p w14:paraId="78D58E57">
            <w:pPr>
              <w:pStyle w:val="33"/>
              <w:rPr>
                <w:color w:val="auto"/>
                <w:spacing w:val="-2"/>
              </w:rPr>
            </w:pPr>
            <w:r>
              <w:rPr>
                <w:color w:val="auto"/>
                <w:spacing w:val="-2"/>
              </w:rPr>
              <w:t>6-</w:t>
            </w:r>
            <w:r>
              <w:rPr>
                <w:color w:val="auto"/>
                <w:spacing w:val="-10"/>
              </w:rPr>
              <w:t>9</w:t>
            </w:r>
          </w:p>
        </w:tc>
        <w:tc>
          <w:tcPr>
            <w:tcW w:w="1420" w:type="dxa"/>
            <w:vAlign w:val="center"/>
          </w:tcPr>
          <w:p w14:paraId="33C2A79A">
            <w:pPr>
              <w:pStyle w:val="33"/>
              <w:rPr>
                <w:color w:val="auto"/>
              </w:rPr>
            </w:pPr>
            <w:r>
              <w:rPr>
                <w:rFonts w:eastAsia="等线"/>
                <w:color w:val="auto"/>
                <w:sz w:val="20"/>
                <w:szCs w:val="20"/>
              </w:rPr>
              <w:t>280</w:t>
            </w:r>
          </w:p>
        </w:tc>
        <w:tc>
          <w:tcPr>
            <w:tcW w:w="1278" w:type="dxa"/>
            <w:vAlign w:val="center"/>
          </w:tcPr>
          <w:p w14:paraId="4DA48C7F">
            <w:pPr>
              <w:pStyle w:val="33"/>
              <w:rPr>
                <w:color w:val="auto"/>
              </w:rPr>
            </w:pPr>
            <w:r>
              <w:rPr>
                <w:rFonts w:eastAsia="等线"/>
                <w:color w:val="auto"/>
                <w:sz w:val="20"/>
                <w:szCs w:val="20"/>
              </w:rPr>
              <w:t>600</w:t>
            </w:r>
          </w:p>
        </w:tc>
        <w:tc>
          <w:tcPr>
            <w:tcW w:w="993" w:type="dxa"/>
            <w:vAlign w:val="center"/>
          </w:tcPr>
          <w:p w14:paraId="3CAEBDE7">
            <w:pPr>
              <w:pStyle w:val="33"/>
              <w:rPr>
                <w:color w:val="auto"/>
                <w:spacing w:val="-4"/>
              </w:rPr>
            </w:pPr>
            <w:r>
              <w:rPr>
                <w:rFonts w:eastAsia="等线"/>
                <w:color w:val="auto"/>
                <w:sz w:val="20"/>
                <w:szCs w:val="20"/>
              </w:rPr>
              <w:t>1700</w:t>
            </w:r>
          </w:p>
        </w:tc>
        <w:tc>
          <w:tcPr>
            <w:tcW w:w="851" w:type="dxa"/>
            <w:vAlign w:val="center"/>
          </w:tcPr>
          <w:p w14:paraId="16B811A0">
            <w:pPr>
              <w:pStyle w:val="33"/>
              <w:rPr>
                <w:color w:val="auto"/>
              </w:rPr>
            </w:pPr>
            <w:r>
              <w:rPr>
                <w:rFonts w:eastAsia="等线"/>
                <w:color w:val="auto"/>
                <w:sz w:val="20"/>
                <w:szCs w:val="20"/>
              </w:rPr>
              <w:t>/</w:t>
            </w:r>
          </w:p>
        </w:tc>
        <w:tc>
          <w:tcPr>
            <w:tcW w:w="993" w:type="dxa"/>
            <w:vAlign w:val="center"/>
          </w:tcPr>
          <w:p w14:paraId="2E88DE46">
            <w:pPr>
              <w:pStyle w:val="33"/>
              <w:rPr>
                <w:color w:val="auto"/>
              </w:rPr>
            </w:pPr>
            <w:r>
              <w:rPr>
                <w:rFonts w:eastAsia="等线"/>
                <w:color w:val="auto"/>
                <w:sz w:val="20"/>
                <w:szCs w:val="20"/>
              </w:rPr>
              <w:t>/</w:t>
            </w:r>
          </w:p>
        </w:tc>
        <w:tc>
          <w:tcPr>
            <w:tcW w:w="1055" w:type="dxa"/>
            <w:vAlign w:val="center"/>
          </w:tcPr>
          <w:p w14:paraId="53C3F148">
            <w:pPr>
              <w:pStyle w:val="33"/>
              <w:rPr>
                <w:color w:val="auto"/>
              </w:rPr>
            </w:pPr>
            <w:r>
              <w:rPr>
                <w:rFonts w:eastAsia="等线"/>
                <w:color w:val="auto"/>
                <w:sz w:val="20"/>
                <w:szCs w:val="20"/>
              </w:rPr>
              <w:t>/</w:t>
            </w:r>
          </w:p>
        </w:tc>
      </w:tr>
      <w:tr w14:paraId="3A4C8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7C64F216">
            <w:pPr>
              <w:pStyle w:val="33"/>
              <w:rPr>
                <w:color w:val="auto"/>
              </w:rPr>
            </w:pPr>
            <w:r>
              <w:rPr>
                <w:rFonts w:hint="eastAsia"/>
                <w:color w:val="auto"/>
              </w:rPr>
              <w:t>给水处理站自用水</w:t>
            </w:r>
            <w:r>
              <w:rPr>
                <w:rFonts w:hint="eastAsia"/>
                <w:color w:val="auto"/>
                <w:spacing w:val="-2"/>
              </w:rPr>
              <w:t>（</w:t>
            </w:r>
            <w:r>
              <w:rPr>
                <w:rFonts w:hint="eastAsia"/>
                <w:color w:val="auto"/>
                <w:spacing w:val="-3"/>
              </w:rPr>
              <w:t>已批在建）</w:t>
            </w:r>
          </w:p>
        </w:tc>
        <w:tc>
          <w:tcPr>
            <w:tcW w:w="2838" w:type="dxa"/>
            <w:vAlign w:val="center"/>
          </w:tcPr>
          <w:p w14:paraId="47A821D0">
            <w:pPr>
              <w:pStyle w:val="33"/>
              <w:rPr>
                <w:color w:val="auto"/>
              </w:rPr>
            </w:pPr>
            <w:r>
              <w:rPr>
                <w:rFonts w:hint="eastAsia"/>
                <w:color w:val="auto"/>
              </w:rPr>
              <w:t>526</w:t>
            </w:r>
          </w:p>
        </w:tc>
        <w:tc>
          <w:tcPr>
            <w:tcW w:w="1561" w:type="dxa"/>
            <w:vAlign w:val="center"/>
          </w:tcPr>
          <w:p w14:paraId="18261117">
            <w:pPr>
              <w:pStyle w:val="33"/>
              <w:rPr>
                <w:color w:val="auto"/>
              </w:rPr>
            </w:pPr>
            <w:r>
              <w:rPr>
                <w:color w:val="auto"/>
                <w:spacing w:val="-2"/>
              </w:rPr>
              <w:t>6-</w:t>
            </w:r>
            <w:r>
              <w:rPr>
                <w:color w:val="auto"/>
                <w:spacing w:val="-10"/>
              </w:rPr>
              <w:t>9</w:t>
            </w:r>
          </w:p>
        </w:tc>
        <w:tc>
          <w:tcPr>
            <w:tcW w:w="1420" w:type="dxa"/>
            <w:vAlign w:val="center"/>
          </w:tcPr>
          <w:p w14:paraId="076A61BF">
            <w:pPr>
              <w:pStyle w:val="33"/>
              <w:rPr>
                <w:color w:val="auto"/>
              </w:rPr>
            </w:pPr>
            <w:r>
              <w:rPr>
                <w:rFonts w:eastAsia="等线"/>
                <w:color w:val="auto"/>
                <w:sz w:val="20"/>
                <w:szCs w:val="20"/>
              </w:rPr>
              <w:t>280</w:t>
            </w:r>
          </w:p>
        </w:tc>
        <w:tc>
          <w:tcPr>
            <w:tcW w:w="1278" w:type="dxa"/>
            <w:vAlign w:val="center"/>
          </w:tcPr>
          <w:p w14:paraId="17348D51">
            <w:pPr>
              <w:pStyle w:val="33"/>
              <w:rPr>
                <w:color w:val="auto"/>
              </w:rPr>
            </w:pPr>
            <w:r>
              <w:rPr>
                <w:rFonts w:eastAsia="等线"/>
                <w:color w:val="auto"/>
                <w:sz w:val="20"/>
                <w:szCs w:val="20"/>
              </w:rPr>
              <w:t>600</w:t>
            </w:r>
          </w:p>
        </w:tc>
        <w:tc>
          <w:tcPr>
            <w:tcW w:w="993" w:type="dxa"/>
            <w:vAlign w:val="center"/>
          </w:tcPr>
          <w:p w14:paraId="561E275A">
            <w:pPr>
              <w:pStyle w:val="33"/>
              <w:rPr>
                <w:color w:val="auto"/>
              </w:rPr>
            </w:pPr>
            <w:r>
              <w:rPr>
                <w:rFonts w:eastAsia="等线"/>
                <w:color w:val="auto"/>
                <w:sz w:val="20"/>
                <w:szCs w:val="20"/>
              </w:rPr>
              <w:t>1700</w:t>
            </w:r>
          </w:p>
        </w:tc>
        <w:tc>
          <w:tcPr>
            <w:tcW w:w="851" w:type="dxa"/>
            <w:vAlign w:val="center"/>
          </w:tcPr>
          <w:p w14:paraId="5DD89A1C">
            <w:pPr>
              <w:pStyle w:val="33"/>
              <w:rPr>
                <w:color w:val="auto"/>
              </w:rPr>
            </w:pPr>
            <w:r>
              <w:rPr>
                <w:rFonts w:eastAsia="等线"/>
                <w:color w:val="auto"/>
                <w:sz w:val="20"/>
                <w:szCs w:val="20"/>
              </w:rPr>
              <w:t>/</w:t>
            </w:r>
          </w:p>
        </w:tc>
        <w:tc>
          <w:tcPr>
            <w:tcW w:w="993" w:type="dxa"/>
            <w:vAlign w:val="center"/>
          </w:tcPr>
          <w:p w14:paraId="599D0C05">
            <w:pPr>
              <w:pStyle w:val="33"/>
              <w:rPr>
                <w:color w:val="auto"/>
              </w:rPr>
            </w:pPr>
            <w:r>
              <w:rPr>
                <w:rFonts w:eastAsia="等线"/>
                <w:color w:val="auto"/>
                <w:sz w:val="20"/>
                <w:szCs w:val="20"/>
              </w:rPr>
              <w:t>/</w:t>
            </w:r>
          </w:p>
        </w:tc>
        <w:tc>
          <w:tcPr>
            <w:tcW w:w="1055" w:type="dxa"/>
            <w:vAlign w:val="center"/>
          </w:tcPr>
          <w:p w14:paraId="78E31293">
            <w:pPr>
              <w:pStyle w:val="33"/>
              <w:rPr>
                <w:color w:val="auto"/>
              </w:rPr>
            </w:pPr>
            <w:r>
              <w:rPr>
                <w:rFonts w:eastAsia="等线"/>
                <w:color w:val="auto"/>
                <w:sz w:val="20"/>
                <w:szCs w:val="20"/>
              </w:rPr>
              <w:t>/</w:t>
            </w:r>
          </w:p>
        </w:tc>
      </w:tr>
      <w:tr w14:paraId="072778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6" w:hRule="atLeast"/>
        </w:trPr>
        <w:tc>
          <w:tcPr>
            <w:tcW w:w="2972" w:type="dxa"/>
            <w:vAlign w:val="center"/>
          </w:tcPr>
          <w:p w14:paraId="4A62E63B">
            <w:pPr>
              <w:pStyle w:val="33"/>
              <w:rPr>
                <w:color w:val="auto"/>
              </w:rPr>
            </w:pPr>
            <w:r>
              <w:rPr>
                <w:rFonts w:hint="eastAsia"/>
                <w:color w:val="auto"/>
              </w:rPr>
              <w:t>合计（t/d）</w:t>
            </w:r>
          </w:p>
        </w:tc>
        <w:tc>
          <w:tcPr>
            <w:tcW w:w="2838" w:type="dxa"/>
            <w:vAlign w:val="center"/>
          </w:tcPr>
          <w:p w14:paraId="4F272F50">
            <w:pPr>
              <w:pStyle w:val="33"/>
              <w:rPr>
                <w:color w:val="auto"/>
              </w:rPr>
            </w:pPr>
            <w:r>
              <w:rPr>
                <w:rFonts w:hint="eastAsia"/>
                <w:color w:val="auto"/>
              </w:rPr>
              <w:t>89528.31</w:t>
            </w:r>
          </w:p>
        </w:tc>
        <w:tc>
          <w:tcPr>
            <w:tcW w:w="1561" w:type="dxa"/>
            <w:vAlign w:val="center"/>
          </w:tcPr>
          <w:p w14:paraId="2D4EEDA6">
            <w:pPr>
              <w:pStyle w:val="33"/>
              <w:rPr>
                <w:color w:val="auto"/>
                <w:spacing w:val="-2"/>
              </w:rPr>
            </w:pPr>
          </w:p>
        </w:tc>
        <w:tc>
          <w:tcPr>
            <w:tcW w:w="1420" w:type="dxa"/>
            <w:vAlign w:val="center"/>
          </w:tcPr>
          <w:p w14:paraId="47FFCE20">
            <w:pPr>
              <w:pStyle w:val="33"/>
              <w:rPr>
                <w:rFonts w:eastAsia="等线"/>
                <w:color w:val="auto"/>
                <w:sz w:val="20"/>
                <w:szCs w:val="20"/>
              </w:rPr>
            </w:pPr>
            <w:r>
              <w:rPr>
                <w:rFonts w:eastAsia="等线" w:cs="Times New Roman"/>
                <w:color w:val="auto"/>
                <w:sz w:val="20"/>
                <w:szCs w:val="20"/>
              </w:rPr>
              <w:t>85.4</w:t>
            </w:r>
            <w:r>
              <w:rPr>
                <w:rFonts w:hint="eastAsia" w:eastAsia="等线" w:cs="Times New Roman"/>
                <w:color w:val="auto"/>
                <w:sz w:val="20"/>
                <w:szCs w:val="20"/>
              </w:rPr>
              <w:t>2</w:t>
            </w:r>
          </w:p>
        </w:tc>
        <w:tc>
          <w:tcPr>
            <w:tcW w:w="1278" w:type="dxa"/>
            <w:vAlign w:val="center"/>
          </w:tcPr>
          <w:p w14:paraId="3B936CC7">
            <w:pPr>
              <w:pStyle w:val="33"/>
              <w:rPr>
                <w:rFonts w:eastAsia="等线"/>
                <w:color w:val="auto"/>
                <w:sz w:val="20"/>
                <w:szCs w:val="20"/>
              </w:rPr>
            </w:pPr>
            <w:r>
              <w:rPr>
                <w:rFonts w:eastAsia="等线" w:cs="Times New Roman"/>
                <w:color w:val="auto"/>
                <w:sz w:val="20"/>
                <w:szCs w:val="20"/>
              </w:rPr>
              <w:t>192.8</w:t>
            </w:r>
            <w:r>
              <w:rPr>
                <w:rFonts w:hint="eastAsia" w:eastAsia="等线" w:cs="Times New Roman"/>
                <w:color w:val="auto"/>
                <w:sz w:val="20"/>
                <w:szCs w:val="20"/>
              </w:rPr>
              <w:t>8</w:t>
            </w:r>
          </w:p>
        </w:tc>
        <w:tc>
          <w:tcPr>
            <w:tcW w:w="993" w:type="dxa"/>
            <w:vAlign w:val="center"/>
          </w:tcPr>
          <w:p w14:paraId="21C0EF41">
            <w:pPr>
              <w:pStyle w:val="33"/>
              <w:rPr>
                <w:rFonts w:eastAsia="等线"/>
                <w:color w:val="auto"/>
                <w:sz w:val="20"/>
                <w:szCs w:val="20"/>
              </w:rPr>
            </w:pPr>
            <w:r>
              <w:rPr>
                <w:rFonts w:eastAsia="等线" w:cs="Times New Roman"/>
                <w:color w:val="auto"/>
                <w:sz w:val="20"/>
                <w:szCs w:val="20"/>
              </w:rPr>
              <w:t>122.85</w:t>
            </w:r>
          </w:p>
        </w:tc>
        <w:tc>
          <w:tcPr>
            <w:tcW w:w="851" w:type="dxa"/>
            <w:vAlign w:val="center"/>
          </w:tcPr>
          <w:p w14:paraId="01A745BE">
            <w:pPr>
              <w:pStyle w:val="33"/>
              <w:rPr>
                <w:rFonts w:eastAsia="等线"/>
                <w:color w:val="auto"/>
                <w:sz w:val="20"/>
                <w:szCs w:val="20"/>
              </w:rPr>
            </w:pPr>
            <w:r>
              <w:rPr>
                <w:rFonts w:eastAsia="等线" w:cs="Times New Roman"/>
                <w:color w:val="auto"/>
                <w:sz w:val="20"/>
                <w:szCs w:val="20"/>
              </w:rPr>
              <w:t>0.3</w:t>
            </w:r>
            <w:r>
              <w:rPr>
                <w:rFonts w:hint="eastAsia" w:eastAsia="等线" w:cs="Times New Roman"/>
                <w:color w:val="auto"/>
                <w:sz w:val="20"/>
                <w:szCs w:val="20"/>
              </w:rPr>
              <w:t>9</w:t>
            </w:r>
          </w:p>
        </w:tc>
        <w:tc>
          <w:tcPr>
            <w:tcW w:w="993" w:type="dxa"/>
            <w:vAlign w:val="center"/>
          </w:tcPr>
          <w:p w14:paraId="092B3530">
            <w:pPr>
              <w:pStyle w:val="33"/>
              <w:rPr>
                <w:rFonts w:eastAsia="等线"/>
                <w:color w:val="auto"/>
                <w:sz w:val="20"/>
                <w:szCs w:val="20"/>
              </w:rPr>
            </w:pPr>
            <w:r>
              <w:rPr>
                <w:rFonts w:eastAsia="等线" w:cs="Times New Roman"/>
                <w:color w:val="auto"/>
                <w:sz w:val="20"/>
                <w:szCs w:val="20"/>
              </w:rPr>
              <w:t>0.56</w:t>
            </w:r>
          </w:p>
        </w:tc>
        <w:tc>
          <w:tcPr>
            <w:tcW w:w="1055" w:type="dxa"/>
            <w:vAlign w:val="center"/>
          </w:tcPr>
          <w:p w14:paraId="59A41787">
            <w:pPr>
              <w:pStyle w:val="33"/>
              <w:rPr>
                <w:rFonts w:eastAsia="等线"/>
                <w:color w:val="auto"/>
                <w:sz w:val="20"/>
                <w:szCs w:val="20"/>
              </w:rPr>
            </w:pPr>
            <w:r>
              <w:rPr>
                <w:rFonts w:eastAsia="等线" w:cs="Times New Roman"/>
                <w:color w:val="auto"/>
                <w:sz w:val="20"/>
                <w:szCs w:val="20"/>
              </w:rPr>
              <w:t>0.05</w:t>
            </w:r>
            <w:r>
              <w:rPr>
                <w:rFonts w:hint="eastAsia" w:eastAsia="等线" w:cs="Times New Roman"/>
                <w:color w:val="auto"/>
                <w:sz w:val="20"/>
                <w:szCs w:val="20"/>
              </w:rPr>
              <w:t>3</w:t>
            </w:r>
          </w:p>
        </w:tc>
      </w:tr>
    </w:tbl>
    <w:p w14:paraId="76DB1219">
      <w:pPr>
        <w:ind w:firstLine="480"/>
        <w:rPr>
          <w:color w:val="auto"/>
        </w:rPr>
        <w:sectPr>
          <w:pgSz w:w="16838" w:h="11906" w:orient="landscape"/>
          <w:pgMar w:top="1418" w:right="1418" w:bottom="1418" w:left="1418" w:header="851" w:footer="992" w:gutter="0"/>
          <w:cols w:space="425" w:num="1"/>
          <w:docGrid w:type="lines" w:linePitch="326" w:charSpace="0"/>
        </w:sectPr>
      </w:pPr>
    </w:p>
    <w:p w14:paraId="492F1FD9">
      <w:pPr>
        <w:pStyle w:val="4"/>
        <w:rPr>
          <w:color w:val="auto"/>
        </w:rPr>
      </w:pPr>
      <w:bookmarkStart w:id="225" w:name="_Toc225216717"/>
      <w:r>
        <w:rPr>
          <w:color w:val="auto"/>
        </w:rPr>
        <w:t>噪声源强分析</w:t>
      </w:r>
      <w:bookmarkEnd w:id="225"/>
    </w:p>
    <w:p w14:paraId="1F8EE4E7">
      <w:pPr>
        <w:ind w:firstLine="480"/>
        <w:rPr>
          <w:rFonts w:cs="Times New Roman"/>
          <w:color w:val="auto"/>
        </w:rPr>
      </w:pPr>
      <w:r>
        <w:rPr>
          <w:rFonts w:hint="eastAsia"/>
          <w:color w:val="auto"/>
        </w:rPr>
        <w:t>本项目主要噪声源为新增造纸生产工段生产设备运行噪声、水泵、浆泵噪声。</w:t>
      </w:r>
      <w:r>
        <w:rPr>
          <w:rFonts w:cs="Times New Roman"/>
          <w:color w:val="auto"/>
        </w:rPr>
        <w:t>根据《污染源源强核算技术指南 制浆造纸》（HJ887-2018），工程噪声污染源采用类比法，其噪声级在85~</w:t>
      </w:r>
      <w:r>
        <w:rPr>
          <w:rFonts w:hint="eastAsia" w:cs="Times New Roman"/>
          <w:color w:val="auto"/>
        </w:rPr>
        <w:t>10</w:t>
      </w:r>
      <w:r>
        <w:rPr>
          <w:rFonts w:cs="Times New Roman"/>
          <w:color w:val="auto"/>
        </w:rPr>
        <w:t>8dB（A）之间</w:t>
      </w:r>
      <w:r>
        <w:rPr>
          <w:rFonts w:hint="eastAsia" w:cs="Times New Roman"/>
          <w:color w:val="auto"/>
        </w:rPr>
        <w:t>。本项目主要噪声设备源强见下表。</w:t>
      </w:r>
    </w:p>
    <w:p w14:paraId="193AFFA2">
      <w:pPr>
        <w:pStyle w:val="7"/>
        <w:rPr>
          <w:color w:val="auto"/>
        </w:rPr>
      </w:pPr>
      <w:r>
        <w:rPr>
          <w:rFonts w:hint="eastAsia"/>
          <w:color w:val="auto"/>
        </w:rPr>
        <w:t>项目新增噪声源强一览表</w:t>
      </w:r>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5"/>
        <w:gridCol w:w="1686"/>
        <w:gridCol w:w="3353"/>
        <w:gridCol w:w="984"/>
        <w:gridCol w:w="984"/>
        <w:gridCol w:w="1425"/>
      </w:tblGrid>
      <w:tr w14:paraId="498BC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4A62B07E">
            <w:pPr>
              <w:pStyle w:val="33"/>
              <w:rPr>
                <w:color w:val="auto"/>
              </w:rPr>
            </w:pPr>
            <w:r>
              <w:rPr>
                <w:rFonts w:hint="eastAsia"/>
                <w:color w:val="auto"/>
              </w:rPr>
              <w:t>序号</w:t>
            </w:r>
          </w:p>
        </w:tc>
        <w:tc>
          <w:tcPr>
            <w:tcW w:w="1686" w:type="dxa"/>
            <w:vAlign w:val="center"/>
          </w:tcPr>
          <w:p w14:paraId="4719AB8A">
            <w:pPr>
              <w:pStyle w:val="33"/>
              <w:rPr>
                <w:color w:val="auto"/>
              </w:rPr>
            </w:pPr>
            <w:r>
              <w:rPr>
                <w:rFonts w:hint="eastAsia"/>
                <w:color w:val="auto"/>
              </w:rPr>
              <w:t>构筑物名称</w:t>
            </w:r>
          </w:p>
        </w:tc>
        <w:tc>
          <w:tcPr>
            <w:tcW w:w="3353" w:type="dxa"/>
            <w:vAlign w:val="center"/>
          </w:tcPr>
          <w:p w14:paraId="3ED697D6">
            <w:pPr>
              <w:pStyle w:val="33"/>
              <w:rPr>
                <w:color w:val="auto"/>
              </w:rPr>
            </w:pPr>
            <w:r>
              <w:rPr>
                <w:rFonts w:hint="eastAsia"/>
                <w:color w:val="auto"/>
              </w:rPr>
              <w:t>设备名称</w:t>
            </w:r>
          </w:p>
        </w:tc>
        <w:tc>
          <w:tcPr>
            <w:tcW w:w="984" w:type="dxa"/>
            <w:vAlign w:val="center"/>
          </w:tcPr>
          <w:p w14:paraId="3D9497DE">
            <w:pPr>
              <w:pStyle w:val="33"/>
              <w:rPr>
                <w:color w:val="auto"/>
              </w:rPr>
            </w:pPr>
            <w:r>
              <w:rPr>
                <w:rFonts w:hint="eastAsia"/>
                <w:color w:val="auto"/>
              </w:rPr>
              <w:t>数量</w:t>
            </w:r>
          </w:p>
        </w:tc>
        <w:tc>
          <w:tcPr>
            <w:tcW w:w="984" w:type="dxa"/>
            <w:vAlign w:val="center"/>
          </w:tcPr>
          <w:p w14:paraId="4432BB98">
            <w:pPr>
              <w:pStyle w:val="33"/>
              <w:rPr>
                <w:color w:val="auto"/>
              </w:rPr>
            </w:pPr>
            <w:r>
              <w:rPr>
                <w:rFonts w:hint="eastAsia"/>
                <w:color w:val="auto"/>
              </w:rPr>
              <w:t>噪声源强</w:t>
            </w:r>
          </w:p>
        </w:tc>
        <w:tc>
          <w:tcPr>
            <w:tcW w:w="1425" w:type="dxa"/>
            <w:vAlign w:val="center"/>
          </w:tcPr>
          <w:p w14:paraId="7A8F2451">
            <w:pPr>
              <w:pStyle w:val="33"/>
              <w:rPr>
                <w:color w:val="auto"/>
              </w:rPr>
            </w:pPr>
            <w:r>
              <w:rPr>
                <w:rFonts w:hint="eastAsia"/>
                <w:color w:val="auto"/>
              </w:rPr>
              <w:t>治理措施</w:t>
            </w:r>
          </w:p>
        </w:tc>
      </w:tr>
      <w:tr w14:paraId="42409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35" w:type="dxa"/>
            <w:noWrap/>
            <w:vAlign w:val="center"/>
          </w:tcPr>
          <w:p w14:paraId="12DAED78">
            <w:pPr>
              <w:pStyle w:val="33"/>
              <w:rPr>
                <w:color w:val="auto"/>
              </w:rPr>
            </w:pPr>
            <w:r>
              <w:rPr>
                <w:rFonts w:hint="eastAsia"/>
                <w:color w:val="auto"/>
              </w:rPr>
              <w:t>1</w:t>
            </w:r>
          </w:p>
        </w:tc>
        <w:tc>
          <w:tcPr>
            <w:tcW w:w="1686" w:type="dxa"/>
            <w:vMerge w:val="restart"/>
            <w:noWrap/>
            <w:vAlign w:val="center"/>
          </w:tcPr>
          <w:p w14:paraId="73D4BD80">
            <w:pPr>
              <w:pStyle w:val="33"/>
              <w:rPr>
                <w:color w:val="auto"/>
              </w:rPr>
            </w:pPr>
            <w:r>
              <w:rPr>
                <w:color w:val="auto"/>
              </w:rPr>
              <w:t>1#白卡纸生产线</w:t>
            </w:r>
          </w:p>
        </w:tc>
        <w:tc>
          <w:tcPr>
            <w:tcW w:w="3353" w:type="dxa"/>
            <w:noWrap/>
            <w:vAlign w:val="center"/>
          </w:tcPr>
          <w:p w14:paraId="4376DE72">
            <w:pPr>
              <w:pStyle w:val="33"/>
              <w:rPr>
                <w:color w:val="auto"/>
              </w:rPr>
            </w:pPr>
            <w:r>
              <w:rPr>
                <w:rFonts w:hint="eastAsia"/>
                <w:color w:val="auto"/>
              </w:rPr>
              <w:t>前干气罩通风技改新增风机</w:t>
            </w:r>
          </w:p>
        </w:tc>
        <w:tc>
          <w:tcPr>
            <w:tcW w:w="984" w:type="dxa"/>
            <w:vAlign w:val="center"/>
          </w:tcPr>
          <w:p w14:paraId="228FF064">
            <w:pPr>
              <w:pStyle w:val="33"/>
              <w:rPr>
                <w:color w:val="auto"/>
              </w:rPr>
            </w:pPr>
            <w:r>
              <w:rPr>
                <w:rFonts w:hint="eastAsia"/>
                <w:color w:val="auto"/>
              </w:rPr>
              <w:t>2</w:t>
            </w:r>
          </w:p>
        </w:tc>
        <w:tc>
          <w:tcPr>
            <w:tcW w:w="984" w:type="dxa"/>
            <w:vAlign w:val="center"/>
          </w:tcPr>
          <w:p w14:paraId="1126BAFE">
            <w:pPr>
              <w:pStyle w:val="33"/>
              <w:rPr>
                <w:color w:val="auto"/>
              </w:rPr>
            </w:pPr>
            <w:r>
              <w:rPr>
                <w:rFonts w:hint="eastAsia"/>
                <w:color w:val="auto"/>
              </w:rPr>
              <w:t>90</w:t>
            </w:r>
          </w:p>
        </w:tc>
        <w:tc>
          <w:tcPr>
            <w:tcW w:w="1425" w:type="dxa"/>
            <w:vMerge w:val="restart"/>
            <w:vAlign w:val="center"/>
          </w:tcPr>
          <w:p w14:paraId="28A6B5E3">
            <w:pPr>
              <w:pStyle w:val="33"/>
              <w:rPr>
                <w:color w:val="auto"/>
              </w:rPr>
            </w:pPr>
            <w:r>
              <w:rPr>
                <w:color w:val="auto"/>
              </w:rPr>
              <w:t>选用低噪声设备，基础减震</w:t>
            </w:r>
          </w:p>
        </w:tc>
      </w:tr>
      <w:tr w14:paraId="63B63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4373E73C">
            <w:pPr>
              <w:pStyle w:val="33"/>
              <w:rPr>
                <w:color w:val="auto"/>
              </w:rPr>
            </w:pPr>
            <w:r>
              <w:rPr>
                <w:rFonts w:hint="eastAsia"/>
                <w:color w:val="auto"/>
              </w:rPr>
              <w:t>2</w:t>
            </w:r>
          </w:p>
        </w:tc>
        <w:tc>
          <w:tcPr>
            <w:tcW w:w="1686" w:type="dxa"/>
            <w:vMerge w:val="continue"/>
            <w:noWrap/>
            <w:vAlign w:val="center"/>
          </w:tcPr>
          <w:p w14:paraId="507AAE41">
            <w:pPr>
              <w:pStyle w:val="33"/>
              <w:rPr>
                <w:color w:val="auto"/>
              </w:rPr>
            </w:pPr>
          </w:p>
        </w:tc>
        <w:tc>
          <w:tcPr>
            <w:tcW w:w="3353" w:type="dxa"/>
            <w:noWrap/>
            <w:vAlign w:val="center"/>
          </w:tcPr>
          <w:p w14:paraId="0D7BDC11">
            <w:pPr>
              <w:pStyle w:val="33"/>
              <w:rPr>
                <w:color w:val="auto"/>
              </w:rPr>
            </w:pPr>
            <w:r>
              <w:rPr>
                <w:rFonts w:hint="eastAsia"/>
                <w:color w:val="auto"/>
              </w:rPr>
              <w:t>前干proreaLeas真空技改新增风机</w:t>
            </w:r>
          </w:p>
        </w:tc>
        <w:tc>
          <w:tcPr>
            <w:tcW w:w="984" w:type="dxa"/>
            <w:vAlign w:val="center"/>
          </w:tcPr>
          <w:p w14:paraId="32DA12BC">
            <w:pPr>
              <w:pStyle w:val="33"/>
              <w:rPr>
                <w:color w:val="auto"/>
              </w:rPr>
            </w:pPr>
            <w:r>
              <w:rPr>
                <w:rFonts w:hint="eastAsia"/>
                <w:color w:val="auto"/>
              </w:rPr>
              <w:t>2</w:t>
            </w:r>
          </w:p>
        </w:tc>
        <w:tc>
          <w:tcPr>
            <w:tcW w:w="984" w:type="dxa"/>
            <w:vAlign w:val="center"/>
          </w:tcPr>
          <w:p w14:paraId="78E443F1">
            <w:pPr>
              <w:pStyle w:val="33"/>
              <w:rPr>
                <w:color w:val="auto"/>
              </w:rPr>
            </w:pPr>
            <w:r>
              <w:rPr>
                <w:rFonts w:hint="eastAsia"/>
                <w:color w:val="auto"/>
              </w:rPr>
              <w:t>90</w:t>
            </w:r>
          </w:p>
        </w:tc>
        <w:tc>
          <w:tcPr>
            <w:tcW w:w="1425" w:type="dxa"/>
            <w:vMerge w:val="continue"/>
            <w:vAlign w:val="center"/>
          </w:tcPr>
          <w:p w14:paraId="2B7BF7D9">
            <w:pPr>
              <w:pStyle w:val="33"/>
              <w:rPr>
                <w:color w:val="auto"/>
              </w:rPr>
            </w:pPr>
          </w:p>
        </w:tc>
      </w:tr>
      <w:tr w14:paraId="02975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5FE629A1">
            <w:pPr>
              <w:pStyle w:val="33"/>
              <w:rPr>
                <w:color w:val="auto"/>
              </w:rPr>
            </w:pPr>
            <w:r>
              <w:rPr>
                <w:rFonts w:hint="eastAsia"/>
                <w:color w:val="auto"/>
              </w:rPr>
              <w:t>3</w:t>
            </w:r>
          </w:p>
        </w:tc>
        <w:tc>
          <w:tcPr>
            <w:tcW w:w="1686" w:type="dxa"/>
            <w:vMerge w:val="continue"/>
            <w:noWrap/>
            <w:vAlign w:val="center"/>
          </w:tcPr>
          <w:p w14:paraId="1BD7F668">
            <w:pPr>
              <w:pStyle w:val="33"/>
              <w:rPr>
                <w:color w:val="auto"/>
              </w:rPr>
            </w:pPr>
          </w:p>
        </w:tc>
        <w:tc>
          <w:tcPr>
            <w:tcW w:w="3353" w:type="dxa"/>
            <w:noWrap/>
            <w:vAlign w:val="center"/>
          </w:tcPr>
          <w:p w14:paraId="4714C35B">
            <w:pPr>
              <w:pStyle w:val="33"/>
              <w:rPr>
                <w:color w:val="auto"/>
              </w:rPr>
            </w:pPr>
            <w:r>
              <w:rPr>
                <w:rFonts w:hint="eastAsia"/>
                <w:color w:val="auto"/>
              </w:rPr>
              <w:t>前干燥气罩排风新增风机</w:t>
            </w:r>
          </w:p>
        </w:tc>
        <w:tc>
          <w:tcPr>
            <w:tcW w:w="984" w:type="dxa"/>
            <w:vAlign w:val="center"/>
          </w:tcPr>
          <w:p w14:paraId="5CF4DFF8">
            <w:pPr>
              <w:pStyle w:val="33"/>
              <w:rPr>
                <w:color w:val="auto"/>
              </w:rPr>
            </w:pPr>
            <w:r>
              <w:rPr>
                <w:rFonts w:hint="eastAsia"/>
                <w:color w:val="auto"/>
              </w:rPr>
              <w:t>2</w:t>
            </w:r>
          </w:p>
        </w:tc>
        <w:tc>
          <w:tcPr>
            <w:tcW w:w="984" w:type="dxa"/>
            <w:vAlign w:val="center"/>
          </w:tcPr>
          <w:p w14:paraId="7B8A6AB7">
            <w:pPr>
              <w:pStyle w:val="33"/>
              <w:rPr>
                <w:color w:val="auto"/>
              </w:rPr>
            </w:pPr>
            <w:r>
              <w:rPr>
                <w:rFonts w:hint="eastAsia"/>
                <w:color w:val="auto"/>
              </w:rPr>
              <w:t>90</w:t>
            </w:r>
          </w:p>
        </w:tc>
        <w:tc>
          <w:tcPr>
            <w:tcW w:w="1425" w:type="dxa"/>
            <w:vMerge w:val="continue"/>
            <w:vAlign w:val="center"/>
          </w:tcPr>
          <w:p w14:paraId="6489302E">
            <w:pPr>
              <w:pStyle w:val="33"/>
              <w:rPr>
                <w:color w:val="auto"/>
              </w:rPr>
            </w:pPr>
          </w:p>
        </w:tc>
      </w:tr>
      <w:tr w14:paraId="58699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01EAB6B2">
            <w:pPr>
              <w:pStyle w:val="33"/>
              <w:rPr>
                <w:color w:val="auto"/>
              </w:rPr>
            </w:pPr>
            <w:r>
              <w:rPr>
                <w:rFonts w:hint="eastAsia"/>
                <w:color w:val="auto"/>
              </w:rPr>
              <w:t>4</w:t>
            </w:r>
          </w:p>
        </w:tc>
        <w:tc>
          <w:tcPr>
            <w:tcW w:w="1686" w:type="dxa"/>
            <w:vMerge w:val="continue"/>
            <w:noWrap/>
            <w:vAlign w:val="center"/>
          </w:tcPr>
          <w:p w14:paraId="246F8BEE">
            <w:pPr>
              <w:pStyle w:val="33"/>
              <w:rPr>
                <w:color w:val="auto"/>
              </w:rPr>
            </w:pPr>
          </w:p>
        </w:tc>
        <w:tc>
          <w:tcPr>
            <w:tcW w:w="3353" w:type="dxa"/>
            <w:noWrap/>
            <w:vAlign w:val="center"/>
          </w:tcPr>
          <w:p w14:paraId="6657FBF3">
            <w:pPr>
              <w:pStyle w:val="33"/>
              <w:rPr>
                <w:color w:val="auto"/>
              </w:rPr>
            </w:pPr>
            <w:r>
              <w:rPr>
                <w:rFonts w:hint="eastAsia"/>
                <w:color w:val="auto"/>
              </w:rPr>
              <w:t>水汽分离器克负泵</w:t>
            </w:r>
          </w:p>
        </w:tc>
        <w:tc>
          <w:tcPr>
            <w:tcW w:w="984" w:type="dxa"/>
            <w:vAlign w:val="center"/>
          </w:tcPr>
          <w:p w14:paraId="599AD0A0">
            <w:pPr>
              <w:pStyle w:val="33"/>
              <w:rPr>
                <w:color w:val="auto"/>
              </w:rPr>
            </w:pPr>
            <w:r>
              <w:rPr>
                <w:rFonts w:hint="eastAsia"/>
                <w:color w:val="auto"/>
              </w:rPr>
              <w:t>2</w:t>
            </w:r>
          </w:p>
        </w:tc>
        <w:tc>
          <w:tcPr>
            <w:tcW w:w="984" w:type="dxa"/>
            <w:vAlign w:val="center"/>
          </w:tcPr>
          <w:p w14:paraId="1F34AA7D">
            <w:pPr>
              <w:pStyle w:val="33"/>
              <w:rPr>
                <w:color w:val="auto"/>
              </w:rPr>
            </w:pPr>
            <w:r>
              <w:rPr>
                <w:rFonts w:hint="eastAsia"/>
                <w:color w:val="auto"/>
              </w:rPr>
              <w:t>85</w:t>
            </w:r>
          </w:p>
        </w:tc>
        <w:tc>
          <w:tcPr>
            <w:tcW w:w="1425" w:type="dxa"/>
            <w:vMerge w:val="continue"/>
            <w:vAlign w:val="center"/>
          </w:tcPr>
          <w:p w14:paraId="1F2CE1FF">
            <w:pPr>
              <w:pStyle w:val="33"/>
              <w:rPr>
                <w:color w:val="auto"/>
              </w:rPr>
            </w:pPr>
          </w:p>
        </w:tc>
      </w:tr>
      <w:tr w14:paraId="6DAF6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64F88373">
            <w:pPr>
              <w:pStyle w:val="33"/>
              <w:rPr>
                <w:color w:val="auto"/>
              </w:rPr>
            </w:pPr>
            <w:r>
              <w:rPr>
                <w:rFonts w:hint="eastAsia"/>
                <w:color w:val="auto"/>
              </w:rPr>
              <w:t>5</w:t>
            </w:r>
          </w:p>
        </w:tc>
        <w:tc>
          <w:tcPr>
            <w:tcW w:w="1686" w:type="dxa"/>
            <w:vMerge w:val="continue"/>
            <w:noWrap/>
            <w:vAlign w:val="center"/>
          </w:tcPr>
          <w:p w14:paraId="2CD7C75E">
            <w:pPr>
              <w:pStyle w:val="33"/>
              <w:rPr>
                <w:color w:val="auto"/>
              </w:rPr>
            </w:pPr>
          </w:p>
        </w:tc>
        <w:tc>
          <w:tcPr>
            <w:tcW w:w="3353" w:type="dxa"/>
            <w:noWrap/>
            <w:vAlign w:val="center"/>
          </w:tcPr>
          <w:p w14:paraId="6D082CE6">
            <w:pPr>
              <w:pStyle w:val="33"/>
              <w:rPr>
                <w:color w:val="auto"/>
              </w:rPr>
            </w:pPr>
            <w:r>
              <w:rPr>
                <w:rFonts w:hint="eastAsia"/>
                <w:color w:val="auto"/>
              </w:rPr>
              <w:t>转子泵</w:t>
            </w:r>
          </w:p>
        </w:tc>
        <w:tc>
          <w:tcPr>
            <w:tcW w:w="984" w:type="dxa"/>
            <w:vAlign w:val="center"/>
          </w:tcPr>
          <w:p w14:paraId="79DF5003">
            <w:pPr>
              <w:pStyle w:val="33"/>
              <w:rPr>
                <w:color w:val="auto"/>
              </w:rPr>
            </w:pPr>
            <w:r>
              <w:rPr>
                <w:rFonts w:hint="eastAsia"/>
                <w:color w:val="auto"/>
              </w:rPr>
              <w:t>2</w:t>
            </w:r>
          </w:p>
        </w:tc>
        <w:tc>
          <w:tcPr>
            <w:tcW w:w="984" w:type="dxa"/>
            <w:vAlign w:val="center"/>
          </w:tcPr>
          <w:p w14:paraId="5C9D37D4">
            <w:pPr>
              <w:pStyle w:val="33"/>
              <w:rPr>
                <w:color w:val="auto"/>
              </w:rPr>
            </w:pPr>
            <w:r>
              <w:rPr>
                <w:rFonts w:hint="eastAsia"/>
                <w:color w:val="auto"/>
              </w:rPr>
              <w:t>85</w:t>
            </w:r>
          </w:p>
        </w:tc>
        <w:tc>
          <w:tcPr>
            <w:tcW w:w="1425" w:type="dxa"/>
            <w:vMerge w:val="continue"/>
            <w:vAlign w:val="center"/>
          </w:tcPr>
          <w:p w14:paraId="6C0CFB7A">
            <w:pPr>
              <w:pStyle w:val="33"/>
              <w:rPr>
                <w:color w:val="auto"/>
              </w:rPr>
            </w:pPr>
          </w:p>
        </w:tc>
      </w:tr>
      <w:tr w14:paraId="780B2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7CE4E338">
            <w:pPr>
              <w:pStyle w:val="33"/>
              <w:rPr>
                <w:color w:val="auto"/>
              </w:rPr>
            </w:pPr>
            <w:r>
              <w:rPr>
                <w:rFonts w:hint="eastAsia"/>
                <w:color w:val="auto"/>
              </w:rPr>
              <w:t>6</w:t>
            </w:r>
          </w:p>
        </w:tc>
        <w:tc>
          <w:tcPr>
            <w:tcW w:w="1686" w:type="dxa"/>
            <w:vMerge w:val="continue"/>
            <w:noWrap/>
            <w:vAlign w:val="center"/>
          </w:tcPr>
          <w:p w14:paraId="73EDE43C">
            <w:pPr>
              <w:pStyle w:val="33"/>
              <w:rPr>
                <w:color w:val="auto"/>
              </w:rPr>
            </w:pPr>
          </w:p>
        </w:tc>
        <w:tc>
          <w:tcPr>
            <w:tcW w:w="3353" w:type="dxa"/>
            <w:noWrap/>
            <w:vAlign w:val="center"/>
          </w:tcPr>
          <w:p w14:paraId="0859CC9C">
            <w:pPr>
              <w:pStyle w:val="33"/>
              <w:rPr>
                <w:color w:val="auto"/>
              </w:rPr>
            </w:pPr>
            <w:r>
              <w:rPr>
                <w:rFonts w:hint="eastAsia"/>
                <w:color w:val="auto"/>
              </w:rPr>
              <w:t>涂布螺杆泵</w:t>
            </w:r>
          </w:p>
        </w:tc>
        <w:tc>
          <w:tcPr>
            <w:tcW w:w="984" w:type="dxa"/>
            <w:vAlign w:val="center"/>
          </w:tcPr>
          <w:p w14:paraId="2BEDD608">
            <w:pPr>
              <w:pStyle w:val="33"/>
              <w:rPr>
                <w:color w:val="auto"/>
              </w:rPr>
            </w:pPr>
            <w:r>
              <w:rPr>
                <w:rFonts w:hint="eastAsia"/>
                <w:color w:val="auto"/>
              </w:rPr>
              <w:t>2</w:t>
            </w:r>
          </w:p>
        </w:tc>
        <w:tc>
          <w:tcPr>
            <w:tcW w:w="984" w:type="dxa"/>
            <w:vAlign w:val="center"/>
          </w:tcPr>
          <w:p w14:paraId="7507E061">
            <w:pPr>
              <w:pStyle w:val="33"/>
              <w:rPr>
                <w:color w:val="auto"/>
              </w:rPr>
            </w:pPr>
            <w:r>
              <w:rPr>
                <w:rFonts w:hint="eastAsia"/>
                <w:color w:val="auto"/>
              </w:rPr>
              <w:t>85</w:t>
            </w:r>
          </w:p>
        </w:tc>
        <w:tc>
          <w:tcPr>
            <w:tcW w:w="1425" w:type="dxa"/>
            <w:vMerge w:val="continue"/>
            <w:vAlign w:val="center"/>
          </w:tcPr>
          <w:p w14:paraId="450085D6">
            <w:pPr>
              <w:pStyle w:val="33"/>
              <w:rPr>
                <w:color w:val="auto"/>
              </w:rPr>
            </w:pPr>
          </w:p>
        </w:tc>
      </w:tr>
      <w:tr w14:paraId="51263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5E99869D">
            <w:pPr>
              <w:pStyle w:val="33"/>
              <w:rPr>
                <w:color w:val="auto"/>
              </w:rPr>
            </w:pPr>
            <w:r>
              <w:rPr>
                <w:rFonts w:hint="eastAsia"/>
                <w:color w:val="auto"/>
              </w:rPr>
              <w:t>7</w:t>
            </w:r>
          </w:p>
        </w:tc>
        <w:tc>
          <w:tcPr>
            <w:tcW w:w="1686" w:type="dxa"/>
            <w:vMerge w:val="continue"/>
            <w:noWrap/>
            <w:vAlign w:val="center"/>
          </w:tcPr>
          <w:p w14:paraId="42CE310B">
            <w:pPr>
              <w:pStyle w:val="33"/>
              <w:rPr>
                <w:color w:val="auto"/>
              </w:rPr>
            </w:pPr>
          </w:p>
        </w:tc>
        <w:tc>
          <w:tcPr>
            <w:tcW w:w="3353" w:type="dxa"/>
            <w:noWrap/>
            <w:vAlign w:val="center"/>
          </w:tcPr>
          <w:p w14:paraId="7B3C3E12">
            <w:pPr>
              <w:pStyle w:val="33"/>
              <w:rPr>
                <w:color w:val="auto"/>
              </w:rPr>
            </w:pPr>
            <w:r>
              <w:rPr>
                <w:rFonts w:hint="eastAsia"/>
                <w:color w:val="auto"/>
              </w:rPr>
              <w:t>振动筛</w:t>
            </w:r>
          </w:p>
        </w:tc>
        <w:tc>
          <w:tcPr>
            <w:tcW w:w="984" w:type="dxa"/>
            <w:vAlign w:val="center"/>
          </w:tcPr>
          <w:p w14:paraId="273772FE">
            <w:pPr>
              <w:pStyle w:val="33"/>
              <w:rPr>
                <w:color w:val="auto"/>
              </w:rPr>
            </w:pPr>
            <w:r>
              <w:rPr>
                <w:rFonts w:hint="eastAsia"/>
                <w:color w:val="auto"/>
              </w:rPr>
              <w:t>4</w:t>
            </w:r>
          </w:p>
        </w:tc>
        <w:tc>
          <w:tcPr>
            <w:tcW w:w="984" w:type="dxa"/>
            <w:vAlign w:val="center"/>
          </w:tcPr>
          <w:p w14:paraId="77CE8022">
            <w:pPr>
              <w:pStyle w:val="33"/>
              <w:rPr>
                <w:color w:val="auto"/>
              </w:rPr>
            </w:pPr>
            <w:r>
              <w:rPr>
                <w:rFonts w:hint="eastAsia"/>
                <w:color w:val="auto"/>
              </w:rPr>
              <w:t>90</w:t>
            </w:r>
          </w:p>
        </w:tc>
        <w:tc>
          <w:tcPr>
            <w:tcW w:w="1425" w:type="dxa"/>
            <w:vMerge w:val="continue"/>
            <w:vAlign w:val="center"/>
          </w:tcPr>
          <w:p w14:paraId="7A51858C">
            <w:pPr>
              <w:pStyle w:val="33"/>
              <w:rPr>
                <w:color w:val="auto"/>
              </w:rPr>
            </w:pPr>
          </w:p>
        </w:tc>
      </w:tr>
      <w:tr w14:paraId="18AB1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635" w:type="dxa"/>
            <w:noWrap/>
            <w:vAlign w:val="center"/>
          </w:tcPr>
          <w:p w14:paraId="42616283">
            <w:pPr>
              <w:pStyle w:val="33"/>
              <w:rPr>
                <w:color w:val="auto"/>
              </w:rPr>
            </w:pPr>
            <w:r>
              <w:rPr>
                <w:rFonts w:hint="eastAsia"/>
                <w:color w:val="auto"/>
              </w:rPr>
              <w:t>8</w:t>
            </w:r>
          </w:p>
        </w:tc>
        <w:tc>
          <w:tcPr>
            <w:tcW w:w="1686" w:type="dxa"/>
            <w:vMerge w:val="continue"/>
            <w:noWrap/>
            <w:vAlign w:val="center"/>
          </w:tcPr>
          <w:p w14:paraId="2D0D13B5">
            <w:pPr>
              <w:pStyle w:val="33"/>
              <w:rPr>
                <w:color w:val="auto"/>
              </w:rPr>
            </w:pPr>
          </w:p>
        </w:tc>
        <w:tc>
          <w:tcPr>
            <w:tcW w:w="3353" w:type="dxa"/>
            <w:noWrap/>
            <w:vAlign w:val="center"/>
          </w:tcPr>
          <w:p w14:paraId="69B9D19B">
            <w:pPr>
              <w:pStyle w:val="33"/>
              <w:rPr>
                <w:color w:val="auto"/>
              </w:rPr>
            </w:pPr>
            <w:r>
              <w:rPr>
                <w:rFonts w:hint="eastAsia"/>
                <w:color w:val="auto"/>
              </w:rPr>
              <w:t>表胶上下辊分开供料泵</w:t>
            </w:r>
          </w:p>
        </w:tc>
        <w:tc>
          <w:tcPr>
            <w:tcW w:w="984" w:type="dxa"/>
            <w:vAlign w:val="center"/>
          </w:tcPr>
          <w:p w14:paraId="7D40B8AE">
            <w:pPr>
              <w:pStyle w:val="33"/>
              <w:rPr>
                <w:color w:val="auto"/>
              </w:rPr>
            </w:pPr>
            <w:r>
              <w:rPr>
                <w:rFonts w:hint="eastAsia"/>
                <w:color w:val="auto"/>
              </w:rPr>
              <w:t>1</w:t>
            </w:r>
          </w:p>
        </w:tc>
        <w:tc>
          <w:tcPr>
            <w:tcW w:w="984" w:type="dxa"/>
            <w:vAlign w:val="center"/>
          </w:tcPr>
          <w:p w14:paraId="5F97B0D3">
            <w:pPr>
              <w:pStyle w:val="33"/>
              <w:rPr>
                <w:color w:val="auto"/>
              </w:rPr>
            </w:pPr>
            <w:r>
              <w:rPr>
                <w:rFonts w:hint="eastAsia"/>
                <w:color w:val="auto"/>
              </w:rPr>
              <w:t>85</w:t>
            </w:r>
          </w:p>
        </w:tc>
        <w:tc>
          <w:tcPr>
            <w:tcW w:w="1425" w:type="dxa"/>
            <w:vMerge w:val="continue"/>
            <w:vAlign w:val="center"/>
          </w:tcPr>
          <w:p w14:paraId="6DD61667">
            <w:pPr>
              <w:pStyle w:val="33"/>
              <w:rPr>
                <w:color w:val="auto"/>
              </w:rPr>
            </w:pPr>
          </w:p>
        </w:tc>
      </w:tr>
      <w:tr w14:paraId="6ECC3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75FB6215">
            <w:pPr>
              <w:pStyle w:val="33"/>
              <w:rPr>
                <w:color w:val="auto"/>
              </w:rPr>
            </w:pPr>
            <w:r>
              <w:rPr>
                <w:rFonts w:hint="eastAsia"/>
                <w:color w:val="auto"/>
              </w:rPr>
              <w:t>9</w:t>
            </w:r>
          </w:p>
        </w:tc>
        <w:tc>
          <w:tcPr>
            <w:tcW w:w="1686" w:type="dxa"/>
            <w:noWrap/>
            <w:vAlign w:val="center"/>
          </w:tcPr>
          <w:p w14:paraId="47EEB604">
            <w:pPr>
              <w:pStyle w:val="33"/>
              <w:rPr>
                <w:color w:val="auto"/>
              </w:rPr>
            </w:pPr>
            <w:r>
              <w:rPr>
                <w:rFonts w:hint="eastAsia"/>
                <w:color w:val="auto"/>
              </w:rPr>
              <w:t>2#</w:t>
            </w:r>
            <w:r>
              <w:rPr>
                <w:color w:val="auto"/>
              </w:rPr>
              <w:t>白卡纸生产线</w:t>
            </w:r>
          </w:p>
        </w:tc>
        <w:tc>
          <w:tcPr>
            <w:tcW w:w="3353" w:type="dxa"/>
            <w:noWrap/>
            <w:vAlign w:val="center"/>
          </w:tcPr>
          <w:p w14:paraId="2BC990FE">
            <w:pPr>
              <w:pStyle w:val="33"/>
              <w:rPr>
                <w:color w:val="auto"/>
              </w:rPr>
            </w:pPr>
            <w:r>
              <w:rPr>
                <w:rFonts w:hint="eastAsia"/>
                <w:color w:val="auto"/>
              </w:rPr>
              <w:t>螺杆泵</w:t>
            </w:r>
          </w:p>
        </w:tc>
        <w:tc>
          <w:tcPr>
            <w:tcW w:w="984" w:type="dxa"/>
            <w:vAlign w:val="center"/>
          </w:tcPr>
          <w:p w14:paraId="1130A6D2">
            <w:pPr>
              <w:pStyle w:val="33"/>
              <w:rPr>
                <w:color w:val="auto"/>
              </w:rPr>
            </w:pPr>
            <w:r>
              <w:rPr>
                <w:rFonts w:hint="eastAsia"/>
                <w:color w:val="auto"/>
              </w:rPr>
              <w:t>3</w:t>
            </w:r>
          </w:p>
        </w:tc>
        <w:tc>
          <w:tcPr>
            <w:tcW w:w="984" w:type="dxa"/>
            <w:vAlign w:val="center"/>
          </w:tcPr>
          <w:p w14:paraId="332A22B5">
            <w:pPr>
              <w:pStyle w:val="33"/>
              <w:rPr>
                <w:color w:val="auto"/>
              </w:rPr>
            </w:pPr>
            <w:r>
              <w:rPr>
                <w:rFonts w:hint="eastAsia"/>
                <w:color w:val="auto"/>
              </w:rPr>
              <w:t>85</w:t>
            </w:r>
          </w:p>
        </w:tc>
        <w:tc>
          <w:tcPr>
            <w:tcW w:w="1425" w:type="dxa"/>
            <w:vMerge w:val="continue"/>
            <w:vAlign w:val="center"/>
          </w:tcPr>
          <w:p w14:paraId="78B3C0C8">
            <w:pPr>
              <w:pStyle w:val="33"/>
              <w:rPr>
                <w:color w:val="auto"/>
              </w:rPr>
            </w:pPr>
          </w:p>
        </w:tc>
      </w:tr>
      <w:tr w14:paraId="0651E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2C375833">
            <w:pPr>
              <w:pStyle w:val="33"/>
              <w:rPr>
                <w:color w:val="auto"/>
              </w:rPr>
            </w:pPr>
            <w:r>
              <w:rPr>
                <w:rFonts w:hint="eastAsia"/>
                <w:color w:val="auto"/>
              </w:rPr>
              <w:t>10</w:t>
            </w:r>
          </w:p>
        </w:tc>
        <w:tc>
          <w:tcPr>
            <w:tcW w:w="1686" w:type="dxa"/>
            <w:vMerge w:val="restart"/>
            <w:noWrap/>
            <w:vAlign w:val="center"/>
          </w:tcPr>
          <w:p w14:paraId="623F6954">
            <w:pPr>
              <w:pStyle w:val="33"/>
              <w:rPr>
                <w:color w:val="auto"/>
              </w:rPr>
            </w:pPr>
            <w:r>
              <w:rPr>
                <w:rFonts w:hint="eastAsia"/>
                <w:color w:val="auto"/>
              </w:rPr>
              <w:t>整理车间</w:t>
            </w:r>
          </w:p>
        </w:tc>
        <w:tc>
          <w:tcPr>
            <w:tcW w:w="3353" w:type="dxa"/>
            <w:noWrap/>
            <w:vAlign w:val="center"/>
          </w:tcPr>
          <w:p w14:paraId="35B89C53">
            <w:pPr>
              <w:pStyle w:val="33"/>
              <w:rPr>
                <w:color w:val="auto"/>
              </w:rPr>
            </w:pPr>
            <w:r>
              <w:rPr>
                <w:rFonts w:hint="eastAsia"/>
                <w:color w:val="auto"/>
              </w:rPr>
              <w:t>卷筒包装机</w:t>
            </w:r>
          </w:p>
        </w:tc>
        <w:tc>
          <w:tcPr>
            <w:tcW w:w="984" w:type="dxa"/>
            <w:vAlign w:val="center"/>
          </w:tcPr>
          <w:p w14:paraId="2E2A8E54">
            <w:pPr>
              <w:pStyle w:val="33"/>
              <w:rPr>
                <w:color w:val="auto"/>
              </w:rPr>
            </w:pPr>
            <w:r>
              <w:rPr>
                <w:rFonts w:hint="eastAsia"/>
                <w:color w:val="auto"/>
              </w:rPr>
              <w:t>1</w:t>
            </w:r>
          </w:p>
        </w:tc>
        <w:tc>
          <w:tcPr>
            <w:tcW w:w="984" w:type="dxa"/>
            <w:vAlign w:val="center"/>
          </w:tcPr>
          <w:p w14:paraId="5954285D">
            <w:pPr>
              <w:pStyle w:val="33"/>
              <w:rPr>
                <w:color w:val="auto"/>
              </w:rPr>
            </w:pPr>
            <w:r>
              <w:rPr>
                <w:rFonts w:hint="eastAsia"/>
                <w:color w:val="auto"/>
              </w:rPr>
              <w:t>70</w:t>
            </w:r>
          </w:p>
        </w:tc>
        <w:tc>
          <w:tcPr>
            <w:tcW w:w="1425" w:type="dxa"/>
            <w:vMerge w:val="continue"/>
            <w:vAlign w:val="center"/>
          </w:tcPr>
          <w:p w14:paraId="4B4148E9">
            <w:pPr>
              <w:pStyle w:val="33"/>
              <w:rPr>
                <w:color w:val="auto"/>
              </w:rPr>
            </w:pPr>
          </w:p>
        </w:tc>
      </w:tr>
      <w:tr w14:paraId="12ED5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0F7F7828">
            <w:pPr>
              <w:pStyle w:val="33"/>
              <w:rPr>
                <w:color w:val="auto"/>
              </w:rPr>
            </w:pPr>
            <w:r>
              <w:rPr>
                <w:rFonts w:hint="eastAsia"/>
                <w:color w:val="auto"/>
              </w:rPr>
              <w:t>11</w:t>
            </w:r>
          </w:p>
        </w:tc>
        <w:tc>
          <w:tcPr>
            <w:tcW w:w="1686" w:type="dxa"/>
            <w:vMerge w:val="continue"/>
            <w:noWrap/>
            <w:vAlign w:val="center"/>
          </w:tcPr>
          <w:p w14:paraId="2831613D">
            <w:pPr>
              <w:pStyle w:val="33"/>
              <w:rPr>
                <w:color w:val="auto"/>
              </w:rPr>
            </w:pPr>
          </w:p>
        </w:tc>
        <w:tc>
          <w:tcPr>
            <w:tcW w:w="3353" w:type="dxa"/>
            <w:noWrap/>
            <w:vAlign w:val="center"/>
          </w:tcPr>
          <w:p w14:paraId="096C1850">
            <w:pPr>
              <w:pStyle w:val="33"/>
              <w:rPr>
                <w:color w:val="auto"/>
              </w:rPr>
            </w:pPr>
            <w:r>
              <w:rPr>
                <w:rFonts w:hint="eastAsia"/>
                <w:color w:val="auto"/>
              </w:rPr>
              <w:t>小复卷机</w:t>
            </w:r>
          </w:p>
        </w:tc>
        <w:tc>
          <w:tcPr>
            <w:tcW w:w="984" w:type="dxa"/>
            <w:vAlign w:val="center"/>
          </w:tcPr>
          <w:p w14:paraId="5BEC7EB2">
            <w:pPr>
              <w:pStyle w:val="33"/>
              <w:rPr>
                <w:color w:val="auto"/>
              </w:rPr>
            </w:pPr>
            <w:r>
              <w:rPr>
                <w:rFonts w:hint="eastAsia"/>
                <w:color w:val="auto"/>
              </w:rPr>
              <w:t>2</w:t>
            </w:r>
          </w:p>
        </w:tc>
        <w:tc>
          <w:tcPr>
            <w:tcW w:w="984" w:type="dxa"/>
            <w:vAlign w:val="center"/>
          </w:tcPr>
          <w:p w14:paraId="4CD31B19">
            <w:pPr>
              <w:pStyle w:val="33"/>
              <w:rPr>
                <w:color w:val="auto"/>
              </w:rPr>
            </w:pPr>
            <w:r>
              <w:rPr>
                <w:rFonts w:hint="eastAsia"/>
                <w:color w:val="auto"/>
              </w:rPr>
              <w:t>70</w:t>
            </w:r>
          </w:p>
        </w:tc>
        <w:tc>
          <w:tcPr>
            <w:tcW w:w="1425" w:type="dxa"/>
            <w:vMerge w:val="continue"/>
            <w:vAlign w:val="center"/>
          </w:tcPr>
          <w:p w14:paraId="4B9C9C11">
            <w:pPr>
              <w:pStyle w:val="33"/>
              <w:rPr>
                <w:color w:val="auto"/>
              </w:rPr>
            </w:pPr>
          </w:p>
        </w:tc>
      </w:tr>
      <w:tr w14:paraId="3AEF92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37045C7F">
            <w:pPr>
              <w:pStyle w:val="33"/>
              <w:rPr>
                <w:color w:val="auto"/>
              </w:rPr>
            </w:pPr>
            <w:r>
              <w:rPr>
                <w:rFonts w:hint="eastAsia"/>
                <w:color w:val="auto"/>
              </w:rPr>
              <w:t>12</w:t>
            </w:r>
          </w:p>
        </w:tc>
        <w:tc>
          <w:tcPr>
            <w:tcW w:w="1686" w:type="dxa"/>
            <w:vMerge w:val="continue"/>
            <w:noWrap/>
            <w:vAlign w:val="center"/>
          </w:tcPr>
          <w:p w14:paraId="3D5D54B8">
            <w:pPr>
              <w:pStyle w:val="33"/>
              <w:rPr>
                <w:color w:val="auto"/>
              </w:rPr>
            </w:pPr>
          </w:p>
        </w:tc>
        <w:tc>
          <w:tcPr>
            <w:tcW w:w="3353" w:type="dxa"/>
            <w:noWrap/>
            <w:vAlign w:val="center"/>
          </w:tcPr>
          <w:p w14:paraId="4087F5DA">
            <w:pPr>
              <w:pStyle w:val="33"/>
              <w:rPr>
                <w:color w:val="auto"/>
              </w:rPr>
            </w:pPr>
            <w:r>
              <w:rPr>
                <w:rFonts w:hint="eastAsia"/>
                <w:color w:val="auto"/>
              </w:rPr>
              <w:t>令包机</w:t>
            </w:r>
          </w:p>
        </w:tc>
        <w:tc>
          <w:tcPr>
            <w:tcW w:w="984" w:type="dxa"/>
            <w:vAlign w:val="center"/>
          </w:tcPr>
          <w:p w14:paraId="4E3E6B77">
            <w:pPr>
              <w:pStyle w:val="33"/>
              <w:rPr>
                <w:color w:val="auto"/>
              </w:rPr>
            </w:pPr>
            <w:r>
              <w:rPr>
                <w:rFonts w:hint="eastAsia"/>
                <w:color w:val="auto"/>
              </w:rPr>
              <w:t>1</w:t>
            </w:r>
          </w:p>
        </w:tc>
        <w:tc>
          <w:tcPr>
            <w:tcW w:w="984" w:type="dxa"/>
            <w:vAlign w:val="center"/>
          </w:tcPr>
          <w:p w14:paraId="14960477">
            <w:pPr>
              <w:pStyle w:val="33"/>
              <w:rPr>
                <w:color w:val="auto"/>
              </w:rPr>
            </w:pPr>
            <w:r>
              <w:rPr>
                <w:rFonts w:hint="eastAsia"/>
                <w:color w:val="auto"/>
              </w:rPr>
              <w:t>70</w:t>
            </w:r>
          </w:p>
        </w:tc>
        <w:tc>
          <w:tcPr>
            <w:tcW w:w="1425" w:type="dxa"/>
            <w:vMerge w:val="continue"/>
            <w:vAlign w:val="center"/>
          </w:tcPr>
          <w:p w14:paraId="75BEF5BB">
            <w:pPr>
              <w:pStyle w:val="33"/>
              <w:rPr>
                <w:color w:val="auto"/>
              </w:rPr>
            </w:pPr>
          </w:p>
        </w:tc>
      </w:tr>
      <w:tr w14:paraId="79785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13CD43BC">
            <w:pPr>
              <w:pStyle w:val="33"/>
              <w:rPr>
                <w:color w:val="auto"/>
              </w:rPr>
            </w:pPr>
            <w:r>
              <w:rPr>
                <w:rFonts w:hint="eastAsia"/>
                <w:color w:val="auto"/>
              </w:rPr>
              <w:t>13</w:t>
            </w:r>
          </w:p>
        </w:tc>
        <w:tc>
          <w:tcPr>
            <w:tcW w:w="1686" w:type="dxa"/>
            <w:vMerge w:val="restart"/>
            <w:noWrap/>
            <w:vAlign w:val="center"/>
          </w:tcPr>
          <w:p w14:paraId="44AC4502">
            <w:pPr>
              <w:pStyle w:val="33"/>
              <w:rPr>
                <w:color w:val="auto"/>
              </w:rPr>
            </w:pPr>
            <w:r>
              <w:rPr>
                <w:rFonts w:hint="eastAsia"/>
                <w:color w:val="auto"/>
              </w:rPr>
              <w:t>3#污水处理站</w:t>
            </w:r>
          </w:p>
        </w:tc>
        <w:tc>
          <w:tcPr>
            <w:tcW w:w="3353" w:type="dxa"/>
            <w:noWrap/>
            <w:vAlign w:val="center"/>
          </w:tcPr>
          <w:p w14:paraId="1FE04308">
            <w:pPr>
              <w:pStyle w:val="33"/>
              <w:rPr>
                <w:color w:val="auto"/>
              </w:rPr>
            </w:pPr>
            <w:r>
              <w:rPr>
                <w:rFonts w:hint="eastAsia"/>
                <w:color w:val="auto"/>
              </w:rPr>
              <w:t>污泥泵</w:t>
            </w:r>
          </w:p>
        </w:tc>
        <w:tc>
          <w:tcPr>
            <w:tcW w:w="984" w:type="dxa"/>
            <w:vAlign w:val="center"/>
          </w:tcPr>
          <w:p w14:paraId="7AA0A3CB">
            <w:pPr>
              <w:pStyle w:val="33"/>
              <w:rPr>
                <w:color w:val="auto"/>
              </w:rPr>
            </w:pPr>
            <w:r>
              <w:rPr>
                <w:rFonts w:hint="eastAsia"/>
                <w:color w:val="auto"/>
              </w:rPr>
              <w:t>4</w:t>
            </w:r>
          </w:p>
        </w:tc>
        <w:tc>
          <w:tcPr>
            <w:tcW w:w="984" w:type="dxa"/>
            <w:vAlign w:val="center"/>
          </w:tcPr>
          <w:p w14:paraId="5C144F27">
            <w:pPr>
              <w:pStyle w:val="33"/>
              <w:rPr>
                <w:color w:val="auto"/>
              </w:rPr>
            </w:pPr>
            <w:r>
              <w:rPr>
                <w:rFonts w:hint="eastAsia"/>
                <w:color w:val="auto"/>
              </w:rPr>
              <w:t>85</w:t>
            </w:r>
          </w:p>
        </w:tc>
        <w:tc>
          <w:tcPr>
            <w:tcW w:w="1425" w:type="dxa"/>
            <w:vMerge w:val="continue"/>
            <w:vAlign w:val="center"/>
          </w:tcPr>
          <w:p w14:paraId="634FFA82">
            <w:pPr>
              <w:pStyle w:val="33"/>
              <w:rPr>
                <w:color w:val="auto"/>
              </w:rPr>
            </w:pPr>
          </w:p>
        </w:tc>
      </w:tr>
      <w:tr w14:paraId="3FF6B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182A83FF">
            <w:pPr>
              <w:pStyle w:val="33"/>
              <w:rPr>
                <w:color w:val="auto"/>
              </w:rPr>
            </w:pPr>
            <w:r>
              <w:rPr>
                <w:rFonts w:hint="eastAsia"/>
                <w:color w:val="auto"/>
              </w:rPr>
              <w:t>14</w:t>
            </w:r>
          </w:p>
        </w:tc>
        <w:tc>
          <w:tcPr>
            <w:tcW w:w="1686" w:type="dxa"/>
            <w:vMerge w:val="continue"/>
            <w:noWrap/>
            <w:vAlign w:val="center"/>
          </w:tcPr>
          <w:p w14:paraId="3216889B">
            <w:pPr>
              <w:pStyle w:val="33"/>
              <w:rPr>
                <w:color w:val="auto"/>
              </w:rPr>
            </w:pPr>
          </w:p>
        </w:tc>
        <w:tc>
          <w:tcPr>
            <w:tcW w:w="3353" w:type="dxa"/>
            <w:noWrap/>
            <w:vAlign w:val="center"/>
          </w:tcPr>
          <w:p w14:paraId="25837A47">
            <w:pPr>
              <w:pStyle w:val="33"/>
              <w:rPr>
                <w:color w:val="auto"/>
              </w:rPr>
            </w:pPr>
            <w:r>
              <w:rPr>
                <w:rFonts w:hint="eastAsia"/>
                <w:color w:val="auto"/>
              </w:rPr>
              <w:t>周边转动刮泥机</w:t>
            </w:r>
          </w:p>
        </w:tc>
        <w:tc>
          <w:tcPr>
            <w:tcW w:w="984" w:type="dxa"/>
            <w:vAlign w:val="center"/>
          </w:tcPr>
          <w:p w14:paraId="44B11DE0">
            <w:pPr>
              <w:pStyle w:val="33"/>
              <w:rPr>
                <w:color w:val="auto"/>
              </w:rPr>
            </w:pPr>
            <w:r>
              <w:rPr>
                <w:rFonts w:hint="eastAsia"/>
                <w:color w:val="auto"/>
              </w:rPr>
              <w:t>1</w:t>
            </w:r>
          </w:p>
        </w:tc>
        <w:tc>
          <w:tcPr>
            <w:tcW w:w="984" w:type="dxa"/>
            <w:vAlign w:val="center"/>
          </w:tcPr>
          <w:p w14:paraId="0AF9B492">
            <w:pPr>
              <w:pStyle w:val="33"/>
              <w:rPr>
                <w:color w:val="auto"/>
              </w:rPr>
            </w:pPr>
            <w:r>
              <w:rPr>
                <w:rFonts w:hint="eastAsia"/>
                <w:color w:val="auto"/>
              </w:rPr>
              <w:t>85</w:t>
            </w:r>
          </w:p>
        </w:tc>
        <w:tc>
          <w:tcPr>
            <w:tcW w:w="1425" w:type="dxa"/>
            <w:vMerge w:val="continue"/>
            <w:vAlign w:val="center"/>
          </w:tcPr>
          <w:p w14:paraId="4CF35253">
            <w:pPr>
              <w:pStyle w:val="33"/>
              <w:rPr>
                <w:color w:val="auto"/>
              </w:rPr>
            </w:pPr>
          </w:p>
        </w:tc>
      </w:tr>
      <w:tr w14:paraId="1D1C2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7632BD71">
            <w:pPr>
              <w:pStyle w:val="33"/>
              <w:rPr>
                <w:color w:val="auto"/>
              </w:rPr>
            </w:pPr>
            <w:r>
              <w:rPr>
                <w:rFonts w:hint="eastAsia"/>
                <w:color w:val="auto"/>
              </w:rPr>
              <w:t>15</w:t>
            </w:r>
          </w:p>
        </w:tc>
        <w:tc>
          <w:tcPr>
            <w:tcW w:w="1686" w:type="dxa"/>
            <w:vMerge w:val="continue"/>
            <w:noWrap/>
            <w:vAlign w:val="center"/>
          </w:tcPr>
          <w:p w14:paraId="139A8347">
            <w:pPr>
              <w:pStyle w:val="33"/>
              <w:rPr>
                <w:color w:val="auto"/>
              </w:rPr>
            </w:pPr>
          </w:p>
        </w:tc>
        <w:tc>
          <w:tcPr>
            <w:tcW w:w="3353" w:type="dxa"/>
            <w:noWrap/>
            <w:vAlign w:val="center"/>
          </w:tcPr>
          <w:p w14:paraId="29AAEB93">
            <w:pPr>
              <w:pStyle w:val="33"/>
              <w:rPr>
                <w:color w:val="auto"/>
              </w:rPr>
            </w:pPr>
            <w:r>
              <w:rPr>
                <w:rFonts w:hint="eastAsia"/>
                <w:color w:val="auto"/>
              </w:rPr>
              <w:t>二沉池刮泥机</w:t>
            </w:r>
          </w:p>
        </w:tc>
        <w:tc>
          <w:tcPr>
            <w:tcW w:w="984" w:type="dxa"/>
            <w:vAlign w:val="center"/>
          </w:tcPr>
          <w:p w14:paraId="1C6388EF">
            <w:pPr>
              <w:pStyle w:val="33"/>
              <w:rPr>
                <w:color w:val="auto"/>
              </w:rPr>
            </w:pPr>
            <w:r>
              <w:rPr>
                <w:rFonts w:hint="eastAsia"/>
                <w:color w:val="auto"/>
              </w:rPr>
              <w:t>1</w:t>
            </w:r>
          </w:p>
        </w:tc>
        <w:tc>
          <w:tcPr>
            <w:tcW w:w="984" w:type="dxa"/>
            <w:vAlign w:val="center"/>
          </w:tcPr>
          <w:p w14:paraId="65E955CA">
            <w:pPr>
              <w:pStyle w:val="33"/>
              <w:rPr>
                <w:color w:val="auto"/>
              </w:rPr>
            </w:pPr>
            <w:r>
              <w:rPr>
                <w:rFonts w:hint="eastAsia"/>
                <w:color w:val="auto"/>
              </w:rPr>
              <w:t>85</w:t>
            </w:r>
          </w:p>
        </w:tc>
        <w:tc>
          <w:tcPr>
            <w:tcW w:w="1425" w:type="dxa"/>
            <w:vMerge w:val="continue"/>
            <w:vAlign w:val="center"/>
          </w:tcPr>
          <w:p w14:paraId="6F46CED3">
            <w:pPr>
              <w:pStyle w:val="33"/>
              <w:rPr>
                <w:color w:val="auto"/>
              </w:rPr>
            </w:pPr>
          </w:p>
        </w:tc>
      </w:tr>
      <w:tr w14:paraId="4119C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5B86ADFC">
            <w:pPr>
              <w:pStyle w:val="33"/>
              <w:rPr>
                <w:color w:val="auto"/>
              </w:rPr>
            </w:pPr>
            <w:r>
              <w:rPr>
                <w:rFonts w:hint="eastAsia"/>
                <w:color w:val="auto"/>
              </w:rPr>
              <w:t>16</w:t>
            </w:r>
          </w:p>
        </w:tc>
        <w:tc>
          <w:tcPr>
            <w:tcW w:w="1686" w:type="dxa"/>
            <w:vMerge w:val="continue"/>
            <w:noWrap/>
            <w:vAlign w:val="center"/>
          </w:tcPr>
          <w:p w14:paraId="58CD83A6">
            <w:pPr>
              <w:pStyle w:val="33"/>
              <w:rPr>
                <w:color w:val="auto"/>
              </w:rPr>
            </w:pPr>
          </w:p>
        </w:tc>
        <w:tc>
          <w:tcPr>
            <w:tcW w:w="3353" w:type="dxa"/>
            <w:noWrap/>
            <w:vAlign w:val="center"/>
          </w:tcPr>
          <w:p w14:paraId="5F404EBF">
            <w:pPr>
              <w:pStyle w:val="33"/>
              <w:rPr>
                <w:color w:val="auto"/>
              </w:rPr>
            </w:pPr>
            <w:r>
              <w:rPr>
                <w:rFonts w:hint="eastAsia"/>
                <w:color w:val="auto"/>
              </w:rPr>
              <w:t>鼓风机</w:t>
            </w:r>
          </w:p>
        </w:tc>
        <w:tc>
          <w:tcPr>
            <w:tcW w:w="984" w:type="dxa"/>
            <w:vAlign w:val="center"/>
          </w:tcPr>
          <w:p w14:paraId="53C2F2B1">
            <w:pPr>
              <w:pStyle w:val="33"/>
              <w:rPr>
                <w:color w:val="auto"/>
              </w:rPr>
            </w:pPr>
            <w:r>
              <w:rPr>
                <w:rFonts w:hint="eastAsia"/>
                <w:color w:val="auto"/>
              </w:rPr>
              <w:t>4</w:t>
            </w:r>
          </w:p>
        </w:tc>
        <w:tc>
          <w:tcPr>
            <w:tcW w:w="984" w:type="dxa"/>
            <w:vAlign w:val="center"/>
          </w:tcPr>
          <w:p w14:paraId="643C4F50">
            <w:pPr>
              <w:pStyle w:val="33"/>
              <w:rPr>
                <w:color w:val="auto"/>
              </w:rPr>
            </w:pPr>
            <w:r>
              <w:rPr>
                <w:rFonts w:hint="eastAsia"/>
                <w:color w:val="auto"/>
              </w:rPr>
              <w:t>85</w:t>
            </w:r>
          </w:p>
        </w:tc>
        <w:tc>
          <w:tcPr>
            <w:tcW w:w="1425" w:type="dxa"/>
            <w:vMerge w:val="continue"/>
            <w:vAlign w:val="center"/>
          </w:tcPr>
          <w:p w14:paraId="1C715712">
            <w:pPr>
              <w:pStyle w:val="33"/>
              <w:rPr>
                <w:color w:val="auto"/>
              </w:rPr>
            </w:pPr>
          </w:p>
        </w:tc>
      </w:tr>
      <w:tr w14:paraId="46DBE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160A576D">
            <w:pPr>
              <w:pStyle w:val="33"/>
              <w:rPr>
                <w:color w:val="auto"/>
              </w:rPr>
            </w:pPr>
            <w:r>
              <w:rPr>
                <w:rFonts w:hint="eastAsia"/>
                <w:color w:val="auto"/>
              </w:rPr>
              <w:t>17</w:t>
            </w:r>
          </w:p>
        </w:tc>
        <w:tc>
          <w:tcPr>
            <w:tcW w:w="1686" w:type="dxa"/>
            <w:vMerge w:val="continue"/>
            <w:noWrap/>
            <w:vAlign w:val="center"/>
          </w:tcPr>
          <w:p w14:paraId="25C8B2D6">
            <w:pPr>
              <w:pStyle w:val="33"/>
              <w:rPr>
                <w:color w:val="auto"/>
              </w:rPr>
            </w:pPr>
          </w:p>
        </w:tc>
        <w:tc>
          <w:tcPr>
            <w:tcW w:w="3353" w:type="dxa"/>
            <w:noWrap/>
            <w:vAlign w:val="center"/>
          </w:tcPr>
          <w:p w14:paraId="1F818519">
            <w:pPr>
              <w:pStyle w:val="33"/>
              <w:rPr>
                <w:color w:val="auto"/>
              </w:rPr>
            </w:pPr>
            <w:r>
              <w:rPr>
                <w:rFonts w:hint="eastAsia"/>
                <w:color w:val="auto"/>
              </w:rPr>
              <w:t>回流污泥泵</w:t>
            </w:r>
          </w:p>
        </w:tc>
        <w:tc>
          <w:tcPr>
            <w:tcW w:w="984" w:type="dxa"/>
            <w:vAlign w:val="center"/>
          </w:tcPr>
          <w:p w14:paraId="0BD8950E">
            <w:pPr>
              <w:pStyle w:val="33"/>
              <w:rPr>
                <w:color w:val="auto"/>
              </w:rPr>
            </w:pPr>
            <w:r>
              <w:rPr>
                <w:rFonts w:hint="eastAsia"/>
                <w:color w:val="auto"/>
              </w:rPr>
              <w:t>4</w:t>
            </w:r>
          </w:p>
        </w:tc>
        <w:tc>
          <w:tcPr>
            <w:tcW w:w="984" w:type="dxa"/>
            <w:vAlign w:val="center"/>
          </w:tcPr>
          <w:p w14:paraId="61C7DFBA">
            <w:pPr>
              <w:pStyle w:val="33"/>
              <w:rPr>
                <w:color w:val="auto"/>
              </w:rPr>
            </w:pPr>
            <w:r>
              <w:rPr>
                <w:rFonts w:hint="eastAsia"/>
                <w:color w:val="auto"/>
              </w:rPr>
              <w:t>85</w:t>
            </w:r>
          </w:p>
        </w:tc>
        <w:tc>
          <w:tcPr>
            <w:tcW w:w="1425" w:type="dxa"/>
            <w:vMerge w:val="continue"/>
            <w:vAlign w:val="center"/>
          </w:tcPr>
          <w:p w14:paraId="64100054">
            <w:pPr>
              <w:pStyle w:val="33"/>
              <w:rPr>
                <w:color w:val="auto"/>
              </w:rPr>
            </w:pPr>
          </w:p>
        </w:tc>
      </w:tr>
      <w:tr w14:paraId="7A915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7CA9FFEA">
            <w:pPr>
              <w:pStyle w:val="33"/>
              <w:rPr>
                <w:color w:val="auto"/>
              </w:rPr>
            </w:pPr>
            <w:r>
              <w:rPr>
                <w:rFonts w:hint="eastAsia"/>
                <w:color w:val="auto"/>
              </w:rPr>
              <w:t>18</w:t>
            </w:r>
          </w:p>
        </w:tc>
        <w:tc>
          <w:tcPr>
            <w:tcW w:w="1686" w:type="dxa"/>
            <w:vMerge w:val="continue"/>
            <w:noWrap/>
            <w:vAlign w:val="center"/>
          </w:tcPr>
          <w:p w14:paraId="20CBA2E7">
            <w:pPr>
              <w:pStyle w:val="33"/>
              <w:rPr>
                <w:color w:val="auto"/>
              </w:rPr>
            </w:pPr>
          </w:p>
        </w:tc>
        <w:tc>
          <w:tcPr>
            <w:tcW w:w="3353" w:type="dxa"/>
            <w:noWrap/>
            <w:vAlign w:val="center"/>
          </w:tcPr>
          <w:p w14:paraId="3F354B2A">
            <w:pPr>
              <w:pStyle w:val="33"/>
              <w:rPr>
                <w:color w:val="auto"/>
              </w:rPr>
            </w:pPr>
            <w:r>
              <w:rPr>
                <w:rFonts w:hint="eastAsia"/>
                <w:color w:val="auto"/>
              </w:rPr>
              <w:t>剩余污泥泵</w:t>
            </w:r>
          </w:p>
        </w:tc>
        <w:tc>
          <w:tcPr>
            <w:tcW w:w="984" w:type="dxa"/>
            <w:vAlign w:val="center"/>
          </w:tcPr>
          <w:p w14:paraId="73453BCC">
            <w:pPr>
              <w:pStyle w:val="33"/>
              <w:rPr>
                <w:color w:val="auto"/>
              </w:rPr>
            </w:pPr>
            <w:r>
              <w:rPr>
                <w:rFonts w:hint="eastAsia"/>
                <w:color w:val="auto"/>
              </w:rPr>
              <w:t>3</w:t>
            </w:r>
          </w:p>
        </w:tc>
        <w:tc>
          <w:tcPr>
            <w:tcW w:w="984" w:type="dxa"/>
            <w:vAlign w:val="center"/>
          </w:tcPr>
          <w:p w14:paraId="6605D62F">
            <w:pPr>
              <w:pStyle w:val="33"/>
              <w:rPr>
                <w:color w:val="auto"/>
              </w:rPr>
            </w:pPr>
            <w:r>
              <w:rPr>
                <w:rFonts w:hint="eastAsia"/>
                <w:color w:val="auto"/>
              </w:rPr>
              <w:t>85</w:t>
            </w:r>
          </w:p>
        </w:tc>
        <w:tc>
          <w:tcPr>
            <w:tcW w:w="1425" w:type="dxa"/>
            <w:vMerge w:val="continue"/>
            <w:vAlign w:val="center"/>
          </w:tcPr>
          <w:p w14:paraId="23C23BAA">
            <w:pPr>
              <w:pStyle w:val="33"/>
              <w:rPr>
                <w:color w:val="auto"/>
              </w:rPr>
            </w:pPr>
          </w:p>
        </w:tc>
      </w:tr>
      <w:tr w14:paraId="68BE8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359791D1">
            <w:pPr>
              <w:pStyle w:val="33"/>
              <w:rPr>
                <w:color w:val="auto"/>
              </w:rPr>
            </w:pPr>
            <w:r>
              <w:rPr>
                <w:rFonts w:hint="eastAsia"/>
                <w:color w:val="auto"/>
              </w:rPr>
              <w:t>19</w:t>
            </w:r>
          </w:p>
        </w:tc>
        <w:tc>
          <w:tcPr>
            <w:tcW w:w="1686" w:type="dxa"/>
            <w:vMerge w:val="continue"/>
            <w:noWrap/>
            <w:vAlign w:val="center"/>
          </w:tcPr>
          <w:p w14:paraId="12C1D2A0">
            <w:pPr>
              <w:pStyle w:val="33"/>
              <w:rPr>
                <w:color w:val="auto"/>
              </w:rPr>
            </w:pPr>
          </w:p>
        </w:tc>
        <w:tc>
          <w:tcPr>
            <w:tcW w:w="3353" w:type="dxa"/>
            <w:noWrap/>
            <w:vAlign w:val="center"/>
          </w:tcPr>
          <w:p w14:paraId="30B9F37B">
            <w:pPr>
              <w:pStyle w:val="33"/>
              <w:rPr>
                <w:color w:val="auto"/>
              </w:rPr>
            </w:pPr>
            <w:r>
              <w:rPr>
                <w:rFonts w:hint="eastAsia"/>
                <w:color w:val="auto"/>
              </w:rPr>
              <w:t>过滤提升泵</w:t>
            </w:r>
          </w:p>
        </w:tc>
        <w:tc>
          <w:tcPr>
            <w:tcW w:w="984" w:type="dxa"/>
            <w:vAlign w:val="center"/>
          </w:tcPr>
          <w:p w14:paraId="650F0F1F">
            <w:pPr>
              <w:pStyle w:val="33"/>
              <w:rPr>
                <w:color w:val="auto"/>
              </w:rPr>
            </w:pPr>
            <w:r>
              <w:rPr>
                <w:rFonts w:hint="eastAsia"/>
                <w:color w:val="auto"/>
              </w:rPr>
              <w:t>4</w:t>
            </w:r>
          </w:p>
        </w:tc>
        <w:tc>
          <w:tcPr>
            <w:tcW w:w="984" w:type="dxa"/>
            <w:vAlign w:val="center"/>
          </w:tcPr>
          <w:p w14:paraId="6F8C591A">
            <w:pPr>
              <w:pStyle w:val="33"/>
              <w:rPr>
                <w:color w:val="auto"/>
              </w:rPr>
            </w:pPr>
            <w:r>
              <w:rPr>
                <w:rFonts w:hint="eastAsia"/>
                <w:color w:val="auto"/>
              </w:rPr>
              <w:t>85</w:t>
            </w:r>
          </w:p>
        </w:tc>
        <w:tc>
          <w:tcPr>
            <w:tcW w:w="1425" w:type="dxa"/>
            <w:vMerge w:val="continue"/>
            <w:vAlign w:val="center"/>
          </w:tcPr>
          <w:p w14:paraId="322B4A5C">
            <w:pPr>
              <w:pStyle w:val="33"/>
              <w:rPr>
                <w:color w:val="auto"/>
              </w:rPr>
            </w:pPr>
          </w:p>
        </w:tc>
      </w:tr>
      <w:tr w14:paraId="6211C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dxa"/>
            <w:noWrap/>
            <w:vAlign w:val="center"/>
          </w:tcPr>
          <w:p w14:paraId="7069E6CC">
            <w:pPr>
              <w:pStyle w:val="33"/>
              <w:rPr>
                <w:color w:val="auto"/>
              </w:rPr>
            </w:pPr>
            <w:r>
              <w:rPr>
                <w:rFonts w:hint="eastAsia"/>
                <w:color w:val="auto"/>
              </w:rPr>
              <w:t>20</w:t>
            </w:r>
          </w:p>
        </w:tc>
        <w:tc>
          <w:tcPr>
            <w:tcW w:w="1686" w:type="dxa"/>
            <w:vMerge w:val="continue"/>
            <w:noWrap/>
            <w:vAlign w:val="center"/>
          </w:tcPr>
          <w:p w14:paraId="29C82675">
            <w:pPr>
              <w:pStyle w:val="33"/>
              <w:rPr>
                <w:color w:val="auto"/>
              </w:rPr>
            </w:pPr>
          </w:p>
        </w:tc>
        <w:tc>
          <w:tcPr>
            <w:tcW w:w="3353" w:type="dxa"/>
            <w:noWrap/>
            <w:vAlign w:val="center"/>
          </w:tcPr>
          <w:p w14:paraId="7E782433">
            <w:pPr>
              <w:pStyle w:val="33"/>
              <w:rPr>
                <w:color w:val="auto"/>
              </w:rPr>
            </w:pPr>
            <w:r>
              <w:rPr>
                <w:rFonts w:hint="eastAsia"/>
                <w:color w:val="auto"/>
              </w:rPr>
              <w:t>回用水泵</w:t>
            </w:r>
          </w:p>
        </w:tc>
        <w:tc>
          <w:tcPr>
            <w:tcW w:w="984" w:type="dxa"/>
            <w:vAlign w:val="center"/>
          </w:tcPr>
          <w:p w14:paraId="0410D720">
            <w:pPr>
              <w:pStyle w:val="33"/>
              <w:rPr>
                <w:color w:val="auto"/>
              </w:rPr>
            </w:pPr>
            <w:r>
              <w:rPr>
                <w:rFonts w:hint="eastAsia"/>
                <w:color w:val="auto"/>
              </w:rPr>
              <w:t>3</w:t>
            </w:r>
          </w:p>
        </w:tc>
        <w:tc>
          <w:tcPr>
            <w:tcW w:w="984" w:type="dxa"/>
            <w:vAlign w:val="center"/>
          </w:tcPr>
          <w:p w14:paraId="699DB1C8">
            <w:pPr>
              <w:pStyle w:val="33"/>
              <w:rPr>
                <w:color w:val="auto"/>
              </w:rPr>
            </w:pPr>
            <w:r>
              <w:rPr>
                <w:rFonts w:hint="eastAsia"/>
                <w:color w:val="auto"/>
              </w:rPr>
              <w:t>85</w:t>
            </w:r>
          </w:p>
        </w:tc>
        <w:tc>
          <w:tcPr>
            <w:tcW w:w="1425" w:type="dxa"/>
            <w:vMerge w:val="continue"/>
            <w:vAlign w:val="center"/>
          </w:tcPr>
          <w:p w14:paraId="6A09FD51">
            <w:pPr>
              <w:pStyle w:val="33"/>
              <w:rPr>
                <w:color w:val="auto"/>
              </w:rPr>
            </w:pPr>
          </w:p>
        </w:tc>
      </w:tr>
    </w:tbl>
    <w:p w14:paraId="66441CCA">
      <w:pPr>
        <w:ind w:firstLine="480"/>
        <w:rPr>
          <w:rFonts w:cs="Times New Roman"/>
          <w:color w:val="auto"/>
        </w:rPr>
      </w:pPr>
    </w:p>
    <w:p w14:paraId="16CE7CCA">
      <w:pPr>
        <w:pStyle w:val="4"/>
        <w:rPr>
          <w:color w:val="auto"/>
        </w:rPr>
      </w:pPr>
      <w:bookmarkStart w:id="226" w:name="_Toc225216718"/>
      <w:r>
        <w:rPr>
          <w:rFonts w:hint="eastAsia"/>
          <w:color w:val="auto"/>
        </w:rPr>
        <w:t>固体废物</w:t>
      </w:r>
      <w:r>
        <w:rPr>
          <w:color w:val="auto"/>
        </w:rPr>
        <w:t>源强分析</w:t>
      </w:r>
      <w:bookmarkEnd w:id="226"/>
    </w:p>
    <w:p w14:paraId="5F0B3BC3">
      <w:pPr>
        <w:spacing w:line="440" w:lineRule="exact"/>
        <w:ind w:firstLine="480"/>
        <w:rPr>
          <w:rFonts w:cs="Times New Roman"/>
          <w:color w:val="auto"/>
        </w:rPr>
      </w:pPr>
      <w:r>
        <w:rPr>
          <w:rFonts w:cs="Times New Roman"/>
          <w:color w:val="auto"/>
        </w:rPr>
        <w:t>本次评价固废属性判定原则如下：</w:t>
      </w:r>
    </w:p>
    <w:p w14:paraId="4D008413">
      <w:pPr>
        <w:spacing w:line="440" w:lineRule="exact"/>
        <w:ind w:firstLine="480"/>
        <w:rPr>
          <w:rFonts w:cs="Times New Roman"/>
          <w:color w:val="auto"/>
        </w:rPr>
      </w:pPr>
      <w:r>
        <w:rPr>
          <w:rFonts w:cs="Times New Roman"/>
          <w:color w:val="auto"/>
        </w:rPr>
        <w:t>根据《中华人民共和国固体废物污染环境防治法》、《固体废物鉴别标准 通则》（GB34330-2017），对建设项目产生的物质（除目标产物，即：产品、副产品外），依据产生来源、利用和处置过程鉴别属于固体废物并且作为固体废物管理的物质，应按照《国家危险废物名录》《危险废物鉴别标准通则》（GB5085.7）等进行属性判定。</w:t>
      </w:r>
    </w:p>
    <w:p w14:paraId="1A9710FF">
      <w:pPr>
        <w:spacing w:line="440" w:lineRule="exact"/>
        <w:ind w:firstLine="480"/>
        <w:rPr>
          <w:rFonts w:cs="Times New Roman"/>
          <w:color w:val="auto"/>
        </w:rPr>
      </w:pPr>
      <w:r>
        <w:rPr>
          <w:rFonts w:cs="Times New Roman"/>
          <w:color w:val="auto"/>
        </w:rPr>
        <w:t>固体废物的属性类别严格对照《国家危险废物名录（202</w:t>
      </w:r>
      <w:r>
        <w:rPr>
          <w:rFonts w:hint="eastAsia" w:cs="Times New Roman"/>
          <w:color w:val="auto"/>
        </w:rPr>
        <w:t>5年版</w:t>
      </w:r>
      <w:r>
        <w:rPr>
          <w:rFonts w:cs="Times New Roman"/>
          <w:color w:val="auto"/>
        </w:rPr>
        <w:t>）》进行核实，各类固体废物需建立管理台账。</w:t>
      </w:r>
    </w:p>
    <w:p w14:paraId="3073BA7D">
      <w:pPr>
        <w:spacing w:line="440" w:lineRule="exact"/>
        <w:ind w:firstLine="480"/>
        <w:rPr>
          <w:rFonts w:cs="Times New Roman"/>
          <w:color w:val="auto"/>
        </w:rPr>
      </w:pPr>
      <w:r>
        <w:rPr>
          <w:rFonts w:cs="Times New Roman"/>
          <w:color w:val="auto"/>
        </w:rPr>
        <w:t>根据《污染源源强核算技术指南制浆造纸》（HJ887-2018），新建工程固体废物污染源优先采用物料衡算法，其次采用类比法、产污系数法。</w:t>
      </w:r>
      <w:r>
        <w:rPr>
          <w:rFonts w:hint="eastAsia" w:cs="Times New Roman"/>
          <w:color w:val="auto"/>
        </w:rPr>
        <w:t>本项目</w:t>
      </w:r>
      <w:r>
        <w:rPr>
          <w:rFonts w:cs="Times New Roman"/>
          <w:color w:val="auto"/>
        </w:rPr>
        <w:t>造纸浆渣</w:t>
      </w:r>
      <w:r>
        <w:rPr>
          <w:rFonts w:hint="eastAsia" w:cs="Times New Roman"/>
          <w:color w:val="auto"/>
        </w:rPr>
        <w:t>、</w:t>
      </w:r>
      <w:r>
        <w:rPr>
          <w:rFonts w:hint="eastAsia"/>
          <w:color w:val="auto"/>
        </w:rPr>
        <w:t>损纸全部回用生产。</w:t>
      </w:r>
      <w:r>
        <w:rPr>
          <w:rFonts w:cs="Times New Roman"/>
          <w:color w:val="auto"/>
        </w:rPr>
        <w:t>项目产生的各项固废产生及排放情况如下：</w:t>
      </w:r>
    </w:p>
    <w:p w14:paraId="26F83EFF">
      <w:pPr>
        <w:spacing w:line="440" w:lineRule="exact"/>
        <w:ind w:firstLine="480"/>
        <w:rPr>
          <w:color w:val="auto"/>
        </w:rPr>
      </w:pPr>
      <w:r>
        <w:rPr>
          <w:rFonts w:hint="eastAsia"/>
          <w:color w:val="auto"/>
        </w:rPr>
        <w:t>1、废铁丝</w:t>
      </w:r>
      <w:r>
        <w:rPr>
          <w:color w:val="auto"/>
        </w:rPr>
        <w:t>（S</w:t>
      </w:r>
      <w:r>
        <w:rPr>
          <w:rFonts w:hint="eastAsia"/>
          <w:color w:val="auto"/>
        </w:rPr>
        <w:t>1</w:t>
      </w:r>
      <w:r>
        <w:rPr>
          <w:color w:val="auto"/>
        </w:rPr>
        <w:t>）</w:t>
      </w:r>
    </w:p>
    <w:p w14:paraId="1C95852B">
      <w:pPr>
        <w:spacing w:line="440" w:lineRule="exact"/>
        <w:ind w:firstLine="480"/>
        <w:rPr>
          <w:color w:val="auto"/>
        </w:rPr>
      </w:pPr>
      <w:r>
        <w:rPr>
          <w:rFonts w:hint="eastAsia"/>
          <w:color w:val="auto"/>
        </w:rPr>
        <w:t>外购</w:t>
      </w:r>
      <w:r>
        <w:rPr>
          <w:color w:val="auto"/>
        </w:rPr>
        <w:t>浆板采用铁丝捆绑</w:t>
      </w:r>
      <w:r>
        <w:rPr>
          <w:rFonts w:hint="eastAsia"/>
          <w:color w:val="auto"/>
        </w:rPr>
        <w:t>运至</w:t>
      </w:r>
      <w:r>
        <w:rPr>
          <w:color w:val="auto"/>
        </w:rPr>
        <w:t>厂区</w:t>
      </w:r>
      <w:r>
        <w:rPr>
          <w:rFonts w:hint="eastAsia"/>
          <w:color w:val="auto"/>
        </w:rPr>
        <w:t>，每吨</w:t>
      </w:r>
      <w:r>
        <w:rPr>
          <w:color w:val="auto"/>
        </w:rPr>
        <w:t>浆板产生</w:t>
      </w:r>
      <w:r>
        <w:rPr>
          <w:rFonts w:hint="eastAsia"/>
          <w:color w:val="auto"/>
        </w:rPr>
        <w:t>0.2</w:t>
      </w:r>
      <w:r>
        <w:rPr>
          <w:color w:val="auto"/>
        </w:rPr>
        <w:t>kg</w:t>
      </w:r>
      <w:r>
        <w:rPr>
          <w:rFonts w:hint="eastAsia"/>
          <w:color w:val="auto"/>
        </w:rPr>
        <w:t>废铁丝</w:t>
      </w:r>
      <w:r>
        <w:rPr>
          <w:color w:val="auto"/>
        </w:rPr>
        <w:t>。经核算</w:t>
      </w:r>
      <w:r>
        <w:rPr>
          <w:rFonts w:hint="eastAsia"/>
          <w:color w:val="auto"/>
        </w:rPr>
        <w:t>，新</w:t>
      </w:r>
      <w:r>
        <w:rPr>
          <w:color w:val="auto"/>
        </w:rPr>
        <w:t>产生废铁丝</w:t>
      </w:r>
      <w:r>
        <w:rPr>
          <w:rFonts w:hint="eastAsia"/>
          <w:color w:val="auto"/>
        </w:rPr>
        <w:t>277.3</w:t>
      </w:r>
      <w:r>
        <w:rPr>
          <w:color w:val="auto"/>
        </w:rPr>
        <w:t>t</w:t>
      </w:r>
      <w:r>
        <w:rPr>
          <w:rFonts w:hint="eastAsia"/>
          <w:color w:val="auto"/>
        </w:rPr>
        <w:t>，</w:t>
      </w:r>
      <w:r>
        <w:rPr>
          <w:color w:val="auto"/>
        </w:rPr>
        <w:t>建成后全厂废铁丝产生量为</w:t>
      </w:r>
      <w:r>
        <w:rPr>
          <w:rFonts w:hint="eastAsia"/>
          <w:color w:val="auto"/>
        </w:rPr>
        <w:t>693.4</w:t>
      </w:r>
      <w:r>
        <w:rPr>
          <w:color w:val="auto"/>
        </w:rPr>
        <w:t>t/a</w:t>
      </w:r>
      <w:r>
        <w:rPr>
          <w:rFonts w:hint="eastAsia"/>
          <w:color w:val="auto"/>
        </w:rPr>
        <w:t>，经收集</w:t>
      </w:r>
      <w:r>
        <w:rPr>
          <w:color w:val="auto"/>
        </w:rPr>
        <w:t>后</w:t>
      </w:r>
      <w:r>
        <w:rPr>
          <w:rFonts w:hint="eastAsia"/>
          <w:color w:val="auto"/>
        </w:rPr>
        <w:t>外售资源</w:t>
      </w:r>
      <w:r>
        <w:rPr>
          <w:color w:val="auto"/>
        </w:rPr>
        <w:t>回收公司</w:t>
      </w:r>
      <w:r>
        <w:rPr>
          <w:rFonts w:hint="eastAsia"/>
          <w:color w:val="auto"/>
        </w:rPr>
        <w:t>。</w:t>
      </w:r>
    </w:p>
    <w:p w14:paraId="15E9BC6E">
      <w:pPr>
        <w:spacing w:line="440" w:lineRule="exact"/>
        <w:ind w:firstLine="480"/>
        <w:rPr>
          <w:color w:val="auto"/>
        </w:rPr>
      </w:pPr>
      <w:r>
        <w:rPr>
          <w:rFonts w:hint="eastAsia"/>
          <w:color w:val="auto"/>
        </w:rPr>
        <w:t>2、废聚酯网</w:t>
      </w:r>
      <w:r>
        <w:rPr>
          <w:color w:val="auto"/>
        </w:rPr>
        <w:t>（S</w:t>
      </w:r>
      <w:r>
        <w:rPr>
          <w:rFonts w:hint="eastAsia"/>
          <w:color w:val="auto"/>
        </w:rPr>
        <w:t>2</w:t>
      </w:r>
      <w:r>
        <w:rPr>
          <w:color w:val="auto"/>
        </w:rPr>
        <w:t>）</w:t>
      </w:r>
    </w:p>
    <w:p w14:paraId="42EE8075">
      <w:pPr>
        <w:spacing w:line="440" w:lineRule="exact"/>
        <w:ind w:firstLine="480"/>
        <w:rPr>
          <w:color w:val="auto"/>
        </w:rPr>
      </w:pPr>
      <w:r>
        <w:rPr>
          <w:rFonts w:hint="eastAsia"/>
          <w:color w:val="auto"/>
        </w:rPr>
        <w:t>原纸成形阶段，网部会用到聚酯网，聚酯网由聚酯PET材质制造，为环保无毒材料。聚酯网不含甲醛类聚合物，无毒，无易燃、易爆和强腐蚀等危险特性，产生量为3000m</w:t>
      </w:r>
      <w:r>
        <w:rPr>
          <w:rFonts w:hint="eastAsia"/>
          <w:color w:val="auto"/>
          <w:vertAlign w:val="superscript"/>
        </w:rPr>
        <w:t>2</w:t>
      </w:r>
      <w:r>
        <w:rPr>
          <w:rFonts w:hint="eastAsia"/>
          <w:color w:val="auto"/>
        </w:rPr>
        <w:t>/a，</w:t>
      </w:r>
      <w:r>
        <w:rPr>
          <w:color w:val="auto"/>
          <w:kern w:val="0"/>
        </w:rPr>
        <w:t>重量按照1.2kg/m</w:t>
      </w:r>
      <w:r>
        <w:rPr>
          <w:color w:val="auto"/>
          <w:kern w:val="0"/>
          <w:vertAlign w:val="superscript"/>
        </w:rPr>
        <w:t>2</w:t>
      </w:r>
      <w:r>
        <w:rPr>
          <w:color w:val="auto"/>
          <w:kern w:val="0"/>
        </w:rPr>
        <w:t>计算，</w:t>
      </w:r>
      <w:r>
        <w:rPr>
          <w:rFonts w:hint="eastAsia"/>
          <w:color w:val="auto"/>
          <w:kern w:val="0"/>
        </w:rPr>
        <w:t>则产生重量为3.6</w:t>
      </w:r>
      <w:r>
        <w:rPr>
          <w:rFonts w:hint="eastAsia"/>
          <w:color w:val="auto"/>
        </w:rPr>
        <w:t>t/a</w:t>
      </w:r>
      <w:r>
        <w:rPr>
          <w:rFonts w:hint="eastAsia"/>
          <w:color w:val="auto"/>
          <w:kern w:val="0"/>
        </w:rPr>
        <w:t>，</w:t>
      </w:r>
      <w:r>
        <w:rPr>
          <w:rFonts w:hint="eastAsia"/>
          <w:color w:val="auto"/>
        </w:rPr>
        <w:t>一般工业固废，收集后交由相关资源回收公司回收利用。</w:t>
      </w:r>
    </w:p>
    <w:p w14:paraId="04E4CF08">
      <w:pPr>
        <w:ind w:firstLine="480"/>
        <w:rPr>
          <w:color w:val="auto"/>
        </w:rPr>
      </w:pPr>
      <w:r>
        <w:rPr>
          <w:rFonts w:hint="eastAsia"/>
          <w:color w:val="auto"/>
        </w:rPr>
        <w:t>3、污水处理站污泥（S3）</w:t>
      </w:r>
    </w:p>
    <w:p w14:paraId="16B3AFF0">
      <w:pPr>
        <w:ind w:firstLine="480"/>
        <w:rPr>
          <w:color w:val="auto"/>
        </w:rPr>
      </w:pPr>
      <w:r>
        <w:rPr>
          <w:color w:val="auto"/>
        </w:rPr>
        <w:t>根据《制浆造纸废水治理工程技术规范》（HJ2011-2012）表4制浆造纸废水治理工程污泥产量。初沉污泥产量为1.0kgDS/kgSS，好氧剩余污泥产量为0.3-0.4kgDS/kgCOD</w:t>
      </w:r>
      <w:r>
        <w:rPr>
          <w:color w:val="auto"/>
          <w:vertAlign w:val="subscript"/>
        </w:rPr>
        <w:t>cr</w:t>
      </w:r>
      <w:r>
        <w:rPr>
          <w:color w:val="auto"/>
        </w:rPr>
        <w:t>，三级物化污泥产量为1.5-3.5kgDS/kgCOD</w:t>
      </w:r>
      <w:r>
        <w:rPr>
          <w:color w:val="auto"/>
          <w:vertAlign w:val="subscript"/>
        </w:rPr>
        <w:t>cr</w:t>
      </w:r>
      <w:r>
        <w:rPr>
          <w:color w:val="auto"/>
        </w:rPr>
        <w:t>。本次评价保守考虑取较大值作为污泥产量。则项目建成后新建污水处理系统各工段污染物去除率见下表</w:t>
      </w:r>
      <w:r>
        <w:rPr>
          <w:rFonts w:hint="eastAsia"/>
          <w:color w:val="auto"/>
        </w:rPr>
        <w:t>。</w:t>
      </w:r>
    </w:p>
    <w:p w14:paraId="0671465C">
      <w:pPr>
        <w:pStyle w:val="7"/>
        <w:rPr>
          <w:color w:val="auto"/>
        </w:rPr>
      </w:pPr>
      <w:r>
        <w:rPr>
          <w:color w:val="auto"/>
        </w:rPr>
        <w:t>新建污水处理系统各工段SS、COD污染物去除情况一览表</w:t>
      </w:r>
    </w:p>
    <w:tbl>
      <w:tblPr>
        <w:tblStyle w:val="26"/>
        <w:tblW w:w="9067" w:type="dxa"/>
        <w:tblInd w:w="0" w:type="dxa"/>
        <w:tblLayout w:type="autofit"/>
        <w:tblCellMar>
          <w:top w:w="0" w:type="dxa"/>
          <w:left w:w="108" w:type="dxa"/>
          <w:bottom w:w="0" w:type="dxa"/>
          <w:right w:w="108" w:type="dxa"/>
        </w:tblCellMar>
      </w:tblPr>
      <w:tblGrid>
        <w:gridCol w:w="790"/>
        <w:gridCol w:w="769"/>
        <w:gridCol w:w="790"/>
        <w:gridCol w:w="1048"/>
        <w:gridCol w:w="1134"/>
        <w:gridCol w:w="1134"/>
        <w:gridCol w:w="1134"/>
        <w:gridCol w:w="1134"/>
        <w:gridCol w:w="1134"/>
      </w:tblGrid>
      <w:tr w14:paraId="7408F0AA">
        <w:tblPrEx>
          <w:tblCellMar>
            <w:top w:w="0" w:type="dxa"/>
            <w:left w:w="108" w:type="dxa"/>
            <w:bottom w:w="0" w:type="dxa"/>
            <w:right w:w="108" w:type="dxa"/>
          </w:tblCellMar>
        </w:tblPrEx>
        <w:trPr>
          <w:trHeight w:val="270" w:hRule="atLeast"/>
        </w:trPr>
        <w:tc>
          <w:tcPr>
            <w:tcW w:w="790" w:type="dxa"/>
            <w:vMerge w:val="restart"/>
            <w:tcBorders>
              <w:top w:val="single" w:color="000000" w:sz="4" w:space="0"/>
              <w:left w:val="single" w:color="000000" w:sz="4" w:space="0"/>
              <w:bottom w:val="single" w:color="000000" w:sz="4" w:space="0"/>
              <w:right w:val="single" w:color="000000" w:sz="4" w:space="0"/>
            </w:tcBorders>
            <w:noWrap/>
            <w:vAlign w:val="center"/>
          </w:tcPr>
          <w:p w14:paraId="42A4E56E">
            <w:pPr>
              <w:pStyle w:val="33"/>
              <w:rPr>
                <w:color w:val="auto"/>
              </w:rPr>
            </w:pPr>
            <w:r>
              <w:rPr>
                <w:color w:val="auto"/>
                <w:lang w:bidi="ar"/>
              </w:rPr>
              <w:t>处理水量</w:t>
            </w:r>
          </w:p>
        </w:tc>
        <w:tc>
          <w:tcPr>
            <w:tcW w:w="769" w:type="dxa"/>
            <w:vMerge w:val="restart"/>
            <w:tcBorders>
              <w:top w:val="single" w:color="000000" w:sz="4" w:space="0"/>
              <w:left w:val="single" w:color="000000" w:sz="4" w:space="0"/>
              <w:bottom w:val="single" w:color="000000" w:sz="4" w:space="0"/>
              <w:right w:val="single" w:color="000000" w:sz="4" w:space="0"/>
            </w:tcBorders>
            <w:noWrap/>
            <w:vAlign w:val="center"/>
          </w:tcPr>
          <w:p w14:paraId="4B0274AB">
            <w:pPr>
              <w:pStyle w:val="33"/>
              <w:rPr>
                <w:color w:val="auto"/>
              </w:rPr>
            </w:pPr>
            <w:r>
              <w:rPr>
                <w:color w:val="auto"/>
                <w:lang w:bidi="ar"/>
              </w:rPr>
              <w:t>污染物</w:t>
            </w:r>
          </w:p>
        </w:tc>
        <w:tc>
          <w:tcPr>
            <w:tcW w:w="790" w:type="dxa"/>
            <w:vMerge w:val="restart"/>
            <w:tcBorders>
              <w:top w:val="single" w:color="000000" w:sz="4" w:space="0"/>
              <w:left w:val="single" w:color="000000" w:sz="4" w:space="0"/>
              <w:bottom w:val="single" w:color="000000" w:sz="4" w:space="0"/>
              <w:right w:val="single" w:color="000000" w:sz="4" w:space="0"/>
            </w:tcBorders>
            <w:noWrap/>
            <w:vAlign w:val="center"/>
          </w:tcPr>
          <w:p w14:paraId="38429771">
            <w:pPr>
              <w:pStyle w:val="33"/>
              <w:rPr>
                <w:color w:val="auto"/>
              </w:rPr>
            </w:pPr>
            <w:r>
              <w:rPr>
                <w:color w:val="auto"/>
                <w:lang w:bidi="ar"/>
              </w:rPr>
              <w:t>进水浓度</w:t>
            </w:r>
          </w:p>
        </w:tc>
        <w:tc>
          <w:tcPr>
            <w:tcW w:w="2182" w:type="dxa"/>
            <w:gridSpan w:val="2"/>
            <w:tcBorders>
              <w:top w:val="single" w:color="000000" w:sz="4" w:space="0"/>
              <w:left w:val="single" w:color="000000" w:sz="4" w:space="0"/>
              <w:bottom w:val="single" w:color="000000" w:sz="4" w:space="0"/>
              <w:right w:val="single" w:color="000000" w:sz="4" w:space="0"/>
            </w:tcBorders>
            <w:noWrap/>
            <w:vAlign w:val="center"/>
          </w:tcPr>
          <w:p w14:paraId="6DB8A34A">
            <w:pPr>
              <w:pStyle w:val="33"/>
              <w:rPr>
                <w:color w:val="auto"/>
              </w:rPr>
            </w:pPr>
            <w:r>
              <w:rPr>
                <w:color w:val="auto"/>
                <w:lang w:bidi="ar"/>
              </w:rPr>
              <w:t>一级处理</w:t>
            </w:r>
          </w:p>
        </w:tc>
        <w:tc>
          <w:tcPr>
            <w:tcW w:w="2268" w:type="dxa"/>
            <w:gridSpan w:val="2"/>
            <w:tcBorders>
              <w:top w:val="single" w:color="000000" w:sz="4" w:space="0"/>
              <w:left w:val="single" w:color="000000" w:sz="4" w:space="0"/>
              <w:bottom w:val="single" w:color="000000" w:sz="4" w:space="0"/>
              <w:right w:val="single" w:color="000000" w:sz="4" w:space="0"/>
            </w:tcBorders>
            <w:noWrap/>
            <w:vAlign w:val="center"/>
          </w:tcPr>
          <w:p w14:paraId="15B53FEB">
            <w:pPr>
              <w:pStyle w:val="33"/>
              <w:rPr>
                <w:color w:val="auto"/>
              </w:rPr>
            </w:pPr>
            <w:r>
              <w:rPr>
                <w:color w:val="auto"/>
                <w:lang w:bidi="ar"/>
              </w:rPr>
              <w:t>二级处理</w:t>
            </w:r>
          </w:p>
        </w:tc>
        <w:tc>
          <w:tcPr>
            <w:tcW w:w="2268" w:type="dxa"/>
            <w:gridSpan w:val="2"/>
            <w:tcBorders>
              <w:top w:val="single" w:color="000000" w:sz="4" w:space="0"/>
              <w:left w:val="single" w:color="000000" w:sz="4" w:space="0"/>
              <w:bottom w:val="single" w:color="000000" w:sz="4" w:space="0"/>
              <w:right w:val="single" w:color="000000" w:sz="4" w:space="0"/>
            </w:tcBorders>
            <w:noWrap/>
            <w:vAlign w:val="center"/>
          </w:tcPr>
          <w:p w14:paraId="6561CD2C">
            <w:pPr>
              <w:pStyle w:val="33"/>
              <w:rPr>
                <w:color w:val="auto"/>
              </w:rPr>
            </w:pPr>
            <w:r>
              <w:rPr>
                <w:color w:val="auto"/>
                <w:lang w:bidi="ar"/>
              </w:rPr>
              <w:t>三级处理</w:t>
            </w:r>
          </w:p>
        </w:tc>
      </w:tr>
      <w:tr w14:paraId="4E3754F4">
        <w:tblPrEx>
          <w:tblCellMar>
            <w:top w:w="0" w:type="dxa"/>
            <w:left w:w="108" w:type="dxa"/>
            <w:bottom w:w="0" w:type="dxa"/>
            <w:right w:w="108" w:type="dxa"/>
          </w:tblCellMar>
        </w:tblPrEx>
        <w:trPr>
          <w:trHeight w:val="270" w:hRule="atLeast"/>
        </w:trPr>
        <w:tc>
          <w:tcPr>
            <w:tcW w:w="790" w:type="dxa"/>
            <w:vMerge w:val="continue"/>
            <w:tcBorders>
              <w:top w:val="single" w:color="000000" w:sz="4" w:space="0"/>
              <w:left w:val="single" w:color="000000" w:sz="4" w:space="0"/>
              <w:bottom w:val="single" w:color="000000" w:sz="4" w:space="0"/>
              <w:right w:val="single" w:color="000000" w:sz="4" w:space="0"/>
            </w:tcBorders>
            <w:noWrap/>
            <w:vAlign w:val="center"/>
          </w:tcPr>
          <w:p w14:paraId="1605A83D">
            <w:pPr>
              <w:pStyle w:val="33"/>
              <w:rPr>
                <w:color w:val="auto"/>
              </w:rPr>
            </w:pPr>
          </w:p>
        </w:tc>
        <w:tc>
          <w:tcPr>
            <w:tcW w:w="769" w:type="dxa"/>
            <w:vMerge w:val="continue"/>
            <w:tcBorders>
              <w:top w:val="single" w:color="000000" w:sz="4" w:space="0"/>
              <w:left w:val="single" w:color="000000" w:sz="4" w:space="0"/>
              <w:bottom w:val="single" w:color="000000" w:sz="4" w:space="0"/>
              <w:right w:val="single" w:color="000000" w:sz="4" w:space="0"/>
            </w:tcBorders>
            <w:noWrap/>
            <w:vAlign w:val="center"/>
          </w:tcPr>
          <w:p w14:paraId="7213F703">
            <w:pPr>
              <w:pStyle w:val="33"/>
              <w:rPr>
                <w:color w:val="auto"/>
              </w:rPr>
            </w:pPr>
          </w:p>
        </w:tc>
        <w:tc>
          <w:tcPr>
            <w:tcW w:w="790" w:type="dxa"/>
            <w:vMerge w:val="continue"/>
            <w:tcBorders>
              <w:top w:val="single" w:color="000000" w:sz="4" w:space="0"/>
              <w:left w:val="single" w:color="000000" w:sz="4" w:space="0"/>
              <w:bottom w:val="single" w:color="000000" w:sz="4" w:space="0"/>
              <w:right w:val="single" w:color="000000" w:sz="4" w:space="0"/>
            </w:tcBorders>
            <w:noWrap/>
            <w:vAlign w:val="center"/>
          </w:tcPr>
          <w:p w14:paraId="02F8198B">
            <w:pPr>
              <w:pStyle w:val="33"/>
              <w:rPr>
                <w:color w:val="auto"/>
              </w:rPr>
            </w:pPr>
          </w:p>
        </w:tc>
        <w:tc>
          <w:tcPr>
            <w:tcW w:w="1048" w:type="dxa"/>
            <w:tcBorders>
              <w:top w:val="single" w:color="000000" w:sz="4" w:space="0"/>
              <w:left w:val="single" w:color="000000" w:sz="4" w:space="0"/>
              <w:bottom w:val="single" w:color="000000" w:sz="4" w:space="0"/>
              <w:right w:val="single" w:color="000000" w:sz="4" w:space="0"/>
            </w:tcBorders>
            <w:noWrap/>
            <w:vAlign w:val="center"/>
          </w:tcPr>
          <w:p w14:paraId="02F888E5">
            <w:pPr>
              <w:pStyle w:val="33"/>
              <w:rPr>
                <w:color w:val="auto"/>
              </w:rPr>
            </w:pPr>
            <w:r>
              <w:rPr>
                <w:color w:val="auto"/>
                <w:lang w:bidi="ar"/>
              </w:rPr>
              <w:t>去除率%</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3A870CB">
            <w:pPr>
              <w:pStyle w:val="33"/>
              <w:rPr>
                <w:color w:val="auto"/>
              </w:rPr>
            </w:pPr>
            <w:r>
              <w:rPr>
                <w:color w:val="auto"/>
                <w:lang w:bidi="ar"/>
              </w:rPr>
              <w:t>出水浓度</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4F3FF1E1">
            <w:pPr>
              <w:pStyle w:val="33"/>
              <w:rPr>
                <w:color w:val="auto"/>
              </w:rPr>
            </w:pPr>
            <w:r>
              <w:rPr>
                <w:color w:val="auto"/>
                <w:lang w:bidi="ar"/>
              </w:rPr>
              <w:t>去除率%</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32F307C">
            <w:pPr>
              <w:pStyle w:val="33"/>
              <w:rPr>
                <w:color w:val="auto"/>
              </w:rPr>
            </w:pPr>
            <w:r>
              <w:rPr>
                <w:color w:val="auto"/>
                <w:lang w:bidi="ar"/>
              </w:rPr>
              <w:t>出水浓度</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463E688">
            <w:pPr>
              <w:pStyle w:val="33"/>
              <w:rPr>
                <w:color w:val="auto"/>
              </w:rPr>
            </w:pPr>
            <w:r>
              <w:rPr>
                <w:color w:val="auto"/>
                <w:lang w:bidi="ar"/>
              </w:rPr>
              <w:t>去除率%</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78FAEF2">
            <w:pPr>
              <w:pStyle w:val="33"/>
              <w:rPr>
                <w:color w:val="auto"/>
              </w:rPr>
            </w:pPr>
            <w:r>
              <w:rPr>
                <w:color w:val="auto"/>
                <w:lang w:bidi="ar"/>
              </w:rPr>
              <w:t>出水浓度</w:t>
            </w:r>
          </w:p>
        </w:tc>
      </w:tr>
      <w:tr w14:paraId="4B169D51">
        <w:tblPrEx>
          <w:tblCellMar>
            <w:top w:w="0" w:type="dxa"/>
            <w:left w:w="108" w:type="dxa"/>
            <w:bottom w:w="0" w:type="dxa"/>
            <w:right w:w="108" w:type="dxa"/>
          </w:tblCellMar>
        </w:tblPrEx>
        <w:trPr>
          <w:trHeight w:val="300" w:hRule="atLeast"/>
        </w:trPr>
        <w:tc>
          <w:tcPr>
            <w:tcW w:w="790" w:type="dxa"/>
            <w:vMerge w:val="restart"/>
            <w:tcBorders>
              <w:top w:val="single" w:color="000000" w:sz="4" w:space="0"/>
              <w:left w:val="single" w:color="000000" w:sz="4" w:space="0"/>
              <w:bottom w:val="single" w:color="000000" w:sz="4" w:space="0"/>
              <w:right w:val="single" w:color="000000" w:sz="4" w:space="0"/>
            </w:tcBorders>
            <w:noWrap/>
            <w:vAlign w:val="center"/>
          </w:tcPr>
          <w:p w14:paraId="3BC2E2B7">
            <w:pPr>
              <w:pStyle w:val="33"/>
              <w:rPr>
                <w:color w:val="auto"/>
              </w:rPr>
            </w:pPr>
            <w:r>
              <w:rPr>
                <w:rFonts w:hint="eastAsia"/>
                <w:color w:val="auto"/>
                <w:lang w:bidi="ar"/>
              </w:rPr>
              <w:t>20000</w:t>
            </w:r>
          </w:p>
        </w:tc>
        <w:tc>
          <w:tcPr>
            <w:tcW w:w="769" w:type="dxa"/>
            <w:tcBorders>
              <w:top w:val="single" w:color="000000" w:sz="4" w:space="0"/>
              <w:left w:val="single" w:color="000000" w:sz="4" w:space="0"/>
              <w:bottom w:val="single" w:color="000000" w:sz="4" w:space="0"/>
              <w:right w:val="single" w:color="000000" w:sz="4" w:space="0"/>
            </w:tcBorders>
            <w:noWrap/>
            <w:vAlign w:val="center"/>
          </w:tcPr>
          <w:p w14:paraId="3E806AA9">
            <w:pPr>
              <w:pStyle w:val="33"/>
              <w:rPr>
                <w:color w:val="auto"/>
              </w:rPr>
            </w:pPr>
            <w:r>
              <w:rPr>
                <w:rFonts w:eastAsia="等线" w:cs="Times New Roman"/>
                <w:color w:val="auto"/>
                <w:sz w:val="20"/>
                <w:szCs w:val="20"/>
              </w:rPr>
              <w:t>COD</w:t>
            </w:r>
            <w:r>
              <w:rPr>
                <w:rFonts w:eastAsia="等线" w:cs="Times New Roman"/>
                <w:color w:val="auto"/>
                <w:sz w:val="20"/>
                <w:szCs w:val="20"/>
                <w:vertAlign w:val="subscript"/>
              </w:rPr>
              <w:t>cr</w:t>
            </w:r>
          </w:p>
        </w:tc>
        <w:tc>
          <w:tcPr>
            <w:tcW w:w="790" w:type="dxa"/>
            <w:tcBorders>
              <w:top w:val="single" w:color="000000" w:sz="4" w:space="0"/>
              <w:left w:val="single" w:color="000000" w:sz="4" w:space="0"/>
              <w:bottom w:val="single" w:color="000000" w:sz="4" w:space="0"/>
              <w:right w:val="single" w:color="000000" w:sz="4" w:space="0"/>
            </w:tcBorders>
            <w:vAlign w:val="center"/>
          </w:tcPr>
          <w:p w14:paraId="5F88A99D">
            <w:pPr>
              <w:pStyle w:val="33"/>
              <w:rPr>
                <w:color w:val="auto"/>
              </w:rPr>
            </w:pPr>
            <w:r>
              <w:rPr>
                <w:rFonts w:eastAsia="等线" w:cs="Times New Roman"/>
                <w:color w:val="auto"/>
                <w:sz w:val="20"/>
                <w:szCs w:val="20"/>
              </w:rPr>
              <w:t>2700</w:t>
            </w:r>
          </w:p>
        </w:tc>
        <w:tc>
          <w:tcPr>
            <w:tcW w:w="1048" w:type="dxa"/>
            <w:tcBorders>
              <w:top w:val="single" w:color="000000" w:sz="4" w:space="0"/>
              <w:left w:val="single" w:color="000000" w:sz="4" w:space="0"/>
              <w:bottom w:val="single" w:color="000000" w:sz="4" w:space="0"/>
              <w:right w:val="single" w:color="000000" w:sz="4" w:space="0"/>
            </w:tcBorders>
            <w:noWrap/>
            <w:vAlign w:val="center"/>
          </w:tcPr>
          <w:p w14:paraId="18DFCC2C">
            <w:pPr>
              <w:pStyle w:val="33"/>
              <w:rPr>
                <w:color w:val="auto"/>
              </w:rPr>
            </w:pPr>
            <w:r>
              <w:rPr>
                <w:rFonts w:eastAsia="等线" w:cs="Times New Roman"/>
                <w:color w:val="auto"/>
                <w:sz w:val="20"/>
                <w:szCs w:val="20"/>
              </w:rPr>
              <w:t>56%</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CA8692F">
            <w:pPr>
              <w:pStyle w:val="33"/>
              <w:rPr>
                <w:color w:val="auto"/>
              </w:rPr>
            </w:pPr>
            <w:r>
              <w:rPr>
                <w:rFonts w:eastAsia="等线" w:cs="Times New Roman"/>
                <w:color w:val="auto"/>
                <w:sz w:val="20"/>
                <w:szCs w:val="20"/>
              </w:rPr>
              <w:t>1188</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068A591">
            <w:pPr>
              <w:pStyle w:val="33"/>
              <w:rPr>
                <w:color w:val="auto"/>
              </w:rPr>
            </w:pPr>
            <w:r>
              <w:rPr>
                <w:rFonts w:eastAsia="等线" w:cs="Times New Roman"/>
                <w:color w:val="auto"/>
                <w:sz w:val="20"/>
                <w:szCs w:val="20"/>
              </w:rPr>
              <w:t>82%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9A49985">
            <w:pPr>
              <w:pStyle w:val="33"/>
              <w:rPr>
                <w:color w:val="auto"/>
              </w:rPr>
            </w:pPr>
            <w:r>
              <w:rPr>
                <w:rFonts w:eastAsia="等线" w:cs="Times New Roman"/>
                <w:color w:val="auto"/>
                <w:sz w:val="20"/>
                <w:szCs w:val="20"/>
              </w:rPr>
              <w:t>213.84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AA26819">
            <w:pPr>
              <w:pStyle w:val="33"/>
              <w:rPr>
                <w:color w:val="auto"/>
              </w:rPr>
            </w:pPr>
            <w:r>
              <w:rPr>
                <w:rFonts w:eastAsia="等线" w:cs="Times New Roman"/>
                <w:color w:val="auto"/>
                <w:sz w:val="20"/>
                <w:szCs w:val="20"/>
              </w:rPr>
              <w:t>60%</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3804652">
            <w:pPr>
              <w:pStyle w:val="33"/>
              <w:rPr>
                <w:color w:val="auto"/>
              </w:rPr>
            </w:pPr>
            <w:r>
              <w:rPr>
                <w:rFonts w:eastAsia="等线" w:cs="Times New Roman"/>
                <w:color w:val="auto"/>
                <w:sz w:val="20"/>
                <w:szCs w:val="20"/>
              </w:rPr>
              <w:t>85.536</w:t>
            </w:r>
          </w:p>
        </w:tc>
      </w:tr>
      <w:tr w14:paraId="230A277C">
        <w:tblPrEx>
          <w:tblCellMar>
            <w:top w:w="0" w:type="dxa"/>
            <w:left w:w="108" w:type="dxa"/>
            <w:bottom w:w="0" w:type="dxa"/>
            <w:right w:w="108" w:type="dxa"/>
          </w:tblCellMar>
        </w:tblPrEx>
        <w:trPr>
          <w:trHeight w:val="300" w:hRule="atLeast"/>
        </w:trPr>
        <w:tc>
          <w:tcPr>
            <w:tcW w:w="790" w:type="dxa"/>
            <w:vMerge w:val="continue"/>
            <w:tcBorders>
              <w:top w:val="single" w:color="000000" w:sz="4" w:space="0"/>
              <w:left w:val="single" w:color="000000" w:sz="4" w:space="0"/>
              <w:bottom w:val="single" w:color="000000" w:sz="4" w:space="0"/>
              <w:right w:val="single" w:color="000000" w:sz="4" w:space="0"/>
            </w:tcBorders>
            <w:noWrap/>
            <w:vAlign w:val="center"/>
          </w:tcPr>
          <w:p w14:paraId="3D9E0AFC">
            <w:pPr>
              <w:pStyle w:val="33"/>
              <w:rPr>
                <w:color w:val="auto"/>
              </w:rPr>
            </w:pPr>
          </w:p>
        </w:tc>
        <w:tc>
          <w:tcPr>
            <w:tcW w:w="769" w:type="dxa"/>
            <w:tcBorders>
              <w:top w:val="single" w:color="000000" w:sz="4" w:space="0"/>
              <w:left w:val="single" w:color="000000" w:sz="4" w:space="0"/>
              <w:bottom w:val="single" w:color="000000" w:sz="4" w:space="0"/>
              <w:right w:val="single" w:color="000000" w:sz="4" w:space="0"/>
            </w:tcBorders>
            <w:noWrap/>
            <w:vAlign w:val="center"/>
          </w:tcPr>
          <w:p w14:paraId="7318483A">
            <w:pPr>
              <w:pStyle w:val="33"/>
              <w:rPr>
                <w:color w:val="auto"/>
              </w:rPr>
            </w:pPr>
            <w:r>
              <w:rPr>
                <w:rFonts w:eastAsia="等线" w:cs="Times New Roman"/>
                <w:color w:val="auto"/>
                <w:sz w:val="20"/>
                <w:szCs w:val="20"/>
              </w:rPr>
              <w:t>SS</w:t>
            </w:r>
          </w:p>
        </w:tc>
        <w:tc>
          <w:tcPr>
            <w:tcW w:w="790" w:type="dxa"/>
            <w:tcBorders>
              <w:top w:val="single" w:color="000000" w:sz="4" w:space="0"/>
              <w:left w:val="single" w:color="000000" w:sz="4" w:space="0"/>
              <w:bottom w:val="single" w:color="000000" w:sz="4" w:space="0"/>
              <w:right w:val="single" w:color="000000" w:sz="4" w:space="0"/>
            </w:tcBorders>
            <w:noWrap/>
            <w:vAlign w:val="center"/>
          </w:tcPr>
          <w:p w14:paraId="0597BB61">
            <w:pPr>
              <w:pStyle w:val="33"/>
              <w:rPr>
                <w:color w:val="auto"/>
              </w:rPr>
            </w:pPr>
            <w:r>
              <w:rPr>
                <w:rFonts w:eastAsia="等线" w:cs="Times New Roman"/>
                <w:color w:val="auto"/>
                <w:sz w:val="20"/>
                <w:szCs w:val="20"/>
              </w:rPr>
              <w:t>700</w:t>
            </w:r>
          </w:p>
        </w:tc>
        <w:tc>
          <w:tcPr>
            <w:tcW w:w="1048" w:type="dxa"/>
            <w:tcBorders>
              <w:top w:val="single" w:color="000000" w:sz="4" w:space="0"/>
              <w:left w:val="single" w:color="000000" w:sz="4" w:space="0"/>
              <w:bottom w:val="single" w:color="000000" w:sz="4" w:space="0"/>
              <w:right w:val="single" w:color="000000" w:sz="4" w:space="0"/>
            </w:tcBorders>
            <w:noWrap/>
            <w:vAlign w:val="center"/>
          </w:tcPr>
          <w:p w14:paraId="28FC37B4">
            <w:pPr>
              <w:pStyle w:val="33"/>
              <w:rPr>
                <w:color w:val="auto"/>
              </w:rPr>
            </w:pPr>
            <w:r>
              <w:rPr>
                <w:rFonts w:eastAsia="等线" w:cs="Times New Roman"/>
                <w:color w:val="auto"/>
                <w:sz w:val="20"/>
                <w:szCs w:val="20"/>
              </w:rPr>
              <w:t>79%</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EF1C875">
            <w:pPr>
              <w:pStyle w:val="33"/>
              <w:rPr>
                <w:color w:val="auto"/>
              </w:rPr>
            </w:pPr>
            <w:r>
              <w:rPr>
                <w:rFonts w:eastAsia="等线" w:cs="Times New Roman"/>
                <w:color w:val="auto"/>
                <w:sz w:val="20"/>
                <w:szCs w:val="20"/>
              </w:rPr>
              <w:t>147</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0C82EB1">
            <w:pPr>
              <w:pStyle w:val="33"/>
              <w:rPr>
                <w:color w:val="auto"/>
              </w:rPr>
            </w:pPr>
            <w:r>
              <w:rPr>
                <w:rFonts w:eastAsia="等线" w:cs="Times New Roman"/>
                <w:color w:val="auto"/>
                <w:sz w:val="20"/>
                <w:szCs w:val="20"/>
              </w:rPr>
              <w:t>70%</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AB41B03">
            <w:pPr>
              <w:pStyle w:val="33"/>
              <w:rPr>
                <w:color w:val="auto"/>
              </w:rPr>
            </w:pPr>
            <w:r>
              <w:rPr>
                <w:rFonts w:eastAsia="等线" w:cs="Times New Roman"/>
                <w:color w:val="auto"/>
                <w:sz w:val="20"/>
                <w:szCs w:val="20"/>
              </w:rPr>
              <w:t>44.1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A7D0C58">
            <w:pPr>
              <w:pStyle w:val="33"/>
              <w:rPr>
                <w:color w:val="auto"/>
              </w:rPr>
            </w:pPr>
            <w:r>
              <w:rPr>
                <w:rFonts w:eastAsia="等线" w:cs="Times New Roman"/>
                <w:color w:val="auto"/>
                <w:sz w:val="20"/>
                <w:szCs w:val="20"/>
              </w:rPr>
              <w:t>70%</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0A4F6609">
            <w:pPr>
              <w:pStyle w:val="33"/>
              <w:rPr>
                <w:color w:val="auto"/>
              </w:rPr>
            </w:pPr>
            <w:r>
              <w:rPr>
                <w:rFonts w:eastAsia="等线" w:cs="Times New Roman"/>
                <w:color w:val="auto"/>
                <w:sz w:val="20"/>
                <w:szCs w:val="20"/>
              </w:rPr>
              <w:t>13.23</w:t>
            </w:r>
          </w:p>
        </w:tc>
      </w:tr>
    </w:tbl>
    <w:p w14:paraId="38C5E141">
      <w:pPr>
        <w:ind w:firstLine="480"/>
        <w:rPr>
          <w:color w:val="auto"/>
        </w:rPr>
      </w:pPr>
      <w:r>
        <w:rPr>
          <w:color w:val="auto"/>
        </w:rPr>
        <w:t>由上表可得项目实施后项目新建污水处理系统一级处理工艺去除SS的量为</w:t>
      </w:r>
      <w:r>
        <w:rPr>
          <w:rFonts w:hint="eastAsia"/>
          <w:color w:val="auto"/>
        </w:rPr>
        <w:t>3760.4</w:t>
      </w:r>
      <w:r>
        <w:rPr>
          <w:color w:val="auto"/>
        </w:rPr>
        <w:t>t/a，二级生化处理工艺去除COD的量为</w:t>
      </w:r>
      <w:r>
        <w:rPr>
          <w:rFonts w:hint="eastAsia"/>
          <w:color w:val="auto"/>
        </w:rPr>
        <w:t>6624.288</w:t>
      </w:r>
      <w:r>
        <w:rPr>
          <w:color w:val="auto"/>
        </w:rPr>
        <w:t>t/a，三级物化处理去除COD的量为</w:t>
      </w:r>
      <w:r>
        <w:rPr>
          <w:rFonts w:hint="eastAsia"/>
          <w:color w:val="auto"/>
        </w:rPr>
        <w:t>872.467</w:t>
      </w:r>
      <w:r>
        <w:rPr>
          <w:color w:val="auto"/>
        </w:rPr>
        <w:t>t/a。项目实施后新建污水处理系统污泥产生量见下表。</w:t>
      </w:r>
    </w:p>
    <w:p w14:paraId="1A5F3BCE">
      <w:pPr>
        <w:pStyle w:val="7"/>
        <w:rPr>
          <w:color w:val="auto"/>
        </w:rPr>
      </w:pPr>
      <w:r>
        <w:rPr>
          <w:color w:val="auto"/>
        </w:rPr>
        <w:t>新建污水处理系统污泥产量</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2135"/>
        <w:gridCol w:w="2138"/>
        <w:gridCol w:w="2138"/>
      </w:tblGrid>
      <w:tr w14:paraId="19113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5286025C">
            <w:pPr>
              <w:pStyle w:val="33"/>
              <w:rPr>
                <w:color w:val="auto"/>
              </w:rPr>
            </w:pPr>
            <w:r>
              <w:rPr>
                <w:color w:val="auto"/>
                <w:lang w:bidi="ar"/>
              </w:rPr>
              <w:t>污泥来源</w:t>
            </w:r>
          </w:p>
        </w:tc>
        <w:tc>
          <w:tcPr>
            <w:tcW w:w="2135" w:type="dxa"/>
            <w:vAlign w:val="center"/>
          </w:tcPr>
          <w:p w14:paraId="7A1569EC">
            <w:pPr>
              <w:pStyle w:val="33"/>
              <w:rPr>
                <w:color w:val="auto"/>
              </w:rPr>
            </w:pPr>
            <w:r>
              <w:rPr>
                <w:color w:val="auto"/>
                <w:lang w:bidi="ar"/>
              </w:rPr>
              <w:t>去除量t/a</w:t>
            </w:r>
          </w:p>
        </w:tc>
        <w:tc>
          <w:tcPr>
            <w:tcW w:w="2138" w:type="dxa"/>
            <w:vAlign w:val="center"/>
          </w:tcPr>
          <w:p w14:paraId="228D6F28">
            <w:pPr>
              <w:pStyle w:val="33"/>
              <w:rPr>
                <w:color w:val="auto"/>
              </w:rPr>
            </w:pPr>
            <w:r>
              <w:rPr>
                <w:color w:val="auto"/>
                <w:lang w:bidi="ar"/>
              </w:rPr>
              <w:t>工艺污泥产量参数</w:t>
            </w:r>
          </w:p>
        </w:tc>
        <w:tc>
          <w:tcPr>
            <w:tcW w:w="2138" w:type="dxa"/>
            <w:vAlign w:val="center"/>
          </w:tcPr>
          <w:p w14:paraId="26EE2514">
            <w:pPr>
              <w:pStyle w:val="33"/>
              <w:rPr>
                <w:color w:val="auto"/>
              </w:rPr>
            </w:pPr>
            <w:r>
              <w:rPr>
                <w:color w:val="auto"/>
                <w:lang w:bidi="ar"/>
              </w:rPr>
              <w:t>污泥产量t/a</w:t>
            </w:r>
          </w:p>
        </w:tc>
      </w:tr>
      <w:tr w14:paraId="55DE6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449FFEA6">
            <w:pPr>
              <w:pStyle w:val="33"/>
              <w:rPr>
                <w:color w:val="auto"/>
              </w:rPr>
            </w:pPr>
            <w:r>
              <w:rPr>
                <w:color w:val="auto"/>
                <w:lang w:bidi="ar"/>
              </w:rPr>
              <w:t>初沉污泥</w:t>
            </w:r>
          </w:p>
        </w:tc>
        <w:tc>
          <w:tcPr>
            <w:tcW w:w="2135" w:type="dxa"/>
            <w:vAlign w:val="center"/>
          </w:tcPr>
          <w:p w14:paraId="48F8FB6C">
            <w:pPr>
              <w:pStyle w:val="33"/>
              <w:rPr>
                <w:color w:val="auto"/>
              </w:rPr>
            </w:pPr>
            <w:r>
              <w:rPr>
                <w:rFonts w:eastAsia="等线" w:cs="Times New Roman"/>
                <w:color w:val="auto"/>
                <w:sz w:val="20"/>
                <w:szCs w:val="20"/>
              </w:rPr>
              <w:t>3760.4</w:t>
            </w:r>
          </w:p>
        </w:tc>
        <w:tc>
          <w:tcPr>
            <w:tcW w:w="2138" w:type="dxa"/>
            <w:vAlign w:val="center"/>
          </w:tcPr>
          <w:p w14:paraId="12D24544">
            <w:pPr>
              <w:pStyle w:val="33"/>
              <w:rPr>
                <w:color w:val="auto"/>
              </w:rPr>
            </w:pPr>
            <w:r>
              <w:rPr>
                <w:rFonts w:eastAsia="等线" w:cs="Times New Roman"/>
                <w:color w:val="auto"/>
                <w:sz w:val="20"/>
                <w:szCs w:val="20"/>
              </w:rPr>
              <w:t>1kgDS/kgSS</w:t>
            </w:r>
          </w:p>
        </w:tc>
        <w:tc>
          <w:tcPr>
            <w:tcW w:w="2138" w:type="dxa"/>
            <w:vAlign w:val="center"/>
          </w:tcPr>
          <w:p w14:paraId="27B7EBD1">
            <w:pPr>
              <w:pStyle w:val="33"/>
              <w:rPr>
                <w:color w:val="auto"/>
              </w:rPr>
            </w:pPr>
            <w:r>
              <w:rPr>
                <w:rFonts w:eastAsia="等线" w:cs="Times New Roman"/>
                <w:color w:val="auto"/>
                <w:sz w:val="20"/>
                <w:szCs w:val="20"/>
              </w:rPr>
              <w:t>3760.4</w:t>
            </w:r>
          </w:p>
        </w:tc>
      </w:tr>
      <w:tr w14:paraId="5432A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0B95E094">
            <w:pPr>
              <w:pStyle w:val="33"/>
              <w:rPr>
                <w:color w:val="auto"/>
              </w:rPr>
            </w:pPr>
            <w:r>
              <w:rPr>
                <w:color w:val="auto"/>
                <w:lang w:bidi="ar"/>
              </w:rPr>
              <w:t>好氧剩余污泥</w:t>
            </w:r>
          </w:p>
        </w:tc>
        <w:tc>
          <w:tcPr>
            <w:tcW w:w="2135" w:type="dxa"/>
            <w:vAlign w:val="center"/>
          </w:tcPr>
          <w:p w14:paraId="0FD5321C">
            <w:pPr>
              <w:pStyle w:val="33"/>
              <w:rPr>
                <w:color w:val="auto"/>
              </w:rPr>
            </w:pPr>
            <w:r>
              <w:rPr>
                <w:rFonts w:eastAsia="等线" w:cs="Times New Roman"/>
                <w:color w:val="auto"/>
                <w:sz w:val="20"/>
                <w:szCs w:val="20"/>
              </w:rPr>
              <w:t>6624.288</w:t>
            </w:r>
          </w:p>
        </w:tc>
        <w:tc>
          <w:tcPr>
            <w:tcW w:w="2138" w:type="dxa"/>
            <w:vAlign w:val="center"/>
          </w:tcPr>
          <w:p w14:paraId="00F01353">
            <w:pPr>
              <w:pStyle w:val="33"/>
              <w:rPr>
                <w:color w:val="auto"/>
              </w:rPr>
            </w:pPr>
            <w:r>
              <w:rPr>
                <w:rFonts w:eastAsia="等线" w:cs="Times New Roman"/>
                <w:color w:val="auto"/>
                <w:sz w:val="20"/>
                <w:szCs w:val="20"/>
              </w:rPr>
              <w:t>0.4kgDS/kgCODcr</w:t>
            </w:r>
          </w:p>
        </w:tc>
        <w:tc>
          <w:tcPr>
            <w:tcW w:w="2138" w:type="dxa"/>
            <w:vAlign w:val="center"/>
          </w:tcPr>
          <w:p w14:paraId="1521FEA4">
            <w:pPr>
              <w:pStyle w:val="33"/>
              <w:rPr>
                <w:color w:val="auto"/>
              </w:rPr>
            </w:pPr>
            <w:r>
              <w:rPr>
                <w:rFonts w:eastAsia="等线" w:cs="Times New Roman"/>
                <w:color w:val="auto"/>
                <w:sz w:val="20"/>
                <w:szCs w:val="20"/>
              </w:rPr>
              <w:t>2649.715</w:t>
            </w:r>
          </w:p>
        </w:tc>
      </w:tr>
      <w:tr w14:paraId="048D1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3" w:type="dxa"/>
            <w:vAlign w:val="center"/>
          </w:tcPr>
          <w:p w14:paraId="36849F48">
            <w:pPr>
              <w:pStyle w:val="33"/>
              <w:rPr>
                <w:color w:val="auto"/>
              </w:rPr>
            </w:pPr>
            <w:r>
              <w:rPr>
                <w:color w:val="auto"/>
                <w:lang w:bidi="ar"/>
              </w:rPr>
              <w:t>三级物化处理</w:t>
            </w:r>
          </w:p>
        </w:tc>
        <w:tc>
          <w:tcPr>
            <w:tcW w:w="2135" w:type="dxa"/>
            <w:vAlign w:val="center"/>
          </w:tcPr>
          <w:p w14:paraId="18DF547E">
            <w:pPr>
              <w:pStyle w:val="33"/>
              <w:rPr>
                <w:color w:val="auto"/>
              </w:rPr>
            </w:pPr>
            <w:r>
              <w:rPr>
                <w:rFonts w:eastAsia="等线" w:cs="Times New Roman"/>
                <w:color w:val="auto"/>
                <w:sz w:val="20"/>
                <w:szCs w:val="20"/>
              </w:rPr>
              <w:t>872.4672</w:t>
            </w:r>
          </w:p>
        </w:tc>
        <w:tc>
          <w:tcPr>
            <w:tcW w:w="2138" w:type="dxa"/>
            <w:vAlign w:val="center"/>
          </w:tcPr>
          <w:p w14:paraId="4AB91640">
            <w:pPr>
              <w:pStyle w:val="33"/>
              <w:rPr>
                <w:color w:val="auto"/>
              </w:rPr>
            </w:pPr>
            <w:r>
              <w:rPr>
                <w:rFonts w:eastAsia="等线" w:cs="Times New Roman"/>
                <w:color w:val="auto"/>
                <w:sz w:val="20"/>
                <w:szCs w:val="20"/>
              </w:rPr>
              <w:t>3.5kgCODcr</w:t>
            </w:r>
          </w:p>
        </w:tc>
        <w:tc>
          <w:tcPr>
            <w:tcW w:w="2138" w:type="dxa"/>
            <w:vAlign w:val="center"/>
          </w:tcPr>
          <w:p w14:paraId="39978318">
            <w:pPr>
              <w:pStyle w:val="33"/>
              <w:rPr>
                <w:color w:val="auto"/>
              </w:rPr>
            </w:pPr>
            <w:r>
              <w:rPr>
                <w:rFonts w:eastAsia="等线" w:cs="Times New Roman"/>
                <w:color w:val="auto"/>
                <w:sz w:val="20"/>
                <w:szCs w:val="20"/>
              </w:rPr>
              <w:t>3053.635</w:t>
            </w:r>
          </w:p>
        </w:tc>
      </w:tr>
      <w:tr w14:paraId="12C8E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06" w:type="dxa"/>
            <w:gridSpan w:val="3"/>
            <w:vAlign w:val="center"/>
          </w:tcPr>
          <w:p w14:paraId="335831BE">
            <w:pPr>
              <w:pStyle w:val="33"/>
              <w:rPr>
                <w:color w:val="auto"/>
                <w:lang w:bidi="ar"/>
              </w:rPr>
            </w:pPr>
            <w:r>
              <w:rPr>
                <w:color w:val="auto"/>
                <w:lang w:bidi="ar"/>
              </w:rPr>
              <w:t>合计</w:t>
            </w:r>
          </w:p>
        </w:tc>
        <w:tc>
          <w:tcPr>
            <w:tcW w:w="2138" w:type="dxa"/>
            <w:vAlign w:val="center"/>
          </w:tcPr>
          <w:p w14:paraId="59790530">
            <w:pPr>
              <w:pStyle w:val="33"/>
              <w:rPr>
                <w:color w:val="auto"/>
                <w:lang w:bidi="ar"/>
              </w:rPr>
            </w:pPr>
            <w:r>
              <w:rPr>
                <w:rFonts w:hint="eastAsia"/>
                <w:color w:val="auto"/>
                <w:lang w:bidi="ar"/>
              </w:rPr>
              <w:t>9463.750</w:t>
            </w:r>
          </w:p>
        </w:tc>
      </w:tr>
    </w:tbl>
    <w:p w14:paraId="3F6C7951">
      <w:pPr>
        <w:ind w:firstLine="480"/>
        <w:rPr>
          <w:color w:val="auto"/>
        </w:rPr>
      </w:pPr>
      <w:r>
        <w:rPr>
          <w:color w:val="auto"/>
        </w:rPr>
        <w:t>根据《制浆造纸废水治理工程技术规范》（HJ2011-2012）</w:t>
      </w:r>
      <w:r>
        <w:rPr>
          <w:rFonts w:hint="eastAsia"/>
          <w:color w:val="auto"/>
        </w:rPr>
        <w:t>，本项目产生的污泥含水率在97%~99.2%。拟建污水处理系统产生的污泥进入新建的板框机进行处理，根据企业提供资料，拟建项目污泥经过脱水后含水率可以降低至60%以下，以60%计，则污泥产生量为236.594t/a。项目产生污泥部分送入热电站锅炉焚烧回收热量，剩余部分外售至广西田东力源宝科技有限公司用作生态肥料。</w:t>
      </w:r>
    </w:p>
    <w:p w14:paraId="21FDB12E">
      <w:pPr>
        <w:ind w:firstLine="480"/>
        <w:rPr>
          <w:color w:val="auto"/>
        </w:rPr>
      </w:pPr>
      <w:r>
        <w:rPr>
          <w:color w:val="auto"/>
        </w:rPr>
        <w:t>本项目所产生污泥根据《国家危险废物名录》</w:t>
      </w:r>
      <w:r>
        <w:rPr>
          <w:rFonts w:hint="eastAsia"/>
          <w:color w:val="auto"/>
        </w:rPr>
        <w:t>（2025年版）</w:t>
      </w:r>
      <w:r>
        <w:rPr>
          <w:color w:val="auto"/>
        </w:rPr>
        <w:t>、《危险废物鉴别技术规范》（HJ298-2019）的规定判断：项目废水中主要污染因子为CODcr、氨氮，不含有重金属污染物。因此，项目产生污泥为一般固体废物。</w:t>
      </w:r>
      <w:r>
        <w:rPr>
          <w:rFonts w:hint="eastAsia"/>
          <w:color w:val="auto"/>
        </w:rPr>
        <w:t>本项目新建一套由污泥浓缩池、污泥混合池、污泥调理池、板框压滤机组成的污泥处理设施，污泥处理设施对污水处理站产生污水污泥进行调理、浓缩。浓缩池污泥经板框压滤机+污泥干化系统处理后部分送入热电站锅炉焚烧回收热量，剩余部分外售至广西田东力源宝科技有限公司用作生态肥料。</w:t>
      </w:r>
    </w:p>
    <w:p w14:paraId="69DF9198">
      <w:pPr>
        <w:ind w:firstLine="480"/>
        <w:rPr>
          <w:color w:val="auto"/>
        </w:rPr>
      </w:pPr>
      <w:r>
        <w:rPr>
          <w:rFonts w:hint="eastAsia"/>
          <w:color w:val="auto"/>
        </w:rPr>
        <w:t>4、</w:t>
      </w:r>
      <w:r>
        <w:rPr>
          <w:rFonts w:cs="Times New Roman"/>
          <w:color w:val="auto"/>
        </w:rPr>
        <w:t>废活性炭</w:t>
      </w:r>
      <w:r>
        <w:rPr>
          <w:rFonts w:hint="eastAsia"/>
          <w:color w:val="auto"/>
        </w:rPr>
        <w:t>（S4）</w:t>
      </w:r>
    </w:p>
    <w:p w14:paraId="01B067F3">
      <w:pPr>
        <w:ind w:firstLine="480"/>
        <w:rPr>
          <w:rFonts w:cs="Times New Roman"/>
          <w:color w:val="auto"/>
        </w:rPr>
      </w:pPr>
      <w:r>
        <w:rPr>
          <w:rFonts w:cs="Times New Roman"/>
          <w:color w:val="auto"/>
        </w:rPr>
        <w:t>吸附装置中的活性炭使用一段时间后达到饱和，需进行更换，此过程会产生废活性炭。</w:t>
      </w:r>
      <w:r>
        <w:rPr>
          <w:rFonts w:hint="eastAsia" w:cs="Times New Roman"/>
          <w:color w:val="auto"/>
        </w:rPr>
        <w:t>参考《广东省工业源挥发性有机物减排量核算方法（</w:t>
      </w:r>
      <w:r>
        <w:rPr>
          <w:rFonts w:cs="Times New Roman"/>
          <w:color w:val="auto"/>
        </w:rPr>
        <w:t>2023</w:t>
      </w:r>
      <w:r>
        <w:rPr>
          <w:rFonts w:hint="eastAsia" w:cs="Times New Roman"/>
          <w:color w:val="auto"/>
        </w:rPr>
        <w:t>年修订版）》中表</w:t>
      </w:r>
      <w:r>
        <w:rPr>
          <w:rFonts w:cs="Times New Roman"/>
          <w:color w:val="auto"/>
        </w:rPr>
        <w:t>3.3-3</w:t>
      </w:r>
      <w:r>
        <w:rPr>
          <w:rFonts w:hint="eastAsia" w:cs="Times New Roman"/>
          <w:color w:val="auto"/>
        </w:rPr>
        <w:t>和表</w:t>
      </w:r>
      <w:r>
        <w:rPr>
          <w:rFonts w:cs="Times New Roman"/>
          <w:color w:val="auto"/>
        </w:rPr>
        <w:t>3.3-4</w:t>
      </w:r>
      <w:r>
        <w:rPr>
          <w:rFonts w:hint="eastAsia" w:cs="Times New Roman"/>
          <w:color w:val="auto"/>
        </w:rPr>
        <w:t>，活性炭吸附技术中，采用颗粒活性炭的活性炭箱要求：过滤风速＜</w:t>
      </w:r>
      <w:r>
        <w:rPr>
          <w:rFonts w:cs="Times New Roman"/>
          <w:color w:val="auto"/>
        </w:rPr>
        <w:t>0.5m/s</w:t>
      </w:r>
      <w:r>
        <w:rPr>
          <w:rFonts w:hint="eastAsia" w:cs="Times New Roman"/>
          <w:color w:val="auto"/>
        </w:rPr>
        <w:t>，活性炭填装厚度不低于</w:t>
      </w:r>
      <w:r>
        <w:rPr>
          <w:rFonts w:cs="Times New Roman"/>
          <w:color w:val="auto"/>
        </w:rPr>
        <w:t>300mm</w:t>
      </w:r>
      <w:r>
        <w:rPr>
          <w:rFonts w:hint="eastAsia" w:cs="Times New Roman"/>
          <w:color w:val="auto"/>
        </w:rPr>
        <w:t>，</w:t>
      </w:r>
      <w:r>
        <w:rPr>
          <w:rFonts w:cs="Times New Roman"/>
          <w:color w:val="auto"/>
        </w:rPr>
        <w:t>VOCs</w:t>
      </w:r>
      <w:r>
        <w:rPr>
          <w:rFonts w:hint="eastAsia" w:cs="Times New Roman"/>
          <w:color w:val="auto"/>
        </w:rPr>
        <w:t>削减量取活性炭年更换量</w:t>
      </w:r>
      <w:r>
        <w:rPr>
          <w:rFonts w:cs="Times New Roman"/>
          <w:color w:val="auto"/>
        </w:rPr>
        <w:t>×15%</w:t>
      </w:r>
      <w:r>
        <w:rPr>
          <w:rFonts w:hint="eastAsia" w:cs="Times New Roman"/>
          <w:color w:val="auto"/>
        </w:rPr>
        <w:t>。活性炭吸附去除量为</w:t>
      </w:r>
      <w:r>
        <w:rPr>
          <w:rFonts w:cs="Times New Roman"/>
          <w:color w:val="auto"/>
        </w:rPr>
        <w:t>0.499t/a</w:t>
      </w:r>
      <w:r>
        <w:rPr>
          <w:rFonts w:hint="eastAsia" w:cs="Times New Roman"/>
          <w:color w:val="auto"/>
        </w:rPr>
        <w:t>，吸附</w:t>
      </w:r>
      <w:r>
        <w:rPr>
          <w:rFonts w:cs="Times New Roman"/>
          <w:color w:val="auto"/>
        </w:rPr>
        <w:t>0.499t/a</w:t>
      </w:r>
      <w:r>
        <w:rPr>
          <w:rFonts w:hint="eastAsia" w:cs="Times New Roman"/>
          <w:color w:val="auto"/>
        </w:rPr>
        <w:t>有机废气需要活性炭不少于</w:t>
      </w:r>
      <w:r>
        <w:rPr>
          <w:rFonts w:cs="Times New Roman"/>
          <w:color w:val="auto"/>
        </w:rPr>
        <w:t>3t/a</w:t>
      </w:r>
      <w:r>
        <w:rPr>
          <w:rFonts w:hint="eastAsia" w:cs="Times New Roman"/>
          <w:color w:val="auto"/>
        </w:rPr>
        <w:t>。根据设计，活性炭每3个月更换一次，每次更换量约为</w:t>
      </w:r>
      <w:r>
        <w:rPr>
          <w:rFonts w:cs="Times New Roman"/>
          <w:color w:val="auto"/>
        </w:rPr>
        <w:t>0.</w:t>
      </w:r>
      <w:r>
        <w:rPr>
          <w:rFonts w:hint="eastAsia" w:cs="Times New Roman"/>
          <w:color w:val="auto"/>
        </w:rPr>
        <w:t>9</w:t>
      </w:r>
      <w:r>
        <w:rPr>
          <w:rFonts w:cs="Times New Roman"/>
          <w:color w:val="auto"/>
        </w:rPr>
        <w:t>t</w:t>
      </w:r>
      <w:r>
        <w:rPr>
          <w:rFonts w:hint="eastAsia" w:cs="Times New Roman"/>
          <w:color w:val="auto"/>
        </w:rPr>
        <w:t>，即废活性炭产生量为</w:t>
      </w:r>
      <w:r>
        <w:rPr>
          <w:rFonts w:cs="Times New Roman"/>
          <w:color w:val="auto"/>
        </w:rPr>
        <w:t>3.6t/a</w:t>
      </w:r>
      <w:r>
        <w:rPr>
          <w:rFonts w:hint="eastAsia" w:cs="Times New Roman"/>
          <w:color w:val="auto"/>
        </w:rPr>
        <w:t>。</w:t>
      </w:r>
    </w:p>
    <w:p w14:paraId="2ED2862D">
      <w:pPr>
        <w:ind w:firstLine="480"/>
        <w:rPr>
          <w:color w:val="auto"/>
        </w:rPr>
      </w:pPr>
      <w:r>
        <w:rPr>
          <w:rFonts w:hint="eastAsia"/>
          <w:color w:val="auto"/>
        </w:rPr>
        <w:t>根据《国家危险废物名录（2025年版）》，废活性炭属于HW49其他废物，废物代码900-039-49，更换后暂存在危废暂存库内，定期委托有危险废物处理资质的单位处置。</w:t>
      </w:r>
    </w:p>
    <w:p w14:paraId="47810287">
      <w:pPr>
        <w:ind w:firstLine="480"/>
        <w:rPr>
          <w:color w:val="auto"/>
        </w:rPr>
      </w:pPr>
      <w:r>
        <w:rPr>
          <w:rFonts w:hint="eastAsia"/>
          <w:color w:val="auto"/>
        </w:rPr>
        <w:t>5、</w:t>
      </w:r>
      <w:r>
        <w:rPr>
          <w:rFonts w:cs="Times New Roman"/>
          <w:color w:val="auto"/>
        </w:rPr>
        <w:t>废</w:t>
      </w:r>
      <w:r>
        <w:rPr>
          <w:rFonts w:hint="eastAsia" w:cs="Times New Roman"/>
          <w:color w:val="auto"/>
        </w:rPr>
        <w:t>机油</w:t>
      </w:r>
      <w:r>
        <w:rPr>
          <w:rFonts w:hint="eastAsia"/>
          <w:color w:val="auto"/>
        </w:rPr>
        <w:t>（S5）</w:t>
      </w:r>
    </w:p>
    <w:p w14:paraId="67526244">
      <w:pPr>
        <w:ind w:firstLine="480"/>
        <w:rPr>
          <w:color w:val="auto"/>
        </w:rPr>
      </w:pPr>
      <w:r>
        <w:rPr>
          <w:rFonts w:cs="Times New Roman"/>
          <w:color w:val="auto"/>
          <w:szCs w:val="24"/>
        </w:rPr>
        <w:t>项目</w:t>
      </w:r>
      <w:r>
        <w:rPr>
          <w:rFonts w:hint="eastAsia" w:cs="Times New Roman"/>
          <w:color w:val="auto"/>
          <w:szCs w:val="24"/>
        </w:rPr>
        <w:t>新增</w:t>
      </w:r>
      <w:r>
        <w:rPr>
          <w:rFonts w:cs="Times New Roman"/>
          <w:color w:val="auto"/>
          <w:szCs w:val="24"/>
        </w:rPr>
        <w:t>设备维护维修过程会产生少量废矿物油</w:t>
      </w:r>
      <w:r>
        <w:rPr>
          <w:rFonts w:hint="eastAsia" w:cs="Times New Roman"/>
          <w:color w:val="auto"/>
          <w:szCs w:val="24"/>
        </w:rPr>
        <w:t>，新增产生量约为0.1t/a。</w:t>
      </w:r>
      <w:r>
        <w:rPr>
          <w:rFonts w:cs="Times New Roman"/>
          <w:color w:val="auto"/>
        </w:rPr>
        <w:t>废</w:t>
      </w:r>
      <w:r>
        <w:rPr>
          <w:rFonts w:hint="eastAsia" w:cs="Times New Roman"/>
          <w:color w:val="auto"/>
        </w:rPr>
        <w:t>机油</w:t>
      </w:r>
      <w:r>
        <w:rPr>
          <w:rFonts w:hint="eastAsia" w:cs="Times New Roman"/>
          <w:color w:val="auto"/>
          <w:szCs w:val="24"/>
        </w:rPr>
        <w:t>属于废矿物油，</w:t>
      </w:r>
      <w:r>
        <w:rPr>
          <w:rFonts w:hint="eastAsia"/>
          <w:color w:val="auto"/>
        </w:rPr>
        <w:t>根据《国家危险废物名录（2025年版）》，废机油属于HW08废矿物油与含矿物油废物，废物代码900-049-08，更换后暂存在危废暂存库内，定期委托有危险废物处理资质的单位处置。</w:t>
      </w:r>
    </w:p>
    <w:p w14:paraId="23814B9B">
      <w:pPr>
        <w:spacing w:line="440" w:lineRule="exact"/>
        <w:ind w:firstLine="480"/>
        <w:rPr>
          <w:rFonts w:cs="Times New Roman"/>
          <w:color w:val="auto"/>
        </w:rPr>
      </w:pPr>
      <w:r>
        <w:rPr>
          <w:rFonts w:hint="eastAsia"/>
          <w:color w:val="auto"/>
        </w:rPr>
        <w:t>6、</w:t>
      </w:r>
      <w:r>
        <w:rPr>
          <w:rFonts w:hint="eastAsia" w:cs="Times New Roman"/>
          <w:color w:val="auto"/>
        </w:rPr>
        <w:t>除砂器杂质（S6）</w:t>
      </w:r>
    </w:p>
    <w:p w14:paraId="4651EFA3">
      <w:pPr>
        <w:spacing w:line="440" w:lineRule="exact"/>
        <w:ind w:firstLine="480"/>
        <w:rPr>
          <w:rFonts w:cs="Times New Roman"/>
          <w:color w:val="auto"/>
        </w:rPr>
      </w:pPr>
      <w:r>
        <w:rPr>
          <w:rFonts w:hint="eastAsia" w:cs="Times New Roman"/>
          <w:color w:val="auto"/>
        </w:rPr>
        <w:t>项目除砂器排渣产生废渣，主要成分为碎石砂、泥土等杂质，根据类比现有项目，项目除砂器杂质产生量110t/a，属于一般固废。除砂器产生量少，含水率高，不易收集，随车间排水进入污水处理系统，最终进入污水处理厂污泥中。</w:t>
      </w:r>
    </w:p>
    <w:p w14:paraId="3384DE42">
      <w:pPr>
        <w:pStyle w:val="4"/>
        <w:rPr>
          <w:color w:val="auto"/>
        </w:rPr>
      </w:pPr>
      <w:bookmarkStart w:id="227" w:name="_Toc225216719"/>
      <w:r>
        <w:rPr>
          <w:color w:val="auto"/>
        </w:rPr>
        <w:t>工程“三废”情况排放汇总</w:t>
      </w:r>
      <w:bookmarkEnd w:id="227"/>
    </w:p>
    <w:p w14:paraId="4CC45724">
      <w:pPr>
        <w:pStyle w:val="5"/>
        <w:rPr>
          <w:color w:val="auto"/>
        </w:rPr>
      </w:pPr>
      <w:r>
        <w:rPr>
          <w:rFonts w:hint="eastAsia"/>
          <w:color w:val="auto"/>
        </w:rPr>
        <w:t>本项目</w:t>
      </w:r>
      <w:r>
        <w:rPr>
          <w:color w:val="auto"/>
        </w:rPr>
        <w:t>“三废”排放情况</w:t>
      </w:r>
    </w:p>
    <w:p w14:paraId="0B4F695D">
      <w:pPr>
        <w:ind w:firstLine="480"/>
        <w:rPr>
          <w:color w:val="auto"/>
        </w:rPr>
      </w:pPr>
      <w:r>
        <w:rPr>
          <w:rFonts w:hint="eastAsia"/>
          <w:color w:val="auto"/>
        </w:rPr>
        <w:t>本</w:t>
      </w:r>
      <w:r>
        <w:rPr>
          <w:color w:val="auto"/>
        </w:rPr>
        <w:t>项目“三废”排放情况汇总见下表。</w:t>
      </w:r>
    </w:p>
    <w:p w14:paraId="0089D108">
      <w:pPr>
        <w:pStyle w:val="7"/>
        <w:rPr>
          <w:color w:val="auto"/>
        </w:rPr>
      </w:pPr>
      <w:r>
        <w:rPr>
          <w:color w:val="auto"/>
        </w:rPr>
        <w:t>项目“三废”排放情况汇总</w:t>
      </w:r>
    </w:p>
    <w:tbl>
      <w:tblPr>
        <w:tblStyle w:val="26"/>
        <w:tblW w:w="492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2"/>
        <w:gridCol w:w="1145"/>
        <w:gridCol w:w="1449"/>
        <w:gridCol w:w="1458"/>
        <w:gridCol w:w="1597"/>
        <w:gridCol w:w="1309"/>
        <w:gridCol w:w="1309"/>
      </w:tblGrid>
      <w:tr w14:paraId="29884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482" w:type="pct"/>
            <w:vAlign w:val="center"/>
          </w:tcPr>
          <w:p w14:paraId="4224D4E1">
            <w:pPr>
              <w:pStyle w:val="33"/>
              <w:rPr>
                <w:color w:val="auto"/>
              </w:rPr>
            </w:pPr>
            <w:r>
              <w:rPr>
                <w:rFonts w:hint="eastAsia"/>
                <w:color w:val="auto"/>
              </w:rPr>
              <w:t>类型</w:t>
            </w:r>
          </w:p>
        </w:tc>
        <w:tc>
          <w:tcPr>
            <w:tcW w:w="1418" w:type="pct"/>
            <w:gridSpan w:val="2"/>
            <w:vAlign w:val="center"/>
          </w:tcPr>
          <w:p w14:paraId="1A07A5B1">
            <w:pPr>
              <w:pStyle w:val="33"/>
              <w:rPr>
                <w:color w:val="auto"/>
              </w:rPr>
            </w:pPr>
            <w:r>
              <w:rPr>
                <w:rFonts w:hint="eastAsia"/>
                <w:color w:val="auto"/>
              </w:rPr>
              <w:t>污染物</w:t>
            </w:r>
          </w:p>
        </w:tc>
        <w:tc>
          <w:tcPr>
            <w:tcW w:w="797" w:type="pct"/>
            <w:vAlign w:val="center"/>
          </w:tcPr>
          <w:p w14:paraId="326C3019">
            <w:pPr>
              <w:pStyle w:val="33"/>
              <w:rPr>
                <w:color w:val="auto"/>
              </w:rPr>
            </w:pPr>
            <w:r>
              <w:rPr>
                <w:rFonts w:hint="eastAsia"/>
                <w:color w:val="auto"/>
              </w:rPr>
              <w:t>单位</w:t>
            </w:r>
          </w:p>
        </w:tc>
        <w:tc>
          <w:tcPr>
            <w:tcW w:w="873" w:type="pct"/>
            <w:vAlign w:val="center"/>
          </w:tcPr>
          <w:p w14:paraId="7B7DFCC8">
            <w:pPr>
              <w:pStyle w:val="33"/>
              <w:rPr>
                <w:color w:val="auto"/>
              </w:rPr>
            </w:pPr>
            <w:r>
              <w:rPr>
                <w:rFonts w:hint="eastAsia"/>
                <w:color w:val="auto"/>
              </w:rPr>
              <w:t>产生量</w:t>
            </w:r>
          </w:p>
        </w:tc>
        <w:tc>
          <w:tcPr>
            <w:tcW w:w="715" w:type="pct"/>
            <w:vAlign w:val="center"/>
          </w:tcPr>
          <w:p w14:paraId="2B576C5C">
            <w:pPr>
              <w:pStyle w:val="33"/>
              <w:rPr>
                <w:color w:val="auto"/>
              </w:rPr>
            </w:pPr>
            <w:r>
              <w:rPr>
                <w:rFonts w:hint="eastAsia"/>
                <w:color w:val="auto"/>
              </w:rPr>
              <w:t>削减量</w:t>
            </w:r>
          </w:p>
        </w:tc>
        <w:tc>
          <w:tcPr>
            <w:tcW w:w="715" w:type="pct"/>
            <w:vAlign w:val="center"/>
          </w:tcPr>
          <w:p w14:paraId="53E4C7E2">
            <w:pPr>
              <w:pStyle w:val="33"/>
              <w:rPr>
                <w:color w:val="auto"/>
              </w:rPr>
            </w:pPr>
            <w:r>
              <w:rPr>
                <w:rFonts w:hint="eastAsia"/>
                <w:color w:val="auto"/>
              </w:rPr>
              <w:t>排放量</w:t>
            </w:r>
          </w:p>
        </w:tc>
      </w:tr>
      <w:tr w14:paraId="4E13F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restart"/>
            <w:vAlign w:val="center"/>
          </w:tcPr>
          <w:p w14:paraId="221C4F4D">
            <w:pPr>
              <w:pStyle w:val="33"/>
              <w:rPr>
                <w:color w:val="auto"/>
              </w:rPr>
            </w:pPr>
            <w:r>
              <w:rPr>
                <w:rFonts w:hint="eastAsia"/>
                <w:color w:val="auto"/>
              </w:rPr>
              <w:t>废水</w:t>
            </w:r>
          </w:p>
        </w:tc>
        <w:tc>
          <w:tcPr>
            <w:tcW w:w="1418" w:type="pct"/>
            <w:gridSpan w:val="2"/>
            <w:vAlign w:val="center"/>
          </w:tcPr>
          <w:p w14:paraId="331AF58B">
            <w:pPr>
              <w:pStyle w:val="33"/>
              <w:rPr>
                <w:color w:val="auto"/>
              </w:rPr>
            </w:pPr>
            <w:r>
              <w:rPr>
                <w:rFonts w:hint="eastAsia"/>
                <w:color w:val="auto"/>
              </w:rPr>
              <w:t>废水量</w:t>
            </w:r>
          </w:p>
        </w:tc>
        <w:tc>
          <w:tcPr>
            <w:tcW w:w="797" w:type="pct"/>
            <w:vAlign w:val="center"/>
          </w:tcPr>
          <w:p w14:paraId="2C4AB4A8">
            <w:pPr>
              <w:pStyle w:val="33"/>
              <w:rPr>
                <w:color w:val="auto"/>
              </w:rPr>
            </w:pPr>
            <w:r>
              <w:rPr>
                <w:rFonts w:hint="eastAsia"/>
                <w:color w:val="auto"/>
              </w:rPr>
              <w:t>万</w:t>
            </w:r>
            <w:r>
              <w:rPr>
                <w:color w:val="auto"/>
              </w:rPr>
              <w:t>m</w:t>
            </w:r>
            <w:r>
              <w:rPr>
                <w:color w:val="auto"/>
                <w:vertAlign w:val="superscript"/>
              </w:rPr>
              <w:t>3</w:t>
            </w:r>
            <w:r>
              <w:rPr>
                <w:color w:val="auto"/>
              </w:rPr>
              <w:t>/a</w:t>
            </w:r>
          </w:p>
        </w:tc>
        <w:tc>
          <w:tcPr>
            <w:tcW w:w="873" w:type="pct"/>
            <w:vAlign w:val="center"/>
          </w:tcPr>
          <w:p w14:paraId="49015EBB">
            <w:pPr>
              <w:pStyle w:val="33"/>
              <w:rPr>
                <w:color w:val="auto"/>
              </w:rPr>
            </w:pPr>
            <w:r>
              <w:rPr>
                <w:color w:val="auto"/>
              </w:rPr>
              <w:t>125.044</w:t>
            </w:r>
          </w:p>
        </w:tc>
        <w:tc>
          <w:tcPr>
            <w:tcW w:w="715" w:type="pct"/>
            <w:vAlign w:val="center"/>
          </w:tcPr>
          <w:p w14:paraId="549C13A2">
            <w:pPr>
              <w:pStyle w:val="33"/>
              <w:rPr>
                <w:color w:val="auto"/>
              </w:rPr>
            </w:pPr>
            <w:r>
              <w:rPr>
                <w:color w:val="auto"/>
              </w:rPr>
              <w:t>125.044</w:t>
            </w:r>
          </w:p>
        </w:tc>
        <w:tc>
          <w:tcPr>
            <w:tcW w:w="715" w:type="pct"/>
            <w:vAlign w:val="center"/>
          </w:tcPr>
          <w:p w14:paraId="02AA16AE">
            <w:pPr>
              <w:pStyle w:val="33"/>
              <w:rPr>
                <w:rFonts w:cs="Times New Roman"/>
                <w:color w:val="auto"/>
              </w:rPr>
            </w:pPr>
            <w:r>
              <w:rPr>
                <w:rFonts w:hint="eastAsia" w:cs="Times New Roman"/>
                <w:color w:val="auto"/>
              </w:rPr>
              <w:t>0</w:t>
            </w:r>
          </w:p>
        </w:tc>
      </w:tr>
      <w:tr w14:paraId="267BE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7003699C">
            <w:pPr>
              <w:pStyle w:val="33"/>
              <w:rPr>
                <w:color w:val="auto"/>
              </w:rPr>
            </w:pPr>
          </w:p>
        </w:tc>
        <w:tc>
          <w:tcPr>
            <w:tcW w:w="1418" w:type="pct"/>
            <w:gridSpan w:val="2"/>
            <w:vAlign w:val="center"/>
          </w:tcPr>
          <w:p w14:paraId="4DF7874C">
            <w:pPr>
              <w:pStyle w:val="33"/>
              <w:rPr>
                <w:rFonts w:cs="Times New Roman"/>
                <w:color w:val="auto"/>
              </w:rPr>
            </w:pPr>
            <w:r>
              <w:rPr>
                <w:rFonts w:cs="Times New Roman"/>
                <w:color w:val="auto"/>
              </w:rPr>
              <w:t>COD</w:t>
            </w:r>
          </w:p>
        </w:tc>
        <w:tc>
          <w:tcPr>
            <w:tcW w:w="797" w:type="pct"/>
            <w:vAlign w:val="center"/>
          </w:tcPr>
          <w:p w14:paraId="2C0E51BE">
            <w:pPr>
              <w:pStyle w:val="33"/>
              <w:rPr>
                <w:rFonts w:cs="Times New Roman"/>
                <w:color w:val="auto"/>
              </w:rPr>
            </w:pPr>
            <w:r>
              <w:rPr>
                <w:color w:val="auto"/>
              </w:rPr>
              <w:t>t/a</w:t>
            </w:r>
          </w:p>
        </w:tc>
        <w:tc>
          <w:tcPr>
            <w:tcW w:w="873" w:type="pct"/>
            <w:vAlign w:val="center"/>
          </w:tcPr>
          <w:p w14:paraId="3C62A56A">
            <w:pPr>
              <w:pStyle w:val="33"/>
              <w:rPr>
                <w:color w:val="auto"/>
              </w:rPr>
            </w:pPr>
            <w:r>
              <w:rPr>
                <w:color w:val="auto"/>
              </w:rPr>
              <w:t>3538.745</w:t>
            </w:r>
          </w:p>
        </w:tc>
        <w:tc>
          <w:tcPr>
            <w:tcW w:w="715" w:type="pct"/>
            <w:vAlign w:val="center"/>
          </w:tcPr>
          <w:p w14:paraId="2F70A09C">
            <w:pPr>
              <w:pStyle w:val="33"/>
              <w:rPr>
                <w:color w:val="auto"/>
              </w:rPr>
            </w:pPr>
            <w:r>
              <w:rPr>
                <w:color w:val="auto"/>
              </w:rPr>
              <w:t>3538.745</w:t>
            </w:r>
          </w:p>
        </w:tc>
        <w:tc>
          <w:tcPr>
            <w:tcW w:w="715" w:type="pct"/>
            <w:vAlign w:val="center"/>
          </w:tcPr>
          <w:p w14:paraId="0ECE56FE">
            <w:pPr>
              <w:pStyle w:val="33"/>
              <w:rPr>
                <w:rFonts w:cs="Times New Roman"/>
                <w:color w:val="auto"/>
              </w:rPr>
            </w:pPr>
            <w:r>
              <w:rPr>
                <w:rFonts w:hint="eastAsia" w:cs="Times New Roman"/>
                <w:color w:val="auto"/>
              </w:rPr>
              <w:t>0</w:t>
            </w:r>
          </w:p>
        </w:tc>
      </w:tr>
      <w:tr w14:paraId="7F8B6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79E19EA0">
            <w:pPr>
              <w:pStyle w:val="33"/>
              <w:rPr>
                <w:color w:val="auto"/>
              </w:rPr>
            </w:pPr>
          </w:p>
        </w:tc>
        <w:tc>
          <w:tcPr>
            <w:tcW w:w="1418" w:type="pct"/>
            <w:gridSpan w:val="2"/>
            <w:vAlign w:val="center"/>
          </w:tcPr>
          <w:p w14:paraId="5F8F5E4D">
            <w:pPr>
              <w:pStyle w:val="33"/>
              <w:rPr>
                <w:rFonts w:cs="Times New Roman"/>
                <w:color w:val="auto"/>
              </w:rPr>
            </w:pPr>
            <w:r>
              <w:rPr>
                <w:rFonts w:cs="Times New Roman"/>
                <w:color w:val="auto"/>
              </w:rPr>
              <w:t>BOD</w:t>
            </w:r>
            <w:r>
              <w:rPr>
                <w:rFonts w:cs="Times New Roman"/>
                <w:color w:val="auto"/>
                <w:vertAlign w:val="subscript"/>
              </w:rPr>
              <w:t>5</w:t>
            </w:r>
          </w:p>
        </w:tc>
        <w:tc>
          <w:tcPr>
            <w:tcW w:w="797" w:type="pct"/>
            <w:vAlign w:val="center"/>
          </w:tcPr>
          <w:p w14:paraId="1A21ABAF">
            <w:pPr>
              <w:pStyle w:val="33"/>
              <w:rPr>
                <w:rFonts w:cs="Times New Roman"/>
                <w:color w:val="auto"/>
              </w:rPr>
            </w:pPr>
            <w:r>
              <w:rPr>
                <w:color w:val="auto"/>
              </w:rPr>
              <w:t>t/a</w:t>
            </w:r>
          </w:p>
        </w:tc>
        <w:tc>
          <w:tcPr>
            <w:tcW w:w="873" w:type="pct"/>
            <w:vAlign w:val="center"/>
          </w:tcPr>
          <w:p w14:paraId="18C407C8">
            <w:pPr>
              <w:pStyle w:val="33"/>
              <w:rPr>
                <w:color w:val="auto"/>
              </w:rPr>
            </w:pPr>
            <w:r>
              <w:rPr>
                <w:color w:val="auto"/>
              </w:rPr>
              <w:t>1412.997</w:t>
            </w:r>
          </w:p>
        </w:tc>
        <w:tc>
          <w:tcPr>
            <w:tcW w:w="715" w:type="pct"/>
            <w:vAlign w:val="center"/>
          </w:tcPr>
          <w:p w14:paraId="336B47C4">
            <w:pPr>
              <w:pStyle w:val="33"/>
              <w:rPr>
                <w:color w:val="auto"/>
              </w:rPr>
            </w:pPr>
            <w:r>
              <w:rPr>
                <w:color w:val="auto"/>
              </w:rPr>
              <w:t>1412.997</w:t>
            </w:r>
          </w:p>
        </w:tc>
        <w:tc>
          <w:tcPr>
            <w:tcW w:w="715" w:type="pct"/>
            <w:vAlign w:val="center"/>
          </w:tcPr>
          <w:p w14:paraId="35AD0850">
            <w:pPr>
              <w:pStyle w:val="33"/>
              <w:rPr>
                <w:rFonts w:cs="Times New Roman"/>
                <w:color w:val="auto"/>
              </w:rPr>
            </w:pPr>
            <w:r>
              <w:rPr>
                <w:rFonts w:hint="eastAsia" w:cs="Times New Roman"/>
                <w:color w:val="auto"/>
              </w:rPr>
              <w:t>0</w:t>
            </w:r>
          </w:p>
        </w:tc>
      </w:tr>
      <w:tr w14:paraId="147BF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22C5C360">
            <w:pPr>
              <w:pStyle w:val="33"/>
              <w:rPr>
                <w:color w:val="auto"/>
              </w:rPr>
            </w:pPr>
          </w:p>
        </w:tc>
        <w:tc>
          <w:tcPr>
            <w:tcW w:w="1418" w:type="pct"/>
            <w:gridSpan w:val="2"/>
            <w:vAlign w:val="center"/>
          </w:tcPr>
          <w:p w14:paraId="17E4FCCA">
            <w:pPr>
              <w:pStyle w:val="33"/>
              <w:rPr>
                <w:rFonts w:cs="Times New Roman"/>
                <w:color w:val="auto"/>
              </w:rPr>
            </w:pPr>
            <w:r>
              <w:rPr>
                <w:rFonts w:cs="Times New Roman"/>
                <w:color w:val="auto"/>
              </w:rPr>
              <w:t>SS</w:t>
            </w:r>
          </w:p>
        </w:tc>
        <w:tc>
          <w:tcPr>
            <w:tcW w:w="797" w:type="pct"/>
            <w:vAlign w:val="center"/>
          </w:tcPr>
          <w:p w14:paraId="46C28CBA">
            <w:pPr>
              <w:pStyle w:val="33"/>
              <w:rPr>
                <w:rFonts w:cs="Times New Roman"/>
                <w:color w:val="auto"/>
              </w:rPr>
            </w:pPr>
            <w:r>
              <w:rPr>
                <w:color w:val="auto"/>
              </w:rPr>
              <w:t>t/a</w:t>
            </w:r>
          </w:p>
        </w:tc>
        <w:tc>
          <w:tcPr>
            <w:tcW w:w="873" w:type="pct"/>
            <w:vAlign w:val="center"/>
          </w:tcPr>
          <w:p w14:paraId="309D9004">
            <w:pPr>
              <w:pStyle w:val="33"/>
              <w:rPr>
                <w:color w:val="auto"/>
              </w:rPr>
            </w:pPr>
            <w:r>
              <w:rPr>
                <w:color w:val="auto"/>
              </w:rPr>
              <w:t>1688.094</w:t>
            </w:r>
          </w:p>
        </w:tc>
        <w:tc>
          <w:tcPr>
            <w:tcW w:w="715" w:type="pct"/>
            <w:vAlign w:val="center"/>
          </w:tcPr>
          <w:p w14:paraId="27AAB821">
            <w:pPr>
              <w:pStyle w:val="33"/>
              <w:rPr>
                <w:color w:val="auto"/>
              </w:rPr>
            </w:pPr>
            <w:r>
              <w:rPr>
                <w:color w:val="auto"/>
              </w:rPr>
              <w:t>1688.094</w:t>
            </w:r>
          </w:p>
        </w:tc>
        <w:tc>
          <w:tcPr>
            <w:tcW w:w="715" w:type="pct"/>
            <w:vAlign w:val="center"/>
          </w:tcPr>
          <w:p w14:paraId="5B669930">
            <w:pPr>
              <w:pStyle w:val="33"/>
              <w:rPr>
                <w:rFonts w:cs="Times New Roman"/>
                <w:color w:val="auto"/>
              </w:rPr>
            </w:pPr>
            <w:r>
              <w:rPr>
                <w:rFonts w:hint="eastAsia" w:cs="Times New Roman"/>
                <w:color w:val="auto"/>
              </w:rPr>
              <w:t>0</w:t>
            </w:r>
          </w:p>
        </w:tc>
      </w:tr>
      <w:tr w14:paraId="23099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729391F2">
            <w:pPr>
              <w:pStyle w:val="33"/>
              <w:rPr>
                <w:color w:val="auto"/>
              </w:rPr>
            </w:pPr>
          </w:p>
        </w:tc>
        <w:tc>
          <w:tcPr>
            <w:tcW w:w="1418" w:type="pct"/>
            <w:gridSpan w:val="2"/>
            <w:vAlign w:val="center"/>
          </w:tcPr>
          <w:p w14:paraId="2252E461">
            <w:pPr>
              <w:pStyle w:val="33"/>
              <w:rPr>
                <w:rFonts w:cs="Times New Roman"/>
                <w:color w:val="auto"/>
              </w:rPr>
            </w:pPr>
            <w:r>
              <w:rPr>
                <w:rFonts w:cs="Times New Roman"/>
                <w:color w:val="auto"/>
              </w:rPr>
              <w:t>NH</w:t>
            </w:r>
            <w:r>
              <w:rPr>
                <w:rFonts w:cs="Times New Roman"/>
                <w:color w:val="auto"/>
                <w:vertAlign w:val="subscript"/>
              </w:rPr>
              <w:t>3</w:t>
            </w:r>
            <w:r>
              <w:rPr>
                <w:rFonts w:cs="Times New Roman"/>
                <w:color w:val="auto"/>
              </w:rPr>
              <w:t>-N</w:t>
            </w:r>
          </w:p>
        </w:tc>
        <w:tc>
          <w:tcPr>
            <w:tcW w:w="797" w:type="pct"/>
            <w:vAlign w:val="center"/>
          </w:tcPr>
          <w:p w14:paraId="611033A1">
            <w:pPr>
              <w:pStyle w:val="33"/>
              <w:rPr>
                <w:rFonts w:cs="Times New Roman"/>
                <w:color w:val="auto"/>
              </w:rPr>
            </w:pPr>
            <w:r>
              <w:rPr>
                <w:color w:val="auto"/>
              </w:rPr>
              <w:t>t/a</w:t>
            </w:r>
          </w:p>
        </w:tc>
        <w:tc>
          <w:tcPr>
            <w:tcW w:w="873" w:type="pct"/>
            <w:vAlign w:val="center"/>
          </w:tcPr>
          <w:p w14:paraId="459991E3">
            <w:pPr>
              <w:pStyle w:val="33"/>
              <w:rPr>
                <w:color w:val="auto"/>
              </w:rPr>
            </w:pPr>
            <w:r>
              <w:rPr>
                <w:color w:val="auto"/>
              </w:rPr>
              <w:t>8.028</w:t>
            </w:r>
          </w:p>
        </w:tc>
        <w:tc>
          <w:tcPr>
            <w:tcW w:w="715" w:type="pct"/>
            <w:vAlign w:val="center"/>
          </w:tcPr>
          <w:p w14:paraId="2F7E889C">
            <w:pPr>
              <w:pStyle w:val="33"/>
              <w:rPr>
                <w:color w:val="auto"/>
              </w:rPr>
            </w:pPr>
            <w:r>
              <w:rPr>
                <w:color w:val="auto"/>
              </w:rPr>
              <w:t>8.028</w:t>
            </w:r>
          </w:p>
        </w:tc>
        <w:tc>
          <w:tcPr>
            <w:tcW w:w="715" w:type="pct"/>
            <w:vAlign w:val="center"/>
          </w:tcPr>
          <w:p w14:paraId="244B85AA">
            <w:pPr>
              <w:pStyle w:val="33"/>
              <w:rPr>
                <w:rFonts w:cs="Times New Roman"/>
                <w:color w:val="auto"/>
              </w:rPr>
            </w:pPr>
            <w:r>
              <w:rPr>
                <w:rFonts w:hint="eastAsia" w:cs="Times New Roman"/>
                <w:color w:val="auto"/>
              </w:rPr>
              <w:t>0</w:t>
            </w:r>
          </w:p>
        </w:tc>
      </w:tr>
      <w:tr w14:paraId="09104D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42D22218">
            <w:pPr>
              <w:pStyle w:val="33"/>
              <w:rPr>
                <w:color w:val="auto"/>
              </w:rPr>
            </w:pPr>
          </w:p>
        </w:tc>
        <w:tc>
          <w:tcPr>
            <w:tcW w:w="1418" w:type="pct"/>
            <w:gridSpan w:val="2"/>
            <w:vAlign w:val="center"/>
          </w:tcPr>
          <w:p w14:paraId="1272D9F9">
            <w:pPr>
              <w:pStyle w:val="33"/>
              <w:rPr>
                <w:rFonts w:cs="Times New Roman"/>
                <w:color w:val="auto"/>
              </w:rPr>
            </w:pPr>
            <w:r>
              <w:rPr>
                <w:rFonts w:cs="Times New Roman"/>
                <w:color w:val="auto"/>
              </w:rPr>
              <w:t>TN</w:t>
            </w:r>
          </w:p>
        </w:tc>
        <w:tc>
          <w:tcPr>
            <w:tcW w:w="797" w:type="pct"/>
            <w:vAlign w:val="center"/>
          </w:tcPr>
          <w:p w14:paraId="5B20E478">
            <w:pPr>
              <w:pStyle w:val="33"/>
              <w:rPr>
                <w:rFonts w:cs="Times New Roman"/>
                <w:color w:val="auto"/>
              </w:rPr>
            </w:pPr>
            <w:r>
              <w:rPr>
                <w:color w:val="auto"/>
              </w:rPr>
              <w:t>t/a</w:t>
            </w:r>
          </w:p>
        </w:tc>
        <w:tc>
          <w:tcPr>
            <w:tcW w:w="873" w:type="pct"/>
            <w:vAlign w:val="center"/>
          </w:tcPr>
          <w:p w14:paraId="17E9C695">
            <w:pPr>
              <w:pStyle w:val="33"/>
              <w:rPr>
                <w:color w:val="auto"/>
              </w:rPr>
            </w:pPr>
            <w:r>
              <w:rPr>
                <w:color w:val="auto"/>
              </w:rPr>
              <w:t>10.316</w:t>
            </w:r>
          </w:p>
        </w:tc>
        <w:tc>
          <w:tcPr>
            <w:tcW w:w="715" w:type="pct"/>
            <w:vAlign w:val="center"/>
          </w:tcPr>
          <w:p w14:paraId="7E7406AF">
            <w:pPr>
              <w:pStyle w:val="33"/>
              <w:rPr>
                <w:color w:val="auto"/>
              </w:rPr>
            </w:pPr>
            <w:r>
              <w:rPr>
                <w:color w:val="auto"/>
              </w:rPr>
              <w:t>10.316</w:t>
            </w:r>
          </w:p>
        </w:tc>
        <w:tc>
          <w:tcPr>
            <w:tcW w:w="715" w:type="pct"/>
            <w:vAlign w:val="center"/>
          </w:tcPr>
          <w:p w14:paraId="44316F7F">
            <w:pPr>
              <w:pStyle w:val="33"/>
              <w:rPr>
                <w:rFonts w:cs="Times New Roman"/>
                <w:color w:val="auto"/>
              </w:rPr>
            </w:pPr>
            <w:r>
              <w:rPr>
                <w:rFonts w:hint="eastAsia" w:cs="Times New Roman"/>
                <w:color w:val="auto"/>
              </w:rPr>
              <w:t>0</w:t>
            </w:r>
          </w:p>
        </w:tc>
      </w:tr>
      <w:tr w14:paraId="26F12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517DD327">
            <w:pPr>
              <w:pStyle w:val="33"/>
              <w:rPr>
                <w:color w:val="auto"/>
              </w:rPr>
            </w:pPr>
          </w:p>
        </w:tc>
        <w:tc>
          <w:tcPr>
            <w:tcW w:w="1418" w:type="pct"/>
            <w:gridSpan w:val="2"/>
            <w:vAlign w:val="center"/>
          </w:tcPr>
          <w:p w14:paraId="631A6093">
            <w:pPr>
              <w:pStyle w:val="33"/>
              <w:rPr>
                <w:rFonts w:cs="Times New Roman"/>
                <w:color w:val="auto"/>
              </w:rPr>
            </w:pPr>
            <w:r>
              <w:rPr>
                <w:rFonts w:cs="Times New Roman"/>
                <w:color w:val="auto"/>
              </w:rPr>
              <w:t>TP</w:t>
            </w:r>
          </w:p>
        </w:tc>
        <w:tc>
          <w:tcPr>
            <w:tcW w:w="797" w:type="pct"/>
            <w:vAlign w:val="center"/>
          </w:tcPr>
          <w:p w14:paraId="05F7C657">
            <w:pPr>
              <w:pStyle w:val="33"/>
              <w:rPr>
                <w:rFonts w:cs="Times New Roman"/>
                <w:color w:val="auto"/>
              </w:rPr>
            </w:pPr>
            <w:r>
              <w:rPr>
                <w:color w:val="auto"/>
              </w:rPr>
              <w:t>t/a</w:t>
            </w:r>
          </w:p>
        </w:tc>
        <w:tc>
          <w:tcPr>
            <w:tcW w:w="873" w:type="pct"/>
            <w:vAlign w:val="center"/>
          </w:tcPr>
          <w:p w14:paraId="0D80B068">
            <w:pPr>
              <w:pStyle w:val="33"/>
              <w:rPr>
                <w:color w:val="auto"/>
              </w:rPr>
            </w:pPr>
            <w:r>
              <w:rPr>
                <w:color w:val="auto"/>
              </w:rPr>
              <w:t>0.250</w:t>
            </w:r>
          </w:p>
        </w:tc>
        <w:tc>
          <w:tcPr>
            <w:tcW w:w="715" w:type="pct"/>
            <w:vAlign w:val="center"/>
          </w:tcPr>
          <w:p w14:paraId="1CFC2D1F">
            <w:pPr>
              <w:pStyle w:val="33"/>
              <w:rPr>
                <w:color w:val="auto"/>
              </w:rPr>
            </w:pPr>
            <w:r>
              <w:rPr>
                <w:color w:val="auto"/>
              </w:rPr>
              <w:t>0.250</w:t>
            </w:r>
          </w:p>
        </w:tc>
        <w:tc>
          <w:tcPr>
            <w:tcW w:w="715" w:type="pct"/>
            <w:vAlign w:val="center"/>
          </w:tcPr>
          <w:p w14:paraId="115BBF9A">
            <w:pPr>
              <w:pStyle w:val="33"/>
              <w:rPr>
                <w:rFonts w:cs="Times New Roman"/>
                <w:color w:val="auto"/>
              </w:rPr>
            </w:pPr>
            <w:r>
              <w:rPr>
                <w:rFonts w:hint="eastAsia" w:cs="Times New Roman"/>
                <w:color w:val="auto"/>
              </w:rPr>
              <w:t>0</w:t>
            </w:r>
          </w:p>
        </w:tc>
      </w:tr>
      <w:tr w14:paraId="145B9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restart"/>
            <w:vAlign w:val="center"/>
          </w:tcPr>
          <w:p w14:paraId="0CC051CF">
            <w:pPr>
              <w:pStyle w:val="33"/>
              <w:rPr>
                <w:color w:val="auto"/>
              </w:rPr>
            </w:pPr>
            <w:r>
              <w:rPr>
                <w:rFonts w:hint="eastAsia"/>
                <w:color w:val="auto"/>
              </w:rPr>
              <w:t>废气</w:t>
            </w:r>
          </w:p>
        </w:tc>
        <w:tc>
          <w:tcPr>
            <w:tcW w:w="626" w:type="pct"/>
            <w:vMerge w:val="restart"/>
            <w:vAlign w:val="center"/>
          </w:tcPr>
          <w:p w14:paraId="490F1843">
            <w:pPr>
              <w:pStyle w:val="33"/>
              <w:rPr>
                <w:color w:val="auto"/>
              </w:rPr>
            </w:pPr>
            <w:r>
              <w:rPr>
                <w:rFonts w:hint="eastAsia"/>
                <w:color w:val="auto"/>
              </w:rPr>
              <w:t>有组织排放</w:t>
            </w:r>
          </w:p>
        </w:tc>
        <w:tc>
          <w:tcPr>
            <w:tcW w:w="792" w:type="pct"/>
            <w:vAlign w:val="center"/>
          </w:tcPr>
          <w:p w14:paraId="6322A6AB">
            <w:pPr>
              <w:pStyle w:val="33"/>
              <w:rPr>
                <w:color w:val="auto"/>
              </w:rPr>
            </w:pPr>
            <w:r>
              <w:rPr>
                <w:rFonts w:hint="eastAsia"/>
                <w:color w:val="auto"/>
                <w:szCs w:val="21"/>
              </w:rPr>
              <w:t>废气量</w:t>
            </w:r>
          </w:p>
        </w:tc>
        <w:tc>
          <w:tcPr>
            <w:tcW w:w="797" w:type="pct"/>
            <w:vAlign w:val="center"/>
          </w:tcPr>
          <w:p w14:paraId="4360D047">
            <w:pPr>
              <w:pStyle w:val="33"/>
              <w:rPr>
                <w:rFonts w:cs="Times New Roman"/>
                <w:color w:val="auto"/>
              </w:rPr>
            </w:pPr>
            <w:r>
              <w:rPr>
                <w:rFonts w:hint="eastAsia"/>
                <w:color w:val="auto"/>
                <w:szCs w:val="21"/>
              </w:rPr>
              <w:t>万</w:t>
            </w:r>
            <w:r>
              <w:rPr>
                <w:rFonts w:cs="Times New Roman"/>
                <w:color w:val="auto"/>
                <w:szCs w:val="21"/>
              </w:rPr>
              <w:t>m</w:t>
            </w:r>
            <w:r>
              <w:rPr>
                <w:rFonts w:cs="Times New Roman"/>
                <w:color w:val="auto"/>
                <w:szCs w:val="21"/>
                <w:vertAlign w:val="superscript"/>
              </w:rPr>
              <w:t>3</w:t>
            </w:r>
            <w:r>
              <w:rPr>
                <w:rFonts w:cs="Times New Roman"/>
                <w:color w:val="auto"/>
                <w:szCs w:val="21"/>
              </w:rPr>
              <w:t>/a</w:t>
            </w:r>
          </w:p>
        </w:tc>
        <w:tc>
          <w:tcPr>
            <w:tcW w:w="873" w:type="pct"/>
            <w:vAlign w:val="center"/>
          </w:tcPr>
          <w:p w14:paraId="74230BAE">
            <w:pPr>
              <w:pStyle w:val="33"/>
              <w:rPr>
                <w:rFonts w:cs="Times New Roman"/>
                <w:color w:val="auto"/>
              </w:rPr>
            </w:pPr>
            <w:r>
              <w:rPr>
                <w:rFonts w:hint="eastAsia" w:eastAsia="等线" w:cs="Times New Roman"/>
                <w:color w:val="auto"/>
                <w:szCs w:val="21"/>
              </w:rPr>
              <w:t>22474.255</w:t>
            </w:r>
          </w:p>
        </w:tc>
        <w:tc>
          <w:tcPr>
            <w:tcW w:w="715" w:type="pct"/>
            <w:vAlign w:val="center"/>
          </w:tcPr>
          <w:p w14:paraId="7F8414E2">
            <w:pPr>
              <w:pStyle w:val="33"/>
              <w:rPr>
                <w:rFonts w:cs="Times New Roman"/>
                <w:color w:val="auto"/>
              </w:rPr>
            </w:pPr>
            <w:r>
              <w:rPr>
                <w:rFonts w:eastAsia="等线" w:cs="Times New Roman"/>
                <w:color w:val="auto"/>
                <w:szCs w:val="21"/>
              </w:rPr>
              <w:t>0</w:t>
            </w:r>
          </w:p>
        </w:tc>
        <w:tc>
          <w:tcPr>
            <w:tcW w:w="715" w:type="pct"/>
            <w:vAlign w:val="center"/>
          </w:tcPr>
          <w:p w14:paraId="092219EA">
            <w:pPr>
              <w:pStyle w:val="33"/>
              <w:rPr>
                <w:rFonts w:cs="Times New Roman"/>
                <w:color w:val="auto"/>
              </w:rPr>
            </w:pPr>
            <w:r>
              <w:rPr>
                <w:rFonts w:hint="eastAsia" w:eastAsia="等线" w:cs="Times New Roman"/>
                <w:color w:val="auto"/>
                <w:szCs w:val="21"/>
              </w:rPr>
              <w:t>22474.255</w:t>
            </w:r>
          </w:p>
        </w:tc>
      </w:tr>
      <w:tr w14:paraId="33496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6C82AFB1">
            <w:pPr>
              <w:pStyle w:val="33"/>
              <w:rPr>
                <w:color w:val="auto"/>
              </w:rPr>
            </w:pPr>
          </w:p>
        </w:tc>
        <w:tc>
          <w:tcPr>
            <w:tcW w:w="626" w:type="pct"/>
            <w:vMerge w:val="continue"/>
            <w:vAlign w:val="center"/>
          </w:tcPr>
          <w:p w14:paraId="6C9B10A9">
            <w:pPr>
              <w:pStyle w:val="33"/>
              <w:rPr>
                <w:color w:val="auto"/>
              </w:rPr>
            </w:pPr>
          </w:p>
        </w:tc>
        <w:tc>
          <w:tcPr>
            <w:tcW w:w="792" w:type="pct"/>
            <w:vAlign w:val="bottom"/>
          </w:tcPr>
          <w:p w14:paraId="13DB0AE0">
            <w:pPr>
              <w:pStyle w:val="33"/>
              <w:rPr>
                <w:color w:val="auto"/>
              </w:rPr>
            </w:pPr>
            <w:r>
              <w:rPr>
                <w:rFonts w:hint="eastAsia"/>
                <w:color w:val="auto"/>
              </w:rPr>
              <w:t>二氧化硫</w:t>
            </w:r>
          </w:p>
        </w:tc>
        <w:tc>
          <w:tcPr>
            <w:tcW w:w="797" w:type="pct"/>
            <w:vAlign w:val="center"/>
          </w:tcPr>
          <w:p w14:paraId="553CE101">
            <w:pPr>
              <w:pStyle w:val="33"/>
              <w:rPr>
                <w:color w:val="auto"/>
              </w:rPr>
            </w:pPr>
            <w:r>
              <w:rPr>
                <w:color w:val="auto"/>
              </w:rPr>
              <w:t>t/a</w:t>
            </w:r>
          </w:p>
        </w:tc>
        <w:tc>
          <w:tcPr>
            <w:tcW w:w="873" w:type="pct"/>
            <w:vAlign w:val="center"/>
          </w:tcPr>
          <w:p w14:paraId="1B90D4F5">
            <w:pPr>
              <w:pStyle w:val="33"/>
              <w:rPr>
                <w:color w:val="auto"/>
              </w:rPr>
            </w:pPr>
            <w:r>
              <w:rPr>
                <w:color w:val="auto"/>
              </w:rPr>
              <w:t>1.585</w:t>
            </w:r>
          </w:p>
        </w:tc>
        <w:tc>
          <w:tcPr>
            <w:tcW w:w="715" w:type="pct"/>
            <w:vAlign w:val="center"/>
          </w:tcPr>
          <w:p w14:paraId="1E467C92">
            <w:pPr>
              <w:pStyle w:val="33"/>
              <w:rPr>
                <w:color w:val="auto"/>
              </w:rPr>
            </w:pPr>
            <w:r>
              <w:rPr>
                <w:color w:val="auto"/>
              </w:rPr>
              <w:t>0</w:t>
            </w:r>
          </w:p>
        </w:tc>
        <w:tc>
          <w:tcPr>
            <w:tcW w:w="715" w:type="pct"/>
            <w:vAlign w:val="center"/>
          </w:tcPr>
          <w:p w14:paraId="11259E0C">
            <w:pPr>
              <w:pStyle w:val="33"/>
              <w:rPr>
                <w:color w:val="auto"/>
              </w:rPr>
            </w:pPr>
            <w:r>
              <w:rPr>
                <w:color w:val="auto"/>
              </w:rPr>
              <w:t>1.585</w:t>
            </w:r>
          </w:p>
        </w:tc>
      </w:tr>
      <w:tr w14:paraId="57B8B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38C95B33">
            <w:pPr>
              <w:pStyle w:val="33"/>
              <w:rPr>
                <w:color w:val="auto"/>
              </w:rPr>
            </w:pPr>
          </w:p>
        </w:tc>
        <w:tc>
          <w:tcPr>
            <w:tcW w:w="626" w:type="pct"/>
            <w:vMerge w:val="continue"/>
            <w:vAlign w:val="center"/>
          </w:tcPr>
          <w:p w14:paraId="1FBC734B">
            <w:pPr>
              <w:pStyle w:val="33"/>
              <w:rPr>
                <w:color w:val="auto"/>
              </w:rPr>
            </w:pPr>
          </w:p>
        </w:tc>
        <w:tc>
          <w:tcPr>
            <w:tcW w:w="792" w:type="pct"/>
            <w:vAlign w:val="bottom"/>
          </w:tcPr>
          <w:p w14:paraId="1B9FCDD4">
            <w:pPr>
              <w:pStyle w:val="33"/>
              <w:rPr>
                <w:color w:val="auto"/>
              </w:rPr>
            </w:pPr>
            <w:r>
              <w:rPr>
                <w:rFonts w:hint="eastAsia"/>
                <w:color w:val="auto"/>
              </w:rPr>
              <w:t>氮氧化物</w:t>
            </w:r>
          </w:p>
        </w:tc>
        <w:tc>
          <w:tcPr>
            <w:tcW w:w="797" w:type="pct"/>
            <w:vAlign w:val="center"/>
          </w:tcPr>
          <w:p w14:paraId="5CA7FFBA">
            <w:pPr>
              <w:pStyle w:val="33"/>
              <w:rPr>
                <w:color w:val="auto"/>
              </w:rPr>
            </w:pPr>
            <w:r>
              <w:rPr>
                <w:color w:val="auto"/>
              </w:rPr>
              <w:t>t/a</w:t>
            </w:r>
          </w:p>
        </w:tc>
        <w:tc>
          <w:tcPr>
            <w:tcW w:w="873" w:type="pct"/>
            <w:vAlign w:val="center"/>
          </w:tcPr>
          <w:p w14:paraId="340A67E0">
            <w:pPr>
              <w:pStyle w:val="33"/>
              <w:rPr>
                <w:color w:val="auto"/>
              </w:rPr>
            </w:pPr>
            <w:r>
              <w:rPr>
                <w:color w:val="auto"/>
              </w:rPr>
              <w:t>8.539</w:t>
            </w:r>
          </w:p>
        </w:tc>
        <w:tc>
          <w:tcPr>
            <w:tcW w:w="715" w:type="pct"/>
            <w:vAlign w:val="center"/>
          </w:tcPr>
          <w:p w14:paraId="0E3FC608">
            <w:pPr>
              <w:pStyle w:val="33"/>
              <w:rPr>
                <w:color w:val="auto"/>
              </w:rPr>
            </w:pPr>
            <w:r>
              <w:rPr>
                <w:color w:val="auto"/>
              </w:rPr>
              <w:t>0</w:t>
            </w:r>
          </w:p>
        </w:tc>
        <w:tc>
          <w:tcPr>
            <w:tcW w:w="715" w:type="pct"/>
            <w:vAlign w:val="center"/>
          </w:tcPr>
          <w:p w14:paraId="3F9CE996">
            <w:pPr>
              <w:pStyle w:val="33"/>
              <w:rPr>
                <w:color w:val="auto"/>
              </w:rPr>
            </w:pPr>
            <w:r>
              <w:rPr>
                <w:color w:val="auto"/>
              </w:rPr>
              <w:t>8.539</w:t>
            </w:r>
          </w:p>
        </w:tc>
      </w:tr>
      <w:tr w14:paraId="689FB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23EE4431">
            <w:pPr>
              <w:pStyle w:val="33"/>
              <w:rPr>
                <w:color w:val="auto"/>
              </w:rPr>
            </w:pPr>
          </w:p>
        </w:tc>
        <w:tc>
          <w:tcPr>
            <w:tcW w:w="626" w:type="pct"/>
            <w:vMerge w:val="continue"/>
            <w:vAlign w:val="center"/>
          </w:tcPr>
          <w:p w14:paraId="06BADB3B">
            <w:pPr>
              <w:pStyle w:val="33"/>
              <w:rPr>
                <w:color w:val="auto"/>
              </w:rPr>
            </w:pPr>
          </w:p>
        </w:tc>
        <w:tc>
          <w:tcPr>
            <w:tcW w:w="792" w:type="pct"/>
            <w:vAlign w:val="bottom"/>
          </w:tcPr>
          <w:p w14:paraId="4979083A">
            <w:pPr>
              <w:pStyle w:val="33"/>
              <w:rPr>
                <w:color w:val="auto"/>
              </w:rPr>
            </w:pPr>
            <w:r>
              <w:rPr>
                <w:rFonts w:hint="eastAsia"/>
                <w:color w:val="auto"/>
              </w:rPr>
              <w:t>烟尘</w:t>
            </w:r>
          </w:p>
        </w:tc>
        <w:tc>
          <w:tcPr>
            <w:tcW w:w="797" w:type="pct"/>
            <w:vAlign w:val="center"/>
          </w:tcPr>
          <w:p w14:paraId="433D6FD6">
            <w:pPr>
              <w:pStyle w:val="33"/>
              <w:rPr>
                <w:color w:val="auto"/>
              </w:rPr>
            </w:pPr>
            <w:r>
              <w:rPr>
                <w:color w:val="auto"/>
              </w:rPr>
              <w:t>t/a</w:t>
            </w:r>
          </w:p>
        </w:tc>
        <w:tc>
          <w:tcPr>
            <w:tcW w:w="873" w:type="pct"/>
            <w:vAlign w:val="center"/>
          </w:tcPr>
          <w:p w14:paraId="26F84B9F">
            <w:pPr>
              <w:pStyle w:val="33"/>
              <w:rPr>
                <w:color w:val="auto"/>
              </w:rPr>
            </w:pPr>
            <w:r>
              <w:rPr>
                <w:color w:val="auto"/>
              </w:rPr>
              <w:t>0.854</w:t>
            </w:r>
          </w:p>
        </w:tc>
        <w:tc>
          <w:tcPr>
            <w:tcW w:w="715" w:type="pct"/>
            <w:vAlign w:val="center"/>
          </w:tcPr>
          <w:p w14:paraId="1E79D54D">
            <w:pPr>
              <w:pStyle w:val="33"/>
              <w:rPr>
                <w:color w:val="auto"/>
              </w:rPr>
            </w:pPr>
            <w:r>
              <w:rPr>
                <w:color w:val="auto"/>
              </w:rPr>
              <w:t>0</w:t>
            </w:r>
          </w:p>
        </w:tc>
        <w:tc>
          <w:tcPr>
            <w:tcW w:w="715" w:type="pct"/>
            <w:vAlign w:val="center"/>
          </w:tcPr>
          <w:p w14:paraId="42F8A9D6">
            <w:pPr>
              <w:pStyle w:val="33"/>
              <w:rPr>
                <w:color w:val="auto"/>
              </w:rPr>
            </w:pPr>
            <w:r>
              <w:rPr>
                <w:color w:val="auto"/>
              </w:rPr>
              <w:t>0.854</w:t>
            </w:r>
          </w:p>
        </w:tc>
      </w:tr>
      <w:tr w14:paraId="1CC52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79033842">
            <w:pPr>
              <w:pStyle w:val="33"/>
              <w:rPr>
                <w:color w:val="auto"/>
              </w:rPr>
            </w:pPr>
          </w:p>
        </w:tc>
        <w:tc>
          <w:tcPr>
            <w:tcW w:w="626" w:type="pct"/>
            <w:vMerge w:val="continue"/>
            <w:vAlign w:val="center"/>
          </w:tcPr>
          <w:p w14:paraId="0B924014">
            <w:pPr>
              <w:pStyle w:val="33"/>
              <w:rPr>
                <w:color w:val="auto"/>
              </w:rPr>
            </w:pPr>
          </w:p>
        </w:tc>
        <w:tc>
          <w:tcPr>
            <w:tcW w:w="792" w:type="pct"/>
            <w:vAlign w:val="center"/>
          </w:tcPr>
          <w:p w14:paraId="04B0FBBD">
            <w:pPr>
              <w:pStyle w:val="33"/>
              <w:rPr>
                <w:color w:val="auto"/>
              </w:rPr>
            </w:pPr>
            <w:r>
              <w:rPr>
                <w:color w:val="auto"/>
              </w:rPr>
              <w:t>NH</w:t>
            </w:r>
            <w:r>
              <w:rPr>
                <w:color w:val="auto"/>
                <w:vertAlign w:val="subscript"/>
              </w:rPr>
              <w:t>3</w:t>
            </w:r>
          </w:p>
        </w:tc>
        <w:tc>
          <w:tcPr>
            <w:tcW w:w="797" w:type="pct"/>
            <w:vAlign w:val="center"/>
          </w:tcPr>
          <w:p w14:paraId="14B6252E">
            <w:pPr>
              <w:pStyle w:val="33"/>
              <w:rPr>
                <w:color w:val="auto"/>
              </w:rPr>
            </w:pPr>
            <w:r>
              <w:rPr>
                <w:color w:val="auto"/>
              </w:rPr>
              <w:t>t/a</w:t>
            </w:r>
          </w:p>
        </w:tc>
        <w:tc>
          <w:tcPr>
            <w:tcW w:w="873" w:type="pct"/>
            <w:vAlign w:val="center"/>
          </w:tcPr>
          <w:p w14:paraId="2ABD0CEF">
            <w:pPr>
              <w:pStyle w:val="33"/>
              <w:rPr>
                <w:color w:val="auto"/>
              </w:rPr>
            </w:pPr>
            <w:r>
              <w:rPr>
                <w:color w:val="auto"/>
              </w:rPr>
              <w:t>0.308</w:t>
            </w:r>
          </w:p>
        </w:tc>
        <w:tc>
          <w:tcPr>
            <w:tcW w:w="715" w:type="pct"/>
            <w:vAlign w:val="center"/>
          </w:tcPr>
          <w:p w14:paraId="31A601A5">
            <w:pPr>
              <w:pStyle w:val="33"/>
              <w:rPr>
                <w:color w:val="auto"/>
              </w:rPr>
            </w:pPr>
            <w:r>
              <w:rPr>
                <w:color w:val="auto"/>
              </w:rPr>
              <w:t>0.280</w:t>
            </w:r>
          </w:p>
        </w:tc>
        <w:tc>
          <w:tcPr>
            <w:tcW w:w="715" w:type="pct"/>
            <w:vAlign w:val="center"/>
          </w:tcPr>
          <w:p w14:paraId="4899E218">
            <w:pPr>
              <w:pStyle w:val="33"/>
              <w:rPr>
                <w:color w:val="auto"/>
              </w:rPr>
            </w:pPr>
            <w:r>
              <w:rPr>
                <w:color w:val="auto"/>
              </w:rPr>
              <w:t>0.028</w:t>
            </w:r>
          </w:p>
        </w:tc>
      </w:tr>
      <w:tr w14:paraId="3C11B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761487D1">
            <w:pPr>
              <w:pStyle w:val="33"/>
              <w:rPr>
                <w:color w:val="auto"/>
              </w:rPr>
            </w:pPr>
          </w:p>
        </w:tc>
        <w:tc>
          <w:tcPr>
            <w:tcW w:w="626" w:type="pct"/>
            <w:vMerge w:val="continue"/>
            <w:vAlign w:val="center"/>
          </w:tcPr>
          <w:p w14:paraId="0CAB44C8">
            <w:pPr>
              <w:pStyle w:val="33"/>
              <w:rPr>
                <w:color w:val="auto"/>
              </w:rPr>
            </w:pPr>
          </w:p>
        </w:tc>
        <w:tc>
          <w:tcPr>
            <w:tcW w:w="792" w:type="pct"/>
            <w:vAlign w:val="center"/>
          </w:tcPr>
          <w:p w14:paraId="217A56D8">
            <w:pPr>
              <w:pStyle w:val="33"/>
              <w:rPr>
                <w:color w:val="auto"/>
              </w:rPr>
            </w:pPr>
            <w:r>
              <w:rPr>
                <w:color w:val="auto"/>
              </w:rPr>
              <w:t>H</w:t>
            </w:r>
            <w:r>
              <w:rPr>
                <w:color w:val="auto"/>
                <w:vertAlign w:val="subscript"/>
              </w:rPr>
              <w:t>2</w:t>
            </w:r>
            <w:r>
              <w:rPr>
                <w:color w:val="auto"/>
              </w:rPr>
              <w:t>S</w:t>
            </w:r>
          </w:p>
        </w:tc>
        <w:tc>
          <w:tcPr>
            <w:tcW w:w="797" w:type="pct"/>
            <w:vAlign w:val="center"/>
          </w:tcPr>
          <w:p w14:paraId="6D625A0F">
            <w:pPr>
              <w:pStyle w:val="33"/>
              <w:rPr>
                <w:color w:val="auto"/>
              </w:rPr>
            </w:pPr>
            <w:r>
              <w:rPr>
                <w:color w:val="auto"/>
              </w:rPr>
              <w:t>t/a</w:t>
            </w:r>
          </w:p>
        </w:tc>
        <w:tc>
          <w:tcPr>
            <w:tcW w:w="873" w:type="pct"/>
            <w:vAlign w:val="center"/>
          </w:tcPr>
          <w:p w14:paraId="7125D720">
            <w:pPr>
              <w:pStyle w:val="33"/>
              <w:rPr>
                <w:color w:val="auto"/>
              </w:rPr>
            </w:pPr>
            <w:r>
              <w:rPr>
                <w:color w:val="auto"/>
              </w:rPr>
              <w:t>0.284</w:t>
            </w:r>
          </w:p>
        </w:tc>
        <w:tc>
          <w:tcPr>
            <w:tcW w:w="715" w:type="pct"/>
            <w:vAlign w:val="center"/>
          </w:tcPr>
          <w:p w14:paraId="53BAD332">
            <w:pPr>
              <w:pStyle w:val="33"/>
              <w:rPr>
                <w:color w:val="auto"/>
              </w:rPr>
            </w:pPr>
            <w:r>
              <w:rPr>
                <w:color w:val="auto"/>
              </w:rPr>
              <w:t>0.271</w:t>
            </w:r>
          </w:p>
        </w:tc>
        <w:tc>
          <w:tcPr>
            <w:tcW w:w="715" w:type="pct"/>
            <w:vAlign w:val="center"/>
          </w:tcPr>
          <w:p w14:paraId="414506A5">
            <w:pPr>
              <w:pStyle w:val="33"/>
              <w:rPr>
                <w:color w:val="auto"/>
              </w:rPr>
            </w:pPr>
            <w:r>
              <w:rPr>
                <w:color w:val="auto"/>
              </w:rPr>
              <w:t>0.013</w:t>
            </w:r>
          </w:p>
        </w:tc>
      </w:tr>
      <w:tr w14:paraId="38980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632893EF">
            <w:pPr>
              <w:pStyle w:val="33"/>
              <w:rPr>
                <w:color w:val="auto"/>
              </w:rPr>
            </w:pPr>
          </w:p>
        </w:tc>
        <w:tc>
          <w:tcPr>
            <w:tcW w:w="626" w:type="pct"/>
            <w:vMerge w:val="continue"/>
            <w:vAlign w:val="center"/>
          </w:tcPr>
          <w:p w14:paraId="26C010FE">
            <w:pPr>
              <w:pStyle w:val="33"/>
              <w:rPr>
                <w:color w:val="auto"/>
              </w:rPr>
            </w:pPr>
          </w:p>
        </w:tc>
        <w:tc>
          <w:tcPr>
            <w:tcW w:w="792" w:type="pct"/>
            <w:vAlign w:val="center"/>
          </w:tcPr>
          <w:p w14:paraId="31589998">
            <w:pPr>
              <w:pStyle w:val="33"/>
              <w:rPr>
                <w:color w:val="auto"/>
              </w:rPr>
            </w:pPr>
            <w:r>
              <w:rPr>
                <w:color w:val="auto"/>
              </w:rPr>
              <w:t>VOC</w:t>
            </w:r>
            <w:r>
              <w:rPr>
                <w:rFonts w:hint="eastAsia"/>
                <w:color w:val="auto"/>
              </w:rPr>
              <w:t>s</w:t>
            </w:r>
          </w:p>
        </w:tc>
        <w:tc>
          <w:tcPr>
            <w:tcW w:w="797" w:type="pct"/>
            <w:vAlign w:val="center"/>
          </w:tcPr>
          <w:p w14:paraId="2F093456">
            <w:pPr>
              <w:pStyle w:val="33"/>
              <w:rPr>
                <w:color w:val="auto"/>
              </w:rPr>
            </w:pPr>
            <w:r>
              <w:rPr>
                <w:color w:val="auto"/>
              </w:rPr>
              <w:t>t/a</w:t>
            </w:r>
          </w:p>
        </w:tc>
        <w:tc>
          <w:tcPr>
            <w:tcW w:w="873" w:type="pct"/>
            <w:vAlign w:val="center"/>
          </w:tcPr>
          <w:p w14:paraId="0F299219">
            <w:pPr>
              <w:pStyle w:val="33"/>
              <w:rPr>
                <w:color w:val="auto"/>
              </w:rPr>
            </w:pPr>
            <w:r>
              <w:rPr>
                <w:color w:val="auto"/>
              </w:rPr>
              <w:t>0.898</w:t>
            </w:r>
          </w:p>
        </w:tc>
        <w:tc>
          <w:tcPr>
            <w:tcW w:w="715" w:type="pct"/>
            <w:vAlign w:val="center"/>
          </w:tcPr>
          <w:p w14:paraId="48D68E2A">
            <w:pPr>
              <w:pStyle w:val="33"/>
              <w:rPr>
                <w:color w:val="auto"/>
              </w:rPr>
            </w:pPr>
            <w:r>
              <w:rPr>
                <w:color w:val="auto"/>
              </w:rPr>
              <w:t>0.449</w:t>
            </w:r>
          </w:p>
        </w:tc>
        <w:tc>
          <w:tcPr>
            <w:tcW w:w="715" w:type="pct"/>
            <w:vAlign w:val="center"/>
          </w:tcPr>
          <w:p w14:paraId="6A18CD3A">
            <w:pPr>
              <w:pStyle w:val="33"/>
              <w:rPr>
                <w:color w:val="auto"/>
              </w:rPr>
            </w:pPr>
            <w:r>
              <w:rPr>
                <w:color w:val="auto"/>
              </w:rPr>
              <w:t>0.449</w:t>
            </w:r>
          </w:p>
        </w:tc>
      </w:tr>
      <w:tr w14:paraId="01996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31F636C8">
            <w:pPr>
              <w:pStyle w:val="33"/>
              <w:rPr>
                <w:color w:val="auto"/>
              </w:rPr>
            </w:pPr>
          </w:p>
        </w:tc>
        <w:tc>
          <w:tcPr>
            <w:tcW w:w="626" w:type="pct"/>
            <w:vMerge w:val="restart"/>
            <w:vAlign w:val="center"/>
          </w:tcPr>
          <w:p w14:paraId="4DA06362">
            <w:pPr>
              <w:pStyle w:val="33"/>
              <w:rPr>
                <w:color w:val="auto"/>
              </w:rPr>
            </w:pPr>
            <w:r>
              <w:rPr>
                <w:rFonts w:hint="eastAsia"/>
                <w:color w:val="auto"/>
              </w:rPr>
              <w:t>无组织排放</w:t>
            </w:r>
          </w:p>
        </w:tc>
        <w:tc>
          <w:tcPr>
            <w:tcW w:w="792" w:type="pct"/>
            <w:vAlign w:val="center"/>
          </w:tcPr>
          <w:p w14:paraId="1D118071">
            <w:pPr>
              <w:pStyle w:val="33"/>
              <w:rPr>
                <w:color w:val="auto"/>
              </w:rPr>
            </w:pPr>
            <w:r>
              <w:rPr>
                <w:rFonts w:hint="eastAsia"/>
                <w:color w:val="auto"/>
              </w:rPr>
              <w:t>颗粒物</w:t>
            </w:r>
          </w:p>
        </w:tc>
        <w:tc>
          <w:tcPr>
            <w:tcW w:w="797" w:type="pct"/>
            <w:vAlign w:val="center"/>
          </w:tcPr>
          <w:p w14:paraId="437940B9">
            <w:pPr>
              <w:pStyle w:val="33"/>
              <w:rPr>
                <w:color w:val="auto"/>
              </w:rPr>
            </w:pPr>
            <w:r>
              <w:rPr>
                <w:color w:val="auto"/>
              </w:rPr>
              <w:t>t/a</w:t>
            </w:r>
          </w:p>
        </w:tc>
        <w:tc>
          <w:tcPr>
            <w:tcW w:w="873" w:type="pct"/>
            <w:vAlign w:val="center"/>
          </w:tcPr>
          <w:p w14:paraId="1DB4D299">
            <w:pPr>
              <w:pStyle w:val="33"/>
              <w:rPr>
                <w:color w:val="auto"/>
              </w:rPr>
            </w:pPr>
            <w:r>
              <w:rPr>
                <w:color w:val="auto"/>
              </w:rPr>
              <w:t>15.71</w:t>
            </w:r>
          </w:p>
        </w:tc>
        <w:tc>
          <w:tcPr>
            <w:tcW w:w="715" w:type="pct"/>
            <w:vAlign w:val="center"/>
          </w:tcPr>
          <w:p w14:paraId="3D0005CF">
            <w:pPr>
              <w:pStyle w:val="33"/>
              <w:rPr>
                <w:color w:val="auto"/>
              </w:rPr>
            </w:pPr>
            <w:r>
              <w:rPr>
                <w:color w:val="auto"/>
              </w:rPr>
              <w:t>0</w:t>
            </w:r>
          </w:p>
        </w:tc>
        <w:tc>
          <w:tcPr>
            <w:tcW w:w="715" w:type="pct"/>
            <w:vAlign w:val="center"/>
          </w:tcPr>
          <w:p w14:paraId="44EBA1F4">
            <w:pPr>
              <w:pStyle w:val="33"/>
              <w:rPr>
                <w:color w:val="auto"/>
              </w:rPr>
            </w:pPr>
            <w:r>
              <w:rPr>
                <w:color w:val="auto"/>
              </w:rPr>
              <w:t>15.710</w:t>
            </w:r>
          </w:p>
        </w:tc>
      </w:tr>
      <w:tr w14:paraId="39971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19D22A75">
            <w:pPr>
              <w:pStyle w:val="33"/>
              <w:rPr>
                <w:color w:val="auto"/>
              </w:rPr>
            </w:pPr>
          </w:p>
        </w:tc>
        <w:tc>
          <w:tcPr>
            <w:tcW w:w="626" w:type="pct"/>
            <w:vMerge w:val="continue"/>
            <w:vAlign w:val="center"/>
          </w:tcPr>
          <w:p w14:paraId="2EB388FF">
            <w:pPr>
              <w:pStyle w:val="33"/>
              <w:rPr>
                <w:color w:val="auto"/>
              </w:rPr>
            </w:pPr>
          </w:p>
        </w:tc>
        <w:tc>
          <w:tcPr>
            <w:tcW w:w="792" w:type="pct"/>
            <w:vAlign w:val="center"/>
          </w:tcPr>
          <w:p w14:paraId="389B64D8">
            <w:pPr>
              <w:pStyle w:val="33"/>
              <w:rPr>
                <w:color w:val="auto"/>
              </w:rPr>
            </w:pPr>
            <w:r>
              <w:rPr>
                <w:color w:val="auto"/>
              </w:rPr>
              <w:t>VOC</w:t>
            </w:r>
            <w:r>
              <w:rPr>
                <w:rFonts w:hint="eastAsia"/>
                <w:color w:val="auto"/>
              </w:rPr>
              <w:t>s</w:t>
            </w:r>
          </w:p>
        </w:tc>
        <w:tc>
          <w:tcPr>
            <w:tcW w:w="797" w:type="pct"/>
            <w:vAlign w:val="center"/>
          </w:tcPr>
          <w:p w14:paraId="3C7893E0">
            <w:pPr>
              <w:pStyle w:val="33"/>
              <w:rPr>
                <w:color w:val="auto"/>
              </w:rPr>
            </w:pPr>
            <w:r>
              <w:rPr>
                <w:color w:val="auto"/>
              </w:rPr>
              <w:t>t/a</w:t>
            </w:r>
          </w:p>
        </w:tc>
        <w:tc>
          <w:tcPr>
            <w:tcW w:w="873" w:type="pct"/>
            <w:vAlign w:val="center"/>
          </w:tcPr>
          <w:p w14:paraId="78CDD74E">
            <w:pPr>
              <w:pStyle w:val="33"/>
              <w:rPr>
                <w:color w:val="auto"/>
              </w:rPr>
            </w:pPr>
            <w:r>
              <w:rPr>
                <w:rFonts w:hint="eastAsia"/>
                <w:color w:val="auto"/>
              </w:rPr>
              <w:t>0.98</w:t>
            </w:r>
          </w:p>
        </w:tc>
        <w:tc>
          <w:tcPr>
            <w:tcW w:w="715" w:type="pct"/>
            <w:vAlign w:val="center"/>
          </w:tcPr>
          <w:p w14:paraId="0BC9D0DD">
            <w:pPr>
              <w:pStyle w:val="33"/>
              <w:rPr>
                <w:color w:val="auto"/>
              </w:rPr>
            </w:pPr>
            <w:r>
              <w:rPr>
                <w:rFonts w:hint="eastAsia"/>
                <w:color w:val="auto"/>
              </w:rPr>
              <w:t>0</w:t>
            </w:r>
          </w:p>
        </w:tc>
        <w:tc>
          <w:tcPr>
            <w:tcW w:w="715" w:type="pct"/>
            <w:vAlign w:val="center"/>
          </w:tcPr>
          <w:p w14:paraId="585E55C5">
            <w:pPr>
              <w:pStyle w:val="33"/>
              <w:rPr>
                <w:color w:val="auto"/>
              </w:rPr>
            </w:pPr>
            <w:r>
              <w:rPr>
                <w:rFonts w:hint="eastAsia"/>
                <w:color w:val="auto"/>
              </w:rPr>
              <w:t>0.98</w:t>
            </w:r>
          </w:p>
        </w:tc>
      </w:tr>
      <w:tr w14:paraId="44DA6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restart"/>
            <w:vAlign w:val="center"/>
          </w:tcPr>
          <w:p w14:paraId="746C5BF7">
            <w:pPr>
              <w:pStyle w:val="33"/>
              <w:rPr>
                <w:color w:val="auto"/>
              </w:rPr>
            </w:pPr>
            <w:r>
              <w:rPr>
                <w:rFonts w:hint="eastAsia"/>
                <w:color w:val="auto"/>
              </w:rPr>
              <w:t>固体废物</w:t>
            </w:r>
          </w:p>
        </w:tc>
        <w:tc>
          <w:tcPr>
            <w:tcW w:w="626" w:type="pct"/>
            <w:vMerge w:val="restart"/>
            <w:vAlign w:val="center"/>
          </w:tcPr>
          <w:p w14:paraId="7C10F8DB">
            <w:pPr>
              <w:pStyle w:val="33"/>
              <w:rPr>
                <w:color w:val="auto"/>
              </w:rPr>
            </w:pPr>
            <w:r>
              <w:rPr>
                <w:rFonts w:hint="eastAsia"/>
                <w:color w:val="auto"/>
              </w:rPr>
              <w:t>一般工业固体废物</w:t>
            </w:r>
          </w:p>
        </w:tc>
        <w:tc>
          <w:tcPr>
            <w:tcW w:w="792" w:type="pct"/>
            <w:vAlign w:val="center"/>
          </w:tcPr>
          <w:p w14:paraId="3227D994">
            <w:pPr>
              <w:pStyle w:val="33"/>
              <w:rPr>
                <w:color w:val="auto"/>
              </w:rPr>
            </w:pPr>
            <w:r>
              <w:rPr>
                <w:rFonts w:hint="eastAsia"/>
                <w:color w:val="auto"/>
              </w:rPr>
              <w:t>废铁丝</w:t>
            </w:r>
          </w:p>
        </w:tc>
        <w:tc>
          <w:tcPr>
            <w:tcW w:w="797" w:type="pct"/>
            <w:vAlign w:val="center"/>
          </w:tcPr>
          <w:p w14:paraId="3DD2CB85">
            <w:pPr>
              <w:pStyle w:val="33"/>
              <w:rPr>
                <w:rFonts w:cs="Times New Roman"/>
                <w:color w:val="auto"/>
              </w:rPr>
            </w:pPr>
            <w:r>
              <w:rPr>
                <w:rFonts w:cs="Times New Roman"/>
                <w:color w:val="auto"/>
              </w:rPr>
              <w:t>t/a</w:t>
            </w:r>
          </w:p>
        </w:tc>
        <w:tc>
          <w:tcPr>
            <w:tcW w:w="873" w:type="pct"/>
            <w:vAlign w:val="center"/>
          </w:tcPr>
          <w:p w14:paraId="5AD69577">
            <w:pPr>
              <w:pStyle w:val="33"/>
              <w:rPr>
                <w:rFonts w:cs="Times New Roman"/>
                <w:color w:val="auto"/>
              </w:rPr>
            </w:pPr>
            <w:r>
              <w:rPr>
                <w:rFonts w:hint="eastAsia"/>
                <w:color w:val="auto"/>
              </w:rPr>
              <w:t>277.3</w:t>
            </w:r>
          </w:p>
        </w:tc>
        <w:tc>
          <w:tcPr>
            <w:tcW w:w="715" w:type="pct"/>
            <w:vAlign w:val="center"/>
          </w:tcPr>
          <w:p w14:paraId="7530E280">
            <w:pPr>
              <w:pStyle w:val="33"/>
              <w:rPr>
                <w:rFonts w:cs="Times New Roman"/>
                <w:color w:val="auto"/>
              </w:rPr>
            </w:pPr>
            <w:r>
              <w:rPr>
                <w:rFonts w:hint="eastAsia"/>
                <w:color w:val="auto"/>
              </w:rPr>
              <w:t>277.3</w:t>
            </w:r>
          </w:p>
        </w:tc>
        <w:tc>
          <w:tcPr>
            <w:tcW w:w="715" w:type="pct"/>
            <w:vAlign w:val="center"/>
          </w:tcPr>
          <w:p w14:paraId="6F6E3465">
            <w:pPr>
              <w:pStyle w:val="33"/>
              <w:rPr>
                <w:rFonts w:cs="Times New Roman"/>
                <w:color w:val="auto"/>
              </w:rPr>
            </w:pPr>
            <w:r>
              <w:rPr>
                <w:rFonts w:hint="eastAsia" w:cs="Times New Roman"/>
                <w:color w:val="auto"/>
              </w:rPr>
              <w:t>0</w:t>
            </w:r>
          </w:p>
        </w:tc>
      </w:tr>
      <w:tr w14:paraId="18194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0AB7401E">
            <w:pPr>
              <w:pStyle w:val="33"/>
              <w:rPr>
                <w:color w:val="auto"/>
              </w:rPr>
            </w:pPr>
          </w:p>
        </w:tc>
        <w:tc>
          <w:tcPr>
            <w:tcW w:w="626" w:type="pct"/>
            <w:vMerge w:val="continue"/>
            <w:vAlign w:val="center"/>
          </w:tcPr>
          <w:p w14:paraId="3323626A">
            <w:pPr>
              <w:pStyle w:val="33"/>
              <w:rPr>
                <w:color w:val="auto"/>
              </w:rPr>
            </w:pPr>
          </w:p>
        </w:tc>
        <w:tc>
          <w:tcPr>
            <w:tcW w:w="792" w:type="pct"/>
            <w:vAlign w:val="center"/>
          </w:tcPr>
          <w:p w14:paraId="6F835A17">
            <w:pPr>
              <w:pStyle w:val="33"/>
              <w:rPr>
                <w:color w:val="auto"/>
              </w:rPr>
            </w:pPr>
            <w:r>
              <w:rPr>
                <w:rFonts w:hint="eastAsia"/>
                <w:color w:val="auto"/>
              </w:rPr>
              <w:t>废聚酯网</w:t>
            </w:r>
          </w:p>
        </w:tc>
        <w:tc>
          <w:tcPr>
            <w:tcW w:w="797" w:type="pct"/>
            <w:vAlign w:val="center"/>
          </w:tcPr>
          <w:p w14:paraId="1D241F8A">
            <w:pPr>
              <w:pStyle w:val="33"/>
              <w:rPr>
                <w:rFonts w:cs="Times New Roman"/>
                <w:color w:val="auto"/>
              </w:rPr>
            </w:pPr>
            <w:r>
              <w:rPr>
                <w:rFonts w:cs="Times New Roman"/>
                <w:color w:val="auto"/>
              </w:rPr>
              <w:t>t/a</w:t>
            </w:r>
          </w:p>
        </w:tc>
        <w:tc>
          <w:tcPr>
            <w:tcW w:w="873" w:type="pct"/>
            <w:vAlign w:val="center"/>
          </w:tcPr>
          <w:p w14:paraId="0DDABC4A">
            <w:pPr>
              <w:pStyle w:val="33"/>
              <w:rPr>
                <w:rFonts w:cs="Times New Roman"/>
                <w:color w:val="auto"/>
              </w:rPr>
            </w:pPr>
            <w:r>
              <w:rPr>
                <w:rFonts w:hint="eastAsia"/>
                <w:color w:val="auto"/>
              </w:rPr>
              <w:t>3.6</w:t>
            </w:r>
          </w:p>
        </w:tc>
        <w:tc>
          <w:tcPr>
            <w:tcW w:w="715" w:type="pct"/>
            <w:vAlign w:val="center"/>
          </w:tcPr>
          <w:p w14:paraId="1B761D7B">
            <w:pPr>
              <w:pStyle w:val="33"/>
              <w:rPr>
                <w:rFonts w:cs="Times New Roman"/>
                <w:color w:val="auto"/>
              </w:rPr>
            </w:pPr>
            <w:r>
              <w:rPr>
                <w:rFonts w:hint="eastAsia"/>
                <w:color w:val="auto"/>
              </w:rPr>
              <w:t>3.6</w:t>
            </w:r>
          </w:p>
        </w:tc>
        <w:tc>
          <w:tcPr>
            <w:tcW w:w="715" w:type="pct"/>
            <w:vAlign w:val="center"/>
          </w:tcPr>
          <w:p w14:paraId="1D55ACCF">
            <w:pPr>
              <w:pStyle w:val="33"/>
              <w:rPr>
                <w:rFonts w:cs="Times New Roman"/>
                <w:color w:val="auto"/>
              </w:rPr>
            </w:pPr>
            <w:r>
              <w:rPr>
                <w:rFonts w:hint="eastAsia" w:cs="Times New Roman"/>
                <w:color w:val="auto"/>
              </w:rPr>
              <w:t>0</w:t>
            </w:r>
          </w:p>
        </w:tc>
      </w:tr>
      <w:tr w14:paraId="16775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03333F8A">
            <w:pPr>
              <w:pStyle w:val="33"/>
              <w:rPr>
                <w:color w:val="auto"/>
              </w:rPr>
            </w:pPr>
          </w:p>
        </w:tc>
        <w:tc>
          <w:tcPr>
            <w:tcW w:w="626" w:type="pct"/>
            <w:vMerge w:val="continue"/>
            <w:vAlign w:val="center"/>
          </w:tcPr>
          <w:p w14:paraId="60194249">
            <w:pPr>
              <w:pStyle w:val="33"/>
              <w:rPr>
                <w:color w:val="auto"/>
              </w:rPr>
            </w:pPr>
          </w:p>
        </w:tc>
        <w:tc>
          <w:tcPr>
            <w:tcW w:w="792" w:type="pct"/>
            <w:vAlign w:val="center"/>
          </w:tcPr>
          <w:p w14:paraId="4410CA5B">
            <w:pPr>
              <w:pStyle w:val="33"/>
              <w:rPr>
                <w:color w:val="auto"/>
              </w:rPr>
            </w:pPr>
            <w:r>
              <w:rPr>
                <w:rFonts w:hint="eastAsia" w:cs="Times New Roman"/>
                <w:color w:val="auto"/>
              </w:rPr>
              <w:t>除砂器杂质</w:t>
            </w:r>
          </w:p>
        </w:tc>
        <w:tc>
          <w:tcPr>
            <w:tcW w:w="797" w:type="pct"/>
            <w:vAlign w:val="center"/>
          </w:tcPr>
          <w:p w14:paraId="532FDBC0">
            <w:pPr>
              <w:pStyle w:val="33"/>
              <w:rPr>
                <w:rFonts w:cs="Times New Roman"/>
                <w:color w:val="auto"/>
              </w:rPr>
            </w:pPr>
            <w:r>
              <w:rPr>
                <w:rFonts w:cs="Times New Roman"/>
                <w:color w:val="auto"/>
              </w:rPr>
              <w:t>t/a</w:t>
            </w:r>
          </w:p>
        </w:tc>
        <w:tc>
          <w:tcPr>
            <w:tcW w:w="873" w:type="pct"/>
            <w:vAlign w:val="center"/>
          </w:tcPr>
          <w:p w14:paraId="6E0E34A8">
            <w:pPr>
              <w:pStyle w:val="33"/>
              <w:rPr>
                <w:color w:val="auto"/>
              </w:rPr>
            </w:pPr>
            <w:r>
              <w:rPr>
                <w:rFonts w:hint="eastAsia"/>
                <w:color w:val="auto"/>
              </w:rPr>
              <w:t>110</w:t>
            </w:r>
          </w:p>
        </w:tc>
        <w:tc>
          <w:tcPr>
            <w:tcW w:w="715" w:type="pct"/>
            <w:vAlign w:val="center"/>
          </w:tcPr>
          <w:p w14:paraId="3206FE0E">
            <w:pPr>
              <w:pStyle w:val="33"/>
              <w:rPr>
                <w:color w:val="auto"/>
              </w:rPr>
            </w:pPr>
            <w:r>
              <w:rPr>
                <w:rFonts w:hint="eastAsia"/>
                <w:color w:val="auto"/>
              </w:rPr>
              <w:t>110</w:t>
            </w:r>
          </w:p>
        </w:tc>
        <w:tc>
          <w:tcPr>
            <w:tcW w:w="715" w:type="pct"/>
            <w:vAlign w:val="center"/>
          </w:tcPr>
          <w:p w14:paraId="514D1DA6">
            <w:pPr>
              <w:pStyle w:val="33"/>
              <w:rPr>
                <w:rFonts w:cs="Times New Roman"/>
                <w:color w:val="auto"/>
              </w:rPr>
            </w:pPr>
            <w:r>
              <w:rPr>
                <w:rFonts w:hint="eastAsia" w:cs="Times New Roman"/>
                <w:color w:val="auto"/>
              </w:rPr>
              <w:t>0</w:t>
            </w:r>
          </w:p>
        </w:tc>
      </w:tr>
      <w:tr w14:paraId="72337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1DEB7FF0">
            <w:pPr>
              <w:pStyle w:val="33"/>
              <w:rPr>
                <w:color w:val="auto"/>
              </w:rPr>
            </w:pPr>
          </w:p>
        </w:tc>
        <w:tc>
          <w:tcPr>
            <w:tcW w:w="626" w:type="pct"/>
            <w:vMerge w:val="continue"/>
            <w:vAlign w:val="center"/>
          </w:tcPr>
          <w:p w14:paraId="6E97EC28">
            <w:pPr>
              <w:pStyle w:val="33"/>
              <w:rPr>
                <w:color w:val="auto"/>
              </w:rPr>
            </w:pPr>
          </w:p>
        </w:tc>
        <w:tc>
          <w:tcPr>
            <w:tcW w:w="792" w:type="pct"/>
            <w:vAlign w:val="center"/>
          </w:tcPr>
          <w:p w14:paraId="554BAFCB">
            <w:pPr>
              <w:pStyle w:val="33"/>
              <w:rPr>
                <w:color w:val="auto"/>
              </w:rPr>
            </w:pPr>
            <w:r>
              <w:rPr>
                <w:rFonts w:hint="eastAsia"/>
                <w:color w:val="auto"/>
              </w:rPr>
              <w:t>污水处理站污泥</w:t>
            </w:r>
          </w:p>
        </w:tc>
        <w:tc>
          <w:tcPr>
            <w:tcW w:w="797" w:type="pct"/>
            <w:vAlign w:val="center"/>
          </w:tcPr>
          <w:p w14:paraId="53A3E2ED">
            <w:pPr>
              <w:pStyle w:val="33"/>
              <w:rPr>
                <w:rFonts w:cs="Times New Roman"/>
                <w:color w:val="auto"/>
              </w:rPr>
            </w:pPr>
            <w:r>
              <w:rPr>
                <w:rFonts w:cs="Times New Roman"/>
                <w:color w:val="auto"/>
              </w:rPr>
              <w:t>t/a</w:t>
            </w:r>
          </w:p>
        </w:tc>
        <w:tc>
          <w:tcPr>
            <w:tcW w:w="873" w:type="pct"/>
            <w:vAlign w:val="center"/>
          </w:tcPr>
          <w:p w14:paraId="51457251">
            <w:pPr>
              <w:pStyle w:val="33"/>
              <w:rPr>
                <w:rFonts w:cs="Times New Roman"/>
                <w:color w:val="auto"/>
              </w:rPr>
            </w:pPr>
            <w:r>
              <w:rPr>
                <w:rFonts w:hint="eastAsia"/>
                <w:color w:val="auto"/>
              </w:rPr>
              <w:t>236.594</w:t>
            </w:r>
          </w:p>
        </w:tc>
        <w:tc>
          <w:tcPr>
            <w:tcW w:w="715" w:type="pct"/>
            <w:vAlign w:val="center"/>
          </w:tcPr>
          <w:p w14:paraId="703F6D8E">
            <w:pPr>
              <w:pStyle w:val="33"/>
              <w:rPr>
                <w:rFonts w:cs="Times New Roman"/>
                <w:color w:val="auto"/>
              </w:rPr>
            </w:pPr>
            <w:r>
              <w:rPr>
                <w:rFonts w:hint="eastAsia"/>
                <w:color w:val="auto"/>
              </w:rPr>
              <w:t>236.594</w:t>
            </w:r>
          </w:p>
        </w:tc>
        <w:tc>
          <w:tcPr>
            <w:tcW w:w="715" w:type="pct"/>
            <w:vAlign w:val="center"/>
          </w:tcPr>
          <w:p w14:paraId="4C5AE283">
            <w:pPr>
              <w:pStyle w:val="33"/>
              <w:rPr>
                <w:rFonts w:cs="Times New Roman"/>
                <w:color w:val="auto"/>
              </w:rPr>
            </w:pPr>
            <w:r>
              <w:rPr>
                <w:rFonts w:hint="eastAsia" w:cs="Times New Roman"/>
                <w:color w:val="auto"/>
              </w:rPr>
              <w:t>0</w:t>
            </w:r>
          </w:p>
        </w:tc>
      </w:tr>
      <w:tr w14:paraId="33FEC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6750AF94">
            <w:pPr>
              <w:pStyle w:val="33"/>
              <w:rPr>
                <w:color w:val="auto"/>
              </w:rPr>
            </w:pPr>
          </w:p>
        </w:tc>
        <w:tc>
          <w:tcPr>
            <w:tcW w:w="626" w:type="pct"/>
            <w:vMerge w:val="restart"/>
            <w:vAlign w:val="center"/>
          </w:tcPr>
          <w:p w14:paraId="1D6CBC06">
            <w:pPr>
              <w:pStyle w:val="33"/>
              <w:rPr>
                <w:color w:val="auto"/>
              </w:rPr>
            </w:pPr>
            <w:r>
              <w:rPr>
                <w:rFonts w:hint="eastAsia"/>
                <w:color w:val="auto"/>
              </w:rPr>
              <w:t>危险废物</w:t>
            </w:r>
          </w:p>
        </w:tc>
        <w:tc>
          <w:tcPr>
            <w:tcW w:w="792" w:type="pct"/>
            <w:vAlign w:val="center"/>
          </w:tcPr>
          <w:p w14:paraId="6F76044C">
            <w:pPr>
              <w:pStyle w:val="33"/>
              <w:rPr>
                <w:color w:val="auto"/>
              </w:rPr>
            </w:pPr>
            <w:r>
              <w:rPr>
                <w:rFonts w:hint="eastAsia"/>
                <w:color w:val="auto"/>
              </w:rPr>
              <w:t>废活性炭</w:t>
            </w:r>
          </w:p>
        </w:tc>
        <w:tc>
          <w:tcPr>
            <w:tcW w:w="797" w:type="pct"/>
            <w:vAlign w:val="center"/>
          </w:tcPr>
          <w:p w14:paraId="1D8FDAD0">
            <w:pPr>
              <w:pStyle w:val="33"/>
              <w:rPr>
                <w:rFonts w:cs="Times New Roman"/>
                <w:color w:val="auto"/>
              </w:rPr>
            </w:pPr>
            <w:r>
              <w:rPr>
                <w:rFonts w:cs="Times New Roman"/>
                <w:color w:val="auto"/>
              </w:rPr>
              <w:t>t/a</w:t>
            </w:r>
          </w:p>
        </w:tc>
        <w:tc>
          <w:tcPr>
            <w:tcW w:w="873" w:type="pct"/>
            <w:vAlign w:val="center"/>
          </w:tcPr>
          <w:p w14:paraId="32CA1323">
            <w:pPr>
              <w:pStyle w:val="33"/>
              <w:rPr>
                <w:rFonts w:cs="Times New Roman"/>
                <w:color w:val="auto"/>
              </w:rPr>
            </w:pPr>
            <w:r>
              <w:rPr>
                <w:rFonts w:cs="Times New Roman"/>
                <w:color w:val="auto"/>
              </w:rPr>
              <w:t>3.6</w:t>
            </w:r>
          </w:p>
        </w:tc>
        <w:tc>
          <w:tcPr>
            <w:tcW w:w="715" w:type="pct"/>
            <w:vAlign w:val="center"/>
          </w:tcPr>
          <w:p w14:paraId="0D4CFAB0">
            <w:pPr>
              <w:pStyle w:val="33"/>
              <w:rPr>
                <w:rFonts w:cs="Times New Roman"/>
                <w:color w:val="auto"/>
              </w:rPr>
            </w:pPr>
            <w:r>
              <w:rPr>
                <w:rFonts w:cs="Times New Roman"/>
                <w:color w:val="auto"/>
              </w:rPr>
              <w:t>3.6</w:t>
            </w:r>
          </w:p>
        </w:tc>
        <w:tc>
          <w:tcPr>
            <w:tcW w:w="715" w:type="pct"/>
            <w:vAlign w:val="center"/>
          </w:tcPr>
          <w:p w14:paraId="5D39E4AA">
            <w:pPr>
              <w:pStyle w:val="33"/>
              <w:rPr>
                <w:rFonts w:cs="Times New Roman"/>
                <w:color w:val="auto"/>
              </w:rPr>
            </w:pPr>
            <w:r>
              <w:rPr>
                <w:rFonts w:hint="eastAsia" w:cs="Times New Roman"/>
                <w:color w:val="auto"/>
              </w:rPr>
              <w:t>0</w:t>
            </w:r>
          </w:p>
        </w:tc>
      </w:tr>
      <w:tr w14:paraId="0834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82" w:type="pct"/>
            <w:vMerge w:val="continue"/>
            <w:vAlign w:val="center"/>
          </w:tcPr>
          <w:p w14:paraId="5E183C2A">
            <w:pPr>
              <w:pStyle w:val="33"/>
              <w:rPr>
                <w:color w:val="auto"/>
              </w:rPr>
            </w:pPr>
          </w:p>
        </w:tc>
        <w:tc>
          <w:tcPr>
            <w:tcW w:w="626" w:type="pct"/>
            <w:vMerge w:val="continue"/>
            <w:vAlign w:val="center"/>
          </w:tcPr>
          <w:p w14:paraId="62C8F00C">
            <w:pPr>
              <w:pStyle w:val="33"/>
              <w:rPr>
                <w:color w:val="auto"/>
              </w:rPr>
            </w:pPr>
          </w:p>
        </w:tc>
        <w:tc>
          <w:tcPr>
            <w:tcW w:w="792" w:type="pct"/>
            <w:vAlign w:val="center"/>
          </w:tcPr>
          <w:p w14:paraId="51ADDF90">
            <w:pPr>
              <w:pStyle w:val="33"/>
              <w:rPr>
                <w:color w:val="auto"/>
              </w:rPr>
            </w:pPr>
            <w:r>
              <w:rPr>
                <w:rFonts w:hint="eastAsia"/>
                <w:color w:val="auto"/>
              </w:rPr>
              <w:t>废机油</w:t>
            </w:r>
          </w:p>
        </w:tc>
        <w:tc>
          <w:tcPr>
            <w:tcW w:w="797" w:type="pct"/>
            <w:vAlign w:val="center"/>
          </w:tcPr>
          <w:p w14:paraId="16668409">
            <w:pPr>
              <w:pStyle w:val="33"/>
              <w:rPr>
                <w:rFonts w:cs="Times New Roman"/>
                <w:color w:val="auto"/>
              </w:rPr>
            </w:pPr>
            <w:r>
              <w:rPr>
                <w:rFonts w:cs="Times New Roman"/>
                <w:color w:val="auto"/>
              </w:rPr>
              <w:t>t/a</w:t>
            </w:r>
          </w:p>
        </w:tc>
        <w:tc>
          <w:tcPr>
            <w:tcW w:w="873" w:type="pct"/>
            <w:vAlign w:val="center"/>
          </w:tcPr>
          <w:p w14:paraId="75E4163F">
            <w:pPr>
              <w:pStyle w:val="33"/>
              <w:rPr>
                <w:rFonts w:cs="Times New Roman"/>
                <w:color w:val="auto"/>
              </w:rPr>
            </w:pPr>
            <w:r>
              <w:rPr>
                <w:rFonts w:hint="eastAsia" w:cs="Times New Roman"/>
                <w:color w:val="auto"/>
              </w:rPr>
              <w:t>0.1</w:t>
            </w:r>
          </w:p>
        </w:tc>
        <w:tc>
          <w:tcPr>
            <w:tcW w:w="715" w:type="pct"/>
            <w:vAlign w:val="center"/>
          </w:tcPr>
          <w:p w14:paraId="4A366BF1">
            <w:pPr>
              <w:pStyle w:val="33"/>
              <w:rPr>
                <w:rFonts w:cs="Times New Roman"/>
                <w:color w:val="auto"/>
              </w:rPr>
            </w:pPr>
            <w:r>
              <w:rPr>
                <w:rFonts w:hint="eastAsia" w:cs="Times New Roman"/>
                <w:color w:val="auto"/>
              </w:rPr>
              <w:t>0.1</w:t>
            </w:r>
          </w:p>
        </w:tc>
        <w:tc>
          <w:tcPr>
            <w:tcW w:w="715" w:type="pct"/>
            <w:vAlign w:val="center"/>
          </w:tcPr>
          <w:p w14:paraId="24D7DC89">
            <w:pPr>
              <w:pStyle w:val="33"/>
              <w:rPr>
                <w:rFonts w:cs="Times New Roman"/>
                <w:color w:val="auto"/>
              </w:rPr>
            </w:pPr>
            <w:r>
              <w:rPr>
                <w:rFonts w:hint="eastAsia" w:cs="Times New Roman"/>
                <w:color w:val="auto"/>
              </w:rPr>
              <w:t>0</w:t>
            </w:r>
          </w:p>
        </w:tc>
      </w:tr>
    </w:tbl>
    <w:p w14:paraId="55FBB1A1">
      <w:pPr>
        <w:pStyle w:val="5"/>
        <w:rPr>
          <w:color w:val="auto"/>
        </w:rPr>
      </w:pPr>
      <w:r>
        <w:rPr>
          <w:rFonts w:hint="eastAsia"/>
          <w:color w:val="auto"/>
        </w:rPr>
        <w:t>全厂</w:t>
      </w:r>
      <w:r>
        <w:rPr>
          <w:color w:val="auto"/>
        </w:rPr>
        <w:t>“三废”排放情况</w:t>
      </w:r>
    </w:p>
    <w:p w14:paraId="20E3A7BE">
      <w:pPr>
        <w:ind w:firstLine="480"/>
        <w:rPr>
          <w:color w:val="auto"/>
        </w:rPr>
      </w:pPr>
      <w:r>
        <w:rPr>
          <w:rFonts w:hint="eastAsia"/>
          <w:color w:val="auto"/>
        </w:rPr>
        <w:t>项目建成后，全厂</w:t>
      </w:r>
      <w:r>
        <w:rPr>
          <w:color w:val="auto"/>
        </w:rPr>
        <w:t>“三废”排放情况汇总见下表。</w:t>
      </w:r>
    </w:p>
    <w:p w14:paraId="66B7A0F7">
      <w:pPr>
        <w:pStyle w:val="7"/>
        <w:rPr>
          <w:color w:val="auto"/>
        </w:rPr>
      </w:pPr>
      <w:r>
        <w:rPr>
          <w:rFonts w:hint="eastAsia"/>
          <w:color w:val="auto"/>
        </w:rPr>
        <w:t>全厂</w:t>
      </w:r>
      <w:r>
        <w:rPr>
          <w:color w:val="auto"/>
        </w:rPr>
        <w:t>“三废”排放情况汇总</w:t>
      </w:r>
    </w:p>
    <w:tbl>
      <w:tblPr>
        <w:tblStyle w:val="57"/>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4"/>
        <w:gridCol w:w="868"/>
        <w:gridCol w:w="1568"/>
        <w:gridCol w:w="1848"/>
        <w:gridCol w:w="1703"/>
        <w:gridCol w:w="1274"/>
        <w:gridCol w:w="1271"/>
      </w:tblGrid>
      <w:tr w14:paraId="2B08C2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1C227CD8">
            <w:pPr>
              <w:pStyle w:val="33"/>
              <w:rPr>
                <w:rFonts w:cs="Times New Roman"/>
                <w:color w:val="auto"/>
                <w:lang w:eastAsia="en-US"/>
              </w:rPr>
            </w:pPr>
            <w:r>
              <w:rPr>
                <w:rFonts w:hint="eastAsia" w:cs="Times New Roman"/>
                <w:color w:val="auto"/>
                <w:lang w:eastAsia="en-US"/>
              </w:rPr>
              <w:t>序号</w:t>
            </w:r>
          </w:p>
        </w:tc>
        <w:tc>
          <w:tcPr>
            <w:tcW w:w="478" w:type="pct"/>
            <w:vAlign w:val="center"/>
          </w:tcPr>
          <w:p w14:paraId="721C2549">
            <w:pPr>
              <w:pStyle w:val="33"/>
              <w:rPr>
                <w:rFonts w:cs="Times New Roman"/>
                <w:color w:val="auto"/>
                <w:lang w:eastAsia="en-US"/>
              </w:rPr>
            </w:pPr>
            <w:r>
              <w:rPr>
                <w:rFonts w:hint="eastAsia" w:cs="Times New Roman"/>
                <w:color w:val="auto"/>
                <w:lang w:eastAsia="en-US"/>
              </w:rPr>
              <w:t>类别</w:t>
            </w:r>
          </w:p>
        </w:tc>
        <w:tc>
          <w:tcPr>
            <w:tcW w:w="864" w:type="pct"/>
            <w:vAlign w:val="center"/>
          </w:tcPr>
          <w:p w14:paraId="3CCF51EA">
            <w:pPr>
              <w:pStyle w:val="33"/>
              <w:rPr>
                <w:rFonts w:cs="Times New Roman"/>
                <w:color w:val="auto"/>
                <w:lang w:eastAsia="en-US"/>
              </w:rPr>
            </w:pPr>
            <w:r>
              <w:rPr>
                <w:rFonts w:hint="eastAsia" w:cs="Times New Roman"/>
                <w:color w:val="auto"/>
                <w:lang w:eastAsia="en-US"/>
              </w:rPr>
              <w:t>项目</w:t>
            </w:r>
          </w:p>
        </w:tc>
        <w:tc>
          <w:tcPr>
            <w:tcW w:w="1018" w:type="pct"/>
            <w:vAlign w:val="center"/>
          </w:tcPr>
          <w:p w14:paraId="7886432A">
            <w:pPr>
              <w:pStyle w:val="33"/>
              <w:rPr>
                <w:rFonts w:cs="Times New Roman"/>
                <w:color w:val="auto"/>
                <w:lang w:eastAsia="en-US"/>
              </w:rPr>
            </w:pPr>
            <w:r>
              <w:rPr>
                <w:rFonts w:hint="eastAsia" w:cs="Times New Roman"/>
                <w:color w:val="auto"/>
                <w:spacing w:val="-4"/>
                <w:lang w:eastAsia="en-US"/>
              </w:rPr>
              <w:t>现有已建工程排放量</w:t>
            </w:r>
          </w:p>
        </w:tc>
        <w:tc>
          <w:tcPr>
            <w:tcW w:w="938" w:type="pct"/>
            <w:vAlign w:val="center"/>
          </w:tcPr>
          <w:p w14:paraId="51CB9532">
            <w:pPr>
              <w:pStyle w:val="33"/>
              <w:rPr>
                <w:rFonts w:cs="Times New Roman"/>
                <w:color w:val="auto"/>
                <w:lang w:eastAsia="zh-CN"/>
              </w:rPr>
            </w:pPr>
            <w:r>
              <w:rPr>
                <w:rFonts w:hint="eastAsia" w:cs="Times New Roman"/>
                <w:color w:val="auto"/>
                <w:spacing w:val="-6"/>
                <w:lang w:eastAsia="en-US"/>
              </w:rPr>
              <w:t>已批在建</w:t>
            </w:r>
            <w:r>
              <w:rPr>
                <w:rFonts w:hint="eastAsia" w:cs="Times New Roman"/>
                <w:color w:val="auto"/>
                <w:spacing w:val="-4"/>
                <w:lang w:eastAsia="en-US"/>
              </w:rPr>
              <w:t>排放量</w:t>
            </w:r>
          </w:p>
        </w:tc>
        <w:tc>
          <w:tcPr>
            <w:tcW w:w="702" w:type="pct"/>
            <w:vAlign w:val="center"/>
          </w:tcPr>
          <w:p w14:paraId="0A279195">
            <w:pPr>
              <w:pStyle w:val="33"/>
              <w:rPr>
                <w:rFonts w:cs="Times New Roman"/>
                <w:color w:val="auto"/>
                <w:lang w:eastAsia="zh-CN"/>
              </w:rPr>
            </w:pPr>
            <w:r>
              <w:rPr>
                <w:rFonts w:hint="eastAsia" w:cs="Times New Roman"/>
                <w:color w:val="auto"/>
                <w:spacing w:val="-8"/>
                <w:lang w:eastAsia="en-US"/>
              </w:rPr>
              <w:t>本项目排放量</w:t>
            </w:r>
          </w:p>
        </w:tc>
        <w:tc>
          <w:tcPr>
            <w:tcW w:w="700" w:type="pct"/>
            <w:vAlign w:val="center"/>
          </w:tcPr>
          <w:p w14:paraId="2C32609E">
            <w:pPr>
              <w:pStyle w:val="33"/>
              <w:rPr>
                <w:rFonts w:cs="Times New Roman"/>
                <w:color w:val="auto"/>
                <w:spacing w:val="-8"/>
                <w:lang w:eastAsia="en-US"/>
              </w:rPr>
            </w:pPr>
            <w:r>
              <w:rPr>
                <w:rFonts w:hint="eastAsia" w:cs="Times New Roman"/>
                <w:color w:val="auto"/>
                <w:spacing w:val="-8"/>
                <w:lang w:eastAsia="en-US"/>
              </w:rPr>
              <w:t>全厂合计</w:t>
            </w:r>
          </w:p>
        </w:tc>
      </w:tr>
      <w:tr w14:paraId="09C840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0A1EF7CD">
            <w:pPr>
              <w:pStyle w:val="33"/>
              <w:rPr>
                <w:rFonts w:cs="Times New Roman"/>
                <w:color w:val="auto"/>
                <w:lang w:eastAsia="en-US"/>
              </w:rPr>
            </w:pPr>
            <w:r>
              <w:rPr>
                <w:rFonts w:cs="Times New Roman"/>
                <w:color w:val="auto"/>
                <w:lang w:eastAsia="en-US"/>
              </w:rPr>
              <w:t>1</w:t>
            </w:r>
          </w:p>
        </w:tc>
        <w:tc>
          <w:tcPr>
            <w:tcW w:w="478" w:type="pct"/>
            <w:vMerge w:val="restart"/>
            <w:vAlign w:val="center"/>
          </w:tcPr>
          <w:p w14:paraId="61152320">
            <w:pPr>
              <w:pStyle w:val="33"/>
              <w:rPr>
                <w:rFonts w:cs="Times New Roman"/>
                <w:color w:val="auto"/>
                <w:lang w:eastAsia="en-US"/>
              </w:rPr>
            </w:pPr>
            <w:r>
              <w:rPr>
                <w:rFonts w:hint="eastAsia" w:cs="Times New Roman"/>
                <w:color w:val="auto"/>
                <w:lang w:eastAsia="en-US"/>
              </w:rPr>
              <w:t>废水</w:t>
            </w:r>
          </w:p>
        </w:tc>
        <w:tc>
          <w:tcPr>
            <w:tcW w:w="864" w:type="pct"/>
            <w:vAlign w:val="center"/>
          </w:tcPr>
          <w:p w14:paraId="02F1708D">
            <w:pPr>
              <w:pStyle w:val="33"/>
              <w:rPr>
                <w:rFonts w:cs="Times New Roman"/>
                <w:color w:val="auto"/>
                <w:lang w:eastAsia="en-US"/>
              </w:rPr>
            </w:pPr>
            <w:r>
              <w:rPr>
                <w:rFonts w:cs="Times New Roman"/>
                <w:color w:val="auto"/>
                <w:lang w:eastAsia="en-US"/>
              </w:rPr>
              <w:t>COD</w:t>
            </w:r>
            <w:r>
              <w:rPr>
                <w:rFonts w:cs="Times New Roman"/>
                <w:color w:val="auto"/>
                <w:vertAlign w:val="subscript"/>
                <w:lang w:eastAsia="en-US"/>
              </w:rPr>
              <w:t>Cr</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0377703F">
            <w:pPr>
              <w:pStyle w:val="33"/>
              <w:rPr>
                <w:rFonts w:cs="Times New Roman"/>
                <w:color w:val="auto"/>
                <w:lang w:eastAsia="en-US"/>
              </w:rPr>
            </w:pPr>
            <w:r>
              <w:rPr>
                <w:rFonts w:cs="Times New Roman"/>
                <w:color w:val="auto"/>
                <w:lang w:eastAsia="en-US"/>
              </w:rPr>
              <w:t>863.67</w:t>
            </w:r>
          </w:p>
        </w:tc>
        <w:tc>
          <w:tcPr>
            <w:tcW w:w="938" w:type="pct"/>
            <w:vAlign w:val="center"/>
          </w:tcPr>
          <w:p w14:paraId="1819DC03">
            <w:pPr>
              <w:pStyle w:val="33"/>
              <w:rPr>
                <w:rFonts w:cs="Times New Roman"/>
                <w:color w:val="auto"/>
                <w:lang w:eastAsia="zh-CN"/>
              </w:rPr>
            </w:pPr>
            <w:r>
              <w:rPr>
                <w:rFonts w:cs="Times New Roman"/>
                <w:color w:val="auto"/>
                <w:szCs w:val="21"/>
                <w:lang w:eastAsia="en-US"/>
              </w:rPr>
              <w:t>571.32</w:t>
            </w:r>
          </w:p>
        </w:tc>
        <w:tc>
          <w:tcPr>
            <w:tcW w:w="702" w:type="pct"/>
            <w:vAlign w:val="center"/>
          </w:tcPr>
          <w:p w14:paraId="331A0F43">
            <w:pPr>
              <w:pStyle w:val="33"/>
              <w:rPr>
                <w:rFonts w:cs="Times New Roman"/>
                <w:color w:val="auto"/>
                <w:lang w:eastAsia="en-US"/>
              </w:rPr>
            </w:pPr>
            <w:r>
              <w:rPr>
                <w:rFonts w:cs="Times New Roman"/>
                <w:color w:val="auto"/>
                <w:lang w:eastAsia="en-US"/>
              </w:rPr>
              <w:t>0</w:t>
            </w:r>
          </w:p>
        </w:tc>
        <w:tc>
          <w:tcPr>
            <w:tcW w:w="700" w:type="pct"/>
            <w:vAlign w:val="center"/>
          </w:tcPr>
          <w:p w14:paraId="56DF9D2C">
            <w:pPr>
              <w:pStyle w:val="33"/>
              <w:rPr>
                <w:rFonts w:cs="Times New Roman"/>
                <w:color w:val="auto"/>
                <w:szCs w:val="21"/>
                <w:lang w:eastAsia="zh-CN"/>
              </w:rPr>
            </w:pPr>
            <w:r>
              <w:rPr>
                <w:rFonts w:cs="Times New Roman"/>
                <w:color w:val="auto"/>
                <w:lang w:eastAsia="en-US"/>
              </w:rPr>
              <w:t>1434.99</w:t>
            </w:r>
          </w:p>
        </w:tc>
      </w:tr>
      <w:tr w14:paraId="2AC7EC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551B2BC9">
            <w:pPr>
              <w:pStyle w:val="33"/>
              <w:rPr>
                <w:rFonts w:cs="Times New Roman"/>
                <w:color w:val="auto"/>
                <w:lang w:eastAsia="en-US"/>
              </w:rPr>
            </w:pPr>
            <w:r>
              <w:rPr>
                <w:rFonts w:cs="Times New Roman"/>
                <w:color w:val="auto"/>
                <w:lang w:eastAsia="en-US"/>
              </w:rPr>
              <w:t>3</w:t>
            </w:r>
          </w:p>
        </w:tc>
        <w:tc>
          <w:tcPr>
            <w:tcW w:w="478" w:type="pct"/>
            <w:vMerge w:val="continue"/>
            <w:vAlign w:val="center"/>
          </w:tcPr>
          <w:p w14:paraId="0E6B9D42">
            <w:pPr>
              <w:pStyle w:val="33"/>
              <w:rPr>
                <w:rFonts w:cs="Times New Roman"/>
                <w:color w:val="auto"/>
                <w:lang w:eastAsia="en-US"/>
              </w:rPr>
            </w:pPr>
          </w:p>
        </w:tc>
        <w:tc>
          <w:tcPr>
            <w:tcW w:w="864" w:type="pct"/>
            <w:vAlign w:val="center"/>
          </w:tcPr>
          <w:p w14:paraId="517C9B48">
            <w:pPr>
              <w:pStyle w:val="33"/>
              <w:rPr>
                <w:rFonts w:cs="Times New Roman"/>
                <w:color w:val="auto"/>
                <w:lang w:eastAsia="en-US"/>
              </w:rPr>
            </w:pPr>
            <w:r>
              <w:rPr>
                <w:rFonts w:cs="Times New Roman"/>
                <w:color w:val="auto"/>
                <w:lang w:eastAsia="en-US"/>
              </w:rPr>
              <w:t>BOD</w:t>
            </w:r>
            <w:r>
              <w:rPr>
                <w:rFonts w:cs="Times New Roman"/>
                <w:color w:val="auto"/>
                <w:vertAlign w:val="subscript"/>
                <w:lang w:eastAsia="en-US"/>
              </w:rPr>
              <w:t>5</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345DFCBD">
            <w:pPr>
              <w:pStyle w:val="33"/>
              <w:rPr>
                <w:rFonts w:cs="Times New Roman"/>
                <w:color w:val="auto"/>
                <w:lang w:eastAsia="en-US"/>
              </w:rPr>
            </w:pPr>
            <w:r>
              <w:rPr>
                <w:rFonts w:cs="Times New Roman"/>
                <w:color w:val="auto"/>
                <w:lang w:eastAsia="en-US"/>
              </w:rPr>
              <w:t>293.38</w:t>
            </w:r>
          </w:p>
        </w:tc>
        <w:tc>
          <w:tcPr>
            <w:tcW w:w="938" w:type="pct"/>
            <w:vAlign w:val="center"/>
          </w:tcPr>
          <w:p w14:paraId="14B5A180">
            <w:pPr>
              <w:pStyle w:val="33"/>
              <w:rPr>
                <w:rFonts w:cs="Times New Roman"/>
                <w:color w:val="auto"/>
                <w:lang w:eastAsia="en-US"/>
              </w:rPr>
            </w:pPr>
            <w:r>
              <w:rPr>
                <w:rFonts w:cs="Times New Roman"/>
                <w:color w:val="auto"/>
                <w:szCs w:val="21"/>
                <w:lang w:eastAsia="en-US"/>
              </w:rPr>
              <w:t>119.98</w:t>
            </w:r>
          </w:p>
        </w:tc>
        <w:tc>
          <w:tcPr>
            <w:tcW w:w="702" w:type="pct"/>
            <w:vAlign w:val="center"/>
          </w:tcPr>
          <w:p w14:paraId="17015FE1">
            <w:pPr>
              <w:pStyle w:val="33"/>
              <w:rPr>
                <w:rFonts w:cs="Times New Roman"/>
                <w:color w:val="auto"/>
                <w:lang w:eastAsia="en-US"/>
              </w:rPr>
            </w:pPr>
            <w:r>
              <w:rPr>
                <w:rFonts w:cs="Times New Roman"/>
                <w:color w:val="auto"/>
                <w:lang w:eastAsia="en-US"/>
              </w:rPr>
              <w:t>0</w:t>
            </w:r>
          </w:p>
        </w:tc>
        <w:tc>
          <w:tcPr>
            <w:tcW w:w="700" w:type="pct"/>
            <w:vAlign w:val="center"/>
          </w:tcPr>
          <w:p w14:paraId="57B009B5">
            <w:pPr>
              <w:pStyle w:val="33"/>
              <w:rPr>
                <w:rFonts w:cs="Times New Roman"/>
                <w:color w:val="auto"/>
                <w:szCs w:val="21"/>
                <w:lang w:eastAsia="en-US"/>
              </w:rPr>
            </w:pPr>
            <w:r>
              <w:rPr>
                <w:rFonts w:cs="Times New Roman"/>
                <w:color w:val="auto"/>
                <w:lang w:eastAsia="en-US"/>
              </w:rPr>
              <w:t>413.36</w:t>
            </w:r>
          </w:p>
        </w:tc>
      </w:tr>
      <w:tr w14:paraId="3BC031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52D9A7DA">
            <w:pPr>
              <w:pStyle w:val="33"/>
              <w:rPr>
                <w:rFonts w:cs="Times New Roman"/>
                <w:color w:val="auto"/>
                <w:lang w:eastAsia="en-US"/>
              </w:rPr>
            </w:pPr>
            <w:r>
              <w:rPr>
                <w:rFonts w:cs="Times New Roman"/>
                <w:color w:val="auto"/>
                <w:lang w:eastAsia="en-US"/>
              </w:rPr>
              <w:t>4</w:t>
            </w:r>
          </w:p>
        </w:tc>
        <w:tc>
          <w:tcPr>
            <w:tcW w:w="478" w:type="pct"/>
            <w:vMerge w:val="continue"/>
            <w:vAlign w:val="center"/>
          </w:tcPr>
          <w:p w14:paraId="030928EC">
            <w:pPr>
              <w:pStyle w:val="33"/>
              <w:rPr>
                <w:rFonts w:cs="Times New Roman"/>
                <w:color w:val="auto"/>
                <w:lang w:eastAsia="en-US"/>
              </w:rPr>
            </w:pPr>
          </w:p>
        </w:tc>
        <w:tc>
          <w:tcPr>
            <w:tcW w:w="864" w:type="pct"/>
            <w:vAlign w:val="center"/>
          </w:tcPr>
          <w:p w14:paraId="1173873B">
            <w:pPr>
              <w:pStyle w:val="33"/>
              <w:rPr>
                <w:rFonts w:cs="Times New Roman"/>
                <w:color w:val="auto"/>
                <w:lang w:eastAsia="en-US"/>
              </w:rPr>
            </w:pPr>
            <w:r>
              <w:rPr>
                <w:rFonts w:cs="Times New Roman"/>
                <w:color w:val="auto"/>
                <w:lang w:eastAsia="en-US"/>
              </w:rPr>
              <w:t>SS</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18179D55">
            <w:pPr>
              <w:pStyle w:val="33"/>
              <w:rPr>
                <w:rFonts w:cs="Times New Roman"/>
                <w:color w:val="auto"/>
                <w:lang w:eastAsia="en-US"/>
              </w:rPr>
            </w:pPr>
            <w:r>
              <w:rPr>
                <w:rFonts w:cs="Times New Roman"/>
                <w:color w:val="auto"/>
                <w:lang w:eastAsia="en-US"/>
              </w:rPr>
              <w:t>329.57</w:t>
            </w:r>
          </w:p>
        </w:tc>
        <w:tc>
          <w:tcPr>
            <w:tcW w:w="938" w:type="pct"/>
            <w:vAlign w:val="center"/>
          </w:tcPr>
          <w:p w14:paraId="5CFB8784">
            <w:pPr>
              <w:pStyle w:val="33"/>
              <w:rPr>
                <w:rFonts w:cs="Times New Roman"/>
                <w:color w:val="auto"/>
                <w:lang w:eastAsia="en-US"/>
              </w:rPr>
            </w:pPr>
            <w:r>
              <w:rPr>
                <w:rFonts w:cs="Times New Roman"/>
                <w:color w:val="auto"/>
                <w:szCs w:val="21"/>
                <w:lang w:eastAsia="en-US"/>
              </w:rPr>
              <w:t>129.93</w:t>
            </w:r>
          </w:p>
        </w:tc>
        <w:tc>
          <w:tcPr>
            <w:tcW w:w="702" w:type="pct"/>
            <w:vAlign w:val="center"/>
          </w:tcPr>
          <w:p w14:paraId="388AB14A">
            <w:pPr>
              <w:pStyle w:val="33"/>
              <w:rPr>
                <w:rFonts w:cs="Times New Roman"/>
                <w:color w:val="auto"/>
                <w:lang w:eastAsia="en-US"/>
              </w:rPr>
            </w:pPr>
            <w:r>
              <w:rPr>
                <w:rFonts w:cs="Times New Roman"/>
                <w:color w:val="auto"/>
                <w:lang w:eastAsia="en-US"/>
              </w:rPr>
              <w:t>0</w:t>
            </w:r>
          </w:p>
        </w:tc>
        <w:tc>
          <w:tcPr>
            <w:tcW w:w="700" w:type="pct"/>
            <w:vAlign w:val="center"/>
          </w:tcPr>
          <w:p w14:paraId="4BCEF0AA">
            <w:pPr>
              <w:pStyle w:val="33"/>
              <w:rPr>
                <w:rFonts w:cs="Times New Roman"/>
                <w:color w:val="auto"/>
                <w:szCs w:val="21"/>
                <w:lang w:eastAsia="en-US"/>
              </w:rPr>
            </w:pPr>
            <w:r>
              <w:rPr>
                <w:rFonts w:cs="Times New Roman"/>
                <w:color w:val="auto"/>
                <w:lang w:eastAsia="en-US"/>
              </w:rPr>
              <w:t>459.5</w:t>
            </w:r>
          </w:p>
        </w:tc>
      </w:tr>
      <w:tr w14:paraId="5FB1EF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573DE8B3">
            <w:pPr>
              <w:pStyle w:val="33"/>
              <w:rPr>
                <w:rFonts w:cs="Times New Roman"/>
                <w:color w:val="auto"/>
                <w:lang w:eastAsia="en-US"/>
              </w:rPr>
            </w:pPr>
            <w:r>
              <w:rPr>
                <w:rFonts w:cs="Times New Roman"/>
                <w:color w:val="auto"/>
                <w:lang w:eastAsia="en-US"/>
              </w:rPr>
              <w:t>5</w:t>
            </w:r>
          </w:p>
        </w:tc>
        <w:tc>
          <w:tcPr>
            <w:tcW w:w="478" w:type="pct"/>
            <w:vMerge w:val="continue"/>
            <w:vAlign w:val="center"/>
          </w:tcPr>
          <w:p w14:paraId="7D14FFBA">
            <w:pPr>
              <w:pStyle w:val="33"/>
              <w:rPr>
                <w:rFonts w:cs="Times New Roman"/>
                <w:color w:val="auto"/>
                <w:lang w:eastAsia="en-US"/>
              </w:rPr>
            </w:pPr>
          </w:p>
        </w:tc>
        <w:tc>
          <w:tcPr>
            <w:tcW w:w="864" w:type="pct"/>
            <w:vAlign w:val="center"/>
          </w:tcPr>
          <w:p w14:paraId="29A38792">
            <w:pPr>
              <w:pStyle w:val="33"/>
              <w:rPr>
                <w:rFonts w:cs="Times New Roman"/>
                <w:color w:val="auto"/>
                <w:lang w:eastAsia="en-US"/>
              </w:rPr>
            </w:pPr>
            <w:r>
              <w:rPr>
                <w:rFonts w:hint="eastAsia" w:cs="Times New Roman"/>
                <w:color w:val="auto"/>
                <w:lang w:eastAsia="en-US"/>
              </w:rPr>
              <w:t>氨氮（</w:t>
            </w:r>
            <w:r>
              <w:rPr>
                <w:rFonts w:cs="Times New Roman"/>
                <w:color w:val="auto"/>
                <w:lang w:eastAsia="en-US"/>
              </w:rPr>
              <w:t>t/a</w:t>
            </w:r>
            <w:r>
              <w:rPr>
                <w:rFonts w:hint="eastAsia" w:cs="Times New Roman"/>
                <w:color w:val="auto"/>
                <w:lang w:eastAsia="en-US"/>
              </w:rPr>
              <w:t>）</w:t>
            </w:r>
          </w:p>
        </w:tc>
        <w:tc>
          <w:tcPr>
            <w:tcW w:w="1018" w:type="pct"/>
            <w:vAlign w:val="center"/>
          </w:tcPr>
          <w:p w14:paraId="0194AF67">
            <w:pPr>
              <w:pStyle w:val="33"/>
              <w:rPr>
                <w:rFonts w:cs="Times New Roman"/>
                <w:color w:val="auto"/>
                <w:lang w:eastAsia="en-US"/>
              </w:rPr>
            </w:pPr>
            <w:r>
              <w:rPr>
                <w:rFonts w:cs="Times New Roman"/>
                <w:color w:val="auto"/>
                <w:lang w:eastAsia="en-US"/>
              </w:rPr>
              <w:t>33.60</w:t>
            </w:r>
          </w:p>
        </w:tc>
        <w:tc>
          <w:tcPr>
            <w:tcW w:w="938" w:type="pct"/>
            <w:vAlign w:val="center"/>
          </w:tcPr>
          <w:p w14:paraId="4019C135">
            <w:pPr>
              <w:pStyle w:val="33"/>
              <w:rPr>
                <w:rFonts w:cs="Times New Roman"/>
                <w:color w:val="auto"/>
                <w:lang w:eastAsia="en-US"/>
              </w:rPr>
            </w:pPr>
            <w:r>
              <w:rPr>
                <w:rFonts w:cs="Times New Roman"/>
                <w:color w:val="auto"/>
                <w:szCs w:val="21"/>
                <w:lang w:eastAsia="en-US"/>
              </w:rPr>
              <w:t>10.61</w:t>
            </w:r>
          </w:p>
        </w:tc>
        <w:tc>
          <w:tcPr>
            <w:tcW w:w="702" w:type="pct"/>
            <w:vAlign w:val="center"/>
          </w:tcPr>
          <w:p w14:paraId="3715F056">
            <w:pPr>
              <w:pStyle w:val="33"/>
              <w:rPr>
                <w:rFonts w:cs="Times New Roman"/>
                <w:color w:val="auto"/>
                <w:lang w:eastAsia="en-US"/>
              </w:rPr>
            </w:pPr>
            <w:r>
              <w:rPr>
                <w:rFonts w:cs="Times New Roman"/>
                <w:color w:val="auto"/>
                <w:lang w:eastAsia="en-US"/>
              </w:rPr>
              <w:t>0</w:t>
            </w:r>
          </w:p>
        </w:tc>
        <w:tc>
          <w:tcPr>
            <w:tcW w:w="700" w:type="pct"/>
            <w:vAlign w:val="center"/>
          </w:tcPr>
          <w:p w14:paraId="2D4C007C">
            <w:pPr>
              <w:pStyle w:val="33"/>
              <w:rPr>
                <w:rFonts w:cs="Times New Roman"/>
                <w:color w:val="auto"/>
                <w:szCs w:val="21"/>
                <w:lang w:eastAsia="en-US"/>
              </w:rPr>
            </w:pPr>
            <w:r>
              <w:rPr>
                <w:rFonts w:cs="Times New Roman"/>
                <w:color w:val="auto"/>
                <w:lang w:eastAsia="en-US"/>
              </w:rPr>
              <w:t>44.21</w:t>
            </w:r>
          </w:p>
        </w:tc>
      </w:tr>
      <w:tr w14:paraId="7B4712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4842CBE7">
            <w:pPr>
              <w:pStyle w:val="33"/>
              <w:rPr>
                <w:rFonts w:cs="Times New Roman"/>
                <w:color w:val="auto"/>
                <w:lang w:eastAsia="en-US"/>
              </w:rPr>
            </w:pPr>
            <w:r>
              <w:rPr>
                <w:rFonts w:cs="Times New Roman"/>
                <w:color w:val="auto"/>
                <w:lang w:eastAsia="en-US"/>
              </w:rPr>
              <w:t>6</w:t>
            </w:r>
          </w:p>
        </w:tc>
        <w:tc>
          <w:tcPr>
            <w:tcW w:w="478" w:type="pct"/>
            <w:vMerge w:val="continue"/>
            <w:vAlign w:val="center"/>
          </w:tcPr>
          <w:p w14:paraId="459543A5">
            <w:pPr>
              <w:pStyle w:val="33"/>
              <w:rPr>
                <w:rFonts w:cs="Times New Roman"/>
                <w:color w:val="auto"/>
                <w:lang w:eastAsia="en-US"/>
              </w:rPr>
            </w:pPr>
          </w:p>
        </w:tc>
        <w:tc>
          <w:tcPr>
            <w:tcW w:w="864" w:type="pct"/>
            <w:vAlign w:val="center"/>
          </w:tcPr>
          <w:p w14:paraId="0A50EBE8">
            <w:pPr>
              <w:pStyle w:val="33"/>
              <w:rPr>
                <w:rFonts w:cs="Times New Roman"/>
                <w:color w:val="auto"/>
                <w:lang w:eastAsia="en-US"/>
              </w:rPr>
            </w:pPr>
            <w:r>
              <w:rPr>
                <w:rFonts w:hint="eastAsia" w:cs="Times New Roman"/>
                <w:color w:val="auto"/>
                <w:lang w:eastAsia="en-US"/>
              </w:rPr>
              <w:t>总氮（</w:t>
            </w:r>
            <w:r>
              <w:rPr>
                <w:rFonts w:cs="Times New Roman"/>
                <w:color w:val="auto"/>
                <w:lang w:eastAsia="en-US"/>
              </w:rPr>
              <w:t>t/a</w:t>
            </w:r>
            <w:r>
              <w:rPr>
                <w:rFonts w:hint="eastAsia" w:cs="Times New Roman"/>
                <w:color w:val="auto"/>
                <w:lang w:eastAsia="en-US"/>
              </w:rPr>
              <w:t>）</w:t>
            </w:r>
          </w:p>
        </w:tc>
        <w:tc>
          <w:tcPr>
            <w:tcW w:w="1018" w:type="pct"/>
            <w:vAlign w:val="center"/>
          </w:tcPr>
          <w:p w14:paraId="5D76EA63">
            <w:pPr>
              <w:pStyle w:val="33"/>
              <w:rPr>
                <w:rFonts w:cs="Times New Roman"/>
                <w:color w:val="auto"/>
                <w:lang w:eastAsia="en-US"/>
              </w:rPr>
            </w:pPr>
            <w:r>
              <w:rPr>
                <w:rFonts w:cs="Times New Roman"/>
                <w:color w:val="auto"/>
                <w:lang w:eastAsia="en-US"/>
              </w:rPr>
              <w:t>88.13</w:t>
            </w:r>
          </w:p>
        </w:tc>
        <w:tc>
          <w:tcPr>
            <w:tcW w:w="938" w:type="pct"/>
            <w:vAlign w:val="center"/>
          </w:tcPr>
          <w:p w14:paraId="360AC044">
            <w:pPr>
              <w:pStyle w:val="33"/>
              <w:rPr>
                <w:rFonts w:cs="Times New Roman"/>
                <w:color w:val="auto"/>
                <w:lang w:eastAsia="en-US"/>
              </w:rPr>
            </w:pPr>
            <w:r>
              <w:rPr>
                <w:rFonts w:cs="Times New Roman"/>
                <w:color w:val="auto"/>
                <w:szCs w:val="21"/>
                <w:lang w:eastAsia="en-US"/>
              </w:rPr>
              <w:t>20</w:t>
            </w:r>
          </w:p>
        </w:tc>
        <w:tc>
          <w:tcPr>
            <w:tcW w:w="702" w:type="pct"/>
            <w:vAlign w:val="center"/>
          </w:tcPr>
          <w:p w14:paraId="557EC48C">
            <w:pPr>
              <w:pStyle w:val="33"/>
              <w:rPr>
                <w:rFonts w:cs="Times New Roman"/>
                <w:color w:val="auto"/>
                <w:lang w:eastAsia="en-US"/>
              </w:rPr>
            </w:pPr>
            <w:r>
              <w:rPr>
                <w:rFonts w:cs="Times New Roman"/>
                <w:color w:val="auto"/>
                <w:lang w:eastAsia="en-US"/>
              </w:rPr>
              <w:t>0</w:t>
            </w:r>
          </w:p>
        </w:tc>
        <w:tc>
          <w:tcPr>
            <w:tcW w:w="700" w:type="pct"/>
            <w:vAlign w:val="center"/>
          </w:tcPr>
          <w:p w14:paraId="3955C147">
            <w:pPr>
              <w:pStyle w:val="33"/>
              <w:rPr>
                <w:rFonts w:cs="Times New Roman"/>
                <w:color w:val="auto"/>
                <w:szCs w:val="21"/>
                <w:lang w:eastAsia="en-US"/>
              </w:rPr>
            </w:pPr>
            <w:r>
              <w:rPr>
                <w:rFonts w:cs="Times New Roman"/>
                <w:color w:val="auto"/>
                <w:lang w:eastAsia="en-US"/>
              </w:rPr>
              <w:t>108.13</w:t>
            </w:r>
          </w:p>
        </w:tc>
      </w:tr>
      <w:tr w14:paraId="109272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709E1BC1">
            <w:pPr>
              <w:pStyle w:val="33"/>
              <w:rPr>
                <w:rFonts w:cs="Times New Roman"/>
                <w:color w:val="auto"/>
                <w:lang w:eastAsia="en-US"/>
              </w:rPr>
            </w:pPr>
            <w:r>
              <w:rPr>
                <w:rFonts w:cs="Times New Roman"/>
                <w:color w:val="auto"/>
                <w:lang w:eastAsia="en-US"/>
              </w:rPr>
              <w:t>7</w:t>
            </w:r>
          </w:p>
        </w:tc>
        <w:tc>
          <w:tcPr>
            <w:tcW w:w="478" w:type="pct"/>
            <w:vMerge w:val="continue"/>
            <w:vAlign w:val="center"/>
          </w:tcPr>
          <w:p w14:paraId="7C9BB82A">
            <w:pPr>
              <w:pStyle w:val="33"/>
              <w:rPr>
                <w:rFonts w:cs="Times New Roman"/>
                <w:color w:val="auto"/>
                <w:lang w:eastAsia="en-US"/>
              </w:rPr>
            </w:pPr>
          </w:p>
        </w:tc>
        <w:tc>
          <w:tcPr>
            <w:tcW w:w="864" w:type="pct"/>
            <w:vAlign w:val="center"/>
          </w:tcPr>
          <w:p w14:paraId="7CF5299A">
            <w:pPr>
              <w:pStyle w:val="33"/>
              <w:rPr>
                <w:rFonts w:cs="Times New Roman"/>
                <w:color w:val="auto"/>
                <w:lang w:eastAsia="en-US"/>
              </w:rPr>
            </w:pPr>
            <w:r>
              <w:rPr>
                <w:rFonts w:hint="eastAsia" w:cs="Times New Roman"/>
                <w:color w:val="auto"/>
                <w:lang w:eastAsia="en-US"/>
              </w:rPr>
              <w:t>总磷（</w:t>
            </w:r>
            <w:r>
              <w:rPr>
                <w:rFonts w:cs="Times New Roman"/>
                <w:color w:val="auto"/>
                <w:lang w:eastAsia="en-US"/>
              </w:rPr>
              <w:t>t/a</w:t>
            </w:r>
            <w:r>
              <w:rPr>
                <w:rFonts w:hint="eastAsia" w:cs="Times New Roman"/>
                <w:color w:val="auto"/>
                <w:lang w:eastAsia="en-US"/>
              </w:rPr>
              <w:t>）</w:t>
            </w:r>
          </w:p>
        </w:tc>
        <w:tc>
          <w:tcPr>
            <w:tcW w:w="1018" w:type="pct"/>
            <w:vAlign w:val="center"/>
          </w:tcPr>
          <w:p w14:paraId="6449ED02">
            <w:pPr>
              <w:pStyle w:val="33"/>
              <w:rPr>
                <w:rFonts w:cs="Times New Roman"/>
                <w:color w:val="auto"/>
                <w:lang w:eastAsia="en-US"/>
              </w:rPr>
            </w:pPr>
            <w:r>
              <w:rPr>
                <w:rFonts w:cs="Times New Roman"/>
                <w:color w:val="auto"/>
                <w:lang w:eastAsia="en-US"/>
              </w:rPr>
              <w:t>0.48</w:t>
            </w:r>
          </w:p>
        </w:tc>
        <w:tc>
          <w:tcPr>
            <w:tcW w:w="938" w:type="pct"/>
            <w:vAlign w:val="center"/>
          </w:tcPr>
          <w:p w14:paraId="03164D82">
            <w:pPr>
              <w:pStyle w:val="33"/>
              <w:rPr>
                <w:rFonts w:cs="Times New Roman"/>
                <w:color w:val="auto"/>
                <w:lang w:eastAsia="en-US"/>
              </w:rPr>
            </w:pPr>
            <w:r>
              <w:rPr>
                <w:rFonts w:cs="Times New Roman"/>
                <w:color w:val="auto"/>
                <w:szCs w:val="21"/>
                <w:lang w:eastAsia="en-US"/>
              </w:rPr>
              <w:t>1.31</w:t>
            </w:r>
          </w:p>
        </w:tc>
        <w:tc>
          <w:tcPr>
            <w:tcW w:w="702" w:type="pct"/>
            <w:vAlign w:val="center"/>
          </w:tcPr>
          <w:p w14:paraId="09A8174C">
            <w:pPr>
              <w:pStyle w:val="33"/>
              <w:rPr>
                <w:rFonts w:cs="Times New Roman"/>
                <w:color w:val="auto"/>
                <w:lang w:eastAsia="en-US"/>
              </w:rPr>
            </w:pPr>
            <w:r>
              <w:rPr>
                <w:rFonts w:cs="Times New Roman"/>
                <w:color w:val="auto"/>
                <w:lang w:eastAsia="en-US"/>
              </w:rPr>
              <w:t>0</w:t>
            </w:r>
          </w:p>
        </w:tc>
        <w:tc>
          <w:tcPr>
            <w:tcW w:w="700" w:type="pct"/>
            <w:vAlign w:val="center"/>
          </w:tcPr>
          <w:p w14:paraId="610321CB">
            <w:pPr>
              <w:pStyle w:val="33"/>
              <w:rPr>
                <w:rFonts w:cs="Times New Roman"/>
                <w:color w:val="auto"/>
                <w:szCs w:val="21"/>
                <w:lang w:eastAsia="en-US"/>
              </w:rPr>
            </w:pPr>
            <w:r>
              <w:rPr>
                <w:rFonts w:cs="Times New Roman"/>
                <w:color w:val="auto"/>
                <w:lang w:eastAsia="en-US"/>
              </w:rPr>
              <w:t>1.79</w:t>
            </w:r>
          </w:p>
        </w:tc>
      </w:tr>
      <w:tr w14:paraId="1B44125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5D3B1E24">
            <w:pPr>
              <w:pStyle w:val="33"/>
              <w:rPr>
                <w:rFonts w:cs="Times New Roman"/>
                <w:color w:val="auto"/>
                <w:lang w:eastAsia="en-US"/>
              </w:rPr>
            </w:pPr>
            <w:r>
              <w:rPr>
                <w:rFonts w:cs="Times New Roman"/>
                <w:color w:val="auto"/>
                <w:lang w:eastAsia="en-US"/>
              </w:rPr>
              <w:t>1</w:t>
            </w:r>
          </w:p>
        </w:tc>
        <w:tc>
          <w:tcPr>
            <w:tcW w:w="478" w:type="pct"/>
            <w:vMerge w:val="restart"/>
            <w:vAlign w:val="center"/>
          </w:tcPr>
          <w:p w14:paraId="40002208">
            <w:pPr>
              <w:pStyle w:val="33"/>
              <w:rPr>
                <w:rFonts w:cs="Times New Roman"/>
                <w:color w:val="auto"/>
                <w:lang w:eastAsia="en-US"/>
              </w:rPr>
            </w:pPr>
            <w:r>
              <w:rPr>
                <w:rFonts w:hint="eastAsia" w:cs="Times New Roman"/>
                <w:color w:val="auto"/>
                <w:lang w:eastAsia="en-US"/>
              </w:rPr>
              <w:t>废气</w:t>
            </w:r>
          </w:p>
        </w:tc>
        <w:tc>
          <w:tcPr>
            <w:tcW w:w="864" w:type="pct"/>
            <w:vAlign w:val="center"/>
          </w:tcPr>
          <w:p w14:paraId="6026720F">
            <w:pPr>
              <w:pStyle w:val="33"/>
              <w:rPr>
                <w:rFonts w:cs="Times New Roman"/>
                <w:color w:val="auto"/>
                <w:lang w:eastAsia="en-US"/>
              </w:rPr>
            </w:pPr>
            <w:r>
              <w:rPr>
                <w:rFonts w:cs="Times New Roman"/>
                <w:color w:val="auto"/>
                <w:lang w:eastAsia="en-US"/>
              </w:rPr>
              <w:t>SO</w:t>
            </w:r>
            <w:r>
              <w:rPr>
                <w:rFonts w:cs="Times New Roman"/>
                <w:color w:val="auto"/>
                <w:vertAlign w:val="subscript"/>
                <w:lang w:eastAsia="en-US"/>
              </w:rPr>
              <w:t>2</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3DF28B88">
            <w:pPr>
              <w:pStyle w:val="33"/>
              <w:rPr>
                <w:rFonts w:cs="Times New Roman"/>
                <w:color w:val="auto"/>
                <w:lang w:eastAsia="en-US"/>
              </w:rPr>
            </w:pPr>
            <w:r>
              <w:rPr>
                <w:rFonts w:cs="Times New Roman"/>
                <w:color w:val="auto"/>
                <w:lang w:eastAsia="en-US"/>
              </w:rPr>
              <w:t>113.01</w:t>
            </w:r>
          </w:p>
        </w:tc>
        <w:tc>
          <w:tcPr>
            <w:tcW w:w="938" w:type="pct"/>
            <w:vAlign w:val="center"/>
          </w:tcPr>
          <w:p w14:paraId="1CDFB155">
            <w:pPr>
              <w:pStyle w:val="33"/>
              <w:rPr>
                <w:rFonts w:cs="Times New Roman"/>
                <w:color w:val="auto"/>
                <w:lang w:eastAsia="en-US"/>
              </w:rPr>
            </w:pPr>
            <w:r>
              <w:rPr>
                <w:rFonts w:cs="Times New Roman"/>
                <w:color w:val="auto"/>
                <w:lang w:eastAsia="en-US"/>
              </w:rPr>
              <w:t>5.06</w:t>
            </w:r>
          </w:p>
        </w:tc>
        <w:tc>
          <w:tcPr>
            <w:tcW w:w="702" w:type="pct"/>
            <w:vAlign w:val="center"/>
          </w:tcPr>
          <w:p w14:paraId="4CA2C3F3">
            <w:pPr>
              <w:pStyle w:val="33"/>
              <w:rPr>
                <w:rFonts w:cs="Times New Roman"/>
                <w:color w:val="auto"/>
                <w:lang w:eastAsia="en-US"/>
              </w:rPr>
            </w:pPr>
            <w:r>
              <w:rPr>
                <w:rFonts w:cs="Times New Roman"/>
                <w:color w:val="auto"/>
                <w:lang w:eastAsia="en-US"/>
              </w:rPr>
              <w:t>1.585</w:t>
            </w:r>
          </w:p>
        </w:tc>
        <w:tc>
          <w:tcPr>
            <w:tcW w:w="700" w:type="pct"/>
            <w:vAlign w:val="center"/>
          </w:tcPr>
          <w:p w14:paraId="398D983C">
            <w:pPr>
              <w:pStyle w:val="33"/>
              <w:rPr>
                <w:rFonts w:cs="Times New Roman"/>
                <w:color w:val="auto"/>
                <w:lang w:eastAsia="en-US"/>
              </w:rPr>
            </w:pPr>
            <w:r>
              <w:rPr>
                <w:rFonts w:cs="Times New Roman"/>
                <w:color w:val="auto"/>
                <w:lang w:eastAsia="en-US"/>
              </w:rPr>
              <w:t>119.655</w:t>
            </w:r>
          </w:p>
        </w:tc>
      </w:tr>
      <w:tr w14:paraId="2D06F1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1D80CEB4">
            <w:pPr>
              <w:pStyle w:val="33"/>
              <w:rPr>
                <w:rFonts w:cs="Times New Roman"/>
                <w:color w:val="auto"/>
                <w:lang w:eastAsia="en-US"/>
              </w:rPr>
            </w:pPr>
            <w:r>
              <w:rPr>
                <w:rFonts w:cs="Times New Roman"/>
                <w:color w:val="auto"/>
                <w:lang w:eastAsia="en-US"/>
              </w:rPr>
              <w:t>2</w:t>
            </w:r>
          </w:p>
        </w:tc>
        <w:tc>
          <w:tcPr>
            <w:tcW w:w="478" w:type="pct"/>
            <w:vMerge w:val="continue"/>
            <w:vAlign w:val="center"/>
          </w:tcPr>
          <w:p w14:paraId="71869838">
            <w:pPr>
              <w:pStyle w:val="33"/>
              <w:rPr>
                <w:rFonts w:cs="Times New Roman"/>
                <w:color w:val="auto"/>
                <w:lang w:eastAsia="en-US"/>
              </w:rPr>
            </w:pPr>
          </w:p>
        </w:tc>
        <w:tc>
          <w:tcPr>
            <w:tcW w:w="864" w:type="pct"/>
            <w:vAlign w:val="center"/>
          </w:tcPr>
          <w:p w14:paraId="538A8B76">
            <w:pPr>
              <w:pStyle w:val="33"/>
              <w:rPr>
                <w:rFonts w:cs="Times New Roman"/>
                <w:color w:val="auto"/>
                <w:lang w:eastAsia="en-US"/>
              </w:rPr>
            </w:pPr>
            <w:r>
              <w:rPr>
                <w:rFonts w:hint="eastAsia" w:cs="Times New Roman"/>
                <w:color w:val="auto"/>
                <w:lang w:eastAsia="en-US"/>
              </w:rPr>
              <w:t>烟尘（</w:t>
            </w:r>
            <w:r>
              <w:rPr>
                <w:rFonts w:cs="Times New Roman"/>
                <w:color w:val="auto"/>
                <w:lang w:eastAsia="en-US"/>
              </w:rPr>
              <w:t>t/a</w:t>
            </w:r>
            <w:r>
              <w:rPr>
                <w:rFonts w:hint="eastAsia" w:cs="Times New Roman"/>
                <w:color w:val="auto"/>
                <w:lang w:eastAsia="en-US"/>
              </w:rPr>
              <w:t>）</w:t>
            </w:r>
          </w:p>
        </w:tc>
        <w:tc>
          <w:tcPr>
            <w:tcW w:w="1018" w:type="pct"/>
            <w:vAlign w:val="center"/>
          </w:tcPr>
          <w:p w14:paraId="05151619">
            <w:pPr>
              <w:pStyle w:val="33"/>
              <w:rPr>
                <w:rFonts w:cs="Times New Roman"/>
                <w:color w:val="auto"/>
                <w:lang w:eastAsia="en-US"/>
              </w:rPr>
            </w:pPr>
            <w:r>
              <w:rPr>
                <w:rFonts w:cs="Times New Roman"/>
                <w:color w:val="auto"/>
                <w:lang w:eastAsia="en-US"/>
              </w:rPr>
              <w:t>34.92</w:t>
            </w:r>
          </w:p>
        </w:tc>
        <w:tc>
          <w:tcPr>
            <w:tcW w:w="938" w:type="pct"/>
            <w:vAlign w:val="center"/>
          </w:tcPr>
          <w:p w14:paraId="14FD6399">
            <w:pPr>
              <w:pStyle w:val="33"/>
              <w:rPr>
                <w:rFonts w:cs="Times New Roman"/>
                <w:color w:val="auto"/>
                <w:lang w:eastAsia="en-US"/>
              </w:rPr>
            </w:pPr>
            <w:r>
              <w:rPr>
                <w:rFonts w:cs="Times New Roman"/>
                <w:color w:val="auto"/>
                <w:lang w:eastAsia="en-US"/>
              </w:rPr>
              <w:t>15.34</w:t>
            </w:r>
          </w:p>
        </w:tc>
        <w:tc>
          <w:tcPr>
            <w:tcW w:w="702" w:type="pct"/>
            <w:vAlign w:val="center"/>
          </w:tcPr>
          <w:p w14:paraId="57E2A5FE">
            <w:pPr>
              <w:pStyle w:val="33"/>
              <w:rPr>
                <w:rFonts w:cs="Times New Roman"/>
                <w:color w:val="auto"/>
                <w:lang w:eastAsia="en-US"/>
              </w:rPr>
            </w:pPr>
            <w:r>
              <w:rPr>
                <w:rFonts w:cs="Times New Roman"/>
                <w:color w:val="auto"/>
                <w:lang w:eastAsia="en-US"/>
              </w:rPr>
              <w:t>0.854</w:t>
            </w:r>
          </w:p>
        </w:tc>
        <w:tc>
          <w:tcPr>
            <w:tcW w:w="700" w:type="pct"/>
            <w:vAlign w:val="center"/>
          </w:tcPr>
          <w:p w14:paraId="44ACC16A">
            <w:pPr>
              <w:pStyle w:val="33"/>
              <w:rPr>
                <w:rFonts w:cs="Times New Roman"/>
                <w:color w:val="auto"/>
                <w:lang w:eastAsia="en-US"/>
              </w:rPr>
            </w:pPr>
            <w:r>
              <w:rPr>
                <w:rFonts w:cs="Times New Roman"/>
                <w:color w:val="auto"/>
                <w:lang w:eastAsia="en-US"/>
              </w:rPr>
              <w:t>51.114</w:t>
            </w:r>
          </w:p>
        </w:tc>
      </w:tr>
      <w:tr w14:paraId="1141AF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7E5AF350">
            <w:pPr>
              <w:pStyle w:val="33"/>
              <w:rPr>
                <w:rFonts w:cs="Times New Roman"/>
                <w:color w:val="auto"/>
                <w:lang w:eastAsia="en-US"/>
              </w:rPr>
            </w:pPr>
            <w:r>
              <w:rPr>
                <w:rFonts w:cs="Times New Roman"/>
                <w:color w:val="auto"/>
                <w:lang w:eastAsia="en-US"/>
              </w:rPr>
              <w:t>3</w:t>
            </w:r>
          </w:p>
        </w:tc>
        <w:tc>
          <w:tcPr>
            <w:tcW w:w="478" w:type="pct"/>
            <w:vMerge w:val="continue"/>
            <w:vAlign w:val="center"/>
          </w:tcPr>
          <w:p w14:paraId="0235319D">
            <w:pPr>
              <w:pStyle w:val="33"/>
              <w:rPr>
                <w:rFonts w:cs="Times New Roman"/>
                <w:color w:val="auto"/>
                <w:lang w:eastAsia="en-US"/>
              </w:rPr>
            </w:pPr>
          </w:p>
        </w:tc>
        <w:tc>
          <w:tcPr>
            <w:tcW w:w="864" w:type="pct"/>
            <w:vAlign w:val="center"/>
          </w:tcPr>
          <w:p w14:paraId="4DBCF6BA">
            <w:pPr>
              <w:pStyle w:val="33"/>
              <w:rPr>
                <w:rFonts w:cs="Times New Roman"/>
                <w:color w:val="auto"/>
                <w:lang w:eastAsia="en-US"/>
              </w:rPr>
            </w:pPr>
            <w:r>
              <w:rPr>
                <w:rFonts w:cs="Times New Roman"/>
                <w:color w:val="auto"/>
                <w:lang w:eastAsia="en-US"/>
              </w:rPr>
              <w:t>NOx</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65521B3B">
            <w:pPr>
              <w:pStyle w:val="33"/>
              <w:rPr>
                <w:rFonts w:cs="Times New Roman"/>
                <w:color w:val="auto"/>
                <w:lang w:eastAsia="en-US"/>
              </w:rPr>
            </w:pPr>
            <w:r>
              <w:rPr>
                <w:rFonts w:cs="Times New Roman"/>
                <w:color w:val="auto"/>
                <w:lang w:eastAsia="en-US"/>
              </w:rPr>
              <w:t>631.23</w:t>
            </w:r>
          </w:p>
        </w:tc>
        <w:tc>
          <w:tcPr>
            <w:tcW w:w="938" w:type="pct"/>
            <w:vAlign w:val="center"/>
          </w:tcPr>
          <w:p w14:paraId="19EB993A">
            <w:pPr>
              <w:pStyle w:val="33"/>
              <w:rPr>
                <w:rFonts w:cs="Times New Roman"/>
                <w:color w:val="auto"/>
                <w:lang w:eastAsia="en-US"/>
              </w:rPr>
            </w:pPr>
            <w:r>
              <w:rPr>
                <w:rFonts w:cs="Times New Roman"/>
                <w:color w:val="auto"/>
                <w:lang w:eastAsia="en-US"/>
              </w:rPr>
              <w:t>149.8</w:t>
            </w:r>
          </w:p>
        </w:tc>
        <w:tc>
          <w:tcPr>
            <w:tcW w:w="702" w:type="pct"/>
            <w:vAlign w:val="center"/>
          </w:tcPr>
          <w:p w14:paraId="7E620408">
            <w:pPr>
              <w:pStyle w:val="33"/>
              <w:rPr>
                <w:rFonts w:cs="Times New Roman"/>
                <w:color w:val="auto"/>
                <w:lang w:eastAsia="en-US"/>
              </w:rPr>
            </w:pPr>
            <w:r>
              <w:rPr>
                <w:rFonts w:cs="Times New Roman"/>
                <w:color w:val="auto"/>
                <w:lang w:eastAsia="en-US"/>
              </w:rPr>
              <w:t>8.539</w:t>
            </w:r>
          </w:p>
        </w:tc>
        <w:tc>
          <w:tcPr>
            <w:tcW w:w="700" w:type="pct"/>
            <w:vAlign w:val="center"/>
          </w:tcPr>
          <w:p w14:paraId="7CA022C7">
            <w:pPr>
              <w:pStyle w:val="33"/>
              <w:rPr>
                <w:rFonts w:cs="Times New Roman"/>
                <w:color w:val="auto"/>
                <w:lang w:eastAsia="en-US"/>
              </w:rPr>
            </w:pPr>
            <w:r>
              <w:rPr>
                <w:rFonts w:cs="Times New Roman"/>
                <w:color w:val="auto"/>
                <w:lang w:eastAsia="en-US"/>
              </w:rPr>
              <w:t>789.569</w:t>
            </w:r>
          </w:p>
        </w:tc>
      </w:tr>
      <w:tr w14:paraId="12DA01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1FF3C0A4">
            <w:pPr>
              <w:pStyle w:val="33"/>
              <w:rPr>
                <w:rFonts w:cs="Times New Roman"/>
                <w:color w:val="auto"/>
                <w:lang w:eastAsia="en-US"/>
              </w:rPr>
            </w:pPr>
            <w:r>
              <w:rPr>
                <w:rFonts w:cs="Times New Roman"/>
                <w:color w:val="auto"/>
                <w:lang w:eastAsia="en-US"/>
              </w:rPr>
              <w:t>4</w:t>
            </w:r>
          </w:p>
        </w:tc>
        <w:tc>
          <w:tcPr>
            <w:tcW w:w="478" w:type="pct"/>
            <w:vMerge w:val="continue"/>
            <w:vAlign w:val="center"/>
          </w:tcPr>
          <w:p w14:paraId="65321776">
            <w:pPr>
              <w:pStyle w:val="33"/>
              <w:rPr>
                <w:rFonts w:cs="Times New Roman"/>
                <w:color w:val="auto"/>
                <w:lang w:eastAsia="en-US"/>
              </w:rPr>
            </w:pPr>
          </w:p>
        </w:tc>
        <w:tc>
          <w:tcPr>
            <w:tcW w:w="864" w:type="pct"/>
            <w:vAlign w:val="center"/>
          </w:tcPr>
          <w:p w14:paraId="4DBAF96F">
            <w:pPr>
              <w:pStyle w:val="33"/>
              <w:rPr>
                <w:rFonts w:cs="Times New Roman"/>
                <w:color w:val="auto"/>
                <w:lang w:eastAsia="en-US"/>
              </w:rPr>
            </w:pPr>
            <w:r>
              <w:rPr>
                <w:rFonts w:cs="Times New Roman"/>
                <w:color w:val="auto"/>
                <w:lang w:eastAsia="en-US"/>
              </w:rPr>
              <w:t>VOC</w:t>
            </w:r>
            <w:r>
              <w:rPr>
                <w:rFonts w:hint="eastAsia" w:cs="Times New Roman"/>
                <w:color w:val="auto"/>
                <w:lang w:eastAsia="en-US"/>
              </w:rPr>
              <w:t>（</w:t>
            </w:r>
            <w:r>
              <w:rPr>
                <w:rFonts w:cs="Times New Roman"/>
                <w:color w:val="auto"/>
                <w:lang w:eastAsia="en-US"/>
              </w:rPr>
              <w:t>t/a</w:t>
            </w:r>
            <w:r>
              <w:rPr>
                <w:rFonts w:hint="eastAsia" w:cs="Times New Roman"/>
                <w:color w:val="auto"/>
                <w:lang w:eastAsia="en-US"/>
              </w:rPr>
              <w:t>）</w:t>
            </w:r>
          </w:p>
        </w:tc>
        <w:tc>
          <w:tcPr>
            <w:tcW w:w="1018" w:type="pct"/>
            <w:vAlign w:val="center"/>
          </w:tcPr>
          <w:p w14:paraId="190002ED">
            <w:pPr>
              <w:pStyle w:val="33"/>
              <w:rPr>
                <w:rFonts w:cs="Times New Roman"/>
                <w:color w:val="auto"/>
                <w:lang w:eastAsia="en-US"/>
              </w:rPr>
            </w:pPr>
            <w:r>
              <w:rPr>
                <w:rFonts w:cs="Times New Roman"/>
                <w:color w:val="auto"/>
                <w:lang w:eastAsia="en-US"/>
              </w:rPr>
              <w:t>0.36</w:t>
            </w:r>
          </w:p>
        </w:tc>
        <w:tc>
          <w:tcPr>
            <w:tcW w:w="938" w:type="pct"/>
            <w:vAlign w:val="center"/>
          </w:tcPr>
          <w:p w14:paraId="307CEB48">
            <w:pPr>
              <w:pStyle w:val="33"/>
              <w:rPr>
                <w:rFonts w:cs="Times New Roman"/>
                <w:color w:val="auto"/>
                <w:lang w:eastAsia="en-US"/>
              </w:rPr>
            </w:pPr>
            <w:r>
              <w:rPr>
                <w:rFonts w:cs="Times New Roman"/>
                <w:color w:val="auto"/>
                <w:lang w:eastAsia="en-US"/>
              </w:rPr>
              <w:t>22.74</w:t>
            </w:r>
          </w:p>
        </w:tc>
        <w:tc>
          <w:tcPr>
            <w:tcW w:w="702" w:type="pct"/>
            <w:vAlign w:val="center"/>
          </w:tcPr>
          <w:p w14:paraId="435AF0F0">
            <w:pPr>
              <w:pStyle w:val="33"/>
              <w:rPr>
                <w:rFonts w:cs="Times New Roman"/>
                <w:color w:val="auto"/>
                <w:lang w:eastAsia="en-US"/>
              </w:rPr>
            </w:pPr>
            <w:r>
              <w:rPr>
                <w:rFonts w:cs="Times New Roman"/>
                <w:color w:val="auto"/>
                <w:lang w:eastAsia="en-US"/>
              </w:rPr>
              <w:t>0.449</w:t>
            </w:r>
          </w:p>
        </w:tc>
        <w:tc>
          <w:tcPr>
            <w:tcW w:w="700" w:type="pct"/>
            <w:vAlign w:val="center"/>
          </w:tcPr>
          <w:p w14:paraId="437AF64B">
            <w:pPr>
              <w:pStyle w:val="33"/>
              <w:rPr>
                <w:rFonts w:cs="Times New Roman"/>
                <w:color w:val="auto"/>
                <w:lang w:eastAsia="en-US"/>
              </w:rPr>
            </w:pPr>
            <w:r>
              <w:rPr>
                <w:rFonts w:cs="Times New Roman"/>
                <w:color w:val="auto"/>
                <w:lang w:eastAsia="en-US"/>
              </w:rPr>
              <w:t>23.549</w:t>
            </w:r>
          </w:p>
        </w:tc>
      </w:tr>
      <w:tr w14:paraId="110179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50777A70">
            <w:pPr>
              <w:pStyle w:val="33"/>
              <w:rPr>
                <w:rFonts w:cs="Times New Roman"/>
                <w:color w:val="auto"/>
                <w:lang w:eastAsia="en-US"/>
              </w:rPr>
            </w:pPr>
            <w:r>
              <w:rPr>
                <w:rFonts w:cs="Times New Roman"/>
                <w:color w:val="auto"/>
                <w:lang w:eastAsia="en-US"/>
              </w:rPr>
              <w:t>5</w:t>
            </w:r>
          </w:p>
        </w:tc>
        <w:tc>
          <w:tcPr>
            <w:tcW w:w="478" w:type="pct"/>
            <w:vMerge w:val="continue"/>
            <w:vAlign w:val="center"/>
          </w:tcPr>
          <w:p w14:paraId="12A101B8">
            <w:pPr>
              <w:pStyle w:val="33"/>
              <w:rPr>
                <w:rFonts w:cs="Times New Roman"/>
                <w:color w:val="auto"/>
                <w:lang w:eastAsia="en-US"/>
              </w:rPr>
            </w:pPr>
          </w:p>
        </w:tc>
        <w:tc>
          <w:tcPr>
            <w:tcW w:w="864" w:type="pct"/>
            <w:vAlign w:val="center"/>
          </w:tcPr>
          <w:p w14:paraId="45CB99F4">
            <w:pPr>
              <w:pStyle w:val="33"/>
              <w:rPr>
                <w:rFonts w:cs="Times New Roman"/>
                <w:color w:val="auto"/>
                <w:lang w:eastAsia="en-US"/>
              </w:rPr>
            </w:pPr>
            <w:r>
              <w:rPr>
                <w:rFonts w:hint="eastAsia" w:cs="Times New Roman"/>
                <w:color w:val="auto"/>
                <w:lang w:eastAsia="en-US"/>
              </w:rPr>
              <w:t>氨（</w:t>
            </w:r>
            <w:r>
              <w:rPr>
                <w:rFonts w:cs="Times New Roman"/>
                <w:color w:val="auto"/>
                <w:lang w:eastAsia="en-US"/>
              </w:rPr>
              <w:t>t/a</w:t>
            </w:r>
            <w:r>
              <w:rPr>
                <w:rFonts w:hint="eastAsia" w:cs="Times New Roman"/>
                <w:color w:val="auto"/>
                <w:lang w:eastAsia="en-US"/>
              </w:rPr>
              <w:t>）</w:t>
            </w:r>
          </w:p>
        </w:tc>
        <w:tc>
          <w:tcPr>
            <w:tcW w:w="1018" w:type="pct"/>
            <w:vAlign w:val="center"/>
          </w:tcPr>
          <w:p w14:paraId="2EDE02A1">
            <w:pPr>
              <w:pStyle w:val="33"/>
              <w:rPr>
                <w:rFonts w:cs="Times New Roman"/>
                <w:color w:val="auto"/>
                <w:lang w:eastAsia="en-US"/>
              </w:rPr>
            </w:pPr>
            <w:r>
              <w:rPr>
                <w:rFonts w:cs="Times New Roman"/>
                <w:color w:val="auto"/>
                <w:lang w:eastAsia="en-US"/>
              </w:rPr>
              <w:t>5.86</w:t>
            </w:r>
          </w:p>
        </w:tc>
        <w:tc>
          <w:tcPr>
            <w:tcW w:w="938" w:type="pct"/>
            <w:vAlign w:val="center"/>
          </w:tcPr>
          <w:p w14:paraId="16179DED">
            <w:pPr>
              <w:pStyle w:val="33"/>
              <w:rPr>
                <w:rFonts w:cs="Times New Roman"/>
                <w:color w:val="auto"/>
                <w:lang w:eastAsia="en-US"/>
              </w:rPr>
            </w:pPr>
            <w:r>
              <w:rPr>
                <w:rFonts w:cs="Times New Roman"/>
                <w:color w:val="auto"/>
                <w:lang w:eastAsia="en-US"/>
              </w:rPr>
              <w:t>3.4889</w:t>
            </w:r>
          </w:p>
        </w:tc>
        <w:tc>
          <w:tcPr>
            <w:tcW w:w="702" w:type="pct"/>
            <w:vAlign w:val="center"/>
          </w:tcPr>
          <w:p w14:paraId="231252DC">
            <w:pPr>
              <w:pStyle w:val="33"/>
              <w:rPr>
                <w:rFonts w:cs="Times New Roman"/>
                <w:color w:val="auto"/>
                <w:lang w:eastAsia="en-US"/>
              </w:rPr>
            </w:pPr>
            <w:r>
              <w:rPr>
                <w:rFonts w:cs="Times New Roman"/>
                <w:color w:val="auto"/>
                <w:lang w:eastAsia="en-US"/>
              </w:rPr>
              <w:t>0.028</w:t>
            </w:r>
          </w:p>
        </w:tc>
        <w:tc>
          <w:tcPr>
            <w:tcW w:w="700" w:type="pct"/>
            <w:vAlign w:val="center"/>
          </w:tcPr>
          <w:p w14:paraId="76ABDB21">
            <w:pPr>
              <w:pStyle w:val="33"/>
              <w:rPr>
                <w:rFonts w:cs="Times New Roman"/>
                <w:color w:val="auto"/>
                <w:lang w:eastAsia="en-US"/>
              </w:rPr>
            </w:pPr>
            <w:r>
              <w:rPr>
                <w:rFonts w:cs="Times New Roman"/>
                <w:color w:val="auto"/>
                <w:lang w:eastAsia="en-US"/>
              </w:rPr>
              <w:t>9.3769</w:t>
            </w:r>
          </w:p>
        </w:tc>
      </w:tr>
      <w:tr w14:paraId="15EDD68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00" w:type="pct"/>
            <w:vAlign w:val="center"/>
          </w:tcPr>
          <w:p w14:paraId="009FB49E">
            <w:pPr>
              <w:pStyle w:val="33"/>
              <w:rPr>
                <w:rFonts w:cs="Times New Roman"/>
                <w:color w:val="auto"/>
                <w:lang w:eastAsia="en-US"/>
              </w:rPr>
            </w:pPr>
            <w:r>
              <w:rPr>
                <w:rFonts w:cs="Times New Roman"/>
                <w:color w:val="auto"/>
                <w:lang w:eastAsia="en-US"/>
              </w:rPr>
              <w:t>6</w:t>
            </w:r>
          </w:p>
        </w:tc>
        <w:tc>
          <w:tcPr>
            <w:tcW w:w="478" w:type="pct"/>
            <w:vMerge w:val="continue"/>
            <w:vAlign w:val="center"/>
          </w:tcPr>
          <w:p w14:paraId="09E0C7F3">
            <w:pPr>
              <w:pStyle w:val="33"/>
              <w:rPr>
                <w:rFonts w:cs="Times New Roman"/>
                <w:color w:val="auto"/>
                <w:lang w:eastAsia="en-US"/>
              </w:rPr>
            </w:pPr>
          </w:p>
        </w:tc>
        <w:tc>
          <w:tcPr>
            <w:tcW w:w="864" w:type="pct"/>
            <w:vAlign w:val="center"/>
          </w:tcPr>
          <w:p w14:paraId="0F6371C0">
            <w:pPr>
              <w:pStyle w:val="33"/>
              <w:rPr>
                <w:rFonts w:cs="Times New Roman"/>
                <w:color w:val="auto"/>
                <w:lang w:eastAsia="en-US"/>
              </w:rPr>
            </w:pPr>
            <w:r>
              <w:rPr>
                <w:rFonts w:hint="eastAsia" w:cs="Times New Roman"/>
                <w:color w:val="auto"/>
                <w:lang w:eastAsia="en-US"/>
              </w:rPr>
              <w:t>硫化氢（</w:t>
            </w:r>
            <w:r>
              <w:rPr>
                <w:rFonts w:cs="Times New Roman"/>
                <w:color w:val="auto"/>
                <w:lang w:eastAsia="en-US"/>
              </w:rPr>
              <w:t>t/a</w:t>
            </w:r>
            <w:r>
              <w:rPr>
                <w:rFonts w:hint="eastAsia" w:cs="Times New Roman"/>
                <w:color w:val="auto"/>
                <w:lang w:eastAsia="en-US"/>
              </w:rPr>
              <w:t>）</w:t>
            </w:r>
          </w:p>
        </w:tc>
        <w:tc>
          <w:tcPr>
            <w:tcW w:w="1018" w:type="pct"/>
            <w:vAlign w:val="center"/>
          </w:tcPr>
          <w:p w14:paraId="750F81C4">
            <w:pPr>
              <w:pStyle w:val="33"/>
              <w:rPr>
                <w:rFonts w:cs="Times New Roman"/>
                <w:color w:val="auto"/>
                <w:lang w:eastAsia="en-US"/>
              </w:rPr>
            </w:pPr>
            <w:r>
              <w:rPr>
                <w:rFonts w:cs="Times New Roman"/>
                <w:color w:val="auto"/>
                <w:lang w:eastAsia="en-US"/>
              </w:rPr>
              <w:t>0.029</w:t>
            </w:r>
          </w:p>
        </w:tc>
        <w:tc>
          <w:tcPr>
            <w:tcW w:w="938" w:type="pct"/>
            <w:vAlign w:val="center"/>
          </w:tcPr>
          <w:p w14:paraId="6EF2286F">
            <w:pPr>
              <w:pStyle w:val="33"/>
              <w:rPr>
                <w:rFonts w:cs="Times New Roman"/>
                <w:color w:val="auto"/>
                <w:lang w:eastAsia="en-US"/>
              </w:rPr>
            </w:pPr>
            <w:r>
              <w:rPr>
                <w:rFonts w:cs="Times New Roman"/>
                <w:color w:val="auto"/>
                <w:lang w:eastAsia="en-US"/>
              </w:rPr>
              <w:t>0.0232</w:t>
            </w:r>
          </w:p>
        </w:tc>
        <w:tc>
          <w:tcPr>
            <w:tcW w:w="702" w:type="pct"/>
            <w:vAlign w:val="center"/>
          </w:tcPr>
          <w:p w14:paraId="5B062608">
            <w:pPr>
              <w:pStyle w:val="33"/>
              <w:rPr>
                <w:rFonts w:cs="Times New Roman"/>
                <w:color w:val="auto"/>
                <w:lang w:eastAsia="en-US"/>
              </w:rPr>
            </w:pPr>
            <w:r>
              <w:rPr>
                <w:rFonts w:cs="Times New Roman"/>
                <w:color w:val="auto"/>
                <w:lang w:eastAsia="en-US"/>
              </w:rPr>
              <w:t>0.013</w:t>
            </w:r>
          </w:p>
        </w:tc>
        <w:tc>
          <w:tcPr>
            <w:tcW w:w="700" w:type="pct"/>
            <w:vAlign w:val="center"/>
          </w:tcPr>
          <w:p w14:paraId="3E9B32D4">
            <w:pPr>
              <w:pStyle w:val="33"/>
              <w:rPr>
                <w:rFonts w:cs="Times New Roman"/>
                <w:color w:val="auto"/>
                <w:lang w:eastAsia="en-US"/>
              </w:rPr>
            </w:pPr>
            <w:r>
              <w:rPr>
                <w:rFonts w:cs="Times New Roman"/>
                <w:color w:val="auto"/>
                <w:lang w:eastAsia="en-US"/>
              </w:rPr>
              <w:t>0.0652</w:t>
            </w:r>
          </w:p>
        </w:tc>
      </w:tr>
    </w:tbl>
    <w:p w14:paraId="0520E43D">
      <w:pPr>
        <w:ind w:firstLine="480"/>
        <w:rPr>
          <w:color w:val="auto"/>
        </w:rPr>
      </w:pPr>
    </w:p>
    <w:p w14:paraId="01844E56">
      <w:pPr>
        <w:ind w:firstLine="480"/>
        <w:rPr>
          <w:color w:val="auto"/>
        </w:rPr>
        <w:sectPr>
          <w:pgSz w:w="11906" w:h="16838"/>
          <w:pgMar w:top="1418" w:right="1418" w:bottom="1418" w:left="1418" w:header="851" w:footer="992" w:gutter="0"/>
          <w:cols w:space="425" w:num="1"/>
          <w:docGrid w:type="lines" w:linePitch="312" w:charSpace="0"/>
        </w:sectPr>
      </w:pPr>
    </w:p>
    <w:p w14:paraId="435A8607">
      <w:pPr>
        <w:pStyle w:val="3"/>
        <w:rPr>
          <w:color w:val="auto"/>
        </w:rPr>
      </w:pPr>
      <w:bookmarkStart w:id="228" w:name="_Toc163053723"/>
      <w:bookmarkStart w:id="229" w:name="_Toc225216720"/>
      <w:r>
        <w:rPr>
          <w:rFonts w:hint="eastAsia"/>
          <w:color w:val="auto"/>
        </w:rPr>
        <w:t>清洁生产分析</w:t>
      </w:r>
      <w:bookmarkEnd w:id="228"/>
      <w:bookmarkEnd w:id="229"/>
    </w:p>
    <w:p w14:paraId="2F58F044">
      <w:pPr>
        <w:ind w:firstLine="480"/>
        <w:rPr>
          <w:color w:val="auto"/>
        </w:rPr>
      </w:pPr>
      <w:r>
        <w:rPr>
          <w:rFonts w:hint="eastAsia"/>
          <w:color w:val="auto"/>
        </w:rPr>
        <w:t>根据《制浆造纸行业清洁生产评价指标体系》（国家发改委2015年第9号），项目清洁生产分析见下文。</w:t>
      </w:r>
    </w:p>
    <w:p w14:paraId="02063F1F">
      <w:pPr>
        <w:pStyle w:val="7"/>
        <w:rPr>
          <w:color w:val="auto"/>
        </w:rPr>
      </w:pPr>
      <w:r>
        <w:rPr>
          <w:rFonts w:hint="eastAsia"/>
          <w:color w:val="auto"/>
        </w:rPr>
        <w:t>涂布纸定量评价指标项目、权重及基准值</w:t>
      </w:r>
    </w:p>
    <w:tbl>
      <w:tblPr>
        <w:tblStyle w:val="26"/>
        <w:tblW w:w="1397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602"/>
        <w:gridCol w:w="1375"/>
        <w:gridCol w:w="1276"/>
        <w:gridCol w:w="1842"/>
        <w:gridCol w:w="993"/>
        <w:gridCol w:w="1275"/>
        <w:gridCol w:w="1418"/>
        <w:gridCol w:w="1417"/>
        <w:gridCol w:w="1418"/>
        <w:gridCol w:w="2358"/>
      </w:tblGrid>
      <w:tr w14:paraId="16E41E8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blHeader/>
        </w:trPr>
        <w:tc>
          <w:tcPr>
            <w:tcW w:w="602" w:type="dxa"/>
            <w:tcBorders>
              <w:top w:val="single" w:color="000000" w:sz="6" w:space="0"/>
              <w:left w:val="single" w:color="000000" w:sz="6" w:space="0"/>
              <w:bottom w:val="single" w:color="000000" w:sz="6" w:space="0"/>
              <w:right w:val="single" w:color="000000" w:sz="6" w:space="0"/>
            </w:tcBorders>
            <w:vAlign w:val="center"/>
          </w:tcPr>
          <w:p w14:paraId="44B02748">
            <w:pPr>
              <w:pStyle w:val="33"/>
              <w:rPr>
                <w:color w:val="auto"/>
              </w:rPr>
            </w:pPr>
            <w:r>
              <w:rPr>
                <w:color w:val="auto"/>
              </w:rPr>
              <w:t>序号</w:t>
            </w:r>
          </w:p>
        </w:tc>
        <w:tc>
          <w:tcPr>
            <w:tcW w:w="1375" w:type="dxa"/>
            <w:tcBorders>
              <w:top w:val="single" w:color="000000" w:sz="6" w:space="0"/>
              <w:left w:val="single" w:color="000000" w:sz="6" w:space="0"/>
              <w:bottom w:val="single" w:color="000000" w:sz="6" w:space="0"/>
              <w:right w:val="single" w:color="000000" w:sz="6" w:space="0"/>
            </w:tcBorders>
            <w:vAlign w:val="center"/>
          </w:tcPr>
          <w:p w14:paraId="34DFD6A4">
            <w:pPr>
              <w:pStyle w:val="33"/>
              <w:rPr>
                <w:color w:val="auto"/>
              </w:rPr>
            </w:pPr>
            <w:r>
              <w:rPr>
                <w:color w:val="auto"/>
              </w:rPr>
              <w:t>一级指标</w:t>
            </w:r>
          </w:p>
        </w:tc>
        <w:tc>
          <w:tcPr>
            <w:tcW w:w="1276" w:type="dxa"/>
            <w:tcBorders>
              <w:top w:val="single" w:color="000000" w:sz="6" w:space="0"/>
              <w:left w:val="single" w:color="000000" w:sz="6" w:space="0"/>
              <w:bottom w:val="single" w:color="000000" w:sz="6" w:space="0"/>
              <w:right w:val="single" w:color="000000" w:sz="6" w:space="0"/>
            </w:tcBorders>
            <w:vAlign w:val="center"/>
          </w:tcPr>
          <w:p w14:paraId="0A3A2820">
            <w:pPr>
              <w:pStyle w:val="33"/>
              <w:rPr>
                <w:color w:val="auto"/>
              </w:rPr>
            </w:pPr>
            <w:r>
              <w:rPr>
                <w:color w:val="auto"/>
              </w:rPr>
              <w:t>一级指标权重</w:t>
            </w:r>
          </w:p>
        </w:tc>
        <w:tc>
          <w:tcPr>
            <w:tcW w:w="1842" w:type="dxa"/>
            <w:tcBorders>
              <w:top w:val="single" w:color="000000" w:sz="6" w:space="0"/>
              <w:left w:val="single" w:color="000000" w:sz="6" w:space="0"/>
              <w:bottom w:val="single" w:color="000000" w:sz="6" w:space="0"/>
              <w:right w:val="single" w:color="000000" w:sz="6" w:space="0"/>
            </w:tcBorders>
            <w:vAlign w:val="center"/>
          </w:tcPr>
          <w:p w14:paraId="7421FF3B">
            <w:pPr>
              <w:pStyle w:val="33"/>
              <w:rPr>
                <w:color w:val="auto"/>
              </w:rPr>
            </w:pPr>
            <w:r>
              <w:rPr>
                <w:color w:val="auto"/>
              </w:rPr>
              <w:t>二级指标</w:t>
            </w:r>
          </w:p>
        </w:tc>
        <w:tc>
          <w:tcPr>
            <w:tcW w:w="993" w:type="dxa"/>
            <w:tcBorders>
              <w:top w:val="single" w:color="000000" w:sz="6" w:space="0"/>
              <w:left w:val="single" w:color="000000" w:sz="6" w:space="0"/>
              <w:bottom w:val="single" w:color="000000" w:sz="6" w:space="0"/>
              <w:right w:val="single" w:color="000000" w:sz="6" w:space="0"/>
            </w:tcBorders>
            <w:vAlign w:val="center"/>
          </w:tcPr>
          <w:p w14:paraId="57496FB2">
            <w:pPr>
              <w:pStyle w:val="33"/>
              <w:rPr>
                <w:color w:val="auto"/>
              </w:rPr>
            </w:pPr>
            <w:r>
              <w:rPr>
                <w:color w:val="auto"/>
              </w:rPr>
              <w:t>单位</w:t>
            </w:r>
          </w:p>
        </w:tc>
        <w:tc>
          <w:tcPr>
            <w:tcW w:w="1275" w:type="dxa"/>
            <w:tcBorders>
              <w:top w:val="single" w:color="000000" w:sz="6" w:space="0"/>
              <w:left w:val="single" w:color="000000" w:sz="6" w:space="0"/>
              <w:bottom w:val="single" w:color="000000" w:sz="6" w:space="0"/>
              <w:right w:val="single" w:color="000000" w:sz="6" w:space="0"/>
            </w:tcBorders>
            <w:vAlign w:val="center"/>
          </w:tcPr>
          <w:p w14:paraId="374EE3D8">
            <w:pPr>
              <w:pStyle w:val="33"/>
              <w:rPr>
                <w:color w:val="auto"/>
              </w:rPr>
            </w:pPr>
            <w:r>
              <w:rPr>
                <w:color w:val="auto"/>
              </w:rPr>
              <w:t>二级指标权重</w:t>
            </w:r>
          </w:p>
        </w:tc>
        <w:tc>
          <w:tcPr>
            <w:tcW w:w="1418" w:type="dxa"/>
            <w:tcBorders>
              <w:top w:val="single" w:color="000000" w:sz="6" w:space="0"/>
              <w:left w:val="single" w:color="000000" w:sz="6" w:space="0"/>
              <w:bottom w:val="single" w:color="000000" w:sz="6" w:space="0"/>
              <w:right w:val="single" w:color="000000" w:sz="6" w:space="0"/>
            </w:tcBorders>
            <w:vAlign w:val="center"/>
          </w:tcPr>
          <w:p w14:paraId="6887A9B0">
            <w:pPr>
              <w:pStyle w:val="33"/>
              <w:rPr>
                <w:color w:val="auto"/>
              </w:rPr>
            </w:pPr>
            <w:r>
              <w:rPr>
                <w:color w:val="auto"/>
              </w:rPr>
              <w:t>I级基准值</w:t>
            </w:r>
          </w:p>
        </w:tc>
        <w:tc>
          <w:tcPr>
            <w:tcW w:w="1417" w:type="dxa"/>
            <w:tcBorders>
              <w:top w:val="single" w:color="000000" w:sz="6" w:space="0"/>
              <w:left w:val="single" w:color="000000" w:sz="6" w:space="0"/>
              <w:bottom w:val="single" w:color="000000" w:sz="6" w:space="0"/>
              <w:right w:val="single" w:color="000000" w:sz="6" w:space="0"/>
            </w:tcBorders>
            <w:vAlign w:val="center"/>
          </w:tcPr>
          <w:p w14:paraId="3785A512">
            <w:pPr>
              <w:pStyle w:val="33"/>
              <w:rPr>
                <w:color w:val="auto"/>
              </w:rPr>
            </w:pPr>
            <w:r>
              <w:rPr>
                <w:color w:val="auto"/>
              </w:rPr>
              <w:t>Ⅱ级基准值</w:t>
            </w:r>
          </w:p>
        </w:tc>
        <w:tc>
          <w:tcPr>
            <w:tcW w:w="1418" w:type="dxa"/>
            <w:tcBorders>
              <w:top w:val="single" w:color="000000" w:sz="6" w:space="0"/>
              <w:left w:val="single" w:color="000000" w:sz="6" w:space="0"/>
              <w:bottom w:val="single" w:color="000000" w:sz="6" w:space="0"/>
              <w:right w:val="single" w:color="000000" w:sz="6" w:space="0"/>
            </w:tcBorders>
            <w:vAlign w:val="center"/>
          </w:tcPr>
          <w:p w14:paraId="1D1A7F1B">
            <w:pPr>
              <w:pStyle w:val="33"/>
              <w:rPr>
                <w:color w:val="auto"/>
              </w:rPr>
            </w:pPr>
            <w:r>
              <w:rPr>
                <w:color w:val="auto"/>
              </w:rPr>
              <w:t>Ⅲ级基准值</w:t>
            </w:r>
          </w:p>
        </w:tc>
        <w:tc>
          <w:tcPr>
            <w:tcW w:w="2358" w:type="dxa"/>
            <w:tcBorders>
              <w:top w:val="single" w:color="000000" w:sz="6" w:space="0"/>
              <w:left w:val="single" w:color="000000" w:sz="6" w:space="0"/>
              <w:bottom w:val="single" w:color="000000" w:sz="6" w:space="0"/>
              <w:right w:val="single" w:color="000000" w:sz="6" w:space="0"/>
            </w:tcBorders>
            <w:vAlign w:val="center"/>
          </w:tcPr>
          <w:p w14:paraId="1C8AE0F0">
            <w:pPr>
              <w:pStyle w:val="33"/>
              <w:rPr>
                <w:color w:val="auto"/>
              </w:rPr>
            </w:pPr>
            <w:r>
              <w:rPr>
                <w:color w:val="auto"/>
              </w:rPr>
              <w:t>本项目情况</w:t>
            </w:r>
          </w:p>
        </w:tc>
      </w:tr>
      <w:tr w14:paraId="421FC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4873AB28">
            <w:pPr>
              <w:pStyle w:val="33"/>
              <w:rPr>
                <w:color w:val="auto"/>
              </w:rPr>
            </w:pPr>
            <w:r>
              <w:rPr>
                <w:color w:val="auto"/>
              </w:rPr>
              <w:t>1</w:t>
            </w:r>
          </w:p>
        </w:tc>
        <w:tc>
          <w:tcPr>
            <w:tcW w:w="1375" w:type="dxa"/>
            <w:vMerge w:val="restart"/>
            <w:tcBorders>
              <w:top w:val="single" w:color="000000" w:sz="6" w:space="0"/>
              <w:left w:val="single" w:color="000000" w:sz="6" w:space="0"/>
              <w:bottom w:val="single" w:color="000000" w:sz="6" w:space="0"/>
              <w:right w:val="single" w:color="000000" w:sz="6" w:space="0"/>
            </w:tcBorders>
            <w:vAlign w:val="center"/>
          </w:tcPr>
          <w:p w14:paraId="187A0B61">
            <w:pPr>
              <w:pStyle w:val="33"/>
              <w:rPr>
                <w:color w:val="auto"/>
              </w:rPr>
            </w:pPr>
            <w:r>
              <w:rPr>
                <w:color w:val="auto"/>
              </w:rPr>
              <w:t>资源和能源消耗指标</w:t>
            </w:r>
          </w:p>
        </w:tc>
        <w:tc>
          <w:tcPr>
            <w:tcW w:w="1276" w:type="dxa"/>
            <w:vMerge w:val="restart"/>
            <w:tcBorders>
              <w:top w:val="single" w:color="000000" w:sz="6" w:space="0"/>
              <w:left w:val="single" w:color="000000" w:sz="6" w:space="0"/>
              <w:bottom w:val="single" w:color="000000" w:sz="6" w:space="0"/>
              <w:right w:val="single" w:color="000000" w:sz="6" w:space="0"/>
            </w:tcBorders>
            <w:vAlign w:val="center"/>
          </w:tcPr>
          <w:p w14:paraId="1D1346A8">
            <w:pPr>
              <w:pStyle w:val="33"/>
              <w:rPr>
                <w:color w:val="auto"/>
              </w:rPr>
            </w:pPr>
            <w:r>
              <w:rPr>
                <w:color w:val="auto"/>
              </w:rPr>
              <w:t>0.2</w:t>
            </w:r>
          </w:p>
        </w:tc>
        <w:tc>
          <w:tcPr>
            <w:tcW w:w="1842" w:type="dxa"/>
            <w:tcBorders>
              <w:top w:val="single" w:color="000000" w:sz="6" w:space="0"/>
              <w:left w:val="single" w:color="000000" w:sz="6" w:space="0"/>
              <w:bottom w:val="single" w:color="000000" w:sz="6" w:space="0"/>
              <w:right w:val="single" w:color="000000" w:sz="6" w:space="0"/>
            </w:tcBorders>
            <w:vAlign w:val="center"/>
          </w:tcPr>
          <w:p w14:paraId="078A5A46">
            <w:pPr>
              <w:pStyle w:val="33"/>
              <w:rPr>
                <w:color w:val="auto"/>
              </w:rPr>
            </w:pPr>
            <w:r>
              <w:rPr>
                <w:color w:val="auto"/>
              </w:rPr>
              <w:t>*单位产品取水量</w:t>
            </w:r>
          </w:p>
        </w:tc>
        <w:tc>
          <w:tcPr>
            <w:tcW w:w="993" w:type="dxa"/>
            <w:tcBorders>
              <w:top w:val="single" w:color="000000" w:sz="6" w:space="0"/>
              <w:left w:val="single" w:color="000000" w:sz="6" w:space="0"/>
              <w:bottom w:val="single" w:color="000000" w:sz="6" w:space="0"/>
              <w:right w:val="single" w:color="000000" w:sz="6" w:space="0"/>
            </w:tcBorders>
            <w:vAlign w:val="center"/>
          </w:tcPr>
          <w:p w14:paraId="61B5EE98">
            <w:pPr>
              <w:pStyle w:val="33"/>
              <w:rPr>
                <w:color w:val="auto"/>
              </w:rPr>
            </w:pPr>
            <w:r>
              <w:rPr>
                <w:color w:val="auto"/>
              </w:rPr>
              <w:t>m</w:t>
            </w:r>
            <w:r>
              <w:rPr>
                <w:color w:val="auto"/>
                <w:vertAlign w:val="superscript"/>
              </w:rPr>
              <w:t>3</w:t>
            </w:r>
            <w:r>
              <w:rPr>
                <w:color w:val="auto"/>
              </w:rPr>
              <w:t>/t</w:t>
            </w:r>
          </w:p>
        </w:tc>
        <w:tc>
          <w:tcPr>
            <w:tcW w:w="1275" w:type="dxa"/>
            <w:tcBorders>
              <w:top w:val="single" w:color="000000" w:sz="6" w:space="0"/>
              <w:left w:val="single" w:color="000000" w:sz="6" w:space="0"/>
              <w:bottom w:val="single" w:color="000000" w:sz="6" w:space="0"/>
              <w:right w:val="single" w:color="000000" w:sz="6" w:space="0"/>
            </w:tcBorders>
            <w:vAlign w:val="center"/>
          </w:tcPr>
          <w:p w14:paraId="1B8F1BC8">
            <w:pPr>
              <w:pStyle w:val="33"/>
              <w:rPr>
                <w:color w:val="auto"/>
              </w:rPr>
            </w:pPr>
            <w:r>
              <w:rPr>
                <w:color w:val="auto"/>
              </w:rPr>
              <w:t>0.5</w:t>
            </w:r>
          </w:p>
        </w:tc>
        <w:tc>
          <w:tcPr>
            <w:tcW w:w="1418" w:type="dxa"/>
            <w:tcBorders>
              <w:top w:val="single" w:color="000000" w:sz="6" w:space="0"/>
              <w:left w:val="single" w:color="000000" w:sz="6" w:space="0"/>
              <w:bottom w:val="single" w:color="000000" w:sz="6" w:space="0"/>
              <w:right w:val="single" w:color="000000" w:sz="6" w:space="0"/>
            </w:tcBorders>
            <w:vAlign w:val="center"/>
          </w:tcPr>
          <w:p w14:paraId="5C2983F9">
            <w:pPr>
              <w:pStyle w:val="33"/>
              <w:rPr>
                <w:color w:val="auto"/>
              </w:rPr>
            </w:pPr>
            <w:r>
              <w:rPr>
                <w:rFonts w:hint="eastAsia"/>
                <w:color w:val="auto"/>
              </w:rPr>
              <w:t>14</w:t>
            </w:r>
          </w:p>
        </w:tc>
        <w:tc>
          <w:tcPr>
            <w:tcW w:w="1417" w:type="dxa"/>
            <w:tcBorders>
              <w:top w:val="single" w:color="000000" w:sz="6" w:space="0"/>
              <w:left w:val="single" w:color="000000" w:sz="6" w:space="0"/>
              <w:bottom w:val="single" w:color="000000" w:sz="6" w:space="0"/>
              <w:right w:val="single" w:color="000000" w:sz="6" w:space="0"/>
            </w:tcBorders>
            <w:vAlign w:val="center"/>
          </w:tcPr>
          <w:p w14:paraId="3FB8C9C3">
            <w:pPr>
              <w:pStyle w:val="33"/>
              <w:rPr>
                <w:color w:val="auto"/>
              </w:rPr>
            </w:pPr>
            <w:r>
              <w:rPr>
                <w:rFonts w:hint="eastAsia"/>
                <w:color w:val="auto"/>
              </w:rPr>
              <w:t>19</w:t>
            </w:r>
          </w:p>
        </w:tc>
        <w:tc>
          <w:tcPr>
            <w:tcW w:w="1418" w:type="dxa"/>
            <w:tcBorders>
              <w:top w:val="single" w:color="000000" w:sz="6" w:space="0"/>
              <w:left w:val="single" w:color="000000" w:sz="6" w:space="0"/>
              <w:bottom w:val="single" w:color="000000" w:sz="6" w:space="0"/>
              <w:right w:val="single" w:color="000000" w:sz="6" w:space="0"/>
            </w:tcBorders>
            <w:vAlign w:val="center"/>
          </w:tcPr>
          <w:p w14:paraId="2F2123AB">
            <w:pPr>
              <w:pStyle w:val="33"/>
              <w:rPr>
                <w:color w:val="auto"/>
              </w:rPr>
            </w:pPr>
            <w:r>
              <w:rPr>
                <w:rFonts w:hint="eastAsia"/>
                <w:color w:val="auto"/>
              </w:rPr>
              <w:t>26</w:t>
            </w:r>
          </w:p>
        </w:tc>
        <w:tc>
          <w:tcPr>
            <w:tcW w:w="2358" w:type="dxa"/>
            <w:tcBorders>
              <w:top w:val="single" w:color="000000" w:sz="6" w:space="0"/>
              <w:left w:val="single" w:color="000000" w:sz="6" w:space="0"/>
              <w:bottom w:val="single" w:color="000000" w:sz="6" w:space="0"/>
              <w:right w:val="single" w:color="000000" w:sz="6" w:space="0"/>
            </w:tcBorders>
            <w:vAlign w:val="center"/>
          </w:tcPr>
          <w:p w14:paraId="25622B31">
            <w:pPr>
              <w:pStyle w:val="33"/>
              <w:rPr>
                <w:color w:val="auto"/>
              </w:rPr>
            </w:pPr>
            <w:r>
              <w:rPr>
                <w:rFonts w:hint="eastAsia"/>
                <w:color w:val="auto"/>
              </w:rPr>
              <w:t>1#白卡纸生产线</w:t>
            </w:r>
            <w:r>
              <w:rPr>
                <w:color w:val="auto"/>
              </w:rPr>
              <w:t>为</w:t>
            </w:r>
            <w:r>
              <w:rPr>
                <w:rFonts w:hint="eastAsia"/>
                <w:color w:val="auto"/>
              </w:rPr>
              <w:t>4.67</w:t>
            </w:r>
            <w:r>
              <w:rPr>
                <w:color w:val="auto"/>
              </w:rPr>
              <w:t>m</w:t>
            </w:r>
            <w:r>
              <w:rPr>
                <w:color w:val="auto"/>
                <w:vertAlign w:val="superscript"/>
              </w:rPr>
              <w:t>3</w:t>
            </w:r>
            <w:r>
              <w:rPr>
                <w:color w:val="auto"/>
              </w:rPr>
              <w:t>/t，</w:t>
            </w:r>
            <w:r>
              <w:rPr>
                <w:rFonts w:hint="eastAsia"/>
                <w:color w:val="auto"/>
              </w:rPr>
              <w:t>2#白卡纸生产线</w:t>
            </w:r>
            <w:r>
              <w:rPr>
                <w:color w:val="auto"/>
              </w:rPr>
              <w:t>为</w:t>
            </w:r>
            <w:r>
              <w:rPr>
                <w:rFonts w:hint="eastAsia"/>
                <w:color w:val="auto"/>
              </w:rPr>
              <w:t>5.12</w:t>
            </w:r>
            <w:r>
              <w:rPr>
                <w:color w:val="auto"/>
              </w:rPr>
              <w:t>m</w:t>
            </w:r>
            <w:r>
              <w:rPr>
                <w:color w:val="auto"/>
                <w:vertAlign w:val="superscript"/>
              </w:rPr>
              <w:t>3</w:t>
            </w:r>
            <w:r>
              <w:rPr>
                <w:color w:val="auto"/>
              </w:rPr>
              <w:t>/t，I级。</w:t>
            </w:r>
          </w:p>
        </w:tc>
      </w:tr>
      <w:tr w14:paraId="574600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586EC271">
            <w:pPr>
              <w:pStyle w:val="33"/>
              <w:rPr>
                <w:color w:val="auto"/>
              </w:rPr>
            </w:pPr>
            <w:r>
              <w:rPr>
                <w:color w:val="auto"/>
              </w:rPr>
              <w:t>2</w:t>
            </w:r>
          </w:p>
        </w:tc>
        <w:tc>
          <w:tcPr>
            <w:tcW w:w="1375" w:type="dxa"/>
            <w:vMerge w:val="continue"/>
            <w:tcBorders>
              <w:top w:val="single" w:color="000000" w:sz="6" w:space="0"/>
              <w:left w:val="single" w:color="000000" w:sz="6" w:space="0"/>
              <w:bottom w:val="single" w:color="000000" w:sz="6" w:space="0"/>
              <w:right w:val="single" w:color="000000" w:sz="6" w:space="0"/>
            </w:tcBorders>
            <w:vAlign w:val="center"/>
          </w:tcPr>
          <w:p w14:paraId="2C2640CB">
            <w:pPr>
              <w:pStyle w:val="33"/>
              <w:rPr>
                <w:color w:val="auto"/>
              </w:rPr>
            </w:pPr>
          </w:p>
        </w:tc>
        <w:tc>
          <w:tcPr>
            <w:tcW w:w="1276" w:type="dxa"/>
            <w:vMerge w:val="continue"/>
            <w:tcBorders>
              <w:top w:val="single" w:color="000000" w:sz="6" w:space="0"/>
              <w:left w:val="single" w:color="000000" w:sz="6" w:space="0"/>
              <w:bottom w:val="single" w:color="000000" w:sz="6" w:space="0"/>
              <w:right w:val="single" w:color="000000" w:sz="6" w:space="0"/>
            </w:tcBorders>
            <w:vAlign w:val="center"/>
          </w:tcPr>
          <w:p w14:paraId="52907A1F">
            <w:pPr>
              <w:pStyle w:val="33"/>
              <w:rPr>
                <w:color w:val="auto"/>
              </w:rPr>
            </w:pPr>
          </w:p>
        </w:tc>
        <w:tc>
          <w:tcPr>
            <w:tcW w:w="1842" w:type="dxa"/>
            <w:tcBorders>
              <w:top w:val="single" w:color="000000" w:sz="6" w:space="0"/>
              <w:left w:val="single" w:color="000000" w:sz="6" w:space="0"/>
              <w:bottom w:val="single" w:color="000000" w:sz="6" w:space="0"/>
              <w:right w:val="single" w:color="000000" w:sz="6" w:space="0"/>
            </w:tcBorders>
            <w:vAlign w:val="center"/>
          </w:tcPr>
          <w:p w14:paraId="0BA9D0F4">
            <w:pPr>
              <w:pStyle w:val="33"/>
              <w:rPr>
                <w:color w:val="auto"/>
              </w:rPr>
            </w:pPr>
            <w:r>
              <w:rPr>
                <w:color w:val="auto"/>
              </w:rPr>
              <w:t>*单位产品综合能耗</w:t>
            </w:r>
          </w:p>
        </w:tc>
        <w:tc>
          <w:tcPr>
            <w:tcW w:w="993" w:type="dxa"/>
            <w:tcBorders>
              <w:top w:val="single" w:color="000000" w:sz="6" w:space="0"/>
              <w:left w:val="single" w:color="000000" w:sz="6" w:space="0"/>
              <w:bottom w:val="single" w:color="000000" w:sz="6" w:space="0"/>
              <w:right w:val="single" w:color="000000" w:sz="6" w:space="0"/>
            </w:tcBorders>
            <w:vAlign w:val="center"/>
          </w:tcPr>
          <w:p w14:paraId="0CC1E461">
            <w:pPr>
              <w:pStyle w:val="33"/>
              <w:rPr>
                <w:color w:val="auto"/>
              </w:rPr>
            </w:pPr>
            <w:r>
              <w:rPr>
                <w:color w:val="auto"/>
              </w:rPr>
              <w:t>kgce/t</w:t>
            </w:r>
          </w:p>
        </w:tc>
        <w:tc>
          <w:tcPr>
            <w:tcW w:w="1275" w:type="dxa"/>
            <w:tcBorders>
              <w:top w:val="single" w:color="000000" w:sz="6" w:space="0"/>
              <w:left w:val="single" w:color="000000" w:sz="6" w:space="0"/>
              <w:bottom w:val="single" w:color="000000" w:sz="6" w:space="0"/>
              <w:right w:val="single" w:color="000000" w:sz="6" w:space="0"/>
            </w:tcBorders>
            <w:vAlign w:val="center"/>
          </w:tcPr>
          <w:p w14:paraId="05631883">
            <w:pPr>
              <w:pStyle w:val="33"/>
              <w:rPr>
                <w:color w:val="auto"/>
              </w:rPr>
            </w:pPr>
            <w:r>
              <w:rPr>
                <w:color w:val="auto"/>
              </w:rPr>
              <w:t>0.5</w:t>
            </w:r>
          </w:p>
        </w:tc>
        <w:tc>
          <w:tcPr>
            <w:tcW w:w="1418" w:type="dxa"/>
            <w:tcBorders>
              <w:top w:val="single" w:color="000000" w:sz="6" w:space="0"/>
              <w:left w:val="single" w:color="000000" w:sz="6" w:space="0"/>
              <w:bottom w:val="single" w:color="000000" w:sz="6" w:space="0"/>
              <w:right w:val="single" w:color="000000" w:sz="6" w:space="0"/>
            </w:tcBorders>
            <w:vAlign w:val="center"/>
          </w:tcPr>
          <w:p w14:paraId="45B000B4">
            <w:pPr>
              <w:pStyle w:val="33"/>
              <w:rPr>
                <w:color w:val="auto"/>
              </w:rPr>
            </w:pPr>
            <w:r>
              <w:rPr>
                <w:rFonts w:hint="eastAsia"/>
                <w:color w:val="auto"/>
              </w:rPr>
              <w:t>320</w:t>
            </w:r>
          </w:p>
        </w:tc>
        <w:tc>
          <w:tcPr>
            <w:tcW w:w="1417" w:type="dxa"/>
            <w:tcBorders>
              <w:top w:val="single" w:color="000000" w:sz="6" w:space="0"/>
              <w:left w:val="single" w:color="000000" w:sz="6" w:space="0"/>
              <w:bottom w:val="single" w:color="000000" w:sz="6" w:space="0"/>
              <w:right w:val="single" w:color="000000" w:sz="6" w:space="0"/>
            </w:tcBorders>
            <w:vAlign w:val="center"/>
          </w:tcPr>
          <w:p w14:paraId="0C17CC31">
            <w:pPr>
              <w:pStyle w:val="33"/>
              <w:rPr>
                <w:color w:val="auto"/>
              </w:rPr>
            </w:pPr>
            <w:r>
              <w:rPr>
                <w:rFonts w:hint="eastAsia"/>
                <w:color w:val="auto"/>
              </w:rPr>
              <w:t>380</w:t>
            </w:r>
          </w:p>
        </w:tc>
        <w:tc>
          <w:tcPr>
            <w:tcW w:w="1418" w:type="dxa"/>
            <w:tcBorders>
              <w:top w:val="single" w:color="000000" w:sz="6" w:space="0"/>
              <w:left w:val="single" w:color="000000" w:sz="6" w:space="0"/>
              <w:bottom w:val="single" w:color="000000" w:sz="6" w:space="0"/>
              <w:right w:val="single" w:color="000000" w:sz="6" w:space="0"/>
            </w:tcBorders>
            <w:vAlign w:val="center"/>
          </w:tcPr>
          <w:p w14:paraId="08011C44">
            <w:pPr>
              <w:pStyle w:val="33"/>
              <w:rPr>
                <w:color w:val="auto"/>
              </w:rPr>
            </w:pPr>
            <w:r>
              <w:rPr>
                <w:rFonts w:hint="eastAsia"/>
                <w:color w:val="auto"/>
              </w:rPr>
              <w:t>430</w:t>
            </w:r>
          </w:p>
        </w:tc>
        <w:tc>
          <w:tcPr>
            <w:tcW w:w="2358" w:type="dxa"/>
            <w:tcBorders>
              <w:top w:val="single" w:color="000000" w:sz="6" w:space="0"/>
              <w:left w:val="single" w:color="000000" w:sz="6" w:space="0"/>
              <w:bottom w:val="single" w:color="000000" w:sz="6" w:space="0"/>
              <w:right w:val="single" w:color="000000" w:sz="6" w:space="0"/>
            </w:tcBorders>
            <w:vAlign w:val="center"/>
          </w:tcPr>
          <w:p w14:paraId="2DA6137A">
            <w:pPr>
              <w:pStyle w:val="33"/>
              <w:rPr>
                <w:color w:val="auto"/>
              </w:rPr>
            </w:pPr>
            <w:r>
              <w:rPr>
                <w:rFonts w:hint="eastAsia"/>
                <w:color w:val="auto"/>
              </w:rPr>
              <w:t>1#白卡纸生产线</w:t>
            </w:r>
            <w:r>
              <w:rPr>
                <w:color w:val="auto"/>
              </w:rPr>
              <w:t>为</w:t>
            </w:r>
            <w:r>
              <w:rPr>
                <w:rFonts w:hint="eastAsia"/>
                <w:color w:val="auto"/>
              </w:rPr>
              <w:t>189.80</w:t>
            </w:r>
            <w:r>
              <w:rPr>
                <w:color w:val="auto"/>
              </w:rPr>
              <w:t>kgce/t，</w:t>
            </w:r>
            <w:r>
              <w:rPr>
                <w:rFonts w:hint="eastAsia"/>
                <w:color w:val="auto"/>
              </w:rPr>
              <w:t>2#白卡纸生产线</w:t>
            </w:r>
            <w:r>
              <w:rPr>
                <w:color w:val="auto"/>
              </w:rPr>
              <w:t>为</w:t>
            </w:r>
            <w:r>
              <w:rPr>
                <w:rFonts w:hint="eastAsia"/>
                <w:color w:val="auto"/>
              </w:rPr>
              <w:t>166.45</w:t>
            </w:r>
            <w:r>
              <w:rPr>
                <w:color w:val="auto"/>
              </w:rPr>
              <w:t>kgce/t，I级。</w:t>
            </w:r>
          </w:p>
        </w:tc>
      </w:tr>
      <w:tr w14:paraId="256A7C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33956A2E">
            <w:pPr>
              <w:pStyle w:val="33"/>
              <w:rPr>
                <w:color w:val="auto"/>
              </w:rPr>
            </w:pPr>
            <w:r>
              <w:rPr>
                <w:color w:val="auto"/>
              </w:rPr>
              <w:t>3</w:t>
            </w:r>
          </w:p>
        </w:tc>
        <w:tc>
          <w:tcPr>
            <w:tcW w:w="1375" w:type="dxa"/>
            <w:tcBorders>
              <w:top w:val="single" w:color="000000" w:sz="6" w:space="0"/>
              <w:left w:val="single" w:color="000000" w:sz="6" w:space="0"/>
              <w:bottom w:val="single" w:color="000000" w:sz="6" w:space="0"/>
              <w:right w:val="single" w:color="000000" w:sz="6" w:space="0"/>
            </w:tcBorders>
            <w:vAlign w:val="center"/>
          </w:tcPr>
          <w:p w14:paraId="0617456D">
            <w:pPr>
              <w:pStyle w:val="33"/>
              <w:rPr>
                <w:color w:val="auto"/>
              </w:rPr>
            </w:pPr>
            <w:r>
              <w:rPr>
                <w:color w:val="auto"/>
              </w:rPr>
              <w:t>资源综合利用指标</w:t>
            </w:r>
          </w:p>
        </w:tc>
        <w:tc>
          <w:tcPr>
            <w:tcW w:w="1276" w:type="dxa"/>
            <w:tcBorders>
              <w:top w:val="single" w:color="000000" w:sz="6" w:space="0"/>
              <w:left w:val="single" w:color="000000" w:sz="6" w:space="0"/>
              <w:bottom w:val="single" w:color="000000" w:sz="6" w:space="0"/>
              <w:right w:val="single" w:color="000000" w:sz="6" w:space="0"/>
            </w:tcBorders>
            <w:vAlign w:val="center"/>
          </w:tcPr>
          <w:p w14:paraId="45CF0A7D">
            <w:pPr>
              <w:pStyle w:val="33"/>
              <w:rPr>
                <w:color w:val="auto"/>
              </w:rPr>
            </w:pPr>
            <w:r>
              <w:rPr>
                <w:color w:val="auto"/>
              </w:rPr>
              <w:t>0.1</w:t>
            </w:r>
          </w:p>
        </w:tc>
        <w:tc>
          <w:tcPr>
            <w:tcW w:w="1842" w:type="dxa"/>
            <w:tcBorders>
              <w:top w:val="single" w:color="000000" w:sz="6" w:space="0"/>
              <w:left w:val="single" w:color="000000" w:sz="6" w:space="0"/>
              <w:bottom w:val="single" w:color="000000" w:sz="6" w:space="0"/>
              <w:right w:val="single" w:color="000000" w:sz="6" w:space="0"/>
            </w:tcBorders>
            <w:vAlign w:val="center"/>
          </w:tcPr>
          <w:p w14:paraId="32D2377A">
            <w:pPr>
              <w:pStyle w:val="33"/>
              <w:rPr>
                <w:color w:val="auto"/>
              </w:rPr>
            </w:pPr>
            <w:r>
              <w:rPr>
                <w:color w:val="auto"/>
              </w:rPr>
              <w:t>水重复利用率</w:t>
            </w:r>
          </w:p>
        </w:tc>
        <w:tc>
          <w:tcPr>
            <w:tcW w:w="993" w:type="dxa"/>
            <w:tcBorders>
              <w:top w:val="single" w:color="000000" w:sz="6" w:space="0"/>
              <w:left w:val="single" w:color="000000" w:sz="6" w:space="0"/>
              <w:bottom w:val="single" w:color="000000" w:sz="6" w:space="0"/>
              <w:right w:val="single" w:color="000000" w:sz="6" w:space="0"/>
            </w:tcBorders>
            <w:vAlign w:val="center"/>
          </w:tcPr>
          <w:p w14:paraId="45A70389">
            <w:pPr>
              <w:pStyle w:val="33"/>
              <w:rPr>
                <w:color w:val="auto"/>
              </w:rPr>
            </w:pPr>
            <w:r>
              <w:rPr>
                <w:color w:val="auto"/>
              </w:rPr>
              <w:t>%</w:t>
            </w:r>
          </w:p>
        </w:tc>
        <w:tc>
          <w:tcPr>
            <w:tcW w:w="1275" w:type="dxa"/>
            <w:tcBorders>
              <w:top w:val="single" w:color="000000" w:sz="6" w:space="0"/>
              <w:left w:val="single" w:color="000000" w:sz="6" w:space="0"/>
              <w:bottom w:val="single" w:color="000000" w:sz="6" w:space="0"/>
              <w:right w:val="single" w:color="000000" w:sz="6" w:space="0"/>
            </w:tcBorders>
            <w:vAlign w:val="center"/>
          </w:tcPr>
          <w:p w14:paraId="333F6BCC">
            <w:pPr>
              <w:pStyle w:val="33"/>
              <w:rPr>
                <w:color w:val="auto"/>
              </w:rPr>
            </w:pPr>
            <w:r>
              <w:rPr>
                <w:color w:val="auto"/>
              </w:rPr>
              <w:t>1</w:t>
            </w:r>
          </w:p>
        </w:tc>
        <w:tc>
          <w:tcPr>
            <w:tcW w:w="1418" w:type="dxa"/>
            <w:tcBorders>
              <w:top w:val="single" w:color="000000" w:sz="6" w:space="0"/>
              <w:left w:val="single" w:color="000000" w:sz="6" w:space="0"/>
              <w:bottom w:val="single" w:color="000000" w:sz="6" w:space="0"/>
              <w:right w:val="single" w:color="000000" w:sz="6" w:space="0"/>
            </w:tcBorders>
            <w:vAlign w:val="center"/>
          </w:tcPr>
          <w:p w14:paraId="23174076">
            <w:pPr>
              <w:pStyle w:val="33"/>
              <w:rPr>
                <w:color w:val="auto"/>
              </w:rPr>
            </w:pPr>
            <w:r>
              <w:rPr>
                <w:rFonts w:hint="eastAsia"/>
                <w:color w:val="auto"/>
              </w:rPr>
              <w:t>90</w:t>
            </w:r>
          </w:p>
        </w:tc>
        <w:tc>
          <w:tcPr>
            <w:tcW w:w="1417" w:type="dxa"/>
            <w:tcBorders>
              <w:top w:val="single" w:color="000000" w:sz="6" w:space="0"/>
              <w:left w:val="single" w:color="000000" w:sz="6" w:space="0"/>
              <w:bottom w:val="single" w:color="000000" w:sz="6" w:space="0"/>
              <w:right w:val="single" w:color="000000" w:sz="6" w:space="0"/>
            </w:tcBorders>
            <w:vAlign w:val="center"/>
          </w:tcPr>
          <w:p w14:paraId="4E10B00E">
            <w:pPr>
              <w:pStyle w:val="33"/>
              <w:rPr>
                <w:color w:val="auto"/>
              </w:rPr>
            </w:pPr>
            <w:r>
              <w:rPr>
                <w:rFonts w:hint="eastAsia"/>
                <w:color w:val="auto"/>
              </w:rPr>
              <w:t>85</w:t>
            </w:r>
          </w:p>
        </w:tc>
        <w:tc>
          <w:tcPr>
            <w:tcW w:w="1418" w:type="dxa"/>
            <w:tcBorders>
              <w:top w:val="single" w:color="000000" w:sz="6" w:space="0"/>
              <w:left w:val="single" w:color="000000" w:sz="6" w:space="0"/>
              <w:bottom w:val="single" w:color="000000" w:sz="6" w:space="0"/>
              <w:right w:val="single" w:color="000000" w:sz="6" w:space="0"/>
            </w:tcBorders>
            <w:vAlign w:val="center"/>
          </w:tcPr>
          <w:p w14:paraId="713EE3F9">
            <w:pPr>
              <w:pStyle w:val="33"/>
              <w:rPr>
                <w:color w:val="auto"/>
              </w:rPr>
            </w:pPr>
            <w:r>
              <w:rPr>
                <w:rFonts w:hint="eastAsia"/>
                <w:color w:val="auto"/>
              </w:rPr>
              <w:t>80</w:t>
            </w:r>
          </w:p>
        </w:tc>
        <w:tc>
          <w:tcPr>
            <w:tcW w:w="2358" w:type="dxa"/>
            <w:tcBorders>
              <w:top w:val="single" w:color="000000" w:sz="6" w:space="0"/>
              <w:left w:val="single" w:color="000000" w:sz="6" w:space="0"/>
              <w:bottom w:val="single" w:color="000000" w:sz="6" w:space="0"/>
              <w:right w:val="single" w:color="000000" w:sz="6" w:space="0"/>
            </w:tcBorders>
            <w:vAlign w:val="center"/>
          </w:tcPr>
          <w:p w14:paraId="14BCADF6">
            <w:pPr>
              <w:pStyle w:val="33"/>
              <w:rPr>
                <w:color w:val="auto"/>
              </w:rPr>
            </w:pPr>
            <w:bookmarkStart w:id="230" w:name="_Hlk160198424"/>
            <w:r>
              <w:rPr>
                <w:rFonts w:hint="eastAsia"/>
                <w:color w:val="auto"/>
              </w:rPr>
              <w:t>95</w:t>
            </w:r>
            <w:r>
              <w:rPr>
                <w:color w:val="auto"/>
              </w:rPr>
              <w:t>%</w:t>
            </w:r>
            <w:bookmarkEnd w:id="230"/>
            <w:r>
              <w:rPr>
                <w:color w:val="auto"/>
              </w:rPr>
              <w:t>，I级。</w:t>
            </w:r>
          </w:p>
        </w:tc>
      </w:tr>
      <w:tr w14:paraId="224CC7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01343512">
            <w:pPr>
              <w:pStyle w:val="33"/>
              <w:rPr>
                <w:color w:val="auto"/>
              </w:rPr>
            </w:pPr>
            <w:r>
              <w:rPr>
                <w:color w:val="auto"/>
              </w:rPr>
              <w:t>4</w:t>
            </w:r>
          </w:p>
        </w:tc>
        <w:tc>
          <w:tcPr>
            <w:tcW w:w="1375" w:type="dxa"/>
            <w:vMerge w:val="restart"/>
            <w:tcBorders>
              <w:top w:val="single" w:color="000000" w:sz="6" w:space="0"/>
              <w:left w:val="single" w:color="000000" w:sz="6" w:space="0"/>
              <w:bottom w:val="single" w:color="000000" w:sz="6" w:space="0"/>
              <w:right w:val="single" w:color="000000" w:sz="6" w:space="0"/>
            </w:tcBorders>
            <w:vAlign w:val="center"/>
          </w:tcPr>
          <w:p w14:paraId="4AE4B45A">
            <w:pPr>
              <w:pStyle w:val="33"/>
              <w:rPr>
                <w:color w:val="auto"/>
              </w:rPr>
            </w:pPr>
            <w:r>
              <w:rPr>
                <w:color w:val="auto"/>
              </w:rPr>
              <w:t>污染物产生指标</w:t>
            </w:r>
          </w:p>
        </w:tc>
        <w:tc>
          <w:tcPr>
            <w:tcW w:w="1276" w:type="dxa"/>
            <w:vMerge w:val="restart"/>
            <w:tcBorders>
              <w:top w:val="single" w:color="000000" w:sz="6" w:space="0"/>
              <w:left w:val="single" w:color="000000" w:sz="6" w:space="0"/>
              <w:bottom w:val="single" w:color="000000" w:sz="6" w:space="0"/>
              <w:right w:val="single" w:color="000000" w:sz="6" w:space="0"/>
            </w:tcBorders>
            <w:vAlign w:val="center"/>
          </w:tcPr>
          <w:p w14:paraId="42E7BF1B">
            <w:pPr>
              <w:pStyle w:val="33"/>
              <w:rPr>
                <w:color w:val="auto"/>
              </w:rPr>
            </w:pPr>
            <w:r>
              <w:rPr>
                <w:color w:val="auto"/>
              </w:rPr>
              <w:t>0.3</w:t>
            </w:r>
          </w:p>
        </w:tc>
        <w:tc>
          <w:tcPr>
            <w:tcW w:w="1842" w:type="dxa"/>
            <w:tcBorders>
              <w:top w:val="single" w:color="000000" w:sz="6" w:space="0"/>
              <w:left w:val="single" w:color="000000" w:sz="6" w:space="0"/>
              <w:bottom w:val="single" w:color="000000" w:sz="6" w:space="0"/>
              <w:right w:val="single" w:color="000000" w:sz="6" w:space="0"/>
            </w:tcBorders>
            <w:vAlign w:val="center"/>
          </w:tcPr>
          <w:p w14:paraId="4F9B4F04">
            <w:pPr>
              <w:pStyle w:val="33"/>
              <w:rPr>
                <w:color w:val="auto"/>
              </w:rPr>
            </w:pPr>
            <w:r>
              <w:rPr>
                <w:color w:val="auto"/>
              </w:rPr>
              <w:t>*单位产品废水产生量</w:t>
            </w:r>
          </w:p>
        </w:tc>
        <w:tc>
          <w:tcPr>
            <w:tcW w:w="993" w:type="dxa"/>
            <w:tcBorders>
              <w:top w:val="single" w:color="000000" w:sz="6" w:space="0"/>
              <w:left w:val="single" w:color="000000" w:sz="6" w:space="0"/>
              <w:bottom w:val="single" w:color="000000" w:sz="6" w:space="0"/>
              <w:right w:val="single" w:color="000000" w:sz="6" w:space="0"/>
            </w:tcBorders>
            <w:vAlign w:val="center"/>
          </w:tcPr>
          <w:p w14:paraId="14332EFD">
            <w:pPr>
              <w:pStyle w:val="33"/>
              <w:rPr>
                <w:color w:val="auto"/>
              </w:rPr>
            </w:pPr>
            <w:r>
              <w:rPr>
                <w:color w:val="auto"/>
              </w:rPr>
              <w:t>m</w:t>
            </w:r>
            <w:r>
              <w:rPr>
                <w:color w:val="auto"/>
                <w:vertAlign w:val="superscript"/>
              </w:rPr>
              <w:t>3</w:t>
            </w:r>
            <w:r>
              <w:rPr>
                <w:color w:val="auto"/>
              </w:rPr>
              <w:t>/t</w:t>
            </w:r>
          </w:p>
        </w:tc>
        <w:tc>
          <w:tcPr>
            <w:tcW w:w="1275" w:type="dxa"/>
            <w:tcBorders>
              <w:top w:val="single" w:color="000000" w:sz="6" w:space="0"/>
              <w:left w:val="single" w:color="000000" w:sz="6" w:space="0"/>
              <w:bottom w:val="single" w:color="000000" w:sz="6" w:space="0"/>
              <w:right w:val="single" w:color="000000" w:sz="6" w:space="0"/>
            </w:tcBorders>
            <w:vAlign w:val="center"/>
          </w:tcPr>
          <w:p w14:paraId="0A9E4DEB">
            <w:pPr>
              <w:pStyle w:val="33"/>
              <w:rPr>
                <w:color w:val="auto"/>
              </w:rPr>
            </w:pPr>
            <w:r>
              <w:rPr>
                <w:color w:val="auto"/>
              </w:rPr>
              <w:t>0.5</w:t>
            </w:r>
          </w:p>
        </w:tc>
        <w:tc>
          <w:tcPr>
            <w:tcW w:w="1418" w:type="dxa"/>
            <w:tcBorders>
              <w:top w:val="single" w:color="000000" w:sz="6" w:space="0"/>
              <w:left w:val="single" w:color="000000" w:sz="6" w:space="0"/>
              <w:bottom w:val="single" w:color="000000" w:sz="6" w:space="0"/>
              <w:right w:val="single" w:color="000000" w:sz="6" w:space="0"/>
            </w:tcBorders>
            <w:vAlign w:val="center"/>
          </w:tcPr>
          <w:p w14:paraId="761FF813">
            <w:pPr>
              <w:pStyle w:val="33"/>
              <w:rPr>
                <w:color w:val="auto"/>
              </w:rPr>
            </w:pPr>
            <w:r>
              <w:rPr>
                <w:rFonts w:hint="eastAsia"/>
                <w:color w:val="auto"/>
              </w:rPr>
              <w:t>12</w:t>
            </w:r>
          </w:p>
        </w:tc>
        <w:tc>
          <w:tcPr>
            <w:tcW w:w="1417" w:type="dxa"/>
            <w:tcBorders>
              <w:top w:val="single" w:color="000000" w:sz="6" w:space="0"/>
              <w:left w:val="single" w:color="000000" w:sz="6" w:space="0"/>
              <w:bottom w:val="single" w:color="000000" w:sz="6" w:space="0"/>
              <w:right w:val="single" w:color="000000" w:sz="6" w:space="0"/>
            </w:tcBorders>
            <w:vAlign w:val="center"/>
          </w:tcPr>
          <w:p w14:paraId="437CEA96">
            <w:pPr>
              <w:pStyle w:val="33"/>
              <w:rPr>
                <w:color w:val="auto"/>
              </w:rPr>
            </w:pPr>
            <w:r>
              <w:rPr>
                <w:rFonts w:hint="eastAsia"/>
                <w:color w:val="auto"/>
              </w:rPr>
              <w:t>16</w:t>
            </w:r>
          </w:p>
        </w:tc>
        <w:tc>
          <w:tcPr>
            <w:tcW w:w="1418" w:type="dxa"/>
            <w:tcBorders>
              <w:top w:val="single" w:color="000000" w:sz="6" w:space="0"/>
              <w:left w:val="single" w:color="000000" w:sz="6" w:space="0"/>
              <w:bottom w:val="single" w:color="000000" w:sz="6" w:space="0"/>
              <w:right w:val="single" w:color="000000" w:sz="6" w:space="0"/>
            </w:tcBorders>
            <w:vAlign w:val="center"/>
          </w:tcPr>
          <w:p w14:paraId="2A4055BC">
            <w:pPr>
              <w:pStyle w:val="33"/>
              <w:rPr>
                <w:color w:val="auto"/>
              </w:rPr>
            </w:pPr>
            <w:r>
              <w:rPr>
                <w:rFonts w:hint="eastAsia"/>
                <w:color w:val="auto"/>
              </w:rPr>
              <w:t>23</w:t>
            </w:r>
          </w:p>
        </w:tc>
        <w:tc>
          <w:tcPr>
            <w:tcW w:w="2358" w:type="dxa"/>
            <w:tcBorders>
              <w:top w:val="single" w:color="000000" w:sz="6" w:space="0"/>
              <w:left w:val="single" w:color="000000" w:sz="6" w:space="0"/>
              <w:bottom w:val="single" w:color="000000" w:sz="6" w:space="0"/>
              <w:right w:val="single" w:color="000000" w:sz="6" w:space="0"/>
            </w:tcBorders>
            <w:vAlign w:val="center"/>
          </w:tcPr>
          <w:p w14:paraId="0125CD97">
            <w:pPr>
              <w:pStyle w:val="33"/>
              <w:rPr>
                <w:color w:val="auto"/>
              </w:rPr>
            </w:pPr>
            <w:r>
              <w:rPr>
                <w:rFonts w:hint="eastAsia"/>
                <w:color w:val="auto"/>
              </w:rPr>
              <w:t>1#白卡纸生产线</w:t>
            </w:r>
            <w:r>
              <w:rPr>
                <w:color w:val="auto"/>
              </w:rPr>
              <w:t>为</w:t>
            </w:r>
            <w:r>
              <w:rPr>
                <w:rFonts w:hint="eastAsia"/>
                <w:color w:val="auto"/>
              </w:rPr>
              <w:t>4.65</w:t>
            </w:r>
            <w:r>
              <w:rPr>
                <w:color w:val="auto"/>
              </w:rPr>
              <w:t>m</w:t>
            </w:r>
            <w:r>
              <w:rPr>
                <w:color w:val="auto"/>
                <w:vertAlign w:val="superscript"/>
              </w:rPr>
              <w:t>3</w:t>
            </w:r>
            <w:r>
              <w:rPr>
                <w:color w:val="auto"/>
              </w:rPr>
              <w:t>/t，</w:t>
            </w:r>
            <w:r>
              <w:rPr>
                <w:rFonts w:hint="eastAsia"/>
                <w:color w:val="auto"/>
              </w:rPr>
              <w:t>2#白卡纸生产线</w:t>
            </w:r>
            <w:r>
              <w:rPr>
                <w:color w:val="auto"/>
              </w:rPr>
              <w:t>为</w:t>
            </w:r>
            <w:r>
              <w:rPr>
                <w:rFonts w:hint="eastAsia"/>
                <w:color w:val="auto"/>
              </w:rPr>
              <w:t>4.85</w:t>
            </w:r>
            <w:r>
              <w:rPr>
                <w:color w:val="auto"/>
              </w:rPr>
              <w:t>m</w:t>
            </w:r>
            <w:r>
              <w:rPr>
                <w:color w:val="auto"/>
                <w:vertAlign w:val="superscript"/>
              </w:rPr>
              <w:t>3</w:t>
            </w:r>
            <w:r>
              <w:rPr>
                <w:color w:val="auto"/>
              </w:rPr>
              <w:t>/t，I级。</w:t>
            </w:r>
          </w:p>
        </w:tc>
      </w:tr>
      <w:tr w14:paraId="6671C6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768DD1A3">
            <w:pPr>
              <w:pStyle w:val="33"/>
              <w:rPr>
                <w:color w:val="auto"/>
              </w:rPr>
            </w:pPr>
            <w:r>
              <w:rPr>
                <w:color w:val="auto"/>
              </w:rPr>
              <w:t>5</w:t>
            </w:r>
          </w:p>
        </w:tc>
        <w:tc>
          <w:tcPr>
            <w:tcW w:w="1375" w:type="dxa"/>
            <w:vMerge w:val="continue"/>
            <w:tcBorders>
              <w:top w:val="single" w:color="000000" w:sz="6" w:space="0"/>
              <w:left w:val="single" w:color="000000" w:sz="6" w:space="0"/>
              <w:bottom w:val="single" w:color="000000" w:sz="6" w:space="0"/>
              <w:right w:val="single" w:color="000000" w:sz="6" w:space="0"/>
            </w:tcBorders>
            <w:vAlign w:val="center"/>
          </w:tcPr>
          <w:p w14:paraId="39B04DA5">
            <w:pPr>
              <w:pStyle w:val="33"/>
              <w:rPr>
                <w:color w:val="auto"/>
              </w:rPr>
            </w:pPr>
          </w:p>
        </w:tc>
        <w:tc>
          <w:tcPr>
            <w:tcW w:w="1276" w:type="dxa"/>
            <w:vMerge w:val="continue"/>
            <w:tcBorders>
              <w:top w:val="single" w:color="000000" w:sz="6" w:space="0"/>
              <w:left w:val="single" w:color="000000" w:sz="6" w:space="0"/>
              <w:bottom w:val="single" w:color="000000" w:sz="6" w:space="0"/>
              <w:right w:val="single" w:color="000000" w:sz="6" w:space="0"/>
            </w:tcBorders>
            <w:vAlign w:val="center"/>
          </w:tcPr>
          <w:p w14:paraId="3B9F72B5">
            <w:pPr>
              <w:pStyle w:val="33"/>
              <w:rPr>
                <w:color w:val="auto"/>
              </w:rPr>
            </w:pPr>
          </w:p>
        </w:tc>
        <w:tc>
          <w:tcPr>
            <w:tcW w:w="1842" w:type="dxa"/>
            <w:tcBorders>
              <w:top w:val="single" w:color="000000" w:sz="6" w:space="0"/>
              <w:left w:val="single" w:color="000000" w:sz="6" w:space="0"/>
              <w:bottom w:val="single" w:color="000000" w:sz="6" w:space="0"/>
              <w:right w:val="single" w:color="000000" w:sz="6" w:space="0"/>
            </w:tcBorders>
            <w:vAlign w:val="center"/>
          </w:tcPr>
          <w:p w14:paraId="6F005355">
            <w:pPr>
              <w:pStyle w:val="33"/>
              <w:rPr>
                <w:color w:val="auto"/>
              </w:rPr>
            </w:pPr>
            <w:r>
              <w:rPr>
                <w:color w:val="auto"/>
              </w:rPr>
              <w:t>*单位产品CODcr产生量</w:t>
            </w:r>
          </w:p>
        </w:tc>
        <w:tc>
          <w:tcPr>
            <w:tcW w:w="993" w:type="dxa"/>
            <w:tcBorders>
              <w:top w:val="single" w:color="000000" w:sz="6" w:space="0"/>
              <w:left w:val="single" w:color="000000" w:sz="6" w:space="0"/>
              <w:bottom w:val="single" w:color="000000" w:sz="6" w:space="0"/>
              <w:right w:val="single" w:color="000000" w:sz="6" w:space="0"/>
            </w:tcBorders>
            <w:vAlign w:val="center"/>
          </w:tcPr>
          <w:p w14:paraId="7A89CBF3">
            <w:pPr>
              <w:pStyle w:val="33"/>
              <w:rPr>
                <w:color w:val="auto"/>
              </w:rPr>
            </w:pPr>
            <w:r>
              <w:rPr>
                <w:color w:val="auto"/>
              </w:rPr>
              <w:t>kg/t</w:t>
            </w:r>
          </w:p>
        </w:tc>
        <w:tc>
          <w:tcPr>
            <w:tcW w:w="1275" w:type="dxa"/>
            <w:tcBorders>
              <w:top w:val="single" w:color="000000" w:sz="6" w:space="0"/>
              <w:left w:val="single" w:color="000000" w:sz="6" w:space="0"/>
              <w:bottom w:val="single" w:color="000000" w:sz="6" w:space="0"/>
              <w:right w:val="single" w:color="000000" w:sz="6" w:space="0"/>
            </w:tcBorders>
            <w:vAlign w:val="center"/>
          </w:tcPr>
          <w:p w14:paraId="13623506">
            <w:pPr>
              <w:pStyle w:val="33"/>
              <w:rPr>
                <w:color w:val="auto"/>
              </w:rPr>
            </w:pPr>
            <w:r>
              <w:rPr>
                <w:color w:val="auto"/>
              </w:rPr>
              <w:t>0.5</w:t>
            </w:r>
          </w:p>
        </w:tc>
        <w:tc>
          <w:tcPr>
            <w:tcW w:w="1418" w:type="dxa"/>
            <w:tcBorders>
              <w:top w:val="single" w:color="000000" w:sz="6" w:space="0"/>
              <w:left w:val="single" w:color="000000" w:sz="6" w:space="0"/>
              <w:bottom w:val="single" w:color="000000" w:sz="6" w:space="0"/>
              <w:right w:val="single" w:color="000000" w:sz="6" w:space="0"/>
            </w:tcBorders>
            <w:vAlign w:val="center"/>
          </w:tcPr>
          <w:p w14:paraId="3998D184">
            <w:pPr>
              <w:pStyle w:val="33"/>
              <w:rPr>
                <w:color w:val="auto"/>
              </w:rPr>
            </w:pPr>
            <w:r>
              <w:rPr>
                <w:rFonts w:hint="eastAsia"/>
                <w:color w:val="auto"/>
              </w:rPr>
              <w:t>11</w:t>
            </w:r>
          </w:p>
        </w:tc>
        <w:tc>
          <w:tcPr>
            <w:tcW w:w="1417" w:type="dxa"/>
            <w:tcBorders>
              <w:top w:val="single" w:color="000000" w:sz="6" w:space="0"/>
              <w:left w:val="single" w:color="000000" w:sz="6" w:space="0"/>
              <w:bottom w:val="single" w:color="000000" w:sz="6" w:space="0"/>
              <w:right w:val="single" w:color="000000" w:sz="6" w:space="0"/>
            </w:tcBorders>
            <w:vAlign w:val="center"/>
          </w:tcPr>
          <w:p w14:paraId="36AA807B">
            <w:pPr>
              <w:pStyle w:val="33"/>
              <w:rPr>
                <w:color w:val="auto"/>
              </w:rPr>
            </w:pPr>
            <w:r>
              <w:rPr>
                <w:rFonts w:hint="eastAsia"/>
                <w:color w:val="auto"/>
              </w:rPr>
              <w:t>16</w:t>
            </w:r>
          </w:p>
        </w:tc>
        <w:tc>
          <w:tcPr>
            <w:tcW w:w="1418" w:type="dxa"/>
            <w:tcBorders>
              <w:top w:val="single" w:color="000000" w:sz="6" w:space="0"/>
              <w:left w:val="single" w:color="000000" w:sz="6" w:space="0"/>
              <w:bottom w:val="single" w:color="000000" w:sz="6" w:space="0"/>
              <w:right w:val="single" w:color="000000" w:sz="6" w:space="0"/>
            </w:tcBorders>
            <w:vAlign w:val="center"/>
          </w:tcPr>
          <w:p w14:paraId="460FCC1E">
            <w:pPr>
              <w:pStyle w:val="33"/>
              <w:rPr>
                <w:color w:val="auto"/>
              </w:rPr>
            </w:pPr>
            <w:r>
              <w:rPr>
                <w:rFonts w:hint="eastAsia"/>
                <w:color w:val="auto"/>
              </w:rPr>
              <w:t>19</w:t>
            </w:r>
          </w:p>
        </w:tc>
        <w:tc>
          <w:tcPr>
            <w:tcW w:w="2358" w:type="dxa"/>
            <w:tcBorders>
              <w:top w:val="single" w:color="000000" w:sz="6" w:space="0"/>
              <w:left w:val="single" w:color="000000" w:sz="6" w:space="0"/>
              <w:bottom w:val="single" w:color="000000" w:sz="6" w:space="0"/>
              <w:right w:val="single" w:color="000000" w:sz="6" w:space="0"/>
            </w:tcBorders>
            <w:vAlign w:val="center"/>
          </w:tcPr>
          <w:p w14:paraId="67168824">
            <w:pPr>
              <w:pStyle w:val="33"/>
              <w:rPr>
                <w:color w:val="auto"/>
              </w:rPr>
            </w:pPr>
            <w:r>
              <w:rPr>
                <w:rFonts w:hint="eastAsia"/>
                <w:color w:val="auto"/>
              </w:rPr>
              <w:t>1#白卡纸生产线</w:t>
            </w:r>
            <w:r>
              <w:rPr>
                <w:color w:val="auto"/>
              </w:rPr>
              <w:t>为</w:t>
            </w:r>
            <w:r>
              <w:rPr>
                <w:rFonts w:hint="eastAsia"/>
                <w:color w:val="auto"/>
              </w:rPr>
              <w:t>8.37</w:t>
            </w:r>
            <w:r>
              <w:rPr>
                <w:color w:val="auto"/>
              </w:rPr>
              <w:t>kg/t，</w:t>
            </w:r>
            <w:r>
              <w:rPr>
                <w:rFonts w:hint="eastAsia"/>
                <w:color w:val="auto"/>
              </w:rPr>
              <w:t>2#白卡纸生产线</w:t>
            </w:r>
            <w:r>
              <w:rPr>
                <w:color w:val="auto"/>
              </w:rPr>
              <w:t>为</w:t>
            </w:r>
            <w:r>
              <w:rPr>
                <w:rFonts w:hint="eastAsia"/>
                <w:color w:val="auto"/>
              </w:rPr>
              <w:t>8.73</w:t>
            </w:r>
            <w:r>
              <w:rPr>
                <w:color w:val="auto"/>
              </w:rPr>
              <w:t>kg/t，I级。</w:t>
            </w:r>
          </w:p>
        </w:tc>
      </w:tr>
      <w:tr w14:paraId="440D66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602" w:type="dxa"/>
            <w:tcBorders>
              <w:top w:val="single" w:color="000000" w:sz="6" w:space="0"/>
              <w:left w:val="single" w:color="000000" w:sz="6" w:space="0"/>
              <w:bottom w:val="single" w:color="000000" w:sz="6" w:space="0"/>
              <w:right w:val="single" w:color="000000" w:sz="6" w:space="0"/>
            </w:tcBorders>
            <w:vAlign w:val="center"/>
          </w:tcPr>
          <w:p w14:paraId="35E5DFF3">
            <w:pPr>
              <w:pStyle w:val="33"/>
              <w:rPr>
                <w:color w:val="auto"/>
              </w:rPr>
            </w:pPr>
            <w:r>
              <w:rPr>
                <w:color w:val="auto"/>
              </w:rPr>
              <w:t>6</w:t>
            </w:r>
          </w:p>
        </w:tc>
        <w:tc>
          <w:tcPr>
            <w:tcW w:w="1375" w:type="dxa"/>
            <w:tcBorders>
              <w:top w:val="single" w:color="000000" w:sz="6" w:space="0"/>
              <w:left w:val="single" w:color="000000" w:sz="6" w:space="0"/>
              <w:bottom w:val="single" w:color="000000" w:sz="6" w:space="0"/>
              <w:right w:val="single" w:color="000000" w:sz="6" w:space="0"/>
            </w:tcBorders>
            <w:vAlign w:val="center"/>
          </w:tcPr>
          <w:p w14:paraId="4ECD4FCF">
            <w:pPr>
              <w:pStyle w:val="33"/>
              <w:rPr>
                <w:color w:val="auto"/>
              </w:rPr>
            </w:pPr>
            <w:r>
              <w:rPr>
                <w:color w:val="auto"/>
              </w:rPr>
              <w:t>纸产品定性评价指标</w:t>
            </w:r>
          </w:p>
        </w:tc>
        <w:tc>
          <w:tcPr>
            <w:tcW w:w="1276" w:type="dxa"/>
            <w:tcBorders>
              <w:top w:val="single" w:color="000000" w:sz="6" w:space="0"/>
              <w:left w:val="single" w:color="000000" w:sz="6" w:space="0"/>
              <w:bottom w:val="single" w:color="000000" w:sz="6" w:space="0"/>
              <w:right w:val="single" w:color="000000" w:sz="6" w:space="0"/>
            </w:tcBorders>
            <w:vAlign w:val="center"/>
          </w:tcPr>
          <w:p w14:paraId="357B8C92">
            <w:pPr>
              <w:pStyle w:val="33"/>
              <w:rPr>
                <w:color w:val="auto"/>
              </w:rPr>
            </w:pPr>
            <w:r>
              <w:rPr>
                <w:color w:val="auto"/>
              </w:rPr>
              <w:t>0.4</w:t>
            </w:r>
          </w:p>
        </w:tc>
        <w:tc>
          <w:tcPr>
            <w:tcW w:w="10721" w:type="dxa"/>
            <w:gridSpan w:val="7"/>
            <w:tcBorders>
              <w:top w:val="single" w:color="000000" w:sz="6" w:space="0"/>
              <w:left w:val="single" w:color="000000" w:sz="6" w:space="0"/>
              <w:bottom w:val="single" w:color="000000" w:sz="6" w:space="0"/>
              <w:right w:val="single" w:color="000000" w:sz="6" w:space="0"/>
            </w:tcBorders>
            <w:vAlign w:val="center"/>
          </w:tcPr>
          <w:p w14:paraId="5FCC84BE">
            <w:pPr>
              <w:pStyle w:val="33"/>
              <w:rPr>
                <w:color w:val="auto"/>
              </w:rPr>
            </w:pPr>
            <w:r>
              <w:rPr>
                <w:color w:val="auto"/>
              </w:rPr>
              <w:t>参见</w:t>
            </w:r>
            <w:r>
              <w:rPr>
                <w:rFonts w:hint="eastAsia"/>
                <w:color w:val="auto"/>
              </w:rPr>
              <w:t>下表</w:t>
            </w:r>
          </w:p>
        </w:tc>
      </w:tr>
      <w:tr w14:paraId="545B24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0" w:hRule="atLeast"/>
        </w:trPr>
        <w:tc>
          <w:tcPr>
            <w:tcW w:w="13974" w:type="dxa"/>
            <w:gridSpan w:val="10"/>
            <w:tcBorders>
              <w:top w:val="single" w:color="000000" w:sz="6" w:space="0"/>
              <w:left w:val="single" w:color="000000" w:sz="6" w:space="0"/>
              <w:bottom w:val="single" w:color="000000" w:sz="6" w:space="0"/>
              <w:right w:val="single" w:color="000000" w:sz="6" w:space="0"/>
            </w:tcBorders>
            <w:vAlign w:val="center"/>
          </w:tcPr>
          <w:p w14:paraId="512A06FE">
            <w:pPr>
              <w:pStyle w:val="33"/>
              <w:rPr>
                <w:color w:val="auto"/>
              </w:rPr>
            </w:pPr>
            <w:r>
              <w:rPr>
                <w:color w:val="auto"/>
              </w:rPr>
              <w:t>注：1、综合能耗</w:t>
            </w:r>
            <w:r>
              <w:rPr>
                <w:rFonts w:hint="eastAsia"/>
                <w:color w:val="auto"/>
              </w:rPr>
              <w:t>指标只限</w:t>
            </w:r>
            <w:r>
              <w:rPr>
                <w:color w:val="auto"/>
              </w:rPr>
              <w:t>纸机抄造</w:t>
            </w:r>
            <w:r>
              <w:rPr>
                <w:rFonts w:hint="eastAsia"/>
                <w:color w:val="auto"/>
              </w:rPr>
              <w:t>和涂布</w:t>
            </w:r>
            <w:r>
              <w:rPr>
                <w:color w:val="auto"/>
              </w:rPr>
              <w:t>过程。2、</w:t>
            </w:r>
            <w:r>
              <w:rPr>
                <w:rFonts w:hint="eastAsia"/>
                <w:color w:val="auto"/>
              </w:rPr>
              <w:t>下表</w:t>
            </w:r>
            <w:r>
              <w:rPr>
                <w:color w:val="auto"/>
              </w:rPr>
              <w:t>计算结果为本表的一部分，计算方法与本表其他指标相同。</w:t>
            </w:r>
          </w:p>
        </w:tc>
      </w:tr>
    </w:tbl>
    <w:p w14:paraId="47A46C18">
      <w:pPr>
        <w:ind w:firstLine="480"/>
        <w:rPr>
          <w:color w:val="auto"/>
        </w:rPr>
      </w:pPr>
      <w:r>
        <w:rPr>
          <w:color w:val="auto"/>
        </w:rPr>
        <w:br w:type="page"/>
      </w:r>
    </w:p>
    <w:p w14:paraId="09D39FF3">
      <w:pPr>
        <w:pStyle w:val="7"/>
        <w:rPr>
          <w:color w:val="auto"/>
        </w:rPr>
      </w:pPr>
      <w:r>
        <w:rPr>
          <w:rFonts w:hint="eastAsia"/>
          <w:color w:val="auto"/>
        </w:rPr>
        <w:t>纸产品企业定性评价指标项目及权重</w:t>
      </w:r>
    </w:p>
    <w:tbl>
      <w:tblPr>
        <w:tblStyle w:val="26"/>
        <w:tblW w:w="13974" w:type="dxa"/>
        <w:tblInd w:w="0"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506"/>
        <w:gridCol w:w="1107"/>
        <w:gridCol w:w="947"/>
        <w:gridCol w:w="763"/>
        <w:gridCol w:w="1462"/>
        <w:gridCol w:w="1056"/>
        <w:gridCol w:w="2717"/>
        <w:gridCol w:w="75"/>
        <w:gridCol w:w="2655"/>
        <w:gridCol w:w="1462"/>
        <w:gridCol w:w="1224"/>
      </w:tblGrid>
      <w:tr w14:paraId="58682C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blHeader/>
        </w:trPr>
        <w:tc>
          <w:tcPr>
            <w:tcW w:w="506" w:type="dxa"/>
            <w:tcBorders>
              <w:top w:val="single" w:color="000000" w:sz="6" w:space="0"/>
              <w:left w:val="single" w:color="000000" w:sz="6" w:space="0"/>
              <w:bottom w:val="single" w:color="000000" w:sz="6" w:space="0"/>
              <w:right w:val="single" w:color="000000" w:sz="6" w:space="0"/>
            </w:tcBorders>
            <w:vAlign w:val="center"/>
          </w:tcPr>
          <w:p w14:paraId="16ABEED8">
            <w:pPr>
              <w:pStyle w:val="33"/>
              <w:rPr>
                <w:color w:val="auto"/>
              </w:rPr>
            </w:pPr>
            <w:r>
              <w:rPr>
                <w:color w:val="auto"/>
              </w:rPr>
              <w:t>序号</w:t>
            </w:r>
          </w:p>
        </w:tc>
        <w:tc>
          <w:tcPr>
            <w:tcW w:w="1107" w:type="dxa"/>
            <w:tcBorders>
              <w:top w:val="single" w:color="000000" w:sz="6" w:space="0"/>
              <w:left w:val="single" w:color="000000" w:sz="6" w:space="0"/>
              <w:bottom w:val="single" w:color="000000" w:sz="6" w:space="0"/>
              <w:right w:val="single" w:color="000000" w:sz="6" w:space="0"/>
            </w:tcBorders>
            <w:vAlign w:val="center"/>
          </w:tcPr>
          <w:p w14:paraId="5CF68578">
            <w:pPr>
              <w:pStyle w:val="33"/>
              <w:rPr>
                <w:color w:val="auto"/>
              </w:rPr>
            </w:pPr>
            <w:r>
              <w:rPr>
                <w:color w:val="auto"/>
              </w:rPr>
              <w:t>一级指标</w:t>
            </w:r>
          </w:p>
        </w:tc>
        <w:tc>
          <w:tcPr>
            <w:tcW w:w="947" w:type="dxa"/>
            <w:tcBorders>
              <w:top w:val="single" w:color="000000" w:sz="6" w:space="0"/>
              <w:left w:val="single" w:color="000000" w:sz="6" w:space="0"/>
              <w:bottom w:val="single" w:color="000000" w:sz="6" w:space="0"/>
              <w:right w:val="single" w:color="000000" w:sz="6" w:space="0"/>
            </w:tcBorders>
            <w:vAlign w:val="center"/>
          </w:tcPr>
          <w:p w14:paraId="786B44DA">
            <w:pPr>
              <w:pStyle w:val="33"/>
              <w:rPr>
                <w:color w:val="auto"/>
              </w:rPr>
            </w:pPr>
            <w:r>
              <w:rPr>
                <w:color w:val="auto"/>
              </w:rPr>
              <w:t>指标分值</w:t>
            </w: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463D4D7D">
            <w:pPr>
              <w:pStyle w:val="33"/>
              <w:rPr>
                <w:color w:val="auto"/>
              </w:rPr>
            </w:pPr>
            <w:r>
              <w:rPr>
                <w:color w:val="auto"/>
              </w:rPr>
              <w:t>二级指标</w:t>
            </w:r>
          </w:p>
        </w:tc>
        <w:tc>
          <w:tcPr>
            <w:tcW w:w="1056" w:type="dxa"/>
            <w:tcBorders>
              <w:top w:val="single" w:color="000000" w:sz="6" w:space="0"/>
              <w:left w:val="single" w:color="000000" w:sz="6" w:space="0"/>
              <w:bottom w:val="single" w:color="000000" w:sz="6" w:space="0"/>
              <w:right w:val="single" w:color="000000" w:sz="6" w:space="0"/>
            </w:tcBorders>
            <w:vAlign w:val="center"/>
          </w:tcPr>
          <w:p w14:paraId="38D29CA3">
            <w:pPr>
              <w:pStyle w:val="33"/>
              <w:rPr>
                <w:b/>
                <w:bCs/>
                <w:color w:val="auto"/>
              </w:rPr>
            </w:pPr>
            <w:r>
              <w:rPr>
                <w:b/>
                <w:bCs/>
                <w:color w:val="auto"/>
              </w:rPr>
              <w:t>指标分值</w:t>
            </w:r>
          </w:p>
        </w:tc>
        <w:tc>
          <w:tcPr>
            <w:tcW w:w="2792" w:type="dxa"/>
            <w:gridSpan w:val="2"/>
            <w:tcBorders>
              <w:top w:val="single" w:color="000000" w:sz="6" w:space="0"/>
              <w:left w:val="single" w:color="000000" w:sz="6" w:space="0"/>
              <w:bottom w:val="single" w:color="000000" w:sz="6" w:space="0"/>
              <w:right w:val="single" w:color="000000" w:sz="6" w:space="0"/>
            </w:tcBorders>
            <w:vAlign w:val="center"/>
          </w:tcPr>
          <w:p w14:paraId="02CFE618">
            <w:pPr>
              <w:pStyle w:val="33"/>
              <w:rPr>
                <w:b/>
                <w:bCs/>
                <w:color w:val="auto"/>
              </w:rPr>
            </w:pPr>
            <w:r>
              <w:rPr>
                <w:b/>
                <w:bCs/>
                <w:color w:val="auto"/>
              </w:rPr>
              <w:t>I级基准值</w:t>
            </w:r>
          </w:p>
        </w:tc>
        <w:tc>
          <w:tcPr>
            <w:tcW w:w="2655" w:type="dxa"/>
            <w:tcBorders>
              <w:top w:val="single" w:color="000000" w:sz="6" w:space="0"/>
              <w:left w:val="single" w:color="000000" w:sz="6" w:space="0"/>
              <w:bottom w:val="single" w:color="000000" w:sz="6" w:space="0"/>
              <w:right w:val="single" w:color="000000" w:sz="6" w:space="0"/>
            </w:tcBorders>
            <w:vAlign w:val="center"/>
          </w:tcPr>
          <w:p w14:paraId="7CBAE821">
            <w:pPr>
              <w:pStyle w:val="33"/>
              <w:rPr>
                <w:b/>
                <w:bCs/>
                <w:color w:val="auto"/>
              </w:rPr>
            </w:pPr>
            <w:r>
              <w:rPr>
                <w:b/>
                <w:bCs/>
                <w:color w:val="auto"/>
              </w:rPr>
              <w:t>Ⅱ级基准值</w:t>
            </w:r>
          </w:p>
        </w:tc>
        <w:tc>
          <w:tcPr>
            <w:tcW w:w="1462" w:type="dxa"/>
            <w:tcBorders>
              <w:top w:val="single" w:color="000000" w:sz="6" w:space="0"/>
              <w:left w:val="single" w:color="000000" w:sz="6" w:space="0"/>
              <w:bottom w:val="single" w:color="000000" w:sz="6" w:space="0"/>
              <w:right w:val="single" w:color="000000" w:sz="6" w:space="0"/>
            </w:tcBorders>
            <w:vAlign w:val="center"/>
          </w:tcPr>
          <w:p w14:paraId="296829C9">
            <w:pPr>
              <w:pStyle w:val="33"/>
              <w:rPr>
                <w:b/>
                <w:bCs/>
                <w:color w:val="auto"/>
              </w:rPr>
            </w:pPr>
            <w:r>
              <w:rPr>
                <w:b/>
                <w:bCs/>
                <w:color w:val="auto"/>
              </w:rPr>
              <w:t>Ⅲ级基准值</w:t>
            </w:r>
          </w:p>
        </w:tc>
        <w:tc>
          <w:tcPr>
            <w:tcW w:w="1224" w:type="dxa"/>
            <w:tcBorders>
              <w:top w:val="single" w:color="000000" w:sz="6" w:space="0"/>
              <w:left w:val="single" w:color="000000" w:sz="6" w:space="0"/>
              <w:bottom w:val="single" w:color="000000" w:sz="6" w:space="0"/>
              <w:right w:val="single" w:color="000000" w:sz="6" w:space="0"/>
            </w:tcBorders>
            <w:vAlign w:val="center"/>
          </w:tcPr>
          <w:p w14:paraId="1C17CEE0">
            <w:pPr>
              <w:pStyle w:val="33"/>
              <w:rPr>
                <w:b/>
                <w:bCs/>
                <w:color w:val="auto"/>
              </w:rPr>
            </w:pPr>
            <w:r>
              <w:rPr>
                <w:b/>
                <w:bCs/>
                <w:color w:val="auto"/>
              </w:rPr>
              <w:t>项目情况</w:t>
            </w:r>
          </w:p>
        </w:tc>
      </w:tr>
      <w:tr w14:paraId="6582F3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2F7E707A">
            <w:pPr>
              <w:pStyle w:val="33"/>
              <w:rPr>
                <w:color w:val="auto"/>
              </w:rPr>
            </w:pPr>
            <w:r>
              <w:rPr>
                <w:color w:val="auto"/>
              </w:rPr>
              <w:t>1</w:t>
            </w:r>
          </w:p>
        </w:tc>
        <w:tc>
          <w:tcPr>
            <w:tcW w:w="1107" w:type="dxa"/>
            <w:vMerge w:val="restart"/>
            <w:tcBorders>
              <w:top w:val="single" w:color="000000" w:sz="6" w:space="0"/>
              <w:left w:val="single" w:color="000000" w:sz="6" w:space="0"/>
              <w:bottom w:val="single" w:color="000000" w:sz="6" w:space="0"/>
              <w:right w:val="single" w:color="000000" w:sz="6" w:space="0"/>
            </w:tcBorders>
            <w:vAlign w:val="center"/>
          </w:tcPr>
          <w:p w14:paraId="20ADC859">
            <w:pPr>
              <w:pStyle w:val="33"/>
              <w:rPr>
                <w:color w:val="auto"/>
              </w:rPr>
            </w:pPr>
            <w:r>
              <w:rPr>
                <w:color w:val="auto"/>
              </w:rPr>
              <w:t>生产工艺及 装备指标</w:t>
            </w:r>
          </w:p>
        </w:tc>
        <w:tc>
          <w:tcPr>
            <w:tcW w:w="947" w:type="dxa"/>
            <w:vMerge w:val="restart"/>
            <w:tcBorders>
              <w:top w:val="single" w:color="000000" w:sz="6" w:space="0"/>
              <w:left w:val="single" w:color="000000" w:sz="6" w:space="0"/>
              <w:bottom w:val="single" w:color="000000" w:sz="6" w:space="0"/>
              <w:right w:val="single" w:color="000000" w:sz="6" w:space="0"/>
            </w:tcBorders>
            <w:vAlign w:val="center"/>
          </w:tcPr>
          <w:p w14:paraId="45EBB182">
            <w:pPr>
              <w:pStyle w:val="33"/>
              <w:rPr>
                <w:color w:val="auto"/>
              </w:rPr>
            </w:pPr>
            <w:r>
              <w:rPr>
                <w:color w:val="auto"/>
              </w:rPr>
              <w:t>0.375</w:t>
            </w: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7E05A463">
            <w:pPr>
              <w:pStyle w:val="33"/>
              <w:rPr>
                <w:color w:val="auto"/>
              </w:rPr>
            </w:pPr>
            <w:r>
              <w:rPr>
                <w:color w:val="auto"/>
              </w:rPr>
              <w:t>真空系统</w:t>
            </w:r>
          </w:p>
        </w:tc>
        <w:tc>
          <w:tcPr>
            <w:tcW w:w="1056" w:type="dxa"/>
            <w:tcBorders>
              <w:top w:val="single" w:color="000000" w:sz="6" w:space="0"/>
              <w:left w:val="single" w:color="000000" w:sz="6" w:space="0"/>
              <w:bottom w:val="single" w:color="000000" w:sz="6" w:space="0"/>
              <w:right w:val="single" w:color="000000" w:sz="6" w:space="0"/>
            </w:tcBorders>
            <w:vAlign w:val="center"/>
          </w:tcPr>
          <w:p w14:paraId="398053D7">
            <w:pPr>
              <w:pStyle w:val="33"/>
              <w:rPr>
                <w:color w:val="auto"/>
              </w:rPr>
            </w:pPr>
            <w:r>
              <w:rPr>
                <w:color w:val="auto"/>
              </w:rPr>
              <w:t>0.2</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0B1D2BE9">
            <w:pPr>
              <w:pStyle w:val="33"/>
              <w:rPr>
                <w:color w:val="auto"/>
              </w:rPr>
            </w:pPr>
            <w:r>
              <w:rPr>
                <w:color w:val="auto"/>
              </w:rPr>
              <w:t>循环使用水</w:t>
            </w:r>
          </w:p>
        </w:tc>
        <w:tc>
          <w:tcPr>
            <w:tcW w:w="1224" w:type="dxa"/>
            <w:tcBorders>
              <w:top w:val="single" w:color="000000" w:sz="6" w:space="0"/>
              <w:left w:val="single" w:color="000000" w:sz="6" w:space="0"/>
              <w:bottom w:val="single" w:color="000000" w:sz="6" w:space="0"/>
              <w:right w:val="single" w:color="000000" w:sz="6" w:space="0"/>
            </w:tcBorders>
            <w:vAlign w:val="center"/>
          </w:tcPr>
          <w:p w14:paraId="792A4416">
            <w:pPr>
              <w:pStyle w:val="33"/>
              <w:rPr>
                <w:color w:val="auto"/>
              </w:rPr>
            </w:pPr>
            <w:r>
              <w:rPr>
                <w:color w:val="auto"/>
              </w:rPr>
              <w:t>符合，I级</w:t>
            </w:r>
          </w:p>
        </w:tc>
      </w:tr>
      <w:tr w14:paraId="33EBB0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6BD3E51E">
            <w:pPr>
              <w:pStyle w:val="33"/>
              <w:rPr>
                <w:color w:val="auto"/>
              </w:rPr>
            </w:pPr>
            <w:r>
              <w:rPr>
                <w:color w:val="auto"/>
              </w:rPr>
              <w:t>2</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3B09A7EF">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7C7C555C">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48E3ACF2">
            <w:pPr>
              <w:pStyle w:val="33"/>
              <w:rPr>
                <w:color w:val="auto"/>
              </w:rPr>
            </w:pPr>
            <w:r>
              <w:rPr>
                <w:color w:val="auto"/>
              </w:rPr>
              <w:t>冷凝水回收系统</w:t>
            </w:r>
          </w:p>
        </w:tc>
        <w:tc>
          <w:tcPr>
            <w:tcW w:w="1056" w:type="dxa"/>
            <w:tcBorders>
              <w:top w:val="single" w:color="000000" w:sz="6" w:space="0"/>
              <w:left w:val="single" w:color="000000" w:sz="6" w:space="0"/>
              <w:bottom w:val="single" w:color="000000" w:sz="6" w:space="0"/>
              <w:right w:val="single" w:color="000000" w:sz="6" w:space="0"/>
            </w:tcBorders>
            <w:vAlign w:val="center"/>
          </w:tcPr>
          <w:p w14:paraId="616EA9F0">
            <w:pPr>
              <w:pStyle w:val="33"/>
              <w:rPr>
                <w:color w:val="auto"/>
              </w:rPr>
            </w:pPr>
            <w:r>
              <w:rPr>
                <w:color w:val="auto"/>
              </w:rPr>
              <w:t>0.2</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6D7A36D9">
            <w:pPr>
              <w:pStyle w:val="33"/>
              <w:rPr>
                <w:color w:val="auto"/>
              </w:rPr>
            </w:pPr>
            <w:r>
              <w:rPr>
                <w:color w:val="auto"/>
              </w:rPr>
              <w:t>采用冷凝水回收系统</w:t>
            </w:r>
          </w:p>
        </w:tc>
        <w:tc>
          <w:tcPr>
            <w:tcW w:w="1224" w:type="dxa"/>
            <w:tcBorders>
              <w:top w:val="single" w:color="000000" w:sz="6" w:space="0"/>
              <w:left w:val="single" w:color="000000" w:sz="6" w:space="0"/>
              <w:bottom w:val="single" w:color="000000" w:sz="6" w:space="0"/>
              <w:right w:val="single" w:color="000000" w:sz="6" w:space="0"/>
            </w:tcBorders>
            <w:vAlign w:val="center"/>
          </w:tcPr>
          <w:p w14:paraId="04971ACC">
            <w:pPr>
              <w:pStyle w:val="33"/>
              <w:rPr>
                <w:color w:val="auto"/>
              </w:rPr>
            </w:pPr>
            <w:r>
              <w:rPr>
                <w:color w:val="auto"/>
              </w:rPr>
              <w:t>符合，I级</w:t>
            </w:r>
          </w:p>
        </w:tc>
      </w:tr>
      <w:tr w14:paraId="6A2C14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73D513D6">
            <w:pPr>
              <w:pStyle w:val="33"/>
              <w:rPr>
                <w:color w:val="auto"/>
              </w:rPr>
            </w:pPr>
            <w:r>
              <w:rPr>
                <w:color w:val="auto"/>
              </w:rPr>
              <w:t>3</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5066E65D">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16A04DBD">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1ED2F7DF">
            <w:pPr>
              <w:pStyle w:val="33"/>
              <w:rPr>
                <w:color w:val="auto"/>
              </w:rPr>
            </w:pPr>
            <w:r>
              <w:rPr>
                <w:color w:val="auto"/>
              </w:rPr>
              <w:t>废水再利用系统</w:t>
            </w:r>
          </w:p>
        </w:tc>
        <w:tc>
          <w:tcPr>
            <w:tcW w:w="1056" w:type="dxa"/>
            <w:tcBorders>
              <w:top w:val="single" w:color="000000" w:sz="6" w:space="0"/>
              <w:left w:val="single" w:color="000000" w:sz="6" w:space="0"/>
              <w:bottom w:val="single" w:color="000000" w:sz="6" w:space="0"/>
              <w:right w:val="single" w:color="000000" w:sz="6" w:space="0"/>
            </w:tcBorders>
            <w:vAlign w:val="center"/>
          </w:tcPr>
          <w:p w14:paraId="1E7BDFEF">
            <w:pPr>
              <w:pStyle w:val="33"/>
              <w:rPr>
                <w:color w:val="auto"/>
              </w:rPr>
            </w:pPr>
            <w:r>
              <w:rPr>
                <w:color w:val="auto"/>
              </w:rPr>
              <w:t>0.2</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114A96F7">
            <w:pPr>
              <w:pStyle w:val="33"/>
              <w:rPr>
                <w:color w:val="auto"/>
              </w:rPr>
            </w:pPr>
            <w:r>
              <w:rPr>
                <w:color w:val="auto"/>
              </w:rPr>
              <w:t>拥有白水回收利用系统</w:t>
            </w:r>
          </w:p>
        </w:tc>
        <w:tc>
          <w:tcPr>
            <w:tcW w:w="1224" w:type="dxa"/>
            <w:tcBorders>
              <w:top w:val="single" w:color="000000" w:sz="6" w:space="0"/>
              <w:left w:val="single" w:color="000000" w:sz="6" w:space="0"/>
              <w:bottom w:val="single" w:color="000000" w:sz="6" w:space="0"/>
              <w:right w:val="single" w:color="000000" w:sz="6" w:space="0"/>
            </w:tcBorders>
            <w:vAlign w:val="center"/>
          </w:tcPr>
          <w:p w14:paraId="758E2B9D">
            <w:pPr>
              <w:pStyle w:val="33"/>
              <w:rPr>
                <w:color w:val="auto"/>
              </w:rPr>
            </w:pPr>
            <w:r>
              <w:rPr>
                <w:color w:val="auto"/>
              </w:rPr>
              <w:t>符合，I级</w:t>
            </w:r>
          </w:p>
        </w:tc>
      </w:tr>
      <w:tr w14:paraId="3106BC1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381A82A2">
            <w:pPr>
              <w:pStyle w:val="33"/>
              <w:rPr>
                <w:color w:val="auto"/>
              </w:rPr>
            </w:pPr>
            <w:r>
              <w:rPr>
                <w:color w:val="auto"/>
              </w:rPr>
              <w:t>4</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6C12536C">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16173685">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13934F88">
            <w:pPr>
              <w:pStyle w:val="33"/>
              <w:rPr>
                <w:color w:val="auto"/>
              </w:rPr>
            </w:pPr>
            <w:r>
              <w:rPr>
                <w:color w:val="auto"/>
              </w:rPr>
              <w:t>填料回收系统</w:t>
            </w:r>
          </w:p>
        </w:tc>
        <w:tc>
          <w:tcPr>
            <w:tcW w:w="1056" w:type="dxa"/>
            <w:tcBorders>
              <w:top w:val="single" w:color="000000" w:sz="6" w:space="0"/>
              <w:left w:val="single" w:color="000000" w:sz="6" w:space="0"/>
              <w:bottom w:val="single" w:color="000000" w:sz="6" w:space="0"/>
              <w:right w:val="single" w:color="000000" w:sz="6" w:space="0"/>
            </w:tcBorders>
            <w:vAlign w:val="center"/>
          </w:tcPr>
          <w:p w14:paraId="155EC543">
            <w:pPr>
              <w:pStyle w:val="33"/>
              <w:rPr>
                <w:color w:val="auto"/>
              </w:rPr>
            </w:pPr>
            <w:r>
              <w:rPr>
                <w:color w:val="auto"/>
              </w:rPr>
              <w:t>0.13</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6FC25F4C">
            <w:pPr>
              <w:pStyle w:val="33"/>
              <w:rPr>
                <w:color w:val="auto"/>
              </w:rPr>
            </w:pPr>
            <w:r>
              <w:rPr>
                <w:color w:val="auto"/>
              </w:rPr>
              <w:t>拥有填料回收系统</w:t>
            </w:r>
          </w:p>
        </w:tc>
        <w:tc>
          <w:tcPr>
            <w:tcW w:w="1224" w:type="dxa"/>
            <w:tcBorders>
              <w:top w:val="single" w:color="000000" w:sz="6" w:space="0"/>
              <w:left w:val="single" w:color="000000" w:sz="6" w:space="0"/>
              <w:bottom w:val="single" w:color="000000" w:sz="6" w:space="0"/>
              <w:right w:val="single" w:color="000000" w:sz="6" w:space="0"/>
            </w:tcBorders>
            <w:vAlign w:val="center"/>
          </w:tcPr>
          <w:p w14:paraId="0ECEDD26">
            <w:pPr>
              <w:pStyle w:val="33"/>
              <w:rPr>
                <w:color w:val="auto"/>
              </w:rPr>
            </w:pPr>
            <w:r>
              <w:rPr>
                <w:color w:val="auto"/>
              </w:rPr>
              <w:t>符合，I级</w:t>
            </w:r>
          </w:p>
        </w:tc>
      </w:tr>
      <w:tr w14:paraId="381B2A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6A69BA08">
            <w:pPr>
              <w:pStyle w:val="33"/>
              <w:rPr>
                <w:color w:val="auto"/>
              </w:rPr>
            </w:pPr>
            <w:r>
              <w:rPr>
                <w:color w:val="auto"/>
              </w:rPr>
              <w:t>5</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7512A749">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7A88850">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47825B60">
            <w:pPr>
              <w:pStyle w:val="33"/>
              <w:rPr>
                <w:color w:val="auto"/>
              </w:rPr>
            </w:pPr>
            <w:r>
              <w:rPr>
                <w:color w:val="auto"/>
              </w:rPr>
              <w:t>汽罩排风余热回收系统</w:t>
            </w:r>
          </w:p>
        </w:tc>
        <w:tc>
          <w:tcPr>
            <w:tcW w:w="1056" w:type="dxa"/>
            <w:tcBorders>
              <w:top w:val="single" w:color="000000" w:sz="6" w:space="0"/>
              <w:left w:val="single" w:color="000000" w:sz="6" w:space="0"/>
              <w:bottom w:val="single" w:color="000000" w:sz="6" w:space="0"/>
              <w:right w:val="single" w:color="000000" w:sz="6" w:space="0"/>
            </w:tcBorders>
            <w:vAlign w:val="center"/>
          </w:tcPr>
          <w:p w14:paraId="6EF84472">
            <w:pPr>
              <w:pStyle w:val="33"/>
              <w:rPr>
                <w:color w:val="auto"/>
              </w:rPr>
            </w:pPr>
            <w:r>
              <w:rPr>
                <w:color w:val="auto"/>
              </w:rPr>
              <w:t>0.13</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4566A9B2">
            <w:pPr>
              <w:pStyle w:val="33"/>
              <w:rPr>
                <w:color w:val="auto"/>
              </w:rPr>
            </w:pPr>
            <w:r>
              <w:rPr>
                <w:color w:val="auto"/>
              </w:rPr>
              <w:t>采用闭式汽罩及热回收</w:t>
            </w:r>
          </w:p>
        </w:tc>
        <w:tc>
          <w:tcPr>
            <w:tcW w:w="1224" w:type="dxa"/>
            <w:tcBorders>
              <w:top w:val="single" w:color="000000" w:sz="6" w:space="0"/>
              <w:left w:val="single" w:color="000000" w:sz="6" w:space="0"/>
              <w:bottom w:val="single" w:color="000000" w:sz="6" w:space="0"/>
              <w:right w:val="single" w:color="000000" w:sz="6" w:space="0"/>
            </w:tcBorders>
            <w:vAlign w:val="center"/>
          </w:tcPr>
          <w:p w14:paraId="0E88FB3E">
            <w:pPr>
              <w:pStyle w:val="33"/>
              <w:rPr>
                <w:color w:val="auto"/>
              </w:rPr>
            </w:pPr>
            <w:r>
              <w:rPr>
                <w:color w:val="auto"/>
              </w:rPr>
              <w:t>符合，I级</w:t>
            </w:r>
          </w:p>
        </w:tc>
      </w:tr>
      <w:tr w14:paraId="7C0A5D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05358F34">
            <w:pPr>
              <w:pStyle w:val="33"/>
              <w:rPr>
                <w:color w:val="auto"/>
              </w:rPr>
            </w:pPr>
            <w:r>
              <w:rPr>
                <w:color w:val="auto"/>
              </w:rPr>
              <w:t>6</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72C367B3">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4D6E2581">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15A199DC">
            <w:pPr>
              <w:pStyle w:val="33"/>
              <w:rPr>
                <w:color w:val="auto"/>
              </w:rPr>
            </w:pPr>
            <w:r>
              <w:rPr>
                <w:color w:val="auto"/>
              </w:rPr>
              <w:t>能源利用</w:t>
            </w:r>
          </w:p>
        </w:tc>
        <w:tc>
          <w:tcPr>
            <w:tcW w:w="1056" w:type="dxa"/>
            <w:tcBorders>
              <w:top w:val="single" w:color="000000" w:sz="6" w:space="0"/>
              <w:left w:val="single" w:color="000000" w:sz="6" w:space="0"/>
              <w:bottom w:val="single" w:color="000000" w:sz="6" w:space="0"/>
              <w:right w:val="single" w:color="000000" w:sz="6" w:space="0"/>
            </w:tcBorders>
            <w:vAlign w:val="center"/>
          </w:tcPr>
          <w:p w14:paraId="73985826">
            <w:pPr>
              <w:pStyle w:val="33"/>
              <w:rPr>
                <w:color w:val="auto"/>
              </w:rPr>
            </w:pPr>
            <w:r>
              <w:rPr>
                <w:color w:val="auto"/>
              </w:rPr>
              <w:t>0.14</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367A91BB">
            <w:pPr>
              <w:pStyle w:val="33"/>
              <w:rPr>
                <w:color w:val="auto"/>
              </w:rPr>
            </w:pPr>
            <w:r>
              <w:rPr>
                <w:color w:val="auto"/>
              </w:rPr>
              <w:t>拥有热电联产设施</w:t>
            </w:r>
          </w:p>
        </w:tc>
        <w:tc>
          <w:tcPr>
            <w:tcW w:w="1224" w:type="dxa"/>
            <w:tcBorders>
              <w:top w:val="single" w:color="000000" w:sz="6" w:space="0"/>
              <w:left w:val="single" w:color="000000" w:sz="6" w:space="0"/>
              <w:bottom w:val="single" w:color="000000" w:sz="6" w:space="0"/>
              <w:right w:val="single" w:color="000000" w:sz="6" w:space="0"/>
            </w:tcBorders>
            <w:vAlign w:val="center"/>
          </w:tcPr>
          <w:p w14:paraId="17358A61">
            <w:pPr>
              <w:pStyle w:val="33"/>
              <w:rPr>
                <w:color w:val="auto"/>
              </w:rPr>
            </w:pPr>
            <w:r>
              <w:rPr>
                <w:color w:val="auto"/>
              </w:rPr>
              <w:t>符合，I级</w:t>
            </w:r>
          </w:p>
        </w:tc>
      </w:tr>
      <w:tr w14:paraId="28B4F0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vMerge w:val="restart"/>
            <w:tcBorders>
              <w:top w:val="single" w:color="000000" w:sz="6" w:space="0"/>
              <w:left w:val="single" w:color="000000" w:sz="6" w:space="0"/>
              <w:bottom w:val="single" w:color="000000" w:sz="6" w:space="0"/>
              <w:right w:val="single" w:color="000000" w:sz="6" w:space="0"/>
            </w:tcBorders>
            <w:vAlign w:val="center"/>
          </w:tcPr>
          <w:p w14:paraId="34BB05D6">
            <w:pPr>
              <w:pStyle w:val="33"/>
              <w:rPr>
                <w:color w:val="auto"/>
              </w:rPr>
            </w:pPr>
            <w:r>
              <w:rPr>
                <w:color w:val="auto"/>
              </w:rPr>
              <w:t>7</w:t>
            </w:r>
          </w:p>
        </w:tc>
        <w:tc>
          <w:tcPr>
            <w:tcW w:w="1107" w:type="dxa"/>
            <w:vMerge w:val="restart"/>
            <w:tcBorders>
              <w:top w:val="single" w:color="000000" w:sz="6" w:space="0"/>
              <w:left w:val="single" w:color="000000" w:sz="6" w:space="0"/>
              <w:bottom w:val="single" w:color="000000" w:sz="6" w:space="0"/>
              <w:right w:val="single" w:color="000000" w:sz="6" w:space="0"/>
            </w:tcBorders>
            <w:vAlign w:val="center"/>
          </w:tcPr>
          <w:p w14:paraId="05DBA50F">
            <w:pPr>
              <w:pStyle w:val="33"/>
              <w:rPr>
                <w:color w:val="auto"/>
              </w:rPr>
            </w:pPr>
            <w:r>
              <w:rPr>
                <w:color w:val="auto"/>
              </w:rPr>
              <w:t>产品特征指 标</w:t>
            </w:r>
          </w:p>
        </w:tc>
        <w:tc>
          <w:tcPr>
            <w:tcW w:w="947" w:type="dxa"/>
            <w:vMerge w:val="restart"/>
            <w:tcBorders>
              <w:top w:val="single" w:color="000000" w:sz="6" w:space="0"/>
              <w:left w:val="single" w:color="000000" w:sz="6" w:space="0"/>
              <w:bottom w:val="single" w:color="000000" w:sz="6" w:space="0"/>
              <w:right w:val="single" w:color="000000" w:sz="6" w:space="0"/>
            </w:tcBorders>
            <w:vAlign w:val="center"/>
          </w:tcPr>
          <w:p w14:paraId="5657DA68">
            <w:pPr>
              <w:pStyle w:val="33"/>
              <w:rPr>
                <w:color w:val="auto"/>
              </w:rPr>
            </w:pPr>
            <w:r>
              <w:rPr>
                <w:color w:val="auto"/>
              </w:rPr>
              <w:t>0.25</w:t>
            </w:r>
          </w:p>
        </w:tc>
        <w:tc>
          <w:tcPr>
            <w:tcW w:w="763" w:type="dxa"/>
            <w:vMerge w:val="restart"/>
            <w:tcBorders>
              <w:top w:val="single" w:color="000000" w:sz="6" w:space="0"/>
              <w:left w:val="single" w:color="000000" w:sz="6" w:space="0"/>
              <w:bottom w:val="single" w:color="000000" w:sz="6" w:space="0"/>
              <w:right w:val="single" w:color="000000" w:sz="6" w:space="0"/>
            </w:tcBorders>
            <w:vAlign w:val="center"/>
          </w:tcPr>
          <w:p w14:paraId="0362BD33">
            <w:pPr>
              <w:pStyle w:val="33"/>
              <w:rPr>
                <w:color w:val="auto"/>
              </w:rPr>
            </w:pPr>
            <w:r>
              <w:rPr>
                <w:color w:val="auto"/>
              </w:rPr>
              <w:t>*染料</w:t>
            </w:r>
          </w:p>
        </w:tc>
        <w:tc>
          <w:tcPr>
            <w:tcW w:w="1462" w:type="dxa"/>
            <w:tcBorders>
              <w:top w:val="single" w:color="000000" w:sz="6" w:space="0"/>
              <w:left w:val="single" w:color="000000" w:sz="6" w:space="0"/>
              <w:bottom w:val="single" w:color="000000" w:sz="6" w:space="0"/>
              <w:right w:val="single" w:color="000000" w:sz="6" w:space="0"/>
            </w:tcBorders>
            <w:vAlign w:val="center"/>
          </w:tcPr>
          <w:p w14:paraId="7E00F2D7">
            <w:pPr>
              <w:pStyle w:val="33"/>
              <w:rPr>
                <w:color w:val="auto"/>
              </w:rPr>
            </w:pPr>
            <w:r>
              <w:rPr>
                <w:color w:val="auto"/>
              </w:rPr>
              <w:t>新闻纸/印刷书写纸/生活用纸</w:t>
            </w:r>
          </w:p>
        </w:tc>
        <w:tc>
          <w:tcPr>
            <w:tcW w:w="1056" w:type="dxa"/>
            <w:vMerge w:val="restart"/>
            <w:tcBorders>
              <w:top w:val="single" w:color="000000" w:sz="6" w:space="0"/>
              <w:left w:val="single" w:color="000000" w:sz="6" w:space="0"/>
              <w:bottom w:val="single" w:color="000000" w:sz="6" w:space="0"/>
              <w:right w:val="single" w:color="000000" w:sz="6" w:space="0"/>
            </w:tcBorders>
            <w:vAlign w:val="center"/>
          </w:tcPr>
          <w:p w14:paraId="05710D7B">
            <w:pPr>
              <w:pStyle w:val="33"/>
              <w:rPr>
                <w:color w:val="auto"/>
              </w:rPr>
            </w:pPr>
            <w:r>
              <w:rPr>
                <w:color w:val="auto"/>
              </w:rPr>
              <w:t>0.4</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5D1EE666">
            <w:pPr>
              <w:pStyle w:val="33"/>
              <w:rPr>
                <w:color w:val="auto"/>
              </w:rPr>
            </w:pPr>
            <w:r>
              <w:rPr>
                <w:color w:val="auto"/>
              </w:rPr>
              <w:t>不使用附录2中所列染料</w:t>
            </w:r>
          </w:p>
        </w:tc>
        <w:tc>
          <w:tcPr>
            <w:tcW w:w="1224" w:type="dxa"/>
            <w:tcBorders>
              <w:top w:val="single" w:color="000000" w:sz="6" w:space="0"/>
              <w:left w:val="single" w:color="000000" w:sz="6" w:space="0"/>
              <w:bottom w:val="single" w:color="000000" w:sz="6" w:space="0"/>
              <w:right w:val="single" w:color="000000" w:sz="6" w:space="0"/>
            </w:tcBorders>
            <w:vAlign w:val="center"/>
          </w:tcPr>
          <w:p w14:paraId="0579B22C">
            <w:pPr>
              <w:pStyle w:val="33"/>
              <w:rPr>
                <w:color w:val="auto"/>
              </w:rPr>
            </w:pPr>
            <w:r>
              <w:rPr>
                <w:color w:val="auto"/>
              </w:rPr>
              <w:t>符合，I级</w:t>
            </w:r>
          </w:p>
        </w:tc>
      </w:tr>
      <w:tr w14:paraId="7A7581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vMerge w:val="continue"/>
            <w:tcBorders>
              <w:top w:val="single" w:color="000000" w:sz="6" w:space="0"/>
              <w:left w:val="single" w:color="000000" w:sz="6" w:space="0"/>
              <w:bottom w:val="single" w:color="000000" w:sz="6" w:space="0"/>
              <w:right w:val="single" w:color="000000" w:sz="6" w:space="0"/>
            </w:tcBorders>
            <w:vAlign w:val="center"/>
          </w:tcPr>
          <w:p w14:paraId="408189D1">
            <w:pPr>
              <w:pStyle w:val="33"/>
              <w:rPr>
                <w:color w:val="auto"/>
              </w:rPr>
            </w:pP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4490EB85">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06A829EE">
            <w:pPr>
              <w:pStyle w:val="33"/>
              <w:rPr>
                <w:color w:val="auto"/>
              </w:rPr>
            </w:pPr>
          </w:p>
        </w:tc>
        <w:tc>
          <w:tcPr>
            <w:tcW w:w="763" w:type="dxa"/>
            <w:vMerge w:val="continue"/>
            <w:tcBorders>
              <w:top w:val="single" w:color="000000" w:sz="6" w:space="0"/>
              <w:left w:val="single" w:color="000000" w:sz="6" w:space="0"/>
              <w:bottom w:val="single" w:color="000000" w:sz="6" w:space="0"/>
              <w:right w:val="single" w:color="000000" w:sz="6" w:space="0"/>
            </w:tcBorders>
            <w:vAlign w:val="center"/>
          </w:tcPr>
          <w:p w14:paraId="7C5D566A">
            <w:pPr>
              <w:pStyle w:val="33"/>
              <w:rPr>
                <w:color w:val="auto"/>
              </w:rPr>
            </w:pPr>
          </w:p>
        </w:tc>
        <w:tc>
          <w:tcPr>
            <w:tcW w:w="1462" w:type="dxa"/>
            <w:tcBorders>
              <w:top w:val="single" w:color="000000" w:sz="6" w:space="0"/>
              <w:left w:val="single" w:color="000000" w:sz="6" w:space="0"/>
              <w:bottom w:val="single" w:color="000000" w:sz="6" w:space="0"/>
              <w:right w:val="single" w:color="000000" w:sz="6" w:space="0"/>
            </w:tcBorders>
            <w:vAlign w:val="center"/>
          </w:tcPr>
          <w:p w14:paraId="23C9213D">
            <w:pPr>
              <w:pStyle w:val="33"/>
              <w:rPr>
                <w:color w:val="auto"/>
              </w:rPr>
            </w:pPr>
            <w:r>
              <w:rPr>
                <w:color w:val="auto"/>
              </w:rPr>
              <w:t>涂布纸</w:t>
            </w:r>
          </w:p>
        </w:tc>
        <w:tc>
          <w:tcPr>
            <w:tcW w:w="1056" w:type="dxa"/>
            <w:vMerge w:val="continue"/>
            <w:tcBorders>
              <w:top w:val="single" w:color="000000" w:sz="6" w:space="0"/>
              <w:left w:val="single" w:color="000000" w:sz="6" w:space="0"/>
              <w:bottom w:val="single" w:color="000000" w:sz="6" w:space="0"/>
              <w:right w:val="single" w:color="000000" w:sz="6" w:space="0"/>
            </w:tcBorders>
            <w:vAlign w:val="center"/>
          </w:tcPr>
          <w:p w14:paraId="760CD708">
            <w:pPr>
              <w:pStyle w:val="33"/>
              <w:rPr>
                <w:color w:val="auto"/>
              </w:rPr>
            </w:pP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65A23EBF">
            <w:pPr>
              <w:pStyle w:val="33"/>
              <w:rPr>
                <w:color w:val="auto"/>
              </w:rPr>
            </w:pPr>
            <w:r>
              <w:rPr>
                <w:color w:val="auto"/>
              </w:rPr>
              <w:t>不使用附录2中所列染料，不使用含甲醛的涂料</w:t>
            </w:r>
          </w:p>
        </w:tc>
        <w:tc>
          <w:tcPr>
            <w:tcW w:w="1224" w:type="dxa"/>
            <w:tcBorders>
              <w:top w:val="single" w:color="000000" w:sz="6" w:space="0"/>
              <w:left w:val="single" w:color="000000" w:sz="6" w:space="0"/>
              <w:bottom w:val="single" w:color="000000" w:sz="6" w:space="0"/>
              <w:right w:val="single" w:color="000000" w:sz="6" w:space="0"/>
            </w:tcBorders>
            <w:vAlign w:val="center"/>
          </w:tcPr>
          <w:p w14:paraId="1C4E1482">
            <w:pPr>
              <w:pStyle w:val="33"/>
              <w:rPr>
                <w:color w:val="auto"/>
              </w:rPr>
            </w:pPr>
            <w:r>
              <w:rPr>
                <w:color w:val="auto"/>
              </w:rPr>
              <w:t>符合，I级</w:t>
            </w:r>
          </w:p>
        </w:tc>
      </w:tr>
      <w:tr w14:paraId="50FF29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08E33C5D">
            <w:pPr>
              <w:pStyle w:val="33"/>
              <w:rPr>
                <w:color w:val="auto"/>
              </w:rPr>
            </w:pPr>
            <w:r>
              <w:rPr>
                <w:color w:val="auto"/>
              </w:rPr>
              <w:t>8</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108F8166">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C63CFB6">
            <w:pPr>
              <w:pStyle w:val="33"/>
              <w:rPr>
                <w:color w:val="auto"/>
              </w:rPr>
            </w:pPr>
          </w:p>
        </w:tc>
        <w:tc>
          <w:tcPr>
            <w:tcW w:w="763" w:type="dxa"/>
            <w:tcBorders>
              <w:top w:val="single" w:color="000000" w:sz="6" w:space="0"/>
              <w:left w:val="single" w:color="000000" w:sz="6" w:space="0"/>
              <w:bottom w:val="single" w:color="000000" w:sz="6" w:space="0"/>
              <w:right w:val="single" w:color="000000" w:sz="6" w:space="0"/>
            </w:tcBorders>
            <w:vAlign w:val="center"/>
          </w:tcPr>
          <w:p w14:paraId="4C247905">
            <w:pPr>
              <w:pStyle w:val="33"/>
              <w:rPr>
                <w:color w:val="auto"/>
              </w:rPr>
            </w:pPr>
            <w:r>
              <w:rPr>
                <w:color w:val="auto"/>
              </w:rPr>
              <w:t>*增白剂</w:t>
            </w:r>
          </w:p>
        </w:tc>
        <w:tc>
          <w:tcPr>
            <w:tcW w:w="1462" w:type="dxa"/>
            <w:tcBorders>
              <w:top w:val="single" w:color="000000" w:sz="6" w:space="0"/>
              <w:left w:val="single" w:color="000000" w:sz="6" w:space="0"/>
              <w:bottom w:val="single" w:color="000000" w:sz="6" w:space="0"/>
              <w:right w:val="single" w:color="000000" w:sz="6" w:space="0"/>
            </w:tcBorders>
            <w:vAlign w:val="center"/>
          </w:tcPr>
          <w:p w14:paraId="2E43910E">
            <w:pPr>
              <w:pStyle w:val="33"/>
              <w:rPr>
                <w:color w:val="auto"/>
              </w:rPr>
            </w:pPr>
            <w:r>
              <w:rPr>
                <w:color w:val="auto"/>
              </w:rPr>
              <w:t>纸巾纸/ 食品包装纸/纸杯</w:t>
            </w:r>
          </w:p>
        </w:tc>
        <w:tc>
          <w:tcPr>
            <w:tcW w:w="1056" w:type="dxa"/>
            <w:tcBorders>
              <w:top w:val="single" w:color="000000" w:sz="6" w:space="0"/>
              <w:left w:val="single" w:color="000000" w:sz="6" w:space="0"/>
              <w:bottom w:val="single" w:color="000000" w:sz="6" w:space="0"/>
              <w:right w:val="single" w:color="000000" w:sz="6" w:space="0"/>
            </w:tcBorders>
            <w:vAlign w:val="center"/>
          </w:tcPr>
          <w:p w14:paraId="71209090">
            <w:pPr>
              <w:pStyle w:val="33"/>
              <w:rPr>
                <w:color w:val="auto"/>
              </w:rPr>
            </w:pPr>
            <w:r>
              <w:rPr>
                <w:color w:val="auto"/>
              </w:rPr>
              <w:t>0.2</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0956D349">
            <w:pPr>
              <w:pStyle w:val="33"/>
              <w:rPr>
                <w:color w:val="auto"/>
              </w:rPr>
            </w:pPr>
            <w:r>
              <w:rPr>
                <w:color w:val="auto"/>
              </w:rPr>
              <w:t>不使用荧光增白剂</w:t>
            </w:r>
          </w:p>
        </w:tc>
        <w:tc>
          <w:tcPr>
            <w:tcW w:w="1224" w:type="dxa"/>
            <w:tcBorders>
              <w:top w:val="single" w:color="000000" w:sz="6" w:space="0"/>
              <w:left w:val="single" w:color="000000" w:sz="6" w:space="0"/>
              <w:bottom w:val="single" w:color="000000" w:sz="6" w:space="0"/>
              <w:right w:val="single" w:color="000000" w:sz="6" w:space="0"/>
            </w:tcBorders>
            <w:vAlign w:val="center"/>
          </w:tcPr>
          <w:p w14:paraId="62F44B71">
            <w:pPr>
              <w:pStyle w:val="33"/>
              <w:rPr>
                <w:color w:val="auto"/>
              </w:rPr>
            </w:pPr>
            <w:r>
              <w:rPr>
                <w:color w:val="auto"/>
              </w:rPr>
              <w:t>符合，I级</w:t>
            </w:r>
          </w:p>
        </w:tc>
      </w:tr>
      <w:tr w14:paraId="113ECF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67E92D6E">
            <w:pPr>
              <w:pStyle w:val="33"/>
              <w:rPr>
                <w:color w:val="auto"/>
              </w:rPr>
            </w:pPr>
            <w:r>
              <w:rPr>
                <w:color w:val="auto"/>
              </w:rPr>
              <w:t>9</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7780CBCB">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23172E19">
            <w:pPr>
              <w:pStyle w:val="33"/>
              <w:rPr>
                <w:color w:val="auto"/>
              </w:rPr>
            </w:pPr>
          </w:p>
        </w:tc>
        <w:tc>
          <w:tcPr>
            <w:tcW w:w="763" w:type="dxa"/>
            <w:vMerge w:val="restart"/>
            <w:tcBorders>
              <w:top w:val="single" w:color="000000" w:sz="6" w:space="0"/>
              <w:left w:val="single" w:color="000000" w:sz="6" w:space="0"/>
              <w:bottom w:val="single" w:color="000000" w:sz="6" w:space="0"/>
              <w:right w:val="single" w:color="000000" w:sz="6" w:space="0"/>
            </w:tcBorders>
            <w:vAlign w:val="center"/>
          </w:tcPr>
          <w:p w14:paraId="4B503898">
            <w:pPr>
              <w:pStyle w:val="33"/>
              <w:rPr>
                <w:color w:val="auto"/>
              </w:rPr>
            </w:pPr>
            <w:r>
              <w:rPr>
                <w:color w:val="auto"/>
              </w:rPr>
              <w:t>环境</w:t>
            </w:r>
          </w:p>
          <w:p w14:paraId="5F97EBF2">
            <w:pPr>
              <w:pStyle w:val="33"/>
              <w:rPr>
                <w:color w:val="auto"/>
              </w:rPr>
            </w:pPr>
            <w:r>
              <w:rPr>
                <w:color w:val="auto"/>
              </w:rPr>
              <w:t>标志</w:t>
            </w:r>
          </w:p>
        </w:tc>
        <w:tc>
          <w:tcPr>
            <w:tcW w:w="1462" w:type="dxa"/>
            <w:tcBorders>
              <w:top w:val="single" w:color="000000" w:sz="6" w:space="0"/>
              <w:left w:val="single" w:color="000000" w:sz="6" w:space="0"/>
              <w:bottom w:val="single" w:color="000000" w:sz="6" w:space="0"/>
              <w:right w:val="single" w:color="000000" w:sz="6" w:space="0"/>
            </w:tcBorders>
            <w:vAlign w:val="center"/>
          </w:tcPr>
          <w:p w14:paraId="62437CC0">
            <w:pPr>
              <w:pStyle w:val="33"/>
              <w:rPr>
                <w:color w:val="auto"/>
              </w:rPr>
            </w:pPr>
            <w:r>
              <w:rPr>
                <w:color w:val="auto"/>
              </w:rPr>
              <w:t>复印纸</w:t>
            </w:r>
          </w:p>
        </w:tc>
        <w:tc>
          <w:tcPr>
            <w:tcW w:w="1056" w:type="dxa"/>
            <w:vMerge w:val="restart"/>
            <w:tcBorders>
              <w:top w:val="single" w:color="000000" w:sz="6" w:space="0"/>
              <w:left w:val="single" w:color="000000" w:sz="6" w:space="0"/>
              <w:bottom w:val="single" w:color="000000" w:sz="6" w:space="0"/>
              <w:right w:val="single" w:color="000000" w:sz="6" w:space="0"/>
            </w:tcBorders>
            <w:vAlign w:val="center"/>
          </w:tcPr>
          <w:p w14:paraId="5215C9C9">
            <w:pPr>
              <w:pStyle w:val="33"/>
              <w:rPr>
                <w:color w:val="auto"/>
              </w:rPr>
            </w:pPr>
            <w:r>
              <w:rPr>
                <w:color w:val="auto"/>
              </w:rPr>
              <w:t>0.4</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28EAFD69">
            <w:pPr>
              <w:pStyle w:val="33"/>
              <w:rPr>
                <w:color w:val="auto"/>
              </w:rPr>
            </w:pPr>
            <w:r>
              <w:rPr>
                <w:color w:val="auto"/>
              </w:rPr>
              <w:t>符合HJ/T410 相关要求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5A08735E">
            <w:pPr>
              <w:pStyle w:val="33"/>
              <w:rPr>
                <w:color w:val="auto"/>
              </w:rPr>
            </w:pPr>
            <w:r>
              <w:rPr>
                <w:color w:val="auto"/>
              </w:rPr>
              <w:t>符合，I级</w:t>
            </w:r>
          </w:p>
        </w:tc>
      </w:tr>
      <w:tr w14:paraId="2831B0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31A22FAE">
            <w:pPr>
              <w:pStyle w:val="33"/>
              <w:rPr>
                <w:color w:val="auto"/>
              </w:rPr>
            </w:pPr>
            <w:r>
              <w:rPr>
                <w:color w:val="auto"/>
              </w:rPr>
              <w:t>10</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360C0718">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0678F83E">
            <w:pPr>
              <w:pStyle w:val="33"/>
              <w:rPr>
                <w:color w:val="auto"/>
              </w:rPr>
            </w:pPr>
          </w:p>
        </w:tc>
        <w:tc>
          <w:tcPr>
            <w:tcW w:w="763" w:type="dxa"/>
            <w:vMerge w:val="continue"/>
            <w:tcBorders>
              <w:top w:val="single" w:color="000000" w:sz="6" w:space="0"/>
              <w:left w:val="single" w:color="000000" w:sz="6" w:space="0"/>
              <w:bottom w:val="single" w:color="000000" w:sz="6" w:space="0"/>
              <w:right w:val="single" w:color="000000" w:sz="6" w:space="0"/>
            </w:tcBorders>
            <w:vAlign w:val="center"/>
          </w:tcPr>
          <w:p w14:paraId="69D811CD">
            <w:pPr>
              <w:pStyle w:val="33"/>
              <w:rPr>
                <w:color w:val="auto"/>
              </w:rPr>
            </w:pPr>
          </w:p>
        </w:tc>
        <w:tc>
          <w:tcPr>
            <w:tcW w:w="1462" w:type="dxa"/>
            <w:tcBorders>
              <w:top w:val="single" w:color="000000" w:sz="6" w:space="0"/>
              <w:left w:val="single" w:color="000000" w:sz="6" w:space="0"/>
              <w:bottom w:val="single" w:color="000000" w:sz="6" w:space="0"/>
              <w:right w:val="single" w:color="000000" w:sz="6" w:space="0"/>
            </w:tcBorders>
            <w:vAlign w:val="center"/>
          </w:tcPr>
          <w:p w14:paraId="212FD6EB">
            <w:pPr>
              <w:pStyle w:val="33"/>
              <w:rPr>
                <w:color w:val="auto"/>
              </w:rPr>
            </w:pPr>
            <w:r>
              <w:rPr>
                <w:color w:val="auto"/>
              </w:rPr>
              <w:t>再生纸制品</w:t>
            </w:r>
          </w:p>
        </w:tc>
        <w:tc>
          <w:tcPr>
            <w:tcW w:w="1056" w:type="dxa"/>
            <w:vMerge w:val="continue"/>
            <w:tcBorders>
              <w:top w:val="single" w:color="000000" w:sz="6" w:space="0"/>
              <w:left w:val="single" w:color="000000" w:sz="6" w:space="0"/>
              <w:bottom w:val="single" w:color="000000" w:sz="6" w:space="0"/>
              <w:right w:val="single" w:color="000000" w:sz="6" w:space="0"/>
            </w:tcBorders>
            <w:vAlign w:val="center"/>
          </w:tcPr>
          <w:p w14:paraId="4354A8FF">
            <w:pPr>
              <w:pStyle w:val="33"/>
              <w:rPr>
                <w:color w:val="auto"/>
              </w:rPr>
            </w:pP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21E41E3F">
            <w:pPr>
              <w:pStyle w:val="33"/>
              <w:rPr>
                <w:color w:val="auto"/>
              </w:rPr>
            </w:pPr>
            <w:r>
              <w:rPr>
                <w:color w:val="auto"/>
              </w:rPr>
              <w:t>符合HJ/T205 相关要求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47692809">
            <w:pPr>
              <w:pStyle w:val="33"/>
              <w:rPr>
                <w:color w:val="auto"/>
              </w:rPr>
            </w:pPr>
            <w:r>
              <w:rPr>
                <w:color w:val="auto"/>
              </w:rPr>
              <w:t>符合，I级</w:t>
            </w:r>
          </w:p>
        </w:tc>
      </w:tr>
      <w:tr w14:paraId="4F4EE85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15432599">
            <w:pPr>
              <w:pStyle w:val="33"/>
              <w:rPr>
                <w:color w:val="auto"/>
              </w:rPr>
            </w:pPr>
            <w:r>
              <w:rPr>
                <w:color w:val="auto"/>
              </w:rPr>
              <w:t>11</w:t>
            </w:r>
          </w:p>
        </w:tc>
        <w:tc>
          <w:tcPr>
            <w:tcW w:w="1107" w:type="dxa"/>
            <w:vMerge w:val="restart"/>
            <w:tcBorders>
              <w:top w:val="single" w:color="000000" w:sz="6" w:space="0"/>
              <w:left w:val="single" w:color="000000" w:sz="6" w:space="0"/>
              <w:bottom w:val="single" w:color="000000" w:sz="6" w:space="0"/>
              <w:right w:val="single" w:color="000000" w:sz="6" w:space="0"/>
            </w:tcBorders>
            <w:vAlign w:val="center"/>
          </w:tcPr>
          <w:p w14:paraId="4C0627B6">
            <w:pPr>
              <w:pStyle w:val="33"/>
              <w:rPr>
                <w:color w:val="auto"/>
              </w:rPr>
            </w:pPr>
            <w:r>
              <w:rPr>
                <w:color w:val="auto"/>
              </w:rPr>
              <w:t>清洁生产管 理指标</w:t>
            </w:r>
          </w:p>
        </w:tc>
        <w:tc>
          <w:tcPr>
            <w:tcW w:w="947" w:type="dxa"/>
            <w:vMerge w:val="restart"/>
            <w:tcBorders>
              <w:top w:val="single" w:color="000000" w:sz="6" w:space="0"/>
              <w:left w:val="single" w:color="000000" w:sz="6" w:space="0"/>
              <w:bottom w:val="single" w:color="000000" w:sz="6" w:space="0"/>
              <w:right w:val="single" w:color="000000" w:sz="6" w:space="0"/>
            </w:tcBorders>
            <w:vAlign w:val="center"/>
          </w:tcPr>
          <w:p w14:paraId="232E55BF">
            <w:pPr>
              <w:pStyle w:val="33"/>
              <w:rPr>
                <w:color w:val="auto"/>
              </w:rPr>
            </w:pPr>
            <w:r>
              <w:rPr>
                <w:color w:val="auto"/>
              </w:rPr>
              <w:t>0.375</w:t>
            </w: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439C580E">
            <w:pPr>
              <w:pStyle w:val="33"/>
              <w:rPr>
                <w:color w:val="auto"/>
              </w:rPr>
            </w:pPr>
            <w:r>
              <w:rPr>
                <w:color w:val="auto"/>
              </w:rPr>
              <w:t>*环境法律法规标准执行情况</w:t>
            </w:r>
          </w:p>
        </w:tc>
        <w:tc>
          <w:tcPr>
            <w:tcW w:w="1056" w:type="dxa"/>
            <w:tcBorders>
              <w:top w:val="single" w:color="000000" w:sz="6" w:space="0"/>
              <w:left w:val="single" w:color="000000" w:sz="6" w:space="0"/>
              <w:bottom w:val="single" w:color="000000" w:sz="6" w:space="0"/>
              <w:right w:val="single" w:color="000000" w:sz="6" w:space="0"/>
            </w:tcBorders>
            <w:vAlign w:val="center"/>
          </w:tcPr>
          <w:p w14:paraId="5FEAD87E">
            <w:pPr>
              <w:pStyle w:val="33"/>
              <w:rPr>
                <w:color w:val="auto"/>
              </w:rPr>
            </w:pPr>
            <w:r>
              <w:rPr>
                <w:color w:val="auto"/>
              </w:rPr>
              <w:t>0.155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4F803795">
            <w:pPr>
              <w:pStyle w:val="33"/>
              <w:rPr>
                <w:color w:val="auto"/>
              </w:rPr>
            </w:pPr>
            <w:r>
              <w:rPr>
                <w:color w:val="auto"/>
              </w:rPr>
              <w:t>符合国家和地方有关环境法律、法规，废水、废气、噪声等污染物排放符合国家和地方排放标准；污染物排放应达到国家和地方污染物排放总量控制指标和排污许可证管理要求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04E138DB">
            <w:pPr>
              <w:pStyle w:val="33"/>
              <w:rPr>
                <w:color w:val="auto"/>
              </w:rPr>
            </w:pPr>
            <w:r>
              <w:rPr>
                <w:color w:val="auto"/>
              </w:rPr>
              <w:t>符合，I级</w:t>
            </w:r>
          </w:p>
        </w:tc>
      </w:tr>
      <w:tr w14:paraId="2F6E4D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2134806A">
            <w:pPr>
              <w:pStyle w:val="33"/>
              <w:rPr>
                <w:color w:val="auto"/>
              </w:rPr>
            </w:pPr>
            <w:r>
              <w:rPr>
                <w:color w:val="auto"/>
              </w:rPr>
              <w:t>12</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762F336D">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0BD4E366">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01246AD8">
            <w:pPr>
              <w:pStyle w:val="33"/>
              <w:rPr>
                <w:color w:val="auto"/>
              </w:rPr>
            </w:pPr>
            <w:r>
              <w:rPr>
                <w:color w:val="auto"/>
              </w:rPr>
              <w:t>*产业政策执行情况</w:t>
            </w:r>
          </w:p>
        </w:tc>
        <w:tc>
          <w:tcPr>
            <w:tcW w:w="1056" w:type="dxa"/>
            <w:tcBorders>
              <w:top w:val="single" w:color="000000" w:sz="6" w:space="0"/>
              <w:left w:val="single" w:color="000000" w:sz="6" w:space="0"/>
              <w:bottom w:val="single" w:color="000000" w:sz="6" w:space="0"/>
              <w:right w:val="single" w:color="000000" w:sz="6" w:space="0"/>
            </w:tcBorders>
            <w:vAlign w:val="center"/>
          </w:tcPr>
          <w:p w14:paraId="6D238914">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074EAF58">
            <w:pPr>
              <w:pStyle w:val="33"/>
              <w:rPr>
                <w:color w:val="auto"/>
              </w:rPr>
            </w:pPr>
            <w:r>
              <w:rPr>
                <w:color w:val="auto"/>
              </w:rPr>
              <w:t>生产规模符合国家和地方相关产业政策，不使用国家和地方明令淘汰的落后工艺和装备</w:t>
            </w:r>
          </w:p>
        </w:tc>
        <w:tc>
          <w:tcPr>
            <w:tcW w:w="1224" w:type="dxa"/>
            <w:tcBorders>
              <w:top w:val="single" w:color="000000" w:sz="6" w:space="0"/>
              <w:left w:val="single" w:color="000000" w:sz="6" w:space="0"/>
              <w:bottom w:val="single" w:color="000000" w:sz="6" w:space="0"/>
              <w:right w:val="single" w:color="000000" w:sz="6" w:space="0"/>
            </w:tcBorders>
            <w:vAlign w:val="center"/>
          </w:tcPr>
          <w:p w14:paraId="70A97159">
            <w:pPr>
              <w:pStyle w:val="33"/>
              <w:rPr>
                <w:color w:val="auto"/>
              </w:rPr>
            </w:pPr>
            <w:r>
              <w:rPr>
                <w:color w:val="auto"/>
              </w:rPr>
              <w:t>符合，I级</w:t>
            </w:r>
          </w:p>
        </w:tc>
      </w:tr>
      <w:tr w14:paraId="2D53E3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35AE95F8">
            <w:pPr>
              <w:pStyle w:val="33"/>
              <w:rPr>
                <w:color w:val="auto"/>
              </w:rPr>
            </w:pPr>
            <w:r>
              <w:rPr>
                <w:color w:val="auto"/>
              </w:rPr>
              <w:t>13</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05BC0DC9">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1A697E76">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5C252F4F">
            <w:pPr>
              <w:pStyle w:val="33"/>
              <w:rPr>
                <w:color w:val="auto"/>
              </w:rPr>
            </w:pPr>
            <w:r>
              <w:rPr>
                <w:color w:val="auto"/>
              </w:rPr>
              <w:t>*固体废物处理处置</w:t>
            </w:r>
          </w:p>
        </w:tc>
        <w:tc>
          <w:tcPr>
            <w:tcW w:w="1056" w:type="dxa"/>
            <w:tcBorders>
              <w:top w:val="single" w:color="000000" w:sz="6" w:space="0"/>
              <w:left w:val="single" w:color="000000" w:sz="6" w:space="0"/>
              <w:bottom w:val="single" w:color="000000" w:sz="6" w:space="0"/>
              <w:right w:val="single" w:color="000000" w:sz="6" w:space="0"/>
            </w:tcBorders>
            <w:vAlign w:val="center"/>
          </w:tcPr>
          <w:p w14:paraId="1994DD9E">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7F06A9CC">
            <w:pPr>
              <w:pStyle w:val="33"/>
              <w:rPr>
                <w:color w:val="auto"/>
              </w:rPr>
            </w:pPr>
            <w:r>
              <w:rPr>
                <w:color w:val="auto"/>
              </w:rPr>
              <w:t>采用符合国家规定的废物处置方法处置废物；一般固体废物按照GB18599相关规定执行；危险废物按照GB18597相关规定执行</w:t>
            </w:r>
          </w:p>
        </w:tc>
        <w:tc>
          <w:tcPr>
            <w:tcW w:w="1224" w:type="dxa"/>
            <w:tcBorders>
              <w:top w:val="single" w:color="000000" w:sz="6" w:space="0"/>
              <w:left w:val="single" w:color="000000" w:sz="6" w:space="0"/>
              <w:bottom w:val="single" w:color="000000" w:sz="6" w:space="0"/>
              <w:right w:val="single" w:color="000000" w:sz="6" w:space="0"/>
            </w:tcBorders>
            <w:vAlign w:val="center"/>
          </w:tcPr>
          <w:p w14:paraId="3DACE82D">
            <w:pPr>
              <w:pStyle w:val="33"/>
              <w:rPr>
                <w:color w:val="auto"/>
              </w:rPr>
            </w:pPr>
            <w:r>
              <w:rPr>
                <w:color w:val="auto"/>
              </w:rPr>
              <w:t>符合，I级</w:t>
            </w:r>
          </w:p>
        </w:tc>
      </w:tr>
      <w:tr w14:paraId="3B1474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065C1CA6">
            <w:pPr>
              <w:pStyle w:val="33"/>
              <w:rPr>
                <w:color w:val="auto"/>
              </w:rPr>
            </w:pPr>
            <w:r>
              <w:rPr>
                <w:color w:val="auto"/>
              </w:rPr>
              <w:t>14</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16C3B119">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C6DC6AC">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4A6BB656">
            <w:pPr>
              <w:pStyle w:val="33"/>
              <w:rPr>
                <w:color w:val="auto"/>
              </w:rPr>
            </w:pPr>
            <w:r>
              <w:rPr>
                <w:color w:val="auto"/>
              </w:rPr>
              <w:t>清洁生产审核情况</w:t>
            </w:r>
          </w:p>
        </w:tc>
        <w:tc>
          <w:tcPr>
            <w:tcW w:w="1056" w:type="dxa"/>
            <w:tcBorders>
              <w:top w:val="single" w:color="000000" w:sz="6" w:space="0"/>
              <w:left w:val="single" w:color="000000" w:sz="6" w:space="0"/>
              <w:bottom w:val="single" w:color="000000" w:sz="6" w:space="0"/>
              <w:right w:val="single" w:color="000000" w:sz="6" w:space="0"/>
            </w:tcBorders>
            <w:vAlign w:val="center"/>
          </w:tcPr>
          <w:p w14:paraId="213ED2D7">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022B5488">
            <w:pPr>
              <w:pStyle w:val="33"/>
              <w:rPr>
                <w:color w:val="auto"/>
              </w:rPr>
            </w:pPr>
            <w:r>
              <w:rPr>
                <w:color w:val="auto"/>
              </w:rPr>
              <w:t>按照国家和地方要求，开展清洁生产审核</w:t>
            </w:r>
          </w:p>
        </w:tc>
        <w:tc>
          <w:tcPr>
            <w:tcW w:w="1224" w:type="dxa"/>
            <w:tcBorders>
              <w:top w:val="single" w:color="000000" w:sz="6" w:space="0"/>
              <w:left w:val="single" w:color="000000" w:sz="6" w:space="0"/>
              <w:bottom w:val="single" w:color="000000" w:sz="6" w:space="0"/>
              <w:right w:val="single" w:color="000000" w:sz="6" w:space="0"/>
            </w:tcBorders>
            <w:vAlign w:val="center"/>
          </w:tcPr>
          <w:p w14:paraId="53569163">
            <w:pPr>
              <w:pStyle w:val="33"/>
              <w:rPr>
                <w:color w:val="auto"/>
              </w:rPr>
            </w:pPr>
            <w:r>
              <w:rPr>
                <w:color w:val="auto"/>
              </w:rPr>
              <w:t>符合，I级</w:t>
            </w:r>
          </w:p>
        </w:tc>
      </w:tr>
      <w:tr w14:paraId="0A9BDA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1ACE2A42">
            <w:pPr>
              <w:pStyle w:val="33"/>
              <w:rPr>
                <w:color w:val="auto"/>
              </w:rPr>
            </w:pPr>
            <w:r>
              <w:rPr>
                <w:color w:val="auto"/>
              </w:rPr>
              <w:t>15</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7237EC08">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666E8BD">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14FB81FD">
            <w:pPr>
              <w:pStyle w:val="33"/>
              <w:rPr>
                <w:color w:val="auto"/>
              </w:rPr>
            </w:pPr>
            <w:r>
              <w:rPr>
                <w:color w:val="auto"/>
              </w:rPr>
              <w:t>环境管理体系制度</w:t>
            </w:r>
          </w:p>
        </w:tc>
        <w:tc>
          <w:tcPr>
            <w:tcW w:w="1056" w:type="dxa"/>
            <w:tcBorders>
              <w:top w:val="single" w:color="000000" w:sz="6" w:space="0"/>
              <w:left w:val="single" w:color="000000" w:sz="6" w:space="0"/>
              <w:bottom w:val="single" w:color="000000" w:sz="6" w:space="0"/>
              <w:right w:val="single" w:color="000000" w:sz="6" w:space="0"/>
            </w:tcBorders>
            <w:vAlign w:val="center"/>
          </w:tcPr>
          <w:p w14:paraId="0FB68CE5">
            <w:pPr>
              <w:pStyle w:val="33"/>
              <w:rPr>
                <w:color w:val="auto"/>
              </w:rPr>
            </w:pPr>
            <w:r>
              <w:rPr>
                <w:color w:val="auto"/>
              </w:rPr>
              <w:t>0.065</w:t>
            </w:r>
          </w:p>
        </w:tc>
        <w:tc>
          <w:tcPr>
            <w:tcW w:w="5447" w:type="dxa"/>
            <w:gridSpan w:val="3"/>
            <w:tcBorders>
              <w:top w:val="single" w:color="000000" w:sz="6" w:space="0"/>
              <w:left w:val="single" w:color="000000" w:sz="6" w:space="0"/>
              <w:bottom w:val="single" w:color="000000" w:sz="6" w:space="0"/>
              <w:right w:val="single" w:color="000000" w:sz="6" w:space="0"/>
            </w:tcBorders>
            <w:vAlign w:val="center"/>
          </w:tcPr>
          <w:p w14:paraId="6947F9B1">
            <w:pPr>
              <w:pStyle w:val="33"/>
              <w:rPr>
                <w:color w:val="auto"/>
              </w:rPr>
            </w:pPr>
            <w:r>
              <w:rPr>
                <w:color w:val="auto"/>
              </w:rPr>
              <w:t>按照GB/T24001建立并运行环境管理体系，环境管理程序文件及作业文件齐备</w:t>
            </w:r>
          </w:p>
        </w:tc>
        <w:tc>
          <w:tcPr>
            <w:tcW w:w="1462" w:type="dxa"/>
            <w:tcBorders>
              <w:top w:val="single" w:color="000000" w:sz="6" w:space="0"/>
              <w:left w:val="single" w:color="000000" w:sz="6" w:space="0"/>
              <w:bottom w:val="single" w:color="000000" w:sz="6" w:space="0"/>
              <w:right w:val="single" w:color="000000" w:sz="6" w:space="0"/>
            </w:tcBorders>
            <w:vAlign w:val="center"/>
          </w:tcPr>
          <w:p w14:paraId="0942E69A">
            <w:pPr>
              <w:pStyle w:val="33"/>
              <w:rPr>
                <w:color w:val="auto"/>
              </w:rPr>
            </w:pPr>
            <w:r>
              <w:rPr>
                <w:color w:val="auto"/>
              </w:rPr>
              <w:t>拥有健全的环境管理体系和完备的管理文件</w:t>
            </w:r>
          </w:p>
        </w:tc>
        <w:tc>
          <w:tcPr>
            <w:tcW w:w="1224" w:type="dxa"/>
            <w:tcBorders>
              <w:top w:val="single" w:color="000000" w:sz="6" w:space="0"/>
              <w:left w:val="single" w:color="000000" w:sz="6" w:space="0"/>
              <w:bottom w:val="single" w:color="000000" w:sz="6" w:space="0"/>
              <w:right w:val="single" w:color="000000" w:sz="6" w:space="0"/>
            </w:tcBorders>
            <w:vAlign w:val="center"/>
          </w:tcPr>
          <w:p w14:paraId="6695599D">
            <w:pPr>
              <w:pStyle w:val="33"/>
              <w:rPr>
                <w:color w:val="auto"/>
              </w:rPr>
            </w:pPr>
            <w:r>
              <w:rPr>
                <w:color w:val="auto"/>
              </w:rPr>
              <w:t>符合，I级</w:t>
            </w:r>
          </w:p>
        </w:tc>
      </w:tr>
      <w:tr w14:paraId="3C95FF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1820848D">
            <w:pPr>
              <w:pStyle w:val="33"/>
              <w:rPr>
                <w:color w:val="auto"/>
              </w:rPr>
            </w:pPr>
            <w:r>
              <w:rPr>
                <w:color w:val="auto"/>
              </w:rPr>
              <w:t>16</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3289D211">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C4C9C88">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521DFCC0">
            <w:pPr>
              <w:pStyle w:val="33"/>
              <w:rPr>
                <w:color w:val="auto"/>
              </w:rPr>
            </w:pPr>
            <w:r>
              <w:rPr>
                <w:color w:val="auto"/>
              </w:rPr>
              <w:t>废水处理设施运行管理</w:t>
            </w:r>
          </w:p>
        </w:tc>
        <w:tc>
          <w:tcPr>
            <w:tcW w:w="1056" w:type="dxa"/>
            <w:tcBorders>
              <w:top w:val="single" w:color="000000" w:sz="6" w:space="0"/>
              <w:left w:val="single" w:color="000000" w:sz="6" w:space="0"/>
              <w:bottom w:val="single" w:color="000000" w:sz="6" w:space="0"/>
              <w:right w:val="single" w:color="000000" w:sz="6" w:space="0"/>
            </w:tcBorders>
            <w:vAlign w:val="center"/>
          </w:tcPr>
          <w:p w14:paraId="63762897">
            <w:pPr>
              <w:pStyle w:val="33"/>
              <w:rPr>
                <w:color w:val="auto"/>
              </w:rPr>
            </w:pPr>
            <w:r>
              <w:rPr>
                <w:color w:val="auto"/>
              </w:rPr>
              <w:t>0.065</w:t>
            </w:r>
          </w:p>
        </w:tc>
        <w:tc>
          <w:tcPr>
            <w:tcW w:w="2792" w:type="dxa"/>
            <w:gridSpan w:val="2"/>
            <w:tcBorders>
              <w:top w:val="single" w:color="000000" w:sz="6" w:space="0"/>
              <w:left w:val="single" w:color="000000" w:sz="6" w:space="0"/>
              <w:bottom w:val="single" w:color="000000" w:sz="6" w:space="0"/>
              <w:right w:val="single" w:color="000000" w:sz="6" w:space="0"/>
            </w:tcBorders>
            <w:vAlign w:val="center"/>
          </w:tcPr>
          <w:p w14:paraId="470016B3">
            <w:pPr>
              <w:pStyle w:val="33"/>
              <w:rPr>
                <w:color w:val="auto"/>
              </w:rPr>
            </w:pPr>
            <w:r>
              <w:rPr>
                <w:color w:val="auto"/>
              </w:rPr>
              <w:t>建有废水处理设施运行中控系统，建立治污设施运行台账</w:t>
            </w:r>
          </w:p>
        </w:tc>
        <w:tc>
          <w:tcPr>
            <w:tcW w:w="4117" w:type="dxa"/>
            <w:gridSpan w:val="2"/>
            <w:tcBorders>
              <w:top w:val="single" w:color="000000" w:sz="6" w:space="0"/>
              <w:left w:val="single" w:color="000000" w:sz="6" w:space="0"/>
              <w:bottom w:val="single" w:color="000000" w:sz="6" w:space="0"/>
              <w:right w:val="single" w:color="000000" w:sz="6" w:space="0"/>
            </w:tcBorders>
            <w:vAlign w:val="center"/>
          </w:tcPr>
          <w:p w14:paraId="6973B5CE">
            <w:pPr>
              <w:pStyle w:val="33"/>
              <w:rPr>
                <w:color w:val="auto"/>
              </w:rPr>
            </w:pPr>
            <w:r>
              <w:rPr>
                <w:color w:val="auto"/>
              </w:rPr>
              <w:t>建立治污设施运行台账</w:t>
            </w:r>
          </w:p>
        </w:tc>
        <w:tc>
          <w:tcPr>
            <w:tcW w:w="1224" w:type="dxa"/>
            <w:tcBorders>
              <w:top w:val="single" w:color="000000" w:sz="6" w:space="0"/>
              <w:left w:val="single" w:color="000000" w:sz="6" w:space="0"/>
              <w:bottom w:val="single" w:color="000000" w:sz="6" w:space="0"/>
              <w:right w:val="single" w:color="000000" w:sz="6" w:space="0"/>
            </w:tcBorders>
            <w:vAlign w:val="center"/>
          </w:tcPr>
          <w:p w14:paraId="17128571">
            <w:pPr>
              <w:pStyle w:val="33"/>
              <w:rPr>
                <w:color w:val="auto"/>
              </w:rPr>
            </w:pPr>
            <w:r>
              <w:rPr>
                <w:color w:val="auto"/>
              </w:rPr>
              <w:t>符合，I级</w:t>
            </w:r>
          </w:p>
        </w:tc>
      </w:tr>
      <w:tr w14:paraId="3F3269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616CBF8A">
            <w:pPr>
              <w:pStyle w:val="33"/>
              <w:rPr>
                <w:color w:val="auto"/>
              </w:rPr>
            </w:pPr>
            <w:r>
              <w:rPr>
                <w:color w:val="auto"/>
              </w:rPr>
              <w:t>17</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23FCF3D1">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3A2254DE">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521EAE7A">
            <w:pPr>
              <w:pStyle w:val="33"/>
              <w:rPr>
                <w:color w:val="auto"/>
              </w:rPr>
            </w:pPr>
            <w:r>
              <w:rPr>
                <w:color w:val="auto"/>
              </w:rPr>
              <w:t>污染物排放监测</w:t>
            </w:r>
          </w:p>
        </w:tc>
        <w:tc>
          <w:tcPr>
            <w:tcW w:w="1056" w:type="dxa"/>
            <w:tcBorders>
              <w:top w:val="single" w:color="000000" w:sz="6" w:space="0"/>
              <w:left w:val="single" w:color="000000" w:sz="6" w:space="0"/>
              <w:bottom w:val="single" w:color="000000" w:sz="6" w:space="0"/>
              <w:right w:val="single" w:color="000000" w:sz="6" w:space="0"/>
            </w:tcBorders>
            <w:vAlign w:val="center"/>
          </w:tcPr>
          <w:p w14:paraId="7E185263">
            <w:pPr>
              <w:pStyle w:val="33"/>
              <w:rPr>
                <w:color w:val="auto"/>
              </w:rPr>
            </w:pPr>
            <w:r>
              <w:rPr>
                <w:color w:val="auto"/>
              </w:rPr>
              <w:t>0.065</w:t>
            </w:r>
          </w:p>
        </w:tc>
        <w:tc>
          <w:tcPr>
            <w:tcW w:w="5447" w:type="dxa"/>
            <w:gridSpan w:val="3"/>
            <w:tcBorders>
              <w:top w:val="single" w:color="000000" w:sz="6" w:space="0"/>
              <w:left w:val="single" w:color="000000" w:sz="6" w:space="0"/>
              <w:bottom w:val="single" w:color="000000" w:sz="6" w:space="0"/>
              <w:right w:val="single" w:color="000000" w:sz="6" w:space="0"/>
            </w:tcBorders>
            <w:vAlign w:val="center"/>
          </w:tcPr>
          <w:p w14:paraId="061D9887">
            <w:pPr>
              <w:pStyle w:val="33"/>
              <w:rPr>
                <w:color w:val="auto"/>
              </w:rPr>
            </w:pPr>
            <w:r>
              <w:rPr>
                <w:color w:val="auto"/>
              </w:rPr>
              <w:t>按照《污染源自动监控管理办法》的规定，安装污染物排放自动监控设备，并与环境保护主管部门的监控设备联网，并保证设备正常运行</w:t>
            </w:r>
          </w:p>
        </w:tc>
        <w:tc>
          <w:tcPr>
            <w:tcW w:w="1462" w:type="dxa"/>
            <w:tcBorders>
              <w:top w:val="single" w:color="000000" w:sz="6" w:space="0"/>
              <w:left w:val="single" w:color="000000" w:sz="6" w:space="0"/>
              <w:bottom w:val="single" w:color="000000" w:sz="6" w:space="0"/>
              <w:right w:val="single" w:color="000000" w:sz="6" w:space="0"/>
            </w:tcBorders>
            <w:vAlign w:val="center"/>
          </w:tcPr>
          <w:p w14:paraId="3871308F">
            <w:pPr>
              <w:pStyle w:val="33"/>
              <w:rPr>
                <w:color w:val="auto"/>
              </w:rPr>
            </w:pPr>
            <w:r>
              <w:rPr>
                <w:color w:val="auto"/>
              </w:rPr>
              <w:t>对污染物排放实行定期监测</w:t>
            </w:r>
          </w:p>
        </w:tc>
        <w:tc>
          <w:tcPr>
            <w:tcW w:w="1224" w:type="dxa"/>
            <w:tcBorders>
              <w:top w:val="single" w:color="000000" w:sz="6" w:space="0"/>
              <w:left w:val="single" w:color="000000" w:sz="6" w:space="0"/>
              <w:bottom w:val="single" w:color="000000" w:sz="6" w:space="0"/>
              <w:right w:val="single" w:color="000000" w:sz="6" w:space="0"/>
            </w:tcBorders>
            <w:vAlign w:val="center"/>
          </w:tcPr>
          <w:p w14:paraId="6960BCA8">
            <w:pPr>
              <w:pStyle w:val="33"/>
              <w:rPr>
                <w:color w:val="auto"/>
              </w:rPr>
            </w:pPr>
            <w:r>
              <w:rPr>
                <w:color w:val="auto"/>
              </w:rPr>
              <w:t>符合，I级</w:t>
            </w:r>
          </w:p>
        </w:tc>
      </w:tr>
      <w:tr w14:paraId="3752A7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0C0BDF5F">
            <w:pPr>
              <w:pStyle w:val="33"/>
              <w:rPr>
                <w:color w:val="auto"/>
              </w:rPr>
            </w:pPr>
            <w:r>
              <w:rPr>
                <w:color w:val="auto"/>
              </w:rPr>
              <w:t>18</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3E84FFBA">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0F534F9A">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0A216FEF">
            <w:pPr>
              <w:pStyle w:val="33"/>
              <w:rPr>
                <w:color w:val="auto"/>
              </w:rPr>
            </w:pPr>
            <w:r>
              <w:rPr>
                <w:color w:val="auto"/>
              </w:rPr>
              <w:t>能源计量器具配备情况</w:t>
            </w:r>
          </w:p>
        </w:tc>
        <w:tc>
          <w:tcPr>
            <w:tcW w:w="1056" w:type="dxa"/>
            <w:tcBorders>
              <w:top w:val="single" w:color="000000" w:sz="6" w:space="0"/>
              <w:left w:val="single" w:color="000000" w:sz="6" w:space="0"/>
              <w:bottom w:val="single" w:color="000000" w:sz="6" w:space="0"/>
              <w:right w:val="single" w:color="000000" w:sz="6" w:space="0"/>
            </w:tcBorders>
            <w:vAlign w:val="center"/>
          </w:tcPr>
          <w:p w14:paraId="3FCFE503">
            <w:pPr>
              <w:pStyle w:val="33"/>
              <w:rPr>
                <w:color w:val="auto"/>
              </w:rPr>
            </w:pPr>
            <w:r>
              <w:rPr>
                <w:color w:val="auto"/>
              </w:rPr>
              <w:t>0.065</w:t>
            </w:r>
          </w:p>
        </w:tc>
        <w:tc>
          <w:tcPr>
            <w:tcW w:w="2792" w:type="dxa"/>
            <w:gridSpan w:val="2"/>
            <w:tcBorders>
              <w:top w:val="single" w:color="000000" w:sz="6" w:space="0"/>
              <w:left w:val="single" w:color="000000" w:sz="6" w:space="0"/>
              <w:bottom w:val="single" w:color="000000" w:sz="6" w:space="0"/>
              <w:right w:val="single" w:color="000000" w:sz="6" w:space="0"/>
            </w:tcBorders>
            <w:vAlign w:val="center"/>
          </w:tcPr>
          <w:p w14:paraId="25917EFB">
            <w:pPr>
              <w:pStyle w:val="33"/>
              <w:rPr>
                <w:color w:val="auto"/>
              </w:rPr>
            </w:pPr>
            <w:r>
              <w:rPr>
                <w:color w:val="auto"/>
              </w:rPr>
              <w:t>能源计量器具配备率符合GB</w:t>
            </w:r>
          </w:p>
          <w:p w14:paraId="59C12352">
            <w:pPr>
              <w:pStyle w:val="33"/>
              <w:rPr>
                <w:color w:val="auto"/>
              </w:rPr>
            </w:pPr>
            <w:r>
              <w:rPr>
                <w:color w:val="auto"/>
              </w:rPr>
              <w:t>17167、GB24789三级计量要求</w:t>
            </w:r>
          </w:p>
        </w:tc>
        <w:tc>
          <w:tcPr>
            <w:tcW w:w="4117" w:type="dxa"/>
            <w:gridSpan w:val="2"/>
            <w:tcBorders>
              <w:top w:val="single" w:color="000000" w:sz="6" w:space="0"/>
              <w:left w:val="single" w:color="000000" w:sz="6" w:space="0"/>
              <w:bottom w:val="single" w:color="000000" w:sz="6" w:space="0"/>
              <w:right w:val="single" w:color="000000" w:sz="6" w:space="0"/>
            </w:tcBorders>
            <w:vAlign w:val="center"/>
          </w:tcPr>
          <w:p w14:paraId="6174ED35">
            <w:pPr>
              <w:pStyle w:val="33"/>
              <w:rPr>
                <w:color w:val="auto"/>
              </w:rPr>
            </w:pPr>
            <w:r>
              <w:rPr>
                <w:color w:val="auto"/>
              </w:rPr>
              <w:t>能源计量器具配备率符合GB17167、GB24789 二级计量要求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5DBD0416">
            <w:pPr>
              <w:pStyle w:val="33"/>
              <w:rPr>
                <w:color w:val="auto"/>
              </w:rPr>
            </w:pPr>
            <w:r>
              <w:rPr>
                <w:color w:val="auto"/>
              </w:rPr>
              <w:t>符合，I级</w:t>
            </w:r>
          </w:p>
        </w:tc>
      </w:tr>
      <w:tr w14:paraId="69D446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78E3FB07">
            <w:pPr>
              <w:pStyle w:val="33"/>
              <w:rPr>
                <w:color w:val="auto"/>
              </w:rPr>
            </w:pPr>
            <w:r>
              <w:rPr>
                <w:color w:val="auto"/>
              </w:rPr>
              <w:t>19</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5D2236A6">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049768EE">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3FA13825">
            <w:pPr>
              <w:pStyle w:val="33"/>
              <w:rPr>
                <w:color w:val="auto"/>
              </w:rPr>
            </w:pPr>
            <w:r>
              <w:rPr>
                <w:color w:val="auto"/>
              </w:rPr>
              <w:t>环境管理制度和机构</w:t>
            </w:r>
          </w:p>
        </w:tc>
        <w:tc>
          <w:tcPr>
            <w:tcW w:w="1056" w:type="dxa"/>
            <w:tcBorders>
              <w:top w:val="single" w:color="000000" w:sz="6" w:space="0"/>
              <w:left w:val="single" w:color="000000" w:sz="6" w:space="0"/>
              <w:bottom w:val="single" w:color="000000" w:sz="6" w:space="0"/>
              <w:right w:val="single" w:color="000000" w:sz="6" w:space="0"/>
            </w:tcBorders>
            <w:vAlign w:val="center"/>
          </w:tcPr>
          <w:p w14:paraId="26F3BA6F">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6F4409BD">
            <w:pPr>
              <w:pStyle w:val="33"/>
              <w:rPr>
                <w:color w:val="auto"/>
              </w:rPr>
            </w:pPr>
            <w:r>
              <w:rPr>
                <w:color w:val="auto"/>
              </w:rPr>
              <w:t>具有完善的环境管理制度；设置专门环境管理机构和专职管理人员</w:t>
            </w:r>
          </w:p>
        </w:tc>
        <w:tc>
          <w:tcPr>
            <w:tcW w:w="1224" w:type="dxa"/>
            <w:tcBorders>
              <w:top w:val="single" w:color="000000" w:sz="6" w:space="0"/>
              <w:left w:val="single" w:color="000000" w:sz="6" w:space="0"/>
              <w:bottom w:val="single" w:color="000000" w:sz="6" w:space="0"/>
              <w:right w:val="single" w:color="000000" w:sz="6" w:space="0"/>
            </w:tcBorders>
            <w:vAlign w:val="center"/>
          </w:tcPr>
          <w:p w14:paraId="20369A90">
            <w:pPr>
              <w:pStyle w:val="33"/>
              <w:rPr>
                <w:color w:val="auto"/>
              </w:rPr>
            </w:pPr>
            <w:r>
              <w:rPr>
                <w:color w:val="auto"/>
              </w:rPr>
              <w:t>符合，I级</w:t>
            </w:r>
          </w:p>
        </w:tc>
      </w:tr>
      <w:tr w14:paraId="1AC2AA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0F9CB655">
            <w:pPr>
              <w:pStyle w:val="33"/>
              <w:rPr>
                <w:color w:val="auto"/>
              </w:rPr>
            </w:pPr>
            <w:r>
              <w:rPr>
                <w:color w:val="auto"/>
              </w:rPr>
              <w:t>20</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0A0B8C1C">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780ACE9B">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51A5189A">
            <w:pPr>
              <w:pStyle w:val="33"/>
              <w:rPr>
                <w:color w:val="auto"/>
              </w:rPr>
            </w:pPr>
            <w:r>
              <w:rPr>
                <w:color w:val="auto"/>
              </w:rPr>
              <w:t>污水排放口管理</w:t>
            </w:r>
          </w:p>
        </w:tc>
        <w:tc>
          <w:tcPr>
            <w:tcW w:w="1056" w:type="dxa"/>
            <w:tcBorders>
              <w:top w:val="single" w:color="000000" w:sz="6" w:space="0"/>
              <w:left w:val="single" w:color="000000" w:sz="6" w:space="0"/>
              <w:bottom w:val="single" w:color="000000" w:sz="6" w:space="0"/>
              <w:right w:val="single" w:color="000000" w:sz="6" w:space="0"/>
            </w:tcBorders>
            <w:vAlign w:val="center"/>
          </w:tcPr>
          <w:p w14:paraId="45ADB55F">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3413C6CB">
            <w:pPr>
              <w:pStyle w:val="33"/>
              <w:rPr>
                <w:color w:val="auto"/>
              </w:rPr>
            </w:pPr>
            <w:r>
              <w:rPr>
                <w:color w:val="auto"/>
              </w:rPr>
              <w:t>排污口符合《排污口规范化整治技术要求（试行）》相关要求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75BE25F2">
            <w:pPr>
              <w:pStyle w:val="33"/>
              <w:rPr>
                <w:color w:val="auto"/>
              </w:rPr>
            </w:pPr>
            <w:r>
              <w:rPr>
                <w:color w:val="auto"/>
              </w:rPr>
              <w:t>符合，I级</w:t>
            </w:r>
          </w:p>
        </w:tc>
      </w:tr>
      <w:tr w14:paraId="70EE0D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391B838C">
            <w:pPr>
              <w:pStyle w:val="33"/>
              <w:rPr>
                <w:color w:val="auto"/>
              </w:rPr>
            </w:pPr>
            <w:r>
              <w:rPr>
                <w:color w:val="auto"/>
              </w:rPr>
              <w:t>21</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6F9268A0">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5EC4A900">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39944DFA">
            <w:pPr>
              <w:pStyle w:val="33"/>
              <w:rPr>
                <w:color w:val="auto"/>
              </w:rPr>
            </w:pPr>
            <w:r>
              <w:rPr>
                <w:color w:val="auto"/>
              </w:rPr>
              <w:t>危险化学品管理</w:t>
            </w:r>
          </w:p>
        </w:tc>
        <w:tc>
          <w:tcPr>
            <w:tcW w:w="1056" w:type="dxa"/>
            <w:tcBorders>
              <w:top w:val="single" w:color="000000" w:sz="6" w:space="0"/>
              <w:left w:val="single" w:color="000000" w:sz="6" w:space="0"/>
              <w:bottom w:val="single" w:color="000000" w:sz="6" w:space="0"/>
              <w:right w:val="single" w:color="000000" w:sz="6" w:space="0"/>
            </w:tcBorders>
            <w:vAlign w:val="center"/>
          </w:tcPr>
          <w:p w14:paraId="098035A8">
            <w:pPr>
              <w:pStyle w:val="33"/>
              <w:rPr>
                <w:color w:val="auto"/>
              </w:rPr>
            </w:pPr>
            <w:r>
              <w:rPr>
                <w:color w:val="auto"/>
              </w:rPr>
              <w:t>0.065</w:t>
            </w:r>
          </w:p>
        </w:tc>
        <w:tc>
          <w:tcPr>
            <w:tcW w:w="6909" w:type="dxa"/>
            <w:gridSpan w:val="4"/>
            <w:tcBorders>
              <w:top w:val="single" w:color="000000" w:sz="6" w:space="0"/>
              <w:left w:val="single" w:color="000000" w:sz="6" w:space="0"/>
              <w:bottom w:val="single" w:color="000000" w:sz="6" w:space="0"/>
              <w:right w:val="single" w:color="000000" w:sz="6" w:space="0"/>
            </w:tcBorders>
            <w:vAlign w:val="center"/>
          </w:tcPr>
          <w:p w14:paraId="16972C99">
            <w:pPr>
              <w:pStyle w:val="33"/>
              <w:rPr>
                <w:color w:val="auto"/>
              </w:rPr>
            </w:pPr>
            <w:r>
              <w:rPr>
                <w:color w:val="auto"/>
              </w:rPr>
              <w:t>符合《危险化学品安全管理条例》相关要求</w:t>
            </w:r>
          </w:p>
        </w:tc>
        <w:tc>
          <w:tcPr>
            <w:tcW w:w="1224" w:type="dxa"/>
            <w:tcBorders>
              <w:top w:val="single" w:color="000000" w:sz="6" w:space="0"/>
              <w:left w:val="single" w:color="000000" w:sz="6" w:space="0"/>
              <w:bottom w:val="single" w:color="000000" w:sz="6" w:space="0"/>
              <w:right w:val="single" w:color="000000" w:sz="6" w:space="0"/>
            </w:tcBorders>
            <w:vAlign w:val="center"/>
          </w:tcPr>
          <w:p w14:paraId="4096B6C2">
            <w:pPr>
              <w:pStyle w:val="33"/>
              <w:rPr>
                <w:color w:val="auto"/>
              </w:rPr>
            </w:pPr>
            <w:r>
              <w:rPr>
                <w:color w:val="auto"/>
              </w:rPr>
              <w:t>符合，I级</w:t>
            </w:r>
          </w:p>
        </w:tc>
      </w:tr>
      <w:tr w14:paraId="4C47F44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7" w:hRule="atLeast"/>
        </w:trPr>
        <w:tc>
          <w:tcPr>
            <w:tcW w:w="506" w:type="dxa"/>
            <w:tcBorders>
              <w:top w:val="single" w:color="000000" w:sz="6" w:space="0"/>
              <w:left w:val="single" w:color="000000" w:sz="6" w:space="0"/>
              <w:bottom w:val="single" w:color="000000" w:sz="6" w:space="0"/>
              <w:right w:val="single" w:color="000000" w:sz="6" w:space="0"/>
            </w:tcBorders>
            <w:vAlign w:val="center"/>
          </w:tcPr>
          <w:p w14:paraId="7792D125">
            <w:pPr>
              <w:pStyle w:val="33"/>
              <w:rPr>
                <w:color w:val="auto"/>
              </w:rPr>
            </w:pPr>
            <w:r>
              <w:rPr>
                <w:color w:val="auto"/>
              </w:rPr>
              <w:t>22</w:t>
            </w:r>
          </w:p>
        </w:tc>
        <w:tc>
          <w:tcPr>
            <w:tcW w:w="1107" w:type="dxa"/>
            <w:vMerge w:val="continue"/>
            <w:tcBorders>
              <w:top w:val="single" w:color="000000" w:sz="6" w:space="0"/>
              <w:left w:val="single" w:color="000000" w:sz="6" w:space="0"/>
              <w:bottom w:val="single" w:color="000000" w:sz="6" w:space="0"/>
              <w:right w:val="single" w:color="000000" w:sz="6" w:space="0"/>
            </w:tcBorders>
            <w:vAlign w:val="center"/>
          </w:tcPr>
          <w:p w14:paraId="566E7A71">
            <w:pPr>
              <w:pStyle w:val="33"/>
              <w:rPr>
                <w:color w:val="auto"/>
              </w:rPr>
            </w:pPr>
          </w:p>
        </w:tc>
        <w:tc>
          <w:tcPr>
            <w:tcW w:w="947" w:type="dxa"/>
            <w:vMerge w:val="continue"/>
            <w:tcBorders>
              <w:top w:val="single" w:color="000000" w:sz="6" w:space="0"/>
              <w:left w:val="single" w:color="000000" w:sz="6" w:space="0"/>
              <w:bottom w:val="single" w:color="000000" w:sz="6" w:space="0"/>
              <w:right w:val="single" w:color="000000" w:sz="6" w:space="0"/>
            </w:tcBorders>
            <w:vAlign w:val="center"/>
          </w:tcPr>
          <w:p w14:paraId="675C2095">
            <w:pPr>
              <w:pStyle w:val="33"/>
              <w:rPr>
                <w:color w:val="auto"/>
              </w:rPr>
            </w:pPr>
          </w:p>
        </w:tc>
        <w:tc>
          <w:tcPr>
            <w:tcW w:w="2225" w:type="dxa"/>
            <w:gridSpan w:val="2"/>
            <w:tcBorders>
              <w:top w:val="single" w:color="000000" w:sz="6" w:space="0"/>
              <w:left w:val="single" w:color="000000" w:sz="6" w:space="0"/>
              <w:bottom w:val="single" w:color="000000" w:sz="6" w:space="0"/>
              <w:right w:val="single" w:color="000000" w:sz="6" w:space="0"/>
            </w:tcBorders>
            <w:vAlign w:val="center"/>
          </w:tcPr>
          <w:p w14:paraId="545AE4AC">
            <w:pPr>
              <w:pStyle w:val="33"/>
              <w:rPr>
                <w:color w:val="auto"/>
              </w:rPr>
            </w:pPr>
            <w:r>
              <w:rPr>
                <w:color w:val="auto"/>
              </w:rPr>
              <w:t>环境应急</w:t>
            </w:r>
          </w:p>
        </w:tc>
        <w:tc>
          <w:tcPr>
            <w:tcW w:w="1056" w:type="dxa"/>
            <w:tcBorders>
              <w:top w:val="single" w:color="000000" w:sz="6" w:space="0"/>
              <w:left w:val="single" w:color="000000" w:sz="6" w:space="0"/>
              <w:bottom w:val="single" w:color="000000" w:sz="6" w:space="0"/>
              <w:right w:val="single" w:color="000000" w:sz="6" w:space="0"/>
            </w:tcBorders>
            <w:vAlign w:val="center"/>
          </w:tcPr>
          <w:p w14:paraId="3E036D95">
            <w:pPr>
              <w:pStyle w:val="33"/>
              <w:rPr>
                <w:color w:val="auto"/>
              </w:rPr>
            </w:pPr>
            <w:r>
              <w:rPr>
                <w:color w:val="auto"/>
              </w:rPr>
              <w:t>0.065</w:t>
            </w:r>
          </w:p>
        </w:tc>
        <w:tc>
          <w:tcPr>
            <w:tcW w:w="2717" w:type="dxa"/>
            <w:tcBorders>
              <w:top w:val="single" w:color="000000" w:sz="6" w:space="0"/>
              <w:left w:val="single" w:color="000000" w:sz="6" w:space="0"/>
              <w:bottom w:val="single" w:color="000000" w:sz="6" w:space="0"/>
              <w:right w:val="single" w:color="000000" w:sz="6" w:space="0"/>
            </w:tcBorders>
            <w:vAlign w:val="center"/>
          </w:tcPr>
          <w:p w14:paraId="248FB177">
            <w:pPr>
              <w:pStyle w:val="33"/>
              <w:rPr>
                <w:color w:val="auto"/>
              </w:rPr>
            </w:pPr>
            <w:r>
              <w:rPr>
                <w:color w:val="auto"/>
              </w:rPr>
              <w:t>编制系统的环境应急预案；开展环境应急演练</w:t>
            </w:r>
          </w:p>
        </w:tc>
        <w:tc>
          <w:tcPr>
            <w:tcW w:w="4192" w:type="dxa"/>
            <w:gridSpan w:val="3"/>
            <w:tcBorders>
              <w:top w:val="single" w:color="000000" w:sz="6" w:space="0"/>
              <w:left w:val="single" w:color="000000" w:sz="6" w:space="0"/>
              <w:bottom w:val="single" w:color="000000" w:sz="6" w:space="0"/>
              <w:right w:val="single" w:color="000000" w:sz="6" w:space="0"/>
            </w:tcBorders>
            <w:vAlign w:val="center"/>
          </w:tcPr>
          <w:p w14:paraId="3797EEE2">
            <w:pPr>
              <w:pStyle w:val="33"/>
              <w:rPr>
                <w:color w:val="auto"/>
              </w:rPr>
            </w:pPr>
            <w:r>
              <w:rPr>
                <w:color w:val="auto"/>
              </w:rPr>
              <w:t>编制系统的环境应急预案</w:t>
            </w:r>
          </w:p>
        </w:tc>
        <w:tc>
          <w:tcPr>
            <w:tcW w:w="1224" w:type="dxa"/>
            <w:tcBorders>
              <w:top w:val="single" w:color="000000" w:sz="6" w:space="0"/>
              <w:left w:val="single" w:color="000000" w:sz="6" w:space="0"/>
              <w:bottom w:val="single" w:color="000000" w:sz="6" w:space="0"/>
              <w:right w:val="single" w:color="000000" w:sz="6" w:space="0"/>
            </w:tcBorders>
            <w:vAlign w:val="center"/>
          </w:tcPr>
          <w:p w14:paraId="5AB426F9">
            <w:pPr>
              <w:pStyle w:val="33"/>
              <w:rPr>
                <w:color w:val="auto"/>
              </w:rPr>
            </w:pPr>
            <w:r>
              <w:rPr>
                <w:color w:val="auto"/>
              </w:rPr>
              <w:t>符合，I级</w:t>
            </w:r>
          </w:p>
        </w:tc>
      </w:tr>
    </w:tbl>
    <w:p w14:paraId="7F721443">
      <w:pPr>
        <w:ind w:firstLine="0" w:firstLineChars="0"/>
        <w:rPr>
          <w:color w:val="auto"/>
        </w:rPr>
      </w:pPr>
    </w:p>
    <w:p w14:paraId="7AE7AD4F">
      <w:pPr>
        <w:ind w:firstLine="0" w:firstLineChars="0"/>
        <w:rPr>
          <w:color w:val="auto"/>
        </w:rPr>
        <w:sectPr>
          <w:pgSz w:w="16838" w:h="11906" w:orient="landscape"/>
          <w:pgMar w:top="1418" w:right="1418" w:bottom="1418" w:left="1418" w:header="851" w:footer="992" w:gutter="0"/>
          <w:cols w:space="425" w:num="1"/>
          <w:docGrid w:type="lines" w:linePitch="326" w:charSpace="0"/>
        </w:sectPr>
      </w:pPr>
    </w:p>
    <w:p w14:paraId="121B8A37">
      <w:pPr>
        <w:ind w:firstLine="480"/>
        <w:rPr>
          <w:color w:val="auto"/>
        </w:rPr>
      </w:pPr>
      <w:r>
        <w:rPr>
          <w:rFonts w:hint="eastAsia"/>
          <w:color w:val="auto"/>
        </w:rPr>
        <w:t>（1）各单元综合评价指数Ygk</w:t>
      </w:r>
    </w:p>
    <w:p w14:paraId="45920AB1">
      <w:pPr>
        <w:ind w:firstLine="480"/>
        <w:rPr>
          <w:color w:val="auto"/>
        </w:rPr>
      </w:pPr>
      <w:r>
        <w:rPr>
          <w:rFonts w:hint="eastAsia"/>
          <w:color w:val="auto"/>
        </w:rPr>
        <w:t>通过与《制浆造纸行业清洁生产评价指标体系》中各项指标要求对比分析，根据各级指标计算结果可得各单元综合评价指数，见下表。</w:t>
      </w:r>
    </w:p>
    <w:p w14:paraId="0EB0F04F">
      <w:pPr>
        <w:pStyle w:val="7"/>
        <w:rPr>
          <w:color w:val="auto"/>
        </w:rPr>
      </w:pPr>
      <w:r>
        <w:rPr>
          <w:rFonts w:hint="eastAsia"/>
          <w:color w:val="auto"/>
        </w:rPr>
        <w:t>生活纸单元综合评价指数Ygk</w:t>
      </w:r>
    </w:p>
    <w:tbl>
      <w:tblPr>
        <w:tblStyle w:val="2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2321"/>
        <w:gridCol w:w="2322"/>
        <w:gridCol w:w="2322"/>
      </w:tblGrid>
      <w:tr w14:paraId="3E332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321" w:type="dxa"/>
            <w:tcBorders>
              <w:top w:val="single" w:color="auto" w:sz="4" w:space="0"/>
              <w:left w:val="single" w:color="auto" w:sz="4" w:space="0"/>
              <w:bottom w:val="single" w:color="auto" w:sz="4" w:space="0"/>
              <w:right w:val="single" w:color="auto" w:sz="4" w:space="0"/>
            </w:tcBorders>
            <w:vAlign w:val="center"/>
          </w:tcPr>
          <w:p w14:paraId="34FFCF88">
            <w:pPr>
              <w:pStyle w:val="33"/>
              <w:rPr>
                <w:color w:val="auto"/>
              </w:rPr>
            </w:pPr>
            <w:r>
              <w:rPr>
                <w:color w:val="auto"/>
              </w:rPr>
              <w:t>单元</w:t>
            </w:r>
          </w:p>
        </w:tc>
        <w:tc>
          <w:tcPr>
            <w:tcW w:w="2321" w:type="dxa"/>
            <w:tcBorders>
              <w:top w:val="single" w:color="auto" w:sz="4" w:space="0"/>
              <w:left w:val="single" w:color="auto" w:sz="4" w:space="0"/>
              <w:bottom w:val="single" w:color="auto" w:sz="4" w:space="0"/>
              <w:right w:val="single" w:color="auto" w:sz="4" w:space="0"/>
            </w:tcBorders>
            <w:vAlign w:val="center"/>
          </w:tcPr>
          <w:p w14:paraId="54C95D29">
            <w:pPr>
              <w:pStyle w:val="33"/>
              <w:rPr>
                <w:color w:val="auto"/>
              </w:rPr>
            </w:pPr>
            <w:r>
              <w:rPr>
                <w:color w:val="auto"/>
              </w:rPr>
              <w:t>Yg1</w:t>
            </w:r>
          </w:p>
        </w:tc>
        <w:tc>
          <w:tcPr>
            <w:tcW w:w="2322" w:type="dxa"/>
            <w:tcBorders>
              <w:top w:val="single" w:color="auto" w:sz="4" w:space="0"/>
              <w:left w:val="single" w:color="auto" w:sz="4" w:space="0"/>
              <w:bottom w:val="single" w:color="auto" w:sz="4" w:space="0"/>
              <w:right w:val="single" w:color="auto" w:sz="4" w:space="0"/>
            </w:tcBorders>
            <w:vAlign w:val="center"/>
          </w:tcPr>
          <w:p w14:paraId="4C07D60B">
            <w:pPr>
              <w:pStyle w:val="33"/>
              <w:rPr>
                <w:color w:val="auto"/>
              </w:rPr>
            </w:pPr>
            <w:r>
              <w:rPr>
                <w:color w:val="auto"/>
              </w:rPr>
              <w:t>Yg2</w:t>
            </w:r>
          </w:p>
        </w:tc>
        <w:tc>
          <w:tcPr>
            <w:tcW w:w="2322" w:type="dxa"/>
            <w:tcBorders>
              <w:top w:val="single" w:color="auto" w:sz="4" w:space="0"/>
              <w:left w:val="single" w:color="auto" w:sz="4" w:space="0"/>
              <w:bottom w:val="single" w:color="auto" w:sz="4" w:space="0"/>
              <w:right w:val="single" w:color="auto" w:sz="4" w:space="0"/>
            </w:tcBorders>
            <w:vAlign w:val="center"/>
          </w:tcPr>
          <w:p w14:paraId="63AB5044">
            <w:pPr>
              <w:pStyle w:val="33"/>
              <w:rPr>
                <w:color w:val="auto"/>
              </w:rPr>
            </w:pPr>
            <w:r>
              <w:rPr>
                <w:color w:val="auto"/>
              </w:rPr>
              <w:t>Yg3</w:t>
            </w:r>
          </w:p>
        </w:tc>
      </w:tr>
      <w:tr w14:paraId="77E89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2321" w:type="dxa"/>
            <w:tcBorders>
              <w:top w:val="single" w:color="auto" w:sz="4" w:space="0"/>
              <w:left w:val="single" w:color="auto" w:sz="4" w:space="0"/>
              <w:bottom w:val="single" w:color="auto" w:sz="4" w:space="0"/>
              <w:right w:val="single" w:color="auto" w:sz="4" w:space="0"/>
            </w:tcBorders>
            <w:vAlign w:val="center"/>
          </w:tcPr>
          <w:p w14:paraId="4C42D900">
            <w:pPr>
              <w:pStyle w:val="33"/>
              <w:rPr>
                <w:color w:val="auto"/>
              </w:rPr>
            </w:pPr>
            <w:r>
              <w:rPr>
                <w:rFonts w:hint="eastAsia"/>
                <w:color w:val="auto"/>
              </w:rPr>
              <w:t>生活用</w:t>
            </w:r>
            <w:r>
              <w:rPr>
                <w:color w:val="auto"/>
              </w:rPr>
              <w:t>纸</w:t>
            </w:r>
          </w:p>
        </w:tc>
        <w:tc>
          <w:tcPr>
            <w:tcW w:w="2321" w:type="dxa"/>
            <w:tcBorders>
              <w:top w:val="single" w:color="auto" w:sz="4" w:space="0"/>
              <w:left w:val="single" w:color="auto" w:sz="4" w:space="0"/>
              <w:bottom w:val="single" w:color="auto" w:sz="4" w:space="0"/>
              <w:right w:val="single" w:color="auto" w:sz="4" w:space="0"/>
            </w:tcBorders>
            <w:vAlign w:val="center"/>
          </w:tcPr>
          <w:p w14:paraId="3B8BB2A9">
            <w:pPr>
              <w:pStyle w:val="33"/>
              <w:rPr>
                <w:color w:val="auto"/>
              </w:rPr>
            </w:pPr>
            <w:r>
              <w:rPr>
                <w:color w:val="auto"/>
              </w:rPr>
              <w:t>100</w:t>
            </w:r>
          </w:p>
        </w:tc>
        <w:tc>
          <w:tcPr>
            <w:tcW w:w="2322" w:type="dxa"/>
            <w:tcBorders>
              <w:top w:val="single" w:color="auto" w:sz="4" w:space="0"/>
              <w:left w:val="single" w:color="auto" w:sz="4" w:space="0"/>
              <w:bottom w:val="single" w:color="auto" w:sz="4" w:space="0"/>
              <w:right w:val="single" w:color="auto" w:sz="4" w:space="0"/>
            </w:tcBorders>
            <w:vAlign w:val="center"/>
          </w:tcPr>
          <w:p w14:paraId="7951D92E">
            <w:pPr>
              <w:pStyle w:val="33"/>
              <w:rPr>
                <w:color w:val="auto"/>
              </w:rPr>
            </w:pPr>
            <w:r>
              <w:rPr>
                <w:color w:val="auto"/>
              </w:rPr>
              <w:t>100</w:t>
            </w:r>
          </w:p>
        </w:tc>
        <w:tc>
          <w:tcPr>
            <w:tcW w:w="2322" w:type="dxa"/>
            <w:tcBorders>
              <w:top w:val="single" w:color="auto" w:sz="4" w:space="0"/>
              <w:left w:val="single" w:color="auto" w:sz="4" w:space="0"/>
              <w:bottom w:val="single" w:color="auto" w:sz="4" w:space="0"/>
              <w:right w:val="single" w:color="auto" w:sz="4" w:space="0"/>
            </w:tcBorders>
            <w:vAlign w:val="center"/>
          </w:tcPr>
          <w:p w14:paraId="5405A71B">
            <w:pPr>
              <w:pStyle w:val="33"/>
              <w:rPr>
                <w:color w:val="auto"/>
              </w:rPr>
            </w:pPr>
            <w:r>
              <w:rPr>
                <w:color w:val="auto"/>
              </w:rPr>
              <w:t>100</w:t>
            </w:r>
          </w:p>
        </w:tc>
      </w:tr>
    </w:tbl>
    <w:p w14:paraId="3121750C">
      <w:pPr>
        <w:ind w:firstLine="480"/>
        <w:rPr>
          <w:color w:val="auto"/>
        </w:rPr>
      </w:pPr>
      <w:r>
        <w:rPr>
          <w:rFonts w:hint="eastAsia"/>
          <w:color w:val="auto"/>
        </w:rPr>
        <w:t>（2）清洁生产水平分析</w:t>
      </w:r>
    </w:p>
    <w:p w14:paraId="6B940A6C">
      <w:pPr>
        <w:ind w:firstLine="480"/>
        <w:rPr>
          <w:color w:val="auto"/>
        </w:rPr>
      </w:pPr>
      <w:r>
        <w:rPr>
          <w:rFonts w:hint="eastAsia"/>
          <w:color w:val="auto"/>
        </w:rPr>
        <w:t>因此</w:t>
      </w:r>
      <w:r>
        <w:rPr>
          <w:color w:val="auto"/>
        </w:rPr>
        <w:t>，项目Y</w:t>
      </w:r>
      <w:r>
        <w:rPr>
          <w:color w:val="auto"/>
          <w:vertAlign w:val="subscript"/>
        </w:rPr>
        <w:t>Ⅰ</w:t>
      </w:r>
      <w:r>
        <w:rPr>
          <w:color w:val="auto"/>
          <w:vertAlign w:val="superscript"/>
        </w:rPr>
        <w:t>’</w:t>
      </w:r>
      <w:r>
        <w:rPr>
          <w:color w:val="auto"/>
        </w:rPr>
        <w:t>=100，Y</w:t>
      </w:r>
      <w:r>
        <w:rPr>
          <w:color w:val="auto"/>
          <w:vertAlign w:val="subscript"/>
        </w:rPr>
        <w:t>Ⅱ</w:t>
      </w:r>
      <w:r>
        <w:rPr>
          <w:color w:val="auto"/>
          <w:vertAlign w:val="superscript"/>
        </w:rPr>
        <w:t>’</w:t>
      </w:r>
      <w:r>
        <w:rPr>
          <w:color w:val="auto"/>
        </w:rPr>
        <w:t>=100，Y</w:t>
      </w:r>
      <w:r>
        <w:rPr>
          <w:color w:val="auto"/>
          <w:vertAlign w:val="subscript"/>
        </w:rPr>
        <w:t>Ⅲ</w:t>
      </w:r>
      <w:r>
        <w:rPr>
          <w:color w:val="auto"/>
          <w:vertAlign w:val="superscript"/>
        </w:rPr>
        <w:t>’</w:t>
      </w:r>
      <w:r>
        <w:rPr>
          <w:color w:val="auto"/>
        </w:rPr>
        <w:t>=100，项目各限定性指标全部满足I级基准值要求，对照</w:t>
      </w:r>
      <w:r>
        <w:rPr>
          <w:rFonts w:hint="eastAsia"/>
          <w:color w:val="auto"/>
        </w:rPr>
        <w:t>下表</w:t>
      </w:r>
      <w:r>
        <w:rPr>
          <w:color w:val="auto"/>
        </w:rPr>
        <w:t>，本项目清洁生产水平总体可达到I级，即可达到国际清洁生产领先水平</w:t>
      </w:r>
      <w:r>
        <w:rPr>
          <w:rFonts w:hint="eastAsia"/>
          <w:color w:val="auto"/>
        </w:rPr>
        <w:t>。</w:t>
      </w:r>
    </w:p>
    <w:p w14:paraId="2960D2DD">
      <w:pPr>
        <w:pStyle w:val="7"/>
        <w:rPr>
          <w:color w:val="auto"/>
        </w:rPr>
      </w:pPr>
      <w:r>
        <w:rPr>
          <w:rFonts w:hint="eastAsia"/>
          <w:color w:val="auto"/>
        </w:rPr>
        <w:t>制浆造纸行业不同等级清洁生产综合评价指数</w:t>
      </w:r>
    </w:p>
    <w:tbl>
      <w:tblPr>
        <w:tblStyle w:val="2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39"/>
        <w:gridCol w:w="5747"/>
      </w:tblGrid>
      <w:tr w14:paraId="43379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3539" w:type="dxa"/>
            <w:tcBorders>
              <w:top w:val="single" w:color="auto" w:sz="4" w:space="0"/>
              <w:left w:val="single" w:color="auto" w:sz="4" w:space="0"/>
              <w:bottom w:val="single" w:color="auto" w:sz="4" w:space="0"/>
              <w:right w:val="single" w:color="auto" w:sz="4" w:space="0"/>
            </w:tcBorders>
            <w:vAlign w:val="center"/>
          </w:tcPr>
          <w:p w14:paraId="0286250E">
            <w:pPr>
              <w:pStyle w:val="33"/>
              <w:rPr>
                <w:color w:val="auto"/>
              </w:rPr>
            </w:pPr>
            <w:r>
              <w:rPr>
                <w:color w:val="auto"/>
              </w:rPr>
              <w:t>企业清洁生产水平</w:t>
            </w:r>
          </w:p>
        </w:tc>
        <w:tc>
          <w:tcPr>
            <w:tcW w:w="5747" w:type="dxa"/>
            <w:tcBorders>
              <w:top w:val="single" w:color="auto" w:sz="4" w:space="0"/>
              <w:left w:val="single" w:color="auto" w:sz="4" w:space="0"/>
              <w:bottom w:val="single" w:color="auto" w:sz="4" w:space="0"/>
              <w:right w:val="single" w:color="auto" w:sz="4" w:space="0"/>
            </w:tcBorders>
            <w:vAlign w:val="center"/>
          </w:tcPr>
          <w:p w14:paraId="6F484979">
            <w:pPr>
              <w:pStyle w:val="33"/>
              <w:rPr>
                <w:color w:val="auto"/>
              </w:rPr>
            </w:pPr>
            <w:r>
              <w:rPr>
                <w:color w:val="auto"/>
              </w:rPr>
              <w:t>评定条件</w:t>
            </w:r>
          </w:p>
        </w:tc>
      </w:tr>
      <w:tr w14:paraId="616A4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39" w:type="dxa"/>
            <w:tcBorders>
              <w:top w:val="single" w:color="auto" w:sz="4" w:space="0"/>
              <w:left w:val="single" w:color="auto" w:sz="4" w:space="0"/>
              <w:bottom w:val="single" w:color="auto" w:sz="4" w:space="0"/>
              <w:right w:val="single" w:color="auto" w:sz="4" w:space="0"/>
            </w:tcBorders>
            <w:vAlign w:val="center"/>
          </w:tcPr>
          <w:p w14:paraId="472C0E8E">
            <w:pPr>
              <w:pStyle w:val="33"/>
              <w:rPr>
                <w:color w:val="auto"/>
              </w:rPr>
            </w:pPr>
            <w:r>
              <w:rPr>
                <w:color w:val="auto"/>
              </w:rPr>
              <w:t>Ⅰ级（国际清洁生产领先水平）</w:t>
            </w:r>
          </w:p>
        </w:tc>
        <w:tc>
          <w:tcPr>
            <w:tcW w:w="5747" w:type="dxa"/>
            <w:tcBorders>
              <w:top w:val="single" w:color="auto" w:sz="4" w:space="0"/>
              <w:left w:val="single" w:color="auto" w:sz="4" w:space="0"/>
              <w:bottom w:val="single" w:color="auto" w:sz="4" w:space="0"/>
              <w:right w:val="single" w:color="auto" w:sz="4" w:space="0"/>
            </w:tcBorders>
            <w:vAlign w:val="center"/>
          </w:tcPr>
          <w:p w14:paraId="003737F4">
            <w:pPr>
              <w:pStyle w:val="33"/>
              <w:rPr>
                <w:color w:val="auto"/>
              </w:rPr>
            </w:pPr>
            <w:r>
              <w:rPr>
                <w:color w:val="auto"/>
              </w:rPr>
              <w:t>同时满足：YⅠ’≥85；限定性指标全部满足Ⅰ级基准值要求。</w:t>
            </w:r>
          </w:p>
        </w:tc>
      </w:tr>
      <w:tr w14:paraId="11633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39" w:type="dxa"/>
            <w:tcBorders>
              <w:top w:val="single" w:color="auto" w:sz="4" w:space="0"/>
              <w:left w:val="single" w:color="auto" w:sz="4" w:space="0"/>
              <w:bottom w:val="single" w:color="auto" w:sz="4" w:space="0"/>
              <w:right w:val="single" w:color="auto" w:sz="4" w:space="0"/>
            </w:tcBorders>
            <w:vAlign w:val="center"/>
          </w:tcPr>
          <w:p w14:paraId="445A6FB1">
            <w:pPr>
              <w:pStyle w:val="33"/>
              <w:rPr>
                <w:color w:val="auto"/>
              </w:rPr>
            </w:pPr>
            <w:r>
              <w:rPr>
                <w:color w:val="auto"/>
              </w:rPr>
              <w:t>Ⅱ级（国内清洁生产领先水平）</w:t>
            </w:r>
          </w:p>
        </w:tc>
        <w:tc>
          <w:tcPr>
            <w:tcW w:w="5747" w:type="dxa"/>
            <w:tcBorders>
              <w:top w:val="single" w:color="auto" w:sz="4" w:space="0"/>
              <w:left w:val="single" w:color="auto" w:sz="4" w:space="0"/>
              <w:bottom w:val="single" w:color="auto" w:sz="4" w:space="0"/>
              <w:right w:val="single" w:color="auto" w:sz="4" w:space="0"/>
            </w:tcBorders>
            <w:vAlign w:val="center"/>
          </w:tcPr>
          <w:p w14:paraId="5C7BB889">
            <w:pPr>
              <w:pStyle w:val="33"/>
              <w:rPr>
                <w:color w:val="auto"/>
              </w:rPr>
            </w:pPr>
            <w:r>
              <w:rPr>
                <w:color w:val="auto"/>
              </w:rPr>
              <w:t>同时满足：YⅡ’≥85；限定性指标全部满足Ⅱ级基准值要求。</w:t>
            </w:r>
          </w:p>
        </w:tc>
      </w:tr>
      <w:tr w14:paraId="1A219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39" w:type="dxa"/>
            <w:tcBorders>
              <w:top w:val="single" w:color="auto" w:sz="4" w:space="0"/>
              <w:left w:val="single" w:color="auto" w:sz="4" w:space="0"/>
              <w:bottom w:val="single" w:color="auto" w:sz="4" w:space="0"/>
              <w:right w:val="single" w:color="auto" w:sz="4" w:space="0"/>
            </w:tcBorders>
            <w:vAlign w:val="center"/>
          </w:tcPr>
          <w:p w14:paraId="25DF9045">
            <w:pPr>
              <w:pStyle w:val="33"/>
              <w:rPr>
                <w:color w:val="auto"/>
              </w:rPr>
            </w:pPr>
            <w:r>
              <w:rPr>
                <w:color w:val="auto"/>
              </w:rPr>
              <w:t>Ⅲ级（国内清洁生产一般水平）</w:t>
            </w:r>
          </w:p>
        </w:tc>
        <w:tc>
          <w:tcPr>
            <w:tcW w:w="5747" w:type="dxa"/>
            <w:tcBorders>
              <w:top w:val="single" w:color="auto" w:sz="4" w:space="0"/>
              <w:left w:val="single" w:color="auto" w:sz="4" w:space="0"/>
              <w:bottom w:val="single" w:color="auto" w:sz="4" w:space="0"/>
              <w:right w:val="single" w:color="auto" w:sz="4" w:space="0"/>
            </w:tcBorders>
            <w:vAlign w:val="center"/>
          </w:tcPr>
          <w:p w14:paraId="0CAE69E8">
            <w:pPr>
              <w:pStyle w:val="33"/>
              <w:rPr>
                <w:color w:val="auto"/>
              </w:rPr>
            </w:pPr>
            <w:r>
              <w:rPr>
                <w:color w:val="auto"/>
              </w:rPr>
              <w:t>同时满足：YⅢ’≥85；限定性指标全部满足Ⅲ级基准值要求。</w:t>
            </w:r>
          </w:p>
        </w:tc>
      </w:tr>
    </w:tbl>
    <w:p w14:paraId="3066C098">
      <w:pPr>
        <w:ind w:firstLine="480"/>
        <w:rPr>
          <w:color w:val="auto"/>
        </w:rPr>
      </w:pPr>
    </w:p>
    <w:p w14:paraId="5D05B19D">
      <w:pPr>
        <w:ind w:firstLine="480"/>
        <w:rPr>
          <w:color w:val="auto"/>
        </w:rPr>
      </w:pPr>
    </w:p>
    <w:p w14:paraId="2A35B3F5">
      <w:pPr>
        <w:ind w:firstLine="480"/>
        <w:rPr>
          <w:color w:val="auto"/>
        </w:rPr>
        <w:sectPr>
          <w:pgSz w:w="11906" w:h="16838"/>
          <w:pgMar w:top="1418" w:right="1418" w:bottom="1418" w:left="1418" w:header="851" w:footer="992" w:gutter="0"/>
          <w:cols w:space="425" w:num="1"/>
          <w:docGrid w:type="lines" w:linePitch="312" w:charSpace="0"/>
        </w:sectPr>
      </w:pPr>
    </w:p>
    <w:p w14:paraId="06DD6568">
      <w:pPr>
        <w:pStyle w:val="2"/>
        <w:rPr>
          <w:color w:val="auto"/>
        </w:rPr>
      </w:pPr>
      <w:bookmarkStart w:id="231" w:name="_Toc221355715"/>
      <w:bookmarkStart w:id="232" w:name="_Toc225216721"/>
      <w:r>
        <w:rPr>
          <w:color w:val="auto"/>
        </w:rPr>
        <w:t>环境现状调查与评价</w:t>
      </w:r>
      <w:bookmarkEnd w:id="231"/>
      <w:bookmarkEnd w:id="232"/>
    </w:p>
    <w:p w14:paraId="0479D239">
      <w:pPr>
        <w:pStyle w:val="3"/>
        <w:rPr>
          <w:color w:val="auto"/>
        </w:rPr>
      </w:pPr>
      <w:bookmarkStart w:id="233" w:name="_Toc198390020"/>
      <w:bookmarkStart w:id="234" w:name="_Toc199190468"/>
      <w:bookmarkStart w:id="235" w:name="_Toc221355716"/>
      <w:bookmarkStart w:id="236" w:name="_Toc198390576"/>
      <w:bookmarkStart w:id="237" w:name="_Toc199168931"/>
      <w:bookmarkStart w:id="238" w:name="_Toc198391229"/>
      <w:bookmarkStart w:id="239" w:name="_Toc225216722"/>
      <w:r>
        <w:rPr>
          <w:rFonts w:hint="eastAsia"/>
          <w:color w:val="auto"/>
        </w:rPr>
        <w:t>自然环境调查与评价</w:t>
      </w:r>
      <w:bookmarkEnd w:id="233"/>
      <w:bookmarkEnd w:id="234"/>
      <w:bookmarkEnd w:id="235"/>
      <w:bookmarkEnd w:id="236"/>
      <w:bookmarkEnd w:id="237"/>
      <w:bookmarkEnd w:id="238"/>
      <w:bookmarkEnd w:id="239"/>
    </w:p>
    <w:p w14:paraId="50828B8E">
      <w:pPr>
        <w:pStyle w:val="4"/>
        <w:rPr>
          <w:color w:val="auto"/>
        </w:rPr>
      </w:pPr>
      <w:bookmarkStart w:id="240" w:name="_Toc225216723"/>
      <w:bookmarkStart w:id="241" w:name="_Toc198390577"/>
      <w:bookmarkStart w:id="242" w:name="_Toc199168932"/>
      <w:bookmarkStart w:id="243" w:name="_Toc198391230"/>
      <w:bookmarkStart w:id="244" w:name="_Toc199190469"/>
      <w:r>
        <w:rPr>
          <w:rFonts w:hint="eastAsia"/>
          <w:color w:val="auto"/>
        </w:rPr>
        <w:t>地理位置</w:t>
      </w:r>
      <w:bookmarkEnd w:id="240"/>
      <w:bookmarkEnd w:id="241"/>
      <w:bookmarkEnd w:id="242"/>
      <w:bookmarkEnd w:id="243"/>
      <w:bookmarkEnd w:id="244"/>
    </w:p>
    <w:p w14:paraId="3B309EED">
      <w:pPr>
        <w:ind w:firstLine="480"/>
        <w:rPr>
          <w:rFonts w:cs="Times New Roman"/>
          <w:color w:val="auto"/>
        </w:rPr>
      </w:pPr>
      <w:r>
        <w:rPr>
          <w:rFonts w:cs="Times New Roman"/>
          <w:color w:val="auto"/>
        </w:rPr>
        <w:t>钦州市位于广西壮族自治区南部，濒临北部湾畔，地理坐标北纬21°34′52″～22°28′01″，东经108°10′55″~109°09′12″。东与北海市和玉林市相连，南临钦州湾，西与防城港市毗邻，北与南宁市接壤，陆地总面积10843km</w:t>
      </w:r>
      <w:r>
        <w:rPr>
          <w:rFonts w:cs="Times New Roman"/>
          <w:color w:val="auto"/>
          <w:vertAlign w:val="superscript"/>
        </w:rPr>
        <w:t>2</w:t>
      </w:r>
      <w:r>
        <w:rPr>
          <w:rFonts w:cs="Times New Roman"/>
          <w:color w:val="auto"/>
        </w:rPr>
        <w:t>。钦州港位于我国南部沿海，处在北部湾的顶部、钦州湾的中部，三面环陆，一面向海，具有良好的天然深水水域和广阔的陆域，是我国西南海岸线的天然深水良港，是</w:t>
      </w:r>
      <w:r>
        <w:rPr>
          <w:rFonts w:hint="eastAsia" w:cs="Times New Roman"/>
          <w:color w:val="auto"/>
        </w:rPr>
        <w:t>“</w:t>
      </w:r>
      <w:r>
        <w:rPr>
          <w:rFonts w:cs="Times New Roman"/>
          <w:color w:val="auto"/>
        </w:rPr>
        <w:t>南北钦防</w:t>
      </w:r>
      <w:r>
        <w:rPr>
          <w:rFonts w:hint="eastAsia" w:cs="Times New Roman"/>
          <w:color w:val="auto"/>
        </w:rPr>
        <w:t>”</w:t>
      </w:r>
      <w:r>
        <w:rPr>
          <w:rFonts w:cs="Times New Roman"/>
          <w:color w:val="auto"/>
        </w:rPr>
        <w:t>环钦州湾沿海地区的中心枢纽和该区域</w:t>
      </w:r>
      <w:r>
        <w:rPr>
          <w:rFonts w:hint="eastAsia" w:cs="Times New Roman"/>
          <w:color w:val="auto"/>
        </w:rPr>
        <w:t>“</w:t>
      </w:r>
      <w:r>
        <w:rPr>
          <w:rFonts w:cs="Times New Roman"/>
          <w:color w:val="auto"/>
        </w:rPr>
        <w:t>人</w:t>
      </w:r>
      <w:r>
        <w:rPr>
          <w:rFonts w:hint="eastAsia" w:cs="Times New Roman"/>
          <w:color w:val="auto"/>
        </w:rPr>
        <w:t>”</w:t>
      </w:r>
      <w:r>
        <w:rPr>
          <w:rFonts w:cs="Times New Roman"/>
          <w:color w:val="auto"/>
        </w:rPr>
        <w:t>字型生产力布局的腰椎，其背靠大西南、面向东南亚，地理位置十分优越，是我国大西南最便捷的出海通道之一。</w:t>
      </w:r>
    </w:p>
    <w:p w14:paraId="534DC9DB">
      <w:pPr>
        <w:ind w:firstLine="480"/>
        <w:rPr>
          <w:rFonts w:cs="Times New Roman"/>
          <w:color w:val="auto"/>
        </w:rPr>
      </w:pPr>
      <w:r>
        <w:rPr>
          <w:rFonts w:cs="Times New Roman"/>
          <w:color w:val="auto"/>
        </w:rPr>
        <w:t>金桂浆纸位于广西壮族自治区钦州市钦南区大榄坪地区金光工业园区。金桂浆纸厂区地理位置详见附图1。拟建项目位于金桂浆纸现有厂址，位于广西钦州林浆纸产业园内，符合相关规划、环境功能区划要求。</w:t>
      </w:r>
    </w:p>
    <w:p w14:paraId="6A45B5A4">
      <w:pPr>
        <w:pStyle w:val="4"/>
        <w:rPr>
          <w:color w:val="auto"/>
        </w:rPr>
      </w:pPr>
      <w:bookmarkStart w:id="245" w:name="_Toc198391231"/>
      <w:bookmarkStart w:id="246" w:name="_Toc198390578"/>
      <w:bookmarkStart w:id="247" w:name="_Toc199168933"/>
      <w:bookmarkStart w:id="248" w:name="_Toc225216724"/>
      <w:bookmarkStart w:id="249" w:name="_Toc199190470"/>
      <w:r>
        <w:rPr>
          <w:rFonts w:hint="eastAsia"/>
          <w:color w:val="auto"/>
        </w:rPr>
        <w:t>气候气象</w:t>
      </w:r>
      <w:bookmarkEnd w:id="245"/>
      <w:bookmarkEnd w:id="246"/>
      <w:bookmarkEnd w:id="247"/>
      <w:bookmarkEnd w:id="248"/>
      <w:bookmarkEnd w:id="249"/>
    </w:p>
    <w:p w14:paraId="0F5641AD">
      <w:pPr>
        <w:ind w:firstLine="480"/>
        <w:rPr>
          <w:color w:val="auto"/>
          <w:szCs w:val="32"/>
        </w:rPr>
      </w:pPr>
      <w:r>
        <w:rPr>
          <w:rFonts w:hint="eastAsia"/>
          <w:color w:val="auto"/>
          <w:szCs w:val="32"/>
        </w:rPr>
        <w:t>拟建项目所在区域地处北回归线以南，属亚热带气候区。由于受季风环流的作用，加之特定的海陆配置和青藏高原的影响，调查区季节变化明显，干湿分明，灾害性天气较多，主要的灾害性天气有灾害风、低温阴雨、暴雨、冰雹、干旱以及冻害天气等。</w:t>
      </w:r>
    </w:p>
    <w:p w14:paraId="7B224F4E">
      <w:pPr>
        <w:ind w:firstLine="480"/>
        <w:rPr>
          <w:color w:val="auto"/>
          <w:szCs w:val="32"/>
        </w:rPr>
      </w:pPr>
      <w:r>
        <w:rPr>
          <w:rFonts w:hint="eastAsia"/>
          <w:color w:val="auto"/>
          <w:szCs w:val="32"/>
        </w:rPr>
        <w:t>根据钦州市近20年常规地面气象统计资料，园区所在地年平均气温23℃，年最高气温37.9℃，年最低气温1.6℃;年平均降水量2209.9mm，主导风向是N，风向频率是16.5%，年平均风速2.2m/s，年最大风速21.7m/s，平均静风频率为6%。多年平均气压为1010.8hPa，平均相对湿度77.7%。</w:t>
      </w:r>
    </w:p>
    <w:p w14:paraId="6E494BC9">
      <w:pPr>
        <w:pStyle w:val="4"/>
        <w:rPr>
          <w:color w:val="auto"/>
        </w:rPr>
      </w:pPr>
      <w:bookmarkStart w:id="250" w:name="_Toc225216725"/>
      <w:r>
        <w:rPr>
          <w:rFonts w:hint="eastAsia"/>
          <w:color w:val="auto"/>
        </w:rPr>
        <w:t>区域地形地貌</w:t>
      </w:r>
      <w:bookmarkEnd w:id="250"/>
    </w:p>
    <w:p w14:paraId="3169D7AF">
      <w:pPr>
        <w:ind w:firstLine="480"/>
        <w:rPr>
          <w:rFonts w:cs="Times New Roman"/>
          <w:color w:val="auto"/>
        </w:rPr>
      </w:pPr>
      <w:r>
        <w:rPr>
          <w:rFonts w:cs="Times New Roman"/>
          <w:color w:val="auto"/>
        </w:rPr>
        <w:t>（1）钦州湾海岸地形、地貌</w:t>
      </w:r>
    </w:p>
    <w:p w14:paraId="4484251F">
      <w:pPr>
        <w:ind w:firstLine="480"/>
        <w:rPr>
          <w:rFonts w:cs="Times New Roman"/>
          <w:color w:val="auto"/>
        </w:rPr>
      </w:pPr>
      <w:r>
        <w:rPr>
          <w:rFonts w:cs="Times New Roman"/>
          <w:color w:val="auto"/>
        </w:rPr>
        <w:t>钦州湾湾口朝南，东、北、西三面丘陵环抱，是一个半封闭的天然海湾。该湾由内湾（茅尾海）、龙门水道和外湾（狭义的钦州湾）构成，其特点是，中间狭窄、两端宽阔。钦州湾口门宽25km，纵深39km，自南向北逐渐减小，在北纬21°42′~21°48′自西向东发育成龙门港~茅尾海、金鼓江、鹿耳环江等海汊，并以龙门港~茅尾海为主，实为钦州湾的内湾。钦州市两条主要江河钦江和茅岭江，分别从东北、西北向汇入茅尾海。</w:t>
      </w:r>
    </w:p>
    <w:p w14:paraId="1C90FA38">
      <w:pPr>
        <w:ind w:firstLine="480"/>
        <w:rPr>
          <w:rFonts w:cs="Times New Roman"/>
          <w:color w:val="auto"/>
        </w:rPr>
      </w:pPr>
      <w:r>
        <w:rPr>
          <w:rFonts w:cs="Times New Roman"/>
          <w:color w:val="auto"/>
        </w:rPr>
        <w:t>钦州湾海岸呈低山丘陵、微斜平原及海漫滩地貌。钦州湾海岸由于受地质构造影响以及海水长期浸蚀，基本上没有大片宽阔平坦陆域，海岸周边内大多为砂砾质岩岸。从青菜头至亚公山一带（即内湾海岸南段）礁岛星罗棋布，港汊繁多，蜿蜒曲折，成为典型的台地溺谷。总的来说，该湾段分成东、西两汊，东汊为主，贯通全段，其陆岸为众多弯弯曲曲的小海汊分隔的低丘小岛，从岸线至钦州市约33km，多为低丘地貌，其间除零星散落一些村庄以外，尚无其它重要建筑；西汊为支汊，在湾段以内分汊，较小而短，是现有龙门港之港址所在。其陆岸多为山丘地形，与企沙半岛毗连，岸线附近有龙门乡。</w:t>
      </w:r>
    </w:p>
    <w:p w14:paraId="00DBF5AA">
      <w:pPr>
        <w:ind w:firstLine="480"/>
        <w:rPr>
          <w:rFonts w:cs="Times New Roman"/>
          <w:color w:val="auto"/>
        </w:rPr>
      </w:pPr>
      <w:r>
        <w:rPr>
          <w:rFonts w:cs="Times New Roman"/>
          <w:color w:val="auto"/>
        </w:rPr>
        <w:t>亚公山以北即钦州湾内湾北段茅尾海，水域面积达113.4km</w:t>
      </w:r>
      <w:r>
        <w:rPr>
          <w:rFonts w:cs="Times New Roman"/>
          <w:color w:val="auto"/>
          <w:vertAlign w:val="superscript"/>
        </w:rPr>
        <w:t>2</w:t>
      </w:r>
      <w:r>
        <w:rPr>
          <w:rFonts w:cs="Times New Roman"/>
          <w:color w:val="auto"/>
        </w:rPr>
        <w:t>，其北部特别在茅岭江和钦江河口附近沉积发育大片泥沙浅滩，低潮时浅滩大部分露出水面，浅滩总面积约占茅尾海湾段面积80%以上，被两江河口分流了的许多小支汊分割，形成典型的河口拦门沙。</w:t>
      </w:r>
    </w:p>
    <w:p w14:paraId="116C1A88">
      <w:pPr>
        <w:ind w:firstLine="480"/>
        <w:rPr>
          <w:rFonts w:cs="Times New Roman"/>
          <w:color w:val="auto"/>
        </w:rPr>
      </w:pPr>
      <w:r>
        <w:rPr>
          <w:rFonts w:cs="Times New Roman"/>
          <w:color w:val="auto"/>
        </w:rPr>
        <w:t xml:space="preserve">（2）港湾水域 </w:t>
      </w:r>
    </w:p>
    <w:p w14:paraId="7B42877B">
      <w:pPr>
        <w:ind w:firstLine="480"/>
        <w:rPr>
          <w:rFonts w:cs="Times New Roman"/>
          <w:color w:val="auto"/>
        </w:rPr>
      </w:pPr>
      <w:r>
        <w:rPr>
          <w:rFonts w:cs="Times New Roman"/>
          <w:color w:val="auto"/>
        </w:rPr>
        <w:t>钦州湾内湾（即龙门—茅尾海）水域宽阔，其南段自青菜头至亚公山，南北长8.5km、东西宽5km以上，10m深水区域宽150~1000m，距岸200~500m、长8km以上，为大中型港口建设提供了极为充足的港池水域条件。</w:t>
      </w:r>
    </w:p>
    <w:p w14:paraId="4254683E">
      <w:pPr>
        <w:ind w:firstLine="480"/>
        <w:rPr>
          <w:rFonts w:cs="Times New Roman"/>
          <w:color w:val="auto"/>
        </w:rPr>
      </w:pPr>
      <w:r>
        <w:rPr>
          <w:rFonts w:cs="Times New Roman"/>
          <w:color w:val="auto"/>
        </w:rPr>
        <w:t>（3）海岸及海岸类型、海底地貌</w:t>
      </w:r>
    </w:p>
    <w:p w14:paraId="3B2FD9A2">
      <w:pPr>
        <w:ind w:firstLine="480"/>
        <w:rPr>
          <w:rFonts w:cs="Times New Roman"/>
          <w:color w:val="auto"/>
        </w:rPr>
      </w:pPr>
      <w:r>
        <w:rPr>
          <w:rFonts w:ascii="Cambria Math" w:hAnsi="Cambria Math" w:cs="Cambria Math"/>
          <w:color w:val="auto"/>
        </w:rPr>
        <w:t>①</w:t>
      </w:r>
      <w:r>
        <w:rPr>
          <w:rFonts w:cs="Times New Roman"/>
          <w:color w:val="auto"/>
        </w:rPr>
        <w:t xml:space="preserve">海岸、海底地貌及海岸类型 </w:t>
      </w:r>
    </w:p>
    <w:p w14:paraId="35BCDDCA">
      <w:pPr>
        <w:ind w:firstLine="480"/>
        <w:rPr>
          <w:rFonts w:cs="Times New Roman"/>
          <w:color w:val="auto"/>
        </w:rPr>
      </w:pPr>
      <w:r>
        <w:rPr>
          <w:rFonts w:cs="Times New Roman"/>
          <w:color w:val="auto"/>
        </w:rPr>
        <w:t xml:space="preserve">钦州湾的地貌类型比较复杂。按照地貌成因类型和形态特征，钦州湾沿岸地貌和海底地貌，可划分为：侵蚀~剥蚀构造地貌、古洪积-冲积地貌、河流冲积地貌、河海混合堆积地貌~三角洲、海蚀地貌、海积地貌和海底地貌等7种类型。 </w:t>
      </w:r>
    </w:p>
    <w:p w14:paraId="2995623B">
      <w:pPr>
        <w:ind w:firstLine="480"/>
        <w:rPr>
          <w:rFonts w:cs="Times New Roman"/>
          <w:color w:val="auto"/>
        </w:rPr>
      </w:pPr>
      <w:r>
        <w:rPr>
          <w:rFonts w:ascii="Cambria Math" w:hAnsi="Cambria Math" w:cs="Cambria Math"/>
          <w:color w:val="auto"/>
        </w:rPr>
        <w:t>②</w:t>
      </w:r>
      <w:r>
        <w:rPr>
          <w:rFonts w:cs="Times New Roman"/>
          <w:color w:val="auto"/>
        </w:rPr>
        <w:t xml:space="preserve">海岸类型 </w:t>
      </w:r>
    </w:p>
    <w:p w14:paraId="62E62EB9">
      <w:pPr>
        <w:ind w:firstLine="480"/>
        <w:rPr>
          <w:rFonts w:cs="Times New Roman"/>
          <w:color w:val="auto"/>
        </w:rPr>
      </w:pPr>
      <w:r>
        <w:rPr>
          <w:rFonts w:cs="Times New Roman"/>
          <w:color w:val="auto"/>
        </w:rPr>
        <w:t>调查海域海岸类型主要有：淤泥质海岸、砂质海岸、基岩海岸、溺谷湾海岸、三角洲海岸和红树林海岸等。</w:t>
      </w:r>
    </w:p>
    <w:p w14:paraId="339B5F60">
      <w:pPr>
        <w:ind w:firstLine="480"/>
        <w:rPr>
          <w:color w:val="auto"/>
        </w:rPr>
      </w:pPr>
      <w:r>
        <w:rPr>
          <w:rFonts w:hint="eastAsia"/>
          <w:color w:val="auto"/>
        </w:rPr>
        <w:t>（4）评价区域地形地貌</w:t>
      </w:r>
    </w:p>
    <w:p w14:paraId="6AA6BC7D">
      <w:pPr>
        <w:ind w:firstLine="480"/>
        <w:rPr>
          <w:color w:val="auto"/>
        </w:rPr>
      </w:pPr>
      <w:r>
        <w:rPr>
          <w:rFonts w:hint="eastAsia"/>
          <w:color w:val="auto"/>
        </w:rPr>
        <w:t>评价区地处广西钦州市钦南区大榄坪海岛属波状丘陵地貌区，区域高程范围为2~20m，四周均为地表水体环绕，鹿耳环江和金鼓江分别于东西两侧，北侧为围海造地，海岛四周海（河）岸线长约22.8km，海岛周边多为淤泥质滩涂，北侧滩涂多经人工改造为养殖场和盐田。</w:t>
      </w:r>
    </w:p>
    <w:p w14:paraId="199A06B7">
      <w:pPr>
        <w:pStyle w:val="4"/>
        <w:rPr>
          <w:color w:val="auto"/>
        </w:rPr>
      </w:pPr>
      <w:bookmarkStart w:id="251" w:name="_Toc225216726"/>
      <w:r>
        <w:rPr>
          <w:rFonts w:hint="eastAsia"/>
          <w:color w:val="auto"/>
        </w:rPr>
        <w:t>区域地质构造</w:t>
      </w:r>
      <w:bookmarkEnd w:id="251"/>
      <w:bookmarkStart w:id="252" w:name="_Toc24132"/>
    </w:p>
    <w:p w14:paraId="45006542">
      <w:pPr>
        <w:ind w:firstLine="480"/>
        <w:rPr>
          <w:color w:val="auto"/>
        </w:rPr>
      </w:pPr>
      <w:r>
        <w:rPr>
          <w:rFonts w:hint="eastAsia"/>
          <w:color w:val="auto"/>
        </w:rPr>
        <w:t>（1）区域构造</w:t>
      </w:r>
    </w:p>
    <w:p w14:paraId="3B397975">
      <w:pPr>
        <w:ind w:firstLine="480"/>
        <w:rPr>
          <w:color w:val="auto"/>
        </w:rPr>
      </w:pPr>
      <w:r>
        <w:rPr>
          <w:rFonts w:hint="eastAsia"/>
          <w:color w:val="auto"/>
        </w:rPr>
        <w:t>评估区属于华南褶皱系中的钦州残余地槽，古生代以来，经受了加里东、华力西—印支、燕山、喜马拉雅等多期构造运动，形成了一系列的褶皱、断裂和多个构造盆地。评估区最近的构造为位于评估区北部的那丽背斜和坪上村逆断层。</w:t>
      </w:r>
    </w:p>
    <w:p w14:paraId="26F5473C">
      <w:pPr>
        <w:ind w:firstLine="480"/>
        <w:rPr>
          <w:color w:val="auto"/>
        </w:rPr>
      </w:pPr>
      <w:r>
        <w:rPr>
          <w:rFonts w:hint="eastAsia"/>
          <w:color w:val="auto"/>
        </w:rPr>
        <w:t>1）那丽背斜：据区域资料，那丽背斜长度约76km，宽度约4～13km，倾角35～75°，组成的地层为S</w:t>
      </w:r>
      <w:r>
        <w:rPr>
          <w:rFonts w:hint="eastAsia"/>
          <w:color w:val="auto"/>
          <w:vertAlign w:val="subscript"/>
        </w:rPr>
        <w:t>1</w:t>
      </w:r>
      <w:r>
        <w:rPr>
          <w:rFonts w:hint="eastAsia"/>
          <w:color w:val="auto"/>
        </w:rPr>
        <w:t>ln</w:t>
      </w:r>
      <w:r>
        <w:rPr>
          <w:rFonts w:hint="eastAsia"/>
          <w:color w:val="auto"/>
          <w:vertAlign w:val="superscript"/>
        </w:rPr>
        <w:t>b</w:t>
      </w:r>
      <w:r>
        <w:rPr>
          <w:rFonts w:hint="eastAsia"/>
          <w:color w:val="auto"/>
        </w:rPr>
        <w:t>、S</w:t>
      </w:r>
      <w:r>
        <w:rPr>
          <w:rFonts w:hint="eastAsia"/>
          <w:color w:val="auto"/>
          <w:vertAlign w:val="subscript"/>
        </w:rPr>
        <w:t>1</w:t>
      </w:r>
      <w:r>
        <w:rPr>
          <w:rFonts w:hint="eastAsia"/>
          <w:color w:val="auto"/>
        </w:rPr>
        <w:t>ln</w:t>
      </w:r>
      <w:r>
        <w:rPr>
          <w:rFonts w:hint="eastAsia"/>
          <w:color w:val="auto"/>
          <w:vertAlign w:val="superscript"/>
        </w:rPr>
        <w:t>e</w:t>
      </w:r>
      <w:r>
        <w:rPr>
          <w:rFonts w:hint="eastAsia"/>
          <w:color w:val="auto"/>
        </w:rPr>
        <w:t>，轴向略呈反“S”，次级褶皱发育，呈紧密线状，倾角较陡，局部倒转，该背斜距离评估区6.5～8.0km，距离较远，对评估区没有影响。</w:t>
      </w:r>
    </w:p>
    <w:p w14:paraId="2ABA9873">
      <w:pPr>
        <w:ind w:firstLine="480"/>
        <w:rPr>
          <w:color w:val="auto"/>
        </w:rPr>
      </w:pPr>
      <w:r>
        <w:rPr>
          <w:rFonts w:hint="eastAsia"/>
          <w:color w:val="auto"/>
        </w:rPr>
        <w:t>2）坪上村逆断层：坪上村逆断层倾向北西向，倾角46～80°，切割寒武系地层，断层延伸长度约23km，断裂带岩石挤压破碎，硅化，强烈拖褶，具斜冲擦痕，为逆断层，该断裂距离评估区距离5.5～6.0km，距离较远，对评估区没有影响。评估区内无断裂构造穿过，详见下图。</w:t>
      </w:r>
    </w:p>
    <w:p w14:paraId="53772A79">
      <w:pPr>
        <w:ind w:firstLine="480"/>
        <w:rPr>
          <w:color w:val="auto"/>
        </w:rPr>
      </w:pPr>
      <w:r>
        <w:rPr>
          <w:color w:val="auto"/>
        </w:rPr>
        <w:t xml:space="preserve"> </w:t>
      </w:r>
      <w:r>
        <w:rPr>
          <w:color w:val="auto"/>
        </w:rPr>
        <w:drawing>
          <wp:inline distT="0" distB="0" distL="0" distR="0">
            <wp:extent cx="4824730" cy="3336925"/>
            <wp:effectExtent l="0" t="0" r="0" b="0"/>
            <wp:docPr id="1749608646" name="图片 1"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608646" name="图片 1" descr="地图&#10;&#10;AI 生成的内容可能不正确。"/>
                    <pic:cNvPicPr>
                      <a:picLocks noChangeAspect="1"/>
                    </pic:cNvPicPr>
                  </pic:nvPicPr>
                  <pic:blipFill>
                    <a:blip r:embed="rId66"/>
                    <a:stretch>
                      <a:fillRect/>
                    </a:stretch>
                  </pic:blipFill>
                  <pic:spPr>
                    <a:xfrm>
                      <a:off x="0" y="0"/>
                      <a:ext cx="4842061" cy="3348868"/>
                    </a:xfrm>
                    <a:prstGeom prst="rect">
                      <a:avLst/>
                    </a:prstGeom>
                  </pic:spPr>
                </pic:pic>
              </a:graphicData>
            </a:graphic>
          </wp:inline>
        </w:drawing>
      </w:r>
    </w:p>
    <w:p w14:paraId="1DA554BA">
      <w:pPr>
        <w:pStyle w:val="8"/>
        <w:rPr>
          <w:color w:val="auto"/>
        </w:rPr>
      </w:pPr>
      <w:r>
        <w:rPr>
          <w:rFonts w:hint="eastAsia"/>
          <w:color w:val="auto"/>
        </w:rPr>
        <w:t>区域地质构造</w:t>
      </w:r>
    </w:p>
    <w:p w14:paraId="6AB02535">
      <w:pPr>
        <w:ind w:firstLine="480"/>
        <w:rPr>
          <w:color w:val="auto"/>
        </w:rPr>
      </w:pPr>
      <w:r>
        <w:rPr>
          <w:rFonts w:hint="eastAsia"/>
          <w:color w:val="auto"/>
        </w:rPr>
        <w:t>（2）地震</w:t>
      </w:r>
    </w:p>
    <w:p w14:paraId="02904098">
      <w:pPr>
        <w:ind w:firstLine="480"/>
        <w:rPr>
          <w:color w:val="auto"/>
        </w:rPr>
      </w:pPr>
      <w:r>
        <w:rPr>
          <w:rFonts w:hint="eastAsia"/>
          <w:color w:val="auto"/>
        </w:rPr>
        <w:t>根据《中国地震动参数区划图》（GB18306-2015）加工区地震峰加速度分区为0.05g区，地震动反映谱特征周期为0.35g。地震基本烈度VI度。加工区所在区域附近无活动断裂通过，区域稳定性好。</w:t>
      </w:r>
    </w:p>
    <w:p w14:paraId="730AAEA1">
      <w:pPr>
        <w:pStyle w:val="4"/>
        <w:rPr>
          <w:color w:val="auto"/>
        </w:rPr>
      </w:pPr>
      <w:bookmarkStart w:id="253" w:name="_Toc225216727"/>
      <w:r>
        <w:rPr>
          <w:rFonts w:hint="eastAsia"/>
          <w:color w:val="auto"/>
        </w:rPr>
        <w:t>区域水文地质条件</w:t>
      </w:r>
      <w:bookmarkEnd w:id="253"/>
    </w:p>
    <w:p w14:paraId="7BDA4528">
      <w:pPr>
        <w:pStyle w:val="5"/>
        <w:rPr>
          <w:color w:val="auto"/>
        </w:rPr>
      </w:pPr>
      <w:r>
        <w:rPr>
          <w:rFonts w:hint="eastAsia"/>
          <w:color w:val="auto"/>
        </w:rPr>
        <w:t>区域地层岩性</w:t>
      </w:r>
      <w:bookmarkEnd w:id="252"/>
    </w:p>
    <w:p w14:paraId="7F9C0B3C">
      <w:pPr>
        <w:ind w:firstLine="480"/>
        <w:rPr>
          <w:color w:val="auto"/>
        </w:rPr>
      </w:pPr>
      <w:r>
        <w:rPr>
          <w:color w:val="auto"/>
        </w:rPr>
        <w:t xml:space="preserve">根据区域地质资料和地质钻探成果，调查区域地层岩性有第四系、侏罗系和志留系，从上至下分述如下： </w:t>
      </w:r>
    </w:p>
    <w:p w14:paraId="2067F8CE">
      <w:pPr>
        <w:ind w:firstLine="480"/>
        <w:rPr>
          <w:color w:val="auto"/>
        </w:rPr>
      </w:pPr>
      <w:r>
        <w:rPr>
          <w:color w:val="auto"/>
        </w:rPr>
        <w:t>（1）人工填海堆积（Q</w:t>
      </w:r>
      <w:r>
        <w:rPr>
          <w:color w:val="auto"/>
          <w:vertAlign w:val="subscript"/>
        </w:rPr>
        <w:t>4</w:t>
      </w:r>
      <w:r>
        <w:rPr>
          <w:color w:val="auto"/>
          <w:vertAlign w:val="superscript"/>
        </w:rPr>
        <w:t>ml</w:t>
      </w:r>
      <w:r>
        <w:rPr>
          <w:color w:val="auto"/>
        </w:rPr>
        <w:t>）：岩性以碎石土、砂、黏性土组成，主要分布在调查区的中部、南部，分布不均匀，厚度约3~10m。</w:t>
      </w:r>
    </w:p>
    <w:p w14:paraId="4FC0C1FD">
      <w:pPr>
        <w:ind w:firstLine="480"/>
        <w:rPr>
          <w:color w:val="auto"/>
        </w:rPr>
      </w:pPr>
      <w:r>
        <w:rPr>
          <w:color w:val="auto"/>
        </w:rPr>
        <w:t>（2）现代海相沉积（Q</w:t>
      </w:r>
      <w:r>
        <w:rPr>
          <w:color w:val="auto"/>
          <w:vertAlign w:val="subscript"/>
        </w:rPr>
        <w:t>4-2</w:t>
      </w:r>
      <w:r>
        <w:rPr>
          <w:color w:val="auto"/>
          <w:vertAlign w:val="superscript"/>
        </w:rPr>
        <w:t>m</w:t>
      </w:r>
      <w:r>
        <w:rPr>
          <w:color w:val="auto"/>
        </w:rPr>
        <w:t>）：分布于评价区东部淡水湾、钦州湾一带沿海滩涂，主要为潮间带沉积，岩性为砂质淤泥或淤泥质砂层，厚度为2～5m。</w:t>
      </w:r>
    </w:p>
    <w:p w14:paraId="30DEE7DE">
      <w:pPr>
        <w:ind w:firstLine="480"/>
        <w:rPr>
          <w:color w:val="auto"/>
        </w:rPr>
      </w:pPr>
      <w:r>
        <w:rPr>
          <w:color w:val="auto"/>
        </w:rPr>
        <w:t>（3）侏罗系</w:t>
      </w:r>
      <w:r>
        <w:rPr>
          <w:rFonts w:hint="eastAsia"/>
          <w:color w:val="auto"/>
        </w:rPr>
        <w:t>中统（J</w:t>
      </w:r>
      <w:r>
        <w:rPr>
          <w:rFonts w:hint="eastAsia"/>
          <w:color w:val="auto"/>
          <w:vertAlign w:val="subscript"/>
        </w:rPr>
        <w:t>2</w:t>
      </w:r>
      <w:r>
        <w:rPr>
          <w:rFonts w:hint="eastAsia"/>
          <w:color w:val="auto"/>
        </w:rPr>
        <w:t>）和下统</w:t>
      </w:r>
      <w:r>
        <w:rPr>
          <w:color w:val="auto"/>
        </w:rPr>
        <w:t>（</w:t>
      </w:r>
      <w:r>
        <w:rPr>
          <w:rFonts w:hint="eastAsia"/>
          <w:color w:val="auto"/>
        </w:rPr>
        <w:t>J</w:t>
      </w:r>
      <w:r>
        <w:rPr>
          <w:rFonts w:hint="eastAsia"/>
          <w:color w:val="auto"/>
          <w:vertAlign w:val="subscript"/>
        </w:rPr>
        <w:t>1</w:t>
      </w:r>
      <w:r>
        <w:rPr>
          <w:color w:val="auto"/>
        </w:rPr>
        <w:t>）：岩性以紫红色泥质粉砂岩夹砂岩及泥岩为主，局部为黄色、浅黄色，厚度约大于</w:t>
      </w:r>
      <w:r>
        <w:rPr>
          <w:rFonts w:hint="eastAsia"/>
          <w:color w:val="auto"/>
        </w:rPr>
        <w:t>85~522</w:t>
      </w:r>
      <w:r>
        <w:rPr>
          <w:color w:val="auto"/>
        </w:rPr>
        <w:t>m。</w:t>
      </w:r>
    </w:p>
    <w:p w14:paraId="72720B22">
      <w:pPr>
        <w:ind w:firstLine="480"/>
        <w:rPr>
          <w:color w:val="auto"/>
        </w:rPr>
      </w:pPr>
      <w:r>
        <w:rPr>
          <w:color w:val="auto"/>
        </w:rPr>
        <w:t>（</w:t>
      </w:r>
      <w:r>
        <w:rPr>
          <w:rFonts w:hint="eastAsia"/>
          <w:color w:val="auto"/>
        </w:rPr>
        <w:t>5</w:t>
      </w:r>
      <w:r>
        <w:rPr>
          <w:color w:val="auto"/>
        </w:rPr>
        <w:t>）志留系（S）：岩性以黄色、灰黄色砂岩、粉砂岩、泥质粉砂岩和页岩为主，厚度约大于341m</w:t>
      </w:r>
      <w:r>
        <w:rPr>
          <w:rFonts w:hint="eastAsia"/>
          <w:color w:val="auto"/>
        </w:rPr>
        <w:t>。</w:t>
      </w:r>
    </w:p>
    <w:p w14:paraId="1C220F3D">
      <w:pPr>
        <w:pStyle w:val="5"/>
        <w:rPr>
          <w:color w:val="auto"/>
        </w:rPr>
      </w:pPr>
      <w:r>
        <w:rPr>
          <w:rFonts w:hint="eastAsia"/>
          <w:color w:val="auto"/>
        </w:rPr>
        <w:t>区域水文地质单元</w:t>
      </w:r>
    </w:p>
    <w:p w14:paraId="61AF629C">
      <w:pPr>
        <w:ind w:firstLine="480"/>
        <w:rPr>
          <w:color w:val="auto"/>
        </w:rPr>
      </w:pPr>
      <w:r>
        <w:rPr>
          <w:rFonts w:hint="eastAsia"/>
          <w:color w:val="auto"/>
        </w:rPr>
        <w:t>区域水文地质单元共由两个次级水文地质单元组成，分别为：大坡顶水文地质单元I</w:t>
      </w:r>
      <w:r>
        <w:rPr>
          <w:rFonts w:hint="eastAsia"/>
          <w:color w:val="auto"/>
          <w:vertAlign w:val="subscript"/>
        </w:rPr>
        <w:t>1</w:t>
      </w:r>
      <w:r>
        <w:rPr>
          <w:rFonts w:hint="eastAsia"/>
          <w:color w:val="auto"/>
        </w:rPr>
        <w:t>、香炉墩水文地质单元I</w:t>
      </w:r>
      <w:r>
        <w:rPr>
          <w:rFonts w:hint="eastAsia"/>
          <w:color w:val="auto"/>
          <w:vertAlign w:val="subscript"/>
        </w:rPr>
        <w:t>2</w:t>
      </w:r>
      <w:r>
        <w:rPr>
          <w:rFonts w:hint="eastAsia"/>
          <w:color w:val="auto"/>
        </w:rPr>
        <w:t>组成，建设项目位于香炉墩水文地质单元I</w:t>
      </w:r>
      <w:r>
        <w:rPr>
          <w:rFonts w:hint="eastAsia"/>
          <w:color w:val="auto"/>
          <w:vertAlign w:val="subscript"/>
        </w:rPr>
        <w:t>2</w:t>
      </w:r>
      <w:r>
        <w:rPr>
          <w:rFonts w:hint="eastAsia"/>
          <w:color w:val="auto"/>
        </w:rPr>
        <w:t>。</w:t>
      </w:r>
    </w:p>
    <w:p w14:paraId="2066F781">
      <w:pPr>
        <w:ind w:firstLine="480"/>
        <w:rPr>
          <w:color w:val="auto"/>
        </w:rPr>
      </w:pPr>
      <w:r>
        <w:rPr>
          <w:rFonts w:hint="eastAsia"/>
          <w:color w:val="auto"/>
        </w:rPr>
        <w:t>调查区域处于香炉墩水文地质单元I</w:t>
      </w:r>
      <w:r>
        <w:rPr>
          <w:rFonts w:hint="eastAsia"/>
          <w:color w:val="auto"/>
          <w:vertAlign w:val="subscript"/>
        </w:rPr>
        <w:t>2</w:t>
      </w:r>
      <w:r>
        <w:rPr>
          <w:rFonts w:hint="eastAsia"/>
          <w:color w:val="auto"/>
        </w:rPr>
        <w:t>，该水文地质单元范围为：北边以淡水湾—鸡墩头—红沙环—硫磺山一带分水岭为边界，西边以金鼓江为排泄边界、东边以鹿耳环江为排泄边界，南边以钦州湾为最终排泄边界。该水文地质单元地下水类型南部为松散岩孔隙水，北东部为碎屑岩裂隙孔隙水，地下水呈放射状流向金鼓江、鹿耳环江、钦州湾，金鼓江、鹿耳环江最终汇入钦州湾，地下水补给、径流、排泄系统独立完整。</w:t>
      </w:r>
    </w:p>
    <w:p w14:paraId="2931DADE">
      <w:pPr>
        <w:pStyle w:val="5"/>
        <w:rPr>
          <w:color w:val="auto"/>
        </w:rPr>
      </w:pPr>
      <w:r>
        <w:rPr>
          <w:rFonts w:hint="eastAsia"/>
          <w:color w:val="auto"/>
        </w:rPr>
        <w:t>区域地下水类型及其富水性</w:t>
      </w:r>
    </w:p>
    <w:p w14:paraId="78A649AA">
      <w:pPr>
        <w:ind w:firstLine="480"/>
        <w:rPr>
          <w:color w:val="auto"/>
        </w:rPr>
      </w:pPr>
      <w:r>
        <w:rPr>
          <w:rFonts w:hint="eastAsia"/>
          <w:color w:val="auto"/>
        </w:rPr>
        <w:t>根据地层、岩性、构造、岩层组合、含水介质、含水层渗透性差异特征，将调查区内岩组可分为松散岩类孔隙水、碎屑岩裂隙孔隙水、构造裂隙水。</w:t>
      </w:r>
    </w:p>
    <w:p w14:paraId="1E6508DA">
      <w:pPr>
        <w:ind w:firstLine="480"/>
        <w:rPr>
          <w:color w:val="auto"/>
        </w:rPr>
      </w:pPr>
      <w:r>
        <w:rPr>
          <w:rFonts w:hint="eastAsia"/>
          <w:color w:val="auto"/>
        </w:rPr>
        <w:t xml:space="preserve">（1）松散岩类孔隙水 </w:t>
      </w:r>
    </w:p>
    <w:p w14:paraId="2511640B">
      <w:pPr>
        <w:ind w:firstLine="480"/>
        <w:rPr>
          <w:color w:val="auto"/>
        </w:rPr>
      </w:pPr>
      <w:r>
        <w:rPr>
          <w:rFonts w:hint="eastAsia"/>
          <w:color w:val="auto"/>
        </w:rPr>
        <w:t>主要赋存于第四系素填土及淤泥质砂中，结构疏松，具透水和贮水条件，含孔隙水，主要分布调查区中部、南部以及北部的金鼓村一带。根据区域水文地质计算资料，单井涌水量小于100m</w:t>
      </w:r>
      <w:r>
        <w:rPr>
          <w:rFonts w:hint="eastAsia"/>
          <w:color w:val="auto"/>
          <w:vertAlign w:val="superscript"/>
        </w:rPr>
        <w:t>3</w:t>
      </w:r>
      <w:r>
        <w:rPr>
          <w:rFonts w:hint="eastAsia"/>
          <w:color w:val="auto"/>
        </w:rPr>
        <w:t>/d，水量贫乏，富水性弱。</w:t>
      </w:r>
    </w:p>
    <w:p w14:paraId="2737D376">
      <w:pPr>
        <w:ind w:firstLine="480"/>
        <w:rPr>
          <w:color w:val="auto"/>
        </w:rPr>
      </w:pPr>
      <w:r>
        <w:rPr>
          <w:rFonts w:hint="eastAsia"/>
          <w:color w:val="auto"/>
        </w:rPr>
        <w:t>（2）碎屑岩裂隙孔隙水</w:t>
      </w:r>
    </w:p>
    <w:p w14:paraId="23B82B10">
      <w:pPr>
        <w:ind w:firstLine="480"/>
        <w:rPr>
          <w:color w:val="auto"/>
        </w:rPr>
      </w:pPr>
      <w:r>
        <w:rPr>
          <w:rFonts w:hint="eastAsia"/>
          <w:color w:val="auto"/>
        </w:rPr>
        <w:t>该类型地下水主要赋存于侏罗系中统（J</w:t>
      </w:r>
      <w:r>
        <w:rPr>
          <w:rFonts w:hint="eastAsia"/>
          <w:color w:val="auto"/>
          <w:vertAlign w:val="subscript"/>
        </w:rPr>
        <w:t>2</w:t>
      </w:r>
      <w:r>
        <w:rPr>
          <w:rFonts w:hint="eastAsia"/>
          <w:color w:val="auto"/>
        </w:rPr>
        <w:t>）及下统（J</w:t>
      </w:r>
      <w:r>
        <w:rPr>
          <w:rFonts w:hint="eastAsia"/>
          <w:color w:val="auto"/>
          <w:vertAlign w:val="subscript"/>
        </w:rPr>
        <w:t>1</w:t>
      </w:r>
      <w:r>
        <w:rPr>
          <w:rFonts w:hint="eastAsia"/>
          <w:color w:val="auto"/>
        </w:rPr>
        <w:t>）碎屑岩类砂岩、泥岩、泥质粉砂岩的裂隙孔隙中，主要分布在调查区域东南鸡墩头及硫磺山以北一带，单井涌水量小于100m</w:t>
      </w:r>
      <w:r>
        <w:rPr>
          <w:rFonts w:hint="eastAsia"/>
          <w:color w:val="auto"/>
          <w:vertAlign w:val="superscript"/>
        </w:rPr>
        <w:t>3</w:t>
      </w:r>
      <w:r>
        <w:rPr>
          <w:rFonts w:hint="eastAsia"/>
          <w:color w:val="auto"/>
        </w:rPr>
        <w:t>/d，水量贫乏，富水性弱。</w:t>
      </w:r>
    </w:p>
    <w:p w14:paraId="6B58CC71">
      <w:pPr>
        <w:ind w:firstLine="480"/>
        <w:rPr>
          <w:color w:val="auto"/>
        </w:rPr>
      </w:pPr>
      <w:r>
        <w:rPr>
          <w:rFonts w:hint="eastAsia"/>
          <w:color w:val="auto"/>
        </w:rPr>
        <w:t xml:space="preserve">（3）构造裂隙水 </w:t>
      </w:r>
    </w:p>
    <w:p w14:paraId="48A7FDC4">
      <w:pPr>
        <w:ind w:firstLine="480"/>
        <w:rPr>
          <w:color w:val="auto"/>
        </w:rPr>
      </w:pPr>
      <w:r>
        <w:rPr>
          <w:rFonts w:hint="eastAsia"/>
          <w:color w:val="auto"/>
        </w:rPr>
        <w:t>该类型地下水主要赋存在志留系下统连滩群组的砂岩、粉砂岩、页岩、泥岩的构造裂隙中，主要分布于调查区北侧及北东侧边缘地带，区内地下水径流模数＜6L/s·km，水量贫乏，富水性弱。</w:t>
      </w:r>
    </w:p>
    <w:p w14:paraId="6FBF25A3">
      <w:pPr>
        <w:pStyle w:val="5"/>
        <w:rPr>
          <w:color w:val="auto"/>
        </w:rPr>
      </w:pPr>
      <w:r>
        <w:rPr>
          <w:rFonts w:hint="eastAsia"/>
          <w:color w:val="auto"/>
        </w:rPr>
        <w:t>地下水补给、径流、排泄特征</w:t>
      </w:r>
    </w:p>
    <w:p w14:paraId="1313CB77">
      <w:pPr>
        <w:ind w:firstLine="480"/>
        <w:rPr>
          <w:color w:val="auto"/>
        </w:rPr>
      </w:pPr>
      <w:r>
        <w:rPr>
          <w:rFonts w:hint="eastAsia"/>
          <w:color w:val="auto"/>
        </w:rPr>
        <w:t>（1）松散岩类孔隙水：主要直接接受大气降水入渗补给，靠近河流等地区地下水亦接受地表水体的补给，由于该类型地下水分布调查区中南部，地势平坦，补给条件良好，该类型地下水在含水层中作层状渗流运动，水流受钦州湾潮汐影响显著，局部区域在涨潮时受海水入浸形成回流，由河口上溯到内河漫滩中，落潮时顺潮流流向由内河漫滩流向海滩，该类型地下水径流方向呈放射状流向较北部先流向金鼓江、鹿耳环江，最后排泄于钦州湾，较南部直接排泄于钦州湾。</w:t>
      </w:r>
    </w:p>
    <w:p w14:paraId="79714169">
      <w:pPr>
        <w:ind w:firstLine="480"/>
        <w:rPr>
          <w:color w:val="auto"/>
        </w:rPr>
      </w:pPr>
      <w:r>
        <w:rPr>
          <w:rFonts w:hint="eastAsia"/>
          <w:color w:val="auto"/>
        </w:rPr>
        <w:t>（2）碎屑岩裂隙孔隙水：补给来源主要为大气降水，该类型水分布于调查区域东南鸡墩头及硫磺山以北一带，地下水在含水层中通常作隙流运动，其分水岭与地形分水岭基本一致，由陇状低丘中间高地以散流形式分别向两侧沟谷排泄。</w:t>
      </w:r>
    </w:p>
    <w:p w14:paraId="08E7474B">
      <w:pPr>
        <w:ind w:firstLine="480"/>
        <w:rPr>
          <w:color w:val="auto"/>
        </w:rPr>
      </w:pPr>
      <w:r>
        <w:rPr>
          <w:rFonts w:hint="eastAsia"/>
          <w:color w:val="auto"/>
        </w:rPr>
        <w:t>（3）构造裂隙水：补给来源主要为大气降水，该类型水分布地区存在较多水库，因此地表水亦有部分补给，该类型水在含水层中通常作隙流运动，先向金鼓江、鹿耳环江排泄，然后汇入钦州湾。</w:t>
      </w:r>
    </w:p>
    <w:p w14:paraId="2BA6BC53">
      <w:pPr>
        <w:pStyle w:val="5"/>
        <w:rPr>
          <w:color w:val="auto"/>
        </w:rPr>
      </w:pPr>
      <w:r>
        <w:rPr>
          <w:rFonts w:hint="eastAsia"/>
          <w:color w:val="auto"/>
        </w:rPr>
        <w:t>地下水动态及水质特征</w:t>
      </w:r>
    </w:p>
    <w:p w14:paraId="08AB416E">
      <w:pPr>
        <w:ind w:firstLine="480"/>
        <w:rPr>
          <w:color w:val="auto"/>
        </w:rPr>
        <w:sectPr>
          <w:headerReference r:id="rId30" w:type="first"/>
          <w:footerReference r:id="rId32" w:type="first"/>
          <w:headerReference r:id="rId28" w:type="default"/>
          <w:headerReference r:id="rId29" w:type="even"/>
          <w:footerReference r:id="rId31" w:type="even"/>
          <w:pgSz w:w="11906" w:h="16838"/>
          <w:pgMar w:top="1418" w:right="1418" w:bottom="1418" w:left="1418" w:header="851" w:footer="992" w:gutter="0"/>
          <w:cols w:space="425" w:num="1"/>
          <w:docGrid w:type="lines" w:linePitch="312" w:charSpace="0"/>
        </w:sectPr>
      </w:pPr>
      <w:r>
        <w:rPr>
          <w:rFonts w:hint="eastAsia"/>
          <w:color w:val="auto"/>
        </w:rPr>
        <w:t>调查区天然条件下的地下水动态与大气降雨等气象因素关系密切，具有明显的季节性。每年6~9月处于高水位期，10月以后随着降雨减少而缓慢下降，常在2～3月出现水位低谷，根据调查区域钻孔、民井资料，地下水年变幅约1~5m。</w:t>
      </w:r>
    </w:p>
    <w:p w14:paraId="528FD541">
      <w:pPr>
        <w:pStyle w:val="4"/>
        <w:rPr>
          <w:color w:val="auto"/>
        </w:rPr>
      </w:pPr>
      <w:bookmarkStart w:id="254" w:name="_Toc225216728"/>
      <w:r>
        <w:rPr>
          <w:rFonts w:hint="eastAsia"/>
          <w:color w:val="auto"/>
        </w:rPr>
        <w:t>场地水文地质条件</w:t>
      </w:r>
      <w:bookmarkEnd w:id="254"/>
    </w:p>
    <w:p w14:paraId="72F4EFD5">
      <w:pPr>
        <w:pStyle w:val="5"/>
        <w:rPr>
          <w:color w:val="auto"/>
        </w:rPr>
      </w:pPr>
      <w:r>
        <w:rPr>
          <w:rFonts w:hint="eastAsia"/>
          <w:color w:val="auto"/>
        </w:rPr>
        <w:t>地形地貌</w:t>
      </w:r>
    </w:p>
    <w:p w14:paraId="39A1BAB0">
      <w:pPr>
        <w:ind w:left="480" w:firstLine="0" w:firstLineChars="0"/>
        <w:rPr>
          <w:color w:val="auto"/>
        </w:rPr>
      </w:pPr>
      <w:r>
        <w:rPr>
          <w:rFonts w:hint="eastAsia"/>
          <w:color w:val="auto"/>
        </w:rPr>
        <w:t>场地属滨海波状丘陵地貌区，厂区大部已整平，高程范围约8~16m。</w:t>
      </w:r>
    </w:p>
    <w:p w14:paraId="0C83B29B">
      <w:pPr>
        <w:pStyle w:val="5"/>
        <w:rPr>
          <w:color w:val="auto"/>
        </w:rPr>
      </w:pPr>
      <w:r>
        <w:rPr>
          <w:rFonts w:hint="eastAsia"/>
          <w:color w:val="auto"/>
        </w:rPr>
        <w:t>场地地层岩性</w:t>
      </w:r>
    </w:p>
    <w:p w14:paraId="33678E6B">
      <w:pPr>
        <w:ind w:firstLine="480"/>
        <w:rPr>
          <w:rFonts w:cs="Times New Roman"/>
          <w:color w:val="auto"/>
        </w:rPr>
      </w:pPr>
      <w:r>
        <w:rPr>
          <w:rFonts w:hint="eastAsia" w:cs="Times New Roman"/>
          <w:color w:val="auto"/>
        </w:rPr>
        <w:t>（1）素填土（Q</w:t>
      </w:r>
      <w:r>
        <w:rPr>
          <w:rFonts w:hint="eastAsia" w:cs="Times New Roman"/>
          <w:color w:val="auto"/>
          <w:vertAlign w:val="subscript"/>
        </w:rPr>
        <w:t>4</w:t>
      </w:r>
      <w:r>
        <w:rPr>
          <w:rFonts w:hint="eastAsia" w:cs="Times New Roman"/>
          <w:color w:val="auto"/>
          <w:vertAlign w:val="superscript"/>
        </w:rPr>
        <w:t>ml</w:t>
      </w:r>
      <w:r>
        <w:rPr>
          <w:rFonts w:hint="eastAsia" w:cs="Times New Roman"/>
          <w:color w:val="auto"/>
        </w:rPr>
        <w:t>）</w:t>
      </w:r>
    </w:p>
    <w:p w14:paraId="26CF7BDC">
      <w:pPr>
        <w:ind w:firstLine="480"/>
        <w:rPr>
          <w:rFonts w:cs="Times New Roman"/>
          <w:color w:val="auto"/>
        </w:rPr>
      </w:pPr>
      <w:r>
        <w:rPr>
          <w:rFonts w:hint="eastAsia" w:cs="Times New Roman"/>
          <w:color w:val="auto"/>
        </w:rPr>
        <w:t>紫红色、土黄色，稍湿～湿，稍密～中密状，成分由砂岩、泥岩碎块和黏土组成。</w:t>
      </w:r>
    </w:p>
    <w:p w14:paraId="00CF6A5D">
      <w:pPr>
        <w:ind w:firstLine="480"/>
        <w:rPr>
          <w:rFonts w:cs="Times New Roman"/>
          <w:color w:val="auto"/>
        </w:rPr>
      </w:pPr>
      <w:r>
        <w:rPr>
          <w:rFonts w:hint="eastAsia" w:cs="Times New Roman"/>
          <w:color w:val="auto"/>
        </w:rPr>
        <w:t>（2）砂岩、泥岩互层（J</w:t>
      </w:r>
      <w:r>
        <w:rPr>
          <w:rFonts w:hint="eastAsia" w:cs="Times New Roman"/>
          <w:color w:val="auto"/>
          <w:vertAlign w:val="subscript"/>
        </w:rPr>
        <w:t>2</w:t>
      </w:r>
      <w:r>
        <w:rPr>
          <w:rFonts w:hint="eastAsia" w:cs="Times New Roman"/>
          <w:color w:val="auto"/>
        </w:rPr>
        <w:t>）</w:t>
      </w:r>
    </w:p>
    <w:p w14:paraId="3030112E">
      <w:pPr>
        <w:ind w:firstLine="480"/>
        <w:rPr>
          <w:rFonts w:hint="eastAsia" w:hAnsi="宋体"/>
          <w:color w:val="auto"/>
          <w:szCs w:val="21"/>
        </w:rPr>
      </w:pPr>
      <w:r>
        <w:rPr>
          <w:rFonts w:hint="eastAsia" w:cs="Times New Roman"/>
          <w:color w:val="auto"/>
        </w:rPr>
        <w:t>场地基岩岩性为</w:t>
      </w:r>
      <w:r>
        <w:rPr>
          <w:rFonts w:hAnsi="宋体"/>
          <w:color w:val="auto"/>
          <w:szCs w:val="21"/>
        </w:rPr>
        <w:t>砂岩、泥岩</w:t>
      </w:r>
      <w:r>
        <w:rPr>
          <w:rFonts w:hint="eastAsia" w:hAnsi="宋体"/>
          <w:color w:val="auto"/>
          <w:szCs w:val="21"/>
        </w:rPr>
        <w:t>互层</w:t>
      </w:r>
      <w:r>
        <w:rPr>
          <w:rFonts w:hAnsi="宋体"/>
          <w:color w:val="auto"/>
          <w:szCs w:val="21"/>
        </w:rPr>
        <w:t>，含钙质</w:t>
      </w:r>
      <w:r>
        <w:rPr>
          <w:rFonts w:hint="eastAsia" w:hAnsi="宋体"/>
          <w:color w:val="auto"/>
          <w:szCs w:val="21"/>
        </w:rPr>
        <w:t>，砂岩：浅灰、紫红色，强~中风化，中厚层状，具微纹层理，</w:t>
      </w:r>
      <w:r>
        <w:rPr>
          <w:rFonts w:hint="eastAsia" w:hAnsi="宋体"/>
          <w:color w:val="auto"/>
          <w:szCs w:val="24"/>
        </w:rPr>
        <w:t>砂岩层厚范围约1.3～15.6m</w:t>
      </w:r>
      <w:r>
        <w:rPr>
          <w:rFonts w:hint="eastAsia" w:hAnsi="宋体"/>
          <w:color w:val="auto"/>
          <w:szCs w:val="21"/>
        </w:rPr>
        <w:t>；泥岩：紫红色，岩石质软，薄层状，</w:t>
      </w:r>
      <w:r>
        <w:rPr>
          <w:rFonts w:hint="eastAsia" w:hAnsi="宋体"/>
          <w:color w:val="auto"/>
          <w:szCs w:val="24"/>
        </w:rPr>
        <w:t>泥岩厚度范围约0.6～6.3m</w:t>
      </w:r>
      <w:r>
        <w:rPr>
          <w:rFonts w:hint="eastAsia" w:hAnsi="宋体"/>
          <w:color w:val="auto"/>
          <w:szCs w:val="21"/>
        </w:rPr>
        <w:t>。</w:t>
      </w:r>
      <w:r>
        <w:rPr>
          <w:rFonts w:hAnsi="宋体"/>
          <w:color w:val="auto"/>
          <w:szCs w:val="21"/>
        </w:rPr>
        <w:t xml:space="preserve"> </w:t>
      </w:r>
    </w:p>
    <w:p w14:paraId="3F0FEFAC">
      <w:pPr>
        <w:pStyle w:val="5"/>
        <w:rPr>
          <w:color w:val="auto"/>
        </w:rPr>
      </w:pPr>
      <w:r>
        <w:rPr>
          <w:rFonts w:hint="eastAsia"/>
          <w:color w:val="auto"/>
        </w:rPr>
        <w:t>场地地下水类型及其富水性</w:t>
      </w:r>
    </w:p>
    <w:p w14:paraId="616A7648">
      <w:pPr>
        <w:ind w:firstLine="480"/>
        <w:rPr>
          <w:color w:val="auto"/>
        </w:rPr>
      </w:pPr>
      <w:r>
        <w:rPr>
          <w:rFonts w:hint="eastAsia" w:eastAsiaTheme="minorEastAsia"/>
          <w:color w:val="auto"/>
        </w:rPr>
        <w:t>根据场地水文地质资料和水文地质现场调查，并结合区域水文地质资料综合分析，场地内的地下水按其赋存条件、水理性质、水动力等特点，场区地下水含水层为：松散岩类孔隙水、</w:t>
      </w:r>
      <w:r>
        <w:rPr>
          <w:rFonts w:hint="eastAsia"/>
          <w:color w:val="auto"/>
        </w:rPr>
        <w:t>碎屑岩裂隙孔隙水</w:t>
      </w:r>
      <w:r>
        <w:rPr>
          <w:rFonts w:hint="eastAsia" w:eastAsiaTheme="minorEastAsia"/>
          <w:color w:val="auto"/>
        </w:rPr>
        <w:t>。</w:t>
      </w:r>
    </w:p>
    <w:p w14:paraId="4C4893C1">
      <w:pPr>
        <w:ind w:firstLine="480"/>
        <w:rPr>
          <w:rFonts w:eastAsiaTheme="minorEastAsia"/>
          <w:color w:val="auto"/>
        </w:rPr>
      </w:pPr>
      <w:r>
        <w:rPr>
          <w:rFonts w:hint="eastAsia" w:eastAsiaTheme="minorEastAsia"/>
          <w:color w:val="auto"/>
        </w:rPr>
        <w:t>（1）松散岩类孔隙水</w:t>
      </w:r>
    </w:p>
    <w:p w14:paraId="175926A9">
      <w:pPr>
        <w:ind w:firstLine="480"/>
        <w:rPr>
          <w:rFonts w:eastAsiaTheme="minorEastAsia"/>
          <w:color w:val="auto"/>
        </w:rPr>
      </w:pPr>
      <w:r>
        <w:rPr>
          <w:rFonts w:hint="eastAsia" w:eastAsiaTheme="minorEastAsia"/>
          <w:color w:val="auto"/>
        </w:rPr>
        <w:t>该类型地下水主要赋存在素填土的孔隙中，素填土层非连续分布，且厚度较薄，该类型水属于上层滞水，无统一水位</w:t>
      </w:r>
      <w:r>
        <w:rPr>
          <w:rFonts w:eastAsiaTheme="minorEastAsia"/>
          <w:color w:val="auto"/>
        </w:rPr>
        <w:t>。</w:t>
      </w:r>
    </w:p>
    <w:p w14:paraId="522CE92D">
      <w:pPr>
        <w:ind w:firstLine="480"/>
        <w:rPr>
          <w:color w:val="auto"/>
        </w:rPr>
      </w:pPr>
      <w:r>
        <w:rPr>
          <w:rFonts w:hint="eastAsia"/>
          <w:color w:val="auto"/>
        </w:rPr>
        <w:t>（2）碎屑岩裂隙孔隙水</w:t>
      </w:r>
    </w:p>
    <w:p w14:paraId="1FFA3DA3">
      <w:pPr>
        <w:ind w:firstLine="480"/>
        <w:rPr>
          <w:rFonts w:eastAsiaTheme="minorEastAsia"/>
          <w:color w:val="auto"/>
        </w:rPr>
      </w:pPr>
      <w:r>
        <w:rPr>
          <w:rFonts w:hint="eastAsia"/>
          <w:color w:val="auto"/>
        </w:rPr>
        <w:t>该类型地下水主要赋存于中统那荡组（J</w:t>
      </w:r>
      <w:r>
        <w:rPr>
          <w:rFonts w:hint="eastAsia"/>
          <w:color w:val="auto"/>
          <w:vertAlign w:val="subscript"/>
        </w:rPr>
        <w:t>2</w:t>
      </w:r>
      <w:r>
        <w:rPr>
          <w:rFonts w:hint="eastAsia"/>
          <w:color w:val="auto"/>
        </w:rPr>
        <w:t>）碎屑岩类砂岩、泥岩的风化裂隙、孔隙中，厂区全厂分布该类型地下水，单井涌水量小于100m</w:t>
      </w:r>
      <w:r>
        <w:rPr>
          <w:rFonts w:hint="eastAsia"/>
          <w:color w:val="auto"/>
          <w:vertAlign w:val="superscript"/>
        </w:rPr>
        <w:t>3</w:t>
      </w:r>
      <w:r>
        <w:rPr>
          <w:rFonts w:hint="eastAsia"/>
          <w:color w:val="auto"/>
        </w:rPr>
        <w:t>/d，水量贫乏，富水性弱。</w:t>
      </w:r>
      <w:r>
        <w:rPr>
          <w:rFonts w:hint="eastAsia" w:eastAsiaTheme="minorEastAsia"/>
          <w:color w:val="auto"/>
        </w:rPr>
        <w:t>按埋藏条件为潜水含水层，为本次评价的目标含水层</w:t>
      </w:r>
      <w:r>
        <w:rPr>
          <w:rFonts w:eastAsiaTheme="minorEastAsia"/>
          <w:color w:val="auto"/>
        </w:rPr>
        <w:t>。</w:t>
      </w:r>
    </w:p>
    <w:p w14:paraId="5E1B6B55">
      <w:pPr>
        <w:pStyle w:val="5"/>
        <w:rPr>
          <w:color w:val="auto"/>
        </w:rPr>
      </w:pPr>
      <w:r>
        <w:rPr>
          <w:rFonts w:hint="eastAsia"/>
          <w:color w:val="auto"/>
        </w:rPr>
        <w:t>场地地下水补给径流及排泄条件</w:t>
      </w:r>
    </w:p>
    <w:p w14:paraId="5CF182E7">
      <w:pPr>
        <w:ind w:firstLine="480"/>
        <w:rPr>
          <w:color w:val="auto"/>
        </w:rPr>
      </w:pPr>
      <w:r>
        <w:rPr>
          <w:rFonts w:hint="eastAsia"/>
          <w:color w:val="auto"/>
        </w:rPr>
        <w:t>补给来源：场区</w:t>
      </w:r>
      <w:r>
        <w:rPr>
          <w:rFonts w:hAnsi="宋体"/>
          <w:color w:val="auto"/>
        </w:rPr>
        <w:t>地下水的主要补给来源为大气降水，即降雨入渗补给。下侏罗统砂岩、砾岩，构造、风化裂隙发育。部分地表为残坡积层，十分疏松，利于降雨入渗</w:t>
      </w:r>
      <w:r>
        <w:rPr>
          <w:rFonts w:hint="eastAsia" w:hAnsi="宋体"/>
          <w:color w:val="auto"/>
        </w:rPr>
        <w:t>。</w:t>
      </w:r>
    </w:p>
    <w:p w14:paraId="3837CEC1">
      <w:pPr>
        <w:ind w:firstLine="480"/>
        <w:rPr>
          <w:color w:val="auto"/>
        </w:rPr>
      </w:pPr>
      <w:r>
        <w:rPr>
          <w:rFonts w:hint="eastAsia"/>
          <w:color w:val="auto"/>
        </w:rPr>
        <w:t>径流及排泄：地下水径流主要受地形及地质构造控制，总体上由朝南、南西侧径流，局部受地形影响，由地势较高的向周边低洼溪沟，地下水流向与地表水流向大致相似；场地西南侧目前地势较低，厂区地下水总体朝南、南西侧径流，在沟溪处以散流或泉流等方式排泄，随地表溪流汇入鹿耳环江，最终汇入钦州湾海域。</w:t>
      </w:r>
    </w:p>
    <w:p w14:paraId="50039F19">
      <w:pPr>
        <w:pStyle w:val="5"/>
        <w:rPr>
          <w:color w:val="auto"/>
        </w:rPr>
      </w:pPr>
      <w:r>
        <w:rPr>
          <w:rFonts w:hint="eastAsia"/>
          <w:color w:val="auto"/>
        </w:rPr>
        <w:t>场地地下水动态特征</w:t>
      </w:r>
    </w:p>
    <w:p w14:paraId="35FB6BE2">
      <w:pPr>
        <w:ind w:firstLine="480"/>
        <w:rPr>
          <w:rFonts w:cs="Times New Roman"/>
          <w:color w:val="auto"/>
        </w:rPr>
      </w:pPr>
      <w:r>
        <w:rPr>
          <w:rFonts w:hint="eastAsia" w:cs="Times New Roman"/>
          <w:color w:val="auto"/>
        </w:rPr>
        <w:t>根据场地内监测井资料，以及场地周边项目水文孔资料，场地内地下水年变幅小于5m</w:t>
      </w:r>
      <w:r>
        <w:rPr>
          <w:rFonts w:cs="Times New Roman"/>
          <w:color w:val="auto"/>
        </w:rPr>
        <w:t>。</w:t>
      </w:r>
    </w:p>
    <w:p w14:paraId="096682DD">
      <w:pPr>
        <w:pStyle w:val="5"/>
        <w:rPr>
          <w:color w:val="auto"/>
        </w:rPr>
      </w:pPr>
      <w:r>
        <w:rPr>
          <w:rFonts w:hint="eastAsia"/>
          <w:color w:val="auto"/>
        </w:rPr>
        <w:t>场地包气带、含水层及其渗透性</w:t>
      </w:r>
    </w:p>
    <w:p w14:paraId="3CB70FE2">
      <w:pPr>
        <w:ind w:firstLine="480"/>
        <w:rPr>
          <w:rFonts w:cs="Times New Roman"/>
          <w:color w:val="auto"/>
        </w:rPr>
      </w:pPr>
      <w:r>
        <w:rPr>
          <w:rFonts w:cs="Times New Roman"/>
          <w:color w:val="auto"/>
        </w:rPr>
        <w:t>本次</w:t>
      </w:r>
      <w:r>
        <w:rPr>
          <w:rFonts w:hint="eastAsia" w:cs="Times New Roman"/>
          <w:color w:val="auto"/>
        </w:rPr>
        <w:t>地层</w:t>
      </w:r>
      <w:r>
        <w:rPr>
          <w:rFonts w:cs="Times New Roman"/>
          <w:color w:val="auto"/>
        </w:rPr>
        <w:t>岩性渗透参数引用《</w:t>
      </w:r>
      <w:r>
        <w:rPr>
          <w:rFonts w:hint="eastAsia" w:cs="Times New Roman"/>
          <w:color w:val="auto"/>
        </w:rPr>
        <w:t>广西金桂浆纸业有限公司三期工程年产300万吨林浆纸一体化项目环境影响报告书</w:t>
      </w:r>
      <w:r>
        <w:rPr>
          <w:rFonts w:cs="Times New Roman"/>
          <w:color w:val="auto"/>
        </w:rPr>
        <w:t>》，在同一个厂区范围内，地形地貌、地层岩性一致，包气带主要岩性为素填土</w:t>
      </w:r>
      <w:r>
        <w:rPr>
          <w:rFonts w:hint="eastAsia" w:cs="Times New Roman"/>
          <w:color w:val="auto"/>
        </w:rPr>
        <w:t>（砂岩、泥岩碎块和黏土）</w:t>
      </w:r>
      <w:r>
        <w:rPr>
          <w:rFonts w:cs="Times New Roman"/>
          <w:color w:val="auto"/>
        </w:rPr>
        <w:t>，厚度约为</w:t>
      </w:r>
      <w:r>
        <w:rPr>
          <w:rFonts w:hint="eastAsia" w:cs="Times New Roman"/>
          <w:color w:val="auto"/>
        </w:rPr>
        <w:t>3</w:t>
      </w:r>
      <w:r>
        <w:rPr>
          <w:rFonts w:cs="Times New Roman"/>
          <w:color w:val="auto"/>
        </w:rPr>
        <w:t>m，含水层岩性主要为</w:t>
      </w:r>
      <w:r>
        <w:rPr>
          <w:rFonts w:hint="eastAsia" w:cs="Times New Roman"/>
          <w:color w:val="auto"/>
        </w:rPr>
        <w:t>砂岩和泥岩互层。</w:t>
      </w:r>
    </w:p>
    <w:p w14:paraId="55E92266">
      <w:pPr>
        <w:pStyle w:val="7"/>
        <w:rPr>
          <w:color w:val="auto"/>
        </w:rPr>
      </w:pPr>
      <w:r>
        <w:rPr>
          <w:rFonts w:hint="eastAsia"/>
          <w:color w:val="auto"/>
        </w:rPr>
        <w:t>水文地质参数</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94"/>
        <w:gridCol w:w="3094"/>
        <w:gridCol w:w="3098"/>
      </w:tblGrid>
      <w:tr w14:paraId="65EEA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 w:hRule="atLeast"/>
          <w:jc w:val="center"/>
        </w:trPr>
        <w:tc>
          <w:tcPr>
            <w:tcW w:w="1666" w:type="pct"/>
            <w:vMerge w:val="restart"/>
            <w:vAlign w:val="center"/>
          </w:tcPr>
          <w:p w14:paraId="6BD97FF7">
            <w:pPr>
              <w:pStyle w:val="33"/>
              <w:rPr>
                <w:color w:val="auto"/>
              </w:rPr>
            </w:pPr>
            <w:r>
              <w:rPr>
                <w:color w:val="auto"/>
              </w:rPr>
              <w:t>岩土层</w:t>
            </w:r>
          </w:p>
        </w:tc>
        <w:tc>
          <w:tcPr>
            <w:tcW w:w="3334" w:type="pct"/>
            <w:gridSpan w:val="2"/>
            <w:vAlign w:val="center"/>
          </w:tcPr>
          <w:p w14:paraId="120F0990">
            <w:pPr>
              <w:pStyle w:val="33"/>
              <w:rPr>
                <w:color w:val="auto"/>
              </w:rPr>
            </w:pPr>
            <w:r>
              <w:rPr>
                <w:color w:val="auto"/>
              </w:rPr>
              <w:t>渗透系数K</w:t>
            </w:r>
          </w:p>
        </w:tc>
      </w:tr>
      <w:tr w14:paraId="0576E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1666" w:type="pct"/>
            <w:vMerge w:val="continue"/>
            <w:vAlign w:val="center"/>
          </w:tcPr>
          <w:p w14:paraId="0EFA4C43">
            <w:pPr>
              <w:pStyle w:val="33"/>
              <w:rPr>
                <w:color w:val="auto"/>
              </w:rPr>
            </w:pPr>
          </w:p>
        </w:tc>
        <w:tc>
          <w:tcPr>
            <w:tcW w:w="1666" w:type="pct"/>
            <w:vAlign w:val="center"/>
          </w:tcPr>
          <w:p w14:paraId="334C50AD">
            <w:pPr>
              <w:pStyle w:val="33"/>
              <w:rPr>
                <w:color w:val="auto"/>
              </w:rPr>
            </w:pPr>
            <w:r>
              <w:rPr>
                <w:color w:val="auto"/>
              </w:rPr>
              <w:t>（m/d）</w:t>
            </w:r>
          </w:p>
        </w:tc>
        <w:tc>
          <w:tcPr>
            <w:tcW w:w="1668" w:type="pct"/>
            <w:vAlign w:val="center"/>
          </w:tcPr>
          <w:p w14:paraId="11BFC861">
            <w:pPr>
              <w:pStyle w:val="33"/>
              <w:rPr>
                <w:color w:val="auto"/>
              </w:rPr>
            </w:pPr>
            <w:r>
              <w:rPr>
                <w:color w:val="auto"/>
              </w:rPr>
              <w:t>（cm/s）</w:t>
            </w:r>
          </w:p>
        </w:tc>
      </w:tr>
      <w:tr w14:paraId="44F30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Align w:val="center"/>
          </w:tcPr>
          <w:p w14:paraId="3DBB0BF2">
            <w:pPr>
              <w:pStyle w:val="33"/>
              <w:rPr>
                <w:color w:val="auto"/>
              </w:rPr>
            </w:pPr>
            <w:r>
              <w:rPr>
                <w:color w:val="auto"/>
              </w:rPr>
              <w:t>素填土</w:t>
            </w:r>
          </w:p>
        </w:tc>
        <w:tc>
          <w:tcPr>
            <w:tcW w:w="1666" w:type="pct"/>
            <w:vAlign w:val="center"/>
          </w:tcPr>
          <w:p w14:paraId="4BC6164F">
            <w:pPr>
              <w:pStyle w:val="33"/>
              <w:rPr>
                <w:color w:val="auto"/>
              </w:rPr>
            </w:pPr>
            <w:r>
              <w:rPr>
                <w:rFonts w:hint="eastAsia"/>
                <w:color w:val="auto"/>
              </w:rPr>
              <w:t>0.144</w:t>
            </w:r>
          </w:p>
        </w:tc>
        <w:tc>
          <w:tcPr>
            <w:tcW w:w="1668" w:type="pct"/>
            <w:vAlign w:val="center"/>
          </w:tcPr>
          <w:p w14:paraId="0952B4E9">
            <w:pPr>
              <w:pStyle w:val="33"/>
              <w:rPr>
                <w:color w:val="auto"/>
              </w:rPr>
            </w:pPr>
            <w:r>
              <w:rPr>
                <w:rFonts w:hint="eastAsia"/>
                <w:color w:val="auto"/>
              </w:rPr>
              <w:t>1.67</w:t>
            </w:r>
            <w:r>
              <w:rPr>
                <w:color w:val="auto"/>
              </w:rPr>
              <w:t>×10</w:t>
            </w:r>
            <w:r>
              <w:rPr>
                <w:color w:val="auto"/>
                <w:vertAlign w:val="superscript"/>
              </w:rPr>
              <w:t>-</w:t>
            </w:r>
            <w:r>
              <w:rPr>
                <w:rFonts w:hint="eastAsia"/>
                <w:color w:val="auto"/>
                <w:vertAlign w:val="superscript"/>
              </w:rPr>
              <w:t>4</w:t>
            </w:r>
          </w:p>
        </w:tc>
      </w:tr>
      <w:tr w14:paraId="6CD51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Align w:val="center"/>
          </w:tcPr>
          <w:p w14:paraId="3AF2A1EF">
            <w:pPr>
              <w:pStyle w:val="33"/>
              <w:rPr>
                <w:color w:val="auto"/>
              </w:rPr>
            </w:pPr>
            <w:r>
              <w:rPr>
                <w:rFonts w:hint="eastAsia"/>
                <w:color w:val="auto"/>
              </w:rPr>
              <w:t>砂岩、泥岩</w:t>
            </w:r>
          </w:p>
        </w:tc>
        <w:tc>
          <w:tcPr>
            <w:tcW w:w="1666" w:type="pct"/>
            <w:vAlign w:val="center"/>
          </w:tcPr>
          <w:p w14:paraId="093B1589">
            <w:pPr>
              <w:pStyle w:val="33"/>
              <w:rPr>
                <w:color w:val="auto"/>
              </w:rPr>
            </w:pPr>
            <w:r>
              <w:rPr>
                <w:rFonts w:hint="eastAsia"/>
                <w:color w:val="auto"/>
              </w:rPr>
              <w:t>0.32</w:t>
            </w:r>
          </w:p>
        </w:tc>
        <w:tc>
          <w:tcPr>
            <w:tcW w:w="1668" w:type="pct"/>
            <w:vAlign w:val="center"/>
          </w:tcPr>
          <w:p w14:paraId="3AB5D5BA">
            <w:pPr>
              <w:pStyle w:val="33"/>
              <w:rPr>
                <w:color w:val="auto"/>
              </w:rPr>
            </w:pPr>
            <w:r>
              <w:rPr>
                <w:rFonts w:hint="eastAsia"/>
                <w:color w:val="auto"/>
              </w:rPr>
              <w:t>3.7</w:t>
            </w:r>
            <w:r>
              <w:rPr>
                <w:color w:val="auto"/>
              </w:rPr>
              <w:t>×10</w:t>
            </w:r>
            <w:r>
              <w:rPr>
                <w:color w:val="auto"/>
                <w:vertAlign w:val="superscript"/>
              </w:rPr>
              <w:t>-</w:t>
            </w:r>
            <w:r>
              <w:rPr>
                <w:rFonts w:hint="eastAsia"/>
                <w:color w:val="auto"/>
                <w:vertAlign w:val="superscript"/>
              </w:rPr>
              <w:t>4</w:t>
            </w:r>
          </w:p>
        </w:tc>
      </w:tr>
    </w:tbl>
    <w:p w14:paraId="117D0846">
      <w:pPr>
        <w:pStyle w:val="4"/>
        <w:rPr>
          <w:color w:val="auto"/>
        </w:rPr>
      </w:pPr>
      <w:bookmarkStart w:id="255" w:name="_Toc225216729"/>
      <w:bookmarkStart w:id="256" w:name="_Toc198390582"/>
      <w:bookmarkStart w:id="257" w:name="_Toc198391235"/>
      <w:bookmarkStart w:id="258" w:name="_Toc199168937"/>
      <w:bookmarkStart w:id="259" w:name="_Toc199190474"/>
      <w:r>
        <w:rPr>
          <w:rFonts w:hint="eastAsia"/>
          <w:color w:val="auto"/>
        </w:rPr>
        <w:t>地下水开发利用现状</w:t>
      </w:r>
      <w:bookmarkEnd w:id="255"/>
    </w:p>
    <w:p w14:paraId="04B31CA8">
      <w:pPr>
        <w:ind w:firstLine="480"/>
        <w:rPr>
          <w:rFonts w:cs="Times New Roman"/>
          <w:color w:val="auto"/>
        </w:rPr>
      </w:pPr>
      <w:r>
        <w:rPr>
          <w:rFonts w:hint="eastAsia" w:cs="Times New Roman"/>
          <w:color w:val="auto"/>
        </w:rPr>
        <w:t>调查评价区大部分通了自来水，由钦州港供水公司统一供水，水源为金窝水库，大多数民井用于灌溉，存在少数的民井（分散式饮用水源）仍在饮用，具体如下：</w:t>
      </w:r>
    </w:p>
    <w:p w14:paraId="665F12FC">
      <w:pPr>
        <w:pStyle w:val="7"/>
        <w:rPr>
          <w:rFonts w:cs="Times New Roman"/>
          <w:color w:val="auto"/>
        </w:rPr>
      </w:pPr>
      <w:r>
        <w:rPr>
          <w:rFonts w:hint="eastAsia"/>
          <w:color w:val="auto"/>
        </w:rPr>
        <w:t>敏感点</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0"/>
        <w:gridCol w:w="3357"/>
        <w:gridCol w:w="1943"/>
        <w:gridCol w:w="1676"/>
      </w:tblGrid>
      <w:tr w14:paraId="2B19C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44" w:type="pct"/>
            <w:noWrap/>
            <w:vAlign w:val="center"/>
          </w:tcPr>
          <w:p w14:paraId="68684DB6">
            <w:pPr>
              <w:pStyle w:val="33"/>
              <w:rPr>
                <w:color w:val="auto"/>
              </w:rPr>
            </w:pPr>
            <w:r>
              <w:rPr>
                <w:color w:val="auto"/>
              </w:rPr>
              <w:t>名称</w:t>
            </w:r>
          </w:p>
        </w:tc>
        <w:tc>
          <w:tcPr>
            <w:tcW w:w="1807" w:type="pct"/>
            <w:noWrap/>
            <w:vAlign w:val="center"/>
          </w:tcPr>
          <w:p w14:paraId="047A2087">
            <w:pPr>
              <w:pStyle w:val="33"/>
              <w:rPr>
                <w:color w:val="auto"/>
              </w:rPr>
            </w:pPr>
            <w:r>
              <w:rPr>
                <w:rFonts w:hint="eastAsia"/>
                <w:color w:val="auto"/>
              </w:rPr>
              <w:t>与厂界相对距离</w:t>
            </w:r>
          </w:p>
        </w:tc>
        <w:tc>
          <w:tcPr>
            <w:tcW w:w="1046" w:type="pct"/>
            <w:noWrap/>
            <w:vAlign w:val="center"/>
          </w:tcPr>
          <w:p w14:paraId="5C3E939D">
            <w:pPr>
              <w:pStyle w:val="33"/>
              <w:rPr>
                <w:color w:val="auto"/>
              </w:rPr>
            </w:pPr>
            <w:r>
              <w:rPr>
                <w:rFonts w:hint="eastAsia"/>
                <w:color w:val="auto"/>
              </w:rPr>
              <w:t>地下水类型</w:t>
            </w:r>
          </w:p>
        </w:tc>
        <w:tc>
          <w:tcPr>
            <w:tcW w:w="902" w:type="pct"/>
            <w:noWrap/>
            <w:vAlign w:val="center"/>
          </w:tcPr>
          <w:p w14:paraId="67B1CD31">
            <w:pPr>
              <w:pStyle w:val="33"/>
              <w:rPr>
                <w:color w:val="auto"/>
              </w:rPr>
            </w:pPr>
            <w:r>
              <w:rPr>
                <w:rFonts w:hint="eastAsia"/>
                <w:color w:val="auto"/>
              </w:rPr>
              <w:t>是否饮用</w:t>
            </w:r>
          </w:p>
        </w:tc>
      </w:tr>
      <w:tr w14:paraId="38B6D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44" w:type="pct"/>
            <w:noWrap/>
            <w:vAlign w:val="center"/>
          </w:tcPr>
          <w:p w14:paraId="16A239FD">
            <w:pPr>
              <w:pStyle w:val="33"/>
              <w:rPr>
                <w:color w:val="auto"/>
              </w:rPr>
            </w:pPr>
            <w:r>
              <w:rPr>
                <w:color w:val="auto"/>
              </w:rPr>
              <w:t>U2</w:t>
            </w:r>
            <w:r>
              <w:rPr>
                <w:rFonts w:hint="eastAsia"/>
                <w:color w:val="auto"/>
              </w:rPr>
              <w:t>（</w:t>
            </w:r>
            <w:r>
              <w:rPr>
                <w:rFonts w:hint="eastAsia" w:cs="Times New Roman"/>
                <w:color w:val="auto"/>
              </w:rPr>
              <w:t>老鸦坑民井</w:t>
            </w:r>
            <w:r>
              <w:rPr>
                <w:rFonts w:hint="eastAsia"/>
                <w:color w:val="auto"/>
              </w:rPr>
              <w:t>）</w:t>
            </w:r>
          </w:p>
        </w:tc>
        <w:tc>
          <w:tcPr>
            <w:tcW w:w="1807" w:type="pct"/>
            <w:noWrap/>
            <w:vAlign w:val="center"/>
          </w:tcPr>
          <w:p w14:paraId="6897615F">
            <w:pPr>
              <w:pStyle w:val="33"/>
              <w:rPr>
                <w:color w:val="auto"/>
              </w:rPr>
            </w:pPr>
            <w:r>
              <w:rPr>
                <w:rFonts w:hint="eastAsia"/>
                <w:color w:val="auto"/>
              </w:rPr>
              <w:t>西侧约1200m</w:t>
            </w:r>
          </w:p>
        </w:tc>
        <w:tc>
          <w:tcPr>
            <w:tcW w:w="1046" w:type="pct"/>
            <w:noWrap/>
            <w:vAlign w:val="center"/>
          </w:tcPr>
          <w:p w14:paraId="127F57C6">
            <w:pPr>
              <w:pStyle w:val="33"/>
              <w:rPr>
                <w:color w:val="auto"/>
              </w:rPr>
            </w:pPr>
            <w:r>
              <w:rPr>
                <w:rFonts w:hint="eastAsia"/>
                <w:color w:val="auto"/>
              </w:rPr>
              <w:t>碎屑岩裂隙孔隙水</w:t>
            </w:r>
          </w:p>
        </w:tc>
        <w:tc>
          <w:tcPr>
            <w:tcW w:w="902" w:type="pct"/>
            <w:noWrap/>
            <w:vAlign w:val="center"/>
          </w:tcPr>
          <w:p w14:paraId="3A570DBD">
            <w:pPr>
              <w:pStyle w:val="33"/>
              <w:rPr>
                <w:color w:val="auto"/>
              </w:rPr>
            </w:pPr>
            <w:r>
              <w:rPr>
                <w:rFonts w:hint="eastAsia"/>
                <w:color w:val="auto"/>
              </w:rPr>
              <w:t>是</w:t>
            </w:r>
          </w:p>
        </w:tc>
      </w:tr>
      <w:tr w14:paraId="0CB7A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44" w:type="pct"/>
            <w:noWrap/>
            <w:vAlign w:val="center"/>
          </w:tcPr>
          <w:p w14:paraId="598CA852">
            <w:pPr>
              <w:pStyle w:val="33"/>
              <w:rPr>
                <w:color w:val="auto"/>
              </w:rPr>
            </w:pPr>
            <w:r>
              <w:rPr>
                <w:color w:val="auto"/>
              </w:rPr>
              <w:t>U7</w:t>
            </w:r>
            <w:r>
              <w:rPr>
                <w:rFonts w:hint="eastAsia"/>
                <w:color w:val="auto"/>
              </w:rPr>
              <w:t>（</w:t>
            </w:r>
            <w:r>
              <w:rPr>
                <w:rFonts w:hint="eastAsia" w:cs="Times New Roman"/>
                <w:color w:val="auto"/>
              </w:rPr>
              <w:t>龙狗坑民井</w:t>
            </w:r>
            <w:r>
              <w:rPr>
                <w:rFonts w:hint="eastAsia"/>
                <w:color w:val="auto"/>
              </w:rPr>
              <w:t>）</w:t>
            </w:r>
          </w:p>
        </w:tc>
        <w:tc>
          <w:tcPr>
            <w:tcW w:w="1807" w:type="pct"/>
            <w:noWrap/>
            <w:vAlign w:val="center"/>
          </w:tcPr>
          <w:p w14:paraId="042233F3">
            <w:pPr>
              <w:pStyle w:val="33"/>
              <w:rPr>
                <w:color w:val="auto"/>
              </w:rPr>
            </w:pPr>
            <w:r>
              <w:rPr>
                <w:rFonts w:hint="eastAsia"/>
                <w:color w:val="auto"/>
              </w:rPr>
              <w:t>北西侧约300m</w:t>
            </w:r>
          </w:p>
        </w:tc>
        <w:tc>
          <w:tcPr>
            <w:tcW w:w="1046" w:type="pct"/>
            <w:noWrap/>
            <w:vAlign w:val="center"/>
          </w:tcPr>
          <w:p w14:paraId="2F2FA2CE">
            <w:pPr>
              <w:pStyle w:val="33"/>
              <w:rPr>
                <w:color w:val="auto"/>
              </w:rPr>
            </w:pPr>
            <w:r>
              <w:rPr>
                <w:rFonts w:hint="eastAsia"/>
                <w:color w:val="auto"/>
              </w:rPr>
              <w:t>碎屑岩裂隙孔隙水</w:t>
            </w:r>
          </w:p>
        </w:tc>
        <w:tc>
          <w:tcPr>
            <w:tcW w:w="902" w:type="pct"/>
            <w:noWrap/>
            <w:vAlign w:val="center"/>
          </w:tcPr>
          <w:p w14:paraId="51859526">
            <w:pPr>
              <w:pStyle w:val="33"/>
              <w:rPr>
                <w:color w:val="auto"/>
              </w:rPr>
            </w:pPr>
            <w:r>
              <w:rPr>
                <w:rFonts w:hint="eastAsia"/>
                <w:color w:val="auto"/>
              </w:rPr>
              <w:t>是</w:t>
            </w:r>
          </w:p>
        </w:tc>
      </w:tr>
      <w:tr w14:paraId="04DF1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244" w:type="pct"/>
            <w:noWrap/>
            <w:vAlign w:val="center"/>
          </w:tcPr>
          <w:p w14:paraId="7C251618">
            <w:pPr>
              <w:pStyle w:val="33"/>
              <w:rPr>
                <w:color w:val="auto"/>
              </w:rPr>
            </w:pPr>
            <w:r>
              <w:rPr>
                <w:color w:val="auto"/>
              </w:rPr>
              <w:t>U9</w:t>
            </w:r>
            <w:r>
              <w:rPr>
                <w:rFonts w:hint="eastAsia"/>
                <w:color w:val="auto"/>
              </w:rPr>
              <w:t>（</w:t>
            </w:r>
            <w:r>
              <w:rPr>
                <w:rFonts w:hint="eastAsia" w:cs="Times New Roman"/>
                <w:color w:val="auto"/>
              </w:rPr>
              <w:t>鸡墩头民井</w:t>
            </w:r>
            <w:r>
              <w:rPr>
                <w:rFonts w:hint="eastAsia"/>
                <w:color w:val="auto"/>
              </w:rPr>
              <w:t>）</w:t>
            </w:r>
          </w:p>
        </w:tc>
        <w:tc>
          <w:tcPr>
            <w:tcW w:w="1807" w:type="pct"/>
            <w:noWrap/>
            <w:vAlign w:val="center"/>
          </w:tcPr>
          <w:p w14:paraId="35CD97AC">
            <w:pPr>
              <w:pStyle w:val="33"/>
              <w:rPr>
                <w:color w:val="auto"/>
              </w:rPr>
            </w:pPr>
            <w:r>
              <w:rPr>
                <w:rFonts w:hint="eastAsia"/>
                <w:color w:val="auto"/>
              </w:rPr>
              <w:t>西侧约1500m</w:t>
            </w:r>
          </w:p>
        </w:tc>
        <w:tc>
          <w:tcPr>
            <w:tcW w:w="1046" w:type="pct"/>
            <w:noWrap/>
            <w:vAlign w:val="center"/>
          </w:tcPr>
          <w:p w14:paraId="2B406C31">
            <w:pPr>
              <w:pStyle w:val="33"/>
              <w:rPr>
                <w:color w:val="auto"/>
              </w:rPr>
            </w:pPr>
            <w:r>
              <w:rPr>
                <w:rFonts w:hint="eastAsia"/>
                <w:color w:val="auto"/>
              </w:rPr>
              <w:t>碎屑岩裂隙孔隙水</w:t>
            </w:r>
          </w:p>
        </w:tc>
        <w:tc>
          <w:tcPr>
            <w:tcW w:w="902" w:type="pct"/>
            <w:noWrap/>
            <w:vAlign w:val="center"/>
          </w:tcPr>
          <w:p w14:paraId="61834AF2">
            <w:pPr>
              <w:pStyle w:val="33"/>
              <w:rPr>
                <w:color w:val="auto"/>
              </w:rPr>
            </w:pPr>
            <w:r>
              <w:rPr>
                <w:rFonts w:hint="eastAsia"/>
                <w:color w:val="auto"/>
              </w:rPr>
              <w:t>是</w:t>
            </w:r>
          </w:p>
        </w:tc>
      </w:tr>
    </w:tbl>
    <w:p w14:paraId="5FBEF2F0">
      <w:pPr>
        <w:pStyle w:val="4"/>
        <w:rPr>
          <w:color w:val="auto"/>
        </w:rPr>
      </w:pPr>
      <w:bookmarkStart w:id="260" w:name="_Toc225216730"/>
      <w:r>
        <w:rPr>
          <w:rFonts w:hint="eastAsia"/>
          <w:color w:val="auto"/>
        </w:rPr>
        <w:t>海洋水文特征</w:t>
      </w:r>
      <w:bookmarkEnd w:id="260"/>
    </w:p>
    <w:p w14:paraId="3B7AD27B">
      <w:pPr>
        <w:ind w:firstLine="480"/>
        <w:rPr>
          <w:color w:val="auto"/>
        </w:rPr>
      </w:pPr>
      <w:r>
        <w:rPr>
          <w:color w:val="auto"/>
        </w:rPr>
        <w:t>1、余流</w:t>
      </w:r>
    </w:p>
    <w:p w14:paraId="71E984BC">
      <w:pPr>
        <w:ind w:firstLine="480"/>
        <w:rPr>
          <w:color w:val="auto"/>
        </w:rPr>
      </w:pPr>
      <w:r>
        <w:rPr>
          <w:color w:val="auto"/>
        </w:rPr>
        <w:t>广西近岸海域余流系统受风和外海水、地形以及径流的影响。其中，风场对余流系统影响最大，偏北风时，海流流向偏南；偏南风时，海流流向偏北。冬季主干流偏向与湾口东部，势力较弱，夏季主干流偏向于西部，势力较强。总的趋势是冬、夏季为逆时针方向环流，夏、秋季为顺时针方向环流。广西北部湾近岸海域冬、夏两季环流模式见图3.1-</w:t>
      </w:r>
      <w:r>
        <w:rPr>
          <w:rFonts w:hint="eastAsia"/>
          <w:color w:val="auto"/>
        </w:rPr>
        <w:t>6</w:t>
      </w:r>
      <w:r>
        <w:rPr>
          <w:color w:val="auto"/>
        </w:rPr>
        <w:t>及图3.1-</w:t>
      </w:r>
      <w:r>
        <w:rPr>
          <w:rFonts w:hint="eastAsia"/>
          <w:color w:val="auto"/>
        </w:rPr>
        <w:t>7</w:t>
      </w:r>
      <w:r>
        <w:rPr>
          <w:color w:val="auto"/>
        </w:rPr>
        <w:t>。</w:t>
      </w:r>
    </w:p>
    <w:p w14:paraId="26960826">
      <w:pPr>
        <w:ind w:firstLine="480"/>
        <w:rPr>
          <w:rFonts w:ascii="Arial" w:hAnsi="Arial" w:cs="Arial"/>
          <w:color w:val="auto"/>
          <w:spacing w:val="10"/>
        </w:rPr>
      </w:pPr>
      <w:r>
        <w:rPr>
          <w:rFonts w:ascii="Arial" w:hAnsi="Arial" w:cs="Arial"/>
          <w:color w:val="auto"/>
          <w:spacing w:val="10"/>
        </w:rPr>
        <w:drawing>
          <wp:inline distT="0" distB="0" distL="114300" distR="114300">
            <wp:extent cx="5267325" cy="2573020"/>
            <wp:effectExtent l="0" t="0" r="9525" b="17780"/>
            <wp:docPr id="241" name="图片 238" descr="白板上的文字&#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8" descr="白板上的文字&#10;&#10;AI 生成的内容可能不正确。"/>
                    <pic:cNvPicPr>
                      <a:picLocks noChangeAspect="1"/>
                    </pic:cNvPicPr>
                  </pic:nvPicPr>
                  <pic:blipFill>
                    <a:blip r:embed="rId67"/>
                    <a:stretch>
                      <a:fillRect/>
                    </a:stretch>
                  </pic:blipFill>
                  <pic:spPr>
                    <a:xfrm>
                      <a:off x="0" y="0"/>
                      <a:ext cx="5267325" cy="2573020"/>
                    </a:xfrm>
                    <a:prstGeom prst="rect">
                      <a:avLst/>
                    </a:prstGeom>
                    <a:noFill/>
                    <a:ln>
                      <a:noFill/>
                    </a:ln>
                  </pic:spPr>
                </pic:pic>
              </a:graphicData>
            </a:graphic>
          </wp:inline>
        </w:drawing>
      </w:r>
    </w:p>
    <w:p w14:paraId="64C36A5A">
      <w:pPr>
        <w:pStyle w:val="8"/>
        <w:rPr>
          <w:color w:val="auto"/>
        </w:rPr>
      </w:pPr>
      <w:r>
        <w:rPr>
          <w:color w:val="auto"/>
        </w:rPr>
        <w:t>广西北部湾近岸海域冬季环流模式</w:t>
      </w:r>
    </w:p>
    <w:p w14:paraId="37D3E2A7">
      <w:pPr>
        <w:ind w:firstLine="480"/>
        <w:rPr>
          <w:rFonts w:ascii="Arial" w:hAnsi="Arial" w:cs="Arial"/>
          <w:color w:val="auto"/>
          <w:spacing w:val="10"/>
        </w:rPr>
      </w:pPr>
      <w:r>
        <w:rPr>
          <w:rFonts w:ascii="Arial" w:hAnsi="Arial" w:cs="Arial"/>
          <w:color w:val="auto"/>
          <w:spacing w:val="10"/>
        </w:rPr>
        <w:drawing>
          <wp:inline distT="0" distB="0" distL="114300" distR="114300">
            <wp:extent cx="5194300" cy="2512060"/>
            <wp:effectExtent l="0" t="0" r="6350" b="2540"/>
            <wp:docPr id="242" name="图片 243" descr="白板上的文字&#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3" descr="白板上的文字&#10;&#10;AI 生成的内容可能不正确。"/>
                    <pic:cNvPicPr>
                      <a:picLocks noChangeAspect="1"/>
                    </pic:cNvPicPr>
                  </pic:nvPicPr>
                  <pic:blipFill>
                    <a:blip r:embed="rId68"/>
                    <a:stretch>
                      <a:fillRect/>
                    </a:stretch>
                  </pic:blipFill>
                  <pic:spPr>
                    <a:xfrm>
                      <a:off x="0" y="0"/>
                      <a:ext cx="5194300" cy="2512060"/>
                    </a:xfrm>
                    <a:prstGeom prst="rect">
                      <a:avLst/>
                    </a:prstGeom>
                    <a:noFill/>
                    <a:ln>
                      <a:noFill/>
                    </a:ln>
                  </pic:spPr>
                </pic:pic>
              </a:graphicData>
            </a:graphic>
          </wp:inline>
        </w:drawing>
      </w:r>
    </w:p>
    <w:p w14:paraId="56AADFFB">
      <w:pPr>
        <w:pStyle w:val="8"/>
        <w:rPr>
          <w:color w:val="auto"/>
        </w:rPr>
      </w:pPr>
      <w:r>
        <w:rPr>
          <w:color w:val="auto"/>
        </w:rPr>
        <w:t>广西北部湾近岸海域夏季环流模式</w:t>
      </w:r>
    </w:p>
    <w:p w14:paraId="745F8CAD">
      <w:pPr>
        <w:ind w:firstLine="480"/>
        <w:rPr>
          <w:color w:val="auto"/>
        </w:rPr>
      </w:pPr>
      <w:r>
        <w:rPr>
          <w:color w:val="auto"/>
        </w:rPr>
        <w:t>2、波浪</w:t>
      </w:r>
    </w:p>
    <w:p w14:paraId="10A4C9A7">
      <w:pPr>
        <w:ind w:firstLine="480"/>
        <w:rPr>
          <w:color w:val="auto"/>
        </w:rPr>
      </w:pPr>
      <w:r>
        <w:rPr>
          <w:color w:val="auto"/>
        </w:rPr>
        <w:t>广西近岸海域夏半年盛行南-东南风，冬半年盛行北-东北风，4月、5月和9月为季风过渡期，风向不稳定。波浪随季节变化十分明显，以西南偏南向为主，其次为东北向。多年平均波高为0.3-0.6m，其中夏季0.50-0.72m，冬季0.40-0.58m，春季0.35-0.51m，秋季0.45-0.50m。常见浪为0-3级，占全年波浪频率的96%。5-6级的波浪仅占0.07-0.09%，多出现于台风季节。最大实测波高4.1-5.0m，多年波浪平均周期1.8-3.4s；最大波浪周期为8.7s。</w:t>
      </w:r>
    </w:p>
    <w:p w14:paraId="1CD8C870">
      <w:pPr>
        <w:ind w:firstLine="480"/>
        <w:rPr>
          <w:color w:val="auto"/>
        </w:rPr>
      </w:pPr>
      <w:r>
        <w:rPr>
          <w:color w:val="auto"/>
        </w:rPr>
        <w:t>3、海湾潮流和泥沙特征</w:t>
      </w:r>
    </w:p>
    <w:p w14:paraId="438E3014">
      <w:pPr>
        <w:ind w:firstLine="480"/>
        <w:rPr>
          <w:color w:val="auto"/>
        </w:rPr>
      </w:pPr>
      <w:r>
        <w:rPr>
          <w:color w:val="auto"/>
        </w:rPr>
        <w:t>钦州湾潮汐属于正规日潮类型，平均潮差2.40m，为强潮型海湾。该湾潮流的运动形式，属往复流性质，落潮流速明显大于涨潮流速，涨落潮流方向与深槽走向一致。一年中，全日潮的时间约为60%~70%，涨潮平均流速0.08~0.28m/s，落潮平均流速0.09~0.55m/s。整个钦州湾涨潮方向指北。落潮流由茅尾海向外，涨落潮流均与航道走向大体一致，落潮潮流可将携带的泥沙向外海推移。</w:t>
      </w:r>
    </w:p>
    <w:p w14:paraId="40D73C5E">
      <w:pPr>
        <w:ind w:firstLine="480"/>
        <w:rPr>
          <w:color w:val="auto"/>
        </w:rPr>
      </w:pPr>
      <w:r>
        <w:rPr>
          <w:color w:val="auto"/>
        </w:rPr>
        <w:t>茅尾海的纳潮量大，潮汐通道潮流强劲，无大的风浪，最大涨潮流速为100cm/s，最大落潮流速为170cm/s。基岩上无淤积物覆盖，深槽水深达10m~20m。</w:t>
      </w:r>
    </w:p>
    <w:p w14:paraId="1C33B878">
      <w:pPr>
        <w:ind w:firstLine="480"/>
        <w:rPr>
          <w:color w:val="auto"/>
        </w:rPr>
      </w:pPr>
      <w:r>
        <w:rPr>
          <w:color w:val="auto"/>
        </w:rPr>
        <w:t>钦州湾的余流场大体稳定，潮余流场是基本的，但其变化也十分明显。钦州湾海域泥沙来源大致包括陆相径流来沙、波浪侵蚀海岸来沙及海相来沙等三个方面，其中主要为陆相径流来沙，其次为波浪侵蚀海岸来沙，再者为海相来沙。</w:t>
      </w:r>
    </w:p>
    <w:p w14:paraId="073890AA">
      <w:pPr>
        <w:ind w:firstLine="480"/>
        <w:rPr>
          <w:color w:val="auto"/>
        </w:rPr>
      </w:pPr>
      <w:r>
        <w:rPr>
          <w:color w:val="auto"/>
        </w:rPr>
        <w:t>钦州湾入海河流主要有钦江、茅岭江，其次还有金鼓江、鹿耳环江等小溪注入。钦州湾岸线曲折，岛屿星罗棋布，港汊众多。海域沉积物中的部分泥沙是来源于波浪对海岸线母岩侵蚀或片流切割母岩而带来的产物；海相来沙甚微。海区含沙量较小，海水含沙量主要与水动力条件下底质细颗粒物质的再掀起悬浮和河流输沙的运移有关。来自钦州、茅岭江及其周围沿岸的细粒级泥沙（细粉砂以上粒级）在潮流作用下，一部分在内湾低能区沉积；另一部分在落潮流作用下，经湾颈部向外湾输移。由于湾口波浪作用强烈，海岸侵蚀较严重。</w:t>
      </w:r>
    </w:p>
    <w:p w14:paraId="20127EA9">
      <w:pPr>
        <w:pStyle w:val="4"/>
        <w:rPr>
          <w:color w:val="auto"/>
        </w:rPr>
      </w:pPr>
      <w:bookmarkStart w:id="261" w:name="_Toc225216731"/>
      <w:r>
        <w:rPr>
          <w:rFonts w:hint="eastAsia"/>
          <w:color w:val="auto"/>
        </w:rPr>
        <w:t>动植物资源</w:t>
      </w:r>
      <w:bookmarkEnd w:id="261"/>
    </w:p>
    <w:p w14:paraId="0091D604">
      <w:pPr>
        <w:ind w:firstLine="480"/>
        <w:rPr>
          <w:color w:val="auto"/>
        </w:rPr>
      </w:pPr>
      <w:r>
        <w:rPr>
          <w:color w:val="auto"/>
        </w:rPr>
        <w:t>钦州港内陆现存的野生动物为常见的广布种，鸟类主要有大山雀、麻雀、了哥、燕子、画眉；爬行类主要有蜈蚣、南草蜥、蜗牛等；昆虫类主要有蜜蜂、蜻蜓、蝗、蝴蝶、蝉、蜘蛛、黑蜂、地老虎、蟋蟀等。</w:t>
      </w:r>
    </w:p>
    <w:p w14:paraId="75CC08E7">
      <w:pPr>
        <w:ind w:firstLine="480"/>
        <w:rPr>
          <w:color w:val="auto"/>
        </w:rPr>
      </w:pPr>
      <w:r>
        <w:rPr>
          <w:color w:val="auto"/>
        </w:rPr>
        <w:t>钦州湾所在区域森林植被以松杉和天然阔叶林为主。由于土壤、气候、地形条件的不同，植被分布有区域性差异：东、西北部地区以桃金娘芒箕群落为主，草类以绒草为主，覆盖率80～90%，乔木以松杉为主；南部、中部地区以灌木、岗松及低草群落的鸭嘴草为主，覆盖率50～60%，乔木以松为主；沿海地区以矮生鹧鸪草群落为主，覆盖率30～40%，乔木以松为主。</w:t>
      </w:r>
    </w:p>
    <w:p w14:paraId="2F7E81A1">
      <w:pPr>
        <w:pStyle w:val="4"/>
        <w:rPr>
          <w:color w:val="auto"/>
        </w:rPr>
      </w:pPr>
      <w:bookmarkStart w:id="262" w:name="_Toc225216732"/>
      <w:r>
        <w:rPr>
          <w:rFonts w:hint="eastAsia"/>
          <w:color w:val="auto"/>
        </w:rPr>
        <w:t>自然保护区、风景名胜区及文物古迹</w:t>
      </w:r>
      <w:bookmarkEnd w:id="262"/>
    </w:p>
    <w:p w14:paraId="233FB84F">
      <w:pPr>
        <w:ind w:firstLine="480"/>
        <w:rPr>
          <w:color w:val="auto"/>
        </w:rPr>
      </w:pPr>
      <w:r>
        <w:rPr>
          <w:rFonts w:hint="eastAsia"/>
          <w:color w:val="auto"/>
        </w:rPr>
        <w:t>厂区周边不涉及风景名胜区及文物古迹，周边的自然保护区主要是广西茅尾海红树林自治区级自然保护区。根据《广西红树林资源保护规划（2020~2030年）》，厂区周边不涉及其他红树林保护小区，水井环及麻蓝头岛的红树林区为限制开发建设的红树林区域。</w:t>
      </w:r>
    </w:p>
    <w:p w14:paraId="5E8E78BA">
      <w:pPr>
        <w:pStyle w:val="5"/>
        <w:rPr>
          <w:color w:val="auto"/>
        </w:rPr>
      </w:pPr>
      <w:r>
        <w:rPr>
          <w:rFonts w:hint="eastAsia"/>
          <w:color w:val="auto"/>
        </w:rPr>
        <w:t>茅尾海红树林自然保护区</w:t>
      </w:r>
    </w:p>
    <w:p w14:paraId="1ABA6318">
      <w:pPr>
        <w:ind w:firstLine="480"/>
        <w:rPr>
          <w:color w:val="auto"/>
        </w:rPr>
      </w:pPr>
      <w:r>
        <w:rPr>
          <w:color w:val="auto"/>
        </w:rPr>
        <w:t>根据广西壮族自治区人民政府发布的《广西壮族自治区人民政府关于同意广西茅尾海红树林自治区级自然保护区范围与功能区调整的批复》（桂政函〔2020〕14号），同意调整广西茅尾海红树林自治区级自然保护区（以下简称保护区）范围与功能区。调整后，保护区范围涉及康熙岭片、坚心围片、七十二泾片和大风江片4个片区，地理坐标为东经108°28′35″~108°54′26″、北纬21°44′13″~21°53′49″。保护区总面积5010.05公顷，其中核心区面积2153.2公顷、缓冲区面积1386.13公顷、实验区面积1470.72公顷。</w:t>
      </w:r>
    </w:p>
    <w:p w14:paraId="7B785C4B">
      <w:pPr>
        <w:ind w:firstLine="480"/>
        <w:rPr>
          <w:color w:val="auto"/>
        </w:rPr>
      </w:pPr>
      <w:r>
        <w:rPr>
          <w:color w:val="auto"/>
        </w:rPr>
        <w:t>距项目较近的是七十二泾片区，该片区位于钦州港建成区西侧、松飞大岭以南，总面积217.42hm</w:t>
      </w:r>
      <w:r>
        <w:rPr>
          <w:color w:val="auto"/>
          <w:vertAlign w:val="superscript"/>
        </w:rPr>
        <w:t>2</w:t>
      </w:r>
      <w:r>
        <w:rPr>
          <w:color w:val="auto"/>
        </w:rPr>
        <w:t>，其中核心区面积96.81hm</w:t>
      </w:r>
      <w:r>
        <w:rPr>
          <w:color w:val="auto"/>
          <w:vertAlign w:val="superscript"/>
        </w:rPr>
        <w:t>2</w:t>
      </w:r>
      <w:r>
        <w:rPr>
          <w:color w:val="auto"/>
        </w:rPr>
        <w:t>，缓冲区面积56.40hm</w:t>
      </w:r>
      <w:r>
        <w:rPr>
          <w:color w:val="auto"/>
          <w:vertAlign w:val="superscript"/>
        </w:rPr>
        <w:t>2</w:t>
      </w:r>
      <w:r>
        <w:rPr>
          <w:color w:val="auto"/>
        </w:rPr>
        <w:t>，实验区面积64.21hm</w:t>
      </w:r>
      <w:r>
        <w:rPr>
          <w:color w:val="auto"/>
          <w:vertAlign w:val="superscript"/>
        </w:rPr>
        <w:t>2</w:t>
      </w:r>
      <w:r>
        <w:rPr>
          <w:color w:val="auto"/>
        </w:rPr>
        <w:t>。</w:t>
      </w:r>
    </w:p>
    <w:p w14:paraId="53799B83">
      <w:pPr>
        <w:ind w:firstLine="480"/>
        <w:rPr>
          <w:color w:val="auto"/>
        </w:rPr>
      </w:pPr>
      <w:r>
        <w:rPr>
          <w:color w:val="auto"/>
        </w:rPr>
        <w:t>茅尾海红树林自治区级自然保护区保护区类型属于自然生态系统类海洋与海岸生态系统类型的自治区级自然保护区，自然保护区主要保护对象为红树林湿地生态系统。茅尾海红树林自治区级自然保护区是以保护红树林湿地生态系统为主，全面保护红树林生境、红树林湿地景观、湿地水禽等自然资源和自然环境，集保护、科研、教育、生态旅游和可持续利用等多功能于一体的综合性自然保护区。</w:t>
      </w:r>
    </w:p>
    <w:p w14:paraId="7B4FCA93">
      <w:pPr>
        <w:ind w:firstLine="480"/>
        <w:rPr>
          <w:color w:val="auto"/>
        </w:rPr>
      </w:pPr>
      <w:r>
        <w:rPr>
          <w:color w:val="auto"/>
        </w:rPr>
        <w:t>根据广西茅尾海红树林自治区级自然保护区范围与功能区调整图，项目厂区与七十二泾片区最近距离约9.7km。</w:t>
      </w:r>
    </w:p>
    <w:p w14:paraId="3F1B6F60">
      <w:pPr>
        <w:pStyle w:val="5"/>
        <w:rPr>
          <w:color w:val="auto"/>
        </w:rPr>
      </w:pPr>
      <w:r>
        <w:rPr>
          <w:color w:val="auto"/>
        </w:rPr>
        <w:t>七十二泾旅游风景区</w:t>
      </w:r>
    </w:p>
    <w:p w14:paraId="1A8C8706">
      <w:pPr>
        <w:ind w:firstLine="480"/>
        <w:rPr>
          <w:color w:val="auto"/>
        </w:rPr>
      </w:pPr>
      <w:r>
        <w:rPr>
          <w:color w:val="auto"/>
        </w:rPr>
        <w:t>七十二泾旅游风景区位于钦州港经济技术开发区西北部，钦州著名的茅尾海内，距钦州市区约25公里，北起钦江出海口——沙井港，南至钦州湾内海的门户——三墩，是集自然景观和人文景观于一体的综合性生态旅游胜地。</w:t>
      </w:r>
    </w:p>
    <w:p w14:paraId="1C24C028">
      <w:pPr>
        <w:ind w:firstLine="480"/>
        <w:rPr>
          <w:color w:val="auto"/>
        </w:rPr>
      </w:pPr>
      <w:r>
        <w:rPr>
          <w:color w:val="auto"/>
        </w:rPr>
        <w:t>七十二泾是龙门港内海中的一片小岛群，长宽跨度约为10公里，共有大小岛屿100多个，总面积约9.8km</w:t>
      </w:r>
      <w:r>
        <w:rPr>
          <w:color w:val="auto"/>
          <w:vertAlign w:val="superscript"/>
        </w:rPr>
        <w:t>2</w:t>
      </w:r>
      <w:r>
        <w:rPr>
          <w:color w:val="auto"/>
        </w:rPr>
        <w:t>。各个岛屿表面风化强烈，多由志留系与侏罗粉砂岩和页岩构成，这些小岛屿使这一片海域形成无数环往复、曲折多变的水道，这些水道，被称为</w:t>
      </w:r>
      <w:r>
        <w:rPr>
          <w:rFonts w:hint="eastAsia"/>
          <w:color w:val="auto"/>
        </w:rPr>
        <w:t>“</w:t>
      </w:r>
      <w:r>
        <w:rPr>
          <w:color w:val="auto"/>
        </w:rPr>
        <w:t>泾</w:t>
      </w:r>
      <w:r>
        <w:rPr>
          <w:rFonts w:hint="eastAsia"/>
          <w:color w:val="auto"/>
        </w:rPr>
        <w:t>”</w:t>
      </w:r>
      <w:r>
        <w:rPr>
          <w:color w:val="auto"/>
        </w:rPr>
        <w:t>，</w:t>
      </w:r>
      <w:r>
        <w:rPr>
          <w:rFonts w:hint="eastAsia"/>
          <w:color w:val="auto"/>
        </w:rPr>
        <w:t>“</w:t>
      </w:r>
      <w:r>
        <w:rPr>
          <w:color w:val="auto"/>
        </w:rPr>
        <w:t>七十二泾</w:t>
      </w:r>
      <w:r>
        <w:rPr>
          <w:rFonts w:hint="eastAsia"/>
          <w:color w:val="auto"/>
        </w:rPr>
        <w:t>”</w:t>
      </w:r>
      <w:r>
        <w:rPr>
          <w:color w:val="auto"/>
        </w:rPr>
        <w:t>，是形容其多。自明清以来七十二泾就一直是钦州八景之一，古有</w:t>
      </w:r>
      <w:r>
        <w:rPr>
          <w:rFonts w:hint="eastAsia"/>
          <w:color w:val="auto"/>
        </w:rPr>
        <w:t>“</w:t>
      </w:r>
      <w:r>
        <w:rPr>
          <w:color w:val="auto"/>
        </w:rPr>
        <w:t>南国蓬莱</w:t>
      </w:r>
      <w:r>
        <w:rPr>
          <w:rFonts w:hint="eastAsia"/>
          <w:color w:val="auto"/>
        </w:rPr>
        <w:t>”</w:t>
      </w:r>
      <w:r>
        <w:rPr>
          <w:color w:val="auto"/>
        </w:rPr>
        <w:t>之称，今人们称之为</w:t>
      </w:r>
      <w:r>
        <w:rPr>
          <w:rFonts w:hint="eastAsia"/>
          <w:color w:val="auto"/>
        </w:rPr>
        <w:t>“</w:t>
      </w:r>
      <w:r>
        <w:rPr>
          <w:color w:val="auto"/>
        </w:rPr>
        <w:t>小澎湖”，可与中国台湾省的澎湖列岛相媲美。七十二泾区内还有近万亩连片生长的，被誉为海底活化石的红树林，青翠的红树林与湛蓝的海水相辉映，景色非常别致。</w:t>
      </w:r>
    </w:p>
    <w:p w14:paraId="48EC833E">
      <w:pPr>
        <w:ind w:firstLine="480"/>
        <w:rPr>
          <w:color w:val="auto"/>
        </w:rPr>
      </w:pPr>
      <w:r>
        <w:rPr>
          <w:color w:val="auto"/>
        </w:rPr>
        <w:t>岛上既有军港，也有颇具规模的渔港，所产大蚝、青蟹、对虾、石斑鱼是为</w:t>
      </w:r>
      <w:r>
        <w:rPr>
          <w:rFonts w:hint="eastAsia"/>
          <w:color w:val="auto"/>
        </w:rPr>
        <w:t>“</w:t>
      </w:r>
      <w:r>
        <w:rPr>
          <w:color w:val="auto"/>
        </w:rPr>
        <w:t>四大名产</w:t>
      </w:r>
      <w:r>
        <w:rPr>
          <w:rFonts w:hint="eastAsia"/>
          <w:color w:val="auto"/>
        </w:rPr>
        <w:t>”</w:t>
      </w:r>
      <w:r>
        <w:rPr>
          <w:color w:val="auto"/>
        </w:rPr>
        <w:t>，远销海内外。此外还有世界上最大的孙中山铜像以及仙岛公园、亚公山、鳄鱼石、麻兰岛、六墩岛等许多景点。</w:t>
      </w:r>
    </w:p>
    <w:p w14:paraId="3473AAA8">
      <w:pPr>
        <w:ind w:firstLine="480"/>
        <w:rPr>
          <w:color w:val="auto"/>
        </w:rPr>
      </w:pPr>
      <w:r>
        <w:rPr>
          <w:color w:val="auto"/>
        </w:rPr>
        <w:t>项目位于七十二泾旅游风景区东南面约</w:t>
      </w:r>
      <w:r>
        <w:rPr>
          <w:rFonts w:hint="eastAsia"/>
          <w:color w:val="auto"/>
        </w:rPr>
        <w:t>9.7</w:t>
      </w:r>
      <w:r>
        <w:rPr>
          <w:color w:val="auto"/>
        </w:rPr>
        <w:t>km。</w:t>
      </w:r>
    </w:p>
    <w:bookmarkEnd w:id="256"/>
    <w:bookmarkEnd w:id="257"/>
    <w:bookmarkEnd w:id="258"/>
    <w:bookmarkEnd w:id="259"/>
    <w:p w14:paraId="5466AD4C">
      <w:pPr>
        <w:pStyle w:val="3"/>
        <w:rPr>
          <w:color w:val="auto"/>
        </w:rPr>
      </w:pPr>
      <w:bookmarkStart w:id="263" w:name="_Toc199190475"/>
      <w:bookmarkStart w:id="264" w:name="_Toc198391236"/>
      <w:bookmarkStart w:id="265" w:name="_Toc198390021"/>
      <w:bookmarkStart w:id="266" w:name="_Toc199168938"/>
      <w:bookmarkStart w:id="267" w:name="_Toc221355717"/>
      <w:bookmarkStart w:id="268" w:name="_Toc198390583"/>
      <w:bookmarkStart w:id="269" w:name="_Toc225216733"/>
      <w:r>
        <w:rPr>
          <w:rFonts w:hint="eastAsia"/>
          <w:color w:val="auto"/>
        </w:rPr>
        <w:t>广西钦州林浆纸产业园概况</w:t>
      </w:r>
      <w:bookmarkEnd w:id="263"/>
      <w:bookmarkEnd w:id="264"/>
      <w:bookmarkEnd w:id="265"/>
      <w:bookmarkEnd w:id="266"/>
      <w:bookmarkEnd w:id="267"/>
      <w:bookmarkEnd w:id="268"/>
      <w:bookmarkEnd w:id="269"/>
    </w:p>
    <w:p w14:paraId="02131448">
      <w:pPr>
        <w:pStyle w:val="4"/>
        <w:rPr>
          <w:color w:val="auto"/>
        </w:rPr>
      </w:pPr>
      <w:bookmarkStart w:id="270" w:name="_Toc198390584"/>
      <w:bookmarkStart w:id="271" w:name="_Toc199190476"/>
      <w:bookmarkStart w:id="272" w:name="_Toc199168939"/>
      <w:bookmarkStart w:id="273" w:name="_Toc225216734"/>
      <w:bookmarkStart w:id="274" w:name="_Toc198391237"/>
      <w:r>
        <w:rPr>
          <w:rFonts w:hint="eastAsia"/>
          <w:color w:val="auto"/>
        </w:rPr>
        <w:t>规划范围</w:t>
      </w:r>
      <w:bookmarkEnd w:id="270"/>
      <w:bookmarkEnd w:id="271"/>
      <w:bookmarkEnd w:id="272"/>
      <w:bookmarkEnd w:id="273"/>
      <w:bookmarkEnd w:id="274"/>
    </w:p>
    <w:p w14:paraId="30FDAF33">
      <w:pPr>
        <w:ind w:firstLine="480"/>
        <w:rPr>
          <w:color w:val="auto"/>
        </w:rPr>
      </w:pPr>
      <w:r>
        <w:rPr>
          <w:rFonts w:hint="eastAsia"/>
          <w:color w:val="auto"/>
        </w:rPr>
        <w:t>根据《广西钦州林浆纸产业园发展规划（2024-2035年）》，钦州林浆纸产业园位于</w:t>
      </w:r>
      <w:r>
        <w:rPr>
          <w:color w:val="auto"/>
        </w:rPr>
        <w:t>中国（广西）自由贸易试验区钦州港片区</w:t>
      </w:r>
      <w:r>
        <w:rPr>
          <w:rFonts w:hint="eastAsia"/>
          <w:color w:val="auto"/>
        </w:rPr>
        <w:t>，规划用地东至金桂浆纸业一期东厂界；西至陆海大道；北至和谐大街；南至滨海公路。规划总用地范围面积为6.4318km</w:t>
      </w:r>
      <w:r>
        <w:rPr>
          <w:rFonts w:hint="eastAsia"/>
          <w:color w:val="auto"/>
          <w:vertAlign w:val="superscript"/>
        </w:rPr>
        <w:t>2</w:t>
      </w:r>
      <w:r>
        <w:rPr>
          <w:rFonts w:hint="eastAsia"/>
          <w:color w:val="auto"/>
        </w:rPr>
        <w:t>。</w:t>
      </w:r>
    </w:p>
    <w:p w14:paraId="0F371558">
      <w:pPr>
        <w:pStyle w:val="4"/>
        <w:rPr>
          <w:color w:val="auto"/>
        </w:rPr>
      </w:pPr>
      <w:bookmarkStart w:id="275" w:name="_Toc225216735"/>
      <w:bookmarkStart w:id="276" w:name="_Toc199168940"/>
      <w:bookmarkStart w:id="277" w:name="_Toc198390585"/>
      <w:bookmarkStart w:id="278" w:name="_Toc199190477"/>
      <w:bookmarkStart w:id="279" w:name="_Toc198391238"/>
      <w:r>
        <w:rPr>
          <w:rFonts w:hint="eastAsia"/>
          <w:color w:val="auto"/>
        </w:rPr>
        <w:t>规划期限</w:t>
      </w:r>
      <w:bookmarkEnd w:id="275"/>
      <w:bookmarkEnd w:id="276"/>
      <w:bookmarkEnd w:id="277"/>
      <w:bookmarkEnd w:id="278"/>
      <w:bookmarkEnd w:id="279"/>
    </w:p>
    <w:p w14:paraId="4F3A84F8">
      <w:pPr>
        <w:ind w:firstLine="480"/>
        <w:rPr>
          <w:color w:val="auto"/>
        </w:rPr>
      </w:pPr>
      <w:bookmarkStart w:id="280" w:name="_Toc199190478"/>
      <w:bookmarkStart w:id="281" w:name="_Toc198391239"/>
      <w:bookmarkStart w:id="282" w:name="_Toc198390586"/>
      <w:bookmarkStart w:id="283" w:name="_Toc199168941"/>
      <w:r>
        <w:rPr>
          <w:rFonts w:hint="eastAsia"/>
          <w:color w:val="auto"/>
        </w:rPr>
        <w:t>钦州林浆纸产业园规划年限为2024～2035年，其中，近期为2024~2030年，远期为2030~2035年。</w:t>
      </w:r>
    </w:p>
    <w:p w14:paraId="130BFA2F">
      <w:pPr>
        <w:pStyle w:val="4"/>
        <w:rPr>
          <w:color w:val="auto"/>
        </w:rPr>
      </w:pPr>
      <w:bookmarkStart w:id="284" w:name="_Toc225216736"/>
      <w:r>
        <w:rPr>
          <w:rFonts w:hint="eastAsia"/>
          <w:color w:val="auto"/>
        </w:rPr>
        <w:t>规划发展定位与规划目标</w:t>
      </w:r>
      <w:bookmarkEnd w:id="280"/>
      <w:bookmarkEnd w:id="281"/>
      <w:bookmarkEnd w:id="282"/>
      <w:bookmarkEnd w:id="283"/>
      <w:bookmarkEnd w:id="284"/>
    </w:p>
    <w:p w14:paraId="4D89999E">
      <w:pPr>
        <w:pStyle w:val="5"/>
        <w:rPr>
          <w:color w:val="auto"/>
        </w:rPr>
      </w:pPr>
      <w:r>
        <w:rPr>
          <w:rFonts w:hint="eastAsia"/>
          <w:color w:val="auto"/>
        </w:rPr>
        <w:t>发展定位</w:t>
      </w:r>
    </w:p>
    <w:p w14:paraId="32D7133F">
      <w:pPr>
        <w:ind w:firstLine="480"/>
        <w:rPr>
          <w:color w:val="auto"/>
        </w:rPr>
      </w:pPr>
      <w:r>
        <w:rPr>
          <w:rFonts w:hint="eastAsia"/>
          <w:color w:val="auto"/>
        </w:rPr>
        <w:t>建设一个高效、安全、生态、设施完善的集科研、生产、服务、商贸、物流、信息、市场于一体有特色支柱产业群的综合性制浆造纸产业园。造纸产业定位是：我国具有重要地位的循环经济型制浆造纸工业基地，园区规划建设特色为“生态园区”、“科技园区”、“安全园区”、“低碳园区”。</w:t>
      </w:r>
    </w:p>
    <w:p w14:paraId="000A315B">
      <w:pPr>
        <w:pStyle w:val="5"/>
        <w:rPr>
          <w:color w:val="auto"/>
        </w:rPr>
      </w:pPr>
      <w:r>
        <w:rPr>
          <w:rFonts w:hint="eastAsia"/>
          <w:color w:val="auto"/>
        </w:rPr>
        <w:t>发展目标</w:t>
      </w:r>
    </w:p>
    <w:p w14:paraId="22141EE4">
      <w:pPr>
        <w:ind w:firstLine="480"/>
        <w:rPr>
          <w:color w:val="auto"/>
        </w:rPr>
      </w:pPr>
      <w:r>
        <w:rPr>
          <w:rFonts w:hint="eastAsia"/>
          <w:color w:val="auto"/>
        </w:rPr>
        <w:t>（1）产业发展目标</w:t>
      </w:r>
    </w:p>
    <w:p w14:paraId="78F1D875">
      <w:pPr>
        <w:ind w:firstLine="480"/>
        <w:rPr>
          <w:color w:val="auto"/>
        </w:rPr>
      </w:pPr>
      <w:r>
        <w:rPr>
          <w:rFonts w:hint="eastAsia"/>
          <w:color w:val="auto"/>
        </w:rPr>
        <w:t>依托钦州港深水大港和沿海优越土地条件，充分利用国际国内两种资源，开拓两个市场，高起点、集群式发展，做大做强高端造纸产业的规模、引进新技术，延伸并扩大产业链，推动制浆造纸配套深加工建设，大力发展纸制品及配套产业，充分发挥钦州港的区位及资源优势，进一步存进和提升广西和钦州市林浆纸一体化产业发展水平，将广西钦州林浆纸产业园建设成为中国最大循环经济型林浆纸一体化制浆造纸产业基地之一。</w:t>
      </w:r>
    </w:p>
    <w:p w14:paraId="710A00DA">
      <w:pPr>
        <w:ind w:firstLine="480"/>
        <w:rPr>
          <w:color w:val="auto"/>
        </w:rPr>
      </w:pPr>
      <w:r>
        <w:rPr>
          <w:rFonts w:hint="eastAsia"/>
          <w:color w:val="auto"/>
        </w:rPr>
        <w:t>广西金桂浆纸业有限公司一期项目现有化机浆产能90万吨/年，白卡纸130万吨/年；二期项目现有化机浆产能75万吨/年，白卡纸180万吨/年。规划的三期项目将实现化机浆产能40万吨/年，化学浆产能160万吨/年，白卡纸100万吨/年；规划的四期项目将实现化学浆产能200万吨/年，文化用纸120万吨/年，生活用纸50万吨/年，特种纸及其他纤维基新材料150万吨/年。园区内具体规划项目已经确定，主要围绕广西金桂浆纸业有限公司三期、四期项目开展，因此，至规划远期2035年，钦州林浆纸产业园将实现制浆规模565万吨/年，造纸规模730万吨/年，成为国内林浆纸产业园区首屈一指的典范。</w:t>
      </w:r>
    </w:p>
    <w:p w14:paraId="27CFB13E">
      <w:pPr>
        <w:ind w:firstLine="480"/>
        <w:rPr>
          <w:color w:val="auto"/>
        </w:rPr>
      </w:pPr>
      <w:r>
        <w:rPr>
          <w:rFonts w:hint="eastAsia"/>
          <w:color w:val="auto"/>
        </w:rPr>
        <w:t>（2）经济发展目标</w:t>
      </w:r>
    </w:p>
    <w:p w14:paraId="65CF6FB6">
      <w:pPr>
        <w:ind w:firstLine="480"/>
        <w:rPr>
          <w:color w:val="auto"/>
        </w:rPr>
      </w:pPr>
      <w:r>
        <w:rPr>
          <w:rFonts w:hint="eastAsia"/>
          <w:color w:val="auto"/>
        </w:rPr>
        <w:t>近期目标：到2030年，高端造纸产业工业总产值实现1000亿元，工业增加值200亿元，高端造纸产业投资总额800亿元，利税总额150亿元，利润总额120亿元，税收总额30亿元。</w:t>
      </w:r>
    </w:p>
    <w:p w14:paraId="61FD914D">
      <w:pPr>
        <w:ind w:firstLine="480"/>
        <w:rPr>
          <w:color w:val="auto"/>
        </w:rPr>
      </w:pPr>
      <w:r>
        <w:rPr>
          <w:rFonts w:hint="eastAsia"/>
          <w:color w:val="auto"/>
        </w:rPr>
        <w:t>中远期目标：2035年，高端造纸产业工业总产值实现1300亿元，工业增加值300亿元，高端造纸产业投资总额1000亿元，利税总额200亿元，利润总额150亿元，税收总额50亿元。</w:t>
      </w:r>
    </w:p>
    <w:p w14:paraId="57BC1E4C">
      <w:pPr>
        <w:pStyle w:val="4"/>
        <w:rPr>
          <w:color w:val="auto"/>
        </w:rPr>
      </w:pPr>
      <w:bookmarkStart w:id="285" w:name="_Toc225216737"/>
      <w:bookmarkStart w:id="286" w:name="_Toc199190479"/>
      <w:bookmarkStart w:id="287" w:name="_Toc198391240"/>
      <w:bookmarkStart w:id="288" w:name="_Toc198390587"/>
      <w:bookmarkStart w:id="289" w:name="_Toc199168942"/>
      <w:r>
        <w:rPr>
          <w:rFonts w:hint="eastAsia"/>
          <w:color w:val="auto"/>
        </w:rPr>
        <w:t>基础设施建设</w:t>
      </w:r>
      <w:bookmarkEnd w:id="285"/>
      <w:bookmarkEnd w:id="286"/>
      <w:bookmarkEnd w:id="287"/>
      <w:bookmarkEnd w:id="288"/>
      <w:bookmarkEnd w:id="289"/>
    </w:p>
    <w:p w14:paraId="66E335F4">
      <w:pPr>
        <w:pStyle w:val="5"/>
        <w:rPr>
          <w:color w:val="auto"/>
        </w:rPr>
      </w:pPr>
      <w:r>
        <w:rPr>
          <w:rFonts w:hint="eastAsia"/>
          <w:color w:val="auto"/>
        </w:rPr>
        <w:t>供电情况</w:t>
      </w:r>
    </w:p>
    <w:p w14:paraId="3599C482">
      <w:pPr>
        <w:ind w:firstLine="480"/>
        <w:rPr>
          <w:color w:val="auto"/>
        </w:rPr>
      </w:pPr>
      <w:r>
        <w:rPr>
          <w:rFonts w:hint="eastAsia"/>
          <w:color w:val="auto"/>
        </w:rPr>
        <w:t>（1）现状概况</w:t>
      </w:r>
    </w:p>
    <w:p w14:paraId="67147429">
      <w:pPr>
        <w:ind w:firstLine="480"/>
        <w:rPr>
          <w:color w:val="auto"/>
        </w:rPr>
      </w:pPr>
      <w:r>
        <w:rPr>
          <w:rFonts w:hint="eastAsia"/>
          <w:color w:val="auto"/>
        </w:rPr>
        <w:t>金桂纸业一期、二期项目内已经设置热电联产配套设施和220kV变电站，电源已经接入附近钦州港大榄坪变电站。外部电源作为全厂补充电源和第二路电源，不足电量外购。</w:t>
      </w:r>
    </w:p>
    <w:p w14:paraId="16B926EF">
      <w:pPr>
        <w:ind w:firstLine="480"/>
        <w:rPr>
          <w:color w:val="auto"/>
        </w:rPr>
      </w:pPr>
      <w:r>
        <w:rPr>
          <w:rFonts w:hint="eastAsia"/>
          <w:color w:val="auto"/>
        </w:rPr>
        <w:t>（2）供电设施规划</w:t>
      </w:r>
    </w:p>
    <w:p w14:paraId="581750BA">
      <w:pPr>
        <w:ind w:firstLine="480"/>
        <w:rPr>
          <w:color w:val="auto"/>
        </w:rPr>
      </w:pPr>
      <w:r>
        <w:rPr>
          <w:rFonts w:hint="eastAsia"/>
          <w:color w:val="auto"/>
        </w:rPr>
        <w:t>钦州电厂三期等附近规划电源发电量充足，发电量可以补充供电缺口。因此外部电源计划从钦州电厂三期接入电源，在规划区内新建110/35/10kV变电站1座，变电站采用半户外式，35kV变电站根据用户情况设置，设在用户用地内，采用户内式布置，每个占地面积为500~1000平方米。10kV变电站根据用户实际情况确定，设在用户用地内。</w:t>
      </w:r>
    </w:p>
    <w:p w14:paraId="1180C85D">
      <w:pPr>
        <w:ind w:firstLine="480"/>
        <w:rPr>
          <w:color w:val="auto"/>
        </w:rPr>
      </w:pPr>
      <w:r>
        <w:rPr>
          <w:rFonts w:hint="eastAsia"/>
          <w:color w:val="auto"/>
        </w:rPr>
        <w:t>（3）电网规划</w:t>
      </w:r>
    </w:p>
    <w:p w14:paraId="149354A1">
      <w:pPr>
        <w:ind w:firstLine="480"/>
        <w:rPr>
          <w:color w:val="auto"/>
        </w:rPr>
      </w:pPr>
      <w:r>
        <w:rPr>
          <w:rFonts w:hint="eastAsia"/>
          <w:color w:val="auto"/>
        </w:rPr>
        <w:t>110kV电力网架：110kV线路规划应满足N-1的供电的要求。新建的110KV线路采用架空线路。</w:t>
      </w:r>
    </w:p>
    <w:p w14:paraId="73226AD8">
      <w:pPr>
        <w:ind w:firstLine="480"/>
        <w:rPr>
          <w:color w:val="auto"/>
        </w:rPr>
      </w:pPr>
      <w:r>
        <w:rPr>
          <w:rFonts w:hint="eastAsia"/>
          <w:color w:val="auto"/>
        </w:rPr>
        <w:t>35kV电力网架：拉专线。电缆线路规划到综合管廊中或采用架空线路。</w:t>
      </w:r>
    </w:p>
    <w:p w14:paraId="0A69CFD1">
      <w:pPr>
        <w:ind w:firstLine="480"/>
        <w:rPr>
          <w:color w:val="auto"/>
        </w:rPr>
      </w:pPr>
      <w:r>
        <w:rPr>
          <w:rFonts w:hint="eastAsia"/>
          <w:color w:val="auto"/>
        </w:rPr>
        <w:t>10kV电力网架：拉专线。电缆线路规划到综合管廊中或采用电缆井穿管埋地敷设。</w:t>
      </w:r>
    </w:p>
    <w:p w14:paraId="18563568">
      <w:pPr>
        <w:ind w:firstLine="480"/>
        <w:rPr>
          <w:color w:val="auto"/>
        </w:rPr>
      </w:pPr>
      <w:r>
        <w:rPr>
          <w:rFonts w:hint="eastAsia"/>
          <w:color w:val="auto"/>
        </w:rPr>
        <w:t>（4）高压走廊规划</w:t>
      </w:r>
    </w:p>
    <w:p w14:paraId="3E4B9E43">
      <w:pPr>
        <w:ind w:firstLine="480"/>
        <w:rPr>
          <w:color w:val="auto"/>
        </w:rPr>
      </w:pPr>
      <w:r>
        <w:rPr>
          <w:rFonts w:hint="eastAsia"/>
          <w:color w:val="auto"/>
        </w:rPr>
        <w:t>新建高压线路走廊应尽量沿道路绿化带架设，并尽量采用同塔多回架设，110kV电缆线路在绿化带敷设时，采用架空线路，节省投资；其他情况，采用电缆直埋或电缆沟方式敷设为辅。高压走廊结合规划区内道路、河渠、绿化带架设，避免随意穿越规划地块，减少同道路、河流、铁路等的交叉。区内110kV单回及同塔双回架空线路所需控制的走廊宽度15~25m，35kV所需控制的走廊宽度12~20m，10kV以下中低压供电线路沿规划区规划的公共管廊架空敷设，无管廊处电缆直埋或电缆沟方式敷设为主。</w:t>
      </w:r>
    </w:p>
    <w:p w14:paraId="7603551E">
      <w:pPr>
        <w:ind w:firstLine="480"/>
        <w:rPr>
          <w:color w:val="auto"/>
        </w:rPr>
      </w:pPr>
      <w:r>
        <w:rPr>
          <w:rFonts w:hint="eastAsia"/>
          <w:color w:val="auto"/>
        </w:rPr>
        <w:t>供电设施、输电线路及高压走廊附近一定距离的区域电磁场强度应满足《电磁环境控制限值》（GB8702-2014）等相关标准要求。</w:t>
      </w:r>
    </w:p>
    <w:p w14:paraId="78E54580">
      <w:pPr>
        <w:pStyle w:val="5"/>
        <w:rPr>
          <w:color w:val="auto"/>
        </w:rPr>
      </w:pPr>
      <w:r>
        <w:rPr>
          <w:rFonts w:hint="eastAsia"/>
          <w:color w:val="auto"/>
        </w:rPr>
        <w:t>集中供热情况</w:t>
      </w:r>
    </w:p>
    <w:p w14:paraId="0EA82508">
      <w:pPr>
        <w:ind w:firstLine="480"/>
        <w:rPr>
          <w:color w:val="auto"/>
        </w:rPr>
      </w:pPr>
      <w:r>
        <w:rPr>
          <w:rFonts w:hint="eastAsia"/>
          <w:color w:val="auto"/>
        </w:rPr>
        <w:t>（1）现状概况</w:t>
      </w:r>
    </w:p>
    <w:p w14:paraId="63A15C2D">
      <w:pPr>
        <w:ind w:firstLine="480"/>
        <w:rPr>
          <w:color w:val="auto"/>
        </w:rPr>
      </w:pPr>
      <w:r>
        <w:rPr>
          <w:rFonts w:hint="eastAsia"/>
          <w:color w:val="auto"/>
        </w:rPr>
        <w:t>金桂纸业一期、二期项目内自备热电站（一期建设2台670t/h循环流化床锅炉配套2×150MW超高压抽凝式汽轮发电机组，1台670t/h循环流化床锅炉作为备用，未建设；二期建设1台670t/h循环流化床锅炉配套90MW背压机组）、1台400tD.S/d碱回收炉和化机浆车间磨浆回收热能；在建180万吨高档纸板扩建项目拟建1台670t/h循环流化床锅炉配套90MW背压机组；在建75万吨化机浆扩建项目拟建1台500tD.S/d碱回收炉配备6MW背压发电机组。现有项目采用燃煤锅炉与碱炉进行热电联产，配合工艺生产余热利用，已实现供热自给自足。</w:t>
      </w:r>
    </w:p>
    <w:p w14:paraId="405A13FF">
      <w:pPr>
        <w:ind w:firstLine="480"/>
        <w:rPr>
          <w:color w:val="auto"/>
        </w:rPr>
      </w:pPr>
      <w:r>
        <w:rPr>
          <w:rFonts w:hint="eastAsia"/>
          <w:color w:val="auto"/>
        </w:rPr>
        <w:t>（2）区域热电联产规划</w:t>
      </w:r>
    </w:p>
    <w:p w14:paraId="5ABDFBD2">
      <w:pPr>
        <w:ind w:firstLine="480"/>
        <w:rPr>
          <w:color w:val="auto"/>
        </w:rPr>
      </w:pPr>
      <w:r>
        <w:rPr>
          <w:rFonts w:hint="eastAsia"/>
          <w:color w:val="auto"/>
        </w:rPr>
        <w:t>钦州港片区热电联产规划正在编制中，由《中国（广西）自由贸易试验区钦州港片区热电联产专项规划（2023-2035）》（征求意见稿），热电联产规划范围为：中国(广西)自由贸易区钦州港片区(北至新城大街规划道路、西至现有高压走廊附近、龙径大道，东至六钦高速公路延长线、鹿耳环江、三墩公路，南至规划岸线，涵盖钦州保税港区，中马钦州产业园区，钦州港经济技术开发区等)热电联产规划。规划期限：为2023年~2035年，其中近期规划至2025年，远期规划至2035年。林浆纸产业园位于热电联产规划范围内。</w:t>
      </w:r>
    </w:p>
    <w:p w14:paraId="45728D7E">
      <w:pPr>
        <w:ind w:firstLine="480"/>
        <w:rPr>
          <w:color w:val="auto"/>
        </w:rPr>
      </w:pPr>
      <w:r>
        <w:rPr>
          <w:rFonts w:hint="eastAsia"/>
          <w:color w:val="auto"/>
        </w:rPr>
        <w:t>《中国（广西）自由贸易试验区钦州港片区热电联产专项规划（2023-2035）》（征求意见稿）中关于钦州港片区热源的规划为：</w:t>
      </w:r>
    </w:p>
    <w:p w14:paraId="56AAEB52">
      <w:pPr>
        <w:ind w:firstLine="480"/>
        <w:rPr>
          <w:color w:val="auto"/>
        </w:rPr>
      </w:pPr>
      <w:r>
        <w:rPr>
          <w:rFonts w:hint="eastAsia"/>
          <w:color w:val="auto"/>
        </w:rPr>
        <w:t>1.保留国投电厂一二期、协鑫能源、华盛热能等现状热电/热源厂。</w:t>
      </w:r>
    </w:p>
    <w:p w14:paraId="76128CBE">
      <w:pPr>
        <w:ind w:firstLine="480"/>
        <w:rPr>
          <w:color w:val="auto"/>
        </w:rPr>
      </w:pPr>
      <w:r>
        <w:rPr>
          <w:rFonts w:hint="eastAsia"/>
          <w:color w:val="auto"/>
        </w:rPr>
        <w:t>2.规划近期国投电厂三期建成后，与国投电厂一、二期管道联网供汽，增加供汽安全性。</w:t>
      </w:r>
    </w:p>
    <w:p w14:paraId="40AE3AB4">
      <w:pPr>
        <w:ind w:firstLine="480"/>
        <w:rPr>
          <w:color w:val="auto"/>
        </w:rPr>
      </w:pPr>
      <w:r>
        <w:rPr>
          <w:rFonts w:hint="eastAsia"/>
          <w:color w:val="auto"/>
        </w:rPr>
        <w:t>3.规划近期关停中石油一期自供热源，由国投三期替代供汽。</w:t>
      </w:r>
    </w:p>
    <w:p w14:paraId="770ED198">
      <w:pPr>
        <w:ind w:firstLine="480"/>
        <w:rPr>
          <w:color w:val="auto"/>
        </w:rPr>
      </w:pPr>
      <w:r>
        <w:rPr>
          <w:rFonts w:hint="eastAsia"/>
          <w:color w:val="auto"/>
        </w:rPr>
        <w:t>4.保留新天德自备热源，规划期内新建一套200t/h生物质锅炉。</w:t>
      </w:r>
    </w:p>
    <w:p w14:paraId="0E8BBBFE">
      <w:pPr>
        <w:ind w:firstLine="480"/>
        <w:rPr>
          <w:color w:val="auto"/>
        </w:rPr>
      </w:pPr>
      <w:r>
        <w:rPr>
          <w:rFonts w:hint="eastAsia"/>
          <w:color w:val="auto"/>
        </w:rPr>
        <w:t>5.规划近期新建桐昆钦州绿色化工基地（自供蒸汽）项目，近期新建3×220t/h高温高压循环流化床锅炉（2开1备），供汽能力440t/h。</w:t>
      </w:r>
    </w:p>
    <w:p w14:paraId="21B7B7D9">
      <w:pPr>
        <w:ind w:firstLine="480"/>
        <w:rPr>
          <w:color w:val="auto"/>
        </w:rPr>
      </w:pPr>
      <w:r>
        <w:rPr>
          <w:rFonts w:hint="eastAsia"/>
          <w:color w:val="auto"/>
        </w:rPr>
        <w:t>6.规划近期协鑫能源未完成扩建供汽前，金桂浆纸业热源可做为过渡热源。</w:t>
      </w:r>
    </w:p>
    <w:p w14:paraId="2014B8A1">
      <w:pPr>
        <w:ind w:firstLine="480"/>
        <w:rPr>
          <w:color w:val="auto"/>
        </w:rPr>
      </w:pPr>
      <w:r>
        <w:rPr>
          <w:rFonts w:hint="eastAsia"/>
          <w:color w:val="auto"/>
        </w:rPr>
        <w:t>7.规划远期扩建协鑫能源，新增2套75MW级燃气-蒸汽联合循环发电机组，总供热能力300t/h。</w:t>
      </w:r>
    </w:p>
    <w:p w14:paraId="55FBC630">
      <w:pPr>
        <w:ind w:firstLine="480"/>
        <w:rPr>
          <w:color w:val="auto"/>
        </w:rPr>
      </w:pPr>
      <w:r>
        <w:rPr>
          <w:rFonts w:hint="eastAsia"/>
          <w:color w:val="auto"/>
        </w:rPr>
        <w:t>8.规划远期除金桂浆纸业、新天德、中伟一期、高能生物及桐昆钦州绿色化工基地自备热源外，其余企业自备热源均关停，由各片区热源厂集中供汽。</w:t>
      </w:r>
    </w:p>
    <w:p w14:paraId="36EF0724">
      <w:pPr>
        <w:ind w:firstLine="480"/>
        <w:rPr>
          <w:color w:val="auto"/>
        </w:rPr>
      </w:pPr>
      <w:r>
        <w:rPr>
          <w:rFonts w:hint="eastAsia"/>
          <w:color w:val="auto"/>
        </w:rPr>
        <w:t>林浆纸产业园内目前仅有金桂浆纸业一家企业，金桂浆纸业自备热源供热供汽满足《中国（广西）自由贸易试验区钦州港片区热电联产专项规划（2023-2035）》（征求意见稿）的要求。</w:t>
      </w:r>
    </w:p>
    <w:p w14:paraId="0AF1B28B">
      <w:pPr>
        <w:pStyle w:val="5"/>
        <w:rPr>
          <w:color w:val="auto"/>
        </w:rPr>
      </w:pPr>
      <w:r>
        <w:rPr>
          <w:rFonts w:hint="eastAsia"/>
          <w:color w:val="auto"/>
        </w:rPr>
        <w:t>供水设施情况</w:t>
      </w:r>
    </w:p>
    <w:p w14:paraId="755B3664">
      <w:pPr>
        <w:ind w:firstLine="480"/>
        <w:rPr>
          <w:color w:val="auto"/>
        </w:rPr>
      </w:pPr>
      <w:r>
        <w:rPr>
          <w:color w:val="auto"/>
        </w:rPr>
        <w:t>（1）现状水源及给水情况</w:t>
      </w:r>
    </w:p>
    <w:p w14:paraId="47428780">
      <w:pPr>
        <w:ind w:firstLine="480"/>
        <w:rPr>
          <w:color w:val="auto"/>
        </w:rPr>
      </w:pPr>
      <w:r>
        <w:rPr>
          <w:rFonts w:hint="eastAsia"/>
          <w:color w:val="auto"/>
        </w:rPr>
        <w:t>现有广西金桂浆纸业有限公司一二期以及年产30万吨过氧化氢项目、年产25万吨丁苯胶乳项目，用水量约11.16万m³/d</w:t>
      </w:r>
      <w:r>
        <w:rPr>
          <w:color w:val="auto"/>
        </w:rPr>
        <w:t>。</w:t>
      </w:r>
      <w:r>
        <w:rPr>
          <w:rFonts w:hint="eastAsia"/>
          <w:color w:val="auto"/>
        </w:rPr>
        <w:t>现有供水水源由广西钦州丰源水利公司从金窝水库取水，供应到园区各企业，目前丰源水利公司的供水能力为35万m³/d。</w:t>
      </w:r>
    </w:p>
    <w:p w14:paraId="5E550600">
      <w:pPr>
        <w:ind w:firstLine="480"/>
        <w:rPr>
          <w:color w:val="auto"/>
        </w:rPr>
      </w:pPr>
      <w:r>
        <w:rPr>
          <w:rFonts w:hint="eastAsia"/>
          <w:color w:val="auto"/>
        </w:rPr>
        <w:t>（2）规划水源及给水设施</w:t>
      </w:r>
    </w:p>
    <w:p w14:paraId="7ED4194B">
      <w:pPr>
        <w:ind w:firstLine="480"/>
        <w:rPr>
          <w:color w:val="auto"/>
        </w:rPr>
      </w:pPr>
      <w:r>
        <w:rPr>
          <w:rFonts w:hint="eastAsia"/>
          <w:color w:val="auto"/>
        </w:rPr>
        <w:t>目前广西钦州丰源水利公司的大榄坪泵站和企山泵站供水能力为35万m</w:t>
      </w:r>
      <w:r>
        <w:rPr>
          <w:rFonts w:hint="eastAsia"/>
          <w:color w:val="auto"/>
          <w:vertAlign w:val="superscript"/>
        </w:rPr>
        <w:t>3</w:t>
      </w:r>
      <w:r>
        <w:rPr>
          <w:rFonts w:hint="eastAsia"/>
          <w:color w:val="auto"/>
        </w:rPr>
        <w:t>/d，在企山泵站及大榄坪泵站分别完成新增水泵2台和4台后，广西钦州丰源水利公司供水能力可达72万m</w:t>
      </w:r>
      <w:r>
        <w:rPr>
          <w:rFonts w:hint="eastAsia"/>
          <w:color w:val="auto"/>
          <w:vertAlign w:val="superscript"/>
        </w:rPr>
        <w:t>3</w:t>
      </w:r>
      <w:r>
        <w:rPr>
          <w:rFonts w:hint="eastAsia"/>
          <w:color w:val="auto"/>
        </w:rPr>
        <w:t>/d。广西钦州丰源水利公司供水设施规模不能同时满足钦州林浆纸产业园和石化产业园的用水需求，因此远期产业园发展仍需关注区域供水设施规模。</w:t>
      </w:r>
    </w:p>
    <w:p w14:paraId="29DB56A5">
      <w:pPr>
        <w:ind w:firstLine="480"/>
        <w:rPr>
          <w:color w:val="auto"/>
        </w:rPr>
      </w:pPr>
      <w:r>
        <w:rPr>
          <w:rFonts w:hint="eastAsia"/>
          <w:color w:val="auto"/>
        </w:rPr>
        <w:t>（3）给水管网规划</w:t>
      </w:r>
    </w:p>
    <w:p w14:paraId="5E97D048">
      <w:pPr>
        <w:ind w:firstLine="480"/>
        <w:rPr>
          <w:color w:val="auto"/>
        </w:rPr>
      </w:pPr>
      <w:r>
        <w:rPr>
          <w:rFonts w:hint="eastAsia" w:ascii="宋体" w:hAnsi="宋体" w:cs="宋体"/>
          <w:color w:val="auto"/>
        </w:rPr>
        <w:t>①</w:t>
      </w:r>
      <w:r>
        <w:rPr>
          <w:color w:val="auto"/>
        </w:rPr>
        <w:t>园区</w:t>
      </w:r>
      <w:r>
        <w:rPr>
          <w:rFonts w:hint="eastAsia"/>
          <w:color w:val="auto"/>
        </w:rPr>
        <w:t>考虑地形、占地面积、管网造价和净水成本因素，</w:t>
      </w:r>
      <w:r>
        <w:rPr>
          <w:color w:val="auto"/>
        </w:rPr>
        <w:t>给水管网环状布置</w:t>
      </w:r>
      <w:r>
        <w:rPr>
          <w:rFonts w:hint="eastAsia"/>
          <w:color w:val="auto"/>
        </w:rPr>
        <w:t>；</w:t>
      </w:r>
    </w:p>
    <w:p w14:paraId="011E39EB">
      <w:pPr>
        <w:ind w:firstLine="480"/>
        <w:rPr>
          <w:color w:val="auto"/>
        </w:rPr>
      </w:pPr>
      <w:r>
        <w:rPr>
          <w:rFonts w:hint="eastAsia" w:ascii="宋体" w:hAnsi="宋体" w:cs="宋体"/>
          <w:color w:val="auto"/>
        </w:rPr>
        <w:t>②</w:t>
      </w:r>
      <w:r>
        <w:rPr>
          <w:color w:val="auto"/>
        </w:rPr>
        <w:t>给水管网按照《消防给水及消火栓系统技术规范》（GB 50974-2014）的要求建设消火栓等消防设施。</w:t>
      </w:r>
    </w:p>
    <w:p w14:paraId="7FA0A517">
      <w:pPr>
        <w:pStyle w:val="5"/>
        <w:rPr>
          <w:color w:val="auto"/>
        </w:rPr>
      </w:pPr>
      <w:r>
        <w:rPr>
          <w:rFonts w:hint="eastAsia"/>
          <w:color w:val="auto"/>
        </w:rPr>
        <w:t>污水处理设施情况</w:t>
      </w:r>
    </w:p>
    <w:p w14:paraId="50EA5074">
      <w:pPr>
        <w:ind w:firstLine="480"/>
        <w:rPr>
          <w:color w:val="auto"/>
        </w:rPr>
      </w:pPr>
      <w:r>
        <w:rPr>
          <w:rFonts w:hint="eastAsia"/>
          <w:color w:val="auto"/>
        </w:rPr>
        <w:t>（1）区域污水处理及排水现状</w:t>
      </w:r>
    </w:p>
    <w:p w14:paraId="481D4323">
      <w:pPr>
        <w:ind w:firstLine="480"/>
        <w:rPr>
          <w:color w:val="auto"/>
        </w:rPr>
      </w:pPr>
      <w:r>
        <w:rPr>
          <w:color w:val="auto"/>
        </w:rPr>
        <w:t>产业园区现有企业广西金桂浆纸业有限公司一</w:t>
      </w:r>
      <w:r>
        <w:rPr>
          <w:rFonts w:cs="Times New Roman"/>
          <w:color w:val="auto"/>
        </w:rPr>
        <w:t>~</w:t>
      </w:r>
      <w:r>
        <w:rPr>
          <w:color w:val="auto"/>
        </w:rPr>
        <w:t>二期已建设2座污水处理厂，分别为一期项目6.0万m</w:t>
      </w:r>
      <w:r>
        <w:rPr>
          <w:color w:val="auto"/>
          <w:vertAlign w:val="superscript"/>
        </w:rPr>
        <w:t>3</w:t>
      </w:r>
      <w:r>
        <w:rPr>
          <w:color w:val="auto"/>
        </w:rPr>
        <w:t>/d污水处理站，二期4.5万m³/d污水处理站，设计处理规模共10.5万m³/d</w:t>
      </w:r>
      <w:r>
        <w:rPr>
          <w:rFonts w:hint="eastAsia"/>
          <w:color w:val="auto"/>
        </w:rPr>
        <w:t>；目前企业在对现有1#污水处理站进行升级改造</w:t>
      </w:r>
      <w:r>
        <w:rPr>
          <w:color w:val="auto"/>
        </w:rPr>
        <w:t>。处理后的污水达到《制浆造纸工业水污染排放标准》（GB3544-2008）后，外排至企业自建的排海管，经钦州港大榄坪深海污水排放区A2（GX057DIV）深海排放。目前因区域水动力变化与围填海项目建设等因素影响，钦州港大榄坪深海污水排放区A2已无更多环境容量。</w:t>
      </w:r>
    </w:p>
    <w:p w14:paraId="25A57D1E">
      <w:pPr>
        <w:ind w:firstLine="480"/>
        <w:rPr>
          <w:color w:val="auto"/>
        </w:rPr>
      </w:pPr>
      <w:r>
        <w:rPr>
          <w:rFonts w:hint="eastAsia"/>
          <w:color w:val="auto"/>
        </w:rPr>
        <w:t>（2）广西金桂浆纸业有限公司污水处理厂</w:t>
      </w:r>
    </w:p>
    <w:p w14:paraId="58BDB4D9">
      <w:pPr>
        <w:ind w:firstLine="480"/>
        <w:rPr>
          <w:color w:val="auto"/>
          <w:szCs w:val="32"/>
        </w:rPr>
      </w:pPr>
      <w:r>
        <w:rPr>
          <w:color w:val="auto"/>
        </w:rPr>
        <w:t>产业园区现有企业广西金桂浆纸业有限公司一~二期已建设2座污水处理厂，分别为一期项目6.0万m</w:t>
      </w:r>
      <w:r>
        <w:rPr>
          <w:color w:val="auto"/>
          <w:vertAlign w:val="superscript"/>
        </w:rPr>
        <w:t>3</w:t>
      </w:r>
      <w:r>
        <w:rPr>
          <w:color w:val="auto"/>
        </w:rPr>
        <w:t>/d污水处理站，二期4.5万m³/d污水处理站，设计处理规模共计10.5万m³/d，根据在线监测数据202</w:t>
      </w:r>
      <w:r>
        <w:rPr>
          <w:rFonts w:hint="eastAsia"/>
          <w:color w:val="auto"/>
        </w:rPr>
        <w:t>5</w:t>
      </w:r>
      <w:r>
        <w:rPr>
          <w:color w:val="auto"/>
        </w:rPr>
        <w:t>年全年排放尾水</w:t>
      </w:r>
      <w:r>
        <w:rPr>
          <w:rFonts w:hint="eastAsia"/>
          <w:color w:val="auto"/>
        </w:rPr>
        <w:t>24779151.867</w:t>
      </w:r>
      <w:r>
        <w:rPr>
          <w:color w:val="auto"/>
        </w:rPr>
        <w:t>万m</w:t>
      </w:r>
      <w:r>
        <w:rPr>
          <w:color w:val="auto"/>
          <w:vertAlign w:val="superscript"/>
        </w:rPr>
        <w:t>3</w:t>
      </w:r>
      <w:r>
        <w:rPr>
          <w:color w:val="auto"/>
        </w:rPr>
        <w:t>。处理后的污水达到《制浆造纸工业水污染排放标准》（GB3544-2008）后表2中制浆和造纸联合生产企业排放限值后，经混合外排至企业自建的排海管，经钦州港大榄坪深海污水排放区A2（GX057DIV）</w:t>
      </w:r>
      <w:r>
        <w:rPr>
          <w:rFonts w:hint="eastAsia"/>
          <w:color w:val="auto"/>
        </w:rPr>
        <w:t>排放口排海</w:t>
      </w:r>
      <w:r>
        <w:rPr>
          <w:color w:val="auto"/>
          <w:szCs w:val="32"/>
        </w:rPr>
        <w:t>。</w:t>
      </w:r>
    </w:p>
    <w:p w14:paraId="00CFD795">
      <w:pPr>
        <w:ind w:firstLine="480"/>
        <w:rPr>
          <w:color w:val="auto"/>
          <w:szCs w:val="32"/>
        </w:rPr>
      </w:pPr>
      <w:r>
        <w:rPr>
          <w:color w:val="auto"/>
          <w:szCs w:val="32"/>
        </w:rPr>
        <w:t>一期污水处理站规模60000m</w:t>
      </w:r>
      <w:r>
        <w:rPr>
          <w:color w:val="auto"/>
          <w:szCs w:val="32"/>
          <w:vertAlign w:val="superscript"/>
        </w:rPr>
        <w:t>3</w:t>
      </w:r>
      <w:r>
        <w:rPr>
          <w:color w:val="auto"/>
          <w:szCs w:val="32"/>
        </w:rPr>
        <w:t>/d，采用“物化+好氧处理（SBR工艺）+高效浅层气浮”工艺，主要处理75万吨化</w:t>
      </w:r>
      <w:r>
        <w:rPr>
          <w:rFonts w:hint="eastAsia"/>
          <w:color w:val="auto"/>
          <w:szCs w:val="32"/>
        </w:rPr>
        <w:t>机</w:t>
      </w:r>
      <w:r>
        <w:rPr>
          <w:color w:val="auto"/>
          <w:szCs w:val="32"/>
        </w:rPr>
        <w:t>浆及1#造纸车间及其配套辅助设施废水</w:t>
      </w:r>
      <w:r>
        <w:rPr>
          <w:rFonts w:hint="eastAsia"/>
          <w:color w:val="auto"/>
          <w:szCs w:val="32"/>
        </w:rPr>
        <w:t>；75万吨</w:t>
      </w:r>
      <w:r>
        <w:rPr>
          <w:color w:val="auto"/>
          <w:szCs w:val="32"/>
        </w:rPr>
        <w:t>化</w:t>
      </w:r>
      <w:r>
        <w:rPr>
          <w:rFonts w:hint="eastAsia"/>
          <w:color w:val="auto"/>
          <w:szCs w:val="32"/>
        </w:rPr>
        <w:t>机</w:t>
      </w:r>
      <w:r>
        <w:rPr>
          <w:color w:val="auto"/>
          <w:szCs w:val="32"/>
        </w:rPr>
        <w:t>浆</w:t>
      </w:r>
      <w:r>
        <w:rPr>
          <w:rFonts w:hint="eastAsia"/>
          <w:color w:val="auto"/>
          <w:szCs w:val="32"/>
        </w:rPr>
        <w:t>扩建项目二期建成后，将在高效浅层气浮前增加深度处理工序，规模46000m</w:t>
      </w:r>
      <w:r>
        <w:rPr>
          <w:rFonts w:hint="eastAsia"/>
          <w:color w:val="auto"/>
          <w:szCs w:val="32"/>
          <w:vertAlign w:val="superscript"/>
        </w:rPr>
        <w:t>3</w:t>
      </w:r>
      <w:r>
        <w:rPr>
          <w:rFonts w:hint="eastAsia"/>
          <w:color w:val="auto"/>
          <w:szCs w:val="32"/>
        </w:rPr>
        <w:t>/d，建成后处理工艺为</w:t>
      </w:r>
      <w:r>
        <w:rPr>
          <w:color w:val="auto"/>
          <w:szCs w:val="32"/>
        </w:rPr>
        <w:t>“物化+好氧处理（SBR工艺）+深度处理+高效浅层气浮”工艺。</w:t>
      </w:r>
    </w:p>
    <w:p w14:paraId="408E0E13">
      <w:pPr>
        <w:ind w:firstLine="480"/>
        <w:rPr>
          <w:color w:val="auto"/>
          <w:szCs w:val="32"/>
        </w:rPr>
      </w:pPr>
      <w:r>
        <w:rPr>
          <w:color w:val="auto"/>
          <w:szCs w:val="32"/>
        </w:rPr>
        <w:t>过氧化氢车间配套200m</w:t>
      </w:r>
      <w:r>
        <w:rPr>
          <w:color w:val="auto"/>
          <w:szCs w:val="32"/>
          <w:vertAlign w:val="superscript"/>
        </w:rPr>
        <w:t>3</w:t>
      </w:r>
      <w:r>
        <w:rPr>
          <w:color w:val="auto"/>
          <w:szCs w:val="32"/>
        </w:rPr>
        <w:t>/d地埋式废水预处理设施，采用</w:t>
      </w:r>
      <w:r>
        <w:rPr>
          <w:rFonts w:hint="eastAsia"/>
          <w:color w:val="auto"/>
          <w:szCs w:val="32"/>
        </w:rPr>
        <w:t>“</w:t>
      </w:r>
      <w:r>
        <w:rPr>
          <w:color w:val="auto"/>
          <w:szCs w:val="32"/>
        </w:rPr>
        <w:t>隔油+芬顿+絮凝沉淀</w:t>
      </w:r>
      <w:r>
        <w:rPr>
          <w:rFonts w:hint="eastAsia"/>
          <w:color w:val="auto"/>
          <w:szCs w:val="32"/>
        </w:rPr>
        <w:t>”</w:t>
      </w:r>
      <w:r>
        <w:rPr>
          <w:color w:val="auto"/>
          <w:szCs w:val="32"/>
        </w:rPr>
        <w:t>工艺，处理后的废水排入一期污水处理站。</w:t>
      </w:r>
    </w:p>
    <w:p w14:paraId="24BEC96B">
      <w:pPr>
        <w:ind w:firstLine="480"/>
        <w:rPr>
          <w:color w:val="auto"/>
          <w:szCs w:val="32"/>
        </w:rPr>
      </w:pPr>
      <w:r>
        <w:rPr>
          <w:color w:val="auto"/>
          <w:szCs w:val="32"/>
        </w:rPr>
        <w:t>二期污水处理站规模45000m</w:t>
      </w:r>
      <w:r>
        <w:rPr>
          <w:color w:val="auto"/>
          <w:szCs w:val="32"/>
          <w:vertAlign w:val="superscript"/>
        </w:rPr>
        <w:t>3</w:t>
      </w:r>
      <w:r>
        <w:rPr>
          <w:color w:val="auto"/>
          <w:szCs w:val="32"/>
        </w:rPr>
        <w:t>/d，采用</w:t>
      </w:r>
      <w:r>
        <w:rPr>
          <w:rFonts w:hint="eastAsia"/>
          <w:color w:val="auto"/>
          <w:szCs w:val="32"/>
        </w:rPr>
        <w:t>“</w:t>
      </w:r>
      <w:r>
        <w:rPr>
          <w:color w:val="auto"/>
          <w:szCs w:val="32"/>
        </w:rPr>
        <w:t>絮凝沉淀+A/O工艺+三级反应净化</w:t>
      </w:r>
      <w:r>
        <w:rPr>
          <w:rFonts w:hint="eastAsia"/>
          <w:color w:val="auto"/>
          <w:szCs w:val="32"/>
        </w:rPr>
        <w:t>”</w:t>
      </w:r>
      <w:r>
        <w:rPr>
          <w:color w:val="auto"/>
          <w:szCs w:val="32"/>
        </w:rPr>
        <w:t>工艺，主要处理2#造纸车间及其配套辅助设施废水。</w:t>
      </w:r>
    </w:p>
    <w:p w14:paraId="4641DCFF">
      <w:pPr>
        <w:ind w:firstLine="480"/>
        <w:rPr>
          <w:color w:val="auto"/>
          <w:szCs w:val="32"/>
        </w:rPr>
      </w:pPr>
      <w:r>
        <w:rPr>
          <w:color w:val="auto"/>
          <w:szCs w:val="32"/>
        </w:rPr>
        <w:t>已批在建25万吨丁苯胶乳项目</w:t>
      </w:r>
      <w:r>
        <w:rPr>
          <w:rFonts w:hint="eastAsia"/>
          <w:color w:val="auto"/>
          <w:szCs w:val="32"/>
        </w:rPr>
        <w:t>污水处理站采用，“</w:t>
      </w:r>
      <w:r>
        <w:rPr>
          <w:color w:val="auto"/>
          <w:szCs w:val="32"/>
        </w:rPr>
        <w:t>调节+芬顿+厌氧+缺氧+好氧生化+沉淀</w:t>
      </w:r>
      <w:r>
        <w:rPr>
          <w:rFonts w:hint="eastAsia"/>
          <w:color w:val="auto"/>
          <w:szCs w:val="32"/>
        </w:rPr>
        <w:t>”</w:t>
      </w:r>
      <w:r>
        <w:rPr>
          <w:color w:val="auto"/>
          <w:szCs w:val="32"/>
        </w:rPr>
        <w:t>工艺，处理规模为600m</w:t>
      </w:r>
      <w:r>
        <w:rPr>
          <w:color w:val="auto"/>
          <w:szCs w:val="32"/>
          <w:vertAlign w:val="superscript"/>
        </w:rPr>
        <w:t>3</w:t>
      </w:r>
      <w:r>
        <w:rPr>
          <w:color w:val="auto"/>
          <w:szCs w:val="32"/>
        </w:rPr>
        <w:t>/d。处理后的尾水经金桂现有总排污口排至A2排污区排放。</w:t>
      </w:r>
    </w:p>
    <w:p w14:paraId="67C7F548">
      <w:pPr>
        <w:ind w:firstLine="480"/>
        <w:rPr>
          <w:color w:val="auto"/>
          <w:szCs w:val="32"/>
        </w:rPr>
      </w:pPr>
      <w:r>
        <w:rPr>
          <w:rFonts w:hint="eastAsia"/>
          <w:color w:val="auto"/>
          <w:szCs w:val="32"/>
        </w:rPr>
        <w:t>现有深海排放管道由金桂浆自行建设，污水提升泵设计流量为2.778m</w:t>
      </w:r>
      <w:r>
        <w:rPr>
          <w:rFonts w:hint="eastAsia"/>
          <w:color w:val="auto"/>
          <w:szCs w:val="32"/>
          <w:vertAlign w:val="superscript"/>
        </w:rPr>
        <w:t>3</w:t>
      </w:r>
      <w:r>
        <w:rPr>
          <w:rFonts w:hint="eastAsia"/>
          <w:color w:val="auto"/>
          <w:szCs w:val="32"/>
        </w:rPr>
        <w:t>/s，提升能力24万m</w:t>
      </w:r>
      <w:r>
        <w:rPr>
          <w:rFonts w:hint="eastAsia"/>
          <w:color w:val="auto"/>
          <w:szCs w:val="32"/>
          <w:vertAlign w:val="superscript"/>
        </w:rPr>
        <w:t>3</w:t>
      </w:r>
      <w:r>
        <w:rPr>
          <w:rFonts w:hint="eastAsia"/>
          <w:color w:val="auto"/>
          <w:szCs w:val="32"/>
        </w:rPr>
        <w:t>/d。排放管线直径1600mm，可输送量20万m</w:t>
      </w:r>
      <w:r>
        <w:rPr>
          <w:rFonts w:hint="eastAsia"/>
          <w:color w:val="auto"/>
          <w:szCs w:val="32"/>
          <w:vertAlign w:val="superscript"/>
        </w:rPr>
        <w:t>3</w:t>
      </w:r>
      <w:r>
        <w:rPr>
          <w:rFonts w:hint="eastAsia"/>
          <w:color w:val="auto"/>
          <w:szCs w:val="32"/>
        </w:rPr>
        <w:t>/d。排污口处于钦州港大榄坪深海污水排放区（GX057DIV）：位置是以E</w:t>
      </w:r>
      <w:r>
        <w:rPr>
          <w:rFonts w:cs="Times New Roman"/>
          <w:color w:val="auto"/>
          <w:szCs w:val="32"/>
        </w:rPr>
        <w:t>108˚39′12.0″、N21˚39′15.0″为</w:t>
      </w:r>
      <w:r>
        <w:rPr>
          <w:rFonts w:hint="eastAsia"/>
          <w:color w:val="auto"/>
          <w:szCs w:val="32"/>
        </w:rPr>
        <w:t>中心，半径1km的海域。</w:t>
      </w:r>
    </w:p>
    <w:p w14:paraId="7D19B267">
      <w:pPr>
        <w:ind w:firstLine="480"/>
        <w:rPr>
          <w:color w:val="auto"/>
        </w:rPr>
      </w:pPr>
      <w:r>
        <w:rPr>
          <w:rFonts w:hint="eastAsia"/>
          <w:color w:val="auto"/>
        </w:rPr>
        <w:t>（3）污水处理设施规划</w:t>
      </w:r>
    </w:p>
    <w:p w14:paraId="5DDE2528">
      <w:pPr>
        <w:ind w:firstLine="480"/>
        <w:rPr>
          <w:color w:val="auto"/>
        </w:rPr>
      </w:pPr>
      <w:r>
        <w:rPr>
          <w:rFonts w:hint="eastAsia"/>
          <w:color w:val="auto"/>
        </w:rPr>
        <w:t>广西金桂浆纸业有限公司一二期已建设2座污水处理厂，分别为一期项目6.0万m</w:t>
      </w:r>
      <w:r>
        <w:rPr>
          <w:rFonts w:hint="eastAsia"/>
          <w:color w:val="auto"/>
          <w:vertAlign w:val="superscript"/>
        </w:rPr>
        <w:t>3</w:t>
      </w:r>
      <w:r>
        <w:rPr>
          <w:rFonts w:hint="eastAsia"/>
          <w:color w:val="auto"/>
        </w:rPr>
        <w:t>/d污水处理站，二期4.5万m³/d污水处理站，设计处理规模共计10.5万m³/d。三期准备建设10万m</w:t>
      </w:r>
      <w:r>
        <w:rPr>
          <w:rFonts w:hint="eastAsia"/>
          <w:color w:val="auto"/>
          <w:vertAlign w:val="superscript"/>
        </w:rPr>
        <w:t>3</w:t>
      </w:r>
      <w:r>
        <w:rPr>
          <w:rFonts w:hint="eastAsia"/>
          <w:color w:val="auto"/>
        </w:rPr>
        <w:t>/d污水处理站，四期项目规划配套建24万m</w:t>
      </w:r>
      <w:r>
        <w:rPr>
          <w:rFonts w:hint="eastAsia"/>
          <w:color w:val="auto"/>
          <w:vertAlign w:val="superscript"/>
        </w:rPr>
        <w:t>3</w:t>
      </w:r>
      <w:r>
        <w:rPr>
          <w:rFonts w:hint="eastAsia"/>
          <w:color w:val="auto"/>
        </w:rPr>
        <w:t>/d污水水处理站，服务整个园区相关企业，园区总处理规模为44.5万m³/d。</w:t>
      </w:r>
    </w:p>
    <w:p w14:paraId="1120A0C0">
      <w:pPr>
        <w:ind w:firstLine="480"/>
        <w:rPr>
          <w:color w:val="auto"/>
        </w:rPr>
      </w:pPr>
      <w:r>
        <w:rPr>
          <w:rFonts w:hint="eastAsia"/>
          <w:color w:val="auto"/>
        </w:rPr>
        <w:t>根据区域发展需要，A2混合区已不能满足区域排污需求。因此金桂浆企业一至四期项目处理后的污水达到《制浆造纸工业水污染排放标准》（GB3544-2008）后需进一步提标，通过园区建设的排海管，经钦州港A4排污混合区（GX062DIV）和A17排污混合区（GX063DIV）深海排放。目前钦州港A4排污混合区（GX062DIV）和A17排污混合区（GX063DIV）已完成前期论证工作，通往排污混合区的排海管道处于设计阶段。</w:t>
      </w:r>
    </w:p>
    <w:p w14:paraId="2BC39CD3">
      <w:pPr>
        <w:pStyle w:val="3"/>
        <w:rPr>
          <w:color w:val="auto"/>
        </w:rPr>
      </w:pPr>
      <w:bookmarkStart w:id="290" w:name="_Toc198390022"/>
      <w:bookmarkStart w:id="291" w:name="_Toc225216738"/>
      <w:bookmarkStart w:id="292" w:name="_Toc221355718"/>
      <w:bookmarkStart w:id="293" w:name="_Toc199190480"/>
      <w:bookmarkStart w:id="294" w:name="_Toc198391241"/>
      <w:bookmarkStart w:id="295" w:name="_Toc199168943"/>
      <w:bookmarkStart w:id="296" w:name="_Toc198390588"/>
      <w:r>
        <w:rPr>
          <w:rFonts w:hint="eastAsia"/>
          <w:color w:val="auto"/>
        </w:rPr>
        <w:t>区域主要污染源调查</w:t>
      </w:r>
      <w:bookmarkEnd w:id="290"/>
      <w:bookmarkEnd w:id="291"/>
      <w:bookmarkEnd w:id="292"/>
      <w:bookmarkEnd w:id="293"/>
      <w:bookmarkEnd w:id="294"/>
      <w:bookmarkEnd w:id="295"/>
      <w:bookmarkEnd w:id="296"/>
    </w:p>
    <w:p w14:paraId="0A64118A">
      <w:pPr>
        <w:pStyle w:val="5"/>
        <w:rPr>
          <w:color w:val="auto"/>
        </w:rPr>
      </w:pPr>
      <w:r>
        <w:rPr>
          <w:rFonts w:hint="eastAsia"/>
          <w:color w:val="auto"/>
        </w:rPr>
        <w:t>区域已建、在建和拟建污染源废气污染物排放情况</w:t>
      </w:r>
    </w:p>
    <w:p w14:paraId="6AC3A22F">
      <w:pPr>
        <w:ind w:firstLine="480"/>
        <w:rPr>
          <w:color w:val="auto"/>
        </w:rPr>
        <w:sectPr>
          <w:pgSz w:w="11906" w:h="16838"/>
          <w:pgMar w:top="1418" w:right="1418" w:bottom="1418" w:left="1418" w:header="851" w:footer="850" w:gutter="0"/>
          <w:cols w:space="425" w:num="1"/>
          <w:docGrid w:type="lines" w:linePitch="326" w:charSpace="0"/>
        </w:sectPr>
      </w:pPr>
      <w:r>
        <w:rPr>
          <w:rFonts w:hint="eastAsia"/>
          <w:color w:val="auto"/>
        </w:rPr>
        <w:t>经调查，拟建项目大气环境影响评价范围内已批在建项目包括：广西金桂浆纸业有限公司年产75万吨化机浆扩建项目（二期）、广西金桂浆纸业有限公司年产180万吨高档纸板扩建项目（2#生产线）、广西金桂浆纸业有限公司年产25万吨丁苯胶乳项目、广西中伟新能源项目一期三阶段、广西格派电池新材料有限公司格派新能源电池材料一体化项目（一期）、广西金洲浆纸业有限公司三期工程年产300万吨林浆纸一体化项目、广西安鑫电子材料有限公司。区域大气污染源见下表。</w:t>
      </w:r>
    </w:p>
    <w:p w14:paraId="21D19378">
      <w:pPr>
        <w:pStyle w:val="7"/>
        <w:rPr>
          <w:color w:val="auto"/>
        </w:rPr>
      </w:pPr>
      <w:r>
        <w:rPr>
          <w:rFonts w:hint="eastAsia"/>
          <w:color w:val="auto"/>
        </w:rPr>
        <w:t>区域已批在建大气污染源</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679"/>
        <w:gridCol w:w="946"/>
        <w:gridCol w:w="946"/>
        <w:gridCol w:w="1068"/>
        <w:gridCol w:w="1020"/>
        <w:gridCol w:w="1020"/>
        <w:gridCol w:w="938"/>
        <w:gridCol w:w="946"/>
        <w:gridCol w:w="946"/>
        <w:gridCol w:w="946"/>
        <w:gridCol w:w="1128"/>
        <w:gridCol w:w="947"/>
        <w:gridCol w:w="961"/>
      </w:tblGrid>
      <w:tr w14:paraId="6A833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52" w:type="pct"/>
            <w:vMerge w:val="restart"/>
            <w:vAlign w:val="center"/>
          </w:tcPr>
          <w:p w14:paraId="4B594F4E">
            <w:pPr>
              <w:pStyle w:val="33"/>
              <w:rPr>
                <w:color w:val="auto"/>
              </w:rPr>
            </w:pPr>
            <w:r>
              <w:rPr>
                <w:color w:val="auto"/>
              </w:rPr>
              <w:t>序号</w:t>
            </w:r>
          </w:p>
        </w:tc>
        <w:tc>
          <w:tcPr>
            <w:tcW w:w="591" w:type="pct"/>
            <w:vMerge w:val="restart"/>
            <w:vAlign w:val="center"/>
          </w:tcPr>
          <w:p w14:paraId="3C444F9C">
            <w:pPr>
              <w:pStyle w:val="33"/>
              <w:rPr>
                <w:color w:val="auto"/>
              </w:rPr>
            </w:pPr>
            <w:r>
              <w:rPr>
                <w:color w:val="auto"/>
              </w:rPr>
              <w:t>排气筒名称/编号</w:t>
            </w:r>
          </w:p>
        </w:tc>
        <w:tc>
          <w:tcPr>
            <w:tcW w:w="333" w:type="pct"/>
            <w:vMerge w:val="restart"/>
            <w:vAlign w:val="center"/>
          </w:tcPr>
          <w:p w14:paraId="23AED935">
            <w:pPr>
              <w:pStyle w:val="33"/>
              <w:rPr>
                <w:color w:val="auto"/>
              </w:rPr>
            </w:pPr>
            <w:r>
              <w:rPr>
                <w:color w:val="auto"/>
              </w:rPr>
              <w:t>排气筒高度/m</w:t>
            </w:r>
          </w:p>
        </w:tc>
        <w:tc>
          <w:tcPr>
            <w:tcW w:w="333" w:type="pct"/>
            <w:vMerge w:val="restart"/>
            <w:vAlign w:val="center"/>
          </w:tcPr>
          <w:p w14:paraId="05CF8F50">
            <w:pPr>
              <w:pStyle w:val="33"/>
              <w:rPr>
                <w:color w:val="auto"/>
              </w:rPr>
            </w:pPr>
            <w:r>
              <w:rPr>
                <w:color w:val="auto"/>
              </w:rPr>
              <w:t>排气筒出口内径/m</w:t>
            </w:r>
          </w:p>
        </w:tc>
        <w:tc>
          <w:tcPr>
            <w:tcW w:w="376" w:type="pct"/>
            <w:vMerge w:val="restart"/>
            <w:vAlign w:val="center"/>
          </w:tcPr>
          <w:p w14:paraId="06B9A75D">
            <w:pPr>
              <w:pStyle w:val="33"/>
              <w:rPr>
                <w:color w:val="auto"/>
              </w:rPr>
            </w:pPr>
            <w:r>
              <w:rPr>
                <w:color w:val="auto"/>
              </w:rPr>
              <w:t>烟气量/</w:t>
            </w:r>
          </w:p>
          <w:p w14:paraId="1B565036">
            <w:pPr>
              <w:pStyle w:val="33"/>
              <w:rPr>
                <w:color w:val="auto"/>
              </w:rPr>
            </w:pPr>
            <w:r>
              <w:rPr>
                <w:color w:val="auto"/>
              </w:rPr>
              <w:t>（m</w:t>
            </w:r>
            <w:r>
              <w:rPr>
                <w:color w:val="auto"/>
                <w:vertAlign w:val="superscript"/>
              </w:rPr>
              <w:t>3</w:t>
            </w:r>
            <w:r>
              <w:rPr>
                <w:color w:val="auto"/>
              </w:rPr>
              <w:t>/h）</w:t>
            </w:r>
          </w:p>
        </w:tc>
        <w:tc>
          <w:tcPr>
            <w:tcW w:w="3115" w:type="pct"/>
            <w:gridSpan w:val="9"/>
            <w:vAlign w:val="center"/>
          </w:tcPr>
          <w:p w14:paraId="594FEEA6">
            <w:pPr>
              <w:pStyle w:val="33"/>
              <w:rPr>
                <w:color w:val="auto"/>
              </w:rPr>
            </w:pPr>
            <w:r>
              <w:rPr>
                <w:b/>
                <w:bCs/>
                <w:color w:val="auto"/>
              </w:rPr>
              <w:t>污染物排放速率/（kg/h）</w:t>
            </w:r>
          </w:p>
        </w:tc>
      </w:tr>
      <w:tr w14:paraId="23352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52" w:type="pct"/>
            <w:vMerge w:val="continue"/>
            <w:vAlign w:val="center"/>
          </w:tcPr>
          <w:p w14:paraId="46FA402E">
            <w:pPr>
              <w:pStyle w:val="33"/>
              <w:rPr>
                <w:color w:val="auto"/>
              </w:rPr>
            </w:pPr>
          </w:p>
        </w:tc>
        <w:tc>
          <w:tcPr>
            <w:tcW w:w="591" w:type="pct"/>
            <w:vMerge w:val="continue"/>
            <w:vAlign w:val="center"/>
          </w:tcPr>
          <w:p w14:paraId="097D07FF">
            <w:pPr>
              <w:pStyle w:val="33"/>
              <w:rPr>
                <w:color w:val="auto"/>
              </w:rPr>
            </w:pPr>
          </w:p>
        </w:tc>
        <w:tc>
          <w:tcPr>
            <w:tcW w:w="333" w:type="pct"/>
            <w:vMerge w:val="continue"/>
            <w:vAlign w:val="center"/>
          </w:tcPr>
          <w:p w14:paraId="1CA8689A">
            <w:pPr>
              <w:pStyle w:val="33"/>
              <w:rPr>
                <w:color w:val="auto"/>
              </w:rPr>
            </w:pPr>
          </w:p>
        </w:tc>
        <w:tc>
          <w:tcPr>
            <w:tcW w:w="333" w:type="pct"/>
            <w:vMerge w:val="continue"/>
            <w:vAlign w:val="center"/>
          </w:tcPr>
          <w:p w14:paraId="03C1A0CF">
            <w:pPr>
              <w:pStyle w:val="33"/>
              <w:rPr>
                <w:color w:val="auto"/>
              </w:rPr>
            </w:pPr>
          </w:p>
        </w:tc>
        <w:tc>
          <w:tcPr>
            <w:tcW w:w="376" w:type="pct"/>
            <w:vMerge w:val="continue"/>
            <w:vAlign w:val="center"/>
          </w:tcPr>
          <w:p w14:paraId="3642D5E7">
            <w:pPr>
              <w:pStyle w:val="33"/>
              <w:rPr>
                <w:color w:val="auto"/>
              </w:rPr>
            </w:pPr>
          </w:p>
        </w:tc>
        <w:tc>
          <w:tcPr>
            <w:tcW w:w="359" w:type="pct"/>
            <w:vAlign w:val="center"/>
          </w:tcPr>
          <w:p w14:paraId="3D14DB4E">
            <w:pPr>
              <w:pStyle w:val="33"/>
              <w:rPr>
                <w:color w:val="auto"/>
              </w:rPr>
            </w:pPr>
            <w:r>
              <w:rPr>
                <w:color w:val="auto"/>
              </w:rPr>
              <w:t>SO</w:t>
            </w:r>
            <w:r>
              <w:rPr>
                <w:color w:val="auto"/>
                <w:vertAlign w:val="subscript"/>
              </w:rPr>
              <w:t>2</w:t>
            </w:r>
          </w:p>
        </w:tc>
        <w:tc>
          <w:tcPr>
            <w:tcW w:w="359" w:type="pct"/>
            <w:vAlign w:val="center"/>
          </w:tcPr>
          <w:p w14:paraId="642E17C0">
            <w:pPr>
              <w:pStyle w:val="33"/>
              <w:rPr>
                <w:color w:val="auto"/>
              </w:rPr>
            </w:pPr>
            <w:r>
              <w:rPr>
                <w:color w:val="auto"/>
              </w:rPr>
              <w:t>NO</w:t>
            </w:r>
            <w:r>
              <w:rPr>
                <w:color w:val="auto"/>
                <w:vertAlign w:val="subscript"/>
              </w:rPr>
              <w:t>2</w:t>
            </w:r>
          </w:p>
        </w:tc>
        <w:tc>
          <w:tcPr>
            <w:tcW w:w="330" w:type="pct"/>
            <w:vAlign w:val="center"/>
          </w:tcPr>
          <w:p w14:paraId="5752077A">
            <w:pPr>
              <w:pStyle w:val="33"/>
              <w:rPr>
                <w:color w:val="auto"/>
              </w:rPr>
            </w:pPr>
            <w:r>
              <w:rPr>
                <w:color w:val="auto"/>
              </w:rPr>
              <w:t>PM</w:t>
            </w:r>
            <w:r>
              <w:rPr>
                <w:color w:val="auto"/>
                <w:vertAlign w:val="subscript"/>
              </w:rPr>
              <w:t>10</w:t>
            </w:r>
          </w:p>
        </w:tc>
        <w:tc>
          <w:tcPr>
            <w:tcW w:w="333" w:type="pct"/>
            <w:vAlign w:val="center"/>
          </w:tcPr>
          <w:p w14:paraId="00F5AE4A">
            <w:pPr>
              <w:pStyle w:val="33"/>
              <w:rPr>
                <w:color w:val="auto"/>
              </w:rPr>
            </w:pPr>
            <w:r>
              <w:rPr>
                <w:color w:val="auto"/>
              </w:rPr>
              <w:t>PM</w:t>
            </w:r>
            <w:r>
              <w:rPr>
                <w:color w:val="auto"/>
                <w:vertAlign w:val="subscript"/>
              </w:rPr>
              <w:t>2.5</w:t>
            </w:r>
          </w:p>
        </w:tc>
        <w:tc>
          <w:tcPr>
            <w:tcW w:w="333" w:type="pct"/>
            <w:vAlign w:val="center"/>
          </w:tcPr>
          <w:p w14:paraId="6C2BEDA0">
            <w:pPr>
              <w:pStyle w:val="33"/>
              <w:rPr>
                <w:color w:val="auto"/>
              </w:rPr>
            </w:pPr>
            <w:r>
              <w:rPr>
                <w:color w:val="auto"/>
              </w:rPr>
              <w:t>HCl</w:t>
            </w:r>
          </w:p>
        </w:tc>
        <w:tc>
          <w:tcPr>
            <w:tcW w:w="333" w:type="pct"/>
            <w:vAlign w:val="center"/>
          </w:tcPr>
          <w:p w14:paraId="6C47FB6D">
            <w:pPr>
              <w:pStyle w:val="33"/>
              <w:rPr>
                <w:color w:val="auto"/>
              </w:rPr>
            </w:pPr>
            <w:r>
              <w:rPr>
                <w:color w:val="auto"/>
              </w:rPr>
              <w:t>NH</w:t>
            </w:r>
            <w:r>
              <w:rPr>
                <w:color w:val="auto"/>
                <w:vertAlign w:val="subscript"/>
              </w:rPr>
              <w:t>3</w:t>
            </w:r>
          </w:p>
        </w:tc>
        <w:tc>
          <w:tcPr>
            <w:tcW w:w="397" w:type="pct"/>
            <w:vAlign w:val="center"/>
          </w:tcPr>
          <w:p w14:paraId="208563FC">
            <w:pPr>
              <w:pStyle w:val="33"/>
              <w:rPr>
                <w:color w:val="auto"/>
              </w:rPr>
            </w:pPr>
            <w:r>
              <w:rPr>
                <w:color w:val="auto"/>
              </w:rPr>
              <w:t>H</w:t>
            </w:r>
            <w:r>
              <w:rPr>
                <w:color w:val="auto"/>
                <w:vertAlign w:val="subscript"/>
              </w:rPr>
              <w:t>2</w:t>
            </w:r>
            <w:r>
              <w:rPr>
                <w:color w:val="auto"/>
              </w:rPr>
              <w:t>S</w:t>
            </w:r>
          </w:p>
        </w:tc>
        <w:tc>
          <w:tcPr>
            <w:tcW w:w="333" w:type="pct"/>
            <w:vAlign w:val="center"/>
          </w:tcPr>
          <w:p w14:paraId="385976DD">
            <w:pPr>
              <w:pStyle w:val="33"/>
              <w:rPr>
                <w:color w:val="auto"/>
              </w:rPr>
            </w:pPr>
            <w:r>
              <w:rPr>
                <w:color w:val="auto"/>
              </w:rPr>
              <w:t>非甲烷总烃</w:t>
            </w:r>
          </w:p>
        </w:tc>
        <w:tc>
          <w:tcPr>
            <w:tcW w:w="338" w:type="pct"/>
            <w:vAlign w:val="center"/>
          </w:tcPr>
          <w:p w14:paraId="5B31DE97">
            <w:pPr>
              <w:pStyle w:val="33"/>
              <w:rPr>
                <w:color w:val="auto"/>
              </w:rPr>
            </w:pPr>
            <w:r>
              <w:rPr>
                <w:color w:val="auto"/>
              </w:rPr>
              <w:t>VOCs</w:t>
            </w:r>
          </w:p>
        </w:tc>
      </w:tr>
      <w:tr w14:paraId="7E7ED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4A0009A5">
            <w:pPr>
              <w:pStyle w:val="33"/>
              <w:rPr>
                <w:color w:val="auto"/>
              </w:rPr>
            </w:pPr>
            <w:r>
              <w:rPr>
                <w:color w:val="auto"/>
              </w:rPr>
              <w:t>广西金桂浆纸业有限公司年产75万吨化机浆扩建项目（二期）</w:t>
            </w:r>
          </w:p>
        </w:tc>
      </w:tr>
      <w:tr w14:paraId="52A2F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22A0F84">
            <w:pPr>
              <w:pStyle w:val="33"/>
              <w:rPr>
                <w:color w:val="auto"/>
              </w:rPr>
            </w:pPr>
            <w:r>
              <w:rPr>
                <w:color w:val="auto"/>
              </w:rPr>
              <w:t>1</w:t>
            </w:r>
          </w:p>
        </w:tc>
        <w:tc>
          <w:tcPr>
            <w:tcW w:w="591" w:type="pct"/>
            <w:vAlign w:val="center"/>
          </w:tcPr>
          <w:p w14:paraId="02A23910">
            <w:pPr>
              <w:pStyle w:val="33"/>
              <w:rPr>
                <w:color w:val="auto"/>
              </w:rPr>
            </w:pPr>
            <w:r>
              <w:rPr>
                <w:color w:val="auto"/>
              </w:rPr>
              <w:t>1#碱炉烟囱（与现有共用）</w:t>
            </w:r>
          </w:p>
        </w:tc>
        <w:tc>
          <w:tcPr>
            <w:tcW w:w="333" w:type="pct"/>
            <w:vAlign w:val="center"/>
          </w:tcPr>
          <w:p w14:paraId="2473C2D4">
            <w:pPr>
              <w:pStyle w:val="33"/>
              <w:rPr>
                <w:color w:val="auto"/>
              </w:rPr>
            </w:pPr>
            <w:r>
              <w:rPr>
                <w:color w:val="auto"/>
              </w:rPr>
              <w:t>100</w:t>
            </w:r>
          </w:p>
        </w:tc>
        <w:tc>
          <w:tcPr>
            <w:tcW w:w="333" w:type="pct"/>
            <w:vAlign w:val="center"/>
          </w:tcPr>
          <w:p w14:paraId="0805F259">
            <w:pPr>
              <w:pStyle w:val="33"/>
              <w:rPr>
                <w:color w:val="auto"/>
              </w:rPr>
            </w:pPr>
            <w:r>
              <w:rPr>
                <w:color w:val="auto"/>
              </w:rPr>
              <w:t>2.6</w:t>
            </w:r>
          </w:p>
        </w:tc>
        <w:tc>
          <w:tcPr>
            <w:tcW w:w="376" w:type="pct"/>
            <w:vAlign w:val="center"/>
          </w:tcPr>
          <w:p w14:paraId="672EF4B4">
            <w:pPr>
              <w:pStyle w:val="33"/>
              <w:rPr>
                <w:color w:val="auto"/>
              </w:rPr>
            </w:pPr>
            <w:r>
              <w:rPr>
                <w:color w:val="auto"/>
              </w:rPr>
              <w:t>56824</w:t>
            </w:r>
          </w:p>
        </w:tc>
        <w:tc>
          <w:tcPr>
            <w:tcW w:w="359" w:type="pct"/>
            <w:vAlign w:val="center"/>
          </w:tcPr>
          <w:p w14:paraId="0F6E9C53">
            <w:pPr>
              <w:pStyle w:val="33"/>
              <w:rPr>
                <w:color w:val="auto"/>
              </w:rPr>
            </w:pPr>
            <w:r>
              <w:rPr>
                <w:color w:val="auto"/>
              </w:rPr>
              <w:t>0.8</w:t>
            </w:r>
          </w:p>
        </w:tc>
        <w:tc>
          <w:tcPr>
            <w:tcW w:w="359" w:type="pct"/>
            <w:vAlign w:val="center"/>
          </w:tcPr>
          <w:p w14:paraId="216FC417">
            <w:pPr>
              <w:pStyle w:val="33"/>
              <w:rPr>
                <w:color w:val="auto"/>
              </w:rPr>
            </w:pPr>
            <w:r>
              <w:rPr>
                <w:color w:val="auto"/>
              </w:rPr>
              <w:t>16.71</w:t>
            </w:r>
          </w:p>
        </w:tc>
        <w:tc>
          <w:tcPr>
            <w:tcW w:w="330" w:type="pct"/>
            <w:vAlign w:val="center"/>
          </w:tcPr>
          <w:p w14:paraId="57C27913">
            <w:pPr>
              <w:pStyle w:val="33"/>
              <w:rPr>
                <w:color w:val="auto"/>
              </w:rPr>
            </w:pPr>
            <w:r>
              <w:rPr>
                <w:color w:val="auto"/>
              </w:rPr>
              <w:t>3.81</w:t>
            </w:r>
          </w:p>
        </w:tc>
        <w:tc>
          <w:tcPr>
            <w:tcW w:w="333" w:type="pct"/>
            <w:vAlign w:val="center"/>
          </w:tcPr>
          <w:p w14:paraId="5AABBC1F">
            <w:pPr>
              <w:pStyle w:val="33"/>
              <w:rPr>
                <w:color w:val="auto"/>
              </w:rPr>
            </w:pPr>
            <w:r>
              <w:rPr>
                <w:color w:val="auto"/>
              </w:rPr>
              <w:t xml:space="preserve">2.67 </w:t>
            </w:r>
          </w:p>
        </w:tc>
        <w:tc>
          <w:tcPr>
            <w:tcW w:w="333" w:type="pct"/>
            <w:vAlign w:val="center"/>
          </w:tcPr>
          <w:p w14:paraId="095CD286">
            <w:pPr>
              <w:pStyle w:val="33"/>
              <w:rPr>
                <w:color w:val="auto"/>
              </w:rPr>
            </w:pPr>
            <w:r>
              <w:rPr>
                <w:color w:val="auto"/>
              </w:rPr>
              <w:t>/</w:t>
            </w:r>
          </w:p>
        </w:tc>
        <w:tc>
          <w:tcPr>
            <w:tcW w:w="333" w:type="pct"/>
            <w:vAlign w:val="center"/>
          </w:tcPr>
          <w:p w14:paraId="49050950">
            <w:pPr>
              <w:pStyle w:val="33"/>
              <w:rPr>
                <w:color w:val="auto"/>
              </w:rPr>
            </w:pPr>
            <w:r>
              <w:rPr>
                <w:color w:val="auto"/>
              </w:rPr>
              <w:t>/</w:t>
            </w:r>
          </w:p>
        </w:tc>
        <w:tc>
          <w:tcPr>
            <w:tcW w:w="397" w:type="pct"/>
            <w:vAlign w:val="center"/>
          </w:tcPr>
          <w:p w14:paraId="61432976">
            <w:pPr>
              <w:pStyle w:val="33"/>
              <w:rPr>
                <w:color w:val="auto"/>
              </w:rPr>
            </w:pPr>
            <w:r>
              <w:rPr>
                <w:color w:val="auto"/>
              </w:rPr>
              <w:t>/</w:t>
            </w:r>
          </w:p>
        </w:tc>
        <w:tc>
          <w:tcPr>
            <w:tcW w:w="333" w:type="pct"/>
            <w:vAlign w:val="center"/>
          </w:tcPr>
          <w:p w14:paraId="689A872E">
            <w:pPr>
              <w:pStyle w:val="33"/>
              <w:rPr>
                <w:color w:val="auto"/>
              </w:rPr>
            </w:pPr>
            <w:r>
              <w:rPr>
                <w:color w:val="auto"/>
              </w:rPr>
              <w:t>/</w:t>
            </w:r>
          </w:p>
        </w:tc>
        <w:tc>
          <w:tcPr>
            <w:tcW w:w="338" w:type="pct"/>
            <w:vAlign w:val="center"/>
          </w:tcPr>
          <w:p w14:paraId="0B40DE75">
            <w:pPr>
              <w:pStyle w:val="33"/>
              <w:rPr>
                <w:color w:val="auto"/>
              </w:rPr>
            </w:pPr>
            <w:r>
              <w:rPr>
                <w:color w:val="auto"/>
              </w:rPr>
              <w:t>/</w:t>
            </w:r>
          </w:p>
        </w:tc>
      </w:tr>
      <w:tr w14:paraId="5C7D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0704D13">
            <w:pPr>
              <w:pStyle w:val="33"/>
              <w:rPr>
                <w:color w:val="auto"/>
              </w:rPr>
            </w:pPr>
            <w:r>
              <w:rPr>
                <w:color w:val="auto"/>
              </w:rPr>
              <w:t>2</w:t>
            </w:r>
          </w:p>
        </w:tc>
        <w:tc>
          <w:tcPr>
            <w:tcW w:w="591" w:type="pct"/>
            <w:vAlign w:val="center"/>
          </w:tcPr>
          <w:p w14:paraId="7F49BBEC">
            <w:pPr>
              <w:pStyle w:val="33"/>
              <w:rPr>
                <w:color w:val="auto"/>
              </w:rPr>
            </w:pPr>
            <w:r>
              <w:rPr>
                <w:color w:val="auto"/>
              </w:rPr>
              <w:t>2#碱炉烟囱</w:t>
            </w:r>
          </w:p>
        </w:tc>
        <w:tc>
          <w:tcPr>
            <w:tcW w:w="333" w:type="pct"/>
            <w:vAlign w:val="center"/>
          </w:tcPr>
          <w:p w14:paraId="4ABB4DC3">
            <w:pPr>
              <w:pStyle w:val="33"/>
              <w:rPr>
                <w:color w:val="auto"/>
              </w:rPr>
            </w:pPr>
            <w:r>
              <w:rPr>
                <w:color w:val="auto"/>
              </w:rPr>
              <w:t>120</w:t>
            </w:r>
          </w:p>
        </w:tc>
        <w:tc>
          <w:tcPr>
            <w:tcW w:w="333" w:type="pct"/>
            <w:vAlign w:val="center"/>
          </w:tcPr>
          <w:p w14:paraId="0EA30397">
            <w:pPr>
              <w:pStyle w:val="33"/>
              <w:rPr>
                <w:color w:val="auto"/>
              </w:rPr>
            </w:pPr>
            <w:r>
              <w:rPr>
                <w:color w:val="auto"/>
              </w:rPr>
              <w:t>2.6</w:t>
            </w:r>
          </w:p>
        </w:tc>
        <w:tc>
          <w:tcPr>
            <w:tcW w:w="376" w:type="pct"/>
            <w:vAlign w:val="center"/>
          </w:tcPr>
          <w:p w14:paraId="1ECD71DA">
            <w:pPr>
              <w:pStyle w:val="33"/>
              <w:rPr>
                <w:color w:val="auto"/>
              </w:rPr>
            </w:pPr>
            <w:r>
              <w:rPr>
                <w:color w:val="auto"/>
              </w:rPr>
              <w:t>71030</w:t>
            </w:r>
          </w:p>
        </w:tc>
        <w:tc>
          <w:tcPr>
            <w:tcW w:w="359" w:type="pct"/>
            <w:vAlign w:val="center"/>
          </w:tcPr>
          <w:p w14:paraId="4A95824D">
            <w:pPr>
              <w:pStyle w:val="33"/>
              <w:rPr>
                <w:color w:val="auto"/>
              </w:rPr>
            </w:pPr>
            <w:r>
              <w:rPr>
                <w:color w:val="auto"/>
              </w:rPr>
              <w:t>0.99</w:t>
            </w:r>
          </w:p>
        </w:tc>
        <w:tc>
          <w:tcPr>
            <w:tcW w:w="359" w:type="pct"/>
            <w:vAlign w:val="center"/>
          </w:tcPr>
          <w:p w14:paraId="64B49019">
            <w:pPr>
              <w:pStyle w:val="33"/>
              <w:rPr>
                <w:color w:val="auto"/>
              </w:rPr>
            </w:pPr>
            <w:r>
              <w:rPr>
                <w:color w:val="auto"/>
              </w:rPr>
              <w:t>20.88</w:t>
            </w:r>
          </w:p>
        </w:tc>
        <w:tc>
          <w:tcPr>
            <w:tcW w:w="330" w:type="pct"/>
            <w:vAlign w:val="center"/>
          </w:tcPr>
          <w:p w14:paraId="7E08FDE6">
            <w:pPr>
              <w:pStyle w:val="33"/>
              <w:rPr>
                <w:color w:val="auto"/>
              </w:rPr>
            </w:pPr>
            <w:r>
              <w:rPr>
                <w:color w:val="auto"/>
              </w:rPr>
              <w:t>2.06</w:t>
            </w:r>
          </w:p>
        </w:tc>
        <w:tc>
          <w:tcPr>
            <w:tcW w:w="333" w:type="pct"/>
            <w:vAlign w:val="center"/>
          </w:tcPr>
          <w:p w14:paraId="3A015332">
            <w:pPr>
              <w:pStyle w:val="33"/>
              <w:rPr>
                <w:color w:val="auto"/>
              </w:rPr>
            </w:pPr>
            <w:r>
              <w:rPr>
                <w:color w:val="auto"/>
              </w:rPr>
              <w:t>1.44</w:t>
            </w:r>
          </w:p>
        </w:tc>
        <w:tc>
          <w:tcPr>
            <w:tcW w:w="333" w:type="pct"/>
            <w:vAlign w:val="center"/>
          </w:tcPr>
          <w:p w14:paraId="5FE17BB4">
            <w:pPr>
              <w:pStyle w:val="33"/>
              <w:rPr>
                <w:color w:val="auto"/>
              </w:rPr>
            </w:pPr>
            <w:r>
              <w:rPr>
                <w:color w:val="auto"/>
              </w:rPr>
              <w:t>/</w:t>
            </w:r>
          </w:p>
        </w:tc>
        <w:tc>
          <w:tcPr>
            <w:tcW w:w="333" w:type="pct"/>
            <w:vAlign w:val="center"/>
          </w:tcPr>
          <w:p w14:paraId="6853A0B9">
            <w:pPr>
              <w:pStyle w:val="33"/>
              <w:rPr>
                <w:color w:val="auto"/>
              </w:rPr>
            </w:pPr>
            <w:r>
              <w:rPr>
                <w:color w:val="auto"/>
              </w:rPr>
              <w:t>/</w:t>
            </w:r>
          </w:p>
        </w:tc>
        <w:tc>
          <w:tcPr>
            <w:tcW w:w="397" w:type="pct"/>
            <w:vAlign w:val="center"/>
          </w:tcPr>
          <w:p w14:paraId="6B49CE78">
            <w:pPr>
              <w:pStyle w:val="33"/>
              <w:rPr>
                <w:color w:val="auto"/>
              </w:rPr>
            </w:pPr>
            <w:r>
              <w:rPr>
                <w:color w:val="auto"/>
              </w:rPr>
              <w:t>/</w:t>
            </w:r>
          </w:p>
        </w:tc>
        <w:tc>
          <w:tcPr>
            <w:tcW w:w="333" w:type="pct"/>
            <w:vAlign w:val="center"/>
          </w:tcPr>
          <w:p w14:paraId="0982B5B4">
            <w:pPr>
              <w:pStyle w:val="33"/>
              <w:rPr>
                <w:color w:val="auto"/>
              </w:rPr>
            </w:pPr>
            <w:r>
              <w:rPr>
                <w:color w:val="auto"/>
              </w:rPr>
              <w:t>/</w:t>
            </w:r>
          </w:p>
        </w:tc>
        <w:tc>
          <w:tcPr>
            <w:tcW w:w="338" w:type="pct"/>
            <w:vAlign w:val="center"/>
          </w:tcPr>
          <w:p w14:paraId="76816147">
            <w:pPr>
              <w:pStyle w:val="33"/>
              <w:rPr>
                <w:color w:val="auto"/>
              </w:rPr>
            </w:pPr>
            <w:r>
              <w:rPr>
                <w:color w:val="auto"/>
              </w:rPr>
              <w:t>/</w:t>
            </w:r>
          </w:p>
        </w:tc>
      </w:tr>
      <w:tr w14:paraId="1074E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5FFD38B2">
            <w:pPr>
              <w:pStyle w:val="33"/>
              <w:rPr>
                <w:color w:val="auto"/>
              </w:rPr>
            </w:pPr>
            <w:r>
              <w:rPr>
                <w:color w:val="auto"/>
              </w:rPr>
              <w:t>广西金桂浆纸业有限公司年产180万吨高档纸板扩建项目（2#生产线）</w:t>
            </w:r>
          </w:p>
        </w:tc>
      </w:tr>
      <w:tr w14:paraId="7BE75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0F2D0BA">
            <w:pPr>
              <w:pStyle w:val="33"/>
              <w:rPr>
                <w:color w:val="auto"/>
              </w:rPr>
            </w:pPr>
            <w:r>
              <w:rPr>
                <w:rFonts w:eastAsia="等线"/>
                <w:color w:val="auto"/>
              </w:rPr>
              <w:t>3</w:t>
            </w:r>
          </w:p>
        </w:tc>
        <w:tc>
          <w:tcPr>
            <w:tcW w:w="591" w:type="pct"/>
            <w:vAlign w:val="center"/>
          </w:tcPr>
          <w:p w14:paraId="2E3E6BA7">
            <w:pPr>
              <w:pStyle w:val="33"/>
              <w:rPr>
                <w:color w:val="auto"/>
              </w:rPr>
            </w:pPr>
            <w:r>
              <w:rPr>
                <w:color w:val="auto"/>
              </w:rPr>
              <w:t>2#造纸车间LPG烟囱1</w:t>
            </w:r>
          </w:p>
        </w:tc>
        <w:tc>
          <w:tcPr>
            <w:tcW w:w="333" w:type="pct"/>
            <w:vAlign w:val="center"/>
          </w:tcPr>
          <w:p w14:paraId="2BB4B7B7">
            <w:pPr>
              <w:pStyle w:val="33"/>
              <w:rPr>
                <w:color w:val="auto"/>
              </w:rPr>
            </w:pPr>
            <w:r>
              <w:rPr>
                <w:color w:val="auto"/>
              </w:rPr>
              <w:t>30</w:t>
            </w:r>
          </w:p>
        </w:tc>
        <w:tc>
          <w:tcPr>
            <w:tcW w:w="333" w:type="pct"/>
            <w:vAlign w:val="center"/>
          </w:tcPr>
          <w:p w14:paraId="4EF8BD59">
            <w:pPr>
              <w:pStyle w:val="33"/>
              <w:rPr>
                <w:color w:val="auto"/>
              </w:rPr>
            </w:pPr>
            <w:r>
              <w:rPr>
                <w:color w:val="auto"/>
              </w:rPr>
              <w:t>0.92</w:t>
            </w:r>
          </w:p>
        </w:tc>
        <w:tc>
          <w:tcPr>
            <w:tcW w:w="376" w:type="pct"/>
            <w:vAlign w:val="center"/>
          </w:tcPr>
          <w:p w14:paraId="3784DF51">
            <w:pPr>
              <w:pStyle w:val="33"/>
              <w:rPr>
                <w:color w:val="auto"/>
              </w:rPr>
            </w:pPr>
            <w:r>
              <w:rPr>
                <w:color w:val="auto"/>
              </w:rPr>
              <w:t>43200</w:t>
            </w:r>
          </w:p>
        </w:tc>
        <w:tc>
          <w:tcPr>
            <w:tcW w:w="359" w:type="pct"/>
            <w:vAlign w:val="center"/>
          </w:tcPr>
          <w:p w14:paraId="7F77F40C">
            <w:pPr>
              <w:pStyle w:val="33"/>
              <w:rPr>
                <w:color w:val="auto"/>
              </w:rPr>
            </w:pPr>
            <w:r>
              <w:rPr>
                <w:color w:val="auto"/>
              </w:rPr>
              <w:t xml:space="preserve">0.0004 </w:t>
            </w:r>
          </w:p>
        </w:tc>
        <w:tc>
          <w:tcPr>
            <w:tcW w:w="359" w:type="pct"/>
            <w:vAlign w:val="center"/>
          </w:tcPr>
          <w:p w14:paraId="37DA7775">
            <w:pPr>
              <w:pStyle w:val="33"/>
              <w:rPr>
                <w:color w:val="auto"/>
              </w:rPr>
            </w:pPr>
            <w:r>
              <w:rPr>
                <w:color w:val="auto"/>
              </w:rPr>
              <w:t xml:space="preserve">0.28 </w:t>
            </w:r>
          </w:p>
        </w:tc>
        <w:tc>
          <w:tcPr>
            <w:tcW w:w="330" w:type="pct"/>
            <w:vAlign w:val="center"/>
          </w:tcPr>
          <w:p w14:paraId="53258A29">
            <w:pPr>
              <w:pStyle w:val="33"/>
              <w:rPr>
                <w:color w:val="auto"/>
              </w:rPr>
            </w:pPr>
            <w:r>
              <w:rPr>
                <w:color w:val="auto"/>
              </w:rPr>
              <w:t xml:space="preserve">0.0026 </w:t>
            </w:r>
          </w:p>
        </w:tc>
        <w:tc>
          <w:tcPr>
            <w:tcW w:w="333" w:type="pct"/>
            <w:vAlign w:val="center"/>
          </w:tcPr>
          <w:p w14:paraId="62322BBF">
            <w:pPr>
              <w:pStyle w:val="33"/>
              <w:rPr>
                <w:color w:val="auto"/>
              </w:rPr>
            </w:pPr>
            <w:r>
              <w:rPr>
                <w:color w:val="auto"/>
              </w:rPr>
              <w:t>/</w:t>
            </w:r>
          </w:p>
        </w:tc>
        <w:tc>
          <w:tcPr>
            <w:tcW w:w="333" w:type="pct"/>
            <w:vAlign w:val="center"/>
          </w:tcPr>
          <w:p w14:paraId="39C52AF5">
            <w:pPr>
              <w:pStyle w:val="33"/>
              <w:rPr>
                <w:color w:val="auto"/>
              </w:rPr>
            </w:pPr>
            <w:r>
              <w:rPr>
                <w:color w:val="auto"/>
              </w:rPr>
              <w:t>/</w:t>
            </w:r>
          </w:p>
        </w:tc>
        <w:tc>
          <w:tcPr>
            <w:tcW w:w="333" w:type="pct"/>
            <w:vAlign w:val="center"/>
          </w:tcPr>
          <w:p w14:paraId="5C0DDA69">
            <w:pPr>
              <w:pStyle w:val="33"/>
              <w:rPr>
                <w:color w:val="auto"/>
              </w:rPr>
            </w:pPr>
            <w:r>
              <w:rPr>
                <w:color w:val="auto"/>
              </w:rPr>
              <w:t>/</w:t>
            </w:r>
          </w:p>
        </w:tc>
        <w:tc>
          <w:tcPr>
            <w:tcW w:w="397" w:type="pct"/>
            <w:vAlign w:val="center"/>
          </w:tcPr>
          <w:p w14:paraId="1A80CD15">
            <w:pPr>
              <w:pStyle w:val="33"/>
              <w:rPr>
                <w:color w:val="auto"/>
              </w:rPr>
            </w:pPr>
            <w:r>
              <w:rPr>
                <w:color w:val="auto"/>
              </w:rPr>
              <w:t>/</w:t>
            </w:r>
          </w:p>
        </w:tc>
        <w:tc>
          <w:tcPr>
            <w:tcW w:w="333" w:type="pct"/>
            <w:vAlign w:val="center"/>
          </w:tcPr>
          <w:p w14:paraId="5A48576C">
            <w:pPr>
              <w:pStyle w:val="33"/>
              <w:rPr>
                <w:color w:val="auto"/>
              </w:rPr>
            </w:pPr>
            <w:r>
              <w:rPr>
                <w:color w:val="auto"/>
              </w:rPr>
              <w:t>/</w:t>
            </w:r>
          </w:p>
        </w:tc>
        <w:tc>
          <w:tcPr>
            <w:tcW w:w="338" w:type="pct"/>
            <w:vAlign w:val="center"/>
          </w:tcPr>
          <w:p w14:paraId="244EBE4D">
            <w:pPr>
              <w:pStyle w:val="33"/>
              <w:rPr>
                <w:color w:val="auto"/>
              </w:rPr>
            </w:pPr>
            <w:r>
              <w:rPr>
                <w:color w:val="auto"/>
              </w:rPr>
              <w:t>/</w:t>
            </w:r>
          </w:p>
        </w:tc>
      </w:tr>
      <w:tr w14:paraId="755B1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4272C85">
            <w:pPr>
              <w:pStyle w:val="33"/>
              <w:rPr>
                <w:color w:val="auto"/>
              </w:rPr>
            </w:pPr>
            <w:r>
              <w:rPr>
                <w:rFonts w:eastAsia="等线"/>
                <w:color w:val="auto"/>
              </w:rPr>
              <w:t>4</w:t>
            </w:r>
          </w:p>
        </w:tc>
        <w:tc>
          <w:tcPr>
            <w:tcW w:w="591" w:type="pct"/>
            <w:vAlign w:val="center"/>
          </w:tcPr>
          <w:p w14:paraId="1DE3EF04">
            <w:pPr>
              <w:pStyle w:val="33"/>
              <w:rPr>
                <w:color w:val="auto"/>
              </w:rPr>
            </w:pPr>
            <w:r>
              <w:rPr>
                <w:color w:val="auto"/>
              </w:rPr>
              <w:t>2#造纸车间LP G烟囱2</w:t>
            </w:r>
          </w:p>
        </w:tc>
        <w:tc>
          <w:tcPr>
            <w:tcW w:w="333" w:type="pct"/>
            <w:vAlign w:val="center"/>
          </w:tcPr>
          <w:p w14:paraId="4C553A4E">
            <w:pPr>
              <w:pStyle w:val="33"/>
              <w:rPr>
                <w:color w:val="auto"/>
              </w:rPr>
            </w:pPr>
            <w:r>
              <w:rPr>
                <w:color w:val="auto"/>
              </w:rPr>
              <w:t>30</w:t>
            </w:r>
          </w:p>
        </w:tc>
        <w:tc>
          <w:tcPr>
            <w:tcW w:w="333" w:type="pct"/>
            <w:vAlign w:val="center"/>
          </w:tcPr>
          <w:p w14:paraId="7CAA919B">
            <w:pPr>
              <w:pStyle w:val="33"/>
              <w:rPr>
                <w:color w:val="auto"/>
              </w:rPr>
            </w:pPr>
            <w:r>
              <w:rPr>
                <w:color w:val="auto"/>
              </w:rPr>
              <w:t>0.92</w:t>
            </w:r>
          </w:p>
        </w:tc>
        <w:tc>
          <w:tcPr>
            <w:tcW w:w="376" w:type="pct"/>
            <w:vAlign w:val="center"/>
          </w:tcPr>
          <w:p w14:paraId="36A0EE41">
            <w:pPr>
              <w:pStyle w:val="33"/>
              <w:rPr>
                <w:color w:val="auto"/>
              </w:rPr>
            </w:pPr>
            <w:r>
              <w:rPr>
                <w:color w:val="auto"/>
              </w:rPr>
              <w:t>43200</w:t>
            </w:r>
          </w:p>
        </w:tc>
        <w:tc>
          <w:tcPr>
            <w:tcW w:w="359" w:type="pct"/>
            <w:vAlign w:val="center"/>
          </w:tcPr>
          <w:p w14:paraId="56E112B2">
            <w:pPr>
              <w:pStyle w:val="33"/>
              <w:rPr>
                <w:color w:val="auto"/>
              </w:rPr>
            </w:pPr>
            <w:r>
              <w:rPr>
                <w:color w:val="auto"/>
              </w:rPr>
              <w:t xml:space="preserve">0.0004 </w:t>
            </w:r>
          </w:p>
        </w:tc>
        <w:tc>
          <w:tcPr>
            <w:tcW w:w="359" w:type="pct"/>
            <w:vAlign w:val="center"/>
          </w:tcPr>
          <w:p w14:paraId="139723C3">
            <w:pPr>
              <w:pStyle w:val="33"/>
              <w:rPr>
                <w:color w:val="auto"/>
              </w:rPr>
            </w:pPr>
            <w:r>
              <w:rPr>
                <w:color w:val="auto"/>
              </w:rPr>
              <w:t xml:space="preserve">0.28 </w:t>
            </w:r>
          </w:p>
        </w:tc>
        <w:tc>
          <w:tcPr>
            <w:tcW w:w="330" w:type="pct"/>
            <w:vAlign w:val="center"/>
          </w:tcPr>
          <w:p w14:paraId="2843B54D">
            <w:pPr>
              <w:pStyle w:val="33"/>
              <w:rPr>
                <w:color w:val="auto"/>
              </w:rPr>
            </w:pPr>
            <w:r>
              <w:rPr>
                <w:color w:val="auto"/>
              </w:rPr>
              <w:t xml:space="preserve">0.0026 </w:t>
            </w:r>
          </w:p>
        </w:tc>
        <w:tc>
          <w:tcPr>
            <w:tcW w:w="333" w:type="pct"/>
            <w:vAlign w:val="center"/>
          </w:tcPr>
          <w:p w14:paraId="488F0D0F">
            <w:pPr>
              <w:pStyle w:val="33"/>
              <w:rPr>
                <w:color w:val="auto"/>
              </w:rPr>
            </w:pPr>
            <w:r>
              <w:rPr>
                <w:color w:val="auto"/>
              </w:rPr>
              <w:t>/</w:t>
            </w:r>
          </w:p>
        </w:tc>
        <w:tc>
          <w:tcPr>
            <w:tcW w:w="333" w:type="pct"/>
            <w:vAlign w:val="center"/>
          </w:tcPr>
          <w:p w14:paraId="32F4DA3B">
            <w:pPr>
              <w:pStyle w:val="33"/>
              <w:rPr>
                <w:color w:val="auto"/>
              </w:rPr>
            </w:pPr>
            <w:r>
              <w:rPr>
                <w:color w:val="auto"/>
              </w:rPr>
              <w:t>/</w:t>
            </w:r>
          </w:p>
        </w:tc>
        <w:tc>
          <w:tcPr>
            <w:tcW w:w="333" w:type="pct"/>
            <w:vAlign w:val="center"/>
          </w:tcPr>
          <w:p w14:paraId="7664E4D8">
            <w:pPr>
              <w:pStyle w:val="33"/>
              <w:rPr>
                <w:color w:val="auto"/>
              </w:rPr>
            </w:pPr>
            <w:r>
              <w:rPr>
                <w:color w:val="auto"/>
              </w:rPr>
              <w:t>/</w:t>
            </w:r>
          </w:p>
        </w:tc>
        <w:tc>
          <w:tcPr>
            <w:tcW w:w="397" w:type="pct"/>
            <w:vAlign w:val="center"/>
          </w:tcPr>
          <w:p w14:paraId="17AC2363">
            <w:pPr>
              <w:pStyle w:val="33"/>
              <w:rPr>
                <w:color w:val="auto"/>
              </w:rPr>
            </w:pPr>
            <w:r>
              <w:rPr>
                <w:color w:val="auto"/>
              </w:rPr>
              <w:t>/</w:t>
            </w:r>
          </w:p>
        </w:tc>
        <w:tc>
          <w:tcPr>
            <w:tcW w:w="333" w:type="pct"/>
            <w:vAlign w:val="center"/>
          </w:tcPr>
          <w:p w14:paraId="41D65C9D">
            <w:pPr>
              <w:pStyle w:val="33"/>
              <w:rPr>
                <w:color w:val="auto"/>
              </w:rPr>
            </w:pPr>
            <w:r>
              <w:rPr>
                <w:color w:val="auto"/>
              </w:rPr>
              <w:t>/</w:t>
            </w:r>
          </w:p>
        </w:tc>
        <w:tc>
          <w:tcPr>
            <w:tcW w:w="338" w:type="pct"/>
            <w:vAlign w:val="center"/>
          </w:tcPr>
          <w:p w14:paraId="57ABD018">
            <w:pPr>
              <w:pStyle w:val="33"/>
              <w:rPr>
                <w:color w:val="auto"/>
              </w:rPr>
            </w:pPr>
            <w:r>
              <w:rPr>
                <w:color w:val="auto"/>
              </w:rPr>
              <w:t>/</w:t>
            </w:r>
          </w:p>
        </w:tc>
      </w:tr>
      <w:tr w14:paraId="6F066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2ED920C">
            <w:pPr>
              <w:pStyle w:val="33"/>
              <w:rPr>
                <w:color w:val="auto"/>
              </w:rPr>
            </w:pPr>
            <w:r>
              <w:rPr>
                <w:rFonts w:eastAsia="等线"/>
                <w:color w:val="auto"/>
              </w:rPr>
              <w:t>5</w:t>
            </w:r>
          </w:p>
        </w:tc>
        <w:tc>
          <w:tcPr>
            <w:tcW w:w="591" w:type="pct"/>
            <w:vAlign w:val="center"/>
          </w:tcPr>
          <w:p w14:paraId="2F08B4B2">
            <w:pPr>
              <w:pStyle w:val="33"/>
              <w:rPr>
                <w:color w:val="auto"/>
              </w:rPr>
            </w:pPr>
            <w:r>
              <w:rPr>
                <w:color w:val="auto"/>
              </w:rPr>
              <w:t>2#造纸车间LPG烟囱3</w:t>
            </w:r>
          </w:p>
        </w:tc>
        <w:tc>
          <w:tcPr>
            <w:tcW w:w="333" w:type="pct"/>
            <w:vAlign w:val="center"/>
          </w:tcPr>
          <w:p w14:paraId="7C08DE70">
            <w:pPr>
              <w:pStyle w:val="33"/>
              <w:rPr>
                <w:color w:val="auto"/>
              </w:rPr>
            </w:pPr>
            <w:r>
              <w:rPr>
                <w:color w:val="auto"/>
              </w:rPr>
              <w:t>30</w:t>
            </w:r>
          </w:p>
        </w:tc>
        <w:tc>
          <w:tcPr>
            <w:tcW w:w="333" w:type="pct"/>
            <w:vAlign w:val="center"/>
          </w:tcPr>
          <w:p w14:paraId="7B4A5D5A">
            <w:pPr>
              <w:pStyle w:val="33"/>
              <w:rPr>
                <w:color w:val="auto"/>
              </w:rPr>
            </w:pPr>
            <w:r>
              <w:rPr>
                <w:color w:val="auto"/>
              </w:rPr>
              <w:t>0.92</w:t>
            </w:r>
          </w:p>
        </w:tc>
        <w:tc>
          <w:tcPr>
            <w:tcW w:w="376" w:type="pct"/>
            <w:vAlign w:val="center"/>
          </w:tcPr>
          <w:p w14:paraId="6EEC50D6">
            <w:pPr>
              <w:pStyle w:val="33"/>
              <w:rPr>
                <w:color w:val="auto"/>
              </w:rPr>
            </w:pPr>
            <w:r>
              <w:rPr>
                <w:color w:val="auto"/>
              </w:rPr>
              <w:t>43200</w:t>
            </w:r>
          </w:p>
        </w:tc>
        <w:tc>
          <w:tcPr>
            <w:tcW w:w="359" w:type="pct"/>
            <w:vAlign w:val="center"/>
          </w:tcPr>
          <w:p w14:paraId="7AE6076B">
            <w:pPr>
              <w:pStyle w:val="33"/>
              <w:rPr>
                <w:color w:val="auto"/>
              </w:rPr>
            </w:pPr>
            <w:r>
              <w:rPr>
                <w:color w:val="auto"/>
              </w:rPr>
              <w:t xml:space="preserve">0.0004 </w:t>
            </w:r>
          </w:p>
        </w:tc>
        <w:tc>
          <w:tcPr>
            <w:tcW w:w="359" w:type="pct"/>
            <w:vAlign w:val="center"/>
          </w:tcPr>
          <w:p w14:paraId="65B78071">
            <w:pPr>
              <w:pStyle w:val="33"/>
              <w:rPr>
                <w:color w:val="auto"/>
              </w:rPr>
            </w:pPr>
            <w:r>
              <w:rPr>
                <w:color w:val="auto"/>
              </w:rPr>
              <w:t xml:space="preserve">0.28 </w:t>
            </w:r>
          </w:p>
        </w:tc>
        <w:tc>
          <w:tcPr>
            <w:tcW w:w="330" w:type="pct"/>
            <w:vAlign w:val="center"/>
          </w:tcPr>
          <w:p w14:paraId="4BC75088">
            <w:pPr>
              <w:pStyle w:val="33"/>
              <w:rPr>
                <w:color w:val="auto"/>
              </w:rPr>
            </w:pPr>
            <w:r>
              <w:rPr>
                <w:color w:val="auto"/>
              </w:rPr>
              <w:t xml:space="preserve">0.0026 </w:t>
            </w:r>
          </w:p>
        </w:tc>
        <w:tc>
          <w:tcPr>
            <w:tcW w:w="333" w:type="pct"/>
            <w:vAlign w:val="center"/>
          </w:tcPr>
          <w:p w14:paraId="3869574F">
            <w:pPr>
              <w:pStyle w:val="33"/>
              <w:rPr>
                <w:color w:val="auto"/>
              </w:rPr>
            </w:pPr>
            <w:r>
              <w:rPr>
                <w:color w:val="auto"/>
              </w:rPr>
              <w:t>/</w:t>
            </w:r>
          </w:p>
        </w:tc>
        <w:tc>
          <w:tcPr>
            <w:tcW w:w="333" w:type="pct"/>
            <w:vAlign w:val="center"/>
          </w:tcPr>
          <w:p w14:paraId="3C474CBD">
            <w:pPr>
              <w:pStyle w:val="33"/>
              <w:rPr>
                <w:color w:val="auto"/>
              </w:rPr>
            </w:pPr>
            <w:r>
              <w:rPr>
                <w:color w:val="auto"/>
              </w:rPr>
              <w:t>/</w:t>
            </w:r>
          </w:p>
        </w:tc>
        <w:tc>
          <w:tcPr>
            <w:tcW w:w="333" w:type="pct"/>
            <w:vAlign w:val="center"/>
          </w:tcPr>
          <w:p w14:paraId="1657BCBD">
            <w:pPr>
              <w:pStyle w:val="33"/>
              <w:rPr>
                <w:color w:val="auto"/>
              </w:rPr>
            </w:pPr>
            <w:r>
              <w:rPr>
                <w:color w:val="auto"/>
              </w:rPr>
              <w:t>/</w:t>
            </w:r>
          </w:p>
        </w:tc>
        <w:tc>
          <w:tcPr>
            <w:tcW w:w="397" w:type="pct"/>
            <w:vAlign w:val="center"/>
          </w:tcPr>
          <w:p w14:paraId="3EF05C7A">
            <w:pPr>
              <w:pStyle w:val="33"/>
              <w:rPr>
                <w:color w:val="auto"/>
              </w:rPr>
            </w:pPr>
            <w:r>
              <w:rPr>
                <w:color w:val="auto"/>
              </w:rPr>
              <w:t>/</w:t>
            </w:r>
          </w:p>
        </w:tc>
        <w:tc>
          <w:tcPr>
            <w:tcW w:w="333" w:type="pct"/>
            <w:vAlign w:val="center"/>
          </w:tcPr>
          <w:p w14:paraId="2618888B">
            <w:pPr>
              <w:pStyle w:val="33"/>
              <w:rPr>
                <w:color w:val="auto"/>
              </w:rPr>
            </w:pPr>
            <w:r>
              <w:rPr>
                <w:color w:val="auto"/>
              </w:rPr>
              <w:t>/</w:t>
            </w:r>
          </w:p>
        </w:tc>
        <w:tc>
          <w:tcPr>
            <w:tcW w:w="338" w:type="pct"/>
            <w:vAlign w:val="center"/>
          </w:tcPr>
          <w:p w14:paraId="163AF645">
            <w:pPr>
              <w:pStyle w:val="33"/>
              <w:rPr>
                <w:color w:val="auto"/>
              </w:rPr>
            </w:pPr>
            <w:r>
              <w:rPr>
                <w:color w:val="auto"/>
              </w:rPr>
              <w:t>/</w:t>
            </w:r>
          </w:p>
        </w:tc>
      </w:tr>
      <w:tr w14:paraId="47E6E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4278B31">
            <w:pPr>
              <w:pStyle w:val="33"/>
              <w:rPr>
                <w:color w:val="auto"/>
              </w:rPr>
            </w:pPr>
            <w:r>
              <w:rPr>
                <w:rFonts w:eastAsia="等线"/>
                <w:color w:val="auto"/>
              </w:rPr>
              <w:t>6</w:t>
            </w:r>
          </w:p>
        </w:tc>
        <w:tc>
          <w:tcPr>
            <w:tcW w:w="591" w:type="pct"/>
            <w:vAlign w:val="center"/>
          </w:tcPr>
          <w:p w14:paraId="5C13C492">
            <w:pPr>
              <w:pStyle w:val="33"/>
              <w:rPr>
                <w:color w:val="auto"/>
              </w:rPr>
            </w:pPr>
            <w:r>
              <w:rPr>
                <w:color w:val="auto"/>
              </w:rPr>
              <w:t>2#造纸车间LPG烟囱4</w:t>
            </w:r>
          </w:p>
        </w:tc>
        <w:tc>
          <w:tcPr>
            <w:tcW w:w="333" w:type="pct"/>
            <w:vAlign w:val="center"/>
          </w:tcPr>
          <w:p w14:paraId="7D68F2D9">
            <w:pPr>
              <w:pStyle w:val="33"/>
              <w:rPr>
                <w:color w:val="auto"/>
              </w:rPr>
            </w:pPr>
            <w:r>
              <w:rPr>
                <w:color w:val="auto"/>
              </w:rPr>
              <w:t>30</w:t>
            </w:r>
          </w:p>
        </w:tc>
        <w:tc>
          <w:tcPr>
            <w:tcW w:w="333" w:type="pct"/>
            <w:vAlign w:val="center"/>
          </w:tcPr>
          <w:p w14:paraId="3E39588E">
            <w:pPr>
              <w:pStyle w:val="33"/>
              <w:rPr>
                <w:color w:val="auto"/>
              </w:rPr>
            </w:pPr>
            <w:r>
              <w:rPr>
                <w:color w:val="auto"/>
              </w:rPr>
              <w:t>0.92</w:t>
            </w:r>
          </w:p>
        </w:tc>
        <w:tc>
          <w:tcPr>
            <w:tcW w:w="376" w:type="pct"/>
            <w:vAlign w:val="center"/>
          </w:tcPr>
          <w:p w14:paraId="390724D1">
            <w:pPr>
              <w:pStyle w:val="33"/>
              <w:rPr>
                <w:color w:val="auto"/>
              </w:rPr>
            </w:pPr>
            <w:r>
              <w:rPr>
                <w:color w:val="auto"/>
              </w:rPr>
              <w:t>43200</w:t>
            </w:r>
          </w:p>
        </w:tc>
        <w:tc>
          <w:tcPr>
            <w:tcW w:w="359" w:type="pct"/>
            <w:vAlign w:val="center"/>
          </w:tcPr>
          <w:p w14:paraId="621C289C">
            <w:pPr>
              <w:pStyle w:val="33"/>
              <w:rPr>
                <w:color w:val="auto"/>
              </w:rPr>
            </w:pPr>
            <w:r>
              <w:rPr>
                <w:color w:val="auto"/>
              </w:rPr>
              <w:t xml:space="preserve">0.0004 </w:t>
            </w:r>
          </w:p>
        </w:tc>
        <w:tc>
          <w:tcPr>
            <w:tcW w:w="359" w:type="pct"/>
            <w:vAlign w:val="center"/>
          </w:tcPr>
          <w:p w14:paraId="6D4EDBD6">
            <w:pPr>
              <w:pStyle w:val="33"/>
              <w:rPr>
                <w:color w:val="auto"/>
              </w:rPr>
            </w:pPr>
            <w:r>
              <w:rPr>
                <w:color w:val="auto"/>
              </w:rPr>
              <w:t xml:space="preserve">0.28 </w:t>
            </w:r>
          </w:p>
        </w:tc>
        <w:tc>
          <w:tcPr>
            <w:tcW w:w="330" w:type="pct"/>
            <w:vAlign w:val="center"/>
          </w:tcPr>
          <w:p w14:paraId="0554818E">
            <w:pPr>
              <w:pStyle w:val="33"/>
              <w:rPr>
                <w:color w:val="auto"/>
              </w:rPr>
            </w:pPr>
            <w:r>
              <w:rPr>
                <w:color w:val="auto"/>
              </w:rPr>
              <w:t xml:space="preserve">0.0026 </w:t>
            </w:r>
          </w:p>
        </w:tc>
        <w:tc>
          <w:tcPr>
            <w:tcW w:w="333" w:type="pct"/>
            <w:vAlign w:val="center"/>
          </w:tcPr>
          <w:p w14:paraId="15FACBC7">
            <w:pPr>
              <w:pStyle w:val="33"/>
              <w:rPr>
                <w:color w:val="auto"/>
              </w:rPr>
            </w:pPr>
            <w:r>
              <w:rPr>
                <w:color w:val="auto"/>
              </w:rPr>
              <w:t>/</w:t>
            </w:r>
          </w:p>
        </w:tc>
        <w:tc>
          <w:tcPr>
            <w:tcW w:w="333" w:type="pct"/>
            <w:vAlign w:val="center"/>
          </w:tcPr>
          <w:p w14:paraId="516844B1">
            <w:pPr>
              <w:pStyle w:val="33"/>
              <w:rPr>
                <w:color w:val="auto"/>
              </w:rPr>
            </w:pPr>
            <w:r>
              <w:rPr>
                <w:color w:val="auto"/>
              </w:rPr>
              <w:t>/</w:t>
            </w:r>
          </w:p>
        </w:tc>
        <w:tc>
          <w:tcPr>
            <w:tcW w:w="333" w:type="pct"/>
            <w:vAlign w:val="center"/>
          </w:tcPr>
          <w:p w14:paraId="28202B5F">
            <w:pPr>
              <w:pStyle w:val="33"/>
              <w:rPr>
                <w:color w:val="auto"/>
              </w:rPr>
            </w:pPr>
            <w:r>
              <w:rPr>
                <w:color w:val="auto"/>
              </w:rPr>
              <w:t>/</w:t>
            </w:r>
          </w:p>
        </w:tc>
        <w:tc>
          <w:tcPr>
            <w:tcW w:w="397" w:type="pct"/>
            <w:vAlign w:val="center"/>
          </w:tcPr>
          <w:p w14:paraId="752C92A8">
            <w:pPr>
              <w:pStyle w:val="33"/>
              <w:rPr>
                <w:color w:val="auto"/>
              </w:rPr>
            </w:pPr>
            <w:r>
              <w:rPr>
                <w:color w:val="auto"/>
              </w:rPr>
              <w:t>/</w:t>
            </w:r>
          </w:p>
        </w:tc>
        <w:tc>
          <w:tcPr>
            <w:tcW w:w="333" w:type="pct"/>
            <w:vAlign w:val="center"/>
          </w:tcPr>
          <w:p w14:paraId="4A032B3F">
            <w:pPr>
              <w:pStyle w:val="33"/>
              <w:rPr>
                <w:color w:val="auto"/>
              </w:rPr>
            </w:pPr>
            <w:r>
              <w:rPr>
                <w:color w:val="auto"/>
              </w:rPr>
              <w:t>/</w:t>
            </w:r>
          </w:p>
        </w:tc>
        <w:tc>
          <w:tcPr>
            <w:tcW w:w="338" w:type="pct"/>
            <w:vAlign w:val="center"/>
          </w:tcPr>
          <w:p w14:paraId="769EDF3C">
            <w:pPr>
              <w:pStyle w:val="33"/>
              <w:rPr>
                <w:color w:val="auto"/>
              </w:rPr>
            </w:pPr>
            <w:r>
              <w:rPr>
                <w:color w:val="auto"/>
              </w:rPr>
              <w:t>/</w:t>
            </w:r>
          </w:p>
        </w:tc>
      </w:tr>
      <w:tr w14:paraId="5C78F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006C7960">
            <w:pPr>
              <w:pStyle w:val="33"/>
              <w:rPr>
                <w:color w:val="auto"/>
              </w:rPr>
            </w:pPr>
            <w:r>
              <w:rPr>
                <w:color w:val="auto"/>
              </w:rPr>
              <w:t>广西金桂浆纸业有限公司年产25万吨丁苯胶乳项目</w:t>
            </w:r>
          </w:p>
        </w:tc>
      </w:tr>
      <w:tr w14:paraId="27F5A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8F201AD">
            <w:pPr>
              <w:pStyle w:val="33"/>
              <w:rPr>
                <w:color w:val="auto"/>
              </w:rPr>
            </w:pPr>
            <w:r>
              <w:rPr>
                <w:color w:val="auto"/>
              </w:rPr>
              <w:t>7</w:t>
            </w:r>
          </w:p>
        </w:tc>
        <w:tc>
          <w:tcPr>
            <w:tcW w:w="591" w:type="pct"/>
            <w:vAlign w:val="center"/>
          </w:tcPr>
          <w:p w14:paraId="6737032A">
            <w:pPr>
              <w:pStyle w:val="33"/>
              <w:rPr>
                <w:color w:val="auto"/>
              </w:rPr>
            </w:pPr>
            <w:r>
              <w:rPr>
                <w:color w:val="auto"/>
              </w:rPr>
              <w:t>RTO 焚烧尾气</w:t>
            </w:r>
          </w:p>
        </w:tc>
        <w:tc>
          <w:tcPr>
            <w:tcW w:w="333" w:type="pct"/>
            <w:vAlign w:val="center"/>
          </w:tcPr>
          <w:p w14:paraId="448160BD">
            <w:pPr>
              <w:pStyle w:val="33"/>
              <w:rPr>
                <w:color w:val="auto"/>
              </w:rPr>
            </w:pPr>
            <w:r>
              <w:rPr>
                <w:color w:val="auto"/>
              </w:rPr>
              <w:t xml:space="preserve">25 </w:t>
            </w:r>
          </w:p>
        </w:tc>
        <w:tc>
          <w:tcPr>
            <w:tcW w:w="333" w:type="pct"/>
            <w:vAlign w:val="center"/>
          </w:tcPr>
          <w:p w14:paraId="3268FD84">
            <w:pPr>
              <w:pStyle w:val="33"/>
              <w:rPr>
                <w:color w:val="auto"/>
              </w:rPr>
            </w:pPr>
            <w:r>
              <w:rPr>
                <w:color w:val="auto"/>
              </w:rPr>
              <w:t xml:space="preserve">1.3 </w:t>
            </w:r>
          </w:p>
        </w:tc>
        <w:tc>
          <w:tcPr>
            <w:tcW w:w="376" w:type="pct"/>
            <w:vAlign w:val="center"/>
          </w:tcPr>
          <w:p w14:paraId="00D2760B">
            <w:pPr>
              <w:pStyle w:val="33"/>
              <w:rPr>
                <w:color w:val="auto"/>
              </w:rPr>
            </w:pPr>
            <w:r>
              <w:rPr>
                <w:color w:val="auto"/>
              </w:rPr>
              <w:t xml:space="preserve">93440 </w:t>
            </w:r>
          </w:p>
        </w:tc>
        <w:tc>
          <w:tcPr>
            <w:tcW w:w="359" w:type="pct"/>
            <w:vAlign w:val="center"/>
          </w:tcPr>
          <w:p w14:paraId="2507233E">
            <w:pPr>
              <w:pStyle w:val="33"/>
              <w:rPr>
                <w:color w:val="auto"/>
              </w:rPr>
            </w:pPr>
            <w:r>
              <w:rPr>
                <w:color w:val="auto"/>
              </w:rPr>
              <w:t xml:space="preserve">0.022 </w:t>
            </w:r>
          </w:p>
        </w:tc>
        <w:tc>
          <w:tcPr>
            <w:tcW w:w="359" w:type="pct"/>
            <w:vAlign w:val="center"/>
          </w:tcPr>
          <w:p w14:paraId="1DDFD18D">
            <w:pPr>
              <w:pStyle w:val="33"/>
              <w:rPr>
                <w:color w:val="auto"/>
              </w:rPr>
            </w:pPr>
            <w:r>
              <w:rPr>
                <w:color w:val="auto"/>
              </w:rPr>
              <w:t xml:space="preserve">6.61 </w:t>
            </w:r>
          </w:p>
        </w:tc>
        <w:tc>
          <w:tcPr>
            <w:tcW w:w="330" w:type="pct"/>
            <w:vAlign w:val="center"/>
          </w:tcPr>
          <w:p w14:paraId="2E76CCE7">
            <w:pPr>
              <w:pStyle w:val="33"/>
              <w:rPr>
                <w:color w:val="auto"/>
              </w:rPr>
            </w:pPr>
            <w:r>
              <w:rPr>
                <w:color w:val="auto"/>
              </w:rPr>
              <w:t xml:space="preserve">2.06 </w:t>
            </w:r>
          </w:p>
        </w:tc>
        <w:tc>
          <w:tcPr>
            <w:tcW w:w="333" w:type="pct"/>
            <w:vAlign w:val="center"/>
          </w:tcPr>
          <w:p w14:paraId="1E9F7E5E">
            <w:pPr>
              <w:pStyle w:val="33"/>
              <w:rPr>
                <w:color w:val="auto"/>
              </w:rPr>
            </w:pPr>
            <w:r>
              <w:rPr>
                <w:color w:val="auto"/>
              </w:rPr>
              <w:t xml:space="preserve">1.442 </w:t>
            </w:r>
          </w:p>
        </w:tc>
        <w:tc>
          <w:tcPr>
            <w:tcW w:w="333" w:type="pct"/>
            <w:vAlign w:val="center"/>
          </w:tcPr>
          <w:p w14:paraId="67BFA012">
            <w:pPr>
              <w:pStyle w:val="33"/>
              <w:rPr>
                <w:color w:val="auto"/>
              </w:rPr>
            </w:pPr>
            <w:r>
              <w:rPr>
                <w:color w:val="auto"/>
              </w:rPr>
              <w:t>/</w:t>
            </w:r>
          </w:p>
        </w:tc>
        <w:tc>
          <w:tcPr>
            <w:tcW w:w="333" w:type="pct"/>
            <w:vAlign w:val="center"/>
          </w:tcPr>
          <w:p w14:paraId="3D6CB269">
            <w:pPr>
              <w:pStyle w:val="33"/>
              <w:rPr>
                <w:color w:val="auto"/>
              </w:rPr>
            </w:pPr>
            <w:r>
              <w:rPr>
                <w:color w:val="auto"/>
              </w:rPr>
              <w:t xml:space="preserve">0.0001 </w:t>
            </w:r>
          </w:p>
        </w:tc>
        <w:tc>
          <w:tcPr>
            <w:tcW w:w="397" w:type="pct"/>
            <w:vAlign w:val="center"/>
          </w:tcPr>
          <w:p w14:paraId="0E053C77">
            <w:pPr>
              <w:pStyle w:val="33"/>
              <w:rPr>
                <w:color w:val="auto"/>
              </w:rPr>
            </w:pPr>
            <w:r>
              <w:rPr>
                <w:color w:val="auto"/>
              </w:rPr>
              <w:t xml:space="preserve">0.00002 </w:t>
            </w:r>
          </w:p>
        </w:tc>
        <w:tc>
          <w:tcPr>
            <w:tcW w:w="333" w:type="pct"/>
            <w:vAlign w:val="center"/>
          </w:tcPr>
          <w:p w14:paraId="79ED5E4B">
            <w:pPr>
              <w:pStyle w:val="33"/>
              <w:rPr>
                <w:color w:val="auto"/>
              </w:rPr>
            </w:pPr>
            <w:r>
              <w:rPr>
                <w:color w:val="auto"/>
              </w:rPr>
              <w:t xml:space="preserve">5.25 </w:t>
            </w:r>
          </w:p>
        </w:tc>
        <w:tc>
          <w:tcPr>
            <w:tcW w:w="338" w:type="pct"/>
            <w:vAlign w:val="center"/>
          </w:tcPr>
          <w:p w14:paraId="224764E0">
            <w:pPr>
              <w:pStyle w:val="33"/>
              <w:rPr>
                <w:color w:val="auto"/>
              </w:rPr>
            </w:pPr>
            <w:r>
              <w:rPr>
                <w:color w:val="auto"/>
              </w:rPr>
              <w:t>/</w:t>
            </w:r>
          </w:p>
        </w:tc>
      </w:tr>
      <w:tr w14:paraId="3E43C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155A24D5">
            <w:pPr>
              <w:pStyle w:val="33"/>
              <w:rPr>
                <w:color w:val="auto"/>
              </w:rPr>
            </w:pPr>
            <w:r>
              <w:rPr>
                <w:color w:val="auto"/>
              </w:rPr>
              <w:t>广西中伟新能源项目一期三阶段</w:t>
            </w:r>
          </w:p>
        </w:tc>
      </w:tr>
      <w:tr w14:paraId="757E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A086100">
            <w:pPr>
              <w:pStyle w:val="33"/>
              <w:rPr>
                <w:color w:val="auto"/>
              </w:rPr>
            </w:pPr>
            <w:r>
              <w:rPr>
                <w:rFonts w:eastAsia="等线"/>
                <w:color w:val="auto"/>
              </w:rPr>
              <w:t>8</w:t>
            </w:r>
          </w:p>
        </w:tc>
        <w:tc>
          <w:tcPr>
            <w:tcW w:w="591" w:type="pct"/>
            <w:vAlign w:val="center"/>
          </w:tcPr>
          <w:p w14:paraId="3E7E206E">
            <w:pPr>
              <w:pStyle w:val="33"/>
              <w:rPr>
                <w:color w:val="auto"/>
              </w:rPr>
            </w:pPr>
            <w:r>
              <w:rPr>
                <w:color w:val="auto"/>
              </w:rPr>
              <w:t>88</w:t>
            </w:r>
          </w:p>
        </w:tc>
        <w:tc>
          <w:tcPr>
            <w:tcW w:w="333" w:type="pct"/>
            <w:vAlign w:val="center"/>
          </w:tcPr>
          <w:p w14:paraId="07AEF73A">
            <w:pPr>
              <w:pStyle w:val="33"/>
              <w:rPr>
                <w:color w:val="auto"/>
              </w:rPr>
            </w:pPr>
            <w:r>
              <w:rPr>
                <w:color w:val="auto"/>
              </w:rPr>
              <w:t xml:space="preserve">20 </w:t>
            </w:r>
          </w:p>
        </w:tc>
        <w:tc>
          <w:tcPr>
            <w:tcW w:w="333" w:type="pct"/>
            <w:vAlign w:val="center"/>
          </w:tcPr>
          <w:p w14:paraId="5E4F28B0">
            <w:pPr>
              <w:pStyle w:val="33"/>
              <w:rPr>
                <w:color w:val="auto"/>
              </w:rPr>
            </w:pPr>
            <w:r>
              <w:rPr>
                <w:color w:val="auto"/>
              </w:rPr>
              <w:t xml:space="preserve">0.9 </w:t>
            </w:r>
          </w:p>
        </w:tc>
        <w:tc>
          <w:tcPr>
            <w:tcW w:w="376" w:type="pct"/>
            <w:vAlign w:val="center"/>
          </w:tcPr>
          <w:p w14:paraId="1DD8BFC2">
            <w:pPr>
              <w:pStyle w:val="33"/>
              <w:rPr>
                <w:color w:val="auto"/>
              </w:rPr>
            </w:pPr>
            <w:r>
              <w:rPr>
                <w:color w:val="auto"/>
              </w:rPr>
              <w:t xml:space="preserve">32750 </w:t>
            </w:r>
          </w:p>
        </w:tc>
        <w:tc>
          <w:tcPr>
            <w:tcW w:w="359" w:type="pct"/>
            <w:vAlign w:val="center"/>
          </w:tcPr>
          <w:p w14:paraId="1F412475">
            <w:pPr>
              <w:pStyle w:val="33"/>
              <w:rPr>
                <w:color w:val="auto"/>
              </w:rPr>
            </w:pPr>
            <w:r>
              <w:rPr>
                <w:color w:val="auto"/>
              </w:rPr>
              <w:t>/</w:t>
            </w:r>
          </w:p>
        </w:tc>
        <w:tc>
          <w:tcPr>
            <w:tcW w:w="359" w:type="pct"/>
            <w:vAlign w:val="center"/>
          </w:tcPr>
          <w:p w14:paraId="21207213">
            <w:pPr>
              <w:pStyle w:val="33"/>
              <w:rPr>
                <w:color w:val="auto"/>
              </w:rPr>
            </w:pPr>
            <w:r>
              <w:rPr>
                <w:color w:val="auto"/>
              </w:rPr>
              <w:t>/</w:t>
            </w:r>
          </w:p>
        </w:tc>
        <w:tc>
          <w:tcPr>
            <w:tcW w:w="330" w:type="pct"/>
            <w:vAlign w:val="center"/>
          </w:tcPr>
          <w:p w14:paraId="74C50702">
            <w:pPr>
              <w:pStyle w:val="33"/>
              <w:rPr>
                <w:color w:val="auto"/>
              </w:rPr>
            </w:pPr>
            <w:r>
              <w:rPr>
                <w:color w:val="auto"/>
              </w:rPr>
              <w:t>/</w:t>
            </w:r>
          </w:p>
        </w:tc>
        <w:tc>
          <w:tcPr>
            <w:tcW w:w="333" w:type="pct"/>
            <w:vAlign w:val="center"/>
          </w:tcPr>
          <w:p w14:paraId="45AADC33">
            <w:pPr>
              <w:pStyle w:val="33"/>
              <w:rPr>
                <w:color w:val="auto"/>
              </w:rPr>
            </w:pPr>
            <w:r>
              <w:rPr>
                <w:color w:val="auto"/>
              </w:rPr>
              <w:t>/</w:t>
            </w:r>
          </w:p>
        </w:tc>
        <w:tc>
          <w:tcPr>
            <w:tcW w:w="333" w:type="pct"/>
            <w:vAlign w:val="center"/>
          </w:tcPr>
          <w:p w14:paraId="46CE6FC3">
            <w:pPr>
              <w:pStyle w:val="33"/>
              <w:rPr>
                <w:color w:val="auto"/>
              </w:rPr>
            </w:pPr>
            <w:r>
              <w:rPr>
                <w:color w:val="auto"/>
              </w:rPr>
              <w:t xml:space="preserve">0.015 </w:t>
            </w:r>
          </w:p>
        </w:tc>
        <w:tc>
          <w:tcPr>
            <w:tcW w:w="333" w:type="pct"/>
            <w:vAlign w:val="center"/>
          </w:tcPr>
          <w:p w14:paraId="78A26081">
            <w:pPr>
              <w:pStyle w:val="33"/>
              <w:rPr>
                <w:color w:val="auto"/>
              </w:rPr>
            </w:pPr>
            <w:r>
              <w:rPr>
                <w:color w:val="auto"/>
              </w:rPr>
              <w:t>/</w:t>
            </w:r>
          </w:p>
        </w:tc>
        <w:tc>
          <w:tcPr>
            <w:tcW w:w="397" w:type="pct"/>
            <w:vAlign w:val="center"/>
          </w:tcPr>
          <w:p w14:paraId="085D3ECF">
            <w:pPr>
              <w:pStyle w:val="33"/>
              <w:rPr>
                <w:color w:val="auto"/>
              </w:rPr>
            </w:pPr>
            <w:r>
              <w:rPr>
                <w:color w:val="auto"/>
              </w:rPr>
              <w:t>/</w:t>
            </w:r>
          </w:p>
        </w:tc>
        <w:tc>
          <w:tcPr>
            <w:tcW w:w="333" w:type="pct"/>
            <w:vAlign w:val="center"/>
          </w:tcPr>
          <w:p w14:paraId="7C3F4E1B">
            <w:pPr>
              <w:pStyle w:val="33"/>
              <w:rPr>
                <w:color w:val="auto"/>
              </w:rPr>
            </w:pPr>
            <w:r>
              <w:rPr>
                <w:color w:val="auto"/>
              </w:rPr>
              <w:t xml:space="preserve">0.051 </w:t>
            </w:r>
          </w:p>
        </w:tc>
        <w:tc>
          <w:tcPr>
            <w:tcW w:w="338" w:type="pct"/>
            <w:vAlign w:val="center"/>
          </w:tcPr>
          <w:p w14:paraId="23A469E1">
            <w:pPr>
              <w:pStyle w:val="33"/>
              <w:rPr>
                <w:color w:val="auto"/>
              </w:rPr>
            </w:pPr>
            <w:r>
              <w:rPr>
                <w:color w:val="auto"/>
              </w:rPr>
              <w:t>/</w:t>
            </w:r>
          </w:p>
        </w:tc>
      </w:tr>
      <w:tr w14:paraId="540ED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86026C0">
            <w:pPr>
              <w:pStyle w:val="33"/>
              <w:rPr>
                <w:color w:val="auto"/>
              </w:rPr>
            </w:pPr>
            <w:r>
              <w:rPr>
                <w:rFonts w:eastAsia="等线"/>
                <w:color w:val="auto"/>
              </w:rPr>
              <w:t>9</w:t>
            </w:r>
          </w:p>
        </w:tc>
        <w:tc>
          <w:tcPr>
            <w:tcW w:w="591" w:type="pct"/>
            <w:vAlign w:val="center"/>
          </w:tcPr>
          <w:p w14:paraId="3BBB631A">
            <w:pPr>
              <w:pStyle w:val="33"/>
              <w:rPr>
                <w:color w:val="auto"/>
              </w:rPr>
            </w:pPr>
            <w:r>
              <w:rPr>
                <w:color w:val="auto"/>
              </w:rPr>
              <w:t>89</w:t>
            </w:r>
          </w:p>
        </w:tc>
        <w:tc>
          <w:tcPr>
            <w:tcW w:w="333" w:type="pct"/>
            <w:vAlign w:val="center"/>
          </w:tcPr>
          <w:p w14:paraId="1ED59DA3">
            <w:pPr>
              <w:pStyle w:val="33"/>
              <w:rPr>
                <w:color w:val="auto"/>
              </w:rPr>
            </w:pPr>
            <w:r>
              <w:rPr>
                <w:color w:val="auto"/>
              </w:rPr>
              <w:t xml:space="preserve">20 </w:t>
            </w:r>
          </w:p>
        </w:tc>
        <w:tc>
          <w:tcPr>
            <w:tcW w:w="333" w:type="pct"/>
            <w:vAlign w:val="center"/>
          </w:tcPr>
          <w:p w14:paraId="040D2ABE">
            <w:pPr>
              <w:pStyle w:val="33"/>
              <w:rPr>
                <w:color w:val="auto"/>
              </w:rPr>
            </w:pPr>
            <w:r>
              <w:rPr>
                <w:color w:val="auto"/>
              </w:rPr>
              <w:t xml:space="preserve">0.9 </w:t>
            </w:r>
          </w:p>
        </w:tc>
        <w:tc>
          <w:tcPr>
            <w:tcW w:w="376" w:type="pct"/>
            <w:vAlign w:val="center"/>
          </w:tcPr>
          <w:p w14:paraId="082D7B2A">
            <w:pPr>
              <w:pStyle w:val="33"/>
              <w:rPr>
                <w:color w:val="auto"/>
              </w:rPr>
            </w:pPr>
            <w:r>
              <w:rPr>
                <w:color w:val="auto"/>
              </w:rPr>
              <w:t xml:space="preserve">32888 </w:t>
            </w:r>
          </w:p>
        </w:tc>
        <w:tc>
          <w:tcPr>
            <w:tcW w:w="359" w:type="pct"/>
            <w:vAlign w:val="center"/>
          </w:tcPr>
          <w:p w14:paraId="53DAC051">
            <w:pPr>
              <w:pStyle w:val="33"/>
              <w:rPr>
                <w:color w:val="auto"/>
              </w:rPr>
            </w:pPr>
            <w:r>
              <w:rPr>
                <w:color w:val="auto"/>
              </w:rPr>
              <w:t>/</w:t>
            </w:r>
          </w:p>
        </w:tc>
        <w:tc>
          <w:tcPr>
            <w:tcW w:w="359" w:type="pct"/>
            <w:vAlign w:val="center"/>
          </w:tcPr>
          <w:p w14:paraId="0A10B6E6">
            <w:pPr>
              <w:pStyle w:val="33"/>
              <w:rPr>
                <w:color w:val="auto"/>
              </w:rPr>
            </w:pPr>
            <w:r>
              <w:rPr>
                <w:color w:val="auto"/>
              </w:rPr>
              <w:t>/</w:t>
            </w:r>
          </w:p>
        </w:tc>
        <w:tc>
          <w:tcPr>
            <w:tcW w:w="330" w:type="pct"/>
            <w:vAlign w:val="center"/>
          </w:tcPr>
          <w:p w14:paraId="3E45565E">
            <w:pPr>
              <w:pStyle w:val="33"/>
              <w:rPr>
                <w:color w:val="auto"/>
              </w:rPr>
            </w:pPr>
            <w:r>
              <w:rPr>
                <w:color w:val="auto"/>
              </w:rPr>
              <w:t>/</w:t>
            </w:r>
          </w:p>
        </w:tc>
        <w:tc>
          <w:tcPr>
            <w:tcW w:w="333" w:type="pct"/>
            <w:vAlign w:val="center"/>
          </w:tcPr>
          <w:p w14:paraId="050F3290">
            <w:pPr>
              <w:pStyle w:val="33"/>
              <w:rPr>
                <w:color w:val="auto"/>
              </w:rPr>
            </w:pPr>
            <w:r>
              <w:rPr>
                <w:color w:val="auto"/>
              </w:rPr>
              <w:t>/</w:t>
            </w:r>
          </w:p>
        </w:tc>
        <w:tc>
          <w:tcPr>
            <w:tcW w:w="333" w:type="pct"/>
            <w:vAlign w:val="center"/>
          </w:tcPr>
          <w:p w14:paraId="33136CB2">
            <w:pPr>
              <w:pStyle w:val="33"/>
              <w:rPr>
                <w:color w:val="auto"/>
              </w:rPr>
            </w:pPr>
            <w:r>
              <w:rPr>
                <w:color w:val="auto"/>
              </w:rPr>
              <w:t xml:space="preserve">0.015 </w:t>
            </w:r>
          </w:p>
        </w:tc>
        <w:tc>
          <w:tcPr>
            <w:tcW w:w="333" w:type="pct"/>
            <w:vAlign w:val="center"/>
          </w:tcPr>
          <w:p w14:paraId="0B3DACDA">
            <w:pPr>
              <w:pStyle w:val="33"/>
              <w:rPr>
                <w:color w:val="auto"/>
              </w:rPr>
            </w:pPr>
            <w:r>
              <w:rPr>
                <w:color w:val="auto"/>
              </w:rPr>
              <w:t>/</w:t>
            </w:r>
          </w:p>
        </w:tc>
        <w:tc>
          <w:tcPr>
            <w:tcW w:w="397" w:type="pct"/>
            <w:vAlign w:val="center"/>
          </w:tcPr>
          <w:p w14:paraId="581CE5E9">
            <w:pPr>
              <w:pStyle w:val="33"/>
              <w:rPr>
                <w:color w:val="auto"/>
              </w:rPr>
            </w:pPr>
            <w:r>
              <w:rPr>
                <w:color w:val="auto"/>
              </w:rPr>
              <w:t>/</w:t>
            </w:r>
          </w:p>
        </w:tc>
        <w:tc>
          <w:tcPr>
            <w:tcW w:w="333" w:type="pct"/>
            <w:vAlign w:val="center"/>
          </w:tcPr>
          <w:p w14:paraId="67ACF6C1">
            <w:pPr>
              <w:pStyle w:val="33"/>
              <w:rPr>
                <w:color w:val="auto"/>
              </w:rPr>
            </w:pPr>
            <w:r>
              <w:rPr>
                <w:color w:val="auto"/>
              </w:rPr>
              <w:t xml:space="preserve">0.051 </w:t>
            </w:r>
          </w:p>
        </w:tc>
        <w:tc>
          <w:tcPr>
            <w:tcW w:w="338" w:type="pct"/>
            <w:vAlign w:val="center"/>
          </w:tcPr>
          <w:p w14:paraId="71834584">
            <w:pPr>
              <w:pStyle w:val="33"/>
              <w:rPr>
                <w:color w:val="auto"/>
              </w:rPr>
            </w:pPr>
            <w:r>
              <w:rPr>
                <w:color w:val="auto"/>
              </w:rPr>
              <w:t>/</w:t>
            </w:r>
          </w:p>
        </w:tc>
      </w:tr>
      <w:tr w14:paraId="364C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99C3A9E">
            <w:pPr>
              <w:pStyle w:val="33"/>
              <w:rPr>
                <w:color w:val="auto"/>
              </w:rPr>
            </w:pPr>
            <w:r>
              <w:rPr>
                <w:rFonts w:eastAsia="等线"/>
                <w:color w:val="auto"/>
              </w:rPr>
              <w:t>10</w:t>
            </w:r>
          </w:p>
        </w:tc>
        <w:tc>
          <w:tcPr>
            <w:tcW w:w="591" w:type="pct"/>
            <w:vAlign w:val="center"/>
          </w:tcPr>
          <w:p w14:paraId="5981A9F2">
            <w:pPr>
              <w:pStyle w:val="33"/>
              <w:rPr>
                <w:color w:val="auto"/>
              </w:rPr>
            </w:pPr>
            <w:r>
              <w:rPr>
                <w:color w:val="auto"/>
              </w:rPr>
              <w:t>90</w:t>
            </w:r>
          </w:p>
        </w:tc>
        <w:tc>
          <w:tcPr>
            <w:tcW w:w="333" w:type="pct"/>
            <w:vAlign w:val="center"/>
          </w:tcPr>
          <w:p w14:paraId="5E618DFE">
            <w:pPr>
              <w:pStyle w:val="33"/>
              <w:rPr>
                <w:color w:val="auto"/>
              </w:rPr>
            </w:pPr>
            <w:r>
              <w:rPr>
                <w:color w:val="auto"/>
              </w:rPr>
              <w:t xml:space="preserve">20 </w:t>
            </w:r>
          </w:p>
        </w:tc>
        <w:tc>
          <w:tcPr>
            <w:tcW w:w="333" w:type="pct"/>
            <w:vAlign w:val="center"/>
          </w:tcPr>
          <w:p w14:paraId="5F912462">
            <w:pPr>
              <w:pStyle w:val="33"/>
              <w:rPr>
                <w:color w:val="auto"/>
              </w:rPr>
            </w:pPr>
            <w:r>
              <w:rPr>
                <w:color w:val="auto"/>
              </w:rPr>
              <w:t xml:space="preserve">0.7 </w:t>
            </w:r>
          </w:p>
        </w:tc>
        <w:tc>
          <w:tcPr>
            <w:tcW w:w="376" w:type="pct"/>
            <w:vAlign w:val="center"/>
          </w:tcPr>
          <w:p w14:paraId="5E2DBF02">
            <w:pPr>
              <w:pStyle w:val="33"/>
              <w:rPr>
                <w:color w:val="auto"/>
              </w:rPr>
            </w:pPr>
            <w:r>
              <w:rPr>
                <w:color w:val="auto"/>
              </w:rPr>
              <w:t xml:space="preserve">22583 </w:t>
            </w:r>
          </w:p>
        </w:tc>
        <w:tc>
          <w:tcPr>
            <w:tcW w:w="359" w:type="pct"/>
            <w:vAlign w:val="center"/>
          </w:tcPr>
          <w:p w14:paraId="1C058FCA">
            <w:pPr>
              <w:pStyle w:val="33"/>
              <w:rPr>
                <w:color w:val="auto"/>
              </w:rPr>
            </w:pPr>
            <w:r>
              <w:rPr>
                <w:color w:val="auto"/>
              </w:rPr>
              <w:t>/</w:t>
            </w:r>
          </w:p>
        </w:tc>
        <w:tc>
          <w:tcPr>
            <w:tcW w:w="359" w:type="pct"/>
            <w:vAlign w:val="center"/>
          </w:tcPr>
          <w:p w14:paraId="1C69E69E">
            <w:pPr>
              <w:pStyle w:val="33"/>
              <w:rPr>
                <w:color w:val="auto"/>
              </w:rPr>
            </w:pPr>
            <w:r>
              <w:rPr>
                <w:color w:val="auto"/>
              </w:rPr>
              <w:t>/</w:t>
            </w:r>
          </w:p>
        </w:tc>
        <w:tc>
          <w:tcPr>
            <w:tcW w:w="330" w:type="pct"/>
            <w:vAlign w:val="center"/>
          </w:tcPr>
          <w:p w14:paraId="25C0F1A6">
            <w:pPr>
              <w:pStyle w:val="33"/>
              <w:rPr>
                <w:color w:val="auto"/>
              </w:rPr>
            </w:pPr>
            <w:r>
              <w:rPr>
                <w:color w:val="auto"/>
              </w:rPr>
              <w:t xml:space="preserve">0.095 </w:t>
            </w:r>
          </w:p>
        </w:tc>
        <w:tc>
          <w:tcPr>
            <w:tcW w:w="333" w:type="pct"/>
            <w:vAlign w:val="center"/>
          </w:tcPr>
          <w:p w14:paraId="76033442">
            <w:pPr>
              <w:pStyle w:val="33"/>
              <w:rPr>
                <w:color w:val="auto"/>
              </w:rPr>
            </w:pPr>
            <w:r>
              <w:rPr>
                <w:color w:val="auto"/>
              </w:rPr>
              <w:t xml:space="preserve">0.0475 </w:t>
            </w:r>
          </w:p>
        </w:tc>
        <w:tc>
          <w:tcPr>
            <w:tcW w:w="333" w:type="pct"/>
            <w:vAlign w:val="center"/>
          </w:tcPr>
          <w:p w14:paraId="73F8C8B3">
            <w:pPr>
              <w:pStyle w:val="33"/>
              <w:rPr>
                <w:color w:val="auto"/>
              </w:rPr>
            </w:pPr>
            <w:r>
              <w:rPr>
                <w:color w:val="auto"/>
              </w:rPr>
              <w:t>/</w:t>
            </w:r>
          </w:p>
        </w:tc>
        <w:tc>
          <w:tcPr>
            <w:tcW w:w="333" w:type="pct"/>
            <w:vAlign w:val="center"/>
          </w:tcPr>
          <w:p w14:paraId="2A387DA1">
            <w:pPr>
              <w:pStyle w:val="33"/>
              <w:rPr>
                <w:color w:val="auto"/>
              </w:rPr>
            </w:pPr>
            <w:r>
              <w:rPr>
                <w:color w:val="auto"/>
              </w:rPr>
              <w:t>/</w:t>
            </w:r>
          </w:p>
        </w:tc>
        <w:tc>
          <w:tcPr>
            <w:tcW w:w="397" w:type="pct"/>
            <w:vAlign w:val="center"/>
          </w:tcPr>
          <w:p w14:paraId="5438540B">
            <w:pPr>
              <w:pStyle w:val="33"/>
              <w:rPr>
                <w:color w:val="auto"/>
              </w:rPr>
            </w:pPr>
            <w:r>
              <w:rPr>
                <w:color w:val="auto"/>
              </w:rPr>
              <w:t>/</w:t>
            </w:r>
          </w:p>
        </w:tc>
        <w:tc>
          <w:tcPr>
            <w:tcW w:w="333" w:type="pct"/>
            <w:vAlign w:val="center"/>
          </w:tcPr>
          <w:p w14:paraId="0FFCF993">
            <w:pPr>
              <w:pStyle w:val="33"/>
              <w:rPr>
                <w:color w:val="auto"/>
              </w:rPr>
            </w:pPr>
            <w:r>
              <w:rPr>
                <w:color w:val="auto"/>
              </w:rPr>
              <w:t>/</w:t>
            </w:r>
          </w:p>
        </w:tc>
        <w:tc>
          <w:tcPr>
            <w:tcW w:w="338" w:type="pct"/>
            <w:vAlign w:val="center"/>
          </w:tcPr>
          <w:p w14:paraId="76FF2C21">
            <w:pPr>
              <w:pStyle w:val="33"/>
              <w:rPr>
                <w:color w:val="auto"/>
              </w:rPr>
            </w:pPr>
            <w:r>
              <w:rPr>
                <w:color w:val="auto"/>
              </w:rPr>
              <w:t>/</w:t>
            </w:r>
          </w:p>
        </w:tc>
      </w:tr>
      <w:tr w14:paraId="4E183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EA89300">
            <w:pPr>
              <w:pStyle w:val="33"/>
              <w:rPr>
                <w:color w:val="auto"/>
              </w:rPr>
            </w:pPr>
            <w:r>
              <w:rPr>
                <w:rFonts w:eastAsia="等线"/>
                <w:color w:val="auto"/>
              </w:rPr>
              <w:t>11</w:t>
            </w:r>
          </w:p>
        </w:tc>
        <w:tc>
          <w:tcPr>
            <w:tcW w:w="591" w:type="pct"/>
            <w:vAlign w:val="center"/>
          </w:tcPr>
          <w:p w14:paraId="641C48DB">
            <w:pPr>
              <w:pStyle w:val="33"/>
              <w:rPr>
                <w:color w:val="auto"/>
              </w:rPr>
            </w:pPr>
            <w:r>
              <w:rPr>
                <w:color w:val="auto"/>
              </w:rPr>
              <w:t>91</w:t>
            </w:r>
          </w:p>
        </w:tc>
        <w:tc>
          <w:tcPr>
            <w:tcW w:w="333" w:type="pct"/>
            <w:vAlign w:val="center"/>
          </w:tcPr>
          <w:p w14:paraId="2C23DBF1">
            <w:pPr>
              <w:pStyle w:val="33"/>
              <w:rPr>
                <w:color w:val="auto"/>
              </w:rPr>
            </w:pPr>
            <w:r>
              <w:rPr>
                <w:color w:val="auto"/>
              </w:rPr>
              <w:t xml:space="preserve">20 </w:t>
            </w:r>
          </w:p>
        </w:tc>
        <w:tc>
          <w:tcPr>
            <w:tcW w:w="333" w:type="pct"/>
            <w:vAlign w:val="center"/>
          </w:tcPr>
          <w:p w14:paraId="76B972FB">
            <w:pPr>
              <w:pStyle w:val="33"/>
              <w:rPr>
                <w:color w:val="auto"/>
              </w:rPr>
            </w:pPr>
            <w:r>
              <w:rPr>
                <w:color w:val="auto"/>
              </w:rPr>
              <w:t xml:space="preserve">0.7 </w:t>
            </w:r>
          </w:p>
        </w:tc>
        <w:tc>
          <w:tcPr>
            <w:tcW w:w="376" w:type="pct"/>
            <w:vAlign w:val="center"/>
          </w:tcPr>
          <w:p w14:paraId="437CFD7F">
            <w:pPr>
              <w:pStyle w:val="33"/>
              <w:rPr>
                <w:color w:val="auto"/>
              </w:rPr>
            </w:pPr>
            <w:r>
              <w:rPr>
                <w:color w:val="auto"/>
              </w:rPr>
              <w:t xml:space="preserve">22583 </w:t>
            </w:r>
          </w:p>
        </w:tc>
        <w:tc>
          <w:tcPr>
            <w:tcW w:w="359" w:type="pct"/>
            <w:vAlign w:val="center"/>
          </w:tcPr>
          <w:p w14:paraId="2D15C3C9">
            <w:pPr>
              <w:pStyle w:val="33"/>
              <w:rPr>
                <w:color w:val="auto"/>
              </w:rPr>
            </w:pPr>
            <w:r>
              <w:rPr>
                <w:color w:val="auto"/>
              </w:rPr>
              <w:t>/</w:t>
            </w:r>
          </w:p>
        </w:tc>
        <w:tc>
          <w:tcPr>
            <w:tcW w:w="359" w:type="pct"/>
            <w:vAlign w:val="center"/>
          </w:tcPr>
          <w:p w14:paraId="3704B6E9">
            <w:pPr>
              <w:pStyle w:val="33"/>
              <w:rPr>
                <w:color w:val="auto"/>
              </w:rPr>
            </w:pPr>
            <w:r>
              <w:rPr>
                <w:color w:val="auto"/>
              </w:rPr>
              <w:t>/</w:t>
            </w:r>
          </w:p>
        </w:tc>
        <w:tc>
          <w:tcPr>
            <w:tcW w:w="330" w:type="pct"/>
            <w:vAlign w:val="center"/>
          </w:tcPr>
          <w:p w14:paraId="4AE9C7A9">
            <w:pPr>
              <w:pStyle w:val="33"/>
              <w:rPr>
                <w:color w:val="auto"/>
              </w:rPr>
            </w:pPr>
            <w:r>
              <w:rPr>
                <w:color w:val="auto"/>
              </w:rPr>
              <w:t xml:space="preserve">0.095 </w:t>
            </w:r>
          </w:p>
        </w:tc>
        <w:tc>
          <w:tcPr>
            <w:tcW w:w="333" w:type="pct"/>
            <w:vAlign w:val="center"/>
          </w:tcPr>
          <w:p w14:paraId="059D6F05">
            <w:pPr>
              <w:pStyle w:val="33"/>
              <w:rPr>
                <w:color w:val="auto"/>
              </w:rPr>
            </w:pPr>
            <w:r>
              <w:rPr>
                <w:color w:val="auto"/>
              </w:rPr>
              <w:t xml:space="preserve">0.0475 </w:t>
            </w:r>
          </w:p>
        </w:tc>
        <w:tc>
          <w:tcPr>
            <w:tcW w:w="333" w:type="pct"/>
            <w:vAlign w:val="center"/>
          </w:tcPr>
          <w:p w14:paraId="03B8D761">
            <w:pPr>
              <w:pStyle w:val="33"/>
              <w:rPr>
                <w:color w:val="auto"/>
              </w:rPr>
            </w:pPr>
            <w:r>
              <w:rPr>
                <w:color w:val="auto"/>
              </w:rPr>
              <w:t>/</w:t>
            </w:r>
          </w:p>
        </w:tc>
        <w:tc>
          <w:tcPr>
            <w:tcW w:w="333" w:type="pct"/>
            <w:vAlign w:val="center"/>
          </w:tcPr>
          <w:p w14:paraId="652B5F6E">
            <w:pPr>
              <w:pStyle w:val="33"/>
              <w:rPr>
                <w:color w:val="auto"/>
              </w:rPr>
            </w:pPr>
            <w:r>
              <w:rPr>
                <w:color w:val="auto"/>
              </w:rPr>
              <w:t>/</w:t>
            </w:r>
          </w:p>
        </w:tc>
        <w:tc>
          <w:tcPr>
            <w:tcW w:w="397" w:type="pct"/>
            <w:vAlign w:val="center"/>
          </w:tcPr>
          <w:p w14:paraId="4BF8EBD5">
            <w:pPr>
              <w:pStyle w:val="33"/>
              <w:rPr>
                <w:color w:val="auto"/>
              </w:rPr>
            </w:pPr>
            <w:r>
              <w:rPr>
                <w:color w:val="auto"/>
              </w:rPr>
              <w:t>/</w:t>
            </w:r>
          </w:p>
        </w:tc>
        <w:tc>
          <w:tcPr>
            <w:tcW w:w="333" w:type="pct"/>
            <w:vAlign w:val="center"/>
          </w:tcPr>
          <w:p w14:paraId="277C214C">
            <w:pPr>
              <w:pStyle w:val="33"/>
              <w:rPr>
                <w:color w:val="auto"/>
              </w:rPr>
            </w:pPr>
            <w:r>
              <w:rPr>
                <w:color w:val="auto"/>
              </w:rPr>
              <w:t>/</w:t>
            </w:r>
          </w:p>
        </w:tc>
        <w:tc>
          <w:tcPr>
            <w:tcW w:w="338" w:type="pct"/>
            <w:vAlign w:val="center"/>
          </w:tcPr>
          <w:p w14:paraId="60162F0F">
            <w:pPr>
              <w:pStyle w:val="33"/>
              <w:rPr>
                <w:color w:val="auto"/>
              </w:rPr>
            </w:pPr>
            <w:r>
              <w:rPr>
                <w:color w:val="auto"/>
              </w:rPr>
              <w:t>/</w:t>
            </w:r>
          </w:p>
        </w:tc>
      </w:tr>
      <w:tr w14:paraId="69EE9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16D78CA">
            <w:pPr>
              <w:pStyle w:val="33"/>
              <w:rPr>
                <w:color w:val="auto"/>
              </w:rPr>
            </w:pPr>
            <w:r>
              <w:rPr>
                <w:rFonts w:eastAsia="等线"/>
                <w:color w:val="auto"/>
              </w:rPr>
              <w:t>12</w:t>
            </w:r>
          </w:p>
        </w:tc>
        <w:tc>
          <w:tcPr>
            <w:tcW w:w="591" w:type="pct"/>
            <w:vAlign w:val="center"/>
          </w:tcPr>
          <w:p w14:paraId="2FBF9907">
            <w:pPr>
              <w:pStyle w:val="33"/>
              <w:rPr>
                <w:color w:val="auto"/>
              </w:rPr>
            </w:pPr>
            <w:r>
              <w:rPr>
                <w:color w:val="auto"/>
              </w:rPr>
              <w:t>92</w:t>
            </w:r>
          </w:p>
        </w:tc>
        <w:tc>
          <w:tcPr>
            <w:tcW w:w="333" w:type="pct"/>
            <w:vAlign w:val="center"/>
          </w:tcPr>
          <w:p w14:paraId="645E6B7F">
            <w:pPr>
              <w:pStyle w:val="33"/>
              <w:rPr>
                <w:color w:val="auto"/>
              </w:rPr>
            </w:pPr>
            <w:r>
              <w:rPr>
                <w:color w:val="auto"/>
              </w:rPr>
              <w:t xml:space="preserve">20 </w:t>
            </w:r>
          </w:p>
        </w:tc>
        <w:tc>
          <w:tcPr>
            <w:tcW w:w="333" w:type="pct"/>
            <w:vAlign w:val="center"/>
          </w:tcPr>
          <w:p w14:paraId="154ECBB2">
            <w:pPr>
              <w:pStyle w:val="33"/>
              <w:rPr>
                <w:color w:val="auto"/>
              </w:rPr>
            </w:pPr>
            <w:r>
              <w:rPr>
                <w:color w:val="auto"/>
              </w:rPr>
              <w:t xml:space="preserve">0.6 </w:t>
            </w:r>
          </w:p>
        </w:tc>
        <w:tc>
          <w:tcPr>
            <w:tcW w:w="376" w:type="pct"/>
            <w:vAlign w:val="center"/>
          </w:tcPr>
          <w:p w14:paraId="0AE91601">
            <w:pPr>
              <w:pStyle w:val="33"/>
              <w:rPr>
                <w:color w:val="auto"/>
              </w:rPr>
            </w:pPr>
            <w:r>
              <w:rPr>
                <w:color w:val="auto"/>
              </w:rPr>
              <w:t xml:space="preserve">16388 </w:t>
            </w:r>
          </w:p>
        </w:tc>
        <w:tc>
          <w:tcPr>
            <w:tcW w:w="359" w:type="pct"/>
            <w:vAlign w:val="center"/>
          </w:tcPr>
          <w:p w14:paraId="2AFDC988">
            <w:pPr>
              <w:pStyle w:val="33"/>
              <w:rPr>
                <w:color w:val="auto"/>
              </w:rPr>
            </w:pPr>
            <w:r>
              <w:rPr>
                <w:color w:val="auto"/>
              </w:rPr>
              <w:t>/</w:t>
            </w:r>
          </w:p>
        </w:tc>
        <w:tc>
          <w:tcPr>
            <w:tcW w:w="359" w:type="pct"/>
            <w:vAlign w:val="center"/>
          </w:tcPr>
          <w:p w14:paraId="65291D7A">
            <w:pPr>
              <w:pStyle w:val="33"/>
              <w:rPr>
                <w:color w:val="auto"/>
              </w:rPr>
            </w:pPr>
            <w:r>
              <w:rPr>
                <w:color w:val="auto"/>
              </w:rPr>
              <w:t>/</w:t>
            </w:r>
          </w:p>
        </w:tc>
        <w:tc>
          <w:tcPr>
            <w:tcW w:w="330" w:type="pct"/>
            <w:vAlign w:val="center"/>
          </w:tcPr>
          <w:p w14:paraId="755CBE90">
            <w:pPr>
              <w:pStyle w:val="33"/>
              <w:rPr>
                <w:color w:val="auto"/>
              </w:rPr>
            </w:pPr>
            <w:r>
              <w:rPr>
                <w:color w:val="auto"/>
              </w:rPr>
              <w:t>/</w:t>
            </w:r>
          </w:p>
        </w:tc>
        <w:tc>
          <w:tcPr>
            <w:tcW w:w="333" w:type="pct"/>
            <w:vAlign w:val="center"/>
          </w:tcPr>
          <w:p w14:paraId="02079413">
            <w:pPr>
              <w:pStyle w:val="33"/>
              <w:rPr>
                <w:color w:val="auto"/>
              </w:rPr>
            </w:pPr>
            <w:r>
              <w:rPr>
                <w:color w:val="auto"/>
              </w:rPr>
              <w:t>/</w:t>
            </w:r>
          </w:p>
        </w:tc>
        <w:tc>
          <w:tcPr>
            <w:tcW w:w="333" w:type="pct"/>
            <w:vAlign w:val="center"/>
          </w:tcPr>
          <w:p w14:paraId="77C856D2">
            <w:pPr>
              <w:pStyle w:val="33"/>
              <w:rPr>
                <w:color w:val="auto"/>
              </w:rPr>
            </w:pPr>
            <w:r>
              <w:rPr>
                <w:color w:val="auto"/>
              </w:rPr>
              <w:t>/</w:t>
            </w:r>
          </w:p>
        </w:tc>
        <w:tc>
          <w:tcPr>
            <w:tcW w:w="333" w:type="pct"/>
            <w:vAlign w:val="center"/>
          </w:tcPr>
          <w:p w14:paraId="5BB79FCA">
            <w:pPr>
              <w:pStyle w:val="33"/>
              <w:rPr>
                <w:color w:val="auto"/>
              </w:rPr>
            </w:pPr>
            <w:r>
              <w:rPr>
                <w:color w:val="auto"/>
              </w:rPr>
              <w:t xml:space="preserve">0.114 </w:t>
            </w:r>
          </w:p>
        </w:tc>
        <w:tc>
          <w:tcPr>
            <w:tcW w:w="397" w:type="pct"/>
            <w:vAlign w:val="center"/>
          </w:tcPr>
          <w:p w14:paraId="2E79EFB6">
            <w:pPr>
              <w:pStyle w:val="33"/>
              <w:rPr>
                <w:color w:val="auto"/>
              </w:rPr>
            </w:pPr>
            <w:r>
              <w:rPr>
                <w:color w:val="auto"/>
              </w:rPr>
              <w:t>/</w:t>
            </w:r>
          </w:p>
        </w:tc>
        <w:tc>
          <w:tcPr>
            <w:tcW w:w="333" w:type="pct"/>
            <w:vAlign w:val="center"/>
          </w:tcPr>
          <w:p w14:paraId="16EDDF1A">
            <w:pPr>
              <w:pStyle w:val="33"/>
              <w:rPr>
                <w:color w:val="auto"/>
              </w:rPr>
            </w:pPr>
            <w:r>
              <w:rPr>
                <w:color w:val="auto"/>
              </w:rPr>
              <w:t>/</w:t>
            </w:r>
          </w:p>
        </w:tc>
        <w:tc>
          <w:tcPr>
            <w:tcW w:w="338" w:type="pct"/>
            <w:vAlign w:val="center"/>
          </w:tcPr>
          <w:p w14:paraId="3E94B4F3">
            <w:pPr>
              <w:pStyle w:val="33"/>
              <w:rPr>
                <w:color w:val="auto"/>
              </w:rPr>
            </w:pPr>
            <w:r>
              <w:rPr>
                <w:color w:val="auto"/>
              </w:rPr>
              <w:t>/</w:t>
            </w:r>
          </w:p>
        </w:tc>
      </w:tr>
      <w:tr w14:paraId="4C4578E6">
        <w:tblPrEx>
          <w:tblCellMar>
            <w:top w:w="0" w:type="dxa"/>
            <w:left w:w="108" w:type="dxa"/>
            <w:bottom w:w="0" w:type="dxa"/>
            <w:right w:w="108" w:type="dxa"/>
          </w:tblCellMar>
        </w:tblPrEx>
        <w:tc>
          <w:tcPr>
            <w:tcW w:w="252" w:type="pct"/>
            <w:vAlign w:val="center"/>
          </w:tcPr>
          <w:p w14:paraId="00925CA8">
            <w:pPr>
              <w:pStyle w:val="33"/>
              <w:rPr>
                <w:color w:val="auto"/>
              </w:rPr>
            </w:pPr>
            <w:r>
              <w:rPr>
                <w:rFonts w:eastAsia="等线"/>
                <w:color w:val="auto"/>
              </w:rPr>
              <w:t>13</w:t>
            </w:r>
          </w:p>
        </w:tc>
        <w:tc>
          <w:tcPr>
            <w:tcW w:w="591" w:type="pct"/>
            <w:vAlign w:val="center"/>
          </w:tcPr>
          <w:p w14:paraId="09F94AF0">
            <w:pPr>
              <w:pStyle w:val="33"/>
              <w:rPr>
                <w:color w:val="auto"/>
              </w:rPr>
            </w:pPr>
            <w:r>
              <w:rPr>
                <w:color w:val="auto"/>
              </w:rPr>
              <w:t>93</w:t>
            </w:r>
          </w:p>
        </w:tc>
        <w:tc>
          <w:tcPr>
            <w:tcW w:w="333" w:type="pct"/>
            <w:vAlign w:val="center"/>
          </w:tcPr>
          <w:p w14:paraId="3BBC8B9E">
            <w:pPr>
              <w:pStyle w:val="33"/>
              <w:rPr>
                <w:color w:val="auto"/>
              </w:rPr>
            </w:pPr>
            <w:r>
              <w:rPr>
                <w:color w:val="auto"/>
              </w:rPr>
              <w:t xml:space="preserve">20 </w:t>
            </w:r>
          </w:p>
        </w:tc>
        <w:tc>
          <w:tcPr>
            <w:tcW w:w="333" w:type="pct"/>
            <w:vAlign w:val="center"/>
          </w:tcPr>
          <w:p w14:paraId="4B44F4BE">
            <w:pPr>
              <w:pStyle w:val="33"/>
              <w:rPr>
                <w:color w:val="auto"/>
              </w:rPr>
            </w:pPr>
            <w:r>
              <w:rPr>
                <w:color w:val="auto"/>
              </w:rPr>
              <w:t xml:space="preserve">0.6 </w:t>
            </w:r>
          </w:p>
        </w:tc>
        <w:tc>
          <w:tcPr>
            <w:tcW w:w="376" w:type="pct"/>
            <w:vAlign w:val="center"/>
          </w:tcPr>
          <w:p w14:paraId="2F6DF1FE">
            <w:pPr>
              <w:pStyle w:val="33"/>
              <w:rPr>
                <w:color w:val="auto"/>
              </w:rPr>
            </w:pPr>
            <w:r>
              <w:rPr>
                <w:color w:val="auto"/>
              </w:rPr>
              <w:t xml:space="preserve">16388 </w:t>
            </w:r>
          </w:p>
        </w:tc>
        <w:tc>
          <w:tcPr>
            <w:tcW w:w="359" w:type="pct"/>
            <w:vAlign w:val="center"/>
          </w:tcPr>
          <w:p w14:paraId="27E9765D">
            <w:pPr>
              <w:pStyle w:val="33"/>
              <w:rPr>
                <w:color w:val="auto"/>
              </w:rPr>
            </w:pPr>
            <w:r>
              <w:rPr>
                <w:color w:val="auto"/>
              </w:rPr>
              <w:t>/</w:t>
            </w:r>
          </w:p>
        </w:tc>
        <w:tc>
          <w:tcPr>
            <w:tcW w:w="359" w:type="pct"/>
            <w:vAlign w:val="center"/>
          </w:tcPr>
          <w:p w14:paraId="426EA680">
            <w:pPr>
              <w:pStyle w:val="33"/>
              <w:rPr>
                <w:color w:val="auto"/>
              </w:rPr>
            </w:pPr>
            <w:r>
              <w:rPr>
                <w:color w:val="auto"/>
              </w:rPr>
              <w:t>/</w:t>
            </w:r>
          </w:p>
        </w:tc>
        <w:tc>
          <w:tcPr>
            <w:tcW w:w="330" w:type="pct"/>
            <w:vAlign w:val="center"/>
          </w:tcPr>
          <w:p w14:paraId="29F658BD">
            <w:pPr>
              <w:pStyle w:val="33"/>
              <w:rPr>
                <w:color w:val="auto"/>
              </w:rPr>
            </w:pPr>
            <w:r>
              <w:rPr>
                <w:color w:val="auto"/>
              </w:rPr>
              <w:t>/</w:t>
            </w:r>
          </w:p>
        </w:tc>
        <w:tc>
          <w:tcPr>
            <w:tcW w:w="333" w:type="pct"/>
            <w:vAlign w:val="center"/>
          </w:tcPr>
          <w:p w14:paraId="6AB71523">
            <w:pPr>
              <w:pStyle w:val="33"/>
              <w:rPr>
                <w:color w:val="auto"/>
              </w:rPr>
            </w:pPr>
            <w:r>
              <w:rPr>
                <w:color w:val="auto"/>
              </w:rPr>
              <w:t>/</w:t>
            </w:r>
          </w:p>
        </w:tc>
        <w:tc>
          <w:tcPr>
            <w:tcW w:w="333" w:type="pct"/>
            <w:vAlign w:val="center"/>
          </w:tcPr>
          <w:p w14:paraId="0CB2CEB0">
            <w:pPr>
              <w:pStyle w:val="33"/>
              <w:rPr>
                <w:color w:val="auto"/>
              </w:rPr>
            </w:pPr>
            <w:r>
              <w:rPr>
                <w:color w:val="auto"/>
              </w:rPr>
              <w:t>/</w:t>
            </w:r>
          </w:p>
        </w:tc>
        <w:tc>
          <w:tcPr>
            <w:tcW w:w="333" w:type="pct"/>
            <w:vAlign w:val="center"/>
          </w:tcPr>
          <w:p w14:paraId="42AFE9CA">
            <w:pPr>
              <w:pStyle w:val="33"/>
              <w:rPr>
                <w:color w:val="auto"/>
              </w:rPr>
            </w:pPr>
            <w:r>
              <w:rPr>
                <w:color w:val="auto"/>
              </w:rPr>
              <w:t xml:space="preserve">0.114 </w:t>
            </w:r>
          </w:p>
        </w:tc>
        <w:tc>
          <w:tcPr>
            <w:tcW w:w="397" w:type="pct"/>
            <w:vAlign w:val="center"/>
          </w:tcPr>
          <w:p w14:paraId="71A8B888">
            <w:pPr>
              <w:pStyle w:val="33"/>
              <w:rPr>
                <w:color w:val="auto"/>
              </w:rPr>
            </w:pPr>
            <w:r>
              <w:rPr>
                <w:color w:val="auto"/>
              </w:rPr>
              <w:t>/</w:t>
            </w:r>
          </w:p>
        </w:tc>
        <w:tc>
          <w:tcPr>
            <w:tcW w:w="333" w:type="pct"/>
            <w:vAlign w:val="center"/>
          </w:tcPr>
          <w:p w14:paraId="70BC248D">
            <w:pPr>
              <w:pStyle w:val="33"/>
              <w:rPr>
                <w:color w:val="auto"/>
              </w:rPr>
            </w:pPr>
            <w:r>
              <w:rPr>
                <w:color w:val="auto"/>
              </w:rPr>
              <w:t>/</w:t>
            </w:r>
          </w:p>
        </w:tc>
        <w:tc>
          <w:tcPr>
            <w:tcW w:w="338" w:type="pct"/>
            <w:vAlign w:val="center"/>
          </w:tcPr>
          <w:p w14:paraId="7CD32BD5">
            <w:pPr>
              <w:pStyle w:val="33"/>
              <w:rPr>
                <w:color w:val="auto"/>
              </w:rPr>
            </w:pPr>
            <w:r>
              <w:rPr>
                <w:color w:val="auto"/>
              </w:rPr>
              <w:t>/</w:t>
            </w:r>
          </w:p>
        </w:tc>
      </w:tr>
      <w:tr w14:paraId="5683E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03BE666">
            <w:pPr>
              <w:pStyle w:val="33"/>
              <w:rPr>
                <w:color w:val="auto"/>
              </w:rPr>
            </w:pPr>
            <w:r>
              <w:rPr>
                <w:rFonts w:eastAsia="等线"/>
                <w:color w:val="auto"/>
              </w:rPr>
              <w:t>14</w:t>
            </w:r>
          </w:p>
        </w:tc>
        <w:tc>
          <w:tcPr>
            <w:tcW w:w="591" w:type="pct"/>
            <w:vAlign w:val="center"/>
          </w:tcPr>
          <w:p w14:paraId="35029E8A">
            <w:pPr>
              <w:pStyle w:val="33"/>
              <w:rPr>
                <w:color w:val="auto"/>
              </w:rPr>
            </w:pPr>
            <w:r>
              <w:rPr>
                <w:color w:val="auto"/>
              </w:rPr>
              <w:t>94</w:t>
            </w:r>
          </w:p>
        </w:tc>
        <w:tc>
          <w:tcPr>
            <w:tcW w:w="333" w:type="pct"/>
            <w:vAlign w:val="center"/>
          </w:tcPr>
          <w:p w14:paraId="4088D28C">
            <w:pPr>
              <w:pStyle w:val="33"/>
              <w:rPr>
                <w:color w:val="auto"/>
              </w:rPr>
            </w:pPr>
            <w:r>
              <w:rPr>
                <w:color w:val="auto"/>
              </w:rPr>
              <w:t xml:space="preserve">20 </w:t>
            </w:r>
          </w:p>
        </w:tc>
        <w:tc>
          <w:tcPr>
            <w:tcW w:w="333" w:type="pct"/>
            <w:vAlign w:val="center"/>
          </w:tcPr>
          <w:p w14:paraId="5C022A76">
            <w:pPr>
              <w:pStyle w:val="33"/>
              <w:rPr>
                <w:color w:val="auto"/>
              </w:rPr>
            </w:pPr>
            <w:r>
              <w:rPr>
                <w:color w:val="auto"/>
              </w:rPr>
              <w:t xml:space="preserve">0.6 </w:t>
            </w:r>
          </w:p>
        </w:tc>
        <w:tc>
          <w:tcPr>
            <w:tcW w:w="376" w:type="pct"/>
            <w:vAlign w:val="center"/>
          </w:tcPr>
          <w:p w14:paraId="5A23D665">
            <w:pPr>
              <w:pStyle w:val="33"/>
              <w:rPr>
                <w:color w:val="auto"/>
              </w:rPr>
            </w:pPr>
            <w:r>
              <w:rPr>
                <w:color w:val="auto"/>
              </w:rPr>
              <w:t xml:space="preserve">16388 </w:t>
            </w:r>
          </w:p>
        </w:tc>
        <w:tc>
          <w:tcPr>
            <w:tcW w:w="359" w:type="pct"/>
            <w:vAlign w:val="center"/>
          </w:tcPr>
          <w:p w14:paraId="2BE4BF41">
            <w:pPr>
              <w:pStyle w:val="33"/>
              <w:rPr>
                <w:color w:val="auto"/>
              </w:rPr>
            </w:pPr>
            <w:r>
              <w:rPr>
                <w:color w:val="auto"/>
              </w:rPr>
              <w:t>/</w:t>
            </w:r>
          </w:p>
        </w:tc>
        <w:tc>
          <w:tcPr>
            <w:tcW w:w="359" w:type="pct"/>
            <w:vAlign w:val="center"/>
          </w:tcPr>
          <w:p w14:paraId="0189DCEF">
            <w:pPr>
              <w:pStyle w:val="33"/>
              <w:rPr>
                <w:color w:val="auto"/>
              </w:rPr>
            </w:pPr>
            <w:r>
              <w:rPr>
                <w:color w:val="auto"/>
              </w:rPr>
              <w:t>/</w:t>
            </w:r>
          </w:p>
        </w:tc>
        <w:tc>
          <w:tcPr>
            <w:tcW w:w="330" w:type="pct"/>
            <w:vAlign w:val="center"/>
          </w:tcPr>
          <w:p w14:paraId="20ED78C5">
            <w:pPr>
              <w:pStyle w:val="33"/>
              <w:rPr>
                <w:color w:val="auto"/>
              </w:rPr>
            </w:pPr>
            <w:r>
              <w:rPr>
                <w:color w:val="auto"/>
              </w:rPr>
              <w:t>/</w:t>
            </w:r>
          </w:p>
        </w:tc>
        <w:tc>
          <w:tcPr>
            <w:tcW w:w="333" w:type="pct"/>
            <w:vAlign w:val="center"/>
          </w:tcPr>
          <w:p w14:paraId="513EDD08">
            <w:pPr>
              <w:pStyle w:val="33"/>
              <w:rPr>
                <w:color w:val="auto"/>
              </w:rPr>
            </w:pPr>
            <w:r>
              <w:rPr>
                <w:color w:val="auto"/>
              </w:rPr>
              <w:t>/</w:t>
            </w:r>
          </w:p>
        </w:tc>
        <w:tc>
          <w:tcPr>
            <w:tcW w:w="333" w:type="pct"/>
            <w:vAlign w:val="center"/>
          </w:tcPr>
          <w:p w14:paraId="73B25B79">
            <w:pPr>
              <w:pStyle w:val="33"/>
              <w:rPr>
                <w:color w:val="auto"/>
              </w:rPr>
            </w:pPr>
            <w:r>
              <w:rPr>
                <w:color w:val="auto"/>
              </w:rPr>
              <w:t>/</w:t>
            </w:r>
          </w:p>
        </w:tc>
        <w:tc>
          <w:tcPr>
            <w:tcW w:w="333" w:type="pct"/>
            <w:vAlign w:val="center"/>
          </w:tcPr>
          <w:p w14:paraId="1C6C3821">
            <w:pPr>
              <w:pStyle w:val="33"/>
              <w:rPr>
                <w:color w:val="auto"/>
              </w:rPr>
            </w:pPr>
            <w:r>
              <w:rPr>
                <w:color w:val="auto"/>
              </w:rPr>
              <w:t xml:space="preserve">0.114 </w:t>
            </w:r>
          </w:p>
        </w:tc>
        <w:tc>
          <w:tcPr>
            <w:tcW w:w="397" w:type="pct"/>
            <w:vAlign w:val="center"/>
          </w:tcPr>
          <w:p w14:paraId="7EB21789">
            <w:pPr>
              <w:pStyle w:val="33"/>
              <w:rPr>
                <w:color w:val="auto"/>
              </w:rPr>
            </w:pPr>
            <w:r>
              <w:rPr>
                <w:color w:val="auto"/>
              </w:rPr>
              <w:t>/</w:t>
            </w:r>
          </w:p>
        </w:tc>
        <w:tc>
          <w:tcPr>
            <w:tcW w:w="333" w:type="pct"/>
            <w:vAlign w:val="center"/>
          </w:tcPr>
          <w:p w14:paraId="113DE2E6">
            <w:pPr>
              <w:pStyle w:val="33"/>
              <w:rPr>
                <w:color w:val="auto"/>
              </w:rPr>
            </w:pPr>
            <w:r>
              <w:rPr>
                <w:color w:val="auto"/>
              </w:rPr>
              <w:t>/</w:t>
            </w:r>
          </w:p>
        </w:tc>
        <w:tc>
          <w:tcPr>
            <w:tcW w:w="338" w:type="pct"/>
            <w:vAlign w:val="center"/>
          </w:tcPr>
          <w:p w14:paraId="0E365C69">
            <w:pPr>
              <w:pStyle w:val="33"/>
              <w:rPr>
                <w:color w:val="auto"/>
              </w:rPr>
            </w:pPr>
            <w:r>
              <w:rPr>
                <w:color w:val="auto"/>
              </w:rPr>
              <w:t>/</w:t>
            </w:r>
          </w:p>
        </w:tc>
      </w:tr>
      <w:tr w14:paraId="71883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E30B60B">
            <w:pPr>
              <w:pStyle w:val="33"/>
              <w:rPr>
                <w:color w:val="auto"/>
              </w:rPr>
            </w:pPr>
            <w:r>
              <w:rPr>
                <w:rFonts w:eastAsia="等线"/>
                <w:color w:val="auto"/>
              </w:rPr>
              <w:t>15</w:t>
            </w:r>
          </w:p>
        </w:tc>
        <w:tc>
          <w:tcPr>
            <w:tcW w:w="591" w:type="pct"/>
            <w:vAlign w:val="center"/>
          </w:tcPr>
          <w:p w14:paraId="4DC49405">
            <w:pPr>
              <w:pStyle w:val="33"/>
              <w:rPr>
                <w:color w:val="auto"/>
              </w:rPr>
            </w:pPr>
            <w:r>
              <w:rPr>
                <w:color w:val="auto"/>
              </w:rPr>
              <w:t>95</w:t>
            </w:r>
          </w:p>
        </w:tc>
        <w:tc>
          <w:tcPr>
            <w:tcW w:w="333" w:type="pct"/>
            <w:vAlign w:val="center"/>
          </w:tcPr>
          <w:p w14:paraId="096F5D5C">
            <w:pPr>
              <w:pStyle w:val="33"/>
              <w:rPr>
                <w:color w:val="auto"/>
              </w:rPr>
            </w:pPr>
            <w:r>
              <w:rPr>
                <w:color w:val="auto"/>
              </w:rPr>
              <w:t xml:space="preserve">20 </w:t>
            </w:r>
          </w:p>
        </w:tc>
        <w:tc>
          <w:tcPr>
            <w:tcW w:w="333" w:type="pct"/>
            <w:vAlign w:val="center"/>
          </w:tcPr>
          <w:p w14:paraId="105D4839">
            <w:pPr>
              <w:pStyle w:val="33"/>
              <w:rPr>
                <w:color w:val="auto"/>
              </w:rPr>
            </w:pPr>
            <w:r>
              <w:rPr>
                <w:color w:val="auto"/>
              </w:rPr>
              <w:t xml:space="preserve">0.6 </w:t>
            </w:r>
          </w:p>
        </w:tc>
        <w:tc>
          <w:tcPr>
            <w:tcW w:w="376" w:type="pct"/>
            <w:vAlign w:val="center"/>
          </w:tcPr>
          <w:p w14:paraId="65A87637">
            <w:pPr>
              <w:pStyle w:val="33"/>
              <w:rPr>
                <w:color w:val="auto"/>
              </w:rPr>
            </w:pPr>
            <w:r>
              <w:rPr>
                <w:color w:val="auto"/>
              </w:rPr>
              <w:t xml:space="preserve">16388 </w:t>
            </w:r>
          </w:p>
        </w:tc>
        <w:tc>
          <w:tcPr>
            <w:tcW w:w="359" w:type="pct"/>
            <w:vAlign w:val="center"/>
          </w:tcPr>
          <w:p w14:paraId="0ACC0F13">
            <w:pPr>
              <w:pStyle w:val="33"/>
              <w:rPr>
                <w:color w:val="auto"/>
              </w:rPr>
            </w:pPr>
            <w:r>
              <w:rPr>
                <w:color w:val="auto"/>
              </w:rPr>
              <w:t>/</w:t>
            </w:r>
          </w:p>
        </w:tc>
        <w:tc>
          <w:tcPr>
            <w:tcW w:w="359" w:type="pct"/>
            <w:vAlign w:val="center"/>
          </w:tcPr>
          <w:p w14:paraId="516AFF61">
            <w:pPr>
              <w:pStyle w:val="33"/>
              <w:rPr>
                <w:color w:val="auto"/>
              </w:rPr>
            </w:pPr>
            <w:r>
              <w:rPr>
                <w:color w:val="auto"/>
              </w:rPr>
              <w:t>/</w:t>
            </w:r>
          </w:p>
        </w:tc>
        <w:tc>
          <w:tcPr>
            <w:tcW w:w="330" w:type="pct"/>
            <w:vAlign w:val="center"/>
          </w:tcPr>
          <w:p w14:paraId="10D3FDEA">
            <w:pPr>
              <w:pStyle w:val="33"/>
              <w:rPr>
                <w:color w:val="auto"/>
              </w:rPr>
            </w:pPr>
            <w:r>
              <w:rPr>
                <w:color w:val="auto"/>
              </w:rPr>
              <w:t>/</w:t>
            </w:r>
          </w:p>
        </w:tc>
        <w:tc>
          <w:tcPr>
            <w:tcW w:w="333" w:type="pct"/>
            <w:vAlign w:val="center"/>
          </w:tcPr>
          <w:p w14:paraId="2FC0AD09">
            <w:pPr>
              <w:pStyle w:val="33"/>
              <w:rPr>
                <w:color w:val="auto"/>
              </w:rPr>
            </w:pPr>
            <w:r>
              <w:rPr>
                <w:color w:val="auto"/>
              </w:rPr>
              <w:t>/</w:t>
            </w:r>
          </w:p>
        </w:tc>
        <w:tc>
          <w:tcPr>
            <w:tcW w:w="333" w:type="pct"/>
            <w:vAlign w:val="center"/>
          </w:tcPr>
          <w:p w14:paraId="0DBB0080">
            <w:pPr>
              <w:pStyle w:val="33"/>
              <w:rPr>
                <w:color w:val="auto"/>
              </w:rPr>
            </w:pPr>
            <w:r>
              <w:rPr>
                <w:color w:val="auto"/>
              </w:rPr>
              <w:t>/</w:t>
            </w:r>
          </w:p>
        </w:tc>
        <w:tc>
          <w:tcPr>
            <w:tcW w:w="333" w:type="pct"/>
            <w:vAlign w:val="center"/>
          </w:tcPr>
          <w:p w14:paraId="5A0ED3E3">
            <w:pPr>
              <w:pStyle w:val="33"/>
              <w:rPr>
                <w:color w:val="auto"/>
              </w:rPr>
            </w:pPr>
            <w:r>
              <w:rPr>
                <w:color w:val="auto"/>
              </w:rPr>
              <w:t xml:space="preserve">0.114 </w:t>
            </w:r>
          </w:p>
        </w:tc>
        <w:tc>
          <w:tcPr>
            <w:tcW w:w="397" w:type="pct"/>
            <w:vAlign w:val="center"/>
          </w:tcPr>
          <w:p w14:paraId="05E39DCF">
            <w:pPr>
              <w:pStyle w:val="33"/>
              <w:rPr>
                <w:color w:val="auto"/>
              </w:rPr>
            </w:pPr>
            <w:r>
              <w:rPr>
                <w:color w:val="auto"/>
              </w:rPr>
              <w:t>/</w:t>
            </w:r>
          </w:p>
        </w:tc>
        <w:tc>
          <w:tcPr>
            <w:tcW w:w="333" w:type="pct"/>
            <w:vAlign w:val="center"/>
          </w:tcPr>
          <w:p w14:paraId="0829C8B9">
            <w:pPr>
              <w:pStyle w:val="33"/>
              <w:rPr>
                <w:color w:val="auto"/>
              </w:rPr>
            </w:pPr>
            <w:r>
              <w:rPr>
                <w:color w:val="auto"/>
              </w:rPr>
              <w:t>/</w:t>
            </w:r>
          </w:p>
        </w:tc>
        <w:tc>
          <w:tcPr>
            <w:tcW w:w="338" w:type="pct"/>
            <w:vAlign w:val="center"/>
          </w:tcPr>
          <w:p w14:paraId="46060F5D">
            <w:pPr>
              <w:pStyle w:val="33"/>
              <w:rPr>
                <w:color w:val="auto"/>
              </w:rPr>
            </w:pPr>
            <w:r>
              <w:rPr>
                <w:color w:val="auto"/>
              </w:rPr>
              <w:t>/</w:t>
            </w:r>
          </w:p>
        </w:tc>
      </w:tr>
      <w:tr w14:paraId="48AF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1E99F0B">
            <w:pPr>
              <w:pStyle w:val="33"/>
              <w:rPr>
                <w:color w:val="auto"/>
              </w:rPr>
            </w:pPr>
            <w:r>
              <w:rPr>
                <w:rFonts w:eastAsia="等线"/>
                <w:color w:val="auto"/>
              </w:rPr>
              <w:t>16</w:t>
            </w:r>
          </w:p>
        </w:tc>
        <w:tc>
          <w:tcPr>
            <w:tcW w:w="591" w:type="pct"/>
            <w:vAlign w:val="center"/>
          </w:tcPr>
          <w:p w14:paraId="4A871CC5">
            <w:pPr>
              <w:pStyle w:val="33"/>
              <w:rPr>
                <w:color w:val="auto"/>
              </w:rPr>
            </w:pPr>
            <w:r>
              <w:rPr>
                <w:color w:val="auto"/>
              </w:rPr>
              <w:t>96</w:t>
            </w:r>
          </w:p>
        </w:tc>
        <w:tc>
          <w:tcPr>
            <w:tcW w:w="333" w:type="pct"/>
            <w:vAlign w:val="center"/>
          </w:tcPr>
          <w:p w14:paraId="3C679F1D">
            <w:pPr>
              <w:pStyle w:val="33"/>
              <w:rPr>
                <w:color w:val="auto"/>
              </w:rPr>
            </w:pPr>
            <w:r>
              <w:rPr>
                <w:color w:val="auto"/>
              </w:rPr>
              <w:t xml:space="preserve">20 </w:t>
            </w:r>
          </w:p>
        </w:tc>
        <w:tc>
          <w:tcPr>
            <w:tcW w:w="333" w:type="pct"/>
            <w:vAlign w:val="center"/>
          </w:tcPr>
          <w:p w14:paraId="6E4FE470">
            <w:pPr>
              <w:pStyle w:val="33"/>
              <w:rPr>
                <w:color w:val="auto"/>
              </w:rPr>
            </w:pPr>
            <w:r>
              <w:rPr>
                <w:color w:val="auto"/>
              </w:rPr>
              <w:t xml:space="preserve">0.6 </w:t>
            </w:r>
          </w:p>
        </w:tc>
        <w:tc>
          <w:tcPr>
            <w:tcW w:w="376" w:type="pct"/>
            <w:vAlign w:val="center"/>
          </w:tcPr>
          <w:p w14:paraId="09FB92C7">
            <w:pPr>
              <w:pStyle w:val="33"/>
              <w:rPr>
                <w:color w:val="auto"/>
              </w:rPr>
            </w:pPr>
            <w:r>
              <w:rPr>
                <w:color w:val="auto"/>
              </w:rPr>
              <w:t xml:space="preserve">16388 </w:t>
            </w:r>
          </w:p>
        </w:tc>
        <w:tc>
          <w:tcPr>
            <w:tcW w:w="359" w:type="pct"/>
            <w:vAlign w:val="center"/>
          </w:tcPr>
          <w:p w14:paraId="133A99F6">
            <w:pPr>
              <w:pStyle w:val="33"/>
              <w:rPr>
                <w:color w:val="auto"/>
              </w:rPr>
            </w:pPr>
            <w:r>
              <w:rPr>
                <w:color w:val="auto"/>
              </w:rPr>
              <w:t>/</w:t>
            </w:r>
          </w:p>
        </w:tc>
        <w:tc>
          <w:tcPr>
            <w:tcW w:w="359" w:type="pct"/>
            <w:vAlign w:val="center"/>
          </w:tcPr>
          <w:p w14:paraId="4A3138A6">
            <w:pPr>
              <w:pStyle w:val="33"/>
              <w:rPr>
                <w:color w:val="auto"/>
              </w:rPr>
            </w:pPr>
            <w:r>
              <w:rPr>
                <w:color w:val="auto"/>
              </w:rPr>
              <w:t>/</w:t>
            </w:r>
          </w:p>
        </w:tc>
        <w:tc>
          <w:tcPr>
            <w:tcW w:w="330" w:type="pct"/>
            <w:vAlign w:val="center"/>
          </w:tcPr>
          <w:p w14:paraId="5D5720AE">
            <w:pPr>
              <w:pStyle w:val="33"/>
              <w:rPr>
                <w:color w:val="auto"/>
              </w:rPr>
            </w:pPr>
            <w:r>
              <w:rPr>
                <w:color w:val="auto"/>
              </w:rPr>
              <w:t>/</w:t>
            </w:r>
          </w:p>
        </w:tc>
        <w:tc>
          <w:tcPr>
            <w:tcW w:w="333" w:type="pct"/>
            <w:vAlign w:val="center"/>
          </w:tcPr>
          <w:p w14:paraId="728D8E05">
            <w:pPr>
              <w:pStyle w:val="33"/>
              <w:rPr>
                <w:color w:val="auto"/>
              </w:rPr>
            </w:pPr>
            <w:r>
              <w:rPr>
                <w:color w:val="auto"/>
              </w:rPr>
              <w:t>/</w:t>
            </w:r>
          </w:p>
        </w:tc>
        <w:tc>
          <w:tcPr>
            <w:tcW w:w="333" w:type="pct"/>
            <w:vAlign w:val="center"/>
          </w:tcPr>
          <w:p w14:paraId="3B8E5BB7">
            <w:pPr>
              <w:pStyle w:val="33"/>
              <w:rPr>
                <w:color w:val="auto"/>
              </w:rPr>
            </w:pPr>
            <w:r>
              <w:rPr>
                <w:color w:val="auto"/>
              </w:rPr>
              <w:t>/</w:t>
            </w:r>
          </w:p>
        </w:tc>
        <w:tc>
          <w:tcPr>
            <w:tcW w:w="333" w:type="pct"/>
            <w:vAlign w:val="center"/>
          </w:tcPr>
          <w:p w14:paraId="5F6145BC">
            <w:pPr>
              <w:pStyle w:val="33"/>
              <w:rPr>
                <w:color w:val="auto"/>
              </w:rPr>
            </w:pPr>
            <w:r>
              <w:rPr>
                <w:color w:val="auto"/>
              </w:rPr>
              <w:t xml:space="preserve">0.114 </w:t>
            </w:r>
          </w:p>
        </w:tc>
        <w:tc>
          <w:tcPr>
            <w:tcW w:w="397" w:type="pct"/>
            <w:vAlign w:val="center"/>
          </w:tcPr>
          <w:p w14:paraId="31BD175D">
            <w:pPr>
              <w:pStyle w:val="33"/>
              <w:rPr>
                <w:color w:val="auto"/>
              </w:rPr>
            </w:pPr>
            <w:r>
              <w:rPr>
                <w:color w:val="auto"/>
              </w:rPr>
              <w:t>/</w:t>
            </w:r>
          </w:p>
        </w:tc>
        <w:tc>
          <w:tcPr>
            <w:tcW w:w="333" w:type="pct"/>
            <w:vAlign w:val="center"/>
          </w:tcPr>
          <w:p w14:paraId="3E360B00">
            <w:pPr>
              <w:pStyle w:val="33"/>
              <w:rPr>
                <w:color w:val="auto"/>
              </w:rPr>
            </w:pPr>
            <w:r>
              <w:rPr>
                <w:color w:val="auto"/>
              </w:rPr>
              <w:t>/</w:t>
            </w:r>
          </w:p>
        </w:tc>
        <w:tc>
          <w:tcPr>
            <w:tcW w:w="338" w:type="pct"/>
            <w:vAlign w:val="center"/>
          </w:tcPr>
          <w:p w14:paraId="3A50CC07">
            <w:pPr>
              <w:pStyle w:val="33"/>
              <w:rPr>
                <w:color w:val="auto"/>
              </w:rPr>
            </w:pPr>
            <w:r>
              <w:rPr>
                <w:color w:val="auto"/>
              </w:rPr>
              <w:t>/</w:t>
            </w:r>
          </w:p>
        </w:tc>
      </w:tr>
      <w:tr w14:paraId="5F8A5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1C5CD62">
            <w:pPr>
              <w:pStyle w:val="33"/>
              <w:rPr>
                <w:color w:val="auto"/>
              </w:rPr>
            </w:pPr>
            <w:r>
              <w:rPr>
                <w:rFonts w:eastAsia="等线"/>
                <w:color w:val="auto"/>
              </w:rPr>
              <w:t>17</w:t>
            </w:r>
          </w:p>
        </w:tc>
        <w:tc>
          <w:tcPr>
            <w:tcW w:w="591" w:type="pct"/>
            <w:vAlign w:val="center"/>
          </w:tcPr>
          <w:p w14:paraId="3C64DD20">
            <w:pPr>
              <w:pStyle w:val="33"/>
              <w:rPr>
                <w:color w:val="auto"/>
              </w:rPr>
            </w:pPr>
            <w:r>
              <w:rPr>
                <w:color w:val="auto"/>
              </w:rPr>
              <w:t>97</w:t>
            </w:r>
          </w:p>
        </w:tc>
        <w:tc>
          <w:tcPr>
            <w:tcW w:w="333" w:type="pct"/>
            <w:vAlign w:val="center"/>
          </w:tcPr>
          <w:p w14:paraId="0483FB21">
            <w:pPr>
              <w:pStyle w:val="33"/>
              <w:rPr>
                <w:color w:val="auto"/>
              </w:rPr>
            </w:pPr>
            <w:r>
              <w:rPr>
                <w:color w:val="auto"/>
              </w:rPr>
              <w:t xml:space="preserve">20 </w:t>
            </w:r>
          </w:p>
        </w:tc>
        <w:tc>
          <w:tcPr>
            <w:tcW w:w="333" w:type="pct"/>
            <w:vAlign w:val="center"/>
          </w:tcPr>
          <w:p w14:paraId="5645E70C">
            <w:pPr>
              <w:pStyle w:val="33"/>
              <w:rPr>
                <w:color w:val="auto"/>
              </w:rPr>
            </w:pPr>
            <w:r>
              <w:rPr>
                <w:color w:val="auto"/>
              </w:rPr>
              <w:t xml:space="preserve">0.6 </w:t>
            </w:r>
          </w:p>
        </w:tc>
        <w:tc>
          <w:tcPr>
            <w:tcW w:w="376" w:type="pct"/>
            <w:vAlign w:val="center"/>
          </w:tcPr>
          <w:p w14:paraId="52BD8AD4">
            <w:pPr>
              <w:pStyle w:val="33"/>
              <w:rPr>
                <w:color w:val="auto"/>
              </w:rPr>
            </w:pPr>
            <w:r>
              <w:rPr>
                <w:color w:val="auto"/>
              </w:rPr>
              <w:t xml:space="preserve">16388 </w:t>
            </w:r>
          </w:p>
        </w:tc>
        <w:tc>
          <w:tcPr>
            <w:tcW w:w="359" w:type="pct"/>
            <w:vAlign w:val="center"/>
          </w:tcPr>
          <w:p w14:paraId="4C83CE31">
            <w:pPr>
              <w:pStyle w:val="33"/>
              <w:rPr>
                <w:color w:val="auto"/>
              </w:rPr>
            </w:pPr>
            <w:r>
              <w:rPr>
                <w:color w:val="auto"/>
              </w:rPr>
              <w:t>/</w:t>
            </w:r>
          </w:p>
        </w:tc>
        <w:tc>
          <w:tcPr>
            <w:tcW w:w="359" w:type="pct"/>
            <w:vAlign w:val="center"/>
          </w:tcPr>
          <w:p w14:paraId="778A0C35">
            <w:pPr>
              <w:pStyle w:val="33"/>
              <w:rPr>
                <w:color w:val="auto"/>
              </w:rPr>
            </w:pPr>
            <w:r>
              <w:rPr>
                <w:color w:val="auto"/>
              </w:rPr>
              <w:t>/</w:t>
            </w:r>
          </w:p>
        </w:tc>
        <w:tc>
          <w:tcPr>
            <w:tcW w:w="330" w:type="pct"/>
            <w:vAlign w:val="center"/>
          </w:tcPr>
          <w:p w14:paraId="0603485D">
            <w:pPr>
              <w:pStyle w:val="33"/>
              <w:rPr>
                <w:color w:val="auto"/>
              </w:rPr>
            </w:pPr>
            <w:r>
              <w:rPr>
                <w:color w:val="auto"/>
              </w:rPr>
              <w:t>/</w:t>
            </w:r>
          </w:p>
        </w:tc>
        <w:tc>
          <w:tcPr>
            <w:tcW w:w="333" w:type="pct"/>
            <w:vAlign w:val="center"/>
          </w:tcPr>
          <w:p w14:paraId="46FBDC0B">
            <w:pPr>
              <w:pStyle w:val="33"/>
              <w:rPr>
                <w:color w:val="auto"/>
              </w:rPr>
            </w:pPr>
            <w:r>
              <w:rPr>
                <w:color w:val="auto"/>
              </w:rPr>
              <w:t>/</w:t>
            </w:r>
          </w:p>
        </w:tc>
        <w:tc>
          <w:tcPr>
            <w:tcW w:w="333" w:type="pct"/>
            <w:vAlign w:val="center"/>
          </w:tcPr>
          <w:p w14:paraId="47357E0B">
            <w:pPr>
              <w:pStyle w:val="33"/>
              <w:rPr>
                <w:color w:val="auto"/>
              </w:rPr>
            </w:pPr>
            <w:r>
              <w:rPr>
                <w:color w:val="auto"/>
              </w:rPr>
              <w:t>/</w:t>
            </w:r>
          </w:p>
        </w:tc>
        <w:tc>
          <w:tcPr>
            <w:tcW w:w="333" w:type="pct"/>
            <w:vAlign w:val="center"/>
          </w:tcPr>
          <w:p w14:paraId="6A3142FC">
            <w:pPr>
              <w:pStyle w:val="33"/>
              <w:rPr>
                <w:color w:val="auto"/>
              </w:rPr>
            </w:pPr>
            <w:r>
              <w:rPr>
                <w:color w:val="auto"/>
              </w:rPr>
              <w:t xml:space="preserve">0.114 </w:t>
            </w:r>
          </w:p>
        </w:tc>
        <w:tc>
          <w:tcPr>
            <w:tcW w:w="397" w:type="pct"/>
            <w:vAlign w:val="center"/>
          </w:tcPr>
          <w:p w14:paraId="7EE3B953">
            <w:pPr>
              <w:pStyle w:val="33"/>
              <w:rPr>
                <w:color w:val="auto"/>
              </w:rPr>
            </w:pPr>
            <w:r>
              <w:rPr>
                <w:color w:val="auto"/>
              </w:rPr>
              <w:t>/</w:t>
            </w:r>
          </w:p>
        </w:tc>
        <w:tc>
          <w:tcPr>
            <w:tcW w:w="333" w:type="pct"/>
            <w:vAlign w:val="center"/>
          </w:tcPr>
          <w:p w14:paraId="0149A80E">
            <w:pPr>
              <w:pStyle w:val="33"/>
              <w:rPr>
                <w:color w:val="auto"/>
              </w:rPr>
            </w:pPr>
            <w:r>
              <w:rPr>
                <w:color w:val="auto"/>
              </w:rPr>
              <w:t>/</w:t>
            </w:r>
          </w:p>
        </w:tc>
        <w:tc>
          <w:tcPr>
            <w:tcW w:w="338" w:type="pct"/>
            <w:vAlign w:val="center"/>
          </w:tcPr>
          <w:p w14:paraId="01C0E127">
            <w:pPr>
              <w:pStyle w:val="33"/>
              <w:rPr>
                <w:color w:val="auto"/>
              </w:rPr>
            </w:pPr>
            <w:r>
              <w:rPr>
                <w:color w:val="auto"/>
              </w:rPr>
              <w:t>/</w:t>
            </w:r>
          </w:p>
        </w:tc>
      </w:tr>
      <w:tr w14:paraId="3FED2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8CF4B11">
            <w:pPr>
              <w:pStyle w:val="33"/>
              <w:rPr>
                <w:color w:val="auto"/>
              </w:rPr>
            </w:pPr>
            <w:r>
              <w:rPr>
                <w:rFonts w:eastAsia="等线"/>
                <w:color w:val="auto"/>
              </w:rPr>
              <w:t>18</w:t>
            </w:r>
          </w:p>
        </w:tc>
        <w:tc>
          <w:tcPr>
            <w:tcW w:w="591" w:type="pct"/>
            <w:vAlign w:val="center"/>
          </w:tcPr>
          <w:p w14:paraId="237FA9AA">
            <w:pPr>
              <w:pStyle w:val="33"/>
              <w:rPr>
                <w:color w:val="auto"/>
              </w:rPr>
            </w:pPr>
            <w:r>
              <w:rPr>
                <w:color w:val="auto"/>
              </w:rPr>
              <w:t>98</w:t>
            </w:r>
          </w:p>
        </w:tc>
        <w:tc>
          <w:tcPr>
            <w:tcW w:w="333" w:type="pct"/>
            <w:vAlign w:val="center"/>
          </w:tcPr>
          <w:p w14:paraId="739C941B">
            <w:pPr>
              <w:pStyle w:val="33"/>
              <w:rPr>
                <w:color w:val="auto"/>
              </w:rPr>
            </w:pPr>
            <w:r>
              <w:rPr>
                <w:color w:val="auto"/>
              </w:rPr>
              <w:t xml:space="preserve">20 </w:t>
            </w:r>
          </w:p>
        </w:tc>
        <w:tc>
          <w:tcPr>
            <w:tcW w:w="333" w:type="pct"/>
            <w:vAlign w:val="center"/>
          </w:tcPr>
          <w:p w14:paraId="58EAB63C">
            <w:pPr>
              <w:pStyle w:val="33"/>
              <w:rPr>
                <w:color w:val="auto"/>
              </w:rPr>
            </w:pPr>
            <w:r>
              <w:rPr>
                <w:color w:val="auto"/>
              </w:rPr>
              <w:t xml:space="preserve">0.6 </w:t>
            </w:r>
          </w:p>
        </w:tc>
        <w:tc>
          <w:tcPr>
            <w:tcW w:w="376" w:type="pct"/>
            <w:vAlign w:val="center"/>
          </w:tcPr>
          <w:p w14:paraId="3F5E0153">
            <w:pPr>
              <w:pStyle w:val="33"/>
              <w:rPr>
                <w:color w:val="auto"/>
              </w:rPr>
            </w:pPr>
            <w:r>
              <w:rPr>
                <w:color w:val="auto"/>
              </w:rPr>
              <w:t xml:space="preserve">16388 </w:t>
            </w:r>
          </w:p>
        </w:tc>
        <w:tc>
          <w:tcPr>
            <w:tcW w:w="359" w:type="pct"/>
            <w:vAlign w:val="center"/>
          </w:tcPr>
          <w:p w14:paraId="1465ABB7">
            <w:pPr>
              <w:pStyle w:val="33"/>
              <w:rPr>
                <w:color w:val="auto"/>
              </w:rPr>
            </w:pPr>
            <w:r>
              <w:rPr>
                <w:color w:val="auto"/>
              </w:rPr>
              <w:t>/</w:t>
            </w:r>
          </w:p>
        </w:tc>
        <w:tc>
          <w:tcPr>
            <w:tcW w:w="359" w:type="pct"/>
            <w:vAlign w:val="center"/>
          </w:tcPr>
          <w:p w14:paraId="1B7947CD">
            <w:pPr>
              <w:pStyle w:val="33"/>
              <w:rPr>
                <w:color w:val="auto"/>
              </w:rPr>
            </w:pPr>
            <w:r>
              <w:rPr>
                <w:color w:val="auto"/>
              </w:rPr>
              <w:t>/</w:t>
            </w:r>
          </w:p>
        </w:tc>
        <w:tc>
          <w:tcPr>
            <w:tcW w:w="330" w:type="pct"/>
            <w:vAlign w:val="center"/>
          </w:tcPr>
          <w:p w14:paraId="16C43F6B">
            <w:pPr>
              <w:pStyle w:val="33"/>
              <w:rPr>
                <w:color w:val="auto"/>
              </w:rPr>
            </w:pPr>
            <w:r>
              <w:rPr>
                <w:color w:val="auto"/>
              </w:rPr>
              <w:t>/</w:t>
            </w:r>
          </w:p>
        </w:tc>
        <w:tc>
          <w:tcPr>
            <w:tcW w:w="333" w:type="pct"/>
            <w:vAlign w:val="center"/>
          </w:tcPr>
          <w:p w14:paraId="01C1AB57">
            <w:pPr>
              <w:pStyle w:val="33"/>
              <w:rPr>
                <w:color w:val="auto"/>
              </w:rPr>
            </w:pPr>
            <w:r>
              <w:rPr>
                <w:color w:val="auto"/>
              </w:rPr>
              <w:t>/</w:t>
            </w:r>
          </w:p>
        </w:tc>
        <w:tc>
          <w:tcPr>
            <w:tcW w:w="333" w:type="pct"/>
            <w:vAlign w:val="center"/>
          </w:tcPr>
          <w:p w14:paraId="7DD6D64F">
            <w:pPr>
              <w:pStyle w:val="33"/>
              <w:rPr>
                <w:color w:val="auto"/>
              </w:rPr>
            </w:pPr>
            <w:r>
              <w:rPr>
                <w:color w:val="auto"/>
              </w:rPr>
              <w:t>/</w:t>
            </w:r>
          </w:p>
        </w:tc>
        <w:tc>
          <w:tcPr>
            <w:tcW w:w="333" w:type="pct"/>
            <w:vAlign w:val="center"/>
          </w:tcPr>
          <w:p w14:paraId="35E88D43">
            <w:pPr>
              <w:pStyle w:val="33"/>
              <w:rPr>
                <w:color w:val="auto"/>
              </w:rPr>
            </w:pPr>
            <w:r>
              <w:rPr>
                <w:color w:val="auto"/>
              </w:rPr>
              <w:t xml:space="preserve">0.114 </w:t>
            </w:r>
          </w:p>
        </w:tc>
        <w:tc>
          <w:tcPr>
            <w:tcW w:w="397" w:type="pct"/>
            <w:vAlign w:val="center"/>
          </w:tcPr>
          <w:p w14:paraId="358017C9">
            <w:pPr>
              <w:pStyle w:val="33"/>
              <w:rPr>
                <w:color w:val="auto"/>
              </w:rPr>
            </w:pPr>
            <w:r>
              <w:rPr>
                <w:color w:val="auto"/>
              </w:rPr>
              <w:t>/</w:t>
            </w:r>
          </w:p>
        </w:tc>
        <w:tc>
          <w:tcPr>
            <w:tcW w:w="333" w:type="pct"/>
            <w:vAlign w:val="center"/>
          </w:tcPr>
          <w:p w14:paraId="0E1D48B3">
            <w:pPr>
              <w:pStyle w:val="33"/>
              <w:rPr>
                <w:color w:val="auto"/>
              </w:rPr>
            </w:pPr>
            <w:r>
              <w:rPr>
                <w:color w:val="auto"/>
              </w:rPr>
              <w:t>/</w:t>
            </w:r>
          </w:p>
        </w:tc>
        <w:tc>
          <w:tcPr>
            <w:tcW w:w="338" w:type="pct"/>
            <w:vAlign w:val="center"/>
          </w:tcPr>
          <w:p w14:paraId="147AA3DE">
            <w:pPr>
              <w:pStyle w:val="33"/>
              <w:rPr>
                <w:color w:val="auto"/>
              </w:rPr>
            </w:pPr>
            <w:r>
              <w:rPr>
                <w:color w:val="auto"/>
              </w:rPr>
              <w:t>/</w:t>
            </w:r>
          </w:p>
        </w:tc>
      </w:tr>
      <w:tr w14:paraId="43433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92D10B0">
            <w:pPr>
              <w:pStyle w:val="33"/>
              <w:rPr>
                <w:color w:val="auto"/>
              </w:rPr>
            </w:pPr>
            <w:r>
              <w:rPr>
                <w:rFonts w:eastAsia="等线"/>
                <w:color w:val="auto"/>
              </w:rPr>
              <w:t>19</w:t>
            </w:r>
          </w:p>
        </w:tc>
        <w:tc>
          <w:tcPr>
            <w:tcW w:w="591" w:type="pct"/>
            <w:vAlign w:val="center"/>
          </w:tcPr>
          <w:p w14:paraId="20E5EF54">
            <w:pPr>
              <w:pStyle w:val="33"/>
              <w:rPr>
                <w:color w:val="auto"/>
              </w:rPr>
            </w:pPr>
            <w:r>
              <w:rPr>
                <w:color w:val="auto"/>
              </w:rPr>
              <w:t>99</w:t>
            </w:r>
          </w:p>
        </w:tc>
        <w:tc>
          <w:tcPr>
            <w:tcW w:w="333" w:type="pct"/>
            <w:vAlign w:val="center"/>
          </w:tcPr>
          <w:p w14:paraId="301B369E">
            <w:pPr>
              <w:pStyle w:val="33"/>
              <w:rPr>
                <w:color w:val="auto"/>
              </w:rPr>
            </w:pPr>
            <w:r>
              <w:rPr>
                <w:color w:val="auto"/>
              </w:rPr>
              <w:t xml:space="preserve">20 </w:t>
            </w:r>
          </w:p>
        </w:tc>
        <w:tc>
          <w:tcPr>
            <w:tcW w:w="333" w:type="pct"/>
            <w:vAlign w:val="center"/>
          </w:tcPr>
          <w:p w14:paraId="1F0B21B8">
            <w:pPr>
              <w:pStyle w:val="33"/>
              <w:rPr>
                <w:color w:val="auto"/>
              </w:rPr>
            </w:pPr>
            <w:r>
              <w:rPr>
                <w:color w:val="auto"/>
              </w:rPr>
              <w:t xml:space="preserve">0.6 </w:t>
            </w:r>
          </w:p>
        </w:tc>
        <w:tc>
          <w:tcPr>
            <w:tcW w:w="376" w:type="pct"/>
            <w:vAlign w:val="center"/>
          </w:tcPr>
          <w:p w14:paraId="09194CEA">
            <w:pPr>
              <w:pStyle w:val="33"/>
              <w:rPr>
                <w:color w:val="auto"/>
              </w:rPr>
            </w:pPr>
            <w:r>
              <w:rPr>
                <w:color w:val="auto"/>
              </w:rPr>
              <w:t xml:space="preserve">16388 </w:t>
            </w:r>
          </w:p>
        </w:tc>
        <w:tc>
          <w:tcPr>
            <w:tcW w:w="359" w:type="pct"/>
            <w:vAlign w:val="center"/>
          </w:tcPr>
          <w:p w14:paraId="2AA861E9">
            <w:pPr>
              <w:pStyle w:val="33"/>
              <w:rPr>
                <w:color w:val="auto"/>
              </w:rPr>
            </w:pPr>
            <w:r>
              <w:rPr>
                <w:color w:val="auto"/>
              </w:rPr>
              <w:t>/</w:t>
            </w:r>
          </w:p>
        </w:tc>
        <w:tc>
          <w:tcPr>
            <w:tcW w:w="359" w:type="pct"/>
            <w:vAlign w:val="center"/>
          </w:tcPr>
          <w:p w14:paraId="18C0E444">
            <w:pPr>
              <w:pStyle w:val="33"/>
              <w:rPr>
                <w:color w:val="auto"/>
              </w:rPr>
            </w:pPr>
            <w:r>
              <w:rPr>
                <w:color w:val="auto"/>
              </w:rPr>
              <w:t>/</w:t>
            </w:r>
          </w:p>
        </w:tc>
        <w:tc>
          <w:tcPr>
            <w:tcW w:w="330" w:type="pct"/>
            <w:vAlign w:val="center"/>
          </w:tcPr>
          <w:p w14:paraId="3B01B628">
            <w:pPr>
              <w:pStyle w:val="33"/>
              <w:rPr>
                <w:color w:val="auto"/>
              </w:rPr>
            </w:pPr>
            <w:r>
              <w:rPr>
                <w:color w:val="auto"/>
              </w:rPr>
              <w:t>/</w:t>
            </w:r>
          </w:p>
        </w:tc>
        <w:tc>
          <w:tcPr>
            <w:tcW w:w="333" w:type="pct"/>
            <w:vAlign w:val="center"/>
          </w:tcPr>
          <w:p w14:paraId="4BB5F1E0">
            <w:pPr>
              <w:pStyle w:val="33"/>
              <w:rPr>
                <w:color w:val="auto"/>
              </w:rPr>
            </w:pPr>
            <w:r>
              <w:rPr>
                <w:color w:val="auto"/>
              </w:rPr>
              <w:t>/</w:t>
            </w:r>
          </w:p>
        </w:tc>
        <w:tc>
          <w:tcPr>
            <w:tcW w:w="333" w:type="pct"/>
            <w:vAlign w:val="center"/>
          </w:tcPr>
          <w:p w14:paraId="1E0CF3F2">
            <w:pPr>
              <w:pStyle w:val="33"/>
              <w:rPr>
                <w:color w:val="auto"/>
              </w:rPr>
            </w:pPr>
            <w:r>
              <w:rPr>
                <w:color w:val="auto"/>
              </w:rPr>
              <w:t>/</w:t>
            </w:r>
          </w:p>
        </w:tc>
        <w:tc>
          <w:tcPr>
            <w:tcW w:w="333" w:type="pct"/>
            <w:vAlign w:val="center"/>
          </w:tcPr>
          <w:p w14:paraId="71F74F05">
            <w:pPr>
              <w:pStyle w:val="33"/>
              <w:rPr>
                <w:color w:val="auto"/>
              </w:rPr>
            </w:pPr>
            <w:r>
              <w:rPr>
                <w:color w:val="auto"/>
              </w:rPr>
              <w:t xml:space="preserve">0.114 </w:t>
            </w:r>
          </w:p>
        </w:tc>
        <w:tc>
          <w:tcPr>
            <w:tcW w:w="397" w:type="pct"/>
            <w:vAlign w:val="center"/>
          </w:tcPr>
          <w:p w14:paraId="379F774A">
            <w:pPr>
              <w:pStyle w:val="33"/>
              <w:rPr>
                <w:color w:val="auto"/>
              </w:rPr>
            </w:pPr>
            <w:r>
              <w:rPr>
                <w:color w:val="auto"/>
              </w:rPr>
              <w:t>/</w:t>
            </w:r>
          </w:p>
        </w:tc>
        <w:tc>
          <w:tcPr>
            <w:tcW w:w="333" w:type="pct"/>
            <w:vAlign w:val="center"/>
          </w:tcPr>
          <w:p w14:paraId="7BB0311D">
            <w:pPr>
              <w:pStyle w:val="33"/>
              <w:rPr>
                <w:color w:val="auto"/>
              </w:rPr>
            </w:pPr>
            <w:r>
              <w:rPr>
                <w:color w:val="auto"/>
              </w:rPr>
              <w:t>/</w:t>
            </w:r>
          </w:p>
        </w:tc>
        <w:tc>
          <w:tcPr>
            <w:tcW w:w="338" w:type="pct"/>
            <w:vAlign w:val="center"/>
          </w:tcPr>
          <w:p w14:paraId="31592092">
            <w:pPr>
              <w:pStyle w:val="33"/>
              <w:rPr>
                <w:color w:val="auto"/>
              </w:rPr>
            </w:pPr>
            <w:r>
              <w:rPr>
                <w:color w:val="auto"/>
              </w:rPr>
              <w:t>/</w:t>
            </w:r>
          </w:p>
        </w:tc>
      </w:tr>
      <w:tr w14:paraId="67922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5BDEC8F">
            <w:pPr>
              <w:pStyle w:val="33"/>
              <w:rPr>
                <w:color w:val="auto"/>
              </w:rPr>
            </w:pPr>
            <w:r>
              <w:rPr>
                <w:rFonts w:eastAsia="等线"/>
                <w:color w:val="auto"/>
              </w:rPr>
              <w:t>20</w:t>
            </w:r>
          </w:p>
        </w:tc>
        <w:tc>
          <w:tcPr>
            <w:tcW w:w="591" w:type="pct"/>
            <w:vAlign w:val="center"/>
          </w:tcPr>
          <w:p w14:paraId="6228D615">
            <w:pPr>
              <w:pStyle w:val="33"/>
              <w:rPr>
                <w:color w:val="auto"/>
              </w:rPr>
            </w:pPr>
            <w:r>
              <w:rPr>
                <w:color w:val="auto"/>
              </w:rPr>
              <w:t>100</w:t>
            </w:r>
          </w:p>
        </w:tc>
        <w:tc>
          <w:tcPr>
            <w:tcW w:w="333" w:type="pct"/>
            <w:vAlign w:val="center"/>
          </w:tcPr>
          <w:p w14:paraId="53A9BCF1">
            <w:pPr>
              <w:pStyle w:val="33"/>
              <w:rPr>
                <w:color w:val="auto"/>
              </w:rPr>
            </w:pPr>
            <w:r>
              <w:rPr>
                <w:color w:val="auto"/>
              </w:rPr>
              <w:t xml:space="preserve">20 </w:t>
            </w:r>
          </w:p>
        </w:tc>
        <w:tc>
          <w:tcPr>
            <w:tcW w:w="333" w:type="pct"/>
            <w:vAlign w:val="center"/>
          </w:tcPr>
          <w:p w14:paraId="31C2572C">
            <w:pPr>
              <w:pStyle w:val="33"/>
              <w:rPr>
                <w:color w:val="auto"/>
              </w:rPr>
            </w:pPr>
            <w:r>
              <w:rPr>
                <w:color w:val="auto"/>
              </w:rPr>
              <w:t xml:space="preserve">0.7 </w:t>
            </w:r>
          </w:p>
        </w:tc>
        <w:tc>
          <w:tcPr>
            <w:tcW w:w="376" w:type="pct"/>
            <w:vAlign w:val="center"/>
          </w:tcPr>
          <w:p w14:paraId="079702DD">
            <w:pPr>
              <w:pStyle w:val="33"/>
              <w:rPr>
                <w:color w:val="auto"/>
              </w:rPr>
            </w:pPr>
            <w:r>
              <w:rPr>
                <w:color w:val="auto"/>
              </w:rPr>
              <w:t xml:space="preserve">16625 </w:t>
            </w:r>
          </w:p>
        </w:tc>
        <w:tc>
          <w:tcPr>
            <w:tcW w:w="359" w:type="pct"/>
            <w:vAlign w:val="center"/>
          </w:tcPr>
          <w:p w14:paraId="47557D86">
            <w:pPr>
              <w:pStyle w:val="33"/>
              <w:rPr>
                <w:color w:val="auto"/>
              </w:rPr>
            </w:pPr>
            <w:r>
              <w:rPr>
                <w:color w:val="auto"/>
              </w:rPr>
              <w:t>/</w:t>
            </w:r>
          </w:p>
        </w:tc>
        <w:tc>
          <w:tcPr>
            <w:tcW w:w="359" w:type="pct"/>
            <w:vAlign w:val="center"/>
          </w:tcPr>
          <w:p w14:paraId="35BD6216">
            <w:pPr>
              <w:pStyle w:val="33"/>
              <w:rPr>
                <w:color w:val="auto"/>
              </w:rPr>
            </w:pPr>
            <w:r>
              <w:rPr>
                <w:color w:val="auto"/>
              </w:rPr>
              <w:t>/</w:t>
            </w:r>
          </w:p>
        </w:tc>
        <w:tc>
          <w:tcPr>
            <w:tcW w:w="330" w:type="pct"/>
            <w:vAlign w:val="center"/>
          </w:tcPr>
          <w:p w14:paraId="3D68A8C1">
            <w:pPr>
              <w:pStyle w:val="33"/>
              <w:rPr>
                <w:color w:val="auto"/>
              </w:rPr>
            </w:pPr>
            <w:r>
              <w:rPr>
                <w:color w:val="auto"/>
              </w:rPr>
              <w:t xml:space="preserve">0.269 </w:t>
            </w:r>
          </w:p>
        </w:tc>
        <w:tc>
          <w:tcPr>
            <w:tcW w:w="333" w:type="pct"/>
            <w:vAlign w:val="center"/>
          </w:tcPr>
          <w:p w14:paraId="731EC7E1">
            <w:pPr>
              <w:pStyle w:val="33"/>
              <w:rPr>
                <w:color w:val="auto"/>
              </w:rPr>
            </w:pPr>
            <w:r>
              <w:rPr>
                <w:color w:val="auto"/>
              </w:rPr>
              <w:t xml:space="preserve">0.1345 </w:t>
            </w:r>
          </w:p>
        </w:tc>
        <w:tc>
          <w:tcPr>
            <w:tcW w:w="333" w:type="pct"/>
            <w:vAlign w:val="center"/>
          </w:tcPr>
          <w:p w14:paraId="7EE705C9">
            <w:pPr>
              <w:pStyle w:val="33"/>
              <w:rPr>
                <w:color w:val="auto"/>
              </w:rPr>
            </w:pPr>
            <w:r>
              <w:rPr>
                <w:color w:val="auto"/>
              </w:rPr>
              <w:t>/</w:t>
            </w:r>
          </w:p>
        </w:tc>
        <w:tc>
          <w:tcPr>
            <w:tcW w:w="333" w:type="pct"/>
            <w:vAlign w:val="center"/>
          </w:tcPr>
          <w:p w14:paraId="7FD5E461">
            <w:pPr>
              <w:pStyle w:val="33"/>
              <w:rPr>
                <w:color w:val="auto"/>
              </w:rPr>
            </w:pPr>
            <w:r>
              <w:rPr>
                <w:color w:val="auto"/>
              </w:rPr>
              <w:t>/</w:t>
            </w:r>
          </w:p>
        </w:tc>
        <w:tc>
          <w:tcPr>
            <w:tcW w:w="397" w:type="pct"/>
            <w:vAlign w:val="center"/>
          </w:tcPr>
          <w:p w14:paraId="4BA760E3">
            <w:pPr>
              <w:pStyle w:val="33"/>
              <w:rPr>
                <w:color w:val="auto"/>
              </w:rPr>
            </w:pPr>
            <w:r>
              <w:rPr>
                <w:color w:val="auto"/>
              </w:rPr>
              <w:t>/</w:t>
            </w:r>
          </w:p>
        </w:tc>
        <w:tc>
          <w:tcPr>
            <w:tcW w:w="333" w:type="pct"/>
            <w:vAlign w:val="center"/>
          </w:tcPr>
          <w:p w14:paraId="6F3CC3D9">
            <w:pPr>
              <w:pStyle w:val="33"/>
              <w:rPr>
                <w:color w:val="auto"/>
              </w:rPr>
            </w:pPr>
            <w:r>
              <w:rPr>
                <w:color w:val="auto"/>
              </w:rPr>
              <w:t>/</w:t>
            </w:r>
          </w:p>
        </w:tc>
        <w:tc>
          <w:tcPr>
            <w:tcW w:w="338" w:type="pct"/>
            <w:vAlign w:val="center"/>
          </w:tcPr>
          <w:p w14:paraId="09323E71">
            <w:pPr>
              <w:pStyle w:val="33"/>
              <w:rPr>
                <w:color w:val="auto"/>
              </w:rPr>
            </w:pPr>
            <w:r>
              <w:rPr>
                <w:color w:val="auto"/>
              </w:rPr>
              <w:t>/</w:t>
            </w:r>
          </w:p>
        </w:tc>
      </w:tr>
      <w:tr w14:paraId="7C19A9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D631220">
            <w:pPr>
              <w:pStyle w:val="33"/>
              <w:rPr>
                <w:color w:val="auto"/>
              </w:rPr>
            </w:pPr>
            <w:r>
              <w:rPr>
                <w:rFonts w:eastAsia="等线"/>
                <w:color w:val="auto"/>
              </w:rPr>
              <w:t>21</w:t>
            </w:r>
          </w:p>
        </w:tc>
        <w:tc>
          <w:tcPr>
            <w:tcW w:w="591" w:type="pct"/>
            <w:vAlign w:val="center"/>
          </w:tcPr>
          <w:p w14:paraId="0CBB4FB0">
            <w:pPr>
              <w:pStyle w:val="33"/>
              <w:rPr>
                <w:color w:val="auto"/>
              </w:rPr>
            </w:pPr>
            <w:r>
              <w:rPr>
                <w:color w:val="auto"/>
              </w:rPr>
              <w:t>101</w:t>
            </w:r>
          </w:p>
        </w:tc>
        <w:tc>
          <w:tcPr>
            <w:tcW w:w="333" w:type="pct"/>
            <w:vAlign w:val="center"/>
          </w:tcPr>
          <w:p w14:paraId="08ECC25F">
            <w:pPr>
              <w:pStyle w:val="33"/>
              <w:rPr>
                <w:color w:val="auto"/>
              </w:rPr>
            </w:pPr>
            <w:r>
              <w:rPr>
                <w:color w:val="auto"/>
              </w:rPr>
              <w:t xml:space="preserve">20 </w:t>
            </w:r>
          </w:p>
        </w:tc>
        <w:tc>
          <w:tcPr>
            <w:tcW w:w="333" w:type="pct"/>
            <w:vAlign w:val="center"/>
          </w:tcPr>
          <w:p w14:paraId="7DE96929">
            <w:pPr>
              <w:pStyle w:val="33"/>
              <w:rPr>
                <w:color w:val="auto"/>
              </w:rPr>
            </w:pPr>
            <w:r>
              <w:rPr>
                <w:color w:val="auto"/>
              </w:rPr>
              <w:t xml:space="preserve">0.7 </w:t>
            </w:r>
          </w:p>
        </w:tc>
        <w:tc>
          <w:tcPr>
            <w:tcW w:w="376" w:type="pct"/>
            <w:vAlign w:val="center"/>
          </w:tcPr>
          <w:p w14:paraId="7E744200">
            <w:pPr>
              <w:pStyle w:val="33"/>
              <w:rPr>
                <w:color w:val="auto"/>
              </w:rPr>
            </w:pPr>
            <w:r>
              <w:rPr>
                <w:color w:val="auto"/>
              </w:rPr>
              <w:t xml:space="preserve">16625 </w:t>
            </w:r>
          </w:p>
        </w:tc>
        <w:tc>
          <w:tcPr>
            <w:tcW w:w="359" w:type="pct"/>
            <w:vAlign w:val="center"/>
          </w:tcPr>
          <w:p w14:paraId="4D1500CC">
            <w:pPr>
              <w:pStyle w:val="33"/>
              <w:rPr>
                <w:color w:val="auto"/>
              </w:rPr>
            </w:pPr>
            <w:r>
              <w:rPr>
                <w:color w:val="auto"/>
              </w:rPr>
              <w:t>/</w:t>
            </w:r>
          </w:p>
        </w:tc>
        <w:tc>
          <w:tcPr>
            <w:tcW w:w="359" w:type="pct"/>
            <w:vAlign w:val="center"/>
          </w:tcPr>
          <w:p w14:paraId="39CC6342">
            <w:pPr>
              <w:pStyle w:val="33"/>
              <w:rPr>
                <w:color w:val="auto"/>
              </w:rPr>
            </w:pPr>
            <w:r>
              <w:rPr>
                <w:color w:val="auto"/>
              </w:rPr>
              <w:t>/</w:t>
            </w:r>
          </w:p>
        </w:tc>
        <w:tc>
          <w:tcPr>
            <w:tcW w:w="330" w:type="pct"/>
            <w:vAlign w:val="center"/>
          </w:tcPr>
          <w:p w14:paraId="7108A9F3">
            <w:pPr>
              <w:pStyle w:val="33"/>
              <w:rPr>
                <w:color w:val="auto"/>
              </w:rPr>
            </w:pPr>
            <w:r>
              <w:rPr>
                <w:color w:val="auto"/>
              </w:rPr>
              <w:t xml:space="preserve">0.269 </w:t>
            </w:r>
          </w:p>
        </w:tc>
        <w:tc>
          <w:tcPr>
            <w:tcW w:w="333" w:type="pct"/>
            <w:vAlign w:val="center"/>
          </w:tcPr>
          <w:p w14:paraId="746CBA59">
            <w:pPr>
              <w:pStyle w:val="33"/>
              <w:rPr>
                <w:color w:val="auto"/>
              </w:rPr>
            </w:pPr>
            <w:r>
              <w:rPr>
                <w:color w:val="auto"/>
              </w:rPr>
              <w:t xml:space="preserve">0.1345 </w:t>
            </w:r>
          </w:p>
        </w:tc>
        <w:tc>
          <w:tcPr>
            <w:tcW w:w="333" w:type="pct"/>
            <w:vAlign w:val="center"/>
          </w:tcPr>
          <w:p w14:paraId="0A35D7E7">
            <w:pPr>
              <w:pStyle w:val="33"/>
              <w:rPr>
                <w:color w:val="auto"/>
              </w:rPr>
            </w:pPr>
            <w:r>
              <w:rPr>
                <w:color w:val="auto"/>
              </w:rPr>
              <w:t>/</w:t>
            </w:r>
          </w:p>
        </w:tc>
        <w:tc>
          <w:tcPr>
            <w:tcW w:w="333" w:type="pct"/>
            <w:vAlign w:val="center"/>
          </w:tcPr>
          <w:p w14:paraId="4EA87E3A">
            <w:pPr>
              <w:pStyle w:val="33"/>
              <w:rPr>
                <w:color w:val="auto"/>
              </w:rPr>
            </w:pPr>
            <w:r>
              <w:rPr>
                <w:color w:val="auto"/>
              </w:rPr>
              <w:t>/</w:t>
            </w:r>
          </w:p>
        </w:tc>
        <w:tc>
          <w:tcPr>
            <w:tcW w:w="397" w:type="pct"/>
            <w:vAlign w:val="center"/>
          </w:tcPr>
          <w:p w14:paraId="30FF5196">
            <w:pPr>
              <w:pStyle w:val="33"/>
              <w:rPr>
                <w:color w:val="auto"/>
              </w:rPr>
            </w:pPr>
            <w:r>
              <w:rPr>
                <w:color w:val="auto"/>
              </w:rPr>
              <w:t>/</w:t>
            </w:r>
          </w:p>
        </w:tc>
        <w:tc>
          <w:tcPr>
            <w:tcW w:w="333" w:type="pct"/>
            <w:vAlign w:val="center"/>
          </w:tcPr>
          <w:p w14:paraId="4DE9AB27">
            <w:pPr>
              <w:pStyle w:val="33"/>
              <w:rPr>
                <w:color w:val="auto"/>
              </w:rPr>
            </w:pPr>
            <w:r>
              <w:rPr>
                <w:color w:val="auto"/>
              </w:rPr>
              <w:t>/</w:t>
            </w:r>
          </w:p>
        </w:tc>
        <w:tc>
          <w:tcPr>
            <w:tcW w:w="338" w:type="pct"/>
            <w:vAlign w:val="center"/>
          </w:tcPr>
          <w:p w14:paraId="1857D1D5">
            <w:pPr>
              <w:pStyle w:val="33"/>
              <w:rPr>
                <w:color w:val="auto"/>
              </w:rPr>
            </w:pPr>
            <w:r>
              <w:rPr>
                <w:color w:val="auto"/>
              </w:rPr>
              <w:t>/</w:t>
            </w:r>
          </w:p>
        </w:tc>
      </w:tr>
      <w:tr w14:paraId="2446C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F9AAE3D">
            <w:pPr>
              <w:pStyle w:val="33"/>
              <w:rPr>
                <w:color w:val="auto"/>
              </w:rPr>
            </w:pPr>
            <w:r>
              <w:rPr>
                <w:rFonts w:eastAsia="等线"/>
                <w:color w:val="auto"/>
              </w:rPr>
              <w:t>22</w:t>
            </w:r>
          </w:p>
        </w:tc>
        <w:tc>
          <w:tcPr>
            <w:tcW w:w="591" w:type="pct"/>
            <w:vAlign w:val="center"/>
          </w:tcPr>
          <w:p w14:paraId="6C1B52DE">
            <w:pPr>
              <w:pStyle w:val="33"/>
              <w:rPr>
                <w:color w:val="auto"/>
              </w:rPr>
            </w:pPr>
            <w:r>
              <w:rPr>
                <w:color w:val="auto"/>
              </w:rPr>
              <w:t>102</w:t>
            </w:r>
          </w:p>
        </w:tc>
        <w:tc>
          <w:tcPr>
            <w:tcW w:w="333" w:type="pct"/>
            <w:vAlign w:val="center"/>
          </w:tcPr>
          <w:p w14:paraId="6F470076">
            <w:pPr>
              <w:pStyle w:val="33"/>
              <w:rPr>
                <w:color w:val="auto"/>
              </w:rPr>
            </w:pPr>
            <w:r>
              <w:rPr>
                <w:color w:val="auto"/>
              </w:rPr>
              <w:t xml:space="preserve">20 </w:t>
            </w:r>
          </w:p>
        </w:tc>
        <w:tc>
          <w:tcPr>
            <w:tcW w:w="333" w:type="pct"/>
            <w:vAlign w:val="center"/>
          </w:tcPr>
          <w:p w14:paraId="11E9ABC7">
            <w:pPr>
              <w:pStyle w:val="33"/>
              <w:rPr>
                <w:color w:val="auto"/>
              </w:rPr>
            </w:pPr>
            <w:r>
              <w:rPr>
                <w:color w:val="auto"/>
              </w:rPr>
              <w:t xml:space="preserve">0.7 </w:t>
            </w:r>
          </w:p>
        </w:tc>
        <w:tc>
          <w:tcPr>
            <w:tcW w:w="376" w:type="pct"/>
            <w:vAlign w:val="center"/>
          </w:tcPr>
          <w:p w14:paraId="4C6F9CFA">
            <w:pPr>
              <w:pStyle w:val="33"/>
              <w:rPr>
                <w:color w:val="auto"/>
              </w:rPr>
            </w:pPr>
            <w:r>
              <w:rPr>
                <w:color w:val="auto"/>
              </w:rPr>
              <w:t xml:space="preserve">16625 </w:t>
            </w:r>
          </w:p>
        </w:tc>
        <w:tc>
          <w:tcPr>
            <w:tcW w:w="359" w:type="pct"/>
            <w:vAlign w:val="center"/>
          </w:tcPr>
          <w:p w14:paraId="70E5F8AF">
            <w:pPr>
              <w:pStyle w:val="33"/>
              <w:rPr>
                <w:color w:val="auto"/>
              </w:rPr>
            </w:pPr>
            <w:r>
              <w:rPr>
                <w:color w:val="auto"/>
              </w:rPr>
              <w:t>/</w:t>
            </w:r>
          </w:p>
        </w:tc>
        <w:tc>
          <w:tcPr>
            <w:tcW w:w="359" w:type="pct"/>
            <w:vAlign w:val="center"/>
          </w:tcPr>
          <w:p w14:paraId="418257EC">
            <w:pPr>
              <w:pStyle w:val="33"/>
              <w:rPr>
                <w:color w:val="auto"/>
              </w:rPr>
            </w:pPr>
            <w:r>
              <w:rPr>
                <w:color w:val="auto"/>
              </w:rPr>
              <w:t>/</w:t>
            </w:r>
          </w:p>
        </w:tc>
        <w:tc>
          <w:tcPr>
            <w:tcW w:w="330" w:type="pct"/>
            <w:vAlign w:val="center"/>
          </w:tcPr>
          <w:p w14:paraId="4073C66F">
            <w:pPr>
              <w:pStyle w:val="33"/>
              <w:rPr>
                <w:color w:val="auto"/>
              </w:rPr>
            </w:pPr>
            <w:r>
              <w:rPr>
                <w:color w:val="auto"/>
              </w:rPr>
              <w:t xml:space="preserve">0.269 </w:t>
            </w:r>
          </w:p>
        </w:tc>
        <w:tc>
          <w:tcPr>
            <w:tcW w:w="333" w:type="pct"/>
            <w:vAlign w:val="center"/>
          </w:tcPr>
          <w:p w14:paraId="34907807">
            <w:pPr>
              <w:pStyle w:val="33"/>
              <w:rPr>
                <w:color w:val="auto"/>
              </w:rPr>
            </w:pPr>
            <w:r>
              <w:rPr>
                <w:color w:val="auto"/>
              </w:rPr>
              <w:t xml:space="preserve">0.1345 </w:t>
            </w:r>
          </w:p>
        </w:tc>
        <w:tc>
          <w:tcPr>
            <w:tcW w:w="333" w:type="pct"/>
            <w:vAlign w:val="center"/>
          </w:tcPr>
          <w:p w14:paraId="25596702">
            <w:pPr>
              <w:pStyle w:val="33"/>
              <w:rPr>
                <w:color w:val="auto"/>
              </w:rPr>
            </w:pPr>
            <w:r>
              <w:rPr>
                <w:color w:val="auto"/>
              </w:rPr>
              <w:t>/</w:t>
            </w:r>
          </w:p>
        </w:tc>
        <w:tc>
          <w:tcPr>
            <w:tcW w:w="333" w:type="pct"/>
            <w:vAlign w:val="center"/>
          </w:tcPr>
          <w:p w14:paraId="71D16F9F">
            <w:pPr>
              <w:pStyle w:val="33"/>
              <w:rPr>
                <w:color w:val="auto"/>
              </w:rPr>
            </w:pPr>
            <w:r>
              <w:rPr>
                <w:color w:val="auto"/>
              </w:rPr>
              <w:t>/</w:t>
            </w:r>
          </w:p>
        </w:tc>
        <w:tc>
          <w:tcPr>
            <w:tcW w:w="397" w:type="pct"/>
            <w:vAlign w:val="center"/>
          </w:tcPr>
          <w:p w14:paraId="0AB413F0">
            <w:pPr>
              <w:pStyle w:val="33"/>
              <w:rPr>
                <w:color w:val="auto"/>
              </w:rPr>
            </w:pPr>
            <w:r>
              <w:rPr>
                <w:color w:val="auto"/>
              </w:rPr>
              <w:t>/</w:t>
            </w:r>
          </w:p>
        </w:tc>
        <w:tc>
          <w:tcPr>
            <w:tcW w:w="333" w:type="pct"/>
            <w:vAlign w:val="center"/>
          </w:tcPr>
          <w:p w14:paraId="396D8454">
            <w:pPr>
              <w:pStyle w:val="33"/>
              <w:rPr>
                <w:color w:val="auto"/>
              </w:rPr>
            </w:pPr>
            <w:r>
              <w:rPr>
                <w:color w:val="auto"/>
              </w:rPr>
              <w:t>/</w:t>
            </w:r>
          </w:p>
        </w:tc>
        <w:tc>
          <w:tcPr>
            <w:tcW w:w="338" w:type="pct"/>
            <w:vAlign w:val="center"/>
          </w:tcPr>
          <w:p w14:paraId="397A4F73">
            <w:pPr>
              <w:pStyle w:val="33"/>
              <w:rPr>
                <w:color w:val="auto"/>
              </w:rPr>
            </w:pPr>
            <w:r>
              <w:rPr>
                <w:color w:val="auto"/>
              </w:rPr>
              <w:t>/</w:t>
            </w:r>
          </w:p>
        </w:tc>
      </w:tr>
      <w:tr w14:paraId="6A403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B2C1FD4">
            <w:pPr>
              <w:pStyle w:val="33"/>
              <w:rPr>
                <w:color w:val="auto"/>
              </w:rPr>
            </w:pPr>
            <w:r>
              <w:rPr>
                <w:rFonts w:eastAsia="等线"/>
                <w:color w:val="auto"/>
              </w:rPr>
              <w:t>23</w:t>
            </w:r>
          </w:p>
        </w:tc>
        <w:tc>
          <w:tcPr>
            <w:tcW w:w="591" w:type="pct"/>
            <w:vAlign w:val="center"/>
          </w:tcPr>
          <w:p w14:paraId="76CDE0CD">
            <w:pPr>
              <w:pStyle w:val="33"/>
              <w:rPr>
                <w:color w:val="auto"/>
              </w:rPr>
            </w:pPr>
            <w:r>
              <w:rPr>
                <w:color w:val="auto"/>
              </w:rPr>
              <w:t>103</w:t>
            </w:r>
          </w:p>
        </w:tc>
        <w:tc>
          <w:tcPr>
            <w:tcW w:w="333" w:type="pct"/>
            <w:vAlign w:val="center"/>
          </w:tcPr>
          <w:p w14:paraId="5336220A">
            <w:pPr>
              <w:pStyle w:val="33"/>
              <w:rPr>
                <w:color w:val="auto"/>
              </w:rPr>
            </w:pPr>
            <w:r>
              <w:rPr>
                <w:color w:val="auto"/>
              </w:rPr>
              <w:t xml:space="preserve">20 </w:t>
            </w:r>
          </w:p>
        </w:tc>
        <w:tc>
          <w:tcPr>
            <w:tcW w:w="333" w:type="pct"/>
            <w:vAlign w:val="center"/>
          </w:tcPr>
          <w:p w14:paraId="5EC4C65A">
            <w:pPr>
              <w:pStyle w:val="33"/>
              <w:rPr>
                <w:color w:val="auto"/>
              </w:rPr>
            </w:pPr>
            <w:r>
              <w:rPr>
                <w:color w:val="auto"/>
              </w:rPr>
              <w:t xml:space="preserve">0.7 </w:t>
            </w:r>
          </w:p>
        </w:tc>
        <w:tc>
          <w:tcPr>
            <w:tcW w:w="376" w:type="pct"/>
            <w:vAlign w:val="center"/>
          </w:tcPr>
          <w:p w14:paraId="3DFA5A0A">
            <w:pPr>
              <w:pStyle w:val="33"/>
              <w:rPr>
                <w:color w:val="auto"/>
              </w:rPr>
            </w:pPr>
            <w:r>
              <w:rPr>
                <w:color w:val="auto"/>
              </w:rPr>
              <w:t xml:space="preserve">16625 </w:t>
            </w:r>
          </w:p>
        </w:tc>
        <w:tc>
          <w:tcPr>
            <w:tcW w:w="359" w:type="pct"/>
            <w:vAlign w:val="center"/>
          </w:tcPr>
          <w:p w14:paraId="485D0853">
            <w:pPr>
              <w:pStyle w:val="33"/>
              <w:rPr>
                <w:color w:val="auto"/>
              </w:rPr>
            </w:pPr>
            <w:r>
              <w:rPr>
                <w:color w:val="auto"/>
              </w:rPr>
              <w:t>/</w:t>
            </w:r>
          </w:p>
        </w:tc>
        <w:tc>
          <w:tcPr>
            <w:tcW w:w="359" w:type="pct"/>
            <w:vAlign w:val="center"/>
          </w:tcPr>
          <w:p w14:paraId="34153810">
            <w:pPr>
              <w:pStyle w:val="33"/>
              <w:rPr>
                <w:color w:val="auto"/>
              </w:rPr>
            </w:pPr>
            <w:r>
              <w:rPr>
                <w:color w:val="auto"/>
              </w:rPr>
              <w:t>/</w:t>
            </w:r>
          </w:p>
        </w:tc>
        <w:tc>
          <w:tcPr>
            <w:tcW w:w="330" w:type="pct"/>
            <w:vAlign w:val="center"/>
          </w:tcPr>
          <w:p w14:paraId="2D148479">
            <w:pPr>
              <w:pStyle w:val="33"/>
              <w:rPr>
                <w:color w:val="auto"/>
              </w:rPr>
            </w:pPr>
            <w:r>
              <w:rPr>
                <w:color w:val="auto"/>
              </w:rPr>
              <w:t xml:space="preserve">0.269 </w:t>
            </w:r>
          </w:p>
        </w:tc>
        <w:tc>
          <w:tcPr>
            <w:tcW w:w="333" w:type="pct"/>
            <w:vAlign w:val="center"/>
          </w:tcPr>
          <w:p w14:paraId="072AD473">
            <w:pPr>
              <w:pStyle w:val="33"/>
              <w:rPr>
                <w:color w:val="auto"/>
              </w:rPr>
            </w:pPr>
            <w:r>
              <w:rPr>
                <w:color w:val="auto"/>
              </w:rPr>
              <w:t xml:space="preserve">0.1345 </w:t>
            </w:r>
          </w:p>
        </w:tc>
        <w:tc>
          <w:tcPr>
            <w:tcW w:w="333" w:type="pct"/>
            <w:vAlign w:val="center"/>
          </w:tcPr>
          <w:p w14:paraId="112505FD">
            <w:pPr>
              <w:pStyle w:val="33"/>
              <w:rPr>
                <w:color w:val="auto"/>
              </w:rPr>
            </w:pPr>
            <w:r>
              <w:rPr>
                <w:color w:val="auto"/>
              </w:rPr>
              <w:t>/</w:t>
            </w:r>
          </w:p>
        </w:tc>
        <w:tc>
          <w:tcPr>
            <w:tcW w:w="333" w:type="pct"/>
            <w:vAlign w:val="center"/>
          </w:tcPr>
          <w:p w14:paraId="546375F4">
            <w:pPr>
              <w:pStyle w:val="33"/>
              <w:rPr>
                <w:color w:val="auto"/>
              </w:rPr>
            </w:pPr>
            <w:r>
              <w:rPr>
                <w:color w:val="auto"/>
              </w:rPr>
              <w:t>/</w:t>
            </w:r>
          </w:p>
        </w:tc>
        <w:tc>
          <w:tcPr>
            <w:tcW w:w="397" w:type="pct"/>
            <w:vAlign w:val="center"/>
          </w:tcPr>
          <w:p w14:paraId="06B0F094">
            <w:pPr>
              <w:pStyle w:val="33"/>
              <w:rPr>
                <w:color w:val="auto"/>
              </w:rPr>
            </w:pPr>
            <w:r>
              <w:rPr>
                <w:color w:val="auto"/>
              </w:rPr>
              <w:t>/</w:t>
            </w:r>
          </w:p>
        </w:tc>
        <w:tc>
          <w:tcPr>
            <w:tcW w:w="333" w:type="pct"/>
            <w:vAlign w:val="center"/>
          </w:tcPr>
          <w:p w14:paraId="4D0A1690">
            <w:pPr>
              <w:pStyle w:val="33"/>
              <w:rPr>
                <w:color w:val="auto"/>
              </w:rPr>
            </w:pPr>
            <w:r>
              <w:rPr>
                <w:color w:val="auto"/>
              </w:rPr>
              <w:t>/</w:t>
            </w:r>
          </w:p>
        </w:tc>
        <w:tc>
          <w:tcPr>
            <w:tcW w:w="338" w:type="pct"/>
            <w:vAlign w:val="center"/>
          </w:tcPr>
          <w:p w14:paraId="17106004">
            <w:pPr>
              <w:pStyle w:val="33"/>
              <w:rPr>
                <w:color w:val="auto"/>
              </w:rPr>
            </w:pPr>
            <w:r>
              <w:rPr>
                <w:color w:val="auto"/>
              </w:rPr>
              <w:t>/</w:t>
            </w:r>
          </w:p>
        </w:tc>
      </w:tr>
      <w:tr w14:paraId="239C1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D1C4035">
            <w:pPr>
              <w:pStyle w:val="33"/>
              <w:rPr>
                <w:color w:val="auto"/>
              </w:rPr>
            </w:pPr>
            <w:r>
              <w:rPr>
                <w:rFonts w:eastAsia="等线"/>
                <w:color w:val="auto"/>
              </w:rPr>
              <w:t>24</w:t>
            </w:r>
          </w:p>
        </w:tc>
        <w:tc>
          <w:tcPr>
            <w:tcW w:w="591" w:type="pct"/>
            <w:vAlign w:val="center"/>
          </w:tcPr>
          <w:p w14:paraId="7FD80F83">
            <w:pPr>
              <w:pStyle w:val="33"/>
              <w:rPr>
                <w:color w:val="auto"/>
              </w:rPr>
            </w:pPr>
            <w:r>
              <w:rPr>
                <w:color w:val="auto"/>
              </w:rPr>
              <w:t>104</w:t>
            </w:r>
          </w:p>
        </w:tc>
        <w:tc>
          <w:tcPr>
            <w:tcW w:w="333" w:type="pct"/>
            <w:vAlign w:val="center"/>
          </w:tcPr>
          <w:p w14:paraId="1ED801C3">
            <w:pPr>
              <w:pStyle w:val="33"/>
              <w:rPr>
                <w:color w:val="auto"/>
              </w:rPr>
            </w:pPr>
            <w:r>
              <w:rPr>
                <w:color w:val="auto"/>
              </w:rPr>
              <w:t xml:space="preserve">20 </w:t>
            </w:r>
          </w:p>
        </w:tc>
        <w:tc>
          <w:tcPr>
            <w:tcW w:w="333" w:type="pct"/>
            <w:vAlign w:val="center"/>
          </w:tcPr>
          <w:p w14:paraId="5FC86257">
            <w:pPr>
              <w:pStyle w:val="33"/>
              <w:rPr>
                <w:color w:val="auto"/>
              </w:rPr>
            </w:pPr>
            <w:r>
              <w:rPr>
                <w:color w:val="auto"/>
              </w:rPr>
              <w:t xml:space="preserve">0.7 </w:t>
            </w:r>
          </w:p>
        </w:tc>
        <w:tc>
          <w:tcPr>
            <w:tcW w:w="376" w:type="pct"/>
            <w:vAlign w:val="center"/>
          </w:tcPr>
          <w:p w14:paraId="25718EE8">
            <w:pPr>
              <w:pStyle w:val="33"/>
              <w:rPr>
                <w:color w:val="auto"/>
              </w:rPr>
            </w:pPr>
            <w:r>
              <w:rPr>
                <w:color w:val="auto"/>
              </w:rPr>
              <w:t xml:space="preserve">16625 </w:t>
            </w:r>
          </w:p>
        </w:tc>
        <w:tc>
          <w:tcPr>
            <w:tcW w:w="359" w:type="pct"/>
            <w:vAlign w:val="center"/>
          </w:tcPr>
          <w:p w14:paraId="108411F5">
            <w:pPr>
              <w:pStyle w:val="33"/>
              <w:rPr>
                <w:color w:val="auto"/>
              </w:rPr>
            </w:pPr>
            <w:r>
              <w:rPr>
                <w:color w:val="auto"/>
              </w:rPr>
              <w:t>/</w:t>
            </w:r>
          </w:p>
        </w:tc>
        <w:tc>
          <w:tcPr>
            <w:tcW w:w="359" w:type="pct"/>
            <w:vAlign w:val="center"/>
          </w:tcPr>
          <w:p w14:paraId="35B195E8">
            <w:pPr>
              <w:pStyle w:val="33"/>
              <w:rPr>
                <w:color w:val="auto"/>
              </w:rPr>
            </w:pPr>
            <w:r>
              <w:rPr>
                <w:color w:val="auto"/>
              </w:rPr>
              <w:t>/</w:t>
            </w:r>
          </w:p>
        </w:tc>
        <w:tc>
          <w:tcPr>
            <w:tcW w:w="330" w:type="pct"/>
            <w:vAlign w:val="center"/>
          </w:tcPr>
          <w:p w14:paraId="78D0BE11">
            <w:pPr>
              <w:pStyle w:val="33"/>
              <w:rPr>
                <w:color w:val="auto"/>
              </w:rPr>
            </w:pPr>
            <w:r>
              <w:rPr>
                <w:color w:val="auto"/>
              </w:rPr>
              <w:t xml:space="preserve">0.269 </w:t>
            </w:r>
          </w:p>
        </w:tc>
        <w:tc>
          <w:tcPr>
            <w:tcW w:w="333" w:type="pct"/>
            <w:vAlign w:val="center"/>
          </w:tcPr>
          <w:p w14:paraId="7B189BBE">
            <w:pPr>
              <w:pStyle w:val="33"/>
              <w:rPr>
                <w:color w:val="auto"/>
              </w:rPr>
            </w:pPr>
            <w:r>
              <w:rPr>
                <w:color w:val="auto"/>
              </w:rPr>
              <w:t xml:space="preserve">0.1345 </w:t>
            </w:r>
          </w:p>
        </w:tc>
        <w:tc>
          <w:tcPr>
            <w:tcW w:w="333" w:type="pct"/>
            <w:vAlign w:val="center"/>
          </w:tcPr>
          <w:p w14:paraId="7A1BB4BE">
            <w:pPr>
              <w:pStyle w:val="33"/>
              <w:rPr>
                <w:color w:val="auto"/>
              </w:rPr>
            </w:pPr>
            <w:r>
              <w:rPr>
                <w:color w:val="auto"/>
              </w:rPr>
              <w:t>/</w:t>
            </w:r>
          </w:p>
        </w:tc>
        <w:tc>
          <w:tcPr>
            <w:tcW w:w="333" w:type="pct"/>
            <w:vAlign w:val="center"/>
          </w:tcPr>
          <w:p w14:paraId="13F1CC72">
            <w:pPr>
              <w:pStyle w:val="33"/>
              <w:rPr>
                <w:color w:val="auto"/>
              </w:rPr>
            </w:pPr>
            <w:r>
              <w:rPr>
                <w:color w:val="auto"/>
              </w:rPr>
              <w:t>/</w:t>
            </w:r>
          </w:p>
        </w:tc>
        <w:tc>
          <w:tcPr>
            <w:tcW w:w="397" w:type="pct"/>
            <w:vAlign w:val="center"/>
          </w:tcPr>
          <w:p w14:paraId="3E3CE8C9">
            <w:pPr>
              <w:pStyle w:val="33"/>
              <w:rPr>
                <w:color w:val="auto"/>
              </w:rPr>
            </w:pPr>
            <w:r>
              <w:rPr>
                <w:color w:val="auto"/>
              </w:rPr>
              <w:t>/</w:t>
            </w:r>
          </w:p>
        </w:tc>
        <w:tc>
          <w:tcPr>
            <w:tcW w:w="333" w:type="pct"/>
            <w:vAlign w:val="center"/>
          </w:tcPr>
          <w:p w14:paraId="41BB49C6">
            <w:pPr>
              <w:pStyle w:val="33"/>
              <w:rPr>
                <w:color w:val="auto"/>
              </w:rPr>
            </w:pPr>
            <w:r>
              <w:rPr>
                <w:color w:val="auto"/>
              </w:rPr>
              <w:t>/</w:t>
            </w:r>
          </w:p>
        </w:tc>
        <w:tc>
          <w:tcPr>
            <w:tcW w:w="338" w:type="pct"/>
            <w:vAlign w:val="center"/>
          </w:tcPr>
          <w:p w14:paraId="490A1A34">
            <w:pPr>
              <w:pStyle w:val="33"/>
              <w:rPr>
                <w:color w:val="auto"/>
              </w:rPr>
            </w:pPr>
            <w:r>
              <w:rPr>
                <w:color w:val="auto"/>
              </w:rPr>
              <w:t>/</w:t>
            </w:r>
          </w:p>
        </w:tc>
      </w:tr>
      <w:tr w14:paraId="0DAB2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74EA807">
            <w:pPr>
              <w:pStyle w:val="33"/>
              <w:rPr>
                <w:color w:val="auto"/>
              </w:rPr>
            </w:pPr>
            <w:r>
              <w:rPr>
                <w:rFonts w:eastAsia="等线"/>
                <w:color w:val="auto"/>
              </w:rPr>
              <w:t>25</w:t>
            </w:r>
          </w:p>
        </w:tc>
        <w:tc>
          <w:tcPr>
            <w:tcW w:w="591" w:type="pct"/>
            <w:vAlign w:val="center"/>
          </w:tcPr>
          <w:p w14:paraId="5F90E337">
            <w:pPr>
              <w:pStyle w:val="33"/>
              <w:rPr>
                <w:color w:val="auto"/>
              </w:rPr>
            </w:pPr>
            <w:r>
              <w:rPr>
                <w:color w:val="auto"/>
              </w:rPr>
              <w:t>105</w:t>
            </w:r>
          </w:p>
        </w:tc>
        <w:tc>
          <w:tcPr>
            <w:tcW w:w="333" w:type="pct"/>
            <w:vAlign w:val="center"/>
          </w:tcPr>
          <w:p w14:paraId="5469AA8B">
            <w:pPr>
              <w:pStyle w:val="33"/>
              <w:rPr>
                <w:color w:val="auto"/>
              </w:rPr>
            </w:pPr>
            <w:r>
              <w:rPr>
                <w:color w:val="auto"/>
              </w:rPr>
              <w:t xml:space="preserve">20 </w:t>
            </w:r>
          </w:p>
        </w:tc>
        <w:tc>
          <w:tcPr>
            <w:tcW w:w="333" w:type="pct"/>
            <w:vAlign w:val="center"/>
          </w:tcPr>
          <w:p w14:paraId="74C0701C">
            <w:pPr>
              <w:pStyle w:val="33"/>
              <w:rPr>
                <w:color w:val="auto"/>
              </w:rPr>
            </w:pPr>
            <w:r>
              <w:rPr>
                <w:color w:val="auto"/>
              </w:rPr>
              <w:t xml:space="preserve">0.7 </w:t>
            </w:r>
          </w:p>
        </w:tc>
        <w:tc>
          <w:tcPr>
            <w:tcW w:w="376" w:type="pct"/>
            <w:vAlign w:val="center"/>
          </w:tcPr>
          <w:p w14:paraId="1599C54E">
            <w:pPr>
              <w:pStyle w:val="33"/>
              <w:rPr>
                <w:color w:val="auto"/>
              </w:rPr>
            </w:pPr>
            <w:r>
              <w:rPr>
                <w:color w:val="auto"/>
              </w:rPr>
              <w:t xml:space="preserve">16625 </w:t>
            </w:r>
          </w:p>
        </w:tc>
        <w:tc>
          <w:tcPr>
            <w:tcW w:w="359" w:type="pct"/>
            <w:vAlign w:val="center"/>
          </w:tcPr>
          <w:p w14:paraId="473300CD">
            <w:pPr>
              <w:pStyle w:val="33"/>
              <w:rPr>
                <w:color w:val="auto"/>
              </w:rPr>
            </w:pPr>
            <w:r>
              <w:rPr>
                <w:color w:val="auto"/>
              </w:rPr>
              <w:t>/</w:t>
            </w:r>
          </w:p>
        </w:tc>
        <w:tc>
          <w:tcPr>
            <w:tcW w:w="359" w:type="pct"/>
            <w:vAlign w:val="center"/>
          </w:tcPr>
          <w:p w14:paraId="0AB28C8C">
            <w:pPr>
              <w:pStyle w:val="33"/>
              <w:rPr>
                <w:color w:val="auto"/>
              </w:rPr>
            </w:pPr>
            <w:r>
              <w:rPr>
                <w:color w:val="auto"/>
              </w:rPr>
              <w:t>/</w:t>
            </w:r>
          </w:p>
        </w:tc>
        <w:tc>
          <w:tcPr>
            <w:tcW w:w="330" w:type="pct"/>
            <w:vAlign w:val="center"/>
          </w:tcPr>
          <w:p w14:paraId="7EC682B0">
            <w:pPr>
              <w:pStyle w:val="33"/>
              <w:rPr>
                <w:color w:val="auto"/>
              </w:rPr>
            </w:pPr>
            <w:r>
              <w:rPr>
                <w:color w:val="auto"/>
              </w:rPr>
              <w:t xml:space="preserve">0.269 </w:t>
            </w:r>
          </w:p>
        </w:tc>
        <w:tc>
          <w:tcPr>
            <w:tcW w:w="333" w:type="pct"/>
            <w:vAlign w:val="center"/>
          </w:tcPr>
          <w:p w14:paraId="2090A41C">
            <w:pPr>
              <w:pStyle w:val="33"/>
              <w:rPr>
                <w:color w:val="auto"/>
              </w:rPr>
            </w:pPr>
            <w:r>
              <w:rPr>
                <w:color w:val="auto"/>
              </w:rPr>
              <w:t xml:space="preserve">0.1345 </w:t>
            </w:r>
          </w:p>
        </w:tc>
        <w:tc>
          <w:tcPr>
            <w:tcW w:w="333" w:type="pct"/>
            <w:vAlign w:val="center"/>
          </w:tcPr>
          <w:p w14:paraId="67F4778C">
            <w:pPr>
              <w:pStyle w:val="33"/>
              <w:rPr>
                <w:color w:val="auto"/>
              </w:rPr>
            </w:pPr>
            <w:r>
              <w:rPr>
                <w:color w:val="auto"/>
              </w:rPr>
              <w:t>/</w:t>
            </w:r>
          </w:p>
        </w:tc>
        <w:tc>
          <w:tcPr>
            <w:tcW w:w="333" w:type="pct"/>
            <w:vAlign w:val="center"/>
          </w:tcPr>
          <w:p w14:paraId="289B2A99">
            <w:pPr>
              <w:pStyle w:val="33"/>
              <w:rPr>
                <w:color w:val="auto"/>
              </w:rPr>
            </w:pPr>
            <w:r>
              <w:rPr>
                <w:color w:val="auto"/>
              </w:rPr>
              <w:t>/</w:t>
            </w:r>
          </w:p>
        </w:tc>
        <w:tc>
          <w:tcPr>
            <w:tcW w:w="397" w:type="pct"/>
            <w:vAlign w:val="center"/>
          </w:tcPr>
          <w:p w14:paraId="63BE0945">
            <w:pPr>
              <w:pStyle w:val="33"/>
              <w:rPr>
                <w:color w:val="auto"/>
              </w:rPr>
            </w:pPr>
            <w:r>
              <w:rPr>
                <w:color w:val="auto"/>
              </w:rPr>
              <w:t>/</w:t>
            </w:r>
          </w:p>
        </w:tc>
        <w:tc>
          <w:tcPr>
            <w:tcW w:w="333" w:type="pct"/>
            <w:vAlign w:val="center"/>
          </w:tcPr>
          <w:p w14:paraId="0C76862B">
            <w:pPr>
              <w:pStyle w:val="33"/>
              <w:rPr>
                <w:color w:val="auto"/>
              </w:rPr>
            </w:pPr>
            <w:r>
              <w:rPr>
                <w:color w:val="auto"/>
              </w:rPr>
              <w:t>/</w:t>
            </w:r>
          </w:p>
        </w:tc>
        <w:tc>
          <w:tcPr>
            <w:tcW w:w="338" w:type="pct"/>
            <w:vAlign w:val="center"/>
          </w:tcPr>
          <w:p w14:paraId="3A05DAE4">
            <w:pPr>
              <w:pStyle w:val="33"/>
              <w:rPr>
                <w:color w:val="auto"/>
              </w:rPr>
            </w:pPr>
            <w:r>
              <w:rPr>
                <w:color w:val="auto"/>
              </w:rPr>
              <w:t>/</w:t>
            </w:r>
          </w:p>
        </w:tc>
      </w:tr>
      <w:tr w14:paraId="5FD01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A82C521">
            <w:pPr>
              <w:pStyle w:val="33"/>
              <w:rPr>
                <w:color w:val="auto"/>
              </w:rPr>
            </w:pPr>
            <w:r>
              <w:rPr>
                <w:rFonts w:eastAsia="等线"/>
                <w:color w:val="auto"/>
              </w:rPr>
              <w:t>26</w:t>
            </w:r>
          </w:p>
        </w:tc>
        <w:tc>
          <w:tcPr>
            <w:tcW w:w="591" w:type="pct"/>
            <w:vAlign w:val="center"/>
          </w:tcPr>
          <w:p w14:paraId="05D1782E">
            <w:pPr>
              <w:pStyle w:val="33"/>
              <w:rPr>
                <w:color w:val="auto"/>
              </w:rPr>
            </w:pPr>
            <w:r>
              <w:rPr>
                <w:color w:val="auto"/>
              </w:rPr>
              <w:t>106</w:t>
            </w:r>
          </w:p>
        </w:tc>
        <w:tc>
          <w:tcPr>
            <w:tcW w:w="333" w:type="pct"/>
            <w:vAlign w:val="center"/>
          </w:tcPr>
          <w:p w14:paraId="4FFC337C">
            <w:pPr>
              <w:pStyle w:val="33"/>
              <w:rPr>
                <w:color w:val="auto"/>
              </w:rPr>
            </w:pPr>
            <w:r>
              <w:rPr>
                <w:color w:val="auto"/>
              </w:rPr>
              <w:t xml:space="preserve">20 </w:t>
            </w:r>
          </w:p>
        </w:tc>
        <w:tc>
          <w:tcPr>
            <w:tcW w:w="333" w:type="pct"/>
            <w:vAlign w:val="center"/>
          </w:tcPr>
          <w:p w14:paraId="194FED6C">
            <w:pPr>
              <w:pStyle w:val="33"/>
              <w:rPr>
                <w:color w:val="auto"/>
              </w:rPr>
            </w:pPr>
            <w:r>
              <w:rPr>
                <w:color w:val="auto"/>
              </w:rPr>
              <w:t xml:space="preserve">0.7 </w:t>
            </w:r>
          </w:p>
        </w:tc>
        <w:tc>
          <w:tcPr>
            <w:tcW w:w="376" w:type="pct"/>
            <w:vAlign w:val="center"/>
          </w:tcPr>
          <w:p w14:paraId="2A5405C1">
            <w:pPr>
              <w:pStyle w:val="33"/>
              <w:rPr>
                <w:color w:val="auto"/>
              </w:rPr>
            </w:pPr>
            <w:r>
              <w:rPr>
                <w:color w:val="auto"/>
              </w:rPr>
              <w:t xml:space="preserve">16625 </w:t>
            </w:r>
          </w:p>
        </w:tc>
        <w:tc>
          <w:tcPr>
            <w:tcW w:w="359" w:type="pct"/>
            <w:vAlign w:val="center"/>
          </w:tcPr>
          <w:p w14:paraId="746D7575">
            <w:pPr>
              <w:pStyle w:val="33"/>
              <w:rPr>
                <w:color w:val="auto"/>
              </w:rPr>
            </w:pPr>
            <w:r>
              <w:rPr>
                <w:color w:val="auto"/>
              </w:rPr>
              <w:t>/</w:t>
            </w:r>
          </w:p>
        </w:tc>
        <w:tc>
          <w:tcPr>
            <w:tcW w:w="359" w:type="pct"/>
            <w:vAlign w:val="center"/>
          </w:tcPr>
          <w:p w14:paraId="263FFA1F">
            <w:pPr>
              <w:pStyle w:val="33"/>
              <w:rPr>
                <w:color w:val="auto"/>
              </w:rPr>
            </w:pPr>
            <w:r>
              <w:rPr>
                <w:color w:val="auto"/>
              </w:rPr>
              <w:t>/</w:t>
            </w:r>
          </w:p>
        </w:tc>
        <w:tc>
          <w:tcPr>
            <w:tcW w:w="330" w:type="pct"/>
            <w:vAlign w:val="center"/>
          </w:tcPr>
          <w:p w14:paraId="7F6B5166">
            <w:pPr>
              <w:pStyle w:val="33"/>
              <w:rPr>
                <w:color w:val="auto"/>
              </w:rPr>
            </w:pPr>
            <w:r>
              <w:rPr>
                <w:color w:val="auto"/>
              </w:rPr>
              <w:t xml:space="preserve">0.269 </w:t>
            </w:r>
          </w:p>
        </w:tc>
        <w:tc>
          <w:tcPr>
            <w:tcW w:w="333" w:type="pct"/>
            <w:vAlign w:val="center"/>
          </w:tcPr>
          <w:p w14:paraId="531EA399">
            <w:pPr>
              <w:pStyle w:val="33"/>
              <w:rPr>
                <w:color w:val="auto"/>
              </w:rPr>
            </w:pPr>
            <w:r>
              <w:rPr>
                <w:color w:val="auto"/>
              </w:rPr>
              <w:t xml:space="preserve">0.1345 </w:t>
            </w:r>
          </w:p>
        </w:tc>
        <w:tc>
          <w:tcPr>
            <w:tcW w:w="333" w:type="pct"/>
            <w:vAlign w:val="center"/>
          </w:tcPr>
          <w:p w14:paraId="59771400">
            <w:pPr>
              <w:pStyle w:val="33"/>
              <w:rPr>
                <w:color w:val="auto"/>
              </w:rPr>
            </w:pPr>
            <w:r>
              <w:rPr>
                <w:color w:val="auto"/>
              </w:rPr>
              <w:t>/</w:t>
            </w:r>
          </w:p>
        </w:tc>
        <w:tc>
          <w:tcPr>
            <w:tcW w:w="333" w:type="pct"/>
            <w:vAlign w:val="center"/>
          </w:tcPr>
          <w:p w14:paraId="484721A9">
            <w:pPr>
              <w:pStyle w:val="33"/>
              <w:rPr>
                <w:color w:val="auto"/>
              </w:rPr>
            </w:pPr>
            <w:r>
              <w:rPr>
                <w:color w:val="auto"/>
              </w:rPr>
              <w:t>/</w:t>
            </w:r>
          </w:p>
        </w:tc>
        <w:tc>
          <w:tcPr>
            <w:tcW w:w="397" w:type="pct"/>
            <w:vAlign w:val="center"/>
          </w:tcPr>
          <w:p w14:paraId="6BE32C2E">
            <w:pPr>
              <w:pStyle w:val="33"/>
              <w:rPr>
                <w:color w:val="auto"/>
              </w:rPr>
            </w:pPr>
            <w:r>
              <w:rPr>
                <w:color w:val="auto"/>
              </w:rPr>
              <w:t>/</w:t>
            </w:r>
          </w:p>
        </w:tc>
        <w:tc>
          <w:tcPr>
            <w:tcW w:w="333" w:type="pct"/>
            <w:vAlign w:val="center"/>
          </w:tcPr>
          <w:p w14:paraId="0522CE1C">
            <w:pPr>
              <w:pStyle w:val="33"/>
              <w:rPr>
                <w:color w:val="auto"/>
              </w:rPr>
            </w:pPr>
            <w:r>
              <w:rPr>
                <w:color w:val="auto"/>
              </w:rPr>
              <w:t>/</w:t>
            </w:r>
          </w:p>
        </w:tc>
        <w:tc>
          <w:tcPr>
            <w:tcW w:w="338" w:type="pct"/>
            <w:vAlign w:val="center"/>
          </w:tcPr>
          <w:p w14:paraId="2349C324">
            <w:pPr>
              <w:pStyle w:val="33"/>
              <w:rPr>
                <w:color w:val="auto"/>
              </w:rPr>
            </w:pPr>
            <w:r>
              <w:rPr>
                <w:color w:val="auto"/>
              </w:rPr>
              <w:t>/</w:t>
            </w:r>
          </w:p>
        </w:tc>
      </w:tr>
      <w:tr w14:paraId="127B2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C9DCD47">
            <w:pPr>
              <w:pStyle w:val="33"/>
              <w:rPr>
                <w:color w:val="auto"/>
              </w:rPr>
            </w:pPr>
            <w:r>
              <w:rPr>
                <w:rFonts w:eastAsia="等线"/>
                <w:color w:val="auto"/>
              </w:rPr>
              <w:t>27</w:t>
            </w:r>
          </w:p>
        </w:tc>
        <w:tc>
          <w:tcPr>
            <w:tcW w:w="591" w:type="pct"/>
            <w:vAlign w:val="center"/>
          </w:tcPr>
          <w:p w14:paraId="5CD8EA1E">
            <w:pPr>
              <w:pStyle w:val="33"/>
              <w:rPr>
                <w:color w:val="auto"/>
              </w:rPr>
            </w:pPr>
            <w:r>
              <w:rPr>
                <w:color w:val="auto"/>
              </w:rPr>
              <w:t>107</w:t>
            </w:r>
          </w:p>
        </w:tc>
        <w:tc>
          <w:tcPr>
            <w:tcW w:w="333" w:type="pct"/>
            <w:vAlign w:val="center"/>
          </w:tcPr>
          <w:p w14:paraId="089A6C20">
            <w:pPr>
              <w:pStyle w:val="33"/>
              <w:rPr>
                <w:color w:val="auto"/>
              </w:rPr>
            </w:pPr>
            <w:r>
              <w:rPr>
                <w:color w:val="auto"/>
              </w:rPr>
              <w:t xml:space="preserve">20 </w:t>
            </w:r>
          </w:p>
        </w:tc>
        <w:tc>
          <w:tcPr>
            <w:tcW w:w="333" w:type="pct"/>
            <w:vAlign w:val="center"/>
          </w:tcPr>
          <w:p w14:paraId="2732B855">
            <w:pPr>
              <w:pStyle w:val="33"/>
              <w:rPr>
                <w:color w:val="auto"/>
              </w:rPr>
            </w:pPr>
            <w:r>
              <w:rPr>
                <w:color w:val="auto"/>
              </w:rPr>
              <w:t xml:space="preserve">0.7 </w:t>
            </w:r>
          </w:p>
        </w:tc>
        <w:tc>
          <w:tcPr>
            <w:tcW w:w="376" w:type="pct"/>
            <w:vAlign w:val="center"/>
          </w:tcPr>
          <w:p w14:paraId="5FD64AE7">
            <w:pPr>
              <w:pStyle w:val="33"/>
              <w:rPr>
                <w:color w:val="auto"/>
              </w:rPr>
            </w:pPr>
            <w:r>
              <w:rPr>
                <w:color w:val="auto"/>
              </w:rPr>
              <w:t xml:space="preserve">16625 </w:t>
            </w:r>
          </w:p>
        </w:tc>
        <w:tc>
          <w:tcPr>
            <w:tcW w:w="359" w:type="pct"/>
            <w:vAlign w:val="center"/>
          </w:tcPr>
          <w:p w14:paraId="3B045855">
            <w:pPr>
              <w:pStyle w:val="33"/>
              <w:rPr>
                <w:color w:val="auto"/>
              </w:rPr>
            </w:pPr>
            <w:r>
              <w:rPr>
                <w:color w:val="auto"/>
              </w:rPr>
              <w:t>/</w:t>
            </w:r>
          </w:p>
        </w:tc>
        <w:tc>
          <w:tcPr>
            <w:tcW w:w="359" w:type="pct"/>
            <w:vAlign w:val="center"/>
          </w:tcPr>
          <w:p w14:paraId="30BD9B9B">
            <w:pPr>
              <w:pStyle w:val="33"/>
              <w:rPr>
                <w:color w:val="auto"/>
              </w:rPr>
            </w:pPr>
            <w:r>
              <w:rPr>
                <w:color w:val="auto"/>
              </w:rPr>
              <w:t>/</w:t>
            </w:r>
          </w:p>
        </w:tc>
        <w:tc>
          <w:tcPr>
            <w:tcW w:w="330" w:type="pct"/>
            <w:vAlign w:val="center"/>
          </w:tcPr>
          <w:p w14:paraId="75076445">
            <w:pPr>
              <w:pStyle w:val="33"/>
              <w:rPr>
                <w:color w:val="auto"/>
              </w:rPr>
            </w:pPr>
            <w:r>
              <w:rPr>
                <w:color w:val="auto"/>
              </w:rPr>
              <w:t xml:space="preserve">0.269 </w:t>
            </w:r>
          </w:p>
        </w:tc>
        <w:tc>
          <w:tcPr>
            <w:tcW w:w="333" w:type="pct"/>
            <w:vAlign w:val="center"/>
          </w:tcPr>
          <w:p w14:paraId="379E988A">
            <w:pPr>
              <w:pStyle w:val="33"/>
              <w:rPr>
                <w:color w:val="auto"/>
              </w:rPr>
            </w:pPr>
            <w:r>
              <w:rPr>
                <w:color w:val="auto"/>
              </w:rPr>
              <w:t xml:space="preserve">0.1345 </w:t>
            </w:r>
          </w:p>
        </w:tc>
        <w:tc>
          <w:tcPr>
            <w:tcW w:w="333" w:type="pct"/>
            <w:vAlign w:val="center"/>
          </w:tcPr>
          <w:p w14:paraId="5A4EA825">
            <w:pPr>
              <w:pStyle w:val="33"/>
              <w:rPr>
                <w:color w:val="auto"/>
              </w:rPr>
            </w:pPr>
            <w:r>
              <w:rPr>
                <w:color w:val="auto"/>
              </w:rPr>
              <w:t>/</w:t>
            </w:r>
          </w:p>
        </w:tc>
        <w:tc>
          <w:tcPr>
            <w:tcW w:w="333" w:type="pct"/>
            <w:vAlign w:val="center"/>
          </w:tcPr>
          <w:p w14:paraId="16956E42">
            <w:pPr>
              <w:pStyle w:val="33"/>
              <w:rPr>
                <w:color w:val="auto"/>
              </w:rPr>
            </w:pPr>
            <w:r>
              <w:rPr>
                <w:color w:val="auto"/>
              </w:rPr>
              <w:t>/</w:t>
            </w:r>
          </w:p>
        </w:tc>
        <w:tc>
          <w:tcPr>
            <w:tcW w:w="397" w:type="pct"/>
            <w:vAlign w:val="center"/>
          </w:tcPr>
          <w:p w14:paraId="7DB39325">
            <w:pPr>
              <w:pStyle w:val="33"/>
              <w:rPr>
                <w:color w:val="auto"/>
              </w:rPr>
            </w:pPr>
            <w:r>
              <w:rPr>
                <w:color w:val="auto"/>
              </w:rPr>
              <w:t>/</w:t>
            </w:r>
          </w:p>
        </w:tc>
        <w:tc>
          <w:tcPr>
            <w:tcW w:w="333" w:type="pct"/>
            <w:vAlign w:val="center"/>
          </w:tcPr>
          <w:p w14:paraId="6D20E2FB">
            <w:pPr>
              <w:pStyle w:val="33"/>
              <w:rPr>
                <w:color w:val="auto"/>
              </w:rPr>
            </w:pPr>
            <w:r>
              <w:rPr>
                <w:color w:val="auto"/>
              </w:rPr>
              <w:t>/</w:t>
            </w:r>
          </w:p>
        </w:tc>
        <w:tc>
          <w:tcPr>
            <w:tcW w:w="338" w:type="pct"/>
            <w:vAlign w:val="center"/>
          </w:tcPr>
          <w:p w14:paraId="21B0B0CB">
            <w:pPr>
              <w:pStyle w:val="33"/>
              <w:rPr>
                <w:color w:val="auto"/>
              </w:rPr>
            </w:pPr>
            <w:r>
              <w:rPr>
                <w:color w:val="auto"/>
              </w:rPr>
              <w:t>/</w:t>
            </w:r>
          </w:p>
        </w:tc>
      </w:tr>
      <w:tr w14:paraId="72C6C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AA41A19">
            <w:pPr>
              <w:pStyle w:val="33"/>
              <w:rPr>
                <w:color w:val="auto"/>
              </w:rPr>
            </w:pPr>
            <w:r>
              <w:rPr>
                <w:rFonts w:eastAsia="等线"/>
                <w:color w:val="auto"/>
              </w:rPr>
              <w:t>28</w:t>
            </w:r>
          </w:p>
        </w:tc>
        <w:tc>
          <w:tcPr>
            <w:tcW w:w="591" w:type="pct"/>
            <w:vAlign w:val="center"/>
          </w:tcPr>
          <w:p w14:paraId="248A0095">
            <w:pPr>
              <w:pStyle w:val="33"/>
              <w:rPr>
                <w:color w:val="auto"/>
              </w:rPr>
            </w:pPr>
            <w:r>
              <w:rPr>
                <w:color w:val="auto"/>
              </w:rPr>
              <w:t>108</w:t>
            </w:r>
          </w:p>
        </w:tc>
        <w:tc>
          <w:tcPr>
            <w:tcW w:w="333" w:type="pct"/>
            <w:vAlign w:val="center"/>
          </w:tcPr>
          <w:p w14:paraId="5D452340">
            <w:pPr>
              <w:pStyle w:val="33"/>
              <w:rPr>
                <w:color w:val="auto"/>
              </w:rPr>
            </w:pPr>
            <w:r>
              <w:rPr>
                <w:color w:val="auto"/>
              </w:rPr>
              <w:t xml:space="preserve">60 </w:t>
            </w:r>
          </w:p>
        </w:tc>
        <w:tc>
          <w:tcPr>
            <w:tcW w:w="333" w:type="pct"/>
            <w:vAlign w:val="center"/>
          </w:tcPr>
          <w:p w14:paraId="40664742">
            <w:pPr>
              <w:pStyle w:val="33"/>
              <w:rPr>
                <w:color w:val="auto"/>
              </w:rPr>
            </w:pPr>
            <w:r>
              <w:rPr>
                <w:color w:val="auto"/>
              </w:rPr>
              <w:t xml:space="preserve">1.5 </w:t>
            </w:r>
          </w:p>
        </w:tc>
        <w:tc>
          <w:tcPr>
            <w:tcW w:w="376" w:type="pct"/>
            <w:vAlign w:val="center"/>
          </w:tcPr>
          <w:p w14:paraId="2EC8963B">
            <w:pPr>
              <w:pStyle w:val="33"/>
              <w:rPr>
                <w:color w:val="auto"/>
              </w:rPr>
            </w:pPr>
            <w:r>
              <w:rPr>
                <w:color w:val="auto"/>
              </w:rPr>
              <w:t xml:space="preserve">98607 </w:t>
            </w:r>
          </w:p>
        </w:tc>
        <w:tc>
          <w:tcPr>
            <w:tcW w:w="359" w:type="pct"/>
            <w:vAlign w:val="center"/>
          </w:tcPr>
          <w:p w14:paraId="60381472">
            <w:pPr>
              <w:pStyle w:val="33"/>
              <w:rPr>
                <w:color w:val="auto"/>
              </w:rPr>
            </w:pPr>
            <w:r>
              <w:rPr>
                <w:color w:val="auto"/>
              </w:rPr>
              <w:t xml:space="preserve">3.682 </w:t>
            </w:r>
          </w:p>
        </w:tc>
        <w:tc>
          <w:tcPr>
            <w:tcW w:w="359" w:type="pct"/>
            <w:vAlign w:val="center"/>
          </w:tcPr>
          <w:p w14:paraId="62755066">
            <w:pPr>
              <w:pStyle w:val="33"/>
              <w:rPr>
                <w:color w:val="auto"/>
              </w:rPr>
            </w:pPr>
            <w:r>
              <w:rPr>
                <w:color w:val="auto"/>
              </w:rPr>
              <w:t xml:space="preserve">6.824 </w:t>
            </w:r>
          </w:p>
        </w:tc>
        <w:tc>
          <w:tcPr>
            <w:tcW w:w="330" w:type="pct"/>
            <w:vAlign w:val="center"/>
          </w:tcPr>
          <w:p w14:paraId="499A43FA">
            <w:pPr>
              <w:pStyle w:val="33"/>
              <w:rPr>
                <w:color w:val="auto"/>
              </w:rPr>
            </w:pPr>
            <w:r>
              <w:rPr>
                <w:color w:val="auto"/>
              </w:rPr>
              <w:t xml:space="preserve">1.491 </w:t>
            </w:r>
          </w:p>
        </w:tc>
        <w:tc>
          <w:tcPr>
            <w:tcW w:w="333" w:type="pct"/>
            <w:vAlign w:val="center"/>
          </w:tcPr>
          <w:p w14:paraId="3E2EAF61">
            <w:pPr>
              <w:pStyle w:val="33"/>
              <w:rPr>
                <w:color w:val="auto"/>
              </w:rPr>
            </w:pPr>
            <w:r>
              <w:rPr>
                <w:color w:val="auto"/>
              </w:rPr>
              <w:t xml:space="preserve">0.7455 </w:t>
            </w:r>
          </w:p>
        </w:tc>
        <w:tc>
          <w:tcPr>
            <w:tcW w:w="333" w:type="pct"/>
            <w:vAlign w:val="center"/>
          </w:tcPr>
          <w:p w14:paraId="200AE2C0">
            <w:pPr>
              <w:pStyle w:val="33"/>
              <w:rPr>
                <w:color w:val="auto"/>
              </w:rPr>
            </w:pPr>
            <w:r>
              <w:rPr>
                <w:color w:val="auto"/>
              </w:rPr>
              <w:t>/</w:t>
            </w:r>
          </w:p>
        </w:tc>
        <w:tc>
          <w:tcPr>
            <w:tcW w:w="333" w:type="pct"/>
            <w:vAlign w:val="center"/>
          </w:tcPr>
          <w:p w14:paraId="5CA9904D">
            <w:pPr>
              <w:pStyle w:val="33"/>
              <w:rPr>
                <w:color w:val="auto"/>
              </w:rPr>
            </w:pPr>
            <w:r>
              <w:rPr>
                <w:color w:val="auto"/>
              </w:rPr>
              <w:t>/</w:t>
            </w:r>
          </w:p>
        </w:tc>
        <w:tc>
          <w:tcPr>
            <w:tcW w:w="397" w:type="pct"/>
            <w:vAlign w:val="center"/>
          </w:tcPr>
          <w:p w14:paraId="7011CEC9">
            <w:pPr>
              <w:pStyle w:val="33"/>
              <w:rPr>
                <w:color w:val="auto"/>
              </w:rPr>
            </w:pPr>
            <w:r>
              <w:rPr>
                <w:color w:val="auto"/>
              </w:rPr>
              <w:t>/</w:t>
            </w:r>
          </w:p>
        </w:tc>
        <w:tc>
          <w:tcPr>
            <w:tcW w:w="333" w:type="pct"/>
            <w:vAlign w:val="center"/>
          </w:tcPr>
          <w:p w14:paraId="7636D5AD">
            <w:pPr>
              <w:pStyle w:val="33"/>
              <w:rPr>
                <w:color w:val="auto"/>
              </w:rPr>
            </w:pPr>
            <w:r>
              <w:rPr>
                <w:color w:val="auto"/>
              </w:rPr>
              <w:t>/</w:t>
            </w:r>
          </w:p>
        </w:tc>
        <w:tc>
          <w:tcPr>
            <w:tcW w:w="338" w:type="pct"/>
            <w:vAlign w:val="center"/>
          </w:tcPr>
          <w:p w14:paraId="30B033FA">
            <w:pPr>
              <w:pStyle w:val="33"/>
              <w:rPr>
                <w:color w:val="auto"/>
              </w:rPr>
            </w:pPr>
            <w:r>
              <w:rPr>
                <w:color w:val="auto"/>
              </w:rPr>
              <w:t>/</w:t>
            </w:r>
          </w:p>
        </w:tc>
      </w:tr>
      <w:tr w14:paraId="5318A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EDF5C00">
            <w:pPr>
              <w:pStyle w:val="33"/>
              <w:rPr>
                <w:color w:val="auto"/>
              </w:rPr>
            </w:pPr>
            <w:r>
              <w:rPr>
                <w:rFonts w:eastAsia="等线"/>
                <w:color w:val="auto"/>
              </w:rPr>
              <w:t>29</w:t>
            </w:r>
          </w:p>
        </w:tc>
        <w:tc>
          <w:tcPr>
            <w:tcW w:w="591" w:type="pct"/>
            <w:vAlign w:val="center"/>
          </w:tcPr>
          <w:p w14:paraId="69D94D54">
            <w:pPr>
              <w:pStyle w:val="33"/>
              <w:rPr>
                <w:color w:val="auto"/>
              </w:rPr>
            </w:pPr>
            <w:r>
              <w:rPr>
                <w:color w:val="auto"/>
              </w:rPr>
              <w:t>109</w:t>
            </w:r>
          </w:p>
        </w:tc>
        <w:tc>
          <w:tcPr>
            <w:tcW w:w="333" w:type="pct"/>
            <w:vAlign w:val="center"/>
          </w:tcPr>
          <w:p w14:paraId="50788DD8">
            <w:pPr>
              <w:pStyle w:val="33"/>
              <w:rPr>
                <w:color w:val="auto"/>
              </w:rPr>
            </w:pPr>
            <w:r>
              <w:rPr>
                <w:color w:val="auto"/>
              </w:rPr>
              <w:t xml:space="preserve">20 </w:t>
            </w:r>
          </w:p>
        </w:tc>
        <w:tc>
          <w:tcPr>
            <w:tcW w:w="333" w:type="pct"/>
            <w:vAlign w:val="center"/>
          </w:tcPr>
          <w:p w14:paraId="3BE67AC0">
            <w:pPr>
              <w:pStyle w:val="33"/>
              <w:rPr>
                <w:color w:val="auto"/>
              </w:rPr>
            </w:pPr>
            <w:r>
              <w:rPr>
                <w:color w:val="auto"/>
              </w:rPr>
              <w:t xml:space="preserve">0.5 </w:t>
            </w:r>
          </w:p>
        </w:tc>
        <w:tc>
          <w:tcPr>
            <w:tcW w:w="376" w:type="pct"/>
            <w:vAlign w:val="center"/>
          </w:tcPr>
          <w:p w14:paraId="13FFE514">
            <w:pPr>
              <w:pStyle w:val="33"/>
              <w:rPr>
                <w:color w:val="auto"/>
              </w:rPr>
            </w:pPr>
            <w:r>
              <w:rPr>
                <w:color w:val="auto"/>
              </w:rPr>
              <w:t xml:space="preserve">10886 </w:t>
            </w:r>
          </w:p>
        </w:tc>
        <w:tc>
          <w:tcPr>
            <w:tcW w:w="359" w:type="pct"/>
            <w:vAlign w:val="center"/>
          </w:tcPr>
          <w:p w14:paraId="5B03F520">
            <w:pPr>
              <w:pStyle w:val="33"/>
              <w:rPr>
                <w:color w:val="auto"/>
              </w:rPr>
            </w:pPr>
            <w:r>
              <w:rPr>
                <w:color w:val="auto"/>
              </w:rPr>
              <w:t>/</w:t>
            </w:r>
          </w:p>
        </w:tc>
        <w:tc>
          <w:tcPr>
            <w:tcW w:w="359" w:type="pct"/>
            <w:vAlign w:val="center"/>
          </w:tcPr>
          <w:p w14:paraId="41DFA3B1">
            <w:pPr>
              <w:pStyle w:val="33"/>
              <w:rPr>
                <w:color w:val="auto"/>
              </w:rPr>
            </w:pPr>
            <w:r>
              <w:rPr>
                <w:color w:val="auto"/>
              </w:rPr>
              <w:t>/</w:t>
            </w:r>
          </w:p>
        </w:tc>
        <w:tc>
          <w:tcPr>
            <w:tcW w:w="330" w:type="pct"/>
            <w:vAlign w:val="center"/>
          </w:tcPr>
          <w:p w14:paraId="3B9799B0">
            <w:pPr>
              <w:pStyle w:val="33"/>
              <w:rPr>
                <w:color w:val="auto"/>
              </w:rPr>
            </w:pPr>
            <w:r>
              <w:rPr>
                <w:color w:val="auto"/>
              </w:rPr>
              <w:t>/</w:t>
            </w:r>
          </w:p>
        </w:tc>
        <w:tc>
          <w:tcPr>
            <w:tcW w:w="333" w:type="pct"/>
            <w:vAlign w:val="center"/>
          </w:tcPr>
          <w:p w14:paraId="41EFCD5A">
            <w:pPr>
              <w:pStyle w:val="33"/>
              <w:rPr>
                <w:color w:val="auto"/>
              </w:rPr>
            </w:pPr>
            <w:r>
              <w:rPr>
                <w:color w:val="auto"/>
              </w:rPr>
              <w:t>/</w:t>
            </w:r>
          </w:p>
        </w:tc>
        <w:tc>
          <w:tcPr>
            <w:tcW w:w="333" w:type="pct"/>
            <w:vAlign w:val="center"/>
          </w:tcPr>
          <w:p w14:paraId="27A5DC6C">
            <w:pPr>
              <w:pStyle w:val="33"/>
              <w:rPr>
                <w:color w:val="auto"/>
              </w:rPr>
            </w:pPr>
            <w:r>
              <w:rPr>
                <w:color w:val="auto"/>
              </w:rPr>
              <w:t xml:space="preserve">0.007 </w:t>
            </w:r>
          </w:p>
        </w:tc>
        <w:tc>
          <w:tcPr>
            <w:tcW w:w="333" w:type="pct"/>
            <w:vAlign w:val="center"/>
          </w:tcPr>
          <w:p w14:paraId="2105F633">
            <w:pPr>
              <w:pStyle w:val="33"/>
              <w:rPr>
                <w:color w:val="auto"/>
              </w:rPr>
            </w:pPr>
            <w:r>
              <w:rPr>
                <w:color w:val="auto"/>
              </w:rPr>
              <w:t>/</w:t>
            </w:r>
          </w:p>
        </w:tc>
        <w:tc>
          <w:tcPr>
            <w:tcW w:w="397" w:type="pct"/>
            <w:vAlign w:val="center"/>
          </w:tcPr>
          <w:p w14:paraId="7CC2C9A2">
            <w:pPr>
              <w:pStyle w:val="33"/>
              <w:rPr>
                <w:color w:val="auto"/>
              </w:rPr>
            </w:pPr>
            <w:r>
              <w:rPr>
                <w:color w:val="auto"/>
              </w:rPr>
              <w:t>/</w:t>
            </w:r>
          </w:p>
        </w:tc>
        <w:tc>
          <w:tcPr>
            <w:tcW w:w="333" w:type="pct"/>
            <w:vAlign w:val="center"/>
          </w:tcPr>
          <w:p w14:paraId="57BE3427">
            <w:pPr>
              <w:pStyle w:val="33"/>
              <w:rPr>
                <w:color w:val="auto"/>
              </w:rPr>
            </w:pPr>
            <w:r>
              <w:rPr>
                <w:color w:val="auto"/>
              </w:rPr>
              <w:t xml:space="preserve">0.013 </w:t>
            </w:r>
          </w:p>
        </w:tc>
        <w:tc>
          <w:tcPr>
            <w:tcW w:w="338" w:type="pct"/>
            <w:vAlign w:val="center"/>
          </w:tcPr>
          <w:p w14:paraId="36E39003">
            <w:pPr>
              <w:pStyle w:val="33"/>
              <w:rPr>
                <w:color w:val="auto"/>
              </w:rPr>
            </w:pPr>
            <w:r>
              <w:rPr>
                <w:color w:val="auto"/>
              </w:rPr>
              <w:t>/</w:t>
            </w:r>
          </w:p>
        </w:tc>
      </w:tr>
      <w:tr w14:paraId="7CCD5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3C1B730">
            <w:pPr>
              <w:pStyle w:val="33"/>
              <w:rPr>
                <w:color w:val="auto"/>
              </w:rPr>
            </w:pPr>
            <w:r>
              <w:rPr>
                <w:rFonts w:eastAsia="等线"/>
                <w:color w:val="auto"/>
              </w:rPr>
              <w:t>30</w:t>
            </w:r>
          </w:p>
        </w:tc>
        <w:tc>
          <w:tcPr>
            <w:tcW w:w="591" w:type="pct"/>
            <w:vAlign w:val="center"/>
          </w:tcPr>
          <w:p w14:paraId="699DA96A">
            <w:pPr>
              <w:pStyle w:val="33"/>
              <w:rPr>
                <w:color w:val="auto"/>
              </w:rPr>
            </w:pPr>
            <w:r>
              <w:rPr>
                <w:color w:val="auto"/>
              </w:rPr>
              <w:t>110</w:t>
            </w:r>
          </w:p>
        </w:tc>
        <w:tc>
          <w:tcPr>
            <w:tcW w:w="333" w:type="pct"/>
            <w:vAlign w:val="center"/>
          </w:tcPr>
          <w:p w14:paraId="607946CF">
            <w:pPr>
              <w:pStyle w:val="33"/>
              <w:rPr>
                <w:color w:val="auto"/>
              </w:rPr>
            </w:pPr>
            <w:r>
              <w:rPr>
                <w:color w:val="auto"/>
              </w:rPr>
              <w:t xml:space="preserve">20 </w:t>
            </w:r>
          </w:p>
        </w:tc>
        <w:tc>
          <w:tcPr>
            <w:tcW w:w="333" w:type="pct"/>
            <w:vAlign w:val="center"/>
          </w:tcPr>
          <w:p w14:paraId="279E6458">
            <w:pPr>
              <w:pStyle w:val="33"/>
              <w:rPr>
                <w:color w:val="auto"/>
              </w:rPr>
            </w:pPr>
            <w:r>
              <w:rPr>
                <w:color w:val="auto"/>
              </w:rPr>
              <w:t xml:space="preserve">0.6 </w:t>
            </w:r>
          </w:p>
        </w:tc>
        <w:tc>
          <w:tcPr>
            <w:tcW w:w="376" w:type="pct"/>
            <w:vAlign w:val="center"/>
          </w:tcPr>
          <w:p w14:paraId="027C4217">
            <w:pPr>
              <w:pStyle w:val="33"/>
              <w:rPr>
                <w:color w:val="auto"/>
              </w:rPr>
            </w:pPr>
            <w:r>
              <w:rPr>
                <w:color w:val="auto"/>
              </w:rPr>
              <w:t xml:space="preserve">16388 </w:t>
            </w:r>
          </w:p>
        </w:tc>
        <w:tc>
          <w:tcPr>
            <w:tcW w:w="359" w:type="pct"/>
            <w:vAlign w:val="center"/>
          </w:tcPr>
          <w:p w14:paraId="74000FB8">
            <w:pPr>
              <w:pStyle w:val="33"/>
              <w:rPr>
                <w:color w:val="auto"/>
              </w:rPr>
            </w:pPr>
            <w:r>
              <w:rPr>
                <w:color w:val="auto"/>
              </w:rPr>
              <w:t>/</w:t>
            </w:r>
          </w:p>
        </w:tc>
        <w:tc>
          <w:tcPr>
            <w:tcW w:w="359" w:type="pct"/>
            <w:vAlign w:val="center"/>
          </w:tcPr>
          <w:p w14:paraId="4167FBDC">
            <w:pPr>
              <w:pStyle w:val="33"/>
              <w:rPr>
                <w:color w:val="auto"/>
              </w:rPr>
            </w:pPr>
            <w:r>
              <w:rPr>
                <w:color w:val="auto"/>
              </w:rPr>
              <w:t>/</w:t>
            </w:r>
          </w:p>
        </w:tc>
        <w:tc>
          <w:tcPr>
            <w:tcW w:w="330" w:type="pct"/>
            <w:vAlign w:val="center"/>
          </w:tcPr>
          <w:p w14:paraId="4D35F49F">
            <w:pPr>
              <w:pStyle w:val="33"/>
              <w:rPr>
                <w:color w:val="auto"/>
              </w:rPr>
            </w:pPr>
            <w:r>
              <w:rPr>
                <w:color w:val="auto"/>
              </w:rPr>
              <w:t>/</w:t>
            </w:r>
          </w:p>
        </w:tc>
        <w:tc>
          <w:tcPr>
            <w:tcW w:w="333" w:type="pct"/>
            <w:vAlign w:val="center"/>
          </w:tcPr>
          <w:p w14:paraId="29F65F77">
            <w:pPr>
              <w:pStyle w:val="33"/>
              <w:rPr>
                <w:color w:val="auto"/>
              </w:rPr>
            </w:pPr>
            <w:r>
              <w:rPr>
                <w:color w:val="auto"/>
              </w:rPr>
              <w:t>/</w:t>
            </w:r>
          </w:p>
        </w:tc>
        <w:tc>
          <w:tcPr>
            <w:tcW w:w="333" w:type="pct"/>
            <w:vAlign w:val="center"/>
          </w:tcPr>
          <w:p w14:paraId="6BB91AB1">
            <w:pPr>
              <w:pStyle w:val="33"/>
              <w:rPr>
                <w:color w:val="auto"/>
              </w:rPr>
            </w:pPr>
            <w:r>
              <w:rPr>
                <w:color w:val="auto"/>
              </w:rPr>
              <w:t>/</w:t>
            </w:r>
          </w:p>
        </w:tc>
        <w:tc>
          <w:tcPr>
            <w:tcW w:w="333" w:type="pct"/>
            <w:vAlign w:val="center"/>
          </w:tcPr>
          <w:p w14:paraId="3741D690">
            <w:pPr>
              <w:pStyle w:val="33"/>
              <w:rPr>
                <w:color w:val="auto"/>
              </w:rPr>
            </w:pPr>
            <w:r>
              <w:rPr>
                <w:color w:val="auto"/>
              </w:rPr>
              <w:t xml:space="preserve">0.0975 </w:t>
            </w:r>
          </w:p>
        </w:tc>
        <w:tc>
          <w:tcPr>
            <w:tcW w:w="397" w:type="pct"/>
            <w:vAlign w:val="center"/>
          </w:tcPr>
          <w:p w14:paraId="73D11944">
            <w:pPr>
              <w:pStyle w:val="33"/>
              <w:rPr>
                <w:color w:val="auto"/>
              </w:rPr>
            </w:pPr>
            <w:r>
              <w:rPr>
                <w:color w:val="auto"/>
              </w:rPr>
              <w:t>/</w:t>
            </w:r>
          </w:p>
        </w:tc>
        <w:tc>
          <w:tcPr>
            <w:tcW w:w="333" w:type="pct"/>
            <w:vAlign w:val="center"/>
          </w:tcPr>
          <w:p w14:paraId="37C3466E">
            <w:pPr>
              <w:pStyle w:val="33"/>
              <w:rPr>
                <w:color w:val="auto"/>
              </w:rPr>
            </w:pPr>
            <w:r>
              <w:rPr>
                <w:color w:val="auto"/>
              </w:rPr>
              <w:t>/</w:t>
            </w:r>
          </w:p>
        </w:tc>
        <w:tc>
          <w:tcPr>
            <w:tcW w:w="338" w:type="pct"/>
            <w:vAlign w:val="center"/>
          </w:tcPr>
          <w:p w14:paraId="5971C632">
            <w:pPr>
              <w:pStyle w:val="33"/>
              <w:rPr>
                <w:color w:val="auto"/>
              </w:rPr>
            </w:pPr>
            <w:r>
              <w:rPr>
                <w:color w:val="auto"/>
              </w:rPr>
              <w:t>/</w:t>
            </w:r>
          </w:p>
        </w:tc>
      </w:tr>
      <w:tr w14:paraId="5DDF3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6D75DE54">
            <w:pPr>
              <w:pStyle w:val="33"/>
              <w:rPr>
                <w:color w:val="auto"/>
              </w:rPr>
            </w:pPr>
            <w:r>
              <w:rPr>
                <w:color w:val="auto"/>
              </w:rPr>
              <w:t>广西格派电池新材料有限公司格派新能源电池材料一体化项目（一期）</w:t>
            </w:r>
          </w:p>
        </w:tc>
      </w:tr>
      <w:tr w14:paraId="5AB3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83A6FD0">
            <w:pPr>
              <w:pStyle w:val="33"/>
              <w:rPr>
                <w:color w:val="auto"/>
              </w:rPr>
            </w:pPr>
            <w:r>
              <w:rPr>
                <w:rFonts w:eastAsia="等线"/>
                <w:color w:val="auto"/>
              </w:rPr>
              <w:t>31</w:t>
            </w:r>
          </w:p>
        </w:tc>
        <w:tc>
          <w:tcPr>
            <w:tcW w:w="591" w:type="pct"/>
            <w:vAlign w:val="center"/>
          </w:tcPr>
          <w:p w14:paraId="54E06C8E">
            <w:pPr>
              <w:pStyle w:val="33"/>
              <w:rPr>
                <w:color w:val="auto"/>
              </w:rPr>
            </w:pPr>
            <w:r>
              <w:rPr>
                <w:color w:val="auto"/>
              </w:rPr>
              <w:t>DA001</w:t>
            </w:r>
          </w:p>
        </w:tc>
        <w:tc>
          <w:tcPr>
            <w:tcW w:w="333" w:type="pct"/>
            <w:vAlign w:val="center"/>
          </w:tcPr>
          <w:p w14:paraId="40B1764D">
            <w:pPr>
              <w:pStyle w:val="33"/>
              <w:rPr>
                <w:color w:val="auto"/>
              </w:rPr>
            </w:pPr>
            <w:r>
              <w:rPr>
                <w:color w:val="auto"/>
              </w:rPr>
              <w:t xml:space="preserve">15 </w:t>
            </w:r>
          </w:p>
        </w:tc>
        <w:tc>
          <w:tcPr>
            <w:tcW w:w="333" w:type="pct"/>
            <w:vAlign w:val="center"/>
          </w:tcPr>
          <w:p w14:paraId="73144555">
            <w:pPr>
              <w:pStyle w:val="33"/>
              <w:rPr>
                <w:color w:val="auto"/>
              </w:rPr>
            </w:pPr>
            <w:r>
              <w:rPr>
                <w:color w:val="auto"/>
              </w:rPr>
              <w:t xml:space="preserve">0.45 </w:t>
            </w:r>
          </w:p>
        </w:tc>
        <w:tc>
          <w:tcPr>
            <w:tcW w:w="376" w:type="pct"/>
            <w:vAlign w:val="center"/>
          </w:tcPr>
          <w:p w14:paraId="6BB4B427">
            <w:pPr>
              <w:pStyle w:val="33"/>
              <w:rPr>
                <w:color w:val="auto"/>
              </w:rPr>
            </w:pPr>
            <w:r>
              <w:rPr>
                <w:color w:val="auto"/>
              </w:rPr>
              <w:t xml:space="preserve">6000 </w:t>
            </w:r>
          </w:p>
        </w:tc>
        <w:tc>
          <w:tcPr>
            <w:tcW w:w="359" w:type="pct"/>
            <w:vAlign w:val="center"/>
          </w:tcPr>
          <w:p w14:paraId="0E703A20">
            <w:pPr>
              <w:pStyle w:val="33"/>
              <w:rPr>
                <w:color w:val="auto"/>
              </w:rPr>
            </w:pPr>
            <w:r>
              <w:rPr>
                <w:color w:val="auto"/>
              </w:rPr>
              <w:t>/</w:t>
            </w:r>
          </w:p>
        </w:tc>
        <w:tc>
          <w:tcPr>
            <w:tcW w:w="359" w:type="pct"/>
            <w:vAlign w:val="center"/>
          </w:tcPr>
          <w:p w14:paraId="02729E24">
            <w:pPr>
              <w:pStyle w:val="33"/>
              <w:rPr>
                <w:color w:val="auto"/>
              </w:rPr>
            </w:pPr>
            <w:r>
              <w:rPr>
                <w:color w:val="auto"/>
              </w:rPr>
              <w:t>/</w:t>
            </w:r>
          </w:p>
        </w:tc>
        <w:tc>
          <w:tcPr>
            <w:tcW w:w="330" w:type="pct"/>
            <w:vAlign w:val="center"/>
          </w:tcPr>
          <w:p w14:paraId="02298D9E">
            <w:pPr>
              <w:pStyle w:val="33"/>
              <w:rPr>
                <w:color w:val="auto"/>
              </w:rPr>
            </w:pPr>
            <w:r>
              <w:rPr>
                <w:color w:val="auto"/>
              </w:rPr>
              <w:t xml:space="preserve">0.28465 </w:t>
            </w:r>
          </w:p>
        </w:tc>
        <w:tc>
          <w:tcPr>
            <w:tcW w:w="333" w:type="pct"/>
            <w:vAlign w:val="center"/>
          </w:tcPr>
          <w:p w14:paraId="0F2AA545">
            <w:pPr>
              <w:pStyle w:val="33"/>
              <w:rPr>
                <w:color w:val="auto"/>
              </w:rPr>
            </w:pPr>
            <w:r>
              <w:rPr>
                <w:color w:val="auto"/>
              </w:rPr>
              <w:t>/</w:t>
            </w:r>
          </w:p>
        </w:tc>
        <w:tc>
          <w:tcPr>
            <w:tcW w:w="333" w:type="pct"/>
            <w:vAlign w:val="center"/>
          </w:tcPr>
          <w:p w14:paraId="7212FB63">
            <w:pPr>
              <w:pStyle w:val="33"/>
              <w:rPr>
                <w:color w:val="auto"/>
              </w:rPr>
            </w:pPr>
            <w:r>
              <w:rPr>
                <w:color w:val="auto"/>
              </w:rPr>
              <w:t>/</w:t>
            </w:r>
          </w:p>
        </w:tc>
        <w:tc>
          <w:tcPr>
            <w:tcW w:w="333" w:type="pct"/>
            <w:vAlign w:val="center"/>
          </w:tcPr>
          <w:p w14:paraId="5D42E770">
            <w:pPr>
              <w:pStyle w:val="33"/>
              <w:rPr>
                <w:color w:val="auto"/>
              </w:rPr>
            </w:pPr>
            <w:r>
              <w:rPr>
                <w:color w:val="auto"/>
              </w:rPr>
              <w:t>/</w:t>
            </w:r>
          </w:p>
        </w:tc>
        <w:tc>
          <w:tcPr>
            <w:tcW w:w="397" w:type="pct"/>
            <w:vAlign w:val="center"/>
          </w:tcPr>
          <w:p w14:paraId="6AB59FA8">
            <w:pPr>
              <w:pStyle w:val="33"/>
              <w:rPr>
                <w:color w:val="auto"/>
              </w:rPr>
            </w:pPr>
            <w:r>
              <w:rPr>
                <w:color w:val="auto"/>
              </w:rPr>
              <w:t>/</w:t>
            </w:r>
          </w:p>
        </w:tc>
        <w:tc>
          <w:tcPr>
            <w:tcW w:w="333" w:type="pct"/>
            <w:vAlign w:val="center"/>
          </w:tcPr>
          <w:p w14:paraId="54BAE66B">
            <w:pPr>
              <w:pStyle w:val="33"/>
              <w:rPr>
                <w:color w:val="auto"/>
              </w:rPr>
            </w:pPr>
            <w:r>
              <w:rPr>
                <w:color w:val="auto"/>
              </w:rPr>
              <w:t>/</w:t>
            </w:r>
          </w:p>
        </w:tc>
        <w:tc>
          <w:tcPr>
            <w:tcW w:w="338" w:type="pct"/>
            <w:vAlign w:val="center"/>
          </w:tcPr>
          <w:p w14:paraId="2126706A">
            <w:pPr>
              <w:pStyle w:val="33"/>
              <w:rPr>
                <w:color w:val="auto"/>
              </w:rPr>
            </w:pPr>
            <w:r>
              <w:rPr>
                <w:color w:val="auto"/>
              </w:rPr>
              <w:t>/</w:t>
            </w:r>
          </w:p>
        </w:tc>
      </w:tr>
      <w:tr w14:paraId="60135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AE9C236">
            <w:pPr>
              <w:pStyle w:val="33"/>
              <w:rPr>
                <w:color w:val="auto"/>
              </w:rPr>
            </w:pPr>
            <w:r>
              <w:rPr>
                <w:rFonts w:eastAsia="等线"/>
                <w:color w:val="auto"/>
              </w:rPr>
              <w:t>32</w:t>
            </w:r>
          </w:p>
        </w:tc>
        <w:tc>
          <w:tcPr>
            <w:tcW w:w="591" w:type="pct"/>
            <w:vAlign w:val="center"/>
          </w:tcPr>
          <w:p w14:paraId="64CC5E58">
            <w:pPr>
              <w:pStyle w:val="33"/>
              <w:rPr>
                <w:color w:val="auto"/>
              </w:rPr>
            </w:pPr>
            <w:r>
              <w:rPr>
                <w:color w:val="auto"/>
              </w:rPr>
              <w:t>DA002</w:t>
            </w:r>
          </w:p>
        </w:tc>
        <w:tc>
          <w:tcPr>
            <w:tcW w:w="333" w:type="pct"/>
            <w:vAlign w:val="center"/>
          </w:tcPr>
          <w:p w14:paraId="0F4C2FD0">
            <w:pPr>
              <w:pStyle w:val="33"/>
              <w:rPr>
                <w:color w:val="auto"/>
              </w:rPr>
            </w:pPr>
            <w:r>
              <w:rPr>
                <w:color w:val="auto"/>
              </w:rPr>
              <w:t xml:space="preserve">30 </w:t>
            </w:r>
          </w:p>
        </w:tc>
        <w:tc>
          <w:tcPr>
            <w:tcW w:w="333" w:type="pct"/>
            <w:vAlign w:val="center"/>
          </w:tcPr>
          <w:p w14:paraId="78D2E9DE">
            <w:pPr>
              <w:pStyle w:val="33"/>
              <w:rPr>
                <w:color w:val="auto"/>
              </w:rPr>
            </w:pPr>
            <w:r>
              <w:rPr>
                <w:color w:val="auto"/>
              </w:rPr>
              <w:t xml:space="preserve">1.5 </w:t>
            </w:r>
          </w:p>
        </w:tc>
        <w:tc>
          <w:tcPr>
            <w:tcW w:w="376" w:type="pct"/>
            <w:vAlign w:val="center"/>
          </w:tcPr>
          <w:p w14:paraId="4E62E967">
            <w:pPr>
              <w:pStyle w:val="33"/>
              <w:rPr>
                <w:color w:val="auto"/>
              </w:rPr>
            </w:pPr>
            <w:r>
              <w:rPr>
                <w:color w:val="auto"/>
              </w:rPr>
              <w:t xml:space="preserve">78500 </w:t>
            </w:r>
          </w:p>
        </w:tc>
        <w:tc>
          <w:tcPr>
            <w:tcW w:w="359" w:type="pct"/>
            <w:vAlign w:val="center"/>
          </w:tcPr>
          <w:p w14:paraId="43A0E2B8">
            <w:pPr>
              <w:pStyle w:val="33"/>
              <w:rPr>
                <w:color w:val="auto"/>
              </w:rPr>
            </w:pPr>
            <w:r>
              <w:rPr>
                <w:color w:val="auto"/>
              </w:rPr>
              <w:t>/</w:t>
            </w:r>
          </w:p>
        </w:tc>
        <w:tc>
          <w:tcPr>
            <w:tcW w:w="359" w:type="pct"/>
            <w:vAlign w:val="center"/>
          </w:tcPr>
          <w:p w14:paraId="0E267F91">
            <w:pPr>
              <w:pStyle w:val="33"/>
              <w:rPr>
                <w:color w:val="auto"/>
              </w:rPr>
            </w:pPr>
            <w:r>
              <w:rPr>
                <w:color w:val="auto"/>
              </w:rPr>
              <w:t>/</w:t>
            </w:r>
          </w:p>
        </w:tc>
        <w:tc>
          <w:tcPr>
            <w:tcW w:w="330" w:type="pct"/>
            <w:vAlign w:val="center"/>
          </w:tcPr>
          <w:p w14:paraId="75F8A587">
            <w:pPr>
              <w:pStyle w:val="33"/>
              <w:rPr>
                <w:color w:val="auto"/>
              </w:rPr>
            </w:pPr>
            <w:r>
              <w:rPr>
                <w:color w:val="auto"/>
              </w:rPr>
              <w:t xml:space="preserve">4.69301 </w:t>
            </w:r>
          </w:p>
        </w:tc>
        <w:tc>
          <w:tcPr>
            <w:tcW w:w="333" w:type="pct"/>
            <w:vAlign w:val="center"/>
          </w:tcPr>
          <w:p w14:paraId="5EF333A9">
            <w:pPr>
              <w:pStyle w:val="33"/>
              <w:rPr>
                <w:color w:val="auto"/>
              </w:rPr>
            </w:pPr>
            <w:r>
              <w:rPr>
                <w:color w:val="auto"/>
              </w:rPr>
              <w:t>/</w:t>
            </w:r>
          </w:p>
        </w:tc>
        <w:tc>
          <w:tcPr>
            <w:tcW w:w="333" w:type="pct"/>
            <w:vAlign w:val="center"/>
          </w:tcPr>
          <w:p w14:paraId="3311D1E8">
            <w:pPr>
              <w:pStyle w:val="33"/>
              <w:rPr>
                <w:color w:val="auto"/>
              </w:rPr>
            </w:pPr>
            <w:r>
              <w:rPr>
                <w:color w:val="auto"/>
              </w:rPr>
              <w:t>/</w:t>
            </w:r>
          </w:p>
        </w:tc>
        <w:tc>
          <w:tcPr>
            <w:tcW w:w="333" w:type="pct"/>
            <w:vAlign w:val="center"/>
          </w:tcPr>
          <w:p w14:paraId="4DAE8041">
            <w:pPr>
              <w:pStyle w:val="33"/>
              <w:rPr>
                <w:color w:val="auto"/>
              </w:rPr>
            </w:pPr>
            <w:r>
              <w:rPr>
                <w:color w:val="auto"/>
              </w:rPr>
              <w:t>/</w:t>
            </w:r>
          </w:p>
        </w:tc>
        <w:tc>
          <w:tcPr>
            <w:tcW w:w="397" w:type="pct"/>
            <w:vAlign w:val="center"/>
          </w:tcPr>
          <w:p w14:paraId="3A7B28B0">
            <w:pPr>
              <w:pStyle w:val="33"/>
              <w:rPr>
                <w:color w:val="auto"/>
              </w:rPr>
            </w:pPr>
            <w:r>
              <w:rPr>
                <w:color w:val="auto"/>
              </w:rPr>
              <w:t>/</w:t>
            </w:r>
          </w:p>
        </w:tc>
        <w:tc>
          <w:tcPr>
            <w:tcW w:w="333" w:type="pct"/>
            <w:vAlign w:val="center"/>
          </w:tcPr>
          <w:p w14:paraId="21D4B112">
            <w:pPr>
              <w:pStyle w:val="33"/>
              <w:rPr>
                <w:color w:val="auto"/>
              </w:rPr>
            </w:pPr>
            <w:r>
              <w:rPr>
                <w:color w:val="auto"/>
              </w:rPr>
              <w:t>/</w:t>
            </w:r>
          </w:p>
        </w:tc>
        <w:tc>
          <w:tcPr>
            <w:tcW w:w="338" w:type="pct"/>
            <w:vAlign w:val="center"/>
          </w:tcPr>
          <w:p w14:paraId="7799BDCD">
            <w:pPr>
              <w:pStyle w:val="33"/>
              <w:rPr>
                <w:color w:val="auto"/>
              </w:rPr>
            </w:pPr>
            <w:r>
              <w:rPr>
                <w:color w:val="auto"/>
              </w:rPr>
              <w:t>/</w:t>
            </w:r>
          </w:p>
        </w:tc>
      </w:tr>
      <w:tr w14:paraId="16E33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2439F6B">
            <w:pPr>
              <w:pStyle w:val="33"/>
              <w:rPr>
                <w:color w:val="auto"/>
              </w:rPr>
            </w:pPr>
            <w:r>
              <w:rPr>
                <w:rFonts w:eastAsia="等线"/>
                <w:color w:val="auto"/>
              </w:rPr>
              <w:t>33</w:t>
            </w:r>
          </w:p>
        </w:tc>
        <w:tc>
          <w:tcPr>
            <w:tcW w:w="591" w:type="pct"/>
            <w:vAlign w:val="center"/>
          </w:tcPr>
          <w:p w14:paraId="5747B79E">
            <w:pPr>
              <w:pStyle w:val="33"/>
              <w:rPr>
                <w:color w:val="auto"/>
              </w:rPr>
            </w:pPr>
            <w:r>
              <w:rPr>
                <w:color w:val="auto"/>
              </w:rPr>
              <w:t>DA003</w:t>
            </w:r>
          </w:p>
        </w:tc>
        <w:tc>
          <w:tcPr>
            <w:tcW w:w="333" w:type="pct"/>
            <w:vAlign w:val="center"/>
          </w:tcPr>
          <w:p w14:paraId="755C09E1">
            <w:pPr>
              <w:pStyle w:val="33"/>
              <w:rPr>
                <w:color w:val="auto"/>
              </w:rPr>
            </w:pPr>
            <w:r>
              <w:rPr>
                <w:color w:val="auto"/>
              </w:rPr>
              <w:t xml:space="preserve">15 </w:t>
            </w:r>
          </w:p>
        </w:tc>
        <w:tc>
          <w:tcPr>
            <w:tcW w:w="333" w:type="pct"/>
            <w:vAlign w:val="center"/>
          </w:tcPr>
          <w:p w14:paraId="66F3E2A4">
            <w:pPr>
              <w:pStyle w:val="33"/>
              <w:rPr>
                <w:color w:val="auto"/>
              </w:rPr>
            </w:pPr>
            <w:r>
              <w:rPr>
                <w:color w:val="auto"/>
              </w:rPr>
              <w:t xml:space="preserve">0.45 </w:t>
            </w:r>
          </w:p>
        </w:tc>
        <w:tc>
          <w:tcPr>
            <w:tcW w:w="376" w:type="pct"/>
            <w:vAlign w:val="center"/>
          </w:tcPr>
          <w:p w14:paraId="354A889E">
            <w:pPr>
              <w:pStyle w:val="33"/>
              <w:rPr>
                <w:color w:val="auto"/>
              </w:rPr>
            </w:pPr>
            <w:r>
              <w:rPr>
                <w:color w:val="auto"/>
              </w:rPr>
              <w:t xml:space="preserve">6000 </w:t>
            </w:r>
          </w:p>
        </w:tc>
        <w:tc>
          <w:tcPr>
            <w:tcW w:w="359" w:type="pct"/>
            <w:vAlign w:val="center"/>
          </w:tcPr>
          <w:p w14:paraId="0767E37A">
            <w:pPr>
              <w:pStyle w:val="33"/>
              <w:rPr>
                <w:color w:val="auto"/>
              </w:rPr>
            </w:pPr>
            <w:r>
              <w:rPr>
                <w:color w:val="auto"/>
              </w:rPr>
              <w:t>/</w:t>
            </w:r>
          </w:p>
        </w:tc>
        <w:tc>
          <w:tcPr>
            <w:tcW w:w="359" w:type="pct"/>
            <w:vAlign w:val="center"/>
          </w:tcPr>
          <w:p w14:paraId="378E7D23">
            <w:pPr>
              <w:pStyle w:val="33"/>
              <w:rPr>
                <w:color w:val="auto"/>
              </w:rPr>
            </w:pPr>
            <w:r>
              <w:rPr>
                <w:color w:val="auto"/>
              </w:rPr>
              <w:t>/</w:t>
            </w:r>
          </w:p>
        </w:tc>
        <w:tc>
          <w:tcPr>
            <w:tcW w:w="330" w:type="pct"/>
            <w:vAlign w:val="center"/>
          </w:tcPr>
          <w:p w14:paraId="70637BEE">
            <w:pPr>
              <w:pStyle w:val="33"/>
              <w:rPr>
                <w:color w:val="auto"/>
              </w:rPr>
            </w:pPr>
            <w:r>
              <w:rPr>
                <w:color w:val="auto"/>
              </w:rPr>
              <w:t xml:space="preserve">0.21035 </w:t>
            </w:r>
          </w:p>
        </w:tc>
        <w:tc>
          <w:tcPr>
            <w:tcW w:w="333" w:type="pct"/>
            <w:vAlign w:val="center"/>
          </w:tcPr>
          <w:p w14:paraId="33965FF5">
            <w:pPr>
              <w:pStyle w:val="33"/>
              <w:rPr>
                <w:color w:val="auto"/>
              </w:rPr>
            </w:pPr>
            <w:r>
              <w:rPr>
                <w:color w:val="auto"/>
              </w:rPr>
              <w:t>/</w:t>
            </w:r>
          </w:p>
        </w:tc>
        <w:tc>
          <w:tcPr>
            <w:tcW w:w="333" w:type="pct"/>
            <w:vAlign w:val="center"/>
          </w:tcPr>
          <w:p w14:paraId="2AEC15A5">
            <w:pPr>
              <w:pStyle w:val="33"/>
              <w:rPr>
                <w:color w:val="auto"/>
              </w:rPr>
            </w:pPr>
            <w:r>
              <w:rPr>
                <w:color w:val="auto"/>
              </w:rPr>
              <w:t>/</w:t>
            </w:r>
          </w:p>
        </w:tc>
        <w:tc>
          <w:tcPr>
            <w:tcW w:w="333" w:type="pct"/>
            <w:vAlign w:val="center"/>
          </w:tcPr>
          <w:p w14:paraId="3E07140A">
            <w:pPr>
              <w:pStyle w:val="33"/>
              <w:rPr>
                <w:color w:val="auto"/>
              </w:rPr>
            </w:pPr>
            <w:r>
              <w:rPr>
                <w:color w:val="auto"/>
              </w:rPr>
              <w:t>/</w:t>
            </w:r>
          </w:p>
        </w:tc>
        <w:tc>
          <w:tcPr>
            <w:tcW w:w="397" w:type="pct"/>
            <w:vAlign w:val="center"/>
          </w:tcPr>
          <w:p w14:paraId="309886D8">
            <w:pPr>
              <w:pStyle w:val="33"/>
              <w:rPr>
                <w:color w:val="auto"/>
              </w:rPr>
            </w:pPr>
            <w:r>
              <w:rPr>
                <w:color w:val="auto"/>
              </w:rPr>
              <w:t>/</w:t>
            </w:r>
          </w:p>
        </w:tc>
        <w:tc>
          <w:tcPr>
            <w:tcW w:w="333" w:type="pct"/>
            <w:vAlign w:val="center"/>
          </w:tcPr>
          <w:p w14:paraId="6679E3AF">
            <w:pPr>
              <w:pStyle w:val="33"/>
              <w:rPr>
                <w:color w:val="auto"/>
              </w:rPr>
            </w:pPr>
            <w:r>
              <w:rPr>
                <w:color w:val="auto"/>
              </w:rPr>
              <w:t>/</w:t>
            </w:r>
          </w:p>
        </w:tc>
        <w:tc>
          <w:tcPr>
            <w:tcW w:w="338" w:type="pct"/>
            <w:vAlign w:val="center"/>
          </w:tcPr>
          <w:p w14:paraId="6D209AE5">
            <w:pPr>
              <w:pStyle w:val="33"/>
              <w:rPr>
                <w:color w:val="auto"/>
              </w:rPr>
            </w:pPr>
            <w:r>
              <w:rPr>
                <w:color w:val="auto"/>
              </w:rPr>
              <w:t>/</w:t>
            </w:r>
          </w:p>
        </w:tc>
      </w:tr>
      <w:tr w14:paraId="6823D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62A7C33">
            <w:pPr>
              <w:pStyle w:val="33"/>
              <w:rPr>
                <w:color w:val="auto"/>
              </w:rPr>
            </w:pPr>
            <w:r>
              <w:rPr>
                <w:rFonts w:eastAsia="等线"/>
                <w:color w:val="auto"/>
              </w:rPr>
              <w:t>34</w:t>
            </w:r>
          </w:p>
        </w:tc>
        <w:tc>
          <w:tcPr>
            <w:tcW w:w="591" w:type="pct"/>
            <w:vAlign w:val="center"/>
          </w:tcPr>
          <w:p w14:paraId="46EB6C05">
            <w:pPr>
              <w:pStyle w:val="33"/>
              <w:rPr>
                <w:color w:val="auto"/>
              </w:rPr>
            </w:pPr>
            <w:r>
              <w:rPr>
                <w:color w:val="auto"/>
              </w:rPr>
              <w:t>DA004</w:t>
            </w:r>
          </w:p>
        </w:tc>
        <w:tc>
          <w:tcPr>
            <w:tcW w:w="333" w:type="pct"/>
            <w:vAlign w:val="center"/>
          </w:tcPr>
          <w:p w14:paraId="509BDE32">
            <w:pPr>
              <w:pStyle w:val="33"/>
              <w:rPr>
                <w:color w:val="auto"/>
              </w:rPr>
            </w:pPr>
            <w:r>
              <w:rPr>
                <w:color w:val="auto"/>
              </w:rPr>
              <w:t xml:space="preserve">15 </w:t>
            </w:r>
          </w:p>
        </w:tc>
        <w:tc>
          <w:tcPr>
            <w:tcW w:w="333" w:type="pct"/>
            <w:vAlign w:val="center"/>
          </w:tcPr>
          <w:p w14:paraId="06A810F7">
            <w:pPr>
              <w:pStyle w:val="33"/>
              <w:rPr>
                <w:color w:val="auto"/>
              </w:rPr>
            </w:pPr>
            <w:r>
              <w:rPr>
                <w:color w:val="auto"/>
              </w:rPr>
              <w:t xml:space="preserve">0.1 </w:t>
            </w:r>
          </w:p>
        </w:tc>
        <w:tc>
          <w:tcPr>
            <w:tcW w:w="376" w:type="pct"/>
            <w:vAlign w:val="center"/>
          </w:tcPr>
          <w:p w14:paraId="789F7D50">
            <w:pPr>
              <w:pStyle w:val="33"/>
              <w:rPr>
                <w:color w:val="auto"/>
              </w:rPr>
            </w:pPr>
            <w:r>
              <w:rPr>
                <w:color w:val="auto"/>
              </w:rPr>
              <w:t xml:space="preserve">1000 </w:t>
            </w:r>
          </w:p>
        </w:tc>
        <w:tc>
          <w:tcPr>
            <w:tcW w:w="359" w:type="pct"/>
            <w:vAlign w:val="center"/>
          </w:tcPr>
          <w:p w14:paraId="19975F00">
            <w:pPr>
              <w:pStyle w:val="33"/>
              <w:rPr>
                <w:color w:val="auto"/>
              </w:rPr>
            </w:pPr>
            <w:r>
              <w:rPr>
                <w:color w:val="auto"/>
              </w:rPr>
              <w:t>/</w:t>
            </w:r>
          </w:p>
        </w:tc>
        <w:tc>
          <w:tcPr>
            <w:tcW w:w="359" w:type="pct"/>
            <w:vAlign w:val="center"/>
          </w:tcPr>
          <w:p w14:paraId="5F243D11">
            <w:pPr>
              <w:pStyle w:val="33"/>
              <w:rPr>
                <w:color w:val="auto"/>
              </w:rPr>
            </w:pPr>
            <w:r>
              <w:rPr>
                <w:color w:val="auto"/>
              </w:rPr>
              <w:t>/</w:t>
            </w:r>
          </w:p>
        </w:tc>
        <w:tc>
          <w:tcPr>
            <w:tcW w:w="330" w:type="pct"/>
            <w:vAlign w:val="center"/>
          </w:tcPr>
          <w:p w14:paraId="0C47AC9D">
            <w:pPr>
              <w:pStyle w:val="33"/>
              <w:rPr>
                <w:color w:val="auto"/>
              </w:rPr>
            </w:pPr>
            <w:r>
              <w:rPr>
                <w:color w:val="auto"/>
              </w:rPr>
              <w:t xml:space="preserve">0.03927 </w:t>
            </w:r>
          </w:p>
        </w:tc>
        <w:tc>
          <w:tcPr>
            <w:tcW w:w="333" w:type="pct"/>
            <w:vAlign w:val="center"/>
          </w:tcPr>
          <w:p w14:paraId="34B5CB0B">
            <w:pPr>
              <w:pStyle w:val="33"/>
              <w:rPr>
                <w:color w:val="auto"/>
              </w:rPr>
            </w:pPr>
            <w:r>
              <w:rPr>
                <w:color w:val="auto"/>
              </w:rPr>
              <w:t>/</w:t>
            </w:r>
          </w:p>
        </w:tc>
        <w:tc>
          <w:tcPr>
            <w:tcW w:w="333" w:type="pct"/>
            <w:vAlign w:val="center"/>
          </w:tcPr>
          <w:p w14:paraId="3D3B2DD4">
            <w:pPr>
              <w:pStyle w:val="33"/>
              <w:rPr>
                <w:color w:val="auto"/>
              </w:rPr>
            </w:pPr>
            <w:r>
              <w:rPr>
                <w:color w:val="auto"/>
              </w:rPr>
              <w:t>/</w:t>
            </w:r>
          </w:p>
        </w:tc>
        <w:tc>
          <w:tcPr>
            <w:tcW w:w="333" w:type="pct"/>
            <w:vAlign w:val="center"/>
          </w:tcPr>
          <w:p w14:paraId="2259E6C6">
            <w:pPr>
              <w:pStyle w:val="33"/>
              <w:rPr>
                <w:color w:val="auto"/>
              </w:rPr>
            </w:pPr>
            <w:r>
              <w:rPr>
                <w:color w:val="auto"/>
              </w:rPr>
              <w:t>/</w:t>
            </w:r>
          </w:p>
        </w:tc>
        <w:tc>
          <w:tcPr>
            <w:tcW w:w="397" w:type="pct"/>
            <w:vAlign w:val="center"/>
          </w:tcPr>
          <w:p w14:paraId="6DF6FBB7">
            <w:pPr>
              <w:pStyle w:val="33"/>
              <w:rPr>
                <w:color w:val="auto"/>
              </w:rPr>
            </w:pPr>
            <w:r>
              <w:rPr>
                <w:color w:val="auto"/>
              </w:rPr>
              <w:t>/</w:t>
            </w:r>
          </w:p>
        </w:tc>
        <w:tc>
          <w:tcPr>
            <w:tcW w:w="333" w:type="pct"/>
            <w:vAlign w:val="center"/>
          </w:tcPr>
          <w:p w14:paraId="372387C1">
            <w:pPr>
              <w:pStyle w:val="33"/>
              <w:rPr>
                <w:color w:val="auto"/>
              </w:rPr>
            </w:pPr>
            <w:r>
              <w:rPr>
                <w:color w:val="auto"/>
              </w:rPr>
              <w:t>/</w:t>
            </w:r>
          </w:p>
        </w:tc>
        <w:tc>
          <w:tcPr>
            <w:tcW w:w="338" w:type="pct"/>
            <w:vAlign w:val="center"/>
          </w:tcPr>
          <w:p w14:paraId="691BBCB8">
            <w:pPr>
              <w:pStyle w:val="33"/>
              <w:rPr>
                <w:color w:val="auto"/>
              </w:rPr>
            </w:pPr>
            <w:r>
              <w:rPr>
                <w:color w:val="auto"/>
              </w:rPr>
              <w:t>/</w:t>
            </w:r>
          </w:p>
        </w:tc>
      </w:tr>
      <w:tr w14:paraId="1B317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1B811F9">
            <w:pPr>
              <w:pStyle w:val="33"/>
              <w:rPr>
                <w:color w:val="auto"/>
              </w:rPr>
            </w:pPr>
            <w:r>
              <w:rPr>
                <w:rFonts w:eastAsia="等线"/>
                <w:color w:val="auto"/>
              </w:rPr>
              <w:t>35</w:t>
            </w:r>
          </w:p>
        </w:tc>
        <w:tc>
          <w:tcPr>
            <w:tcW w:w="591" w:type="pct"/>
            <w:vAlign w:val="center"/>
          </w:tcPr>
          <w:p w14:paraId="4D96599E">
            <w:pPr>
              <w:pStyle w:val="33"/>
              <w:rPr>
                <w:color w:val="auto"/>
              </w:rPr>
            </w:pPr>
            <w:r>
              <w:rPr>
                <w:color w:val="auto"/>
              </w:rPr>
              <w:t>DA005</w:t>
            </w:r>
          </w:p>
        </w:tc>
        <w:tc>
          <w:tcPr>
            <w:tcW w:w="333" w:type="pct"/>
            <w:vAlign w:val="center"/>
          </w:tcPr>
          <w:p w14:paraId="1BF8EC46">
            <w:pPr>
              <w:pStyle w:val="33"/>
              <w:rPr>
                <w:color w:val="auto"/>
              </w:rPr>
            </w:pPr>
            <w:r>
              <w:rPr>
                <w:color w:val="auto"/>
              </w:rPr>
              <w:t xml:space="preserve">15 </w:t>
            </w:r>
          </w:p>
        </w:tc>
        <w:tc>
          <w:tcPr>
            <w:tcW w:w="333" w:type="pct"/>
            <w:vAlign w:val="center"/>
          </w:tcPr>
          <w:p w14:paraId="378D0628">
            <w:pPr>
              <w:pStyle w:val="33"/>
              <w:rPr>
                <w:color w:val="auto"/>
              </w:rPr>
            </w:pPr>
            <w:r>
              <w:rPr>
                <w:color w:val="auto"/>
              </w:rPr>
              <w:t xml:space="preserve">1 </w:t>
            </w:r>
          </w:p>
        </w:tc>
        <w:tc>
          <w:tcPr>
            <w:tcW w:w="376" w:type="pct"/>
            <w:vAlign w:val="center"/>
          </w:tcPr>
          <w:p w14:paraId="3832065F">
            <w:pPr>
              <w:pStyle w:val="33"/>
              <w:rPr>
                <w:color w:val="auto"/>
              </w:rPr>
            </w:pPr>
            <w:r>
              <w:rPr>
                <w:color w:val="auto"/>
              </w:rPr>
              <w:t xml:space="preserve">30000 </w:t>
            </w:r>
          </w:p>
        </w:tc>
        <w:tc>
          <w:tcPr>
            <w:tcW w:w="359" w:type="pct"/>
            <w:vAlign w:val="center"/>
          </w:tcPr>
          <w:p w14:paraId="722B3C2E">
            <w:pPr>
              <w:pStyle w:val="33"/>
              <w:rPr>
                <w:color w:val="auto"/>
              </w:rPr>
            </w:pPr>
            <w:r>
              <w:rPr>
                <w:color w:val="auto"/>
              </w:rPr>
              <w:t>/</w:t>
            </w:r>
          </w:p>
        </w:tc>
        <w:tc>
          <w:tcPr>
            <w:tcW w:w="359" w:type="pct"/>
            <w:vAlign w:val="center"/>
          </w:tcPr>
          <w:p w14:paraId="7FB0B076">
            <w:pPr>
              <w:pStyle w:val="33"/>
              <w:rPr>
                <w:color w:val="auto"/>
              </w:rPr>
            </w:pPr>
            <w:r>
              <w:rPr>
                <w:color w:val="auto"/>
              </w:rPr>
              <w:t>/</w:t>
            </w:r>
          </w:p>
        </w:tc>
        <w:tc>
          <w:tcPr>
            <w:tcW w:w="330" w:type="pct"/>
            <w:vAlign w:val="center"/>
          </w:tcPr>
          <w:p w14:paraId="386E9388">
            <w:pPr>
              <w:pStyle w:val="33"/>
              <w:rPr>
                <w:color w:val="auto"/>
              </w:rPr>
            </w:pPr>
            <w:r>
              <w:rPr>
                <w:color w:val="auto"/>
              </w:rPr>
              <w:t xml:space="preserve">0.34394 </w:t>
            </w:r>
          </w:p>
        </w:tc>
        <w:tc>
          <w:tcPr>
            <w:tcW w:w="333" w:type="pct"/>
            <w:vAlign w:val="center"/>
          </w:tcPr>
          <w:p w14:paraId="051E9B35">
            <w:pPr>
              <w:pStyle w:val="33"/>
              <w:rPr>
                <w:color w:val="auto"/>
              </w:rPr>
            </w:pPr>
            <w:r>
              <w:rPr>
                <w:color w:val="auto"/>
              </w:rPr>
              <w:t>/</w:t>
            </w:r>
          </w:p>
        </w:tc>
        <w:tc>
          <w:tcPr>
            <w:tcW w:w="333" w:type="pct"/>
            <w:vAlign w:val="center"/>
          </w:tcPr>
          <w:p w14:paraId="0234E8B8">
            <w:pPr>
              <w:pStyle w:val="33"/>
              <w:rPr>
                <w:color w:val="auto"/>
              </w:rPr>
            </w:pPr>
            <w:r>
              <w:rPr>
                <w:color w:val="auto"/>
              </w:rPr>
              <w:t>/</w:t>
            </w:r>
          </w:p>
        </w:tc>
        <w:tc>
          <w:tcPr>
            <w:tcW w:w="333" w:type="pct"/>
            <w:vAlign w:val="center"/>
          </w:tcPr>
          <w:p w14:paraId="42D0919E">
            <w:pPr>
              <w:pStyle w:val="33"/>
              <w:rPr>
                <w:color w:val="auto"/>
              </w:rPr>
            </w:pPr>
            <w:r>
              <w:rPr>
                <w:color w:val="auto"/>
              </w:rPr>
              <w:t>/</w:t>
            </w:r>
          </w:p>
        </w:tc>
        <w:tc>
          <w:tcPr>
            <w:tcW w:w="397" w:type="pct"/>
            <w:vAlign w:val="center"/>
          </w:tcPr>
          <w:p w14:paraId="566F2BC6">
            <w:pPr>
              <w:pStyle w:val="33"/>
              <w:rPr>
                <w:color w:val="auto"/>
              </w:rPr>
            </w:pPr>
            <w:r>
              <w:rPr>
                <w:color w:val="auto"/>
              </w:rPr>
              <w:t>/</w:t>
            </w:r>
          </w:p>
        </w:tc>
        <w:tc>
          <w:tcPr>
            <w:tcW w:w="333" w:type="pct"/>
            <w:vAlign w:val="center"/>
          </w:tcPr>
          <w:p w14:paraId="01EF1F74">
            <w:pPr>
              <w:pStyle w:val="33"/>
              <w:rPr>
                <w:color w:val="auto"/>
              </w:rPr>
            </w:pPr>
            <w:r>
              <w:rPr>
                <w:color w:val="auto"/>
              </w:rPr>
              <w:t>/</w:t>
            </w:r>
          </w:p>
        </w:tc>
        <w:tc>
          <w:tcPr>
            <w:tcW w:w="338" w:type="pct"/>
            <w:vAlign w:val="center"/>
          </w:tcPr>
          <w:p w14:paraId="4D96546B">
            <w:pPr>
              <w:pStyle w:val="33"/>
              <w:rPr>
                <w:color w:val="auto"/>
              </w:rPr>
            </w:pPr>
            <w:r>
              <w:rPr>
                <w:color w:val="auto"/>
              </w:rPr>
              <w:t>/</w:t>
            </w:r>
          </w:p>
        </w:tc>
      </w:tr>
      <w:tr w14:paraId="5B6E7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4C7B40E">
            <w:pPr>
              <w:pStyle w:val="33"/>
              <w:rPr>
                <w:color w:val="auto"/>
              </w:rPr>
            </w:pPr>
            <w:r>
              <w:rPr>
                <w:rFonts w:eastAsia="等线"/>
                <w:color w:val="auto"/>
              </w:rPr>
              <w:t>36</w:t>
            </w:r>
          </w:p>
        </w:tc>
        <w:tc>
          <w:tcPr>
            <w:tcW w:w="591" w:type="pct"/>
            <w:vAlign w:val="center"/>
          </w:tcPr>
          <w:p w14:paraId="0C5353A2">
            <w:pPr>
              <w:pStyle w:val="33"/>
              <w:rPr>
                <w:color w:val="auto"/>
              </w:rPr>
            </w:pPr>
            <w:r>
              <w:rPr>
                <w:color w:val="auto"/>
              </w:rPr>
              <w:t>DA006</w:t>
            </w:r>
          </w:p>
        </w:tc>
        <w:tc>
          <w:tcPr>
            <w:tcW w:w="333" w:type="pct"/>
            <w:vAlign w:val="center"/>
          </w:tcPr>
          <w:p w14:paraId="73BC1975">
            <w:pPr>
              <w:pStyle w:val="33"/>
              <w:rPr>
                <w:color w:val="auto"/>
              </w:rPr>
            </w:pPr>
            <w:r>
              <w:rPr>
                <w:color w:val="auto"/>
              </w:rPr>
              <w:t xml:space="preserve">15 </w:t>
            </w:r>
          </w:p>
        </w:tc>
        <w:tc>
          <w:tcPr>
            <w:tcW w:w="333" w:type="pct"/>
            <w:vAlign w:val="center"/>
          </w:tcPr>
          <w:p w14:paraId="122992C5">
            <w:pPr>
              <w:pStyle w:val="33"/>
              <w:rPr>
                <w:color w:val="auto"/>
              </w:rPr>
            </w:pPr>
            <w:r>
              <w:rPr>
                <w:color w:val="auto"/>
              </w:rPr>
              <w:t xml:space="preserve">0.45 </w:t>
            </w:r>
          </w:p>
        </w:tc>
        <w:tc>
          <w:tcPr>
            <w:tcW w:w="376" w:type="pct"/>
            <w:vAlign w:val="center"/>
          </w:tcPr>
          <w:p w14:paraId="5FF04D61">
            <w:pPr>
              <w:pStyle w:val="33"/>
              <w:rPr>
                <w:color w:val="auto"/>
              </w:rPr>
            </w:pPr>
            <w:r>
              <w:rPr>
                <w:color w:val="auto"/>
              </w:rPr>
              <w:t xml:space="preserve">6000 </w:t>
            </w:r>
          </w:p>
        </w:tc>
        <w:tc>
          <w:tcPr>
            <w:tcW w:w="359" w:type="pct"/>
            <w:vAlign w:val="center"/>
          </w:tcPr>
          <w:p w14:paraId="20D57CD3">
            <w:pPr>
              <w:pStyle w:val="33"/>
              <w:rPr>
                <w:color w:val="auto"/>
              </w:rPr>
            </w:pPr>
            <w:r>
              <w:rPr>
                <w:color w:val="auto"/>
              </w:rPr>
              <w:t>/</w:t>
            </w:r>
          </w:p>
        </w:tc>
        <w:tc>
          <w:tcPr>
            <w:tcW w:w="359" w:type="pct"/>
            <w:vAlign w:val="center"/>
          </w:tcPr>
          <w:p w14:paraId="3922646C">
            <w:pPr>
              <w:pStyle w:val="33"/>
              <w:rPr>
                <w:color w:val="auto"/>
              </w:rPr>
            </w:pPr>
            <w:r>
              <w:rPr>
                <w:color w:val="auto"/>
              </w:rPr>
              <w:t>/</w:t>
            </w:r>
          </w:p>
        </w:tc>
        <w:tc>
          <w:tcPr>
            <w:tcW w:w="330" w:type="pct"/>
            <w:vAlign w:val="center"/>
          </w:tcPr>
          <w:p w14:paraId="77735ECB">
            <w:pPr>
              <w:pStyle w:val="33"/>
              <w:rPr>
                <w:color w:val="auto"/>
              </w:rPr>
            </w:pPr>
            <w:r>
              <w:rPr>
                <w:color w:val="auto"/>
              </w:rPr>
              <w:t xml:space="preserve">0.14977 </w:t>
            </w:r>
          </w:p>
        </w:tc>
        <w:tc>
          <w:tcPr>
            <w:tcW w:w="333" w:type="pct"/>
            <w:vAlign w:val="center"/>
          </w:tcPr>
          <w:p w14:paraId="2008909A">
            <w:pPr>
              <w:pStyle w:val="33"/>
              <w:rPr>
                <w:color w:val="auto"/>
              </w:rPr>
            </w:pPr>
            <w:r>
              <w:rPr>
                <w:color w:val="auto"/>
              </w:rPr>
              <w:t>/</w:t>
            </w:r>
          </w:p>
        </w:tc>
        <w:tc>
          <w:tcPr>
            <w:tcW w:w="333" w:type="pct"/>
            <w:vAlign w:val="center"/>
          </w:tcPr>
          <w:p w14:paraId="03A02B5B">
            <w:pPr>
              <w:pStyle w:val="33"/>
              <w:rPr>
                <w:color w:val="auto"/>
              </w:rPr>
            </w:pPr>
            <w:r>
              <w:rPr>
                <w:color w:val="auto"/>
              </w:rPr>
              <w:t>/</w:t>
            </w:r>
          </w:p>
        </w:tc>
        <w:tc>
          <w:tcPr>
            <w:tcW w:w="333" w:type="pct"/>
            <w:vAlign w:val="center"/>
          </w:tcPr>
          <w:p w14:paraId="32ABF982">
            <w:pPr>
              <w:pStyle w:val="33"/>
              <w:rPr>
                <w:color w:val="auto"/>
              </w:rPr>
            </w:pPr>
            <w:r>
              <w:rPr>
                <w:color w:val="auto"/>
              </w:rPr>
              <w:t>/</w:t>
            </w:r>
          </w:p>
        </w:tc>
        <w:tc>
          <w:tcPr>
            <w:tcW w:w="397" w:type="pct"/>
            <w:vAlign w:val="center"/>
          </w:tcPr>
          <w:p w14:paraId="0A8FB397">
            <w:pPr>
              <w:pStyle w:val="33"/>
              <w:rPr>
                <w:color w:val="auto"/>
              </w:rPr>
            </w:pPr>
            <w:r>
              <w:rPr>
                <w:color w:val="auto"/>
              </w:rPr>
              <w:t>/</w:t>
            </w:r>
          </w:p>
        </w:tc>
        <w:tc>
          <w:tcPr>
            <w:tcW w:w="333" w:type="pct"/>
            <w:vAlign w:val="center"/>
          </w:tcPr>
          <w:p w14:paraId="45E966A5">
            <w:pPr>
              <w:pStyle w:val="33"/>
              <w:rPr>
                <w:color w:val="auto"/>
              </w:rPr>
            </w:pPr>
            <w:r>
              <w:rPr>
                <w:color w:val="auto"/>
              </w:rPr>
              <w:t>/</w:t>
            </w:r>
          </w:p>
        </w:tc>
        <w:tc>
          <w:tcPr>
            <w:tcW w:w="338" w:type="pct"/>
            <w:vAlign w:val="center"/>
          </w:tcPr>
          <w:p w14:paraId="2613AA06">
            <w:pPr>
              <w:pStyle w:val="33"/>
              <w:rPr>
                <w:color w:val="auto"/>
              </w:rPr>
            </w:pPr>
            <w:r>
              <w:rPr>
                <w:color w:val="auto"/>
              </w:rPr>
              <w:t>/</w:t>
            </w:r>
          </w:p>
        </w:tc>
      </w:tr>
      <w:tr w14:paraId="3824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828BAE1">
            <w:pPr>
              <w:pStyle w:val="33"/>
              <w:rPr>
                <w:color w:val="auto"/>
              </w:rPr>
            </w:pPr>
            <w:r>
              <w:rPr>
                <w:rFonts w:eastAsia="等线"/>
                <w:color w:val="auto"/>
              </w:rPr>
              <w:t>37</w:t>
            </w:r>
          </w:p>
        </w:tc>
        <w:tc>
          <w:tcPr>
            <w:tcW w:w="591" w:type="pct"/>
            <w:vAlign w:val="center"/>
          </w:tcPr>
          <w:p w14:paraId="0D961AD0">
            <w:pPr>
              <w:pStyle w:val="33"/>
              <w:rPr>
                <w:color w:val="auto"/>
              </w:rPr>
            </w:pPr>
            <w:r>
              <w:rPr>
                <w:color w:val="auto"/>
              </w:rPr>
              <w:t>DA007</w:t>
            </w:r>
          </w:p>
        </w:tc>
        <w:tc>
          <w:tcPr>
            <w:tcW w:w="333" w:type="pct"/>
            <w:vAlign w:val="center"/>
          </w:tcPr>
          <w:p w14:paraId="528F6591">
            <w:pPr>
              <w:pStyle w:val="33"/>
              <w:rPr>
                <w:color w:val="auto"/>
              </w:rPr>
            </w:pPr>
            <w:r>
              <w:rPr>
                <w:color w:val="auto"/>
              </w:rPr>
              <w:t xml:space="preserve">15 </w:t>
            </w:r>
          </w:p>
        </w:tc>
        <w:tc>
          <w:tcPr>
            <w:tcW w:w="333" w:type="pct"/>
            <w:vAlign w:val="center"/>
          </w:tcPr>
          <w:p w14:paraId="62385ADE">
            <w:pPr>
              <w:pStyle w:val="33"/>
              <w:rPr>
                <w:color w:val="auto"/>
              </w:rPr>
            </w:pPr>
            <w:r>
              <w:rPr>
                <w:color w:val="auto"/>
              </w:rPr>
              <w:t xml:space="preserve">0.45 </w:t>
            </w:r>
          </w:p>
        </w:tc>
        <w:tc>
          <w:tcPr>
            <w:tcW w:w="376" w:type="pct"/>
            <w:vAlign w:val="center"/>
          </w:tcPr>
          <w:p w14:paraId="2702E5C5">
            <w:pPr>
              <w:pStyle w:val="33"/>
              <w:rPr>
                <w:color w:val="auto"/>
              </w:rPr>
            </w:pPr>
            <w:r>
              <w:rPr>
                <w:color w:val="auto"/>
              </w:rPr>
              <w:t xml:space="preserve">6000 </w:t>
            </w:r>
          </w:p>
        </w:tc>
        <w:tc>
          <w:tcPr>
            <w:tcW w:w="359" w:type="pct"/>
            <w:vAlign w:val="center"/>
          </w:tcPr>
          <w:p w14:paraId="3535785B">
            <w:pPr>
              <w:pStyle w:val="33"/>
              <w:rPr>
                <w:color w:val="auto"/>
              </w:rPr>
            </w:pPr>
            <w:r>
              <w:rPr>
                <w:color w:val="auto"/>
              </w:rPr>
              <w:t>/</w:t>
            </w:r>
          </w:p>
        </w:tc>
        <w:tc>
          <w:tcPr>
            <w:tcW w:w="359" w:type="pct"/>
            <w:vAlign w:val="center"/>
          </w:tcPr>
          <w:p w14:paraId="5F5700F7">
            <w:pPr>
              <w:pStyle w:val="33"/>
              <w:rPr>
                <w:color w:val="auto"/>
              </w:rPr>
            </w:pPr>
            <w:r>
              <w:rPr>
                <w:color w:val="auto"/>
              </w:rPr>
              <w:t>/</w:t>
            </w:r>
          </w:p>
        </w:tc>
        <w:tc>
          <w:tcPr>
            <w:tcW w:w="330" w:type="pct"/>
            <w:vAlign w:val="center"/>
          </w:tcPr>
          <w:p w14:paraId="27CCEFA1">
            <w:pPr>
              <w:pStyle w:val="33"/>
              <w:rPr>
                <w:color w:val="auto"/>
              </w:rPr>
            </w:pPr>
            <w:r>
              <w:rPr>
                <w:color w:val="auto"/>
              </w:rPr>
              <w:t xml:space="preserve">0.14977 </w:t>
            </w:r>
          </w:p>
        </w:tc>
        <w:tc>
          <w:tcPr>
            <w:tcW w:w="333" w:type="pct"/>
            <w:vAlign w:val="center"/>
          </w:tcPr>
          <w:p w14:paraId="7C11BC8A">
            <w:pPr>
              <w:pStyle w:val="33"/>
              <w:rPr>
                <w:color w:val="auto"/>
              </w:rPr>
            </w:pPr>
            <w:r>
              <w:rPr>
                <w:color w:val="auto"/>
              </w:rPr>
              <w:t>/</w:t>
            </w:r>
          </w:p>
        </w:tc>
        <w:tc>
          <w:tcPr>
            <w:tcW w:w="333" w:type="pct"/>
            <w:vAlign w:val="center"/>
          </w:tcPr>
          <w:p w14:paraId="4F7AFE28">
            <w:pPr>
              <w:pStyle w:val="33"/>
              <w:rPr>
                <w:color w:val="auto"/>
              </w:rPr>
            </w:pPr>
            <w:r>
              <w:rPr>
                <w:color w:val="auto"/>
              </w:rPr>
              <w:t>/</w:t>
            </w:r>
          </w:p>
        </w:tc>
        <w:tc>
          <w:tcPr>
            <w:tcW w:w="333" w:type="pct"/>
            <w:vAlign w:val="center"/>
          </w:tcPr>
          <w:p w14:paraId="3C752078">
            <w:pPr>
              <w:pStyle w:val="33"/>
              <w:rPr>
                <w:color w:val="auto"/>
              </w:rPr>
            </w:pPr>
            <w:r>
              <w:rPr>
                <w:color w:val="auto"/>
              </w:rPr>
              <w:t>/</w:t>
            </w:r>
          </w:p>
        </w:tc>
        <w:tc>
          <w:tcPr>
            <w:tcW w:w="397" w:type="pct"/>
            <w:vAlign w:val="center"/>
          </w:tcPr>
          <w:p w14:paraId="746B708F">
            <w:pPr>
              <w:pStyle w:val="33"/>
              <w:rPr>
                <w:color w:val="auto"/>
              </w:rPr>
            </w:pPr>
            <w:r>
              <w:rPr>
                <w:color w:val="auto"/>
              </w:rPr>
              <w:t>/</w:t>
            </w:r>
          </w:p>
        </w:tc>
        <w:tc>
          <w:tcPr>
            <w:tcW w:w="333" w:type="pct"/>
            <w:vAlign w:val="center"/>
          </w:tcPr>
          <w:p w14:paraId="58CA1D67">
            <w:pPr>
              <w:pStyle w:val="33"/>
              <w:rPr>
                <w:color w:val="auto"/>
              </w:rPr>
            </w:pPr>
            <w:r>
              <w:rPr>
                <w:color w:val="auto"/>
              </w:rPr>
              <w:t>/</w:t>
            </w:r>
          </w:p>
        </w:tc>
        <w:tc>
          <w:tcPr>
            <w:tcW w:w="338" w:type="pct"/>
            <w:vAlign w:val="center"/>
          </w:tcPr>
          <w:p w14:paraId="5CD6D135">
            <w:pPr>
              <w:pStyle w:val="33"/>
              <w:rPr>
                <w:color w:val="auto"/>
              </w:rPr>
            </w:pPr>
            <w:r>
              <w:rPr>
                <w:color w:val="auto"/>
              </w:rPr>
              <w:t>/</w:t>
            </w:r>
          </w:p>
        </w:tc>
      </w:tr>
      <w:tr w14:paraId="33CF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51E9239">
            <w:pPr>
              <w:pStyle w:val="33"/>
              <w:rPr>
                <w:color w:val="auto"/>
              </w:rPr>
            </w:pPr>
            <w:r>
              <w:rPr>
                <w:rFonts w:eastAsia="等线"/>
                <w:color w:val="auto"/>
              </w:rPr>
              <w:t>38</w:t>
            </w:r>
          </w:p>
        </w:tc>
        <w:tc>
          <w:tcPr>
            <w:tcW w:w="591" w:type="pct"/>
            <w:vAlign w:val="center"/>
          </w:tcPr>
          <w:p w14:paraId="30DC840D">
            <w:pPr>
              <w:pStyle w:val="33"/>
              <w:rPr>
                <w:color w:val="auto"/>
              </w:rPr>
            </w:pPr>
            <w:r>
              <w:rPr>
                <w:color w:val="auto"/>
              </w:rPr>
              <w:t>DA008</w:t>
            </w:r>
          </w:p>
        </w:tc>
        <w:tc>
          <w:tcPr>
            <w:tcW w:w="333" w:type="pct"/>
            <w:vAlign w:val="center"/>
          </w:tcPr>
          <w:p w14:paraId="16C2BD91">
            <w:pPr>
              <w:pStyle w:val="33"/>
              <w:rPr>
                <w:color w:val="auto"/>
              </w:rPr>
            </w:pPr>
            <w:r>
              <w:rPr>
                <w:color w:val="auto"/>
              </w:rPr>
              <w:t xml:space="preserve">15 </w:t>
            </w:r>
          </w:p>
        </w:tc>
        <w:tc>
          <w:tcPr>
            <w:tcW w:w="333" w:type="pct"/>
            <w:vAlign w:val="center"/>
          </w:tcPr>
          <w:p w14:paraId="47EF2B28">
            <w:pPr>
              <w:pStyle w:val="33"/>
              <w:rPr>
                <w:color w:val="auto"/>
              </w:rPr>
            </w:pPr>
            <w:r>
              <w:rPr>
                <w:color w:val="auto"/>
              </w:rPr>
              <w:t xml:space="preserve">1.2 </w:t>
            </w:r>
          </w:p>
        </w:tc>
        <w:tc>
          <w:tcPr>
            <w:tcW w:w="376" w:type="pct"/>
            <w:vAlign w:val="center"/>
          </w:tcPr>
          <w:p w14:paraId="3D57824F">
            <w:pPr>
              <w:pStyle w:val="33"/>
              <w:rPr>
                <w:color w:val="auto"/>
              </w:rPr>
            </w:pPr>
            <w:r>
              <w:rPr>
                <w:color w:val="auto"/>
              </w:rPr>
              <w:t xml:space="preserve">23000 </w:t>
            </w:r>
          </w:p>
        </w:tc>
        <w:tc>
          <w:tcPr>
            <w:tcW w:w="359" w:type="pct"/>
            <w:vAlign w:val="center"/>
          </w:tcPr>
          <w:p w14:paraId="612EF64D">
            <w:pPr>
              <w:pStyle w:val="33"/>
              <w:rPr>
                <w:color w:val="auto"/>
              </w:rPr>
            </w:pPr>
            <w:r>
              <w:rPr>
                <w:color w:val="auto"/>
              </w:rPr>
              <w:t>/</w:t>
            </w:r>
          </w:p>
        </w:tc>
        <w:tc>
          <w:tcPr>
            <w:tcW w:w="359" w:type="pct"/>
            <w:vAlign w:val="center"/>
          </w:tcPr>
          <w:p w14:paraId="61ABCD80">
            <w:pPr>
              <w:pStyle w:val="33"/>
              <w:rPr>
                <w:color w:val="auto"/>
              </w:rPr>
            </w:pPr>
            <w:r>
              <w:rPr>
                <w:color w:val="auto"/>
              </w:rPr>
              <w:t>/</w:t>
            </w:r>
          </w:p>
        </w:tc>
        <w:tc>
          <w:tcPr>
            <w:tcW w:w="330" w:type="pct"/>
            <w:vAlign w:val="center"/>
          </w:tcPr>
          <w:p w14:paraId="16F78610">
            <w:pPr>
              <w:pStyle w:val="33"/>
              <w:rPr>
                <w:color w:val="auto"/>
              </w:rPr>
            </w:pPr>
            <w:r>
              <w:rPr>
                <w:color w:val="auto"/>
              </w:rPr>
              <w:t xml:space="preserve">0.46586 </w:t>
            </w:r>
          </w:p>
        </w:tc>
        <w:tc>
          <w:tcPr>
            <w:tcW w:w="333" w:type="pct"/>
            <w:vAlign w:val="center"/>
          </w:tcPr>
          <w:p w14:paraId="30DED022">
            <w:pPr>
              <w:pStyle w:val="33"/>
              <w:rPr>
                <w:color w:val="auto"/>
              </w:rPr>
            </w:pPr>
            <w:r>
              <w:rPr>
                <w:color w:val="auto"/>
              </w:rPr>
              <w:t>/</w:t>
            </w:r>
          </w:p>
        </w:tc>
        <w:tc>
          <w:tcPr>
            <w:tcW w:w="333" w:type="pct"/>
            <w:vAlign w:val="center"/>
          </w:tcPr>
          <w:p w14:paraId="6EE3644B">
            <w:pPr>
              <w:pStyle w:val="33"/>
              <w:rPr>
                <w:color w:val="auto"/>
              </w:rPr>
            </w:pPr>
            <w:r>
              <w:rPr>
                <w:color w:val="auto"/>
              </w:rPr>
              <w:t>/</w:t>
            </w:r>
          </w:p>
        </w:tc>
        <w:tc>
          <w:tcPr>
            <w:tcW w:w="333" w:type="pct"/>
            <w:vAlign w:val="center"/>
          </w:tcPr>
          <w:p w14:paraId="248B7713">
            <w:pPr>
              <w:pStyle w:val="33"/>
              <w:rPr>
                <w:color w:val="auto"/>
              </w:rPr>
            </w:pPr>
            <w:r>
              <w:rPr>
                <w:color w:val="auto"/>
              </w:rPr>
              <w:t>/</w:t>
            </w:r>
          </w:p>
        </w:tc>
        <w:tc>
          <w:tcPr>
            <w:tcW w:w="397" w:type="pct"/>
            <w:vAlign w:val="center"/>
          </w:tcPr>
          <w:p w14:paraId="1563E80D">
            <w:pPr>
              <w:pStyle w:val="33"/>
              <w:rPr>
                <w:color w:val="auto"/>
              </w:rPr>
            </w:pPr>
            <w:r>
              <w:rPr>
                <w:color w:val="auto"/>
              </w:rPr>
              <w:t>/</w:t>
            </w:r>
          </w:p>
        </w:tc>
        <w:tc>
          <w:tcPr>
            <w:tcW w:w="333" w:type="pct"/>
            <w:vAlign w:val="center"/>
          </w:tcPr>
          <w:p w14:paraId="34C9ED86">
            <w:pPr>
              <w:pStyle w:val="33"/>
              <w:rPr>
                <w:color w:val="auto"/>
              </w:rPr>
            </w:pPr>
            <w:r>
              <w:rPr>
                <w:color w:val="auto"/>
              </w:rPr>
              <w:t>/</w:t>
            </w:r>
          </w:p>
        </w:tc>
        <w:tc>
          <w:tcPr>
            <w:tcW w:w="338" w:type="pct"/>
            <w:vAlign w:val="center"/>
          </w:tcPr>
          <w:p w14:paraId="41AA0D5D">
            <w:pPr>
              <w:pStyle w:val="33"/>
              <w:rPr>
                <w:color w:val="auto"/>
              </w:rPr>
            </w:pPr>
            <w:r>
              <w:rPr>
                <w:color w:val="auto"/>
              </w:rPr>
              <w:t>/</w:t>
            </w:r>
          </w:p>
        </w:tc>
      </w:tr>
      <w:tr w14:paraId="33C22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A90E8C6">
            <w:pPr>
              <w:pStyle w:val="33"/>
              <w:rPr>
                <w:color w:val="auto"/>
              </w:rPr>
            </w:pPr>
            <w:r>
              <w:rPr>
                <w:rFonts w:eastAsia="等线"/>
                <w:color w:val="auto"/>
              </w:rPr>
              <w:t>39</w:t>
            </w:r>
          </w:p>
        </w:tc>
        <w:tc>
          <w:tcPr>
            <w:tcW w:w="591" w:type="pct"/>
            <w:vAlign w:val="center"/>
          </w:tcPr>
          <w:p w14:paraId="643EB903">
            <w:pPr>
              <w:pStyle w:val="33"/>
              <w:rPr>
                <w:color w:val="auto"/>
              </w:rPr>
            </w:pPr>
            <w:r>
              <w:rPr>
                <w:color w:val="auto"/>
              </w:rPr>
              <w:t>DA009</w:t>
            </w:r>
          </w:p>
        </w:tc>
        <w:tc>
          <w:tcPr>
            <w:tcW w:w="333" w:type="pct"/>
            <w:vAlign w:val="center"/>
          </w:tcPr>
          <w:p w14:paraId="554C940F">
            <w:pPr>
              <w:pStyle w:val="33"/>
              <w:rPr>
                <w:color w:val="auto"/>
              </w:rPr>
            </w:pPr>
            <w:r>
              <w:rPr>
                <w:color w:val="auto"/>
              </w:rPr>
              <w:t xml:space="preserve">15 </w:t>
            </w:r>
          </w:p>
        </w:tc>
        <w:tc>
          <w:tcPr>
            <w:tcW w:w="333" w:type="pct"/>
            <w:vAlign w:val="center"/>
          </w:tcPr>
          <w:p w14:paraId="75D8F9D5">
            <w:pPr>
              <w:pStyle w:val="33"/>
              <w:rPr>
                <w:color w:val="auto"/>
              </w:rPr>
            </w:pPr>
            <w:r>
              <w:rPr>
                <w:color w:val="auto"/>
              </w:rPr>
              <w:t xml:space="preserve">1.2 </w:t>
            </w:r>
          </w:p>
        </w:tc>
        <w:tc>
          <w:tcPr>
            <w:tcW w:w="376" w:type="pct"/>
            <w:vAlign w:val="center"/>
          </w:tcPr>
          <w:p w14:paraId="1FF56049">
            <w:pPr>
              <w:pStyle w:val="33"/>
              <w:rPr>
                <w:color w:val="auto"/>
              </w:rPr>
            </w:pPr>
            <w:r>
              <w:rPr>
                <w:color w:val="auto"/>
              </w:rPr>
              <w:t xml:space="preserve">23000 </w:t>
            </w:r>
          </w:p>
        </w:tc>
        <w:tc>
          <w:tcPr>
            <w:tcW w:w="359" w:type="pct"/>
            <w:vAlign w:val="center"/>
          </w:tcPr>
          <w:p w14:paraId="237B8665">
            <w:pPr>
              <w:pStyle w:val="33"/>
              <w:rPr>
                <w:color w:val="auto"/>
              </w:rPr>
            </w:pPr>
            <w:r>
              <w:rPr>
                <w:color w:val="auto"/>
              </w:rPr>
              <w:t>/</w:t>
            </w:r>
          </w:p>
        </w:tc>
        <w:tc>
          <w:tcPr>
            <w:tcW w:w="359" w:type="pct"/>
            <w:vAlign w:val="center"/>
          </w:tcPr>
          <w:p w14:paraId="54DF9B2B">
            <w:pPr>
              <w:pStyle w:val="33"/>
              <w:rPr>
                <w:color w:val="auto"/>
              </w:rPr>
            </w:pPr>
            <w:r>
              <w:rPr>
                <w:color w:val="auto"/>
              </w:rPr>
              <w:t>/</w:t>
            </w:r>
          </w:p>
        </w:tc>
        <w:tc>
          <w:tcPr>
            <w:tcW w:w="330" w:type="pct"/>
            <w:vAlign w:val="center"/>
          </w:tcPr>
          <w:p w14:paraId="2150AF98">
            <w:pPr>
              <w:pStyle w:val="33"/>
              <w:rPr>
                <w:color w:val="auto"/>
              </w:rPr>
            </w:pPr>
            <w:r>
              <w:rPr>
                <w:color w:val="auto"/>
              </w:rPr>
              <w:t xml:space="preserve">0.39091 </w:t>
            </w:r>
          </w:p>
        </w:tc>
        <w:tc>
          <w:tcPr>
            <w:tcW w:w="333" w:type="pct"/>
            <w:vAlign w:val="center"/>
          </w:tcPr>
          <w:p w14:paraId="2F6D0E12">
            <w:pPr>
              <w:pStyle w:val="33"/>
              <w:rPr>
                <w:color w:val="auto"/>
              </w:rPr>
            </w:pPr>
            <w:r>
              <w:rPr>
                <w:color w:val="auto"/>
              </w:rPr>
              <w:t>/</w:t>
            </w:r>
          </w:p>
        </w:tc>
        <w:tc>
          <w:tcPr>
            <w:tcW w:w="333" w:type="pct"/>
            <w:vAlign w:val="center"/>
          </w:tcPr>
          <w:p w14:paraId="05C196B1">
            <w:pPr>
              <w:pStyle w:val="33"/>
              <w:rPr>
                <w:color w:val="auto"/>
              </w:rPr>
            </w:pPr>
            <w:r>
              <w:rPr>
                <w:color w:val="auto"/>
              </w:rPr>
              <w:t>/</w:t>
            </w:r>
          </w:p>
        </w:tc>
        <w:tc>
          <w:tcPr>
            <w:tcW w:w="333" w:type="pct"/>
            <w:vAlign w:val="center"/>
          </w:tcPr>
          <w:p w14:paraId="6EBEC915">
            <w:pPr>
              <w:pStyle w:val="33"/>
              <w:rPr>
                <w:color w:val="auto"/>
              </w:rPr>
            </w:pPr>
            <w:r>
              <w:rPr>
                <w:color w:val="auto"/>
              </w:rPr>
              <w:t>/</w:t>
            </w:r>
          </w:p>
        </w:tc>
        <w:tc>
          <w:tcPr>
            <w:tcW w:w="397" w:type="pct"/>
            <w:vAlign w:val="center"/>
          </w:tcPr>
          <w:p w14:paraId="28352118">
            <w:pPr>
              <w:pStyle w:val="33"/>
              <w:rPr>
                <w:color w:val="auto"/>
              </w:rPr>
            </w:pPr>
            <w:r>
              <w:rPr>
                <w:color w:val="auto"/>
              </w:rPr>
              <w:t>/</w:t>
            </w:r>
          </w:p>
        </w:tc>
        <w:tc>
          <w:tcPr>
            <w:tcW w:w="333" w:type="pct"/>
            <w:vAlign w:val="center"/>
          </w:tcPr>
          <w:p w14:paraId="19434FF1">
            <w:pPr>
              <w:pStyle w:val="33"/>
              <w:rPr>
                <w:color w:val="auto"/>
              </w:rPr>
            </w:pPr>
            <w:r>
              <w:rPr>
                <w:color w:val="auto"/>
              </w:rPr>
              <w:t>/</w:t>
            </w:r>
          </w:p>
        </w:tc>
        <w:tc>
          <w:tcPr>
            <w:tcW w:w="338" w:type="pct"/>
            <w:vAlign w:val="center"/>
          </w:tcPr>
          <w:p w14:paraId="465E8932">
            <w:pPr>
              <w:pStyle w:val="33"/>
              <w:rPr>
                <w:color w:val="auto"/>
              </w:rPr>
            </w:pPr>
            <w:r>
              <w:rPr>
                <w:color w:val="auto"/>
              </w:rPr>
              <w:t>/</w:t>
            </w:r>
          </w:p>
        </w:tc>
      </w:tr>
      <w:tr w14:paraId="2CCE4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AB6EBD4">
            <w:pPr>
              <w:pStyle w:val="33"/>
              <w:rPr>
                <w:color w:val="auto"/>
              </w:rPr>
            </w:pPr>
            <w:r>
              <w:rPr>
                <w:rFonts w:eastAsia="等线"/>
                <w:color w:val="auto"/>
              </w:rPr>
              <w:t>40</w:t>
            </w:r>
          </w:p>
        </w:tc>
        <w:tc>
          <w:tcPr>
            <w:tcW w:w="591" w:type="pct"/>
            <w:vAlign w:val="center"/>
          </w:tcPr>
          <w:p w14:paraId="1681E5BB">
            <w:pPr>
              <w:pStyle w:val="33"/>
              <w:rPr>
                <w:color w:val="auto"/>
              </w:rPr>
            </w:pPr>
            <w:r>
              <w:rPr>
                <w:color w:val="auto"/>
              </w:rPr>
              <w:t>DA010</w:t>
            </w:r>
          </w:p>
        </w:tc>
        <w:tc>
          <w:tcPr>
            <w:tcW w:w="333" w:type="pct"/>
            <w:vAlign w:val="center"/>
          </w:tcPr>
          <w:p w14:paraId="1056F5E0">
            <w:pPr>
              <w:pStyle w:val="33"/>
              <w:rPr>
                <w:color w:val="auto"/>
              </w:rPr>
            </w:pPr>
            <w:r>
              <w:rPr>
                <w:color w:val="auto"/>
              </w:rPr>
              <w:t xml:space="preserve">100 </w:t>
            </w:r>
          </w:p>
        </w:tc>
        <w:tc>
          <w:tcPr>
            <w:tcW w:w="333" w:type="pct"/>
            <w:vAlign w:val="center"/>
          </w:tcPr>
          <w:p w14:paraId="73235C07">
            <w:pPr>
              <w:pStyle w:val="33"/>
              <w:rPr>
                <w:color w:val="auto"/>
              </w:rPr>
            </w:pPr>
            <w:r>
              <w:rPr>
                <w:color w:val="auto"/>
              </w:rPr>
              <w:t xml:space="preserve">3.8 </w:t>
            </w:r>
          </w:p>
        </w:tc>
        <w:tc>
          <w:tcPr>
            <w:tcW w:w="376" w:type="pct"/>
            <w:vAlign w:val="center"/>
          </w:tcPr>
          <w:p w14:paraId="2E8E6797">
            <w:pPr>
              <w:pStyle w:val="33"/>
              <w:rPr>
                <w:color w:val="auto"/>
              </w:rPr>
            </w:pPr>
            <w:r>
              <w:rPr>
                <w:color w:val="auto"/>
              </w:rPr>
              <w:t xml:space="preserve">409086 </w:t>
            </w:r>
          </w:p>
        </w:tc>
        <w:tc>
          <w:tcPr>
            <w:tcW w:w="359" w:type="pct"/>
            <w:vAlign w:val="center"/>
          </w:tcPr>
          <w:p w14:paraId="2828C6D3">
            <w:pPr>
              <w:pStyle w:val="33"/>
              <w:rPr>
                <w:color w:val="auto"/>
              </w:rPr>
            </w:pPr>
            <w:r>
              <w:rPr>
                <w:color w:val="auto"/>
              </w:rPr>
              <w:t xml:space="preserve">37.3731 </w:t>
            </w:r>
          </w:p>
        </w:tc>
        <w:tc>
          <w:tcPr>
            <w:tcW w:w="359" w:type="pct"/>
            <w:vAlign w:val="center"/>
          </w:tcPr>
          <w:p w14:paraId="3F60649E">
            <w:pPr>
              <w:pStyle w:val="33"/>
              <w:rPr>
                <w:color w:val="auto"/>
              </w:rPr>
            </w:pPr>
            <w:r>
              <w:rPr>
                <w:color w:val="auto"/>
              </w:rPr>
              <w:t xml:space="preserve">18.8198 </w:t>
            </w:r>
          </w:p>
        </w:tc>
        <w:tc>
          <w:tcPr>
            <w:tcW w:w="330" w:type="pct"/>
            <w:vAlign w:val="center"/>
          </w:tcPr>
          <w:p w14:paraId="7000E4AD">
            <w:pPr>
              <w:pStyle w:val="33"/>
              <w:rPr>
                <w:color w:val="auto"/>
              </w:rPr>
            </w:pPr>
            <w:r>
              <w:rPr>
                <w:color w:val="auto"/>
              </w:rPr>
              <w:t xml:space="preserve">8.192 </w:t>
            </w:r>
          </w:p>
        </w:tc>
        <w:tc>
          <w:tcPr>
            <w:tcW w:w="333" w:type="pct"/>
            <w:vAlign w:val="center"/>
          </w:tcPr>
          <w:p w14:paraId="6D51B489">
            <w:pPr>
              <w:pStyle w:val="33"/>
              <w:rPr>
                <w:color w:val="auto"/>
              </w:rPr>
            </w:pPr>
            <w:r>
              <w:rPr>
                <w:color w:val="auto"/>
              </w:rPr>
              <w:t xml:space="preserve">4.096 </w:t>
            </w:r>
          </w:p>
        </w:tc>
        <w:tc>
          <w:tcPr>
            <w:tcW w:w="333" w:type="pct"/>
            <w:vAlign w:val="center"/>
          </w:tcPr>
          <w:p w14:paraId="7287D6FD">
            <w:pPr>
              <w:pStyle w:val="33"/>
              <w:rPr>
                <w:color w:val="auto"/>
              </w:rPr>
            </w:pPr>
            <w:r>
              <w:rPr>
                <w:color w:val="auto"/>
              </w:rPr>
              <w:t>/</w:t>
            </w:r>
          </w:p>
        </w:tc>
        <w:tc>
          <w:tcPr>
            <w:tcW w:w="333" w:type="pct"/>
            <w:vAlign w:val="center"/>
          </w:tcPr>
          <w:p w14:paraId="604FA56A">
            <w:pPr>
              <w:pStyle w:val="33"/>
              <w:rPr>
                <w:color w:val="auto"/>
              </w:rPr>
            </w:pPr>
            <w:r>
              <w:rPr>
                <w:color w:val="auto"/>
              </w:rPr>
              <w:t>/</w:t>
            </w:r>
          </w:p>
        </w:tc>
        <w:tc>
          <w:tcPr>
            <w:tcW w:w="397" w:type="pct"/>
            <w:vAlign w:val="center"/>
          </w:tcPr>
          <w:p w14:paraId="6A89B6EF">
            <w:pPr>
              <w:pStyle w:val="33"/>
              <w:rPr>
                <w:color w:val="auto"/>
              </w:rPr>
            </w:pPr>
            <w:r>
              <w:rPr>
                <w:color w:val="auto"/>
              </w:rPr>
              <w:t>/</w:t>
            </w:r>
          </w:p>
        </w:tc>
        <w:tc>
          <w:tcPr>
            <w:tcW w:w="333" w:type="pct"/>
            <w:vAlign w:val="center"/>
          </w:tcPr>
          <w:p w14:paraId="403BF073">
            <w:pPr>
              <w:pStyle w:val="33"/>
              <w:rPr>
                <w:color w:val="auto"/>
              </w:rPr>
            </w:pPr>
            <w:r>
              <w:rPr>
                <w:color w:val="auto"/>
              </w:rPr>
              <w:t>/</w:t>
            </w:r>
          </w:p>
        </w:tc>
        <w:tc>
          <w:tcPr>
            <w:tcW w:w="338" w:type="pct"/>
            <w:vAlign w:val="center"/>
          </w:tcPr>
          <w:p w14:paraId="56844EC2">
            <w:pPr>
              <w:pStyle w:val="33"/>
              <w:rPr>
                <w:color w:val="auto"/>
              </w:rPr>
            </w:pPr>
            <w:r>
              <w:rPr>
                <w:color w:val="auto"/>
              </w:rPr>
              <w:t>/</w:t>
            </w:r>
          </w:p>
        </w:tc>
      </w:tr>
      <w:tr w14:paraId="714DB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F855296">
            <w:pPr>
              <w:pStyle w:val="33"/>
              <w:rPr>
                <w:color w:val="auto"/>
              </w:rPr>
            </w:pPr>
            <w:r>
              <w:rPr>
                <w:rFonts w:eastAsia="等线"/>
                <w:color w:val="auto"/>
              </w:rPr>
              <w:t>41</w:t>
            </w:r>
          </w:p>
        </w:tc>
        <w:tc>
          <w:tcPr>
            <w:tcW w:w="591" w:type="pct"/>
            <w:vAlign w:val="center"/>
          </w:tcPr>
          <w:p w14:paraId="38BE406D">
            <w:pPr>
              <w:pStyle w:val="33"/>
              <w:rPr>
                <w:color w:val="auto"/>
              </w:rPr>
            </w:pPr>
            <w:r>
              <w:rPr>
                <w:color w:val="auto"/>
              </w:rPr>
              <w:t>DA011</w:t>
            </w:r>
          </w:p>
        </w:tc>
        <w:tc>
          <w:tcPr>
            <w:tcW w:w="333" w:type="pct"/>
            <w:vAlign w:val="center"/>
          </w:tcPr>
          <w:p w14:paraId="75BA59DB">
            <w:pPr>
              <w:pStyle w:val="33"/>
              <w:rPr>
                <w:color w:val="auto"/>
              </w:rPr>
            </w:pPr>
            <w:r>
              <w:rPr>
                <w:color w:val="auto"/>
              </w:rPr>
              <w:t xml:space="preserve">15 </w:t>
            </w:r>
          </w:p>
        </w:tc>
        <w:tc>
          <w:tcPr>
            <w:tcW w:w="333" w:type="pct"/>
            <w:vAlign w:val="center"/>
          </w:tcPr>
          <w:p w14:paraId="0916129C">
            <w:pPr>
              <w:pStyle w:val="33"/>
              <w:rPr>
                <w:color w:val="auto"/>
              </w:rPr>
            </w:pPr>
            <w:r>
              <w:rPr>
                <w:color w:val="auto"/>
              </w:rPr>
              <w:t xml:space="preserve">0.4 </w:t>
            </w:r>
          </w:p>
        </w:tc>
        <w:tc>
          <w:tcPr>
            <w:tcW w:w="376" w:type="pct"/>
            <w:vAlign w:val="center"/>
          </w:tcPr>
          <w:p w14:paraId="2ED49B74">
            <w:pPr>
              <w:pStyle w:val="33"/>
              <w:rPr>
                <w:color w:val="auto"/>
              </w:rPr>
            </w:pPr>
            <w:r>
              <w:rPr>
                <w:color w:val="auto"/>
              </w:rPr>
              <w:t xml:space="preserve">5000 </w:t>
            </w:r>
          </w:p>
        </w:tc>
        <w:tc>
          <w:tcPr>
            <w:tcW w:w="359" w:type="pct"/>
            <w:vAlign w:val="center"/>
          </w:tcPr>
          <w:p w14:paraId="2D5C6E22">
            <w:pPr>
              <w:pStyle w:val="33"/>
              <w:rPr>
                <w:color w:val="auto"/>
              </w:rPr>
            </w:pPr>
            <w:r>
              <w:rPr>
                <w:color w:val="auto"/>
              </w:rPr>
              <w:t>/</w:t>
            </w:r>
          </w:p>
        </w:tc>
        <w:tc>
          <w:tcPr>
            <w:tcW w:w="359" w:type="pct"/>
            <w:vAlign w:val="center"/>
          </w:tcPr>
          <w:p w14:paraId="4DF9E2A5">
            <w:pPr>
              <w:pStyle w:val="33"/>
              <w:rPr>
                <w:color w:val="auto"/>
              </w:rPr>
            </w:pPr>
            <w:r>
              <w:rPr>
                <w:color w:val="auto"/>
              </w:rPr>
              <w:t>/</w:t>
            </w:r>
          </w:p>
        </w:tc>
        <w:tc>
          <w:tcPr>
            <w:tcW w:w="330" w:type="pct"/>
            <w:vAlign w:val="center"/>
          </w:tcPr>
          <w:p w14:paraId="0678BB0C">
            <w:pPr>
              <w:pStyle w:val="33"/>
              <w:rPr>
                <w:color w:val="auto"/>
              </w:rPr>
            </w:pPr>
            <w:r>
              <w:rPr>
                <w:color w:val="auto"/>
              </w:rPr>
              <w:t xml:space="preserve">0.25 </w:t>
            </w:r>
          </w:p>
        </w:tc>
        <w:tc>
          <w:tcPr>
            <w:tcW w:w="333" w:type="pct"/>
            <w:vAlign w:val="center"/>
          </w:tcPr>
          <w:p w14:paraId="60AC6C70">
            <w:pPr>
              <w:pStyle w:val="33"/>
              <w:rPr>
                <w:color w:val="auto"/>
              </w:rPr>
            </w:pPr>
            <w:r>
              <w:rPr>
                <w:color w:val="auto"/>
              </w:rPr>
              <w:t>/</w:t>
            </w:r>
          </w:p>
        </w:tc>
        <w:tc>
          <w:tcPr>
            <w:tcW w:w="333" w:type="pct"/>
            <w:vAlign w:val="center"/>
          </w:tcPr>
          <w:p w14:paraId="51C8DD8D">
            <w:pPr>
              <w:pStyle w:val="33"/>
              <w:rPr>
                <w:color w:val="auto"/>
              </w:rPr>
            </w:pPr>
            <w:r>
              <w:rPr>
                <w:color w:val="auto"/>
              </w:rPr>
              <w:t>/</w:t>
            </w:r>
          </w:p>
        </w:tc>
        <w:tc>
          <w:tcPr>
            <w:tcW w:w="333" w:type="pct"/>
            <w:vAlign w:val="center"/>
          </w:tcPr>
          <w:p w14:paraId="21E85466">
            <w:pPr>
              <w:pStyle w:val="33"/>
              <w:rPr>
                <w:color w:val="auto"/>
              </w:rPr>
            </w:pPr>
            <w:r>
              <w:rPr>
                <w:color w:val="auto"/>
              </w:rPr>
              <w:t>/</w:t>
            </w:r>
          </w:p>
        </w:tc>
        <w:tc>
          <w:tcPr>
            <w:tcW w:w="397" w:type="pct"/>
            <w:vAlign w:val="center"/>
          </w:tcPr>
          <w:p w14:paraId="68FA8F4A">
            <w:pPr>
              <w:pStyle w:val="33"/>
              <w:rPr>
                <w:color w:val="auto"/>
              </w:rPr>
            </w:pPr>
            <w:r>
              <w:rPr>
                <w:color w:val="auto"/>
              </w:rPr>
              <w:t>/</w:t>
            </w:r>
          </w:p>
        </w:tc>
        <w:tc>
          <w:tcPr>
            <w:tcW w:w="333" w:type="pct"/>
            <w:vAlign w:val="center"/>
          </w:tcPr>
          <w:p w14:paraId="6F57F999">
            <w:pPr>
              <w:pStyle w:val="33"/>
              <w:rPr>
                <w:color w:val="auto"/>
              </w:rPr>
            </w:pPr>
            <w:r>
              <w:rPr>
                <w:color w:val="auto"/>
              </w:rPr>
              <w:t>/</w:t>
            </w:r>
          </w:p>
        </w:tc>
        <w:tc>
          <w:tcPr>
            <w:tcW w:w="338" w:type="pct"/>
            <w:vAlign w:val="center"/>
          </w:tcPr>
          <w:p w14:paraId="1D0F5C1E">
            <w:pPr>
              <w:pStyle w:val="33"/>
              <w:rPr>
                <w:color w:val="auto"/>
              </w:rPr>
            </w:pPr>
            <w:r>
              <w:rPr>
                <w:color w:val="auto"/>
              </w:rPr>
              <w:t>/</w:t>
            </w:r>
          </w:p>
        </w:tc>
      </w:tr>
      <w:tr w14:paraId="7C46A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D597129">
            <w:pPr>
              <w:pStyle w:val="33"/>
              <w:rPr>
                <w:color w:val="auto"/>
              </w:rPr>
            </w:pPr>
            <w:r>
              <w:rPr>
                <w:rFonts w:eastAsia="等线"/>
                <w:color w:val="auto"/>
              </w:rPr>
              <w:t>42</w:t>
            </w:r>
          </w:p>
        </w:tc>
        <w:tc>
          <w:tcPr>
            <w:tcW w:w="591" w:type="pct"/>
            <w:vAlign w:val="center"/>
          </w:tcPr>
          <w:p w14:paraId="7B572368">
            <w:pPr>
              <w:pStyle w:val="33"/>
              <w:rPr>
                <w:color w:val="auto"/>
              </w:rPr>
            </w:pPr>
            <w:r>
              <w:rPr>
                <w:color w:val="auto"/>
              </w:rPr>
              <w:t>DA012</w:t>
            </w:r>
          </w:p>
        </w:tc>
        <w:tc>
          <w:tcPr>
            <w:tcW w:w="333" w:type="pct"/>
            <w:vAlign w:val="center"/>
          </w:tcPr>
          <w:p w14:paraId="58F6541A">
            <w:pPr>
              <w:pStyle w:val="33"/>
              <w:rPr>
                <w:color w:val="auto"/>
              </w:rPr>
            </w:pPr>
            <w:r>
              <w:rPr>
                <w:color w:val="auto"/>
              </w:rPr>
              <w:t xml:space="preserve">15 </w:t>
            </w:r>
          </w:p>
        </w:tc>
        <w:tc>
          <w:tcPr>
            <w:tcW w:w="333" w:type="pct"/>
            <w:vAlign w:val="center"/>
          </w:tcPr>
          <w:p w14:paraId="7D054514">
            <w:pPr>
              <w:pStyle w:val="33"/>
              <w:rPr>
                <w:color w:val="auto"/>
              </w:rPr>
            </w:pPr>
            <w:r>
              <w:rPr>
                <w:color w:val="auto"/>
              </w:rPr>
              <w:t xml:space="preserve">0.35 </w:t>
            </w:r>
          </w:p>
        </w:tc>
        <w:tc>
          <w:tcPr>
            <w:tcW w:w="376" w:type="pct"/>
            <w:vAlign w:val="center"/>
          </w:tcPr>
          <w:p w14:paraId="4E381616">
            <w:pPr>
              <w:pStyle w:val="33"/>
              <w:rPr>
                <w:color w:val="auto"/>
              </w:rPr>
            </w:pPr>
            <w:r>
              <w:rPr>
                <w:color w:val="auto"/>
              </w:rPr>
              <w:t xml:space="preserve">4000 </w:t>
            </w:r>
          </w:p>
        </w:tc>
        <w:tc>
          <w:tcPr>
            <w:tcW w:w="359" w:type="pct"/>
            <w:vAlign w:val="center"/>
          </w:tcPr>
          <w:p w14:paraId="58B433B7">
            <w:pPr>
              <w:pStyle w:val="33"/>
              <w:rPr>
                <w:color w:val="auto"/>
              </w:rPr>
            </w:pPr>
            <w:r>
              <w:rPr>
                <w:color w:val="auto"/>
              </w:rPr>
              <w:t>/</w:t>
            </w:r>
          </w:p>
        </w:tc>
        <w:tc>
          <w:tcPr>
            <w:tcW w:w="359" w:type="pct"/>
            <w:vAlign w:val="center"/>
          </w:tcPr>
          <w:p w14:paraId="1430D8A3">
            <w:pPr>
              <w:pStyle w:val="33"/>
              <w:rPr>
                <w:color w:val="auto"/>
              </w:rPr>
            </w:pPr>
            <w:r>
              <w:rPr>
                <w:color w:val="auto"/>
              </w:rPr>
              <w:t>/</w:t>
            </w:r>
          </w:p>
        </w:tc>
        <w:tc>
          <w:tcPr>
            <w:tcW w:w="330" w:type="pct"/>
            <w:vAlign w:val="center"/>
          </w:tcPr>
          <w:p w14:paraId="30F3A0EF">
            <w:pPr>
              <w:pStyle w:val="33"/>
              <w:rPr>
                <w:color w:val="auto"/>
              </w:rPr>
            </w:pPr>
            <w:r>
              <w:rPr>
                <w:color w:val="auto"/>
              </w:rPr>
              <w:t>/</w:t>
            </w:r>
          </w:p>
        </w:tc>
        <w:tc>
          <w:tcPr>
            <w:tcW w:w="333" w:type="pct"/>
            <w:vAlign w:val="center"/>
          </w:tcPr>
          <w:p w14:paraId="0D71C1C0">
            <w:pPr>
              <w:pStyle w:val="33"/>
              <w:rPr>
                <w:color w:val="auto"/>
              </w:rPr>
            </w:pPr>
            <w:r>
              <w:rPr>
                <w:color w:val="auto"/>
              </w:rPr>
              <w:t>/</w:t>
            </w:r>
          </w:p>
        </w:tc>
        <w:tc>
          <w:tcPr>
            <w:tcW w:w="333" w:type="pct"/>
            <w:vAlign w:val="center"/>
          </w:tcPr>
          <w:p w14:paraId="60229CD1">
            <w:pPr>
              <w:pStyle w:val="33"/>
              <w:rPr>
                <w:color w:val="auto"/>
              </w:rPr>
            </w:pPr>
            <w:r>
              <w:rPr>
                <w:color w:val="auto"/>
              </w:rPr>
              <w:t>/</w:t>
            </w:r>
          </w:p>
        </w:tc>
        <w:tc>
          <w:tcPr>
            <w:tcW w:w="333" w:type="pct"/>
            <w:vAlign w:val="center"/>
          </w:tcPr>
          <w:p w14:paraId="2AE6F55D">
            <w:pPr>
              <w:pStyle w:val="33"/>
              <w:rPr>
                <w:color w:val="auto"/>
              </w:rPr>
            </w:pPr>
            <w:r>
              <w:rPr>
                <w:color w:val="auto"/>
              </w:rPr>
              <w:t>/</w:t>
            </w:r>
          </w:p>
        </w:tc>
        <w:tc>
          <w:tcPr>
            <w:tcW w:w="397" w:type="pct"/>
            <w:vAlign w:val="center"/>
          </w:tcPr>
          <w:p w14:paraId="795FB8CA">
            <w:pPr>
              <w:pStyle w:val="33"/>
              <w:rPr>
                <w:color w:val="auto"/>
              </w:rPr>
            </w:pPr>
            <w:r>
              <w:rPr>
                <w:color w:val="auto"/>
              </w:rPr>
              <w:t xml:space="preserve">0.004 </w:t>
            </w:r>
          </w:p>
        </w:tc>
        <w:tc>
          <w:tcPr>
            <w:tcW w:w="333" w:type="pct"/>
            <w:vAlign w:val="center"/>
          </w:tcPr>
          <w:p w14:paraId="68410C93">
            <w:pPr>
              <w:pStyle w:val="33"/>
              <w:rPr>
                <w:color w:val="auto"/>
              </w:rPr>
            </w:pPr>
            <w:r>
              <w:rPr>
                <w:color w:val="auto"/>
              </w:rPr>
              <w:t>/</w:t>
            </w:r>
          </w:p>
        </w:tc>
        <w:tc>
          <w:tcPr>
            <w:tcW w:w="338" w:type="pct"/>
            <w:vAlign w:val="center"/>
          </w:tcPr>
          <w:p w14:paraId="228C5286">
            <w:pPr>
              <w:pStyle w:val="33"/>
              <w:rPr>
                <w:color w:val="auto"/>
              </w:rPr>
            </w:pPr>
            <w:r>
              <w:rPr>
                <w:color w:val="auto"/>
              </w:rPr>
              <w:t>/</w:t>
            </w:r>
          </w:p>
        </w:tc>
      </w:tr>
      <w:tr w14:paraId="4B5DB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C86E181">
            <w:pPr>
              <w:pStyle w:val="33"/>
              <w:rPr>
                <w:color w:val="auto"/>
              </w:rPr>
            </w:pPr>
            <w:r>
              <w:rPr>
                <w:rFonts w:eastAsia="等线"/>
                <w:color w:val="auto"/>
              </w:rPr>
              <w:t>43</w:t>
            </w:r>
          </w:p>
        </w:tc>
        <w:tc>
          <w:tcPr>
            <w:tcW w:w="591" w:type="pct"/>
            <w:vAlign w:val="center"/>
          </w:tcPr>
          <w:p w14:paraId="1D85D779">
            <w:pPr>
              <w:pStyle w:val="33"/>
              <w:rPr>
                <w:color w:val="auto"/>
              </w:rPr>
            </w:pPr>
            <w:r>
              <w:rPr>
                <w:color w:val="auto"/>
              </w:rPr>
              <w:t>DA014</w:t>
            </w:r>
          </w:p>
        </w:tc>
        <w:tc>
          <w:tcPr>
            <w:tcW w:w="333" w:type="pct"/>
            <w:vAlign w:val="center"/>
          </w:tcPr>
          <w:p w14:paraId="32A80CFB">
            <w:pPr>
              <w:pStyle w:val="33"/>
              <w:rPr>
                <w:color w:val="auto"/>
              </w:rPr>
            </w:pPr>
            <w:r>
              <w:rPr>
                <w:color w:val="auto"/>
              </w:rPr>
              <w:t xml:space="preserve">15 </w:t>
            </w:r>
          </w:p>
        </w:tc>
        <w:tc>
          <w:tcPr>
            <w:tcW w:w="333" w:type="pct"/>
            <w:vAlign w:val="center"/>
          </w:tcPr>
          <w:p w14:paraId="7406D2B8">
            <w:pPr>
              <w:pStyle w:val="33"/>
              <w:rPr>
                <w:color w:val="auto"/>
              </w:rPr>
            </w:pPr>
            <w:r>
              <w:rPr>
                <w:color w:val="auto"/>
              </w:rPr>
              <w:t xml:space="preserve">0.5 </w:t>
            </w:r>
          </w:p>
        </w:tc>
        <w:tc>
          <w:tcPr>
            <w:tcW w:w="376" w:type="pct"/>
            <w:vAlign w:val="center"/>
          </w:tcPr>
          <w:p w14:paraId="44CEDF5E">
            <w:pPr>
              <w:pStyle w:val="33"/>
              <w:rPr>
                <w:color w:val="auto"/>
              </w:rPr>
            </w:pPr>
            <w:r>
              <w:rPr>
                <w:color w:val="auto"/>
              </w:rPr>
              <w:t xml:space="preserve">8000 </w:t>
            </w:r>
          </w:p>
        </w:tc>
        <w:tc>
          <w:tcPr>
            <w:tcW w:w="359" w:type="pct"/>
            <w:vAlign w:val="center"/>
          </w:tcPr>
          <w:p w14:paraId="4F5C032C">
            <w:pPr>
              <w:pStyle w:val="33"/>
              <w:rPr>
                <w:color w:val="auto"/>
              </w:rPr>
            </w:pPr>
            <w:r>
              <w:rPr>
                <w:color w:val="auto"/>
              </w:rPr>
              <w:t>/</w:t>
            </w:r>
          </w:p>
        </w:tc>
        <w:tc>
          <w:tcPr>
            <w:tcW w:w="359" w:type="pct"/>
            <w:vAlign w:val="center"/>
          </w:tcPr>
          <w:p w14:paraId="17F289A6">
            <w:pPr>
              <w:pStyle w:val="33"/>
              <w:rPr>
                <w:color w:val="auto"/>
              </w:rPr>
            </w:pPr>
            <w:r>
              <w:rPr>
                <w:color w:val="auto"/>
              </w:rPr>
              <w:t>/</w:t>
            </w:r>
          </w:p>
        </w:tc>
        <w:tc>
          <w:tcPr>
            <w:tcW w:w="330" w:type="pct"/>
            <w:vAlign w:val="center"/>
          </w:tcPr>
          <w:p w14:paraId="4E9776E7">
            <w:pPr>
              <w:pStyle w:val="33"/>
              <w:rPr>
                <w:color w:val="auto"/>
              </w:rPr>
            </w:pPr>
            <w:r>
              <w:rPr>
                <w:color w:val="auto"/>
              </w:rPr>
              <w:t>/</w:t>
            </w:r>
          </w:p>
        </w:tc>
        <w:tc>
          <w:tcPr>
            <w:tcW w:w="333" w:type="pct"/>
            <w:vAlign w:val="center"/>
          </w:tcPr>
          <w:p w14:paraId="23B94E57">
            <w:pPr>
              <w:pStyle w:val="33"/>
              <w:rPr>
                <w:color w:val="auto"/>
              </w:rPr>
            </w:pPr>
            <w:r>
              <w:rPr>
                <w:color w:val="auto"/>
              </w:rPr>
              <w:t>/</w:t>
            </w:r>
          </w:p>
        </w:tc>
        <w:tc>
          <w:tcPr>
            <w:tcW w:w="333" w:type="pct"/>
            <w:vAlign w:val="center"/>
          </w:tcPr>
          <w:p w14:paraId="16FF31F4">
            <w:pPr>
              <w:pStyle w:val="33"/>
              <w:rPr>
                <w:color w:val="auto"/>
              </w:rPr>
            </w:pPr>
            <w:r>
              <w:rPr>
                <w:color w:val="auto"/>
              </w:rPr>
              <w:t xml:space="preserve">0.0596 </w:t>
            </w:r>
          </w:p>
        </w:tc>
        <w:tc>
          <w:tcPr>
            <w:tcW w:w="333" w:type="pct"/>
            <w:vAlign w:val="center"/>
          </w:tcPr>
          <w:p w14:paraId="572C2904">
            <w:pPr>
              <w:pStyle w:val="33"/>
              <w:rPr>
                <w:color w:val="auto"/>
              </w:rPr>
            </w:pPr>
            <w:r>
              <w:rPr>
                <w:color w:val="auto"/>
              </w:rPr>
              <w:t>/</w:t>
            </w:r>
          </w:p>
        </w:tc>
        <w:tc>
          <w:tcPr>
            <w:tcW w:w="397" w:type="pct"/>
            <w:vAlign w:val="center"/>
          </w:tcPr>
          <w:p w14:paraId="542E7450">
            <w:pPr>
              <w:pStyle w:val="33"/>
              <w:rPr>
                <w:color w:val="auto"/>
              </w:rPr>
            </w:pPr>
            <w:r>
              <w:rPr>
                <w:color w:val="auto"/>
              </w:rPr>
              <w:t>/</w:t>
            </w:r>
          </w:p>
        </w:tc>
        <w:tc>
          <w:tcPr>
            <w:tcW w:w="333" w:type="pct"/>
            <w:vAlign w:val="center"/>
          </w:tcPr>
          <w:p w14:paraId="1531168E">
            <w:pPr>
              <w:pStyle w:val="33"/>
              <w:rPr>
                <w:color w:val="auto"/>
              </w:rPr>
            </w:pPr>
            <w:r>
              <w:rPr>
                <w:color w:val="auto"/>
              </w:rPr>
              <w:t>/</w:t>
            </w:r>
          </w:p>
        </w:tc>
        <w:tc>
          <w:tcPr>
            <w:tcW w:w="338" w:type="pct"/>
            <w:vAlign w:val="center"/>
          </w:tcPr>
          <w:p w14:paraId="173AF1DF">
            <w:pPr>
              <w:pStyle w:val="33"/>
              <w:rPr>
                <w:color w:val="auto"/>
              </w:rPr>
            </w:pPr>
            <w:r>
              <w:rPr>
                <w:color w:val="auto"/>
              </w:rPr>
              <w:t xml:space="preserve">0.3097 </w:t>
            </w:r>
          </w:p>
        </w:tc>
      </w:tr>
      <w:tr w14:paraId="63745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58B34EE">
            <w:pPr>
              <w:pStyle w:val="33"/>
              <w:rPr>
                <w:color w:val="auto"/>
              </w:rPr>
            </w:pPr>
            <w:r>
              <w:rPr>
                <w:rFonts w:eastAsia="等线"/>
                <w:color w:val="auto"/>
              </w:rPr>
              <w:t>44</w:t>
            </w:r>
          </w:p>
        </w:tc>
        <w:tc>
          <w:tcPr>
            <w:tcW w:w="591" w:type="pct"/>
            <w:vAlign w:val="center"/>
          </w:tcPr>
          <w:p w14:paraId="287A8573">
            <w:pPr>
              <w:pStyle w:val="33"/>
              <w:rPr>
                <w:color w:val="auto"/>
              </w:rPr>
            </w:pPr>
            <w:r>
              <w:rPr>
                <w:color w:val="auto"/>
              </w:rPr>
              <w:t>DA016</w:t>
            </w:r>
          </w:p>
        </w:tc>
        <w:tc>
          <w:tcPr>
            <w:tcW w:w="333" w:type="pct"/>
            <w:vAlign w:val="center"/>
          </w:tcPr>
          <w:p w14:paraId="7F5E5155">
            <w:pPr>
              <w:pStyle w:val="33"/>
              <w:rPr>
                <w:color w:val="auto"/>
              </w:rPr>
            </w:pPr>
            <w:r>
              <w:rPr>
                <w:color w:val="auto"/>
              </w:rPr>
              <w:t xml:space="preserve">15 </w:t>
            </w:r>
          </w:p>
        </w:tc>
        <w:tc>
          <w:tcPr>
            <w:tcW w:w="333" w:type="pct"/>
            <w:vAlign w:val="center"/>
          </w:tcPr>
          <w:p w14:paraId="606331CC">
            <w:pPr>
              <w:pStyle w:val="33"/>
              <w:rPr>
                <w:color w:val="auto"/>
              </w:rPr>
            </w:pPr>
            <w:r>
              <w:rPr>
                <w:color w:val="auto"/>
              </w:rPr>
              <w:t xml:space="preserve">0.8 </w:t>
            </w:r>
          </w:p>
        </w:tc>
        <w:tc>
          <w:tcPr>
            <w:tcW w:w="376" w:type="pct"/>
            <w:vAlign w:val="center"/>
          </w:tcPr>
          <w:p w14:paraId="587A4C21">
            <w:pPr>
              <w:pStyle w:val="33"/>
              <w:rPr>
                <w:color w:val="auto"/>
              </w:rPr>
            </w:pPr>
            <w:r>
              <w:rPr>
                <w:color w:val="auto"/>
              </w:rPr>
              <w:t xml:space="preserve">23000 </w:t>
            </w:r>
          </w:p>
        </w:tc>
        <w:tc>
          <w:tcPr>
            <w:tcW w:w="359" w:type="pct"/>
            <w:vAlign w:val="center"/>
          </w:tcPr>
          <w:p w14:paraId="66C772D7">
            <w:pPr>
              <w:pStyle w:val="33"/>
              <w:rPr>
                <w:color w:val="auto"/>
              </w:rPr>
            </w:pPr>
            <w:r>
              <w:rPr>
                <w:color w:val="auto"/>
              </w:rPr>
              <w:t>/</w:t>
            </w:r>
          </w:p>
        </w:tc>
        <w:tc>
          <w:tcPr>
            <w:tcW w:w="359" w:type="pct"/>
            <w:vAlign w:val="center"/>
          </w:tcPr>
          <w:p w14:paraId="0C8D8EAE">
            <w:pPr>
              <w:pStyle w:val="33"/>
              <w:rPr>
                <w:color w:val="auto"/>
              </w:rPr>
            </w:pPr>
            <w:r>
              <w:rPr>
                <w:color w:val="auto"/>
              </w:rPr>
              <w:t>/</w:t>
            </w:r>
          </w:p>
        </w:tc>
        <w:tc>
          <w:tcPr>
            <w:tcW w:w="330" w:type="pct"/>
            <w:vAlign w:val="center"/>
          </w:tcPr>
          <w:p w14:paraId="2DA76442">
            <w:pPr>
              <w:pStyle w:val="33"/>
              <w:rPr>
                <w:color w:val="auto"/>
              </w:rPr>
            </w:pPr>
            <w:r>
              <w:rPr>
                <w:color w:val="auto"/>
              </w:rPr>
              <w:t xml:space="preserve">0.1231 </w:t>
            </w:r>
          </w:p>
        </w:tc>
        <w:tc>
          <w:tcPr>
            <w:tcW w:w="333" w:type="pct"/>
            <w:vAlign w:val="center"/>
          </w:tcPr>
          <w:p w14:paraId="09BDF08D">
            <w:pPr>
              <w:pStyle w:val="33"/>
              <w:rPr>
                <w:color w:val="auto"/>
              </w:rPr>
            </w:pPr>
            <w:r>
              <w:rPr>
                <w:color w:val="auto"/>
              </w:rPr>
              <w:t>/</w:t>
            </w:r>
          </w:p>
        </w:tc>
        <w:tc>
          <w:tcPr>
            <w:tcW w:w="333" w:type="pct"/>
            <w:vAlign w:val="center"/>
          </w:tcPr>
          <w:p w14:paraId="56C20A04">
            <w:pPr>
              <w:pStyle w:val="33"/>
              <w:rPr>
                <w:color w:val="auto"/>
              </w:rPr>
            </w:pPr>
            <w:r>
              <w:rPr>
                <w:color w:val="auto"/>
              </w:rPr>
              <w:t>/</w:t>
            </w:r>
          </w:p>
        </w:tc>
        <w:tc>
          <w:tcPr>
            <w:tcW w:w="333" w:type="pct"/>
            <w:vAlign w:val="center"/>
          </w:tcPr>
          <w:p w14:paraId="6D072F84">
            <w:pPr>
              <w:pStyle w:val="33"/>
              <w:rPr>
                <w:color w:val="auto"/>
              </w:rPr>
            </w:pPr>
            <w:r>
              <w:rPr>
                <w:color w:val="auto"/>
              </w:rPr>
              <w:t>/</w:t>
            </w:r>
          </w:p>
        </w:tc>
        <w:tc>
          <w:tcPr>
            <w:tcW w:w="397" w:type="pct"/>
            <w:vAlign w:val="center"/>
          </w:tcPr>
          <w:p w14:paraId="47B6C2A7">
            <w:pPr>
              <w:pStyle w:val="33"/>
              <w:rPr>
                <w:color w:val="auto"/>
              </w:rPr>
            </w:pPr>
            <w:r>
              <w:rPr>
                <w:color w:val="auto"/>
              </w:rPr>
              <w:t>/</w:t>
            </w:r>
          </w:p>
        </w:tc>
        <w:tc>
          <w:tcPr>
            <w:tcW w:w="333" w:type="pct"/>
            <w:vAlign w:val="center"/>
          </w:tcPr>
          <w:p w14:paraId="4956697E">
            <w:pPr>
              <w:pStyle w:val="33"/>
              <w:rPr>
                <w:color w:val="auto"/>
              </w:rPr>
            </w:pPr>
            <w:r>
              <w:rPr>
                <w:color w:val="auto"/>
              </w:rPr>
              <w:t>/</w:t>
            </w:r>
          </w:p>
        </w:tc>
        <w:tc>
          <w:tcPr>
            <w:tcW w:w="338" w:type="pct"/>
            <w:vAlign w:val="center"/>
          </w:tcPr>
          <w:p w14:paraId="1319E509">
            <w:pPr>
              <w:pStyle w:val="33"/>
              <w:rPr>
                <w:color w:val="auto"/>
              </w:rPr>
            </w:pPr>
            <w:r>
              <w:rPr>
                <w:color w:val="auto"/>
              </w:rPr>
              <w:t>/</w:t>
            </w:r>
          </w:p>
        </w:tc>
      </w:tr>
      <w:tr w14:paraId="25960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05738B2">
            <w:pPr>
              <w:pStyle w:val="33"/>
              <w:rPr>
                <w:color w:val="auto"/>
              </w:rPr>
            </w:pPr>
            <w:r>
              <w:rPr>
                <w:rFonts w:eastAsia="等线"/>
                <w:color w:val="auto"/>
              </w:rPr>
              <w:t>45</w:t>
            </w:r>
          </w:p>
        </w:tc>
        <w:tc>
          <w:tcPr>
            <w:tcW w:w="591" w:type="pct"/>
            <w:vAlign w:val="center"/>
          </w:tcPr>
          <w:p w14:paraId="2D26C2A2">
            <w:pPr>
              <w:pStyle w:val="33"/>
              <w:rPr>
                <w:color w:val="auto"/>
              </w:rPr>
            </w:pPr>
            <w:r>
              <w:rPr>
                <w:color w:val="auto"/>
              </w:rPr>
              <w:t>DA017</w:t>
            </w:r>
          </w:p>
        </w:tc>
        <w:tc>
          <w:tcPr>
            <w:tcW w:w="333" w:type="pct"/>
            <w:vAlign w:val="center"/>
          </w:tcPr>
          <w:p w14:paraId="43057CA5">
            <w:pPr>
              <w:pStyle w:val="33"/>
              <w:rPr>
                <w:color w:val="auto"/>
              </w:rPr>
            </w:pPr>
            <w:r>
              <w:rPr>
                <w:color w:val="auto"/>
              </w:rPr>
              <w:t xml:space="preserve">18 </w:t>
            </w:r>
          </w:p>
        </w:tc>
        <w:tc>
          <w:tcPr>
            <w:tcW w:w="333" w:type="pct"/>
            <w:vAlign w:val="center"/>
          </w:tcPr>
          <w:p w14:paraId="448BAC38">
            <w:pPr>
              <w:pStyle w:val="33"/>
              <w:rPr>
                <w:color w:val="auto"/>
              </w:rPr>
            </w:pPr>
            <w:r>
              <w:rPr>
                <w:color w:val="auto"/>
              </w:rPr>
              <w:t xml:space="preserve">1 </w:t>
            </w:r>
          </w:p>
        </w:tc>
        <w:tc>
          <w:tcPr>
            <w:tcW w:w="376" w:type="pct"/>
            <w:vAlign w:val="center"/>
          </w:tcPr>
          <w:p w14:paraId="3D5AB7DC">
            <w:pPr>
              <w:pStyle w:val="33"/>
              <w:rPr>
                <w:color w:val="auto"/>
              </w:rPr>
            </w:pPr>
            <w:r>
              <w:rPr>
                <w:color w:val="auto"/>
              </w:rPr>
              <w:t xml:space="preserve">20000 </w:t>
            </w:r>
          </w:p>
        </w:tc>
        <w:tc>
          <w:tcPr>
            <w:tcW w:w="359" w:type="pct"/>
            <w:vAlign w:val="center"/>
          </w:tcPr>
          <w:p w14:paraId="5C4C52C1">
            <w:pPr>
              <w:pStyle w:val="33"/>
              <w:rPr>
                <w:color w:val="auto"/>
              </w:rPr>
            </w:pPr>
            <w:r>
              <w:rPr>
                <w:color w:val="auto"/>
              </w:rPr>
              <w:t>/</w:t>
            </w:r>
          </w:p>
        </w:tc>
        <w:tc>
          <w:tcPr>
            <w:tcW w:w="359" w:type="pct"/>
            <w:vAlign w:val="center"/>
          </w:tcPr>
          <w:p w14:paraId="770F9C2A">
            <w:pPr>
              <w:pStyle w:val="33"/>
              <w:rPr>
                <w:color w:val="auto"/>
              </w:rPr>
            </w:pPr>
            <w:r>
              <w:rPr>
                <w:color w:val="auto"/>
              </w:rPr>
              <w:t>/</w:t>
            </w:r>
          </w:p>
        </w:tc>
        <w:tc>
          <w:tcPr>
            <w:tcW w:w="330" w:type="pct"/>
            <w:vAlign w:val="center"/>
          </w:tcPr>
          <w:p w14:paraId="2CE6E03C">
            <w:pPr>
              <w:pStyle w:val="33"/>
              <w:rPr>
                <w:color w:val="auto"/>
              </w:rPr>
            </w:pPr>
            <w:r>
              <w:rPr>
                <w:color w:val="auto"/>
              </w:rPr>
              <w:t>/</w:t>
            </w:r>
          </w:p>
        </w:tc>
        <w:tc>
          <w:tcPr>
            <w:tcW w:w="333" w:type="pct"/>
            <w:vAlign w:val="center"/>
          </w:tcPr>
          <w:p w14:paraId="303523B5">
            <w:pPr>
              <w:pStyle w:val="33"/>
              <w:rPr>
                <w:color w:val="auto"/>
              </w:rPr>
            </w:pPr>
            <w:r>
              <w:rPr>
                <w:color w:val="auto"/>
              </w:rPr>
              <w:t>/</w:t>
            </w:r>
          </w:p>
        </w:tc>
        <w:tc>
          <w:tcPr>
            <w:tcW w:w="333" w:type="pct"/>
            <w:vAlign w:val="center"/>
          </w:tcPr>
          <w:p w14:paraId="01A79C4B">
            <w:pPr>
              <w:pStyle w:val="33"/>
              <w:rPr>
                <w:color w:val="auto"/>
              </w:rPr>
            </w:pPr>
            <w:r>
              <w:rPr>
                <w:color w:val="auto"/>
              </w:rPr>
              <w:t>/</w:t>
            </w:r>
          </w:p>
        </w:tc>
        <w:tc>
          <w:tcPr>
            <w:tcW w:w="333" w:type="pct"/>
            <w:vAlign w:val="center"/>
          </w:tcPr>
          <w:p w14:paraId="16238BF1">
            <w:pPr>
              <w:pStyle w:val="33"/>
              <w:rPr>
                <w:color w:val="auto"/>
              </w:rPr>
            </w:pPr>
            <w:r>
              <w:rPr>
                <w:color w:val="auto"/>
              </w:rPr>
              <w:t xml:space="preserve">0.0604 </w:t>
            </w:r>
          </w:p>
        </w:tc>
        <w:tc>
          <w:tcPr>
            <w:tcW w:w="397" w:type="pct"/>
            <w:vAlign w:val="center"/>
          </w:tcPr>
          <w:p w14:paraId="6CBC53D9">
            <w:pPr>
              <w:pStyle w:val="33"/>
              <w:rPr>
                <w:color w:val="auto"/>
              </w:rPr>
            </w:pPr>
            <w:r>
              <w:rPr>
                <w:color w:val="auto"/>
              </w:rPr>
              <w:t>/</w:t>
            </w:r>
          </w:p>
        </w:tc>
        <w:tc>
          <w:tcPr>
            <w:tcW w:w="333" w:type="pct"/>
            <w:vAlign w:val="center"/>
          </w:tcPr>
          <w:p w14:paraId="0FE99320">
            <w:pPr>
              <w:pStyle w:val="33"/>
              <w:rPr>
                <w:color w:val="auto"/>
              </w:rPr>
            </w:pPr>
            <w:r>
              <w:rPr>
                <w:color w:val="auto"/>
              </w:rPr>
              <w:t>/</w:t>
            </w:r>
          </w:p>
        </w:tc>
        <w:tc>
          <w:tcPr>
            <w:tcW w:w="338" w:type="pct"/>
            <w:vAlign w:val="center"/>
          </w:tcPr>
          <w:p w14:paraId="0EBDE20F">
            <w:pPr>
              <w:pStyle w:val="33"/>
              <w:rPr>
                <w:color w:val="auto"/>
              </w:rPr>
            </w:pPr>
            <w:r>
              <w:rPr>
                <w:color w:val="auto"/>
              </w:rPr>
              <w:t>/</w:t>
            </w:r>
          </w:p>
        </w:tc>
      </w:tr>
      <w:tr w14:paraId="72BD0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85B1332">
            <w:pPr>
              <w:pStyle w:val="33"/>
              <w:rPr>
                <w:color w:val="auto"/>
              </w:rPr>
            </w:pPr>
            <w:r>
              <w:rPr>
                <w:rFonts w:eastAsia="等线"/>
                <w:color w:val="auto"/>
              </w:rPr>
              <w:t>46</w:t>
            </w:r>
          </w:p>
        </w:tc>
        <w:tc>
          <w:tcPr>
            <w:tcW w:w="591" w:type="pct"/>
            <w:vAlign w:val="center"/>
          </w:tcPr>
          <w:p w14:paraId="28FC1F29">
            <w:pPr>
              <w:pStyle w:val="33"/>
              <w:rPr>
                <w:color w:val="auto"/>
              </w:rPr>
            </w:pPr>
            <w:r>
              <w:rPr>
                <w:color w:val="auto"/>
              </w:rPr>
              <w:t>DA018</w:t>
            </w:r>
          </w:p>
        </w:tc>
        <w:tc>
          <w:tcPr>
            <w:tcW w:w="333" w:type="pct"/>
            <w:vAlign w:val="center"/>
          </w:tcPr>
          <w:p w14:paraId="6B4431FF">
            <w:pPr>
              <w:pStyle w:val="33"/>
              <w:rPr>
                <w:color w:val="auto"/>
              </w:rPr>
            </w:pPr>
            <w:r>
              <w:rPr>
                <w:color w:val="auto"/>
              </w:rPr>
              <w:t xml:space="preserve">18 </w:t>
            </w:r>
          </w:p>
        </w:tc>
        <w:tc>
          <w:tcPr>
            <w:tcW w:w="333" w:type="pct"/>
            <w:vAlign w:val="center"/>
          </w:tcPr>
          <w:p w14:paraId="323EF621">
            <w:pPr>
              <w:pStyle w:val="33"/>
              <w:rPr>
                <w:color w:val="auto"/>
              </w:rPr>
            </w:pPr>
            <w:r>
              <w:rPr>
                <w:color w:val="auto"/>
              </w:rPr>
              <w:t xml:space="preserve">1 </w:t>
            </w:r>
          </w:p>
        </w:tc>
        <w:tc>
          <w:tcPr>
            <w:tcW w:w="376" w:type="pct"/>
            <w:vAlign w:val="center"/>
          </w:tcPr>
          <w:p w14:paraId="34751872">
            <w:pPr>
              <w:pStyle w:val="33"/>
              <w:rPr>
                <w:color w:val="auto"/>
              </w:rPr>
            </w:pPr>
            <w:r>
              <w:rPr>
                <w:color w:val="auto"/>
              </w:rPr>
              <w:t xml:space="preserve">20000 </w:t>
            </w:r>
          </w:p>
        </w:tc>
        <w:tc>
          <w:tcPr>
            <w:tcW w:w="359" w:type="pct"/>
            <w:vAlign w:val="center"/>
          </w:tcPr>
          <w:p w14:paraId="0B3799B2">
            <w:pPr>
              <w:pStyle w:val="33"/>
              <w:rPr>
                <w:color w:val="auto"/>
              </w:rPr>
            </w:pPr>
            <w:r>
              <w:rPr>
                <w:color w:val="auto"/>
              </w:rPr>
              <w:t>/</w:t>
            </w:r>
          </w:p>
        </w:tc>
        <w:tc>
          <w:tcPr>
            <w:tcW w:w="359" w:type="pct"/>
            <w:vAlign w:val="center"/>
          </w:tcPr>
          <w:p w14:paraId="6F0FF1B1">
            <w:pPr>
              <w:pStyle w:val="33"/>
              <w:rPr>
                <w:color w:val="auto"/>
              </w:rPr>
            </w:pPr>
            <w:r>
              <w:rPr>
                <w:color w:val="auto"/>
              </w:rPr>
              <w:t>/</w:t>
            </w:r>
          </w:p>
        </w:tc>
        <w:tc>
          <w:tcPr>
            <w:tcW w:w="330" w:type="pct"/>
            <w:vAlign w:val="center"/>
          </w:tcPr>
          <w:p w14:paraId="51B7FDB3">
            <w:pPr>
              <w:pStyle w:val="33"/>
              <w:rPr>
                <w:color w:val="auto"/>
              </w:rPr>
            </w:pPr>
            <w:r>
              <w:rPr>
                <w:color w:val="auto"/>
              </w:rPr>
              <w:t>/</w:t>
            </w:r>
          </w:p>
        </w:tc>
        <w:tc>
          <w:tcPr>
            <w:tcW w:w="333" w:type="pct"/>
            <w:vAlign w:val="center"/>
          </w:tcPr>
          <w:p w14:paraId="1A8C932C">
            <w:pPr>
              <w:pStyle w:val="33"/>
              <w:rPr>
                <w:color w:val="auto"/>
              </w:rPr>
            </w:pPr>
            <w:r>
              <w:rPr>
                <w:color w:val="auto"/>
              </w:rPr>
              <w:t>/</w:t>
            </w:r>
          </w:p>
        </w:tc>
        <w:tc>
          <w:tcPr>
            <w:tcW w:w="333" w:type="pct"/>
            <w:vAlign w:val="center"/>
          </w:tcPr>
          <w:p w14:paraId="1DF6BBFA">
            <w:pPr>
              <w:pStyle w:val="33"/>
              <w:rPr>
                <w:color w:val="auto"/>
              </w:rPr>
            </w:pPr>
            <w:r>
              <w:rPr>
                <w:color w:val="auto"/>
              </w:rPr>
              <w:t>/</w:t>
            </w:r>
          </w:p>
        </w:tc>
        <w:tc>
          <w:tcPr>
            <w:tcW w:w="333" w:type="pct"/>
            <w:vAlign w:val="center"/>
          </w:tcPr>
          <w:p w14:paraId="1D963A1E">
            <w:pPr>
              <w:pStyle w:val="33"/>
              <w:rPr>
                <w:color w:val="auto"/>
              </w:rPr>
            </w:pPr>
            <w:r>
              <w:rPr>
                <w:color w:val="auto"/>
              </w:rPr>
              <w:t xml:space="preserve">0.0604 </w:t>
            </w:r>
          </w:p>
        </w:tc>
        <w:tc>
          <w:tcPr>
            <w:tcW w:w="397" w:type="pct"/>
            <w:vAlign w:val="center"/>
          </w:tcPr>
          <w:p w14:paraId="274051A3">
            <w:pPr>
              <w:pStyle w:val="33"/>
              <w:rPr>
                <w:color w:val="auto"/>
              </w:rPr>
            </w:pPr>
            <w:r>
              <w:rPr>
                <w:color w:val="auto"/>
              </w:rPr>
              <w:t>/</w:t>
            </w:r>
          </w:p>
        </w:tc>
        <w:tc>
          <w:tcPr>
            <w:tcW w:w="333" w:type="pct"/>
            <w:vAlign w:val="center"/>
          </w:tcPr>
          <w:p w14:paraId="6988B1A7">
            <w:pPr>
              <w:pStyle w:val="33"/>
              <w:rPr>
                <w:color w:val="auto"/>
              </w:rPr>
            </w:pPr>
            <w:r>
              <w:rPr>
                <w:color w:val="auto"/>
              </w:rPr>
              <w:t>/</w:t>
            </w:r>
          </w:p>
        </w:tc>
        <w:tc>
          <w:tcPr>
            <w:tcW w:w="338" w:type="pct"/>
            <w:vAlign w:val="center"/>
          </w:tcPr>
          <w:p w14:paraId="3C1452E6">
            <w:pPr>
              <w:pStyle w:val="33"/>
              <w:rPr>
                <w:color w:val="auto"/>
              </w:rPr>
            </w:pPr>
            <w:r>
              <w:rPr>
                <w:color w:val="auto"/>
              </w:rPr>
              <w:t>/</w:t>
            </w:r>
          </w:p>
        </w:tc>
      </w:tr>
      <w:tr w14:paraId="1747C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883A962">
            <w:pPr>
              <w:pStyle w:val="33"/>
              <w:rPr>
                <w:color w:val="auto"/>
              </w:rPr>
            </w:pPr>
            <w:r>
              <w:rPr>
                <w:rFonts w:eastAsia="等线"/>
                <w:color w:val="auto"/>
              </w:rPr>
              <w:t>47</w:t>
            </w:r>
          </w:p>
        </w:tc>
        <w:tc>
          <w:tcPr>
            <w:tcW w:w="591" w:type="pct"/>
            <w:vAlign w:val="center"/>
          </w:tcPr>
          <w:p w14:paraId="4E060452">
            <w:pPr>
              <w:pStyle w:val="33"/>
              <w:rPr>
                <w:color w:val="auto"/>
              </w:rPr>
            </w:pPr>
            <w:r>
              <w:rPr>
                <w:color w:val="auto"/>
              </w:rPr>
              <w:t>DA019</w:t>
            </w:r>
          </w:p>
        </w:tc>
        <w:tc>
          <w:tcPr>
            <w:tcW w:w="333" w:type="pct"/>
            <w:vAlign w:val="center"/>
          </w:tcPr>
          <w:p w14:paraId="57E090F5">
            <w:pPr>
              <w:pStyle w:val="33"/>
              <w:rPr>
                <w:color w:val="auto"/>
              </w:rPr>
            </w:pPr>
            <w:r>
              <w:rPr>
                <w:color w:val="auto"/>
              </w:rPr>
              <w:t xml:space="preserve">18 </w:t>
            </w:r>
          </w:p>
        </w:tc>
        <w:tc>
          <w:tcPr>
            <w:tcW w:w="333" w:type="pct"/>
            <w:vAlign w:val="center"/>
          </w:tcPr>
          <w:p w14:paraId="5D25F8AB">
            <w:pPr>
              <w:pStyle w:val="33"/>
              <w:rPr>
                <w:color w:val="auto"/>
              </w:rPr>
            </w:pPr>
            <w:r>
              <w:rPr>
                <w:color w:val="auto"/>
              </w:rPr>
              <w:t xml:space="preserve">0.7 </w:t>
            </w:r>
          </w:p>
        </w:tc>
        <w:tc>
          <w:tcPr>
            <w:tcW w:w="376" w:type="pct"/>
            <w:vAlign w:val="center"/>
          </w:tcPr>
          <w:p w14:paraId="14C1A705">
            <w:pPr>
              <w:pStyle w:val="33"/>
              <w:rPr>
                <w:color w:val="auto"/>
              </w:rPr>
            </w:pPr>
            <w:r>
              <w:rPr>
                <w:color w:val="auto"/>
              </w:rPr>
              <w:t xml:space="preserve">15000 </w:t>
            </w:r>
          </w:p>
        </w:tc>
        <w:tc>
          <w:tcPr>
            <w:tcW w:w="359" w:type="pct"/>
            <w:vAlign w:val="center"/>
          </w:tcPr>
          <w:p w14:paraId="643117B2">
            <w:pPr>
              <w:pStyle w:val="33"/>
              <w:rPr>
                <w:color w:val="auto"/>
              </w:rPr>
            </w:pPr>
            <w:r>
              <w:rPr>
                <w:color w:val="auto"/>
              </w:rPr>
              <w:t>/</w:t>
            </w:r>
          </w:p>
        </w:tc>
        <w:tc>
          <w:tcPr>
            <w:tcW w:w="359" w:type="pct"/>
            <w:vAlign w:val="center"/>
          </w:tcPr>
          <w:p w14:paraId="4A67004C">
            <w:pPr>
              <w:pStyle w:val="33"/>
              <w:rPr>
                <w:color w:val="auto"/>
              </w:rPr>
            </w:pPr>
            <w:r>
              <w:rPr>
                <w:color w:val="auto"/>
              </w:rPr>
              <w:t>/</w:t>
            </w:r>
          </w:p>
        </w:tc>
        <w:tc>
          <w:tcPr>
            <w:tcW w:w="330" w:type="pct"/>
            <w:vAlign w:val="center"/>
          </w:tcPr>
          <w:p w14:paraId="6C834E61">
            <w:pPr>
              <w:pStyle w:val="33"/>
              <w:rPr>
                <w:color w:val="auto"/>
              </w:rPr>
            </w:pPr>
            <w:r>
              <w:rPr>
                <w:color w:val="auto"/>
              </w:rPr>
              <w:t xml:space="preserve">0.1704 </w:t>
            </w:r>
          </w:p>
        </w:tc>
        <w:tc>
          <w:tcPr>
            <w:tcW w:w="333" w:type="pct"/>
            <w:vAlign w:val="center"/>
          </w:tcPr>
          <w:p w14:paraId="0462D93A">
            <w:pPr>
              <w:pStyle w:val="33"/>
              <w:rPr>
                <w:color w:val="auto"/>
              </w:rPr>
            </w:pPr>
            <w:r>
              <w:rPr>
                <w:color w:val="auto"/>
              </w:rPr>
              <w:t>/</w:t>
            </w:r>
          </w:p>
        </w:tc>
        <w:tc>
          <w:tcPr>
            <w:tcW w:w="333" w:type="pct"/>
            <w:vAlign w:val="center"/>
          </w:tcPr>
          <w:p w14:paraId="5F342E75">
            <w:pPr>
              <w:pStyle w:val="33"/>
              <w:rPr>
                <w:color w:val="auto"/>
              </w:rPr>
            </w:pPr>
            <w:r>
              <w:rPr>
                <w:color w:val="auto"/>
              </w:rPr>
              <w:t>/</w:t>
            </w:r>
          </w:p>
        </w:tc>
        <w:tc>
          <w:tcPr>
            <w:tcW w:w="333" w:type="pct"/>
            <w:vAlign w:val="center"/>
          </w:tcPr>
          <w:p w14:paraId="6FE714AB">
            <w:pPr>
              <w:pStyle w:val="33"/>
              <w:rPr>
                <w:color w:val="auto"/>
              </w:rPr>
            </w:pPr>
            <w:r>
              <w:rPr>
                <w:color w:val="auto"/>
              </w:rPr>
              <w:t>/</w:t>
            </w:r>
          </w:p>
        </w:tc>
        <w:tc>
          <w:tcPr>
            <w:tcW w:w="397" w:type="pct"/>
            <w:vAlign w:val="center"/>
          </w:tcPr>
          <w:p w14:paraId="0F10DFFB">
            <w:pPr>
              <w:pStyle w:val="33"/>
              <w:rPr>
                <w:color w:val="auto"/>
              </w:rPr>
            </w:pPr>
            <w:r>
              <w:rPr>
                <w:color w:val="auto"/>
              </w:rPr>
              <w:t>/</w:t>
            </w:r>
          </w:p>
        </w:tc>
        <w:tc>
          <w:tcPr>
            <w:tcW w:w="333" w:type="pct"/>
            <w:vAlign w:val="center"/>
          </w:tcPr>
          <w:p w14:paraId="156D5D67">
            <w:pPr>
              <w:pStyle w:val="33"/>
              <w:rPr>
                <w:color w:val="auto"/>
              </w:rPr>
            </w:pPr>
            <w:r>
              <w:rPr>
                <w:color w:val="auto"/>
              </w:rPr>
              <w:t>/</w:t>
            </w:r>
          </w:p>
        </w:tc>
        <w:tc>
          <w:tcPr>
            <w:tcW w:w="338" w:type="pct"/>
            <w:vAlign w:val="center"/>
          </w:tcPr>
          <w:p w14:paraId="1FA4FB42">
            <w:pPr>
              <w:pStyle w:val="33"/>
              <w:rPr>
                <w:color w:val="auto"/>
              </w:rPr>
            </w:pPr>
            <w:r>
              <w:rPr>
                <w:color w:val="auto"/>
              </w:rPr>
              <w:t>/</w:t>
            </w:r>
          </w:p>
        </w:tc>
      </w:tr>
      <w:tr w14:paraId="52FBD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7B7A043">
            <w:pPr>
              <w:pStyle w:val="33"/>
              <w:rPr>
                <w:color w:val="auto"/>
              </w:rPr>
            </w:pPr>
            <w:r>
              <w:rPr>
                <w:rFonts w:eastAsia="等线"/>
                <w:color w:val="auto"/>
              </w:rPr>
              <w:t>48</w:t>
            </w:r>
          </w:p>
        </w:tc>
        <w:tc>
          <w:tcPr>
            <w:tcW w:w="591" w:type="pct"/>
            <w:vAlign w:val="center"/>
          </w:tcPr>
          <w:p w14:paraId="1A8BF8A4">
            <w:pPr>
              <w:pStyle w:val="33"/>
              <w:rPr>
                <w:color w:val="auto"/>
              </w:rPr>
            </w:pPr>
            <w:r>
              <w:rPr>
                <w:color w:val="auto"/>
              </w:rPr>
              <w:t>DA020</w:t>
            </w:r>
          </w:p>
        </w:tc>
        <w:tc>
          <w:tcPr>
            <w:tcW w:w="333" w:type="pct"/>
            <w:vAlign w:val="center"/>
          </w:tcPr>
          <w:p w14:paraId="06CE7E4E">
            <w:pPr>
              <w:pStyle w:val="33"/>
              <w:rPr>
                <w:color w:val="auto"/>
              </w:rPr>
            </w:pPr>
            <w:r>
              <w:rPr>
                <w:color w:val="auto"/>
              </w:rPr>
              <w:t xml:space="preserve">18 </w:t>
            </w:r>
          </w:p>
        </w:tc>
        <w:tc>
          <w:tcPr>
            <w:tcW w:w="333" w:type="pct"/>
            <w:vAlign w:val="center"/>
          </w:tcPr>
          <w:p w14:paraId="3AD017D4">
            <w:pPr>
              <w:pStyle w:val="33"/>
              <w:rPr>
                <w:color w:val="auto"/>
              </w:rPr>
            </w:pPr>
            <w:r>
              <w:rPr>
                <w:color w:val="auto"/>
              </w:rPr>
              <w:t xml:space="preserve">0.7 </w:t>
            </w:r>
          </w:p>
        </w:tc>
        <w:tc>
          <w:tcPr>
            <w:tcW w:w="376" w:type="pct"/>
            <w:vAlign w:val="center"/>
          </w:tcPr>
          <w:p w14:paraId="5C2F0145">
            <w:pPr>
              <w:pStyle w:val="33"/>
              <w:rPr>
                <w:color w:val="auto"/>
              </w:rPr>
            </w:pPr>
            <w:r>
              <w:rPr>
                <w:color w:val="auto"/>
              </w:rPr>
              <w:t xml:space="preserve">15000 </w:t>
            </w:r>
          </w:p>
        </w:tc>
        <w:tc>
          <w:tcPr>
            <w:tcW w:w="359" w:type="pct"/>
            <w:vAlign w:val="center"/>
          </w:tcPr>
          <w:p w14:paraId="1250AB6E">
            <w:pPr>
              <w:pStyle w:val="33"/>
              <w:rPr>
                <w:color w:val="auto"/>
              </w:rPr>
            </w:pPr>
            <w:r>
              <w:rPr>
                <w:color w:val="auto"/>
              </w:rPr>
              <w:t>/</w:t>
            </w:r>
          </w:p>
        </w:tc>
        <w:tc>
          <w:tcPr>
            <w:tcW w:w="359" w:type="pct"/>
            <w:vAlign w:val="center"/>
          </w:tcPr>
          <w:p w14:paraId="3BCD5C00">
            <w:pPr>
              <w:pStyle w:val="33"/>
              <w:rPr>
                <w:color w:val="auto"/>
              </w:rPr>
            </w:pPr>
            <w:r>
              <w:rPr>
                <w:color w:val="auto"/>
              </w:rPr>
              <w:t>/</w:t>
            </w:r>
          </w:p>
        </w:tc>
        <w:tc>
          <w:tcPr>
            <w:tcW w:w="330" w:type="pct"/>
            <w:vAlign w:val="center"/>
          </w:tcPr>
          <w:p w14:paraId="504F38F3">
            <w:pPr>
              <w:pStyle w:val="33"/>
              <w:rPr>
                <w:color w:val="auto"/>
              </w:rPr>
            </w:pPr>
            <w:r>
              <w:rPr>
                <w:color w:val="auto"/>
              </w:rPr>
              <w:t xml:space="preserve">0.1704 </w:t>
            </w:r>
          </w:p>
        </w:tc>
        <w:tc>
          <w:tcPr>
            <w:tcW w:w="333" w:type="pct"/>
            <w:vAlign w:val="center"/>
          </w:tcPr>
          <w:p w14:paraId="0A48B106">
            <w:pPr>
              <w:pStyle w:val="33"/>
              <w:rPr>
                <w:color w:val="auto"/>
              </w:rPr>
            </w:pPr>
            <w:r>
              <w:rPr>
                <w:color w:val="auto"/>
              </w:rPr>
              <w:t>/</w:t>
            </w:r>
          </w:p>
        </w:tc>
        <w:tc>
          <w:tcPr>
            <w:tcW w:w="333" w:type="pct"/>
            <w:vAlign w:val="center"/>
          </w:tcPr>
          <w:p w14:paraId="21BBF87E">
            <w:pPr>
              <w:pStyle w:val="33"/>
              <w:rPr>
                <w:color w:val="auto"/>
              </w:rPr>
            </w:pPr>
            <w:r>
              <w:rPr>
                <w:color w:val="auto"/>
              </w:rPr>
              <w:t>/</w:t>
            </w:r>
          </w:p>
        </w:tc>
        <w:tc>
          <w:tcPr>
            <w:tcW w:w="333" w:type="pct"/>
            <w:vAlign w:val="center"/>
          </w:tcPr>
          <w:p w14:paraId="4338ADEC">
            <w:pPr>
              <w:pStyle w:val="33"/>
              <w:rPr>
                <w:color w:val="auto"/>
              </w:rPr>
            </w:pPr>
            <w:r>
              <w:rPr>
                <w:color w:val="auto"/>
              </w:rPr>
              <w:t>/</w:t>
            </w:r>
          </w:p>
        </w:tc>
        <w:tc>
          <w:tcPr>
            <w:tcW w:w="397" w:type="pct"/>
            <w:vAlign w:val="center"/>
          </w:tcPr>
          <w:p w14:paraId="707520C1">
            <w:pPr>
              <w:pStyle w:val="33"/>
              <w:rPr>
                <w:color w:val="auto"/>
              </w:rPr>
            </w:pPr>
            <w:r>
              <w:rPr>
                <w:color w:val="auto"/>
              </w:rPr>
              <w:t>/</w:t>
            </w:r>
          </w:p>
        </w:tc>
        <w:tc>
          <w:tcPr>
            <w:tcW w:w="333" w:type="pct"/>
            <w:vAlign w:val="center"/>
          </w:tcPr>
          <w:p w14:paraId="58768D23">
            <w:pPr>
              <w:pStyle w:val="33"/>
              <w:rPr>
                <w:color w:val="auto"/>
              </w:rPr>
            </w:pPr>
            <w:r>
              <w:rPr>
                <w:color w:val="auto"/>
              </w:rPr>
              <w:t>/</w:t>
            </w:r>
          </w:p>
        </w:tc>
        <w:tc>
          <w:tcPr>
            <w:tcW w:w="338" w:type="pct"/>
            <w:vAlign w:val="center"/>
          </w:tcPr>
          <w:p w14:paraId="57116FD3">
            <w:pPr>
              <w:pStyle w:val="33"/>
              <w:rPr>
                <w:color w:val="auto"/>
              </w:rPr>
            </w:pPr>
            <w:r>
              <w:rPr>
                <w:color w:val="auto"/>
              </w:rPr>
              <w:t>/</w:t>
            </w:r>
          </w:p>
        </w:tc>
      </w:tr>
      <w:tr w14:paraId="650C0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1B48732">
            <w:pPr>
              <w:pStyle w:val="33"/>
              <w:rPr>
                <w:color w:val="auto"/>
              </w:rPr>
            </w:pPr>
            <w:r>
              <w:rPr>
                <w:rFonts w:eastAsia="等线"/>
                <w:color w:val="auto"/>
              </w:rPr>
              <w:t>49</w:t>
            </w:r>
          </w:p>
        </w:tc>
        <w:tc>
          <w:tcPr>
            <w:tcW w:w="591" w:type="pct"/>
            <w:vAlign w:val="center"/>
          </w:tcPr>
          <w:p w14:paraId="25B3554B">
            <w:pPr>
              <w:pStyle w:val="33"/>
              <w:rPr>
                <w:color w:val="auto"/>
              </w:rPr>
            </w:pPr>
            <w:r>
              <w:rPr>
                <w:color w:val="auto"/>
              </w:rPr>
              <w:t>DA023</w:t>
            </w:r>
          </w:p>
        </w:tc>
        <w:tc>
          <w:tcPr>
            <w:tcW w:w="333" w:type="pct"/>
            <w:vAlign w:val="center"/>
          </w:tcPr>
          <w:p w14:paraId="6BDBE6B3">
            <w:pPr>
              <w:pStyle w:val="33"/>
              <w:rPr>
                <w:color w:val="auto"/>
              </w:rPr>
            </w:pPr>
            <w:r>
              <w:rPr>
                <w:color w:val="auto"/>
              </w:rPr>
              <w:t xml:space="preserve">15 </w:t>
            </w:r>
          </w:p>
        </w:tc>
        <w:tc>
          <w:tcPr>
            <w:tcW w:w="333" w:type="pct"/>
            <w:vAlign w:val="center"/>
          </w:tcPr>
          <w:p w14:paraId="6E2E53AA">
            <w:pPr>
              <w:pStyle w:val="33"/>
              <w:rPr>
                <w:color w:val="auto"/>
              </w:rPr>
            </w:pPr>
            <w:r>
              <w:rPr>
                <w:color w:val="auto"/>
              </w:rPr>
              <w:t xml:space="preserve">0.6 </w:t>
            </w:r>
          </w:p>
        </w:tc>
        <w:tc>
          <w:tcPr>
            <w:tcW w:w="376" w:type="pct"/>
            <w:vAlign w:val="center"/>
          </w:tcPr>
          <w:p w14:paraId="024C9DAB">
            <w:pPr>
              <w:pStyle w:val="33"/>
              <w:rPr>
                <w:color w:val="auto"/>
              </w:rPr>
            </w:pPr>
            <w:r>
              <w:rPr>
                <w:color w:val="auto"/>
              </w:rPr>
              <w:t xml:space="preserve">15000 </w:t>
            </w:r>
          </w:p>
        </w:tc>
        <w:tc>
          <w:tcPr>
            <w:tcW w:w="359" w:type="pct"/>
            <w:vAlign w:val="center"/>
          </w:tcPr>
          <w:p w14:paraId="504954CE">
            <w:pPr>
              <w:pStyle w:val="33"/>
              <w:rPr>
                <w:color w:val="auto"/>
              </w:rPr>
            </w:pPr>
            <w:r>
              <w:rPr>
                <w:color w:val="auto"/>
              </w:rPr>
              <w:t>/</w:t>
            </w:r>
          </w:p>
        </w:tc>
        <w:tc>
          <w:tcPr>
            <w:tcW w:w="359" w:type="pct"/>
            <w:vAlign w:val="center"/>
          </w:tcPr>
          <w:p w14:paraId="284738B5">
            <w:pPr>
              <w:pStyle w:val="33"/>
              <w:rPr>
                <w:color w:val="auto"/>
              </w:rPr>
            </w:pPr>
            <w:r>
              <w:rPr>
                <w:color w:val="auto"/>
              </w:rPr>
              <w:t>/</w:t>
            </w:r>
          </w:p>
        </w:tc>
        <w:tc>
          <w:tcPr>
            <w:tcW w:w="330" w:type="pct"/>
            <w:vAlign w:val="center"/>
          </w:tcPr>
          <w:p w14:paraId="4F574860">
            <w:pPr>
              <w:pStyle w:val="33"/>
              <w:rPr>
                <w:color w:val="auto"/>
              </w:rPr>
            </w:pPr>
            <w:r>
              <w:rPr>
                <w:color w:val="auto"/>
              </w:rPr>
              <w:t>/</w:t>
            </w:r>
          </w:p>
        </w:tc>
        <w:tc>
          <w:tcPr>
            <w:tcW w:w="333" w:type="pct"/>
            <w:vAlign w:val="center"/>
          </w:tcPr>
          <w:p w14:paraId="628075CC">
            <w:pPr>
              <w:pStyle w:val="33"/>
              <w:rPr>
                <w:color w:val="auto"/>
              </w:rPr>
            </w:pPr>
            <w:r>
              <w:rPr>
                <w:color w:val="auto"/>
              </w:rPr>
              <w:t>/</w:t>
            </w:r>
          </w:p>
        </w:tc>
        <w:tc>
          <w:tcPr>
            <w:tcW w:w="333" w:type="pct"/>
            <w:vAlign w:val="center"/>
          </w:tcPr>
          <w:p w14:paraId="7533F4AA">
            <w:pPr>
              <w:pStyle w:val="33"/>
              <w:rPr>
                <w:color w:val="auto"/>
              </w:rPr>
            </w:pPr>
            <w:r>
              <w:rPr>
                <w:color w:val="auto"/>
              </w:rPr>
              <w:t xml:space="preserve">0.084 </w:t>
            </w:r>
          </w:p>
        </w:tc>
        <w:tc>
          <w:tcPr>
            <w:tcW w:w="333" w:type="pct"/>
            <w:vAlign w:val="center"/>
          </w:tcPr>
          <w:p w14:paraId="653E0AA0">
            <w:pPr>
              <w:pStyle w:val="33"/>
              <w:rPr>
                <w:color w:val="auto"/>
              </w:rPr>
            </w:pPr>
            <w:r>
              <w:rPr>
                <w:color w:val="auto"/>
              </w:rPr>
              <w:t>/</w:t>
            </w:r>
          </w:p>
        </w:tc>
        <w:tc>
          <w:tcPr>
            <w:tcW w:w="397" w:type="pct"/>
            <w:vAlign w:val="center"/>
          </w:tcPr>
          <w:p w14:paraId="182A997C">
            <w:pPr>
              <w:pStyle w:val="33"/>
              <w:rPr>
                <w:color w:val="auto"/>
              </w:rPr>
            </w:pPr>
            <w:r>
              <w:rPr>
                <w:color w:val="auto"/>
              </w:rPr>
              <w:t>/</w:t>
            </w:r>
          </w:p>
        </w:tc>
        <w:tc>
          <w:tcPr>
            <w:tcW w:w="333" w:type="pct"/>
            <w:vAlign w:val="center"/>
          </w:tcPr>
          <w:p w14:paraId="354ED91A">
            <w:pPr>
              <w:pStyle w:val="33"/>
              <w:rPr>
                <w:color w:val="auto"/>
              </w:rPr>
            </w:pPr>
            <w:r>
              <w:rPr>
                <w:color w:val="auto"/>
              </w:rPr>
              <w:t>/</w:t>
            </w:r>
          </w:p>
        </w:tc>
        <w:tc>
          <w:tcPr>
            <w:tcW w:w="338" w:type="pct"/>
            <w:vAlign w:val="center"/>
          </w:tcPr>
          <w:p w14:paraId="2CEB96FC">
            <w:pPr>
              <w:pStyle w:val="33"/>
              <w:rPr>
                <w:color w:val="auto"/>
              </w:rPr>
            </w:pPr>
            <w:r>
              <w:rPr>
                <w:color w:val="auto"/>
              </w:rPr>
              <w:t>/</w:t>
            </w:r>
          </w:p>
        </w:tc>
      </w:tr>
      <w:tr w14:paraId="5D867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18A3C342">
            <w:pPr>
              <w:pStyle w:val="33"/>
              <w:rPr>
                <w:color w:val="auto"/>
              </w:rPr>
            </w:pPr>
            <w:r>
              <w:rPr>
                <w:color w:val="auto"/>
              </w:rPr>
              <w:t>广西金</w:t>
            </w:r>
            <w:r>
              <w:rPr>
                <w:rFonts w:hint="eastAsia"/>
                <w:color w:val="auto"/>
              </w:rPr>
              <w:t>洲</w:t>
            </w:r>
            <w:r>
              <w:rPr>
                <w:color w:val="auto"/>
              </w:rPr>
              <w:t>浆纸业有限公司年产300万吨林浆纸一体化项目</w:t>
            </w:r>
          </w:p>
        </w:tc>
      </w:tr>
      <w:tr w14:paraId="515F8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9900695">
            <w:pPr>
              <w:pStyle w:val="33"/>
              <w:rPr>
                <w:color w:val="auto"/>
              </w:rPr>
            </w:pPr>
            <w:r>
              <w:rPr>
                <w:rFonts w:eastAsia="等线"/>
                <w:color w:val="auto"/>
              </w:rPr>
              <w:t>50</w:t>
            </w:r>
          </w:p>
        </w:tc>
        <w:tc>
          <w:tcPr>
            <w:tcW w:w="591" w:type="pct"/>
          </w:tcPr>
          <w:p w14:paraId="75594137">
            <w:pPr>
              <w:pStyle w:val="33"/>
              <w:rPr>
                <w:color w:val="auto"/>
              </w:rPr>
            </w:pPr>
            <w:r>
              <w:rPr>
                <w:color w:val="auto"/>
              </w:rPr>
              <w:t>G3-1</w:t>
            </w:r>
          </w:p>
        </w:tc>
        <w:tc>
          <w:tcPr>
            <w:tcW w:w="333" w:type="pct"/>
          </w:tcPr>
          <w:p w14:paraId="7C27D8EE">
            <w:pPr>
              <w:pStyle w:val="33"/>
              <w:rPr>
                <w:color w:val="auto"/>
              </w:rPr>
            </w:pPr>
            <w:r>
              <w:rPr>
                <w:color w:val="auto"/>
              </w:rPr>
              <w:t>55</w:t>
            </w:r>
          </w:p>
        </w:tc>
        <w:tc>
          <w:tcPr>
            <w:tcW w:w="333" w:type="pct"/>
          </w:tcPr>
          <w:p w14:paraId="1FBA2FB4">
            <w:pPr>
              <w:pStyle w:val="33"/>
              <w:rPr>
                <w:color w:val="auto"/>
              </w:rPr>
            </w:pPr>
            <w:r>
              <w:rPr>
                <w:color w:val="auto"/>
              </w:rPr>
              <w:t>0.8</w:t>
            </w:r>
          </w:p>
        </w:tc>
        <w:tc>
          <w:tcPr>
            <w:tcW w:w="376" w:type="pct"/>
          </w:tcPr>
          <w:p w14:paraId="44C4CF00">
            <w:pPr>
              <w:pStyle w:val="33"/>
              <w:rPr>
                <w:color w:val="auto"/>
              </w:rPr>
            </w:pPr>
            <w:r>
              <w:rPr>
                <w:color w:val="auto"/>
              </w:rPr>
              <w:t>16100</w:t>
            </w:r>
          </w:p>
        </w:tc>
        <w:tc>
          <w:tcPr>
            <w:tcW w:w="359" w:type="pct"/>
            <w:vAlign w:val="center"/>
          </w:tcPr>
          <w:p w14:paraId="4D461F32">
            <w:pPr>
              <w:pStyle w:val="33"/>
              <w:rPr>
                <w:color w:val="auto"/>
              </w:rPr>
            </w:pPr>
            <w:r>
              <w:rPr>
                <w:color w:val="auto"/>
              </w:rPr>
              <w:t>/</w:t>
            </w:r>
          </w:p>
        </w:tc>
        <w:tc>
          <w:tcPr>
            <w:tcW w:w="359" w:type="pct"/>
            <w:vAlign w:val="center"/>
          </w:tcPr>
          <w:p w14:paraId="1627A618">
            <w:pPr>
              <w:pStyle w:val="33"/>
              <w:rPr>
                <w:color w:val="auto"/>
              </w:rPr>
            </w:pPr>
            <w:r>
              <w:rPr>
                <w:color w:val="auto"/>
              </w:rPr>
              <w:t>/</w:t>
            </w:r>
          </w:p>
        </w:tc>
        <w:tc>
          <w:tcPr>
            <w:tcW w:w="330" w:type="pct"/>
            <w:vAlign w:val="center"/>
          </w:tcPr>
          <w:p w14:paraId="0A1BB3E6">
            <w:pPr>
              <w:pStyle w:val="33"/>
              <w:rPr>
                <w:color w:val="auto"/>
              </w:rPr>
            </w:pPr>
            <w:r>
              <w:rPr>
                <w:color w:val="auto"/>
              </w:rPr>
              <w:t>/</w:t>
            </w:r>
          </w:p>
        </w:tc>
        <w:tc>
          <w:tcPr>
            <w:tcW w:w="333" w:type="pct"/>
            <w:vAlign w:val="center"/>
          </w:tcPr>
          <w:p w14:paraId="63D1357A">
            <w:pPr>
              <w:pStyle w:val="33"/>
              <w:rPr>
                <w:color w:val="auto"/>
              </w:rPr>
            </w:pPr>
            <w:r>
              <w:rPr>
                <w:color w:val="auto"/>
              </w:rPr>
              <w:t>/</w:t>
            </w:r>
          </w:p>
        </w:tc>
        <w:tc>
          <w:tcPr>
            <w:tcW w:w="333" w:type="pct"/>
            <w:vAlign w:val="center"/>
          </w:tcPr>
          <w:p w14:paraId="6BFD68A0">
            <w:pPr>
              <w:pStyle w:val="33"/>
              <w:rPr>
                <w:color w:val="auto"/>
              </w:rPr>
            </w:pPr>
            <w:r>
              <w:rPr>
                <w:color w:val="auto"/>
              </w:rPr>
              <w:t>/</w:t>
            </w:r>
          </w:p>
        </w:tc>
        <w:tc>
          <w:tcPr>
            <w:tcW w:w="333" w:type="pct"/>
            <w:vAlign w:val="center"/>
          </w:tcPr>
          <w:p w14:paraId="73A3C41F">
            <w:pPr>
              <w:pStyle w:val="33"/>
              <w:rPr>
                <w:color w:val="auto"/>
              </w:rPr>
            </w:pPr>
            <w:r>
              <w:rPr>
                <w:color w:val="auto"/>
              </w:rPr>
              <w:t>/</w:t>
            </w:r>
          </w:p>
        </w:tc>
        <w:tc>
          <w:tcPr>
            <w:tcW w:w="397" w:type="pct"/>
            <w:vAlign w:val="center"/>
          </w:tcPr>
          <w:p w14:paraId="6CA7DF28">
            <w:pPr>
              <w:pStyle w:val="33"/>
              <w:rPr>
                <w:color w:val="auto"/>
              </w:rPr>
            </w:pPr>
            <w:r>
              <w:rPr>
                <w:color w:val="auto"/>
              </w:rPr>
              <w:t>/</w:t>
            </w:r>
          </w:p>
        </w:tc>
        <w:tc>
          <w:tcPr>
            <w:tcW w:w="333" w:type="pct"/>
            <w:vAlign w:val="center"/>
          </w:tcPr>
          <w:p w14:paraId="7F28F225">
            <w:pPr>
              <w:pStyle w:val="33"/>
              <w:rPr>
                <w:color w:val="auto"/>
              </w:rPr>
            </w:pPr>
            <w:r>
              <w:rPr>
                <w:color w:val="auto"/>
              </w:rPr>
              <w:t>/</w:t>
            </w:r>
          </w:p>
        </w:tc>
        <w:tc>
          <w:tcPr>
            <w:tcW w:w="338" w:type="pct"/>
            <w:vAlign w:val="center"/>
          </w:tcPr>
          <w:p w14:paraId="60DE75F1">
            <w:pPr>
              <w:pStyle w:val="33"/>
              <w:rPr>
                <w:color w:val="auto"/>
              </w:rPr>
            </w:pPr>
            <w:r>
              <w:rPr>
                <w:color w:val="auto"/>
              </w:rPr>
              <w:t>/</w:t>
            </w:r>
          </w:p>
        </w:tc>
      </w:tr>
      <w:tr w14:paraId="46ACC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99143DB">
            <w:pPr>
              <w:pStyle w:val="33"/>
              <w:rPr>
                <w:color w:val="auto"/>
              </w:rPr>
            </w:pPr>
            <w:r>
              <w:rPr>
                <w:rFonts w:eastAsia="等线"/>
                <w:color w:val="auto"/>
              </w:rPr>
              <w:t>51</w:t>
            </w:r>
          </w:p>
        </w:tc>
        <w:tc>
          <w:tcPr>
            <w:tcW w:w="591" w:type="pct"/>
          </w:tcPr>
          <w:p w14:paraId="34E51A87">
            <w:pPr>
              <w:pStyle w:val="33"/>
              <w:rPr>
                <w:color w:val="auto"/>
              </w:rPr>
            </w:pPr>
            <w:r>
              <w:rPr>
                <w:color w:val="auto"/>
              </w:rPr>
              <w:t>G4-1</w:t>
            </w:r>
          </w:p>
        </w:tc>
        <w:tc>
          <w:tcPr>
            <w:tcW w:w="333" w:type="pct"/>
          </w:tcPr>
          <w:p w14:paraId="54376B15">
            <w:pPr>
              <w:pStyle w:val="33"/>
              <w:rPr>
                <w:color w:val="auto"/>
              </w:rPr>
            </w:pPr>
            <w:r>
              <w:rPr>
                <w:color w:val="auto"/>
              </w:rPr>
              <w:t>24</w:t>
            </w:r>
          </w:p>
        </w:tc>
        <w:tc>
          <w:tcPr>
            <w:tcW w:w="333" w:type="pct"/>
          </w:tcPr>
          <w:p w14:paraId="6D13EDC0">
            <w:pPr>
              <w:pStyle w:val="33"/>
              <w:rPr>
                <w:color w:val="auto"/>
              </w:rPr>
            </w:pPr>
            <w:r>
              <w:rPr>
                <w:color w:val="auto"/>
              </w:rPr>
              <w:t>0.28</w:t>
            </w:r>
          </w:p>
        </w:tc>
        <w:tc>
          <w:tcPr>
            <w:tcW w:w="376" w:type="pct"/>
          </w:tcPr>
          <w:p w14:paraId="3094D8E2">
            <w:pPr>
              <w:pStyle w:val="33"/>
              <w:rPr>
                <w:color w:val="auto"/>
              </w:rPr>
            </w:pPr>
            <w:r>
              <w:rPr>
                <w:color w:val="auto"/>
              </w:rPr>
              <w:t>3880</w:t>
            </w:r>
          </w:p>
        </w:tc>
        <w:tc>
          <w:tcPr>
            <w:tcW w:w="359" w:type="pct"/>
          </w:tcPr>
          <w:p w14:paraId="595132F0">
            <w:pPr>
              <w:pStyle w:val="33"/>
              <w:rPr>
                <w:color w:val="auto"/>
              </w:rPr>
            </w:pPr>
            <w:r>
              <w:rPr>
                <w:color w:val="auto"/>
              </w:rPr>
              <w:t xml:space="preserve">0.0613 </w:t>
            </w:r>
          </w:p>
        </w:tc>
        <w:tc>
          <w:tcPr>
            <w:tcW w:w="359" w:type="pct"/>
          </w:tcPr>
          <w:p w14:paraId="1B1BFD0D">
            <w:pPr>
              <w:pStyle w:val="33"/>
              <w:rPr>
                <w:color w:val="auto"/>
              </w:rPr>
            </w:pPr>
            <w:r>
              <w:rPr>
                <w:color w:val="auto"/>
              </w:rPr>
              <w:t xml:space="preserve">0.0929 </w:t>
            </w:r>
          </w:p>
        </w:tc>
        <w:tc>
          <w:tcPr>
            <w:tcW w:w="330" w:type="pct"/>
          </w:tcPr>
          <w:p w14:paraId="1BC7A9BA">
            <w:pPr>
              <w:pStyle w:val="33"/>
              <w:rPr>
                <w:color w:val="auto"/>
              </w:rPr>
            </w:pPr>
            <w:r>
              <w:rPr>
                <w:color w:val="auto"/>
              </w:rPr>
              <w:t xml:space="preserve">0.0876 </w:t>
            </w:r>
          </w:p>
        </w:tc>
        <w:tc>
          <w:tcPr>
            <w:tcW w:w="333" w:type="pct"/>
          </w:tcPr>
          <w:p w14:paraId="55C6FB6B">
            <w:pPr>
              <w:pStyle w:val="33"/>
              <w:rPr>
                <w:color w:val="auto"/>
              </w:rPr>
            </w:pPr>
            <w:r>
              <w:rPr>
                <w:color w:val="auto"/>
              </w:rPr>
              <w:t xml:space="preserve">0.0613 </w:t>
            </w:r>
          </w:p>
        </w:tc>
        <w:tc>
          <w:tcPr>
            <w:tcW w:w="333" w:type="pct"/>
            <w:vAlign w:val="center"/>
          </w:tcPr>
          <w:p w14:paraId="4DA81036">
            <w:pPr>
              <w:pStyle w:val="33"/>
              <w:rPr>
                <w:color w:val="auto"/>
              </w:rPr>
            </w:pPr>
            <w:r>
              <w:rPr>
                <w:color w:val="auto"/>
              </w:rPr>
              <w:t>/</w:t>
            </w:r>
          </w:p>
        </w:tc>
        <w:tc>
          <w:tcPr>
            <w:tcW w:w="333" w:type="pct"/>
            <w:vAlign w:val="center"/>
          </w:tcPr>
          <w:p w14:paraId="4382C760">
            <w:pPr>
              <w:pStyle w:val="33"/>
              <w:rPr>
                <w:color w:val="auto"/>
              </w:rPr>
            </w:pPr>
            <w:r>
              <w:rPr>
                <w:color w:val="auto"/>
              </w:rPr>
              <w:t>/</w:t>
            </w:r>
          </w:p>
        </w:tc>
        <w:tc>
          <w:tcPr>
            <w:tcW w:w="397" w:type="pct"/>
            <w:vAlign w:val="center"/>
          </w:tcPr>
          <w:p w14:paraId="0B278CF6">
            <w:pPr>
              <w:pStyle w:val="33"/>
              <w:rPr>
                <w:color w:val="auto"/>
              </w:rPr>
            </w:pPr>
            <w:r>
              <w:rPr>
                <w:color w:val="auto"/>
              </w:rPr>
              <w:t>/</w:t>
            </w:r>
          </w:p>
        </w:tc>
        <w:tc>
          <w:tcPr>
            <w:tcW w:w="333" w:type="pct"/>
            <w:vAlign w:val="center"/>
          </w:tcPr>
          <w:p w14:paraId="0757801A">
            <w:pPr>
              <w:pStyle w:val="33"/>
              <w:rPr>
                <w:color w:val="auto"/>
              </w:rPr>
            </w:pPr>
            <w:r>
              <w:rPr>
                <w:color w:val="auto"/>
              </w:rPr>
              <w:t>/</w:t>
            </w:r>
          </w:p>
        </w:tc>
        <w:tc>
          <w:tcPr>
            <w:tcW w:w="338" w:type="pct"/>
            <w:vAlign w:val="center"/>
          </w:tcPr>
          <w:p w14:paraId="42DA2AE7">
            <w:pPr>
              <w:pStyle w:val="33"/>
              <w:rPr>
                <w:color w:val="auto"/>
              </w:rPr>
            </w:pPr>
            <w:r>
              <w:rPr>
                <w:color w:val="auto"/>
              </w:rPr>
              <w:t>/</w:t>
            </w:r>
          </w:p>
        </w:tc>
      </w:tr>
      <w:tr w14:paraId="20B49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D8F9FED">
            <w:pPr>
              <w:pStyle w:val="33"/>
              <w:rPr>
                <w:color w:val="auto"/>
              </w:rPr>
            </w:pPr>
            <w:r>
              <w:rPr>
                <w:rFonts w:eastAsia="等线"/>
                <w:color w:val="auto"/>
              </w:rPr>
              <w:t>52</w:t>
            </w:r>
          </w:p>
        </w:tc>
        <w:tc>
          <w:tcPr>
            <w:tcW w:w="591" w:type="pct"/>
          </w:tcPr>
          <w:p w14:paraId="39F748E0">
            <w:pPr>
              <w:pStyle w:val="33"/>
              <w:rPr>
                <w:color w:val="auto"/>
              </w:rPr>
            </w:pPr>
            <w:r>
              <w:rPr>
                <w:color w:val="auto"/>
              </w:rPr>
              <w:t>G4-2</w:t>
            </w:r>
          </w:p>
        </w:tc>
        <w:tc>
          <w:tcPr>
            <w:tcW w:w="333" w:type="pct"/>
          </w:tcPr>
          <w:p w14:paraId="5EB383ED">
            <w:pPr>
              <w:pStyle w:val="33"/>
              <w:rPr>
                <w:color w:val="auto"/>
              </w:rPr>
            </w:pPr>
            <w:r>
              <w:rPr>
                <w:color w:val="auto"/>
              </w:rPr>
              <w:t>24</w:t>
            </w:r>
          </w:p>
        </w:tc>
        <w:tc>
          <w:tcPr>
            <w:tcW w:w="333" w:type="pct"/>
          </w:tcPr>
          <w:p w14:paraId="27D91109">
            <w:pPr>
              <w:pStyle w:val="33"/>
              <w:rPr>
                <w:color w:val="auto"/>
              </w:rPr>
            </w:pPr>
            <w:r>
              <w:rPr>
                <w:color w:val="auto"/>
              </w:rPr>
              <w:t>0.28</w:t>
            </w:r>
          </w:p>
        </w:tc>
        <w:tc>
          <w:tcPr>
            <w:tcW w:w="376" w:type="pct"/>
          </w:tcPr>
          <w:p w14:paraId="4D6F5C5D">
            <w:pPr>
              <w:pStyle w:val="33"/>
              <w:rPr>
                <w:color w:val="auto"/>
              </w:rPr>
            </w:pPr>
            <w:r>
              <w:rPr>
                <w:color w:val="auto"/>
              </w:rPr>
              <w:t>3880</w:t>
            </w:r>
          </w:p>
        </w:tc>
        <w:tc>
          <w:tcPr>
            <w:tcW w:w="359" w:type="pct"/>
            <w:vAlign w:val="center"/>
          </w:tcPr>
          <w:p w14:paraId="44372A4F">
            <w:pPr>
              <w:pStyle w:val="33"/>
              <w:rPr>
                <w:color w:val="auto"/>
              </w:rPr>
            </w:pPr>
            <w:r>
              <w:rPr>
                <w:color w:val="auto"/>
              </w:rPr>
              <w:t xml:space="preserve">0.0613 </w:t>
            </w:r>
          </w:p>
        </w:tc>
        <w:tc>
          <w:tcPr>
            <w:tcW w:w="359" w:type="pct"/>
          </w:tcPr>
          <w:p w14:paraId="135F0054">
            <w:pPr>
              <w:pStyle w:val="33"/>
              <w:rPr>
                <w:color w:val="auto"/>
              </w:rPr>
            </w:pPr>
            <w:r>
              <w:rPr>
                <w:color w:val="auto"/>
              </w:rPr>
              <w:t xml:space="preserve">0.0929 </w:t>
            </w:r>
          </w:p>
        </w:tc>
        <w:tc>
          <w:tcPr>
            <w:tcW w:w="330" w:type="pct"/>
          </w:tcPr>
          <w:p w14:paraId="3E9C5202">
            <w:pPr>
              <w:pStyle w:val="33"/>
              <w:rPr>
                <w:color w:val="auto"/>
              </w:rPr>
            </w:pPr>
            <w:r>
              <w:rPr>
                <w:color w:val="auto"/>
              </w:rPr>
              <w:t xml:space="preserve">0.0876 </w:t>
            </w:r>
          </w:p>
        </w:tc>
        <w:tc>
          <w:tcPr>
            <w:tcW w:w="333" w:type="pct"/>
          </w:tcPr>
          <w:p w14:paraId="0E02F91C">
            <w:pPr>
              <w:pStyle w:val="33"/>
              <w:rPr>
                <w:color w:val="auto"/>
              </w:rPr>
            </w:pPr>
            <w:r>
              <w:rPr>
                <w:color w:val="auto"/>
              </w:rPr>
              <w:t xml:space="preserve">0.0613 </w:t>
            </w:r>
          </w:p>
        </w:tc>
        <w:tc>
          <w:tcPr>
            <w:tcW w:w="333" w:type="pct"/>
            <w:vAlign w:val="center"/>
          </w:tcPr>
          <w:p w14:paraId="231B6D9B">
            <w:pPr>
              <w:pStyle w:val="33"/>
              <w:rPr>
                <w:color w:val="auto"/>
              </w:rPr>
            </w:pPr>
            <w:r>
              <w:rPr>
                <w:color w:val="auto"/>
              </w:rPr>
              <w:t>/</w:t>
            </w:r>
          </w:p>
        </w:tc>
        <w:tc>
          <w:tcPr>
            <w:tcW w:w="333" w:type="pct"/>
            <w:vAlign w:val="center"/>
          </w:tcPr>
          <w:p w14:paraId="6E48A341">
            <w:pPr>
              <w:pStyle w:val="33"/>
              <w:rPr>
                <w:color w:val="auto"/>
              </w:rPr>
            </w:pPr>
            <w:r>
              <w:rPr>
                <w:color w:val="auto"/>
              </w:rPr>
              <w:t>/</w:t>
            </w:r>
          </w:p>
        </w:tc>
        <w:tc>
          <w:tcPr>
            <w:tcW w:w="397" w:type="pct"/>
            <w:vAlign w:val="center"/>
          </w:tcPr>
          <w:p w14:paraId="73ABED8B">
            <w:pPr>
              <w:pStyle w:val="33"/>
              <w:rPr>
                <w:color w:val="auto"/>
              </w:rPr>
            </w:pPr>
            <w:r>
              <w:rPr>
                <w:color w:val="auto"/>
              </w:rPr>
              <w:t>/</w:t>
            </w:r>
          </w:p>
        </w:tc>
        <w:tc>
          <w:tcPr>
            <w:tcW w:w="333" w:type="pct"/>
            <w:vAlign w:val="center"/>
          </w:tcPr>
          <w:p w14:paraId="25C4F44B">
            <w:pPr>
              <w:pStyle w:val="33"/>
              <w:rPr>
                <w:color w:val="auto"/>
              </w:rPr>
            </w:pPr>
            <w:r>
              <w:rPr>
                <w:color w:val="auto"/>
              </w:rPr>
              <w:t>/</w:t>
            </w:r>
          </w:p>
        </w:tc>
        <w:tc>
          <w:tcPr>
            <w:tcW w:w="338" w:type="pct"/>
            <w:vAlign w:val="center"/>
          </w:tcPr>
          <w:p w14:paraId="0FDCB266">
            <w:pPr>
              <w:pStyle w:val="33"/>
              <w:rPr>
                <w:color w:val="auto"/>
              </w:rPr>
            </w:pPr>
            <w:r>
              <w:rPr>
                <w:color w:val="auto"/>
              </w:rPr>
              <w:t>/</w:t>
            </w:r>
          </w:p>
        </w:tc>
      </w:tr>
      <w:tr w14:paraId="53CBD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BC4B3D4">
            <w:pPr>
              <w:pStyle w:val="33"/>
              <w:rPr>
                <w:color w:val="auto"/>
              </w:rPr>
            </w:pPr>
            <w:r>
              <w:rPr>
                <w:rFonts w:eastAsia="等线"/>
                <w:color w:val="auto"/>
              </w:rPr>
              <w:t>53</w:t>
            </w:r>
          </w:p>
        </w:tc>
        <w:tc>
          <w:tcPr>
            <w:tcW w:w="591" w:type="pct"/>
          </w:tcPr>
          <w:p w14:paraId="5433BB82">
            <w:pPr>
              <w:pStyle w:val="33"/>
              <w:rPr>
                <w:color w:val="auto"/>
              </w:rPr>
            </w:pPr>
            <w:r>
              <w:rPr>
                <w:color w:val="auto"/>
              </w:rPr>
              <w:t>G4-3</w:t>
            </w:r>
          </w:p>
        </w:tc>
        <w:tc>
          <w:tcPr>
            <w:tcW w:w="333" w:type="pct"/>
          </w:tcPr>
          <w:p w14:paraId="5FAD4EDB">
            <w:pPr>
              <w:pStyle w:val="33"/>
              <w:rPr>
                <w:color w:val="auto"/>
              </w:rPr>
            </w:pPr>
            <w:r>
              <w:rPr>
                <w:color w:val="auto"/>
              </w:rPr>
              <w:t>24</w:t>
            </w:r>
          </w:p>
        </w:tc>
        <w:tc>
          <w:tcPr>
            <w:tcW w:w="333" w:type="pct"/>
          </w:tcPr>
          <w:p w14:paraId="16B6FF3A">
            <w:pPr>
              <w:pStyle w:val="33"/>
              <w:rPr>
                <w:color w:val="auto"/>
              </w:rPr>
            </w:pPr>
            <w:r>
              <w:rPr>
                <w:color w:val="auto"/>
              </w:rPr>
              <w:t>0.28</w:t>
            </w:r>
          </w:p>
        </w:tc>
        <w:tc>
          <w:tcPr>
            <w:tcW w:w="376" w:type="pct"/>
          </w:tcPr>
          <w:p w14:paraId="056A1B7B">
            <w:pPr>
              <w:pStyle w:val="33"/>
              <w:rPr>
                <w:color w:val="auto"/>
              </w:rPr>
            </w:pPr>
            <w:r>
              <w:rPr>
                <w:color w:val="auto"/>
              </w:rPr>
              <w:t>3880</w:t>
            </w:r>
          </w:p>
        </w:tc>
        <w:tc>
          <w:tcPr>
            <w:tcW w:w="359" w:type="pct"/>
            <w:vAlign w:val="center"/>
          </w:tcPr>
          <w:p w14:paraId="52ACF521">
            <w:pPr>
              <w:pStyle w:val="33"/>
              <w:rPr>
                <w:color w:val="auto"/>
              </w:rPr>
            </w:pPr>
            <w:r>
              <w:rPr>
                <w:color w:val="auto"/>
              </w:rPr>
              <w:t xml:space="preserve">0.0613 </w:t>
            </w:r>
          </w:p>
        </w:tc>
        <w:tc>
          <w:tcPr>
            <w:tcW w:w="359" w:type="pct"/>
          </w:tcPr>
          <w:p w14:paraId="5044DCB6">
            <w:pPr>
              <w:pStyle w:val="33"/>
              <w:rPr>
                <w:color w:val="auto"/>
              </w:rPr>
            </w:pPr>
            <w:r>
              <w:rPr>
                <w:color w:val="auto"/>
              </w:rPr>
              <w:t xml:space="preserve">0.0929 </w:t>
            </w:r>
          </w:p>
        </w:tc>
        <w:tc>
          <w:tcPr>
            <w:tcW w:w="330" w:type="pct"/>
          </w:tcPr>
          <w:p w14:paraId="7CD41744">
            <w:pPr>
              <w:pStyle w:val="33"/>
              <w:rPr>
                <w:color w:val="auto"/>
              </w:rPr>
            </w:pPr>
            <w:r>
              <w:rPr>
                <w:color w:val="auto"/>
              </w:rPr>
              <w:t xml:space="preserve">0.0876 </w:t>
            </w:r>
          </w:p>
        </w:tc>
        <w:tc>
          <w:tcPr>
            <w:tcW w:w="333" w:type="pct"/>
          </w:tcPr>
          <w:p w14:paraId="6F8D9425">
            <w:pPr>
              <w:pStyle w:val="33"/>
              <w:rPr>
                <w:color w:val="auto"/>
              </w:rPr>
            </w:pPr>
            <w:r>
              <w:rPr>
                <w:color w:val="auto"/>
              </w:rPr>
              <w:t xml:space="preserve">0.0613 </w:t>
            </w:r>
          </w:p>
        </w:tc>
        <w:tc>
          <w:tcPr>
            <w:tcW w:w="333" w:type="pct"/>
            <w:vAlign w:val="center"/>
          </w:tcPr>
          <w:p w14:paraId="257946CE">
            <w:pPr>
              <w:pStyle w:val="33"/>
              <w:rPr>
                <w:color w:val="auto"/>
              </w:rPr>
            </w:pPr>
            <w:r>
              <w:rPr>
                <w:color w:val="auto"/>
              </w:rPr>
              <w:t>/</w:t>
            </w:r>
          </w:p>
        </w:tc>
        <w:tc>
          <w:tcPr>
            <w:tcW w:w="333" w:type="pct"/>
            <w:vAlign w:val="center"/>
          </w:tcPr>
          <w:p w14:paraId="389E0DF3">
            <w:pPr>
              <w:pStyle w:val="33"/>
              <w:rPr>
                <w:color w:val="auto"/>
              </w:rPr>
            </w:pPr>
            <w:r>
              <w:rPr>
                <w:color w:val="auto"/>
              </w:rPr>
              <w:t>/</w:t>
            </w:r>
          </w:p>
        </w:tc>
        <w:tc>
          <w:tcPr>
            <w:tcW w:w="397" w:type="pct"/>
            <w:vAlign w:val="center"/>
          </w:tcPr>
          <w:p w14:paraId="2289F733">
            <w:pPr>
              <w:pStyle w:val="33"/>
              <w:rPr>
                <w:color w:val="auto"/>
              </w:rPr>
            </w:pPr>
            <w:r>
              <w:rPr>
                <w:color w:val="auto"/>
              </w:rPr>
              <w:t>/</w:t>
            </w:r>
          </w:p>
        </w:tc>
        <w:tc>
          <w:tcPr>
            <w:tcW w:w="333" w:type="pct"/>
            <w:vAlign w:val="center"/>
          </w:tcPr>
          <w:p w14:paraId="21DD23CA">
            <w:pPr>
              <w:pStyle w:val="33"/>
              <w:rPr>
                <w:color w:val="auto"/>
              </w:rPr>
            </w:pPr>
            <w:r>
              <w:rPr>
                <w:color w:val="auto"/>
              </w:rPr>
              <w:t>/</w:t>
            </w:r>
          </w:p>
        </w:tc>
        <w:tc>
          <w:tcPr>
            <w:tcW w:w="338" w:type="pct"/>
            <w:vAlign w:val="center"/>
          </w:tcPr>
          <w:p w14:paraId="3BB2C211">
            <w:pPr>
              <w:pStyle w:val="33"/>
              <w:rPr>
                <w:color w:val="auto"/>
              </w:rPr>
            </w:pPr>
            <w:r>
              <w:rPr>
                <w:color w:val="auto"/>
              </w:rPr>
              <w:t>/</w:t>
            </w:r>
          </w:p>
        </w:tc>
      </w:tr>
      <w:tr w14:paraId="3224B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EF0900A">
            <w:pPr>
              <w:pStyle w:val="33"/>
              <w:rPr>
                <w:color w:val="auto"/>
              </w:rPr>
            </w:pPr>
            <w:r>
              <w:rPr>
                <w:rFonts w:eastAsia="等线"/>
                <w:color w:val="auto"/>
              </w:rPr>
              <w:t>54</w:t>
            </w:r>
          </w:p>
        </w:tc>
        <w:tc>
          <w:tcPr>
            <w:tcW w:w="591" w:type="pct"/>
          </w:tcPr>
          <w:p w14:paraId="7DD2AC2A">
            <w:pPr>
              <w:pStyle w:val="33"/>
              <w:rPr>
                <w:color w:val="auto"/>
              </w:rPr>
            </w:pPr>
            <w:r>
              <w:rPr>
                <w:color w:val="auto"/>
              </w:rPr>
              <w:t>G4-4</w:t>
            </w:r>
          </w:p>
        </w:tc>
        <w:tc>
          <w:tcPr>
            <w:tcW w:w="333" w:type="pct"/>
          </w:tcPr>
          <w:p w14:paraId="1623D3FA">
            <w:pPr>
              <w:pStyle w:val="33"/>
              <w:rPr>
                <w:color w:val="auto"/>
              </w:rPr>
            </w:pPr>
            <w:r>
              <w:rPr>
                <w:color w:val="auto"/>
              </w:rPr>
              <w:t>24</w:t>
            </w:r>
          </w:p>
        </w:tc>
        <w:tc>
          <w:tcPr>
            <w:tcW w:w="333" w:type="pct"/>
          </w:tcPr>
          <w:p w14:paraId="7787D617">
            <w:pPr>
              <w:pStyle w:val="33"/>
              <w:rPr>
                <w:color w:val="auto"/>
              </w:rPr>
            </w:pPr>
            <w:r>
              <w:rPr>
                <w:color w:val="auto"/>
              </w:rPr>
              <w:t>0.28</w:t>
            </w:r>
          </w:p>
        </w:tc>
        <w:tc>
          <w:tcPr>
            <w:tcW w:w="376" w:type="pct"/>
          </w:tcPr>
          <w:p w14:paraId="312D1A01">
            <w:pPr>
              <w:pStyle w:val="33"/>
              <w:rPr>
                <w:color w:val="auto"/>
              </w:rPr>
            </w:pPr>
            <w:r>
              <w:rPr>
                <w:color w:val="auto"/>
              </w:rPr>
              <w:t>3880</w:t>
            </w:r>
          </w:p>
        </w:tc>
        <w:tc>
          <w:tcPr>
            <w:tcW w:w="359" w:type="pct"/>
            <w:vAlign w:val="center"/>
          </w:tcPr>
          <w:p w14:paraId="2A4B76B3">
            <w:pPr>
              <w:pStyle w:val="33"/>
              <w:rPr>
                <w:color w:val="auto"/>
              </w:rPr>
            </w:pPr>
            <w:r>
              <w:rPr>
                <w:color w:val="auto"/>
              </w:rPr>
              <w:t xml:space="preserve">0.0613 </w:t>
            </w:r>
          </w:p>
        </w:tc>
        <w:tc>
          <w:tcPr>
            <w:tcW w:w="359" w:type="pct"/>
          </w:tcPr>
          <w:p w14:paraId="2C157ECE">
            <w:pPr>
              <w:pStyle w:val="33"/>
              <w:rPr>
                <w:color w:val="auto"/>
              </w:rPr>
            </w:pPr>
            <w:r>
              <w:rPr>
                <w:color w:val="auto"/>
              </w:rPr>
              <w:t xml:space="preserve">0.0929 </w:t>
            </w:r>
          </w:p>
        </w:tc>
        <w:tc>
          <w:tcPr>
            <w:tcW w:w="330" w:type="pct"/>
          </w:tcPr>
          <w:p w14:paraId="4FAE6D24">
            <w:pPr>
              <w:pStyle w:val="33"/>
              <w:rPr>
                <w:color w:val="auto"/>
              </w:rPr>
            </w:pPr>
            <w:r>
              <w:rPr>
                <w:color w:val="auto"/>
              </w:rPr>
              <w:t xml:space="preserve">0.0876 </w:t>
            </w:r>
          </w:p>
        </w:tc>
        <w:tc>
          <w:tcPr>
            <w:tcW w:w="333" w:type="pct"/>
          </w:tcPr>
          <w:p w14:paraId="719DE2C7">
            <w:pPr>
              <w:pStyle w:val="33"/>
              <w:rPr>
                <w:color w:val="auto"/>
              </w:rPr>
            </w:pPr>
            <w:r>
              <w:rPr>
                <w:color w:val="auto"/>
              </w:rPr>
              <w:t xml:space="preserve">0.0613 </w:t>
            </w:r>
          </w:p>
        </w:tc>
        <w:tc>
          <w:tcPr>
            <w:tcW w:w="333" w:type="pct"/>
            <w:vAlign w:val="center"/>
          </w:tcPr>
          <w:p w14:paraId="5111F14A">
            <w:pPr>
              <w:pStyle w:val="33"/>
              <w:rPr>
                <w:color w:val="auto"/>
              </w:rPr>
            </w:pPr>
            <w:r>
              <w:rPr>
                <w:color w:val="auto"/>
              </w:rPr>
              <w:t>/</w:t>
            </w:r>
          </w:p>
        </w:tc>
        <w:tc>
          <w:tcPr>
            <w:tcW w:w="333" w:type="pct"/>
            <w:vAlign w:val="center"/>
          </w:tcPr>
          <w:p w14:paraId="38628D9B">
            <w:pPr>
              <w:pStyle w:val="33"/>
              <w:rPr>
                <w:color w:val="auto"/>
              </w:rPr>
            </w:pPr>
            <w:r>
              <w:rPr>
                <w:color w:val="auto"/>
              </w:rPr>
              <w:t>/</w:t>
            </w:r>
          </w:p>
        </w:tc>
        <w:tc>
          <w:tcPr>
            <w:tcW w:w="397" w:type="pct"/>
            <w:vAlign w:val="center"/>
          </w:tcPr>
          <w:p w14:paraId="37DF5876">
            <w:pPr>
              <w:pStyle w:val="33"/>
              <w:rPr>
                <w:color w:val="auto"/>
              </w:rPr>
            </w:pPr>
            <w:r>
              <w:rPr>
                <w:color w:val="auto"/>
              </w:rPr>
              <w:t>/</w:t>
            </w:r>
          </w:p>
        </w:tc>
        <w:tc>
          <w:tcPr>
            <w:tcW w:w="333" w:type="pct"/>
            <w:vAlign w:val="center"/>
          </w:tcPr>
          <w:p w14:paraId="0E5188F4">
            <w:pPr>
              <w:pStyle w:val="33"/>
              <w:rPr>
                <w:color w:val="auto"/>
              </w:rPr>
            </w:pPr>
            <w:r>
              <w:rPr>
                <w:color w:val="auto"/>
              </w:rPr>
              <w:t>/</w:t>
            </w:r>
          </w:p>
        </w:tc>
        <w:tc>
          <w:tcPr>
            <w:tcW w:w="338" w:type="pct"/>
            <w:vAlign w:val="center"/>
          </w:tcPr>
          <w:p w14:paraId="68FFA333">
            <w:pPr>
              <w:pStyle w:val="33"/>
              <w:rPr>
                <w:color w:val="auto"/>
              </w:rPr>
            </w:pPr>
            <w:r>
              <w:rPr>
                <w:color w:val="auto"/>
              </w:rPr>
              <w:t>/</w:t>
            </w:r>
          </w:p>
        </w:tc>
      </w:tr>
      <w:tr w14:paraId="77CD5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64B9D71">
            <w:pPr>
              <w:pStyle w:val="33"/>
              <w:rPr>
                <w:color w:val="auto"/>
              </w:rPr>
            </w:pPr>
            <w:r>
              <w:rPr>
                <w:rFonts w:eastAsia="等线"/>
                <w:color w:val="auto"/>
              </w:rPr>
              <w:t>55</w:t>
            </w:r>
          </w:p>
        </w:tc>
        <w:tc>
          <w:tcPr>
            <w:tcW w:w="591" w:type="pct"/>
          </w:tcPr>
          <w:p w14:paraId="5DE3C00E">
            <w:pPr>
              <w:pStyle w:val="33"/>
              <w:rPr>
                <w:color w:val="auto"/>
              </w:rPr>
            </w:pPr>
            <w:r>
              <w:rPr>
                <w:color w:val="auto"/>
              </w:rPr>
              <w:t>G5-1</w:t>
            </w:r>
          </w:p>
        </w:tc>
        <w:tc>
          <w:tcPr>
            <w:tcW w:w="333" w:type="pct"/>
          </w:tcPr>
          <w:p w14:paraId="054BC849">
            <w:pPr>
              <w:pStyle w:val="33"/>
              <w:rPr>
                <w:color w:val="auto"/>
              </w:rPr>
            </w:pPr>
            <w:r>
              <w:rPr>
                <w:color w:val="auto"/>
              </w:rPr>
              <w:t>37</w:t>
            </w:r>
          </w:p>
        </w:tc>
        <w:tc>
          <w:tcPr>
            <w:tcW w:w="333" w:type="pct"/>
          </w:tcPr>
          <w:p w14:paraId="474F3AE9">
            <w:pPr>
              <w:pStyle w:val="33"/>
              <w:rPr>
                <w:color w:val="auto"/>
              </w:rPr>
            </w:pPr>
            <w:r>
              <w:rPr>
                <w:color w:val="auto"/>
              </w:rPr>
              <w:t>0.2</w:t>
            </w:r>
          </w:p>
        </w:tc>
        <w:tc>
          <w:tcPr>
            <w:tcW w:w="376" w:type="pct"/>
          </w:tcPr>
          <w:p w14:paraId="4593E4CB">
            <w:pPr>
              <w:pStyle w:val="33"/>
              <w:rPr>
                <w:color w:val="auto"/>
              </w:rPr>
            </w:pPr>
            <w:r>
              <w:rPr>
                <w:color w:val="auto"/>
              </w:rPr>
              <w:t>1490</w:t>
            </w:r>
          </w:p>
        </w:tc>
        <w:tc>
          <w:tcPr>
            <w:tcW w:w="359" w:type="pct"/>
            <w:vAlign w:val="center"/>
          </w:tcPr>
          <w:p w14:paraId="55BD2C04">
            <w:pPr>
              <w:pStyle w:val="33"/>
              <w:rPr>
                <w:color w:val="auto"/>
              </w:rPr>
            </w:pPr>
            <w:r>
              <w:rPr>
                <w:color w:val="auto"/>
              </w:rPr>
              <w:t>/</w:t>
            </w:r>
          </w:p>
        </w:tc>
        <w:tc>
          <w:tcPr>
            <w:tcW w:w="359" w:type="pct"/>
            <w:vAlign w:val="center"/>
          </w:tcPr>
          <w:p w14:paraId="554E8159">
            <w:pPr>
              <w:pStyle w:val="33"/>
              <w:rPr>
                <w:color w:val="auto"/>
              </w:rPr>
            </w:pPr>
            <w:r>
              <w:rPr>
                <w:color w:val="auto"/>
              </w:rPr>
              <w:t>/</w:t>
            </w:r>
          </w:p>
        </w:tc>
        <w:tc>
          <w:tcPr>
            <w:tcW w:w="330" w:type="pct"/>
            <w:vAlign w:val="center"/>
          </w:tcPr>
          <w:p w14:paraId="3FC522C0">
            <w:pPr>
              <w:pStyle w:val="33"/>
              <w:rPr>
                <w:color w:val="auto"/>
              </w:rPr>
            </w:pPr>
            <w:r>
              <w:rPr>
                <w:color w:val="auto"/>
              </w:rPr>
              <w:t>/</w:t>
            </w:r>
          </w:p>
        </w:tc>
        <w:tc>
          <w:tcPr>
            <w:tcW w:w="333" w:type="pct"/>
            <w:vAlign w:val="center"/>
          </w:tcPr>
          <w:p w14:paraId="08D2FD6A">
            <w:pPr>
              <w:pStyle w:val="33"/>
              <w:rPr>
                <w:color w:val="auto"/>
              </w:rPr>
            </w:pPr>
            <w:r>
              <w:rPr>
                <w:color w:val="auto"/>
              </w:rPr>
              <w:t>/</w:t>
            </w:r>
          </w:p>
        </w:tc>
        <w:tc>
          <w:tcPr>
            <w:tcW w:w="333" w:type="pct"/>
            <w:vAlign w:val="center"/>
          </w:tcPr>
          <w:p w14:paraId="215080EF">
            <w:pPr>
              <w:pStyle w:val="33"/>
              <w:rPr>
                <w:color w:val="auto"/>
              </w:rPr>
            </w:pPr>
            <w:r>
              <w:rPr>
                <w:color w:val="auto"/>
              </w:rPr>
              <w:t xml:space="preserve">0.0073 </w:t>
            </w:r>
          </w:p>
        </w:tc>
        <w:tc>
          <w:tcPr>
            <w:tcW w:w="333" w:type="pct"/>
            <w:vAlign w:val="center"/>
          </w:tcPr>
          <w:p w14:paraId="286F17DC">
            <w:pPr>
              <w:pStyle w:val="33"/>
              <w:rPr>
                <w:color w:val="auto"/>
              </w:rPr>
            </w:pPr>
            <w:r>
              <w:rPr>
                <w:color w:val="auto"/>
              </w:rPr>
              <w:t>/</w:t>
            </w:r>
          </w:p>
        </w:tc>
        <w:tc>
          <w:tcPr>
            <w:tcW w:w="397" w:type="pct"/>
            <w:vAlign w:val="center"/>
          </w:tcPr>
          <w:p w14:paraId="48F30DE4">
            <w:pPr>
              <w:pStyle w:val="33"/>
              <w:rPr>
                <w:color w:val="auto"/>
              </w:rPr>
            </w:pPr>
            <w:r>
              <w:rPr>
                <w:color w:val="auto"/>
              </w:rPr>
              <w:t>/</w:t>
            </w:r>
          </w:p>
        </w:tc>
        <w:tc>
          <w:tcPr>
            <w:tcW w:w="333" w:type="pct"/>
            <w:vAlign w:val="center"/>
          </w:tcPr>
          <w:p w14:paraId="2F68BBCC">
            <w:pPr>
              <w:pStyle w:val="33"/>
              <w:rPr>
                <w:color w:val="auto"/>
              </w:rPr>
            </w:pPr>
            <w:r>
              <w:rPr>
                <w:color w:val="auto"/>
              </w:rPr>
              <w:t>/</w:t>
            </w:r>
          </w:p>
        </w:tc>
        <w:tc>
          <w:tcPr>
            <w:tcW w:w="338" w:type="pct"/>
            <w:vAlign w:val="center"/>
          </w:tcPr>
          <w:p w14:paraId="5FF93E06">
            <w:pPr>
              <w:pStyle w:val="33"/>
              <w:rPr>
                <w:color w:val="auto"/>
              </w:rPr>
            </w:pPr>
            <w:r>
              <w:rPr>
                <w:color w:val="auto"/>
              </w:rPr>
              <w:t>/</w:t>
            </w:r>
          </w:p>
        </w:tc>
      </w:tr>
      <w:tr w14:paraId="47B9B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CE3B2E0">
            <w:pPr>
              <w:pStyle w:val="33"/>
              <w:rPr>
                <w:color w:val="auto"/>
              </w:rPr>
            </w:pPr>
            <w:r>
              <w:rPr>
                <w:rFonts w:eastAsia="等线"/>
                <w:color w:val="auto"/>
              </w:rPr>
              <w:t>56</w:t>
            </w:r>
          </w:p>
        </w:tc>
        <w:tc>
          <w:tcPr>
            <w:tcW w:w="591" w:type="pct"/>
          </w:tcPr>
          <w:p w14:paraId="6651EC27">
            <w:pPr>
              <w:pStyle w:val="33"/>
              <w:rPr>
                <w:color w:val="auto"/>
              </w:rPr>
            </w:pPr>
            <w:r>
              <w:rPr>
                <w:color w:val="auto"/>
              </w:rPr>
              <w:t>G5-2</w:t>
            </w:r>
          </w:p>
        </w:tc>
        <w:tc>
          <w:tcPr>
            <w:tcW w:w="333" w:type="pct"/>
          </w:tcPr>
          <w:p w14:paraId="6FDD7785">
            <w:pPr>
              <w:pStyle w:val="33"/>
              <w:rPr>
                <w:color w:val="auto"/>
              </w:rPr>
            </w:pPr>
            <w:r>
              <w:rPr>
                <w:color w:val="auto"/>
              </w:rPr>
              <w:t>25</w:t>
            </w:r>
          </w:p>
        </w:tc>
        <w:tc>
          <w:tcPr>
            <w:tcW w:w="333" w:type="pct"/>
          </w:tcPr>
          <w:p w14:paraId="1E3F23FA">
            <w:pPr>
              <w:pStyle w:val="33"/>
              <w:rPr>
                <w:color w:val="auto"/>
              </w:rPr>
            </w:pPr>
            <w:r>
              <w:rPr>
                <w:color w:val="auto"/>
              </w:rPr>
              <w:t>0.4</w:t>
            </w:r>
          </w:p>
        </w:tc>
        <w:tc>
          <w:tcPr>
            <w:tcW w:w="376" w:type="pct"/>
          </w:tcPr>
          <w:p w14:paraId="7753EEA1">
            <w:pPr>
              <w:pStyle w:val="33"/>
              <w:rPr>
                <w:color w:val="auto"/>
              </w:rPr>
            </w:pPr>
            <w:r>
              <w:rPr>
                <w:color w:val="auto"/>
              </w:rPr>
              <w:t>3340</w:t>
            </w:r>
          </w:p>
        </w:tc>
        <w:tc>
          <w:tcPr>
            <w:tcW w:w="359" w:type="pct"/>
            <w:vAlign w:val="center"/>
          </w:tcPr>
          <w:p w14:paraId="69F69B42">
            <w:pPr>
              <w:pStyle w:val="33"/>
              <w:rPr>
                <w:color w:val="auto"/>
              </w:rPr>
            </w:pPr>
            <w:r>
              <w:rPr>
                <w:color w:val="auto"/>
              </w:rPr>
              <w:t>/</w:t>
            </w:r>
          </w:p>
        </w:tc>
        <w:tc>
          <w:tcPr>
            <w:tcW w:w="359" w:type="pct"/>
            <w:vAlign w:val="center"/>
          </w:tcPr>
          <w:p w14:paraId="34AF2E16">
            <w:pPr>
              <w:pStyle w:val="33"/>
              <w:rPr>
                <w:color w:val="auto"/>
              </w:rPr>
            </w:pPr>
            <w:r>
              <w:rPr>
                <w:color w:val="auto"/>
              </w:rPr>
              <w:t>/</w:t>
            </w:r>
          </w:p>
        </w:tc>
        <w:tc>
          <w:tcPr>
            <w:tcW w:w="330" w:type="pct"/>
            <w:vAlign w:val="center"/>
          </w:tcPr>
          <w:p w14:paraId="3F87C62D">
            <w:pPr>
              <w:pStyle w:val="33"/>
              <w:rPr>
                <w:color w:val="auto"/>
              </w:rPr>
            </w:pPr>
            <w:r>
              <w:rPr>
                <w:color w:val="auto"/>
              </w:rPr>
              <w:t>/</w:t>
            </w:r>
          </w:p>
        </w:tc>
        <w:tc>
          <w:tcPr>
            <w:tcW w:w="333" w:type="pct"/>
            <w:vAlign w:val="center"/>
          </w:tcPr>
          <w:p w14:paraId="56CA916D">
            <w:pPr>
              <w:pStyle w:val="33"/>
              <w:rPr>
                <w:color w:val="auto"/>
              </w:rPr>
            </w:pPr>
            <w:r>
              <w:rPr>
                <w:color w:val="auto"/>
              </w:rPr>
              <w:t>/</w:t>
            </w:r>
          </w:p>
        </w:tc>
        <w:tc>
          <w:tcPr>
            <w:tcW w:w="333" w:type="pct"/>
            <w:vAlign w:val="center"/>
          </w:tcPr>
          <w:p w14:paraId="3439DDB6">
            <w:pPr>
              <w:pStyle w:val="33"/>
              <w:rPr>
                <w:color w:val="auto"/>
              </w:rPr>
            </w:pPr>
            <w:r>
              <w:rPr>
                <w:color w:val="auto"/>
              </w:rPr>
              <w:t>/</w:t>
            </w:r>
          </w:p>
        </w:tc>
        <w:tc>
          <w:tcPr>
            <w:tcW w:w="333" w:type="pct"/>
            <w:vAlign w:val="center"/>
          </w:tcPr>
          <w:p w14:paraId="2AFB642A">
            <w:pPr>
              <w:pStyle w:val="33"/>
              <w:rPr>
                <w:color w:val="auto"/>
              </w:rPr>
            </w:pPr>
            <w:r>
              <w:rPr>
                <w:color w:val="auto"/>
              </w:rPr>
              <w:t>/</w:t>
            </w:r>
          </w:p>
        </w:tc>
        <w:tc>
          <w:tcPr>
            <w:tcW w:w="397" w:type="pct"/>
            <w:vAlign w:val="center"/>
          </w:tcPr>
          <w:p w14:paraId="093E58F5">
            <w:pPr>
              <w:pStyle w:val="33"/>
              <w:rPr>
                <w:color w:val="auto"/>
              </w:rPr>
            </w:pPr>
            <w:r>
              <w:rPr>
                <w:color w:val="auto"/>
              </w:rPr>
              <w:t>/</w:t>
            </w:r>
          </w:p>
        </w:tc>
        <w:tc>
          <w:tcPr>
            <w:tcW w:w="333" w:type="pct"/>
            <w:vAlign w:val="center"/>
          </w:tcPr>
          <w:p w14:paraId="37E75D3C">
            <w:pPr>
              <w:pStyle w:val="33"/>
              <w:rPr>
                <w:color w:val="auto"/>
              </w:rPr>
            </w:pPr>
            <w:r>
              <w:rPr>
                <w:color w:val="auto"/>
              </w:rPr>
              <w:t>/</w:t>
            </w:r>
          </w:p>
        </w:tc>
        <w:tc>
          <w:tcPr>
            <w:tcW w:w="338" w:type="pct"/>
            <w:vAlign w:val="center"/>
          </w:tcPr>
          <w:p w14:paraId="41F0A369">
            <w:pPr>
              <w:pStyle w:val="33"/>
              <w:rPr>
                <w:color w:val="auto"/>
              </w:rPr>
            </w:pPr>
            <w:r>
              <w:rPr>
                <w:color w:val="auto"/>
              </w:rPr>
              <w:t>/</w:t>
            </w:r>
          </w:p>
        </w:tc>
      </w:tr>
      <w:tr w14:paraId="0750F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B2551CF">
            <w:pPr>
              <w:pStyle w:val="33"/>
              <w:rPr>
                <w:color w:val="auto"/>
              </w:rPr>
            </w:pPr>
            <w:r>
              <w:rPr>
                <w:rFonts w:eastAsia="等线"/>
                <w:color w:val="auto"/>
              </w:rPr>
              <w:t>57</w:t>
            </w:r>
          </w:p>
        </w:tc>
        <w:tc>
          <w:tcPr>
            <w:tcW w:w="591" w:type="pct"/>
          </w:tcPr>
          <w:p w14:paraId="21C04E4A">
            <w:pPr>
              <w:pStyle w:val="33"/>
              <w:rPr>
                <w:color w:val="auto"/>
              </w:rPr>
            </w:pPr>
            <w:r>
              <w:rPr>
                <w:color w:val="auto"/>
              </w:rPr>
              <w:t>G5-3</w:t>
            </w:r>
          </w:p>
        </w:tc>
        <w:tc>
          <w:tcPr>
            <w:tcW w:w="333" w:type="pct"/>
          </w:tcPr>
          <w:p w14:paraId="6988296C">
            <w:pPr>
              <w:pStyle w:val="33"/>
              <w:rPr>
                <w:color w:val="auto"/>
              </w:rPr>
            </w:pPr>
            <w:r>
              <w:rPr>
                <w:color w:val="auto"/>
              </w:rPr>
              <w:t>25</w:t>
            </w:r>
          </w:p>
        </w:tc>
        <w:tc>
          <w:tcPr>
            <w:tcW w:w="333" w:type="pct"/>
          </w:tcPr>
          <w:p w14:paraId="27AA0B72">
            <w:pPr>
              <w:pStyle w:val="33"/>
              <w:rPr>
                <w:color w:val="auto"/>
              </w:rPr>
            </w:pPr>
            <w:r>
              <w:rPr>
                <w:color w:val="auto"/>
              </w:rPr>
              <w:t>0.3</w:t>
            </w:r>
          </w:p>
        </w:tc>
        <w:tc>
          <w:tcPr>
            <w:tcW w:w="376" w:type="pct"/>
          </w:tcPr>
          <w:p w14:paraId="4185EDE1">
            <w:pPr>
              <w:pStyle w:val="33"/>
              <w:rPr>
                <w:color w:val="auto"/>
              </w:rPr>
            </w:pPr>
            <w:r>
              <w:rPr>
                <w:color w:val="auto"/>
              </w:rPr>
              <w:t>1710</w:t>
            </w:r>
          </w:p>
        </w:tc>
        <w:tc>
          <w:tcPr>
            <w:tcW w:w="359" w:type="pct"/>
            <w:vAlign w:val="center"/>
          </w:tcPr>
          <w:p w14:paraId="4A03A5EE">
            <w:pPr>
              <w:pStyle w:val="33"/>
              <w:rPr>
                <w:color w:val="auto"/>
              </w:rPr>
            </w:pPr>
            <w:r>
              <w:rPr>
                <w:color w:val="auto"/>
              </w:rPr>
              <w:t>/</w:t>
            </w:r>
          </w:p>
        </w:tc>
        <w:tc>
          <w:tcPr>
            <w:tcW w:w="359" w:type="pct"/>
            <w:vAlign w:val="center"/>
          </w:tcPr>
          <w:p w14:paraId="09018976">
            <w:pPr>
              <w:pStyle w:val="33"/>
              <w:rPr>
                <w:color w:val="auto"/>
              </w:rPr>
            </w:pPr>
            <w:r>
              <w:rPr>
                <w:color w:val="auto"/>
              </w:rPr>
              <w:t>/</w:t>
            </w:r>
          </w:p>
        </w:tc>
        <w:tc>
          <w:tcPr>
            <w:tcW w:w="330" w:type="pct"/>
            <w:vAlign w:val="center"/>
          </w:tcPr>
          <w:p w14:paraId="1B0319DC">
            <w:pPr>
              <w:pStyle w:val="33"/>
              <w:rPr>
                <w:color w:val="auto"/>
              </w:rPr>
            </w:pPr>
            <w:r>
              <w:rPr>
                <w:color w:val="auto"/>
              </w:rPr>
              <w:t>/</w:t>
            </w:r>
          </w:p>
        </w:tc>
        <w:tc>
          <w:tcPr>
            <w:tcW w:w="333" w:type="pct"/>
            <w:vAlign w:val="center"/>
          </w:tcPr>
          <w:p w14:paraId="6103C3EB">
            <w:pPr>
              <w:pStyle w:val="33"/>
              <w:rPr>
                <w:color w:val="auto"/>
              </w:rPr>
            </w:pPr>
            <w:r>
              <w:rPr>
                <w:color w:val="auto"/>
              </w:rPr>
              <w:t>/</w:t>
            </w:r>
          </w:p>
        </w:tc>
        <w:tc>
          <w:tcPr>
            <w:tcW w:w="333" w:type="pct"/>
            <w:vAlign w:val="center"/>
          </w:tcPr>
          <w:p w14:paraId="687FF4A5">
            <w:pPr>
              <w:pStyle w:val="33"/>
              <w:rPr>
                <w:color w:val="auto"/>
              </w:rPr>
            </w:pPr>
            <w:r>
              <w:rPr>
                <w:color w:val="auto"/>
              </w:rPr>
              <w:t>/</w:t>
            </w:r>
          </w:p>
        </w:tc>
        <w:tc>
          <w:tcPr>
            <w:tcW w:w="333" w:type="pct"/>
            <w:vAlign w:val="center"/>
          </w:tcPr>
          <w:p w14:paraId="0FD95BD3">
            <w:pPr>
              <w:pStyle w:val="33"/>
              <w:rPr>
                <w:color w:val="auto"/>
              </w:rPr>
            </w:pPr>
            <w:r>
              <w:rPr>
                <w:color w:val="auto"/>
              </w:rPr>
              <w:t>/</w:t>
            </w:r>
          </w:p>
        </w:tc>
        <w:tc>
          <w:tcPr>
            <w:tcW w:w="397" w:type="pct"/>
            <w:vAlign w:val="center"/>
          </w:tcPr>
          <w:p w14:paraId="20A46720">
            <w:pPr>
              <w:pStyle w:val="33"/>
              <w:rPr>
                <w:color w:val="auto"/>
              </w:rPr>
            </w:pPr>
            <w:r>
              <w:rPr>
                <w:color w:val="auto"/>
              </w:rPr>
              <w:t>/</w:t>
            </w:r>
          </w:p>
        </w:tc>
        <w:tc>
          <w:tcPr>
            <w:tcW w:w="333" w:type="pct"/>
            <w:vAlign w:val="center"/>
          </w:tcPr>
          <w:p w14:paraId="5E14F650">
            <w:pPr>
              <w:pStyle w:val="33"/>
              <w:rPr>
                <w:color w:val="auto"/>
              </w:rPr>
            </w:pPr>
            <w:r>
              <w:rPr>
                <w:color w:val="auto"/>
              </w:rPr>
              <w:t>/</w:t>
            </w:r>
          </w:p>
        </w:tc>
        <w:tc>
          <w:tcPr>
            <w:tcW w:w="338" w:type="pct"/>
            <w:vAlign w:val="center"/>
          </w:tcPr>
          <w:p w14:paraId="653A4409">
            <w:pPr>
              <w:pStyle w:val="33"/>
              <w:rPr>
                <w:color w:val="auto"/>
              </w:rPr>
            </w:pPr>
            <w:r>
              <w:rPr>
                <w:color w:val="auto"/>
              </w:rPr>
              <w:t>/</w:t>
            </w:r>
          </w:p>
        </w:tc>
      </w:tr>
      <w:tr w14:paraId="60B28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87F2F29">
            <w:pPr>
              <w:pStyle w:val="33"/>
              <w:rPr>
                <w:color w:val="auto"/>
              </w:rPr>
            </w:pPr>
            <w:r>
              <w:rPr>
                <w:rFonts w:eastAsia="等线"/>
                <w:color w:val="auto"/>
              </w:rPr>
              <w:t>58</w:t>
            </w:r>
          </w:p>
        </w:tc>
        <w:tc>
          <w:tcPr>
            <w:tcW w:w="591" w:type="pct"/>
          </w:tcPr>
          <w:p w14:paraId="52410512">
            <w:pPr>
              <w:pStyle w:val="33"/>
              <w:rPr>
                <w:color w:val="auto"/>
              </w:rPr>
            </w:pPr>
            <w:r>
              <w:rPr>
                <w:color w:val="auto"/>
              </w:rPr>
              <w:t>G5-4</w:t>
            </w:r>
          </w:p>
        </w:tc>
        <w:tc>
          <w:tcPr>
            <w:tcW w:w="333" w:type="pct"/>
          </w:tcPr>
          <w:p w14:paraId="236C60D4">
            <w:pPr>
              <w:pStyle w:val="33"/>
              <w:rPr>
                <w:color w:val="auto"/>
              </w:rPr>
            </w:pPr>
            <w:r>
              <w:rPr>
                <w:color w:val="auto"/>
              </w:rPr>
              <w:t>16</w:t>
            </w:r>
          </w:p>
        </w:tc>
        <w:tc>
          <w:tcPr>
            <w:tcW w:w="333" w:type="pct"/>
          </w:tcPr>
          <w:p w14:paraId="0FCB5DF7">
            <w:pPr>
              <w:pStyle w:val="33"/>
              <w:rPr>
                <w:color w:val="auto"/>
              </w:rPr>
            </w:pPr>
            <w:r>
              <w:rPr>
                <w:color w:val="auto"/>
              </w:rPr>
              <w:t>0.8</w:t>
            </w:r>
          </w:p>
        </w:tc>
        <w:tc>
          <w:tcPr>
            <w:tcW w:w="376" w:type="pct"/>
          </w:tcPr>
          <w:p w14:paraId="07E08202">
            <w:pPr>
              <w:pStyle w:val="33"/>
              <w:rPr>
                <w:color w:val="auto"/>
              </w:rPr>
            </w:pPr>
            <w:r>
              <w:rPr>
                <w:color w:val="auto"/>
              </w:rPr>
              <w:t>45000</w:t>
            </w:r>
          </w:p>
        </w:tc>
        <w:tc>
          <w:tcPr>
            <w:tcW w:w="359" w:type="pct"/>
            <w:vAlign w:val="center"/>
          </w:tcPr>
          <w:p w14:paraId="4AE83FD2">
            <w:pPr>
              <w:pStyle w:val="33"/>
              <w:rPr>
                <w:color w:val="auto"/>
              </w:rPr>
            </w:pPr>
            <w:r>
              <w:rPr>
                <w:color w:val="auto"/>
              </w:rPr>
              <w:t>/</w:t>
            </w:r>
          </w:p>
        </w:tc>
        <w:tc>
          <w:tcPr>
            <w:tcW w:w="359" w:type="pct"/>
            <w:vAlign w:val="center"/>
          </w:tcPr>
          <w:p w14:paraId="4AE544DD">
            <w:pPr>
              <w:pStyle w:val="33"/>
              <w:rPr>
                <w:color w:val="auto"/>
              </w:rPr>
            </w:pPr>
            <w:r>
              <w:rPr>
                <w:color w:val="auto"/>
              </w:rPr>
              <w:t>/</w:t>
            </w:r>
          </w:p>
        </w:tc>
        <w:tc>
          <w:tcPr>
            <w:tcW w:w="330" w:type="pct"/>
            <w:vAlign w:val="center"/>
          </w:tcPr>
          <w:p w14:paraId="588FA980">
            <w:pPr>
              <w:pStyle w:val="33"/>
              <w:rPr>
                <w:color w:val="auto"/>
              </w:rPr>
            </w:pPr>
            <w:r>
              <w:rPr>
                <w:color w:val="auto"/>
              </w:rPr>
              <w:t xml:space="preserve">0.1846 </w:t>
            </w:r>
          </w:p>
        </w:tc>
        <w:tc>
          <w:tcPr>
            <w:tcW w:w="333" w:type="pct"/>
            <w:vAlign w:val="center"/>
          </w:tcPr>
          <w:p w14:paraId="1A667DD3">
            <w:pPr>
              <w:pStyle w:val="33"/>
              <w:rPr>
                <w:color w:val="auto"/>
              </w:rPr>
            </w:pPr>
            <w:r>
              <w:rPr>
                <w:color w:val="auto"/>
              </w:rPr>
              <w:t xml:space="preserve">0.1292 </w:t>
            </w:r>
          </w:p>
        </w:tc>
        <w:tc>
          <w:tcPr>
            <w:tcW w:w="333" w:type="pct"/>
            <w:vAlign w:val="center"/>
          </w:tcPr>
          <w:p w14:paraId="68F5D7D3">
            <w:pPr>
              <w:pStyle w:val="33"/>
              <w:rPr>
                <w:color w:val="auto"/>
              </w:rPr>
            </w:pPr>
            <w:r>
              <w:rPr>
                <w:color w:val="auto"/>
              </w:rPr>
              <w:t>/</w:t>
            </w:r>
          </w:p>
        </w:tc>
        <w:tc>
          <w:tcPr>
            <w:tcW w:w="333" w:type="pct"/>
            <w:vAlign w:val="center"/>
          </w:tcPr>
          <w:p w14:paraId="3A65A121">
            <w:pPr>
              <w:pStyle w:val="33"/>
              <w:rPr>
                <w:color w:val="auto"/>
              </w:rPr>
            </w:pPr>
            <w:r>
              <w:rPr>
                <w:color w:val="auto"/>
              </w:rPr>
              <w:t>/</w:t>
            </w:r>
          </w:p>
        </w:tc>
        <w:tc>
          <w:tcPr>
            <w:tcW w:w="397" w:type="pct"/>
            <w:vAlign w:val="center"/>
          </w:tcPr>
          <w:p w14:paraId="67E342E8">
            <w:pPr>
              <w:pStyle w:val="33"/>
              <w:rPr>
                <w:color w:val="auto"/>
              </w:rPr>
            </w:pPr>
            <w:r>
              <w:rPr>
                <w:color w:val="auto"/>
              </w:rPr>
              <w:t>/</w:t>
            </w:r>
          </w:p>
        </w:tc>
        <w:tc>
          <w:tcPr>
            <w:tcW w:w="333" w:type="pct"/>
            <w:vAlign w:val="center"/>
          </w:tcPr>
          <w:p w14:paraId="148AA8E8">
            <w:pPr>
              <w:pStyle w:val="33"/>
              <w:rPr>
                <w:color w:val="auto"/>
              </w:rPr>
            </w:pPr>
            <w:r>
              <w:rPr>
                <w:color w:val="auto"/>
              </w:rPr>
              <w:t>/</w:t>
            </w:r>
          </w:p>
        </w:tc>
        <w:tc>
          <w:tcPr>
            <w:tcW w:w="338" w:type="pct"/>
            <w:vAlign w:val="center"/>
          </w:tcPr>
          <w:p w14:paraId="267E91F7">
            <w:pPr>
              <w:pStyle w:val="33"/>
              <w:rPr>
                <w:color w:val="auto"/>
              </w:rPr>
            </w:pPr>
            <w:r>
              <w:rPr>
                <w:color w:val="auto"/>
              </w:rPr>
              <w:t>/</w:t>
            </w:r>
          </w:p>
        </w:tc>
      </w:tr>
      <w:tr w14:paraId="2ADBD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C0D99A0">
            <w:pPr>
              <w:pStyle w:val="33"/>
              <w:rPr>
                <w:color w:val="auto"/>
              </w:rPr>
            </w:pPr>
            <w:r>
              <w:rPr>
                <w:rFonts w:eastAsia="等线"/>
                <w:color w:val="auto"/>
              </w:rPr>
              <w:t>59</w:t>
            </w:r>
          </w:p>
        </w:tc>
        <w:tc>
          <w:tcPr>
            <w:tcW w:w="591" w:type="pct"/>
          </w:tcPr>
          <w:p w14:paraId="70CB6BA9">
            <w:pPr>
              <w:pStyle w:val="33"/>
              <w:rPr>
                <w:color w:val="auto"/>
              </w:rPr>
            </w:pPr>
            <w:r>
              <w:rPr>
                <w:color w:val="auto"/>
              </w:rPr>
              <w:t>G6-1</w:t>
            </w:r>
          </w:p>
        </w:tc>
        <w:tc>
          <w:tcPr>
            <w:tcW w:w="333" w:type="pct"/>
          </w:tcPr>
          <w:p w14:paraId="46EE18BF">
            <w:pPr>
              <w:pStyle w:val="33"/>
              <w:rPr>
                <w:color w:val="auto"/>
              </w:rPr>
            </w:pPr>
            <w:r>
              <w:rPr>
                <w:color w:val="auto"/>
              </w:rPr>
              <w:t>150</w:t>
            </w:r>
          </w:p>
        </w:tc>
        <w:tc>
          <w:tcPr>
            <w:tcW w:w="333" w:type="pct"/>
          </w:tcPr>
          <w:p w14:paraId="37383606">
            <w:pPr>
              <w:pStyle w:val="33"/>
              <w:rPr>
                <w:color w:val="auto"/>
              </w:rPr>
            </w:pPr>
            <w:r>
              <w:rPr>
                <w:color w:val="auto"/>
              </w:rPr>
              <w:t>7.5</w:t>
            </w:r>
          </w:p>
        </w:tc>
        <w:tc>
          <w:tcPr>
            <w:tcW w:w="376" w:type="pct"/>
          </w:tcPr>
          <w:p w14:paraId="027D4778">
            <w:pPr>
              <w:pStyle w:val="33"/>
              <w:rPr>
                <w:color w:val="auto"/>
              </w:rPr>
            </w:pPr>
            <w:r>
              <w:rPr>
                <w:color w:val="auto"/>
              </w:rPr>
              <w:t>1640020</w:t>
            </w:r>
          </w:p>
        </w:tc>
        <w:tc>
          <w:tcPr>
            <w:tcW w:w="359" w:type="pct"/>
            <w:vAlign w:val="center"/>
          </w:tcPr>
          <w:p w14:paraId="1B2B7E6B">
            <w:pPr>
              <w:pStyle w:val="33"/>
              <w:rPr>
                <w:color w:val="auto"/>
              </w:rPr>
            </w:pPr>
            <w:r>
              <w:rPr>
                <w:color w:val="auto"/>
              </w:rPr>
              <w:t xml:space="preserve">14.8355 </w:t>
            </w:r>
          </w:p>
        </w:tc>
        <w:tc>
          <w:tcPr>
            <w:tcW w:w="359" w:type="pct"/>
            <w:vAlign w:val="center"/>
          </w:tcPr>
          <w:p w14:paraId="6E9D8EB6">
            <w:pPr>
              <w:pStyle w:val="33"/>
              <w:rPr>
                <w:color w:val="auto"/>
              </w:rPr>
            </w:pPr>
            <w:r>
              <w:rPr>
                <w:color w:val="auto"/>
              </w:rPr>
              <w:t xml:space="preserve">164.0016 </w:t>
            </w:r>
          </w:p>
        </w:tc>
        <w:tc>
          <w:tcPr>
            <w:tcW w:w="330" w:type="pct"/>
            <w:vAlign w:val="center"/>
          </w:tcPr>
          <w:p w14:paraId="2D78C3AB">
            <w:pPr>
              <w:pStyle w:val="33"/>
              <w:rPr>
                <w:color w:val="auto"/>
              </w:rPr>
            </w:pPr>
            <w:r>
              <w:rPr>
                <w:color w:val="auto"/>
              </w:rPr>
              <w:t xml:space="preserve">43.0621 </w:t>
            </w:r>
          </w:p>
        </w:tc>
        <w:tc>
          <w:tcPr>
            <w:tcW w:w="333" w:type="pct"/>
            <w:vAlign w:val="center"/>
          </w:tcPr>
          <w:p w14:paraId="0CF7522A">
            <w:pPr>
              <w:pStyle w:val="33"/>
              <w:rPr>
                <w:color w:val="auto"/>
              </w:rPr>
            </w:pPr>
            <w:r>
              <w:rPr>
                <w:color w:val="auto"/>
              </w:rPr>
              <w:t xml:space="preserve">30.1435 </w:t>
            </w:r>
          </w:p>
        </w:tc>
        <w:tc>
          <w:tcPr>
            <w:tcW w:w="333" w:type="pct"/>
            <w:vAlign w:val="center"/>
          </w:tcPr>
          <w:p w14:paraId="0717BCF9">
            <w:pPr>
              <w:pStyle w:val="33"/>
              <w:rPr>
                <w:color w:val="auto"/>
              </w:rPr>
            </w:pPr>
            <w:r>
              <w:rPr>
                <w:color w:val="auto"/>
              </w:rPr>
              <w:t>/</w:t>
            </w:r>
          </w:p>
        </w:tc>
        <w:tc>
          <w:tcPr>
            <w:tcW w:w="333" w:type="pct"/>
            <w:vAlign w:val="center"/>
          </w:tcPr>
          <w:p w14:paraId="34B95A46">
            <w:pPr>
              <w:pStyle w:val="33"/>
              <w:rPr>
                <w:color w:val="auto"/>
              </w:rPr>
            </w:pPr>
            <w:r>
              <w:rPr>
                <w:color w:val="auto"/>
              </w:rPr>
              <w:t>/</w:t>
            </w:r>
          </w:p>
        </w:tc>
        <w:tc>
          <w:tcPr>
            <w:tcW w:w="397" w:type="pct"/>
            <w:vAlign w:val="center"/>
          </w:tcPr>
          <w:p w14:paraId="45C903A6">
            <w:pPr>
              <w:pStyle w:val="33"/>
              <w:rPr>
                <w:color w:val="auto"/>
              </w:rPr>
            </w:pPr>
            <w:r>
              <w:rPr>
                <w:color w:val="auto"/>
              </w:rPr>
              <w:t xml:space="preserve">1.0417 </w:t>
            </w:r>
          </w:p>
        </w:tc>
        <w:tc>
          <w:tcPr>
            <w:tcW w:w="333" w:type="pct"/>
            <w:vAlign w:val="center"/>
          </w:tcPr>
          <w:p w14:paraId="4B9DD770">
            <w:pPr>
              <w:pStyle w:val="33"/>
              <w:rPr>
                <w:color w:val="auto"/>
              </w:rPr>
            </w:pPr>
            <w:r>
              <w:rPr>
                <w:color w:val="auto"/>
              </w:rPr>
              <w:t>/</w:t>
            </w:r>
          </w:p>
        </w:tc>
        <w:tc>
          <w:tcPr>
            <w:tcW w:w="338" w:type="pct"/>
            <w:vAlign w:val="center"/>
          </w:tcPr>
          <w:p w14:paraId="015EBF41">
            <w:pPr>
              <w:pStyle w:val="33"/>
              <w:rPr>
                <w:color w:val="auto"/>
              </w:rPr>
            </w:pPr>
            <w:r>
              <w:rPr>
                <w:color w:val="auto"/>
              </w:rPr>
              <w:t>/</w:t>
            </w:r>
          </w:p>
        </w:tc>
      </w:tr>
      <w:tr w14:paraId="119E0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E308A5B">
            <w:pPr>
              <w:pStyle w:val="33"/>
              <w:rPr>
                <w:color w:val="auto"/>
              </w:rPr>
            </w:pPr>
            <w:r>
              <w:rPr>
                <w:rFonts w:eastAsia="等线"/>
                <w:color w:val="auto"/>
              </w:rPr>
              <w:t>60</w:t>
            </w:r>
          </w:p>
        </w:tc>
        <w:tc>
          <w:tcPr>
            <w:tcW w:w="591" w:type="pct"/>
          </w:tcPr>
          <w:p w14:paraId="3738A767">
            <w:pPr>
              <w:pStyle w:val="33"/>
              <w:rPr>
                <w:color w:val="auto"/>
              </w:rPr>
            </w:pPr>
            <w:r>
              <w:rPr>
                <w:color w:val="auto"/>
              </w:rPr>
              <w:t>/</w:t>
            </w:r>
          </w:p>
        </w:tc>
        <w:tc>
          <w:tcPr>
            <w:tcW w:w="333" w:type="pct"/>
          </w:tcPr>
          <w:p w14:paraId="137AF097">
            <w:pPr>
              <w:pStyle w:val="33"/>
              <w:rPr>
                <w:color w:val="auto"/>
              </w:rPr>
            </w:pPr>
            <w:r>
              <w:rPr>
                <w:color w:val="auto"/>
              </w:rPr>
              <w:t>/</w:t>
            </w:r>
          </w:p>
        </w:tc>
        <w:tc>
          <w:tcPr>
            <w:tcW w:w="333" w:type="pct"/>
          </w:tcPr>
          <w:p w14:paraId="6E6C7FFC">
            <w:pPr>
              <w:pStyle w:val="33"/>
              <w:rPr>
                <w:color w:val="auto"/>
              </w:rPr>
            </w:pPr>
            <w:r>
              <w:rPr>
                <w:color w:val="auto"/>
              </w:rPr>
              <w:t>/</w:t>
            </w:r>
          </w:p>
        </w:tc>
        <w:tc>
          <w:tcPr>
            <w:tcW w:w="376" w:type="pct"/>
          </w:tcPr>
          <w:p w14:paraId="5376CA0D">
            <w:pPr>
              <w:pStyle w:val="33"/>
              <w:rPr>
                <w:color w:val="auto"/>
              </w:rPr>
            </w:pPr>
            <w:r>
              <w:rPr>
                <w:color w:val="auto"/>
              </w:rPr>
              <w:t>/</w:t>
            </w:r>
          </w:p>
        </w:tc>
        <w:tc>
          <w:tcPr>
            <w:tcW w:w="359" w:type="pct"/>
            <w:vAlign w:val="center"/>
          </w:tcPr>
          <w:p w14:paraId="0F3236F5">
            <w:pPr>
              <w:pStyle w:val="33"/>
              <w:rPr>
                <w:color w:val="auto"/>
              </w:rPr>
            </w:pPr>
            <w:r>
              <w:rPr>
                <w:color w:val="auto"/>
              </w:rPr>
              <w:t>/</w:t>
            </w:r>
          </w:p>
        </w:tc>
        <w:tc>
          <w:tcPr>
            <w:tcW w:w="359" w:type="pct"/>
            <w:vAlign w:val="center"/>
          </w:tcPr>
          <w:p w14:paraId="14730D81">
            <w:pPr>
              <w:pStyle w:val="33"/>
              <w:rPr>
                <w:color w:val="auto"/>
              </w:rPr>
            </w:pPr>
            <w:r>
              <w:rPr>
                <w:color w:val="auto"/>
              </w:rPr>
              <w:t xml:space="preserve">781.7100 </w:t>
            </w:r>
          </w:p>
        </w:tc>
        <w:tc>
          <w:tcPr>
            <w:tcW w:w="330" w:type="pct"/>
            <w:vAlign w:val="center"/>
          </w:tcPr>
          <w:p w14:paraId="1CD9BFB1">
            <w:pPr>
              <w:pStyle w:val="33"/>
              <w:rPr>
                <w:color w:val="auto"/>
              </w:rPr>
            </w:pPr>
            <w:r>
              <w:rPr>
                <w:color w:val="auto"/>
              </w:rPr>
              <w:t xml:space="preserve">704.385 </w:t>
            </w:r>
          </w:p>
        </w:tc>
        <w:tc>
          <w:tcPr>
            <w:tcW w:w="333" w:type="pct"/>
            <w:vAlign w:val="center"/>
          </w:tcPr>
          <w:p w14:paraId="689BBB1F">
            <w:pPr>
              <w:pStyle w:val="33"/>
              <w:rPr>
                <w:color w:val="auto"/>
              </w:rPr>
            </w:pPr>
            <w:r>
              <w:rPr>
                <w:color w:val="auto"/>
              </w:rPr>
              <w:t xml:space="preserve">493.070 </w:t>
            </w:r>
          </w:p>
        </w:tc>
        <w:tc>
          <w:tcPr>
            <w:tcW w:w="333" w:type="pct"/>
            <w:vAlign w:val="center"/>
          </w:tcPr>
          <w:p w14:paraId="39667B97">
            <w:pPr>
              <w:pStyle w:val="33"/>
              <w:rPr>
                <w:color w:val="auto"/>
              </w:rPr>
            </w:pPr>
            <w:r>
              <w:rPr>
                <w:color w:val="auto"/>
              </w:rPr>
              <w:t>/</w:t>
            </w:r>
          </w:p>
        </w:tc>
        <w:tc>
          <w:tcPr>
            <w:tcW w:w="333" w:type="pct"/>
            <w:vAlign w:val="center"/>
          </w:tcPr>
          <w:p w14:paraId="2BA015D7">
            <w:pPr>
              <w:pStyle w:val="33"/>
              <w:rPr>
                <w:color w:val="auto"/>
              </w:rPr>
            </w:pPr>
            <w:r>
              <w:rPr>
                <w:color w:val="auto"/>
              </w:rPr>
              <w:t>/</w:t>
            </w:r>
          </w:p>
        </w:tc>
        <w:tc>
          <w:tcPr>
            <w:tcW w:w="397" w:type="pct"/>
            <w:vAlign w:val="center"/>
          </w:tcPr>
          <w:p w14:paraId="3772A59C">
            <w:pPr>
              <w:pStyle w:val="33"/>
              <w:rPr>
                <w:color w:val="auto"/>
              </w:rPr>
            </w:pPr>
            <w:r>
              <w:rPr>
                <w:color w:val="auto"/>
              </w:rPr>
              <w:t>/</w:t>
            </w:r>
          </w:p>
        </w:tc>
        <w:tc>
          <w:tcPr>
            <w:tcW w:w="333" w:type="pct"/>
            <w:vAlign w:val="center"/>
          </w:tcPr>
          <w:p w14:paraId="4448169B">
            <w:pPr>
              <w:pStyle w:val="33"/>
              <w:rPr>
                <w:color w:val="auto"/>
              </w:rPr>
            </w:pPr>
            <w:r>
              <w:rPr>
                <w:color w:val="auto"/>
              </w:rPr>
              <w:t>/</w:t>
            </w:r>
          </w:p>
        </w:tc>
        <w:tc>
          <w:tcPr>
            <w:tcW w:w="338" w:type="pct"/>
            <w:vAlign w:val="center"/>
          </w:tcPr>
          <w:p w14:paraId="1C981659">
            <w:pPr>
              <w:pStyle w:val="33"/>
              <w:rPr>
                <w:color w:val="auto"/>
              </w:rPr>
            </w:pPr>
            <w:r>
              <w:rPr>
                <w:color w:val="auto"/>
              </w:rPr>
              <w:t>/</w:t>
            </w:r>
          </w:p>
        </w:tc>
      </w:tr>
      <w:tr w14:paraId="7F15C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6620495">
            <w:pPr>
              <w:pStyle w:val="33"/>
              <w:rPr>
                <w:color w:val="auto"/>
              </w:rPr>
            </w:pPr>
            <w:r>
              <w:rPr>
                <w:rFonts w:eastAsia="等线"/>
                <w:color w:val="auto"/>
              </w:rPr>
              <w:t>61</w:t>
            </w:r>
          </w:p>
        </w:tc>
        <w:tc>
          <w:tcPr>
            <w:tcW w:w="591" w:type="pct"/>
          </w:tcPr>
          <w:p w14:paraId="2956D1B3">
            <w:pPr>
              <w:pStyle w:val="33"/>
              <w:rPr>
                <w:color w:val="auto"/>
              </w:rPr>
            </w:pPr>
            <w:r>
              <w:rPr>
                <w:color w:val="auto"/>
              </w:rPr>
              <w:t>G6-2</w:t>
            </w:r>
          </w:p>
        </w:tc>
        <w:tc>
          <w:tcPr>
            <w:tcW w:w="333" w:type="pct"/>
          </w:tcPr>
          <w:p w14:paraId="02B78664">
            <w:pPr>
              <w:pStyle w:val="33"/>
              <w:rPr>
                <w:color w:val="auto"/>
              </w:rPr>
            </w:pPr>
            <w:r>
              <w:rPr>
                <w:color w:val="auto"/>
              </w:rPr>
              <w:t>150</w:t>
            </w:r>
          </w:p>
        </w:tc>
        <w:tc>
          <w:tcPr>
            <w:tcW w:w="333" w:type="pct"/>
          </w:tcPr>
          <w:p w14:paraId="55AB4CF2">
            <w:pPr>
              <w:pStyle w:val="33"/>
              <w:rPr>
                <w:color w:val="auto"/>
              </w:rPr>
            </w:pPr>
            <w:r>
              <w:rPr>
                <w:color w:val="auto"/>
              </w:rPr>
              <w:t>2.1</w:t>
            </w:r>
          </w:p>
        </w:tc>
        <w:tc>
          <w:tcPr>
            <w:tcW w:w="376" w:type="pct"/>
          </w:tcPr>
          <w:p w14:paraId="27B3B69C">
            <w:pPr>
              <w:pStyle w:val="33"/>
              <w:rPr>
                <w:color w:val="auto"/>
              </w:rPr>
            </w:pPr>
            <w:r>
              <w:rPr>
                <w:color w:val="auto"/>
              </w:rPr>
              <w:t>124630</w:t>
            </w:r>
          </w:p>
        </w:tc>
        <w:tc>
          <w:tcPr>
            <w:tcW w:w="359" w:type="pct"/>
            <w:vAlign w:val="center"/>
          </w:tcPr>
          <w:p w14:paraId="34714F39">
            <w:pPr>
              <w:pStyle w:val="33"/>
              <w:rPr>
                <w:color w:val="auto"/>
              </w:rPr>
            </w:pPr>
            <w:r>
              <w:rPr>
                <w:color w:val="auto"/>
              </w:rPr>
              <w:t xml:space="preserve">1.7449 </w:t>
            </w:r>
          </w:p>
        </w:tc>
        <w:tc>
          <w:tcPr>
            <w:tcW w:w="359" w:type="pct"/>
            <w:vAlign w:val="center"/>
          </w:tcPr>
          <w:p w14:paraId="79F8FB4B">
            <w:pPr>
              <w:pStyle w:val="33"/>
              <w:rPr>
                <w:color w:val="auto"/>
              </w:rPr>
            </w:pPr>
            <w:r>
              <w:rPr>
                <w:color w:val="auto"/>
              </w:rPr>
              <w:t xml:space="preserve">11.7777 </w:t>
            </w:r>
          </w:p>
        </w:tc>
        <w:tc>
          <w:tcPr>
            <w:tcW w:w="330" w:type="pct"/>
            <w:vAlign w:val="center"/>
          </w:tcPr>
          <w:p w14:paraId="5FCD7849">
            <w:pPr>
              <w:pStyle w:val="33"/>
              <w:rPr>
                <w:color w:val="auto"/>
              </w:rPr>
            </w:pPr>
            <w:r>
              <w:rPr>
                <w:color w:val="auto"/>
              </w:rPr>
              <w:t xml:space="preserve">2.0315 </w:t>
            </w:r>
          </w:p>
        </w:tc>
        <w:tc>
          <w:tcPr>
            <w:tcW w:w="333" w:type="pct"/>
            <w:vAlign w:val="center"/>
          </w:tcPr>
          <w:p w14:paraId="688C7517">
            <w:pPr>
              <w:pStyle w:val="33"/>
              <w:rPr>
                <w:color w:val="auto"/>
              </w:rPr>
            </w:pPr>
            <w:r>
              <w:rPr>
                <w:color w:val="auto"/>
              </w:rPr>
              <w:t xml:space="preserve">1.4220 </w:t>
            </w:r>
          </w:p>
        </w:tc>
        <w:tc>
          <w:tcPr>
            <w:tcW w:w="333" w:type="pct"/>
            <w:vAlign w:val="center"/>
          </w:tcPr>
          <w:p w14:paraId="6F74D4C2">
            <w:pPr>
              <w:pStyle w:val="33"/>
              <w:rPr>
                <w:color w:val="auto"/>
              </w:rPr>
            </w:pPr>
            <w:r>
              <w:rPr>
                <w:color w:val="auto"/>
              </w:rPr>
              <w:t>/</w:t>
            </w:r>
          </w:p>
        </w:tc>
        <w:tc>
          <w:tcPr>
            <w:tcW w:w="333" w:type="pct"/>
            <w:vAlign w:val="center"/>
          </w:tcPr>
          <w:p w14:paraId="70131BC5">
            <w:pPr>
              <w:pStyle w:val="33"/>
              <w:rPr>
                <w:color w:val="auto"/>
              </w:rPr>
            </w:pPr>
            <w:r>
              <w:rPr>
                <w:color w:val="auto"/>
              </w:rPr>
              <w:t>/</w:t>
            </w:r>
          </w:p>
        </w:tc>
        <w:tc>
          <w:tcPr>
            <w:tcW w:w="397" w:type="pct"/>
            <w:vAlign w:val="center"/>
          </w:tcPr>
          <w:p w14:paraId="281D5A2A">
            <w:pPr>
              <w:pStyle w:val="33"/>
              <w:rPr>
                <w:color w:val="auto"/>
              </w:rPr>
            </w:pPr>
            <w:r>
              <w:rPr>
                <w:color w:val="auto"/>
              </w:rPr>
              <w:t xml:space="preserve">0.3211 </w:t>
            </w:r>
          </w:p>
        </w:tc>
        <w:tc>
          <w:tcPr>
            <w:tcW w:w="333" w:type="pct"/>
            <w:vAlign w:val="center"/>
          </w:tcPr>
          <w:p w14:paraId="0918D201">
            <w:pPr>
              <w:pStyle w:val="33"/>
              <w:rPr>
                <w:color w:val="auto"/>
              </w:rPr>
            </w:pPr>
            <w:r>
              <w:rPr>
                <w:color w:val="auto"/>
              </w:rPr>
              <w:t>/</w:t>
            </w:r>
          </w:p>
        </w:tc>
        <w:tc>
          <w:tcPr>
            <w:tcW w:w="338" w:type="pct"/>
            <w:vAlign w:val="center"/>
          </w:tcPr>
          <w:p w14:paraId="183D348D">
            <w:pPr>
              <w:pStyle w:val="33"/>
              <w:rPr>
                <w:color w:val="auto"/>
              </w:rPr>
            </w:pPr>
            <w:r>
              <w:rPr>
                <w:color w:val="auto"/>
              </w:rPr>
              <w:t>/</w:t>
            </w:r>
          </w:p>
        </w:tc>
      </w:tr>
      <w:tr w14:paraId="4629A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10AA94E">
            <w:pPr>
              <w:pStyle w:val="33"/>
              <w:rPr>
                <w:color w:val="auto"/>
              </w:rPr>
            </w:pPr>
            <w:r>
              <w:rPr>
                <w:rFonts w:eastAsia="等线"/>
                <w:color w:val="auto"/>
              </w:rPr>
              <w:t>62</w:t>
            </w:r>
          </w:p>
        </w:tc>
        <w:tc>
          <w:tcPr>
            <w:tcW w:w="591" w:type="pct"/>
          </w:tcPr>
          <w:p w14:paraId="110DC405">
            <w:pPr>
              <w:pStyle w:val="33"/>
              <w:rPr>
                <w:color w:val="auto"/>
              </w:rPr>
            </w:pPr>
            <w:r>
              <w:rPr>
                <w:color w:val="auto"/>
              </w:rPr>
              <w:t>G6-3</w:t>
            </w:r>
          </w:p>
        </w:tc>
        <w:tc>
          <w:tcPr>
            <w:tcW w:w="333" w:type="pct"/>
          </w:tcPr>
          <w:p w14:paraId="5825AD83">
            <w:pPr>
              <w:pStyle w:val="33"/>
              <w:rPr>
                <w:color w:val="auto"/>
              </w:rPr>
            </w:pPr>
            <w:r>
              <w:rPr>
                <w:color w:val="auto"/>
              </w:rPr>
              <w:t>25</w:t>
            </w:r>
          </w:p>
        </w:tc>
        <w:tc>
          <w:tcPr>
            <w:tcW w:w="333" w:type="pct"/>
          </w:tcPr>
          <w:p w14:paraId="387E5AB0">
            <w:pPr>
              <w:pStyle w:val="33"/>
              <w:rPr>
                <w:color w:val="auto"/>
              </w:rPr>
            </w:pPr>
            <w:r>
              <w:rPr>
                <w:color w:val="auto"/>
              </w:rPr>
              <w:t>0.6</w:t>
            </w:r>
          </w:p>
        </w:tc>
        <w:tc>
          <w:tcPr>
            <w:tcW w:w="376" w:type="pct"/>
          </w:tcPr>
          <w:p w14:paraId="6269D6DF">
            <w:pPr>
              <w:pStyle w:val="33"/>
              <w:rPr>
                <w:color w:val="auto"/>
              </w:rPr>
            </w:pPr>
            <w:r>
              <w:rPr>
                <w:color w:val="auto"/>
              </w:rPr>
              <w:t>15000</w:t>
            </w:r>
          </w:p>
        </w:tc>
        <w:tc>
          <w:tcPr>
            <w:tcW w:w="359" w:type="pct"/>
            <w:vAlign w:val="center"/>
          </w:tcPr>
          <w:p w14:paraId="1165070D">
            <w:pPr>
              <w:pStyle w:val="33"/>
              <w:rPr>
                <w:color w:val="auto"/>
              </w:rPr>
            </w:pPr>
            <w:r>
              <w:rPr>
                <w:color w:val="auto"/>
              </w:rPr>
              <w:t>/</w:t>
            </w:r>
          </w:p>
        </w:tc>
        <w:tc>
          <w:tcPr>
            <w:tcW w:w="359" w:type="pct"/>
            <w:vAlign w:val="center"/>
          </w:tcPr>
          <w:p w14:paraId="6BCC2F9F">
            <w:pPr>
              <w:pStyle w:val="33"/>
              <w:rPr>
                <w:color w:val="auto"/>
              </w:rPr>
            </w:pPr>
            <w:r>
              <w:rPr>
                <w:color w:val="auto"/>
              </w:rPr>
              <w:t>/</w:t>
            </w:r>
          </w:p>
        </w:tc>
        <w:tc>
          <w:tcPr>
            <w:tcW w:w="330" w:type="pct"/>
            <w:vAlign w:val="center"/>
          </w:tcPr>
          <w:p w14:paraId="134BE5EB">
            <w:pPr>
              <w:pStyle w:val="33"/>
              <w:rPr>
                <w:color w:val="auto"/>
              </w:rPr>
            </w:pPr>
            <w:r>
              <w:rPr>
                <w:color w:val="auto"/>
              </w:rPr>
              <w:t xml:space="preserve">0.0615 </w:t>
            </w:r>
          </w:p>
        </w:tc>
        <w:tc>
          <w:tcPr>
            <w:tcW w:w="333" w:type="pct"/>
            <w:vAlign w:val="center"/>
          </w:tcPr>
          <w:p w14:paraId="61C02549">
            <w:pPr>
              <w:pStyle w:val="33"/>
              <w:rPr>
                <w:color w:val="auto"/>
              </w:rPr>
            </w:pPr>
            <w:r>
              <w:rPr>
                <w:color w:val="auto"/>
              </w:rPr>
              <w:t xml:space="preserve">0.0431 </w:t>
            </w:r>
          </w:p>
        </w:tc>
        <w:tc>
          <w:tcPr>
            <w:tcW w:w="333" w:type="pct"/>
            <w:vAlign w:val="center"/>
          </w:tcPr>
          <w:p w14:paraId="23635536">
            <w:pPr>
              <w:pStyle w:val="33"/>
              <w:rPr>
                <w:color w:val="auto"/>
              </w:rPr>
            </w:pPr>
            <w:r>
              <w:rPr>
                <w:color w:val="auto"/>
              </w:rPr>
              <w:t>/</w:t>
            </w:r>
          </w:p>
        </w:tc>
        <w:tc>
          <w:tcPr>
            <w:tcW w:w="333" w:type="pct"/>
            <w:vAlign w:val="center"/>
          </w:tcPr>
          <w:p w14:paraId="34C8BD7A">
            <w:pPr>
              <w:pStyle w:val="33"/>
              <w:rPr>
                <w:color w:val="auto"/>
              </w:rPr>
            </w:pPr>
            <w:r>
              <w:rPr>
                <w:color w:val="auto"/>
              </w:rPr>
              <w:t>/</w:t>
            </w:r>
          </w:p>
        </w:tc>
        <w:tc>
          <w:tcPr>
            <w:tcW w:w="397" w:type="pct"/>
            <w:vAlign w:val="center"/>
          </w:tcPr>
          <w:p w14:paraId="1419C864">
            <w:pPr>
              <w:pStyle w:val="33"/>
              <w:rPr>
                <w:color w:val="auto"/>
              </w:rPr>
            </w:pPr>
            <w:r>
              <w:rPr>
                <w:color w:val="auto"/>
              </w:rPr>
              <w:t>/</w:t>
            </w:r>
          </w:p>
        </w:tc>
        <w:tc>
          <w:tcPr>
            <w:tcW w:w="333" w:type="pct"/>
            <w:vAlign w:val="center"/>
          </w:tcPr>
          <w:p w14:paraId="3C295A5A">
            <w:pPr>
              <w:pStyle w:val="33"/>
              <w:rPr>
                <w:color w:val="auto"/>
              </w:rPr>
            </w:pPr>
            <w:r>
              <w:rPr>
                <w:color w:val="auto"/>
              </w:rPr>
              <w:t>/</w:t>
            </w:r>
          </w:p>
        </w:tc>
        <w:tc>
          <w:tcPr>
            <w:tcW w:w="338" w:type="pct"/>
            <w:vAlign w:val="center"/>
          </w:tcPr>
          <w:p w14:paraId="197C071D">
            <w:pPr>
              <w:pStyle w:val="33"/>
              <w:rPr>
                <w:color w:val="auto"/>
              </w:rPr>
            </w:pPr>
            <w:r>
              <w:rPr>
                <w:color w:val="auto"/>
              </w:rPr>
              <w:t>/</w:t>
            </w:r>
          </w:p>
        </w:tc>
      </w:tr>
      <w:tr w14:paraId="36A3B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6818984">
            <w:pPr>
              <w:pStyle w:val="33"/>
              <w:rPr>
                <w:color w:val="auto"/>
              </w:rPr>
            </w:pPr>
            <w:r>
              <w:rPr>
                <w:rFonts w:eastAsia="等线"/>
                <w:color w:val="auto"/>
              </w:rPr>
              <w:t>63</w:t>
            </w:r>
          </w:p>
        </w:tc>
        <w:tc>
          <w:tcPr>
            <w:tcW w:w="591" w:type="pct"/>
          </w:tcPr>
          <w:p w14:paraId="72857A6C">
            <w:pPr>
              <w:pStyle w:val="33"/>
              <w:rPr>
                <w:color w:val="auto"/>
              </w:rPr>
            </w:pPr>
            <w:r>
              <w:rPr>
                <w:color w:val="auto"/>
              </w:rPr>
              <w:t>G6-4</w:t>
            </w:r>
          </w:p>
        </w:tc>
        <w:tc>
          <w:tcPr>
            <w:tcW w:w="333" w:type="pct"/>
          </w:tcPr>
          <w:p w14:paraId="05B6698A">
            <w:pPr>
              <w:pStyle w:val="33"/>
              <w:rPr>
                <w:color w:val="auto"/>
              </w:rPr>
            </w:pPr>
            <w:r>
              <w:rPr>
                <w:color w:val="auto"/>
              </w:rPr>
              <w:t>40</w:t>
            </w:r>
          </w:p>
        </w:tc>
        <w:tc>
          <w:tcPr>
            <w:tcW w:w="333" w:type="pct"/>
          </w:tcPr>
          <w:p w14:paraId="41FB809D">
            <w:pPr>
              <w:pStyle w:val="33"/>
              <w:rPr>
                <w:color w:val="auto"/>
              </w:rPr>
            </w:pPr>
            <w:r>
              <w:rPr>
                <w:color w:val="auto"/>
              </w:rPr>
              <w:t>0.63</w:t>
            </w:r>
          </w:p>
        </w:tc>
        <w:tc>
          <w:tcPr>
            <w:tcW w:w="376" w:type="pct"/>
          </w:tcPr>
          <w:p w14:paraId="6881EAB0">
            <w:pPr>
              <w:pStyle w:val="33"/>
              <w:rPr>
                <w:color w:val="auto"/>
              </w:rPr>
            </w:pPr>
            <w:r>
              <w:rPr>
                <w:color w:val="auto"/>
              </w:rPr>
              <w:t>11400</w:t>
            </w:r>
          </w:p>
        </w:tc>
        <w:tc>
          <w:tcPr>
            <w:tcW w:w="359" w:type="pct"/>
            <w:vAlign w:val="center"/>
          </w:tcPr>
          <w:p w14:paraId="5B15521B">
            <w:pPr>
              <w:pStyle w:val="33"/>
              <w:rPr>
                <w:color w:val="auto"/>
              </w:rPr>
            </w:pPr>
            <w:r>
              <w:rPr>
                <w:color w:val="auto"/>
              </w:rPr>
              <w:t>/</w:t>
            </w:r>
          </w:p>
        </w:tc>
        <w:tc>
          <w:tcPr>
            <w:tcW w:w="359" w:type="pct"/>
            <w:vAlign w:val="center"/>
          </w:tcPr>
          <w:p w14:paraId="5BFBAC6D">
            <w:pPr>
              <w:pStyle w:val="33"/>
              <w:rPr>
                <w:color w:val="auto"/>
              </w:rPr>
            </w:pPr>
            <w:r>
              <w:rPr>
                <w:color w:val="auto"/>
              </w:rPr>
              <w:t>/</w:t>
            </w:r>
          </w:p>
        </w:tc>
        <w:tc>
          <w:tcPr>
            <w:tcW w:w="330" w:type="pct"/>
            <w:vAlign w:val="center"/>
          </w:tcPr>
          <w:p w14:paraId="6112AA89">
            <w:pPr>
              <w:pStyle w:val="33"/>
              <w:rPr>
                <w:color w:val="auto"/>
              </w:rPr>
            </w:pPr>
            <w:r>
              <w:rPr>
                <w:color w:val="auto"/>
              </w:rPr>
              <w:t xml:space="preserve">0.0923 </w:t>
            </w:r>
          </w:p>
        </w:tc>
        <w:tc>
          <w:tcPr>
            <w:tcW w:w="333" w:type="pct"/>
            <w:vAlign w:val="center"/>
          </w:tcPr>
          <w:p w14:paraId="24253AEA">
            <w:pPr>
              <w:pStyle w:val="33"/>
              <w:rPr>
                <w:color w:val="auto"/>
              </w:rPr>
            </w:pPr>
            <w:r>
              <w:rPr>
                <w:color w:val="auto"/>
              </w:rPr>
              <w:t xml:space="preserve">0.0646 </w:t>
            </w:r>
          </w:p>
        </w:tc>
        <w:tc>
          <w:tcPr>
            <w:tcW w:w="333" w:type="pct"/>
            <w:vAlign w:val="center"/>
          </w:tcPr>
          <w:p w14:paraId="4351E120">
            <w:pPr>
              <w:pStyle w:val="33"/>
              <w:rPr>
                <w:color w:val="auto"/>
              </w:rPr>
            </w:pPr>
            <w:r>
              <w:rPr>
                <w:color w:val="auto"/>
              </w:rPr>
              <w:t>/</w:t>
            </w:r>
          </w:p>
        </w:tc>
        <w:tc>
          <w:tcPr>
            <w:tcW w:w="333" w:type="pct"/>
            <w:vAlign w:val="center"/>
          </w:tcPr>
          <w:p w14:paraId="3736525B">
            <w:pPr>
              <w:pStyle w:val="33"/>
              <w:rPr>
                <w:color w:val="auto"/>
              </w:rPr>
            </w:pPr>
            <w:r>
              <w:rPr>
                <w:color w:val="auto"/>
              </w:rPr>
              <w:t>/</w:t>
            </w:r>
          </w:p>
        </w:tc>
        <w:tc>
          <w:tcPr>
            <w:tcW w:w="397" w:type="pct"/>
            <w:vAlign w:val="center"/>
          </w:tcPr>
          <w:p w14:paraId="3A023CB5">
            <w:pPr>
              <w:pStyle w:val="33"/>
              <w:rPr>
                <w:color w:val="auto"/>
              </w:rPr>
            </w:pPr>
            <w:r>
              <w:rPr>
                <w:color w:val="auto"/>
              </w:rPr>
              <w:t>/</w:t>
            </w:r>
          </w:p>
        </w:tc>
        <w:tc>
          <w:tcPr>
            <w:tcW w:w="333" w:type="pct"/>
            <w:vAlign w:val="center"/>
          </w:tcPr>
          <w:p w14:paraId="02DFC8D2">
            <w:pPr>
              <w:pStyle w:val="33"/>
              <w:rPr>
                <w:color w:val="auto"/>
              </w:rPr>
            </w:pPr>
            <w:r>
              <w:rPr>
                <w:color w:val="auto"/>
              </w:rPr>
              <w:t>/</w:t>
            </w:r>
          </w:p>
        </w:tc>
        <w:tc>
          <w:tcPr>
            <w:tcW w:w="338" w:type="pct"/>
            <w:vAlign w:val="center"/>
          </w:tcPr>
          <w:p w14:paraId="5E27C454">
            <w:pPr>
              <w:pStyle w:val="33"/>
              <w:rPr>
                <w:color w:val="auto"/>
              </w:rPr>
            </w:pPr>
            <w:r>
              <w:rPr>
                <w:color w:val="auto"/>
              </w:rPr>
              <w:t>/</w:t>
            </w:r>
          </w:p>
        </w:tc>
      </w:tr>
      <w:tr w14:paraId="0A4D8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104674B">
            <w:pPr>
              <w:pStyle w:val="33"/>
              <w:rPr>
                <w:color w:val="auto"/>
              </w:rPr>
            </w:pPr>
            <w:r>
              <w:rPr>
                <w:rFonts w:eastAsia="等线"/>
                <w:color w:val="auto"/>
              </w:rPr>
              <w:t>64</w:t>
            </w:r>
          </w:p>
        </w:tc>
        <w:tc>
          <w:tcPr>
            <w:tcW w:w="591" w:type="pct"/>
          </w:tcPr>
          <w:p w14:paraId="60FB6CF4">
            <w:pPr>
              <w:pStyle w:val="33"/>
              <w:rPr>
                <w:color w:val="auto"/>
              </w:rPr>
            </w:pPr>
            <w:r>
              <w:rPr>
                <w:color w:val="auto"/>
              </w:rPr>
              <w:t>G8-1</w:t>
            </w:r>
          </w:p>
        </w:tc>
        <w:tc>
          <w:tcPr>
            <w:tcW w:w="333" w:type="pct"/>
          </w:tcPr>
          <w:p w14:paraId="288FBC23">
            <w:pPr>
              <w:pStyle w:val="33"/>
              <w:rPr>
                <w:color w:val="auto"/>
              </w:rPr>
            </w:pPr>
            <w:r>
              <w:rPr>
                <w:color w:val="auto"/>
              </w:rPr>
              <w:t>15</w:t>
            </w:r>
          </w:p>
        </w:tc>
        <w:tc>
          <w:tcPr>
            <w:tcW w:w="333" w:type="pct"/>
          </w:tcPr>
          <w:p w14:paraId="2D3148FB">
            <w:pPr>
              <w:pStyle w:val="33"/>
              <w:rPr>
                <w:color w:val="auto"/>
              </w:rPr>
            </w:pPr>
            <w:r>
              <w:rPr>
                <w:color w:val="auto"/>
              </w:rPr>
              <w:t>1.2</w:t>
            </w:r>
          </w:p>
        </w:tc>
        <w:tc>
          <w:tcPr>
            <w:tcW w:w="376" w:type="pct"/>
          </w:tcPr>
          <w:p w14:paraId="56C99CD9">
            <w:pPr>
              <w:pStyle w:val="33"/>
              <w:rPr>
                <w:color w:val="auto"/>
              </w:rPr>
            </w:pPr>
            <w:r>
              <w:rPr>
                <w:color w:val="auto"/>
              </w:rPr>
              <w:t>116050</w:t>
            </w:r>
          </w:p>
        </w:tc>
        <w:tc>
          <w:tcPr>
            <w:tcW w:w="359" w:type="pct"/>
            <w:vAlign w:val="center"/>
          </w:tcPr>
          <w:p w14:paraId="0F931E9B">
            <w:pPr>
              <w:pStyle w:val="33"/>
              <w:rPr>
                <w:color w:val="auto"/>
              </w:rPr>
            </w:pPr>
            <w:r>
              <w:rPr>
                <w:color w:val="auto"/>
              </w:rPr>
              <w:t>/</w:t>
            </w:r>
          </w:p>
        </w:tc>
        <w:tc>
          <w:tcPr>
            <w:tcW w:w="359" w:type="pct"/>
            <w:vAlign w:val="center"/>
          </w:tcPr>
          <w:p w14:paraId="1A09D7C2">
            <w:pPr>
              <w:pStyle w:val="33"/>
              <w:rPr>
                <w:color w:val="auto"/>
              </w:rPr>
            </w:pPr>
            <w:r>
              <w:rPr>
                <w:color w:val="auto"/>
              </w:rPr>
              <w:t>/</w:t>
            </w:r>
          </w:p>
        </w:tc>
        <w:tc>
          <w:tcPr>
            <w:tcW w:w="330" w:type="pct"/>
            <w:vAlign w:val="center"/>
          </w:tcPr>
          <w:p w14:paraId="06A6F0D7">
            <w:pPr>
              <w:pStyle w:val="33"/>
              <w:rPr>
                <w:color w:val="auto"/>
              </w:rPr>
            </w:pPr>
            <w:r>
              <w:rPr>
                <w:color w:val="auto"/>
              </w:rPr>
              <w:t>/</w:t>
            </w:r>
          </w:p>
        </w:tc>
        <w:tc>
          <w:tcPr>
            <w:tcW w:w="333" w:type="pct"/>
            <w:vAlign w:val="center"/>
          </w:tcPr>
          <w:p w14:paraId="4D7226E5">
            <w:pPr>
              <w:pStyle w:val="33"/>
              <w:rPr>
                <w:color w:val="auto"/>
              </w:rPr>
            </w:pPr>
            <w:r>
              <w:rPr>
                <w:color w:val="auto"/>
              </w:rPr>
              <w:t>/</w:t>
            </w:r>
          </w:p>
        </w:tc>
        <w:tc>
          <w:tcPr>
            <w:tcW w:w="333" w:type="pct"/>
            <w:vAlign w:val="center"/>
          </w:tcPr>
          <w:p w14:paraId="2F4B0146">
            <w:pPr>
              <w:pStyle w:val="33"/>
              <w:rPr>
                <w:color w:val="auto"/>
              </w:rPr>
            </w:pPr>
            <w:r>
              <w:rPr>
                <w:color w:val="auto"/>
              </w:rPr>
              <w:t>/</w:t>
            </w:r>
          </w:p>
        </w:tc>
        <w:tc>
          <w:tcPr>
            <w:tcW w:w="333" w:type="pct"/>
            <w:vAlign w:val="center"/>
          </w:tcPr>
          <w:p w14:paraId="6B7CAB5A">
            <w:pPr>
              <w:pStyle w:val="33"/>
              <w:rPr>
                <w:color w:val="auto"/>
              </w:rPr>
            </w:pPr>
            <w:r>
              <w:rPr>
                <w:color w:val="auto"/>
              </w:rPr>
              <w:t xml:space="preserve">0.0516 </w:t>
            </w:r>
          </w:p>
        </w:tc>
        <w:tc>
          <w:tcPr>
            <w:tcW w:w="397" w:type="pct"/>
            <w:vAlign w:val="center"/>
          </w:tcPr>
          <w:p w14:paraId="28C67C21">
            <w:pPr>
              <w:pStyle w:val="33"/>
              <w:rPr>
                <w:color w:val="auto"/>
              </w:rPr>
            </w:pPr>
            <w:r>
              <w:rPr>
                <w:color w:val="auto"/>
              </w:rPr>
              <w:t xml:space="preserve">0.0082 </w:t>
            </w:r>
          </w:p>
        </w:tc>
        <w:tc>
          <w:tcPr>
            <w:tcW w:w="333" w:type="pct"/>
            <w:vAlign w:val="center"/>
          </w:tcPr>
          <w:p w14:paraId="6194CF22">
            <w:pPr>
              <w:pStyle w:val="33"/>
              <w:rPr>
                <w:color w:val="auto"/>
              </w:rPr>
            </w:pPr>
            <w:r>
              <w:rPr>
                <w:color w:val="auto"/>
              </w:rPr>
              <w:t>/</w:t>
            </w:r>
          </w:p>
        </w:tc>
        <w:tc>
          <w:tcPr>
            <w:tcW w:w="338" w:type="pct"/>
            <w:vAlign w:val="center"/>
          </w:tcPr>
          <w:p w14:paraId="24DB40B1">
            <w:pPr>
              <w:pStyle w:val="33"/>
              <w:rPr>
                <w:color w:val="auto"/>
              </w:rPr>
            </w:pPr>
            <w:r>
              <w:rPr>
                <w:color w:val="auto"/>
              </w:rPr>
              <w:t>/</w:t>
            </w:r>
          </w:p>
        </w:tc>
      </w:tr>
      <w:tr w14:paraId="44ACB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BDABB38">
            <w:pPr>
              <w:pStyle w:val="33"/>
              <w:rPr>
                <w:color w:val="auto"/>
              </w:rPr>
            </w:pPr>
            <w:r>
              <w:rPr>
                <w:rFonts w:eastAsia="等线"/>
                <w:color w:val="auto"/>
              </w:rPr>
              <w:t>65</w:t>
            </w:r>
          </w:p>
        </w:tc>
        <w:tc>
          <w:tcPr>
            <w:tcW w:w="591" w:type="pct"/>
          </w:tcPr>
          <w:p w14:paraId="714D37F8">
            <w:pPr>
              <w:pStyle w:val="33"/>
              <w:rPr>
                <w:color w:val="auto"/>
              </w:rPr>
            </w:pPr>
            <w:r>
              <w:rPr>
                <w:color w:val="auto"/>
              </w:rPr>
              <w:t>/</w:t>
            </w:r>
          </w:p>
        </w:tc>
        <w:tc>
          <w:tcPr>
            <w:tcW w:w="333" w:type="pct"/>
          </w:tcPr>
          <w:p w14:paraId="3A692320">
            <w:pPr>
              <w:pStyle w:val="33"/>
              <w:rPr>
                <w:color w:val="auto"/>
              </w:rPr>
            </w:pPr>
            <w:r>
              <w:rPr>
                <w:color w:val="auto"/>
              </w:rPr>
              <w:t>/</w:t>
            </w:r>
          </w:p>
        </w:tc>
        <w:tc>
          <w:tcPr>
            <w:tcW w:w="333" w:type="pct"/>
          </w:tcPr>
          <w:p w14:paraId="6E754A2E">
            <w:pPr>
              <w:pStyle w:val="33"/>
              <w:rPr>
                <w:color w:val="auto"/>
              </w:rPr>
            </w:pPr>
            <w:r>
              <w:rPr>
                <w:color w:val="auto"/>
              </w:rPr>
              <w:t>/</w:t>
            </w:r>
          </w:p>
        </w:tc>
        <w:tc>
          <w:tcPr>
            <w:tcW w:w="376" w:type="pct"/>
          </w:tcPr>
          <w:p w14:paraId="24ABB276">
            <w:pPr>
              <w:pStyle w:val="33"/>
              <w:rPr>
                <w:color w:val="auto"/>
              </w:rPr>
            </w:pPr>
            <w:r>
              <w:rPr>
                <w:color w:val="auto"/>
              </w:rPr>
              <w:t>/</w:t>
            </w:r>
          </w:p>
        </w:tc>
        <w:tc>
          <w:tcPr>
            <w:tcW w:w="359" w:type="pct"/>
            <w:vAlign w:val="center"/>
          </w:tcPr>
          <w:p w14:paraId="69EA1422">
            <w:pPr>
              <w:pStyle w:val="33"/>
              <w:rPr>
                <w:color w:val="auto"/>
              </w:rPr>
            </w:pPr>
            <w:r>
              <w:rPr>
                <w:color w:val="auto"/>
              </w:rPr>
              <w:t>/</w:t>
            </w:r>
          </w:p>
        </w:tc>
        <w:tc>
          <w:tcPr>
            <w:tcW w:w="359" w:type="pct"/>
            <w:vAlign w:val="center"/>
          </w:tcPr>
          <w:p w14:paraId="54135031">
            <w:pPr>
              <w:pStyle w:val="33"/>
              <w:rPr>
                <w:color w:val="auto"/>
              </w:rPr>
            </w:pPr>
            <w:r>
              <w:rPr>
                <w:color w:val="auto"/>
              </w:rPr>
              <w:t>/</w:t>
            </w:r>
          </w:p>
        </w:tc>
        <w:tc>
          <w:tcPr>
            <w:tcW w:w="330" w:type="pct"/>
            <w:vAlign w:val="center"/>
          </w:tcPr>
          <w:p w14:paraId="03F83A9A">
            <w:pPr>
              <w:pStyle w:val="33"/>
              <w:rPr>
                <w:color w:val="auto"/>
              </w:rPr>
            </w:pPr>
            <w:r>
              <w:rPr>
                <w:color w:val="auto"/>
              </w:rPr>
              <w:t>/</w:t>
            </w:r>
          </w:p>
        </w:tc>
        <w:tc>
          <w:tcPr>
            <w:tcW w:w="333" w:type="pct"/>
            <w:vAlign w:val="center"/>
          </w:tcPr>
          <w:p w14:paraId="64ECCE68">
            <w:pPr>
              <w:pStyle w:val="33"/>
              <w:rPr>
                <w:color w:val="auto"/>
              </w:rPr>
            </w:pPr>
            <w:r>
              <w:rPr>
                <w:color w:val="auto"/>
              </w:rPr>
              <w:t>/</w:t>
            </w:r>
          </w:p>
        </w:tc>
        <w:tc>
          <w:tcPr>
            <w:tcW w:w="333" w:type="pct"/>
            <w:vAlign w:val="center"/>
          </w:tcPr>
          <w:p w14:paraId="6BB748EA">
            <w:pPr>
              <w:pStyle w:val="33"/>
              <w:rPr>
                <w:color w:val="auto"/>
              </w:rPr>
            </w:pPr>
            <w:r>
              <w:rPr>
                <w:color w:val="auto"/>
              </w:rPr>
              <w:t>/</w:t>
            </w:r>
          </w:p>
        </w:tc>
        <w:tc>
          <w:tcPr>
            <w:tcW w:w="333" w:type="pct"/>
            <w:vAlign w:val="center"/>
          </w:tcPr>
          <w:p w14:paraId="717530BE">
            <w:pPr>
              <w:pStyle w:val="33"/>
              <w:rPr>
                <w:color w:val="auto"/>
              </w:rPr>
            </w:pPr>
            <w:r>
              <w:rPr>
                <w:color w:val="auto"/>
              </w:rPr>
              <w:t>0.1547</w:t>
            </w:r>
          </w:p>
        </w:tc>
        <w:tc>
          <w:tcPr>
            <w:tcW w:w="397" w:type="pct"/>
            <w:vAlign w:val="center"/>
          </w:tcPr>
          <w:p w14:paraId="37DBCD0E">
            <w:pPr>
              <w:pStyle w:val="33"/>
              <w:rPr>
                <w:color w:val="auto"/>
              </w:rPr>
            </w:pPr>
            <w:r>
              <w:rPr>
                <w:color w:val="auto"/>
              </w:rPr>
              <w:t>0.0248</w:t>
            </w:r>
          </w:p>
        </w:tc>
        <w:tc>
          <w:tcPr>
            <w:tcW w:w="333" w:type="pct"/>
            <w:vAlign w:val="center"/>
          </w:tcPr>
          <w:p w14:paraId="06565873">
            <w:pPr>
              <w:pStyle w:val="33"/>
              <w:rPr>
                <w:color w:val="auto"/>
              </w:rPr>
            </w:pPr>
            <w:r>
              <w:rPr>
                <w:color w:val="auto"/>
              </w:rPr>
              <w:t>/</w:t>
            </w:r>
          </w:p>
        </w:tc>
        <w:tc>
          <w:tcPr>
            <w:tcW w:w="338" w:type="pct"/>
            <w:vAlign w:val="center"/>
          </w:tcPr>
          <w:p w14:paraId="398BD665">
            <w:pPr>
              <w:pStyle w:val="33"/>
              <w:rPr>
                <w:color w:val="auto"/>
              </w:rPr>
            </w:pPr>
            <w:r>
              <w:rPr>
                <w:color w:val="auto"/>
              </w:rPr>
              <w:t>/</w:t>
            </w:r>
          </w:p>
        </w:tc>
      </w:tr>
      <w:tr w14:paraId="4C8DA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1040A83">
            <w:pPr>
              <w:pStyle w:val="33"/>
              <w:rPr>
                <w:color w:val="auto"/>
              </w:rPr>
            </w:pPr>
            <w:r>
              <w:rPr>
                <w:rFonts w:eastAsia="等线"/>
                <w:color w:val="auto"/>
              </w:rPr>
              <w:t>66</w:t>
            </w:r>
          </w:p>
        </w:tc>
        <w:tc>
          <w:tcPr>
            <w:tcW w:w="591" w:type="pct"/>
          </w:tcPr>
          <w:p w14:paraId="03140A40">
            <w:pPr>
              <w:pStyle w:val="33"/>
              <w:rPr>
                <w:color w:val="auto"/>
              </w:rPr>
            </w:pPr>
            <w:r>
              <w:rPr>
                <w:color w:val="auto"/>
              </w:rPr>
              <w:t>G9-1</w:t>
            </w:r>
          </w:p>
        </w:tc>
        <w:tc>
          <w:tcPr>
            <w:tcW w:w="333" w:type="pct"/>
          </w:tcPr>
          <w:p w14:paraId="32D9F7BE">
            <w:pPr>
              <w:pStyle w:val="33"/>
              <w:rPr>
                <w:color w:val="auto"/>
              </w:rPr>
            </w:pPr>
            <w:r>
              <w:rPr>
                <w:color w:val="auto"/>
              </w:rPr>
              <w:t>150</w:t>
            </w:r>
          </w:p>
        </w:tc>
        <w:tc>
          <w:tcPr>
            <w:tcW w:w="333" w:type="pct"/>
          </w:tcPr>
          <w:p w14:paraId="6F01FA3B">
            <w:pPr>
              <w:pStyle w:val="33"/>
              <w:rPr>
                <w:color w:val="auto"/>
              </w:rPr>
            </w:pPr>
            <w:r>
              <w:rPr>
                <w:color w:val="auto"/>
              </w:rPr>
              <w:t>1.8</w:t>
            </w:r>
          </w:p>
        </w:tc>
        <w:tc>
          <w:tcPr>
            <w:tcW w:w="376" w:type="pct"/>
          </w:tcPr>
          <w:p w14:paraId="39E9A1D8">
            <w:pPr>
              <w:pStyle w:val="33"/>
              <w:rPr>
                <w:color w:val="auto"/>
              </w:rPr>
            </w:pPr>
            <w:r>
              <w:rPr>
                <w:color w:val="auto"/>
              </w:rPr>
              <w:t>100800</w:t>
            </w:r>
          </w:p>
        </w:tc>
        <w:tc>
          <w:tcPr>
            <w:tcW w:w="359" w:type="pct"/>
            <w:vAlign w:val="center"/>
          </w:tcPr>
          <w:p w14:paraId="52F2B169">
            <w:pPr>
              <w:pStyle w:val="33"/>
              <w:rPr>
                <w:color w:val="auto"/>
              </w:rPr>
            </w:pPr>
            <w:r>
              <w:rPr>
                <w:color w:val="auto"/>
              </w:rPr>
              <w:t>7.9468</w:t>
            </w:r>
          </w:p>
        </w:tc>
        <w:tc>
          <w:tcPr>
            <w:tcW w:w="359" w:type="pct"/>
            <w:vAlign w:val="center"/>
          </w:tcPr>
          <w:p w14:paraId="438CF019">
            <w:pPr>
              <w:pStyle w:val="33"/>
              <w:rPr>
                <w:color w:val="auto"/>
              </w:rPr>
            </w:pPr>
            <w:r>
              <w:rPr>
                <w:color w:val="auto"/>
              </w:rPr>
              <w:t>4.9896</w:t>
            </w:r>
          </w:p>
        </w:tc>
        <w:tc>
          <w:tcPr>
            <w:tcW w:w="330" w:type="pct"/>
            <w:vAlign w:val="center"/>
          </w:tcPr>
          <w:p w14:paraId="10E3B897">
            <w:pPr>
              <w:pStyle w:val="33"/>
              <w:rPr>
                <w:color w:val="auto"/>
              </w:rPr>
            </w:pPr>
            <w:r>
              <w:rPr>
                <w:color w:val="auto"/>
              </w:rPr>
              <w:t>0.4225</w:t>
            </w:r>
          </w:p>
        </w:tc>
        <w:tc>
          <w:tcPr>
            <w:tcW w:w="333" w:type="pct"/>
            <w:vAlign w:val="center"/>
          </w:tcPr>
          <w:p w14:paraId="0B2D339A">
            <w:pPr>
              <w:pStyle w:val="33"/>
              <w:rPr>
                <w:color w:val="auto"/>
              </w:rPr>
            </w:pPr>
            <w:r>
              <w:rPr>
                <w:color w:val="auto"/>
              </w:rPr>
              <w:t>0.2958</w:t>
            </w:r>
          </w:p>
        </w:tc>
        <w:tc>
          <w:tcPr>
            <w:tcW w:w="333" w:type="pct"/>
            <w:vAlign w:val="center"/>
          </w:tcPr>
          <w:p w14:paraId="60215E01">
            <w:pPr>
              <w:pStyle w:val="33"/>
              <w:rPr>
                <w:color w:val="auto"/>
              </w:rPr>
            </w:pPr>
            <w:r>
              <w:rPr>
                <w:color w:val="auto"/>
              </w:rPr>
              <w:t xml:space="preserve">3.0844 </w:t>
            </w:r>
          </w:p>
        </w:tc>
        <w:tc>
          <w:tcPr>
            <w:tcW w:w="333" w:type="pct"/>
            <w:vAlign w:val="center"/>
          </w:tcPr>
          <w:p w14:paraId="7B203C01">
            <w:pPr>
              <w:pStyle w:val="33"/>
              <w:rPr>
                <w:color w:val="auto"/>
              </w:rPr>
            </w:pPr>
            <w:r>
              <w:rPr>
                <w:color w:val="auto"/>
              </w:rPr>
              <w:t>/</w:t>
            </w:r>
          </w:p>
        </w:tc>
        <w:tc>
          <w:tcPr>
            <w:tcW w:w="397" w:type="pct"/>
            <w:vAlign w:val="center"/>
          </w:tcPr>
          <w:p w14:paraId="1EAAE4EE">
            <w:pPr>
              <w:pStyle w:val="33"/>
              <w:rPr>
                <w:color w:val="auto"/>
              </w:rPr>
            </w:pPr>
            <w:r>
              <w:rPr>
                <w:color w:val="auto"/>
              </w:rPr>
              <w:t>/</w:t>
            </w:r>
          </w:p>
        </w:tc>
        <w:tc>
          <w:tcPr>
            <w:tcW w:w="333" w:type="pct"/>
            <w:vAlign w:val="center"/>
          </w:tcPr>
          <w:p w14:paraId="1D1D4DF6">
            <w:pPr>
              <w:pStyle w:val="33"/>
              <w:rPr>
                <w:color w:val="auto"/>
              </w:rPr>
            </w:pPr>
            <w:r>
              <w:rPr>
                <w:color w:val="auto"/>
              </w:rPr>
              <w:t>/</w:t>
            </w:r>
          </w:p>
        </w:tc>
        <w:tc>
          <w:tcPr>
            <w:tcW w:w="338" w:type="pct"/>
            <w:vAlign w:val="center"/>
          </w:tcPr>
          <w:p w14:paraId="0844A57F">
            <w:pPr>
              <w:pStyle w:val="33"/>
              <w:rPr>
                <w:color w:val="auto"/>
              </w:rPr>
            </w:pPr>
            <w:r>
              <w:rPr>
                <w:color w:val="auto"/>
              </w:rPr>
              <w:t>/</w:t>
            </w:r>
          </w:p>
        </w:tc>
      </w:tr>
      <w:tr w14:paraId="1D453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10FE11F">
            <w:pPr>
              <w:pStyle w:val="33"/>
              <w:rPr>
                <w:color w:val="auto"/>
              </w:rPr>
            </w:pPr>
            <w:r>
              <w:rPr>
                <w:rFonts w:eastAsia="等线"/>
                <w:color w:val="auto"/>
              </w:rPr>
              <w:t>67</w:t>
            </w:r>
          </w:p>
        </w:tc>
        <w:tc>
          <w:tcPr>
            <w:tcW w:w="591" w:type="pct"/>
          </w:tcPr>
          <w:p w14:paraId="093C47A5">
            <w:pPr>
              <w:pStyle w:val="33"/>
              <w:rPr>
                <w:color w:val="auto"/>
              </w:rPr>
            </w:pPr>
            <w:r>
              <w:rPr>
                <w:color w:val="auto"/>
              </w:rPr>
              <w:t>/</w:t>
            </w:r>
          </w:p>
        </w:tc>
        <w:tc>
          <w:tcPr>
            <w:tcW w:w="333" w:type="pct"/>
          </w:tcPr>
          <w:p w14:paraId="68952F46">
            <w:pPr>
              <w:pStyle w:val="33"/>
              <w:rPr>
                <w:color w:val="auto"/>
              </w:rPr>
            </w:pPr>
            <w:r>
              <w:rPr>
                <w:color w:val="auto"/>
              </w:rPr>
              <w:t>/</w:t>
            </w:r>
          </w:p>
        </w:tc>
        <w:tc>
          <w:tcPr>
            <w:tcW w:w="333" w:type="pct"/>
          </w:tcPr>
          <w:p w14:paraId="3E438252">
            <w:pPr>
              <w:pStyle w:val="33"/>
              <w:rPr>
                <w:color w:val="auto"/>
              </w:rPr>
            </w:pPr>
            <w:r>
              <w:rPr>
                <w:color w:val="auto"/>
              </w:rPr>
              <w:t>/</w:t>
            </w:r>
          </w:p>
        </w:tc>
        <w:tc>
          <w:tcPr>
            <w:tcW w:w="376" w:type="pct"/>
          </w:tcPr>
          <w:p w14:paraId="3EEB613A">
            <w:pPr>
              <w:pStyle w:val="33"/>
              <w:rPr>
                <w:color w:val="auto"/>
              </w:rPr>
            </w:pPr>
            <w:r>
              <w:rPr>
                <w:color w:val="auto"/>
              </w:rPr>
              <w:t>/</w:t>
            </w:r>
          </w:p>
        </w:tc>
        <w:tc>
          <w:tcPr>
            <w:tcW w:w="359" w:type="pct"/>
            <w:vAlign w:val="center"/>
          </w:tcPr>
          <w:p w14:paraId="66FDB4F3">
            <w:pPr>
              <w:pStyle w:val="33"/>
              <w:rPr>
                <w:color w:val="auto"/>
              </w:rPr>
            </w:pPr>
            <w:r>
              <w:rPr>
                <w:color w:val="auto"/>
              </w:rPr>
              <w:t>198.6710</w:t>
            </w:r>
          </w:p>
        </w:tc>
        <w:tc>
          <w:tcPr>
            <w:tcW w:w="359" w:type="pct"/>
            <w:vAlign w:val="center"/>
          </w:tcPr>
          <w:p w14:paraId="2E13C80A">
            <w:pPr>
              <w:pStyle w:val="33"/>
              <w:rPr>
                <w:color w:val="auto"/>
              </w:rPr>
            </w:pPr>
            <w:r>
              <w:rPr>
                <w:color w:val="auto"/>
              </w:rPr>
              <w:t>/</w:t>
            </w:r>
          </w:p>
        </w:tc>
        <w:tc>
          <w:tcPr>
            <w:tcW w:w="330" w:type="pct"/>
            <w:vAlign w:val="center"/>
          </w:tcPr>
          <w:p w14:paraId="47EDE17A">
            <w:pPr>
              <w:pStyle w:val="33"/>
              <w:rPr>
                <w:color w:val="auto"/>
              </w:rPr>
            </w:pPr>
            <w:r>
              <w:rPr>
                <w:color w:val="auto"/>
              </w:rPr>
              <w:t>/</w:t>
            </w:r>
          </w:p>
        </w:tc>
        <w:tc>
          <w:tcPr>
            <w:tcW w:w="333" w:type="pct"/>
            <w:vAlign w:val="center"/>
          </w:tcPr>
          <w:p w14:paraId="0BEFE7DB">
            <w:pPr>
              <w:pStyle w:val="33"/>
              <w:rPr>
                <w:color w:val="auto"/>
              </w:rPr>
            </w:pPr>
            <w:r>
              <w:rPr>
                <w:color w:val="auto"/>
              </w:rPr>
              <w:t>/</w:t>
            </w:r>
          </w:p>
        </w:tc>
        <w:tc>
          <w:tcPr>
            <w:tcW w:w="333" w:type="pct"/>
            <w:vAlign w:val="center"/>
          </w:tcPr>
          <w:p w14:paraId="0D9E6A91">
            <w:pPr>
              <w:pStyle w:val="33"/>
              <w:rPr>
                <w:color w:val="auto"/>
              </w:rPr>
            </w:pPr>
            <w:r>
              <w:rPr>
                <w:color w:val="auto"/>
              </w:rPr>
              <w:t>/</w:t>
            </w:r>
          </w:p>
        </w:tc>
        <w:tc>
          <w:tcPr>
            <w:tcW w:w="333" w:type="pct"/>
            <w:vAlign w:val="center"/>
          </w:tcPr>
          <w:p w14:paraId="116B0463">
            <w:pPr>
              <w:pStyle w:val="33"/>
              <w:rPr>
                <w:color w:val="auto"/>
              </w:rPr>
            </w:pPr>
            <w:r>
              <w:rPr>
                <w:color w:val="auto"/>
              </w:rPr>
              <w:t>/</w:t>
            </w:r>
          </w:p>
        </w:tc>
        <w:tc>
          <w:tcPr>
            <w:tcW w:w="397" w:type="pct"/>
            <w:vAlign w:val="center"/>
          </w:tcPr>
          <w:p w14:paraId="5193F6EC">
            <w:pPr>
              <w:pStyle w:val="33"/>
              <w:rPr>
                <w:color w:val="auto"/>
              </w:rPr>
            </w:pPr>
            <w:r>
              <w:rPr>
                <w:color w:val="auto"/>
              </w:rPr>
              <w:t>/</w:t>
            </w:r>
          </w:p>
        </w:tc>
        <w:tc>
          <w:tcPr>
            <w:tcW w:w="333" w:type="pct"/>
            <w:vAlign w:val="center"/>
          </w:tcPr>
          <w:p w14:paraId="347494FA">
            <w:pPr>
              <w:pStyle w:val="33"/>
              <w:rPr>
                <w:color w:val="auto"/>
              </w:rPr>
            </w:pPr>
            <w:r>
              <w:rPr>
                <w:color w:val="auto"/>
              </w:rPr>
              <w:t>/</w:t>
            </w:r>
          </w:p>
        </w:tc>
        <w:tc>
          <w:tcPr>
            <w:tcW w:w="338" w:type="pct"/>
            <w:vAlign w:val="center"/>
          </w:tcPr>
          <w:p w14:paraId="7783FB1B">
            <w:pPr>
              <w:pStyle w:val="33"/>
              <w:rPr>
                <w:color w:val="auto"/>
              </w:rPr>
            </w:pPr>
            <w:r>
              <w:rPr>
                <w:color w:val="auto"/>
              </w:rPr>
              <w:t>/</w:t>
            </w:r>
          </w:p>
        </w:tc>
      </w:tr>
      <w:tr w14:paraId="03738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3157DEE">
            <w:pPr>
              <w:pStyle w:val="33"/>
              <w:rPr>
                <w:color w:val="auto"/>
              </w:rPr>
            </w:pPr>
            <w:r>
              <w:rPr>
                <w:rFonts w:eastAsia="等线"/>
                <w:color w:val="auto"/>
              </w:rPr>
              <w:t>68</w:t>
            </w:r>
          </w:p>
        </w:tc>
        <w:tc>
          <w:tcPr>
            <w:tcW w:w="591" w:type="pct"/>
          </w:tcPr>
          <w:p w14:paraId="6A8CB5A0">
            <w:pPr>
              <w:pStyle w:val="33"/>
              <w:rPr>
                <w:color w:val="auto"/>
              </w:rPr>
            </w:pPr>
            <w:r>
              <w:rPr>
                <w:color w:val="auto"/>
              </w:rPr>
              <w:t>G9-2</w:t>
            </w:r>
          </w:p>
        </w:tc>
        <w:tc>
          <w:tcPr>
            <w:tcW w:w="333" w:type="pct"/>
          </w:tcPr>
          <w:p w14:paraId="3320B4BD">
            <w:pPr>
              <w:pStyle w:val="33"/>
              <w:rPr>
                <w:color w:val="auto"/>
              </w:rPr>
            </w:pPr>
            <w:r>
              <w:rPr>
                <w:color w:val="auto"/>
              </w:rPr>
              <w:t>15</w:t>
            </w:r>
          </w:p>
        </w:tc>
        <w:tc>
          <w:tcPr>
            <w:tcW w:w="333" w:type="pct"/>
          </w:tcPr>
          <w:p w14:paraId="08C27993">
            <w:pPr>
              <w:pStyle w:val="33"/>
              <w:rPr>
                <w:color w:val="auto"/>
              </w:rPr>
            </w:pPr>
            <w:r>
              <w:rPr>
                <w:color w:val="auto"/>
              </w:rPr>
              <w:t>0.6</w:t>
            </w:r>
          </w:p>
        </w:tc>
        <w:tc>
          <w:tcPr>
            <w:tcW w:w="376" w:type="pct"/>
          </w:tcPr>
          <w:p w14:paraId="27BEB7BF">
            <w:pPr>
              <w:pStyle w:val="33"/>
              <w:rPr>
                <w:color w:val="auto"/>
              </w:rPr>
            </w:pPr>
            <w:r>
              <w:rPr>
                <w:color w:val="auto"/>
              </w:rPr>
              <w:t>30000</w:t>
            </w:r>
          </w:p>
        </w:tc>
        <w:tc>
          <w:tcPr>
            <w:tcW w:w="359" w:type="pct"/>
            <w:vAlign w:val="center"/>
          </w:tcPr>
          <w:p w14:paraId="5A9BEED4">
            <w:pPr>
              <w:pStyle w:val="33"/>
              <w:rPr>
                <w:color w:val="auto"/>
              </w:rPr>
            </w:pPr>
            <w:r>
              <w:rPr>
                <w:color w:val="auto"/>
              </w:rPr>
              <w:t>/</w:t>
            </w:r>
          </w:p>
        </w:tc>
        <w:tc>
          <w:tcPr>
            <w:tcW w:w="359" w:type="pct"/>
            <w:vAlign w:val="center"/>
          </w:tcPr>
          <w:p w14:paraId="2B26300E">
            <w:pPr>
              <w:pStyle w:val="33"/>
              <w:rPr>
                <w:color w:val="auto"/>
              </w:rPr>
            </w:pPr>
            <w:r>
              <w:rPr>
                <w:color w:val="auto"/>
              </w:rPr>
              <w:t>/</w:t>
            </w:r>
          </w:p>
        </w:tc>
        <w:tc>
          <w:tcPr>
            <w:tcW w:w="330" w:type="pct"/>
            <w:vAlign w:val="center"/>
          </w:tcPr>
          <w:p w14:paraId="730E5848">
            <w:pPr>
              <w:pStyle w:val="33"/>
              <w:rPr>
                <w:color w:val="auto"/>
              </w:rPr>
            </w:pPr>
            <w:r>
              <w:rPr>
                <w:color w:val="auto"/>
              </w:rPr>
              <w:t xml:space="preserve">0.1404 </w:t>
            </w:r>
          </w:p>
        </w:tc>
        <w:tc>
          <w:tcPr>
            <w:tcW w:w="333" w:type="pct"/>
            <w:vAlign w:val="center"/>
          </w:tcPr>
          <w:p w14:paraId="085DC223">
            <w:pPr>
              <w:pStyle w:val="33"/>
              <w:rPr>
                <w:color w:val="auto"/>
              </w:rPr>
            </w:pPr>
            <w:r>
              <w:rPr>
                <w:color w:val="auto"/>
              </w:rPr>
              <w:t xml:space="preserve">0.0983 </w:t>
            </w:r>
          </w:p>
        </w:tc>
        <w:tc>
          <w:tcPr>
            <w:tcW w:w="333" w:type="pct"/>
            <w:vAlign w:val="center"/>
          </w:tcPr>
          <w:p w14:paraId="0FED757C">
            <w:pPr>
              <w:pStyle w:val="33"/>
              <w:rPr>
                <w:color w:val="auto"/>
              </w:rPr>
            </w:pPr>
            <w:r>
              <w:rPr>
                <w:color w:val="auto"/>
              </w:rPr>
              <w:t>/</w:t>
            </w:r>
          </w:p>
        </w:tc>
        <w:tc>
          <w:tcPr>
            <w:tcW w:w="333" w:type="pct"/>
            <w:vAlign w:val="center"/>
          </w:tcPr>
          <w:p w14:paraId="23C0D570">
            <w:pPr>
              <w:pStyle w:val="33"/>
              <w:rPr>
                <w:color w:val="auto"/>
              </w:rPr>
            </w:pPr>
            <w:r>
              <w:rPr>
                <w:color w:val="auto"/>
              </w:rPr>
              <w:t>/</w:t>
            </w:r>
          </w:p>
        </w:tc>
        <w:tc>
          <w:tcPr>
            <w:tcW w:w="397" w:type="pct"/>
            <w:vAlign w:val="center"/>
          </w:tcPr>
          <w:p w14:paraId="37C8F6CA">
            <w:pPr>
              <w:pStyle w:val="33"/>
              <w:rPr>
                <w:color w:val="auto"/>
              </w:rPr>
            </w:pPr>
            <w:r>
              <w:rPr>
                <w:color w:val="auto"/>
              </w:rPr>
              <w:t>/</w:t>
            </w:r>
          </w:p>
        </w:tc>
        <w:tc>
          <w:tcPr>
            <w:tcW w:w="333" w:type="pct"/>
            <w:vAlign w:val="center"/>
          </w:tcPr>
          <w:p w14:paraId="33B079B4">
            <w:pPr>
              <w:pStyle w:val="33"/>
              <w:rPr>
                <w:color w:val="auto"/>
              </w:rPr>
            </w:pPr>
            <w:r>
              <w:rPr>
                <w:color w:val="auto"/>
              </w:rPr>
              <w:t>/</w:t>
            </w:r>
          </w:p>
        </w:tc>
        <w:tc>
          <w:tcPr>
            <w:tcW w:w="338" w:type="pct"/>
            <w:vAlign w:val="center"/>
          </w:tcPr>
          <w:p w14:paraId="1439AB76">
            <w:pPr>
              <w:pStyle w:val="33"/>
              <w:rPr>
                <w:color w:val="auto"/>
              </w:rPr>
            </w:pPr>
            <w:r>
              <w:rPr>
                <w:color w:val="auto"/>
              </w:rPr>
              <w:t>/</w:t>
            </w:r>
          </w:p>
        </w:tc>
      </w:tr>
      <w:tr w14:paraId="7060E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16C7C30">
            <w:pPr>
              <w:pStyle w:val="33"/>
              <w:rPr>
                <w:color w:val="auto"/>
              </w:rPr>
            </w:pPr>
            <w:r>
              <w:rPr>
                <w:rFonts w:eastAsia="等线"/>
                <w:color w:val="auto"/>
              </w:rPr>
              <w:t>69</w:t>
            </w:r>
          </w:p>
        </w:tc>
        <w:tc>
          <w:tcPr>
            <w:tcW w:w="591" w:type="pct"/>
          </w:tcPr>
          <w:p w14:paraId="39E4EEE4">
            <w:pPr>
              <w:pStyle w:val="33"/>
              <w:rPr>
                <w:color w:val="auto"/>
              </w:rPr>
            </w:pPr>
            <w:r>
              <w:rPr>
                <w:color w:val="auto"/>
              </w:rPr>
              <w:t>G9-3</w:t>
            </w:r>
          </w:p>
        </w:tc>
        <w:tc>
          <w:tcPr>
            <w:tcW w:w="333" w:type="pct"/>
          </w:tcPr>
          <w:p w14:paraId="1EAD762D">
            <w:pPr>
              <w:pStyle w:val="33"/>
              <w:rPr>
                <w:color w:val="auto"/>
              </w:rPr>
            </w:pPr>
            <w:r>
              <w:rPr>
                <w:color w:val="auto"/>
              </w:rPr>
              <w:t>15</w:t>
            </w:r>
          </w:p>
        </w:tc>
        <w:tc>
          <w:tcPr>
            <w:tcW w:w="333" w:type="pct"/>
          </w:tcPr>
          <w:p w14:paraId="7F9B5703">
            <w:pPr>
              <w:pStyle w:val="33"/>
              <w:rPr>
                <w:color w:val="auto"/>
              </w:rPr>
            </w:pPr>
            <w:r>
              <w:rPr>
                <w:color w:val="auto"/>
              </w:rPr>
              <w:t>0.4</w:t>
            </w:r>
          </w:p>
        </w:tc>
        <w:tc>
          <w:tcPr>
            <w:tcW w:w="376" w:type="pct"/>
          </w:tcPr>
          <w:p w14:paraId="056616EA">
            <w:pPr>
              <w:pStyle w:val="33"/>
              <w:rPr>
                <w:color w:val="auto"/>
              </w:rPr>
            </w:pPr>
            <w:r>
              <w:rPr>
                <w:color w:val="auto"/>
              </w:rPr>
              <w:t>3000</w:t>
            </w:r>
          </w:p>
        </w:tc>
        <w:tc>
          <w:tcPr>
            <w:tcW w:w="359" w:type="pct"/>
            <w:vAlign w:val="center"/>
          </w:tcPr>
          <w:p w14:paraId="3889B632">
            <w:pPr>
              <w:pStyle w:val="33"/>
              <w:rPr>
                <w:color w:val="auto"/>
              </w:rPr>
            </w:pPr>
            <w:r>
              <w:rPr>
                <w:color w:val="auto"/>
              </w:rPr>
              <w:t>/</w:t>
            </w:r>
          </w:p>
        </w:tc>
        <w:tc>
          <w:tcPr>
            <w:tcW w:w="359" w:type="pct"/>
            <w:vAlign w:val="center"/>
          </w:tcPr>
          <w:p w14:paraId="161F75EE">
            <w:pPr>
              <w:pStyle w:val="33"/>
              <w:rPr>
                <w:color w:val="auto"/>
              </w:rPr>
            </w:pPr>
            <w:r>
              <w:rPr>
                <w:color w:val="auto"/>
              </w:rPr>
              <w:t>/</w:t>
            </w:r>
          </w:p>
        </w:tc>
        <w:tc>
          <w:tcPr>
            <w:tcW w:w="330" w:type="pct"/>
            <w:vAlign w:val="center"/>
          </w:tcPr>
          <w:p w14:paraId="4FFBF62A">
            <w:pPr>
              <w:pStyle w:val="33"/>
              <w:rPr>
                <w:color w:val="auto"/>
              </w:rPr>
            </w:pPr>
            <w:r>
              <w:rPr>
                <w:color w:val="auto"/>
              </w:rPr>
              <w:t xml:space="preserve">0.0004 </w:t>
            </w:r>
          </w:p>
        </w:tc>
        <w:tc>
          <w:tcPr>
            <w:tcW w:w="333" w:type="pct"/>
            <w:vAlign w:val="center"/>
          </w:tcPr>
          <w:p w14:paraId="101F86C6">
            <w:pPr>
              <w:pStyle w:val="33"/>
              <w:rPr>
                <w:color w:val="auto"/>
              </w:rPr>
            </w:pPr>
            <w:r>
              <w:rPr>
                <w:color w:val="auto"/>
              </w:rPr>
              <w:t xml:space="preserve">0.0003 </w:t>
            </w:r>
          </w:p>
        </w:tc>
        <w:tc>
          <w:tcPr>
            <w:tcW w:w="333" w:type="pct"/>
            <w:vAlign w:val="center"/>
          </w:tcPr>
          <w:p w14:paraId="2482016B">
            <w:pPr>
              <w:pStyle w:val="33"/>
              <w:rPr>
                <w:color w:val="auto"/>
              </w:rPr>
            </w:pPr>
            <w:r>
              <w:rPr>
                <w:color w:val="auto"/>
              </w:rPr>
              <w:t>/</w:t>
            </w:r>
          </w:p>
        </w:tc>
        <w:tc>
          <w:tcPr>
            <w:tcW w:w="333" w:type="pct"/>
            <w:vAlign w:val="center"/>
          </w:tcPr>
          <w:p w14:paraId="2A7D3526">
            <w:pPr>
              <w:pStyle w:val="33"/>
              <w:rPr>
                <w:color w:val="auto"/>
              </w:rPr>
            </w:pPr>
            <w:r>
              <w:rPr>
                <w:color w:val="auto"/>
              </w:rPr>
              <w:t>/</w:t>
            </w:r>
          </w:p>
        </w:tc>
        <w:tc>
          <w:tcPr>
            <w:tcW w:w="397" w:type="pct"/>
            <w:vAlign w:val="center"/>
          </w:tcPr>
          <w:p w14:paraId="206CAD07">
            <w:pPr>
              <w:pStyle w:val="33"/>
              <w:rPr>
                <w:color w:val="auto"/>
              </w:rPr>
            </w:pPr>
            <w:r>
              <w:rPr>
                <w:color w:val="auto"/>
              </w:rPr>
              <w:t>/</w:t>
            </w:r>
          </w:p>
        </w:tc>
        <w:tc>
          <w:tcPr>
            <w:tcW w:w="333" w:type="pct"/>
            <w:vAlign w:val="center"/>
          </w:tcPr>
          <w:p w14:paraId="04369E31">
            <w:pPr>
              <w:pStyle w:val="33"/>
              <w:rPr>
                <w:color w:val="auto"/>
              </w:rPr>
            </w:pPr>
            <w:r>
              <w:rPr>
                <w:color w:val="auto"/>
              </w:rPr>
              <w:t>/</w:t>
            </w:r>
          </w:p>
        </w:tc>
        <w:tc>
          <w:tcPr>
            <w:tcW w:w="338" w:type="pct"/>
            <w:vAlign w:val="center"/>
          </w:tcPr>
          <w:p w14:paraId="3E5F7D91">
            <w:pPr>
              <w:pStyle w:val="33"/>
              <w:rPr>
                <w:color w:val="auto"/>
              </w:rPr>
            </w:pPr>
            <w:r>
              <w:rPr>
                <w:color w:val="auto"/>
              </w:rPr>
              <w:t>/</w:t>
            </w:r>
          </w:p>
        </w:tc>
      </w:tr>
      <w:tr w14:paraId="6CF2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517ABEB0">
            <w:pPr>
              <w:pStyle w:val="33"/>
              <w:rPr>
                <w:color w:val="auto"/>
              </w:rPr>
            </w:pPr>
            <w:r>
              <w:rPr>
                <w:rFonts w:hint="eastAsia"/>
                <w:color w:val="auto"/>
              </w:rPr>
              <w:t>广西金桂浆纸业有限公司污水处理站绿色升级改造项目</w:t>
            </w:r>
          </w:p>
        </w:tc>
      </w:tr>
      <w:tr w14:paraId="440F5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640330D">
            <w:pPr>
              <w:pStyle w:val="33"/>
              <w:rPr>
                <w:rFonts w:eastAsia="等线"/>
                <w:color w:val="auto"/>
              </w:rPr>
            </w:pPr>
            <w:r>
              <w:rPr>
                <w:rFonts w:hint="eastAsia" w:eastAsia="等线"/>
                <w:color w:val="auto"/>
              </w:rPr>
              <w:t>70</w:t>
            </w:r>
          </w:p>
        </w:tc>
        <w:tc>
          <w:tcPr>
            <w:tcW w:w="591" w:type="pct"/>
            <w:vAlign w:val="center"/>
          </w:tcPr>
          <w:p w14:paraId="07F33E49">
            <w:pPr>
              <w:pStyle w:val="33"/>
              <w:rPr>
                <w:color w:val="auto"/>
              </w:rPr>
            </w:pPr>
            <w:r>
              <w:rPr>
                <w:rFonts w:hint="eastAsia"/>
                <w:color w:val="auto"/>
              </w:rPr>
              <w:t>污水处理站臭气排气筒</w:t>
            </w:r>
          </w:p>
        </w:tc>
        <w:tc>
          <w:tcPr>
            <w:tcW w:w="333" w:type="pct"/>
            <w:vAlign w:val="center"/>
          </w:tcPr>
          <w:p w14:paraId="19A931B7">
            <w:pPr>
              <w:pStyle w:val="33"/>
              <w:rPr>
                <w:rFonts w:eastAsia="等线"/>
                <w:color w:val="auto"/>
              </w:rPr>
            </w:pPr>
            <w:r>
              <w:rPr>
                <w:rFonts w:eastAsia="等线"/>
                <w:color w:val="auto"/>
              </w:rPr>
              <w:t>15</w:t>
            </w:r>
          </w:p>
        </w:tc>
        <w:tc>
          <w:tcPr>
            <w:tcW w:w="333" w:type="pct"/>
            <w:vAlign w:val="center"/>
          </w:tcPr>
          <w:p w14:paraId="0AE4FFFE">
            <w:pPr>
              <w:pStyle w:val="33"/>
              <w:rPr>
                <w:rFonts w:eastAsia="等线"/>
                <w:color w:val="auto"/>
              </w:rPr>
            </w:pPr>
            <w:r>
              <w:rPr>
                <w:rFonts w:eastAsia="等线"/>
                <w:color w:val="auto"/>
              </w:rPr>
              <w:t>0.6</w:t>
            </w:r>
          </w:p>
        </w:tc>
        <w:tc>
          <w:tcPr>
            <w:tcW w:w="376" w:type="pct"/>
            <w:vAlign w:val="center"/>
          </w:tcPr>
          <w:p w14:paraId="0E3D63D5">
            <w:pPr>
              <w:pStyle w:val="33"/>
              <w:rPr>
                <w:rFonts w:eastAsia="等线"/>
                <w:color w:val="auto"/>
              </w:rPr>
            </w:pPr>
            <w:r>
              <w:rPr>
                <w:rFonts w:hint="eastAsia" w:eastAsia="等线"/>
                <w:color w:val="auto"/>
              </w:rPr>
              <w:t>/</w:t>
            </w:r>
          </w:p>
        </w:tc>
        <w:tc>
          <w:tcPr>
            <w:tcW w:w="359" w:type="pct"/>
            <w:vAlign w:val="center"/>
          </w:tcPr>
          <w:p w14:paraId="642B8A77">
            <w:pPr>
              <w:pStyle w:val="33"/>
              <w:rPr>
                <w:rFonts w:eastAsia="等线"/>
                <w:color w:val="auto"/>
              </w:rPr>
            </w:pPr>
            <w:r>
              <w:rPr>
                <w:rFonts w:hint="eastAsia" w:eastAsia="等线"/>
                <w:color w:val="auto"/>
              </w:rPr>
              <w:t>/</w:t>
            </w:r>
          </w:p>
        </w:tc>
        <w:tc>
          <w:tcPr>
            <w:tcW w:w="359" w:type="pct"/>
            <w:vAlign w:val="center"/>
          </w:tcPr>
          <w:p w14:paraId="756BD7E3">
            <w:pPr>
              <w:pStyle w:val="33"/>
              <w:rPr>
                <w:rFonts w:eastAsia="等线"/>
                <w:color w:val="auto"/>
              </w:rPr>
            </w:pPr>
            <w:r>
              <w:rPr>
                <w:rFonts w:hint="eastAsia" w:eastAsia="等线"/>
                <w:color w:val="auto"/>
              </w:rPr>
              <w:t>/</w:t>
            </w:r>
          </w:p>
        </w:tc>
        <w:tc>
          <w:tcPr>
            <w:tcW w:w="330" w:type="pct"/>
            <w:vAlign w:val="center"/>
          </w:tcPr>
          <w:p w14:paraId="45460571">
            <w:pPr>
              <w:pStyle w:val="33"/>
              <w:rPr>
                <w:rFonts w:eastAsia="等线"/>
                <w:color w:val="auto"/>
              </w:rPr>
            </w:pPr>
            <w:r>
              <w:rPr>
                <w:rFonts w:hint="eastAsia" w:eastAsia="等线"/>
                <w:color w:val="auto"/>
              </w:rPr>
              <w:t>/</w:t>
            </w:r>
          </w:p>
        </w:tc>
        <w:tc>
          <w:tcPr>
            <w:tcW w:w="333" w:type="pct"/>
            <w:vAlign w:val="center"/>
          </w:tcPr>
          <w:p w14:paraId="2A4BA222">
            <w:pPr>
              <w:pStyle w:val="33"/>
              <w:rPr>
                <w:rFonts w:eastAsia="等线"/>
                <w:color w:val="auto"/>
              </w:rPr>
            </w:pPr>
            <w:r>
              <w:rPr>
                <w:rFonts w:hint="eastAsia" w:eastAsia="等线"/>
                <w:color w:val="auto"/>
              </w:rPr>
              <w:t>/</w:t>
            </w:r>
          </w:p>
        </w:tc>
        <w:tc>
          <w:tcPr>
            <w:tcW w:w="333" w:type="pct"/>
            <w:vAlign w:val="center"/>
          </w:tcPr>
          <w:p w14:paraId="3297C346">
            <w:pPr>
              <w:pStyle w:val="33"/>
              <w:rPr>
                <w:rFonts w:eastAsia="等线"/>
                <w:color w:val="auto"/>
              </w:rPr>
            </w:pPr>
            <w:r>
              <w:rPr>
                <w:rFonts w:hint="eastAsia" w:eastAsia="等线"/>
                <w:color w:val="auto"/>
              </w:rPr>
              <w:t>/</w:t>
            </w:r>
          </w:p>
        </w:tc>
        <w:tc>
          <w:tcPr>
            <w:tcW w:w="333" w:type="pct"/>
            <w:vAlign w:val="center"/>
          </w:tcPr>
          <w:p w14:paraId="032B34DE">
            <w:pPr>
              <w:pStyle w:val="33"/>
              <w:rPr>
                <w:rFonts w:eastAsia="等线"/>
                <w:color w:val="auto"/>
              </w:rPr>
            </w:pPr>
            <w:r>
              <w:rPr>
                <w:rFonts w:hint="eastAsia" w:eastAsia="等线"/>
                <w:color w:val="auto"/>
              </w:rPr>
              <w:t>0.14</w:t>
            </w:r>
          </w:p>
        </w:tc>
        <w:tc>
          <w:tcPr>
            <w:tcW w:w="397" w:type="pct"/>
            <w:vAlign w:val="center"/>
          </w:tcPr>
          <w:p w14:paraId="2B97D35C">
            <w:pPr>
              <w:pStyle w:val="33"/>
              <w:rPr>
                <w:rFonts w:eastAsia="等线"/>
                <w:color w:val="auto"/>
              </w:rPr>
            </w:pPr>
            <w:r>
              <w:rPr>
                <w:rFonts w:eastAsia="等线"/>
                <w:color w:val="auto"/>
              </w:rPr>
              <w:t>0.0</w:t>
            </w:r>
            <w:r>
              <w:rPr>
                <w:rFonts w:hint="eastAsia" w:eastAsia="等线"/>
                <w:color w:val="auto"/>
              </w:rPr>
              <w:t>16</w:t>
            </w:r>
          </w:p>
        </w:tc>
        <w:tc>
          <w:tcPr>
            <w:tcW w:w="333" w:type="pct"/>
            <w:vAlign w:val="center"/>
          </w:tcPr>
          <w:p w14:paraId="7A94386D">
            <w:pPr>
              <w:pStyle w:val="33"/>
              <w:rPr>
                <w:rFonts w:eastAsia="等线"/>
                <w:color w:val="auto"/>
              </w:rPr>
            </w:pPr>
            <w:r>
              <w:rPr>
                <w:rFonts w:hint="eastAsia" w:eastAsia="等线"/>
                <w:color w:val="auto"/>
              </w:rPr>
              <w:t>/</w:t>
            </w:r>
          </w:p>
        </w:tc>
        <w:tc>
          <w:tcPr>
            <w:tcW w:w="338" w:type="pct"/>
            <w:vAlign w:val="center"/>
          </w:tcPr>
          <w:p w14:paraId="2345B3CC">
            <w:pPr>
              <w:pStyle w:val="33"/>
              <w:rPr>
                <w:rFonts w:eastAsia="等线"/>
                <w:color w:val="auto"/>
              </w:rPr>
            </w:pPr>
            <w:r>
              <w:rPr>
                <w:rFonts w:hint="eastAsia" w:eastAsia="等线"/>
                <w:color w:val="auto"/>
              </w:rPr>
              <w:t>/</w:t>
            </w:r>
          </w:p>
        </w:tc>
      </w:tr>
      <w:tr w14:paraId="30CBD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BD152F5">
            <w:pPr>
              <w:pStyle w:val="33"/>
              <w:rPr>
                <w:rFonts w:eastAsia="等线"/>
                <w:color w:val="auto"/>
              </w:rPr>
            </w:pPr>
            <w:r>
              <w:rPr>
                <w:rFonts w:hint="eastAsia" w:eastAsia="等线"/>
                <w:color w:val="auto"/>
              </w:rPr>
              <w:t>71</w:t>
            </w:r>
          </w:p>
        </w:tc>
        <w:tc>
          <w:tcPr>
            <w:tcW w:w="591" w:type="pct"/>
            <w:vAlign w:val="center"/>
          </w:tcPr>
          <w:p w14:paraId="486842B7">
            <w:pPr>
              <w:pStyle w:val="33"/>
              <w:rPr>
                <w:color w:val="auto"/>
              </w:rPr>
            </w:pPr>
            <w:r>
              <w:rPr>
                <w:rFonts w:hint="eastAsia"/>
                <w:color w:val="auto"/>
              </w:rPr>
              <w:t>污泥处理排气筒</w:t>
            </w:r>
          </w:p>
        </w:tc>
        <w:tc>
          <w:tcPr>
            <w:tcW w:w="333" w:type="pct"/>
            <w:vAlign w:val="center"/>
          </w:tcPr>
          <w:p w14:paraId="62D44BC8">
            <w:pPr>
              <w:pStyle w:val="33"/>
              <w:rPr>
                <w:rFonts w:eastAsia="等线"/>
                <w:color w:val="auto"/>
              </w:rPr>
            </w:pPr>
            <w:r>
              <w:rPr>
                <w:rFonts w:eastAsia="等线"/>
                <w:color w:val="auto"/>
              </w:rPr>
              <w:t>15</w:t>
            </w:r>
          </w:p>
        </w:tc>
        <w:tc>
          <w:tcPr>
            <w:tcW w:w="333" w:type="pct"/>
            <w:vAlign w:val="center"/>
          </w:tcPr>
          <w:p w14:paraId="056C27AE">
            <w:pPr>
              <w:pStyle w:val="33"/>
              <w:rPr>
                <w:rFonts w:eastAsia="等线"/>
                <w:color w:val="auto"/>
              </w:rPr>
            </w:pPr>
            <w:r>
              <w:rPr>
                <w:rFonts w:eastAsia="等线"/>
                <w:color w:val="auto"/>
              </w:rPr>
              <w:t>1.2</w:t>
            </w:r>
          </w:p>
        </w:tc>
        <w:tc>
          <w:tcPr>
            <w:tcW w:w="376" w:type="pct"/>
            <w:vAlign w:val="center"/>
          </w:tcPr>
          <w:p w14:paraId="213AE088">
            <w:pPr>
              <w:pStyle w:val="33"/>
              <w:rPr>
                <w:rFonts w:eastAsia="等线"/>
                <w:color w:val="auto"/>
              </w:rPr>
            </w:pPr>
            <w:r>
              <w:rPr>
                <w:rFonts w:hint="eastAsia" w:eastAsia="等线"/>
                <w:color w:val="auto"/>
              </w:rPr>
              <w:t>/</w:t>
            </w:r>
          </w:p>
        </w:tc>
        <w:tc>
          <w:tcPr>
            <w:tcW w:w="359" w:type="pct"/>
            <w:vAlign w:val="center"/>
          </w:tcPr>
          <w:p w14:paraId="6AC47C39">
            <w:pPr>
              <w:pStyle w:val="33"/>
              <w:rPr>
                <w:rFonts w:eastAsia="等线"/>
                <w:color w:val="auto"/>
              </w:rPr>
            </w:pPr>
            <w:r>
              <w:rPr>
                <w:rFonts w:hint="eastAsia" w:eastAsia="等线"/>
                <w:color w:val="auto"/>
              </w:rPr>
              <w:t>/</w:t>
            </w:r>
          </w:p>
        </w:tc>
        <w:tc>
          <w:tcPr>
            <w:tcW w:w="359" w:type="pct"/>
            <w:vAlign w:val="center"/>
          </w:tcPr>
          <w:p w14:paraId="0EDE871A">
            <w:pPr>
              <w:pStyle w:val="33"/>
              <w:rPr>
                <w:rFonts w:eastAsia="等线"/>
                <w:color w:val="auto"/>
              </w:rPr>
            </w:pPr>
            <w:r>
              <w:rPr>
                <w:rFonts w:hint="eastAsia" w:eastAsia="等线"/>
                <w:color w:val="auto"/>
              </w:rPr>
              <w:t>/</w:t>
            </w:r>
          </w:p>
        </w:tc>
        <w:tc>
          <w:tcPr>
            <w:tcW w:w="330" w:type="pct"/>
            <w:vAlign w:val="center"/>
          </w:tcPr>
          <w:p w14:paraId="09F1B59C">
            <w:pPr>
              <w:pStyle w:val="33"/>
              <w:rPr>
                <w:rFonts w:eastAsia="等线"/>
                <w:color w:val="auto"/>
              </w:rPr>
            </w:pPr>
            <w:r>
              <w:rPr>
                <w:rFonts w:hint="eastAsia" w:eastAsia="等线"/>
                <w:color w:val="auto"/>
              </w:rPr>
              <w:t>/</w:t>
            </w:r>
          </w:p>
        </w:tc>
        <w:tc>
          <w:tcPr>
            <w:tcW w:w="333" w:type="pct"/>
            <w:vAlign w:val="center"/>
          </w:tcPr>
          <w:p w14:paraId="18D0C7E3">
            <w:pPr>
              <w:pStyle w:val="33"/>
              <w:rPr>
                <w:rFonts w:eastAsia="等线"/>
                <w:color w:val="auto"/>
              </w:rPr>
            </w:pPr>
            <w:r>
              <w:rPr>
                <w:rFonts w:hint="eastAsia" w:eastAsia="等线"/>
                <w:color w:val="auto"/>
              </w:rPr>
              <w:t>/</w:t>
            </w:r>
          </w:p>
        </w:tc>
        <w:tc>
          <w:tcPr>
            <w:tcW w:w="333" w:type="pct"/>
            <w:vAlign w:val="center"/>
          </w:tcPr>
          <w:p w14:paraId="1C911B5F">
            <w:pPr>
              <w:pStyle w:val="33"/>
              <w:rPr>
                <w:rFonts w:eastAsia="等线"/>
                <w:color w:val="auto"/>
              </w:rPr>
            </w:pPr>
            <w:r>
              <w:rPr>
                <w:rFonts w:hint="eastAsia" w:eastAsia="等线"/>
                <w:color w:val="auto"/>
              </w:rPr>
              <w:t>/</w:t>
            </w:r>
          </w:p>
        </w:tc>
        <w:tc>
          <w:tcPr>
            <w:tcW w:w="333" w:type="pct"/>
            <w:vAlign w:val="center"/>
          </w:tcPr>
          <w:p w14:paraId="05D3BF11">
            <w:pPr>
              <w:pStyle w:val="33"/>
              <w:rPr>
                <w:rFonts w:eastAsia="等线"/>
                <w:color w:val="auto"/>
              </w:rPr>
            </w:pPr>
            <w:r>
              <w:rPr>
                <w:rFonts w:eastAsia="等线"/>
                <w:color w:val="auto"/>
              </w:rPr>
              <w:t>0.0159</w:t>
            </w:r>
          </w:p>
        </w:tc>
        <w:tc>
          <w:tcPr>
            <w:tcW w:w="397" w:type="pct"/>
            <w:vAlign w:val="center"/>
          </w:tcPr>
          <w:p w14:paraId="2755A174">
            <w:pPr>
              <w:pStyle w:val="33"/>
              <w:rPr>
                <w:rFonts w:eastAsia="等线"/>
                <w:color w:val="auto"/>
              </w:rPr>
            </w:pPr>
            <w:r>
              <w:rPr>
                <w:rFonts w:eastAsia="等线"/>
                <w:color w:val="auto"/>
              </w:rPr>
              <w:t>0.0000056</w:t>
            </w:r>
          </w:p>
        </w:tc>
        <w:tc>
          <w:tcPr>
            <w:tcW w:w="333" w:type="pct"/>
            <w:vAlign w:val="center"/>
          </w:tcPr>
          <w:p w14:paraId="1B1FB469">
            <w:pPr>
              <w:pStyle w:val="33"/>
              <w:rPr>
                <w:rFonts w:eastAsia="等线"/>
                <w:color w:val="auto"/>
              </w:rPr>
            </w:pPr>
            <w:r>
              <w:rPr>
                <w:rFonts w:hint="eastAsia" w:eastAsia="等线"/>
                <w:color w:val="auto"/>
              </w:rPr>
              <w:t>/</w:t>
            </w:r>
          </w:p>
        </w:tc>
        <w:tc>
          <w:tcPr>
            <w:tcW w:w="338" w:type="pct"/>
            <w:vAlign w:val="center"/>
          </w:tcPr>
          <w:p w14:paraId="2A58EEBF">
            <w:pPr>
              <w:pStyle w:val="33"/>
              <w:rPr>
                <w:rFonts w:eastAsia="等线"/>
                <w:color w:val="auto"/>
              </w:rPr>
            </w:pPr>
            <w:r>
              <w:rPr>
                <w:rFonts w:hint="eastAsia" w:eastAsia="等线"/>
                <w:color w:val="auto"/>
              </w:rPr>
              <w:t>/</w:t>
            </w:r>
          </w:p>
        </w:tc>
      </w:tr>
      <w:tr w14:paraId="45C72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801D423">
            <w:pPr>
              <w:pStyle w:val="33"/>
              <w:rPr>
                <w:rFonts w:eastAsia="等线"/>
                <w:color w:val="auto"/>
              </w:rPr>
            </w:pPr>
            <w:r>
              <w:rPr>
                <w:rFonts w:hint="eastAsia" w:eastAsia="等线"/>
                <w:color w:val="auto"/>
              </w:rPr>
              <w:t>72</w:t>
            </w:r>
          </w:p>
        </w:tc>
        <w:tc>
          <w:tcPr>
            <w:tcW w:w="591" w:type="pct"/>
            <w:vAlign w:val="center"/>
          </w:tcPr>
          <w:p w14:paraId="1933FF1C">
            <w:pPr>
              <w:pStyle w:val="33"/>
              <w:rPr>
                <w:color w:val="auto"/>
              </w:rPr>
            </w:pPr>
            <w:r>
              <w:rPr>
                <w:rFonts w:hint="eastAsia"/>
                <w:color w:val="auto"/>
              </w:rPr>
              <w:t>D</w:t>
            </w:r>
            <w:r>
              <w:rPr>
                <w:color w:val="auto"/>
              </w:rPr>
              <w:t>A013</w:t>
            </w:r>
            <w:r>
              <w:rPr>
                <w:rFonts w:hint="eastAsia"/>
                <w:color w:val="auto"/>
              </w:rPr>
              <w:t>（1#污水处理站）</w:t>
            </w:r>
          </w:p>
        </w:tc>
        <w:tc>
          <w:tcPr>
            <w:tcW w:w="333" w:type="pct"/>
            <w:vAlign w:val="center"/>
          </w:tcPr>
          <w:p w14:paraId="7ACE9814">
            <w:pPr>
              <w:pStyle w:val="33"/>
              <w:rPr>
                <w:rFonts w:eastAsia="等线"/>
                <w:color w:val="auto"/>
              </w:rPr>
            </w:pPr>
            <w:r>
              <w:rPr>
                <w:rFonts w:hint="eastAsia" w:eastAsia="等线"/>
                <w:color w:val="auto"/>
              </w:rPr>
              <w:t>15</w:t>
            </w:r>
          </w:p>
        </w:tc>
        <w:tc>
          <w:tcPr>
            <w:tcW w:w="333" w:type="pct"/>
            <w:vAlign w:val="center"/>
          </w:tcPr>
          <w:p w14:paraId="62AD3F55">
            <w:pPr>
              <w:pStyle w:val="33"/>
              <w:rPr>
                <w:rFonts w:eastAsia="等线"/>
                <w:color w:val="auto"/>
              </w:rPr>
            </w:pPr>
            <w:r>
              <w:rPr>
                <w:rFonts w:hint="eastAsia" w:eastAsia="等线"/>
                <w:color w:val="auto"/>
              </w:rPr>
              <w:t>0.4</w:t>
            </w:r>
          </w:p>
        </w:tc>
        <w:tc>
          <w:tcPr>
            <w:tcW w:w="376" w:type="pct"/>
            <w:vAlign w:val="center"/>
          </w:tcPr>
          <w:p w14:paraId="2B639AB0">
            <w:pPr>
              <w:pStyle w:val="33"/>
              <w:rPr>
                <w:rFonts w:eastAsia="等线"/>
                <w:color w:val="auto"/>
              </w:rPr>
            </w:pPr>
            <w:r>
              <w:rPr>
                <w:rFonts w:hint="eastAsia" w:eastAsia="等线"/>
                <w:color w:val="auto"/>
              </w:rPr>
              <w:t>/</w:t>
            </w:r>
          </w:p>
        </w:tc>
        <w:tc>
          <w:tcPr>
            <w:tcW w:w="359" w:type="pct"/>
            <w:vAlign w:val="center"/>
          </w:tcPr>
          <w:p w14:paraId="2732209D">
            <w:pPr>
              <w:pStyle w:val="33"/>
              <w:rPr>
                <w:rFonts w:eastAsia="等线"/>
                <w:color w:val="auto"/>
              </w:rPr>
            </w:pPr>
            <w:r>
              <w:rPr>
                <w:rFonts w:hint="eastAsia" w:eastAsia="等线"/>
                <w:color w:val="auto"/>
              </w:rPr>
              <w:t>/</w:t>
            </w:r>
          </w:p>
        </w:tc>
        <w:tc>
          <w:tcPr>
            <w:tcW w:w="359" w:type="pct"/>
            <w:vAlign w:val="center"/>
          </w:tcPr>
          <w:p w14:paraId="4919F63C">
            <w:pPr>
              <w:pStyle w:val="33"/>
              <w:rPr>
                <w:rFonts w:eastAsia="等线"/>
                <w:color w:val="auto"/>
              </w:rPr>
            </w:pPr>
            <w:r>
              <w:rPr>
                <w:rFonts w:hint="eastAsia" w:eastAsia="等线"/>
                <w:color w:val="auto"/>
              </w:rPr>
              <w:t>/</w:t>
            </w:r>
          </w:p>
        </w:tc>
        <w:tc>
          <w:tcPr>
            <w:tcW w:w="330" w:type="pct"/>
            <w:vAlign w:val="center"/>
          </w:tcPr>
          <w:p w14:paraId="0408356A">
            <w:pPr>
              <w:pStyle w:val="33"/>
              <w:rPr>
                <w:rFonts w:eastAsia="等线"/>
                <w:color w:val="auto"/>
              </w:rPr>
            </w:pPr>
            <w:r>
              <w:rPr>
                <w:rFonts w:hint="eastAsia" w:eastAsia="等线"/>
                <w:color w:val="auto"/>
              </w:rPr>
              <w:t>/</w:t>
            </w:r>
          </w:p>
        </w:tc>
        <w:tc>
          <w:tcPr>
            <w:tcW w:w="333" w:type="pct"/>
            <w:vAlign w:val="center"/>
          </w:tcPr>
          <w:p w14:paraId="49F5E046">
            <w:pPr>
              <w:pStyle w:val="33"/>
              <w:rPr>
                <w:rFonts w:eastAsia="等线"/>
                <w:color w:val="auto"/>
              </w:rPr>
            </w:pPr>
            <w:r>
              <w:rPr>
                <w:rFonts w:hint="eastAsia" w:eastAsia="等线"/>
                <w:color w:val="auto"/>
              </w:rPr>
              <w:t>/</w:t>
            </w:r>
          </w:p>
        </w:tc>
        <w:tc>
          <w:tcPr>
            <w:tcW w:w="333" w:type="pct"/>
            <w:vAlign w:val="center"/>
          </w:tcPr>
          <w:p w14:paraId="78A9C32E">
            <w:pPr>
              <w:pStyle w:val="33"/>
              <w:rPr>
                <w:rFonts w:eastAsia="等线"/>
                <w:color w:val="auto"/>
              </w:rPr>
            </w:pPr>
            <w:r>
              <w:rPr>
                <w:rFonts w:hint="eastAsia" w:eastAsia="等线"/>
                <w:color w:val="auto"/>
              </w:rPr>
              <w:t>/</w:t>
            </w:r>
          </w:p>
        </w:tc>
        <w:tc>
          <w:tcPr>
            <w:tcW w:w="333" w:type="pct"/>
            <w:vAlign w:val="center"/>
          </w:tcPr>
          <w:p w14:paraId="23B1AF2D">
            <w:pPr>
              <w:pStyle w:val="33"/>
              <w:rPr>
                <w:rFonts w:eastAsia="等线"/>
                <w:color w:val="auto"/>
              </w:rPr>
            </w:pPr>
            <w:r>
              <w:rPr>
                <w:rFonts w:hint="eastAsia" w:eastAsia="等线"/>
                <w:color w:val="auto"/>
              </w:rPr>
              <w:t>0.168</w:t>
            </w:r>
          </w:p>
        </w:tc>
        <w:tc>
          <w:tcPr>
            <w:tcW w:w="397" w:type="pct"/>
            <w:vAlign w:val="center"/>
          </w:tcPr>
          <w:p w14:paraId="729A27BD">
            <w:pPr>
              <w:pStyle w:val="33"/>
              <w:rPr>
                <w:rFonts w:eastAsia="等线"/>
                <w:color w:val="auto"/>
              </w:rPr>
            </w:pPr>
            <w:r>
              <w:rPr>
                <w:rFonts w:hint="eastAsia" w:eastAsia="等线"/>
                <w:color w:val="auto"/>
              </w:rPr>
              <w:t>0.0115</w:t>
            </w:r>
          </w:p>
        </w:tc>
        <w:tc>
          <w:tcPr>
            <w:tcW w:w="333" w:type="pct"/>
            <w:vAlign w:val="center"/>
          </w:tcPr>
          <w:p w14:paraId="1EF36810">
            <w:pPr>
              <w:pStyle w:val="33"/>
              <w:rPr>
                <w:rFonts w:eastAsia="等线"/>
                <w:color w:val="auto"/>
              </w:rPr>
            </w:pPr>
            <w:r>
              <w:rPr>
                <w:rFonts w:hint="eastAsia" w:eastAsia="等线"/>
                <w:color w:val="auto"/>
              </w:rPr>
              <w:t>/</w:t>
            </w:r>
          </w:p>
        </w:tc>
        <w:tc>
          <w:tcPr>
            <w:tcW w:w="338" w:type="pct"/>
            <w:vAlign w:val="center"/>
          </w:tcPr>
          <w:p w14:paraId="7AEBDE96">
            <w:pPr>
              <w:pStyle w:val="33"/>
              <w:rPr>
                <w:rFonts w:eastAsia="等线"/>
                <w:color w:val="auto"/>
              </w:rPr>
            </w:pPr>
            <w:r>
              <w:rPr>
                <w:rFonts w:hint="eastAsia" w:eastAsia="等线"/>
                <w:color w:val="auto"/>
              </w:rPr>
              <w:t>/</w:t>
            </w:r>
          </w:p>
        </w:tc>
      </w:tr>
      <w:tr w14:paraId="3612E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4"/>
            <w:vAlign w:val="center"/>
          </w:tcPr>
          <w:p w14:paraId="04AB2E11">
            <w:pPr>
              <w:pStyle w:val="33"/>
              <w:rPr>
                <w:rFonts w:eastAsia="等线"/>
                <w:color w:val="auto"/>
              </w:rPr>
            </w:pPr>
            <w:r>
              <w:rPr>
                <w:rFonts w:hint="eastAsia"/>
                <w:color w:val="auto"/>
              </w:rPr>
              <w:t>广西安鑫电子材料有限公司</w:t>
            </w:r>
          </w:p>
        </w:tc>
      </w:tr>
      <w:tr w14:paraId="41761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EBA8C9D">
            <w:pPr>
              <w:pStyle w:val="33"/>
              <w:rPr>
                <w:rFonts w:eastAsia="等线"/>
                <w:color w:val="auto"/>
              </w:rPr>
            </w:pPr>
            <w:r>
              <w:rPr>
                <w:rFonts w:eastAsia="等线"/>
                <w:color w:val="auto"/>
              </w:rPr>
              <w:t>73</w:t>
            </w:r>
          </w:p>
        </w:tc>
        <w:tc>
          <w:tcPr>
            <w:tcW w:w="591" w:type="pct"/>
            <w:vAlign w:val="center"/>
          </w:tcPr>
          <w:p w14:paraId="25B1164A">
            <w:pPr>
              <w:pStyle w:val="33"/>
              <w:rPr>
                <w:color w:val="auto"/>
              </w:rPr>
            </w:pPr>
            <w:r>
              <w:rPr>
                <w:rFonts w:hint="eastAsia"/>
                <w:color w:val="auto"/>
              </w:rPr>
              <w:t>硫磺制酸生产线一尾气排口 DA002</w:t>
            </w:r>
          </w:p>
        </w:tc>
        <w:tc>
          <w:tcPr>
            <w:tcW w:w="333" w:type="pct"/>
            <w:vAlign w:val="center"/>
          </w:tcPr>
          <w:p w14:paraId="15B0D1A7">
            <w:pPr>
              <w:pStyle w:val="33"/>
              <w:rPr>
                <w:rFonts w:eastAsia="等线"/>
                <w:color w:val="auto"/>
              </w:rPr>
            </w:pPr>
            <w:r>
              <w:rPr>
                <w:rFonts w:hint="eastAsia" w:eastAsia="等线"/>
                <w:color w:val="auto"/>
              </w:rPr>
              <w:t>45</w:t>
            </w:r>
          </w:p>
        </w:tc>
        <w:tc>
          <w:tcPr>
            <w:tcW w:w="333" w:type="pct"/>
            <w:vAlign w:val="center"/>
          </w:tcPr>
          <w:p w14:paraId="3B67B30F">
            <w:pPr>
              <w:pStyle w:val="33"/>
              <w:rPr>
                <w:rFonts w:eastAsia="等线"/>
                <w:color w:val="auto"/>
              </w:rPr>
            </w:pPr>
            <w:r>
              <w:rPr>
                <w:rFonts w:hint="eastAsia" w:eastAsia="等线"/>
                <w:color w:val="auto"/>
              </w:rPr>
              <w:t>1.2</w:t>
            </w:r>
          </w:p>
        </w:tc>
        <w:tc>
          <w:tcPr>
            <w:tcW w:w="376" w:type="pct"/>
            <w:vAlign w:val="center"/>
          </w:tcPr>
          <w:p w14:paraId="144D138E">
            <w:pPr>
              <w:pStyle w:val="33"/>
              <w:rPr>
                <w:rFonts w:eastAsia="等线"/>
                <w:color w:val="auto"/>
              </w:rPr>
            </w:pPr>
            <w:r>
              <w:rPr>
                <w:rFonts w:hint="eastAsia" w:eastAsia="等线"/>
                <w:color w:val="auto"/>
              </w:rPr>
              <w:t>/</w:t>
            </w:r>
          </w:p>
        </w:tc>
        <w:tc>
          <w:tcPr>
            <w:tcW w:w="359" w:type="pct"/>
            <w:vAlign w:val="center"/>
          </w:tcPr>
          <w:p w14:paraId="6BF3DE8A">
            <w:pPr>
              <w:pStyle w:val="33"/>
              <w:rPr>
                <w:rFonts w:eastAsia="等线"/>
                <w:color w:val="auto"/>
              </w:rPr>
            </w:pPr>
            <w:r>
              <w:rPr>
                <w:rFonts w:eastAsia="等线"/>
                <w:color w:val="auto"/>
              </w:rPr>
              <w:t>4.4181</w:t>
            </w:r>
          </w:p>
        </w:tc>
        <w:tc>
          <w:tcPr>
            <w:tcW w:w="359" w:type="pct"/>
            <w:vAlign w:val="center"/>
          </w:tcPr>
          <w:p w14:paraId="05AD3791">
            <w:pPr>
              <w:pStyle w:val="33"/>
              <w:rPr>
                <w:rFonts w:eastAsia="等线"/>
                <w:color w:val="auto"/>
              </w:rPr>
            </w:pPr>
            <w:r>
              <w:rPr>
                <w:rFonts w:hint="eastAsia" w:eastAsia="等线"/>
                <w:color w:val="auto"/>
              </w:rPr>
              <w:t>/</w:t>
            </w:r>
          </w:p>
        </w:tc>
        <w:tc>
          <w:tcPr>
            <w:tcW w:w="330" w:type="pct"/>
            <w:vAlign w:val="center"/>
          </w:tcPr>
          <w:p w14:paraId="61396AA6">
            <w:pPr>
              <w:pStyle w:val="33"/>
              <w:rPr>
                <w:rFonts w:eastAsia="等线"/>
                <w:color w:val="auto"/>
              </w:rPr>
            </w:pPr>
            <w:r>
              <w:rPr>
                <w:rFonts w:hint="eastAsia" w:eastAsia="等线"/>
                <w:color w:val="auto"/>
              </w:rPr>
              <w:t>/</w:t>
            </w:r>
          </w:p>
        </w:tc>
        <w:tc>
          <w:tcPr>
            <w:tcW w:w="333" w:type="pct"/>
            <w:vAlign w:val="center"/>
          </w:tcPr>
          <w:p w14:paraId="72BD4C40">
            <w:pPr>
              <w:pStyle w:val="33"/>
              <w:rPr>
                <w:rFonts w:eastAsia="等线"/>
                <w:color w:val="auto"/>
              </w:rPr>
            </w:pPr>
            <w:r>
              <w:rPr>
                <w:rFonts w:hint="eastAsia" w:eastAsia="等线"/>
                <w:color w:val="auto"/>
              </w:rPr>
              <w:t>/</w:t>
            </w:r>
          </w:p>
        </w:tc>
        <w:tc>
          <w:tcPr>
            <w:tcW w:w="333" w:type="pct"/>
            <w:vAlign w:val="center"/>
          </w:tcPr>
          <w:p w14:paraId="63232D4E">
            <w:pPr>
              <w:pStyle w:val="33"/>
              <w:rPr>
                <w:rFonts w:eastAsia="等线"/>
                <w:color w:val="auto"/>
              </w:rPr>
            </w:pPr>
            <w:r>
              <w:rPr>
                <w:rFonts w:hint="eastAsia" w:eastAsia="等线"/>
                <w:color w:val="auto"/>
              </w:rPr>
              <w:t>/</w:t>
            </w:r>
          </w:p>
        </w:tc>
        <w:tc>
          <w:tcPr>
            <w:tcW w:w="333" w:type="pct"/>
            <w:vAlign w:val="center"/>
          </w:tcPr>
          <w:p w14:paraId="578E057E">
            <w:pPr>
              <w:pStyle w:val="33"/>
              <w:rPr>
                <w:rFonts w:eastAsia="等线"/>
                <w:color w:val="auto"/>
              </w:rPr>
            </w:pPr>
            <w:r>
              <w:rPr>
                <w:rFonts w:hint="eastAsia" w:eastAsia="等线"/>
                <w:color w:val="auto"/>
              </w:rPr>
              <w:t>/</w:t>
            </w:r>
          </w:p>
        </w:tc>
        <w:tc>
          <w:tcPr>
            <w:tcW w:w="397" w:type="pct"/>
            <w:vAlign w:val="center"/>
          </w:tcPr>
          <w:p w14:paraId="7E758BC9">
            <w:pPr>
              <w:pStyle w:val="33"/>
              <w:rPr>
                <w:rFonts w:eastAsia="等线"/>
                <w:color w:val="auto"/>
              </w:rPr>
            </w:pPr>
            <w:r>
              <w:rPr>
                <w:rFonts w:hint="eastAsia" w:eastAsia="等线"/>
                <w:color w:val="auto"/>
              </w:rPr>
              <w:t>/</w:t>
            </w:r>
          </w:p>
        </w:tc>
        <w:tc>
          <w:tcPr>
            <w:tcW w:w="333" w:type="pct"/>
            <w:vAlign w:val="center"/>
          </w:tcPr>
          <w:p w14:paraId="7E809620">
            <w:pPr>
              <w:pStyle w:val="33"/>
              <w:rPr>
                <w:rFonts w:eastAsia="等线"/>
                <w:color w:val="auto"/>
              </w:rPr>
            </w:pPr>
            <w:r>
              <w:rPr>
                <w:rFonts w:hint="eastAsia" w:eastAsia="等线"/>
                <w:color w:val="auto"/>
              </w:rPr>
              <w:t>/</w:t>
            </w:r>
          </w:p>
        </w:tc>
        <w:tc>
          <w:tcPr>
            <w:tcW w:w="338" w:type="pct"/>
            <w:vAlign w:val="center"/>
          </w:tcPr>
          <w:p w14:paraId="260C506C">
            <w:pPr>
              <w:pStyle w:val="33"/>
              <w:rPr>
                <w:rFonts w:eastAsia="等线"/>
                <w:color w:val="auto"/>
              </w:rPr>
            </w:pPr>
            <w:r>
              <w:rPr>
                <w:rFonts w:hint="eastAsia" w:eastAsia="等线"/>
                <w:color w:val="auto"/>
              </w:rPr>
              <w:t>/</w:t>
            </w:r>
          </w:p>
        </w:tc>
      </w:tr>
      <w:tr w14:paraId="7B280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95F4E93">
            <w:pPr>
              <w:pStyle w:val="33"/>
              <w:rPr>
                <w:rFonts w:eastAsia="等线"/>
                <w:color w:val="auto"/>
              </w:rPr>
            </w:pPr>
            <w:r>
              <w:rPr>
                <w:rFonts w:eastAsia="等线"/>
                <w:color w:val="auto"/>
              </w:rPr>
              <w:t>74</w:t>
            </w:r>
          </w:p>
        </w:tc>
        <w:tc>
          <w:tcPr>
            <w:tcW w:w="591" w:type="pct"/>
            <w:vAlign w:val="center"/>
          </w:tcPr>
          <w:p w14:paraId="0856487B">
            <w:pPr>
              <w:pStyle w:val="33"/>
              <w:rPr>
                <w:color w:val="auto"/>
              </w:rPr>
            </w:pPr>
            <w:r>
              <w:rPr>
                <w:rFonts w:hint="eastAsia"/>
                <w:color w:val="auto"/>
              </w:rPr>
              <w:t>硫磺制酸生产线二尾气排口 DA003</w:t>
            </w:r>
          </w:p>
        </w:tc>
        <w:tc>
          <w:tcPr>
            <w:tcW w:w="333" w:type="pct"/>
            <w:vAlign w:val="center"/>
          </w:tcPr>
          <w:p w14:paraId="71273973">
            <w:pPr>
              <w:pStyle w:val="33"/>
              <w:rPr>
                <w:rFonts w:eastAsia="等线"/>
                <w:color w:val="auto"/>
              </w:rPr>
            </w:pPr>
            <w:r>
              <w:rPr>
                <w:rFonts w:hint="eastAsia" w:eastAsia="等线"/>
                <w:color w:val="auto"/>
              </w:rPr>
              <w:t>45</w:t>
            </w:r>
          </w:p>
        </w:tc>
        <w:tc>
          <w:tcPr>
            <w:tcW w:w="333" w:type="pct"/>
            <w:vAlign w:val="center"/>
          </w:tcPr>
          <w:p w14:paraId="08D3D569">
            <w:pPr>
              <w:pStyle w:val="33"/>
              <w:rPr>
                <w:rFonts w:eastAsia="等线"/>
                <w:color w:val="auto"/>
              </w:rPr>
            </w:pPr>
            <w:r>
              <w:rPr>
                <w:rFonts w:hint="eastAsia" w:eastAsia="等线"/>
                <w:color w:val="auto"/>
              </w:rPr>
              <w:t>1.2</w:t>
            </w:r>
          </w:p>
        </w:tc>
        <w:tc>
          <w:tcPr>
            <w:tcW w:w="376" w:type="pct"/>
            <w:vAlign w:val="center"/>
          </w:tcPr>
          <w:p w14:paraId="41AECE86">
            <w:pPr>
              <w:pStyle w:val="33"/>
              <w:rPr>
                <w:rFonts w:eastAsia="等线"/>
                <w:color w:val="auto"/>
              </w:rPr>
            </w:pPr>
            <w:r>
              <w:rPr>
                <w:rFonts w:hint="eastAsia" w:eastAsia="等线"/>
                <w:color w:val="auto"/>
              </w:rPr>
              <w:t>/</w:t>
            </w:r>
          </w:p>
        </w:tc>
        <w:tc>
          <w:tcPr>
            <w:tcW w:w="359" w:type="pct"/>
            <w:vAlign w:val="center"/>
          </w:tcPr>
          <w:p w14:paraId="6A35B90D">
            <w:pPr>
              <w:pStyle w:val="33"/>
              <w:rPr>
                <w:rFonts w:eastAsia="等线"/>
                <w:color w:val="auto"/>
              </w:rPr>
            </w:pPr>
            <w:r>
              <w:rPr>
                <w:rFonts w:eastAsia="等线"/>
                <w:color w:val="auto"/>
              </w:rPr>
              <w:t>4.4181</w:t>
            </w:r>
          </w:p>
        </w:tc>
        <w:tc>
          <w:tcPr>
            <w:tcW w:w="359" w:type="pct"/>
            <w:vAlign w:val="center"/>
          </w:tcPr>
          <w:p w14:paraId="2A0927C7">
            <w:pPr>
              <w:pStyle w:val="33"/>
              <w:rPr>
                <w:rFonts w:eastAsia="等线"/>
                <w:color w:val="auto"/>
              </w:rPr>
            </w:pPr>
            <w:r>
              <w:rPr>
                <w:rFonts w:hint="eastAsia" w:eastAsia="等线"/>
                <w:color w:val="auto"/>
              </w:rPr>
              <w:t>/</w:t>
            </w:r>
          </w:p>
        </w:tc>
        <w:tc>
          <w:tcPr>
            <w:tcW w:w="330" w:type="pct"/>
            <w:vAlign w:val="center"/>
          </w:tcPr>
          <w:p w14:paraId="3C47C107">
            <w:pPr>
              <w:pStyle w:val="33"/>
              <w:rPr>
                <w:rFonts w:eastAsia="等线"/>
                <w:color w:val="auto"/>
              </w:rPr>
            </w:pPr>
            <w:r>
              <w:rPr>
                <w:rFonts w:hint="eastAsia" w:eastAsia="等线"/>
                <w:color w:val="auto"/>
              </w:rPr>
              <w:t>/</w:t>
            </w:r>
          </w:p>
        </w:tc>
        <w:tc>
          <w:tcPr>
            <w:tcW w:w="333" w:type="pct"/>
            <w:vAlign w:val="center"/>
          </w:tcPr>
          <w:p w14:paraId="27C50B2D">
            <w:pPr>
              <w:pStyle w:val="33"/>
              <w:rPr>
                <w:rFonts w:eastAsia="等线"/>
                <w:color w:val="auto"/>
              </w:rPr>
            </w:pPr>
            <w:r>
              <w:rPr>
                <w:rFonts w:hint="eastAsia" w:eastAsia="等线"/>
                <w:color w:val="auto"/>
              </w:rPr>
              <w:t>/</w:t>
            </w:r>
          </w:p>
        </w:tc>
        <w:tc>
          <w:tcPr>
            <w:tcW w:w="333" w:type="pct"/>
            <w:vAlign w:val="center"/>
          </w:tcPr>
          <w:p w14:paraId="4D4A8AD3">
            <w:pPr>
              <w:pStyle w:val="33"/>
              <w:rPr>
                <w:rFonts w:eastAsia="等线"/>
                <w:color w:val="auto"/>
              </w:rPr>
            </w:pPr>
            <w:r>
              <w:rPr>
                <w:rFonts w:hint="eastAsia" w:eastAsia="等线"/>
                <w:color w:val="auto"/>
              </w:rPr>
              <w:t>/</w:t>
            </w:r>
          </w:p>
        </w:tc>
        <w:tc>
          <w:tcPr>
            <w:tcW w:w="333" w:type="pct"/>
            <w:vAlign w:val="center"/>
          </w:tcPr>
          <w:p w14:paraId="3FBC9373">
            <w:pPr>
              <w:pStyle w:val="33"/>
              <w:rPr>
                <w:rFonts w:eastAsia="等线"/>
                <w:color w:val="auto"/>
              </w:rPr>
            </w:pPr>
            <w:r>
              <w:rPr>
                <w:rFonts w:hint="eastAsia" w:eastAsia="等线"/>
                <w:color w:val="auto"/>
              </w:rPr>
              <w:t>/</w:t>
            </w:r>
          </w:p>
        </w:tc>
        <w:tc>
          <w:tcPr>
            <w:tcW w:w="397" w:type="pct"/>
            <w:vAlign w:val="center"/>
          </w:tcPr>
          <w:p w14:paraId="4071719A">
            <w:pPr>
              <w:pStyle w:val="33"/>
              <w:rPr>
                <w:rFonts w:eastAsia="等线"/>
                <w:color w:val="auto"/>
              </w:rPr>
            </w:pPr>
            <w:r>
              <w:rPr>
                <w:rFonts w:hint="eastAsia" w:eastAsia="等线"/>
                <w:color w:val="auto"/>
              </w:rPr>
              <w:t>/</w:t>
            </w:r>
          </w:p>
        </w:tc>
        <w:tc>
          <w:tcPr>
            <w:tcW w:w="333" w:type="pct"/>
            <w:vAlign w:val="center"/>
          </w:tcPr>
          <w:p w14:paraId="5B1FFE14">
            <w:pPr>
              <w:pStyle w:val="33"/>
              <w:rPr>
                <w:rFonts w:eastAsia="等线"/>
                <w:color w:val="auto"/>
              </w:rPr>
            </w:pPr>
            <w:r>
              <w:rPr>
                <w:rFonts w:hint="eastAsia" w:eastAsia="等线"/>
                <w:color w:val="auto"/>
              </w:rPr>
              <w:t>/</w:t>
            </w:r>
          </w:p>
        </w:tc>
        <w:tc>
          <w:tcPr>
            <w:tcW w:w="338" w:type="pct"/>
            <w:vAlign w:val="center"/>
          </w:tcPr>
          <w:p w14:paraId="75633D00">
            <w:pPr>
              <w:pStyle w:val="33"/>
              <w:rPr>
                <w:rFonts w:eastAsia="等线"/>
                <w:color w:val="auto"/>
              </w:rPr>
            </w:pPr>
            <w:r>
              <w:rPr>
                <w:rFonts w:hint="eastAsia" w:eastAsia="等线"/>
                <w:color w:val="auto"/>
              </w:rPr>
              <w:t>/</w:t>
            </w:r>
          </w:p>
        </w:tc>
      </w:tr>
      <w:tr w14:paraId="0DDEC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A82F286">
            <w:pPr>
              <w:pStyle w:val="33"/>
              <w:rPr>
                <w:rFonts w:eastAsia="等线"/>
                <w:color w:val="auto"/>
              </w:rPr>
            </w:pPr>
            <w:r>
              <w:rPr>
                <w:rFonts w:eastAsia="等线"/>
                <w:color w:val="auto"/>
              </w:rPr>
              <w:t>75</w:t>
            </w:r>
          </w:p>
        </w:tc>
        <w:tc>
          <w:tcPr>
            <w:tcW w:w="591" w:type="pct"/>
            <w:vAlign w:val="center"/>
          </w:tcPr>
          <w:p w14:paraId="1C9ECFFB">
            <w:pPr>
              <w:pStyle w:val="33"/>
              <w:rPr>
                <w:color w:val="auto"/>
              </w:rPr>
            </w:pPr>
            <w:r>
              <w:rPr>
                <w:rFonts w:hint="eastAsia"/>
                <w:color w:val="auto"/>
              </w:rPr>
              <w:t>硫酸车间一1#尾气喷淋塔排口DA004</w:t>
            </w:r>
          </w:p>
        </w:tc>
        <w:tc>
          <w:tcPr>
            <w:tcW w:w="333" w:type="pct"/>
            <w:vAlign w:val="center"/>
          </w:tcPr>
          <w:p w14:paraId="139D86BC">
            <w:pPr>
              <w:pStyle w:val="33"/>
              <w:rPr>
                <w:rFonts w:eastAsia="等线"/>
                <w:color w:val="auto"/>
              </w:rPr>
            </w:pPr>
            <w:r>
              <w:rPr>
                <w:rFonts w:hint="eastAsia" w:eastAsia="等线"/>
                <w:color w:val="auto"/>
              </w:rPr>
              <w:t>36</w:t>
            </w:r>
          </w:p>
        </w:tc>
        <w:tc>
          <w:tcPr>
            <w:tcW w:w="333" w:type="pct"/>
            <w:vAlign w:val="center"/>
          </w:tcPr>
          <w:p w14:paraId="1D4696C4">
            <w:pPr>
              <w:pStyle w:val="33"/>
              <w:rPr>
                <w:rFonts w:eastAsia="等线"/>
                <w:color w:val="auto"/>
              </w:rPr>
            </w:pPr>
            <w:r>
              <w:rPr>
                <w:rFonts w:hint="eastAsia" w:eastAsia="等线"/>
                <w:color w:val="auto"/>
              </w:rPr>
              <w:t>0.8</w:t>
            </w:r>
          </w:p>
        </w:tc>
        <w:tc>
          <w:tcPr>
            <w:tcW w:w="376" w:type="pct"/>
            <w:vAlign w:val="center"/>
          </w:tcPr>
          <w:p w14:paraId="3812A715">
            <w:pPr>
              <w:pStyle w:val="33"/>
              <w:rPr>
                <w:rFonts w:eastAsia="等线"/>
                <w:color w:val="auto"/>
              </w:rPr>
            </w:pPr>
            <w:r>
              <w:rPr>
                <w:rFonts w:hint="eastAsia" w:eastAsia="等线"/>
                <w:color w:val="auto"/>
              </w:rPr>
              <w:t>/</w:t>
            </w:r>
          </w:p>
        </w:tc>
        <w:tc>
          <w:tcPr>
            <w:tcW w:w="359" w:type="pct"/>
            <w:vAlign w:val="center"/>
          </w:tcPr>
          <w:p w14:paraId="3EA0AE37">
            <w:pPr>
              <w:pStyle w:val="33"/>
              <w:rPr>
                <w:rFonts w:eastAsia="等线"/>
                <w:color w:val="auto"/>
              </w:rPr>
            </w:pPr>
            <w:r>
              <w:rPr>
                <w:rFonts w:hint="eastAsia" w:eastAsia="等线"/>
                <w:color w:val="auto"/>
              </w:rPr>
              <w:t>9.2045</w:t>
            </w:r>
          </w:p>
        </w:tc>
        <w:tc>
          <w:tcPr>
            <w:tcW w:w="359" w:type="pct"/>
            <w:vAlign w:val="center"/>
          </w:tcPr>
          <w:p w14:paraId="354848CD">
            <w:pPr>
              <w:pStyle w:val="33"/>
              <w:rPr>
                <w:rFonts w:eastAsia="等线"/>
                <w:color w:val="auto"/>
              </w:rPr>
            </w:pPr>
            <w:r>
              <w:rPr>
                <w:rFonts w:hint="eastAsia" w:eastAsia="等线"/>
                <w:color w:val="auto"/>
              </w:rPr>
              <w:t>/</w:t>
            </w:r>
          </w:p>
        </w:tc>
        <w:tc>
          <w:tcPr>
            <w:tcW w:w="330" w:type="pct"/>
            <w:vAlign w:val="center"/>
          </w:tcPr>
          <w:p w14:paraId="311DABA1">
            <w:pPr>
              <w:pStyle w:val="33"/>
              <w:rPr>
                <w:rFonts w:eastAsia="等线"/>
                <w:color w:val="auto"/>
              </w:rPr>
            </w:pPr>
            <w:r>
              <w:rPr>
                <w:rFonts w:hint="eastAsia" w:eastAsia="等线"/>
                <w:color w:val="auto"/>
              </w:rPr>
              <w:t>/</w:t>
            </w:r>
          </w:p>
        </w:tc>
        <w:tc>
          <w:tcPr>
            <w:tcW w:w="333" w:type="pct"/>
            <w:vAlign w:val="center"/>
          </w:tcPr>
          <w:p w14:paraId="5A4DFA15">
            <w:pPr>
              <w:pStyle w:val="33"/>
              <w:rPr>
                <w:rFonts w:eastAsia="等线"/>
                <w:color w:val="auto"/>
              </w:rPr>
            </w:pPr>
            <w:r>
              <w:rPr>
                <w:rFonts w:hint="eastAsia" w:eastAsia="等线"/>
                <w:color w:val="auto"/>
              </w:rPr>
              <w:t>/</w:t>
            </w:r>
          </w:p>
        </w:tc>
        <w:tc>
          <w:tcPr>
            <w:tcW w:w="333" w:type="pct"/>
            <w:vAlign w:val="center"/>
          </w:tcPr>
          <w:p w14:paraId="7C7FD31D">
            <w:pPr>
              <w:pStyle w:val="33"/>
              <w:rPr>
                <w:rFonts w:eastAsia="等线"/>
                <w:color w:val="auto"/>
              </w:rPr>
            </w:pPr>
            <w:r>
              <w:rPr>
                <w:rFonts w:hint="eastAsia" w:eastAsia="等线"/>
                <w:color w:val="auto"/>
              </w:rPr>
              <w:t>/</w:t>
            </w:r>
          </w:p>
        </w:tc>
        <w:tc>
          <w:tcPr>
            <w:tcW w:w="333" w:type="pct"/>
            <w:vAlign w:val="center"/>
          </w:tcPr>
          <w:p w14:paraId="4ED2F76B">
            <w:pPr>
              <w:pStyle w:val="33"/>
              <w:rPr>
                <w:rFonts w:eastAsia="等线"/>
                <w:color w:val="auto"/>
              </w:rPr>
            </w:pPr>
            <w:r>
              <w:rPr>
                <w:rFonts w:hint="eastAsia" w:eastAsia="等线"/>
                <w:color w:val="auto"/>
              </w:rPr>
              <w:t>/</w:t>
            </w:r>
          </w:p>
        </w:tc>
        <w:tc>
          <w:tcPr>
            <w:tcW w:w="397" w:type="pct"/>
            <w:vAlign w:val="center"/>
          </w:tcPr>
          <w:p w14:paraId="0E6AB5B1">
            <w:pPr>
              <w:pStyle w:val="33"/>
              <w:rPr>
                <w:rFonts w:eastAsia="等线"/>
                <w:color w:val="auto"/>
              </w:rPr>
            </w:pPr>
            <w:r>
              <w:rPr>
                <w:rFonts w:hint="eastAsia" w:eastAsia="等线"/>
                <w:color w:val="auto"/>
              </w:rPr>
              <w:t>/</w:t>
            </w:r>
          </w:p>
        </w:tc>
        <w:tc>
          <w:tcPr>
            <w:tcW w:w="333" w:type="pct"/>
            <w:vAlign w:val="center"/>
          </w:tcPr>
          <w:p w14:paraId="2EC8F768">
            <w:pPr>
              <w:pStyle w:val="33"/>
              <w:rPr>
                <w:rFonts w:eastAsia="等线"/>
                <w:color w:val="auto"/>
              </w:rPr>
            </w:pPr>
            <w:r>
              <w:rPr>
                <w:rFonts w:hint="eastAsia" w:eastAsia="等线"/>
                <w:color w:val="auto"/>
              </w:rPr>
              <w:t>/</w:t>
            </w:r>
          </w:p>
        </w:tc>
        <w:tc>
          <w:tcPr>
            <w:tcW w:w="338" w:type="pct"/>
            <w:vAlign w:val="center"/>
          </w:tcPr>
          <w:p w14:paraId="6EC81BC8">
            <w:pPr>
              <w:pStyle w:val="33"/>
              <w:rPr>
                <w:rFonts w:eastAsia="等线"/>
                <w:color w:val="auto"/>
              </w:rPr>
            </w:pPr>
            <w:r>
              <w:rPr>
                <w:rFonts w:hint="eastAsia" w:eastAsia="等线"/>
                <w:color w:val="auto"/>
              </w:rPr>
              <w:t>/</w:t>
            </w:r>
          </w:p>
        </w:tc>
      </w:tr>
      <w:tr w14:paraId="34F28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5A0805D">
            <w:pPr>
              <w:pStyle w:val="33"/>
              <w:rPr>
                <w:rFonts w:eastAsia="等线"/>
                <w:color w:val="auto"/>
              </w:rPr>
            </w:pPr>
            <w:r>
              <w:rPr>
                <w:rFonts w:eastAsia="等线"/>
                <w:color w:val="auto"/>
              </w:rPr>
              <w:t>76</w:t>
            </w:r>
          </w:p>
        </w:tc>
        <w:tc>
          <w:tcPr>
            <w:tcW w:w="591" w:type="pct"/>
            <w:vAlign w:val="center"/>
          </w:tcPr>
          <w:p w14:paraId="6969408E">
            <w:pPr>
              <w:pStyle w:val="33"/>
              <w:rPr>
                <w:color w:val="auto"/>
              </w:rPr>
            </w:pPr>
            <w:r>
              <w:rPr>
                <w:rFonts w:hint="eastAsia"/>
                <w:color w:val="auto"/>
              </w:rPr>
              <w:t>硫酸车间一2#尾气喷淋塔排口DA005</w:t>
            </w:r>
          </w:p>
        </w:tc>
        <w:tc>
          <w:tcPr>
            <w:tcW w:w="333" w:type="pct"/>
            <w:vAlign w:val="center"/>
          </w:tcPr>
          <w:p w14:paraId="05DE8073">
            <w:pPr>
              <w:pStyle w:val="33"/>
              <w:rPr>
                <w:rFonts w:eastAsia="等线"/>
                <w:color w:val="auto"/>
              </w:rPr>
            </w:pPr>
            <w:r>
              <w:rPr>
                <w:rFonts w:hint="eastAsia" w:eastAsia="等线"/>
                <w:color w:val="auto"/>
              </w:rPr>
              <w:t>36</w:t>
            </w:r>
          </w:p>
        </w:tc>
        <w:tc>
          <w:tcPr>
            <w:tcW w:w="333" w:type="pct"/>
            <w:vAlign w:val="center"/>
          </w:tcPr>
          <w:p w14:paraId="43F26EBB">
            <w:pPr>
              <w:pStyle w:val="33"/>
              <w:rPr>
                <w:rFonts w:eastAsia="等线"/>
                <w:color w:val="auto"/>
              </w:rPr>
            </w:pPr>
            <w:r>
              <w:rPr>
                <w:rFonts w:hint="eastAsia" w:eastAsia="等线"/>
                <w:color w:val="auto"/>
              </w:rPr>
              <w:t>0.8</w:t>
            </w:r>
          </w:p>
        </w:tc>
        <w:tc>
          <w:tcPr>
            <w:tcW w:w="376" w:type="pct"/>
            <w:vAlign w:val="center"/>
          </w:tcPr>
          <w:p w14:paraId="468EC331">
            <w:pPr>
              <w:pStyle w:val="33"/>
              <w:rPr>
                <w:rFonts w:eastAsia="等线"/>
                <w:color w:val="auto"/>
              </w:rPr>
            </w:pPr>
            <w:r>
              <w:rPr>
                <w:rFonts w:hint="eastAsia" w:eastAsia="等线"/>
                <w:color w:val="auto"/>
              </w:rPr>
              <w:t>/</w:t>
            </w:r>
          </w:p>
        </w:tc>
        <w:tc>
          <w:tcPr>
            <w:tcW w:w="359" w:type="pct"/>
            <w:vAlign w:val="center"/>
          </w:tcPr>
          <w:p w14:paraId="6DE2FEAC">
            <w:pPr>
              <w:pStyle w:val="33"/>
              <w:rPr>
                <w:rFonts w:eastAsia="等线"/>
                <w:color w:val="auto"/>
              </w:rPr>
            </w:pPr>
            <w:r>
              <w:rPr>
                <w:rFonts w:hint="eastAsia" w:eastAsia="等线"/>
                <w:color w:val="auto"/>
              </w:rPr>
              <w:t>9.2045</w:t>
            </w:r>
          </w:p>
        </w:tc>
        <w:tc>
          <w:tcPr>
            <w:tcW w:w="359" w:type="pct"/>
            <w:vAlign w:val="center"/>
          </w:tcPr>
          <w:p w14:paraId="3850FE73">
            <w:pPr>
              <w:pStyle w:val="33"/>
              <w:rPr>
                <w:rFonts w:eastAsia="等线"/>
                <w:color w:val="auto"/>
              </w:rPr>
            </w:pPr>
            <w:r>
              <w:rPr>
                <w:rFonts w:hint="eastAsia" w:eastAsia="等线"/>
                <w:color w:val="auto"/>
              </w:rPr>
              <w:t>/</w:t>
            </w:r>
          </w:p>
        </w:tc>
        <w:tc>
          <w:tcPr>
            <w:tcW w:w="330" w:type="pct"/>
            <w:vAlign w:val="center"/>
          </w:tcPr>
          <w:p w14:paraId="163E6642">
            <w:pPr>
              <w:pStyle w:val="33"/>
              <w:rPr>
                <w:rFonts w:eastAsia="等线"/>
                <w:color w:val="auto"/>
              </w:rPr>
            </w:pPr>
            <w:r>
              <w:rPr>
                <w:rFonts w:hint="eastAsia" w:eastAsia="等线"/>
                <w:color w:val="auto"/>
              </w:rPr>
              <w:t>/</w:t>
            </w:r>
          </w:p>
        </w:tc>
        <w:tc>
          <w:tcPr>
            <w:tcW w:w="333" w:type="pct"/>
            <w:vAlign w:val="center"/>
          </w:tcPr>
          <w:p w14:paraId="72E5BBB4">
            <w:pPr>
              <w:pStyle w:val="33"/>
              <w:rPr>
                <w:rFonts w:eastAsia="等线"/>
                <w:color w:val="auto"/>
              </w:rPr>
            </w:pPr>
            <w:r>
              <w:rPr>
                <w:rFonts w:hint="eastAsia" w:eastAsia="等线"/>
                <w:color w:val="auto"/>
              </w:rPr>
              <w:t>/</w:t>
            </w:r>
          </w:p>
        </w:tc>
        <w:tc>
          <w:tcPr>
            <w:tcW w:w="333" w:type="pct"/>
            <w:vAlign w:val="center"/>
          </w:tcPr>
          <w:p w14:paraId="725EDE66">
            <w:pPr>
              <w:pStyle w:val="33"/>
              <w:rPr>
                <w:rFonts w:eastAsia="等线"/>
                <w:color w:val="auto"/>
              </w:rPr>
            </w:pPr>
            <w:r>
              <w:rPr>
                <w:rFonts w:hint="eastAsia" w:eastAsia="等线"/>
                <w:color w:val="auto"/>
              </w:rPr>
              <w:t>/</w:t>
            </w:r>
          </w:p>
        </w:tc>
        <w:tc>
          <w:tcPr>
            <w:tcW w:w="333" w:type="pct"/>
            <w:vAlign w:val="center"/>
          </w:tcPr>
          <w:p w14:paraId="3C86F28E">
            <w:pPr>
              <w:pStyle w:val="33"/>
              <w:rPr>
                <w:rFonts w:eastAsia="等线"/>
                <w:color w:val="auto"/>
              </w:rPr>
            </w:pPr>
            <w:r>
              <w:rPr>
                <w:rFonts w:hint="eastAsia" w:eastAsia="等线"/>
                <w:color w:val="auto"/>
              </w:rPr>
              <w:t>/</w:t>
            </w:r>
          </w:p>
        </w:tc>
        <w:tc>
          <w:tcPr>
            <w:tcW w:w="397" w:type="pct"/>
            <w:vAlign w:val="center"/>
          </w:tcPr>
          <w:p w14:paraId="20140309">
            <w:pPr>
              <w:pStyle w:val="33"/>
              <w:rPr>
                <w:rFonts w:eastAsia="等线"/>
                <w:color w:val="auto"/>
              </w:rPr>
            </w:pPr>
            <w:r>
              <w:rPr>
                <w:rFonts w:hint="eastAsia" w:eastAsia="等线"/>
                <w:color w:val="auto"/>
              </w:rPr>
              <w:t>/</w:t>
            </w:r>
          </w:p>
        </w:tc>
        <w:tc>
          <w:tcPr>
            <w:tcW w:w="333" w:type="pct"/>
            <w:vAlign w:val="center"/>
          </w:tcPr>
          <w:p w14:paraId="3AC534C1">
            <w:pPr>
              <w:pStyle w:val="33"/>
              <w:rPr>
                <w:rFonts w:eastAsia="等线"/>
                <w:color w:val="auto"/>
              </w:rPr>
            </w:pPr>
            <w:r>
              <w:rPr>
                <w:rFonts w:hint="eastAsia" w:eastAsia="等线"/>
                <w:color w:val="auto"/>
              </w:rPr>
              <w:t>/</w:t>
            </w:r>
          </w:p>
        </w:tc>
        <w:tc>
          <w:tcPr>
            <w:tcW w:w="338" w:type="pct"/>
            <w:vAlign w:val="center"/>
          </w:tcPr>
          <w:p w14:paraId="3A85AAB4">
            <w:pPr>
              <w:pStyle w:val="33"/>
              <w:rPr>
                <w:rFonts w:eastAsia="等线"/>
                <w:color w:val="auto"/>
              </w:rPr>
            </w:pPr>
            <w:r>
              <w:rPr>
                <w:rFonts w:hint="eastAsia" w:eastAsia="等线"/>
                <w:color w:val="auto"/>
              </w:rPr>
              <w:t>/</w:t>
            </w:r>
          </w:p>
        </w:tc>
      </w:tr>
      <w:tr w14:paraId="309BA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70C445C">
            <w:pPr>
              <w:pStyle w:val="33"/>
              <w:rPr>
                <w:rFonts w:eastAsia="等线"/>
                <w:color w:val="auto"/>
              </w:rPr>
            </w:pPr>
            <w:r>
              <w:rPr>
                <w:rFonts w:eastAsia="等线"/>
                <w:color w:val="auto"/>
              </w:rPr>
              <w:t>77</w:t>
            </w:r>
          </w:p>
        </w:tc>
        <w:tc>
          <w:tcPr>
            <w:tcW w:w="591" w:type="pct"/>
            <w:vAlign w:val="center"/>
          </w:tcPr>
          <w:p w14:paraId="0CA74F66">
            <w:pPr>
              <w:pStyle w:val="33"/>
              <w:rPr>
                <w:color w:val="auto"/>
              </w:rPr>
            </w:pPr>
            <w:r>
              <w:rPr>
                <w:rFonts w:hint="eastAsia"/>
                <w:color w:val="auto"/>
              </w:rPr>
              <w:t>硫酸车间二1#尾气喷淋塔排口DA006</w:t>
            </w:r>
          </w:p>
        </w:tc>
        <w:tc>
          <w:tcPr>
            <w:tcW w:w="333" w:type="pct"/>
            <w:vAlign w:val="center"/>
          </w:tcPr>
          <w:p w14:paraId="099DA498">
            <w:pPr>
              <w:pStyle w:val="33"/>
              <w:rPr>
                <w:rFonts w:eastAsia="等线"/>
                <w:color w:val="auto"/>
              </w:rPr>
            </w:pPr>
            <w:r>
              <w:rPr>
                <w:rFonts w:hint="eastAsia" w:eastAsia="等线"/>
                <w:color w:val="auto"/>
              </w:rPr>
              <w:t>36</w:t>
            </w:r>
          </w:p>
        </w:tc>
        <w:tc>
          <w:tcPr>
            <w:tcW w:w="333" w:type="pct"/>
            <w:vAlign w:val="center"/>
          </w:tcPr>
          <w:p w14:paraId="7FC018F5">
            <w:pPr>
              <w:pStyle w:val="33"/>
              <w:rPr>
                <w:rFonts w:eastAsia="等线"/>
                <w:color w:val="auto"/>
              </w:rPr>
            </w:pPr>
            <w:r>
              <w:rPr>
                <w:rFonts w:hint="eastAsia" w:eastAsia="等线"/>
                <w:color w:val="auto"/>
              </w:rPr>
              <w:t>0.8</w:t>
            </w:r>
          </w:p>
        </w:tc>
        <w:tc>
          <w:tcPr>
            <w:tcW w:w="376" w:type="pct"/>
            <w:vAlign w:val="center"/>
          </w:tcPr>
          <w:p w14:paraId="078A629F">
            <w:pPr>
              <w:pStyle w:val="33"/>
              <w:rPr>
                <w:rFonts w:eastAsia="等线"/>
                <w:color w:val="auto"/>
              </w:rPr>
            </w:pPr>
            <w:r>
              <w:rPr>
                <w:rFonts w:hint="eastAsia" w:eastAsia="等线"/>
                <w:color w:val="auto"/>
              </w:rPr>
              <w:t>/</w:t>
            </w:r>
          </w:p>
        </w:tc>
        <w:tc>
          <w:tcPr>
            <w:tcW w:w="359" w:type="pct"/>
            <w:vAlign w:val="center"/>
          </w:tcPr>
          <w:p w14:paraId="62F62BBA">
            <w:pPr>
              <w:pStyle w:val="33"/>
              <w:rPr>
                <w:rFonts w:eastAsia="等线"/>
                <w:color w:val="auto"/>
              </w:rPr>
            </w:pPr>
            <w:r>
              <w:rPr>
                <w:rFonts w:hint="eastAsia" w:eastAsia="等线"/>
                <w:color w:val="auto"/>
              </w:rPr>
              <w:t>9.2045</w:t>
            </w:r>
          </w:p>
        </w:tc>
        <w:tc>
          <w:tcPr>
            <w:tcW w:w="359" w:type="pct"/>
            <w:vAlign w:val="center"/>
          </w:tcPr>
          <w:p w14:paraId="18F860BB">
            <w:pPr>
              <w:pStyle w:val="33"/>
              <w:rPr>
                <w:rFonts w:eastAsia="等线"/>
                <w:color w:val="auto"/>
              </w:rPr>
            </w:pPr>
            <w:r>
              <w:rPr>
                <w:rFonts w:hint="eastAsia" w:eastAsia="等线"/>
                <w:color w:val="auto"/>
              </w:rPr>
              <w:t>/</w:t>
            </w:r>
          </w:p>
        </w:tc>
        <w:tc>
          <w:tcPr>
            <w:tcW w:w="330" w:type="pct"/>
            <w:vAlign w:val="center"/>
          </w:tcPr>
          <w:p w14:paraId="0BA39777">
            <w:pPr>
              <w:pStyle w:val="33"/>
              <w:rPr>
                <w:rFonts w:eastAsia="等线"/>
                <w:color w:val="auto"/>
              </w:rPr>
            </w:pPr>
            <w:r>
              <w:rPr>
                <w:rFonts w:hint="eastAsia" w:eastAsia="等线"/>
                <w:color w:val="auto"/>
              </w:rPr>
              <w:t>/</w:t>
            </w:r>
          </w:p>
        </w:tc>
        <w:tc>
          <w:tcPr>
            <w:tcW w:w="333" w:type="pct"/>
            <w:vAlign w:val="center"/>
          </w:tcPr>
          <w:p w14:paraId="1DF6662E">
            <w:pPr>
              <w:pStyle w:val="33"/>
              <w:rPr>
                <w:rFonts w:eastAsia="等线"/>
                <w:color w:val="auto"/>
              </w:rPr>
            </w:pPr>
            <w:r>
              <w:rPr>
                <w:rFonts w:hint="eastAsia" w:eastAsia="等线"/>
                <w:color w:val="auto"/>
              </w:rPr>
              <w:t>/</w:t>
            </w:r>
          </w:p>
        </w:tc>
        <w:tc>
          <w:tcPr>
            <w:tcW w:w="333" w:type="pct"/>
            <w:vAlign w:val="center"/>
          </w:tcPr>
          <w:p w14:paraId="10BAC429">
            <w:pPr>
              <w:pStyle w:val="33"/>
              <w:rPr>
                <w:rFonts w:eastAsia="等线"/>
                <w:color w:val="auto"/>
              </w:rPr>
            </w:pPr>
            <w:r>
              <w:rPr>
                <w:rFonts w:hint="eastAsia" w:eastAsia="等线"/>
                <w:color w:val="auto"/>
              </w:rPr>
              <w:t>/</w:t>
            </w:r>
          </w:p>
        </w:tc>
        <w:tc>
          <w:tcPr>
            <w:tcW w:w="333" w:type="pct"/>
            <w:vAlign w:val="center"/>
          </w:tcPr>
          <w:p w14:paraId="68041D60">
            <w:pPr>
              <w:pStyle w:val="33"/>
              <w:rPr>
                <w:rFonts w:eastAsia="等线"/>
                <w:color w:val="auto"/>
              </w:rPr>
            </w:pPr>
            <w:r>
              <w:rPr>
                <w:rFonts w:hint="eastAsia" w:eastAsia="等线"/>
                <w:color w:val="auto"/>
              </w:rPr>
              <w:t>/</w:t>
            </w:r>
          </w:p>
        </w:tc>
        <w:tc>
          <w:tcPr>
            <w:tcW w:w="397" w:type="pct"/>
            <w:vAlign w:val="center"/>
          </w:tcPr>
          <w:p w14:paraId="00E7ECD5">
            <w:pPr>
              <w:pStyle w:val="33"/>
              <w:rPr>
                <w:rFonts w:eastAsia="等线"/>
                <w:color w:val="auto"/>
              </w:rPr>
            </w:pPr>
            <w:r>
              <w:rPr>
                <w:rFonts w:hint="eastAsia" w:eastAsia="等线"/>
                <w:color w:val="auto"/>
              </w:rPr>
              <w:t>/</w:t>
            </w:r>
          </w:p>
        </w:tc>
        <w:tc>
          <w:tcPr>
            <w:tcW w:w="333" w:type="pct"/>
            <w:vAlign w:val="center"/>
          </w:tcPr>
          <w:p w14:paraId="5C754BA5">
            <w:pPr>
              <w:pStyle w:val="33"/>
              <w:rPr>
                <w:rFonts w:eastAsia="等线"/>
                <w:color w:val="auto"/>
              </w:rPr>
            </w:pPr>
            <w:r>
              <w:rPr>
                <w:rFonts w:hint="eastAsia" w:eastAsia="等线"/>
                <w:color w:val="auto"/>
              </w:rPr>
              <w:t>/</w:t>
            </w:r>
          </w:p>
        </w:tc>
        <w:tc>
          <w:tcPr>
            <w:tcW w:w="338" w:type="pct"/>
            <w:vAlign w:val="center"/>
          </w:tcPr>
          <w:p w14:paraId="1AE3CF7D">
            <w:pPr>
              <w:pStyle w:val="33"/>
              <w:rPr>
                <w:rFonts w:eastAsia="等线"/>
                <w:color w:val="auto"/>
              </w:rPr>
            </w:pPr>
            <w:r>
              <w:rPr>
                <w:rFonts w:hint="eastAsia" w:eastAsia="等线"/>
                <w:color w:val="auto"/>
              </w:rPr>
              <w:t>/</w:t>
            </w:r>
          </w:p>
        </w:tc>
      </w:tr>
      <w:tr w14:paraId="262B2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E284CED">
            <w:pPr>
              <w:pStyle w:val="33"/>
              <w:rPr>
                <w:rFonts w:eastAsia="等线"/>
                <w:color w:val="auto"/>
              </w:rPr>
            </w:pPr>
            <w:r>
              <w:rPr>
                <w:rFonts w:eastAsia="等线"/>
                <w:color w:val="auto"/>
              </w:rPr>
              <w:t>78</w:t>
            </w:r>
          </w:p>
        </w:tc>
        <w:tc>
          <w:tcPr>
            <w:tcW w:w="591" w:type="pct"/>
            <w:vAlign w:val="center"/>
          </w:tcPr>
          <w:p w14:paraId="4B1C19DB">
            <w:pPr>
              <w:pStyle w:val="33"/>
              <w:rPr>
                <w:color w:val="auto"/>
              </w:rPr>
            </w:pPr>
            <w:r>
              <w:rPr>
                <w:rFonts w:hint="eastAsia"/>
                <w:color w:val="auto"/>
              </w:rPr>
              <w:t>硫酸车间二2#尾气喷淋塔排口DA007</w:t>
            </w:r>
          </w:p>
        </w:tc>
        <w:tc>
          <w:tcPr>
            <w:tcW w:w="333" w:type="pct"/>
            <w:vAlign w:val="center"/>
          </w:tcPr>
          <w:p w14:paraId="1018C6C5">
            <w:pPr>
              <w:pStyle w:val="33"/>
              <w:rPr>
                <w:rFonts w:eastAsia="等线"/>
                <w:color w:val="auto"/>
              </w:rPr>
            </w:pPr>
            <w:r>
              <w:rPr>
                <w:rFonts w:hint="eastAsia" w:eastAsia="等线"/>
                <w:color w:val="auto"/>
              </w:rPr>
              <w:t>36</w:t>
            </w:r>
          </w:p>
        </w:tc>
        <w:tc>
          <w:tcPr>
            <w:tcW w:w="333" w:type="pct"/>
            <w:vAlign w:val="center"/>
          </w:tcPr>
          <w:p w14:paraId="218E2FBC">
            <w:pPr>
              <w:pStyle w:val="33"/>
              <w:rPr>
                <w:rFonts w:eastAsia="等线"/>
                <w:color w:val="auto"/>
              </w:rPr>
            </w:pPr>
            <w:r>
              <w:rPr>
                <w:rFonts w:hint="eastAsia" w:eastAsia="等线"/>
                <w:color w:val="auto"/>
              </w:rPr>
              <w:t>0.8</w:t>
            </w:r>
          </w:p>
        </w:tc>
        <w:tc>
          <w:tcPr>
            <w:tcW w:w="376" w:type="pct"/>
            <w:vAlign w:val="center"/>
          </w:tcPr>
          <w:p w14:paraId="66CA13AA">
            <w:pPr>
              <w:pStyle w:val="33"/>
              <w:rPr>
                <w:rFonts w:eastAsia="等线"/>
                <w:color w:val="auto"/>
              </w:rPr>
            </w:pPr>
            <w:r>
              <w:rPr>
                <w:rFonts w:hint="eastAsia" w:eastAsia="等线"/>
                <w:color w:val="auto"/>
              </w:rPr>
              <w:t>/</w:t>
            </w:r>
          </w:p>
        </w:tc>
        <w:tc>
          <w:tcPr>
            <w:tcW w:w="359" w:type="pct"/>
            <w:vAlign w:val="center"/>
          </w:tcPr>
          <w:p w14:paraId="71614ED3">
            <w:pPr>
              <w:pStyle w:val="33"/>
              <w:rPr>
                <w:rFonts w:eastAsia="等线"/>
                <w:color w:val="auto"/>
              </w:rPr>
            </w:pPr>
            <w:r>
              <w:rPr>
                <w:rFonts w:hint="eastAsia" w:eastAsia="等线"/>
                <w:color w:val="auto"/>
              </w:rPr>
              <w:t>9.2045</w:t>
            </w:r>
          </w:p>
        </w:tc>
        <w:tc>
          <w:tcPr>
            <w:tcW w:w="359" w:type="pct"/>
            <w:vAlign w:val="center"/>
          </w:tcPr>
          <w:p w14:paraId="3D19EE56">
            <w:pPr>
              <w:pStyle w:val="33"/>
              <w:rPr>
                <w:rFonts w:eastAsia="等线"/>
                <w:color w:val="auto"/>
              </w:rPr>
            </w:pPr>
            <w:r>
              <w:rPr>
                <w:rFonts w:hint="eastAsia" w:eastAsia="等线"/>
                <w:color w:val="auto"/>
              </w:rPr>
              <w:t>/</w:t>
            </w:r>
          </w:p>
        </w:tc>
        <w:tc>
          <w:tcPr>
            <w:tcW w:w="330" w:type="pct"/>
            <w:vAlign w:val="center"/>
          </w:tcPr>
          <w:p w14:paraId="26D9327C">
            <w:pPr>
              <w:pStyle w:val="33"/>
              <w:rPr>
                <w:rFonts w:eastAsia="等线"/>
                <w:color w:val="auto"/>
              </w:rPr>
            </w:pPr>
            <w:r>
              <w:rPr>
                <w:rFonts w:hint="eastAsia" w:eastAsia="等线"/>
                <w:color w:val="auto"/>
              </w:rPr>
              <w:t>/</w:t>
            </w:r>
          </w:p>
        </w:tc>
        <w:tc>
          <w:tcPr>
            <w:tcW w:w="333" w:type="pct"/>
            <w:vAlign w:val="center"/>
          </w:tcPr>
          <w:p w14:paraId="75727F55">
            <w:pPr>
              <w:pStyle w:val="33"/>
              <w:rPr>
                <w:rFonts w:eastAsia="等线"/>
                <w:color w:val="auto"/>
              </w:rPr>
            </w:pPr>
            <w:r>
              <w:rPr>
                <w:rFonts w:hint="eastAsia" w:eastAsia="等线"/>
                <w:color w:val="auto"/>
              </w:rPr>
              <w:t>/</w:t>
            </w:r>
          </w:p>
        </w:tc>
        <w:tc>
          <w:tcPr>
            <w:tcW w:w="333" w:type="pct"/>
            <w:vAlign w:val="center"/>
          </w:tcPr>
          <w:p w14:paraId="448BDA3D">
            <w:pPr>
              <w:pStyle w:val="33"/>
              <w:rPr>
                <w:rFonts w:eastAsia="等线"/>
                <w:color w:val="auto"/>
              </w:rPr>
            </w:pPr>
            <w:r>
              <w:rPr>
                <w:rFonts w:hint="eastAsia" w:eastAsia="等线"/>
                <w:color w:val="auto"/>
              </w:rPr>
              <w:t>/</w:t>
            </w:r>
          </w:p>
        </w:tc>
        <w:tc>
          <w:tcPr>
            <w:tcW w:w="333" w:type="pct"/>
            <w:vAlign w:val="center"/>
          </w:tcPr>
          <w:p w14:paraId="44402177">
            <w:pPr>
              <w:pStyle w:val="33"/>
              <w:rPr>
                <w:rFonts w:eastAsia="等线"/>
                <w:color w:val="auto"/>
              </w:rPr>
            </w:pPr>
            <w:r>
              <w:rPr>
                <w:rFonts w:hint="eastAsia" w:eastAsia="等线"/>
                <w:color w:val="auto"/>
              </w:rPr>
              <w:t>/</w:t>
            </w:r>
          </w:p>
        </w:tc>
        <w:tc>
          <w:tcPr>
            <w:tcW w:w="397" w:type="pct"/>
            <w:vAlign w:val="center"/>
          </w:tcPr>
          <w:p w14:paraId="6B509AC2">
            <w:pPr>
              <w:pStyle w:val="33"/>
              <w:rPr>
                <w:rFonts w:eastAsia="等线"/>
                <w:color w:val="auto"/>
              </w:rPr>
            </w:pPr>
            <w:r>
              <w:rPr>
                <w:rFonts w:hint="eastAsia" w:eastAsia="等线"/>
                <w:color w:val="auto"/>
              </w:rPr>
              <w:t>/</w:t>
            </w:r>
          </w:p>
        </w:tc>
        <w:tc>
          <w:tcPr>
            <w:tcW w:w="333" w:type="pct"/>
            <w:vAlign w:val="center"/>
          </w:tcPr>
          <w:p w14:paraId="0E4DFE17">
            <w:pPr>
              <w:pStyle w:val="33"/>
              <w:rPr>
                <w:rFonts w:eastAsia="等线"/>
                <w:color w:val="auto"/>
              </w:rPr>
            </w:pPr>
            <w:r>
              <w:rPr>
                <w:rFonts w:hint="eastAsia" w:eastAsia="等线"/>
                <w:color w:val="auto"/>
              </w:rPr>
              <w:t>/</w:t>
            </w:r>
          </w:p>
        </w:tc>
        <w:tc>
          <w:tcPr>
            <w:tcW w:w="338" w:type="pct"/>
            <w:vAlign w:val="center"/>
          </w:tcPr>
          <w:p w14:paraId="61196456">
            <w:pPr>
              <w:pStyle w:val="33"/>
              <w:rPr>
                <w:rFonts w:eastAsia="等线"/>
                <w:color w:val="auto"/>
              </w:rPr>
            </w:pPr>
            <w:r>
              <w:rPr>
                <w:rFonts w:hint="eastAsia" w:eastAsia="等线"/>
                <w:color w:val="auto"/>
              </w:rPr>
              <w:t>/</w:t>
            </w:r>
          </w:p>
        </w:tc>
      </w:tr>
      <w:tr w14:paraId="26B96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0D01B0B">
            <w:pPr>
              <w:pStyle w:val="33"/>
              <w:rPr>
                <w:rFonts w:eastAsia="等线"/>
                <w:color w:val="auto"/>
              </w:rPr>
            </w:pPr>
            <w:r>
              <w:rPr>
                <w:rFonts w:eastAsia="等线"/>
                <w:color w:val="auto"/>
              </w:rPr>
              <w:t>79</w:t>
            </w:r>
          </w:p>
        </w:tc>
        <w:tc>
          <w:tcPr>
            <w:tcW w:w="591" w:type="pct"/>
            <w:vAlign w:val="center"/>
          </w:tcPr>
          <w:p w14:paraId="2AAA6A7C">
            <w:pPr>
              <w:pStyle w:val="33"/>
              <w:rPr>
                <w:color w:val="auto"/>
              </w:rPr>
            </w:pPr>
            <w:r>
              <w:rPr>
                <w:rFonts w:hint="eastAsia"/>
                <w:color w:val="auto"/>
              </w:rPr>
              <w:t>硫酸车间二3#尾气喷淋塔排口DA008</w:t>
            </w:r>
          </w:p>
        </w:tc>
        <w:tc>
          <w:tcPr>
            <w:tcW w:w="333" w:type="pct"/>
            <w:vAlign w:val="center"/>
          </w:tcPr>
          <w:p w14:paraId="66C3E9B1">
            <w:pPr>
              <w:pStyle w:val="33"/>
              <w:rPr>
                <w:rFonts w:eastAsia="等线"/>
                <w:color w:val="auto"/>
              </w:rPr>
            </w:pPr>
            <w:r>
              <w:rPr>
                <w:rFonts w:hint="eastAsia" w:eastAsia="等线"/>
                <w:color w:val="auto"/>
              </w:rPr>
              <w:t>36</w:t>
            </w:r>
          </w:p>
        </w:tc>
        <w:tc>
          <w:tcPr>
            <w:tcW w:w="333" w:type="pct"/>
            <w:vAlign w:val="center"/>
          </w:tcPr>
          <w:p w14:paraId="04E9128E">
            <w:pPr>
              <w:pStyle w:val="33"/>
              <w:rPr>
                <w:rFonts w:eastAsia="等线"/>
                <w:color w:val="auto"/>
              </w:rPr>
            </w:pPr>
            <w:r>
              <w:rPr>
                <w:rFonts w:hint="eastAsia" w:eastAsia="等线"/>
                <w:color w:val="auto"/>
              </w:rPr>
              <w:t>0.8</w:t>
            </w:r>
          </w:p>
        </w:tc>
        <w:tc>
          <w:tcPr>
            <w:tcW w:w="376" w:type="pct"/>
            <w:vAlign w:val="center"/>
          </w:tcPr>
          <w:p w14:paraId="7C799099">
            <w:pPr>
              <w:pStyle w:val="33"/>
              <w:rPr>
                <w:rFonts w:eastAsia="等线"/>
                <w:color w:val="auto"/>
              </w:rPr>
            </w:pPr>
            <w:r>
              <w:rPr>
                <w:rFonts w:hint="eastAsia" w:eastAsia="等线"/>
                <w:color w:val="auto"/>
              </w:rPr>
              <w:t>/</w:t>
            </w:r>
          </w:p>
        </w:tc>
        <w:tc>
          <w:tcPr>
            <w:tcW w:w="359" w:type="pct"/>
            <w:vAlign w:val="center"/>
          </w:tcPr>
          <w:p w14:paraId="5EAD3491">
            <w:pPr>
              <w:pStyle w:val="33"/>
              <w:rPr>
                <w:rFonts w:eastAsia="等线"/>
                <w:color w:val="auto"/>
              </w:rPr>
            </w:pPr>
            <w:r>
              <w:rPr>
                <w:rFonts w:hint="eastAsia" w:eastAsia="等线"/>
                <w:color w:val="auto"/>
              </w:rPr>
              <w:t>9.2045</w:t>
            </w:r>
          </w:p>
        </w:tc>
        <w:tc>
          <w:tcPr>
            <w:tcW w:w="359" w:type="pct"/>
            <w:vAlign w:val="center"/>
          </w:tcPr>
          <w:p w14:paraId="35C68999">
            <w:pPr>
              <w:pStyle w:val="33"/>
              <w:rPr>
                <w:rFonts w:eastAsia="等线"/>
                <w:color w:val="auto"/>
              </w:rPr>
            </w:pPr>
            <w:r>
              <w:rPr>
                <w:rFonts w:hint="eastAsia" w:eastAsia="等线"/>
                <w:color w:val="auto"/>
              </w:rPr>
              <w:t>/</w:t>
            </w:r>
          </w:p>
        </w:tc>
        <w:tc>
          <w:tcPr>
            <w:tcW w:w="330" w:type="pct"/>
            <w:vAlign w:val="center"/>
          </w:tcPr>
          <w:p w14:paraId="1C999424">
            <w:pPr>
              <w:pStyle w:val="33"/>
              <w:rPr>
                <w:rFonts w:eastAsia="等线"/>
                <w:color w:val="auto"/>
              </w:rPr>
            </w:pPr>
            <w:r>
              <w:rPr>
                <w:rFonts w:hint="eastAsia" w:eastAsia="等线"/>
                <w:color w:val="auto"/>
              </w:rPr>
              <w:t>/</w:t>
            </w:r>
          </w:p>
        </w:tc>
        <w:tc>
          <w:tcPr>
            <w:tcW w:w="333" w:type="pct"/>
            <w:vAlign w:val="center"/>
          </w:tcPr>
          <w:p w14:paraId="4AD4EF96">
            <w:pPr>
              <w:pStyle w:val="33"/>
              <w:rPr>
                <w:rFonts w:eastAsia="等线"/>
                <w:color w:val="auto"/>
              </w:rPr>
            </w:pPr>
            <w:r>
              <w:rPr>
                <w:rFonts w:hint="eastAsia" w:eastAsia="等线"/>
                <w:color w:val="auto"/>
              </w:rPr>
              <w:t>/</w:t>
            </w:r>
          </w:p>
        </w:tc>
        <w:tc>
          <w:tcPr>
            <w:tcW w:w="333" w:type="pct"/>
            <w:vAlign w:val="center"/>
          </w:tcPr>
          <w:p w14:paraId="65F82468">
            <w:pPr>
              <w:pStyle w:val="33"/>
              <w:rPr>
                <w:rFonts w:eastAsia="等线"/>
                <w:color w:val="auto"/>
              </w:rPr>
            </w:pPr>
            <w:r>
              <w:rPr>
                <w:rFonts w:hint="eastAsia" w:eastAsia="等线"/>
                <w:color w:val="auto"/>
              </w:rPr>
              <w:t>/</w:t>
            </w:r>
          </w:p>
        </w:tc>
        <w:tc>
          <w:tcPr>
            <w:tcW w:w="333" w:type="pct"/>
            <w:vAlign w:val="center"/>
          </w:tcPr>
          <w:p w14:paraId="7B999E97">
            <w:pPr>
              <w:pStyle w:val="33"/>
              <w:rPr>
                <w:rFonts w:eastAsia="等线"/>
                <w:color w:val="auto"/>
              </w:rPr>
            </w:pPr>
            <w:r>
              <w:rPr>
                <w:rFonts w:hint="eastAsia" w:eastAsia="等线"/>
                <w:color w:val="auto"/>
              </w:rPr>
              <w:t>/</w:t>
            </w:r>
          </w:p>
        </w:tc>
        <w:tc>
          <w:tcPr>
            <w:tcW w:w="397" w:type="pct"/>
            <w:vAlign w:val="center"/>
          </w:tcPr>
          <w:p w14:paraId="4F660DE0">
            <w:pPr>
              <w:pStyle w:val="33"/>
              <w:rPr>
                <w:rFonts w:eastAsia="等线"/>
                <w:color w:val="auto"/>
              </w:rPr>
            </w:pPr>
            <w:r>
              <w:rPr>
                <w:rFonts w:hint="eastAsia" w:eastAsia="等线"/>
                <w:color w:val="auto"/>
              </w:rPr>
              <w:t>/</w:t>
            </w:r>
          </w:p>
        </w:tc>
        <w:tc>
          <w:tcPr>
            <w:tcW w:w="333" w:type="pct"/>
            <w:vAlign w:val="center"/>
          </w:tcPr>
          <w:p w14:paraId="192F3081">
            <w:pPr>
              <w:pStyle w:val="33"/>
              <w:rPr>
                <w:rFonts w:eastAsia="等线"/>
                <w:color w:val="auto"/>
              </w:rPr>
            </w:pPr>
            <w:r>
              <w:rPr>
                <w:rFonts w:hint="eastAsia" w:eastAsia="等线"/>
                <w:color w:val="auto"/>
              </w:rPr>
              <w:t>/</w:t>
            </w:r>
          </w:p>
        </w:tc>
        <w:tc>
          <w:tcPr>
            <w:tcW w:w="338" w:type="pct"/>
            <w:vAlign w:val="center"/>
          </w:tcPr>
          <w:p w14:paraId="42648E71">
            <w:pPr>
              <w:pStyle w:val="33"/>
              <w:rPr>
                <w:rFonts w:eastAsia="等线"/>
                <w:color w:val="auto"/>
              </w:rPr>
            </w:pPr>
            <w:r>
              <w:rPr>
                <w:rFonts w:hint="eastAsia" w:eastAsia="等线"/>
                <w:color w:val="auto"/>
              </w:rPr>
              <w:t>/</w:t>
            </w:r>
          </w:p>
        </w:tc>
      </w:tr>
      <w:tr w14:paraId="680E4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29C49EE">
            <w:pPr>
              <w:pStyle w:val="33"/>
              <w:rPr>
                <w:rFonts w:eastAsia="等线"/>
                <w:color w:val="auto"/>
              </w:rPr>
            </w:pPr>
            <w:r>
              <w:rPr>
                <w:rFonts w:eastAsia="等线"/>
                <w:color w:val="auto"/>
              </w:rPr>
              <w:t>80</w:t>
            </w:r>
          </w:p>
        </w:tc>
        <w:tc>
          <w:tcPr>
            <w:tcW w:w="591" w:type="pct"/>
            <w:vAlign w:val="center"/>
          </w:tcPr>
          <w:p w14:paraId="30CCF91E">
            <w:pPr>
              <w:pStyle w:val="33"/>
              <w:rPr>
                <w:color w:val="auto"/>
              </w:rPr>
            </w:pPr>
            <w:r>
              <w:rPr>
                <w:rFonts w:hint="eastAsia"/>
                <w:color w:val="auto"/>
              </w:rPr>
              <w:t>硫酸车间二4#尾气喷淋塔排口DA009</w:t>
            </w:r>
          </w:p>
        </w:tc>
        <w:tc>
          <w:tcPr>
            <w:tcW w:w="333" w:type="pct"/>
            <w:vAlign w:val="center"/>
          </w:tcPr>
          <w:p w14:paraId="427DBC94">
            <w:pPr>
              <w:pStyle w:val="33"/>
              <w:rPr>
                <w:rFonts w:eastAsia="等线"/>
                <w:color w:val="auto"/>
              </w:rPr>
            </w:pPr>
            <w:r>
              <w:rPr>
                <w:rFonts w:hint="eastAsia" w:eastAsia="等线"/>
                <w:color w:val="auto"/>
              </w:rPr>
              <w:t>36</w:t>
            </w:r>
          </w:p>
        </w:tc>
        <w:tc>
          <w:tcPr>
            <w:tcW w:w="333" w:type="pct"/>
            <w:vAlign w:val="center"/>
          </w:tcPr>
          <w:p w14:paraId="6CB85AF2">
            <w:pPr>
              <w:pStyle w:val="33"/>
              <w:rPr>
                <w:rFonts w:eastAsia="等线"/>
                <w:color w:val="auto"/>
              </w:rPr>
            </w:pPr>
            <w:r>
              <w:rPr>
                <w:rFonts w:hint="eastAsia" w:eastAsia="等线"/>
                <w:color w:val="auto"/>
              </w:rPr>
              <w:t>0.8</w:t>
            </w:r>
          </w:p>
        </w:tc>
        <w:tc>
          <w:tcPr>
            <w:tcW w:w="376" w:type="pct"/>
            <w:vAlign w:val="center"/>
          </w:tcPr>
          <w:p w14:paraId="7785E64E">
            <w:pPr>
              <w:pStyle w:val="33"/>
              <w:rPr>
                <w:rFonts w:eastAsia="等线"/>
                <w:color w:val="auto"/>
              </w:rPr>
            </w:pPr>
            <w:r>
              <w:rPr>
                <w:rFonts w:hint="eastAsia" w:eastAsia="等线"/>
                <w:color w:val="auto"/>
              </w:rPr>
              <w:t>/</w:t>
            </w:r>
          </w:p>
        </w:tc>
        <w:tc>
          <w:tcPr>
            <w:tcW w:w="359" w:type="pct"/>
            <w:vAlign w:val="center"/>
          </w:tcPr>
          <w:p w14:paraId="66E129DB">
            <w:pPr>
              <w:pStyle w:val="33"/>
              <w:rPr>
                <w:rFonts w:eastAsia="等线"/>
                <w:color w:val="auto"/>
              </w:rPr>
            </w:pPr>
            <w:r>
              <w:rPr>
                <w:rFonts w:hint="eastAsia" w:eastAsia="等线"/>
                <w:color w:val="auto"/>
              </w:rPr>
              <w:t>9.2045</w:t>
            </w:r>
          </w:p>
        </w:tc>
        <w:tc>
          <w:tcPr>
            <w:tcW w:w="359" w:type="pct"/>
            <w:vAlign w:val="center"/>
          </w:tcPr>
          <w:p w14:paraId="670FA992">
            <w:pPr>
              <w:pStyle w:val="33"/>
              <w:rPr>
                <w:rFonts w:eastAsia="等线"/>
                <w:color w:val="auto"/>
              </w:rPr>
            </w:pPr>
            <w:r>
              <w:rPr>
                <w:rFonts w:hint="eastAsia" w:eastAsia="等线"/>
                <w:color w:val="auto"/>
              </w:rPr>
              <w:t>/</w:t>
            </w:r>
          </w:p>
        </w:tc>
        <w:tc>
          <w:tcPr>
            <w:tcW w:w="330" w:type="pct"/>
            <w:vAlign w:val="center"/>
          </w:tcPr>
          <w:p w14:paraId="5EE93F45">
            <w:pPr>
              <w:pStyle w:val="33"/>
              <w:rPr>
                <w:rFonts w:eastAsia="等线"/>
                <w:color w:val="auto"/>
              </w:rPr>
            </w:pPr>
            <w:r>
              <w:rPr>
                <w:rFonts w:hint="eastAsia" w:eastAsia="等线"/>
                <w:color w:val="auto"/>
              </w:rPr>
              <w:t>/</w:t>
            </w:r>
          </w:p>
        </w:tc>
        <w:tc>
          <w:tcPr>
            <w:tcW w:w="333" w:type="pct"/>
            <w:vAlign w:val="center"/>
          </w:tcPr>
          <w:p w14:paraId="352D3639">
            <w:pPr>
              <w:pStyle w:val="33"/>
              <w:rPr>
                <w:rFonts w:eastAsia="等线"/>
                <w:color w:val="auto"/>
              </w:rPr>
            </w:pPr>
            <w:r>
              <w:rPr>
                <w:rFonts w:hint="eastAsia" w:eastAsia="等线"/>
                <w:color w:val="auto"/>
              </w:rPr>
              <w:t>/</w:t>
            </w:r>
          </w:p>
        </w:tc>
        <w:tc>
          <w:tcPr>
            <w:tcW w:w="333" w:type="pct"/>
            <w:vAlign w:val="center"/>
          </w:tcPr>
          <w:p w14:paraId="228601B9">
            <w:pPr>
              <w:pStyle w:val="33"/>
              <w:rPr>
                <w:rFonts w:eastAsia="等线"/>
                <w:color w:val="auto"/>
              </w:rPr>
            </w:pPr>
            <w:r>
              <w:rPr>
                <w:rFonts w:hint="eastAsia" w:eastAsia="等线"/>
                <w:color w:val="auto"/>
              </w:rPr>
              <w:t>/</w:t>
            </w:r>
          </w:p>
        </w:tc>
        <w:tc>
          <w:tcPr>
            <w:tcW w:w="333" w:type="pct"/>
            <w:vAlign w:val="center"/>
          </w:tcPr>
          <w:p w14:paraId="09FCE7F5">
            <w:pPr>
              <w:pStyle w:val="33"/>
              <w:rPr>
                <w:rFonts w:eastAsia="等线"/>
                <w:color w:val="auto"/>
              </w:rPr>
            </w:pPr>
            <w:r>
              <w:rPr>
                <w:rFonts w:hint="eastAsia" w:eastAsia="等线"/>
                <w:color w:val="auto"/>
              </w:rPr>
              <w:t>/</w:t>
            </w:r>
          </w:p>
        </w:tc>
        <w:tc>
          <w:tcPr>
            <w:tcW w:w="397" w:type="pct"/>
            <w:vAlign w:val="center"/>
          </w:tcPr>
          <w:p w14:paraId="465B5C00">
            <w:pPr>
              <w:pStyle w:val="33"/>
              <w:rPr>
                <w:rFonts w:eastAsia="等线"/>
                <w:color w:val="auto"/>
              </w:rPr>
            </w:pPr>
            <w:r>
              <w:rPr>
                <w:rFonts w:hint="eastAsia" w:eastAsia="等线"/>
                <w:color w:val="auto"/>
              </w:rPr>
              <w:t>/</w:t>
            </w:r>
          </w:p>
        </w:tc>
        <w:tc>
          <w:tcPr>
            <w:tcW w:w="333" w:type="pct"/>
            <w:vAlign w:val="center"/>
          </w:tcPr>
          <w:p w14:paraId="39E5361B">
            <w:pPr>
              <w:pStyle w:val="33"/>
              <w:rPr>
                <w:rFonts w:eastAsia="等线"/>
                <w:color w:val="auto"/>
              </w:rPr>
            </w:pPr>
            <w:r>
              <w:rPr>
                <w:rFonts w:hint="eastAsia" w:eastAsia="等线"/>
                <w:color w:val="auto"/>
              </w:rPr>
              <w:t>/</w:t>
            </w:r>
          </w:p>
        </w:tc>
        <w:tc>
          <w:tcPr>
            <w:tcW w:w="338" w:type="pct"/>
            <w:vAlign w:val="center"/>
          </w:tcPr>
          <w:p w14:paraId="295975F0">
            <w:pPr>
              <w:pStyle w:val="33"/>
              <w:rPr>
                <w:rFonts w:eastAsia="等线"/>
                <w:color w:val="auto"/>
              </w:rPr>
            </w:pPr>
            <w:r>
              <w:rPr>
                <w:rFonts w:hint="eastAsia" w:eastAsia="等线"/>
                <w:color w:val="auto"/>
              </w:rPr>
              <w:t>/</w:t>
            </w:r>
          </w:p>
        </w:tc>
      </w:tr>
      <w:tr w14:paraId="40603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5D2C639">
            <w:pPr>
              <w:pStyle w:val="33"/>
              <w:rPr>
                <w:rFonts w:eastAsia="等线"/>
                <w:color w:val="auto"/>
              </w:rPr>
            </w:pPr>
            <w:r>
              <w:rPr>
                <w:rFonts w:eastAsia="等线"/>
                <w:color w:val="auto"/>
              </w:rPr>
              <w:t>81</w:t>
            </w:r>
          </w:p>
        </w:tc>
        <w:tc>
          <w:tcPr>
            <w:tcW w:w="591" w:type="pct"/>
            <w:vAlign w:val="center"/>
          </w:tcPr>
          <w:p w14:paraId="020B28BD">
            <w:pPr>
              <w:pStyle w:val="33"/>
              <w:rPr>
                <w:color w:val="auto"/>
              </w:rPr>
            </w:pPr>
            <w:r>
              <w:rPr>
                <w:rFonts w:hint="eastAsia"/>
                <w:color w:val="auto"/>
              </w:rPr>
              <w:t>盐酸车间1#尾气喷淋塔排口DA010</w:t>
            </w:r>
          </w:p>
        </w:tc>
        <w:tc>
          <w:tcPr>
            <w:tcW w:w="333" w:type="pct"/>
            <w:vAlign w:val="center"/>
          </w:tcPr>
          <w:p w14:paraId="01269EB3">
            <w:pPr>
              <w:pStyle w:val="33"/>
              <w:rPr>
                <w:rFonts w:eastAsia="等线"/>
                <w:color w:val="auto"/>
              </w:rPr>
            </w:pPr>
            <w:r>
              <w:rPr>
                <w:rFonts w:hint="eastAsia" w:eastAsia="等线"/>
                <w:color w:val="auto"/>
              </w:rPr>
              <w:t>36</w:t>
            </w:r>
          </w:p>
        </w:tc>
        <w:tc>
          <w:tcPr>
            <w:tcW w:w="333" w:type="pct"/>
            <w:vAlign w:val="center"/>
          </w:tcPr>
          <w:p w14:paraId="41A2E9CF">
            <w:pPr>
              <w:pStyle w:val="33"/>
              <w:rPr>
                <w:rFonts w:eastAsia="等线"/>
                <w:color w:val="auto"/>
              </w:rPr>
            </w:pPr>
            <w:r>
              <w:rPr>
                <w:rFonts w:hint="eastAsia" w:eastAsia="等线"/>
                <w:color w:val="auto"/>
              </w:rPr>
              <w:t>0.8</w:t>
            </w:r>
          </w:p>
        </w:tc>
        <w:tc>
          <w:tcPr>
            <w:tcW w:w="376" w:type="pct"/>
            <w:vAlign w:val="center"/>
          </w:tcPr>
          <w:p w14:paraId="21F07E31">
            <w:pPr>
              <w:pStyle w:val="33"/>
              <w:rPr>
                <w:rFonts w:eastAsia="等线"/>
                <w:color w:val="auto"/>
              </w:rPr>
            </w:pPr>
            <w:r>
              <w:rPr>
                <w:rFonts w:hint="eastAsia" w:eastAsia="等线"/>
                <w:color w:val="auto"/>
              </w:rPr>
              <w:t>/</w:t>
            </w:r>
          </w:p>
        </w:tc>
        <w:tc>
          <w:tcPr>
            <w:tcW w:w="359" w:type="pct"/>
            <w:vAlign w:val="center"/>
          </w:tcPr>
          <w:p w14:paraId="2225D5ED">
            <w:pPr>
              <w:pStyle w:val="33"/>
              <w:rPr>
                <w:rFonts w:eastAsia="等线"/>
                <w:color w:val="auto"/>
              </w:rPr>
            </w:pPr>
            <w:r>
              <w:rPr>
                <w:rFonts w:hint="eastAsia" w:eastAsia="等线"/>
                <w:color w:val="auto"/>
              </w:rPr>
              <w:t>/</w:t>
            </w:r>
          </w:p>
        </w:tc>
        <w:tc>
          <w:tcPr>
            <w:tcW w:w="359" w:type="pct"/>
            <w:vAlign w:val="center"/>
          </w:tcPr>
          <w:p w14:paraId="208C9A73">
            <w:pPr>
              <w:pStyle w:val="33"/>
              <w:rPr>
                <w:rFonts w:eastAsia="等线"/>
                <w:color w:val="auto"/>
              </w:rPr>
            </w:pPr>
            <w:r>
              <w:rPr>
                <w:rFonts w:hint="eastAsia" w:eastAsia="等线"/>
                <w:color w:val="auto"/>
              </w:rPr>
              <w:t>/</w:t>
            </w:r>
          </w:p>
        </w:tc>
        <w:tc>
          <w:tcPr>
            <w:tcW w:w="330" w:type="pct"/>
            <w:vAlign w:val="center"/>
          </w:tcPr>
          <w:p w14:paraId="4D0DEDD7">
            <w:pPr>
              <w:pStyle w:val="33"/>
              <w:rPr>
                <w:rFonts w:eastAsia="等线"/>
                <w:color w:val="auto"/>
              </w:rPr>
            </w:pPr>
            <w:r>
              <w:rPr>
                <w:rFonts w:hint="eastAsia" w:eastAsia="等线"/>
                <w:color w:val="auto"/>
              </w:rPr>
              <w:t>/</w:t>
            </w:r>
          </w:p>
        </w:tc>
        <w:tc>
          <w:tcPr>
            <w:tcW w:w="333" w:type="pct"/>
            <w:vAlign w:val="center"/>
          </w:tcPr>
          <w:p w14:paraId="2A6A368F">
            <w:pPr>
              <w:pStyle w:val="33"/>
              <w:rPr>
                <w:rFonts w:eastAsia="等线"/>
                <w:color w:val="auto"/>
              </w:rPr>
            </w:pPr>
            <w:r>
              <w:rPr>
                <w:rFonts w:hint="eastAsia" w:eastAsia="等线"/>
                <w:color w:val="auto"/>
              </w:rPr>
              <w:t>/</w:t>
            </w:r>
          </w:p>
        </w:tc>
        <w:tc>
          <w:tcPr>
            <w:tcW w:w="333" w:type="pct"/>
            <w:vAlign w:val="center"/>
          </w:tcPr>
          <w:p w14:paraId="47BBE38A">
            <w:pPr>
              <w:pStyle w:val="33"/>
              <w:rPr>
                <w:rFonts w:eastAsia="等线"/>
                <w:color w:val="auto"/>
              </w:rPr>
            </w:pPr>
            <w:r>
              <w:rPr>
                <w:rFonts w:hint="eastAsia" w:eastAsia="等线"/>
                <w:color w:val="auto"/>
              </w:rPr>
              <w:t>0.5682</w:t>
            </w:r>
          </w:p>
        </w:tc>
        <w:tc>
          <w:tcPr>
            <w:tcW w:w="333" w:type="pct"/>
            <w:vAlign w:val="center"/>
          </w:tcPr>
          <w:p w14:paraId="0E150BF0">
            <w:pPr>
              <w:pStyle w:val="33"/>
              <w:rPr>
                <w:rFonts w:eastAsia="等线"/>
                <w:color w:val="auto"/>
              </w:rPr>
            </w:pPr>
            <w:r>
              <w:rPr>
                <w:rFonts w:hint="eastAsia" w:eastAsia="等线"/>
                <w:color w:val="auto"/>
              </w:rPr>
              <w:t>/</w:t>
            </w:r>
          </w:p>
        </w:tc>
        <w:tc>
          <w:tcPr>
            <w:tcW w:w="397" w:type="pct"/>
            <w:vAlign w:val="center"/>
          </w:tcPr>
          <w:p w14:paraId="5877B1C1">
            <w:pPr>
              <w:pStyle w:val="33"/>
              <w:rPr>
                <w:rFonts w:eastAsia="等线"/>
                <w:color w:val="auto"/>
              </w:rPr>
            </w:pPr>
            <w:r>
              <w:rPr>
                <w:rFonts w:hint="eastAsia" w:eastAsia="等线"/>
                <w:color w:val="auto"/>
              </w:rPr>
              <w:t>/</w:t>
            </w:r>
          </w:p>
        </w:tc>
        <w:tc>
          <w:tcPr>
            <w:tcW w:w="333" w:type="pct"/>
            <w:vAlign w:val="center"/>
          </w:tcPr>
          <w:p w14:paraId="02EB2277">
            <w:pPr>
              <w:pStyle w:val="33"/>
              <w:rPr>
                <w:rFonts w:eastAsia="等线"/>
                <w:color w:val="auto"/>
              </w:rPr>
            </w:pPr>
            <w:r>
              <w:rPr>
                <w:rFonts w:hint="eastAsia" w:eastAsia="等线"/>
                <w:color w:val="auto"/>
              </w:rPr>
              <w:t>/</w:t>
            </w:r>
          </w:p>
        </w:tc>
        <w:tc>
          <w:tcPr>
            <w:tcW w:w="338" w:type="pct"/>
            <w:vAlign w:val="center"/>
          </w:tcPr>
          <w:p w14:paraId="1195F18C">
            <w:pPr>
              <w:pStyle w:val="33"/>
              <w:rPr>
                <w:rFonts w:eastAsia="等线"/>
                <w:color w:val="auto"/>
              </w:rPr>
            </w:pPr>
            <w:r>
              <w:rPr>
                <w:rFonts w:hint="eastAsia" w:eastAsia="等线"/>
                <w:color w:val="auto"/>
              </w:rPr>
              <w:t>/</w:t>
            </w:r>
          </w:p>
        </w:tc>
      </w:tr>
      <w:tr w14:paraId="61455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45642B57">
            <w:pPr>
              <w:pStyle w:val="33"/>
              <w:rPr>
                <w:rFonts w:eastAsia="等线"/>
                <w:color w:val="auto"/>
              </w:rPr>
            </w:pPr>
            <w:r>
              <w:rPr>
                <w:rFonts w:eastAsia="等线"/>
                <w:color w:val="auto"/>
              </w:rPr>
              <w:t>82</w:t>
            </w:r>
          </w:p>
        </w:tc>
        <w:tc>
          <w:tcPr>
            <w:tcW w:w="591" w:type="pct"/>
            <w:vAlign w:val="center"/>
          </w:tcPr>
          <w:p w14:paraId="2EDF9195">
            <w:pPr>
              <w:pStyle w:val="33"/>
              <w:rPr>
                <w:color w:val="auto"/>
              </w:rPr>
            </w:pPr>
            <w:r>
              <w:rPr>
                <w:rFonts w:hint="eastAsia"/>
                <w:color w:val="auto"/>
              </w:rPr>
              <w:t>盐酸车间2#尾气喷淋塔排口DA011</w:t>
            </w:r>
          </w:p>
        </w:tc>
        <w:tc>
          <w:tcPr>
            <w:tcW w:w="333" w:type="pct"/>
            <w:vAlign w:val="center"/>
          </w:tcPr>
          <w:p w14:paraId="51E0C6F6">
            <w:pPr>
              <w:pStyle w:val="33"/>
              <w:rPr>
                <w:rFonts w:eastAsia="等线"/>
                <w:color w:val="auto"/>
              </w:rPr>
            </w:pPr>
            <w:r>
              <w:rPr>
                <w:rFonts w:hint="eastAsia" w:eastAsia="等线"/>
                <w:color w:val="auto"/>
              </w:rPr>
              <w:t>36</w:t>
            </w:r>
          </w:p>
        </w:tc>
        <w:tc>
          <w:tcPr>
            <w:tcW w:w="333" w:type="pct"/>
            <w:vAlign w:val="center"/>
          </w:tcPr>
          <w:p w14:paraId="373DB04C">
            <w:pPr>
              <w:pStyle w:val="33"/>
              <w:rPr>
                <w:rFonts w:eastAsia="等线"/>
                <w:color w:val="auto"/>
              </w:rPr>
            </w:pPr>
            <w:r>
              <w:rPr>
                <w:rFonts w:hint="eastAsia" w:eastAsia="等线"/>
                <w:color w:val="auto"/>
              </w:rPr>
              <w:t>0.8</w:t>
            </w:r>
          </w:p>
        </w:tc>
        <w:tc>
          <w:tcPr>
            <w:tcW w:w="376" w:type="pct"/>
            <w:vAlign w:val="center"/>
          </w:tcPr>
          <w:p w14:paraId="54A120C9">
            <w:pPr>
              <w:pStyle w:val="33"/>
              <w:rPr>
                <w:rFonts w:eastAsia="等线"/>
                <w:color w:val="auto"/>
              </w:rPr>
            </w:pPr>
            <w:r>
              <w:rPr>
                <w:rFonts w:hint="eastAsia" w:eastAsia="等线"/>
                <w:color w:val="auto"/>
              </w:rPr>
              <w:t>/</w:t>
            </w:r>
          </w:p>
        </w:tc>
        <w:tc>
          <w:tcPr>
            <w:tcW w:w="359" w:type="pct"/>
            <w:vAlign w:val="center"/>
          </w:tcPr>
          <w:p w14:paraId="44739C4E">
            <w:pPr>
              <w:pStyle w:val="33"/>
              <w:rPr>
                <w:rFonts w:eastAsia="等线"/>
                <w:color w:val="auto"/>
              </w:rPr>
            </w:pPr>
          </w:p>
        </w:tc>
        <w:tc>
          <w:tcPr>
            <w:tcW w:w="359" w:type="pct"/>
            <w:vAlign w:val="center"/>
          </w:tcPr>
          <w:p w14:paraId="22403BA6">
            <w:pPr>
              <w:pStyle w:val="33"/>
              <w:rPr>
                <w:rFonts w:eastAsia="等线"/>
                <w:color w:val="auto"/>
              </w:rPr>
            </w:pPr>
            <w:r>
              <w:rPr>
                <w:rFonts w:hint="eastAsia" w:eastAsia="等线"/>
                <w:color w:val="auto"/>
              </w:rPr>
              <w:t>/</w:t>
            </w:r>
          </w:p>
        </w:tc>
        <w:tc>
          <w:tcPr>
            <w:tcW w:w="330" w:type="pct"/>
            <w:vAlign w:val="center"/>
          </w:tcPr>
          <w:p w14:paraId="153D0495">
            <w:pPr>
              <w:pStyle w:val="33"/>
              <w:rPr>
                <w:rFonts w:eastAsia="等线"/>
                <w:color w:val="auto"/>
              </w:rPr>
            </w:pPr>
            <w:r>
              <w:rPr>
                <w:rFonts w:hint="eastAsia" w:eastAsia="等线"/>
                <w:color w:val="auto"/>
              </w:rPr>
              <w:t>/</w:t>
            </w:r>
          </w:p>
        </w:tc>
        <w:tc>
          <w:tcPr>
            <w:tcW w:w="333" w:type="pct"/>
            <w:vAlign w:val="center"/>
          </w:tcPr>
          <w:p w14:paraId="60E58139">
            <w:pPr>
              <w:pStyle w:val="33"/>
              <w:rPr>
                <w:rFonts w:eastAsia="等线"/>
                <w:color w:val="auto"/>
              </w:rPr>
            </w:pPr>
            <w:r>
              <w:rPr>
                <w:rFonts w:hint="eastAsia" w:eastAsia="等线"/>
                <w:color w:val="auto"/>
              </w:rPr>
              <w:t>/</w:t>
            </w:r>
          </w:p>
        </w:tc>
        <w:tc>
          <w:tcPr>
            <w:tcW w:w="333" w:type="pct"/>
            <w:vAlign w:val="center"/>
          </w:tcPr>
          <w:p w14:paraId="5F9B5148">
            <w:pPr>
              <w:pStyle w:val="33"/>
              <w:rPr>
                <w:rFonts w:eastAsia="等线"/>
                <w:color w:val="auto"/>
              </w:rPr>
            </w:pPr>
            <w:r>
              <w:rPr>
                <w:rFonts w:hint="eastAsia" w:eastAsia="等线"/>
                <w:color w:val="auto"/>
              </w:rPr>
              <w:t>0.5682</w:t>
            </w:r>
          </w:p>
        </w:tc>
        <w:tc>
          <w:tcPr>
            <w:tcW w:w="333" w:type="pct"/>
            <w:vAlign w:val="center"/>
          </w:tcPr>
          <w:p w14:paraId="648A0E5F">
            <w:pPr>
              <w:pStyle w:val="33"/>
              <w:rPr>
                <w:rFonts w:eastAsia="等线"/>
                <w:color w:val="auto"/>
              </w:rPr>
            </w:pPr>
            <w:r>
              <w:rPr>
                <w:rFonts w:hint="eastAsia" w:eastAsia="等线"/>
                <w:color w:val="auto"/>
              </w:rPr>
              <w:t>/</w:t>
            </w:r>
          </w:p>
        </w:tc>
        <w:tc>
          <w:tcPr>
            <w:tcW w:w="397" w:type="pct"/>
            <w:vAlign w:val="center"/>
          </w:tcPr>
          <w:p w14:paraId="1F563CD6">
            <w:pPr>
              <w:pStyle w:val="33"/>
              <w:rPr>
                <w:rFonts w:eastAsia="等线"/>
                <w:color w:val="auto"/>
              </w:rPr>
            </w:pPr>
            <w:r>
              <w:rPr>
                <w:rFonts w:hint="eastAsia" w:eastAsia="等线"/>
                <w:color w:val="auto"/>
              </w:rPr>
              <w:t>/</w:t>
            </w:r>
          </w:p>
        </w:tc>
        <w:tc>
          <w:tcPr>
            <w:tcW w:w="333" w:type="pct"/>
            <w:vAlign w:val="center"/>
          </w:tcPr>
          <w:p w14:paraId="4A68ADEA">
            <w:pPr>
              <w:pStyle w:val="33"/>
              <w:rPr>
                <w:rFonts w:eastAsia="等线"/>
                <w:color w:val="auto"/>
              </w:rPr>
            </w:pPr>
            <w:r>
              <w:rPr>
                <w:rFonts w:hint="eastAsia" w:eastAsia="等线"/>
                <w:color w:val="auto"/>
              </w:rPr>
              <w:t>/</w:t>
            </w:r>
          </w:p>
        </w:tc>
        <w:tc>
          <w:tcPr>
            <w:tcW w:w="338" w:type="pct"/>
            <w:vAlign w:val="center"/>
          </w:tcPr>
          <w:p w14:paraId="2CE4D17C">
            <w:pPr>
              <w:pStyle w:val="33"/>
              <w:rPr>
                <w:rFonts w:eastAsia="等线"/>
                <w:color w:val="auto"/>
              </w:rPr>
            </w:pPr>
            <w:r>
              <w:rPr>
                <w:rFonts w:hint="eastAsia" w:eastAsia="等线"/>
                <w:color w:val="auto"/>
              </w:rPr>
              <w:t>/</w:t>
            </w:r>
          </w:p>
        </w:tc>
      </w:tr>
      <w:tr w14:paraId="4B4D0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BFFCF5B">
            <w:pPr>
              <w:pStyle w:val="33"/>
              <w:rPr>
                <w:rFonts w:eastAsia="等线"/>
                <w:color w:val="auto"/>
              </w:rPr>
            </w:pPr>
            <w:r>
              <w:rPr>
                <w:rFonts w:eastAsia="等线"/>
                <w:color w:val="auto"/>
              </w:rPr>
              <w:t>83</w:t>
            </w:r>
          </w:p>
        </w:tc>
        <w:tc>
          <w:tcPr>
            <w:tcW w:w="591" w:type="pct"/>
            <w:vAlign w:val="center"/>
          </w:tcPr>
          <w:p w14:paraId="5FC29BBE">
            <w:pPr>
              <w:pStyle w:val="33"/>
              <w:rPr>
                <w:color w:val="auto"/>
              </w:rPr>
            </w:pPr>
            <w:r>
              <w:rPr>
                <w:rFonts w:hint="eastAsia"/>
                <w:color w:val="auto"/>
              </w:rPr>
              <w:t>电子级氨水工艺尾气排口 DA012</w:t>
            </w:r>
          </w:p>
        </w:tc>
        <w:tc>
          <w:tcPr>
            <w:tcW w:w="333" w:type="pct"/>
            <w:vAlign w:val="center"/>
          </w:tcPr>
          <w:p w14:paraId="47DD9F04">
            <w:pPr>
              <w:pStyle w:val="33"/>
              <w:rPr>
                <w:rFonts w:eastAsia="等线"/>
                <w:color w:val="auto"/>
              </w:rPr>
            </w:pPr>
            <w:r>
              <w:rPr>
                <w:rFonts w:hint="eastAsia" w:eastAsia="等线"/>
                <w:color w:val="auto"/>
              </w:rPr>
              <w:t>29</w:t>
            </w:r>
          </w:p>
        </w:tc>
        <w:tc>
          <w:tcPr>
            <w:tcW w:w="333" w:type="pct"/>
            <w:vAlign w:val="center"/>
          </w:tcPr>
          <w:p w14:paraId="1C2A31E0">
            <w:pPr>
              <w:pStyle w:val="33"/>
              <w:rPr>
                <w:rFonts w:eastAsia="等线"/>
                <w:color w:val="auto"/>
              </w:rPr>
            </w:pPr>
            <w:r>
              <w:rPr>
                <w:rFonts w:hint="eastAsia" w:eastAsia="等线"/>
                <w:color w:val="auto"/>
              </w:rPr>
              <w:t>0.8</w:t>
            </w:r>
          </w:p>
        </w:tc>
        <w:tc>
          <w:tcPr>
            <w:tcW w:w="376" w:type="pct"/>
            <w:vAlign w:val="center"/>
          </w:tcPr>
          <w:p w14:paraId="19C8148D">
            <w:pPr>
              <w:pStyle w:val="33"/>
              <w:rPr>
                <w:rFonts w:eastAsia="等线"/>
                <w:color w:val="auto"/>
              </w:rPr>
            </w:pPr>
            <w:r>
              <w:rPr>
                <w:rFonts w:hint="eastAsia" w:eastAsia="等线"/>
                <w:color w:val="auto"/>
              </w:rPr>
              <w:t>/</w:t>
            </w:r>
          </w:p>
        </w:tc>
        <w:tc>
          <w:tcPr>
            <w:tcW w:w="359" w:type="pct"/>
            <w:vAlign w:val="center"/>
          </w:tcPr>
          <w:p w14:paraId="2BC92537">
            <w:pPr>
              <w:pStyle w:val="33"/>
              <w:rPr>
                <w:rFonts w:eastAsia="等线"/>
                <w:color w:val="auto"/>
              </w:rPr>
            </w:pPr>
            <w:r>
              <w:rPr>
                <w:rFonts w:hint="eastAsia" w:eastAsia="等线"/>
                <w:color w:val="auto"/>
              </w:rPr>
              <w:t>/</w:t>
            </w:r>
          </w:p>
        </w:tc>
        <w:tc>
          <w:tcPr>
            <w:tcW w:w="359" w:type="pct"/>
            <w:vAlign w:val="center"/>
          </w:tcPr>
          <w:p w14:paraId="5EA5671A">
            <w:pPr>
              <w:pStyle w:val="33"/>
              <w:rPr>
                <w:rFonts w:eastAsia="等线"/>
                <w:color w:val="auto"/>
              </w:rPr>
            </w:pPr>
            <w:r>
              <w:rPr>
                <w:rFonts w:hint="eastAsia" w:eastAsia="等线"/>
                <w:color w:val="auto"/>
              </w:rPr>
              <w:t>/</w:t>
            </w:r>
          </w:p>
        </w:tc>
        <w:tc>
          <w:tcPr>
            <w:tcW w:w="330" w:type="pct"/>
            <w:vAlign w:val="center"/>
          </w:tcPr>
          <w:p w14:paraId="0A712C29">
            <w:pPr>
              <w:pStyle w:val="33"/>
              <w:rPr>
                <w:rFonts w:eastAsia="等线"/>
                <w:color w:val="auto"/>
              </w:rPr>
            </w:pPr>
            <w:r>
              <w:rPr>
                <w:rFonts w:hint="eastAsia" w:eastAsia="等线"/>
                <w:color w:val="auto"/>
              </w:rPr>
              <w:t>/</w:t>
            </w:r>
          </w:p>
        </w:tc>
        <w:tc>
          <w:tcPr>
            <w:tcW w:w="333" w:type="pct"/>
            <w:vAlign w:val="center"/>
          </w:tcPr>
          <w:p w14:paraId="32B7E0F6">
            <w:pPr>
              <w:pStyle w:val="33"/>
              <w:rPr>
                <w:rFonts w:eastAsia="等线"/>
                <w:color w:val="auto"/>
              </w:rPr>
            </w:pPr>
            <w:r>
              <w:rPr>
                <w:rFonts w:hint="eastAsia" w:eastAsia="等线"/>
                <w:color w:val="auto"/>
              </w:rPr>
              <w:t>/</w:t>
            </w:r>
          </w:p>
        </w:tc>
        <w:tc>
          <w:tcPr>
            <w:tcW w:w="333" w:type="pct"/>
            <w:vAlign w:val="center"/>
          </w:tcPr>
          <w:p w14:paraId="533DFC75">
            <w:pPr>
              <w:pStyle w:val="33"/>
              <w:rPr>
                <w:rFonts w:eastAsia="等线"/>
                <w:color w:val="auto"/>
              </w:rPr>
            </w:pPr>
            <w:r>
              <w:rPr>
                <w:rFonts w:hint="eastAsia" w:eastAsia="等线"/>
                <w:color w:val="auto"/>
              </w:rPr>
              <w:t>/</w:t>
            </w:r>
          </w:p>
        </w:tc>
        <w:tc>
          <w:tcPr>
            <w:tcW w:w="333" w:type="pct"/>
            <w:vAlign w:val="center"/>
          </w:tcPr>
          <w:p w14:paraId="0C0AEC19">
            <w:pPr>
              <w:pStyle w:val="33"/>
              <w:rPr>
                <w:rFonts w:eastAsia="等线"/>
                <w:color w:val="auto"/>
              </w:rPr>
            </w:pPr>
            <w:r>
              <w:rPr>
                <w:rFonts w:hint="eastAsia" w:eastAsia="等线"/>
                <w:color w:val="auto"/>
              </w:rPr>
              <w:t>0.5682</w:t>
            </w:r>
          </w:p>
        </w:tc>
        <w:tc>
          <w:tcPr>
            <w:tcW w:w="397" w:type="pct"/>
            <w:vAlign w:val="center"/>
          </w:tcPr>
          <w:p w14:paraId="1A103B86">
            <w:pPr>
              <w:pStyle w:val="33"/>
              <w:rPr>
                <w:rFonts w:eastAsia="等线"/>
                <w:color w:val="auto"/>
              </w:rPr>
            </w:pPr>
            <w:r>
              <w:rPr>
                <w:rFonts w:hint="eastAsia" w:eastAsia="等线"/>
                <w:color w:val="auto"/>
              </w:rPr>
              <w:t>/</w:t>
            </w:r>
          </w:p>
        </w:tc>
        <w:tc>
          <w:tcPr>
            <w:tcW w:w="333" w:type="pct"/>
            <w:vAlign w:val="center"/>
          </w:tcPr>
          <w:p w14:paraId="7BC83F3F">
            <w:pPr>
              <w:pStyle w:val="33"/>
              <w:rPr>
                <w:rFonts w:eastAsia="等线"/>
                <w:color w:val="auto"/>
              </w:rPr>
            </w:pPr>
            <w:r>
              <w:rPr>
                <w:rFonts w:hint="eastAsia" w:eastAsia="等线"/>
                <w:color w:val="auto"/>
              </w:rPr>
              <w:t>/</w:t>
            </w:r>
          </w:p>
        </w:tc>
        <w:tc>
          <w:tcPr>
            <w:tcW w:w="338" w:type="pct"/>
            <w:vAlign w:val="center"/>
          </w:tcPr>
          <w:p w14:paraId="4C2F3D3C">
            <w:pPr>
              <w:pStyle w:val="33"/>
              <w:rPr>
                <w:rFonts w:eastAsia="等线"/>
                <w:color w:val="auto"/>
              </w:rPr>
            </w:pPr>
            <w:r>
              <w:rPr>
                <w:rFonts w:hint="eastAsia" w:eastAsia="等线"/>
                <w:color w:val="auto"/>
              </w:rPr>
              <w:t>/</w:t>
            </w:r>
          </w:p>
        </w:tc>
      </w:tr>
      <w:tr w14:paraId="53125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665D2505">
            <w:pPr>
              <w:pStyle w:val="33"/>
              <w:rPr>
                <w:rFonts w:eastAsia="等线"/>
                <w:color w:val="auto"/>
              </w:rPr>
            </w:pPr>
            <w:r>
              <w:rPr>
                <w:rFonts w:eastAsia="等线"/>
                <w:color w:val="auto"/>
              </w:rPr>
              <w:t>84</w:t>
            </w:r>
          </w:p>
        </w:tc>
        <w:tc>
          <w:tcPr>
            <w:tcW w:w="591" w:type="pct"/>
            <w:vAlign w:val="center"/>
          </w:tcPr>
          <w:p w14:paraId="1E621DFD">
            <w:pPr>
              <w:pStyle w:val="33"/>
              <w:rPr>
                <w:color w:val="auto"/>
              </w:rPr>
            </w:pPr>
            <w:r>
              <w:rPr>
                <w:rFonts w:hint="eastAsia"/>
                <w:color w:val="auto"/>
              </w:rPr>
              <w:t>电子级IPA工艺尾气排口 DA013</w:t>
            </w:r>
          </w:p>
        </w:tc>
        <w:tc>
          <w:tcPr>
            <w:tcW w:w="333" w:type="pct"/>
            <w:vAlign w:val="center"/>
          </w:tcPr>
          <w:p w14:paraId="35253F57">
            <w:pPr>
              <w:pStyle w:val="33"/>
              <w:rPr>
                <w:rFonts w:eastAsia="等线"/>
                <w:color w:val="auto"/>
              </w:rPr>
            </w:pPr>
            <w:r>
              <w:rPr>
                <w:rFonts w:hint="eastAsia" w:eastAsia="等线"/>
                <w:color w:val="auto"/>
              </w:rPr>
              <w:t>47</w:t>
            </w:r>
          </w:p>
        </w:tc>
        <w:tc>
          <w:tcPr>
            <w:tcW w:w="333" w:type="pct"/>
            <w:vAlign w:val="center"/>
          </w:tcPr>
          <w:p w14:paraId="70FBAA92">
            <w:pPr>
              <w:pStyle w:val="33"/>
              <w:rPr>
                <w:rFonts w:eastAsia="等线"/>
                <w:color w:val="auto"/>
              </w:rPr>
            </w:pPr>
            <w:r>
              <w:rPr>
                <w:rFonts w:hint="eastAsia" w:eastAsia="等线"/>
                <w:color w:val="auto"/>
              </w:rPr>
              <w:t>0.8</w:t>
            </w:r>
          </w:p>
        </w:tc>
        <w:tc>
          <w:tcPr>
            <w:tcW w:w="376" w:type="pct"/>
            <w:vAlign w:val="center"/>
          </w:tcPr>
          <w:p w14:paraId="01CB8533">
            <w:pPr>
              <w:pStyle w:val="33"/>
              <w:rPr>
                <w:rFonts w:eastAsia="等线"/>
                <w:color w:val="auto"/>
              </w:rPr>
            </w:pPr>
            <w:r>
              <w:rPr>
                <w:rFonts w:hint="eastAsia" w:eastAsia="等线"/>
                <w:color w:val="auto"/>
              </w:rPr>
              <w:t>/</w:t>
            </w:r>
          </w:p>
        </w:tc>
        <w:tc>
          <w:tcPr>
            <w:tcW w:w="359" w:type="pct"/>
            <w:vAlign w:val="center"/>
          </w:tcPr>
          <w:p w14:paraId="77C1A734">
            <w:pPr>
              <w:pStyle w:val="33"/>
              <w:rPr>
                <w:rFonts w:eastAsia="等线"/>
                <w:color w:val="auto"/>
              </w:rPr>
            </w:pPr>
            <w:r>
              <w:rPr>
                <w:rFonts w:hint="eastAsia" w:eastAsia="等线"/>
                <w:color w:val="auto"/>
              </w:rPr>
              <w:t>/</w:t>
            </w:r>
          </w:p>
        </w:tc>
        <w:tc>
          <w:tcPr>
            <w:tcW w:w="359" w:type="pct"/>
            <w:vAlign w:val="center"/>
          </w:tcPr>
          <w:p w14:paraId="5B386024">
            <w:pPr>
              <w:pStyle w:val="33"/>
              <w:rPr>
                <w:rFonts w:eastAsia="等线"/>
                <w:color w:val="auto"/>
              </w:rPr>
            </w:pPr>
            <w:r>
              <w:rPr>
                <w:rFonts w:hint="eastAsia" w:eastAsia="等线"/>
                <w:color w:val="auto"/>
              </w:rPr>
              <w:t>/</w:t>
            </w:r>
          </w:p>
        </w:tc>
        <w:tc>
          <w:tcPr>
            <w:tcW w:w="330" w:type="pct"/>
            <w:vAlign w:val="center"/>
          </w:tcPr>
          <w:p w14:paraId="1CCD255D">
            <w:pPr>
              <w:pStyle w:val="33"/>
              <w:rPr>
                <w:rFonts w:eastAsia="等线"/>
                <w:color w:val="auto"/>
              </w:rPr>
            </w:pPr>
            <w:r>
              <w:rPr>
                <w:rFonts w:hint="eastAsia" w:eastAsia="等线"/>
                <w:color w:val="auto"/>
              </w:rPr>
              <w:t>/</w:t>
            </w:r>
          </w:p>
        </w:tc>
        <w:tc>
          <w:tcPr>
            <w:tcW w:w="333" w:type="pct"/>
            <w:vAlign w:val="center"/>
          </w:tcPr>
          <w:p w14:paraId="051F23ED">
            <w:pPr>
              <w:pStyle w:val="33"/>
              <w:rPr>
                <w:rFonts w:eastAsia="等线"/>
                <w:color w:val="auto"/>
              </w:rPr>
            </w:pPr>
            <w:r>
              <w:rPr>
                <w:rFonts w:hint="eastAsia" w:eastAsia="等线"/>
                <w:color w:val="auto"/>
              </w:rPr>
              <w:t>/</w:t>
            </w:r>
          </w:p>
        </w:tc>
        <w:tc>
          <w:tcPr>
            <w:tcW w:w="333" w:type="pct"/>
            <w:vAlign w:val="center"/>
          </w:tcPr>
          <w:p w14:paraId="16B1E4FC">
            <w:pPr>
              <w:pStyle w:val="33"/>
              <w:rPr>
                <w:rFonts w:eastAsia="等线"/>
                <w:color w:val="auto"/>
              </w:rPr>
            </w:pPr>
            <w:r>
              <w:rPr>
                <w:rFonts w:hint="eastAsia" w:eastAsia="等线"/>
                <w:color w:val="auto"/>
              </w:rPr>
              <w:t>/</w:t>
            </w:r>
          </w:p>
        </w:tc>
        <w:tc>
          <w:tcPr>
            <w:tcW w:w="333" w:type="pct"/>
            <w:vAlign w:val="center"/>
          </w:tcPr>
          <w:p w14:paraId="41AA5FA1">
            <w:pPr>
              <w:pStyle w:val="33"/>
              <w:rPr>
                <w:rFonts w:eastAsia="等线"/>
                <w:color w:val="auto"/>
              </w:rPr>
            </w:pPr>
            <w:r>
              <w:rPr>
                <w:rFonts w:hint="eastAsia" w:eastAsia="等线"/>
                <w:color w:val="auto"/>
              </w:rPr>
              <w:t>/</w:t>
            </w:r>
          </w:p>
        </w:tc>
        <w:tc>
          <w:tcPr>
            <w:tcW w:w="397" w:type="pct"/>
            <w:vAlign w:val="center"/>
          </w:tcPr>
          <w:p w14:paraId="4023734A">
            <w:pPr>
              <w:pStyle w:val="33"/>
              <w:rPr>
                <w:rFonts w:eastAsia="等线"/>
                <w:color w:val="auto"/>
              </w:rPr>
            </w:pPr>
            <w:r>
              <w:rPr>
                <w:rFonts w:hint="eastAsia" w:eastAsia="等线"/>
                <w:color w:val="auto"/>
              </w:rPr>
              <w:t>/</w:t>
            </w:r>
          </w:p>
        </w:tc>
        <w:tc>
          <w:tcPr>
            <w:tcW w:w="333" w:type="pct"/>
            <w:vAlign w:val="center"/>
          </w:tcPr>
          <w:p w14:paraId="2B0AA285">
            <w:pPr>
              <w:pStyle w:val="33"/>
              <w:rPr>
                <w:rFonts w:eastAsia="等线"/>
                <w:color w:val="auto"/>
              </w:rPr>
            </w:pPr>
            <w:r>
              <w:rPr>
                <w:rFonts w:hint="eastAsia" w:eastAsia="等线"/>
                <w:color w:val="auto"/>
              </w:rPr>
              <w:t>/</w:t>
            </w:r>
          </w:p>
        </w:tc>
        <w:tc>
          <w:tcPr>
            <w:tcW w:w="338" w:type="pct"/>
            <w:vAlign w:val="center"/>
          </w:tcPr>
          <w:p w14:paraId="52098A7A">
            <w:pPr>
              <w:pStyle w:val="33"/>
              <w:rPr>
                <w:rFonts w:eastAsia="等线"/>
                <w:color w:val="auto"/>
              </w:rPr>
            </w:pPr>
            <w:r>
              <w:rPr>
                <w:rFonts w:hint="eastAsia" w:eastAsia="等线"/>
                <w:color w:val="auto"/>
              </w:rPr>
              <w:t>0.3409</w:t>
            </w:r>
          </w:p>
        </w:tc>
      </w:tr>
      <w:tr w14:paraId="0C5B9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0109B0D6">
            <w:pPr>
              <w:pStyle w:val="33"/>
              <w:rPr>
                <w:rFonts w:eastAsia="等线"/>
                <w:color w:val="auto"/>
              </w:rPr>
            </w:pPr>
            <w:r>
              <w:rPr>
                <w:rFonts w:eastAsia="等线"/>
                <w:color w:val="auto"/>
              </w:rPr>
              <w:t>85</w:t>
            </w:r>
          </w:p>
        </w:tc>
        <w:tc>
          <w:tcPr>
            <w:tcW w:w="591" w:type="pct"/>
            <w:vAlign w:val="center"/>
          </w:tcPr>
          <w:p w14:paraId="6BD1A64E">
            <w:pPr>
              <w:pStyle w:val="33"/>
              <w:rPr>
                <w:color w:val="auto"/>
              </w:rPr>
            </w:pPr>
            <w:r>
              <w:rPr>
                <w:rFonts w:hint="eastAsia"/>
                <w:color w:val="auto"/>
              </w:rPr>
              <w:t>电子级PM/PMA工艺尾气排口 DA014</w:t>
            </w:r>
          </w:p>
        </w:tc>
        <w:tc>
          <w:tcPr>
            <w:tcW w:w="333" w:type="pct"/>
            <w:vAlign w:val="center"/>
          </w:tcPr>
          <w:p w14:paraId="64E5F0C0">
            <w:pPr>
              <w:pStyle w:val="33"/>
              <w:rPr>
                <w:rFonts w:eastAsia="等线"/>
                <w:color w:val="auto"/>
              </w:rPr>
            </w:pPr>
            <w:r>
              <w:rPr>
                <w:rFonts w:hint="eastAsia" w:eastAsia="等线"/>
                <w:color w:val="auto"/>
              </w:rPr>
              <w:t>47</w:t>
            </w:r>
          </w:p>
        </w:tc>
        <w:tc>
          <w:tcPr>
            <w:tcW w:w="333" w:type="pct"/>
            <w:vAlign w:val="center"/>
          </w:tcPr>
          <w:p w14:paraId="6451E936">
            <w:pPr>
              <w:pStyle w:val="33"/>
              <w:rPr>
                <w:rFonts w:eastAsia="等线"/>
                <w:color w:val="auto"/>
              </w:rPr>
            </w:pPr>
            <w:r>
              <w:rPr>
                <w:rFonts w:hint="eastAsia" w:eastAsia="等线"/>
                <w:color w:val="auto"/>
              </w:rPr>
              <w:t>0.8</w:t>
            </w:r>
          </w:p>
        </w:tc>
        <w:tc>
          <w:tcPr>
            <w:tcW w:w="376" w:type="pct"/>
            <w:vAlign w:val="center"/>
          </w:tcPr>
          <w:p w14:paraId="356CB94D">
            <w:pPr>
              <w:pStyle w:val="33"/>
              <w:rPr>
                <w:rFonts w:eastAsia="等线"/>
                <w:color w:val="auto"/>
              </w:rPr>
            </w:pPr>
            <w:r>
              <w:rPr>
                <w:rFonts w:hint="eastAsia" w:eastAsia="等线"/>
                <w:color w:val="auto"/>
              </w:rPr>
              <w:t>/</w:t>
            </w:r>
          </w:p>
        </w:tc>
        <w:tc>
          <w:tcPr>
            <w:tcW w:w="359" w:type="pct"/>
            <w:vAlign w:val="center"/>
          </w:tcPr>
          <w:p w14:paraId="270D7C0B">
            <w:pPr>
              <w:pStyle w:val="33"/>
              <w:rPr>
                <w:rFonts w:eastAsia="等线"/>
                <w:color w:val="auto"/>
              </w:rPr>
            </w:pPr>
            <w:r>
              <w:rPr>
                <w:rFonts w:hint="eastAsia" w:eastAsia="等线"/>
                <w:color w:val="auto"/>
              </w:rPr>
              <w:t>/</w:t>
            </w:r>
          </w:p>
        </w:tc>
        <w:tc>
          <w:tcPr>
            <w:tcW w:w="359" w:type="pct"/>
            <w:vAlign w:val="center"/>
          </w:tcPr>
          <w:p w14:paraId="4B5C66E5">
            <w:pPr>
              <w:pStyle w:val="33"/>
              <w:rPr>
                <w:rFonts w:eastAsia="等线"/>
                <w:color w:val="auto"/>
              </w:rPr>
            </w:pPr>
            <w:r>
              <w:rPr>
                <w:rFonts w:hint="eastAsia" w:eastAsia="等线"/>
                <w:color w:val="auto"/>
              </w:rPr>
              <w:t>/</w:t>
            </w:r>
          </w:p>
        </w:tc>
        <w:tc>
          <w:tcPr>
            <w:tcW w:w="330" w:type="pct"/>
            <w:vAlign w:val="center"/>
          </w:tcPr>
          <w:p w14:paraId="32E4422C">
            <w:pPr>
              <w:pStyle w:val="33"/>
              <w:rPr>
                <w:rFonts w:eastAsia="等线"/>
                <w:color w:val="auto"/>
              </w:rPr>
            </w:pPr>
            <w:r>
              <w:rPr>
                <w:rFonts w:hint="eastAsia" w:eastAsia="等线"/>
                <w:color w:val="auto"/>
              </w:rPr>
              <w:t>/</w:t>
            </w:r>
          </w:p>
        </w:tc>
        <w:tc>
          <w:tcPr>
            <w:tcW w:w="333" w:type="pct"/>
            <w:vAlign w:val="center"/>
          </w:tcPr>
          <w:p w14:paraId="79CB69CC">
            <w:pPr>
              <w:pStyle w:val="33"/>
              <w:rPr>
                <w:rFonts w:eastAsia="等线"/>
                <w:color w:val="auto"/>
              </w:rPr>
            </w:pPr>
            <w:r>
              <w:rPr>
                <w:rFonts w:hint="eastAsia" w:eastAsia="等线"/>
                <w:color w:val="auto"/>
              </w:rPr>
              <w:t>/</w:t>
            </w:r>
          </w:p>
        </w:tc>
        <w:tc>
          <w:tcPr>
            <w:tcW w:w="333" w:type="pct"/>
            <w:vAlign w:val="center"/>
          </w:tcPr>
          <w:p w14:paraId="0BA6B2D2">
            <w:pPr>
              <w:pStyle w:val="33"/>
              <w:rPr>
                <w:rFonts w:eastAsia="等线"/>
                <w:color w:val="auto"/>
              </w:rPr>
            </w:pPr>
            <w:r>
              <w:rPr>
                <w:rFonts w:hint="eastAsia" w:eastAsia="等线"/>
                <w:color w:val="auto"/>
              </w:rPr>
              <w:t>/</w:t>
            </w:r>
          </w:p>
        </w:tc>
        <w:tc>
          <w:tcPr>
            <w:tcW w:w="333" w:type="pct"/>
            <w:vAlign w:val="center"/>
          </w:tcPr>
          <w:p w14:paraId="1526D192">
            <w:pPr>
              <w:pStyle w:val="33"/>
              <w:rPr>
                <w:rFonts w:eastAsia="等线"/>
                <w:color w:val="auto"/>
              </w:rPr>
            </w:pPr>
            <w:r>
              <w:rPr>
                <w:rFonts w:hint="eastAsia" w:eastAsia="等线"/>
                <w:color w:val="auto"/>
              </w:rPr>
              <w:t>/</w:t>
            </w:r>
          </w:p>
        </w:tc>
        <w:tc>
          <w:tcPr>
            <w:tcW w:w="397" w:type="pct"/>
            <w:vAlign w:val="center"/>
          </w:tcPr>
          <w:p w14:paraId="0D42991F">
            <w:pPr>
              <w:pStyle w:val="33"/>
              <w:rPr>
                <w:rFonts w:eastAsia="等线"/>
                <w:color w:val="auto"/>
              </w:rPr>
            </w:pPr>
            <w:r>
              <w:rPr>
                <w:rFonts w:hint="eastAsia" w:eastAsia="等线"/>
                <w:color w:val="auto"/>
              </w:rPr>
              <w:t>/</w:t>
            </w:r>
          </w:p>
        </w:tc>
        <w:tc>
          <w:tcPr>
            <w:tcW w:w="333" w:type="pct"/>
            <w:vAlign w:val="center"/>
          </w:tcPr>
          <w:p w14:paraId="4EF8EDE3">
            <w:pPr>
              <w:pStyle w:val="33"/>
              <w:rPr>
                <w:rFonts w:eastAsia="等线"/>
                <w:color w:val="auto"/>
              </w:rPr>
            </w:pPr>
            <w:r>
              <w:rPr>
                <w:rFonts w:hint="eastAsia" w:eastAsia="等线"/>
                <w:color w:val="auto"/>
              </w:rPr>
              <w:t>/</w:t>
            </w:r>
          </w:p>
        </w:tc>
        <w:tc>
          <w:tcPr>
            <w:tcW w:w="338" w:type="pct"/>
            <w:vAlign w:val="center"/>
          </w:tcPr>
          <w:p w14:paraId="3ECAFD13">
            <w:pPr>
              <w:pStyle w:val="33"/>
              <w:rPr>
                <w:rFonts w:eastAsia="等线"/>
                <w:color w:val="auto"/>
              </w:rPr>
            </w:pPr>
            <w:r>
              <w:rPr>
                <w:rFonts w:hint="eastAsia" w:eastAsia="等线"/>
                <w:color w:val="auto"/>
              </w:rPr>
              <w:t>1.0227</w:t>
            </w:r>
          </w:p>
        </w:tc>
      </w:tr>
      <w:tr w14:paraId="5DC99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302528B3">
            <w:pPr>
              <w:pStyle w:val="33"/>
              <w:rPr>
                <w:rFonts w:eastAsia="等线"/>
                <w:color w:val="auto"/>
              </w:rPr>
            </w:pPr>
            <w:r>
              <w:rPr>
                <w:rFonts w:eastAsia="等线"/>
                <w:color w:val="auto"/>
              </w:rPr>
              <w:t>86</w:t>
            </w:r>
          </w:p>
        </w:tc>
        <w:tc>
          <w:tcPr>
            <w:tcW w:w="591" w:type="pct"/>
            <w:vAlign w:val="center"/>
          </w:tcPr>
          <w:p w14:paraId="1C971FBD">
            <w:pPr>
              <w:pStyle w:val="33"/>
              <w:rPr>
                <w:color w:val="auto"/>
              </w:rPr>
            </w:pPr>
            <w:r>
              <w:rPr>
                <w:rFonts w:hint="eastAsia"/>
                <w:color w:val="auto"/>
              </w:rPr>
              <w:t>电子级混酸有机废气排口 DA015</w:t>
            </w:r>
          </w:p>
        </w:tc>
        <w:tc>
          <w:tcPr>
            <w:tcW w:w="333" w:type="pct"/>
            <w:vAlign w:val="center"/>
          </w:tcPr>
          <w:p w14:paraId="6CA95ECA">
            <w:pPr>
              <w:pStyle w:val="33"/>
              <w:rPr>
                <w:rFonts w:eastAsia="等线"/>
                <w:color w:val="auto"/>
              </w:rPr>
            </w:pPr>
            <w:r>
              <w:rPr>
                <w:rFonts w:hint="eastAsia" w:eastAsia="等线"/>
                <w:color w:val="auto"/>
              </w:rPr>
              <w:t>47</w:t>
            </w:r>
          </w:p>
        </w:tc>
        <w:tc>
          <w:tcPr>
            <w:tcW w:w="333" w:type="pct"/>
            <w:vAlign w:val="center"/>
          </w:tcPr>
          <w:p w14:paraId="38A65003">
            <w:pPr>
              <w:pStyle w:val="33"/>
              <w:rPr>
                <w:rFonts w:eastAsia="等线"/>
                <w:color w:val="auto"/>
              </w:rPr>
            </w:pPr>
            <w:r>
              <w:rPr>
                <w:rFonts w:hint="eastAsia" w:eastAsia="等线"/>
                <w:color w:val="auto"/>
              </w:rPr>
              <w:t>0.8</w:t>
            </w:r>
          </w:p>
        </w:tc>
        <w:tc>
          <w:tcPr>
            <w:tcW w:w="376" w:type="pct"/>
            <w:vAlign w:val="center"/>
          </w:tcPr>
          <w:p w14:paraId="5F585AD4">
            <w:pPr>
              <w:pStyle w:val="33"/>
              <w:rPr>
                <w:rFonts w:eastAsia="等线"/>
                <w:color w:val="auto"/>
              </w:rPr>
            </w:pPr>
            <w:r>
              <w:rPr>
                <w:rFonts w:hint="eastAsia" w:eastAsia="等线"/>
                <w:color w:val="auto"/>
              </w:rPr>
              <w:t>/</w:t>
            </w:r>
          </w:p>
        </w:tc>
        <w:tc>
          <w:tcPr>
            <w:tcW w:w="359" w:type="pct"/>
            <w:vAlign w:val="center"/>
          </w:tcPr>
          <w:p w14:paraId="5BA16BC1">
            <w:pPr>
              <w:pStyle w:val="33"/>
              <w:rPr>
                <w:rFonts w:eastAsia="等线"/>
                <w:color w:val="auto"/>
              </w:rPr>
            </w:pPr>
            <w:r>
              <w:rPr>
                <w:rFonts w:hint="eastAsia" w:eastAsia="等线"/>
                <w:color w:val="auto"/>
              </w:rPr>
              <w:t>/</w:t>
            </w:r>
          </w:p>
        </w:tc>
        <w:tc>
          <w:tcPr>
            <w:tcW w:w="359" w:type="pct"/>
            <w:vAlign w:val="center"/>
          </w:tcPr>
          <w:p w14:paraId="5AAFA4CD">
            <w:pPr>
              <w:pStyle w:val="33"/>
              <w:rPr>
                <w:rFonts w:eastAsia="等线"/>
                <w:color w:val="auto"/>
              </w:rPr>
            </w:pPr>
            <w:r>
              <w:rPr>
                <w:rFonts w:hint="eastAsia" w:eastAsia="等线"/>
                <w:color w:val="auto"/>
              </w:rPr>
              <w:t>/</w:t>
            </w:r>
          </w:p>
        </w:tc>
        <w:tc>
          <w:tcPr>
            <w:tcW w:w="330" w:type="pct"/>
            <w:vAlign w:val="center"/>
          </w:tcPr>
          <w:p w14:paraId="1F523693">
            <w:pPr>
              <w:pStyle w:val="33"/>
              <w:rPr>
                <w:rFonts w:eastAsia="等线"/>
                <w:color w:val="auto"/>
              </w:rPr>
            </w:pPr>
            <w:r>
              <w:rPr>
                <w:rFonts w:hint="eastAsia" w:eastAsia="等线"/>
                <w:color w:val="auto"/>
              </w:rPr>
              <w:t>/</w:t>
            </w:r>
          </w:p>
        </w:tc>
        <w:tc>
          <w:tcPr>
            <w:tcW w:w="333" w:type="pct"/>
            <w:vAlign w:val="center"/>
          </w:tcPr>
          <w:p w14:paraId="300460AC">
            <w:pPr>
              <w:pStyle w:val="33"/>
              <w:rPr>
                <w:rFonts w:eastAsia="等线"/>
                <w:color w:val="auto"/>
              </w:rPr>
            </w:pPr>
            <w:r>
              <w:rPr>
                <w:rFonts w:hint="eastAsia" w:eastAsia="等线"/>
                <w:color w:val="auto"/>
              </w:rPr>
              <w:t>/</w:t>
            </w:r>
          </w:p>
        </w:tc>
        <w:tc>
          <w:tcPr>
            <w:tcW w:w="333" w:type="pct"/>
            <w:vAlign w:val="center"/>
          </w:tcPr>
          <w:p w14:paraId="32FD73F6">
            <w:pPr>
              <w:pStyle w:val="33"/>
              <w:rPr>
                <w:rFonts w:eastAsia="等线"/>
                <w:color w:val="auto"/>
              </w:rPr>
            </w:pPr>
            <w:r>
              <w:rPr>
                <w:rFonts w:hint="eastAsia" w:eastAsia="等线"/>
                <w:color w:val="auto"/>
              </w:rPr>
              <w:t>/</w:t>
            </w:r>
          </w:p>
        </w:tc>
        <w:tc>
          <w:tcPr>
            <w:tcW w:w="333" w:type="pct"/>
            <w:vAlign w:val="center"/>
          </w:tcPr>
          <w:p w14:paraId="4056772A">
            <w:pPr>
              <w:pStyle w:val="33"/>
              <w:rPr>
                <w:rFonts w:eastAsia="等线"/>
                <w:color w:val="auto"/>
              </w:rPr>
            </w:pPr>
            <w:r>
              <w:rPr>
                <w:rFonts w:hint="eastAsia" w:eastAsia="等线"/>
                <w:color w:val="auto"/>
              </w:rPr>
              <w:t>/</w:t>
            </w:r>
          </w:p>
        </w:tc>
        <w:tc>
          <w:tcPr>
            <w:tcW w:w="397" w:type="pct"/>
            <w:vAlign w:val="center"/>
          </w:tcPr>
          <w:p w14:paraId="50265515">
            <w:pPr>
              <w:pStyle w:val="33"/>
              <w:rPr>
                <w:rFonts w:eastAsia="等线"/>
                <w:color w:val="auto"/>
              </w:rPr>
            </w:pPr>
            <w:r>
              <w:rPr>
                <w:rFonts w:hint="eastAsia" w:eastAsia="等线"/>
                <w:color w:val="auto"/>
              </w:rPr>
              <w:t>/</w:t>
            </w:r>
          </w:p>
        </w:tc>
        <w:tc>
          <w:tcPr>
            <w:tcW w:w="333" w:type="pct"/>
            <w:vAlign w:val="center"/>
          </w:tcPr>
          <w:p w14:paraId="699AE3C3">
            <w:pPr>
              <w:pStyle w:val="33"/>
              <w:rPr>
                <w:rFonts w:eastAsia="等线"/>
                <w:color w:val="auto"/>
              </w:rPr>
            </w:pPr>
            <w:r>
              <w:rPr>
                <w:rFonts w:hint="eastAsia" w:eastAsia="等线"/>
                <w:color w:val="auto"/>
              </w:rPr>
              <w:t>/</w:t>
            </w:r>
          </w:p>
        </w:tc>
        <w:tc>
          <w:tcPr>
            <w:tcW w:w="338" w:type="pct"/>
            <w:vAlign w:val="center"/>
          </w:tcPr>
          <w:p w14:paraId="7620A793">
            <w:pPr>
              <w:pStyle w:val="33"/>
              <w:rPr>
                <w:rFonts w:eastAsia="等线"/>
                <w:color w:val="auto"/>
              </w:rPr>
            </w:pPr>
            <w:r>
              <w:rPr>
                <w:rFonts w:hint="eastAsia" w:eastAsia="等线"/>
                <w:color w:val="auto"/>
              </w:rPr>
              <w:t>1.0227</w:t>
            </w:r>
          </w:p>
        </w:tc>
      </w:tr>
      <w:tr w14:paraId="10A72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199726F1">
            <w:pPr>
              <w:pStyle w:val="33"/>
              <w:rPr>
                <w:rFonts w:eastAsia="等线"/>
                <w:color w:val="auto"/>
              </w:rPr>
            </w:pPr>
            <w:r>
              <w:rPr>
                <w:rFonts w:eastAsia="等线"/>
                <w:color w:val="auto"/>
              </w:rPr>
              <w:t>87</w:t>
            </w:r>
          </w:p>
        </w:tc>
        <w:tc>
          <w:tcPr>
            <w:tcW w:w="591" w:type="pct"/>
            <w:vAlign w:val="center"/>
          </w:tcPr>
          <w:p w14:paraId="56BDBCC6">
            <w:pPr>
              <w:pStyle w:val="33"/>
              <w:rPr>
                <w:color w:val="auto"/>
              </w:rPr>
            </w:pPr>
            <w:r>
              <w:rPr>
                <w:rFonts w:hint="eastAsia"/>
                <w:color w:val="auto"/>
              </w:rPr>
              <w:t>无尘室分装废气排口DA016</w:t>
            </w:r>
          </w:p>
        </w:tc>
        <w:tc>
          <w:tcPr>
            <w:tcW w:w="333" w:type="pct"/>
            <w:vAlign w:val="center"/>
          </w:tcPr>
          <w:p w14:paraId="47FFCDDF">
            <w:pPr>
              <w:pStyle w:val="33"/>
              <w:rPr>
                <w:rFonts w:eastAsia="等线"/>
                <w:color w:val="auto"/>
              </w:rPr>
            </w:pPr>
            <w:r>
              <w:rPr>
                <w:rFonts w:hint="eastAsia" w:eastAsia="等线"/>
                <w:color w:val="auto"/>
              </w:rPr>
              <w:t>29</w:t>
            </w:r>
          </w:p>
        </w:tc>
        <w:tc>
          <w:tcPr>
            <w:tcW w:w="333" w:type="pct"/>
            <w:vAlign w:val="center"/>
          </w:tcPr>
          <w:p w14:paraId="3B89CAF7">
            <w:pPr>
              <w:pStyle w:val="33"/>
              <w:rPr>
                <w:rFonts w:eastAsia="等线"/>
                <w:color w:val="auto"/>
              </w:rPr>
            </w:pPr>
            <w:r>
              <w:rPr>
                <w:rFonts w:hint="eastAsia" w:eastAsia="等线"/>
                <w:color w:val="auto"/>
              </w:rPr>
              <w:t>0.8</w:t>
            </w:r>
          </w:p>
        </w:tc>
        <w:tc>
          <w:tcPr>
            <w:tcW w:w="376" w:type="pct"/>
            <w:vAlign w:val="center"/>
          </w:tcPr>
          <w:p w14:paraId="303C2F3D">
            <w:pPr>
              <w:pStyle w:val="33"/>
              <w:rPr>
                <w:rFonts w:eastAsia="等线"/>
                <w:color w:val="auto"/>
              </w:rPr>
            </w:pPr>
            <w:r>
              <w:rPr>
                <w:rFonts w:hint="eastAsia" w:eastAsia="等线"/>
                <w:color w:val="auto"/>
              </w:rPr>
              <w:t>/</w:t>
            </w:r>
          </w:p>
        </w:tc>
        <w:tc>
          <w:tcPr>
            <w:tcW w:w="359" w:type="pct"/>
            <w:vAlign w:val="center"/>
          </w:tcPr>
          <w:p w14:paraId="0FECF1E8">
            <w:pPr>
              <w:pStyle w:val="33"/>
              <w:rPr>
                <w:rFonts w:eastAsia="等线"/>
                <w:color w:val="auto"/>
              </w:rPr>
            </w:pPr>
            <w:r>
              <w:rPr>
                <w:rFonts w:hint="eastAsia" w:eastAsia="等线"/>
                <w:color w:val="auto"/>
              </w:rPr>
              <w:t>0.1242</w:t>
            </w:r>
          </w:p>
        </w:tc>
        <w:tc>
          <w:tcPr>
            <w:tcW w:w="359" w:type="pct"/>
            <w:vAlign w:val="center"/>
          </w:tcPr>
          <w:p w14:paraId="10091458">
            <w:pPr>
              <w:pStyle w:val="33"/>
              <w:rPr>
                <w:rFonts w:eastAsia="等线"/>
                <w:color w:val="auto"/>
              </w:rPr>
            </w:pPr>
            <w:r>
              <w:rPr>
                <w:rFonts w:hint="eastAsia" w:eastAsia="等线"/>
                <w:color w:val="auto"/>
              </w:rPr>
              <w:t>/</w:t>
            </w:r>
          </w:p>
        </w:tc>
        <w:tc>
          <w:tcPr>
            <w:tcW w:w="330" w:type="pct"/>
            <w:vAlign w:val="center"/>
          </w:tcPr>
          <w:p w14:paraId="475E3D40">
            <w:pPr>
              <w:pStyle w:val="33"/>
              <w:rPr>
                <w:rFonts w:eastAsia="等线"/>
                <w:color w:val="auto"/>
              </w:rPr>
            </w:pPr>
            <w:r>
              <w:rPr>
                <w:rFonts w:hint="eastAsia" w:eastAsia="等线"/>
                <w:color w:val="auto"/>
              </w:rPr>
              <w:t>/</w:t>
            </w:r>
          </w:p>
        </w:tc>
        <w:tc>
          <w:tcPr>
            <w:tcW w:w="333" w:type="pct"/>
            <w:vAlign w:val="center"/>
          </w:tcPr>
          <w:p w14:paraId="05608C75">
            <w:pPr>
              <w:pStyle w:val="33"/>
              <w:rPr>
                <w:rFonts w:eastAsia="等线"/>
                <w:color w:val="auto"/>
              </w:rPr>
            </w:pPr>
            <w:r>
              <w:rPr>
                <w:rFonts w:hint="eastAsia" w:eastAsia="等线"/>
                <w:color w:val="auto"/>
              </w:rPr>
              <w:t>/</w:t>
            </w:r>
          </w:p>
        </w:tc>
        <w:tc>
          <w:tcPr>
            <w:tcW w:w="333" w:type="pct"/>
            <w:vAlign w:val="center"/>
          </w:tcPr>
          <w:p w14:paraId="63F90D90">
            <w:pPr>
              <w:pStyle w:val="33"/>
              <w:rPr>
                <w:rFonts w:eastAsia="等线"/>
                <w:color w:val="auto"/>
              </w:rPr>
            </w:pPr>
            <w:r>
              <w:rPr>
                <w:rFonts w:hint="eastAsia" w:eastAsia="等线"/>
                <w:color w:val="auto"/>
              </w:rPr>
              <w:t>0.0653</w:t>
            </w:r>
          </w:p>
        </w:tc>
        <w:tc>
          <w:tcPr>
            <w:tcW w:w="333" w:type="pct"/>
            <w:vAlign w:val="center"/>
          </w:tcPr>
          <w:p w14:paraId="648A3BD4">
            <w:pPr>
              <w:pStyle w:val="33"/>
              <w:rPr>
                <w:rFonts w:eastAsia="等线"/>
                <w:color w:val="auto"/>
              </w:rPr>
            </w:pPr>
            <w:r>
              <w:rPr>
                <w:rFonts w:hint="eastAsia" w:eastAsia="等线"/>
                <w:color w:val="auto"/>
              </w:rPr>
              <w:t>/</w:t>
            </w:r>
          </w:p>
        </w:tc>
        <w:tc>
          <w:tcPr>
            <w:tcW w:w="397" w:type="pct"/>
            <w:vAlign w:val="center"/>
          </w:tcPr>
          <w:p w14:paraId="26263126">
            <w:pPr>
              <w:pStyle w:val="33"/>
              <w:rPr>
                <w:rFonts w:eastAsia="等线"/>
                <w:color w:val="auto"/>
              </w:rPr>
            </w:pPr>
            <w:r>
              <w:rPr>
                <w:rFonts w:hint="eastAsia" w:eastAsia="等线"/>
                <w:color w:val="auto"/>
              </w:rPr>
              <w:t>/</w:t>
            </w:r>
          </w:p>
        </w:tc>
        <w:tc>
          <w:tcPr>
            <w:tcW w:w="333" w:type="pct"/>
            <w:vAlign w:val="center"/>
          </w:tcPr>
          <w:p w14:paraId="22383F52">
            <w:pPr>
              <w:pStyle w:val="33"/>
              <w:rPr>
                <w:rFonts w:eastAsia="等线"/>
                <w:color w:val="auto"/>
              </w:rPr>
            </w:pPr>
            <w:r>
              <w:rPr>
                <w:rFonts w:hint="eastAsia" w:eastAsia="等线"/>
                <w:color w:val="auto"/>
              </w:rPr>
              <w:t>/</w:t>
            </w:r>
          </w:p>
        </w:tc>
        <w:tc>
          <w:tcPr>
            <w:tcW w:w="338" w:type="pct"/>
            <w:vAlign w:val="center"/>
          </w:tcPr>
          <w:p w14:paraId="62E1EF53">
            <w:pPr>
              <w:pStyle w:val="33"/>
              <w:rPr>
                <w:rFonts w:eastAsia="等线"/>
                <w:color w:val="auto"/>
              </w:rPr>
            </w:pPr>
            <w:r>
              <w:rPr>
                <w:rFonts w:hint="eastAsia" w:eastAsia="等线"/>
                <w:color w:val="auto"/>
              </w:rPr>
              <w:t>/</w:t>
            </w:r>
          </w:p>
        </w:tc>
      </w:tr>
      <w:tr w14:paraId="7C26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77C4FA49">
            <w:pPr>
              <w:pStyle w:val="33"/>
              <w:rPr>
                <w:rFonts w:eastAsia="等线"/>
                <w:color w:val="auto"/>
              </w:rPr>
            </w:pPr>
            <w:r>
              <w:rPr>
                <w:rFonts w:eastAsia="等线"/>
                <w:color w:val="auto"/>
              </w:rPr>
              <w:t>88</w:t>
            </w:r>
          </w:p>
        </w:tc>
        <w:tc>
          <w:tcPr>
            <w:tcW w:w="591" w:type="pct"/>
            <w:vAlign w:val="center"/>
          </w:tcPr>
          <w:p w14:paraId="5AC2B5AF">
            <w:pPr>
              <w:pStyle w:val="33"/>
              <w:rPr>
                <w:color w:val="auto"/>
              </w:rPr>
            </w:pPr>
            <w:r>
              <w:rPr>
                <w:rFonts w:hint="eastAsia"/>
                <w:color w:val="auto"/>
              </w:rPr>
              <w:t>盐酸装卸尾气喷淋塔排口DA017</w:t>
            </w:r>
          </w:p>
        </w:tc>
        <w:tc>
          <w:tcPr>
            <w:tcW w:w="333" w:type="pct"/>
            <w:vAlign w:val="center"/>
          </w:tcPr>
          <w:p w14:paraId="7AC0DB74">
            <w:pPr>
              <w:pStyle w:val="33"/>
              <w:rPr>
                <w:rFonts w:eastAsia="等线"/>
                <w:color w:val="auto"/>
              </w:rPr>
            </w:pPr>
            <w:r>
              <w:rPr>
                <w:rFonts w:hint="eastAsia" w:eastAsia="等线"/>
                <w:color w:val="auto"/>
              </w:rPr>
              <w:t>15</w:t>
            </w:r>
          </w:p>
        </w:tc>
        <w:tc>
          <w:tcPr>
            <w:tcW w:w="333" w:type="pct"/>
            <w:vAlign w:val="center"/>
          </w:tcPr>
          <w:p w14:paraId="53AFEC06">
            <w:pPr>
              <w:pStyle w:val="33"/>
              <w:rPr>
                <w:rFonts w:eastAsia="等线"/>
                <w:color w:val="auto"/>
              </w:rPr>
            </w:pPr>
            <w:r>
              <w:rPr>
                <w:rFonts w:hint="eastAsia" w:eastAsia="等线"/>
                <w:color w:val="auto"/>
              </w:rPr>
              <w:t>0.4</w:t>
            </w:r>
          </w:p>
        </w:tc>
        <w:tc>
          <w:tcPr>
            <w:tcW w:w="376" w:type="pct"/>
            <w:vAlign w:val="center"/>
          </w:tcPr>
          <w:p w14:paraId="1EFE77D3">
            <w:pPr>
              <w:pStyle w:val="33"/>
              <w:rPr>
                <w:rFonts w:eastAsia="等线"/>
                <w:color w:val="auto"/>
              </w:rPr>
            </w:pPr>
            <w:r>
              <w:rPr>
                <w:rFonts w:hint="eastAsia" w:eastAsia="等线"/>
                <w:color w:val="auto"/>
              </w:rPr>
              <w:t>/</w:t>
            </w:r>
          </w:p>
        </w:tc>
        <w:tc>
          <w:tcPr>
            <w:tcW w:w="359" w:type="pct"/>
            <w:vAlign w:val="center"/>
          </w:tcPr>
          <w:p w14:paraId="2347A4BC">
            <w:pPr>
              <w:pStyle w:val="33"/>
              <w:rPr>
                <w:rFonts w:eastAsia="等线"/>
                <w:color w:val="auto"/>
              </w:rPr>
            </w:pPr>
            <w:r>
              <w:rPr>
                <w:rFonts w:hint="eastAsia" w:eastAsia="等线"/>
                <w:color w:val="auto"/>
              </w:rPr>
              <w:t>/</w:t>
            </w:r>
          </w:p>
        </w:tc>
        <w:tc>
          <w:tcPr>
            <w:tcW w:w="359" w:type="pct"/>
            <w:vAlign w:val="center"/>
          </w:tcPr>
          <w:p w14:paraId="0E8773ED">
            <w:pPr>
              <w:pStyle w:val="33"/>
              <w:rPr>
                <w:rFonts w:eastAsia="等线"/>
                <w:color w:val="auto"/>
              </w:rPr>
            </w:pPr>
            <w:r>
              <w:rPr>
                <w:rFonts w:hint="eastAsia" w:eastAsia="等线"/>
                <w:color w:val="auto"/>
              </w:rPr>
              <w:t>/</w:t>
            </w:r>
          </w:p>
        </w:tc>
        <w:tc>
          <w:tcPr>
            <w:tcW w:w="330" w:type="pct"/>
            <w:vAlign w:val="center"/>
          </w:tcPr>
          <w:p w14:paraId="7D770457">
            <w:pPr>
              <w:pStyle w:val="33"/>
              <w:rPr>
                <w:rFonts w:eastAsia="等线"/>
                <w:color w:val="auto"/>
              </w:rPr>
            </w:pPr>
            <w:r>
              <w:rPr>
                <w:rFonts w:hint="eastAsia" w:eastAsia="等线"/>
                <w:color w:val="auto"/>
              </w:rPr>
              <w:t>/</w:t>
            </w:r>
          </w:p>
        </w:tc>
        <w:tc>
          <w:tcPr>
            <w:tcW w:w="333" w:type="pct"/>
            <w:vAlign w:val="center"/>
          </w:tcPr>
          <w:p w14:paraId="59EE751D">
            <w:pPr>
              <w:pStyle w:val="33"/>
              <w:rPr>
                <w:rFonts w:eastAsia="等线"/>
                <w:color w:val="auto"/>
              </w:rPr>
            </w:pPr>
            <w:r>
              <w:rPr>
                <w:rFonts w:hint="eastAsia" w:eastAsia="等线"/>
                <w:color w:val="auto"/>
              </w:rPr>
              <w:t>/</w:t>
            </w:r>
          </w:p>
        </w:tc>
        <w:tc>
          <w:tcPr>
            <w:tcW w:w="333" w:type="pct"/>
            <w:vAlign w:val="center"/>
          </w:tcPr>
          <w:p w14:paraId="2C0FCEF3">
            <w:pPr>
              <w:pStyle w:val="33"/>
              <w:rPr>
                <w:rFonts w:eastAsia="等线"/>
                <w:color w:val="auto"/>
              </w:rPr>
            </w:pPr>
            <w:r>
              <w:rPr>
                <w:rFonts w:hint="eastAsia" w:eastAsia="等线"/>
                <w:color w:val="auto"/>
              </w:rPr>
              <w:t>0.0748</w:t>
            </w:r>
          </w:p>
        </w:tc>
        <w:tc>
          <w:tcPr>
            <w:tcW w:w="333" w:type="pct"/>
            <w:vAlign w:val="center"/>
          </w:tcPr>
          <w:p w14:paraId="75830BF4">
            <w:pPr>
              <w:pStyle w:val="33"/>
              <w:rPr>
                <w:rFonts w:eastAsia="等线"/>
                <w:color w:val="auto"/>
              </w:rPr>
            </w:pPr>
            <w:r>
              <w:rPr>
                <w:rFonts w:hint="eastAsia" w:eastAsia="等线"/>
                <w:color w:val="auto"/>
              </w:rPr>
              <w:t>/</w:t>
            </w:r>
          </w:p>
        </w:tc>
        <w:tc>
          <w:tcPr>
            <w:tcW w:w="397" w:type="pct"/>
            <w:vAlign w:val="center"/>
          </w:tcPr>
          <w:p w14:paraId="3F6E7B03">
            <w:pPr>
              <w:pStyle w:val="33"/>
              <w:rPr>
                <w:rFonts w:eastAsia="等线"/>
                <w:color w:val="auto"/>
              </w:rPr>
            </w:pPr>
            <w:r>
              <w:rPr>
                <w:rFonts w:hint="eastAsia" w:eastAsia="等线"/>
                <w:color w:val="auto"/>
              </w:rPr>
              <w:t>/</w:t>
            </w:r>
          </w:p>
        </w:tc>
        <w:tc>
          <w:tcPr>
            <w:tcW w:w="333" w:type="pct"/>
            <w:vAlign w:val="center"/>
          </w:tcPr>
          <w:p w14:paraId="0C72072C">
            <w:pPr>
              <w:pStyle w:val="33"/>
              <w:rPr>
                <w:rFonts w:eastAsia="等线"/>
                <w:color w:val="auto"/>
              </w:rPr>
            </w:pPr>
            <w:r>
              <w:rPr>
                <w:rFonts w:hint="eastAsia" w:eastAsia="等线"/>
                <w:color w:val="auto"/>
              </w:rPr>
              <w:t>/</w:t>
            </w:r>
          </w:p>
        </w:tc>
        <w:tc>
          <w:tcPr>
            <w:tcW w:w="338" w:type="pct"/>
            <w:vAlign w:val="center"/>
          </w:tcPr>
          <w:p w14:paraId="0D89D7BD">
            <w:pPr>
              <w:pStyle w:val="33"/>
              <w:rPr>
                <w:rFonts w:eastAsia="等线"/>
                <w:color w:val="auto"/>
              </w:rPr>
            </w:pPr>
            <w:r>
              <w:rPr>
                <w:rFonts w:hint="eastAsia" w:eastAsia="等线"/>
                <w:color w:val="auto"/>
              </w:rPr>
              <w:t>/</w:t>
            </w:r>
          </w:p>
        </w:tc>
      </w:tr>
      <w:tr w14:paraId="2E642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D1A15A9">
            <w:pPr>
              <w:pStyle w:val="33"/>
              <w:rPr>
                <w:rFonts w:eastAsia="等线"/>
                <w:color w:val="auto"/>
              </w:rPr>
            </w:pPr>
            <w:r>
              <w:rPr>
                <w:rFonts w:eastAsia="等线"/>
                <w:color w:val="auto"/>
              </w:rPr>
              <w:t>89</w:t>
            </w:r>
          </w:p>
        </w:tc>
        <w:tc>
          <w:tcPr>
            <w:tcW w:w="591" w:type="pct"/>
            <w:vAlign w:val="center"/>
          </w:tcPr>
          <w:p w14:paraId="4CBDEF80">
            <w:pPr>
              <w:pStyle w:val="33"/>
              <w:rPr>
                <w:color w:val="auto"/>
              </w:rPr>
            </w:pPr>
            <w:r>
              <w:rPr>
                <w:rFonts w:hint="eastAsia"/>
                <w:color w:val="auto"/>
              </w:rPr>
              <w:t>液氨装卸尾气喷淋塔排口DA018</w:t>
            </w:r>
          </w:p>
        </w:tc>
        <w:tc>
          <w:tcPr>
            <w:tcW w:w="333" w:type="pct"/>
            <w:vAlign w:val="center"/>
          </w:tcPr>
          <w:p w14:paraId="2D99EC0D">
            <w:pPr>
              <w:pStyle w:val="33"/>
              <w:rPr>
                <w:rFonts w:eastAsia="等线"/>
                <w:color w:val="auto"/>
              </w:rPr>
            </w:pPr>
            <w:r>
              <w:rPr>
                <w:rFonts w:hint="eastAsia" w:eastAsia="等线"/>
                <w:color w:val="auto"/>
              </w:rPr>
              <w:t>15</w:t>
            </w:r>
          </w:p>
        </w:tc>
        <w:tc>
          <w:tcPr>
            <w:tcW w:w="333" w:type="pct"/>
            <w:vAlign w:val="center"/>
          </w:tcPr>
          <w:p w14:paraId="05016D71">
            <w:pPr>
              <w:pStyle w:val="33"/>
              <w:rPr>
                <w:rFonts w:eastAsia="等线"/>
                <w:color w:val="auto"/>
              </w:rPr>
            </w:pPr>
            <w:r>
              <w:rPr>
                <w:rFonts w:hint="eastAsia" w:eastAsia="等线"/>
                <w:color w:val="auto"/>
              </w:rPr>
              <w:t>0.4</w:t>
            </w:r>
          </w:p>
        </w:tc>
        <w:tc>
          <w:tcPr>
            <w:tcW w:w="376" w:type="pct"/>
            <w:vAlign w:val="center"/>
          </w:tcPr>
          <w:p w14:paraId="22D03CCD">
            <w:pPr>
              <w:pStyle w:val="33"/>
              <w:rPr>
                <w:rFonts w:eastAsia="等线"/>
                <w:color w:val="auto"/>
              </w:rPr>
            </w:pPr>
            <w:r>
              <w:rPr>
                <w:rFonts w:hint="eastAsia" w:eastAsia="等线"/>
                <w:color w:val="auto"/>
              </w:rPr>
              <w:t>/</w:t>
            </w:r>
          </w:p>
        </w:tc>
        <w:tc>
          <w:tcPr>
            <w:tcW w:w="359" w:type="pct"/>
            <w:vAlign w:val="center"/>
          </w:tcPr>
          <w:p w14:paraId="29B95985">
            <w:pPr>
              <w:pStyle w:val="33"/>
              <w:rPr>
                <w:rFonts w:eastAsia="等线"/>
                <w:color w:val="auto"/>
              </w:rPr>
            </w:pPr>
            <w:r>
              <w:rPr>
                <w:rFonts w:hint="eastAsia" w:eastAsia="等线"/>
                <w:color w:val="auto"/>
              </w:rPr>
              <w:t>/</w:t>
            </w:r>
          </w:p>
        </w:tc>
        <w:tc>
          <w:tcPr>
            <w:tcW w:w="359" w:type="pct"/>
            <w:vAlign w:val="center"/>
          </w:tcPr>
          <w:p w14:paraId="46ABFD03">
            <w:pPr>
              <w:pStyle w:val="33"/>
              <w:rPr>
                <w:rFonts w:eastAsia="等线"/>
                <w:color w:val="auto"/>
              </w:rPr>
            </w:pPr>
            <w:r>
              <w:rPr>
                <w:rFonts w:hint="eastAsia" w:eastAsia="等线"/>
                <w:color w:val="auto"/>
              </w:rPr>
              <w:t>/</w:t>
            </w:r>
          </w:p>
        </w:tc>
        <w:tc>
          <w:tcPr>
            <w:tcW w:w="330" w:type="pct"/>
            <w:vAlign w:val="center"/>
          </w:tcPr>
          <w:p w14:paraId="4F1630AF">
            <w:pPr>
              <w:pStyle w:val="33"/>
              <w:rPr>
                <w:rFonts w:eastAsia="等线"/>
                <w:color w:val="auto"/>
              </w:rPr>
            </w:pPr>
            <w:r>
              <w:rPr>
                <w:rFonts w:hint="eastAsia" w:eastAsia="等线"/>
                <w:color w:val="auto"/>
              </w:rPr>
              <w:t>/</w:t>
            </w:r>
          </w:p>
        </w:tc>
        <w:tc>
          <w:tcPr>
            <w:tcW w:w="333" w:type="pct"/>
            <w:vAlign w:val="center"/>
          </w:tcPr>
          <w:p w14:paraId="21568630">
            <w:pPr>
              <w:pStyle w:val="33"/>
              <w:rPr>
                <w:rFonts w:eastAsia="等线"/>
                <w:color w:val="auto"/>
              </w:rPr>
            </w:pPr>
            <w:r>
              <w:rPr>
                <w:rFonts w:hint="eastAsia" w:eastAsia="等线"/>
                <w:color w:val="auto"/>
              </w:rPr>
              <w:t>/</w:t>
            </w:r>
          </w:p>
        </w:tc>
        <w:tc>
          <w:tcPr>
            <w:tcW w:w="333" w:type="pct"/>
            <w:vAlign w:val="center"/>
          </w:tcPr>
          <w:p w14:paraId="0F66A666">
            <w:pPr>
              <w:pStyle w:val="33"/>
              <w:rPr>
                <w:rFonts w:eastAsia="等线"/>
                <w:color w:val="auto"/>
              </w:rPr>
            </w:pPr>
            <w:r>
              <w:rPr>
                <w:rFonts w:hint="eastAsia" w:eastAsia="等线"/>
                <w:color w:val="auto"/>
              </w:rPr>
              <w:t>/</w:t>
            </w:r>
          </w:p>
        </w:tc>
        <w:tc>
          <w:tcPr>
            <w:tcW w:w="333" w:type="pct"/>
            <w:vAlign w:val="center"/>
          </w:tcPr>
          <w:p w14:paraId="700A4B0D">
            <w:pPr>
              <w:pStyle w:val="33"/>
              <w:rPr>
                <w:rFonts w:eastAsia="等线"/>
                <w:color w:val="auto"/>
              </w:rPr>
            </w:pPr>
            <w:r>
              <w:rPr>
                <w:rFonts w:hint="eastAsia" w:eastAsia="等线"/>
                <w:color w:val="auto"/>
              </w:rPr>
              <w:t>0.0003</w:t>
            </w:r>
          </w:p>
        </w:tc>
        <w:tc>
          <w:tcPr>
            <w:tcW w:w="397" w:type="pct"/>
            <w:vAlign w:val="center"/>
          </w:tcPr>
          <w:p w14:paraId="55EE342C">
            <w:pPr>
              <w:pStyle w:val="33"/>
              <w:rPr>
                <w:rFonts w:eastAsia="等线"/>
                <w:color w:val="auto"/>
              </w:rPr>
            </w:pPr>
            <w:r>
              <w:rPr>
                <w:rFonts w:hint="eastAsia" w:eastAsia="等线"/>
                <w:color w:val="auto"/>
              </w:rPr>
              <w:t>/</w:t>
            </w:r>
          </w:p>
        </w:tc>
        <w:tc>
          <w:tcPr>
            <w:tcW w:w="333" w:type="pct"/>
            <w:vAlign w:val="center"/>
          </w:tcPr>
          <w:p w14:paraId="2E545EF7">
            <w:pPr>
              <w:pStyle w:val="33"/>
              <w:rPr>
                <w:rFonts w:eastAsia="等线"/>
                <w:color w:val="auto"/>
              </w:rPr>
            </w:pPr>
            <w:r>
              <w:rPr>
                <w:rFonts w:hint="eastAsia" w:eastAsia="等线"/>
                <w:color w:val="auto"/>
              </w:rPr>
              <w:t>/</w:t>
            </w:r>
          </w:p>
        </w:tc>
        <w:tc>
          <w:tcPr>
            <w:tcW w:w="338" w:type="pct"/>
            <w:vAlign w:val="center"/>
          </w:tcPr>
          <w:p w14:paraId="75CC018B">
            <w:pPr>
              <w:pStyle w:val="33"/>
              <w:rPr>
                <w:rFonts w:eastAsia="等线"/>
                <w:color w:val="auto"/>
              </w:rPr>
            </w:pPr>
            <w:r>
              <w:rPr>
                <w:rFonts w:hint="eastAsia" w:eastAsia="等线"/>
                <w:color w:val="auto"/>
              </w:rPr>
              <w:t>/</w:t>
            </w:r>
          </w:p>
        </w:tc>
      </w:tr>
      <w:tr w14:paraId="6B800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5426F988">
            <w:pPr>
              <w:pStyle w:val="33"/>
              <w:rPr>
                <w:rFonts w:eastAsia="等线"/>
                <w:color w:val="auto"/>
              </w:rPr>
            </w:pPr>
            <w:r>
              <w:rPr>
                <w:rFonts w:eastAsia="等线"/>
                <w:color w:val="auto"/>
              </w:rPr>
              <w:t>90</w:t>
            </w:r>
          </w:p>
        </w:tc>
        <w:tc>
          <w:tcPr>
            <w:tcW w:w="591" w:type="pct"/>
            <w:vAlign w:val="center"/>
          </w:tcPr>
          <w:p w14:paraId="763FC7D8">
            <w:pPr>
              <w:pStyle w:val="33"/>
              <w:rPr>
                <w:color w:val="auto"/>
              </w:rPr>
            </w:pPr>
            <w:r>
              <w:rPr>
                <w:rFonts w:hint="eastAsia"/>
                <w:color w:val="auto"/>
              </w:rPr>
              <w:t>甲类罐区溶剂储罐废气排口DA019</w:t>
            </w:r>
          </w:p>
        </w:tc>
        <w:tc>
          <w:tcPr>
            <w:tcW w:w="333" w:type="pct"/>
            <w:vAlign w:val="center"/>
          </w:tcPr>
          <w:p w14:paraId="07E2A9D3">
            <w:pPr>
              <w:pStyle w:val="33"/>
              <w:rPr>
                <w:rFonts w:eastAsia="等线"/>
                <w:color w:val="auto"/>
              </w:rPr>
            </w:pPr>
            <w:r>
              <w:rPr>
                <w:rFonts w:hint="eastAsia" w:eastAsia="等线"/>
                <w:color w:val="auto"/>
              </w:rPr>
              <w:t>15</w:t>
            </w:r>
          </w:p>
        </w:tc>
        <w:tc>
          <w:tcPr>
            <w:tcW w:w="333" w:type="pct"/>
            <w:vAlign w:val="center"/>
          </w:tcPr>
          <w:p w14:paraId="1D99BCFA">
            <w:pPr>
              <w:pStyle w:val="33"/>
              <w:rPr>
                <w:rFonts w:eastAsia="等线"/>
                <w:color w:val="auto"/>
              </w:rPr>
            </w:pPr>
            <w:r>
              <w:rPr>
                <w:rFonts w:hint="eastAsia" w:eastAsia="等线"/>
                <w:color w:val="auto"/>
              </w:rPr>
              <w:t>0.4</w:t>
            </w:r>
          </w:p>
        </w:tc>
        <w:tc>
          <w:tcPr>
            <w:tcW w:w="376" w:type="pct"/>
            <w:vAlign w:val="center"/>
          </w:tcPr>
          <w:p w14:paraId="2DF37493">
            <w:pPr>
              <w:pStyle w:val="33"/>
              <w:rPr>
                <w:rFonts w:eastAsia="等线"/>
                <w:color w:val="auto"/>
              </w:rPr>
            </w:pPr>
            <w:r>
              <w:rPr>
                <w:rFonts w:hint="eastAsia" w:eastAsia="等线"/>
                <w:color w:val="auto"/>
              </w:rPr>
              <w:t>/</w:t>
            </w:r>
          </w:p>
        </w:tc>
        <w:tc>
          <w:tcPr>
            <w:tcW w:w="359" w:type="pct"/>
            <w:vAlign w:val="center"/>
          </w:tcPr>
          <w:p w14:paraId="6FCBF641">
            <w:pPr>
              <w:pStyle w:val="33"/>
              <w:rPr>
                <w:rFonts w:eastAsia="等线"/>
                <w:color w:val="auto"/>
              </w:rPr>
            </w:pPr>
            <w:r>
              <w:rPr>
                <w:rFonts w:hint="eastAsia" w:eastAsia="等线"/>
                <w:color w:val="auto"/>
              </w:rPr>
              <w:t>/</w:t>
            </w:r>
          </w:p>
        </w:tc>
        <w:tc>
          <w:tcPr>
            <w:tcW w:w="359" w:type="pct"/>
            <w:vAlign w:val="center"/>
          </w:tcPr>
          <w:p w14:paraId="7EB3070F">
            <w:pPr>
              <w:pStyle w:val="33"/>
              <w:rPr>
                <w:rFonts w:eastAsia="等线"/>
                <w:color w:val="auto"/>
              </w:rPr>
            </w:pPr>
            <w:r>
              <w:rPr>
                <w:rFonts w:hint="eastAsia" w:eastAsia="等线"/>
                <w:color w:val="auto"/>
              </w:rPr>
              <w:t>/</w:t>
            </w:r>
          </w:p>
        </w:tc>
        <w:tc>
          <w:tcPr>
            <w:tcW w:w="330" w:type="pct"/>
            <w:vAlign w:val="center"/>
          </w:tcPr>
          <w:p w14:paraId="3522B692">
            <w:pPr>
              <w:pStyle w:val="33"/>
              <w:rPr>
                <w:rFonts w:eastAsia="等线"/>
                <w:color w:val="auto"/>
              </w:rPr>
            </w:pPr>
            <w:r>
              <w:rPr>
                <w:rFonts w:hint="eastAsia" w:eastAsia="等线"/>
                <w:color w:val="auto"/>
              </w:rPr>
              <w:t>/</w:t>
            </w:r>
          </w:p>
        </w:tc>
        <w:tc>
          <w:tcPr>
            <w:tcW w:w="333" w:type="pct"/>
            <w:vAlign w:val="center"/>
          </w:tcPr>
          <w:p w14:paraId="0FC2DD14">
            <w:pPr>
              <w:pStyle w:val="33"/>
              <w:rPr>
                <w:rFonts w:eastAsia="等线"/>
                <w:color w:val="auto"/>
              </w:rPr>
            </w:pPr>
            <w:r>
              <w:rPr>
                <w:rFonts w:hint="eastAsia" w:eastAsia="等线"/>
                <w:color w:val="auto"/>
              </w:rPr>
              <w:t>/</w:t>
            </w:r>
          </w:p>
        </w:tc>
        <w:tc>
          <w:tcPr>
            <w:tcW w:w="333" w:type="pct"/>
            <w:vAlign w:val="center"/>
          </w:tcPr>
          <w:p w14:paraId="41A7FA2B">
            <w:pPr>
              <w:pStyle w:val="33"/>
              <w:rPr>
                <w:rFonts w:eastAsia="等线"/>
                <w:color w:val="auto"/>
              </w:rPr>
            </w:pPr>
            <w:r>
              <w:rPr>
                <w:rFonts w:hint="eastAsia" w:eastAsia="等线"/>
                <w:color w:val="auto"/>
              </w:rPr>
              <w:t>/</w:t>
            </w:r>
          </w:p>
        </w:tc>
        <w:tc>
          <w:tcPr>
            <w:tcW w:w="333" w:type="pct"/>
            <w:vAlign w:val="center"/>
          </w:tcPr>
          <w:p w14:paraId="64351C69">
            <w:pPr>
              <w:pStyle w:val="33"/>
              <w:rPr>
                <w:rFonts w:eastAsia="等线"/>
                <w:color w:val="auto"/>
              </w:rPr>
            </w:pPr>
            <w:r>
              <w:rPr>
                <w:rFonts w:hint="eastAsia" w:eastAsia="等线"/>
                <w:color w:val="auto"/>
              </w:rPr>
              <w:t>/</w:t>
            </w:r>
          </w:p>
        </w:tc>
        <w:tc>
          <w:tcPr>
            <w:tcW w:w="397" w:type="pct"/>
            <w:vAlign w:val="center"/>
          </w:tcPr>
          <w:p w14:paraId="648FCB59">
            <w:pPr>
              <w:pStyle w:val="33"/>
              <w:rPr>
                <w:rFonts w:eastAsia="等线"/>
                <w:color w:val="auto"/>
              </w:rPr>
            </w:pPr>
            <w:r>
              <w:rPr>
                <w:rFonts w:hint="eastAsia" w:eastAsia="等线"/>
                <w:color w:val="auto"/>
              </w:rPr>
              <w:t>/</w:t>
            </w:r>
          </w:p>
        </w:tc>
        <w:tc>
          <w:tcPr>
            <w:tcW w:w="333" w:type="pct"/>
            <w:vAlign w:val="center"/>
          </w:tcPr>
          <w:p w14:paraId="7B79020D">
            <w:pPr>
              <w:pStyle w:val="33"/>
              <w:rPr>
                <w:rFonts w:eastAsia="等线"/>
                <w:color w:val="auto"/>
              </w:rPr>
            </w:pPr>
            <w:r>
              <w:rPr>
                <w:rFonts w:hint="eastAsia" w:eastAsia="等线"/>
                <w:color w:val="auto"/>
              </w:rPr>
              <w:t>/</w:t>
            </w:r>
          </w:p>
        </w:tc>
        <w:tc>
          <w:tcPr>
            <w:tcW w:w="338" w:type="pct"/>
            <w:vAlign w:val="center"/>
          </w:tcPr>
          <w:p w14:paraId="6C509C10">
            <w:pPr>
              <w:pStyle w:val="33"/>
              <w:rPr>
                <w:rFonts w:eastAsia="等线"/>
                <w:color w:val="auto"/>
              </w:rPr>
            </w:pPr>
            <w:r>
              <w:rPr>
                <w:rFonts w:hint="eastAsia" w:eastAsia="等线"/>
                <w:color w:val="auto"/>
              </w:rPr>
              <w:t>0.2707</w:t>
            </w:r>
          </w:p>
        </w:tc>
      </w:tr>
      <w:tr w14:paraId="4835D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2" w:type="pct"/>
            <w:vAlign w:val="center"/>
          </w:tcPr>
          <w:p w14:paraId="2ACCFA60">
            <w:pPr>
              <w:pStyle w:val="33"/>
              <w:rPr>
                <w:rFonts w:eastAsia="等线"/>
                <w:color w:val="auto"/>
              </w:rPr>
            </w:pPr>
            <w:r>
              <w:rPr>
                <w:rFonts w:eastAsia="等线"/>
                <w:color w:val="auto"/>
              </w:rPr>
              <w:t>91</w:t>
            </w:r>
          </w:p>
        </w:tc>
        <w:tc>
          <w:tcPr>
            <w:tcW w:w="591" w:type="pct"/>
            <w:vAlign w:val="center"/>
          </w:tcPr>
          <w:p w14:paraId="14ADFA56">
            <w:pPr>
              <w:pStyle w:val="33"/>
              <w:rPr>
                <w:color w:val="auto"/>
              </w:rPr>
            </w:pPr>
            <w:r>
              <w:rPr>
                <w:rFonts w:hint="eastAsia"/>
                <w:color w:val="auto"/>
                <w:lang w:bidi="ar"/>
              </w:rPr>
              <w:t>污水处理站废气排口DA020</w:t>
            </w:r>
          </w:p>
        </w:tc>
        <w:tc>
          <w:tcPr>
            <w:tcW w:w="333" w:type="pct"/>
            <w:vAlign w:val="center"/>
          </w:tcPr>
          <w:p w14:paraId="71697754">
            <w:pPr>
              <w:pStyle w:val="33"/>
              <w:rPr>
                <w:rFonts w:eastAsia="等线"/>
                <w:color w:val="auto"/>
              </w:rPr>
            </w:pPr>
            <w:r>
              <w:rPr>
                <w:rFonts w:hint="eastAsia" w:eastAsia="等线"/>
                <w:color w:val="auto"/>
              </w:rPr>
              <w:t>20</w:t>
            </w:r>
          </w:p>
        </w:tc>
        <w:tc>
          <w:tcPr>
            <w:tcW w:w="333" w:type="pct"/>
            <w:vAlign w:val="center"/>
          </w:tcPr>
          <w:p w14:paraId="7613B34B">
            <w:pPr>
              <w:pStyle w:val="33"/>
              <w:rPr>
                <w:rFonts w:eastAsia="等线"/>
                <w:color w:val="auto"/>
              </w:rPr>
            </w:pPr>
            <w:r>
              <w:rPr>
                <w:rFonts w:hint="eastAsia" w:eastAsia="等线"/>
                <w:color w:val="auto"/>
              </w:rPr>
              <w:t>0.4</w:t>
            </w:r>
          </w:p>
        </w:tc>
        <w:tc>
          <w:tcPr>
            <w:tcW w:w="376" w:type="pct"/>
            <w:vAlign w:val="center"/>
          </w:tcPr>
          <w:p w14:paraId="6CD24618">
            <w:pPr>
              <w:pStyle w:val="33"/>
              <w:rPr>
                <w:rFonts w:eastAsia="等线"/>
                <w:color w:val="auto"/>
              </w:rPr>
            </w:pPr>
            <w:r>
              <w:rPr>
                <w:rFonts w:hint="eastAsia" w:eastAsia="等线"/>
                <w:color w:val="auto"/>
              </w:rPr>
              <w:t>/</w:t>
            </w:r>
          </w:p>
        </w:tc>
        <w:tc>
          <w:tcPr>
            <w:tcW w:w="359" w:type="pct"/>
            <w:vAlign w:val="center"/>
          </w:tcPr>
          <w:p w14:paraId="59D7FEAD">
            <w:pPr>
              <w:pStyle w:val="33"/>
              <w:rPr>
                <w:rFonts w:eastAsia="等线"/>
                <w:color w:val="auto"/>
              </w:rPr>
            </w:pPr>
            <w:r>
              <w:rPr>
                <w:rFonts w:hint="eastAsia" w:eastAsia="等线"/>
                <w:color w:val="auto"/>
              </w:rPr>
              <w:t>/</w:t>
            </w:r>
          </w:p>
        </w:tc>
        <w:tc>
          <w:tcPr>
            <w:tcW w:w="359" w:type="pct"/>
            <w:vAlign w:val="center"/>
          </w:tcPr>
          <w:p w14:paraId="4E522BB5">
            <w:pPr>
              <w:pStyle w:val="33"/>
              <w:rPr>
                <w:rFonts w:eastAsia="等线"/>
                <w:color w:val="auto"/>
              </w:rPr>
            </w:pPr>
            <w:r>
              <w:rPr>
                <w:rFonts w:hint="eastAsia" w:eastAsia="等线"/>
                <w:color w:val="auto"/>
              </w:rPr>
              <w:t>/</w:t>
            </w:r>
          </w:p>
        </w:tc>
        <w:tc>
          <w:tcPr>
            <w:tcW w:w="330" w:type="pct"/>
            <w:vAlign w:val="center"/>
          </w:tcPr>
          <w:p w14:paraId="41639812">
            <w:pPr>
              <w:pStyle w:val="33"/>
              <w:rPr>
                <w:rFonts w:eastAsia="等线"/>
                <w:color w:val="auto"/>
              </w:rPr>
            </w:pPr>
            <w:r>
              <w:rPr>
                <w:rFonts w:hint="eastAsia" w:eastAsia="等线"/>
                <w:color w:val="auto"/>
              </w:rPr>
              <w:t>/</w:t>
            </w:r>
          </w:p>
        </w:tc>
        <w:tc>
          <w:tcPr>
            <w:tcW w:w="333" w:type="pct"/>
            <w:vAlign w:val="center"/>
          </w:tcPr>
          <w:p w14:paraId="24CDB1CC">
            <w:pPr>
              <w:pStyle w:val="33"/>
              <w:rPr>
                <w:rFonts w:eastAsia="等线"/>
                <w:color w:val="auto"/>
              </w:rPr>
            </w:pPr>
            <w:r>
              <w:rPr>
                <w:rFonts w:hint="eastAsia" w:eastAsia="等线"/>
                <w:color w:val="auto"/>
              </w:rPr>
              <w:t>/</w:t>
            </w:r>
          </w:p>
        </w:tc>
        <w:tc>
          <w:tcPr>
            <w:tcW w:w="333" w:type="pct"/>
            <w:vAlign w:val="center"/>
          </w:tcPr>
          <w:p w14:paraId="022AAEFD">
            <w:pPr>
              <w:pStyle w:val="33"/>
              <w:rPr>
                <w:rFonts w:eastAsia="等线"/>
                <w:color w:val="auto"/>
              </w:rPr>
            </w:pPr>
            <w:r>
              <w:rPr>
                <w:rFonts w:hint="eastAsia" w:eastAsia="等线"/>
                <w:color w:val="auto"/>
              </w:rPr>
              <w:t>/</w:t>
            </w:r>
          </w:p>
        </w:tc>
        <w:tc>
          <w:tcPr>
            <w:tcW w:w="333" w:type="pct"/>
            <w:vAlign w:val="center"/>
          </w:tcPr>
          <w:p w14:paraId="3A87C526">
            <w:pPr>
              <w:pStyle w:val="33"/>
              <w:rPr>
                <w:rFonts w:eastAsia="等线"/>
                <w:color w:val="auto"/>
              </w:rPr>
            </w:pPr>
            <w:r>
              <w:rPr>
                <w:rFonts w:hint="eastAsia" w:eastAsia="等线"/>
                <w:color w:val="auto"/>
              </w:rPr>
              <w:t>0.0013</w:t>
            </w:r>
          </w:p>
        </w:tc>
        <w:tc>
          <w:tcPr>
            <w:tcW w:w="397" w:type="pct"/>
            <w:vAlign w:val="center"/>
          </w:tcPr>
          <w:p w14:paraId="05A32737">
            <w:pPr>
              <w:pStyle w:val="33"/>
              <w:rPr>
                <w:rFonts w:eastAsia="等线"/>
                <w:color w:val="auto"/>
              </w:rPr>
            </w:pPr>
            <w:r>
              <w:rPr>
                <w:rFonts w:hint="eastAsia" w:eastAsia="等线"/>
                <w:color w:val="auto"/>
              </w:rPr>
              <w:t>0.00001</w:t>
            </w:r>
          </w:p>
        </w:tc>
        <w:tc>
          <w:tcPr>
            <w:tcW w:w="333" w:type="pct"/>
            <w:vAlign w:val="center"/>
          </w:tcPr>
          <w:p w14:paraId="5F241C61">
            <w:pPr>
              <w:pStyle w:val="33"/>
              <w:rPr>
                <w:rFonts w:eastAsia="等线"/>
                <w:color w:val="auto"/>
              </w:rPr>
            </w:pPr>
            <w:r>
              <w:rPr>
                <w:rFonts w:hint="eastAsia" w:eastAsia="等线"/>
                <w:color w:val="auto"/>
              </w:rPr>
              <w:t>/</w:t>
            </w:r>
          </w:p>
        </w:tc>
        <w:tc>
          <w:tcPr>
            <w:tcW w:w="338" w:type="pct"/>
            <w:vAlign w:val="center"/>
          </w:tcPr>
          <w:p w14:paraId="0761A64F">
            <w:pPr>
              <w:pStyle w:val="33"/>
              <w:rPr>
                <w:rFonts w:eastAsia="等线"/>
                <w:color w:val="auto"/>
              </w:rPr>
            </w:pPr>
            <w:r>
              <w:rPr>
                <w:rFonts w:hint="eastAsia" w:eastAsia="等线"/>
                <w:color w:val="auto"/>
              </w:rPr>
              <w:t>0.0248</w:t>
            </w:r>
          </w:p>
        </w:tc>
      </w:tr>
    </w:tbl>
    <w:p w14:paraId="50544148">
      <w:pPr>
        <w:spacing w:line="240" w:lineRule="auto"/>
        <w:ind w:firstLine="0" w:firstLineChars="0"/>
        <w:rPr>
          <w:color w:val="auto"/>
          <w:sz w:val="21"/>
          <w:szCs w:val="21"/>
        </w:rPr>
      </w:pPr>
    </w:p>
    <w:p w14:paraId="009149AC">
      <w:pPr>
        <w:spacing w:line="240" w:lineRule="auto"/>
        <w:ind w:firstLine="0" w:firstLineChars="0"/>
        <w:rPr>
          <w:color w:val="auto"/>
          <w:sz w:val="21"/>
          <w:szCs w:val="21"/>
        </w:rPr>
      </w:pPr>
      <w:r>
        <w:rPr>
          <w:rFonts w:hint="eastAsia"/>
          <w:color w:val="auto"/>
          <w:sz w:val="21"/>
          <w:szCs w:val="21"/>
        </w:rPr>
        <w:t>注：1.带*号代表非正常源强。非正常源强考虑各污染物最大非正常排放情况，SO</w:t>
      </w:r>
      <w:r>
        <w:rPr>
          <w:rFonts w:hint="eastAsia"/>
          <w:color w:val="auto"/>
          <w:sz w:val="21"/>
          <w:szCs w:val="21"/>
          <w:vertAlign w:val="subscript"/>
        </w:rPr>
        <w:t>2</w:t>
      </w:r>
      <w:r>
        <w:rPr>
          <w:rFonts w:hint="eastAsia"/>
          <w:color w:val="auto"/>
          <w:sz w:val="21"/>
          <w:szCs w:val="21"/>
        </w:rPr>
        <w:t>选取固废锅炉废气治理设施故障，脱硫设施处理效率下降到50%的排放源强，NO</w:t>
      </w:r>
      <w:r>
        <w:rPr>
          <w:rFonts w:hint="eastAsia"/>
          <w:color w:val="auto"/>
          <w:sz w:val="21"/>
          <w:szCs w:val="21"/>
          <w:vertAlign w:val="subscript"/>
        </w:rPr>
        <w:t>2</w:t>
      </w:r>
      <w:r>
        <w:rPr>
          <w:rFonts w:hint="eastAsia"/>
          <w:color w:val="auto"/>
          <w:sz w:val="21"/>
          <w:szCs w:val="21"/>
        </w:rPr>
        <w:t>取碱回收炉开机使用柴油作为助燃剂时的排放源强，PM</w:t>
      </w:r>
      <w:r>
        <w:rPr>
          <w:rFonts w:hint="eastAsia"/>
          <w:color w:val="auto"/>
          <w:sz w:val="21"/>
          <w:szCs w:val="21"/>
          <w:vertAlign w:val="subscript"/>
        </w:rPr>
        <w:t>10</w:t>
      </w:r>
      <w:r>
        <w:rPr>
          <w:rFonts w:hint="eastAsia"/>
          <w:color w:val="auto"/>
          <w:sz w:val="21"/>
          <w:szCs w:val="21"/>
        </w:rPr>
        <w:t>、PM</w:t>
      </w:r>
      <w:r>
        <w:rPr>
          <w:rFonts w:hint="eastAsia"/>
          <w:color w:val="auto"/>
          <w:sz w:val="21"/>
          <w:szCs w:val="21"/>
          <w:vertAlign w:val="subscript"/>
        </w:rPr>
        <w:t>2.5</w:t>
      </w:r>
      <w:r>
        <w:rPr>
          <w:rFonts w:hint="eastAsia"/>
          <w:color w:val="auto"/>
          <w:sz w:val="21"/>
          <w:szCs w:val="21"/>
        </w:rPr>
        <w:t>取碱回收炉废气治理设施故障1通道除尘效率下降到93.75%，其余4通道除尘效率仍为99.9%的排放源强，NH</w:t>
      </w:r>
      <w:r>
        <w:rPr>
          <w:rFonts w:hint="eastAsia"/>
          <w:color w:val="auto"/>
          <w:sz w:val="21"/>
          <w:szCs w:val="21"/>
          <w:vertAlign w:val="subscript"/>
        </w:rPr>
        <w:t>3</w:t>
      </w:r>
      <w:r>
        <w:rPr>
          <w:rFonts w:hint="eastAsia"/>
          <w:color w:val="auto"/>
          <w:sz w:val="21"/>
          <w:szCs w:val="21"/>
        </w:rPr>
        <w:t>、H</w:t>
      </w:r>
      <w:r>
        <w:rPr>
          <w:rFonts w:hint="eastAsia"/>
          <w:color w:val="auto"/>
          <w:sz w:val="21"/>
          <w:szCs w:val="21"/>
          <w:vertAlign w:val="subscript"/>
        </w:rPr>
        <w:t>2</w:t>
      </w:r>
      <w:r>
        <w:rPr>
          <w:rFonts w:hint="eastAsia"/>
          <w:color w:val="auto"/>
          <w:sz w:val="21"/>
          <w:szCs w:val="21"/>
        </w:rPr>
        <w:t>S取拟建污水处理站碱液洗涤塔故障，去除率下降到40%的排放源强。</w:t>
      </w:r>
    </w:p>
    <w:p w14:paraId="032863AB">
      <w:pPr>
        <w:ind w:firstLine="0" w:firstLineChars="0"/>
        <w:rPr>
          <w:color w:val="auto"/>
        </w:rPr>
        <w:sectPr>
          <w:pgSz w:w="16838" w:h="11906" w:orient="landscape"/>
          <w:pgMar w:top="1418" w:right="1418" w:bottom="1418" w:left="1418" w:header="851" w:footer="850" w:gutter="0"/>
          <w:cols w:space="425" w:num="1"/>
          <w:docGrid w:type="lines" w:linePitch="326" w:charSpace="0"/>
        </w:sectPr>
      </w:pPr>
    </w:p>
    <w:p w14:paraId="5AAB8E71">
      <w:pPr>
        <w:pStyle w:val="5"/>
        <w:rPr>
          <w:color w:val="auto"/>
        </w:rPr>
      </w:pPr>
      <w:r>
        <w:rPr>
          <w:rFonts w:hint="eastAsia"/>
          <w:color w:val="auto"/>
        </w:rPr>
        <w:t>区域已建、在建和拟建污染源废水污染物排放情况</w:t>
      </w:r>
    </w:p>
    <w:p w14:paraId="2FDF2CF6">
      <w:pPr>
        <w:ind w:firstLine="480"/>
        <w:rPr>
          <w:color w:val="auto"/>
        </w:rPr>
      </w:pPr>
      <w:r>
        <w:rPr>
          <w:rFonts w:hint="eastAsia"/>
          <w:color w:val="auto"/>
        </w:rPr>
        <w:t>评价范围内与拟建项目排放污染物有关的已批在建项目地表水污染源主要为金桂浆纸现有及已批在建工程及广西金洲浆纸业有限公司年产300万吨林浆纸一体化项目，合计排放量分别为：废水量</w:t>
      </w:r>
      <w:r>
        <w:rPr>
          <w:color w:val="auto"/>
        </w:rPr>
        <w:t>5883.923</w:t>
      </w:r>
      <w:r>
        <w:rPr>
          <w:rFonts w:hint="eastAsia"/>
          <w:color w:val="auto"/>
        </w:rPr>
        <w:t>万m</w:t>
      </w:r>
      <w:r>
        <w:rPr>
          <w:rFonts w:hint="eastAsia"/>
          <w:color w:val="auto"/>
          <w:vertAlign w:val="superscript"/>
        </w:rPr>
        <w:t>3</w:t>
      </w:r>
      <w:r>
        <w:rPr>
          <w:color w:val="auto"/>
        </w:rPr>
        <w:t>/a</w:t>
      </w:r>
      <w:r>
        <w:rPr>
          <w:rFonts w:hint="eastAsia"/>
          <w:color w:val="auto"/>
        </w:rPr>
        <w:t>、C</w:t>
      </w:r>
      <w:r>
        <w:rPr>
          <w:color w:val="auto"/>
        </w:rPr>
        <w:t>OD3734.463</w:t>
      </w:r>
      <w:r>
        <w:rPr>
          <w:rFonts w:hint="eastAsia"/>
          <w:color w:val="auto"/>
        </w:rPr>
        <w:t>t</w:t>
      </w:r>
      <w:r>
        <w:rPr>
          <w:color w:val="auto"/>
        </w:rPr>
        <w:t>/a</w:t>
      </w:r>
      <w:r>
        <w:rPr>
          <w:rFonts w:hint="eastAsia"/>
          <w:color w:val="auto"/>
        </w:rPr>
        <w:t>、</w:t>
      </w:r>
      <w:r>
        <w:rPr>
          <w:color w:val="auto"/>
        </w:rPr>
        <w:t>BOD5767.174t</w:t>
      </w:r>
      <w:r>
        <w:rPr>
          <w:rFonts w:hint="eastAsia"/>
          <w:color w:val="auto"/>
        </w:rPr>
        <w:t>/a、</w:t>
      </w:r>
      <w:r>
        <w:rPr>
          <w:color w:val="auto"/>
        </w:rPr>
        <w:t>SS1103.678t</w:t>
      </w:r>
      <w:r>
        <w:rPr>
          <w:rFonts w:hint="eastAsia"/>
          <w:color w:val="auto"/>
        </w:rPr>
        <w:t>/a、氨氮</w:t>
      </w:r>
      <w:r>
        <w:rPr>
          <w:color w:val="auto"/>
        </w:rPr>
        <w:t>179.875t</w:t>
      </w:r>
      <w:r>
        <w:rPr>
          <w:rFonts w:hint="eastAsia"/>
          <w:color w:val="auto"/>
        </w:rPr>
        <w:t>/a、总氮</w:t>
      </w:r>
      <w:r>
        <w:rPr>
          <w:color w:val="auto"/>
        </w:rPr>
        <w:t>389.561t</w:t>
      </w:r>
      <w:r>
        <w:rPr>
          <w:rFonts w:hint="eastAsia"/>
          <w:color w:val="auto"/>
        </w:rPr>
        <w:t>/a、总磷</w:t>
      </w:r>
      <w:r>
        <w:rPr>
          <w:color w:val="auto"/>
        </w:rPr>
        <w:t>17.016 t</w:t>
      </w:r>
      <w:r>
        <w:rPr>
          <w:rFonts w:hint="eastAsia"/>
          <w:color w:val="auto"/>
        </w:rPr>
        <w:t>/a。主要污染物评价范围内拟建、在建项目废水污染源调查表如下。评价范围内近期拟建、在建项目废水污染源调查表  单位：t/a</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34"/>
        <w:gridCol w:w="709"/>
        <w:gridCol w:w="992"/>
        <w:gridCol w:w="709"/>
        <w:gridCol w:w="850"/>
        <w:gridCol w:w="709"/>
        <w:gridCol w:w="850"/>
        <w:gridCol w:w="709"/>
        <w:gridCol w:w="851"/>
        <w:gridCol w:w="701"/>
      </w:tblGrid>
      <w:tr w14:paraId="3450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14:paraId="1FCCA0A1">
            <w:pPr>
              <w:pStyle w:val="33"/>
              <w:rPr>
                <w:color w:val="auto"/>
              </w:rPr>
            </w:pPr>
            <w:r>
              <w:rPr>
                <w:rFonts w:hint="eastAsia"/>
                <w:color w:val="auto"/>
              </w:rPr>
              <w:t>建设单位</w:t>
            </w:r>
          </w:p>
        </w:tc>
        <w:tc>
          <w:tcPr>
            <w:tcW w:w="1134" w:type="dxa"/>
            <w:vMerge w:val="restart"/>
            <w:vAlign w:val="center"/>
          </w:tcPr>
          <w:p w14:paraId="083B0101">
            <w:pPr>
              <w:pStyle w:val="33"/>
              <w:rPr>
                <w:color w:val="auto"/>
              </w:rPr>
            </w:pPr>
            <w:r>
              <w:rPr>
                <w:rFonts w:hint="eastAsia"/>
                <w:color w:val="auto"/>
              </w:rPr>
              <w:t>项目名称</w:t>
            </w:r>
          </w:p>
        </w:tc>
        <w:tc>
          <w:tcPr>
            <w:tcW w:w="709" w:type="dxa"/>
            <w:vMerge w:val="restart"/>
            <w:vAlign w:val="center"/>
          </w:tcPr>
          <w:p w14:paraId="5AA245E6">
            <w:pPr>
              <w:pStyle w:val="33"/>
              <w:rPr>
                <w:color w:val="auto"/>
              </w:rPr>
            </w:pPr>
            <w:r>
              <w:rPr>
                <w:rFonts w:hint="eastAsia"/>
                <w:color w:val="auto"/>
              </w:rPr>
              <w:t>建设情况</w:t>
            </w:r>
          </w:p>
        </w:tc>
        <w:tc>
          <w:tcPr>
            <w:tcW w:w="5670" w:type="dxa"/>
            <w:gridSpan w:val="7"/>
            <w:vAlign w:val="center"/>
          </w:tcPr>
          <w:p w14:paraId="1E606DC9">
            <w:pPr>
              <w:pStyle w:val="33"/>
              <w:rPr>
                <w:color w:val="auto"/>
              </w:rPr>
            </w:pPr>
            <w:r>
              <w:rPr>
                <w:rFonts w:hint="eastAsia"/>
                <w:color w:val="auto"/>
              </w:rPr>
              <w:t>污染物（</w:t>
            </w:r>
            <w:r>
              <w:rPr>
                <w:color w:val="auto"/>
              </w:rPr>
              <w:t>t/a</w:t>
            </w:r>
            <w:r>
              <w:rPr>
                <w:rFonts w:hint="eastAsia"/>
                <w:color w:val="auto"/>
              </w:rPr>
              <w:t>）</w:t>
            </w:r>
          </w:p>
        </w:tc>
        <w:tc>
          <w:tcPr>
            <w:tcW w:w="701" w:type="dxa"/>
            <w:vMerge w:val="restart"/>
            <w:vAlign w:val="center"/>
          </w:tcPr>
          <w:p w14:paraId="74607AB4">
            <w:pPr>
              <w:pStyle w:val="33"/>
              <w:rPr>
                <w:color w:val="auto"/>
              </w:rPr>
            </w:pPr>
            <w:r>
              <w:rPr>
                <w:rFonts w:hint="eastAsia"/>
                <w:color w:val="auto"/>
              </w:rPr>
              <w:t>排放去向</w:t>
            </w:r>
          </w:p>
        </w:tc>
      </w:tr>
      <w:tr w14:paraId="7D441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057CAE79">
            <w:pPr>
              <w:pStyle w:val="33"/>
              <w:rPr>
                <w:color w:val="auto"/>
              </w:rPr>
            </w:pPr>
          </w:p>
        </w:tc>
        <w:tc>
          <w:tcPr>
            <w:tcW w:w="1134" w:type="dxa"/>
            <w:vMerge w:val="continue"/>
            <w:vAlign w:val="center"/>
          </w:tcPr>
          <w:p w14:paraId="1B3E061E">
            <w:pPr>
              <w:pStyle w:val="33"/>
              <w:rPr>
                <w:color w:val="auto"/>
              </w:rPr>
            </w:pPr>
          </w:p>
        </w:tc>
        <w:tc>
          <w:tcPr>
            <w:tcW w:w="709" w:type="dxa"/>
            <w:vMerge w:val="continue"/>
            <w:vAlign w:val="center"/>
          </w:tcPr>
          <w:p w14:paraId="357D5C2E">
            <w:pPr>
              <w:pStyle w:val="33"/>
              <w:rPr>
                <w:color w:val="auto"/>
              </w:rPr>
            </w:pPr>
          </w:p>
        </w:tc>
        <w:tc>
          <w:tcPr>
            <w:tcW w:w="992" w:type="dxa"/>
            <w:vAlign w:val="center"/>
          </w:tcPr>
          <w:p w14:paraId="25461BCB">
            <w:pPr>
              <w:pStyle w:val="33"/>
              <w:rPr>
                <w:color w:val="auto"/>
              </w:rPr>
            </w:pPr>
            <w:r>
              <w:rPr>
                <w:rFonts w:hint="eastAsia"/>
                <w:color w:val="auto"/>
              </w:rPr>
              <w:t>废水量</w:t>
            </w:r>
          </w:p>
          <w:p w14:paraId="0DA4EE60">
            <w:pPr>
              <w:pStyle w:val="33"/>
              <w:rPr>
                <w:color w:val="auto"/>
              </w:rPr>
            </w:pPr>
            <w:r>
              <w:rPr>
                <w:rFonts w:hint="eastAsia"/>
                <w:color w:val="auto"/>
              </w:rPr>
              <w:t>(万m</w:t>
            </w:r>
            <w:r>
              <w:rPr>
                <w:rFonts w:hint="eastAsia"/>
                <w:color w:val="auto"/>
                <w:vertAlign w:val="superscript"/>
              </w:rPr>
              <w:t>3</w:t>
            </w:r>
            <w:r>
              <w:rPr>
                <w:rFonts w:hint="eastAsia"/>
                <w:color w:val="auto"/>
              </w:rPr>
              <w:t>/a）</w:t>
            </w:r>
          </w:p>
        </w:tc>
        <w:tc>
          <w:tcPr>
            <w:tcW w:w="709" w:type="dxa"/>
            <w:vAlign w:val="center"/>
          </w:tcPr>
          <w:p w14:paraId="0B599220">
            <w:pPr>
              <w:pStyle w:val="33"/>
              <w:rPr>
                <w:color w:val="auto"/>
              </w:rPr>
            </w:pPr>
            <w:r>
              <w:rPr>
                <w:color w:val="auto"/>
              </w:rPr>
              <w:t>COD</w:t>
            </w:r>
          </w:p>
        </w:tc>
        <w:tc>
          <w:tcPr>
            <w:tcW w:w="850" w:type="dxa"/>
            <w:vAlign w:val="center"/>
          </w:tcPr>
          <w:p w14:paraId="0647806A">
            <w:pPr>
              <w:pStyle w:val="33"/>
              <w:rPr>
                <w:color w:val="auto"/>
              </w:rPr>
            </w:pPr>
            <w:r>
              <w:rPr>
                <w:color w:val="auto"/>
              </w:rPr>
              <w:t>BOD</w:t>
            </w:r>
            <w:r>
              <w:rPr>
                <w:color w:val="auto"/>
                <w:vertAlign w:val="subscript"/>
              </w:rPr>
              <w:t>5</w:t>
            </w:r>
          </w:p>
        </w:tc>
        <w:tc>
          <w:tcPr>
            <w:tcW w:w="709" w:type="dxa"/>
            <w:vAlign w:val="center"/>
          </w:tcPr>
          <w:p w14:paraId="00160B20">
            <w:pPr>
              <w:pStyle w:val="33"/>
              <w:rPr>
                <w:color w:val="auto"/>
              </w:rPr>
            </w:pPr>
            <w:r>
              <w:rPr>
                <w:color w:val="auto"/>
              </w:rPr>
              <w:t>SS</w:t>
            </w:r>
          </w:p>
        </w:tc>
        <w:tc>
          <w:tcPr>
            <w:tcW w:w="850" w:type="dxa"/>
            <w:vAlign w:val="center"/>
          </w:tcPr>
          <w:p w14:paraId="68B568F8">
            <w:pPr>
              <w:pStyle w:val="33"/>
              <w:rPr>
                <w:color w:val="auto"/>
              </w:rPr>
            </w:pPr>
            <w:r>
              <w:rPr>
                <w:color w:val="auto"/>
              </w:rPr>
              <w:t>NH</w:t>
            </w:r>
            <w:r>
              <w:rPr>
                <w:color w:val="auto"/>
                <w:vertAlign w:val="subscript"/>
              </w:rPr>
              <w:t>3</w:t>
            </w:r>
            <w:r>
              <w:rPr>
                <w:color w:val="auto"/>
              </w:rPr>
              <w:t>-N</w:t>
            </w:r>
          </w:p>
        </w:tc>
        <w:tc>
          <w:tcPr>
            <w:tcW w:w="709" w:type="dxa"/>
            <w:vAlign w:val="center"/>
          </w:tcPr>
          <w:p w14:paraId="1288E197">
            <w:pPr>
              <w:pStyle w:val="33"/>
              <w:rPr>
                <w:color w:val="auto"/>
              </w:rPr>
            </w:pPr>
            <w:r>
              <w:rPr>
                <w:rFonts w:hint="eastAsia"/>
                <w:color w:val="auto"/>
              </w:rPr>
              <w:t>TN</w:t>
            </w:r>
          </w:p>
        </w:tc>
        <w:tc>
          <w:tcPr>
            <w:tcW w:w="851" w:type="dxa"/>
            <w:vAlign w:val="center"/>
          </w:tcPr>
          <w:p w14:paraId="33A5D164">
            <w:pPr>
              <w:pStyle w:val="33"/>
              <w:rPr>
                <w:color w:val="auto"/>
              </w:rPr>
            </w:pPr>
            <w:r>
              <w:rPr>
                <w:color w:val="auto"/>
              </w:rPr>
              <w:t>TP</w:t>
            </w:r>
          </w:p>
        </w:tc>
        <w:tc>
          <w:tcPr>
            <w:tcW w:w="701" w:type="dxa"/>
            <w:vMerge w:val="continue"/>
            <w:vAlign w:val="center"/>
          </w:tcPr>
          <w:p w14:paraId="7B5EC1F7">
            <w:pPr>
              <w:pStyle w:val="33"/>
              <w:rPr>
                <w:color w:val="auto"/>
              </w:rPr>
            </w:pPr>
          </w:p>
        </w:tc>
      </w:tr>
      <w:tr w14:paraId="66558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14:paraId="3900EA89">
            <w:pPr>
              <w:pStyle w:val="33"/>
              <w:rPr>
                <w:color w:val="auto"/>
              </w:rPr>
            </w:pPr>
            <w:r>
              <w:rPr>
                <w:rFonts w:hint="eastAsia"/>
                <w:color w:val="auto"/>
              </w:rPr>
              <w:t>广西金桂浆纸业有限公司</w:t>
            </w:r>
          </w:p>
        </w:tc>
        <w:tc>
          <w:tcPr>
            <w:tcW w:w="1134" w:type="dxa"/>
            <w:vAlign w:val="center"/>
          </w:tcPr>
          <w:p w14:paraId="73326002">
            <w:pPr>
              <w:pStyle w:val="33"/>
              <w:rPr>
                <w:color w:val="auto"/>
              </w:rPr>
            </w:pPr>
            <w:r>
              <w:rPr>
                <w:rFonts w:hint="eastAsia"/>
                <w:color w:val="auto"/>
              </w:rPr>
              <w:t>年产40万吨高档纸板扩建工程</w:t>
            </w:r>
          </w:p>
        </w:tc>
        <w:tc>
          <w:tcPr>
            <w:tcW w:w="709" w:type="dxa"/>
            <w:vAlign w:val="center"/>
          </w:tcPr>
          <w:p w14:paraId="6E9A2F8D">
            <w:pPr>
              <w:pStyle w:val="33"/>
              <w:rPr>
                <w:color w:val="auto"/>
              </w:rPr>
            </w:pPr>
            <w:r>
              <w:rPr>
                <w:rFonts w:hint="eastAsia"/>
                <w:color w:val="auto"/>
              </w:rPr>
              <w:t>已建</w:t>
            </w:r>
          </w:p>
        </w:tc>
        <w:tc>
          <w:tcPr>
            <w:tcW w:w="992" w:type="dxa"/>
            <w:vAlign w:val="center"/>
          </w:tcPr>
          <w:p w14:paraId="2C1F13C2">
            <w:pPr>
              <w:pStyle w:val="33"/>
              <w:rPr>
                <w:color w:val="auto"/>
                <w:szCs w:val="21"/>
              </w:rPr>
            </w:pPr>
            <w:r>
              <w:rPr>
                <w:color w:val="auto"/>
                <w:szCs w:val="21"/>
              </w:rPr>
              <w:t>-135.7</w:t>
            </w:r>
          </w:p>
        </w:tc>
        <w:tc>
          <w:tcPr>
            <w:tcW w:w="709" w:type="dxa"/>
            <w:vAlign w:val="center"/>
          </w:tcPr>
          <w:p w14:paraId="3F45C3BB">
            <w:pPr>
              <w:pStyle w:val="33"/>
              <w:rPr>
                <w:color w:val="auto"/>
                <w:szCs w:val="21"/>
              </w:rPr>
            </w:pPr>
            <w:r>
              <w:rPr>
                <w:rFonts w:hint="eastAsia"/>
                <w:color w:val="auto"/>
                <w:szCs w:val="21"/>
              </w:rPr>
              <w:t>-81.0</w:t>
            </w:r>
          </w:p>
        </w:tc>
        <w:tc>
          <w:tcPr>
            <w:tcW w:w="850" w:type="dxa"/>
            <w:vAlign w:val="center"/>
          </w:tcPr>
          <w:p w14:paraId="7272B6FF">
            <w:pPr>
              <w:pStyle w:val="33"/>
              <w:rPr>
                <w:color w:val="auto"/>
                <w:szCs w:val="21"/>
              </w:rPr>
            </w:pPr>
            <w:r>
              <w:rPr>
                <w:rFonts w:hint="eastAsia"/>
                <w:color w:val="auto"/>
                <w:szCs w:val="21"/>
              </w:rPr>
              <w:t>-13.3</w:t>
            </w:r>
          </w:p>
        </w:tc>
        <w:tc>
          <w:tcPr>
            <w:tcW w:w="709" w:type="dxa"/>
            <w:vAlign w:val="center"/>
          </w:tcPr>
          <w:p w14:paraId="35E33B37">
            <w:pPr>
              <w:pStyle w:val="33"/>
              <w:rPr>
                <w:color w:val="auto"/>
                <w:szCs w:val="21"/>
              </w:rPr>
            </w:pPr>
            <w:r>
              <w:rPr>
                <w:rFonts w:hint="eastAsia"/>
                <w:color w:val="auto"/>
                <w:szCs w:val="21"/>
              </w:rPr>
              <w:t>-29.0</w:t>
            </w:r>
          </w:p>
        </w:tc>
        <w:tc>
          <w:tcPr>
            <w:tcW w:w="850" w:type="dxa"/>
            <w:vAlign w:val="center"/>
          </w:tcPr>
          <w:p w14:paraId="69637A14">
            <w:pPr>
              <w:pStyle w:val="33"/>
              <w:rPr>
                <w:color w:val="auto"/>
                <w:szCs w:val="21"/>
              </w:rPr>
            </w:pPr>
            <w:r>
              <w:rPr>
                <w:rFonts w:hint="eastAsia"/>
                <w:color w:val="auto"/>
                <w:szCs w:val="21"/>
              </w:rPr>
              <w:t>-1.7</w:t>
            </w:r>
          </w:p>
        </w:tc>
        <w:tc>
          <w:tcPr>
            <w:tcW w:w="709" w:type="dxa"/>
            <w:vAlign w:val="center"/>
          </w:tcPr>
          <w:p w14:paraId="284F4DF3">
            <w:pPr>
              <w:pStyle w:val="33"/>
              <w:rPr>
                <w:color w:val="auto"/>
                <w:spacing w:val="-5"/>
              </w:rPr>
            </w:pPr>
            <w:r>
              <w:rPr>
                <w:rFonts w:hint="eastAsia"/>
                <w:color w:val="auto"/>
                <w:spacing w:val="-5"/>
              </w:rPr>
              <w:t>/</w:t>
            </w:r>
          </w:p>
        </w:tc>
        <w:tc>
          <w:tcPr>
            <w:tcW w:w="851" w:type="dxa"/>
            <w:vAlign w:val="center"/>
          </w:tcPr>
          <w:p w14:paraId="6CDBAB3B">
            <w:pPr>
              <w:pStyle w:val="33"/>
              <w:rPr>
                <w:color w:val="auto"/>
              </w:rPr>
            </w:pPr>
            <w:r>
              <w:rPr>
                <w:rFonts w:hint="eastAsia" w:cs="Times New Roman"/>
                <w:color w:val="auto"/>
                <w:szCs w:val="21"/>
              </w:rPr>
              <w:t>/</w:t>
            </w:r>
          </w:p>
        </w:tc>
        <w:tc>
          <w:tcPr>
            <w:tcW w:w="701" w:type="dxa"/>
            <w:vAlign w:val="center"/>
          </w:tcPr>
          <w:p w14:paraId="4244D96A">
            <w:pPr>
              <w:pStyle w:val="33"/>
              <w:rPr>
                <w:color w:val="auto"/>
              </w:rPr>
            </w:pPr>
            <w:r>
              <w:rPr>
                <w:rFonts w:hint="eastAsia"/>
                <w:color w:val="auto"/>
              </w:rPr>
              <w:t>排海</w:t>
            </w:r>
          </w:p>
        </w:tc>
      </w:tr>
      <w:tr w14:paraId="6A148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7B6B185D">
            <w:pPr>
              <w:pStyle w:val="33"/>
              <w:rPr>
                <w:color w:val="auto"/>
              </w:rPr>
            </w:pPr>
          </w:p>
        </w:tc>
        <w:tc>
          <w:tcPr>
            <w:tcW w:w="1134" w:type="dxa"/>
            <w:vAlign w:val="center"/>
          </w:tcPr>
          <w:p w14:paraId="56929F98">
            <w:pPr>
              <w:pStyle w:val="33"/>
              <w:rPr>
                <w:color w:val="auto"/>
              </w:rPr>
            </w:pPr>
            <w:r>
              <w:rPr>
                <w:rFonts w:hint="eastAsia"/>
                <w:color w:val="auto"/>
              </w:rPr>
              <w:t>年产180万吨高档纸板扩建项目</w:t>
            </w:r>
          </w:p>
        </w:tc>
        <w:tc>
          <w:tcPr>
            <w:tcW w:w="709" w:type="dxa"/>
            <w:vAlign w:val="center"/>
          </w:tcPr>
          <w:p w14:paraId="52017524">
            <w:pPr>
              <w:pStyle w:val="33"/>
              <w:rPr>
                <w:color w:val="auto"/>
              </w:rPr>
            </w:pPr>
            <w:r>
              <w:rPr>
                <w:rFonts w:hint="eastAsia"/>
                <w:color w:val="auto"/>
              </w:rPr>
              <w:t>拟建</w:t>
            </w:r>
          </w:p>
        </w:tc>
        <w:tc>
          <w:tcPr>
            <w:tcW w:w="992" w:type="dxa"/>
            <w:vAlign w:val="center"/>
          </w:tcPr>
          <w:p w14:paraId="1CF7C7A3">
            <w:pPr>
              <w:pStyle w:val="33"/>
              <w:rPr>
                <w:color w:val="auto"/>
              </w:rPr>
            </w:pPr>
            <w:r>
              <w:rPr>
                <w:color w:val="auto"/>
                <w:szCs w:val="21"/>
              </w:rPr>
              <w:t>1361.9</w:t>
            </w:r>
          </w:p>
        </w:tc>
        <w:tc>
          <w:tcPr>
            <w:tcW w:w="709" w:type="dxa"/>
            <w:vAlign w:val="center"/>
          </w:tcPr>
          <w:p w14:paraId="68B27EB8">
            <w:pPr>
              <w:pStyle w:val="33"/>
              <w:rPr>
                <w:color w:val="auto"/>
                <w:spacing w:val="-2"/>
              </w:rPr>
            </w:pPr>
            <w:r>
              <w:rPr>
                <w:color w:val="auto"/>
                <w:szCs w:val="21"/>
              </w:rPr>
              <w:t>980.6</w:t>
            </w:r>
          </w:p>
        </w:tc>
        <w:tc>
          <w:tcPr>
            <w:tcW w:w="850" w:type="dxa"/>
            <w:vAlign w:val="center"/>
          </w:tcPr>
          <w:p w14:paraId="22B45620">
            <w:pPr>
              <w:pStyle w:val="33"/>
              <w:rPr>
                <w:rFonts w:cs="Times New Roman"/>
                <w:color w:val="auto"/>
                <w:szCs w:val="21"/>
              </w:rPr>
            </w:pPr>
            <w:r>
              <w:rPr>
                <w:color w:val="auto"/>
                <w:szCs w:val="21"/>
              </w:rPr>
              <w:t>207.4</w:t>
            </w:r>
          </w:p>
        </w:tc>
        <w:tc>
          <w:tcPr>
            <w:tcW w:w="709" w:type="dxa"/>
            <w:vAlign w:val="center"/>
          </w:tcPr>
          <w:p w14:paraId="7B58D812">
            <w:pPr>
              <w:pStyle w:val="33"/>
              <w:rPr>
                <w:rFonts w:cs="Times New Roman"/>
                <w:color w:val="auto"/>
                <w:szCs w:val="21"/>
              </w:rPr>
            </w:pPr>
            <w:r>
              <w:rPr>
                <w:color w:val="auto"/>
                <w:szCs w:val="21"/>
              </w:rPr>
              <w:t>221.7</w:t>
            </w:r>
          </w:p>
        </w:tc>
        <w:tc>
          <w:tcPr>
            <w:tcW w:w="850" w:type="dxa"/>
            <w:vAlign w:val="center"/>
          </w:tcPr>
          <w:p w14:paraId="1A663190">
            <w:pPr>
              <w:pStyle w:val="33"/>
              <w:rPr>
                <w:color w:val="auto"/>
                <w:spacing w:val="-5"/>
              </w:rPr>
            </w:pPr>
            <w:r>
              <w:rPr>
                <w:color w:val="auto"/>
                <w:szCs w:val="21"/>
              </w:rPr>
              <w:t>17.7</w:t>
            </w:r>
          </w:p>
        </w:tc>
        <w:tc>
          <w:tcPr>
            <w:tcW w:w="709" w:type="dxa"/>
            <w:vAlign w:val="center"/>
          </w:tcPr>
          <w:p w14:paraId="5D882113">
            <w:pPr>
              <w:pStyle w:val="33"/>
              <w:rPr>
                <w:color w:val="auto"/>
                <w:spacing w:val="-5"/>
              </w:rPr>
            </w:pPr>
            <w:r>
              <w:rPr>
                <w:rFonts w:hint="eastAsia"/>
                <w:color w:val="auto"/>
                <w:spacing w:val="-5"/>
              </w:rPr>
              <w:t>/</w:t>
            </w:r>
          </w:p>
        </w:tc>
        <w:tc>
          <w:tcPr>
            <w:tcW w:w="851" w:type="dxa"/>
            <w:vAlign w:val="center"/>
          </w:tcPr>
          <w:p w14:paraId="56D7D78B">
            <w:pPr>
              <w:pStyle w:val="33"/>
              <w:rPr>
                <w:color w:val="auto"/>
              </w:rPr>
            </w:pPr>
            <w:r>
              <w:rPr>
                <w:rFonts w:hint="eastAsia" w:cs="Times New Roman"/>
                <w:color w:val="auto"/>
                <w:szCs w:val="21"/>
              </w:rPr>
              <w:t>/</w:t>
            </w:r>
          </w:p>
        </w:tc>
        <w:tc>
          <w:tcPr>
            <w:tcW w:w="701" w:type="dxa"/>
            <w:vAlign w:val="center"/>
          </w:tcPr>
          <w:p w14:paraId="3174D4CD">
            <w:pPr>
              <w:pStyle w:val="33"/>
              <w:rPr>
                <w:color w:val="auto"/>
              </w:rPr>
            </w:pPr>
            <w:r>
              <w:rPr>
                <w:rFonts w:hint="eastAsia"/>
                <w:color w:val="auto"/>
              </w:rPr>
              <w:t>排海</w:t>
            </w:r>
          </w:p>
        </w:tc>
      </w:tr>
      <w:tr w14:paraId="30644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306A68AC">
            <w:pPr>
              <w:pStyle w:val="33"/>
              <w:rPr>
                <w:color w:val="auto"/>
              </w:rPr>
            </w:pPr>
          </w:p>
        </w:tc>
        <w:tc>
          <w:tcPr>
            <w:tcW w:w="1134" w:type="dxa"/>
            <w:vAlign w:val="center"/>
          </w:tcPr>
          <w:p w14:paraId="7D3E494D">
            <w:pPr>
              <w:pStyle w:val="33"/>
              <w:rPr>
                <w:color w:val="auto"/>
              </w:rPr>
            </w:pPr>
            <w:r>
              <w:rPr>
                <w:rFonts w:hint="eastAsia"/>
                <w:color w:val="auto"/>
              </w:rPr>
              <w:t>年产75万吨化机浆扩建项目</w:t>
            </w:r>
          </w:p>
        </w:tc>
        <w:tc>
          <w:tcPr>
            <w:tcW w:w="709" w:type="dxa"/>
            <w:vAlign w:val="center"/>
          </w:tcPr>
          <w:p w14:paraId="598EFF5D">
            <w:pPr>
              <w:pStyle w:val="33"/>
              <w:rPr>
                <w:color w:val="auto"/>
              </w:rPr>
            </w:pPr>
            <w:r>
              <w:rPr>
                <w:rFonts w:hint="eastAsia"/>
                <w:color w:val="auto"/>
              </w:rPr>
              <w:t>二期未建设</w:t>
            </w:r>
          </w:p>
        </w:tc>
        <w:tc>
          <w:tcPr>
            <w:tcW w:w="992" w:type="dxa"/>
            <w:vAlign w:val="center"/>
          </w:tcPr>
          <w:p w14:paraId="5DE77E4E">
            <w:pPr>
              <w:pStyle w:val="33"/>
              <w:rPr>
                <w:color w:val="auto"/>
              </w:rPr>
            </w:pPr>
            <w:r>
              <w:rPr>
                <w:color w:val="auto"/>
              </w:rPr>
              <w:t>273.53</w:t>
            </w:r>
          </w:p>
        </w:tc>
        <w:tc>
          <w:tcPr>
            <w:tcW w:w="709" w:type="dxa"/>
            <w:vAlign w:val="center"/>
          </w:tcPr>
          <w:p w14:paraId="14E56947">
            <w:pPr>
              <w:pStyle w:val="33"/>
              <w:rPr>
                <w:rFonts w:cs="Times New Roman"/>
                <w:color w:val="auto"/>
                <w:szCs w:val="21"/>
              </w:rPr>
            </w:pPr>
            <w:r>
              <w:rPr>
                <w:color w:val="auto"/>
                <w:spacing w:val="-2"/>
              </w:rPr>
              <w:t>169.6</w:t>
            </w:r>
          </w:p>
        </w:tc>
        <w:tc>
          <w:tcPr>
            <w:tcW w:w="850" w:type="dxa"/>
            <w:vAlign w:val="center"/>
          </w:tcPr>
          <w:p w14:paraId="400494B2">
            <w:pPr>
              <w:pStyle w:val="33"/>
              <w:rPr>
                <w:rFonts w:cs="Times New Roman"/>
                <w:color w:val="auto"/>
                <w:szCs w:val="21"/>
              </w:rPr>
            </w:pPr>
            <w:r>
              <w:rPr>
                <w:rFonts w:hint="eastAsia" w:cs="Times New Roman"/>
                <w:color w:val="auto"/>
                <w:szCs w:val="21"/>
              </w:rPr>
              <w:t>3</w:t>
            </w:r>
            <w:r>
              <w:rPr>
                <w:rFonts w:cs="Times New Roman"/>
                <w:color w:val="auto"/>
                <w:szCs w:val="21"/>
              </w:rPr>
              <w:t>6.9</w:t>
            </w:r>
          </w:p>
        </w:tc>
        <w:tc>
          <w:tcPr>
            <w:tcW w:w="709" w:type="dxa"/>
            <w:vAlign w:val="center"/>
          </w:tcPr>
          <w:p w14:paraId="0AC94A95">
            <w:pPr>
              <w:pStyle w:val="33"/>
              <w:rPr>
                <w:rFonts w:cs="Times New Roman"/>
                <w:color w:val="auto"/>
                <w:szCs w:val="21"/>
              </w:rPr>
            </w:pPr>
            <w:r>
              <w:rPr>
                <w:rFonts w:hint="eastAsia" w:cs="Times New Roman"/>
                <w:color w:val="auto"/>
                <w:szCs w:val="21"/>
              </w:rPr>
              <w:t>4</w:t>
            </w:r>
            <w:r>
              <w:rPr>
                <w:rFonts w:cs="Times New Roman"/>
                <w:color w:val="auto"/>
                <w:szCs w:val="21"/>
              </w:rPr>
              <w:t>2.6</w:t>
            </w:r>
          </w:p>
        </w:tc>
        <w:tc>
          <w:tcPr>
            <w:tcW w:w="850" w:type="dxa"/>
            <w:vAlign w:val="center"/>
          </w:tcPr>
          <w:p w14:paraId="673EE867">
            <w:pPr>
              <w:pStyle w:val="33"/>
              <w:rPr>
                <w:rFonts w:cs="Times New Roman"/>
                <w:color w:val="auto"/>
                <w:szCs w:val="21"/>
              </w:rPr>
            </w:pPr>
            <w:r>
              <w:rPr>
                <w:color w:val="auto"/>
                <w:spacing w:val="-5"/>
              </w:rPr>
              <w:t>3.5</w:t>
            </w:r>
          </w:p>
        </w:tc>
        <w:tc>
          <w:tcPr>
            <w:tcW w:w="709" w:type="dxa"/>
            <w:vAlign w:val="center"/>
          </w:tcPr>
          <w:p w14:paraId="7366B30C">
            <w:pPr>
              <w:pStyle w:val="33"/>
              <w:rPr>
                <w:rFonts w:cs="Times New Roman"/>
                <w:color w:val="auto"/>
                <w:szCs w:val="21"/>
              </w:rPr>
            </w:pPr>
            <w:r>
              <w:rPr>
                <w:color w:val="auto"/>
                <w:spacing w:val="-5"/>
              </w:rPr>
              <w:t>6.7</w:t>
            </w:r>
          </w:p>
        </w:tc>
        <w:tc>
          <w:tcPr>
            <w:tcW w:w="851" w:type="dxa"/>
            <w:vAlign w:val="center"/>
          </w:tcPr>
          <w:p w14:paraId="1AE4E076">
            <w:pPr>
              <w:pStyle w:val="33"/>
              <w:rPr>
                <w:color w:val="auto"/>
              </w:rPr>
            </w:pPr>
            <w:r>
              <w:rPr>
                <w:rFonts w:hint="eastAsia" w:cs="Times New Roman"/>
                <w:color w:val="auto"/>
                <w:szCs w:val="21"/>
              </w:rPr>
              <w:t>0</w:t>
            </w:r>
            <w:r>
              <w:rPr>
                <w:rFonts w:cs="Times New Roman"/>
                <w:color w:val="auto"/>
                <w:szCs w:val="21"/>
              </w:rPr>
              <w:t>.44</w:t>
            </w:r>
          </w:p>
        </w:tc>
        <w:tc>
          <w:tcPr>
            <w:tcW w:w="701" w:type="dxa"/>
            <w:vAlign w:val="center"/>
          </w:tcPr>
          <w:p w14:paraId="5983CD35">
            <w:pPr>
              <w:pStyle w:val="33"/>
              <w:rPr>
                <w:color w:val="auto"/>
              </w:rPr>
            </w:pPr>
            <w:r>
              <w:rPr>
                <w:rFonts w:hint="eastAsia"/>
                <w:color w:val="auto"/>
              </w:rPr>
              <w:t>排海</w:t>
            </w:r>
          </w:p>
        </w:tc>
      </w:tr>
      <w:tr w14:paraId="55805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124D161E">
            <w:pPr>
              <w:pStyle w:val="33"/>
              <w:rPr>
                <w:color w:val="auto"/>
              </w:rPr>
            </w:pPr>
          </w:p>
        </w:tc>
        <w:tc>
          <w:tcPr>
            <w:tcW w:w="1134" w:type="dxa"/>
            <w:vAlign w:val="center"/>
          </w:tcPr>
          <w:p w14:paraId="325634B9">
            <w:pPr>
              <w:pStyle w:val="33"/>
              <w:rPr>
                <w:color w:val="auto"/>
              </w:rPr>
            </w:pPr>
            <w:r>
              <w:rPr>
                <w:rFonts w:hint="eastAsia"/>
                <w:color w:val="auto"/>
              </w:rPr>
              <w:t>司年产25万吨丁苯胶乳项目</w:t>
            </w:r>
          </w:p>
        </w:tc>
        <w:tc>
          <w:tcPr>
            <w:tcW w:w="709" w:type="dxa"/>
            <w:vAlign w:val="center"/>
          </w:tcPr>
          <w:p w14:paraId="30315D0C">
            <w:pPr>
              <w:pStyle w:val="33"/>
              <w:rPr>
                <w:color w:val="auto"/>
              </w:rPr>
            </w:pPr>
            <w:r>
              <w:rPr>
                <w:rFonts w:hint="eastAsia"/>
                <w:color w:val="auto"/>
              </w:rPr>
              <w:t>拟建</w:t>
            </w:r>
          </w:p>
        </w:tc>
        <w:tc>
          <w:tcPr>
            <w:tcW w:w="992" w:type="dxa"/>
            <w:vAlign w:val="center"/>
          </w:tcPr>
          <w:p w14:paraId="70CB65E8">
            <w:pPr>
              <w:pStyle w:val="33"/>
              <w:rPr>
                <w:color w:val="auto"/>
              </w:rPr>
            </w:pPr>
            <w:r>
              <w:rPr>
                <w:color w:val="auto"/>
              </w:rPr>
              <w:t>13.842</w:t>
            </w:r>
          </w:p>
        </w:tc>
        <w:tc>
          <w:tcPr>
            <w:tcW w:w="709" w:type="dxa"/>
            <w:vAlign w:val="center"/>
          </w:tcPr>
          <w:p w14:paraId="4611593C">
            <w:pPr>
              <w:pStyle w:val="33"/>
              <w:rPr>
                <w:rFonts w:cs="Times New Roman"/>
                <w:color w:val="auto"/>
                <w:szCs w:val="21"/>
              </w:rPr>
            </w:pPr>
            <w:r>
              <w:rPr>
                <w:rFonts w:cs="Times New Roman"/>
                <w:color w:val="auto"/>
                <w:szCs w:val="21"/>
              </w:rPr>
              <w:t>7.2</w:t>
            </w:r>
          </w:p>
        </w:tc>
        <w:tc>
          <w:tcPr>
            <w:tcW w:w="850" w:type="dxa"/>
            <w:vAlign w:val="center"/>
          </w:tcPr>
          <w:p w14:paraId="229938A0">
            <w:pPr>
              <w:pStyle w:val="33"/>
              <w:rPr>
                <w:rFonts w:cs="Times New Roman"/>
                <w:color w:val="auto"/>
                <w:szCs w:val="21"/>
              </w:rPr>
            </w:pPr>
            <w:r>
              <w:rPr>
                <w:rFonts w:cs="Times New Roman"/>
                <w:color w:val="auto"/>
                <w:szCs w:val="21"/>
              </w:rPr>
              <w:t>0.93</w:t>
            </w:r>
          </w:p>
        </w:tc>
        <w:tc>
          <w:tcPr>
            <w:tcW w:w="709" w:type="dxa"/>
            <w:vAlign w:val="center"/>
          </w:tcPr>
          <w:p w14:paraId="6B1E2631">
            <w:pPr>
              <w:pStyle w:val="33"/>
              <w:rPr>
                <w:rFonts w:cs="Times New Roman"/>
                <w:color w:val="auto"/>
                <w:szCs w:val="21"/>
              </w:rPr>
            </w:pPr>
            <w:r>
              <w:rPr>
                <w:rFonts w:cs="Times New Roman"/>
                <w:color w:val="auto"/>
                <w:szCs w:val="21"/>
              </w:rPr>
              <w:t>1.5</w:t>
            </w:r>
          </w:p>
        </w:tc>
        <w:tc>
          <w:tcPr>
            <w:tcW w:w="850" w:type="dxa"/>
            <w:vAlign w:val="center"/>
          </w:tcPr>
          <w:p w14:paraId="7EAC1E5B">
            <w:pPr>
              <w:pStyle w:val="33"/>
              <w:rPr>
                <w:rFonts w:cs="Times New Roman"/>
                <w:color w:val="auto"/>
                <w:szCs w:val="21"/>
              </w:rPr>
            </w:pPr>
            <w:r>
              <w:rPr>
                <w:rFonts w:cs="Times New Roman"/>
                <w:color w:val="auto"/>
                <w:szCs w:val="21"/>
              </w:rPr>
              <w:t>0.07</w:t>
            </w:r>
          </w:p>
        </w:tc>
        <w:tc>
          <w:tcPr>
            <w:tcW w:w="709" w:type="dxa"/>
            <w:vAlign w:val="center"/>
          </w:tcPr>
          <w:p w14:paraId="2C15934E">
            <w:pPr>
              <w:pStyle w:val="33"/>
              <w:rPr>
                <w:rFonts w:cs="Times New Roman"/>
                <w:color w:val="auto"/>
                <w:szCs w:val="21"/>
              </w:rPr>
            </w:pPr>
            <w:r>
              <w:rPr>
                <w:rFonts w:cs="Times New Roman"/>
                <w:color w:val="auto"/>
                <w:szCs w:val="21"/>
              </w:rPr>
              <w:t>0.5</w:t>
            </w:r>
          </w:p>
        </w:tc>
        <w:tc>
          <w:tcPr>
            <w:tcW w:w="851" w:type="dxa"/>
            <w:vAlign w:val="center"/>
          </w:tcPr>
          <w:p w14:paraId="49EF16B3">
            <w:pPr>
              <w:pStyle w:val="33"/>
              <w:rPr>
                <w:color w:val="auto"/>
              </w:rPr>
            </w:pPr>
            <w:r>
              <w:rPr>
                <w:rFonts w:hint="eastAsia" w:cs="Times New Roman"/>
                <w:color w:val="auto"/>
                <w:szCs w:val="21"/>
              </w:rPr>
              <w:t>/</w:t>
            </w:r>
          </w:p>
        </w:tc>
        <w:tc>
          <w:tcPr>
            <w:tcW w:w="701" w:type="dxa"/>
            <w:vAlign w:val="center"/>
          </w:tcPr>
          <w:p w14:paraId="7446A6F8">
            <w:pPr>
              <w:pStyle w:val="33"/>
              <w:rPr>
                <w:color w:val="auto"/>
              </w:rPr>
            </w:pPr>
            <w:r>
              <w:rPr>
                <w:rFonts w:hint="eastAsia"/>
                <w:color w:val="auto"/>
              </w:rPr>
              <w:t>排海</w:t>
            </w:r>
          </w:p>
        </w:tc>
      </w:tr>
      <w:tr w14:paraId="7465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38CB1904">
            <w:pPr>
              <w:pStyle w:val="33"/>
              <w:rPr>
                <w:color w:val="auto"/>
              </w:rPr>
            </w:pPr>
            <w:r>
              <w:rPr>
                <w:rFonts w:hint="eastAsia"/>
                <w:color w:val="auto"/>
              </w:rPr>
              <w:t>广西金洲浆纸业有限公司</w:t>
            </w:r>
          </w:p>
        </w:tc>
        <w:tc>
          <w:tcPr>
            <w:tcW w:w="1134" w:type="dxa"/>
            <w:vAlign w:val="center"/>
          </w:tcPr>
          <w:p w14:paraId="628B7722">
            <w:pPr>
              <w:pStyle w:val="33"/>
              <w:rPr>
                <w:color w:val="auto"/>
              </w:rPr>
            </w:pPr>
            <w:r>
              <w:rPr>
                <w:rFonts w:hint="eastAsia"/>
                <w:color w:val="auto"/>
              </w:rPr>
              <w:t>年产300万吨林浆纸一体化项目</w:t>
            </w:r>
          </w:p>
        </w:tc>
        <w:tc>
          <w:tcPr>
            <w:tcW w:w="709" w:type="dxa"/>
            <w:vAlign w:val="center"/>
          </w:tcPr>
          <w:p w14:paraId="1B663489">
            <w:pPr>
              <w:pStyle w:val="33"/>
              <w:rPr>
                <w:color w:val="auto"/>
              </w:rPr>
            </w:pPr>
            <w:r>
              <w:rPr>
                <w:rFonts w:hint="eastAsia"/>
                <w:color w:val="auto"/>
              </w:rPr>
              <w:t>拟建</w:t>
            </w:r>
          </w:p>
        </w:tc>
        <w:tc>
          <w:tcPr>
            <w:tcW w:w="992" w:type="dxa"/>
            <w:vAlign w:val="center"/>
          </w:tcPr>
          <w:p w14:paraId="3AFA35CD">
            <w:pPr>
              <w:pStyle w:val="33"/>
              <w:rPr>
                <w:color w:val="auto"/>
              </w:rPr>
            </w:pPr>
            <w:r>
              <w:rPr>
                <w:color w:val="auto"/>
              </w:rPr>
              <w:t>2965.004</w:t>
            </w:r>
          </w:p>
        </w:tc>
        <w:tc>
          <w:tcPr>
            <w:tcW w:w="709" w:type="dxa"/>
            <w:vAlign w:val="center"/>
          </w:tcPr>
          <w:p w14:paraId="2BEEBEA2">
            <w:pPr>
              <w:pStyle w:val="33"/>
              <w:rPr>
                <w:color w:val="auto"/>
              </w:rPr>
            </w:pPr>
            <w:r>
              <w:rPr>
                <w:rFonts w:cs="Times New Roman"/>
                <w:color w:val="auto"/>
                <w:szCs w:val="21"/>
              </w:rPr>
              <w:t>1927.253</w:t>
            </w:r>
          </w:p>
        </w:tc>
        <w:tc>
          <w:tcPr>
            <w:tcW w:w="850" w:type="dxa"/>
            <w:vAlign w:val="center"/>
          </w:tcPr>
          <w:p w14:paraId="0114196F">
            <w:pPr>
              <w:pStyle w:val="33"/>
              <w:rPr>
                <w:color w:val="auto"/>
              </w:rPr>
            </w:pPr>
            <w:r>
              <w:rPr>
                <w:rFonts w:cs="Times New Roman"/>
                <w:color w:val="auto"/>
                <w:szCs w:val="21"/>
              </w:rPr>
              <w:t>593.001</w:t>
            </w:r>
          </w:p>
        </w:tc>
        <w:tc>
          <w:tcPr>
            <w:tcW w:w="709" w:type="dxa"/>
            <w:vAlign w:val="center"/>
          </w:tcPr>
          <w:p w14:paraId="7B205CDC">
            <w:pPr>
              <w:pStyle w:val="33"/>
              <w:rPr>
                <w:color w:val="auto"/>
              </w:rPr>
            </w:pPr>
            <w:r>
              <w:rPr>
                <w:rFonts w:cs="Times New Roman"/>
                <w:color w:val="auto"/>
                <w:szCs w:val="21"/>
              </w:rPr>
              <w:t>889.501</w:t>
            </w:r>
          </w:p>
        </w:tc>
        <w:tc>
          <w:tcPr>
            <w:tcW w:w="850" w:type="dxa"/>
            <w:vAlign w:val="center"/>
          </w:tcPr>
          <w:p w14:paraId="23976434">
            <w:pPr>
              <w:pStyle w:val="33"/>
              <w:rPr>
                <w:color w:val="auto"/>
              </w:rPr>
            </w:pPr>
            <w:r>
              <w:rPr>
                <w:rFonts w:cs="Times New Roman"/>
                <w:color w:val="auto"/>
                <w:szCs w:val="21"/>
              </w:rPr>
              <w:t>148.250</w:t>
            </w:r>
          </w:p>
        </w:tc>
        <w:tc>
          <w:tcPr>
            <w:tcW w:w="709" w:type="dxa"/>
            <w:vAlign w:val="center"/>
          </w:tcPr>
          <w:p w14:paraId="01EBDCB6">
            <w:pPr>
              <w:pStyle w:val="33"/>
              <w:rPr>
                <w:color w:val="auto"/>
              </w:rPr>
            </w:pPr>
            <w:r>
              <w:rPr>
                <w:rFonts w:cs="Times New Roman"/>
                <w:color w:val="auto"/>
                <w:szCs w:val="21"/>
              </w:rPr>
              <w:t>296.500</w:t>
            </w:r>
          </w:p>
        </w:tc>
        <w:tc>
          <w:tcPr>
            <w:tcW w:w="851" w:type="dxa"/>
            <w:vAlign w:val="center"/>
          </w:tcPr>
          <w:p w14:paraId="2E633398">
            <w:pPr>
              <w:pStyle w:val="33"/>
              <w:rPr>
                <w:color w:val="auto"/>
              </w:rPr>
            </w:pPr>
            <w:r>
              <w:rPr>
                <w:rFonts w:cs="Times New Roman"/>
                <w:color w:val="auto"/>
                <w:szCs w:val="21"/>
              </w:rPr>
              <w:t>14.825</w:t>
            </w:r>
          </w:p>
        </w:tc>
        <w:tc>
          <w:tcPr>
            <w:tcW w:w="701" w:type="dxa"/>
            <w:vAlign w:val="center"/>
          </w:tcPr>
          <w:p w14:paraId="2EBF1A6C">
            <w:pPr>
              <w:pStyle w:val="33"/>
              <w:rPr>
                <w:color w:val="auto"/>
              </w:rPr>
            </w:pPr>
            <w:r>
              <w:rPr>
                <w:rFonts w:hint="eastAsia"/>
                <w:color w:val="auto"/>
              </w:rPr>
              <w:t>排海</w:t>
            </w:r>
          </w:p>
        </w:tc>
      </w:tr>
    </w:tbl>
    <w:p w14:paraId="7750B710">
      <w:pPr>
        <w:pStyle w:val="5"/>
        <w:rPr>
          <w:color w:val="auto"/>
        </w:rPr>
      </w:pPr>
      <w:r>
        <w:rPr>
          <w:rFonts w:hint="eastAsia"/>
          <w:color w:val="auto"/>
        </w:rPr>
        <w:t>入海排污口调查</w:t>
      </w:r>
    </w:p>
    <w:p w14:paraId="6E8BCEBB">
      <w:pPr>
        <w:ind w:firstLine="480"/>
        <w:rPr>
          <w:color w:val="auto"/>
        </w:rPr>
      </w:pPr>
      <w:r>
        <w:rPr>
          <w:rFonts w:hint="eastAsia"/>
          <w:color w:val="auto"/>
        </w:rPr>
        <w:t>钦州港近岸海域工业污染源主要来源于钦州港广西钦州保税港区、钦州高新技术产业开发区、钦州港经济技术开发区（含钦州石化产业园区（金谷片区、三墩片区和鹿耳片区））、中国-马来西亚钦州产业园区、钦南区金窝工业区，园区与排污区（口）相对位置情况见下图。</w:t>
      </w:r>
    </w:p>
    <w:p w14:paraId="0486C7C2">
      <w:pPr>
        <w:ind w:firstLine="0" w:firstLineChars="0"/>
        <w:rPr>
          <w:color w:val="auto"/>
        </w:rPr>
      </w:pPr>
      <w:r>
        <w:rPr>
          <w:rFonts w:hint="eastAsia"/>
          <w:color w:val="auto"/>
        </w:rPr>
        <w:drawing>
          <wp:inline distT="0" distB="0" distL="0" distR="0">
            <wp:extent cx="5759450" cy="7509510"/>
            <wp:effectExtent l="0" t="0" r="0" b="0"/>
            <wp:docPr id="12" name="图片 12" descr="地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图&#10;&#10;AI 生成的内容可能不正确。"/>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759450" cy="7509510"/>
                    </a:xfrm>
                    <a:prstGeom prst="rect">
                      <a:avLst/>
                    </a:prstGeom>
                  </pic:spPr>
                </pic:pic>
              </a:graphicData>
            </a:graphic>
          </wp:inline>
        </w:drawing>
      </w:r>
    </w:p>
    <w:p w14:paraId="41AA1FA3">
      <w:pPr>
        <w:pStyle w:val="8"/>
        <w:rPr>
          <w:color w:val="auto"/>
        </w:rPr>
      </w:pPr>
      <w:r>
        <w:rPr>
          <w:rFonts w:hint="eastAsia"/>
          <w:color w:val="auto"/>
        </w:rPr>
        <w:t>钦州入海排污区（口）与各园区相对位置分布图</w:t>
      </w:r>
    </w:p>
    <w:p w14:paraId="368C98F7">
      <w:pPr>
        <w:ind w:firstLine="480"/>
        <w:rPr>
          <w:color w:val="auto"/>
        </w:rPr>
      </w:pPr>
      <w:r>
        <w:rPr>
          <w:rFonts w:hint="eastAsia"/>
          <w:color w:val="auto"/>
        </w:rPr>
        <w:t>本次评价对海洋环境影响评价范围内2022年秋季后建成投产或在建项目排污量及排放去向进行统计：排污企业主要位于钦州港经济技术开发区，具体见下表。其中A2排放口执行《城镇污水处理厂污染物排放标准》（GB18918-2002）一级B标准。A3排放口执行《污水综合排放标准》（GB8978-1996）一级标准、《石油化学工业污染物排放标准》（GB31571-2015）中表1的直接排放限值及表3有机特征污染物排放限值中较严值。</w:t>
      </w:r>
    </w:p>
    <w:p w14:paraId="4AD51306">
      <w:pPr>
        <w:ind w:firstLine="480"/>
        <w:rPr>
          <w:color w:val="auto"/>
        </w:rPr>
      </w:pPr>
      <w:r>
        <w:rPr>
          <w:rFonts w:hint="eastAsia"/>
          <w:color w:val="auto"/>
        </w:rPr>
        <w:t>根据《自治区生态环境厅关于2024年第一季度直排入海排污口排放情况的通报》（桂环函〔2024〕453号）、《自治区生态环境厅关于2024年第二季度直排入海排污口排放情况的通报》（桂环函〔2024〕902号）、《自治区生态环境厅关于2024年第三季度直排入海排污口排放情况的通报》（桂环函〔2024〕1461号）、《自治区生态环境厅关于2024年第四季度直排入海排污口排放情况的通报》（桂环函〔2024〕1592号），2024年全年入海排污口的废水排放达标率为100%。</w:t>
      </w:r>
    </w:p>
    <w:p w14:paraId="6B47981B">
      <w:pPr>
        <w:pStyle w:val="7"/>
        <w:rPr>
          <w:color w:val="auto"/>
        </w:rPr>
      </w:pPr>
      <w:r>
        <w:rPr>
          <w:rFonts w:hint="eastAsia"/>
          <w:color w:val="auto"/>
        </w:rPr>
        <w:t>钦州湾海域近期建成投产或在建项目污染源排放情况</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78"/>
        <w:gridCol w:w="1059"/>
        <w:gridCol w:w="3778"/>
        <w:gridCol w:w="2171"/>
      </w:tblGrid>
      <w:tr w14:paraId="53934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27" w:type="pct"/>
            <w:vAlign w:val="center"/>
          </w:tcPr>
          <w:p w14:paraId="34A3363A">
            <w:pPr>
              <w:pStyle w:val="33"/>
              <w:rPr>
                <w:color w:val="auto"/>
              </w:rPr>
            </w:pPr>
            <w:r>
              <w:rPr>
                <w:rFonts w:hint="eastAsia"/>
                <w:color w:val="auto"/>
              </w:rPr>
              <w:t>拟建项目</w:t>
            </w:r>
          </w:p>
        </w:tc>
        <w:tc>
          <w:tcPr>
            <w:tcW w:w="570" w:type="pct"/>
            <w:vAlign w:val="center"/>
          </w:tcPr>
          <w:p w14:paraId="746410A1">
            <w:pPr>
              <w:pStyle w:val="33"/>
              <w:rPr>
                <w:color w:val="auto"/>
              </w:rPr>
            </w:pPr>
            <w:r>
              <w:rPr>
                <w:rFonts w:hint="eastAsia"/>
                <w:color w:val="auto"/>
              </w:rPr>
              <w:t>（拟）排放去向</w:t>
            </w:r>
          </w:p>
        </w:tc>
        <w:tc>
          <w:tcPr>
            <w:tcW w:w="2034" w:type="pct"/>
            <w:vAlign w:val="center"/>
          </w:tcPr>
          <w:p w14:paraId="3DDEEE38">
            <w:pPr>
              <w:pStyle w:val="33"/>
              <w:rPr>
                <w:color w:val="auto"/>
              </w:rPr>
            </w:pPr>
            <w:r>
              <w:rPr>
                <w:rFonts w:hint="eastAsia"/>
                <w:color w:val="auto"/>
              </w:rPr>
              <w:t>环评审查情况</w:t>
            </w:r>
          </w:p>
        </w:tc>
        <w:tc>
          <w:tcPr>
            <w:tcW w:w="1169" w:type="pct"/>
            <w:vAlign w:val="center"/>
          </w:tcPr>
          <w:p w14:paraId="2C65AC64">
            <w:pPr>
              <w:pStyle w:val="33"/>
              <w:rPr>
                <w:color w:val="auto"/>
              </w:rPr>
            </w:pPr>
            <w:r>
              <w:rPr>
                <w:rFonts w:hint="eastAsia"/>
                <w:color w:val="auto"/>
              </w:rPr>
              <w:t>建设运行情况</w:t>
            </w:r>
          </w:p>
        </w:tc>
      </w:tr>
      <w:tr w14:paraId="3424C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552BB425">
            <w:pPr>
              <w:pStyle w:val="33"/>
              <w:rPr>
                <w:color w:val="auto"/>
              </w:rPr>
            </w:pPr>
            <w:r>
              <w:rPr>
                <w:rFonts w:hint="eastAsia"/>
                <w:color w:val="auto"/>
              </w:rPr>
              <w:t>广西金桂浆纸业有限公司年产</w:t>
            </w:r>
            <w:r>
              <w:rPr>
                <w:color w:val="auto"/>
              </w:rPr>
              <w:t>180</w:t>
            </w:r>
            <w:r>
              <w:rPr>
                <w:rFonts w:hint="eastAsia"/>
                <w:color w:val="auto"/>
              </w:rPr>
              <w:t>万吨高档纸板扩建项目</w:t>
            </w:r>
          </w:p>
        </w:tc>
        <w:tc>
          <w:tcPr>
            <w:tcW w:w="570" w:type="pct"/>
            <w:vAlign w:val="center"/>
          </w:tcPr>
          <w:p w14:paraId="08AAE36F">
            <w:pPr>
              <w:pStyle w:val="33"/>
              <w:rPr>
                <w:color w:val="auto"/>
              </w:rPr>
            </w:pPr>
            <w:r>
              <w:rPr>
                <w:rFonts w:hint="eastAsia"/>
                <w:color w:val="auto"/>
              </w:rPr>
              <w:t>A</w:t>
            </w:r>
            <w:r>
              <w:rPr>
                <w:color w:val="auto"/>
              </w:rPr>
              <w:t>2</w:t>
            </w:r>
          </w:p>
        </w:tc>
        <w:tc>
          <w:tcPr>
            <w:tcW w:w="2034" w:type="pct"/>
            <w:vAlign w:val="center"/>
          </w:tcPr>
          <w:p w14:paraId="1EE3D3B2">
            <w:pPr>
              <w:pStyle w:val="33"/>
              <w:rPr>
                <w:color w:val="auto"/>
              </w:rPr>
            </w:pPr>
            <w:r>
              <w:rPr>
                <w:color w:val="auto"/>
              </w:rPr>
              <w:t>2017</w:t>
            </w:r>
            <w:r>
              <w:rPr>
                <w:rFonts w:hint="eastAsia"/>
                <w:color w:val="auto"/>
              </w:rPr>
              <w:t>年</w:t>
            </w:r>
            <w:r>
              <w:rPr>
                <w:color w:val="auto"/>
              </w:rPr>
              <w:t>12</w:t>
            </w:r>
            <w:r>
              <w:rPr>
                <w:rFonts w:hint="eastAsia"/>
                <w:color w:val="auto"/>
              </w:rPr>
              <w:t>月</w:t>
            </w:r>
            <w:r>
              <w:rPr>
                <w:color w:val="auto"/>
              </w:rPr>
              <w:t>29</w:t>
            </w:r>
            <w:r>
              <w:rPr>
                <w:rFonts w:hint="eastAsia"/>
                <w:color w:val="auto"/>
              </w:rPr>
              <w:t>日，原钦州市环境保护局以钦港环管字〔</w:t>
            </w:r>
            <w:r>
              <w:rPr>
                <w:color w:val="auto"/>
              </w:rPr>
              <w:t>2017</w:t>
            </w:r>
            <w:r>
              <w:rPr>
                <w:rFonts w:hint="eastAsia"/>
                <w:color w:val="auto"/>
              </w:rPr>
              <w:t>〕</w:t>
            </w:r>
            <w:r>
              <w:rPr>
                <w:color w:val="auto"/>
              </w:rPr>
              <w:t>33</w:t>
            </w:r>
            <w:r>
              <w:rPr>
                <w:rFonts w:hint="eastAsia"/>
                <w:color w:val="auto"/>
              </w:rPr>
              <w:t>号文对该项目予以批复。</w:t>
            </w:r>
          </w:p>
        </w:tc>
        <w:tc>
          <w:tcPr>
            <w:tcW w:w="1169" w:type="pct"/>
            <w:vAlign w:val="center"/>
          </w:tcPr>
          <w:p w14:paraId="253D1A40">
            <w:pPr>
              <w:pStyle w:val="33"/>
              <w:rPr>
                <w:color w:val="auto"/>
              </w:rPr>
            </w:pPr>
            <w:r>
              <w:rPr>
                <w:rFonts w:hint="eastAsia"/>
                <w:color w:val="auto"/>
              </w:rPr>
              <w:t>90万t/a高档社会卡生产线已于2023年1月11日完成自主验收，90万t/a食品卡纸生产线在建</w:t>
            </w:r>
          </w:p>
        </w:tc>
      </w:tr>
      <w:tr w14:paraId="65AE9E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01043643">
            <w:pPr>
              <w:pStyle w:val="33"/>
              <w:rPr>
                <w:color w:val="auto"/>
              </w:rPr>
            </w:pPr>
            <w:r>
              <w:rPr>
                <w:rFonts w:hint="eastAsia"/>
                <w:color w:val="auto"/>
              </w:rPr>
              <w:t>广西金桂浆纸业有限公司年产</w:t>
            </w:r>
            <w:r>
              <w:rPr>
                <w:color w:val="auto"/>
              </w:rPr>
              <w:t>75</w:t>
            </w:r>
            <w:r>
              <w:rPr>
                <w:rFonts w:hint="eastAsia"/>
                <w:color w:val="auto"/>
              </w:rPr>
              <w:t>万吨化机浆扩建项目</w:t>
            </w:r>
          </w:p>
        </w:tc>
        <w:tc>
          <w:tcPr>
            <w:tcW w:w="570" w:type="pct"/>
            <w:vAlign w:val="center"/>
          </w:tcPr>
          <w:p w14:paraId="19A26303">
            <w:pPr>
              <w:pStyle w:val="33"/>
              <w:rPr>
                <w:color w:val="auto"/>
              </w:rPr>
            </w:pPr>
            <w:r>
              <w:rPr>
                <w:rFonts w:hint="eastAsia"/>
                <w:color w:val="auto"/>
              </w:rPr>
              <w:t>A</w:t>
            </w:r>
            <w:r>
              <w:rPr>
                <w:color w:val="auto"/>
              </w:rPr>
              <w:t>2</w:t>
            </w:r>
          </w:p>
        </w:tc>
        <w:tc>
          <w:tcPr>
            <w:tcW w:w="2034" w:type="pct"/>
            <w:vAlign w:val="center"/>
          </w:tcPr>
          <w:p w14:paraId="05BD2630">
            <w:pPr>
              <w:pStyle w:val="33"/>
              <w:rPr>
                <w:color w:val="auto"/>
              </w:rPr>
            </w:pPr>
            <w:r>
              <w:rPr>
                <w:color w:val="auto"/>
              </w:rPr>
              <w:t>2020</w:t>
            </w:r>
            <w:r>
              <w:rPr>
                <w:rFonts w:hint="eastAsia"/>
                <w:color w:val="auto"/>
              </w:rPr>
              <w:t>年</w:t>
            </w:r>
            <w:r>
              <w:rPr>
                <w:color w:val="auto"/>
              </w:rPr>
              <w:t>5</w:t>
            </w:r>
            <w:r>
              <w:rPr>
                <w:rFonts w:hint="eastAsia"/>
                <w:color w:val="auto"/>
              </w:rPr>
              <w:t>月</w:t>
            </w:r>
            <w:r>
              <w:rPr>
                <w:color w:val="auto"/>
              </w:rPr>
              <w:t>25</w:t>
            </w:r>
            <w:r>
              <w:rPr>
                <w:rFonts w:hint="eastAsia"/>
                <w:color w:val="auto"/>
              </w:rPr>
              <w:t>日，广西壮族自治区生态环境厅以桂环审〔</w:t>
            </w:r>
            <w:r>
              <w:rPr>
                <w:color w:val="auto"/>
              </w:rPr>
              <w:t>2020</w:t>
            </w:r>
            <w:r>
              <w:rPr>
                <w:rFonts w:hint="eastAsia"/>
                <w:color w:val="auto"/>
              </w:rPr>
              <w:t>〕</w:t>
            </w:r>
            <w:r>
              <w:rPr>
                <w:color w:val="auto"/>
              </w:rPr>
              <w:t>152</w:t>
            </w:r>
            <w:r>
              <w:rPr>
                <w:rFonts w:hint="eastAsia"/>
                <w:color w:val="auto"/>
              </w:rPr>
              <w:t>号文对该项目予以批复。</w:t>
            </w:r>
          </w:p>
        </w:tc>
        <w:tc>
          <w:tcPr>
            <w:tcW w:w="1169" w:type="pct"/>
            <w:vAlign w:val="center"/>
          </w:tcPr>
          <w:p w14:paraId="446EB1FA">
            <w:pPr>
              <w:pStyle w:val="33"/>
              <w:rPr>
                <w:color w:val="auto"/>
              </w:rPr>
            </w:pPr>
            <w:r>
              <w:rPr>
                <w:rFonts w:hint="eastAsia"/>
                <w:color w:val="auto"/>
              </w:rPr>
              <w:t>一期于2024年12月18日完成验收，二期在建</w:t>
            </w:r>
          </w:p>
        </w:tc>
      </w:tr>
      <w:tr w14:paraId="20053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76FB9CED">
            <w:pPr>
              <w:pStyle w:val="33"/>
              <w:rPr>
                <w:color w:val="auto"/>
              </w:rPr>
            </w:pPr>
            <w:r>
              <w:rPr>
                <w:rFonts w:hint="eastAsia"/>
                <w:color w:val="auto"/>
              </w:rPr>
              <w:t>广西金桂浆纸业有限公司年产</w:t>
            </w:r>
            <w:r>
              <w:rPr>
                <w:color w:val="auto"/>
              </w:rPr>
              <w:t>40</w:t>
            </w:r>
            <w:r>
              <w:rPr>
                <w:rFonts w:hint="eastAsia"/>
                <w:color w:val="auto"/>
              </w:rPr>
              <w:t>万吨高档纸板扩建项目备用锅炉排烟方式变更项目</w:t>
            </w:r>
          </w:p>
        </w:tc>
        <w:tc>
          <w:tcPr>
            <w:tcW w:w="570" w:type="pct"/>
            <w:vAlign w:val="center"/>
          </w:tcPr>
          <w:p w14:paraId="2DC02FB4">
            <w:pPr>
              <w:pStyle w:val="33"/>
              <w:rPr>
                <w:color w:val="auto"/>
              </w:rPr>
            </w:pPr>
            <w:r>
              <w:rPr>
                <w:rFonts w:hint="eastAsia"/>
                <w:color w:val="auto"/>
              </w:rPr>
              <w:t>A</w:t>
            </w:r>
            <w:r>
              <w:rPr>
                <w:color w:val="auto"/>
              </w:rPr>
              <w:t>2</w:t>
            </w:r>
          </w:p>
        </w:tc>
        <w:tc>
          <w:tcPr>
            <w:tcW w:w="2034" w:type="pct"/>
            <w:vAlign w:val="center"/>
          </w:tcPr>
          <w:p w14:paraId="40F2CCC1">
            <w:pPr>
              <w:pStyle w:val="33"/>
              <w:rPr>
                <w:color w:val="auto"/>
              </w:rPr>
            </w:pPr>
            <w:r>
              <w:rPr>
                <w:color w:val="auto"/>
              </w:rPr>
              <w:t>2021</w:t>
            </w:r>
            <w:r>
              <w:rPr>
                <w:rFonts w:hint="eastAsia"/>
                <w:color w:val="auto"/>
              </w:rPr>
              <w:t>年</w:t>
            </w:r>
            <w:r>
              <w:rPr>
                <w:color w:val="auto"/>
              </w:rPr>
              <w:t>10</w:t>
            </w:r>
            <w:r>
              <w:rPr>
                <w:rFonts w:hint="eastAsia"/>
                <w:color w:val="auto"/>
              </w:rPr>
              <w:t>月</w:t>
            </w:r>
            <w:r>
              <w:rPr>
                <w:color w:val="auto"/>
              </w:rPr>
              <w:t>18</w:t>
            </w:r>
            <w:r>
              <w:rPr>
                <w:rFonts w:hint="eastAsia"/>
                <w:color w:val="auto"/>
              </w:rPr>
              <w:t>日，钦州市生态环境局以自贸钦港审批环〔</w:t>
            </w:r>
            <w:r>
              <w:rPr>
                <w:color w:val="auto"/>
              </w:rPr>
              <w:t>2021</w:t>
            </w:r>
            <w:r>
              <w:rPr>
                <w:rFonts w:hint="eastAsia"/>
                <w:color w:val="auto"/>
              </w:rPr>
              <w:t>〕</w:t>
            </w:r>
            <w:r>
              <w:rPr>
                <w:color w:val="auto"/>
              </w:rPr>
              <w:t>6</w:t>
            </w:r>
            <w:r>
              <w:rPr>
                <w:rFonts w:hint="eastAsia"/>
                <w:color w:val="auto"/>
              </w:rPr>
              <w:t>号文对该项目予以批复。</w:t>
            </w:r>
          </w:p>
        </w:tc>
        <w:tc>
          <w:tcPr>
            <w:tcW w:w="1169" w:type="pct"/>
            <w:vAlign w:val="center"/>
          </w:tcPr>
          <w:p w14:paraId="3DA5E314">
            <w:pPr>
              <w:pStyle w:val="33"/>
              <w:rPr>
                <w:color w:val="auto"/>
              </w:rPr>
            </w:pPr>
            <w:r>
              <w:rPr>
                <w:rFonts w:hint="eastAsia"/>
                <w:color w:val="auto"/>
              </w:rPr>
              <w:t>在建</w:t>
            </w:r>
          </w:p>
        </w:tc>
      </w:tr>
      <w:tr w14:paraId="0297A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04104DD1">
            <w:pPr>
              <w:pStyle w:val="33"/>
              <w:rPr>
                <w:color w:val="auto"/>
              </w:rPr>
            </w:pPr>
            <w:r>
              <w:rPr>
                <w:rFonts w:hint="eastAsia"/>
                <w:color w:val="auto"/>
              </w:rPr>
              <w:t>广西金桂浆纸业有限公司年产</w:t>
            </w:r>
            <w:r>
              <w:rPr>
                <w:color w:val="auto"/>
              </w:rPr>
              <w:t>25</w:t>
            </w:r>
            <w:r>
              <w:rPr>
                <w:rFonts w:hint="eastAsia"/>
                <w:color w:val="auto"/>
              </w:rPr>
              <w:t>万吨丁苯胶乳项目</w:t>
            </w:r>
          </w:p>
        </w:tc>
        <w:tc>
          <w:tcPr>
            <w:tcW w:w="570" w:type="pct"/>
            <w:vAlign w:val="center"/>
          </w:tcPr>
          <w:p w14:paraId="0085F869">
            <w:pPr>
              <w:pStyle w:val="33"/>
              <w:rPr>
                <w:color w:val="auto"/>
              </w:rPr>
            </w:pPr>
            <w:r>
              <w:rPr>
                <w:rFonts w:hint="eastAsia"/>
                <w:color w:val="auto"/>
              </w:rPr>
              <w:t>A</w:t>
            </w:r>
            <w:r>
              <w:rPr>
                <w:color w:val="auto"/>
              </w:rPr>
              <w:t>2</w:t>
            </w:r>
          </w:p>
        </w:tc>
        <w:tc>
          <w:tcPr>
            <w:tcW w:w="2034" w:type="pct"/>
            <w:vAlign w:val="center"/>
          </w:tcPr>
          <w:p w14:paraId="2E979170">
            <w:pPr>
              <w:pStyle w:val="33"/>
              <w:rPr>
                <w:color w:val="auto"/>
              </w:rPr>
            </w:pPr>
            <w:r>
              <w:rPr>
                <w:color w:val="auto"/>
              </w:rPr>
              <w:t>2022</w:t>
            </w:r>
            <w:r>
              <w:rPr>
                <w:rFonts w:hint="eastAsia"/>
                <w:color w:val="auto"/>
              </w:rPr>
              <w:t>年</w:t>
            </w:r>
            <w:r>
              <w:rPr>
                <w:color w:val="auto"/>
              </w:rPr>
              <w:t>12</w:t>
            </w:r>
            <w:r>
              <w:rPr>
                <w:rFonts w:hint="eastAsia"/>
                <w:color w:val="auto"/>
              </w:rPr>
              <w:t>月</w:t>
            </w:r>
            <w:r>
              <w:rPr>
                <w:color w:val="auto"/>
              </w:rPr>
              <w:t>30</w:t>
            </w:r>
            <w:r>
              <w:rPr>
                <w:rFonts w:hint="eastAsia"/>
                <w:color w:val="auto"/>
              </w:rPr>
              <w:t>日，钦州市生态环境局以自贸钦审批环〔</w:t>
            </w:r>
            <w:r>
              <w:rPr>
                <w:color w:val="auto"/>
              </w:rPr>
              <w:t>2022</w:t>
            </w:r>
            <w:r>
              <w:rPr>
                <w:rFonts w:hint="eastAsia"/>
                <w:color w:val="auto"/>
              </w:rPr>
              <w:t>〕</w:t>
            </w:r>
            <w:r>
              <w:rPr>
                <w:color w:val="auto"/>
              </w:rPr>
              <w:t>55</w:t>
            </w:r>
            <w:r>
              <w:rPr>
                <w:rFonts w:hint="eastAsia"/>
                <w:color w:val="auto"/>
              </w:rPr>
              <w:t>号文对该项目予以批复。</w:t>
            </w:r>
          </w:p>
        </w:tc>
        <w:tc>
          <w:tcPr>
            <w:tcW w:w="1169" w:type="pct"/>
            <w:vAlign w:val="center"/>
          </w:tcPr>
          <w:p w14:paraId="07B33F7F">
            <w:pPr>
              <w:pStyle w:val="33"/>
              <w:rPr>
                <w:color w:val="auto"/>
              </w:rPr>
            </w:pPr>
            <w:r>
              <w:rPr>
                <w:rFonts w:hint="eastAsia"/>
                <w:color w:val="auto"/>
              </w:rPr>
              <w:t>在建</w:t>
            </w:r>
          </w:p>
        </w:tc>
      </w:tr>
      <w:tr w14:paraId="467E8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0EEA606B">
            <w:pPr>
              <w:pStyle w:val="33"/>
              <w:rPr>
                <w:color w:val="auto"/>
              </w:rPr>
            </w:pPr>
            <w:r>
              <w:rPr>
                <w:rFonts w:hint="eastAsia"/>
                <w:color w:val="auto"/>
              </w:rPr>
              <w:t>广西金洲浆纸业有限公司年产300万吨林浆纸一体化项目</w:t>
            </w:r>
          </w:p>
        </w:tc>
        <w:tc>
          <w:tcPr>
            <w:tcW w:w="570" w:type="pct"/>
            <w:vAlign w:val="center"/>
          </w:tcPr>
          <w:p w14:paraId="5081B410">
            <w:pPr>
              <w:pStyle w:val="33"/>
              <w:rPr>
                <w:color w:val="auto"/>
              </w:rPr>
            </w:pPr>
            <w:r>
              <w:rPr>
                <w:rFonts w:hint="eastAsia"/>
                <w:color w:val="auto"/>
              </w:rPr>
              <w:t>A</w:t>
            </w:r>
            <w:r>
              <w:rPr>
                <w:color w:val="auto"/>
              </w:rPr>
              <w:t>17</w:t>
            </w:r>
          </w:p>
        </w:tc>
        <w:tc>
          <w:tcPr>
            <w:tcW w:w="2034" w:type="pct"/>
            <w:vAlign w:val="center"/>
          </w:tcPr>
          <w:p w14:paraId="1AE5B214">
            <w:pPr>
              <w:pStyle w:val="33"/>
              <w:rPr>
                <w:color w:val="auto"/>
              </w:rPr>
            </w:pPr>
            <w:r>
              <w:rPr>
                <w:rFonts w:hint="eastAsia"/>
                <w:color w:val="auto"/>
              </w:rPr>
              <w:t>2024年11月6日，中国（广西）自由贸易试验区钦州港片区行政审批局以自贸钦审批环〔2024〕50号文对该项目予以批复。</w:t>
            </w:r>
          </w:p>
        </w:tc>
        <w:tc>
          <w:tcPr>
            <w:tcW w:w="1169" w:type="pct"/>
            <w:vAlign w:val="center"/>
          </w:tcPr>
          <w:p w14:paraId="78ED6667">
            <w:pPr>
              <w:pStyle w:val="33"/>
              <w:rPr>
                <w:color w:val="auto"/>
              </w:rPr>
            </w:pPr>
            <w:r>
              <w:rPr>
                <w:rFonts w:hint="eastAsia"/>
                <w:color w:val="auto"/>
              </w:rPr>
              <w:t>在建</w:t>
            </w:r>
          </w:p>
        </w:tc>
      </w:tr>
      <w:tr w14:paraId="55B3F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7EE80005">
            <w:pPr>
              <w:pStyle w:val="33"/>
              <w:rPr>
                <w:color w:val="auto"/>
              </w:rPr>
            </w:pPr>
            <w:r>
              <w:rPr>
                <w:rFonts w:hint="eastAsia"/>
                <w:color w:val="auto"/>
              </w:rPr>
              <w:t>广西格派电池新材料有限公司格派新能源电池材料一体化项目（一期）</w:t>
            </w:r>
          </w:p>
        </w:tc>
        <w:tc>
          <w:tcPr>
            <w:tcW w:w="570" w:type="pct"/>
            <w:vAlign w:val="center"/>
          </w:tcPr>
          <w:p w14:paraId="2555C557">
            <w:pPr>
              <w:pStyle w:val="33"/>
              <w:rPr>
                <w:color w:val="auto"/>
              </w:rPr>
            </w:pPr>
            <w:r>
              <w:rPr>
                <w:rFonts w:hint="eastAsia"/>
                <w:color w:val="auto"/>
              </w:rPr>
              <w:t>A</w:t>
            </w:r>
            <w:r>
              <w:rPr>
                <w:color w:val="auto"/>
              </w:rPr>
              <w:t>2</w:t>
            </w:r>
          </w:p>
        </w:tc>
        <w:tc>
          <w:tcPr>
            <w:tcW w:w="2034" w:type="pct"/>
            <w:vAlign w:val="center"/>
          </w:tcPr>
          <w:p w14:paraId="66806874">
            <w:pPr>
              <w:pStyle w:val="33"/>
              <w:rPr>
                <w:color w:val="auto"/>
              </w:rPr>
            </w:pPr>
            <w:r>
              <w:rPr>
                <w:color w:val="auto"/>
              </w:rPr>
              <w:t>2022</w:t>
            </w:r>
            <w:r>
              <w:rPr>
                <w:rFonts w:hint="eastAsia"/>
                <w:color w:val="auto"/>
              </w:rPr>
              <w:t>年</w:t>
            </w:r>
            <w:r>
              <w:rPr>
                <w:color w:val="auto"/>
              </w:rPr>
              <w:t>6</w:t>
            </w:r>
            <w:r>
              <w:rPr>
                <w:rFonts w:hint="eastAsia"/>
                <w:color w:val="auto"/>
              </w:rPr>
              <w:t>月</w:t>
            </w:r>
            <w:r>
              <w:rPr>
                <w:color w:val="auto"/>
              </w:rPr>
              <w:t>20</w:t>
            </w:r>
            <w:r>
              <w:rPr>
                <w:rFonts w:hint="eastAsia"/>
                <w:color w:val="auto"/>
              </w:rPr>
              <w:t>日，钦州市生态环境局以自贸钦审批环〔</w:t>
            </w:r>
            <w:r>
              <w:rPr>
                <w:color w:val="auto"/>
              </w:rPr>
              <w:t>2022</w:t>
            </w:r>
            <w:r>
              <w:rPr>
                <w:rFonts w:hint="eastAsia"/>
                <w:color w:val="auto"/>
              </w:rPr>
              <w:t>〕</w:t>
            </w:r>
            <w:r>
              <w:rPr>
                <w:color w:val="auto"/>
              </w:rPr>
              <w:t>20</w:t>
            </w:r>
            <w:r>
              <w:rPr>
                <w:rFonts w:hint="eastAsia"/>
                <w:color w:val="auto"/>
              </w:rPr>
              <w:t>号文对该项目予以批复</w:t>
            </w:r>
          </w:p>
        </w:tc>
        <w:tc>
          <w:tcPr>
            <w:tcW w:w="1169" w:type="pct"/>
            <w:vAlign w:val="center"/>
          </w:tcPr>
          <w:p w14:paraId="67341FC7">
            <w:pPr>
              <w:pStyle w:val="33"/>
              <w:rPr>
                <w:color w:val="auto"/>
              </w:rPr>
            </w:pPr>
            <w:r>
              <w:rPr>
                <w:rFonts w:hint="eastAsia"/>
                <w:color w:val="auto"/>
              </w:rPr>
              <w:t>在建</w:t>
            </w:r>
          </w:p>
        </w:tc>
      </w:tr>
      <w:tr w14:paraId="65E33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73EC7162">
            <w:pPr>
              <w:pStyle w:val="33"/>
              <w:rPr>
                <w:color w:val="auto"/>
              </w:rPr>
            </w:pPr>
            <w:r>
              <w:rPr>
                <w:rFonts w:hint="eastAsia"/>
                <w:color w:val="auto"/>
              </w:rPr>
              <w:t>广西桐昆石化有限公司桐昆钦州绿色化工基地一期化工原料生产及配套项目</w:t>
            </w:r>
          </w:p>
        </w:tc>
        <w:tc>
          <w:tcPr>
            <w:tcW w:w="570" w:type="pct"/>
            <w:vAlign w:val="center"/>
          </w:tcPr>
          <w:p w14:paraId="50C6A2BA">
            <w:pPr>
              <w:pStyle w:val="33"/>
              <w:rPr>
                <w:color w:val="auto"/>
              </w:rPr>
            </w:pPr>
            <w:r>
              <w:rPr>
                <w:rFonts w:hint="eastAsia"/>
                <w:color w:val="auto"/>
              </w:rPr>
              <w:t>A</w:t>
            </w:r>
            <w:r>
              <w:rPr>
                <w:color w:val="auto"/>
              </w:rPr>
              <w:t>3</w:t>
            </w:r>
          </w:p>
        </w:tc>
        <w:tc>
          <w:tcPr>
            <w:tcW w:w="2034" w:type="pct"/>
            <w:vAlign w:val="center"/>
          </w:tcPr>
          <w:p w14:paraId="6F5DA996">
            <w:pPr>
              <w:pStyle w:val="33"/>
              <w:rPr>
                <w:color w:val="auto"/>
              </w:rPr>
            </w:pPr>
            <w:r>
              <w:rPr>
                <w:color w:val="auto"/>
              </w:rPr>
              <w:t>2022</w:t>
            </w:r>
            <w:r>
              <w:rPr>
                <w:rFonts w:hint="eastAsia"/>
                <w:color w:val="auto"/>
              </w:rPr>
              <w:t>年</w:t>
            </w:r>
            <w:r>
              <w:rPr>
                <w:color w:val="auto"/>
              </w:rPr>
              <w:t>8</w:t>
            </w:r>
            <w:r>
              <w:rPr>
                <w:rFonts w:hint="eastAsia"/>
                <w:color w:val="auto"/>
              </w:rPr>
              <w:t>月</w:t>
            </w:r>
            <w:r>
              <w:rPr>
                <w:color w:val="auto"/>
              </w:rPr>
              <w:t>81</w:t>
            </w:r>
            <w:r>
              <w:rPr>
                <w:rFonts w:hint="eastAsia"/>
                <w:color w:val="auto"/>
              </w:rPr>
              <w:t>日，钦州市生态环境局以自贸钦港审批环〔</w:t>
            </w:r>
            <w:r>
              <w:rPr>
                <w:color w:val="auto"/>
              </w:rPr>
              <w:t>2022</w:t>
            </w:r>
            <w:r>
              <w:rPr>
                <w:rFonts w:hint="eastAsia"/>
                <w:color w:val="auto"/>
              </w:rPr>
              <w:t>〕</w:t>
            </w:r>
            <w:r>
              <w:rPr>
                <w:color w:val="auto"/>
              </w:rPr>
              <w:t>33</w:t>
            </w:r>
            <w:r>
              <w:rPr>
                <w:rFonts w:hint="eastAsia"/>
                <w:color w:val="auto"/>
              </w:rPr>
              <w:t>号文对该项目予以批复。</w:t>
            </w:r>
          </w:p>
        </w:tc>
        <w:tc>
          <w:tcPr>
            <w:tcW w:w="1169" w:type="pct"/>
            <w:vAlign w:val="center"/>
          </w:tcPr>
          <w:p w14:paraId="773FCE88">
            <w:pPr>
              <w:pStyle w:val="33"/>
              <w:rPr>
                <w:color w:val="auto"/>
              </w:rPr>
            </w:pPr>
            <w:r>
              <w:rPr>
                <w:rFonts w:hint="eastAsia"/>
                <w:color w:val="auto"/>
              </w:rPr>
              <w:t>在建</w:t>
            </w:r>
          </w:p>
        </w:tc>
      </w:tr>
      <w:tr w14:paraId="4427F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59F8A07C">
            <w:pPr>
              <w:pStyle w:val="33"/>
              <w:rPr>
                <w:color w:val="auto"/>
              </w:rPr>
            </w:pPr>
            <w:r>
              <w:rPr>
                <w:rFonts w:hint="eastAsia"/>
                <w:color w:val="auto"/>
              </w:rPr>
              <w:t>广西中伟新能源科技有限公司北部湾产业基地三元项目（一期一阶段）</w:t>
            </w:r>
          </w:p>
        </w:tc>
        <w:tc>
          <w:tcPr>
            <w:tcW w:w="570" w:type="pct"/>
            <w:vAlign w:val="center"/>
          </w:tcPr>
          <w:p w14:paraId="32319F4C">
            <w:pPr>
              <w:pStyle w:val="33"/>
              <w:rPr>
                <w:color w:val="auto"/>
              </w:rPr>
            </w:pPr>
            <w:r>
              <w:rPr>
                <w:rFonts w:hint="eastAsia"/>
                <w:color w:val="auto"/>
              </w:rPr>
              <w:t>A</w:t>
            </w:r>
            <w:r>
              <w:rPr>
                <w:color w:val="auto"/>
              </w:rPr>
              <w:t>2</w:t>
            </w:r>
          </w:p>
        </w:tc>
        <w:tc>
          <w:tcPr>
            <w:tcW w:w="2034" w:type="pct"/>
            <w:vAlign w:val="center"/>
          </w:tcPr>
          <w:p w14:paraId="34B8EFD1">
            <w:pPr>
              <w:pStyle w:val="33"/>
              <w:rPr>
                <w:color w:val="auto"/>
              </w:rPr>
            </w:pPr>
            <w:r>
              <w:rPr>
                <w:color w:val="auto"/>
              </w:rPr>
              <w:t>2021</w:t>
            </w:r>
            <w:r>
              <w:rPr>
                <w:rFonts w:hint="eastAsia"/>
                <w:color w:val="auto"/>
              </w:rPr>
              <w:t>年</w:t>
            </w:r>
            <w:r>
              <w:rPr>
                <w:color w:val="auto"/>
              </w:rPr>
              <w:t>7</w:t>
            </w:r>
            <w:r>
              <w:rPr>
                <w:rFonts w:hint="eastAsia"/>
                <w:color w:val="auto"/>
              </w:rPr>
              <w:t>月</w:t>
            </w:r>
            <w:r>
              <w:rPr>
                <w:color w:val="auto"/>
              </w:rPr>
              <w:t>22</w:t>
            </w:r>
            <w:r>
              <w:rPr>
                <w:rFonts w:hint="eastAsia"/>
                <w:color w:val="auto"/>
              </w:rPr>
              <w:t>日，钦州市生态环境局钦港环管字〔</w:t>
            </w:r>
            <w:r>
              <w:rPr>
                <w:color w:val="auto"/>
              </w:rPr>
              <w:t>2021</w:t>
            </w:r>
            <w:r>
              <w:rPr>
                <w:rFonts w:hint="eastAsia"/>
                <w:color w:val="auto"/>
              </w:rPr>
              <w:t>〕</w:t>
            </w:r>
            <w:r>
              <w:rPr>
                <w:color w:val="auto"/>
              </w:rPr>
              <w:t>19</w:t>
            </w:r>
            <w:r>
              <w:rPr>
                <w:rFonts w:hint="eastAsia"/>
                <w:color w:val="auto"/>
              </w:rPr>
              <w:t>号文对该项目予以批复。</w:t>
            </w:r>
          </w:p>
        </w:tc>
        <w:tc>
          <w:tcPr>
            <w:tcW w:w="1169" w:type="pct"/>
            <w:vAlign w:val="center"/>
          </w:tcPr>
          <w:p w14:paraId="35D4EA29">
            <w:pPr>
              <w:pStyle w:val="33"/>
              <w:rPr>
                <w:color w:val="auto"/>
              </w:rPr>
            </w:pPr>
            <w:r>
              <w:rPr>
                <w:rFonts w:hint="eastAsia"/>
                <w:color w:val="auto"/>
              </w:rPr>
              <w:t>于2022年7月完成验收</w:t>
            </w:r>
          </w:p>
        </w:tc>
      </w:tr>
      <w:tr w14:paraId="5128B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4CBF88D5">
            <w:pPr>
              <w:pStyle w:val="33"/>
              <w:rPr>
                <w:color w:val="auto"/>
              </w:rPr>
            </w:pPr>
            <w:r>
              <w:rPr>
                <w:rFonts w:hint="eastAsia"/>
                <w:color w:val="auto"/>
              </w:rPr>
              <w:t>广西中伟新能源项目一期二阶段</w:t>
            </w:r>
          </w:p>
        </w:tc>
        <w:tc>
          <w:tcPr>
            <w:tcW w:w="570" w:type="pct"/>
            <w:vAlign w:val="center"/>
          </w:tcPr>
          <w:p w14:paraId="6AF12DAA">
            <w:pPr>
              <w:pStyle w:val="33"/>
              <w:rPr>
                <w:color w:val="auto"/>
              </w:rPr>
            </w:pPr>
            <w:r>
              <w:rPr>
                <w:rFonts w:hint="eastAsia"/>
                <w:color w:val="auto"/>
              </w:rPr>
              <w:t>A</w:t>
            </w:r>
            <w:r>
              <w:rPr>
                <w:color w:val="auto"/>
              </w:rPr>
              <w:t>2</w:t>
            </w:r>
          </w:p>
        </w:tc>
        <w:tc>
          <w:tcPr>
            <w:tcW w:w="2034" w:type="pct"/>
            <w:vAlign w:val="center"/>
          </w:tcPr>
          <w:p w14:paraId="4171CE3D">
            <w:pPr>
              <w:pStyle w:val="33"/>
              <w:rPr>
                <w:color w:val="auto"/>
              </w:rPr>
            </w:pPr>
            <w:r>
              <w:rPr>
                <w:color w:val="auto"/>
              </w:rPr>
              <w:t>2021</w:t>
            </w:r>
            <w:r>
              <w:rPr>
                <w:rFonts w:hint="eastAsia"/>
                <w:color w:val="auto"/>
              </w:rPr>
              <w:t>年</w:t>
            </w:r>
            <w:r>
              <w:rPr>
                <w:color w:val="auto"/>
              </w:rPr>
              <w:t>7</w:t>
            </w:r>
            <w:r>
              <w:rPr>
                <w:rFonts w:hint="eastAsia"/>
                <w:color w:val="auto"/>
              </w:rPr>
              <w:t>月</w:t>
            </w:r>
            <w:r>
              <w:rPr>
                <w:color w:val="auto"/>
              </w:rPr>
              <w:t>28</w:t>
            </w:r>
            <w:r>
              <w:rPr>
                <w:rFonts w:hint="eastAsia"/>
                <w:color w:val="auto"/>
              </w:rPr>
              <w:t>日，钦州市生态环境局钦港环管字〔</w:t>
            </w:r>
            <w:r>
              <w:rPr>
                <w:color w:val="auto"/>
              </w:rPr>
              <w:t>2021</w:t>
            </w:r>
            <w:r>
              <w:rPr>
                <w:rFonts w:hint="eastAsia"/>
                <w:color w:val="auto"/>
              </w:rPr>
              <w:t>〕</w:t>
            </w:r>
            <w:r>
              <w:rPr>
                <w:color w:val="auto"/>
              </w:rPr>
              <w:t>20</w:t>
            </w:r>
            <w:r>
              <w:rPr>
                <w:rFonts w:hint="eastAsia"/>
                <w:color w:val="auto"/>
              </w:rPr>
              <w:t>号文对该项目予以批复。</w:t>
            </w:r>
          </w:p>
        </w:tc>
        <w:tc>
          <w:tcPr>
            <w:tcW w:w="1169" w:type="pct"/>
            <w:vAlign w:val="center"/>
          </w:tcPr>
          <w:p w14:paraId="4601E130">
            <w:pPr>
              <w:pStyle w:val="33"/>
              <w:rPr>
                <w:color w:val="auto"/>
              </w:rPr>
            </w:pPr>
            <w:r>
              <w:rPr>
                <w:rFonts w:hint="eastAsia"/>
                <w:color w:val="auto"/>
              </w:rPr>
              <w:t>于2024年3月16日完成验收</w:t>
            </w:r>
          </w:p>
        </w:tc>
      </w:tr>
      <w:tr w14:paraId="4084D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7" w:type="pct"/>
            <w:vAlign w:val="center"/>
          </w:tcPr>
          <w:p w14:paraId="2330CDA2">
            <w:pPr>
              <w:pStyle w:val="33"/>
              <w:rPr>
                <w:color w:val="auto"/>
              </w:rPr>
            </w:pPr>
            <w:r>
              <w:rPr>
                <w:rFonts w:hint="eastAsia"/>
                <w:color w:val="auto"/>
              </w:rPr>
              <w:t>广西中伟新能源项目一期三阶段</w:t>
            </w:r>
          </w:p>
        </w:tc>
        <w:tc>
          <w:tcPr>
            <w:tcW w:w="570" w:type="pct"/>
            <w:vAlign w:val="center"/>
          </w:tcPr>
          <w:p w14:paraId="224D834A">
            <w:pPr>
              <w:pStyle w:val="33"/>
              <w:rPr>
                <w:color w:val="auto"/>
              </w:rPr>
            </w:pPr>
            <w:r>
              <w:rPr>
                <w:rFonts w:hint="eastAsia"/>
                <w:color w:val="auto"/>
              </w:rPr>
              <w:t>A</w:t>
            </w:r>
            <w:r>
              <w:rPr>
                <w:color w:val="auto"/>
              </w:rPr>
              <w:t>2</w:t>
            </w:r>
          </w:p>
        </w:tc>
        <w:tc>
          <w:tcPr>
            <w:tcW w:w="2034" w:type="pct"/>
            <w:vAlign w:val="center"/>
          </w:tcPr>
          <w:p w14:paraId="12B273A5">
            <w:pPr>
              <w:pStyle w:val="33"/>
              <w:rPr>
                <w:color w:val="auto"/>
              </w:rPr>
            </w:pPr>
            <w:r>
              <w:rPr>
                <w:color w:val="auto"/>
              </w:rPr>
              <w:t>2021</w:t>
            </w:r>
            <w:r>
              <w:rPr>
                <w:rFonts w:hint="eastAsia"/>
                <w:color w:val="auto"/>
              </w:rPr>
              <w:t>年</w:t>
            </w:r>
            <w:r>
              <w:rPr>
                <w:color w:val="auto"/>
              </w:rPr>
              <w:t>7</w:t>
            </w:r>
            <w:r>
              <w:rPr>
                <w:rFonts w:hint="eastAsia"/>
                <w:color w:val="auto"/>
              </w:rPr>
              <w:t>月</w:t>
            </w:r>
            <w:r>
              <w:rPr>
                <w:color w:val="auto"/>
              </w:rPr>
              <w:t>28</w:t>
            </w:r>
            <w:r>
              <w:rPr>
                <w:rFonts w:hint="eastAsia"/>
                <w:color w:val="auto"/>
              </w:rPr>
              <w:t>日，钦州市生态环境局钦港环管字〔</w:t>
            </w:r>
            <w:r>
              <w:rPr>
                <w:color w:val="auto"/>
              </w:rPr>
              <w:t>2021</w:t>
            </w:r>
            <w:r>
              <w:rPr>
                <w:rFonts w:hint="eastAsia"/>
                <w:color w:val="auto"/>
              </w:rPr>
              <w:t>〕</w:t>
            </w:r>
            <w:r>
              <w:rPr>
                <w:color w:val="auto"/>
              </w:rPr>
              <w:t>21</w:t>
            </w:r>
            <w:r>
              <w:rPr>
                <w:rFonts w:hint="eastAsia"/>
                <w:color w:val="auto"/>
              </w:rPr>
              <w:t>号文对该项目予以批复。</w:t>
            </w:r>
          </w:p>
        </w:tc>
        <w:tc>
          <w:tcPr>
            <w:tcW w:w="1169" w:type="pct"/>
            <w:vAlign w:val="center"/>
          </w:tcPr>
          <w:p w14:paraId="630B3889">
            <w:pPr>
              <w:pStyle w:val="33"/>
              <w:rPr>
                <w:color w:val="auto"/>
              </w:rPr>
            </w:pPr>
            <w:r>
              <w:rPr>
                <w:rFonts w:hint="eastAsia"/>
                <w:color w:val="auto"/>
              </w:rPr>
              <w:t>在建</w:t>
            </w:r>
          </w:p>
        </w:tc>
      </w:tr>
    </w:tbl>
    <w:p w14:paraId="73EF14D7">
      <w:pPr>
        <w:pStyle w:val="3"/>
        <w:rPr>
          <w:color w:val="auto"/>
        </w:rPr>
      </w:pPr>
      <w:bookmarkStart w:id="297" w:name="_Toc199168944"/>
      <w:bookmarkStart w:id="298" w:name="_Toc199190481"/>
      <w:bookmarkStart w:id="299" w:name="_Toc198390589"/>
      <w:bookmarkStart w:id="300" w:name="_Toc225216739"/>
      <w:bookmarkStart w:id="301" w:name="_Toc198391242"/>
      <w:bookmarkStart w:id="302" w:name="_Toc221355719"/>
      <w:bookmarkStart w:id="303" w:name="_Toc198390023"/>
      <w:r>
        <w:rPr>
          <w:rFonts w:hint="eastAsia"/>
          <w:color w:val="auto"/>
        </w:rPr>
        <w:t>环境空气质量现状调查与评价</w:t>
      </w:r>
      <w:bookmarkEnd w:id="297"/>
      <w:bookmarkEnd w:id="298"/>
      <w:bookmarkEnd w:id="299"/>
      <w:bookmarkEnd w:id="300"/>
      <w:bookmarkEnd w:id="301"/>
      <w:bookmarkEnd w:id="302"/>
      <w:bookmarkEnd w:id="303"/>
    </w:p>
    <w:p w14:paraId="35FF6C59">
      <w:pPr>
        <w:pStyle w:val="4"/>
        <w:rPr>
          <w:color w:val="auto"/>
        </w:rPr>
      </w:pPr>
      <w:bookmarkStart w:id="304" w:name="_Toc198390590"/>
      <w:bookmarkStart w:id="305" w:name="_Toc225216740"/>
      <w:bookmarkStart w:id="306" w:name="_Toc199190482"/>
      <w:bookmarkStart w:id="307" w:name="_Toc199168945"/>
      <w:bookmarkStart w:id="308" w:name="_Toc198391243"/>
      <w:r>
        <w:rPr>
          <w:rFonts w:hint="eastAsia"/>
          <w:color w:val="auto"/>
        </w:rPr>
        <w:t>空气质量达标区判定</w:t>
      </w:r>
      <w:bookmarkEnd w:id="304"/>
      <w:bookmarkEnd w:id="305"/>
      <w:bookmarkEnd w:id="306"/>
      <w:bookmarkEnd w:id="307"/>
      <w:bookmarkEnd w:id="308"/>
    </w:p>
    <w:p w14:paraId="22EC7012">
      <w:pPr>
        <w:ind w:firstLine="480"/>
        <w:rPr>
          <w:color w:val="auto"/>
        </w:rPr>
      </w:pPr>
      <w:r>
        <w:rPr>
          <w:rFonts w:hint="eastAsia"/>
          <w:color w:val="auto"/>
        </w:rPr>
        <w:t>根据广西壮族自治区生态环境厅发布的《自治区生态环境厅关于通报2024年设区市及各县（市、区）环境空气质量的函》（桂环函〔2025〕66号），2024年钦州市环境空气质量指数（AQI）优良率为97.5%，二氧化硫、二氧化氮、PM</w:t>
      </w:r>
      <w:r>
        <w:rPr>
          <w:rFonts w:hint="eastAsia"/>
          <w:color w:val="auto"/>
          <w:vertAlign w:val="subscript"/>
        </w:rPr>
        <w:t>10</w:t>
      </w:r>
      <w:r>
        <w:rPr>
          <w:rFonts w:hint="eastAsia"/>
          <w:color w:val="auto"/>
        </w:rPr>
        <w:t>和PM</w:t>
      </w:r>
      <w:r>
        <w:rPr>
          <w:rFonts w:hint="eastAsia"/>
          <w:color w:val="auto"/>
          <w:vertAlign w:val="subscript"/>
        </w:rPr>
        <w:t>2.5</w:t>
      </w:r>
      <w:r>
        <w:rPr>
          <w:rFonts w:hint="eastAsia"/>
          <w:color w:val="auto"/>
        </w:rPr>
        <w:t>年平均质量浓度、一氧化碳年评价浓度（第95百分位数）、臭氧年评价浓度（第90百分位数）均达到《环境空气质量标准》（GB3095-2012）二级标准，具体见下表</w:t>
      </w:r>
      <w:r>
        <w:rPr>
          <w:color w:val="auto"/>
        </w:rPr>
        <w:fldChar w:fldCharType="begin"/>
      </w:r>
      <w:r>
        <w:rPr>
          <w:color w:val="auto"/>
        </w:rPr>
        <w:instrText xml:space="preserve"> </w:instrText>
      </w:r>
      <w:r>
        <w:rPr>
          <w:rFonts w:hint="eastAsia"/>
          <w:color w:val="auto"/>
        </w:rPr>
        <w:instrText xml:space="preserve">REF _Ref184715715 \r \h</w:instrText>
      </w:r>
      <w:r>
        <w:rPr>
          <w:color w:val="auto"/>
        </w:rPr>
        <w:instrText xml:space="preserve">  \* MERGEFORMAT </w:instrText>
      </w:r>
      <w:r>
        <w:rPr>
          <w:color w:val="auto"/>
        </w:rPr>
        <w:fldChar w:fldCharType="separate"/>
      </w:r>
      <w:r>
        <w:rPr>
          <w:color w:val="auto"/>
        </w:rPr>
        <w:fldChar w:fldCharType="end"/>
      </w:r>
      <w:r>
        <w:rPr>
          <w:rFonts w:hint="eastAsia"/>
          <w:color w:val="auto"/>
        </w:rPr>
        <w:t>，项目所在区域为达标区。</w:t>
      </w:r>
    </w:p>
    <w:p w14:paraId="63941EEE">
      <w:pPr>
        <w:pStyle w:val="7"/>
        <w:rPr>
          <w:color w:val="auto"/>
        </w:rPr>
      </w:pPr>
      <w:bookmarkStart w:id="309" w:name="_Ref196924770"/>
      <w:r>
        <w:rPr>
          <w:rFonts w:hint="eastAsia"/>
          <w:color w:val="auto"/>
        </w:rPr>
        <w:t>区域空气质量现状评价表</w:t>
      </w:r>
      <w:bookmarkEnd w:id="309"/>
    </w:p>
    <w:tbl>
      <w:tblPr>
        <w:tblStyle w:val="26"/>
        <w:tblW w:w="5000" w:type="pct"/>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1"/>
        <w:gridCol w:w="814"/>
        <w:gridCol w:w="1100"/>
        <w:gridCol w:w="2766"/>
        <w:gridCol w:w="1100"/>
        <w:gridCol w:w="962"/>
        <w:gridCol w:w="888"/>
        <w:gridCol w:w="649"/>
      </w:tblGrid>
      <w:tr w14:paraId="3ED78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Align w:val="center"/>
          </w:tcPr>
          <w:p w14:paraId="447379BC">
            <w:pPr>
              <w:pStyle w:val="33"/>
              <w:rPr>
                <w:color w:val="auto"/>
              </w:rPr>
            </w:pPr>
            <w:r>
              <w:rPr>
                <w:rFonts w:hint="eastAsia"/>
                <w:color w:val="auto"/>
              </w:rPr>
              <w:t>区域</w:t>
            </w:r>
          </w:p>
        </w:tc>
        <w:tc>
          <w:tcPr>
            <w:tcW w:w="448" w:type="pct"/>
            <w:vAlign w:val="center"/>
          </w:tcPr>
          <w:p w14:paraId="1D120301">
            <w:pPr>
              <w:pStyle w:val="33"/>
              <w:rPr>
                <w:color w:val="auto"/>
              </w:rPr>
            </w:pPr>
            <w:r>
              <w:rPr>
                <w:rFonts w:hint="eastAsia"/>
                <w:color w:val="auto"/>
              </w:rPr>
              <w:t>污染物</w:t>
            </w:r>
          </w:p>
        </w:tc>
        <w:tc>
          <w:tcPr>
            <w:tcW w:w="606" w:type="pct"/>
            <w:vAlign w:val="center"/>
          </w:tcPr>
          <w:p w14:paraId="570A11CE">
            <w:pPr>
              <w:pStyle w:val="33"/>
              <w:rPr>
                <w:color w:val="auto"/>
              </w:rPr>
            </w:pPr>
            <w:r>
              <w:rPr>
                <w:rFonts w:hint="eastAsia"/>
                <w:color w:val="auto"/>
              </w:rPr>
              <w:t>单位</w:t>
            </w:r>
          </w:p>
        </w:tc>
        <w:tc>
          <w:tcPr>
            <w:tcW w:w="1523" w:type="pct"/>
            <w:vAlign w:val="center"/>
          </w:tcPr>
          <w:p w14:paraId="385A00E0">
            <w:pPr>
              <w:pStyle w:val="33"/>
              <w:rPr>
                <w:color w:val="auto"/>
              </w:rPr>
            </w:pPr>
            <w:r>
              <w:rPr>
                <w:rFonts w:hint="eastAsia"/>
                <w:color w:val="auto"/>
              </w:rPr>
              <w:t>年评价指标</w:t>
            </w:r>
          </w:p>
        </w:tc>
        <w:tc>
          <w:tcPr>
            <w:tcW w:w="606" w:type="pct"/>
            <w:vAlign w:val="center"/>
          </w:tcPr>
          <w:p w14:paraId="6FE06092">
            <w:pPr>
              <w:pStyle w:val="33"/>
              <w:rPr>
                <w:color w:val="auto"/>
              </w:rPr>
            </w:pPr>
            <w:r>
              <w:rPr>
                <w:rFonts w:hint="eastAsia"/>
                <w:color w:val="auto"/>
              </w:rPr>
              <w:t>现状浓度</w:t>
            </w:r>
          </w:p>
        </w:tc>
        <w:tc>
          <w:tcPr>
            <w:tcW w:w="530" w:type="pct"/>
            <w:vAlign w:val="center"/>
          </w:tcPr>
          <w:p w14:paraId="0DE5C105">
            <w:pPr>
              <w:pStyle w:val="33"/>
              <w:rPr>
                <w:color w:val="auto"/>
              </w:rPr>
            </w:pPr>
            <w:r>
              <w:rPr>
                <w:rFonts w:hint="eastAsia"/>
                <w:color w:val="auto"/>
              </w:rPr>
              <w:t>标准值</w:t>
            </w:r>
          </w:p>
        </w:tc>
        <w:tc>
          <w:tcPr>
            <w:tcW w:w="489" w:type="pct"/>
            <w:vAlign w:val="center"/>
          </w:tcPr>
          <w:p w14:paraId="422A9995">
            <w:pPr>
              <w:pStyle w:val="33"/>
              <w:rPr>
                <w:color w:val="auto"/>
              </w:rPr>
            </w:pPr>
            <w:r>
              <w:rPr>
                <w:rFonts w:hint="eastAsia"/>
                <w:color w:val="auto"/>
              </w:rPr>
              <w:t>占标率（%）</w:t>
            </w:r>
          </w:p>
        </w:tc>
        <w:tc>
          <w:tcPr>
            <w:tcW w:w="357" w:type="pct"/>
            <w:vAlign w:val="center"/>
          </w:tcPr>
          <w:p w14:paraId="7752CEE1">
            <w:pPr>
              <w:pStyle w:val="33"/>
              <w:rPr>
                <w:color w:val="auto"/>
              </w:rPr>
            </w:pPr>
            <w:r>
              <w:rPr>
                <w:rFonts w:hint="eastAsia"/>
                <w:color w:val="auto"/>
              </w:rPr>
              <w:t>达标情况</w:t>
            </w:r>
          </w:p>
        </w:tc>
      </w:tr>
      <w:tr w14:paraId="42F65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restart"/>
            <w:vAlign w:val="center"/>
          </w:tcPr>
          <w:p w14:paraId="6C847E48">
            <w:pPr>
              <w:pStyle w:val="33"/>
              <w:rPr>
                <w:color w:val="auto"/>
              </w:rPr>
            </w:pPr>
            <w:r>
              <w:rPr>
                <w:rFonts w:hint="eastAsia"/>
                <w:color w:val="auto"/>
              </w:rPr>
              <w:t>钦州市</w:t>
            </w:r>
          </w:p>
        </w:tc>
        <w:tc>
          <w:tcPr>
            <w:tcW w:w="448" w:type="pct"/>
            <w:vAlign w:val="center"/>
          </w:tcPr>
          <w:p w14:paraId="31ED7A8E">
            <w:pPr>
              <w:pStyle w:val="33"/>
              <w:rPr>
                <w:color w:val="auto"/>
              </w:rPr>
            </w:pPr>
            <w:r>
              <w:rPr>
                <w:rFonts w:hint="eastAsia"/>
                <w:color w:val="auto"/>
              </w:rPr>
              <w:t>S</w:t>
            </w:r>
            <w:r>
              <w:rPr>
                <w:color w:val="auto"/>
              </w:rPr>
              <w:t>O</w:t>
            </w:r>
            <w:r>
              <w:rPr>
                <w:color w:val="auto"/>
                <w:vertAlign w:val="subscript"/>
              </w:rPr>
              <w:t>2</w:t>
            </w:r>
          </w:p>
        </w:tc>
        <w:tc>
          <w:tcPr>
            <w:tcW w:w="606" w:type="pct"/>
            <w:vAlign w:val="center"/>
          </w:tcPr>
          <w:p w14:paraId="7E8370B9">
            <w:pPr>
              <w:pStyle w:val="33"/>
              <w:rPr>
                <w:color w:val="auto"/>
              </w:rPr>
            </w:pPr>
            <w:r>
              <w:rPr>
                <w:rFonts w:hint="eastAsia"/>
                <w:color w:val="auto"/>
              </w:rPr>
              <w:t>μg</w:t>
            </w:r>
            <w:r>
              <w:rPr>
                <w:color w:val="auto"/>
              </w:rPr>
              <w:t>/</w:t>
            </w:r>
            <w:r>
              <w:rPr>
                <w:rFonts w:hint="eastAsia"/>
                <w:color w:val="auto"/>
              </w:rPr>
              <w:t>m</w:t>
            </w:r>
            <w:r>
              <w:rPr>
                <w:color w:val="auto"/>
                <w:vertAlign w:val="superscript"/>
              </w:rPr>
              <w:t>3</w:t>
            </w:r>
          </w:p>
        </w:tc>
        <w:tc>
          <w:tcPr>
            <w:tcW w:w="1523" w:type="pct"/>
            <w:vAlign w:val="center"/>
          </w:tcPr>
          <w:p w14:paraId="138872EE">
            <w:pPr>
              <w:pStyle w:val="33"/>
              <w:rPr>
                <w:color w:val="auto"/>
              </w:rPr>
            </w:pPr>
            <w:r>
              <w:rPr>
                <w:rFonts w:hint="eastAsia"/>
                <w:color w:val="auto"/>
              </w:rPr>
              <w:t>年平均质量浓度</w:t>
            </w:r>
          </w:p>
        </w:tc>
        <w:tc>
          <w:tcPr>
            <w:tcW w:w="606" w:type="pct"/>
            <w:vAlign w:val="center"/>
          </w:tcPr>
          <w:p w14:paraId="74ADC28A">
            <w:pPr>
              <w:pStyle w:val="33"/>
              <w:rPr>
                <w:color w:val="auto"/>
              </w:rPr>
            </w:pPr>
            <w:r>
              <w:rPr>
                <w:rFonts w:hint="eastAsia"/>
                <w:color w:val="auto"/>
              </w:rPr>
              <w:t>8</w:t>
            </w:r>
          </w:p>
        </w:tc>
        <w:tc>
          <w:tcPr>
            <w:tcW w:w="530" w:type="pct"/>
            <w:vAlign w:val="center"/>
          </w:tcPr>
          <w:p w14:paraId="490D1D2C">
            <w:pPr>
              <w:pStyle w:val="33"/>
              <w:rPr>
                <w:color w:val="auto"/>
              </w:rPr>
            </w:pPr>
            <w:r>
              <w:rPr>
                <w:rFonts w:hint="eastAsia"/>
                <w:color w:val="auto"/>
              </w:rPr>
              <w:t>6</w:t>
            </w:r>
            <w:r>
              <w:rPr>
                <w:color w:val="auto"/>
              </w:rPr>
              <w:t>0</w:t>
            </w:r>
          </w:p>
        </w:tc>
        <w:tc>
          <w:tcPr>
            <w:tcW w:w="489" w:type="pct"/>
            <w:vAlign w:val="center"/>
          </w:tcPr>
          <w:p w14:paraId="1724F056">
            <w:pPr>
              <w:pStyle w:val="33"/>
              <w:rPr>
                <w:color w:val="auto"/>
              </w:rPr>
            </w:pPr>
            <w:r>
              <w:rPr>
                <w:color w:val="auto"/>
              </w:rPr>
              <w:t xml:space="preserve">13.33 </w:t>
            </w:r>
          </w:p>
        </w:tc>
        <w:tc>
          <w:tcPr>
            <w:tcW w:w="357" w:type="pct"/>
            <w:vAlign w:val="center"/>
          </w:tcPr>
          <w:p w14:paraId="7F24D46D">
            <w:pPr>
              <w:pStyle w:val="33"/>
              <w:rPr>
                <w:color w:val="auto"/>
              </w:rPr>
            </w:pPr>
            <w:r>
              <w:rPr>
                <w:rFonts w:hint="eastAsia"/>
                <w:color w:val="auto"/>
              </w:rPr>
              <w:t>达标</w:t>
            </w:r>
          </w:p>
        </w:tc>
      </w:tr>
      <w:tr w14:paraId="075E8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continue"/>
            <w:vAlign w:val="center"/>
          </w:tcPr>
          <w:p w14:paraId="00081D6A">
            <w:pPr>
              <w:pStyle w:val="33"/>
              <w:rPr>
                <w:color w:val="auto"/>
              </w:rPr>
            </w:pPr>
          </w:p>
        </w:tc>
        <w:tc>
          <w:tcPr>
            <w:tcW w:w="448" w:type="pct"/>
            <w:vAlign w:val="center"/>
          </w:tcPr>
          <w:p w14:paraId="525D122C">
            <w:pPr>
              <w:pStyle w:val="33"/>
              <w:rPr>
                <w:color w:val="auto"/>
              </w:rPr>
            </w:pPr>
            <w:r>
              <w:rPr>
                <w:color w:val="auto"/>
              </w:rPr>
              <w:t>NO</w:t>
            </w:r>
            <w:r>
              <w:rPr>
                <w:color w:val="auto"/>
                <w:vertAlign w:val="subscript"/>
              </w:rPr>
              <w:t>2</w:t>
            </w:r>
          </w:p>
        </w:tc>
        <w:tc>
          <w:tcPr>
            <w:tcW w:w="606" w:type="pct"/>
            <w:vAlign w:val="center"/>
          </w:tcPr>
          <w:p w14:paraId="578EF155">
            <w:pPr>
              <w:pStyle w:val="33"/>
              <w:rPr>
                <w:color w:val="auto"/>
              </w:rPr>
            </w:pPr>
            <w:r>
              <w:rPr>
                <w:rFonts w:hint="eastAsia"/>
                <w:color w:val="auto"/>
              </w:rPr>
              <w:t>μg</w:t>
            </w:r>
            <w:r>
              <w:rPr>
                <w:color w:val="auto"/>
              </w:rPr>
              <w:t>/</w:t>
            </w:r>
            <w:r>
              <w:rPr>
                <w:rFonts w:hint="eastAsia"/>
                <w:color w:val="auto"/>
              </w:rPr>
              <w:t>m</w:t>
            </w:r>
            <w:r>
              <w:rPr>
                <w:color w:val="auto"/>
                <w:vertAlign w:val="superscript"/>
              </w:rPr>
              <w:t>3</w:t>
            </w:r>
          </w:p>
        </w:tc>
        <w:tc>
          <w:tcPr>
            <w:tcW w:w="1523" w:type="pct"/>
            <w:vAlign w:val="center"/>
          </w:tcPr>
          <w:p w14:paraId="21CD3F12">
            <w:pPr>
              <w:pStyle w:val="33"/>
              <w:rPr>
                <w:color w:val="auto"/>
              </w:rPr>
            </w:pPr>
            <w:r>
              <w:rPr>
                <w:rFonts w:hint="eastAsia"/>
                <w:color w:val="auto"/>
              </w:rPr>
              <w:t>年平均质量浓度</w:t>
            </w:r>
          </w:p>
        </w:tc>
        <w:tc>
          <w:tcPr>
            <w:tcW w:w="606" w:type="pct"/>
            <w:vAlign w:val="center"/>
          </w:tcPr>
          <w:p w14:paraId="59F94C4F">
            <w:pPr>
              <w:pStyle w:val="33"/>
              <w:rPr>
                <w:color w:val="auto"/>
              </w:rPr>
            </w:pPr>
            <w:r>
              <w:rPr>
                <w:rFonts w:hint="eastAsia"/>
                <w:color w:val="auto"/>
              </w:rPr>
              <w:t>19</w:t>
            </w:r>
          </w:p>
        </w:tc>
        <w:tc>
          <w:tcPr>
            <w:tcW w:w="530" w:type="pct"/>
            <w:vAlign w:val="center"/>
          </w:tcPr>
          <w:p w14:paraId="4BF16A6F">
            <w:pPr>
              <w:pStyle w:val="33"/>
              <w:rPr>
                <w:color w:val="auto"/>
              </w:rPr>
            </w:pPr>
            <w:r>
              <w:rPr>
                <w:rFonts w:hint="eastAsia"/>
                <w:color w:val="auto"/>
              </w:rPr>
              <w:t>4</w:t>
            </w:r>
            <w:r>
              <w:rPr>
                <w:color w:val="auto"/>
              </w:rPr>
              <w:t>0</w:t>
            </w:r>
          </w:p>
        </w:tc>
        <w:tc>
          <w:tcPr>
            <w:tcW w:w="489" w:type="pct"/>
            <w:vAlign w:val="center"/>
          </w:tcPr>
          <w:p w14:paraId="078D0835">
            <w:pPr>
              <w:pStyle w:val="33"/>
              <w:rPr>
                <w:color w:val="auto"/>
              </w:rPr>
            </w:pPr>
            <w:r>
              <w:rPr>
                <w:color w:val="auto"/>
              </w:rPr>
              <w:t xml:space="preserve">47.50 </w:t>
            </w:r>
          </w:p>
        </w:tc>
        <w:tc>
          <w:tcPr>
            <w:tcW w:w="357" w:type="pct"/>
            <w:vAlign w:val="center"/>
          </w:tcPr>
          <w:p w14:paraId="4880919A">
            <w:pPr>
              <w:pStyle w:val="33"/>
              <w:rPr>
                <w:color w:val="auto"/>
              </w:rPr>
            </w:pPr>
            <w:r>
              <w:rPr>
                <w:rFonts w:hint="eastAsia"/>
                <w:color w:val="auto"/>
              </w:rPr>
              <w:t>达标</w:t>
            </w:r>
          </w:p>
        </w:tc>
      </w:tr>
      <w:tr w14:paraId="4F041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continue"/>
            <w:vAlign w:val="center"/>
          </w:tcPr>
          <w:p w14:paraId="510EFD97">
            <w:pPr>
              <w:pStyle w:val="33"/>
              <w:rPr>
                <w:color w:val="auto"/>
              </w:rPr>
            </w:pPr>
          </w:p>
        </w:tc>
        <w:tc>
          <w:tcPr>
            <w:tcW w:w="448" w:type="pct"/>
            <w:vAlign w:val="center"/>
          </w:tcPr>
          <w:p w14:paraId="4723706F">
            <w:pPr>
              <w:pStyle w:val="33"/>
              <w:rPr>
                <w:color w:val="auto"/>
              </w:rPr>
            </w:pPr>
            <w:r>
              <w:rPr>
                <w:rFonts w:hint="eastAsia"/>
                <w:color w:val="auto"/>
              </w:rPr>
              <w:t>P</w:t>
            </w:r>
            <w:r>
              <w:rPr>
                <w:color w:val="auto"/>
              </w:rPr>
              <w:t>M</w:t>
            </w:r>
            <w:r>
              <w:rPr>
                <w:color w:val="auto"/>
                <w:vertAlign w:val="subscript"/>
              </w:rPr>
              <w:t>10</w:t>
            </w:r>
          </w:p>
        </w:tc>
        <w:tc>
          <w:tcPr>
            <w:tcW w:w="606" w:type="pct"/>
            <w:vAlign w:val="center"/>
          </w:tcPr>
          <w:p w14:paraId="359D1F5A">
            <w:pPr>
              <w:pStyle w:val="33"/>
              <w:rPr>
                <w:color w:val="auto"/>
              </w:rPr>
            </w:pPr>
            <w:r>
              <w:rPr>
                <w:rFonts w:hint="eastAsia"/>
                <w:color w:val="auto"/>
              </w:rPr>
              <w:t>μg</w:t>
            </w:r>
            <w:r>
              <w:rPr>
                <w:color w:val="auto"/>
              </w:rPr>
              <w:t>/</w:t>
            </w:r>
            <w:r>
              <w:rPr>
                <w:rFonts w:hint="eastAsia"/>
                <w:color w:val="auto"/>
              </w:rPr>
              <w:t>m</w:t>
            </w:r>
            <w:r>
              <w:rPr>
                <w:color w:val="auto"/>
                <w:vertAlign w:val="superscript"/>
              </w:rPr>
              <w:t>3</w:t>
            </w:r>
          </w:p>
        </w:tc>
        <w:tc>
          <w:tcPr>
            <w:tcW w:w="1523" w:type="pct"/>
            <w:vAlign w:val="center"/>
          </w:tcPr>
          <w:p w14:paraId="67C88F0B">
            <w:pPr>
              <w:pStyle w:val="33"/>
              <w:rPr>
                <w:color w:val="auto"/>
              </w:rPr>
            </w:pPr>
            <w:r>
              <w:rPr>
                <w:rFonts w:hint="eastAsia"/>
                <w:color w:val="auto"/>
              </w:rPr>
              <w:t>年平均质量浓度</w:t>
            </w:r>
          </w:p>
        </w:tc>
        <w:tc>
          <w:tcPr>
            <w:tcW w:w="606" w:type="pct"/>
            <w:vAlign w:val="center"/>
          </w:tcPr>
          <w:p w14:paraId="1424808D">
            <w:pPr>
              <w:pStyle w:val="33"/>
              <w:rPr>
                <w:color w:val="auto"/>
              </w:rPr>
            </w:pPr>
            <w:r>
              <w:rPr>
                <w:rFonts w:hint="eastAsia"/>
                <w:color w:val="auto"/>
              </w:rPr>
              <w:t>47</w:t>
            </w:r>
          </w:p>
        </w:tc>
        <w:tc>
          <w:tcPr>
            <w:tcW w:w="530" w:type="pct"/>
            <w:vAlign w:val="center"/>
          </w:tcPr>
          <w:p w14:paraId="576455BF">
            <w:pPr>
              <w:pStyle w:val="33"/>
              <w:rPr>
                <w:color w:val="auto"/>
              </w:rPr>
            </w:pPr>
            <w:r>
              <w:rPr>
                <w:rFonts w:hint="eastAsia"/>
                <w:color w:val="auto"/>
              </w:rPr>
              <w:t>7</w:t>
            </w:r>
            <w:r>
              <w:rPr>
                <w:color w:val="auto"/>
              </w:rPr>
              <w:t>0</w:t>
            </w:r>
          </w:p>
        </w:tc>
        <w:tc>
          <w:tcPr>
            <w:tcW w:w="489" w:type="pct"/>
            <w:vAlign w:val="center"/>
          </w:tcPr>
          <w:p w14:paraId="3F3A66E4">
            <w:pPr>
              <w:pStyle w:val="33"/>
              <w:rPr>
                <w:color w:val="auto"/>
              </w:rPr>
            </w:pPr>
            <w:r>
              <w:rPr>
                <w:color w:val="auto"/>
              </w:rPr>
              <w:t xml:space="preserve">67.14 </w:t>
            </w:r>
          </w:p>
        </w:tc>
        <w:tc>
          <w:tcPr>
            <w:tcW w:w="357" w:type="pct"/>
            <w:vAlign w:val="center"/>
          </w:tcPr>
          <w:p w14:paraId="3E89FEE3">
            <w:pPr>
              <w:pStyle w:val="33"/>
              <w:rPr>
                <w:color w:val="auto"/>
              </w:rPr>
            </w:pPr>
            <w:r>
              <w:rPr>
                <w:rFonts w:hint="eastAsia"/>
                <w:color w:val="auto"/>
              </w:rPr>
              <w:t>达标</w:t>
            </w:r>
          </w:p>
        </w:tc>
      </w:tr>
      <w:tr w14:paraId="2F3E2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continue"/>
            <w:vAlign w:val="center"/>
          </w:tcPr>
          <w:p w14:paraId="6BFD4100">
            <w:pPr>
              <w:pStyle w:val="33"/>
              <w:rPr>
                <w:color w:val="auto"/>
              </w:rPr>
            </w:pPr>
          </w:p>
        </w:tc>
        <w:tc>
          <w:tcPr>
            <w:tcW w:w="448" w:type="pct"/>
            <w:vAlign w:val="center"/>
          </w:tcPr>
          <w:p w14:paraId="6DB37B68">
            <w:pPr>
              <w:pStyle w:val="33"/>
              <w:rPr>
                <w:color w:val="auto"/>
              </w:rPr>
            </w:pPr>
            <w:r>
              <w:rPr>
                <w:rFonts w:hint="eastAsia"/>
                <w:color w:val="auto"/>
              </w:rPr>
              <w:t>P</w:t>
            </w:r>
            <w:r>
              <w:rPr>
                <w:color w:val="auto"/>
              </w:rPr>
              <w:t>M</w:t>
            </w:r>
            <w:r>
              <w:rPr>
                <w:color w:val="auto"/>
                <w:vertAlign w:val="subscript"/>
              </w:rPr>
              <w:t>2.5</w:t>
            </w:r>
          </w:p>
        </w:tc>
        <w:tc>
          <w:tcPr>
            <w:tcW w:w="606" w:type="pct"/>
            <w:vAlign w:val="center"/>
          </w:tcPr>
          <w:p w14:paraId="19923FE4">
            <w:pPr>
              <w:pStyle w:val="33"/>
              <w:rPr>
                <w:color w:val="auto"/>
              </w:rPr>
            </w:pPr>
            <w:r>
              <w:rPr>
                <w:rFonts w:hint="eastAsia"/>
                <w:color w:val="auto"/>
              </w:rPr>
              <w:t>μg</w:t>
            </w:r>
            <w:r>
              <w:rPr>
                <w:color w:val="auto"/>
              </w:rPr>
              <w:t>/</w:t>
            </w:r>
            <w:r>
              <w:rPr>
                <w:rFonts w:hint="eastAsia"/>
                <w:color w:val="auto"/>
              </w:rPr>
              <w:t>m</w:t>
            </w:r>
            <w:r>
              <w:rPr>
                <w:color w:val="auto"/>
                <w:vertAlign w:val="superscript"/>
              </w:rPr>
              <w:t>3</w:t>
            </w:r>
          </w:p>
        </w:tc>
        <w:tc>
          <w:tcPr>
            <w:tcW w:w="1523" w:type="pct"/>
            <w:vAlign w:val="center"/>
          </w:tcPr>
          <w:p w14:paraId="1AA9D217">
            <w:pPr>
              <w:pStyle w:val="33"/>
              <w:rPr>
                <w:color w:val="auto"/>
              </w:rPr>
            </w:pPr>
            <w:r>
              <w:rPr>
                <w:rFonts w:hint="eastAsia"/>
                <w:color w:val="auto"/>
              </w:rPr>
              <w:t>年平均质量浓度</w:t>
            </w:r>
          </w:p>
        </w:tc>
        <w:tc>
          <w:tcPr>
            <w:tcW w:w="606" w:type="pct"/>
            <w:vAlign w:val="center"/>
          </w:tcPr>
          <w:p w14:paraId="7FED8209">
            <w:pPr>
              <w:pStyle w:val="33"/>
              <w:rPr>
                <w:color w:val="auto"/>
              </w:rPr>
            </w:pPr>
            <w:r>
              <w:rPr>
                <w:rFonts w:hint="eastAsia"/>
                <w:color w:val="auto"/>
              </w:rPr>
              <w:t>24.6</w:t>
            </w:r>
          </w:p>
        </w:tc>
        <w:tc>
          <w:tcPr>
            <w:tcW w:w="530" w:type="pct"/>
            <w:vAlign w:val="center"/>
          </w:tcPr>
          <w:p w14:paraId="55A290A0">
            <w:pPr>
              <w:pStyle w:val="33"/>
              <w:rPr>
                <w:color w:val="auto"/>
              </w:rPr>
            </w:pPr>
            <w:r>
              <w:rPr>
                <w:rFonts w:hint="eastAsia"/>
                <w:color w:val="auto"/>
              </w:rPr>
              <w:t>3</w:t>
            </w:r>
            <w:r>
              <w:rPr>
                <w:color w:val="auto"/>
              </w:rPr>
              <w:t>5</w:t>
            </w:r>
          </w:p>
        </w:tc>
        <w:tc>
          <w:tcPr>
            <w:tcW w:w="489" w:type="pct"/>
            <w:vAlign w:val="center"/>
          </w:tcPr>
          <w:p w14:paraId="58931F9E">
            <w:pPr>
              <w:pStyle w:val="33"/>
              <w:rPr>
                <w:color w:val="auto"/>
              </w:rPr>
            </w:pPr>
            <w:r>
              <w:rPr>
                <w:color w:val="auto"/>
              </w:rPr>
              <w:t xml:space="preserve">70.29 </w:t>
            </w:r>
          </w:p>
        </w:tc>
        <w:tc>
          <w:tcPr>
            <w:tcW w:w="357" w:type="pct"/>
            <w:vAlign w:val="center"/>
          </w:tcPr>
          <w:p w14:paraId="1F30D3E8">
            <w:pPr>
              <w:pStyle w:val="33"/>
              <w:rPr>
                <w:color w:val="auto"/>
              </w:rPr>
            </w:pPr>
            <w:r>
              <w:rPr>
                <w:rFonts w:hint="eastAsia"/>
                <w:color w:val="auto"/>
              </w:rPr>
              <w:t>达标</w:t>
            </w:r>
          </w:p>
        </w:tc>
      </w:tr>
      <w:tr w14:paraId="2566D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continue"/>
            <w:vAlign w:val="center"/>
          </w:tcPr>
          <w:p w14:paraId="7E70BBA9">
            <w:pPr>
              <w:pStyle w:val="33"/>
              <w:rPr>
                <w:color w:val="auto"/>
              </w:rPr>
            </w:pPr>
          </w:p>
        </w:tc>
        <w:tc>
          <w:tcPr>
            <w:tcW w:w="448" w:type="pct"/>
            <w:vAlign w:val="center"/>
          </w:tcPr>
          <w:p w14:paraId="45DC40F3">
            <w:pPr>
              <w:pStyle w:val="33"/>
              <w:rPr>
                <w:color w:val="auto"/>
              </w:rPr>
            </w:pPr>
            <w:r>
              <w:rPr>
                <w:rFonts w:hint="eastAsia"/>
                <w:color w:val="auto"/>
              </w:rPr>
              <w:t>C</w:t>
            </w:r>
            <w:r>
              <w:rPr>
                <w:color w:val="auto"/>
              </w:rPr>
              <w:t>O</w:t>
            </w:r>
          </w:p>
        </w:tc>
        <w:tc>
          <w:tcPr>
            <w:tcW w:w="606" w:type="pct"/>
            <w:vAlign w:val="center"/>
          </w:tcPr>
          <w:p w14:paraId="2DB47C2D">
            <w:pPr>
              <w:pStyle w:val="33"/>
              <w:rPr>
                <w:color w:val="auto"/>
              </w:rPr>
            </w:pPr>
            <w:r>
              <w:rPr>
                <w:rFonts w:hint="eastAsia"/>
                <w:color w:val="auto"/>
              </w:rPr>
              <w:t>mg</w:t>
            </w:r>
            <w:r>
              <w:rPr>
                <w:color w:val="auto"/>
              </w:rPr>
              <w:t>/</w:t>
            </w:r>
            <w:r>
              <w:rPr>
                <w:rFonts w:hint="eastAsia"/>
                <w:color w:val="auto"/>
              </w:rPr>
              <w:t>m</w:t>
            </w:r>
            <w:r>
              <w:rPr>
                <w:color w:val="auto"/>
                <w:vertAlign w:val="superscript"/>
              </w:rPr>
              <w:t>3</w:t>
            </w:r>
          </w:p>
        </w:tc>
        <w:tc>
          <w:tcPr>
            <w:tcW w:w="1523" w:type="pct"/>
            <w:vAlign w:val="center"/>
          </w:tcPr>
          <w:p w14:paraId="000C9248">
            <w:pPr>
              <w:pStyle w:val="33"/>
              <w:rPr>
                <w:color w:val="auto"/>
              </w:rPr>
            </w:pPr>
            <w:r>
              <w:rPr>
                <w:rFonts w:hint="eastAsia"/>
                <w:color w:val="auto"/>
              </w:rPr>
              <w:t>9</w:t>
            </w:r>
            <w:r>
              <w:rPr>
                <w:color w:val="auto"/>
              </w:rPr>
              <w:t>5</w:t>
            </w:r>
            <w:r>
              <w:rPr>
                <w:rFonts w:hint="eastAsia"/>
                <w:color w:val="auto"/>
              </w:rPr>
              <w:t>%位数日平均质量浓度</w:t>
            </w:r>
          </w:p>
        </w:tc>
        <w:tc>
          <w:tcPr>
            <w:tcW w:w="606" w:type="pct"/>
            <w:vAlign w:val="center"/>
          </w:tcPr>
          <w:p w14:paraId="7D549604">
            <w:pPr>
              <w:pStyle w:val="33"/>
              <w:rPr>
                <w:color w:val="auto"/>
              </w:rPr>
            </w:pPr>
            <w:r>
              <w:rPr>
                <w:rFonts w:hint="eastAsia"/>
                <w:color w:val="auto"/>
              </w:rPr>
              <w:t>1</w:t>
            </w:r>
            <w:r>
              <w:rPr>
                <w:color w:val="auto"/>
              </w:rPr>
              <w:t>.</w:t>
            </w:r>
            <w:r>
              <w:rPr>
                <w:rFonts w:hint="eastAsia"/>
                <w:color w:val="auto"/>
              </w:rPr>
              <w:t>1</w:t>
            </w:r>
          </w:p>
        </w:tc>
        <w:tc>
          <w:tcPr>
            <w:tcW w:w="530" w:type="pct"/>
            <w:vAlign w:val="center"/>
          </w:tcPr>
          <w:p w14:paraId="310C0AB2">
            <w:pPr>
              <w:pStyle w:val="33"/>
              <w:rPr>
                <w:color w:val="auto"/>
              </w:rPr>
            </w:pPr>
            <w:r>
              <w:rPr>
                <w:rFonts w:hint="eastAsia"/>
                <w:color w:val="auto"/>
              </w:rPr>
              <w:t>4</w:t>
            </w:r>
          </w:p>
        </w:tc>
        <w:tc>
          <w:tcPr>
            <w:tcW w:w="489" w:type="pct"/>
            <w:vAlign w:val="center"/>
          </w:tcPr>
          <w:p w14:paraId="36031DDD">
            <w:pPr>
              <w:pStyle w:val="33"/>
              <w:rPr>
                <w:color w:val="auto"/>
              </w:rPr>
            </w:pPr>
            <w:r>
              <w:rPr>
                <w:color w:val="auto"/>
              </w:rPr>
              <w:t xml:space="preserve">27.50 </w:t>
            </w:r>
          </w:p>
        </w:tc>
        <w:tc>
          <w:tcPr>
            <w:tcW w:w="357" w:type="pct"/>
            <w:vAlign w:val="center"/>
          </w:tcPr>
          <w:p w14:paraId="309D80E7">
            <w:pPr>
              <w:pStyle w:val="33"/>
              <w:rPr>
                <w:color w:val="auto"/>
              </w:rPr>
            </w:pPr>
            <w:r>
              <w:rPr>
                <w:rFonts w:hint="eastAsia"/>
                <w:color w:val="auto"/>
              </w:rPr>
              <w:t>达标</w:t>
            </w:r>
          </w:p>
        </w:tc>
      </w:tr>
      <w:tr w14:paraId="3BD62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41" w:type="pct"/>
            <w:vMerge w:val="continue"/>
            <w:vAlign w:val="center"/>
          </w:tcPr>
          <w:p w14:paraId="75E05153">
            <w:pPr>
              <w:pStyle w:val="33"/>
              <w:rPr>
                <w:color w:val="auto"/>
              </w:rPr>
            </w:pPr>
          </w:p>
        </w:tc>
        <w:tc>
          <w:tcPr>
            <w:tcW w:w="448" w:type="pct"/>
            <w:vAlign w:val="center"/>
          </w:tcPr>
          <w:p w14:paraId="399CD09E">
            <w:pPr>
              <w:pStyle w:val="33"/>
              <w:rPr>
                <w:color w:val="auto"/>
              </w:rPr>
            </w:pPr>
            <w:r>
              <w:rPr>
                <w:rFonts w:hint="eastAsia"/>
                <w:color w:val="auto"/>
              </w:rPr>
              <w:t>O</w:t>
            </w:r>
            <w:r>
              <w:rPr>
                <w:color w:val="auto"/>
                <w:vertAlign w:val="subscript"/>
              </w:rPr>
              <w:t>3</w:t>
            </w:r>
          </w:p>
        </w:tc>
        <w:tc>
          <w:tcPr>
            <w:tcW w:w="606" w:type="pct"/>
            <w:vAlign w:val="center"/>
          </w:tcPr>
          <w:p w14:paraId="4FFC13CA">
            <w:pPr>
              <w:pStyle w:val="33"/>
              <w:rPr>
                <w:color w:val="auto"/>
              </w:rPr>
            </w:pPr>
            <w:r>
              <w:rPr>
                <w:rFonts w:hint="eastAsia"/>
                <w:color w:val="auto"/>
              </w:rPr>
              <w:t>μg</w:t>
            </w:r>
            <w:r>
              <w:rPr>
                <w:color w:val="auto"/>
              </w:rPr>
              <w:t>/</w:t>
            </w:r>
            <w:r>
              <w:rPr>
                <w:rFonts w:hint="eastAsia"/>
                <w:color w:val="auto"/>
              </w:rPr>
              <w:t>m</w:t>
            </w:r>
            <w:r>
              <w:rPr>
                <w:color w:val="auto"/>
                <w:vertAlign w:val="superscript"/>
              </w:rPr>
              <w:t>3</w:t>
            </w:r>
          </w:p>
        </w:tc>
        <w:tc>
          <w:tcPr>
            <w:tcW w:w="1523" w:type="pct"/>
            <w:vAlign w:val="center"/>
          </w:tcPr>
          <w:p w14:paraId="149016C9">
            <w:pPr>
              <w:pStyle w:val="33"/>
              <w:rPr>
                <w:color w:val="auto"/>
              </w:rPr>
            </w:pPr>
            <w:r>
              <w:rPr>
                <w:rFonts w:hint="eastAsia"/>
                <w:color w:val="auto"/>
              </w:rPr>
              <w:t>9</w:t>
            </w:r>
            <w:r>
              <w:rPr>
                <w:color w:val="auto"/>
              </w:rPr>
              <w:t>0</w:t>
            </w:r>
            <w:r>
              <w:rPr>
                <w:rFonts w:hint="eastAsia"/>
                <w:color w:val="auto"/>
              </w:rPr>
              <w:t>%位数8h平均质量浓度</w:t>
            </w:r>
          </w:p>
        </w:tc>
        <w:tc>
          <w:tcPr>
            <w:tcW w:w="606" w:type="pct"/>
            <w:vAlign w:val="center"/>
          </w:tcPr>
          <w:p w14:paraId="76C6CDCB">
            <w:pPr>
              <w:pStyle w:val="33"/>
              <w:rPr>
                <w:color w:val="auto"/>
              </w:rPr>
            </w:pPr>
            <w:r>
              <w:rPr>
                <w:rFonts w:hint="eastAsia"/>
                <w:color w:val="auto"/>
              </w:rPr>
              <w:t>125</w:t>
            </w:r>
          </w:p>
        </w:tc>
        <w:tc>
          <w:tcPr>
            <w:tcW w:w="530" w:type="pct"/>
            <w:vAlign w:val="center"/>
          </w:tcPr>
          <w:p w14:paraId="43D1EE77">
            <w:pPr>
              <w:pStyle w:val="33"/>
              <w:rPr>
                <w:color w:val="auto"/>
              </w:rPr>
            </w:pPr>
            <w:r>
              <w:rPr>
                <w:rFonts w:hint="eastAsia"/>
                <w:color w:val="auto"/>
              </w:rPr>
              <w:t>1</w:t>
            </w:r>
            <w:r>
              <w:rPr>
                <w:color w:val="auto"/>
              </w:rPr>
              <w:t>60</w:t>
            </w:r>
          </w:p>
        </w:tc>
        <w:tc>
          <w:tcPr>
            <w:tcW w:w="489" w:type="pct"/>
            <w:vAlign w:val="center"/>
          </w:tcPr>
          <w:p w14:paraId="67B61FAC">
            <w:pPr>
              <w:pStyle w:val="33"/>
              <w:rPr>
                <w:color w:val="auto"/>
              </w:rPr>
            </w:pPr>
            <w:r>
              <w:rPr>
                <w:color w:val="auto"/>
              </w:rPr>
              <w:t xml:space="preserve">78.13 </w:t>
            </w:r>
          </w:p>
        </w:tc>
        <w:tc>
          <w:tcPr>
            <w:tcW w:w="357" w:type="pct"/>
            <w:vAlign w:val="center"/>
          </w:tcPr>
          <w:p w14:paraId="50E9FE86">
            <w:pPr>
              <w:pStyle w:val="33"/>
              <w:rPr>
                <w:color w:val="auto"/>
              </w:rPr>
            </w:pPr>
            <w:r>
              <w:rPr>
                <w:rFonts w:hint="eastAsia"/>
                <w:color w:val="auto"/>
              </w:rPr>
              <w:t>达标</w:t>
            </w:r>
          </w:p>
        </w:tc>
      </w:tr>
    </w:tbl>
    <w:p w14:paraId="2211765B">
      <w:pPr>
        <w:pStyle w:val="4"/>
        <w:rPr>
          <w:color w:val="auto"/>
        </w:rPr>
      </w:pPr>
      <w:bookmarkStart w:id="310" w:name="_Toc198391244"/>
      <w:bookmarkStart w:id="311" w:name="_Toc198390591"/>
      <w:bookmarkStart w:id="312" w:name="_Toc199190483"/>
      <w:bookmarkStart w:id="313" w:name="_Toc199168946"/>
      <w:bookmarkStart w:id="314" w:name="_Toc225216741"/>
      <w:r>
        <w:rPr>
          <w:rFonts w:hint="eastAsia"/>
          <w:color w:val="auto"/>
        </w:rPr>
        <w:t>基本污染物环境质量现状评价</w:t>
      </w:r>
      <w:bookmarkEnd w:id="310"/>
      <w:bookmarkEnd w:id="311"/>
      <w:bookmarkEnd w:id="312"/>
      <w:bookmarkEnd w:id="313"/>
      <w:bookmarkEnd w:id="314"/>
    </w:p>
    <w:p w14:paraId="12F63DD4">
      <w:pPr>
        <w:pStyle w:val="5"/>
        <w:rPr>
          <w:color w:val="auto"/>
        </w:rPr>
      </w:pPr>
      <w:r>
        <w:rPr>
          <w:rFonts w:hint="eastAsia"/>
          <w:color w:val="auto"/>
        </w:rPr>
        <w:t>监测站点</w:t>
      </w:r>
    </w:p>
    <w:p w14:paraId="0BAEAD69">
      <w:pPr>
        <w:ind w:firstLine="480"/>
        <w:rPr>
          <w:color w:val="auto"/>
        </w:rPr>
      </w:pPr>
      <w:r>
        <w:rPr>
          <w:rFonts w:hint="eastAsia"/>
          <w:color w:val="auto"/>
        </w:rPr>
        <w:t>根据《环境影响评价技术导则 大气环境》（HJ2.2-2018）的要求，拟建项目基本污染物环境质量现状评价选取距离拟建项目区最近的港区一小自动监测站（位于钦州市钦南区钦州港兴港路38号，项目厂址西北约10.6km，与项目区地形、气候条件相近）2024年全年逐日基本污染物监测数据做评价。</w:t>
      </w:r>
    </w:p>
    <w:p w14:paraId="473F3BE2">
      <w:pPr>
        <w:pStyle w:val="5"/>
        <w:rPr>
          <w:color w:val="auto"/>
        </w:rPr>
      </w:pPr>
      <w:r>
        <w:rPr>
          <w:rFonts w:hint="eastAsia"/>
          <w:color w:val="auto"/>
        </w:rPr>
        <w:t>评价标准</w:t>
      </w:r>
    </w:p>
    <w:p w14:paraId="5FE9236B">
      <w:pPr>
        <w:ind w:firstLine="480"/>
        <w:rPr>
          <w:color w:val="auto"/>
        </w:rPr>
      </w:pPr>
      <w:r>
        <w:rPr>
          <w:color w:val="auto"/>
        </w:rPr>
        <w:t>评价区域为二类环境空气质量功能区</w:t>
      </w:r>
      <w:r>
        <w:rPr>
          <w:rFonts w:hint="eastAsia"/>
          <w:color w:val="auto"/>
        </w:rPr>
        <w:t>，</w:t>
      </w:r>
      <w:r>
        <w:rPr>
          <w:color w:val="auto"/>
        </w:rPr>
        <w:t>SO</w:t>
      </w:r>
      <w:r>
        <w:rPr>
          <w:color w:val="auto"/>
          <w:vertAlign w:val="subscript"/>
        </w:rPr>
        <w:t>2</w:t>
      </w:r>
      <w:r>
        <w:rPr>
          <w:color w:val="auto"/>
        </w:rPr>
        <w:t>、NO</w:t>
      </w:r>
      <w:r>
        <w:rPr>
          <w:color w:val="auto"/>
          <w:vertAlign w:val="subscript"/>
        </w:rPr>
        <w:t>2</w:t>
      </w:r>
      <w:r>
        <w:rPr>
          <w:rFonts w:hint="eastAsia"/>
          <w:color w:val="auto"/>
        </w:rPr>
        <w:t>、</w:t>
      </w:r>
      <w:r>
        <w:rPr>
          <w:color w:val="auto"/>
        </w:rPr>
        <w:t>PM</w:t>
      </w:r>
      <w:r>
        <w:rPr>
          <w:color w:val="auto"/>
          <w:vertAlign w:val="subscript"/>
        </w:rPr>
        <w:t>10</w:t>
      </w:r>
      <w:r>
        <w:rPr>
          <w:color w:val="auto"/>
        </w:rPr>
        <w:t>、</w:t>
      </w:r>
      <w:r>
        <w:rPr>
          <w:rFonts w:hint="eastAsia"/>
          <w:color w:val="auto"/>
        </w:rPr>
        <w:t>PM</w:t>
      </w:r>
      <w:r>
        <w:rPr>
          <w:rFonts w:hint="eastAsia"/>
          <w:color w:val="auto"/>
          <w:vertAlign w:val="subscript"/>
        </w:rPr>
        <w:t>2.5</w:t>
      </w:r>
      <w:r>
        <w:rPr>
          <w:rFonts w:hint="eastAsia"/>
          <w:color w:val="auto"/>
        </w:rPr>
        <w:t>、CO、O</w:t>
      </w:r>
      <w:r>
        <w:rPr>
          <w:rFonts w:hint="eastAsia"/>
          <w:color w:val="auto"/>
          <w:vertAlign w:val="subscript"/>
        </w:rPr>
        <w:t>3</w:t>
      </w:r>
      <w:r>
        <w:rPr>
          <w:color w:val="auto"/>
        </w:rPr>
        <w:t>执行《环境空气质量标准》（GB</w:t>
      </w:r>
      <w:r>
        <w:rPr>
          <w:rFonts w:hint="eastAsia"/>
          <w:color w:val="auto"/>
        </w:rPr>
        <w:t>30</w:t>
      </w:r>
      <w:r>
        <w:rPr>
          <w:color w:val="auto"/>
        </w:rPr>
        <w:t>95-2012）</w:t>
      </w:r>
      <w:r>
        <w:rPr>
          <w:rFonts w:hint="eastAsia"/>
          <w:color w:val="auto"/>
        </w:rPr>
        <w:t>及其修改单</w:t>
      </w:r>
      <w:r>
        <w:rPr>
          <w:color w:val="auto"/>
        </w:rPr>
        <w:t>二级标</w:t>
      </w:r>
      <w:r>
        <w:rPr>
          <w:rFonts w:hint="eastAsia"/>
          <w:color w:val="auto"/>
        </w:rPr>
        <w:t>准</w:t>
      </w:r>
      <w:r>
        <w:rPr>
          <w:color w:val="auto"/>
        </w:rPr>
        <w:fldChar w:fldCharType="begin"/>
      </w:r>
      <w:r>
        <w:rPr>
          <w:color w:val="auto"/>
        </w:rPr>
        <w:instrText xml:space="preserve"> </w:instrText>
      </w:r>
      <w:r>
        <w:rPr>
          <w:rFonts w:hint="eastAsia"/>
          <w:color w:val="auto"/>
        </w:rPr>
        <w:instrText xml:space="preserve">REF _Ref184720848 \r \h</w:instrText>
      </w:r>
      <w:r>
        <w:rPr>
          <w:color w:val="auto"/>
        </w:rPr>
        <w:instrText xml:space="preserve">  \* MERGEFORMAT </w:instrText>
      </w:r>
      <w:r>
        <w:rPr>
          <w:color w:val="auto"/>
        </w:rPr>
        <w:fldChar w:fldCharType="separate"/>
      </w:r>
      <w:r>
        <w:rPr>
          <w:color w:val="auto"/>
        </w:rPr>
        <w:fldChar w:fldCharType="end"/>
      </w:r>
      <w:r>
        <w:rPr>
          <w:rFonts w:hint="eastAsia"/>
          <w:color w:val="auto"/>
        </w:rPr>
        <w:t>。</w:t>
      </w:r>
    </w:p>
    <w:p w14:paraId="449DB63D">
      <w:pPr>
        <w:pStyle w:val="5"/>
        <w:rPr>
          <w:color w:val="auto"/>
        </w:rPr>
      </w:pPr>
      <w:r>
        <w:rPr>
          <w:rFonts w:hint="eastAsia"/>
          <w:color w:val="auto"/>
        </w:rPr>
        <w:t>评价方法</w:t>
      </w:r>
    </w:p>
    <w:p w14:paraId="71650D9C">
      <w:pPr>
        <w:ind w:firstLine="480"/>
        <w:rPr>
          <w:color w:val="auto"/>
        </w:rPr>
      </w:pPr>
      <w:r>
        <w:rPr>
          <w:rFonts w:hint="eastAsia"/>
          <w:color w:val="auto"/>
        </w:rPr>
        <w:t>根据《环境影响评价技术导则 大气环境》（HJ2.2-2018）的要求以及《环境空气质量评价技术规范》（H</w:t>
      </w:r>
      <w:r>
        <w:rPr>
          <w:color w:val="auto"/>
        </w:rPr>
        <w:t>J663-20</w:t>
      </w:r>
      <w:r>
        <w:rPr>
          <w:rFonts w:hint="eastAsia"/>
          <w:color w:val="auto"/>
        </w:rPr>
        <w:t>26）的评价方法，单个监测点环境空气质量评价以《环境空气质量标准》（G</w:t>
      </w:r>
      <w:r>
        <w:rPr>
          <w:color w:val="auto"/>
        </w:rPr>
        <w:t>B</w:t>
      </w:r>
      <w:r>
        <w:rPr>
          <w:rFonts w:hint="eastAsia"/>
          <w:color w:val="auto"/>
        </w:rPr>
        <w:t>3095-2012）中污染物的浓度限值为依据，对各评价项目的年评价指标进行达标情况判断，污染物浓度评价结果不超过G</w:t>
      </w:r>
      <w:r>
        <w:rPr>
          <w:color w:val="auto"/>
        </w:rPr>
        <w:t>B</w:t>
      </w:r>
      <w:r>
        <w:rPr>
          <w:rFonts w:hint="eastAsia"/>
          <w:color w:val="auto"/>
        </w:rPr>
        <w:t>3095规定的浓度限值且符合数据统计要求的即为达标，对于超标的污染物，计算其超标倍数。</w:t>
      </w:r>
    </w:p>
    <w:p w14:paraId="4CC81681">
      <w:pPr>
        <w:ind w:firstLine="480"/>
        <w:rPr>
          <w:color w:val="auto"/>
        </w:rPr>
      </w:pPr>
      <w:r>
        <w:rPr>
          <w:color w:val="auto"/>
        </w:rPr>
        <w:t>根据《环境空气质量评价技术规范》（HJ663-20</w:t>
      </w:r>
      <w:r>
        <w:rPr>
          <w:rFonts w:hint="eastAsia"/>
          <w:color w:val="auto"/>
        </w:rPr>
        <w:t>26</w:t>
      </w:r>
      <w:r>
        <w:rPr>
          <w:color w:val="auto"/>
        </w:rPr>
        <w:t>）的污染物浓度统计方法，本次环境空气质量评价中，各评价时段内污染物的统计指标和统计方法如下所示：</w:t>
      </w:r>
    </w:p>
    <w:p w14:paraId="33141E04">
      <w:pPr>
        <w:ind w:firstLine="480"/>
        <w:rPr>
          <w:color w:val="auto"/>
        </w:rPr>
      </w:pPr>
      <w:r>
        <w:rPr>
          <w:color w:val="auto"/>
        </w:rPr>
        <w:t>a）年平均浓度按照一个日历年内</w:t>
      </w:r>
      <w:r>
        <w:rPr>
          <w:rFonts w:hint="eastAsia"/>
          <w:color w:val="auto"/>
        </w:rPr>
        <w:t>各日</w:t>
      </w:r>
      <w:r>
        <w:rPr>
          <w:color w:val="auto"/>
        </w:rPr>
        <w:t>平均浓度值的算数平均值的统计方法对各污染物指标进行环境质量现状评价，202</w:t>
      </w:r>
      <w:r>
        <w:rPr>
          <w:rFonts w:hint="eastAsia"/>
          <w:color w:val="auto"/>
        </w:rPr>
        <w:t>4</w:t>
      </w:r>
      <w:r>
        <w:rPr>
          <w:color w:val="auto"/>
        </w:rPr>
        <w:t>年有效天数为36</w:t>
      </w:r>
      <w:r>
        <w:rPr>
          <w:rFonts w:hint="eastAsia"/>
          <w:color w:val="auto"/>
        </w:rPr>
        <w:t>6</w:t>
      </w:r>
      <w:r>
        <w:rPr>
          <w:color w:val="auto"/>
        </w:rPr>
        <w:t>天。</w:t>
      </w:r>
    </w:p>
    <w:p w14:paraId="25D0606A">
      <w:pPr>
        <w:ind w:firstLine="480"/>
        <w:rPr>
          <w:color w:val="auto"/>
        </w:rPr>
      </w:pPr>
      <w:r>
        <w:rPr>
          <w:color w:val="auto"/>
        </w:rPr>
        <w:t>b）相应百分位数浓度按照《环境空气质量评价技术规范》（HJ663-20</w:t>
      </w:r>
      <w:r>
        <w:rPr>
          <w:rFonts w:hint="eastAsia"/>
          <w:color w:val="auto"/>
        </w:rPr>
        <w:t>26</w:t>
      </w:r>
      <w:r>
        <w:rPr>
          <w:color w:val="auto"/>
        </w:rPr>
        <w:t>）中的统计方法对各污染物指标进行环境质量现状评价。污染物浓度序列的第p百分位数计算方法如下：</w:t>
      </w:r>
    </w:p>
    <w:p w14:paraId="460F77A2">
      <w:pPr>
        <w:ind w:firstLine="480"/>
        <w:rPr>
          <w:color w:val="auto"/>
        </w:rPr>
      </w:pPr>
      <w:r>
        <w:rPr>
          <w:color w:val="auto"/>
        </w:rPr>
        <w:t>将污染物浓度序列按数值从小到大排序，排序后的浓度序列为，{X</w:t>
      </w:r>
      <w:r>
        <w:rPr>
          <w:color w:val="auto"/>
          <w:vertAlign w:val="subscript"/>
        </w:rPr>
        <w:t>（i）</w:t>
      </w:r>
      <w:r>
        <w:rPr>
          <w:color w:val="auto"/>
        </w:rPr>
        <w:t>，i=1,2,…n}。</w:t>
      </w:r>
    </w:p>
    <w:p w14:paraId="5A6D535F">
      <w:pPr>
        <w:ind w:firstLine="480"/>
        <w:rPr>
          <w:color w:val="auto"/>
        </w:rPr>
      </w:pPr>
      <w:r>
        <w:rPr>
          <w:color w:val="auto"/>
        </w:rPr>
        <w:t>计算第p百分位数m的序数k，序数k按下式计算：</w:t>
      </w:r>
    </w:p>
    <w:p w14:paraId="2F245554">
      <w:pPr>
        <w:ind w:firstLine="480"/>
        <w:rPr>
          <w:iCs/>
          <w:color w:val="auto"/>
        </w:rPr>
      </w:pPr>
      <m:oMathPara>
        <m:oMath>
          <m:r>
            <m:rPr>
              <m:sty m:val="p"/>
            </m:rPr>
            <w:rPr>
              <w:rFonts w:ascii="Cambria Math" w:hAnsi="Cambria Math"/>
              <w:color w:val="auto"/>
            </w:rPr>
            <m:t>k=1+</m:t>
          </m:r>
          <m:d>
            <m:dPr>
              <m:ctrlPr>
                <w:rPr>
                  <w:rFonts w:ascii="Cambria Math" w:hAnsi="Cambria Math"/>
                  <w:iCs/>
                  <w:color w:val="auto"/>
                </w:rPr>
              </m:ctrlPr>
            </m:dPr>
            <m:e>
              <m:r>
                <m:rPr>
                  <m:sty m:val="p"/>
                </m:rPr>
                <w:rPr>
                  <w:rFonts w:ascii="Cambria Math" w:hAnsi="Cambria Math"/>
                  <w:color w:val="auto"/>
                </w:rPr>
                <m:t>n−1</m:t>
              </m:r>
              <m:ctrlPr>
                <w:rPr>
                  <w:rFonts w:ascii="Cambria Math" w:hAnsi="Cambria Math"/>
                  <w:iCs/>
                  <w:color w:val="auto"/>
                </w:rPr>
              </m:ctrlPr>
            </m:e>
          </m:d>
          <m:r>
            <m:rPr>
              <m:sty m:val="p"/>
            </m:rPr>
            <w:rPr>
              <w:rFonts w:ascii="Cambria Math" w:hAnsi="Cambria Math"/>
              <w:color w:val="auto"/>
            </w:rPr>
            <m:t>∙p%</m:t>
          </m:r>
        </m:oMath>
      </m:oMathPara>
    </w:p>
    <w:p w14:paraId="1FEA4DFC">
      <w:pPr>
        <w:ind w:firstLine="480"/>
        <w:rPr>
          <w:color w:val="auto"/>
        </w:rPr>
      </w:pPr>
      <w:r>
        <w:rPr>
          <w:color w:val="auto"/>
        </w:rPr>
        <w:t>式中：</w:t>
      </w:r>
    </w:p>
    <w:p w14:paraId="7ABE878C">
      <w:pPr>
        <w:ind w:firstLine="480"/>
        <w:rPr>
          <w:color w:val="auto"/>
        </w:rPr>
      </w:pPr>
      <w:r>
        <w:rPr>
          <w:color w:val="auto"/>
        </w:rPr>
        <w:t>k——p%位置对应的序数。</w:t>
      </w:r>
    </w:p>
    <w:p w14:paraId="7A62FF3D">
      <w:pPr>
        <w:ind w:firstLine="480"/>
        <w:rPr>
          <w:color w:val="auto"/>
        </w:rPr>
      </w:pPr>
      <w:r>
        <w:rPr>
          <w:color w:val="auto"/>
        </w:rPr>
        <w:t>n——污染物浓度序列中的浓度值数量。</w:t>
      </w:r>
    </w:p>
    <w:p w14:paraId="42E6D141">
      <w:pPr>
        <w:ind w:firstLine="480"/>
        <w:rPr>
          <w:color w:val="auto"/>
        </w:rPr>
      </w:pPr>
      <w:r>
        <w:rPr>
          <w:color w:val="auto"/>
        </w:rPr>
        <w:t>c）第p百分位数m</w:t>
      </w:r>
      <w:r>
        <w:rPr>
          <w:color w:val="auto"/>
          <w:vertAlign w:val="subscript"/>
        </w:rPr>
        <w:t>p</w:t>
      </w:r>
      <w:r>
        <w:rPr>
          <w:color w:val="auto"/>
        </w:rPr>
        <w:t>按下式计算：</w:t>
      </w:r>
    </w:p>
    <w:p w14:paraId="2BF67B76">
      <w:pPr>
        <w:ind w:firstLine="480"/>
        <w:rPr>
          <w:iCs/>
          <w:color w:val="auto"/>
        </w:rPr>
      </w:pPr>
      <m:oMathPara>
        <m:oMath>
          <m:sSub>
            <m:sSubPr>
              <m:ctrlPr>
                <w:rPr>
                  <w:rFonts w:ascii="Cambria Math" w:hAnsi="Cambria Math"/>
                  <w:iCs/>
                  <w:color w:val="auto"/>
                </w:rPr>
              </m:ctrlPr>
            </m:sSubPr>
            <m:e>
              <m:r>
                <m:rPr>
                  <m:sty m:val="p"/>
                </m:rPr>
                <w:rPr>
                  <w:rFonts w:ascii="Cambria Math" w:hAnsi="Cambria Math"/>
                  <w:color w:val="auto"/>
                </w:rPr>
                <m:t>m</m:t>
              </m:r>
              <m:ctrlPr>
                <w:rPr>
                  <w:rFonts w:ascii="Cambria Math" w:hAnsi="Cambria Math"/>
                  <w:iCs/>
                  <w:color w:val="auto"/>
                </w:rPr>
              </m:ctrlPr>
            </m:e>
            <m:sub>
              <m:r>
                <m:rPr>
                  <m:sty m:val="p"/>
                </m:rPr>
                <w:rPr>
                  <w:rFonts w:ascii="Cambria Math" w:hAnsi="Cambria Math"/>
                  <w:color w:val="auto"/>
                </w:rPr>
                <m:t>p</m:t>
              </m:r>
              <m:ctrlPr>
                <w:rPr>
                  <w:rFonts w:ascii="Cambria Math" w:hAnsi="Cambria Math"/>
                  <w:iCs/>
                  <w:color w:val="auto"/>
                </w:rPr>
              </m:ctrlPr>
            </m:sub>
          </m:sSub>
          <m:r>
            <m:rPr>
              <m:sty m:val="p"/>
            </m:rPr>
            <w:rPr>
              <w:rFonts w:ascii="Cambria Math" w:hAnsi="Cambria Math"/>
              <w:color w:val="auto"/>
            </w:rPr>
            <m:t>=</m:t>
          </m:r>
          <m:sSub>
            <m:sSubPr>
              <m:ctrlPr>
                <w:rPr>
                  <w:rFonts w:ascii="Cambria Math" w:hAnsi="Cambria Math"/>
                  <w:iCs/>
                  <w:color w:val="auto"/>
                </w:rPr>
              </m:ctrlPr>
            </m:sSubPr>
            <m:e>
              <m:r>
                <m:rPr>
                  <m:sty m:val="p"/>
                </m:rPr>
                <w:rPr>
                  <w:rFonts w:ascii="Cambria Math" w:hAnsi="Cambria Math"/>
                  <w:color w:val="auto"/>
                </w:rPr>
                <m:t>X</m:t>
              </m:r>
              <m:ctrlPr>
                <w:rPr>
                  <w:rFonts w:ascii="Cambria Math" w:hAnsi="Cambria Math"/>
                  <w:iCs/>
                  <w:color w:val="auto"/>
                </w:rPr>
              </m:ctrlPr>
            </m:e>
            <m:sub>
              <m:d>
                <m:dPr>
                  <m:ctrlPr>
                    <w:rPr>
                      <w:rFonts w:ascii="Cambria Math" w:hAnsi="Cambria Math"/>
                      <w:iCs/>
                      <w:color w:val="auto"/>
                    </w:rPr>
                  </m:ctrlPr>
                </m:dPr>
                <m:e>
                  <m:r>
                    <m:rPr>
                      <m:sty m:val="p"/>
                    </m:rPr>
                    <w:rPr>
                      <w:rFonts w:ascii="Cambria Math" w:hAnsi="Cambria Math"/>
                      <w:color w:val="auto"/>
                    </w:rPr>
                    <m:t>s</m:t>
                  </m:r>
                  <m:ctrlPr>
                    <w:rPr>
                      <w:rFonts w:ascii="Cambria Math" w:hAnsi="Cambria Math"/>
                      <w:iCs/>
                      <w:color w:val="auto"/>
                    </w:rPr>
                  </m:ctrlPr>
                </m:e>
              </m:d>
              <m:ctrlPr>
                <w:rPr>
                  <w:rFonts w:ascii="Cambria Math" w:hAnsi="Cambria Math"/>
                  <w:iCs/>
                  <w:color w:val="auto"/>
                </w:rPr>
              </m:ctrlPr>
            </m:sub>
          </m:sSub>
          <m:r>
            <m:rPr>
              <m:sty m:val="p"/>
            </m:rPr>
            <w:rPr>
              <w:rFonts w:ascii="Cambria Math" w:hAnsi="Cambria Math"/>
              <w:color w:val="auto"/>
            </w:rPr>
            <m:t>+</m:t>
          </m:r>
          <m:d>
            <m:dPr>
              <m:ctrlPr>
                <w:rPr>
                  <w:rFonts w:ascii="Cambria Math" w:hAnsi="Cambria Math"/>
                  <w:iCs/>
                  <w:color w:val="auto"/>
                </w:rPr>
              </m:ctrlPr>
            </m:dPr>
            <m:e>
              <m:sSub>
                <m:sSubPr>
                  <m:ctrlPr>
                    <w:rPr>
                      <w:rFonts w:ascii="Cambria Math" w:hAnsi="Cambria Math"/>
                      <w:iCs/>
                      <w:color w:val="auto"/>
                    </w:rPr>
                  </m:ctrlPr>
                </m:sSubPr>
                <m:e>
                  <m:r>
                    <m:rPr>
                      <m:sty m:val="p"/>
                    </m:rPr>
                    <w:rPr>
                      <w:rFonts w:ascii="Cambria Math" w:hAnsi="Cambria Math"/>
                      <w:color w:val="auto"/>
                    </w:rPr>
                    <m:t>X</m:t>
                  </m:r>
                  <m:ctrlPr>
                    <w:rPr>
                      <w:rFonts w:ascii="Cambria Math" w:hAnsi="Cambria Math"/>
                      <w:iCs/>
                      <w:color w:val="auto"/>
                    </w:rPr>
                  </m:ctrlPr>
                </m:e>
                <m:sub>
                  <m:d>
                    <m:dPr>
                      <m:ctrlPr>
                        <w:rPr>
                          <w:rFonts w:ascii="Cambria Math" w:hAnsi="Cambria Math"/>
                          <w:iCs/>
                          <w:color w:val="auto"/>
                        </w:rPr>
                      </m:ctrlPr>
                    </m:dPr>
                    <m:e>
                      <m:r>
                        <m:rPr>
                          <m:sty m:val="p"/>
                        </m:rPr>
                        <w:rPr>
                          <w:rFonts w:ascii="Cambria Math" w:hAnsi="Cambria Math"/>
                          <w:color w:val="auto"/>
                        </w:rPr>
                        <m:t>s+1</m:t>
                      </m:r>
                      <m:ctrlPr>
                        <w:rPr>
                          <w:rFonts w:ascii="Cambria Math" w:hAnsi="Cambria Math"/>
                          <w:iCs/>
                          <w:color w:val="auto"/>
                        </w:rPr>
                      </m:ctrlPr>
                    </m:e>
                  </m:d>
                  <m:ctrlPr>
                    <w:rPr>
                      <w:rFonts w:ascii="Cambria Math" w:hAnsi="Cambria Math"/>
                      <w:iCs/>
                      <w:color w:val="auto"/>
                    </w:rPr>
                  </m:ctrlPr>
                </m:sub>
              </m:sSub>
              <m:r>
                <m:rPr>
                  <m:sty m:val="p"/>
                </m:rPr>
                <w:rPr>
                  <w:rFonts w:ascii="Cambria Math" w:hAnsi="Cambria Math"/>
                  <w:color w:val="auto"/>
                </w:rPr>
                <m:t>−</m:t>
              </m:r>
              <m:sSub>
                <m:sSubPr>
                  <m:ctrlPr>
                    <w:rPr>
                      <w:rFonts w:ascii="Cambria Math" w:hAnsi="Cambria Math"/>
                      <w:iCs/>
                      <w:color w:val="auto"/>
                    </w:rPr>
                  </m:ctrlPr>
                </m:sSubPr>
                <m:e>
                  <m:r>
                    <m:rPr>
                      <m:sty m:val="p"/>
                    </m:rPr>
                    <w:rPr>
                      <w:rFonts w:ascii="Cambria Math" w:hAnsi="Cambria Math"/>
                      <w:color w:val="auto"/>
                    </w:rPr>
                    <m:t>X</m:t>
                  </m:r>
                  <m:ctrlPr>
                    <w:rPr>
                      <w:rFonts w:ascii="Cambria Math" w:hAnsi="Cambria Math"/>
                      <w:iCs/>
                      <w:color w:val="auto"/>
                    </w:rPr>
                  </m:ctrlPr>
                </m:e>
                <m:sub>
                  <m:r>
                    <m:rPr>
                      <m:sty m:val="p"/>
                    </m:rPr>
                    <w:rPr>
                      <w:rFonts w:ascii="Cambria Math" w:hAnsi="Cambria Math"/>
                      <w:color w:val="auto"/>
                    </w:rPr>
                    <m:t>s</m:t>
                  </m:r>
                  <m:ctrlPr>
                    <w:rPr>
                      <w:rFonts w:ascii="Cambria Math" w:hAnsi="Cambria Math"/>
                      <w:iCs/>
                      <w:color w:val="auto"/>
                    </w:rPr>
                  </m:ctrlPr>
                </m:sub>
              </m:sSub>
              <m:ctrlPr>
                <w:rPr>
                  <w:rFonts w:ascii="Cambria Math" w:hAnsi="Cambria Math"/>
                  <w:iCs/>
                  <w:color w:val="auto"/>
                </w:rPr>
              </m:ctrlPr>
            </m:e>
          </m:d>
          <m:r>
            <m:rPr>
              <m:sty m:val="p"/>
            </m:rPr>
            <w:rPr>
              <w:rFonts w:ascii="Cambria Math" w:hAnsi="Cambria Math"/>
              <w:color w:val="auto"/>
            </w:rPr>
            <m:t>×</m:t>
          </m:r>
          <m:d>
            <m:dPr>
              <m:ctrlPr>
                <w:rPr>
                  <w:rFonts w:ascii="Cambria Math" w:hAnsi="Cambria Math"/>
                  <w:iCs/>
                  <w:color w:val="auto"/>
                </w:rPr>
              </m:ctrlPr>
            </m:dPr>
            <m:e>
              <m:r>
                <m:rPr>
                  <m:sty m:val="p"/>
                </m:rPr>
                <w:rPr>
                  <w:rFonts w:hint="eastAsia" w:ascii="Cambria Math" w:hAnsi="Cambria Math"/>
                  <w:color w:val="auto"/>
                </w:rPr>
                <m:t>k</m:t>
              </m:r>
              <m:r>
                <m:rPr>
                  <m:sty m:val="p"/>
                </m:rPr>
                <w:rPr>
                  <w:rFonts w:ascii="Cambria Math" w:hAnsi="Cambria Math"/>
                  <w:color w:val="auto"/>
                </w:rPr>
                <m:t>−s</m:t>
              </m:r>
              <m:ctrlPr>
                <w:rPr>
                  <w:rFonts w:ascii="Cambria Math" w:hAnsi="Cambria Math"/>
                  <w:iCs/>
                  <w:color w:val="auto"/>
                </w:rPr>
              </m:ctrlPr>
            </m:e>
          </m:d>
        </m:oMath>
      </m:oMathPara>
    </w:p>
    <w:p w14:paraId="29EB3755">
      <w:pPr>
        <w:ind w:firstLine="480"/>
        <w:rPr>
          <w:color w:val="auto"/>
        </w:rPr>
      </w:pPr>
      <w:r>
        <w:rPr>
          <w:rFonts w:hint="eastAsia"/>
          <w:color w:val="auto"/>
        </w:rPr>
        <w:t>s——k的整数部分，当k为整数时s与k相等。</w:t>
      </w:r>
    </w:p>
    <w:p w14:paraId="3FB68D13">
      <w:pPr>
        <w:ind w:firstLine="480"/>
        <w:rPr>
          <w:color w:val="auto"/>
        </w:rPr>
      </w:pPr>
      <w:r>
        <w:rPr>
          <w:rFonts w:hint="eastAsia"/>
          <w:color w:val="auto"/>
        </w:rPr>
        <w:t>监测结果统计与评价</w:t>
      </w:r>
    </w:p>
    <w:p w14:paraId="594ED988">
      <w:pPr>
        <w:ind w:firstLine="480"/>
        <w:rPr>
          <w:color w:val="auto"/>
        </w:rPr>
      </w:pPr>
      <w:r>
        <w:rPr>
          <w:rFonts w:hint="eastAsia"/>
          <w:color w:val="auto"/>
        </w:rPr>
        <w:t>基本污染物监测结果统计见下表。由结果</w:t>
      </w:r>
      <w:r>
        <w:rPr>
          <w:color w:val="auto"/>
        </w:rPr>
        <w:t>可知，SO</w:t>
      </w:r>
      <w:r>
        <w:rPr>
          <w:color w:val="auto"/>
          <w:vertAlign w:val="subscript"/>
        </w:rPr>
        <w:t>2</w:t>
      </w:r>
      <w:r>
        <w:rPr>
          <w:color w:val="auto"/>
        </w:rPr>
        <w:t>、NO</w:t>
      </w:r>
      <w:r>
        <w:rPr>
          <w:color w:val="auto"/>
          <w:vertAlign w:val="subscript"/>
        </w:rPr>
        <w:t>2</w:t>
      </w:r>
      <w:r>
        <w:rPr>
          <w:color w:val="auto"/>
        </w:rPr>
        <w:t>年平均及24小时平均第98百分位数浓度</w:t>
      </w:r>
      <w:r>
        <w:rPr>
          <w:rFonts w:hint="eastAsia"/>
          <w:color w:val="auto"/>
        </w:rPr>
        <w:t>，</w:t>
      </w:r>
      <w:r>
        <w:rPr>
          <w:color w:val="auto"/>
        </w:rPr>
        <w:t>PM</w:t>
      </w:r>
      <w:r>
        <w:rPr>
          <w:color w:val="auto"/>
          <w:vertAlign w:val="subscript"/>
        </w:rPr>
        <w:t>2.5</w:t>
      </w:r>
      <w:r>
        <w:rPr>
          <w:rFonts w:hint="eastAsia"/>
          <w:color w:val="auto"/>
        </w:rPr>
        <w:t>及</w:t>
      </w:r>
      <w:r>
        <w:rPr>
          <w:color w:val="auto"/>
        </w:rPr>
        <w:t>PM</w:t>
      </w:r>
      <w:r>
        <w:rPr>
          <w:color w:val="auto"/>
          <w:vertAlign w:val="subscript"/>
        </w:rPr>
        <w:t>10</w:t>
      </w:r>
      <w:r>
        <w:rPr>
          <w:color w:val="auto"/>
        </w:rPr>
        <w:t>年平均及24小时平均第95百分位数浓度</w:t>
      </w:r>
      <w:r>
        <w:rPr>
          <w:rFonts w:hint="eastAsia"/>
          <w:color w:val="auto"/>
        </w:rPr>
        <w:t>，</w:t>
      </w:r>
      <w:r>
        <w:rPr>
          <w:color w:val="auto"/>
        </w:rPr>
        <w:t>CO的24小时平均第95百分位数、O</w:t>
      </w:r>
      <w:r>
        <w:rPr>
          <w:color w:val="auto"/>
          <w:vertAlign w:val="subscript"/>
        </w:rPr>
        <w:t>3</w:t>
      </w:r>
      <w:r>
        <w:rPr>
          <w:color w:val="auto"/>
        </w:rPr>
        <w:t>日最大8小时平均第90百分位数浓度均达到《环境空气质量标准》（GB3095-2012）</w:t>
      </w:r>
      <w:r>
        <w:rPr>
          <w:rFonts w:hint="eastAsia"/>
          <w:color w:val="auto"/>
        </w:rPr>
        <w:t>及其修改单</w:t>
      </w:r>
      <w:r>
        <w:rPr>
          <w:color w:val="auto"/>
        </w:rPr>
        <w:t>二级标准要求</w:t>
      </w:r>
      <w:r>
        <w:rPr>
          <w:rFonts w:hint="eastAsia"/>
          <w:color w:val="auto"/>
        </w:rPr>
        <w:t>。</w:t>
      </w:r>
    </w:p>
    <w:p w14:paraId="40FC291F">
      <w:pPr>
        <w:pStyle w:val="7"/>
        <w:rPr>
          <w:color w:val="auto"/>
        </w:rPr>
      </w:pPr>
      <w:bookmarkStart w:id="315" w:name="_Ref196924817"/>
      <w:r>
        <w:rPr>
          <w:rFonts w:hint="eastAsia"/>
          <w:color w:val="auto"/>
        </w:rPr>
        <w:t>基本污染物环境质量现状统计表</w:t>
      </w:r>
      <w:bookmarkEnd w:id="315"/>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12"/>
        <w:gridCol w:w="701"/>
        <w:gridCol w:w="699"/>
        <w:gridCol w:w="529"/>
        <w:gridCol w:w="2364"/>
        <w:gridCol w:w="887"/>
        <w:gridCol w:w="1141"/>
        <w:gridCol w:w="1143"/>
        <w:gridCol w:w="850"/>
      </w:tblGrid>
      <w:tr w14:paraId="59A72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46" w:hRule="atLeast"/>
          <w:tblHeader/>
        </w:trPr>
        <w:tc>
          <w:tcPr>
            <w:tcW w:w="445" w:type="pct"/>
            <w:tcBorders>
              <w:top w:val="single" w:color="auto" w:sz="4" w:space="0"/>
              <w:left w:val="single" w:color="auto" w:sz="4" w:space="0"/>
              <w:bottom w:val="single" w:color="auto" w:sz="4" w:space="0"/>
              <w:right w:val="single" w:color="auto" w:sz="4" w:space="0"/>
            </w:tcBorders>
            <w:vAlign w:val="center"/>
          </w:tcPr>
          <w:p w14:paraId="24C267A0">
            <w:pPr>
              <w:pStyle w:val="33"/>
              <w:rPr>
                <w:color w:val="auto"/>
              </w:rPr>
            </w:pPr>
            <w:r>
              <w:rPr>
                <w:color w:val="auto"/>
              </w:rPr>
              <w:t>污染物</w:t>
            </w:r>
          </w:p>
        </w:tc>
        <w:tc>
          <w:tcPr>
            <w:tcW w:w="384" w:type="pct"/>
            <w:tcBorders>
              <w:top w:val="single" w:color="auto" w:sz="4" w:space="0"/>
              <w:left w:val="single" w:color="auto" w:sz="4" w:space="0"/>
              <w:bottom w:val="single" w:color="auto" w:sz="4" w:space="0"/>
              <w:right w:val="single" w:color="auto" w:sz="4" w:space="0"/>
            </w:tcBorders>
            <w:vAlign w:val="center"/>
          </w:tcPr>
          <w:p w14:paraId="26AFC827">
            <w:pPr>
              <w:pStyle w:val="33"/>
              <w:rPr>
                <w:color w:val="auto"/>
              </w:rPr>
            </w:pPr>
            <w:r>
              <w:rPr>
                <w:rFonts w:hint="eastAsia"/>
                <w:color w:val="auto"/>
              </w:rPr>
              <w:t>单位</w:t>
            </w:r>
          </w:p>
        </w:tc>
        <w:tc>
          <w:tcPr>
            <w:tcW w:w="383" w:type="pct"/>
            <w:tcBorders>
              <w:top w:val="single" w:color="auto" w:sz="4" w:space="0"/>
              <w:left w:val="single" w:color="auto" w:sz="4" w:space="0"/>
              <w:bottom w:val="single" w:color="auto" w:sz="4" w:space="0"/>
              <w:right w:val="single" w:color="auto" w:sz="4" w:space="0"/>
            </w:tcBorders>
            <w:vAlign w:val="center"/>
          </w:tcPr>
          <w:p w14:paraId="409E39A3">
            <w:pPr>
              <w:pStyle w:val="33"/>
              <w:rPr>
                <w:color w:val="auto"/>
              </w:rPr>
            </w:pPr>
            <w:r>
              <w:rPr>
                <w:color w:val="auto"/>
              </w:rPr>
              <w:t>年平均浓度</w:t>
            </w:r>
          </w:p>
        </w:tc>
        <w:tc>
          <w:tcPr>
            <w:tcW w:w="290" w:type="pct"/>
            <w:vAlign w:val="center"/>
          </w:tcPr>
          <w:p w14:paraId="4ED13B5E">
            <w:pPr>
              <w:pStyle w:val="33"/>
              <w:rPr>
                <w:color w:val="auto"/>
              </w:rPr>
            </w:pPr>
            <w:r>
              <w:rPr>
                <w:rFonts w:hint="eastAsia"/>
                <w:color w:val="auto"/>
              </w:rPr>
              <w:t>超标倍数</w:t>
            </w:r>
          </w:p>
        </w:tc>
        <w:tc>
          <w:tcPr>
            <w:tcW w:w="1295" w:type="pct"/>
            <w:vAlign w:val="center"/>
          </w:tcPr>
          <w:p w14:paraId="5CBBAE5F">
            <w:pPr>
              <w:pStyle w:val="33"/>
              <w:rPr>
                <w:color w:val="auto"/>
              </w:rPr>
            </w:pPr>
            <w:r>
              <w:rPr>
                <w:rFonts w:hint="eastAsia"/>
                <w:color w:val="auto"/>
              </w:rPr>
              <w:t>特定百分位浓度</w:t>
            </w:r>
            <w:r>
              <w:rPr>
                <w:color w:val="auto"/>
              </w:rPr>
              <w:t>评价指标</w:t>
            </w:r>
          </w:p>
        </w:tc>
        <w:tc>
          <w:tcPr>
            <w:tcW w:w="486" w:type="pct"/>
            <w:vAlign w:val="center"/>
          </w:tcPr>
          <w:p w14:paraId="3495F660">
            <w:pPr>
              <w:pStyle w:val="33"/>
              <w:rPr>
                <w:color w:val="auto"/>
              </w:rPr>
            </w:pPr>
            <w:r>
              <w:rPr>
                <w:rFonts w:hint="eastAsia"/>
                <w:color w:val="auto"/>
              </w:rPr>
              <w:t>特定百分位浓度</w:t>
            </w:r>
          </w:p>
        </w:tc>
        <w:tc>
          <w:tcPr>
            <w:tcW w:w="625" w:type="pct"/>
            <w:vAlign w:val="center"/>
          </w:tcPr>
          <w:p w14:paraId="7C63ED6E">
            <w:pPr>
              <w:pStyle w:val="33"/>
              <w:rPr>
                <w:color w:val="auto"/>
              </w:rPr>
            </w:pPr>
            <w:r>
              <w:rPr>
                <w:rFonts w:hint="eastAsia"/>
                <w:color w:val="auto"/>
              </w:rPr>
              <w:t>超标倍数</w:t>
            </w:r>
          </w:p>
        </w:tc>
        <w:tc>
          <w:tcPr>
            <w:tcW w:w="626" w:type="pct"/>
            <w:tcBorders>
              <w:top w:val="single" w:color="auto" w:sz="4" w:space="0"/>
              <w:left w:val="single" w:color="auto" w:sz="4" w:space="0"/>
              <w:bottom w:val="single" w:color="auto" w:sz="4" w:space="0"/>
              <w:right w:val="single" w:color="auto" w:sz="4" w:space="0"/>
            </w:tcBorders>
            <w:vAlign w:val="center"/>
          </w:tcPr>
          <w:p w14:paraId="11160845">
            <w:pPr>
              <w:pStyle w:val="33"/>
              <w:rPr>
                <w:color w:val="auto"/>
              </w:rPr>
            </w:pPr>
            <w:r>
              <w:rPr>
                <w:rFonts w:hint="eastAsia"/>
                <w:color w:val="auto"/>
              </w:rPr>
              <w:t>日均值达标率</w:t>
            </w:r>
          </w:p>
        </w:tc>
        <w:tc>
          <w:tcPr>
            <w:tcW w:w="465" w:type="pct"/>
            <w:tcBorders>
              <w:top w:val="single" w:color="auto" w:sz="4" w:space="0"/>
              <w:left w:val="single" w:color="auto" w:sz="4" w:space="0"/>
              <w:bottom w:val="single" w:color="auto" w:sz="4" w:space="0"/>
              <w:right w:val="single" w:color="auto" w:sz="4" w:space="0"/>
            </w:tcBorders>
            <w:vAlign w:val="center"/>
          </w:tcPr>
          <w:p w14:paraId="0675360C">
            <w:pPr>
              <w:pStyle w:val="33"/>
              <w:rPr>
                <w:color w:val="auto"/>
              </w:rPr>
            </w:pPr>
            <w:r>
              <w:rPr>
                <w:color w:val="auto"/>
              </w:rPr>
              <w:t>达标情况</w:t>
            </w:r>
          </w:p>
        </w:tc>
      </w:tr>
      <w:tr w14:paraId="2B46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top w:val="single" w:color="auto" w:sz="4" w:space="0"/>
              <w:left w:val="single" w:color="auto" w:sz="4" w:space="0"/>
              <w:right w:val="single" w:color="auto" w:sz="4" w:space="0"/>
            </w:tcBorders>
            <w:vAlign w:val="center"/>
          </w:tcPr>
          <w:p w14:paraId="0FD4C078">
            <w:pPr>
              <w:pStyle w:val="33"/>
              <w:rPr>
                <w:color w:val="auto"/>
              </w:rPr>
            </w:pPr>
            <w:r>
              <w:rPr>
                <w:color w:val="auto"/>
              </w:rPr>
              <w:t>SO</w:t>
            </w:r>
            <w:r>
              <w:rPr>
                <w:color w:val="auto"/>
                <w:vertAlign w:val="subscript"/>
              </w:rPr>
              <w:t>2</w:t>
            </w:r>
          </w:p>
        </w:tc>
        <w:tc>
          <w:tcPr>
            <w:tcW w:w="384" w:type="pct"/>
            <w:tcBorders>
              <w:top w:val="single" w:color="auto" w:sz="4" w:space="0"/>
              <w:left w:val="single" w:color="auto" w:sz="4" w:space="0"/>
              <w:bottom w:val="single" w:color="auto" w:sz="4" w:space="0"/>
              <w:right w:val="single" w:color="auto" w:sz="4" w:space="0"/>
            </w:tcBorders>
            <w:vAlign w:val="center"/>
          </w:tcPr>
          <w:p w14:paraId="42811CA5">
            <w:pPr>
              <w:pStyle w:val="33"/>
              <w:rPr>
                <w:color w:val="auto"/>
              </w:rPr>
            </w:pPr>
            <w:r>
              <w:rPr>
                <w:color w:val="auto"/>
              </w:rPr>
              <w:t>μg/m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6E34AC99">
            <w:pPr>
              <w:pStyle w:val="33"/>
              <w:rPr>
                <w:color w:val="auto"/>
              </w:rPr>
            </w:pPr>
            <w:r>
              <w:rPr>
                <w:rFonts w:hint="eastAsia"/>
                <w:color w:val="auto"/>
              </w:rPr>
              <w:t>8.8</w:t>
            </w:r>
          </w:p>
        </w:tc>
        <w:tc>
          <w:tcPr>
            <w:tcW w:w="290" w:type="pct"/>
            <w:vAlign w:val="center"/>
          </w:tcPr>
          <w:p w14:paraId="0958A714">
            <w:pPr>
              <w:pStyle w:val="33"/>
              <w:rPr>
                <w:color w:val="auto"/>
              </w:rPr>
            </w:pPr>
            <w:r>
              <w:rPr>
                <w:rFonts w:hint="eastAsia"/>
                <w:color w:val="auto"/>
              </w:rPr>
              <w:t>0</w:t>
            </w:r>
          </w:p>
        </w:tc>
        <w:tc>
          <w:tcPr>
            <w:tcW w:w="1295" w:type="pct"/>
            <w:vAlign w:val="center"/>
          </w:tcPr>
          <w:p w14:paraId="29D63870">
            <w:pPr>
              <w:pStyle w:val="33"/>
              <w:rPr>
                <w:color w:val="auto"/>
              </w:rPr>
            </w:pPr>
            <w:r>
              <w:rPr>
                <w:rFonts w:hint="eastAsia"/>
                <w:color w:val="auto"/>
              </w:rPr>
              <w:t>日</w:t>
            </w:r>
            <w:r>
              <w:rPr>
                <w:color w:val="auto"/>
              </w:rPr>
              <w:t>平均第98位百分位数</w:t>
            </w:r>
          </w:p>
        </w:tc>
        <w:tc>
          <w:tcPr>
            <w:tcW w:w="486" w:type="pct"/>
            <w:vAlign w:val="center"/>
          </w:tcPr>
          <w:p w14:paraId="7AD6D817">
            <w:pPr>
              <w:pStyle w:val="33"/>
              <w:rPr>
                <w:color w:val="auto"/>
              </w:rPr>
            </w:pPr>
            <w:r>
              <w:rPr>
                <w:rFonts w:hint="eastAsia"/>
                <w:color w:val="auto"/>
              </w:rPr>
              <w:t>15</w:t>
            </w:r>
          </w:p>
        </w:tc>
        <w:tc>
          <w:tcPr>
            <w:tcW w:w="625" w:type="pct"/>
            <w:vAlign w:val="center"/>
          </w:tcPr>
          <w:p w14:paraId="15A25BCE">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75CE4E6F">
            <w:pPr>
              <w:pStyle w:val="33"/>
              <w:rPr>
                <w:color w:val="auto"/>
              </w:rPr>
            </w:pPr>
            <w:r>
              <w:rPr>
                <w:rFonts w:hint="eastAsia"/>
                <w:color w:val="auto"/>
              </w:rPr>
              <w:t>100%</w:t>
            </w:r>
          </w:p>
        </w:tc>
        <w:tc>
          <w:tcPr>
            <w:tcW w:w="465" w:type="pct"/>
            <w:tcBorders>
              <w:top w:val="single" w:color="auto" w:sz="4" w:space="0"/>
              <w:left w:val="single" w:color="auto" w:sz="4" w:space="0"/>
              <w:bottom w:val="single" w:color="auto" w:sz="4" w:space="0"/>
              <w:right w:val="single" w:color="auto" w:sz="4" w:space="0"/>
            </w:tcBorders>
            <w:vAlign w:val="center"/>
          </w:tcPr>
          <w:p w14:paraId="5896C66A">
            <w:pPr>
              <w:pStyle w:val="33"/>
              <w:rPr>
                <w:color w:val="auto"/>
              </w:rPr>
            </w:pPr>
            <w:r>
              <w:rPr>
                <w:color w:val="auto"/>
              </w:rPr>
              <w:t>达标</w:t>
            </w:r>
          </w:p>
        </w:tc>
      </w:tr>
      <w:tr w14:paraId="01398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top w:val="single" w:color="auto" w:sz="4" w:space="0"/>
              <w:left w:val="single" w:color="auto" w:sz="4" w:space="0"/>
              <w:right w:val="single" w:color="auto" w:sz="4" w:space="0"/>
            </w:tcBorders>
            <w:vAlign w:val="center"/>
          </w:tcPr>
          <w:p w14:paraId="4F211661">
            <w:pPr>
              <w:pStyle w:val="33"/>
              <w:rPr>
                <w:color w:val="auto"/>
              </w:rPr>
            </w:pPr>
            <w:r>
              <w:rPr>
                <w:color w:val="auto"/>
              </w:rPr>
              <w:t>NO</w:t>
            </w:r>
            <w:r>
              <w:rPr>
                <w:color w:val="auto"/>
                <w:vertAlign w:val="subscript"/>
              </w:rPr>
              <w:t>2</w:t>
            </w:r>
          </w:p>
        </w:tc>
        <w:tc>
          <w:tcPr>
            <w:tcW w:w="384" w:type="pct"/>
            <w:tcBorders>
              <w:top w:val="single" w:color="auto" w:sz="4" w:space="0"/>
              <w:left w:val="single" w:color="auto" w:sz="4" w:space="0"/>
              <w:bottom w:val="single" w:color="auto" w:sz="4" w:space="0"/>
              <w:right w:val="single" w:color="auto" w:sz="4" w:space="0"/>
            </w:tcBorders>
            <w:vAlign w:val="center"/>
          </w:tcPr>
          <w:p w14:paraId="7CB67064">
            <w:pPr>
              <w:pStyle w:val="33"/>
              <w:rPr>
                <w:color w:val="auto"/>
              </w:rPr>
            </w:pPr>
            <w:r>
              <w:rPr>
                <w:color w:val="auto"/>
              </w:rPr>
              <w:t>μg/m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7E02ADA7">
            <w:pPr>
              <w:pStyle w:val="33"/>
              <w:rPr>
                <w:color w:val="auto"/>
              </w:rPr>
            </w:pPr>
            <w:r>
              <w:rPr>
                <w:rFonts w:hint="eastAsia"/>
                <w:color w:val="auto"/>
              </w:rPr>
              <w:t>21.8</w:t>
            </w:r>
          </w:p>
        </w:tc>
        <w:tc>
          <w:tcPr>
            <w:tcW w:w="290" w:type="pct"/>
            <w:vAlign w:val="center"/>
          </w:tcPr>
          <w:p w14:paraId="7F7BC6DA">
            <w:pPr>
              <w:pStyle w:val="33"/>
              <w:rPr>
                <w:color w:val="auto"/>
              </w:rPr>
            </w:pPr>
            <w:r>
              <w:rPr>
                <w:rFonts w:hint="eastAsia"/>
                <w:color w:val="auto"/>
              </w:rPr>
              <w:t>0</w:t>
            </w:r>
          </w:p>
        </w:tc>
        <w:tc>
          <w:tcPr>
            <w:tcW w:w="1295" w:type="pct"/>
            <w:vAlign w:val="center"/>
          </w:tcPr>
          <w:p w14:paraId="0AC8A6CD">
            <w:pPr>
              <w:pStyle w:val="33"/>
              <w:rPr>
                <w:color w:val="auto"/>
              </w:rPr>
            </w:pPr>
            <w:r>
              <w:rPr>
                <w:rFonts w:hint="eastAsia"/>
                <w:color w:val="auto"/>
              </w:rPr>
              <w:t>日</w:t>
            </w:r>
            <w:r>
              <w:rPr>
                <w:color w:val="auto"/>
              </w:rPr>
              <w:t>平均第98位百分位数</w:t>
            </w:r>
          </w:p>
        </w:tc>
        <w:tc>
          <w:tcPr>
            <w:tcW w:w="486" w:type="pct"/>
            <w:vAlign w:val="center"/>
          </w:tcPr>
          <w:p w14:paraId="6DEA47D4">
            <w:pPr>
              <w:pStyle w:val="33"/>
              <w:rPr>
                <w:color w:val="auto"/>
              </w:rPr>
            </w:pPr>
            <w:r>
              <w:rPr>
                <w:rFonts w:hint="eastAsia"/>
                <w:color w:val="auto"/>
              </w:rPr>
              <w:t>45.0</w:t>
            </w:r>
          </w:p>
        </w:tc>
        <w:tc>
          <w:tcPr>
            <w:tcW w:w="625" w:type="pct"/>
            <w:vAlign w:val="center"/>
          </w:tcPr>
          <w:p w14:paraId="5DC4EE4F">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47CCCD4A">
            <w:pPr>
              <w:pStyle w:val="33"/>
              <w:rPr>
                <w:color w:val="auto"/>
              </w:rPr>
            </w:pPr>
            <w:r>
              <w:rPr>
                <w:rFonts w:hint="eastAsia"/>
                <w:color w:val="auto"/>
              </w:rPr>
              <w:t>100%</w:t>
            </w:r>
          </w:p>
        </w:tc>
        <w:tc>
          <w:tcPr>
            <w:tcW w:w="465" w:type="pct"/>
            <w:tcBorders>
              <w:top w:val="single" w:color="auto" w:sz="4" w:space="0"/>
              <w:left w:val="single" w:color="auto" w:sz="4" w:space="0"/>
              <w:bottom w:val="single" w:color="auto" w:sz="4" w:space="0"/>
              <w:right w:val="single" w:color="auto" w:sz="4" w:space="0"/>
            </w:tcBorders>
            <w:vAlign w:val="center"/>
          </w:tcPr>
          <w:p w14:paraId="052540F4">
            <w:pPr>
              <w:pStyle w:val="33"/>
              <w:rPr>
                <w:color w:val="auto"/>
              </w:rPr>
            </w:pPr>
            <w:r>
              <w:rPr>
                <w:color w:val="auto"/>
              </w:rPr>
              <w:t>达标</w:t>
            </w:r>
          </w:p>
        </w:tc>
      </w:tr>
      <w:tr w14:paraId="30665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left w:val="single" w:color="auto" w:sz="4" w:space="0"/>
              <w:right w:val="single" w:color="auto" w:sz="4" w:space="0"/>
            </w:tcBorders>
            <w:vAlign w:val="center"/>
          </w:tcPr>
          <w:p w14:paraId="5C6AB15F">
            <w:pPr>
              <w:pStyle w:val="33"/>
              <w:rPr>
                <w:color w:val="auto"/>
              </w:rPr>
            </w:pPr>
            <w:r>
              <w:rPr>
                <w:color w:val="auto"/>
              </w:rPr>
              <w:t>PM</w:t>
            </w:r>
            <w:r>
              <w:rPr>
                <w:color w:val="auto"/>
                <w:vertAlign w:val="subscript"/>
              </w:rPr>
              <w:t>10</w:t>
            </w:r>
          </w:p>
        </w:tc>
        <w:tc>
          <w:tcPr>
            <w:tcW w:w="384" w:type="pct"/>
            <w:tcBorders>
              <w:top w:val="single" w:color="auto" w:sz="4" w:space="0"/>
              <w:left w:val="single" w:color="auto" w:sz="4" w:space="0"/>
              <w:bottom w:val="single" w:color="auto" w:sz="4" w:space="0"/>
              <w:right w:val="single" w:color="auto" w:sz="4" w:space="0"/>
            </w:tcBorders>
            <w:vAlign w:val="center"/>
          </w:tcPr>
          <w:p w14:paraId="61502FB2">
            <w:pPr>
              <w:pStyle w:val="33"/>
              <w:rPr>
                <w:color w:val="auto"/>
              </w:rPr>
            </w:pPr>
            <w:r>
              <w:rPr>
                <w:color w:val="auto"/>
              </w:rPr>
              <w:t>μg/m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5C42A929">
            <w:pPr>
              <w:pStyle w:val="33"/>
              <w:rPr>
                <w:color w:val="auto"/>
              </w:rPr>
            </w:pPr>
            <w:r>
              <w:rPr>
                <w:rFonts w:hint="eastAsia"/>
                <w:color w:val="auto"/>
              </w:rPr>
              <w:t>55.3</w:t>
            </w:r>
          </w:p>
        </w:tc>
        <w:tc>
          <w:tcPr>
            <w:tcW w:w="290" w:type="pct"/>
            <w:vAlign w:val="center"/>
          </w:tcPr>
          <w:p w14:paraId="53843475">
            <w:pPr>
              <w:pStyle w:val="33"/>
              <w:rPr>
                <w:color w:val="auto"/>
              </w:rPr>
            </w:pPr>
            <w:r>
              <w:rPr>
                <w:rFonts w:hint="eastAsia"/>
                <w:color w:val="auto"/>
              </w:rPr>
              <w:t>0</w:t>
            </w:r>
          </w:p>
        </w:tc>
        <w:tc>
          <w:tcPr>
            <w:tcW w:w="1295" w:type="pct"/>
            <w:vAlign w:val="center"/>
          </w:tcPr>
          <w:p w14:paraId="6ABB4C17">
            <w:pPr>
              <w:pStyle w:val="33"/>
              <w:rPr>
                <w:color w:val="auto"/>
              </w:rPr>
            </w:pPr>
            <w:r>
              <w:rPr>
                <w:rFonts w:hint="eastAsia"/>
                <w:color w:val="auto"/>
              </w:rPr>
              <w:t>日</w:t>
            </w:r>
            <w:r>
              <w:rPr>
                <w:color w:val="auto"/>
              </w:rPr>
              <w:t>平均第95位百分位数</w:t>
            </w:r>
          </w:p>
        </w:tc>
        <w:tc>
          <w:tcPr>
            <w:tcW w:w="486" w:type="pct"/>
            <w:vAlign w:val="center"/>
          </w:tcPr>
          <w:p w14:paraId="5DD15962">
            <w:pPr>
              <w:pStyle w:val="33"/>
              <w:rPr>
                <w:color w:val="auto"/>
              </w:rPr>
            </w:pPr>
            <w:r>
              <w:rPr>
                <w:rFonts w:hint="eastAsia"/>
                <w:color w:val="auto"/>
              </w:rPr>
              <w:t>101.8</w:t>
            </w:r>
          </w:p>
        </w:tc>
        <w:tc>
          <w:tcPr>
            <w:tcW w:w="625" w:type="pct"/>
            <w:vAlign w:val="center"/>
          </w:tcPr>
          <w:p w14:paraId="2763436E">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04608083">
            <w:pPr>
              <w:pStyle w:val="33"/>
              <w:rPr>
                <w:color w:val="auto"/>
              </w:rPr>
            </w:pPr>
            <w:r>
              <w:rPr>
                <w:rFonts w:hint="eastAsia"/>
                <w:color w:val="auto"/>
              </w:rPr>
              <w:t>100%</w:t>
            </w:r>
          </w:p>
        </w:tc>
        <w:tc>
          <w:tcPr>
            <w:tcW w:w="465" w:type="pct"/>
            <w:tcBorders>
              <w:top w:val="single" w:color="auto" w:sz="4" w:space="0"/>
              <w:left w:val="single" w:color="auto" w:sz="4" w:space="0"/>
              <w:bottom w:val="single" w:color="auto" w:sz="4" w:space="0"/>
              <w:right w:val="single" w:color="auto" w:sz="4" w:space="0"/>
            </w:tcBorders>
            <w:vAlign w:val="center"/>
          </w:tcPr>
          <w:p w14:paraId="6E077D7F">
            <w:pPr>
              <w:pStyle w:val="33"/>
              <w:rPr>
                <w:color w:val="auto"/>
              </w:rPr>
            </w:pPr>
            <w:r>
              <w:rPr>
                <w:color w:val="auto"/>
              </w:rPr>
              <w:t>达标</w:t>
            </w:r>
          </w:p>
        </w:tc>
      </w:tr>
      <w:tr w14:paraId="7A5F7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left w:val="single" w:color="auto" w:sz="4" w:space="0"/>
              <w:right w:val="single" w:color="auto" w:sz="4" w:space="0"/>
            </w:tcBorders>
            <w:vAlign w:val="center"/>
          </w:tcPr>
          <w:p w14:paraId="1AFE1D66">
            <w:pPr>
              <w:pStyle w:val="33"/>
              <w:rPr>
                <w:color w:val="auto"/>
              </w:rPr>
            </w:pPr>
            <w:r>
              <w:rPr>
                <w:color w:val="auto"/>
              </w:rPr>
              <w:t>PM</w:t>
            </w:r>
            <w:r>
              <w:rPr>
                <w:color w:val="auto"/>
                <w:vertAlign w:val="subscript"/>
              </w:rPr>
              <w:t>2.5</w:t>
            </w:r>
          </w:p>
        </w:tc>
        <w:tc>
          <w:tcPr>
            <w:tcW w:w="384" w:type="pct"/>
            <w:tcBorders>
              <w:top w:val="single" w:color="auto" w:sz="4" w:space="0"/>
              <w:left w:val="single" w:color="auto" w:sz="4" w:space="0"/>
              <w:bottom w:val="single" w:color="auto" w:sz="4" w:space="0"/>
              <w:right w:val="single" w:color="auto" w:sz="4" w:space="0"/>
            </w:tcBorders>
            <w:vAlign w:val="center"/>
          </w:tcPr>
          <w:p w14:paraId="0E6D43E1">
            <w:pPr>
              <w:pStyle w:val="33"/>
              <w:rPr>
                <w:color w:val="auto"/>
              </w:rPr>
            </w:pPr>
            <w:r>
              <w:rPr>
                <w:color w:val="auto"/>
              </w:rPr>
              <w:t>μg/m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10D1CB6F">
            <w:pPr>
              <w:pStyle w:val="33"/>
              <w:rPr>
                <w:color w:val="auto"/>
              </w:rPr>
            </w:pPr>
            <w:r>
              <w:rPr>
                <w:rFonts w:hint="eastAsia"/>
                <w:color w:val="auto"/>
              </w:rPr>
              <w:t>24.1</w:t>
            </w:r>
          </w:p>
        </w:tc>
        <w:tc>
          <w:tcPr>
            <w:tcW w:w="290" w:type="pct"/>
            <w:vAlign w:val="center"/>
          </w:tcPr>
          <w:p w14:paraId="1DD6FAE6">
            <w:pPr>
              <w:pStyle w:val="33"/>
              <w:rPr>
                <w:color w:val="auto"/>
              </w:rPr>
            </w:pPr>
            <w:r>
              <w:rPr>
                <w:rFonts w:hint="eastAsia"/>
                <w:color w:val="auto"/>
              </w:rPr>
              <w:t>0</w:t>
            </w:r>
          </w:p>
        </w:tc>
        <w:tc>
          <w:tcPr>
            <w:tcW w:w="1295" w:type="pct"/>
            <w:vAlign w:val="center"/>
          </w:tcPr>
          <w:p w14:paraId="5418CC94">
            <w:pPr>
              <w:pStyle w:val="33"/>
              <w:rPr>
                <w:color w:val="auto"/>
              </w:rPr>
            </w:pPr>
            <w:r>
              <w:rPr>
                <w:rFonts w:hint="eastAsia"/>
                <w:color w:val="auto"/>
              </w:rPr>
              <w:t>日</w:t>
            </w:r>
            <w:r>
              <w:rPr>
                <w:color w:val="auto"/>
              </w:rPr>
              <w:t>平均第95位百分位数</w:t>
            </w:r>
          </w:p>
        </w:tc>
        <w:tc>
          <w:tcPr>
            <w:tcW w:w="486" w:type="pct"/>
            <w:vAlign w:val="center"/>
          </w:tcPr>
          <w:p w14:paraId="60559B36">
            <w:pPr>
              <w:pStyle w:val="33"/>
              <w:rPr>
                <w:color w:val="auto"/>
              </w:rPr>
            </w:pPr>
            <w:r>
              <w:rPr>
                <w:rFonts w:hint="eastAsia"/>
                <w:color w:val="auto"/>
              </w:rPr>
              <w:t>53.8</w:t>
            </w:r>
          </w:p>
        </w:tc>
        <w:tc>
          <w:tcPr>
            <w:tcW w:w="625" w:type="pct"/>
            <w:vAlign w:val="center"/>
          </w:tcPr>
          <w:p w14:paraId="06EC4AE4">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5B7619BE">
            <w:pPr>
              <w:pStyle w:val="33"/>
              <w:rPr>
                <w:color w:val="auto"/>
              </w:rPr>
            </w:pPr>
            <w:r>
              <w:rPr>
                <w:rFonts w:hint="eastAsia"/>
                <w:color w:val="auto"/>
              </w:rPr>
              <w:t>98.9%</w:t>
            </w:r>
          </w:p>
        </w:tc>
        <w:tc>
          <w:tcPr>
            <w:tcW w:w="465" w:type="pct"/>
            <w:tcBorders>
              <w:top w:val="single" w:color="auto" w:sz="4" w:space="0"/>
              <w:left w:val="single" w:color="auto" w:sz="4" w:space="0"/>
              <w:bottom w:val="single" w:color="auto" w:sz="4" w:space="0"/>
              <w:right w:val="single" w:color="auto" w:sz="4" w:space="0"/>
            </w:tcBorders>
            <w:vAlign w:val="center"/>
          </w:tcPr>
          <w:p w14:paraId="4700879D">
            <w:pPr>
              <w:pStyle w:val="33"/>
              <w:rPr>
                <w:color w:val="auto"/>
              </w:rPr>
            </w:pPr>
            <w:r>
              <w:rPr>
                <w:color w:val="auto"/>
              </w:rPr>
              <w:t>达标</w:t>
            </w:r>
          </w:p>
        </w:tc>
      </w:tr>
      <w:tr w14:paraId="2A3C8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vAlign w:val="center"/>
          </w:tcPr>
          <w:p w14:paraId="32E12052">
            <w:pPr>
              <w:pStyle w:val="33"/>
              <w:rPr>
                <w:color w:val="auto"/>
              </w:rPr>
            </w:pPr>
            <w:r>
              <w:rPr>
                <w:color w:val="auto"/>
              </w:rPr>
              <w:t>CO</w:t>
            </w:r>
          </w:p>
        </w:tc>
        <w:tc>
          <w:tcPr>
            <w:tcW w:w="384" w:type="pct"/>
            <w:tcBorders>
              <w:top w:val="single" w:color="auto" w:sz="4" w:space="0"/>
              <w:left w:val="single" w:color="auto" w:sz="4" w:space="0"/>
              <w:bottom w:val="single" w:color="auto" w:sz="4" w:space="0"/>
              <w:right w:val="single" w:color="auto" w:sz="4" w:space="0"/>
            </w:tcBorders>
            <w:vAlign w:val="center"/>
          </w:tcPr>
          <w:p w14:paraId="36F19C9E">
            <w:pPr>
              <w:pStyle w:val="33"/>
              <w:rPr>
                <w:color w:val="auto"/>
              </w:rPr>
            </w:pPr>
            <w:r>
              <w:rPr>
                <w:rFonts w:hint="eastAsia"/>
                <w:color w:val="auto"/>
              </w:rPr>
              <w:t>m</w:t>
            </w:r>
            <w:r>
              <w:rPr>
                <w:color w:val="auto"/>
              </w:rPr>
              <w:t>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6E1222AD">
            <w:pPr>
              <w:pStyle w:val="33"/>
              <w:rPr>
                <w:color w:val="auto"/>
              </w:rPr>
            </w:pPr>
            <w:r>
              <w:rPr>
                <w:rFonts w:hint="eastAsia"/>
                <w:color w:val="auto"/>
              </w:rPr>
              <w:t>/</w:t>
            </w:r>
          </w:p>
        </w:tc>
        <w:tc>
          <w:tcPr>
            <w:tcW w:w="290" w:type="pct"/>
            <w:vAlign w:val="center"/>
          </w:tcPr>
          <w:p w14:paraId="1DD663DB">
            <w:pPr>
              <w:pStyle w:val="33"/>
              <w:rPr>
                <w:color w:val="auto"/>
              </w:rPr>
            </w:pPr>
            <w:r>
              <w:rPr>
                <w:rFonts w:hint="eastAsia"/>
                <w:color w:val="auto"/>
              </w:rPr>
              <w:t>/</w:t>
            </w:r>
          </w:p>
        </w:tc>
        <w:tc>
          <w:tcPr>
            <w:tcW w:w="1295" w:type="pct"/>
            <w:vAlign w:val="center"/>
          </w:tcPr>
          <w:p w14:paraId="0FE0708B">
            <w:pPr>
              <w:pStyle w:val="33"/>
              <w:rPr>
                <w:color w:val="auto"/>
              </w:rPr>
            </w:pPr>
            <w:r>
              <w:rPr>
                <w:rFonts w:hint="eastAsia"/>
                <w:color w:val="auto"/>
              </w:rPr>
              <w:t>日</w:t>
            </w:r>
            <w:r>
              <w:rPr>
                <w:color w:val="auto"/>
              </w:rPr>
              <w:t>平均第95位百分位数</w:t>
            </w:r>
          </w:p>
        </w:tc>
        <w:tc>
          <w:tcPr>
            <w:tcW w:w="486" w:type="pct"/>
            <w:vAlign w:val="center"/>
          </w:tcPr>
          <w:p w14:paraId="13D6D8C7">
            <w:pPr>
              <w:pStyle w:val="33"/>
              <w:rPr>
                <w:color w:val="auto"/>
              </w:rPr>
            </w:pPr>
            <w:r>
              <w:rPr>
                <w:rFonts w:hint="eastAsia"/>
                <w:color w:val="auto"/>
              </w:rPr>
              <w:t>1.1</w:t>
            </w:r>
          </w:p>
        </w:tc>
        <w:tc>
          <w:tcPr>
            <w:tcW w:w="625" w:type="pct"/>
            <w:vAlign w:val="center"/>
          </w:tcPr>
          <w:p w14:paraId="0A41808E">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48C944E0">
            <w:pPr>
              <w:pStyle w:val="33"/>
              <w:rPr>
                <w:color w:val="auto"/>
              </w:rPr>
            </w:pPr>
            <w:r>
              <w:rPr>
                <w:rFonts w:hint="eastAsia"/>
                <w:color w:val="auto"/>
              </w:rPr>
              <w:t>100%</w:t>
            </w:r>
          </w:p>
        </w:tc>
        <w:tc>
          <w:tcPr>
            <w:tcW w:w="465" w:type="pct"/>
            <w:tcBorders>
              <w:top w:val="single" w:color="auto" w:sz="4" w:space="0"/>
              <w:left w:val="single" w:color="auto" w:sz="4" w:space="0"/>
              <w:bottom w:val="single" w:color="auto" w:sz="4" w:space="0"/>
              <w:right w:val="single" w:color="auto" w:sz="4" w:space="0"/>
            </w:tcBorders>
            <w:vAlign w:val="center"/>
          </w:tcPr>
          <w:p w14:paraId="5B10AFFE">
            <w:pPr>
              <w:pStyle w:val="33"/>
              <w:rPr>
                <w:color w:val="auto"/>
              </w:rPr>
            </w:pPr>
            <w:r>
              <w:rPr>
                <w:color w:val="auto"/>
              </w:rPr>
              <w:t>达标</w:t>
            </w:r>
          </w:p>
        </w:tc>
      </w:tr>
      <w:tr w14:paraId="37DE8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5" w:type="pct"/>
            <w:tcBorders>
              <w:top w:val="single" w:color="auto" w:sz="4" w:space="0"/>
              <w:left w:val="single" w:color="auto" w:sz="4" w:space="0"/>
              <w:bottom w:val="single" w:color="auto" w:sz="4" w:space="0"/>
              <w:right w:val="single" w:color="auto" w:sz="4" w:space="0"/>
            </w:tcBorders>
            <w:vAlign w:val="center"/>
          </w:tcPr>
          <w:p w14:paraId="6EC385C1">
            <w:pPr>
              <w:pStyle w:val="33"/>
              <w:rPr>
                <w:color w:val="auto"/>
              </w:rPr>
            </w:pPr>
            <w:r>
              <w:rPr>
                <w:color w:val="auto"/>
              </w:rPr>
              <w:t>O</w:t>
            </w:r>
            <w:r>
              <w:rPr>
                <w:color w:val="auto"/>
                <w:vertAlign w:val="subscript"/>
              </w:rPr>
              <w:t>3</w:t>
            </w:r>
          </w:p>
        </w:tc>
        <w:tc>
          <w:tcPr>
            <w:tcW w:w="384" w:type="pct"/>
            <w:tcBorders>
              <w:top w:val="single" w:color="auto" w:sz="4" w:space="0"/>
              <w:left w:val="single" w:color="auto" w:sz="4" w:space="0"/>
              <w:bottom w:val="single" w:color="auto" w:sz="4" w:space="0"/>
              <w:right w:val="single" w:color="auto" w:sz="4" w:space="0"/>
            </w:tcBorders>
            <w:vAlign w:val="center"/>
          </w:tcPr>
          <w:p w14:paraId="3D01EA54">
            <w:pPr>
              <w:pStyle w:val="33"/>
              <w:rPr>
                <w:color w:val="auto"/>
              </w:rPr>
            </w:pPr>
            <w:r>
              <w:rPr>
                <w:color w:val="auto"/>
              </w:rPr>
              <w:t>μg/m</w:t>
            </w:r>
            <w:r>
              <w:rPr>
                <w:color w:val="auto"/>
                <w:vertAlign w:val="superscript"/>
              </w:rPr>
              <w:t>3</w:t>
            </w:r>
          </w:p>
        </w:tc>
        <w:tc>
          <w:tcPr>
            <w:tcW w:w="383" w:type="pct"/>
            <w:tcBorders>
              <w:top w:val="single" w:color="auto" w:sz="4" w:space="0"/>
              <w:left w:val="single" w:color="auto" w:sz="4" w:space="0"/>
              <w:bottom w:val="single" w:color="auto" w:sz="4" w:space="0"/>
              <w:right w:val="single" w:color="auto" w:sz="4" w:space="0"/>
            </w:tcBorders>
            <w:vAlign w:val="center"/>
          </w:tcPr>
          <w:p w14:paraId="0D877CA0">
            <w:pPr>
              <w:pStyle w:val="33"/>
              <w:rPr>
                <w:color w:val="auto"/>
              </w:rPr>
            </w:pPr>
            <w:r>
              <w:rPr>
                <w:rFonts w:hint="eastAsia"/>
                <w:color w:val="auto"/>
              </w:rPr>
              <w:t>/</w:t>
            </w:r>
          </w:p>
        </w:tc>
        <w:tc>
          <w:tcPr>
            <w:tcW w:w="290" w:type="pct"/>
            <w:vAlign w:val="center"/>
          </w:tcPr>
          <w:p w14:paraId="46AA5B93">
            <w:pPr>
              <w:pStyle w:val="33"/>
              <w:rPr>
                <w:color w:val="auto"/>
              </w:rPr>
            </w:pPr>
            <w:r>
              <w:rPr>
                <w:rFonts w:hint="eastAsia"/>
                <w:color w:val="auto"/>
              </w:rPr>
              <w:t>/</w:t>
            </w:r>
          </w:p>
        </w:tc>
        <w:tc>
          <w:tcPr>
            <w:tcW w:w="1295" w:type="pct"/>
            <w:vAlign w:val="center"/>
          </w:tcPr>
          <w:p w14:paraId="4102AE1E">
            <w:pPr>
              <w:pStyle w:val="33"/>
              <w:rPr>
                <w:color w:val="auto"/>
              </w:rPr>
            </w:pPr>
            <w:r>
              <w:rPr>
                <w:color w:val="auto"/>
              </w:rPr>
              <w:t>日最大8小时平均值的第90百分位数</w:t>
            </w:r>
          </w:p>
        </w:tc>
        <w:tc>
          <w:tcPr>
            <w:tcW w:w="486" w:type="pct"/>
            <w:vAlign w:val="center"/>
          </w:tcPr>
          <w:p w14:paraId="422B4035">
            <w:pPr>
              <w:pStyle w:val="33"/>
              <w:rPr>
                <w:color w:val="auto"/>
              </w:rPr>
            </w:pPr>
            <w:r>
              <w:rPr>
                <w:rFonts w:hint="eastAsia"/>
                <w:color w:val="auto"/>
              </w:rPr>
              <w:t>98</w:t>
            </w:r>
          </w:p>
        </w:tc>
        <w:tc>
          <w:tcPr>
            <w:tcW w:w="625" w:type="pct"/>
            <w:vAlign w:val="center"/>
          </w:tcPr>
          <w:p w14:paraId="75A124A5">
            <w:pPr>
              <w:pStyle w:val="33"/>
              <w:rPr>
                <w:color w:val="auto"/>
              </w:rPr>
            </w:pPr>
            <w:r>
              <w:rPr>
                <w:rFonts w:hint="eastAsia"/>
                <w:color w:val="auto"/>
              </w:rPr>
              <w:t>0</w:t>
            </w:r>
          </w:p>
        </w:tc>
        <w:tc>
          <w:tcPr>
            <w:tcW w:w="626" w:type="pct"/>
            <w:tcBorders>
              <w:top w:val="single" w:color="auto" w:sz="4" w:space="0"/>
              <w:left w:val="single" w:color="auto" w:sz="4" w:space="0"/>
              <w:bottom w:val="single" w:color="auto" w:sz="4" w:space="0"/>
              <w:right w:val="single" w:color="auto" w:sz="4" w:space="0"/>
            </w:tcBorders>
            <w:vAlign w:val="center"/>
          </w:tcPr>
          <w:p w14:paraId="21C4AD04">
            <w:pPr>
              <w:pStyle w:val="33"/>
              <w:rPr>
                <w:color w:val="auto"/>
              </w:rPr>
            </w:pPr>
            <w:r>
              <w:rPr>
                <w:rFonts w:hint="eastAsia"/>
                <w:color w:val="auto"/>
              </w:rPr>
              <w:t>100%</w:t>
            </w:r>
          </w:p>
        </w:tc>
        <w:tc>
          <w:tcPr>
            <w:tcW w:w="465" w:type="pct"/>
            <w:tcBorders>
              <w:top w:val="single" w:color="auto" w:sz="4" w:space="0"/>
              <w:left w:val="single" w:color="auto" w:sz="4" w:space="0"/>
              <w:bottom w:val="single" w:color="auto" w:sz="4" w:space="0"/>
              <w:right w:val="single" w:color="auto" w:sz="4" w:space="0"/>
            </w:tcBorders>
            <w:vAlign w:val="center"/>
          </w:tcPr>
          <w:p w14:paraId="34017B28">
            <w:pPr>
              <w:pStyle w:val="33"/>
              <w:rPr>
                <w:color w:val="auto"/>
              </w:rPr>
            </w:pPr>
            <w:r>
              <w:rPr>
                <w:color w:val="auto"/>
              </w:rPr>
              <w:t>达标</w:t>
            </w:r>
          </w:p>
        </w:tc>
      </w:tr>
    </w:tbl>
    <w:p w14:paraId="6F4F756E">
      <w:pPr>
        <w:pStyle w:val="4"/>
        <w:rPr>
          <w:color w:val="auto"/>
        </w:rPr>
      </w:pPr>
      <w:bookmarkStart w:id="316" w:name="_Toc199190484"/>
      <w:bookmarkStart w:id="317" w:name="_Toc198391245"/>
      <w:bookmarkStart w:id="318" w:name="_Toc199168947"/>
      <w:bookmarkStart w:id="319" w:name="_Toc225216742"/>
      <w:bookmarkStart w:id="320" w:name="_Toc198390592"/>
      <w:r>
        <w:rPr>
          <w:rFonts w:hint="eastAsia"/>
          <w:color w:val="auto"/>
        </w:rPr>
        <w:t>补充污染物环境质量现状评价</w:t>
      </w:r>
      <w:bookmarkEnd w:id="316"/>
      <w:bookmarkEnd w:id="317"/>
      <w:bookmarkEnd w:id="318"/>
      <w:bookmarkEnd w:id="319"/>
      <w:bookmarkEnd w:id="320"/>
    </w:p>
    <w:p w14:paraId="5658F84B">
      <w:pPr>
        <w:pStyle w:val="5"/>
        <w:rPr>
          <w:color w:val="auto"/>
        </w:rPr>
      </w:pPr>
      <w:r>
        <w:rPr>
          <w:rFonts w:hint="eastAsia"/>
          <w:color w:val="auto"/>
        </w:rPr>
        <w:t>监测布点及监测因子</w:t>
      </w:r>
    </w:p>
    <w:p w14:paraId="2E3A2E7D">
      <w:pPr>
        <w:ind w:firstLine="480"/>
        <w:rPr>
          <w:color w:val="auto"/>
        </w:rPr>
      </w:pPr>
      <w:r>
        <w:rPr>
          <w:rFonts w:hint="eastAsia"/>
          <w:color w:val="auto"/>
        </w:rPr>
        <w:t>本项目所在区域年主导风向为北风，根据主导风向及敏感目标情况进行布点，详见下表。</w:t>
      </w:r>
    </w:p>
    <w:p w14:paraId="091631B4">
      <w:pPr>
        <w:pStyle w:val="7"/>
        <w:rPr>
          <w:color w:val="auto"/>
        </w:rPr>
      </w:pPr>
      <w:bookmarkStart w:id="321" w:name="_Ref196924856"/>
      <w:r>
        <w:rPr>
          <w:rFonts w:hint="eastAsia"/>
          <w:color w:val="auto"/>
        </w:rPr>
        <w:t>环境空气质量现状监测布点及监测因子表</w:t>
      </w:r>
      <w:bookmarkEnd w:id="321"/>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
        <w:gridCol w:w="904"/>
        <w:gridCol w:w="1746"/>
        <w:gridCol w:w="1196"/>
        <w:gridCol w:w="852"/>
        <w:gridCol w:w="906"/>
        <w:gridCol w:w="1045"/>
        <w:gridCol w:w="2104"/>
      </w:tblGrid>
      <w:tr w14:paraId="4B0DF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tcBorders>
              <w:top w:val="single" w:color="auto" w:sz="4" w:space="0"/>
              <w:left w:val="single" w:color="auto" w:sz="4" w:space="0"/>
              <w:bottom w:val="single" w:color="auto" w:sz="4" w:space="0"/>
              <w:right w:val="single" w:color="auto" w:sz="4" w:space="0"/>
            </w:tcBorders>
            <w:vAlign w:val="center"/>
          </w:tcPr>
          <w:p w14:paraId="337D7406">
            <w:pPr>
              <w:pStyle w:val="33"/>
              <w:rPr>
                <w:color w:val="auto"/>
              </w:rPr>
            </w:pPr>
            <w:r>
              <w:rPr>
                <w:rFonts w:hint="eastAsia"/>
                <w:color w:val="auto"/>
              </w:rPr>
              <w:t>编号</w:t>
            </w:r>
          </w:p>
        </w:tc>
        <w:tc>
          <w:tcPr>
            <w:tcW w:w="490" w:type="pct"/>
            <w:tcBorders>
              <w:top w:val="single" w:color="auto" w:sz="4" w:space="0"/>
              <w:left w:val="single" w:color="auto" w:sz="4" w:space="0"/>
              <w:bottom w:val="single" w:color="auto" w:sz="4" w:space="0"/>
              <w:right w:val="single" w:color="auto" w:sz="4" w:space="0"/>
            </w:tcBorders>
            <w:vAlign w:val="center"/>
          </w:tcPr>
          <w:p w14:paraId="6ED8D568">
            <w:pPr>
              <w:pStyle w:val="33"/>
              <w:rPr>
                <w:color w:val="auto"/>
              </w:rPr>
            </w:pPr>
            <w:r>
              <w:rPr>
                <w:rFonts w:hint="eastAsia"/>
                <w:color w:val="auto"/>
              </w:rPr>
              <w:t>点位名称</w:t>
            </w:r>
          </w:p>
        </w:tc>
        <w:tc>
          <w:tcPr>
            <w:tcW w:w="918" w:type="pct"/>
            <w:tcBorders>
              <w:top w:val="single" w:color="auto" w:sz="4" w:space="0"/>
              <w:left w:val="single" w:color="auto" w:sz="4" w:space="0"/>
              <w:bottom w:val="single" w:color="auto" w:sz="4" w:space="0"/>
              <w:right w:val="single" w:color="auto" w:sz="4" w:space="0"/>
            </w:tcBorders>
            <w:vAlign w:val="center"/>
          </w:tcPr>
          <w:p w14:paraId="0F7FDEB6">
            <w:pPr>
              <w:pStyle w:val="33"/>
              <w:rPr>
                <w:color w:val="auto"/>
              </w:rPr>
            </w:pPr>
            <w:r>
              <w:rPr>
                <w:rFonts w:hint="eastAsia"/>
                <w:color w:val="auto"/>
              </w:rPr>
              <w:t>监测点坐标</w:t>
            </w:r>
          </w:p>
        </w:tc>
        <w:tc>
          <w:tcPr>
            <w:tcW w:w="647" w:type="pct"/>
            <w:tcBorders>
              <w:top w:val="single" w:color="auto" w:sz="4" w:space="0"/>
              <w:left w:val="single" w:color="auto" w:sz="4" w:space="0"/>
              <w:bottom w:val="single" w:color="auto" w:sz="4" w:space="0"/>
              <w:right w:val="single" w:color="auto" w:sz="4" w:space="0"/>
            </w:tcBorders>
            <w:vAlign w:val="center"/>
          </w:tcPr>
          <w:p w14:paraId="378F9D32">
            <w:pPr>
              <w:pStyle w:val="33"/>
              <w:rPr>
                <w:color w:val="auto"/>
              </w:rPr>
            </w:pPr>
            <w:r>
              <w:rPr>
                <w:rFonts w:hint="eastAsia"/>
                <w:color w:val="auto"/>
              </w:rPr>
              <w:t>相对方位及距离</w:t>
            </w:r>
          </w:p>
        </w:tc>
        <w:tc>
          <w:tcPr>
            <w:tcW w:w="462" w:type="pct"/>
            <w:tcBorders>
              <w:top w:val="single" w:color="auto" w:sz="4" w:space="0"/>
              <w:left w:val="single" w:color="auto" w:sz="4" w:space="0"/>
              <w:bottom w:val="single" w:color="auto" w:sz="4" w:space="0"/>
              <w:right w:val="single" w:color="auto" w:sz="4" w:space="0"/>
            </w:tcBorders>
            <w:vAlign w:val="center"/>
          </w:tcPr>
          <w:p w14:paraId="1B8E6008">
            <w:pPr>
              <w:pStyle w:val="33"/>
              <w:rPr>
                <w:color w:val="auto"/>
              </w:rPr>
            </w:pPr>
            <w:r>
              <w:rPr>
                <w:rFonts w:hint="eastAsia"/>
                <w:color w:val="auto"/>
              </w:rPr>
              <w:t>相对风向</w:t>
            </w:r>
          </w:p>
        </w:tc>
        <w:tc>
          <w:tcPr>
            <w:tcW w:w="491" w:type="pct"/>
            <w:tcBorders>
              <w:top w:val="single" w:color="auto" w:sz="4" w:space="0"/>
              <w:left w:val="single" w:color="auto" w:sz="4" w:space="0"/>
              <w:bottom w:val="single" w:color="auto" w:sz="4" w:space="0"/>
              <w:right w:val="single" w:color="auto" w:sz="4" w:space="0"/>
            </w:tcBorders>
            <w:vAlign w:val="center"/>
          </w:tcPr>
          <w:p w14:paraId="4006D6B7">
            <w:pPr>
              <w:pStyle w:val="33"/>
              <w:rPr>
                <w:color w:val="auto"/>
              </w:rPr>
            </w:pPr>
            <w:r>
              <w:rPr>
                <w:rFonts w:hint="eastAsia"/>
                <w:color w:val="auto"/>
              </w:rPr>
              <w:t>监测时间</w:t>
            </w:r>
          </w:p>
        </w:tc>
        <w:tc>
          <w:tcPr>
            <w:tcW w:w="566" w:type="pct"/>
            <w:tcBorders>
              <w:top w:val="single" w:color="auto" w:sz="4" w:space="0"/>
              <w:left w:val="single" w:color="auto" w:sz="4" w:space="0"/>
              <w:bottom w:val="single" w:color="auto" w:sz="4" w:space="0"/>
              <w:right w:val="single" w:color="auto" w:sz="4" w:space="0"/>
            </w:tcBorders>
            <w:vAlign w:val="center"/>
          </w:tcPr>
          <w:p w14:paraId="61681314">
            <w:pPr>
              <w:pStyle w:val="33"/>
              <w:rPr>
                <w:color w:val="auto"/>
              </w:rPr>
            </w:pPr>
            <w:r>
              <w:rPr>
                <w:rFonts w:hint="eastAsia"/>
                <w:color w:val="auto"/>
              </w:rPr>
              <w:t>监测频次</w:t>
            </w:r>
          </w:p>
        </w:tc>
        <w:tc>
          <w:tcPr>
            <w:tcW w:w="1136" w:type="pct"/>
            <w:tcBorders>
              <w:top w:val="single" w:color="auto" w:sz="4" w:space="0"/>
              <w:left w:val="single" w:color="auto" w:sz="4" w:space="0"/>
              <w:bottom w:val="single" w:color="auto" w:sz="4" w:space="0"/>
              <w:right w:val="single" w:color="auto" w:sz="4" w:space="0"/>
            </w:tcBorders>
            <w:vAlign w:val="center"/>
          </w:tcPr>
          <w:p w14:paraId="70B0D5FB">
            <w:pPr>
              <w:pStyle w:val="33"/>
              <w:rPr>
                <w:color w:val="auto"/>
              </w:rPr>
            </w:pPr>
            <w:r>
              <w:rPr>
                <w:rFonts w:hint="eastAsia"/>
                <w:color w:val="auto"/>
              </w:rPr>
              <w:t>监测因子</w:t>
            </w:r>
          </w:p>
        </w:tc>
      </w:tr>
      <w:tr w14:paraId="5E5EC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vMerge w:val="restart"/>
            <w:tcBorders>
              <w:top w:val="single" w:color="auto" w:sz="4" w:space="0"/>
              <w:left w:val="single" w:color="auto" w:sz="4" w:space="0"/>
              <w:bottom w:val="single" w:color="auto" w:sz="4" w:space="0"/>
              <w:right w:val="single" w:color="auto" w:sz="4" w:space="0"/>
            </w:tcBorders>
            <w:vAlign w:val="center"/>
          </w:tcPr>
          <w:p w14:paraId="71E5194B">
            <w:pPr>
              <w:pStyle w:val="33"/>
              <w:rPr>
                <w:color w:val="auto"/>
              </w:rPr>
            </w:pPr>
            <w:r>
              <w:rPr>
                <w:color w:val="auto"/>
              </w:rPr>
              <w:t>G1</w:t>
            </w:r>
          </w:p>
        </w:tc>
        <w:tc>
          <w:tcPr>
            <w:tcW w:w="490" w:type="pct"/>
            <w:vMerge w:val="restart"/>
            <w:tcBorders>
              <w:top w:val="single" w:color="auto" w:sz="4" w:space="0"/>
              <w:left w:val="single" w:color="auto" w:sz="4" w:space="0"/>
              <w:bottom w:val="single" w:color="auto" w:sz="4" w:space="0"/>
              <w:right w:val="single" w:color="auto" w:sz="4" w:space="0"/>
            </w:tcBorders>
            <w:vAlign w:val="center"/>
          </w:tcPr>
          <w:p w14:paraId="7D084F13">
            <w:pPr>
              <w:pStyle w:val="33"/>
              <w:rPr>
                <w:color w:val="auto"/>
              </w:rPr>
            </w:pPr>
            <w:r>
              <w:rPr>
                <w:rFonts w:hint="eastAsia"/>
                <w:color w:val="auto"/>
              </w:rPr>
              <w:t>上硫磺山村</w:t>
            </w:r>
          </w:p>
        </w:tc>
        <w:tc>
          <w:tcPr>
            <w:tcW w:w="918" w:type="pct"/>
            <w:vMerge w:val="restart"/>
            <w:tcBorders>
              <w:top w:val="single" w:color="auto" w:sz="4" w:space="0"/>
              <w:left w:val="single" w:color="auto" w:sz="4" w:space="0"/>
              <w:right w:val="single" w:color="auto" w:sz="4" w:space="0"/>
            </w:tcBorders>
            <w:vAlign w:val="center"/>
          </w:tcPr>
          <w:p w14:paraId="42CE7D6B">
            <w:pPr>
              <w:pStyle w:val="33"/>
              <w:rPr>
                <w:color w:val="auto"/>
              </w:rPr>
            </w:pPr>
            <w:r>
              <w:rPr>
                <w:rFonts w:cs="Times New Roman"/>
                <w:color w:val="auto"/>
              </w:rPr>
              <w:t>N:</w:t>
            </w:r>
            <w:r>
              <w:rPr>
                <w:rFonts w:cs="Times New Roman"/>
                <w:color w:val="auto"/>
                <w:szCs w:val="21"/>
                <w:shd w:val="clear" w:color="auto" w:fill="FFFFFF"/>
              </w:rPr>
              <w:t>21°42′24.96″；</w:t>
            </w:r>
            <w:r>
              <w:rPr>
                <w:rFonts w:cs="Times New Roman"/>
                <w:color w:val="auto"/>
              </w:rPr>
              <w:t>E:</w:t>
            </w:r>
            <w:r>
              <w:rPr>
                <w:rFonts w:cs="Times New Roman"/>
                <w:color w:val="auto"/>
                <w:szCs w:val="21"/>
                <w:shd w:val="clear" w:color="auto" w:fill="FFFFFF"/>
              </w:rPr>
              <w:t xml:space="preserve"> 108°41′2.76″</w:t>
            </w:r>
          </w:p>
        </w:tc>
        <w:tc>
          <w:tcPr>
            <w:tcW w:w="647" w:type="pct"/>
            <w:vMerge w:val="restart"/>
            <w:tcBorders>
              <w:top w:val="single" w:color="auto" w:sz="4" w:space="0"/>
              <w:left w:val="single" w:color="auto" w:sz="4" w:space="0"/>
              <w:bottom w:val="single" w:color="auto" w:sz="4" w:space="0"/>
              <w:right w:val="single" w:color="auto" w:sz="4" w:space="0"/>
            </w:tcBorders>
            <w:vAlign w:val="center"/>
          </w:tcPr>
          <w:p w14:paraId="06AE52E8">
            <w:pPr>
              <w:pStyle w:val="33"/>
              <w:rPr>
                <w:color w:val="auto"/>
              </w:rPr>
            </w:pPr>
            <w:r>
              <w:rPr>
                <w:rFonts w:hint="eastAsia"/>
                <w:color w:val="auto"/>
              </w:rPr>
              <w:t>南</w:t>
            </w:r>
            <w:r>
              <w:rPr>
                <w:color w:val="auto"/>
              </w:rPr>
              <w:t>/464m</w:t>
            </w:r>
          </w:p>
        </w:tc>
        <w:tc>
          <w:tcPr>
            <w:tcW w:w="462" w:type="pct"/>
            <w:vMerge w:val="restart"/>
            <w:tcBorders>
              <w:top w:val="single" w:color="auto" w:sz="4" w:space="0"/>
              <w:left w:val="single" w:color="auto" w:sz="4" w:space="0"/>
              <w:bottom w:val="single" w:color="auto" w:sz="4" w:space="0"/>
              <w:right w:val="single" w:color="auto" w:sz="4" w:space="0"/>
            </w:tcBorders>
            <w:vAlign w:val="center"/>
          </w:tcPr>
          <w:p w14:paraId="68AF4A5F">
            <w:pPr>
              <w:pStyle w:val="33"/>
              <w:rPr>
                <w:color w:val="auto"/>
              </w:rPr>
            </w:pPr>
            <w:r>
              <w:rPr>
                <w:rFonts w:hint="eastAsia"/>
                <w:color w:val="auto"/>
              </w:rPr>
              <w:t>主导风向向下风向</w:t>
            </w:r>
          </w:p>
        </w:tc>
        <w:tc>
          <w:tcPr>
            <w:tcW w:w="491" w:type="pct"/>
            <w:vMerge w:val="restart"/>
            <w:tcBorders>
              <w:top w:val="single" w:color="auto" w:sz="4" w:space="0"/>
              <w:left w:val="single" w:color="auto" w:sz="4" w:space="0"/>
              <w:bottom w:val="single" w:color="auto" w:sz="4" w:space="0"/>
              <w:right w:val="single" w:color="auto" w:sz="4" w:space="0"/>
            </w:tcBorders>
            <w:vAlign w:val="center"/>
          </w:tcPr>
          <w:p w14:paraId="27C51247">
            <w:pPr>
              <w:pStyle w:val="33"/>
              <w:rPr>
                <w:color w:val="auto"/>
              </w:rPr>
            </w:pPr>
            <w:r>
              <w:rPr>
                <w:rFonts w:hint="eastAsia"/>
                <w:color w:val="auto"/>
              </w:rPr>
              <w:t>连续采样</w:t>
            </w:r>
            <w:r>
              <w:rPr>
                <w:color w:val="auto"/>
              </w:rPr>
              <w:t>7</w:t>
            </w:r>
            <w:r>
              <w:rPr>
                <w:rFonts w:hint="eastAsia"/>
                <w:color w:val="auto"/>
              </w:rPr>
              <w:t>天</w:t>
            </w:r>
          </w:p>
        </w:tc>
        <w:tc>
          <w:tcPr>
            <w:tcW w:w="566" w:type="pct"/>
            <w:tcBorders>
              <w:top w:val="single" w:color="auto" w:sz="4" w:space="0"/>
              <w:left w:val="single" w:color="auto" w:sz="4" w:space="0"/>
              <w:bottom w:val="single" w:color="auto" w:sz="4" w:space="0"/>
              <w:right w:val="single" w:color="auto" w:sz="4" w:space="0"/>
            </w:tcBorders>
            <w:vAlign w:val="center"/>
          </w:tcPr>
          <w:p w14:paraId="4E5AF99F">
            <w:pPr>
              <w:pStyle w:val="33"/>
              <w:rPr>
                <w:color w:val="auto"/>
              </w:rPr>
            </w:pPr>
            <w:r>
              <w:rPr>
                <w:rFonts w:hint="eastAsia"/>
                <w:color w:val="auto"/>
              </w:rPr>
              <w:t>小时值</w:t>
            </w:r>
          </w:p>
        </w:tc>
        <w:tc>
          <w:tcPr>
            <w:tcW w:w="1136" w:type="pct"/>
            <w:tcBorders>
              <w:top w:val="single" w:color="auto" w:sz="4" w:space="0"/>
              <w:left w:val="single" w:color="auto" w:sz="4" w:space="0"/>
              <w:bottom w:val="single" w:color="auto" w:sz="4" w:space="0"/>
              <w:right w:val="single" w:color="auto" w:sz="4" w:space="0"/>
            </w:tcBorders>
            <w:vAlign w:val="center"/>
          </w:tcPr>
          <w:p w14:paraId="13271BB6">
            <w:pPr>
              <w:pStyle w:val="33"/>
              <w:rPr>
                <w:color w:val="auto"/>
              </w:rPr>
            </w:pPr>
            <w:r>
              <w:rPr>
                <w:rFonts w:hint="eastAsia"/>
                <w:color w:val="auto"/>
              </w:rPr>
              <w:t>氯气、氯化氢、氨、硫化氢、非甲烷总烃</w:t>
            </w:r>
          </w:p>
        </w:tc>
      </w:tr>
      <w:tr w14:paraId="6BD0F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vMerge w:val="continue"/>
            <w:tcBorders>
              <w:top w:val="single" w:color="auto" w:sz="4" w:space="0"/>
              <w:left w:val="single" w:color="auto" w:sz="4" w:space="0"/>
              <w:bottom w:val="single" w:color="auto" w:sz="4" w:space="0"/>
              <w:right w:val="single" w:color="auto" w:sz="4" w:space="0"/>
            </w:tcBorders>
            <w:vAlign w:val="center"/>
          </w:tcPr>
          <w:p w14:paraId="75B25BD8">
            <w:pPr>
              <w:pStyle w:val="33"/>
              <w:rPr>
                <w:color w:val="auto"/>
                <w:szCs w:val="20"/>
              </w:rPr>
            </w:pPr>
          </w:p>
        </w:tc>
        <w:tc>
          <w:tcPr>
            <w:tcW w:w="490" w:type="pct"/>
            <w:vMerge w:val="continue"/>
            <w:tcBorders>
              <w:top w:val="single" w:color="auto" w:sz="4" w:space="0"/>
              <w:left w:val="single" w:color="auto" w:sz="4" w:space="0"/>
              <w:bottom w:val="single" w:color="auto" w:sz="4" w:space="0"/>
              <w:right w:val="single" w:color="auto" w:sz="4" w:space="0"/>
            </w:tcBorders>
            <w:vAlign w:val="center"/>
          </w:tcPr>
          <w:p w14:paraId="567A65F4">
            <w:pPr>
              <w:pStyle w:val="33"/>
              <w:rPr>
                <w:color w:val="auto"/>
                <w:szCs w:val="20"/>
              </w:rPr>
            </w:pPr>
          </w:p>
        </w:tc>
        <w:tc>
          <w:tcPr>
            <w:tcW w:w="918" w:type="pct"/>
            <w:vMerge w:val="continue"/>
            <w:tcBorders>
              <w:left w:val="single" w:color="auto" w:sz="4" w:space="0"/>
              <w:right w:val="single" w:color="auto" w:sz="4" w:space="0"/>
            </w:tcBorders>
            <w:vAlign w:val="center"/>
          </w:tcPr>
          <w:p w14:paraId="30A61E7A">
            <w:pPr>
              <w:pStyle w:val="33"/>
              <w:rPr>
                <w:color w:val="auto"/>
                <w:szCs w:val="20"/>
              </w:rPr>
            </w:pPr>
          </w:p>
        </w:tc>
        <w:tc>
          <w:tcPr>
            <w:tcW w:w="647" w:type="pct"/>
            <w:vMerge w:val="continue"/>
            <w:tcBorders>
              <w:top w:val="single" w:color="auto" w:sz="4" w:space="0"/>
              <w:left w:val="single" w:color="auto" w:sz="4" w:space="0"/>
              <w:bottom w:val="single" w:color="auto" w:sz="4" w:space="0"/>
              <w:right w:val="single" w:color="auto" w:sz="4" w:space="0"/>
            </w:tcBorders>
            <w:vAlign w:val="center"/>
          </w:tcPr>
          <w:p w14:paraId="6FEC0A2E">
            <w:pPr>
              <w:pStyle w:val="33"/>
              <w:rPr>
                <w:color w:val="auto"/>
                <w:szCs w:val="20"/>
              </w:rPr>
            </w:pPr>
          </w:p>
        </w:tc>
        <w:tc>
          <w:tcPr>
            <w:tcW w:w="462" w:type="pct"/>
            <w:vMerge w:val="continue"/>
            <w:tcBorders>
              <w:top w:val="single" w:color="auto" w:sz="4" w:space="0"/>
              <w:left w:val="single" w:color="auto" w:sz="4" w:space="0"/>
              <w:bottom w:val="single" w:color="auto" w:sz="4" w:space="0"/>
              <w:right w:val="single" w:color="auto" w:sz="4" w:space="0"/>
            </w:tcBorders>
            <w:vAlign w:val="center"/>
          </w:tcPr>
          <w:p w14:paraId="4D4F7B13">
            <w:pPr>
              <w:pStyle w:val="33"/>
              <w:rPr>
                <w:color w:val="auto"/>
                <w:szCs w:val="20"/>
              </w:rPr>
            </w:pPr>
          </w:p>
        </w:tc>
        <w:tc>
          <w:tcPr>
            <w:tcW w:w="491" w:type="pct"/>
            <w:vMerge w:val="continue"/>
            <w:tcBorders>
              <w:top w:val="single" w:color="auto" w:sz="4" w:space="0"/>
              <w:left w:val="single" w:color="auto" w:sz="4" w:space="0"/>
              <w:bottom w:val="single" w:color="auto" w:sz="4" w:space="0"/>
              <w:right w:val="single" w:color="auto" w:sz="4" w:space="0"/>
            </w:tcBorders>
            <w:vAlign w:val="center"/>
          </w:tcPr>
          <w:p w14:paraId="7D31652F">
            <w:pPr>
              <w:pStyle w:val="33"/>
              <w:rPr>
                <w:color w:val="auto"/>
                <w:szCs w:val="20"/>
              </w:rPr>
            </w:pPr>
          </w:p>
        </w:tc>
        <w:tc>
          <w:tcPr>
            <w:tcW w:w="566" w:type="pct"/>
            <w:tcBorders>
              <w:top w:val="single" w:color="auto" w:sz="4" w:space="0"/>
              <w:left w:val="single" w:color="auto" w:sz="4" w:space="0"/>
              <w:bottom w:val="single" w:color="auto" w:sz="4" w:space="0"/>
              <w:right w:val="single" w:color="auto" w:sz="4" w:space="0"/>
            </w:tcBorders>
            <w:vAlign w:val="center"/>
          </w:tcPr>
          <w:p w14:paraId="6B03C1BE">
            <w:pPr>
              <w:pStyle w:val="33"/>
              <w:rPr>
                <w:color w:val="auto"/>
              </w:rPr>
            </w:pPr>
            <w:r>
              <w:rPr>
                <w:rFonts w:hint="eastAsia"/>
                <w:color w:val="auto"/>
              </w:rPr>
              <w:t>日均值</w:t>
            </w:r>
          </w:p>
        </w:tc>
        <w:tc>
          <w:tcPr>
            <w:tcW w:w="1136" w:type="pct"/>
            <w:tcBorders>
              <w:top w:val="single" w:color="auto" w:sz="4" w:space="0"/>
              <w:left w:val="single" w:color="auto" w:sz="4" w:space="0"/>
              <w:bottom w:val="single" w:color="auto" w:sz="4" w:space="0"/>
              <w:right w:val="single" w:color="auto" w:sz="4" w:space="0"/>
            </w:tcBorders>
            <w:vAlign w:val="center"/>
          </w:tcPr>
          <w:p w14:paraId="0A2C9807">
            <w:pPr>
              <w:pStyle w:val="33"/>
              <w:rPr>
                <w:color w:val="auto"/>
              </w:rPr>
            </w:pPr>
            <w:r>
              <w:rPr>
                <w:color w:val="auto"/>
              </w:rPr>
              <w:t>TSP</w:t>
            </w:r>
            <w:r>
              <w:rPr>
                <w:rFonts w:hint="eastAsia"/>
                <w:color w:val="auto"/>
              </w:rPr>
              <w:t>、氯化氢、氯气</w:t>
            </w:r>
          </w:p>
        </w:tc>
      </w:tr>
      <w:tr w14:paraId="6C794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90" w:type="pct"/>
            <w:vMerge w:val="continue"/>
            <w:tcBorders>
              <w:top w:val="single" w:color="auto" w:sz="4" w:space="0"/>
              <w:left w:val="single" w:color="auto" w:sz="4" w:space="0"/>
              <w:bottom w:val="single" w:color="auto" w:sz="4" w:space="0"/>
              <w:right w:val="single" w:color="auto" w:sz="4" w:space="0"/>
            </w:tcBorders>
            <w:vAlign w:val="center"/>
          </w:tcPr>
          <w:p w14:paraId="4BA21FA9">
            <w:pPr>
              <w:pStyle w:val="33"/>
              <w:rPr>
                <w:color w:val="auto"/>
                <w:szCs w:val="20"/>
              </w:rPr>
            </w:pPr>
          </w:p>
        </w:tc>
        <w:tc>
          <w:tcPr>
            <w:tcW w:w="490" w:type="pct"/>
            <w:vMerge w:val="continue"/>
            <w:tcBorders>
              <w:top w:val="single" w:color="auto" w:sz="4" w:space="0"/>
              <w:left w:val="single" w:color="auto" w:sz="4" w:space="0"/>
              <w:bottom w:val="single" w:color="auto" w:sz="4" w:space="0"/>
              <w:right w:val="single" w:color="auto" w:sz="4" w:space="0"/>
            </w:tcBorders>
            <w:vAlign w:val="center"/>
          </w:tcPr>
          <w:p w14:paraId="25A569A4">
            <w:pPr>
              <w:pStyle w:val="33"/>
              <w:rPr>
                <w:color w:val="auto"/>
                <w:szCs w:val="20"/>
              </w:rPr>
            </w:pPr>
          </w:p>
        </w:tc>
        <w:tc>
          <w:tcPr>
            <w:tcW w:w="918" w:type="pct"/>
            <w:vMerge w:val="continue"/>
            <w:tcBorders>
              <w:left w:val="single" w:color="auto" w:sz="4" w:space="0"/>
              <w:bottom w:val="single" w:color="auto" w:sz="4" w:space="0"/>
              <w:right w:val="single" w:color="auto" w:sz="4" w:space="0"/>
            </w:tcBorders>
            <w:vAlign w:val="center"/>
          </w:tcPr>
          <w:p w14:paraId="55D28AD9">
            <w:pPr>
              <w:pStyle w:val="33"/>
              <w:rPr>
                <w:color w:val="auto"/>
                <w:szCs w:val="20"/>
              </w:rPr>
            </w:pPr>
          </w:p>
        </w:tc>
        <w:tc>
          <w:tcPr>
            <w:tcW w:w="647" w:type="pct"/>
            <w:vMerge w:val="continue"/>
            <w:tcBorders>
              <w:top w:val="single" w:color="auto" w:sz="4" w:space="0"/>
              <w:left w:val="single" w:color="auto" w:sz="4" w:space="0"/>
              <w:bottom w:val="single" w:color="auto" w:sz="4" w:space="0"/>
              <w:right w:val="single" w:color="auto" w:sz="4" w:space="0"/>
            </w:tcBorders>
            <w:vAlign w:val="center"/>
          </w:tcPr>
          <w:p w14:paraId="0925919C">
            <w:pPr>
              <w:pStyle w:val="33"/>
              <w:rPr>
                <w:color w:val="auto"/>
                <w:szCs w:val="20"/>
              </w:rPr>
            </w:pPr>
          </w:p>
        </w:tc>
        <w:tc>
          <w:tcPr>
            <w:tcW w:w="462" w:type="pct"/>
            <w:vMerge w:val="continue"/>
            <w:tcBorders>
              <w:top w:val="single" w:color="auto" w:sz="4" w:space="0"/>
              <w:left w:val="single" w:color="auto" w:sz="4" w:space="0"/>
              <w:bottom w:val="single" w:color="auto" w:sz="4" w:space="0"/>
              <w:right w:val="single" w:color="auto" w:sz="4" w:space="0"/>
            </w:tcBorders>
            <w:vAlign w:val="center"/>
          </w:tcPr>
          <w:p w14:paraId="014FBAEF">
            <w:pPr>
              <w:pStyle w:val="33"/>
              <w:rPr>
                <w:color w:val="auto"/>
                <w:szCs w:val="20"/>
              </w:rPr>
            </w:pPr>
          </w:p>
        </w:tc>
        <w:tc>
          <w:tcPr>
            <w:tcW w:w="491" w:type="pct"/>
            <w:vMerge w:val="continue"/>
            <w:tcBorders>
              <w:top w:val="single" w:color="auto" w:sz="4" w:space="0"/>
              <w:left w:val="single" w:color="auto" w:sz="4" w:space="0"/>
              <w:bottom w:val="single" w:color="auto" w:sz="4" w:space="0"/>
              <w:right w:val="single" w:color="auto" w:sz="4" w:space="0"/>
            </w:tcBorders>
            <w:vAlign w:val="center"/>
          </w:tcPr>
          <w:p w14:paraId="6AC30B35">
            <w:pPr>
              <w:pStyle w:val="33"/>
              <w:rPr>
                <w:color w:val="auto"/>
                <w:szCs w:val="20"/>
              </w:rPr>
            </w:pPr>
          </w:p>
        </w:tc>
        <w:tc>
          <w:tcPr>
            <w:tcW w:w="566" w:type="pct"/>
            <w:tcBorders>
              <w:top w:val="single" w:color="auto" w:sz="4" w:space="0"/>
              <w:left w:val="single" w:color="auto" w:sz="4" w:space="0"/>
              <w:bottom w:val="single" w:color="auto" w:sz="4" w:space="0"/>
              <w:right w:val="single" w:color="auto" w:sz="4" w:space="0"/>
            </w:tcBorders>
            <w:vAlign w:val="center"/>
          </w:tcPr>
          <w:p w14:paraId="5791ECC9">
            <w:pPr>
              <w:pStyle w:val="33"/>
              <w:rPr>
                <w:color w:val="auto"/>
              </w:rPr>
            </w:pPr>
            <w:r>
              <w:rPr>
                <w:rFonts w:hint="eastAsia"/>
                <w:color w:val="auto"/>
              </w:rPr>
              <w:t>一次值</w:t>
            </w:r>
          </w:p>
        </w:tc>
        <w:tc>
          <w:tcPr>
            <w:tcW w:w="1136" w:type="pct"/>
            <w:tcBorders>
              <w:top w:val="single" w:color="auto" w:sz="4" w:space="0"/>
              <w:left w:val="single" w:color="auto" w:sz="4" w:space="0"/>
              <w:bottom w:val="single" w:color="auto" w:sz="4" w:space="0"/>
              <w:right w:val="single" w:color="auto" w:sz="4" w:space="0"/>
            </w:tcBorders>
            <w:vAlign w:val="center"/>
          </w:tcPr>
          <w:p w14:paraId="1435BBFB">
            <w:pPr>
              <w:pStyle w:val="33"/>
              <w:rPr>
                <w:color w:val="auto"/>
              </w:rPr>
            </w:pPr>
            <w:r>
              <w:rPr>
                <w:rFonts w:hint="eastAsia"/>
                <w:color w:val="auto"/>
              </w:rPr>
              <w:t>臭气浓度</w:t>
            </w:r>
          </w:p>
        </w:tc>
      </w:tr>
    </w:tbl>
    <w:p w14:paraId="02CB453A">
      <w:pPr>
        <w:pStyle w:val="5"/>
        <w:rPr>
          <w:color w:val="auto"/>
        </w:rPr>
      </w:pPr>
      <w:r>
        <w:rPr>
          <w:rFonts w:hint="eastAsia"/>
          <w:color w:val="auto"/>
        </w:rPr>
        <w:t>监测时间和频次</w:t>
      </w:r>
    </w:p>
    <w:p w14:paraId="4B2B6729">
      <w:pPr>
        <w:ind w:firstLine="480"/>
        <w:rPr>
          <w:color w:val="auto"/>
        </w:rPr>
      </w:pPr>
      <w:r>
        <w:rPr>
          <w:rFonts w:hint="eastAsia"/>
          <w:color w:val="auto"/>
        </w:rPr>
        <w:t>（1）监测时间：2025年10月15日~10月21日。</w:t>
      </w:r>
    </w:p>
    <w:p w14:paraId="5B21665D">
      <w:pPr>
        <w:ind w:firstLine="480"/>
        <w:rPr>
          <w:color w:val="auto"/>
        </w:rPr>
      </w:pPr>
      <w:r>
        <w:rPr>
          <w:rFonts w:hint="eastAsia"/>
          <w:color w:val="auto"/>
        </w:rPr>
        <w:t>（2）监测频率如下表。</w:t>
      </w:r>
    </w:p>
    <w:p w14:paraId="2B60DFCB">
      <w:pPr>
        <w:pStyle w:val="7"/>
        <w:rPr>
          <w:color w:val="auto"/>
        </w:rPr>
      </w:pPr>
      <w:r>
        <w:rPr>
          <w:rFonts w:hint="eastAsia"/>
          <w:color w:val="auto"/>
        </w:rPr>
        <w:t>监测因子及监测频次一览表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85"/>
        <w:gridCol w:w="1278"/>
        <w:gridCol w:w="5817"/>
      </w:tblGrid>
      <w:tr w14:paraId="17A16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3" w:type="pct"/>
            <w:vAlign w:val="center"/>
          </w:tcPr>
          <w:p w14:paraId="3E7638B3">
            <w:pPr>
              <w:pStyle w:val="33"/>
              <w:rPr>
                <w:color w:val="auto"/>
              </w:rPr>
            </w:pPr>
            <w:r>
              <w:rPr>
                <w:rFonts w:hint="eastAsia"/>
                <w:color w:val="auto"/>
              </w:rPr>
              <w:t>监测因子</w:t>
            </w:r>
          </w:p>
        </w:tc>
        <w:tc>
          <w:tcPr>
            <w:tcW w:w="704" w:type="pct"/>
            <w:vAlign w:val="center"/>
          </w:tcPr>
          <w:p w14:paraId="586A0F94">
            <w:pPr>
              <w:pStyle w:val="33"/>
              <w:rPr>
                <w:color w:val="auto"/>
              </w:rPr>
            </w:pPr>
            <w:r>
              <w:rPr>
                <w:rFonts w:hint="eastAsia"/>
                <w:color w:val="auto"/>
              </w:rPr>
              <w:t>结果类型</w:t>
            </w:r>
          </w:p>
        </w:tc>
        <w:tc>
          <w:tcPr>
            <w:tcW w:w="3203" w:type="pct"/>
            <w:vAlign w:val="center"/>
          </w:tcPr>
          <w:p w14:paraId="77E497D3">
            <w:pPr>
              <w:pStyle w:val="33"/>
              <w:rPr>
                <w:color w:val="auto"/>
              </w:rPr>
            </w:pPr>
            <w:r>
              <w:rPr>
                <w:rFonts w:hint="eastAsia"/>
                <w:color w:val="auto"/>
              </w:rPr>
              <w:t>监测时间和频率</w:t>
            </w:r>
          </w:p>
        </w:tc>
      </w:tr>
      <w:tr w14:paraId="220F3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3" w:type="pct"/>
            <w:vAlign w:val="center"/>
          </w:tcPr>
          <w:p w14:paraId="26A790EF">
            <w:pPr>
              <w:pStyle w:val="33"/>
              <w:rPr>
                <w:color w:val="auto"/>
              </w:rPr>
            </w:pPr>
            <w:r>
              <w:rPr>
                <w:color w:val="auto"/>
              </w:rPr>
              <w:t>TSP</w:t>
            </w:r>
          </w:p>
        </w:tc>
        <w:tc>
          <w:tcPr>
            <w:tcW w:w="704" w:type="pct"/>
            <w:vAlign w:val="center"/>
          </w:tcPr>
          <w:p w14:paraId="056FE7B6">
            <w:pPr>
              <w:pStyle w:val="33"/>
              <w:rPr>
                <w:color w:val="auto"/>
              </w:rPr>
            </w:pPr>
            <w:r>
              <w:rPr>
                <w:rFonts w:hint="eastAsia"/>
                <w:color w:val="auto"/>
              </w:rPr>
              <w:t>24小时</w:t>
            </w:r>
            <w:r>
              <w:rPr>
                <w:color w:val="auto"/>
              </w:rPr>
              <w:t>均值</w:t>
            </w:r>
          </w:p>
        </w:tc>
        <w:tc>
          <w:tcPr>
            <w:tcW w:w="3203" w:type="pct"/>
            <w:vAlign w:val="center"/>
          </w:tcPr>
          <w:p w14:paraId="3118DE26">
            <w:pPr>
              <w:pStyle w:val="33"/>
              <w:rPr>
                <w:color w:val="auto"/>
              </w:rPr>
            </w:pPr>
            <w:r>
              <w:rPr>
                <w:color w:val="auto"/>
              </w:rPr>
              <w:t>连续7天，每天采样24小时；</w:t>
            </w:r>
          </w:p>
        </w:tc>
      </w:tr>
      <w:tr w14:paraId="3E3CB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3" w:type="pct"/>
            <w:vAlign w:val="center"/>
          </w:tcPr>
          <w:p w14:paraId="3CE4AD9F">
            <w:pPr>
              <w:pStyle w:val="33"/>
              <w:rPr>
                <w:color w:val="auto"/>
              </w:rPr>
            </w:pPr>
            <w:r>
              <w:rPr>
                <w:color w:val="auto"/>
              </w:rPr>
              <w:t>NH</w:t>
            </w:r>
            <w:r>
              <w:rPr>
                <w:color w:val="auto"/>
                <w:vertAlign w:val="subscript"/>
              </w:rPr>
              <w:t>3</w:t>
            </w:r>
            <w:r>
              <w:rPr>
                <w:rFonts w:hint="eastAsia"/>
                <w:color w:val="auto"/>
              </w:rPr>
              <w:t>、</w:t>
            </w:r>
            <w:r>
              <w:rPr>
                <w:color w:val="auto"/>
              </w:rPr>
              <w:t>H</w:t>
            </w:r>
            <w:r>
              <w:rPr>
                <w:color w:val="auto"/>
                <w:vertAlign w:val="subscript"/>
              </w:rPr>
              <w:t>2</w:t>
            </w:r>
            <w:r>
              <w:rPr>
                <w:color w:val="auto"/>
              </w:rPr>
              <w:t>S、</w:t>
            </w:r>
            <w:r>
              <w:rPr>
                <w:rFonts w:hint="eastAsia"/>
                <w:color w:val="auto"/>
              </w:rPr>
              <w:t>非甲烷总烃</w:t>
            </w:r>
          </w:p>
        </w:tc>
        <w:tc>
          <w:tcPr>
            <w:tcW w:w="704" w:type="pct"/>
            <w:vAlign w:val="center"/>
          </w:tcPr>
          <w:p w14:paraId="2BE58122">
            <w:pPr>
              <w:pStyle w:val="33"/>
              <w:rPr>
                <w:color w:val="auto"/>
              </w:rPr>
            </w:pPr>
            <w:r>
              <w:rPr>
                <w:color w:val="auto"/>
              </w:rPr>
              <w:t>小时值</w:t>
            </w:r>
          </w:p>
        </w:tc>
        <w:tc>
          <w:tcPr>
            <w:tcW w:w="3203" w:type="pct"/>
            <w:vAlign w:val="center"/>
          </w:tcPr>
          <w:p w14:paraId="1E97BD0F">
            <w:pPr>
              <w:pStyle w:val="33"/>
              <w:rPr>
                <w:color w:val="auto"/>
              </w:rPr>
            </w:pPr>
            <w:r>
              <w:rPr>
                <w:color w:val="auto"/>
              </w:rPr>
              <w:t>连续7天，每次采样1小时，每天采样4次，采样时间为02:00、08:00、14:00、20:00，每次采样不少于45分钟；</w:t>
            </w:r>
          </w:p>
        </w:tc>
      </w:tr>
      <w:tr w14:paraId="7FB18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093" w:type="pct"/>
            <w:vAlign w:val="center"/>
          </w:tcPr>
          <w:p w14:paraId="3AFC4DCE">
            <w:pPr>
              <w:pStyle w:val="33"/>
              <w:rPr>
                <w:color w:val="auto"/>
              </w:rPr>
            </w:pPr>
            <w:r>
              <w:rPr>
                <w:rFonts w:hint="eastAsia"/>
                <w:color w:val="auto"/>
              </w:rPr>
              <w:t>臭气浓度</w:t>
            </w:r>
          </w:p>
        </w:tc>
        <w:tc>
          <w:tcPr>
            <w:tcW w:w="704" w:type="pct"/>
            <w:vAlign w:val="center"/>
          </w:tcPr>
          <w:p w14:paraId="7C41BE7C">
            <w:pPr>
              <w:pStyle w:val="33"/>
              <w:rPr>
                <w:color w:val="auto"/>
              </w:rPr>
            </w:pPr>
            <w:r>
              <w:rPr>
                <w:color w:val="auto"/>
              </w:rPr>
              <w:t>一次值</w:t>
            </w:r>
          </w:p>
        </w:tc>
        <w:tc>
          <w:tcPr>
            <w:tcW w:w="3203" w:type="pct"/>
            <w:vAlign w:val="center"/>
          </w:tcPr>
          <w:p w14:paraId="01359569">
            <w:pPr>
              <w:pStyle w:val="33"/>
              <w:rPr>
                <w:color w:val="auto"/>
              </w:rPr>
            </w:pPr>
            <w:r>
              <w:rPr>
                <w:rFonts w:hint="eastAsia"/>
                <w:color w:val="auto"/>
              </w:rPr>
              <w:t>连续监测</w:t>
            </w:r>
            <w:r>
              <w:rPr>
                <w:color w:val="auto"/>
              </w:rPr>
              <w:t>7天，每天采样4次。</w:t>
            </w:r>
          </w:p>
        </w:tc>
      </w:tr>
    </w:tbl>
    <w:p w14:paraId="57D84E86">
      <w:pPr>
        <w:spacing w:line="240" w:lineRule="auto"/>
        <w:ind w:firstLine="0" w:firstLineChars="0"/>
        <w:jc w:val="left"/>
        <w:rPr>
          <w:color w:val="auto"/>
          <w:sz w:val="21"/>
          <w:szCs w:val="21"/>
        </w:rPr>
      </w:pPr>
      <w:r>
        <w:rPr>
          <w:rFonts w:hint="eastAsia"/>
          <w:color w:val="auto"/>
          <w:sz w:val="21"/>
          <w:szCs w:val="21"/>
        </w:rPr>
        <w:t>*注：采样过程中同步进行气象参数观测，如温度、气压、湿度、风向、风速等。环境空气监测必须在晴朗天气情况下进行。记录监测点位的照片和经纬度。</w:t>
      </w:r>
    </w:p>
    <w:p w14:paraId="20494977">
      <w:pPr>
        <w:pStyle w:val="5"/>
        <w:rPr>
          <w:color w:val="auto"/>
        </w:rPr>
      </w:pPr>
      <w:r>
        <w:rPr>
          <w:rFonts w:hint="eastAsia"/>
          <w:color w:val="auto"/>
        </w:rPr>
        <w:t>监测和分析方法</w:t>
      </w:r>
    </w:p>
    <w:p w14:paraId="36942B74">
      <w:pPr>
        <w:ind w:firstLine="480"/>
        <w:rPr>
          <w:color w:val="auto"/>
        </w:rPr>
      </w:pPr>
      <w:r>
        <w:rPr>
          <w:rFonts w:hint="eastAsia"/>
          <w:color w:val="auto"/>
        </w:rPr>
        <w:t>监测方法按《大气污染物无组织排放监测技术导则》（HJ/T55-2000）、《环境监测技术规范》执行。分析方法详见下表</w:t>
      </w:r>
      <w:r>
        <w:rPr>
          <w:color w:val="auto"/>
        </w:rPr>
        <w:fldChar w:fldCharType="begin"/>
      </w:r>
      <w:r>
        <w:rPr>
          <w:color w:val="auto"/>
        </w:rPr>
        <w:instrText xml:space="preserve"> </w:instrText>
      </w:r>
      <w:r>
        <w:rPr>
          <w:rFonts w:hint="eastAsia"/>
          <w:color w:val="auto"/>
        </w:rPr>
        <w:instrText xml:space="preserve">REF _Ref184715880 \r \h</w:instrText>
      </w:r>
      <w:r>
        <w:rPr>
          <w:color w:val="auto"/>
        </w:rPr>
        <w:instrText xml:space="preserve">  \* MERGEFORMAT </w:instrText>
      </w:r>
      <w:r>
        <w:rPr>
          <w:color w:val="auto"/>
        </w:rPr>
        <w:fldChar w:fldCharType="separate"/>
      </w:r>
      <w:r>
        <w:rPr>
          <w:color w:val="auto"/>
        </w:rPr>
        <w:fldChar w:fldCharType="end"/>
      </w:r>
      <w:r>
        <w:rPr>
          <w:rFonts w:hint="eastAsia"/>
          <w:color w:val="auto"/>
        </w:rPr>
        <w:t>。</w:t>
      </w:r>
    </w:p>
    <w:p w14:paraId="6D53D715">
      <w:pPr>
        <w:pStyle w:val="7"/>
        <w:rPr>
          <w:color w:val="auto"/>
        </w:rPr>
      </w:pPr>
      <w:bookmarkStart w:id="322" w:name="_Ref196924882"/>
      <w:r>
        <w:rPr>
          <w:rFonts w:hint="eastAsia"/>
          <w:color w:val="auto"/>
        </w:rPr>
        <w:t>环境空气污染物分析方法及检出限表</w:t>
      </w:r>
      <w:bookmarkEnd w:id="322"/>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239"/>
        <w:gridCol w:w="5126"/>
        <w:gridCol w:w="2247"/>
      </w:tblGrid>
      <w:tr w14:paraId="0C40C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446F2795">
            <w:pPr>
              <w:pStyle w:val="33"/>
              <w:rPr>
                <w:color w:val="auto"/>
              </w:rPr>
            </w:pPr>
            <w:r>
              <w:rPr>
                <w:color w:val="auto"/>
              </w:rPr>
              <w:t>序号</w:t>
            </w:r>
          </w:p>
        </w:tc>
        <w:tc>
          <w:tcPr>
            <w:tcW w:w="667" w:type="pct"/>
            <w:vAlign w:val="center"/>
          </w:tcPr>
          <w:p w14:paraId="774E48C8">
            <w:pPr>
              <w:pStyle w:val="33"/>
              <w:rPr>
                <w:color w:val="auto"/>
              </w:rPr>
            </w:pPr>
            <w:r>
              <w:rPr>
                <w:color w:val="auto"/>
              </w:rPr>
              <w:t>监测项目</w:t>
            </w:r>
          </w:p>
        </w:tc>
        <w:tc>
          <w:tcPr>
            <w:tcW w:w="2760" w:type="pct"/>
            <w:vAlign w:val="center"/>
          </w:tcPr>
          <w:p w14:paraId="114B0FB4">
            <w:pPr>
              <w:pStyle w:val="33"/>
              <w:rPr>
                <w:color w:val="auto"/>
              </w:rPr>
            </w:pPr>
            <w:r>
              <w:rPr>
                <w:color w:val="auto"/>
              </w:rPr>
              <w:t>分析方法</w:t>
            </w:r>
          </w:p>
        </w:tc>
        <w:tc>
          <w:tcPr>
            <w:tcW w:w="1210" w:type="pct"/>
            <w:vAlign w:val="center"/>
          </w:tcPr>
          <w:p w14:paraId="07A6275D">
            <w:pPr>
              <w:pStyle w:val="33"/>
              <w:rPr>
                <w:color w:val="auto"/>
              </w:rPr>
            </w:pPr>
            <w:r>
              <w:rPr>
                <w:color w:val="auto"/>
              </w:rPr>
              <w:t>检出限或</w:t>
            </w:r>
            <w:r>
              <w:rPr>
                <w:rFonts w:hint="eastAsia"/>
                <w:color w:val="auto"/>
              </w:rPr>
              <w:t>范围</w:t>
            </w:r>
          </w:p>
        </w:tc>
      </w:tr>
      <w:tr w14:paraId="6F619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2CEDD53F">
            <w:pPr>
              <w:pStyle w:val="33"/>
              <w:rPr>
                <w:color w:val="auto"/>
              </w:rPr>
            </w:pPr>
            <w:r>
              <w:rPr>
                <w:rFonts w:hint="eastAsia"/>
                <w:color w:val="auto"/>
              </w:rPr>
              <w:t>1</w:t>
            </w:r>
          </w:p>
        </w:tc>
        <w:tc>
          <w:tcPr>
            <w:tcW w:w="667" w:type="pct"/>
            <w:vAlign w:val="center"/>
          </w:tcPr>
          <w:p w14:paraId="3B1A9F37">
            <w:pPr>
              <w:pStyle w:val="33"/>
              <w:rPr>
                <w:color w:val="auto"/>
              </w:rPr>
            </w:pPr>
            <w:r>
              <w:rPr>
                <w:rFonts w:hint="eastAsia"/>
                <w:color w:val="auto"/>
              </w:rPr>
              <w:t>臭气</w:t>
            </w:r>
          </w:p>
        </w:tc>
        <w:tc>
          <w:tcPr>
            <w:tcW w:w="2760" w:type="pct"/>
            <w:vAlign w:val="center"/>
          </w:tcPr>
          <w:p w14:paraId="075AC5D8">
            <w:pPr>
              <w:pStyle w:val="33"/>
              <w:rPr>
                <w:color w:val="auto"/>
              </w:rPr>
            </w:pPr>
            <w:r>
              <w:rPr>
                <w:rFonts w:hint="eastAsia"/>
                <w:color w:val="auto"/>
              </w:rPr>
              <w:t>环境空气和废气</w:t>
            </w:r>
            <w:r>
              <w:rPr>
                <w:color w:val="auto"/>
              </w:rPr>
              <w:t xml:space="preserve"> </w:t>
            </w:r>
            <w:r>
              <w:rPr>
                <w:rFonts w:hint="eastAsia"/>
                <w:color w:val="auto"/>
              </w:rPr>
              <w:t>臭气的测定</w:t>
            </w:r>
            <w:r>
              <w:rPr>
                <w:color w:val="auto"/>
              </w:rPr>
              <w:t xml:space="preserve"> </w:t>
            </w:r>
            <w:r>
              <w:rPr>
                <w:rFonts w:hint="eastAsia"/>
                <w:color w:val="auto"/>
              </w:rPr>
              <w:t>三点比较式臭袋法（</w:t>
            </w:r>
            <w:r>
              <w:rPr>
                <w:color w:val="auto"/>
              </w:rPr>
              <w:t>HJ 1262-2022</w:t>
            </w:r>
            <w:r>
              <w:rPr>
                <w:rFonts w:hint="eastAsia"/>
                <w:color w:val="auto"/>
              </w:rPr>
              <w:t>）</w:t>
            </w:r>
          </w:p>
        </w:tc>
        <w:tc>
          <w:tcPr>
            <w:tcW w:w="1210" w:type="pct"/>
            <w:vAlign w:val="center"/>
          </w:tcPr>
          <w:p w14:paraId="4064A02C">
            <w:pPr>
              <w:pStyle w:val="33"/>
              <w:rPr>
                <w:color w:val="auto"/>
              </w:rPr>
            </w:pPr>
            <w:r>
              <w:rPr>
                <w:color w:val="auto"/>
              </w:rPr>
              <w:t>10</w:t>
            </w:r>
            <w:r>
              <w:rPr>
                <w:rFonts w:hint="eastAsia"/>
                <w:color w:val="auto"/>
              </w:rPr>
              <w:t>（无量纲）</w:t>
            </w:r>
          </w:p>
        </w:tc>
      </w:tr>
      <w:tr w14:paraId="6FC5C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0D85D8EE">
            <w:pPr>
              <w:pStyle w:val="33"/>
              <w:rPr>
                <w:color w:val="auto"/>
              </w:rPr>
            </w:pPr>
            <w:r>
              <w:rPr>
                <w:rFonts w:hint="eastAsia"/>
                <w:color w:val="auto"/>
              </w:rPr>
              <w:t>2</w:t>
            </w:r>
          </w:p>
        </w:tc>
        <w:tc>
          <w:tcPr>
            <w:tcW w:w="667" w:type="pct"/>
            <w:vAlign w:val="center"/>
          </w:tcPr>
          <w:p w14:paraId="62DFE2D3">
            <w:pPr>
              <w:pStyle w:val="33"/>
              <w:rPr>
                <w:color w:val="auto"/>
              </w:rPr>
            </w:pPr>
            <w:r>
              <w:rPr>
                <w:color w:val="auto"/>
              </w:rPr>
              <w:t>硫化氢</w:t>
            </w:r>
          </w:p>
        </w:tc>
        <w:tc>
          <w:tcPr>
            <w:tcW w:w="2760" w:type="pct"/>
            <w:vAlign w:val="center"/>
          </w:tcPr>
          <w:p w14:paraId="420D939E">
            <w:pPr>
              <w:pStyle w:val="33"/>
              <w:rPr>
                <w:color w:val="auto"/>
              </w:rPr>
            </w:pPr>
            <w:r>
              <w:rPr>
                <w:rFonts w:hint="eastAsia"/>
                <w:color w:val="auto"/>
              </w:rPr>
              <w:t>环境空气</w:t>
            </w:r>
            <w:r>
              <w:rPr>
                <w:color w:val="auto"/>
              </w:rPr>
              <w:t xml:space="preserve"> </w:t>
            </w:r>
            <w:r>
              <w:rPr>
                <w:rFonts w:hint="eastAsia"/>
                <w:color w:val="auto"/>
              </w:rPr>
              <w:t>硫化氢</w:t>
            </w:r>
            <w:r>
              <w:rPr>
                <w:color w:val="auto"/>
              </w:rPr>
              <w:t xml:space="preserve"> </w:t>
            </w:r>
            <w:r>
              <w:rPr>
                <w:rFonts w:hint="eastAsia"/>
                <w:color w:val="auto"/>
              </w:rPr>
              <w:t>亚甲基蓝分光光度法《空气和废气监测分析方法》（第四版增补版）国家环境保护总局（</w:t>
            </w:r>
            <w:r>
              <w:rPr>
                <w:color w:val="auto"/>
              </w:rPr>
              <w:t>2003</w:t>
            </w:r>
            <w:r>
              <w:rPr>
                <w:rFonts w:hint="eastAsia"/>
                <w:color w:val="auto"/>
              </w:rPr>
              <w:t>年）</w:t>
            </w:r>
          </w:p>
        </w:tc>
        <w:tc>
          <w:tcPr>
            <w:tcW w:w="1210" w:type="pct"/>
            <w:vAlign w:val="center"/>
          </w:tcPr>
          <w:p w14:paraId="1DE4DB82">
            <w:pPr>
              <w:pStyle w:val="33"/>
              <w:rPr>
                <w:color w:val="auto"/>
              </w:rPr>
            </w:pPr>
            <w:r>
              <w:rPr>
                <w:color w:val="auto"/>
              </w:rPr>
              <w:t>0.001mg/m</w:t>
            </w:r>
            <w:r>
              <w:rPr>
                <w:color w:val="auto"/>
                <w:vertAlign w:val="superscript"/>
              </w:rPr>
              <w:t>3</w:t>
            </w:r>
          </w:p>
        </w:tc>
      </w:tr>
      <w:tr w14:paraId="4B798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12363B1B">
            <w:pPr>
              <w:pStyle w:val="33"/>
              <w:rPr>
                <w:color w:val="auto"/>
              </w:rPr>
            </w:pPr>
            <w:r>
              <w:rPr>
                <w:rFonts w:hint="eastAsia"/>
                <w:color w:val="auto"/>
              </w:rPr>
              <w:t>3</w:t>
            </w:r>
          </w:p>
        </w:tc>
        <w:tc>
          <w:tcPr>
            <w:tcW w:w="667" w:type="pct"/>
            <w:vAlign w:val="center"/>
          </w:tcPr>
          <w:p w14:paraId="4586382D">
            <w:pPr>
              <w:pStyle w:val="33"/>
              <w:rPr>
                <w:color w:val="auto"/>
              </w:rPr>
            </w:pPr>
            <w:r>
              <w:rPr>
                <w:rFonts w:hint="eastAsia"/>
                <w:color w:val="auto"/>
              </w:rPr>
              <w:t>氨</w:t>
            </w:r>
          </w:p>
        </w:tc>
        <w:tc>
          <w:tcPr>
            <w:tcW w:w="2760" w:type="pct"/>
            <w:vAlign w:val="center"/>
          </w:tcPr>
          <w:p w14:paraId="4925E71F">
            <w:pPr>
              <w:pStyle w:val="33"/>
              <w:rPr>
                <w:color w:val="auto"/>
              </w:rPr>
            </w:pPr>
            <w:r>
              <w:rPr>
                <w:rFonts w:hint="eastAsia"/>
                <w:color w:val="auto"/>
              </w:rPr>
              <w:t>环境空气和废气 氨的测定 纳氏试剂分光光度法（HJ 533-2009）</w:t>
            </w:r>
          </w:p>
        </w:tc>
        <w:tc>
          <w:tcPr>
            <w:tcW w:w="1210" w:type="pct"/>
            <w:vAlign w:val="center"/>
          </w:tcPr>
          <w:p w14:paraId="4E2062C2">
            <w:pPr>
              <w:pStyle w:val="33"/>
              <w:rPr>
                <w:color w:val="auto"/>
              </w:rPr>
            </w:pPr>
            <w:r>
              <w:rPr>
                <w:color w:val="auto"/>
              </w:rPr>
              <w:t>0.01mg/m</w:t>
            </w:r>
            <w:r>
              <w:rPr>
                <w:color w:val="auto"/>
                <w:vertAlign w:val="superscript"/>
              </w:rPr>
              <w:t>3</w:t>
            </w:r>
          </w:p>
        </w:tc>
      </w:tr>
      <w:tr w14:paraId="474B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3E56B526">
            <w:pPr>
              <w:pStyle w:val="33"/>
              <w:rPr>
                <w:color w:val="auto"/>
              </w:rPr>
            </w:pPr>
            <w:r>
              <w:rPr>
                <w:rFonts w:hint="eastAsia"/>
                <w:color w:val="auto"/>
              </w:rPr>
              <w:t>4</w:t>
            </w:r>
          </w:p>
        </w:tc>
        <w:tc>
          <w:tcPr>
            <w:tcW w:w="667" w:type="pct"/>
            <w:vAlign w:val="center"/>
          </w:tcPr>
          <w:p w14:paraId="1F705676">
            <w:pPr>
              <w:pStyle w:val="33"/>
              <w:rPr>
                <w:color w:val="auto"/>
              </w:rPr>
            </w:pPr>
            <w:r>
              <w:rPr>
                <w:color w:val="auto"/>
              </w:rPr>
              <w:t>非甲烷总烃</w:t>
            </w:r>
          </w:p>
        </w:tc>
        <w:tc>
          <w:tcPr>
            <w:tcW w:w="2760" w:type="pct"/>
            <w:vAlign w:val="center"/>
          </w:tcPr>
          <w:p w14:paraId="33B1B6AC">
            <w:pPr>
              <w:pStyle w:val="33"/>
              <w:rPr>
                <w:color w:val="auto"/>
              </w:rPr>
            </w:pPr>
            <w:r>
              <w:rPr>
                <w:color w:val="auto"/>
              </w:rPr>
              <w:t>环境空气  总烃、甲烷和非甲烷总烃的测定 直接进样-气相色谱法（HJ 604-2017）</w:t>
            </w:r>
          </w:p>
        </w:tc>
        <w:tc>
          <w:tcPr>
            <w:tcW w:w="1210" w:type="pct"/>
            <w:vAlign w:val="center"/>
          </w:tcPr>
          <w:p w14:paraId="43B9BB1A">
            <w:pPr>
              <w:pStyle w:val="33"/>
              <w:rPr>
                <w:color w:val="auto"/>
              </w:rPr>
            </w:pPr>
            <w:r>
              <w:rPr>
                <w:color w:val="auto"/>
              </w:rPr>
              <w:t>0.07mg/m</w:t>
            </w:r>
            <w:r>
              <w:rPr>
                <w:color w:val="auto"/>
                <w:vertAlign w:val="superscript"/>
              </w:rPr>
              <w:t>3</w:t>
            </w:r>
          </w:p>
        </w:tc>
      </w:tr>
      <w:tr w14:paraId="0C3CC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363" w:type="pct"/>
            <w:vAlign w:val="center"/>
          </w:tcPr>
          <w:p w14:paraId="3D4779BE">
            <w:pPr>
              <w:pStyle w:val="33"/>
              <w:rPr>
                <w:color w:val="auto"/>
              </w:rPr>
            </w:pPr>
            <w:r>
              <w:rPr>
                <w:rFonts w:hint="eastAsia"/>
                <w:color w:val="auto"/>
              </w:rPr>
              <w:t>5</w:t>
            </w:r>
          </w:p>
        </w:tc>
        <w:tc>
          <w:tcPr>
            <w:tcW w:w="667" w:type="pct"/>
            <w:vAlign w:val="center"/>
          </w:tcPr>
          <w:p w14:paraId="7A165280">
            <w:pPr>
              <w:pStyle w:val="33"/>
              <w:rPr>
                <w:color w:val="auto"/>
              </w:rPr>
            </w:pPr>
            <w:r>
              <w:rPr>
                <w:color w:val="auto"/>
              </w:rPr>
              <w:t>TSP</w:t>
            </w:r>
          </w:p>
        </w:tc>
        <w:tc>
          <w:tcPr>
            <w:tcW w:w="2760" w:type="pct"/>
            <w:vAlign w:val="center"/>
          </w:tcPr>
          <w:p w14:paraId="4567E898">
            <w:pPr>
              <w:pStyle w:val="33"/>
              <w:rPr>
                <w:color w:val="auto"/>
              </w:rPr>
            </w:pPr>
            <w:r>
              <w:rPr>
                <w:color w:val="auto"/>
              </w:rPr>
              <w:t>环境空气 总悬浮颗粒物的测定 重量法</w:t>
            </w:r>
            <w:r>
              <w:rPr>
                <w:rFonts w:hint="eastAsia"/>
                <w:color w:val="auto"/>
              </w:rPr>
              <w:t>（HJ 1263-2022）</w:t>
            </w:r>
          </w:p>
        </w:tc>
        <w:tc>
          <w:tcPr>
            <w:tcW w:w="1210" w:type="pct"/>
            <w:vAlign w:val="center"/>
          </w:tcPr>
          <w:p w14:paraId="3E52DEDE">
            <w:pPr>
              <w:pStyle w:val="33"/>
              <w:rPr>
                <w:color w:val="auto"/>
              </w:rPr>
            </w:pPr>
            <w:r>
              <w:rPr>
                <w:rFonts w:hint="eastAsia"/>
                <w:color w:val="auto"/>
              </w:rPr>
              <w:t>7</w:t>
            </w:r>
            <w:r>
              <w:rPr>
                <w:color w:val="auto"/>
              </w:rPr>
              <w:t>μg/m</w:t>
            </w:r>
            <w:r>
              <w:rPr>
                <w:color w:val="auto"/>
                <w:vertAlign w:val="superscript"/>
              </w:rPr>
              <w:t>3</w:t>
            </w:r>
          </w:p>
        </w:tc>
      </w:tr>
    </w:tbl>
    <w:p w14:paraId="1AD50F19">
      <w:pPr>
        <w:pStyle w:val="5"/>
        <w:rPr>
          <w:color w:val="auto"/>
        </w:rPr>
      </w:pPr>
      <w:r>
        <w:rPr>
          <w:rFonts w:hint="eastAsia"/>
          <w:color w:val="auto"/>
        </w:rPr>
        <w:t>评价标准</w:t>
      </w:r>
    </w:p>
    <w:p w14:paraId="7AB0EA5A">
      <w:pPr>
        <w:ind w:firstLine="480"/>
        <w:rPr>
          <w:color w:val="auto"/>
        </w:rPr>
      </w:pPr>
      <w:r>
        <w:rPr>
          <w:rFonts w:hint="eastAsia"/>
          <w:color w:val="auto"/>
        </w:rPr>
        <w:t>区域为环境空气质量二类功能区，H</w:t>
      </w:r>
      <w:r>
        <w:rPr>
          <w:color w:val="auto"/>
          <w:vertAlign w:val="subscript"/>
        </w:rPr>
        <w:t>2</w:t>
      </w:r>
      <w:r>
        <w:rPr>
          <w:color w:val="auto"/>
        </w:rPr>
        <w:t>S</w:t>
      </w:r>
      <w:r>
        <w:rPr>
          <w:rFonts w:hint="eastAsia"/>
          <w:color w:val="auto"/>
        </w:rPr>
        <w:t>、</w:t>
      </w:r>
      <w:r>
        <w:rPr>
          <w:color w:val="auto"/>
        </w:rPr>
        <w:t>NH</w:t>
      </w:r>
      <w:r>
        <w:rPr>
          <w:color w:val="auto"/>
          <w:vertAlign w:val="subscript"/>
        </w:rPr>
        <w:t>3</w:t>
      </w:r>
      <w:r>
        <w:rPr>
          <w:rFonts w:hint="eastAsia"/>
          <w:color w:val="auto"/>
        </w:rPr>
        <w:t>执行《环境影响评价技术导则 大气环境》（HJ 2.2-2018）附录D其他污染物空气质量浓度参考限值，T</w:t>
      </w:r>
      <w:r>
        <w:rPr>
          <w:color w:val="auto"/>
        </w:rPr>
        <w:t>SP</w:t>
      </w:r>
      <w:r>
        <w:rPr>
          <w:rFonts w:hint="eastAsia"/>
          <w:color w:val="auto"/>
        </w:rPr>
        <w:t>执行《环境空气质量标准》（GB3095-2012）二级标准，非甲烷总烃参照执行《大气污染物综合排放标准详解》推荐值，</w:t>
      </w:r>
      <w:r>
        <w:rPr>
          <w:rFonts w:cs="Times New Roman"/>
          <w:color w:val="auto"/>
        </w:rPr>
        <w:t>臭气浓度无评价标准，仅留作背景，不做评价。</w:t>
      </w:r>
      <w:r>
        <w:rPr>
          <w:rFonts w:hint="eastAsia"/>
          <w:color w:val="auto"/>
        </w:rPr>
        <w:t>。</w:t>
      </w:r>
    </w:p>
    <w:p w14:paraId="701B6857">
      <w:pPr>
        <w:pStyle w:val="5"/>
        <w:rPr>
          <w:color w:val="auto"/>
        </w:rPr>
      </w:pPr>
      <w:r>
        <w:rPr>
          <w:rFonts w:hint="eastAsia"/>
          <w:color w:val="auto"/>
        </w:rPr>
        <w:t>评价方法</w:t>
      </w:r>
    </w:p>
    <w:p w14:paraId="667ED64D">
      <w:pPr>
        <w:ind w:firstLine="480"/>
        <w:rPr>
          <w:color w:val="auto"/>
        </w:rPr>
      </w:pPr>
      <w:r>
        <w:rPr>
          <w:rFonts w:hint="eastAsia"/>
          <w:color w:val="auto"/>
        </w:rPr>
        <w:t>根据《环境影响评价技术导则 大气环境》（HJ2.2-2018）中的规定，对采用补充监测数据进行现状评价的，取各污染物不同评价时段监测浓度的最大值，作为评价范围内环境空气保护目标及网格点环境质量现状浓度。采用单因子指数法进行评价，其公式如下：</w:t>
      </w:r>
    </w:p>
    <w:p w14:paraId="2AF03C30">
      <w:pPr>
        <w:ind w:firstLine="0" w:firstLineChars="0"/>
        <w:rPr>
          <w:iCs/>
          <w:color w:val="auto"/>
        </w:rPr>
      </w:pPr>
      <m:oMathPara>
        <m:oMath>
          <m:sSub>
            <m:sSubPr>
              <m:ctrlPr>
                <w:rPr>
                  <w:rFonts w:ascii="Cambria Math" w:hAnsi="Cambria Math"/>
                  <w:iCs/>
                  <w:color w:val="auto"/>
                </w:rPr>
              </m:ctrlPr>
            </m:sSubPr>
            <m:e>
              <m:r>
                <m:rPr>
                  <m:sty m:val="p"/>
                </m:rPr>
                <w:rPr>
                  <w:rFonts w:ascii="Cambria Math" w:hAnsi="Cambria Math"/>
                  <w:color w:val="auto"/>
                </w:rPr>
                <m:t>P</m:t>
              </m:r>
              <m:ctrlPr>
                <w:rPr>
                  <w:rFonts w:ascii="Cambria Math" w:hAnsi="Cambria Math"/>
                  <w:iCs/>
                  <w:color w:val="auto"/>
                </w:rPr>
              </m:ctrlPr>
            </m:e>
            <m:sub>
              <m:r>
                <m:rPr>
                  <m:sty m:val="p"/>
                </m:rPr>
                <w:rPr>
                  <w:rFonts w:ascii="Cambria Math" w:hAnsi="Cambria Math"/>
                  <w:color w:val="auto"/>
                </w:rPr>
                <m:t>i</m:t>
              </m:r>
              <m:ctrlPr>
                <w:rPr>
                  <w:rFonts w:ascii="Cambria Math" w:hAnsi="Cambria Math"/>
                  <w:iCs/>
                  <w:color w:val="auto"/>
                </w:rPr>
              </m:ctrlPr>
            </m:sub>
          </m:sSub>
          <m:r>
            <m:rPr>
              <m:sty m:val="p"/>
            </m:rPr>
            <w:rPr>
              <w:rFonts w:ascii="Cambria Math" w:hAnsi="Cambria Math"/>
              <w:color w:val="auto"/>
            </w:rPr>
            <m:t>=</m:t>
          </m:r>
          <m:f>
            <m:fPr>
              <m:ctrlPr>
                <w:rPr>
                  <w:rFonts w:ascii="Cambria Math" w:hAnsi="Cambria Math"/>
                  <w:color w:val="auto"/>
                </w:rPr>
              </m:ctrlPr>
            </m:fPr>
            <m:num>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hint="eastAsia" w:ascii="Cambria Math" w:hAnsi="Cambria Math"/>
                      <w:color w:val="auto"/>
                    </w:rPr>
                    <m:t>i</m:t>
                  </m:r>
                  <m:ctrlPr>
                    <w:rPr>
                      <w:rFonts w:ascii="Cambria Math" w:hAnsi="Cambria Math"/>
                      <w:i/>
                      <w:color w:val="auto"/>
                    </w:rPr>
                  </m:ctrlPr>
                </m:sub>
              </m:sSub>
              <m:ctrlPr>
                <w:rPr>
                  <w:rFonts w:ascii="Cambria Math" w:hAnsi="Cambria Math"/>
                  <w:color w:val="auto"/>
                </w:rPr>
              </m:ctrlPr>
            </m:num>
            <m:den>
              <m:sSub>
                <m:sSubPr>
                  <m:ctrlPr>
                    <w:rPr>
                      <w:rFonts w:ascii="Cambria Math" w:hAnsi="Cambria Math"/>
                      <w:i/>
                      <w:color w:val="auto"/>
                    </w:rPr>
                  </m:ctrlPr>
                </m:sSubPr>
                <m:e>
                  <m:r>
                    <m:rPr/>
                    <w:rPr>
                      <w:rFonts w:ascii="Cambria Math" w:hAnsi="Cambria Math"/>
                      <w:color w:val="auto"/>
                    </w:rPr>
                    <m:t>C</m:t>
                  </m:r>
                  <m:ctrlPr>
                    <w:rPr>
                      <w:rFonts w:ascii="Cambria Math" w:hAnsi="Cambria Math"/>
                      <w:i/>
                      <w:color w:val="auto"/>
                    </w:rPr>
                  </m:ctrlPr>
                </m:e>
                <m:sub>
                  <m:r>
                    <m:rPr/>
                    <w:rPr>
                      <w:rFonts w:hint="eastAsia" w:ascii="Cambria Math" w:hAnsi="Cambria Math"/>
                      <w:color w:val="auto"/>
                    </w:rPr>
                    <m:t>0i</m:t>
                  </m:r>
                  <m:ctrlPr>
                    <w:rPr>
                      <w:rFonts w:ascii="Cambria Math" w:hAnsi="Cambria Math"/>
                      <w:i/>
                      <w:color w:val="auto"/>
                    </w:rPr>
                  </m:ctrlPr>
                </m:sub>
              </m:sSub>
              <m:ctrlPr>
                <w:rPr>
                  <w:rFonts w:ascii="Cambria Math" w:hAnsi="Cambria Math"/>
                  <w:color w:val="auto"/>
                </w:rPr>
              </m:ctrlPr>
            </m:den>
          </m:f>
          <m:r>
            <m:rPr/>
            <w:rPr>
              <w:rFonts w:ascii="Cambria Math" w:hAnsi="Cambria Math"/>
              <w:color w:val="auto"/>
            </w:rPr>
            <m:t>×</m:t>
          </m:r>
          <m:r>
            <m:rPr/>
            <w:rPr>
              <w:rFonts w:hint="eastAsia" w:ascii="Cambria Math" w:hAnsi="Cambria Math"/>
              <w:color w:val="auto"/>
            </w:rPr>
            <m:t>100%</m:t>
          </m:r>
        </m:oMath>
      </m:oMathPara>
    </w:p>
    <w:p w14:paraId="5D41CCB6">
      <w:pPr>
        <w:ind w:firstLine="480"/>
        <w:rPr>
          <w:color w:val="auto"/>
        </w:rPr>
      </w:pPr>
      <w:r>
        <w:rPr>
          <w:rFonts w:hint="eastAsia"/>
          <w:color w:val="auto"/>
        </w:rPr>
        <w:t>式中：</w:t>
      </w:r>
    </w:p>
    <w:p w14:paraId="405742B3">
      <w:pPr>
        <w:ind w:firstLine="480"/>
        <w:rPr>
          <w:color w:val="auto"/>
        </w:rPr>
      </w:pPr>
      <w:r>
        <w:rPr>
          <w:rFonts w:hint="eastAsia"/>
          <w:color w:val="auto"/>
        </w:rPr>
        <w:t>P</w:t>
      </w:r>
      <w:r>
        <w:rPr>
          <w:rFonts w:hint="eastAsia"/>
          <w:color w:val="auto"/>
          <w:vertAlign w:val="subscript"/>
        </w:rPr>
        <w:t>i</w:t>
      </w:r>
      <w:r>
        <w:rPr>
          <w:rFonts w:hint="eastAsia"/>
          <w:color w:val="auto"/>
        </w:rPr>
        <w:t>—第i个污染物的最大浓度占标率，%；</w:t>
      </w:r>
    </w:p>
    <w:p w14:paraId="6EA6AC09">
      <w:pPr>
        <w:ind w:firstLine="480"/>
        <w:rPr>
          <w:color w:val="auto"/>
        </w:rPr>
      </w:pPr>
      <w:r>
        <w:rPr>
          <w:rFonts w:hint="eastAsia"/>
          <w:color w:val="auto"/>
        </w:rPr>
        <w:t>C</w:t>
      </w:r>
      <w:r>
        <w:rPr>
          <w:rFonts w:hint="eastAsia"/>
          <w:color w:val="auto"/>
          <w:vertAlign w:val="subscript"/>
        </w:rPr>
        <w:t>i</w:t>
      </w:r>
      <w:r>
        <w:rPr>
          <w:rFonts w:hint="eastAsia"/>
          <w:color w:val="auto"/>
        </w:rPr>
        <w:t>—第i个污染物的最大实测质量浓度，µg/m</w:t>
      </w:r>
      <w:r>
        <w:rPr>
          <w:rFonts w:hint="eastAsia"/>
          <w:color w:val="auto"/>
          <w:vertAlign w:val="superscript"/>
        </w:rPr>
        <w:t>3</w:t>
      </w:r>
      <w:r>
        <w:rPr>
          <w:rFonts w:hint="eastAsia"/>
          <w:color w:val="auto"/>
        </w:rPr>
        <w:t>或mg/m</w:t>
      </w:r>
      <w:r>
        <w:rPr>
          <w:rFonts w:hint="eastAsia"/>
          <w:color w:val="auto"/>
          <w:vertAlign w:val="superscript"/>
        </w:rPr>
        <w:t>3</w:t>
      </w:r>
      <w:r>
        <w:rPr>
          <w:rFonts w:hint="eastAsia"/>
          <w:color w:val="auto"/>
        </w:rPr>
        <w:t>；</w:t>
      </w:r>
    </w:p>
    <w:p w14:paraId="0B22BB66">
      <w:pPr>
        <w:ind w:firstLine="480"/>
        <w:rPr>
          <w:color w:val="auto"/>
        </w:rPr>
      </w:pPr>
      <w:r>
        <w:rPr>
          <w:rFonts w:hint="eastAsia"/>
          <w:color w:val="auto"/>
        </w:rPr>
        <w:t>C</w:t>
      </w:r>
      <w:r>
        <w:rPr>
          <w:rFonts w:hint="eastAsia"/>
          <w:color w:val="auto"/>
          <w:vertAlign w:val="subscript"/>
        </w:rPr>
        <w:t>0i</w:t>
      </w:r>
      <w:r>
        <w:rPr>
          <w:rFonts w:hint="eastAsia"/>
          <w:color w:val="auto"/>
        </w:rPr>
        <w:t>—第i个污染物的环境空气质量标准，µg/m</w:t>
      </w:r>
      <w:r>
        <w:rPr>
          <w:rFonts w:hint="eastAsia"/>
          <w:color w:val="auto"/>
          <w:vertAlign w:val="superscript"/>
        </w:rPr>
        <w:t>3</w:t>
      </w:r>
      <w:r>
        <w:rPr>
          <w:rFonts w:hint="eastAsia"/>
          <w:color w:val="auto"/>
        </w:rPr>
        <w:t>或mg/m</w:t>
      </w:r>
      <w:r>
        <w:rPr>
          <w:rFonts w:hint="eastAsia"/>
          <w:color w:val="auto"/>
          <w:vertAlign w:val="superscript"/>
        </w:rPr>
        <w:t>3</w:t>
      </w:r>
      <w:r>
        <w:rPr>
          <w:rFonts w:hint="eastAsia"/>
          <w:color w:val="auto"/>
        </w:rPr>
        <w:t>。</w:t>
      </w:r>
    </w:p>
    <w:p w14:paraId="4E7C01B5">
      <w:pPr>
        <w:ind w:firstLine="480"/>
        <w:rPr>
          <w:color w:val="auto"/>
        </w:rPr>
      </w:pPr>
      <w:r>
        <w:rPr>
          <w:rFonts w:hint="eastAsia"/>
          <w:color w:val="auto"/>
        </w:rPr>
        <w:t>P</w:t>
      </w:r>
      <w:r>
        <w:rPr>
          <w:rFonts w:hint="eastAsia"/>
          <w:color w:val="auto"/>
          <w:vertAlign w:val="subscript"/>
        </w:rPr>
        <w:t>i</w:t>
      </w:r>
      <w:r>
        <w:rPr>
          <w:rFonts w:hint="eastAsia"/>
          <w:color w:val="auto"/>
        </w:rPr>
        <w:t>＞100%时，表示i污染物超标，P</w:t>
      </w:r>
      <w:r>
        <w:rPr>
          <w:rFonts w:hint="eastAsia"/>
          <w:color w:val="auto"/>
          <w:vertAlign w:val="subscript"/>
        </w:rPr>
        <w:t>i</w:t>
      </w:r>
      <w:r>
        <w:rPr>
          <w:rFonts w:hint="eastAsia"/>
          <w:color w:val="auto"/>
        </w:rPr>
        <w:t>＜100%时，表示i污染物未超标。</w:t>
      </w:r>
    </w:p>
    <w:p w14:paraId="065A6BCD">
      <w:pPr>
        <w:ind w:firstLine="480"/>
        <w:jc w:val="center"/>
        <w:rPr>
          <w:color w:val="auto"/>
        </w:rPr>
      </w:pPr>
      <w:r>
        <w:rPr>
          <w:rFonts w:hint="eastAsia"/>
          <w:color w:val="auto"/>
        </w:rPr>
        <w:t>超标率=超标个数/总监测数据个数×100%</w:t>
      </w:r>
    </w:p>
    <w:p w14:paraId="55E6524A">
      <w:pPr>
        <w:pStyle w:val="5"/>
        <w:rPr>
          <w:color w:val="auto"/>
        </w:rPr>
      </w:pPr>
      <w:r>
        <w:rPr>
          <w:rFonts w:hint="eastAsia"/>
          <w:color w:val="auto"/>
        </w:rPr>
        <w:t>监测结果及评价</w:t>
      </w:r>
    </w:p>
    <w:p w14:paraId="7FEFD146">
      <w:pPr>
        <w:ind w:firstLine="480"/>
        <w:rPr>
          <w:color w:val="auto"/>
        </w:rPr>
      </w:pPr>
      <w:r>
        <w:rPr>
          <w:rFonts w:hint="eastAsia"/>
          <w:color w:val="auto"/>
        </w:rPr>
        <w:t>环境空气现场采样条件见下表。</w:t>
      </w:r>
    </w:p>
    <w:p w14:paraId="2E3C55F4">
      <w:pPr>
        <w:pStyle w:val="7"/>
        <w:rPr>
          <w:color w:val="auto"/>
        </w:rPr>
      </w:pPr>
      <w:bookmarkStart w:id="323" w:name="_Ref196924903"/>
      <w:r>
        <w:rPr>
          <w:rFonts w:hint="eastAsia"/>
          <w:color w:val="auto"/>
        </w:rPr>
        <w:t>环境空气现场采样条件一览表</w:t>
      </w:r>
      <w:bookmarkEnd w:id="323"/>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268"/>
        <w:gridCol w:w="1125"/>
        <w:gridCol w:w="1125"/>
        <w:gridCol w:w="1275"/>
        <w:gridCol w:w="1126"/>
        <w:gridCol w:w="1126"/>
        <w:gridCol w:w="1122"/>
      </w:tblGrid>
      <w:tr w14:paraId="30C90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Align w:val="center"/>
          </w:tcPr>
          <w:p w14:paraId="5BBA3E4A">
            <w:pPr>
              <w:pStyle w:val="33"/>
              <w:rPr>
                <w:color w:val="auto"/>
              </w:rPr>
            </w:pPr>
            <w:r>
              <w:rPr>
                <w:color w:val="auto"/>
              </w:rPr>
              <w:t>监测点位</w:t>
            </w:r>
          </w:p>
        </w:tc>
        <w:tc>
          <w:tcPr>
            <w:tcW w:w="693" w:type="pct"/>
            <w:vAlign w:val="center"/>
          </w:tcPr>
          <w:p w14:paraId="12F4961F">
            <w:pPr>
              <w:pStyle w:val="33"/>
              <w:rPr>
                <w:color w:val="auto"/>
              </w:rPr>
            </w:pPr>
            <w:r>
              <w:rPr>
                <w:color w:val="auto"/>
              </w:rPr>
              <w:t>监测日期</w:t>
            </w:r>
          </w:p>
        </w:tc>
        <w:tc>
          <w:tcPr>
            <w:tcW w:w="616" w:type="pct"/>
            <w:vAlign w:val="center"/>
          </w:tcPr>
          <w:p w14:paraId="4C2FD2B1">
            <w:pPr>
              <w:pStyle w:val="33"/>
              <w:rPr>
                <w:color w:val="auto"/>
              </w:rPr>
            </w:pPr>
            <w:r>
              <w:rPr>
                <w:color w:val="auto"/>
              </w:rPr>
              <w:t>天气状况</w:t>
            </w:r>
          </w:p>
        </w:tc>
        <w:tc>
          <w:tcPr>
            <w:tcW w:w="616" w:type="pct"/>
            <w:vAlign w:val="center"/>
          </w:tcPr>
          <w:p w14:paraId="61B2A950">
            <w:pPr>
              <w:pStyle w:val="33"/>
              <w:rPr>
                <w:color w:val="auto"/>
              </w:rPr>
            </w:pPr>
            <w:r>
              <w:rPr>
                <w:color w:val="auto"/>
              </w:rPr>
              <w:t>气温（℃）</w:t>
            </w:r>
          </w:p>
        </w:tc>
        <w:tc>
          <w:tcPr>
            <w:tcW w:w="616" w:type="pct"/>
            <w:vAlign w:val="center"/>
          </w:tcPr>
          <w:p w14:paraId="1E165A2D">
            <w:pPr>
              <w:pStyle w:val="33"/>
              <w:rPr>
                <w:color w:val="auto"/>
              </w:rPr>
            </w:pPr>
            <w:r>
              <w:rPr>
                <w:color w:val="auto"/>
              </w:rPr>
              <w:t>气压（kPa）</w:t>
            </w:r>
          </w:p>
        </w:tc>
        <w:tc>
          <w:tcPr>
            <w:tcW w:w="616" w:type="pct"/>
            <w:vAlign w:val="center"/>
          </w:tcPr>
          <w:p w14:paraId="5A8E2A57">
            <w:pPr>
              <w:pStyle w:val="33"/>
              <w:rPr>
                <w:color w:val="auto"/>
              </w:rPr>
            </w:pPr>
            <w:r>
              <w:rPr>
                <w:color w:val="auto"/>
              </w:rPr>
              <w:t>最大风速（m/s）</w:t>
            </w:r>
          </w:p>
        </w:tc>
        <w:tc>
          <w:tcPr>
            <w:tcW w:w="616" w:type="pct"/>
            <w:vAlign w:val="center"/>
          </w:tcPr>
          <w:p w14:paraId="1AFB3C13">
            <w:pPr>
              <w:pStyle w:val="33"/>
              <w:rPr>
                <w:color w:val="auto"/>
              </w:rPr>
            </w:pPr>
            <w:r>
              <w:rPr>
                <w:color w:val="auto"/>
              </w:rPr>
              <w:t>湿度（%）</w:t>
            </w:r>
          </w:p>
        </w:tc>
        <w:tc>
          <w:tcPr>
            <w:tcW w:w="614" w:type="pct"/>
            <w:vAlign w:val="center"/>
          </w:tcPr>
          <w:p w14:paraId="333C7108">
            <w:pPr>
              <w:pStyle w:val="33"/>
              <w:rPr>
                <w:color w:val="auto"/>
              </w:rPr>
            </w:pPr>
            <w:r>
              <w:rPr>
                <w:color w:val="auto"/>
              </w:rPr>
              <w:t>风向</w:t>
            </w:r>
          </w:p>
        </w:tc>
      </w:tr>
      <w:tr w14:paraId="59DD0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restart"/>
            <w:vAlign w:val="center"/>
          </w:tcPr>
          <w:p w14:paraId="2B52A410">
            <w:pPr>
              <w:pStyle w:val="33"/>
              <w:rPr>
                <w:color w:val="auto"/>
              </w:rPr>
            </w:pPr>
            <w:r>
              <w:rPr>
                <w:color w:val="auto"/>
              </w:rPr>
              <w:t>G1上硫磺山村</w:t>
            </w:r>
          </w:p>
        </w:tc>
        <w:tc>
          <w:tcPr>
            <w:tcW w:w="693" w:type="pct"/>
            <w:vAlign w:val="center"/>
          </w:tcPr>
          <w:p w14:paraId="1C6CD035">
            <w:pPr>
              <w:pStyle w:val="33"/>
              <w:rPr>
                <w:color w:val="auto"/>
              </w:rPr>
            </w:pPr>
            <w:r>
              <w:rPr>
                <w:color w:val="auto"/>
                <w:lang w:bidi="ar"/>
              </w:rPr>
              <w:t>2025.10.15</w:t>
            </w:r>
          </w:p>
        </w:tc>
        <w:tc>
          <w:tcPr>
            <w:tcW w:w="616" w:type="pct"/>
            <w:vAlign w:val="center"/>
          </w:tcPr>
          <w:p w14:paraId="157C454B">
            <w:pPr>
              <w:pStyle w:val="33"/>
              <w:rPr>
                <w:color w:val="auto"/>
              </w:rPr>
            </w:pPr>
            <w:r>
              <w:rPr>
                <w:color w:val="auto"/>
              </w:rPr>
              <w:t>晴</w:t>
            </w:r>
          </w:p>
        </w:tc>
        <w:tc>
          <w:tcPr>
            <w:tcW w:w="616" w:type="pct"/>
            <w:vAlign w:val="center"/>
          </w:tcPr>
          <w:p w14:paraId="5B7AFF06">
            <w:pPr>
              <w:pStyle w:val="33"/>
              <w:rPr>
                <w:color w:val="auto"/>
              </w:rPr>
            </w:pPr>
            <w:r>
              <w:rPr>
                <w:color w:val="auto"/>
              </w:rPr>
              <w:t>25.3~32.2</w:t>
            </w:r>
          </w:p>
        </w:tc>
        <w:tc>
          <w:tcPr>
            <w:tcW w:w="616" w:type="pct"/>
            <w:vAlign w:val="center"/>
          </w:tcPr>
          <w:p w14:paraId="18966C8A">
            <w:pPr>
              <w:pStyle w:val="33"/>
              <w:rPr>
                <w:color w:val="auto"/>
              </w:rPr>
            </w:pPr>
            <w:r>
              <w:rPr>
                <w:color w:val="auto"/>
              </w:rPr>
              <w:t>101.0~101.3</w:t>
            </w:r>
          </w:p>
        </w:tc>
        <w:tc>
          <w:tcPr>
            <w:tcW w:w="616" w:type="pct"/>
            <w:vAlign w:val="center"/>
          </w:tcPr>
          <w:p w14:paraId="5DCE9810">
            <w:pPr>
              <w:pStyle w:val="33"/>
              <w:rPr>
                <w:color w:val="auto"/>
              </w:rPr>
            </w:pPr>
            <w:r>
              <w:rPr>
                <w:color w:val="auto"/>
              </w:rPr>
              <w:t>2.9</w:t>
            </w:r>
          </w:p>
        </w:tc>
        <w:tc>
          <w:tcPr>
            <w:tcW w:w="616" w:type="pct"/>
            <w:vAlign w:val="center"/>
          </w:tcPr>
          <w:p w14:paraId="59AC84EA">
            <w:pPr>
              <w:pStyle w:val="33"/>
              <w:rPr>
                <w:color w:val="auto"/>
              </w:rPr>
            </w:pPr>
            <w:r>
              <w:rPr>
                <w:color w:val="auto"/>
              </w:rPr>
              <w:t>58~66</w:t>
            </w:r>
          </w:p>
        </w:tc>
        <w:tc>
          <w:tcPr>
            <w:tcW w:w="614" w:type="pct"/>
            <w:vAlign w:val="center"/>
          </w:tcPr>
          <w:p w14:paraId="4A73DC73">
            <w:pPr>
              <w:pStyle w:val="33"/>
              <w:rPr>
                <w:color w:val="auto"/>
              </w:rPr>
            </w:pPr>
            <w:r>
              <w:rPr>
                <w:color w:val="auto"/>
              </w:rPr>
              <w:t>东南风</w:t>
            </w:r>
          </w:p>
        </w:tc>
      </w:tr>
      <w:tr w14:paraId="6C1EA3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0E6E7DC1">
            <w:pPr>
              <w:pStyle w:val="33"/>
              <w:rPr>
                <w:color w:val="auto"/>
              </w:rPr>
            </w:pPr>
          </w:p>
        </w:tc>
        <w:tc>
          <w:tcPr>
            <w:tcW w:w="693" w:type="pct"/>
            <w:vAlign w:val="center"/>
          </w:tcPr>
          <w:p w14:paraId="3FDB175A">
            <w:pPr>
              <w:pStyle w:val="33"/>
              <w:rPr>
                <w:color w:val="auto"/>
              </w:rPr>
            </w:pPr>
            <w:r>
              <w:rPr>
                <w:color w:val="auto"/>
                <w:lang w:bidi="ar"/>
              </w:rPr>
              <w:t>2025.10.16</w:t>
            </w:r>
          </w:p>
        </w:tc>
        <w:tc>
          <w:tcPr>
            <w:tcW w:w="616" w:type="pct"/>
            <w:vAlign w:val="center"/>
          </w:tcPr>
          <w:p w14:paraId="531BA10D">
            <w:pPr>
              <w:pStyle w:val="33"/>
              <w:rPr>
                <w:color w:val="auto"/>
              </w:rPr>
            </w:pPr>
            <w:r>
              <w:rPr>
                <w:color w:val="auto"/>
              </w:rPr>
              <w:t>晴</w:t>
            </w:r>
          </w:p>
        </w:tc>
        <w:tc>
          <w:tcPr>
            <w:tcW w:w="616" w:type="pct"/>
            <w:vAlign w:val="center"/>
          </w:tcPr>
          <w:p w14:paraId="65FE42E4">
            <w:pPr>
              <w:pStyle w:val="33"/>
              <w:rPr>
                <w:color w:val="auto"/>
              </w:rPr>
            </w:pPr>
            <w:r>
              <w:rPr>
                <w:color w:val="auto"/>
              </w:rPr>
              <w:t>24.6~32.5</w:t>
            </w:r>
          </w:p>
        </w:tc>
        <w:tc>
          <w:tcPr>
            <w:tcW w:w="616" w:type="pct"/>
            <w:vAlign w:val="center"/>
          </w:tcPr>
          <w:p w14:paraId="6659167E">
            <w:pPr>
              <w:pStyle w:val="33"/>
              <w:rPr>
                <w:color w:val="auto"/>
              </w:rPr>
            </w:pPr>
            <w:r>
              <w:rPr>
                <w:color w:val="auto"/>
              </w:rPr>
              <w:t>101.0~101.4</w:t>
            </w:r>
          </w:p>
        </w:tc>
        <w:tc>
          <w:tcPr>
            <w:tcW w:w="616" w:type="pct"/>
            <w:vAlign w:val="center"/>
          </w:tcPr>
          <w:p w14:paraId="02C0CEAC">
            <w:pPr>
              <w:pStyle w:val="33"/>
              <w:rPr>
                <w:color w:val="auto"/>
              </w:rPr>
            </w:pPr>
            <w:r>
              <w:rPr>
                <w:color w:val="auto"/>
              </w:rPr>
              <w:t>2.7</w:t>
            </w:r>
          </w:p>
        </w:tc>
        <w:tc>
          <w:tcPr>
            <w:tcW w:w="616" w:type="pct"/>
            <w:vAlign w:val="center"/>
          </w:tcPr>
          <w:p w14:paraId="39C5495E">
            <w:pPr>
              <w:pStyle w:val="33"/>
              <w:rPr>
                <w:color w:val="auto"/>
              </w:rPr>
            </w:pPr>
            <w:r>
              <w:rPr>
                <w:color w:val="auto"/>
              </w:rPr>
              <w:t>57~65</w:t>
            </w:r>
          </w:p>
        </w:tc>
        <w:tc>
          <w:tcPr>
            <w:tcW w:w="614" w:type="pct"/>
            <w:vAlign w:val="center"/>
          </w:tcPr>
          <w:p w14:paraId="609C6D6C">
            <w:pPr>
              <w:pStyle w:val="33"/>
              <w:rPr>
                <w:color w:val="auto"/>
              </w:rPr>
            </w:pPr>
            <w:r>
              <w:rPr>
                <w:color w:val="auto"/>
              </w:rPr>
              <w:t>东南风</w:t>
            </w:r>
          </w:p>
        </w:tc>
      </w:tr>
      <w:tr w14:paraId="208BF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6E78E1DB">
            <w:pPr>
              <w:pStyle w:val="33"/>
              <w:rPr>
                <w:color w:val="auto"/>
              </w:rPr>
            </w:pPr>
          </w:p>
        </w:tc>
        <w:tc>
          <w:tcPr>
            <w:tcW w:w="693" w:type="pct"/>
            <w:vAlign w:val="center"/>
          </w:tcPr>
          <w:p w14:paraId="2E7D8492">
            <w:pPr>
              <w:pStyle w:val="33"/>
              <w:rPr>
                <w:color w:val="auto"/>
              </w:rPr>
            </w:pPr>
            <w:r>
              <w:rPr>
                <w:color w:val="auto"/>
                <w:lang w:bidi="ar"/>
              </w:rPr>
              <w:t>2025.10.17</w:t>
            </w:r>
          </w:p>
        </w:tc>
        <w:tc>
          <w:tcPr>
            <w:tcW w:w="616" w:type="pct"/>
            <w:vAlign w:val="center"/>
          </w:tcPr>
          <w:p w14:paraId="2053B22D">
            <w:pPr>
              <w:pStyle w:val="33"/>
              <w:rPr>
                <w:color w:val="auto"/>
              </w:rPr>
            </w:pPr>
            <w:r>
              <w:rPr>
                <w:color w:val="auto"/>
              </w:rPr>
              <w:t>晴</w:t>
            </w:r>
          </w:p>
        </w:tc>
        <w:tc>
          <w:tcPr>
            <w:tcW w:w="616" w:type="pct"/>
            <w:vAlign w:val="center"/>
          </w:tcPr>
          <w:p w14:paraId="45E739B8">
            <w:pPr>
              <w:pStyle w:val="33"/>
              <w:rPr>
                <w:color w:val="auto"/>
              </w:rPr>
            </w:pPr>
            <w:r>
              <w:rPr>
                <w:color w:val="auto"/>
              </w:rPr>
              <w:t>24.9~33.1</w:t>
            </w:r>
          </w:p>
        </w:tc>
        <w:tc>
          <w:tcPr>
            <w:tcW w:w="616" w:type="pct"/>
            <w:vAlign w:val="center"/>
          </w:tcPr>
          <w:p w14:paraId="529E2BB9">
            <w:pPr>
              <w:pStyle w:val="33"/>
              <w:rPr>
                <w:color w:val="auto"/>
              </w:rPr>
            </w:pPr>
            <w:r>
              <w:rPr>
                <w:color w:val="auto"/>
              </w:rPr>
              <w:t>101.0~101.3</w:t>
            </w:r>
          </w:p>
        </w:tc>
        <w:tc>
          <w:tcPr>
            <w:tcW w:w="616" w:type="pct"/>
            <w:vAlign w:val="center"/>
          </w:tcPr>
          <w:p w14:paraId="190036EB">
            <w:pPr>
              <w:pStyle w:val="33"/>
              <w:rPr>
                <w:color w:val="auto"/>
              </w:rPr>
            </w:pPr>
            <w:r>
              <w:rPr>
                <w:color w:val="auto"/>
              </w:rPr>
              <w:t>2.1</w:t>
            </w:r>
          </w:p>
        </w:tc>
        <w:tc>
          <w:tcPr>
            <w:tcW w:w="616" w:type="pct"/>
            <w:vAlign w:val="center"/>
          </w:tcPr>
          <w:p w14:paraId="38479FA0">
            <w:pPr>
              <w:pStyle w:val="33"/>
              <w:rPr>
                <w:color w:val="auto"/>
              </w:rPr>
            </w:pPr>
            <w:r>
              <w:rPr>
                <w:color w:val="auto"/>
              </w:rPr>
              <w:t>59~68</w:t>
            </w:r>
          </w:p>
        </w:tc>
        <w:tc>
          <w:tcPr>
            <w:tcW w:w="614" w:type="pct"/>
            <w:vAlign w:val="center"/>
          </w:tcPr>
          <w:p w14:paraId="2EC39731">
            <w:pPr>
              <w:pStyle w:val="33"/>
              <w:rPr>
                <w:color w:val="auto"/>
              </w:rPr>
            </w:pPr>
            <w:r>
              <w:rPr>
                <w:color w:val="auto"/>
              </w:rPr>
              <w:t>东南风</w:t>
            </w:r>
          </w:p>
        </w:tc>
      </w:tr>
      <w:tr w14:paraId="5C707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33F6AD7B">
            <w:pPr>
              <w:pStyle w:val="33"/>
              <w:rPr>
                <w:color w:val="auto"/>
              </w:rPr>
            </w:pPr>
          </w:p>
        </w:tc>
        <w:tc>
          <w:tcPr>
            <w:tcW w:w="693" w:type="pct"/>
            <w:vAlign w:val="center"/>
          </w:tcPr>
          <w:p w14:paraId="196A1709">
            <w:pPr>
              <w:pStyle w:val="33"/>
              <w:rPr>
                <w:color w:val="auto"/>
              </w:rPr>
            </w:pPr>
            <w:r>
              <w:rPr>
                <w:color w:val="auto"/>
                <w:lang w:bidi="ar"/>
              </w:rPr>
              <w:t>2025.10.18</w:t>
            </w:r>
          </w:p>
        </w:tc>
        <w:tc>
          <w:tcPr>
            <w:tcW w:w="616" w:type="pct"/>
            <w:vAlign w:val="center"/>
          </w:tcPr>
          <w:p w14:paraId="16027576">
            <w:pPr>
              <w:pStyle w:val="33"/>
              <w:rPr>
                <w:color w:val="auto"/>
              </w:rPr>
            </w:pPr>
            <w:r>
              <w:rPr>
                <w:color w:val="auto"/>
              </w:rPr>
              <w:t>晴</w:t>
            </w:r>
          </w:p>
        </w:tc>
        <w:tc>
          <w:tcPr>
            <w:tcW w:w="616" w:type="pct"/>
            <w:vAlign w:val="center"/>
          </w:tcPr>
          <w:p w14:paraId="7760E464">
            <w:pPr>
              <w:pStyle w:val="33"/>
              <w:rPr>
                <w:color w:val="auto"/>
              </w:rPr>
            </w:pPr>
            <w:r>
              <w:rPr>
                <w:color w:val="auto"/>
              </w:rPr>
              <w:t>25.0~32.8</w:t>
            </w:r>
          </w:p>
        </w:tc>
        <w:tc>
          <w:tcPr>
            <w:tcW w:w="616" w:type="pct"/>
            <w:vAlign w:val="center"/>
          </w:tcPr>
          <w:p w14:paraId="5B26B6D4">
            <w:pPr>
              <w:pStyle w:val="33"/>
              <w:rPr>
                <w:color w:val="auto"/>
              </w:rPr>
            </w:pPr>
            <w:r>
              <w:rPr>
                <w:color w:val="auto"/>
              </w:rPr>
              <w:t>100.9~101.4</w:t>
            </w:r>
          </w:p>
        </w:tc>
        <w:tc>
          <w:tcPr>
            <w:tcW w:w="616" w:type="pct"/>
            <w:vAlign w:val="center"/>
          </w:tcPr>
          <w:p w14:paraId="7740CF6F">
            <w:pPr>
              <w:pStyle w:val="33"/>
              <w:rPr>
                <w:color w:val="auto"/>
              </w:rPr>
            </w:pPr>
            <w:r>
              <w:rPr>
                <w:color w:val="auto"/>
              </w:rPr>
              <w:t>2.0</w:t>
            </w:r>
          </w:p>
        </w:tc>
        <w:tc>
          <w:tcPr>
            <w:tcW w:w="616" w:type="pct"/>
            <w:vAlign w:val="center"/>
          </w:tcPr>
          <w:p w14:paraId="0C62CF29">
            <w:pPr>
              <w:pStyle w:val="33"/>
              <w:rPr>
                <w:color w:val="auto"/>
              </w:rPr>
            </w:pPr>
            <w:r>
              <w:rPr>
                <w:color w:val="auto"/>
              </w:rPr>
              <w:t>58~68</w:t>
            </w:r>
          </w:p>
        </w:tc>
        <w:tc>
          <w:tcPr>
            <w:tcW w:w="614" w:type="pct"/>
            <w:vAlign w:val="center"/>
          </w:tcPr>
          <w:p w14:paraId="45B218DB">
            <w:pPr>
              <w:pStyle w:val="33"/>
              <w:rPr>
                <w:color w:val="auto"/>
              </w:rPr>
            </w:pPr>
            <w:r>
              <w:rPr>
                <w:color w:val="auto"/>
              </w:rPr>
              <w:t>东南风</w:t>
            </w:r>
          </w:p>
        </w:tc>
      </w:tr>
      <w:tr w14:paraId="755D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616811C8">
            <w:pPr>
              <w:pStyle w:val="33"/>
              <w:rPr>
                <w:color w:val="auto"/>
              </w:rPr>
            </w:pPr>
          </w:p>
        </w:tc>
        <w:tc>
          <w:tcPr>
            <w:tcW w:w="693" w:type="pct"/>
            <w:vAlign w:val="center"/>
          </w:tcPr>
          <w:p w14:paraId="707F10F3">
            <w:pPr>
              <w:pStyle w:val="33"/>
              <w:rPr>
                <w:color w:val="auto"/>
              </w:rPr>
            </w:pPr>
            <w:r>
              <w:rPr>
                <w:color w:val="auto"/>
                <w:lang w:bidi="ar"/>
              </w:rPr>
              <w:t>2025.10.19</w:t>
            </w:r>
          </w:p>
        </w:tc>
        <w:tc>
          <w:tcPr>
            <w:tcW w:w="616" w:type="pct"/>
            <w:vAlign w:val="center"/>
          </w:tcPr>
          <w:p w14:paraId="55BA3EAD">
            <w:pPr>
              <w:pStyle w:val="33"/>
              <w:rPr>
                <w:color w:val="auto"/>
              </w:rPr>
            </w:pPr>
            <w:r>
              <w:rPr>
                <w:color w:val="auto"/>
              </w:rPr>
              <w:t>晴</w:t>
            </w:r>
          </w:p>
        </w:tc>
        <w:tc>
          <w:tcPr>
            <w:tcW w:w="616" w:type="pct"/>
            <w:vAlign w:val="center"/>
          </w:tcPr>
          <w:p w14:paraId="65034B30">
            <w:pPr>
              <w:pStyle w:val="33"/>
              <w:rPr>
                <w:color w:val="auto"/>
              </w:rPr>
            </w:pPr>
            <w:r>
              <w:rPr>
                <w:color w:val="auto"/>
              </w:rPr>
              <w:t>23.6~30.5</w:t>
            </w:r>
          </w:p>
        </w:tc>
        <w:tc>
          <w:tcPr>
            <w:tcW w:w="616" w:type="pct"/>
            <w:vAlign w:val="center"/>
          </w:tcPr>
          <w:p w14:paraId="4A685032">
            <w:pPr>
              <w:pStyle w:val="33"/>
              <w:rPr>
                <w:color w:val="auto"/>
              </w:rPr>
            </w:pPr>
            <w:r>
              <w:rPr>
                <w:color w:val="auto"/>
              </w:rPr>
              <w:t>101.1~101.5</w:t>
            </w:r>
          </w:p>
        </w:tc>
        <w:tc>
          <w:tcPr>
            <w:tcW w:w="616" w:type="pct"/>
            <w:vAlign w:val="center"/>
          </w:tcPr>
          <w:p w14:paraId="1ED96D40">
            <w:pPr>
              <w:pStyle w:val="33"/>
              <w:rPr>
                <w:color w:val="auto"/>
              </w:rPr>
            </w:pPr>
            <w:r>
              <w:rPr>
                <w:color w:val="auto"/>
              </w:rPr>
              <w:t>1.9</w:t>
            </w:r>
          </w:p>
        </w:tc>
        <w:tc>
          <w:tcPr>
            <w:tcW w:w="616" w:type="pct"/>
            <w:vAlign w:val="center"/>
          </w:tcPr>
          <w:p w14:paraId="1640F6FC">
            <w:pPr>
              <w:pStyle w:val="33"/>
              <w:rPr>
                <w:color w:val="auto"/>
              </w:rPr>
            </w:pPr>
            <w:r>
              <w:rPr>
                <w:color w:val="auto"/>
              </w:rPr>
              <w:t>57~67</w:t>
            </w:r>
          </w:p>
        </w:tc>
        <w:tc>
          <w:tcPr>
            <w:tcW w:w="614" w:type="pct"/>
            <w:vAlign w:val="center"/>
          </w:tcPr>
          <w:p w14:paraId="554FE701">
            <w:pPr>
              <w:pStyle w:val="33"/>
              <w:rPr>
                <w:color w:val="auto"/>
              </w:rPr>
            </w:pPr>
            <w:r>
              <w:rPr>
                <w:color w:val="auto"/>
              </w:rPr>
              <w:t>东南风</w:t>
            </w:r>
          </w:p>
        </w:tc>
      </w:tr>
      <w:tr w14:paraId="72597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31458258">
            <w:pPr>
              <w:pStyle w:val="33"/>
              <w:rPr>
                <w:color w:val="auto"/>
              </w:rPr>
            </w:pPr>
          </w:p>
        </w:tc>
        <w:tc>
          <w:tcPr>
            <w:tcW w:w="693" w:type="pct"/>
            <w:vAlign w:val="center"/>
          </w:tcPr>
          <w:p w14:paraId="52A64575">
            <w:pPr>
              <w:pStyle w:val="33"/>
              <w:rPr>
                <w:color w:val="auto"/>
              </w:rPr>
            </w:pPr>
            <w:r>
              <w:rPr>
                <w:color w:val="auto"/>
                <w:lang w:bidi="ar"/>
              </w:rPr>
              <w:t>2025.10.20</w:t>
            </w:r>
          </w:p>
        </w:tc>
        <w:tc>
          <w:tcPr>
            <w:tcW w:w="616" w:type="pct"/>
            <w:vAlign w:val="center"/>
          </w:tcPr>
          <w:p w14:paraId="4FC36B06">
            <w:pPr>
              <w:pStyle w:val="33"/>
              <w:rPr>
                <w:color w:val="auto"/>
              </w:rPr>
            </w:pPr>
            <w:r>
              <w:rPr>
                <w:color w:val="auto"/>
              </w:rPr>
              <w:t>晴</w:t>
            </w:r>
          </w:p>
        </w:tc>
        <w:tc>
          <w:tcPr>
            <w:tcW w:w="616" w:type="pct"/>
            <w:vAlign w:val="center"/>
          </w:tcPr>
          <w:p w14:paraId="16EDB700">
            <w:pPr>
              <w:pStyle w:val="33"/>
              <w:rPr>
                <w:color w:val="auto"/>
              </w:rPr>
            </w:pPr>
            <w:r>
              <w:rPr>
                <w:color w:val="auto"/>
              </w:rPr>
              <w:t>22.2~27.9</w:t>
            </w:r>
          </w:p>
        </w:tc>
        <w:tc>
          <w:tcPr>
            <w:tcW w:w="616" w:type="pct"/>
            <w:vAlign w:val="center"/>
          </w:tcPr>
          <w:p w14:paraId="38922B1B">
            <w:pPr>
              <w:pStyle w:val="33"/>
              <w:rPr>
                <w:color w:val="auto"/>
              </w:rPr>
            </w:pPr>
            <w:r>
              <w:rPr>
                <w:color w:val="auto"/>
              </w:rPr>
              <w:t>101.2~101.7</w:t>
            </w:r>
          </w:p>
        </w:tc>
        <w:tc>
          <w:tcPr>
            <w:tcW w:w="616" w:type="pct"/>
            <w:vAlign w:val="center"/>
          </w:tcPr>
          <w:p w14:paraId="5A8C75CF">
            <w:pPr>
              <w:pStyle w:val="33"/>
              <w:rPr>
                <w:color w:val="auto"/>
              </w:rPr>
            </w:pPr>
            <w:r>
              <w:rPr>
                <w:color w:val="auto"/>
              </w:rPr>
              <w:t>1.9</w:t>
            </w:r>
          </w:p>
        </w:tc>
        <w:tc>
          <w:tcPr>
            <w:tcW w:w="616" w:type="pct"/>
            <w:vAlign w:val="center"/>
          </w:tcPr>
          <w:p w14:paraId="59907F95">
            <w:pPr>
              <w:pStyle w:val="33"/>
              <w:rPr>
                <w:color w:val="auto"/>
              </w:rPr>
            </w:pPr>
            <w:r>
              <w:rPr>
                <w:color w:val="auto"/>
              </w:rPr>
              <w:t>62~69</w:t>
            </w:r>
          </w:p>
        </w:tc>
        <w:tc>
          <w:tcPr>
            <w:tcW w:w="614" w:type="pct"/>
            <w:vAlign w:val="center"/>
          </w:tcPr>
          <w:p w14:paraId="177B5ADC">
            <w:pPr>
              <w:pStyle w:val="33"/>
              <w:rPr>
                <w:color w:val="auto"/>
              </w:rPr>
            </w:pPr>
            <w:r>
              <w:rPr>
                <w:color w:val="auto"/>
              </w:rPr>
              <w:t>东南风</w:t>
            </w:r>
          </w:p>
        </w:tc>
      </w:tr>
      <w:tr w14:paraId="673D8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613" w:type="pct"/>
            <w:vMerge w:val="continue"/>
            <w:vAlign w:val="center"/>
          </w:tcPr>
          <w:p w14:paraId="6DC4D128">
            <w:pPr>
              <w:pStyle w:val="33"/>
              <w:rPr>
                <w:color w:val="auto"/>
              </w:rPr>
            </w:pPr>
          </w:p>
        </w:tc>
        <w:tc>
          <w:tcPr>
            <w:tcW w:w="693" w:type="pct"/>
            <w:vAlign w:val="center"/>
          </w:tcPr>
          <w:p w14:paraId="3298EB49">
            <w:pPr>
              <w:pStyle w:val="33"/>
              <w:rPr>
                <w:color w:val="auto"/>
              </w:rPr>
            </w:pPr>
            <w:r>
              <w:rPr>
                <w:color w:val="auto"/>
                <w:lang w:bidi="ar"/>
              </w:rPr>
              <w:t>2025.10.21</w:t>
            </w:r>
          </w:p>
        </w:tc>
        <w:tc>
          <w:tcPr>
            <w:tcW w:w="616" w:type="pct"/>
            <w:vAlign w:val="center"/>
          </w:tcPr>
          <w:p w14:paraId="2F871DD2">
            <w:pPr>
              <w:pStyle w:val="33"/>
              <w:rPr>
                <w:color w:val="auto"/>
              </w:rPr>
            </w:pPr>
            <w:r>
              <w:rPr>
                <w:color w:val="auto"/>
              </w:rPr>
              <w:t>晴</w:t>
            </w:r>
          </w:p>
        </w:tc>
        <w:tc>
          <w:tcPr>
            <w:tcW w:w="616" w:type="pct"/>
            <w:vAlign w:val="center"/>
          </w:tcPr>
          <w:p w14:paraId="6D8FD402">
            <w:pPr>
              <w:pStyle w:val="33"/>
              <w:rPr>
                <w:color w:val="auto"/>
              </w:rPr>
            </w:pPr>
            <w:r>
              <w:rPr>
                <w:color w:val="auto"/>
              </w:rPr>
              <w:t>20.6~26.3</w:t>
            </w:r>
          </w:p>
        </w:tc>
        <w:tc>
          <w:tcPr>
            <w:tcW w:w="616" w:type="pct"/>
            <w:vAlign w:val="center"/>
          </w:tcPr>
          <w:p w14:paraId="41C53EF2">
            <w:pPr>
              <w:pStyle w:val="33"/>
              <w:rPr>
                <w:color w:val="auto"/>
              </w:rPr>
            </w:pPr>
            <w:r>
              <w:rPr>
                <w:color w:val="auto"/>
              </w:rPr>
              <w:t>101.3~101.7</w:t>
            </w:r>
          </w:p>
        </w:tc>
        <w:tc>
          <w:tcPr>
            <w:tcW w:w="616" w:type="pct"/>
            <w:vAlign w:val="center"/>
          </w:tcPr>
          <w:p w14:paraId="470CAB3F">
            <w:pPr>
              <w:pStyle w:val="33"/>
              <w:rPr>
                <w:color w:val="auto"/>
              </w:rPr>
            </w:pPr>
            <w:r>
              <w:rPr>
                <w:color w:val="auto"/>
              </w:rPr>
              <w:t>1.8</w:t>
            </w:r>
          </w:p>
        </w:tc>
        <w:tc>
          <w:tcPr>
            <w:tcW w:w="616" w:type="pct"/>
            <w:vAlign w:val="center"/>
          </w:tcPr>
          <w:p w14:paraId="4C1267DA">
            <w:pPr>
              <w:pStyle w:val="33"/>
              <w:rPr>
                <w:color w:val="auto"/>
              </w:rPr>
            </w:pPr>
            <w:r>
              <w:rPr>
                <w:color w:val="auto"/>
              </w:rPr>
              <w:t>61~66</w:t>
            </w:r>
          </w:p>
        </w:tc>
        <w:tc>
          <w:tcPr>
            <w:tcW w:w="614" w:type="pct"/>
            <w:vAlign w:val="center"/>
          </w:tcPr>
          <w:p w14:paraId="7926F979">
            <w:pPr>
              <w:pStyle w:val="33"/>
              <w:rPr>
                <w:color w:val="auto"/>
              </w:rPr>
            </w:pPr>
            <w:r>
              <w:rPr>
                <w:color w:val="auto"/>
              </w:rPr>
              <w:t>东南风</w:t>
            </w:r>
          </w:p>
        </w:tc>
      </w:tr>
    </w:tbl>
    <w:p w14:paraId="3EFCC72A">
      <w:pPr>
        <w:ind w:firstLine="480"/>
        <w:rPr>
          <w:color w:val="auto"/>
        </w:rPr>
      </w:pPr>
      <w:r>
        <w:rPr>
          <w:rFonts w:hint="eastAsia"/>
          <w:color w:val="auto"/>
        </w:rPr>
        <w:t>其他补充污染物监测点现状统计结果及评价见</w:t>
      </w:r>
      <w:r>
        <w:rPr>
          <w:color w:val="auto"/>
        </w:rPr>
        <w:fldChar w:fldCharType="begin"/>
      </w:r>
      <w:r>
        <w:rPr>
          <w:color w:val="auto"/>
        </w:rPr>
        <w:instrText xml:space="preserve"> REF _Ref196924929 \r \h  \* MERGEFORMAT </w:instrText>
      </w:r>
      <w:r>
        <w:rPr>
          <w:color w:val="auto"/>
        </w:rPr>
        <w:fldChar w:fldCharType="separate"/>
      </w:r>
      <w:r>
        <w:rPr>
          <w:rFonts w:hint="eastAsia"/>
          <w:color w:val="auto"/>
        </w:rPr>
        <w:t>表</w:t>
      </w:r>
      <w:r>
        <w:rPr>
          <w:color w:val="auto"/>
        </w:rPr>
        <w:t>3.4-8</w:t>
      </w:r>
      <w:r>
        <w:rPr>
          <w:color w:val="auto"/>
        </w:rPr>
        <w:fldChar w:fldCharType="end"/>
      </w:r>
      <w:r>
        <w:rPr>
          <w:color w:val="auto"/>
        </w:rPr>
        <w:fldChar w:fldCharType="begin"/>
      </w:r>
      <w:r>
        <w:rPr>
          <w:color w:val="auto"/>
        </w:rPr>
        <w:instrText xml:space="preserve"> </w:instrText>
      </w:r>
      <w:r>
        <w:rPr>
          <w:rFonts w:hint="eastAsia"/>
          <w:color w:val="auto"/>
        </w:rPr>
        <w:instrText xml:space="preserve">REF _Ref184716110 \r \h</w:instrText>
      </w:r>
      <w:r>
        <w:rPr>
          <w:color w:val="auto"/>
        </w:rPr>
        <w:instrText xml:space="preserve">  \* MERGEFORMAT </w:instrText>
      </w:r>
      <w:r>
        <w:rPr>
          <w:color w:val="auto"/>
        </w:rPr>
        <w:fldChar w:fldCharType="separate"/>
      </w:r>
      <w:r>
        <w:rPr>
          <w:color w:val="auto"/>
        </w:rPr>
        <w:fldChar w:fldCharType="end"/>
      </w:r>
      <w:r>
        <w:rPr>
          <w:rFonts w:hint="eastAsia"/>
          <w:color w:val="auto"/>
        </w:rPr>
        <w:t>。</w:t>
      </w:r>
    </w:p>
    <w:p w14:paraId="02716D54">
      <w:pPr>
        <w:pStyle w:val="7"/>
        <w:rPr>
          <w:color w:val="auto"/>
        </w:rPr>
      </w:pPr>
      <w:bookmarkStart w:id="324" w:name="_Ref196924929"/>
      <w:r>
        <w:rPr>
          <w:rFonts w:hint="eastAsia"/>
          <w:color w:val="auto"/>
        </w:rPr>
        <w:t>补充污染物监测结果统计表</w:t>
      </w:r>
      <w:bookmarkEnd w:id="324"/>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56"/>
        <w:gridCol w:w="1453"/>
        <w:gridCol w:w="1776"/>
        <w:gridCol w:w="1453"/>
        <w:gridCol w:w="1455"/>
        <w:gridCol w:w="969"/>
        <w:gridCol w:w="664"/>
      </w:tblGrid>
      <w:tr w14:paraId="7ADD6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8" w:hRule="atLeast"/>
        </w:trPr>
        <w:tc>
          <w:tcPr>
            <w:tcW w:w="743" w:type="pct"/>
            <w:vAlign w:val="center"/>
          </w:tcPr>
          <w:p w14:paraId="547BE58A">
            <w:pPr>
              <w:pStyle w:val="33"/>
              <w:rPr>
                <w:color w:val="auto"/>
              </w:rPr>
            </w:pPr>
            <w:r>
              <w:rPr>
                <w:rFonts w:hint="eastAsia"/>
                <w:color w:val="auto"/>
              </w:rPr>
              <w:t>监测因子</w:t>
            </w:r>
          </w:p>
        </w:tc>
        <w:tc>
          <w:tcPr>
            <w:tcW w:w="796" w:type="pct"/>
            <w:vAlign w:val="center"/>
          </w:tcPr>
          <w:p w14:paraId="3021B78D">
            <w:pPr>
              <w:pStyle w:val="33"/>
              <w:rPr>
                <w:color w:val="auto"/>
              </w:rPr>
            </w:pPr>
            <w:r>
              <w:rPr>
                <w:rFonts w:hint="eastAsia"/>
                <w:color w:val="auto"/>
              </w:rPr>
              <w:t>平均时间</w:t>
            </w:r>
          </w:p>
        </w:tc>
        <w:tc>
          <w:tcPr>
            <w:tcW w:w="973" w:type="pct"/>
            <w:vAlign w:val="center"/>
          </w:tcPr>
          <w:p w14:paraId="188B7397">
            <w:pPr>
              <w:pStyle w:val="33"/>
              <w:rPr>
                <w:color w:val="auto"/>
              </w:rPr>
            </w:pPr>
            <w:r>
              <w:rPr>
                <w:rFonts w:hint="eastAsia"/>
                <w:color w:val="auto"/>
              </w:rPr>
              <w:t>监测浓度范围（</w:t>
            </w:r>
            <w:r>
              <w:rPr>
                <w:color w:val="auto"/>
              </w:rPr>
              <w:t>μg/m</w:t>
            </w:r>
            <w:r>
              <w:rPr>
                <w:color w:val="auto"/>
                <w:vertAlign w:val="superscript"/>
              </w:rPr>
              <w:t>3</w:t>
            </w:r>
            <w:r>
              <w:rPr>
                <w:rFonts w:hint="eastAsia"/>
                <w:color w:val="auto"/>
              </w:rPr>
              <w:t>）</w:t>
            </w:r>
          </w:p>
        </w:tc>
        <w:tc>
          <w:tcPr>
            <w:tcW w:w="796" w:type="pct"/>
            <w:vAlign w:val="center"/>
          </w:tcPr>
          <w:p w14:paraId="38DE39C1">
            <w:pPr>
              <w:pStyle w:val="33"/>
              <w:rPr>
                <w:color w:val="auto"/>
              </w:rPr>
            </w:pPr>
            <w:r>
              <w:rPr>
                <w:rFonts w:hint="eastAsia"/>
                <w:color w:val="auto"/>
              </w:rPr>
              <w:t>评价标准（</w:t>
            </w:r>
            <w:r>
              <w:rPr>
                <w:color w:val="auto"/>
              </w:rPr>
              <w:t>μg/m</w:t>
            </w:r>
            <w:r>
              <w:rPr>
                <w:color w:val="auto"/>
                <w:vertAlign w:val="superscript"/>
              </w:rPr>
              <w:t>3</w:t>
            </w:r>
            <w:r>
              <w:rPr>
                <w:rFonts w:hint="eastAsia"/>
                <w:color w:val="auto"/>
              </w:rPr>
              <w:t>）</w:t>
            </w:r>
          </w:p>
        </w:tc>
        <w:tc>
          <w:tcPr>
            <w:tcW w:w="797" w:type="pct"/>
            <w:vAlign w:val="center"/>
          </w:tcPr>
          <w:p w14:paraId="405A690B">
            <w:pPr>
              <w:pStyle w:val="33"/>
              <w:rPr>
                <w:color w:val="auto"/>
              </w:rPr>
            </w:pPr>
            <w:r>
              <w:rPr>
                <w:rFonts w:hint="eastAsia"/>
                <w:color w:val="auto"/>
              </w:rPr>
              <w:t>最大占标率（%）</w:t>
            </w:r>
          </w:p>
        </w:tc>
        <w:tc>
          <w:tcPr>
            <w:tcW w:w="531" w:type="pct"/>
            <w:vAlign w:val="center"/>
          </w:tcPr>
          <w:p w14:paraId="677CB338">
            <w:pPr>
              <w:pStyle w:val="33"/>
              <w:rPr>
                <w:color w:val="auto"/>
              </w:rPr>
            </w:pPr>
            <w:r>
              <w:rPr>
                <w:rFonts w:hint="eastAsia"/>
                <w:color w:val="auto"/>
              </w:rPr>
              <w:t>超标率（%）</w:t>
            </w:r>
          </w:p>
        </w:tc>
        <w:tc>
          <w:tcPr>
            <w:tcW w:w="365" w:type="pct"/>
            <w:vAlign w:val="center"/>
          </w:tcPr>
          <w:p w14:paraId="35F45E96">
            <w:pPr>
              <w:pStyle w:val="33"/>
              <w:rPr>
                <w:color w:val="auto"/>
              </w:rPr>
            </w:pPr>
            <w:r>
              <w:rPr>
                <w:rFonts w:hint="eastAsia"/>
                <w:color w:val="auto"/>
              </w:rPr>
              <w:t>达标情况</w:t>
            </w:r>
          </w:p>
        </w:tc>
      </w:tr>
      <w:tr w14:paraId="5ECCC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68" w:hRule="atLeast"/>
        </w:trPr>
        <w:tc>
          <w:tcPr>
            <w:tcW w:w="743" w:type="pct"/>
            <w:vAlign w:val="center"/>
          </w:tcPr>
          <w:p w14:paraId="1A01CAB7">
            <w:pPr>
              <w:pStyle w:val="33"/>
              <w:rPr>
                <w:color w:val="auto"/>
              </w:rPr>
            </w:pPr>
            <w:r>
              <w:rPr>
                <w:color w:val="auto"/>
              </w:rPr>
              <w:t>TSP</w:t>
            </w:r>
          </w:p>
        </w:tc>
        <w:tc>
          <w:tcPr>
            <w:tcW w:w="796" w:type="pct"/>
            <w:vAlign w:val="center"/>
          </w:tcPr>
          <w:p w14:paraId="51CA8241">
            <w:pPr>
              <w:pStyle w:val="33"/>
              <w:rPr>
                <w:color w:val="auto"/>
              </w:rPr>
            </w:pPr>
            <w:r>
              <w:rPr>
                <w:rFonts w:hint="eastAsia"/>
                <w:color w:val="auto"/>
              </w:rPr>
              <w:t>24h平均</w:t>
            </w:r>
          </w:p>
        </w:tc>
        <w:tc>
          <w:tcPr>
            <w:tcW w:w="973" w:type="pct"/>
            <w:vAlign w:val="center"/>
          </w:tcPr>
          <w:p w14:paraId="60F3E528">
            <w:pPr>
              <w:pStyle w:val="33"/>
              <w:rPr>
                <w:color w:val="auto"/>
              </w:rPr>
            </w:pPr>
          </w:p>
        </w:tc>
        <w:tc>
          <w:tcPr>
            <w:tcW w:w="796" w:type="pct"/>
            <w:vAlign w:val="center"/>
          </w:tcPr>
          <w:p w14:paraId="07AB1ECE">
            <w:pPr>
              <w:pStyle w:val="33"/>
              <w:rPr>
                <w:color w:val="auto"/>
              </w:rPr>
            </w:pPr>
            <w:r>
              <w:rPr>
                <w:rFonts w:eastAsia="等线" w:cs="Times New Roman"/>
                <w:color w:val="auto"/>
                <w:szCs w:val="21"/>
              </w:rPr>
              <w:t>300</w:t>
            </w:r>
          </w:p>
        </w:tc>
        <w:tc>
          <w:tcPr>
            <w:tcW w:w="797" w:type="pct"/>
            <w:vAlign w:val="center"/>
          </w:tcPr>
          <w:p w14:paraId="4AC96E32">
            <w:pPr>
              <w:pStyle w:val="33"/>
              <w:rPr>
                <w:rFonts w:eastAsia="等线" w:cs="Times New Roman"/>
                <w:color w:val="auto"/>
                <w:szCs w:val="21"/>
              </w:rPr>
            </w:pPr>
          </w:p>
        </w:tc>
        <w:tc>
          <w:tcPr>
            <w:tcW w:w="531" w:type="pct"/>
            <w:vAlign w:val="center"/>
          </w:tcPr>
          <w:p w14:paraId="2C955832">
            <w:pPr>
              <w:pStyle w:val="33"/>
              <w:rPr>
                <w:color w:val="auto"/>
              </w:rPr>
            </w:pPr>
            <w:r>
              <w:rPr>
                <w:rFonts w:hint="eastAsia"/>
                <w:color w:val="auto"/>
              </w:rPr>
              <w:t>0</w:t>
            </w:r>
          </w:p>
        </w:tc>
        <w:tc>
          <w:tcPr>
            <w:tcW w:w="365" w:type="pct"/>
            <w:vAlign w:val="center"/>
          </w:tcPr>
          <w:p w14:paraId="78653C72">
            <w:pPr>
              <w:pStyle w:val="33"/>
              <w:rPr>
                <w:color w:val="auto"/>
              </w:rPr>
            </w:pPr>
            <w:r>
              <w:rPr>
                <w:rFonts w:hint="eastAsia"/>
                <w:color w:val="auto"/>
              </w:rPr>
              <w:t>达标</w:t>
            </w:r>
          </w:p>
        </w:tc>
      </w:tr>
      <w:tr w14:paraId="0B981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8" w:hRule="atLeast"/>
        </w:trPr>
        <w:tc>
          <w:tcPr>
            <w:tcW w:w="743" w:type="pct"/>
            <w:vAlign w:val="center"/>
          </w:tcPr>
          <w:p w14:paraId="2BFB39C2">
            <w:pPr>
              <w:pStyle w:val="33"/>
              <w:rPr>
                <w:color w:val="auto"/>
              </w:rPr>
            </w:pPr>
            <w:r>
              <w:rPr>
                <w:rFonts w:hint="eastAsia"/>
                <w:color w:val="auto"/>
              </w:rPr>
              <w:t>NH</w:t>
            </w:r>
            <w:r>
              <w:rPr>
                <w:rFonts w:hint="eastAsia"/>
                <w:color w:val="auto"/>
                <w:vertAlign w:val="subscript"/>
              </w:rPr>
              <w:t>3</w:t>
            </w:r>
          </w:p>
        </w:tc>
        <w:tc>
          <w:tcPr>
            <w:tcW w:w="796" w:type="pct"/>
            <w:vAlign w:val="center"/>
          </w:tcPr>
          <w:p w14:paraId="5FE38152">
            <w:pPr>
              <w:pStyle w:val="33"/>
              <w:rPr>
                <w:color w:val="auto"/>
              </w:rPr>
            </w:pPr>
            <w:r>
              <w:rPr>
                <w:rFonts w:hint="eastAsia"/>
                <w:color w:val="auto"/>
              </w:rPr>
              <w:t>1h平均</w:t>
            </w:r>
          </w:p>
        </w:tc>
        <w:tc>
          <w:tcPr>
            <w:tcW w:w="973" w:type="pct"/>
            <w:vAlign w:val="center"/>
          </w:tcPr>
          <w:p w14:paraId="35E50952">
            <w:pPr>
              <w:pStyle w:val="33"/>
              <w:rPr>
                <w:color w:val="auto"/>
              </w:rPr>
            </w:pPr>
          </w:p>
        </w:tc>
        <w:tc>
          <w:tcPr>
            <w:tcW w:w="796" w:type="pct"/>
            <w:vAlign w:val="center"/>
          </w:tcPr>
          <w:p w14:paraId="2EA36329">
            <w:pPr>
              <w:pStyle w:val="33"/>
              <w:rPr>
                <w:color w:val="auto"/>
              </w:rPr>
            </w:pPr>
            <w:r>
              <w:rPr>
                <w:rFonts w:eastAsia="等线" w:cs="Times New Roman"/>
                <w:color w:val="auto"/>
                <w:szCs w:val="21"/>
              </w:rPr>
              <w:t>200</w:t>
            </w:r>
          </w:p>
        </w:tc>
        <w:tc>
          <w:tcPr>
            <w:tcW w:w="797" w:type="pct"/>
            <w:vAlign w:val="center"/>
          </w:tcPr>
          <w:p w14:paraId="4D1FE39A">
            <w:pPr>
              <w:pStyle w:val="33"/>
              <w:rPr>
                <w:color w:val="auto"/>
              </w:rPr>
            </w:pPr>
          </w:p>
        </w:tc>
        <w:tc>
          <w:tcPr>
            <w:tcW w:w="531" w:type="pct"/>
            <w:vAlign w:val="center"/>
          </w:tcPr>
          <w:p w14:paraId="5B6B5E44">
            <w:pPr>
              <w:pStyle w:val="33"/>
              <w:rPr>
                <w:color w:val="auto"/>
              </w:rPr>
            </w:pPr>
            <w:r>
              <w:rPr>
                <w:rFonts w:hint="eastAsia"/>
                <w:color w:val="auto"/>
              </w:rPr>
              <w:t>0</w:t>
            </w:r>
          </w:p>
        </w:tc>
        <w:tc>
          <w:tcPr>
            <w:tcW w:w="365" w:type="pct"/>
            <w:vAlign w:val="center"/>
          </w:tcPr>
          <w:p w14:paraId="410C2FF1">
            <w:pPr>
              <w:pStyle w:val="33"/>
              <w:rPr>
                <w:color w:val="auto"/>
              </w:rPr>
            </w:pPr>
            <w:r>
              <w:rPr>
                <w:rFonts w:hint="eastAsia"/>
                <w:color w:val="auto"/>
              </w:rPr>
              <w:t>达标</w:t>
            </w:r>
          </w:p>
        </w:tc>
      </w:tr>
      <w:tr w14:paraId="003F2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8" w:hRule="atLeast"/>
        </w:trPr>
        <w:tc>
          <w:tcPr>
            <w:tcW w:w="743" w:type="pct"/>
            <w:vAlign w:val="center"/>
          </w:tcPr>
          <w:p w14:paraId="64BEF9E2">
            <w:pPr>
              <w:pStyle w:val="33"/>
              <w:rPr>
                <w:color w:val="auto"/>
              </w:rPr>
            </w:pPr>
            <w:r>
              <w:rPr>
                <w:rFonts w:hint="eastAsia"/>
                <w:color w:val="auto"/>
              </w:rPr>
              <w:t>H</w:t>
            </w:r>
            <w:r>
              <w:rPr>
                <w:rFonts w:hint="eastAsia"/>
                <w:color w:val="auto"/>
                <w:vertAlign w:val="subscript"/>
              </w:rPr>
              <w:t>2</w:t>
            </w:r>
            <w:r>
              <w:rPr>
                <w:rFonts w:hint="eastAsia"/>
                <w:color w:val="auto"/>
              </w:rPr>
              <w:t>S</w:t>
            </w:r>
          </w:p>
        </w:tc>
        <w:tc>
          <w:tcPr>
            <w:tcW w:w="796" w:type="pct"/>
            <w:vAlign w:val="center"/>
          </w:tcPr>
          <w:p w14:paraId="0D8544B2">
            <w:pPr>
              <w:pStyle w:val="33"/>
              <w:rPr>
                <w:color w:val="auto"/>
              </w:rPr>
            </w:pPr>
            <w:r>
              <w:rPr>
                <w:rFonts w:hint="eastAsia"/>
                <w:color w:val="auto"/>
              </w:rPr>
              <w:t>1h平均</w:t>
            </w:r>
          </w:p>
        </w:tc>
        <w:tc>
          <w:tcPr>
            <w:tcW w:w="973" w:type="pct"/>
            <w:vAlign w:val="center"/>
          </w:tcPr>
          <w:p w14:paraId="4CA9223A">
            <w:pPr>
              <w:pStyle w:val="33"/>
              <w:rPr>
                <w:color w:val="auto"/>
              </w:rPr>
            </w:pPr>
          </w:p>
        </w:tc>
        <w:tc>
          <w:tcPr>
            <w:tcW w:w="796" w:type="pct"/>
            <w:vAlign w:val="center"/>
          </w:tcPr>
          <w:p w14:paraId="0F92E271">
            <w:pPr>
              <w:pStyle w:val="33"/>
              <w:rPr>
                <w:color w:val="auto"/>
              </w:rPr>
            </w:pPr>
            <w:r>
              <w:rPr>
                <w:rFonts w:eastAsia="等线" w:cs="Times New Roman"/>
                <w:color w:val="auto"/>
                <w:szCs w:val="21"/>
              </w:rPr>
              <w:t>10</w:t>
            </w:r>
          </w:p>
        </w:tc>
        <w:tc>
          <w:tcPr>
            <w:tcW w:w="797" w:type="pct"/>
            <w:vAlign w:val="center"/>
          </w:tcPr>
          <w:p w14:paraId="1105B496">
            <w:pPr>
              <w:pStyle w:val="33"/>
              <w:rPr>
                <w:color w:val="auto"/>
              </w:rPr>
            </w:pPr>
          </w:p>
        </w:tc>
        <w:tc>
          <w:tcPr>
            <w:tcW w:w="531" w:type="pct"/>
            <w:vAlign w:val="center"/>
          </w:tcPr>
          <w:p w14:paraId="22EDA66D">
            <w:pPr>
              <w:pStyle w:val="33"/>
              <w:rPr>
                <w:color w:val="auto"/>
              </w:rPr>
            </w:pPr>
            <w:r>
              <w:rPr>
                <w:rFonts w:hint="eastAsia"/>
                <w:color w:val="auto"/>
              </w:rPr>
              <w:t>0</w:t>
            </w:r>
          </w:p>
        </w:tc>
        <w:tc>
          <w:tcPr>
            <w:tcW w:w="365" w:type="pct"/>
            <w:vAlign w:val="center"/>
          </w:tcPr>
          <w:p w14:paraId="12166576">
            <w:pPr>
              <w:pStyle w:val="33"/>
              <w:rPr>
                <w:color w:val="auto"/>
              </w:rPr>
            </w:pPr>
            <w:r>
              <w:rPr>
                <w:rFonts w:hint="eastAsia"/>
                <w:color w:val="auto"/>
              </w:rPr>
              <w:t>达标</w:t>
            </w:r>
          </w:p>
        </w:tc>
      </w:tr>
      <w:tr w14:paraId="2EE54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8" w:hRule="atLeast"/>
        </w:trPr>
        <w:tc>
          <w:tcPr>
            <w:tcW w:w="743" w:type="pct"/>
            <w:vAlign w:val="center"/>
          </w:tcPr>
          <w:p w14:paraId="12A45CCD">
            <w:pPr>
              <w:pStyle w:val="33"/>
              <w:rPr>
                <w:color w:val="auto"/>
              </w:rPr>
            </w:pPr>
            <w:r>
              <w:rPr>
                <w:rFonts w:hint="eastAsia"/>
                <w:color w:val="auto"/>
              </w:rPr>
              <w:t>非甲烷总烃</w:t>
            </w:r>
          </w:p>
        </w:tc>
        <w:tc>
          <w:tcPr>
            <w:tcW w:w="796" w:type="pct"/>
            <w:vAlign w:val="center"/>
          </w:tcPr>
          <w:p w14:paraId="4688EDE7">
            <w:pPr>
              <w:pStyle w:val="33"/>
              <w:rPr>
                <w:color w:val="auto"/>
              </w:rPr>
            </w:pPr>
            <w:r>
              <w:rPr>
                <w:rFonts w:hint="eastAsia"/>
                <w:color w:val="auto"/>
              </w:rPr>
              <w:t>1h平均</w:t>
            </w:r>
          </w:p>
        </w:tc>
        <w:tc>
          <w:tcPr>
            <w:tcW w:w="973" w:type="pct"/>
            <w:vAlign w:val="center"/>
          </w:tcPr>
          <w:p w14:paraId="0E1B9F6D">
            <w:pPr>
              <w:pStyle w:val="33"/>
              <w:rPr>
                <w:color w:val="auto"/>
              </w:rPr>
            </w:pPr>
          </w:p>
        </w:tc>
        <w:tc>
          <w:tcPr>
            <w:tcW w:w="796" w:type="pct"/>
            <w:vAlign w:val="center"/>
          </w:tcPr>
          <w:p w14:paraId="54BFE2DA">
            <w:pPr>
              <w:pStyle w:val="33"/>
              <w:rPr>
                <w:color w:val="auto"/>
              </w:rPr>
            </w:pPr>
            <w:r>
              <w:rPr>
                <w:rFonts w:eastAsia="等线" w:cs="Times New Roman"/>
                <w:color w:val="auto"/>
                <w:szCs w:val="21"/>
              </w:rPr>
              <w:t>2000</w:t>
            </w:r>
          </w:p>
        </w:tc>
        <w:tc>
          <w:tcPr>
            <w:tcW w:w="797" w:type="pct"/>
            <w:vAlign w:val="center"/>
          </w:tcPr>
          <w:p w14:paraId="606E9F42">
            <w:pPr>
              <w:pStyle w:val="33"/>
              <w:rPr>
                <w:rFonts w:eastAsia="等线" w:cs="Times New Roman"/>
                <w:color w:val="auto"/>
                <w:szCs w:val="21"/>
              </w:rPr>
            </w:pPr>
          </w:p>
        </w:tc>
        <w:tc>
          <w:tcPr>
            <w:tcW w:w="531" w:type="pct"/>
            <w:vAlign w:val="center"/>
          </w:tcPr>
          <w:p w14:paraId="0EE08D8F">
            <w:pPr>
              <w:pStyle w:val="33"/>
              <w:rPr>
                <w:color w:val="auto"/>
              </w:rPr>
            </w:pPr>
            <w:r>
              <w:rPr>
                <w:rFonts w:hint="eastAsia"/>
                <w:color w:val="auto"/>
              </w:rPr>
              <w:t>0</w:t>
            </w:r>
          </w:p>
        </w:tc>
        <w:tc>
          <w:tcPr>
            <w:tcW w:w="365" w:type="pct"/>
            <w:vAlign w:val="center"/>
          </w:tcPr>
          <w:p w14:paraId="57A34D9C">
            <w:pPr>
              <w:pStyle w:val="33"/>
              <w:rPr>
                <w:color w:val="auto"/>
              </w:rPr>
            </w:pPr>
            <w:r>
              <w:rPr>
                <w:rFonts w:hint="eastAsia"/>
                <w:color w:val="auto"/>
              </w:rPr>
              <w:t>达标</w:t>
            </w:r>
          </w:p>
        </w:tc>
      </w:tr>
      <w:tr w14:paraId="49E46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8" w:hRule="atLeast"/>
        </w:trPr>
        <w:tc>
          <w:tcPr>
            <w:tcW w:w="743" w:type="pct"/>
            <w:vAlign w:val="center"/>
          </w:tcPr>
          <w:p w14:paraId="2E234A27">
            <w:pPr>
              <w:pStyle w:val="33"/>
              <w:rPr>
                <w:color w:val="auto"/>
              </w:rPr>
            </w:pPr>
            <w:r>
              <w:rPr>
                <w:rFonts w:hint="eastAsia"/>
                <w:color w:val="auto"/>
              </w:rPr>
              <w:t>臭气浓度</w:t>
            </w:r>
          </w:p>
          <w:p w14:paraId="1AE0950F">
            <w:pPr>
              <w:pStyle w:val="33"/>
              <w:rPr>
                <w:color w:val="auto"/>
              </w:rPr>
            </w:pPr>
            <w:r>
              <w:rPr>
                <w:rFonts w:hint="eastAsia"/>
                <w:color w:val="auto"/>
              </w:rPr>
              <w:t>（无量纲）</w:t>
            </w:r>
          </w:p>
        </w:tc>
        <w:tc>
          <w:tcPr>
            <w:tcW w:w="796" w:type="pct"/>
            <w:vAlign w:val="center"/>
          </w:tcPr>
          <w:p w14:paraId="34C32097">
            <w:pPr>
              <w:pStyle w:val="33"/>
              <w:rPr>
                <w:color w:val="auto"/>
              </w:rPr>
            </w:pPr>
            <w:r>
              <w:rPr>
                <w:rFonts w:hint="eastAsia"/>
                <w:color w:val="auto"/>
              </w:rPr>
              <w:t>一次值</w:t>
            </w:r>
          </w:p>
        </w:tc>
        <w:tc>
          <w:tcPr>
            <w:tcW w:w="973" w:type="pct"/>
            <w:vAlign w:val="center"/>
          </w:tcPr>
          <w:p w14:paraId="3CC606EA">
            <w:pPr>
              <w:pStyle w:val="33"/>
              <w:rPr>
                <w:color w:val="auto"/>
              </w:rPr>
            </w:pPr>
          </w:p>
        </w:tc>
        <w:tc>
          <w:tcPr>
            <w:tcW w:w="796" w:type="pct"/>
            <w:vAlign w:val="center"/>
          </w:tcPr>
          <w:p w14:paraId="1404127B">
            <w:pPr>
              <w:pStyle w:val="33"/>
              <w:rPr>
                <w:color w:val="auto"/>
              </w:rPr>
            </w:pPr>
            <w:r>
              <w:rPr>
                <w:rFonts w:hint="eastAsia"/>
                <w:color w:val="auto"/>
              </w:rPr>
              <w:t>20（无量纲）</w:t>
            </w:r>
          </w:p>
        </w:tc>
        <w:tc>
          <w:tcPr>
            <w:tcW w:w="797" w:type="pct"/>
            <w:vAlign w:val="center"/>
          </w:tcPr>
          <w:p w14:paraId="7B45B97E">
            <w:pPr>
              <w:pStyle w:val="33"/>
              <w:rPr>
                <w:color w:val="auto"/>
              </w:rPr>
            </w:pPr>
          </w:p>
        </w:tc>
        <w:tc>
          <w:tcPr>
            <w:tcW w:w="531" w:type="pct"/>
            <w:vAlign w:val="center"/>
          </w:tcPr>
          <w:p w14:paraId="3CEA1B8C">
            <w:pPr>
              <w:pStyle w:val="33"/>
              <w:rPr>
                <w:color w:val="auto"/>
              </w:rPr>
            </w:pPr>
            <w:r>
              <w:rPr>
                <w:rFonts w:hint="eastAsia"/>
                <w:color w:val="auto"/>
              </w:rPr>
              <w:t>0</w:t>
            </w:r>
          </w:p>
        </w:tc>
        <w:tc>
          <w:tcPr>
            <w:tcW w:w="365" w:type="pct"/>
            <w:vAlign w:val="center"/>
          </w:tcPr>
          <w:p w14:paraId="7C2F9E9A">
            <w:pPr>
              <w:pStyle w:val="33"/>
              <w:rPr>
                <w:color w:val="auto"/>
              </w:rPr>
            </w:pPr>
            <w:r>
              <w:rPr>
                <w:rFonts w:hint="eastAsia"/>
                <w:color w:val="auto"/>
              </w:rPr>
              <w:t>达标</w:t>
            </w:r>
          </w:p>
        </w:tc>
      </w:tr>
    </w:tbl>
    <w:p w14:paraId="59F01B00">
      <w:pPr>
        <w:spacing w:line="240" w:lineRule="auto"/>
        <w:ind w:firstLine="0" w:firstLineChars="0"/>
        <w:jc w:val="left"/>
        <w:rPr>
          <w:color w:val="auto"/>
          <w:sz w:val="21"/>
          <w:szCs w:val="21"/>
        </w:rPr>
      </w:pPr>
      <w:r>
        <w:rPr>
          <w:rFonts w:hint="eastAsia"/>
          <w:color w:val="auto"/>
          <w:sz w:val="21"/>
          <w:szCs w:val="21"/>
        </w:rPr>
        <w:t>注：“ND”表示分析结果低于方法最低检出限，取检出限的一半计。</w:t>
      </w:r>
    </w:p>
    <w:p w14:paraId="6B48B80C">
      <w:pPr>
        <w:ind w:firstLine="480"/>
        <w:rPr>
          <w:color w:val="auto"/>
        </w:rPr>
      </w:pPr>
      <w:r>
        <w:rPr>
          <w:color w:val="auto"/>
        </w:rPr>
        <w:t>根据监测结果，</w:t>
      </w:r>
      <w:r>
        <w:rPr>
          <w:rFonts w:hint="eastAsia"/>
          <w:color w:val="auto"/>
        </w:rPr>
        <w:t>区域为环境空气质量二类功能区，监测点TSP满足《环境空气质量标准》（GB3095-2012）二级标准，</w:t>
      </w: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rPr>
        <w:t>满足《环境影响评价技术导则 大气环境》（HJ 2.2-2018）附录D其他污染物空气质量浓度参考限值。非甲烷总烃满足《大气污染物综合排放标准详解》推荐值；臭气浓度无评价标准，仅留作背景，不做评价。</w:t>
      </w:r>
    </w:p>
    <w:p w14:paraId="5FC99786">
      <w:pPr>
        <w:pStyle w:val="3"/>
        <w:rPr>
          <w:color w:val="auto"/>
        </w:rPr>
      </w:pPr>
      <w:bookmarkStart w:id="325" w:name="_Toc225216743"/>
      <w:bookmarkStart w:id="326" w:name="_Toc221355720"/>
      <w:bookmarkStart w:id="327" w:name="_Toc13199"/>
      <w:r>
        <w:rPr>
          <w:color w:val="auto"/>
        </w:rPr>
        <w:t>近岸海域环境现状调查与评价</w:t>
      </w:r>
      <w:bookmarkEnd w:id="325"/>
      <w:bookmarkEnd w:id="326"/>
      <w:bookmarkEnd w:id="327"/>
    </w:p>
    <w:p w14:paraId="61D2A4EF">
      <w:pPr>
        <w:ind w:firstLine="480"/>
        <w:rPr>
          <w:color w:val="auto"/>
          <w:kern w:val="0"/>
        </w:rPr>
      </w:pPr>
      <w:r>
        <w:rPr>
          <w:rFonts w:hint="eastAsia"/>
          <w:color w:val="auto"/>
          <w:kern w:val="0"/>
        </w:rPr>
        <w:t>项目现有排污口处于钦州港大榄坪排放混合区（</w:t>
      </w:r>
      <w:r>
        <w:rPr>
          <w:color w:val="auto"/>
          <w:kern w:val="0"/>
        </w:rPr>
        <w:t>GX057DIV</w:t>
      </w:r>
      <w:r>
        <w:rPr>
          <w:rFonts w:hint="eastAsia"/>
          <w:color w:val="auto"/>
          <w:kern w:val="0"/>
        </w:rPr>
        <w:t>）即</w:t>
      </w:r>
      <w:r>
        <w:rPr>
          <w:color w:val="auto"/>
          <w:kern w:val="0"/>
        </w:rPr>
        <w:t>A2</w:t>
      </w:r>
      <w:r>
        <w:rPr>
          <w:rFonts w:hint="eastAsia"/>
          <w:color w:val="auto"/>
          <w:kern w:val="0"/>
        </w:rPr>
        <w:t>排污口：位置是以</w:t>
      </w:r>
      <w:r>
        <w:rPr>
          <w:color w:val="auto"/>
          <w:kern w:val="0"/>
        </w:rPr>
        <w:t>E108˚39</w:t>
      </w:r>
      <w:r>
        <w:rPr>
          <w:rFonts w:hint="eastAsia"/>
          <w:color w:val="auto"/>
          <w:kern w:val="0"/>
        </w:rPr>
        <w:t>′</w:t>
      </w:r>
      <w:r>
        <w:rPr>
          <w:color w:val="auto"/>
          <w:kern w:val="0"/>
        </w:rPr>
        <w:t>12.0</w:t>
      </w:r>
      <w:r>
        <w:rPr>
          <w:rFonts w:hint="eastAsia"/>
          <w:color w:val="auto"/>
          <w:kern w:val="0"/>
        </w:rPr>
        <w:t>″、</w:t>
      </w:r>
      <w:r>
        <w:rPr>
          <w:color w:val="auto"/>
          <w:kern w:val="0"/>
        </w:rPr>
        <w:t>N21˚39</w:t>
      </w:r>
      <w:r>
        <w:rPr>
          <w:rFonts w:hint="eastAsia"/>
          <w:color w:val="auto"/>
          <w:kern w:val="0"/>
        </w:rPr>
        <w:t>′</w:t>
      </w:r>
      <w:r>
        <w:rPr>
          <w:color w:val="auto"/>
          <w:kern w:val="0"/>
        </w:rPr>
        <w:t>15.0</w:t>
      </w:r>
      <w:r>
        <w:rPr>
          <w:rFonts w:hint="eastAsia"/>
          <w:color w:val="auto"/>
          <w:kern w:val="0"/>
        </w:rPr>
        <w:t>″为中心，半径</w:t>
      </w:r>
      <w:r>
        <w:rPr>
          <w:color w:val="auto"/>
          <w:kern w:val="0"/>
        </w:rPr>
        <w:t>1km</w:t>
      </w:r>
      <w:r>
        <w:rPr>
          <w:rFonts w:hint="eastAsia"/>
          <w:color w:val="auto"/>
          <w:kern w:val="0"/>
        </w:rPr>
        <w:t>的海域，周围设</w:t>
      </w:r>
      <w:r>
        <w:rPr>
          <w:color w:val="auto"/>
          <w:kern w:val="0"/>
        </w:rPr>
        <w:t>0.5km</w:t>
      </w:r>
      <w:r>
        <w:rPr>
          <w:rFonts w:hint="eastAsia"/>
          <w:color w:val="auto"/>
          <w:kern w:val="0"/>
        </w:rPr>
        <w:t>水质过渡带。本报告收集了</w:t>
      </w:r>
      <w:r>
        <w:rPr>
          <w:color w:val="auto"/>
          <w:kern w:val="0"/>
        </w:rPr>
        <w:t>2024</w:t>
      </w:r>
      <w:r>
        <w:rPr>
          <w:rFonts w:hint="eastAsia"/>
          <w:color w:val="auto"/>
          <w:kern w:val="0"/>
        </w:rPr>
        <w:t>年</w:t>
      </w:r>
      <w:r>
        <w:rPr>
          <w:color w:val="auto"/>
          <w:kern w:val="0"/>
        </w:rPr>
        <w:t>7</w:t>
      </w:r>
      <w:r>
        <w:rPr>
          <w:rFonts w:hint="eastAsia"/>
          <w:color w:val="auto"/>
          <w:kern w:val="0"/>
        </w:rPr>
        <w:t>月至</w:t>
      </w:r>
      <w:r>
        <w:rPr>
          <w:color w:val="auto"/>
          <w:kern w:val="0"/>
        </w:rPr>
        <w:t>11</w:t>
      </w:r>
      <w:r>
        <w:rPr>
          <w:rFonts w:hint="eastAsia"/>
          <w:color w:val="auto"/>
          <w:kern w:val="0"/>
        </w:rPr>
        <w:t>月广西壮族自治区海洋环境监测中心站和</w:t>
      </w:r>
      <w:r>
        <w:rPr>
          <w:color w:val="auto"/>
          <w:kern w:val="0"/>
        </w:rPr>
        <w:t>2025</w:t>
      </w:r>
      <w:r>
        <w:rPr>
          <w:rFonts w:hint="eastAsia"/>
          <w:color w:val="auto"/>
          <w:kern w:val="0"/>
        </w:rPr>
        <w:t>年</w:t>
      </w:r>
      <w:r>
        <w:rPr>
          <w:color w:val="auto"/>
          <w:kern w:val="0"/>
        </w:rPr>
        <w:t>8</w:t>
      </w:r>
      <w:r>
        <w:rPr>
          <w:rFonts w:hint="eastAsia"/>
          <w:color w:val="auto"/>
          <w:kern w:val="0"/>
        </w:rPr>
        <w:t>月</w:t>
      </w:r>
      <w:r>
        <w:rPr>
          <w:color w:val="auto"/>
          <w:kern w:val="0"/>
        </w:rPr>
        <w:t>9</w:t>
      </w:r>
      <w:r>
        <w:rPr>
          <w:rFonts w:hint="eastAsia"/>
          <w:color w:val="auto"/>
          <w:kern w:val="0"/>
        </w:rPr>
        <w:t>日《广西中伟新能源项目二期</w:t>
      </w:r>
      <w:r>
        <w:rPr>
          <w:color w:val="auto"/>
          <w:kern w:val="0"/>
        </w:rPr>
        <w:t>X-23#</w:t>
      </w:r>
      <w:r>
        <w:rPr>
          <w:rFonts w:hint="eastAsia"/>
          <w:color w:val="auto"/>
          <w:kern w:val="0"/>
        </w:rPr>
        <w:t>电解钴项目环境影响报告书》对项目周边海域的海洋环境现状调查资料（水质、沉积物和生物质量部分内容）来开展评价</w:t>
      </w:r>
      <w:r>
        <w:rPr>
          <w:color w:val="auto"/>
          <w:kern w:val="0"/>
        </w:rPr>
        <w:t>。</w:t>
      </w:r>
      <w:r>
        <w:rPr>
          <w:rFonts w:hint="eastAsia"/>
          <w:color w:val="auto"/>
          <w:kern w:val="0"/>
        </w:rPr>
        <w:t>本次引用监测共布设5个海水调查站位（GX002、GX004、GX005、GX006、GX008），GX002、GX005、GX008水质保护目标为第二类，GX004水质保护目标为第四类，GX006水质保护目标为第三类。</w:t>
      </w:r>
    </w:p>
    <w:p w14:paraId="0D3BF8D6">
      <w:pPr>
        <w:pStyle w:val="4"/>
        <w:rPr>
          <w:color w:val="auto"/>
        </w:rPr>
      </w:pPr>
      <w:bookmarkStart w:id="328" w:name="_Toc225216744"/>
      <w:r>
        <w:rPr>
          <w:color w:val="auto"/>
        </w:rPr>
        <w:t>调查时间及站位</w:t>
      </w:r>
      <w:bookmarkEnd w:id="328"/>
    </w:p>
    <w:p w14:paraId="50C5D905">
      <w:pPr>
        <w:ind w:firstLine="480"/>
        <w:rPr>
          <w:color w:val="auto"/>
          <w:kern w:val="0"/>
        </w:rPr>
      </w:pPr>
      <w:r>
        <w:rPr>
          <w:rFonts w:hint="eastAsia"/>
          <w:color w:val="auto"/>
          <w:kern w:val="0"/>
        </w:rPr>
        <w:t>项目海洋监测数据引用广西壮族自治区海洋环境监测中心站钦州各站点海水水质、沉积物、生物质量内容。</w:t>
      </w:r>
    </w:p>
    <w:p w14:paraId="51238642">
      <w:pPr>
        <w:ind w:firstLine="480"/>
        <w:rPr>
          <w:color w:val="auto"/>
          <w:kern w:val="0"/>
        </w:rPr>
      </w:pPr>
      <w:r>
        <w:rPr>
          <w:rFonts w:hint="eastAsia"/>
          <w:color w:val="auto"/>
          <w:kern w:val="0"/>
        </w:rPr>
        <w:t>2024年7月~11月，广西壮族自治区海洋环境监测中心站在项目排污口附近海域即钦州湾海域布设了共4个水质调查站位，2个沉积物调查站位，1个生物质量站位。2025年8月9日《广西中伟新能源项目二期X-23#电解钴项目环境影响报告书》在项目排污口附近海域即钦州湾海域布设了共5个水质调查站位，5个沉积物调查站位，2个生物质量站位。调查具体站点位置和经纬度见下表</w:t>
      </w:r>
      <w:r>
        <w:rPr>
          <w:color w:val="auto"/>
          <w:kern w:val="0"/>
        </w:rPr>
        <w:t>。</w:t>
      </w:r>
    </w:p>
    <w:p w14:paraId="5AE26BF7">
      <w:pPr>
        <w:pStyle w:val="7"/>
        <w:rPr>
          <w:color w:val="auto"/>
        </w:rPr>
      </w:pPr>
      <w:r>
        <w:rPr>
          <w:color w:val="auto"/>
        </w:rPr>
        <w:t>海洋生态环境调查站位信息一览表</w:t>
      </w:r>
    </w:p>
    <w:tbl>
      <w:tblPr>
        <w:tblStyle w:val="26"/>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178"/>
        <w:gridCol w:w="1585"/>
        <w:gridCol w:w="1560"/>
        <w:gridCol w:w="2929"/>
        <w:gridCol w:w="2034"/>
      </w:tblGrid>
      <w:tr w14:paraId="0947DF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60" w:hRule="atLeast"/>
          <w:tblHeader/>
          <w:jc w:val="center"/>
        </w:trPr>
        <w:tc>
          <w:tcPr>
            <w:tcW w:w="634" w:type="pct"/>
            <w:noWrap/>
            <w:vAlign w:val="center"/>
          </w:tcPr>
          <w:p w14:paraId="3B54C257">
            <w:pPr>
              <w:pStyle w:val="33"/>
              <w:rPr>
                <w:color w:val="auto"/>
              </w:rPr>
            </w:pPr>
            <w:r>
              <w:rPr>
                <w:color w:val="auto"/>
              </w:rPr>
              <w:t>站位</w:t>
            </w:r>
          </w:p>
        </w:tc>
        <w:tc>
          <w:tcPr>
            <w:tcW w:w="853" w:type="pct"/>
            <w:noWrap/>
            <w:vAlign w:val="center"/>
          </w:tcPr>
          <w:p w14:paraId="3DB054C1">
            <w:pPr>
              <w:pStyle w:val="33"/>
              <w:rPr>
                <w:color w:val="auto"/>
              </w:rPr>
            </w:pPr>
            <w:r>
              <w:rPr>
                <w:color w:val="auto"/>
              </w:rPr>
              <w:t>东经</w:t>
            </w:r>
          </w:p>
        </w:tc>
        <w:tc>
          <w:tcPr>
            <w:tcW w:w="840" w:type="pct"/>
            <w:noWrap/>
            <w:vAlign w:val="center"/>
          </w:tcPr>
          <w:p w14:paraId="30B03F17">
            <w:pPr>
              <w:pStyle w:val="33"/>
              <w:rPr>
                <w:color w:val="auto"/>
              </w:rPr>
            </w:pPr>
            <w:r>
              <w:rPr>
                <w:color w:val="auto"/>
              </w:rPr>
              <w:t>北纬</w:t>
            </w:r>
          </w:p>
        </w:tc>
        <w:tc>
          <w:tcPr>
            <w:tcW w:w="1577" w:type="pct"/>
            <w:noWrap/>
            <w:vAlign w:val="center"/>
          </w:tcPr>
          <w:p w14:paraId="74711A10">
            <w:pPr>
              <w:pStyle w:val="33"/>
              <w:rPr>
                <w:color w:val="auto"/>
              </w:rPr>
            </w:pPr>
            <w:r>
              <w:rPr>
                <w:color w:val="auto"/>
              </w:rPr>
              <w:t>监测内容</w:t>
            </w:r>
          </w:p>
        </w:tc>
        <w:tc>
          <w:tcPr>
            <w:tcW w:w="1095" w:type="pct"/>
            <w:noWrap/>
            <w:vAlign w:val="center"/>
          </w:tcPr>
          <w:p w14:paraId="3201C74F">
            <w:pPr>
              <w:pStyle w:val="33"/>
              <w:rPr>
                <w:color w:val="auto"/>
              </w:rPr>
            </w:pPr>
            <w:r>
              <w:rPr>
                <w:color w:val="auto"/>
              </w:rPr>
              <w:t>数据来源</w:t>
            </w:r>
          </w:p>
        </w:tc>
      </w:tr>
      <w:tr w14:paraId="49187FE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2567DE66">
            <w:pPr>
              <w:pStyle w:val="33"/>
              <w:rPr>
                <w:color w:val="auto"/>
              </w:rPr>
            </w:pPr>
            <w:r>
              <w:rPr>
                <w:color w:val="auto"/>
              </w:rPr>
              <w:t>GX002</w:t>
            </w:r>
          </w:p>
        </w:tc>
        <w:tc>
          <w:tcPr>
            <w:tcW w:w="853" w:type="pct"/>
            <w:noWrap/>
            <w:vAlign w:val="center"/>
          </w:tcPr>
          <w:p w14:paraId="1CCBB677">
            <w:pPr>
              <w:pStyle w:val="33"/>
              <w:rPr>
                <w:color w:val="auto"/>
              </w:rPr>
            </w:pPr>
            <w:r>
              <w:rPr>
                <w:color w:val="auto"/>
              </w:rPr>
              <w:t>108°32′53.49″</w:t>
            </w:r>
          </w:p>
        </w:tc>
        <w:tc>
          <w:tcPr>
            <w:tcW w:w="840" w:type="pct"/>
            <w:noWrap/>
            <w:vAlign w:val="center"/>
          </w:tcPr>
          <w:p w14:paraId="4E23AAAD">
            <w:pPr>
              <w:pStyle w:val="33"/>
              <w:rPr>
                <w:color w:val="auto"/>
              </w:rPr>
            </w:pPr>
            <w:r>
              <w:rPr>
                <w:color w:val="auto"/>
              </w:rPr>
              <w:t>21°47′58.20″</w:t>
            </w:r>
          </w:p>
        </w:tc>
        <w:tc>
          <w:tcPr>
            <w:tcW w:w="1577" w:type="pct"/>
            <w:noWrap/>
            <w:vAlign w:val="center"/>
          </w:tcPr>
          <w:p w14:paraId="49579892">
            <w:pPr>
              <w:pStyle w:val="33"/>
              <w:rPr>
                <w:color w:val="auto"/>
              </w:rPr>
            </w:pPr>
            <w:r>
              <w:rPr>
                <w:color w:val="auto"/>
              </w:rPr>
              <w:t>海水水质、海洋沉积物</w:t>
            </w:r>
          </w:p>
        </w:tc>
        <w:tc>
          <w:tcPr>
            <w:tcW w:w="1095" w:type="pct"/>
            <w:vMerge w:val="restart"/>
            <w:noWrap/>
            <w:vAlign w:val="center"/>
          </w:tcPr>
          <w:p w14:paraId="4084FE31">
            <w:pPr>
              <w:pStyle w:val="33"/>
              <w:rPr>
                <w:color w:val="auto"/>
              </w:rPr>
            </w:pPr>
            <w:r>
              <w:rPr>
                <w:color w:val="auto"/>
              </w:rPr>
              <w:t>广西壮族自治区海洋环境监测中心站</w:t>
            </w:r>
          </w:p>
        </w:tc>
      </w:tr>
      <w:tr w14:paraId="6B8A88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4BEED206">
            <w:pPr>
              <w:pStyle w:val="33"/>
              <w:rPr>
                <w:color w:val="auto"/>
              </w:rPr>
            </w:pPr>
            <w:r>
              <w:rPr>
                <w:color w:val="auto"/>
              </w:rPr>
              <w:t>GX005</w:t>
            </w:r>
          </w:p>
        </w:tc>
        <w:tc>
          <w:tcPr>
            <w:tcW w:w="853" w:type="pct"/>
            <w:noWrap/>
            <w:vAlign w:val="center"/>
          </w:tcPr>
          <w:p w14:paraId="23FC109D">
            <w:pPr>
              <w:pStyle w:val="33"/>
              <w:rPr>
                <w:color w:val="auto"/>
              </w:rPr>
            </w:pPr>
            <w:r>
              <w:rPr>
                <w:color w:val="auto"/>
              </w:rPr>
              <w:t>108°33′27.50″</w:t>
            </w:r>
          </w:p>
        </w:tc>
        <w:tc>
          <w:tcPr>
            <w:tcW w:w="840" w:type="pct"/>
            <w:noWrap/>
            <w:vAlign w:val="center"/>
          </w:tcPr>
          <w:p w14:paraId="1816281C">
            <w:pPr>
              <w:pStyle w:val="33"/>
              <w:rPr>
                <w:color w:val="auto"/>
              </w:rPr>
            </w:pPr>
            <w:r>
              <w:rPr>
                <w:color w:val="auto"/>
              </w:rPr>
              <w:t>21°43′2.50″</w:t>
            </w:r>
          </w:p>
        </w:tc>
        <w:tc>
          <w:tcPr>
            <w:tcW w:w="1577" w:type="pct"/>
            <w:noWrap/>
            <w:vAlign w:val="center"/>
          </w:tcPr>
          <w:p w14:paraId="250D822E">
            <w:pPr>
              <w:pStyle w:val="33"/>
              <w:rPr>
                <w:color w:val="auto"/>
              </w:rPr>
            </w:pPr>
            <w:r>
              <w:rPr>
                <w:color w:val="auto"/>
              </w:rPr>
              <w:t>海水水质</w:t>
            </w:r>
          </w:p>
        </w:tc>
        <w:tc>
          <w:tcPr>
            <w:tcW w:w="1095" w:type="pct"/>
            <w:vMerge w:val="continue"/>
            <w:noWrap/>
            <w:vAlign w:val="center"/>
          </w:tcPr>
          <w:p w14:paraId="1247E78B">
            <w:pPr>
              <w:pStyle w:val="33"/>
              <w:rPr>
                <w:color w:val="auto"/>
              </w:rPr>
            </w:pPr>
          </w:p>
        </w:tc>
      </w:tr>
      <w:tr w14:paraId="45F340F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3C99E767">
            <w:pPr>
              <w:pStyle w:val="33"/>
              <w:rPr>
                <w:color w:val="auto"/>
              </w:rPr>
            </w:pPr>
            <w:r>
              <w:rPr>
                <w:color w:val="auto"/>
              </w:rPr>
              <w:t>GX006</w:t>
            </w:r>
          </w:p>
        </w:tc>
        <w:tc>
          <w:tcPr>
            <w:tcW w:w="853" w:type="pct"/>
            <w:noWrap/>
            <w:vAlign w:val="center"/>
          </w:tcPr>
          <w:p w14:paraId="774F2079">
            <w:pPr>
              <w:pStyle w:val="33"/>
              <w:rPr>
                <w:color w:val="auto"/>
              </w:rPr>
            </w:pPr>
            <w:r>
              <w:rPr>
                <w:color w:val="auto"/>
              </w:rPr>
              <w:t>108°41′11.60″</w:t>
            </w:r>
          </w:p>
        </w:tc>
        <w:tc>
          <w:tcPr>
            <w:tcW w:w="840" w:type="pct"/>
            <w:noWrap/>
            <w:vAlign w:val="center"/>
          </w:tcPr>
          <w:p w14:paraId="319DBBCB">
            <w:pPr>
              <w:pStyle w:val="33"/>
              <w:rPr>
                <w:color w:val="auto"/>
              </w:rPr>
            </w:pPr>
            <w:r>
              <w:rPr>
                <w:color w:val="auto"/>
              </w:rPr>
              <w:t>21°39′28.40″</w:t>
            </w:r>
          </w:p>
        </w:tc>
        <w:tc>
          <w:tcPr>
            <w:tcW w:w="1577" w:type="pct"/>
            <w:noWrap/>
            <w:vAlign w:val="center"/>
          </w:tcPr>
          <w:p w14:paraId="0B3A1BB6">
            <w:pPr>
              <w:pStyle w:val="33"/>
              <w:rPr>
                <w:color w:val="auto"/>
              </w:rPr>
            </w:pPr>
            <w:r>
              <w:rPr>
                <w:color w:val="auto"/>
              </w:rPr>
              <w:t>海水水质</w:t>
            </w:r>
          </w:p>
        </w:tc>
        <w:tc>
          <w:tcPr>
            <w:tcW w:w="1095" w:type="pct"/>
            <w:vMerge w:val="continue"/>
            <w:noWrap/>
            <w:vAlign w:val="center"/>
          </w:tcPr>
          <w:p w14:paraId="4F45DB19">
            <w:pPr>
              <w:pStyle w:val="33"/>
              <w:rPr>
                <w:color w:val="auto"/>
              </w:rPr>
            </w:pPr>
          </w:p>
        </w:tc>
      </w:tr>
      <w:tr w14:paraId="73B341C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200F6F37">
            <w:pPr>
              <w:pStyle w:val="33"/>
              <w:rPr>
                <w:color w:val="auto"/>
              </w:rPr>
            </w:pPr>
            <w:r>
              <w:rPr>
                <w:color w:val="auto"/>
              </w:rPr>
              <w:t>GX008</w:t>
            </w:r>
          </w:p>
        </w:tc>
        <w:tc>
          <w:tcPr>
            <w:tcW w:w="853" w:type="pct"/>
            <w:noWrap/>
            <w:vAlign w:val="center"/>
          </w:tcPr>
          <w:p w14:paraId="0B2A48A8">
            <w:pPr>
              <w:pStyle w:val="33"/>
              <w:rPr>
                <w:color w:val="auto"/>
              </w:rPr>
            </w:pPr>
            <w:r>
              <w:rPr>
                <w:color w:val="auto"/>
              </w:rPr>
              <w:t>108°37′10.60″</w:t>
            </w:r>
          </w:p>
        </w:tc>
        <w:tc>
          <w:tcPr>
            <w:tcW w:w="840" w:type="pct"/>
            <w:noWrap/>
            <w:vAlign w:val="center"/>
          </w:tcPr>
          <w:p w14:paraId="703206EE">
            <w:pPr>
              <w:pStyle w:val="33"/>
              <w:rPr>
                <w:color w:val="auto"/>
              </w:rPr>
            </w:pPr>
            <w:r>
              <w:rPr>
                <w:color w:val="auto"/>
              </w:rPr>
              <w:t>21°37′59.40″</w:t>
            </w:r>
          </w:p>
        </w:tc>
        <w:tc>
          <w:tcPr>
            <w:tcW w:w="1577" w:type="pct"/>
            <w:noWrap/>
            <w:vAlign w:val="center"/>
          </w:tcPr>
          <w:p w14:paraId="4A40D79D">
            <w:pPr>
              <w:pStyle w:val="33"/>
              <w:rPr>
                <w:color w:val="auto"/>
              </w:rPr>
            </w:pPr>
            <w:r>
              <w:rPr>
                <w:color w:val="auto"/>
              </w:rPr>
              <w:t>海水水质、海洋沉积物</w:t>
            </w:r>
          </w:p>
        </w:tc>
        <w:tc>
          <w:tcPr>
            <w:tcW w:w="1095" w:type="pct"/>
            <w:vMerge w:val="continue"/>
            <w:noWrap/>
            <w:vAlign w:val="center"/>
          </w:tcPr>
          <w:p w14:paraId="349C8551">
            <w:pPr>
              <w:pStyle w:val="33"/>
              <w:rPr>
                <w:color w:val="auto"/>
              </w:rPr>
            </w:pPr>
          </w:p>
        </w:tc>
      </w:tr>
      <w:tr w14:paraId="3D586A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3EEE4DF9">
            <w:pPr>
              <w:pStyle w:val="33"/>
              <w:rPr>
                <w:color w:val="auto"/>
              </w:rPr>
            </w:pPr>
            <w:r>
              <w:rPr>
                <w:color w:val="auto"/>
              </w:rPr>
              <w:t>金鼓江</w:t>
            </w:r>
          </w:p>
        </w:tc>
        <w:tc>
          <w:tcPr>
            <w:tcW w:w="853" w:type="pct"/>
            <w:noWrap/>
            <w:vAlign w:val="center"/>
          </w:tcPr>
          <w:p w14:paraId="57322099">
            <w:pPr>
              <w:pStyle w:val="33"/>
              <w:rPr>
                <w:color w:val="auto"/>
              </w:rPr>
            </w:pPr>
            <w:r>
              <w:rPr>
                <w:color w:val="auto"/>
              </w:rPr>
              <w:t>108°38′57.12″</w:t>
            </w:r>
          </w:p>
        </w:tc>
        <w:tc>
          <w:tcPr>
            <w:tcW w:w="840" w:type="pct"/>
            <w:noWrap/>
            <w:vAlign w:val="center"/>
          </w:tcPr>
          <w:p w14:paraId="391970F0">
            <w:pPr>
              <w:pStyle w:val="33"/>
              <w:rPr>
                <w:color w:val="auto"/>
              </w:rPr>
            </w:pPr>
            <w:r>
              <w:rPr>
                <w:color w:val="auto"/>
              </w:rPr>
              <w:t>21°43′30.36″</w:t>
            </w:r>
          </w:p>
        </w:tc>
        <w:tc>
          <w:tcPr>
            <w:tcW w:w="1577" w:type="pct"/>
            <w:noWrap/>
            <w:vAlign w:val="center"/>
          </w:tcPr>
          <w:p w14:paraId="200E7B7C">
            <w:pPr>
              <w:pStyle w:val="33"/>
              <w:rPr>
                <w:color w:val="auto"/>
              </w:rPr>
            </w:pPr>
            <w:r>
              <w:rPr>
                <w:color w:val="auto"/>
              </w:rPr>
              <w:t>生物质量</w:t>
            </w:r>
          </w:p>
        </w:tc>
        <w:tc>
          <w:tcPr>
            <w:tcW w:w="1095" w:type="pct"/>
            <w:vMerge w:val="continue"/>
            <w:noWrap/>
            <w:vAlign w:val="center"/>
          </w:tcPr>
          <w:p w14:paraId="66A404C8">
            <w:pPr>
              <w:pStyle w:val="33"/>
              <w:rPr>
                <w:color w:val="auto"/>
              </w:rPr>
            </w:pPr>
          </w:p>
        </w:tc>
      </w:tr>
      <w:tr w14:paraId="7D9C64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03F909BC">
            <w:pPr>
              <w:pStyle w:val="33"/>
              <w:rPr>
                <w:color w:val="auto"/>
              </w:rPr>
            </w:pPr>
            <w:r>
              <w:rPr>
                <w:color w:val="auto"/>
              </w:rPr>
              <w:t>GX002</w:t>
            </w:r>
          </w:p>
        </w:tc>
        <w:tc>
          <w:tcPr>
            <w:tcW w:w="853" w:type="pct"/>
            <w:noWrap/>
            <w:vAlign w:val="center"/>
          </w:tcPr>
          <w:p w14:paraId="03F7351C">
            <w:pPr>
              <w:pStyle w:val="33"/>
              <w:rPr>
                <w:color w:val="auto"/>
              </w:rPr>
            </w:pPr>
            <w:r>
              <w:rPr>
                <w:color w:val="auto"/>
              </w:rPr>
              <w:t>108°32′53.49″</w:t>
            </w:r>
          </w:p>
        </w:tc>
        <w:tc>
          <w:tcPr>
            <w:tcW w:w="840" w:type="pct"/>
            <w:noWrap/>
            <w:vAlign w:val="center"/>
          </w:tcPr>
          <w:p w14:paraId="3DBD3569">
            <w:pPr>
              <w:pStyle w:val="33"/>
              <w:rPr>
                <w:color w:val="auto"/>
              </w:rPr>
            </w:pPr>
            <w:r>
              <w:rPr>
                <w:color w:val="auto"/>
              </w:rPr>
              <w:t>21°47′58.20″</w:t>
            </w:r>
          </w:p>
        </w:tc>
        <w:tc>
          <w:tcPr>
            <w:tcW w:w="1577" w:type="pct"/>
            <w:noWrap/>
            <w:vAlign w:val="center"/>
          </w:tcPr>
          <w:p w14:paraId="1EB6C680">
            <w:pPr>
              <w:pStyle w:val="33"/>
              <w:rPr>
                <w:color w:val="auto"/>
              </w:rPr>
            </w:pPr>
            <w:r>
              <w:rPr>
                <w:color w:val="auto"/>
              </w:rPr>
              <w:t>水质、沉积物</w:t>
            </w:r>
          </w:p>
        </w:tc>
        <w:tc>
          <w:tcPr>
            <w:tcW w:w="1095" w:type="pct"/>
            <w:vMerge w:val="restart"/>
            <w:noWrap/>
            <w:vAlign w:val="center"/>
          </w:tcPr>
          <w:p w14:paraId="64E9EFAB">
            <w:pPr>
              <w:pStyle w:val="33"/>
              <w:rPr>
                <w:color w:val="auto"/>
              </w:rPr>
            </w:pPr>
            <w:r>
              <w:rPr>
                <w:rFonts w:hint="eastAsia"/>
                <w:color w:val="auto"/>
              </w:rPr>
              <w:t>引用《广西中伟新能源项目二期X-23#电解钴项目环境影响报告书》</w:t>
            </w:r>
          </w:p>
        </w:tc>
      </w:tr>
      <w:tr w14:paraId="59852D6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73D361E9">
            <w:pPr>
              <w:pStyle w:val="33"/>
              <w:rPr>
                <w:color w:val="auto"/>
              </w:rPr>
            </w:pPr>
            <w:r>
              <w:rPr>
                <w:color w:val="auto"/>
              </w:rPr>
              <w:t>GX004</w:t>
            </w:r>
          </w:p>
        </w:tc>
        <w:tc>
          <w:tcPr>
            <w:tcW w:w="853" w:type="pct"/>
            <w:noWrap/>
            <w:vAlign w:val="center"/>
          </w:tcPr>
          <w:p w14:paraId="0F602142">
            <w:pPr>
              <w:pStyle w:val="33"/>
              <w:rPr>
                <w:color w:val="auto"/>
              </w:rPr>
            </w:pPr>
            <w:r>
              <w:rPr>
                <w:color w:val="auto"/>
              </w:rPr>
              <w:t>108°38′2.50″</w:t>
            </w:r>
          </w:p>
        </w:tc>
        <w:tc>
          <w:tcPr>
            <w:tcW w:w="840" w:type="pct"/>
            <w:noWrap/>
            <w:vAlign w:val="center"/>
          </w:tcPr>
          <w:p w14:paraId="75E88CF5">
            <w:pPr>
              <w:pStyle w:val="33"/>
              <w:rPr>
                <w:color w:val="auto"/>
              </w:rPr>
            </w:pPr>
            <w:r>
              <w:rPr>
                <w:color w:val="auto"/>
              </w:rPr>
              <w:t>21°43′9.30″</w:t>
            </w:r>
          </w:p>
        </w:tc>
        <w:tc>
          <w:tcPr>
            <w:tcW w:w="1577" w:type="pct"/>
            <w:noWrap/>
            <w:vAlign w:val="center"/>
          </w:tcPr>
          <w:p w14:paraId="757484BE">
            <w:pPr>
              <w:pStyle w:val="33"/>
              <w:rPr>
                <w:color w:val="auto"/>
              </w:rPr>
            </w:pPr>
            <w:r>
              <w:rPr>
                <w:color w:val="auto"/>
              </w:rPr>
              <w:t>水质、沉积物</w:t>
            </w:r>
          </w:p>
        </w:tc>
        <w:tc>
          <w:tcPr>
            <w:tcW w:w="1095" w:type="pct"/>
            <w:vMerge w:val="continue"/>
            <w:noWrap/>
            <w:vAlign w:val="center"/>
          </w:tcPr>
          <w:p w14:paraId="1215630A">
            <w:pPr>
              <w:pStyle w:val="33"/>
              <w:rPr>
                <w:color w:val="auto"/>
              </w:rPr>
            </w:pPr>
          </w:p>
        </w:tc>
      </w:tr>
      <w:tr w14:paraId="7427EBC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652BC027">
            <w:pPr>
              <w:pStyle w:val="33"/>
              <w:rPr>
                <w:color w:val="auto"/>
              </w:rPr>
            </w:pPr>
            <w:r>
              <w:rPr>
                <w:color w:val="auto"/>
              </w:rPr>
              <w:t>GX005</w:t>
            </w:r>
          </w:p>
        </w:tc>
        <w:tc>
          <w:tcPr>
            <w:tcW w:w="853" w:type="pct"/>
            <w:noWrap/>
            <w:vAlign w:val="center"/>
          </w:tcPr>
          <w:p w14:paraId="5A777C0C">
            <w:pPr>
              <w:pStyle w:val="33"/>
              <w:rPr>
                <w:color w:val="auto"/>
              </w:rPr>
            </w:pPr>
            <w:r>
              <w:rPr>
                <w:color w:val="auto"/>
              </w:rPr>
              <w:t>108°33′27.50″</w:t>
            </w:r>
          </w:p>
        </w:tc>
        <w:tc>
          <w:tcPr>
            <w:tcW w:w="840" w:type="pct"/>
            <w:noWrap/>
            <w:vAlign w:val="center"/>
          </w:tcPr>
          <w:p w14:paraId="34DEB712">
            <w:pPr>
              <w:pStyle w:val="33"/>
              <w:rPr>
                <w:color w:val="auto"/>
              </w:rPr>
            </w:pPr>
            <w:r>
              <w:rPr>
                <w:color w:val="auto"/>
              </w:rPr>
              <w:t>21°43′2.50″</w:t>
            </w:r>
          </w:p>
        </w:tc>
        <w:tc>
          <w:tcPr>
            <w:tcW w:w="1577" w:type="pct"/>
            <w:noWrap/>
            <w:vAlign w:val="center"/>
          </w:tcPr>
          <w:p w14:paraId="5F21F7CB">
            <w:pPr>
              <w:pStyle w:val="33"/>
              <w:rPr>
                <w:color w:val="auto"/>
              </w:rPr>
            </w:pPr>
            <w:r>
              <w:rPr>
                <w:color w:val="auto"/>
              </w:rPr>
              <w:t>水质、沉积物</w:t>
            </w:r>
          </w:p>
        </w:tc>
        <w:tc>
          <w:tcPr>
            <w:tcW w:w="1095" w:type="pct"/>
            <w:vMerge w:val="continue"/>
            <w:noWrap/>
            <w:vAlign w:val="center"/>
          </w:tcPr>
          <w:p w14:paraId="352C00D0">
            <w:pPr>
              <w:pStyle w:val="33"/>
              <w:rPr>
                <w:color w:val="auto"/>
              </w:rPr>
            </w:pPr>
          </w:p>
        </w:tc>
      </w:tr>
      <w:tr w14:paraId="7CE98A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3A8CFE52">
            <w:pPr>
              <w:pStyle w:val="33"/>
              <w:rPr>
                <w:color w:val="auto"/>
              </w:rPr>
            </w:pPr>
            <w:r>
              <w:rPr>
                <w:color w:val="auto"/>
              </w:rPr>
              <w:t>GX006</w:t>
            </w:r>
          </w:p>
        </w:tc>
        <w:tc>
          <w:tcPr>
            <w:tcW w:w="853" w:type="pct"/>
            <w:noWrap/>
            <w:vAlign w:val="center"/>
          </w:tcPr>
          <w:p w14:paraId="4E055F23">
            <w:pPr>
              <w:pStyle w:val="33"/>
              <w:rPr>
                <w:color w:val="auto"/>
              </w:rPr>
            </w:pPr>
            <w:r>
              <w:rPr>
                <w:color w:val="auto"/>
              </w:rPr>
              <w:t>108°41′11.60″</w:t>
            </w:r>
          </w:p>
        </w:tc>
        <w:tc>
          <w:tcPr>
            <w:tcW w:w="840" w:type="pct"/>
            <w:noWrap/>
            <w:vAlign w:val="center"/>
          </w:tcPr>
          <w:p w14:paraId="3F1FA944">
            <w:pPr>
              <w:pStyle w:val="33"/>
              <w:rPr>
                <w:color w:val="auto"/>
              </w:rPr>
            </w:pPr>
            <w:r>
              <w:rPr>
                <w:color w:val="auto"/>
              </w:rPr>
              <w:t>21°39′28.40″</w:t>
            </w:r>
          </w:p>
        </w:tc>
        <w:tc>
          <w:tcPr>
            <w:tcW w:w="1577" w:type="pct"/>
            <w:noWrap/>
            <w:vAlign w:val="center"/>
          </w:tcPr>
          <w:p w14:paraId="3CAD7097">
            <w:pPr>
              <w:pStyle w:val="33"/>
              <w:rPr>
                <w:color w:val="auto"/>
              </w:rPr>
            </w:pPr>
            <w:r>
              <w:rPr>
                <w:color w:val="auto"/>
              </w:rPr>
              <w:t>水质、沉积物、生物质量</w:t>
            </w:r>
          </w:p>
        </w:tc>
        <w:tc>
          <w:tcPr>
            <w:tcW w:w="1095" w:type="pct"/>
            <w:vMerge w:val="continue"/>
            <w:noWrap/>
            <w:vAlign w:val="center"/>
          </w:tcPr>
          <w:p w14:paraId="64C5375B">
            <w:pPr>
              <w:pStyle w:val="33"/>
              <w:rPr>
                <w:color w:val="auto"/>
              </w:rPr>
            </w:pPr>
          </w:p>
        </w:tc>
      </w:tr>
      <w:tr w14:paraId="6BE7529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2" w:hRule="atLeast"/>
          <w:jc w:val="center"/>
        </w:trPr>
        <w:tc>
          <w:tcPr>
            <w:tcW w:w="634" w:type="pct"/>
            <w:noWrap/>
            <w:vAlign w:val="center"/>
          </w:tcPr>
          <w:p w14:paraId="26726428">
            <w:pPr>
              <w:pStyle w:val="33"/>
              <w:rPr>
                <w:color w:val="auto"/>
              </w:rPr>
            </w:pPr>
            <w:r>
              <w:rPr>
                <w:color w:val="auto"/>
              </w:rPr>
              <w:t>GX008</w:t>
            </w:r>
          </w:p>
        </w:tc>
        <w:tc>
          <w:tcPr>
            <w:tcW w:w="853" w:type="pct"/>
            <w:noWrap/>
            <w:vAlign w:val="center"/>
          </w:tcPr>
          <w:p w14:paraId="0D79137F">
            <w:pPr>
              <w:pStyle w:val="33"/>
              <w:rPr>
                <w:color w:val="auto"/>
              </w:rPr>
            </w:pPr>
            <w:r>
              <w:rPr>
                <w:color w:val="auto"/>
              </w:rPr>
              <w:t>108°37′10.60″</w:t>
            </w:r>
          </w:p>
        </w:tc>
        <w:tc>
          <w:tcPr>
            <w:tcW w:w="840" w:type="pct"/>
            <w:noWrap/>
            <w:vAlign w:val="center"/>
          </w:tcPr>
          <w:p w14:paraId="78EDB51E">
            <w:pPr>
              <w:pStyle w:val="33"/>
              <w:rPr>
                <w:color w:val="auto"/>
              </w:rPr>
            </w:pPr>
            <w:r>
              <w:rPr>
                <w:color w:val="auto"/>
              </w:rPr>
              <w:t>21°37′59.40″</w:t>
            </w:r>
          </w:p>
        </w:tc>
        <w:tc>
          <w:tcPr>
            <w:tcW w:w="1577" w:type="pct"/>
            <w:noWrap/>
            <w:vAlign w:val="center"/>
          </w:tcPr>
          <w:p w14:paraId="524A32C3">
            <w:pPr>
              <w:pStyle w:val="33"/>
              <w:rPr>
                <w:color w:val="auto"/>
              </w:rPr>
            </w:pPr>
            <w:r>
              <w:rPr>
                <w:color w:val="auto"/>
              </w:rPr>
              <w:t>水质、沉积物、生物质量</w:t>
            </w:r>
          </w:p>
        </w:tc>
        <w:tc>
          <w:tcPr>
            <w:tcW w:w="1095" w:type="pct"/>
            <w:vMerge w:val="continue"/>
            <w:noWrap/>
            <w:vAlign w:val="center"/>
          </w:tcPr>
          <w:p w14:paraId="038A4E37">
            <w:pPr>
              <w:pStyle w:val="33"/>
              <w:rPr>
                <w:color w:val="auto"/>
              </w:rPr>
            </w:pPr>
          </w:p>
        </w:tc>
      </w:tr>
    </w:tbl>
    <w:p w14:paraId="245971E9">
      <w:pPr>
        <w:pStyle w:val="4"/>
        <w:rPr>
          <w:color w:val="auto"/>
        </w:rPr>
      </w:pPr>
      <w:bookmarkStart w:id="329" w:name="_Toc225216745"/>
      <w:r>
        <w:rPr>
          <w:color w:val="auto"/>
        </w:rPr>
        <w:t>海洋水质监测</w:t>
      </w:r>
      <w:bookmarkEnd w:id="329"/>
    </w:p>
    <w:p w14:paraId="1673AA86">
      <w:pPr>
        <w:ind w:firstLine="480"/>
        <w:rPr>
          <w:color w:val="auto"/>
          <w:kern w:val="0"/>
        </w:rPr>
      </w:pPr>
      <w:r>
        <w:rPr>
          <w:color w:val="auto"/>
          <w:kern w:val="0"/>
        </w:rPr>
        <w:t>（1）监测时间</w:t>
      </w:r>
    </w:p>
    <w:p w14:paraId="6E6196F7">
      <w:pPr>
        <w:ind w:firstLine="480"/>
        <w:rPr>
          <w:rFonts w:cs="Times New Roman"/>
          <w:color w:val="auto"/>
          <w:lang w:val="zh-CN"/>
        </w:rPr>
      </w:pPr>
      <w:r>
        <w:rPr>
          <w:rFonts w:cs="Times New Roman"/>
          <w:color w:val="auto"/>
          <w:lang w:val="zh-CN"/>
        </w:rPr>
        <w:t>为了了解项目排污口附近海域海洋环境现状，本报告采用</w:t>
      </w:r>
      <w:r>
        <w:rPr>
          <w:rFonts w:cs="Times New Roman"/>
          <w:color w:val="auto"/>
          <w:szCs w:val="24"/>
          <w:shd w:val="clear" w:color="auto" w:fill="FFFFFF"/>
        </w:rPr>
        <w:t>广西壮族自治区海洋环境监测中心站</w:t>
      </w:r>
      <w:r>
        <w:rPr>
          <w:rFonts w:cs="Times New Roman"/>
          <w:color w:val="auto"/>
          <w:lang w:val="zh-CN"/>
        </w:rPr>
        <w:t>于20</w:t>
      </w:r>
      <w:r>
        <w:rPr>
          <w:rFonts w:cs="Times New Roman"/>
          <w:color w:val="auto"/>
        </w:rPr>
        <w:t>24</w:t>
      </w:r>
      <w:r>
        <w:rPr>
          <w:rFonts w:cs="Times New Roman"/>
          <w:color w:val="auto"/>
          <w:lang w:val="zh-CN"/>
        </w:rPr>
        <w:t>年10月</w:t>
      </w:r>
      <w:r>
        <w:rPr>
          <w:rFonts w:cs="Times New Roman"/>
          <w:color w:val="auto"/>
        </w:rPr>
        <w:t>11日~11月8日在</w:t>
      </w:r>
      <w:r>
        <w:rPr>
          <w:rFonts w:cs="Times New Roman"/>
          <w:color w:val="auto"/>
          <w:lang w:val="zh-CN"/>
        </w:rPr>
        <w:t>项目排污口附近海域开展的海洋环境现状调查资料</w:t>
      </w:r>
      <w:r>
        <w:rPr>
          <w:rFonts w:cs="Times New Roman"/>
          <w:color w:val="auto"/>
        </w:rPr>
        <w:t>以及</w:t>
      </w:r>
      <w:r>
        <w:rPr>
          <w:rFonts w:hint="eastAsia" w:cs="Times New Roman"/>
          <w:color w:val="auto"/>
          <w:szCs w:val="24"/>
          <w:shd w:val="clear" w:color="auto" w:fill="FFFFFF"/>
        </w:rPr>
        <w:t>《广西中伟新能源项目二期X-23#电解钴项目环境影响报告书》</w:t>
      </w:r>
      <w:r>
        <w:rPr>
          <w:rFonts w:cs="Times New Roman"/>
          <w:color w:val="auto"/>
        </w:rPr>
        <w:t>于2025年8月12日开展</w:t>
      </w:r>
      <w:r>
        <w:rPr>
          <w:rFonts w:cs="Times New Roman"/>
          <w:color w:val="auto"/>
          <w:lang w:val="zh-CN"/>
        </w:rPr>
        <w:t>海洋环境现状</w:t>
      </w:r>
      <w:r>
        <w:rPr>
          <w:rFonts w:cs="Times New Roman"/>
          <w:color w:val="auto"/>
        </w:rPr>
        <w:t>监测</w:t>
      </w:r>
      <w:r>
        <w:rPr>
          <w:rFonts w:cs="Times New Roman"/>
          <w:color w:val="auto"/>
          <w:lang w:val="zh-CN"/>
        </w:rPr>
        <w:t>。</w:t>
      </w:r>
    </w:p>
    <w:p w14:paraId="30E97C17">
      <w:pPr>
        <w:ind w:firstLine="480"/>
        <w:rPr>
          <w:color w:val="auto"/>
          <w:kern w:val="0"/>
        </w:rPr>
      </w:pPr>
      <w:r>
        <w:rPr>
          <w:color w:val="auto"/>
          <w:kern w:val="0"/>
        </w:rPr>
        <w:t>（2）监测站位</w:t>
      </w:r>
    </w:p>
    <w:p w14:paraId="084A49AA">
      <w:pPr>
        <w:ind w:firstLine="480"/>
        <w:rPr>
          <w:color w:val="auto"/>
        </w:rPr>
      </w:pPr>
      <w:r>
        <w:rPr>
          <w:rFonts w:hint="eastAsia"/>
          <w:color w:val="auto"/>
        </w:rPr>
        <w:t>站位分布详见上表4.5-1及附图4-3。</w:t>
      </w:r>
    </w:p>
    <w:p w14:paraId="24F8A0ED">
      <w:pPr>
        <w:ind w:firstLine="480"/>
        <w:rPr>
          <w:color w:val="auto"/>
          <w:kern w:val="0"/>
        </w:rPr>
      </w:pPr>
      <w:r>
        <w:rPr>
          <w:color w:val="auto"/>
          <w:kern w:val="0"/>
        </w:rPr>
        <w:t>（3）监测因子</w:t>
      </w:r>
    </w:p>
    <w:p w14:paraId="71427757">
      <w:pPr>
        <w:ind w:firstLine="480"/>
        <w:rPr>
          <w:color w:val="auto"/>
          <w:kern w:val="0"/>
        </w:rPr>
      </w:pPr>
      <w:r>
        <w:rPr>
          <w:color w:val="auto"/>
          <w:kern w:val="0"/>
        </w:rPr>
        <w:t>选取的监测项目为：pH、水温、盐度、悬浮物、溶解氧、无机氮、活性磷酸盐、油类、铜、铅、镉、汞、锌、总铬、砷、镍、锰、硫酸盐、锑、铊、钴、氯化物、硫化物、挥发性酚类等24项。</w:t>
      </w:r>
    </w:p>
    <w:p w14:paraId="1DE93D3E">
      <w:pPr>
        <w:ind w:firstLine="480"/>
        <w:rPr>
          <w:color w:val="auto"/>
          <w:kern w:val="0"/>
        </w:rPr>
      </w:pPr>
      <w:r>
        <w:rPr>
          <w:color w:val="auto"/>
          <w:kern w:val="0"/>
        </w:rPr>
        <w:t>（4）执行标准</w:t>
      </w:r>
    </w:p>
    <w:p w14:paraId="17DF3816">
      <w:pPr>
        <w:ind w:firstLine="480"/>
        <w:rPr>
          <w:color w:val="auto"/>
          <w:kern w:val="0"/>
        </w:rPr>
      </w:pPr>
      <w:r>
        <w:rPr>
          <w:color w:val="auto"/>
          <w:kern w:val="0"/>
        </w:rPr>
        <w:t>评价海域执行《海水水质标准》（GB3097－1997）中第二类、第三类标准，详见表1.3-3。</w:t>
      </w:r>
    </w:p>
    <w:p w14:paraId="69775F2F">
      <w:pPr>
        <w:ind w:firstLine="480"/>
        <w:rPr>
          <w:color w:val="auto"/>
          <w:kern w:val="0"/>
        </w:rPr>
      </w:pPr>
      <w:r>
        <w:rPr>
          <w:color w:val="auto"/>
          <w:kern w:val="0"/>
        </w:rPr>
        <w:t>（5）评价方法</w:t>
      </w:r>
    </w:p>
    <w:p w14:paraId="238B7AF2">
      <w:pPr>
        <w:ind w:firstLine="480"/>
        <w:rPr>
          <w:color w:val="auto"/>
          <w:kern w:val="0"/>
        </w:rPr>
      </w:pPr>
      <w:r>
        <w:rPr>
          <w:color w:val="auto"/>
          <w:kern w:val="0"/>
        </w:rPr>
        <w:t>采用水质指数法进行评价：</w:t>
      </w:r>
    </w:p>
    <w:p w14:paraId="38F86CD5">
      <w:pPr>
        <w:ind w:firstLine="0" w:firstLineChars="0"/>
        <w:jc w:val="center"/>
        <w:rPr>
          <w:color w:val="auto"/>
          <w:kern w:val="0"/>
        </w:rPr>
      </w:pPr>
      <w:r>
        <w:rPr>
          <w:color w:val="auto"/>
          <w:kern w:val="0"/>
        </w:rPr>
        <w:object>
          <v:shape id="_x0000_i1028" o:spt="75" type="#_x0000_t75" style="height:20.5pt;width:77pt;" o:ole="t" filled="f" o:preferrelative="t" stroked="f" coordsize="21600,21600">
            <v:path/>
            <v:fill on="f" focussize="0,0"/>
            <v:stroke on="f" joinstyle="miter"/>
            <v:imagedata r:id="rId71" o:title=""/>
            <o:lock v:ext="edit" aspectratio="t"/>
            <w10:wrap type="none"/>
            <w10:anchorlock/>
          </v:shape>
          <o:OLEObject Type="Embed" ProgID="Equation.3" ShapeID="_x0000_i1028" DrawAspect="Content" ObjectID="_1468075728" r:id="rId70">
            <o:LockedField>false</o:LockedField>
          </o:OLEObject>
        </w:object>
      </w:r>
    </w:p>
    <w:p w14:paraId="2D73F5D5">
      <w:pPr>
        <w:ind w:firstLine="480"/>
        <w:rPr>
          <w:color w:val="auto"/>
          <w:kern w:val="0"/>
        </w:rPr>
      </w:pPr>
      <w:r>
        <w:rPr>
          <w:color w:val="auto"/>
          <w:kern w:val="0"/>
        </w:rPr>
        <w:t>式中：</w:t>
      </w:r>
      <w:r>
        <w:rPr>
          <w:i/>
          <w:iCs/>
          <w:color w:val="auto"/>
          <w:kern w:val="0"/>
        </w:rPr>
        <w:t>S</w:t>
      </w:r>
      <w:r>
        <w:rPr>
          <w:i/>
          <w:iCs/>
          <w:color w:val="auto"/>
          <w:kern w:val="0"/>
          <w:vertAlign w:val="subscript"/>
        </w:rPr>
        <w:t>i，j</w:t>
      </w:r>
      <w:r>
        <w:rPr>
          <w:color w:val="auto"/>
          <w:kern w:val="0"/>
        </w:rPr>
        <w:t>—评价因子i的水质指数；</w:t>
      </w:r>
    </w:p>
    <w:p w14:paraId="54AAA6AC">
      <w:pPr>
        <w:ind w:firstLine="480"/>
        <w:rPr>
          <w:color w:val="auto"/>
          <w:kern w:val="0"/>
        </w:rPr>
      </w:pPr>
      <w:r>
        <w:rPr>
          <w:i/>
          <w:iCs/>
          <w:color w:val="auto"/>
          <w:kern w:val="0"/>
        </w:rPr>
        <w:t>C</w:t>
      </w:r>
      <w:r>
        <w:rPr>
          <w:i/>
          <w:iCs/>
          <w:color w:val="auto"/>
          <w:kern w:val="0"/>
          <w:vertAlign w:val="subscript"/>
        </w:rPr>
        <w:t>i，j</w:t>
      </w:r>
      <w:r>
        <w:rPr>
          <w:color w:val="auto"/>
          <w:kern w:val="0"/>
        </w:rPr>
        <w:t>—评价因子i在j点的实测统计代表值，mg/L；</w:t>
      </w:r>
    </w:p>
    <w:p w14:paraId="31C8FA77">
      <w:pPr>
        <w:ind w:firstLine="480"/>
        <w:rPr>
          <w:color w:val="auto"/>
          <w:kern w:val="0"/>
        </w:rPr>
      </w:pPr>
      <w:r>
        <w:rPr>
          <w:i/>
          <w:iCs/>
          <w:color w:val="auto"/>
          <w:kern w:val="0"/>
        </w:rPr>
        <w:t>C</w:t>
      </w:r>
      <w:r>
        <w:rPr>
          <w:i/>
          <w:iCs/>
          <w:color w:val="auto"/>
          <w:kern w:val="0"/>
          <w:vertAlign w:val="subscript"/>
        </w:rPr>
        <w:t>si</w:t>
      </w:r>
      <w:r>
        <w:rPr>
          <w:color w:val="auto"/>
          <w:kern w:val="0"/>
        </w:rPr>
        <w:t>—评价因子i的水质评价标准限值，mg/L。</w:t>
      </w:r>
    </w:p>
    <w:p w14:paraId="063D62E1">
      <w:pPr>
        <w:ind w:firstLine="480"/>
        <w:rPr>
          <w:color w:val="auto"/>
          <w:kern w:val="0"/>
        </w:rPr>
      </w:pPr>
      <w:r>
        <w:rPr>
          <w:i/>
          <w:iCs/>
          <w:color w:val="auto"/>
          <w:kern w:val="0"/>
        </w:rPr>
        <w:t>DO</w:t>
      </w:r>
      <w:r>
        <w:rPr>
          <w:color w:val="auto"/>
          <w:kern w:val="0"/>
        </w:rPr>
        <w:t>的标准指数为：</w:t>
      </w:r>
    </w:p>
    <w:p w14:paraId="7C06F553">
      <w:pPr>
        <w:ind w:firstLine="0" w:firstLineChars="0"/>
        <w:jc w:val="center"/>
        <w:rPr>
          <w:color w:val="auto"/>
          <w:kern w:val="0"/>
        </w:rPr>
      </w:pPr>
      <w:r>
        <w:rPr>
          <w:color w:val="auto"/>
          <w:kern w:val="0"/>
        </w:rPr>
        <w:object>
          <v:shape id="_x0000_i1029" o:spt="75" type="#_x0000_t75" style="height:15.5pt;width:87.5pt;" o:ole="t" filled="f" o:preferrelative="t" stroked="f" coordsize="21600,21600">
            <v:path/>
            <v:fill on="f" focussize="0,0"/>
            <v:stroke on="f" joinstyle="miter"/>
            <v:imagedata r:id="rId73" o:title=""/>
            <o:lock v:ext="edit" aspectratio="t"/>
            <w10:wrap type="none"/>
            <w10:anchorlock/>
          </v:shape>
          <o:OLEObject Type="Embed" ProgID="Equation.3" ShapeID="_x0000_i1029" DrawAspect="Content" ObjectID="_1468075729" r:id="rId72">
            <o:LockedField>false</o:LockedField>
          </o:OLEObject>
        </w:object>
      </w:r>
      <w:r>
        <w:rPr>
          <w:color w:val="auto"/>
          <w:kern w:val="0"/>
        </w:rPr>
        <w:t xml:space="preserve">        </w:t>
      </w:r>
      <w:r>
        <w:rPr>
          <w:i/>
          <w:iCs/>
          <w:color w:val="auto"/>
          <w:kern w:val="0"/>
        </w:rPr>
        <w:t>DO</w:t>
      </w:r>
      <w:r>
        <w:rPr>
          <w:i/>
          <w:iCs/>
          <w:color w:val="auto"/>
          <w:kern w:val="0"/>
          <w:vertAlign w:val="subscript"/>
        </w:rPr>
        <w:t>j</w:t>
      </w:r>
      <w:r>
        <w:rPr>
          <w:i/>
          <w:iCs/>
          <w:color w:val="auto"/>
          <w:kern w:val="0"/>
        </w:rPr>
        <w:t>≤DO</w:t>
      </w:r>
      <w:r>
        <w:rPr>
          <w:i/>
          <w:iCs/>
          <w:color w:val="auto"/>
          <w:kern w:val="0"/>
          <w:vertAlign w:val="subscript"/>
        </w:rPr>
        <w:t>f</w:t>
      </w:r>
    </w:p>
    <w:p w14:paraId="31FE7C12">
      <w:pPr>
        <w:ind w:firstLine="0" w:firstLineChars="0"/>
        <w:jc w:val="center"/>
        <w:rPr>
          <w:color w:val="auto"/>
          <w:kern w:val="0"/>
        </w:rPr>
      </w:pPr>
      <w:r>
        <w:rPr>
          <w:color w:val="auto"/>
          <w:kern w:val="0"/>
        </w:rPr>
        <w:object>
          <v:shape id="_x0000_i1030" o:spt="75" type="#_x0000_t75" style="height:41.5pt;width:102.5pt;" o:ole="t" filled="f" o:preferrelative="t" stroked="f" coordsize="21600,21600">
            <v:path/>
            <v:fill on="f" focussize="0,0"/>
            <v:stroke on="f" joinstyle="miter"/>
            <v:imagedata r:id="rId75" o:title=""/>
            <o:lock v:ext="edit" aspectratio="t"/>
            <w10:wrap type="none"/>
            <w10:anchorlock/>
          </v:shape>
          <o:OLEObject Type="Embed" ProgID="Equation.3" ShapeID="_x0000_i1030" DrawAspect="Content" ObjectID="_1468075730" r:id="rId74">
            <o:LockedField>false</o:LockedField>
          </o:OLEObject>
        </w:object>
      </w:r>
      <w:r>
        <w:rPr>
          <w:color w:val="auto"/>
          <w:kern w:val="0"/>
        </w:rPr>
        <w:t xml:space="preserve">      </w:t>
      </w:r>
      <w:r>
        <w:rPr>
          <w:i/>
          <w:iCs/>
          <w:color w:val="auto"/>
          <w:kern w:val="0"/>
        </w:rPr>
        <w:t>DO</w:t>
      </w:r>
      <w:r>
        <w:rPr>
          <w:i/>
          <w:iCs/>
          <w:color w:val="auto"/>
          <w:kern w:val="0"/>
          <w:vertAlign w:val="subscript"/>
        </w:rPr>
        <w:t>j</w:t>
      </w:r>
      <w:r>
        <w:rPr>
          <w:i/>
          <w:iCs/>
          <w:color w:val="auto"/>
          <w:kern w:val="0"/>
        </w:rPr>
        <w:t>&gt;DO</w:t>
      </w:r>
      <w:r>
        <w:rPr>
          <w:i/>
          <w:iCs/>
          <w:color w:val="auto"/>
          <w:kern w:val="0"/>
          <w:vertAlign w:val="subscript"/>
        </w:rPr>
        <w:t>f</w:t>
      </w:r>
    </w:p>
    <w:p w14:paraId="0AEA8F64">
      <w:pPr>
        <w:ind w:firstLine="480"/>
        <w:rPr>
          <w:color w:val="auto"/>
          <w:kern w:val="0"/>
        </w:rPr>
      </w:pPr>
      <w:r>
        <w:rPr>
          <w:color w:val="auto"/>
          <w:kern w:val="0"/>
        </w:rPr>
        <w:t>式中：S</w:t>
      </w:r>
      <w:r>
        <w:rPr>
          <w:color w:val="auto"/>
          <w:kern w:val="0"/>
          <w:vertAlign w:val="subscript"/>
        </w:rPr>
        <w:t>DO，j</w:t>
      </w:r>
      <w:r>
        <w:rPr>
          <w:color w:val="auto"/>
          <w:kern w:val="0"/>
        </w:rPr>
        <w:t>——溶解氧的标准指数；</w:t>
      </w:r>
    </w:p>
    <w:p w14:paraId="638BA26D">
      <w:pPr>
        <w:ind w:firstLine="480"/>
        <w:rPr>
          <w:color w:val="auto"/>
          <w:kern w:val="0"/>
        </w:rPr>
      </w:pPr>
      <w:r>
        <w:rPr>
          <w:color w:val="auto"/>
          <w:kern w:val="0"/>
        </w:rPr>
        <w:t>DO</w:t>
      </w:r>
      <w:r>
        <w:rPr>
          <w:color w:val="auto"/>
          <w:kern w:val="0"/>
          <w:vertAlign w:val="subscript"/>
        </w:rPr>
        <w:t>j</w:t>
      </w:r>
      <w:r>
        <w:rPr>
          <w:color w:val="auto"/>
          <w:kern w:val="0"/>
        </w:rPr>
        <w:t>——溶解氧在j点的实测统计代表值，mg/L；</w:t>
      </w:r>
    </w:p>
    <w:p w14:paraId="7EE32B27">
      <w:pPr>
        <w:ind w:firstLine="480"/>
        <w:rPr>
          <w:color w:val="auto"/>
          <w:kern w:val="0"/>
        </w:rPr>
      </w:pPr>
      <w:r>
        <w:rPr>
          <w:color w:val="auto"/>
          <w:kern w:val="0"/>
        </w:rPr>
        <w:t>DO</w:t>
      </w:r>
      <w:r>
        <w:rPr>
          <w:color w:val="auto"/>
          <w:kern w:val="0"/>
          <w:vertAlign w:val="subscript"/>
        </w:rPr>
        <w:t>s</w:t>
      </w:r>
      <w:r>
        <w:rPr>
          <w:color w:val="auto"/>
          <w:kern w:val="0"/>
        </w:rPr>
        <w:t>——溶解氧的水质评价标准限值，mg/L；</w:t>
      </w:r>
    </w:p>
    <w:p w14:paraId="6BFB6529">
      <w:pPr>
        <w:ind w:firstLine="480"/>
        <w:rPr>
          <w:color w:val="auto"/>
          <w:kern w:val="0"/>
        </w:rPr>
      </w:pPr>
      <w:r>
        <w:rPr>
          <w:color w:val="auto"/>
          <w:kern w:val="0"/>
        </w:rPr>
        <w:t>DO</w:t>
      </w:r>
      <w:r>
        <w:rPr>
          <w:color w:val="auto"/>
          <w:kern w:val="0"/>
          <w:vertAlign w:val="subscript"/>
        </w:rPr>
        <w:t>f</w:t>
      </w:r>
      <w:r>
        <w:rPr>
          <w:color w:val="auto"/>
          <w:kern w:val="0"/>
        </w:rPr>
        <w:t>——饱和溶解氧浓度，mg/L，对于河流，</w:t>
      </w:r>
      <w:r>
        <w:rPr>
          <w:color w:val="auto"/>
          <w:kern w:val="0"/>
        </w:rPr>
        <w:object>
          <v:shape id="_x0000_i1031" o:spt="75" type="#_x0000_t75" style="height:15.5pt;width:113.5pt;" o:ole="t" filled="f" o:preferrelative="t" stroked="f" coordsize="21600,21600">
            <v:path/>
            <v:fill on="f" focussize="0,0"/>
            <v:stroke on="f" joinstyle="miter"/>
            <v:imagedata r:id="rId77" o:title=""/>
            <o:lock v:ext="edit" aspectratio="t"/>
            <w10:wrap type="none"/>
            <w10:anchorlock/>
          </v:shape>
          <o:OLEObject Type="Embed" ProgID="Equation.3" ShapeID="_x0000_i1031" DrawAspect="Content" ObjectID="_1468075731" r:id="rId76">
            <o:LockedField>false</o:LockedField>
          </o:OLEObject>
        </w:object>
      </w:r>
      <w:r>
        <w:rPr>
          <w:color w:val="auto"/>
          <w:kern w:val="0"/>
        </w:rPr>
        <w:t>；对于盐度比较高的湖泊、水库及入海口、近岸海域，</w:t>
      </w:r>
      <w:r>
        <w:rPr>
          <w:color w:val="auto"/>
          <w:kern w:val="0"/>
        </w:rPr>
        <w:object>
          <v:shape id="_x0000_i1032" o:spt="75" type="#_x0000_t75" style="height:15.5pt;width:159.5pt;" o:ole="t" filled="f" o:preferrelative="t" stroked="f" coordsize="21600,21600">
            <v:path/>
            <v:fill on="f" focussize="0,0"/>
            <v:stroke on="f" joinstyle="miter"/>
            <v:imagedata r:id="rId79" o:title=""/>
            <o:lock v:ext="edit" aspectratio="t"/>
            <w10:wrap type="none"/>
            <w10:anchorlock/>
          </v:shape>
          <o:OLEObject Type="Embed" ProgID="Equation.3" ShapeID="_x0000_i1032" DrawAspect="Content" ObjectID="_1468075732" r:id="rId78">
            <o:LockedField>false</o:LockedField>
          </o:OLEObject>
        </w:object>
      </w:r>
      <w:r>
        <w:rPr>
          <w:color w:val="auto"/>
          <w:kern w:val="0"/>
        </w:rPr>
        <w:t>；</w:t>
      </w:r>
    </w:p>
    <w:p w14:paraId="2664C89D">
      <w:pPr>
        <w:ind w:firstLine="480"/>
        <w:rPr>
          <w:color w:val="auto"/>
          <w:kern w:val="0"/>
        </w:rPr>
      </w:pPr>
      <w:r>
        <w:rPr>
          <w:color w:val="auto"/>
          <w:kern w:val="0"/>
        </w:rPr>
        <w:t>S——实用盐度符号，量纲为1；</w:t>
      </w:r>
    </w:p>
    <w:p w14:paraId="0370E61D">
      <w:pPr>
        <w:ind w:firstLine="480"/>
        <w:rPr>
          <w:color w:val="auto"/>
          <w:kern w:val="0"/>
        </w:rPr>
      </w:pPr>
      <w:r>
        <w:rPr>
          <w:color w:val="auto"/>
          <w:kern w:val="0"/>
        </w:rPr>
        <w:t>T——水温，°C。</w:t>
      </w:r>
    </w:p>
    <w:p w14:paraId="1D38870E">
      <w:pPr>
        <w:ind w:firstLine="480"/>
        <w:rPr>
          <w:color w:val="auto"/>
          <w:kern w:val="0"/>
        </w:rPr>
      </w:pPr>
      <w:r>
        <w:rPr>
          <w:color w:val="auto"/>
          <w:kern w:val="0"/>
        </w:rPr>
        <w:t>pH值指数计算公式：</w:t>
      </w:r>
    </w:p>
    <w:p w14:paraId="1CA1F77C">
      <w:pPr>
        <w:ind w:firstLine="0" w:firstLineChars="0"/>
        <w:jc w:val="center"/>
        <w:rPr>
          <w:color w:val="auto"/>
          <w:kern w:val="0"/>
        </w:rPr>
      </w:pPr>
      <w:r>
        <w:rPr>
          <w:color w:val="auto"/>
          <w:kern w:val="0"/>
        </w:rPr>
        <w:object>
          <v:shape id="_x0000_i1033" o:spt="75" type="#_x0000_t75" style="height:36pt;width:92.5pt;" o:ole="t" filled="f" o:preferrelative="t" stroked="f" coordsize="21600,21600">
            <v:path/>
            <v:fill on="f" focussize="0,0"/>
            <v:stroke on="f" joinstyle="miter"/>
            <v:imagedata r:id="rId81" o:title=""/>
            <o:lock v:ext="edit" aspectratio="t"/>
            <w10:wrap type="none"/>
            <w10:anchorlock/>
          </v:shape>
          <o:OLEObject Type="Embed" ProgID="Equation.3" ShapeID="_x0000_i1033" DrawAspect="Content" ObjectID="_1468075733" r:id="rId80">
            <o:LockedField>false</o:LockedField>
          </o:OLEObject>
        </w:object>
      </w:r>
      <w:r>
        <w:rPr>
          <w:color w:val="auto"/>
          <w:kern w:val="0"/>
        </w:rPr>
        <w:t xml:space="preserve">       pH＞7.0</w:t>
      </w:r>
    </w:p>
    <w:p w14:paraId="0CA009E5">
      <w:pPr>
        <w:ind w:firstLine="0" w:firstLineChars="0"/>
        <w:jc w:val="center"/>
        <w:rPr>
          <w:color w:val="auto"/>
          <w:kern w:val="0"/>
        </w:rPr>
      </w:pPr>
      <w:r>
        <w:rPr>
          <w:color w:val="auto"/>
          <w:kern w:val="0"/>
        </w:rPr>
        <w:object>
          <v:shape id="_x0000_i1034" o:spt="75" type="#_x0000_t75" style="height:36pt;width:92.5pt;" o:ole="t" filled="f" o:preferrelative="t" stroked="f" coordsize="21600,21600">
            <v:path/>
            <v:fill on="f" focussize="0,0"/>
            <v:stroke on="f" joinstyle="miter"/>
            <v:imagedata r:id="rId83" o:title=""/>
            <o:lock v:ext="edit" aspectratio="t"/>
            <w10:wrap type="none"/>
            <w10:anchorlock/>
          </v:shape>
          <o:OLEObject Type="Embed" ProgID="Equation.3" ShapeID="_x0000_i1034" DrawAspect="Content" ObjectID="_1468075734" r:id="rId82">
            <o:LockedField>false</o:LockedField>
          </o:OLEObject>
        </w:object>
      </w:r>
      <w:r>
        <w:rPr>
          <w:color w:val="auto"/>
          <w:kern w:val="0"/>
        </w:rPr>
        <w:t xml:space="preserve">       pH≤7.0</w:t>
      </w:r>
    </w:p>
    <w:p w14:paraId="72A8525B">
      <w:pPr>
        <w:ind w:firstLine="480"/>
        <w:rPr>
          <w:color w:val="auto"/>
          <w:kern w:val="0"/>
        </w:rPr>
      </w:pPr>
      <w:r>
        <w:rPr>
          <w:color w:val="auto"/>
          <w:kern w:val="0"/>
        </w:rPr>
        <w:t>式中：</w:t>
      </w:r>
      <w:r>
        <w:rPr>
          <w:i/>
          <w:iCs/>
          <w:color w:val="auto"/>
          <w:kern w:val="0"/>
        </w:rPr>
        <w:t>S</w:t>
      </w:r>
      <w:r>
        <w:rPr>
          <w:i/>
          <w:iCs/>
          <w:color w:val="auto"/>
          <w:kern w:val="0"/>
          <w:vertAlign w:val="subscript"/>
        </w:rPr>
        <w:t>pH，j</w:t>
      </w:r>
      <w:r>
        <w:rPr>
          <w:color w:val="auto"/>
          <w:kern w:val="0"/>
        </w:rPr>
        <w:t>—pH值的指数；</w:t>
      </w:r>
    </w:p>
    <w:p w14:paraId="3E6C67CB">
      <w:pPr>
        <w:ind w:firstLine="480"/>
        <w:rPr>
          <w:color w:val="auto"/>
          <w:kern w:val="0"/>
        </w:rPr>
      </w:pPr>
      <w:r>
        <w:rPr>
          <w:color w:val="auto"/>
          <w:kern w:val="0"/>
        </w:rPr>
        <w:t xml:space="preserve">    </w:t>
      </w:r>
      <w:r>
        <w:rPr>
          <w:i/>
          <w:iCs/>
          <w:color w:val="auto"/>
          <w:kern w:val="0"/>
        </w:rPr>
        <w:t xml:space="preserve">  pH</w:t>
      </w:r>
      <w:r>
        <w:rPr>
          <w:i/>
          <w:iCs/>
          <w:color w:val="auto"/>
          <w:kern w:val="0"/>
          <w:vertAlign w:val="subscript"/>
        </w:rPr>
        <w:t>j</w:t>
      </w:r>
      <w:r>
        <w:rPr>
          <w:color w:val="auto"/>
          <w:kern w:val="0"/>
        </w:rPr>
        <w:t>—pH值实测统计代表值；</w:t>
      </w:r>
    </w:p>
    <w:p w14:paraId="5FD69E9A">
      <w:pPr>
        <w:ind w:firstLine="480"/>
        <w:rPr>
          <w:color w:val="auto"/>
          <w:kern w:val="0"/>
        </w:rPr>
      </w:pPr>
      <w:r>
        <w:rPr>
          <w:color w:val="auto"/>
          <w:kern w:val="0"/>
        </w:rPr>
        <w:t xml:space="preserve">     </w:t>
      </w:r>
      <w:r>
        <w:rPr>
          <w:i/>
          <w:iCs/>
          <w:color w:val="auto"/>
          <w:kern w:val="0"/>
        </w:rPr>
        <w:t xml:space="preserve"> pH</w:t>
      </w:r>
      <w:r>
        <w:rPr>
          <w:i/>
          <w:iCs/>
          <w:color w:val="auto"/>
          <w:kern w:val="0"/>
          <w:vertAlign w:val="subscript"/>
        </w:rPr>
        <w:t>su</w:t>
      </w:r>
      <w:r>
        <w:rPr>
          <w:color w:val="auto"/>
          <w:kern w:val="0"/>
        </w:rPr>
        <w:t>—评价标准中规定的pH上限；</w:t>
      </w:r>
    </w:p>
    <w:p w14:paraId="478F5B34">
      <w:pPr>
        <w:ind w:firstLine="480"/>
        <w:rPr>
          <w:color w:val="auto"/>
          <w:kern w:val="0"/>
        </w:rPr>
      </w:pPr>
      <w:r>
        <w:rPr>
          <w:color w:val="auto"/>
          <w:kern w:val="0"/>
        </w:rPr>
        <w:t xml:space="preserve">      </w:t>
      </w:r>
      <w:r>
        <w:rPr>
          <w:i/>
          <w:iCs/>
          <w:color w:val="auto"/>
          <w:kern w:val="0"/>
        </w:rPr>
        <w:t>pH</w:t>
      </w:r>
      <w:r>
        <w:rPr>
          <w:i/>
          <w:iCs/>
          <w:color w:val="auto"/>
          <w:kern w:val="0"/>
          <w:vertAlign w:val="subscript"/>
        </w:rPr>
        <w:t>sd</w:t>
      </w:r>
      <w:r>
        <w:rPr>
          <w:color w:val="auto"/>
          <w:kern w:val="0"/>
        </w:rPr>
        <w:t>—评价标准中规定的pH下限。</w:t>
      </w:r>
    </w:p>
    <w:p w14:paraId="61AAAAE3">
      <w:pPr>
        <w:ind w:firstLine="480"/>
        <w:rPr>
          <w:color w:val="auto"/>
          <w:kern w:val="0"/>
        </w:rPr>
      </w:pPr>
      <w:r>
        <w:rPr>
          <w:color w:val="auto"/>
          <w:kern w:val="0"/>
        </w:rPr>
        <w:t>水质参数的标准指数＞1，表明该水质参数超过了规定的水质标准，已经不能满足使用要求。</w:t>
      </w:r>
    </w:p>
    <w:p w14:paraId="6B6AADDD">
      <w:pPr>
        <w:ind w:firstLine="480"/>
        <w:rPr>
          <w:color w:val="auto"/>
          <w:kern w:val="0"/>
        </w:rPr>
      </w:pPr>
      <w:r>
        <w:rPr>
          <w:color w:val="auto"/>
          <w:kern w:val="0"/>
        </w:rPr>
        <w:t>（6）海水水质分析结果与评价</w:t>
      </w:r>
    </w:p>
    <w:p w14:paraId="769CEA99">
      <w:pPr>
        <w:ind w:firstLine="480"/>
        <w:rPr>
          <w:color w:val="auto"/>
          <w:kern w:val="0"/>
        </w:rPr>
      </w:pPr>
      <w:r>
        <w:rPr>
          <w:color w:val="auto"/>
          <w:kern w:val="0"/>
        </w:rPr>
        <w:t>项目监测统计结果如下。</w:t>
      </w:r>
    </w:p>
    <w:p w14:paraId="7CE0DE66">
      <w:pPr>
        <w:pStyle w:val="7"/>
        <w:rPr>
          <w:color w:val="auto"/>
        </w:rPr>
      </w:pPr>
      <w:r>
        <w:rPr>
          <w:color w:val="auto"/>
        </w:rPr>
        <w:t>GX002、GX005</w:t>
      </w:r>
      <w:r>
        <w:rPr>
          <w:rFonts w:hint="eastAsia"/>
          <w:color w:val="auto"/>
        </w:rPr>
        <w:t>、</w:t>
      </w:r>
      <w:r>
        <w:rPr>
          <w:color w:val="auto"/>
        </w:rPr>
        <w:t>GX008站点水质调查结果 单位：mg/L，注明除外</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032"/>
        <w:gridCol w:w="1227"/>
        <w:gridCol w:w="1306"/>
        <w:gridCol w:w="1554"/>
        <w:gridCol w:w="1343"/>
        <w:gridCol w:w="1361"/>
        <w:gridCol w:w="1361"/>
      </w:tblGrid>
      <w:tr w14:paraId="40925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62" w:type="pct"/>
            <w:vMerge w:val="restart"/>
            <w:vAlign w:val="center"/>
          </w:tcPr>
          <w:p w14:paraId="35AFB6B4">
            <w:pPr>
              <w:pStyle w:val="33"/>
              <w:rPr>
                <w:color w:val="auto"/>
              </w:rPr>
            </w:pPr>
            <w:r>
              <w:rPr>
                <w:color w:val="auto"/>
              </w:rPr>
              <w:t>监测时间</w:t>
            </w:r>
          </w:p>
        </w:tc>
        <w:tc>
          <w:tcPr>
            <w:tcW w:w="668" w:type="pct"/>
            <w:vMerge w:val="restart"/>
            <w:vAlign w:val="center"/>
          </w:tcPr>
          <w:p w14:paraId="3100DB5A">
            <w:pPr>
              <w:pStyle w:val="33"/>
              <w:rPr>
                <w:color w:val="auto"/>
              </w:rPr>
            </w:pPr>
            <w:r>
              <w:rPr>
                <w:color w:val="auto"/>
              </w:rPr>
              <w:t>检测项目</w:t>
            </w:r>
          </w:p>
        </w:tc>
        <w:tc>
          <w:tcPr>
            <w:tcW w:w="711" w:type="pct"/>
            <w:vMerge w:val="restart"/>
            <w:vAlign w:val="center"/>
          </w:tcPr>
          <w:p w14:paraId="08EBDBDF">
            <w:pPr>
              <w:pStyle w:val="33"/>
              <w:rPr>
                <w:color w:val="auto"/>
              </w:rPr>
            </w:pPr>
            <w:r>
              <w:rPr>
                <w:color w:val="auto"/>
              </w:rPr>
              <w:t>标准限值</w:t>
            </w:r>
          </w:p>
        </w:tc>
        <w:tc>
          <w:tcPr>
            <w:tcW w:w="846" w:type="pct"/>
            <w:vMerge w:val="restart"/>
            <w:vAlign w:val="center"/>
          </w:tcPr>
          <w:p w14:paraId="5B5EBB20">
            <w:pPr>
              <w:pStyle w:val="33"/>
              <w:rPr>
                <w:color w:val="auto"/>
              </w:rPr>
            </w:pPr>
            <w:r>
              <w:rPr>
                <w:color w:val="auto"/>
              </w:rPr>
              <w:t>监测点位</w:t>
            </w:r>
          </w:p>
        </w:tc>
        <w:tc>
          <w:tcPr>
            <w:tcW w:w="2214" w:type="pct"/>
            <w:gridSpan w:val="3"/>
            <w:vAlign w:val="center"/>
          </w:tcPr>
          <w:p w14:paraId="5C3D8E8B">
            <w:pPr>
              <w:pStyle w:val="33"/>
              <w:rPr>
                <w:color w:val="auto"/>
              </w:rPr>
            </w:pPr>
            <w:r>
              <w:rPr>
                <w:color w:val="auto"/>
              </w:rPr>
              <w:t>检测结果</w:t>
            </w:r>
          </w:p>
        </w:tc>
      </w:tr>
      <w:tr w14:paraId="70DF6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blHeader/>
          <w:jc w:val="center"/>
        </w:trPr>
        <w:tc>
          <w:tcPr>
            <w:tcW w:w="562" w:type="pct"/>
            <w:vMerge w:val="continue"/>
            <w:vAlign w:val="center"/>
          </w:tcPr>
          <w:p w14:paraId="48D84BF2">
            <w:pPr>
              <w:pStyle w:val="33"/>
              <w:rPr>
                <w:color w:val="auto"/>
              </w:rPr>
            </w:pPr>
          </w:p>
        </w:tc>
        <w:tc>
          <w:tcPr>
            <w:tcW w:w="668" w:type="pct"/>
            <w:vMerge w:val="continue"/>
            <w:vAlign w:val="center"/>
          </w:tcPr>
          <w:p w14:paraId="2CE659E8">
            <w:pPr>
              <w:pStyle w:val="33"/>
              <w:rPr>
                <w:color w:val="auto"/>
              </w:rPr>
            </w:pPr>
          </w:p>
        </w:tc>
        <w:tc>
          <w:tcPr>
            <w:tcW w:w="711" w:type="pct"/>
            <w:vMerge w:val="continue"/>
            <w:vAlign w:val="center"/>
          </w:tcPr>
          <w:p w14:paraId="1C13EEB4">
            <w:pPr>
              <w:pStyle w:val="33"/>
              <w:rPr>
                <w:color w:val="auto"/>
              </w:rPr>
            </w:pPr>
          </w:p>
        </w:tc>
        <w:tc>
          <w:tcPr>
            <w:tcW w:w="846" w:type="pct"/>
            <w:vMerge w:val="continue"/>
            <w:vAlign w:val="center"/>
          </w:tcPr>
          <w:p w14:paraId="43B92590">
            <w:pPr>
              <w:pStyle w:val="33"/>
              <w:rPr>
                <w:color w:val="auto"/>
              </w:rPr>
            </w:pPr>
          </w:p>
        </w:tc>
        <w:tc>
          <w:tcPr>
            <w:tcW w:w="731" w:type="pct"/>
            <w:vAlign w:val="center"/>
          </w:tcPr>
          <w:p w14:paraId="30E2EBAA">
            <w:pPr>
              <w:pStyle w:val="33"/>
              <w:rPr>
                <w:color w:val="auto"/>
              </w:rPr>
            </w:pPr>
            <w:r>
              <w:rPr>
                <w:color w:val="auto"/>
              </w:rPr>
              <w:t>GX002</w:t>
            </w:r>
          </w:p>
        </w:tc>
        <w:tc>
          <w:tcPr>
            <w:tcW w:w="741" w:type="pct"/>
            <w:vAlign w:val="center"/>
          </w:tcPr>
          <w:p w14:paraId="0C77B73F">
            <w:pPr>
              <w:pStyle w:val="33"/>
              <w:rPr>
                <w:color w:val="auto"/>
              </w:rPr>
            </w:pPr>
            <w:r>
              <w:rPr>
                <w:color w:val="auto"/>
              </w:rPr>
              <w:t>GX005</w:t>
            </w:r>
          </w:p>
        </w:tc>
        <w:tc>
          <w:tcPr>
            <w:tcW w:w="741" w:type="pct"/>
          </w:tcPr>
          <w:p w14:paraId="67BDA13C">
            <w:pPr>
              <w:pStyle w:val="33"/>
              <w:rPr>
                <w:color w:val="auto"/>
              </w:rPr>
            </w:pPr>
            <w:r>
              <w:rPr>
                <w:rFonts w:hint="eastAsia"/>
                <w:color w:val="auto"/>
              </w:rPr>
              <w:t>G</w:t>
            </w:r>
            <w:r>
              <w:rPr>
                <w:color w:val="auto"/>
              </w:rPr>
              <w:t>X008</w:t>
            </w:r>
          </w:p>
        </w:tc>
      </w:tr>
      <w:tr w14:paraId="76B3D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restart"/>
            <w:vAlign w:val="center"/>
          </w:tcPr>
          <w:p w14:paraId="44A1AD29">
            <w:pPr>
              <w:pStyle w:val="33"/>
              <w:rPr>
                <w:color w:val="auto"/>
              </w:rPr>
            </w:pPr>
            <w:r>
              <w:rPr>
                <w:color w:val="auto"/>
              </w:rPr>
              <w:t>2024年10月11日~2024年11月8日</w:t>
            </w:r>
          </w:p>
        </w:tc>
        <w:tc>
          <w:tcPr>
            <w:tcW w:w="668" w:type="pct"/>
            <w:vMerge w:val="restart"/>
            <w:vAlign w:val="center"/>
          </w:tcPr>
          <w:p w14:paraId="097CD5A4">
            <w:pPr>
              <w:pStyle w:val="33"/>
              <w:rPr>
                <w:color w:val="auto"/>
              </w:rPr>
            </w:pPr>
            <w:r>
              <w:rPr>
                <w:color w:val="auto"/>
              </w:rPr>
              <w:t>pH值（无量纲）</w:t>
            </w:r>
          </w:p>
        </w:tc>
        <w:tc>
          <w:tcPr>
            <w:tcW w:w="711" w:type="pct"/>
            <w:vMerge w:val="restart"/>
            <w:vAlign w:val="center"/>
          </w:tcPr>
          <w:p w14:paraId="151C9C98">
            <w:pPr>
              <w:pStyle w:val="33"/>
              <w:rPr>
                <w:color w:val="auto"/>
              </w:rPr>
            </w:pPr>
            <w:r>
              <w:rPr>
                <w:color w:val="auto"/>
              </w:rPr>
              <w:t>6.8-8.8</w:t>
            </w:r>
          </w:p>
        </w:tc>
        <w:tc>
          <w:tcPr>
            <w:tcW w:w="846" w:type="pct"/>
            <w:vAlign w:val="center"/>
          </w:tcPr>
          <w:p w14:paraId="05B0268C">
            <w:pPr>
              <w:pStyle w:val="33"/>
              <w:rPr>
                <w:color w:val="auto"/>
              </w:rPr>
            </w:pPr>
            <w:r>
              <w:rPr>
                <w:color w:val="auto"/>
              </w:rPr>
              <w:t>监测值</w:t>
            </w:r>
          </w:p>
        </w:tc>
        <w:tc>
          <w:tcPr>
            <w:tcW w:w="731" w:type="pct"/>
            <w:vAlign w:val="center"/>
          </w:tcPr>
          <w:p w14:paraId="51C38C98">
            <w:pPr>
              <w:pStyle w:val="33"/>
              <w:rPr>
                <w:color w:val="auto"/>
              </w:rPr>
            </w:pPr>
          </w:p>
        </w:tc>
        <w:tc>
          <w:tcPr>
            <w:tcW w:w="741" w:type="pct"/>
            <w:vAlign w:val="center"/>
          </w:tcPr>
          <w:p w14:paraId="55F584D9">
            <w:pPr>
              <w:pStyle w:val="33"/>
              <w:rPr>
                <w:color w:val="auto"/>
              </w:rPr>
            </w:pPr>
          </w:p>
        </w:tc>
        <w:tc>
          <w:tcPr>
            <w:tcW w:w="741" w:type="pct"/>
            <w:vAlign w:val="center"/>
          </w:tcPr>
          <w:p w14:paraId="46F66CAC">
            <w:pPr>
              <w:pStyle w:val="33"/>
              <w:rPr>
                <w:color w:val="auto"/>
              </w:rPr>
            </w:pPr>
          </w:p>
        </w:tc>
      </w:tr>
      <w:tr w14:paraId="48124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C09F9FA">
            <w:pPr>
              <w:pStyle w:val="33"/>
              <w:rPr>
                <w:color w:val="auto"/>
              </w:rPr>
            </w:pPr>
          </w:p>
        </w:tc>
        <w:tc>
          <w:tcPr>
            <w:tcW w:w="668" w:type="pct"/>
            <w:vMerge w:val="continue"/>
            <w:vAlign w:val="center"/>
          </w:tcPr>
          <w:p w14:paraId="55C7EF52">
            <w:pPr>
              <w:pStyle w:val="33"/>
              <w:rPr>
                <w:color w:val="auto"/>
              </w:rPr>
            </w:pPr>
          </w:p>
        </w:tc>
        <w:tc>
          <w:tcPr>
            <w:tcW w:w="711" w:type="pct"/>
            <w:vMerge w:val="continue"/>
            <w:vAlign w:val="center"/>
          </w:tcPr>
          <w:p w14:paraId="7234EE3C">
            <w:pPr>
              <w:pStyle w:val="33"/>
              <w:rPr>
                <w:color w:val="auto"/>
              </w:rPr>
            </w:pPr>
          </w:p>
        </w:tc>
        <w:tc>
          <w:tcPr>
            <w:tcW w:w="846" w:type="pct"/>
            <w:vAlign w:val="center"/>
          </w:tcPr>
          <w:p w14:paraId="73A45EA4">
            <w:pPr>
              <w:pStyle w:val="33"/>
              <w:rPr>
                <w:color w:val="auto"/>
              </w:rPr>
            </w:pPr>
            <w:r>
              <w:rPr>
                <w:color w:val="auto"/>
              </w:rPr>
              <w:t>Pi值</w:t>
            </w:r>
          </w:p>
        </w:tc>
        <w:tc>
          <w:tcPr>
            <w:tcW w:w="731" w:type="pct"/>
            <w:vAlign w:val="center"/>
          </w:tcPr>
          <w:p w14:paraId="03CFBAAF">
            <w:pPr>
              <w:pStyle w:val="33"/>
              <w:rPr>
                <w:color w:val="auto"/>
              </w:rPr>
            </w:pPr>
          </w:p>
        </w:tc>
        <w:tc>
          <w:tcPr>
            <w:tcW w:w="741" w:type="pct"/>
            <w:vAlign w:val="center"/>
          </w:tcPr>
          <w:p w14:paraId="53397DDA">
            <w:pPr>
              <w:pStyle w:val="33"/>
              <w:rPr>
                <w:color w:val="auto"/>
              </w:rPr>
            </w:pPr>
          </w:p>
        </w:tc>
        <w:tc>
          <w:tcPr>
            <w:tcW w:w="741" w:type="pct"/>
            <w:vAlign w:val="center"/>
          </w:tcPr>
          <w:p w14:paraId="5F9DE976">
            <w:pPr>
              <w:pStyle w:val="33"/>
              <w:rPr>
                <w:color w:val="auto"/>
              </w:rPr>
            </w:pPr>
          </w:p>
        </w:tc>
      </w:tr>
      <w:tr w14:paraId="5074E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080DB9D">
            <w:pPr>
              <w:pStyle w:val="33"/>
              <w:rPr>
                <w:color w:val="auto"/>
              </w:rPr>
            </w:pPr>
          </w:p>
        </w:tc>
        <w:tc>
          <w:tcPr>
            <w:tcW w:w="668" w:type="pct"/>
            <w:vMerge w:val="continue"/>
            <w:vAlign w:val="center"/>
          </w:tcPr>
          <w:p w14:paraId="6A75CD68">
            <w:pPr>
              <w:pStyle w:val="33"/>
              <w:rPr>
                <w:color w:val="auto"/>
              </w:rPr>
            </w:pPr>
          </w:p>
        </w:tc>
        <w:tc>
          <w:tcPr>
            <w:tcW w:w="711" w:type="pct"/>
            <w:vMerge w:val="continue"/>
            <w:vAlign w:val="center"/>
          </w:tcPr>
          <w:p w14:paraId="4455F18A">
            <w:pPr>
              <w:pStyle w:val="33"/>
              <w:rPr>
                <w:color w:val="auto"/>
              </w:rPr>
            </w:pPr>
          </w:p>
        </w:tc>
        <w:tc>
          <w:tcPr>
            <w:tcW w:w="846" w:type="pct"/>
            <w:vAlign w:val="center"/>
          </w:tcPr>
          <w:p w14:paraId="30200982">
            <w:pPr>
              <w:pStyle w:val="33"/>
              <w:rPr>
                <w:color w:val="auto"/>
              </w:rPr>
            </w:pPr>
            <w:r>
              <w:rPr>
                <w:color w:val="auto"/>
              </w:rPr>
              <w:t>超标率</w:t>
            </w:r>
          </w:p>
        </w:tc>
        <w:tc>
          <w:tcPr>
            <w:tcW w:w="731" w:type="pct"/>
            <w:vAlign w:val="center"/>
          </w:tcPr>
          <w:p w14:paraId="581999EA">
            <w:pPr>
              <w:pStyle w:val="33"/>
              <w:rPr>
                <w:color w:val="auto"/>
              </w:rPr>
            </w:pPr>
          </w:p>
        </w:tc>
        <w:tc>
          <w:tcPr>
            <w:tcW w:w="741" w:type="pct"/>
            <w:vAlign w:val="center"/>
          </w:tcPr>
          <w:p w14:paraId="6932901B">
            <w:pPr>
              <w:pStyle w:val="33"/>
              <w:rPr>
                <w:color w:val="auto"/>
              </w:rPr>
            </w:pPr>
          </w:p>
        </w:tc>
        <w:tc>
          <w:tcPr>
            <w:tcW w:w="741" w:type="pct"/>
            <w:vAlign w:val="center"/>
          </w:tcPr>
          <w:p w14:paraId="53CF3D70">
            <w:pPr>
              <w:pStyle w:val="33"/>
              <w:rPr>
                <w:color w:val="auto"/>
              </w:rPr>
            </w:pPr>
          </w:p>
        </w:tc>
      </w:tr>
      <w:tr w14:paraId="34132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F963ED7">
            <w:pPr>
              <w:pStyle w:val="33"/>
              <w:rPr>
                <w:color w:val="auto"/>
              </w:rPr>
            </w:pPr>
          </w:p>
        </w:tc>
        <w:tc>
          <w:tcPr>
            <w:tcW w:w="668" w:type="pct"/>
            <w:vMerge w:val="continue"/>
            <w:vAlign w:val="center"/>
          </w:tcPr>
          <w:p w14:paraId="31F58CEE">
            <w:pPr>
              <w:pStyle w:val="33"/>
              <w:rPr>
                <w:color w:val="auto"/>
              </w:rPr>
            </w:pPr>
          </w:p>
        </w:tc>
        <w:tc>
          <w:tcPr>
            <w:tcW w:w="711" w:type="pct"/>
            <w:vMerge w:val="continue"/>
            <w:vAlign w:val="center"/>
          </w:tcPr>
          <w:p w14:paraId="342C6399">
            <w:pPr>
              <w:pStyle w:val="33"/>
              <w:rPr>
                <w:color w:val="auto"/>
              </w:rPr>
            </w:pPr>
          </w:p>
        </w:tc>
        <w:tc>
          <w:tcPr>
            <w:tcW w:w="846" w:type="pct"/>
            <w:vAlign w:val="center"/>
          </w:tcPr>
          <w:p w14:paraId="25F5B5F5">
            <w:pPr>
              <w:pStyle w:val="33"/>
              <w:rPr>
                <w:color w:val="auto"/>
              </w:rPr>
            </w:pPr>
            <w:r>
              <w:rPr>
                <w:color w:val="auto"/>
              </w:rPr>
              <w:t>最大超标倍数</w:t>
            </w:r>
          </w:p>
        </w:tc>
        <w:tc>
          <w:tcPr>
            <w:tcW w:w="731" w:type="pct"/>
            <w:vAlign w:val="center"/>
          </w:tcPr>
          <w:p w14:paraId="5E523585">
            <w:pPr>
              <w:pStyle w:val="33"/>
              <w:rPr>
                <w:color w:val="auto"/>
              </w:rPr>
            </w:pPr>
          </w:p>
        </w:tc>
        <w:tc>
          <w:tcPr>
            <w:tcW w:w="741" w:type="pct"/>
            <w:vAlign w:val="center"/>
          </w:tcPr>
          <w:p w14:paraId="12DC0E07">
            <w:pPr>
              <w:pStyle w:val="33"/>
              <w:rPr>
                <w:color w:val="auto"/>
              </w:rPr>
            </w:pPr>
          </w:p>
        </w:tc>
        <w:tc>
          <w:tcPr>
            <w:tcW w:w="741" w:type="pct"/>
            <w:vAlign w:val="center"/>
          </w:tcPr>
          <w:p w14:paraId="1F12ECCD">
            <w:pPr>
              <w:pStyle w:val="33"/>
              <w:rPr>
                <w:color w:val="auto"/>
              </w:rPr>
            </w:pPr>
          </w:p>
        </w:tc>
      </w:tr>
      <w:tr w14:paraId="715D9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DF9068F">
            <w:pPr>
              <w:pStyle w:val="33"/>
              <w:rPr>
                <w:color w:val="auto"/>
              </w:rPr>
            </w:pPr>
          </w:p>
        </w:tc>
        <w:tc>
          <w:tcPr>
            <w:tcW w:w="668" w:type="pct"/>
            <w:vMerge w:val="restart"/>
            <w:vAlign w:val="center"/>
          </w:tcPr>
          <w:p w14:paraId="357D8F57">
            <w:pPr>
              <w:pStyle w:val="33"/>
              <w:rPr>
                <w:color w:val="auto"/>
              </w:rPr>
            </w:pPr>
            <w:r>
              <w:rPr>
                <w:color w:val="auto"/>
              </w:rPr>
              <w:t>悬浮物</w:t>
            </w:r>
          </w:p>
        </w:tc>
        <w:tc>
          <w:tcPr>
            <w:tcW w:w="711" w:type="pct"/>
            <w:vMerge w:val="restart"/>
            <w:vAlign w:val="center"/>
          </w:tcPr>
          <w:p w14:paraId="2CF0CBF5">
            <w:pPr>
              <w:pStyle w:val="33"/>
              <w:rPr>
                <w:color w:val="auto"/>
              </w:rPr>
            </w:pPr>
            <w:r>
              <w:rPr>
                <w:color w:val="auto"/>
              </w:rPr>
              <w:t>10</w:t>
            </w:r>
          </w:p>
        </w:tc>
        <w:tc>
          <w:tcPr>
            <w:tcW w:w="846" w:type="pct"/>
            <w:vAlign w:val="center"/>
          </w:tcPr>
          <w:p w14:paraId="2CCD3731">
            <w:pPr>
              <w:pStyle w:val="33"/>
              <w:rPr>
                <w:color w:val="auto"/>
              </w:rPr>
            </w:pPr>
            <w:r>
              <w:rPr>
                <w:color w:val="auto"/>
              </w:rPr>
              <w:t>监测值</w:t>
            </w:r>
          </w:p>
        </w:tc>
        <w:tc>
          <w:tcPr>
            <w:tcW w:w="731" w:type="pct"/>
            <w:vAlign w:val="center"/>
          </w:tcPr>
          <w:p w14:paraId="57CB2DB0">
            <w:pPr>
              <w:pStyle w:val="33"/>
              <w:rPr>
                <w:color w:val="auto"/>
              </w:rPr>
            </w:pPr>
          </w:p>
        </w:tc>
        <w:tc>
          <w:tcPr>
            <w:tcW w:w="741" w:type="pct"/>
            <w:vAlign w:val="center"/>
          </w:tcPr>
          <w:p w14:paraId="28A49F71">
            <w:pPr>
              <w:pStyle w:val="33"/>
              <w:rPr>
                <w:color w:val="auto"/>
              </w:rPr>
            </w:pPr>
          </w:p>
        </w:tc>
        <w:tc>
          <w:tcPr>
            <w:tcW w:w="741" w:type="pct"/>
            <w:vAlign w:val="center"/>
          </w:tcPr>
          <w:p w14:paraId="4E85781C">
            <w:pPr>
              <w:pStyle w:val="33"/>
              <w:rPr>
                <w:color w:val="auto"/>
              </w:rPr>
            </w:pPr>
          </w:p>
        </w:tc>
      </w:tr>
      <w:tr w14:paraId="05E53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F7583C1">
            <w:pPr>
              <w:pStyle w:val="33"/>
              <w:rPr>
                <w:color w:val="auto"/>
              </w:rPr>
            </w:pPr>
          </w:p>
        </w:tc>
        <w:tc>
          <w:tcPr>
            <w:tcW w:w="668" w:type="pct"/>
            <w:vMerge w:val="continue"/>
            <w:vAlign w:val="center"/>
          </w:tcPr>
          <w:p w14:paraId="4A4C6199">
            <w:pPr>
              <w:pStyle w:val="33"/>
              <w:rPr>
                <w:color w:val="auto"/>
              </w:rPr>
            </w:pPr>
          </w:p>
        </w:tc>
        <w:tc>
          <w:tcPr>
            <w:tcW w:w="711" w:type="pct"/>
            <w:vMerge w:val="continue"/>
            <w:vAlign w:val="center"/>
          </w:tcPr>
          <w:p w14:paraId="6F49064B">
            <w:pPr>
              <w:pStyle w:val="33"/>
              <w:rPr>
                <w:color w:val="auto"/>
              </w:rPr>
            </w:pPr>
          </w:p>
        </w:tc>
        <w:tc>
          <w:tcPr>
            <w:tcW w:w="846" w:type="pct"/>
            <w:vAlign w:val="center"/>
          </w:tcPr>
          <w:p w14:paraId="5F8351AC">
            <w:pPr>
              <w:pStyle w:val="33"/>
              <w:rPr>
                <w:color w:val="auto"/>
              </w:rPr>
            </w:pPr>
            <w:r>
              <w:rPr>
                <w:color w:val="auto"/>
              </w:rPr>
              <w:t>Pi值</w:t>
            </w:r>
          </w:p>
        </w:tc>
        <w:tc>
          <w:tcPr>
            <w:tcW w:w="731" w:type="pct"/>
            <w:vAlign w:val="center"/>
          </w:tcPr>
          <w:p w14:paraId="4BE11903">
            <w:pPr>
              <w:pStyle w:val="33"/>
              <w:rPr>
                <w:color w:val="auto"/>
              </w:rPr>
            </w:pPr>
          </w:p>
        </w:tc>
        <w:tc>
          <w:tcPr>
            <w:tcW w:w="741" w:type="pct"/>
            <w:vAlign w:val="center"/>
          </w:tcPr>
          <w:p w14:paraId="158966A7">
            <w:pPr>
              <w:pStyle w:val="33"/>
              <w:rPr>
                <w:color w:val="auto"/>
              </w:rPr>
            </w:pPr>
          </w:p>
        </w:tc>
        <w:tc>
          <w:tcPr>
            <w:tcW w:w="741" w:type="pct"/>
            <w:vAlign w:val="center"/>
          </w:tcPr>
          <w:p w14:paraId="5333D0FC">
            <w:pPr>
              <w:pStyle w:val="33"/>
              <w:rPr>
                <w:color w:val="auto"/>
              </w:rPr>
            </w:pPr>
          </w:p>
        </w:tc>
      </w:tr>
      <w:tr w14:paraId="3BB3B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54FD206">
            <w:pPr>
              <w:pStyle w:val="33"/>
              <w:rPr>
                <w:color w:val="auto"/>
              </w:rPr>
            </w:pPr>
          </w:p>
        </w:tc>
        <w:tc>
          <w:tcPr>
            <w:tcW w:w="668" w:type="pct"/>
            <w:vMerge w:val="continue"/>
            <w:vAlign w:val="center"/>
          </w:tcPr>
          <w:p w14:paraId="22390440">
            <w:pPr>
              <w:pStyle w:val="33"/>
              <w:rPr>
                <w:color w:val="auto"/>
              </w:rPr>
            </w:pPr>
          </w:p>
        </w:tc>
        <w:tc>
          <w:tcPr>
            <w:tcW w:w="711" w:type="pct"/>
            <w:vMerge w:val="continue"/>
            <w:vAlign w:val="center"/>
          </w:tcPr>
          <w:p w14:paraId="0064DD73">
            <w:pPr>
              <w:pStyle w:val="33"/>
              <w:rPr>
                <w:color w:val="auto"/>
              </w:rPr>
            </w:pPr>
          </w:p>
        </w:tc>
        <w:tc>
          <w:tcPr>
            <w:tcW w:w="846" w:type="pct"/>
            <w:vAlign w:val="center"/>
          </w:tcPr>
          <w:p w14:paraId="38904238">
            <w:pPr>
              <w:pStyle w:val="33"/>
              <w:rPr>
                <w:color w:val="auto"/>
              </w:rPr>
            </w:pPr>
            <w:r>
              <w:rPr>
                <w:color w:val="auto"/>
              </w:rPr>
              <w:t>超标率</w:t>
            </w:r>
          </w:p>
        </w:tc>
        <w:tc>
          <w:tcPr>
            <w:tcW w:w="731" w:type="pct"/>
            <w:vAlign w:val="center"/>
          </w:tcPr>
          <w:p w14:paraId="11493617">
            <w:pPr>
              <w:pStyle w:val="33"/>
              <w:rPr>
                <w:color w:val="auto"/>
              </w:rPr>
            </w:pPr>
          </w:p>
        </w:tc>
        <w:tc>
          <w:tcPr>
            <w:tcW w:w="741" w:type="pct"/>
            <w:vAlign w:val="center"/>
          </w:tcPr>
          <w:p w14:paraId="40ACC6C1">
            <w:pPr>
              <w:pStyle w:val="33"/>
              <w:rPr>
                <w:color w:val="auto"/>
              </w:rPr>
            </w:pPr>
          </w:p>
        </w:tc>
        <w:tc>
          <w:tcPr>
            <w:tcW w:w="741" w:type="pct"/>
            <w:vAlign w:val="center"/>
          </w:tcPr>
          <w:p w14:paraId="3F51AF02">
            <w:pPr>
              <w:pStyle w:val="33"/>
              <w:rPr>
                <w:color w:val="auto"/>
              </w:rPr>
            </w:pPr>
          </w:p>
        </w:tc>
      </w:tr>
      <w:tr w14:paraId="7479E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7BAAEAA">
            <w:pPr>
              <w:pStyle w:val="33"/>
              <w:rPr>
                <w:color w:val="auto"/>
              </w:rPr>
            </w:pPr>
          </w:p>
        </w:tc>
        <w:tc>
          <w:tcPr>
            <w:tcW w:w="668" w:type="pct"/>
            <w:vMerge w:val="continue"/>
            <w:vAlign w:val="center"/>
          </w:tcPr>
          <w:p w14:paraId="4FCBB1FC">
            <w:pPr>
              <w:pStyle w:val="33"/>
              <w:rPr>
                <w:color w:val="auto"/>
              </w:rPr>
            </w:pPr>
          </w:p>
        </w:tc>
        <w:tc>
          <w:tcPr>
            <w:tcW w:w="711" w:type="pct"/>
            <w:vMerge w:val="continue"/>
            <w:vAlign w:val="center"/>
          </w:tcPr>
          <w:p w14:paraId="5477DEB2">
            <w:pPr>
              <w:pStyle w:val="33"/>
              <w:rPr>
                <w:color w:val="auto"/>
              </w:rPr>
            </w:pPr>
          </w:p>
        </w:tc>
        <w:tc>
          <w:tcPr>
            <w:tcW w:w="846" w:type="pct"/>
            <w:vAlign w:val="center"/>
          </w:tcPr>
          <w:p w14:paraId="15A73DD0">
            <w:pPr>
              <w:pStyle w:val="33"/>
              <w:rPr>
                <w:color w:val="auto"/>
              </w:rPr>
            </w:pPr>
            <w:r>
              <w:rPr>
                <w:color w:val="auto"/>
              </w:rPr>
              <w:t>最大超标倍数</w:t>
            </w:r>
          </w:p>
        </w:tc>
        <w:tc>
          <w:tcPr>
            <w:tcW w:w="731" w:type="pct"/>
            <w:vAlign w:val="center"/>
          </w:tcPr>
          <w:p w14:paraId="4BFB24A9">
            <w:pPr>
              <w:pStyle w:val="33"/>
              <w:rPr>
                <w:color w:val="auto"/>
              </w:rPr>
            </w:pPr>
          </w:p>
        </w:tc>
        <w:tc>
          <w:tcPr>
            <w:tcW w:w="741" w:type="pct"/>
            <w:vAlign w:val="center"/>
          </w:tcPr>
          <w:p w14:paraId="7CBA47E6">
            <w:pPr>
              <w:pStyle w:val="33"/>
              <w:rPr>
                <w:color w:val="auto"/>
              </w:rPr>
            </w:pPr>
          </w:p>
        </w:tc>
        <w:tc>
          <w:tcPr>
            <w:tcW w:w="741" w:type="pct"/>
            <w:vAlign w:val="center"/>
          </w:tcPr>
          <w:p w14:paraId="116540F6">
            <w:pPr>
              <w:pStyle w:val="33"/>
              <w:rPr>
                <w:color w:val="auto"/>
              </w:rPr>
            </w:pPr>
          </w:p>
        </w:tc>
      </w:tr>
      <w:tr w14:paraId="40C5E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2C623B1">
            <w:pPr>
              <w:pStyle w:val="33"/>
              <w:rPr>
                <w:color w:val="auto"/>
              </w:rPr>
            </w:pPr>
          </w:p>
        </w:tc>
        <w:tc>
          <w:tcPr>
            <w:tcW w:w="668" w:type="pct"/>
            <w:vMerge w:val="restart"/>
            <w:vAlign w:val="center"/>
          </w:tcPr>
          <w:p w14:paraId="0653FE91">
            <w:pPr>
              <w:pStyle w:val="33"/>
              <w:rPr>
                <w:color w:val="auto"/>
              </w:rPr>
            </w:pPr>
            <w:r>
              <w:rPr>
                <w:color w:val="auto"/>
              </w:rPr>
              <w:t>化学需氧量</w:t>
            </w:r>
          </w:p>
        </w:tc>
        <w:tc>
          <w:tcPr>
            <w:tcW w:w="711" w:type="pct"/>
            <w:vMerge w:val="restart"/>
            <w:vAlign w:val="center"/>
          </w:tcPr>
          <w:p w14:paraId="5F59BC2B">
            <w:pPr>
              <w:pStyle w:val="33"/>
              <w:rPr>
                <w:color w:val="auto"/>
              </w:rPr>
            </w:pPr>
            <w:r>
              <w:rPr>
                <w:color w:val="auto"/>
              </w:rPr>
              <w:t>3</w:t>
            </w:r>
          </w:p>
        </w:tc>
        <w:tc>
          <w:tcPr>
            <w:tcW w:w="846" w:type="pct"/>
            <w:vAlign w:val="center"/>
          </w:tcPr>
          <w:p w14:paraId="1094B700">
            <w:pPr>
              <w:pStyle w:val="33"/>
              <w:rPr>
                <w:color w:val="auto"/>
              </w:rPr>
            </w:pPr>
            <w:r>
              <w:rPr>
                <w:color w:val="auto"/>
              </w:rPr>
              <w:t>监测值</w:t>
            </w:r>
          </w:p>
        </w:tc>
        <w:tc>
          <w:tcPr>
            <w:tcW w:w="731" w:type="pct"/>
            <w:vAlign w:val="center"/>
          </w:tcPr>
          <w:p w14:paraId="343D2915">
            <w:pPr>
              <w:pStyle w:val="33"/>
              <w:rPr>
                <w:color w:val="auto"/>
              </w:rPr>
            </w:pPr>
          </w:p>
        </w:tc>
        <w:tc>
          <w:tcPr>
            <w:tcW w:w="741" w:type="pct"/>
            <w:vAlign w:val="center"/>
          </w:tcPr>
          <w:p w14:paraId="295DD94E">
            <w:pPr>
              <w:pStyle w:val="33"/>
              <w:rPr>
                <w:color w:val="auto"/>
              </w:rPr>
            </w:pPr>
          </w:p>
        </w:tc>
        <w:tc>
          <w:tcPr>
            <w:tcW w:w="741" w:type="pct"/>
            <w:vAlign w:val="center"/>
          </w:tcPr>
          <w:p w14:paraId="1066548A">
            <w:pPr>
              <w:pStyle w:val="33"/>
              <w:rPr>
                <w:color w:val="auto"/>
              </w:rPr>
            </w:pPr>
          </w:p>
        </w:tc>
      </w:tr>
      <w:tr w14:paraId="05464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2FDC3BC">
            <w:pPr>
              <w:pStyle w:val="33"/>
              <w:rPr>
                <w:color w:val="auto"/>
              </w:rPr>
            </w:pPr>
          </w:p>
        </w:tc>
        <w:tc>
          <w:tcPr>
            <w:tcW w:w="668" w:type="pct"/>
            <w:vMerge w:val="continue"/>
            <w:vAlign w:val="center"/>
          </w:tcPr>
          <w:p w14:paraId="5C4AC2AF">
            <w:pPr>
              <w:pStyle w:val="33"/>
              <w:rPr>
                <w:color w:val="auto"/>
              </w:rPr>
            </w:pPr>
          </w:p>
        </w:tc>
        <w:tc>
          <w:tcPr>
            <w:tcW w:w="711" w:type="pct"/>
            <w:vMerge w:val="continue"/>
            <w:vAlign w:val="center"/>
          </w:tcPr>
          <w:p w14:paraId="3B1BA70B">
            <w:pPr>
              <w:pStyle w:val="33"/>
              <w:rPr>
                <w:color w:val="auto"/>
              </w:rPr>
            </w:pPr>
          </w:p>
        </w:tc>
        <w:tc>
          <w:tcPr>
            <w:tcW w:w="846" w:type="pct"/>
            <w:vAlign w:val="center"/>
          </w:tcPr>
          <w:p w14:paraId="2EE417F4">
            <w:pPr>
              <w:pStyle w:val="33"/>
              <w:rPr>
                <w:color w:val="auto"/>
              </w:rPr>
            </w:pPr>
            <w:r>
              <w:rPr>
                <w:color w:val="auto"/>
              </w:rPr>
              <w:t>Pi值</w:t>
            </w:r>
          </w:p>
        </w:tc>
        <w:tc>
          <w:tcPr>
            <w:tcW w:w="731" w:type="pct"/>
            <w:vAlign w:val="center"/>
          </w:tcPr>
          <w:p w14:paraId="7F77C600">
            <w:pPr>
              <w:pStyle w:val="33"/>
              <w:rPr>
                <w:color w:val="auto"/>
              </w:rPr>
            </w:pPr>
          </w:p>
        </w:tc>
        <w:tc>
          <w:tcPr>
            <w:tcW w:w="741" w:type="pct"/>
            <w:vAlign w:val="center"/>
          </w:tcPr>
          <w:p w14:paraId="30F3F074">
            <w:pPr>
              <w:pStyle w:val="33"/>
              <w:rPr>
                <w:color w:val="auto"/>
              </w:rPr>
            </w:pPr>
          </w:p>
        </w:tc>
        <w:tc>
          <w:tcPr>
            <w:tcW w:w="741" w:type="pct"/>
            <w:vAlign w:val="center"/>
          </w:tcPr>
          <w:p w14:paraId="195C4EC3">
            <w:pPr>
              <w:pStyle w:val="33"/>
              <w:rPr>
                <w:color w:val="auto"/>
              </w:rPr>
            </w:pPr>
          </w:p>
        </w:tc>
      </w:tr>
      <w:tr w14:paraId="69F0B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31D5296">
            <w:pPr>
              <w:pStyle w:val="33"/>
              <w:rPr>
                <w:color w:val="auto"/>
              </w:rPr>
            </w:pPr>
          </w:p>
        </w:tc>
        <w:tc>
          <w:tcPr>
            <w:tcW w:w="668" w:type="pct"/>
            <w:vMerge w:val="continue"/>
            <w:vAlign w:val="center"/>
          </w:tcPr>
          <w:p w14:paraId="46F6406C">
            <w:pPr>
              <w:pStyle w:val="33"/>
              <w:rPr>
                <w:color w:val="auto"/>
              </w:rPr>
            </w:pPr>
          </w:p>
        </w:tc>
        <w:tc>
          <w:tcPr>
            <w:tcW w:w="711" w:type="pct"/>
            <w:vMerge w:val="continue"/>
            <w:vAlign w:val="center"/>
          </w:tcPr>
          <w:p w14:paraId="701259DB">
            <w:pPr>
              <w:pStyle w:val="33"/>
              <w:rPr>
                <w:color w:val="auto"/>
              </w:rPr>
            </w:pPr>
          </w:p>
        </w:tc>
        <w:tc>
          <w:tcPr>
            <w:tcW w:w="846" w:type="pct"/>
            <w:vAlign w:val="center"/>
          </w:tcPr>
          <w:p w14:paraId="0B0E129C">
            <w:pPr>
              <w:pStyle w:val="33"/>
              <w:rPr>
                <w:color w:val="auto"/>
              </w:rPr>
            </w:pPr>
            <w:r>
              <w:rPr>
                <w:color w:val="auto"/>
              </w:rPr>
              <w:t>超标率</w:t>
            </w:r>
          </w:p>
        </w:tc>
        <w:tc>
          <w:tcPr>
            <w:tcW w:w="731" w:type="pct"/>
            <w:vAlign w:val="center"/>
          </w:tcPr>
          <w:p w14:paraId="35EC9B73">
            <w:pPr>
              <w:pStyle w:val="33"/>
              <w:rPr>
                <w:color w:val="auto"/>
              </w:rPr>
            </w:pPr>
          </w:p>
        </w:tc>
        <w:tc>
          <w:tcPr>
            <w:tcW w:w="741" w:type="pct"/>
            <w:vAlign w:val="center"/>
          </w:tcPr>
          <w:p w14:paraId="51146E22">
            <w:pPr>
              <w:pStyle w:val="33"/>
              <w:rPr>
                <w:color w:val="auto"/>
              </w:rPr>
            </w:pPr>
          </w:p>
        </w:tc>
        <w:tc>
          <w:tcPr>
            <w:tcW w:w="741" w:type="pct"/>
            <w:vAlign w:val="center"/>
          </w:tcPr>
          <w:p w14:paraId="17D1E2A6">
            <w:pPr>
              <w:pStyle w:val="33"/>
              <w:rPr>
                <w:color w:val="auto"/>
              </w:rPr>
            </w:pPr>
          </w:p>
        </w:tc>
      </w:tr>
      <w:tr w14:paraId="104FD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3446C70">
            <w:pPr>
              <w:pStyle w:val="33"/>
              <w:rPr>
                <w:color w:val="auto"/>
              </w:rPr>
            </w:pPr>
          </w:p>
        </w:tc>
        <w:tc>
          <w:tcPr>
            <w:tcW w:w="668" w:type="pct"/>
            <w:vMerge w:val="continue"/>
            <w:vAlign w:val="center"/>
          </w:tcPr>
          <w:p w14:paraId="0300DD8E">
            <w:pPr>
              <w:pStyle w:val="33"/>
              <w:rPr>
                <w:color w:val="auto"/>
              </w:rPr>
            </w:pPr>
          </w:p>
        </w:tc>
        <w:tc>
          <w:tcPr>
            <w:tcW w:w="711" w:type="pct"/>
            <w:vMerge w:val="continue"/>
            <w:vAlign w:val="center"/>
          </w:tcPr>
          <w:p w14:paraId="53405465">
            <w:pPr>
              <w:pStyle w:val="33"/>
              <w:rPr>
                <w:color w:val="auto"/>
              </w:rPr>
            </w:pPr>
          </w:p>
        </w:tc>
        <w:tc>
          <w:tcPr>
            <w:tcW w:w="846" w:type="pct"/>
            <w:vAlign w:val="center"/>
          </w:tcPr>
          <w:p w14:paraId="65F28F4B">
            <w:pPr>
              <w:pStyle w:val="33"/>
              <w:rPr>
                <w:color w:val="auto"/>
              </w:rPr>
            </w:pPr>
            <w:r>
              <w:rPr>
                <w:color w:val="auto"/>
              </w:rPr>
              <w:t>最大超标倍数</w:t>
            </w:r>
          </w:p>
        </w:tc>
        <w:tc>
          <w:tcPr>
            <w:tcW w:w="731" w:type="pct"/>
            <w:vAlign w:val="center"/>
          </w:tcPr>
          <w:p w14:paraId="2570109B">
            <w:pPr>
              <w:pStyle w:val="33"/>
              <w:rPr>
                <w:color w:val="auto"/>
              </w:rPr>
            </w:pPr>
          </w:p>
        </w:tc>
        <w:tc>
          <w:tcPr>
            <w:tcW w:w="741" w:type="pct"/>
            <w:vAlign w:val="center"/>
          </w:tcPr>
          <w:p w14:paraId="5739D469">
            <w:pPr>
              <w:pStyle w:val="33"/>
              <w:rPr>
                <w:color w:val="auto"/>
              </w:rPr>
            </w:pPr>
          </w:p>
        </w:tc>
        <w:tc>
          <w:tcPr>
            <w:tcW w:w="741" w:type="pct"/>
            <w:vAlign w:val="center"/>
          </w:tcPr>
          <w:p w14:paraId="6096B2A2">
            <w:pPr>
              <w:pStyle w:val="33"/>
              <w:rPr>
                <w:color w:val="auto"/>
              </w:rPr>
            </w:pPr>
          </w:p>
        </w:tc>
      </w:tr>
      <w:tr w14:paraId="12B4F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34495C2">
            <w:pPr>
              <w:pStyle w:val="33"/>
              <w:rPr>
                <w:color w:val="auto"/>
              </w:rPr>
            </w:pPr>
          </w:p>
        </w:tc>
        <w:tc>
          <w:tcPr>
            <w:tcW w:w="668" w:type="pct"/>
            <w:vMerge w:val="restart"/>
            <w:vAlign w:val="center"/>
          </w:tcPr>
          <w:p w14:paraId="5932303B">
            <w:pPr>
              <w:pStyle w:val="33"/>
              <w:rPr>
                <w:color w:val="auto"/>
              </w:rPr>
            </w:pPr>
            <w:r>
              <w:rPr>
                <w:color w:val="auto"/>
              </w:rPr>
              <w:t>溶解氧</w:t>
            </w:r>
          </w:p>
        </w:tc>
        <w:tc>
          <w:tcPr>
            <w:tcW w:w="711" w:type="pct"/>
            <w:vMerge w:val="restart"/>
            <w:vAlign w:val="center"/>
          </w:tcPr>
          <w:p w14:paraId="757131D4">
            <w:pPr>
              <w:pStyle w:val="33"/>
              <w:rPr>
                <w:color w:val="auto"/>
              </w:rPr>
            </w:pPr>
            <w:r>
              <w:rPr>
                <w:color w:val="auto"/>
              </w:rPr>
              <w:t>5</w:t>
            </w:r>
          </w:p>
        </w:tc>
        <w:tc>
          <w:tcPr>
            <w:tcW w:w="846" w:type="pct"/>
            <w:vAlign w:val="center"/>
          </w:tcPr>
          <w:p w14:paraId="12918F86">
            <w:pPr>
              <w:pStyle w:val="33"/>
              <w:rPr>
                <w:color w:val="auto"/>
              </w:rPr>
            </w:pPr>
            <w:r>
              <w:rPr>
                <w:color w:val="auto"/>
              </w:rPr>
              <w:t>监测值</w:t>
            </w:r>
          </w:p>
        </w:tc>
        <w:tc>
          <w:tcPr>
            <w:tcW w:w="731" w:type="pct"/>
            <w:vAlign w:val="center"/>
          </w:tcPr>
          <w:p w14:paraId="753BC4BE">
            <w:pPr>
              <w:pStyle w:val="33"/>
              <w:rPr>
                <w:color w:val="auto"/>
              </w:rPr>
            </w:pPr>
          </w:p>
        </w:tc>
        <w:tc>
          <w:tcPr>
            <w:tcW w:w="741" w:type="pct"/>
            <w:vAlign w:val="center"/>
          </w:tcPr>
          <w:p w14:paraId="10F7AEA7">
            <w:pPr>
              <w:pStyle w:val="33"/>
              <w:rPr>
                <w:color w:val="auto"/>
              </w:rPr>
            </w:pPr>
          </w:p>
        </w:tc>
        <w:tc>
          <w:tcPr>
            <w:tcW w:w="741" w:type="pct"/>
            <w:vAlign w:val="center"/>
          </w:tcPr>
          <w:p w14:paraId="08F3F970">
            <w:pPr>
              <w:pStyle w:val="33"/>
              <w:rPr>
                <w:color w:val="auto"/>
              </w:rPr>
            </w:pPr>
          </w:p>
        </w:tc>
      </w:tr>
      <w:tr w14:paraId="5AE50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45DB55E">
            <w:pPr>
              <w:pStyle w:val="33"/>
              <w:rPr>
                <w:color w:val="auto"/>
              </w:rPr>
            </w:pPr>
          </w:p>
        </w:tc>
        <w:tc>
          <w:tcPr>
            <w:tcW w:w="668" w:type="pct"/>
            <w:vMerge w:val="continue"/>
            <w:vAlign w:val="center"/>
          </w:tcPr>
          <w:p w14:paraId="5A03AD77">
            <w:pPr>
              <w:pStyle w:val="33"/>
              <w:rPr>
                <w:color w:val="auto"/>
              </w:rPr>
            </w:pPr>
          </w:p>
        </w:tc>
        <w:tc>
          <w:tcPr>
            <w:tcW w:w="711" w:type="pct"/>
            <w:vMerge w:val="continue"/>
            <w:vAlign w:val="center"/>
          </w:tcPr>
          <w:p w14:paraId="5A2291A9">
            <w:pPr>
              <w:pStyle w:val="33"/>
              <w:rPr>
                <w:color w:val="auto"/>
              </w:rPr>
            </w:pPr>
          </w:p>
        </w:tc>
        <w:tc>
          <w:tcPr>
            <w:tcW w:w="846" w:type="pct"/>
            <w:vAlign w:val="center"/>
          </w:tcPr>
          <w:p w14:paraId="7B3ADBA7">
            <w:pPr>
              <w:pStyle w:val="33"/>
              <w:rPr>
                <w:color w:val="auto"/>
              </w:rPr>
            </w:pPr>
            <w:r>
              <w:rPr>
                <w:color w:val="auto"/>
              </w:rPr>
              <w:t>Pi值</w:t>
            </w:r>
          </w:p>
        </w:tc>
        <w:tc>
          <w:tcPr>
            <w:tcW w:w="731" w:type="pct"/>
            <w:vAlign w:val="center"/>
          </w:tcPr>
          <w:p w14:paraId="1C099F04">
            <w:pPr>
              <w:pStyle w:val="33"/>
              <w:rPr>
                <w:color w:val="auto"/>
              </w:rPr>
            </w:pPr>
          </w:p>
        </w:tc>
        <w:tc>
          <w:tcPr>
            <w:tcW w:w="741" w:type="pct"/>
            <w:vAlign w:val="center"/>
          </w:tcPr>
          <w:p w14:paraId="38260DFB">
            <w:pPr>
              <w:pStyle w:val="33"/>
              <w:rPr>
                <w:color w:val="auto"/>
              </w:rPr>
            </w:pPr>
          </w:p>
        </w:tc>
        <w:tc>
          <w:tcPr>
            <w:tcW w:w="741" w:type="pct"/>
            <w:vAlign w:val="center"/>
          </w:tcPr>
          <w:p w14:paraId="26F3327F">
            <w:pPr>
              <w:pStyle w:val="33"/>
              <w:rPr>
                <w:color w:val="auto"/>
              </w:rPr>
            </w:pPr>
          </w:p>
        </w:tc>
      </w:tr>
      <w:tr w14:paraId="24EA2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EC755FB">
            <w:pPr>
              <w:pStyle w:val="33"/>
              <w:rPr>
                <w:color w:val="auto"/>
              </w:rPr>
            </w:pPr>
          </w:p>
        </w:tc>
        <w:tc>
          <w:tcPr>
            <w:tcW w:w="668" w:type="pct"/>
            <w:vMerge w:val="continue"/>
            <w:vAlign w:val="center"/>
          </w:tcPr>
          <w:p w14:paraId="603A3268">
            <w:pPr>
              <w:pStyle w:val="33"/>
              <w:rPr>
                <w:color w:val="auto"/>
              </w:rPr>
            </w:pPr>
          </w:p>
        </w:tc>
        <w:tc>
          <w:tcPr>
            <w:tcW w:w="711" w:type="pct"/>
            <w:vMerge w:val="continue"/>
            <w:vAlign w:val="center"/>
          </w:tcPr>
          <w:p w14:paraId="33ACB0C6">
            <w:pPr>
              <w:pStyle w:val="33"/>
              <w:rPr>
                <w:color w:val="auto"/>
              </w:rPr>
            </w:pPr>
          </w:p>
        </w:tc>
        <w:tc>
          <w:tcPr>
            <w:tcW w:w="846" w:type="pct"/>
            <w:vAlign w:val="center"/>
          </w:tcPr>
          <w:p w14:paraId="0306727A">
            <w:pPr>
              <w:pStyle w:val="33"/>
              <w:rPr>
                <w:color w:val="auto"/>
              </w:rPr>
            </w:pPr>
            <w:r>
              <w:rPr>
                <w:color w:val="auto"/>
              </w:rPr>
              <w:t>超标率</w:t>
            </w:r>
          </w:p>
        </w:tc>
        <w:tc>
          <w:tcPr>
            <w:tcW w:w="731" w:type="pct"/>
            <w:vAlign w:val="center"/>
          </w:tcPr>
          <w:p w14:paraId="29625DEE">
            <w:pPr>
              <w:pStyle w:val="33"/>
              <w:rPr>
                <w:color w:val="auto"/>
              </w:rPr>
            </w:pPr>
          </w:p>
        </w:tc>
        <w:tc>
          <w:tcPr>
            <w:tcW w:w="741" w:type="pct"/>
            <w:vAlign w:val="center"/>
          </w:tcPr>
          <w:p w14:paraId="3DBA425D">
            <w:pPr>
              <w:pStyle w:val="33"/>
              <w:rPr>
                <w:color w:val="auto"/>
              </w:rPr>
            </w:pPr>
          </w:p>
        </w:tc>
        <w:tc>
          <w:tcPr>
            <w:tcW w:w="741" w:type="pct"/>
            <w:vAlign w:val="center"/>
          </w:tcPr>
          <w:p w14:paraId="2D90BE88">
            <w:pPr>
              <w:pStyle w:val="33"/>
              <w:rPr>
                <w:color w:val="auto"/>
              </w:rPr>
            </w:pPr>
          </w:p>
        </w:tc>
      </w:tr>
      <w:tr w14:paraId="1B728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69724EF">
            <w:pPr>
              <w:pStyle w:val="33"/>
              <w:rPr>
                <w:color w:val="auto"/>
              </w:rPr>
            </w:pPr>
          </w:p>
        </w:tc>
        <w:tc>
          <w:tcPr>
            <w:tcW w:w="668" w:type="pct"/>
            <w:vMerge w:val="continue"/>
            <w:vAlign w:val="center"/>
          </w:tcPr>
          <w:p w14:paraId="2F70BFF0">
            <w:pPr>
              <w:pStyle w:val="33"/>
              <w:rPr>
                <w:color w:val="auto"/>
              </w:rPr>
            </w:pPr>
          </w:p>
        </w:tc>
        <w:tc>
          <w:tcPr>
            <w:tcW w:w="711" w:type="pct"/>
            <w:vMerge w:val="continue"/>
            <w:vAlign w:val="center"/>
          </w:tcPr>
          <w:p w14:paraId="13802F3C">
            <w:pPr>
              <w:pStyle w:val="33"/>
              <w:rPr>
                <w:color w:val="auto"/>
              </w:rPr>
            </w:pPr>
          </w:p>
        </w:tc>
        <w:tc>
          <w:tcPr>
            <w:tcW w:w="846" w:type="pct"/>
            <w:vAlign w:val="center"/>
          </w:tcPr>
          <w:p w14:paraId="37A0CA7E">
            <w:pPr>
              <w:pStyle w:val="33"/>
              <w:rPr>
                <w:color w:val="auto"/>
              </w:rPr>
            </w:pPr>
            <w:r>
              <w:rPr>
                <w:color w:val="auto"/>
              </w:rPr>
              <w:t>最大超标倍数</w:t>
            </w:r>
          </w:p>
        </w:tc>
        <w:tc>
          <w:tcPr>
            <w:tcW w:w="731" w:type="pct"/>
            <w:vAlign w:val="center"/>
          </w:tcPr>
          <w:p w14:paraId="2E85185E">
            <w:pPr>
              <w:pStyle w:val="33"/>
              <w:rPr>
                <w:color w:val="auto"/>
              </w:rPr>
            </w:pPr>
          </w:p>
        </w:tc>
        <w:tc>
          <w:tcPr>
            <w:tcW w:w="741" w:type="pct"/>
            <w:vAlign w:val="center"/>
          </w:tcPr>
          <w:p w14:paraId="4304AAC3">
            <w:pPr>
              <w:pStyle w:val="33"/>
              <w:rPr>
                <w:color w:val="auto"/>
              </w:rPr>
            </w:pPr>
          </w:p>
        </w:tc>
        <w:tc>
          <w:tcPr>
            <w:tcW w:w="741" w:type="pct"/>
            <w:vAlign w:val="center"/>
          </w:tcPr>
          <w:p w14:paraId="2517C1CD">
            <w:pPr>
              <w:pStyle w:val="33"/>
              <w:rPr>
                <w:color w:val="auto"/>
              </w:rPr>
            </w:pPr>
          </w:p>
        </w:tc>
      </w:tr>
      <w:tr w14:paraId="08A53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410C30C">
            <w:pPr>
              <w:pStyle w:val="33"/>
              <w:rPr>
                <w:color w:val="auto"/>
              </w:rPr>
            </w:pPr>
          </w:p>
        </w:tc>
        <w:tc>
          <w:tcPr>
            <w:tcW w:w="668" w:type="pct"/>
            <w:vMerge w:val="restart"/>
            <w:vAlign w:val="center"/>
          </w:tcPr>
          <w:p w14:paraId="62175FE6">
            <w:pPr>
              <w:pStyle w:val="33"/>
              <w:rPr>
                <w:color w:val="auto"/>
              </w:rPr>
            </w:pPr>
            <w:r>
              <w:rPr>
                <w:color w:val="auto"/>
              </w:rPr>
              <w:t>无机氮</w:t>
            </w:r>
          </w:p>
        </w:tc>
        <w:tc>
          <w:tcPr>
            <w:tcW w:w="711" w:type="pct"/>
            <w:vMerge w:val="restart"/>
            <w:vAlign w:val="center"/>
          </w:tcPr>
          <w:p w14:paraId="35C6F1C4">
            <w:pPr>
              <w:pStyle w:val="33"/>
              <w:rPr>
                <w:color w:val="auto"/>
              </w:rPr>
            </w:pPr>
            <w:r>
              <w:rPr>
                <w:color w:val="auto"/>
              </w:rPr>
              <w:t>0.3</w:t>
            </w:r>
          </w:p>
        </w:tc>
        <w:tc>
          <w:tcPr>
            <w:tcW w:w="846" w:type="pct"/>
            <w:vAlign w:val="center"/>
          </w:tcPr>
          <w:p w14:paraId="2C35C5AB">
            <w:pPr>
              <w:pStyle w:val="33"/>
              <w:rPr>
                <w:color w:val="auto"/>
              </w:rPr>
            </w:pPr>
            <w:r>
              <w:rPr>
                <w:color w:val="auto"/>
              </w:rPr>
              <w:t>监测值</w:t>
            </w:r>
          </w:p>
        </w:tc>
        <w:tc>
          <w:tcPr>
            <w:tcW w:w="731" w:type="pct"/>
            <w:vAlign w:val="center"/>
          </w:tcPr>
          <w:p w14:paraId="25ED0651">
            <w:pPr>
              <w:pStyle w:val="33"/>
              <w:rPr>
                <w:color w:val="auto"/>
              </w:rPr>
            </w:pPr>
          </w:p>
        </w:tc>
        <w:tc>
          <w:tcPr>
            <w:tcW w:w="741" w:type="pct"/>
            <w:vAlign w:val="center"/>
          </w:tcPr>
          <w:p w14:paraId="1118190F">
            <w:pPr>
              <w:pStyle w:val="33"/>
              <w:rPr>
                <w:color w:val="auto"/>
              </w:rPr>
            </w:pPr>
          </w:p>
        </w:tc>
        <w:tc>
          <w:tcPr>
            <w:tcW w:w="741" w:type="pct"/>
            <w:vAlign w:val="center"/>
          </w:tcPr>
          <w:p w14:paraId="648620CD">
            <w:pPr>
              <w:pStyle w:val="33"/>
              <w:rPr>
                <w:color w:val="auto"/>
              </w:rPr>
            </w:pPr>
          </w:p>
        </w:tc>
      </w:tr>
      <w:tr w14:paraId="6DE4D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50F12A8">
            <w:pPr>
              <w:pStyle w:val="33"/>
              <w:rPr>
                <w:color w:val="auto"/>
              </w:rPr>
            </w:pPr>
          </w:p>
        </w:tc>
        <w:tc>
          <w:tcPr>
            <w:tcW w:w="668" w:type="pct"/>
            <w:vMerge w:val="continue"/>
            <w:vAlign w:val="center"/>
          </w:tcPr>
          <w:p w14:paraId="6E4B8E8C">
            <w:pPr>
              <w:pStyle w:val="33"/>
              <w:rPr>
                <w:color w:val="auto"/>
              </w:rPr>
            </w:pPr>
          </w:p>
        </w:tc>
        <w:tc>
          <w:tcPr>
            <w:tcW w:w="711" w:type="pct"/>
            <w:vMerge w:val="continue"/>
            <w:vAlign w:val="center"/>
          </w:tcPr>
          <w:p w14:paraId="63A870B1">
            <w:pPr>
              <w:pStyle w:val="33"/>
              <w:rPr>
                <w:color w:val="auto"/>
              </w:rPr>
            </w:pPr>
          </w:p>
        </w:tc>
        <w:tc>
          <w:tcPr>
            <w:tcW w:w="846" w:type="pct"/>
            <w:vAlign w:val="center"/>
          </w:tcPr>
          <w:p w14:paraId="4FF81C6D">
            <w:pPr>
              <w:pStyle w:val="33"/>
              <w:rPr>
                <w:color w:val="auto"/>
              </w:rPr>
            </w:pPr>
            <w:r>
              <w:rPr>
                <w:color w:val="auto"/>
              </w:rPr>
              <w:t>Pi值</w:t>
            </w:r>
          </w:p>
        </w:tc>
        <w:tc>
          <w:tcPr>
            <w:tcW w:w="731" w:type="pct"/>
            <w:vAlign w:val="center"/>
          </w:tcPr>
          <w:p w14:paraId="7C67718A">
            <w:pPr>
              <w:pStyle w:val="33"/>
              <w:rPr>
                <w:color w:val="auto"/>
              </w:rPr>
            </w:pPr>
          </w:p>
        </w:tc>
        <w:tc>
          <w:tcPr>
            <w:tcW w:w="741" w:type="pct"/>
            <w:vAlign w:val="center"/>
          </w:tcPr>
          <w:p w14:paraId="277BA336">
            <w:pPr>
              <w:pStyle w:val="33"/>
              <w:rPr>
                <w:color w:val="auto"/>
              </w:rPr>
            </w:pPr>
          </w:p>
        </w:tc>
        <w:tc>
          <w:tcPr>
            <w:tcW w:w="741" w:type="pct"/>
            <w:vAlign w:val="center"/>
          </w:tcPr>
          <w:p w14:paraId="4D310DA2">
            <w:pPr>
              <w:pStyle w:val="33"/>
              <w:rPr>
                <w:color w:val="auto"/>
              </w:rPr>
            </w:pPr>
          </w:p>
        </w:tc>
      </w:tr>
      <w:tr w14:paraId="55A77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E1E9CE0">
            <w:pPr>
              <w:pStyle w:val="33"/>
              <w:rPr>
                <w:color w:val="auto"/>
              </w:rPr>
            </w:pPr>
          </w:p>
        </w:tc>
        <w:tc>
          <w:tcPr>
            <w:tcW w:w="668" w:type="pct"/>
            <w:vMerge w:val="continue"/>
            <w:vAlign w:val="center"/>
          </w:tcPr>
          <w:p w14:paraId="7775455E">
            <w:pPr>
              <w:pStyle w:val="33"/>
              <w:rPr>
                <w:color w:val="auto"/>
              </w:rPr>
            </w:pPr>
          </w:p>
        </w:tc>
        <w:tc>
          <w:tcPr>
            <w:tcW w:w="711" w:type="pct"/>
            <w:vMerge w:val="continue"/>
            <w:vAlign w:val="center"/>
          </w:tcPr>
          <w:p w14:paraId="68F31B0F">
            <w:pPr>
              <w:pStyle w:val="33"/>
              <w:rPr>
                <w:color w:val="auto"/>
              </w:rPr>
            </w:pPr>
          </w:p>
        </w:tc>
        <w:tc>
          <w:tcPr>
            <w:tcW w:w="846" w:type="pct"/>
            <w:vAlign w:val="center"/>
          </w:tcPr>
          <w:p w14:paraId="51620EA7">
            <w:pPr>
              <w:pStyle w:val="33"/>
              <w:rPr>
                <w:color w:val="auto"/>
              </w:rPr>
            </w:pPr>
            <w:r>
              <w:rPr>
                <w:color w:val="auto"/>
              </w:rPr>
              <w:t>超标率</w:t>
            </w:r>
          </w:p>
        </w:tc>
        <w:tc>
          <w:tcPr>
            <w:tcW w:w="731" w:type="pct"/>
            <w:vAlign w:val="center"/>
          </w:tcPr>
          <w:p w14:paraId="39D8EE57">
            <w:pPr>
              <w:pStyle w:val="33"/>
              <w:rPr>
                <w:color w:val="auto"/>
              </w:rPr>
            </w:pPr>
          </w:p>
        </w:tc>
        <w:tc>
          <w:tcPr>
            <w:tcW w:w="741" w:type="pct"/>
            <w:vAlign w:val="center"/>
          </w:tcPr>
          <w:p w14:paraId="523C58FE">
            <w:pPr>
              <w:pStyle w:val="33"/>
              <w:rPr>
                <w:color w:val="auto"/>
              </w:rPr>
            </w:pPr>
          </w:p>
        </w:tc>
        <w:tc>
          <w:tcPr>
            <w:tcW w:w="741" w:type="pct"/>
            <w:vAlign w:val="center"/>
          </w:tcPr>
          <w:p w14:paraId="702EFCDC">
            <w:pPr>
              <w:pStyle w:val="33"/>
              <w:rPr>
                <w:color w:val="auto"/>
              </w:rPr>
            </w:pPr>
          </w:p>
        </w:tc>
      </w:tr>
      <w:tr w14:paraId="607A7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46829B0">
            <w:pPr>
              <w:pStyle w:val="33"/>
              <w:rPr>
                <w:color w:val="auto"/>
              </w:rPr>
            </w:pPr>
          </w:p>
        </w:tc>
        <w:tc>
          <w:tcPr>
            <w:tcW w:w="668" w:type="pct"/>
            <w:vMerge w:val="continue"/>
            <w:vAlign w:val="center"/>
          </w:tcPr>
          <w:p w14:paraId="7B14066C">
            <w:pPr>
              <w:pStyle w:val="33"/>
              <w:rPr>
                <w:color w:val="auto"/>
              </w:rPr>
            </w:pPr>
          </w:p>
        </w:tc>
        <w:tc>
          <w:tcPr>
            <w:tcW w:w="711" w:type="pct"/>
            <w:vMerge w:val="continue"/>
            <w:vAlign w:val="center"/>
          </w:tcPr>
          <w:p w14:paraId="4A4753FF">
            <w:pPr>
              <w:pStyle w:val="33"/>
              <w:rPr>
                <w:color w:val="auto"/>
              </w:rPr>
            </w:pPr>
          </w:p>
        </w:tc>
        <w:tc>
          <w:tcPr>
            <w:tcW w:w="846" w:type="pct"/>
            <w:vAlign w:val="center"/>
          </w:tcPr>
          <w:p w14:paraId="2D6E33BB">
            <w:pPr>
              <w:pStyle w:val="33"/>
              <w:rPr>
                <w:color w:val="auto"/>
              </w:rPr>
            </w:pPr>
            <w:r>
              <w:rPr>
                <w:color w:val="auto"/>
              </w:rPr>
              <w:t>最大超标倍数</w:t>
            </w:r>
          </w:p>
        </w:tc>
        <w:tc>
          <w:tcPr>
            <w:tcW w:w="731" w:type="pct"/>
            <w:vAlign w:val="center"/>
          </w:tcPr>
          <w:p w14:paraId="77C35B75">
            <w:pPr>
              <w:pStyle w:val="33"/>
              <w:rPr>
                <w:color w:val="auto"/>
              </w:rPr>
            </w:pPr>
          </w:p>
        </w:tc>
        <w:tc>
          <w:tcPr>
            <w:tcW w:w="741" w:type="pct"/>
            <w:vAlign w:val="center"/>
          </w:tcPr>
          <w:p w14:paraId="1C987F22">
            <w:pPr>
              <w:pStyle w:val="33"/>
              <w:rPr>
                <w:color w:val="auto"/>
              </w:rPr>
            </w:pPr>
          </w:p>
        </w:tc>
        <w:tc>
          <w:tcPr>
            <w:tcW w:w="741" w:type="pct"/>
            <w:vAlign w:val="center"/>
          </w:tcPr>
          <w:p w14:paraId="2151F6EC">
            <w:pPr>
              <w:pStyle w:val="33"/>
              <w:rPr>
                <w:color w:val="auto"/>
              </w:rPr>
            </w:pPr>
          </w:p>
        </w:tc>
      </w:tr>
      <w:tr w14:paraId="4FC41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65C4184">
            <w:pPr>
              <w:pStyle w:val="33"/>
              <w:rPr>
                <w:color w:val="auto"/>
              </w:rPr>
            </w:pPr>
          </w:p>
        </w:tc>
        <w:tc>
          <w:tcPr>
            <w:tcW w:w="668" w:type="pct"/>
            <w:vMerge w:val="restart"/>
            <w:vAlign w:val="center"/>
          </w:tcPr>
          <w:p w14:paraId="2C4A5BA4">
            <w:pPr>
              <w:pStyle w:val="33"/>
              <w:rPr>
                <w:color w:val="auto"/>
              </w:rPr>
            </w:pPr>
            <w:r>
              <w:rPr>
                <w:color w:val="auto"/>
              </w:rPr>
              <w:t>活性磷酸盐</w:t>
            </w:r>
          </w:p>
        </w:tc>
        <w:tc>
          <w:tcPr>
            <w:tcW w:w="711" w:type="pct"/>
            <w:vMerge w:val="restart"/>
            <w:vAlign w:val="center"/>
          </w:tcPr>
          <w:p w14:paraId="3BAA71A1">
            <w:pPr>
              <w:pStyle w:val="33"/>
              <w:rPr>
                <w:color w:val="auto"/>
              </w:rPr>
            </w:pPr>
            <w:r>
              <w:rPr>
                <w:color w:val="auto"/>
              </w:rPr>
              <w:t>0.03</w:t>
            </w:r>
          </w:p>
        </w:tc>
        <w:tc>
          <w:tcPr>
            <w:tcW w:w="846" w:type="pct"/>
            <w:vAlign w:val="center"/>
          </w:tcPr>
          <w:p w14:paraId="14D5F92B">
            <w:pPr>
              <w:pStyle w:val="33"/>
              <w:rPr>
                <w:color w:val="auto"/>
              </w:rPr>
            </w:pPr>
            <w:r>
              <w:rPr>
                <w:color w:val="auto"/>
              </w:rPr>
              <w:t>监测值</w:t>
            </w:r>
          </w:p>
        </w:tc>
        <w:tc>
          <w:tcPr>
            <w:tcW w:w="731" w:type="pct"/>
            <w:vAlign w:val="center"/>
          </w:tcPr>
          <w:p w14:paraId="6FC4ABA1">
            <w:pPr>
              <w:pStyle w:val="33"/>
              <w:rPr>
                <w:color w:val="auto"/>
              </w:rPr>
            </w:pPr>
          </w:p>
        </w:tc>
        <w:tc>
          <w:tcPr>
            <w:tcW w:w="741" w:type="pct"/>
            <w:vAlign w:val="center"/>
          </w:tcPr>
          <w:p w14:paraId="66F9247D">
            <w:pPr>
              <w:pStyle w:val="33"/>
              <w:rPr>
                <w:color w:val="auto"/>
              </w:rPr>
            </w:pPr>
          </w:p>
        </w:tc>
        <w:tc>
          <w:tcPr>
            <w:tcW w:w="741" w:type="pct"/>
            <w:vAlign w:val="center"/>
          </w:tcPr>
          <w:p w14:paraId="7EF9C9EA">
            <w:pPr>
              <w:pStyle w:val="33"/>
              <w:rPr>
                <w:color w:val="auto"/>
              </w:rPr>
            </w:pPr>
          </w:p>
        </w:tc>
      </w:tr>
      <w:tr w14:paraId="0F5C6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07B089B">
            <w:pPr>
              <w:pStyle w:val="33"/>
              <w:rPr>
                <w:color w:val="auto"/>
              </w:rPr>
            </w:pPr>
          </w:p>
        </w:tc>
        <w:tc>
          <w:tcPr>
            <w:tcW w:w="668" w:type="pct"/>
            <w:vMerge w:val="continue"/>
            <w:vAlign w:val="center"/>
          </w:tcPr>
          <w:p w14:paraId="7B05E1FF">
            <w:pPr>
              <w:pStyle w:val="33"/>
              <w:rPr>
                <w:color w:val="auto"/>
              </w:rPr>
            </w:pPr>
          </w:p>
        </w:tc>
        <w:tc>
          <w:tcPr>
            <w:tcW w:w="711" w:type="pct"/>
            <w:vMerge w:val="continue"/>
            <w:vAlign w:val="center"/>
          </w:tcPr>
          <w:p w14:paraId="2BBBDC9D">
            <w:pPr>
              <w:pStyle w:val="33"/>
              <w:rPr>
                <w:color w:val="auto"/>
              </w:rPr>
            </w:pPr>
          </w:p>
        </w:tc>
        <w:tc>
          <w:tcPr>
            <w:tcW w:w="846" w:type="pct"/>
            <w:vAlign w:val="center"/>
          </w:tcPr>
          <w:p w14:paraId="610B38F1">
            <w:pPr>
              <w:pStyle w:val="33"/>
              <w:rPr>
                <w:color w:val="auto"/>
              </w:rPr>
            </w:pPr>
            <w:r>
              <w:rPr>
                <w:color w:val="auto"/>
              </w:rPr>
              <w:t>Pi值</w:t>
            </w:r>
          </w:p>
        </w:tc>
        <w:tc>
          <w:tcPr>
            <w:tcW w:w="731" w:type="pct"/>
            <w:vAlign w:val="center"/>
          </w:tcPr>
          <w:p w14:paraId="06946174">
            <w:pPr>
              <w:pStyle w:val="33"/>
              <w:rPr>
                <w:color w:val="auto"/>
              </w:rPr>
            </w:pPr>
          </w:p>
        </w:tc>
        <w:tc>
          <w:tcPr>
            <w:tcW w:w="741" w:type="pct"/>
            <w:vAlign w:val="center"/>
          </w:tcPr>
          <w:p w14:paraId="056B41D6">
            <w:pPr>
              <w:pStyle w:val="33"/>
              <w:rPr>
                <w:color w:val="auto"/>
              </w:rPr>
            </w:pPr>
          </w:p>
        </w:tc>
        <w:tc>
          <w:tcPr>
            <w:tcW w:w="741" w:type="pct"/>
            <w:vAlign w:val="center"/>
          </w:tcPr>
          <w:p w14:paraId="7EC96609">
            <w:pPr>
              <w:pStyle w:val="33"/>
              <w:rPr>
                <w:color w:val="auto"/>
              </w:rPr>
            </w:pPr>
          </w:p>
        </w:tc>
      </w:tr>
      <w:tr w14:paraId="7305F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7451B57">
            <w:pPr>
              <w:pStyle w:val="33"/>
              <w:rPr>
                <w:color w:val="auto"/>
              </w:rPr>
            </w:pPr>
          </w:p>
        </w:tc>
        <w:tc>
          <w:tcPr>
            <w:tcW w:w="668" w:type="pct"/>
            <w:vMerge w:val="continue"/>
            <w:vAlign w:val="center"/>
          </w:tcPr>
          <w:p w14:paraId="6136C0E7">
            <w:pPr>
              <w:pStyle w:val="33"/>
              <w:rPr>
                <w:color w:val="auto"/>
              </w:rPr>
            </w:pPr>
          </w:p>
        </w:tc>
        <w:tc>
          <w:tcPr>
            <w:tcW w:w="711" w:type="pct"/>
            <w:vMerge w:val="continue"/>
            <w:vAlign w:val="center"/>
          </w:tcPr>
          <w:p w14:paraId="0C935821">
            <w:pPr>
              <w:pStyle w:val="33"/>
              <w:rPr>
                <w:color w:val="auto"/>
              </w:rPr>
            </w:pPr>
          </w:p>
        </w:tc>
        <w:tc>
          <w:tcPr>
            <w:tcW w:w="846" w:type="pct"/>
            <w:vAlign w:val="center"/>
          </w:tcPr>
          <w:p w14:paraId="0BA8A748">
            <w:pPr>
              <w:pStyle w:val="33"/>
              <w:rPr>
                <w:color w:val="auto"/>
              </w:rPr>
            </w:pPr>
            <w:r>
              <w:rPr>
                <w:color w:val="auto"/>
              </w:rPr>
              <w:t>超标率</w:t>
            </w:r>
          </w:p>
        </w:tc>
        <w:tc>
          <w:tcPr>
            <w:tcW w:w="731" w:type="pct"/>
            <w:vAlign w:val="center"/>
          </w:tcPr>
          <w:p w14:paraId="60263EF5">
            <w:pPr>
              <w:pStyle w:val="33"/>
              <w:rPr>
                <w:color w:val="auto"/>
              </w:rPr>
            </w:pPr>
          </w:p>
        </w:tc>
        <w:tc>
          <w:tcPr>
            <w:tcW w:w="741" w:type="pct"/>
            <w:vAlign w:val="center"/>
          </w:tcPr>
          <w:p w14:paraId="364A39FC">
            <w:pPr>
              <w:pStyle w:val="33"/>
              <w:rPr>
                <w:color w:val="auto"/>
              </w:rPr>
            </w:pPr>
          </w:p>
        </w:tc>
        <w:tc>
          <w:tcPr>
            <w:tcW w:w="741" w:type="pct"/>
            <w:vAlign w:val="center"/>
          </w:tcPr>
          <w:p w14:paraId="589F517C">
            <w:pPr>
              <w:pStyle w:val="33"/>
              <w:rPr>
                <w:color w:val="auto"/>
              </w:rPr>
            </w:pPr>
          </w:p>
        </w:tc>
      </w:tr>
      <w:tr w14:paraId="391C8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64F5CEB">
            <w:pPr>
              <w:pStyle w:val="33"/>
              <w:rPr>
                <w:color w:val="auto"/>
              </w:rPr>
            </w:pPr>
          </w:p>
        </w:tc>
        <w:tc>
          <w:tcPr>
            <w:tcW w:w="668" w:type="pct"/>
            <w:vMerge w:val="continue"/>
            <w:vAlign w:val="center"/>
          </w:tcPr>
          <w:p w14:paraId="6DAC6D2C">
            <w:pPr>
              <w:pStyle w:val="33"/>
              <w:rPr>
                <w:color w:val="auto"/>
              </w:rPr>
            </w:pPr>
          </w:p>
        </w:tc>
        <w:tc>
          <w:tcPr>
            <w:tcW w:w="711" w:type="pct"/>
            <w:vMerge w:val="continue"/>
            <w:vAlign w:val="center"/>
          </w:tcPr>
          <w:p w14:paraId="0AE52DF8">
            <w:pPr>
              <w:pStyle w:val="33"/>
              <w:rPr>
                <w:color w:val="auto"/>
              </w:rPr>
            </w:pPr>
          </w:p>
        </w:tc>
        <w:tc>
          <w:tcPr>
            <w:tcW w:w="846" w:type="pct"/>
            <w:vAlign w:val="center"/>
          </w:tcPr>
          <w:p w14:paraId="152135AC">
            <w:pPr>
              <w:pStyle w:val="33"/>
              <w:rPr>
                <w:color w:val="auto"/>
              </w:rPr>
            </w:pPr>
            <w:r>
              <w:rPr>
                <w:color w:val="auto"/>
              </w:rPr>
              <w:t>最大超标倍数</w:t>
            </w:r>
          </w:p>
        </w:tc>
        <w:tc>
          <w:tcPr>
            <w:tcW w:w="731" w:type="pct"/>
            <w:vAlign w:val="center"/>
          </w:tcPr>
          <w:p w14:paraId="3614D244">
            <w:pPr>
              <w:pStyle w:val="33"/>
              <w:rPr>
                <w:color w:val="auto"/>
              </w:rPr>
            </w:pPr>
          </w:p>
        </w:tc>
        <w:tc>
          <w:tcPr>
            <w:tcW w:w="741" w:type="pct"/>
            <w:vAlign w:val="center"/>
          </w:tcPr>
          <w:p w14:paraId="57D338D1">
            <w:pPr>
              <w:pStyle w:val="33"/>
              <w:rPr>
                <w:color w:val="auto"/>
              </w:rPr>
            </w:pPr>
          </w:p>
        </w:tc>
        <w:tc>
          <w:tcPr>
            <w:tcW w:w="741" w:type="pct"/>
            <w:vAlign w:val="center"/>
          </w:tcPr>
          <w:p w14:paraId="5D379A04">
            <w:pPr>
              <w:pStyle w:val="33"/>
              <w:rPr>
                <w:color w:val="auto"/>
              </w:rPr>
            </w:pPr>
          </w:p>
        </w:tc>
      </w:tr>
      <w:tr w14:paraId="662E9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59F8F4B">
            <w:pPr>
              <w:pStyle w:val="33"/>
              <w:rPr>
                <w:color w:val="auto"/>
              </w:rPr>
            </w:pPr>
          </w:p>
        </w:tc>
        <w:tc>
          <w:tcPr>
            <w:tcW w:w="668" w:type="pct"/>
            <w:vMerge w:val="restart"/>
            <w:vAlign w:val="center"/>
          </w:tcPr>
          <w:p w14:paraId="2548FAA7">
            <w:pPr>
              <w:pStyle w:val="33"/>
              <w:rPr>
                <w:color w:val="auto"/>
              </w:rPr>
            </w:pPr>
            <w:r>
              <w:rPr>
                <w:color w:val="auto"/>
              </w:rPr>
              <w:t>石油类</w:t>
            </w:r>
          </w:p>
        </w:tc>
        <w:tc>
          <w:tcPr>
            <w:tcW w:w="711" w:type="pct"/>
            <w:vMerge w:val="restart"/>
            <w:vAlign w:val="center"/>
          </w:tcPr>
          <w:p w14:paraId="7BC49A4D">
            <w:pPr>
              <w:pStyle w:val="33"/>
              <w:rPr>
                <w:color w:val="auto"/>
              </w:rPr>
            </w:pPr>
            <w:r>
              <w:rPr>
                <w:color w:val="auto"/>
              </w:rPr>
              <w:t>0.05</w:t>
            </w:r>
          </w:p>
        </w:tc>
        <w:tc>
          <w:tcPr>
            <w:tcW w:w="846" w:type="pct"/>
            <w:vAlign w:val="center"/>
          </w:tcPr>
          <w:p w14:paraId="406080AC">
            <w:pPr>
              <w:pStyle w:val="33"/>
              <w:rPr>
                <w:color w:val="auto"/>
              </w:rPr>
            </w:pPr>
            <w:r>
              <w:rPr>
                <w:color w:val="auto"/>
              </w:rPr>
              <w:t>监测值</w:t>
            </w:r>
          </w:p>
        </w:tc>
        <w:tc>
          <w:tcPr>
            <w:tcW w:w="731" w:type="pct"/>
            <w:vAlign w:val="center"/>
          </w:tcPr>
          <w:p w14:paraId="51351456">
            <w:pPr>
              <w:pStyle w:val="33"/>
              <w:rPr>
                <w:color w:val="auto"/>
              </w:rPr>
            </w:pPr>
          </w:p>
        </w:tc>
        <w:tc>
          <w:tcPr>
            <w:tcW w:w="741" w:type="pct"/>
            <w:vAlign w:val="center"/>
          </w:tcPr>
          <w:p w14:paraId="7C59F683">
            <w:pPr>
              <w:pStyle w:val="33"/>
              <w:rPr>
                <w:color w:val="auto"/>
              </w:rPr>
            </w:pPr>
          </w:p>
        </w:tc>
        <w:tc>
          <w:tcPr>
            <w:tcW w:w="741" w:type="pct"/>
            <w:vAlign w:val="center"/>
          </w:tcPr>
          <w:p w14:paraId="2253068A">
            <w:pPr>
              <w:pStyle w:val="33"/>
              <w:rPr>
                <w:color w:val="auto"/>
              </w:rPr>
            </w:pPr>
          </w:p>
        </w:tc>
      </w:tr>
      <w:tr w14:paraId="75218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4115C4B">
            <w:pPr>
              <w:pStyle w:val="33"/>
              <w:rPr>
                <w:color w:val="auto"/>
              </w:rPr>
            </w:pPr>
          </w:p>
        </w:tc>
        <w:tc>
          <w:tcPr>
            <w:tcW w:w="668" w:type="pct"/>
            <w:vMerge w:val="continue"/>
            <w:vAlign w:val="center"/>
          </w:tcPr>
          <w:p w14:paraId="490E6EB4">
            <w:pPr>
              <w:pStyle w:val="33"/>
              <w:rPr>
                <w:color w:val="auto"/>
              </w:rPr>
            </w:pPr>
          </w:p>
        </w:tc>
        <w:tc>
          <w:tcPr>
            <w:tcW w:w="711" w:type="pct"/>
            <w:vMerge w:val="continue"/>
            <w:vAlign w:val="center"/>
          </w:tcPr>
          <w:p w14:paraId="49B9D7D7">
            <w:pPr>
              <w:pStyle w:val="33"/>
              <w:rPr>
                <w:color w:val="auto"/>
              </w:rPr>
            </w:pPr>
          </w:p>
        </w:tc>
        <w:tc>
          <w:tcPr>
            <w:tcW w:w="846" w:type="pct"/>
            <w:vAlign w:val="center"/>
          </w:tcPr>
          <w:p w14:paraId="799A34E2">
            <w:pPr>
              <w:pStyle w:val="33"/>
              <w:rPr>
                <w:color w:val="auto"/>
              </w:rPr>
            </w:pPr>
            <w:r>
              <w:rPr>
                <w:color w:val="auto"/>
              </w:rPr>
              <w:t>Pi值</w:t>
            </w:r>
          </w:p>
        </w:tc>
        <w:tc>
          <w:tcPr>
            <w:tcW w:w="731" w:type="pct"/>
            <w:vAlign w:val="center"/>
          </w:tcPr>
          <w:p w14:paraId="2BEBC3E1">
            <w:pPr>
              <w:pStyle w:val="33"/>
              <w:rPr>
                <w:color w:val="auto"/>
              </w:rPr>
            </w:pPr>
          </w:p>
        </w:tc>
        <w:tc>
          <w:tcPr>
            <w:tcW w:w="741" w:type="pct"/>
            <w:vAlign w:val="center"/>
          </w:tcPr>
          <w:p w14:paraId="0EC6594C">
            <w:pPr>
              <w:pStyle w:val="33"/>
              <w:rPr>
                <w:color w:val="auto"/>
              </w:rPr>
            </w:pPr>
          </w:p>
        </w:tc>
        <w:tc>
          <w:tcPr>
            <w:tcW w:w="741" w:type="pct"/>
            <w:vAlign w:val="center"/>
          </w:tcPr>
          <w:p w14:paraId="6A5C61D1">
            <w:pPr>
              <w:pStyle w:val="33"/>
              <w:rPr>
                <w:color w:val="auto"/>
              </w:rPr>
            </w:pPr>
          </w:p>
        </w:tc>
      </w:tr>
      <w:tr w14:paraId="78F1E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2ECFD21">
            <w:pPr>
              <w:pStyle w:val="33"/>
              <w:rPr>
                <w:color w:val="auto"/>
              </w:rPr>
            </w:pPr>
          </w:p>
        </w:tc>
        <w:tc>
          <w:tcPr>
            <w:tcW w:w="668" w:type="pct"/>
            <w:vMerge w:val="continue"/>
            <w:vAlign w:val="center"/>
          </w:tcPr>
          <w:p w14:paraId="78B79C3F">
            <w:pPr>
              <w:pStyle w:val="33"/>
              <w:rPr>
                <w:color w:val="auto"/>
              </w:rPr>
            </w:pPr>
          </w:p>
        </w:tc>
        <w:tc>
          <w:tcPr>
            <w:tcW w:w="711" w:type="pct"/>
            <w:vMerge w:val="continue"/>
            <w:vAlign w:val="center"/>
          </w:tcPr>
          <w:p w14:paraId="36F2251B">
            <w:pPr>
              <w:pStyle w:val="33"/>
              <w:rPr>
                <w:color w:val="auto"/>
              </w:rPr>
            </w:pPr>
          </w:p>
        </w:tc>
        <w:tc>
          <w:tcPr>
            <w:tcW w:w="846" w:type="pct"/>
            <w:vAlign w:val="center"/>
          </w:tcPr>
          <w:p w14:paraId="02865F58">
            <w:pPr>
              <w:pStyle w:val="33"/>
              <w:rPr>
                <w:color w:val="auto"/>
              </w:rPr>
            </w:pPr>
            <w:r>
              <w:rPr>
                <w:color w:val="auto"/>
              </w:rPr>
              <w:t>超标率</w:t>
            </w:r>
          </w:p>
        </w:tc>
        <w:tc>
          <w:tcPr>
            <w:tcW w:w="731" w:type="pct"/>
            <w:vAlign w:val="center"/>
          </w:tcPr>
          <w:p w14:paraId="780460F9">
            <w:pPr>
              <w:pStyle w:val="33"/>
              <w:rPr>
                <w:color w:val="auto"/>
              </w:rPr>
            </w:pPr>
          </w:p>
        </w:tc>
        <w:tc>
          <w:tcPr>
            <w:tcW w:w="741" w:type="pct"/>
            <w:vAlign w:val="center"/>
          </w:tcPr>
          <w:p w14:paraId="5B091E87">
            <w:pPr>
              <w:pStyle w:val="33"/>
              <w:rPr>
                <w:color w:val="auto"/>
              </w:rPr>
            </w:pPr>
          </w:p>
        </w:tc>
        <w:tc>
          <w:tcPr>
            <w:tcW w:w="741" w:type="pct"/>
            <w:vAlign w:val="center"/>
          </w:tcPr>
          <w:p w14:paraId="07E50B5F">
            <w:pPr>
              <w:pStyle w:val="33"/>
              <w:rPr>
                <w:color w:val="auto"/>
              </w:rPr>
            </w:pPr>
          </w:p>
        </w:tc>
      </w:tr>
      <w:tr w14:paraId="5577C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2F76243">
            <w:pPr>
              <w:pStyle w:val="33"/>
              <w:rPr>
                <w:color w:val="auto"/>
              </w:rPr>
            </w:pPr>
          </w:p>
        </w:tc>
        <w:tc>
          <w:tcPr>
            <w:tcW w:w="668" w:type="pct"/>
            <w:vMerge w:val="continue"/>
            <w:vAlign w:val="center"/>
          </w:tcPr>
          <w:p w14:paraId="17819EB3">
            <w:pPr>
              <w:pStyle w:val="33"/>
              <w:rPr>
                <w:color w:val="auto"/>
              </w:rPr>
            </w:pPr>
          </w:p>
        </w:tc>
        <w:tc>
          <w:tcPr>
            <w:tcW w:w="711" w:type="pct"/>
            <w:vMerge w:val="continue"/>
            <w:vAlign w:val="center"/>
          </w:tcPr>
          <w:p w14:paraId="62B20454">
            <w:pPr>
              <w:pStyle w:val="33"/>
              <w:rPr>
                <w:color w:val="auto"/>
              </w:rPr>
            </w:pPr>
          </w:p>
        </w:tc>
        <w:tc>
          <w:tcPr>
            <w:tcW w:w="846" w:type="pct"/>
            <w:vAlign w:val="center"/>
          </w:tcPr>
          <w:p w14:paraId="625CF968">
            <w:pPr>
              <w:pStyle w:val="33"/>
              <w:rPr>
                <w:color w:val="auto"/>
              </w:rPr>
            </w:pPr>
            <w:r>
              <w:rPr>
                <w:color w:val="auto"/>
              </w:rPr>
              <w:t>最大超标倍数</w:t>
            </w:r>
          </w:p>
        </w:tc>
        <w:tc>
          <w:tcPr>
            <w:tcW w:w="731" w:type="pct"/>
            <w:vAlign w:val="center"/>
          </w:tcPr>
          <w:p w14:paraId="23D90464">
            <w:pPr>
              <w:pStyle w:val="33"/>
              <w:rPr>
                <w:color w:val="auto"/>
              </w:rPr>
            </w:pPr>
          </w:p>
        </w:tc>
        <w:tc>
          <w:tcPr>
            <w:tcW w:w="741" w:type="pct"/>
            <w:vAlign w:val="center"/>
          </w:tcPr>
          <w:p w14:paraId="578A4299">
            <w:pPr>
              <w:pStyle w:val="33"/>
              <w:rPr>
                <w:color w:val="auto"/>
              </w:rPr>
            </w:pPr>
          </w:p>
        </w:tc>
        <w:tc>
          <w:tcPr>
            <w:tcW w:w="741" w:type="pct"/>
            <w:vAlign w:val="center"/>
          </w:tcPr>
          <w:p w14:paraId="6E29D25A">
            <w:pPr>
              <w:pStyle w:val="33"/>
              <w:rPr>
                <w:color w:val="auto"/>
              </w:rPr>
            </w:pPr>
          </w:p>
        </w:tc>
      </w:tr>
      <w:tr w14:paraId="6173B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E27A1F5">
            <w:pPr>
              <w:pStyle w:val="33"/>
              <w:rPr>
                <w:color w:val="auto"/>
              </w:rPr>
            </w:pPr>
          </w:p>
        </w:tc>
        <w:tc>
          <w:tcPr>
            <w:tcW w:w="668" w:type="pct"/>
            <w:vMerge w:val="restart"/>
            <w:vAlign w:val="center"/>
          </w:tcPr>
          <w:p w14:paraId="017D308A">
            <w:pPr>
              <w:pStyle w:val="33"/>
              <w:rPr>
                <w:color w:val="auto"/>
              </w:rPr>
            </w:pPr>
            <w:r>
              <w:rPr>
                <w:color w:val="auto"/>
              </w:rPr>
              <w:t>铜</w:t>
            </w:r>
          </w:p>
        </w:tc>
        <w:tc>
          <w:tcPr>
            <w:tcW w:w="711" w:type="pct"/>
            <w:vMerge w:val="restart"/>
            <w:vAlign w:val="center"/>
          </w:tcPr>
          <w:p w14:paraId="3ABBCD6A">
            <w:pPr>
              <w:pStyle w:val="33"/>
              <w:rPr>
                <w:color w:val="auto"/>
              </w:rPr>
            </w:pPr>
            <w:r>
              <w:rPr>
                <w:color w:val="auto"/>
              </w:rPr>
              <w:t>0.01</w:t>
            </w:r>
          </w:p>
        </w:tc>
        <w:tc>
          <w:tcPr>
            <w:tcW w:w="846" w:type="pct"/>
            <w:vAlign w:val="center"/>
          </w:tcPr>
          <w:p w14:paraId="51C42696">
            <w:pPr>
              <w:pStyle w:val="33"/>
              <w:rPr>
                <w:color w:val="auto"/>
              </w:rPr>
            </w:pPr>
            <w:r>
              <w:rPr>
                <w:color w:val="auto"/>
              </w:rPr>
              <w:t>监测值</w:t>
            </w:r>
          </w:p>
        </w:tc>
        <w:tc>
          <w:tcPr>
            <w:tcW w:w="731" w:type="pct"/>
            <w:vAlign w:val="center"/>
          </w:tcPr>
          <w:p w14:paraId="6D092DF1">
            <w:pPr>
              <w:pStyle w:val="33"/>
              <w:rPr>
                <w:color w:val="auto"/>
              </w:rPr>
            </w:pPr>
          </w:p>
        </w:tc>
        <w:tc>
          <w:tcPr>
            <w:tcW w:w="741" w:type="pct"/>
            <w:vAlign w:val="center"/>
          </w:tcPr>
          <w:p w14:paraId="14347482">
            <w:pPr>
              <w:pStyle w:val="33"/>
              <w:rPr>
                <w:color w:val="auto"/>
              </w:rPr>
            </w:pPr>
          </w:p>
        </w:tc>
        <w:tc>
          <w:tcPr>
            <w:tcW w:w="741" w:type="pct"/>
            <w:vAlign w:val="center"/>
          </w:tcPr>
          <w:p w14:paraId="3B665FBE">
            <w:pPr>
              <w:pStyle w:val="33"/>
              <w:rPr>
                <w:color w:val="auto"/>
              </w:rPr>
            </w:pPr>
          </w:p>
        </w:tc>
      </w:tr>
      <w:tr w14:paraId="78509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062592E">
            <w:pPr>
              <w:pStyle w:val="33"/>
              <w:rPr>
                <w:color w:val="auto"/>
              </w:rPr>
            </w:pPr>
          </w:p>
        </w:tc>
        <w:tc>
          <w:tcPr>
            <w:tcW w:w="668" w:type="pct"/>
            <w:vMerge w:val="continue"/>
            <w:vAlign w:val="center"/>
          </w:tcPr>
          <w:p w14:paraId="4803FC66">
            <w:pPr>
              <w:pStyle w:val="33"/>
              <w:rPr>
                <w:color w:val="auto"/>
              </w:rPr>
            </w:pPr>
          </w:p>
        </w:tc>
        <w:tc>
          <w:tcPr>
            <w:tcW w:w="711" w:type="pct"/>
            <w:vMerge w:val="continue"/>
            <w:vAlign w:val="center"/>
          </w:tcPr>
          <w:p w14:paraId="5BF6A1DB">
            <w:pPr>
              <w:pStyle w:val="33"/>
              <w:rPr>
                <w:color w:val="auto"/>
              </w:rPr>
            </w:pPr>
          </w:p>
        </w:tc>
        <w:tc>
          <w:tcPr>
            <w:tcW w:w="846" w:type="pct"/>
            <w:vAlign w:val="center"/>
          </w:tcPr>
          <w:p w14:paraId="1FAC2F5E">
            <w:pPr>
              <w:pStyle w:val="33"/>
              <w:rPr>
                <w:color w:val="auto"/>
              </w:rPr>
            </w:pPr>
            <w:r>
              <w:rPr>
                <w:color w:val="auto"/>
              </w:rPr>
              <w:t>Pi值</w:t>
            </w:r>
          </w:p>
        </w:tc>
        <w:tc>
          <w:tcPr>
            <w:tcW w:w="731" w:type="pct"/>
            <w:vAlign w:val="center"/>
          </w:tcPr>
          <w:p w14:paraId="2BA1F6B3">
            <w:pPr>
              <w:pStyle w:val="33"/>
              <w:rPr>
                <w:color w:val="auto"/>
              </w:rPr>
            </w:pPr>
          </w:p>
        </w:tc>
        <w:tc>
          <w:tcPr>
            <w:tcW w:w="741" w:type="pct"/>
            <w:vAlign w:val="center"/>
          </w:tcPr>
          <w:p w14:paraId="7F820ACA">
            <w:pPr>
              <w:pStyle w:val="33"/>
              <w:rPr>
                <w:color w:val="auto"/>
              </w:rPr>
            </w:pPr>
          </w:p>
        </w:tc>
        <w:tc>
          <w:tcPr>
            <w:tcW w:w="741" w:type="pct"/>
            <w:vAlign w:val="center"/>
          </w:tcPr>
          <w:p w14:paraId="3AE4D873">
            <w:pPr>
              <w:pStyle w:val="33"/>
              <w:rPr>
                <w:color w:val="auto"/>
              </w:rPr>
            </w:pPr>
          </w:p>
        </w:tc>
      </w:tr>
      <w:tr w14:paraId="3046E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5E5719B">
            <w:pPr>
              <w:pStyle w:val="33"/>
              <w:rPr>
                <w:color w:val="auto"/>
              </w:rPr>
            </w:pPr>
          </w:p>
        </w:tc>
        <w:tc>
          <w:tcPr>
            <w:tcW w:w="668" w:type="pct"/>
            <w:vMerge w:val="continue"/>
            <w:vAlign w:val="center"/>
          </w:tcPr>
          <w:p w14:paraId="0E441277">
            <w:pPr>
              <w:pStyle w:val="33"/>
              <w:rPr>
                <w:color w:val="auto"/>
              </w:rPr>
            </w:pPr>
          </w:p>
        </w:tc>
        <w:tc>
          <w:tcPr>
            <w:tcW w:w="711" w:type="pct"/>
            <w:vMerge w:val="continue"/>
            <w:vAlign w:val="center"/>
          </w:tcPr>
          <w:p w14:paraId="648519D3">
            <w:pPr>
              <w:pStyle w:val="33"/>
              <w:rPr>
                <w:color w:val="auto"/>
              </w:rPr>
            </w:pPr>
          </w:p>
        </w:tc>
        <w:tc>
          <w:tcPr>
            <w:tcW w:w="846" w:type="pct"/>
            <w:vAlign w:val="center"/>
          </w:tcPr>
          <w:p w14:paraId="613C8F23">
            <w:pPr>
              <w:pStyle w:val="33"/>
              <w:rPr>
                <w:color w:val="auto"/>
              </w:rPr>
            </w:pPr>
            <w:r>
              <w:rPr>
                <w:color w:val="auto"/>
              </w:rPr>
              <w:t>超标率</w:t>
            </w:r>
          </w:p>
        </w:tc>
        <w:tc>
          <w:tcPr>
            <w:tcW w:w="731" w:type="pct"/>
            <w:vAlign w:val="center"/>
          </w:tcPr>
          <w:p w14:paraId="6B4C2999">
            <w:pPr>
              <w:pStyle w:val="33"/>
              <w:rPr>
                <w:color w:val="auto"/>
              </w:rPr>
            </w:pPr>
          </w:p>
        </w:tc>
        <w:tc>
          <w:tcPr>
            <w:tcW w:w="741" w:type="pct"/>
            <w:vAlign w:val="center"/>
          </w:tcPr>
          <w:p w14:paraId="63E4C465">
            <w:pPr>
              <w:pStyle w:val="33"/>
              <w:rPr>
                <w:color w:val="auto"/>
              </w:rPr>
            </w:pPr>
          </w:p>
        </w:tc>
        <w:tc>
          <w:tcPr>
            <w:tcW w:w="741" w:type="pct"/>
            <w:vAlign w:val="center"/>
          </w:tcPr>
          <w:p w14:paraId="5A4F5398">
            <w:pPr>
              <w:pStyle w:val="33"/>
              <w:rPr>
                <w:color w:val="auto"/>
              </w:rPr>
            </w:pPr>
          </w:p>
        </w:tc>
      </w:tr>
      <w:tr w14:paraId="0B8CD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B07A47D">
            <w:pPr>
              <w:pStyle w:val="33"/>
              <w:rPr>
                <w:color w:val="auto"/>
              </w:rPr>
            </w:pPr>
          </w:p>
        </w:tc>
        <w:tc>
          <w:tcPr>
            <w:tcW w:w="668" w:type="pct"/>
            <w:vMerge w:val="continue"/>
            <w:vAlign w:val="center"/>
          </w:tcPr>
          <w:p w14:paraId="5F3E0D26">
            <w:pPr>
              <w:pStyle w:val="33"/>
              <w:rPr>
                <w:color w:val="auto"/>
              </w:rPr>
            </w:pPr>
          </w:p>
        </w:tc>
        <w:tc>
          <w:tcPr>
            <w:tcW w:w="711" w:type="pct"/>
            <w:vMerge w:val="continue"/>
            <w:vAlign w:val="center"/>
          </w:tcPr>
          <w:p w14:paraId="6A8B5E6B">
            <w:pPr>
              <w:pStyle w:val="33"/>
              <w:rPr>
                <w:color w:val="auto"/>
              </w:rPr>
            </w:pPr>
          </w:p>
        </w:tc>
        <w:tc>
          <w:tcPr>
            <w:tcW w:w="846" w:type="pct"/>
            <w:vAlign w:val="center"/>
          </w:tcPr>
          <w:p w14:paraId="7FB2131F">
            <w:pPr>
              <w:pStyle w:val="33"/>
              <w:rPr>
                <w:color w:val="auto"/>
              </w:rPr>
            </w:pPr>
            <w:r>
              <w:rPr>
                <w:color w:val="auto"/>
              </w:rPr>
              <w:t>最大超标倍数</w:t>
            </w:r>
          </w:p>
        </w:tc>
        <w:tc>
          <w:tcPr>
            <w:tcW w:w="731" w:type="pct"/>
            <w:vAlign w:val="center"/>
          </w:tcPr>
          <w:p w14:paraId="6D948DCF">
            <w:pPr>
              <w:pStyle w:val="33"/>
              <w:rPr>
                <w:color w:val="auto"/>
              </w:rPr>
            </w:pPr>
          </w:p>
        </w:tc>
        <w:tc>
          <w:tcPr>
            <w:tcW w:w="741" w:type="pct"/>
            <w:vAlign w:val="center"/>
          </w:tcPr>
          <w:p w14:paraId="771140A5">
            <w:pPr>
              <w:pStyle w:val="33"/>
              <w:rPr>
                <w:color w:val="auto"/>
              </w:rPr>
            </w:pPr>
          </w:p>
        </w:tc>
        <w:tc>
          <w:tcPr>
            <w:tcW w:w="741" w:type="pct"/>
            <w:vAlign w:val="center"/>
          </w:tcPr>
          <w:p w14:paraId="6BEA0348">
            <w:pPr>
              <w:pStyle w:val="33"/>
              <w:rPr>
                <w:color w:val="auto"/>
              </w:rPr>
            </w:pPr>
          </w:p>
        </w:tc>
      </w:tr>
      <w:tr w14:paraId="5E66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6639B88">
            <w:pPr>
              <w:pStyle w:val="33"/>
              <w:rPr>
                <w:color w:val="auto"/>
              </w:rPr>
            </w:pPr>
          </w:p>
        </w:tc>
        <w:tc>
          <w:tcPr>
            <w:tcW w:w="668" w:type="pct"/>
            <w:vMerge w:val="restart"/>
            <w:vAlign w:val="center"/>
          </w:tcPr>
          <w:p w14:paraId="265288D3">
            <w:pPr>
              <w:pStyle w:val="33"/>
              <w:rPr>
                <w:color w:val="auto"/>
              </w:rPr>
            </w:pPr>
            <w:r>
              <w:rPr>
                <w:color w:val="auto"/>
              </w:rPr>
              <w:t>铅</w:t>
            </w:r>
          </w:p>
        </w:tc>
        <w:tc>
          <w:tcPr>
            <w:tcW w:w="711" w:type="pct"/>
            <w:vMerge w:val="restart"/>
            <w:vAlign w:val="center"/>
          </w:tcPr>
          <w:p w14:paraId="4757C704">
            <w:pPr>
              <w:pStyle w:val="33"/>
              <w:rPr>
                <w:color w:val="auto"/>
              </w:rPr>
            </w:pPr>
            <w:r>
              <w:rPr>
                <w:color w:val="auto"/>
              </w:rPr>
              <w:t>0.005</w:t>
            </w:r>
          </w:p>
        </w:tc>
        <w:tc>
          <w:tcPr>
            <w:tcW w:w="846" w:type="pct"/>
            <w:vAlign w:val="center"/>
          </w:tcPr>
          <w:p w14:paraId="0D7ABF6B">
            <w:pPr>
              <w:pStyle w:val="33"/>
              <w:rPr>
                <w:color w:val="auto"/>
              </w:rPr>
            </w:pPr>
            <w:r>
              <w:rPr>
                <w:color w:val="auto"/>
              </w:rPr>
              <w:t>监测值</w:t>
            </w:r>
          </w:p>
        </w:tc>
        <w:tc>
          <w:tcPr>
            <w:tcW w:w="731" w:type="pct"/>
            <w:vAlign w:val="center"/>
          </w:tcPr>
          <w:p w14:paraId="390E32FB">
            <w:pPr>
              <w:pStyle w:val="33"/>
              <w:rPr>
                <w:color w:val="auto"/>
              </w:rPr>
            </w:pPr>
          </w:p>
        </w:tc>
        <w:tc>
          <w:tcPr>
            <w:tcW w:w="741" w:type="pct"/>
            <w:vAlign w:val="center"/>
          </w:tcPr>
          <w:p w14:paraId="70C6891E">
            <w:pPr>
              <w:pStyle w:val="33"/>
              <w:rPr>
                <w:color w:val="auto"/>
              </w:rPr>
            </w:pPr>
          </w:p>
        </w:tc>
        <w:tc>
          <w:tcPr>
            <w:tcW w:w="741" w:type="pct"/>
            <w:vAlign w:val="center"/>
          </w:tcPr>
          <w:p w14:paraId="0B873E1C">
            <w:pPr>
              <w:pStyle w:val="33"/>
              <w:rPr>
                <w:color w:val="auto"/>
              </w:rPr>
            </w:pPr>
          </w:p>
        </w:tc>
      </w:tr>
      <w:tr w14:paraId="4DE50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BB7FFE8">
            <w:pPr>
              <w:pStyle w:val="33"/>
              <w:rPr>
                <w:color w:val="auto"/>
              </w:rPr>
            </w:pPr>
          </w:p>
        </w:tc>
        <w:tc>
          <w:tcPr>
            <w:tcW w:w="668" w:type="pct"/>
            <w:vMerge w:val="continue"/>
            <w:vAlign w:val="center"/>
          </w:tcPr>
          <w:p w14:paraId="7CE139C6">
            <w:pPr>
              <w:pStyle w:val="33"/>
              <w:rPr>
                <w:color w:val="auto"/>
              </w:rPr>
            </w:pPr>
          </w:p>
        </w:tc>
        <w:tc>
          <w:tcPr>
            <w:tcW w:w="711" w:type="pct"/>
            <w:vMerge w:val="continue"/>
            <w:vAlign w:val="center"/>
          </w:tcPr>
          <w:p w14:paraId="6772609B">
            <w:pPr>
              <w:pStyle w:val="33"/>
              <w:rPr>
                <w:color w:val="auto"/>
              </w:rPr>
            </w:pPr>
          </w:p>
        </w:tc>
        <w:tc>
          <w:tcPr>
            <w:tcW w:w="846" w:type="pct"/>
            <w:vAlign w:val="center"/>
          </w:tcPr>
          <w:p w14:paraId="29F107EE">
            <w:pPr>
              <w:pStyle w:val="33"/>
              <w:rPr>
                <w:color w:val="auto"/>
              </w:rPr>
            </w:pPr>
            <w:r>
              <w:rPr>
                <w:color w:val="auto"/>
              </w:rPr>
              <w:t>Pi值</w:t>
            </w:r>
          </w:p>
        </w:tc>
        <w:tc>
          <w:tcPr>
            <w:tcW w:w="731" w:type="pct"/>
            <w:vAlign w:val="center"/>
          </w:tcPr>
          <w:p w14:paraId="1ECA0556">
            <w:pPr>
              <w:pStyle w:val="33"/>
              <w:rPr>
                <w:color w:val="auto"/>
              </w:rPr>
            </w:pPr>
          </w:p>
        </w:tc>
        <w:tc>
          <w:tcPr>
            <w:tcW w:w="741" w:type="pct"/>
            <w:vAlign w:val="center"/>
          </w:tcPr>
          <w:p w14:paraId="473B7FD8">
            <w:pPr>
              <w:pStyle w:val="33"/>
              <w:rPr>
                <w:color w:val="auto"/>
              </w:rPr>
            </w:pPr>
          </w:p>
        </w:tc>
        <w:tc>
          <w:tcPr>
            <w:tcW w:w="741" w:type="pct"/>
            <w:vAlign w:val="center"/>
          </w:tcPr>
          <w:p w14:paraId="50A465DF">
            <w:pPr>
              <w:pStyle w:val="33"/>
              <w:rPr>
                <w:color w:val="auto"/>
              </w:rPr>
            </w:pPr>
          </w:p>
        </w:tc>
      </w:tr>
      <w:tr w14:paraId="634A7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602E37C">
            <w:pPr>
              <w:pStyle w:val="33"/>
              <w:rPr>
                <w:color w:val="auto"/>
              </w:rPr>
            </w:pPr>
          </w:p>
        </w:tc>
        <w:tc>
          <w:tcPr>
            <w:tcW w:w="668" w:type="pct"/>
            <w:vMerge w:val="continue"/>
            <w:vAlign w:val="center"/>
          </w:tcPr>
          <w:p w14:paraId="17DDE8BC">
            <w:pPr>
              <w:pStyle w:val="33"/>
              <w:rPr>
                <w:color w:val="auto"/>
              </w:rPr>
            </w:pPr>
          </w:p>
        </w:tc>
        <w:tc>
          <w:tcPr>
            <w:tcW w:w="711" w:type="pct"/>
            <w:vMerge w:val="continue"/>
            <w:vAlign w:val="center"/>
          </w:tcPr>
          <w:p w14:paraId="37364239">
            <w:pPr>
              <w:pStyle w:val="33"/>
              <w:rPr>
                <w:color w:val="auto"/>
              </w:rPr>
            </w:pPr>
          </w:p>
        </w:tc>
        <w:tc>
          <w:tcPr>
            <w:tcW w:w="846" w:type="pct"/>
            <w:vAlign w:val="center"/>
          </w:tcPr>
          <w:p w14:paraId="37975AF3">
            <w:pPr>
              <w:pStyle w:val="33"/>
              <w:rPr>
                <w:color w:val="auto"/>
              </w:rPr>
            </w:pPr>
            <w:r>
              <w:rPr>
                <w:color w:val="auto"/>
              </w:rPr>
              <w:t>超标率</w:t>
            </w:r>
          </w:p>
        </w:tc>
        <w:tc>
          <w:tcPr>
            <w:tcW w:w="731" w:type="pct"/>
            <w:vAlign w:val="center"/>
          </w:tcPr>
          <w:p w14:paraId="4488F8BD">
            <w:pPr>
              <w:pStyle w:val="33"/>
              <w:rPr>
                <w:color w:val="auto"/>
              </w:rPr>
            </w:pPr>
          </w:p>
        </w:tc>
        <w:tc>
          <w:tcPr>
            <w:tcW w:w="741" w:type="pct"/>
            <w:vAlign w:val="center"/>
          </w:tcPr>
          <w:p w14:paraId="55BB4A0B">
            <w:pPr>
              <w:pStyle w:val="33"/>
              <w:rPr>
                <w:color w:val="auto"/>
              </w:rPr>
            </w:pPr>
          </w:p>
        </w:tc>
        <w:tc>
          <w:tcPr>
            <w:tcW w:w="741" w:type="pct"/>
            <w:vAlign w:val="center"/>
          </w:tcPr>
          <w:p w14:paraId="0D146A9B">
            <w:pPr>
              <w:pStyle w:val="33"/>
              <w:rPr>
                <w:color w:val="auto"/>
              </w:rPr>
            </w:pPr>
          </w:p>
        </w:tc>
      </w:tr>
      <w:tr w14:paraId="494F9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9E8C11B">
            <w:pPr>
              <w:pStyle w:val="33"/>
              <w:rPr>
                <w:color w:val="auto"/>
              </w:rPr>
            </w:pPr>
          </w:p>
        </w:tc>
        <w:tc>
          <w:tcPr>
            <w:tcW w:w="668" w:type="pct"/>
            <w:vMerge w:val="continue"/>
            <w:vAlign w:val="center"/>
          </w:tcPr>
          <w:p w14:paraId="3144FC81">
            <w:pPr>
              <w:pStyle w:val="33"/>
              <w:rPr>
                <w:color w:val="auto"/>
              </w:rPr>
            </w:pPr>
          </w:p>
        </w:tc>
        <w:tc>
          <w:tcPr>
            <w:tcW w:w="711" w:type="pct"/>
            <w:vMerge w:val="continue"/>
            <w:vAlign w:val="center"/>
          </w:tcPr>
          <w:p w14:paraId="3E97B695">
            <w:pPr>
              <w:pStyle w:val="33"/>
              <w:rPr>
                <w:color w:val="auto"/>
              </w:rPr>
            </w:pPr>
          </w:p>
        </w:tc>
        <w:tc>
          <w:tcPr>
            <w:tcW w:w="846" w:type="pct"/>
            <w:vAlign w:val="center"/>
          </w:tcPr>
          <w:p w14:paraId="5D44442D">
            <w:pPr>
              <w:pStyle w:val="33"/>
              <w:rPr>
                <w:color w:val="auto"/>
              </w:rPr>
            </w:pPr>
            <w:r>
              <w:rPr>
                <w:color w:val="auto"/>
              </w:rPr>
              <w:t>最大超标倍数</w:t>
            </w:r>
          </w:p>
        </w:tc>
        <w:tc>
          <w:tcPr>
            <w:tcW w:w="731" w:type="pct"/>
            <w:vAlign w:val="center"/>
          </w:tcPr>
          <w:p w14:paraId="1EF84838">
            <w:pPr>
              <w:pStyle w:val="33"/>
              <w:rPr>
                <w:color w:val="auto"/>
              </w:rPr>
            </w:pPr>
          </w:p>
        </w:tc>
        <w:tc>
          <w:tcPr>
            <w:tcW w:w="741" w:type="pct"/>
            <w:vAlign w:val="center"/>
          </w:tcPr>
          <w:p w14:paraId="35F745F7">
            <w:pPr>
              <w:pStyle w:val="33"/>
              <w:rPr>
                <w:color w:val="auto"/>
              </w:rPr>
            </w:pPr>
          </w:p>
        </w:tc>
        <w:tc>
          <w:tcPr>
            <w:tcW w:w="741" w:type="pct"/>
            <w:vAlign w:val="center"/>
          </w:tcPr>
          <w:p w14:paraId="6A43E25B">
            <w:pPr>
              <w:pStyle w:val="33"/>
              <w:rPr>
                <w:color w:val="auto"/>
              </w:rPr>
            </w:pPr>
          </w:p>
        </w:tc>
      </w:tr>
      <w:tr w14:paraId="41C35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E653B55">
            <w:pPr>
              <w:pStyle w:val="33"/>
              <w:rPr>
                <w:color w:val="auto"/>
              </w:rPr>
            </w:pPr>
          </w:p>
        </w:tc>
        <w:tc>
          <w:tcPr>
            <w:tcW w:w="668" w:type="pct"/>
            <w:vMerge w:val="restart"/>
            <w:vAlign w:val="center"/>
          </w:tcPr>
          <w:p w14:paraId="5CA1E366">
            <w:pPr>
              <w:pStyle w:val="33"/>
              <w:rPr>
                <w:color w:val="auto"/>
              </w:rPr>
            </w:pPr>
            <w:r>
              <w:rPr>
                <w:color w:val="auto"/>
              </w:rPr>
              <w:t>镉</w:t>
            </w:r>
          </w:p>
        </w:tc>
        <w:tc>
          <w:tcPr>
            <w:tcW w:w="711" w:type="pct"/>
            <w:vMerge w:val="restart"/>
            <w:vAlign w:val="center"/>
          </w:tcPr>
          <w:p w14:paraId="499DB0BF">
            <w:pPr>
              <w:pStyle w:val="33"/>
              <w:rPr>
                <w:color w:val="auto"/>
              </w:rPr>
            </w:pPr>
            <w:r>
              <w:rPr>
                <w:color w:val="auto"/>
              </w:rPr>
              <w:t>0.005</w:t>
            </w:r>
          </w:p>
        </w:tc>
        <w:tc>
          <w:tcPr>
            <w:tcW w:w="846" w:type="pct"/>
            <w:vAlign w:val="center"/>
          </w:tcPr>
          <w:p w14:paraId="4192706B">
            <w:pPr>
              <w:pStyle w:val="33"/>
              <w:rPr>
                <w:color w:val="auto"/>
              </w:rPr>
            </w:pPr>
            <w:r>
              <w:rPr>
                <w:color w:val="auto"/>
              </w:rPr>
              <w:t>监测值</w:t>
            </w:r>
          </w:p>
        </w:tc>
        <w:tc>
          <w:tcPr>
            <w:tcW w:w="731" w:type="pct"/>
            <w:vAlign w:val="center"/>
          </w:tcPr>
          <w:p w14:paraId="29EF9B54">
            <w:pPr>
              <w:pStyle w:val="33"/>
              <w:rPr>
                <w:color w:val="auto"/>
              </w:rPr>
            </w:pPr>
          </w:p>
        </w:tc>
        <w:tc>
          <w:tcPr>
            <w:tcW w:w="741" w:type="pct"/>
            <w:vAlign w:val="center"/>
          </w:tcPr>
          <w:p w14:paraId="6826B2EA">
            <w:pPr>
              <w:pStyle w:val="33"/>
              <w:rPr>
                <w:color w:val="auto"/>
              </w:rPr>
            </w:pPr>
          </w:p>
        </w:tc>
        <w:tc>
          <w:tcPr>
            <w:tcW w:w="741" w:type="pct"/>
            <w:vAlign w:val="center"/>
          </w:tcPr>
          <w:p w14:paraId="2FAAAD33">
            <w:pPr>
              <w:pStyle w:val="33"/>
              <w:rPr>
                <w:color w:val="auto"/>
              </w:rPr>
            </w:pPr>
          </w:p>
        </w:tc>
      </w:tr>
      <w:tr w14:paraId="52941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2" w:hRule="atLeast"/>
          <w:jc w:val="center"/>
        </w:trPr>
        <w:tc>
          <w:tcPr>
            <w:tcW w:w="562" w:type="pct"/>
            <w:vMerge w:val="continue"/>
            <w:vAlign w:val="center"/>
          </w:tcPr>
          <w:p w14:paraId="7CF30EB7">
            <w:pPr>
              <w:pStyle w:val="33"/>
              <w:rPr>
                <w:color w:val="auto"/>
              </w:rPr>
            </w:pPr>
          </w:p>
        </w:tc>
        <w:tc>
          <w:tcPr>
            <w:tcW w:w="668" w:type="pct"/>
            <w:vMerge w:val="continue"/>
            <w:vAlign w:val="center"/>
          </w:tcPr>
          <w:p w14:paraId="13887DBE">
            <w:pPr>
              <w:pStyle w:val="33"/>
              <w:rPr>
                <w:color w:val="auto"/>
              </w:rPr>
            </w:pPr>
          </w:p>
        </w:tc>
        <w:tc>
          <w:tcPr>
            <w:tcW w:w="711" w:type="pct"/>
            <w:vMerge w:val="continue"/>
            <w:vAlign w:val="center"/>
          </w:tcPr>
          <w:p w14:paraId="764C8DDA">
            <w:pPr>
              <w:pStyle w:val="33"/>
              <w:rPr>
                <w:color w:val="auto"/>
              </w:rPr>
            </w:pPr>
          </w:p>
        </w:tc>
        <w:tc>
          <w:tcPr>
            <w:tcW w:w="846" w:type="pct"/>
            <w:vAlign w:val="center"/>
          </w:tcPr>
          <w:p w14:paraId="71EAEE5C">
            <w:pPr>
              <w:pStyle w:val="33"/>
              <w:rPr>
                <w:color w:val="auto"/>
              </w:rPr>
            </w:pPr>
            <w:r>
              <w:rPr>
                <w:color w:val="auto"/>
              </w:rPr>
              <w:t>Pi值</w:t>
            </w:r>
          </w:p>
        </w:tc>
        <w:tc>
          <w:tcPr>
            <w:tcW w:w="731" w:type="pct"/>
            <w:vAlign w:val="center"/>
          </w:tcPr>
          <w:p w14:paraId="5CC73D86">
            <w:pPr>
              <w:pStyle w:val="33"/>
              <w:rPr>
                <w:color w:val="auto"/>
              </w:rPr>
            </w:pPr>
          </w:p>
        </w:tc>
        <w:tc>
          <w:tcPr>
            <w:tcW w:w="741" w:type="pct"/>
            <w:vAlign w:val="center"/>
          </w:tcPr>
          <w:p w14:paraId="6290327E">
            <w:pPr>
              <w:pStyle w:val="33"/>
              <w:rPr>
                <w:color w:val="auto"/>
              </w:rPr>
            </w:pPr>
          </w:p>
        </w:tc>
        <w:tc>
          <w:tcPr>
            <w:tcW w:w="741" w:type="pct"/>
            <w:vAlign w:val="center"/>
          </w:tcPr>
          <w:p w14:paraId="50EDEC6E">
            <w:pPr>
              <w:pStyle w:val="33"/>
              <w:rPr>
                <w:color w:val="auto"/>
              </w:rPr>
            </w:pPr>
          </w:p>
        </w:tc>
      </w:tr>
      <w:tr w14:paraId="3D89A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174D6232">
            <w:pPr>
              <w:pStyle w:val="33"/>
              <w:rPr>
                <w:color w:val="auto"/>
              </w:rPr>
            </w:pPr>
          </w:p>
        </w:tc>
        <w:tc>
          <w:tcPr>
            <w:tcW w:w="668" w:type="pct"/>
            <w:vMerge w:val="continue"/>
            <w:vAlign w:val="center"/>
          </w:tcPr>
          <w:p w14:paraId="0EBCE21F">
            <w:pPr>
              <w:pStyle w:val="33"/>
              <w:rPr>
                <w:color w:val="auto"/>
              </w:rPr>
            </w:pPr>
          </w:p>
        </w:tc>
        <w:tc>
          <w:tcPr>
            <w:tcW w:w="711" w:type="pct"/>
            <w:vMerge w:val="continue"/>
            <w:vAlign w:val="center"/>
          </w:tcPr>
          <w:p w14:paraId="7F3B7D73">
            <w:pPr>
              <w:pStyle w:val="33"/>
              <w:rPr>
                <w:color w:val="auto"/>
              </w:rPr>
            </w:pPr>
          </w:p>
        </w:tc>
        <w:tc>
          <w:tcPr>
            <w:tcW w:w="846" w:type="pct"/>
            <w:vAlign w:val="center"/>
          </w:tcPr>
          <w:p w14:paraId="28489BD7">
            <w:pPr>
              <w:pStyle w:val="33"/>
              <w:rPr>
                <w:color w:val="auto"/>
              </w:rPr>
            </w:pPr>
            <w:r>
              <w:rPr>
                <w:color w:val="auto"/>
              </w:rPr>
              <w:t>超标率</w:t>
            </w:r>
          </w:p>
        </w:tc>
        <w:tc>
          <w:tcPr>
            <w:tcW w:w="731" w:type="pct"/>
            <w:vAlign w:val="center"/>
          </w:tcPr>
          <w:p w14:paraId="048F52B6">
            <w:pPr>
              <w:pStyle w:val="33"/>
              <w:rPr>
                <w:color w:val="auto"/>
              </w:rPr>
            </w:pPr>
          </w:p>
        </w:tc>
        <w:tc>
          <w:tcPr>
            <w:tcW w:w="741" w:type="pct"/>
            <w:vAlign w:val="center"/>
          </w:tcPr>
          <w:p w14:paraId="0964CE29">
            <w:pPr>
              <w:pStyle w:val="33"/>
              <w:rPr>
                <w:color w:val="auto"/>
              </w:rPr>
            </w:pPr>
          </w:p>
        </w:tc>
        <w:tc>
          <w:tcPr>
            <w:tcW w:w="741" w:type="pct"/>
            <w:vAlign w:val="center"/>
          </w:tcPr>
          <w:p w14:paraId="7B45BDA7">
            <w:pPr>
              <w:pStyle w:val="33"/>
              <w:rPr>
                <w:color w:val="auto"/>
              </w:rPr>
            </w:pPr>
          </w:p>
        </w:tc>
      </w:tr>
      <w:tr w14:paraId="5AE90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62" w:type="pct"/>
            <w:vMerge w:val="continue"/>
            <w:vAlign w:val="center"/>
          </w:tcPr>
          <w:p w14:paraId="6543FA4F">
            <w:pPr>
              <w:pStyle w:val="33"/>
              <w:rPr>
                <w:color w:val="auto"/>
              </w:rPr>
            </w:pPr>
          </w:p>
        </w:tc>
        <w:tc>
          <w:tcPr>
            <w:tcW w:w="668" w:type="pct"/>
            <w:vMerge w:val="continue"/>
            <w:vAlign w:val="center"/>
          </w:tcPr>
          <w:p w14:paraId="7BE6848F">
            <w:pPr>
              <w:pStyle w:val="33"/>
              <w:rPr>
                <w:color w:val="auto"/>
              </w:rPr>
            </w:pPr>
          </w:p>
        </w:tc>
        <w:tc>
          <w:tcPr>
            <w:tcW w:w="711" w:type="pct"/>
            <w:vMerge w:val="continue"/>
            <w:vAlign w:val="center"/>
          </w:tcPr>
          <w:p w14:paraId="55785650">
            <w:pPr>
              <w:pStyle w:val="33"/>
              <w:rPr>
                <w:color w:val="auto"/>
              </w:rPr>
            </w:pPr>
          </w:p>
        </w:tc>
        <w:tc>
          <w:tcPr>
            <w:tcW w:w="846" w:type="pct"/>
            <w:vAlign w:val="center"/>
          </w:tcPr>
          <w:p w14:paraId="0494185A">
            <w:pPr>
              <w:pStyle w:val="33"/>
              <w:rPr>
                <w:color w:val="auto"/>
              </w:rPr>
            </w:pPr>
            <w:r>
              <w:rPr>
                <w:color w:val="auto"/>
              </w:rPr>
              <w:t>最大超标倍数</w:t>
            </w:r>
          </w:p>
        </w:tc>
        <w:tc>
          <w:tcPr>
            <w:tcW w:w="731" w:type="pct"/>
            <w:vAlign w:val="center"/>
          </w:tcPr>
          <w:p w14:paraId="4076EDA4">
            <w:pPr>
              <w:pStyle w:val="33"/>
              <w:rPr>
                <w:color w:val="auto"/>
              </w:rPr>
            </w:pPr>
          </w:p>
        </w:tc>
        <w:tc>
          <w:tcPr>
            <w:tcW w:w="741" w:type="pct"/>
            <w:vAlign w:val="center"/>
          </w:tcPr>
          <w:p w14:paraId="2D878838">
            <w:pPr>
              <w:pStyle w:val="33"/>
              <w:rPr>
                <w:color w:val="auto"/>
              </w:rPr>
            </w:pPr>
          </w:p>
        </w:tc>
        <w:tc>
          <w:tcPr>
            <w:tcW w:w="741" w:type="pct"/>
            <w:vAlign w:val="center"/>
          </w:tcPr>
          <w:p w14:paraId="43818570">
            <w:pPr>
              <w:pStyle w:val="33"/>
              <w:rPr>
                <w:color w:val="auto"/>
              </w:rPr>
            </w:pPr>
          </w:p>
        </w:tc>
      </w:tr>
      <w:tr w14:paraId="346B0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82EF88F">
            <w:pPr>
              <w:pStyle w:val="33"/>
              <w:rPr>
                <w:color w:val="auto"/>
              </w:rPr>
            </w:pPr>
          </w:p>
        </w:tc>
        <w:tc>
          <w:tcPr>
            <w:tcW w:w="668" w:type="pct"/>
            <w:vMerge w:val="restart"/>
            <w:vAlign w:val="center"/>
          </w:tcPr>
          <w:p w14:paraId="7D0249E8">
            <w:pPr>
              <w:pStyle w:val="33"/>
              <w:rPr>
                <w:color w:val="auto"/>
              </w:rPr>
            </w:pPr>
            <w:r>
              <w:rPr>
                <w:color w:val="auto"/>
              </w:rPr>
              <w:t>汞</w:t>
            </w:r>
          </w:p>
        </w:tc>
        <w:tc>
          <w:tcPr>
            <w:tcW w:w="711" w:type="pct"/>
            <w:vMerge w:val="restart"/>
            <w:vAlign w:val="center"/>
          </w:tcPr>
          <w:p w14:paraId="5BDA3FD1">
            <w:pPr>
              <w:pStyle w:val="33"/>
              <w:rPr>
                <w:color w:val="auto"/>
              </w:rPr>
            </w:pPr>
            <w:r>
              <w:rPr>
                <w:color w:val="auto"/>
              </w:rPr>
              <w:t>0.0002</w:t>
            </w:r>
          </w:p>
        </w:tc>
        <w:tc>
          <w:tcPr>
            <w:tcW w:w="846" w:type="pct"/>
            <w:vAlign w:val="center"/>
          </w:tcPr>
          <w:p w14:paraId="5ECF1C8D">
            <w:pPr>
              <w:pStyle w:val="33"/>
              <w:rPr>
                <w:color w:val="auto"/>
              </w:rPr>
            </w:pPr>
            <w:r>
              <w:rPr>
                <w:color w:val="auto"/>
              </w:rPr>
              <w:t>监测值</w:t>
            </w:r>
          </w:p>
        </w:tc>
        <w:tc>
          <w:tcPr>
            <w:tcW w:w="731" w:type="pct"/>
            <w:vAlign w:val="center"/>
          </w:tcPr>
          <w:p w14:paraId="4A872F14">
            <w:pPr>
              <w:pStyle w:val="33"/>
              <w:rPr>
                <w:color w:val="auto"/>
              </w:rPr>
            </w:pPr>
          </w:p>
        </w:tc>
        <w:tc>
          <w:tcPr>
            <w:tcW w:w="741" w:type="pct"/>
            <w:vAlign w:val="center"/>
          </w:tcPr>
          <w:p w14:paraId="3F25F4A6">
            <w:pPr>
              <w:pStyle w:val="33"/>
              <w:rPr>
                <w:color w:val="auto"/>
              </w:rPr>
            </w:pPr>
          </w:p>
        </w:tc>
        <w:tc>
          <w:tcPr>
            <w:tcW w:w="741" w:type="pct"/>
            <w:vAlign w:val="center"/>
          </w:tcPr>
          <w:p w14:paraId="2E274ABD">
            <w:pPr>
              <w:pStyle w:val="33"/>
              <w:rPr>
                <w:color w:val="auto"/>
              </w:rPr>
            </w:pPr>
          </w:p>
        </w:tc>
      </w:tr>
      <w:tr w14:paraId="34346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89CA73F">
            <w:pPr>
              <w:pStyle w:val="33"/>
              <w:rPr>
                <w:color w:val="auto"/>
              </w:rPr>
            </w:pPr>
          </w:p>
        </w:tc>
        <w:tc>
          <w:tcPr>
            <w:tcW w:w="668" w:type="pct"/>
            <w:vMerge w:val="continue"/>
            <w:vAlign w:val="center"/>
          </w:tcPr>
          <w:p w14:paraId="7CC8D5CE">
            <w:pPr>
              <w:pStyle w:val="33"/>
              <w:rPr>
                <w:color w:val="auto"/>
              </w:rPr>
            </w:pPr>
          </w:p>
        </w:tc>
        <w:tc>
          <w:tcPr>
            <w:tcW w:w="711" w:type="pct"/>
            <w:vMerge w:val="continue"/>
            <w:vAlign w:val="center"/>
          </w:tcPr>
          <w:p w14:paraId="3FBF2956">
            <w:pPr>
              <w:pStyle w:val="33"/>
              <w:rPr>
                <w:color w:val="auto"/>
              </w:rPr>
            </w:pPr>
          </w:p>
        </w:tc>
        <w:tc>
          <w:tcPr>
            <w:tcW w:w="846" w:type="pct"/>
            <w:vAlign w:val="center"/>
          </w:tcPr>
          <w:p w14:paraId="23A1987E">
            <w:pPr>
              <w:pStyle w:val="33"/>
              <w:rPr>
                <w:color w:val="auto"/>
              </w:rPr>
            </w:pPr>
            <w:r>
              <w:rPr>
                <w:color w:val="auto"/>
              </w:rPr>
              <w:t>Pi值</w:t>
            </w:r>
          </w:p>
        </w:tc>
        <w:tc>
          <w:tcPr>
            <w:tcW w:w="731" w:type="pct"/>
            <w:vAlign w:val="center"/>
          </w:tcPr>
          <w:p w14:paraId="0963E1DC">
            <w:pPr>
              <w:pStyle w:val="33"/>
              <w:rPr>
                <w:color w:val="auto"/>
              </w:rPr>
            </w:pPr>
          </w:p>
        </w:tc>
        <w:tc>
          <w:tcPr>
            <w:tcW w:w="741" w:type="pct"/>
            <w:vAlign w:val="center"/>
          </w:tcPr>
          <w:p w14:paraId="57DC5E5B">
            <w:pPr>
              <w:pStyle w:val="33"/>
              <w:rPr>
                <w:color w:val="auto"/>
              </w:rPr>
            </w:pPr>
          </w:p>
        </w:tc>
        <w:tc>
          <w:tcPr>
            <w:tcW w:w="741" w:type="pct"/>
            <w:vAlign w:val="center"/>
          </w:tcPr>
          <w:p w14:paraId="3C1CB40F">
            <w:pPr>
              <w:pStyle w:val="33"/>
              <w:rPr>
                <w:color w:val="auto"/>
              </w:rPr>
            </w:pPr>
          </w:p>
        </w:tc>
      </w:tr>
      <w:tr w14:paraId="5B5F2BA1">
        <w:tblPrEx>
          <w:tblCellMar>
            <w:top w:w="0" w:type="dxa"/>
            <w:left w:w="57" w:type="dxa"/>
            <w:bottom w:w="0" w:type="dxa"/>
            <w:right w:w="57" w:type="dxa"/>
          </w:tblCellMar>
        </w:tblPrEx>
        <w:trPr>
          <w:jc w:val="center"/>
        </w:trPr>
        <w:tc>
          <w:tcPr>
            <w:tcW w:w="562" w:type="pct"/>
            <w:vMerge w:val="continue"/>
            <w:vAlign w:val="center"/>
          </w:tcPr>
          <w:p w14:paraId="592AFA6C">
            <w:pPr>
              <w:pStyle w:val="33"/>
              <w:rPr>
                <w:color w:val="auto"/>
              </w:rPr>
            </w:pPr>
          </w:p>
        </w:tc>
        <w:tc>
          <w:tcPr>
            <w:tcW w:w="668" w:type="pct"/>
            <w:vMerge w:val="continue"/>
            <w:vAlign w:val="center"/>
          </w:tcPr>
          <w:p w14:paraId="60D5D886">
            <w:pPr>
              <w:pStyle w:val="33"/>
              <w:rPr>
                <w:color w:val="auto"/>
              </w:rPr>
            </w:pPr>
          </w:p>
        </w:tc>
        <w:tc>
          <w:tcPr>
            <w:tcW w:w="711" w:type="pct"/>
            <w:vMerge w:val="continue"/>
            <w:vAlign w:val="center"/>
          </w:tcPr>
          <w:p w14:paraId="06E07DFA">
            <w:pPr>
              <w:pStyle w:val="33"/>
              <w:rPr>
                <w:color w:val="auto"/>
              </w:rPr>
            </w:pPr>
          </w:p>
        </w:tc>
        <w:tc>
          <w:tcPr>
            <w:tcW w:w="846" w:type="pct"/>
            <w:vAlign w:val="center"/>
          </w:tcPr>
          <w:p w14:paraId="6D4D8582">
            <w:pPr>
              <w:pStyle w:val="33"/>
              <w:rPr>
                <w:color w:val="auto"/>
              </w:rPr>
            </w:pPr>
            <w:r>
              <w:rPr>
                <w:color w:val="auto"/>
              </w:rPr>
              <w:t>超标率</w:t>
            </w:r>
          </w:p>
        </w:tc>
        <w:tc>
          <w:tcPr>
            <w:tcW w:w="731" w:type="pct"/>
            <w:vAlign w:val="center"/>
          </w:tcPr>
          <w:p w14:paraId="5207B414">
            <w:pPr>
              <w:pStyle w:val="33"/>
              <w:rPr>
                <w:color w:val="auto"/>
              </w:rPr>
            </w:pPr>
          </w:p>
        </w:tc>
        <w:tc>
          <w:tcPr>
            <w:tcW w:w="741" w:type="pct"/>
            <w:vAlign w:val="center"/>
          </w:tcPr>
          <w:p w14:paraId="0C9433D1">
            <w:pPr>
              <w:pStyle w:val="33"/>
              <w:rPr>
                <w:color w:val="auto"/>
              </w:rPr>
            </w:pPr>
          </w:p>
        </w:tc>
        <w:tc>
          <w:tcPr>
            <w:tcW w:w="741" w:type="pct"/>
            <w:vAlign w:val="center"/>
          </w:tcPr>
          <w:p w14:paraId="2C949685">
            <w:pPr>
              <w:pStyle w:val="33"/>
              <w:rPr>
                <w:color w:val="auto"/>
              </w:rPr>
            </w:pPr>
          </w:p>
        </w:tc>
      </w:tr>
      <w:tr w14:paraId="0A468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6D19ABFB">
            <w:pPr>
              <w:pStyle w:val="33"/>
              <w:rPr>
                <w:color w:val="auto"/>
              </w:rPr>
            </w:pPr>
          </w:p>
        </w:tc>
        <w:tc>
          <w:tcPr>
            <w:tcW w:w="668" w:type="pct"/>
            <w:vMerge w:val="continue"/>
            <w:vAlign w:val="center"/>
          </w:tcPr>
          <w:p w14:paraId="0CE7BCFD">
            <w:pPr>
              <w:pStyle w:val="33"/>
              <w:rPr>
                <w:color w:val="auto"/>
              </w:rPr>
            </w:pPr>
          </w:p>
        </w:tc>
        <w:tc>
          <w:tcPr>
            <w:tcW w:w="711" w:type="pct"/>
            <w:vMerge w:val="continue"/>
            <w:vAlign w:val="center"/>
          </w:tcPr>
          <w:p w14:paraId="3149F2AE">
            <w:pPr>
              <w:pStyle w:val="33"/>
              <w:rPr>
                <w:color w:val="auto"/>
              </w:rPr>
            </w:pPr>
          </w:p>
        </w:tc>
        <w:tc>
          <w:tcPr>
            <w:tcW w:w="846" w:type="pct"/>
            <w:vAlign w:val="center"/>
          </w:tcPr>
          <w:p w14:paraId="7CEFBC99">
            <w:pPr>
              <w:pStyle w:val="33"/>
              <w:rPr>
                <w:color w:val="auto"/>
              </w:rPr>
            </w:pPr>
            <w:r>
              <w:rPr>
                <w:color w:val="auto"/>
              </w:rPr>
              <w:t>最大超标倍数</w:t>
            </w:r>
          </w:p>
        </w:tc>
        <w:tc>
          <w:tcPr>
            <w:tcW w:w="731" w:type="pct"/>
            <w:vAlign w:val="center"/>
          </w:tcPr>
          <w:p w14:paraId="14232D0D">
            <w:pPr>
              <w:pStyle w:val="33"/>
              <w:rPr>
                <w:color w:val="auto"/>
              </w:rPr>
            </w:pPr>
          </w:p>
        </w:tc>
        <w:tc>
          <w:tcPr>
            <w:tcW w:w="741" w:type="pct"/>
            <w:vAlign w:val="center"/>
          </w:tcPr>
          <w:p w14:paraId="2483FBC1">
            <w:pPr>
              <w:pStyle w:val="33"/>
              <w:rPr>
                <w:color w:val="auto"/>
              </w:rPr>
            </w:pPr>
          </w:p>
        </w:tc>
        <w:tc>
          <w:tcPr>
            <w:tcW w:w="741" w:type="pct"/>
            <w:vAlign w:val="center"/>
          </w:tcPr>
          <w:p w14:paraId="765DDF25">
            <w:pPr>
              <w:pStyle w:val="33"/>
              <w:rPr>
                <w:color w:val="auto"/>
              </w:rPr>
            </w:pPr>
          </w:p>
        </w:tc>
      </w:tr>
      <w:tr w14:paraId="5D220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F73A658">
            <w:pPr>
              <w:pStyle w:val="33"/>
              <w:rPr>
                <w:color w:val="auto"/>
              </w:rPr>
            </w:pPr>
          </w:p>
        </w:tc>
        <w:tc>
          <w:tcPr>
            <w:tcW w:w="668" w:type="pct"/>
            <w:vMerge w:val="restart"/>
            <w:vAlign w:val="center"/>
          </w:tcPr>
          <w:p w14:paraId="22C1593C">
            <w:pPr>
              <w:pStyle w:val="33"/>
              <w:rPr>
                <w:color w:val="auto"/>
              </w:rPr>
            </w:pPr>
            <w:r>
              <w:rPr>
                <w:color w:val="auto"/>
              </w:rPr>
              <w:t>锌</w:t>
            </w:r>
          </w:p>
        </w:tc>
        <w:tc>
          <w:tcPr>
            <w:tcW w:w="711" w:type="pct"/>
            <w:vMerge w:val="restart"/>
            <w:vAlign w:val="center"/>
          </w:tcPr>
          <w:p w14:paraId="6E890F69">
            <w:pPr>
              <w:pStyle w:val="33"/>
              <w:rPr>
                <w:color w:val="auto"/>
              </w:rPr>
            </w:pPr>
            <w:r>
              <w:rPr>
                <w:color w:val="auto"/>
              </w:rPr>
              <w:t>0.05</w:t>
            </w:r>
          </w:p>
        </w:tc>
        <w:tc>
          <w:tcPr>
            <w:tcW w:w="846" w:type="pct"/>
            <w:vAlign w:val="center"/>
          </w:tcPr>
          <w:p w14:paraId="1B212D54">
            <w:pPr>
              <w:pStyle w:val="33"/>
              <w:rPr>
                <w:color w:val="auto"/>
              </w:rPr>
            </w:pPr>
            <w:r>
              <w:rPr>
                <w:color w:val="auto"/>
              </w:rPr>
              <w:t>监测值</w:t>
            </w:r>
          </w:p>
        </w:tc>
        <w:tc>
          <w:tcPr>
            <w:tcW w:w="731" w:type="pct"/>
            <w:vAlign w:val="center"/>
          </w:tcPr>
          <w:p w14:paraId="62D49E7E">
            <w:pPr>
              <w:pStyle w:val="33"/>
              <w:rPr>
                <w:color w:val="auto"/>
              </w:rPr>
            </w:pPr>
          </w:p>
        </w:tc>
        <w:tc>
          <w:tcPr>
            <w:tcW w:w="741" w:type="pct"/>
            <w:vAlign w:val="center"/>
          </w:tcPr>
          <w:p w14:paraId="11D143B5">
            <w:pPr>
              <w:pStyle w:val="33"/>
              <w:rPr>
                <w:color w:val="auto"/>
              </w:rPr>
            </w:pPr>
          </w:p>
        </w:tc>
        <w:tc>
          <w:tcPr>
            <w:tcW w:w="741" w:type="pct"/>
            <w:vAlign w:val="center"/>
          </w:tcPr>
          <w:p w14:paraId="241F3ADE">
            <w:pPr>
              <w:pStyle w:val="33"/>
              <w:rPr>
                <w:color w:val="auto"/>
              </w:rPr>
            </w:pPr>
          </w:p>
        </w:tc>
      </w:tr>
      <w:tr w14:paraId="1B99D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E8F17EC">
            <w:pPr>
              <w:pStyle w:val="33"/>
              <w:rPr>
                <w:color w:val="auto"/>
              </w:rPr>
            </w:pPr>
          </w:p>
        </w:tc>
        <w:tc>
          <w:tcPr>
            <w:tcW w:w="668" w:type="pct"/>
            <w:vMerge w:val="continue"/>
            <w:vAlign w:val="center"/>
          </w:tcPr>
          <w:p w14:paraId="5295B3C4">
            <w:pPr>
              <w:pStyle w:val="33"/>
              <w:rPr>
                <w:color w:val="auto"/>
              </w:rPr>
            </w:pPr>
          </w:p>
        </w:tc>
        <w:tc>
          <w:tcPr>
            <w:tcW w:w="711" w:type="pct"/>
            <w:vMerge w:val="continue"/>
            <w:vAlign w:val="center"/>
          </w:tcPr>
          <w:p w14:paraId="541E49EF">
            <w:pPr>
              <w:pStyle w:val="33"/>
              <w:rPr>
                <w:color w:val="auto"/>
              </w:rPr>
            </w:pPr>
          </w:p>
        </w:tc>
        <w:tc>
          <w:tcPr>
            <w:tcW w:w="846" w:type="pct"/>
            <w:vAlign w:val="center"/>
          </w:tcPr>
          <w:p w14:paraId="29072699">
            <w:pPr>
              <w:pStyle w:val="33"/>
              <w:rPr>
                <w:color w:val="auto"/>
              </w:rPr>
            </w:pPr>
            <w:r>
              <w:rPr>
                <w:color w:val="auto"/>
              </w:rPr>
              <w:t>Pi值</w:t>
            </w:r>
          </w:p>
        </w:tc>
        <w:tc>
          <w:tcPr>
            <w:tcW w:w="731" w:type="pct"/>
            <w:vAlign w:val="center"/>
          </w:tcPr>
          <w:p w14:paraId="12608E15">
            <w:pPr>
              <w:pStyle w:val="33"/>
              <w:rPr>
                <w:color w:val="auto"/>
              </w:rPr>
            </w:pPr>
          </w:p>
        </w:tc>
        <w:tc>
          <w:tcPr>
            <w:tcW w:w="741" w:type="pct"/>
            <w:vAlign w:val="center"/>
          </w:tcPr>
          <w:p w14:paraId="1D376E95">
            <w:pPr>
              <w:pStyle w:val="33"/>
              <w:rPr>
                <w:color w:val="auto"/>
              </w:rPr>
            </w:pPr>
          </w:p>
        </w:tc>
        <w:tc>
          <w:tcPr>
            <w:tcW w:w="741" w:type="pct"/>
            <w:vAlign w:val="center"/>
          </w:tcPr>
          <w:p w14:paraId="729A1162">
            <w:pPr>
              <w:pStyle w:val="33"/>
              <w:rPr>
                <w:color w:val="auto"/>
              </w:rPr>
            </w:pPr>
          </w:p>
        </w:tc>
      </w:tr>
      <w:tr w14:paraId="3EA95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73A4DDB">
            <w:pPr>
              <w:pStyle w:val="33"/>
              <w:rPr>
                <w:color w:val="auto"/>
              </w:rPr>
            </w:pPr>
          </w:p>
        </w:tc>
        <w:tc>
          <w:tcPr>
            <w:tcW w:w="668" w:type="pct"/>
            <w:vMerge w:val="continue"/>
            <w:vAlign w:val="center"/>
          </w:tcPr>
          <w:p w14:paraId="12C9BCE7">
            <w:pPr>
              <w:pStyle w:val="33"/>
              <w:rPr>
                <w:color w:val="auto"/>
              </w:rPr>
            </w:pPr>
          </w:p>
        </w:tc>
        <w:tc>
          <w:tcPr>
            <w:tcW w:w="711" w:type="pct"/>
            <w:vMerge w:val="continue"/>
            <w:vAlign w:val="center"/>
          </w:tcPr>
          <w:p w14:paraId="6060A496">
            <w:pPr>
              <w:pStyle w:val="33"/>
              <w:rPr>
                <w:color w:val="auto"/>
              </w:rPr>
            </w:pPr>
          </w:p>
        </w:tc>
        <w:tc>
          <w:tcPr>
            <w:tcW w:w="846" w:type="pct"/>
            <w:vAlign w:val="center"/>
          </w:tcPr>
          <w:p w14:paraId="7696F0F2">
            <w:pPr>
              <w:pStyle w:val="33"/>
              <w:rPr>
                <w:color w:val="auto"/>
              </w:rPr>
            </w:pPr>
            <w:r>
              <w:rPr>
                <w:color w:val="auto"/>
              </w:rPr>
              <w:t>超标率</w:t>
            </w:r>
          </w:p>
        </w:tc>
        <w:tc>
          <w:tcPr>
            <w:tcW w:w="731" w:type="pct"/>
            <w:vAlign w:val="center"/>
          </w:tcPr>
          <w:p w14:paraId="17A667AE">
            <w:pPr>
              <w:pStyle w:val="33"/>
              <w:rPr>
                <w:color w:val="auto"/>
              </w:rPr>
            </w:pPr>
          </w:p>
        </w:tc>
        <w:tc>
          <w:tcPr>
            <w:tcW w:w="741" w:type="pct"/>
            <w:vAlign w:val="center"/>
          </w:tcPr>
          <w:p w14:paraId="65E44A1C">
            <w:pPr>
              <w:pStyle w:val="33"/>
              <w:rPr>
                <w:color w:val="auto"/>
              </w:rPr>
            </w:pPr>
          </w:p>
        </w:tc>
        <w:tc>
          <w:tcPr>
            <w:tcW w:w="741" w:type="pct"/>
            <w:vAlign w:val="center"/>
          </w:tcPr>
          <w:p w14:paraId="01FC1474">
            <w:pPr>
              <w:pStyle w:val="33"/>
              <w:rPr>
                <w:color w:val="auto"/>
              </w:rPr>
            </w:pPr>
          </w:p>
        </w:tc>
      </w:tr>
      <w:tr w14:paraId="0E5A1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1B1D625">
            <w:pPr>
              <w:pStyle w:val="33"/>
              <w:rPr>
                <w:color w:val="auto"/>
              </w:rPr>
            </w:pPr>
          </w:p>
        </w:tc>
        <w:tc>
          <w:tcPr>
            <w:tcW w:w="668" w:type="pct"/>
            <w:vMerge w:val="continue"/>
            <w:vAlign w:val="center"/>
          </w:tcPr>
          <w:p w14:paraId="1E7108AF">
            <w:pPr>
              <w:pStyle w:val="33"/>
              <w:rPr>
                <w:color w:val="auto"/>
              </w:rPr>
            </w:pPr>
          </w:p>
        </w:tc>
        <w:tc>
          <w:tcPr>
            <w:tcW w:w="711" w:type="pct"/>
            <w:vMerge w:val="continue"/>
            <w:vAlign w:val="center"/>
          </w:tcPr>
          <w:p w14:paraId="7166E0BD">
            <w:pPr>
              <w:pStyle w:val="33"/>
              <w:rPr>
                <w:color w:val="auto"/>
              </w:rPr>
            </w:pPr>
          </w:p>
        </w:tc>
        <w:tc>
          <w:tcPr>
            <w:tcW w:w="846" w:type="pct"/>
            <w:vAlign w:val="center"/>
          </w:tcPr>
          <w:p w14:paraId="12C8A83A">
            <w:pPr>
              <w:pStyle w:val="33"/>
              <w:rPr>
                <w:color w:val="auto"/>
              </w:rPr>
            </w:pPr>
            <w:r>
              <w:rPr>
                <w:color w:val="auto"/>
              </w:rPr>
              <w:t>最大超标倍数</w:t>
            </w:r>
          </w:p>
        </w:tc>
        <w:tc>
          <w:tcPr>
            <w:tcW w:w="731" w:type="pct"/>
            <w:vAlign w:val="center"/>
          </w:tcPr>
          <w:p w14:paraId="36EA6C66">
            <w:pPr>
              <w:pStyle w:val="33"/>
              <w:rPr>
                <w:color w:val="auto"/>
              </w:rPr>
            </w:pPr>
          </w:p>
        </w:tc>
        <w:tc>
          <w:tcPr>
            <w:tcW w:w="741" w:type="pct"/>
            <w:vAlign w:val="center"/>
          </w:tcPr>
          <w:p w14:paraId="5A4D48CA">
            <w:pPr>
              <w:pStyle w:val="33"/>
              <w:rPr>
                <w:color w:val="auto"/>
              </w:rPr>
            </w:pPr>
          </w:p>
        </w:tc>
        <w:tc>
          <w:tcPr>
            <w:tcW w:w="741" w:type="pct"/>
            <w:vAlign w:val="center"/>
          </w:tcPr>
          <w:p w14:paraId="61EE4F03">
            <w:pPr>
              <w:pStyle w:val="33"/>
              <w:rPr>
                <w:color w:val="auto"/>
              </w:rPr>
            </w:pPr>
          </w:p>
        </w:tc>
      </w:tr>
      <w:tr w14:paraId="3CD7A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1A19242">
            <w:pPr>
              <w:pStyle w:val="33"/>
              <w:rPr>
                <w:color w:val="auto"/>
              </w:rPr>
            </w:pPr>
          </w:p>
        </w:tc>
        <w:tc>
          <w:tcPr>
            <w:tcW w:w="668" w:type="pct"/>
            <w:vMerge w:val="restart"/>
            <w:vAlign w:val="center"/>
          </w:tcPr>
          <w:p w14:paraId="1E74BCCE">
            <w:pPr>
              <w:pStyle w:val="33"/>
              <w:rPr>
                <w:color w:val="auto"/>
              </w:rPr>
            </w:pPr>
            <w:r>
              <w:rPr>
                <w:color w:val="auto"/>
              </w:rPr>
              <w:t>总铬</w:t>
            </w:r>
          </w:p>
        </w:tc>
        <w:tc>
          <w:tcPr>
            <w:tcW w:w="711" w:type="pct"/>
            <w:vMerge w:val="restart"/>
            <w:vAlign w:val="center"/>
          </w:tcPr>
          <w:p w14:paraId="7F7BE19B">
            <w:pPr>
              <w:pStyle w:val="33"/>
              <w:rPr>
                <w:color w:val="auto"/>
              </w:rPr>
            </w:pPr>
            <w:r>
              <w:rPr>
                <w:color w:val="auto"/>
              </w:rPr>
              <w:t>0.1</w:t>
            </w:r>
          </w:p>
        </w:tc>
        <w:tc>
          <w:tcPr>
            <w:tcW w:w="846" w:type="pct"/>
            <w:vAlign w:val="center"/>
          </w:tcPr>
          <w:p w14:paraId="4E8AEF0B">
            <w:pPr>
              <w:pStyle w:val="33"/>
              <w:rPr>
                <w:color w:val="auto"/>
              </w:rPr>
            </w:pPr>
            <w:r>
              <w:rPr>
                <w:color w:val="auto"/>
              </w:rPr>
              <w:t>监测值</w:t>
            </w:r>
          </w:p>
        </w:tc>
        <w:tc>
          <w:tcPr>
            <w:tcW w:w="731" w:type="pct"/>
            <w:vAlign w:val="center"/>
          </w:tcPr>
          <w:p w14:paraId="43015D07">
            <w:pPr>
              <w:pStyle w:val="33"/>
              <w:rPr>
                <w:color w:val="auto"/>
              </w:rPr>
            </w:pPr>
          </w:p>
        </w:tc>
        <w:tc>
          <w:tcPr>
            <w:tcW w:w="741" w:type="pct"/>
            <w:vAlign w:val="center"/>
          </w:tcPr>
          <w:p w14:paraId="265A9BD4">
            <w:pPr>
              <w:pStyle w:val="33"/>
              <w:rPr>
                <w:color w:val="auto"/>
              </w:rPr>
            </w:pPr>
          </w:p>
        </w:tc>
        <w:tc>
          <w:tcPr>
            <w:tcW w:w="741" w:type="pct"/>
            <w:vAlign w:val="center"/>
          </w:tcPr>
          <w:p w14:paraId="7D18D606">
            <w:pPr>
              <w:pStyle w:val="33"/>
              <w:rPr>
                <w:color w:val="auto"/>
              </w:rPr>
            </w:pPr>
          </w:p>
        </w:tc>
      </w:tr>
      <w:tr w14:paraId="6BC65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7EF7398">
            <w:pPr>
              <w:pStyle w:val="33"/>
              <w:rPr>
                <w:color w:val="auto"/>
              </w:rPr>
            </w:pPr>
          </w:p>
        </w:tc>
        <w:tc>
          <w:tcPr>
            <w:tcW w:w="668" w:type="pct"/>
            <w:vMerge w:val="continue"/>
            <w:vAlign w:val="center"/>
          </w:tcPr>
          <w:p w14:paraId="78325865">
            <w:pPr>
              <w:pStyle w:val="33"/>
              <w:rPr>
                <w:color w:val="auto"/>
              </w:rPr>
            </w:pPr>
          </w:p>
        </w:tc>
        <w:tc>
          <w:tcPr>
            <w:tcW w:w="711" w:type="pct"/>
            <w:vMerge w:val="continue"/>
            <w:vAlign w:val="center"/>
          </w:tcPr>
          <w:p w14:paraId="3E761427">
            <w:pPr>
              <w:pStyle w:val="33"/>
              <w:rPr>
                <w:color w:val="auto"/>
              </w:rPr>
            </w:pPr>
          </w:p>
        </w:tc>
        <w:tc>
          <w:tcPr>
            <w:tcW w:w="846" w:type="pct"/>
            <w:vAlign w:val="center"/>
          </w:tcPr>
          <w:p w14:paraId="52EFE094">
            <w:pPr>
              <w:pStyle w:val="33"/>
              <w:rPr>
                <w:color w:val="auto"/>
              </w:rPr>
            </w:pPr>
            <w:r>
              <w:rPr>
                <w:color w:val="auto"/>
              </w:rPr>
              <w:t>Pi值</w:t>
            </w:r>
          </w:p>
        </w:tc>
        <w:tc>
          <w:tcPr>
            <w:tcW w:w="731" w:type="pct"/>
            <w:vAlign w:val="center"/>
          </w:tcPr>
          <w:p w14:paraId="57876162">
            <w:pPr>
              <w:pStyle w:val="33"/>
              <w:rPr>
                <w:color w:val="auto"/>
              </w:rPr>
            </w:pPr>
          </w:p>
        </w:tc>
        <w:tc>
          <w:tcPr>
            <w:tcW w:w="741" w:type="pct"/>
            <w:vAlign w:val="center"/>
          </w:tcPr>
          <w:p w14:paraId="7FAFE1B6">
            <w:pPr>
              <w:pStyle w:val="33"/>
              <w:rPr>
                <w:color w:val="auto"/>
              </w:rPr>
            </w:pPr>
          </w:p>
        </w:tc>
        <w:tc>
          <w:tcPr>
            <w:tcW w:w="741" w:type="pct"/>
            <w:vAlign w:val="center"/>
          </w:tcPr>
          <w:p w14:paraId="1972FFA7">
            <w:pPr>
              <w:pStyle w:val="33"/>
              <w:rPr>
                <w:color w:val="auto"/>
              </w:rPr>
            </w:pPr>
          </w:p>
        </w:tc>
      </w:tr>
      <w:tr w14:paraId="20587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34F2D5B">
            <w:pPr>
              <w:pStyle w:val="33"/>
              <w:rPr>
                <w:color w:val="auto"/>
              </w:rPr>
            </w:pPr>
          </w:p>
        </w:tc>
        <w:tc>
          <w:tcPr>
            <w:tcW w:w="668" w:type="pct"/>
            <w:vMerge w:val="continue"/>
            <w:vAlign w:val="center"/>
          </w:tcPr>
          <w:p w14:paraId="7F8BD632">
            <w:pPr>
              <w:pStyle w:val="33"/>
              <w:rPr>
                <w:color w:val="auto"/>
              </w:rPr>
            </w:pPr>
          </w:p>
        </w:tc>
        <w:tc>
          <w:tcPr>
            <w:tcW w:w="711" w:type="pct"/>
            <w:vMerge w:val="continue"/>
            <w:vAlign w:val="center"/>
          </w:tcPr>
          <w:p w14:paraId="32A529B6">
            <w:pPr>
              <w:pStyle w:val="33"/>
              <w:rPr>
                <w:color w:val="auto"/>
              </w:rPr>
            </w:pPr>
          </w:p>
        </w:tc>
        <w:tc>
          <w:tcPr>
            <w:tcW w:w="846" w:type="pct"/>
            <w:vAlign w:val="center"/>
          </w:tcPr>
          <w:p w14:paraId="053DF42D">
            <w:pPr>
              <w:pStyle w:val="33"/>
              <w:rPr>
                <w:color w:val="auto"/>
              </w:rPr>
            </w:pPr>
            <w:r>
              <w:rPr>
                <w:color w:val="auto"/>
              </w:rPr>
              <w:t>超标率</w:t>
            </w:r>
          </w:p>
        </w:tc>
        <w:tc>
          <w:tcPr>
            <w:tcW w:w="731" w:type="pct"/>
            <w:vAlign w:val="center"/>
          </w:tcPr>
          <w:p w14:paraId="34CD19A5">
            <w:pPr>
              <w:pStyle w:val="33"/>
              <w:rPr>
                <w:color w:val="auto"/>
              </w:rPr>
            </w:pPr>
          </w:p>
        </w:tc>
        <w:tc>
          <w:tcPr>
            <w:tcW w:w="741" w:type="pct"/>
            <w:vAlign w:val="center"/>
          </w:tcPr>
          <w:p w14:paraId="3B5DAABB">
            <w:pPr>
              <w:pStyle w:val="33"/>
              <w:rPr>
                <w:color w:val="auto"/>
              </w:rPr>
            </w:pPr>
          </w:p>
        </w:tc>
        <w:tc>
          <w:tcPr>
            <w:tcW w:w="741" w:type="pct"/>
            <w:vAlign w:val="center"/>
          </w:tcPr>
          <w:p w14:paraId="136B8EF8">
            <w:pPr>
              <w:pStyle w:val="33"/>
              <w:rPr>
                <w:color w:val="auto"/>
              </w:rPr>
            </w:pPr>
          </w:p>
        </w:tc>
      </w:tr>
      <w:tr w14:paraId="0FA0A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D75ECC6">
            <w:pPr>
              <w:pStyle w:val="33"/>
              <w:rPr>
                <w:color w:val="auto"/>
              </w:rPr>
            </w:pPr>
          </w:p>
        </w:tc>
        <w:tc>
          <w:tcPr>
            <w:tcW w:w="668" w:type="pct"/>
            <w:vMerge w:val="continue"/>
            <w:vAlign w:val="center"/>
          </w:tcPr>
          <w:p w14:paraId="30097193">
            <w:pPr>
              <w:pStyle w:val="33"/>
              <w:rPr>
                <w:color w:val="auto"/>
              </w:rPr>
            </w:pPr>
          </w:p>
        </w:tc>
        <w:tc>
          <w:tcPr>
            <w:tcW w:w="711" w:type="pct"/>
            <w:vMerge w:val="continue"/>
            <w:vAlign w:val="center"/>
          </w:tcPr>
          <w:p w14:paraId="7556E1CD">
            <w:pPr>
              <w:pStyle w:val="33"/>
              <w:rPr>
                <w:color w:val="auto"/>
              </w:rPr>
            </w:pPr>
          </w:p>
        </w:tc>
        <w:tc>
          <w:tcPr>
            <w:tcW w:w="846" w:type="pct"/>
            <w:vAlign w:val="center"/>
          </w:tcPr>
          <w:p w14:paraId="212167AA">
            <w:pPr>
              <w:pStyle w:val="33"/>
              <w:rPr>
                <w:color w:val="auto"/>
              </w:rPr>
            </w:pPr>
            <w:r>
              <w:rPr>
                <w:color w:val="auto"/>
              </w:rPr>
              <w:t>最大超标倍数</w:t>
            </w:r>
          </w:p>
        </w:tc>
        <w:tc>
          <w:tcPr>
            <w:tcW w:w="731" w:type="pct"/>
            <w:vAlign w:val="center"/>
          </w:tcPr>
          <w:p w14:paraId="1992B7B5">
            <w:pPr>
              <w:pStyle w:val="33"/>
              <w:rPr>
                <w:color w:val="auto"/>
              </w:rPr>
            </w:pPr>
          </w:p>
        </w:tc>
        <w:tc>
          <w:tcPr>
            <w:tcW w:w="741" w:type="pct"/>
            <w:vAlign w:val="center"/>
          </w:tcPr>
          <w:p w14:paraId="2C9E5127">
            <w:pPr>
              <w:pStyle w:val="33"/>
              <w:rPr>
                <w:color w:val="auto"/>
              </w:rPr>
            </w:pPr>
          </w:p>
        </w:tc>
        <w:tc>
          <w:tcPr>
            <w:tcW w:w="741" w:type="pct"/>
            <w:vAlign w:val="center"/>
          </w:tcPr>
          <w:p w14:paraId="509C1A10">
            <w:pPr>
              <w:pStyle w:val="33"/>
              <w:rPr>
                <w:color w:val="auto"/>
              </w:rPr>
            </w:pPr>
          </w:p>
        </w:tc>
      </w:tr>
      <w:tr w14:paraId="06ADF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1A412AA">
            <w:pPr>
              <w:pStyle w:val="33"/>
              <w:rPr>
                <w:color w:val="auto"/>
              </w:rPr>
            </w:pPr>
          </w:p>
        </w:tc>
        <w:tc>
          <w:tcPr>
            <w:tcW w:w="668" w:type="pct"/>
            <w:vMerge w:val="restart"/>
            <w:vAlign w:val="center"/>
          </w:tcPr>
          <w:p w14:paraId="2E6CB942">
            <w:pPr>
              <w:pStyle w:val="33"/>
              <w:rPr>
                <w:color w:val="auto"/>
              </w:rPr>
            </w:pPr>
            <w:r>
              <w:rPr>
                <w:color w:val="auto"/>
              </w:rPr>
              <w:t>砷</w:t>
            </w:r>
          </w:p>
        </w:tc>
        <w:tc>
          <w:tcPr>
            <w:tcW w:w="711" w:type="pct"/>
            <w:vMerge w:val="restart"/>
            <w:vAlign w:val="center"/>
          </w:tcPr>
          <w:p w14:paraId="1C0BE6FB">
            <w:pPr>
              <w:pStyle w:val="33"/>
              <w:rPr>
                <w:color w:val="auto"/>
              </w:rPr>
            </w:pPr>
            <w:r>
              <w:rPr>
                <w:color w:val="auto"/>
              </w:rPr>
              <w:t>0.03</w:t>
            </w:r>
          </w:p>
        </w:tc>
        <w:tc>
          <w:tcPr>
            <w:tcW w:w="846" w:type="pct"/>
            <w:vAlign w:val="center"/>
          </w:tcPr>
          <w:p w14:paraId="0FA8E209">
            <w:pPr>
              <w:pStyle w:val="33"/>
              <w:rPr>
                <w:color w:val="auto"/>
              </w:rPr>
            </w:pPr>
            <w:r>
              <w:rPr>
                <w:color w:val="auto"/>
              </w:rPr>
              <w:t>监测值</w:t>
            </w:r>
          </w:p>
        </w:tc>
        <w:tc>
          <w:tcPr>
            <w:tcW w:w="731" w:type="pct"/>
            <w:vAlign w:val="center"/>
          </w:tcPr>
          <w:p w14:paraId="5CF4253F">
            <w:pPr>
              <w:pStyle w:val="33"/>
              <w:rPr>
                <w:color w:val="auto"/>
              </w:rPr>
            </w:pPr>
          </w:p>
        </w:tc>
        <w:tc>
          <w:tcPr>
            <w:tcW w:w="741" w:type="pct"/>
            <w:vAlign w:val="center"/>
          </w:tcPr>
          <w:p w14:paraId="1D45C1A6">
            <w:pPr>
              <w:pStyle w:val="33"/>
              <w:rPr>
                <w:color w:val="auto"/>
              </w:rPr>
            </w:pPr>
          </w:p>
        </w:tc>
        <w:tc>
          <w:tcPr>
            <w:tcW w:w="741" w:type="pct"/>
            <w:vAlign w:val="center"/>
          </w:tcPr>
          <w:p w14:paraId="1822B607">
            <w:pPr>
              <w:pStyle w:val="33"/>
              <w:rPr>
                <w:color w:val="auto"/>
              </w:rPr>
            </w:pPr>
          </w:p>
        </w:tc>
      </w:tr>
      <w:tr w14:paraId="02FDB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A0DF640">
            <w:pPr>
              <w:pStyle w:val="33"/>
              <w:rPr>
                <w:color w:val="auto"/>
              </w:rPr>
            </w:pPr>
          </w:p>
        </w:tc>
        <w:tc>
          <w:tcPr>
            <w:tcW w:w="668" w:type="pct"/>
            <w:vMerge w:val="continue"/>
            <w:vAlign w:val="center"/>
          </w:tcPr>
          <w:p w14:paraId="64ACDDB3">
            <w:pPr>
              <w:pStyle w:val="33"/>
              <w:rPr>
                <w:color w:val="auto"/>
              </w:rPr>
            </w:pPr>
          </w:p>
        </w:tc>
        <w:tc>
          <w:tcPr>
            <w:tcW w:w="711" w:type="pct"/>
            <w:vMerge w:val="continue"/>
            <w:vAlign w:val="center"/>
          </w:tcPr>
          <w:p w14:paraId="56C1FDCF">
            <w:pPr>
              <w:pStyle w:val="33"/>
              <w:rPr>
                <w:color w:val="auto"/>
              </w:rPr>
            </w:pPr>
          </w:p>
        </w:tc>
        <w:tc>
          <w:tcPr>
            <w:tcW w:w="846" w:type="pct"/>
            <w:vAlign w:val="center"/>
          </w:tcPr>
          <w:p w14:paraId="6B32C99C">
            <w:pPr>
              <w:pStyle w:val="33"/>
              <w:rPr>
                <w:color w:val="auto"/>
              </w:rPr>
            </w:pPr>
            <w:r>
              <w:rPr>
                <w:color w:val="auto"/>
              </w:rPr>
              <w:t>Pi值</w:t>
            </w:r>
          </w:p>
        </w:tc>
        <w:tc>
          <w:tcPr>
            <w:tcW w:w="731" w:type="pct"/>
            <w:vAlign w:val="center"/>
          </w:tcPr>
          <w:p w14:paraId="166D5697">
            <w:pPr>
              <w:pStyle w:val="33"/>
              <w:rPr>
                <w:color w:val="auto"/>
              </w:rPr>
            </w:pPr>
          </w:p>
        </w:tc>
        <w:tc>
          <w:tcPr>
            <w:tcW w:w="741" w:type="pct"/>
            <w:vAlign w:val="center"/>
          </w:tcPr>
          <w:p w14:paraId="7B9FAE80">
            <w:pPr>
              <w:pStyle w:val="33"/>
              <w:rPr>
                <w:color w:val="auto"/>
              </w:rPr>
            </w:pPr>
          </w:p>
        </w:tc>
        <w:tc>
          <w:tcPr>
            <w:tcW w:w="741" w:type="pct"/>
            <w:vAlign w:val="center"/>
          </w:tcPr>
          <w:p w14:paraId="37F667ED">
            <w:pPr>
              <w:pStyle w:val="33"/>
              <w:rPr>
                <w:color w:val="auto"/>
              </w:rPr>
            </w:pPr>
          </w:p>
        </w:tc>
      </w:tr>
      <w:tr w14:paraId="33822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AC80B3E">
            <w:pPr>
              <w:pStyle w:val="33"/>
              <w:rPr>
                <w:color w:val="auto"/>
              </w:rPr>
            </w:pPr>
          </w:p>
        </w:tc>
        <w:tc>
          <w:tcPr>
            <w:tcW w:w="668" w:type="pct"/>
            <w:vMerge w:val="continue"/>
            <w:vAlign w:val="center"/>
          </w:tcPr>
          <w:p w14:paraId="47641F9E">
            <w:pPr>
              <w:pStyle w:val="33"/>
              <w:rPr>
                <w:color w:val="auto"/>
              </w:rPr>
            </w:pPr>
          </w:p>
        </w:tc>
        <w:tc>
          <w:tcPr>
            <w:tcW w:w="711" w:type="pct"/>
            <w:vMerge w:val="continue"/>
            <w:vAlign w:val="center"/>
          </w:tcPr>
          <w:p w14:paraId="671DD5ED">
            <w:pPr>
              <w:pStyle w:val="33"/>
              <w:rPr>
                <w:color w:val="auto"/>
              </w:rPr>
            </w:pPr>
          </w:p>
        </w:tc>
        <w:tc>
          <w:tcPr>
            <w:tcW w:w="846" w:type="pct"/>
            <w:vAlign w:val="center"/>
          </w:tcPr>
          <w:p w14:paraId="7EA4C3A7">
            <w:pPr>
              <w:pStyle w:val="33"/>
              <w:rPr>
                <w:color w:val="auto"/>
              </w:rPr>
            </w:pPr>
            <w:r>
              <w:rPr>
                <w:color w:val="auto"/>
              </w:rPr>
              <w:t>超标率</w:t>
            </w:r>
          </w:p>
        </w:tc>
        <w:tc>
          <w:tcPr>
            <w:tcW w:w="731" w:type="pct"/>
            <w:vAlign w:val="center"/>
          </w:tcPr>
          <w:p w14:paraId="11F2E6B7">
            <w:pPr>
              <w:pStyle w:val="33"/>
              <w:rPr>
                <w:color w:val="auto"/>
              </w:rPr>
            </w:pPr>
          </w:p>
        </w:tc>
        <w:tc>
          <w:tcPr>
            <w:tcW w:w="741" w:type="pct"/>
            <w:vAlign w:val="center"/>
          </w:tcPr>
          <w:p w14:paraId="2E89B680">
            <w:pPr>
              <w:pStyle w:val="33"/>
              <w:rPr>
                <w:color w:val="auto"/>
              </w:rPr>
            </w:pPr>
          </w:p>
        </w:tc>
        <w:tc>
          <w:tcPr>
            <w:tcW w:w="741" w:type="pct"/>
            <w:vAlign w:val="center"/>
          </w:tcPr>
          <w:p w14:paraId="742B12EE">
            <w:pPr>
              <w:pStyle w:val="33"/>
              <w:rPr>
                <w:color w:val="auto"/>
              </w:rPr>
            </w:pPr>
          </w:p>
        </w:tc>
      </w:tr>
      <w:tr w14:paraId="4FA08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3AFC094">
            <w:pPr>
              <w:pStyle w:val="33"/>
              <w:rPr>
                <w:color w:val="auto"/>
              </w:rPr>
            </w:pPr>
          </w:p>
        </w:tc>
        <w:tc>
          <w:tcPr>
            <w:tcW w:w="668" w:type="pct"/>
            <w:vMerge w:val="continue"/>
            <w:vAlign w:val="center"/>
          </w:tcPr>
          <w:p w14:paraId="287BAEA8">
            <w:pPr>
              <w:pStyle w:val="33"/>
              <w:rPr>
                <w:color w:val="auto"/>
              </w:rPr>
            </w:pPr>
          </w:p>
        </w:tc>
        <w:tc>
          <w:tcPr>
            <w:tcW w:w="711" w:type="pct"/>
            <w:vMerge w:val="continue"/>
            <w:vAlign w:val="center"/>
          </w:tcPr>
          <w:p w14:paraId="2BE8220C">
            <w:pPr>
              <w:pStyle w:val="33"/>
              <w:rPr>
                <w:color w:val="auto"/>
              </w:rPr>
            </w:pPr>
          </w:p>
        </w:tc>
        <w:tc>
          <w:tcPr>
            <w:tcW w:w="846" w:type="pct"/>
            <w:vAlign w:val="center"/>
          </w:tcPr>
          <w:p w14:paraId="036EF6FC">
            <w:pPr>
              <w:pStyle w:val="33"/>
              <w:rPr>
                <w:color w:val="auto"/>
              </w:rPr>
            </w:pPr>
            <w:r>
              <w:rPr>
                <w:color w:val="auto"/>
              </w:rPr>
              <w:t>最大超标倍数</w:t>
            </w:r>
          </w:p>
        </w:tc>
        <w:tc>
          <w:tcPr>
            <w:tcW w:w="731" w:type="pct"/>
            <w:vAlign w:val="center"/>
          </w:tcPr>
          <w:p w14:paraId="5305E61B">
            <w:pPr>
              <w:pStyle w:val="33"/>
              <w:rPr>
                <w:color w:val="auto"/>
              </w:rPr>
            </w:pPr>
          </w:p>
        </w:tc>
        <w:tc>
          <w:tcPr>
            <w:tcW w:w="741" w:type="pct"/>
            <w:vAlign w:val="center"/>
          </w:tcPr>
          <w:p w14:paraId="24597B5E">
            <w:pPr>
              <w:pStyle w:val="33"/>
              <w:rPr>
                <w:color w:val="auto"/>
              </w:rPr>
            </w:pPr>
          </w:p>
        </w:tc>
        <w:tc>
          <w:tcPr>
            <w:tcW w:w="741" w:type="pct"/>
            <w:vAlign w:val="center"/>
          </w:tcPr>
          <w:p w14:paraId="17DE8BA9">
            <w:pPr>
              <w:pStyle w:val="33"/>
              <w:rPr>
                <w:color w:val="auto"/>
              </w:rPr>
            </w:pPr>
          </w:p>
        </w:tc>
      </w:tr>
      <w:tr w14:paraId="48531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5BCC72BA">
            <w:pPr>
              <w:pStyle w:val="33"/>
              <w:rPr>
                <w:color w:val="auto"/>
              </w:rPr>
            </w:pPr>
          </w:p>
        </w:tc>
        <w:tc>
          <w:tcPr>
            <w:tcW w:w="668" w:type="pct"/>
            <w:vMerge w:val="restart"/>
            <w:vAlign w:val="center"/>
          </w:tcPr>
          <w:p w14:paraId="4D5A2A3A">
            <w:pPr>
              <w:pStyle w:val="33"/>
              <w:rPr>
                <w:color w:val="auto"/>
              </w:rPr>
            </w:pPr>
            <w:r>
              <w:rPr>
                <w:color w:val="auto"/>
              </w:rPr>
              <w:t>镍</w:t>
            </w:r>
          </w:p>
        </w:tc>
        <w:tc>
          <w:tcPr>
            <w:tcW w:w="711" w:type="pct"/>
            <w:vMerge w:val="restart"/>
            <w:vAlign w:val="center"/>
          </w:tcPr>
          <w:p w14:paraId="1712D90D">
            <w:pPr>
              <w:pStyle w:val="33"/>
              <w:rPr>
                <w:color w:val="auto"/>
              </w:rPr>
            </w:pPr>
            <w:r>
              <w:rPr>
                <w:color w:val="auto"/>
              </w:rPr>
              <w:t>0.01</w:t>
            </w:r>
          </w:p>
        </w:tc>
        <w:tc>
          <w:tcPr>
            <w:tcW w:w="846" w:type="pct"/>
            <w:vAlign w:val="center"/>
          </w:tcPr>
          <w:p w14:paraId="491D835E">
            <w:pPr>
              <w:pStyle w:val="33"/>
              <w:rPr>
                <w:color w:val="auto"/>
              </w:rPr>
            </w:pPr>
            <w:r>
              <w:rPr>
                <w:color w:val="auto"/>
              </w:rPr>
              <w:t>监测值</w:t>
            </w:r>
          </w:p>
        </w:tc>
        <w:tc>
          <w:tcPr>
            <w:tcW w:w="731" w:type="pct"/>
            <w:vAlign w:val="center"/>
          </w:tcPr>
          <w:p w14:paraId="0C45771B">
            <w:pPr>
              <w:pStyle w:val="33"/>
              <w:rPr>
                <w:color w:val="auto"/>
              </w:rPr>
            </w:pPr>
          </w:p>
        </w:tc>
        <w:tc>
          <w:tcPr>
            <w:tcW w:w="741" w:type="pct"/>
            <w:vAlign w:val="center"/>
          </w:tcPr>
          <w:p w14:paraId="5FF704FF">
            <w:pPr>
              <w:pStyle w:val="33"/>
              <w:rPr>
                <w:color w:val="auto"/>
              </w:rPr>
            </w:pPr>
          </w:p>
        </w:tc>
        <w:tc>
          <w:tcPr>
            <w:tcW w:w="741" w:type="pct"/>
            <w:vAlign w:val="center"/>
          </w:tcPr>
          <w:p w14:paraId="2287A1B3">
            <w:pPr>
              <w:pStyle w:val="33"/>
              <w:rPr>
                <w:color w:val="auto"/>
              </w:rPr>
            </w:pPr>
          </w:p>
        </w:tc>
      </w:tr>
      <w:tr w14:paraId="5889F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74" w:hRule="atLeast"/>
          <w:jc w:val="center"/>
        </w:trPr>
        <w:tc>
          <w:tcPr>
            <w:tcW w:w="562" w:type="pct"/>
            <w:vMerge w:val="continue"/>
            <w:vAlign w:val="center"/>
          </w:tcPr>
          <w:p w14:paraId="3754F406">
            <w:pPr>
              <w:pStyle w:val="33"/>
              <w:rPr>
                <w:color w:val="auto"/>
              </w:rPr>
            </w:pPr>
          </w:p>
        </w:tc>
        <w:tc>
          <w:tcPr>
            <w:tcW w:w="668" w:type="pct"/>
            <w:vMerge w:val="continue"/>
            <w:vAlign w:val="center"/>
          </w:tcPr>
          <w:p w14:paraId="51225110">
            <w:pPr>
              <w:pStyle w:val="33"/>
              <w:rPr>
                <w:color w:val="auto"/>
              </w:rPr>
            </w:pPr>
          </w:p>
        </w:tc>
        <w:tc>
          <w:tcPr>
            <w:tcW w:w="711" w:type="pct"/>
            <w:vMerge w:val="continue"/>
            <w:vAlign w:val="center"/>
          </w:tcPr>
          <w:p w14:paraId="2C8CA636">
            <w:pPr>
              <w:pStyle w:val="33"/>
              <w:rPr>
                <w:color w:val="auto"/>
              </w:rPr>
            </w:pPr>
          </w:p>
        </w:tc>
        <w:tc>
          <w:tcPr>
            <w:tcW w:w="846" w:type="pct"/>
            <w:vAlign w:val="center"/>
          </w:tcPr>
          <w:p w14:paraId="2AD11F77">
            <w:pPr>
              <w:pStyle w:val="33"/>
              <w:rPr>
                <w:color w:val="auto"/>
              </w:rPr>
            </w:pPr>
            <w:r>
              <w:rPr>
                <w:color w:val="auto"/>
              </w:rPr>
              <w:t>Pi值</w:t>
            </w:r>
          </w:p>
        </w:tc>
        <w:tc>
          <w:tcPr>
            <w:tcW w:w="731" w:type="pct"/>
            <w:vAlign w:val="center"/>
          </w:tcPr>
          <w:p w14:paraId="33B0D466">
            <w:pPr>
              <w:pStyle w:val="33"/>
              <w:rPr>
                <w:color w:val="auto"/>
              </w:rPr>
            </w:pPr>
          </w:p>
        </w:tc>
        <w:tc>
          <w:tcPr>
            <w:tcW w:w="741" w:type="pct"/>
            <w:vAlign w:val="center"/>
          </w:tcPr>
          <w:p w14:paraId="21D1216D">
            <w:pPr>
              <w:pStyle w:val="33"/>
              <w:rPr>
                <w:color w:val="auto"/>
              </w:rPr>
            </w:pPr>
          </w:p>
        </w:tc>
        <w:tc>
          <w:tcPr>
            <w:tcW w:w="741" w:type="pct"/>
            <w:vAlign w:val="center"/>
          </w:tcPr>
          <w:p w14:paraId="6EFC1A4D">
            <w:pPr>
              <w:pStyle w:val="33"/>
              <w:rPr>
                <w:color w:val="auto"/>
              </w:rPr>
            </w:pPr>
          </w:p>
        </w:tc>
      </w:tr>
      <w:tr w14:paraId="62630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3FA20745">
            <w:pPr>
              <w:pStyle w:val="33"/>
              <w:rPr>
                <w:color w:val="auto"/>
              </w:rPr>
            </w:pPr>
          </w:p>
        </w:tc>
        <w:tc>
          <w:tcPr>
            <w:tcW w:w="668" w:type="pct"/>
            <w:vMerge w:val="continue"/>
            <w:vAlign w:val="center"/>
          </w:tcPr>
          <w:p w14:paraId="45FDC8B8">
            <w:pPr>
              <w:pStyle w:val="33"/>
              <w:rPr>
                <w:color w:val="auto"/>
              </w:rPr>
            </w:pPr>
          </w:p>
        </w:tc>
        <w:tc>
          <w:tcPr>
            <w:tcW w:w="711" w:type="pct"/>
            <w:vMerge w:val="continue"/>
            <w:vAlign w:val="center"/>
          </w:tcPr>
          <w:p w14:paraId="340A0ED7">
            <w:pPr>
              <w:pStyle w:val="33"/>
              <w:rPr>
                <w:color w:val="auto"/>
              </w:rPr>
            </w:pPr>
          </w:p>
        </w:tc>
        <w:tc>
          <w:tcPr>
            <w:tcW w:w="846" w:type="pct"/>
            <w:vAlign w:val="center"/>
          </w:tcPr>
          <w:p w14:paraId="00E81956">
            <w:pPr>
              <w:pStyle w:val="33"/>
              <w:rPr>
                <w:color w:val="auto"/>
              </w:rPr>
            </w:pPr>
            <w:r>
              <w:rPr>
                <w:color w:val="auto"/>
              </w:rPr>
              <w:t>超标率</w:t>
            </w:r>
          </w:p>
        </w:tc>
        <w:tc>
          <w:tcPr>
            <w:tcW w:w="731" w:type="pct"/>
            <w:vAlign w:val="center"/>
          </w:tcPr>
          <w:p w14:paraId="6320B9CD">
            <w:pPr>
              <w:pStyle w:val="33"/>
              <w:rPr>
                <w:color w:val="auto"/>
              </w:rPr>
            </w:pPr>
          </w:p>
        </w:tc>
        <w:tc>
          <w:tcPr>
            <w:tcW w:w="741" w:type="pct"/>
            <w:vAlign w:val="center"/>
          </w:tcPr>
          <w:p w14:paraId="7984EB33">
            <w:pPr>
              <w:pStyle w:val="33"/>
              <w:rPr>
                <w:color w:val="auto"/>
              </w:rPr>
            </w:pPr>
          </w:p>
        </w:tc>
        <w:tc>
          <w:tcPr>
            <w:tcW w:w="741" w:type="pct"/>
            <w:vAlign w:val="center"/>
          </w:tcPr>
          <w:p w14:paraId="7B40073F">
            <w:pPr>
              <w:pStyle w:val="33"/>
              <w:rPr>
                <w:color w:val="auto"/>
              </w:rPr>
            </w:pPr>
          </w:p>
        </w:tc>
      </w:tr>
      <w:tr w14:paraId="08043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0C50BA61">
            <w:pPr>
              <w:pStyle w:val="33"/>
              <w:rPr>
                <w:color w:val="auto"/>
              </w:rPr>
            </w:pPr>
          </w:p>
        </w:tc>
        <w:tc>
          <w:tcPr>
            <w:tcW w:w="668" w:type="pct"/>
            <w:vMerge w:val="continue"/>
            <w:vAlign w:val="center"/>
          </w:tcPr>
          <w:p w14:paraId="100AD370">
            <w:pPr>
              <w:pStyle w:val="33"/>
              <w:rPr>
                <w:color w:val="auto"/>
              </w:rPr>
            </w:pPr>
          </w:p>
        </w:tc>
        <w:tc>
          <w:tcPr>
            <w:tcW w:w="711" w:type="pct"/>
            <w:vMerge w:val="continue"/>
            <w:vAlign w:val="center"/>
          </w:tcPr>
          <w:p w14:paraId="0A5E2C02">
            <w:pPr>
              <w:pStyle w:val="33"/>
              <w:rPr>
                <w:color w:val="auto"/>
              </w:rPr>
            </w:pPr>
          </w:p>
        </w:tc>
        <w:tc>
          <w:tcPr>
            <w:tcW w:w="846" w:type="pct"/>
            <w:vAlign w:val="center"/>
          </w:tcPr>
          <w:p w14:paraId="59CB04AB">
            <w:pPr>
              <w:pStyle w:val="33"/>
              <w:rPr>
                <w:color w:val="auto"/>
              </w:rPr>
            </w:pPr>
            <w:r>
              <w:rPr>
                <w:color w:val="auto"/>
              </w:rPr>
              <w:t>最大超标倍数</w:t>
            </w:r>
          </w:p>
        </w:tc>
        <w:tc>
          <w:tcPr>
            <w:tcW w:w="731" w:type="pct"/>
            <w:vAlign w:val="center"/>
          </w:tcPr>
          <w:p w14:paraId="5C7EF9F2">
            <w:pPr>
              <w:pStyle w:val="33"/>
              <w:rPr>
                <w:color w:val="auto"/>
              </w:rPr>
            </w:pPr>
          </w:p>
        </w:tc>
        <w:tc>
          <w:tcPr>
            <w:tcW w:w="741" w:type="pct"/>
            <w:vAlign w:val="center"/>
          </w:tcPr>
          <w:p w14:paraId="0E47B35A">
            <w:pPr>
              <w:pStyle w:val="33"/>
              <w:rPr>
                <w:color w:val="auto"/>
              </w:rPr>
            </w:pPr>
          </w:p>
        </w:tc>
        <w:tc>
          <w:tcPr>
            <w:tcW w:w="741" w:type="pct"/>
            <w:vAlign w:val="center"/>
          </w:tcPr>
          <w:p w14:paraId="6FB82F87">
            <w:pPr>
              <w:pStyle w:val="33"/>
              <w:rPr>
                <w:color w:val="auto"/>
              </w:rPr>
            </w:pPr>
          </w:p>
        </w:tc>
      </w:tr>
      <w:tr w14:paraId="5E29A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23F92993">
            <w:pPr>
              <w:pStyle w:val="33"/>
              <w:rPr>
                <w:color w:val="auto"/>
              </w:rPr>
            </w:pPr>
          </w:p>
        </w:tc>
        <w:tc>
          <w:tcPr>
            <w:tcW w:w="668" w:type="pct"/>
            <w:vAlign w:val="center"/>
          </w:tcPr>
          <w:p w14:paraId="28BCBAC7">
            <w:pPr>
              <w:pStyle w:val="33"/>
              <w:rPr>
                <w:color w:val="auto"/>
              </w:rPr>
            </w:pPr>
            <w:r>
              <w:rPr>
                <w:color w:val="auto"/>
              </w:rPr>
              <w:t>锰</w:t>
            </w:r>
          </w:p>
        </w:tc>
        <w:tc>
          <w:tcPr>
            <w:tcW w:w="711" w:type="pct"/>
            <w:vAlign w:val="center"/>
          </w:tcPr>
          <w:p w14:paraId="6B563DFB">
            <w:pPr>
              <w:pStyle w:val="33"/>
              <w:rPr>
                <w:color w:val="auto"/>
              </w:rPr>
            </w:pPr>
            <w:r>
              <w:rPr>
                <w:color w:val="auto"/>
              </w:rPr>
              <w:t>/</w:t>
            </w:r>
          </w:p>
        </w:tc>
        <w:tc>
          <w:tcPr>
            <w:tcW w:w="846" w:type="pct"/>
            <w:vAlign w:val="center"/>
          </w:tcPr>
          <w:p w14:paraId="6694B048">
            <w:pPr>
              <w:pStyle w:val="33"/>
              <w:rPr>
                <w:color w:val="auto"/>
              </w:rPr>
            </w:pPr>
            <w:r>
              <w:rPr>
                <w:color w:val="auto"/>
              </w:rPr>
              <w:t>监测值</w:t>
            </w:r>
          </w:p>
        </w:tc>
        <w:tc>
          <w:tcPr>
            <w:tcW w:w="731" w:type="pct"/>
            <w:vAlign w:val="center"/>
          </w:tcPr>
          <w:p w14:paraId="713B9BC9">
            <w:pPr>
              <w:pStyle w:val="33"/>
              <w:rPr>
                <w:color w:val="auto"/>
              </w:rPr>
            </w:pPr>
          </w:p>
        </w:tc>
        <w:tc>
          <w:tcPr>
            <w:tcW w:w="741" w:type="pct"/>
            <w:vAlign w:val="center"/>
          </w:tcPr>
          <w:p w14:paraId="16D461DD">
            <w:pPr>
              <w:pStyle w:val="33"/>
              <w:rPr>
                <w:color w:val="auto"/>
              </w:rPr>
            </w:pPr>
          </w:p>
        </w:tc>
        <w:tc>
          <w:tcPr>
            <w:tcW w:w="741" w:type="pct"/>
            <w:vAlign w:val="center"/>
          </w:tcPr>
          <w:p w14:paraId="6CBB07DD">
            <w:pPr>
              <w:pStyle w:val="33"/>
              <w:rPr>
                <w:color w:val="auto"/>
              </w:rPr>
            </w:pPr>
          </w:p>
        </w:tc>
      </w:tr>
      <w:tr w14:paraId="280E1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7FC80D2F">
            <w:pPr>
              <w:pStyle w:val="33"/>
              <w:rPr>
                <w:color w:val="auto"/>
              </w:rPr>
            </w:pPr>
          </w:p>
        </w:tc>
        <w:tc>
          <w:tcPr>
            <w:tcW w:w="668" w:type="pct"/>
            <w:vAlign w:val="center"/>
          </w:tcPr>
          <w:p w14:paraId="38AECA7F">
            <w:pPr>
              <w:pStyle w:val="33"/>
              <w:rPr>
                <w:color w:val="auto"/>
              </w:rPr>
            </w:pPr>
            <w:r>
              <w:rPr>
                <w:color w:val="auto"/>
              </w:rPr>
              <w:t>水温（℃）</w:t>
            </w:r>
          </w:p>
        </w:tc>
        <w:tc>
          <w:tcPr>
            <w:tcW w:w="711" w:type="pct"/>
            <w:vAlign w:val="center"/>
          </w:tcPr>
          <w:p w14:paraId="249B3EE2">
            <w:pPr>
              <w:pStyle w:val="33"/>
              <w:rPr>
                <w:color w:val="auto"/>
              </w:rPr>
            </w:pPr>
            <w:r>
              <w:rPr>
                <w:color w:val="auto"/>
              </w:rPr>
              <w:t>人为造成的海水温升不超过当时当地4℃</w:t>
            </w:r>
          </w:p>
        </w:tc>
        <w:tc>
          <w:tcPr>
            <w:tcW w:w="846" w:type="pct"/>
            <w:vAlign w:val="center"/>
          </w:tcPr>
          <w:p w14:paraId="72C82849">
            <w:pPr>
              <w:pStyle w:val="33"/>
              <w:rPr>
                <w:color w:val="auto"/>
              </w:rPr>
            </w:pPr>
            <w:r>
              <w:rPr>
                <w:color w:val="auto"/>
              </w:rPr>
              <w:t>监测值</w:t>
            </w:r>
          </w:p>
        </w:tc>
        <w:tc>
          <w:tcPr>
            <w:tcW w:w="731" w:type="pct"/>
            <w:vAlign w:val="center"/>
          </w:tcPr>
          <w:p w14:paraId="03BE5D9A">
            <w:pPr>
              <w:pStyle w:val="33"/>
              <w:rPr>
                <w:color w:val="auto"/>
              </w:rPr>
            </w:pPr>
          </w:p>
        </w:tc>
        <w:tc>
          <w:tcPr>
            <w:tcW w:w="741" w:type="pct"/>
            <w:vAlign w:val="center"/>
          </w:tcPr>
          <w:p w14:paraId="391991C5">
            <w:pPr>
              <w:pStyle w:val="33"/>
              <w:rPr>
                <w:color w:val="auto"/>
              </w:rPr>
            </w:pPr>
          </w:p>
        </w:tc>
        <w:tc>
          <w:tcPr>
            <w:tcW w:w="741" w:type="pct"/>
            <w:vAlign w:val="center"/>
          </w:tcPr>
          <w:p w14:paraId="24FA0E95">
            <w:pPr>
              <w:pStyle w:val="33"/>
              <w:rPr>
                <w:color w:val="auto"/>
              </w:rPr>
            </w:pPr>
          </w:p>
        </w:tc>
      </w:tr>
      <w:tr w14:paraId="41F24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562" w:type="pct"/>
            <w:vMerge w:val="continue"/>
            <w:vAlign w:val="center"/>
          </w:tcPr>
          <w:p w14:paraId="40E3115C">
            <w:pPr>
              <w:pStyle w:val="33"/>
              <w:rPr>
                <w:color w:val="auto"/>
              </w:rPr>
            </w:pPr>
          </w:p>
        </w:tc>
        <w:tc>
          <w:tcPr>
            <w:tcW w:w="668" w:type="pct"/>
            <w:vAlign w:val="center"/>
          </w:tcPr>
          <w:p w14:paraId="621DCF83">
            <w:pPr>
              <w:pStyle w:val="33"/>
              <w:rPr>
                <w:color w:val="auto"/>
              </w:rPr>
            </w:pPr>
            <w:r>
              <w:rPr>
                <w:color w:val="auto"/>
              </w:rPr>
              <w:t>盐度（</w:t>
            </w:r>
            <w:r>
              <w:rPr>
                <w:rFonts w:hint="eastAsia"/>
                <w:color w:val="auto"/>
              </w:rPr>
              <w:t>%</w:t>
            </w:r>
            <w:r>
              <w:rPr>
                <w:color w:val="auto"/>
              </w:rPr>
              <w:t>）</w:t>
            </w:r>
          </w:p>
        </w:tc>
        <w:tc>
          <w:tcPr>
            <w:tcW w:w="711" w:type="pct"/>
            <w:vAlign w:val="center"/>
          </w:tcPr>
          <w:p w14:paraId="2CAEAD4E">
            <w:pPr>
              <w:pStyle w:val="33"/>
              <w:rPr>
                <w:color w:val="auto"/>
              </w:rPr>
            </w:pPr>
            <w:r>
              <w:rPr>
                <w:color w:val="auto"/>
              </w:rPr>
              <w:t>/</w:t>
            </w:r>
          </w:p>
        </w:tc>
        <w:tc>
          <w:tcPr>
            <w:tcW w:w="846" w:type="pct"/>
            <w:vAlign w:val="center"/>
          </w:tcPr>
          <w:p w14:paraId="443B6593">
            <w:pPr>
              <w:pStyle w:val="33"/>
              <w:rPr>
                <w:color w:val="auto"/>
              </w:rPr>
            </w:pPr>
            <w:r>
              <w:rPr>
                <w:color w:val="auto"/>
              </w:rPr>
              <w:t>监测值</w:t>
            </w:r>
          </w:p>
        </w:tc>
        <w:tc>
          <w:tcPr>
            <w:tcW w:w="731" w:type="pct"/>
            <w:vAlign w:val="center"/>
          </w:tcPr>
          <w:p w14:paraId="35B482E2">
            <w:pPr>
              <w:pStyle w:val="33"/>
              <w:rPr>
                <w:color w:val="auto"/>
              </w:rPr>
            </w:pPr>
          </w:p>
        </w:tc>
        <w:tc>
          <w:tcPr>
            <w:tcW w:w="741" w:type="pct"/>
            <w:vAlign w:val="center"/>
          </w:tcPr>
          <w:p w14:paraId="690DE0B4">
            <w:pPr>
              <w:pStyle w:val="33"/>
              <w:rPr>
                <w:color w:val="auto"/>
              </w:rPr>
            </w:pPr>
          </w:p>
        </w:tc>
        <w:tc>
          <w:tcPr>
            <w:tcW w:w="741" w:type="pct"/>
            <w:vAlign w:val="center"/>
          </w:tcPr>
          <w:p w14:paraId="547259F7">
            <w:pPr>
              <w:pStyle w:val="33"/>
              <w:rPr>
                <w:color w:val="auto"/>
              </w:rPr>
            </w:pPr>
          </w:p>
        </w:tc>
      </w:tr>
    </w:tbl>
    <w:p w14:paraId="39BBE9C7">
      <w:pPr>
        <w:ind w:firstLine="480"/>
        <w:rPr>
          <w:color w:val="auto"/>
        </w:rPr>
      </w:pPr>
    </w:p>
    <w:p w14:paraId="318C7332">
      <w:pPr>
        <w:pStyle w:val="7"/>
        <w:rPr>
          <w:color w:val="auto"/>
        </w:rPr>
      </w:pPr>
      <w:r>
        <w:rPr>
          <w:color w:val="auto"/>
        </w:rPr>
        <w:t>GX006、站点水质调查结果 单位：mg/L，注明除外</w:t>
      </w:r>
    </w:p>
    <w:tbl>
      <w:tblPr>
        <w:tblStyle w:val="26"/>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268"/>
        <w:gridCol w:w="1524"/>
        <w:gridCol w:w="1584"/>
        <w:gridCol w:w="2565"/>
        <w:gridCol w:w="2268"/>
      </w:tblGrid>
      <w:tr w14:paraId="31A43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blHeader/>
          <w:jc w:val="center"/>
        </w:trPr>
        <w:tc>
          <w:tcPr>
            <w:tcW w:w="1268" w:type="dxa"/>
            <w:vMerge w:val="restart"/>
            <w:vAlign w:val="center"/>
          </w:tcPr>
          <w:p w14:paraId="742C2033">
            <w:pPr>
              <w:pStyle w:val="33"/>
              <w:rPr>
                <w:color w:val="auto"/>
              </w:rPr>
            </w:pPr>
            <w:r>
              <w:rPr>
                <w:color w:val="auto"/>
              </w:rPr>
              <w:t>监测时间</w:t>
            </w:r>
          </w:p>
        </w:tc>
        <w:tc>
          <w:tcPr>
            <w:tcW w:w="1524" w:type="dxa"/>
            <w:vMerge w:val="restart"/>
            <w:vAlign w:val="center"/>
          </w:tcPr>
          <w:p w14:paraId="5BDC38F7">
            <w:pPr>
              <w:pStyle w:val="33"/>
              <w:rPr>
                <w:color w:val="auto"/>
              </w:rPr>
            </w:pPr>
            <w:r>
              <w:rPr>
                <w:color w:val="auto"/>
              </w:rPr>
              <w:t>检测项目</w:t>
            </w:r>
          </w:p>
        </w:tc>
        <w:tc>
          <w:tcPr>
            <w:tcW w:w="1584" w:type="dxa"/>
            <w:vMerge w:val="restart"/>
            <w:vAlign w:val="center"/>
          </w:tcPr>
          <w:p w14:paraId="2A824010">
            <w:pPr>
              <w:pStyle w:val="33"/>
              <w:rPr>
                <w:color w:val="auto"/>
              </w:rPr>
            </w:pPr>
            <w:r>
              <w:rPr>
                <w:color w:val="auto"/>
              </w:rPr>
              <w:t>标准限值</w:t>
            </w:r>
          </w:p>
        </w:tc>
        <w:tc>
          <w:tcPr>
            <w:tcW w:w="2565" w:type="dxa"/>
            <w:vMerge w:val="restart"/>
            <w:vAlign w:val="center"/>
          </w:tcPr>
          <w:p w14:paraId="61E0619B">
            <w:pPr>
              <w:pStyle w:val="33"/>
              <w:rPr>
                <w:color w:val="auto"/>
              </w:rPr>
            </w:pPr>
            <w:r>
              <w:rPr>
                <w:color w:val="auto"/>
              </w:rPr>
              <w:t>监测点位</w:t>
            </w:r>
          </w:p>
        </w:tc>
        <w:tc>
          <w:tcPr>
            <w:tcW w:w="2268" w:type="dxa"/>
            <w:vAlign w:val="center"/>
          </w:tcPr>
          <w:p w14:paraId="08F8A08C">
            <w:pPr>
              <w:pStyle w:val="33"/>
              <w:rPr>
                <w:color w:val="auto"/>
              </w:rPr>
            </w:pPr>
            <w:r>
              <w:rPr>
                <w:color w:val="auto"/>
              </w:rPr>
              <w:t>检测结果</w:t>
            </w:r>
          </w:p>
        </w:tc>
      </w:tr>
      <w:tr w14:paraId="01A98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tblHeader/>
          <w:jc w:val="center"/>
        </w:trPr>
        <w:tc>
          <w:tcPr>
            <w:tcW w:w="1268" w:type="dxa"/>
            <w:vMerge w:val="continue"/>
            <w:vAlign w:val="center"/>
          </w:tcPr>
          <w:p w14:paraId="0365908E">
            <w:pPr>
              <w:pStyle w:val="33"/>
              <w:rPr>
                <w:color w:val="auto"/>
              </w:rPr>
            </w:pPr>
          </w:p>
        </w:tc>
        <w:tc>
          <w:tcPr>
            <w:tcW w:w="1524" w:type="dxa"/>
            <w:vMerge w:val="continue"/>
            <w:vAlign w:val="center"/>
          </w:tcPr>
          <w:p w14:paraId="6A675C11">
            <w:pPr>
              <w:pStyle w:val="33"/>
              <w:rPr>
                <w:color w:val="auto"/>
              </w:rPr>
            </w:pPr>
          </w:p>
        </w:tc>
        <w:tc>
          <w:tcPr>
            <w:tcW w:w="1584" w:type="dxa"/>
            <w:vMerge w:val="continue"/>
            <w:vAlign w:val="center"/>
          </w:tcPr>
          <w:p w14:paraId="1A43F921">
            <w:pPr>
              <w:pStyle w:val="33"/>
              <w:rPr>
                <w:color w:val="auto"/>
              </w:rPr>
            </w:pPr>
          </w:p>
        </w:tc>
        <w:tc>
          <w:tcPr>
            <w:tcW w:w="2565" w:type="dxa"/>
            <w:vMerge w:val="continue"/>
            <w:vAlign w:val="center"/>
          </w:tcPr>
          <w:p w14:paraId="3CB9319E">
            <w:pPr>
              <w:pStyle w:val="33"/>
              <w:rPr>
                <w:color w:val="auto"/>
              </w:rPr>
            </w:pPr>
          </w:p>
        </w:tc>
        <w:tc>
          <w:tcPr>
            <w:tcW w:w="2268" w:type="dxa"/>
            <w:vAlign w:val="center"/>
          </w:tcPr>
          <w:p w14:paraId="27B150F1">
            <w:pPr>
              <w:pStyle w:val="33"/>
              <w:rPr>
                <w:color w:val="auto"/>
              </w:rPr>
            </w:pPr>
            <w:r>
              <w:rPr>
                <w:color w:val="auto"/>
              </w:rPr>
              <w:t>GX006</w:t>
            </w:r>
          </w:p>
        </w:tc>
      </w:tr>
      <w:tr w14:paraId="07714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restart"/>
            <w:vAlign w:val="center"/>
          </w:tcPr>
          <w:p w14:paraId="5F9CBFDE">
            <w:pPr>
              <w:pStyle w:val="33"/>
              <w:rPr>
                <w:color w:val="auto"/>
              </w:rPr>
            </w:pPr>
            <w:r>
              <w:rPr>
                <w:color w:val="auto"/>
              </w:rPr>
              <w:t>2024年10月11日~2024年11月8日</w:t>
            </w:r>
          </w:p>
        </w:tc>
        <w:tc>
          <w:tcPr>
            <w:tcW w:w="1524" w:type="dxa"/>
            <w:vMerge w:val="restart"/>
            <w:vAlign w:val="center"/>
          </w:tcPr>
          <w:p w14:paraId="1B799B44">
            <w:pPr>
              <w:pStyle w:val="33"/>
              <w:rPr>
                <w:color w:val="auto"/>
              </w:rPr>
            </w:pPr>
            <w:r>
              <w:rPr>
                <w:color w:val="auto"/>
              </w:rPr>
              <w:t>pH值（无量纲）</w:t>
            </w:r>
          </w:p>
        </w:tc>
        <w:tc>
          <w:tcPr>
            <w:tcW w:w="1584" w:type="dxa"/>
            <w:vMerge w:val="restart"/>
            <w:vAlign w:val="center"/>
          </w:tcPr>
          <w:p w14:paraId="2346490F">
            <w:pPr>
              <w:pStyle w:val="33"/>
              <w:rPr>
                <w:color w:val="auto"/>
              </w:rPr>
            </w:pPr>
            <w:r>
              <w:rPr>
                <w:color w:val="auto"/>
              </w:rPr>
              <w:t>6.8-8.8</w:t>
            </w:r>
          </w:p>
        </w:tc>
        <w:tc>
          <w:tcPr>
            <w:tcW w:w="2565" w:type="dxa"/>
            <w:vAlign w:val="center"/>
          </w:tcPr>
          <w:p w14:paraId="5A6D979E">
            <w:pPr>
              <w:pStyle w:val="33"/>
              <w:rPr>
                <w:color w:val="auto"/>
              </w:rPr>
            </w:pPr>
            <w:r>
              <w:rPr>
                <w:color w:val="auto"/>
              </w:rPr>
              <w:t>监测值</w:t>
            </w:r>
          </w:p>
        </w:tc>
        <w:tc>
          <w:tcPr>
            <w:tcW w:w="2268" w:type="dxa"/>
            <w:vAlign w:val="center"/>
          </w:tcPr>
          <w:p w14:paraId="395E7A11">
            <w:pPr>
              <w:pStyle w:val="33"/>
              <w:rPr>
                <w:color w:val="auto"/>
              </w:rPr>
            </w:pPr>
          </w:p>
        </w:tc>
      </w:tr>
      <w:tr w14:paraId="3D045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1ED76F59">
            <w:pPr>
              <w:pStyle w:val="33"/>
              <w:rPr>
                <w:color w:val="auto"/>
              </w:rPr>
            </w:pPr>
          </w:p>
        </w:tc>
        <w:tc>
          <w:tcPr>
            <w:tcW w:w="1524" w:type="dxa"/>
            <w:vMerge w:val="continue"/>
            <w:vAlign w:val="center"/>
          </w:tcPr>
          <w:p w14:paraId="49D774B6">
            <w:pPr>
              <w:pStyle w:val="33"/>
              <w:rPr>
                <w:color w:val="auto"/>
              </w:rPr>
            </w:pPr>
          </w:p>
        </w:tc>
        <w:tc>
          <w:tcPr>
            <w:tcW w:w="1584" w:type="dxa"/>
            <w:vMerge w:val="continue"/>
            <w:vAlign w:val="center"/>
          </w:tcPr>
          <w:p w14:paraId="69A5399D">
            <w:pPr>
              <w:pStyle w:val="33"/>
              <w:rPr>
                <w:color w:val="auto"/>
              </w:rPr>
            </w:pPr>
          </w:p>
        </w:tc>
        <w:tc>
          <w:tcPr>
            <w:tcW w:w="2565" w:type="dxa"/>
            <w:vAlign w:val="center"/>
          </w:tcPr>
          <w:p w14:paraId="02A03187">
            <w:pPr>
              <w:pStyle w:val="33"/>
              <w:rPr>
                <w:color w:val="auto"/>
              </w:rPr>
            </w:pPr>
            <w:r>
              <w:rPr>
                <w:color w:val="auto"/>
              </w:rPr>
              <w:t>Pi值</w:t>
            </w:r>
          </w:p>
        </w:tc>
        <w:tc>
          <w:tcPr>
            <w:tcW w:w="2268" w:type="dxa"/>
            <w:vAlign w:val="center"/>
          </w:tcPr>
          <w:p w14:paraId="5698B453">
            <w:pPr>
              <w:pStyle w:val="33"/>
              <w:rPr>
                <w:color w:val="auto"/>
              </w:rPr>
            </w:pPr>
          </w:p>
        </w:tc>
      </w:tr>
      <w:tr w14:paraId="14241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1268" w:type="dxa"/>
            <w:vMerge w:val="continue"/>
            <w:vAlign w:val="center"/>
          </w:tcPr>
          <w:p w14:paraId="6B1C3207">
            <w:pPr>
              <w:pStyle w:val="33"/>
              <w:rPr>
                <w:color w:val="auto"/>
              </w:rPr>
            </w:pPr>
          </w:p>
        </w:tc>
        <w:tc>
          <w:tcPr>
            <w:tcW w:w="1524" w:type="dxa"/>
            <w:vMerge w:val="continue"/>
            <w:vAlign w:val="center"/>
          </w:tcPr>
          <w:p w14:paraId="33B8224A">
            <w:pPr>
              <w:pStyle w:val="33"/>
              <w:rPr>
                <w:color w:val="auto"/>
              </w:rPr>
            </w:pPr>
          </w:p>
        </w:tc>
        <w:tc>
          <w:tcPr>
            <w:tcW w:w="1584" w:type="dxa"/>
            <w:vMerge w:val="continue"/>
            <w:vAlign w:val="center"/>
          </w:tcPr>
          <w:p w14:paraId="3A085284">
            <w:pPr>
              <w:pStyle w:val="33"/>
              <w:rPr>
                <w:color w:val="auto"/>
              </w:rPr>
            </w:pPr>
          </w:p>
        </w:tc>
        <w:tc>
          <w:tcPr>
            <w:tcW w:w="2565" w:type="dxa"/>
            <w:vAlign w:val="center"/>
          </w:tcPr>
          <w:p w14:paraId="6C525F6D">
            <w:pPr>
              <w:pStyle w:val="33"/>
              <w:rPr>
                <w:color w:val="auto"/>
              </w:rPr>
            </w:pPr>
            <w:r>
              <w:rPr>
                <w:color w:val="auto"/>
              </w:rPr>
              <w:t>超标率</w:t>
            </w:r>
          </w:p>
        </w:tc>
        <w:tc>
          <w:tcPr>
            <w:tcW w:w="2268" w:type="dxa"/>
            <w:vAlign w:val="center"/>
          </w:tcPr>
          <w:p w14:paraId="2F23D1C2">
            <w:pPr>
              <w:pStyle w:val="33"/>
              <w:rPr>
                <w:color w:val="auto"/>
              </w:rPr>
            </w:pPr>
          </w:p>
        </w:tc>
      </w:tr>
      <w:tr w14:paraId="78929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878966F">
            <w:pPr>
              <w:pStyle w:val="33"/>
              <w:rPr>
                <w:color w:val="auto"/>
              </w:rPr>
            </w:pPr>
          </w:p>
        </w:tc>
        <w:tc>
          <w:tcPr>
            <w:tcW w:w="1524" w:type="dxa"/>
            <w:vMerge w:val="continue"/>
            <w:vAlign w:val="center"/>
          </w:tcPr>
          <w:p w14:paraId="55300494">
            <w:pPr>
              <w:pStyle w:val="33"/>
              <w:rPr>
                <w:color w:val="auto"/>
              </w:rPr>
            </w:pPr>
          </w:p>
        </w:tc>
        <w:tc>
          <w:tcPr>
            <w:tcW w:w="1584" w:type="dxa"/>
            <w:vMerge w:val="continue"/>
            <w:vAlign w:val="center"/>
          </w:tcPr>
          <w:p w14:paraId="2E2C7CF4">
            <w:pPr>
              <w:pStyle w:val="33"/>
              <w:rPr>
                <w:color w:val="auto"/>
              </w:rPr>
            </w:pPr>
          </w:p>
        </w:tc>
        <w:tc>
          <w:tcPr>
            <w:tcW w:w="2565" w:type="dxa"/>
            <w:vAlign w:val="center"/>
          </w:tcPr>
          <w:p w14:paraId="7BC278A6">
            <w:pPr>
              <w:pStyle w:val="33"/>
              <w:rPr>
                <w:color w:val="auto"/>
              </w:rPr>
            </w:pPr>
            <w:r>
              <w:rPr>
                <w:color w:val="auto"/>
              </w:rPr>
              <w:t>最大超标倍数</w:t>
            </w:r>
          </w:p>
        </w:tc>
        <w:tc>
          <w:tcPr>
            <w:tcW w:w="2268" w:type="dxa"/>
            <w:vAlign w:val="center"/>
          </w:tcPr>
          <w:p w14:paraId="6E9B7A9A">
            <w:pPr>
              <w:pStyle w:val="33"/>
              <w:rPr>
                <w:color w:val="auto"/>
              </w:rPr>
            </w:pPr>
          </w:p>
        </w:tc>
      </w:tr>
      <w:tr w14:paraId="60EED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B243594">
            <w:pPr>
              <w:pStyle w:val="33"/>
              <w:rPr>
                <w:color w:val="auto"/>
              </w:rPr>
            </w:pPr>
          </w:p>
        </w:tc>
        <w:tc>
          <w:tcPr>
            <w:tcW w:w="1524" w:type="dxa"/>
            <w:vMerge w:val="restart"/>
            <w:vAlign w:val="center"/>
          </w:tcPr>
          <w:p w14:paraId="27284768">
            <w:pPr>
              <w:pStyle w:val="33"/>
              <w:rPr>
                <w:color w:val="auto"/>
              </w:rPr>
            </w:pPr>
            <w:r>
              <w:rPr>
                <w:color w:val="auto"/>
              </w:rPr>
              <w:t>悬浮物</w:t>
            </w:r>
          </w:p>
        </w:tc>
        <w:tc>
          <w:tcPr>
            <w:tcW w:w="1584" w:type="dxa"/>
            <w:vMerge w:val="restart"/>
            <w:vAlign w:val="center"/>
          </w:tcPr>
          <w:p w14:paraId="4F48360D">
            <w:pPr>
              <w:pStyle w:val="33"/>
              <w:rPr>
                <w:color w:val="auto"/>
              </w:rPr>
            </w:pPr>
            <w:r>
              <w:rPr>
                <w:color w:val="auto"/>
              </w:rPr>
              <w:t>100</w:t>
            </w:r>
          </w:p>
        </w:tc>
        <w:tc>
          <w:tcPr>
            <w:tcW w:w="2565" w:type="dxa"/>
            <w:vAlign w:val="center"/>
          </w:tcPr>
          <w:p w14:paraId="204E5F53">
            <w:pPr>
              <w:pStyle w:val="33"/>
              <w:rPr>
                <w:color w:val="auto"/>
              </w:rPr>
            </w:pPr>
            <w:r>
              <w:rPr>
                <w:color w:val="auto"/>
              </w:rPr>
              <w:t>监测值</w:t>
            </w:r>
          </w:p>
        </w:tc>
        <w:tc>
          <w:tcPr>
            <w:tcW w:w="2268" w:type="dxa"/>
            <w:vAlign w:val="center"/>
          </w:tcPr>
          <w:p w14:paraId="79ABBB61">
            <w:pPr>
              <w:pStyle w:val="33"/>
              <w:rPr>
                <w:color w:val="auto"/>
              </w:rPr>
            </w:pPr>
          </w:p>
        </w:tc>
      </w:tr>
      <w:tr w14:paraId="146D3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4FDECC8">
            <w:pPr>
              <w:pStyle w:val="33"/>
              <w:rPr>
                <w:color w:val="auto"/>
              </w:rPr>
            </w:pPr>
          </w:p>
        </w:tc>
        <w:tc>
          <w:tcPr>
            <w:tcW w:w="1524" w:type="dxa"/>
            <w:vMerge w:val="continue"/>
            <w:vAlign w:val="center"/>
          </w:tcPr>
          <w:p w14:paraId="5C71923E">
            <w:pPr>
              <w:pStyle w:val="33"/>
              <w:rPr>
                <w:color w:val="auto"/>
              </w:rPr>
            </w:pPr>
          </w:p>
        </w:tc>
        <w:tc>
          <w:tcPr>
            <w:tcW w:w="1584" w:type="dxa"/>
            <w:vMerge w:val="continue"/>
            <w:vAlign w:val="center"/>
          </w:tcPr>
          <w:p w14:paraId="0C042959">
            <w:pPr>
              <w:pStyle w:val="33"/>
              <w:rPr>
                <w:color w:val="auto"/>
              </w:rPr>
            </w:pPr>
          </w:p>
        </w:tc>
        <w:tc>
          <w:tcPr>
            <w:tcW w:w="2565" w:type="dxa"/>
            <w:vAlign w:val="center"/>
          </w:tcPr>
          <w:p w14:paraId="16B2E020">
            <w:pPr>
              <w:pStyle w:val="33"/>
              <w:rPr>
                <w:color w:val="auto"/>
              </w:rPr>
            </w:pPr>
            <w:r>
              <w:rPr>
                <w:color w:val="auto"/>
              </w:rPr>
              <w:t>Pi值</w:t>
            </w:r>
          </w:p>
        </w:tc>
        <w:tc>
          <w:tcPr>
            <w:tcW w:w="2268" w:type="dxa"/>
            <w:vAlign w:val="center"/>
          </w:tcPr>
          <w:p w14:paraId="674CE638">
            <w:pPr>
              <w:pStyle w:val="33"/>
              <w:rPr>
                <w:color w:val="auto"/>
              </w:rPr>
            </w:pPr>
          </w:p>
        </w:tc>
      </w:tr>
      <w:tr w14:paraId="454D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3CB9AA5F">
            <w:pPr>
              <w:pStyle w:val="33"/>
              <w:rPr>
                <w:color w:val="auto"/>
              </w:rPr>
            </w:pPr>
          </w:p>
        </w:tc>
        <w:tc>
          <w:tcPr>
            <w:tcW w:w="1524" w:type="dxa"/>
            <w:vMerge w:val="continue"/>
            <w:vAlign w:val="center"/>
          </w:tcPr>
          <w:p w14:paraId="39C9D4FB">
            <w:pPr>
              <w:pStyle w:val="33"/>
              <w:rPr>
                <w:color w:val="auto"/>
              </w:rPr>
            </w:pPr>
          </w:p>
        </w:tc>
        <w:tc>
          <w:tcPr>
            <w:tcW w:w="1584" w:type="dxa"/>
            <w:vMerge w:val="continue"/>
            <w:vAlign w:val="center"/>
          </w:tcPr>
          <w:p w14:paraId="0EFC6C31">
            <w:pPr>
              <w:pStyle w:val="33"/>
              <w:rPr>
                <w:color w:val="auto"/>
              </w:rPr>
            </w:pPr>
          </w:p>
        </w:tc>
        <w:tc>
          <w:tcPr>
            <w:tcW w:w="2565" w:type="dxa"/>
            <w:vAlign w:val="center"/>
          </w:tcPr>
          <w:p w14:paraId="04CF4076">
            <w:pPr>
              <w:pStyle w:val="33"/>
              <w:rPr>
                <w:color w:val="auto"/>
              </w:rPr>
            </w:pPr>
            <w:r>
              <w:rPr>
                <w:color w:val="auto"/>
              </w:rPr>
              <w:t>超标率</w:t>
            </w:r>
          </w:p>
        </w:tc>
        <w:tc>
          <w:tcPr>
            <w:tcW w:w="2268" w:type="dxa"/>
            <w:vAlign w:val="center"/>
          </w:tcPr>
          <w:p w14:paraId="1DE8AC3C">
            <w:pPr>
              <w:pStyle w:val="33"/>
              <w:rPr>
                <w:color w:val="auto"/>
              </w:rPr>
            </w:pPr>
          </w:p>
        </w:tc>
      </w:tr>
      <w:tr w14:paraId="0CD98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C6E8216">
            <w:pPr>
              <w:pStyle w:val="33"/>
              <w:rPr>
                <w:color w:val="auto"/>
              </w:rPr>
            </w:pPr>
          </w:p>
        </w:tc>
        <w:tc>
          <w:tcPr>
            <w:tcW w:w="1524" w:type="dxa"/>
            <w:vMerge w:val="continue"/>
            <w:vAlign w:val="center"/>
          </w:tcPr>
          <w:p w14:paraId="46816440">
            <w:pPr>
              <w:pStyle w:val="33"/>
              <w:rPr>
                <w:color w:val="auto"/>
              </w:rPr>
            </w:pPr>
          </w:p>
        </w:tc>
        <w:tc>
          <w:tcPr>
            <w:tcW w:w="1584" w:type="dxa"/>
            <w:vMerge w:val="continue"/>
            <w:vAlign w:val="center"/>
          </w:tcPr>
          <w:p w14:paraId="6CEFD86B">
            <w:pPr>
              <w:pStyle w:val="33"/>
              <w:rPr>
                <w:color w:val="auto"/>
              </w:rPr>
            </w:pPr>
          </w:p>
        </w:tc>
        <w:tc>
          <w:tcPr>
            <w:tcW w:w="2565" w:type="dxa"/>
            <w:vAlign w:val="center"/>
          </w:tcPr>
          <w:p w14:paraId="484E73A9">
            <w:pPr>
              <w:pStyle w:val="33"/>
              <w:rPr>
                <w:color w:val="auto"/>
              </w:rPr>
            </w:pPr>
            <w:r>
              <w:rPr>
                <w:color w:val="auto"/>
              </w:rPr>
              <w:t>最大超标倍数</w:t>
            </w:r>
          </w:p>
        </w:tc>
        <w:tc>
          <w:tcPr>
            <w:tcW w:w="2268" w:type="dxa"/>
            <w:vAlign w:val="center"/>
          </w:tcPr>
          <w:p w14:paraId="04B7FEBA">
            <w:pPr>
              <w:pStyle w:val="33"/>
              <w:rPr>
                <w:color w:val="auto"/>
              </w:rPr>
            </w:pPr>
          </w:p>
        </w:tc>
      </w:tr>
      <w:tr w14:paraId="58BC0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FC3BD2A">
            <w:pPr>
              <w:pStyle w:val="33"/>
              <w:rPr>
                <w:color w:val="auto"/>
              </w:rPr>
            </w:pPr>
          </w:p>
        </w:tc>
        <w:tc>
          <w:tcPr>
            <w:tcW w:w="1524" w:type="dxa"/>
            <w:vMerge w:val="restart"/>
            <w:vAlign w:val="center"/>
          </w:tcPr>
          <w:p w14:paraId="633C9F57">
            <w:pPr>
              <w:pStyle w:val="33"/>
              <w:rPr>
                <w:color w:val="auto"/>
              </w:rPr>
            </w:pPr>
            <w:r>
              <w:rPr>
                <w:color w:val="auto"/>
              </w:rPr>
              <w:t>化学需氧量</w:t>
            </w:r>
          </w:p>
        </w:tc>
        <w:tc>
          <w:tcPr>
            <w:tcW w:w="1584" w:type="dxa"/>
            <w:vMerge w:val="restart"/>
            <w:vAlign w:val="center"/>
          </w:tcPr>
          <w:p w14:paraId="27B9B774">
            <w:pPr>
              <w:pStyle w:val="33"/>
              <w:rPr>
                <w:color w:val="auto"/>
              </w:rPr>
            </w:pPr>
            <w:r>
              <w:rPr>
                <w:color w:val="auto"/>
              </w:rPr>
              <w:t>4</w:t>
            </w:r>
          </w:p>
        </w:tc>
        <w:tc>
          <w:tcPr>
            <w:tcW w:w="2565" w:type="dxa"/>
            <w:vAlign w:val="center"/>
          </w:tcPr>
          <w:p w14:paraId="1ABFB7BB">
            <w:pPr>
              <w:pStyle w:val="33"/>
              <w:rPr>
                <w:color w:val="auto"/>
              </w:rPr>
            </w:pPr>
            <w:r>
              <w:rPr>
                <w:color w:val="auto"/>
              </w:rPr>
              <w:t>监测值</w:t>
            </w:r>
          </w:p>
        </w:tc>
        <w:tc>
          <w:tcPr>
            <w:tcW w:w="2268" w:type="dxa"/>
            <w:vAlign w:val="center"/>
          </w:tcPr>
          <w:p w14:paraId="47F84B90">
            <w:pPr>
              <w:pStyle w:val="33"/>
              <w:rPr>
                <w:color w:val="auto"/>
              </w:rPr>
            </w:pPr>
          </w:p>
        </w:tc>
      </w:tr>
      <w:tr w14:paraId="468BE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0A0184E">
            <w:pPr>
              <w:pStyle w:val="33"/>
              <w:rPr>
                <w:color w:val="auto"/>
              </w:rPr>
            </w:pPr>
          </w:p>
        </w:tc>
        <w:tc>
          <w:tcPr>
            <w:tcW w:w="1524" w:type="dxa"/>
            <w:vMerge w:val="continue"/>
            <w:vAlign w:val="center"/>
          </w:tcPr>
          <w:p w14:paraId="58D14C70">
            <w:pPr>
              <w:pStyle w:val="33"/>
              <w:rPr>
                <w:color w:val="auto"/>
              </w:rPr>
            </w:pPr>
          </w:p>
        </w:tc>
        <w:tc>
          <w:tcPr>
            <w:tcW w:w="1584" w:type="dxa"/>
            <w:vMerge w:val="continue"/>
            <w:vAlign w:val="center"/>
          </w:tcPr>
          <w:p w14:paraId="706E584D">
            <w:pPr>
              <w:pStyle w:val="33"/>
              <w:rPr>
                <w:color w:val="auto"/>
              </w:rPr>
            </w:pPr>
          </w:p>
        </w:tc>
        <w:tc>
          <w:tcPr>
            <w:tcW w:w="2565" w:type="dxa"/>
            <w:vAlign w:val="center"/>
          </w:tcPr>
          <w:p w14:paraId="543E663A">
            <w:pPr>
              <w:pStyle w:val="33"/>
              <w:rPr>
                <w:color w:val="auto"/>
              </w:rPr>
            </w:pPr>
            <w:r>
              <w:rPr>
                <w:color w:val="auto"/>
              </w:rPr>
              <w:t>Pi值</w:t>
            </w:r>
          </w:p>
        </w:tc>
        <w:tc>
          <w:tcPr>
            <w:tcW w:w="2268" w:type="dxa"/>
            <w:vAlign w:val="center"/>
          </w:tcPr>
          <w:p w14:paraId="78E49A68">
            <w:pPr>
              <w:pStyle w:val="33"/>
              <w:rPr>
                <w:color w:val="auto"/>
              </w:rPr>
            </w:pPr>
          </w:p>
        </w:tc>
      </w:tr>
      <w:tr w14:paraId="64A52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0214407">
            <w:pPr>
              <w:pStyle w:val="33"/>
              <w:rPr>
                <w:color w:val="auto"/>
              </w:rPr>
            </w:pPr>
          </w:p>
        </w:tc>
        <w:tc>
          <w:tcPr>
            <w:tcW w:w="1524" w:type="dxa"/>
            <w:vMerge w:val="continue"/>
            <w:vAlign w:val="center"/>
          </w:tcPr>
          <w:p w14:paraId="173B6AF5">
            <w:pPr>
              <w:pStyle w:val="33"/>
              <w:rPr>
                <w:color w:val="auto"/>
              </w:rPr>
            </w:pPr>
          </w:p>
        </w:tc>
        <w:tc>
          <w:tcPr>
            <w:tcW w:w="1584" w:type="dxa"/>
            <w:vMerge w:val="continue"/>
            <w:vAlign w:val="center"/>
          </w:tcPr>
          <w:p w14:paraId="5D82E523">
            <w:pPr>
              <w:pStyle w:val="33"/>
              <w:rPr>
                <w:color w:val="auto"/>
              </w:rPr>
            </w:pPr>
          </w:p>
        </w:tc>
        <w:tc>
          <w:tcPr>
            <w:tcW w:w="2565" w:type="dxa"/>
            <w:vAlign w:val="center"/>
          </w:tcPr>
          <w:p w14:paraId="019D5767">
            <w:pPr>
              <w:pStyle w:val="33"/>
              <w:rPr>
                <w:color w:val="auto"/>
              </w:rPr>
            </w:pPr>
            <w:r>
              <w:rPr>
                <w:color w:val="auto"/>
              </w:rPr>
              <w:t>超标率</w:t>
            </w:r>
          </w:p>
        </w:tc>
        <w:tc>
          <w:tcPr>
            <w:tcW w:w="2268" w:type="dxa"/>
            <w:vAlign w:val="center"/>
          </w:tcPr>
          <w:p w14:paraId="0C2EAE63">
            <w:pPr>
              <w:pStyle w:val="33"/>
              <w:rPr>
                <w:color w:val="auto"/>
              </w:rPr>
            </w:pPr>
          </w:p>
        </w:tc>
      </w:tr>
      <w:tr w14:paraId="73FE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E353B4A">
            <w:pPr>
              <w:pStyle w:val="33"/>
              <w:rPr>
                <w:color w:val="auto"/>
              </w:rPr>
            </w:pPr>
          </w:p>
        </w:tc>
        <w:tc>
          <w:tcPr>
            <w:tcW w:w="1524" w:type="dxa"/>
            <w:vMerge w:val="continue"/>
            <w:vAlign w:val="center"/>
          </w:tcPr>
          <w:p w14:paraId="4B30426D">
            <w:pPr>
              <w:pStyle w:val="33"/>
              <w:rPr>
                <w:color w:val="auto"/>
              </w:rPr>
            </w:pPr>
          </w:p>
        </w:tc>
        <w:tc>
          <w:tcPr>
            <w:tcW w:w="1584" w:type="dxa"/>
            <w:vMerge w:val="continue"/>
            <w:vAlign w:val="center"/>
          </w:tcPr>
          <w:p w14:paraId="15712073">
            <w:pPr>
              <w:pStyle w:val="33"/>
              <w:rPr>
                <w:color w:val="auto"/>
              </w:rPr>
            </w:pPr>
          </w:p>
        </w:tc>
        <w:tc>
          <w:tcPr>
            <w:tcW w:w="2565" w:type="dxa"/>
            <w:vAlign w:val="center"/>
          </w:tcPr>
          <w:p w14:paraId="2FF68EE1">
            <w:pPr>
              <w:pStyle w:val="33"/>
              <w:rPr>
                <w:color w:val="auto"/>
              </w:rPr>
            </w:pPr>
            <w:r>
              <w:rPr>
                <w:color w:val="auto"/>
              </w:rPr>
              <w:t>最大超标倍数</w:t>
            </w:r>
          </w:p>
        </w:tc>
        <w:tc>
          <w:tcPr>
            <w:tcW w:w="2268" w:type="dxa"/>
            <w:vAlign w:val="center"/>
          </w:tcPr>
          <w:p w14:paraId="20D422EF">
            <w:pPr>
              <w:pStyle w:val="33"/>
              <w:rPr>
                <w:color w:val="auto"/>
              </w:rPr>
            </w:pPr>
          </w:p>
        </w:tc>
      </w:tr>
      <w:tr w14:paraId="6D7B2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BBE34EA">
            <w:pPr>
              <w:pStyle w:val="33"/>
              <w:rPr>
                <w:color w:val="auto"/>
              </w:rPr>
            </w:pPr>
          </w:p>
        </w:tc>
        <w:tc>
          <w:tcPr>
            <w:tcW w:w="1524" w:type="dxa"/>
            <w:vMerge w:val="restart"/>
            <w:vAlign w:val="center"/>
          </w:tcPr>
          <w:p w14:paraId="4B0101CC">
            <w:pPr>
              <w:pStyle w:val="33"/>
              <w:rPr>
                <w:color w:val="auto"/>
              </w:rPr>
            </w:pPr>
            <w:r>
              <w:rPr>
                <w:color w:val="auto"/>
              </w:rPr>
              <w:t>溶解氧</w:t>
            </w:r>
          </w:p>
        </w:tc>
        <w:tc>
          <w:tcPr>
            <w:tcW w:w="1584" w:type="dxa"/>
            <w:vMerge w:val="restart"/>
            <w:vAlign w:val="center"/>
          </w:tcPr>
          <w:p w14:paraId="00AED4A4">
            <w:pPr>
              <w:pStyle w:val="33"/>
              <w:rPr>
                <w:color w:val="auto"/>
              </w:rPr>
            </w:pPr>
            <w:r>
              <w:rPr>
                <w:color w:val="auto"/>
              </w:rPr>
              <w:t>4</w:t>
            </w:r>
          </w:p>
        </w:tc>
        <w:tc>
          <w:tcPr>
            <w:tcW w:w="2565" w:type="dxa"/>
            <w:vAlign w:val="center"/>
          </w:tcPr>
          <w:p w14:paraId="4E204FC6">
            <w:pPr>
              <w:pStyle w:val="33"/>
              <w:rPr>
                <w:color w:val="auto"/>
              </w:rPr>
            </w:pPr>
            <w:r>
              <w:rPr>
                <w:color w:val="auto"/>
              </w:rPr>
              <w:t>监测值</w:t>
            </w:r>
          </w:p>
        </w:tc>
        <w:tc>
          <w:tcPr>
            <w:tcW w:w="2268" w:type="dxa"/>
            <w:vAlign w:val="center"/>
          </w:tcPr>
          <w:p w14:paraId="48A1419C">
            <w:pPr>
              <w:pStyle w:val="33"/>
              <w:rPr>
                <w:color w:val="auto"/>
              </w:rPr>
            </w:pPr>
          </w:p>
        </w:tc>
      </w:tr>
      <w:tr w14:paraId="0D454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94E80A6">
            <w:pPr>
              <w:pStyle w:val="33"/>
              <w:rPr>
                <w:color w:val="auto"/>
              </w:rPr>
            </w:pPr>
          </w:p>
        </w:tc>
        <w:tc>
          <w:tcPr>
            <w:tcW w:w="1524" w:type="dxa"/>
            <w:vMerge w:val="continue"/>
            <w:vAlign w:val="center"/>
          </w:tcPr>
          <w:p w14:paraId="43AA1F2B">
            <w:pPr>
              <w:pStyle w:val="33"/>
              <w:rPr>
                <w:color w:val="auto"/>
              </w:rPr>
            </w:pPr>
          </w:p>
        </w:tc>
        <w:tc>
          <w:tcPr>
            <w:tcW w:w="1584" w:type="dxa"/>
            <w:vMerge w:val="continue"/>
            <w:vAlign w:val="center"/>
          </w:tcPr>
          <w:p w14:paraId="707A9DAB">
            <w:pPr>
              <w:pStyle w:val="33"/>
              <w:rPr>
                <w:color w:val="auto"/>
              </w:rPr>
            </w:pPr>
          </w:p>
        </w:tc>
        <w:tc>
          <w:tcPr>
            <w:tcW w:w="2565" w:type="dxa"/>
            <w:vAlign w:val="center"/>
          </w:tcPr>
          <w:p w14:paraId="2AFF9C4A">
            <w:pPr>
              <w:pStyle w:val="33"/>
              <w:rPr>
                <w:color w:val="auto"/>
              </w:rPr>
            </w:pPr>
            <w:r>
              <w:rPr>
                <w:color w:val="auto"/>
              </w:rPr>
              <w:t>Pi值</w:t>
            </w:r>
          </w:p>
        </w:tc>
        <w:tc>
          <w:tcPr>
            <w:tcW w:w="2268" w:type="dxa"/>
            <w:vAlign w:val="center"/>
          </w:tcPr>
          <w:p w14:paraId="2B1B7D67">
            <w:pPr>
              <w:pStyle w:val="33"/>
              <w:rPr>
                <w:color w:val="auto"/>
              </w:rPr>
            </w:pPr>
          </w:p>
        </w:tc>
      </w:tr>
      <w:tr w14:paraId="0A76D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3607DE75">
            <w:pPr>
              <w:pStyle w:val="33"/>
              <w:rPr>
                <w:color w:val="auto"/>
              </w:rPr>
            </w:pPr>
          </w:p>
        </w:tc>
        <w:tc>
          <w:tcPr>
            <w:tcW w:w="1524" w:type="dxa"/>
            <w:vMerge w:val="continue"/>
            <w:vAlign w:val="center"/>
          </w:tcPr>
          <w:p w14:paraId="66EE087E">
            <w:pPr>
              <w:pStyle w:val="33"/>
              <w:rPr>
                <w:color w:val="auto"/>
              </w:rPr>
            </w:pPr>
          </w:p>
        </w:tc>
        <w:tc>
          <w:tcPr>
            <w:tcW w:w="1584" w:type="dxa"/>
            <w:vMerge w:val="continue"/>
            <w:vAlign w:val="center"/>
          </w:tcPr>
          <w:p w14:paraId="54C8A962">
            <w:pPr>
              <w:pStyle w:val="33"/>
              <w:rPr>
                <w:color w:val="auto"/>
              </w:rPr>
            </w:pPr>
          </w:p>
        </w:tc>
        <w:tc>
          <w:tcPr>
            <w:tcW w:w="2565" w:type="dxa"/>
            <w:vAlign w:val="center"/>
          </w:tcPr>
          <w:p w14:paraId="3116E5C0">
            <w:pPr>
              <w:pStyle w:val="33"/>
              <w:rPr>
                <w:color w:val="auto"/>
              </w:rPr>
            </w:pPr>
            <w:r>
              <w:rPr>
                <w:color w:val="auto"/>
              </w:rPr>
              <w:t>超标率</w:t>
            </w:r>
          </w:p>
        </w:tc>
        <w:tc>
          <w:tcPr>
            <w:tcW w:w="2268" w:type="dxa"/>
            <w:vAlign w:val="center"/>
          </w:tcPr>
          <w:p w14:paraId="5678C5B9">
            <w:pPr>
              <w:pStyle w:val="33"/>
              <w:rPr>
                <w:color w:val="auto"/>
              </w:rPr>
            </w:pPr>
          </w:p>
        </w:tc>
      </w:tr>
      <w:tr w14:paraId="5A340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BBAD927">
            <w:pPr>
              <w:pStyle w:val="33"/>
              <w:rPr>
                <w:color w:val="auto"/>
              </w:rPr>
            </w:pPr>
          </w:p>
        </w:tc>
        <w:tc>
          <w:tcPr>
            <w:tcW w:w="1524" w:type="dxa"/>
            <w:vMerge w:val="continue"/>
            <w:vAlign w:val="center"/>
          </w:tcPr>
          <w:p w14:paraId="1A295E79">
            <w:pPr>
              <w:pStyle w:val="33"/>
              <w:rPr>
                <w:color w:val="auto"/>
              </w:rPr>
            </w:pPr>
          </w:p>
        </w:tc>
        <w:tc>
          <w:tcPr>
            <w:tcW w:w="1584" w:type="dxa"/>
            <w:vMerge w:val="continue"/>
            <w:vAlign w:val="center"/>
          </w:tcPr>
          <w:p w14:paraId="401A0F5D">
            <w:pPr>
              <w:pStyle w:val="33"/>
              <w:rPr>
                <w:color w:val="auto"/>
              </w:rPr>
            </w:pPr>
          </w:p>
        </w:tc>
        <w:tc>
          <w:tcPr>
            <w:tcW w:w="2565" w:type="dxa"/>
            <w:vAlign w:val="center"/>
          </w:tcPr>
          <w:p w14:paraId="42CC4098">
            <w:pPr>
              <w:pStyle w:val="33"/>
              <w:rPr>
                <w:color w:val="auto"/>
              </w:rPr>
            </w:pPr>
            <w:r>
              <w:rPr>
                <w:color w:val="auto"/>
              </w:rPr>
              <w:t>最大超标倍数</w:t>
            </w:r>
          </w:p>
        </w:tc>
        <w:tc>
          <w:tcPr>
            <w:tcW w:w="2268" w:type="dxa"/>
            <w:vAlign w:val="center"/>
          </w:tcPr>
          <w:p w14:paraId="30D6F0F2">
            <w:pPr>
              <w:pStyle w:val="33"/>
              <w:rPr>
                <w:color w:val="auto"/>
              </w:rPr>
            </w:pPr>
          </w:p>
        </w:tc>
      </w:tr>
      <w:tr w14:paraId="5B067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18C2C3E2">
            <w:pPr>
              <w:pStyle w:val="33"/>
              <w:rPr>
                <w:color w:val="auto"/>
              </w:rPr>
            </w:pPr>
          </w:p>
        </w:tc>
        <w:tc>
          <w:tcPr>
            <w:tcW w:w="1524" w:type="dxa"/>
            <w:vMerge w:val="restart"/>
            <w:vAlign w:val="center"/>
          </w:tcPr>
          <w:p w14:paraId="02E16F2D">
            <w:pPr>
              <w:pStyle w:val="33"/>
              <w:rPr>
                <w:color w:val="auto"/>
              </w:rPr>
            </w:pPr>
            <w:r>
              <w:rPr>
                <w:color w:val="auto"/>
              </w:rPr>
              <w:t>无机氮</w:t>
            </w:r>
          </w:p>
        </w:tc>
        <w:tc>
          <w:tcPr>
            <w:tcW w:w="1584" w:type="dxa"/>
            <w:vMerge w:val="restart"/>
            <w:vAlign w:val="center"/>
          </w:tcPr>
          <w:p w14:paraId="1D72BC0F">
            <w:pPr>
              <w:pStyle w:val="33"/>
              <w:rPr>
                <w:color w:val="auto"/>
              </w:rPr>
            </w:pPr>
            <w:r>
              <w:rPr>
                <w:color w:val="auto"/>
              </w:rPr>
              <w:t>0.4</w:t>
            </w:r>
          </w:p>
        </w:tc>
        <w:tc>
          <w:tcPr>
            <w:tcW w:w="2565" w:type="dxa"/>
            <w:vAlign w:val="center"/>
          </w:tcPr>
          <w:p w14:paraId="55A55375">
            <w:pPr>
              <w:pStyle w:val="33"/>
              <w:rPr>
                <w:color w:val="auto"/>
              </w:rPr>
            </w:pPr>
            <w:r>
              <w:rPr>
                <w:color w:val="auto"/>
              </w:rPr>
              <w:t>监测值</w:t>
            </w:r>
          </w:p>
        </w:tc>
        <w:tc>
          <w:tcPr>
            <w:tcW w:w="2268" w:type="dxa"/>
            <w:vAlign w:val="center"/>
          </w:tcPr>
          <w:p w14:paraId="427F8F56">
            <w:pPr>
              <w:pStyle w:val="33"/>
              <w:rPr>
                <w:color w:val="auto"/>
              </w:rPr>
            </w:pPr>
          </w:p>
        </w:tc>
      </w:tr>
      <w:tr w14:paraId="15688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158BA8B">
            <w:pPr>
              <w:pStyle w:val="33"/>
              <w:rPr>
                <w:color w:val="auto"/>
              </w:rPr>
            </w:pPr>
          </w:p>
        </w:tc>
        <w:tc>
          <w:tcPr>
            <w:tcW w:w="1524" w:type="dxa"/>
            <w:vMerge w:val="continue"/>
            <w:vAlign w:val="center"/>
          </w:tcPr>
          <w:p w14:paraId="63F9250F">
            <w:pPr>
              <w:pStyle w:val="33"/>
              <w:rPr>
                <w:color w:val="auto"/>
              </w:rPr>
            </w:pPr>
          </w:p>
        </w:tc>
        <w:tc>
          <w:tcPr>
            <w:tcW w:w="1584" w:type="dxa"/>
            <w:vMerge w:val="continue"/>
            <w:vAlign w:val="center"/>
          </w:tcPr>
          <w:p w14:paraId="680FA3FD">
            <w:pPr>
              <w:pStyle w:val="33"/>
              <w:rPr>
                <w:color w:val="auto"/>
              </w:rPr>
            </w:pPr>
          </w:p>
        </w:tc>
        <w:tc>
          <w:tcPr>
            <w:tcW w:w="2565" w:type="dxa"/>
            <w:vAlign w:val="center"/>
          </w:tcPr>
          <w:p w14:paraId="3B12FE32">
            <w:pPr>
              <w:pStyle w:val="33"/>
              <w:rPr>
                <w:color w:val="auto"/>
              </w:rPr>
            </w:pPr>
            <w:r>
              <w:rPr>
                <w:color w:val="auto"/>
              </w:rPr>
              <w:t>Pi值</w:t>
            </w:r>
          </w:p>
        </w:tc>
        <w:tc>
          <w:tcPr>
            <w:tcW w:w="2268" w:type="dxa"/>
            <w:vAlign w:val="center"/>
          </w:tcPr>
          <w:p w14:paraId="62AEA379">
            <w:pPr>
              <w:pStyle w:val="33"/>
              <w:rPr>
                <w:color w:val="auto"/>
              </w:rPr>
            </w:pPr>
          </w:p>
        </w:tc>
      </w:tr>
      <w:tr w14:paraId="48AA6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69CF86B">
            <w:pPr>
              <w:pStyle w:val="33"/>
              <w:rPr>
                <w:color w:val="auto"/>
              </w:rPr>
            </w:pPr>
          </w:p>
        </w:tc>
        <w:tc>
          <w:tcPr>
            <w:tcW w:w="1524" w:type="dxa"/>
            <w:vMerge w:val="continue"/>
            <w:vAlign w:val="center"/>
          </w:tcPr>
          <w:p w14:paraId="2EF31E74">
            <w:pPr>
              <w:pStyle w:val="33"/>
              <w:rPr>
                <w:color w:val="auto"/>
              </w:rPr>
            </w:pPr>
          </w:p>
        </w:tc>
        <w:tc>
          <w:tcPr>
            <w:tcW w:w="1584" w:type="dxa"/>
            <w:vMerge w:val="continue"/>
            <w:vAlign w:val="center"/>
          </w:tcPr>
          <w:p w14:paraId="3FE40C1A">
            <w:pPr>
              <w:pStyle w:val="33"/>
              <w:rPr>
                <w:color w:val="auto"/>
              </w:rPr>
            </w:pPr>
          </w:p>
        </w:tc>
        <w:tc>
          <w:tcPr>
            <w:tcW w:w="2565" w:type="dxa"/>
            <w:vAlign w:val="center"/>
          </w:tcPr>
          <w:p w14:paraId="2AB1119F">
            <w:pPr>
              <w:pStyle w:val="33"/>
              <w:rPr>
                <w:color w:val="auto"/>
              </w:rPr>
            </w:pPr>
            <w:r>
              <w:rPr>
                <w:color w:val="auto"/>
              </w:rPr>
              <w:t>超标率</w:t>
            </w:r>
          </w:p>
        </w:tc>
        <w:tc>
          <w:tcPr>
            <w:tcW w:w="2268" w:type="dxa"/>
            <w:vAlign w:val="center"/>
          </w:tcPr>
          <w:p w14:paraId="65FDC1DF">
            <w:pPr>
              <w:pStyle w:val="33"/>
              <w:rPr>
                <w:color w:val="auto"/>
              </w:rPr>
            </w:pPr>
          </w:p>
        </w:tc>
      </w:tr>
      <w:tr w14:paraId="1DA5E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B796DB2">
            <w:pPr>
              <w:pStyle w:val="33"/>
              <w:rPr>
                <w:color w:val="auto"/>
              </w:rPr>
            </w:pPr>
          </w:p>
        </w:tc>
        <w:tc>
          <w:tcPr>
            <w:tcW w:w="1524" w:type="dxa"/>
            <w:vMerge w:val="continue"/>
            <w:vAlign w:val="center"/>
          </w:tcPr>
          <w:p w14:paraId="0C721CA9">
            <w:pPr>
              <w:pStyle w:val="33"/>
              <w:rPr>
                <w:color w:val="auto"/>
              </w:rPr>
            </w:pPr>
          </w:p>
        </w:tc>
        <w:tc>
          <w:tcPr>
            <w:tcW w:w="1584" w:type="dxa"/>
            <w:vMerge w:val="continue"/>
            <w:vAlign w:val="center"/>
          </w:tcPr>
          <w:p w14:paraId="10C22E74">
            <w:pPr>
              <w:pStyle w:val="33"/>
              <w:rPr>
                <w:color w:val="auto"/>
              </w:rPr>
            </w:pPr>
          </w:p>
        </w:tc>
        <w:tc>
          <w:tcPr>
            <w:tcW w:w="2565" w:type="dxa"/>
            <w:vAlign w:val="center"/>
          </w:tcPr>
          <w:p w14:paraId="047CCE51">
            <w:pPr>
              <w:pStyle w:val="33"/>
              <w:rPr>
                <w:color w:val="auto"/>
              </w:rPr>
            </w:pPr>
            <w:r>
              <w:rPr>
                <w:color w:val="auto"/>
              </w:rPr>
              <w:t>最大超标倍数</w:t>
            </w:r>
          </w:p>
        </w:tc>
        <w:tc>
          <w:tcPr>
            <w:tcW w:w="2268" w:type="dxa"/>
            <w:vAlign w:val="center"/>
          </w:tcPr>
          <w:p w14:paraId="4303B96A">
            <w:pPr>
              <w:pStyle w:val="33"/>
              <w:rPr>
                <w:color w:val="auto"/>
              </w:rPr>
            </w:pPr>
          </w:p>
        </w:tc>
      </w:tr>
      <w:tr w14:paraId="2B279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18165FB">
            <w:pPr>
              <w:pStyle w:val="33"/>
              <w:rPr>
                <w:color w:val="auto"/>
              </w:rPr>
            </w:pPr>
          </w:p>
        </w:tc>
        <w:tc>
          <w:tcPr>
            <w:tcW w:w="1524" w:type="dxa"/>
            <w:vMerge w:val="restart"/>
            <w:vAlign w:val="center"/>
          </w:tcPr>
          <w:p w14:paraId="5C31F269">
            <w:pPr>
              <w:pStyle w:val="33"/>
              <w:rPr>
                <w:color w:val="auto"/>
              </w:rPr>
            </w:pPr>
            <w:r>
              <w:rPr>
                <w:color w:val="auto"/>
              </w:rPr>
              <w:t>活性磷酸盐</w:t>
            </w:r>
          </w:p>
        </w:tc>
        <w:tc>
          <w:tcPr>
            <w:tcW w:w="1584" w:type="dxa"/>
            <w:vMerge w:val="restart"/>
            <w:vAlign w:val="center"/>
          </w:tcPr>
          <w:p w14:paraId="032D8C64">
            <w:pPr>
              <w:pStyle w:val="33"/>
              <w:rPr>
                <w:color w:val="auto"/>
              </w:rPr>
            </w:pPr>
            <w:r>
              <w:rPr>
                <w:color w:val="auto"/>
              </w:rPr>
              <w:t>0.03</w:t>
            </w:r>
          </w:p>
        </w:tc>
        <w:tc>
          <w:tcPr>
            <w:tcW w:w="2565" w:type="dxa"/>
            <w:vAlign w:val="center"/>
          </w:tcPr>
          <w:p w14:paraId="056F7E52">
            <w:pPr>
              <w:pStyle w:val="33"/>
              <w:rPr>
                <w:color w:val="auto"/>
              </w:rPr>
            </w:pPr>
            <w:r>
              <w:rPr>
                <w:color w:val="auto"/>
              </w:rPr>
              <w:t>监测值</w:t>
            </w:r>
          </w:p>
        </w:tc>
        <w:tc>
          <w:tcPr>
            <w:tcW w:w="2268" w:type="dxa"/>
            <w:vAlign w:val="center"/>
          </w:tcPr>
          <w:p w14:paraId="214DC6CA">
            <w:pPr>
              <w:pStyle w:val="33"/>
              <w:rPr>
                <w:color w:val="auto"/>
              </w:rPr>
            </w:pPr>
          </w:p>
        </w:tc>
      </w:tr>
      <w:tr w14:paraId="0419C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9F6709B">
            <w:pPr>
              <w:pStyle w:val="33"/>
              <w:rPr>
                <w:color w:val="auto"/>
              </w:rPr>
            </w:pPr>
          </w:p>
        </w:tc>
        <w:tc>
          <w:tcPr>
            <w:tcW w:w="1524" w:type="dxa"/>
            <w:vMerge w:val="continue"/>
            <w:vAlign w:val="center"/>
          </w:tcPr>
          <w:p w14:paraId="6E4AA114">
            <w:pPr>
              <w:pStyle w:val="33"/>
              <w:rPr>
                <w:color w:val="auto"/>
              </w:rPr>
            </w:pPr>
          </w:p>
        </w:tc>
        <w:tc>
          <w:tcPr>
            <w:tcW w:w="1584" w:type="dxa"/>
            <w:vMerge w:val="continue"/>
            <w:vAlign w:val="center"/>
          </w:tcPr>
          <w:p w14:paraId="40127400">
            <w:pPr>
              <w:pStyle w:val="33"/>
              <w:rPr>
                <w:color w:val="auto"/>
              </w:rPr>
            </w:pPr>
          </w:p>
        </w:tc>
        <w:tc>
          <w:tcPr>
            <w:tcW w:w="2565" w:type="dxa"/>
            <w:vAlign w:val="center"/>
          </w:tcPr>
          <w:p w14:paraId="1EF90808">
            <w:pPr>
              <w:pStyle w:val="33"/>
              <w:rPr>
                <w:color w:val="auto"/>
              </w:rPr>
            </w:pPr>
            <w:r>
              <w:rPr>
                <w:color w:val="auto"/>
              </w:rPr>
              <w:t>Pi值</w:t>
            </w:r>
          </w:p>
        </w:tc>
        <w:tc>
          <w:tcPr>
            <w:tcW w:w="2268" w:type="dxa"/>
            <w:vAlign w:val="center"/>
          </w:tcPr>
          <w:p w14:paraId="52B5E130">
            <w:pPr>
              <w:pStyle w:val="33"/>
              <w:rPr>
                <w:color w:val="auto"/>
              </w:rPr>
            </w:pPr>
          </w:p>
        </w:tc>
      </w:tr>
      <w:tr w14:paraId="36398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B8F7668">
            <w:pPr>
              <w:pStyle w:val="33"/>
              <w:rPr>
                <w:color w:val="auto"/>
              </w:rPr>
            </w:pPr>
          </w:p>
        </w:tc>
        <w:tc>
          <w:tcPr>
            <w:tcW w:w="1524" w:type="dxa"/>
            <w:vMerge w:val="continue"/>
            <w:vAlign w:val="center"/>
          </w:tcPr>
          <w:p w14:paraId="79BE6452">
            <w:pPr>
              <w:pStyle w:val="33"/>
              <w:rPr>
                <w:color w:val="auto"/>
              </w:rPr>
            </w:pPr>
          </w:p>
        </w:tc>
        <w:tc>
          <w:tcPr>
            <w:tcW w:w="1584" w:type="dxa"/>
            <w:vMerge w:val="continue"/>
            <w:vAlign w:val="center"/>
          </w:tcPr>
          <w:p w14:paraId="181B9767">
            <w:pPr>
              <w:pStyle w:val="33"/>
              <w:rPr>
                <w:color w:val="auto"/>
              </w:rPr>
            </w:pPr>
          </w:p>
        </w:tc>
        <w:tc>
          <w:tcPr>
            <w:tcW w:w="2565" w:type="dxa"/>
            <w:vAlign w:val="center"/>
          </w:tcPr>
          <w:p w14:paraId="758BF666">
            <w:pPr>
              <w:pStyle w:val="33"/>
              <w:rPr>
                <w:color w:val="auto"/>
              </w:rPr>
            </w:pPr>
            <w:r>
              <w:rPr>
                <w:color w:val="auto"/>
              </w:rPr>
              <w:t>超标率</w:t>
            </w:r>
          </w:p>
        </w:tc>
        <w:tc>
          <w:tcPr>
            <w:tcW w:w="2268" w:type="dxa"/>
            <w:vAlign w:val="center"/>
          </w:tcPr>
          <w:p w14:paraId="157898CC">
            <w:pPr>
              <w:pStyle w:val="33"/>
              <w:rPr>
                <w:color w:val="auto"/>
              </w:rPr>
            </w:pPr>
          </w:p>
        </w:tc>
      </w:tr>
      <w:tr w14:paraId="4BFE2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579E6C89">
            <w:pPr>
              <w:pStyle w:val="33"/>
              <w:rPr>
                <w:color w:val="auto"/>
              </w:rPr>
            </w:pPr>
          </w:p>
        </w:tc>
        <w:tc>
          <w:tcPr>
            <w:tcW w:w="1524" w:type="dxa"/>
            <w:vMerge w:val="continue"/>
            <w:vAlign w:val="center"/>
          </w:tcPr>
          <w:p w14:paraId="73B6ABC4">
            <w:pPr>
              <w:pStyle w:val="33"/>
              <w:rPr>
                <w:color w:val="auto"/>
              </w:rPr>
            </w:pPr>
          </w:p>
        </w:tc>
        <w:tc>
          <w:tcPr>
            <w:tcW w:w="1584" w:type="dxa"/>
            <w:vMerge w:val="continue"/>
            <w:vAlign w:val="center"/>
          </w:tcPr>
          <w:p w14:paraId="41E882E7">
            <w:pPr>
              <w:pStyle w:val="33"/>
              <w:rPr>
                <w:color w:val="auto"/>
              </w:rPr>
            </w:pPr>
          </w:p>
        </w:tc>
        <w:tc>
          <w:tcPr>
            <w:tcW w:w="2565" w:type="dxa"/>
            <w:vAlign w:val="center"/>
          </w:tcPr>
          <w:p w14:paraId="0FF2A5C6">
            <w:pPr>
              <w:pStyle w:val="33"/>
              <w:rPr>
                <w:color w:val="auto"/>
              </w:rPr>
            </w:pPr>
            <w:r>
              <w:rPr>
                <w:color w:val="auto"/>
              </w:rPr>
              <w:t>最大超标倍数</w:t>
            </w:r>
          </w:p>
        </w:tc>
        <w:tc>
          <w:tcPr>
            <w:tcW w:w="2268" w:type="dxa"/>
            <w:vAlign w:val="center"/>
          </w:tcPr>
          <w:p w14:paraId="6ACE45D7">
            <w:pPr>
              <w:pStyle w:val="33"/>
              <w:rPr>
                <w:color w:val="auto"/>
              </w:rPr>
            </w:pPr>
          </w:p>
        </w:tc>
      </w:tr>
      <w:tr w14:paraId="2D3F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FB8C0E9">
            <w:pPr>
              <w:pStyle w:val="33"/>
              <w:rPr>
                <w:color w:val="auto"/>
              </w:rPr>
            </w:pPr>
          </w:p>
        </w:tc>
        <w:tc>
          <w:tcPr>
            <w:tcW w:w="1524" w:type="dxa"/>
            <w:vMerge w:val="restart"/>
            <w:vAlign w:val="center"/>
          </w:tcPr>
          <w:p w14:paraId="1DCD9678">
            <w:pPr>
              <w:pStyle w:val="33"/>
              <w:rPr>
                <w:color w:val="auto"/>
              </w:rPr>
            </w:pPr>
            <w:r>
              <w:rPr>
                <w:color w:val="auto"/>
              </w:rPr>
              <w:t>石油类</w:t>
            </w:r>
          </w:p>
        </w:tc>
        <w:tc>
          <w:tcPr>
            <w:tcW w:w="1584" w:type="dxa"/>
            <w:vMerge w:val="restart"/>
            <w:vAlign w:val="center"/>
          </w:tcPr>
          <w:p w14:paraId="73123BC1">
            <w:pPr>
              <w:pStyle w:val="33"/>
              <w:rPr>
                <w:color w:val="auto"/>
              </w:rPr>
            </w:pPr>
            <w:r>
              <w:rPr>
                <w:color w:val="auto"/>
              </w:rPr>
              <w:t>0.3</w:t>
            </w:r>
          </w:p>
        </w:tc>
        <w:tc>
          <w:tcPr>
            <w:tcW w:w="2565" w:type="dxa"/>
            <w:vAlign w:val="center"/>
          </w:tcPr>
          <w:p w14:paraId="1D8B43DE">
            <w:pPr>
              <w:pStyle w:val="33"/>
              <w:rPr>
                <w:color w:val="auto"/>
              </w:rPr>
            </w:pPr>
            <w:r>
              <w:rPr>
                <w:color w:val="auto"/>
              </w:rPr>
              <w:t>监测值</w:t>
            </w:r>
          </w:p>
        </w:tc>
        <w:tc>
          <w:tcPr>
            <w:tcW w:w="2268" w:type="dxa"/>
            <w:vAlign w:val="center"/>
          </w:tcPr>
          <w:p w14:paraId="02B74CBB">
            <w:pPr>
              <w:pStyle w:val="33"/>
              <w:rPr>
                <w:color w:val="auto"/>
              </w:rPr>
            </w:pPr>
          </w:p>
        </w:tc>
      </w:tr>
      <w:tr w14:paraId="5563D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768D7BD">
            <w:pPr>
              <w:pStyle w:val="33"/>
              <w:rPr>
                <w:color w:val="auto"/>
              </w:rPr>
            </w:pPr>
          </w:p>
        </w:tc>
        <w:tc>
          <w:tcPr>
            <w:tcW w:w="1524" w:type="dxa"/>
            <w:vMerge w:val="continue"/>
            <w:vAlign w:val="center"/>
          </w:tcPr>
          <w:p w14:paraId="3C295450">
            <w:pPr>
              <w:pStyle w:val="33"/>
              <w:rPr>
                <w:color w:val="auto"/>
              </w:rPr>
            </w:pPr>
          </w:p>
        </w:tc>
        <w:tc>
          <w:tcPr>
            <w:tcW w:w="1584" w:type="dxa"/>
            <w:vMerge w:val="continue"/>
            <w:vAlign w:val="center"/>
          </w:tcPr>
          <w:p w14:paraId="1894550F">
            <w:pPr>
              <w:pStyle w:val="33"/>
              <w:rPr>
                <w:color w:val="auto"/>
              </w:rPr>
            </w:pPr>
          </w:p>
        </w:tc>
        <w:tc>
          <w:tcPr>
            <w:tcW w:w="2565" w:type="dxa"/>
            <w:vAlign w:val="center"/>
          </w:tcPr>
          <w:p w14:paraId="0D8FEBAE">
            <w:pPr>
              <w:pStyle w:val="33"/>
              <w:rPr>
                <w:color w:val="auto"/>
              </w:rPr>
            </w:pPr>
            <w:r>
              <w:rPr>
                <w:color w:val="auto"/>
              </w:rPr>
              <w:t>Pi值</w:t>
            </w:r>
          </w:p>
        </w:tc>
        <w:tc>
          <w:tcPr>
            <w:tcW w:w="2268" w:type="dxa"/>
            <w:vAlign w:val="center"/>
          </w:tcPr>
          <w:p w14:paraId="655133C5">
            <w:pPr>
              <w:pStyle w:val="33"/>
              <w:rPr>
                <w:color w:val="auto"/>
              </w:rPr>
            </w:pPr>
          </w:p>
        </w:tc>
      </w:tr>
      <w:tr w14:paraId="382D2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24F5E3B">
            <w:pPr>
              <w:pStyle w:val="33"/>
              <w:rPr>
                <w:color w:val="auto"/>
              </w:rPr>
            </w:pPr>
          </w:p>
        </w:tc>
        <w:tc>
          <w:tcPr>
            <w:tcW w:w="1524" w:type="dxa"/>
            <w:vMerge w:val="continue"/>
            <w:vAlign w:val="center"/>
          </w:tcPr>
          <w:p w14:paraId="69DEECA0">
            <w:pPr>
              <w:pStyle w:val="33"/>
              <w:rPr>
                <w:color w:val="auto"/>
              </w:rPr>
            </w:pPr>
          </w:p>
        </w:tc>
        <w:tc>
          <w:tcPr>
            <w:tcW w:w="1584" w:type="dxa"/>
            <w:vMerge w:val="continue"/>
            <w:vAlign w:val="center"/>
          </w:tcPr>
          <w:p w14:paraId="2828A53F">
            <w:pPr>
              <w:pStyle w:val="33"/>
              <w:rPr>
                <w:color w:val="auto"/>
              </w:rPr>
            </w:pPr>
          </w:p>
        </w:tc>
        <w:tc>
          <w:tcPr>
            <w:tcW w:w="2565" w:type="dxa"/>
            <w:vAlign w:val="center"/>
          </w:tcPr>
          <w:p w14:paraId="3A5823AD">
            <w:pPr>
              <w:pStyle w:val="33"/>
              <w:rPr>
                <w:color w:val="auto"/>
              </w:rPr>
            </w:pPr>
            <w:r>
              <w:rPr>
                <w:color w:val="auto"/>
              </w:rPr>
              <w:t>超标率</w:t>
            </w:r>
          </w:p>
        </w:tc>
        <w:tc>
          <w:tcPr>
            <w:tcW w:w="2268" w:type="dxa"/>
            <w:vAlign w:val="center"/>
          </w:tcPr>
          <w:p w14:paraId="625D69C1">
            <w:pPr>
              <w:pStyle w:val="33"/>
              <w:rPr>
                <w:color w:val="auto"/>
              </w:rPr>
            </w:pPr>
          </w:p>
        </w:tc>
      </w:tr>
      <w:tr w14:paraId="3ED92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36F6DA1A">
            <w:pPr>
              <w:pStyle w:val="33"/>
              <w:rPr>
                <w:color w:val="auto"/>
              </w:rPr>
            </w:pPr>
          </w:p>
        </w:tc>
        <w:tc>
          <w:tcPr>
            <w:tcW w:w="1524" w:type="dxa"/>
            <w:vMerge w:val="continue"/>
            <w:vAlign w:val="center"/>
          </w:tcPr>
          <w:p w14:paraId="3719F33C">
            <w:pPr>
              <w:pStyle w:val="33"/>
              <w:rPr>
                <w:color w:val="auto"/>
              </w:rPr>
            </w:pPr>
          </w:p>
        </w:tc>
        <w:tc>
          <w:tcPr>
            <w:tcW w:w="1584" w:type="dxa"/>
            <w:vMerge w:val="continue"/>
            <w:vAlign w:val="center"/>
          </w:tcPr>
          <w:p w14:paraId="79950BD3">
            <w:pPr>
              <w:pStyle w:val="33"/>
              <w:rPr>
                <w:color w:val="auto"/>
              </w:rPr>
            </w:pPr>
          </w:p>
        </w:tc>
        <w:tc>
          <w:tcPr>
            <w:tcW w:w="2565" w:type="dxa"/>
            <w:vAlign w:val="center"/>
          </w:tcPr>
          <w:p w14:paraId="65F3A558">
            <w:pPr>
              <w:pStyle w:val="33"/>
              <w:rPr>
                <w:color w:val="auto"/>
              </w:rPr>
            </w:pPr>
            <w:r>
              <w:rPr>
                <w:color w:val="auto"/>
              </w:rPr>
              <w:t>最大超标倍数</w:t>
            </w:r>
          </w:p>
        </w:tc>
        <w:tc>
          <w:tcPr>
            <w:tcW w:w="2268" w:type="dxa"/>
            <w:vAlign w:val="center"/>
          </w:tcPr>
          <w:p w14:paraId="4F1B1F5F">
            <w:pPr>
              <w:pStyle w:val="33"/>
              <w:rPr>
                <w:color w:val="auto"/>
              </w:rPr>
            </w:pPr>
          </w:p>
        </w:tc>
      </w:tr>
      <w:tr w14:paraId="159EE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BBBBC98">
            <w:pPr>
              <w:pStyle w:val="33"/>
              <w:rPr>
                <w:color w:val="auto"/>
              </w:rPr>
            </w:pPr>
          </w:p>
        </w:tc>
        <w:tc>
          <w:tcPr>
            <w:tcW w:w="1524" w:type="dxa"/>
            <w:vMerge w:val="restart"/>
            <w:vAlign w:val="center"/>
          </w:tcPr>
          <w:p w14:paraId="5C3EE6C3">
            <w:pPr>
              <w:pStyle w:val="33"/>
              <w:rPr>
                <w:color w:val="auto"/>
              </w:rPr>
            </w:pPr>
            <w:r>
              <w:rPr>
                <w:color w:val="auto"/>
              </w:rPr>
              <w:t>铜</w:t>
            </w:r>
          </w:p>
        </w:tc>
        <w:tc>
          <w:tcPr>
            <w:tcW w:w="1584" w:type="dxa"/>
            <w:vMerge w:val="restart"/>
            <w:vAlign w:val="center"/>
          </w:tcPr>
          <w:p w14:paraId="7427B4FB">
            <w:pPr>
              <w:pStyle w:val="33"/>
              <w:rPr>
                <w:color w:val="auto"/>
              </w:rPr>
            </w:pPr>
            <w:r>
              <w:rPr>
                <w:color w:val="auto"/>
              </w:rPr>
              <w:t>0.05</w:t>
            </w:r>
          </w:p>
        </w:tc>
        <w:tc>
          <w:tcPr>
            <w:tcW w:w="2565" w:type="dxa"/>
            <w:vAlign w:val="center"/>
          </w:tcPr>
          <w:p w14:paraId="325701D6">
            <w:pPr>
              <w:pStyle w:val="33"/>
              <w:rPr>
                <w:color w:val="auto"/>
              </w:rPr>
            </w:pPr>
            <w:r>
              <w:rPr>
                <w:color w:val="auto"/>
              </w:rPr>
              <w:t>监测值</w:t>
            </w:r>
          </w:p>
        </w:tc>
        <w:tc>
          <w:tcPr>
            <w:tcW w:w="2268" w:type="dxa"/>
            <w:vAlign w:val="center"/>
          </w:tcPr>
          <w:p w14:paraId="4EEE43EF">
            <w:pPr>
              <w:pStyle w:val="33"/>
              <w:rPr>
                <w:color w:val="auto"/>
              </w:rPr>
            </w:pPr>
          </w:p>
        </w:tc>
      </w:tr>
      <w:tr w14:paraId="3F7B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BDCA1F1">
            <w:pPr>
              <w:pStyle w:val="33"/>
              <w:rPr>
                <w:color w:val="auto"/>
              </w:rPr>
            </w:pPr>
          </w:p>
        </w:tc>
        <w:tc>
          <w:tcPr>
            <w:tcW w:w="1524" w:type="dxa"/>
            <w:vMerge w:val="continue"/>
            <w:vAlign w:val="center"/>
          </w:tcPr>
          <w:p w14:paraId="2A3D5A77">
            <w:pPr>
              <w:pStyle w:val="33"/>
              <w:rPr>
                <w:color w:val="auto"/>
              </w:rPr>
            </w:pPr>
          </w:p>
        </w:tc>
        <w:tc>
          <w:tcPr>
            <w:tcW w:w="1584" w:type="dxa"/>
            <w:vMerge w:val="continue"/>
            <w:vAlign w:val="center"/>
          </w:tcPr>
          <w:p w14:paraId="0EC45EC0">
            <w:pPr>
              <w:pStyle w:val="33"/>
              <w:rPr>
                <w:color w:val="auto"/>
              </w:rPr>
            </w:pPr>
          </w:p>
        </w:tc>
        <w:tc>
          <w:tcPr>
            <w:tcW w:w="2565" w:type="dxa"/>
            <w:vAlign w:val="center"/>
          </w:tcPr>
          <w:p w14:paraId="1E73A539">
            <w:pPr>
              <w:pStyle w:val="33"/>
              <w:rPr>
                <w:color w:val="auto"/>
              </w:rPr>
            </w:pPr>
            <w:r>
              <w:rPr>
                <w:color w:val="auto"/>
              </w:rPr>
              <w:t>Pi值</w:t>
            </w:r>
          </w:p>
        </w:tc>
        <w:tc>
          <w:tcPr>
            <w:tcW w:w="2268" w:type="dxa"/>
            <w:vAlign w:val="center"/>
          </w:tcPr>
          <w:p w14:paraId="55963B65">
            <w:pPr>
              <w:pStyle w:val="33"/>
              <w:rPr>
                <w:color w:val="auto"/>
              </w:rPr>
            </w:pPr>
          </w:p>
        </w:tc>
      </w:tr>
      <w:tr w14:paraId="5AAF7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84CF093">
            <w:pPr>
              <w:pStyle w:val="33"/>
              <w:rPr>
                <w:color w:val="auto"/>
              </w:rPr>
            </w:pPr>
          </w:p>
        </w:tc>
        <w:tc>
          <w:tcPr>
            <w:tcW w:w="1524" w:type="dxa"/>
            <w:vMerge w:val="continue"/>
            <w:vAlign w:val="center"/>
          </w:tcPr>
          <w:p w14:paraId="0AB5DE38">
            <w:pPr>
              <w:pStyle w:val="33"/>
              <w:rPr>
                <w:color w:val="auto"/>
              </w:rPr>
            </w:pPr>
          </w:p>
        </w:tc>
        <w:tc>
          <w:tcPr>
            <w:tcW w:w="1584" w:type="dxa"/>
            <w:vMerge w:val="continue"/>
            <w:vAlign w:val="center"/>
          </w:tcPr>
          <w:p w14:paraId="7E1AC143">
            <w:pPr>
              <w:pStyle w:val="33"/>
              <w:rPr>
                <w:color w:val="auto"/>
              </w:rPr>
            </w:pPr>
          </w:p>
        </w:tc>
        <w:tc>
          <w:tcPr>
            <w:tcW w:w="2565" w:type="dxa"/>
            <w:vAlign w:val="center"/>
          </w:tcPr>
          <w:p w14:paraId="63752D03">
            <w:pPr>
              <w:pStyle w:val="33"/>
              <w:rPr>
                <w:color w:val="auto"/>
              </w:rPr>
            </w:pPr>
            <w:r>
              <w:rPr>
                <w:color w:val="auto"/>
              </w:rPr>
              <w:t>超标率</w:t>
            </w:r>
          </w:p>
        </w:tc>
        <w:tc>
          <w:tcPr>
            <w:tcW w:w="2268" w:type="dxa"/>
            <w:vAlign w:val="center"/>
          </w:tcPr>
          <w:p w14:paraId="214CA7BB">
            <w:pPr>
              <w:pStyle w:val="33"/>
              <w:rPr>
                <w:color w:val="auto"/>
              </w:rPr>
            </w:pPr>
          </w:p>
        </w:tc>
      </w:tr>
      <w:tr w14:paraId="4FAC3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189FEE1E">
            <w:pPr>
              <w:pStyle w:val="33"/>
              <w:rPr>
                <w:color w:val="auto"/>
              </w:rPr>
            </w:pPr>
          </w:p>
        </w:tc>
        <w:tc>
          <w:tcPr>
            <w:tcW w:w="1524" w:type="dxa"/>
            <w:vMerge w:val="continue"/>
            <w:vAlign w:val="center"/>
          </w:tcPr>
          <w:p w14:paraId="4A7EB8DC">
            <w:pPr>
              <w:pStyle w:val="33"/>
              <w:rPr>
                <w:color w:val="auto"/>
              </w:rPr>
            </w:pPr>
          </w:p>
        </w:tc>
        <w:tc>
          <w:tcPr>
            <w:tcW w:w="1584" w:type="dxa"/>
            <w:vMerge w:val="continue"/>
            <w:vAlign w:val="center"/>
          </w:tcPr>
          <w:p w14:paraId="7A86A018">
            <w:pPr>
              <w:pStyle w:val="33"/>
              <w:rPr>
                <w:color w:val="auto"/>
              </w:rPr>
            </w:pPr>
          </w:p>
        </w:tc>
        <w:tc>
          <w:tcPr>
            <w:tcW w:w="2565" w:type="dxa"/>
            <w:vAlign w:val="center"/>
          </w:tcPr>
          <w:p w14:paraId="19B8A033">
            <w:pPr>
              <w:pStyle w:val="33"/>
              <w:rPr>
                <w:color w:val="auto"/>
              </w:rPr>
            </w:pPr>
            <w:r>
              <w:rPr>
                <w:color w:val="auto"/>
              </w:rPr>
              <w:t>最大超标倍数</w:t>
            </w:r>
          </w:p>
        </w:tc>
        <w:tc>
          <w:tcPr>
            <w:tcW w:w="2268" w:type="dxa"/>
            <w:vAlign w:val="center"/>
          </w:tcPr>
          <w:p w14:paraId="5AE67228">
            <w:pPr>
              <w:pStyle w:val="33"/>
              <w:rPr>
                <w:color w:val="auto"/>
              </w:rPr>
            </w:pPr>
          </w:p>
        </w:tc>
      </w:tr>
      <w:tr w14:paraId="5CBFF7D2">
        <w:tblPrEx>
          <w:tblCellMar>
            <w:top w:w="0" w:type="dxa"/>
            <w:left w:w="57" w:type="dxa"/>
            <w:bottom w:w="0" w:type="dxa"/>
            <w:right w:w="57" w:type="dxa"/>
          </w:tblCellMar>
        </w:tblPrEx>
        <w:trPr>
          <w:trHeight w:val="23" w:hRule="atLeast"/>
          <w:jc w:val="center"/>
        </w:trPr>
        <w:tc>
          <w:tcPr>
            <w:tcW w:w="1268" w:type="dxa"/>
            <w:vMerge w:val="continue"/>
            <w:vAlign w:val="center"/>
          </w:tcPr>
          <w:p w14:paraId="1E00EBCE">
            <w:pPr>
              <w:pStyle w:val="33"/>
              <w:rPr>
                <w:color w:val="auto"/>
              </w:rPr>
            </w:pPr>
          </w:p>
        </w:tc>
        <w:tc>
          <w:tcPr>
            <w:tcW w:w="1524" w:type="dxa"/>
            <w:vMerge w:val="restart"/>
            <w:vAlign w:val="center"/>
          </w:tcPr>
          <w:p w14:paraId="24630FBC">
            <w:pPr>
              <w:pStyle w:val="33"/>
              <w:rPr>
                <w:color w:val="auto"/>
              </w:rPr>
            </w:pPr>
            <w:r>
              <w:rPr>
                <w:color w:val="auto"/>
              </w:rPr>
              <w:t>铅</w:t>
            </w:r>
          </w:p>
        </w:tc>
        <w:tc>
          <w:tcPr>
            <w:tcW w:w="1584" w:type="dxa"/>
            <w:vMerge w:val="restart"/>
            <w:vAlign w:val="center"/>
          </w:tcPr>
          <w:p w14:paraId="075F673B">
            <w:pPr>
              <w:pStyle w:val="33"/>
              <w:rPr>
                <w:color w:val="auto"/>
              </w:rPr>
            </w:pPr>
            <w:r>
              <w:rPr>
                <w:color w:val="auto"/>
              </w:rPr>
              <w:t>0.01</w:t>
            </w:r>
          </w:p>
        </w:tc>
        <w:tc>
          <w:tcPr>
            <w:tcW w:w="2565" w:type="dxa"/>
            <w:vAlign w:val="center"/>
          </w:tcPr>
          <w:p w14:paraId="7208044B">
            <w:pPr>
              <w:pStyle w:val="33"/>
              <w:rPr>
                <w:color w:val="auto"/>
              </w:rPr>
            </w:pPr>
            <w:r>
              <w:rPr>
                <w:color w:val="auto"/>
              </w:rPr>
              <w:t>监测值</w:t>
            </w:r>
          </w:p>
        </w:tc>
        <w:tc>
          <w:tcPr>
            <w:tcW w:w="2268" w:type="dxa"/>
            <w:vAlign w:val="center"/>
          </w:tcPr>
          <w:p w14:paraId="3899A47D">
            <w:pPr>
              <w:pStyle w:val="33"/>
              <w:rPr>
                <w:color w:val="auto"/>
              </w:rPr>
            </w:pPr>
          </w:p>
        </w:tc>
      </w:tr>
      <w:tr w14:paraId="4F115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B932BB3">
            <w:pPr>
              <w:pStyle w:val="33"/>
              <w:rPr>
                <w:color w:val="auto"/>
              </w:rPr>
            </w:pPr>
          </w:p>
        </w:tc>
        <w:tc>
          <w:tcPr>
            <w:tcW w:w="1524" w:type="dxa"/>
            <w:vMerge w:val="continue"/>
            <w:vAlign w:val="center"/>
          </w:tcPr>
          <w:p w14:paraId="680047E5">
            <w:pPr>
              <w:pStyle w:val="33"/>
              <w:rPr>
                <w:color w:val="auto"/>
              </w:rPr>
            </w:pPr>
          </w:p>
        </w:tc>
        <w:tc>
          <w:tcPr>
            <w:tcW w:w="1584" w:type="dxa"/>
            <w:vMerge w:val="continue"/>
            <w:vAlign w:val="center"/>
          </w:tcPr>
          <w:p w14:paraId="6DD2FC2C">
            <w:pPr>
              <w:pStyle w:val="33"/>
              <w:rPr>
                <w:color w:val="auto"/>
              </w:rPr>
            </w:pPr>
          </w:p>
        </w:tc>
        <w:tc>
          <w:tcPr>
            <w:tcW w:w="2565" w:type="dxa"/>
            <w:vAlign w:val="center"/>
          </w:tcPr>
          <w:p w14:paraId="522117F9">
            <w:pPr>
              <w:pStyle w:val="33"/>
              <w:rPr>
                <w:color w:val="auto"/>
              </w:rPr>
            </w:pPr>
            <w:r>
              <w:rPr>
                <w:color w:val="auto"/>
              </w:rPr>
              <w:t>Pi值</w:t>
            </w:r>
          </w:p>
        </w:tc>
        <w:tc>
          <w:tcPr>
            <w:tcW w:w="2268" w:type="dxa"/>
            <w:vAlign w:val="center"/>
          </w:tcPr>
          <w:p w14:paraId="5AA18C30">
            <w:pPr>
              <w:pStyle w:val="33"/>
              <w:rPr>
                <w:color w:val="auto"/>
              </w:rPr>
            </w:pPr>
          </w:p>
        </w:tc>
      </w:tr>
      <w:tr w14:paraId="2E519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88908BD">
            <w:pPr>
              <w:pStyle w:val="33"/>
              <w:rPr>
                <w:color w:val="auto"/>
              </w:rPr>
            </w:pPr>
          </w:p>
        </w:tc>
        <w:tc>
          <w:tcPr>
            <w:tcW w:w="1524" w:type="dxa"/>
            <w:vMerge w:val="continue"/>
            <w:vAlign w:val="center"/>
          </w:tcPr>
          <w:p w14:paraId="6C2132B1">
            <w:pPr>
              <w:pStyle w:val="33"/>
              <w:rPr>
                <w:color w:val="auto"/>
              </w:rPr>
            </w:pPr>
          </w:p>
        </w:tc>
        <w:tc>
          <w:tcPr>
            <w:tcW w:w="1584" w:type="dxa"/>
            <w:vMerge w:val="continue"/>
            <w:vAlign w:val="center"/>
          </w:tcPr>
          <w:p w14:paraId="50A2B00E">
            <w:pPr>
              <w:pStyle w:val="33"/>
              <w:rPr>
                <w:color w:val="auto"/>
              </w:rPr>
            </w:pPr>
          </w:p>
        </w:tc>
        <w:tc>
          <w:tcPr>
            <w:tcW w:w="2565" w:type="dxa"/>
            <w:vAlign w:val="center"/>
          </w:tcPr>
          <w:p w14:paraId="0C48D764">
            <w:pPr>
              <w:pStyle w:val="33"/>
              <w:rPr>
                <w:color w:val="auto"/>
              </w:rPr>
            </w:pPr>
            <w:r>
              <w:rPr>
                <w:color w:val="auto"/>
              </w:rPr>
              <w:t>超标率</w:t>
            </w:r>
          </w:p>
        </w:tc>
        <w:tc>
          <w:tcPr>
            <w:tcW w:w="2268" w:type="dxa"/>
            <w:vAlign w:val="center"/>
          </w:tcPr>
          <w:p w14:paraId="617BC3AF">
            <w:pPr>
              <w:pStyle w:val="33"/>
              <w:rPr>
                <w:color w:val="auto"/>
              </w:rPr>
            </w:pPr>
          </w:p>
        </w:tc>
      </w:tr>
      <w:tr w14:paraId="28C3C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A815E5D">
            <w:pPr>
              <w:pStyle w:val="33"/>
              <w:rPr>
                <w:color w:val="auto"/>
              </w:rPr>
            </w:pPr>
          </w:p>
        </w:tc>
        <w:tc>
          <w:tcPr>
            <w:tcW w:w="1524" w:type="dxa"/>
            <w:vMerge w:val="continue"/>
            <w:vAlign w:val="center"/>
          </w:tcPr>
          <w:p w14:paraId="200DD6D3">
            <w:pPr>
              <w:pStyle w:val="33"/>
              <w:rPr>
                <w:color w:val="auto"/>
              </w:rPr>
            </w:pPr>
          </w:p>
        </w:tc>
        <w:tc>
          <w:tcPr>
            <w:tcW w:w="1584" w:type="dxa"/>
            <w:vMerge w:val="continue"/>
            <w:vAlign w:val="center"/>
          </w:tcPr>
          <w:p w14:paraId="4DF7299A">
            <w:pPr>
              <w:pStyle w:val="33"/>
              <w:rPr>
                <w:color w:val="auto"/>
              </w:rPr>
            </w:pPr>
          </w:p>
        </w:tc>
        <w:tc>
          <w:tcPr>
            <w:tcW w:w="2565" w:type="dxa"/>
            <w:vAlign w:val="center"/>
          </w:tcPr>
          <w:p w14:paraId="1E03E7B1">
            <w:pPr>
              <w:pStyle w:val="33"/>
              <w:rPr>
                <w:color w:val="auto"/>
              </w:rPr>
            </w:pPr>
            <w:r>
              <w:rPr>
                <w:color w:val="auto"/>
              </w:rPr>
              <w:t>最大超标倍数</w:t>
            </w:r>
          </w:p>
        </w:tc>
        <w:tc>
          <w:tcPr>
            <w:tcW w:w="2268" w:type="dxa"/>
            <w:vAlign w:val="center"/>
          </w:tcPr>
          <w:p w14:paraId="16DC369D">
            <w:pPr>
              <w:pStyle w:val="33"/>
              <w:rPr>
                <w:color w:val="auto"/>
              </w:rPr>
            </w:pPr>
          </w:p>
        </w:tc>
      </w:tr>
      <w:tr w14:paraId="63386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A2CFBBE">
            <w:pPr>
              <w:pStyle w:val="33"/>
              <w:rPr>
                <w:color w:val="auto"/>
              </w:rPr>
            </w:pPr>
          </w:p>
        </w:tc>
        <w:tc>
          <w:tcPr>
            <w:tcW w:w="1524" w:type="dxa"/>
            <w:vMerge w:val="restart"/>
            <w:vAlign w:val="center"/>
          </w:tcPr>
          <w:p w14:paraId="2AC29FFC">
            <w:pPr>
              <w:pStyle w:val="33"/>
              <w:rPr>
                <w:color w:val="auto"/>
              </w:rPr>
            </w:pPr>
            <w:r>
              <w:rPr>
                <w:color w:val="auto"/>
              </w:rPr>
              <w:t>镉</w:t>
            </w:r>
          </w:p>
        </w:tc>
        <w:tc>
          <w:tcPr>
            <w:tcW w:w="1584" w:type="dxa"/>
            <w:vMerge w:val="restart"/>
            <w:vAlign w:val="center"/>
          </w:tcPr>
          <w:p w14:paraId="0780590C">
            <w:pPr>
              <w:pStyle w:val="33"/>
              <w:rPr>
                <w:color w:val="auto"/>
              </w:rPr>
            </w:pPr>
            <w:r>
              <w:rPr>
                <w:color w:val="auto"/>
              </w:rPr>
              <w:t>0.01</w:t>
            </w:r>
          </w:p>
        </w:tc>
        <w:tc>
          <w:tcPr>
            <w:tcW w:w="2565" w:type="dxa"/>
            <w:vAlign w:val="center"/>
          </w:tcPr>
          <w:p w14:paraId="61E4D44F">
            <w:pPr>
              <w:pStyle w:val="33"/>
              <w:rPr>
                <w:color w:val="auto"/>
              </w:rPr>
            </w:pPr>
            <w:r>
              <w:rPr>
                <w:color w:val="auto"/>
              </w:rPr>
              <w:t>监测值</w:t>
            </w:r>
          </w:p>
        </w:tc>
        <w:tc>
          <w:tcPr>
            <w:tcW w:w="2268" w:type="dxa"/>
            <w:vAlign w:val="center"/>
          </w:tcPr>
          <w:p w14:paraId="22B1C852">
            <w:pPr>
              <w:pStyle w:val="33"/>
              <w:rPr>
                <w:color w:val="auto"/>
              </w:rPr>
            </w:pPr>
          </w:p>
        </w:tc>
      </w:tr>
      <w:tr w14:paraId="002E49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52247D4">
            <w:pPr>
              <w:pStyle w:val="33"/>
              <w:rPr>
                <w:color w:val="auto"/>
              </w:rPr>
            </w:pPr>
          </w:p>
        </w:tc>
        <w:tc>
          <w:tcPr>
            <w:tcW w:w="1524" w:type="dxa"/>
            <w:vMerge w:val="continue"/>
            <w:vAlign w:val="center"/>
          </w:tcPr>
          <w:p w14:paraId="0F2A52C8">
            <w:pPr>
              <w:pStyle w:val="33"/>
              <w:rPr>
                <w:color w:val="auto"/>
              </w:rPr>
            </w:pPr>
          </w:p>
        </w:tc>
        <w:tc>
          <w:tcPr>
            <w:tcW w:w="1584" w:type="dxa"/>
            <w:vMerge w:val="continue"/>
            <w:vAlign w:val="center"/>
          </w:tcPr>
          <w:p w14:paraId="65B67010">
            <w:pPr>
              <w:pStyle w:val="33"/>
              <w:rPr>
                <w:color w:val="auto"/>
              </w:rPr>
            </w:pPr>
          </w:p>
        </w:tc>
        <w:tc>
          <w:tcPr>
            <w:tcW w:w="2565" w:type="dxa"/>
            <w:vAlign w:val="center"/>
          </w:tcPr>
          <w:p w14:paraId="22F5F280">
            <w:pPr>
              <w:pStyle w:val="33"/>
              <w:rPr>
                <w:color w:val="auto"/>
              </w:rPr>
            </w:pPr>
            <w:r>
              <w:rPr>
                <w:color w:val="auto"/>
              </w:rPr>
              <w:t>Pi值</w:t>
            </w:r>
          </w:p>
        </w:tc>
        <w:tc>
          <w:tcPr>
            <w:tcW w:w="2268" w:type="dxa"/>
            <w:vAlign w:val="center"/>
          </w:tcPr>
          <w:p w14:paraId="5064E66D">
            <w:pPr>
              <w:pStyle w:val="33"/>
              <w:rPr>
                <w:color w:val="auto"/>
              </w:rPr>
            </w:pPr>
          </w:p>
        </w:tc>
      </w:tr>
      <w:tr w14:paraId="4A561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AC91F10">
            <w:pPr>
              <w:pStyle w:val="33"/>
              <w:rPr>
                <w:color w:val="auto"/>
              </w:rPr>
            </w:pPr>
          </w:p>
        </w:tc>
        <w:tc>
          <w:tcPr>
            <w:tcW w:w="1524" w:type="dxa"/>
            <w:vMerge w:val="continue"/>
            <w:vAlign w:val="center"/>
          </w:tcPr>
          <w:p w14:paraId="60B9650E">
            <w:pPr>
              <w:pStyle w:val="33"/>
              <w:rPr>
                <w:color w:val="auto"/>
              </w:rPr>
            </w:pPr>
          </w:p>
        </w:tc>
        <w:tc>
          <w:tcPr>
            <w:tcW w:w="1584" w:type="dxa"/>
            <w:vMerge w:val="continue"/>
            <w:vAlign w:val="center"/>
          </w:tcPr>
          <w:p w14:paraId="4366B3CD">
            <w:pPr>
              <w:pStyle w:val="33"/>
              <w:rPr>
                <w:color w:val="auto"/>
              </w:rPr>
            </w:pPr>
          </w:p>
        </w:tc>
        <w:tc>
          <w:tcPr>
            <w:tcW w:w="2565" w:type="dxa"/>
            <w:vAlign w:val="center"/>
          </w:tcPr>
          <w:p w14:paraId="560C9557">
            <w:pPr>
              <w:pStyle w:val="33"/>
              <w:rPr>
                <w:color w:val="auto"/>
              </w:rPr>
            </w:pPr>
            <w:r>
              <w:rPr>
                <w:color w:val="auto"/>
              </w:rPr>
              <w:t>超标率</w:t>
            </w:r>
          </w:p>
        </w:tc>
        <w:tc>
          <w:tcPr>
            <w:tcW w:w="2268" w:type="dxa"/>
            <w:vAlign w:val="center"/>
          </w:tcPr>
          <w:p w14:paraId="3BCA0A97">
            <w:pPr>
              <w:pStyle w:val="33"/>
              <w:rPr>
                <w:color w:val="auto"/>
              </w:rPr>
            </w:pPr>
          </w:p>
        </w:tc>
      </w:tr>
      <w:tr w14:paraId="3733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5001274">
            <w:pPr>
              <w:pStyle w:val="33"/>
              <w:rPr>
                <w:color w:val="auto"/>
              </w:rPr>
            </w:pPr>
          </w:p>
        </w:tc>
        <w:tc>
          <w:tcPr>
            <w:tcW w:w="1524" w:type="dxa"/>
            <w:vMerge w:val="continue"/>
            <w:vAlign w:val="center"/>
          </w:tcPr>
          <w:p w14:paraId="4ED0CA06">
            <w:pPr>
              <w:pStyle w:val="33"/>
              <w:rPr>
                <w:color w:val="auto"/>
              </w:rPr>
            </w:pPr>
          </w:p>
        </w:tc>
        <w:tc>
          <w:tcPr>
            <w:tcW w:w="1584" w:type="dxa"/>
            <w:vMerge w:val="continue"/>
            <w:vAlign w:val="center"/>
          </w:tcPr>
          <w:p w14:paraId="3AE338DF">
            <w:pPr>
              <w:pStyle w:val="33"/>
              <w:rPr>
                <w:color w:val="auto"/>
              </w:rPr>
            </w:pPr>
          </w:p>
        </w:tc>
        <w:tc>
          <w:tcPr>
            <w:tcW w:w="2565" w:type="dxa"/>
            <w:vAlign w:val="center"/>
          </w:tcPr>
          <w:p w14:paraId="3A09A40B">
            <w:pPr>
              <w:pStyle w:val="33"/>
              <w:rPr>
                <w:color w:val="auto"/>
              </w:rPr>
            </w:pPr>
            <w:r>
              <w:rPr>
                <w:color w:val="auto"/>
              </w:rPr>
              <w:t>最大超标倍数</w:t>
            </w:r>
          </w:p>
        </w:tc>
        <w:tc>
          <w:tcPr>
            <w:tcW w:w="2268" w:type="dxa"/>
            <w:vAlign w:val="center"/>
          </w:tcPr>
          <w:p w14:paraId="1EE71C74">
            <w:pPr>
              <w:pStyle w:val="33"/>
              <w:rPr>
                <w:color w:val="auto"/>
              </w:rPr>
            </w:pPr>
          </w:p>
        </w:tc>
      </w:tr>
      <w:tr w14:paraId="789B6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54D9D619">
            <w:pPr>
              <w:pStyle w:val="33"/>
              <w:rPr>
                <w:color w:val="auto"/>
              </w:rPr>
            </w:pPr>
          </w:p>
        </w:tc>
        <w:tc>
          <w:tcPr>
            <w:tcW w:w="1524" w:type="dxa"/>
            <w:vMerge w:val="restart"/>
            <w:vAlign w:val="center"/>
          </w:tcPr>
          <w:p w14:paraId="43F759D8">
            <w:pPr>
              <w:pStyle w:val="33"/>
              <w:rPr>
                <w:color w:val="auto"/>
              </w:rPr>
            </w:pPr>
            <w:r>
              <w:rPr>
                <w:color w:val="auto"/>
              </w:rPr>
              <w:t>汞</w:t>
            </w:r>
          </w:p>
        </w:tc>
        <w:tc>
          <w:tcPr>
            <w:tcW w:w="1584" w:type="dxa"/>
            <w:vMerge w:val="restart"/>
            <w:vAlign w:val="center"/>
          </w:tcPr>
          <w:p w14:paraId="033E885E">
            <w:pPr>
              <w:pStyle w:val="33"/>
              <w:rPr>
                <w:color w:val="auto"/>
              </w:rPr>
            </w:pPr>
            <w:r>
              <w:rPr>
                <w:color w:val="auto"/>
              </w:rPr>
              <w:t>0.0002</w:t>
            </w:r>
          </w:p>
        </w:tc>
        <w:tc>
          <w:tcPr>
            <w:tcW w:w="2565" w:type="dxa"/>
            <w:vAlign w:val="center"/>
          </w:tcPr>
          <w:p w14:paraId="110229E9">
            <w:pPr>
              <w:pStyle w:val="33"/>
              <w:rPr>
                <w:color w:val="auto"/>
              </w:rPr>
            </w:pPr>
            <w:r>
              <w:rPr>
                <w:color w:val="auto"/>
              </w:rPr>
              <w:t>监测值</w:t>
            </w:r>
          </w:p>
        </w:tc>
        <w:tc>
          <w:tcPr>
            <w:tcW w:w="2268" w:type="dxa"/>
            <w:vAlign w:val="center"/>
          </w:tcPr>
          <w:p w14:paraId="1B0E861F">
            <w:pPr>
              <w:pStyle w:val="33"/>
              <w:rPr>
                <w:color w:val="auto"/>
              </w:rPr>
            </w:pPr>
          </w:p>
        </w:tc>
      </w:tr>
      <w:tr w14:paraId="036A6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CD087BF">
            <w:pPr>
              <w:pStyle w:val="33"/>
              <w:rPr>
                <w:color w:val="auto"/>
              </w:rPr>
            </w:pPr>
          </w:p>
        </w:tc>
        <w:tc>
          <w:tcPr>
            <w:tcW w:w="1524" w:type="dxa"/>
            <w:vMerge w:val="continue"/>
            <w:vAlign w:val="center"/>
          </w:tcPr>
          <w:p w14:paraId="66F4A917">
            <w:pPr>
              <w:pStyle w:val="33"/>
              <w:rPr>
                <w:color w:val="auto"/>
              </w:rPr>
            </w:pPr>
          </w:p>
        </w:tc>
        <w:tc>
          <w:tcPr>
            <w:tcW w:w="1584" w:type="dxa"/>
            <w:vMerge w:val="continue"/>
            <w:vAlign w:val="center"/>
          </w:tcPr>
          <w:p w14:paraId="5307B730">
            <w:pPr>
              <w:pStyle w:val="33"/>
              <w:rPr>
                <w:color w:val="auto"/>
              </w:rPr>
            </w:pPr>
          </w:p>
        </w:tc>
        <w:tc>
          <w:tcPr>
            <w:tcW w:w="2565" w:type="dxa"/>
            <w:vAlign w:val="center"/>
          </w:tcPr>
          <w:p w14:paraId="6A0B927D">
            <w:pPr>
              <w:pStyle w:val="33"/>
              <w:rPr>
                <w:color w:val="auto"/>
              </w:rPr>
            </w:pPr>
            <w:r>
              <w:rPr>
                <w:color w:val="auto"/>
              </w:rPr>
              <w:t>Pi值</w:t>
            </w:r>
          </w:p>
        </w:tc>
        <w:tc>
          <w:tcPr>
            <w:tcW w:w="2268" w:type="dxa"/>
            <w:vAlign w:val="center"/>
          </w:tcPr>
          <w:p w14:paraId="58FFAE62">
            <w:pPr>
              <w:pStyle w:val="33"/>
              <w:rPr>
                <w:color w:val="auto"/>
              </w:rPr>
            </w:pPr>
          </w:p>
        </w:tc>
      </w:tr>
      <w:tr w14:paraId="3CAC6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38CA0D0">
            <w:pPr>
              <w:pStyle w:val="33"/>
              <w:rPr>
                <w:color w:val="auto"/>
              </w:rPr>
            </w:pPr>
          </w:p>
        </w:tc>
        <w:tc>
          <w:tcPr>
            <w:tcW w:w="1524" w:type="dxa"/>
            <w:vMerge w:val="continue"/>
            <w:vAlign w:val="center"/>
          </w:tcPr>
          <w:p w14:paraId="6502027C">
            <w:pPr>
              <w:pStyle w:val="33"/>
              <w:rPr>
                <w:color w:val="auto"/>
              </w:rPr>
            </w:pPr>
          </w:p>
        </w:tc>
        <w:tc>
          <w:tcPr>
            <w:tcW w:w="1584" w:type="dxa"/>
            <w:vMerge w:val="continue"/>
            <w:vAlign w:val="center"/>
          </w:tcPr>
          <w:p w14:paraId="19262E5C">
            <w:pPr>
              <w:pStyle w:val="33"/>
              <w:rPr>
                <w:color w:val="auto"/>
              </w:rPr>
            </w:pPr>
          </w:p>
        </w:tc>
        <w:tc>
          <w:tcPr>
            <w:tcW w:w="2565" w:type="dxa"/>
            <w:vAlign w:val="center"/>
          </w:tcPr>
          <w:p w14:paraId="68CD34B2">
            <w:pPr>
              <w:pStyle w:val="33"/>
              <w:rPr>
                <w:color w:val="auto"/>
              </w:rPr>
            </w:pPr>
            <w:r>
              <w:rPr>
                <w:color w:val="auto"/>
              </w:rPr>
              <w:t>超标率</w:t>
            </w:r>
          </w:p>
        </w:tc>
        <w:tc>
          <w:tcPr>
            <w:tcW w:w="2268" w:type="dxa"/>
            <w:vAlign w:val="center"/>
          </w:tcPr>
          <w:p w14:paraId="236B7020">
            <w:pPr>
              <w:pStyle w:val="33"/>
              <w:rPr>
                <w:color w:val="auto"/>
              </w:rPr>
            </w:pPr>
          </w:p>
        </w:tc>
      </w:tr>
      <w:tr w14:paraId="6F7DD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3E299754">
            <w:pPr>
              <w:pStyle w:val="33"/>
              <w:rPr>
                <w:color w:val="auto"/>
              </w:rPr>
            </w:pPr>
          </w:p>
        </w:tc>
        <w:tc>
          <w:tcPr>
            <w:tcW w:w="1524" w:type="dxa"/>
            <w:vMerge w:val="continue"/>
            <w:vAlign w:val="center"/>
          </w:tcPr>
          <w:p w14:paraId="5C9F41B0">
            <w:pPr>
              <w:pStyle w:val="33"/>
              <w:rPr>
                <w:color w:val="auto"/>
              </w:rPr>
            </w:pPr>
          </w:p>
        </w:tc>
        <w:tc>
          <w:tcPr>
            <w:tcW w:w="1584" w:type="dxa"/>
            <w:vMerge w:val="continue"/>
            <w:vAlign w:val="center"/>
          </w:tcPr>
          <w:p w14:paraId="64A7E469">
            <w:pPr>
              <w:pStyle w:val="33"/>
              <w:rPr>
                <w:color w:val="auto"/>
              </w:rPr>
            </w:pPr>
          </w:p>
        </w:tc>
        <w:tc>
          <w:tcPr>
            <w:tcW w:w="2565" w:type="dxa"/>
            <w:vAlign w:val="center"/>
          </w:tcPr>
          <w:p w14:paraId="17F28A6E">
            <w:pPr>
              <w:pStyle w:val="33"/>
              <w:rPr>
                <w:color w:val="auto"/>
              </w:rPr>
            </w:pPr>
            <w:r>
              <w:rPr>
                <w:color w:val="auto"/>
              </w:rPr>
              <w:t>最大超标倍数</w:t>
            </w:r>
          </w:p>
        </w:tc>
        <w:tc>
          <w:tcPr>
            <w:tcW w:w="2268" w:type="dxa"/>
            <w:vAlign w:val="center"/>
          </w:tcPr>
          <w:p w14:paraId="4EB56238">
            <w:pPr>
              <w:pStyle w:val="33"/>
              <w:rPr>
                <w:color w:val="auto"/>
              </w:rPr>
            </w:pPr>
          </w:p>
        </w:tc>
      </w:tr>
      <w:tr w14:paraId="29248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96D8035">
            <w:pPr>
              <w:pStyle w:val="33"/>
              <w:rPr>
                <w:color w:val="auto"/>
              </w:rPr>
            </w:pPr>
          </w:p>
        </w:tc>
        <w:tc>
          <w:tcPr>
            <w:tcW w:w="1524" w:type="dxa"/>
            <w:vMerge w:val="restart"/>
            <w:vAlign w:val="center"/>
          </w:tcPr>
          <w:p w14:paraId="08DC4DCB">
            <w:pPr>
              <w:pStyle w:val="33"/>
              <w:rPr>
                <w:color w:val="auto"/>
              </w:rPr>
            </w:pPr>
            <w:r>
              <w:rPr>
                <w:color w:val="auto"/>
              </w:rPr>
              <w:t>锌</w:t>
            </w:r>
          </w:p>
        </w:tc>
        <w:tc>
          <w:tcPr>
            <w:tcW w:w="1584" w:type="dxa"/>
            <w:vMerge w:val="restart"/>
            <w:vAlign w:val="center"/>
          </w:tcPr>
          <w:p w14:paraId="06A124BD">
            <w:pPr>
              <w:pStyle w:val="33"/>
              <w:rPr>
                <w:color w:val="auto"/>
              </w:rPr>
            </w:pPr>
            <w:r>
              <w:rPr>
                <w:color w:val="auto"/>
              </w:rPr>
              <w:t>0.1</w:t>
            </w:r>
          </w:p>
        </w:tc>
        <w:tc>
          <w:tcPr>
            <w:tcW w:w="2565" w:type="dxa"/>
            <w:vAlign w:val="center"/>
          </w:tcPr>
          <w:p w14:paraId="6F0B1EC7">
            <w:pPr>
              <w:pStyle w:val="33"/>
              <w:rPr>
                <w:color w:val="auto"/>
              </w:rPr>
            </w:pPr>
            <w:r>
              <w:rPr>
                <w:color w:val="auto"/>
              </w:rPr>
              <w:t>监测值</w:t>
            </w:r>
          </w:p>
        </w:tc>
        <w:tc>
          <w:tcPr>
            <w:tcW w:w="2268" w:type="dxa"/>
            <w:vAlign w:val="center"/>
          </w:tcPr>
          <w:p w14:paraId="18A8BA5F">
            <w:pPr>
              <w:pStyle w:val="33"/>
              <w:rPr>
                <w:color w:val="auto"/>
              </w:rPr>
            </w:pPr>
          </w:p>
        </w:tc>
      </w:tr>
      <w:tr w14:paraId="624D1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8BCE326">
            <w:pPr>
              <w:pStyle w:val="33"/>
              <w:rPr>
                <w:color w:val="auto"/>
              </w:rPr>
            </w:pPr>
          </w:p>
        </w:tc>
        <w:tc>
          <w:tcPr>
            <w:tcW w:w="1524" w:type="dxa"/>
            <w:vMerge w:val="continue"/>
            <w:vAlign w:val="center"/>
          </w:tcPr>
          <w:p w14:paraId="01630F9C">
            <w:pPr>
              <w:pStyle w:val="33"/>
              <w:rPr>
                <w:color w:val="auto"/>
              </w:rPr>
            </w:pPr>
          </w:p>
        </w:tc>
        <w:tc>
          <w:tcPr>
            <w:tcW w:w="1584" w:type="dxa"/>
            <w:vMerge w:val="continue"/>
            <w:vAlign w:val="center"/>
          </w:tcPr>
          <w:p w14:paraId="505A8F3D">
            <w:pPr>
              <w:pStyle w:val="33"/>
              <w:rPr>
                <w:color w:val="auto"/>
              </w:rPr>
            </w:pPr>
          </w:p>
        </w:tc>
        <w:tc>
          <w:tcPr>
            <w:tcW w:w="2565" w:type="dxa"/>
            <w:vAlign w:val="center"/>
          </w:tcPr>
          <w:p w14:paraId="3D360083">
            <w:pPr>
              <w:pStyle w:val="33"/>
              <w:rPr>
                <w:color w:val="auto"/>
              </w:rPr>
            </w:pPr>
            <w:r>
              <w:rPr>
                <w:color w:val="auto"/>
              </w:rPr>
              <w:t>Pi值</w:t>
            </w:r>
          </w:p>
        </w:tc>
        <w:tc>
          <w:tcPr>
            <w:tcW w:w="2268" w:type="dxa"/>
            <w:vAlign w:val="center"/>
          </w:tcPr>
          <w:p w14:paraId="5BBE6F5D">
            <w:pPr>
              <w:pStyle w:val="33"/>
              <w:rPr>
                <w:color w:val="auto"/>
              </w:rPr>
            </w:pPr>
          </w:p>
        </w:tc>
      </w:tr>
      <w:tr w14:paraId="55FB0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1FF241A">
            <w:pPr>
              <w:pStyle w:val="33"/>
              <w:rPr>
                <w:color w:val="auto"/>
              </w:rPr>
            </w:pPr>
          </w:p>
        </w:tc>
        <w:tc>
          <w:tcPr>
            <w:tcW w:w="1524" w:type="dxa"/>
            <w:vMerge w:val="continue"/>
            <w:vAlign w:val="center"/>
          </w:tcPr>
          <w:p w14:paraId="7418E317">
            <w:pPr>
              <w:pStyle w:val="33"/>
              <w:rPr>
                <w:color w:val="auto"/>
              </w:rPr>
            </w:pPr>
          </w:p>
        </w:tc>
        <w:tc>
          <w:tcPr>
            <w:tcW w:w="1584" w:type="dxa"/>
            <w:vMerge w:val="continue"/>
            <w:vAlign w:val="center"/>
          </w:tcPr>
          <w:p w14:paraId="79CCEDE7">
            <w:pPr>
              <w:pStyle w:val="33"/>
              <w:rPr>
                <w:color w:val="auto"/>
              </w:rPr>
            </w:pPr>
          </w:p>
        </w:tc>
        <w:tc>
          <w:tcPr>
            <w:tcW w:w="2565" w:type="dxa"/>
            <w:vAlign w:val="center"/>
          </w:tcPr>
          <w:p w14:paraId="45CF9D32">
            <w:pPr>
              <w:pStyle w:val="33"/>
              <w:rPr>
                <w:color w:val="auto"/>
              </w:rPr>
            </w:pPr>
            <w:r>
              <w:rPr>
                <w:color w:val="auto"/>
              </w:rPr>
              <w:t>超标率</w:t>
            </w:r>
          </w:p>
        </w:tc>
        <w:tc>
          <w:tcPr>
            <w:tcW w:w="2268" w:type="dxa"/>
            <w:vAlign w:val="center"/>
          </w:tcPr>
          <w:p w14:paraId="48CE5EC1">
            <w:pPr>
              <w:pStyle w:val="33"/>
              <w:rPr>
                <w:color w:val="auto"/>
              </w:rPr>
            </w:pPr>
          </w:p>
        </w:tc>
      </w:tr>
      <w:tr w14:paraId="35855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1ADF828A">
            <w:pPr>
              <w:pStyle w:val="33"/>
              <w:rPr>
                <w:color w:val="auto"/>
              </w:rPr>
            </w:pPr>
          </w:p>
        </w:tc>
        <w:tc>
          <w:tcPr>
            <w:tcW w:w="1524" w:type="dxa"/>
            <w:vMerge w:val="continue"/>
            <w:vAlign w:val="center"/>
          </w:tcPr>
          <w:p w14:paraId="0B9FAA73">
            <w:pPr>
              <w:pStyle w:val="33"/>
              <w:rPr>
                <w:color w:val="auto"/>
              </w:rPr>
            </w:pPr>
          </w:p>
        </w:tc>
        <w:tc>
          <w:tcPr>
            <w:tcW w:w="1584" w:type="dxa"/>
            <w:vMerge w:val="continue"/>
            <w:vAlign w:val="center"/>
          </w:tcPr>
          <w:p w14:paraId="075AA7BE">
            <w:pPr>
              <w:pStyle w:val="33"/>
              <w:rPr>
                <w:color w:val="auto"/>
              </w:rPr>
            </w:pPr>
          </w:p>
        </w:tc>
        <w:tc>
          <w:tcPr>
            <w:tcW w:w="2565" w:type="dxa"/>
            <w:vAlign w:val="center"/>
          </w:tcPr>
          <w:p w14:paraId="3BE1CCB6">
            <w:pPr>
              <w:pStyle w:val="33"/>
              <w:rPr>
                <w:color w:val="auto"/>
              </w:rPr>
            </w:pPr>
            <w:r>
              <w:rPr>
                <w:color w:val="auto"/>
              </w:rPr>
              <w:t>最大超标倍数</w:t>
            </w:r>
          </w:p>
        </w:tc>
        <w:tc>
          <w:tcPr>
            <w:tcW w:w="2268" w:type="dxa"/>
            <w:vAlign w:val="center"/>
          </w:tcPr>
          <w:p w14:paraId="60772DCB">
            <w:pPr>
              <w:pStyle w:val="33"/>
              <w:rPr>
                <w:color w:val="auto"/>
              </w:rPr>
            </w:pPr>
          </w:p>
        </w:tc>
      </w:tr>
      <w:tr w14:paraId="32F3F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56F09910">
            <w:pPr>
              <w:pStyle w:val="33"/>
              <w:rPr>
                <w:color w:val="auto"/>
              </w:rPr>
            </w:pPr>
          </w:p>
        </w:tc>
        <w:tc>
          <w:tcPr>
            <w:tcW w:w="1524" w:type="dxa"/>
            <w:vMerge w:val="restart"/>
            <w:vAlign w:val="center"/>
          </w:tcPr>
          <w:p w14:paraId="672CD3FA">
            <w:pPr>
              <w:pStyle w:val="33"/>
              <w:rPr>
                <w:color w:val="auto"/>
              </w:rPr>
            </w:pPr>
            <w:r>
              <w:rPr>
                <w:color w:val="auto"/>
              </w:rPr>
              <w:t>总铬</w:t>
            </w:r>
          </w:p>
        </w:tc>
        <w:tc>
          <w:tcPr>
            <w:tcW w:w="1584" w:type="dxa"/>
            <w:vMerge w:val="restart"/>
            <w:vAlign w:val="center"/>
          </w:tcPr>
          <w:p w14:paraId="3DCCFD81">
            <w:pPr>
              <w:pStyle w:val="33"/>
              <w:rPr>
                <w:color w:val="auto"/>
              </w:rPr>
            </w:pPr>
            <w:r>
              <w:rPr>
                <w:color w:val="auto"/>
              </w:rPr>
              <w:t>0.2</w:t>
            </w:r>
          </w:p>
        </w:tc>
        <w:tc>
          <w:tcPr>
            <w:tcW w:w="2565" w:type="dxa"/>
            <w:vAlign w:val="center"/>
          </w:tcPr>
          <w:p w14:paraId="7C2615FA">
            <w:pPr>
              <w:pStyle w:val="33"/>
              <w:rPr>
                <w:color w:val="auto"/>
              </w:rPr>
            </w:pPr>
            <w:r>
              <w:rPr>
                <w:color w:val="auto"/>
              </w:rPr>
              <w:t>监测值</w:t>
            </w:r>
          </w:p>
        </w:tc>
        <w:tc>
          <w:tcPr>
            <w:tcW w:w="2268" w:type="dxa"/>
            <w:vAlign w:val="center"/>
          </w:tcPr>
          <w:p w14:paraId="5C260909">
            <w:pPr>
              <w:pStyle w:val="33"/>
              <w:rPr>
                <w:color w:val="auto"/>
              </w:rPr>
            </w:pPr>
          </w:p>
        </w:tc>
      </w:tr>
      <w:tr w14:paraId="1EEFB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554A250E">
            <w:pPr>
              <w:pStyle w:val="33"/>
              <w:rPr>
                <w:color w:val="auto"/>
              </w:rPr>
            </w:pPr>
          </w:p>
        </w:tc>
        <w:tc>
          <w:tcPr>
            <w:tcW w:w="1524" w:type="dxa"/>
            <w:vMerge w:val="continue"/>
            <w:vAlign w:val="center"/>
          </w:tcPr>
          <w:p w14:paraId="187C6401">
            <w:pPr>
              <w:pStyle w:val="33"/>
              <w:rPr>
                <w:color w:val="auto"/>
              </w:rPr>
            </w:pPr>
          </w:p>
        </w:tc>
        <w:tc>
          <w:tcPr>
            <w:tcW w:w="1584" w:type="dxa"/>
            <w:vMerge w:val="continue"/>
            <w:vAlign w:val="center"/>
          </w:tcPr>
          <w:p w14:paraId="77152CA3">
            <w:pPr>
              <w:pStyle w:val="33"/>
              <w:rPr>
                <w:color w:val="auto"/>
              </w:rPr>
            </w:pPr>
          </w:p>
        </w:tc>
        <w:tc>
          <w:tcPr>
            <w:tcW w:w="2565" w:type="dxa"/>
            <w:vAlign w:val="center"/>
          </w:tcPr>
          <w:p w14:paraId="025E64DA">
            <w:pPr>
              <w:pStyle w:val="33"/>
              <w:rPr>
                <w:color w:val="auto"/>
              </w:rPr>
            </w:pPr>
            <w:r>
              <w:rPr>
                <w:color w:val="auto"/>
              </w:rPr>
              <w:t>Pi值</w:t>
            </w:r>
          </w:p>
        </w:tc>
        <w:tc>
          <w:tcPr>
            <w:tcW w:w="2268" w:type="dxa"/>
            <w:vAlign w:val="center"/>
          </w:tcPr>
          <w:p w14:paraId="7A4FA794">
            <w:pPr>
              <w:pStyle w:val="33"/>
              <w:rPr>
                <w:color w:val="auto"/>
              </w:rPr>
            </w:pPr>
          </w:p>
        </w:tc>
      </w:tr>
      <w:tr w14:paraId="4DED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6C6D131E">
            <w:pPr>
              <w:pStyle w:val="33"/>
              <w:rPr>
                <w:color w:val="auto"/>
              </w:rPr>
            </w:pPr>
          </w:p>
        </w:tc>
        <w:tc>
          <w:tcPr>
            <w:tcW w:w="1524" w:type="dxa"/>
            <w:vMerge w:val="continue"/>
            <w:vAlign w:val="center"/>
          </w:tcPr>
          <w:p w14:paraId="2F8344D5">
            <w:pPr>
              <w:pStyle w:val="33"/>
              <w:rPr>
                <w:color w:val="auto"/>
              </w:rPr>
            </w:pPr>
          </w:p>
        </w:tc>
        <w:tc>
          <w:tcPr>
            <w:tcW w:w="1584" w:type="dxa"/>
            <w:vMerge w:val="continue"/>
            <w:vAlign w:val="center"/>
          </w:tcPr>
          <w:p w14:paraId="59F47E9D">
            <w:pPr>
              <w:pStyle w:val="33"/>
              <w:rPr>
                <w:color w:val="auto"/>
              </w:rPr>
            </w:pPr>
          </w:p>
        </w:tc>
        <w:tc>
          <w:tcPr>
            <w:tcW w:w="2565" w:type="dxa"/>
            <w:vAlign w:val="center"/>
          </w:tcPr>
          <w:p w14:paraId="13AA21B5">
            <w:pPr>
              <w:pStyle w:val="33"/>
              <w:rPr>
                <w:color w:val="auto"/>
              </w:rPr>
            </w:pPr>
            <w:r>
              <w:rPr>
                <w:color w:val="auto"/>
              </w:rPr>
              <w:t>超标率</w:t>
            </w:r>
          </w:p>
        </w:tc>
        <w:tc>
          <w:tcPr>
            <w:tcW w:w="2268" w:type="dxa"/>
            <w:vAlign w:val="center"/>
          </w:tcPr>
          <w:p w14:paraId="00DBD9F9">
            <w:pPr>
              <w:pStyle w:val="33"/>
              <w:rPr>
                <w:color w:val="auto"/>
              </w:rPr>
            </w:pPr>
          </w:p>
        </w:tc>
      </w:tr>
      <w:tr w14:paraId="19C7C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6882A9E">
            <w:pPr>
              <w:pStyle w:val="33"/>
              <w:rPr>
                <w:color w:val="auto"/>
              </w:rPr>
            </w:pPr>
          </w:p>
        </w:tc>
        <w:tc>
          <w:tcPr>
            <w:tcW w:w="1524" w:type="dxa"/>
            <w:vMerge w:val="continue"/>
            <w:vAlign w:val="center"/>
          </w:tcPr>
          <w:p w14:paraId="50D7A5F2">
            <w:pPr>
              <w:pStyle w:val="33"/>
              <w:rPr>
                <w:color w:val="auto"/>
              </w:rPr>
            </w:pPr>
          </w:p>
        </w:tc>
        <w:tc>
          <w:tcPr>
            <w:tcW w:w="1584" w:type="dxa"/>
            <w:vMerge w:val="continue"/>
            <w:vAlign w:val="center"/>
          </w:tcPr>
          <w:p w14:paraId="7C0617BE">
            <w:pPr>
              <w:pStyle w:val="33"/>
              <w:rPr>
                <w:color w:val="auto"/>
              </w:rPr>
            </w:pPr>
          </w:p>
        </w:tc>
        <w:tc>
          <w:tcPr>
            <w:tcW w:w="2565" w:type="dxa"/>
            <w:vAlign w:val="center"/>
          </w:tcPr>
          <w:p w14:paraId="10C9C445">
            <w:pPr>
              <w:pStyle w:val="33"/>
              <w:rPr>
                <w:color w:val="auto"/>
              </w:rPr>
            </w:pPr>
            <w:r>
              <w:rPr>
                <w:color w:val="auto"/>
              </w:rPr>
              <w:t>最大超标倍数</w:t>
            </w:r>
          </w:p>
        </w:tc>
        <w:tc>
          <w:tcPr>
            <w:tcW w:w="2268" w:type="dxa"/>
            <w:vAlign w:val="center"/>
          </w:tcPr>
          <w:p w14:paraId="277B4271">
            <w:pPr>
              <w:pStyle w:val="33"/>
              <w:rPr>
                <w:color w:val="auto"/>
              </w:rPr>
            </w:pPr>
          </w:p>
        </w:tc>
      </w:tr>
      <w:tr w14:paraId="64963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08356DC">
            <w:pPr>
              <w:pStyle w:val="33"/>
              <w:rPr>
                <w:color w:val="auto"/>
              </w:rPr>
            </w:pPr>
          </w:p>
        </w:tc>
        <w:tc>
          <w:tcPr>
            <w:tcW w:w="1524" w:type="dxa"/>
            <w:vMerge w:val="restart"/>
            <w:vAlign w:val="center"/>
          </w:tcPr>
          <w:p w14:paraId="69A80A5D">
            <w:pPr>
              <w:pStyle w:val="33"/>
              <w:rPr>
                <w:color w:val="auto"/>
              </w:rPr>
            </w:pPr>
            <w:r>
              <w:rPr>
                <w:color w:val="auto"/>
              </w:rPr>
              <w:t>砷</w:t>
            </w:r>
          </w:p>
        </w:tc>
        <w:tc>
          <w:tcPr>
            <w:tcW w:w="1584" w:type="dxa"/>
            <w:vMerge w:val="restart"/>
            <w:vAlign w:val="center"/>
          </w:tcPr>
          <w:p w14:paraId="6EA286D2">
            <w:pPr>
              <w:pStyle w:val="33"/>
              <w:rPr>
                <w:color w:val="auto"/>
              </w:rPr>
            </w:pPr>
            <w:r>
              <w:rPr>
                <w:color w:val="auto"/>
              </w:rPr>
              <w:t>0.05</w:t>
            </w:r>
          </w:p>
        </w:tc>
        <w:tc>
          <w:tcPr>
            <w:tcW w:w="2565" w:type="dxa"/>
            <w:vAlign w:val="center"/>
          </w:tcPr>
          <w:p w14:paraId="6C1B1BD9">
            <w:pPr>
              <w:pStyle w:val="33"/>
              <w:rPr>
                <w:color w:val="auto"/>
              </w:rPr>
            </w:pPr>
            <w:r>
              <w:rPr>
                <w:color w:val="auto"/>
              </w:rPr>
              <w:t>监测值</w:t>
            </w:r>
          </w:p>
        </w:tc>
        <w:tc>
          <w:tcPr>
            <w:tcW w:w="2268" w:type="dxa"/>
            <w:vAlign w:val="center"/>
          </w:tcPr>
          <w:p w14:paraId="670853E2">
            <w:pPr>
              <w:pStyle w:val="33"/>
              <w:rPr>
                <w:color w:val="auto"/>
              </w:rPr>
            </w:pPr>
          </w:p>
        </w:tc>
      </w:tr>
      <w:tr w14:paraId="746B00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7216B142">
            <w:pPr>
              <w:pStyle w:val="33"/>
              <w:rPr>
                <w:color w:val="auto"/>
              </w:rPr>
            </w:pPr>
          </w:p>
        </w:tc>
        <w:tc>
          <w:tcPr>
            <w:tcW w:w="1524" w:type="dxa"/>
            <w:vMerge w:val="continue"/>
            <w:vAlign w:val="center"/>
          </w:tcPr>
          <w:p w14:paraId="6B9B2A82">
            <w:pPr>
              <w:pStyle w:val="33"/>
              <w:rPr>
                <w:color w:val="auto"/>
              </w:rPr>
            </w:pPr>
          </w:p>
        </w:tc>
        <w:tc>
          <w:tcPr>
            <w:tcW w:w="1584" w:type="dxa"/>
            <w:vMerge w:val="continue"/>
            <w:vAlign w:val="center"/>
          </w:tcPr>
          <w:p w14:paraId="3ABAAF0B">
            <w:pPr>
              <w:pStyle w:val="33"/>
              <w:rPr>
                <w:color w:val="auto"/>
              </w:rPr>
            </w:pPr>
          </w:p>
        </w:tc>
        <w:tc>
          <w:tcPr>
            <w:tcW w:w="2565" w:type="dxa"/>
            <w:vAlign w:val="center"/>
          </w:tcPr>
          <w:p w14:paraId="26DA0F8A">
            <w:pPr>
              <w:pStyle w:val="33"/>
              <w:rPr>
                <w:color w:val="auto"/>
              </w:rPr>
            </w:pPr>
            <w:r>
              <w:rPr>
                <w:color w:val="auto"/>
              </w:rPr>
              <w:t>Pi值</w:t>
            </w:r>
          </w:p>
        </w:tc>
        <w:tc>
          <w:tcPr>
            <w:tcW w:w="2268" w:type="dxa"/>
            <w:vAlign w:val="center"/>
          </w:tcPr>
          <w:p w14:paraId="1692F31B">
            <w:pPr>
              <w:pStyle w:val="33"/>
              <w:rPr>
                <w:color w:val="auto"/>
              </w:rPr>
            </w:pPr>
          </w:p>
        </w:tc>
      </w:tr>
      <w:tr w14:paraId="00991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80CC52C">
            <w:pPr>
              <w:pStyle w:val="33"/>
              <w:rPr>
                <w:color w:val="auto"/>
              </w:rPr>
            </w:pPr>
          </w:p>
        </w:tc>
        <w:tc>
          <w:tcPr>
            <w:tcW w:w="1524" w:type="dxa"/>
            <w:vMerge w:val="continue"/>
            <w:vAlign w:val="center"/>
          </w:tcPr>
          <w:p w14:paraId="2CF50D51">
            <w:pPr>
              <w:pStyle w:val="33"/>
              <w:rPr>
                <w:color w:val="auto"/>
              </w:rPr>
            </w:pPr>
          </w:p>
        </w:tc>
        <w:tc>
          <w:tcPr>
            <w:tcW w:w="1584" w:type="dxa"/>
            <w:vMerge w:val="continue"/>
            <w:vAlign w:val="center"/>
          </w:tcPr>
          <w:p w14:paraId="500C9838">
            <w:pPr>
              <w:pStyle w:val="33"/>
              <w:rPr>
                <w:color w:val="auto"/>
              </w:rPr>
            </w:pPr>
          </w:p>
        </w:tc>
        <w:tc>
          <w:tcPr>
            <w:tcW w:w="2565" w:type="dxa"/>
            <w:vAlign w:val="center"/>
          </w:tcPr>
          <w:p w14:paraId="0E38743D">
            <w:pPr>
              <w:pStyle w:val="33"/>
              <w:rPr>
                <w:color w:val="auto"/>
              </w:rPr>
            </w:pPr>
            <w:r>
              <w:rPr>
                <w:color w:val="auto"/>
              </w:rPr>
              <w:t>超标率</w:t>
            </w:r>
          </w:p>
        </w:tc>
        <w:tc>
          <w:tcPr>
            <w:tcW w:w="2268" w:type="dxa"/>
            <w:vAlign w:val="center"/>
          </w:tcPr>
          <w:p w14:paraId="26CFFE1C">
            <w:pPr>
              <w:pStyle w:val="33"/>
              <w:rPr>
                <w:color w:val="auto"/>
              </w:rPr>
            </w:pPr>
          </w:p>
        </w:tc>
      </w:tr>
      <w:tr w14:paraId="4EC58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D03D47A">
            <w:pPr>
              <w:pStyle w:val="33"/>
              <w:rPr>
                <w:color w:val="auto"/>
              </w:rPr>
            </w:pPr>
          </w:p>
        </w:tc>
        <w:tc>
          <w:tcPr>
            <w:tcW w:w="1524" w:type="dxa"/>
            <w:vMerge w:val="continue"/>
            <w:vAlign w:val="center"/>
          </w:tcPr>
          <w:p w14:paraId="66FB16F3">
            <w:pPr>
              <w:pStyle w:val="33"/>
              <w:rPr>
                <w:color w:val="auto"/>
              </w:rPr>
            </w:pPr>
          </w:p>
        </w:tc>
        <w:tc>
          <w:tcPr>
            <w:tcW w:w="1584" w:type="dxa"/>
            <w:vMerge w:val="continue"/>
            <w:vAlign w:val="center"/>
          </w:tcPr>
          <w:p w14:paraId="49AC4A52">
            <w:pPr>
              <w:pStyle w:val="33"/>
              <w:rPr>
                <w:color w:val="auto"/>
              </w:rPr>
            </w:pPr>
          </w:p>
        </w:tc>
        <w:tc>
          <w:tcPr>
            <w:tcW w:w="2565" w:type="dxa"/>
            <w:vAlign w:val="center"/>
          </w:tcPr>
          <w:p w14:paraId="71AC0C72">
            <w:pPr>
              <w:pStyle w:val="33"/>
              <w:rPr>
                <w:color w:val="auto"/>
              </w:rPr>
            </w:pPr>
            <w:r>
              <w:rPr>
                <w:color w:val="auto"/>
              </w:rPr>
              <w:t>最大超标倍数</w:t>
            </w:r>
          </w:p>
        </w:tc>
        <w:tc>
          <w:tcPr>
            <w:tcW w:w="2268" w:type="dxa"/>
            <w:vAlign w:val="center"/>
          </w:tcPr>
          <w:p w14:paraId="70665764">
            <w:pPr>
              <w:pStyle w:val="33"/>
              <w:rPr>
                <w:color w:val="auto"/>
              </w:rPr>
            </w:pPr>
          </w:p>
        </w:tc>
      </w:tr>
      <w:tr w14:paraId="06CEA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0A1E867C">
            <w:pPr>
              <w:pStyle w:val="33"/>
              <w:rPr>
                <w:color w:val="auto"/>
              </w:rPr>
            </w:pPr>
          </w:p>
        </w:tc>
        <w:tc>
          <w:tcPr>
            <w:tcW w:w="1524" w:type="dxa"/>
            <w:vMerge w:val="restart"/>
            <w:vAlign w:val="center"/>
          </w:tcPr>
          <w:p w14:paraId="5019E9A2">
            <w:pPr>
              <w:pStyle w:val="33"/>
              <w:rPr>
                <w:color w:val="auto"/>
              </w:rPr>
            </w:pPr>
            <w:r>
              <w:rPr>
                <w:color w:val="auto"/>
              </w:rPr>
              <w:t>镍</w:t>
            </w:r>
          </w:p>
        </w:tc>
        <w:tc>
          <w:tcPr>
            <w:tcW w:w="1584" w:type="dxa"/>
            <w:vMerge w:val="restart"/>
            <w:vAlign w:val="center"/>
          </w:tcPr>
          <w:p w14:paraId="0D24DA99">
            <w:pPr>
              <w:pStyle w:val="33"/>
              <w:rPr>
                <w:color w:val="auto"/>
              </w:rPr>
            </w:pPr>
            <w:r>
              <w:rPr>
                <w:color w:val="auto"/>
              </w:rPr>
              <w:t>0.02</w:t>
            </w:r>
          </w:p>
        </w:tc>
        <w:tc>
          <w:tcPr>
            <w:tcW w:w="2565" w:type="dxa"/>
            <w:vAlign w:val="center"/>
          </w:tcPr>
          <w:p w14:paraId="59E2E4E4">
            <w:pPr>
              <w:pStyle w:val="33"/>
              <w:rPr>
                <w:color w:val="auto"/>
              </w:rPr>
            </w:pPr>
            <w:r>
              <w:rPr>
                <w:color w:val="auto"/>
              </w:rPr>
              <w:t>监测值</w:t>
            </w:r>
          </w:p>
        </w:tc>
        <w:tc>
          <w:tcPr>
            <w:tcW w:w="2268" w:type="dxa"/>
            <w:vAlign w:val="center"/>
          </w:tcPr>
          <w:p w14:paraId="7073D957">
            <w:pPr>
              <w:pStyle w:val="33"/>
              <w:rPr>
                <w:color w:val="auto"/>
              </w:rPr>
            </w:pPr>
          </w:p>
        </w:tc>
      </w:tr>
      <w:tr w14:paraId="4FBD4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058C0A3">
            <w:pPr>
              <w:pStyle w:val="33"/>
              <w:rPr>
                <w:color w:val="auto"/>
              </w:rPr>
            </w:pPr>
          </w:p>
        </w:tc>
        <w:tc>
          <w:tcPr>
            <w:tcW w:w="1524" w:type="dxa"/>
            <w:vMerge w:val="continue"/>
            <w:vAlign w:val="center"/>
          </w:tcPr>
          <w:p w14:paraId="27E2FB84">
            <w:pPr>
              <w:pStyle w:val="33"/>
              <w:rPr>
                <w:color w:val="auto"/>
              </w:rPr>
            </w:pPr>
          </w:p>
        </w:tc>
        <w:tc>
          <w:tcPr>
            <w:tcW w:w="1584" w:type="dxa"/>
            <w:vMerge w:val="continue"/>
            <w:vAlign w:val="center"/>
          </w:tcPr>
          <w:p w14:paraId="49D7C9AC">
            <w:pPr>
              <w:pStyle w:val="33"/>
              <w:rPr>
                <w:color w:val="auto"/>
              </w:rPr>
            </w:pPr>
          </w:p>
        </w:tc>
        <w:tc>
          <w:tcPr>
            <w:tcW w:w="2565" w:type="dxa"/>
            <w:vAlign w:val="center"/>
          </w:tcPr>
          <w:p w14:paraId="7660B9B3">
            <w:pPr>
              <w:pStyle w:val="33"/>
              <w:rPr>
                <w:color w:val="auto"/>
              </w:rPr>
            </w:pPr>
            <w:r>
              <w:rPr>
                <w:color w:val="auto"/>
              </w:rPr>
              <w:t>Pi值</w:t>
            </w:r>
          </w:p>
        </w:tc>
        <w:tc>
          <w:tcPr>
            <w:tcW w:w="2268" w:type="dxa"/>
            <w:vAlign w:val="center"/>
          </w:tcPr>
          <w:p w14:paraId="77C10FA5">
            <w:pPr>
              <w:pStyle w:val="33"/>
              <w:rPr>
                <w:color w:val="auto"/>
              </w:rPr>
            </w:pPr>
          </w:p>
        </w:tc>
      </w:tr>
      <w:tr w14:paraId="47D4E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B14347B">
            <w:pPr>
              <w:pStyle w:val="33"/>
              <w:rPr>
                <w:color w:val="auto"/>
              </w:rPr>
            </w:pPr>
          </w:p>
        </w:tc>
        <w:tc>
          <w:tcPr>
            <w:tcW w:w="1524" w:type="dxa"/>
            <w:vMerge w:val="continue"/>
            <w:vAlign w:val="center"/>
          </w:tcPr>
          <w:p w14:paraId="412E17B1">
            <w:pPr>
              <w:pStyle w:val="33"/>
              <w:rPr>
                <w:color w:val="auto"/>
              </w:rPr>
            </w:pPr>
          </w:p>
        </w:tc>
        <w:tc>
          <w:tcPr>
            <w:tcW w:w="1584" w:type="dxa"/>
            <w:vMerge w:val="continue"/>
            <w:vAlign w:val="center"/>
          </w:tcPr>
          <w:p w14:paraId="204FC64E">
            <w:pPr>
              <w:pStyle w:val="33"/>
              <w:rPr>
                <w:color w:val="auto"/>
              </w:rPr>
            </w:pPr>
          </w:p>
        </w:tc>
        <w:tc>
          <w:tcPr>
            <w:tcW w:w="2565" w:type="dxa"/>
            <w:vAlign w:val="center"/>
          </w:tcPr>
          <w:p w14:paraId="2F77727B">
            <w:pPr>
              <w:pStyle w:val="33"/>
              <w:rPr>
                <w:color w:val="auto"/>
              </w:rPr>
            </w:pPr>
            <w:r>
              <w:rPr>
                <w:color w:val="auto"/>
              </w:rPr>
              <w:t>超标率</w:t>
            </w:r>
          </w:p>
        </w:tc>
        <w:tc>
          <w:tcPr>
            <w:tcW w:w="2268" w:type="dxa"/>
            <w:vAlign w:val="center"/>
          </w:tcPr>
          <w:p w14:paraId="146FB1DA">
            <w:pPr>
              <w:pStyle w:val="33"/>
              <w:rPr>
                <w:color w:val="auto"/>
              </w:rPr>
            </w:pPr>
          </w:p>
        </w:tc>
      </w:tr>
      <w:tr w14:paraId="1E2FD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4E979664">
            <w:pPr>
              <w:pStyle w:val="33"/>
              <w:rPr>
                <w:color w:val="auto"/>
              </w:rPr>
            </w:pPr>
          </w:p>
        </w:tc>
        <w:tc>
          <w:tcPr>
            <w:tcW w:w="1524" w:type="dxa"/>
            <w:vMerge w:val="continue"/>
            <w:vAlign w:val="center"/>
          </w:tcPr>
          <w:p w14:paraId="287165C7">
            <w:pPr>
              <w:pStyle w:val="33"/>
              <w:rPr>
                <w:color w:val="auto"/>
              </w:rPr>
            </w:pPr>
          </w:p>
        </w:tc>
        <w:tc>
          <w:tcPr>
            <w:tcW w:w="1584" w:type="dxa"/>
            <w:vMerge w:val="continue"/>
            <w:vAlign w:val="center"/>
          </w:tcPr>
          <w:p w14:paraId="215A48E7">
            <w:pPr>
              <w:pStyle w:val="33"/>
              <w:rPr>
                <w:color w:val="auto"/>
              </w:rPr>
            </w:pPr>
          </w:p>
        </w:tc>
        <w:tc>
          <w:tcPr>
            <w:tcW w:w="2565" w:type="dxa"/>
            <w:vAlign w:val="center"/>
          </w:tcPr>
          <w:p w14:paraId="1FAB95F2">
            <w:pPr>
              <w:pStyle w:val="33"/>
              <w:rPr>
                <w:color w:val="auto"/>
              </w:rPr>
            </w:pPr>
            <w:r>
              <w:rPr>
                <w:color w:val="auto"/>
              </w:rPr>
              <w:t>最大超标倍数</w:t>
            </w:r>
          </w:p>
        </w:tc>
        <w:tc>
          <w:tcPr>
            <w:tcW w:w="2268" w:type="dxa"/>
            <w:vAlign w:val="center"/>
          </w:tcPr>
          <w:p w14:paraId="14A41818">
            <w:pPr>
              <w:pStyle w:val="33"/>
              <w:rPr>
                <w:color w:val="auto"/>
              </w:rPr>
            </w:pPr>
          </w:p>
        </w:tc>
      </w:tr>
      <w:tr w14:paraId="37AE0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DAA94D2">
            <w:pPr>
              <w:pStyle w:val="33"/>
              <w:rPr>
                <w:color w:val="auto"/>
              </w:rPr>
            </w:pPr>
          </w:p>
        </w:tc>
        <w:tc>
          <w:tcPr>
            <w:tcW w:w="1524" w:type="dxa"/>
            <w:vAlign w:val="center"/>
          </w:tcPr>
          <w:p w14:paraId="041BF6BD">
            <w:pPr>
              <w:pStyle w:val="33"/>
              <w:rPr>
                <w:color w:val="auto"/>
              </w:rPr>
            </w:pPr>
            <w:r>
              <w:rPr>
                <w:color w:val="auto"/>
              </w:rPr>
              <w:t>锰</w:t>
            </w:r>
          </w:p>
        </w:tc>
        <w:tc>
          <w:tcPr>
            <w:tcW w:w="1584" w:type="dxa"/>
            <w:vAlign w:val="center"/>
          </w:tcPr>
          <w:p w14:paraId="3FD557D9">
            <w:pPr>
              <w:pStyle w:val="33"/>
              <w:rPr>
                <w:color w:val="auto"/>
              </w:rPr>
            </w:pPr>
            <w:r>
              <w:rPr>
                <w:color w:val="auto"/>
              </w:rPr>
              <w:t>/</w:t>
            </w:r>
          </w:p>
        </w:tc>
        <w:tc>
          <w:tcPr>
            <w:tcW w:w="2565" w:type="dxa"/>
            <w:vAlign w:val="center"/>
          </w:tcPr>
          <w:p w14:paraId="7697F998">
            <w:pPr>
              <w:pStyle w:val="33"/>
              <w:rPr>
                <w:color w:val="auto"/>
              </w:rPr>
            </w:pPr>
            <w:r>
              <w:rPr>
                <w:color w:val="auto"/>
              </w:rPr>
              <w:t>监测值</w:t>
            </w:r>
          </w:p>
        </w:tc>
        <w:tc>
          <w:tcPr>
            <w:tcW w:w="2268" w:type="dxa"/>
            <w:vAlign w:val="center"/>
          </w:tcPr>
          <w:p w14:paraId="3F4F2D49">
            <w:pPr>
              <w:pStyle w:val="33"/>
              <w:rPr>
                <w:color w:val="auto"/>
              </w:rPr>
            </w:pPr>
          </w:p>
        </w:tc>
      </w:tr>
      <w:tr w14:paraId="66408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2B00EAA5">
            <w:pPr>
              <w:pStyle w:val="33"/>
              <w:rPr>
                <w:color w:val="auto"/>
              </w:rPr>
            </w:pPr>
          </w:p>
        </w:tc>
        <w:tc>
          <w:tcPr>
            <w:tcW w:w="1524" w:type="dxa"/>
            <w:vAlign w:val="center"/>
          </w:tcPr>
          <w:p w14:paraId="5D367689">
            <w:pPr>
              <w:pStyle w:val="33"/>
              <w:rPr>
                <w:color w:val="auto"/>
              </w:rPr>
            </w:pPr>
            <w:r>
              <w:rPr>
                <w:color w:val="auto"/>
              </w:rPr>
              <w:t>水温（℃）</w:t>
            </w:r>
          </w:p>
        </w:tc>
        <w:tc>
          <w:tcPr>
            <w:tcW w:w="1584" w:type="dxa"/>
            <w:vAlign w:val="center"/>
          </w:tcPr>
          <w:p w14:paraId="0D6E4143">
            <w:pPr>
              <w:pStyle w:val="33"/>
              <w:rPr>
                <w:color w:val="auto"/>
              </w:rPr>
            </w:pPr>
            <w:r>
              <w:rPr>
                <w:color w:val="auto"/>
              </w:rPr>
              <w:t>人为造成的海水温升不超过当时当地4℃</w:t>
            </w:r>
          </w:p>
        </w:tc>
        <w:tc>
          <w:tcPr>
            <w:tcW w:w="2565" w:type="dxa"/>
            <w:vAlign w:val="center"/>
          </w:tcPr>
          <w:p w14:paraId="59CA527F">
            <w:pPr>
              <w:pStyle w:val="33"/>
              <w:rPr>
                <w:color w:val="auto"/>
              </w:rPr>
            </w:pPr>
            <w:r>
              <w:rPr>
                <w:color w:val="auto"/>
              </w:rPr>
              <w:t>监测值</w:t>
            </w:r>
          </w:p>
        </w:tc>
        <w:tc>
          <w:tcPr>
            <w:tcW w:w="2268" w:type="dxa"/>
            <w:vAlign w:val="center"/>
          </w:tcPr>
          <w:p w14:paraId="41CBC3F4">
            <w:pPr>
              <w:pStyle w:val="33"/>
              <w:rPr>
                <w:color w:val="auto"/>
              </w:rPr>
            </w:pPr>
          </w:p>
        </w:tc>
      </w:tr>
      <w:tr w14:paraId="1F49B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3" w:hRule="atLeast"/>
          <w:jc w:val="center"/>
        </w:trPr>
        <w:tc>
          <w:tcPr>
            <w:tcW w:w="1268" w:type="dxa"/>
            <w:vMerge w:val="continue"/>
            <w:vAlign w:val="center"/>
          </w:tcPr>
          <w:p w14:paraId="53F5285E">
            <w:pPr>
              <w:pStyle w:val="33"/>
              <w:rPr>
                <w:color w:val="auto"/>
              </w:rPr>
            </w:pPr>
          </w:p>
        </w:tc>
        <w:tc>
          <w:tcPr>
            <w:tcW w:w="1524" w:type="dxa"/>
            <w:vAlign w:val="center"/>
          </w:tcPr>
          <w:p w14:paraId="7F1A81E0">
            <w:pPr>
              <w:pStyle w:val="33"/>
              <w:rPr>
                <w:color w:val="auto"/>
              </w:rPr>
            </w:pPr>
            <w:r>
              <w:rPr>
                <w:color w:val="auto"/>
              </w:rPr>
              <w:t>盐度（</w:t>
            </w:r>
            <w:r>
              <w:rPr>
                <w:rFonts w:hint="eastAsia"/>
                <w:color w:val="auto"/>
              </w:rPr>
              <w:t>%</w:t>
            </w:r>
            <w:r>
              <w:rPr>
                <w:color w:val="auto"/>
              </w:rPr>
              <w:t>）</w:t>
            </w:r>
          </w:p>
        </w:tc>
        <w:tc>
          <w:tcPr>
            <w:tcW w:w="1584" w:type="dxa"/>
            <w:vAlign w:val="center"/>
          </w:tcPr>
          <w:p w14:paraId="36F56583">
            <w:pPr>
              <w:pStyle w:val="33"/>
              <w:rPr>
                <w:color w:val="auto"/>
              </w:rPr>
            </w:pPr>
            <w:r>
              <w:rPr>
                <w:color w:val="auto"/>
              </w:rPr>
              <w:t>/</w:t>
            </w:r>
          </w:p>
        </w:tc>
        <w:tc>
          <w:tcPr>
            <w:tcW w:w="2565" w:type="dxa"/>
            <w:vAlign w:val="center"/>
          </w:tcPr>
          <w:p w14:paraId="7F44253B">
            <w:pPr>
              <w:pStyle w:val="33"/>
              <w:rPr>
                <w:color w:val="auto"/>
              </w:rPr>
            </w:pPr>
            <w:r>
              <w:rPr>
                <w:color w:val="auto"/>
              </w:rPr>
              <w:t>监测值</w:t>
            </w:r>
          </w:p>
        </w:tc>
        <w:tc>
          <w:tcPr>
            <w:tcW w:w="2268" w:type="dxa"/>
            <w:vAlign w:val="center"/>
          </w:tcPr>
          <w:p w14:paraId="7455560C">
            <w:pPr>
              <w:pStyle w:val="33"/>
              <w:rPr>
                <w:color w:val="auto"/>
              </w:rPr>
            </w:pPr>
          </w:p>
        </w:tc>
      </w:tr>
    </w:tbl>
    <w:p w14:paraId="69DBC6BB">
      <w:pPr>
        <w:pStyle w:val="7"/>
        <w:rPr>
          <w:color w:val="auto"/>
        </w:rPr>
      </w:pPr>
      <w:r>
        <w:rPr>
          <w:color w:val="auto"/>
        </w:rPr>
        <w:t>水质调查结果 单位：mg/L，注明除外</w:t>
      </w:r>
    </w:p>
    <w:tbl>
      <w:tblPr>
        <w:tblStyle w:val="26"/>
        <w:tblW w:w="9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42"/>
        <w:gridCol w:w="942"/>
        <w:gridCol w:w="1270"/>
        <w:gridCol w:w="1221"/>
        <w:gridCol w:w="1287"/>
        <w:gridCol w:w="1267"/>
        <w:gridCol w:w="1289"/>
        <w:gridCol w:w="1300"/>
      </w:tblGrid>
      <w:tr w14:paraId="24CAC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tblHeader/>
          <w:jc w:val="center"/>
        </w:trPr>
        <w:tc>
          <w:tcPr>
            <w:tcW w:w="942" w:type="dxa"/>
            <w:vMerge w:val="restart"/>
            <w:vAlign w:val="center"/>
          </w:tcPr>
          <w:p w14:paraId="2F63D21F">
            <w:pPr>
              <w:pStyle w:val="33"/>
              <w:rPr>
                <w:color w:val="auto"/>
              </w:rPr>
            </w:pPr>
            <w:r>
              <w:rPr>
                <w:color w:val="auto"/>
              </w:rPr>
              <w:t>检测时间</w:t>
            </w:r>
          </w:p>
        </w:tc>
        <w:tc>
          <w:tcPr>
            <w:tcW w:w="942" w:type="dxa"/>
            <w:vMerge w:val="restart"/>
            <w:vAlign w:val="center"/>
          </w:tcPr>
          <w:p w14:paraId="2380AF1A">
            <w:pPr>
              <w:pStyle w:val="33"/>
              <w:rPr>
                <w:color w:val="auto"/>
              </w:rPr>
            </w:pPr>
            <w:r>
              <w:rPr>
                <w:color w:val="auto"/>
              </w:rPr>
              <w:t>检测项目</w:t>
            </w:r>
          </w:p>
        </w:tc>
        <w:tc>
          <w:tcPr>
            <w:tcW w:w="1270" w:type="dxa"/>
            <w:vMerge w:val="restart"/>
            <w:vAlign w:val="center"/>
          </w:tcPr>
          <w:p w14:paraId="1ACA48FF">
            <w:pPr>
              <w:pStyle w:val="33"/>
              <w:rPr>
                <w:color w:val="auto"/>
              </w:rPr>
            </w:pPr>
            <w:r>
              <w:rPr>
                <w:color w:val="auto"/>
              </w:rPr>
              <w:t>监测点位</w:t>
            </w:r>
          </w:p>
        </w:tc>
        <w:tc>
          <w:tcPr>
            <w:tcW w:w="6364" w:type="dxa"/>
            <w:gridSpan w:val="5"/>
            <w:vAlign w:val="center"/>
          </w:tcPr>
          <w:p w14:paraId="5D5F1C3A">
            <w:pPr>
              <w:pStyle w:val="33"/>
              <w:rPr>
                <w:color w:val="auto"/>
              </w:rPr>
            </w:pPr>
            <w:r>
              <w:rPr>
                <w:color w:val="auto"/>
              </w:rPr>
              <w:t>检测结果</w:t>
            </w:r>
          </w:p>
        </w:tc>
      </w:tr>
      <w:tr w14:paraId="14CD9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75" w:hRule="atLeast"/>
          <w:tblHeader/>
          <w:jc w:val="center"/>
        </w:trPr>
        <w:tc>
          <w:tcPr>
            <w:tcW w:w="942" w:type="dxa"/>
            <w:vMerge w:val="continue"/>
            <w:vAlign w:val="center"/>
          </w:tcPr>
          <w:p w14:paraId="119E05E3">
            <w:pPr>
              <w:pStyle w:val="33"/>
              <w:rPr>
                <w:color w:val="auto"/>
              </w:rPr>
            </w:pPr>
          </w:p>
        </w:tc>
        <w:tc>
          <w:tcPr>
            <w:tcW w:w="942" w:type="dxa"/>
            <w:vMerge w:val="continue"/>
            <w:vAlign w:val="center"/>
          </w:tcPr>
          <w:p w14:paraId="76548989">
            <w:pPr>
              <w:pStyle w:val="33"/>
              <w:rPr>
                <w:color w:val="auto"/>
              </w:rPr>
            </w:pPr>
          </w:p>
        </w:tc>
        <w:tc>
          <w:tcPr>
            <w:tcW w:w="1270" w:type="dxa"/>
            <w:vMerge w:val="continue"/>
            <w:vAlign w:val="center"/>
          </w:tcPr>
          <w:p w14:paraId="242D5631">
            <w:pPr>
              <w:pStyle w:val="33"/>
              <w:rPr>
                <w:color w:val="auto"/>
              </w:rPr>
            </w:pPr>
          </w:p>
        </w:tc>
        <w:tc>
          <w:tcPr>
            <w:tcW w:w="1221" w:type="dxa"/>
            <w:vAlign w:val="center"/>
          </w:tcPr>
          <w:p w14:paraId="7A504E5E">
            <w:pPr>
              <w:pStyle w:val="33"/>
              <w:rPr>
                <w:color w:val="auto"/>
              </w:rPr>
            </w:pPr>
            <w:r>
              <w:rPr>
                <w:color w:val="auto"/>
              </w:rPr>
              <w:t>GX002</w:t>
            </w:r>
          </w:p>
        </w:tc>
        <w:tc>
          <w:tcPr>
            <w:tcW w:w="1287" w:type="dxa"/>
            <w:vAlign w:val="center"/>
          </w:tcPr>
          <w:p w14:paraId="75DB71AB">
            <w:pPr>
              <w:pStyle w:val="33"/>
              <w:rPr>
                <w:color w:val="auto"/>
              </w:rPr>
            </w:pPr>
            <w:r>
              <w:rPr>
                <w:color w:val="auto"/>
              </w:rPr>
              <w:t>GX004</w:t>
            </w:r>
          </w:p>
        </w:tc>
        <w:tc>
          <w:tcPr>
            <w:tcW w:w="1267" w:type="dxa"/>
            <w:vAlign w:val="center"/>
          </w:tcPr>
          <w:p w14:paraId="7EA4A155">
            <w:pPr>
              <w:pStyle w:val="33"/>
              <w:rPr>
                <w:color w:val="auto"/>
              </w:rPr>
            </w:pPr>
            <w:r>
              <w:rPr>
                <w:color w:val="auto"/>
              </w:rPr>
              <w:t>GX005</w:t>
            </w:r>
          </w:p>
        </w:tc>
        <w:tc>
          <w:tcPr>
            <w:tcW w:w="1289" w:type="dxa"/>
            <w:vAlign w:val="center"/>
          </w:tcPr>
          <w:p w14:paraId="0CCE2F98">
            <w:pPr>
              <w:pStyle w:val="33"/>
              <w:rPr>
                <w:color w:val="auto"/>
              </w:rPr>
            </w:pPr>
            <w:r>
              <w:rPr>
                <w:color w:val="auto"/>
              </w:rPr>
              <w:t>GX006</w:t>
            </w:r>
          </w:p>
        </w:tc>
        <w:tc>
          <w:tcPr>
            <w:tcW w:w="1300" w:type="dxa"/>
            <w:vAlign w:val="center"/>
          </w:tcPr>
          <w:p w14:paraId="5D049B7B">
            <w:pPr>
              <w:pStyle w:val="33"/>
              <w:rPr>
                <w:color w:val="auto"/>
              </w:rPr>
            </w:pPr>
            <w:r>
              <w:rPr>
                <w:color w:val="auto"/>
              </w:rPr>
              <w:t>GX008</w:t>
            </w:r>
          </w:p>
        </w:tc>
      </w:tr>
      <w:tr w14:paraId="6299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jc w:val="center"/>
        </w:trPr>
        <w:tc>
          <w:tcPr>
            <w:tcW w:w="942" w:type="dxa"/>
            <w:vMerge w:val="restart"/>
            <w:vAlign w:val="center"/>
          </w:tcPr>
          <w:p w14:paraId="2F6E5384">
            <w:pPr>
              <w:pStyle w:val="33"/>
              <w:rPr>
                <w:color w:val="auto"/>
              </w:rPr>
            </w:pPr>
            <w:r>
              <w:rPr>
                <w:color w:val="auto"/>
              </w:rPr>
              <w:t>2025年8月12日</w:t>
            </w:r>
          </w:p>
        </w:tc>
        <w:tc>
          <w:tcPr>
            <w:tcW w:w="942" w:type="dxa"/>
            <w:vAlign w:val="center"/>
          </w:tcPr>
          <w:p w14:paraId="3686B563">
            <w:pPr>
              <w:pStyle w:val="33"/>
              <w:rPr>
                <w:color w:val="auto"/>
              </w:rPr>
            </w:pPr>
            <w:r>
              <w:rPr>
                <w:color w:val="auto"/>
              </w:rPr>
              <w:t>硫酸盐</w:t>
            </w:r>
          </w:p>
        </w:tc>
        <w:tc>
          <w:tcPr>
            <w:tcW w:w="1270" w:type="dxa"/>
            <w:vAlign w:val="center"/>
          </w:tcPr>
          <w:p w14:paraId="68E966E9">
            <w:pPr>
              <w:pStyle w:val="33"/>
              <w:rPr>
                <w:color w:val="auto"/>
              </w:rPr>
            </w:pPr>
            <w:r>
              <w:rPr>
                <w:color w:val="auto"/>
              </w:rPr>
              <w:t>监测值</w:t>
            </w:r>
          </w:p>
        </w:tc>
        <w:tc>
          <w:tcPr>
            <w:tcW w:w="1221" w:type="dxa"/>
            <w:vAlign w:val="center"/>
          </w:tcPr>
          <w:p w14:paraId="5D1DF194">
            <w:pPr>
              <w:pStyle w:val="33"/>
              <w:rPr>
                <w:color w:val="auto"/>
              </w:rPr>
            </w:pPr>
          </w:p>
        </w:tc>
        <w:tc>
          <w:tcPr>
            <w:tcW w:w="1287" w:type="dxa"/>
            <w:vAlign w:val="center"/>
          </w:tcPr>
          <w:p w14:paraId="60C99B0C">
            <w:pPr>
              <w:pStyle w:val="33"/>
              <w:rPr>
                <w:color w:val="auto"/>
              </w:rPr>
            </w:pPr>
          </w:p>
        </w:tc>
        <w:tc>
          <w:tcPr>
            <w:tcW w:w="1267" w:type="dxa"/>
            <w:vAlign w:val="center"/>
          </w:tcPr>
          <w:p w14:paraId="314E04DC">
            <w:pPr>
              <w:pStyle w:val="33"/>
              <w:rPr>
                <w:color w:val="auto"/>
              </w:rPr>
            </w:pPr>
          </w:p>
        </w:tc>
        <w:tc>
          <w:tcPr>
            <w:tcW w:w="1289" w:type="dxa"/>
            <w:vAlign w:val="center"/>
          </w:tcPr>
          <w:p w14:paraId="191D3C2C">
            <w:pPr>
              <w:pStyle w:val="33"/>
              <w:rPr>
                <w:color w:val="auto"/>
              </w:rPr>
            </w:pPr>
          </w:p>
        </w:tc>
        <w:tc>
          <w:tcPr>
            <w:tcW w:w="1300" w:type="dxa"/>
            <w:vAlign w:val="center"/>
          </w:tcPr>
          <w:p w14:paraId="119A2C12">
            <w:pPr>
              <w:pStyle w:val="33"/>
              <w:rPr>
                <w:color w:val="auto"/>
              </w:rPr>
            </w:pPr>
          </w:p>
        </w:tc>
      </w:tr>
      <w:tr w14:paraId="6E47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6" w:hRule="atLeast"/>
          <w:jc w:val="center"/>
        </w:trPr>
        <w:tc>
          <w:tcPr>
            <w:tcW w:w="942" w:type="dxa"/>
            <w:vMerge w:val="continue"/>
            <w:vAlign w:val="center"/>
          </w:tcPr>
          <w:p w14:paraId="2FD0D675">
            <w:pPr>
              <w:pStyle w:val="33"/>
              <w:rPr>
                <w:color w:val="auto"/>
              </w:rPr>
            </w:pPr>
          </w:p>
        </w:tc>
        <w:tc>
          <w:tcPr>
            <w:tcW w:w="942" w:type="dxa"/>
            <w:vAlign w:val="center"/>
          </w:tcPr>
          <w:p w14:paraId="79C008AA">
            <w:pPr>
              <w:pStyle w:val="33"/>
              <w:rPr>
                <w:color w:val="auto"/>
              </w:rPr>
            </w:pPr>
            <w:r>
              <w:rPr>
                <w:color w:val="auto"/>
              </w:rPr>
              <w:t>锑</w:t>
            </w:r>
          </w:p>
        </w:tc>
        <w:tc>
          <w:tcPr>
            <w:tcW w:w="1270" w:type="dxa"/>
            <w:vAlign w:val="center"/>
          </w:tcPr>
          <w:p w14:paraId="57194A82">
            <w:pPr>
              <w:pStyle w:val="33"/>
              <w:rPr>
                <w:color w:val="auto"/>
              </w:rPr>
            </w:pPr>
            <w:r>
              <w:rPr>
                <w:color w:val="auto"/>
              </w:rPr>
              <w:t>监测值</w:t>
            </w:r>
          </w:p>
        </w:tc>
        <w:tc>
          <w:tcPr>
            <w:tcW w:w="1221" w:type="dxa"/>
            <w:vAlign w:val="center"/>
          </w:tcPr>
          <w:p w14:paraId="004C34AC">
            <w:pPr>
              <w:pStyle w:val="33"/>
              <w:rPr>
                <w:color w:val="auto"/>
              </w:rPr>
            </w:pPr>
          </w:p>
        </w:tc>
        <w:tc>
          <w:tcPr>
            <w:tcW w:w="1287" w:type="dxa"/>
            <w:vAlign w:val="center"/>
          </w:tcPr>
          <w:p w14:paraId="068D5CFD">
            <w:pPr>
              <w:pStyle w:val="33"/>
              <w:rPr>
                <w:color w:val="auto"/>
              </w:rPr>
            </w:pPr>
          </w:p>
        </w:tc>
        <w:tc>
          <w:tcPr>
            <w:tcW w:w="1267" w:type="dxa"/>
            <w:vAlign w:val="center"/>
          </w:tcPr>
          <w:p w14:paraId="783519B8">
            <w:pPr>
              <w:pStyle w:val="33"/>
              <w:rPr>
                <w:color w:val="auto"/>
              </w:rPr>
            </w:pPr>
          </w:p>
        </w:tc>
        <w:tc>
          <w:tcPr>
            <w:tcW w:w="1289" w:type="dxa"/>
            <w:vAlign w:val="center"/>
          </w:tcPr>
          <w:p w14:paraId="28289ED1">
            <w:pPr>
              <w:pStyle w:val="33"/>
              <w:rPr>
                <w:color w:val="auto"/>
              </w:rPr>
            </w:pPr>
          </w:p>
        </w:tc>
        <w:tc>
          <w:tcPr>
            <w:tcW w:w="1300" w:type="dxa"/>
            <w:vAlign w:val="center"/>
          </w:tcPr>
          <w:p w14:paraId="39618C12">
            <w:pPr>
              <w:pStyle w:val="33"/>
              <w:rPr>
                <w:color w:val="auto"/>
              </w:rPr>
            </w:pPr>
          </w:p>
        </w:tc>
      </w:tr>
      <w:tr w14:paraId="48156A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6" w:hRule="atLeast"/>
          <w:jc w:val="center"/>
        </w:trPr>
        <w:tc>
          <w:tcPr>
            <w:tcW w:w="942" w:type="dxa"/>
            <w:vMerge w:val="continue"/>
            <w:vAlign w:val="center"/>
          </w:tcPr>
          <w:p w14:paraId="44624413">
            <w:pPr>
              <w:pStyle w:val="33"/>
              <w:rPr>
                <w:color w:val="auto"/>
              </w:rPr>
            </w:pPr>
          </w:p>
        </w:tc>
        <w:tc>
          <w:tcPr>
            <w:tcW w:w="942" w:type="dxa"/>
            <w:vAlign w:val="center"/>
          </w:tcPr>
          <w:p w14:paraId="08DA6519">
            <w:pPr>
              <w:pStyle w:val="33"/>
              <w:rPr>
                <w:color w:val="auto"/>
              </w:rPr>
            </w:pPr>
            <w:r>
              <w:rPr>
                <w:color w:val="auto"/>
              </w:rPr>
              <w:t>铊</w:t>
            </w:r>
          </w:p>
        </w:tc>
        <w:tc>
          <w:tcPr>
            <w:tcW w:w="1270" w:type="dxa"/>
            <w:vAlign w:val="center"/>
          </w:tcPr>
          <w:p w14:paraId="3D651B8A">
            <w:pPr>
              <w:pStyle w:val="33"/>
              <w:rPr>
                <w:color w:val="auto"/>
              </w:rPr>
            </w:pPr>
            <w:r>
              <w:rPr>
                <w:color w:val="auto"/>
              </w:rPr>
              <w:t>监测值</w:t>
            </w:r>
          </w:p>
        </w:tc>
        <w:tc>
          <w:tcPr>
            <w:tcW w:w="1221" w:type="dxa"/>
            <w:vAlign w:val="center"/>
          </w:tcPr>
          <w:p w14:paraId="6ADE6475">
            <w:pPr>
              <w:pStyle w:val="33"/>
              <w:rPr>
                <w:color w:val="auto"/>
              </w:rPr>
            </w:pPr>
          </w:p>
        </w:tc>
        <w:tc>
          <w:tcPr>
            <w:tcW w:w="1287" w:type="dxa"/>
            <w:vAlign w:val="center"/>
          </w:tcPr>
          <w:p w14:paraId="70C0C8D9">
            <w:pPr>
              <w:pStyle w:val="33"/>
              <w:rPr>
                <w:color w:val="auto"/>
              </w:rPr>
            </w:pPr>
          </w:p>
        </w:tc>
        <w:tc>
          <w:tcPr>
            <w:tcW w:w="1267" w:type="dxa"/>
            <w:vAlign w:val="center"/>
          </w:tcPr>
          <w:p w14:paraId="2EE61FD9">
            <w:pPr>
              <w:pStyle w:val="33"/>
              <w:rPr>
                <w:color w:val="auto"/>
              </w:rPr>
            </w:pPr>
          </w:p>
        </w:tc>
        <w:tc>
          <w:tcPr>
            <w:tcW w:w="1289" w:type="dxa"/>
            <w:vAlign w:val="center"/>
          </w:tcPr>
          <w:p w14:paraId="4D609AC7">
            <w:pPr>
              <w:pStyle w:val="33"/>
              <w:rPr>
                <w:color w:val="auto"/>
              </w:rPr>
            </w:pPr>
          </w:p>
        </w:tc>
        <w:tc>
          <w:tcPr>
            <w:tcW w:w="1300" w:type="dxa"/>
            <w:vAlign w:val="center"/>
          </w:tcPr>
          <w:p w14:paraId="0E1EA10F">
            <w:pPr>
              <w:pStyle w:val="33"/>
              <w:rPr>
                <w:color w:val="auto"/>
              </w:rPr>
            </w:pPr>
          </w:p>
        </w:tc>
      </w:tr>
      <w:tr w14:paraId="172F4B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6" w:hRule="atLeast"/>
          <w:jc w:val="center"/>
        </w:trPr>
        <w:tc>
          <w:tcPr>
            <w:tcW w:w="942" w:type="dxa"/>
            <w:vMerge w:val="continue"/>
            <w:vAlign w:val="center"/>
          </w:tcPr>
          <w:p w14:paraId="78B5F14D">
            <w:pPr>
              <w:pStyle w:val="33"/>
              <w:rPr>
                <w:color w:val="auto"/>
              </w:rPr>
            </w:pPr>
          </w:p>
        </w:tc>
        <w:tc>
          <w:tcPr>
            <w:tcW w:w="942" w:type="dxa"/>
            <w:vAlign w:val="center"/>
          </w:tcPr>
          <w:p w14:paraId="76F71A2B">
            <w:pPr>
              <w:pStyle w:val="33"/>
              <w:rPr>
                <w:color w:val="auto"/>
              </w:rPr>
            </w:pPr>
            <w:r>
              <w:rPr>
                <w:color w:val="auto"/>
              </w:rPr>
              <w:t>锰</w:t>
            </w:r>
          </w:p>
        </w:tc>
        <w:tc>
          <w:tcPr>
            <w:tcW w:w="1270" w:type="dxa"/>
            <w:vAlign w:val="center"/>
          </w:tcPr>
          <w:p w14:paraId="00B3E5ED">
            <w:pPr>
              <w:pStyle w:val="33"/>
              <w:rPr>
                <w:color w:val="auto"/>
              </w:rPr>
            </w:pPr>
            <w:r>
              <w:rPr>
                <w:color w:val="auto"/>
              </w:rPr>
              <w:t>监测值</w:t>
            </w:r>
          </w:p>
        </w:tc>
        <w:tc>
          <w:tcPr>
            <w:tcW w:w="1221" w:type="dxa"/>
            <w:vAlign w:val="center"/>
          </w:tcPr>
          <w:p w14:paraId="108863C8">
            <w:pPr>
              <w:pStyle w:val="33"/>
              <w:rPr>
                <w:color w:val="auto"/>
              </w:rPr>
            </w:pPr>
          </w:p>
        </w:tc>
        <w:tc>
          <w:tcPr>
            <w:tcW w:w="1287" w:type="dxa"/>
            <w:vAlign w:val="center"/>
          </w:tcPr>
          <w:p w14:paraId="5B68A95A">
            <w:pPr>
              <w:pStyle w:val="33"/>
              <w:rPr>
                <w:color w:val="auto"/>
              </w:rPr>
            </w:pPr>
          </w:p>
        </w:tc>
        <w:tc>
          <w:tcPr>
            <w:tcW w:w="1267" w:type="dxa"/>
            <w:vAlign w:val="center"/>
          </w:tcPr>
          <w:p w14:paraId="5935C1CA">
            <w:pPr>
              <w:pStyle w:val="33"/>
              <w:rPr>
                <w:color w:val="auto"/>
              </w:rPr>
            </w:pPr>
          </w:p>
        </w:tc>
        <w:tc>
          <w:tcPr>
            <w:tcW w:w="1289" w:type="dxa"/>
            <w:vAlign w:val="center"/>
          </w:tcPr>
          <w:p w14:paraId="7E584DAD">
            <w:pPr>
              <w:pStyle w:val="33"/>
              <w:rPr>
                <w:color w:val="auto"/>
              </w:rPr>
            </w:pPr>
          </w:p>
        </w:tc>
        <w:tc>
          <w:tcPr>
            <w:tcW w:w="1300" w:type="dxa"/>
            <w:vAlign w:val="center"/>
          </w:tcPr>
          <w:p w14:paraId="1CA8EA40">
            <w:pPr>
              <w:pStyle w:val="33"/>
              <w:rPr>
                <w:color w:val="auto"/>
              </w:rPr>
            </w:pPr>
          </w:p>
        </w:tc>
      </w:tr>
      <w:tr w14:paraId="14046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0C65CFD5">
            <w:pPr>
              <w:pStyle w:val="33"/>
              <w:rPr>
                <w:color w:val="auto"/>
              </w:rPr>
            </w:pPr>
          </w:p>
        </w:tc>
        <w:tc>
          <w:tcPr>
            <w:tcW w:w="942" w:type="dxa"/>
            <w:vAlign w:val="center"/>
          </w:tcPr>
          <w:p w14:paraId="38E2D71A">
            <w:pPr>
              <w:pStyle w:val="33"/>
              <w:rPr>
                <w:color w:val="auto"/>
              </w:rPr>
            </w:pPr>
            <w:r>
              <w:rPr>
                <w:color w:val="auto"/>
              </w:rPr>
              <w:t>钴</w:t>
            </w:r>
          </w:p>
        </w:tc>
        <w:tc>
          <w:tcPr>
            <w:tcW w:w="1270" w:type="dxa"/>
            <w:vAlign w:val="center"/>
          </w:tcPr>
          <w:p w14:paraId="7162C72D">
            <w:pPr>
              <w:pStyle w:val="33"/>
              <w:rPr>
                <w:color w:val="auto"/>
              </w:rPr>
            </w:pPr>
            <w:r>
              <w:rPr>
                <w:color w:val="auto"/>
              </w:rPr>
              <w:t>监测值</w:t>
            </w:r>
          </w:p>
        </w:tc>
        <w:tc>
          <w:tcPr>
            <w:tcW w:w="1221" w:type="dxa"/>
            <w:vAlign w:val="center"/>
          </w:tcPr>
          <w:p w14:paraId="757FF52B">
            <w:pPr>
              <w:pStyle w:val="33"/>
              <w:rPr>
                <w:color w:val="auto"/>
              </w:rPr>
            </w:pPr>
          </w:p>
        </w:tc>
        <w:tc>
          <w:tcPr>
            <w:tcW w:w="1287" w:type="dxa"/>
            <w:vAlign w:val="center"/>
          </w:tcPr>
          <w:p w14:paraId="48ED5B25">
            <w:pPr>
              <w:pStyle w:val="33"/>
              <w:rPr>
                <w:color w:val="auto"/>
              </w:rPr>
            </w:pPr>
          </w:p>
        </w:tc>
        <w:tc>
          <w:tcPr>
            <w:tcW w:w="1267" w:type="dxa"/>
            <w:vAlign w:val="center"/>
          </w:tcPr>
          <w:p w14:paraId="54CE8344">
            <w:pPr>
              <w:pStyle w:val="33"/>
              <w:rPr>
                <w:color w:val="auto"/>
              </w:rPr>
            </w:pPr>
          </w:p>
        </w:tc>
        <w:tc>
          <w:tcPr>
            <w:tcW w:w="1289" w:type="dxa"/>
            <w:vAlign w:val="center"/>
          </w:tcPr>
          <w:p w14:paraId="118EA5F7">
            <w:pPr>
              <w:pStyle w:val="33"/>
              <w:rPr>
                <w:color w:val="auto"/>
              </w:rPr>
            </w:pPr>
          </w:p>
        </w:tc>
        <w:tc>
          <w:tcPr>
            <w:tcW w:w="1300" w:type="dxa"/>
            <w:vAlign w:val="center"/>
          </w:tcPr>
          <w:p w14:paraId="2881BB8A">
            <w:pPr>
              <w:pStyle w:val="33"/>
              <w:rPr>
                <w:color w:val="auto"/>
              </w:rPr>
            </w:pPr>
          </w:p>
        </w:tc>
      </w:tr>
      <w:tr w14:paraId="50B62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08527748">
            <w:pPr>
              <w:pStyle w:val="33"/>
              <w:rPr>
                <w:color w:val="auto"/>
              </w:rPr>
            </w:pPr>
          </w:p>
        </w:tc>
        <w:tc>
          <w:tcPr>
            <w:tcW w:w="942" w:type="dxa"/>
            <w:vAlign w:val="center"/>
          </w:tcPr>
          <w:p w14:paraId="5EB6C0F3">
            <w:pPr>
              <w:pStyle w:val="33"/>
              <w:rPr>
                <w:color w:val="auto"/>
              </w:rPr>
            </w:pPr>
            <w:r>
              <w:rPr>
                <w:color w:val="auto"/>
              </w:rPr>
              <w:t>氯化物</w:t>
            </w:r>
          </w:p>
        </w:tc>
        <w:tc>
          <w:tcPr>
            <w:tcW w:w="1270" w:type="dxa"/>
            <w:vAlign w:val="center"/>
          </w:tcPr>
          <w:p w14:paraId="2415022C">
            <w:pPr>
              <w:pStyle w:val="33"/>
              <w:rPr>
                <w:color w:val="auto"/>
              </w:rPr>
            </w:pPr>
            <w:r>
              <w:rPr>
                <w:color w:val="auto"/>
              </w:rPr>
              <w:t>监测值</w:t>
            </w:r>
          </w:p>
        </w:tc>
        <w:tc>
          <w:tcPr>
            <w:tcW w:w="1221" w:type="dxa"/>
            <w:vAlign w:val="center"/>
          </w:tcPr>
          <w:p w14:paraId="550107EF">
            <w:pPr>
              <w:pStyle w:val="33"/>
              <w:rPr>
                <w:color w:val="auto"/>
              </w:rPr>
            </w:pPr>
          </w:p>
        </w:tc>
        <w:tc>
          <w:tcPr>
            <w:tcW w:w="1287" w:type="dxa"/>
            <w:vAlign w:val="center"/>
          </w:tcPr>
          <w:p w14:paraId="239A2D46">
            <w:pPr>
              <w:pStyle w:val="33"/>
              <w:rPr>
                <w:color w:val="auto"/>
              </w:rPr>
            </w:pPr>
          </w:p>
        </w:tc>
        <w:tc>
          <w:tcPr>
            <w:tcW w:w="1267" w:type="dxa"/>
            <w:vAlign w:val="center"/>
          </w:tcPr>
          <w:p w14:paraId="6CC79AE9">
            <w:pPr>
              <w:pStyle w:val="33"/>
              <w:rPr>
                <w:color w:val="auto"/>
              </w:rPr>
            </w:pPr>
          </w:p>
        </w:tc>
        <w:tc>
          <w:tcPr>
            <w:tcW w:w="1289" w:type="dxa"/>
            <w:vAlign w:val="center"/>
          </w:tcPr>
          <w:p w14:paraId="408EDD99">
            <w:pPr>
              <w:pStyle w:val="33"/>
              <w:rPr>
                <w:color w:val="auto"/>
              </w:rPr>
            </w:pPr>
          </w:p>
        </w:tc>
        <w:tc>
          <w:tcPr>
            <w:tcW w:w="1300" w:type="dxa"/>
            <w:vAlign w:val="center"/>
          </w:tcPr>
          <w:p w14:paraId="43D80149">
            <w:pPr>
              <w:pStyle w:val="33"/>
              <w:rPr>
                <w:color w:val="auto"/>
              </w:rPr>
            </w:pPr>
          </w:p>
        </w:tc>
      </w:tr>
      <w:tr w14:paraId="0C041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779D9FC1">
            <w:pPr>
              <w:pStyle w:val="33"/>
              <w:rPr>
                <w:color w:val="auto"/>
              </w:rPr>
            </w:pPr>
          </w:p>
        </w:tc>
        <w:tc>
          <w:tcPr>
            <w:tcW w:w="942" w:type="dxa"/>
            <w:vAlign w:val="center"/>
          </w:tcPr>
          <w:p w14:paraId="7506A4BF">
            <w:pPr>
              <w:pStyle w:val="33"/>
              <w:rPr>
                <w:color w:val="auto"/>
              </w:rPr>
            </w:pPr>
            <w:r>
              <w:rPr>
                <w:color w:val="auto"/>
              </w:rPr>
              <w:t>盐度（</w:t>
            </w:r>
            <w:r>
              <w:rPr>
                <w:rFonts w:hint="eastAsia"/>
                <w:color w:val="auto"/>
              </w:rPr>
              <w:t>%</w:t>
            </w:r>
            <w:r>
              <w:rPr>
                <w:color w:val="auto"/>
              </w:rPr>
              <w:t>）</w:t>
            </w:r>
          </w:p>
        </w:tc>
        <w:tc>
          <w:tcPr>
            <w:tcW w:w="1270" w:type="dxa"/>
            <w:vAlign w:val="center"/>
          </w:tcPr>
          <w:p w14:paraId="1AEB3A7C">
            <w:pPr>
              <w:pStyle w:val="33"/>
              <w:rPr>
                <w:color w:val="auto"/>
              </w:rPr>
            </w:pPr>
            <w:r>
              <w:rPr>
                <w:color w:val="auto"/>
              </w:rPr>
              <w:t>监测值</w:t>
            </w:r>
          </w:p>
        </w:tc>
        <w:tc>
          <w:tcPr>
            <w:tcW w:w="1221" w:type="dxa"/>
            <w:vAlign w:val="center"/>
          </w:tcPr>
          <w:p w14:paraId="4D2F6DB4">
            <w:pPr>
              <w:pStyle w:val="33"/>
              <w:rPr>
                <w:color w:val="auto"/>
              </w:rPr>
            </w:pPr>
          </w:p>
        </w:tc>
        <w:tc>
          <w:tcPr>
            <w:tcW w:w="1287" w:type="dxa"/>
            <w:vAlign w:val="center"/>
          </w:tcPr>
          <w:p w14:paraId="2F90773F">
            <w:pPr>
              <w:pStyle w:val="33"/>
              <w:rPr>
                <w:color w:val="auto"/>
              </w:rPr>
            </w:pPr>
          </w:p>
        </w:tc>
        <w:tc>
          <w:tcPr>
            <w:tcW w:w="1267" w:type="dxa"/>
            <w:vAlign w:val="center"/>
          </w:tcPr>
          <w:p w14:paraId="543B7218">
            <w:pPr>
              <w:pStyle w:val="33"/>
              <w:rPr>
                <w:color w:val="auto"/>
              </w:rPr>
            </w:pPr>
          </w:p>
        </w:tc>
        <w:tc>
          <w:tcPr>
            <w:tcW w:w="1289" w:type="dxa"/>
            <w:vAlign w:val="center"/>
          </w:tcPr>
          <w:p w14:paraId="0794E421">
            <w:pPr>
              <w:pStyle w:val="33"/>
              <w:rPr>
                <w:color w:val="auto"/>
              </w:rPr>
            </w:pPr>
          </w:p>
        </w:tc>
        <w:tc>
          <w:tcPr>
            <w:tcW w:w="1300" w:type="dxa"/>
            <w:vAlign w:val="center"/>
          </w:tcPr>
          <w:p w14:paraId="76007E8E">
            <w:pPr>
              <w:pStyle w:val="33"/>
              <w:rPr>
                <w:color w:val="auto"/>
              </w:rPr>
            </w:pPr>
          </w:p>
        </w:tc>
      </w:tr>
      <w:tr w14:paraId="03789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135DE707">
            <w:pPr>
              <w:pStyle w:val="33"/>
              <w:rPr>
                <w:color w:val="auto"/>
              </w:rPr>
            </w:pPr>
          </w:p>
        </w:tc>
        <w:tc>
          <w:tcPr>
            <w:tcW w:w="942" w:type="dxa"/>
            <w:vMerge w:val="restart"/>
            <w:vAlign w:val="center"/>
          </w:tcPr>
          <w:p w14:paraId="1474A075">
            <w:pPr>
              <w:pStyle w:val="33"/>
              <w:rPr>
                <w:color w:val="auto"/>
              </w:rPr>
            </w:pPr>
            <w:r>
              <w:rPr>
                <w:color w:val="auto"/>
              </w:rPr>
              <w:t>硫化物</w:t>
            </w:r>
          </w:p>
        </w:tc>
        <w:tc>
          <w:tcPr>
            <w:tcW w:w="1270" w:type="dxa"/>
            <w:vAlign w:val="center"/>
          </w:tcPr>
          <w:p w14:paraId="593C62B9">
            <w:pPr>
              <w:pStyle w:val="33"/>
              <w:rPr>
                <w:color w:val="auto"/>
              </w:rPr>
            </w:pPr>
            <w:r>
              <w:rPr>
                <w:color w:val="auto"/>
              </w:rPr>
              <w:t>监测值</w:t>
            </w:r>
          </w:p>
        </w:tc>
        <w:tc>
          <w:tcPr>
            <w:tcW w:w="1221" w:type="dxa"/>
            <w:vAlign w:val="center"/>
          </w:tcPr>
          <w:p w14:paraId="7CA43236">
            <w:pPr>
              <w:pStyle w:val="33"/>
              <w:rPr>
                <w:color w:val="auto"/>
              </w:rPr>
            </w:pPr>
          </w:p>
        </w:tc>
        <w:tc>
          <w:tcPr>
            <w:tcW w:w="1287" w:type="dxa"/>
            <w:vAlign w:val="center"/>
          </w:tcPr>
          <w:p w14:paraId="42274E1C">
            <w:pPr>
              <w:pStyle w:val="33"/>
              <w:rPr>
                <w:color w:val="auto"/>
              </w:rPr>
            </w:pPr>
          </w:p>
        </w:tc>
        <w:tc>
          <w:tcPr>
            <w:tcW w:w="1267" w:type="dxa"/>
            <w:vAlign w:val="center"/>
          </w:tcPr>
          <w:p w14:paraId="78EC51D3">
            <w:pPr>
              <w:pStyle w:val="33"/>
              <w:rPr>
                <w:color w:val="auto"/>
              </w:rPr>
            </w:pPr>
          </w:p>
        </w:tc>
        <w:tc>
          <w:tcPr>
            <w:tcW w:w="1289" w:type="dxa"/>
            <w:vAlign w:val="center"/>
          </w:tcPr>
          <w:p w14:paraId="1D0BFAB3">
            <w:pPr>
              <w:pStyle w:val="33"/>
              <w:rPr>
                <w:color w:val="auto"/>
              </w:rPr>
            </w:pPr>
          </w:p>
        </w:tc>
        <w:tc>
          <w:tcPr>
            <w:tcW w:w="1300" w:type="dxa"/>
            <w:vAlign w:val="center"/>
          </w:tcPr>
          <w:p w14:paraId="6F9D5FFE">
            <w:pPr>
              <w:pStyle w:val="33"/>
              <w:rPr>
                <w:color w:val="auto"/>
              </w:rPr>
            </w:pPr>
          </w:p>
        </w:tc>
      </w:tr>
      <w:tr w14:paraId="46DBE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4376A460">
            <w:pPr>
              <w:pStyle w:val="33"/>
              <w:rPr>
                <w:color w:val="auto"/>
              </w:rPr>
            </w:pPr>
          </w:p>
        </w:tc>
        <w:tc>
          <w:tcPr>
            <w:tcW w:w="942" w:type="dxa"/>
            <w:vMerge w:val="continue"/>
            <w:vAlign w:val="center"/>
          </w:tcPr>
          <w:p w14:paraId="398CD223">
            <w:pPr>
              <w:pStyle w:val="33"/>
              <w:rPr>
                <w:color w:val="auto"/>
              </w:rPr>
            </w:pPr>
          </w:p>
        </w:tc>
        <w:tc>
          <w:tcPr>
            <w:tcW w:w="1270" w:type="dxa"/>
            <w:vAlign w:val="center"/>
          </w:tcPr>
          <w:p w14:paraId="6A666BB1">
            <w:pPr>
              <w:pStyle w:val="33"/>
              <w:rPr>
                <w:color w:val="auto"/>
              </w:rPr>
            </w:pPr>
            <w:r>
              <w:rPr>
                <w:color w:val="auto"/>
              </w:rPr>
              <w:t>标准限值</w:t>
            </w:r>
          </w:p>
        </w:tc>
        <w:tc>
          <w:tcPr>
            <w:tcW w:w="1221" w:type="dxa"/>
            <w:vAlign w:val="center"/>
          </w:tcPr>
          <w:p w14:paraId="763E637A">
            <w:pPr>
              <w:pStyle w:val="33"/>
              <w:rPr>
                <w:color w:val="auto"/>
              </w:rPr>
            </w:pPr>
          </w:p>
        </w:tc>
        <w:tc>
          <w:tcPr>
            <w:tcW w:w="1287" w:type="dxa"/>
            <w:vAlign w:val="center"/>
          </w:tcPr>
          <w:p w14:paraId="527B3B07">
            <w:pPr>
              <w:pStyle w:val="33"/>
              <w:rPr>
                <w:color w:val="auto"/>
              </w:rPr>
            </w:pPr>
          </w:p>
        </w:tc>
        <w:tc>
          <w:tcPr>
            <w:tcW w:w="1267" w:type="dxa"/>
            <w:vAlign w:val="center"/>
          </w:tcPr>
          <w:p w14:paraId="5C94512F">
            <w:pPr>
              <w:pStyle w:val="33"/>
              <w:rPr>
                <w:color w:val="auto"/>
              </w:rPr>
            </w:pPr>
          </w:p>
        </w:tc>
        <w:tc>
          <w:tcPr>
            <w:tcW w:w="1289" w:type="dxa"/>
            <w:vAlign w:val="center"/>
          </w:tcPr>
          <w:p w14:paraId="40FB6984">
            <w:pPr>
              <w:pStyle w:val="33"/>
              <w:rPr>
                <w:color w:val="auto"/>
              </w:rPr>
            </w:pPr>
          </w:p>
        </w:tc>
        <w:tc>
          <w:tcPr>
            <w:tcW w:w="1300" w:type="dxa"/>
            <w:vAlign w:val="center"/>
          </w:tcPr>
          <w:p w14:paraId="080BC6F2">
            <w:pPr>
              <w:pStyle w:val="33"/>
              <w:rPr>
                <w:color w:val="auto"/>
              </w:rPr>
            </w:pPr>
          </w:p>
        </w:tc>
      </w:tr>
      <w:tr w14:paraId="4142B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7DD9550A">
            <w:pPr>
              <w:pStyle w:val="33"/>
              <w:rPr>
                <w:color w:val="auto"/>
              </w:rPr>
            </w:pPr>
          </w:p>
        </w:tc>
        <w:tc>
          <w:tcPr>
            <w:tcW w:w="942" w:type="dxa"/>
            <w:vMerge w:val="continue"/>
            <w:vAlign w:val="center"/>
          </w:tcPr>
          <w:p w14:paraId="15A055F9">
            <w:pPr>
              <w:pStyle w:val="33"/>
              <w:rPr>
                <w:color w:val="auto"/>
              </w:rPr>
            </w:pPr>
          </w:p>
        </w:tc>
        <w:tc>
          <w:tcPr>
            <w:tcW w:w="1270" w:type="dxa"/>
            <w:vAlign w:val="center"/>
          </w:tcPr>
          <w:p w14:paraId="430EF651">
            <w:pPr>
              <w:pStyle w:val="33"/>
              <w:rPr>
                <w:color w:val="auto"/>
              </w:rPr>
            </w:pPr>
            <w:r>
              <w:rPr>
                <w:color w:val="auto"/>
              </w:rPr>
              <w:t>Pi值</w:t>
            </w:r>
          </w:p>
        </w:tc>
        <w:tc>
          <w:tcPr>
            <w:tcW w:w="1221" w:type="dxa"/>
            <w:vAlign w:val="center"/>
          </w:tcPr>
          <w:p w14:paraId="300C587E">
            <w:pPr>
              <w:pStyle w:val="33"/>
              <w:rPr>
                <w:color w:val="auto"/>
              </w:rPr>
            </w:pPr>
          </w:p>
        </w:tc>
        <w:tc>
          <w:tcPr>
            <w:tcW w:w="1287" w:type="dxa"/>
            <w:vAlign w:val="center"/>
          </w:tcPr>
          <w:p w14:paraId="64ABB628">
            <w:pPr>
              <w:pStyle w:val="33"/>
              <w:rPr>
                <w:color w:val="auto"/>
              </w:rPr>
            </w:pPr>
          </w:p>
        </w:tc>
        <w:tc>
          <w:tcPr>
            <w:tcW w:w="1267" w:type="dxa"/>
            <w:vAlign w:val="center"/>
          </w:tcPr>
          <w:p w14:paraId="2A781B50">
            <w:pPr>
              <w:pStyle w:val="33"/>
              <w:rPr>
                <w:color w:val="auto"/>
              </w:rPr>
            </w:pPr>
          </w:p>
        </w:tc>
        <w:tc>
          <w:tcPr>
            <w:tcW w:w="1289" w:type="dxa"/>
            <w:vAlign w:val="center"/>
          </w:tcPr>
          <w:p w14:paraId="5CBC8C6D">
            <w:pPr>
              <w:pStyle w:val="33"/>
              <w:rPr>
                <w:color w:val="auto"/>
              </w:rPr>
            </w:pPr>
          </w:p>
        </w:tc>
        <w:tc>
          <w:tcPr>
            <w:tcW w:w="1300" w:type="dxa"/>
            <w:vAlign w:val="center"/>
          </w:tcPr>
          <w:p w14:paraId="48640C8F">
            <w:pPr>
              <w:pStyle w:val="33"/>
              <w:rPr>
                <w:color w:val="auto"/>
              </w:rPr>
            </w:pPr>
          </w:p>
        </w:tc>
      </w:tr>
      <w:tr w14:paraId="194FE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37836C2C">
            <w:pPr>
              <w:pStyle w:val="33"/>
              <w:rPr>
                <w:color w:val="auto"/>
              </w:rPr>
            </w:pPr>
          </w:p>
        </w:tc>
        <w:tc>
          <w:tcPr>
            <w:tcW w:w="942" w:type="dxa"/>
            <w:vMerge w:val="continue"/>
            <w:vAlign w:val="center"/>
          </w:tcPr>
          <w:p w14:paraId="47D9A7D4">
            <w:pPr>
              <w:pStyle w:val="33"/>
              <w:rPr>
                <w:color w:val="auto"/>
              </w:rPr>
            </w:pPr>
          </w:p>
        </w:tc>
        <w:tc>
          <w:tcPr>
            <w:tcW w:w="1270" w:type="dxa"/>
            <w:vAlign w:val="center"/>
          </w:tcPr>
          <w:p w14:paraId="040853AD">
            <w:pPr>
              <w:pStyle w:val="33"/>
              <w:rPr>
                <w:color w:val="auto"/>
              </w:rPr>
            </w:pPr>
            <w:r>
              <w:rPr>
                <w:color w:val="auto"/>
              </w:rPr>
              <w:t>超标率</w:t>
            </w:r>
          </w:p>
        </w:tc>
        <w:tc>
          <w:tcPr>
            <w:tcW w:w="1221" w:type="dxa"/>
            <w:vAlign w:val="center"/>
          </w:tcPr>
          <w:p w14:paraId="4E7EB74A">
            <w:pPr>
              <w:pStyle w:val="33"/>
              <w:rPr>
                <w:color w:val="auto"/>
              </w:rPr>
            </w:pPr>
          </w:p>
        </w:tc>
        <w:tc>
          <w:tcPr>
            <w:tcW w:w="1287" w:type="dxa"/>
            <w:vAlign w:val="center"/>
          </w:tcPr>
          <w:p w14:paraId="6E4A687F">
            <w:pPr>
              <w:pStyle w:val="33"/>
              <w:rPr>
                <w:color w:val="auto"/>
              </w:rPr>
            </w:pPr>
          </w:p>
        </w:tc>
        <w:tc>
          <w:tcPr>
            <w:tcW w:w="1267" w:type="dxa"/>
            <w:vAlign w:val="center"/>
          </w:tcPr>
          <w:p w14:paraId="3797CF71">
            <w:pPr>
              <w:pStyle w:val="33"/>
              <w:rPr>
                <w:color w:val="auto"/>
              </w:rPr>
            </w:pPr>
          </w:p>
        </w:tc>
        <w:tc>
          <w:tcPr>
            <w:tcW w:w="1289" w:type="dxa"/>
            <w:vAlign w:val="center"/>
          </w:tcPr>
          <w:p w14:paraId="55FDECE7">
            <w:pPr>
              <w:pStyle w:val="33"/>
              <w:rPr>
                <w:color w:val="auto"/>
              </w:rPr>
            </w:pPr>
          </w:p>
        </w:tc>
        <w:tc>
          <w:tcPr>
            <w:tcW w:w="1300" w:type="dxa"/>
            <w:vAlign w:val="center"/>
          </w:tcPr>
          <w:p w14:paraId="0976455E">
            <w:pPr>
              <w:pStyle w:val="33"/>
              <w:rPr>
                <w:color w:val="auto"/>
              </w:rPr>
            </w:pPr>
          </w:p>
        </w:tc>
      </w:tr>
      <w:tr w14:paraId="56981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2A3A9E80">
            <w:pPr>
              <w:pStyle w:val="33"/>
              <w:rPr>
                <w:color w:val="auto"/>
              </w:rPr>
            </w:pPr>
          </w:p>
        </w:tc>
        <w:tc>
          <w:tcPr>
            <w:tcW w:w="942" w:type="dxa"/>
            <w:vMerge w:val="restart"/>
            <w:vAlign w:val="center"/>
          </w:tcPr>
          <w:p w14:paraId="25DF6E0B">
            <w:pPr>
              <w:pStyle w:val="33"/>
              <w:rPr>
                <w:color w:val="auto"/>
              </w:rPr>
            </w:pPr>
            <w:r>
              <w:rPr>
                <w:color w:val="auto"/>
              </w:rPr>
              <w:t>挥发酚类</w:t>
            </w:r>
          </w:p>
        </w:tc>
        <w:tc>
          <w:tcPr>
            <w:tcW w:w="1270" w:type="dxa"/>
            <w:vAlign w:val="center"/>
          </w:tcPr>
          <w:p w14:paraId="078D51CC">
            <w:pPr>
              <w:pStyle w:val="33"/>
              <w:rPr>
                <w:color w:val="auto"/>
              </w:rPr>
            </w:pPr>
            <w:r>
              <w:rPr>
                <w:color w:val="auto"/>
              </w:rPr>
              <w:t>监测值</w:t>
            </w:r>
          </w:p>
        </w:tc>
        <w:tc>
          <w:tcPr>
            <w:tcW w:w="1221" w:type="dxa"/>
            <w:vAlign w:val="center"/>
          </w:tcPr>
          <w:p w14:paraId="5387C29E">
            <w:pPr>
              <w:pStyle w:val="33"/>
              <w:rPr>
                <w:color w:val="auto"/>
              </w:rPr>
            </w:pPr>
          </w:p>
        </w:tc>
        <w:tc>
          <w:tcPr>
            <w:tcW w:w="1287" w:type="dxa"/>
            <w:vAlign w:val="center"/>
          </w:tcPr>
          <w:p w14:paraId="1A421A7E">
            <w:pPr>
              <w:pStyle w:val="33"/>
              <w:rPr>
                <w:color w:val="auto"/>
              </w:rPr>
            </w:pPr>
          </w:p>
        </w:tc>
        <w:tc>
          <w:tcPr>
            <w:tcW w:w="1267" w:type="dxa"/>
            <w:vAlign w:val="center"/>
          </w:tcPr>
          <w:p w14:paraId="74FF073F">
            <w:pPr>
              <w:pStyle w:val="33"/>
              <w:rPr>
                <w:color w:val="auto"/>
              </w:rPr>
            </w:pPr>
          </w:p>
        </w:tc>
        <w:tc>
          <w:tcPr>
            <w:tcW w:w="1289" w:type="dxa"/>
            <w:vAlign w:val="center"/>
          </w:tcPr>
          <w:p w14:paraId="76C5F3EB">
            <w:pPr>
              <w:pStyle w:val="33"/>
              <w:rPr>
                <w:color w:val="auto"/>
              </w:rPr>
            </w:pPr>
          </w:p>
        </w:tc>
        <w:tc>
          <w:tcPr>
            <w:tcW w:w="1300" w:type="dxa"/>
            <w:vAlign w:val="center"/>
          </w:tcPr>
          <w:p w14:paraId="232B7E47">
            <w:pPr>
              <w:pStyle w:val="33"/>
              <w:rPr>
                <w:color w:val="auto"/>
              </w:rPr>
            </w:pPr>
          </w:p>
        </w:tc>
      </w:tr>
      <w:tr w14:paraId="55F62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2503AD9A">
            <w:pPr>
              <w:pStyle w:val="33"/>
              <w:rPr>
                <w:color w:val="auto"/>
              </w:rPr>
            </w:pPr>
          </w:p>
        </w:tc>
        <w:tc>
          <w:tcPr>
            <w:tcW w:w="942" w:type="dxa"/>
            <w:vMerge w:val="continue"/>
            <w:vAlign w:val="center"/>
          </w:tcPr>
          <w:p w14:paraId="1927B58E">
            <w:pPr>
              <w:pStyle w:val="33"/>
              <w:rPr>
                <w:color w:val="auto"/>
              </w:rPr>
            </w:pPr>
          </w:p>
        </w:tc>
        <w:tc>
          <w:tcPr>
            <w:tcW w:w="1270" w:type="dxa"/>
            <w:vAlign w:val="center"/>
          </w:tcPr>
          <w:p w14:paraId="236CBC70">
            <w:pPr>
              <w:pStyle w:val="33"/>
              <w:rPr>
                <w:color w:val="auto"/>
              </w:rPr>
            </w:pPr>
            <w:r>
              <w:rPr>
                <w:color w:val="auto"/>
              </w:rPr>
              <w:t>标准限值</w:t>
            </w:r>
          </w:p>
        </w:tc>
        <w:tc>
          <w:tcPr>
            <w:tcW w:w="1221" w:type="dxa"/>
            <w:vAlign w:val="center"/>
          </w:tcPr>
          <w:p w14:paraId="1D85E2D7">
            <w:pPr>
              <w:pStyle w:val="33"/>
              <w:rPr>
                <w:color w:val="auto"/>
              </w:rPr>
            </w:pPr>
          </w:p>
        </w:tc>
        <w:tc>
          <w:tcPr>
            <w:tcW w:w="1287" w:type="dxa"/>
            <w:vAlign w:val="center"/>
          </w:tcPr>
          <w:p w14:paraId="345C16E4">
            <w:pPr>
              <w:pStyle w:val="33"/>
              <w:rPr>
                <w:color w:val="auto"/>
              </w:rPr>
            </w:pPr>
          </w:p>
        </w:tc>
        <w:tc>
          <w:tcPr>
            <w:tcW w:w="1267" w:type="dxa"/>
            <w:vAlign w:val="center"/>
          </w:tcPr>
          <w:p w14:paraId="4BE6F8ED">
            <w:pPr>
              <w:pStyle w:val="33"/>
              <w:rPr>
                <w:color w:val="auto"/>
              </w:rPr>
            </w:pPr>
          </w:p>
        </w:tc>
        <w:tc>
          <w:tcPr>
            <w:tcW w:w="1289" w:type="dxa"/>
            <w:vAlign w:val="center"/>
          </w:tcPr>
          <w:p w14:paraId="76E87C9A">
            <w:pPr>
              <w:pStyle w:val="33"/>
              <w:rPr>
                <w:color w:val="auto"/>
              </w:rPr>
            </w:pPr>
          </w:p>
        </w:tc>
        <w:tc>
          <w:tcPr>
            <w:tcW w:w="1300" w:type="dxa"/>
            <w:vAlign w:val="center"/>
          </w:tcPr>
          <w:p w14:paraId="50011E59">
            <w:pPr>
              <w:pStyle w:val="33"/>
              <w:rPr>
                <w:color w:val="auto"/>
              </w:rPr>
            </w:pPr>
          </w:p>
        </w:tc>
      </w:tr>
      <w:tr w14:paraId="00262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5F35CB34">
            <w:pPr>
              <w:pStyle w:val="33"/>
              <w:rPr>
                <w:color w:val="auto"/>
              </w:rPr>
            </w:pPr>
          </w:p>
        </w:tc>
        <w:tc>
          <w:tcPr>
            <w:tcW w:w="942" w:type="dxa"/>
            <w:vMerge w:val="continue"/>
            <w:vAlign w:val="center"/>
          </w:tcPr>
          <w:p w14:paraId="2DC1715E">
            <w:pPr>
              <w:pStyle w:val="33"/>
              <w:rPr>
                <w:color w:val="auto"/>
              </w:rPr>
            </w:pPr>
          </w:p>
        </w:tc>
        <w:tc>
          <w:tcPr>
            <w:tcW w:w="1270" w:type="dxa"/>
            <w:vAlign w:val="center"/>
          </w:tcPr>
          <w:p w14:paraId="7126F711">
            <w:pPr>
              <w:pStyle w:val="33"/>
              <w:rPr>
                <w:color w:val="auto"/>
              </w:rPr>
            </w:pPr>
            <w:r>
              <w:rPr>
                <w:color w:val="auto"/>
              </w:rPr>
              <w:t>Pi值</w:t>
            </w:r>
          </w:p>
        </w:tc>
        <w:tc>
          <w:tcPr>
            <w:tcW w:w="1221" w:type="dxa"/>
            <w:vAlign w:val="center"/>
          </w:tcPr>
          <w:p w14:paraId="7EE131CC">
            <w:pPr>
              <w:pStyle w:val="33"/>
              <w:rPr>
                <w:color w:val="auto"/>
              </w:rPr>
            </w:pPr>
          </w:p>
        </w:tc>
        <w:tc>
          <w:tcPr>
            <w:tcW w:w="1287" w:type="dxa"/>
            <w:vAlign w:val="center"/>
          </w:tcPr>
          <w:p w14:paraId="20404B3C">
            <w:pPr>
              <w:pStyle w:val="33"/>
              <w:rPr>
                <w:color w:val="auto"/>
              </w:rPr>
            </w:pPr>
          </w:p>
        </w:tc>
        <w:tc>
          <w:tcPr>
            <w:tcW w:w="1267" w:type="dxa"/>
            <w:vAlign w:val="center"/>
          </w:tcPr>
          <w:p w14:paraId="5D92F478">
            <w:pPr>
              <w:pStyle w:val="33"/>
              <w:rPr>
                <w:color w:val="auto"/>
              </w:rPr>
            </w:pPr>
          </w:p>
        </w:tc>
        <w:tc>
          <w:tcPr>
            <w:tcW w:w="1289" w:type="dxa"/>
            <w:vAlign w:val="center"/>
          </w:tcPr>
          <w:p w14:paraId="69B977DB">
            <w:pPr>
              <w:pStyle w:val="33"/>
              <w:rPr>
                <w:color w:val="auto"/>
              </w:rPr>
            </w:pPr>
          </w:p>
        </w:tc>
        <w:tc>
          <w:tcPr>
            <w:tcW w:w="1300" w:type="dxa"/>
            <w:vAlign w:val="center"/>
          </w:tcPr>
          <w:p w14:paraId="0B380BB7">
            <w:pPr>
              <w:pStyle w:val="33"/>
              <w:rPr>
                <w:color w:val="auto"/>
              </w:rPr>
            </w:pPr>
          </w:p>
        </w:tc>
      </w:tr>
      <w:tr w14:paraId="4E46D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52E5BE82">
            <w:pPr>
              <w:pStyle w:val="33"/>
              <w:rPr>
                <w:color w:val="auto"/>
              </w:rPr>
            </w:pPr>
          </w:p>
        </w:tc>
        <w:tc>
          <w:tcPr>
            <w:tcW w:w="942" w:type="dxa"/>
            <w:vMerge w:val="continue"/>
            <w:vAlign w:val="center"/>
          </w:tcPr>
          <w:p w14:paraId="52CA7092">
            <w:pPr>
              <w:pStyle w:val="33"/>
              <w:rPr>
                <w:color w:val="auto"/>
              </w:rPr>
            </w:pPr>
          </w:p>
        </w:tc>
        <w:tc>
          <w:tcPr>
            <w:tcW w:w="1270" w:type="dxa"/>
            <w:vAlign w:val="center"/>
          </w:tcPr>
          <w:p w14:paraId="3B4D761E">
            <w:pPr>
              <w:pStyle w:val="33"/>
              <w:rPr>
                <w:color w:val="auto"/>
              </w:rPr>
            </w:pPr>
            <w:r>
              <w:rPr>
                <w:color w:val="auto"/>
              </w:rPr>
              <w:t>超标率</w:t>
            </w:r>
          </w:p>
        </w:tc>
        <w:tc>
          <w:tcPr>
            <w:tcW w:w="1221" w:type="dxa"/>
            <w:vAlign w:val="center"/>
          </w:tcPr>
          <w:p w14:paraId="25B93803">
            <w:pPr>
              <w:pStyle w:val="33"/>
              <w:rPr>
                <w:color w:val="auto"/>
              </w:rPr>
            </w:pPr>
          </w:p>
        </w:tc>
        <w:tc>
          <w:tcPr>
            <w:tcW w:w="1287" w:type="dxa"/>
            <w:vAlign w:val="center"/>
          </w:tcPr>
          <w:p w14:paraId="4DA6A022">
            <w:pPr>
              <w:pStyle w:val="33"/>
              <w:rPr>
                <w:color w:val="auto"/>
              </w:rPr>
            </w:pPr>
          </w:p>
        </w:tc>
        <w:tc>
          <w:tcPr>
            <w:tcW w:w="1267" w:type="dxa"/>
            <w:vAlign w:val="center"/>
          </w:tcPr>
          <w:p w14:paraId="0C5A186A">
            <w:pPr>
              <w:pStyle w:val="33"/>
              <w:rPr>
                <w:color w:val="auto"/>
              </w:rPr>
            </w:pPr>
          </w:p>
        </w:tc>
        <w:tc>
          <w:tcPr>
            <w:tcW w:w="1289" w:type="dxa"/>
            <w:vAlign w:val="center"/>
          </w:tcPr>
          <w:p w14:paraId="776748BC">
            <w:pPr>
              <w:pStyle w:val="33"/>
              <w:rPr>
                <w:color w:val="auto"/>
              </w:rPr>
            </w:pPr>
          </w:p>
        </w:tc>
        <w:tc>
          <w:tcPr>
            <w:tcW w:w="1300" w:type="dxa"/>
            <w:vAlign w:val="center"/>
          </w:tcPr>
          <w:p w14:paraId="505E5745">
            <w:pPr>
              <w:pStyle w:val="33"/>
              <w:rPr>
                <w:color w:val="auto"/>
              </w:rPr>
            </w:pPr>
          </w:p>
        </w:tc>
      </w:tr>
      <w:tr w14:paraId="3DE27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0FF4B355">
            <w:pPr>
              <w:pStyle w:val="33"/>
              <w:rPr>
                <w:color w:val="auto"/>
              </w:rPr>
            </w:pPr>
          </w:p>
        </w:tc>
        <w:tc>
          <w:tcPr>
            <w:tcW w:w="942" w:type="dxa"/>
            <w:vMerge w:val="restart"/>
            <w:vAlign w:val="center"/>
          </w:tcPr>
          <w:p w14:paraId="3990799A">
            <w:pPr>
              <w:pStyle w:val="33"/>
              <w:rPr>
                <w:color w:val="auto"/>
              </w:rPr>
            </w:pPr>
            <w:r>
              <w:rPr>
                <w:color w:val="auto"/>
              </w:rPr>
              <w:t>镍</w:t>
            </w:r>
          </w:p>
        </w:tc>
        <w:tc>
          <w:tcPr>
            <w:tcW w:w="1270" w:type="dxa"/>
            <w:vAlign w:val="center"/>
          </w:tcPr>
          <w:p w14:paraId="7695EBD9">
            <w:pPr>
              <w:pStyle w:val="33"/>
              <w:rPr>
                <w:color w:val="auto"/>
              </w:rPr>
            </w:pPr>
            <w:r>
              <w:rPr>
                <w:color w:val="auto"/>
              </w:rPr>
              <w:t>监测值</w:t>
            </w:r>
          </w:p>
        </w:tc>
        <w:tc>
          <w:tcPr>
            <w:tcW w:w="1221" w:type="dxa"/>
            <w:vAlign w:val="center"/>
          </w:tcPr>
          <w:p w14:paraId="7085DB0A">
            <w:pPr>
              <w:pStyle w:val="33"/>
              <w:rPr>
                <w:color w:val="auto"/>
              </w:rPr>
            </w:pPr>
          </w:p>
        </w:tc>
        <w:tc>
          <w:tcPr>
            <w:tcW w:w="1287" w:type="dxa"/>
            <w:vAlign w:val="center"/>
          </w:tcPr>
          <w:p w14:paraId="5A310E89">
            <w:pPr>
              <w:pStyle w:val="33"/>
              <w:rPr>
                <w:color w:val="auto"/>
              </w:rPr>
            </w:pPr>
          </w:p>
        </w:tc>
        <w:tc>
          <w:tcPr>
            <w:tcW w:w="1267" w:type="dxa"/>
            <w:vAlign w:val="center"/>
          </w:tcPr>
          <w:p w14:paraId="27077A02">
            <w:pPr>
              <w:pStyle w:val="33"/>
              <w:rPr>
                <w:color w:val="auto"/>
              </w:rPr>
            </w:pPr>
          </w:p>
        </w:tc>
        <w:tc>
          <w:tcPr>
            <w:tcW w:w="1289" w:type="dxa"/>
            <w:vAlign w:val="center"/>
          </w:tcPr>
          <w:p w14:paraId="64E06934">
            <w:pPr>
              <w:pStyle w:val="33"/>
              <w:rPr>
                <w:color w:val="auto"/>
              </w:rPr>
            </w:pPr>
          </w:p>
        </w:tc>
        <w:tc>
          <w:tcPr>
            <w:tcW w:w="1300" w:type="dxa"/>
            <w:vAlign w:val="center"/>
          </w:tcPr>
          <w:p w14:paraId="1030DEDD">
            <w:pPr>
              <w:pStyle w:val="33"/>
              <w:rPr>
                <w:color w:val="auto"/>
              </w:rPr>
            </w:pPr>
          </w:p>
        </w:tc>
      </w:tr>
      <w:tr w14:paraId="3B20D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3427A4DE">
            <w:pPr>
              <w:pStyle w:val="33"/>
              <w:rPr>
                <w:color w:val="auto"/>
              </w:rPr>
            </w:pPr>
          </w:p>
        </w:tc>
        <w:tc>
          <w:tcPr>
            <w:tcW w:w="942" w:type="dxa"/>
            <w:vMerge w:val="continue"/>
            <w:vAlign w:val="center"/>
          </w:tcPr>
          <w:p w14:paraId="6FEC9D6E">
            <w:pPr>
              <w:pStyle w:val="33"/>
              <w:rPr>
                <w:color w:val="auto"/>
              </w:rPr>
            </w:pPr>
          </w:p>
        </w:tc>
        <w:tc>
          <w:tcPr>
            <w:tcW w:w="1270" w:type="dxa"/>
            <w:vAlign w:val="center"/>
          </w:tcPr>
          <w:p w14:paraId="63607B6C">
            <w:pPr>
              <w:pStyle w:val="33"/>
              <w:rPr>
                <w:color w:val="auto"/>
              </w:rPr>
            </w:pPr>
            <w:r>
              <w:rPr>
                <w:color w:val="auto"/>
              </w:rPr>
              <w:t>标准限值</w:t>
            </w:r>
          </w:p>
        </w:tc>
        <w:tc>
          <w:tcPr>
            <w:tcW w:w="1221" w:type="dxa"/>
            <w:vAlign w:val="center"/>
          </w:tcPr>
          <w:p w14:paraId="076BBED2">
            <w:pPr>
              <w:pStyle w:val="33"/>
              <w:rPr>
                <w:color w:val="auto"/>
              </w:rPr>
            </w:pPr>
          </w:p>
        </w:tc>
        <w:tc>
          <w:tcPr>
            <w:tcW w:w="1287" w:type="dxa"/>
            <w:vAlign w:val="center"/>
          </w:tcPr>
          <w:p w14:paraId="4B8436EF">
            <w:pPr>
              <w:pStyle w:val="33"/>
              <w:rPr>
                <w:color w:val="auto"/>
              </w:rPr>
            </w:pPr>
          </w:p>
        </w:tc>
        <w:tc>
          <w:tcPr>
            <w:tcW w:w="1267" w:type="dxa"/>
            <w:vAlign w:val="center"/>
          </w:tcPr>
          <w:p w14:paraId="2A3C54F4">
            <w:pPr>
              <w:pStyle w:val="33"/>
              <w:rPr>
                <w:color w:val="auto"/>
              </w:rPr>
            </w:pPr>
          </w:p>
        </w:tc>
        <w:tc>
          <w:tcPr>
            <w:tcW w:w="1289" w:type="dxa"/>
            <w:vAlign w:val="center"/>
          </w:tcPr>
          <w:p w14:paraId="6793DE38">
            <w:pPr>
              <w:pStyle w:val="33"/>
              <w:rPr>
                <w:color w:val="auto"/>
              </w:rPr>
            </w:pPr>
          </w:p>
        </w:tc>
        <w:tc>
          <w:tcPr>
            <w:tcW w:w="1300" w:type="dxa"/>
            <w:vAlign w:val="center"/>
          </w:tcPr>
          <w:p w14:paraId="2EC0F26C">
            <w:pPr>
              <w:pStyle w:val="33"/>
              <w:rPr>
                <w:color w:val="auto"/>
              </w:rPr>
            </w:pPr>
          </w:p>
        </w:tc>
      </w:tr>
      <w:tr w14:paraId="45870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76120000">
            <w:pPr>
              <w:pStyle w:val="33"/>
              <w:rPr>
                <w:color w:val="auto"/>
              </w:rPr>
            </w:pPr>
          </w:p>
        </w:tc>
        <w:tc>
          <w:tcPr>
            <w:tcW w:w="942" w:type="dxa"/>
            <w:vMerge w:val="continue"/>
            <w:vAlign w:val="center"/>
          </w:tcPr>
          <w:p w14:paraId="2B96EF0C">
            <w:pPr>
              <w:pStyle w:val="33"/>
              <w:rPr>
                <w:color w:val="auto"/>
              </w:rPr>
            </w:pPr>
          </w:p>
        </w:tc>
        <w:tc>
          <w:tcPr>
            <w:tcW w:w="1270" w:type="dxa"/>
            <w:vAlign w:val="center"/>
          </w:tcPr>
          <w:p w14:paraId="585D5A54">
            <w:pPr>
              <w:pStyle w:val="33"/>
              <w:rPr>
                <w:color w:val="auto"/>
              </w:rPr>
            </w:pPr>
            <w:r>
              <w:rPr>
                <w:color w:val="auto"/>
              </w:rPr>
              <w:t>Pi值</w:t>
            </w:r>
          </w:p>
        </w:tc>
        <w:tc>
          <w:tcPr>
            <w:tcW w:w="1221" w:type="dxa"/>
            <w:vAlign w:val="center"/>
          </w:tcPr>
          <w:p w14:paraId="105F207C">
            <w:pPr>
              <w:pStyle w:val="33"/>
              <w:rPr>
                <w:color w:val="auto"/>
              </w:rPr>
            </w:pPr>
          </w:p>
        </w:tc>
        <w:tc>
          <w:tcPr>
            <w:tcW w:w="1287" w:type="dxa"/>
            <w:vAlign w:val="center"/>
          </w:tcPr>
          <w:p w14:paraId="2C6DF1F7">
            <w:pPr>
              <w:pStyle w:val="33"/>
              <w:rPr>
                <w:color w:val="auto"/>
              </w:rPr>
            </w:pPr>
          </w:p>
        </w:tc>
        <w:tc>
          <w:tcPr>
            <w:tcW w:w="1267" w:type="dxa"/>
            <w:vAlign w:val="center"/>
          </w:tcPr>
          <w:p w14:paraId="10E85E0F">
            <w:pPr>
              <w:pStyle w:val="33"/>
              <w:rPr>
                <w:color w:val="auto"/>
              </w:rPr>
            </w:pPr>
          </w:p>
        </w:tc>
        <w:tc>
          <w:tcPr>
            <w:tcW w:w="1289" w:type="dxa"/>
            <w:vAlign w:val="center"/>
          </w:tcPr>
          <w:p w14:paraId="3D6D2A4F">
            <w:pPr>
              <w:pStyle w:val="33"/>
              <w:rPr>
                <w:color w:val="auto"/>
              </w:rPr>
            </w:pPr>
          </w:p>
        </w:tc>
        <w:tc>
          <w:tcPr>
            <w:tcW w:w="1300" w:type="dxa"/>
            <w:vAlign w:val="center"/>
          </w:tcPr>
          <w:p w14:paraId="1FFCEFC5">
            <w:pPr>
              <w:pStyle w:val="33"/>
              <w:rPr>
                <w:color w:val="auto"/>
              </w:rPr>
            </w:pPr>
          </w:p>
        </w:tc>
      </w:tr>
      <w:tr w14:paraId="26145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6" w:hRule="atLeast"/>
          <w:jc w:val="center"/>
        </w:trPr>
        <w:tc>
          <w:tcPr>
            <w:tcW w:w="942" w:type="dxa"/>
            <w:vMerge w:val="continue"/>
            <w:vAlign w:val="center"/>
          </w:tcPr>
          <w:p w14:paraId="69478F45">
            <w:pPr>
              <w:pStyle w:val="33"/>
              <w:rPr>
                <w:color w:val="auto"/>
              </w:rPr>
            </w:pPr>
          </w:p>
        </w:tc>
        <w:tc>
          <w:tcPr>
            <w:tcW w:w="942" w:type="dxa"/>
            <w:vMerge w:val="continue"/>
            <w:vAlign w:val="center"/>
          </w:tcPr>
          <w:p w14:paraId="795030CA">
            <w:pPr>
              <w:pStyle w:val="33"/>
              <w:rPr>
                <w:color w:val="auto"/>
              </w:rPr>
            </w:pPr>
          </w:p>
        </w:tc>
        <w:tc>
          <w:tcPr>
            <w:tcW w:w="1270" w:type="dxa"/>
            <w:vAlign w:val="center"/>
          </w:tcPr>
          <w:p w14:paraId="146CB6B6">
            <w:pPr>
              <w:pStyle w:val="33"/>
              <w:rPr>
                <w:color w:val="auto"/>
              </w:rPr>
            </w:pPr>
            <w:r>
              <w:rPr>
                <w:color w:val="auto"/>
              </w:rPr>
              <w:t>超标率</w:t>
            </w:r>
          </w:p>
        </w:tc>
        <w:tc>
          <w:tcPr>
            <w:tcW w:w="1221" w:type="dxa"/>
            <w:vAlign w:val="center"/>
          </w:tcPr>
          <w:p w14:paraId="29AA2B60">
            <w:pPr>
              <w:pStyle w:val="33"/>
              <w:rPr>
                <w:color w:val="auto"/>
              </w:rPr>
            </w:pPr>
          </w:p>
        </w:tc>
        <w:tc>
          <w:tcPr>
            <w:tcW w:w="1287" w:type="dxa"/>
            <w:vAlign w:val="center"/>
          </w:tcPr>
          <w:p w14:paraId="004ED1C1">
            <w:pPr>
              <w:pStyle w:val="33"/>
              <w:rPr>
                <w:color w:val="auto"/>
              </w:rPr>
            </w:pPr>
          </w:p>
        </w:tc>
        <w:tc>
          <w:tcPr>
            <w:tcW w:w="1267" w:type="dxa"/>
            <w:vAlign w:val="center"/>
          </w:tcPr>
          <w:p w14:paraId="6AD17E5A">
            <w:pPr>
              <w:pStyle w:val="33"/>
              <w:rPr>
                <w:color w:val="auto"/>
              </w:rPr>
            </w:pPr>
          </w:p>
        </w:tc>
        <w:tc>
          <w:tcPr>
            <w:tcW w:w="1289" w:type="dxa"/>
            <w:vAlign w:val="center"/>
          </w:tcPr>
          <w:p w14:paraId="01E9271B">
            <w:pPr>
              <w:pStyle w:val="33"/>
              <w:rPr>
                <w:color w:val="auto"/>
              </w:rPr>
            </w:pPr>
          </w:p>
        </w:tc>
        <w:tc>
          <w:tcPr>
            <w:tcW w:w="1300" w:type="dxa"/>
            <w:vAlign w:val="center"/>
          </w:tcPr>
          <w:p w14:paraId="688DE197">
            <w:pPr>
              <w:pStyle w:val="33"/>
              <w:rPr>
                <w:color w:val="auto"/>
              </w:rPr>
            </w:pPr>
          </w:p>
        </w:tc>
      </w:tr>
    </w:tbl>
    <w:p w14:paraId="74C880E0">
      <w:pPr>
        <w:ind w:firstLine="0" w:firstLineChars="0"/>
        <w:rPr>
          <w:color w:val="auto"/>
          <w:kern w:val="0"/>
          <w:sz w:val="21"/>
          <w:szCs w:val="21"/>
        </w:rPr>
      </w:pPr>
      <w:r>
        <w:rPr>
          <w:color w:val="auto"/>
          <w:kern w:val="0"/>
          <w:sz w:val="21"/>
          <w:szCs w:val="21"/>
        </w:rPr>
        <w:t>注：</w:t>
      </w:r>
      <w:r>
        <w:rPr>
          <w:rFonts w:hint="eastAsia"/>
          <w:color w:val="auto"/>
          <w:kern w:val="0"/>
          <w:sz w:val="21"/>
          <w:szCs w:val="21"/>
        </w:rPr>
        <w:t>“</w:t>
      </w:r>
      <w:r>
        <w:rPr>
          <w:color w:val="auto"/>
          <w:kern w:val="0"/>
          <w:sz w:val="21"/>
          <w:szCs w:val="21"/>
        </w:rPr>
        <w:t>检出限+L</w:t>
      </w:r>
      <w:r>
        <w:rPr>
          <w:rFonts w:hint="eastAsia"/>
          <w:color w:val="auto"/>
          <w:kern w:val="0"/>
          <w:sz w:val="21"/>
          <w:szCs w:val="21"/>
        </w:rPr>
        <w:t>”</w:t>
      </w:r>
      <w:r>
        <w:rPr>
          <w:color w:val="auto"/>
          <w:kern w:val="0"/>
          <w:sz w:val="21"/>
          <w:szCs w:val="21"/>
        </w:rPr>
        <w:t>和</w:t>
      </w:r>
      <w:r>
        <w:rPr>
          <w:rFonts w:hint="eastAsia"/>
          <w:color w:val="auto"/>
          <w:kern w:val="0"/>
          <w:sz w:val="21"/>
          <w:szCs w:val="21"/>
        </w:rPr>
        <w:t>“</w:t>
      </w:r>
      <w:r>
        <w:rPr>
          <w:color w:val="auto"/>
          <w:kern w:val="0"/>
          <w:sz w:val="21"/>
          <w:szCs w:val="21"/>
        </w:rPr>
        <w:t>ND</w:t>
      </w:r>
      <w:r>
        <w:rPr>
          <w:rFonts w:hint="eastAsia"/>
          <w:color w:val="auto"/>
          <w:kern w:val="0"/>
          <w:sz w:val="21"/>
          <w:szCs w:val="21"/>
        </w:rPr>
        <w:t>”</w:t>
      </w:r>
      <w:r>
        <w:rPr>
          <w:color w:val="auto"/>
          <w:kern w:val="0"/>
          <w:sz w:val="21"/>
          <w:szCs w:val="21"/>
        </w:rPr>
        <w:t>表示未检出，ND以检出限的1/2计算。</w:t>
      </w:r>
    </w:p>
    <w:p w14:paraId="4B04F7CD">
      <w:pPr>
        <w:ind w:firstLine="480"/>
        <w:rPr>
          <w:color w:val="auto"/>
          <w:kern w:val="0"/>
        </w:rPr>
      </w:pPr>
      <w:r>
        <w:rPr>
          <w:color w:val="auto"/>
          <w:kern w:val="0"/>
        </w:rPr>
        <w:t>由以上监测结果可知，引用监测报告中的5个海水调查站位分别为：GX002、GX004、GX005、GX006、GX008，监测时间为2024年10月~11月和2025年8月，监测因子为pH、水温、盐度、悬浮物、化学需氧量、溶解氧、无机氮、活性磷酸盐、石油类、铜、铅、镉、汞、锌、总铬、砷、镍、锰共18项。GX002、GX004、GX005、GX006、GX008中硫酸盐、锑、铊、锰、钴、氯化物、盐度镍无相应标准，仅留作背景值；GX002、GX005的活性磷酸盐超过《海水水质标准》（GB3097-1997）第二类标准要求，其余监测因子满足《海水水质标准》（GB3097-1997）第二类标准要求；GX006的活性磷酸盐超过《海水水质标准》（GB3097-1997）第三类标准要求，其余监测因子均低于《海水水质标准》（GB3097-1997）第三类标准要求；</w:t>
      </w:r>
      <w:r>
        <w:rPr>
          <w:rFonts w:hint="eastAsia"/>
          <w:color w:val="auto"/>
          <w:kern w:val="0"/>
        </w:rPr>
        <w:t>GX008其余监测因子均低于《海水水质标准》（GB3097-1997）第二类标准要求</w:t>
      </w:r>
      <w:r>
        <w:rPr>
          <w:color w:val="auto"/>
          <w:kern w:val="0"/>
        </w:rPr>
        <w:t>；GX004的监测因子其余监测因子均低于《海水水质标准》（GB3097－1997）第四类标准要求。</w:t>
      </w:r>
    </w:p>
    <w:p w14:paraId="18A35901">
      <w:pPr>
        <w:ind w:firstLine="480"/>
        <w:rPr>
          <w:color w:val="auto"/>
          <w:kern w:val="0"/>
        </w:rPr>
      </w:pPr>
      <w:r>
        <w:rPr>
          <w:color w:val="auto"/>
          <w:kern w:val="0"/>
        </w:rPr>
        <w:t>（7）近岸海域海水环境近几年变化趋势分析</w:t>
      </w:r>
    </w:p>
    <w:p w14:paraId="4D9A338F">
      <w:pPr>
        <w:ind w:firstLine="480"/>
        <w:rPr>
          <w:color w:val="auto"/>
          <w:kern w:val="0"/>
        </w:rPr>
      </w:pPr>
      <w:r>
        <w:rPr>
          <w:color w:val="auto"/>
          <w:kern w:val="0"/>
        </w:rPr>
        <w:t>本评价收集了钦州近岸海域的监测数据，包括《广西近岸海域枯、丰水期海水监测信息公开表》（监测时间2020年）、《广西中伟新能源项目一期新能源材料一体化项目（重大变动）环境影响报告书》（监测时间2022年4月）以及2024年7月至11月广西壮族自治区海洋环境监测中心站和2025年8月企业自行监测数据。其中，GX006站点2022年海水监测数据引用海水监测站点36#的数据（36#位于GX006站点西面800m，两个站点相距较近，本次概化为同一个点位）。</w:t>
      </w:r>
    </w:p>
    <w:p w14:paraId="2FB8D7A2">
      <w:pPr>
        <w:ind w:firstLine="480"/>
        <w:rPr>
          <w:color w:val="auto"/>
          <w:kern w:val="0"/>
        </w:rPr>
      </w:pPr>
      <w:r>
        <w:rPr>
          <w:color w:val="auto"/>
          <w:kern w:val="0"/>
        </w:rPr>
        <w:t>根据项目特点，选取项目最近海域监测站位GX006作为趋势分析的代表性点位，趋势分析所选取的因子主要有化学需氧量、活性磷酸盐、无机氮、石油类、硫酸盐、盐度、氯化物7项作为本项目近岸海水环境质量投产前后变化趋势分析的因子，项目近岸海水环境质量评价因子投产前后变化情况见</w:t>
      </w:r>
      <w:r>
        <w:rPr>
          <w:rFonts w:hint="eastAsia"/>
          <w:color w:val="auto"/>
          <w:kern w:val="0"/>
        </w:rPr>
        <w:t>表3.5-5</w:t>
      </w:r>
      <w:r>
        <w:rPr>
          <w:color w:val="auto"/>
          <w:kern w:val="0"/>
        </w:rPr>
        <w:t>。</w:t>
      </w:r>
    </w:p>
    <w:p w14:paraId="61351DCB">
      <w:pPr>
        <w:ind w:firstLine="480"/>
        <w:rPr>
          <w:color w:val="auto"/>
          <w:kern w:val="0"/>
        </w:rPr>
      </w:pPr>
      <w:r>
        <w:rPr>
          <w:color w:val="auto"/>
          <w:kern w:val="0"/>
        </w:rPr>
        <w:t>由图可知，2020年、2022年与2024年数据对比，GX006站点的化学需氧量先上升后下降，氯化物、活性磷酸盐、无机氮、硫酸盐及石油类总体保持平稳，说明项目未对海水水质造成重大变化，海水环境质量维持在可控和稳定状态。</w:t>
      </w:r>
    </w:p>
    <w:p w14:paraId="4DC4DA93">
      <w:pPr>
        <w:pStyle w:val="7"/>
        <w:rPr>
          <w:color w:val="auto"/>
        </w:rPr>
      </w:pPr>
      <w:r>
        <w:rPr>
          <w:color w:val="auto"/>
        </w:rPr>
        <w:t>GX006海水环境质量评价因子近年变化情况一览表  单位：mg/L，特殊表明除外</w:t>
      </w:r>
    </w:p>
    <w:tbl>
      <w:tblPr>
        <w:tblStyle w:val="26"/>
        <w:tblW w:w="95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32"/>
        <w:gridCol w:w="1032"/>
        <w:gridCol w:w="1249"/>
        <w:gridCol w:w="1260"/>
        <w:gridCol w:w="969"/>
        <w:gridCol w:w="1071"/>
        <w:gridCol w:w="1020"/>
        <w:gridCol w:w="863"/>
        <w:gridCol w:w="1073"/>
      </w:tblGrid>
      <w:tr w14:paraId="2C48B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16" w:hRule="atLeast"/>
          <w:tblHeader/>
          <w:jc w:val="center"/>
        </w:trPr>
        <w:tc>
          <w:tcPr>
            <w:tcW w:w="1032" w:type="dxa"/>
            <w:noWrap/>
            <w:vAlign w:val="center"/>
          </w:tcPr>
          <w:p w14:paraId="14020D7A">
            <w:pPr>
              <w:pStyle w:val="33"/>
              <w:rPr>
                <w:color w:val="auto"/>
              </w:rPr>
            </w:pPr>
            <w:r>
              <w:rPr>
                <w:color w:val="auto"/>
              </w:rPr>
              <w:t>站点</w:t>
            </w:r>
          </w:p>
        </w:tc>
        <w:tc>
          <w:tcPr>
            <w:tcW w:w="1032" w:type="dxa"/>
            <w:noWrap/>
            <w:vAlign w:val="center"/>
          </w:tcPr>
          <w:p w14:paraId="2DCBAD28">
            <w:pPr>
              <w:pStyle w:val="33"/>
              <w:rPr>
                <w:color w:val="auto"/>
              </w:rPr>
            </w:pPr>
            <w:r>
              <w:rPr>
                <w:color w:val="auto"/>
              </w:rPr>
              <w:t>因子</w:t>
            </w:r>
          </w:p>
        </w:tc>
        <w:tc>
          <w:tcPr>
            <w:tcW w:w="1249" w:type="dxa"/>
            <w:noWrap/>
            <w:vAlign w:val="center"/>
          </w:tcPr>
          <w:p w14:paraId="79BE94F8">
            <w:pPr>
              <w:pStyle w:val="33"/>
              <w:rPr>
                <w:color w:val="auto"/>
              </w:rPr>
            </w:pPr>
            <w:r>
              <w:rPr>
                <w:color w:val="auto"/>
              </w:rPr>
              <w:t>化学需氧量</w:t>
            </w:r>
          </w:p>
        </w:tc>
        <w:tc>
          <w:tcPr>
            <w:tcW w:w="1260" w:type="dxa"/>
            <w:noWrap/>
            <w:vAlign w:val="center"/>
          </w:tcPr>
          <w:p w14:paraId="1F65EC33">
            <w:pPr>
              <w:pStyle w:val="33"/>
              <w:rPr>
                <w:color w:val="auto"/>
              </w:rPr>
            </w:pPr>
            <w:r>
              <w:rPr>
                <w:color w:val="auto"/>
              </w:rPr>
              <w:t>活性磷酸盐</w:t>
            </w:r>
          </w:p>
        </w:tc>
        <w:tc>
          <w:tcPr>
            <w:tcW w:w="969" w:type="dxa"/>
            <w:vAlign w:val="center"/>
          </w:tcPr>
          <w:p w14:paraId="24232EFB">
            <w:pPr>
              <w:pStyle w:val="33"/>
              <w:rPr>
                <w:color w:val="auto"/>
              </w:rPr>
            </w:pPr>
            <w:r>
              <w:rPr>
                <w:color w:val="auto"/>
              </w:rPr>
              <w:t>无机氮</w:t>
            </w:r>
          </w:p>
        </w:tc>
        <w:tc>
          <w:tcPr>
            <w:tcW w:w="1071" w:type="dxa"/>
            <w:vAlign w:val="center"/>
          </w:tcPr>
          <w:p w14:paraId="74CE0D7A">
            <w:pPr>
              <w:pStyle w:val="33"/>
              <w:rPr>
                <w:color w:val="auto"/>
              </w:rPr>
            </w:pPr>
            <w:r>
              <w:rPr>
                <w:color w:val="auto"/>
              </w:rPr>
              <w:t>石油类</w:t>
            </w:r>
          </w:p>
        </w:tc>
        <w:tc>
          <w:tcPr>
            <w:tcW w:w="1020" w:type="dxa"/>
            <w:vAlign w:val="center"/>
          </w:tcPr>
          <w:p w14:paraId="1FE7E74D">
            <w:pPr>
              <w:pStyle w:val="33"/>
              <w:rPr>
                <w:color w:val="auto"/>
              </w:rPr>
            </w:pPr>
            <w:r>
              <w:rPr>
                <w:color w:val="auto"/>
              </w:rPr>
              <w:t>硫酸盐</w:t>
            </w:r>
          </w:p>
        </w:tc>
        <w:tc>
          <w:tcPr>
            <w:tcW w:w="863" w:type="dxa"/>
            <w:vAlign w:val="center"/>
          </w:tcPr>
          <w:p w14:paraId="1EA130B1">
            <w:pPr>
              <w:pStyle w:val="33"/>
              <w:rPr>
                <w:color w:val="auto"/>
              </w:rPr>
            </w:pPr>
            <w:r>
              <w:rPr>
                <w:color w:val="auto"/>
              </w:rPr>
              <w:t>盐度（</w:t>
            </w:r>
            <w:r>
              <w:rPr>
                <w:rFonts w:hint="eastAsia"/>
                <w:color w:val="auto"/>
              </w:rPr>
              <w:t>%</w:t>
            </w:r>
            <w:r>
              <w:rPr>
                <w:color w:val="auto"/>
              </w:rPr>
              <w:t>）</w:t>
            </w:r>
          </w:p>
        </w:tc>
        <w:tc>
          <w:tcPr>
            <w:tcW w:w="1073" w:type="dxa"/>
            <w:vAlign w:val="center"/>
          </w:tcPr>
          <w:p w14:paraId="28D5C73A">
            <w:pPr>
              <w:pStyle w:val="33"/>
              <w:rPr>
                <w:color w:val="auto"/>
              </w:rPr>
            </w:pPr>
            <w:r>
              <w:rPr>
                <w:color w:val="auto"/>
              </w:rPr>
              <w:t>氯化物</w:t>
            </w:r>
          </w:p>
        </w:tc>
      </w:tr>
      <w:tr w14:paraId="1F89D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1032" w:type="dxa"/>
            <w:vMerge w:val="restart"/>
            <w:noWrap/>
            <w:vAlign w:val="center"/>
          </w:tcPr>
          <w:p w14:paraId="7C805426">
            <w:pPr>
              <w:pStyle w:val="33"/>
              <w:rPr>
                <w:color w:val="auto"/>
              </w:rPr>
            </w:pPr>
            <w:r>
              <w:rPr>
                <w:color w:val="auto"/>
              </w:rPr>
              <w:t>GX006</w:t>
            </w:r>
          </w:p>
        </w:tc>
        <w:tc>
          <w:tcPr>
            <w:tcW w:w="1032" w:type="dxa"/>
            <w:noWrap/>
            <w:vAlign w:val="center"/>
          </w:tcPr>
          <w:p w14:paraId="6229242C">
            <w:pPr>
              <w:pStyle w:val="33"/>
              <w:rPr>
                <w:color w:val="auto"/>
              </w:rPr>
            </w:pPr>
            <w:r>
              <w:rPr>
                <w:color w:val="auto"/>
              </w:rPr>
              <w:t>2020年</w:t>
            </w:r>
          </w:p>
        </w:tc>
        <w:tc>
          <w:tcPr>
            <w:tcW w:w="1249" w:type="dxa"/>
            <w:noWrap/>
            <w:vAlign w:val="center"/>
          </w:tcPr>
          <w:p w14:paraId="5F5D9B40">
            <w:pPr>
              <w:pStyle w:val="33"/>
              <w:rPr>
                <w:color w:val="auto"/>
              </w:rPr>
            </w:pPr>
          </w:p>
        </w:tc>
        <w:tc>
          <w:tcPr>
            <w:tcW w:w="1260" w:type="dxa"/>
            <w:noWrap/>
            <w:vAlign w:val="center"/>
          </w:tcPr>
          <w:p w14:paraId="2519DC57">
            <w:pPr>
              <w:pStyle w:val="33"/>
              <w:rPr>
                <w:color w:val="auto"/>
              </w:rPr>
            </w:pPr>
          </w:p>
        </w:tc>
        <w:tc>
          <w:tcPr>
            <w:tcW w:w="969" w:type="dxa"/>
            <w:vAlign w:val="center"/>
          </w:tcPr>
          <w:p w14:paraId="6C26B345">
            <w:pPr>
              <w:pStyle w:val="33"/>
              <w:rPr>
                <w:color w:val="auto"/>
              </w:rPr>
            </w:pPr>
          </w:p>
        </w:tc>
        <w:tc>
          <w:tcPr>
            <w:tcW w:w="1071" w:type="dxa"/>
            <w:vAlign w:val="center"/>
          </w:tcPr>
          <w:p w14:paraId="23B84AB7">
            <w:pPr>
              <w:pStyle w:val="33"/>
              <w:rPr>
                <w:color w:val="auto"/>
              </w:rPr>
            </w:pPr>
          </w:p>
        </w:tc>
        <w:tc>
          <w:tcPr>
            <w:tcW w:w="1020" w:type="dxa"/>
            <w:vAlign w:val="center"/>
          </w:tcPr>
          <w:p w14:paraId="701710A4">
            <w:pPr>
              <w:pStyle w:val="33"/>
              <w:rPr>
                <w:color w:val="auto"/>
              </w:rPr>
            </w:pPr>
          </w:p>
        </w:tc>
        <w:tc>
          <w:tcPr>
            <w:tcW w:w="863" w:type="dxa"/>
            <w:vAlign w:val="center"/>
          </w:tcPr>
          <w:p w14:paraId="3FE64C54">
            <w:pPr>
              <w:pStyle w:val="33"/>
              <w:rPr>
                <w:color w:val="auto"/>
              </w:rPr>
            </w:pPr>
          </w:p>
        </w:tc>
        <w:tc>
          <w:tcPr>
            <w:tcW w:w="1073" w:type="dxa"/>
            <w:vAlign w:val="center"/>
          </w:tcPr>
          <w:p w14:paraId="010B09F6">
            <w:pPr>
              <w:pStyle w:val="33"/>
              <w:rPr>
                <w:color w:val="auto"/>
              </w:rPr>
            </w:pPr>
          </w:p>
        </w:tc>
      </w:tr>
      <w:tr w14:paraId="7C4D2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1032" w:type="dxa"/>
            <w:vMerge w:val="continue"/>
            <w:noWrap/>
            <w:vAlign w:val="center"/>
          </w:tcPr>
          <w:p w14:paraId="05B832D4">
            <w:pPr>
              <w:pStyle w:val="33"/>
              <w:rPr>
                <w:color w:val="auto"/>
              </w:rPr>
            </w:pPr>
          </w:p>
        </w:tc>
        <w:tc>
          <w:tcPr>
            <w:tcW w:w="1032" w:type="dxa"/>
            <w:noWrap/>
            <w:vAlign w:val="center"/>
          </w:tcPr>
          <w:p w14:paraId="06829665">
            <w:pPr>
              <w:pStyle w:val="33"/>
              <w:rPr>
                <w:color w:val="auto"/>
              </w:rPr>
            </w:pPr>
            <w:r>
              <w:rPr>
                <w:color w:val="auto"/>
              </w:rPr>
              <w:t>2021年</w:t>
            </w:r>
          </w:p>
        </w:tc>
        <w:tc>
          <w:tcPr>
            <w:tcW w:w="1249" w:type="dxa"/>
            <w:noWrap/>
            <w:vAlign w:val="center"/>
          </w:tcPr>
          <w:p w14:paraId="5AD05255">
            <w:pPr>
              <w:pStyle w:val="33"/>
              <w:rPr>
                <w:color w:val="auto"/>
              </w:rPr>
            </w:pPr>
          </w:p>
        </w:tc>
        <w:tc>
          <w:tcPr>
            <w:tcW w:w="1260" w:type="dxa"/>
            <w:noWrap/>
            <w:vAlign w:val="center"/>
          </w:tcPr>
          <w:p w14:paraId="04F35A77">
            <w:pPr>
              <w:pStyle w:val="33"/>
              <w:rPr>
                <w:color w:val="auto"/>
              </w:rPr>
            </w:pPr>
          </w:p>
        </w:tc>
        <w:tc>
          <w:tcPr>
            <w:tcW w:w="969" w:type="dxa"/>
            <w:vAlign w:val="center"/>
          </w:tcPr>
          <w:p w14:paraId="06E23F48">
            <w:pPr>
              <w:pStyle w:val="33"/>
              <w:rPr>
                <w:color w:val="auto"/>
              </w:rPr>
            </w:pPr>
          </w:p>
        </w:tc>
        <w:tc>
          <w:tcPr>
            <w:tcW w:w="1071" w:type="dxa"/>
            <w:vAlign w:val="center"/>
          </w:tcPr>
          <w:p w14:paraId="30A25B8A">
            <w:pPr>
              <w:pStyle w:val="33"/>
              <w:rPr>
                <w:color w:val="auto"/>
              </w:rPr>
            </w:pPr>
          </w:p>
        </w:tc>
        <w:tc>
          <w:tcPr>
            <w:tcW w:w="1020" w:type="dxa"/>
            <w:vAlign w:val="center"/>
          </w:tcPr>
          <w:p w14:paraId="5F9E8151">
            <w:pPr>
              <w:pStyle w:val="33"/>
              <w:rPr>
                <w:color w:val="auto"/>
              </w:rPr>
            </w:pPr>
          </w:p>
        </w:tc>
        <w:tc>
          <w:tcPr>
            <w:tcW w:w="863" w:type="dxa"/>
            <w:vAlign w:val="center"/>
          </w:tcPr>
          <w:p w14:paraId="5ED3E581">
            <w:pPr>
              <w:pStyle w:val="33"/>
              <w:rPr>
                <w:color w:val="auto"/>
              </w:rPr>
            </w:pPr>
          </w:p>
        </w:tc>
        <w:tc>
          <w:tcPr>
            <w:tcW w:w="1073" w:type="dxa"/>
            <w:vAlign w:val="center"/>
          </w:tcPr>
          <w:p w14:paraId="021860FB">
            <w:pPr>
              <w:pStyle w:val="33"/>
              <w:rPr>
                <w:color w:val="auto"/>
              </w:rPr>
            </w:pPr>
          </w:p>
        </w:tc>
      </w:tr>
      <w:tr w14:paraId="6450E3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1032" w:type="dxa"/>
            <w:vMerge w:val="continue"/>
            <w:noWrap/>
            <w:vAlign w:val="center"/>
          </w:tcPr>
          <w:p w14:paraId="37989D59">
            <w:pPr>
              <w:pStyle w:val="33"/>
              <w:rPr>
                <w:color w:val="auto"/>
              </w:rPr>
            </w:pPr>
          </w:p>
        </w:tc>
        <w:tc>
          <w:tcPr>
            <w:tcW w:w="1032" w:type="dxa"/>
            <w:noWrap/>
            <w:vAlign w:val="center"/>
          </w:tcPr>
          <w:p w14:paraId="74D924A3">
            <w:pPr>
              <w:pStyle w:val="33"/>
              <w:rPr>
                <w:color w:val="auto"/>
              </w:rPr>
            </w:pPr>
            <w:r>
              <w:rPr>
                <w:color w:val="auto"/>
              </w:rPr>
              <w:t>2022年</w:t>
            </w:r>
          </w:p>
        </w:tc>
        <w:tc>
          <w:tcPr>
            <w:tcW w:w="1249" w:type="dxa"/>
            <w:noWrap/>
            <w:vAlign w:val="center"/>
          </w:tcPr>
          <w:p w14:paraId="495F8217">
            <w:pPr>
              <w:pStyle w:val="33"/>
              <w:rPr>
                <w:color w:val="auto"/>
              </w:rPr>
            </w:pPr>
          </w:p>
        </w:tc>
        <w:tc>
          <w:tcPr>
            <w:tcW w:w="1260" w:type="dxa"/>
            <w:noWrap/>
            <w:vAlign w:val="center"/>
          </w:tcPr>
          <w:p w14:paraId="700E9660">
            <w:pPr>
              <w:pStyle w:val="33"/>
              <w:rPr>
                <w:color w:val="auto"/>
              </w:rPr>
            </w:pPr>
          </w:p>
        </w:tc>
        <w:tc>
          <w:tcPr>
            <w:tcW w:w="969" w:type="dxa"/>
            <w:vAlign w:val="center"/>
          </w:tcPr>
          <w:p w14:paraId="7AABE1E6">
            <w:pPr>
              <w:pStyle w:val="33"/>
              <w:rPr>
                <w:color w:val="auto"/>
              </w:rPr>
            </w:pPr>
          </w:p>
        </w:tc>
        <w:tc>
          <w:tcPr>
            <w:tcW w:w="1071" w:type="dxa"/>
            <w:vAlign w:val="center"/>
          </w:tcPr>
          <w:p w14:paraId="2F062CAB">
            <w:pPr>
              <w:pStyle w:val="33"/>
              <w:rPr>
                <w:color w:val="auto"/>
              </w:rPr>
            </w:pPr>
          </w:p>
        </w:tc>
        <w:tc>
          <w:tcPr>
            <w:tcW w:w="1020" w:type="dxa"/>
            <w:vAlign w:val="center"/>
          </w:tcPr>
          <w:p w14:paraId="1AEC5631">
            <w:pPr>
              <w:pStyle w:val="33"/>
              <w:rPr>
                <w:color w:val="auto"/>
              </w:rPr>
            </w:pPr>
          </w:p>
        </w:tc>
        <w:tc>
          <w:tcPr>
            <w:tcW w:w="863" w:type="dxa"/>
            <w:vAlign w:val="center"/>
          </w:tcPr>
          <w:p w14:paraId="77B366DF">
            <w:pPr>
              <w:pStyle w:val="33"/>
              <w:rPr>
                <w:color w:val="auto"/>
              </w:rPr>
            </w:pPr>
          </w:p>
        </w:tc>
        <w:tc>
          <w:tcPr>
            <w:tcW w:w="1073" w:type="dxa"/>
            <w:vAlign w:val="center"/>
          </w:tcPr>
          <w:p w14:paraId="387E6762">
            <w:pPr>
              <w:pStyle w:val="33"/>
              <w:rPr>
                <w:color w:val="auto"/>
              </w:rPr>
            </w:pPr>
          </w:p>
        </w:tc>
      </w:tr>
      <w:tr w14:paraId="28A23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1" w:hRule="atLeast"/>
          <w:jc w:val="center"/>
        </w:trPr>
        <w:tc>
          <w:tcPr>
            <w:tcW w:w="1032" w:type="dxa"/>
            <w:vMerge w:val="continue"/>
            <w:noWrap/>
            <w:vAlign w:val="center"/>
          </w:tcPr>
          <w:p w14:paraId="0E34C1F4">
            <w:pPr>
              <w:pStyle w:val="33"/>
              <w:rPr>
                <w:color w:val="auto"/>
              </w:rPr>
            </w:pPr>
          </w:p>
        </w:tc>
        <w:tc>
          <w:tcPr>
            <w:tcW w:w="1032" w:type="dxa"/>
            <w:noWrap/>
            <w:vAlign w:val="center"/>
          </w:tcPr>
          <w:p w14:paraId="19016B4F">
            <w:pPr>
              <w:pStyle w:val="33"/>
              <w:rPr>
                <w:color w:val="auto"/>
              </w:rPr>
            </w:pPr>
            <w:r>
              <w:rPr>
                <w:color w:val="auto"/>
              </w:rPr>
              <w:t>2024年</w:t>
            </w:r>
          </w:p>
        </w:tc>
        <w:tc>
          <w:tcPr>
            <w:tcW w:w="1249" w:type="dxa"/>
            <w:noWrap/>
            <w:vAlign w:val="center"/>
          </w:tcPr>
          <w:p w14:paraId="667E7BFB">
            <w:pPr>
              <w:pStyle w:val="33"/>
              <w:rPr>
                <w:color w:val="auto"/>
              </w:rPr>
            </w:pPr>
          </w:p>
        </w:tc>
        <w:tc>
          <w:tcPr>
            <w:tcW w:w="1260" w:type="dxa"/>
            <w:noWrap/>
            <w:vAlign w:val="center"/>
          </w:tcPr>
          <w:p w14:paraId="1D673490">
            <w:pPr>
              <w:pStyle w:val="33"/>
              <w:rPr>
                <w:color w:val="auto"/>
              </w:rPr>
            </w:pPr>
          </w:p>
        </w:tc>
        <w:tc>
          <w:tcPr>
            <w:tcW w:w="969" w:type="dxa"/>
            <w:vAlign w:val="center"/>
          </w:tcPr>
          <w:p w14:paraId="1B582CC4">
            <w:pPr>
              <w:pStyle w:val="33"/>
              <w:rPr>
                <w:color w:val="auto"/>
              </w:rPr>
            </w:pPr>
          </w:p>
        </w:tc>
        <w:tc>
          <w:tcPr>
            <w:tcW w:w="1071" w:type="dxa"/>
            <w:vAlign w:val="center"/>
          </w:tcPr>
          <w:p w14:paraId="20BA1460">
            <w:pPr>
              <w:pStyle w:val="33"/>
              <w:rPr>
                <w:color w:val="auto"/>
              </w:rPr>
            </w:pPr>
          </w:p>
        </w:tc>
        <w:tc>
          <w:tcPr>
            <w:tcW w:w="1020" w:type="dxa"/>
            <w:vAlign w:val="center"/>
          </w:tcPr>
          <w:p w14:paraId="1DAC710E">
            <w:pPr>
              <w:pStyle w:val="33"/>
              <w:rPr>
                <w:color w:val="auto"/>
              </w:rPr>
            </w:pPr>
          </w:p>
        </w:tc>
        <w:tc>
          <w:tcPr>
            <w:tcW w:w="863" w:type="dxa"/>
            <w:vAlign w:val="center"/>
          </w:tcPr>
          <w:p w14:paraId="7B79F92E">
            <w:pPr>
              <w:pStyle w:val="33"/>
              <w:rPr>
                <w:color w:val="auto"/>
              </w:rPr>
            </w:pPr>
          </w:p>
        </w:tc>
        <w:tc>
          <w:tcPr>
            <w:tcW w:w="1073" w:type="dxa"/>
            <w:vAlign w:val="center"/>
          </w:tcPr>
          <w:p w14:paraId="11594469">
            <w:pPr>
              <w:pStyle w:val="33"/>
              <w:rPr>
                <w:color w:val="auto"/>
              </w:rPr>
            </w:pPr>
          </w:p>
        </w:tc>
      </w:tr>
      <w:tr w14:paraId="7CD05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0" w:hRule="atLeast"/>
          <w:jc w:val="center"/>
        </w:trPr>
        <w:tc>
          <w:tcPr>
            <w:tcW w:w="1032" w:type="dxa"/>
            <w:vMerge w:val="continue"/>
            <w:noWrap/>
            <w:vAlign w:val="center"/>
          </w:tcPr>
          <w:p w14:paraId="730330FA">
            <w:pPr>
              <w:pStyle w:val="33"/>
              <w:rPr>
                <w:color w:val="auto"/>
              </w:rPr>
            </w:pPr>
          </w:p>
        </w:tc>
        <w:tc>
          <w:tcPr>
            <w:tcW w:w="1032" w:type="dxa"/>
            <w:noWrap/>
            <w:vAlign w:val="center"/>
          </w:tcPr>
          <w:p w14:paraId="5C7AE2FA">
            <w:pPr>
              <w:pStyle w:val="33"/>
              <w:rPr>
                <w:color w:val="auto"/>
              </w:rPr>
            </w:pPr>
            <w:r>
              <w:rPr>
                <w:color w:val="auto"/>
              </w:rPr>
              <w:t>2025年</w:t>
            </w:r>
          </w:p>
        </w:tc>
        <w:tc>
          <w:tcPr>
            <w:tcW w:w="1249" w:type="dxa"/>
            <w:noWrap/>
            <w:vAlign w:val="center"/>
          </w:tcPr>
          <w:p w14:paraId="716269E8">
            <w:pPr>
              <w:pStyle w:val="33"/>
              <w:rPr>
                <w:color w:val="auto"/>
              </w:rPr>
            </w:pPr>
          </w:p>
        </w:tc>
        <w:tc>
          <w:tcPr>
            <w:tcW w:w="1260" w:type="dxa"/>
            <w:noWrap/>
            <w:vAlign w:val="center"/>
          </w:tcPr>
          <w:p w14:paraId="6785E85C">
            <w:pPr>
              <w:pStyle w:val="33"/>
              <w:rPr>
                <w:color w:val="auto"/>
              </w:rPr>
            </w:pPr>
          </w:p>
        </w:tc>
        <w:tc>
          <w:tcPr>
            <w:tcW w:w="969" w:type="dxa"/>
            <w:vAlign w:val="center"/>
          </w:tcPr>
          <w:p w14:paraId="172FEDA9">
            <w:pPr>
              <w:pStyle w:val="33"/>
              <w:rPr>
                <w:color w:val="auto"/>
              </w:rPr>
            </w:pPr>
          </w:p>
        </w:tc>
        <w:tc>
          <w:tcPr>
            <w:tcW w:w="1071" w:type="dxa"/>
            <w:vAlign w:val="center"/>
          </w:tcPr>
          <w:p w14:paraId="24BD36E0">
            <w:pPr>
              <w:pStyle w:val="33"/>
              <w:rPr>
                <w:color w:val="auto"/>
              </w:rPr>
            </w:pPr>
          </w:p>
        </w:tc>
        <w:tc>
          <w:tcPr>
            <w:tcW w:w="1020" w:type="dxa"/>
            <w:vAlign w:val="center"/>
          </w:tcPr>
          <w:p w14:paraId="09EEF7FC">
            <w:pPr>
              <w:pStyle w:val="33"/>
              <w:rPr>
                <w:color w:val="auto"/>
              </w:rPr>
            </w:pPr>
          </w:p>
        </w:tc>
        <w:tc>
          <w:tcPr>
            <w:tcW w:w="863" w:type="dxa"/>
            <w:vAlign w:val="center"/>
          </w:tcPr>
          <w:p w14:paraId="2FAC3266">
            <w:pPr>
              <w:pStyle w:val="33"/>
              <w:rPr>
                <w:color w:val="auto"/>
              </w:rPr>
            </w:pPr>
          </w:p>
        </w:tc>
        <w:tc>
          <w:tcPr>
            <w:tcW w:w="1073" w:type="dxa"/>
            <w:vAlign w:val="center"/>
          </w:tcPr>
          <w:p w14:paraId="7C164134">
            <w:pPr>
              <w:pStyle w:val="33"/>
              <w:rPr>
                <w:color w:val="auto"/>
              </w:rPr>
            </w:pPr>
          </w:p>
        </w:tc>
      </w:tr>
    </w:tbl>
    <w:p w14:paraId="5F0E76E1">
      <w:pPr>
        <w:ind w:firstLine="480"/>
        <w:rPr>
          <w:color w:val="auto"/>
          <w:kern w:val="0"/>
        </w:rPr>
      </w:pPr>
      <w:r>
        <w:rPr>
          <w:color w:val="auto"/>
          <w:kern w:val="0"/>
        </w:rPr>
        <w:drawing>
          <wp:inline distT="0" distB="0" distL="114300" distR="114300">
            <wp:extent cx="5111115" cy="2885440"/>
            <wp:effectExtent l="0" t="0" r="13335" b="10160"/>
            <wp:docPr id="39" name="图片 30"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0" descr="图表, 折线图&#10;&#10;AI 生成的内容可能不正确。"/>
                    <pic:cNvPicPr>
                      <a:picLocks noChangeAspect="1"/>
                    </pic:cNvPicPr>
                  </pic:nvPicPr>
                  <pic:blipFill>
                    <a:blip r:embed="rId84"/>
                    <a:stretch>
                      <a:fillRect/>
                    </a:stretch>
                  </pic:blipFill>
                  <pic:spPr>
                    <a:xfrm>
                      <a:off x="0" y="0"/>
                      <a:ext cx="5111115" cy="2885440"/>
                    </a:xfrm>
                    <a:prstGeom prst="rect">
                      <a:avLst/>
                    </a:prstGeom>
                    <a:noFill/>
                    <a:ln>
                      <a:noFill/>
                    </a:ln>
                  </pic:spPr>
                </pic:pic>
              </a:graphicData>
            </a:graphic>
          </wp:inline>
        </w:drawing>
      </w:r>
    </w:p>
    <w:p w14:paraId="48F38442">
      <w:pPr>
        <w:pStyle w:val="8"/>
        <w:rPr>
          <w:color w:val="auto"/>
        </w:rPr>
      </w:pPr>
      <w:r>
        <w:rPr>
          <w:color w:val="auto"/>
        </w:rPr>
        <w:t>GX006监测点位评价因子浓度变化趋势图</w:t>
      </w:r>
    </w:p>
    <w:p w14:paraId="4125AEBE">
      <w:pPr>
        <w:ind w:firstLine="480"/>
        <w:rPr>
          <w:color w:val="auto"/>
          <w:kern w:val="0"/>
        </w:rPr>
      </w:pPr>
      <w:r>
        <w:rPr>
          <w:color w:val="auto"/>
          <w:kern w:val="0"/>
        </w:rPr>
        <w:drawing>
          <wp:inline distT="0" distB="0" distL="114300" distR="114300">
            <wp:extent cx="5260340" cy="2876550"/>
            <wp:effectExtent l="4445" t="4445" r="12065" b="14605"/>
            <wp:docPr id="40"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DAD95E6">
      <w:pPr>
        <w:pStyle w:val="8"/>
        <w:rPr>
          <w:color w:val="auto"/>
        </w:rPr>
      </w:pPr>
      <w:r>
        <w:rPr>
          <w:color w:val="auto"/>
        </w:rPr>
        <w:t>GX006监测点位评价因子浓度变化趋势图</w:t>
      </w:r>
    </w:p>
    <w:p w14:paraId="675C8174">
      <w:pPr>
        <w:pStyle w:val="4"/>
        <w:rPr>
          <w:color w:val="auto"/>
        </w:rPr>
      </w:pPr>
      <w:bookmarkStart w:id="330" w:name="_Toc225216746"/>
      <w:r>
        <w:rPr>
          <w:color w:val="auto"/>
        </w:rPr>
        <w:t>海洋沉积物监测</w:t>
      </w:r>
      <w:bookmarkEnd w:id="330"/>
    </w:p>
    <w:p w14:paraId="62DF245E">
      <w:pPr>
        <w:ind w:firstLine="480"/>
        <w:rPr>
          <w:color w:val="auto"/>
          <w:kern w:val="0"/>
        </w:rPr>
      </w:pPr>
      <w:r>
        <w:rPr>
          <w:color w:val="auto"/>
          <w:kern w:val="0"/>
        </w:rPr>
        <w:t>（1）监测时间和站位</w:t>
      </w:r>
    </w:p>
    <w:p w14:paraId="25831333">
      <w:pPr>
        <w:ind w:firstLine="480"/>
        <w:rPr>
          <w:color w:val="auto"/>
          <w:kern w:val="0"/>
        </w:rPr>
      </w:pPr>
      <w:r>
        <w:rPr>
          <w:color w:val="auto"/>
          <w:kern w:val="0"/>
        </w:rPr>
        <w:t>2024年10月广西壮族自治区海洋环境监测中心站在项目排污口附近海域即钦州湾海域布设了共2个海洋沉积物调查站位（GX002、GX008），2025年8月</w:t>
      </w:r>
      <w:r>
        <w:rPr>
          <w:rFonts w:hint="eastAsia"/>
          <w:color w:val="auto"/>
          <w:kern w:val="0"/>
        </w:rPr>
        <w:t>《广西中伟新能源项目二期X-23#电解钴项目环境影响报告书》</w:t>
      </w:r>
      <w:r>
        <w:rPr>
          <w:color w:val="auto"/>
          <w:kern w:val="0"/>
        </w:rPr>
        <w:t>在项目排污口附近海域布设了共5个海洋沉积物调查站位（GX002、GX004、GX005、GX006、GX008），站位分布图详见</w:t>
      </w:r>
      <w:r>
        <w:rPr>
          <w:rFonts w:hint="eastAsia"/>
          <w:color w:val="auto"/>
          <w:kern w:val="0"/>
        </w:rPr>
        <w:t>附图4-3</w:t>
      </w:r>
      <w:r>
        <w:rPr>
          <w:color w:val="auto"/>
          <w:kern w:val="0"/>
        </w:rPr>
        <w:t>。</w:t>
      </w:r>
    </w:p>
    <w:p w14:paraId="30845855">
      <w:pPr>
        <w:ind w:firstLine="480"/>
        <w:rPr>
          <w:color w:val="auto"/>
          <w:kern w:val="0"/>
        </w:rPr>
      </w:pPr>
      <w:r>
        <w:rPr>
          <w:color w:val="auto"/>
          <w:kern w:val="0"/>
        </w:rPr>
        <w:t>（2）评价标准</w:t>
      </w:r>
    </w:p>
    <w:p w14:paraId="603D6F52">
      <w:pPr>
        <w:ind w:firstLine="480"/>
        <w:rPr>
          <w:color w:val="auto"/>
          <w:kern w:val="0"/>
        </w:rPr>
      </w:pPr>
      <w:r>
        <w:rPr>
          <w:color w:val="auto"/>
          <w:kern w:val="0"/>
        </w:rPr>
        <w:t>选用的评价因子有：硫化物、石油类、有机碳、总汞、铜、铅、镉、锌、铬、砷、镍、锑、铊、锰共14项。根据现状海域功能确定，</w:t>
      </w:r>
      <w:r>
        <w:rPr>
          <w:rFonts w:hint="eastAsia"/>
          <w:color w:val="auto"/>
          <w:kern w:val="0"/>
        </w:rPr>
        <w:t>站点GX002、GX005沉积物质量标准执行《海洋沉积物质量》（GB18668-2002）第一类标准限值，GX004执行《海洋沉积物质量》（GB18668-2002）第三类标准，GX006和GX008执行《海洋沉积物质量》（GB18668-2002）第二类标准</w:t>
      </w:r>
      <w:r>
        <w:rPr>
          <w:color w:val="auto"/>
          <w:kern w:val="0"/>
        </w:rPr>
        <w:t>。</w:t>
      </w:r>
    </w:p>
    <w:p w14:paraId="2FE490B4">
      <w:pPr>
        <w:ind w:firstLine="480"/>
        <w:rPr>
          <w:color w:val="auto"/>
          <w:kern w:val="0"/>
        </w:rPr>
      </w:pPr>
      <w:r>
        <w:rPr>
          <w:color w:val="auto"/>
          <w:kern w:val="0"/>
        </w:rPr>
        <w:t>（3）评价方法</w:t>
      </w:r>
    </w:p>
    <w:p w14:paraId="6E902327">
      <w:pPr>
        <w:ind w:firstLine="480"/>
        <w:rPr>
          <w:color w:val="auto"/>
          <w:kern w:val="0"/>
        </w:rPr>
      </w:pPr>
      <w:r>
        <w:rPr>
          <w:color w:val="auto"/>
          <w:kern w:val="0"/>
        </w:rPr>
        <w:t>采用单项参数标准指数法计算沉积物的质量指数，即应用公式</w:t>
      </w:r>
      <w:r>
        <w:rPr>
          <w:rFonts w:hint="eastAsia"/>
          <w:color w:val="auto"/>
          <w:kern w:val="0"/>
        </w:rPr>
        <w:t>：</w:t>
      </w:r>
    </w:p>
    <w:p w14:paraId="2AA1803D">
      <w:pPr>
        <w:ind w:firstLine="0" w:firstLineChars="0"/>
        <w:jc w:val="center"/>
        <w:rPr>
          <w:color w:val="auto"/>
          <w:kern w:val="0"/>
        </w:rPr>
      </w:pPr>
      <w:r>
        <w:rPr>
          <w:color w:val="auto"/>
          <w:kern w:val="0"/>
        </w:rPr>
        <w:t>P</w:t>
      </w:r>
      <w:r>
        <w:rPr>
          <w:color w:val="auto"/>
          <w:kern w:val="0"/>
          <w:vertAlign w:val="subscript"/>
        </w:rPr>
        <w:t>i</w:t>
      </w:r>
      <w:r>
        <w:rPr>
          <w:color w:val="auto"/>
          <w:kern w:val="0"/>
        </w:rPr>
        <w:t>=C</w:t>
      </w:r>
      <w:r>
        <w:rPr>
          <w:color w:val="auto"/>
          <w:kern w:val="0"/>
          <w:vertAlign w:val="subscript"/>
        </w:rPr>
        <w:t>i</w:t>
      </w:r>
      <w:r>
        <w:rPr>
          <w:color w:val="auto"/>
          <w:kern w:val="0"/>
        </w:rPr>
        <w:t>/C</w:t>
      </w:r>
      <w:r>
        <w:rPr>
          <w:color w:val="auto"/>
          <w:kern w:val="0"/>
          <w:vertAlign w:val="subscript"/>
        </w:rPr>
        <w:t>si</w:t>
      </w:r>
    </w:p>
    <w:p w14:paraId="10C15B63">
      <w:pPr>
        <w:ind w:firstLine="480"/>
        <w:rPr>
          <w:color w:val="auto"/>
          <w:kern w:val="0"/>
        </w:rPr>
      </w:pPr>
      <w:r>
        <w:rPr>
          <w:color w:val="auto"/>
          <w:kern w:val="0"/>
        </w:rPr>
        <w:t>式中：P</w:t>
      </w:r>
      <w:r>
        <w:rPr>
          <w:color w:val="auto"/>
          <w:kern w:val="0"/>
          <w:vertAlign w:val="subscript"/>
        </w:rPr>
        <w:t>i</w:t>
      </w:r>
      <w:r>
        <w:rPr>
          <w:color w:val="auto"/>
          <w:kern w:val="0"/>
        </w:rPr>
        <w:t>为第i种评价因子的质量指数；</w:t>
      </w:r>
    </w:p>
    <w:p w14:paraId="64DB936B">
      <w:pPr>
        <w:ind w:firstLine="480"/>
        <w:rPr>
          <w:color w:val="auto"/>
          <w:kern w:val="0"/>
        </w:rPr>
      </w:pPr>
      <w:r>
        <w:rPr>
          <w:color w:val="auto"/>
          <w:kern w:val="0"/>
        </w:rPr>
        <w:t>C</w:t>
      </w:r>
      <w:r>
        <w:rPr>
          <w:color w:val="auto"/>
          <w:kern w:val="0"/>
          <w:vertAlign w:val="subscript"/>
        </w:rPr>
        <w:t>i</w:t>
      </w:r>
      <w:r>
        <w:rPr>
          <w:color w:val="auto"/>
          <w:kern w:val="0"/>
        </w:rPr>
        <w:t>为第i种评价因子的实测值；</w:t>
      </w:r>
    </w:p>
    <w:p w14:paraId="56B36163">
      <w:pPr>
        <w:ind w:firstLine="480"/>
        <w:rPr>
          <w:color w:val="auto"/>
          <w:kern w:val="0"/>
        </w:rPr>
      </w:pPr>
      <w:r>
        <w:rPr>
          <w:color w:val="auto"/>
          <w:kern w:val="0"/>
        </w:rPr>
        <w:t>C</w:t>
      </w:r>
      <w:r>
        <w:rPr>
          <w:color w:val="auto"/>
          <w:kern w:val="0"/>
          <w:vertAlign w:val="subscript"/>
        </w:rPr>
        <w:t>si</w:t>
      </w:r>
      <w:r>
        <w:rPr>
          <w:color w:val="auto"/>
          <w:kern w:val="0"/>
        </w:rPr>
        <w:t>为第i种评价因子的标准值。</w:t>
      </w:r>
    </w:p>
    <w:p w14:paraId="3AABF3EC">
      <w:pPr>
        <w:ind w:firstLine="480"/>
        <w:rPr>
          <w:color w:val="auto"/>
          <w:kern w:val="0"/>
        </w:rPr>
      </w:pPr>
      <w:r>
        <w:rPr>
          <w:color w:val="auto"/>
          <w:kern w:val="0"/>
        </w:rPr>
        <w:t>沉积物评价因子的标准指数＞1，则表明该项指标已超过了规定的沉积物质量标准。</w:t>
      </w:r>
    </w:p>
    <w:p w14:paraId="71B98038">
      <w:pPr>
        <w:ind w:firstLine="480"/>
        <w:rPr>
          <w:color w:val="auto"/>
          <w:kern w:val="0"/>
        </w:rPr>
      </w:pPr>
      <w:r>
        <w:rPr>
          <w:color w:val="auto"/>
          <w:kern w:val="0"/>
        </w:rPr>
        <w:t>（4）分析结果与评价</w:t>
      </w:r>
    </w:p>
    <w:p w14:paraId="7478DC3A">
      <w:pPr>
        <w:ind w:firstLine="480"/>
        <w:rPr>
          <w:color w:val="auto"/>
          <w:kern w:val="0"/>
        </w:rPr>
      </w:pPr>
      <w:r>
        <w:rPr>
          <w:color w:val="auto"/>
          <w:kern w:val="0"/>
        </w:rPr>
        <w:t>沉积物的分析和评价结果见下表。</w:t>
      </w:r>
    </w:p>
    <w:p w14:paraId="5BA58EE3">
      <w:pPr>
        <w:pStyle w:val="7"/>
        <w:rPr>
          <w:color w:val="auto"/>
        </w:rPr>
      </w:pPr>
      <w:r>
        <w:rPr>
          <w:color w:val="auto"/>
        </w:rPr>
        <w:t>沉积物环境监测结果  单位：mg/kg</w:t>
      </w:r>
    </w:p>
    <w:tbl>
      <w:tblPr>
        <w:tblStyle w:val="26"/>
        <w:tblW w:w="93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367"/>
        <w:gridCol w:w="937"/>
        <w:gridCol w:w="1078"/>
        <w:gridCol w:w="1143"/>
        <w:gridCol w:w="1202"/>
        <w:gridCol w:w="1185"/>
        <w:gridCol w:w="1205"/>
        <w:gridCol w:w="1221"/>
      </w:tblGrid>
      <w:tr w14:paraId="173D7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tblHeader/>
          <w:jc w:val="center"/>
        </w:trPr>
        <w:tc>
          <w:tcPr>
            <w:tcW w:w="1367" w:type="dxa"/>
            <w:vMerge w:val="restart"/>
            <w:vAlign w:val="center"/>
          </w:tcPr>
          <w:p w14:paraId="79677101">
            <w:pPr>
              <w:pStyle w:val="33"/>
              <w:rPr>
                <w:color w:val="auto"/>
              </w:rPr>
            </w:pPr>
            <w:r>
              <w:rPr>
                <w:color w:val="auto"/>
              </w:rPr>
              <w:t>监测时间</w:t>
            </w:r>
          </w:p>
        </w:tc>
        <w:tc>
          <w:tcPr>
            <w:tcW w:w="937" w:type="dxa"/>
            <w:vMerge w:val="restart"/>
            <w:vAlign w:val="center"/>
          </w:tcPr>
          <w:p w14:paraId="10672BB4">
            <w:pPr>
              <w:pStyle w:val="33"/>
              <w:rPr>
                <w:color w:val="auto"/>
              </w:rPr>
            </w:pPr>
            <w:r>
              <w:rPr>
                <w:color w:val="auto"/>
              </w:rPr>
              <w:t>检测项目</w:t>
            </w:r>
          </w:p>
        </w:tc>
        <w:tc>
          <w:tcPr>
            <w:tcW w:w="1078" w:type="dxa"/>
            <w:vMerge w:val="restart"/>
            <w:vAlign w:val="center"/>
          </w:tcPr>
          <w:p w14:paraId="61044113">
            <w:pPr>
              <w:pStyle w:val="33"/>
              <w:rPr>
                <w:color w:val="auto"/>
              </w:rPr>
            </w:pPr>
            <w:r>
              <w:rPr>
                <w:color w:val="auto"/>
              </w:rPr>
              <w:t>监测点位</w:t>
            </w:r>
          </w:p>
        </w:tc>
        <w:tc>
          <w:tcPr>
            <w:tcW w:w="5956" w:type="dxa"/>
            <w:gridSpan w:val="5"/>
            <w:vAlign w:val="center"/>
          </w:tcPr>
          <w:p w14:paraId="7B4167F1">
            <w:pPr>
              <w:pStyle w:val="33"/>
              <w:rPr>
                <w:color w:val="auto"/>
              </w:rPr>
            </w:pPr>
            <w:r>
              <w:rPr>
                <w:color w:val="auto"/>
              </w:rPr>
              <w:t>检测结果</w:t>
            </w:r>
          </w:p>
        </w:tc>
      </w:tr>
      <w:tr w14:paraId="0BE30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76" w:hRule="atLeast"/>
          <w:tblHeader/>
          <w:jc w:val="center"/>
        </w:trPr>
        <w:tc>
          <w:tcPr>
            <w:tcW w:w="1367" w:type="dxa"/>
            <w:vMerge w:val="continue"/>
            <w:vAlign w:val="center"/>
          </w:tcPr>
          <w:p w14:paraId="2B9509D0">
            <w:pPr>
              <w:pStyle w:val="33"/>
              <w:rPr>
                <w:color w:val="auto"/>
              </w:rPr>
            </w:pPr>
          </w:p>
        </w:tc>
        <w:tc>
          <w:tcPr>
            <w:tcW w:w="937" w:type="dxa"/>
            <w:vMerge w:val="continue"/>
            <w:vAlign w:val="center"/>
          </w:tcPr>
          <w:p w14:paraId="0FA64BAE">
            <w:pPr>
              <w:pStyle w:val="33"/>
              <w:rPr>
                <w:color w:val="auto"/>
              </w:rPr>
            </w:pPr>
          </w:p>
        </w:tc>
        <w:tc>
          <w:tcPr>
            <w:tcW w:w="1078" w:type="dxa"/>
            <w:vMerge w:val="continue"/>
            <w:vAlign w:val="center"/>
          </w:tcPr>
          <w:p w14:paraId="79B200E3">
            <w:pPr>
              <w:pStyle w:val="33"/>
              <w:rPr>
                <w:color w:val="auto"/>
              </w:rPr>
            </w:pPr>
          </w:p>
        </w:tc>
        <w:tc>
          <w:tcPr>
            <w:tcW w:w="1143" w:type="dxa"/>
            <w:vAlign w:val="center"/>
          </w:tcPr>
          <w:p w14:paraId="3CD90AE3">
            <w:pPr>
              <w:pStyle w:val="33"/>
              <w:rPr>
                <w:color w:val="auto"/>
              </w:rPr>
            </w:pPr>
            <w:r>
              <w:rPr>
                <w:color w:val="auto"/>
              </w:rPr>
              <w:t>GX002</w:t>
            </w:r>
          </w:p>
        </w:tc>
        <w:tc>
          <w:tcPr>
            <w:tcW w:w="1202" w:type="dxa"/>
            <w:vAlign w:val="center"/>
          </w:tcPr>
          <w:p w14:paraId="6D837B35">
            <w:pPr>
              <w:pStyle w:val="33"/>
              <w:rPr>
                <w:color w:val="auto"/>
              </w:rPr>
            </w:pPr>
            <w:r>
              <w:rPr>
                <w:color w:val="auto"/>
              </w:rPr>
              <w:t>GX004</w:t>
            </w:r>
          </w:p>
        </w:tc>
        <w:tc>
          <w:tcPr>
            <w:tcW w:w="1185" w:type="dxa"/>
            <w:vAlign w:val="center"/>
          </w:tcPr>
          <w:p w14:paraId="681A8ACD">
            <w:pPr>
              <w:pStyle w:val="33"/>
              <w:rPr>
                <w:color w:val="auto"/>
              </w:rPr>
            </w:pPr>
            <w:r>
              <w:rPr>
                <w:color w:val="auto"/>
              </w:rPr>
              <w:t>GX005</w:t>
            </w:r>
          </w:p>
        </w:tc>
        <w:tc>
          <w:tcPr>
            <w:tcW w:w="1205" w:type="dxa"/>
            <w:vAlign w:val="center"/>
          </w:tcPr>
          <w:p w14:paraId="5D4BBFB3">
            <w:pPr>
              <w:pStyle w:val="33"/>
              <w:rPr>
                <w:color w:val="auto"/>
              </w:rPr>
            </w:pPr>
            <w:r>
              <w:rPr>
                <w:color w:val="auto"/>
              </w:rPr>
              <w:t>GX006</w:t>
            </w:r>
          </w:p>
        </w:tc>
        <w:tc>
          <w:tcPr>
            <w:tcW w:w="1221" w:type="dxa"/>
            <w:vAlign w:val="center"/>
          </w:tcPr>
          <w:p w14:paraId="3E061F14">
            <w:pPr>
              <w:pStyle w:val="33"/>
              <w:rPr>
                <w:color w:val="auto"/>
              </w:rPr>
            </w:pPr>
            <w:r>
              <w:rPr>
                <w:color w:val="auto"/>
              </w:rPr>
              <w:t>GX008</w:t>
            </w:r>
          </w:p>
        </w:tc>
      </w:tr>
      <w:tr w14:paraId="41B71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jc w:val="center"/>
        </w:trPr>
        <w:tc>
          <w:tcPr>
            <w:tcW w:w="1367" w:type="dxa"/>
            <w:vMerge w:val="restart"/>
            <w:vAlign w:val="center"/>
          </w:tcPr>
          <w:p w14:paraId="20C5DFFC">
            <w:pPr>
              <w:pStyle w:val="33"/>
              <w:rPr>
                <w:color w:val="auto"/>
              </w:rPr>
            </w:pPr>
            <w:r>
              <w:rPr>
                <w:color w:val="auto"/>
              </w:rPr>
              <w:t>2025年8月12日</w:t>
            </w:r>
          </w:p>
        </w:tc>
        <w:tc>
          <w:tcPr>
            <w:tcW w:w="937" w:type="dxa"/>
            <w:vMerge w:val="restart"/>
            <w:vAlign w:val="center"/>
          </w:tcPr>
          <w:p w14:paraId="622E9419">
            <w:pPr>
              <w:pStyle w:val="33"/>
              <w:rPr>
                <w:color w:val="auto"/>
              </w:rPr>
            </w:pPr>
            <w:r>
              <w:rPr>
                <w:color w:val="auto"/>
              </w:rPr>
              <w:t>硫化物</w:t>
            </w:r>
          </w:p>
        </w:tc>
        <w:tc>
          <w:tcPr>
            <w:tcW w:w="1078" w:type="dxa"/>
            <w:vAlign w:val="center"/>
          </w:tcPr>
          <w:p w14:paraId="2FF45CD9">
            <w:pPr>
              <w:pStyle w:val="33"/>
              <w:rPr>
                <w:color w:val="auto"/>
              </w:rPr>
            </w:pPr>
            <w:r>
              <w:rPr>
                <w:color w:val="auto"/>
              </w:rPr>
              <w:t>监测值</w:t>
            </w:r>
          </w:p>
        </w:tc>
        <w:tc>
          <w:tcPr>
            <w:tcW w:w="1143" w:type="dxa"/>
            <w:vAlign w:val="center"/>
          </w:tcPr>
          <w:p w14:paraId="4C9ABB89">
            <w:pPr>
              <w:pStyle w:val="33"/>
              <w:rPr>
                <w:color w:val="auto"/>
              </w:rPr>
            </w:pPr>
          </w:p>
        </w:tc>
        <w:tc>
          <w:tcPr>
            <w:tcW w:w="1202" w:type="dxa"/>
            <w:vAlign w:val="center"/>
          </w:tcPr>
          <w:p w14:paraId="67195447">
            <w:pPr>
              <w:pStyle w:val="33"/>
              <w:rPr>
                <w:color w:val="auto"/>
              </w:rPr>
            </w:pPr>
          </w:p>
        </w:tc>
        <w:tc>
          <w:tcPr>
            <w:tcW w:w="1185" w:type="dxa"/>
            <w:vAlign w:val="center"/>
          </w:tcPr>
          <w:p w14:paraId="51C31C02">
            <w:pPr>
              <w:pStyle w:val="33"/>
              <w:rPr>
                <w:color w:val="auto"/>
              </w:rPr>
            </w:pPr>
          </w:p>
        </w:tc>
        <w:tc>
          <w:tcPr>
            <w:tcW w:w="1205" w:type="dxa"/>
            <w:vAlign w:val="center"/>
          </w:tcPr>
          <w:p w14:paraId="45164800">
            <w:pPr>
              <w:pStyle w:val="33"/>
              <w:rPr>
                <w:color w:val="auto"/>
              </w:rPr>
            </w:pPr>
          </w:p>
        </w:tc>
        <w:tc>
          <w:tcPr>
            <w:tcW w:w="1221" w:type="dxa"/>
            <w:vAlign w:val="center"/>
          </w:tcPr>
          <w:p w14:paraId="02D50896">
            <w:pPr>
              <w:pStyle w:val="33"/>
              <w:rPr>
                <w:color w:val="auto"/>
              </w:rPr>
            </w:pPr>
          </w:p>
        </w:tc>
      </w:tr>
      <w:tr w14:paraId="51DA8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jc w:val="center"/>
        </w:trPr>
        <w:tc>
          <w:tcPr>
            <w:tcW w:w="1367" w:type="dxa"/>
            <w:vMerge w:val="continue"/>
            <w:vAlign w:val="center"/>
          </w:tcPr>
          <w:p w14:paraId="2898F3D9">
            <w:pPr>
              <w:pStyle w:val="33"/>
              <w:rPr>
                <w:color w:val="auto"/>
              </w:rPr>
            </w:pPr>
          </w:p>
        </w:tc>
        <w:tc>
          <w:tcPr>
            <w:tcW w:w="937" w:type="dxa"/>
            <w:vMerge w:val="continue"/>
            <w:vAlign w:val="center"/>
          </w:tcPr>
          <w:p w14:paraId="0ECF860E">
            <w:pPr>
              <w:pStyle w:val="33"/>
              <w:rPr>
                <w:color w:val="auto"/>
              </w:rPr>
            </w:pPr>
          </w:p>
        </w:tc>
        <w:tc>
          <w:tcPr>
            <w:tcW w:w="1078" w:type="dxa"/>
            <w:vAlign w:val="center"/>
          </w:tcPr>
          <w:p w14:paraId="4A567FBB">
            <w:pPr>
              <w:pStyle w:val="33"/>
              <w:rPr>
                <w:color w:val="auto"/>
              </w:rPr>
            </w:pPr>
            <w:r>
              <w:rPr>
                <w:color w:val="auto"/>
              </w:rPr>
              <w:t>标准限值</w:t>
            </w:r>
          </w:p>
        </w:tc>
        <w:tc>
          <w:tcPr>
            <w:tcW w:w="1143" w:type="dxa"/>
            <w:vAlign w:val="center"/>
          </w:tcPr>
          <w:p w14:paraId="736F0F0F">
            <w:pPr>
              <w:pStyle w:val="33"/>
              <w:rPr>
                <w:color w:val="auto"/>
              </w:rPr>
            </w:pPr>
          </w:p>
        </w:tc>
        <w:tc>
          <w:tcPr>
            <w:tcW w:w="1202" w:type="dxa"/>
            <w:vAlign w:val="center"/>
          </w:tcPr>
          <w:p w14:paraId="06A1A265">
            <w:pPr>
              <w:pStyle w:val="33"/>
              <w:rPr>
                <w:color w:val="auto"/>
              </w:rPr>
            </w:pPr>
          </w:p>
        </w:tc>
        <w:tc>
          <w:tcPr>
            <w:tcW w:w="1185" w:type="dxa"/>
            <w:vAlign w:val="center"/>
          </w:tcPr>
          <w:p w14:paraId="01DFBE8F">
            <w:pPr>
              <w:pStyle w:val="33"/>
              <w:rPr>
                <w:color w:val="auto"/>
              </w:rPr>
            </w:pPr>
          </w:p>
        </w:tc>
        <w:tc>
          <w:tcPr>
            <w:tcW w:w="1205" w:type="dxa"/>
            <w:vAlign w:val="center"/>
          </w:tcPr>
          <w:p w14:paraId="7F9E1A75">
            <w:pPr>
              <w:pStyle w:val="33"/>
              <w:rPr>
                <w:color w:val="auto"/>
              </w:rPr>
            </w:pPr>
          </w:p>
        </w:tc>
        <w:tc>
          <w:tcPr>
            <w:tcW w:w="1221" w:type="dxa"/>
            <w:vAlign w:val="center"/>
          </w:tcPr>
          <w:p w14:paraId="6F6A08A5">
            <w:pPr>
              <w:pStyle w:val="33"/>
              <w:rPr>
                <w:color w:val="auto"/>
              </w:rPr>
            </w:pPr>
          </w:p>
        </w:tc>
      </w:tr>
      <w:tr w14:paraId="575E6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jc w:val="center"/>
        </w:trPr>
        <w:tc>
          <w:tcPr>
            <w:tcW w:w="1367" w:type="dxa"/>
            <w:vMerge w:val="continue"/>
            <w:vAlign w:val="center"/>
          </w:tcPr>
          <w:p w14:paraId="46C86E06">
            <w:pPr>
              <w:pStyle w:val="33"/>
              <w:rPr>
                <w:color w:val="auto"/>
              </w:rPr>
            </w:pPr>
          </w:p>
        </w:tc>
        <w:tc>
          <w:tcPr>
            <w:tcW w:w="937" w:type="dxa"/>
            <w:vMerge w:val="continue"/>
            <w:vAlign w:val="center"/>
          </w:tcPr>
          <w:p w14:paraId="1231AB28">
            <w:pPr>
              <w:pStyle w:val="33"/>
              <w:rPr>
                <w:color w:val="auto"/>
              </w:rPr>
            </w:pPr>
          </w:p>
        </w:tc>
        <w:tc>
          <w:tcPr>
            <w:tcW w:w="1078" w:type="dxa"/>
            <w:vAlign w:val="center"/>
          </w:tcPr>
          <w:p w14:paraId="167FE23E">
            <w:pPr>
              <w:pStyle w:val="33"/>
              <w:rPr>
                <w:color w:val="auto"/>
              </w:rPr>
            </w:pPr>
            <w:r>
              <w:rPr>
                <w:color w:val="auto"/>
              </w:rPr>
              <w:t>Pi值</w:t>
            </w:r>
          </w:p>
        </w:tc>
        <w:tc>
          <w:tcPr>
            <w:tcW w:w="1143" w:type="dxa"/>
            <w:vAlign w:val="center"/>
          </w:tcPr>
          <w:p w14:paraId="43172DA7">
            <w:pPr>
              <w:pStyle w:val="33"/>
              <w:rPr>
                <w:color w:val="auto"/>
              </w:rPr>
            </w:pPr>
          </w:p>
        </w:tc>
        <w:tc>
          <w:tcPr>
            <w:tcW w:w="1202" w:type="dxa"/>
            <w:vAlign w:val="center"/>
          </w:tcPr>
          <w:p w14:paraId="6B3F444B">
            <w:pPr>
              <w:pStyle w:val="33"/>
              <w:rPr>
                <w:color w:val="auto"/>
              </w:rPr>
            </w:pPr>
          </w:p>
        </w:tc>
        <w:tc>
          <w:tcPr>
            <w:tcW w:w="1185" w:type="dxa"/>
            <w:vAlign w:val="center"/>
          </w:tcPr>
          <w:p w14:paraId="752BEF46">
            <w:pPr>
              <w:pStyle w:val="33"/>
              <w:rPr>
                <w:color w:val="auto"/>
              </w:rPr>
            </w:pPr>
          </w:p>
        </w:tc>
        <w:tc>
          <w:tcPr>
            <w:tcW w:w="1205" w:type="dxa"/>
            <w:vAlign w:val="center"/>
          </w:tcPr>
          <w:p w14:paraId="31873E5A">
            <w:pPr>
              <w:pStyle w:val="33"/>
              <w:rPr>
                <w:color w:val="auto"/>
              </w:rPr>
            </w:pPr>
          </w:p>
        </w:tc>
        <w:tc>
          <w:tcPr>
            <w:tcW w:w="1221" w:type="dxa"/>
            <w:vAlign w:val="center"/>
          </w:tcPr>
          <w:p w14:paraId="2C6FC828">
            <w:pPr>
              <w:pStyle w:val="33"/>
              <w:rPr>
                <w:color w:val="auto"/>
              </w:rPr>
            </w:pPr>
          </w:p>
        </w:tc>
      </w:tr>
      <w:tr w14:paraId="7EA71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36" w:hRule="atLeast"/>
          <w:jc w:val="center"/>
        </w:trPr>
        <w:tc>
          <w:tcPr>
            <w:tcW w:w="1367" w:type="dxa"/>
            <w:vMerge w:val="continue"/>
            <w:vAlign w:val="center"/>
          </w:tcPr>
          <w:p w14:paraId="5BE0572E">
            <w:pPr>
              <w:pStyle w:val="33"/>
              <w:rPr>
                <w:color w:val="auto"/>
              </w:rPr>
            </w:pPr>
          </w:p>
        </w:tc>
        <w:tc>
          <w:tcPr>
            <w:tcW w:w="937" w:type="dxa"/>
            <w:vMerge w:val="continue"/>
            <w:vAlign w:val="center"/>
          </w:tcPr>
          <w:p w14:paraId="487D5B20">
            <w:pPr>
              <w:pStyle w:val="33"/>
              <w:rPr>
                <w:color w:val="auto"/>
              </w:rPr>
            </w:pPr>
          </w:p>
        </w:tc>
        <w:tc>
          <w:tcPr>
            <w:tcW w:w="1078" w:type="dxa"/>
            <w:vAlign w:val="center"/>
          </w:tcPr>
          <w:p w14:paraId="0C1DA52F">
            <w:pPr>
              <w:pStyle w:val="33"/>
              <w:rPr>
                <w:color w:val="auto"/>
              </w:rPr>
            </w:pPr>
            <w:r>
              <w:rPr>
                <w:color w:val="auto"/>
              </w:rPr>
              <w:t>超标率</w:t>
            </w:r>
          </w:p>
        </w:tc>
        <w:tc>
          <w:tcPr>
            <w:tcW w:w="1143" w:type="dxa"/>
            <w:vAlign w:val="center"/>
          </w:tcPr>
          <w:p w14:paraId="6856A548">
            <w:pPr>
              <w:pStyle w:val="33"/>
              <w:rPr>
                <w:color w:val="auto"/>
              </w:rPr>
            </w:pPr>
          </w:p>
        </w:tc>
        <w:tc>
          <w:tcPr>
            <w:tcW w:w="1202" w:type="dxa"/>
            <w:vAlign w:val="center"/>
          </w:tcPr>
          <w:p w14:paraId="5F0FB79C">
            <w:pPr>
              <w:pStyle w:val="33"/>
              <w:rPr>
                <w:color w:val="auto"/>
              </w:rPr>
            </w:pPr>
          </w:p>
        </w:tc>
        <w:tc>
          <w:tcPr>
            <w:tcW w:w="1185" w:type="dxa"/>
            <w:vAlign w:val="center"/>
          </w:tcPr>
          <w:p w14:paraId="7903D08F">
            <w:pPr>
              <w:pStyle w:val="33"/>
              <w:rPr>
                <w:color w:val="auto"/>
              </w:rPr>
            </w:pPr>
          </w:p>
        </w:tc>
        <w:tc>
          <w:tcPr>
            <w:tcW w:w="1205" w:type="dxa"/>
            <w:vAlign w:val="center"/>
          </w:tcPr>
          <w:p w14:paraId="2264E594">
            <w:pPr>
              <w:pStyle w:val="33"/>
              <w:rPr>
                <w:color w:val="auto"/>
              </w:rPr>
            </w:pPr>
          </w:p>
        </w:tc>
        <w:tc>
          <w:tcPr>
            <w:tcW w:w="1221" w:type="dxa"/>
            <w:vAlign w:val="center"/>
          </w:tcPr>
          <w:p w14:paraId="13C81A56">
            <w:pPr>
              <w:pStyle w:val="33"/>
              <w:rPr>
                <w:color w:val="auto"/>
              </w:rPr>
            </w:pPr>
          </w:p>
        </w:tc>
      </w:tr>
      <w:tr w14:paraId="59A47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67" w:type="dxa"/>
            <w:vMerge w:val="continue"/>
            <w:vAlign w:val="center"/>
          </w:tcPr>
          <w:p w14:paraId="6B5951BE">
            <w:pPr>
              <w:pStyle w:val="33"/>
              <w:rPr>
                <w:color w:val="auto"/>
              </w:rPr>
            </w:pPr>
          </w:p>
        </w:tc>
        <w:tc>
          <w:tcPr>
            <w:tcW w:w="937" w:type="dxa"/>
            <w:vAlign w:val="center"/>
          </w:tcPr>
          <w:p w14:paraId="5CA1DCC9">
            <w:pPr>
              <w:pStyle w:val="33"/>
              <w:rPr>
                <w:color w:val="auto"/>
              </w:rPr>
            </w:pPr>
            <w:r>
              <w:rPr>
                <w:color w:val="auto"/>
              </w:rPr>
              <w:t>锑</w:t>
            </w:r>
          </w:p>
        </w:tc>
        <w:tc>
          <w:tcPr>
            <w:tcW w:w="1078" w:type="dxa"/>
            <w:vAlign w:val="center"/>
          </w:tcPr>
          <w:p w14:paraId="489FE11D">
            <w:pPr>
              <w:pStyle w:val="33"/>
              <w:rPr>
                <w:color w:val="auto"/>
              </w:rPr>
            </w:pPr>
            <w:r>
              <w:rPr>
                <w:color w:val="auto"/>
              </w:rPr>
              <w:t>监测值</w:t>
            </w:r>
          </w:p>
        </w:tc>
        <w:tc>
          <w:tcPr>
            <w:tcW w:w="1143" w:type="dxa"/>
            <w:vAlign w:val="center"/>
          </w:tcPr>
          <w:p w14:paraId="388BE410">
            <w:pPr>
              <w:pStyle w:val="33"/>
              <w:rPr>
                <w:color w:val="auto"/>
              </w:rPr>
            </w:pPr>
          </w:p>
        </w:tc>
        <w:tc>
          <w:tcPr>
            <w:tcW w:w="1202" w:type="dxa"/>
            <w:vAlign w:val="center"/>
          </w:tcPr>
          <w:p w14:paraId="69B8FB13">
            <w:pPr>
              <w:pStyle w:val="33"/>
              <w:rPr>
                <w:color w:val="auto"/>
              </w:rPr>
            </w:pPr>
          </w:p>
        </w:tc>
        <w:tc>
          <w:tcPr>
            <w:tcW w:w="1185" w:type="dxa"/>
            <w:vAlign w:val="center"/>
          </w:tcPr>
          <w:p w14:paraId="7884E9C1">
            <w:pPr>
              <w:pStyle w:val="33"/>
              <w:rPr>
                <w:color w:val="auto"/>
              </w:rPr>
            </w:pPr>
          </w:p>
        </w:tc>
        <w:tc>
          <w:tcPr>
            <w:tcW w:w="1205" w:type="dxa"/>
            <w:vAlign w:val="center"/>
          </w:tcPr>
          <w:p w14:paraId="1E0899DC">
            <w:pPr>
              <w:pStyle w:val="33"/>
              <w:rPr>
                <w:color w:val="auto"/>
              </w:rPr>
            </w:pPr>
          </w:p>
        </w:tc>
        <w:tc>
          <w:tcPr>
            <w:tcW w:w="1221" w:type="dxa"/>
            <w:vAlign w:val="center"/>
          </w:tcPr>
          <w:p w14:paraId="4B03536E">
            <w:pPr>
              <w:pStyle w:val="33"/>
              <w:rPr>
                <w:color w:val="auto"/>
              </w:rPr>
            </w:pPr>
          </w:p>
        </w:tc>
      </w:tr>
      <w:tr w14:paraId="794B6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67" w:type="dxa"/>
            <w:vMerge w:val="continue"/>
            <w:vAlign w:val="center"/>
          </w:tcPr>
          <w:p w14:paraId="15E47B31">
            <w:pPr>
              <w:pStyle w:val="33"/>
              <w:rPr>
                <w:color w:val="auto"/>
              </w:rPr>
            </w:pPr>
          </w:p>
        </w:tc>
        <w:tc>
          <w:tcPr>
            <w:tcW w:w="937" w:type="dxa"/>
            <w:vAlign w:val="center"/>
          </w:tcPr>
          <w:p w14:paraId="7956C118">
            <w:pPr>
              <w:pStyle w:val="33"/>
              <w:rPr>
                <w:color w:val="auto"/>
              </w:rPr>
            </w:pPr>
            <w:r>
              <w:rPr>
                <w:color w:val="auto"/>
              </w:rPr>
              <w:t>铊</w:t>
            </w:r>
          </w:p>
        </w:tc>
        <w:tc>
          <w:tcPr>
            <w:tcW w:w="1078" w:type="dxa"/>
            <w:vAlign w:val="center"/>
          </w:tcPr>
          <w:p w14:paraId="103A9BB3">
            <w:pPr>
              <w:pStyle w:val="33"/>
              <w:rPr>
                <w:color w:val="auto"/>
              </w:rPr>
            </w:pPr>
            <w:r>
              <w:rPr>
                <w:color w:val="auto"/>
              </w:rPr>
              <w:t>监测值</w:t>
            </w:r>
          </w:p>
        </w:tc>
        <w:tc>
          <w:tcPr>
            <w:tcW w:w="1143" w:type="dxa"/>
            <w:vAlign w:val="center"/>
          </w:tcPr>
          <w:p w14:paraId="3373DDBF">
            <w:pPr>
              <w:pStyle w:val="33"/>
              <w:rPr>
                <w:color w:val="auto"/>
              </w:rPr>
            </w:pPr>
          </w:p>
        </w:tc>
        <w:tc>
          <w:tcPr>
            <w:tcW w:w="1202" w:type="dxa"/>
            <w:vAlign w:val="center"/>
          </w:tcPr>
          <w:p w14:paraId="7F0EB94E">
            <w:pPr>
              <w:pStyle w:val="33"/>
              <w:rPr>
                <w:color w:val="auto"/>
              </w:rPr>
            </w:pPr>
          </w:p>
        </w:tc>
        <w:tc>
          <w:tcPr>
            <w:tcW w:w="1185" w:type="dxa"/>
            <w:vAlign w:val="center"/>
          </w:tcPr>
          <w:p w14:paraId="72E7EC21">
            <w:pPr>
              <w:pStyle w:val="33"/>
              <w:rPr>
                <w:color w:val="auto"/>
              </w:rPr>
            </w:pPr>
          </w:p>
        </w:tc>
        <w:tc>
          <w:tcPr>
            <w:tcW w:w="1205" w:type="dxa"/>
            <w:vAlign w:val="center"/>
          </w:tcPr>
          <w:p w14:paraId="465AA580">
            <w:pPr>
              <w:pStyle w:val="33"/>
              <w:rPr>
                <w:color w:val="auto"/>
              </w:rPr>
            </w:pPr>
          </w:p>
        </w:tc>
        <w:tc>
          <w:tcPr>
            <w:tcW w:w="1221" w:type="dxa"/>
            <w:vAlign w:val="center"/>
          </w:tcPr>
          <w:p w14:paraId="1E8BEE8D">
            <w:pPr>
              <w:pStyle w:val="33"/>
              <w:rPr>
                <w:color w:val="auto"/>
              </w:rPr>
            </w:pPr>
          </w:p>
        </w:tc>
      </w:tr>
      <w:tr w14:paraId="3C8FC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67" w:type="dxa"/>
            <w:vMerge w:val="continue"/>
            <w:vAlign w:val="center"/>
          </w:tcPr>
          <w:p w14:paraId="5C1DFCED">
            <w:pPr>
              <w:pStyle w:val="33"/>
              <w:rPr>
                <w:color w:val="auto"/>
              </w:rPr>
            </w:pPr>
          </w:p>
        </w:tc>
        <w:tc>
          <w:tcPr>
            <w:tcW w:w="937" w:type="dxa"/>
            <w:vAlign w:val="center"/>
          </w:tcPr>
          <w:p w14:paraId="057CF52E">
            <w:pPr>
              <w:pStyle w:val="33"/>
              <w:rPr>
                <w:color w:val="auto"/>
              </w:rPr>
            </w:pPr>
            <w:r>
              <w:rPr>
                <w:color w:val="auto"/>
              </w:rPr>
              <w:t>锰</w:t>
            </w:r>
          </w:p>
        </w:tc>
        <w:tc>
          <w:tcPr>
            <w:tcW w:w="1078" w:type="dxa"/>
            <w:vAlign w:val="center"/>
          </w:tcPr>
          <w:p w14:paraId="25D69A76">
            <w:pPr>
              <w:pStyle w:val="33"/>
              <w:rPr>
                <w:color w:val="auto"/>
              </w:rPr>
            </w:pPr>
            <w:r>
              <w:rPr>
                <w:color w:val="auto"/>
              </w:rPr>
              <w:t>监测值</w:t>
            </w:r>
          </w:p>
        </w:tc>
        <w:tc>
          <w:tcPr>
            <w:tcW w:w="1143" w:type="dxa"/>
            <w:vAlign w:val="center"/>
          </w:tcPr>
          <w:p w14:paraId="34F075E9">
            <w:pPr>
              <w:pStyle w:val="33"/>
              <w:rPr>
                <w:color w:val="auto"/>
              </w:rPr>
            </w:pPr>
          </w:p>
        </w:tc>
        <w:tc>
          <w:tcPr>
            <w:tcW w:w="1202" w:type="dxa"/>
            <w:vAlign w:val="center"/>
          </w:tcPr>
          <w:p w14:paraId="07E84BB5">
            <w:pPr>
              <w:pStyle w:val="33"/>
              <w:rPr>
                <w:color w:val="auto"/>
              </w:rPr>
            </w:pPr>
          </w:p>
        </w:tc>
        <w:tc>
          <w:tcPr>
            <w:tcW w:w="1185" w:type="dxa"/>
            <w:vAlign w:val="center"/>
          </w:tcPr>
          <w:p w14:paraId="75AD0CFB">
            <w:pPr>
              <w:pStyle w:val="33"/>
              <w:rPr>
                <w:color w:val="auto"/>
              </w:rPr>
            </w:pPr>
          </w:p>
        </w:tc>
        <w:tc>
          <w:tcPr>
            <w:tcW w:w="1205" w:type="dxa"/>
            <w:vAlign w:val="center"/>
          </w:tcPr>
          <w:p w14:paraId="0AD7FC29">
            <w:pPr>
              <w:pStyle w:val="33"/>
              <w:rPr>
                <w:color w:val="auto"/>
              </w:rPr>
            </w:pPr>
          </w:p>
        </w:tc>
        <w:tc>
          <w:tcPr>
            <w:tcW w:w="1221" w:type="dxa"/>
            <w:vAlign w:val="center"/>
          </w:tcPr>
          <w:p w14:paraId="1AF177DB">
            <w:pPr>
              <w:pStyle w:val="33"/>
              <w:rPr>
                <w:color w:val="auto"/>
              </w:rPr>
            </w:pPr>
          </w:p>
        </w:tc>
      </w:tr>
      <w:tr w14:paraId="2C78E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367" w:type="dxa"/>
            <w:vMerge w:val="continue"/>
            <w:vAlign w:val="center"/>
          </w:tcPr>
          <w:p w14:paraId="71DB0A09">
            <w:pPr>
              <w:pStyle w:val="33"/>
              <w:rPr>
                <w:color w:val="auto"/>
              </w:rPr>
            </w:pPr>
          </w:p>
        </w:tc>
        <w:tc>
          <w:tcPr>
            <w:tcW w:w="937" w:type="dxa"/>
            <w:vAlign w:val="center"/>
          </w:tcPr>
          <w:p w14:paraId="7B1CDE2C">
            <w:pPr>
              <w:pStyle w:val="33"/>
              <w:rPr>
                <w:color w:val="auto"/>
              </w:rPr>
            </w:pPr>
            <w:r>
              <w:rPr>
                <w:color w:val="auto"/>
              </w:rPr>
              <w:t>镍</w:t>
            </w:r>
          </w:p>
        </w:tc>
        <w:tc>
          <w:tcPr>
            <w:tcW w:w="1078" w:type="dxa"/>
            <w:vAlign w:val="center"/>
          </w:tcPr>
          <w:p w14:paraId="1D843533">
            <w:pPr>
              <w:pStyle w:val="33"/>
              <w:rPr>
                <w:color w:val="auto"/>
              </w:rPr>
            </w:pPr>
            <w:r>
              <w:rPr>
                <w:color w:val="auto"/>
              </w:rPr>
              <w:t>监测值</w:t>
            </w:r>
          </w:p>
        </w:tc>
        <w:tc>
          <w:tcPr>
            <w:tcW w:w="1143" w:type="dxa"/>
            <w:vAlign w:val="center"/>
          </w:tcPr>
          <w:p w14:paraId="73F998B3">
            <w:pPr>
              <w:pStyle w:val="33"/>
              <w:rPr>
                <w:color w:val="auto"/>
              </w:rPr>
            </w:pPr>
          </w:p>
        </w:tc>
        <w:tc>
          <w:tcPr>
            <w:tcW w:w="1202" w:type="dxa"/>
            <w:vAlign w:val="center"/>
          </w:tcPr>
          <w:p w14:paraId="49640D8D">
            <w:pPr>
              <w:pStyle w:val="33"/>
              <w:rPr>
                <w:color w:val="auto"/>
              </w:rPr>
            </w:pPr>
          </w:p>
        </w:tc>
        <w:tc>
          <w:tcPr>
            <w:tcW w:w="1185" w:type="dxa"/>
            <w:vAlign w:val="center"/>
          </w:tcPr>
          <w:p w14:paraId="1E68C440">
            <w:pPr>
              <w:pStyle w:val="33"/>
              <w:rPr>
                <w:color w:val="auto"/>
              </w:rPr>
            </w:pPr>
          </w:p>
        </w:tc>
        <w:tc>
          <w:tcPr>
            <w:tcW w:w="1205" w:type="dxa"/>
            <w:vAlign w:val="center"/>
          </w:tcPr>
          <w:p w14:paraId="343D7F8D">
            <w:pPr>
              <w:pStyle w:val="33"/>
              <w:rPr>
                <w:color w:val="auto"/>
              </w:rPr>
            </w:pPr>
          </w:p>
        </w:tc>
        <w:tc>
          <w:tcPr>
            <w:tcW w:w="1221" w:type="dxa"/>
            <w:vAlign w:val="center"/>
          </w:tcPr>
          <w:p w14:paraId="365315D2">
            <w:pPr>
              <w:pStyle w:val="33"/>
              <w:rPr>
                <w:color w:val="auto"/>
              </w:rPr>
            </w:pPr>
          </w:p>
        </w:tc>
      </w:tr>
      <w:tr w14:paraId="32603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07" w:hRule="atLeast"/>
          <w:jc w:val="center"/>
        </w:trPr>
        <w:tc>
          <w:tcPr>
            <w:tcW w:w="1367" w:type="dxa"/>
            <w:vMerge w:val="continue"/>
            <w:vAlign w:val="center"/>
          </w:tcPr>
          <w:p w14:paraId="35F77777">
            <w:pPr>
              <w:pStyle w:val="33"/>
              <w:rPr>
                <w:color w:val="auto"/>
              </w:rPr>
            </w:pPr>
          </w:p>
        </w:tc>
        <w:tc>
          <w:tcPr>
            <w:tcW w:w="937" w:type="dxa"/>
            <w:vAlign w:val="center"/>
          </w:tcPr>
          <w:p w14:paraId="71AEDB9B">
            <w:pPr>
              <w:pStyle w:val="33"/>
              <w:rPr>
                <w:color w:val="auto"/>
              </w:rPr>
            </w:pPr>
            <w:r>
              <w:rPr>
                <w:color w:val="auto"/>
              </w:rPr>
              <w:t>钴</w:t>
            </w:r>
          </w:p>
        </w:tc>
        <w:tc>
          <w:tcPr>
            <w:tcW w:w="1078" w:type="dxa"/>
            <w:vAlign w:val="center"/>
          </w:tcPr>
          <w:p w14:paraId="5C2BBF2B">
            <w:pPr>
              <w:pStyle w:val="33"/>
              <w:rPr>
                <w:color w:val="auto"/>
              </w:rPr>
            </w:pPr>
            <w:r>
              <w:rPr>
                <w:color w:val="auto"/>
              </w:rPr>
              <w:t>监测值</w:t>
            </w:r>
          </w:p>
        </w:tc>
        <w:tc>
          <w:tcPr>
            <w:tcW w:w="1143" w:type="dxa"/>
            <w:vAlign w:val="center"/>
          </w:tcPr>
          <w:p w14:paraId="1551CA30">
            <w:pPr>
              <w:pStyle w:val="33"/>
              <w:rPr>
                <w:color w:val="auto"/>
              </w:rPr>
            </w:pPr>
          </w:p>
        </w:tc>
        <w:tc>
          <w:tcPr>
            <w:tcW w:w="1202" w:type="dxa"/>
            <w:vAlign w:val="center"/>
          </w:tcPr>
          <w:p w14:paraId="7DC646AF">
            <w:pPr>
              <w:pStyle w:val="33"/>
              <w:rPr>
                <w:color w:val="auto"/>
              </w:rPr>
            </w:pPr>
          </w:p>
        </w:tc>
        <w:tc>
          <w:tcPr>
            <w:tcW w:w="1185" w:type="dxa"/>
            <w:vAlign w:val="center"/>
          </w:tcPr>
          <w:p w14:paraId="3A92B111">
            <w:pPr>
              <w:pStyle w:val="33"/>
              <w:rPr>
                <w:color w:val="auto"/>
              </w:rPr>
            </w:pPr>
          </w:p>
        </w:tc>
        <w:tc>
          <w:tcPr>
            <w:tcW w:w="1205" w:type="dxa"/>
            <w:vAlign w:val="center"/>
          </w:tcPr>
          <w:p w14:paraId="289FBF01">
            <w:pPr>
              <w:pStyle w:val="33"/>
              <w:rPr>
                <w:color w:val="auto"/>
              </w:rPr>
            </w:pPr>
          </w:p>
        </w:tc>
        <w:tc>
          <w:tcPr>
            <w:tcW w:w="1221" w:type="dxa"/>
            <w:vAlign w:val="center"/>
          </w:tcPr>
          <w:p w14:paraId="136F5D70">
            <w:pPr>
              <w:pStyle w:val="33"/>
              <w:rPr>
                <w:color w:val="auto"/>
              </w:rPr>
            </w:pPr>
          </w:p>
        </w:tc>
      </w:tr>
    </w:tbl>
    <w:p w14:paraId="5FCB6950">
      <w:pPr>
        <w:ind w:firstLine="0" w:firstLineChars="0"/>
        <w:rPr>
          <w:color w:val="auto"/>
          <w:kern w:val="0"/>
        </w:rPr>
        <w:sectPr>
          <w:pgSz w:w="11906" w:h="16838"/>
          <w:pgMar w:top="1418" w:right="1418" w:bottom="1418" w:left="1418" w:header="851" w:footer="992" w:gutter="0"/>
          <w:cols w:space="425" w:num="1"/>
          <w:docGrid w:type="lines" w:linePitch="312" w:charSpace="0"/>
        </w:sectPr>
      </w:pPr>
    </w:p>
    <w:p w14:paraId="72C2AC00">
      <w:pPr>
        <w:pStyle w:val="7"/>
        <w:rPr>
          <w:color w:val="auto"/>
        </w:rPr>
      </w:pPr>
      <w:r>
        <w:rPr>
          <w:color w:val="auto"/>
        </w:rPr>
        <w:t>沉积物环境监测结果</w:t>
      </w:r>
    </w:p>
    <w:tbl>
      <w:tblPr>
        <w:tblStyle w:val="26"/>
        <w:tblW w:w="51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1255"/>
        <w:gridCol w:w="982"/>
        <w:gridCol w:w="1751"/>
        <w:gridCol w:w="945"/>
        <w:gridCol w:w="945"/>
        <w:gridCol w:w="945"/>
        <w:gridCol w:w="945"/>
        <w:gridCol w:w="945"/>
        <w:gridCol w:w="945"/>
        <w:gridCol w:w="945"/>
        <w:gridCol w:w="945"/>
        <w:gridCol w:w="945"/>
        <w:gridCol w:w="945"/>
        <w:gridCol w:w="975"/>
      </w:tblGrid>
      <w:tr w14:paraId="4CAD6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tblHeader/>
          <w:jc w:val="center"/>
        </w:trPr>
        <w:tc>
          <w:tcPr>
            <w:tcW w:w="435" w:type="pct"/>
            <w:vMerge w:val="restart"/>
            <w:vAlign w:val="center"/>
          </w:tcPr>
          <w:p w14:paraId="59CCA76E">
            <w:pPr>
              <w:pStyle w:val="33"/>
              <w:rPr>
                <w:color w:val="auto"/>
              </w:rPr>
            </w:pPr>
            <w:r>
              <w:rPr>
                <w:color w:val="auto"/>
              </w:rPr>
              <w:t>监测时间</w:t>
            </w:r>
          </w:p>
        </w:tc>
        <w:tc>
          <w:tcPr>
            <w:tcW w:w="340" w:type="pct"/>
            <w:vMerge w:val="restart"/>
            <w:vAlign w:val="center"/>
          </w:tcPr>
          <w:p w14:paraId="1B401615">
            <w:pPr>
              <w:pStyle w:val="33"/>
              <w:rPr>
                <w:color w:val="auto"/>
              </w:rPr>
            </w:pPr>
            <w:r>
              <w:rPr>
                <w:color w:val="auto"/>
              </w:rPr>
              <w:t>监测点位</w:t>
            </w:r>
          </w:p>
        </w:tc>
        <w:tc>
          <w:tcPr>
            <w:tcW w:w="607" w:type="pct"/>
            <w:vMerge w:val="restart"/>
            <w:vAlign w:val="center"/>
          </w:tcPr>
          <w:p w14:paraId="049BE56B">
            <w:pPr>
              <w:pStyle w:val="33"/>
              <w:rPr>
                <w:color w:val="auto"/>
              </w:rPr>
            </w:pPr>
            <w:r>
              <w:rPr>
                <w:color w:val="auto"/>
              </w:rPr>
              <w:t>监测值</w:t>
            </w:r>
          </w:p>
        </w:tc>
        <w:tc>
          <w:tcPr>
            <w:tcW w:w="3617" w:type="pct"/>
            <w:gridSpan w:val="11"/>
            <w:vAlign w:val="center"/>
          </w:tcPr>
          <w:p w14:paraId="6BBCFFC7">
            <w:pPr>
              <w:pStyle w:val="33"/>
              <w:rPr>
                <w:color w:val="auto"/>
              </w:rPr>
            </w:pPr>
            <w:r>
              <w:rPr>
                <w:color w:val="auto"/>
              </w:rPr>
              <w:t>监测结果</w:t>
            </w:r>
          </w:p>
        </w:tc>
      </w:tr>
      <w:tr w14:paraId="6A300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tblHeader/>
          <w:jc w:val="center"/>
        </w:trPr>
        <w:tc>
          <w:tcPr>
            <w:tcW w:w="435" w:type="pct"/>
            <w:vMerge w:val="continue"/>
            <w:vAlign w:val="center"/>
          </w:tcPr>
          <w:p w14:paraId="32765DDB">
            <w:pPr>
              <w:pStyle w:val="33"/>
              <w:rPr>
                <w:color w:val="auto"/>
              </w:rPr>
            </w:pPr>
          </w:p>
        </w:tc>
        <w:tc>
          <w:tcPr>
            <w:tcW w:w="340" w:type="pct"/>
            <w:vMerge w:val="continue"/>
            <w:vAlign w:val="center"/>
          </w:tcPr>
          <w:p w14:paraId="01FB7839">
            <w:pPr>
              <w:pStyle w:val="33"/>
              <w:rPr>
                <w:color w:val="auto"/>
              </w:rPr>
            </w:pPr>
          </w:p>
        </w:tc>
        <w:tc>
          <w:tcPr>
            <w:tcW w:w="607" w:type="pct"/>
            <w:vMerge w:val="continue"/>
            <w:vAlign w:val="center"/>
          </w:tcPr>
          <w:p w14:paraId="273FD822">
            <w:pPr>
              <w:pStyle w:val="33"/>
              <w:rPr>
                <w:color w:val="auto"/>
              </w:rPr>
            </w:pPr>
          </w:p>
        </w:tc>
        <w:tc>
          <w:tcPr>
            <w:tcW w:w="328" w:type="pct"/>
            <w:vAlign w:val="center"/>
          </w:tcPr>
          <w:p w14:paraId="57535763">
            <w:pPr>
              <w:pStyle w:val="33"/>
              <w:rPr>
                <w:color w:val="auto"/>
              </w:rPr>
            </w:pPr>
            <w:r>
              <w:rPr>
                <w:color w:val="auto"/>
              </w:rPr>
              <w:t>硫化物</w:t>
            </w:r>
          </w:p>
        </w:tc>
        <w:tc>
          <w:tcPr>
            <w:tcW w:w="328" w:type="pct"/>
            <w:vAlign w:val="center"/>
          </w:tcPr>
          <w:p w14:paraId="334C42F0">
            <w:pPr>
              <w:pStyle w:val="33"/>
              <w:rPr>
                <w:color w:val="auto"/>
              </w:rPr>
            </w:pPr>
            <w:r>
              <w:rPr>
                <w:color w:val="auto"/>
              </w:rPr>
              <w:t>石油类</w:t>
            </w:r>
          </w:p>
        </w:tc>
        <w:tc>
          <w:tcPr>
            <w:tcW w:w="328" w:type="pct"/>
            <w:vAlign w:val="center"/>
          </w:tcPr>
          <w:p w14:paraId="0FB0C017">
            <w:pPr>
              <w:pStyle w:val="33"/>
              <w:rPr>
                <w:color w:val="auto"/>
              </w:rPr>
            </w:pPr>
            <w:r>
              <w:rPr>
                <w:color w:val="auto"/>
              </w:rPr>
              <w:t>有机碳</w:t>
            </w:r>
          </w:p>
        </w:tc>
        <w:tc>
          <w:tcPr>
            <w:tcW w:w="328" w:type="pct"/>
            <w:vAlign w:val="center"/>
          </w:tcPr>
          <w:p w14:paraId="0AC5F01A">
            <w:pPr>
              <w:pStyle w:val="33"/>
              <w:rPr>
                <w:color w:val="auto"/>
              </w:rPr>
            </w:pPr>
            <w:r>
              <w:rPr>
                <w:color w:val="auto"/>
              </w:rPr>
              <w:t>总汞</w:t>
            </w:r>
          </w:p>
        </w:tc>
        <w:tc>
          <w:tcPr>
            <w:tcW w:w="328" w:type="pct"/>
            <w:vAlign w:val="center"/>
          </w:tcPr>
          <w:p w14:paraId="6698BC55">
            <w:pPr>
              <w:pStyle w:val="33"/>
              <w:rPr>
                <w:color w:val="auto"/>
              </w:rPr>
            </w:pPr>
            <w:r>
              <w:rPr>
                <w:color w:val="auto"/>
              </w:rPr>
              <w:t>铜</w:t>
            </w:r>
          </w:p>
        </w:tc>
        <w:tc>
          <w:tcPr>
            <w:tcW w:w="328" w:type="pct"/>
            <w:vAlign w:val="center"/>
          </w:tcPr>
          <w:p w14:paraId="0C7DED23">
            <w:pPr>
              <w:pStyle w:val="33"/>
              <w:rPr>
                <w:color w:val="auto"/>
              </w:rPr>
            </w:pPr>
            <w:r>
              <w:rPr>
                <w:color w:val="auto"/>
              </w:rPr>
              <w:t>铅</w:t>
            </w:r>
          </w:p>
        </w:tc>
        <w:tc>
          <w:tcPr>
            <w:tcW w:w="328" w:type="pct"/>
            <w:vAlign w:val="center"/>
          </w:tcPr>
          <w:p w14:paraId="55FF0C8A">
            <w:pPr>
              <w:pStyle w:val="33"/>
              <w:rPr>
                <w:color w:val="auto"/>
              </w:rPr>
            </w:pPr>
            <w:r>
              <w:rPr>
                <w:color w:val="auto"/>
              </w:rPr>
              <w:t>镉</w:t>
            </w:r>
          </w:p>
        </w:tc>
        <w:tc>
          <w:tcPr>
            <w:tcW w:w="328" w:type="pct"/>
            <w:vAlign w:val="center"/>
          </w:tcPr>
          <w:p w14:paraId="3490E625">
            <w:pPr>
              <w:pStyle w:val="33"/>
              <w:rPr>
                <w:color w:val="auto"/>
              </w:rPr>
            </w:pPr>
            <w:r>
              <w:rPr>
                <w:color w:val="auto"/>
              </w:rPr>
              <w:t>锌</w:t>
            </w:r>
          </w:p>
        </w:tc>
        <w:tc>
          <w:tcPr>
            <w:tcW w:w="328" w:type="pct"/>
            <w:vAlign w:val="center"/>
          </w:tcPr>
          <w:p w14:paraId="35D9F561">
            <w:pPr>
              <w:pStyle w:val="33"/>
              <w:rPr>
                <w:color w:val="auto"/>
              </w:rPr>
            </w:pPr>
            <w:r>
              <w:rPr>
                <w:color w:val="auto"/>
              </w:rPr>
              <w:t>铬</w:t>
            </w:r>
          </w:p>
        </w:tc>
        <w:tc>
          <w:tcPr>
            <w:tcW w:w="328" w:type="pct"/>
            <w:vAlign w:val="center"/>
          </w:tcPr>
          <w:p w14:paraId="05A75F36">
            <w:pPr>
              <w:pStyle w:val="33"/>
              <w:rPr>
                <w:color w:val="auto"/>
              </w:rPr>
            </w:pPr>
            <w:r>
              <w:rPr>
                <w:color w:val="auto"/>
              </w:rPr>
              <w:t>砷</w:t>
            </w:r>
          </w:p>
        </w:tc>
        <w:tc>
          <w:tcPr>
            <w:tcW w:w="338" w:type="pct"/>
            <w:vAlign w:val="center"/>
          </w:tcPr>
          <w:p w14:paraId="00FC4D59">
            <w:pPr>
              <w:pStyle w:val="33"/>
              <w:rPr>
                <w:color w:val="auto"/>
              </w:rPr>
            </w:pPr>
            <w:r>
              <w:rPr>
                <w:color w:val="auto"/>
              </w:rPr>
              <w:t>镍</w:t>
            </w:r>
          </w:p>
        </w:tc>
      </w:tr>
      <w:tr w14:paraId="70752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tblHeader/>
          <w:jc w:val="center"/>
        </w:trPr>
        <w:tc>
          <w:tcPr>
            <w:tcW w:w="435" w:type="pct"/>
            <w:vMerge w:val="continue"/>
            <w:vAlign w:val="center"/>
          </w:tcPr>
          <w:p w14:paraId="4EBD72D0">
            <w:pPr>
              <w:pStyle w:val="33"/>
              <w:rPr>
                <w:color w:val="auto"/>
              </w:rPr>
            </w:pPr>
          </w:p>
        </w:tc>
        <w:tc>
          <w:tcPr>
            <w:tcW w:w="340" w:type="pct"/>
            <w:vMerge w:val="continue"/>
            <w:vAlign w:val="center"/>
          </w:tcPr>
          <w:p w14:paraId="54EA6B81">
            <w:pPr>
              <w:pStyle w:val="33"/>
              <w:rPr>
                <w:color w:val="auto"/>
              </w:rPr>
            </w:pPr>
          </w:p>
        </w:tc>
        <w:tc>
          <w:tcPr>
            <w:tcW w:w="607" w:type="pct"/>
            <w:vMerge w:val="continue"/>
            <w:vAlign w:val="center"/>
          </w:tcPr>
          <w:p w14:paraId="402B1AD1">
            <w:pPr>
              <w:pStyle w:val="33"/>
              <w:rPr>
                <w:color w:val="auto"/>
              </w:rPr>
            </w:pPr>
          </w:p>
        </w:tc>
        <w:tc>
          <w:tcPr>
            <w:tcW w:w="328" w:type="pct"/>
            <w:vAlign w:val="center"/>
          </w:tcPr>
          <w:p w14:paraId="50B08D6E">
            <w:pPr>
              <w:pStyle w:val="33"/>
              <w:rPr>
                <w:color w:val="auto"/>
              </w:rPr>
            </w:pPr>
            <w:r>
              <w:rPr>
                <w:color w:val="auto"/>
              </w:rPr>
              <w:t>mg/kg</w:t>
            </w:r>
          </w:p>
        </w:tc>
        <w:tc>
          <w:tcPr>
            <w:tcW w:w="328" w:type="pct"/>
            <w:vAlign w:val="center"/>
          </w:tcPr>
          <w:p w14:paraId="202E9612">
            <w:pPr>
              <w:pStyle w:val="33"/>
              <w:rPr>
                <w:color w:val="auto"/>
              </w:rPr>
            </w:pPr>
            <w:r>
              <w:rPr>
                <w:color w:val="auto"/>
              </w:rPr>
              <w:t>mg/kg</w:t>
            </w:r>
          </w:p>
        </w:tc>
        <w:tc>
          <w:tcPr>
            <w:tcW w:w="328" w:type="pct"/>
            <w:vAlign w:val="center"/>
          </w:tcPr>
          <w:p w14:paraId="363FF39A">
            <w:pPr>
              <w:pStyle w:val="33"/>
              <w:rPr>
                <w:color w:val="auto"/>
              </w:rPr>
            </w:pPr>
            <w:r>
              <w:rPr>
                <w:color w:val="auto"/>
              </w:rPr>
              <w:t>%</w:t>
            </w:r>
          </w:p>
        </w:tc>
        <w:tc>
          <w:tcPr>
            <w:tcW w:w="328" w:type="pct"/>
            <w:vAlign w:val="center"/>
          </w:tcPr>
          <w:p w14:paraId="4E71243A">
            <w:pPr>
              <w:pStyle w:val="33"/>
              <w:rPr>
                <w:color w:val="auto"/>
              </w:rPr>
            </w:pPr>
            <w:r>
              <w:rPr>
                <w:color w:val="auto"/>
              </w:rPr>
              <w:t>mg/kg</w:t>
            </w:r>
          </w:p>
        </w:tc>
        <w:tc>
          <w:tcPr>
            <w:tcW w:w="328" w:type="pct"/>
            <w:vAlign w:val="center"/>
          </w:tcPr>
          <w:p w14:paraId="65879145">
            <w:pPr>
              <w:pStyle w:val="33"/>
              <w:rPr>
                <w:color w:val="auto"/>
              </w:rPr>
            </w:pPr>
            <w:r>
              <w:rPr>
                <w:color w:val="auto"/>
              </w:rPr>
              <w:t>mg/kg</w:t>
            </w:r>
          </w:p>
        </w:tc>
        <w:tc>
          <w:tcPr>
            <w:tcW w:w="328" w:type="pct"/>
            <w:vAlign w:val="center"/>
          </w:tcPr>
          <w:p w14:paraId="1CDCF9DB">
            <w:pPr>
              <w:pStyle w:val="33"/>
              <w:rPr>
                <w:color w:val="auto"/>
              </w:rPr>
            </w:pPr>
            <w:r>
              <w:rPr>
                <w:color w:val="auto"/>
              </w:rPr>
              <w:t>mg/kg</w:t>
            </w:r>
          </w:p>
        </w:tc>
        <w:tc>
          <w:tcPr>
            <w:tcW w:w="328" w:type="pct"/>
            <w:vAlign w:val="center"/>
          </w:tcPr>
          <w:p w14:paraId="646A0EB6">
            <w:pPr>
              <w:pStyle w:val="33"/>
              <w:rPr>
                <w:color w:val="auto"/>
              </w:rPr>
            </w:pPr>
            <w:r>
              <w:rPr>
                <w:color w:val="auto"/>
              </w:rPr>
              <w:t>mg/kg</w:t>
            </w:r>
          </w:p>
        </w:tc>
        <w:tc>
          <w:tcPr>
            <w:tcW w:w="328" w:type="pct"/>
            <w:vAlign w:val="center"/>
          </w:tcPr>
          <w:p w14:paraId="53C3593F">
            <w:pPr>
              <w:pStyle w:val="33"/>
              <w:rPr>
                <w:color w:val="auto"/>
              </w:rPr>
            </w:pPr>
            <w:r>
              <w:rPr>
                <w:color w:val="auto"/>
              </w:rPr>
              <w:t>mg/kg</w:t>
            </w:r>
          </w:p>
        </w:tc>
        <w:tc>
          <w:tcPr>
            <w:tcW w:w="328" w:type="pct"/>
            <w:vAlign w:val="center"/>
          </w:tcPr>
          <w:p w14:paraId="0843ACC4">
            <w:pPr>
              <w:pStyle w:val="33"/>
              <w:rPr>
                <w:color w:val="auto"/>
              </w:rPr>
            </w:pPr>
            <w:r>
              <w:rPr>
                <w:color w:val="auto"/>
              </w:rPr>
              <w:t>mg/kg</w:t>
            </w:r>
          </w:p>
        </w:tc>
        <w:tc>
          <w:tcPr>
            <w:tcW w:w="328" w:type="pct"/>
            <w:vAlign w:val="center"/>
          </w:tcPr>
          <w:p w14:paraId="27479DBE">
            <w:pPr>
              <w:pStyle w:val="33"/>
              <w:rPr>
                <w:color w:val="auto"/>
              </w:rPr>
            </w:pPr>
            <w:r>
              <w:rPr>
                <w:color w:val="auto"/>
              </w:rPr>
              <w:t>mg/kg</w:t>
            </w:r>
          </w:p>
        </w:tc>
        <w:tc>
          <w:tcPr>
            <w:tcW w:w="338" w:type="pct"/>
            <w:vAlign w:val="center"/>
          </w:tcPr>
          <w:p w14:paraId="017B40E4">
            <w:pPr>
              <w:pStyle w:val="33"/>
              <w:rPr>
                <w:color w:val="auto"/>
              </w:rPr>
            </w:pPr>
            <w:r>
              <w:rPr>
                <w:color w:val="auto"/>
              </w:rPr>
              <w:t>mg/kg</w:t>
            </w:r>
          </w:p>
        </w:tc>
      </w:tr>
      <w:tr w14:paraId="5EB5F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435" w:type="pct"/>
            <w:vMerge w:val="restart"/>
            <w:vAlign w:val="center"/>
          </w:tcPr>
          <w:p w14:paraId="5A5FEDC1">
            <w:pPr>
              <w:pStyle w:val="33"/>
              <w:rPr>
                <w:color w:val="auto"/>
              </w:rPr>
            </w:pPr>
            <w:r>
              <w:rPr>
                <w:color w:val="auto"/>
              </w:rPr>
              <w:t>2024年7月27日-8月6日</w:t>
            </w:r>
          </w:p>
        </w:tc>
        <w:tc>
          <w:tcPr>
            <w:tcW w:w="340" w:type="pct"/>
            <w:vMerge w:val="restart"/>
            <w:vAlign w:val="center"/>
          </w:tcPr>
          <w:p w14:paraId="2D30F189">
            <w:pPr>
              <w:pStyle w:val="33"/>
              <w:rPr>
                <w:color w:val="auto"/>
              </w:rPr>
            </w:pPr>
            <w:r>
              <w:rPr>
                <w:color w:val="auto"/>
              </w:rPr>
              <w:t>GX002</w:t>
            </w:r>
          </w:p>
        </w:tc>
        <w:tc>
          <w:tcPr>
            <w:tcW w:w="607" w:type="pct"/>
            <w:vAlign w:val="center"/>
          </w:tcPr>
          <w:p w14:paraId="49AEE83D">
            <w:pPr>
              <w:pStyle w:val="33"/>
              <w:rPr>
                <w:color w:val="auto"/>
              </w:rPr>
            </w:pPr>
            <w:r>
              <w:rPr>
                <w:color w:val="auto"/>
              </w:rPr>
              <w:t>监测值</w:t>
            </w:r>
          </w:p>
        </w:tc>
        <w:tc>
          <w:tcPr>
            <w:tcW w:w="328" w:type="pct"/>
            <w:vAlign w:val="center"/>
          </w:tcPr>
          <w:p w14:paraId="56105356">
            <w:pPr>
              <w:pStyle w:val="33"/>
              <w:rPr>
                <w:color w:val="auto"/>
              </w:rPr>
            </w:pPr>
          </w:p>
        </w:tc>
        <w:tc>
          <w:tcPr>
            <w:tcW w:w="328" w:type="pct"/>
            <w:vAlign w:val="center"/>
          </w:tcPr>
          <w:p w14:paraId="4B59E8A7">
            <w:pPr>
              <w:pStyle w:val="33"/>
              <w:rPr>
                <w:color w:val="auto"/>
              </w:rPr>
            </w:pPr>
          </w:p>
        </w:tc>
        <w:tc>
          <w:tcPr>
            <w:tcW w:w="328" w:type="pct"/>
            <w:vAlign w:val="center"/>
          </w:tcPr>
          <w:p w14:paraId="533F2369">
            <w:pPr>
              <w:pStyle w:val="33"/>
              <w:rPr>
                <w:color w:val="auto"/>
              </w:rPr>
            </w:pPr>
          </w:p>
        </w:tc>
        <w:tc>
          <w:tcPr>
            <w:tcW w:w="328" w:type="pct"/>
            <w:vAlign w:val="center"/>
          </w:tcPr>
          <w:p w14:paraId="383E5DB2">
            <w:pPr>
              <w:pStyle w:val="33"/>
              <w:rPr>
                <w:color w:val="auto"/>
              </w:rPr>
            </w:pPr>
          </w:p>
        </w:tc>
        <w:tc>
          <w:tcPr>
            <w:tcW w:w="328" w:type="pct"/>
            <w:vAlign w:val="center"/>
          </w:tcPr>
          <w:p w14:paraId="4B9D3461">
            <w:pPr>
              <w:pStyle w:val="33"/>
              <w:rPr>
                <w:color w:val="auto"/>
              </w:rPr>
            </w:pPr>
          </w:p>
        </w:tc>
        <w:tc>
          <w:tcPr>
            <w:tcW w:w="328" w:type="pct"/>
            <w:vAlign w:val="center"/>
          </w:tcPr>
          <w:p w14:paraId="68EF4859">
            <w:pPr>
              <w:pStyle w:val="33"/>
              <w:rPr>
                <w:color w:val="auto"/>
              </w:rPr>
            </w:pPr>
          </w:p>
        </w:tc>
        <w:tc>
          <w:tcPr>
            <w:tcW w:w="328" w:type="pct"/>
            <w:vAlign w:val="center"/>
          </w:tcPr>
          <w:p w14:paraId="3EB779BD">
            <w:pPr>
              <w:pStyle w:val="33"/>
              <w:rPr>
                <w:color w:val="auto"/>
              </w:rPr>
            </w:pPr>
          </w:p>
        </w:tc>
        <w:tc>
          <w:tcPr>
            <w:tcW w:w="328" w:type="pct"/>
            <w:vAlign w:val="center"/>
          </w:tcPr>
          <w:p w14:paraId="1FC627B8">
            <w:pPr>
              <w:pStyle w:val="33"/>
              <w:rPr>
                <w:color w:val="auto"/>
              </w:rPr>
            </w:pPr>
          </w:p>
        </w:tc>
        <w:tc>
          <w:tcPr>
            <w:tcW w:w="328" w:type="pct"/>
            <w:vAlign w:val="center"/>
          </w:tcPr>
          <w:p w14:paraId="0FEE9271">
            <w:pPr>
              <w:pStyle w:val="33"/>
              <w:rPr>
                <w:color w:val="auto"/>
              </w:rPr>
            </w:pPr>
          </w:p>
        </w:tc>
        <w:tc>
          <w:tcPr>
            <w:tcW w:w="328" w:type="pct"/>
            <w:vAlign w:val="center"/>
          </w:tcPr>
          <w:p w14:paraId="4E74AF4C">
            <w:pPr>
              <w:pStyle w:val="33"/>
              <w:rPr>
                <w:color w:val="auto"/>
              </w:rPr>
            </w:pPr>
          </w:p>
        </w:tc>
        <w:tc>
          <w:tcPr>
            <w:tcW w:w="338" w:type="pct"/>
            <w:vAlign w:val="center"/>
          </w:tcPr>
          <w:p w14:paraId="6D75E3ED">
            <w:pPr>
              <w:pStyle w:val="33"/>
              <w:rPr>
                <w:color w:val="auto"/>
              </w:rPr>
            </w:pPr>
          </w:p>
        </w:tc>
      </w:tr>
      <w:tr w14:paraId="13282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 w:hRule="atLeast"/>
          <w:jc w:val="center"/>
        </w:trPr>
        <w:tc>
          <w:tcPr>
            <w:tcW w:w="435" w:type="pct"/>
            <w:vMerge w:val="continue"/>
            <w:vAlign w:val="center"/>
          </w:tcPr>
          <w:p w14:paraId="068AA9E5">
            <w:pPr>
              <w:pStyle w:val="33"/>
              <w:rPr>
                <w:color w:val="auto"/>
              </w:rPr>
            </w:pPr>
          </w:p>
        </w:tc>
        <w:tc>
          <w:tcPr>
            <w:tcW w:w="340" w:type="pct"/>
            <w:vMerge w:val="continue"/>
            <w:vAlign w:val="center"/>
          </w:tcPr>
          <w:p w14:paraId="10A45A4F">
            <w:pPr>
              <w:pStyle w:val="33"/>
              <w:rPr>
                <w:color w:val="auto"/>
              </w:rPr>
            </w:pPr>
          </w:p>
        </w:tc>
        <w:tc>
          <w:tcPr>
            <w:tcW w:w="607" w:type="pct"/>
            <w:vAlign w:val="center"/>
          </w:tcPr>
          <w:p w14:paraId="0C29514F">
            <w:pPr>
              <w:pStyle w:val="33"/>
              <w:rPr>
                <w:color w:val="auto"/>
              </w:rPr>
            </w:pPr>
            <w:r>
              <w:rPr>
                <w:rFonts w:hint="eastAsia"/>
                <w:color w:val="auto"/>
              </w:rPr>
              <w:t>标准限值</w:t>
            </w:r>
          </w:p>
        </w:tc>
        <w:tc>
          <w:tcPr>
            <w:tcW w:w="328" w:type="pct"/>
            <w:vAlign w:val="center"/>
          </w:tcPr>
          <w:p w14:paraId="2820F78D">
            <w:pPr>
              <w:pStyle w:val="33"/>
              <w:rPr>
                <w:color w:val="auto"/>
              </w:rPr>
            </w:pPr>
          </w:p>
        </w:tc>
        <w:tc>
          <w:tcPr>
            <w:tcW w:w="328" w:type="pct"/>
            <w:vAlign w:val="center"/>
          </w:tcPr>
          <w:p w14:paraId="13C5AA60">
            <w:pPr>
              <w:pStyle w:val="33"/>
              <w:rPr>
                <w:color w:val="auto"/>
              </w:rPr>
            </w:pPr>
          </w:p>
        </w:tc>
        <w:tc>
          <w:tcPr>
            <w:tcW w:w="328" w:type="pct"/>
            <w:vAlign w:val="center"/>
          </w:tcPr>
          <w:p w14:paraId="2125E9A9">
            <w:pPr>
              <w:pStyle w:val="33"/>
              <w:rPr>
                <w:color w:val="auto"/>
              </w:rPr>
            </w:pPr>
          </w:p>
        </w:tc>
        <w:tc>
          <w:tcPr>
            <w:tcW w:w="328" w:type="pct"/>
            <w:vAlign w:val="center"/>
          </w:tcPr>
          <w:p w14:paraId="4681C87E">
            <w:pPr>
              <w:pStyle w:val="33"/>
              <w:rPr>
                <w:color w:val="auto"/>
              </w:rPr>
            </w:pPr>
          </w:p>
        </w:tc>
        <w:tc>
          <w:tcPr>
            <w:tcW w:w="328" w:type="pct"/>
            <w:vAlign w:val="center"/>
          </w:tcPr>
          <w:p w14:paraId="7BF56A47">
            <w:pPr>
              <w:pStyle w:val="33"/>
              <w:rPr>
                <w:color w:val="auto"/>
              </w:rPr>
            </w:pPr>
          </w:p>
        </w:tc>
        <w:tc>
          <w:tcPr>
            <w:tcW w:w="328" w:type="pct"/>
            <w:vAlign w:val="center"/>
          </w:tcPr>
          <w:p w14:paraId="10FB2433">
            <w:pPr>
              <w:pStyle w:val="33"/>
              <w:rPr>
                <w:color w:val="auto"/>
              </w:rPr>
            </w:pPr>
          </w:p>
        </w:tc>
        <w:tc>
          <w:tcPr>
            <w:tcW w:w="328" w:type="pct"/>
            <w:vAlign w:val="center"/>
          </w:tcPr>
          <w:p w14:paraId="0DA87C7E">
            <w:pPr>
              <w:pStyle w:val="33"/>
              <w:rPr>
                <w:color w:val="auto"/>
              </w:rPr>
            </w:pPr>
          </w:p>
        </w:tc>
        <w:tc>
          <w:tcPr>
            <w:tcW w:w="328" w:type="pct"/>
            <w:vAlign w:val="center"/>
          </w:tcPr>
          <w:p w14:paraId="13BC9796">
            <w:pPr>
              <w:pStyle w:val="33"/>
              <w:rPr>
                <w:color w:val="auto"/>
              </w:rPr>
            </w:pPr>
          </w:p>
        </w:tc>
        <w:tc>
          <w:tcPr>
            <w:tcW w:w="328" w:type="pct"/>
            <w:vAlign w:val="center"/>
          </w:tcPr>
          <w:p w14:paraId="4510169B">
            <w:pPr>
              <w:pStyle w:val="33"/>
              <w:rPr>
                <w:color w:val="auto"/>
              </w:rPr>
            </w:pPr>
          </w:p>
        </w:tc>
        <w:tc>
          <w:tcPr>
            <w:tcW w:w="328" w:type="pct"/>
            <w:vAlign w:val="center"/>
          </w:tcPr>
          <w:p w14:paraId="15400C3B">
            <w:pPr>
              <w:pStyle w:val="33"/>
              <w:rPr>
                <w:color w:val="auto"/>
              </w:rPr>
            </w:pPr>
          </w:p>
        </w:tc>
        <w:tc>
          <w:tcPr>
            <w:tcW w:w="338" w:type="pct"/>
            <w:vAlign w:val="center"/>
          </w:tcPr>
          <w:p w14:paraId="5521F7B1">
            <w:pPr>
              <w:pStyle w:val="33"/>
              <w:rPr>
                <w:color w:val="auto"/>
              </w:rPr>
            </w:pPr>
          </w:p>
        </w:tc>
      </w:tr>
      <w:tr w14:paraId="3A3EA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435" w:type="pct"/>
            <w:vMerge w:val="continue"/>
            <w:vAlign w:val="center"/>
          </w:tcPr>
          <w:p w14:paraId="07608654">
            <w:pPr>
              <w:pStyle w:val="33"/>
              <w:rPr>
                <w:color w:val="auto"/>
              </w:rPr>
            </w:pPr>
          </w:p>
        </w:tc>
        <w:tc>
          <w:tcPr>
            <w:tcW w:w="340" w:type="pct"/>
            <w:vMerge w:val="continue"/>
            <w:vAlign w:val="center"/>
          </w:tcPr>
          <w:p w14:paraId="1D0DF393">
            <w:pPr>
              <w:pStyle w:val="33"/>
              <w:rPr>
                <w:color w:val="auto"/>
              </w:rPr>
            </w:pPr>
          </w:p>
        </w:tc>
        <w:tc>
          <w:tcPr>
            <w:tcW w:w="607" w:type="pct"/>
            <w:vAlign w:val="center"/>
          </w:tcPr>
          <w:p w14:paraId="3B460493">
            <w:pPr>
              <w:pStyle w:val="33"/>
              <w:rPr>
                <w:color w:val="auto"/>
              </w:rPr>
            </w:pPr>
            <w:r>
              <w:rPr>
                <w:color w:val="auto"/>
              </w:rPr>
              <w:t>Pi值</w:t>
            </w:r>
          </w:p>
        </w:tc>
        <w:tc>
          <w:tcPr>
            <w:tcW w:w="328" w:type="pct"/>
            <w:vAlign w:val="center"/>
          </w:tcPr>
          <w:p w14:paraId="082A61C2">
            <w:pPr>
              <w:pStyle w:val="33"/>
              <w:rPr>
                <w:color w:val="auto"/>
              </w:rPr>
            </w:pPr>
          </w:p>
        </w:tc>
        <w:tc>
          <w:tcPr>
            <w:tcW w:w="328" w:type="pct"/>
            <w:vAlign w:val="center"/>
          </w:tcPr>
          <w:p w14:paraId="5CF50799">
            <w:pPr>
              <w:pStyle w:val="33"/>
              <w:rPr>
                <w:color w:val="auto"/>
              </w:rPr>
            </w:pPr>
          </w:p>
        </w:tc>
        <w:tc>
          <w:tcPr>
            <w:tcW w:w="328" w:type="pct"/>
            <w:vAlign w:val="center"/>
          </w:tcPr>
          <w:p w14:paraId="3F31544B">
            <w:pPr>
              <w:pStyle w:val="33"/>
              <w:rPr>
                <w:color w:val="auto"/>
              </w:rPr>
            </w:pPr>
          </w:p>
        </w:tc>
        <w:tc>
          <w:tcPr>
            <w:tcW w:w="328" w:type="pct"/>
            <w:vAlign w:val="center"/>
          </w:tcPr>
          <w:p w14:paraId="627BA7AC">
            <w:pPr>
              <w:pStyle w:val="33"/>
              <w:rPr>
                <w:color w:val="auto"/>
              </w:rPr>
            </w:pPr>
          </w:p>
        </w:tc>
        <w:tc>
          <w:tcPr>
            <w:tcW w:w="328" w:type="pct"/>
            <w:vAlign w:val="center"/>
          </w:tcPr>
          <w:p w14:paraId="3CDC56F0">
            <w:pPr>
              <w:pStyle w:val="33"/>
              <w:rPr>
                <w:color w:val="auto"/>
              </w:rPr>
            </w:pPr>
          </w:p>
        </w:tc>
        <w:tc>
          <w:tcPr>
            <w:tcW w:w="328" w:type="pct"/>
            <w:vAlign w:val="center"/>
          </w:tcPr>
          <w:p w14:paraId="6C000CC7">
            <w:pPr>
              <w:pStyle w:val="33"/>
              <w:rPr>
                <w:color w:val="auto"/>
              </w:rPr>
            </w:pPr>
          </w:p>
        </w:tc>
        <w:tc>
          <w:tcPr>
            <w:tcW w:w="328" w:type="pct"/>
            <w:vAlign w:val="center"/>
          </w:tcPr>
          <w:p w14:paraId="58F71518">
            <w:pPr>
              <w:pStyle w:val="33"/>
              <w:rPr>
                <w:color w:val="auto"/>
              </w:rPr>
            </w:pPr>
          </w:p>
        </w:tc>
        <w:tc>
          <w:tcPr>
            <w:tcW w:w="328" w:type="pct"/>
            <w:vAlign w:val="center"/>
          </w:tcPr>
          <w:p w14:paraId="19F11BA7">
            <w:pPr>
              <w:pStyle w:val="33"/>
              <w:rPr>
                <w:color w:val="auto"/>
              </w:rPr>
            </w:pPr>
          </w:p>
        </w:tc>
        <w:tc>
          <w:tcPr>
            <w:tcW w:w="328" w:type="pct"/>
            <w:vAlign w:val="center"/>
          </w:tcPr>
          <w:p w14:paraId="51BE98A7">
            <w:pPr>
              <w:pStyle w:val="33"/>
              <w:rPr>
                <w:color w:val="auto"/>
              </w:rPr>
            </w:pPr>
          </w:p>
        </w:tc>
        <w:tc>
          <w:tcPr>
            <w:tcW w:w="328" w:type="pct"/>
            <w:vAlign w:val="center"/>
          </w:tcPr>
          <w:p w14:paraId="17F32758">
            <w:pPr>
              <w:pStyle w:val="33"/>
              <w:rPr>
                <w:color w:val="auto"/>
              </w:rPr>
            </w:pPr>
          </w:p>
        </w:tc>
        <w:tc>
          <w:tcPr>
            <w:tcW w:w="338" w:type="pct"/>
            <w:vAlign w:val="center"/>
          </w:tcPr>
          <w:p w14:paraId="66392B4A">
            <w:pPr>
              <w:pStyle w:val="33"/>
              <w:rPr>
                <w:color w:val="auto"/>
              </w:rPr>
            </w:pPr>
          </w:p>
        </w:tc>
      </w:tr>
      <w:tr w14:paraId="7F7DD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435" w:type="pct"/>
            <w:vMerge w:val="continue"/>
            <w:vAlign w:val="center"/>
          </w:tcPr>
          <w:p w14:paraId="113E4E4A">
            <w:pPr>
              <w:pStyle w:val="33"/>
              <w:rPr>
                <w:color w:val="auto"/>
              </w:rPr>
            </w:pPr>
          </w:p>
        </w:tc>
        <w:tc>
          <w:tcPr>
            <w:tcW w:w="340" w:type="pct"/>
            <w:vMerge w:val="continue"/>
            <w:vAlign w:val="center"/>
          </w:tcPr>
          <w:p w14:paraId="1E4E31E5">
            <w:pPr>
              <w:pStyle w:val="33"/>
              <w:rPr>
                <w:color w:val="auto"/>
              </w:rPr>
            </w:pPr>
          </w:p>
        </w:tc>
        <w:tc>
          <w:tcPr>
            <w:tcW w:w="607" w:type="pct"/>
            <w:vAlign w:val="center"/>
          </w:tcPr>
          <w:p w14:paraId="38DCDCD5">
            <w:pPr>
              <w:pStyle w:val="33"/>
              <w:rPr>
                <w:color w:val="auto"/>
              </w:rPr>
            </w:pPr>
            <w:r>
              <w:rPr>
                <w:color w:val="auto"/>
              </w:rPr>
              <w:t>超标率</w:t>
            </w:r>
          </w:p>
        </w:tc>
        <w:tc>
          <w:tcPr>
            <w:tcW w:w="328" w:type="pct"/>
            <w:vAlign w:val="center"/>
          </w:tcPr>
          <w:p w14:paraId="0C10AB87">
            <w:pPr>
              <w:pStyle w:val="33"/>
              <w:rPr>
                <w:color w:val="auto"/>
              </w:rPr>
            </w:pPr>
          </w:p>
        </w:tc>
        <w:tc>
          <w:tcPr>
            <w:tcW w:w="328" w:type="pct"/>
            <w:vAlign w:val="center"/>
          </w:tcPr>
          <w:p w14:paraId="76910CD7">
            <w:pPr>
              <w:pStyle w:val="33"/>
              <w:rPr>
                <w:color w:val="auto"/>
              </w:rPr>
            </w:pPr>
          </w:p>
        </w:tc>
        <w:tc>
          <w:tcPr>
            <w:tcW w:w="328" w:type="pct"/>
            <w:vAlign w:val="center"/>
          </w:tcPr>
          <w:p w14:paraId="35A69A27">
            <w:pPr>
              <w:pStyle w:val="33"/>
              <w:rPr>
                <w:color w:val="auto"/>
              </w:rPr>
            </w:pPr>
          </w:p>
        </w:tc>
        <w:tc>
          <w:tcPr>
            <w:tcW w:w="328" w:type="pct"/>
            <w:vAlign w:val="center"/>
          </w:tcPr>
          <w:p w14:paraId="5374A25C">
            <w:pPr>
              <w:pStyle w:val="33"/>
              <w:rPr>
                <w:color w:val="auto"/>
              </w:rPr>
            </w:pPr>
          </w:p>
        </w:tc>
        <w:tc>
          <w:tcPr>
            <w:tcW w:w="328" w:type="pct"/>
            <w:vAlign w:val="center"/>
          </w:tcPr>
          <w:p w14:paraId="3C85753E">
            <w:pPr>
              <w:pStyle w:val="33"/>
              <w:rPr>
                <w:color w:val="auto"/>
              </w:rPr>
            </w:pPr>
          </w:p>
        </w:tc>
        <w:tc>
          <w:tcPr>
            <w:tcW w:w="328" w:type="pct"/>
            <w:vAlign w:val="center"/>
          </w:tcPr>
          <w:p w14:paraId="66EFB2D9">
            <w:pPr>
              <w:pStyle w:val="33"/>
              <w:rPr>
                <w:color w:val="auto"/>
              </w:rPr>
            </w:pPr>
          </w:p>
        </w:tc>
        <w:tc>
          <w:tcPr>
            <w:tcW w:w="328" w:type="pct"/>
            <w:vAlign w:val="center"/>
          </w:tcPr>
          <w:p w14:paraId="14AD1B2E">
            <w:pPr>
              <w:pStyle w:val="33"/>
              <w:rPr>
                <w:color w:val="auto"/>
              </w:rPr>
            </w:pPr>
          </w:p>
        </w:tc>
        <w:tc>
          <w:tcPr>
            <w:tcW w:w="328" w:type="pct"/>
            <w:vAlign w:val="center"/>
          </w:tcPr>
          <w:p w14:paraId="4FF88036">
            <w:pPr>
              <w:pStyle w:val="33"/>
              <w:rPr>
                <w:color w:val="auto"/>
              </w:rPr>
            </w:pPr>
          </w:p>
        </w:tc>
        <w:tc>
          <w:tcPr>
            <w:tcW w:w="328" w:type="pct"/>
            <w:vAlign w:val="center"/>
          </w:tcPr>
          <w:p w14:paraId="0B5B82EB">
            <w:pPr>
              <w:pStyle w:val="33"/>
              <w:rPr>
                <w:color w:val="auto"/>
              </w:rPr>
            </w:pPr>
          </w:p>
        </w:tc>
        <w:tc>
          <w:tcPr>
            <w:tcW w:w="328" w:type="pct"/>
            <w:vAlign w:val="center"/>
          </w:tcPr>
          <w:p w14:paraId="50BA290B">
            <w:pPr>
              <w:pStyle w:val="33"/>
              <w:rPr>
                <w:color w:val="auto"/>
              </w:rPr>
            </w:pPr>
          </w:p>
        </w:tc>
        <w:tc>
          <w:tcPr>
            <w:tcW w:w="338" w:type="pct"/>
            <w:vAlign w:val="center"/>
          </w:tcPr>
          <w:p w14:paraId="10C56344">
            <w:pPr>
              <w:pStyle w:val="33"/>
              <w:rPr>
                <w:color w:val="auto"/>
              </w:rPr>
            </w:pPr>
          </w:p>
        </w:tc>
      </w:tr>
      <w:tr w14:paraId="74A19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435" w:type="pct"/>
            <w:vMerge w:val="continue"/>
            <w:vAlign w:val="center"/>
          </w:tcPr>
          <w:p w14:paraId="1A260732">
            <w:pPr>
              <w:pStyle w:val="33"/>
              <w:rPr>
                <w:color w:val="auto"/>
              </w:rPr>
            </w:pPr>
          </w:p>
        </w:tc>
        <w:tc>
          <w:tcPr>
            <w:tcW w:w="340" w:type="pct"/>
            <w:vMerge w:val="restart"/>
            <w:vAlign w:val="center"/>
          </w:tcPr>
          <w:p w14:paraId="3FEECF86">
            <w:pPr>
              <w:pStyle w:val="33"/>
              <w:rPr>
                <w:color w:val="auto"/>
              </w:rPr>
            </w:pPr>
            <w:r>
              <w:rPr>
                <w:color w:val="auto"/>
              </w:rPr>
              <w:t>GX008</w:t>
            </w:r>
          </w:p>
        </w:tc>
        <w:tc>
          <w:tcPr>
            <w:tcW w:w="607" w:type="pct"/>
            <w:vAlign w:val="center"/>
          </w:tcPr>
          <w:p w14:paraId="479C10A9">
            <w:pPr>
              <w:pStyle w:val="33"/>
              <w:rPr>
                <w:color w:val="auto"/>
              </w:rPr>
            </w:pPr>
            <w:r>
              <w:rPr>
                <w:color w:val="auto"/>
              </w:rPr>
              <w:t>监测值</w:t>
            </w:r>
          </w:p>
        </w:tc>
        <w:tc>
          <w:tcPr>
            <w:tcW w:w="328" w:type="pct"/>
            <w:vAlign w:val="center"/>
          </w:tcPr>
          <w:p w14:paraId="4937FA16">
            <w:pPr>
              <w:pStyle w:val="33"/>
              <w:rPr>
                <w:color w:val="auto"/>
              </w:rPr>
            </w:pPr>
          </w:p>
        </w:tc>
        <w:tc>
          <w:tcPr>
            <w:tcW w:w="328" w:type="pct"/>
            <w:vAlign w:val="center"/>
          </w:tcPr>
          <w:p w14:paraId="0381FDE8">
            <w:pPr>
              <w:pStyle w:val="33"/>
              <w:rPr>
                <w:color w:val="auto"/>
              </w:rPr>
            </w:pPr>
          </w:p>
        </w:tc>
        <w:tc>
          <w:tcPr>
            <w:tcW w:w="328" w:type="pct"/>
            <w:vAlign w:val="center"/>
          </w:tcPr>
          <w:p w14:paraId="2CF64D94">
            <w:pPr>
              <w:pStyle w:val="33"/>
              <w:rPr>
                <w:color w:val="auto"/>
              </w:rPr>
            </w:pPr>
          </w:p>
        </w:tc>
        <w:tc>
          <w:tcPr>
            <w:tcW w:w="328" w:type="pct"/>
            <w:vAlign w:val="center"/>
          </w:tcPr>
          <w:p w14:paraId="000AE543">
            <w:pPr>
              <w:pStyle w:val="33"/>
              <w:rPr>
                <w:color w:val="auto"/>
              </w:rPr>
            </w:pPr>
          </w:p>
        </w:tc>
        <w:tc>
          <w:tcPr>
            <w:tcW w:w="328" w:type="pct"/>
            <w:vAlign w:val="center"/>
          </w:tcPr>
          <w:p w14:paraId="3D09DB2F">
            <w:pPr>
              <w:pStyle w:val="33"/>
              <w:rPr>
                <w:color w:val="auto"/>
              </w:rPr>
            </w:pPr>
          </w:p>
        </w:tc>
        <w:tc>
          <w:tcPr>
            <w:tcW w:w="328" w:type="pct"/>
            <w:vAlign w:val="center"/>
          </w:tcPr>
          <w:p w14:paraId="3E2A7B7C">
            <w:pPr>
              <w:pStyle w:val="33"/>
              <w:rPr>
                <w:color w:val="auto"/>
              </w:rPr>
            </w:pPr>
          </w:p>
        </w:tc>
        <w:tc>
          <w:tcPr>
            <w:tcW w:w="328" w:type="pct"/>
            <w:vAlign w:val="center"/>
          </w:tcPr>
          <w:p w14:paraId="7ED00A40">
            <w:pPr>
              <w:pStyle w:val="33"/>
              <w:rPr>
                <w:color w:val="auto"/>
              </w:rPr>
            </w:pPr>
          </w:p>
        </w:tc>
        <w:tc>
          <w:tcPr>
            <w:tcW w:w="328" w:type="pct"/>
            <w:vAlign w:val="center"/>
          </w:tcPr>
          <w:p w14:paraId="0E264106">
            <w:pPr>
              <w:pStyle w:val="33"/>
              <w:rPr>
                <w:color w:val="auto"/>
              </w:rPr>
            </w:pPr>
          </w:p>
        </w:tc>
        <w:tc>
          <w:tcPr>
            <w:tcW w:w="328" w:type="pct"/>
            <w:vAlign w:val="center"/>
          </w:tcPr>
          <w:p w14:paraId="6C993BC0">
            <w:pPr>
              <w:pStyle w:val="33"/>
              <w:rPr>
                <w:color w:val="auto"/>
              </w:rPr>
            </w:pPr>
          </w:p>
        </w:tc>
        <w:tc>
          <w:tcPr>
            <w:tcW w:w="328" w:type="pct"/>
            <w:vAlign w:val="center"/>
          </w:tcPr>
          <w:p w14:paraId="4D9613E9">
            <w:pPr>
              <w:pStyle w:val="33"/>
              <w:rPr>
                <w:color w:val="auto"/>
              </w:rPr>
            </w:pPr>
          </w:p>
        </w:tc>
        <w:tc>
          <w:tcPr>
            <w:tcW w:w="338" w:type="pct"/>
            <w:vAlign w:val="center"/>
          </w:tcPr>
          <w:p w14:paraId="11869F80">
            <w:pPr>
              <w:pStyle w:val="33"/>
              <w:rPr>
                <w:color w:val="auto"/>
              </w:rPr>
            </w:pPr>
          </w:p>
        </w:tc>
      </w:tr>
      <w:tr w14:paraId="07039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8" w:hRule="atLeast"/>
          <w:jc w:val="center"/>
        </w:trPr>
        <w:tc>
          <w:tcPr>
            <w:tcW w:w="435" w:type="pct"/>
            <w:vMerge w:val="continue"/>
            <w:vAlign w:val="center"/>
          </w:tcPr>
          <w:p w14:paraId="76AD8EB9">
            <w:pPr>
              <w:pStyle w:val="33"/>
              <w:rPr>
                <w:color w:val="auto"/>
              </w:rPr>
            </w:pPr>
          </w:p>
        </w:tc>
        <w:tc>
          <w:tcPr>
            <w:tcW w:w="340" w:type="pct"/>
            <w:vMerge w:val="continue"/>
            <w:vAlign w:val="center"/>
          </w:tcPr>
          <w:p w14:paraId="7B4954A7">
            <w:pPr>
              <w:pStyle w:val="33"/>
              <w:rPr>
                <w:color w:val="auto"/>
              </w:rPr>
            </w:pPr>
          </w:p>
        </w:tc>
        <w:tc>
          <w:tcPr>
            <w:tcW w:w="607" w:type="pct"/>
            <w:vAlign w:val="center"/>
          </w:tcPr>
          <w:p w14:paraId="474177D7">
            <w:pPr>
              <w:pStyle w:val="33"/>
              <w:rPr>
                <w:color w:val="auto"/>
              </w:rPr>
            </w:pPr>
            <w:r>
              <w:rPr>
                <w:rFonts w:hint="eastAsia"/>
                <w:color w:val="auto"/>
              </w:rPr>
              <w:t>标准限值</w:t>
            </w:r>
          </w:p>
        </w:tc>
        <w:tc>
          <w:tcPr>
            <w:tcW w:w="328" w:type="pct"/>
            <w:vAlign w:val="center"/>
          </w:tcPr>
          <w:p w14:paraId="359F3F9C">
            <w:pPr>
              <w:pStyle w:val="33"/>
              <w:rPr>
                <w:color w:val="auto"/>
              </w:rPr>
            </w:pPr>
          </w:p>
        </w:tc>
        <w:tc>
          <w:tcPr>
            <w:tcW w:w="328" w:type="pct"/>
            <w:vAlign w:val="center"/>
          </w:tcPr>
          <w:p w14:paraId="3958089B">
            <w:pPr>
              <w:pStyle w:val="33"/>
              <w:rPr>
                <w:color w:val="auto"/>
              </w:rPr>
            </w:pPr>
          </w:p>
        </w:tc>
        <w:tc>
          <w:tcPr>
            <w:tcW w:w="328" w:type="pct"/>
            <w:vAlign w:val="center"/>
          </w:tcPr>
          <w:p w14:paraId="014F0059">
            <w:pPr>
              <w:pStyle w:val="33"/>
              <w:rPr>
                <w:color w:val="auto"/>
              </w:rPr>
            </w:pPr>
          </w:p>
        </w:tc>
        <w:tc>
          <w:tcPr>
            <w:tcW w:w="328" w:type="pct"/>
            <w:vAlign w:val="center"/>
          </w:tcPr>
          <w:p w14:paraId="4ECD083C">
            <w:pPr>
              <w:pStyle w:val="33"/>
              <w:rPr>
                <w:color w:val="auto"/>
              </w:rPr>
            </w:pPr>
          </w:p>
        </w:tc>
        <w:tc>
          <w:tcPr>
            <w:tcW w:w="328" w:type="pct"/>
            <w:vAlign w:val="center"/>
          </w:tcPr>
          <w:p w14:paraId="2AC1BE97">
            <w:pPr>
              <w:pStyle w:val="33"/>
              <w:rPr>
                <w:color w:val="auto"/>
              </w:rPr>
            </w:pPr>
          </w:p>
        </w:tc>
        <w:tc>
          <w:tcPr>
            <w:tcW w:w="328" w:type="pct"/>
            <w:vAlign w:val="center"/>
          </w:tcPr>
          <w:p w14:paraId="65B96F29">
            <w:pPr>
              <w:pStyle w:val="33"/>
              <w:rPr>
                <w:color w:val="auto"/>
              </w:rPr>
            </w:pPr>
          </w:p>
        </w:tc>
        <w:tc>
          <w:tcPr>
            <w:tcW w:w="328" w:type="pct"/>
            <w:vAlign w:val="center"/>
          </w:tcPr>
          <w:p w14:paraId="15EA5C9A">
            <w:pPr>
              <w:pStyle w:val="33"/>
              <w:rPr>
                <w:color w:val="auto"/>
              </w:rPr>
            </w:pPr>
          </w:p>
        </w:tc>
        <w:tc>
          <w:tcPr>
            <w:tcW w:w="328" w:type="pct"/>
            <w:vAlign w:val="center"/>
          </w:tcPr>
          <w:p w14:paraId="5AEF3837">
            <w:pPr>
              <w:pStyle w:val="33"/>
              <w:rPr>
                <w:color w:val="auto"/>
              </w:rPr>
            </w:pPr>
          </w:p>
        </w:tc>
        <w:tc>
          <w:tcPr>
            <w:tcW w:w="328" w:type="pct"/>
            <w:vAlign w:val="center"/>
          </w:tcPr>
          <w:p w14:paraId="264C7FA2">
            <w:pPr>
              <w:pStyle w:val="33"/>
              <w:rPr>
                <w:color w:val="auto"/>
              </w:rPr>
            </w:pPr>
          </w:p>
        </w:tc>
        <w:tc>
          <w:tcPr>
            <w:tcW w:w="328" w:type="pct"/>
            <w:vAlign w:val="center"/>
          </w:tcPr>
          <w:p w14:paraId="5FC921AC">
            <w:pPr>
              <w:pStyle w:val="33"/>
              <w:rPr>
                <w:color w:val="auto"/>
              </w:rPr>
            </w:pPr>
          </w:p>
        </w:tc>
        <w:tc>
          <w:tcPr>
            <w:tcW w:w="338" w:type="pct"/>
            <w:vAlign w:val="center"/>
          </w:tcPr>
          <w:p w14:paraId="421DA9B0">
            <w:pPr>
              <w:pStyle w:val="33"/>
              <w:rPr>
                <w:color w:val="auto"/>
              </w:rPr>
            </w:pPr>
          </w:p>
        </w:tc>
      </w:tr>
      <w:tr w14:paraId="0DB1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8" w:hRule="atLeast"/>
          <w:jc w:val="center"/>
        </w:trPr>
        <w:tc>
          <w:tcPr>
            <w:tcW w:w="435" w:type="pct"/>
            <w:vMerge w:val="continue"/>
            <w:vAlign w:val="center"/>
          </w:tcPr>
          <w:p w14:paraId="2F8A9A01">
            <w:pPr>
              <w:pStyle w:val="33"/>
              <w:rPr>
                <w:color w:val="auto"/>
              </w:rPr>
            </w:pPr>
          </w:p>
        </w:tc>
        <w:tc>
          <w:tcPr>
            <w:tcW w:w="340" w:type="pct"/>
            <w:vMerge w:val="continue"/>
            <w:vAlign w:val="center"/>
          </w:tcPr>
          <w:p w14:paraId="7342D7AD">
            <w:pPr>
              <w:pStyle w:val="33"/>
              <w:rPr>
                <w:color w:val="auto"/>
              </w:rPr>
            </w:pPr>
          </w:p>
        </w:tc>
        <w:tc>
          <w:tcPr>
            <w:tcW w:w="607" w:type="pct"/>
            <w:vAlign w:val="center"/>
          </w:tcPr>
          <w:p w14:paraId="6658F458">
            <w:pPr>
              <w:pStyle w:val="33"/>
              <w:rPr>
                <w:color w:val="auto"/>
              </w:rPr>
            </w:pPr>
            <w:r>
              <w:rPr>
                <w:color w:val="auto"/>
              </w:rPr>
              <w:t>Pi值</w:t>
            </w:r>
          </w:p>
        </w:tc>
        <w:tc>
          <w:tcPr>
            <w:tcW w:w="328" w:type="pct"/>
            <w:vAlign w:val="center"/>
          </w:tcPr>
          <w:p w14:paraId="7DA2AE67">
            <w:pPr>
              <w:pStyle w:val="33"/>
              <w:rPr>
                <w:color w:val="auto"/>
              </w:rPr>
            </w:pPr>
          </w:p>
        </w:tc>
        <w:tc>
          <w:tcPr>
            <w:tcW w:w="328" w:type="pct"/>
            <w:vAlign w:val="center"/>
          </w:tcPr>
          <w:p w14:paraId="6509AED6">
            <w:pPr>
              <w:pStyle w:val="33"/>
              <w:rPr>
                <w:color w:val="auto"/>
              </w:rPr>
            </w:pPr>
          </w:p>
        </w:tc>
        <w:tc>
          <w:tcPr>
            <w:tcW w:w="328" w:type="pct"/>
            <w:vAlign w:val="center"/>
          </w:tcPr>
          <w:p w14:paraId="3F8526AD">
            <w:pPr>
              <w:pStyle w:val="33"/>
              <w:rPr>
                <w:color w:val="auto"/>
              </w:rPr>
            </w:pPr>
          </w:p>
        </w:tc>
        <w:tc>
          <w:tcPr>
            <w:tcW w:w="328" w:type="pct"/>
            <w:vAlign w:val="center"/>
          </w:tcPr>
          <w:p w14:paraId="72299A01">
            <w:pPr>
              <w:pStyle w:val="33"/>
              <w:rPr>
                <w:color w:val="auto"/>
              </w:rPr>
            </w:pPr>
          </w:p>
        </w:tc>
        <w:tc>
          <w:tcPr>
            <w:tcW w:w="328" w:type="pct"/>
            <w:vAlign w:val="center"/>
          </w:tcPr>
          <w:p w14:paraId="41060C6D">
            <w:pPr>
              <w:pStyle w:val="33"/>
              <w:rPr>
                <w:color w:val="auto"/>
              </w:rPr>
            </w:pPr>
          </w:p>
        </w:tc>
        <w:tc>
          <w:tcPr>
            <w:tcW w:w="328" w:type="pct"/>
            <w:vAlign w:val="center"/>
          </w:tcPr>
          <w:p w14:paraId="20179960">
            <w:pPr>
              <w:pStyle w:val="33"/>
              <w:rPr>
                <w:color w:val="auto"/>
              </w:rPr>
            </w:pPr>
          </w:p>
        </w:tc>
        <w:tc>
          <w:tcPr>
            <w:tcW w:w="328" w:type="pct"/>
            <w:vAlign w:val="center"/>
          </w:tcPr>
          <w:p w14:paraId="4463C14E">
            <w:pPr>
              <w:pStyle w:val="33"/>
              <w:rPr>
                <w:color w:val="auto"/>
              </w:rPr>
            </w:pPr>
          </w:p>
        </w:tc>
        <w:tc>
          <w:tcPr>
            <w:tcW w:w="328" w:type="pct"/>
            <w:vAlign w:val="center"/>
          </w:tcPr>
          <w:p w14:paraId="41FBA77A">
            <w:pPr>
              <w:pStyle w:val="33"/>
              <w:rPr>
                <w:color w:val="auto"/>
              </w:rPr>
            </w:pPr>
          </w:p>
        </w:tc>
        <w:tc>
          <w:tcPr>
            <w:tcW w:w="328" w:type="pct"/>
            <w:vAlign w:val="center"/>
          </w:tcPr>
          <w:p w14:paraId="6E54BA80">
            <w:pPr>
              <w:pStyle w:val="33"/>
              <w:rPr>
                <w:color w:val="auto"/>
              </w:rPr>
            </w:pPr>
          </w:p>
        </w:tc>
        <w:tc>
          <w:tcPr>
            <w:tcW w:w="328" w:type="pct"/>
            <w:vAlign w:val="center"/>
          </w:tcPr>
          <w:p w14:paraId="4383AFC5">
            <w:pPr>
              <w:pStyle w:val="33"/>
              <w:rPr>
                <w:color w:val="auto"/>
              </w:rPr>
            </w:pPr>
          </w:p>
        </w:tc>
        <w:tc>
          <w:tcPr>
            <w:tcW w:w="338" w:type="pct"/>
            <w:vAlign w:val="center"/>
          </w:tcPr>
          <w:p w14:paraId="2DFAE85E">
            <w:pPr>
              <w:pStyle w:val="33"/>
              <w:rPr>
                <w:color w:val="auto"/>
              </w:rPr>
            </w:pPr>
          </w:p>
        </w:tc>
      </w:tr>
      <w:tr w14:paraId="3BE08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8" w:hRule="atLeast"/>
          <w:jc w:val="center"/>
        </w:trPr>
        <w:tc>
          <w:tcPr>
            <w:tcW w:w="435" w:type="pct"/>
            <w:vMerge w:val="continue"/>
            <w:vAlign w:val="center"/>
          </w:tcPr>
          <w:p w14:paraId="5F903B2E">
            <w:pPr>
              <w:pStyle w:val="33"/>
              <w:rPr>
                <w:color w:val="auto"/>
              </w:rPr>
            </w:pPr>
          </w:p>
        </w:tc>
        <w:tc>
          <w:tcPr>
            <w:tcW w:w="340" w:type="pct"/>
            <w:vMerge w:val="continue"/>
            <w:vAlign w:val="center"/>
          </w:tcPr>
          <w:p w14:paraId="3B3B3C76">
            <w:pPr>
              <w:pStyle w:val="33"/>
              <w:rPr>
                <w:color w:val="auto"/>
              </w:rPr>
            </w:pPr>
          </w:p>
        </w:tc>
        <w:tc>
          <w:tcPr>
            <w:tcW w:w="607" w:type="pct"/>
            <w:vAlign w:val="center"/>
          </w:tcPr>
          <w:p w14:paraId="6A8B5228">
            <w:pPr>
              <w:pStyle w:val="33"/>
              <w:rPr>
                <w:color w:val="auto"/>
              </w:rPr>
            </w:pPr>
            <w:r>
              <w:rPr>
                <w:color w:val="auto"/>
              </w:rPr>
              <w:t>超标率</w:t>
            </w:r>
          </w:p>
        </w:tc>
        <w:tc>
          <w:tcPr>
            <w:tcW w:w="328" w:type="pct"/>
            <w:vAlign w:val="center"/>
          </w:tcPr>
          <w:p w14:paraId="7DDBB9D2">
            <w:pPr>
              <w:pStyle w:val="33"/>
              <w:rPr>
                <w:color w:val="auto"/>
              </w:rPr>
            </w:pPr>
          </w:p>
        </w:tc>
        <w:tc>
          <w:tcPr>
            <w:tcW w:w="328" w:type="pct"/>
            <w:vAlign w:val="center"/>
          </w:tcPr>
          <w:p w14:paraId="71749FB4">
            <w:pPr>
              <w:pStyle w:val="33"/>
              <w:rPr>
                <w:color w:val="auto"/>
              </w:rPr>
            </w:pPr>
          </w:p>
        </w:tc>
        <w:tc>
          <w:tcPr>
            <w:tcW w:w="328" w:type="pct"/>
            <w:vAlign w:val="center"/>
          </w:tcPr>
          <w:p w14:paraId="221FA451">
            <w:pPr>
              <w:pStyle w:val="33"/>
              <w:rPr>
                <w:color w:val="auto"/>
              </w:rPr>
            </w:pPr>
          </w:p>
        </w:tc>
        <w:tc>
          <w:tcPr>
            <w:tcW w:w="328" w:type="pct"/>
            <w:vAlign w:val="center"/>
          </w:tcPr>
          <w:p w14:paraId="32EF8EDE">
            <w:pPr>
              <w:pStyle w:val="33"/>
              <w:rPr>
                <w:color w:val="auto"/>
              </w:rPr>
            </w:pPr>
          </w:p>
        </w:tc>
        <w:tc>
          <w:tcPr>
            <w:tcW w:w="328" w:type="pct"/>
            <w:vAlign w:val="center"/>
          </w:tcPr>
          <w:p w14:paraId="2B48B384">
            <w:pPr>
              <w:pStyle w:val="33"/>
              <w:rPr>
                <w:color w:val="auto"/>
              </w:rPr>
            </w:pPr>
          </w:p>
        </w:tc>
        <w:tc>
          <w:tcPr>
            <w:tcW w:w="328" w:type="pct"/>
            <w:vAlign w:val="center"/>
          </w:tcPr>
          <w:p w14:paraId="1F1B92C4">
            <w:pPr>
              <w:pStyle w:val="33"/>
              <w:rPr>
                <w:color w:val="auto"/>
              </w:rPr>
            </w:pPr>
          </w:p>
        </w:tc>
        <w:tc>
          <w:tcPr>
            <w:tcW w:w="328" w:type="pct"/>
            <w:vAlign w:val="center"/>
          </w:tcPr>
          <w:p w14:paraId="7FDA2B70">
            <w:pPr>
              <w:pStyle w:val="33"/>
              <w:rPr>
                <w:color w:val="auto"/>
              </w:rPr>
            </w:pPr>
          </w:p>
        </w:tc>
        <w:tc>
          <w:tcPr>
            <w:tcW w:w="328" w:type="pct"/>
            <w:vAlign w:val="center"/>
          </w:tcPr>
          <w:p w14:paraId="6FC15767">
            <w:pPr>
              <w:pStyle w:val="33"/>
              <w:rPr>
                <w:color w:val="auto"/>
              </w:rPr>
            </w:pPr>
          </w:p>
        </w:tc>
        <w:tc>
          <w:tcPr>
            <w:tcW w:w="328" w:type="pct"/>
            <w:vAlign w:val="center"/>
          </w:tcPr>
          <w:p w14:paraId="67430406">
            <w:pPr>
              <w:pStyle w:val="33"/>
              <w:rPr>
                <w:color w:val="auto"/>
              </w:rPr>
            </w:pPr>
          </w:p>
        </w:tc>
        <w:tc>
          <w:tcPr>
            <w:tcW w:w="328" w:type="pct"/>
            <w:vAlign w:val="center"/>
          </w:tcPr>
          <w:p w14:paraId="10FE52E4">
            <w:pPr>
              <w:pStyle w:val="33"/>
              <w:rPr>
                <w:color w:val="auto"/>
              </w:rPr>
            </w:pPr>
          </w:p>
        </w:tc>
        <w:tc>
          <w:tcPr>
            <w:tcW w:w="338" w:type="pct"/>
            <w:vAlign w:val="center"/>
          </w:tcPr>
          <w:p w14:paraId="07BEC036">
            <w:pPr>
              <w:pStyle w:val="33"/>
              <w:rPr>
                <w:color w:val="auto"/>
              </w:rPr>
            </w:pPr>
          </w:p>
        </w:tc>
      </w:tr>
    </w:tbl>
    <w:p w14:paraId="7DD11983">
      <w:pPr>
        <w:ind w:firstLine="480"/>
        <w:rPr>
          <w:color w:val="auto"/>
          <w:kern w:val="0"/>
        </w:rPr>
      </w:pPr>
    </w:p>
    <w:p w14:paraId="5E097BAD">
      <w:pPr>
        <w:ind w:firstLine="480"/>
        <w:rPr>
          <w:color w:val="auto"/>
          <w:kern w:val="0"/>
        </w:rPr>
      </w:pPr>
      <w:r>
        <w:rPr>
          <w:color w:val="auto"/>
          <w:kern w:val="0"/>
        </w:rPr>
        <w:t>（6）小结</w:t>
      </w:r>
    </w:p>
    <w:p w14:paraId="2CDA87E5">
      <w:pPr>
        <w:ind w:firstLine="480"/>
        <w:rPr>
          <w:color w:val="auto"/>
          <w:kern w:val="0"/>
        </w:rPr>
      </w:pPr>
      <w:r>
        <w:rPr>
          <w:color w:val="auto"/>
          <w:kern w:val="0"/>
        </w:rPr>
        <w:t>本</w:t>
      </w:r>
      <w:r>
        <w:rPr>
          <w:rFonts w:hint="eastAsia"/>
          <w:color w:val="auto"/>
          <w:kern w:val="0"/>
        </w:rPr>
        <w:t>次</w:t>
      </w:r>
      <w:r>
        <w:rPr>
          <w:color w:val="auto"/>
          <w:kern w:val="0"/>
        </w:rPr>
        <w:t>引用监测报告中的5个沉积物调查站位，分别GX002、GX004、GX005、GX006、GX008，监测时间为2024年7月27日-8月6日和2025年8月12日，监测因子为硫化物、石油类、有机碳、总汞、铜、铅、镉、锌、铬、砷、镍、锑、铊、锰共14项，</w:t>
      </w:r>
      <w:r>
        <w:rPr>
          <w:rFonts w:hint="eastAsia"/>
          <w:color w:val="auto"/>
          <w:kern w:val="0"/>
        </w:rPr>
        <w:t>GX002、GX005和GX008站点满足《海洋沉积物质量》（GB18668-2002）第一类标准要求；GX006满足《海洋沉积物质量》（GB18668-2002）第二类标准要求；GX004满足《海洋沉积物质量》（GB18668-2002）第三类标准要求。镍、锑、铊、锰、钴无相应标准，仅留作背景值</w:t>
      </w:r>
      <w:r>
        <w:rPr>
          <w:color w:val="auto"/>
          <w:kern w:val="0"/>
        </w:rPr>
        <w:t>。</w:t>
      </w:r>
    </w:p>
    <w:p w14:paraId="569C332F">
      <w:pPr>
        <w:ind w:firstLine="0" w:firstLineChars="0"/>
        <w:rPr>
          <w:color w:val="auto"/>
          <w:kern w:val="0"/>
        </w:rPr>
      </w:pPr>
    </w:p>
    <w:p w14:paraId="6ED06C93">
      <w:pPr>
        <w:ind w:firstLine="0" w:firstLineChars="0"/>
        <w:rPr>
          <w:color w:val="auto"/>
          <w:kern w:val="0"/>
        </w:rPr>
        <w:sectPr>
          <w:pgSz w:w="16838" w:h="11906" w:orient="landscape"/>
          <w:pgMar w:top="1418" w:right="1418" w:bottom="1418" w:left="1418" w:header="851" w:footer="992" w:gutter="0"/>
          <w:cols w:space="425" w:num="1"/>
          <w:docGrid w:type="lines" w:linePitch="312" w:charSpace="0"/>
        </w:sectPr>
      </w:pPr>
    </w:p>
    <w:p w14:paraId="43E3294F">
      <w:pPr>
        <w:pStyle w:val="4"/>
        <w:rPr>
          <w:color w:val="auto"/>
        </w:rPr>
      </w:pPr>
      <w:bookmarkStart w:id="331" w:name="_Toc225216747"/>
      <w:r>
        <w:rPr>
          <w:color w:val="auto"/>
        </w:rPr>
        <w:t>海洋生物质量监测</w:t>
      </w:r>
      <w:bookmarkEnd w:id="331"/>
    </w:p>
    <w:p w14:paraId="7CB4A20C">
      <w:pPr>
        <w:ind w:firstLine="480"/>
        <w:rPr>
          <w:color w:val="auto"/>
          <w:kern w:val="0"/>
        </w:rPr>
      </w:pPr>
      <w:r>
        <w:rPr>
          <w:color w:val="auto"/>
          <w:kern w:val="0"/>
        </w:rPr>
        <w:t>（1）监测时间和站位</w:t>
      </w:r>
    </w:p>
    <w:p w14:paraId="38B9AB35">
      <w:pPr>
        <w:ind w:firstLine="480"/>
        <w:rPr>
          <w:color w:val="auto"/>
          <w:kern w:val="0"/>
        </w:rPr>
      </w:pPr>
      <w:r>
        <w:rPr>
          <w:color w:val="auto"/>
          <w:kern w:val="0"/>
        </w:rPr>
        <w:t>2024年10月20日广西壮族自治区海洋环境监测中心站在项目排污口附近海域即钦州湾海域布设了共1个海洋调查站位，监测海洋生物为文蛤；2025年8月12日</w:t>
      </w:r>
      <w:r>
        <w:rPr>
          <w:rFonts w:hint="eastAsia"/>
          <w:color w:val="auto"/>
          <w:kern w:val="0"/>
        </w:rPr>
        <w:t>《广西中伟新能源项目二期X-23#电解钴项目环境影响报告书》</w:t>
      </w:r>
      <w:r>
        <w:rPr>
          <w:color w:val="auto"/>
          <w:kern w:val="0"/>
        </w:rPr>
        <w:t>在项目排污口附近海域布设了共2个海洋生物质量站位，监测海洋生物为鱼和牡蛎，站位分布图详见</w:t>
      </w:r>
      <w:r>
        <w:rPr>
          <w:rFonts w:hint="eastAsia"/>
          <w:color w:val="auto"/>
          <w:kern w:val="0"/>
        </w:rPr>
        <w:t>附图</w:t>
      </w:r>
      <w:r>
        <w:rPr>
          <w:color w:val="auto"/>
          <w:kern w:val="0"/>
        </w:rPr>
        <w:t>。</w:t>
      </w:r>
    </w:p>
    <w:p w14:paraId="45E9EC0B">
      <w:pPr>
        <w:ind w:firstLine="480"/>
        <w:rPr>
          <w:color w:val="auto"/>
          <w:kern w:val="0"/>
        </w:rPr>
      </w:pPr>
      <w:r>
        <w:rPr>
          <w:color w:val="auto"/>
          <w:kern w:val="0"/>
        </w:rPr>
        <w:t>（2）监测项目</w:t>
      </w:r>
    </w:p>
    <w:p w14:paraId="3A112907">
      <w:pPr>
        <w:ind w:firstLine="480"/>
        <w:rPr>
          <w:color w:val="auto"/>
          <w:kern w:val="0"/>
        </w:rPr>
      </w:pPr>
      <w:r>
        <w:rPr>
          <w:color w:val="auto"/>
          <w:kern w:val="0"/>
        </w:rPr>
        <w:t>广西壮族自治区海洋环境监测中心站布设监测点位为金鼓江，监测项目：镉、铅、铜、锌、砷、总汞、铬、石油烃、镍；</w:t>
      </w:r>
      <w:r>
        <w:rPr>
          <w:rFonts w:hint="eastAsia"/>
          <w:color w:val="auto"/>
          <w:kern w:val="0"/>
        </w:rPr>
        <w:t>《广西中伟新能源项目二期X-23#电解钴项目环境影响报告书》</w:t>
      </w:r>
      <w:r>
        <w:rPr>
          <w:color w:val="auto"/>
          <w:kern w:val="0"/>
        </w:rPr>
        <w:t>布设的点位为GX006和GX008，监测项目：镍、钴、锰、铊、锑、石油烃。</w:t>
      </w:r>
    </w:p>
    <w:p w14:paraId="3F5FD2E0">
      <w:pPr>
        <w:ind w:firstLine="480"/>
        <w:rPr>
          <w:color w:val="auto"/>
          <w:kern w:val="0"/>
        </w:rPr>
      </w:pPr>
      <w:r>
        <w:rPr>
          <w:color w:val="auto"/>
          <w:kern w:val="0"/>
        </w:rPr>
        <w:t>（3）评价标准</w:t>
      </w:r>
    </w:p>
    <w:p w14:paraId="5A29B357">
      <w:pPr>
        <w:ind w:firstLine="480"/>
        <w:rPr>
          <w:color w:val="auto"/>
          <w:kern w:val="0"/>
        </w:rPr>
      </w:pPr>
      <w:r>
        <w:rPr>
          <w:color w:val="auto"/>
          <w:kern w:val="0"/>
        </w:rPr>
        <w:t>文蛤和牡蛎属于双壳贝类，根据《环境影响评价导则 海洋生态环境》（HJ1409-2025），双壳贝类应采用《海洋生物质量》（GB 18421-2001）的标准值进行评价。鱼类的重金属、石油烃的评价标准参考附录C。</w:t>
      </w:r>
    </w:p>
    <w:p w14:paraId="0CD1F3E4">
      <w:pPr>
        <w:ind w:firstLine="480"/>
        <w:rPr>
          <w:color w:val="auto"/>
          <w:kern w:val="0"/>
        </w:rPr>
      </w:pPr>
      <w:r>
        <w:rPr>
          <w:color w:val="auto"/>
          <w:kern w:val="0"/>
        </w:rPr>
        <w:t>评价方法采用单因子指数法；镍、钴、锰、铊、锑无相关标准，仅留作背景值。</w:t>
      </w:r>
    </w:p>
    <w:p w14:paraId="6D8618CA">
      <w:pPr>
        <w:ind w:firstLine="480"/>
        <w:rPr>
          <w:color w:val="auto"/>
          <w:kern w:val="0"/>
        </w:rPr>
      </w:pPr>
      <w:r>
        <w:rPr>
          <w:color w:val="auto"/>
          <w:kern w:val="0"/>
        </w:rPr>
        <w:t>（4）评价方法</w:t>
      </w:r>
    </w:p>
    <w:p w14:paraId="4C71E89B">
      <w:pPr>
        <w:ind w:firstLine="480"/>
        <w:rPr>
          <w:color w:val="auto"/>
          <w:kern w:val="0"/>
        </w:rPr>
      </w:pPr>
      <w:r>
        <w:rPr>
          <w:color w:val="auto"/>
          <w:kern w:val="0"/>
        </w:rPr>
        <w:t>采用单项参数标准指数法计算海洋生物质量的质量指数，即应用公式</w:t>
      </w:r>
      <w:r>
        <w:rPr>
          <w:rFonts w:hint="eastAsia"/>
          <w:color w:val="auto"/>
          <w:kern w:val="0"/>
        </w:rPr>
        <w:t>：</w:t>
      </w:r>
    </w:p>
    <w:p w14:paraId="48F55973">
      <w:pPr>
        <w:ind w:firstLine="0" w:firstLineChars="0"/>
        <w:jc w:val="center"/>
        <w:rPr>
          <w:color w:val="auto"/>
          <w:kern w:val="0"/>
        </w:rPr>
      </w:pPr>
      <w:r>
        <w:rPr>
          <w:color w:val="auto"/>
          <w:kern w:val="0"/>
        </w:rPr>
        <w:t>P</w:t>
      </w:r>
      <w:r>
        <w:rPr>
          <w:color w:val="auto"/>
          <w:kern w:val="0"/>
          <w:vertAlign w:val="subscript"/>
        </w:rPr>
        <w:t>i</w:t>
      </w:r>
      <w:r>
        <w:rPr>
          <w:color w:val="auto"/>
          <w:kern w:val="0"/>
        </w:rPr>
        <w:t>=C</w:t>
      </w:r>
      <w:r>
        <w:rPr>
          <w:color w:val="auto"/>
          <w:kern w:val="0"/>
          <w:vertAlign w:val="subscript"/>
        </w:rPr>
        <w:t>i</w:t>
      </w:r>
      <w:r>
        <w:rPr>
          <w:color w:val="auto"/>
          <w:kern w:val="0"/>
        </w:rPr>
        <w:t>/C</w:t>
      </w:r>
      <w:r>
        <w:rPr>
          <w:color w:val="auto"/>
          <w:kern w:val="0"/>
          <w:vertAlign w:val="subscript"/>
        </w:rPr>
        <w:t>si</w:t>
      </w:r>
    </w:p>
    <w:p w14:paraId="07757423">
      <w:pPr>
        <w:ind w:firstLine="480"/>
        <w:rPr>
          <w:color w:val="auto"/>
          <w:kern w:val="0"/>
        </w:rPr>
      </w:pPr>
      <w:r>
        <w:rPr>
          <w:color w:val="auto"/>
          <w:kern w:val="0"/>
        </w:rPr>
        <w:t>式中：P</w:t>
      </w:r>
      <w:r>
        <w:rPr>
          <w:color w:val="auto"/>
          <w:kern w:val="0"/>
          <w:vertAlign w:val="subscript"/>
        </w:rPr>
        <w:t>i</w:t>
      </w:r>
      <w:r>
        <w:rPr>
          <w:color w:val="auto"/>
          <w:kern w:val="0"/>
        </w:rPr>
        <w:t>为第i种评价因子的质量指数；</w:t>
      </w:r>
    </w:p>
    <w:p w14:paraId="3FF510A5">
      <w:pPr>
        <w:ind w:firstLine="480"/>
        <w:rPr>
          <w:color w:val="auto"/>
          <w:kern w:val="0"/>
        </w:rPr>
      </w:pPr>
      <w:r>
        <w:rPr>
          <w:color w:val="auto"/>
          <w:kern w:val="0"/>
        </w:rPr>
        <w:t>C</w:t>
      </w:r>
      <w:r>
        <w:rPr>
          <w:color w:val="auto"/>
          <w:kern w:val="0"/>
          <w:vertAlign w:val="subscript"/>
        </w:rPr>
        <w:t>i</w:t>
      </w:r>
      <w:r>
        <w:rPr>
          <w:color w:val="auto"/>
          <w:kern w:val="0"/>
        </w:rPr>
        <w:t>为第i种评价因子的实测值；</w:t>
      </w:r>
    </w:p>
    <w:p w14:paraId="378C710B">
      <w:pPr>
        <w:ind w:firstLine="480"/>
        <w:rPr>
          <w:color w:val="auto"/>
          <w:kern w:val="0"/>
        </w:rPr>
      </w:pPr>
      <w:r>
        <w:rPr>
          <w:color w:val="auto"/>
          <w:kern w:val="0"/>
        </w:rPr>
        <w:t>C</w:t>
      </w:r>
      <w:r>
        <w:rPr>
          <w:color w:val="auto"/>
          <w:kern w:val="0"/>
          <w:vertAlign w:val="subscript"/>
        </w:rPr>
        <w:t>si</w:t>
      </w:r>
      <w:r>
        <w:rPr>
          <w:color w:val="auto"/>
          <w:kern w:val="0"/>
        </w:rPr>
        <w:t>为第i种评价因子的标准值。</w:t>
      </w:r>
    </w:p>
    <w:p w14:paraId="21D98A71">
      <w:pPr>
        <w:ind w:firstLine="480"/>
        <w:rPr>
          <w:color w:val="auto"/>
          <w:kern w:val="0"/>
        </w:rPr>
      </w:pPr>
      <w:r>
        <w:rPr>
          <w:color w:val="auto"/>
          <w:kern w:val="0"/>
        </w:rPr>
        <w:t>沉积物评价因子的标准指数＞1，则表明该项指标已超过了规定的沉积物质量标准。</w:t>
      </w:r>
    </w:p>
    <w:p w14:paraId="31A0C38E">
      <w:pPr>
        <w:ind w:firstLine="480"/>
        <w:rPr>
          <w:color w:val="auto"/>
          <w:kern w:val="0"/>
        </w:rPr>
      </w:pPr>
      <w:r>
        <w:rPr>
          <w:color w:val="auto"/>
          <w:kern w:val="0"/>
        </w:rPr>
        <w:t>（5）分析结果与评价</w:t>
      </w:r>
    </w:p>
    <w:p w14:paraId="7F7AE264">
      <w:pPr>
        <w:ind w:firstLine="480"/>
        <w:rPr>
          <w:color w:val="auto"/>
          <w:kern w:val="0"/>
        </w:rPr>
      </w:pPr>
      <w:r>
        <w:rPr>
          <w:color w:val="auto"/>
          <w:kern w:val="0"/>
        </w:rPr>
        <w:t>2024年10月海洋生物质量的分析和评价结果见下表。</w:t>
      </w:r>
    </w:p>
    <w:p w14:paraId="284C254B">
      <w:pPr>
        <w:pStyle w:val="7"/>
        <w:rPr>
          <w:color w:val="auto"/>
        </w:rPr>
      </w:pPr>
      <w:r>
        <w:rPr>
          <w:color w:val="auto"/>
        </w:rPr>
        <w:t>生物质量分析与评价结果  单位：mg/kg</w:t>
      </w:r>
    </w:p>
    <w:tbl>
      <w:tblPr>
        <w:tblStyle w:val="26"/>
        <w:tblW w:w="8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2"/>
        <w:gridCol w:w="1438"/>
        <w:gridCol w:w="3790"/>
        <w:gridCol w:w="2749"/>
      </w:tblGrid>
      <w:tr w14:paraId="12492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0C3F779B">
            <w:pPr>
              <w:pStyle w:val="33"/>
              <w:rPr>
                <w:color w:val="auto"/>
              </w:rPr>
            </w:pPr>
            <w:r>
              <w:rPr>
                <w:color w:val="auto"/>
              </w:rPr>
              <w:t>序号</w:t>
            </w:r>
          </w:p>
        </w:tc>
        <w:tc>
          <w:tcPr>
            <w:tcW w:w="5228" w:type="dxa"/>
            <w:gridSpan w:val="2"/>
            <w:vMerge w:val="restart"/>
            <w:vAlign w:val="center"/>
          </w:tcPr>
          <w:p w14:paraId="79DC221D">
            <w:pPr>
              <w:pStyle w:val="33"/>
              <w:rPr>
                <w:color w:val="auto"/>
              </w:rPr>
            </w:pPr>
            <w:r>
              <w:rPr>
                <w:color w:val="auto"/>
              </w:rPr>
              <w:t>项目</w:t>
            </w:r>
          </w:p>
        </w:tc>
        <w:tc>
          <w:tcPr>
            <w:tcW w:w="2749" w:type="dxa"/>
            <w:vAlign w:val="center"/>
          </w:tcPr>
          <w:p w14:paraId="0D15A434">
            <w:pPr>
              <w:pStyle w:val="33"/>
              <w:rPr>
                <w:color w:val="auto"/>
              </w:rPr>
            </w:pPr>
            <w:r>
              <w:rPr>
                <w:color w:val="auto"/>
              </w:rPr>
              <w:t>金鼓江</w:t>
            </w:r>
          </w:p>
        </w:tc>
      </w:tr>
      <w:tr w14:paraId="0C4D5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1B7D0D5A">
            <w:pPr>
              <w:pStyle w:val="33"/>
              <w:rPr>
                <w:color w:val="auto"/>
              </w:rPr>
            </w:pPr>
          </w:p>
        </w:tc>
        <w:tc>
          <w:tcPr>
            <w:tcW w:w="5228" w:type="dxa"/>
            <w:gridSpan w:val="2"/>
            <w:vMerge w:val="continue"/>
            <w:vAlign w:val="center"/>
          </w:tcPr>
          <w:p w14:paraId="277603D9">
            <w:pPr>
              <w:pStyle w:val="33"/>
              <w:rPr>
                <w:color w:val="auto"/>
              </w:rPr>
            </w:pPr>
          </w:p>
        </w:tc>
        <w:tc>
          <w:tcPr>
            <w:tcW w:w="2749" w:type="dxa"/>
            <w:vAlign w:val="center"/>
          </w:tcPr>
          <w:p w14:paraId="757E609D">
            <w:pPr>
              <w:pStyle w:val="33"/>
              <w:rPr>
                <w:color w:val="auto"/>
              </w:rPr>
            </w:pPr>
            <w:r>
              <w:rPr>
                <w:color w:val="auto"/>
              </w:rPr>
              <w:t>文蛤</w:t>
            </w:r>
          </w:p>
        </w:tc>
      </w:tr>
      <w:tr w14:paraId="03FE3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0F08B1B9">
            <w:pPr>
              <w:pStyle w:val="33"/>
              <w:rPr>
                <w:color w:val="auto"/>
              </w:rPr>
            </w:pPr>
            <w:r>
              <w:rPr>
                <w:color w:val="auto"/>
              </w:rPr>
              <w:t>1</w:t>
            </w:r>
          </w:p>
        </w:tc>
        <w:tc>
          <w:tcPr>
            <w:tcW w:w="1438" w:type="dxa"/>
            <w:vMerge w:val="restart"/>
            <w:vAlign w:val="center"/>
          </w:tcPr>
          <w:p w14:paraId="5B96BEDA">
            <w:pPr>
              <w:pStyle w:val="33"/>
              <w:rPr>
                <w:color w:val="auto"/>
              </w:rPr>
            </w:pPr>
            <w:r>
              <w:rPr>
                <w:color w:val="auto"/>
              </w:rPr>
              <w:t>镉</w:t>
            </w:r>
          </w:p>
        </w:tc>
        <w:tc>
          <w:tcPr>
            <w:tcW w:w="3790" w:type="dxa"/>
            <w:vAlign w:val="center"/>
          </w:tcPr>
          <w:p w14:paraId="41249753">
            <w:pPr>
              <w:pStyle w:val="33"/>
              <w:rPr>
                <w:color w:val="auto"/>
              </w:rPr>
            </w:pPr>
            <w:r>
              <w:rPr>
                <w:color w:val="auto"/>
              </w:rPr>
              <w:t>监测结果</w:t>
            </w:r>
          </w:p>
        </w:tc>
        <w:tc>
          <w:tcPr>
            <w:tcW w:w="2749" w:type="dxa"/>
            <w:vAlign w:val="center"/>
          </w:tcPr>
          <w:p w14:paraId="33CE14BC">
            <w:pPr>
              <w:pStyle w:val="33"/>
              <w:rPr>
                <w:color w:val="auto"/>
              </w:rPr>
            </w:pPr>
          </w:p>
        </w:tc>
      </w:tr>
      <w:tr w14:paraId="0467E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49D15C08">
            <w:pPr>
              <w:pStyle w:val="33"/>
              <w:rPr>
                <w:color w:val="auto"/>
              </w:rPr>
            </w:pPr>
          </w:p>
        </w:tc>
        <w:tc>
          <w:tcPr>
            <w:tcW w:w="1438" w:type="dxa"/>
            <w:vMerge w:val="continue"/>
            <w:vAlign w:val="center"/>
          </w:tcPr>
          <w:p w14:paraId="7FC4688F">
            <w:pPr>
              <w:pStyle w:val="33"/>
              <w:rPr>
                <w:color w:val="auto"/>
              </w:rPr>
            </w:pPr>
          </w:p>
        </w:tc>
        <w:tc>
          <w:tcPr>
            <w:tcW w:w="3790" w:type="dxa"/>
            <w:vAlign w:val="center"/>
          </w:tcPr>
          <w:p w14:paraId="2CEC24FF">
            <w:pPr>
              <w:pStyle w:val="33"/>
              <w:rPr>
                <w:color w:val="auto"/>
              </w:rPr>
            </w:pPr>
            <w:r>
              <w:rPr>
                <w:color w:val="auto"/>
              </w:rPr>
              <w:t>标准限值</w:t>
            </w:r>
          </w:p>
        </w:tc>
        <w:tc>
          <w:tcPr>
            <w:tcW w:w="2749" w:type="dxa"/>
            <w:vAlign w:val="center"/>
          </w:tcPr>
          <w:p w14:paraId="7A54059A">
            <w:pPr>
              <w:pStyle w:val="33"/>
              <w:rPr>
                <w:color w:val="auto"/>
              </w:rPr>
            </w:pPr>
          </w:p>
        </w:tc>
      </w:tr>
      <w:tr w14:paraId="1EEF0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2086D7DD">
            <w:pPr>
              <w:pStyle w:val="33"/>
              <w:rPr>
                <w:color w:val="auto"/>
              </w:rPr>
            </w:pPr>
          </w:p>
        </w:tc>
        <w:tc>
          <w:tcPr>
            <w:tcW w:w="1438" w:type="dxa"/>
            <w:vMerge w:val="continue"/>
            <w:vAlign w:val="center"/>
          </w:tcPr>
          <w:p w14:paraId="7013EE2F">
            <w:pPr>
              <w:pStyle w:val="33"/>
              <w:rPr>
                <w:color w:val="auto"/>
              </w:rPr>
            </w:pPr>
          </w:p>
        </w:tc>
        <w:tc>
          <w:tcPr>
            <w:tcW w:w="3790" w:type="dxa"/>
            <w:vAlign w:val="center"/>
          </w:tcPr>
          <w:p w14:paraId="47A5640E">
            <w:pPr>
              <w:pStyle w:val="33"/>
              <w:rPr>
                <w:color w:val="auto"/>
              </w:rPr>
            </w:pPr>
            <w:r>
              <w:rPr>
                <w:color w:val="auto"/>
              </w:rPr>
              <w:t>Pi</w:t>
            </w:r>
          </w:p>
        </w:tc>
        <w:tc>
          <w:tcPr>
            <w:tcW w:w="2749" w:type="dxa"/>
            <w:vAlign w:val="center"/>
          </w:tcPr>
          <w:p w14:paraId="2EFC44FA">
            <w:pPr>
              <w:pStyle w:val="33"/>
              <w:rPr>
                <w:color w:val="auto"/>
              </w:rPr>
            </w:pPr>
          </w:p>
        </w:tc>
      </w:tr>
      <w:tr w14:paraId="711C01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52F174CC">
            <w:pPr>
              <w:pStyle w:val="33"/>
              <w:rPr>
                <w:color w:val="auto"/>
              </w:rPr>
            </w:pPr>
            <w:r>
              <w:rPr>
                <w:color w:val="auto"/>
              </w:rPr>
              <w:t>2</w:t>
            </w:r>
          </w:p>
        </w:tc>
        <w:tc>
          <w:tcPr>
            <w:tcW w:w="1438" w:type="dxa"/>
            <w:vMerge w:val="restart"/>
            <w:vAlign w:val="center"/>
          </w:tcPr>
          <w:p w14:paraId="141AA0F6">
            <w:pPr>
              <w:pStyle w:val="33"/>
              <w:rPr>
                <w:color w:val="auto"/>
              </w:rPr>
            </w:pPr>
            <w:r>
              <w:rPr>
                <w:color w:val="auto"/>
              </w:rPr>
              <w:t>铅</w:t>
            </w:r>
          </w:p>
        </w:tc>
        <w:tc>
          <w:tcPr>
            <w:tcW w:w="3790" w:type="dxa"/>
            <w:vAlign w:val="center"/>
          </w:tcPr>
          <w:p w14:paraId="5C9DB197">
            <w:pPr>
              <w:pStyle w:val="33"/>
              <w:rPr>
                <w:color w:val="auto"/>
              </w:rPr>
            </w:pPr>
            <w:r>
              <w:rPr>
                <w:color w:val="auto"/>
              </w:rPr>
              <w:t>监测结果</w:t>
            </w:r>
          </w:p>
        </w:tc>
        <w:tc>
          <w:tcPr>
            <w:tcW w:w="2749" w:type="dxa"/>
            <w:vAlign w:val="center"/>
          </w:tcPr>
          <w:p w14:paraId="28B2DED9">
            <w:pPr>
              <w:pStyle w:val="33"/>
              <w:rPr>
                <w:color w:val="auto"/>
              </w:rPr>
            </w:pPr>
          </w:p>
        </w:tc>
      </w:tr>
      <w:tr w14:paraId="15A7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5A6D91D8">
            <w:pPr>
              <w:pStyle w:val="33"/>
              <w:rPr>
                <w:color w:val="auto"/>
              </w:rPr>
            </w:pPr>
          </w:p>
        </w:tc>
        <w:tc>
          <w:tcPr>
            <w:tcW w:w="1438" w:type="dxa"/>
            <w:vMerge w:val="continue"/>
            <w:vAlign w:val="center"/>
          </w:tcPr>
          <w:p w14:paraId="388100E2">
            <w:pPr>
              <w:pStyle w:val="33"/>
              <w:rPr>
                <w:color w:val="auto"/>
              </w:rPr>
            </w:pPr>
          </w:p>
        </w:tc>
        <w:tc>
          <w:tcPr>
            <w:tcW w:w="3790" w:type="dxa"/>
            <w:vAlign w:val="center"/>
          </w:tcPr>
          <w:p w14:paraId="480BA9C7">
            <w:pPr>
              <w:pStyle w:val="33"/>
              <w:rPr>
                <w:color w:val="auto"/>
              </w:rPr>
            </w:pPr>
            <w:r>
              <w:rPr>
                <w:color w:val="auto"/>
              </w:rPr>
              <w:t>标准限值</w:t>
            </w:r>
          </w:p>
        </w:tc>
        <w:tc>
          <w:tcPr>
            <w:tcW w:w="2749" w:type="dxa"/>
            <w:vAlign w:val="center"/>
          </w:tcPr>
          <w:p w14:paraId="027D22AB">
            <w:pPr>
              <w:pStyle w:val="33"/>
              <w:rPr>
                <w:color w:val="auto"/>
              </w:rPr>
            </w:pPr>
          </w:p>
        </w:tc>
      </w:tr>
      <w:tr w14:paraId="7C1B2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5E67E4FC">
            <w:pPr>
              <w:pStyle w:val="33"/>
              <w:rPr>
                <w:color w:val="auto"/>
              </w:rPr>
            </w:pPr>
          </w:p>
        </w:tc>
        <w:tc>
          <w:tcPr>
            <w:tcW w:w="1438" w:type="dxa"/>
            <w:vMerge w:val="continue"/>
            <w:vAlign w:val="center"/>
          </w:tcPr>
          <w:p w14:paraId="52C887B7">
            <w:pPr>
              <w:pStyle w:val="33"/>
              <w:rPr>
                <w:color w:val="auto"/>
              </w:rPr>
            </w:pPr>
          </w:p>
        </w:tc>
        <w:tc>
          <w:tcPr>
            <w:tcW w:w="3790" w:type="dxa"/>
            <w:vAlign w:val="center"/>
          </w:tcPr>
          <w:p w14:paraId="720B4E18">
            <w:pPr>
              <w:pStyle w:val="33"/>
              <w:rPr>
                <w:color w:val="auto"/>
              </w:rPr>
            </w:pPr>
            <w:r>
              <w:rPr>
                <w:color w:val="auto"/>
              </w:rPr>
              <w:t>Pi</w:t>
            </w:r>
          </w:p>
        </w:tc>
        <w:tc>
          <w:tcPr>
            <w:tcW w:w="2749" w:type="dxa"/>
            <w:vAlign w:val="center"/>
          </w:tcPr>
          <w:p w14:paraId="36BFEE06">
            <w:pPr>
              <w:pStyle w:val="33"/>
              <w:rPr>
                <w:color w:val="auto"/>
              </w:rPr>
            </w:pPr>
          </w:p>
        </w:tc>
      </w:tr>
      <w:tr w14:paraId="3152F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38B5495B">
            <w:pPr>
              <w:pStyle w:val="33"/>
              <w:rPr>
                <w:color w:val="auto"/>
              </w:rPr>
            </w:pPr>
            <w:r>
              <w:rPr>
                <w:color w:val="auto"/>
              </w:rPr>
              <w:t>3</w:t>
            </w:r>
          </w:p>
        </w:tc>
        <w:tc>
          <w:tcPr>
            <w:tcW w:w="1438" w:type="dxa"/>
            <w:vMerge w:val="restart"/>
            <w:vAlign w:val="center"/>
          </w:tcPr>
          <w:p w14:paraId="1DCBEDD2">
            <w:pPr>
              <w:pStyle w:val="33"/>
              <w:rPr>
                <w:color w:val="auto"/>
              </w:rPr>
            </w:pPr>
            <w:r>
              <w:rPr>
                <w:color w:val="auto"/>
              </w:rPr>
              <w:t>铜</w:t>
            </w:r>
          </w:p>
        </w:tc>
        <w:tc>
          <w:tcPr>
            <w:tcW w:w="3790" w:type="dxa"/>
            <w:vAlign w:val="center"/>
          </w:tcPr>
          <w:p w14:paraId="336F48E3">
            <w:pPr>
              <w:pStyle w:val="33"/>
              <w:rPr>
                <w:color w:val="auto"/>
              </w:rPr>
            </w:pPr>
            <w:r>
              <w:rPr>
                <w:color w:val="auto"/>
              </w:rPr>
              <w:t>监测结果</w:t>
            </w:r>
          </w:p>
        </w:tc>
        <w:tc>
          <w:tcPr>
            <w:tcW w:w="2749" w:type="dxa"/>
            <w:vAlign w:val="center"/>
          </w:tcPr>
          <w:p w14:paraId="4F4BFDC3">
            <w:pPr>
              <w:pStyle w:val="33"/>
              <w:rPr>
                <w:color w:val="auto"/>
              </w:rPr>
            </w:pPr>
          </w:p>
        </w:tc>
      </w:tr>
      <w:tr w14:paraId="4EA77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5803EE94">
            <w:pPr>
              <w:pStyle w:val="33"/>
              <w:rPr>
                <w:color w:val="auto"/>
              </w:rPr>
            </w:pPr>
          </w:p>
        </w:tc>
        <w:tc>
          <w:tcPr>
            <w:tcW w:w="1438" w:type="dxa"/>
            <w:vMerge w:val="continue"/>
            <w:vAlign w:val="center"/>
          </w:tcPr>
          <w:p w14:paraId="29E49403">
            <w:pPr>
              <w:pStyle w:val="33"/>
              <w:rPr>
                <w:color w:val="auto"/>
              </w:rPr>
            </w:pPr>
          </w:p>
        </w:tc>
        <w:tc>
          <w:tcPr>
            <w:tcW w:w="3790" w:type="dxa"/>
            <w:vAlign w:val="center"/>
          </w:tcPr>
          <w:p w14:paraId="410EEE50">
            <w:pPr>
              <w:pStyle w:val="33"/>
              <w:rPr>
                <w:color w:val="auto"/>
              </w:rPr>
            </w:pPr>
            <w:r>
              <w:rPr>
                <w:color w:val="auto"/>
              </w:rPr>
              <w:t>标准限值</w:t>
            </w:r>
          </w:p>
        </w:tc>
        <w:tc>
          <w:tcPr>
            <w:tcW w:w="2749" w:type="dxa"/>
            <w:vAlign w:val="center"/>
          </w:tcPr>
          <w:p w14:paraId="74D947E1">
            <w:pPr>
              <w:pStyle w:val="33"/>
              <w:rPr>
                <w:color w:val="auto"/>
              </w:rPr>
            </w:pPr>
          </w:p>
        </w:tc>
      </w:tr>
      <w:tr w14:paraId="7BBCC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0923C2A6">
            <w:pPr>
              <w:pStyle w:val="33"/>
              <w:rPr>
                <w:color w:val="auto"/>
              </w:rPr>
            </w:pPr>
          </w:p>
        </w:tc>
        <w:tc>
          <w:tcPr>
            <w:tcW w:w="1438" w:type="dxa"/>
            <w:vMerge w:val="continue"/>
            <w:vAlign w:val="center"/>
          </w:tcPr>
          <w:p w14:paraId="3BEF1666">
            <w:pPr>
              <w:pStyle w:val="33"/>
              <w:rPr>
                <w:color w:val="auto"/>
              </w:rPr>
            </w:pPr>
          </w:p>
        </w:tc>
        <w:tc>
          <w:tcPr>
            <w:tcW w:w="3790" w:type="dxa"/>
            <w:vAlign w:val="center"/>
          </w:tcPr>
          <w:p w14:paraId="5E3B1474">
            <w:pPr>
              <w:pStyle w:val="33"/>
              <w:rPr>
                <w:color w:val="auto"/>
              </w:rPr>
            </w:pPr>
            <w:r>
              <w:rPr>
                <w:color w:val="auto"/>
              </w:rPr>
              <w:t>Pi</w:t>
            </w:r>
          </w:p>
        </w:tc>
        <w:tc>
          <w:tcPr>
            <w:tcW w:w="2749" w:type="dxa"/>
            <w:vAlign w:val="center"/>
          </w:tcPr>
          <w:p w14:paraId="1B8C9855">
            <w:pPr>
              <w:pStyle w:val="33"/>
              <w:rPr>
                <w:color w:val="auto"/>
              </w:rPr>
            </w:pPr>
          </w:p>
        </w:tc>
      </w:tr>
      <w:tr w14:paraId="4DDF0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144AC66B">
            <w:pPr>
              <w:pStyle w:val="33"/>
              <w:rPr>
                <w:color w:val="auto"/>
              </w:rPr>
            </w:pPr>
            <w:r>
              <w:rPr>
                <w:color w:val="auto"/>
              </w:rPr>
              <w:t>4</w:t>
            </w:r>
          </w:p>
        </w:tc>
        <w:tc>
          <w:tcPr>
            <w:tcW w:w="1438" w:type="dxa"/>
            <w:vMerge w:val="restart"/>
            <w:vAlign w:val="center"/>
          </w:tcPr>
          <w:p w14:paraId="13AAA58E">
            <w:pPr>
              <w:pStyle w:val="33"/>
              <w:rPr>
                <w:color w:val="auto"/>
              </w:rPr>
            </w:pPr>
            <w:r>
              <w:rPr>
                <w:color w:val="auto"/>
              </w:rPr>
              <w:t>锌</w:t>
            </w:r>
          </w:p>
        </w:tc>
        <w:tc>
          <w:tcPr>
            <w:tcW w:w="3790" w:type="dxa"/>
            <w:vAlign w:val="center"/>
          </w:tcPr>
          <w:p w14:paraId="149DF249">
            <w:pPr>
              <w:pStyle w:val="33"/>
              <w:rPr>
                <w:color w:val="auto"/>
              </w:rPr>
            </w:pPr>
            <w:r>
              <w:rPr>
                <w:color w:val="auto"/>
              </w:rPr>
              <w:t>监测结果</w:t>
            </w:r>
          </w:p>
        </w:tc>
        <w:tc>
          <w:tcPr>
            <w:tcW w:w="2749" w:type="dxa"/>
            <w:vAlign w:val="center"/>
          </w:tcPr>
          <w:p w14:paraId="0A6488C1">
            <w:pPr>
              <w:pStyle w:val="33"/>
              <w:rPr>
                <w:color w:val="auto"/>
              </w:rPr>
            </w:pPr>
          </w:p>
        </w:tc>
      </w:tr>
      <w:tr w14:paraId="368BC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009D58BF">
            <w:pPr>
              <w:pStyle w:val="33"/>
              <w:rPr>
                <w:color w:val="auto"/>
              </w:rPr>
            </w:pPr>
          </w:p>
        </w:tc>
        <w:tc>
          <w:tcPr>
            <w:tcW w:w="1438" w:type="dxa"/>
            <w:vMerge w:val="continue"/>
            <w:vAlign w:val="center"/>
          </w:tcPr>
          <w:p w14:paraId="2F624B63">
            <w:pPr>
              <w:pStyle w:val="33"/>
              <w:rPr>
                <w:color w:val="auto"/>
              </w:rPr>
            </w:pPr>
          </w:p>
        </w:tc>
        <w:tc>
          <w:tcPr>
            <w:tcW w:w="3790" w:type="dxa"/>
            <w:vAlign w:val="center"/>
          </w:tcPr>
          <w:p w14:paraId="68F2F10D">
            <w:pPr>
              <w:pStyle w:val="33"/>
              <w:rPr>
                <w:color w:val="auto"/>
              </w:rPr>
            </w:pPr>
            <w:r>
              <w:rPr>
                <w:color w:val="auto"/>
              </w:rPr>
              <w:t>标准限值</w:t>
            </w:r>
          </w:p>
        </w:tc>
        <w:tc>
          <w:tcPr>
            <w:tcW w:w="2749" w:type="dxa"/>
            <w:vAlign w:val="center"/>
          </w:tcPr>
          <w:p w14:paraId="4B166E21">
            <w:pPr>
              <w:pStyle w:val="33"/>
              <w:rPr>
                <w:color w:val="auto"/>
              </w:rPr>
            </w:pPr>
          </w:p>
        </w:tc>
      </w:tr>
      <w:tr w14:paraId="4723B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2B6F49FD">
            <w:pPr>
              <w:pStyle w:val="33"/>
              <w:rPr>
                <w:color w:val="auto"/>
              </w:rPr>
            </w:pPr>
          </w:p>
        </w:tc>
        <w:tc>
          <w:tcPr>
            <w:tcW w:w="1438" w:type="dxa"/>
            <w:vMerge w:val="continue"/>
            <w:vAlign w:val="center"/>
          </w:tcPr>
          <w:p w14:paraId="67764620">
            <w:pPr>
              <w:pStyle w:val="33"/>
              <w:rPr>
                <w:color w:val="auto"/>
              </w:rPr>
            </w:pPr>
          </w:p>
        </w:tc>
        <w:tc>
          <w:tcPr>
            <w:tcW w:w="3790" w:type="dxa"/>
            <w:vAlign w:val="center"/>
          </w:tcPr>
          <w:p w14:paraId="3F6D23F3">
            <w:pPr>
              <w:pStyle w:val="33"/>
              <w:rPr>
                <w:color w:val="auto"/>
              </w:rPr>
            </w:pPr>
            <w:r>
              <w:rPr>
                <w:color w:val="auto"/>
              </w:rPr>
              <w:t>Pi</w:t>
            </w:r>
          </w:p>
        </w:tc>
        <w:tc>
          <w:tcPr>
            <w:tcW w:w="2749" w:type="dxa"/>
            <w:vAlign w:val="center"/>
          </w:tcPr>
          <w:p w14:paraId="5908F173">
            <w:pPr>
              <w:pStyle w:val="33"/>
              <w:rPr>
                <w:color w:val="auto"/>
              </w:rPr>
            </w:pPr>
          </w:p>
        </w:tc>
      </w:tr>
      <w:tr w14:paraId="02DD1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3F2D8189">
            <w:pPr>
              <w:pStyle w:val="33"/>
              <w:rPr>
                <w:color w:val="auto"/>
              </w:rPr>
            </w:pPr>
            <w:r>
              <w:rPr>
                <w:color w:val="auto"/>
              </w:rPr>
              <w:t>5</w:t>
            </w:r>
          </w:p>
        </w:tc>
        <w:tc>
          <w:tcPr>
            <w:tcW w:w="1438" w:type="dxa"/>
            <w:vMerge w:val="restart"/>
            <w:vAlign w:val="center"/>
          </w:tcPr>
          <w:p w14:paraId="4FCF2907">
            <w:pPr>
              <w:pStyle w:val="33"/>
              <w:rPr>
                <w:color w:val="auto"/>
              </w:rPr>
            </w:pPr>
            <w:r>
              <w:rPr>
                <w:color w:val="auto"/>
              </w:rPr>
              <w:t>砷</w:t>
            </w:r>
          </w:p>
        </w:tc>
        <w:tc>
          <w:tcPr>
            <w:tcW w:w="3790" w:type="dxa"/>
            <w:vAlign w:val="center"/>
          </w:tcPr>
          <w:p w14:paraId="5965DD97">
            <w:pPr>
              <w:pStyle w:val="33"/>
              <w:rPr>
                <w:color w:val="auto"/>
              </w:rPr>
            </w:pPr>
            <w:r>
              <w:rPr>
                <w:color w:val="auto"/>
              </w:rPr>
              <w:t>监测结果</w:t>
            </w:r>
          </w:p>
        </w:tc>
        <w:tc>
          <w:tcPr>
            <w:tcW w:w="2749" w:type="dxa"/>
            <w:vAlign w:val="center"/>
          </w:tcPr>
          <w:p w14:paraId="33F2C0D9">
            <w:pPr>
              <w:pStyle w:val="33"/>
              <w:rPr>
                <w:color w:val="auto"/>
              </w:rPr>
            </w:pPr>
          </w:p>
        </w:tc>
      </w:tr>
      <w:tr w14:paraId="68A5A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7744E5C9">
            <w:pPr>
              <w:pStyle w:val="33"/>
              <w:rPr>
                <w:color w:val="auto"/>
              </w:rPr>
            </w:pPr>
          </w:p>
        </w:tc>
        <w:tc>
          <w:tcPr>
            <w:tcW w:w="1438" w:type="dxa"/>
            <w:vMerge w:val="continue"/>
            <w:vAlign w:val="center"/>
          </w:tcPr>
          <w:p w14:paraId="29303660">
            <w:pPr>
              <w:pStyle w:val="33"/>
              <w:rPr>
                <w:color w:val="auto"/>
              </w:rPr>
            </w:pPr>
          </w:p>
        </w:tc>
        <w:tc>
          <w:tcPr>
            <w:tcW w:w="3790" w:type="dxa"/>
            <w:vAlign w:val="center"/>
          </w:tcPr>
          <w:p w14:paraId="39A2D013">
            <w:pPr>
              <w:pStyle w:val="33"/>
              <w:rPr>
                <w:color w:val="auto"/>
              </w:rPr>
            </w:pPr>
            <w:r>
              <w:rPr>
                <w:color w:val="auto"/>
              </w:rPr>
              <w:t>标准限值</w:t>
            </w:r>
          </w:p>
        </w:tc>
        <w:tc>
          <w:tcPr>
            <w:tcW w:w="2749" w:type="dxa"/>
            <w:vAlign w:val="center"/>
          </w:tcPr>
          <w:p w14:paraId="36154284">
            <w:pPr>
              <w:pStyle w:val="33"/>
              <w:rPr>
                <w:color w:val="auto"/>
              </w:rPr>
            </w:pPr>
          </w:p>
        </w:tc>
      </w:tr>
      <w:tr w14:paraId="5D98A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35BAFC62">
            <w:pPr>
              <w:pStyle w:val="33"/>
              <w:rPr>
                <w:color w:val="auto"/>
              </w:rPr>
            </w:pPr>
          </w:p>
        </w:tc>
        <w:tc>
          <w:tcPr>
            <w:tcW w:w="1438" w:type="dxa"/>
            <w:vMerge w:val="continue"/>
            <w:vAlign w:val="center"/>
          </w:tcPr>
          <w:p w14:paraId="617108B3">
            <w:pPr>
              <w:pStyle w:val="33"/>
              <w:rPr>
                <w:color w:val="auto"/>
              </w:rPr>
            </w:pPr>
          </w:p>
        </w:tc>
        <w:tc>
          <w:tcPr>
            <w:tcW w:w="3790" w:type="dxa"/>
            <w:vAlign w:val="center"/>
          </w:tcPr>
          <w:p w14:paraId="4867B7B5">
            <w:pPr>
              <w:pStyle w:val="33"/>
              <w:rPr>
                <w:color w:val="auto"/>
              </w:rPr>
            </w:pPr>
            <w:r>
              <w:rPr>
                <w:color w:val="auto"/>
              </w:rPr>
              <w:t>Pi</w:t>
            </w:r>
          </w:p>
        </w:tc>
        <w:tc>
          <w:tcPr>
            <w:tcW w:w="2749" w:type="dxa"/>
            <w:vAlign w:val="center"/>
          </w:tcPr>
          <w:p w14:paraId="4DFF7E2F">
            <w:pPr>
              <w:pStyle w:val="33"/>
              <w:rPr>
                <w:color w:val="auto"/>
              </w:rPr>
            </w:pPr>
          </w:p>
        </w:tc>
      </w:tr>
      <w:tr w14:paraId="15D8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8" w:hRule="atLeast"/>
          <w:jc w:val="center"/>
        </w:trPr>
        <w:tc>
          <w:tcPr>
            <w:tcW w:w="1022" w:type="dxa"/>
            <w:vMerge w:val="restart"/>
            <w:vAlign w:val="center"/>
          </w:tcPr>
          <w:p w14:paraId="45184239">
            <w:pPr>
              <w:pStyle w:val="33"/>
              <w:rPr>
                <w:color w:val="auto"/>
              </w:rPr>
            </w:pPr>
            <w:r>
              <w:rPr>
                <w:color w:val="auto"/>
              </w:rPr>
              <w:t>6</w:t>
            </w:r>
          </w:p>
        </w:tc>
        <w:tc>
          <w:tcPr>
            <w:tcW w:w="1438" w:type="dxa"/>
            <w:vMerge w:val="restart"/>
            <w:vAlign w:val="center"/>
          </w:tcPr>
          <w:p w14:paraId="4EB15C86">
            <w:pPr>
              <w:pStyle w:val="33"/>
              <w:rPr>
                <w:color w:val="auto"/>
              </w:rPr>
            </w:pPr>
            <w:r>
              <w:rPr>
                <w:color w:val="auto"/>
              </w:rPr>
              <w:t>总汞</w:t>
            </w:r>
          </w:p>
        </w:tc>
        <w:tc>
          <w:tcPr>
            <w:tcW w:w="3790" w:type="dxa"/>
            <w:vAlign w:val="center"/>
          </w:tcPr>
          <w:p w14:paraId="05375607">
            <w:pPr>
              <w:pStyle w:val="33"/>
              <w:rPr>
                <w:color w:val="auto"/>
              </w:rPr>
            </w:pPr>
            <w:r>
              <w:rPr>
                <w:color w:val="auto"/>
              </w:rPr>
              <w:t>监测结果</w:t>
            </w:r>
          </w:p>
        </w:tc>
        <w:tc>
          <w:tcPr>
            <w:tcW w:w="2749" w:type="dxa"/>
            <w:vAlign w:val="center"/>
          </w:tcPr>
          <w:p w14:paraId="36EBF9C0">
            <w:pPr>
              <w:pStyle w:val="33"/>
              <w:rPr>
                <w:color w:val="auto"/>
              </w:rPr>
            </w:pPr>
          </w:p>
        </w:tc>
      </w:tr>
      <w:tr w14:paraId="543D1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40B61C08">
            <w:pPr>
              <w:pStyle w:val="33"/>
              <w:rPr>
                <w:color w:val="auto"/>
              </w:rPr>
            </w:pPr>
          </w:p>
        </w:tc>
        <w:tc>
          <w:tcPr>
            <w:tcW w:w="1438" w:type="dxa"/>
            <w:vMerge w:val="continue"/>
            <w:vAlign w:val="center"/>
          </w:tcPr>
          <w:p w14:paraId="255E3E24">
            <w:pPr>
              <w:pStyle w:val="33"/>
              <w:rPr>
                <w:color w:val="auto"/>
              </w:rPr>
            </w:pPr>
          </w:p>
        </w:tc>
        <w:tc>
          <w:tcPr>
            <w:tcW w:w="3790" w:type="dxa"/>
            <w:vAlign w:val="center"/>
          </w:tcPr>
          <w:p w14:paraId="2B82BFC0">
            <w:pPr>
              <w:pStyle w:val="33"/>
              <w:rPr>
                <w:color w:val="auto"/>
              </w:rPr>
            </w:pPr>
            <w:r>
              <w:rPr>
                <w:color w:val="auto"/>
              </w:rPr>
              <w:t>标准限值</w:t>
            </w:r>
          </w:p>
        </w:tc>
        <w:tc>
          <w:tcPr>
            <w:tcW w:w="2749" w:type="dxa"/>
            <w:vAlign w:val="center"/>
          </w:tcPr>
          <w:p w14:paraId="5202E5F7">
            <w:pPr>
              <w:pStyle w:val="33"/>
              <w:rPr>
                <w:color w:val="auto"/>
              </w:rPr>
            </w:pPr>
          </w:p>
        </w:tc>
      </w:tr>
      <w:tr w14:paraId="23B53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47B20E33">
            <w:pPr>
              <w:pStyle w:val="33"/>
              <w:rPr>
                <w:color w:val="auto"/>
              </w:rPr>
            </w:pPr>
          </w:p>
        </w:tc>
        <w:tc>
          <w:tcPr>
            <w:tcW w:w="1438" w:type="dxa"/>
            <w:vMerge w:val="continue"/>
            <w:vAlign w:val="center"/>
          </w:tcPr>
          <w:p w14:paraId="14D79318">
            <w:pPr>
              <w:pStyle w:val="33"/>
              <w:rPr>
                <w:color w:val="auto"/>
              </w:rPr>
            </w:pPr>
          </w:p>
        </w:tc>
        <w:tc>
          <w:tcPr>
            <w:tcW w:w="3790" w:type="dxa"/>
            <w:vAlign w:val="center"/>
          </w:tcPr>
          <w:p w14:paraId="2D32CE05">
            <w:pPr>
              <w:pStyle w:val="33"/>
              <w:rPr>
                <w:color w:val="auto"/>
              </w:rPr>
            </w:pPr>
            <w:r>
              <w:rPr>
                <w:color w:val="auto"/>
              </w:rPr>
              <w:t>Pi</w:t>
            </w:r>
          </w:p>
        </w:tc>
        <w:tc>
          <w:tcPr>
            <w:tcW w:w="2749" w:type="dxa"/>
            <w:vAlign w:val="center"/>
          </w:tcPr>
          <w:p w14:paraId="1116688A">
            <w:pPr>
              <w:pStyle w:val="33"/>
              <w:rPr>
                <w:color w:val="auto"/>
              </w:rPr>
            </w:pPr>
          </w:p>
        </w:tc>
      </w:tr>
      <w:tr w14:paraId="35978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7B17F42A">
            <w:pPr>
              <w:pStyle w:val="33"/>
              <w:rPr>
                <w:color w:val="auto"/>
              </w:rPr>
            </w:pPr>
            <w:r>
              <w:rPr>
                <w:color w:val="auto"/>
              </w:rPr>
              <w:t>7</w:t>
            </w:r>
          </w:p>
        </w:tc>
        <w:tc>
          <w:tcPr>
            <w:tcW w:w="1438" w:type="dxa"/>
            <w:vMerge w:val="restart"/>
            <w:vAlign w:val="center"/>
          </w:tcPr>
          <w:p w14:paraId="60FEE69E">
            <w:pPr>
              <w:pStyle w:val="33"/>
              <w:rPr>
                <w:color w:val="auto"/>
              </w:rPr>
            </w:pPr>
            <w:r>
              <w:rPr>
                <w:color w:val="auto"/>
              </w:rPr>
              <w:t>铬</w:t>
            </w:r>
          </w:p>
        </w:tc>
        <w:tc>
          <w:tcPr>
            <w:tcW w:w="3790" w:type="dxa"/>
            <w:vAlign w:val="center"/>
          </w:tcPr>
          <w:p w14:paraId="2DE222E0">
            <w:pPr>
              <w:pStyle w:val="33"/>
              <w:rPr>
                <w:color w:val="auto"/>
              </w:rPr>
            </w:pPr>
            <w:r>
              <w:rPr>
                <w:color w:val="auto"/>
              </w:rPr>
              <w:t>监测结果</w:t>
            </w:r>
          </w:p>
        </w:tc>
        <w:tc>
          <w:tcPr>
            <w:tcW w:w="2749" w:type="dxa"/>
            <w:vAlign w:val="center"/>
          </w:tcPr>
          <w:p w14:paraId="5760BF4B">
            <w:pPr>
              <w:pStyle w:val="33"/>
              <w:rPr>
                <w:color w:val="auto"/>
              </w:rPr>
            </w:pPr>
          </w:p>
        </w:tc>
      </w:tr>
      <w:tr w14:paraId="22AEA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11B752B3">
            <w:pPr>
              <w:pStyle w:val="33"/>
              <w:rPr>
                <w:color w:val="auto"/>
              </w:rPr>
            </w:pPr>
          </w:p>
        </w:tc>
        <w:tc>
          <w:tcPr>
            <w:tcW w:w="1438" w:type="dxa"/>
            <w:vMerge w:val="continue"/>
            <w:vAlign w:val="center"/>
          </w:tcPr>
          <w:p w14:paraId="40EC4DA8">
            <w:pPr>
              <w:pStyle w:val="33"/>
              <w:rPr>
                <w:color w:val="auto"/>
              </w:rPr>
            </w:pPr>
          </w:p>
        </w:tc>
        <w:tc>
          <w:tcPr>
            <w:tcW w:w="3790" w:type="dxa"/>
            <w:vAlign w:val="center"/>
          </w:tcPr>
          <w:p w14:paraId="446BFB73">
            <w:pPr>
              <w:pStyle w:val="33"/>
              <w:rPr>
                <w:color w:val="auto"/>
              </w:rPr>
            </w:pPr>
            <w:r>
              <w:rPr>
                <w:color w:val="auto"/>
              </w:rPr>
              <w:t>标准限值</w:t>
            </w:r>
          </w:p>
        </w:tc>
        <w:tc>
          <w:tcPr>
            <w:tcW w:w="2749" w:type="dxa"/>
            <w:vAlign w:val="center"/>
          </w:tcPr>
          <w:p w14:paraId="7D9A474F">
            <w:pPr>
              <w:pStyle w:val="33"/>
              <w:rPr>
                <w:color w:val="auto"/>
              </w:rPr>
            </w:pPr>
          </w:p>
        </w:tc>
      </w:tr>
      <w:tr w14:paraId="31E6C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2265F725">
            <w:pPr>
              <w:pStyle w:val="33"/>
              <w:rPr>
                <w:color w:val="auto"/>
              </w:rPr>
            </w:pPr>
          </w:p>
        </w:tc>
        <w:tc>
          <w:tcPr>
            <w:tcW w:w="1438" w:type="dxa"/>
            <w:vMerge w:val="continue"/>
            <w:vAlign w:val="center"/>
          </w:tcPr>
          <w:p w14:paraId="3CC709BA">
            <w:pPr>
              <w:pStyle w:val="33"/>
              <w:rPr>
                <w:color w:val="auto"/>
              </w:rPr>
            </w:pPr>
          </w:p>
        </w:tc>
        <w:tc>
          <w:tcPr>
            <w:tcW w:w="3790" w:type="dxa"/>
            <w:vAlign w:val="center"/>
          </w:tcPr>
          <w:p w14:paraId="3ACD02C1">
            <w:pPr>
              <w:pStyle w:val="33"/>
              <w:rPr>
                <w:color w:val="auto"/>
              </w:rPr>
            </w:pPr>
            <w:r>
              <w:rPr>
                <w:color w:val="auto"/>
              </w:rPr>
              <w:t>Pi</w:t>
            </w:r>
          </w:p>
        </w:tc>
        <w:tc>
          <w:tcPr>
            <w:tcW w:w="2749" w:type="dxa"/>
            <w:vAlign w:val="center"/>
          </w:tcPr>
          <w:p w14:paraId="65EF8C50">
            <w:pPr>
              <w:pStyle w:val="33"/>
              <w:rPr>
                <w:color w:val="auto"/>
              </w:rPr>
            </w:pPr>
          </w:p>
        </w:tc>
      </w:tr>
      <w:tr w14:paraId="6499E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7EC56768">
            <w:pPr>
              <w:pStyle w:val="33"/>
              <w:rPr>
                <w:color w:val="auto"/>
              </w:rPr>
            </w:pPr>
            <w:r>
              <w:rPr>
                <w:color w:val="auto"/>
              </w:rPr>
              <w:t>8</w:t>
            </w:r>
          </w:p>
        </w:tc>
        <w:tc>
          <w:tcPr>
            <w:tcW w:w="1438" w:type="dxa"/>
            <w:vMerge w:val="restart"/>
            <w:vAlign w:val="center"/>
          </w:tcPr>
          <w:p w14:paraId="761D0CD2">
            <w:pPr>
              <w:pStyle w:val="33"/>
              <w:rPr>
                <w:color w:val="auto"/>
              </w:rPr>
            </w:pPr>
            <w:r>
              <w:rPr>
                <w:color w:val="auto"/>
              </w:rPr>
              <w:t>石油烃</w:t>
            </w:r>
          </w:p>
        </w:tc>
        <w:tc>
          <w:tcPr>
            <w:tcW w:w="3790" w:type="dxa"/>
            <w:vAlign w:val="center"/>
          </w:tcPr>
          <w:p w14:paraId="5381C0DC">
            <w:pPr>
              <w:pStyle w:val="33"/>
              <w:rPr>
                <w:color w:val="auto"/>
              </w:rPr>
            </w:pPr>
            <w:r>
              <w:rPr>
                <w:color w:val="auto"/>
              </w:rPr>
              <w:t>监测结果</w:t>
            </w:r>
          </w:p>
        </w:tc>
        <w:tc>
          <w:tcPr>
            <w:tcW w:w="2749" w:type="dxa"/>
            <w:vAlign w:val="center"/>
          </w:tcPr>
          <w:p w14:paraId="33D09968">
            <w:pPr>
              <w:pStyle w:val="33"/>
              <w:rPr>
                <w:color w:val="auto"/>
              </w:rPr>
            </w:pPr>
          </w:p>
        </w:tc>
      </w:tr>
      <w:tr w14:paraId="36C01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7FBF26D3">
            <w:pPr>
              <w:pStyle w:val="33"/>
              <w:rPr>
                <w:color w:val="auto"/>
              </w:rPr>
            </w:pPr>
          </w:p>
        </w:tc>
        <w:tc>
          <w:tcPr>
            <w:tcW w:w="1438" w:type="dxa"/>
            <w:vMerge w:val="continue"/>
            <w:vAlign w:val="center"/>
          </w:tcPr>
          <w:p w14:paraId="63416117">
            <w:pPr>
              <w:pStyle w:val="33"/>
              <w:rPr>
                <w:color w:val="auto"/>
              </w:rPr>
            </w:pPr>
          </w:p>
        </w:tc>
        <w:tc>
          <w:tcPr>
            <w:tcW w:w="3790" w:type="dxa"/>
            <w:vAlign w:val="center"/>
          </w:tcPr>
          <w:p w14:paraId="5E3693AF">
            <w:pPr>
              <w:pStyle w:val="33"/>
              <w:rPr>
                <w:color w:val="auto"/>
              </w:rPr>
            </w:pPr>
            <w:r>
              <w:rPr>
                <w:color w:val="auto"/>
              </w:rPr>
              <w:t>标准限值</w:t>
            </w:r>
          </w:p>
        </w:tc>
        <w:tc>
          <w:tcPr>
            <w:tcW w:w="2749" w:type="dxa"/>
            <w:vAlign w:val="center"/>
          </w:tcPr>
          <w:p w14:paraId="6ECC82BA">
            <w:pPr>
              <w:pStyle w:val="33"/>
              <w:rPr>
                <w:color w:val="auto"/>
              </w:rPr>
            </w:pPr>
          </w:p>
        </w:tc>
      </w:tr>
      <w:tr w14:paraId="1A656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025ED60B">
            <w:pPr>
              <w:pStyle w:val="33"/>
              <w:rPr>
                <w:color w:val="auto"/>
              </w:rPr>
            </w:pPr>
          </w:p>
        </w:tc>
        <w:tc>
          <w:tcPr>
            <w:tcW w:w="1438" w:type="dxa"/>
            <w:vMerge w:val="continue"/>
            <w:vAlign w:val="center"/>
          </w:tcPr>
          <w:p w14:paraId="0B46160D">
            <w:pPr>
              <w:pStyle w:val="33"/>
              <w:rPr>
                <w:color w:val="auto"/>
              </w:rPr>
            </w:pPr>
          </w:p>
        </w:tc>
        <w:tc>
          <w:tcPr>
            <w:tcW w:w="3790" w:type="dxa"/>
            <w:vAlign w:val="center"/>
          </w:tcPr>
          <w:p w14:paraId="1AC8B117">
            <w:pPr>
              <w:pStyle w:val="33"/>
              <w:rPr>
                <w:color w:val="auto"/>
              </w:rPr>
            </w:pPr>
            <w:r>
              <w:rPr>
                <w:color w:val="auto"/>
              </w:rPr>
              <w:t>Pi</w:t>
            </w:r>
          </w:p>
        </w:tc>
        <w:tc>
          <w:tcPr>
            <w:tcW w:w="2749" w:type="dxa"/>
            <w:vAlign w:val="center"/>
          </w:tcPr>
          <w:p w14:paraId="203E8AF3">
            <w:pPr>
              <w:pStyle w:val="33"/>
              <w:rPr>
                <w:color w:val="auto"/>
              </w:rPr>
            </w:pPr>
          </w:p>
        </w:tc>
      </w:tr>
      <w:tr w14:paraId="54C96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restart"/>
            <w:vAlign w:val="center"/>
          </w:tcPr>
          <w:p w14:paraId="3E57B6A7">
            <w:pPr>
              <w:pStyle w:val="33"/>
              <w:rPr>
                <w:color w:val="auto"/>
              </w:rPr>
            </w:pPr>
            <w:r>
              <w:rPr>
                <w:color w:val="auto"/>
              </w:rPr>
              <w:t>9</w:t>
            </w:r>
          </w:p>
        </w:tc>
        <w:tc>
          <w:tcPr>
            <w:tcW w:w="1438" w:type="dxa"/>
            <w:vMerge w:val="restart"/>
            <w:vAlign w:val="center"/>
          </w:tcPr>
          <w:p w14:paraId="46070643">
            <w:pPr>
              <w:pStyle w:val="33"/>
              <w:rPr>
                <w:color w:val="auto"/>
              </w:rPr>
            </w:pPr>
            <w:r>
              <w:rPr>
                <w:color w:val="auto"/>
              </w:rPr>
              <w:t>镍</w:t>
            </w:r>
          </w:p>
        </w:tc>
        <w:tc>
          <w:tcPr>
            <w:tcW w:w="3790" w:type="dxa"/>
            <w:vAlign w:val="center"/>
          </w:tcPr>
          <w:p w14:paraId="1688158E">
            <w:pPr>
              <w:pStyle w:val="33"/>
              <w:rPr>
                <w:color w:val="auto"/>
              </w:rPr>
            </w:pPr>
            <w:r>
              <w:rPr>
                <w:color w:val="auto"/>
              </w:rPr>
              <w:t>监测结果</w:t>
            </w:r>
          </w:p>
        </w:tc>
        <w:tc>
          <w:tcPr>
            <w:tcW w:w="2749" w:type="dxa"/>
            <w:vAlign w:val="center"/>
          </w:tcPr>
          <w:p w14:paraId="7DAF9A8F">
            <w:pPr>
              <w:pStyle w:val="33"/>
              <w:rPr>
                <w:color w:val="auto"/>
              </w:rPr>
            </w:pPr>
          </w:p>
        </w:tc>
      </w:tr>
      <w:tr w14:paraId="64B8F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4D5D9FC6">
            <w:pPr>
              <w:pStyle w:val="33"/>
              <w:rPr>
                <w:color w:val="auto"/>
              </w:rPr>
            </w:pPr>
          </w:p>
        </w:tc>
        <w:tc>
          <w:tcPr>
            <w:tcW w:w="1438" w:type="dxa"/>
            <w:vMerge w:val="continue"/>
            <w:vAlign w:val="center"/>
          </w:tcPr>
          <w:p w14:paraId="1BC7439A">
            <w:pPr>
              <w:pStyle w:val="33"/>
              <w:rPr>
                <w:color w:val="auto"/>
              </w:rPr>
            </w:pPr>
          </w:p>
        </w:tc>
        <w:tc>
          <w:tcPr>
            <w:tcW w:w="3790" w:type="dxa"/>
            <w:vAlign w:val="center"/>
          </w:tcPr>
          <w:p w14:paraId="46792829">
            <w:pPr>
              <w:pStyle w:val="33"/>
              <w:rPr>
                <w:color w:val="auto"/>
              </w:rPr>
            </w:pPr>
            <w:r>
              <w:rPr>
                <w:color w:val="auto"/>
              </w:rPr>
              <w:t>标准限值</w:t>
            </w:r>
          </w:p>
        </w:tc>
        <w:tc>
          <w:tcPr>
            <w:tcW w:w="2749" w:type="dxa"/>
            <w:vAlign w:val="center"/>
          </w:tcPr>
          <w:p w14:paraId="31069618">
            <w:pPr>
              <w:pStyle w:val="33"/>
              <w:rPr>
                <w:color w:val="auto"/>
              </w:rPr>
            </w:pPr>
          </w:p>
        </w:tc>
      </w:tr>
      <w:tr w14:paraId="2238D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022" w:type="dxa"/>
            <w:vMerge w:val="continue"/>
            <w:vAlign w:val="center"/>
          </w:tcPr>
          <w:p w14:paraId="2613EE12">
            <w:pPr>
              <w:pStyle w:val="33"/>
              <w:rPr>
                <w:color w:val="auto"/>
              </w:rPr>
            </w:pPr>
          </w:p>
        </w:tc>
        <w:tc>
          <w:tcPr>
            <w:tcW w:w="1438" w:type="dxa"/>
            <w:vMerge w:val="continue"/>
            <w:vAlign w:val="center"/>
          </w:tcPr>
          <w:p w14:paraId="65A0F6D6">
            <w:pPr>
              <w:pStyle w:val="33"/>
              <w:rPr>
                <w:color w:val="auto"/>
              </w:rPr>
            </w:pPr>
          </w:p>
        </w:tc>
        <w:tc>
          <w:tcPr>
            <w:tcW w:w="3790" w:type="dxa"/>
            <w:vAlign w:val="center"/>
          </w:tcPr>
          <w:p w14:paraId="6B2A68D3">
            <w:pPr>
              <w:pStyle w:val="33"/>
              <w:rPr>
                <w:color w:val="auto"/>
              </w:rPr>
            </w:pPr>
            <w:r>
              <w:rPr>
                <w:color w:val="auto"/>
              </w:rPr>
              <w:t>Pi</w:t>
            </w:r>
          </w:p>
        </w:tc>
        <w:tc>
          <w:tcPr>
            <w:tcW w:w="2749" w:type="dxa"/>
            <w:vAlign w:val="center"/>
          </w:tcPr>
          <w:p w14:paraId="550454DF">
            <w:pPr>
              <w:pStyle w:val="33"/>
              <w:rPr>
                <w:color w:val="auto"/>
              </w:rPr>
            </w:pPr>
          </w:p>
        </w:tc>
      </w:tr>
    </w:tbl>
    <w:p w14:paraId="789D97EE">
      <w:pPr>
        <w:pStyle w:val="7"/>
        <w:rPr>
          <w:color w:val="auto"/>
        </w:rPr>
      </w:pPr>
      <w:r>
        <w:rPr>
          <w:color w:val="auto"/>
        </w:rPr>
        <w:t>生物质量分析与评价结果  单位：mg/kg</w:t>
      </w:r>
    </w:p>
    <w:tbl>
      <w:tblPr>
        <w:tblStyle w:val="26"/>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827"/>
        <w:gridCol w:w="2000"/>
        <w:gridCol w:w="1375"/>
        <w:gridCol w:w="1375"/>
        <w:gridCol w:w="1375"/>
        <w:gridCol w:w="1375"/>
      </w:tblGrid>
      <w:tr w14:paraId="4F392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blHeader/>
          <w:jc w:val="center"/>
        </w:trPr>
        <w:tc>
          <w:tcPr>
            <w:tcW w:w="733" w:type="dxa"/>
            <w:vMerge w:val="restart"/>
            <w:vAlign w:val="center"/>
          </w:tcPr>
          <w:p w14:paraId="50DA8F1A">
            <w:pPr>
              <w:pStyle w:val="33"/>
              <w:rPr>
                <w:color w:val="auto"/>
              </w:rPr>
            </w:pPr>
            <w:r>
              <w:rPr>
                <w:color w:val="auto"/>
              </w:rPr>
              <w:t>序号</w:t>
            </w:r>
          </w:p>
        </w:tc>
        <w:tc>
          <w:tcPr>
            <w:tcW w:w="2827" w:type="dxa"/>
            <w:gridSpan w:val="2"/>
            <w:vMerge w:val="restart"/>
            <w:vAlign w:val="center"/>
          </w:tcPr>
          <w:p w14:paraId="6BB0CC35">
            <w:pPr>
              <w:pStyle w:val="33"/>
              <w:rPr>
                <w:color w:val="auto"/>
              </w:rPr>
            </w:pPr>
            <w:r>
              <w:rPr>
                <w:color w:val="auto"/>
              </w:rPr>
              <w:t>项目</w:t>
            </w:r>
          </w:p>
        </w:tc>
        <w:tc>
          <w:tcPr>
            <w:tcW w:w="2750" w:type="dxa"/>
            <w:gridSpan w:val="2"/>
            <w:vAlign w:val="center"/>
          </w:tcPr>
          <w:p w14:paraId="7896FF71">
            <w:pPr>
              <w:pStyle w:val="33"/>
              <w:rPr>
                <w:bCs/>
                <w:color w:val="auto"/>
              </w:rPr>
            </w:pPr>
            <w:r>
              <w:rPr>
                <w:bCs/>
                <w:color w:val="auto"/>
              </w:rPr>
              <w:t>GX006</w:t>
            </w:r>
          </w:p>
        </w:tc>
        <w:tc>
          <w:tcPr>
            <w:tcW w:w="2750" w:type="dxa"/>
            <w:gridSpan w:val="2"/>
            <w:vAlign w:val="center"/>
          </w:tcPr>
          <w:p w14:paraId="53D28B5C">
            <w:pPr>
              <w:pStyle w:val="33"/>
              <w:rPr>
                <w:bCs/>
                <w:color w:val="auto"/>
              </w:rPr>
            </w:pPr>
            <w:r>
              <w:rPr>
                <w:bCs/>
                <w:color w:val="auto"/>
              </w:rPr>
              <w:t>GX008</w:t>
            </w:r>
          </w:p>
        </w:tc>
      </w:tr>
      <w:tr w14:paraId="1225A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blHeader/>
          <w:jc w:val="center"/>
        </w:trPr>
        <w:tc>
          <w:tcPr>
            <w:tcW w:w="733" w:type="dxa"/>
            <w:vMerge w:val="continue"/>
            <w:vAlign w:val="center"/>
          </w:tcPr>
          <w:p w14:paraId="5E5730D6">
            <w:pPr>
              <w:pStyle w:val="33"/>
              <w:rPr>
                <w:color w:val="auto"/>
              </w:rPr>
            </w:pPr>
          </w:p>
        </w:tc>
        <w:tc>
          <w:tcPr>
            <w:tcW w:w="2827" w:type="dxa"/>
            <w:gridSpan w:val="2"/>
            <w:vMerge w:val="continue"/>
            <w:vAlign w:val="center"/>
          </w:tcPr>
          <w:p w14:paraId="51F9761B">
            <w:pPr>
              <w:pStyle w:val="33"/>
              <w:rPr>
                <w:color w:val="auto"/>
              </w:rPr>
            </w:pPr>
          </w:p>
        </w:tc>
        <w:tc>
          <w:tcPr>
            <w:tcW w:w="1375" w:type="dxa"/>
            <w:vAlign w:val="center"/>
          </w:tcPr>
          <w:p w14:paraId="6A34C704">
            <w:pPr>
              <w:pStyle w:val="33"/>
              <w:rPr>
                <w:bCs/>
                <w:color w:val="auto"/>
              </w:rPr>
            </w:pPr>
            <w:r>
              <w:rPr>
                <w:bCs/>
                <w:color w:val="auto"/>
              </w:rPr>
              <w:t>鱼</w:t>
            </w:r>
          </w:p>
        </w:tc>
        <w:tc>
          <w:tcPr>
            <w:tcW w:w="1375" w:type="dxa"/>
            <w:vAlign w:val="center"/>
          </w:tcPr>
          <w:p w14:paraId="05C3E329">
            <w:pPr>
              <w:pStyle w:val="33"/>
              <w:rPr>
                <w:bCs/>
                <w:color w:val="auto"/>
              </w:rPr>
            </w:pPr>
            <w:r>
              <w:rPr>
                <w:bCs/>
                <w:color w:val="auto"/>
              </w:rPr>
              <w:t>牡蛎</w:t>
            </w:r>
          </w:p>
        </w:tc>
        <w:tc>
          <w:tcPr>
            <w:tcW w:w="1375" w:type="dxa"/>
            <w:vAlign w:val="center"/>
          </w:tcPr>
          <w:p w14:paraId="46EE554A">
            <w:pPr>
              <w:pStyle w:val="33"/>
              <w:rPr>
                <w:bCs/>
                <w:color w:val="auto"/>
              </w:rPr>
            </w:pPr>
            <w:r>
              <w:rPr>
                <w:bCs/>
                <w:color w:val="auto"/>
              </w:rPr>
              <w:t>鱼</w:t>
            </w:r>
          </w:p>
        </w:tc>
        <w:tc>
          <w:tcPr>
            <w:tcW w:w="1375" w:type="dxa"/>
            <w:vAlign w:val="center"/>
          </w:tcPr>
          <w:p w14:paraId="404AD6F8">
            <w:pPr>
              <w:pStyle w:val="33"/>
              <w:rPr>
                <w:bCs/>
                <w:color w:val="auto"/>
              </w:rPr>
            </w:pPr>
            <w:r>
              <w:rPr>
                <w:bCs/>
                <w:color w:val="auto"/>
              </w:rPr>
              <w:t>牡蛎</w:t>
            </w:r>
          </w:p>
        </w:tc>
      </w:tr>
      <w:tr w14:paraId="55E6A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Align w:val="center"/>
          </w:tcPr>
          <w:p w14:paraId="4AB0C079">
            <w:pPr>
              <w:pStyle w:val="33"/>
              <w:rPr>
                <w:color w:val="auto"/>
              </w:rPr>
            </w:pPr>
            <w:r>
              <w:rPr>
                <w:color w:val="auto"/>
              </w:rPr>
              <w:t>1</w:t>
            </w:r>
          </w:p>
        </w:tc>
        <w:tc>
          <w:tcPr>
            <w:tcW w:w="827" w:type="dxa"/>
            <w:vAlign w:val="center"/>
          </w:tcPr>
          <w:p w14:paraId="79D4CA67">
            <w:pPr>
              <w:pStyle w:val="33"/>
              <w:rPr>
                <w:color w:val="auto"/>
              </w:rPr>
            </w:pPr>
            <w:r>
              <w:rPr>
                <w:color w:val="auto"/>
              </w:rPr>
              <w:t>镍</w:t>
            </w:r>
          </w:p>
        </w:tc>
        <w:tc>
          <w:tcPr>
            <w:tcW w:w="2000" w:type="dxa"/>
            <w:vAlign w:val="center"/>
          </w:tcPr>
          <w:p w14:paraId="7365D98F">
            <w:pPr>
              <w:pStyle w:val="33"/>
              <w:rPr>
                <w:color w:val="auto"/>
              </w:rPr>
            </w:pPr>
            <w:r>
              <w:rPr>
                <w:color w:val="auto"/>
              </w:rPr>
              <w:t>监测结果</w:t>
            </w:r>
          </w:p>
        </w:tc>
        <w:tc>
          <w:tcPr>
            <w:tcW w:w="1375" w:type="dxa"/>
            <w:vAlign w:val="center"/>
          </w:tcPr>
          <w:p w14:paraId="255844CD">
            <w:pPr>
              <w:pStyle w:val="33"/>
              <w:rPr>
                <w:color w:val="auto"/>
              </w:rPr>
            </w:pPr>
          </w:p>
        </w:tc>
        <w:tc>
          <w:tcPr>
            <w:tcW w:w="1375" w:type="dxa"/>
            <w:vAlign w:val="center"/>
          </w:tcPr>
          <w:p w14:paraId="46543E12">
            <w:pPr>
              <w:pStyle w:val="33"/>
              <w:rPr>
                <w:color w:val="auto"/>
              </w:rPr>
            </w:pPr>
          </w:p>
        </w:tc>
        <w:tc>
          <w:tcPr>
            <w:tcW w:w="1375" w:type="dxa"/>
            <w:vAlign w:val="center"/>
          </w:tcPr>
          <w:p w14:paraId="28DE0AF6">
            <w:pPr>
              <w:pStyle w:val="33"/>
              <w:rPr>
                <w:color w:val="auto"/>
              </w:rPr>
            </w:pPr>
          </w:p>
        </w:tc>
        <w:tc>
          <w:tcPr>
            <w:tcW w:w="1375" w:type="dxa"/>
            <w:vAlign w:val="center"/>
          </w:tcPr>
          <w:p w14:paraId="695751B6">
            <w:pPr>
              <w:pStyle w:val="33"/>
              <w:rPr>
                <w:color w:val="auto"/>
              </w:rPr>
            </w:pPr>
          </w:p>
        </w:tc>
      </w:tr>
      <w:tr w14:paraId="02E77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Align w:val="center"/>
          </w:tcPr>
          <w:p w14:paraId="0C4F5B6D">
            <w:pPr>
              <w:pStyle w:val="33"/>
              <w:rPr>
                <w:color w:val="auto"/>
              </w:rPr>
            </w:pPr>
            <w:r>
              <w:rPr>
                <w:color w:val="auto"/>
              </w:rPr>
              <w:t>2</w:t>
            </w:r>
          </w:p>
        </w:tc>
        <w:tc>
          <w:tcPr>
            <w:tcW w:w="827" w:type="dxa"/>
            <w:vAlign w:val="center"/>
          </w:tcPr>
          <w:p w14:paraId="5B730D5B">
            <w:pPr>
              <w:pStyle w:val="33"/>
              <w:rPr>
                <w:color w:val="auto"/>
              </w:rPr>
            </w:pPr>
            <w:r>
              <w:rPr>
                <w:color w:val="auto"/>
              </w:rPr>
              <w:t>钴</w:t>
            </w:r>
          </w:p>
        </w:tc>
        <w:tc>
          <w:tcPr>
            <w:tcW w:w="2000" w:type="dxa"/>
            <w:vAlign w:val="center"/>
          </w:tcPr>
          <w:p w14:paraId="67D45511">
            <w:pPr>
              <w:pStyle w:val="33"/>
              <w:rPr>
                <w:color w:val="auto"/>
              </w:rPr>
            </w:pPr>
            <w:r>
              <w:rPr>
                <w:color w:val="auto"/>
              </w:rPr>
              <w:t>监测结果</w:t>
            </w:r>
          </w:p>
        </w:tc>
        <w:tc>
          <w:tcPr>
            <w:tcW w:w="1375" w:type="dxa"/>
            <w:vAlign w:val="center"/>
          </w:tcPr>
          <w:p w14:paraId="57D0546D">
            <w:pPr>
              <w:pStyle w:val="33"/>
              <w:rPr>
                <w:color w:val="auto"/>
              </w:rPr>
            </w:pPr>
          </w:p>
        </w:tc>
        <w:tc>
          <w:tcPr>
            <w:tcW w:w="1375" w:type="dxa"/>
            <w:vAlign w:val="center"/>
          </w:tcPr>
          <w:p w14:paraId="6E43BEF9">
            <w:pPr>
              <w:pStyle w:val="33"/>
              <w:rPr>
                <w:color w:val="auto"/>
              </w:rPr>
            </w:pPr>
          </w:p>
        </w:tc>
        <w:tc>
          <w:tcPr>
            <w:tcW w:w="1375" w:type="dxa"/>
            <w:vAlign w:val="center"/>
          </w:tcPr>
          <w:p w14:paraId="38024D72">
            <w:pPr>
              <w:pStyle w:val="33"/>
              <w:rPr>
                <w:color w:val="auto"/>
              </w:rPr>
            </w:pPr>
          </w:p>
        </w:tc>
        <w:tc>
          <w:tcPr>
            <w:tcW w:w="1375" w:type="dxa"/>
            <w:vAlign w:val="center"/>
          </w:tcPr>
          <w:p w14:paraId="4B61D2F9">
            <w:pPr>
              <w:pStyle w:val="33"/>
              <w:rPr>
                <w:color w:val="auto"/>
              </w:rPr>
            </w:pPr>
          </w:p>
        </w:tc>
      </w:tr>
      <w:tr w14:paraId="47973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Align w:val="center"/>
          </w:tcPr>
          <w:p w14:paraId="058D6BF7">
            <w:pPr>
              <w:pStyle w:val="33"/>
              <w:rPr>
                <w:color w:val="auto"/>
              </w:rPr>
            </w:pPr>
            <w:r>
              <w:rPr>
                <w:color w:val="auto"/>
              </w:rPr>
              <w:t>3</w:t>
            </w:r>
          </w:p>
        </w:tc>
        <w:tc>
          <w:tcPr>
            <w:tcW w:w="827" w:type="dxa"/>
            <w:vAlign w:val="center"/>
          </w:tcPr>
          <w:p w14:paraId="1D73934A">
            <w:pPr>
              <w:pStyle w:val="33"/>
              <w:rPr>
                <w:color w:val="auto"/>
              </w:rPr>
            </w:pPr>
            <w:r>
              <w:rPr>
                <w:color w:val="auto"/>
              </w:rPr>
              <w:t>锰</w:t>
            </w:r>
          </w:p>
        </w:tc>
        <w:tc>
          <w:tcPr>
            <w:tcW w:w="2000" w:type="dxa"/>
            <w:vAlign w:val="center"/>
          </w:tcPr>
          <w:p w14:paraId="75E63CF6">
            <w:pPr>
              <w:pStyle w:val="33"/>
              <w:rPr>
                <w:color w:val="auto"/>
              </w:rPr>
            </w:pPr>
            <w:r>
              <w:rPr>
                <w:color w:val="auto"/>
              </w:rPr>
              <w:t>监测结果</w:t>
            </w:r>
          </w:p>
        </w:tc>
        <w:tc>
          <w:tcPr>
            <w:tcW w:w="1375" w:type="dxa"/>
            <w:vAlign w:val="center"/>
          </w:tcPr>
          <w:p w14:paraId="1CBD9814">
            <w:pPr>
              <w:pStyle w:val="33"/>
              <w:rPr>
                <w:color w:val="auto"/>
              </w:rPr>
            </w:pPr>
          </w:p>
        </w:tc>
        <w:tc>
          <w:tcPr>
            <w:tcW w:w="1375" w:type="dxa"/>
            <w:vAlign w:val="center"/>
          </w:tcPr>
          <w:p w14:paraId="307FE5F2">
            <w:pPr>
              <w:pStyle w:val="33"/>
              <w:rPr>
                <w:color w:val="auto"/>
              </w:rPr>
            </w:pPr>
          </w:p>
        </w:tc>
        <w:tc>
          <w:tcPr>
            <w:tcW w:w="1375" w:type="dxa"/>
            <w:vAlign w:val="center"/>
          </w:tcPr>
          <w:p w14:paraId="35A554F9">
            <w:pPr>
              <w:pStyle w:val="33"/>
              <w:rPr>
                <w:color w:val="auto"/>
              </w:rPr>
            </w:pPr>
          </w:p>
        </w:tc>
        <w:tc>
          <w:tcPr>
            <w:tcW w:w="1375" w:type="dxa"/>
            <w:vAlign w:val="center"/>
          </w:tcPr>
          <w:p w14:paraId="22B9A90E">
            <w:pPr>
              <w:pStyle w:val="33"/>
              <w:rPr>
                <w:color w:val="auto"/>
              </w:rPr>
            </w:pPr>
          </w:p>
        </w:tc>
      </w:tr>
      <w:tr w14:paraId="366FA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Align w:val="center"/>
          </w:tcPr>
          <w:p w14:paraId="0EBF8E34">
            <w:pPr>
              <w:pStyle w:val="33"/>
              <w:rPr>
                <w:color w:val="auto"/>
              </w:rPr>
            </w:pPr>
            <w:r>
              <w:rPr>
                <w:color w:val="auto"/>
              </w:rPr>
              <w:t>4</w:t>
            </w:r>
          </w:p>
        </w:tc>
        <w:tc>
          <w:tcPr>
            <w:tcW w:w="827" w:type="dxa"/>
            <w:vAlign w:val="center"/>
          </w:tcPr>
          <w:p w14:paraId="65BF14E4">
            <w:pPr>
              <w:pStyle w:val="33"/>
              <w:rPr>
                <w:color w:val="auto"/>
              </w:rPr>
            </w:pPr>
            <w:r>
              <w:rPr>
                <w:color w:val="auto"/>
              </w:rPr>
              <w:t>铊</w:t>
            </w:r>
          </w:p>
        </w:tc>
        <w:tc>
          <w:tcPr>
            <w:tcW w:w="2000" w:type="dxa"/>
            <w:vAlign w:val="center"/>
          </w:tcPr>
          <w:p w14:paraId="6E914AEA">
            <w:pPr>
              <w:pStyle w:val="33"/>
              <w:rPr>
                <w:color w:val="auto"/>
              </w:rPr>
            </w:pPr>
            <w:r>
              <w:rPr>
                <w:color w:val="auto"/>
              </w:rPr>
              <w:t>监测结果</w:t>
            </w:r>
          </w:p>
        </w:tc>
        <w:tc>
          <w:tcPr>
            <w:tcW w:w="1375" w:type="dxa"/>
            <w:vAlign w:val="center"/>
          </w:tcPr>
          <w:p w14:paraId="56F3D5E9">
            <w:pPr>
              <w:pStyle w:val="33"/>
              <w:rPr>
                <w:color w:val="auto"/>
              </w:rPr>
            </w:pPr>
          </w:p>
        </w:tc>
        <w:tc>
          <w:tcPr>
            <w:tcW w:w="1375" w:type="dxa"/>
            <w:vAlign w:val="center"/>
          </w:tcPr>
          <w:p w14:paraId="636242DB">
            <w:pPr>
              <w:pStyle w:val="33"/>
              <w:rPr>
                <w:color w:val="auto"/>
              </w:rPr>
            </w:pPr>
          </w:p>
        </w:tc>
        <w:tc>
          <w:tcPr>
            <w:tcW w:w="1375" w:type="dxa"/>
            <w:vAlign w:val="center"/>
          </w:tcPr>
          <w:p w14:paraId="4BABA506">
            <w:pPr>
              <w:pStyle w:val="33"/>
              <w:rPr>
                <w:color w:val="auto"/>
              </w:rPr>
            </w:pPr>
          </w:p>
        </w:tc>
        <w:tc>
          <w:tcPr>
            <w:tcW w:w="1375" w:type="dxa"/>
            <w:vAlign w:val="center"/>
          </w:tcPr>
          <w:p w14:paraId="12E6AC60">
            <w:pPr>
              <w:pStyle w:val="33"/>
              <w:rPr>
                <w:color w:val="auto"/>
              </w:rPr>
            </w:pPr>
          </w:p>
        </w:tc>
      </w:tr>
      <w:tr w14:paraId="3F65B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Align w:val="center"/>
          </w:tcPr>
          <w:p w14:paraId="74539593">
            <w:pPr>
              <w:pStyle w:val="33"/>
              <w:rPr>
                <w:color w:val="auto"/>
              </w:rPr>
            </w:pPr>
            <w:r>
              <w:rPr>
                <w:color w:val="auto"/>
              </w:rPr>
              <w:t>5</w:t>
            </w:r>
          </w:p>
        </w:tc>
        <w:tc>
          <w:tcPr>
            <w:tcW w:w="827" w:type="dxa"/>
            <w:vAlign w:val="center"/>
          </w:tcPr>
          <w:p w14:paraId="459E2C20">
            <w:pPr>
              <w:pStyle w:val="33"/>
              <w:rPr>
                <w:color w:val="auto"/>
              </w:rPr>
            </w:pPr>
            <w:r>
              <w:rPr>
                <w:color w:val="auto"/>
              </w:rPr>
              <w:t>锑</w:t>
            </w:r>
          </w:p>
        </w:tc>
        <w:tc>
          <w:tcPr>
            <w:tcW w:w="2000" w:type="dxa"/>
            <w:vAlign w:val="center"/>
          </w:tcPr>
          <w:p w14:paraId="600FAE0D">
            <w:pPr>
              <w:pStyle w:val="33"/>
              <w:rPr>
                <w:color w:val="auto"/>
              </w:rPr>
            </w:pPr>
            <w:r>
              <w:rPr>
                <w:color w:val="auto"/>
              </w:rPr>
              <w:t>监测结果</w:t>
            </w:r>
          </w:p>
        </w:tc>
        <w:tc>
          <w:tcPr>
            <w:tcW w:w="1375" w:type="dxa"/>
            <w:vAlign w:val="center"/>
          </w:tcPr>
          <w:p w14:paraId="54950E2D">
            <w:pPr>
              <w:pStyle w:val="33"/>
              <w:rPr>
                <w:color w:val="auto"/>
              </w:rPr>
            </w:pPr>
          </w:p>
        </w:tc>
        <w:tc>
          <w:tcPr>
            <w:tcW w:w="1375" w:type="dxa"/>
            <w:vAlign w:val="center"/>
          </w:tcPr>
          <w:p w14:paraId="754DABF0">
            <w:pPr>
              <w:pStyle w:val="33"/>
              <w:rPr>
                <w:color w:val="auto"/>
              </w:rPr>
            </w:pPr>
          </w:p>
        </w:tc>
        <w:tc>
          <w:tcPr>
            <w:tcW w:w="1375" w:type="dxa"/>
            <w:vAlign w:val="center"/>
          </w:tcPr>
          <w:p w14:paraId="3FC9FCFD">
            <w:pPr>
              <w:pStyle w:val="33"/>
              <w:rPr>
                <w:color w:val="auto"/>
              </w:rPr>
            </w:pPr>
          </w:p>
        </w:tc>
        <w:tc>
          <w:tcPr>
            <w:tcW w:w="1375" w:type="dxa"/>
            <w:vAlign w:val="center"/>
          </w:tcPr>
          <w:p w14:paraId="42FB57D7">
            <w:pPr>
              <w:pStyle w:val="33"/>
              <w:rPr>
                <w:color w:val="auto"/>
              </w:rPr>
            </w:pPr>
          </w:p>
        </w:tc>
      </w:tr>
      <w:tr w14:paraId="266EF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Merge w:val="restart"/>
            <w:vAlign w:val="center"/>
          </w:tcPr>
          <w:p w14:paraId="3CFB96D1">
            <w:pPr>
              <w:pStyle w:val="33"/>
              <w:rPr>
                <w:color w:val="auto"/>
              </w:rPr>
            </w:pPr>
            <w:r>
              <w:rPr>
                <w:color w:val="auto"/>
              </w:rPr>
              <w:t>6</w:t>
            </w:r>
          </w:p>
        </w:tc>
        <w:tc>
          <w:tcPr>
            <w:tcW w:w="827" w:type="dxa"/>
            <w:vMerge w:val="restart"/>
            <w:vAlign w:val="center"/>
          </w:tcPr>
          <w:p w14:paraId="1AD5A040">
            <w:pPr>
              <w:pStyle w:val="33"/>
              <w:rPr>
                <w:color w:val="auto"/>
              </w:rPr>
            </w:pPr>
            <w:r>
              <w:rPr>
                <w:color w:val="auto"/>
              </w:rPr>
              <w:t>石油烃</w:t>
            </w:r>
          </w:p>
        </w:tc>
        <w:tc>
          <w:tcPr>
            <w:tcW w:w="2000" w:type="dxa"/>
            <w:vAlign w:val="center"/>
          </w:tcPr>
          <w:p w14:paraId="1071864D">
            <w:pPr>
              <w:pStyle w:val="33"/>
              <w:rPr>
                <w:color w:val="auto"/>
              </w:rPr>
            </w:pPr>
            <w:r>
              <w:rPr>
                <w:color w:val="auto"/>
              </w:rPr>
              <w:t>监测结果</w:t>
            </w:r>
          </w:p>
        </w:tc>
        <w:tc>
          <w:tcPr>
            <w:tcW w:w="1375" w:type="dxa"/>
            <w:vAlign w:val="center"/>
          </w:tcPr>
          <w:p w14:paraId="6E3A03A6">
            <w:pPr>
              <w:pStyle w:val="33"/>
              <w:rPr>
                <w:color w:val="auto"/>
              </w:rPr>
            </w:pPr>
          </w:p>
        </w:tc>
        <w:tc>
          <w:tcPr>
            <w:tcW w:w="1375" w:type="dxa"/>
            <w:vAlign w:val="center"/>
          </w:tcPr>
          <w:p w14:paraId="42AAE2AD">
            <w:pPr>
              <w:pStyle w:val="33"/>
              <w:rPr>
                <w:color w:val="auto"/>
              </w:rPr>
            </w:pPr>
          </w:p>
        </w:tc>
        <w:tc>
          <w:tcPr>
            <w:tcW w:w="1375" w:type="dxa"/>
            <w:vAlign w:val="center"/>
          </w:tcPr>
          <w:p w14:paraId="30C6EBED">
            <w:pPr>
              <w:pStyle w:val="33"/>
              <w:rPr>
                <w:color w:val="auto"/>
              </w:rPr>
            </w:pPr>
          </w:p>
        </w:tc>
        <w:tc>
          <w:tcPr>
            <w:tcW w:w="1375" w:type="dxa"/>
            <w:vAlign w:val="center"/>
          </w:tcPr>
          <w:p w14:paraId="5A55BE36">
            <w:pPr>
              <w:pStyle w:val="33"/>
              <w:rPr>
                <w:color w:val="auto"/>
              </w:rPr>
            </w:pPr>
          </w:p>
        </w:tc>
      </w:tr>
      <w:tr w14:paraId="5612A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Merge w:val="continue"/>
            <w:vAlign w:val="center"/>
          </w:tcPr>
          <w:p w14:paraId="09601D75">
            <w:pPr>
              <w:pStyle w:val="33"/>
              <w:rPr>
                <w:color w:val="auto"/>
              </w:rPr>
            </w:pPr>
          </w:p>
        </w:tc>
        <w:tc>
          <w:tcPr>
            <w:tcW w:w="827" w:type="dxa"/>
            <w:vMerge w:val="continue"/>
            <w:vAlign w:val="center"/>
          </w:tcPr>
          <w:p w14:paraId="4756BFBC">
            <w:pPr>
              <w:pStyle w:val="33"/>
              <w:rPr>
                <w:color w:val="auto"/>
              </w:rPr>
            </w:pPr>
          </w:p>
        </w:tc>
        <w:tc>
          <w:tcPr>
            <w:tcW w:w="2000" w:type="dxa"/>
            <w:vAlign w:val="center"/>
          </w:tcPr>
          <w:p w14:paraId="66066BE8">
            <w:pPr>
              <w:pStyle w:val="33"/>
              <w:rPr>
                <w:color w:val="auto"/>
              </w:rPr>
            </w:pPr>
            <w:r>
              <w:rPr>
                <w:color w:val="auto"/>
              </w:rPr>
              <w:t>标准限值</w:t>
            </w:r>
          </w:p>
        </w:tc>
        <w:tc>
          <w:tcPr>
            <w:tcW w:w="1375" w:type="dxa"/>
            <w:vAlign w:val="center"/>
          </w:tcPr>
          <w:p w14:paraId="1F66909B">
            <w:pPr>
              <w:pStyle w:val="33"/>
              <w:rPr>
                <w:color w:val="auto"/>
              </w:rPr>
            </w:pPr>
          </w:p>
        </w:tc>
        <w:tc>
          <w:tcPr>
            <w:tcW w:w="1375" w:type="dxa"/>
            <w:vAlign w:val="center"/>
          </w:tcPr>
          <w:p w14:paraId="3CC63E4F">
            <w:pPr>
              <w:pStyle w:val="33"/>
              <w:rPr>
                <w:color w:val="auto"/>
              </w:rPr>
            </w:pPr>
          </w:p>
        </w:tc>
        <w:tc>
          <w:tcPr>
            <w:tcW w:w="1375" w:type="dxa"/>
            <w:vAlign w:val="center"/>
          </w:tcPr>
          <w:p w14:paraId="1C5138CA">
            <w:pPr>
              <w:pStyle w:val="33"/>
              <w:rPr>
                <w:color w:val="auto"/>
              </w:rPr>
            </w:pPr>
          </w:p>
        </w:tc>
        <w:tc>
          <w:tcPr>
            <w:tcW w:w="1375" w:type="dxa"/>
          </w:tcPr>
          <w:p w14:paraId="72FC59EC">
            <w:pPr>
              <w:pStyle w:val="33"/>
              <w:rPr>
                <w:color w:val="auto"/>
              </w:rPr>
            </w:pPr>
          </w:p>
        </w:tc>
      </w:tr>
      <w:tr w14:paraId="7BC18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Merge w:val="continue"/>
            <w:vAlign w:val="center"/>
          </w:tcPr>
          <w:p w14:paraId="250E8275">
            <w:pPr>
              <w:pStyle w:val="33"/>
              <w:rPr>
                <w:color w:val="auto"/>
              </w:rPr>
            </w:pPr>
          </w:p>
        </w:tc>
        <w:tc>
          <w:tcPr>
            <w:tcW w:w="827" w:type="dxa"/>
            <w:vMerge w:val="continue"/>
            <w:vAlign w:val="center"/>
          </w:tcPr>
          <w:p w14:paraId="38AF784E">
            <w:pPr>
              <w:pStyle w:val="33"/>
              <w:rPr>
                <w:color w:val="auto"/>
              </w:rPr>
            </w:pPr>
          </w:p>
        </w:tc>
        <w:tc>
          <w:tcPr>
            <w:tcW w:w="2000" w:type="dxa"/>
            <w:vAlign w:val="center"/>
          </w:tcPr>
          <w:p w14:paraId="3EA70BD9">
            <w:pPr>
              <w:pStyle w:val="33"/>
              <w:rPr>
                <w:color w:val="auto"/>
              </w:rPr>
            </w:pPr>
            <w:r>
              <w:rPr>
                <w:color w:val="auto"/>
              </w:rPr>
              <w:t>Pi</w:t>
            </w:r>
          </w:p>
        </w:tc>
        <w:tc>
          <w:tcPr>
            <w:tcW w:w="1375" w:type="dxa"/>
            <w:vAlign w:val="center"/>
          </w:tcPr>
          <w:p w14:paraId="297E508F">
            <w:pPr>
              <w:pStyle w:val="33"/>
              <w:rPr>
                <w:color w:val="auto"/>
              </w:rPr>
            </w:pPr>
          </w:p>
        </w:tc>
        <w:tc>
          <w:tcPr>
            <w:tcW w:w="1375" w:type="dxa"/>
            <w:vAlign w:val="center"/>
          </w:tcPr>
          <w:p w14:paraId="6DE557C9">
            <w:pPr>
              <w:pStyle w:val="33"/>
              <w:rPr>
                <w:color w:val="auto"/>
              </w:rPr>
            </w:pPr>
          </w:p>
        </w:tc>
        <w:tc>
          <w:tcPr>
            <w:tcW w:w="1375" w:type="dxa"/>
            <w:vAlign w:val="center"/>
          </w:tcPr>
          <w:p w14:paraId="1265B20F">
            <w:pPr>
              <w:pStyle w:val="33"/>
              <w:rPr>
                <w:color w:val="auto"/>
              </w:rPr>
            </w:pPr>
          </w:p>
        </w:tc>
        <w:tc>
          <w:tcPr>
            <w:tcW w:w="1375" w:type="dxa"/>
          </w:tcPr>
          <w:p w14:paraId="626C9CA0">
            <w:pPr>
              <w:pStyle w:val="33"/>
              <w:rPr>
                <w:color w:val="auto"/>
              </w:rPr>
            </w:pPr>
          </w:p>
        </w:tc>
      </w:tr>
      <w:tr w14:paraId="4F6C7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733" w:type="dxa"/>
            <w:vMerge w:val="continue"/>
            <w:vAlign w:val="center"/>
          </w:tcPr>
          <w:p w14:paraId="49B01465">
            <w:pPr>
              <w:pStyle w:val="33"/>
              <w:rPr>
                <w:color w:val="auto"/>
              </w:rPr>
            </w:pPr>
          </w:p>
        </w:tc>
        <w:tc>
          <w:tcPr>
            <w:tcW w:w="827" w:type="dxa"/>
            <w:vMerge w:val="continue"/>
            <w:vAlign w:val="center"/>
          </w:tcPr>
          <w:p w14:paraId="030B337F">
            <w:pPr>
              <w:pStyle w:val="33"/>
              <w:rPr>
                <w:color w:val="auto"/>
              </w:rPr>
            </w:pPr>
          </w:p>
        </w:tc>
        <w:tc>
          <w:tcPr>
            <w:tcW w:w="2000" w:type="dxa"/>
            <w:vAlign w:val="center"/>
          </w:tcPr>
          <w:p w14:paraId="5FC34994">
            <w:pPr>
              <w:pStyle w:val="33"/>
              <w:rPr>
                <w:color w:val="auto"/>
              </w:rPr>
            </w:pPr>
            <w:r>
              <w:rPr>
                <w:color w:val="auto"/>
              </w:rPr>
              <w:t>超标率</w:t>
            </w:r>
          </w:p>
        </w:tc>
        <w:tc>
          <w:tcPr>
            <w:tcW w:w="1375" w:type="dxa"/>
            <w:vAlign w:val="center"/>
          </w:tcPr>
          <w:p w14:paraId="61EAA6AE">
            <w:pPr>
              <w:pStyle w:val="33"/>
              <w:rPr>
                <w:color w:val="auto"/>
              </w:rPr>
            </w:pPr>
          </w:p>
        </w:tc>
        <w:tc>
          <w:tcPr>
            <w:tcW w:w="1375" w:type="dxa"/>
            <w:vAlign w:val="center"/>
          </w:tcPr>
          <w:p w14:paraId="020951FB">
            <w:pPr>
              <w:pStyle w:val="33"/>
              <w:rPr>
                <w:color w:val="auto"/>
              </w:rPr>
            </w:pPr>
          </w:p>
        </w:tc>
        <w:tc>
          <w:tcPr>
            <w:tcW w:w="1375" w:type="dxa"/>
            <w:vAlign w:val="center"/>
          </w:tcPr>
          <w:p w14:paraId="3A9ACBD2">
            <w:pPr>
              <w:pStyle w:val="33"/>
              <w:rPr>
                <w:color w:val="auto"/>
              </w:rPr>
            </w:pPr>
          </w:p>
        </w:tc>
        <w:tc>
          <w:tcPr>
            <w:tcW w:w="1375" w:type="dxa"/>
            <w:vAlign w:val="center"/>
          </w:tcPr>
          <w:p w14:paraId="5F8A15A0">
            <w:pPr>
              <w:pStyle w:val="33"/>
              <w:rPr>
                <w:color w:val="auto"/>
              </w:rPr>
            </w:pPr>
          </w:p>
        </w:tc>
      </w:tr>
    </w:tbl>
    <w:p w14:paraId="1073A686">
      <w:pPr>
        <w:ind w:firstLine="0" w:firstLineChars="0"/>
        <w:rPr>
          <w:color w:val="auto"/>
          <w:kern w:val="0"/>
          <w:sz w:val="21"/>
          <w:szCs w:val="21"/>
        </w:rPr>
      </w:pPr>
      <w:r>
        <w:rPr>
          <w:color w:val="auto"/>
          <w:kern w:val="0"/>
          <w:sz w:val="21"/>
          <w:szCs w:val="21"/>
        </w:rPr>
        <w:t>注：ND以检出限的1/2计算</w:t>
      </w:r>
      <w:r>
        <w:rPr>
          <w:rFonts w:hint="eastAsia"/>
          <w:color w:val="auto"/>
          <w:kern w:val="0"/>
          <w:sz w:val="21"/>
          <w:szCs w:val="21"/>
        </w:rPr>
        <w:t>。</w:t>
      </w:r>
    </w:p>
    <w:p w14:paraId="3FC821D8">
      <w:pPr>
        <w:ind w:firstLine="480"/>
        <w:rPr>
          <w:color w:val="auto"/>
          <w:kern w:val="0"/>
        </w:rPr>
      </w:pPr>
      <w:r>
        <w:rPr>
          <w:color w:val="auto"/>
          <w:kern w:val="0"/>
        </w:rPr>
        <w:t>（6）小结</w:t>
      </w:r>
    </w:p>
    <w:p w14:paraId="7BC73A06">
      <w:pPr>
        <w:ind w:firstLine="480"/>
        <w:rPr>
          <w:color w:val="auto"/>
          <w:kern w:val="0"/>
        </w:rPr>
      </w:pPr>
      <w:r>
        <w:rPr>
          <w:color w:val="auto"/>
          <w:kern w:val="0"/>
        </w:rPr>
        <w:t>本项目引用监测报告中的3个海洋生物质量调查站位，分别为GX006、GX008及金鼓江，监测时间分别为2024年7月27日~2025年8月6日和2025年8月12日，监测因子为镉、铅、铜、锌、砷、总汞、铬、石油烃、镍、钴、锰、铊、锑共13项，文蛤中的镉、铅、铜、锌、砷、</w:t>
      </w:r>
      <w:r>
        <w:rPr>
          <w:rFonts w:hint="eastAsia"/>
          <w:color w:val="auto"/>
          <w:kern w:val="0"/>
        </w:rPr>
        <w:t>铬、</w:t>
      </w:r>
      <w:r>
        <w:rPr>
          <w:color w:val="auto"/>
          <w:kern w:val="0"/>
        </w:rPr>
        <w:t>总汞、石油烃和牡蛎中的石油烃均低于《海洋生物质量》（GB 18421-2001）表1海洋贝类生物质量标准值，鱼类中的石油类低于《环境影响评价导则 海洋生态环境》（HJ1409-2025）中的附录C标准限值；镍、钴、锰、铊、锑无相应标准，仅留作本低值。</w:t>
      </w:r>
    </w:p>
    <w:p w14:paraId="250A013A">
      <w:pPr>
        <w:pStyle w:val="3"/>
        <w:rPr>
          <w:color w:val="auto"/>
        </w:rPr>
      </w:pPr>
      <w:bookmarkStart w:id="332" w:name="_Toc225216748"/>
      <w:bookmarkStart w:id="333" w:name="_Toc198390596"/>
      <w:bookmarkStart w:id="334" w:name="_Toc198390025"/>
      <w:bookmarkStart w:id="335" w:name="_Toc198391249"/>
      <w:bookmarkStart w:id="336" w:name="_Toc199168951"/>
      <w:bookmarkStart w:id="337" w:name="_Toc221355721"/>
      <w:bookmarkStart w:id="338" w:name="_Toc199190488"/>
      <w:r>
        <w:rPr>
          <w:rFonts w:hint="eastAsia"/>
          <w:color w:val="auto"/>
        </w:rPr>
        <w:t>地下水环境质量现状调查及评价</w:t>
      </w:r>
      <w:bookmarkEnd w:id="332"/>
      <w:bookmarkEnd w:id="333"/>
      <w:bookmarkEnd w:id="334"/>
      <w:bookmarkEnd w:id="335"/>
      <w:bookmarkEnd w:id="336"/>
      <w:bookmarkEnd w:id="337"/>
      <w:bookmarkEnd w:id="338"/>
    </w:p>
    <w:p w14:paraId="0BDDCA17">
      <w:pPr>
        <w:pStyle w:val="4"/>
        <w:rPr>
          <w:color w:val="auto"/>
        </w:rPr>
      </w:pPr>
      <w:bookmarkStart w:id="339" w:name="_Toc225216749"/>
      <w:bookmarkStart w:id="340" w:name="_Toc198390597"/>
      <w:bookmarkStart w:id="341" w:name="_Toc199190489"/>
      <w:bookmarkStart w:id="342" w:name="_Toc198391250"/>
      <w:bookmarkStart w:id="343" w:name="_Toc199168952"/>
      <w:r>
        <w:rPr>
          <w:rFonts w:hint="eastAsia"/>
          <w:color w:val="auto"/>
        </w:rPr>
        <w:t>监测布点及监测因子</w:t>
      </w:r>
      <w:bookmarkEnd w:id="339"/>
      <w:bookmarkEnd w:id="340"/>
      <w:bookmarkEnd w:id="341"/>
      <w:bookmarkEnd w:id="342"/>
      <w:bookmarkEnd w:id="343"/>
    </w:p>
    <w:p w14:paraId="42E414E9">
      <w:pPr>
        <w:ind w:firstLine="480"/>
        <w:rPr>
          <w:color w:val="auto"/>
        </w:rPr>
      </w:pPr>
      <w:r>
        <w:rPr>
          <w:rFonts w:hint="eastAsia"/>
          <w:color w:val="auto"/>
        </w:rPr>
        <w:t>（1）水位监测点布设及其水位调查情况</w:t>
      </w:r>
    </w:p>
    <w:p w14:paraId="43030509">
      <w:pPr>
        <w:ind w:firstLine="480"/>
        <w:rPr>
          <w:color w:val="auto"/>
        </w:rPr>
      </w:pPr>
      <w:r>
        <w:rPr>
          <w:rFonts w:hint="eastAsia"/>
          <w:color w:val="auto"/>
        </w:rPr>
        <w:t>本项目地下水影响评价为二级评价，水质点设置6个，根据《环境影响评价技术导则  地下水环境》（HJ 610-2016），一般情况下，地下水水位监测点数以不小于相应评价级别地下水水质监测点数的2倍为宜，本次水位点共15个，均与项目位于同一水文地质单元，满足导则要求。水质点布点合理性：上游1个监测点（U1），项目西侧监测点2个（U2、U3），项目东侧监测点1个（U4），建设项目场地范围内监测点1个（U5），下游监测点1个（U6），水质点布置合理。根据调查，地下水水位情况见下表。</w:t>
      </w:r>
    </w:p>
    <w:p w14:paraId="65E514AA">
      <w:pPr>
        <w:pStyle w:val="7"/>
        <w:numPr>
          <w:ilvl w:val="5"/>
          <w:numId w:val="1"/>
        </w:numPr>
        <w:rPr>
          <w:color w:val="auto"/>
        </w:rPr>
      </w:pPr>
      <w:r>
        <w:rPr>
          <w:rFonts w:hint="eastAsia"/>
          <w:color w:val="auto"/>
        </w:rPr>
        <w:t>地下水水位监测点位情况（2025年1月）</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547"/>
        <w:gridCol w:w="1548"/>
        <w:gridCol w:w="1548"/>
        <w:gridCol w:w="1548"/>
        <w:gridCol w:w="1548"/>
      </w:tblGrid>
      <w:tr w14:paraId="38866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2056BB44">
            <w:pPr>
              <w:pStyle w:val="33"/>
              <w:rPr>
                <w:color w:val="auto"/>
              </w:rPr>
            </w:pPr>
            <w:r>
              <w:rPr>
                <w:color w:val="auto"/>
              </w:rPr>
              <w:t>名称</w:t>
            </w:r>
          </w:p>
        </w:tc>
        <w:tc>
          <w:tcPr>
            <w:tcW w:w="833" w:type="pct"/>
            <w:noWrap/>
            <w:vAlign w:val="center"/>
          </w:tcPr>
          <w:p w14:paraId="3A5ADCB2">
            <w:pPr>
              <w:pStyle w:val="33"/>
              <w:rPr>
                <w:color w:val="auto"/>
              </w:rPr>
            </w:pPr>
            <w:r>
              <w:rPr>
                <w:color w:val="auto"/>
              </w:rPr>
              <w:t>横坐标Y(米)</w:t>
            </w:r>
          </w:p>
        </w:tc>
        <w:tc>
          <w:tcPr>
            <w:tcW w:w="833" w:type="pct"/>
            <w:noWrap/>
            <w:vAlign w:val="center"/>
          </w:tcPr>
          <w:p w14:paraId="4AD16CF5">
            <w:pPr>
              <w:pStyle w:val="33"/>
              <w:rPr>
                <w:color w:val="auto"/>
              </w:rPr>
            </w:pPr>
            <w:r>
              <w:rPr>
                <w:color w:val="auto"/>
              </w:rPr>
              <w:t>纵坐标X(米)</w:t>
            </w:r>
          </w:p>
        </w:tc>
        <w:tc>
          <w:tcPr>
            <w:tcW w:w="833" w:type="pct"/>
            <w:noWrap/>
            <w:vAlign w:val="center"/>
          </w:tcPr>
          <w:p w14:paraId="5F4DDA1B">
            <w:pPr>
              <w:pStyle w:val="33"/>
              <w:rPr>
                <w:color w:val="auto"/>
              </w:rPr>
            </w:pPr>
            <w:r>
              <w:rPr>
                <w:color w:val="auto"/>
              </w:rPr>
              <w:t>地面高程</w:t>
            </w:r>
          </w:p>
        </w:tc>
        <w:tc>
          <w:tcPr>
            <w:tcW w:w="833" w:type="pct"/>
            <w:noWrap/>
            <w:vAlign w:val="center"/>
          </w:tcPr>
          <w:p w14:paraId="48B51540">
            <w:pPr>
              <w:pStyle w:val="33"/>
              <w:rPr>
                <w:color w:val="auto"/>
              </w:rPr>
            </w:pPr>
            <w:r>
              <w:rPr>
                <w:color w:val="auto"/>
              </w:rPr>
              <w:t>水位埋深</w:t>
            </w:r>
          </w:p>
        </w:tc>
        <w:tc>
          <w:tcPr>
            <w:tcW w:w="833" w:type="pct"/>
            <w:noWrap/>
            <w:vAlign w:val="center"/>
          </w:tcPr>
          <w:p w14:paraId="65FD111D">
            <w:pPr>
              <w:pStyle w:val="33"/>
              <w:rPr>
                <w:color w:val="auto"/>
              </w:rPr>
            </w:pPr>
            <w:r>
              <w:rPr>
                <w:color w:val="auto"/>
              </w:rPr>
              <w:t>水位标高</w:t>
            </w:r>
          </w:p>
        </w:tc>
      </w:tr>
      <w:tr w14:paraId="6FBDE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18785B5B">
            <w:pPr>
              <w:pStyle w:val="33"/>
              <w:rPr>
                <w:color w:val="auto"/>
              </w:rPr>
            </w:pPr>
            <w:r>
              <w:rPr>
                <w:color w:val="auto"/>
              </w:rPr>
              <w:t>U1</w:t>
            </w:r>
          </w:p>
        </w:tc>
        <w:tc>
          <w:tcPr>
            <w:tcW w:w="833" w:type="pct"/>
            <w:noWrap/>
            <w:vAlign w:val="center"/>
          </w:tcPr>
          <w:p w14:paraId="5C557B69">
            <w:pPr>
              <w:pStyle w:val="33"/>
              <w:rPr>
                <w:color w:val="auto"/>
              </w:rPr>
            </w:pPr>
          </w:p>
        </w:tc>
        <w:tc>
          <w:tcPr>
            <w:tcW w:w="833" w:type="pct"/>
            <w:noWrap/>
            <w:vAlign w:val="center"/>
          </w:tcPr>
          <w:p w14:paraId="566C64AD">
            <w:pPr>
              <w:pStyle w:val="33"/>
              <w:rPr>
                <w:color w:val="auto"/>
              </w:rPr>
            </w:pPr>
          </w:p>
        </w:tc>
        <w:tc>
          <w:tcPr>
            <w:tcW w:w="833" w:type="pct"/>
            <w:noWrap/>
            <w:vAlign w:val="center"/>
          </w:tcPr>
          <w:p w14:paraId="175F3284">
            <w:pPr>
              <w:pStyle w:val="33"/>
              <w:rPr>
                <w:color w:val="auto"/>
              </w:rPr>
            </w:pPr>
          </w:p>
        </w:tc>
        <w:tc>
          <w:tcPr>
            <w:tcW w:w="833" w:type="pct"/>
            <w:noWrap/>
            <w:vAlign w:val="center"/>
          </w:tcPr>
          <w:p w14:paraId="3A21BA7C">
            <w:pPr>
              <w:pStyle w:val="33"/>
              <w:rPr>
                <w:color w:val="auto"/>
              </w:rPr>
            </w:pPr>
          </w:p>
        </w:tc>
        <w:tc>
          <w:tcPr>
            <w:tcW w:w="833" w:type="pct"/>
            <w:noWrap/>
            <w:vAlign w:val="center"/>
          </w:tcPr>
          <w:p w14:paraId="3AFBFA4B">
            <w:pPr>
              <w:pStyle w:val="33"/>
              <w:rPr>
                <w:color w:val="auto"/>
              </w:rPr>
            </w:pPr>
          </w:p>
        </w:tc>
      </w:tr>
      <w:tr w14:paraId="5BA91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62816FB9">
            <w:pPr>
              <w:pStyle w:val="33"/>
              <w:rPr>
                <w:color w:val="auto"/>
              </w:rPr>
            </w:pPr>
            <w:r>
              <w:rPr>
                <w:color w:val="auto"/>
              </w:rPr>
              <w:t>U2</w:t>
            </w:r>
          </w:p>
        </w:tc>
        <w:tc>
          <w:tcPr>
            <w:tcW w:w="833" w:type="pct"/>
            <w:noWrap/>
            <w:vAlign w:val="center"/>
          </w:tcPr>
          <w:p w14:paraId="1AA80645">
            <w:pPr>
              <w:pStyle w:val="33"/>
              <w:rPr>
                <w:color w:val="auto"/>
              </w:rPr>
            </w:pPr>
          </w:p>
        </w:tc>
        <w:tc>
          <w:tcPr>
            <w:tcW w:w="833" w:type="pct"/>
            <w:noWrap/>
            <w:vAlign w:val="center"/>
          </w:tcPr>
          <w:p w14:paraId="3B05346C">
            <w:pPr>
              <w:pStyle w:val="33"/>
              <w:rPr>
                <w:color w:val="auto"/>
              </w:rPr>
            </w:pPr>
          </w:p>
        </w:tc>
        <w:tc>
          <w:tcPr>
            <w:tcW w:w="833" w:type="pct"/>
            <w:noWrap/>
            <w:vAlign w:val="center"/>
          </w:tcPr>
          <w:p w14:paraId="51B8E548">
            <w:pPr>
              <w:pStyle w:val="33"/>
              <w:rPr>
                <w:color w:val="auto"/>
              </w:rPr>
            </w:pPr>
          </w:p>
        </w:tc>
        <w:tc>
          <w:tcPr>
            <w:tcW w:w="833" w:type="pct"/>
            <w:noWrap/>
            <w:vAlign w:val="center"/>
          </w:tcPr>
          <w:p w14:paraId="3D40D106">
            <w:pPr>
              <w:pStyle w:val="33"/>
              <w:rPr>
                <w:color w:val="auto"/>
              </w:rPr>
            </w:pPr>
          </w:p>
        </w:tc>
        <w:tc>
          <w:tcPr>
            <w:tcW w:w="833" w:type="pct"/>
            <w:noWrap/>
            <w:vAlign w:val="center"/>
          </w:tcPr>
          <w:p w14:paraId="7A9FB329">
            <w:pPr>
              <w:pStyle w:val="33"/>
              <w:rPr>
                <w:color w:val="auto"/>
              </w:rPr>
            </w:pPr>
          </w:p>
        </w:tc>
      </w:tr>
      <w:tr w14:paraId="4A759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023901D7">
            <w:pPr>
              <w:pStyle w:val="33"/>
              <w:rPr>
                <w:color w:val="auto"/>
              </w:rPr>
            </w:pPr>
            <w:r>
              <w:rPr>
                <w:color w:val="auto"/>
              </w:rPr>
              <w:t>U3</w:t>
            </w:r>
          </w:p>
        </w:tc>
        <w:tc>
          <w:tcPr>
            <w:tcW w:w="833" w:type="pct"/>
            <w:noWrap/>
            <w:vAlign w:val="center"/>
          </w:tcPr>
          <w:p w14:paraId="60083553">
            <w:pPr>
              <w:pStyle w:val="33"/>
              <w:rPr>
                <w:color w:val="auto"/>
              </w:rPr>
            </w:pPr>
          </w:p>
        </w:tc>
        <w:tc>
          <w:tcPr>
            <w:tcW w:w="833" w:type="pct"/>
            <w:noWrap/>
            <w:vAlign w:val="center"/>
          </w:tcPr>
          <w:p w14:paraId="35F28F0A">
            <w:pPr>
              <w:pStyle w:val="33"/>
              <w:rPr>
                <w:color w:val="auto"/>
              </w:rPr>
            </w:pPr>
          </w:p>
        </w:tc>
        <w:tc>
          <w:tcPr>
            <w:tcW w:w="833" w:type="pct"/>
            <w:noWrap/>
            <w:vAlign w:val="center"/>
          </w:tcPr>
          <w:p w14:paraId="356653F7">
            <w:pPr>
              <w:pStyle w:val="33"/>
              <w:rPr>
                <w:color w:val="auto"/>
              </w:rPr>
            </w:pPr>
          </w:p>
        </w:tc>
        <w:tc>
          <w:tcPr>
            <w:tcW w:w="833" w:type="pct"/>
            <w:noWrap/>
            <w:vAlign w:val="center"/>
          </w:tcPr>
          <w:p w14:paraId="31B002B3">
            <w:pPr>
              <w:pStyle w:val="33"/>
              <w:rPr>
                <w:color w:val="auto"/>
              </w:rPr>
            </w:pPr>
          </w:p>
        </w:tc>
        <w:tc>
          <w:tcPr>
            <w:tcW w:w="833" w:type="pct"/>
            <w:noWrap/>
            <w:vAlign w:val="center"/>
          </w:tcPr>
          <w:p w14:paraId="486449F2">
            <w:pPr>
              <w:pStyle w:val="33"/>
              <w:rPr>
                <w:color w:val="auto"/>
              </w:rPr>
            </w:pPr>
          </w:p>
        </w:tc>
      </w:tr>
      <w:tr w14:paraId="15164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1C118D63">
            <w:pPr>
              <w:pStyle w:val="33"/>
              <w:rPr>
                <w:color w:val="auto"/>
              </w:rPr>
            </w:pPr>
            <w:r>
              <w:rPr>
                <w:color w:val="auto"/>
              </w:rPr>
              <w:t>U4</w:t>
            </w:r>
          </w:p>
        </w:tc>
        <w:tc>
          <w:tcPr>
            <w:tcW w:w="833" w:type="pct"/>
            <w:noWrap/>
            <w:vAlign w:val="center"/>
          </w:tcPr>
          <w:p w14:paraId="6869BFAB">
            <w:pPr>
              <w:pStyle w:val="33"/>
              <w:rPr>
                <w:color w:val="auto"/>
              </w:rPr>
            </w:pPr>
          </w:p>
        </w:tc>
        <w:tc>
          <w:tcPr>
            <w:tcW w:w="833" w:type="pct"/>
            <w:noWrap/>
            <w:vAlign w:val="center"/>
          </w:tcPr>
          <w:p w14:paraId="3BEADF82">
            <w:pPr>
              <w:pStyle w:val="33"/>
              <w:rPr>
                <w:color w:val="auto"/>
              </w:rPr>
            </w:pPr>
          </w:p>
        </w:tc>
        <w:tc>
          <w:tcPr>
            <w:tcW w:w="833" w:type="pct"/>
            <w:noWrap/>
            <w:vAlign w:val="center"/>
          </w:tcPr>
          <w:p w14:paraId="3C8D56A4">
            <w:pPr>
              <w:pStyle w:val="33"/>
              <w:rPr>
                <w:color w:val="auto"/>
              </w:rPr>
            </w:pPr>
          </w:p>
        </w:tc>
        <w:tc>
          <w:tcPr>
            <w:tcW w:w="833" w:type="pct"/>
            <w:noWrap/>
            <w:vAlign w:val="center"/>
          </w:tcPr>
          <w:p w14:paraId="1541B84F">
            <w:pPr>
              <w:pStyle w:val="33"/>
              <w:rPr>
                <w:color w:val="auto"/>
              </w:rPr>
            </w:pPr>
          </w:p>
        </w:tc>
        <w:tc>
          <w:tcPr>
            <w:tcW w:w="833" w:type="pct"/>
            <w:noWrap/>
            <w:vAlign w:val="center"/>
          </w:tcPr>
          <w:p w14:paraId="1548634D">
            <w:pPr>
              <w:pStyle w:val="33"/>
              <w:rPr>
                <w:color w:val="auto"/>
              </w:rPr>
            </w:pPr>
          </w:p>
        </w:tc>
      </w:tr>
      <w:tr w14:paraId="657CF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12D80F92">
            <w:pPr>
              <w:pStyle w:val="33"/>
              <w:rPr>
                <w:color w:val="auto"/>
              </w:rPr>
            </w:pPr>
            <w:r>
              <w:rPr>
                <w:color w:val="auto"/>
              </w:rPr>
              <w:t>U5</w:t>
            </w:r>
          </w:p>
        </w:tc>
        <w:tc>
          <w:tcPr>
            <w:tcW w:w="833" w:type="pct"/>
            <w:noWrap/>
            <w:vAlign w:val="center"/>
          </w:tcPr>
          <w:p w14:paraId="05DA0186">
            <w:pPr>
              <w:pStyle w:val="33"/>
              <w:rPr>
                <w:color w:val="auto"/>
              </w:rPr>
            </w:pPr>
          </w:p>
        </w:tc>
        <w:tc>
          <w:tcPr>
            <w:tcW w:w="833" w:type="pct"/>
            <w:noWrap/>
            <w:vAlign w:val="center"/>
          </w:tcPr>
          <w:p w14:paraId="17792EF9">
            <w:pPr>
              <w:pStyle w:val="33"/>
              <w:rPr>
                <w:color w:val="auto"/>
              </w:rPr>
            </w:pPr>
          </w:p>
        </w:tc>
        <w:tc>
          <w:tcPr>
            <w:tcW w:w="833" w:type="pct"/>
            <w:noWrap/>
            <w:vAlign w:val="center"/>
          </w:tcPr>
          <w:p w14:paraId="1F0BD044">
            <w:pPr>
              <w:pStyle w:val="33"/>
              <w:rPr>
                <w:color w:val="auto"/>
              </w:rPr>
            </w:pPr>
          </w:p>
        </w:tc>
        <w:tc>
          <w:tcPr>
            <w:tcW w:w="833" w:type="pct"/>
            <w:noWrap/>
            <w:vAlign w:val="center"/>
          </w:tcPr>
          <w:p w14:paraId="234170F6">
            <w:pPr>
              <w:pStyle w:val="33"/>
              <w:rPr>
                <w:color w:val="auto"/>
              </w:rPr>
            </w:pPr>
          </w:p>
        </w:tc>
        <w:tc>
          <w:tcPr>
            <w:tcW w:w="833" w:type="pct"/>
            <w:noWrap/>
            <w:vAlign w:val="center"/>
          </w:tcPr>
          <w:p w14:paraId="20973FF2">
            <w:pPr>
              <w:pStyle w:val="33"/>
              <w:rPr>
                <w:color w:val="auto"/>
              </w:rPr>
            </w:pPr>
          </w:p>
        </w:tc>
      </w:tr>
      <w:tr w14:paraId="1A9E0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0550F7C9">
            <w:pPr>
              <w:pStyle w:val="33"/>
              <w:rPr>
                <w:color w:val="auto"/>
              </w:rPr>
            </w:pPr>
            <w:r>
              <w:rPr>
                <w:color w:val="auto"/>
              </w:rPr>
              <w:t>U6</w:t>
            </w:r>
          </w:p>
        </w:tc>
        <w:tc>
          <w:tcPr>
            <w:tcW w:w="833" w:type="pct"/>
            <w:noWrap/>
            <w:vAlign w:val="center"/>
          </w:tcPr>
          <w:p w14:paraId="0E3E7D64">
            <w:pPr>
              <w:pStyle w:val="33"/>
              <w:rPr>
                <w:color w:val="auto"/>
              </w:rPr>
            </w:pPr>
          </w:p>
        </w:tc>
        <w:tc>
          <w:tcPr>
            <w:tcW w:w="833" w:type="pct"/>
            <w:noWrap/>
            <w:vAlign w:val="center"/>
          </w:tcPr>
          <w:p w14:paraId="0E5D0E9E">
            <w:pPr>
              <w:pStyle w:val="33"/>
              <w:rPr>
                <w:color w:val="auto"/>
              </w:rPr>
            </w:pPr>
          </w:p>
        </w:tc>
        <w:tc>
          <w:tcPr>
            <w:tcW w:w="833" w:type="pct"/>
            <w:noWrap/>
            <w:vAlign w:val="center"/>
          </w:tcPr>
          <w:p w14:paraId="23067A19">
            <w:pPr>
              <w:pStyle w:val="33"/>
              <w:rPr>
                <w:color w:val="auto"/>
              </w:rPr>
            </w:pPr>
          </w:p>
        </w:tc>
        <w:tc>
          <w:tcPr>
            <w:tcW w:w="833" w:type="pct"/>
            <w:noWrap/>
            <w:vAlign w:val="center"/>
          </w:tcPr>
          <w:p w14:paraId="4A86DB7C">
            <w:pPr>
              <w:pStyle w:val="33"/>
              <w:rPr>
                <w:color w:val="auto"/>
              </w:rPr>
            </w:pPr>
          </w:p>
        </w:tc>
        <w:tc>
          <w:tcPr>
            <w:tcW w:w="833" w:type="pct"/>
            <w:noWrap/>
            <w:vAlign w:val="center"/>
          </w:tcPr>
          <w:p w14:paraId="329F0C0C">
            <w:pPr>
              <w:pStyle w:val="33"/>
              <w:rPr>
                <w:color w:val="auto"/>
              </w:rPr>
            </w:pPr>
          </w:p>
        </w:tc>
      </w:tr>
      <w:tr w14:paraId="27C0A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3B73A871">
            <w:pPr>
              <w:pStyle w:val="33"/>
              <w:rPr>
                <w:color w:val="auto"/>
              </w:rPr>
            </w:pPr>
            <w:r>
              <w:rPr>
                <w:color w:val="auto"/>
              </w:rPr>
              <w:t>U7</w:t>
            </w:r>
          </w:p>
        </w:tc>
        <w:tc>
          <w:tcPr>
            <w:tcW w:w="833" w:type="pct"/>
            <w:noWrap/>
            <w:vAlign w:val="center"/>
          </w:tcPr>
          <w:p w14:paraId="5F11BF5B">
            <w:pPr>
              <w:pStyle w:val="33"/>
              <w:rPr>
                <w:color w:val="auto"/>
              </w:rPr>
            </w:pPr>
          </w:p>
        </w:tc>
        <w:tc>
          <w:tcPr>
            <w:tcW w:w="833" w:type="pct"/>
            <w:noWrap/>
            <w:vAlign w:val="center"/>
          </w:tcPr>
          <w:p w14:paraId="46E6EAC3">
            <w:pPr>
              <w:pStyle w:val="33"/>
              <w:rPr>
                <w:color w:val="auto"/>
              </w:rPr>
            </w:pPr>
          </w:p>
        </w:tc>
        <w:tc>
          <w:tcPr>
            <w:tcW w:w="833" w:type="pct"/>
            <w:noWrap/>
            <w:vAlign w:val="center"/>
          </w:tcPr>
          <w:p w14:paraId="23C9197A">
            <w:pPr>
              <w:pStyle w:val="33"/>
              <w:rPr>
                <w:color w:val="auto"/>
              </w:rPr>
            </w:pPr>
          </w:p>
        </w:tc>
        <w:tc>
          <w:tcPr>
            <w:tcW w:w="833" w:type="pct"/>
            <w:noWrap/>
            <w:vAlign w:val="center"/>
          </w:tcPr>
          <w:p w14:paraId="74E3209A">
            <w:pPr>
              <w:pStyle w:val="33"/>
              <w:rPr>
                <w:color w:val="auto"/>
              </w:rPr>
            </w:pPr>
          </w:p>
        </w:tc>
        <w:tc>
          <w:tcPr>
            <w:tcW w:w="833" w:type="pct"/>
            <w:noWrap/>
            <w:vAlign w:val="center"/>
          </w:tcPr>
          <w:p w14:paraId="4866B87E">
            <w:pPr>
              <w:pStyle w:val="33"/>
              <w:rPr>
                <w:color w:val="auto"/>
              </w:rPr>
            </w:pPr>
          </w:p>
        </w:tc>
      </w:tr>
      <w:tr w14:paraId="308C7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23C8EA3E">
            <w:pPr>
              <w:pStyle w:val="33"/>
              <w:rPr>
                <w:color w:val="auto"/>
              </w:rPr>
            </w:pPr>
            <w:r>
              <w:rPr>
                <w:color w:val="auto"/>
              </w:rPr>
              <w:t>U8</w:t>
            </w:r>
          </w:p>
        </w:tc>
        <w:tc>
          <w:tcPr>
            <w:tcW w:w="833" w:type="pct"/>
            <w:noWrap/>
            <w:vAlign w:val="center"/>
          </w:tcPr>
          <w:p w14:paraId="6DCF05FE">
            <w:pPr>
              <w:pStyle w:val="33"/>
              <w:rPr>
                <w:color w:val="auto"/>
              </w:rPr>
            </w:pPr>
          </w:p>
        </w:tc>
        <w:tc>
          <w:tcPr>
            <w:tcW w:w="833" w:type="pct"/>
            <w:noWrap/>
            <w:vAlign w:val="center"/>
          </w:tcPr>
          <w:p w14:paraId="3A25C754">
            <w:pPr>
              <w:pStyle w:val="33"/>
              <w:rPr>
                <w:color w:val="auto"/>
              </w:rPr>
            </w:pPr>
          </w:p>
        </w:tc>
        <w:tc>
          <w:tcPr>
            <w:tcW w:w="833" w:type="pct"/>
            <w:noWrap/>
            <w:vAlign w:val="center"/>
          </w:tcPr>
          <w:p w14:paraId="565CA447">
            <w:pPr>
              <w:pStyle w:val="33"/>
              <w:rPr>
                <w:color w:val="auto"/>
              </w:rPr>
            </w:pPr>
          </w:p>
        </w:tc>
        <w:tc>
          <w:tcPr>
            <w:tcW w:w="833" w:type="pct"/>
            <w:noWrap/>
            <w:vAlign w:val="center"/>
          </w:tcPr>
          <w:p w14:paraId="3B170B90">
            <w:pPr>
              <w:pStyle w:val="33"/>
              <w:rPr>
                <w:color w:val="auto"/>
              </w:rPr>
            </w:pPr>
          </w:p>
        </w:tc>
        <w:tc>
          <w:tcPr>
            <w:tcW w:w="833" w:type="pct"/>
            <w:noWrap/>
            <w:vAlign w:val="center"/>
          </w:tcPr>
          <w:p w14:paraId="7E236FFF">
            <w:pPr>
              <w:pStyle w:val="33"/>
              <w:rPr>
                <w:color w:val="auto"/>
              </w:rPr>
            </w:pPr>
          </w:p>
        </w:tc>
      </w:tr>
      <w:tr w14:paraId="6FC74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18C7C358">
            <w:pPr>
              <w:pStyle w:val="33"/>
              <w:rPr>
                <w:color w:val="auto"/>
              </w:rPr>
            </w:pPr>
            <w:r>
              <w:rPr>
                <w:color w:val="auto"/>
              </w:rPr>
              <w:t>U9</w:t>
            </w:r>
          </w:p>
        </w:tc>
        <w:tc>
          <w:tcPr>
            <w:tcW w:w="833" w:type="pct"/>
            <w:noWrap/>
            <w:vAlign w:val="center"/>
          </w:tcPr>
          <w:p w14:paraId="429DBD11">
            <w:pPr>
              <w:pStyle w:val="33"/>
              <w:rPr>
                <w:color w:val="auto"/>
              </w:rPr>
            </w:pPr>
          </w:p>
        </w:tc>
        <w:tc>
          <w:tcPr>
            <w:tcW w:w="833" w:type="pct"/>
            <w:noWrap/>
            <w:vAlign w:val="center"/>
          </w:tcPr>
          <w:p w14:paraId="386B148F">
            <w:pPr>
              <w:pStyle w:val="33"/>
              <w:rPr>
                <w:color w:val="auto"/>
              </w:rPr>
            </w:pPr>
          </w:p>
        </w:tc>
        <w:tc>
          <w:tcPr>
            <w:tcW w:w="833" w:type="pct"/>
            <w:noWrap/>
            <w:vAlign w:val="center"/>
          </w:tcPr>
          <w:p w14:paraId="7F00948D">
            <w:pPr>
              <w:pStyle w:val="33"/>
              <w:rPr>
                <w:color w:val="auto"/>
              </w:rPr>
            </w:pPr>
          </w:p>
        </w:tc>
        <w:tc>
          <w:tcPr>
            <w:tcW w:w="833" w:type="pct"/>
            <w:noWrap/>
            <w:vAlign w:val="center"/>
          </w:tcPr>
          <w:p w14:paraId="544FE6EC">
            <w:pPr>
              <w:pStyle w:val="33"/>
              <w:rPr>
                <w:color w:val="auto"/>
              </w:rPr>
            </w:pPr>
          </w:p>
        </w:tc>
        <w:tc>
          <w:tcPr>
            <w:tcW w:w="833" w:type="pct"/>
            <w:noWrap/>
            <w:vAlign w:val="center"/>
          </w:tcPr>
          <w:p w14:paraId="185AD5C3">
            <w:pPr>
              <w:pStyle w:val="33"/>
              <w:rPr>
                <w:color w:val="auto"/>
              </w:rPr>
            </w:pPr>
          </w:p>
        </w:tc>
      </w:tr>
      <w:tr w14:paraId="29B83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4C0D8CAD">
            <w:pPr>
              <w:pStyle w:val="33"/>
              <w:rPr>
                <w:color w:val="auto"/>
              </w:rPr>
            </w:pPr>
            <w:r>
              <w:rPr>
                <w:color w:val="auto"/>
              </w:rPr>
              <w:t>U10</w:t>
            </w:r>
          </w:p>
        </w:tc>
        <w:tc>
          <w:tcPr>
            <w:tcW w:w="833" w:type="pct"/>
            <w:noWrap/>
            <w:vAlign w:val="center"/>
          </w:tcPr>
          <w:p w14:paraId="3EDA9B58">
            <w:pPr>
              <w:pStyle w:val="33"/>
              <w:rPr>
                <w:color w:val="auto"/>
              </w:rPr>
            </w:pPr>
          </w:p>
        </w:tc>
        <w:tc>
          <w:tcPr>
            <w:tcW w:w="833" w:type="pct"/>
            <w:noWrap/>
            <w:vAlign w:val="center"/>
          </w:tcPr>
          <w:p w14:paraId="63865848">
            <w:pPr>
              <w:pStyle w:val="33"/>
              <w:rPr>
                <w:color w:val="auto"/>
              </w:rPr>
            </w:pPr>
          </w:p>
        </w:tc>
        <w:tc>
          <w:tcPr>
            <w:tcW w:w="833" w:type="pct"/>
            <w:noWrap/>
            <w:vAlign w:val="center"/>
          </w:tcPr>
          <w:p w14:paraId="33F5AFC7">
            <w:pPr>
              <w:pStyle w:val="33"/>
              <w:rPr>
                <w:color w:val="auto"/>
              </w:rPr>
            </w:pPr>
          </w:p>
        </w:tc>
        <w:tc>
          <w:tcPr>
            <w:tcW w:w="833" w:type="pct"/>
            <w:noWrap/>
            <w:vAlign w:val="center"/>
          </w:tcPr>
          <w:p w14:paraId="7365352A">
            <w:pPr>
              <w:pStyle w:val="33"/>
              <w:rPr>
                <w:color w:val="auto"/>
              </w:rPr>
            </w:pPr>
          </w:p>
        </w:tc>
        <w:tc>
          <w:tcPr>
            <w:tcW w:w="833" w:type="pct"/>
            <w:noWrap/>
            <w:vAlign w:val="center"/>
          </w:tcPr>
          <w:p w14:paraId="0CB57E3A">
            <w:pPr>
              <w:pStyle w:val="33"/>
              <w:rPr>
                <w:color w:val="auto"/>
              </w:rPr>
            </w:pPr>
          </w:p>
        </w:tc>
      </w:tr>
      <w:tr w14:paraId="5E253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jc w:val="center"/>
        </w:trPr>
        <w:tc>
          <w:tcPr>
            <w:tcW w:w="833" w:type="pct"/>
            <w:noWrap/>
            <w:vAlign w:val="center"/>
          </w:tcPr>
          <w:p w14:paraId="1ADD3C2B">
            <w:pPr>
              <w:pStyle w:val="33"/>
              <w:rPr>
                <w:color w:val="auto"/>
              </w:rPr>
            </w:pPr>
            <w:r>
              <w:rPr>
                <w:color w:val="auto"/>
              </w:rPr>
              <w:t>U11</w:t>
            </w:r>
          </w:p>
        </w:tc>
        <w:tc>
          <w:tcPr>
            <w:tcW w:w="833" w:type="pct"/>
            <w:noWrap/>
            <w:vAlign w:val="center"/>
          </w:tcPr>
          <w:p w14:paraId="345A0D45">
            <w:pPr>
              <w:pStyle w:val="33"/>
              <w:rPr>
                <w:color w:val="auto"/>
              </w:rPr>
            </w:pPr>
          </w:p>
        </w:tc>
        <w:tc>
          <w:tcPr>
            <w:tcW w:w="833" w:type="pct"/>
            <w:noWrap/>
            <w:vAlign w:val="center"/>
          </w:tcPr>
          <w:p w14:paraId="7DBBED20">
            <w:pPr>
              <w:pStyle w:val="33"/>
              <w:rPr>
                <w:color w:val="auto"/>
              </w:rPr>
            </w:pPr>
          </w:p>
        </w:tc>
        <w:tc>
          <w:tcPr>
            <w:tcW w:w="833" w:type="pct"/>
            <w:noWrap/>
            <w:vAlign w:val="center"/>
          </w:tcPr>
          <w:p w14:paraId="2D84D565">
            <w:pPr>
              <w:pStyle w:val="33"/>
              <w:rPr>
                <w:color w:val="auto"/>
              </w:rPr>
            </w:pPr>
          </w:p>
        </w:tc>
        <w:tc>
          <w:tcPr>
            <w:tcW w:w="833" w:type="pct"/>
            <w:noWrap/>
            <w:vAlign w:val="center"/>
          </w:tcPr>
          <w:p w14:paraId="5BFB4567">
            <w:pPr>
              <w:pStyle w:val="33"/>
              <w:rPr>
                <w:color w:val="auto"/>
              </w:rPr>
            </w:pPr>
          </w:p>
        </w:tc>
        <w:tc>
          <w:tcPr>
            <w:tcW w:w="833" w:type="pct"/>
            <w:noWrap/>
            <w:vAlign w:val="center"/>
          </w:tcPr>
          <w:p w14:paraId="51A265B8">
            <w:pPr>
              <w:pStyle w:val="33"/>
              <w:rPr>
                <w:color w:val="auto"/>
              </w:rPr>
            </w:pPr>
          </w:p>
        </w:tc>
      </w:tr>
      <w:tr w14:paraId="2FC48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54436DF7">
            <w:pPr>
              <w:pStyle w:val="33"/>
              <w:rPr>
                <w:color w:val="auto"/>
              </w:rPr>
            </w:pPr>
            <w:r>
              <w:rPr>
                <w:color w:val="auto"/>
              </w:rPr>
              <w:t>U12</w:t>
            </w:r>
          </w:p>
        </w:tc>
        <w:tc>
          <w:tcPr>
            <w:tcW w:w="833" w:type="pct"/>
            <w:noWrap/>
            <w:vAlign w:val="center"/>
          </w:tcPr>
          <w:p w14:paraId="39DE7DEA">
            <w:pPr>
              <w:pStyle w:val="33"/>
              <w:rPr>
                <w:color w:val="auto"/>
              </w:rPr>
            </w:pPr>
          </w:p>
        </w:tc>
        <w:tc>
          <w:tcPr>
            <w:tcW w:w="833" w:type="pct"/>
            <w:noWrap/>
            <w:vAlign w:val="center"/>
          </w:tcPr>
          <w:p w14:paraId="2791440A">
            <w:pPr>
              <w:pStyle w:val="33"/>
              <w:rPr>
                <w:color w:val="auto"/>
              </w:rPr>
            </w:pPr>
          </w:p>
        </w:tc>
        <w:tc>
          <w:tcPr>
            <w:tcW w:w="833" w:type="pct"/>
            <w:noWrap/>
            <w:vAlign w:val="center"/>
          </w:tcPr>
          <w:p w14:paraId="0AEBF8CC">
            <w:pPr>
              <w:pStyle w:val="33"/>
              <w:rPr>
                <w:color w:val="auto"/>
              </w:rPr>
            </w:pPr>
          </w:p>
        </w:tc>
        <w:tc>
          <w:tcPr>
            <w:tcW w:w="833" w:type="pct"/>
            <w:noWrap/>
            <w:vAlign w:val="center"/>
          </w:tcPr>
          <w:p w14:paraId="19B45053">
            <w:pPr>
              <w:pStyle w:val="33"/>
              <w:rPr>
                <w:color w:val="auto"/>
              </w:rPr>
            </w:pPr>
          </w:p>
        </w:tc>
        <w:tc>
          <w:tcPr>
            <w:tcW w:w="833" w:type="pct"/>
            <w:noWrap/>
            <w:vAlign w:val="center"/>
          </w:tcPr>
          <w:p w14:paraId="357A4C0E">
            <w:pPr>
              <w:pStyle w:val="33"/>
              <w:rPr>
                <w:color w:val="auto"/>
              </w:rPr>
            </w:pPr>
          </w:p>
        </w:tc>
      </w:tr>
      <w:tr w14:paraId="23BAB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22AECBA4">
            <w:pPr>
              <w:pStyle w:val="33"/>
              <w:rPr>
                <w:color w:val="auto"/>
              </w:rPr>
            </w:pPr>
            <w:r>
              <w:rPr>
                <w:color w:val="auto"/>
              </w:rPr>
              <w:t>U13</w:t>
            </w:r>
          </w:p>
        </w:tc>
        <w:tc>
          <w:tcPr>
            <w:tcW w:w="833" w:type="pct"/>
            <w:noWrap/>
            <w:vAlign w:val="center"/>
          </w:tcPr>
          <w:p w14:paraId="26C727D9">
            <w:pPr>
              <w:pStyle w:val="33"/>
              <w:rPr>
                <w:color w:val="auto"/>
              </w:rPr>
            </w:pPr>
          </w:p>
        </w:tc>
        <w:tc>
          <w:tcPr>
            <w:tcW w:w="833" w:type="pct"/>
            <w:noWrap/>
            <w:vAlign w:val="center"/>
          </w:tcPr>
          <w:p w14:paraId="41507E6F">
            <w:pPr>
              <w:pStyle w:val="33"/>
              <w:rPr>
                <w:color w:val="auto"/>
              </w:rPr>
            </w:pPr>
          </w:p>
        </w:tc>
        <w:tc>
          <w:tcPr>
            <w:tcW w:w="833" w:type="pct"/>
            <w:noWrap/>
            <w:vAlign w:val="center"/>
          </w:tcPr>
          <w:p w14:paraId="480F308E">
            <w:pPr>
              <w:pStyle w:val="33"/>
              <w:rPr>
                <w:color w:val="auto"/>
              </w:rPr>
            </w:pPr>
          </w:p>
        </w:tc>
        <w:tc>
          <w:tcPr>
            <w:tcW w:w="833" w:type="pct"/>
            <w:noWrap/>
            <w:vAlign w:val="center"/>
          </w:tcPr>
          <w:p w14:paraId="09C69553">
            <w:pPr>
              <w:pStyle w:val="33"/>
              <w:rPr>
                <w:color w:val="auto"/>
              </w:rPr>
            </w:pPr>
          </w:p>
        </w:tc>
        <w:tc>
          <w:tcPr>
            <w:tcW w:w="833" w:type="pct"/>
            <w:noWrap/>
            <w:vAlign w:val="center"/>
          </w:tcPr>
          <w:p w14:paraId="225B4D8C">
            <w:pPr>
              <w:pStyle w:val="33"/>
              <w:rPr>
                <w:color w:val="auto"/>
              </w:rPr>
            </w:pPr>
          </w:p>
        </w:tc>
      </w:tr>
      <w:tr w14:paraId="2E5FA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4D028546">
            <w:pPr>
              <w:pStyle w:val="33"/>
              <w:rPr>
                <w:color w:val="auto"/>
              </w:rPr>
            </w:pPr>
            <w:r>
              <w:rPr>
                <w:color w:val="auto"/>
              </w:rPr>
              <w:t>U14</w:t>
            </w:r>
          </w:p>
        </w:tc>
        <w:tc>
          <w:tcPr>
            <w:tcW w:w="833" w:type="pct"/>
            <w:noWrap/>
            <w:vAlign w:val="center"/>
          </w:tcPr>
          <w:p w14:paraId="74BFA2DF">
            <w:pPr>
              <w:pStyle w:val="33"/>
              <w:rPr>
                <w:color w:val="auto"/>
              </w:rPr>
            </w:pPr>
          </w:p>
        </w:tc>
        <w:tc>
          <w:tcPr>
            <w:tcW w:w="833" w:type="pct"/>
            <w:noWrap/>
            <w:vAlign w:val="center"/>
          </w:tcPr>
          <w:p w14:paraId="76D83A0C">
            <w:pPr>
              <w:pStyle w:val="33"/>
              <w:rPr>
                <w:color w:val="auto"/>
              </w:rPr>
            </w:pPr>
          </w:p>
        </w:tc>
        <w:tc>
          <w:tcPr>
            <w:tcW w:w="833" w:type="pct"/>
            <w:noWrap/>
            <w:vAlign w:val="center"/>
          </w:tcPr>
          <w:p w14:paraId="6037D412">
            <w:pPr>
              <w:pStyle w:val="33"/>
              <w:rPr>
                <w:color w:val="auto"/>
              </w:rPr>
            </w:pPr>
          </w:p>
        </w:tc>
        <w:tc>
          <w:tcPr>
            <w:tcW w:w="833" w:type="pct"/>
            <w:noWrap/>
            <w:vAlign w:val="center"/>
          </w:tcPr>
          <w:p w14:paraId="58CF9E2A">
            <w:pPr>
              <w:pStyle w:val="33"/>
              <w:rPr>
                <w:color w:val="auto"/>
              </w:rPr>
            </w:pPr>
          </w:p>
        </w:tc>
        <w:tc>
          <w:tcPr>
            <w:tcW w:w="833" w:type="pct"/>
            <w:noWrap/>
            <w:vAlign w:val="center"/>
          </w:tcPr>
          <w:p w14:paraId="2FF3931E">
            <w:pPr>
              <w:pStyle w:val="33"/>
              <w:rPr>
                <w:color w:val="auto"/>
              </w:rPr>
            </w:pPr>
          </w:p>
        </w:tc>
      </w:tr>
      <w:tr w14:paraId="25176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33" w:type="pct"/>
            <w:noWrap/>
            <w:vAlign w:val="center"/>
          </w:tcPr>
          <w:p w14:paraId="25D37ACE">
            <w:pPr>
              <w:pStyle w:val="33"/>
              <w:rPr>
                <w:color w:val="auto"/>
              </w:rPr>
            </w:pPr>
            <w:r>
              <w:rPr>
                <w:color w:val="auto"/>
              </w:rPr>
              <w:t>U15</w:t>
            </w:r>
          </w:p>
        </w:tc>
        <w:tc>
          <w:tcPr>
            <w:tcW w:w="833" w:type="pct"/>
            <w:noWrap/>
            <w:vAlign w:val="center"/>
          </w:tcPr>
          <w:p w14:paraId="3D1B00C9">
            <w:pPr>
              <w:pStyle w:val="33"/>
              <w:rPr>
                <w:color w:val="auto"/>
              </w:rPr>
            </w:pPr>
          </w:p>
        </w:tc>
        <w:tc>
          <w:tcPr>
            <w:tcW w:w="833" w:type="pct"/>
            <w:noWrap/>
            <w:vAlign w:val="center"/>
          </w:tcPr>
          <w:p w14:paraId="4FF9F197">
            <w:pPr>
              <w:pStyle w:val="33"/>
              <w:rPr>
                <w:color w:val="auto"/>
              </w:rPr>
            </w:pPr>
          </w:p>
        </w:tc>
        <w:tc>
          <w:tcPr>
            <w:tcW w:w="833" w:type="pct"/>
            <w:noWrap/>
            <w:vAlign w:val="center"/>
          </w:tcPr>
          <w:p w14:paraId="42B60E23">
            <w:pPr>
              <w:pStyle w:val="33"/>
              <w:rPr>
                <w:color w:val="auto"/>
              </w:rPr>
            </w:pPr>
          </w:p>
        </w:tc>
        <w:tc>
          <w:tcPr>
            <w:tcW w:w="833" w:type="pct"/>
            <w:noWrap/>
            <w:vAlign w:val="center"/>
          </w:tcPr>
          <w:p w14:paraId="5D493E36">
            <w:pPr>
              <w:pStyle w:val="33"/>
              <w:rPr>
                <w:color w:val="auto"/>
              </w:rPr>
            </w:pPr>
          </w:p>
        </w:tc>
        <w:tc>
          <w:tcPr>
            <w:tcW w:w="833" w:type="pct"/>
            <w:noWrap/>
            <w:vAlign w:val="center"/>
          </w:tcPr>
          <w:p w14:paraId="5DE4943A">
            <w:pPr>
              <w:pStyle w:val="33"/>
              <w:rPr>
                <w:color w:val="auto"/>
              </w:rPr>
            </w:pPr>
          </w:p>
        </w:tc>
      </w:tr>
    </w:tbl>
    <w:p w14:paraId="0D518EC1">
      <w:pPr>
        <w:ind w:firstLine="480"/>
        <w:rPr>
          <w:color w:val="auto"/>
        </w:rPr>
      </w:pPr>
      <w:r>
        <w:rPr>
          <w:rFonts w:hint="eastAsia"/>
          <w:color w:val="auto"/>
        </w:rPr>
        <w:t>（2）水位历史变化情况</w:t>
      </w:r>
    </w:p>
    <w:p w14:paraId="0CDE46C0">
      <w:pPr>
        <w:ind w:firstLine="480"/>
        <w:rPr>
          <w:color w:val="auto"/>
        </w:rPr>
      </w:pPr>
      <w:r>
        <w:rPr>
          <w:rFonts w:hint="eastAsia"/>
          <w:color w:val="auto"/>
        </w:rPr>
        <w:t>为了了解项目区域水位变化情况，本项目选取1个上游点位（U1）、1个侧游点位（U2）、1个下游点位（U3）共23个地下水点位进行对比，水位数据来自《广西钦州林浆纸产业园规划环境影响报告书》和本次监测（2025年1月）。</w:t>
      </w:r>
    </w:p>
    <w:p w14:paraId="464CF5E9">
      <w:pPr>
        <w:pStyle w:val="7"/>
        <w:numPr>
          <w:ilvl w:val="5"/>
          <w:numId w:val="1"/>
        </w:numPr>
        <w:rPr>
          <w:color w:val="auto"/>
        </w:rPr>
      </w:pPr>
      <w:r>
        <w:rPr>
          <w:rFonts w:hint="eastAsia"/>
          <w:color w:val="auto"/>
        </w:rPr>
        <w:t>地下水水位历史变化情况</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0"/>
        <w:gridCol w:w="1510"/>
        <w:gridCol w:w="1510"/>
        <w:gridCol w:w="1510"/>
        <w:gridCol w:w="1510"/>
        <w:gridCol w:w="1510"/>
      </w:tblGrid>
      <w:tr w14:paraId="3E13D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1182D466">
            <w:pPr>
              <w:pStyle w:val="33"/>
              <w:rPr>
                <w:color w:val="auto"/>
              </w:rPr>
            </w:pPr>
            <w:r>
              <w:rPr>
                <w:rFonts w:hint="eastAsia"/>
                <w:color w:val="auto"/>
              </w:rPr>
              <w:t>水位编号</w:t>
            </w:r>
          </w:p>
        </w:tc>
        <w:tc>
          <w:tcPr>
            <w:tcW w:w="1510" w:type="dxa"/>
            <w:vMerge w:val="restart"/>
            <w:vAlign w:val="center"/>
          </w:tcPr>
          <w:p w14:paraId="631AFDFB">
            <w:pPr>
              <w:pStyle w:val="33"/>
              <w:rPr>
                <w:color w:val="auto"/>
              </w:rPr>
            </w:pPr>
            <w:r>
              <w:rPr>
                <w:rFonts w:hint="eastAsia"/>
                <w:color w:val="auto"/>
              </w:rPr>
              <w:t>高程（m）</w:t>
            </w:r>
          </w:p>
        </w:tc>
        <w:tc>
          <w:tcPr>
            <w:tcW w:w="3020" w:type="dxa"/>
            <w:gridSpan w:val="2"/>
            <w:vAlign w:val="center"/>
          </w:tcPr>
          <w:p w14:paraId="1D8E777A">
            <w:pPr>
              <w:pStyle w:val="33"/>
              <w:rPr>
                <w:color w:val="auto"/>
              </w:rPr>
            </w:pPr>
            <w:r>
              <w:rPr>
                <w:rFonts w:hint="eastAsia"/>
                <w:color w:val="auto"/>
              </w:rPr>
              <w:t>2025年1月</w:t>
            </w:r>
          </w:p>
        </w:tc>
        <w:tc>
          <w:tcPr>
            <w:tcW w:w="3020" w:type="dxa"/>
            <w:gridSpan w:val="2"/>
            <w:vAlign w:val="center"/>
          </w:tcPr>
          <w:p w14:paraId="7D8A4F5E">
            <w:pPr>
              <w:pStyle w:val="33"/>
              <w:rPr>
                <w:color w:val="auto"/>
              </w:rPr>
            </w:pPr>
            <w:r>
              <w:rPr>
                <w:rFonts w:hint="eastAsia"/>
                <w:color w:val="auto"/>
              </w:rPr>
              <w:t>2024年2月</w:t>
            </w:r>
          </w:p>
        </w:tc>
      </w:tr>
      <w:tr w14:paraId="6E522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1A39DB56">
            <w:pPr>
              <w:pStyle w:val="33"/>
              <w:rPr>
                <w:color w:val="auto"/>
              </w:rPr>
            </w:pPr>
          </w:p>
        </w:tc>
        <w:tc>
          <w:tcPr>
            <w:tcW w:w="1510" w:type="dxa"/>
            <w:vMerge w:val="continue"/>
            <w:vAlign w:val="center"/>
          </w:tcPr>
          <w:p w14:paraId="38A02FD6">
            <w:pPr>
              <w:pStyle w:val="33"/>
              <w:rPr>
                <w:color w:val="auto"/>
              </w:rPr>
            </w:pPr>
          </w:p>
        </w:tc>
        <w:tc>
          <w:tcPr>
            <w:tcW w:w="1510" w:type="dxa"/>
            <w:vAlign w:val="center"/>
          </w:tcPr>
          <w:p w14:paraId="7457E40E">
            <w:pPr>
              <w:pStyle w:val="33"/>
              <w:rPr>
                <w:color w:val="auto"/>
              </w:rPr>
            </w:pPr>
            <w:r>
              <w:rPr>
                <w:rFonts w:hint="eastAsia"/>
                <w:color w:val="auto"/>
              </w:rPr>
              <w:t>埋深（m）</w:t>
            </w:r>
          </w:p>
        </w:tc>
        <w:tc>
          <w:tcPr>
            <w:tcW w:w="1510" w:type="dxa"/>
            <w:vAlign w:val="center"/>
          </w:tcPr>
          <w:p w14:paraId="6AD4D994">
            <w:pPr>
              <w:pStyle w:val="33"/>
              <w:rPr>
                <w:color w:val="auto"/>
              </w:rPr>
            </w:pPr>
            <w:r>
              <w:rPr>
                <w:rFonts w:hint="eastAsia"/>
                <w:color w:val="auto"/>
              </w:rPr>
              <w:t>水位标高（m）</w:t>
            </w:r>
          </w:p>
        </w:tc>
        <w:tc>
          <w:tcPr>
            <w:tcW w:w="1510" w:type="dxa"/>
            <w:vAlign w:val="center"/>
          </w:tcPr>
          <w:p w14:paraId="02AC0392">
            <w:pPr>
              <w:pStyle w:val="33"/>
              <w:rPr>
                <w:color w:val="auto"/>
              </w:rPr>
            </w:pPr>
            <w:r>
              <w:rPr>
                <w:rFonts w:hint="eastAsia"/>
                <w:color w:val="auto"/>
              </w:rPr>
              <w:t>埋深（m）</w:t>
            </w:r>
          </w:p>
        </w:tc>
        <w:tc>
          <w:tcPr>
            <w:tcW w:w="1510" w:type="dxa"/>
            <w:vAlign w:val="center"/>
          </w:tcPr>
          <w:p w14:paraId="1C11B4CF">
            <w:pPr>
              <w:pStyle w:val="33"/>
              <w:rPr>
                <w:color w:val="auto"/>
              </w:rPr>
            </w:pPr>
            <w:r>
              <w:rPr>
                <w:rFonts w:hint="eastAsia"/>
                <w:color w:val="auto"/>
              </w:rPr>
              <w:t>水位标高（m）</w:t>
            </w:r>
          </w:p>
        </w:tc>
      </w:tr>
      <w:tr w14:paraId="01A4C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Align w:val="center"/>
          </w:tcPr>
          <w:p w14:paraId="60EC0CF5">
            <w:pPr>
              <w:pStyle w:val="33"/>
              <w:rPr>
                <w:color w:val="auto"/>
              </w:rPr>
            </w:pPr>
            <w:r>
              <w:rPr>
                <w:rFonts w:hint="eastAsia"/>
                <w:color w:val="auto"/>
              </w:rPr>
              <w:t>U1</w:t>
            </w:r>
          </w:p>
        </w:tc>
        <w:tc>
          <w:tcPr>
            <w:tcW w:w="1510" w:type="dxa"/>
            <w:vAlign w:val="center"/>
          </w:tcPr>
          <w:p w14:paraId="5ABA069E">
            <w:pPr>
              <w:pStyle w:val="33"/>
              <w:rPr>
                <w:color w:val="auto"/>
              </w:rPr>
            </w:pPr>
          </w:p>
        </w:tc>
        <w:tc>
          <w:tcPr>
            <w:tcW w:w="1510" w:type="dxa"/>
            <w:vAlign w:val="center"/>
          </w:tcPr>
          <w:p w14:paraId="2D9CBFA7">
            <w:pPr>
              <w:pStyle w:val="33"/>
              <w:rPr>
                <w:color w:val="auto"/>
              </w:rPr>
            </w:pPr>
          </w:p>
        </w:tc>
        <w:tc>
          <w:tcPr>
            <w:tcW w:w="1510" w:type="dxa"/>
            <w:vAlign w:val="center"/>
          </w:tcPr>
          <w:p w14:paraId="717144DA">
            <w:pPr>
              <w:pStyle w:val="33"/>
              <w:rPr>
                <w:color w:val="auto"/>
              </w:rPr>
            </w:pPr>
          </w:p>
        </w:tc>
        <w:tc>
          <w:tcPr>
            <w:tcW w:w="1510" w:type="dxa"/>
            <w:vAlign w:val="center"/>
          </w:tcPr>
          <w:p w14:paraId="216B6193">
            <w:pPr>
              <w:pStyle w:val="33"/>
              <w:rPr>
                <w:color w:val="auto"/>
              </w:rPr>
            </w:pPr>
          </w:p>
        </w:tc>
        <w:tc>
          <w:tcPr>
            <w:tcW w:w="1510" w:type="dxa"/>
            <w:vAlign w:val="center"/>
          </w:tcPr>
          <w:p w14:paraId="2F8AF9FA">
            <w:pPr>
              <w:pStyle w:val="33"/>
              <w:rPr>
                <w:color w:val="auto"/>
              </w:rPr>
            </w:pPr>
          </w:p>
        </w:tc>
      </w:tr>
      <w:tr w14:paraId="256E1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Align w:val="center"/>
          </w:tcPr>
          <w:p w14:paraId="2884DE79">
            <w:pPr>
              <w:pStyle w:val="33"/>
              <w:rPr>
                <w:color w:val="auto"/>
              </w:rPr>
            </w:pPr>
            <w:r>
              <w:rPr>
                <w:rFonts w:hint="eastAsia"/>
                <w:color w:val="auto"/>
              </w:rPr>
              <w:t>U2</w:t>
            </w:r>
          </w:p>
        </w:tc>
        <w:tc>
          <w:tcPr>
            <w:tcW w:w="1510" w:type="dxa"/>
            <w:vAlign w:val="center"/>
          </w:tcPr>
          <w:p w14:paraId="0C57A0AD">
            <w:pPr>
              <w:pStyle w:val="33"/>
              <w:rPr>
                <w:color w:val="auto"/>
              </w:rPr>
            </w:pPr>
          </w:p>
        </w:tc>
        <w:tc>
          <w:tcPr>
            <w:tcW w:w="1510" w:type="dxa"/>
            <w:vAlign w:val="center"/>
          </w:tcPr>
          <w:p w14:paraId="18BBCE3A">
            <w:pPr>
              <w:pStyle w:val="33"/>
              <w:rPr>
                <w:color w:val="auto"/>
              </w:rPr>
            </w:pPr>
          </w:p>
        </w:tc>
        <w:tc>
          <w:tcPr>
            <w:tcW w:w="1510" w:type="dxa"/>
            <w:vAlign w:val="center"/>
          </w:tcPr>
          <w:p w14:paraId="77E339D5">
            <w:pPr>
              <w:pStyle w:val="33"/>
              <w:rPr>
                <w:color w:val="auto"/>
              </w:rPr>
            </w:pPr>
          </w:p>
        </w:tc>
        <w:tc>
          <w:tcPr>
            <w:tcW w:w="1510" w:type="dxa"/>
            <w:vAlign w:val="center"/>
          </w:tcPr>
          <w:p w14:paraId="632E8FC2">
            <w:pPr>
              <w:pStyle w:val="33"/>
              <w:rPr>
                <w:color w:val="auto"/>
              </w:rPr>
            </w:pPr>
          </w:p>
        </w:tc>
        <w:tc>
          <w:tcPr>
            <w:tcW w:w="1510" w:type="dxa"/>
            <w:vAlign w:val="center"/>
          </w:tcPr>
          <w:p w14:paraId="0C4DF2F3">
            <w:pPr>
              <w:pStyle w:val="33"/>
              <w:rPr>
                <w:color w:val="auto"/>
              </w:rPr>
            </w:pPr>
          </w:p>
        </w:tc>
      </w:tr>
      <w:tr w14:paraId="40ACB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Align w:val="center"/>
          </w:tcPr>
          <w:p w14:paraId="0B570FD4">
            <w:pPr>
              <w:pStyle w:val="33"/>
              <w:rPr>
                <w:color w:val="auto"/>
              </w:rPr>
            </w:pPr>
            <w:r>
              <w:rPr>
                <w:rFonts w:hint="eastAsia"/>
                <w:color w:val="auto"/>
              </w:rPr>
              <w:t>U3</w:t>
            </w:r>
          </w:p>
        </w:tc>
        <w:tc>
          <w:tcPr>
            <w:tcW w:w="1510" w:type="dxa"/>
            <w:vAlign w:val="center"/>
          </w:tcPr>
          <w:p w14:paraId="2606F54F">
            <w:pPr>
              <w:pStyle w:val="33"/>
              <w:rPr>
                <w:color w:val="auto"/>
              </w:rPr>
            </w:pPr>
          </w:p>
        </w:tc>
        <w:tc>
          <w:tcPr>
            <w:tcW w:w="1510" w:type="dxa"/>
            <w:vAlign w:val="center"/>
          </w:tcPr>
          <w:p w14:paraId="73FDA180">
            <w:pPr>
              <w:pStyle w:val="33"/>
              <w:rPr>
                <w:color w:val="auto"/>
              </w:rPr>
            </w:pPr>
          </w:p>
        </w:tc>
        <w:tc>
          <w:tcPr>
            <w:tcW w:w="1510" w:type="dxa"/>
            <w:vAlign w:val="center"/>
          </w:tcPr>
          <w:p w14:paraId="6429A87A">
            <w:pPr>
              <w:pStyle w:val="33"/>
              <w:rPr>
                <w:color w:val="auto"/>
              </w:rPr>
            </w:pPr>
          </w:p>
        </w:tc>
        <w:tc>
          <w:tcPr>
            <w:tcW w:w="1510" w:type="dxa"/>
            <w:vAlign w:val="center"/>
          </w:tcPr>
          <w:p w14:paraId="2D314FA0">
            <w:pPr>
              <w:pStyle w:val="33"/>
              <w:rPr>
                <w:color w:val="auto"/>
              </w:rPr>
            </w:pPr>
          </w:p>
        </w:tc>
        <w:tc>
          <w:tcPr>
            <w:tcW w:w="1510" w:type="dxa"/>
            <w:vAlign w:val="center"/>
          </w:tcPr>
          <w:p w14:paraId="57C877E7">
            <w:pPr>
              <w:pStyle w:val="33"/>
              <w:rPr>
                <w:color w:val="auto"/>
              </w:rPr>
            </w:pPr>
          </w:p>
        </w:tc>
      </w:tr>
    </w:tbl>
    <w:p w14:paraId="3DEABBC9">
      <w:pPr>
        <w:ind w:firstLine="480"/>
        <w:rPr>
          <w:color w:val="auto"/>
        </w:rPr>
      </w:pPr>
      <w:r>
        <w:rPr>
          <w:rFonts w:hint="eastAsia"/>
          <w:color w:val="auto"/>
        </w:rPr>
        <w:t>（3）水质监测点布设</w:t>
      </w:r>
    </w:p>
    <w:p w14:paraId="569E9AC9">
      <w:pPr>
        <w:ind w:firstLine="480"/>
        <w:rPr>
          <w:color w:val="auto"/>
        </w:rPr>
      </w:pPr>
      <w:r>
        <w:rPr>
          <w:rFonts w:hint="eastAsia"/>
          <w:color w:val="auto"/>
        </w:rPr>
        <w:t>本项目地下水监测点位布置情况详见下表。</w:t>
      </w:r>
    </w:p>
    <w:p w14:paraId="1DA50755">
      <w:pPr>
        <w:pStyle w:val="7"/>
        <w:rPr>
          <w:color w:val="auto"/>
        </w:rPr>
      </w:pPr>
      <w:bookmarkStart w:id="344" w:name="_Ref184718771"/>
      <w:r>
        <w:rPr>
          <w:rFonts w:hint="eastAsia"/>
          <w:color w:val="auto"/>
        </w:rPr>
        <w:t>地下水监测点情况一览表</w:t>
      </w:r>
      <w:bookmarkEnd w:id="344"/>
    </w:p>
    <w:tbl>
      <w:tblPr>
        <w:tblStyle w:val="26"/>
        <w:tblW w:w="92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690"/>
        <w:gridCol w:w="2848"/>
        <w:gridCol w:w="819"/>
        <w:gridCol w:w="777"/>
        <w:gridCol w:w="1841"/>
        <w:gridCol w:w="1547"/>
      </w:tblGrid>
      <w:tr w14:paraId="09DA0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5F171A73">
            <w:pPr>
              <w:pStyle w:val="33"/>
              <w:rPr>
                <w:color w:val="auto"/>
              </w:rPr>
            </w:pPr>
            <w:bookmarkStart w:id="345" w:name="_Hlk221182105"/>
            <w:r>
              <w:rPr>
                <w:color w:val="auto"/>
              </w:rPr>
              <w:t>编号</w:t>
            </w:r>
          </w:p>
        </w:tc>
        <w:tc>
          <w:tcPr>
            <w:tcW w:w="690" w:type="dxa"/>
            <w:vAlign w:val="center"/>
          </w:tcPr>
          <w:p w14:paraId="145E8E10">
            <w:pPr>
              <w:pStyle w:val="33"/>
              <w:rPr>
                <w:color w:val="auto"/>
              </w:rPr>
            </w:pPr>
            <w:r>
              <w:rPr>
                <w:color w:val="auto"/>
              </w:rPr>
              <w:t>监测点位</w:t>
            </w:r>
          </w:p>
        </w:tc>
        <w:tc>
          <w:tcPr>
            <w:tcW w:w="2848" w:type="dxa"/>
            <w:vAlign w:val="center"/>
          </w:tcPr>
          <w:p w14:paraId="0A7CBEF4">
            <w:pPr>
              <w:pStyle w:val="33"/>
              <w:rPr>
                <w:color w:val="auto"/>
              </w:rPr>
            </w:pPr>
            <w:r>
              <w:rPr>
                <w:color w:val="auto"/>
              </w:rPr>
              <w:t>监测内容</w:t>
            </w:r>
          </w:p>
        </w:tc>
        <w:tc>
          <w:tcPr>
            <w:tcW w:w="819" w:type="dxa"/>
            <w:vAlign w:val="center"/>
          </w:tcPr>
          <w:p w14:paraId="6EB64086">
            <w:pPr>
              <w:pStyle w:val="33"/>
              <w:rPr>
                <w:color w:val="auto"/>
              </w:rPr>
            </w:pPr>
            <w:r>
              <w:rPr>
                <w:color w:val="auto"/>
              </w:rPr>
              <w:t>点位性质</w:t>
            </w:r>
          </w:p>
        </w:tc>
        <w:tc>
          <w:tcPr>
            <w:tcW w:w="777" w:type="dxa"/>
            <w:vAlign w:val="center"/>
          </w:tcPr>
          <w:p w14:paraId="60D6431F">
            <w:pPr>
              <w:pStyle w:val="33"/>
              <w:rPr>
                <w:color w:val="auto"/>
              </w:rPr>
            </w:pPr>
            <w:r>
              <w:rPr>
                <w:rFonts w:hint="eastAsia"/>
                <w:color w:val="auto"/>
              </w:rPr>
              <w:t>水点类型</w:t>
            </w:r>
          </w:p>
        </w:tc>
        <w:tc>
          <w:tcPr>
            <w:tcW w:w="1841" w:type="dxa"/>
            <w:vAlign w:val="center"/>
          </w:tcPr>
          <w:p w14:paraId="16D9F294">
            <w:pPr>
              <w:pStyle w:val="33"/>
              <w:rPr>
                <w:color w:val="auto"/>
              </w:rPr>
            </w:pPr>
            <w:r>
              <w:rPr>
                <w:color w:val="auto"/>
              </w:rPr>
              <w:t>厂界相对方位与距离</w:t>
            </w:r>
          </w:p>
        </w:tc>
        <w:tc>
          <w:tcPr>
            <w:tcW w:w="1547" w:type="dxa"/>
            <w:vAlign w:val="center"/>
          </w:tcPr>
          <w:p w14:paraId="423BC3F9">
            <w:pPr>
              <w:pStyle w:val="33"/>
              <w:rPr>
                <w:color w:val="auto"/>
              </w:rPr>
            </w:pPr>
            <w:r>
              <w:rPr>
                <w:color w:val="auto"/>
              </w:rPr>
              <w:t>备注</w:t>
            </w:r>
          </w:p>
        </w:tc>
      </w:tr>
      <w:tr w14:paraId="67DEE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0C67C72A">
            <w:pPr>
              <w:pStyle w:val="33"/>
              <w:rPr>
                <w:color w:val="auto"/>
              </w:rPr>
            </w:pPr>
            <w:r>
              <w:rPr>
                <w:rFonts w:hint="eastAsia"/>
                <w:color w:val="auto"/>
              </w:rPr>
              <w:t>U1（D2）</w:t>
            </w:r>
          </w:p>
        </w:tc>
        <w:tc>
          <w:tcPr>
            <w:tcW w:w="690" w:type="dxa"/>
            <w:vAlign w:val="center"/>
          </w:tcPr>
          <w:p w14:paraId="04504026">
            <w:pPr>
              <w:pStyle w:val="33"/>
              <w:rPr>
                <w:color w:val="auto"/>
              </w:rPr>
            </w:pPr>
            <w:r>
              <w:rPr>
                <w:rFonts w:hint="eastAsia"/>
                <w:color w:val="auto"/>
              </w:rPr>
              <w:t>龙狗坑村附近</w:t>
            </w:r>
          </w:p>
        </w:tc>
        <w:tc>
          <w:tcPr>
            <w:tcW w:w="2848" w:type="dxa"/>
            <w:vMerge w:val="restart"/>
            <w:vAlign w:val="center"/>
          </w:tcPr>
          <w:p w14:paraId="15B99386">
            <w:pPr>
              <w:pStyle w:val="33"/>
              <w:rPr>
                <w:color w:val="auto"/>
              </w:rPr>
            </w:pPr>
            <w:r>
              <w:rPr>
                <w:color w:val="auto"/>
                <w:szCs w:val="21"/>
              </w:rPr>
              <w:t>pH、氨氮、硝酸盐、亚硝酸盐、总硬度、溶解性总固体、耗氧量、硫化物、氟化物、挥发性酚类、氰化物、阴离子表面活性剂、高锰酸盐指数、砷、汞、六价铬、铜、锌、铅、镉、K</w:t>
            </w:r>
            <w:r>
              <w:rPr>
                <w:color w:val="auto"/>
                <w:szCs w:val="21"/>
                <w:vertAlign w:val="superscript"/>
              </w:rPr>
              <w:t>+</w:t>
            </w:r>
            <w:r>
              <w:rPr>
                <w:color w:val="auto"/>
                <w:szCs w:val="21"/>
              </w:rPr>
              <w:t>、Na</w:t>
            </w:r>
            <w:r>
              <w:rPr>
                <w:color w:val="auto"/>
                <w:szCs w:val="21"/>
                <w:vertAlign w:val="superscript"/>
              </w:rPr>
              <w:t>+</w:t>
            </w:r>
            <w:r>
              <w:rPr>
                <w:color w:val="auto"/>
                <w:szCs w:val="21"/>
              </w:rPr>
              <w:t>、Ca</w:t>
            </w:r>
            <w:r>
              <w:rPr>
                <w:color w:val="auto"/>
                <w:szCs w:val="21"/>
                <w:vertAlign w:val="superscript"/>
              </w:rPr>
              <w:t>2+</w:t>
            </w:r>
            <w:r>
              <w:rPr>
                <w:color w:val="auto"/>
                <w:szCs w:val="21"/>
              </w:rPr>
              <w:t>、Mg</w:t>
            </w:r>
            <w:r>
              <w:rPr>
                <w:color w:val="auto"/>
                <w:szCs w:val="21"/>
                <w:vertAlign w:val="superscript"/>
              </w:rPr>
              <w:t>2+</w:t>
            </w:r>
            <w:r>
              <w:rPr>
                <w:color w:val="auto"/>
                <w:szCs w:val="21"/>
              </w:rPr>
              <w:t>、CO</w:t>
            </w:r>
            <w:r>
              <w:rPr>
                <w:color w:val="auto"/>
                <w:szCs w:val="21"/>
                <w:vertAlign w:val="subscript"/>
              </w:rPr>
              <w:t>3</w:t>
            </w:r>
            <w:r>
              <w:rPr>
                <w:color w:val="auto"/>
                <w:szCs w:val="21"/>
                <w:vertAlign w:val="superscript"/>
              </w:rPr>
              <w:t>2-</w:t>
            </w:r>
            <w:r>
              <w:rPr>
                <w:color w:val="auto"/>
                <w:szCs w:val="21"/>
              </w:rPr>
              <w:t>、HCO</w:t>
            </w:r>
            <w:r>
              <w:rPr>
                <w:color w:val="auto"/>
                <w:szCs w:val="21"/>
                <w:vertAlign w:val="subscript"/>
              </w:rPr>
              <w:t>3</w:t>
            </w:r>
            <w:r>
              <w:rPr>
                <w:color w:val="auto"/>
                <w:szCs w:val="21"/>
                <w:vertAlign w:val="superscript"/>
              </w:rPr>
              <w:t>-</w:t>
            </w:r>
            <w:r>
              <w:rPr>
                <w:color w:val="auto"/>
                <w:szCs w:val="21"/>
              </w:rPr>
              <w:t>、Cl</w:t>
            </w:r>
            <w:r>
              <w:rPr>
                <w:color w:val="auto"/>
                <w:szCs w:val="21"/>
                <w:vertAlign w:val="superscript"/>
              </w:rPr>
              <w:t>-</w:t>
            </w:r>
            <w:r>
              <w:rPr>
                <w:color w:val="auto"/>
                <w:szCs w:val="21"/>
              </w:rPr>
              <w:t>、SO</w:t>
            </w:r>
            <w:r>
              <w:rPr>
                <w:color w:val="auto"/>
                <w:szCs w:val="21"/>
                <w:vertAlign w:val="superscript"/>
              </w:rPr>
              <w:t>2-</w:t>
            </w:r>
            <w:r>
              <w:rPr>
                <w:rFonts w:hint="eastAsia"/>
                <w:color w:val="auto"/>
                <w:szCs w:val="21"/>
              </w:rPr>
              <w:t>、</w:t>
            </w:r>
            <w:r>
              <w:rPr>
                <w:color w:val="auto"/>
                <w:szCs w:val="21"/>
              </w:rPr>
              <w:t>AOX（可吸附有机卤素），二噁英、地下水埋深</w:t>
            </w:r>
            <w:r>
              <w:rPr>
                <w:rFonts w:hint="eastAsia"/>
                <w:color w:val="auto"/>
                <w:szCs w:val="21"/>
              </w:rPr>
              <w:t xml:space="preserve"> </w:t>
            </w:r>
            <w:r>
              <w:rPr>
                <w:color w:val="auto"/>
                <w:szCs w:val="21"/>
              </w:rPr>
              <w:t>、标高</w:t>
            </w:r>
          </w:p>
        </w:tc>
        <w:tc>
          <w:tcPr>
            <w:tcW w:w="819" w:type="dxa"/>
            <w:vAlign w:val="center"/>
          </w:tcPr>
          <w:p w14:paraId="0B5D4B7B">
            <w:pPr>
              <w:pStyle w:val="33"/>
              <w:rPr>
                <w:color w:val="auto"/>
              </w:rPr>
            </w:pPr>
            <w:r>
              <w:rPr>
                <w:rFonts w:hint="eastAsia"/>
                <w:color w:val="auto"/>
              </w:rPr>
              <w:t>机井</w:t>
            </w:r>
          </w:p>
        </w:tc>
        <w:tc>
          <w:tcPr>
            <w:tcW w:w="777" w:type="dxa"/>
            <w:vAlign w:val="center"/>
          </w:tcPr>
          <w:p w14:paraId="15257252">
            <w:pPr>
              <w:pStyle w:val="33"/>
              <w:rPr>
                <w:color w:val="auto"/>
              </w:rPr>
            </w:pPr>
            <w:r>
              <w:rPr>
                <w:rFonts w:hint="eastAsia"/>
                <w:color w:val="auto"/>
              </w:rPr>
              <w:t>上游</w:t>
            </w:r>
          </w:p>
        </w:tc>
        <w:tc>
          <w:tcPr>
            <w:tcW w:w="1841" w:type="dxa"/>
            <w:vAlign w:val="center"/>
          </w:tcPr>
          <w:p w14:paraId="589F75F3">
            <w:pPr>
              <w:pStyle w:val="33"/>
              <w:rPr>
                <w:color w:val="auto"/>
              </w:rPr>
            </w:pPr>
            <w:r>
              <w:rPr>
                <w:rFonts w:hint="eastAsia"/>
                <w:color w:val="auto"/>
              </w:rPr>
              <w:t>西侧300m分水岭附近</w:t>
            </w:r>
          </w:p>
        </w:tc>
        <w:tc>
          <w:tcPr>
            <w:tcW w:w="1547" w:type="dxa"/>
            <w:vMerge w:val="restart"/>
            <w:vAlign w:val="center"/>
          </w:tcPr>
          <w:p w14:paraId="787CD406">
            <w:pPr>
              <w:pStyle w:val="33"/>
              <w:rPr>
                <w:color w:val="auto"/>
              </w:rPr>
            </w:pPr>
            <w:r>
              <w:rPr>
                <w:rFonts w:hint="eastAsia"/>
                <w:color w:val="auto"/>
              </w:rPr>
              <w:t>引用《广西钦州林浆纸产业园规划环境影响报告书》，监测时间：2024年2月</w:t>
            </w:r>
            <w:r>
              <w:rPr>
                <w:color w:val="auto"/>
              </w:rPr>
              <w:t>20</w:t>
            </w:r>
            <w:r>
              <w:rPr>
                <w:rFonts w:hint="eastAsia"/>
                <w:color w:val="auto"/>
              </w:rPr>
              <w:t>日</w:t>
            </w:r>
          </w:p>
        </w:tc>
      </w:tr>
      <w:tr w14:paraId="2E106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6D70C7BE">
            <w:pPr>
              <w:pStyle w:val="33"/>
              <w:rPr>
                <w:color w:val="auto"/>
              </w:rPr>
            </w:pPr>
            <w:r>
              <w:rPr>
                <w:rFonts w:hint="eastAsia"/>
                <w:color w:val="auto"/>
              </w:rPr>
              <w:t>U2（D3）</w:t>
            </w:r>
          </w:p>
        </w:tc>
        <w:tc>
          <w:tcPr>
            <w:tcW w:w="690" w:type="dxa"/>
            <w:vAlign w:val="center"/>
          </w:tcPr>
          <w:p w14:paraId="1AABBD69">
            <w:pPr>
              <w:pStyle w:val="33"/>
              <w:rPr>
                <w:color w:val="auto"/>
              </w:rPr>
            </w:pPr>
            <w:r>
              <w:rPr>
                <w:rFonts w:hint="eastAsia"/>
                <w:color w:val="auto"/>
              </w:rPr>
              <w:t>龙狗坑村附近</w:t>
            </w:r>
          </w:p>
        </w:tc>
        <w:tc>
          <w:tcPr>
            <w:tcW w:w="2848" w:type="dxa"/>
            <w:vMerge w:val="continue"/>
            <w:vAlign w:val="center"/>
          </w:tcPr>
          <w:p w14:paraId="498E2283">
            <w:pPr>
              <w:pStyle w:val="33"/>
              <w:rPr>
                <w:color w:val="auto"/>
              </w:rPr>
            </w:pPr>
          </w:p>
        </w:tc>
        <w:tc>
          <w:tcPr>
            <w:tcW w:w="819" w:type="dxa"/>
            <w:vAlign w:val="center"/>
          </w:tcPr>
          <w:p w14:paraId="6CCECC5C">
            <w:pPr>
              <w:pStyle w:val="33"/>
              <w:rPr>
                <w:color w:val="auto"/>
              </w:rPr>
            </w:pPr>
            <w:r>
              <w:rPr>
                <w:rFonts w:hint="eastAsia"/>
                <w:color w:val="auto"/>
              </w:rPr>
              <w:t>机井</w:t>
            </w:r>
          </w:p>
        </w:tc>
        <w:tc>
          <w:tcPr>
            <w:tcW w:w="777" w:type="dxa"/>
            <w:vAlign w:val="center"/>
          </w:tcPr>
          <w:p w14:paraId="5482DE48">
            <w:pPr>
              <w:pStyle w:val="33"/>
              <w:rPr>
                <w:color w:val="auto"/>
              </w:rPr>
            </w:pPr>
            <w:r>
              <w:rPr>
                <w:rFonts w:hint="eastAsia"/>
                <w:color w:val="auto"/>
              </w:rPr>
              <w:t>侧游</w:t>
            </w:r>
          </w:p>
        </w:tc>
        <w:tc>
          <w:tcPr>
            <w:tcW w:w="1841" w:type="dxa"/>
            <w:vAlign w:val="center"/>
          </w:tcPr>
          <w:p w14:paraId="3B96498C">
            <w:pPr>
              <w:pStyle w:val="33"/>
              <w:rPr>
                <w:color w:val="auto"/>
              </w:rPr>
            </w:pPr>
            <w:r>
              <w:rPr>
                <w:rFonts w:hint="eastAsia"/>
                <w:color w:val="auto"/>
              </w:rPr>
              <w:t>厂界西侧约1.1km</w:t>
            </w:r>
          </w:p>
        </w:tc>
        <w:tc>
          <w:tcPr>
            <w:tcW w:w="1547" w:type="dxa"/>
            <w:vMerge w:val="continue"/>
            <w:vAlign w:val="center"/>
          </w:tcPr>
          <w:p w14:paraId="0F904E16">
            <w:pPr>
              <w:pStyle w:val="33"/>
              <w:rPr>
                <w:color w:val="auto"/>
              </w:rPr>
            </w:pPr>
          </w:p>
        </w:tc>
      </w:tr>
      <w:tr w14:paraId="42B89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474F045D">
            <w:pPr>
              <w:pStyle w:val="33"/>
              <w:rPr>
                <w:color w:val="auto"/>
              </w:rPr>
            </w:pPr>
            <w:r>
              <w:rPr>
                <w:rFonts w:hint="eastAsia"/>
                <w:color w:val="auto"/>
              </w:rPr>
              <w:t>U3（D4）</w:t>
            </w:r>
          </w:p>
        </w:tc>
        <w:tc>
          <w:tcPr>
            <w:tcW w:w="690" w:type="dxa"/>
            <w:vAlign w:val="center"/>
          </w:tcPr>
          <w:p w14:paraId="3D6744AB">
            <w:pPr>
              <w:pStyle w:val="33"/>
              <w:rPr>
                <w:color w:val="auto"/>
              </w:rPr>
            </w:pPr>
            <w:r>
              <w:rPr>
                <w:rFonts w:hint="eastAsia"/>
                <w:color w:val="auto"/>
                <w:szCs w:val="21"/>
                <w:lang w:bidi="ar"/>
              </w:rPr>
              <w:t>金桂生活区滨海公路南侧</w:t>
            </w:r>
          </w:p>
        </w:tc>
        <w:tc>
          <w:tcPr>
            <w:tcW w:w="2848" w:type="dxa"/>
            <w:vMerge w:val="continue"/>
            <w:vAlign w:val="center"/>
          </w:tcPr>
          <w:p w14:paraId="3DC228A4">
            <w:pPr>
              <w:pStyle w:val="33"/>
              <w:rPr>
                <w:color w:val="auto"/>
              </w:rPr>
            </w:pPr>
          </w:p>
        </w:tc>
        <w:tc>
          <w:tcPr>
            <w:tcW w:w="819" w:type="dxa"/>
            <w:vAlign w:val="center"/>
          </w:tcPr>
          <w:p w14:paraId="5C9DF138">
            <w:pPr>
              <w:pStyle w:val="33"/>
              <w:rPr>
                <w:color w:val="auto"/>
              </w:rPr>
            </w:pPr>
            <w:r>
              <w:rPr>
                <w:rFonts w:hint="eastAsia"/>
                <w:color w:val="auto"/>
              </w:rPr>
              <w:t>机井</w:t>
            </w:r>
          </w:p>
        </w:tc>
        <w:tc>
          <w:tcPr>
            <w:tcW w:w="777" w:type="dxa"/>
            <w:vAlign w:val="center"/>
          </w:tcPr>
          <w:p w14:paraId="323BE2C9">
            <w:pPr>
              <w:pStyle w:val="33"/>
              <w:rPr>
                <w:color w:val="auto"/>
              </w:rPr>
            </w:pPr>
            <w:r>
              <w:rPr>
                <w:rFonts w:hint="eastAsia"/>
                <w:color w:val="auto"/>
              </w:rPr>
              <w:t>侧下游</w:t>
            </w:r>
          </w:p>
        </w:tc>
        <w:tc>
          <w:tcPr>
            <w:tcW w:w="1841" w:type="dxa"/>
            <w:vAlign w:val="center"/>
          </w:tcPr>
          <w:p w14:paraId="3E781302">
            <w:pPr>
              <w:pStyle w:val="33"/>
              <w:rPr>
                <w:color w:val="auto"/>
              </w:rPr>
            </w:pPr>
            <w:r>
              <w:rPr>
                <w:rFonts w:hint="eastAsia"/>
                <w:color w:val="auto"/>
              </w:rPr>
              <w:t>厂界南侧约408m</w:t>
            </w:r>
          </w:p>
        </w:tc>
        <w:tc>
          <w:tcPr>
            <w:tcW w:w="1547" w:type="dxa"/>
            <w:vMerge w:val="continue"/>
            <w:vAlign w:val="center"/>
          </w:tcPr>
          <w:p w14:paraId="1F7E1356">
            <w:pPr>
              <w:pStyle w:val="33"/>
              <w:rPr>
                <w:color w:val="auto"/>
              </w:rPr>
            </w:pPr>
          </w:p>
        </w:tc>
      </w:tr>
      <w:tr w14:paraId="3AD08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3F2E1A4E">
            <w:pPr>
              <w:pStyle w:val="33"/>
              <w:rPr>
                <w:color w:val="auto"/>
              </w:rPr>
            </w:pPr>
            <w:r>
              <w:rPr>
                <w:rFonts w:hint="eastAsia"/>
                <w:color w:val="auto"/>
              </w:rPr>
              <w:t>U</w:t>
            </w:r>
            <w:r>
              <w:rPr>
                <w:color w:val="auto"/>
              </w:rPr>
              <w:t>4</w:t>
            </w:r>
          </w:p>
        </w:tc>
        <w:tc>
          <w:tcPr>
            <w:tcW w:w="690" w:type="dxa"/>
            <w:vAlign w:val="center"/>
          </w:tcPr>
          <w:p w14:paraId="66B3E70B">
            <w:pPr>
              <w:pStyle w:val="33"/>
              <w:rPr>
                <w:color w:val="auto"/>
              </w:rPr>
            </w:pPr>
            <w:r>
              <w:rPr>
                <w:rFonts w:hint="eastAsia"/>
                <w:color w:val="auto"/>
              </w:rPr>
              <w:t>厂区内原木堆场</w:t>
            </w:r>
          </w:p>
        </w:tc>
        <w:tc>
          <w:tcPr>
            <w:tcW w:w="2848" w:type="dxa"/>
            <w:vMerge w:val="restart"/>
            <w:vAlign w:val="center"/>
          </w:tcPr>
          <w:p w14:paraId="1EB3807E">
            <w:pPr>
              <w:pStyle w:val="33"/>
              <w:rPr>
                <w:color w:val="auto"/>
              </w:rPr>
            </w:pPr>
            <w:r>
              <w:rPr>
                <w:rFonts w:hint="eastAsia"/>
                <w:color w:val="auto"/>
              </w:rPr>
              <w:t>pH、氨氮、硝酸盐、亚硝酸盐、总硬度、溶解性总固体、高锰酸盐指数、硫化物、氟化物、挥发性酚类、氰化物、阴离子表面活性剂、砷、汞、六价铬、铜、锌、铅、镉、K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bscript"/>
              </w:rPr>
              <w:t>3</w:t>
            </w:r>
            <w:r>
              <w:rPr>
                <w:rFonts w:hint="eastAsia"/>
                <w:color w:val="auto"/>
                <w:vertAlign w:val="superscript"/>
              </w:rPr>
              <w:t>-</w:t>
            </w:r>
            <w:r>
              <w:rPr>
                <w:rFonts w:hint="eastAsia"/>
                <w:color w:val="auto"/>
              </w:rPr>
              <w:t>、Cl</w:t>
            </w:r>
            <w:r>
              <w:rPr>
                <w:rFonts w:hint="eastAsia"/>
                <w:color w:val="auto"/>
                <w:vertAlign w:val="superscript"/>
              </w:rPr>
              <w:t>-</w:t>
            </w:r>
            <w:r>
              <w:rPr>
                <w:rFonts w:hint="eastAsia"/>
                <w:color w:val="auto"/>
              </w:rPr>
              <w:t>、SO</w:t>
            </w:r>
            <w:r>
              <w:rPr>
                <w:rFonts w:hint="eastAsia"/>
                <w:color w:val="auto"/>
                <w:vertAlign w:val="subscript"/>
              </w:rPr>
              <w:t>4</w:t>
            </w:r>
            <w:r>
              <w:rPr>
                <w:rFonts w:hint="eastAsia"/>
                <w:color w:val="auto"/>
                <w:vertAlign w:val="superscript"/>
              </w:rPr>
              <w:t>2-</w:t>
            </w:r>
            <w:r>
              <w:rPr>
                <w:rFonts w:hint="eastAsia"/>
                <w:color w:val="auto"/>
              </w:rPr>
              <w:t>、AOX（可吸附有机卤素）、二噁英、总磷</w:t>
            </w:r>
          </w:p>
        </w:tc>
        <w:tc>
          <w:tcPr>
            <w:tcW w:w="819" w:type="dxa"/>
            <w:vAlign w:val="center"/>
          </w:tcPr>
          <w:p w14:paraId="67552009">
            <w:pPr>
              <w:pStyle w:val="33"/>
              <w:rPr>
                <w:color w:val="auto"/>
              </w:rPr>
            </w:pPr>
            <w:r>
              <w:rPr>
                <w:rFonts w:hint="eastAsia"/>
                <w:color w:val="auto"/>
              </w:rPr>
              <w:t>监测井</w:t>
            </w:r>
          </w:p>
        </w:tc>
        <w:tc>
          <w:tcPr>
            <w:tcW w:w="777" w:type="dxa"/>
            <w:vAlign w:val="center"/>
          </w:tcPr>
          <w:p w14:paraId="47BAF74C">
            <w:pPr>
              <w:pStyle w:val="33"/>
              <w:rPr>
                <w:color w:val="auto"/>
              </w:rPr>
            </w:pPr>
            <w:r>
              <w:rPr>
                <w:rFonts w:hint="eastAsia"/>
                <w:color w:val="auto"/>
              </w:rPr>
              <w:t>厂区内侧游</w:t>
            </w:r>
          </w:p>
        </w:tc>
        <w:tc>
          <w:tcPr>
            <w:tcW w:w="1841" w:type="dxa"/>
            <w:vAlign w:val="center"/>
          </w:tcPr>
          <w:p w14:paraId="6AAE0C61">
            <w:pPr>
              <w:pStyle w:val="33"/>
              <w:rPr>
                <w:color w:val="auto"/>
              </w:rPr>
            </w:pPr>
            <w:r>
              <w:rPr>
                <w:rFonts w:hint="eastAsia"/>
                <w:color w:val="auto"/>
              </w:rPr>
              <w:t>/</w:t>
            </w:r>
          </w:p>
        </w:tc>
        <w:tc>
          <w:tcPr>
            <w:tcW w:w="1547" w:type="dxa"/>
            <w:vMerge w:val="restart"/>
            <w:vAlign w:val="center"/>
          </w:tcPr>
          <w:p w14:paraId="321DC30D">
            <w:pPr>
              <w:pStyle w:val="33"/>
              <w:rPr>
                <w:color w:val="auto"/>
              </w:rPr>
            </w:pPr>
            <w:r>
              <w:rPr>
                <w:rFonts w:hint="eastAsia"/>
                <w:color w:val="auto"/>
              </w:rPr>
              <w:t>本次监测</w:t>
            </w:r>
          </w:p>
        </w:tc>
      </w:tr>
      <w:tr w14:paraId="7DDC1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6DC143C8">
            <w:pPr>
              <w:pStyle w:val="33"/>
              <w:rPr>
                <w:color w:val="auto"/>
              </w:rPr>
            </w:pPr>
            <w:r>
              <w:rPr>
                <w:rFonts w:hint="eastAsia"/>
                <w:color w:val="auto"/>
              </w:rPr>
              <w:t>U</w:t>
            </w:r>
            <w:r>
              <w:rPr>
                <w:color w:val="auto"/>
              </w:rPr>
              <w:t>5</w:t>
            </w:r>
          </w:p>
        </w:tc>
        <w:tc>
          <w:tcPr>
            <w:tcW w:w="690" w:type="dxa"/>
            <w:vAlign w:val="center"/>
          </w:tcPr>
          <w:p w14:paraId="2A5231BD">
            <w:pPr>
              <w:pStyle w:val="33"/>
              <w:rPr>
                <w:color w:val="auto"/>
              </w:rPr>
            </w:pPr>
            <w:r>
              <w:rPr>
                <w:rFonts w:hint="eastAsia"/>
                <w:color w:val="auto"/>
              </w:rPr>
              <w:t>厂区内污水处理附近</w:t>
            </w:r>
          </w:p>
        </w:tc>
        <w:tc>
          <w:tcPr>
            <w:tcW w:w="2848" w:type="dxa"/>
            <w:vMerge w:val="continue"/>
            <w:vAlign w:val="center"/>
          </w:tcPr>
          <w:p w14:paraId="2E4AF0A9">
            <w:pPr>
              <w:pStyle w:val="33"/>
              <w:rPr>
                <w:color w:val="auto"/>
              </w:rPr>
            </w:pPr>
          </w:p>
        </w:tc>
        <w:tc>
          <w:tcPr>
            <w:tcW w:w="819" w:type="dxa"/>
            <w:vAlign w:val="center"/>
          </w:tcPr>
          <w:p w14:paraId="0BFF4470">
            <w:pPr>
              <w:pStyle w:val="33"/>
              <w:rPr>
                <w:color w:val="auto"/>
              </w:rPr>
            </w:pPr>
            <w:r>
              <w:rPr>
                <w:rFonts w:hint="eastAsia"/>
                <w:color w:val="auto"/>
              </w:rPr>
              <w:t>监测井</w:t>
            </w:r>
          </w:p>
        </w:tc>
        <w:tc>
          <w:tcPr>
            <w:tcW w:w="777" w:type="dxa"/>
            <w:vAlign w:val="center"/>
          </w:tcPr>
          <w:p w14:paraId="5AF12346">
            <w:pPr>
              <w:pStyle w:val="33"/>
              <w:rPr>
                <w:color w:val="auto"/>
              </w:rPr>
            </w:pPr>
            <w:r>
              <w:rPr>
                <w:rFonts w:hint="eastAsia"/>
                <w:color w:val="auto"/>
              </w:rPr>
              <w:t>厂区内下游</w:t>
            </w:r>
          </w:p>
        </w:tc>
        <w:tc>
          <w:tcPr>
            <w:tcW w:w="1841" w:type="dxa"/>
            <w:vAlign w:val="center"/>
          </w:tcPr>
          <w:p w14:paraId="6FE3232C">
            <w:pPr>
              <w:pStyle w:val="33"/>
              <w:rPr>
                <w:color w:val="auto"/>
              </w:rPr>
            </w:pPr>
            <w:r>
              <w:rPr>
                <w:rFonts w:hint="eastAsia"/>
                <w:color w:val="auto"/>
              </w:rPr>
              <w:t>/</w:t>
            </w:r>
          </w:p>
        </w:tc>
        <w:tc>
          <w:tcPr>
            <w:tcW w:w="1547" w:type="dxa"/>
            <w:vMerge w:val="continue"/>
            <w:vAlign w:val="center"/>
          </w:tcPr>
          <w:p w14:paraId="77C93AA7">
            <w:pPr>
              <w:pStyle w:val="33"/>
              <w:rPr>
                <w:color w:val="auto"/>
              </w:rPr>
            </w:pPr>
          </w:p>
        </w:tc>
      </w:tr>
      <w:tr w14:paraId="73253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 w:hRule="atLeast"/>
          <w:tblHeader/>
          <w:jc w:val="center"/>
        </w:trPr>
        <w:tc>
          <w:tcPr>
            <w:tcW w:w="723" w:type="dxa"/>
            <w:vAlign w:val="center"/>
          </w:tcPr>
          <w:p w14:paraId="7FCFB376">
            <w:pPr>
              <w:pStyle w:val="33"/>
              <w:rPr>
                <w:color w:val="auto"/>
              </w:rPr>
            </w:pPr>
            <w:r>
              <w:rPr>
                <w:rFonts w:hint="eastAsia"/>
                <w:color w:val="auto"/>
              </w:rPr>
              <w:t>U</w:t>
            </w:r>
            <w:r>
              <w:rPr>
                <w:color w:val="auto"/>
              </w:rPr>
              <w:t>6</w:t>
            </w:r>
          </w:p>
        </w:tc>
        <w:tc>
          <w:tcPr>
            <w:tcW w:w="690" w:type="dxa"/>
            <w:vAlign w:val="center"/>
          </w:tcPr>
          <w:p w14:paraId="5E24B9D0">
            <w:pPr>
              <w:pStyle w:val="33"/>
              <w:rPr>
                <w:color w:val="auto"/>
              </w:rPr>
            </w:pPr>
            <w:r>
              <w:rPr>
                <w:rFonts w:hint="eastAsia"/>
                <w:color w:val="auto"/>
              </w:rPr>
              <w:t>上硫磺山村</w:t>
            </w:r>
          </w:p>
        </w:tc>
        <w:tc>
          <w:tcPr>
            <w:tcW w:w="2848" w:type="dxa"/>
            <w:vMerge w:val="continue"/>
            <w:vAlign w:val="center"/>
          </w:tcPr>
          <w:p w14:paraId="41F95BD2">
            <w:pPr>
              <w:pStyle w:val="33"/>
              <w:rPr>
                <w:color w:val="auto"/>
              </w:rPr>
            </w:pPr>
          </w:p>
        </w:tc>
        <w:tc>
          <w:tcPr>
            <w:tcW w:w="819" w:type="dxa"/>
            <w:vAlign w:val="center"/>
          </w:tcPr>
          <w:p w14:paraId="1644596A">
            <w:pPr>
              <w:pStyle w:val="33"/>
              <w:rPr>
                <w:color w:val="auto"/>
              </w:rPr>
            </w:pPr>
            <w:r>
              <w:rPr>
                <w:rFonts w:hint="eastAsia"/>
                <w:color w:val="auto"/>
              </w:rPr>
              <w:t>民井</w:t>
            </w:r>
          </w:p>
        </w:tc>
        <w:tc>
          <w:tcPr>
            <w:tcW w:w="777" w:type="dxa"/>
            <w:vAlign w:val="center"/>
          </w:tcPr>
          <w:p w14:paraId="5726EDFB">
            <w:pPr>
              <w:pStyle w:val="33"/>
              <w:rPr>
                <w:color w:val="auto"/>
              </w:rPr>
            </w:pPr>
            <w:r>
              <w:rPr>
                <w:rFonts w:hint="eastAsia"/>
                <w:color w:val="auto"/>
              </w:rPr>
              <w:t>下游</w:t>
            </w:r>
          </w:p>
        </w:tc>
        <w:tc>
          <w:tcPr>
            <w:tcW w:w="1841" w:type="dxa"/>
            <w:vAlign w:val="center"/>
          </w:tcPr>
          <w:p w14:paraId="0B84920D">
            <w:pPr>
              <w:pStyle w:val="33"/>
              <w:rPr>
                <w:color w:val="auto"/>
              </w:rPr>
            </w:pPr>
            <w:r>
              <w:rPr>
                <w:rFonts w:hint="eastAsia"/>
                <w:color w:val="auto"/>
              </w:rPr>
              <w:t>厂界南侧约390m</w:t>
            </w:r>
          </w:p>
        </w:tc>
        <w:tc>
          <w:tcPr>
            <w:tcW w:w="1547" w:type="dxa"/>
            <w:vMerge w:val="continue"/>
            <w:vAlign w:val="center"/>
          </w:tcPr>
          <w:p w14:paraId="77E3A45B">
            <w:pPr>
              <w:pStyle w:val="33"/>
              <w:rPr>
                <w:color w:val="auto"/>
              </w:rPr>
            </w:pPr>
          </w:p>
        </w:tc>
      </w:tr>
      <w:bookmarkEnd w:id="345"/>
    </w:tbl>
    <w:p w14:paraId="76473130">
      <w:pPr>
        <w:pStyle w:val="4"/>
        <w:rPr>
          <w:color w:val="auto"/>
        </w:rPr>
      </w:pPr>
      <w:bookmarkStart w:id="346" w:name="_Toc199168953"/>
      <w:bookmarkStart w:id="347" w:name="_Toc225216750"/>
      <w:bookmarkStart w:id="348" w:name="_Toc198390598"/>
      <w:bookmarkStart w:id="349" w:name="_Toc199190490"/>
      <w:bookmarkStart w:id="350" w:name="_Toc198391251"/>
      <w:r>
        <w:rPr>
          <w:rFonts w:hint="eastAsia"/>
          <w:color w:val="auto"/>
        </w:rPr>
        <w:t>监测因子</w:t>
      </w:r>
      <w:bookmarkEnd w:id="346"/>
      <w:bookmarkEnd w:id="347"/>
      <w:bookmarkEnd w:id="348"/>
      <w:bookmarkEnd w:id="349"/>
      <w:bookmarkEnd w:id="350"/>
    </w:p>
    <w:p w14:paraId="243704A3">
      <w:pPr>
        <w:ind w:firstLine="480"/>
        <w:rPr>
          <w:color w:val="auto"/>
        </w:rPr>
      </w:pPr>
      <w:r>
        <w:rPr>
          <w:rFonts w:hint="eastAsia"/>
          <w:color w:val="auto"/>
        </w:rPr>
        <w:t>八大离子：K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、Cl</w:t>
      </w:r>
      <w:r>
        <w:rPr>
          <w:rFonts w:hint="eastAsia"/>
          <w:color w:val="auto"/>
          <w:vertAlign w:val="superscript"/>
        </w:rPr>
        <w:t>-</w:t>
      </w:r>
      <w:r>
        <w:rPr>
          <w:rFonts w:hint="eastAsia"/>
          <w:color w:val="auto"/>
        </w:rPr>
        <w:t>、SO</w:t>
      </w:r>
      <w:r>
        <w:rPr>
          <w:rFonts w:hint="eastAsia"/>
          <w:strike/>
          <w:color w:val="auto"/>
          <w:vertAlign w:val="subscript"/>
        </w:rPr>
        <w:t>4</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bscript"/>
        </w:rPr>
        <w:t>3</w:t>
      </w:r>
      <w:r>
        <w:rPr>
          <w:rFonts w:hint="eastAsia"/>
          <w:color w:val="auto"/>
          <w:vertAlign w:val="superscript"/>
        </w:rPr>
        <w:t>-</w:t>
      </w:r>
      <w:r>
        <w:rPr>
          <w:rFonts w:hint="eastAsia"/>
          <w:color w:val="auto"/>
        </w:rPr>
        <w:t>，共8项。</w:t>
      </w:r>
    </w:p>
    <w:p w14:paraId="6DB9A0FA">
      <w:pPr>
        <w:ind w:firstLine="480"/>
        <w:rPr>
          <w:color w:val="auto"/>
        </w:rPr>
      </w:pPr>
      <w:r>
        <w:rPr>
          <w:rFonts w:hint="eastAsia"/>
          <w:color w:val="auto"/>
        </w:rPr>
        <w:t>其他监测因子：pH值、氨氮、硝酸盐、亚硝酸盐、挥发性酚类、氰化物、砷、汞、铬（六价）、总硬度、铅、氟、镉、铜、锌、溶解性总固体、高锰酸盐指数、硫酸盐、氯化物、硫化物、阴离子表面活性剂、总磷、二噁英和</w:t>
      </w:r>
      <w:r>
        <w:rPr>
          <w:color w:val="auto"/>
        </w:rPr>
        <w:t>AOX</w:t>
      </w:r>
      <w:r>
        <w:rPr>
          <w:rFonts w:hint="eastAsia"/>
          <w:color w:val="auto"/>
        </w:rPr>
        <w:t>。</w:t>
      </w:r>
    </w:p>
    <w:p w14:paraId="056186C4">
      <w:pPr>
        <w:ind w:firstLine="480"/>
        <w:rPr>
          <w:color w:val="auto"/>
        </w:rPr>
      </w:pPr>
      <w:r>
        <w:rPr>
          <w:rFonts w:hint="eastAsia"/>
          <w:color w:val="auto"/>
        </w:rPr>
        <w:t>水位：同时测量坐标、井深、井口地表高程、地下水位标高。</w:t>
      </w:r>
    </w:p>
    <w:p w14:paraId="097BCF12">
      <w:pPr>
        <w:pStyle w:val="4"/>
        <w:rPr>
          <w:color w:val="auto"/>
        </w:rPr>
      </w:pPr>
      <w:bookmarkStart w:id="351" w:name="_Toc199168954"/>
      <w:bookmarkStart w:id="352" w:name="_Toc198391252"/>
      <w:bookmarkStart w:id="353" w:name="_Toc225216751"/>
      <w:bookmarkStart w:id="354" w:name="_Toc199190491"/>
      <w:bookmarkStart w:id="355" w:name="_Toc198390599"/>
      <w:r>
        <w:rPr>
          <w:rFonts w:hint="eastAsia"/>
          <w:color w:val="auto"/>
        </w:rPr>
        <w:t>监测时间及频次</w:t>
      </w:r>
      <w:bookmarkEnd w:id="351"/>
      <w:bookmarkEnd w:id="352"/>
      <w:bookmarkEnd w:id="353"/>
      <w:bookmarkEnd w:id="354"/>
      <w:bookmarkEnd w:id="355"/>
    </w:p>
    <w:p w14:paraId="6DC38C0D">
      <w:pPr>
        <w:ind w:firstLine="480"/>
        <w:rPr>
          <w:color w:val="auto"/>
        </w:rPr>
      </w:pPr>
      <w:r>
        <w:rPr>
          <w:rFonts w:hint="eastAsia"/>
          <w:color w:val="auto"/>
        </w:rPr>
        <w:t>引用《广西钦州林浆纸产业园规划环境影响报告书》的监测时间为2024年2月20日；本次监测时间为2026年1月14日，监测1天，每天1次。</w:t>
      </w:r>
    </w:p>
    <w:p w14:paraId="01E0B681">
      <w:pPr>
        <w:pStyle w:val="4"/>
        <w:rPr>
          <w:color w:val="auto"/>
        </w:rPr>
      </w:pPr>
      <w:bookmarkStart w:id="356" w:name="_Toc198390600"/>
      <w:bookmarkStart w:id="357" w:name="_Toc225216752"/>
      <w:bookmarkStart w:id="358" w:name="_Toc199168955"/>
      <w:bookmarkStart w:id="359" w:name="_Toc198391253"/>
      <w:bookmarkStart w:id="360" w:name="_Toc199190492"/>
      <w:r>
        <w:rPr>
          <w:rFonts w:hint="eastAsia"/>
          <w:color w:val="auto"/>
        </w:rPr>
        <w:t>分析方法</w:t>
      </w:r>
      <w:bookmarkEnd w:id="356"/>
      <w:bookmarkEnd w:id="357"/>
      <w:bookmarkEnd w:id="358"/>
      <w:bookmarkEnd w:id="359"/>
      <w:bookmarkEnd w:id="360"/>
    </w:p>
    <w:p w14:paraId="24C61602">
      <w:pPr>
        <w:ind w:firstLine="480"/>
        <w:rPr>
          <w:color w:val="auto"/>
        </w:rPr>
      </w:pPr>
      <w:r>
        <w:rPr>
          <w:rFonts w:hint="eastAsia"/>
          <w:color w:val="auto"/>
        </w:rPr>
        <w:t>地下水环境质量现状依据《地下水环境监测技术规范》（HJ164-2020）有关要求进行监测。地下水监测因子的分析方法和最低检出限详见下表。</w:t>
      </w:r>
    </w:p>
    <w:p w14:paraId="5E470579">
      <w:pPr>
        <w:pStyle w:val="7"/>
        <w:rPr>
          <w:color w:val="auto"/>
        </w:rPr>
      </w:pPr>
      <w:bookmarkStart w:id="361" w:name="_Ref184718862"/>
      <w:r>
        <w:rPr>
          <w:rFonts w:hint="eastAsia"/>
          <w:color w:val="auto"/>
        </w:rPr>
        <w:t>地下水监测项目分析方法及最低检出限表</w:t>
      </w:r>
      <w:bookmarkEnd w:id="361"/>
    </w:p>
    <w:tbl>
      <w:tblPr>
        <w:tblStyle w:val="26"/>
        <w:tblW w:w="99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9"/>
        <w:gridCol w:w="1479"/>
        <w:gridCol w:w="5676"/>
        <w:gridCol w:w="1342"/>
      </w:tblGrid>
      <w:tr w14:paraId="24BD1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65A9CD05">
            <w:pPr>
              <w:pStyle w:val="33"/>
              <w:rPr>
                <w:color w:val="auto"/>
              </w:rPr>
            </w:pPr>
            <w:r>
              <w:rPr>
                <w:color w:val="auto"/>
              </w:rPr>
              <w:t>序号</w:t>
            </w:r>
          </w:p>
        </w:tc>
        <w:tc>
          <w:tcPr>
            <w:tcW w:w="1479" w:type="dxa"/>
            <w:vAlign w:val="center"/>
          </w:tcPr>
          <w:p w14:paraId="3E2B1F65">
            <w:pPr>
              <w:pStyle w:val="33"/>
              <w:rPr>
                <w:color w:val="auto"/>
              </w:rPr>
            </w:pPr>
            <w:r>
              <w:rPr>
                <w:color w:val="auto"/>
              </w:rPr>
              <w:t>检测项目</w:t>
            </w:r>
          </w:p>
        </w:tc>
        <w:tc>
          <w:tcPr>
            <w:tcW w:w="5676" w:type="dxa"/>
            <w:vAlign w:val="center"/>
          </w:tcPr>
          <w:p w14:paraId="176032B8">
            <w:pPr>
              <w:pStyle w:val="33"/>
              <w:rPr>
                <w:color w:val="auto"/>
              </w:rPr>
            </w:pPr>
            <w:r>
              <w:rPr>
                <w:color w:val="auto"/>
              </w:rPr>
              <w:t>方法名称及标准号</w:t>
            </w:r>
          </w:p>
        </w:tc>
        <w:tc>
          <w:tcPr>
            <w:tcW w:w="1342" w:type="dxa"/>
            <w:vAlign w:val="center"/>
          </w:tcPr>
          <w:p w14:paraId="60868C31">
            <w:pPr>
              <w:pStyle w:val="33"/>
              <w:rPr>
                <w:color w:val="auto"/>
              </w:rPr>
            </w:pPr>
            <w:r>
              <w:rPr>
                <w:color w:val="auto"/>
              </w:rPr>
              <w:t>检出限或最低检出浓度</w:t>
            </w:r>
          </w:p>
        </w:tc>
      </w:tr>
      <w:tr w14:paraId="60FAB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05CF2696">
            <w:pPr>
              <w:pStyle w:val="33"/>
              <w:rPr>
                <w:color w:val="auto"/>
              </w:rPr>
            </w:pPr>
            <w:r>
              <w:rPr>
                <w:rFonts w:eastAsia="等线"/>
                <w:color w:val="auto"/>
              </w:rPr>
              <w:t>1</w:t>
            </w:r>
          </w:p>
        </w:tc>
        <w:tc>
          <w:tcPr>
            <w:tcW w:w="1479" w:type="dxa"/>
            <w:vAlign w:val="center"/>
          </w:tcPr>
          <w:p w14:paraId="770808A1">
            <w:pPr>
              <w:pStyle w:val="33"/>
              <w:rPr>
                <w:color w:val="auto"/>
              </w:rPr>
            </w:pPr>
            <w:r>
              <w:rPr>
                <w:color w:val="auto"/>
              </w:rPr>
              <w:t>碳酸盐</w:t>
            </w:r>
          </w:p>
        </w:tc>
        <w:tc>
          <w:tcPr>
            <w:tcW w:w="5676" w:type="dxa"/>
            <w:vMerge w:val="restart"/>
            <w:vAlign w:val="center"/>
          </w:tcPr>
          <w:p w14:paraId="0A3FF4EA">
            <w:pPr>
              <w:pStyle w:val="33"/>
              <w:rPr>
                <w:color w:val="auto"/>
              </w:rPr>
            </w:pPr>
            <w:r>
              <w:rPr>
                <w:color w:val="auto"/>
              </w:rPr>
              <w:t>碱度 酸碱指示剂滴定法《水和废水监测分析方法》（第四版增补版）国家环境保护总局 （2002年）</w:t>
            </w:r>
          </w:p>
        </w:tc>
        <w:tc>
          <w:tcPr>
            <w:tcW w:w="1342" w:type="dxa"/>
            <w:vAlign w:val="center"/>
          </w:tcPr>
          <w:p w14:paraId="52A36230">
            <w:pPr>
              <w:pStyle w:val="33"/>
              <w:rPr>
                <w:color w:val="auto"/>
              </w:rPr>
            </w:pPr>
            <w:r>
              <w:rPr>
                <w:color w:val="auto"/>
              </w:rPr>
              <w:t>/</w:t>
            </w:r>
          </w:p>
        </w:tc>
      </w:tr>
      <w:tr w14:paraId="384C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0DAE636C">
            <w:pPr>
              <w:pStyle w:val="33"/>
              <w:rPr>
                <w:color w:val="auto"/>
              </w:rPr>
            </w:pPr>
            <w:r>
              <w:rPr>
                <w:rFonts w:eastAsia="等线"/>
                <w:color w:val="auto"/>
              </w:rPr>
              <w:t>2</w:t>
            </w:r>
          </w:p>
        </w:tc>
        <w:tc>
          <w:tcPr>
            <w:tcW w:w="1479" w:type="dxa"/>
            <w:vAlign w:val="center"/>
          </w:tcPr>
          <w:p w14:paraId="7628D4FD">
            <w:pPr>
              <w:pStyle w:val="33"/>
              <w:rPr>
                <w:color w:val="auto"/>
              </w:rPr>
            </w:pPr>
            <w:r>
              <w:rPr>
                <w:color w:val="auto"/>
              </w:rPr>
              <w:t>重碳酸盐</w:t>
            </w:r>
          </w:p>
        </w:tc>
        <w:tc>
          <w:tcPr>
            <w:tcW w:w="5676" w:type="dxa"/>
            <w:vMerge w:val="continue"/>
            <w:vAlign w:val="center"/>
          </w:tcPr>
          <w:p w14:paraId="177FD4F0">
            <w:pPr>
              <w:pStyle w:val="33"/>
              <w:rPr>
                <w:color w:val="auto"/>
              </w:rPr>
            </w:pPr>
          </w:p>
        </w:tc>
        <w:tc>
          <w:tcPr>
            <w:tcW w:w="1342" w:type="dxa"/>
            <w:vAlign w:val="center"/>
          </w:tcPr>
          <w:p w14:paraId="1E18CBBD">
            <w:pPr>
              <w:pStyle w:val="33"/>
              <w:rPr>
                <w:color w:val="auto"/>
              </w:rPr>
            </w:pPr>
            <w:r>
              <w:rPr>
                <w:color w:val="auto"/>
              </w:rPr>
              <w:t>/</w:t>
            </w:r>
          </w:p>
        </w:tc>
      </w:tr>
      <w:tr w14:paraId="6BEB7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75B7AFED">
            <w:pPr>
              <w:pStyle w:val="33"/>
              <w:rPr>
                <w:color w:val="auto"/>
              </w:rPr>
            </w:pPr>
            <w:r>
              <w:rPr>
                <w:rFonts w:eastAsia="等线"/>
                <w:color w:val="auto"/>
              </w:rPr>
              <w:t>3</w:t>
            </w:r>
          </w:p>
        </w:tc>
        <w:tc>
          <w:tcPr>
            <w:tcW w:w="1479" w:type="dxa"/>
            <w:vAlign w:val="center"/>
          </w:tcPr>
          <w:p w14:paraId="22E50399">
            <w:pPr>
              <w:pStyle w:val="33"/>
              <w:rPr>
                <w:color w:val="auto"/>
              </w:rPr>
            </w:pPr>
            <w:r>
              <w:rPr>
                <w:color w:val="auto"/>
              </w:rPr>
              <w:t>Cl</w:t>
            </w:r>
            <w:r>
              <w:rPr>
                <w:color w:val="auto"/>
                <w:vertAlign w:val="superscript"/>
              </w:rPr>
              <w:t>-</w:t>
            </w:r>
          </w:p>
        </w:tc>
        <w:tc>
          <w:tcPr>
            <w:tcW w:w="5676" w:type="dxa"/>
            <w:vMerge w:val="restart"/>
            <w:vAlign w:val="center"/>
          </w:tcPr>
          <w:p w14:paraId="46C7B8A8">
            <w:pPr>
              <w:pStyle w:val="33"/>
              <w:rPr>
                <w:color w:val="auto"/>
              </w:rPr>
            </w:pPr>
            <w:r>
              <w:rPr>
                <w:color w:val="auto"/>
              </w:rPr>
              <w:t>水质 无机阴离子（F</w:t>
            </w:r>
            <w:r>
              <w:rPr>
                <w:color w:val="auto"/>
                <w:vertAlign w:val="superscript"/>
              </w:rPr>
              <w:t>-</w:t>
            </w:r>
            <w:r>
              <w:rPr>
                <w:color w:val="auto"/>
              </w:rPr>
              <w:t>、Cl</w:t>
            </w:r>
            <w:r>
              <w:rPr>
                <w:color w:val="auto"/>
                <w:vertAlign w:val="superscript"/>
              </w:rPr>
              <w:t>-</w:t>
            </w:r>
            <w:r>
              <w:rPr>
                <w:color w:val="auto"/>
              </w:rPr>
              <w:t>、NO</w:t>
            </w:r>
            <w:r>
              <w:rPr>
                <w:color w:val="auto"/>
                <w:vertAlign w:val="subscript"/>
              </w:rPr>
              <w:t>2</w:t>
            </w:r>
            <w:r>
              <w:rPr>
                <w:color w:val="auto"/>
                <w:vertAlign w:val="superscript"/>
              </w:rPr>
              <w:t>-</w:t>
            </w:r>
            <w:r>
              <w:rPr>
                <w:color w:val="auto"/>
              </w:rPr>
              <w:t>、Br</w:t>
            </w:r>
            <w:r>
              <w:rPr>
                <w:color w:val="auto"/>
                <w:vertAlign w:val="superscript"/>
              </w:rPr>
              <w:t>-</w:t>
            </w:r>
            <w:r>
              <w:rPr>
                <w:color w:val="auto"/>
              </w:rPr>
              <w:t>、NO</w:t>
            </w:r>
            <w:r>
              <w:rPr>
                <w:color w:val="auto"/>
                <w:vertAlign w:val="subscript"/>
              </w:rPr>
              <w:t>3</w:t>
            </w:r>
            <w:r>
              <w:rPr>
                <w:color w:val="auto"/>
                <w:vertAlign w:val="superscript"/>
              </w:rPr>
              <w:t>-</w:t>
            </w:r>
            <w:r>
              <w:rPr>
                <w:color w:val="auto"/>
              </w:rPr>
              <w:t>、PO</w:t>
            </w:r>
            <w:r>
              <w:rPr>
                <w:color w:val="auto"/>
                <w:vertAlign w:val="subscript"/>
              </w:rPr>
              <w:t>4</w:t>
            </w:r>
            <w:r>
              <w:rPr>
                <w:color w:val="auto"/>
                <w:vertAlign w:val="superscript"/>
              </w:rPr>
              <w:t>3-</w:t>
            </w:r>
            <w:r>
              <w:rPr>
                <w:color w:val="auto"/>
              </w:rPr>
              <w:t>、SO</w:t>
            </w:r>
            <w:r>
              <w:rPr>
                <w:color w:val="auto"/>
                <w:vertAlign w:val="subscript"/>
              </w:rPr>
              <w:t>3</w:t>
            </w:r>
            <w:r>
              <w:rPr>
                <w:color w:val="auto"/>
                <w:vertAlign w:val="superscript"/>
              </w:rPr>
              <w:t>2-</w:t>
            </w:r>
            <w:r>
              <w:rPr>
                <w:color w:val="auto"/>
              </w:rPr>
              <w:t>、SO</w:t>
            </w:r>
            <w:r>
              <w:rPr>
                <w:color w:val="auto"/>
                <w:vertAlign w:val="subscript"/>
              </w:rPr>
              <w:t>4</w:t>
            </w:r>
            <w:r>
              <w:rPr>
                <w:color w:val="auto"/>
                <w:vertAlign w:val="superscript"/>
              </w:rPr>
              <w:t>2-</w:t>
            </w:r>
            <w:r>
              <w:rPr>
                <w:color w:val="auto"/>
              </w:rPr>
              <w:t>）的测定 离子色谱法（HJ 84-2016）</w:t>
            </w:r>
          </w:p>
        </w:tc>
        <w:tc>
          <w:tcPr>
            <w:tcW w:w="1342" w:type="dxa"/>
            <w:vAlign w:val="center"/>
          </w:tcPr>
          <w:p w14:paraId="7703E815">
            <w:pPr>
              <w:pStyle w:val="33"/>
              <w:rPr>
                <w:color w:val="auto"/>
              </w:rPr>
            </w:pPr>
            <w:r>
              <w:rPr>
                <w:color w:val="auto"/>
              </w:rPr>
              <w:t>0.007mg/L</w:t>
            </w:r>
          </w:p>
        </w:tc>
      </w:tr>
      <w:tr w14:paraId="1B097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429F0D97">
            <w:pPr>
              <w:pStyle w:val="33"/>
              <w:rPr>
                <w:color w:val="auto"/>
              </w:rPr>
            </w:pPr>
            <w:r>
              <w:rPr>
                <w:rFonts w:eastAsia="等线"/>
                <w:color w:val="auto"/>
              </w:rPr>
              <w:t>4</w:t>
            </w:r>
          </w:p>
        </w:tc>
        <w:tc>
          <w:tcPr>
            <w:tcW w:w="1479" w:type="dxa"/>
            <w:vAlign w:val="center"/>
          </w:tcPr>
          <w:p w14:paraId="6AD936D7">
            <w:pPr>
              <w:pStyle w:val="33"/>
              <w:rPr>
                <w:color w:val="auto"/>
              </w:rPr>
            </w:pPr>
            <w:r>
              <w:rPr>
                <w:color w:val="auto"/>
              </w:rPr>
              <w:t>SO</w:t>
            </w:r>
            <w:r>
              <w:rPr>
                <w:color w:val="auto"/>
                <w:vertAlign w:val="subscript"/>
              </w:rPr>
              <w:t>4</w:t>
            </w:r>
            <w:r>
              <w:rPr>
                <w:color w:val="auto"/>
                <w:vertAlign w:val="superscript"/>
              </w:rPr>
              <w:t>2-</w:t>
            </w:r>
          </w:p>
        </w:tc>
        <w:tc>
          <w:tcPr>
            <w:tcW w:w="5676" w:type="dxa"/>
            <w:vMerge w:val="continue"/>
            <w:vAlign w:val="center"/>
          </w:tcPr>
          <w:p w14:paraId="2A19BFE8">
            <w:pPr>
              <w:pStyle w:val="33"/>
              <w:rPr>
                <w:color w:val="auto"/>
              </w:rPr>
            </w:pPr>
          </w:p>
        </w:tc>
        <w:tc>
          <w:tcPr>
            <w:tcW w:w="1342" w:type="dxa"/>
            <w:vAlign w:val="center"/>
          </w:tcPr>
          <w:p w14:paraId="38E3ED0A">
            <w:pPr>
              <w:pStyle w:val="33"/>
              <w:rPr>
                <w:color w:val="auto"/>
              </w:rPr>
            </w:pPr>
            <w:r>
              <w:rPr>
                <w:color w:val="auto"/>
              </w:rPr>
              <w:t>0.018mg/L</w:t>
            </w:r>
          </w:p>
        </w:tc>
      </w:tr>
      <w:tr w14:paraId="6A623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55177684">
            <w:pPr>
              <w:pStyle w:val="33"/>
              <w:rPr>
                <w:color w:val="auto"/>
              </w:rPr>
            </w:pPr>
            <w:r>
              <w:rPr>
                <w:rFonts w:eastAsia="等线"/>
                <w:color w:val="auto"/>
              </w:rPr>
              <w:t>5</w:t>
            </w:r>
          </w:p>
        </w:tc>
        <w:tc>
          <w:tcPr>
            <w:tcW w:w="1479" w:type="dxa"/>
            <w:vAlign w:val="center"/>
          </w:tcPr>
          <w:p w14:paraId="002A82DE">
            <w:pPr>
              <w:pStyle w:val="33"/>
              <w:rPr>
                <w:color w:val="auto"/>
              </w:rPr>
            </w:pPr>
            <w:r>
              <w:rPr>
                <w:color w:val="auto"/>
              </w:rPr>
              <w:t>NO</w:t>
            </w:r>
            <w:r>
              <w:rPr>
                <w:color w:val="auto"/>
                <w:vertAlign w:val="subscript"/>
              </w:rPr>
              <w:t>3</w:t>
            </w:r>
            <w:r>
              <w:rPr>
                <w:color w:val="auto"/>
                <w:vertAlign w:val="superscript"/>
              </w:rPr>
              <w:t>-</w:t>
            </w:r>
          </w:p>
        </w:tc>
        <w:tc>
          <w:tcPr>
            <w:tcW w:w="5676" w:type="dxa"/>
            <w:vMerge w:val="continue"/>
            <w:vAlign w:val="center"/>
          </w:tcPr>
          <w:p w14:paraId="79EB3B1D">
            <w:pPr>
              <w:pStyle w:val="33"/>
              <w:rPr>
                <w:color w:val="auto"/>
              </w:rPr>
            </w:pPr>
          </w:p>
        </w:tc>
        <w:tc>
          <w:tcPr>
            <w:tcW w:w="1342" w:type="dxa"/>
            <w:vAlign w:val="center"/>
          </w:tcPr>
          <w:p w14:paraId="5047B7C7">
            <w:pPr>
              <w:pStyle w:val="33"/>
              <w:rPr>
                <w:color w:val="auto"/>
              </w:rPr>
            </w:pPr>
            <w:r>
              <w:rPr>
                <w:color w:val="auto"/>
              </w:rPr>
              <w:t>0.016mg/L</w:t>
            </w:r>
          </w:p>
        </w:tc>
      </w:tr>
      <w:tr w14:paraId="1AC42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553BB5BA">
            <w:pPr>
              <w:pStyle w:val="33"/>
              <w:rPr>
                <w:color w:val="auto"/>
              </w:rPr>
            </w:pPr>
            <w:r>
              <w:rPr>
                <w:rFonts w:eastAsia="等线"/>
                <w:color w:val="auto"/>
              </w:rPr>
              <w:t>6</w:t>
            </w:r>
          </w:p>
        </w:tc>
        <w:tc>
          <w:tcPr>
            <w:tcW w:w="1479" w:type="dxa"/>
            <w:vAlign w:val="center"/>
          </w:tcPr>
          <w:p w14:paraId="6EB77A1B">
            <w:pPr>
              <w:pStyle w:val="33"/>
              <w:rPr>
                <w:color w:val="auto"/>
              </w:rPr>
            </w:pPr>
            <w:r>
              <w:rPr>
                <w:color w:val="auto"/>
              </w:rPr>
              <w:t>NO</w:t>
            </w:r>
            <w:r>
              <w:rPr>
                <w:color w:val="auto"/>
                <w:vertAlign w:val="subscript"/>
              </w:rPr>
              <w:t>2</w:t>
            </w:r>
            <w:r>
              <w:rPr>
                <w:color w:val="auto"/>
                <w:vertAlign w:val="superscript"/>
              </w:rPr>
              <w:t>-</w:t>
            </w:r>
          </w:p>
        </w:tc>
        <w:tc>
          <w:tcPr>
            <w:tcW w:w="5676" w:type="dxa"/>
            <w:vMerge w:val="continue"/>
            <w:vAlign w:val="center"/>
          </w:tcPr>
          <w:p w14:paraId="0FD46056">
            <w:pPr>
              <w:pStyle w:val="33"/>
              <w:rPr>
                <w:color w:val="auto"/>
              </w:rPr>
            </w:pPr>
          </w:p>
        </w:tc>
        <w:tc>
          <w:tcPr>
            <w:tcW w:w="1342" w:type="dxa"/>
            <w:vAlign w:val="center"/>
          </w:tcPr>
          <w:p w14:paraId="618086E7">
            <w:pPr>
              <w:pStyle w:val="33"/>
              <w:rPr>
                <w:color w:val="auto"/>
              </w:rPr>
            </w:pPr>
            <w:r>
              <w:rPr>
                <w:color w:val="auto"/>
              </w:rPr>
              <w:t>0.016mg/L</w:t>
            </w:r>
          </w:p>
        </w:tc>
      </w:tr>
      <w:tr w14:paraId="38EE4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7208F3B9">
            <w:pPr>
              <w:pStyle w:val="33"/>
              <w:rPr>
                <w:color w:val="auto"/>
              </w:rPr>
            </w:pPr>
            <w:r>
              <w:rPr>
                <w:rFonts w:eastAsia="等线"/>
                <w:color w:val="auto"/>
              </w:rPr>
              <w:t>7</w:t>
            </w:r>
          </w:p>
        </w:tc>
        <w:tc>
          <w:tcPr>
            <w:tcW w:w="1479" w:type="dxa"/>
            <w:vAlign w:val="center"/>
          </w:tcPr>
          <w:p w14:paraId="5C7AF8FD">
            <w:pPr>
              <w:pStyle w:val="33"/>
              <w:rPr>
                <w:color w:val="auto"/>
              </w:rPr>
            </w:pPr>
            <w:r>
              <w:rPr>
                <w:color w:val="auto"/>
              </w:rPr>
              <w:t>F</w:t>
            </w:r>
            <w:r>
              <w:rPr>
                <w:color w:val="auto"/>
                <w:vertAlign w:val="superscript"/>
              </w:rPr>
              <w:t>-</w:t>
            </w:r>
          </w:p>
        </w:tc>
        <w:tc>
          <w:tcPr>
            <w:tcW w:w="5676" w:type="dxa"/>
            <w:vMerge w:val="continue"/>
            <w:vAlign w:val="center"/>
          </w:tcPr>
          <w:p w14:paraId="74AEFA9E">
            <w:pPr>
              <w:pStyle w:val="33"/>
              <w:rPr>
                <w:color w:val="auto"/>
              </w:rPr>
            </w:pPr>
          </w:p>
        </w:tc>
        <w:tc>
          <w:tcPr>
            <w:tcW w:w="1342" w:type="dxa"/>
            <w:vAlign w:val="center"/>
          </w:tcPr>
          <w:p w14:paraId="77D17123">
            <w:pPr>
              <w:pStyle w:val="33"/>
              <w:rPr>
                <w:color w:val="auto"/>
              </w:rPr>
            </w:pPr>
            <w:r>
              <w:rPr>
                <w:color w:val="auto"/>
              </w:rPr>
              <w:t>0.006mg/L</w:t>
            </w:r>
          </w:p>
        </w:tc>
      </w:tr>
      <w:tr w14:paraId="66C01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275C59B5">
            <w:pPr>
              <w:pStyle w:val="33"/>
              <w:rPr>
                <w:color w:val="auto"/>
              </w:rPr>
            </w:pPr>
            <w:r>
              <w:rPr>
                <w:rFonts w:eastAsia="等线"/>
                <w:color w:val="auto"/>
              </w:rPr>
              <w:t>8</w:t>
            </w:r>
          </w:p>
        </w:tc>
        <w:tc>
          <w:tcPr>
            <w:tcW w:w="1479" w:type="dxa"/>
            <w:vAlign w:val="center"/>
          </w:tcPr>
          <w:p w14:paraId="1CEA4621">
            <w:pPr>
              <w:pStyle w:val="33"/>
              <w:rPr>
                <w:color w:val="auto"/>
              </w:rPr>
            </w:pPr>
            <w:r>
              <w:rPr>
                <w:color w:val="auto"/>
              </w:rPr>
              <w:t>pH值</w:t>
            </w:r>
          </w:p>
        </w:tc>
        <w:tc>
          <w:tcPr>
            <w:tcW w:w="5676" w:type="dxa"/>
            <w:vAlign w:val="center"/>
          </w:tcPr>
          <w:p w14:paraId="62911D81">
            <w:pPr>
              <w:pStyle w:val="33"/>
              <w:rPr>
                <w:color w:val="auto"/>
              </w:rPr>
            </w:pPr>
            <w:r>
              <w:rPr>
                <w:color w:val="auto"/>
              </w:rPr>
              <w:t>水质 pH值的测定 电极法（HJ 1147-2020）</w:t>
            </w:r>
          </w:p>
        </w:tc>
        <w:tc>
          <w:tcPr>
            <w:tcW w:w="1342" w:type="dxa"/>
            <w:vAlign w:val="center"/>
          </w:tcPr>
          <w:p w14:paraId="7425BC92">
            <w:pPr>
              <w:pStyle w:val="33"/>
              <w:rPr>
                <w:color w:val="auto"/>
              </w:rPr>
            </w:pPr>
            <w:r>
              <w:rPr>
                <w:color w:val="auto"/>
              </w:rPr>
              <w:t>/</w:t>
            </w:r>
          </w:p>
        </w:tc>
      </w:tr>
      <w:tr w14:paraId="2CBAA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733E902B">
            <w:pPr>
              <w:pStyle w:val="33"/>
              <w:rPr>
                <w:color w:val="auto"/>
              </w:rPr>
            </w:pPr>
            <w:r>
              <w:rPr>
                <w:rFonts w:eastAsia="等线"/>
                <w:color w:val="auto"/>
              </w:rPr>
              <w:t>9</w:t>
            </w:r>
          </w:p>
        </w:tc>
        <w:tc>
          <w:tcPr>
            <w:tcW w:w="1479" w:type="dxa"/>
            <w:vAlign w:val="center"/>
          </w:tcPr>
          <w:p w14:paraId="422DAF2B">
            <w:pPr>
              <w:pStyle w:val="33"/>
              <w:rPr>
                <w:color w:val="auto"/>
              </w:rPr>
            </w:pPr>
            <w:r>
              <w:rPr>
                <w:color w:val="auto"/>
              </w:rPr>
              <w:t>氨氮</w:t>
            </w:r>
          </w:p>
        </w:tc>
        <w:tc>
          <w:tcPr>
            <w:tcW w:w="5676" w:type="dxa"/>
            <w:vAlign w:val="center"/>
          </w:tcPr>
          <w:p w14:paraId="6DA5CDAC">
            <w:pPr>
              <w:pStyle w:val="33"/>
              <w:rPr>
                <w:color w:val="auto"/>
              </w:rPr>
            </w:pPr>
            <w:r>
              <w:rPr>
                <w:color w:val="auto"/>
              </w:rPr>
              <w:t>水质 氨氮的测定 纳氏试剂分光光度法（HJ 535-2009）</w:t>
            </w:r>
          </w:p>
        </w:tc>
        <w:tc>
          <w:tcPr>
            <w:tcW w:w="1342" w:type="dxa"/>
            <w:vAlign w:val="center"/>
          </w:tcPr>
          <w:p w14:paraId="0CD04383">
            <w:pPr>
              <w:pStyle w:val="33"/>
              <w:rPr>
                <w:color w:val="auto"/>
              </w:rPr>
            </w:pPr>
            <w:r>
              <w:rPr>
                <w:color w:val="auto"/>
              </w:rPr>
              <w:t>0.025mg/L</w:t>
            </w:r>
          </w:p>
        </w:tc>
      </w:tr>
      <w:tr w14:paraId="0C470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10B8563B">
            <w:pPr>
              <w:pStyle w:val="33"/>
              <w:rPr>
                <w:color w:val="auto"/>
              </w:rPr>
            </w:pPr>
            <w:r>
              <w:rPr>
                <w:rFonts w:eastAsia="等线"/>
                <w:color w:val="auto"/>
              </w:rPr>
              <w:t>10</w:t>
            </w:r>
          </w:p>
        </w:tc>
        <w:tc>
          <w:tcPr>
            <w:tcW w:w="1479" w:type="dxa"/>
            <w:vAlign w:val="center"/>
          </w:tcPr>
          <w:p w14:paraId="0AD0C82A">
            <w:pPr>
              <w:pStyle w:val="33"/>
              <w:rPr>
                <w:color w:val="auto"/>
              </w:rPr>
            </w:pPr>
            <w:r>
              <w:rPr>
                <w:color w:val="auto"/>
              </w:rPr>
              <w:t>挥发酚</w:t>
            </w:r>
          </w:p>
        </w:tc>
        <w:tc>
          <w:tcPr>
            <w:tcW w:w="5676" w:type="dxa"/>
            <w:vAlign w:val="center"/>
          </w:tcPr>
          <w:p w14:paraId="069BA59D">
            <w:pPr>
              <w:pStyle w:val="33"/>
              <w:rPr>
                <w:color w:val="auto"/>
              </w:rPr>
            </w:pPr>
            <w:r>
              <w:rPr>
                <w:color w:val="auto"/>
              </w:rPr>
              <w:t>水质 挥发酚的测定 4-氨基安替比林分光光度法（方法1萃取分光光度法）（HJ 503-2009）</w:t>
            </w:r>
          </w:p>
        </w:tc>
        <w:tc>
          <w:tcPr>
            <w:tcW w:w="1342" w:type="dxa"/>
            <w:vAlign w:val="center"/>
          </w:tcPr>
          <w:p w14:paraId="1C2D2DE9">
            <w:pPr>
              <w:pStyle w:val="33"/>
              <w:rPr>
                <w:color w:val="auto"/>
              </w:rPr>
            </w:pPr>
            <w:r>
              <w:rPr>
                <w:color w:val="auto"/>
              </w:rPr>
              <w:t>0.0003mg/L</w:t>
            </w:r>
          </w:p>
        </w:tc>
      </w:tr>
      <w:tr w14:paraId="013DB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1CF5AA3C">
            <w:pPr>
              <w:pStyle w:val="33"/>
              <w:rPr>
                <w:color w:val="auto"/>
              </w:rPr>
            </w:pPr>
            <w:r>
              <w:rPr>
                <w:rFonts w:eastAsia="等线"/>
                <w:color w:val="auto"/>
              </w:rPr>
              <w:t>11</w:t>
            </w:r>
          </w:p>
        </w:tc>
        <w:tc>
          <w:tcPr>
            <w:tcW w:w="1479" w:type="dxa"/>
            <w:vAlign w:val="center"/>
          </w:tcPr>
          <w:p w14:paraId="179073A6">
            <w:pPr>
              <w:pStyle w:val="33"/>
              <w:rPr>
                <w:color w:val="auto"/>
              </w:rPr>
            </w:pPr>
            <w:r>
              <w:rPr>
                <w:color w:val="auto"/>
              </w:rPr>
              <w:t>氰化物</w:t>
            </w:r>
          </w:p>
        </w:tc>
        <w:tc>
          <w:tcPr>
            <w:tcW w:w="5676" w:type="dxa"/>
            <w:vAlign w:val="center"/>
          </w:tcPr>
          <w:p w14:paraId="1BB17575">
            <w:pPr>
              <w:pStyle w:val="33"/>
              <w:rPr>
                <w:color w:val="auto"/>
              </w:rPr>
            </w:pPr>
            <w:r>
              <w:rPr>
                <w:color w:val="auto"/>
              </w:rPr>
              <w:t>生活饮用水标准检验方法 第5部分： 无机非金属指标（7.1 异烟酸-吡唑啉酮分光光度法）（GB/T 5750.5-2023）</w:t>
            </w:r>
          </w:p>
        </w:tc>
        <w:tc>
          <w:tcPr>
            <w:tcW w:w="1342" w:type="dxa"/>
            <w:vAlign w:val="center"/>
          </w:tcPr>
          <w:p w14:paraId="01F3CE4B">
            <w:pPr>
              <w:pStyle w:val="33"/>
              <w:rPr>
                <w:color w:val="auto"/>
              </w:rPr>
            </w:pPr>
            <w:r>
              <w:rPr>
                <w:color w:val="auto"/>
              </w:rPr>
              <w:t>0.002mg/L</w:t>
            </w:r>
          </w:p>
        </w:tc>
      </w:tr>
      <w:tr w14:paraId="37D9B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3887C9B2">
            <w:pPr>
              <w:pStyle w:val="33"/>
              <w:rPr>
                <w:color w:val="auto"/>
              </w:rPr>
            </w:pPr>
            <w:r>
              <w:rPr>
                <w:rFonts w:eastAsia="等线"/>
                <w:color w:val="auto"/>
              </w:rPr>
              <w:t>12</w:t>
            </w:r>
          </w:p>
        </w:tc>
        <w:tc>
          <w:tcPr>
            <w:tcW w:w="1479" w:type="dxa"/>
            <w:vAlign w:val="center"/>
          </w:tcPr>
          <w:p w14:paraId="4C517A57">
            <w:pPr>
              <w:pStyle w:val="33"/>
              <w:rPr>
                <w:color w:val="auto"/>
              </w:rPr>
            </w:pPr>
            <w:r>
              <w:rPr>
                <w:color w:val="auto"/>
              </w:rPr>
              <w:t>砷</w:t>
            </w:r>
          </w:p>
        </w:tc>
        <w:tc>
          <w:tcPr>
            <w:tcW w:w="5676" w:type="dxa"/>
            <w:vMerge w:val="restart"/>
            <w:vAlign w:val="center"/>
          </w:tcPr>
          <w:p w14:paraId="6CCF29AE">
            <w:pPr>
              <w:pStyle w:val="33"/>
              <w:rPr>
                <w:color w:val="auto"/>
              </w:rPr>
            </w:pPr>
            <w:r>
              <w:rPr>
                <w:color w:val="auto"/>
              </w:rPr>
              <w:t>水质 汞、砷、硒、铋和锑的测定 原子荧光法（HJ 694-2014）</w:t>
            </w:r>
          </w:p>
        </w:tc>
        <w:tc>
          <w:tcPr>
            <w:tcW w:w="1342" w:type="dxa"/>
            <w:vAlign w:val="center"/>
          </w:tcPr>
          <w:p w14:paraId="627EDC63">
            <w:pPr>
              <w:pStyle w:val="33"/>
              <w:rPr>
                <w:color w:val="auto"/>
              </w:rPr>
            </w:pPr>
            <w:r>
              <w:rPr>
                <w:color w:val="auto"/>
              </w:rPr>
              <w:t>0.3μg/L</w:t>
            </w:r>
          </w:p>
        </w:tc>
      </w:tr>
      <w:tr w14:paraId="7336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372606DD">
            <w:pPr>
              <w:pStyle w:val="33"/>
              <w:rPr>
                <w:color w:val="auto"/>
              </w:rPr>
            </w:pPr>
            <w:r>
              <w:rPr>
                <w:rFonts w:eastAsia="等线"/>
                <w:color w:val="auto"/>
              </w:rPr>
              <w:t>13</w:t>
            </w:r>
          </w:p>
        </w:tc>
        <w:tc>
          <w:tcPr>
            <w:tcW w:w="1479" w:type="dxa"/>
            <w:vAlign w:val="center"/>
          </w:tcPr>
          <w:p w14:paraId="48E223BA">
            <w:pPr>
              <w:pStyle w:val="33"/>
              <w:rPr>
                <w:color w:val="auto"/>
              </w:rPr>
            </w:pPr>
            <w:r>
              <w:rPr>
                <w:color w:val="auto"/>
              </w:rPr>
              <w:t>汞</w:t>
            </w:r>
          </w:p>
        </w:tc>
        <w:tc>
          <w:tcPr>
            <w:tcW w:w="5676" w:type="dxa"/>
            <w:vMerge w:val="continue"/>
            <w:vAlign w:val="center"/>
          </w:tcPr>
          <w:p w14:paraId="26816F70">
            <w:pPr>
              <w:pStyle w:val="33"/>
              <w:rPr>
                <w:color w:val="auto"/>
              </w:rPr>
            </w:pPr>
          </w:p>
        </w:tc>
        <w:tc>
          <w:tcPr>
            <w:tcW w:w="1342" w:type="dxa"/>
            <w:vAlign w:val="center"/>
          </w:tcPr>
          <w:p w14:paraId="4E9CDF7F">
            <w:pPr>
              <w:pStyle w:val="33"/>
              <w:rPr>
                <w:color w:val="auto"/>
              </w:rPr>
            </w:pPr>
            <w:r>
              <w:rPr>
                <w:color w:val="auto"/>
              </w:rPr>
              <w:t>0.04μg/L</w:t>
            </w:r>
          </w:p>
        </w:tc>
      </w:tr>
      <w:tr w14:paraId="2D3F5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1E316304">
            <w:pPr>
              <w:pStyle w:val="33"/>
              <w:rPr>
                <w:color w:val="auto"/>
              </w:rPr>
            </w:pPr>
            <w:r>
              <w:rPr>
                <w:rFonts w:eastAsia="等线"/>
                <w:color w:val="auto"/>
              </w:rPr>
              <w:t>14</w:t>
            </w:r>
          </w:p>
        </w:tc>
        <w:tc>
          <w:tcPr>
            <w:tcW w:w="1479" w:type="dxa"/>
            <w:vAlign w:val="center"/>
          </w:tcPr>
          <w:p w14:paraId="67B063B2">
            <w:pPr>
              <w:pStyle w:val="33"/>
              <w:rPr>
                <w:color w:val="auto"/>
              </w:rPr>
            </w:pPr>
            <w:r>
              <w:rPr>
                <w:color w:val="auto"/>
              </w:rPr>
              <w:t>铬（六价）</w:t>
            </w:r>
          </w:p>
        </w:tc>
        <w:tc>
          <w:tcPr>
            <w:tcW w:w="5676" w:type="dxa"/>
            <w:vAlign w:val="center"/>
          </w:tcPr>
          <w:p w14:paraId="74ED9C4C">
            <w:pPr>
              <w:pStyle w:val="33"/>
              <w:rPr>
                <w:color w:val="auto"/>
              </w:rPr>
            </w:pPr>
            <w:r>
              <w:rPr>
                <w:color w:val="auto"/>
              </w:rPr>
              <w:t>生活饮用水标准检验方法 第6部分： 金属和类金属指标（13.1 二苯碳酰二肼分光光度法）（GB/T 5750.6-2023）</w:t>
            </w:r>
          </w:p>
        </w:tc>
        <w:tc>
          <w:tcPr>
            <w:tcW w:w="1342" w:type="dxa"/>
            <w:vAlign w:val="center"/>
          </w:tcPr>
          <w:p w14:paraId="5A91FA62">
            <w:pPr>
              <w:pStyle w:val="33"/>
              <w:rPr>
                <w:color w:val="auto"/>
              </w:rPr>
            </w:pPr>
            <w:r>
              <w:rPr>
                <w:color w:val="auto"/>
              </w:rPr>
              <w:t>0.004mg/L</w:t>
            </w:r>
          </w:p>
        </w:tc>
      </w:tr>
      <w:tr w14:paraId="5D7D9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71B81A53">
            <w:pPr>
              <w:pStyle w:val="33"/>
              <w:rPr>
                <w:color w:val="auto"/>
              </w:rPr>
            </w:pPr>
            <w:r>
              <w:rPr>
                <w:rFonts w:eastAsia="等线"/>
                <w:color w:val="auto"/>
              </w:rPr>
              <w:t>15</w:t>
            </w:r>
          </w:p>
        </w:tc>
        <w:tc>
          <w:tcPr>
            <w:tcW w:w="1479" w:type="dxa"/>
            <w:vAlign w:val="center"/>
          </w:tcPr>
          <w:p w14:paraId="3ED6DA90">
            <w:pPr>
              <w:pStyle w:val="33"/>
              <w:rPr>
                <w:color w:val="auto"/>
              </w:rPr>
            </w:pPr>
            <w:r>
              <w:rPr>
                <w:color w:val="auto"/>
              </w:rPr>
              <w:t>总硬度</w:t>
            </w:r>
          </w:p>
        </w:tc>
        <w:tc>
          <w:tcPr>
            <w:tcW w:w="5676" w:type="dxa"/>
            <w:vAlign w:val="center"/>
          </w:tcPr>
          <w:p w14:paraId="538B9C41">
            <w:pPr>
              <w:pStyle w:val="33"/>
              <w:rPr>
                <w:color w:val="auto"/>
              </w:rPr>
            </w:pPr>
            <w:r>
              <w:rPr>
                <w:color w:val="auto"/>
              </w:rPr>
              <w:t>水质 钙和镁总量的测定 EDTA滴定法（GB 7477-87）</w:t>
            </w:r>
          </w:p>
        </w:tc>
        <w:tc>
          <w:tcPr>
            <w:tcW w:w="1342" w:type="dxa"/>
            <w:vAlign w:val="center"/>
          </w:tcPr>
          <w:p w14:paraId="2DF65091">
            <w:pPr>
              <w:pStyle w:val="33"/>
              <w:rPr>
                <w:color w:val="auto"/>
              </w:rPr>
            </w:pPr>
            <w:r>
              <w:rPr>
                <w:color w:val="auto"/>
              </w:rPr>
              <w:t>5mg/L</w:t>
            </w:r>
          </w:p>
        </w:tc>
      </w:tr>
      <w:tr w14:paraId="5E213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35AA89D2">
            <w:pPr>
              <w:pStyle w:val="33"/>
              <w:rPr>
                <w:color w:val="auto"/>
              </w:rPr>
            </w:pPr>
            <w:r>
              <w:rPr>
                <w:rFonts w:eastAsia="等线"/>
                <w:color w:val="auto"/>
              </w:rPr>
              <w:t>16</w:t>
            </w:r>
          </w:p>
        </w:tc>
        <w:tc>
          <w:tcPr>
            <w:tcW w:w="1479" w:type="dxa"/>
            <w:vAlign w:val="center"/>
          </w:tcPr>
          <w:p w14:paraId="6A760059">
            <w:pPr>
              <w:pStyle w:val="33"/>
              <w:rPr>
                <w:color w:val="auto"/>
              </w:rPr>
            </w:pPr>
            <w:r>
              <w:rPr>
                <w:color w:val="auto"/>
              </w:rPr>
              <w:t>铅</w:t>
            </w:r>
          </w:p>
        </w:tc>
        <w:tc>
          <w:tcPr>
            <w:tcW w:w="5676" w:type="dxa"/>
            <w:vMerge w:val="restart"/>
            <w:vAlign w:val="center"/>
          </w:tcPr>
          <w:p w14:paraId="4BF845FA">
            <w:pPr>
              <w:pStyle w:val="33"/>
              <w:rPr>
                <w:color w:val="auto"/>
              </w:rPr>
            </w:pPr>
            <w:r>
              <w:rPr>
                <w:color w:val="auto"/>
              </w:rPr>
              <w:t>石墨炉原子吸收分光光度法《水和废水监测分析方法》（第四版）国家环境保护总局（2002年）</w:t>
            </w:r>
          </w:p>
        </w:tc>
        <w:tc>
          <w:tcPr>
            <w:tcW w:w="1342" w:type="dxa"/>
            <w:vAlign w:val="center"/>
          </w:tcPr>
          <w:p w14:paraId="0EA15407">
            <w:pPr>
              <w:pStyle w:val="33"/>
              <w:rPr>
                <w:color w:val="auto"/>
              </w:rPr>
            </w:pPr>
            <w:r>
              <w:rPr>
                <w:color w:val="auto"/>
              </w:rPr>
              <w:t>1μg/L</w:t>
            </w:r>
          </w:p>
        </w:tc>
      </w:tr>
      <w:tr w14:paraId="20FB4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3BABB777">
            <w:pPr>
              <w:pStyle w:val="33"/>
              <w:rPr>
                <w:color w:val="auto"/>
              </w:rPr>
            </w:pPr>
            <w:r>
              <w:rPr>
                <w:rFonts w:eastAsia="等线"/>
                <w:color w:val="auto"/>
              </w:rPr>
              <w:t>17</w:t>
            </w:r>
          </w:p>
        </w:tc>
        <w:tc>
          <w:tcPr>
            <w:tcW w:w="1479" w:type="dxa"/>
            <w:vAlign w:val="center"/>
          </w:tcPr>
          <w:p w14:paraId="45AA26FF">
            <w:pPr>
              <w:pStyle w:val="33"/>
              <w:rPr>
                <w:color w:val="auto"/>
              </w:rPr>
            </w:pPr>
            <w:r>
              <w:rPr>
                <w:color w:val="auto"/>
              </w:rPr>
              <w:t>镉</w:t>
            </w:r>
          </w:p>
        </w:tc>
        <w:tc>
          <w:tcPr>
            <w:tcW w:w="5676" w:type="dxa"/>
            <w:vMerge w:val="continue"/>
            <w:vAlign w:val="center"/>
          </w:tcPr>
          <w:p w14:paraId="2BA6EB84">
            <w:pPr>
              <w:pStyle w:val="33"/>
              <w:rPr>
                <w:color w:val="auto"/>
              </w:rPr>
            </w:pPr>
          </w:p>
        </w:tc>
        <w:tc>
          <w:tcPr>
            <w:tcW w:w="1342" w:type="dxa"/>
            <w:vAlign w:val="center"/>
          </w:tcPr>
          <w:p w14:paraId="3DA5E97D">
            <w:pPr>
              <w:pStyle w:val="33"/>
              <w:rPr>
                <w:color w:val="auto"/>
              </w:rPr>
            </w:pPr>
            <w:r>
              <w:rPr>
                <w:color w:val="auto"/>
              </w:rPr>
              <w:t>0.1μg/L</w:t>
            </w:r>
          </w:p>
        </w:tc>
      </w:tr>
      <w:tr w14:paraId="5B41D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62AB6743">
            <w:pPr>
              <w:pStyle w:val="33"/>
              <w:rPr>
                <w:color w:val="auto"/>
              </w:rPr>
            </w:pPr>
            <w:r>
              <w:rPr>
                <w:rFonts w:eastAsia="等线"/>
                <w:color w:val="auto"/>
              </w:rPr>
              <w:t>18</w:t>
            </w:r>
          </w:p>
        </w:tc>
        <w:tc>
          <w:tcPr>
            <w:tcW w:w="1479" w:type="dxa"/>
            <w:vAlign w:val="center"/>
          </w:tcPr>
          <w:p w14:paraId="64A56881">
            <w:pPr>
              <w:pStyle w:val="33"/>
              <w:rPr>
                <w:color w:val="auto"/>
              </w:rPr>
            </w:pPr>
            <w:r>
              <w:rPr>
                <w:color w:val="auto"/>
              </w:rPr>
              <w:t>铜</w:t>
            </w:r>
          </w:p>
        </w:tc>
        <w:tc>
          <w:tcPr>
            <w:tcW w:w="5676" w:type="dxa"/>
            <w:vMerge w:val="restart"/>
            <w:vAlign w:val="center"/>
          </w:tcPr>
          <w:p w14:paraId="38A6FDAC">
            <w:pPr>
              <w:pStyle w:val="33"/>
              <w:rPr>
                <w:color w:val="auto"/>
              </w:rPr>
            </w:pPr>
            <w:r>
              <w:rPr>
                <w:color w:val="auto"/>
              </w:rPr>
              <w:t>水质 32种元素的测定 电感耦合等离子体发射光谱法</w:t>
            </w:r>
          </w:p>
          <w:p w14:paraId="795E7D08">
            <w:pPr>
              <w:pStyle w:val="33"/>
              <w:rPr>
                <w:color w:val="auto"/>
              </w:rPr>
            </w:pPr>
            <w:r>
              <w:rPr>
                <w:color w:val="auto"/>
              </w:rPr>
              <w:t>（HJ 776-2015）</w:t>
            </w:r>
          </w:p>
        </w:tc>
        <w:tc>
          <w:tcPr>
            <w:tcW w:w="1342" w:type="dxa"/>
            <w:vAlign w:val="center"/>
          </w:tcPr>
          <w:p w14:paraId="38EF9C09">
            <w:pPr>
              <w:pStyle w:val="33"/>
              <w:rPr>
                <w:color w:val="auto"/>
              </w:rPr>
            </w:pPr>
            <w:r>
              <w:rPr>
                <w:color w:val="auto"/>
              </w:rPr>
              <w:t>0.006mg/L</w:t>
            </w:r>
          </w:p>
        </w:tc>
      </w:tr>
      <w:tr w14:paraId="6A53C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06DA20B6">
            <w:pPr>
              <w:pStyle w:val="33"/>
              <w:rPr>
                <w:color w:val="auto"/>
              </w:rPr>
            </w:pPr>
            <w:r>
              <w:rPr>
                <w:rFonts w:eastAsia="等线"/>
                <w:color w:val="auto"/>
              </w:rPr>
              <w:t>19</w:t>
            </w:r>
          </w:p>
        </w:tc>
        <w:tc>
          <w:tcPr>
            <w:tcW w:w="1479" w:type="dxa"/>
            <w:vAlign w:val="center"/>
          </w:tcPr>
          <w:p w14:paraId="7925ABB9">
            <w:pPr>
              <w:pStyle w:val="33"/>
              <w:rPr>
                <w:color w:val="auto"/>
              </w:rPr>
            </w:pPr>
            <w:r>
              <w:rPr>
                <w:color w:val="auto"/>
              </w:rPr>
              <w:t>锌</w:t>
            </w:r>
          </w:p>
        </w:tc>
        <w:tc>
          <w:tcPr>
            <w:tcW w:w="5676" w:type="dxa"/>
            <w:vMerge w:val="continue"/>
            <w:vAlign w:val="center"/>
          </w:tcPr>
          <w:p w14:paraId="3539CE98">
            <w:pPr>
              <w:pStyle w:val="33"/>
              <w:rPr>
                <w:color w:val="auto"/>
              </w:rPr>
            </w:pPr>
          </w:p>
        </w:tc>
        <w:tc>
          <w:tcPr>
            <w:tcW w:w="1342" w:type="dxa"/>
            <w:vAlign w:val="center"/>
          </w:tcPr>
          <w:p w14:paraId="05B776C3">
            <w:pPr>
              <w:pStyle w:val="33"/>
              <w:rPr>
                <w:color w:val="auto"/>
              </w:rPr>
            </w:pPr>
            <w:r>
              <w:rPr>
                <w:color w:val="auto"/>
              </w:rPr>
              <w:t>0.004mg/L</w:t>
            </w:r>
          </w:p>
        </w:tc>
      </w:tr>
      <w:tr w14:paraId="2DF1D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2BDE7317">
            <w:pPr>
              <w:pStyle w:val="33"/>
              <w:rPr>
                <w:color w:val="auto"/>
              </w:rPr>
            </w:pPr>
            <w:r>
              <w:rPr>
                <w:rFonts w:eastAsia="等线"/>
                <w:color w:val="auto"/>
              </w:rPr>
              <w:t>20</w:t>
            </w:r>
          </w:p>
        </w:tc>
        <w:tc>
          <w:tcPr>
            <w:tcW w:w="1479" w:type="dxa"/>
            <w:vAlign w:val="center"/>
          </w:tcPr>
          <w:p w14:paraId="0FF20616">
            <w:pPr>
              <w:pStyle w:val="33"/>
              <w:rPr>
                <w:color w:val="auto"/>
              </w:rPr>
            </w:pPr>
            <w:r>
              <w:rPr>
                <w:color w:val="auto"/>
              </w:rPr>
              <w:t>溶解性总固体</w:t>
            </w:r>
          </w:p>
        </w:tc>
        <w:tc>
          <w:tcPr>
            <w:tcW w:w="5676" w:type="dxa"/>
            <w:vAlign w:val="center"/>
          </w:tcPr>
          <w:p w14:paraId="52E02D78">
            <w:pPr>
              <w:pStyle w:val="33"/>
              <w:rPr>
                <w:color w:val="auto"/>
              </w:rPr>
            </w:pPr>
            <w:r>
              <w:rPr>
                <w:color w:val="auto"/>
              </w:rPr>
              <w:t>生活饮用水标准检验方法 第4部分： 感官性状和物理指标（11.1称量法）（GB/T 5750.4-2023）</w:t>
            </w:r>
          </w:p>
        </w:tc>
        <w:tc>
          <w:tcPr>
            <w:tcW w:w="1342" w:type="dxa"/>
            <w:vAlign w:val="center"/>
          </w:tcPr>
          <w:p w14:paraId="7D3D2643">
            <w:pPr>
              <w:pStyle w:val="33"/>
              <w:rPr>
                <w:color w:val="auto"/>
              </w:rPr>
            </w:pPr>
            <w:r>
              <w:rPr>
                <w:color w:val="auto"/>
              </w:rPr>
              <w:t>4mg/L</w:t>
            </w:r>
          </w:p>
        </w:tc>
      </w:tr>
      <w:tr w14:paraId="4EFCC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31FBDF05">
            <w:pPr>
              <w:pStyle w:val="33"/>
              <w:rPr>
                <w:color w:val="auto"/>
              </w:rPr>
            </w:pPr>
            <w:r>
              <w:rPr>
                <w:rFonts w:eastAsia="等线"/>
                <w:color w:val="auto"/>
              </w:rPr>
              <w:t>21</w:t>
            </w:r>
          </w:p>
        </w:tc>
        <w:tc>
          <w:tcPr>
            <w:tcW w:w="1479" w:type="dxa"/>
            <w:vAlign w:val="center"/>
          </w:tcPr>
          <w:p w14:paraId="26A7958A">
            <w:pPr>
              <w:pStyle w:val="33"/>
              <w:rPr>
                <w:color w:val="auto"/>
              </w:rPr>
            </w:pPr>
            <w:r>
              <w:rPr>
                <w:color w:val="auto"/>
              </w:rPr>
              <w:t>阴离子合成洗涤剂</w:t>
            </w:r>
          </w:p>
        </w:tc>
        <w:tc>
          <w:tcPr>
            <w:tcW w:w="5676" w:type="dxa"/>
            <w:vAlign w:val="center"/>
          </w:tcPr>
          <w:p w14:paraId="062096FE">
            <w:pPr>
              <w:pStyle w:val="33"/>
              <w:rPr>
                <w:color w:val="auto"/>
              </w:rPr>
            </w:pPr>
            <w:r>
              <w:rPr>
                <w:color w:val="auto"/>
              </w:rPr>
              <w:t>生活饮用水标准检验方法 第4部分： 感官性状和物理指标（13.1 亚甲基蓝分光光度法）（GB/T 5750.4-2023）</w:t>
            </w:r>
          </w:p>
        </w:tc>
        <w:tc>
          <w:tcPr>
            <w:tcW w:w="1342" w:type="dxa"/>
            <w:vAlign w:val="center"/>
          </w:tcPr>
          <w:p w14:paraId="2B4D492B">
            <w:pPr>
              <w:pStyle w:val="33"/>
              <w:rPr>
                <w:color w:val="auto"/>
              </w:rPr>
            </w:pPr>
            <w:r>
              <w:rPr>
                <w:color w:val="auto"/>
              </w:rPr>
              <w:t>0.050mg/L</w:t>
            </w:r>
          </w:p>
        </w:tc>
      </w:tr>
      <w:tr w14:paraId="6D90D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5282DFCC">
            <w:pPr>
              <w:pStyle w:val="33"/>
              <w:rPr>
                <w:color w:val="auto"/>
              </w:rPr>
            </w:pPr>
            <w:r>
              <w:rPr>
                <w:rFonts w:eastAsia="等线"/>
                <w:color w:val="auto"/>
              </w:rPr>
              <w:t>22</w:t>
            </w:r>
          </w:p>
        </w:tc>
        <w:tc>
          <w:tcPr>
            <w:tcW w:w="1479" w:type="dxa"/>
            <w:vAlign w:val="center"/>
          </w:tcPr>
          <w:p w14:paraId="01D0886E">
            <w:pPr>
              <w:pStyle w:val="33"/>
              <w:rPr>
                <w:color w:val="auto"/>
              </w:rPr>
            </w:pPr>
            <w:r>
              <w:rPr>
                <w:color w:val="auto"/>
              </w:rPr>
              <w:t>硫化物</w:t>
            </w:r>
          </w:p>
        </w:tc>
        <w:tc>
          <w:tcPr>
            <w:tcW w:w="5676" w:type="dxa"/>
            <w:vAlign w:val="center"/>
          </w:tcPr>
          <w:p w14:paraId="380E85FB">
            <w:pPr>
              <w:pStyle w:val="33"/>
              <w:rPr>
                <w:color w:val="auto"/>
              </w:rPr>
            </w:pPr>
            <w:r>
              <w:rPr>
                <w:color w:val="auto"/>
              </w:rPr>
              <w:t>水质 硫化物的测定 亚甲基蓝分光光度法（HJ 1226-2021）</w:t>
            </w:r>
          </w:p>
        </w:tc>
        <w:tc>
          <w:tcPr>
            <w:tcW w:w="1342" w:type="dxa"/>
            <w:vAlign w:val="center"/>
          </w:tcPr>
          <w:p w14:paraId="2036B37F">
            <w:pPr>
              <w:pStyle w:val="33"/>
              <w:rPr>
                <w:color w:val="auto"/>
              </w:rPr>
            </w:pPr>
            <w:r>
              <w:rPr>
                <w:color w:val="auto"/>
              </w:rPr>
              <w:t>0.003mg/L</w:t>
            </w:r>
          </w:p>
        </w:tc>
      </w:tr>
      <w:tr w14:paraId="23D4A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691329D6">
            <w:pPr>
              <w:pStyle w:val="33"/>
              <w:rPr>
                <w:color w:val="auto"/>
              </w:rPr>
            </w:pPr>
            <w:r>
              <w:rPr>
                <w:rFonts w:eastAsia="等线"/>
                <w:color w:val="auto"/>
              </w:rPr>
              <w:t>23</w:t>
            </w:r>
          </w:p>
        </w:tc>
        <w:tc>
          <w:tcPr>
            <w:tcW w:w="1479" w:type="dxa"/>
            <w:vAlign w:val="center"/>
          </w:tcPr>
          <w:p w14:paraId="1F38F8BF">
            <w:pPr>
              <w:pStyle w:val="33"/>
              <w:rPr>
                <w:color w:val="auto"/>
              </w:rPr>
            </w:pPr>
            <w:r>
              <w:rPr>
                <w:color w:val="auto"/>
              </w:rPr>
              <w:t>高锰酸盐指数（以O</w:t>
            </w:r>
            <w:r>
              <w:rPr>
                <w:color w:val="auto"/>
                <w:vertAlign w:val="subscript"/>
              </w:rPr>
              <w:t>2</w:t>
            </w:r>
            <w:r>
              <w:rPr>
                <w:color w:val="auto"/>
              </w:rPr>
              <w:t>计）</w:t>
            </w:r>
          </w:p>
        </w:tc>
        <w:tc>
          <w:tcPr>
            <w:tcW w:w="5676" w:type="dxa"/>
            <w:vAlign w:val="center"/>
          </w:tcPr>
          <w:p w14:paraId="67AB707B">
            <w:pPr>
              <w:pStyle w:val="33"/>
              <w:rPr>
                <w:color w:val="auto"/>
              </w:rPr>
            </w:pPr>
            <w:r>
              <w:rPr>
                <w:color w:val="auto"/>
              </w:rPr>
              <w:t>生活饮用水标准检验方法 第7部分：有机物综合指标（4.1 酸性高锰酸钾滴定法）（GB/T 5750.7-2023）</w:t>
            </w:r>
          </w:p>
        </w:tc>
        <w:tc>
          <w:tcPr>
            <w:tcW w:w="1342" w:type="dxa"/>
            <w:vAlign w:val="center"/>
          </w:tcPr>
          <w:p w14:paraId="37070842">
            <w:pPr>
              <w:pStyle w:val="33"/>
              <w:rPr>
                <w:color w:val="auto"/>
              </w:rPr>
            </w:pPr>
            <w:r>
              <w:rPr>
                <w:color w:val="auto"/>
              </w:rPr>
              <w:t>0.05mg/L</w:t>
            </w:r>
          </w:p>
        </w:tc>
      </w:tr>
      <w:tr w14:paraId="1211C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2F857920">
            <w:pPr>
              <w:pStyle w:val="33"/>
              <w:rPr>
                <w:color w:val="auto"/>
              </w:rPr>
            </w:pPr>
            <w:r>
              <w:rPr>
                <w:rFonts w:eastAsia="等线"/>
                <w:color w:val="auto"/>
              </w:rPr>
              <w:t>24</w:t>
            </w:r>
          </w:p>
        </w:tc>
        <w:tc>
          <w:tcPr>
            <w:tcW w:w="1479" w:type="dxa"/>
            <w:vAlign w:val="center"/>
          </w:tcPr>
          <w:p w14:paraId="2E8490CD">
            <w:pPr>
              <w:pStyle w:val="33"/>
              <w:rPr>
                <w:color w:val="auto"/>
              </w:rPr>
            </w:pPr>
            <w:r>
              <w:rPr>
                <w:color w:val="auto"/>
              </w:rPr>
              <w:t>总磷</w:t>
            </w:r>
          </w:p>
        </w:tc>
        <w:tc>
          <w:tcPr>
            <w:tcW w:w="5676" w:type="dxa"/>
            <w:vAlign w:val="center"/>
          </w:tcPr>
          <w:p w14:paraId="2EB3C996">
            <w:pPr>
              <w:pStyle w:val="33"/>
              <w:rPr>
                <w:color w:val="auto"/>
              </w:rPr>
            </w:pPr>
            <w:r>
              <w:rPr>
                <w:color w:val="auto"/>
              </w:rPr>
              <w:t>水质 总磷的测定 钼酸铵分光光度法（GB 11893-89）</w:t>
            </w:r>
          </w:p>
        </w:tc>
        <w:tc>
          <w:tcPr>
            <w:tcW w:w="1342" w:type="dxa"/>
            <w:vAlign w:val="center"/>
          </w:tcPr>
          <w:p w14:paraId="42495369">
            <w:pPr>
              <w:pStyle w:val="33"/>
              <w:rPr>
                <w:color w:val="auto"/>
              </w:rPr>
            </w:pPr>
            <w:r>
              <w:rPr>
                <w:color w:val="auto"/>
              </w:rPr>
              <w:t>0.01mg/L</w:t>
            </w:r>
          </w:p>
        </w:tc>
      </w:tr>
      <w:tr w14:paraId="67538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500FC440">
            <w:pPr>
              <w:pStyle w:val="33"/>
              <w:rPr>
                <w:rFonts w:eastAsia="等线"/>
                <w:color w:val="auto"/>
              </w:rPr>
            </w:pPr>
            <w:r>
              <w:rPr>
                <w:rFonts w:hint="eastAsia" w:eastAsia="等线"/>
                <w:color w:val="auto"/>
              </w:rPr>
              <w:t>25</w:t>
            </w:r>
          </w:p>
        </w:tc>
        <w:tc>
          <w:tcPr>
            <w:tcW w:w="1479" w:type="dxa"/>
            <w:vAlign w:val="center"/>
          </w:tcPr>
          <w:p w14:paraId="07E8A23F">
            <w:pPr>
              <w:pStyle w:val="33"/>
              <w:rPr>
                <w:color w:val="auto"/>
              </w:rPr>
            </w:pPr>
            <w:r>
              <w:rPr>
                <w:rFonts w:hint="eastAsia"/>
                <w:color w:val="auto"/>
              </w:rPr>
              <w:t>可吸附有机卤素（AOX）</w:t>
            </w:r>
          </w:p>
        </w:tc>
        <w:tc>
          <w:tcPr>
            <w:tcW w:w="5676" w:type="dxa"/>
            <w:vAlign w:val="center"/>
          </w:tcPr>
          <w:p w14:paraId="02A4F9F2">
            <w:pPr>
              <w:pStyle w:val="33"/>
              <w:rPr>
                <w:color w:val="auto"/>
              </w:rPr>
            </w:pPr>
            <w:r>
              <w:rPr>
                <w:rFonts w:hint="eastAsia"/>
                <w:color w:val="auto"/>
              </w:rPr>
              <w:t>《水质 可吸附有机卤素（AOX）的测定 离子色谱法》（HJ/T 83-2001）</w:t>
            </w:r>
          </w:p>
        </w:tc>
        <w:tc>
          <w:tcPr>
            <w:tcW w:w="1342" w:type="dxa"/>
            <w:vAlign w:val="center"/>
          </w:tcPr>
          <w:p w14:paraId="0E156F17">
            <w:pPr>
              <w:pStyle w:val="33"/>
              <w:rPr>
                <w:color w:val="auto"/>
              </w:rPr>
            </w:pPr>
            <w:r>
              <w:rPr>
                <w:rFonts w:hint="eastAsia"/>
                <w:color w:val="auto"/>
              </w:rPr>
              <w:t>0.005mg/L</w:t>
            </w:r>
          </w:p>
        </w:tc>
      </w:tr>
      <w:tr w14:paraId="35BD2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79" w:type="dxa"/>
            <w:vAlign w:val="center"/>
          </w:tcPr>
          <w:p w14:paraId="0A2F7676">
            <w:pPr>
              <w:pStyle w:val="33"/>
              <w:rPr>
                <w:rFonts w:eastAsia="等线"/>
                <w:color w:val="auto"/>
              </w:rPr>
            </w:pPr>
            <w:r>
              <w:rPr>
                <w:rFonts w:hint="eastAsia" w:eastAsia="等线"/>
                <w:color w:val="auto"/>
              </w:rPr>
              <w:t>26</w:t>
            </w:r>
          </w:p>
        </w:tc>
        <w:tc>
          <w:tcPr>
            <w:tcW w:w="1479" w:type="dxa"/>
            <w:vAlign w:val="center"/>
          </w:tcPr>
          <w:p w14:paraId="59E03926">
            <w:pPr>
              <w:pStyle w:val="33"/>
              <w:rPr>
                <w:color w:val="auto"/>
              </w:rPr>
            </w:pPr>
            <w:r>
              <w:rPr>
                <w:rFonts w:hint="eastAsia"/>
                <w:color w:val="auto"/>
              </w:rPr>
              <w:t>二噁英类</w:t>
            </w:r>
          </w:p>
        </w:tc>
        <w:tc>
          <w:tcPr>
            <w:tcW w:w="5676" w:type="dxa"/>
            <w:vAlign w:val="center"/>
          </w:tcPr>
          <w:p w14:paraId="09FD4E0F">
            <w:pPr>
              <w:pStyle w:val="33"/>
              <w:rPr>
                <w:color w:val="auto"/>
              </w:rPr>
            </w:pPr>
            <w:r>
              <w:rPr>
                <w:rFonts w:hint="eastAsia"/>
                <w:color w:val="auto"/>
              </w:rPr>
              <w:t>水质 二噁英类的测定 同位素稀释高分辨气相色谱-高分辨质谱法（H</w:t>
            </w:r>
            <w:r>
              <w:rPr>
                <w:color w:val="auto"/>
              </w:rPr>
              <w:t>J 77.1-2008</w:t>
            </w:r>
            <w:r>
              <w:rPr>
                <w:rFonts w:hint="eastAsia"/>
                <w:color w:val="auto"/>
              </w:rPr>
              <w:t>）</w:t>
            </w:r>
          </w:p>
        </w:tc>
        <w:tc>
          <w:tcPr>
            <w:tcW w:w="1342" w:type="dxa"/>
            <w:vAlign w:val="center"/>
          </w:tcPr>
          <w:p w14:paraId="55A85477">
            <w:pPr>
              <w:pStyle w:val="33"/>
              <w:rPr>
                <w:color w:val="auto"/>
              </w:rPr>
            </w:pPr>
            <w:r>
              <w:rPr>
                <w:rFonts w:hint="eastAsia"/>
                <w:color w:val="auto"/>
              </w:rPr>
              <w:t>/</w:t>
            </w:r>
          </w:p>
        </w:tc>
      </w:tr>
    </w:tbl>
    <w:p w14:paraId="34FB7B1E">
      <w:pPr>
        <w:pStyle w:val="4"/>
        <w:rPr>
          <w:color w:val="auto"/>
        </w:rPr>
      </w:pPr>
      <w:bookmarkStart w:id="362" w:name="_Toc199168956"/>
      <w:bookmarkStart w:id="363" w:name="_Toc199190493"/>
      <w:bookmarkStart w:id="364" w:name="_Toc198391254"/>
      <w:bookmarkStart w:id="365" w:name="_Toc225216753"/>
      <w:bookmarkStart w:id="366" w:name="_Toc198390601"/>
      <w:r>
        <w:rPr>
          <w:rFonts w:hint="eastAsia"/>
          <w:color w:val="auto"/>
        </w:rPr>
        <w:t>评价标准</w:t>
      </w:r>
      <w:bookmarkEnd w:id="362"/>
      <w:bookmarkEnd w:id="363"/>
      <w:bookmarkEnd w:id="364"/>
      <w:bookmarkEnd w:id="365"/>
      <w:bookmarkEnd w:id="366"/>
    </w:p>
    <w:p w14:paraId="2EAF0F75">
      <w:pPr>
        <w:ind w:firstLine="480"/>
        <w:rPr>
          <w:color w:val="auto"/>
        </w:rPr>
      </w:pPr>
      <w:r>
        <w:rPr>
          <w:rFonts w:hint="eastAsia"/>
          <w:color w:val="auto"/>
        </w:rPr>
        <w:t>项目评价区域地下水各监测因子执行《地下水质量标准》（GB/T14848-2017）的Ⅲ类标准要求。其中K</w:t>
      </w:r>
      <w:r>
        <w:rPr>
          <w:rFonts w:hint="eastAsia"/>
          <w:color w:val="auto"/>
          <w:vertAlign w:val="superscript"/>
        </w:rPr>
        <w:t>+</w:t>
      </w:r>
      <w:r>
        <w:rPr>
          <w:rFonts w:hint="eastAsia"/>
          <w:color w:val="auto"/>
        </w:rPr>
        <w:t>、Na</w:t>
      </w:r>
      <w:r>
        <w:rPr>
          <w:rFonts w:hint="eastAsia"/>
          <w:color w:val="auto"/>
          <w:vertAlign w:val="superscript"/>
        </w:rPr>
        <w:t>+</w:t>
      </w:r>
      <w:r>
        <w:rPr>
          <w:rFonts w:hint="eastAsia"/>
          <w:color w:val="auto"/>
        </w:rPr>
        <w:t>、Ca</w:t>
      </w:r>
      <w:r>
        <w:rPr>
          <w:rFonts w:hint="eastAsia"/>
          <w:color w:val="auto"/>
          <w:vertAlign w:val="superscript"/>
        </w:rPr>
        <w:t>2+</w:t>
      </w:r>
      <w:r>
        <w:rPr>
          <w:rFonts w:hint="eastAsia"/>
          <w:color w:val="auto"/>
        </w:rPr>
        <w:t>、Mg</w:t>
      </w:r>
      <w:r>
        <w:rPr>
          <w:rFonts w:hint="eastAsia"/>
          <w:color w:val="auto"/>
          <w:vertAlign w:val="superscript"/>
        </w:rPr>
        <w:t>2+</w:t>
      </w:r>
      <w:r>
        <w:rPr>
          <w:rFonts w:hint="eastAsia"/>
          <w:color w:val="auto"/>
        </w:rPr>
        <w:t>、CO</w:t>
      </w:r>
      <w:r>
        <w:rPr>
          <w:rFonts w:hint="eastAsia"/>
          <w:color w:val="auto"/>
          <w:vertAlign w:val="subscript"/>
        </w:rPr>
        <w:t>3</w:t>
      </w:r>
      <w:r>
        <w:rPr>
          <w:rFonts w:hint="eastAsia"/>
          <w:color w:val="auto"/>
          <w:vertAlign w:val="superscript"/>
        </w:rPr>
        <w:t>2-</w:t>
      </w:r>
      <w:r>
        <w:rPr>
          <w:rFonts w:hint="eastAsia"/>
          <w:color w:val="auto"/>
        </w:rPr>
        <w:t>、HCO</w:t>
      </w:r>
      <w:r>
        <w:rPr>
          <w:rFonts w:hint="eastAsia"/>
          <w:color w:val="auto"/>
          <w:vertAlign w:val="subscript"/>
        </w:rPr>
        <w:t>3</w:t>
      </w:r>
      <w:r>
        <w:rPr>
          <w:rFonts w:hint="eastAsia"/>
          <w:color w:val="auto"/>
          <w:vertAlign w:val="superscript"/>
        </w:rPr>
        <w:t>-</w:t>
      </w:r>
      <w:r>
        <w:rPr>
          <w:rFonts w:hint="eastAsia"/>
          <w:color w:val="auto"/>
        </w:rPr>
        <w:t>、总磷、二噁英、A</w:t>
      </w:r>
      <w:r>
        <w:rPr>
          <w:color w:val="auto"/>
        </w:rPr>
        <w:t>O</w:t>
      </w:r>
      <w:r>
        <w:rPr>
          <w:rFonts w:hint="eastAsia"/>
          <w:color w:val="auto"/>
        </w:rPr>
        <w:t>x的标准限值，仅作为背景监测，不进行评价。</w:t>
      </w:r>
    </w:p>
    <w:p w14:paraId="0CF0C204">
      <w:pPr>
        <w:pStyle w:val="4"/>
        <w:rPr>
          <w:color w:val="auto"/>
        </w:rPr>
      </w:pPr>
      <w:bookmarkStart w:id="367" w:name="_Toc225216754"/>
      <w:bookmarkStart w:id="368" w:name="_Toc198391255"/>
      <w:bookmarkStart w:id="369" w:name="_Toc199190494"/>
      <w:bookmarkStart w:id="370" w:name="_Toc198390602"/>
      <w:bookmarkStart w:id="371" w:name="_Toc199168957"/>
      <w:r>
        <w:rPr>
          <w:rFonts w:hint="eastAsia"/>
          <w:color w:val="auto"/>
        </w:rPr>
        <w:t>评价方法</w:t>
      </w:r>
      <w:bookmarkEnd w:id="367"/>
      <w:bookmarkEnd w:id="368"/>
      <w:bookmarkEnd w:id="369"/>
      <w:bookmarkEnd w:id="370"/>
      <w:bookmarkEnd w:id="371"/>
    </w:p>
    <w:p w14:paraId="0B4FC403">
      <w:pPr>
        <w:ind w:firstLine="480"/>
        <w:rPr>
          <w:color w:val="auto"/>
        </w:rPr>
      </w:pPr>
      <w:r>
        <w:rPr>
          <w:rFonts w:hint="eastAsia"/>
          <w:color w:val="auto"/>
        </w:rPr>
        <w:t>根据《环境影响评价技术导则 地下水环境》（HJ610-2016），地下水水质现状评价采用标准指数法进行评价。</w:t>
      </w:r>
    </w:p>
    <w:p w14:paraId="0E1F4F2E">
      <w:pPr>
        <w:ind w:firstLine="480"/>
        <w:rPr>
          <w:color w:val="auto"/>
        </w:rPr>
      </w:pPr>
      <w:r>
        <w:rPr>
          <w:rFonts w:hint="eastAsia"/>
          <w:color w:val="auto"/>
        </w:rPr>
        <w:t>对于评价标准为定值的水质因子，其标准指数计算方法如下：</w:t>
      </w:r>
    </w:p>
    <w:p w14:paraId="622D5201">
      <w:pPr>
        <w:ind w:firstLine="480"/>
        <w:jc w:val="center"/>
        <w:rPr>
          <w:color w:val="auto"/>
        </w:rPr>
      </w:pPr>
      <w:r>
        <w:rPr>
          <w:color w:val="auto"/>
        </w:rPr>
        <w:pict>
          <v:shape id="_x0000_i1035" o:spt="75" type="#_x0000_t75" style="height:18pt;width:54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displayBackgroundShape/&gt;&lt;w:doNotEmbedSystemFonts/&gt;&lt;w:hideSpellingErrors/&gt;&lt;w:stylePaneFormatFilter w:val=&quot;3F01&quot;/&gt;&lt;w:defaultTabStop w:val=&quot;420&quot;/&gt;&lt;w:drawingGridHorizontalSpacing w:val=&quot;120&quot;/&gt;&lt;w:drawingGridVerticalSpacing w:val=&quot;333&quot;/&gt;&lt;w:displayHorizontalDrawingGridEvery w:val=&quot;2&quot;/&gt;&lt;w:characterSpacingControl w:val=&quot;CompressPunctuation&quot;/&gt;&lt;w:webPageEncoding w:val=&quot;x-cp20936&quot;/&gt;&lt;w:optimizeForBrowser/&gt;&lt;w:allowPNG/&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docVars&gt;&lt;w:docVar w:name=&quot;commondata&quot; w:val=&quot;eyJoZGlkIjoiNjk0ZjU2YzNkNWFhOWM4OGMwNGRjZTIyNDMxOWQwZDYifQ==&quot;/&gt;&lt;/w:docVars&gt;&lt;wsp:rsids&gt;&lt;wsp:rsidRoot wsp:val=&quot;00172A27&quot;/&gt;&lt;wsp:rsid wsp:val=&quot;0000022F&quot;/&gt;&lt;wsp:rsid wsp:val=&quot;00000384&quot;/&gt;&lt;wsp:rsid wsp:val=&quot;000004DF&quot;/&gt;&lt;wsp:rsid wsp:val=&quot;00000A0B&quot;/&gt;&lt;wsp:rsid wsp:val=&quot;00000A3E&quot;/&gt;&lt;wsp:rsid wsp:val=&quot;00000B73&quot;/&gt;&lt;wsp:rsid wsp:val=&quot;00000CAA&quot;/&gt;&lt;wsp:rsid wsp:val=&quot;000011E2&quot;/&gt;&lt;wsp:rsid wsp:val=&quot;0000150C&quot;/&gt;&lt;wsp:rsid wsp:val=&quot;000015BC&quot;/&gt;&lt;wsp:rsid wsp:val=&quot;000015EC&quot;/&gt;&lt;wsp:rsid wsp:val=&quot;000017CA&quot;/&gt;&lt;wsp:rsid wsp:val=&quot;00001C36&quot;/&gt;&lt;wsp:rsid wsp:val=&quot;00001C48&quot;/&gt;&lt;wsp:rsid wsp:val=&quot;0000219B&quot;/&gt;&lt;wsp:rsid wsp:val=&quot;00002E2B&quot;/&gt;&lt;wsp:rsid wsp:val=&quot;00003024&quot;/&gt;&lt;wsp:rsid wsp:val=&quot;000030BE&quot;/&gt;&lt;wsp:rsid wsp:val=&quot;00003138&quot;/&gt;&lt;wsp:rsid wsp:val=&quot;0000336F&quot;/&gt;&lt;wsp:rsid wsp:val=&quot;000038D6&quot;/&gt;&lt;wsp:rsid wsp:val=&quot;00003B70&quot;/&gt;&lt;wsp:rsid wsp:val=&quot;00003C50&quot;/&gt;&lt;wsp:rsid wsp:val=&quot;00003CAD&quot;/&gt;&lt;wsp:rsid wsp:val=&quot;00003D71&quot;/&gt;&lt;wsp:rsid wsp:val=&quot;00003DDB&quot;/&gt;&lt;wsp:rsid wsp:val=&quot;00003E4D&quot;/&gt;&lt;wsp:rsid wsp:val=&quot;0000401F&quot;/&gt;&lt;wsp:rsid wsp:val=&quot;00005163&quot;/&gt;&lt;wsp:rsid wsp:val=&quot;0000523C&quot;/&gt;&lt;wsp:rsid wsp:val=&quot;000052E2&quot;/&gt;&lt;wsp:rsid wsp:val=&quot;00005688&quot;/&gt;&lt;wsp:rsid wsp:val=&quot;00005F62&quot;/&gt;&lt;wsp:rsid wsp:val=&quot;00006049&quot;/&gt;&lt;wsp:rsid wsp:val=&quot;00006447&quot;/&gt;&lt;wsp:rsid wsp:val=&quot;0000644B&quot;/&gt;&lt;wsp:rsid wsp:val=&quot;0000682C&quot;/&gt;&lt;wsp:rsid wsp:val=&quot;00006B6F&quot;/&gt;&lt;wsp:rsid wsp:val=&quot;000076B4&quot;/&gt;&lt;wsp:rsid wsp:val=&quot;00007713&quot;/&gt;&lt;wsp:rsid wsp:val=&quot;00007BDE&quot;/&gt;&lt;wsp:rsid wsp:val=&quot;00007DAF&quot;/&gt;&lt;wsp:rsid wsp:val=&quot;00010469&quot;/&gt;&lt;wsp:rsid wsp:val=&quot;00010982&quot;/&gt;&lt;wsp:rsid wsp:val=&quot;00010A0D&quot;/&gt;&lt;wsp:rsid wsp:val=&quot;00010ADF&quot;/&gt;&lt;wsp:rsid wsp:val=&quot;0001100E&quot;/&gt;&lt;wsp:rsid wsp:val=&quot;000115C2&quot;/&gt;&lt;wsp:rsid wsp:val=&quot;00011B14&quot;/&gt;&lt;wsp:rsid wsp:val=&quot;00011B79&quot;/&gt;&lt;wsp:rsid wsp:val=&quot;0001252B&quot;/&gt;&lt;wsp:rsid wsp:val=&quot;00012C75&quot;/&gt;&lt;wsp:rsid wsp:val=&quot;00012CE6&quot;/&gt;&lt;wsp:rsid wsp:val=&quot;0001307C&quot;/&gt;&lt;wsp:rsid wsp:val=&quot;000130A5&quot;/&gt;&lt;wsp:rsid wsp:val=&quot;00013349&quot;/&gt;&lt;wsp:rsid wsp:val=&quot;000134B2&quot;/&gt;&lt;wsp:rsid wsp:val=&quot;00013864&quot;/&gt;&lt;wsp:rsid wsp:val=&quot;0001391F&quot;/&gt;&lt;wsp:rsid wsp:val=&quot;00013922&quot;/&gt;&lt;wsp:rsid wsp:val=&quot;0001398B&quot;/&gt;&lt;wsp:rsid wsp:val=&quot;00013BFA&quot;/&gt;&lt;wsp:rsid wsp:val=&quot;0001435A&quot;/&gt;&lt;wsp:rsid wsp:val=&quot;00014504&quot;/&gt;&lt;wsp:rsid wsp:val=&quot;0001468D&quot;/&gt;&lt;wsp:rsid wsp:val=&quot;0001484A&quot;/&gt;&lt;wsp:rsid wsp:val=&quot;00015025&quot;/&gt;&lt;wsp:rsid wsp:val=&quot;00015885&quot;/&gt;&lt;wsp:rsid wsp:val=&quot;00015B16&quot;/&gt;&lt;wsp:rsid wsp:val=&quot;00015C72&quot;/&gt;&lt;wsp:rsid wsp:val=&quot;000160E3&quot;/&gt;&lt;wsp:rsid wsp:val=&quot;00016243&quot;/&gt;&lt;wsp:rsid wsp:val=&quot;0001655D&quot;/&gt;&lt;wsp:rsid wsp:val=&quot;0001698B&quot;/&gt;&lt;wsp:rsid wsp:val=&quot;00017AFE&quot;/&gt;&lt;wsp:rsid wsp:val=&quot;00017C19&quot;/&gt;&lt;wsp:rsid wsp:val=&quot;00021301&quot;/&gt;&lt;wsp:rsid wsp:val=&quot;0002151D&quot;/&gt;&lt;wsp:rsid wsp:val=&quot;00021560&quot;/&gt;&lt;wsp:rsid wsp:val=&quot;00021A4C&quot;/&gt;&lt;wsp:rsid wsp:val=&quot;0002225C&quot;/&gt;&lt;wsp:rsid wsp:val=&quot;000224E4&quot;/&gt;&lt;wsp:rsid wsp:val=&quot;000227B9&quot;/&gt;&lt;wsp:rsid wsp:val=&quot;000233D0&quot;/&gt;&lt;wsp:rsid wsp:val=&quot;000236A2&quot;/&gt;&lt;wsp:rsid wsp:val=&quot;00023B3C&quot;/&gt;&lt;wsp:rsid wsp:val=&quot;00023BED&quot;/&gt;&lt;wsp:rsid wsp:val=&quot;000246C4&quot;/&gt;&lt;wsp:rsid wsp:val=&quot;00024CDA&quot;/&gt;&lt;wsp:rsid wsp:val=&quot;00024E8A&quot;/&gt;&lt;wsp:rsid wsp:val=&quot;00025365&quot;/&gt;&lt;wsp:rsid wsp:val=&quot;00025477&quot;/&gt;&lt;wsp:rsid wsp:val=&quot;000258DC&quot;/&gt;&lt;wsp:rsid wsp:val=&quot;00025C11&quot;/&gt;&lt;wsp:rsid wsp:val=&quot;00025D8F&quot;/&gt;&lt;wsp:rsid wsp:val=&quot;00025E50&quot;/&gt;&lt;wsp:rsid wsp:val=&quot;00025F43&quot;/&gt;&lt;wsp:rsid wsp:val=&quot;00026330&quot;/&gt;&lt;wsp:rsid wsp:val=&quot;000265C3&quot;/&gt;&lt;wsp:rsid wsp:val=&quot;00026A30&quot;/&gt;&lt;wsp:rsid wsp:val=&quot;00027069&quot;/&gt;&lt;wsp:rsid wsp:val=&quot;000271AB&quot;/&gt;&lt;wsp:rsid wsp:val=&quot;00027286&quot;/&gt;&lt;wsp:rsid wsp:val=&quot;0002750E&quot;/&gt;&lt;wsp:rsid wsp:val=&quot;000275CE&quot;/&gt;&lt;wsp:rsid wsp:val=&quot;00027886&quot;/&gt;&lt;wsp:rsid wsp:val=&quot;00027C25&quot;/&gt;&lt;wsp:rsid wsp:val=&quot;00027D99&quot;/&gt;&lt;wsp:rsid wsp:val=&quot;00027F29&quot;/&gt;&lt;wsp:rsid wsp:val=&quot;00030097&quot;/&gt;&lt;wsp:rsid wsp:val=&quot;00030482&quot;/&gt;&lt;wsp:rsid wsp:val=&quot;0003049B&quot;/&gt;&lt;wsp:rsid wsp:val=&quot;000305A7&quot;/&gt;&lt;wsp:rsid wsp:val=&quot;00031893&quot;/&gt;&lt;wsp:rsid wsp:val=&quot;00031B2D&quot;/&gt;&lt;wsp:rsid wsp:val=&quot;00031D30&quot;/&gt;&lt;wsp:rsid wsp:val=&quot;00032A8C&quot;/&gt;&lt;wsp:rsid wsp:val=&quot;00032CA5&quot;/&gt;&lt;wsp:rsid wsp:val=&quot;00032F8A&quot;/&gt;&lt;wsp:rsid wsp:val=&quot;0003348A&quot;/&gt;&lt;wsp:rsid wsp:val=&quot;000335E6&quot;/&gt;&lt;wsp:rsid wsp:val=&quot;0003421E&quot;/&gt;&lt;wsp:rsid wsp:val=&quot;000346A1&quot;/&gt;&lt;wsp:rsid wsp:val=&quot;00034799&quot;/&gt;&lt;wsp:rsid wsp:val=&quot;00034D53&quot;/&gt;&lt;wsp:rsid wsp:val=&quot;00034E85&quot;/&gt;&lt;wsp:rsid wsp:val=&quot;00034F14&quot;/&gt;&lt;wsp:rsid wsp:val=&quot;0003510D&quot;/&gt;&lt;wsp:rsid wsp:val=&quot;00035BE6&quot;/&gt;&lt;wsp:rsid wsp:val=&quot;00035CE7&quot;/&gt;&lt;wsp:rsid wsp:val=&quot;00036265&quot;/&gt;&lt;wsp:rsid wsp:val=&quot;000367D9&quot;/&gt;&lt;wsp:rsid wsp:val=&quot;00036BF8&quot;/&gt;&lt;wsp:rsid wsp:val=&quot;00037795&quot;/&gt;&lt;wsp:rsid wsp:val=&quot;00037962&quot;/&gt;&lt;wsp:rsid wsp:val=&quot;00037D5A&quot;/&gt;&lt;wsp:rsid wsp:val=&quot;00037DD9&quot;/&gt;&lt;wsp:rsid wsp:val=&quot;00037E9D&quot;/&gt;&lt;wsp:rsid wsp:val=&quot;000403AD&quot;/&gt;&lt;wsp:rsid wsp:val=&quot;00040568&quot;/&gt;&lt;wsp:rsid wsp:val=&quot;000405B6&quot;/&gt;&lt;wsp:rsid wsp:val=&quot;00041379&quot;/&gt;&lt;wsp:rsid wsp:val=&quot;00041507&quot;/&gt;&lt;wsp:rsid wsp:val=&quot;000415B9&quot;/&gt;&lt;wsp:rsid wsp:val=&quot;00041627&quot;/&gt;&lt;wsp:rsid wsp:val=&quot;00041A92&quot;/&gt;&lt;wsp:rsid wsp:val=&quot;00041B78&quot;/&gt;&lt;wsp:rsid wsp:val=&quot;00041C7C&quot;/&gt;&lt;wsp:rsid wsp:val=&quot;00042046&quot;/&gt;&lt;wsp:rsid wsp:val=&quot;00042160&quot;/&gt;&lt;wsp:rsid wsp:val=&quot;00042304&quot;/&gt;&lt;wsp:rsid wsp:val=&quot;000427DA&quot;/&gt;&lt;wsp:rsid wsp:val=&quot;000428AB&quot;/&gt;&lt;wsp:rsid wsp:val=&quot;00042906&quot;/&gt;&lt;wsp:rsid wsp:val=&quot;00042A13&quot;/&gt;&lt;wsp:rsid wsp:val=&quot;00042CA9&quot;/&gt;&lt;wsp:rsid wsp:val=&quot;00042FF9&quot;/&gt;&lt;wsp:rsid wsp:val=&quot;00043B29&quot;/&gt;&lt;wsp:rsid wsp:val=&quot;00043B34&quot;/&gt;&lt;wsp:rsid wsp:val=&quot;00043F0A&quot;/&gt;&lt;wsp:rsid wsp:val=&quot;00043F57&quot;/&gt;&lt;wsp:rsid wsp:val=&quot;000445EB&quot;/&gt;&lt;wsp:rsid wsp:val=&quot;0004466A&quot;/&gt;&lt;wsp:rsid wsp:val=&quot;00044888&quot;/&gt;&lt;wsp:rsid wsp:val=&quot;000449E1&quot;/&gt;&lt;wsp:rsid wsp:val=&quot;00044A6E&quot;/&gt;&lt;wsp:rsid wsp:val=&quot;00045DF6&quot;/&gt;&lt;wsp:rsid wsp:val=&quot;00045F1E&quot;/&gt;&lt;wsp:rsid wsp:val=&quot;000460DC&quot;/&gt;&lt;wsp:rsid wsp:val=&quot;00046316&quot;/&gt;&lt;wsp:rsid wsp:val=&quot;0004788D&quot;/&gt;&lt;wsp:rsid wsp:val=&quot;00047C3A&quot;/&gt;&lt;wsp:rsid wsp:val=&quot;000500BC&quot;/&gt;&lt;wsp:rsid wsp:val=&quot;0005058E&quot;/&gt;&lt;wsp:rsid wsp:val=&quot;0005070D&quot;/&gt;&lt;wsp:rsid wsp:val=&quot;00050882&quot;/&gt;&lt;wsp:rsid wsp:val=&quot;00050BE4&quot;/&gt;&lt;wsp:rsid wsp:val=&quot;00050D7A&quot;/&gt;&lt;wsp:rsid wsp:val=&quot;00050EAC&quot;/&gt;&lt;wsp:rsid wsp:val=&quot;000512D2&quot;/&gt;&lt;wsp:rsid wsp:val=&quot;0005174C&quot;/&gt;&lt;wsp:rsid wsp:val=&quot;00051C0F&quot;/&gt;&lt;wsp:rsid wsp:val=&quot;00051CD8&quot;/&gt;&lt;wsp:rsid wsp:val=&quot;00052154&quot;/&gt;&lt;wsp:rsid wsp:val=&quot;000522C7&quot;/&gt;&lt;wsp:rsid wsp:val=&quot;00052CF9&quot;/&gt;&lt;wsp:rsid wsp:val=&quot;000530C9&quot;/&gt;&lt;wsp:rsid wsp:val=&quot;000530D0&quot;/&gt;&lt;wsp:rsid wsp:val=&quot;00053212&quot;/&gt;&lt;wsp:rsid wsp:val=&quot;000532E4&quot;/&gt;&lt;wsp:rsid wsp:val=&quot;000541FD&quot;/&gt;&lt;wsp:rsid wsp:val=&quot;00054823&quot;/&gt;&lt;wsp:rsid wsp:val=&quot;0005484C&quot;/&gt;&lt;wsp:rsid wsp:val=&quot;000552E0&quot;/&gt;&lt;wsp:rsid wsp:val=&quot;000552EC&quot;/&gt;&lt;wsp:rsid wsp:val=&quot;000555BA&quot;/&gt;&lt;wsp:rsid wsp:val=&quot;000558A8&quot;/&gt;&lt;wsp:rsid wsp:val=&quot;00055941&quot;/&gt;&lt;wsp:rsid wsp:val=&quot;000559EE&quot;/&gt;&lt;wsp:rsid wsp:val=&quot;00055D03&quot;/&gt;&lt;wsp:rsid wsp:val=&quot;00056002&quot;/&gt;&lt;wsp:rsid wsp:val=&quot;00056098&quot;/&gt;&lt;wsp:rsid wsp:val=&quot;000560B4&quot;/&gt;&lt;wsp:rsid wsp:val=&quot;000560FC&quot;/&gt;&lt;wsp:rsid wsp:val=&quot;00056638&quot;/&gt;&lt;wsp:rsid wsp:val=&quot;000566E8&quot;/&gt;&lt;wsp:rsid wsp:val=&quot;00056841&quot;/&gt;&lt;wsp:rsid wsp:val=&quot;000568C7&quot;/&gt;&lt;wsp:rsid wsp:val=&quot;00056F36&quot;/&gt;&lt;wsp:rsid wsp:val=&quot;00057292&quot;/&gt;&lt;wsp:rsid wsp:val=&quot;00057837&quot;/&gt;&lt;wsp:rsid wsp:val=&quot;00057A84&quot;/&gt;&lt;wsp:rsid wsp:val=&quot;00057B20&quot;/&gt;&lt;wsp:rsid wsp:val=&quot;00057BDB&quot;/&gt;&lt;wsp:rsid wsp:val=&quot;00057D12&quot;/&gt;&lt;wsp:rsid wsp:val=&quot;00060260&quot;/&gt;&lt;wsp:rsid wsp:val=&quot;000605C3&quot;/&gt;&lt;wsp:rsid wsp:val=&quot;00060BB5&quot;/&gt;&lt;wsp:rsid wsp:val=&quot;00061697&quot;/&gt;&lt;wsp:rsid wsp:val=&quot;00061B2B&quot;/&gt;&lt;wsp:rsid wsp:val=&quot;00061DBE&quot;/&gt;&lt;wsp:rsid wsp:val=&quot;000620E3&quot;/&gt;&lt;wsp:rsid wsp:val=&quot;00062112&quot;/&gt;&lt;wsp:rsid wsp:val=&quot;000621B0&quot;/&gt;&lt;wsp:rsid wsp:val=&quot;000623B4&quot;/&gt;&lt;wsp:rsid wsp:val=&quot;000626D5&quot;/&gt;&lt;wsp:rsid wsp:val=&quot;00062943&quot;/&gt;&lt;wsp:rsid wsp:val=&quot;00063223&quot;/&gt;&lt;wsp:rsid wsp:val=&quot;00063530&quot;/&gt;&lt;wsp:rsid wsp:val=&quot;000637CE&quot;/&gt;&lt;wsp:rsid wsp:val=&quot;00063912&quot;/&gt;&lt;wsp:rsid wsp:val=&quot;000639A7&quot;/&gt;&lt;wsp:rsid wsp:val=&quot;00064759&quot;/&gt;&lt;wsp:rsid wsp:val=&quot;00065140&quot;/&gt;&lt;wsp:rsid wsp:val=&quot;000651D1&quot;/&gt;&lt;wsp:rsid wsp:val=&quot;0006737C&quot;/&gt;&lt;wsp:rsid wsp:val=&quot;000674A7&quot;/&gt;&lt;wsp:rsid wsp:val=&quot;0006771D&quot;/&gt;&lt;wsp:rsid wsp:val=&quot;000677C1&quot;/&gt;&lt;wsp:rsid wsp:val=&quot;000705B3&quot;/&gt;&lt;wsp:rsid wsp:val=&quot;00070E41&quot;/&gt;&lt;wsp:rsid wsp:val=&quot;00071078&quot;/&gt;&lt;wsp:rsid wsp:val=&quot;000713AF&quot;/&gt;&lt;wsp:rsid wsp:val=&quot;00071452&quot;/&gt;&lt;wsp:rsid wsp:val=&quot;000718E7&quot;/&gt;&lt;wsp:rsid wsp:val=&quot;00071B41&quot;/&gt;&lt;wsp:rsid wsp:val=&quot;00071D62&quot;/&gt;&lt;wsp:rsid wsp:val=&quot;00071E06&quot;/&gt;&lt;wsp:rsid wsp:val=&quot;00071EF4&quot;/&gt;&lt;wsp:rsid wsp:val=&quot;00072124&quot;/&gt;&lt;wsp:rsid wsp:val=&quot;00072223&quot;/&gt;&lt;wsp:rsid wsp:val=&quot;000727DD&quot;/&gt;&lt;wsp:rsid wsp:val=&quot;00072A7C&quot;/&gt;&lt;wsp:rsid wsp:val=&quot;00072F74&quot;/&gt;&lt;wsp:rsid wsp:val=&quot;000730EC&quot;/&gt;&lt;wsp:rsid wsp:val=&quot;00073818&quot;/&gt;&lt;wsp:rsid wsp:val=&quot;00073A3F&quot;/&gt;&lt;wsp:rsid wsp:val=&quot;00073D42&quot;/&gt;&lt;wsp:rsid wsp:val=&quot;00074150&quot;/&gt;&lt;wsp:rsid wsp:val=&quot;00074587&quot;/&gt;&lt;wsp:rsid wsp:val=&quot;00074A92&quot;/&gt;&lt;wsp:rsid wsp:val=&quot;00074C0E&quot;/&gt;&lt;wsp:rsid wsp:val=&quot;00074EA2&quot;/&gt;&lt;wsp:rsid wsp:val=&quot;00075128&quot;/&gt;&lt;wsp:rsid wsp:val=&quot;00075455&quot;/&gt;&lt;wsp:rsid wsp:val=&quot;00076688&quot;/&gt;&lt;wsp:rsid wsp:val=&quot;00077076&quot;/&gt;&lt;wsp:rsid wsp:val=&quot;0007727A&quot;/&gt;&lt;wsp:rsid wsp:val=&quot;00077572&quot;/&gt;&lt;wsp:rsid wsp:val=&quot;0007758C&quot;/&gt;&lt;wsp:rsid wsp:val=&quot;000779A3&quot;/&gt;&lt;wsp:rsid wsp:val=&quot;00077AD3&quot;/&gt;&lt;wsp:rsid wsp:val=&quot;0008015C&quot;/&gt;&lt;wsp:rsid wsp:val=&quot;00080248&quot;/&gt;&lt;wsp:rsid wsp:val=&quot;000802C4&quot;/&gt;&lt;wsp:rsid wsp:val=&quot;00080900&quot;/&gt;&lt;wsp:rsid wsp:val=&quot;00081546&quot;/&gt;&lt;wsp:rsid wsp:val=&quot;000816AD&quot;/&gt;&lt;wsp:rsid wsp:val=&quot;0008236E&quot;/&gt;&lt;wsp:rsid wsp:val=&quot;000823BC&quot;/&gt;&lt;wsp:rsid wsp:val=&quot;000829DB&quot;/&gt;&lt;wsp:rsid wsp:val=&quot;00082D5D&quot;/&gt;&lt;wsp:rsid wsp:val=&quot;000837D8&quot;/&gt;&lt;wsp:rsid wsp:val=&quot;00083A03&quot;/&gt;&lt;wsp:rsid wsp:val=&quot;00083D4A&quot;/&gt;&lt;wsp:rsid wsp:val=&quot;000840A3&quot;/&gt;&lt;wsp:rsid wsp:val=&quot;0008416D&quot;/&gt;&lt;wsp:rsid wsp:val=&quot;000843D7&quot;/&gt;&lt;wsp:rsid wsp:val=&quot;00084495&quot;/&gt;&lt;wsp:rsid wsp:val=&quot;00084870&quot;/&gt;&lt;wsp:rsid wsp:val=&quot;00085127&quot;/&gt;&lt;wsp:rsid wsp:val=&quot;0008548A&quot;/&gt;&lt;wsp:rsid wsp:val=&quot;00085B7D&quot;/&gt;&lt;wsp:rsid wsp:val=&quot;00085E5C&quot;/&gt;&lt;wsp:rsid wsp:val=&quot;000869CE&quot;/&gt;&lt;wsp:rsid wsp:val=&quot;00086A65&quot;/&gt;&lt;wsp:rsid wsp:val=&quot;00086EF1&quot;/&gt;&lt;wsp:rsid wsp:val=&quot;000871B8&quot;/&gt;&lt;wsp:rsid wsp:val=&quot;00087345&quot;/&gt;&lt;wsp:rsid wsp:val=&quot;00087893&quot;/&gt;&lt;wsp:rsid wsp:val=&quot;00087C3F&quot;/&gt;&lt;wsp:rsid wsp:val=&quot;00090020&quot;/&gt;&lt;wsp:rsid wsp:val=&quot;0009003D&quot;/&gt;&lt;wsp:rsid wsp:val=&quot;00090151&quot;/&gt;&lt;wsp:rsid wsp:val=&quot;00090570&quot;/&gt;&lt;wsp:rsid wsp:val=&quot;0009083D&quot;/&gt;&lt;wsp:rsid wsp:val=&quot;00090A87&quot;/&gt;&lt;wsp:rsid wsp:val=&quot;00090E88&quot;/&gt;&lt;wsp:rsid wsp:val=&quot;00091143&quot;/&gt;&lt;wsp:rsid wsp:val=&quot;00091257&quot;/&gt;&lt;wsp:rsid wsp:val=&quot;00091535&quot;/&gt;&lt;wsp:rsid wsp:val=&quot;00091CD3&quot;/&gt;&lt;wsp:rsid wsp:val=&quot;00091EF4&quot;/&gt;&lt;wsp:rsid wsp:val=&quot;00092059&quot;/&gt;&lt;wsp:rsid wsp:val=&quot;0009211B&quot;/&gt;&lt;wsp:rsid wsp:val=&quot;000921A3&quot;/&gt;&lt;wsp:rsid wsp:val=&quot;000928B4&quot;/&gt;&lt;wsp:rsid wsp:val=&quot;00092B3D&quot;/&gt;&lt;wsp:rsid wsp:val=&quot;00092E2B&quot;/&gt;&lt;wsp:rsid wsp:val=&quot;00092EAA&quot;/&gt;&lt;wsp:rsid wsp:val=&quot;000939F4&quot;/&gt;&lt;wsp:rsid wsp:val=&quot;00093DA7&quot;/&gt;&lt;wsp:rsid wsp:val=&quot;00093DDA&quot;/&gt;&lt;wsp:rsid wsp:val=&quot;000945B1&quot;/&gt;&lt;wsp:rsid wsp:val=&quot;000955D9&quot;/&gt;&lt;wsp:rsid wsp:val=&quot;00095B20&quot;/&gt;&lt;wsp:rsid wsp:val=&quot;0009623A&quot;/&gt;&lt;wsp:rsid wsp:val=&quot;00096553&quot;/&gt;&lt;wsp:rsid wsp:val=&quot;0009673E&quot;/&gt;&lt;wsp:rsid wsp:val=&quot;000967DB&quot;/&gt;&lt;wsp:rsid wsp:val=&quot;00096955&quot;/&gt;&lt;wsp:rsid wsp:val=&quot;00096CAF&quot;/&gt;&lt;wsp:rsid wsp:val=&quot;000976D5&quot;/&gt;&lt;wsp:rsid wsp:val=&quot;00097982&quot;/&gt;&lt;wsp:rsid wsp:val=&quot;00097A26&quot;/&gt;&lt;wsp:rsid wsp:val=&quot;00097A3B&quot;/&gt;&lt;wsp:rsid wsp:val=&quot;00097A44&quot;/&gt;&lt;wsp:rsid wsp:val=&quot;00097FEC&quot;/&gt;&lt;wsp:rsid wsp:val=&quot;000A04CD&quot;/&gt;&lt;wsp:rsid wsp:val=&quot;000A0589&quot;/&gt;&lt;wsp:rsid wsp:val=&quot;000A091F&quot;/&gt;&lt;wsp:rsid wsp:val=&quot;000A12BD&quot;/&gt;&lt;wsp:rsid wsp:val=&quot;000A1985&quot;/&gt;&lt;wsp:rsid wsp:val=&quot;000A1A03&quot;/&gt;&lt;wsp:rsid wsp:val=&quot;000A1D1C&quot;/&gt;&lt;wsp:rsid wsp:val=&quot;000A250B&quot;/&gt;&lt;wsp:rsid wsp:val=&quot;000A3159&quot;/&gt;&lt;wsp:rsid wsp:val=&quot;000A37E9&quot;/&gt;&lt;wsp:rsid wsp:val=&quot;000A3B32&quot;/&gt;&lt;wsp:rsid wsp:val=&quot;000A3EEF&quot;/&gt;&lt;wsp:rsid wsp:val=&quot;000A412D&quot;/&gt;&lt;wsp:rsid wsp:val=&quot;000A4326&quot;/&gt;&lt;wsp:rsid wsp:val=&quot;000A434B&quot;/&gt;&lt;wsp:rsid wsp:val=&quot;000A4596&quot;/&gt;&lt;wsp:rsid wsp:val=&quot;000A460B&quot;/&gt;&lt;wsp:rsid wsp:val=&quot;000A4B02&quot;/&gt;&lt;wsp:rsid wsp:val=&quot;000A4B5C&quot;/&gt;&lt;wsp:rsid wsp:val=&quot;000A4D77&quot;/&gt;&lt;wsp:rsid wsp:val=&quot;000A5349&quot;/&gt;&lt;wsp:rsid wsp:val=&quot;000A5508&quot;/&gt;&lt;wsp:rsid wsp:val=&quot;000A5B78&quot;/&gt;&lt;wsp:rsid wsp:val=&quot;000A5BB5&quot;/&gt;&lt;wsp:rsid wsp:val=&quot;000A5DD8&quot;/&gt;&lt;wsp:rsid wsp:val=&quot;000A61D5&quot;/&gt;&lt;wsp:rsid wsp:val=&quot;000A6570&quot;/&gt;&lt;wsp:rsid wsp:val=&quot;000A69D2&quot;/&gt;&lt;wsp:rsid wsp:val=&quot;000A6ABC&quot;/&gt;&lt;wsp:rsid wsp:val=&quot;000A6B84&quot;/&gt;&lt;wsp:rsid wsp:val=&quot;000A6E04&quot;/&gt;&lt;wsp:rsid wsp:val=&quot;000B000D&quot;/&gt;&lt;wsp:rsid wsp:val=&quot;000B0512&quot;/&gt;&lt;wsp:rsid wsp:val=&quot;000B0529&quot;/&gt;&lt;wsp:rsid wsp:val=&quot;000B0C4F&quot;/&gt;&lt;wsp:rsid wsp:val=&quot;000B0F57&quot;/&gt;&lt;wsp:rsid wsp:val=&quot;000B10BD&quot;/&gt;&lt;wsp:rsid wsp:val=&quot;000B1106&quot;/&gt;&lt;wsp:rsid wsp:val=&quot;000B16E4&quot;/&gt;&lt;wsp:rsid wsp:val=&quot;000B1AED&quot;/&gt;&lt;wsp:rsid wsp:val=&quot;000B1B44&quot;/&gt;&lt;wsp:rsid wsp:val=&quot;000B1BDB&quot;/&gt;&lt;wsp:rsid wsp:val=&quot;000B1C4A&quot;/&gt;&lt;wsp:rsid wsp:val=&quot;000B1C8E&quot;/&gt;&lt;wsp:rsid wsp:val=&quot;000B2CF8&quot;/&gt;&lt;wsp:rsid wsp:val=&quot;000B30AE&quot;/&gt;&lt;wsp:rsid wsp:val=&quot;000B35C2&quot;/&gt;&lt;wsp:rsid wsp:val=&quot;000B3FC1&quot;/&gt;&lt;wsp:rsid wsp:val=&quot;000B451E&quot;/&gt;&lt;wsp:rsid wsp:val=&quot;000B492E&quot;/&gt;&lt;wsp:rsid wsp:val=&quot;000B4B0F&quot;/&gt;&lt;wsp:rsid wsp:val=&quot;000B4EA8&quot;/&gt;&lt;wsp:rsid wsp:val=&quot;000B4ECC&quot;/&gt;&lt;wsp:rsid wsp:val=&quot;000B520F&quot;/&gt;&lt;wsp:rsid wsp:val=&quot;000B5524&quot;/&gt;&lt;wsp:rsid wsp:val=&quot;000B55AC&quot;/&gt;&lt;wsp:rsid wsp:val=&quot;000B5707&quot;/&gt;&lt;wsp:rsid wsp:val=&quot;000B5988&quot;/&gt;&lt;wsp:rsid wsp:val=&quot;000B5D8A&quot;/&gt;&lt;wsp:rsid wsp:val=&quot;000B6271&quot;/&gt;&lt;wsp:rsid wsp:val=&quot;000B6676&quot;/&gt;&lt;wsp:rsid wsp:val=&quot;000B69F7&quot;/&gt;&lt;wsp:rsid wsp:val=&quot;000B6E30&quot;/&gt;&lt;wsp:rsid wsp:val=&quot;000B6EFB&quot;/&gt;&lt;wsp:rsid wsp:val=&quot;000B70E6&quot;/&gt;&lt;wsp:rsid wsp:val=&quot;000B73F0&quot;/&gt;&lt;wsp:rsid wsp:val=&quot;000B741A&quot;/&gt;&lt;wsp:rsid wsp:val=&quot;000C0234&quot;/&gt;&lt;wsp:rsid wsp:val=&quot;000C0652&quot;/&gt;&lt;wsp:rsid wsp:val=&quot;000C0DEC&quot;/&gt;&lt;wsp:rsid wsp:val=&quot;000C1407&quot;/&gt;&lt;wsp:rsid wsp:val=&quot;000C16BE&quot;/&gt;&lt;wsp:rsid wsp:val=&quot;000C1F0F&quot;/&gt;&lt;wsp:rsid wsp:val=&quot;000C1FCF&quot;/&gt;&lt;wsp:rsid wsp:val=&quot;000C237D&quot;/&gt;&lt;wsp:rsid wsp:val=&quot;000C2418&quot;/&gt;&lt;wsp:rsid wsp:val=&quot;000C268F&quot;/&gt;&lt;wsp:rsid wsp:val=&quot;000C2807&quot;/&gt;&lt;wsp:rsid wsp:val=&quot;000C2F00&quot;/&gt;&lt;wsp:rsid wsp:val=&quot;000C3198&quot;/&gt;&lt;wsp:rsid wsp:val=&quot;000C3201&quot;/&gt;&lt;wsp:rsid wsp:val=&quot;000C3DDD&quot;/&gt;&lt;wsp:rsid wsp:val=&quot;000C4ABC&quot;/&gt;&lt;wsp:rsid wsp:val=&quot;000C4B30&quot;/&gt;&lt;wsp:rsid wsp:val=&quot;000C4C8D&quot;/&gt;&lt;wsp:rsid wsp:val=&quot;000C4D0D&quot;/&gt;&lt;wsp:rsid wsp:val=&quot;000C530D&quot;/&gt;&lt;wsp:rsid wsp:val=&quot;000C5929&quot;/&gt;&lt;wsp:rsid wsp:val=&quot;000C59A7&quot;/&gt;&lt;wsp:rsid wsp:val=&quot;000C6161&quot;/&gt;&lt;wsp:rsid wsp:val=&quot;000C6310&quot;/&gt;&lt;wsp:rsid wsp:val=&quot;000C65A1&quot;/&gt;&lt;wsp:rsid wsp:val=&quot;000C6783&quot;/&gt;&lt;wsp:rsid wsp:val=&quot;000C684C&quot;/&gt;&lt;wsp:rsid wsp:val=&quot;000C6B4E&quot;/&gt;&lt;wsp:rsid wsp:val=&quot;000C728F&quot;/&gt;&lt;wsp:rsid wsp:val=&quot;000C7626&quot;/&gt;&lt;wsp:rsid wsp:val=&quot;000C7CA8&quot;/&gt;&lt;wsp:rsid wsp:val=&quot;000C7DA1&quot;/&gt;&lt;wsp:rsid wsp:val=&quot;000C7EB0&quot;/&gt;&lt;wsp:rsid wsp:val=&quot;000C7FF1&quot;/&gt;&lt;wsp:rsid wsp:val=&quot;000C7FF4&quot;/&gt;&lt;wsp:rsid wsp:val=&quot;000D00DF&quot;/&gt;&lt;wsp:rsid wsp:val=&quot;000D028E&quot;/&gt;&lt;wsp:rsid wsp:val=&quot;000D0411&quot;/&gt;&lt;wsp:rsid wsp:val=&quot;000D0D59&quot;/&gt;&lt;wsp:rsid wsp:val=&quot;000D0E57&quot;/&gt;&lt;wsp:rsid wsp:val=&quot;000D1160&quot;/&gt;&lt;wsp:rsid wsp:val=&quot;000D1425&quot;/&gt;&lt;wsp:rsid wsp:val=&quot;000D14C9&quot;/&gt;&lt;wsp:rsid wsp:val=&quot;000D14D2&quot;/&gt;&lt;wsp:rsid wsp:val=&quot;000D163A&quot;/&gt;&lt;wsp:rsid wsp:val=&quot;000D1DF0&quot;/&gt;&lt;wsp:rsid wsp:val=&quot;000D2053&quot;/&gt;&lt;wsp:rsid wsp:val=&quot;000D2155&quot;/&gt;&lt;wsp:rsid wsp:val=&quot;000D224C&quot;/&gt;&lt;wsp:rsid wsp:val=&quot;000D24F0&quot;/&gt;&lt;wsp:rsid wsp:val=&quot;000D2606&quot;/&gt;&lt;wsp:rsid wsp:val=&quot;000D2793&quot;/&gt;&lt;wsp:rsid wsp:val=&quot;000D28F8&quot;/&gt;&lt;wsp:rsid wsp:val=&quot;000D2A3E&quot;/&gt;&lt;wsp:rsid wsp:val=&quot;000D2C90&quot;/&gt;&lt;wsp:rsid wsp:val=&quot;000D3118&quot;/&gt;&lt;wsp:rsid wsp:val=&quot;000D3346&quot;/&gt;&lt;wsp:rsid wsp:val=&quot;000D3A7F&quot;/&gt;&lt;wsp:rsid wsp:val=&quot;000D3C31&quot;/&gt;&lt;wsp:rsid wsp:val=&quot;000D3FA9&quot;/&gt;&lt;wsp:rsid wsp:val=&quot;000D4408&quot;/&gt;&lt;wsp:rsid wsp:val=&quot;000D4AFD&quot;/&gt;&lt;wsp:rsid wsp:val=&quot;000D4C41&quot;/&gt;&lt;wsp:rsid wsp:val=&quot;000D4D76&quot;/&gt;&lt;wsp:rsid wsp:val=&quot;000D5016&quot;/&gt;&lt;wsp:rsid wsp:val=&quot;000D511F&quot;/&gt;&lt;wsp:rsid wsp:val=&quot;000D534D&quot;/&gt;&lt;wsp:rsid wsp:val=&quot;000D540B&quot;/&gt;&lt;wsp:rsid wsp:val=&quot;000D5D04&quot;/&gt;&lt;wsp:rsid wsp:val=&quot;000D5E6C&quot;/&gt;&lt;wsp:rsid wsp:val=&quot;000D60CE&quot;/&gt;&lt;wsp:rsid wsp:val=&quot;000D62EB&quot;/&gt;&lt;wsp:rsid wsp:val=&quot;000D62FE&quot;/&gt;&lt;wsp:rsid wsp:val=&quot;000D64D1&quot;/&gt;&lt;wsp:rsid wsp:val=&quot;000D678F&quot;/&gt;&lt;wsp:rsid wsp:val=&quot;000D75C4&quot;/&gt;&lt;wsp:rsid wsp:val=&quot;000D7B48&quot;/&gt;&lt;wsp:rsid wsp:val=&quot;000D7DB4&quot;/&gt;&lt;wsp:rsid wsp:val=&quot;000D7E47&quot;/&gt;&lt;wsp:rsid wsp:val=&quot;000E03E5&quot;/&gt;&lt;wsp:rsid wsp:val=&quot;000E089C&quot;/&gt;&lt;wsp:rsid wsp:val=&quot;000E0FA2&quot;/&gt;&lt;wsp:rsid wsp:val=&quot;000E18EA&quot;/&gt;&lt;wsp:rsid wsp:val=&quot;000E212D&quot;/&gt;&lt;wsp:rsid wsp:val=&quot;000E2433&quot;/&gt;&lt;wsp:rsid wsp:val=&quot;000E2997&quot;/&gt;&lt;wsp:rsid wsp:val=&quot;000E2A06&quot;/&gt;&lt;wsp:rsid wsp:val=&quot;000E2C44&quot;/&gt;&lt;wsp:rsid wsp:val=&quot;000E2F25&quot;/&gt;&lt;wsp:rsid wsp:val=&quot;000E41EF&quot;/&gt;&lt;wsp:rsid wsp:val=&quot;000E42AA&quot;/&gt;&lt;wsp:rsid wsp:val=&quot;000E42BD&quot;/&gt;&lt;wsp:rsid wsp:val=&quot;000E43A3&quot;/&gt;&lt;wsp:rsid wsp:val=&quot;000E4D08&quot;/&gt;&lt;wsp:rsid wsp:val=&quot;000E561D&quot;/&gt;&lt;wsp:rsid wsp:val=&quot;000E56FF&quot;/&gt;&lt;wsp:rsid wsp:val=&quot;000E5707&quot;/&gt;&lt;wsp:rsid wsp:val=&quot;000E58FA&quot;/&gt;&lt;wsp:rsid wsp:val=&quot;000E59EE&quot;/&gt;&lt;wsp:rsid wsp:val=&quot;000E5C2C&quot;/&gt;&lt;wsp:rsid wsp:val=&quot;000E6630&quot;/&gt;&lt;wsp:rsid wsp:val=&quot;000E68D9&quot;/&gt;&lt;wsp:rsid wsp:val=&quot;000E6918&quot;/&gt;&lt;wsp:rsid wsp:val=&quot;000E6FB7&quot;/&gt;&lt;wsp:rsid wsp:val=&quot;000E707F&quot;/&gt;&lt;wsp:rsid wsp:val=&quot;000E79E2&quot;/&gt;&lt;wsp:rsid wsp:val=&quot;000E7A06&quot;/&gt;&lt;wsp:rsid wsp:val=&quot;000F0385&quot;/&gt;&lt;wsp:rsid wsp:val=&quot;000F0B46&quot;/&gt;&lt;wsp:rsid wsp:val=&quot;000F1305&quot;/&gt;&lt;wsp:rsid wsp:val=&quot;000F14AC&quot;/&gt;&lt;wsp:rsid wsp:val=&quot;000F14B4&quot;/&gt;&lt;wsp:rsid wsp:val=&quot;000F1B61&quot;/&gt;&lt;wsp:rsid wsp:val=&quot;000F22C3&quot;/&gt;&lt;wsp:rsid wsp:val=&quot;000F234A&quot;/&gt;&lt;wsp:rsid wsp:val=&quot;000F23CD&quot;/&gt;&lt;wsp:rsid wsp:val=&quot;000F253F&quot;/&gt;&lt;wsp:rsid wsp:val=&quot;000F2708&quot;/&gt;&lt;wsp:rsid wsp:val=&quot;000F29FF&quot;/&gt;&lt;wsp:rsid wsp:val=&quot;000F2CC0&quot;/&gt;&lt;wsp:rsid wsp:val=&quot;000F2E51&quot;/&gt;&lt;wsp:rsid wsp:val=&quot;000F30A4&quot;/&gt;&lt;wsp:rsid wsp:val=&quot;000F34C8&quot;/&gt;&lt;wsp:rsid wsp:val=&quot;000F3C97&quot;/&gt;&lt;wsp:rsid wsp:val=&quot;000F3FDE&quot;/&gt;&lt;wsp:rsid wsp:val=&quot;000F412B&quot;/&gt;&lt;wsp:rsid wsp:val=&quot;000F4778&quot;/&gt;&lt;wsp:rsid wsp:val=&quot;000F4872&quot;/&gt;&lt;wsp:rsid wsp:val=&quot;000F5066&quot;/&gt;&lt;wsp:rsid wsp:val=&quot;000F53A0&quot;/&gt;&lt;wsp:rsid wsp:val=&quot;000F5F69&quot;/&gt;&lt;wsp:rsid wsp:val=&quot;000F662A&quot;/&gt;&lt;wsp:rsid wsp:val=&quot;000F6C97&quot;/&gt;&lt;wsp:rsid wsp:val=&quot;000F7084&quot;/&gt;&lt;wsp:rsid wsp:val=&quot;000F75A9&quot;/&gt;&lt;wsp:rsid wsp:val=&quot;000F7AC0&quot;/&gt;&lt;wsp:rsid wsp:val=&quot;000F7F82&quot;/&gt;&lt;wsp:rsid wsp:val=&quot;0010025F&quot;/&gt;&lt;wsp:rsid wsp:val=&quot;001005D2&quot;/&gt;&lt;wsp:rsid wsp:val=&quot;00101239&quot;/&gt;&lt;wsp:rsid wsp:val=&quot;001013D9&quot;/&gt;&lt;wsp:rsid wsp:val=&quot;00101871&quot;/&gt;&lt;wsp:rsid wsp:val=&quot;001018C7&quot;/&gt;&lt;wsp:rsid wsp:val=&quot;001020C2&quot;/&gt;&lt;wsp:rsid wsp:val=&quot;0010231A&quot;/&gt;&lt;wsp:rsid wsp:val=&quot;001028BB&quot;/&gt;&lt;wsp:rsid wsp:val=&quot;00102E0D&quot;/&gt;&lt;wsp:rsid wsp:val=&quot;00103796&quot;/&gt;&lt;wsp:rsid wsp:val=&quot;00103846&quot;/&gt;&lt;wsp:rsid wsp:val=&quot;00103EA1&quot;/&gt;&lt;wsp:rsid wsp:val=&quot;00103F74&quot;/&gt;&lt;wsp:rsid wsp:val=&quot;00104355&quot;/&gt;&lt;wsp:rsid wsp:val=&quot;00104388&quot;/&gt;&lt;wsp:rsid wsp:val=&quot;00104389&quot;/&gt;&lt;wsp:rsid wsp:val=&quot;0010480D&quot;/&gt;&lt;wsp:rsid wsp:val=&quot;00105028&quot;/&gt;&lt;wsp:rsid wsp:val=&quot;00105443&quot;/&gt;&lt;wsp:rsid wsp:val=&quot;001056B5&quot;/&gt;&lt;wsp:rsid wsp:val=&quot;001058C4&quot;/&gt;&lt;wsp:rsid wsp:val=&quot;001058F6&quot;/&gt;&lt;wsp:rsid wsp:val=&quot;00105E47&quot;/&gt;&lt;wsp:rsid wsp:val=&quot;00106090&quot;/&gt;&lt;wsp:rsid wsp:val=&quot;0010696F&quot;/&gt;&lt;wsp:rsid wsp:val=&quot;001069DA&quot;/&gt;&lt;wsp:rsid wsp:val=&quot;001070AB&quot;/&gt;&lt;wsp:rsid wsp:val=&quot;0010737C&quot;/&gt;&lt;wsp:rsid wsp:val=&quot;001074E2&quot;/&gt;&lt;wsp:rsid wsp:val=&quot;00107F58&quot;/&gt;&lt;wsp:rsid wsp:val=&quot;00107FC8&quot;/&gt;&lt;wsp:rsid wsp:val=&quot;00110512&quot;/&gt;&lt;wsp:rsid wsp:val=&quot;001106DF&quot;/&gt;&lt;wsp:rsid wsp:val=&quot;00110785&quot;/&gt;&lt;wsp:rsid wsp:val=&quot;001109E0&quot;/&gt;&lt;wsp:rsid wsp:val=&quot;00110B2B&quot;/&gt;&lt;wsp:rsid wsp:val=&quot;00110B86&quot;/&gt;&lt;wsp:rsid wsp:val=&quot;00110BB2&quot;/&gt;&lt;wsp:rsid wsp:val=&quot;00110DCB&quot;/&gt;&lt;wsp:rsid wsp:val=&quot;00110DE9&quot;/&gt;&lt;wsp:rsid wsp:val=&quot;00110F03&quot;/&gt;&lt;wsp:rsid wsp:val=&quot;0011113F&quot;/&gt;&lt;wsp:rsid wsp:val=&quot;00111461&quot;/&gt;&lt;wsp:rsid wsp:val=&quot;00111696&quot;/&gt;&lt;wsp:rsid wsp:val=&quot;00111720&quot;/&gt;&lt;wsp:rsid wsp:val=&quot;00111779&quot;/&gt;&lt;wsp:rsid wsp:val=&quot;00111830&quot;/&gt;&lt;wsp:rsid wsp:val=&quot;00111C6B&quot;/&gt;&lt;wsp:rsid wsp:val=&quot;00111E0A&quot;/&gt;&lt;wsp:rsid wsp:val=&quot;00111E27&quot;/&gt;&lt;wsp:rsid wsp:val=&quot;00112299&quot;/&gt;&lt;wsp:rsid wsp:val=&quot;00112A50&quot;/&gt;&lt;wsp:rsid wsp:val=&quot;00112CE3&quot;/&gt;&lt;wsp:rsid wsp:val=&quot;00113456&quot;/&gt;&lt;wsp:rsid wsp:val=&quot;00113AB5&quot;/&gt;&lt;wsp:rsid wsp:val=&quot;00113B30&quot;/&gt;&lt;wsp:rsid wsp:val=&quot;00114030&quot;/&gt;&lt;wsp:rsid wsp:val=&quot;001140A9&quot;/&gt;&lt;wsp:rsid wsp:val=&quot;00114238&quot;/&gt;&lt;wsp:rsid wsp:val=&quot;00114EBB&quot;/&gt;&lt;wsp:rsid wsp:val=&quot;001158F7&quot;/&gt;&lt;wsp:rsid wsp:val=&quot;00115C2D&quot;/&gt;&lt;wsp:rsid wsp:val=&quot;001160C4&quot;/&gt;&lt;wsp:rsid wsp:val=&quot;001161DC&quot;/&gt;&lt;wsp:rsid wsp:val=&quot;0011661A&quot;/&gt;&lt;wsp:rsid wsp:val=&quot;00116711&quot;/&gt;&lt;wsp:rsid wsp:val=&quot;001167CC&quot;/&gt;&lt;wsp:rsid wsp:val=&quot;00116897&quot;/&gt;&lt;wsp:rsid wsp:val=&quot;0011692A&quot;/&gt;&lt;wsp:rsid wsp:val=&quot;00116BCE&quot;/&gt;&lt;wsp:rsid wsp:val=&quot;00117300&quot;/&gt;&lt;wsp:rsid wsp:val=&quot;0011759D&quot;/&gt;&lt;wsp:rsid wsp:val=&quot;001178ED&quot;/&gt;&lt;wsp:rsid wsp:val=&quot;00117978&quot;/&gt;&lt;wsp:rsid wsp:val=&quot;00117E81&quot;/&gt;&lt;wsp:rsid wsp:val=&quot;00120448&quot;/&gt;&lt;wsp:rsid wsp:val=&quot;00120628&quot;/&gt;&lt;wsp:rsid wsp:val=&quot;00120A8E&quot;/&gt;&lt;wsp:rsid wsp:val=&quot;00121308&quot;/&gt;&lt;wsp:rsid wsp:val=&quot;001214EE&quot;/&gt;&lt;wsp:rsid wsp:val=&quot;00121906&quot;/&gt;&lt;wsp:rsid wsp:val=&quot;001219FB&quot;/&gt;&lt;wsp:rsid wsp:val=&quot;00121F2D&quot;/&gt;&lt;wsp:rsid wsp:val=&quot;001220BC&quot;/&gt;&lt;wsp:rsid wsp:val=&quot;0012231E&quot;/&gt;&lt;wsp:rsid wsp:val=&quot;0012239C&quot;/&gt;&lt;wsp:rsid wsp:val=&quot;001224A8&quot;/&gt;&lt;wsp:rsid wsp:val=&quot;00122B60&quot;/&gt;&lt;wsp:rsid wsp:val=&quot;00122D66&quot;/&gt;&lt;wsp:rsid wsp:val=&quot;0012337B&quot;/&gt;&lt;wsp:rsid wsp:val=&quot;00123986&quot;/&gt;&lt;wsp:rsid wsp:val=&quot;00123A88&quot;/&gt;&lt;wsp:rsid wsp:val=&quot;00123C7D&quot;/&gt;&lt;wsp:rsid wsp:val=&quot;00123FBF&quot;/&gt;&lt;wsp:rsid wsp:val=&quot;001240E2&quot;/&gt;&lt;wsp:rsid wsp:val=&quot;0012417C&quot;/&gt;&lt;wsp:rsid wsp:val=&quot;001243A3&quot;/&gt;&lt;wsp:rsid wsp:val=&quot;00124D77&quot;/&gt;&lt;wsp:rsid wsp:val=&quot;00124E18&quot;/&gt;&lt;wsp:rsid wsp:val=&quot;0012509A&quot;/&gt;&lt;wsp:rsid wsp:val=&quot;00125335&quot;/&gt;&lt;wsp:rsid wsp:val=&quot;00125613&quot;/&gt;&lt;wsp:rsid wsp:val=&quot;00125933&quot;/&gt;&lt;wsp:rsid wsp:val=&quot;0012594D&quot;/&gt;&lt;wsp:rsid wsp:val=&quot;00125997&quot;/&gt;&lt;wsp:rsid wsp:val=&quot;00126100&quot;/&gt;&lt;wsp:rsid wsp:val=&quot;00126541&quot;/&gt;&lt;wsp:rsid wsp:val=&quot;00126554&quot;/&gt;&lt;wsp:rsid wsp:val=&quot;001268F0&quot;/&gt;&lt;wsp:rsid wsp:val=&quot;001269DB&quot;/&gt;&lt;wsp:rsid wsp:val=&quot;00126D09&quot;/&gt;&lt;wsp:rsid wsp:val=&quot;00126E74&quot;/&gt;&lt;wsp:rsid wsp:val=&quot;001272E8&quot;/&gt;&lt;wsp:rsid wsp:val=&quot;00127E57&quot;/&gt;&lt;wsp:rsid wsp:val=&quot;00127E8B&quot;/&gt;&lt;wsp:rsid wsp:val=&quot;00127F02&quot;/&gt;&lt;wsp:rsid wsp:val=&quot;00130180&quot;/&gt;&lt;wsp:rsid wsp:val=&quot;001302F3&quot;/&gt;&lt;wsp:rsid wsp:val=&quot;00130316&quot;/&gt;&lt;wsp:rsid wsp:val=&quot;0013050B&quot;/&gt;&lt;wsp:rsid wsp:val=&quot;00130BB0&quot;/&gt;&lt;wsp:rsid wsp:val=&quot;00131514&quot;/&gt;&lt;wsp:rsid wsp:val=&quot;00131547&quot;/&gt;&lt;wsp:rsid wsp:val=&quot;00131CD2&quot;/&gt;&lt;wsp:rsid wsp:val=&quot;00131DF2&quot;/&gt;&lt;wsp:rsid wsp:val=&quot;001321CB&quot;/&gt;&lt;wsp:rsid wsp:val=&quot;00132377&quot;/&gt;&lt;wsp:rsid wsp:val=&quot;00132982&quot;/&gt;&lt;wsp:rsid wsp:val=&quot;00132A19&quot;/&gt;&lt;wsp:rsid wsp:val=&quot;00132F62&quot;/&gt;&lt;wsp:rsid wsp:val=&quot;00133A5C&quot;/&gt;&lt;wsp:rsid wsp:val=&quot;00133BD1&quot;/&gt;&lt;wsp:rsid wsp:val=&quot;00133D4B&quot;/&gt;&lt;wsp:rsid wsp:val=&quot;00133F21&quot;/&gt;&lt;wsp:rsid wsp:val=&quot;00134277&quot;/&gt;&lt;wsp:rsid wsp:val=&quot;001345FC&quot;/&gt;&lt;wsp:rsid wsp:val=&quot;00134F35&quot;/&gt;&lt;wsp:rsid wsp:val=&quot;00135996&quot;/&gt;&lt;wsp:rsid wsp:val=&quot;00135A27&quot;/&gt;&lt;wsp:rsid wsp:val=&quot;001360E7&quot;/&gt;&lt;wsp:rsid wsp:val=&quot;00136289&quot;/&gt;&lt;wsp:rsid wsp:val=&quot;00137580&quot;/&gt;&lt;wsp:rsid wsp:val=&quot;00137ACA&quot;/&gt;&lt;wsp:rsid wsp:val=&quot;00137B0B&quot;/&gt;&lt;wsp:rsid wsp:val=&quot;00137DC3&quot;/&gt;&lt;wsp:rsid wsp:val=&quot;0014008D&quot;/&gt;&lt;wsp:rsid wsp:val=&quot;001402E0&quot;/&gt;&lt;wsp:rsid wsp:val=&quot;0014040D&quot;/&gt;&lt;wsp:rsid wsp:val=&quot;00140E0E&quot;/&gt;&lt;wsp:rsid wsp:val=&quot;00141044&quot;/&gt;&lt;wsp:rsid wsp:val=&quot;00141079&quot;/&gt;&lt;wsp:rsid wsp:val=&quot;0014165B&quot;/&gt;&lt;wsp:rsid wsp:val=&quot;00141B33&quot;/&gt;&lt;wsp:rsid wsp:val=&quot;00141FFC&quot;/&gt;&lt;wsp:rsid wsp:val=&quot;0014209D&quot;/&gt;&lt;wsp:rsid wsp:val=&quot;00142398&quot;/&gt;&lt;wsp:rsid wsp:val=&quot;001429F9&quot;/&gt;&lt;wsp:rsid wsp:val=&quot;00142A47&quot;/&gt;&lt;wsp:rsid wsp:val=&quot;001431B5&quot;/&gt;&lt;wsp:rsid wsp:val=&quot;001434DB&quot;/&gt;&lt;wsp:rsid wsp:val=&quot;00143751&quot;/&gt;&lt;wsp:rsid wsp:val=&quot;00143755&quot;/&gt;&lt;wsp:rsid wsp:val=&quot;00143870&quot;/&gt;&lt;wsp:rsid wsp:val=&quot;00143A78&quot;/&gt;&lt;wsp:rsid wsp:val=&quot;00143CE6&quot;/&gt;&lt;wsp:rsid wsp:val=&quot;00143E5C&quot;/&gt;&lt;wsp:rsid wsp:val=&quot;0014430E&quot;/&gt;&lt;wsp:rsid wsp:val=&quot;001443A1&quot;/&gt;&lt;wsp:rsid wsp:val=&quot;00144794&quot;/&gt;&lt;wsp:rsid wsp:val=&quot;001447B9&quot;/&gt;&lt;wsp:rsid wsp:val=&quot;001447F6&quot;/&gt;&lt;wsp:rsid wsp:val=&quot;001448B0&quot;/&gt;&lt;wsp:rsid wsp:val=&quot;00145097&quot;/&gt;&lt;wsp:rsid wsp:val=&quot;00145FB5&quot;/&gt;&lt;wsp:rsid wsp:val=&quot;0014649E&quot;/&gt;&lt;wsp:rsid wsp:val=&quot;001465B8&quot;/&gt;&lt;wsp:rsid wsp:val=&quot;001475AB&quot;/&gt;&lt;wsp:rsid wsp:val=&quot;00147718&quot;/&gt;&lt;wsp:rsid wsp:val=&quot;00150054&quot;/&gt;&lt;wsp:rsid wsp:val=&quot;0015054B&quot;/&gt;&lt;wsp:rsid wsp:val=&quot;00150698&quot;/&gt;&lt;wsp:rsid wsp:val=&quot;0015072F&quot;/&gt;&lt;wsp:rsid wsp:val=&quot;00150766&quot;/&gt;&lt;wsp:rsid wsp:val=&quot;00150843&quot;/&gt;&lt;wsp:rsid wsp:val=&quot;00151950&quot;/&gt;&lt;wsp:rsid wsp:val=&quot;00151C5E&quot;/&gt;&lt;wsp:rsid wsp:val=&quot;00151E62&quot;/&gt;&lt;wsp:rsid wsp:val=&quot;00152241&quot;/&gt;&lt;wsp:rsid wsp:val=&quot;00152BAE&quot;/&gt;&lt;wsp:rsid wsp:val=&quot;00152DFF&quot;/&gt;&lt;wsp:rsid wsp:val=&quot;00153787&quot;/&gt;&lt;wsp:rsid wsp:val=&quot;00153AF5&quot;/&gt;&lt;wsp:rsid wsp:val=&quot;00153F24&quot;/&gt;&lt;wsp:rsid wsp:val=&quot;00154483&quot;/&gt;&lt;wsp:rsid wsp:val=&quot;001544FA&quot;/&gt;&lt;wsp:rsid wsp:val=&quot;001547E3&quot;/&gt;&lt;wsp:rsid wsp:val=&quot;00154953&quot;/&gt;&lt;wsp:rsid wsp:val=&quot;00154AB7&quot;/&gt;&lt;wsp:rsid wsp:val=&quot;00154B16&quot;/&gt;&lt;wsp:rsid wsp:val=&quot;00154DFE&quot;/&gt;&lt;wsp:rsid wsp:val=&quot;001552D3&quot;/&gt;&lt;wsp:rsid wsp:val=&quot;001559E8&quot;/&gt;&lt;wsp:rsid wsp:val=&quot;0015601A&quot;/&gt;&lt;wsp:rsid wsp:val=&quot;00156184&quot;/&gt;&lt;wsp:rsid wsp:val=&quot;00156A17&quot;/&gt;&lt;wsp:rsid wsp:val=&quot;00156B81&quot;/&gt;&lt;wsp:rsid wsp:val=&quot;0015704E&quot;/&gt;&lt;wsp:rsid wsp:val=&quot;001574E1&quot;/&gt;&lt;wsp:rsid wsp:val=&quot;001575AF&quot;/&gt;&lt;wsp:rsid wsp:val=&quot;0015782F&quot;/&gt;&lt;wsp:rsid wsp:val=&quot;00157AFE&quot;/&gt;&lt;wsp:rsid wsp:val=&quot;001602F2&quot;/&gt;&lt;wsp:rsid wsp:val=&quot;00160664&quot;/&gt;&lt;wsp:rsid wsp:val=&quot;00160D95&quot;/&gt;&lt;wsp:rsid wsp:val=&quot;001612F0&quot;/&gt;&lt;wsp:rsid wsp:val=&quot;001615A4&quot;/&gt;&lt;wsp:rsid wsp:val=&quot;00161AAC&quot;/&gt;&lt;wsp:rsid wsp:val=&quot;00161B7C&quot;/&gt;&lt;wsp:rsid wsp:val=&quot;00162A3E&quot;/&gt;&lt;wsp:rsid wsp:val=&quot;00163260&quot;/&gt;&lt;wsp:rsid wsp:val=&quot;00163987&quot;/&gt;&lt;wsp:rsid wsp:val=&quot;001646F6&quot;/&gt;&lt;wsp:rsid wsp:val=&quot;00164AF2&quot;/&gt;&lt;wsp:rsid wsp:val=&quot;00164D06&quot;/&gt;&lt;wsp:rsid wsp:val=&quot;00165029&quot;/&gt;&lt;wsp:rsid wsp:val=&quot;00165647&quot;/&gt;&lt;wsp:rsid wsp:val=&quot;00165695&quot;/&gt;&lt;wsp:rsid wsp:val=&quot;0016573E&quot;/&gt;&lt;wsp:rsid wsp:val=&quot;00165A0C&quot;/&gt;&lt;wsp:rsid wsp:val=&quot;0016629B&quot;/&gt;&lt;wsp:rsid wsp:val=&quot;00166ABC&quot;/&gt;&lt;wsp:rsid wsp:val=&quot;00166B55&quot;/&gt;&lt;wsp:rsid wsp:val=&quot;00166CC5&quot;/&gt;&lt;wsp:rsid wsp:val=&quot;00167068&quot;/&gt;&lt;wsp:rsid wsp:val=&quot;00167263&quot;/&gt;&lt;wsp:rsid wsp:val=&quot;00167A8C&quot;/&gt;&lt;wsp:rsid wsp:val=&quot;00167E07&quot;/&gt;&lt;wsp:rsid wsp:val=&quot;00170052&quot;/&gt;&lt;wsp:rsid wsp:val=&quot;00170433&quot;/&gt;&lt;wsp:rsid wsp:val=&quot;0017069E&quot;/&gt;&lt;wsp:rsid wsp:val=&quot;0017094F&quot;/&gt;&lt;wsp:rsid wsp:val=&quot;00171047&quot;/&gt;&lt;wsp:rsid wsp:val=&quot;0017107D&quot;/&gt;&lt;wsp:rsid wsp:val=&quot;001715DE&quot;/&gt;&lt;wsp:rsid wsp:val=&quot;0017241A&quot;/&gt;&lt;wsp:rsid wsp:val=&quot;00172565&quot;/&gt;&lt;wsp:rsid wsp:val=&quot;00172572&quot;/&gt;&lt;wsp:rsid wsp:val=&quot;00172A89&quot;/&gt;&lt;wsp:rsid wsp:val=&quot;0017306B&quot;/&gt;&lt;wsp:rsid wsp:val=&quot;00173E1E&quot;/&gt;&lt;wsp:rsid wsp:val=&quot;00174067&quot;/&gt;&lt;wsp:rsid wsp:val=&quot;00174504&quot;/&gt;&lt;wsp:rsid wsp:val=&quot;001748F4&quot;/&gt;&lt;wsp:rsid wsp:val=&quot;00174C11&quot;/&gt;&lt;wsp:rsid wsp:val=&quot;00174EE1&quot;/&gt;&lt;wsp:rsid wsp:val=&quot;00175060&quot;/&gt;&lt;wsp:rsid wsp:val=&quot;0017535C&quot;/&gt;&lt;wsp:rsid wsp:val=&quot;00175632&quot;/&gt;&lt;wsp:rsid wsp:val=&quot;00175720&quot;/&gt;&lt;wsp:rsid wsp:val=&quot;00175909&quot;/&gt;&lt;wsp:rsid wsp:val=&quot;00175AD0&quot;/&gt;&lt;wsp:rsid wsp:val=&quot;00175EB3&quot;/&gt;&lt;wsp:rsid wsp:val=&quot;00175FE6&quot;/&gt;&lt;wsp:rsid wsp:val=&quot;00176341&quot;/&gt;&lt;wsp:rsid wsp:val=&quot;001766D4&quot;/&gt;&lt;wsp:rsid wsp:val=&quot;0017674E&quot;/&gt;&lt;wsp:rsid wsp:val=&quot;00176D85&quot;/&gt;&lt;wsp:rsid wsp:val=&quot;001777A1&quot;/&gt;&lt;wsp:rsid wsp:val=&quot;00177A3D&quot;/&gt;&lt;wsp:rsid wsp:val=&quot;00177CA7&quot;/&gt;&lt;wsp:rsid wsp:val=&quot;00177D28&quot;/&gt;&lt;wsp:rsid wsp:val=&quot;0018039F&quot;/&gt;&lt;wsp:rsid wsp:val=&quot;00180956&quot;/&gt;&lt;wsp:rsid wsp:val=&quot;00180C7C&quot;/&gt;&lt;wsp:rsid wsp:val=&quot;00180E74&quot;/&gt;&lt;wsp:rsid wsp:val=&quot;00180EF6&quot;/&gt;&lt;wsp:rsid wsp:val=&quot;001811A7&quot;/&gt;&lt;wsp:rsid wsp:val=&quot;001812A5&quot;/&gt;&lt;wsp:rsid wsp:val=&quot;001812CE&quot;/&gt;&lt;wsp:rsid wsp:val=&quot;0018148D&quot;/&gt;&lt;wsp:rsid wsp:val=&quot;00181693&quot;/&gt;&lt;wsp:rsid wsp:val=&quot;001819BE&quot;/&gt;&lt;wsp:rsid wsp:val=&quot;00181C6C&quot;/&gt;&lt;wsp:rsid wsp:val=&quot;00181F6A&quot;/&gt;&lt;wsp:rsid wsp:val=&quot;001825DA&quot;/&gt;&lt;wsp:rsid wsp:val=&quot;0018277D&quot;/&gt;&lt;wsp:rsid wsp:val=&quot;00182A5B&quot;/&gt;&lt;wsp:rsid wsp:val=&quot;00182D17&quot;/&gt;&lt;wsp:rsid wsp:val=&quot;001830C1&quot;/&gt;&lt;wsp:rsid wsp:val=&quot;00183239&quot;/&gt;&lt;wsp:rsid wsp:val=&quot;00183421&quot;/&gt;&lt;wsp:rsid wsp:val=&quot;001835BF&quot;/&gt;&lt;wsp:rsid wsp:val=&quot;001835F4&quot;/&gt;&lt;wsp:rsid wsp:val=&quot;00183AD4&quot;/&gt;&lt;wsp:rsid wsp:val=&quot;00183B6D&quot;/&gt;&lt;wsp:rsid wsp:val=&quot;001840C7&quot;/&gt;&lt;wsp:rsid wsp:val=&quot;0018414F&quot;/&gt;&lt;wsp:rsid wsp:val=&quot;001844A9&quot;/&gt;&lt;wsp:rsid wsp:val=&quot;00184754&quot;/&gt;&lt;wsp:rsid wsp:val=&quot;00184793&quot;/&gt;&lt;wsp:rsid wsp:val=&quot;00184BE5&quot;/&gt;&lt;wsp:rsid wsp:val=&quot;001854D8&quot;/&gt;&lt;wsp:rsid wsp:val=&quot;00185EB9&quot;/&gt;&lt;wsp:rsid wsp:val=&quot;00185FE2&quot;/&gt;&lt;wsp:rsid wsp:val=&quot;00186155&quot;/&gt;&lt;wsp:rsid wsp:val=&quot;001863D3&quot;/&gt;&lt;wsp:rsid wsp:val=&quot;0018645F&quot;/&gt;&lt;wsp:rsid wsp:val=&quot;00186824&quot;/&gt;&lt;wsp:rsid wsp:val=&quot;00186D14&quot;/&gt;&lt;wsp:rsid wsp:val=&quot;0018729A&quot;/&gt;&lt;wsp:rsid wsp:val=&quot;00187305&quot;/&gt;&lt;wsp:rsid wsp:val=&quot;00187491&quot;/&gt;&lt;wsp:rsid wsp:val=&quot;001875D1&quot;/&gt;&lt;wsp:rsid wsp:val=&quot;0018761E&quot;/&gt;&lt;wsp:rsid wsp:val=&quot;00190D0C&quot;/&gt;&lt;wsp:rsid wsp:val=&quot;00191003&quot;/&gt;&lt;wsp:rsid wsp:val=&quot;001911CD&quot;/&gt;&lt;wsp:rsid wsp:val=&quot;00191924&quot;/&gt;&lt;wsp:rsid wsp:val=&quot;0019214A&quot;/&gt;&lt;wsp:rsid wsp:val=&quot;0019244B&quot;/&gt;&lt;wsp:rsid wsp:val=&quot;00192670&quot;/&gt;&lt;wsp:rsid wsp:val=&quot;00192A46&quot;/&gt;&lt;wsp:rsid wsp:val=&quot;00192C20&quot;/&gt;&lt;wsp:rsid wsp:val=&quot;00193095&quot;/&gt;&lt;wsp:rsid wsp:val=&quot;0019318F&quot;/&gt;&lt;wsp:rsid wsp:val=&quot;001931B2&quot;/&gt;&lt;wsp:rsid wsp:val=&quot;00193270&quot;/&gt;&lt;wsp:rsid wsp:val=&quot;0019345A&quot;/&gt;&lt;wsp:rsid wsp:val=&quot;00193598&quot;/&gt;&lt;wsp:rsid wsp:val=&quot;0019366F&quot;/&gt;&lt;wsp:rsid wsp:val=&quot;001940A4&quot;/&gt;&lt;wsp:rsid wsp:val=&quot;00194725&quot;/&gt;&lt;wsp:rsid wsp:val=&quot;00194B0B&quot;/&gt;&lt;wsp:rsid wsp:val=&quot;0019556E&quot;/&gt;&lt;wsp:rsid wsp:val=&quot;00195CC7&quot;/&gt;&lt;wsp:rsid wsp:val=&quot;00195DCE&quot;/&gt;&lt;wsp:rsid wsp:val=&quot;001960B7&quot;/&gt;&lt;wsp:rsid wsp:val=&quot;0019619C&quot;/&gt;&lt;wsp:rsid wsp:val=&quot;0019633B&quot;/&gt;&lt;wsp:rsid wsp:val=&quot;0019672C&quot;/&gt;&lt;wsp:rsid wsp:val=&quot;00196756&quot;/&gt;&lt;wsp:rsid wsp:val=&quot;00196D13&quot;/&gt;&lt;wsp:rsid wsp:val=&quot;0019740D&quot;/&gt;&lt;wsp:rsid wsp:val=&quot;0019761A&quot;/&gt;&lt;wsp:rsid wsp:val=&quot;00197676&quot;/&gt;&lt;wsp:rsid wsp:val=&quot;00197F27&quot;/&gt;&lt;wsp:rsid wsp:val=&quot;001A017E&quot;/&gt;&lt;wsp:rsid wsp:val=&quot;001A0298&quot;/&gt;&lt;wsp:rsid wsp:val=&quot;001A0339&quot;/&gt;&lt;wsp:rsid wsp:val=&quot;001A033B&quot;/&gt;&lt;wsp:rsid wsp:val=&quot;001A09EC&quot;/&gt;&lt;wsp:rsid wsp:val=&quot;001A0DD7&quot;/&gt;&lt;wsp:rsid wsp:val=&quot;001A0E92&quot;/&gt;&lt;wsp:rsid wsp:val=&quot;001A0EA8&quot;/&gt;&lt;wsp:rsid wsp:val=&quot;001A1277&quot;/&gt;&lt;wsp:rsid wsp:val=&quot;001A1619&quot;/&gt;&lt;wsp:rsid wsp:val=&quot;001A165B&quot;/&gt;&lt;wsp:rsid wsp:val=&quot;001A1B95&quot;/&gt;&lt;wsp:rsid wsp:val=&quot;001A2121&quot;/&gt;&lt;wsp:rsid wsp:val=&quot;001A2405&quot;/&gt;&lt;wsp:rsid wsp:val=&quot;001A260A&quot;/&gt;&lt;wsp:rsid wsp:val=&quot;001A2675&quot;/&gt;&lt;wsp:rsid wsp:val=&quot;001A26AA&quot;/&gt;&lt;wsp:rsid wsp:val=&quot;001A2BDB&quot;/&gt;&lt;wsp:rsid wsp:val=&quot;001A362B&quot;/&gt;&lt;wsp:rsid wsp:val=&quot;001A382C&quot;/&gt;&lt;wsp:rsid wsp:val=&quot;001A3FD6&quot;/&gt;&lt;wsp:rsid wsp:val=&quot;001A4B97&quot;/&gt;&lt;wsp:rsid wsp:val=&quot;001A4DDE&quot;/&gt;&lt;wsp:rsid wsp:val=&quot;001A5199&quot;/&gt;&lt;wsp:rsid wsp:val=&quot;001A5252&quot;/&gt;&lt;wsp:rsid wsp:val=&quot;001A53E0&quot;/&gt;&lt;wsp:rsid wsp:val=&quot;001A53FD&quot;/&gt;&lt;wsp:rsid wsp:val=&quot;001A54FB&quot;/&gt;&lt;wsp:rsid wsp:val=&quot;001A5BC2&quot;/&gt;&lt;wsp:rsid wsp:val=&quot;001A5C95&quot;/&gt;&lt;wsp:rsid wsp:val=&quot;001A5FD8&quot;/&gt;&lt;wsp:rsid wsp:val=&quot;001A6D65&quot;/&gt;&lt;wsp:rsid wsp:val=&quot;001A6E6B&quot;/&gt;&lt;wsp:rsid wsp:val=&quot;001A72A1&quot;/&gt;&lt;wsp:rsid wsp:val=&quot;001A7428&quot;/&gt;&lt;wsp:rsid wsp:val=&quot;001A7A53&quot;/&gt;&lt;wsp:rsid wsp:val=&quot;001B05B6&quot;/&gt;&lt;wsp:rsid wsp:val=&quot;001B0839&quot;/&gt;&lt;wsp:rsid wsp:val=&quot;001B0881&quot;/&gt;&lt;wsp:rsid wsp:val=&quot;001B0BDB&quot;/&gt;&lt;wsp:rsid wsp:val=&quot;001B0DF0&quot;/&gt;&lt;wsp:rsid wsp:val=&quot;001B1987&quot;/&gt;&lt;wsp:rsid wsp:val=&quot;001B19A7&quot;/&gt;&lt;wsp:rsid wsp:val=&quot;001B1B75&quot;/&gt;&lt;wsp:rsid wsp:val=&quot;001B1C5E&quot;/&gt;&lt;wsp:rsid wsp:val=&quot;001B2085&quot;/&gt;&lt;wsp:rsid wsp:val=&quot;001B2088&quot;/&gt;&lt;wsp:rsid wsp:val=&quot;001B2DF5&quot;/&gt;&lt;wsp:rsid wsp:val=&quot;001B2FC1&quot;/&gt;&lt;wsp:rsid wsp:val=&quot;001B3551&quot;/&gt;&lt;wsp:rsid wsp:val=&quot;001B3AD2&quot;/&gt;&lt;wsp:rsid wsp:val=&quot;001B3D05&quot;/&gt;&lt;wsp:rsid wsp:val=&quot;001B3E23&quot;/&gt;&lt;wsp:rsid wsp:val=&quot;001B4026&quot;/&gt;&lt;wsp:rsid wsp:val=&quot;001B4152&quot;/&gt;&lt;wsp:rsid wsp:val=&quot;001B41C4&quot;/&gt;&lt;wsp:rsid wsp:val=&quot;001B4330&quot;/&gt;&lt;wsp:rsid wsp:val=&quot;001B46A2&quot;/&gt;&lt;wsp:rsid wsp:val=&quot;001B46EC&quot;/&gt;&lt;wsp:rsid wsp:val=&quot;001B4C55&quot;/&gt;&lt;wsp:rsid wsp:val=&quot;001B4FD9&quot;/&gt;&lt;wsp:rsid wsp:val=&quot;001B5599&quot;/&gt;&lt;wsp:rsid wsp:val=&quot;001B597C&quot;/&gt;&lt;wsp:rsid wsp:val=&quot;001B5BD6&quot;/&gt;&lt;wsp:rsid wsp:val=&quot;001B5D0F&quot;/&gt;&lt;wsp:rsid wsp:val=&quot;001B5E6C&quot;/&gt;&lt;wsp:rsid wsp:val=&quot;001B6390&quot;/&gt;&lt;wsp:rsid wsp:val=&quot;001B6CEC&quot;/&gt;&lt;wsp:rsid wsp:val=&quot;001B6E59&quot;/&gt;&lt;wsp:rsid wsp:val=&quot;001B718C&quot;/&gt;&lt;wsp:rsid wsp:val=&quot;001B7518&quot;/&gt;&lt;wsp:rsid wsp:val=&quot;001B7AF2&quot;/&gt;&lt;wsp:rsid wsp:val=&quot;001B7ED7&quot;/&gt;&lt;wsp:rsid wsp:val=&quot;001C0350&quot;/&gt;&lt;wsp:rsid wsp:val=&quot;001C0C1A&quot;/&gt;&lt;wsp:rsid wsp:val=&quot;001C11DD&quot;/&gt;&lt;wsp:rsid wsp:val=&quot;001C11F6&quot;/&gt;&lt;wsp:rsid wsp:val=&quot;001C1367&quot;/&gt;&lt;wsp:rsid wsp:val=&quot;001C1384&quot;/&gt;&lt;wsp:rsid wsp:val=&quot;001C13AF&quot;/&gt;&lt;wsp:rsid wsp:val=&quot;001C1477&quot;/&gt;&lt;wsp:rsid wsp:val=&quot;001C1650&quot;/&gt;&lt;wsp:rsid wsp:val=&quot;001C177E&quot;/&gt;&lt;wsp:rsid wsp:val=&quot;001C1CFC&quot;/&gt;&lt;wsp:rsid wsp:val=&quot;001C1D74&quot;/&gt;&lt;wsp:rsid wsp:val=&quot;001C1FA2&quot;/&gt;&lt;wsp:rsid wsp:val=&quot;001C2238&quot;/&gt;&lt;wsp:rsid wsp:val=&quot;001C2857&quot;/&gt;&lt;wsp:rsid wsp:val=&quot;001C2FAB&quot;/&gt;&lt;wsp:rsid wsp:val=&quot;001C32DD&quot;/&gt;&lt;wsp:rsid wsp:val=&quot;001C36D5&quot;/&gt;&lt;wsp:rsid wsp:val=&quot;001C3C03&quot;/&gt;&lt;wsp:rsid wsp:val=&quot;001C3EF3&quot;/&gt;&lt;wsp:rsid wsp:val=&quot;001C4329&quot;/&gt;&lt;wsp:rsid wsp:val=&quot;001C4719&quot;/&gt;&lt;wsp:rsid wsp:val=&quot;001C4C26&quot;/&gt;&lt;wsp:rsid wsp:val=&quot;001C5962&quot;/&gt;&lt;wsp:rsid wsp:val=&quot;001C5E2B&quot;/&gt;&lt;wsp:rsid wsp:val=&quot;001C6779&quot;/&gt;&lt;wsp:rsid wsp:val=&quot;001C6C18&quot;/&gt;&lt;wsp:rsid wsp:val=&quot;001C7136&quot;/&gt;&lt;wsp:rsid wsp:val=&quot;001C76C4&quot;/&gt;&lt;wsp:rsid wsp:val=&quot;001C76D0&quot;/&gt;&lt;wsp:rsid wsp:val=&quot;001C770E&quot;/&gt;&lt;wsp:rsid wsp:val=&quot;001C7B33&quot;/&gt;&lt;wsp:rsid wsp:val=&quot;001C7CA5&quot;/&gt;&lt;wsp:rsid wsp:val=&quot;001D02AD&quot;/&gt;&lt;wsp:rsid wsp:val=&quot;001D0A08&quot;/&gt;&lt;wsp:rsid wsp:val=&quot;001D0B24&quot;/&gt;&lt;wsp:rsid wsp:val=&quot;001D0BDA&quot;/&gt;&lt;wsp:rsid wsp:val=&quot;001D0C91&quot;/&gt;&lt;wsp:rsid wsp:val=&quot;001D0DF2&quot;/&gt;&lt;wsp:rsid wsp:val=&quot;001D0E81&quot;/&gt;&lt;wsp:rsid wsp:val=&quot;001D1472&quot;/&gt;&lt;wsp:rsid wsp:val=&quot;001D18E6&quot;/&gt;&lt;wsp:rsid wsp:val=&quot;001D1A78&quot;/&gt;&lt;wsp:rsid wsp:val=&quot;001D26E0&quot;/&gt;&lt;wsp:rsid wsp:val=&quot;001D2B45&quot;/&gt;&lt;wsp:rsid wsp:val=&quot;001D2B6E&quot;/&gt;&lt;wsp:rsid wsp:val=&quot;001D2BD5&quot;/&gt;&lt;wsp:rsid wsp:val=&quot;001D2DF0&quot;/&gt;&lt;wsp:rsid wsp:val=&quot;001D2FAB&quot;/&gt;&lt;wsp:rsid wsp:val=&quot;001D33B5&quot;/&gt;&lt;wsp:rsid wsp:val=&quot;001D35F9&quot;/&gt;&lt;wsp:rsid wsp:val=&quot;001D3612&quot;/&gt;&lt;wsp:rsid wsp:val=&quot;001D3B5D&quot;/&gt;&lt;wsp:rsid wsp:val=&quot;001D3BAB&quot;/&gt;&lt;wsp:rsid wsp:val=&quot;001D3FDA&quot;/&gt;&lt;wsp:rsid wsp:val=&quot;001D44A8&quot;/&gt;&lt;wsp:rsid wsp:val=&quot;001D4695&quot;/&gt;&lt;wsp:rsid wsp:val=&quot;001D4935&quot;/&gt;&lt;wsp:rsid wsp:val=&quot;001D4AD4&quot;/&gt;&lt;wsp:rsid wsp:val=&quot;001D4F2B&quot;/&gt;&lt;wsp:rsid wsp:val=&quot;001D54D5&quot;/&gt;&lt;wsp:rsid wsp:val=&quot;001D5801&quot;/&gt;&lt;wsp:rsid wsp:val=&quot;001D5BCE&quot;/&gt;&lt;wsp:rsid wsp:val=&quot;001D6148&quot;/&gt;&lt;wsp:rsid wsp:val=&quot;001D6654&quot;/&gt;&lt;wsp:rsid wsp:val=&quot;001D6A1E&quot;/&gt;&lt;wsp:rsid wsp:val=&quot;001D6F0E&quot;/&gt;&lt;wsp:rsid wsp:val=&quot;001D7073&quot;/&gt;&lt;wsp:rsid wsp:val=&quot;001D76D8&quot;/&gt;&lt;wsp:rsid wsp:val=&quot;001D785B&quot;/&gt;&lt;wsp:rsid wsp:val=&quot;001D7C93&quot;/&gt;&lt;wsp:rsid wsp:val=&quot;001D7E44&quot;/&gt;&lt;wsp:rsid wsp:val=&quot;001E031B&quot;/&gt;&lt;wsp:rsid wsp:val=&quot;001E03DE&quot;/&gt;&lt;wsp:rsid wsp:val=&quot;001E068A&quot;/&gt;&lt;wsp:rsid wsp:val=&quot;001E0729&quot;/&gt;&lt;wsp:rsid wsp:val=&quot;001E1760&quot;/&gt;&lt;wsp:rsid wsp:val=&quot;001E1AAD&quot;/&gt;&lt;wsp:rsid wsp:val=&quot;001E1F48&quot;/&gt;&lt;wsp:rsid wsp:val=&quot;001E2224&quot;/&gt;&lt;wsp:rsid wsp:val=&quot;001E24F7&quot;/&gt;&lt;wsp:rsid wsp:val=&quot;001E2DA5&quot;/&gt;&lt;wsp:rsid wsp:val=&quot;001E32A5&quot;/&gt;&lt;wsp:rsid wsp:val=&quot;001E347B&quot;/&gt;&lt;wsp:rsid wsp:val=&quot;001E3F3B&quot;/&gt;&lt;wsp:rsid wsp:val=&quot;001E401E&quot;/&gt;&lt;wsp:rsid wsp:val=&quot;001E4261&quot;/&gt;&lt;wsp:rsid wsp:val=&quot;001E45E4&quot;/&gt;&lt;wsp:rsid wsp:val=&quot;001E4BC6&quot;/&gt;&lt;wsp:rsid wsp:val=&quot;001E4C48&quot;/&gt;&lt;wsp:rsid wsp:val=&quot;001E4F36&quot;/&gt;&lt;wsp:rsid wsp:val=&quot;001E570A&quot;/&gt;&lt;wsp:rsid wsp:val=&quot;001E596A&quot;/&gt;&lt;wsp:rsid wsp:val=&quot;001E59D7&quot;/&gt;&lt;wsp:rsid wsp:val=&quot;001E5A0D&quot;/&gt;&lt;wsp:rsid wsp:val=&quot;001E5AD4&quot;/&gt;&lt;wsp:rsid wsp:val=&quot;001E5AD5&quot;/&gt;&lt;wsp:rsid wsp:val=&quot;001E5C5B&quot;/&gt;&lt;wsp:rsid wsp:val=&quot;001E6428&quot;/&gt;&lt;wsp:rsid wsp:val=&quot;001E6758&quot;/&gt;&lt;wsp:rsid wsp:val=&quot;001E6EB4&quot;/&gt;&lt;wsp:rsid wsp:val=&quot;001E70C7&quot;/&gt;&lt;wsp:rsid wsp:val=&quot;001E7226&quot;/&gt;&lt;wsp:rsid wsp:val=&quot;001E7275&quot;/&gt;&lt;wsp:rsid wsp:val=&quot;001E75C4&quot;/&gt;&lt;wsp:rsid wsp:val=&quot;001E7D99&quot;/&gt;&lt;wsp:rsid wsp:val=&quot;001F073A&quot;/&gt;&lt;wsp:rsid wsp:val=&quot;001F0892&quot;/&gt;&lt;wsp:rsid wsp:val=&quot;001F0B0B&quot;/&gt;&lt;wsp:rsid wsp:val=&quot;001F11A4&quot;/&gt;&lt;wsp:rsid wsp:val=&quot;001F1745&quot;/&gt;&lt;wsp:rsid wsp:val=&quot;001F179C&quot;/&gt;&lt;wsp:rsid wsp:val=&quot;001F1EE0&quot;/&gt;&lt;wsp:rsid wsp:val=&quot;001F230B&quot;/&gt;&lt;wsp:rsid wsp:val=&quot;001F2315&quot;/&gt;&lt;wsp:rsid wsp:val=&quot;001F2418&quot;/&gt;&lt;wsp:rsid wsp:val=&quot;001F2C4F&quot;/&gt;&lt;wsp:rsid wsp:val=&quot;001F322F&quot;/&gt;&lt;wsp:rsid wsp:val=&quot;001F3560&quot;/&gt;&lt;wsp:rsid wsp:val=&quot;001F3906&quot;/&gt;&lt;wsp:rsid wsp:val=&quot;001F3918&quot;/&gt;&lt;wsp:rsid wsp:val=&quot;001F395A&quot;/&gt;&lt;wsp:rsid wsp:val=&quot;001F3A68&quot;/&gt;&lt;wsp:rsid wsp:val=&quot;001F401D&quot;/&gt;&lt;wsp:rsid wsp:val=&quot;001F4063&quot;/&gt;&lt;wsp:rsid wsp:val=&quot;001F4312&quot;/&gt;&lt;wsp:rsid wsp:val=&quot;001F49E3&quot;/&gt;&lt;wsp:rsid wsp:val=&quot;001F4B8C&quot;/&gt;&lt;wsp:rsid wsp:val=&quot;001F4BA2&quot;/&gt;&lt;wsp:rsid wsp:val=&quot;001F4F88&quot;/&gt;&lt;wsp:rsid wsp:val=&quot;001F54E1&quot;/&gt;&lt;wsp:rsid wsp:val=&quot;001F5C7C&quot;/&gt;&lt;wsp:rsid wsp:val=&quot;001F5E99&quot;/&gt;&lt;wsp:rsid wsp:val=&quot;001F677D&quot;/&gt;&lt;wsp:rsid wsp:val=&quot;001F6904&quot;/&gt;&lt;wsp:rsid wsp:val=&quot;001F6C6D&quot;/&gt;&lt;wsp:rsid wsp:val=&quot;001F7140&quot;/&gt;&lt;wsp:rsid wsp:val=&quot;001F776C&quot;/&gt;&lt;wsp:rsid wsp:val=&quot;001F7812&quot;/&gt;&lt;wsp:rsid wsp:val=&quot;001F7ECC&quot;/&gt;&lt;wsp:rsid wsp:val=&quot;0020031A&quot;/&gt;&lt;wsp:rsid wsp:val=&quot;002005E5&quot;/&gt;&lt;wsp:rsid wsp:val=&quot;002009F9&quot;/&gt;&lt;wsp:rsid wsp:val=&quot;00200AEC&quot;/&gt;&lt;wsp:rsid wsp:val=&quot;002013AA&quot;/&gt;&lt;wsp:rsid wsp:val=&quot;002017AD&quot;/&gt;&lt;wsp:rsid wsp:val=&quot;00202623&quot;/&gt;&lt;wsp:rsid wsp:val=&quot;00202982&quot;/&gt;&lt;wsp:rsid wsp:val=&quot;002029A9&quot;/&gt;&lt;wsp:rsid wsp:val=&quot;00202A7D&quot;/&gt;&lt;wsp:rsid wsp:val=&quot;00202CC2&quot;/&gt;&lt;wsp:rsid wsp:val=&quot;00203122&quot;/&gt;&lt;wsp:rsid wsp:val=&quot;00203261&quot;/&gt;&lt;wsp:rsid wsp:val=&quot;0020357F&quot;/&gt;&lt;wsp:rsid wsp:val=&quot;00203601&quot;/&gt;&lt;wsp:rsid wsp:val=&quot;00203921&quot;/&gt;&lt;wsp:rsid wsp:val=&quot;00203F47&quot;/&gt;&lt;wsp:rsid wsp:val=&quot;0020424C&quot;/&gt;&lt;wsp:rsid wsp:val=&quot;002043D5&quot;/&gt;&lt;wsp:rsid wsp:val=&quot;0020451E&quot;/&gt;&lt;wsp:rsid wsp:val=&quot;00204B8D&quot;/&gt;&lt;wsp:rsid wsp:val=&quot;00204D00&quot;/&gt;&lt;wsp:rsid wsp:val=&quot;00204DCF&quot;/&gt;&lt;wsp:rsid wsp:val=&quot;002058AC&quot;/&gt;&lt;wsp:rsid wsp:val=&quot;00205A36&quot;/&gt;&lt;wsp:rsid wsp:val=&quot;00205A41&quot;/&gt;&lt;wsp:rsid wsp:val=&quot;00205BE1&quot;/&gt;&lt;wsp:rsid wsp:val=&quot;0020661B&quot;/&gt;&lt;wsp:rsid wsp:val=&quot;00206ACA&quot;/&gt;&lt;wsp:rsid wsp:val=&quot;00206BB6&quot;/&gt;&lt;wsp:rsid wsp:val=&quot;00206DA6&quot;/&gt;&lt;wsp:rsid wsp:val=&quot;002078C7&quot;/&gt;&lt;wsp:rsid wsp:val=&quot;00207A54&quot;/&gt;&lt;wsp:rsid wsp:val=&quot;00207C3E&quot;/&gt;&lt;wsp:rsid wsp:val=&quot;00207D7C&quot;/&gt;&lt;wsp:rsid wsp:val=&quot;0021089C&quot;/&gt;&lt;wsp:rsid wsp:val=&quot;00210D89&quot;/&gt;&lt;wsp:rsid wsp:val=&quot;00211566&quot;/&gt;&lt;wsp:rsid wsp:val=&quot;002118CD&quot;/&gt;&lt;wsp:rsid wsp:val=&quot;00211AA5&quot;/&gt;&lt;wsp:rsid wsp:val=&quot;00212030&quot;/&gt;&lt;wsp:rsid wsp:val=&quot;002125EA&quot;/&gt;&lt;wsp:rsid wsp:val=&quot;00212CCA&quot;/&gt;&lt;wsp:rsid wsp:val=&quot;00212EC4&quot;/&gt;&lt;wsp:rsid wsp:val=&quot;00212F17&quot;/&gt;&lt;wsp:rsid wsp:val=&quot;00213486&quot;/&gt;&lt;wsp:rsid wsp:val=&quot;0021353E&quot;/&gt;&lt;wsp:rsid wsp:val=&quot;0021366F&quot;/&gt;&lt;wsp:rsid wsp:val=&quot;00213D33&quot;/&gt;&lt;wsp:rsid wsp:val=&quot;00214364&quot;/&gt;&lt;wsp:rsid wsp:val=&quot;0021495F&quot;/&gt;&lt;wsp:rsid wsp:val=&quot;002150F8&quot;/&gt;&lt;wsp:rsid wsp:val=&quot;002153D2&quot;/&gt;&lt;wsp:rsid wsp:val=&quot;002157DC&quot;/&gt;&lt;wsp:rsid wsp:val=&quot;00215AEF&quot;/&gt;&lt;wsp:rsid wsp:val=&quot;002160B4&quot;/&gt;&lt;wsp:rsid wsp:val=&quot;002168CE&quot;/&gt;&lt;wsp:rsid wsp:val=&quot;00216A79&quot;/&gt;&lt;wsp:rsid wsp:val=&quot;00216FCD&quot;/&gt;&lt;wsp:rsid wsp:val=&quot;00217179&quot;/&gt;&lt;wsp:rsid wsp:val=&quot;00217964&quot;/&gt;&lt;wsp:rsid wsp:val=&quot;00217CFA&quot;/&gt;&lt;wsp:rsid wsp:val=&quot;00220307&quot;/&gt;&lt;wsp:rsid wsp:val=&quot;002206DE&quot;/&gt;&lt;wsp:rsid wsp:val=&quot;002208DF&quot;/&gt;&lt;wsp:rsid wsp:val=&quot;002224C1&quot;/&gt;&lt;wsp:rsid wsp:val=&quot;00222A8B&quot;/&gt;&lt;wsp:rsid wsp:val=&quot;00222BB9&quot;/&gt;&lt;wsp:rsid wsp:val=&quot;00222E7E&quot;/&gt;&lt;wsp:rsid wsp:val=&quot;002236DD&quot;/&gt;&lt;wsp:rsid wsp:val=&quot;00223872&quot;/&gt;&lt;wsp:rsid wsp:val=&quot;00223992&quot;/&gt;&lt;wsp:rsid wsp:val=&quot;00223F65&quot;/&gt;&lt;wsp:rsid wsp:val=&quot;002246EF&quot;/&gt;&lt;wsp:rsid wsp:val=&quot;00224702&quot;/&gt;&lt;wsp:rsid wsp:val=&quot;00224EF5&quot;/&gt;&lt;wsp:rsid wsp:val=&quot;002252A3&quot;/&gt;&lt;wsp:rsid wsp:val=&quot;0022595C&quot;/&gt;&lt;wsp:rsid wsp:val=&quot;00225A86&quot;/&gt;&lt;wsp:rsid wsp:val=&quot;00225A8D&quot;/&gt;&lt;wsp:rsid wsp:val=&quot;00225A90&quot;/&gt;&lt;wsp:rsid wsp:val=&quot;00226027&quot;/&gt;&lt;wsp:rsid wsp:val=&quot;00226040&quot;/&gt;&lt;wsp:rsid wsp:val=&quot;00226415&quot;/&gt;&lt;wsp:rsid wsp:val=&quot;00226F20&quot;/&gt;&lt;wsp:rsid wsp:val=&quot;002270FB&quot;/&gt;&lt;wsp:rsid wsp:val=&quot;00230881&quot;/&gt;&lt;wsp:rsid wsp:val=&quot;002308E8&quot;/&gt;&lt;wsp:rsid wsp:val=&quot;00230BF5&quot;/&gt;&lt;wsp:rsid wsp:val=&quot;00230E2F&quot;/&gt;&lt;wsp:rsid wsp:val=&quot;00231609&quot;/&gt;&lt;wsp:rsid wsp:val=&quot;00231703&quot;/&gt;&lt;wsp:rsid wsp:val=&quot;00231719&quot;/&gt;&lt;wsp:rsid wsp:val=&quot;00231F5B&quot;/&gt;&lt;wsp:rsid wsp:val=&quot;002320A4&quot;/&gt;&lt;wsp:rsid wsp:val=&quot;0023375F&quot;/&gt;&lt;wsp:rsid wsp:val=&quot;00233910&quot;/&gt;&lt;wsp:rsid wsp:val=&quot;00233A0E&quot;/&gt;&lt;wsp:rsid wsp:val=&quot;00233B91&quot;/&gt;&lt;wsp:rsid wsp:val=&quot;00233BF0&quot;/&gt;&lt;wsp:rsid wsp:val=&quot;00233E8C&quot;/&gt;&lt;wsp:rsid wsp:val=&quot;00234410&quot;/&gt;&lt;wsp:rsid wsp:val=&quot;0023449B&quot;/&gt;&lt;wsp:rsid wsp:val=&quot;00234540&quot;/&gt;&lt;wsp:rsid wsp:val=&quot;002346B9&quot;/&gt;&lt;wsp:rsid wsp:val=&quot;002347C8&quot;/&gt;&lt;wsp:rsid wsp:val=&quot;00234937&quot;/&gt;&lt;wsp:rsid wsp:val=&quot;0023498C&quot;/&gt;&lt;wsp:rsid wsp:val=&quot;00234B9D&quot;/&gt;&lt;wsp:rsid wsp:val=&quot;00234DCB&quot;/&gt;&lt;wsp:rsid wsp:val=&quot;00234F43&quot;/&gt;&lt;wsp:rsid wsp:val=&quot;00235140&quot;/&gt;&lt;wsp:rsid wsp:val=&quot;00235370&quot;/&gt;&lt;wsp:rsid wsp:val=&quot;00235668&quot;/&gt;&lt;wsp:rsid wsp:val=&quot;00235CCE&quot;/&gt;&lt;wsp:rsid wsp:val=&quot;00235DB8&quot;/&gt;&lt;wsp:rsid wsp:val=&quot;00235E84&quot;/&gt;&lt;wsp:rsid wsp:val=&quot;00236226&quot;/&gt;&lt;wsp:rsid wsp:val=&quot;002363F2&quot;/&gt;&lt;wsp:rsid wsp:val=&quot;00236A37&quot;/&gt;&lt;wsp:rsid wsp:val=&quot;00236A91&quot;/&gt;&lt;wsp:rsid wsp:val=&quot;00236B94&quot;/&gt;&lt;wsp:rsid wsp:val=&quot;0023716A&quot;/&gt;&lt;wsp:rsid wsp:val=&quot;00237351&quot;/&gt;&lt;wsp:rsid wsp:val=&quot;0023772A&quot;/&gt;&lt;wsp:rsid wsp:val=&quot;00237ADA&quot;/&gt;&lt;wsp:rsid wsp:val=&quot;0024020D&quot;/&gt;&lt;wsp:rsid wsp:val=&quot;00240733&quot;/&gt;&lt;wsp:rsid wsp:val=&quot;002407A6&quot;/&gt;&lt;wsp:rsid wsp:val=&quot;002411F3&quot;/&gt;&lt;wsp:rsid wsp:val=&quot;00241C4A&quot;/&gt;&lt;wsp:rsid wsp:val=&quot;00241F5E&quot;/&gt;&lt;wsp:rsid wsp:val=&quot;002420B0&quot;/&gt;&lt;wsp:rsid wsp:val=&quot;0024222B&quot;/&gt;&lt;wsp:rsid wsp:val=&quot;00242278&quot;/&gt;&lt;wsp:rsid wsp:val=&quot;002425F3&quot;/&gt;&lt;wsp:rsid wsp:val=&quot;00242A1F&quot;/&gt;&lt;wsp:rsid wsp:val=&quot;00242D22&quot;/&gt;&lt;wsp:rsid wsp:val=&quot;002437AF&quot;/&gt;&lt;wsp:rsid wsp:val=&quot;00243952&quot;/&gt;&lt;wsp:rsid wsp:val=&quot;00243B64&quot;/&gt;&lt;wsp:rsid wsp:val=&quot;002441A4&quot;/&gt;&lt;wsp:rsid wsp:val=&quot;002441C4&quot;/&gt;&lt;wsp:rsid wsp:val=&quot;002447C4&quot;/&gt;&lt;wsp:rsid wsp:val=&quot;0024489F&quot;/&gt;&lt;wsp:rsid wsp:val=&quot;00244D85&quot;/&gt;&lt;wsp:rsid wsp:val=&quot;00245177&quot;/&gt;&lt;wsp:rsid wsp:val=&quot;0024518A&quot;/&gt;&lt;wsp:rsid wsp:val=&quot;0024525D&quot;/&gt;&lt;wsp:rsid wsp:val=&quot;002455DD&quot;/&gt;&lt;wsp:rsid wsp:val=&quot;0024592E&quot;/&gt;&lt;wsp:rsid wsp:val=&quot;002459DC&quot;/&gt;&lt;wsp:rsid wsp:val=&quot;0024694D&quot;/&gt;&lt;wsp:rsid wsp:val=&quot;00246B7A&quot;/&gt;&lt;wsp:rsid wsp:val=&quot;002473B0&quot;/&gt;&lt;wsp:rsid wsp:val=&quot;00247BEC&quot;/&gt;&lt;wsp:rsid wsp:val=&quot;00250A0F&quot;/&gt;&lt;wsp:rsid wsp:val=&quot;00250D71&quot;/&gt;&lt;wsp:rsid wsp:val=&quot;0025175A&quot;/&gt;&lt;wsp:rsid wsp:val=&quot;00251FB6&quot;/&gt;&lt;wsp:rsid wsp:val=&quot;002523A4&quot;/&gt;&lt;wsp:rsid wsp:val=&quot;0025245D&quot;/&gt;&lt;wsp:rsid wsp:val=&quot;002524C2&quot;/&gt;&lt;wsp:rsid wsp:val=&quot;002527CE&quot;/&gt;&lt;wsp:rsid wsp:val=&quot;00253034&quot;/&gt;&lt;wsp:rsid wsp:val=&quot;00253371&quot;/&gt;&lt;wsp:rsid wsp:val=&quot;002539C6&quot;/&gt;&lt;wsp:rsid wsp:val=&quot;00253B94&quot;/&gt;&lt;wsp:rsid wsp:val=&quot;00253E92&quot;/&gt;&lt;wsp:rsid wsp:val=&quot;002541CD&quot;/&gt;&lt;wsp:rsid wsp:val=&quot;00254B3A&quot;/&gt;&lt;wsp:rsid wsp:val=&quot;00254E47&quot;/&gt;&lt;wsp:rsid wsp:val=&quot;002551FF&quot;/&gt;&lt;wsp:rsid wsp:val=&quot;002558DD&quot;/&gt;&lt;wsp:rsid wsp:val=&quot;0025618E&quot;/&gt;&lt;wsp:rsid wsp:val=&quot;002569BF&quot;/&gt;&lt;wsp:rsid wsp:val=&quot;00256C57&quot;/&gt;&lt;wsp:rsid wsp:val=&quot;00256CA5&quot;/&gt;&lt;wsp:rsid wsp:val=&quot;00256FE7&quot;/&gt;&lt;wsp:rsid wsp:val=&quot;00257A6B&quot;/&gt;&lt;wsp:rsid wsp:val=&quot;00260684&quot;/&gt;&lt;wsp:rsid wsp:val=&quot;00260FB2&quot;/&gt;&lt;wsp:rsid wsp:val=&quot;002614C0&quot;/&gt;&lt;wsp:rsid wsp:val=&quot;0026207B&quot;/&gt;&lt;wsp:rsid wsp:val=&quot;002620CF&quot;/&gt;&lt;wsp:rsid wsp:val=&quot;00262211&quot;/&gt;&lt;wsp:rsid wsp:val=&quot;0026279E&quot;/&gt;&lt;wsp:rsid wsp:val=&quot;002629C4&quot;/&gt;&lt;wsp:rsid wsp:val=&quot;00263338&quot;/&gt;&lt;wsp:rsid wsp:val=&quot;002639EE&quot;/&gt;&lt;wsp:rsid wsp:val=&quot;00263D3E&quot;/&gt;&lt;wsp:rsid wsp:val=&quot;00264067&quot;/&gt;&lt;wsp:rsid wsp:val=&quot;002643AD&quot;/&gt;&lt;wsp:rsid wsp:val=&quot;00264B1C&quot;/&gt;&lt;wsp:rsid wsp:val=&quot;00264D87&quot;/&gt;&lt;wsp:rsid wsp:val=&quot;0026501B&quot;/&gt;&lt;wsp:rsid wsp:val=&quot;002654A2&quot;/&gt;&lt;wsp:rsid wsp:val=&quot;00265806&quot;/&gt;&lt;wsp:rsid wsp:val=&quot;00265A0B&quot;/&gt;&lt;wsp:rsid wsp:val=&quot;00265F50&quot;/&gt;&lt;wsp:rsid wsp:val=&quot;00266085&quot;/&gt;&lt;wsp:rsid wsp:val=&quot;002660DA&quot;/&gt;&lt;wsp:rsid wsp:val=&quot;002662AB&quot;/&gt;&lt;wsp:rsid wsp:val=&quot;0026638B&quot;/&gt;&lt;wsp:rsid wsp:val=&quot;00267525&quot;/&gt;&lt;wsp:rsid wsp:val=&quot;002701CE&quot;/&gt;&lt;wsp:rsid wsp:val=&quot;00271042&quot;/&gt;&lt;wsp:rsid wsp:val=&quot;0027122C&quot;/&gt;&lt;wsp:rsid wsp:val=&quot;0027129C&quot;/&gt;&lt;wsp:rsid wsp:val=&quot;00271878&quot;/&gt;&lt;wsp:rsid wsp:val=&quot;002719F8&quot;/&gt;&lt;wsp:rsid wsp:val=&quot;00271D53&quot;/&gt;&lt;wsp:rsid wsp:val=&quot;00271F63&quot;/&gt;&lt;wsp:rsid wsp:val=&quot;0027248E&quot;/&gt;&lt;wsp:rsid wsp:val=&quot;002729DF&quot;/&gt;&lt;wsp:rsid wsp:val=&quot;002731EF&quot;/&gt;&lt;wsp:rsid wsp:val=&quot;0027331D&quot;/&gt;&lt;wsp:rsid wsp:val=&quot;0027333D&quot;/&gt;&lt;wsp:rsid wsp:val=&quot;002733A9&quot;/&gt;&lt;wsp:rsid wsp:val=&quot;0027376E&quot;/&gt;&lt;wsp:rsid wsp:val=&quot;00273EB7&quot;/&gt;&lt;wsp:rsid wsp:val=&quot;00273F05&quot;/&gt;&lt;wsp:rsid wsp:val=&quot;002746C3&quot;/&gt;&lt;wsp:rsid wsp:val=&quot;002749A8&quot;/&gt;&lt;wsp:rsid wsp:val=&quot;00275292&quot;/&gt;&lt;wsp:rsid wsp:val=&quot;0027558A&quot;/&gt;&lt;wsp:rsid wsp:val=&quot;00275CD3&quot;/&gt;&lt;wsp:rsid wsp:val=&quot;00275EA0&quot;/&gt;&lt;wsp:rsid wsp:val=&quot;00275FD8&quot;/&gt;&lt;wsp:rsid wsp:val=&quot;0027624B&quot;/&gt;&lt;wsp:rsid wsp:val=&quot;002762DF&quot;/&gt;&lt;wsp:rsid wsp:val=&quot;0027647D&quot;/&gt;&lt;wsp:rsid wsp:val=&quot;002767C0&quot;/&gt;&lt;wsp:rsid wsp:val=&quot;00276917&quot;/&gt;&lt;wsp:rsid wsp:val=&quot;00276A7D&quot;/&gt;&lt;wsp:rsid wsp:val=&quot;00276FC0&quot;/&gt;&lt;wsp:rsid wsp:val=&quot;00277612&quot;/&gt;&lt;wsp:rsid wsp:val=&quot;0027777A&quot;/&gt;&lt;wsp:rsid wsp:val=&quot;00277914&quot;/&gt;&lt;wsp:rsid wsp:val=&quot;00277946&quot;/&gt;&lt;wsp:rsid wsp:val=&quot;00277D95&quot;/&gt;&lt;wsp:rsid wsp:val=&quot;0028031F&quot;/&gt;&lt;wsp:rsid wsp:val=&quot;0028058B&quot;/&gt;&lt;wsp:rsid wsp:val=&quot;0028110B&quot;/&gt;&lt;wsp:rsid wsp:val=&quot;00281209&quot;/&gt;&lt;wsp:rsid wsp:val=&quot;0028158A&quot;/&gt;&lt;wsp:rsid wsp:val=&quot;00281F80&quot;/&gt;&lt;wsp:rsid wsp:val=&quot;0028217B&quot;/&gt;&lt;wsp:rsid wsp:val=&quot;00282264&quot;/&gt;&lt;wsp:rsid wsp:val=&quot;00282727&quot;/&gt;&lt;wsp:rsid wsp:val=&quot;00282906&quot;/&gt;&lt;wsp:rsid wsp:val=&quot;00282B6F&quot;/&gt;&lt;wsp:rsid wsp:val=&quot;00282F99&quot;/&gt;&lt;wsp:rsid wsp:val=&quot;00282FB7&quot;/&gt;&lt;wsp:rsid wsp:val=&quot;00282FC6&quot;/&gt;&lt;wsp:rsid wsp:val=&quot;002834C1&quot;/&gt;&lt;wsp:rsid wsp:val=&quot;002837BC&quot;/&gt;&lt;wsp:rsid wsp:val=&quot;00283EAE&quot;/&gt;&lt;wsp:rsid wsp:val=&quot;0028433F&quot;/&gt;&lt;wsp:rsid wsp:val=&quot;00284EF9&quot;/&gt;&lt;wsp:rsid wsp:val=&quot;00284F75&quot;/&gt;&lt;wsp:rsid wsp:val=&quot;00285283&quot;/&gt;&lt;wsp:rsid wsp:val=&quot;002852F0&quot;/&gt;&lt;wsp:rsid wsp:val=&quot;00285635&quot;/&gt;&lt;wsp:rsid wsp:val=&quot;00285CAC&quot;/&gt;&lt;wsp:rsid wsp:val=&quot;00285D5C&quot;/&gt;&lt;wsp:rsid wsp:val=&quot;00285E9A&quot;/&gt;&lt;wsp:rsid wsp:val=&quot;00285F5B&quot;/&gt;&lt;wsp:rsid wsp:val=&quot;00286696&quot;/&gt;&lt;wsp:rsid wsp:val=&quot;00286836&quot;/&gt;&lt;wsp:rsid wsp:val=&quot;002868F3&quot;/&gt;&lt;wsp:rsid wsp:val=&quot;00286905&quot;/&gt;&lt;wsp:rsid wsp:val=&quot;00286981&quot;/&gt;&lt;wsp:rsid wsp:val=&quot;00286C5E&quot;/&gt;&lt;wsp:rsid wsp:val=&quot;00286DCA&quot;/&gt;&lt;wsp:rsid wsp:val=&quot;00286FAF&quot;/&gt;&lt;wsp:rsid wsp:val=&quot;0028713E&quot;/&gt;&lt;wsp:rsid wsp:val=&quot;00287742&quot;/&gt;&lt;wsp:rsid wsp:val=&quot;002901C8&quot;/&gt;&lt;wsp:rsid wsp:val=&quot;00290548&quot;/&gt;&lt;wsp:rsid wsp:val=&quot;00290B8C&quot;/&gt;&lt;wsp:rsid wsp:val=&quot;00290C2C&quot;/&gt;&lt;wsp:rsid wsp:val=&quot;00291245&quot;/&gt;&lt;wsp:rsid wsp:val=&quot;0029153B&quot;/&gt;&lt;wsp:rsid wsp:val=&quot;00291DB1&quot;/&gt;&lt;wsp:rsid wsp:val=&quot;00291EF2&quot;/&gt;&lt;wsp:rsid wsp:val=&quot;002921BB&quot;/&gt;&lt;wsp:rsid wsp:val=&quot;002922BD&quot;/&gt;&lt;wsp:rsid wsp:val=&quot;00292394&quot;/&gt;&lt;wsp:rsid wsp:val=&quot;00292B30&quot;/&gt;&lt;wsp:rsid wsp:val=&quot;00292BE2&quot;/&gt;&lt;wsp:rsid wsp:val=&quot;00292D93&quot;/&gt;&lt;wsp:rsid wsp:val=&quot;00293138&quot;/&gt;&lt;wsp:rsid wsp:val=&quot;0029317A&quot;/&gt;&lt;wsp:rsid wsp:val=&quot;002934B9&quot;/&gt;&lt;wsp:rsid wsp:val=&quot;002942A0&quot;/&gt;&lt;wsp:rsid wsp:val=&quot;0029498B&quot;/&gt;&lt;wsp:rsid wsp:val=&quot;002949DB&quot;/&gt;&lt;wsp:rsid wsp:val=&quot;00294D3D&quot;/&gt;&lt;wsp:rsid wsp:val=&quot;002958D6&quot;/&gt;&lt;wsp:rsid wsp:val=&quot;00295D34&quot;/&gt;&lt;wsp:rsid wsp:val=&quot;00295FF1&quot;/&gt;&lt;wsp:rsid wsp:val=&quot;00296672&quot;/&gt;&lt;wsp:rsid wsp:val=&quot;00296ADB&quot;/&gt;&lt;wsp:rsid wsp:val=&quot;00296C9D&quot;/&gt;&lt;wsp:rsid wsp:val=&quot;0029713D&quot;/&gt;&lt;wsp:rsid wsp:val=&quot;00297293&quot;/&gt;&lt;wsp:rsid wsp:val=&quot;002976BB&quot;/&gt;&lt;wsp:rsid wsp:val=&quot;00297EFE&quot;/&gt;&lt;wsp:rsid wsp:val=&quot;002A0178&quot;/&gt;&lt;wsp:rsid wsp:val=&quot;002A057D&quot;/&gt;&lt;wsp:rsid wsp:val=&quot;002A07A0&quot;/&gt;&lt;wsp:rsid wsp:val=&quot;002A07F7&quot;/&gt;&lt;wsp:rsid wsp:val=&quot;002A17A4&quot;/&gt;&lt;wsp:rsid wsp:val=&quot;002A197A&quot;/&gt;&lt;wsp:rsid wsp:val=&quot;002A1AB5&quot;/&gt;&lt;wsp:rsid wsp:val=&quot;002A1B00&quot;/&gt;&lt;wsp:rsid wsp:val=&quot;002A1B20&quot;/&gt;&lt;wsp:rsid wsp:val=&quot;002A1F06&quot;/&gt;&lt;wsp:rsid wsp:val=&quot;002A2135&quot;/&gt;&lt;wsp:rsid wsp:val=&quot;002A26BF&quot;/&gt;&lt;wsp:rsid wsp:val=&quot;002A2E38&quot;/&gt;&lt;wsp:rsid wsp:val=&quot;002A3B3A&quot;/&gt;&lt;wsp:rsid wsp:val=&quot;002A403F&quot;/&gt;&lt;wsp:rsid wsp:val=&quot;002A4184&quot;/&gt;&lt;wsp:rsid wsp:val=&quot;002A4743&quot;/&gt;&lt;wsp:rsid wsp:val=&quot;002A47CB&quot;/&gt;&lt;wsp:rsid wsp:val=&quot;002A47EB&quot;/&gt;&lt;wsp:rsid wsp:val=&quot;002A48C1&quot;/&gt;&lt;wsp:rsid wsp:val=&quot;002A4BC3&quot;/&gt;&lt;wsp:rsid wsp:val=&quot;002A4ED5&quot;/&gt;&lt;wsp:rsid wsp:val=&quot;002A4F57&quot;/&gt;&lt;wsp:rsid wsp:val=&quot;002A511D&quot;/&gt;&lt;wsp:rsid wsp:val=&quot;002A573E&quot;/&gt;&lt;wsp:rsid wsp:val=&quot;002A5821&quot;/&gt;&lt;wsp:rsid wsp:val=&quot;002A58CA&quot;/&gt;&lt;wsp:rsid wsp:val=&quot;002A596D&quot;/&gt;&lt;wsp:rsid wsp:val=&quot;002A645A&quot;/&gt;&lt;wsp:rsid wsp:val=&quot;002A71BA&quot;/&gt;&lt;wsp:rsid wsp:val=&quot;002A75D0&quot;/&gt;&lt;wsp:rsid wsp:val=&quot;002A7A36&quot;/&gt;&lt;wsp:rsid wsp:val=&quot;002A7D15&quot;/&gt;&lt;wsp:rsid wsp:val=&quot;002A7DEF&quot;/&gt;&lt;wsp:rsid wsp:val=&quot;002B00D9&quot;/&gt;&lt;wsp:rsid wsp:val=&quot;002B013C&quot;/&gt;&lt;wsp:rsid wsp:val=&quot;002B01E7&quot;/&gt;&lt;wsp:rsid wsp:val=&quot;002B0A58&quot;/&gt;&lt;wsp:rsid wsp:val=&quot;002B0ECA&quot;/&gt;&lt;wsp:rsid wsp:val=&quot;002B0F93&quot;/&gt;&lt;wsp:rsid wsp:val=&quot;002B193C&quot;/&gt;&lt;wsp:rsid wsp:val=&quot;002B23D6&quot;/&gt;&lt;wsp:rsid wsp:val=&quot;002B2617&quot;/&gt;&lt;wsp:rsid wsp:val=&quot;002B279E&quot;/&gt;&lt;wsp:rsid wsp:val=&quot;002B28AD&quot;/&gt;&lt;wsp:rsid wsp:val=&quot;002B2E07&quot;/&gt;&lt;wsp:rsid wsp:val=&quot;002B2E2E&quot;/&gt;&lt;wsp:rsid wsp:val=&quot;002B30E0&quot;/&gt;&lt;wsp:rsid wsp:val=&quot;002B3201&quot;/&gt;&lt;wsp:rsid wsp:val=&quot;002B3221&quot;/&gt;&lt;wsp:rsid wsp:val=&quot;002B3680&quot;/&gt;&lt;wsp:rsid wsp:val=&quot;002B3B8B&quot;/&gt;&lt;wsp:rsid wsp:val=&quot;002B3E00&quot;/&gt;&lt;wsp:rsid wsp:val=&quot;002B41CB&quot;/&gt;&lt;wsp:rsid wsp:val=&quot;002B4842&quot;/&gt;&lt;wsp:rsid wsp:val=&quot;002B4846&quot;/&gt;&lt;wsp:rsid wsp:val=&quot;002B4A83&quot;/&gt;&lt;wsp:rsid wsp:val=&quot;002B4E93&quot;/&gt;&lt;wsp:rsid wsp:val=&quot;002B515E&quot;/&gt;&lt;wsp:rsid wsp:val=&quot;002B5547&quot;/&gt;&lt;wsp:rsid wsp:val=&quot;002B5549&quot;/&gt;&lt;wsp:rsid wsp:val=&quot;002B5D5A&quot;/&gt;&lt;wsp:rsid wsp:val=&quot;002B6065&quot;/&gt;&lt;wsp:rsid wsp:val=&quot;002B6093&quot;/&gt;&lt;wsp:rsid wsp:val=&quot;002B6815&quot;/&gt;&lt;wsp:rsid wsp:val=&quot;002B6D1A&quot;/&gt;&lt;wsp:rsid wsp:val=&quot;002B6D5D&quot;/&gt;&lt;wsp:rsid wsp:val=&quot;002B7977&quot;/&gt;&lt;wsp:rsid wsp:val=&quot;002B7BDD&quot;/&gt;&lt;wsp:rsid wsp:val=&quot;002B7C90&quot;/&gt;&lt;wsp:rsid wsp:val=&quot;002B7CC7&quot;/&gt;&lt;wsp:rsid wsp:val=&quot;002B7CEA&quot;/&gt;&lt;wsp:rsid wsp:val=&quot;002B7DCA&quot;/&gt;&lt;wsp:rsid wsp:val=&quot;002C0194&quot;/&gt;&lt;wsp:rsid wsp:val=&quot;002C03CE&quot;/&gt;&lt;wsp:rsid wsp:val=&quot;002C1763&quot;/&gt;&lt;wsp:rsid wsp:val=&quot;002C1EFE&quot;/&gt;&lt;wsp:rsid wsp:val=&quot;002C20C7&quot;/&gt;&lt;wsp:rsid wsp:val=&quot;002C21EA&quot;/&gt;&lt;wsp:rsid wsp:val=&quot;002C22A2&quot;/&gt;&lt;wsp:rsid wsp:val=&quot;002C267B&quot;/&gt;&lt;wsp:rsid wsp:val=&quot;002C2902&quot;/&gt;&lt;wsp:rsid wsp:val=&quot;002C2B5F&quot;/&gt;&lt;wsp:rsid wsp:val=&quot;002C2E7E&quot;/&gt;&lt;wsp:rsid wsp:val=&quot;002C3288&quot;/&gt;&lt;wsp:rsid wsp:val=&quot;002C39CD&quot;/&gt;&lt;wsp:rsid wsp:val=&quot;002C3B6F&quot;/&gt;&lt;wsp:rsid wsp:val=&quot;002C3E69&quot;/&gt;&lt;wsp:rsid wsp:val=&quot;002C452C&quot;/&gt;&lt;wsp:rsid wsp:val=&quot;002C4BE4&quot;/&gt;&lt;wsp:rsid wsp:val=&quot;002C4FDC&quot;/&gt;&lt;wsp:rsid wsp:val=&quot;002C5309&quot;/&gt;&lt;wsp:rsid wsp:val=&quot;002C53D3&quot;/&gt;&lt;wsp:rsid wsp:val=&quot;002C56C3&quot;/&gt;&lt;wsp:rsid wsp:val=&quot;002C5784&quot;/&gt;&lt;wsp:rsid wsp:val=&quot;002C582B&quot;/&gt;&lt;wsp:rsid wsp:val=&quot;002C58B2&quot;/&gt;&lt;wsp:rsid wsp:val=&quot;002C5AAF&quot;/&gt;&lt;wsp:rsid wsp:val=&quot;002C5E9F&quot;/&gt;&lt;wsp:rsid wsp:val=&quot;002C5F24&quot;/&gt;&lt;wsp:rsid wsp:val=&quot;002C6604&quot;/&gt;&lt;wsp:rsid wsp:val=&quot;002C6954&quot;/&gt;&lt;wsp:rsid wsp:val=&quot;002C6964&quot;/&gt;&lt;wsp:rsid wsp:val=&quot;002C73BC&quot;/&gt;&lt;wsp:rsid wsp:val=&quot;002C76A6&quot;/&gt;&lt;wsp:rsid wsp:val=&quot;002C7DBB&quot;/&gt;&lt;wsp:rsid wsp:val=&quot;002C7EF8&quot;/&gt;&lt;wsp:rsid wsp:val=&quot;002C7F0E&quot;/&gt;&lt;wsp:rsid wsp:val=&quot;002D0266&quot;/&gt;&lt;wsp:rsid wsp:val=&quot;002D0385&quot;/&gt;&lt;wsp:rsid wsp:val=&quot;002D04EF&quot;/&gt;&lt;wsp:rsid wsp:val=&quot;002D0BF8&quot;/&gt;&lt;wsp:rsid wsp:val=&quot;002D0C12&quot;/&gt;&lt;wsp:rsid wsp:val=&quot;002D0CB7&quot;/&gt;&lt;wsp:rsid wsp:val=&quot;002D0D0A&quot;/&gt;&lt;wsp:rsid wsp:val=&quot;002D0E25&quot;/&gt;&lt;wsp:rsid wsp:val=&quot;002D0F23&quot;/&gt;&lt;wsp:rsid wsp:val=&quot;002D14E1&quot;/&gt;&lt;wsp:rsid wsp:val=&quot;002D15AC&quot;/&gt;&lt;wsp:rsid wsp:val=&quot;002D1703&quot;/&gt;&lt;wsp:rsid wsp:val=&quot;002D196D&quot;/&gt;&lt;wsp:rsid wsp:val=&quot;002D1A50&quot;/&gt;&lt;wsp:rsid wsp:val=&quot;002D1BD3&quot;/&gt;&lt;wsp:rsid wsp:val=&quot;002D1C13&quot;/&gt;&lt;wsp:rsid wsp:val=&quot;002D22B5&quot;/&gt;&lt;wsp:rsid wsp:val=&quot;002D2585&quot;/&gt;&lt;wsp:rsid wsp:val=&quot;002D2754&quot;/&gt;&lt;wsp:rsid wsp:val=&quot;002D2AC8&quot;/&gt;&lt;wsp:rsid wsp:val=&quot;002D2B15&quot;/&gt;&lt;wsp:rsid wsp:val=&quot;002D32FC&quot;/&gt;&lt;wsp:rsid wsp:val=&quot;002D3B3F&quot;/&gt;&lt;wsp:rsid wsp:val=&quot;002D3BF6&quot;/&gt;&lt;wsp:rsid wsp:val=&quot;002D3FC6&quot;/&gt;&lt;wsp:rsid wsp:val=&quot;002D4030&quot;/&gt;&lt;wsp:rsid wsp:val=&quot;002D463D&quot;/&gt;&lt;wsp:rsid wsp:val=&quot;002D48C1&quot;/&gt;&lt;wsp:rsid wsp:val=&quot;002D4B56&quot;/&gt;&lt;wsp:rsid wsp:val=&quot;002D4CEA&quot;/&gt;&lt;wsp:rsid wsp:val=&quot;002D4E81&quot;/&gt;&lt;wsp:rsid wsp:val=&quot;002D5015&quot;/&gt;&lt;wsp:rsid wsp:val=&quot;002D539B&quot;/&gt;&lt;wsp:rsid wsp:val=&quot;002D5475&quot;/&gt;&lt;wsp:rsid wsp:val=&quot;002D5FB4&quot;/&gt;&lt;wsp:rsid wsp:val=&quot;002D6457&quot;/&gt;&lt;wsp:rsid wsp:val=&quot;002D6539&quot;/&gt;&lt;wsp:rsid wsp:val=&quot;002D6719&quot;/&gt;&lt;wsp:rsid wsp:val=&quot;002D6735&quot;/&gt;&lt;wsp:rsid wsp:val=&quot;002D6E13&quot;/&gt;&lt;wsp:rsid wsp:val=&quot;002D6F4A&quot;/&gt;&lt;wsp:rsid wsp:val=&quot;002D7410&quot;/&gt;&lt;wsp:rsid wsp:val=&quot;002D750E&quot;/&gt;&lt;wsp:rsid wsp:val=&quot;002D7640&quot;/&gt;&lt;wsp:rsid wsp:val=&quot;002D7934&quot;/&gt;&lt;wsp:rsid wsp:val=&quot;002D7A7E&quot;/&gt;&lt;wsp:rsid wsp:val=&quot;002D7B30&quot;/&gt;&lt;wsp:rsid wsp:val=&quot;002D7E38&quot;/&gt;&lt;wsp:rsid wsp:val=&quot;002E010F&quot;/&gt;&lt;wsp:rsid wsp:val=&quot;002E01AA&quot;/&gt;&lt;wsp:rsid wsp:val=&quot;002E0A2E&quot;/&gt;&lt;wsp:rsid wsp:val=&quot;002E1062&quot;/&gt;&lt;wsp:rsid wsp:val=&quot;002E18E2&quot;/&gt;&lt;wsp:rsid wsp:val=&quot;002E1C89&quot;/&gt;&lt;wsp:rsid wsp:val=&quot;002E23C9&quot;/&gt;&lt;wsp:rsid wsp:val=&quot;002E29CF&quot;/&gt;&lt;wsp:rsid wsp:val=&quot;002E2FF9&quot;/&gt;&lt;wsp:rsid wsp:val=&quot;002E3034&quot;/&gt;&lt;wsp:rsid wsp:val=&quot;002E30DA&quot;/&gt;&lt;wsp:rsid wsp:val=&quot;002E33F1&quot;/&gt;&lt;wsp:rsid wsp:val=&quot;002E37FB&quot;/&gt;&lt;wsp:rsid wsp:val=&quot;002E3978&quot;/&gt;&lt;wsp:rsid wsp:val=&quot;002E40A7&quot;/&gt;&lt;wsp:rsid wsp:val=&quot;002E40CA&quot;/&gt;&lt;wsp:rsid wsp:val=&quot;002E458A&quot;/&gt;&lt;wsp:rsid wsp:val=&quot;002E47AB&quot;/&gt;&lt;wsp:rsid wsp:val=&quot;002E49FB&quot;/&gt;&lt;wsp:rsid wsp:val=&quot;002E4CBF&quot;/&gt;&lt;wsp:rsid wsp:val=&quot;002E5304&quot;/&gt;&lt;wsp:rsid wsp:val=&quot;002E558C&quot;/&gt;&lt;wsp:rsid wsp:val=&quot;002E5649&quot;/&gt;&lt;wsp:rsid wsp:val=&quot;002E5697&quot;/&gt;&lt;wsp:rsid wsp:val=&quot;002E5D6D&quot;/&gt;&lt;wsp:rsid wsp:val=&quot;002E60F8&quot;/&gt;&lt;wsp:rsid wsp:val=&quot;002E66FC&quot;/&gt;&lt;wsp:rsid wsp:val=&quot;002E693F&quot;/&gt;&lt;wsp:rsid wsp:val=&quot;002E6BA0&quot;/&gt;&lt;wsp:rsid wsp:val=&quot;002E718E&quot;/&gt;&lt;wsp:rsid wsp:val=&quot;002E7B1C&quot;/&gt;&lt;wsp:rsid wsp:val=&quot;002F0030&quot;/&gt;&lt;wsp:rsid wsp:val=&quot;002F061E&quot;/&gt;&lt;wsp:rsid wsp:val=&quot;002F07D7&quot;/&gt;&lt;wsp:rsid wsp:val=&quot;002F0E9E&quot;/&gt;&lt;wsp:rsid wsp:val=&quot;002F102B&quot;/&gt;&lt;wsp:rsid wsp:val=&quot;002F1371&quot;/&gt;&lt;wsp:rsid wsp:val=&quot;002F2715&quot;/&gt;&lt;wsp:rsid wsp:val=&quot;002F31F2&quot;/&gt;&lt;wsp:rsid wsp:val=&quot;002F3303&quot;/&gt;&lt;wsp:rsid wsp:val=&quot;002F3768&quot;/&gt;&lt;wsp:rsid wsp:val=&quot;002F3B6F&quot;/&gt;&lt;wsp:rsid wsp:val=&quot;002F4192&quot;/&gt;&lt;wsp:rsid wsp:val=&quot;002F4379&quot;/&gt;&lt;wsp:rsid wsp:val=&quot;002F4668&quot;/&gt;&lt;wsp:rsid wsp:val=&quot;002F4EE4&quot;/&gt;&lt;wsp:rsid wsp:val=&quot;002F4F34&quot;/&gt;&lt;wsp:rsid wsp:val=&quot;002F521B&quot;/&gt;&lt;wsp:rsid wsp:val=&quot;002F52F8&quot;/&gt;&lt;wsp:rsid wsp:val=&quot;002F57E9&quot;/&gt;&lt;wsp:rsid wsp:val=&quot;002F584A&quot;/&gt;&lt;wsp:rsid wsp:val=&quot;002F5EF4&quot;/&gt;&lt;wsp:rsid wsp:val=&quot;002F60EB&quot;/&gt;&lt;wsp:rsid wsp:val=&quot;002F62CF&quot;/&gt;&lt;wsp:rsid wsp:val=&quot;002F77E3&quot;/&gt;&lt;wsp:rsid wsp:val=&quot;002F7972&quot;/&gt;&lt;wsp:rsid wsp:val=&quot;003003D3&quot;/&gt;&lt;wsp:rsid wsp:val=&quot;003003E4&quot;/&gt;&lt;wsp:rsid wsp:val=&quot;0030091D&quot;/&gt;&lt;wsp:rsid wsp:val=&quot;0030094C&quot;/&gt;&lt;wsp:rsid wsp:val=&quot;00300AEC&quot;/&gt;&lt;wsp:rsid wsp:val=&quot;00300C87&quot;/&gt;&lt;wsp:rsid wsp:val=&quot;0030120B&quot;/&gt;&lt;wsp:rsid wsp:val=&quot;0030145C&quot;/&gt;&lt;wsp:rsid wsp:val=&quot;00302585&quot;/&gt;&lt;wsp:rsid wsp:val=&quot;00302927&quot;/&gt;&lt;wsp:rsid wsp:val=&quot;00302993&quot;/&gt;&lt;wsp:rsid wsp:val=&quot;0030299A&quot;/&gt;&lt;wsp:rsid wsp:val=&quot;0030303B&quot;/&gt;&lt;wsp:rsid wsp:val=&quot;0030304F&quot;/&gt;&lt;wsp:rsid wsp:val=&quot;0030360F&quot;/&gt;&lt;wsp:rsid wsp:val=&quot;00303CFC&quot;/&gt;&lt;wsp:rsid wsp:val=&quot;00303F9A&quot;/&gt;&lt;wsp:rsid wsp:val=&quot;003041F7&quot;/&gt;&lt;wsp:rsid wsp:val=&quot;00304279&quot;/&gt;&lt;wsp:rsid wsp:val=&quot;0030482D&quot;/&gt;&lt;wsp:rsid wsp:val=&quot;00304B43&quot;/&gt;&lt;wsp:rsid wsp:val=&quot;00304BE6&quot;/&gt;&lt;wsp:rsid wsp:val=&quot;00305339&quot;/&gt;&lt;wsp:rsid wsp:val=&quot;0030577A&quot;/&gt;&lt;wsp:rsid wsp:val=&quot;00305808&quot;/&gt;&lt;wsp:rsid wsp:val=&quot;00306045&quot;/&gt;&lt;wsp:rsid wsp:val=&quot;003063F1&quot;/&gt;&lt;wsp:rsid wsp:val=&quot;003064E2&quot;/&gt;&lt;wsp:rsid wsp:val=&quot;00306600&quot;/&gt;&lt;wsp:rsid wsp:val=&quot;0030662F&quot;/&gt;&lt;wsp:rsid wsp:val=&quot;00306817&quot;/&gt;&lt;wsp:rsid wsp:val=&quot;00306D86&quot;/&gt;&lt;wsp:rsid wsp:val=&quot;00306F1F&quot;/&gt;&lt;wsp:rsid wsp:val=&quot;003072EB&quot;/&gt;&lt;wsp:rsid wsp:val=&quot;003102D1&quot;/&gt;&lt;wsp:rsid wsp:val=&quot;00310491&quot;/&gt;&lt;wsp:rsid wsp:val=&quot;003105CD&quot;/&gt;&lt;wsp:rsid wsp:val=&quot;00310779&quot;/&gt;&lt;wsp:rsid wsp:val=&quot;00310786&quot;/&gt;&lt;wsp:rsid wsp:val=&quot;00310B9A&quot;/&gt;&lt;wsp:rsid wsp:val=&quot;00311082&quot;/&gt;&lt;wsp:rsid wsp:val=&quot;003117C6&quot;/&gt;&lt;wsp:rsid wsp:val=&quot;00311CBD&quot;/&gt;&lt;wsp:rsid wsp:val=&quot;00312004&quot;/&gt;&lt;wsp:rsid wsp:val=&quot;0031206F&quot;/&gt;&lt;wsp:rsid wsp:val=&quot;00312649&quot;/&gt;&lt;wsp:rsid wsp:val=&quot;00312DD5&quot;/&gt;&lt;wsp:rsid wsp:val=&quot;0031322C&quot;/&gt;&lt;wsp:rsid wsp:val=&quot;0031338F&quot;/&gt;&lt;wsp:rsid wsp:val=&quot;003133C2&quot;/&gt;&lt;wsp:rsid wsp:val=&quot;00313670&quot;/&gt;&lt;wsp:rsid wsp:val=&quot;0031372A&quot;/&gt;&lt;wsp:rsid wsp:val=&quot;00313733&quot;/&gt;&lt;wsp:rsid wsp:val=&quot;003139D5&quot;/&gt;&lt;wsp:rsid wsp:val=&quot;00314488&quot;/&gt;&lt;wsp:rsid wsp:val=&quot;00314A55&quot;/&gt;&lt;wsp:rsid wsp:val=&quot;00314F94&quot;/&gt;&lt;wsp:rsid wsp:val=&quot;00315452&quot;/&gt;&lt;wsp:rsid wsp:val=&quot;00315682&quot;/&gt;&lt;wsp:rsid wsp:val=&quot;003156D1&quot;/&gt;&lt;wsp:rsid wsp:val=&quot;0031583A&quot;/&gt;&lt;wsp:rsid wsp:val=&quot;00315AD1&quot;/&gt;&lt;wsp:rsid wsp:val=&quot;00315BE5&quot;/&gt;&lt;wsp:rsid wsp:val=&quot;00315E93&quot;/&gt;&lt;wsp:rsid wsp:val=&quot;00315F6A&quot;/&gt;&lt;wsp:rsid wsp:val=&quot;003165A7&quot;/&gt;&lt;wsp:rsid wsp:val=&quot;003166B4&quot;/&gt;&lt;wsp:rsid wsp:val=&quot;00316F07&quot;/&gt;&lt;wsp:rsid wsp:val=&quot;00316F80&quot;/&gt;&lt;wsp:rsid wsp:val=&quot;00317124&quot;/&gt;&lt;wsp:rsid wsp:val=&quot;003172DA&quot;/&gt;&lt;wsp:rsid wsp:val=&quot;003173BB&quot;/&gt;&lt;wsp:rsid wsp:val=&quot;0031769B&quot;/&gt;&lt;wsp:rsid wsp:val=&quot;00317BDE&quot;/&gt;&lt;wsp:rsid wsp:val=&quot;00317D94&quot;/&gt;&lt;wsp:rsid wsp:val=&quot;00317E53&quot;/&gt;&lt;wsp:rsid wsp:val=&quot;00317E73&quot;/&gt;&lt;wsp:rsid wsp:val=&quot;00317FA4&quot;/&gt;&lt;wsp:rsid wsp:val=&quot;0032001F&quot;/&gt;&lt;wsp:rsid wsp:val=&quot;0032048E&quot;/&gt;&lt;wsp:rsid wsp:val=&quot;0032062E&quot;/&gt;&lt;wsp:rsid wsp:val=&quot;0032083D&quot;/&gt;&lt;wsp:rsid wsp:val=&quot;003208E1&quot;/&gt;&lt;wsp:rsid wsp:val=&quot;00320B05&quot;/&gt;&lt;wsp:rsid wsp:val=&quot;00320CFE&quot;/&gt;&lt;wsp:rsid wsp:val=&quot;00320ED3&quot;/&gt;&lt;wsp:rsid wsp:val=&quot;003214C6&quot;/&gt;&lt;wsp:rsid wsp:val=&quot;003219C9&quot;/&gt;&lt;wsp:rsid wsp:val=&quot;00321AD2&quot;/&gt;&lt;wsp:rsid wsp:val=&quot;00321C48&quot;/&gt;&lt;wsp:rsid wsp:val=&quot;003230E9&quot;/&gt;&lt;wsp:rsid wsp:val=&quot;0032331B&quot;/&gt;&lt;wsp:rsid wsp:val=&quot;003235C4&quot;/&gt;&lt;wsp:rsid wsp:val=&quot;003235CB&quot;/&gt;&lt;wsp:rsid wsp:val=&quot;003236D2&quot;/&gt;&lt;wsp:rsid wsp:val=&quot;003237D8&quot;/&gt;&lt;wsp:rsid wsp:val=&quot;00323828&quot;/&gt;&lt;wsp:rsid wsp:val=&quot;0032393E&quot;/&gt;&lt;wsp:rsid wsp:val=&quot;00323A06&quot;/&gt;&lt;wsp:rsid wsp:val=&quot;00323C50&quot;/&gt;&lt;wsp:rsid wsp:val=&quot;003240AF&quot;/&gt;&lt;wsp:rsid wsp:val=&quot;0032436C&quot;/&gt;&lt;wsp:rsid wsp:val=&quot;00324372&quot;/&gt;&lt;wsp:rsid wsp:val=&quot;003246A4&quot;/&gt;&lt;wsp:rsid wsp:val=&quot;00324BD8&quot;/&gt;&lt;wsp:rsid wsp:val=&quot;003250F2&quot;/&gt;&lt;wsp:rsid wsp:val=&quot;003251C1&quot;/&gt;&lt;wsp:rsid wsp:val=&quot;003254DA&quot;/&gt;&lt;wsp:rsid wsp:val=&quot;00325532&quot;/&gt;&lt;wsp:rsid wsp:val=&quot;003255BD&quot;/&gt;&lt;wsp:rsid wsp:val=&quot;003259F0&quot;/&gt;&lt;wsp:rsid wsp:val=&quot;00325BB0&quot;/&gt;&lt;wsp:rsid wsp:val=&quot;00325C32&quot;/&gt;&lt;wsp:rsid wsp:val=&quot;00326417&quot;/&gt;&lt;wsp:rsid wsp:val=&quot;00326DB6&quot;/&gt;&lt;wsp:rsid wsp:val=&quot;00327500&quot;/&gt;&lt;wsp:rsid wsp:val=&quot;00327E03&quot;/&gt;&lt;wsp:rsid wsp:val=&quot;0033020A&quot;/&gt;&lt;wsp:rsid wsp:val=&quot;00330F62&quot;/&gt;&lt;wsp:rsid wsp:val=&quot;003318E3&quot;/&gt;&lt;wsp:rsid wsp:val=&quot;00332138&quot;/&gt;&lt;wsp:rsid wsp:val=&quot;003324FC&quot;/&gt;&lt;wsp:rsid wsp:val=&quot;003331DF&quot;/&gt;&lt;wsp:rsid wsp:val=&quot;00333664&quot;/&gt;&lt;wsp:rsid wsp:val=&quot;0033369A&quot;/&gt;&lt;wsp:rsid wsp:val=&quot;003337DB&quot;/&gt;&lt;wsp:rsid wsp:val=&quot;0033393B&quot;/&gt;&lt;wsp:rsid wsp:val=&quot;003343B4&quot;/&gt;&lt;wsp:rsid wsp:val=&quot;00334822&quot;/&gt;&lt;wsp:rsid wsp:val=&quot;00334D10&quot;/&gt;&lt;wsp:rsid wsp:val=&quot;00334D1C&quot;/&gt;&lt;wsp:rsid wsp:val=&quot;00334E87&quot;/&gt;&lt;wsp:rsid wsp:val=&quot;00335368&quot;/&gt;&lt;wsp:rsid wsp:val=&quot;003356E5&quot;/&gt;&lt;wsp:rsid wsp:val=&quot;00335727&quot;/&gt;&lt;wsp:rsid wsp:val=&quot;00335E03&quot;/&gt;&lt;wsp:rsid wsp:val=&quot;00336379&quot;/&gt;&lt;wsp:rsid wsp:val=&quot;003363D7&quot;/&gt;&lt;wsp:rsid wsp:val=&quot;0033696D&quot;/&gt;&lt;wsp:rsid wsp:val=&quot;00336AD5&quot;/&gt;&lt;wsp:rsid wsp:val=&quot;003373A3&quot;/&gt;&lt;wsp:rsid wsp:val=&quot;00337486&quot;/&gt;&lt;wsp:rsid wsp:val=&quot;003378B4&quot;/&gt;&lt;wsp:rsid wsp:val=&quot;00337A16&quot;/&gt;&lt;wsp:rsid wsp:val=&quot;00340030&quot;/&gt;&lt;wsp:rsid wsp:val=&quot;00340280&quot;/&gt;&lt;wsp:rsid wsp:val=&quot;00340AEC&quot;/&gt;&lt;wsp:rsid wsp:val=&quot;00340F85&quot;/&gt;&lt;wsp:rsid wsp:val=&quot;003411E9&quot;/&gt;&lt;wsp:rsid wsp:val=&quot;00341259&quot;/&gt;&lt;wsp:rsid wsp:val=&quot;003412EC&quot;/&gt;&lt;wsp:rsid wsp:val=&quot;003416DD&quot;/&gt;&lt;wsp:rsid wsp:val=&quot;00341793&quot;/&gt;&lt;wsp:rsid wsp:val=&quot;00342002&quot;/&gt;&lt;wsp:rsid wsp:val=&quot;003420B1&quot;/&gt;&lt;wsp:rsid wsp:val=&quot;00342376&quot;/&gt;&lt;wsp:rsid wsp:val=&quot;00342466&quot;/&gt;&lt;wsp:rsid wsp:val=&quot;00342AFF&quot;/&gt;&lt;wsp:rsid wsp:val=&quot;00342F82&quot;/&gt;&lt;wsp:rsid wsp:val=&quot;0034319C&quot;/&gt;&lt;wsp:rsid wsp:val=&quot;003437E7&quot;/&gt;&lt;wsp:rsid wsp:val=&quot;0034390E&quot;/&gt;&lt;wsp:rsid wsp:val=&quot;00344744&quot;/&gt;&lt;wsp:rsid wsp:val=&quot;00344AEB&quot;/&gt;&lt;wsp:rsid wsp:val=&quot;00344B58&quot;/&gt;&lt;wsp:rsid wsp:val=&quot;00344CAE&quot;/&gt;&lt;wsp:rsid wsp:val=&quot;0034525B&quot;/&gt;&lt;wsp:rsid wsp:val=&quot;0034529F&quot;/&gt;&lt;wsp:rsid wsp:val=&quot;00346473&quot;/&gt;&lt;wsp:rsid wsp:val=&quot;003467B6&quot;/&gt;&lt;wsp:rsid wsp:val=&quot;00346DDE&quot;/&gt;&lt;wsp:rsid wsp:val=&quot;0034701D&quot;/&gt;&lt;wsp:rsid wsp:val=&quot;003474FC&quot;/&gt;&lt;wsp:rsid wsp:val=&quot;0034767A&quot;/&gt;&lt;wsp:rsid wsp:val=&quot;00347C5C&quot;/&gt;&lt;wsp:rsid wsp:val=&quot;00347E72&quot;/&gt;&lt;wsp:rsid wsp:val=&quot;00350280&quot;/&gt;&lt;wsp:rsid wsp:val=&quot;00350400&quot;/&gt;&lt;wsp:rsid wsp:val=&quot;00350464&quot;/&gt;&lt;wsp:rsid wsp:val=&quot;0035081E&quot;/&gt;&lt;wsp:rsid wsp:val=&quot;00350C2D&quot;/&gt;&lt;wsp:rsid wsp:val=&quot;00350F52&quot;/&gt;&lt;wsp:rsid wsp:val=&quot;003511DD&quot;/&gt;&lt;wsp:rsid wsp:val=&quot;00351433&quot;/&gt;&lt;wsp:rsid wsp:val=&quot;003531E7&quot;/&gt;&lt;wsp:rsid wsp:val=&quot;0035387B&quot;/&gt;&lt;wsp:rsid wsp:val=&quot;00353B14&quot;/&gt;&lt;wsp:rsid wsp:val=&quot;00354086&quot;/&gt;&lt;wsp:rsid wsp:val=&quot;003543E6&quot;/&gt;&lt;wsp:rsid wsp:val=&quot;0035446A&quot;/&gt;&lt;wsp:rsid wsp:val=&quot;003544EA&quot;/&gt;&lt;wsp:rsid wsp:val=&quot;0035481A&quot;/&gt;&lt;wsp:rsid wsp:val=&quot;00354901&quot;/&gt;&lt;wsp:rsid wsp:val=&quot;00354C27&quot;/&gt;&lt;wsp:rsid wsp:val=&quot;00354D6C&quot;/&gt;&lt;wsp:rsid wsp:val=&quot;0035565E&quot;/&gt;&lt;wsp:rsid wsp:val=&quot;003566C2&quot;/&gt;&lt;wsp:rsid wsp:val=&quot;00356A86&quot;/&gt;&lt;wsp:rsid wsp:val=&quot;00356B40&quot;/&gt;&lt;wsp:rsid wsp:val=&quot;00356FC0&quot;/&gt;&lt;wsp:rsid wsp:val=&quot;003570B6&quot;/&gt;&lt;wsp:rsid wsp:val=&quot;0035728C&quot;/&gt;&lt;wsp:rsid wsp:val=&quot;00357601&quot;/&gt;&lt;wsp:rsid wsp:val=&quot;00357683&quot;/&gt;&lt;wsp:rsid wsp:val=&quot;0036026F&quot;/&gt;&lt;wsp:rsid wsp:val=&quot;00360417&quot;/&gt;&lt;wsp:rsid wsp:val=&quot;003604CA&quot;/&gt;&lt;wsp:rsid wsp:val=&quot;003607B6&quot;/&gt;&lt;wsp:rsid wsp:val=&quot;00361007&quot;/&gt;&lt;wsp:rsid wsp:val=&quot;00361176&quot;/&gt;&lt;wsp:rsid wsp:val=&quot;00361362&quot;/&gt;&lt;wsp:rsid wsp:val=&quot;0036156A&quot;/&gt;&lt;wsp:rsid wsp:val=&quot;0036174C&quot;/&gt;&lt;wsp:rsid wsp:val=&quot;003618F8&quot;/&gt;&lt;wsp:rsid wsp:val=&quot;00361E1D&quot;/&gt;&lt;wsp:rsid wsp:val=&quot;00361EE4&quot;/&gt;&lt;wsp:rsid wsp:val=&quot;00361EE7&quot;/&gt;&lt;wsp:rsid wsp:val=&quot;00362298&quot;/&gt;&lt;wsp:rsid wsp:val=&quot;00362303&quot;/&gt;&lt;wsp:rsid wsp:val=&quot;0036238B&quot;/&gt;&lt;wsp:rsid wsp:val=&quot;0036242F&quot;/&gt;&lt;wsp:rsid wsp:val=&quot;00362447&quot;/&gt;&lt;wsp:rsid wsp:val=&quot;0036267A&quot;/&gt;&lt;wsp:rsid wsp:val=&quot;003629FF&quot;/&gt;&lt;wsp:rsid wsp:val=&quot;00362B25&quot;/&gt;&lt;wsp:rsid wsp:val=&quot;00362CC2&quot;/&gt;&lt;wsp:rsid wsp:val=&quot;00362D5A&quot;/&gt;&lt;wsp:rsid wsp:val=&quot;00362ED2&quot;/&gt;&lt;wsp:rsid wsp:val=&quot;00362F50&quot;/&gt;&lt;wsp:rsid wsp:val=&quot;003635E9&quot;/&gt;&lt;wsp:rsid wsp:val=&quot;0036368E&quot;/&gt;&lt;wsp:rsid wsp:val=&quot;00363A04&quot;/&gt;&lt;wsp:rsid wsp:val=&quot;00363B65&quot;/&gt;&lt;wsp:rsid wsp:val=&quot;00363B9C&quot;/&gt;&lt;wsp:rsid wsp:val=&quot;0036503A&quot;/&gt;&lt;wsp:rsid wsp:val=&quot;003650C4&quot;/&gt;&lt;wsp:rsid wsp:val=&quot;0036536F&quot;/&gt;&lt;wsp:rsid wsp:val=&quot;003656FD&quot;/&gt;&lt;wsp:rsid wsp:val=&quot;00365AF8&quot;/&gt;&lt;wsp:rsid wsp:val=&quot;00366230&quot;/&gt;&lt;wsp:rsid wsp:val=&quot;003664B4&quot;/&gt;&lt;wsp:rsid wsp:val=&quot;003668DD&quot;/&gt;&lt;wsp:rsid wsp:val=&quot;003668E7&quot;/&gt;&lt;wsp:rsid wsp:val=&quot;0036698F&quot;/&gt;&lt;wsp:rsid wsp:val=&quot;00366AC4&quot;/&gt;&lt;wsp:rsid wsp:val=&quot;00366DC0&quot;/&gt;&lt;wsp:rsid wsp:val=&quot;00366E27&quot;/&gt;&lt;wsp:rsid wsp:val=&quot;00367046&quot;/&gt;&lt;wsp:rsid wsp:val=&quot;00367140&quot;/&gt;&lt;wsp:rsid wsp:val=&quot;00367470&quot;/&gt;&lt;wsp:rsid wsp:val=&quot;00367573&quot;/&gt;&lt;wsp:rsid wsp:val=&quot;00367758&quot;/&gt;&lt;wsp:rsid wsp:val=&quot;00367B22&quot;/&gt;&lt;wsp:rsid wsp:val=&quot;00367B91&quot;/&gt;&lt;wsp:rsid wsp:val=&quot;00367E4B&quot;/&gt;&lt;wsp:rsid wsp:val=&quot;0037000A&quot;/&gt;&lt;wsp:rsid wsp:val=&quot;00370219&quot;/&gt;&lt;wsp:rsid wsp:val=&quot;0037043E&quot;/&gt;&lt;wsp:rsid wsp:val=&quot;003708D7&quot;/&gt;&lt;wsp:rsid wsp:val=&quot;003709B7&quot;/&gt;&lt;wsp:rsid wsp:val=&quot;003720AE&quot;/&gt;&lt;wsp:rsid wsp:val=&quot;00372677&quot;/&gt;&lt;wsp:rsid wsp:val=&quot;0037268F&quot;/&gt;&lt;wsp:rsid wsp:val=&quot;003726E7&quot;/&gt;&lt;wsp:rsid wsp:val=&quot;003727AB&quot;/&gt;&lt;wsp:rsid wsp:val=&quot;003727BE&quot;/&gt;&lt;wsp:rsid wsp:val=&quot;00372DE1&quot;/&gt;&lt;wsp:rsid wsp:val=&quot;00372DEF&quot;/&gt;&lt;wsp:rsid wsp:val=&quot;00373100&quot;/&gt;&lt;wsp:rsid wsp:val=&quot;00373363&quot;/&gt;&lt;wsp:rsid wsp:val=&quot;003733F5&quot;/&gt;&lt;wsp:rsid wsp:val=&quot;00373886&quot;/&gt;&lt;wsp:rsid wsp:val=&quot;00373C6E&quot;/&gt;&lt;wsp:rsid wsp:val=&quot;00373E6B&quot;/&gt;&lt;wsp:rsid wsp:val=&quot;00374357&quot;/&gt;&lt;wsp:rsid wsp:val=&quot;00374813&quot;/&gt;&lt;wsp:rsid wsp:val=&quot;00374AF9&quot;/&gt;&lt;wsp:rsid wsp:val=&quot;00374B7E&quot;/&gt;&lt;wsp:rsid wsp:val=&quot;00374F75&quot;/&gt;&lt;wsp:rsid wsp:val=&quot;003754DB&quot;/&gt;&lt;wsp:rsid wsp:val=&quot;00375992&quot;/&gt;&lt;wsp:rsid wsp:val=&quot;00375A95&quot;/&gt;&lt;wsp:rsid wsp:val=&quot;00375AE4&quot;/&gt;&lt;wsp:rsid wsp:val=&quot;00375AFA&quot;/&gt;&lt;wsp:rsid wsp:val=&quot;00375DC6&quot;/&gt;&lt;wsp:rsid wsp:val=&quot;0037614F&quot;/&gt;&lt;wsp:rsid wsp:val=&quot;003761C1&quot;/&gt;&lt;wsp:rsid wsp:val=&quot;00376377&quot;/&gt;&lt;wsp:rsid wsp:val=&quot;00376848&quot;/&gt;&lt;wsp:rsid wsp:val=&quot;003772D1&quot;/&gt;&lt;wsp:rsid wsp:val=&quot;003774E9&quot;/&gt;&lt;wsp:rsid wsp:val=&quot;003775F1&quot;/&gt;&lt;wsp:rsid wsp:val=&quot;00377822&quot;/&gt;&lt;wsp:rsid wsp:val=&quot;00377868&quot;/&gt;&lt;wsp:rsid wsp:val=&quot;003779B4&quot;/&gt;&lt;wsp:rsid wsp:val=&quot;003801C6&quot;/&gt;&lt;wsp:rsid wsp:val=&quot;003802D2&quot;/&gt;&lt;wsp:rsid wsp:val=&quot;0038105C&quot;/&gt;&lt;wsp:rsid wsp:val=&quot;003819C5&quot;/&gt;&lt;wsp:rsid wsp:val=&quot;00381FAA&quot;/&gt;&lt;wsp:rsid wsp:val=&quot;00381FB2&quot;/&gt;&lt;wsp:rsid wsp:val=&quot;00382640&quot;/&gt;&lt;wsp:rsid wsp:val=&quot;0038285C&quot;/&gt;&lt;wsp:rsid wsp:val=&quot;00382982&quot;/&gt;&lt;wsp:rsid wsp:val=&quot;003829EC&quot;/&gt;&lt;wsp:rsid wsp:val=&quot;00382B02&quot;/&gt;&lt;wsp:rsid wsp:val=&quot;00382DCF&quot;/&gt;&lt;wsp:rsid wsp:val=&quot;00382F96&quot;/&gt;&lt;wsp:rsid wsp:val=&quot;0038370C&quot;/&gt;&lt;wsp:rsid wsp:val=&quot;00383A4C&quot;/&gt;&lt;wsp:rsid wsp:val=&quot;00383B58&quot;/&gt;&lt;wsp:rsid wsp:val=&quot;00383D6C&quot;/&gt;&lt;wsp:rsid wsp:val=&quot;003847EC&quot;/&gt;&lt;wsp:rsid wsp:val=&quot;003849BF&quot;/&gt;&lt;wsp:rsid wsp:val=&quot;003852D0&quot;/&gt;&lt;wsp:rsid wsp:val=&quot;003853A9&quot;/&gt;&lt;wsp:rsid wsp:val=&quot;003853E4&quot;/&gt;&lt;wsp:rsid wsp:val=&quot;00385589&quot;/&gt;&lt;wsp:rsid wsp:val=&quot;003859F2&quot;/&gt;&lt;wsp:rsid wsp:val=&quot;00386673&quot;/&gt;&lt;wsp:rsid wsp:val=&quot;003868A5&quot;/&gt;&lt;wsp:rsid wsp:val=&quot;00386A51&quot;/&gt;&lt;wsp:rsid wsp:val=&quot;00386FED&quot;/&gt;&lt;wsp:rsid wsp:val=&quot;003871F0&quot;/&gt;&lt;wsp:rsid wsp:val=&quot;00387220&quot;/&gt;&lt;wsp:rsid wsp:val=&quot;00387329&quot;/&gt;&lt;wsp:rsid wsp:val=&quot;0038750E&quot;/&gt;&lt;wsp:rsid wsp:val=&quot;00390030&quot;/&gt;&lt;wsp:rsid wsp:val=&quot;00390325&quot;/&gt;&lt;wsp:rsid wsp:val=&quot;0039073A&quot;/&gt;&lt;wsp:rsid wsp:val=&quot;0039076A&quot;/&gt;&lt;wsp:rsid wsp:val=&quot;00390886&quot;/&gt;&lt;wsp:rsid wsp:val=&quot;00390DD5&quot;/&gt;&lt;wsp:rsid wsp:val=&quot;00391B37&quot;/&gt;&lt;wsp:rsid wsp:val=&quot;00391D35&quot;/&gt;&lt;wsp:rsid wsp:val=&quot;00392699&quot;/&gt;&lt;wsp:rsid wsp:val=&quot;003927B4&quot;/&gt;&lt;wsp:rsid wsp:val=&quot;00392D74&quot;/&gt;&lt;wsp:rsid wsp:val=&quot;00392DB0&quot;/&gt;&lt;wsp:rsid wsp:val=&quot;00392E89&quot;/&gt;&lt;wsp:rsid wsp:val=&quot;00392EA1&quot;/&gt;&lt;wsp:rsid wsp:val=&quot;00392FD7&quot;/&gt;&lt;wsp:rsid wsp:val=&quot;003940AA&quot;/&gt;&lt;wsp:rsid wsp:val=&quot;003942B8&quot;/&gt;&lt;wsp:rsid wsp:val=&quot;003942F9&quot;/&gt;&lt;wsp:rsid wsp:val=&quot;003948BD&quot;/&gt;&lt;wsp:rsid wsp:val=&quot;00394966&quot;/&gt;&lt;wsp:rsid wsp:val=&quot;00394D96&quot;/&gt;&lt;wsp:rsid wsp:val=&quot;0039512E&quot;/&gt;&lt;wsp:rsid wsp:val=&quot;0039590F&quot;/&gt;&lt;wsp:rsid wsp:val=&quot;00395AE7&quot;/&gt;&lt;wsp:rsid wsp:val=&quot;00395AFC&quot;/&gt;&lt;wsp:rsid wsp:val=&quot;00395B4E&quot;/&gt;&lt;wsp:rsid wsp:val=&quot;00395C0A&quot;/&gt;&lt;wsp:rsid wsp:val=&quot;003960AD&quot;/&gt;&lt;wsp:rsid wsp:val=&quot;003961C8&quot;/&gt;&lt;wsp:rsid wsp:val=&quot;00396267&quot;/&gt;&lt;wsp:rsid wsp:val=&quot;00396404&quot;/&gt;&lt;wsp:rsid wsp:val=&quot;00396539&quot;/&gt;&lt;wsp:rsid wsp:val=&quot;0039677A&quot;/&gt;&lt;wsp:rsid wsp:val=&quot;00397158&quot;/&gt;&lt;wsp:rsid wsp:val=&quot;003973E6&quot;/&gt;&lt;wsp:rsid wsp:val=&quot;003976C2&quot;/&gt;&lt;wsp:rsid wsp:val=&quot;00397977&quot;/&gt;&lt;wsp:rsid wsp:val=&quot;00397B87&quot;/&gt;&lt;wsp:rsid wsp:val=&quot;00397D52&quot;/&gt;&lt;wsp:rsid wsp:val=&quot;00397FA8&quot;/&gt;&lt;wsp:rsid wsp:val=&quot;003A026C&quot;/&gt;&lt;wsp:rsid wsp:val=&quot;003A0A5A&quot;/&gt;&lt;wsp:rsid wsp:val=&quot;003A1E22&quot;/&gt;&lt;wsp:rsid wsp:val=&quot;003A2524&quot;/&gt;&lt;wsp:rsid wsp:val=&quot;003A27BC&quot;/&gt;&lt;wsp:rsid wsp:val=&quot;003A2B89&quot;/&gt;&lt;wsp:rsid wsp:val=&quot;003A324A&quot;/&gt;&lt;wsp:rsid wsp:val=&quot;003A391B&quot;/&gt;&lt;wsp:rsid wsp:val=&quot;003A414D&quot;/&gt;&lt;wsp:rsid wsp:val=&quot;003A41B4&quot;/&gt;&lt;wsp:rsid wsp:val=&quot;003A42D4&quot;/&gt;&lt;wsp:rsid wsp:val=&quot;003A45CF&quot;/&gt;&lt;wsp:rsid wsp:val=&quot;003A468F&quot;/&gt;&lt;wsp:rsid wsp:val=&quot;003A4859&quot;/&gt;&lt;wsp:rsid wsp:val=&quot;003A499E&quot;/&gt;&lt;wsp:rsid wsp:val=&quot;003A4A34&quot;/&gt;&lt;wsp:rsid wsp:val=&quot;003A51B9&quot;/&gt;&lt;wsp:rsid wsp:val=&quot;003A520B&quot;/&gt;&lt;wsp:rsid wsp:val=&quot;003A5705&quot;/&gt;&lt;wsp:rsid wsp:val=&quot;003A5A8F&quot;/&gt;&lt;wsp:rsid wsp:val=&quot;003A60DE&quot;/&gt;&lt;wsp:rsid wsp:val=&quot;003A625D&quot;/&gt;&lt;wsp:rsid wsp:val=&quot;003A6A74&quot;/&gt;&lt;wsp:rsid wsp:val=&quot;003A7558&quot;/&gt;&lt;wsp:rsid wsp:val=&quot;003A7862&quot;/&gt;&lt;wsp:rsid wsp:val=&quot;003B00A6&quot;/&gt;&lt;wsp:rsid wsp:val=&quot;003B00E3&quot;/&gt;&lt;wsp:rsid wsp:val=&quot;003B035B&quot;/&gt;&lt;wsp:rsid wsp:val=&quot;003B0374&quot;/&gt;&lt;wsp:rsid wsp:val=&quot;003B03BD&quot;/&gt;&lt;wsp:rsid wsp:val=&quot;003B0B61&quot;/&gt;&lt;wsp:rsid wsp:val=&quot;003B131F&quot;/&gt;&lt;wsp:rsid wsp:val=&quot;003B170C&quot;/&gt;&lt;wsp:rsid wsp:val=&quot;003B1BEB&quot;/&gt;&lt;wsp:rsid wsp:val=&quot;003B218E&quot;/&gt;&lt;wsp:rsid wsp:val=&quot;003B24E6&quot;/&gt;&lt;wsp:rsid wsp:val=&quot;003B2813&quot;/&gt;&lt;wsp:rsid wsp:val=&quot;003B289D&quot;/&gt;&lt;wsp:rsid wsp:val=&quot;003B2D7F&quot;/&gt;&lt;wsp:rsid wsp:val=&quot;003B31C2&quot;/&gt;&lt;wsp:rsid wsp:val=&quot;003B379E&quot;/&gt;&lt;wsp:rsid wsp:val=&quot;003B397C&quot;/&gt;&lt;wsp:rsid wsp:val=&quot;003B3BCD&quot;/&gt;&lt;wsp:rsid wsp:val=&quot;003B3C69&quot;/&gt;&lt;wsp:rsid wsp:val=&quot;003B3D58&quot;/&gt;&lt;wsp:rsid wsp:val=&quot;003B3D62&quot;/&gt;&lt;wsp:rsid wsp:val=&quot;003B4235&quot;/&gt;&lt;wsp:rsid wsp:val=&quot;003B46E9&quot;/&gt;&lt;wsp:rsid wsp:val=&quot;003B474A&quot;/&gt;&lt;wsp:rsid wsp:val=&quot;003B4B10&quot;/&gt;&lt;wsp:rsid wsp:val=&quot;003B4CF9&quot;/&gt;&lt;wsp:rsid wsp:val=&quot;003B5723&quot;/&gt;&lt;wsp:rsid wsp:val=&quot;003B62CE&quot;/&gt;&lt;wsp:rsid wsp:val=&quot;003B63D8&quot;/&gt;&lt;wsp:rsid wsp:val=&quot;003B6422&quot;/&gt;&lt;wsp:rsid wsp:val=&quot;003B6474&quot;/&gt;&lt;wsp:rsid wsp:val=&quot;003B69BC&quot;/&gt;&lt;wsp:rsid wsp:val=&quot;003B7235&quot;/&gt;&lt;wsp:rsid wsp:val=&quot;003B7614&quot;/&gt;&lt;wsp:rsid wsp:val=&quot;003B7673&quot;/&gt;&lt;wsp:rsid wsp:val=&quot;003B76A9&quot;/&gt;&lt;wsp:rsid wsp:val=&quot;003B76E6&quot;/&gt;&lt;wsp:rsid wsp:val=&quot;003C0142&quot;/&gt;&lt;wsp:rsid wsp:val=&quot;003C04FC&quot;/&gt;&lt;wsp:rsid wsp:val=&quot;003C07AB&quot;/&gt;&lt;wsp:rsid wsp:val=&quot;003C092C&quot;/&gt;&lt;wsp:rsid wsp:val=&quot;003C0C95&quot;/&gt;&lt;wsp:rsid wsp:val=&quot;003C0CC8&quot;/&gt;&lt;wsp:rsid wsp:val=&quot;003C0D59&quot;/&gt;&lt;wsp:rsid wsp:val=&quot;003C15CF&quot;/&gt;&lt;wsp:rsid wsp:val=&quot;003C17F9&quot;/&gt;&lt;wsp:rsid wsp:val=&quot;003C237E&quot;/&gt;&lt;wsp:rsid wsp:val=&quot;003C261A&quot;/&gt;&lt;wsp:rsid wsp:val=&quot;003C26EE&quot;/&gt;&lt;wsp:rsid wsp:val=&quot;003C2714&quot;/&gt;&lt;wsp:rsid wsp:val=&quot;003C2746&quot;/&gt;&lt;wsp:rsid wsp:val=&quot;003C2791&quot;/&gt;&lt;wsp:rsid wsp:val=&quot;003C2966&quot;/&gt;&lt;wsp:rsid wsp:val=&quot;003C2FE0&quot;/&gt;&lt;wsp:rsid wsp:val=&quot;003C35A1&quot;/&gt;&lt;wsp:rsid wsp:val=&quot;003C40FB&quot;/&gt;&lt;wsp:rsid wsp:val=&quot;003C443B&quot;/&gt;&lt;wsp:rsid wsp:val=&quot;003C49BD&quot;/&gt;&lt;wsp:rsid wsp:val=&quot;003C4AF7&quot;/&gt;&lt;wsp:rsid wsp:val=&quot;003C4CEA&quot;/&gt;&lt;wsp:rsid wsp:val=&quot;003C564D&quot;/&gt;&lt;wsp:rsid wsp:val=&quot;003C58A4&quot;/&gt;&lt;wsp:rsid wsp:val=&quot;003C65EE&quot;/&gt;&lt;wsp:rsid wsp:val=&quot;003C65FF&quot;/&gt;&lt;wsp:rsid wsp:val=&quot;003C6C30&quot;/&gt;&lt;wsp:rsid wsp:val=&quot;003C6D2E&quot;/&gt;&lt;wsp:rsid wsp:val=&quot;003C7579&quot;/&gt;&lt;wsp:rsid wsp:val=&quot;003D007F&quot;/&gt;&lt;wsp:rsid wsp:val=&quot;003D02AF&quot;/&gt;&lt;wsp:rsid wsp:val=&quot;003D07B6&quot;/&gt;&lt;wsp:rsid wsp:val=&quot;003D0B69&quot;/&gt;&lt;wsp:rsid wsp:val=&quot;003D0C0E&quot;/&gt;&lt;wsp:rsid wsp:val=&quot;003D0D11&quot;/&gt;&lt;wsp:rsid wsp:val=&quot;003D115D&quot;/&gt;&lt;wsp:rsid wsp:val=&quot;003D1D3C&quot;/&gt;&lt;wsp:rsid wsp:val=&quot;003D2482&quot;/&gt;&lt;wsp:rsid wsp:val=&quot;003D2726&quot;/&gt;&lt;wsp:rsid wsp:val=&quot;003D2813&quot;/&gt;&lt;wsp:rsid wsp:val=&quot;003D2827&quot;/&gt;&lt;wsp:rsid wsp:val=&quot;003D28B4&quot;/&gt;&lt;wsp:rsid wsp:val=&quot;003D2B5F&quot;/&gt;&lt;wsp:rsid wsp:val=&quot;003D3486&quot;/&gt;&lt;wsp:rsid wsp:val=&quot;003D3DBF&quot;/&gt;&lt;wsp:rsid wsp:val=&quot;003D4FC4&quot;/&gt;&lt;wsp:rsid wsp:val=&quot;003D5C02&quot;/&gt;&lt;wsp:rsid wsp:val=&quot;003D5D49&quot;/&gt;&lt;wsp:rsid wsp:val=&quot;003D5EC3&quot;/&gt;&lt;wsp:rsid wsp:val=&quot;003D6291&quot;/&gt;&lt;wsp:rsid wsp:val=&quot;003D62FE&quot;/&gt;&lt;wsp:rsid wsp:val=&quot;003D678D&quot;/&gt;&lt;wsp:rsid wsp:val=&quot;003D68E6&quot;/&gt;&lt;wsp:rsid wsp:val=&quot;003D6E19&quot;/&gt;&lt;wsp:rsid wsp:val=&quot;003D70FB&quot;/&gt;&lt;wsp:rsid wsp:val=&quot;003D77A8&quot;/&gt;&lt;wsp:rsid wsp:val=&quot;003D7AD3&quot;/&gt;&lt;wsp:rsid wsp:val=&quot;003D7FA4&quot;/&gt;&lt;wsp:rsid wsp:val=&quot;003E032B&quot;/&gt;&lt;wsp:rsid wsp:val=&quot;003E0B4B&quot;/&gt;&lt;wsp:rsid wsp:val=&quot;003E113A&quot;/&gt;&lt;wsp:rsid wsp:val=&quot;003E1C74&quot;/&gt;&lt;wsp:rsid wsp:val=&quot;003E1E03&quot;/&gt;&lt;wsp:rsid wsp:val=&quot;003E2182&quot;/&gt;&lt;wsp:rsid wsp:val=&quot;003E273D&quot;/&gt;&lt;wsp:rsid wsp:val=&quot;003E2A1B&quot;/&gt;&lt;wsp:rsid wsp:val=&quot;003E2BC0&quot;/&gt;&lt;wsp:rsid wsp:val=&quot;003E303D&quot;/&gt;&lt;wsp:rsid wsp:val=&quot;003E317A&quot;/&gt;&lt;wsp:rsid wsp:val=&quot;003E3421&quot;/&gt;&lt;wsp:rsid wsp:val=&quot;003E3634&quot;/&gt;&lt;wsp:rsid wsp:val=&quot;003E36AC&quot;/&gt;&lt;wsp:rsid wsp:val=&quot;003E3ABB&quot;/&gt;&lt;wsp:rsid wsp:val=&quot;003E3B73&quot;/&gt;&lt;wsp:rsid wsp:val=&quot;003E48A8&quot;/&gt;&lt;wsp:rsid wsp:val=&quot;003E4923&quot;/&gt;&lt;wsp:rsid wsp:val=&quot;003E4A12&quot;/&gt;&lt;wsp:rsid wsp:val=&quot;003E594B&quot;/&gt;&lt;wsp:rsid wsp:val=&quot;003E5D71&quot;/&gt;&lt;wsp:rsid wsp:val=&quot;003E5EB8&quot;/&gt;&lt;wsp:rsid wsp:val=&quot;003E6743&quot;/&gt;&lt;wsp:rsid wsp:val=&quot;003E6B7F&quot;/&gt;&lt;wsp:rsid wsp:val=&quot;003E6F45&quot;/&gt;&lt;wsp:rsid wsp:val=&quot;003E6F9B&quot;/&gt;&lt;wsp:rsid wsp:val=&quot;003E7100&quot;/&gt;&lt;wsp:rsid wsp:val=&quot;003E78A7&quot;/&gt;&lt;wsp:rsid wsp:val=&quot;003F0040&quot;/&gt;&lt;wsp:rsid wsp:val=&quot;003F03D2&quot;/&gt;&lt;wsp:rsid wsp:val=&quot;003F04C5&quot;/&gt;&lt;wsp:rsid wsp:val=&quot;003F0D55&quot;/&gt;&lt;wsp:rsid wsp:val=&quot;003F0EFA&quot;/&gt;&lt;wsp:rsid wsp:val=&quot;003F0FF2&quot;/&gt;&lt;wsp:rsid wsp:val=&quot;003F1708&quot;/&gt;&lt;wsp:rsid wsp:val=&quot;003F186B&quot;/&gt;&lt;wsp:rsid wsp:val=&quot;003F19FB&quot;/&gt;&lt;wsp:rsid wsp:val=&quot;003F1DFE&quot;/&gt;&lt;wsp:rsid wsp:val=&quot;003F2740&quot;/&gt;&lt;wsp:rsid wsp:val=&quot;003F2DDE&quot;/&gt;&lt;wsp:rsid wsp:val=&quot;003F2EF0&quot;/&gt;&lt;wsp:rsid wsp:val=&quot;003F30AD&quot;/&gt;&lt;wsp:rsid wsp:val=&quot;003F3836&quot;/&gt;&lt;wsp:rsid wsp:val=&quot;003F394A&quot;/&gt;&lt;wsp:rsid wsp:val=&quot;003F4A3E&quot;/&gt;&lt;wsp:rsid wsp:val=&quot;003F4AF8&quot;/&gt;&lt;wsp:rsid wsp:val=&quot;003F4BD1&quot;/&gt;&lt;wsp:rsid wsp:val=&quot;003F5384&quot;/&gt;&lt;wsp:rsid wsp:val=&quot;003F5562&quot;/&gt;&lt;wsp:rsid wsp:val=&quot;003F56F0&quot;/&gt;&lt;wsp:rsid wsp:val=&quot;003F5787&quot;/&gt;&lt;wsp:rsid wsp:val=&quot;003F5C3E&quot;/&gt;&lt;wsp:rsid wsp:val=&quot;003F5E25&quot;/&gt;&lt;wsp:rsid wsp:val=&quot;003F5F12&quot;/&gt;&lt;wsp:rsid wsp:val=&quot;003F6033&quot;/&gt;&lt;wsp:rsid wsp:val=&quot;003F616E&quot;/&gt;&lt;wsp:rsid wsp:val=&quot;003F68F9&quot;/&gt;&lt;wsp:rsid wsp:val=&quot;003F698F&quot;/&gt;&lt;wsp:rsid wsp:val=&quot;003F6B96&quot;/&gt;&lt;wsp:rsid wsp:val=&quot;003F6BDA&quot;/&gt;&lt;wsp:rsid wsp:val=&quot;003F727B&quot;/&gt;&lt;wsp:rsid wsp:val=&quot;003F7625&quot;/&gt;&lt;wsp:rsid wsp:val=&quot;00400694&quot;/&gt;&lt;wsp:rsid wsp:val=&quot;004007E4&quot;/&gt;&lt;wsp:rsid wsp:val=&quot;00400BBF&quot;/&gt;&lt;wsp:rsid wsp:val=&quot;00400E3D&quot;/&gt;&lt;wsp:rsid wsp:val=&quot;00401477&quot;/&gt;&lt;wsp:rsid wsp:val=&quot;00401686&quot;/&gt;&lt;wsp:rsid wsp:val=&quot;00401DB7&quot;/&gt;&lt;wsp:rsid wsp:val=&quot;00401DD7&quot;/&gt;&lt;wsp:rsid wsp:val=&quot;00401FEE&quot;/&gt;&lt;wsp:rsid wsp:val=&quot;004021CE&quot;/&gt;&lt;wsp:rsid wsp:val=&quot;00402236&quot;/&gt;&lt;wsp:rsid wsp:val=&quot;004022D7&quot;/&gt;&lt;wsp:rsid wsp:val=&quot;004026E2&quot;/&gt;&lt;wsp:rsid wsp:val=&quot;00402CF7&quot;/&gt;&lt;wsp:rsid wsp:val=&quot;00403A6B&quot;/&gt;&lt;wsp:rsid wsp:val=&quot;00403DE1&quot;/&gt;&lt;wsp:rsid wsp:val=&quot;0040416B&quot;/&gt;&lt;wsp:rsid wsp:val=&quot;0040427C&quot;/&gt;&lt;wsp:rsid wsp:val=&quot;0040429A&quot;/&gt;&lt;wsp:rsid wsp:val=&quot;004043CC&quot;/&gt;&lt;wsp:rsid wsp:val=&quot;00404454&quot;/&gt;&lt;wsp:rsid wsp:val=&quot;00404824&quot;/&gt;&lt;wsp:rsid wsp:val=&quot;0040495B&quot;/&gt;&lt;wsp:rsid wsp:val=&quot;00404E75&quot;/&gt;&lt;wsp:rsid wsp:val=&quot;00405086&quot;/&gt;&lt;wsp:rsid wsp:val=&quot;004050CE&quot;/&gt;&lt;wsp:rsid wsp:val=&quot;0040540D&quot;/&gt;&lt;wsp:rsid wsp:val=&quot;004054FE&quot;/&gt;&lt;wsp:rsid wsp:val=&quot;004057E7&quot;/&gt;&lt;wsp:rsid wsp:val=&quot;004058F5&quot;/&gt;&lt;wsp:rsid wsp:val=&quot;00405E41&quot;/&gt;&lt;wsp:rsid wsp:val=&quot;00405E9F&quot;/&gt;&lt;wsp:rsid wsp:val=&quot;004060DF&quot;/&gt;&lt;wsp:rsid wsp:val=&quot;00406384&quot;/&gt;&lt;wsp:rsid wsp:val=&quot;00406721&quot;/&gt;&lt;wsp:rsid wsp:val=&quot;00406801&quot;/&gt;&lt;wsp:rsid wsp:val=&quot;004069D8&quot;/&gt;&lt;wsp:rsid wsp:val=&quot;0040715B&quot;/&gt;&lt;wsp:rsid wsp:val=&quot;00407364&quot;/&gt;&lt;wsp:rsid wsp:val=&quot;0040779B&quot;/&gt;&lt;wsp:rsid wsp:val=&quot;004079A8&quot;/&gt;&lt;wsp:rsid wsp:val=&quot;00407A9E&quot;/&gt;&lt;wsp:rsid wsp:val=&quot;004107A6&quot;/&gt;&lt;wsp:rsid wsp:val=&quot;004107B6&quot;/&gt;&lt;wsp:rsid wsp:val=&quot;004112A6&quot;/&gt;&lt;wsp:rsid wsp:val=&quot;00411434&quot;/&gt;&lt;wsp:rsid wsp:val=&quot;00411ECC&quot;/&gt;&lt;wsp:rsid wsp:val=&quot;0041279E&quot;/&gt;&lt;wsp:rsid wsp:val=&quot;00412A6E&quot;/&gt;&lt;wsp:rsid wsp:val=&quot;00412C2E&quot;/&gt;&lt;wsp:rsid wsp:val=&quot;00412D0D&quot;/&gt;&lt;wsp:rsid wsp:val=&quot;00413004&quot;/&gt;&lt;wsp:rsid wsp:val=&quot;0041317A&quot;/&gt;&lt;wsp:rsid wsp:val=&quot;0041319A&quot;/&gt;&lt;wsp:rsid wsp:val=&quot;004135AE&quot;/&gt;&lt;wsp:rsid wsp:val=&quot;0041383A&quot;/&gt;&lt;wsp:rsid wsp:val=&quot;00413968&quot;/&gt;&lt;wsp:rsid wsp:val=&quot;0041427E&quot;/&gt;&lt;wsp:rsid wsp:val=&quot;004144D9&quot;/&gt;&lt;wsp:rsid wsp:val=&quot;0041462C&quot;/&gt;&lt;wsp:rsid wsp:val=&quot;00414B08&quot;/&gt;&lt;wsp:rsid wsp:val=&quot;00414FAD&quot;/&gt;&lt;wsp:rsid wsp:val=&quot;004152A2&quot;/&gt;&lt;wsp:rsid wsp:val=&quot;00415407&quot;/&gt;&lt;wsp:rsid wsp:val=&quot;004157B6&quot;/&gt;&lt;wsp:rsid wsp:val=&quot;0041587B&quot;/&gt;&lt;wsp:rsid wsp:val=&quot;00415987&quot;/&gt;&lt;wsp:rsid wsp:val=&quot;0041704F&quot;/&gt;&lt;wsp:rsid wsp:val=&quot;004175D8&quot;/&gt;&lt;wsp:rsid wsp:val=&quot;00417F57&quot;/&gt;&lt;wsp:rsid wsp:val=&quot;00417FE3&quot;/&gt;&lt;wsp:rsid wsp:val=&quot;00420F88&quot;/&gt;&lt;wsp:rsid wsp:val=&quot;00420FB4&quot;/&gt;&lt;wsp:rsid wsp:val=&quot;00421980&quot;/&gt;&lt;wsp:rsid wsp:val=&quot;00422056&quot;/&gt;&lt;wsp:rsid wsp:val=&quot;0042260B&quot;/&gt;&lt;wsp:rsid wsp:val=&quot;00422BB5&quot;/&gt;&lt;wsp:rsid wsp:val=&quot;00422C16&quot;/&gt;&lt;wsp:rsid wsp:val=&quot;00422D56&quot;/&gt;&lt;wsp:rsid wsp:val=&quot;00423115&quot;/&gt;&lt;wsp:rsid wsp:val=&quot;0042385B&quot;/&gt;&lt;wsp:rsid wsp:val=&quot;0042396F&quot;/&gt;&lt;wsp:rsid wsp:val=&quot;00423B57&quot;/&gt;&lt;wsp:rsid wsp:val=&quot;00423D2F&quot;/&gt;&lt;wsp:rsid wsp:val=&quot;0042475B&quot;/&gt;&lt;wsp:rsid wsp:val=&quot;00424885&quot;/&gt;&lt;wsp:rsid wsp:val=&quot;00424A56&quot;/&gt;&lt;wsp:rsid wsp:val=&quot;00424BB1&quot;/&gt;&lt;wsp:rsid wsp:val=&quot;00425A0E&quot;/&gt;&lt;wsp:rsid wsp:val=&quot;00425AF1&quot;/&gt;&lt;wsp:rsid wsp:val=&quot;00425C46&quot;/&gt;&lt;wsp:rsid wsp:val=&quot;00425C64&quot;/&gt;&lt;wsp:rsid wsp:val=&quot;00425ED8&quot;/&gt;&lt;wsp:rsid wsp:val=&quot;004263DB&quot;/&gt;&lt;wsp:rsid wsp:val=&quot;00426722&quot;/&gt;&lt;wsp:rsid wsp:val=&quot;00426793&quot;/&gt;&lt;wsp:rsid wsp:val=&quot;00426968&quot;/&gt;&lt;wsp:rsid wsp:val=&quot;00426D04&quot;/&gt;&lt;wsp:rsid wsp:val=&quot;00426D1A&quot;/&gt;&lt;wsp:rsid wsp:val=&quot;0042708E&quot;/&gt;&lt;wsp:rsid wsp:val=&quot;00427169&quot;/&gt;&lt;wsp:rsid wsp:val=&quot;004272B3&quot;/&gt;&lt;wsp:rsid wsp:val=&quot;00427360&quot;/&gt;&lt;wsp:rsid wsp:val=&quot;0042736C&quot;/&gt;&lt;wsp:rsid wsp:val=&quot;004273FC&quot;/&gt;&lt;wsp:rsid wsp:val=&quot;004277C1&quot;/&gt;&lt;wsp:rsid wsp:val=&quot;00427AE6&quot;/&gt;&lt;wsp:rsid wsp:val=&quot;00427DA8&quot;/&gt;&lt;wsp:rsid wsp:val=&quot;00427F65&quot;/&gt;&lt;wsp:rsid wsp:val=&quot;0043059C&quot;/&gt;&lt;wsp:rsid wsp:val=&quot;0043073B&quot;/&gt;&lt;wsp:rsid wsp:val=&quot;004307DF&quot;/&gt;&lt;wsp:rsid wsp:val=&quot;004309CE&quot;/&gt;&lt;wsp:rsid wsp:val=&quot;00430E8D&quot;/&gt;&lt;wsp:rsid wsp:val=&quot;00430FE8&quot;/&gt;&lt;wsp:rsid wsp:val=&quot;0043159E&quot;/&gt;&lt;wsp:rsid wsp:val=&quot;00431FFD&quot;/&gt;&lt;wsp:rsid wsp:val=&quot;004320ED&quot;/&gt;&lt;wsp:rsid wsp:val=&quot;00432299&quot;/&gt;&lt;wsp:rsid wsp:val=&quot;004325DF&quot;/&gt;&lt;wsp:rsid wsp:val=&quot;00432BF3&quot;/&gt;&lt;wsp:rsid wsp:val=&quot;0043302C&quot;/&gt;&lt;wsp:rsid wsp:val=&quot;004332F2&quot;/&gt;&lt;wsp:rsid wsp:val=&quot;00433664&quot;/&gt;&lt;wsp:rsid wsp:val=&quot;004339D8&quot;/&gt;&lt;wsp:rsid wsp:val=&quot;00433CB0&quot;/&gt;&lt;wsp:rsid wsp:val=&quot;00433DA9&quot;/&gt;&lt;wsp:rsid wsp:val=&quot;00433E05&quot;/&gt;&lt;wsp:rsid wsp:val=&quot;00434041&quot;/&gt;&lt;wsp:rsid wsp:val=&quot;00434256&quot;/&gt;&lt;wsp:rsid wsp:val=&quot;00434756&quot;/&gt;&lt;wsp:rsid wsp:val=&quot;00434AD3&quot;/&gt;&lt;wsp:rsid wsp:val=&quot;00434D96&quot;/&gt;&lt;wsp:rsid wsp:val=&quot;00435161&quot;/&gt;&lt;wsp:rsid wsp:val=&quot;004351B1&quot;/&gt;&lt;wsp:rsid wsp:val=&quot;00435391&quot;/&gt;&lt;wsp:rsid wsp:val=&quot;0043545E&quot;/&gt;&lt;wsp:rsid wsp:val=&quot;00435918&quot;/&gt;&lt;wsp:rsid wsp:val=&quot;004359BC&quot;/&gt;&lt;wsp:rsid wsp:val=&quot;00435DC9&quot;/&gt;&lt;wsp:rsid wsp:val=&quot;00436323&quot;/&gt;&lt;wsp:rsid wsp:val=&quot;00436AD9&quot;/&gt;&lt;wsp:rsid wsp:val=&quot;00436B70&quot;/&gt;&lt;wsp:rsid wsp:val=&quot;0043751D&quot;/&gt;&lt;wsp:rsid wsp:val=&quot;00437C23&quot;/&gt;&lt;wsp:rsid wsp:val=&quot;00437C27&quot;/&gt;&lt;wsp:rsid wsp:val=&quot;00437C41&quot;/&gt;&lt;wsp:rsid wsp:val=&quot;00437F7B&quot;/&gt;&lt;wsp:rsid wsp:val=&quot;00437FA1&quot;/&gt;&lt;wsp:rsid wsp:val=&quot;004401F8&quot;/&gt;&lt;wsp:rsid wsp:val=&quot;0044040B&quot;/&gt;&lt;wsp:rsid wsp:val=&quot;00440437&quot;/&gt;&lt;wsp:rsid wsp:val=&quot;004408DC&quot;/&gt;&lt;wsp:rsid wsp:val=&quot;00440FBB&quot;/&gt;&lt;wsp:rsid wsp:val=&quot;00441009&quot;/&gt;&lt;wsp:rsid wsp:val=&quot;004411F9&quot;/&gt;&lt;wsp:rsid wsp:val=&quot;004412B4&quot;/&gt;&lt;wsp:rsid wsp:val=&quot;00441D9E&quot;/&gt;&lt;wsp:rsid wsp:val=&quot;00441F03&quot;/&gt;&lt;wsp:rsid wsp:val=&quot;00442650&quot;/&gt;&lt;wsp:rsid wsp:val=&quot;004426EA&quot;/&gt;&lt;wsp:rsid wsp:val=&quot;00442757&quot;/&gt;&lt;wsp:rsid wsp:val=&quot;00442E55&quot;/&gt;&lt;wsp:rsid wsp:val=&quot;004432F0&quot;/&gt;&lt;wsp:rsid wsp:val=&quot;00443512&quot;/&gt;&lt;wsp:rsid wsp:val=&quot;00443699&quot;/&gt;&lt;wsp:rsid wsp:val=&quot;004439E7&quot;/&gt;&lt;wsp:rsid wsp:val=&quot;00444879&quot;/&gt;&lt;wsp:rsid wsp:val=&quot;004448C5&quot;/&gt;&lt;wsp:rsid wsp:val=&quot;004448DA&quot;/&gt;&lt;wsp:rsid wsp:val=&quot;00444D56&quot;/&gt;&lt;wsp:rsid wsp:val=&quot;004452EA&quot;/&gt;&lt;wsp:rsid wsp:val=&quot;00445A82&quot;/&gt;&lt;wsp:rsid wsp:val=&quot;00445F22&quot;/&gt;&lt;wsp:rsid wsp:val=&quot;004462D5&quot;/&gt;&lt;wsp:rsid wsp:val=&quot;004465EF&quot;/&gt;&lt;wsp:rsid wsp:val=&quot;004467B4&quot;/&gt;&lt;wsp:rsid wsp:val=&quot;0044696A&quot;/&gt;&lt;wsp:rsid wsp:val=&quot;00446E07&quot;/&gt;&lt;wsp:rsid wsp:val=&quot;004470A9&quot;/&gt;&lt;wsp:rsid wsp:val=&quot;00447D66&quot;/&gt;&lt;wsp:rsid wsp:val=&quot;00450010&quot;/&gt;&lt;wsp:rsid wsp:val=&quot;004507DB&quot;/&gt;&lt;wsp:rsid wsp:val=&quot;00450A8A&quot;/&gt;&lt;wsp:rsid wsp:val=&quot;00450CC1&quot;/&gt;&lt;wsp:rsid wsp:val=&quot;00450CED&quot;/&gt;&lt;wsp:rsid wsp:val=&quot;00450E63&quot;/&gt;&lt;wsp:rsid wsp:val=&quot;00450F41&quot;/&gt;&lt;wsp:rsid wsp:val=&quot;00451167&quot;/&gt;&lt;wsp:rsid wsp:val=&quot;00451466&quot;/&gt;&lt;wsp:rsid wsp:val=&quot;00451DA7&quot;/&gt;&lt;wsp:rsid wsp:val=&quot;004523D9&quot;/&gt;&lt;wsp:rsid wsp:val=&quot;004523FC&quot;/&gt;&lt;wsp:rsid wsp:val=&quot;00452764&quot;/&gt;&lt;wsp:rsid wsp:val=&quot;00452B8E&quot;/&gt;&lt;wsp:rsid wsp:val=&quot;004538EB&quot;/&gt;&lt;wsp:rsid wsp:val=&quot;0045399C&quot;/&gt;&lt;wsp:rsid wsp:val=&quot;00453B46&quot;/&gt;&lt;wsp:rsid wsp:val=&quot;00453D04&quot;/&gt;&lt;wsp:rsid wsp:val=&quot;00453EF1&quot;/&gt;&lt;wsp:rsid wsp:val=&quot;004546DB&quot;/&gt;&lt;wsp:rsid wsp:val=&quot;00454BF4&quot;/&gt;&lt;wsp:rsid wsp:val=&quot;00454DEA&quot;/&gt;&lt;wsp:rsid wsp:val=&quot;004554B7&quot;/&gt;&lt;wsp:rsid wsp:val=&quot;004559F9&quot;/&gt;&lt;wsp:rsid wsp:val=&quot;00455C34&quot;/&gt;&lt;wsp:rsid wsp:val=&quot;004560E3&quot;/&gt;&lt;wsp:rsid wsp:val=&quot;0045627C&quot;/&gt;&lt;wsp:rsid wsp:val=&quot;004570B9&quot;/&gt;&lt;wsp:rsid wsp:val=&quot;004575A4&quot;/&gt;&lt;wsp:rsid wsp:val=&quot;0045776D&quot;/&gt;&lt;wsp:rsid wsp:val=&quot;00457971&quot;/&gt;&lt;wsp:rsid wsp:val=&quot;00460125&quot;/&gt;&lt;wsp:rsid wsp:val=&quot;004603C0&quot;/&gt;&lt;wsp:rsid wsp:val=&quot;00460C91&quot;/&gt;&lt;wsp:rsid wsp:val=&quot;00460CE2&quot;/&gt;&lt;wsp:rsid wsp:val=&quot;00460F3A&quot;/&gt;&lt;wsp:rsid wsp:val=&quot;00461211&quot;/&gt;&lt;wsp:rsid wsp:val=&quot;004612EB&quot;/&gt;&lt;wsp:rsid wsp:val=&quot;0046174B&quot;/&gt;&lt;wsp:rsid wsp:val=&quot;004621F0&quot;/&gt;&lt;wsp:rsid wsp:val=&quot;004622B2&quot;/&gt;&lt;wsp:rsid wsp:val=&quot;0046334A&quot;/&gt;&lt;wsp:rsid wsp:val=&quot;00463955&quot;/&gt;&lt;wsp:rsid wsp:val=&quot;00463AF5&quot;/&gt;&lt;wsp:rsid wsp:val=&quot;00463E7E&quot;/&gt;&lt;wsp:rsid wsp:val=&quot;00463F73&quot;/&gt;&lt;wsp:rsid wsp:val=&quot;004642FC&quot;/&gt;&lt;wsp:rsid wsp:val=&quot;0046438A&quot;/&gt;&lt;wsp:rsid wsp:val=&quot;0046457C&quot;/&gt;&lt;wsp:rsid wsp:val=&quot;00464BBC&quot;/&gt;&lt;wsp:rsid wsp:val=&quot;00464EF9&quot;/&gt;&lt;wsp:rsid wsp:val=&quot;004650C0&quot;/&gt;&lt;wsp:rsid wsp:val=&quot;0046561D&quot;/&gt;&lt;wsp:rsid wsp:val=&quot;004656C2&quot;/&gt;&lt;wsp:rsid wsp:val=&quot;004657C3&quot;/&gt;&lt;wsp:rsid wsp:val=&quot;00465819&quot;/&gt;&lt;wsp:rsid wsp:val=&quot;00465831&quot;/&gt;&lt;wsp:rsid wsp:val=&quot;004658CA&quot;/&gt;&lt;wsp:rsid wsp:val=&quot;00465BF0&quot;/&gt;&lt;wsp:rsid wsp:val=&quot;00465D0C&quot;/&gt;&lt;wsp:rsid wsp:val=&quot;00465D65&quot;/&gt;&lt;wsp:rsid wsp:val=&quot;0046682A&quot;/&gt;&lt;wsp:rsid wsp:val=&quot;004668A8&quot;/&gt;&lt;wsp:rsid wsp:val=&quot;004668DC&quot;/&gt;&lt;wsp:rsid wsp:val=&quot;00466C7B&quot;/&gt;&lt;wsp:rsid wsp:val=&quot;00466CEF&quot;/&gt;&lt;wsp:rsid wsp:val=&quot;00466D60&quot;/&gt;&lt;wsp:rsid wsp:val=&quot;00467157&quot;/&gt;&lt;wsp:rsid wsp:val=&quot;00467784&quot;/&gt;&lt;wsp:rsid wsp:val=&quot;00467AA5&quot;/&gt;&lt;wsp:rsid wsp:val=&quot;00467B0E&quot;/&gt;&lt;wsp:rsid wsp:val=&quot;00467B1B&quot;/&gt;&lt;wsp:rsid wsp:val=&quot;0047053F&quot;/&gt;&lt;wsp:rsid wsp:val=&quot;00470552&quot;/&gt;&lt;wsp:rsid wsp:val=&quot;004705A2&quot;/&gt;&lt;wsp:rsid wsp:val=&quot;00470680&quot;/&gt;&lt;wsp:rsid wsp:val=&quot;0047071D&quot;/&gt;&lt;wsp:rsid wsp:val=&quot;00470BF6&quot;/&gt;&lt;wsp:rsid wsp:val=&quot;0047130F&quot;/&gt;&lt;wsp:rsid wsp:val=&quot;0047137A&quot;/&gt;&lt;wsp:rsid wsp:val=&quot;0047171F&quot;/&gt;&lt;wsp:rsid wsp:val=&quot;00471DCF&quot;/&gt;&lt;wsp:rsid wsp:val=&quot;00472059&quot;/&gt;&lt;wsp:rsid wsp:val=&quot;00472220&quot;/&gt;&lt;wsp:rsid wsp:val=&quot;004726A2&quot;/&gt;&lt;wsp:rsid wsp:val=&quot;00472845&quot;/&gt;&lt;wsp:rsid wsp:val=&quot;00472BF0&quot;/&gt;&lt;wsp:rsid wsp:val=&quot;00473427&quot;/&gt;&lt;wsp:rsid wsp:val=&quot;00474B46&quot;/&gt;&lt;wsp:rsid wsp:val=&quot;00475375&quot;/&gt;&lt;wsp:rsid wsp:val=&quot;004753B5&quot;/&gt;&lt;wsp:rsid wsp:val=&quot;00475428&quot;/&gt;&lt;wsp:rsid wsp:val=&quot;0047598C&quot;/&gt;&lt;wsp:rsid wsp:val=&quot;0047629D&quot;/&gt;&lt;wsp:rsid wsp:val=&quot;00476314&quot;/&gt;&lt;wsp:rsid wsp:val=&quot;00476E1B&quot;/&gt;&lt;wsp:rsid wsp:val=&quot;00477D13&quot;/&gt;&lt;wsp:rsid wsp:val=&quot;00477EE2&quot;/&gt;&lt;wsp:rsid wsp:val=&quot;00480196&quot;/&gt;&lt;wsp:rsid wsp:val=&quot;0048037C&quot;/&gt;&lt;wsp:rsid wsp:val=&quot;00480529&quot;/&gt;&lt;wsp:rsid wsp:val=&quot;004808AF&quot;/&gt;&lt;wsp:rsid wsp:val=&quot;00480CBF&quot;/&gt;&lt;wsp:rsid wsp:val=&quot;00481AE3&quot;/&gt;&lt;wsp:rsid wsp:val=&quot;004821A8&quot;/&gt;&lt;wsp:rsid wsp:val=&quot;00482311&quot;/&gt;&lt;wsp:rsid wsp:val=&quot;004823E4&quot;/&gt;&lt;wsp:rsid wsp:val=&quot;00482416&quot;/&gt;&lt;wsp:rsid wsp:val=&quot;004826E9&quot;/&gt;&lt;wsp:rsid wsp:val=&quot;00482E27&quot;/&gt;&lt;wsp:rsid wsp:val=&quot;00482E4F&quot;/&gt;&lt;wsp:rsid wsp:val=&quot;00483238&quot;/&gt;&lt;wsp:rsid wsp:val=&quot;00483987&quot;/&gt;&lt;wsp:rsid wsp:val=&quot;00483CC6&quot;/&gt;&lt;wsp:rsid wsp:val=&quot;00484078&quot;/&gt;&lt;wsp:rsid wsp:val=&quot;0048439E&quot;/&gt;&lt;wsp:rsid wsp:val=&quot;004849D4&quot;/&gt;&lt;wsp:rsid wsp:val=&quot;00484AA2&quot;/&gt;&lt;wsp:rsid wsp:val=&quot;00484AF7&quot;/&gt;&lt;wsp:rsid wsp:val=&quot;00484E4C&quot;/&gt;&lt;wsp:rsid wsp:val=&quot;0048591A&quot;/&gt;&lt;wsp:rsid wsp:val=&quot;00485B6A&quot;/&gt;&lt;wsp:rsid wsp:val=&quot;00485D8A&quot;/&gt;&lt;wsp:rsid wsp:val=&quot;00486070&quot;/&gt;&lt;wsp:rsid wsp:val=&quot;00486EFD&quot;/&gt;&lt;wsp:rsid wsp:val=&quot;004874D8&quot;/&gt;&lt;wsp:rsid wsp:val=&quot;0048758A&quot;/&gt;&lt;wsp:rsid wsp:val=&quot;00487710&quot;/&gt;&lt;wsp:rsid wsp:val=&quot;00487E3D&quot;/&gt;&lt;wsp:rsid wsp:val=&quot;00487EDD&quot;/&gt;&lt;wsp:rsid wsp:val=&quot;004904C4&quot;/&gt;&lt;wsp:rsid wsp:val=&quot;0049099D&quot;/&gt;&lt;wsp:rsid wsp:val=&quot;00490A11&quot;/&gt;&lt;wsp:rsid wsp:val=&quot;00490CBE&quot;/&gt;&lt;wsp:rsid wsp:val=&quot;00490EED&quot;/&gt;&lt;wsp:rsid wsp:val=&quot;0049128C&quot;/&gt;&lt;wsp:rsid wsp:val=&quot;0049139A&quot;/&gt;&lt;wsp:rsid wsp:val=&quot;00491735&quot;/&gt;&lt;wsp:rsid wsp:val=&quot;00491885&quot;/&gt;&lt;wsp:rsid wsp:val=&quot;004918B4&quot;/&gt;&lt;wsp:rsid wsp:val=&quot;004919CC&quot;/&gt;&lt;wsp:rsid wsp:val=&quot;00491C99&quot;/&gt;&lt;wsp:rsid wsp:val=&quot;00491CBC&quot;/&gt;&lt;wsp:rsid wsp:val=&quot;00491DFE&quot;/&gt;&lt;wsp:rsid wsp:val=&quot;00491EC2&quot;/&gt;&lt;wsp:rsid wsp:val=&quot;00492150&quot;/&gt;&lt;wsp:rsid wsp:val=&quot;00492211&quot;/&gt;&lt;wsp:rsid wsp:val=&quot;00492636&quot;/&gt;&lt;wsp:rsid wsp:val=&quot;004928D1&quot;/&gt;&lt;wsp:rsid wsp:val=&quot;00492C13&quot;/&gt;&lt;wsp:rsid wsp:val=&quot;00492FEC&quot;/&gt;&lt;wsp:rsid wsp:val=&quot;00493174&quot;/&gt;&lt;wsp:rsid wsp:val=&quot;0049391F&quot;/&gt;&lt;wsp:rsid wsp:val=&quot;004940B6&quot;/&gt;&lt;wsp:rsid wsp:val=&quot;004940BB&quot;/&gt;&lt;wsp:rsid wsp:val=&quot;004942C1&quot;/&gt;&lt;wsp:rsid wsp:val=&quot;00494391&quot;/&gt;&lt;wsp:rsid wsp:val=&quot;004945BD&quot;/&gt;&lt;wsp:rsid wsp:val=&quot;00494A89&quot;/&gt;&lt;wsp:rsid wsp:val=&quot;00494FDB&quot;/&gt;&lt;wsp:rsid wsp:val=&quot;00495216&quot;/&gt;&lt;wsp:rsid wsp:val=&quot;004952D7&quot;/&gt;&lt;wsp:rsid wsp:val=&quot;004952F0&quot;/&gt;&lt;wsp:rsid wsp:val=&quot;00495346&quot;/&gt;&lt;wsp:rsid wsp:val=&quot;004954F3&quot;/&gt;&lt;wsp:rsid wsp:val=&quot;004955E8&quot;/&gt;&lt;wsp:rsid wsp:val=&quot;0049561F&quot;/&gt;&lt;wsp:rsid wsp:val=&quot;00495687&quot;/&gt;&lt;wsp:rsid wsp:val=&quot;00495994&quot;/&gt;&lt;wsp:rsid wsp:val=&quot;004959FE&quot;/&gt;&lt;wsp:rsid wsp:val=&quot;00496515&quot;/&gt;&lt;wsp:rsid wsp:val=&quot;00496964&quot;/&gt;&lt;wsp:rsid wsp:val=&quot;00496D48&quot;/&gt;&lt;wsp:rsid wsp:val=&quot;00496F34&quot;/&gt;&lt;wsp:rsid wsp:val=&quot;00496FFE&quot;/&gt;&lt;wsp:rsid wsp:val=&quot;0049735F&quot;/&gt;&lt;wsp:rsid wsp:val=&quot;00497882&quot;/&gt;&lt;wsp:rsid wsp:val=&quot;00497F71&quot;/&gt;&lt;wsp:rsid wsp:val=&quot;004A0097&quot;/&gt;&lt;wsp:rsid wsp:val=&quot;004A033E&quot;/&gt;&lt;wsp:rsid wsp:val=&quot;004A08BA&quot;/&gt;&lt;wsp:rsid wsp:val=&quot;004A0C5B&quot;/&gt;&lt;wsp:rsid wsp:val=&quot;004A1C0F&quot;/&gt;&lt;wsp:rsid wsp:val=&quot;004A25EB&quot;/&gt;&lt;wsp:rsid wsp:val=&quot;004A2818&quot;/&gt;&lt;wsp:rsid wsp:val=&quot;004A2A17&quot;/&gt;&lt;wsp:rsid wsp:val=&quot;004A2B8A&quot;/&gt;&lt;wsp:rsid wsp:val=&quot;004A2CF2&quot;/&gt;&lt;wsp:rsid wsp:val=&quot;004A2E33&quot;/&gt;&lt;wsp:rsid wsp:val=&quot;004A2E48&quot;/&gt;&lt;wsp:rsid wsp:val=&quot;004A3129&quot;/&gt;&lt;wsp:rsid wsp:val=&quot;004A358F&quot;/&gt;&lt;wsp:rsid wsp:val=&quot;004A52BA&quot;/&gt;&lt;wsp:rsid wsp:val=&quot;004A564E&quot;/&gt;&lt;wsp:rsid wsp:val=&quot;004A5947&quot;/&gt;&lt;wsp:rsid wsp:val=&quot;004A5C61&quot;/&gt;&lt;wsp:rsid wsp:val=&quot;004A5D81&quot;/&gt;&lt;wsp:rsid wsp:val=&quot;004A623F&quot;/&gt;&lt;wsp:rsid wsp:val=&quot;004A657E&quot;/&gt;&lt;wsp:rsid wsp:val=&quot;004A65F9&quot;/&gt;&lt;wsp:rsid wsp:val=&quot;004A6AF1&quot;/&gt;&lt;wsp:rsid wsp:val=&quot;004A6D2A&quot;/&gt;&lt;wsp:rsid wsp:val=&quot;004A6E2E&quot;/&gt;&lt;wsp:rsid wsp:val=&quot;004A6E8A&quot;/&gt;&lt;wsp:rsid wsp:val=&quot;004A7283&quot;/&gt;&lt;wsp:rsid wsp:val=&quot;004A790F&quot;/&gt;&lt;wsp:rsid wsp:val=&quot;004A7FF2&quot;/&gt;&lt;wsp:rsid wsp:val=&quot;004B032B&quot;/&gt;&lt;wsp:rsid wsp:val=&quot;004B05B2&quot;/&gt;&lt;wsp:rsid wsp:val=&quot;004B0978&quot;/&gt;&lt;wsp:rsid wsp:val=&quot;004B0F53&quot;/&gt;&lt;wsp:rsid wsp:val=&quot;004B1308&quot;/&gt;&lt;wsp:rsid wsp:val=&quot;004B145D&quot;/&gt;&lt;wsp:rsid wsp:val=&quot;004B1D8F&quot;/&gt;&lt;wsp:rsid wsp:val=&quot;004B225B&quot;/&gt;&lt;wsp:rsid wsp:val=&quot;004B29C5&quot;/&gt;&lt;wsp:rsid wsp:val=&quot;004B2E9F&quot;/&gt;&lt;wsp:rsid wsp:val=&quot;004B41B6&quot;/&gt;&lt;wsp:rsid wsp:val=&quot;004B434E&quot;/&gt;&lt;wsp:rsid wsp:val=&quot;004B435F&quot;/&gt;&lt;wsp:rsid wsp:val=&quot;004B440D&quot;/&gt;&lt;wsp:rsid wsp:val=&quot;004B4DD8&quot;/&gt;&lt;wsp:rsid wsp:val=&quot;004B555E&quot;/&gt;&lt;wsp:rsid wsp:val=&quot;004B55CA&quot;/&gt;&lt;wsp:rsid wsp:val=&quot;004B58F2&quot;/&gt;&lt;wsp:rsid wsp:val=&quot;004B5D92&quot;/&gt;&lt;wsp:rsid wsp:val=&quot;004B5EE5&quot;/&gt;&lt;wsp:rsid wsp:val=&quot;004B61B0&quot;/&gt;&lt;wsp:rsid wsp:val=&quot;004B6219&quot;/&gt;&lt;wsp:rsid wsp:val=&quot;004B6285&quot;/&gt;&lt;wsp:rsid wsp:val=&quot;004B6679&quot;/&gt;&lt;wsp:rsid wsp:val=&quot;004B6707&quot;/&gt;&lt;wsp:rsid wsp:val=&quot;004B69EC&quot;/&gt;&lt;wsp:rsid wsp:val=&quot;004B701F&quot;/&gt;&lt;wsp:rsid wsp:val=&quot;004B7117&quot;/&gt;&lt;wsp:rsid wsp:val=&quot;004B75E3&quot;/&gt;&lt;wsp:rsid wsp:val=&quot;004B76B1&quot;/&gt;&lt;wsp:rsid wsp:val=&quot;004B7D0B&quot;/&gt;&lt;wsp:rsid wsp:val=&quot;004C01FD&quot;/&gt;&lt;wsp:rsid wsp:val=&quot;004C0369&quot;/&gt;&lt;wsp:rsid wsp:val=&quot;004C0653&quot;/&gt;&lt;wsp:rsid wsp:val=&quot;004C06AA&quot;/&gt;&lt;wsp:rsid wsp:val=&quot;004C06FB&quot;/&gt;&lt;wsp:rsid wsp:val=&quot;004C0DFC&quot;/&gt;&lt;wsp:rsid wsp:val=&quot;004C0F9C&quot;/&gt;&lt;wsp:rsid wsp:val=&quot;004C1291&quot;/&gt;&lt;wsp:rsid wsp:val=&quot;004C1ABB&quot;/&gt;&lt;wsp:rsid wsp:val=&quot;004C1B46&quot;/&gt;&lt;wsp:rsid wsp:val=&quot;004C1DA9&quot;/&gt;&lt;wsp:rsid wsp:val=&quot;004C3A6C&quot;/&gt;&lt;wsp:rsid wsp:val=&quot;004C3C5B&quot;/&gt;&lt;wsp:rsid wsp:val=&quot;004C3C82&quot;/&gt;&lt;wsp:rsid wsp:val=&quot;004C4983&quot;/&gt;&lt;wsp:rsid wsp:val=&quot;004C4C56&quot;/&gt;&lt;wsp:rsid wsp:val=&quot;004C4FFB&quot;/&gt;&lt;wsp:rsid wsp:val=&quot;004C5059&quot;/&gt;&lt;wsp:rsid wsp:val=&quot;004C50F9&quot;/&gt;&lt;wsp:rsid wsp:val=&quot;004C5131&quot;/&gt;&lt;wsp:rsid wsp:val=&quot;004C5145&quot;/&gt;&lt;wsp:rsid wsp:val=&quot;004C5B0C&quot;/&gt;&lt;wsp:rsid wsp:val=&quot;004C5F31&quot;/&gt;&lt;wsp:rsid wsp:val=&quot;004C671A&quot;/&gt;&lt;wsp:rsid wsp:val=&quot;004C6DBF&quot;/&gt;&lt;wsp:rsid wsp:val=&quot;004C742B&quot;/&gt;&lt;wsp:rsid wsp:val=&quot;004C7B92&quot;/&gt;&lt;wsp:rsid wsp:val=&quot;004C7C9F&quot;/&gt;&lt;wsp:rsid wsp:val=&quot;004D0477&quot;/&gt;&lt;wsp:rsid wsp:val=&quot;004D0579&quot;/&gt;&lt;wsp:rsid wsp:val=&quot;004D05DC&quot;/&gt;&lt;wsp:rsid wsp:val=&quot;004D09CD&quot;/&gt;&lt;wsp:rsid wsp:val=&quot;004D1078&quot;/&gt;&lt;wsp:rsid wsp:val=&quot;004D10FE&quot;/&gt;&lt;wsp:rsid wsp:val=&quot;004D13D9&quot;/&gt;&lt;wsp:rsid wsp:val=&quot;004D1557&quot;/&gt;&lt;wsp:rsid wsp:val=&quot;004D163C&quot;/&gt;&lt;wsp:rsid wsp:val=&quot;004D1C13&quot;/&gt;&lt;wsp:rsid wsp:val=&quot;004D2080&quot;/&gt;&lt;wsp:rsid wsp:val=&quot;004D250E&quot;/&gt;&lt;wsp:rsid wsp:val=&quot;004D270F&quot;/&gt;&lt;wsp:rsid wsp:val=&quot;004D2851&quot;/&gt;&lt;wsp:rsid wsp:val=&quot;004D3636&quot;/&gt;&lt;wsp:rsid wsp:val=&quot;004D377E&quot;/&gt;&lt;wsp:rsid wsp:val=&quot;004D4254&quot;/&gt;&lt;wsp:rsid wsp:val=&quot;004D4572&quot;/&gt;&lt;wsp:rsid wsp:val=&quot;004D4588&quot;/&gt;&lt;wsp:rsid wsp:val=&quot;004D4C82&quot;/&gt;&lt;wsp:rsid wsp:val=&quot;004D5273&quot;/&gt;&lt;wsp:rsid wsp:val=&quot;004D537A&quot;/&gt;&lt;wsp:rsid wsp:val=&quot;004D5863&quot;/&gt;&lt;wsp:rsid wsp:val=&quot;004D6045&quot;/&gt;&lt;wsp:rsid wsp:val=&quot;004D66D5&quot;/&gt;&lt;wsp:rsid wsp:val=&quot;004D673C&quot;/&gt;&lt;wsp:rsid wsp:val=&quot;004D6895&quot;/&gt;&lt;wsp:rsid wsp:val=&quot;004D6E47&quot;/&gt;&lt;wsp:rsid wsp:val=&quot;004D704B&quot;/&gt;&lt;wsp:rsid wsp:val=&quot;004D71E6&quot;/&gt;&lt;wsp:rsid wsp:val=&quot;004D73D8&quot;/&gt;&lt;wsp:rsid wsp:val=&quot;004D764D&quot;/&gt;&lt;wsp:rsid wsp:val=&quot;004D79AC&quot;/&gt;&lt;wsp:rsid wsp:val=&quot;004D7B97&quot;/&gt;&lt;wsp:rsid wsp:val=&quot;004D7C03&quot;/&gt;&lt;wsp:rsid wsp:val=&quot;004E000F&quot;/&gt;&lt;wsp:rsid wsp:val=&quot;004E0618&quot;/&gt;&lt;wsp:rsid wsp:val=&quot;004E0F67&quot;/&gt;&lt;wsp:rsid wsp:val=&quot;004E18D6&quot;/&gt;&lt;wsp:rsid wsp:val=&quot;004E1BB3&quot;/&gt;&lt;wsp:rsid wsp:val=&quot;004E1E6F&quot;/&gt;&lt;wsp:rsid wsp:val=&quot;004E1FC6&quot;/&gt;&lt;wsp:rsid wsp:val=&quot;004E2360&quot;/&gt;&lt;wsp:rsid wsp:val=&quot;004E2CEA&quot;/&gt;&lt;wsp:rsid wsp:val=&quot;004E31EB&quot;/&gt;&lt;wsp:rsid wsp:val=&quot;004E328B&quot;/&gt;&lt;wsp:rsid wsp:val=&quot;004E3389&quot;/&gt;&lt;wsp:rsid wsp:val=&quot;004E33AF&quot;/&gt;&lt;wsp:rsid wsp:val=&quot;004E358B&quot;/&gt;&lt;wsp:rsid wsp:val=&quot;004E4017&quot;/&gt;&lt;wsp:rsid wsp:val=&quot;004E4643&quot;/&gt;&lt;wsp:rsid wsp:val=&quot;004E4E7D&quot;/&gt;&lt;wsp:rsid wsp:val=&quot;004E527A&quot;/&gt;&lt;wsp:rsid wsp:val=&quot;004E560E&quot;/&gt;&lt;wsp:rsid wsp:val=&quot;004E5B06&quot;/&gt;&lt;wsp:rsid wsp:val=&quot;004E61F5&quot;/&gt;&lt;wsp:rsid wsp:val=&quot;004E6955&quot;/&gt;&lt;wsp:rsid wsp:val=&quot;004E7306&quot;/&gt;&lt;wsp:rsid wsp:val=&quot;004E7868&quot;/&gt;&lt;wsp:rsid wsp:val=&quot;004E7A93&quot;/&gt;&lt;wsp:rsid wsp:val=&quot;004E7F40&quot;/&gt;&lt;wsp:rsid wsp:val=&quot;004F00E9&quot;/&gt;&lt;wsp:rsid wsp:val=&quot;004F030D&quot;/&gt;&lt;wsp:rsid wsp:val=&quot;004F0342&quot;/&gt;&lt;wsp:rsid wsp:val=&quot;004F087C&quot;/&gt;&lt;wsp:rsid wsp:val=&quot;004F0E59&quot;/&gt;&lt;wsp:rsid wsp:val=&quot;004F0EA4&quot;/&gt;&lt;wsp:rsid wsp:val=&quot;004F1389&quot;/&gt;&lt;wsp:rsid wsp:val=&quot;004F141A&quot;/&gt;&lt;wsp:rsid wsp:val=&quot;004F19DE&quot;/&gt;&lt;wsp:rsid wsp:val=&quot;004F1E22&quot;/&gt;&lt;wsp:rsid wsp:val=&quot;004F1F81&quot;/&gt;&lt;wsp:rsid wsp:val=&quot;004F20DC&quot;/&gt;&lt;wsp:rsid wsp:val=&quot;004F21E6&quot;/&gt;&lt;wsp:rsid wsp:val=&quot;004F26BC&quot;/&gt;&lt;wsp:rsid wsp:val=&quot;004F2CF6&quot;/&gt;&lt;wsp:rsid wsp:val=&quot;004F341F&quot;/&gt;&lt;wsp:rsid wsp:val=&quot;004F39A8&quot;/&gt;&lt;wsp:rsid wsp:val=&quot;004F3B68&quot;/&gt;&lt;wsp:rsid wsp:val=&quot;004F3CB1&quot;/&gt;&lt;wsp:rsid wsp:val=&quot;004F3EB1&quot;/&gt;&lt;wsp:rsid wsp:val=&quot;004F4B35&quot;/&gt;&lt;wsp:rsid wsp:val=&quot;004F4D3F&quot;/&gt;&lt;wsp:rsid wsp:val=&quot;004F4FE9&quot;/&gt;&lt;wsp:rsid wsp:val=&quot;004F5095&quot;/&gt;&lt;wsp:rsid wsp:val=&quot;004F50CE&quot;/&gt;&lt;wsp:rsid wsp:val=&quot;004F53E7&quot;/&gt;&lt;wsp:rsid wsp:val=&quot;004F544B&quot;/&gt;&lt;wsp:rsid wsp:val=&quot;004F5752&quot;/&gt;&lt;wsp:rsid wsp:val=&quot;004F5A83&quot;/&gt;&lt;wsp:rsid wsp:val=&quot;004F5B67&quot;/&gt;&lt;wsp:rsid wsp:val=&quot;004F605F&quot;/&gt;&lt;wsp:rsid wsp:val=&quot;004F6428&quot;/&gt;&lt;wsp:rsid wsp:val=&quot;004F6D5F&quot;/&gt;&lt;wsp:rsid wsp:val=&quot;004F7518&quot;/&gt;&lt;wsp:rsid wsp:val=&quot;00500525&quot;/&gt;&lt;wsp:rsid wsp:val=&quot;005005E2&quot;/&gt;&lt;wsp:rsid wsp:val=&quot;005008C3&quot;/&gt;&lt;wsp:rsid wsp:val=&quot;0050090B&quot;/&gt;&lt;wsp:rsid wsp:val=&quot;00500E06&quot;/&gt;&lt;wsp:rsid wsp:val=&quot;00500F51&quot;/&gt;&lt;wsp:rsid wsp:val=&quot;0050129C&quot;/&gt;&lt;wsp:rsid wsp:val=&quot;00501655&quot;/&gt;&lt;wsp:rsid wsp:val=&quot;00502020&quot;/&gt;&lt;wsp:rsid wsp:val=&quot;005024BB&quot;/&gt;&lt;wsp:rsid wsp:val=&quot;005026DC&quot;/&gt;&lt;wsp:rsid wsp:val=&quot;00502C8D&quot;/&gt;&lt;wsp:rsid wsp:val=&quot;00502F1F&quot;/&gt;&lt;wsp:rsid wsp:val=&quot;00503745&quot;/&gt;&lt;wsp:rsid wsp:val=&quot;005038BC&quot;/&gt;&lt;wsp:rsid wsp:val=&quot;00503C54&quot;/&gt;&lt;wsp:rsid wsp:val=&quot;0050413F&quot;/&gt;&lt;wsp:rsid wsp:val=&quot;00504193&quot;/&gt;&lt;wsp:rsid wsp:val=&quot;00504917&quot;/&gt;&lt;wsp:rsid wsp:val=&quot;00504B26&quot;/&gt;&lt;wsp:rsid wsp:val=&quot;00504C21&quot;/&gt;&lt;wsp:rsid wsp:val=&quot;00504E2F&quot;/&gt;&lt;wsp:rsid wsp:val=&quot;00504EC4&quot;/&gt;&lt;wsp:rsid wsp:val=&quot;005054E7&quot;/&gt;&lt;wsp:rsid wsp:val=&quot;00505967&quot;/&gt;&lt;wsp:rsid wsp:val=&quot;00505ACC&quot;/&gt;&lt;wsp:rsid wsp:val=&quot;00505CDF&quot;/&gt;&lt;wsp:rsid wsp:val=&quot;005063D5&quot;/&gt;&lt;wsp:rsid wsp:val=&quot;0050662F&quot;/&gt;&lt;wsp:rsid wsp:val=&quot;00506EFE&quot;/&gt;&lt;wsp:rsid wsp:val=&quot;00506FAD&quot;/&gt;&lt;wsp:rsid wsp:val=&quot;0050717B&quot;/&gt;&lt;wsp:rsid wsp:val=&quot;00507184&quot;/&gt;&lt;wsp:rsid wsp:val=&quot;00507D15&quot;/&gt;&lt;wsp:rsid wsp:val=&quot;00507D5D&quot;/&gt;&lt;wsp:rsid wsp:val=&quot;0051041C&quot;/&gt;&lt;wsp:rsid wsp:val=&quot;005112CA&quot;/&gt;&lt;wsp:rsid wsp:val=&quot;00511673&quot;/&gt;&lt;wsp:rsid wsp:val=&quot;00511A60&quot;/&gt;&lt;wsp:rsid wsp:val=&quot;0051236D&quot;/&gt;&lt;wsp:rsid wsp:val=&quot;00512D7F&quot;/&gt;&lt;wsp:rsid wsp:val=&quot;00512D83&quot;/&gt;&lt;wsp:rsid wsp:val=&quot;0051377C&quot;/&gt;&lt;wsp:rsid wsp:val=&quot;005139E0&quot;/&gt;&lt;wsp:rsid wsp:val=&quot;00513B21&quot;/&gt;&lt;wsp:rsid wsp:val=&quot;00513E46&quot;/&gt;&lt;wsp:rsid wsp:val=&quot;0051431C&quot;/&gt;&lt;wsp:rsid wsp:val=&quot;00514D53&quot;/&gt;&lt;wsp:rsid wsp:val=&quot;00514D5F&quot;/&gt;&lt;wsp:rsid wsp:val=&quot;00514EC4&quot;/&gt;&lt;wsp:rsid wsp:val=&quot;0051527C&quot;/&gt;&lt;wsp:rsid wsp:val=&quot;00515420&quot;/&gt;&lt;wsp:rsid wsp:val=&quot;00515905&quot;/&gt;&lt;wsp:rsid wsp:val=&quot;00516385&quot;/&gt;&lt;wsp:rsid wsp:val=&quot;00516618&quot;/&gt;&lt;wsp:rsid wsp:val=&quot;00516F9E&quot;/&gt;&lt;wsp:rsid wsp:val=&quot;00517075&quot;/&gt;&lt;wsp:rsid wsp:val=&quot;00517094&quot;/&gt;&lt;wsp:rsid wsp:val=&quot;005171B9&quot;/&gt;&lt;wsp:rsid wsp:val=&quot;0051749B&quot;/&gt;&lt;wsp:rsid wsp:val=&quot;00517DEC&quot;/&gt;&lt;wsp:rsid wsp:val=&quot;00520091&quot;/&gt;&lt;wsp:rsid wsp:val=&quot;0052094F&quot;/&gt;&lt;wsp:rsid wsp:val=&quot;00520A72&quot;/&gt;&lt;wsp:rsid wsp:val=&quot;00520B91&quot;/&gt;&lt;wsp:rsid wsp:val=&quot;005213A6&quot;/&gt;&lt;wsp:rsid wsp:val=&quot;00522C8F&quot;/&gt;&lt;wsp:rsid wsp:val=&quot;00522D90&quot;/&gt;&lt;wsp:rsid wsp:val=&quot;005232B0&quot;/&gt;&lt;wsp:rsid wsp:val=&quot;00523A0A&quot;/&gt;&lt;wsp:rsid wsp:val=&quot;00523B03&quot;/&gt;&lt;wsp:rsid wsp:val=&quot;00523D52&quot;/&gt;&lt;wsp:rsid wsp:val=&quot;00523DEF&quot;/&gt;&lt;wsp:rsid wsp:val=&quot;00523E19&quot;/&gt;&lt;wsp:rsid wsp:val=&quot;00524973&quot;/&gt;&lt;wsp:rsid wsp:val=&quot;00524C0C&quot;/&gt;&lt;wsp:rsid wsp:val=&quot;00524C95&quot;/&gt;&lt;wsp:rsid wsp:val=&quot;00525371&quot;/&gt;&lt;wsp:rsid wsp:val=&quot;0052539A&quot;/&gt;&lt;wsp:rsid wsp:val=&quot;005255E9&quot;/&gt;&lt;wsp:rsid wsp:val=&quot;0052600F&quot;/&gt;&lt;wsp:rsid wsp:val=&quot;005260F2&quot;/&gt;&lt;wsp:rsid wsp:val=&quot;00526C2E&quot;/&gt;&lt;wsp:rsid wsp:val=&quot;00526C3C&quot;/&gt;&lt;wsp:rsid wsp:val=&quot;00527199&quot;/&gt;&lt;wsp:rsid wsp:val=&quot;005272BE&quot;/&gt;&lt;wsp:rsid wsp:val=&quot;00527927&quot;/&gt;&lt;wsp:rsid wsp:val=&quot;0052794E&quot;/&gt;&lt;wsp:rsid wsp:val=&quot;00527B7C&quot;/&gt;&lt;wsp:rsid wsp:val=&quot;0053017A&quot;/&gt;&lt;wsp:rsid wsp:val=&quot;005303A4&quot;/&gt;&lt;wsp:rsid wsp:val=&quot;00530667&quot;/&gt;&lt;wsp:rsid wsp:val=&quot;005308CB&quot;/&gt;&lt;wsp:rsid wsp:val=&quot;005308D8&quot;/&gt;&lt;wsp:rsid wsp:val=&quot;00530CB4&quot;/&gt;&lt;wsp:rsid wsp:val=&quot;0053109A&quot;/&gt;&lt;wsp:rsid wsp:val=&quot;005311FA&quot;/&gt;&lt;wsp:rsid wsp:val=&quot;005319AF&quot;/&gt;&lt;wsp:rsid wsp:val=&quot;00531A8A&quot;/&gt;&lt;wsp:rsid wsp:val=&quot;0053230D&quot;/&gt;&lt;wsp:rsid wsp:val=&quot;00532906&quot;/&gt;&lt;wsp:rsid wsp:val=&quot;005329A0&quot;/&gt;&lt;wsp:rsid wsp:val=&quot;00532A8C&quot;/&gt;&lt;wsp:rsid wsp:val=&quot;00532A90&quot;/&gt;&lt;wsp:rsid wsp:val=&quot;00532B20&quot;/&gt;&lt;wsp:rsid wsp:val=&quot;0053349E&quot;/&gt;&lt;wsp:rsid wsp:val=&quot;00533522&quot;/&gt;&lt;wsp:rsid wsp:val=&quot;00533B57&quot;/&gt;&lt;wsp:rsid wsp:val=&quot;00533D72&quot;/&gt;&lt;wsp:rsid wsp:val=&quot;0053407A&quot;/&gt;&lt;wsp:rsid wsp:val=&quot;00534662&quot;/&gt;&lt;wsp:rsid wsp:val=&quot;005348B6&quot;/&gt;&lt;wsp:rsid wsp:val=&quot;00534A7D&quot;/&gt;&lt;wsp:rsid wsp:val=&quot;00534B5E&quot;/&gt;&lt;wsp:rsid wsp:val=&quot;00534D1B&quot;/&gt;&lt;wsp:rsid wsp:val=&quot;005352E2&quot;/&gt;&lt;wsp:rsid wsp:val=&quot;00535743&quot;/&gt;&lt;wsp:rsid wsp:val=&quot;00535848&quot;/&gt;&lt;wsp:rsid wsp:val=&quot;00535CA1&quot;/&gt;&lt;wsp:rsid wsp:val=&quot;00535D48&quot;/&gt;&lt;wsp:rsid wsp:val=&quot;00535D50&quot;/&gt;&lt;wsp:rsid wsp:val=&quot;00536012&quot;/&gt;&lt;wsp:rsid wsp:val=&quot;005364D7&quot;/&gt;&lt;wsp:rsid wsp:val=&quot;00536620&quot;/&gt;&lt;wsp:rsid wsp:val=&quot;005368FF&quot;/&gt;&lt;wsp:rsid wsp:val=&quot;005369F5&quot;/&gt;&lt;wsp:rsid wsp:val=&quot;00536C26&quot;/&gt;&lt;wsp:rsid wsp:val=&quot;00536D3F&quot;/&gt;&lt;wsp:rsid wsp:val=&quot;00536E6E&quot;/&gt;&lt;wsp:rsid wsp:val=&quot;00536F61&quot;/&gt;&lt;wsp:rsid wsp:val=&quot;00536FF8&quot;/&gt;&lt;wsp:rsid wsp:val=&quot;0053744C&quot;/&gt;&lt;wsp:rsid wsp:val=&quot;00537533&quot;/&gt;&lt;wsp:rsid wsp:val=&quot;00537ADA&quot;/&gt;&lt;wsp:rsid wsp:val=&quot;005418B3&quot;/&gt;&lt;wsp:rsid wsp:val=&quot;005419FA&quot;/&gt;&lt;wsp:rsid wsp:val=&quot;00541A3F&quot;/&gt;&lt;wsp:rsid wsp:val=&quot;00541CB9&quot;/&gt;&lt;wsp:rsid wsp:val=&quot;00541D4D&quot;/&gt;&lt;wsp:rsid wsp:val=&quot;00541E9C&quot;/&gt;&lt;wsp:rsid wsp:val=&quot;00542561&quot;/&gt;&lt;wsp:rsid wsp:val=&quot;005428A4&quot;/&gt;&lt;wsp:rsid wsp:val=&quot;00542982&quot;/&gt;&lt;wsp:rsid wsp:val=&quot;00542E18&quot;/&gt;&lt;wsp:rsid wsp:val=&quot;00543226&quot;/&gt;&lt;wsp:rsid wsp:val=&quot;00543560&quot;/&gt;&lt;wsp:rsid wsp:val=&quot;00543781&quot;/&gt;&lt;wsp:rsid wsp:val=&quot;00543A2C&quot;/&gt;&lt;wsp:rsid wsp:val=&quot;00543E0A&quot;/&gt;&lt;wsp:rsid wsp:val=&quot;00543FE9&quot;/&gt;&lt;wsp:rsid wsp:val=&quot;00544235&quot;/&gt;&lt;wsp:rsid wsp:val=&quot;005443FE&quot;/&gt;&lt;wsp:rsid wsp:val=&quot;00544781&quot;/&gt;&lt;wsp:rsid wsp:val=&quot;005448DF&quot;/&gt;&lt;wsp:rsid wsp:val=&quot;00544A62&quot;/&gt;&lt;wsp:rsid wsp:val=&quot;00544D4C&quot;/&gt;&lt;wsp:rsid wsp:val=&quot;00545053&quot;/&gt;&lt;wsp:rsid wsp:val=&quot;005450D1&quot;/&gt;&lt;wsp:rsid wsp:val=&quot;00545547&quot;/&gt;&lt;wsp:rsid wsp:val=&quot;00545616&quot;/&gt;&lt;wsp:rsid wsp:val=&quot;00545635&quot;/&gt;&lt;wsp:rsid wsp:val=&quot;005456E1&quot;/&gt;&lt;wsp:rsid wsp:val=&quot;00545C73&quot;/&gt;&lt;wsp:rsid wsp:val=&quot;005463CC&quot;/&gt;&lt;wsp:rsid wsp:val=&quot;005464E1&quot;/&gt;&lt;wsp:rsid wsp:val=&quot;00546E72&quot;/&gt;&lt;wsp:rsid wsp:val=&quot;00546EBD&quot;/&gt;&lt;wsp:rsid wsp:val=&quot;00547064&quot;/&gt;&lt;wsp:rsid wsp:val=&quot;00547B80&quot;/&gt;&lt;wsp:rsid wsp:val=&quot;00547BBD&quot;/&gt;&lt;wsp:rsid wsp:val=&quot;005504DA&quot;/&gt;&lt;wsp:rsid wsp:val=&quot;005509E2&quot;/&gt;&lt;wsp:rsid wsp:val=&quot;00550B9D&quot;/&gt;&lt;wsp:rsid wsp:val=&quot;00550C97&quot;/&gt;&lt;wsp:rsid wsp:val=&quot;005510AC&quot;/&gt;&lt;wsp:rsid wsp:val=&quot;00551909&quot;/&gt;&lt;wsp:rsid wsp:val=&quot;00551A7E&quot;/&gt;&lt;wsp:rsid wsp:val=&quot;0055209F&quot;/&gt;&lt;wsp:rsid wsp:val=&quot;0055212C&quot;/&gt;&lt;wsp:rsid wsp:val=&quot;005524B0&quot;/&gt;&lt;wsp:rsid wsp:val=&quot;00552872&quot;/&gt;&lt;wsp:rsid wsp:val=&quot;00552BC1&quot;/&gt;&lt;wsp:rsid wsp:val=&quot;00552BE7&quot;/&gt;&lt;wsp:rsid wsp:val=&quot;005531DC&quot;/&gt;&lt;wsp:rsid wsp:val=&quot;00553315&quot;/&gt;&lt;wsp:rsid wsp:val=&quot;005534EF&quot;/&gt;&lt;wsp:rsid wsp:val=&quot;00553503&quot;/&gt;&lt;wsp:rsid wsp:val=&quot;00553798&quot;/&gt;&lt;wsp:rsid wsp:val=&quot;00553EA4&quot;/&gt;&lt;wsp:rsid wsp:val=&quot;005540A5&quot;/&gt;&lt;wsp:rsid wsp:val=&quot;0055413B&quot;/&gt;&lt;wsp:rsid wsp:val=&quot;0055429F&quot;/&gt;&lt;wsp:rsid wsp:val=&quot;00554392&quot;/&gt;&lt;wsp:rsid wsp:val=&quot;00554A4D&quot;/&gt;&lt;wsp:rsid wsp:val=&quot;00554E98&quot;/&gt;&lt;wsp:rsid wsp:val=&quot;00555062&quot;/&gt;&lt;wsp:rsid wsp:val=&quot;0055572C&quot;/&gt;&lt;wsp:rsid wsp:val=&quot;00556519&quot;/&gt;&lt;wsp:rsid wsp:val=&quot;005566C8&quot;/&gt;&lt;wsp:rsid wsp:val=&quot;00556BE3&quot;/&gt;&lt;wsp:rsid wsp:val=&quot;00556CB6&quot;/&gt;&lt;wsp:rsid wsp:val=&quot;005576A6&quot;/&gt;&lt;wsp:rsid wsp:val=&quot;0055787A&quot;/&gt;&lt;wsp:rsid wsp:val=&quot;00557C62&quot;/&gt;&lt;wsp:rsid wsp:val=&quot;00557E19&quot;/&gt;&lt;wsp:rsid wsp:val=&quot;00557F58&quot;/&gt;&lt;wsp:rsid wsp:val=&quot;005602E7&quot;/&gt;&lt;wsp:rsid wsp:val=&quot;005606C4&quot;/&gt;&lt;wsp:rsid wsp:val=&quot;00560D19&quot;/&gt;&lt;wsp:rsid wsp:val=&quot;00561EA2&quot;/&gt;&lt;wsp:rsid wsp:val=&quot;0056203F&quot;/&gt;&lt;wsp:rsid wsp:val=&quot;00562101&quot;/&gt;&lt;wsp:rsid wsp:val=&quot;005626C5&quot;/&gt;&lt;wsp:rsid wsp:val=&quot;00562A26&quot;/&gt;&lt;wsp:rsid wsp:val=&quot;00562C6C&quot;/&gt;&lt;wsp:rsid wsp:val=&quot;00563083&quot;/&gt;&lt;wsp:rsid wsp:val=&quot;00564105&quot;/&gt;&lt;wsp:rsid wsp:val=&quot;005642FF&quot;/&gt;&lt;wsp:rsid wsp:val=&quot;005652B6&quot;/&gt;&lt;wsp:rsid wsp:val=&quot;005659D1&quot;/&gt;&lt;wsp:rsid wsp:val=&quot;00565DA5&quot;/&gt;&lt;wsp:rsid wsp:val=&quot;005661BF&quot;/&gt;&lt;wsp:rsid wsp:val=&quot;00566248&quot;/&gt;&lt;wsp:rsid wsp:val=&quot;005667FB&quot;/&gt;&lt;wsp:rsid wsp:val=&quot;00566985&quot;/&gt;&lt;wsp:rsid wsp:val=&quot;00567218&quot;/&gt;&lt;wsp:rsid wsp:val=&quot;005676AB&quot;/&gt;&lt;wsp:rsid wsp:val=&quot;00567778&quot;/&gt;&lt;wsp:rsid wsp:val=&quot;00567782&quot;/&gt;&lt;wsp:rsid wsp:val=&quot;005677E8&quot;/&gt;&lt;wsp:rsid wsp:val=&quot;005678F4&quot;/&gt;&lt;wsp:rsid wsp:val=&quot;00567A9B&quot;/&gt;&lt;wsp:rsid wsp:val=&quot;00567C68&quot;/&gt;&lt;wsp:rsid wsp:val=&quot;00567F72&quot;/&gt;&lt;wsp:rsid wsp:val=&quot;00570222&quot;/&gt;&lt;wsp:rsid wsp:val=&quot;005703F3&quot;/&gt;&lt;wsp:rsid wsp:val=&quot;00570567&quot;/&gt;&lt;wsp:rsid wsp:val=&quot;005708E0&quot;/&gt;&lt;wsp:rsid wsp:val=&quot;005709C7&quot;/&gt;&lt;wsp:rsid wsp:val=&quot;00571297&quot;/&gt;&lt;wsp:rsid wsp:val=&quot;00571355&quot;/&gt;&lt;wsp:rsid wsp:val=&quot;0057174D&quot;/&gt;&lt;wsp:rsid wsp:val=&quot;00571A63&quot;/&gt;&lt;wsp:rsid wsp:val=&quot;0057216F&quot;/&gt;&lt;wsp:rsid wsp:val=&quot;00572170&quot;/&gt;&lt;wsp:rsid wsp:val=&quot;00572202&quot;/&gt;&lt;wsp:rsid wsp:val=&quot;00572505&quot;/&gt;&lt;wsp:rsid wsp:val=&quot;00572E8A&quot;/&gt;&lt;wsp:rsid wsp:val=&quot;00572EAA&quot;/&gt;&lt;wsp:rsid wsp:val=&quot;00572EC7&quot;/&gt;&lt;wsp:rsid wsp:val=&quot;00572FDC&quot;/&gt;&lt;wsp:rsid wsp:val=&quot;005735B5&quot;/&gt;&lt;wsp:rsid wsp:val=&quot;00573AB3&quot;/&gt;&lt;wsp:rsid wsp:val=&quot;00573BC6&quot;/&gt;&lt;wsp:rsid wsp:val=&quot;00573FD7&quot;/&gt;&lt;wsp:rsid wsp:val=&quot;00574046&quot;/&gt;&lt;wsp:rsid wsp:val=&quot;005741DE&quot;/&gt;&lt;wsp:rsid wsp:val=&quot;0057450D&quot;/&gt;&lt;wsp:rsid wsp:val=&quot;00574603&quot;/&gt;&lt;wsp:rsid wsp:val=&quot;005746A1&quot;/&gt;&lt;wsp:rsid wsp:val=&quot;0057474A&quot;/&gt;&lt;wsp:rsid wsp:val=&quot;00574DD8&quot;/&gt;&lt;wsp:rsid wsp:val=&quot;00575282&quot;/&gt;&lt;wsp:rsid wsp:val=&quot;00575784&quot;/&gt;&lt;wsp:rsid wsp:val=&quot;005758F5&quot;/&gt;&lt;wsp:rsid wsp:val=&quot;00575AB6&quot;/&gt;&lt;wsp:rsid wsp:val=&quot;005760F5&quot;/&gt;&lt;wsp:rsid wsp:val=&quot;00576322&quot;/&gt;&lt;wsp:rsid wsp:val=&quot;0057656B&quot;/&gt;&lt;wsp:rsid wsp:val=&quot;00576C46&quot;/&gt;&lt;wsp:rsid wsp:val=&quot;00576D39&quot;/&gt;&lt;wsp:rsid wsp:val=&quot;005776B8&quot;/&gt;&lt;wsp:rsid wsp:val=&quot;00577C8A&quot;/&gt;&lt;wsp:rsid wsp:val=&quot;00580043&quot;/&gt;&lt;wsp:rsid wsp:val=&quot;0058070D&quot;/&gt;&lt;wsp:rsid wsp:val=&quot;005810F0&quot;/&gt;&lt;wsp:rsid wsp:val=&quot;00581238&quot;/&gt;&lt;wsp:rsid wsp:val=&quot;005814D5&quot;/&gt;&lt;wsp:rsid wsp:val=&quot;0058200D&quot;/&gt;&lt;wsp:rsid wsp:val=&quot;00582A7C&quot;/&gt;&lt;wsp:rsid wsp:val=&quot;00582B0A&quot;/&gt;&lt;wsp:rsid wsp:val=&quot;00582B40&quot;/&gt;&lt;wsp:rsid wsp:val=&quot;00583422&quot;/&gt;&lt;wsp:rsid wsp:val=&quot;0058349F&quot;/&gt;&lt;wsp:rsid wsp:val=&quot;0058354E&quot;/&gt;&lt;wsp:rsid wsp:val=&quot;00583D5A&quot;/&gt;&lt;wsp:rsid wsp:val=&quot;00584A27&quot;/&gt;&lt;wsp:rsid wsp:val=&quot;00584DA8&quot;/&gt;&lt;wsp:rsid wsp:val=&quot;00585130&quot;/&gt;&lt;wsp:rsid wsp:val=&quot;00585520&quot;/&gt;&lt;wsp:rsid wsp:val=&quot;005860A3&quot;/&gt;&lt;wsp:rsid wsp:val=&quot;005860D7&quot;/&gt;&lt;wsp:rsid wsp:val=&quot;005862A4&quot;/&gt;&lt;wsp:rsid wsp:val=&quot;00586490&quot;/&gt;&lt;wsp:rsid wsp:val=&quot;00586492&quot;/&gt;&lt;wsp:rsid wsp:val=&quot;00586507&quot;/&gt;&lt;wsp:rsid wsp:val=&quot;00587064&quot;/&gt;&lt;wsp:rsid wsp:val=&quot;00587294&quot;/&gt;&lt;wsp:rsid wsp:val=&quot;00587981&quot;/&gt;&lt;wsp:rsid wsp:val=&quot;00587B8C&quot;/&gt;&lt;wsp:rsid wsp:val=&quot;00587D33&quot;/&gt;&lt;wsp:rsid wsp:val=&quot;00587DB0&quot;/&gt;&lt;wsp:rsid wsp:val=&quot;00587EB0&quot;/&gt;&lt;wsp:rsid wsp:val=&quot;005904F8&quot;/&gt;&lt;wsp:rsid wsp:val=&quot;0059050B&quot;/&gt;&lt;wsp:rsid wsp:val=&quot;00590645&quot;/&gt;&lt;wsp:rsid wsp:val=&quot;00590AC0&quot;/&gt;&lt;wsp:rsid wsp:val=&quot;00590F30&quot;/&gt;&lt;wsp:rsid wsp:val=&quot;00591937&quot;/&gt;&lt;wsp:rsid wsp:val=&quot;0059262A&quot;/&gt;&lt;wsp:rsid wsp:val=&quot;005928DB&quot;/&gt;&lt;wsp:rsid wsp:val=&quot;0059302D&quot;/&gt;&lt;wsp:rsid wsp:val=&quot;00593401&quot;/&gt;&lt;wsp:rsid wsp:val=&quot;00593AEF&quot;/&gt;&lt;wsp:rsid wsp:val=&quot;005941A9&quot;/&gt;&lt;wsp:rsid wsp:val=&quot;005943A1&quot;/&gt;&lt;wsp:rsid wsp:val=&quot;00594433&quot;/&gt;&lt;wsp:rsid wsp:val=&quot;00594AB5&quot;/&gt;&lt;wsp:rsid wsp:val=&quot;00594C34&quot;/&gt;&lt;wsp:rsid wsp:val=&quot;00594FE8&quot;/&gt;&lt;wsp:rsid wsp:val=&quot;00595533&quot;/&gt;&lt;wsp:rsid wsp:val=&quot;005955AA&quot;/&gt;&lt;wsp:rsid wsp:val=&quot;00595F1A&quot;/&gt;&lt;wsp:rsid wsp:val=&quot;005963E5&quot;/&gt;&lt;wsp:rsid wsp:val=&quot;005966F2&quot;/&gt;&lt;wsp:rsid wsp:val=&quot;0059693C&quot;/&gt;&lt;wsp:rsid wsp:val=&quot;00596AB3&quot;/&gt;&lt;wsp:rsid wsp:val=&quot;00596FE8&quot;/&gt;&lt;wsp:rsid wsp:val=&quot;005971B9&quot;/&gt;&lt;wsp:rsid wsp:val=&quot;005971E9&quot;/&gt;&lt;wsp:rsid wsp:val=&quot;005973A0&quot;/&gt;&lt;wsp:rsid wsp:val=&quot;005974E1&quot;/&gt;&lt;wsp:rsid wsp:val=&quot;005975B0&quot;/&gt;&lt;wsp:rsid wsp:val=&quot;00597717&quot;/&gt;&lt;wsp:rsid wsp:val=&quot;005A01AA&quot;/&gt;&lt;wsp:rsid wsp:val=&quot;005A0668&quot;/&gt;&lt;wsp:rsid wsp:val=&quot;005A1173&quot;/&gt;&lt;wsp:rsid wsp:val=&quot;005A14E3&quot;/&gt;&lt;wsp:rsid wsp:val=&quot;005A1848&quot;/&gt;&lt;wsp:rsid wsp:val=&quot;005A1BFB&quot;/&gt;&lt;wsp:rsid wsp:val=&quot;005A1D36&quot;/&gt;&lt;wsp:rsid wsp:val=&quot;005A1EBB&quot;/&gt;&lt;wsp:rsid wsp:val=&quot;005A219B&quot;/&gt;&lt;wsp:rsid wsp:val=&quot;005A236A&quot;/&gt;&lt;wsp:rsid wsp:val=&quot;005A293C&quot;/&gt;&lt;wsp:rsid wsp:val=&quot;005A294C&quot;/&gt;&lt;wsp:rsid wsp:val=&quot;005A2E17&quot;/&gt;&lt;wsp:rsid wsp:val=&quot;005A2F7C&quot;/&gt;&lt;wsp:rsid wsp:val=&quot;005A3305&quot;/&gt;&lt;wsp:rsid wsp:val=&quot;005A347B&quot;/&gt;&lt;wsp:rsid wsp:val=&quot;005A4BB1&quot;/&gt;&lt;wsp:rsid wsp:val=&quot;005A4C44&quot;/&gt;&lt;wsp:rsid wsp:val=&quot;005A59BE&quot;/&gt;&lt;wsp:rsid wsp:val=&quot;005A6121&quot;/&gt;&lt;wsp:rsid wsp:val=&quot;005A6183&quot;/&gt;&lt;wsp:rsid wsp:val=&quot;005A6E72&quot;/&gt;&lt;wsp:rsid wsp:val=&quot;005A6F8C&quot;/&gt;&lt;wsp:rsid wsp:val=&quot;005A70C7&quot;/&gt;&lt;wsp:rsid wsp:val=&quot;005A7558&quot;/&gt;&lt;wsp:rsid wsp:val=&quot;005A787B&quot;/&gt;&lt;wsp:rsid wsp:val=&quot;005A7920&quot;/&gt;&lt;wsp:rsid wsp:val=&quot;005A7CA5&quot;/&gt;&lt;wsp:rsid wsp:val=&quot;005B0455&quot;/&gt;&lt;wsp:rsid wsp:val=&quot;005B0516&quot;/&gt;&lt;wsp:rsid wsp:val=&quot;005B064B&quot;/&gt;&lt;wsp:rsid wsp:val=&quot;005B080E&quot;/&gt;&lt;wsp:rsid wsp:val=&quot;005B08C4&quot;/&gt;&lt;wsp:rsid wsp:val=&quot;005B0991&quot;/&gt;&lt;wsp:rsid wsp:val=&quot;005B14F5&quot;/&gt;&lt;wsp:rsid wsp:val=&quot;005B17FB&quot;/&gt;&lt;wsp:rsid wsp:val=&quot;005B1E89&quot;/&gt;&lt;wsp:rsid wsp:val=&quot;005B2184&quot;/&gt;&lt;wsp:rsid wsp:val=&quot;005B237A&quot;/&gt;&lt;wsp:rsid wsp:val=&quot;005B248C&quot;/&gt;&lt;wsp:rsid wsp:val=&quot;005B2AC3&quot;/&gt;&lt;wsp:rsid wsp:val=&quot;005B2C4A&quot;/&gt;&lt;wsp:rsid wsp:val=&quot;005B314A&quot;/&gt;&lt;wsp:rsid wsp:val=&quot;005B3351&quot;/&gt;&lt;wsp:rsid wsp:val=&quot;005B35C5&quot;/&gt;&lt;wsp:rsid wsp:val=&quot;005B37D5&quot;/&gt;&lt;wsp:rsid wsp:val=&quot;005B383D&quot;/&gt;&lt;wsp:rsid wsp:val=&quot;005B3B27&quot;/&gt;&lt;wsp:rsid wsp:val=&quot;005B402D&quot;/&gt;&lt;wsp:rsid wsp:val=&quot;005B41AC&quot;/&gt;&lt;wsp:rsid wsp:val=&quot;005B49D7&quot;/&gt;&lt;wsp:rsid wsp:val=&quot;005B4F09&quot;/&gt;&lt;wsp:rsid wsp:val=&quot;005B58FD&quot;/&gt;&lt;wsp:rsid wsp:val=&quot;005B6115&quot;/&gt;&lt;wsp:rsid wsp:val=&quot;005B6256&quot;/&gt;&lt;wsp:rsid wsp:val=&quot;005B640B&quot;/&gt;&lt;wsp:rsid wsp:val=&quot;005B6F17&quot;/&gt;&lt;wsp:rsid wsp:val=&quot;005B7B27&quot;/&gt;&lt;wsp:rsid wsp:val=&quot;005B7F27&quot;/&gt;&lt;wsp:rsid wsp:val=&quot;005C08D1&quot;/&gt;&lt;wsp:rsid wsp:val=&quot;005C0B25&quot;/&gt;&lt;wsp:rsid wsp:val=&quot;005C0F82&quot;/&gt;&lt;wsp:rsid wsp:val=&quot;005C18C0&quot;/&gt;&lt;wsp:rsid wsp:val=&quot;005C1BC4&quot;/&gt;&lt;wsp:rsid wsp:val=&quot;005C2CB7&quot;/&gt;&lt;wsp:rsid wsp:val=&quot;005C328D&quot;/&gt;&lt;wsp:rsid wsp:val=&quot;005C34B9&quot;/&gt;&lt;wsp:rsid wsp:val=&quot;005C370D&quot;/&gt;&lt;wsp:rsid wsp:val=&quot;005C3B46&quot;/&gt;&lt;wsp:rsid wsp:val=&quot;005C3C94&quot;/&gt;&lt;wsp:rsid wsp:val=&quot;005C41AE&quot;/&gt;&lt;wsp:rsid wsp:val=&quot;005C420F&quot;/&gt;&lt;wsp:rsid wsp:val=&quot;005C4431&quot;/&gt;&lt;wsp:rsid wsp:val=&quot;005C45E7&quot;/&gt;&lt;wsp:rsid wsp:val=&quot;005C4E26&quot;/&gt;&lt;wsp:rsid wsp:val=&quot;005C559E&quot;/&gt;&lt;wsp:rsid wsp:val=&quot;005C5CAA&quot;/&gt;&lt;wsp:rsid wsp:val=&quot;005C5E3B&quot;/&gt;&lt;wsp:rsid wsp:val=&quot;005C5F32&quot;/&gt;&lt;wsp:rsid wsp:val=&quot;005C658B&quot;/&gt;&lt;wsp:rsid wsp:val=&quot;005C6A0D&quot;/&gt;&lt;wsp:rsid wsp:val=&quot;005C6A61&quot;/&gt;&lt;wsp:rsid wsp:val=&quot;005C6AE5&quot;/&gt;&lt;wsp:rsid wsp:val=&quot;005C6C28&quot;/&gt;&lt;wsp:rsid wsp:val=&quot;005C6CAC&quot;/&gt;&lt;wsp:rsid wsp:val=&quot;005C6FFE&quot;/&gt;&lt;wsp:rsid wsp:val=&quot;005C72DD&quot;/&gt;&lt;wsp:rsid wsp:val=&quot;005C75D9&quot;/&gt;&lt;wsp:rsid wsp:val=&quot;005C7BE8&quot;/&gt;&lt;wsp:rsid wsp:val=&quot;005C7F30&quot;/&gt;&lt;wsp:rsid wsp:val=&quot;005D0161&quot;/&gt;&lt;wsp:rsid wsp:val=&quot;005D06F5&quot;/&gt;&lt;wsp:rsid wsp:val=&quot;005D0DF7&quot;/&gt;&lt;wsp:rsid wsp:val=&quot;005D1169&quot;/&gt;&lt;wsp:rsid wsp:val=&quot;005D129B&quot;/&gt;&lt;wsp:rsid wsp:val=&quot;005D137F&quot;/&gt;&lt;wsp:rsid wsp:val=&quot;005D1459&quot;/&gt;&lt;wsp:rsid wsp:val=&quot;005D1906&quot;/&gt;&lt;wsp:rsid wsp:val=&quot;005D1B80&quot;/&gt;&lt;wsp:rsid wsp:val=&quot;005D1C8E&quot;/&gt;&lt;wsp:rsid wsp:val=&quot;005D1FC4&quot;/&gt;&lt;wsp:rsid wsp:val=&quot;005D1FDB&quot;/&gt;&lt;wsp:rsid wsp:val=&quot;005D2023&quot;/&gt;&lt;wsp:rsid wsp:val=&quot;005D2374&quot;/&gt;&lt;wsp:rsid wsp:val=&quot;005D24B3&quot;/&gt;&lt;wsp:rsid wsp:val=&quot;005D264A&quot;/&gt;&lt;wsp:rsid wsp:val=&quot;005D2F67&quot;/&gt;&lt;wsp:rsid wsp:val=&quot;005D30BA&quot;/&gt;&lt;wsp:rsid wsp:val=&quot;005D3CBD&quot;/&gt;&lt;wsp:rsid wsp:val=&quot;005D42FD&quot;/&gt;&lt;wsp:rsid wsp:val=&quot;005D43C9&quot;/&gt;&lt;wsp:rsid wsp:val=&quot;005D44A3&quot;/&gt;&lt;wsp:rsid wsp:val=&quot;005D4961&quot;/&gt;&lt;wsp:rsid wsp:val=&quot;005D4A3A&quot;/&gt;&lt;wsp:rsid wsp:val=&quot;005D4DBD&quot;/&gt;&lt;wsp:rsid wsp:val=&quot;005D5749&quot;/&gt;&lt;wsp:rsid wsp:val=&quot;005D594C&quot;/&gt;&lt;wsp:rsid wsp:val=&quot;005D6191&quot;/&gt;&lt;wsp:rsid wsp:val=&quot;005D633F&quot;/&gt;&lt;wsp:rsid wsp:val=&quot;005D6389&quot;/&gt;&lt;wsp:rsid wsp:val=&quot;005D6976&quot;/&gt;&lt;wsp:rsid wsp:val=&quot;005D6CF8&quot;/&gt;&lt;wsp:rsid wsp:val=&quot;005D6D76&quot;/&gt;&lt;wsp:rsid wsp:val=&quot;005D6FD0&quot;/&gt;&lt;wsp:rsid wsp:val=&quot;005D771B&quot;/&gt;&lt;wsp:rsid wsp:val=&quot;005D7B22&quot;/&gt;&lt;wsp:rsid wsp:val=&quot;005E0863&quot;/&gt;&lt;wsp:rsid wsp:val=&quot;005E0A6B&quot;/&gt;&lt;wsp:rsid wsp:val=&quot;005E0B99&quot;/&gt;&lt;wsp:rsid wsp:val=&quot;005E14A7&quot;/&gt;&lt;wsp:rsid wsp:val=&quot;005E1736&quot;/&gt;&lt;wsp:rsid wsp:val=&quot;005E1BB1&quot;/&gt;&lt;wsp:rsid wsp:val=&quot;005E1C17&quot;/&gt;&lt;wsp:rsid wsp:val=&quot;005E204B&quot;/&gt;&lt;wsp:rsid wsp:val=&quot;005E2CA9&quot;/&gt;&lt;wsp:rsid wsp:val=&quot;005E3323&quot;/&gt;&lt;wsp:rsid wsp:val=&quot;005E3615&quot;/&gt;&lt;wsp:rsid wsp:val=&quot;005E42A4&quot;/&gt;&lt;wsp:rsid wsp:val=&quot;005E46F9&quot;/&gt;&lt;wsp:rsid wsp:val=&quot;005E522D&quot;/&gt;&lt;wsp:rsid wsp:val=&quot;005E5623&quot;/&gt;&lt;wsp:rsid wsp:val=&quot;005E576F&quot;/&gt;&lt;wsp:rsid wsp:val=&quot;005E5958&quot;/&gt;&lt;wsp:rsid wsp:val=&quot;005E595D&quot;/&gt;&lt;wsp:rsid wsp:val=&quot;005E5CB6&quot;/&gt;&lt;wsp:rsid wsp:val=&quot;005E6340&quot;/&gt;&lt;wsp:rsid wsp:val=&quot;005E6552&quot;/&gt;&lt;wsp:rsid wsp:val=&quot;005E6604&quot;/&gt;&lt;wsp:rsid wsp:val=&quot;005E67FE&quot;/&gt;&lt;wsp:rsid wsp:val=&quot;005E6B92&quot;/&gt;&lt;wsp:rsid wsp:val=&quot;005E6E4A&quot;/&gt;&lt;wsp:rsid wsp:val=&quot;005E70F7&quot;/&gt;&lt;wsp:rsid wsp:val=&quot;005E77E6&quot;/&gt;&lt;wsp:rsid wsp:val=&quot;005E7D46&quot;/&gt;&lt;wsp:rsid wsp:val=&quot;005F0AA5&quot;/&gt;&lt;wsp:rsid wsp:val=&quot;005F0C74&quot;/&gt;&lt;wsp:rsid wsp:val=&quot;005F0D8A&quot;/&gt;&lt;wsp:rsid wsp:val=&quot;005F118F&quot;/&gt;&lt;wsp:rsid wsp:val=&quot;005F14A6&quot;/&gt;&lt;wsp:rsid wsp:val=&quot;005F17A0&quot;/&gt;&lt;wsp:rsid wsp:val=&quot;005F1918&quot;/&gt;&lt;wsp:rsid wsp:val=&quot;005F19FE&quot;/&gt;&lt;wsp:rsid wsp:val=&quot;005F1C12&quot;/&gt;&lt;wsp:rsid wsp:val=&quot;005F1E27&quot;/&gt;&lt;wsp:rsid wsp:val=&quot;005F2021&quot;/&gt;&lt;wsp:rsid wsp:val=&quot;005F208D&quot;/&gt;&lt;wsp:rsid wsp:val=&quot;005F2193&quot;/&gt;&lt;wsp:rsid wsp:val=&quot;005F27FB&quot;/&gt;&lt;wsp:rsid wsp:val=&quot;005F2E5A&quot;/&gt;&lt;wsp:rsid wsp:val=&quot;005F339C&quot;/&gt;&lt;wsp:rsid wsp:val=&quot;005F33B7&quot;/&gt;&lt;wsp:rsid wsp:val=&quot;005F3406&quot;/&gt;&lt;wsp:rsid wsp:val=&quot;005F39DA&quot;/&gt;&lt;wsp:rsid wsp:val=&quot;005F3B6D&quot;/&gt;&lt;wsp:rsid wsp:val=&quot;005F3BD3&quot;/&gt;&lt;wsp:rsid wsp:val=&quot;005F45EB&quot;/&gt;&lt;wsp:rsid wsp:val=&quot;005F469B&quot;/&gt;&lt;wsp:rsid wsp:val=&quot;005F4D5C&quot;/&gt;&lt;wsp:rsid wsp:val=&quot;005F543C&quot;/&gt;&lt;wsp:rsid wsp:val=&quot;005F5823&quot;/&gt;&lt;wsp:rsid wsp:val=&quot;005F5DCD&quot;/&gt;&lt;wsp:rsid wsp:val=&quot;005F5FB8&quot;/&gt;&lt;wsp:rsid wsp:val=&quot;005F63DD&quot;/&gt;&lt;wsp:rsid wsp:val=&quot;005F6614&quot;/&gt;&lt;wsp:rsid wsp:val=&quot;005F6CB8&quot;/&gt;&lt;wsp:rsid wsp:val=&quot;005F746D&quot;/&gt;&lt;wsp:rsid wsp:val=&quot;005F75FF&quot;/&gt;&lt;wsp:rsid wsp:val=&quot;005F787D&quot;/&gt;&lt;wsp:rsid wsp:val=&quot;00600022&quot;/&gt;&lt;wsp:rsid wsp:val=&quot;006003B1&quot;/&gt;&lt;wsp:rsid wsp:val=&quot;0060088E&quot;/&gt;&lt;wsp:rsid wsp:val=&quot;00601213&quot;/&gt;&lt;wsp:rsid wsp:val=&quot;0060178D&quot;/&gt;&lt;wsp:rsid wsp:val=&quot;00601825&quot;/&gt;&lt;wsp:rsid wsp:val=&quot;00601F04&quot;/&gt;&lt;wsp:rsid wsp:val=&quot;0060217A&quot;/&gt;&lt;wsp:rsid wsp:val=&quot;006026AB&quot;/&gt;&lt;wsp:rsid wsp:val=&quot;00602745&quot;/&gt;&lt;wsp:rsid wsp:val=&quot;00602D49&quot;/&gt;&lt;wsp:rsid wsp:val=&quot;00603DF0&quot;/&gt;&lt;wsp:rsid wsp:val=&quot;00603F6F&quot;/&gt;&lt;wsp:rsid wsp:val=&quot;006040C6&quot;/&gt;&lt;wsp:rsid wsp:val=&quot;006049CB&quot;/&gt;&lt;wsp:rsid wsp:val=&quot;00605873&quot;/&gt;&lt;wsp:rsid wsp:val=&quot;0060639E&quot;/&gt;&lt;wsp:rsid wsp:val=&quot;00606620&quot;/&gt;&lt;wsp:rsid wsp:val=&quot;0060664F&quot;/&gt;&lt;wsp:rsid wsp:val=&quot;006068F0&quot;/&gt;&lt;wsp:rsid wsp:val=&quot;00606C1E&quot;/&gt;&lt;wsp:rsid wsp:val=&quot;00606DBC&quot;/&gt;&lt;wsp:rsid wsp:val=&quot;0060750E&quot;/&gt;&lt;wsp:rsid wsp:val=&quot;00607635&quot;/&gt;&lt;wsp:rsid wsp:val=&quot;006076D3&quot;/&gt;&lt;wsp:rsid wsp:val=&quot;0060798F&quot;/&gt;&lt;wsp:rsid wsp:val=&quot;00607AF8&quot;/&gt;&lt;wsp:rsid wsp:val=&quot;00607F3B&quot;/&gt;&lt;wsp:rsid wsp:val=&quot;0061002D&quot;/&gt;&lt;wsp:rsid wsp:val=&quot;006106F8&quot;/&gt;&lt;wsp:rsid wsp:val=&quot;0061090B&quot;/&gt;&lt;wsp:rsid wsp:val=&quot;00610AE0&quot;/&gt;&lt;wsp:rsid wsp:val=&quot;00610B84&quot;/&gt;&lt;wsp:rsid wsp:val=&quot;00610E25&quot;/&gt;&lt;wsp:rsid wsp:val=&quot;00611080&quot;/&gt;&lt;wsp:rsid wsp:val=&quot;0061146F&quot;/&gt;&lt;wsp:rsid wsp:val=&quot;0061160E&quot;/&gt;&lt;wsp:rsid wsp:val=&quot;00611639&quot;/&gt;&lt;wsp:rsid wsp:val=&quot;00611773&quot;/&gt;&lt;wsp:rsid wsp:val=&quot;00611AE2&quot;/&gt;&lt;wsp:rsid wsp:val=&quot;00611FC7&quot;/&gt;&lt;wsp:rsid wsp:val=&quot;006126BC&quot;/&gt;&lt;wsp:rsid wsp:val=&quot;00612776&quot;/&gt;&lt;wsp:rsid wsp:val=&quot;00613032&quot;/&gt;&lt;wsp:rsid wsp:val=&quot;00613079&quot;/&gt;&lt;wsp:rsid wsp:val=&quot;00613328&quot;/&gt;&lt;wsp:rsid wsp:val=&quot;0061352F&quot;/&gt;&lt;wsp:rsid wsp:val=&quot;00614418&quot;/&gt;&lt;wsp:rsid wsp:val=&quot;00614958&quot;/&gt;&lt;wsp:rsid wsp:val=&quot;00614AA5&quot;/&gt;&lt;wsp:rsid wsp:val=&quot;00615010&quot;/&gt;&lt;wsp:rsid wsp:val=&quot;00615105&quot;/&gt;&lt;wsp:rsid wsp:val=&quot;0061576D&quot;/&gt;&lt;wsp:rsid wsp:val=&quot;00615958&quot;/&gt;&lt;wsp:rsid wsp:val=&quot;00615A20&quot;/&gt;&lt;wsp:rsid wsp:val=&quot;00616625&quot;/&gt;&lt;wsp:rsid wsp:val=&quot;00616CB0&quot;/&gt;&lt;wsp:rsid wsp:val=&quot;006174E0&quot;/&gt;&lt;wsp:rsid wsp:val=&quot;00617EAB&quot;/&gt;&lt;wsp:rsid wsp:val=&quot;006203E0&quot;/&gt;&lt;wsp:rsid wsp:val=&quot;006204AC&quot;/&gt;&lt;wsp:rsid wsp:val=&quot;00620EBF&quot;/&gt;&lt;wsp:rsid wsp:val=&quot;0062122B&quot;/&gt;&lt;wsp:rsid wsp:val=&quot;006217B6&quot;/&gt;&lt;wsp:rsid wsp:val=&quot;00621956&quot;/&gt;&lt;wsp:rsid wsp:val=&quot;00621CEE&quot;/&gt;&lt;wsp:rsid wsp:val=&quot;006222B1&quot;/&gt;&lt;wsp:rsid wsp:val=&quot;00622BA2&quot;/&gt;&lt;wsp:rsid wsp:val=&quot;00623098&quot;/&gt;&lt;wsp:rsid wsp:val=&quot;0062325C&quot;/&gt;&lt;wsp:rsid wsp:val=&quot;00623836&quot;/&gt;&lt;wsp:rsid wsp:val=&quot;006238A4&quot;/&gt;&lt;wsp:rsid wsp:val=&quot;0062390B&quot;/&gt;&lt;wsp:rsid wsp:val=&quot;00623C7F&quot;/&gt;&lt;wsp:rsid wsp:val=&quot;0062429A&quot;/&gt;&lt;wsp:rsid wsp:val=&quot;00624351&quot;/&gt;&lt;wsp:rsid wsp:val=&quot;00624AFE&quot;/&gt;&lt;wsp:rsid wsp:val=&quot;00624F5B&quot;/&gt;&lt;wsp:rsid wsp:val=&quot;00624FE6&quot;/&gt;&lt;wsp:rsid wsp:val=&quot;0062522B&quot;/&gt;&lt;wsp:rsid wsp:val=&quot;006254C8&quot;/&gt;&lt;wsp:rsid wsp:val=&quot;00625899&quot;/&gt;&lt;wsp:rsid wsp:val=&quot;00625B56&quot;/&gt;&lt;wsp:rsid wsp:val=&quot;00625E52&quot;/&gt;&lt;wsp:rsid wsp:val=&quot;00625F08&quot;/&gt;&lt;wsp:rsid wsp:val=&quot;006260FF&quot;/&gt;&lt;wsp:rsid wsp:val=&quot;00626169&quot;/&gt;&lt;wsp:rsid wsp:val=&quot;0062616A&quot;/&gt;&lt;wsp:rsid wsp:val=&quot;006266BC&quot;/&gt;&lt;wsp:rsid wsp:val=&quot;0062673E&quot;/&gt;&lt;wsp:rsid wsp:val=&quot;006268AC&quot;/&gt;&lt;wsp:rsid wsp:val=&quot;00626CD1&quot;/&gt;&lt;wsp:rsid wsp:val=&quot;00627275&quot;/&gt;&lt;wsp:rsid wsp:val=&quot;006272F8&quot;/&gt;&lt;wsp:rsid wsp:val=&quot;00627397&quot;/&gt;&lt;wsp:rsid wsp:val=&quot;006278A0&quot;/&gt;&lt;wsp:rsid wsp:val=&quot;00627E6D&quot;/&gt;&lt;wsp:rsid wsp:val=&quot;00627F1D&quot;/&gt;&lt;wsp:rsid wsp:val=&quot;00630057&quot;/&gt;&lt;wsp:rsid wsp:val=&quot;00630100&quot;/&gt;&lt;wsp:rsid wsp:val=&quot;00630483&quot;/&gt;&lt;wsp:rsid wsp:val=&quot;006307DE&quot;/&gt;&lt;wsp:rsid wsp:val=&quot;006309F5&quot;/&gt;&lt;wsp:rsid wsp:val=&quot;00630F1A&quot;/&gt;&lt;wsp:rsid wsp:val=&quot;00630F30&quot;/&gt;&lt;wsp:rsid wsp:val=&quot;00631626&quot;/&gt;&lt;wsp:rsid wsp:val=&quot;00631674&quot;/&gt;&lt;wsp:rsid wsp:val=&quot;00631A16&quot;/&gt;&lt;wsp:rsid wsp:val=&quot;00631ACC&quot;/&gt;&lt;wsp:rsid wsp:val=&quot;00631DD4&quot;/&gt;&lt;wsp:rsid wsp:val=&quot;006321A9&quot;/&gt;&lt;wsp:rsid wsp:val=&quot;006323B8&quot;/&gt;&lt;wsp:rsid wsp:val=&quot;006324CC&quot;/&gt;&lt;wsp:rsid wsp:val=&quot;00632919&quot;/&gt;&lt;wsp:rsid wsp:val=&quot;00632F23&quot;/&gt;&lt;wsp:rsid wsp:val=&quot;00633364&quot;/&gt;&lt;wsp:rsid wsp:val=&quot;00633717&quot;/&gt;&lt;wsp:rsid wsp:val=&quot;00633854&quot;/&gt;&lt;wsp:rsid wsp:val=&quot;00633A9D&quot;/&gt;&lt;wsp:rsid wsp:val=&quot;00633B40&quot;/&gt;&lt;wsp:rsid wsp:val=&quot;00633F5B&quot;/&gt;&lt;wsp:rsid wsp:val=&quot;006345B2&quot;/&gt;&lt;wsp:rsid wsp:val=&quot;006345D4&quot;/&gt;&lt;wsp:rsid wsp:val=&quot;00634AB8&quot;/&gt;&lt;wsp:rsid wsp:val=&quot;00634F70&quot;/&gt;&lt;wsp:rsid wsp:val=&quot;006353D6&quot;/&gt;&lt;wsp:rsid wsp:val=&quot;00635480&quot;/&gt;&lt;wsp:rsid wsp:val=&quot;006356BC&quot;/&gt;&lt;wsp:rsid wsp:val=&quot;00635721&quot;/&gt;&lt;wsp:rsid wsp:val=&quot;00635A70&quot;/&gt;&lt;wsp:rsid wsp:val=&quot;00635C59&quot;/&gt;&lt;wsp:rsid wsp:val=&quot;00635E78&quot;/&gt;&lt;wsp:rsid wsp:val=&quot;00635ECA&quot;/&gt;&lt;wsp:rsid wsp:val=&quot;00636053&quot;/&gt;&lt;wsp:rsid wsp:val=&quot;006367D8&quot;/&gt;&lt;wsp:rsid wsp:val=&quot;0063695C&quot;/&gt;&lt;wsp:rsid wsp:val=&quot;006377F7&quot;/&gt;&lt;wsp:rsid wsp:val=&quot;006379FB&quot;/&gt;&lt;wsp:rsid wsp:val=&quot;00637BA5&quot;/&gt;&lt;wsp:rsid wsp:val=&quot;006400EA&quot;/&gt;&lt;wsp:rsid wsp:val=&quot;00640262&quot;/&gt;&lt;wsp:rsid wsp:val=&quot;00640BF7&quot;/&gt;&lt;wsp:rsid wsp:val=&quot;00641264&quot;/&gt;&lt;wsp:rsid wsp:val=&quot;0064171A&quot;/&gt;&lt;wsp:rsid wsp:val=&quot;00641923&quot;/&gt;&lt;wsp:rsid wsp:val=&quot;00641BB9&quot;/&gt;&lt;wsp:rsid wsp:val=&quot;00641BF2&quot;/&gt;&lt;wsp:rsid wsp:val=&quot;00641E7A&quot;/&gt;&lt;wsp:rsid wsp:val=&quot;00641FFF&quot;/&gt;&lt;wsp:rsid wsp:val=&quot;00642073&quot;/&gt;&lt;wsp:rsid wsp:val=&quot;0064236C&quot;/&gt;&lt;wsp:rsid wsp:val=&quot;006428DA&quot;/&gt;&lt;wsp:rsid wsp:val=&quot;00642BC9&quot;/&gt;&lt;wsp:rsid wsp:val=&quot;00642E51&quot;/&gt;&lt;wsp:rsid wsp:val=&quot;006445CA&quot;/&gt;&lt;wsp:rsid wsp:val=&quot;00644AF2&quot;/&gt;&lt;wsp:rsid wsp:val=&quot;00644F8C&quot;/&gt;&lt;wsp:rsid wsp:val=&quot;00645119&quot;/&gt;&lt;wsp:rsid wsp:val=&quot;00645603&quot;/&gt;&lt;wsp:rsid wsp:val=&quot;0064573D&quot;/&gt;&lt;wsp:rsid wsp:val=&quot;00646174&quot;/&gt;&lt;wsp:rsid wsp:val=&quot;006461AD&quot;/&gt;&lt;wsp:rsid wsp:val=&quot;00646649&quot;/&gt;&lt;wsp:rsid wsp:val=&quot;00647911&quot;/&gt;&lt;wsp:rsid wsp:val=&quot;0064795B&quot;/&gt;&lt;wsp:rsid wsp:val=&quot;006479A6&quot;/&gt;&lt;wsp:rsid wsp:val=&quot;00647FA2&quot;/&gt;&lt;wsp:rsid wsp:val=&quot;00650059&quot;/&gt;&lt;wsp:rsid wsp:val=&quot;006501B2&quot;/&gt;&lt;wsp:rsid wsp:val=&quot;0065075A&quot;/&gt;&lt;wsp:rsid wsp:val=&quot;00650775&quot;/&gt;&lt;wsp:rsid wsp:val=&quot;00650D27&quot;/&gt;&lt;wsp:rsid wsp:val=&quot;00651019&quot;/&gt;&lt;wsp:rsid wsp:val=&quot;0065110B&quot;/&gt;&lt;wsp:rsid wsp:val=&quot;006511DA&quot;/&gt;&lt;wsp:rsid wsp:val=&quot;006513B0&quot;/&gt;&lt;wsp:rsid wsp:val=&quot;00651537&quot;/&gt;&lt;wsp:rsid wsp:val=&quot;00651850&quot;/&gt;&lt;wsp:rsid wsp:val=&quot;006519D7&quot;/&gt;&lt;wsp:rsid wsp:val=&quot;00651C1C&quot;/&gt;&lt;wsp:rsid wsp:val=&quot;00651C99&quot;/&gt;&lt;wsp:rsid wsp:val=&quot;00651CFF&quot;/&gt;&lt;wsp:rsid wsp:val=&quot;00651D91&quot;/&gt;&lt;wsp:rsid wsp:val=&quot;00652112&quot;/&gt;&lt;wsp:rsid wsp:val=&quot;0065215A&quot;/&gt;&lt;wsp:rsid wsp:val=&quot;006522EF&quot;/&gt;&lt;wsp:rsid wsp:val=&quot;006524FD&quot;/&gt;&lt;wsp:rsid wsp:val=&quot;0065253D&quot;/&gt;&lt;wsp:rsid wsp:val=&quot;006527CD&quot;/&gt;&lt;wsp:rsid wsp:val=&quot;00652926&quot;/&gt;&lt;wsp:rsid wsp:val=&quot;00652F11&quot;/&gt;&lt;wsp:rsid wsp:val=&quot;0065381F&quot;/&gt;&lt;wsp:rsid wsp:val=&quot;00653A42&quot;/&gt;&lt;wsp:rsid wsp:val=&quot;00653B69&quot;/&gt;&lt;wsp:rsid wsp:val=&quot;00653F61&quot;/&gt;&lt;wsp:rsid wsp:val=&quot;00654C40&quot;/&gt;&lt;wsp:rsid wsp:val=&quot;006550E7&quot;/&gt;&lt;wsp:rsid wsp:val=&quot;0065518C&quot;/&gt;&lt;wsp:rsid wsp:val=&quot;00655329&quot;/&gt;&lt;wsp:rsid wsp:val=&quot;00655713&quot;/&gt;&lt;wsp:rsid wsp:val=&quot;00655AB9&quot;/&gt;&lt;wsp:rsid wsp:val=&quot;00656160&quot;/&gt;&lt;wsp:rsid wsp:val=&quot;006564BF&quot;/&gt;&lt;wsp:rsid wsp:val=&quot;0065653C&quot;/&gt;&lt;wsp:rsid wsp:val=&quot;006568BB&quot;/&gt;&lt;wsp:rsid wsp:val=&quot;00656C0C&quot;/&gt;&lt;wsp:rsid wsp:val=&quot;00656C41&quot;/&gt;&lt;wsp:rsid wsp:val=&quot;00656DD0&quot;/&gt;&lt;wsp:rsid wsp:val=&quot;00656F60&quot;/&gt;&lt;wsp:rsid wsp:val=&quot;006572EB&quot;/&gt;&lt;wsp:rsid wsp:val=&quot;006572EE&quot;/&gt;&lt;wsp:rsid wsp:val=&quot;0065754F&quot;/&gt;&lt;wsp:rsid wsp:val=&quot;00657B4B&quot;/&gt;&lt;wsp:rsid wsp:val=&quot;00657C2E&quot;/&gt;&lt;wsp:rsid wsp:val=&quot;0066040A&quot;/&gt;&lt;wsp:rsid wsp:val=&quot;006612E3&quot;/&gt;&lt;wsp:rsid wsp:val=&quot;00661396&quot;/&gt;&lt;wsp:rsid wsp:val=&quot;00661656&quot;/&gt;&lt;wsp:rsid wsp:val=&quot;006616BB&quot;/&gt;&lt;wsp:rsid wsp:val=&quot;0066185F&quot;/&gt;&lt;wsp:rsid wsp:val=&quot;00661876&quot;/&gt;&lt;wsp:rsid wsp:val=&quot;006619F6&quot;/&gt;&lt;wsp:rsid wsp:val=&quot;00661A27&quot;/&gt;&lt;wsp:rsid wsp:val=&quot;00661A2D&quot;/&gt;&lt;wsp:rsid wsp:val=&quot;00661B76&quot;/&gt;&lt;wsp:rsid wsp:val=&quot;00661E49&quot;/&gt;&lt;wsp:rsid wsp:val=&quot;006620C1&quot;/&gt;&lt;wsp:rsid wsp:val=&quot;006620C2&quot;/&gt;&lt;wsp:rsid wsp:val=&quot;00662520&quot;/&gt;&lt;wsp:rsid wsp:val=&quot;006629AF&quot;/&gt;&lt;wsp:rsid wsp:val=&quot;00662DE2&quot;/&gt;&lt;wsp:rsid wsp:val=&quot;006631C5&quot;/&gt;&lt;wsp:rsid wsp:val=&quot;006631E6&quot;/&gt;&lt;wsp:rsid wsp:val=&quot;0066343C&quot;/&gt;&lt;wsp:rsid wsp:val=&quot;006634D2&quot;/&gt;&lt;wsp:rsid wsp:val=&quot;00663708&quot;/&gt;&lt;wsp:rsid wsp:val=&quot;00663C48&quot;/&gt;&lt;wsp:rsid wsp:val=&quot;00663FD9&quot;/&gt;&lt;wsp:rsid wsp:val=&quot;00664B08&quot;/&gt;&lt;wsp:rsid wsp:val=&quot;00665147&quot;/&gt;&lt;wsp:rsid wsp:val=&quot;00665890&quot;/&gt;&lt;wsp:rsid wsp:val=&quot;00665E0F&quot;/&gt;&lt;wsp:rsid wsp:val=&quot;006661B6&quot;/&gt;&lt;wsp:rsid wsp:val=&quot;00666443&quot;/&gt;&lt;wsp:rsid wsp:val=&quot;00667334&quot;/&gt;&lt;wsp:rsid wsp:val=&quot;00667DD7&quot;/&gt;&lt;wsp:rsid wsp:val=&quot;00667E22&quot;/&gt;&lt;wsp:rsid wsp:val=&quot;00670365&quot;/&gt;&lt;wsp:rsid wsp:val=&quot;00670647&quot;/&gt;&lt;wsp:rsid wsp:val=&quot;0067077C&quot;/&gt;&lt;wsp:rsid wsp:val=&quot;006707A6&quot;/&gt;&lt;wsp:rsid wsp:val=&quot;006709BD&quot;/&gt;&lt;wsp:rsid wsp:val=&quot;00670D86&quot;/&gt;&lt;wsp:rsid wsp:val=&quot;00670E40&quot;/&gt;&lt;wsp:rsid wsp:val=&quot;00670F7E&quot;/&gt;&lt;wsp:rsid wsp:val=&quot;006715F9&quot;/&gt;&lt;wsp:rsid wsp:val=&quot;00671CA5&quot;/&gt;&lt;wsp:rsid wsp:val=&quot;00671D3A&quot;/&gt;&lt;wsp:rsid wsp:val=&quot;006720C0&quot;/&gt;&lt;wsp:rsid wsp:val=&quot;00672B26&quot;/&gt;&lt;wsp:rsid wsp:val=&quot;006735C2&quot;/&gt;&lt;wsp:rsid wsp:val=&quot;00673A61&quot;/&gt;&lt;wsp:rsid wsp:val=&quot;00673B23&quot;/&gt;&lt;wsp:rsid wsp:val=&quot;00673BC0&quot;/&gt;&lt;wsp:rsid wsp:val=&quot;00673C64&quot;/&gt;&lt;wsp:rsid wsp:val=&quot;00673C85&quot;/&gt;&lt;wsp:rsid wsp:val=&quot;00673C99&quot;/&gt;&lt;wsp:rsid wsp:val=&quot;00673CA4&quot;/&gt;&lt;wsp:rsid wsp:val=&quot;00673D0D&quot;/&gt;&lt;wsp:rsid wsp:val=&quot;006746C2&quot;/&gt;&lt;wsp:rsid wsp:val=&quot;006748DF&quot;/&gt;&lt;wsp:rsid wsp:val=&quot;00674ED7&quot;/&gt;&lt;wsp:rsid wsp:val=&quot;00675021&quot;/&gt;&lt;wsp:rsid wsp:val=&quot;00675A2C&quot;/&gt;&lt;wsp:rsid wsp:val=&quot;00675B87&quot;/&gt;&lt;wsp:rsid wsp:val=&quot;00675C10&quot;/&gt;&lt;wsp:rsid wsp:val=&quot;006764A5&quot;/&gt;&lt;wsp:rsid wsp:val=&quot;006768C4&quot;/&gt;&lt;wsp:rsid wsp:val=&quot;006769AE&quot;/&gt;&lt;wsp:rsid wsp:val=&quot;00677720&quot;/&gt;&lt;wsp:rsid wsp:val=&quot;00677D3B&quot;/&gt;&lt;wsp:rsid wsp:val=&quot;00677DE3&quot;/&gt;&lt;wsp:rsid wsp:val=&quot;00677E79&quot;/&gt;&lt;wsp:rsid wsp:val=&quot;00680499&quot;/&gt;&lt;wsp:rsid wsp:val=&quot;0068057A&quot;/&gt;&lt;wsp:rsid wsp:val=&quot;00680AC8&quot;/&gt;&lt;wsp:rsid wsp:val=&quot;00680E26&quot;/&gt;&lt;wsp:rsid wsp:val=&quot;006810D0&quot;/&gt;&lt;wsp:rsid wsp:val=&quot;00681297&quot;/&gt;&lt;wsp:rsid wsp:val=&quot;006812F7&quot;/&gt;&lt;wsp:rsid wsp:val=&quot;0068192C&quot;/&gt;&lt;wsp:rsid wsp:val=&quot;006820C2&quot;/&gt;&lt;wsp:rsid wsp:val=&quot;006824B6&quot;/&gt;&lt;wsp:rsid wsp:val=&quot;00682581&quot;/&gt;&lt;wsp:rsid wsp:val=&quot;006825F9&quot;/&gt;&lt;wsp:rsid wsp:val=&quot;0068282E&quot;/&gt;&lt;wsp:rsid wsp:val=&quot;00682AAB&quot;/&gt;&lt;wsp:rsid wsp:val=&quot;00682EB9&quot;/&gt;&lt;wsp:rsid wsp:val=&quot;00682EC0&quot;/&gt;&lt;wsp:rsid wsp:val=&quot;00682FD9&quot;/&gt;&lt;wsp:rsid wsp:val=&quot;006830BB&quot;/&gt;&lt;wsp:rsid wsp:val=&quot;0068347B&quot;/&gt;&lt;wsp:rsid wsp:val=&quot;006838C8&quot;/&gt;&lt;wsp:rsid wsp:val=&quot;00683F23&quot;/&gt;&lt;wsp:rsid wsp:val=&quot;006847BF&quot;/&gt;&lt;wsp:rsid wsp:val=&quot;00684936&quot;/&gt;&lt;wsp:rsid wsp:val=&quot;0068524E&quot;/&gt;&lt;wsp:rsid wsp:val=&quot;00685288&quot;/&gt;&lt;wsp:rsid wsp:val=&quot;006852F9&quot;/&gt;&lt;wsp:rsid wsp:val=&quot;00685624&quot;/&gt;&lt;wsp:rsid wsp:val=&quot;006856D7&quot;/&gt;&lt;wsp:rsid wsp:val=&quot;006868B5&quot;/&gt;&lt;wsp:rsid wsp:val=&quot;006868E8&quot;/&gt;&lt;wsp:rsid wsp:val=&quot;00686D42&quot;/&gt;&lt;wsp:rsid wsp:val=&quot;00686D9A&quot;/&gt;&lt;wsp:rsid wsp:val=&quot;00686F2E&quot;/&gt;&lt;wsp:rsid wsp:val=&quot;00687E4D&quot;/&gt;&lt;wsp:rsid wsp:val=&quot;00690397&quot;/&gt;&lt;wsp:rsid wsp:val=&quot;006903E9&quot;/&gt;&lt;wsp:rsid wsp:val=&quot;006908B7&quot;/&gt;&lt;wsp:rsid wsp:val=&quot;00690A5C&quot;/&gt;&lt;wsp:rsid wsp:val=&quot;00691134&quot;/&gt;&lt;wsp:rsid wsp:val=&quot;0069185A&quot;/&gt;&lt;wsp:rsid wsp:val=&quot;00691880&quot;/&gt;&lt;wsp:rsid wsp:val=&quot;00691998&quot;/&gt;&lt;wsp:rsid wsp:val=&quot;00691BCC&quot;/&gt;&lt;wsp:rsid wsp:val=&quot;00691D15&quot;/&gt;&lt;wsp:rsid wsp:val=&quot;00691E38&quot;/&gt;&lt;wsp:rsid wsp:val=&quot;00692158&quot;/&gt;&lt;wsp:rsid wsp:val=&quot;006923A0&quot;/&gt;&lt;wsp:rsid wsp:val=&quot;00692659&quot;/&gt;&lt;wsp:rsid wsp:val=&quot;00692887&quot;/&gt;&lt;wsp:rsid wsp:val=&quot;00692CD1&quot;/&gt;&lt;wsp:rsid wsp:val=&quot;0069330D&quot;/&gt;&lt;wsp:rsid wsp:val=&quot;00693674&quot;/&gt;&lt;wsp:rsid wsp:val=&quot;00693B5D&quot;/&gt;&lt;wsp:rsid wsp:val=&quot;00694354&quot;/&gt;&lt;wsp:rsid wsp:val=&quot;0069436A&quot;/&gt;&lt;wsp:rsid wsp:val=&quot;006945D9&quot;/&gt;&lt;wsp:rsid wsp:val=&quot;006946CE&quot;/&gt;&lt;wsp:rsid wsp:val=&quot;0069472F&quot;/&gt;&lt;wsp:rsid wsp:val=&quot;00694887&quot;/&gt;&lt;wsp:rsid wsp:val=&quot;00694A28&quot;/&gt;&lt;wsp:rsid wsp:val=&quot;00694B46&quot;/&gt;&lt;wsp:rsid wsp:val=&quot;00695C97&quot;/&gt;&lt;wsp:rsid wsp:val=&quot;00696C38&quot;/&gt;&lt;wsp:rsid wsp:val=&quot;0069716A&quot;/&gt;&lt;wsp:rsid wsp:val=&quot;006971C5&quot;/&gt;&lt;wsp:rsid wsp:val=&quot;0069725D&quot;/&gt;&lt;wsp:rsid wsp:val=&quot;00697721&quot;/&gt;&lt;wsp:rsid wsp:val=&quot;00697BA0&quot;/&gt;&lt;wsp:rsid wsp:val=&quot;00697C70&quot;/&gt;&lt;wsp:rsid wsp:val=&quot;00697E3B&quot;/&gt;&lt;wsp:rsid wsp:val=&quot;006A0054&quot;/&gt;&lt;wsp:rsid wsp:val=&quot;006A016A&quot;/&gt;&lt;wsp:rsid wsp:val=&quot;006A08A8&quot;/&gt;&lt;wsp:rsid wsp:val=&quot;006A0A08&quot;/&gt;&lt;wsp:rsid wsp:val=&quot;006A0ACA&quot;/&gt;&lt;wsp:rsid wsp:val=&quot;006A0BDF&quot;/&gt;&lt;wsp:rsid wsp:val=&quot;006A1414&quot;/&gt;&lt;wsp:rsid wsp:val=&quot;006A149F&quot;/&gt;&lt;wsp:rsid wsp:val=&quot;006A1FF2&quot;/&gt;&lt;wsp:rsid wsp:val=&quot;006A21A6&quot;/&gt;&lt;wsp:rsid wsp:val=&quot;006A21C7&quot;/&gt;&lt;wsp:rsid wsp:val=&quot;006A23FF&quot;/&gt;&lt;wsp:rsid wsp:val=&quot;006A29E8&quot;/&gt;&lt;wsp:rsid wsp:val=&quot;006A2DD9&quot;/&gt;&lt;wsp:rsid wsp:val=&quot;006A3480&quot;/&gt;&lt;wsp:rsid wsp:val=&quot;006A36AF&quot;/&gt;&lt;wsp:rsid wsp:val=&quot;006A3C93&quot;/&gt;&lt;wsp:rsid wsp:val=&quot;006A3CCD&quot;/&gt;&lt;wsp:rsid wsp:val=&quot;006A3DF4&quot;/&gt;&lt;wsp:rsid wsp:val=&quot;006A445A&quot;/&gt;&lt;wsp:rsid wsp:val=&quot;006A4509&quot;/&gt;&lt;wsp:rsid wsp:val=&quot;006A487D&quot;/&gt;&lt;wsp:rsid wsp:val=&quot;006A4D60&quot;/&gt;&lt;wsp:rsid wsp:val=&quot;006A5960&quot;/&gt;&lt;wsp:rsid wsp:val=&quot;006A5C72&quot;/&gt;&lt;wsp:rsid wsp:val=&quot;006A5DB7&quot;/&gt;&lt;wsp:rsid wsp:val=&quot;006A5EB6&quot;/&gt;&lt;wsp:rsid wsp:val=&quot;006A61E7&quot;/&gt;&lt;wsp:rsid wsp:val=&quot;006A6408&quot;/&gt;&lt;wsp:rsid wsp:val=&quot;006A6465&quot;/&gt;&lt;wsp:rsid wsp:val=&quot;006A6B67&quot;/&gt;&lt;wsp:rsid wsp:val=&quot;006A6BEA&quot;/&gt;&lt;wsp:rsid wsp:val=&quot;006A6F1D&quot;/&gt;&lt;wsp:rsid wsp:val=&quot;006A70E9&quot;/&gt;&lt;wsp:rsid wsp:val=&quot;006A71F3&quot;/&gt;&lt;wsp:rsid wsp:val=&quot;006A7813&quot;/&gt;&lt;wsp:rsid wsp:val=&quot;006A79DD&quot;/&gt;&lt;wsp:rsid wsp:val=&quot;006A7CD4&quot;/&gt;&lt;wsp:rsid wsp:val=&quot;006A7EED&quot;/&gt;&lt;wsp:rsid wsp:val=&quot;006B022A&quot;/&gt;&lt;wsp:rsid wsp:val=&quot;006B0304&quot;/&gt;&lt;wsp:rsid wsp:val=&quot;006B035B&quot;/&gt;&lt;wsp:rsid wsp:val=&quot;006B057E&quot;/&gt;&lt;wsp:rsid wsp:val=&quot;006B071E&quot;/&gt;&lt;wsp:rsid wsp:val=&quot;006B0C4E&quot;/&gt;&lt;wsp:rsid wsp:val=&quot;006B0EEB&quot;/&gt;&lt;wsp:rsid wsp:val=&quot;006B11E3&quot;/&gt;&lt;wsp:rsid wsp:val=&quot;006B14DF&quot;/&gt;&lt;wsp:rsid wsp:val=&quot;006B155E&quot;/&gt;&lt;wsp:rsid wsp:val=&quot;006B1C89&quot;/&gt;&lt;wsp:rsid wsp:val=&quot;006B27F3&quot;/&gt;&lt;wsp:rsid wsp:val=&quot;006B299B&quot;/&gt;&lt;wsp:rsid wsp:val=&quot;006B2DCB&quot;/&gt;&lt;wsp:rsid wsp:val=&quot;006B31E9&quot;/&gt;&lt;wsp:rsid wsp:val=&quot;006B3308&quot;/&gt;&lt;wsp:rsid wsp:val=&quot;006B3A82&quot;/&gt;&lt;wsp:rsid wsp:val=&quot;006B4581&quot;/&gt;&lt;wsp:rsid wsp:val=&quot;006B4C4D&quot;/&gt;&lt;wsp:rsid wsp:val=&quot;006B507D&quot;/&gt;&lt;wsp:rsid wsp:val=&quot;006B5198&quot;/&gt;&lt;wsp:rsid wsp:val=&quot;006B550A&quot;/&gt;&lt;wsp:rsid wsp:val=&quot;006B5554&quot;/&gt;&lt;wsp:rsid wsp:val=&quot;006B581E&quot;/&gt;&lt;wsp:rsid wsp:val=&quot;006B625E&quot;/&gt;&lt;wsp:rsid wsp:val=&quot;006B6323&quot;/&gt;&lt;wsp:rsid wsp:val=&quot;006B66D2&quot;/&gt;&lt;wsp:rsid wsp:val=&quot;006B6A1C&quot;/&gt;&lt;wsp:rsid wsp:val=&quot;006B6A3F&quot;/&gt;&lt;wsp:rsid wsp:val=&quot;006B713A&quot;/&gt;&lt;wsp:rsid wsp:val=&quot;006B7200&quot;/&gt;&lt;wsp:rsid wsp:val=&quot;006B7571&quot;/&gt;&lt;wsp:rsid wsp:val=&quot;006B7F1D&quot;/&gt;&lt;wsp:rsid wsp:val=&quot;006C0318&quot;/&gt;&lt;wsp:rsid wsp:val=&quot;006C056A&quot;/&gt;&lt;wsp:rsid wsp:val=&quot;006C0A8E&quot;/&gt;&lt;wsp:rsid wsp:val=&quot;006C1745&quot;/&gt;&lt;wsp:rsid wsp:val=&quot;006C1A0F&quot;/&gt;&lt;wsp:rsid wsp:val=&quot;006C1BED&quot;/&gt;&lt;wsp:rsid wsp:val=&quot;006C1EC1&quot;/&gt;&lt;wsp:rsid wsp:val=&quot;006C2556&quot;/&gt;&lt;wsp:rsid wsp:val=&quot;006C2AA6&quot;/&gt;&lt;wsp:rsid wsp:val=&quot;006C30CA&quot;/&gt;&lt;wsp:rsid wsp:val=&quot;006C3133&quot;/&gt;&lt;wsp:rsid wsp:val=&quot;006C3950&quot;/&gt;&lt;wsp:rsid wsp:val=&quot;006C3C0C&quot;/&gt;&lt;wsp:rsid wsp:val=&quot;006C3CE3&quot;/&gt;&lt;wsp:rsid wsp:val=&quot;006C3F9D&quot;/&gt;&lt;wsp:rsid wsp:val=&quot;006C40E6&quot;/&gt;&lt;wsp:rsid wsp:val=&quot;006C4346&quot;/&gt;&lt;wsp:rsid wsp:val=&quot;006C4834&quot;/&gt;&lt;wsp:rsid wsp:val=&quot;006C49B3&quot;/&gt;&lt;wsp:rsid wsp:val=&quot;006C4BBD&quot;/&gt;&lt;wsp:rsid wsp:val=&quot;006C50C4&quot;/&gt;&lt;wsp:rsid wsp:val=&quot;006C5269&quot;/&gt;&lt;wsp:rsid wsp:val=&quot;006C52D6&quot;/&gt;&lt;wsp:rsid wsp:val=&quot;006C5530&quot;/&gt;&lt;wsp:rsid wsp:val=&quot;006C5569&quot;/&gt;&lt;wsp:rsid wsp:val=&quot;006C5583&quot;/&gt;&lt;wsp:rsid wsp:val=&quot;006C5932&quot;/&gt;&lt;wsp:rsid wsp:val=&quot;006C5964&quot;/&gt;&lt;wsp:rsid wsp:val=&quot;006C5A1D&quot;/&gt;&lt;wsp:rsid wsp:val=&quot;006C5F60&quot;/&gt;&lt;wsp:rsid wsp:val=&quot;006C6254&quot;/&gt;&lt;wsp:rsid wsp:val=&quot;006C6307&quot;/&gt;&lt;wsp:rsid wsp:val=&quot;006C633E&quot;/&gt;&lt;wsp:rsid wsp:val=&quot;006C66B5&quot;/&gt;&lt;wsp:rsid wsp:val=&quot;006C694A&quot;/&gt;&lt;wsp:rsid wsp:val=&quot;006C6C6D&quot;/&gt;&lt;wsp:rsid wsp:val=&quot;006C6E03&quot;/&gt;&lt;wsp:rsid wsp:val=&quot;006C7B1C&quot;/&gt;&lt;wsp:rsid wsp:val=&quot;006C7C21&quot;/&gt;&lt;wsp:rsid wsp:val=&quot;006C7C95&quot;/&gt;&lt;wsp:rsid wsp:val=&quot;006C7CA8&quot;/&gt;&lt;wsp:rsid wsp:val=&quot;006D026F&quot;/&gt;&lt;wsp:rsid wsp:val=&quot;006D0289&quot;/&gt;&lt;wsp:rsid wsp:val=&quot;006D0436&quot;/&gt;&lt;wsp:rsid wsp:val=&quot;006D0666&quot;/&gt;&lt;wsp:rsid wsp:val=&quot;006D0D51&quot;/&gt;&lt;wsp:rsid wsp:val=&quot;006D0DFE&quot;/&gt;&lt;wsp:rsid wsp:val=&quot;006D0E79&quot;/&gt;&lt;wsp:rsid wsp:val=&quot;006D1381&quot;/&gt;&lt;wsp:rsid wsp:val=&quot;006D15D4&quot;/&gt;&lt;wsp:rsid wsp:val=&quot;006D200F&quot;/&gt;&lt;wsp:rsid wsp:val=&quot;006D243F&quot;/&gt;&lt;wsp:rsid wsp:val=&quot;006D2ACA&quot;/&gt;&lt;wsp:rsid wsp:val=&quot;006D2D11&quot;/&gt;&lt;wsp:rsid wsp:val=&quot;006D2F98&quot;/&gt;&lt;wsp:rsid wsp:val=&quot;006D3723&quot;/&gt;&lt;wsp:rsid wsp:val=&quot;006D37DD&quot;/&gt;&lt;wsp:rsid wsp:val=&quot;006D3883&quot;/&gt;&lt;wsp:rsid wsp:val=&quot;006D3BF5&quot;/&gt;&lt;wsp:rsid wsp:val=&quot;006D3F06&quot;/&gt;&lt;wsp:rsid wsp:val=&quot;006D3F78&quot;/&gt;&lt;wsp:rsid wsp:val=&quot;006D40DB&quot;/&gt;&lt;wsp:rsid wsp:val=&quot;006D51DC&quot;/&gt;&lt;wsp:rsid wsp:val=&quot;006D5804&quot;/&gt;&lt;wsp:rsid wsp:val=&quot;006D58E0&quot;/&gt;&lt;wsp:rsid wsp:val=&quot;006D5B6A&quot;/&gt;&lt;wsp:rsid wsp:val=&quot;006D5D15&quot;/&gt;&lt;wsp:rsid wsp:val=&quot;006D6276&quot;/&gt;&lt;wsp:rsid wsp:val=&quot;006D637C&quot;/&gt;&lt;wsp:rsid wsp:val=&quot;006D67C8&quot;/&gt;&lt;wsp:rsid wsp:val=&quot;006D6909&quot;/&gt;&lt;wsp:rsid wsp:val=&quot;006D6A93&quot;/&gt;&lt;wsp:rsid wsp:val=&quot;006D7385&quot;/&gt;&lt;wsp:rsid wsp:val=&quot;006D76BA&quot;/&gt;&lt;wsp:rsid wsp:val=&quot;006D79BE&quot;/&gt;&lt;wsp:rsid wsp:val=&quot;006D7A1A&quot;/&gt;&lt;wsp:rsid wsp:val=&quot;006D7CE3&quot;/&gt;&lt;wsp:rsid wsp:val=&quot;006E033D&quot;/&gt;&lt;wsp:rsid wsp:val=&quot;006E057F&quot;/&gt;&lt;wsp:rsid wsp:val=&quot;006E0855&quot;/&gt;&lt;wsp:rsid wsp:val=&quot;006E0F3D&quot;/&gt;&lt;wsp:rsid wsp:val=&quot;006E141F&quot;/&gt;&lt;wsp:rsid wsp:val=&quot;006E160C&quot;/&gt;&lt;wsp:rsid wsp:val=&quot;006E1765&quot;/&gt;&lt;wsp:rsid wsp:val=&quot;006E197D&quot;/&gt;&lt;wsp:rsid wsp:val=&quot;006E220B&quot;/&gt;&lt;wsp:rsid wsp:val=&quot;006E2297&quot;/&gt;&lt;wsp:rsid wsp:val=&quot;006E22AE&quot;/&gt;&lt;wsp:rsid wsp:val=&quot;006E243F&quot;/&gt;&lt;wsp:rsid wsp:val=&quot;006E261D&quot;/&gt;&lt;wsp:rsid wsp:val=&quot;006E264D&quot;/&gt;&lt;wsp:rsid wsp:val=&quot;006E27E2&quot;/&gt;&lt;wsp:rsid wsp:val=&quot;006E2AF3&quot;/&gt;&lt;wsp:rsid wsp:val=&quot;006E32CD&quot;/&gt;&lt;wsp:rsid wsp:val=&quot;006E3497&quot;/&gt;&lt;wsp:rsid wsp:val=&quot;006E37C7&quot;/&gt;&lt;wsp:rsid wsp:val=&quot;006E416D&quot;/&gt;&lt;wsp:rsid wsp:val=&quot;006E4297&quot;/&gt;&lt;wsp:rsid wsp:val=&quot;006E42F1&quot;/&gt;&lt;wsp:rsid wsp:val=&quot;006E431B&quot;/&gt;&lt;wsp:rsid wsp:val=&quot;006E4344&quot;/&gt;&lt;wsp:rsid wsp:val=&quot;006E4423&quot;/&gt;&lt;wsp:rsid wsp:val=&quot;006E4903&quot;/&gt;&lt;wsp:rsid wsp:val=&quot;006E49B3&quot;/&gt;&lt;wsp:rsid wsp:val=&quot;006E4B97&quot;/&gt;&lt;wsp:rsid wsp:val=&quot;006E5214&quot;/&gt;&lt;wsp:rsid wsp:val=&quot;006E5581&quot;/&gt;&lt;wsp:rsid wsp:val=&quot;006E59EC&quot;/&gt;&lt;wsp:rsid wsp:val=&quot;006E5C8C&quot;/&gt;&lt;wsp:rsid wsp:val=&quot;006E5EA0&quot;/&gt;&lt;wsp:rsid wsp:val=&quot;006E6EF0&quot;/&gt;&lt;wsp:rsid wsp:val=&quot;006E71DB&quot;/&gt;&lt;wsp:rsid wsp:val=&quot;006E7726&quot;/&gt;&lt;wsp:rsid wsp:val=&quot;006E7C5C&quot;/&gt;&lt;wsp:rsid wsp:val=&quot;006F000B&quot;/&gt;&lt;wsp:rsid wsp:val=&quot;006F01BD&quot;/&gt;&lt;wsp:rsid wsp:val=&quot;006F0CF3&quot;/&gt;&lt;wsp:rsid wsp:val=&quot;006F0EBC&quot;/&gt;&lt;wsp:rsid wsp:val=&quot;006F11C9&quot;/&gt;&lt;wsp:rsid wsp:val=&quot;006F153E&quot;/&gt;&lt;wsp:rsid wsp:val=&quot;006F1911&quot;/&gt;&lt;wsp:rsid wsp:val=&quot;006F1CD5&quot;/&gt;&lt;wsp:rsid wsp:val=&quot;006F1D0E&quot;/&gt;&lt;wsp:rsid wsp:val=&quot;006F1FAE&quot;/&gt;&lt;wsp:rsid wsp:val=&quot;006F27B1&quot;/&gt;&lt;wsp:rsid wsp:val=&quot;006F2E80&quot;/&gt;&lt;wsp:rsid wsp:val=&quot;006F32BF&quot;/&gt;&lt;wsp:rsid wsp:val=&quot;006F3853&quot;/&gt;&lt;wsp:rsid wsp:val=&quot;006F3875&quot;/&gt;&lt;wsp:rsid wsp:val=&quot;006F3A6B&quot;/&gt;&lt;wsp:rsid wsp:val=&quot;006F3D7B&quot;/&gt;&lt;wsp:rsid wsp:val=&quot;006F4A53&quot;/&gt;&lt;wsp:rsid wsp:val=&quot;006F4D67&quot;/&gt;&lt;wsp:rsid wsp:val=&quot;006F5078&quot;/&gt;&lt;wsp:rsid wsp:val=&quot;006F5148&quot;/&gt;&lt;wsp:rsid wsp:val=&quot;006F5160&quot;/&gt;&lt;wsp:rsid wsp:val=&quot;006F56C5&quot;/&gt;&lt;wsp:rsid wsp:val=&quot;006F5729&quot;/&gt;&lt;wsp:rsid wsp:val=&quot;006F5B59&quot;/&gt;&lt;wsp:rsid wsp:val=&quot;006F5F3D&quot;/&gt;&lt;wsp:rsid wsp:val=&quot;006F6183&quot;/&gt;&lt;wsp:rsid wsp:val=&quot;006F6582&quot;/&gt;&lt;wsp:rsid wsp:val=&quot;006F6723&quot;/&gt;&lt;wsp:rsid wsp:val=&quot;006F6805&quot;/&gt;&lt;wsp:rsid wsp:val=&quot;006F74D1&quot;/&gt;&lt;wsp:rsid wsp:val=&quot;006F759C&quot;/&gt;&lt;wsp:rsid wsp:val=&quot;007005CE&quot;/&gt;&lt;wsp:rsid wsp:val=&quot;00700785&quot;/&gt;&lt;wsp:rsid wsp:val=&quot;00700B6A&quot;/&gt;&lt;wsp:rsid wsp:val=&quot;007012B6&quot;/&gt;&lt;wsp:rsid wsp:val=&quot;007019DB&quot;/&gt;&lt;wsp:rsid wsp:val=&quot;00701B12&quot;/&gt;&lt;wsp:rsid wsp:val=&quot;00701B6D&quot;/&gt;&lt;wsp:rsid wsp:val=&quot;00701B99&quot;/&gt;&lt;wsp:rsid wsp:val=&quot;00701BB3&quot;/&gt;&lt;wsp:rsid wsp:val=&quot;007020E0&quot;/&gt;&lt;wsp:rsid wsp:val=&quot;00702352&quot;/&gt;&lt;wsp:rsid wsp:val=&quot;007024FC&quot;/&gt;&lt;wsp:rsid wsp:val=&quot;00702676&quot;/&gt;&lt;wsp:rsid wsp:val=&quot;007027B0&quot;/&gt;&lt;wsp:rsid wsp:val=&quot;007027BE&quot;/&gt;&lt;wsp:rsid wsp:val=&quot;00702B44&quot;/&gt;&lt;wsp:rsid wsp:val=&quot;00703568&quot;/&gt;&lt;wsp:rsid wsp:val=&quot;007041AF&quot;/&gt;&lt;wsp:rsid wsp:val=&quot;00704444&quot;/&gt;&lt;wsp:rsid wsp:val=&quot;00704723&quot;/&gt;&lt;wsp:rsid wsp:val=&quot;00704A92&quot;/&gt;&lt;wsp:rsid wsp:val=&quot;00704DF3&quot;/&gt;&lt;wsp:rsid wsp:val=&quot;00705249&quot;/&gt;&lt;wsp:rsid wsp:val=&quot;00705ACF&quot;/&gt;&lt;wsp:rsid wsp:val=&quot;007068FC&quot;/&gt;&lt;wsp:rsid wsp:val=&quot;00706982&quot;/&gt;&lt;wsp:rsid wsp:val=&quot;00706B93&quot;/&gt;&lt;wsp:rsid wsp:val=&quot;00706E5B&quot;/&gt;&lt;wsp:rsid wsp:val=&quot;00706EA7&quot;/&gt;&lt;wsp:rsid wsp:val=&quot;00706ED1&quot;/&gt;&lt;wsp:rsid wsp:val=&quot;00706F79&quot;/&gt;&lt;wsp:rsid wsp:val=&quot;00707445&quot;/&gt;&lt;wsp:rsid wsp:val=&quot;007077B2&quot;/&gt;&lt;wsp:rsid wsp:val=&quot;0070796F&quot;/&gt;&lt;wsp:rsid wsp:val=&quot;007102E8&quot;/&gt;&lt;wsp:rsid wsp:val=&quot;007104D3&quot;/&gt;&lt;wsp:rsid wsp:val=&quot;0071145C&quot;/&gt;&lt;wsp:rsid wsp:val=&quot;00711796&quot;/&gt;&lt;wsp:rsid wsp:val=&quot;00711A03&quot;/&gt;&lt;wsp:rsid wsp:val=&quot;00711EB8&quot;/&gt;&lt;wsp:rsid wsp:val=&quot;0071202A&quot;/&gt;&lt;wsp:rsid wsp:val=&quot;007121F0&quot;/&gt;&lt;wsp:rsid wsp:val=&quot;0071233A&quot;/&gt;&lt;wsp:rsid wsp:val=&quot;00712374&quot;/&gt;&lt;wsp:rsid wsp:val=&quot;00712CA4&quot;/&gt;&lt;wsp:rsid wsp:val=&quot;00712DB0&quot;/&gt;&lt;wsp:rsid wsp:val=&quot;00713701&quot;/&gt;&lt;wsp:rsid wsp:val=&quot;00713CD2&quot;/&gt;&lt;wsp:rsid wsp:val=&quot;00713D2F&quot;/&gt;&lt;wsp:rsid wsp:val=&quot;00714483&quot;/&gt;&lt;wsp:rsid wsp:val=&quot;00714539&quot;/&gt;&lt;wsp:rsid wsp:val=&quot;007147D0&quot;/&gt;&lt;wsp:rsid wsp:val=&quot;00714ABA&quot;/&gt;&lt;wsp:rsid wsp:val=&quot;00714BE6&quot;/&gt;&lt;wsp:rsid wsp:val=&quot;007153F0&quot;/&gt;&lt;wsp:rsid wsp:val=&quot;00715AF4&quot;/&gt;&lt;wsp:rsid wsp:val=&quot;00715B8F&quot;/&gt;&lt;wsp:rsid wsp:val=&quot;00715F71&quot;/&gt;&lt;wsp:rsid wsp:val=&quot;00716BBA&quot;/&gt;&lt;wsp:rsid wsp:val=&quot;00716EDA&quot;/&gt;&lt;wsp:rsid wsp:val=&quot;00720AC5&quot;/&gt;&lt;wsp:rsid wsp:val=&quot;0072136C&quot;/&gt;&lt;wsp:rsid wsp:val=&quot;00721375&quot;/&gt;&lt;wsp:rsid wsp:val=&quot;00721436&quot;/&gt;&lt;wsp:rsid wsp:val=&quot;007215A1&quot;/&gt;&lt;wsp:rsid wsp:val=&quot;00721A6A&quot;/&gt;&lt;wsp:rsid wsp:val=&quot;00721F5B&quot;/&gt;&lt;wsp:rsid wsp:val=&quot;0072203C&quot;/&gt;&lt;wsp:rsid wsp:val=&quot;00722330&quot;/&gt;&lt;wsp:rsid wsp:val=&quot;007225C8&quot;/&gt;&lt;wsp:rsid wsp:val=&quot;007227AD&quot;/&gt;&lt;wsp:rsid wsp:val=&quot;00722BFB&quot;/&gt;&lt;wsp:rsid wsp:val=&quot;00722DEA&quot;/&gt;&lt;wsp:rsid wsp:val=&quot;007230DA&quot;/&gt;&lt;wsp:rsid wsp:val=&quot;0072350E&quot;/&gt;&lt;wsp:rsid wsp:val=&quot;00723531&quot;/&gt;&lt;wsp:rsid wsp:val=&quot;0072383F&quot;/&gt;&lt;wsp:rsid wsp:val=&quot;007238D8&quot;/&gt;&lt;wsp:rsid wsp:val=&quot;007238DE&quot;/&gt;&lt;wsp:rsid wsp:val=&quot;00723D7C&quot;/&gt;&lt;wsp:rsid wsp:val=&quot;007241A9&quot;/&gt;&lt;wsp:rsid wsp:val=&quot;007242B8&quot;/&gt;&lt;wsp:rsid wsp:val=&quot;00724378&quot;/&gt;&lt;wsp:rsid wsp:val=&quot;007244D7&quot;/&gt;&lt;wsp:rsid wsp:val=&quot;00724536&quot;/&gt;&lt;wsp:rsid wsp:val=&quot;007248F0&quot;/&gt;&lt;wsp:rsid wsp:val=&quot;00724E70&quot;/&gt;&lt;wsp:rsid wsp:val=&quot;007251A5&quot;/&gt;&lt;wsp:rsid wsp:val=&quot;0072525B&quot;/&gt;&lt;wsp:rsid wsp:val=&quot;007255E8&quot;/&gt;&lt;wsp:rsid wsp:val=&quot;00725846&quot;/&gt;&lt;wsp:rsid wsp:val=&quot;00725EA3&quot;/&gt;&lt;wsp:rsid wsp:val=&quot;00725EA5&quot;/&gt;&lt;wsp:rsid wsp:val=&quot;00726067&quot;/&gt;&lt;wsp:rsid wsp:val=&quot;00726412&quot;/&gt;&lt;wsp:rsid wsp:val=&quot;0072718D&quot;/&gt;&lt;wsp:rsid wsp:val=&quot;007274EA&quot;/&gt;&lt;wsp:rsid wsp:val=&quot;0072760C&quot;/&gt;&lt;wsp:rsid wsp:val=&quot;00727610&quot;/&gt;&lt;wsp:rsid wsp:val=&quot;0072784F&quot;/&gt;&lt;wsp:rsid wsp:val=&quot;00727B47&quot;/&gt;&lt;wsp:rsid wsp:val=&quot;00727C81&quot;/&gt;&lt;wsp:rsid wsp:val=&quot;00727D45&quot;/&gt;&lt;wsp:rsid wsp:val=&quot;00727F0B&quot;/&gt;&lt;wsp:rsid wsp:val=&quot;00727F59&quot;/&gt;&lt;wsp:rsid wsp:val=&quot;0073029F&quot;/&gt;&lt;wsp:rsid wsp:val=&quot;007303AF&quot;/&gt;&lt;wsp:rsid wsp:val=&quot;007306D8&quot;/&gt;&lt;wsp:rsid wsp:val=&quot;007308DB&quot;/&gt;&lt;wsp:rsid wsp:val=&quot;00731158&quot;/&gt;&lt;wsp:rsid wsp:val=&quot;00731426&quot;/&gt;&lt;wsp:rsid wsp:val=&quot;00731487&quot;/&gt;&lt;wsp:rsid wsp:val=&quot;00731797&quot;/&gt;&lt;wsp:rsid wsp:val=&quot;007318FB&quot;/&gt;&lt;wsp:rsid wsp:val=&quot;00731EE1&quot;/&gt;&lt;wsp:rsid wsp:val=&quot;00732466&quot;/&gt;&lt;wsp:rsid wsp:val=&quot;007328CE&quot;/&gt;&lt;wsp:rsid wsp:val=&quot;00733536&quot;/&gt;&lt;wsp:rsid wsp:val=&quot;007339A1&quot;/&gt;&lt;wsp:rsid wsp:val=&quot;007339AB&quot;/&gt;&lt;wsp:rsid wsp:val=&quot;0073430F&quot;/&gt;&lt;wsp:rsid wsp:val=&quot;00734F6E&quot;/&gt;&lt;wsp:rsid wsp:val=&quot;0073504B&quot;/&gt;&lt;wsp:rsid wsp:val=&quot;0073521B&quot;/&gt;&lt;wsp:rsid wsp:val=&quot;007354B7&quot;/&gt;&lt;wsp:rsid wsp:val=&quot;0073655C&quot;/&gt;&lt;wsp:rsid wsp:val=&quot;00737317&quot;/&gt;&lt;wsp:rsid wsp:val=&quot;007376F3&quot;/&gt;&lt;wsp:rsid wsp:val=&quot;00737A19&quot;/&gt;&lt;wsp:rsid wsp:val=&quot;00737DCC&quot;/&gt;&lt;wsp:rsid wsp:val=&quot;00737E9A&quot;/&gt;&lt;wsp:rsid wsp:val=&quot;00740118&quot;/&gt;&lt;wsp:rsid wsp:val=&quot;0074033A&quot;/&gt;&lt;wsp:rsid wsp:val=&quot;0074062F&quot;/&gt;&lt;wsp:rsid wsp:val=&quot;007406A7&quot;/&gt;&lt;wsp:rsid wsp:val=&quot;00740A3A&quot;/&gt;&lt;wsp:rsid wsp:val=&quot;007412A7&quot;/&gt;&lt;wsp:rsid wsp:val=&quot;007414DD&quot;/&gt;&lt;wsp:rsid wsp:val=&quot;00741A50&quot;/&gt;&lt;wsp:rsid wsp:val=&quot;00741CCC&quot;/&gt;&lt;wsp:rsid wsp:val=&quot;00741FC2&quot;/&gt;&lt;wsp:rsid wsp:val=&quot;00742371&quot;/&gt;&lt;wsp:rsid wsp:val=&quot;00742499&quot;/&gt;&lt;wsp:rsid wsp:val=&quot;00742B6C&quot;/&gt;&lt;wsp:rsid wsp:val=&quot;00742DD4&quot;/&gt;&lt;wsp:rsid wsp:val=&quot;00742F7B&quot;/&gt;&lt;wsp:rsid wsp:val=&quot;00743ED2&quot;/&gt;&lt;wsp:rsid wsp:val=&quot;007440D9&quot;/&gt;&lt;wsp:rsid wsp:val=&quot;0074448C&quot;/&gt;&lt;wsp:rsid wsp:val=&quot;007444CF&quot;/&gt;&lt;wsp:rsid wsp:val=&quot;0074450F&quot;/&gt;&lt;wsp:rsid wsp:val=&quot;007451AB&quot;/&gt;&lt;wsp:rsid wsp:val=&quot;007452A0&quot;/&gt;&lt;wsp:rsid wsp:val=&quot;00745723&quot;/&gt;&lt;wsp:rsid wsp:val=&quot;00745A3F&quot;/&gt;&lt;wsp:rsid wsp:val=&quot;00745BA7&quot;/&gt;&lt;wsp:rsid wsp:val=&quot;00745BD5&quot;/&gt;&lt;wsp:rsid wsp:val=&quot;007465ED&quot;/&gt;&lt;wsp:rsid wsp:val=&quot;00746C94&quot;/&gt;&lt;wsp:rsid wsp:val=&quot;00746DC9&quot;/&gt;&lt;wsp:rsid wsp:val=&quot;00746E92&quot;/&gt;&lt;wsp:rsid wsp:val=&quot;007470DF&quot;/&gt;&lt;wsp:rsid wsp:val=&quot;007474D1&quot;/&gt;&lt;wsp:rsid wsp:val=&quot;00747A33&quot;/&gt;&lt;wsp:rsid wsp:val=&quot;00747A65&quot;/&gt;&lt;wsp:rsid wsp:val=&quot;00747EBF&quot;/&gt;&lt;wsp:rsid wsp:val=&quot;00747ED2&quot;/&gt;&lt;wsp:rsid wsp:val=&quot;007506A5&quot;/&gt;&lt;wsp:rsid wsp:val=&quot;00750B96&quot;/&gt;&lt;wsp:rsid wsp:val=&quot;00750D7B&quot;/&gt;&lt;wsp:rsid wsp:val=&quot;00750D9D&quot;/&gt;&lt;wsp:rsid wsp:val=&quot;0075101B&quot;/&gt;&lt;wsp:rsid wsp:val=&quot;00751291&quot;/&gt;&lt;wsp:rsid wsp:val=&quot;0075161A&quot;/&gt;&lt;wsp:rsid wsp:val=&quot;007517BF&quot;/&gt;&lt;wsp:rsid wsp:val=&quot;0075187C&quot;/&gt;&lt;wsp:rsid wsp:val=&quot;00751DD0&quot;/&gt;&lt;wsp:rsid wsp:val=&quot;0075224D&quot;/&gt;&lt;wsp:rsid wsp:val=&quot;007522B2&quot;/&gt;&lt;wsp:rsid wsp:val=&quot;0075239C&quot;/&gt;&lt;wsp:rsid wsp:val=&quot;007526FB&quot;/&gt;&lt;wsp:rsid wsp:val=&quot;00752C28&quot;/&gt;&lt;wsp:rsid wsp:val=&quot;00752D23&quot;/&gt;&lt;wsp:rsid wsp:val=&quot;00752E35&quot;/&gt;&lt;wsp:rsid wsp:val=&quot;0075333A&quot;/&gt;&lt;wsp:rsid wsp:val=&quot;007533E6&quot;/&gt;&lt;wsp:rsid wsp:val=&quot;007534F7&quot;/&gt;&lt;wsp:rsid wsp:val=&quot;0075353C&quot;/&gt;&lt;wsp:rsid wsp:val=&quot;007535E9&quot;/&gt;&lt;wsp:rsid wsp:val=&quot;00754067&quot;/&gt;&lt;wsp:rsid wsp:val=&quot;007540E0&quot;/&gt;&lt;wsp:rsid wsp:val=&quot;00754162&quot;/&gt;&lt;wsp:rsid wsp:val=&quot;00754C9E&quot;/&gt;&lt;wsp:rsid wsp:val=&quot;00755882&quot;/&gt;&lt;wsp:rsid wsp:val=&quot;00755BF5&quot;/&gt;&lt;wsp:rsid wsp:val=&quot;007562EC&quot;/&gt;&lt;wsp:rsid wsp:val=&quot;0075694A&quot;/&gt;&lt;wsp:rsid wsp:val=&quot;00756E03&quot;/&gt;&lt;wsp:rsid wsp:val=&quot;00756E6F&quot;/&gt;&lt;wsp:rsid wsp:val=&quot;007570F9&quot;/&gt;&lt;wsp:rsid wsp:val=&quot;00757412&quot;/&gt;&lt;wsp:rsid wsp:val=&quot;007576BC&quot;/&gt;&lt;wsp:rsid wsp:val=&quot;00757E5E&quot;/&gt;&lt;wsp:rsid wsp:val=&quot;007603F4&quot;/&gt;&lt;wsp:rsid wsp:val=&quot;00760844&quot;/&gt;&lt;wsp:rsid wsp:val=&quot;00760BD3&quot;/&gt;&lt;wsp:rsid wsp:val=&quot;007610DE&quot;/&gt;&lt;wsp:rsid wsp:val=&quot;00761484&quot;/&gt;&lt;wsp:rsid wsp:val=&quot;007615D5&quot;/&gt;&lt;wsp:rsid wsp:val=&quot;00761894&quot;/&gt;&lt;wsp:rsid wsp:val=&quot;0076193A&quot;/&gt;&lt;wsp:rsid wsp:val=&quot;007629B9&quot;/&gt;&lt;wsp:rsid wsp:val=&quot;00762DBE&quot;/&gt;&lt;wsp:rsid wsp:val=&quot;00763484&quot;/&gt;&lt;wsp:rsid wsp:val=&quot;007637D2&quot;/&gt;&lt;wsp:rsid wsp:val=&quot;00763979&quot;/&gt;&lt;wsp:rsid wsp:val=&quot;00763C73&quot;/&gt;&lt;wsp:rsid wsp:val=&quot;0076455E&quot;/&gt;&lt;wsp:rsid wsp:val=&quot;00764569&quot;/&gt;&lt;wsp:rsid wsp:val=&quot;00764892&quot;/&gt;&lt;wsp:rsid wsp:val=&quot;00764C76&quot;/&gt;&lt;wsp:rsid wsp:val=&quot;007652EF&quot;/&gt;&lt;wsp:rsid wsp:val=&quot;007659D4&quot;/&gt;&lt;wsp:rsid wsp:val=&quot;007665A0&quot;/&gt;&lt;wsp:rsid wsp:val=&quot;00766A93&quot;/&gt;&lt;wsp:rsid wsp:val=&quot;00767148&quot;/&gt;&lt;wsp:rsid wsp:val=&quot;00767C8A&quot;/&gt;&lt;wsp:rsid wsp:val=&quot;00767F05&quot;/&gt;&lt;wsp:rsid wsp:val=&quot;00770118&quot;/&gt;&lt;wsp:rsid wsp:val=&quot;007701FB&quot;/&gt;&lt;wsp:rsid wsp:val=&quot;007703EF&quot;/&gt;&lt;wsp:rsid wsp:val=&quot;00770630&quot;/&gt;&lt;wsp:rsid wsp:val=&quot;007707D2&quot;/&gt;&lt;wsp:rsid wsp:val=&quot;00770AB5&quot;/&gt;&lt;wsp:rsid wsp:val=&quot;0077124C&quot;/&gt;&lt;wsp:rsid wsp:val=&quot;00771A6D&quot;/&gt;&lt;wsp:rsid wsp:val=&quot;00772469&quot;/&gt;&lt;wsp:rsid wsp:val=&quot;0077265C&quot;/&gt;&lt;wsp:rsid wsp:val=&quot;00772E19&quot;/&gt;&lt;wsp:rsid wsp:val=&quot;0077319A&quot;/&gt;&lt;wsp:rsid wsp:val=&quot;007736A5&quot;/&gt;&lt;wsp:rsid wsp:val=&quot;0077370C&quot;/&gt;&lt;wsp:rsid wsp:val=&quot;00773E0C&quot;/&gt;&lt;wsp:rsid wsp:val=&quot;00774715&quot;/&gt;&lt;wsp:rsid wsp:val=&quot;00774727&quot;/&gt;&lt;wsp:rsid wsp:val=&quot;007747B9&quot;/&gt;&lt;wsp:rsid wsp:val=&quot;007748B8&quot;/&gt;&lt;wsp:rsid wsp:val=&quot;00774CF4&quot;/&gt;&lt;wsp:rsid wsp:val=&quot;00774F51&quot;/&gt;&lt;wsp:rsid wsp:val=&quot;007750DC&quot;/&gt;&lt;wsp:rsid wsp:val=&quot;00775394&quot;/&gt;&lt;wsp:rsid wsp:val=&quot;00775AFA&quot;/&gt;&lt;wsp:rsid wsp:val=&quot;007763F6&quot;/&gt;&lt;wsp:rsid wsp:val=&quot;0077675D&quot;/&gt;&lt;wsp:rsid wsp:val=&quot;00776791&quot;/&gt;&lt;wsp:rsid wsp:val=&quot;007768DB&quot;/&gt;&lt;wsp:rsid wsp:val=&quot;00776A45&quot;/&gt;&lt;wsp:rsid wsp:val=&quot;00777297&quot;/&gt;&lt;wsp:rsid wsp:val=&quot;0077764A&quot;/&gt;&lt;wsp:rsid wsp:val=&quot;00780317&quot;/&gt;&lt;wsp:rsid wsp:val=&quot;007807FF&quot;/&gt;&lt;wsp:rsid wsp:val=&quot;007808B1&quot;/&gt;&lt;wsp:rsid wsp:val=&quot;00780EEE&quot;/&gt;&lt;wsp:rsid wsp:val=&quot;007817EB&quot;/&gt;&lt;wsp:rsid wsp:val=&quot;00781F79&quot;/&gt;&lt;wsp:rsid wsp:val=&quot;00781FA6&quot;/&gt;&lt;wsp:rsid wsp:val=&quot;00782277&quot;/&gt;&lt;wsp:rsid wsp:val=&quot;00782468&quot;/&gt;&lt;wsp:rsid wsp:val=&quot;007824F1&quot;/&gt;&lt;wsp:rsid wsp:val=&quot;0078257A&quot;/&gt;&lt;wsp:rsid wsp:val=&quot;00782654&quot;/&gt;&lt;wsp:rsid wsp:val=&quot;007827C4&quot;/&gt;&lt;wsp:rsid wsp:val=&quot;00782882&quot;/&gt;&lt;wsp:rsid wsp:val=&quot;00782D25&quot;/&gt;&lt;wsp:rsid wsp:val=&quot;00782F96&quot;/&gt;&lt;wsp:rsid wsp:val=&quot;0078308B&quot;/&gt;&lt;wsp:rsid wsp:val=&quot;00783216&quot;/&gt;&lt;wsp:rsid wsp:val=&quot;00783C7D&quot;/&gt;&lt;wsp:rsid wsp:val=&quot;00783D75&quot;/&gt;&lt;wsp:rsid wsp:val=&quot;00783F9B&quot;/&gt;&lt;wsp:rsid wsp:val=&quot;007843D7&quot;/&gt;&lt;wsp:rsid wsp:val=&quot;00784ACF&quot;/&gt;&lt;wsp:rsid wsp:val=&quot;00784F8F&quot;/&gt;&lt;wsp:rsid wsp:val=&quot;007852CA&quot;/&gt;&lt;wsp:rsid wsp:val=&quot;007854C8&quot;/&gt;&lt;wsp:rsid wsp:val=&quot;00786474&quot;/&gt;&lt;wsp:rsid wsp:val=&quot;00786B6D&quot;/&gt;&lt;wsp:rsid wsp:val=&quot;00786C91&quot;/&gt;&lt;wsp:rsid wsp:val=&quot;00786DA1&quot;/&gt;&lt;wsp:rsid wsp:val=&quot;007870F9&quot;/&gt;&lt;wsp:rsid wsp:val=&quot;007877B2&quot;/&gt;&lt;wsp:rsid wsp:val=&quot;00787872&quot;/&gt;&lt;wsp:rsid wsp:val=&quot;007878F5&quot;/&gt;&lt;wsp:rsid wsp:val=&quot;00787928&quot;/&gt;&lt;wsp:rsid wsp:val=&quot;00787A16&quot;/&gt;&lt;wsp:rsid wsp:val=&quot;007901E5&quot;/&gt;&lt;wsp:rsid wsp:val=&quot;00790228&quot;/&gt;&lt;wsp:rsid wsp:val=&quot;00790431&quot;/&gt;&lt;wsp:rsid wsp:val=&quot;0079065C&quot;/&gt;&lt;wsp:rsid wsp:val=&quot;007906D7&quot;/&gt;&lt;wsp:rsid wsp:val=&quot;007908AF&quot;/&gt;&lt;wsp:rsid wsp:val=&quot;00790CAA&quot;/&gt;&lt;wsp:rsid wsp:val=&quot;00790EBB&quot;/&gt;&lt;wsp:rsid wsp:val=&quot;00791633&quot;/&gt;&lt;wsp:rsid wsp:val=&quot;0079179E&quot;/&gt;&lt;wsp:rsid wsp:val=&quot;007918D6&quot;/&gt;&lt;wsp:rsid wsp:val=&quot;00791969&quot;/&gt;&lt;wsp:rsid wsp:val=&quot;007920CF&quot;/&gt;&lt;wsp:rsid wsp:val=&quot;00792B58&quot;/&gt;&lt;wsp:rsid wsp:val=&quot;00792DCB&quot;/&gt;&lt;wsp:rsid wsp:val=&quot;007930F5&quot;/&gt;&lt;wsp:rsid wsp:val=&quot;007936EC&quot;/&gt;&lt;wsp:rsid wsp:val=&quot;00793EC2&quot;/&gt;&lt;wsp:rsid wsp:val=&quot;007940B7&quot;/&gt;&lt;wsp:rsid wsp:val=&quot;007946A8&quot;/&gt;&lt;wsp:rsid wsp:val=&quot;00794AB6&quot;/&gt;&lt;wsp:rsid wsp:val=&quot;007954FA&quot;/&gt;&lt;wsp:rsid wsp:val=&quot;0079583C&quot;/&gt;&lt;wsp:rsid wsp:val=&quot;0079590A&quot;/&gt;&lt;wsp:rsid wsp:val=&quot;00795C07&quot;/&gt;&lt;wsp:rsid wsp:val=&quot;00795D1F&quot;/&gt;&lt;wsp:rsid wsp:val=&quot;00796129&quot;/&gt;&lt;wsp:rsid wsp:val=&quot;00796149&quot;/&gt;&lt;wsp:rsid wsp:val=&quot;007962B5&quot;/&gt;&lt;wsp:rsid wsp:val=&quot;00796515&quot;/&gt;&lt;wsp:rsid wsp:val=&quot;0079660C&quot;/&gt;&lt;wsp:rsid wsp:val=&quot;007969B6&quot;/&gt;&lt;wsp:rsid wsp:val=&quot;00796B08&quot;/&gt;&lt;wsp:rsid wsp:val=&quot;007A02CD&quot;/&gt;&lt;wsp:rsid wsp:val=&quot;007A0BA5&quot;/&gt;&lt;wsp:rsid wsp:val=&quot;007A0D61&quot;/&gt;&lt;wsp:rsid wsp:val=&quot;007A0DCE&quot;/&gt;&lt;wsp:rsid wsp:val=&quot;007A1941&quot;/&gt;&lt;wsp:rsid wsp:val=&quot;007A194C&quot;/&gt;&lt;wsp:rsid wsp:val=&quot;007A25A6&quot;/&gt;&lt;wsp:rsid wsp:val=&quot;007A2610&quot;/&gt;&lt;wsp:rsid wsp:val=&quot;007A2846&quot;/&gt;&lt;wsp:rsid wsp:val=&quot;007A28AA&quot;/&gt;&lt;wsp:rsid wsp:val=&quot;007A2B9B&quot;/&gt;&lt;wsp:rsid wsp:val=&quot;007A2F16&quot;/&gt;&lt;wsp:rsid wsp:val=&quot;007A3205&quot;/&gt;&lt;wsp:rsid wsp:val=&quot;007A3A14&quot;/&gt;&lt;wsp:rsid wsp:val=&quot;007A3AB0&quot;/&gt;&lt;wsp:rsid wsp:val=&quot;007A3E4E&quot;/&gt;&lt;wsp:rsid wsp:val=&quot;007A4035&quot;/&gt;&lt;wsp:rsid wsp:val=&quot;007A4128&quot;/&gt;&lt;wsp:rsid wsp:val=&quot;007A4180&quot;/&gt;&lt;wsp:rsid wsp:val=&quot;007A4231&quot;/&gt;&lt;wsp:rsid wsp:val=&quot;007A5F69&quot;/&gt;&lt;wsp:rsid wsp:val=&quot;007A5FB2&quot;/&gt;&lt;wsp:rsid wsp:val=&quot;007A6255&quot;/&gt;&lt;wsp:rsid wsp:val=&quot;007A67FD&quot;/&gt;&lt;wsp:rsid wsp:val=&quot;007A6B15&quot;/&gt;&lt;wsp:rsid wsp:val=&quot;007A7406&quot;/&gt;&lt;wsp:rsid wsp:val=&quot;007A7419&quot;/&gt;&lt;wsp:rsid wsp:val=&quot;007A79AA&quot;/&gt;&lt;wsp:rsid wsp:val=&quot;007A7BA0&quot;/&gt;&lt;wsp:rsid wsp:val=&quot;007B024D&quot;/&gt;&lt;wsp:rsid wsp:val=&quot;007B03E1&quot;/&gt;&lt;wsp:rsid wsp:val=&quot;007B0B77&quot;/&gt;&lt;wsp:rsid wsp:val=&quot;007B0D5F&quot;/&gt;&lt;wsp:rsid wsp:val=&quot;007B0F02&quot;/&gt;&lt;wsp:rsid wsp:val=&quot;007B129A&quot;/&gt;&lt;wsp:rsid wsp:val=&quot;007B14EC&quot;/&gt;&lt;wsp:rsid wsp:val=&quot;007B1634&quot;/&gt;&lt;wsp:rsid wsp:val=&quot;007B1A29&quot;/&gt;&lt;wsp:rsid wsp:val=&quot;007B1AAE&quot;/&gt;&lt;wsp:rsid wsp:val=&quot;007B1C6E&quot;/&gt;&lt;wsp:rsid wsp:val=&quot;007B21BD&quot;/&gt;&lt;wsp:rsid wsp:val=&quot;007B237E&quot;/&gt;&lt;wsp:rsid wsp:val=&quot;007B257F&quot;/&gt;&lt;wsp:rsid wsp:val=&quot;007B2661&quot;/&gt;&lt;wsp:rsid wsp:val=&quot;007B2769&quot;/&gt;&lt;wsp:rsid wsp:val=&quot;007B27B9&quot;/&gt;&lt;wsp:rsid wsp:val=&quot;007B29A4&quot;/&gt;&lt;wsp:rsid wsp:val=&quot;007B2F57&quot;/&gt;&lt;wsp:rsid wsp:val=&quot;007B3423&quot;/&gt;&lt;wsp:rsid wsp:val=&quot;007B3978&quot;/&gt;&lt;wsp:rsid wsp:val=&quot;007B45DF&quot;/&gt;&lt;wsp:rsid wsp:val=&quot;007B5237&quot;/&gt;&lt;wsp:rsid wsp:val=&quot;007B529D&quot;/&gt;&lt;wsp:rsid wsp:val=&quot;007B530B&quot;/&gt;&lt;wsp:rsid wsp:val=&quot;007B54BF&quot;/&gt;&lt;wsp:rsid wsp:val=&quot;007B5C14&quot;/&gt;&lt;wsp:rsid wsp:val=&quot;007B67B6&quot;/&gt;&lt;wsp:rsid wsp:val=&quot;007B69EF&quot;/&gt;&lt;wsp:rsid wsp:val=&quot;007B6EF1&quot;/&gt;&lt;wsp:rsid wsp:val=&quot;007B7282&quot;/&gt;&lt;wsp:rsid wsp:val=&quot;007B73D4&quot;/&gt;&lt;wsp:rsid wsp:val=&quot;007B7950&quot;/&gt;&lt;wsp:rsid wsp:val=&quot;007B7FA2&quot;/&gt;&lt;wsp:rsid wsp:val=&quot;007C01D8&quot;/&gt;&lt;wsp:rsid wsp:val=&quot;007C04BA&quot;/&gt;&lt;wsp:rsid wsp:val=&quot;007C0646&quot;/&gt;&lt;wsp:rsid wsp:val=&quot;007C095F&quot;/&gt;&lt;wsp:rsid wsp:val=&quot;007C0C2E&quot;/&gt;&lt;wsp:rsid wsp:val=&quot;007C0D0F&quot;/&gt;&lt;wsp:rsid wsp:val=&quot;007C0E13&quot;/&gt;&lt;wsp:rsid wsp:val=&quot;007C0E89&quot;/&gt;&lt;wsp:rsid wsp:val=&quot;007C1567&quot;/&gt;&lt;wsp:rsid wsp:val=&quot;007C1AF1&quot;/&gt;&lt;wsp:rsid wsp:val=&quot;007C1C99&quot;/&gt;&lt;wsp:rsid wsp:val=&quot;007C1FDC&quot;/&gt;&lt;wsp:rsid wsp:val=&quot;007C277A&quot;/&gt;&lt;wsp:rsid wsp:val=&quot;007C3151&quot;/&gt;&lt;wsp:rsid wsp:val=&quot;007C3620&quot;/&gt;&lt;wsp:rsid wsp:val=&quot;007C3CC0&quot;/&gt;&lt;wsp:rsid wsp:val=&quot;007C4A48&quot;/&gt;&lt;wsp:rsid wsp:val=&quot;007C51A8&quot;/&gt;&lt;wsp:rsid wsp:val=&quot;007C5367&quot;/&gt;&lt;wsp:rsid wsp:val=&quot;007C538C&quot;/&gt;&lt;wsp:rsid wsp:val=&quot;007C53D0&quot;/&gt;&lt;wsp:rsid wsp:val=&quot;007C5587&quot;/&gt;&lt;wsp:rsid wsp:val=&quot;007C59E7&quot;/&gt;&lt;wsp:rsid wsp:val=&quot;007C5B9A&quot;/&gt;&lt;wsp:rsid wsp:val=&quot;007C61DE&quot;/&gt;&lt;wsp:rsid wsp:val=&quot;007C6645&quot;/&gt;&lt;wsp:rsid wsp:val=&quot;007C66EB&quot;/&gt;&lt;wsp:rsid wsp:val=&quot;007C6A5A&quot;/&gt;&lt;wsp:rsid wsp:val=&quot;007C7662&quot;/&gt;&lt;wsp:rsid wsp:val=&quot;007C76E7&quot;/&gt;&lt;wsp:rsid wsp:val=&quot;007C797D&quot;/&gt;&lt;wsp:rsid wsp:val=&quot;007C7BB1&quot;/&gt;&lt;wsp:rsid wsp:val=&quot;007C7EEE&quot;/&gt;&lt;wsp:rsid wsp:val=&quot;007D00FA&quot;/&gt;&lt;wsp:rsid wsp:val=&quot;007D026E&quot;/&gt;&lt;wsp:rsid wsp:val=&quot;007D04BB&quot;/&gt;&lt;wsp:rsid wsp:val=&quot;007D05AB&quot;/&gt;&lt;wsp:rsid wsp:val=&quot;007D07DD&quot;/&gt;&lt;wsp:rsid wsp:val=&quot;007D1071&quot;/&gt;&lt;wsp:rsid wsp:val=&quot;007D1210&quot;/&gt;&lt;wsp:rsid wsp:val=&quot;007D1601&quot;/&gt;&lt;wsp:rsid wsp:val=&quot;007D1D4B&quot;/&gt;&lt;wsp:rsid wsp:val=&quot;007D2708&quot;/&gt;&lt;wsp:rsid wsp:val=&quot;007D278F&quot;/&gt;&lt;wsp:rsid wsp:val=&quot;007D27FC&quot;/&gt;&lt;wsp:rsid wsp:val=&quot;007D2F41&quot;/&gt;&lt;wsp:rsid wsp:val=&quot;007D2F79&quot;/&gt;&lt;wsp:rsid wsp:val=&quot;007D2F87&quot;/&gt;&lt;wsp:rsid wsp:val=&quot;007D3180&quot;/&gt;&lt;wsp:rsid wsp:val=&quot;007D3563&quot;/&gt;&lt;wsp:rsid wsp:val=&quot;007D35D4&quot;/&gt;&lt;wsp:rsid wsp:val=&quot;007D3887&quot;/&gt;&lt;wsp:rsid wsp:val=&quot;007D3C58&quot;/&gt;&lt;wsp:rsid wsp:val=&quot;007D3F65&quot;/&gt;&lt;wsp:rsid wsp:val=&quot;007D42A1&quot;/&gt;&lt;wsp:rsid wsp:val=&quot;007D4356&quot;/&gt;&lt;wsp:rsid wsp:val=&quot;007D4635&quot;/&gt;&lt;wsp:rsid wsp:val=&quot;007D465F&quot;/&gt;&lt;wsp:rsid wsp:val=&quot;007D4B2A&quot;/&gt;&lt;wsp:rsid wsp:val=&quot;007D4E72&quot;/&gt;&lt;wsp:rsid wsp:val=&quot;007D4FF8&quot;/&gt;&lt;wsp:rsid wsp:val=&quot;007D50E2&quot;/&gt;&lt;wsp:rsid wsp:val=&quot;007D57FB&quot;/&gt;&lt;wsp:rsid wsp:val=&quot;007D594C&quot;/&gt;&lt;wsp:rsid wsp:val=&quot;007D5B2C&quot;/&gt;&lt;wsp:rsid wsp:val=&quot;007D5EB0&quot;/&gt;&lt;wsp:rsid wsp:val=&quot;007D6E86&quot;/&gt;&lt;wsp:rsid wsp:val=&quot;007D6F39&quot;/&gt;&lt;wsp:rsid wsp:val=&quot;007D717B&quot;/&gt;&lt;wsp:rsid wsp:val=&quot;007D71DF&quot;/&gt;&lt;wsp:rsid wsp:val=&quot;007D73D6&quot;/&gt;&lt;wsp:rsid wsp:val=&quot;007D7C4A&quot;/&gt;&lt;wsp:rsid wsp:val=&quot;007D7E8E&quot;/&gt;&lt;wsp:rsid wsp:val=&quot;007E0215&quot;/&gt;&lt;wsp:rsid wsp:val=&quot;007E0B5A&quot;/&gt;&lt;wsp:rsid wsp:val=&quot;007E1189&quot;/&gt;&lt;wsp:rsid wsp:val=&quot;007E1765&quot;/&gt;&lt;wsp:rsid wsp:val=&quot;007E1B2A&quot;/&gt;&lt;wsp:rsid wsp:val=&quot;007E1BAB&quot;/&gt;&lt;wsp:rsid wsp:val=&quot;007E1CD3&quot;/&gt;&lt;wsp:rsid wsp:val=&quot;007E1F15&quot;/&gt;&lt;wsp:rsid wsp:val=&quot;007E221E&quot;/&gt;&lt;wsp:rsid wsp:val=&quot;007E2ECE&quot;/&gt;&lt;wsp:rsid wsp:val=&quot;007E2ED4&quot;/&gt;&lt;wsp:rsid wsp:val=&quot;007E3041&quot;/&gt;&lt;wsp:rsid wsp:val=&quot;007E3194&quot;/&gt;&lt;wsp:rsid wsp:val=&quot;007E320C&quot;/&gt;&lt;wsp:rsid wsp:val=&quot;007E33C8&quot;/&gt;&lt;wsp:rsid wsp:val=&quot;007E352B&quot;/&gt;&lt;wsp:rsid wsp:val=&quot;007E3670&quot;/&gt;&lt;wsp:rsid wsp:val=&quot;007E3A53&quot;/&gt;&lt;wsp:rsid wsp:val=&quot;007E3D17&quot;/&gt;&lt;wsp:rsid wsp:val=&quot;007E4211&quot;/&gt;&lt;wsp:rsid wsp:val=&quot;007E4435&quot;/&gt;&lt;wsp:rsid wsp:val=&quot;007E469A&quot;/&gt;&lt;wsp:rsid wsp:val=&quot;007E478E&quot;/&gt;&lt;wsp:rsid wsp:val=&quot;007E4BD7&quot;/&gt;&lt;wsp:rsid wsp:val=&quot;007E4D79&quot;/&gt;&lt;wsp:rsid wsp:val=&quot;007E4E52&quot;/&gt;&lt;wsp:rsid wsp:val=&quot;007E4FD5&quot;/&gt;&lt;wsp:rsid wsp:val=&quot;007E500E&quot;/&gt;&lt;wsp:rsid wsp:val=&quot;007E5082&quot;/&gt;&lt;wsp:rsid wsp:val=&quot;007E5190&quot;/&gt;&lt;wsp:rsid wsp:val=&quot;007E5315&quot;/&gt;&lt;wsp:rsid wsp:val=&quot;007E56C6&quot;/&gt;&lt;wsp:rsid wsp:val=&quot;007E5734&quot;/&gt;&lt;wsp:rsid wsp:val=&quot;007E5869&quot;/&gt;&lt;wsp:rsid wsp:val=&quot;007E5C62&quot;/&gt;&lt;wsp:rsid wsp:val=&quot;007E5D5A&quot;/&gt;&lt;wsp:rsid wsp:val=&quot;007E5E2A&quot;/&gt;&lt;wsp:rsid wsp:val=&quot;007E5F6D&quot;/&gt;&lt;wsp:rsid wsp:val=&quot;007E6BDD&quot;/&gt;&lt;wsp:rsid wsp:val=&quot;007E7117&quot;/&gt;&lt;wsp:rsid wsp:val=&quot;007E7378&quot;/&gt;&lt;wsp:rsid wsp:val=&quot;007E7BD8&quot;/&gt;&lt;wsp:rsid wsp:val=&quot;007F00A7&quot;/&gt;&lt;wsp:rsid wsp:val=&quot;007F00CD&quot;/&gt;&lt;wsp:rsid wsp:val=&quot;007F039F&quot;/&gt;&lt;wsp:rsid wsp:val=&quot;007F075C&quot;/&gt;&lt;wsp:rsid wsp:val=&quot;007F079B&quot;/&gt;&lt;wsp:rsid wsp:val=&quot;007F0C77&quot;/&gt;&lt;wsp:rsid wsp:val=&quot;007F0DC9&quot;/&gt;&lt;wsp:rsid wsp:val=&quot;007F0E5C&quot;/&gt;&lt;wsp:rsid wsp:val=&quot;007F0FDB&quot;/&gt;&lt;wsp:rsid wsp:val=&quot;007F128B&quot;/&gt;&lt;wsp:rsid wsp:val=&quot;007F1B10&quot;/&gt;&lt;wsp:rsid wsp:val=&quot;007F1EE1&quot;/&gt;&lt;wsp:rsid wsp:val=&quot;007F1EEA&quot;/&gt;&lt;wsp:rsid wsp:val=&quot;007F281F&quot;/&gt;&lt;wsp:rsid wsp:val=&quot;007F2B95&quot;/&gt;&lt;wsp:rsid wsp:val=&quot;007F2C56&quot;/&gt;&lt;wsp:rsid wsp:val=&quot;007F34ED&quot;/&gt;&lt;wsp:rsid wsp:val=&quot;007F3E21&quot;/&gt;&lt;wsp:rsid wsp:val=&quot;007F411A&quot;/&gt;&lt;wsp:rsid wsp:val=&quot;007F45D6&quot;/&gt;&lt;wsp:rsid wsp:val=&quot;007F497E&quot;/&gt;&lt;wsp:rsid wsp:val=&quot;007F49F7&quot;/&gt;&lt;wsp:rsid wsp:val=&quot;007F4B1E&quot;/&gt;&lt;wsp:rsid wsp:val=&quot;007F4C33&quot;/&gt;&lt;wsp:rsid wsp:val=&quot;007F531C&quot;/&gt;&lt;wsp:rsid wsp:val=&quot;007F552B&quot;/&gt;&lt;wsp:rsid wsp:val=&quot;007F5530&quot;/&gt;&lt;wsp:rsid wsp:val=&quot;007F5784&quot;/&gt;&lt;wsp:rsid wsp:val=&quot;007F6256&quot;/&gt;&lt;wsp:rsid wsp:val=&quot;007F633D&quot;/&gt;&lt;wsp:rsid wsp:val=&quot;007F6547&quot;/&gt;&lt;wsp:rsid wsp:val=&quot;007F662C&quot;/&gt;&lt;wsp:rsid wsp:val=&quot;007F6940&quot;/&gt;&lt;wsp:rsid wsp:val=&quot;007F70D7&quot;/&gt;&lt;wsp:rsid wsp:val=&quot;007F7412&quot;/&gt;&lt;wsp:rsid wsp:val=&quot;007F7750&quot;/&gt;&lt;wsp:rsid wsp:val=&quot;007F7A25&quot;/&gt;&lt;wsp:rsid wsp:val=&quot;007F7C57&quot;/&gt;&lt;wsp:rsid wsp:val=&quot;007F7C76&quot;/&gt;&lt;wsp:rsid wsp:val=&quot;007F7FB6&quot;/&gt;&lt;wsp:rsid wsp:val=&quot;00800125&quot;/&gt;&lt;wsp:rsid wsp:val=&quot;00800589&quot;/&gt;&lt;wsp:rsid wsp:val=&quot;008011C4&quot;/&gt;&lt;wsp:rsid wsp:val=&quot;008015ED&quot;/&gt;&lt;wsp:rsid wsp:val=&quot;00801695&quot;/&gt;&lt;wsp:rsid wsp:val=&quot;00801A3B&quot;/&gt;&lt;wsp:rsid wsp:val=&quot;00801BB7&quot;/&gt;&lt;wsp:rsid wsp:val=&quot;00801CF4&quot;/&gt;&lt;wsp:rsid wsp:val=&quot;00802650&quot;/&gt;&lt;wsp:rsid wsp:val=&quot;00802D67&quot;/&gt;&lt;wsp:rsid wsp:val=&quot;008032D8&quot;/&gt;&lt;wsp:rsid wsp:val=&quot;00803C6D&quot;/&gt;&lt;wsp:rsid wsp:val=&quot;00803D41&quot;/&gt;&lt;wsp:rsid wsp:val=&quot;0080424E&quot;/&gt;&lt;wsp:rsid wsp:val=&quot;0080459F&quot;/&gt;&lt;wsp:rsid wsp:val=&quot;00804D30&quot;/&gt;&lt;wsp:rsid wsp:val=&quot;00804D6B&quot;/&gt;&lt;wsp:rsid wsp:val=&quot;00805030&quot;/&gt;&lt;wsp:rsid wsp:val=&quot;0080558A&quot;/&gt;&lt;wsp:rsid wsp:val=&quot;0080586E&quot;/&gt;&lt;wsp:rsid wsp:val=&quot;00805CF8&quot;/&gt;&lt;wsp:rsid wsp:val=&quot;00805E47&quot;/&gt;&lt;wsp:rsid wsp:val=&quot;00805E6E&quot;/&gt;&lt;wsp:rsid wsp:val=&quot;008060EE&quot;/&gt;&lt;wsp:rsid wsp:val=&quot;008063FA&quot;/&gt;&lt;wsp:rsid wsp:val=&quot;008068F3&quot;/&gt;&lt;wsp:rsid wsp:val=&quot;008069E3&quot;/&gt;&lt;wsp:rsid wsp:val=&quot;00807234&quot;/&gt;&lt;wsp:rsid wsp:val=&quot;0080723B&quot;/&gt;&lt;wsp:rsid wsp:val=&quot;008075D7&quot;/&gt;&lt;wsp:rsid wsp:val=&quot;00807D03&quot;/&gt;&lt;wsp:rsid wsp:val=&quot;00807F3E&quot;/&gt;&lt;wsp:rsid wsp:val=&quot;008103DD&quot;/&gt;&lt;wsp:rsid wsp:val=&quot;00810924&quot;/&gt;&lt;wsp:rsid wsp:val=&quot;008110BC&quot;/&gt;&lt;wsp:rsid wsp:val=&quot;0081152E&quot;/&gt;&lt;wsp:rsid wsp:val=&quot;008117F4&quot;/&gt;&lt;wsp:rsid wsp:val=&quot;00811856&quot;/&gt;&lt;wsp:rsid wsp:val=&quot;00812522&quot;/&gt;&lt;wsp:rsid wsp:val=&quot;00812BC5&quot;/&gt;&lt;wsp:rsid wsp:val=&quot;00812DD0&quot;/&gt;&lt;wsp:rsid wsp:val=&quot;008137BA&quot;/&gt;&lt;wsp:rsid wsp:val=&quot;008137D9&quot;/&gt;&lt;wsp:rsid wsp:val=&quot;00813928&quot;/&gt;&lt;wsp:rsid wsp:val=&quot;00813CB4&quot;/&gt;&lt;wsp:rsid wsp:val=&quot;00813F87&quot;/&gt;&lt;wsp:rsid wsp:val=&quot;00813FB6&quot;/&gt;&lt;wsp:rsid wsp:val=&quot;00814155&quot;/&gt;&lt;wsp:rsid wsp:val=&quot;0081416D&quot;/&gt;&lt;wsp:rsid wsp:val=&quot;0081466F&quot;/&gt;&lt;wsp:rsid wsp:val=&quot;00814842&quot;/&gt;&lt;wsp:rsid wsp:val=&quot;00814E7E&quot;/&gt;&lt;wsp:rsid wsp:val=&quot;00814F4B&quot;/&gt;&lt;wsp:rsid wsp:val=&quot;00815291&quot;/&gt;&lt;wsp:rsid wsp:val=&quot;008152FF&quot;/&gt;&lt;wsp:rsid wsp:val=&quot;00815466&quot;/&gt;&lt;wsp:rsid wsp:val=&quot;008159FE&quot;/&gt;&lt;wsp:rsid wsp:val=&quot;00815C35&quot;/&gt;&lt;wsp:rsid wsp:val=&quot;00815C82&quot;/&gt;&lt;wsp:rsid wsp:val=&quot;00816463&quot;/&gt;&lt;wsp:rsid wsp:val=&quot;00816796&quot;/&gt;&lt;wsp:rsid wsp:val=&quot;0081698E&quot;/&gt;&lt;wsp:rsid wsp:val=&quot;00816D50&quot;/&gt;&lt;wsp:rsid wsp:val=&quot;0081752E&quot;/&gt;&lt;wsp:rsid wsp:val=&quot;00817F76&quot;/&gt;&lt;wsp:rsid wsp:val=&quot;00820102&quot;/&gt;&lt;wsp:rsid wsp:val=&quot;008208F6&quot;/&gt;&lt;wsp:rsid wsp:val=&quot;00820C24&quot;/&gt;&lt;wsp:rsid wsp:val=&quot;00820FC8&quot;/&gt;&lt;wsp:rsid wsp:val=&quot;0082108C&quot;/&gt;&lt;wsp:rsid wsp:val=&quot;00821640&quot;/&gt;&lt;wsp:rsid wsp:val=&quot;00821D18&quot;/&gt;&lt;wsp:rsid wsp:val=&quot;00822620&quot;/&gt;&lt;wsp:rsid wsp:val=&quot;008227E5&quot;/&gt;&lt;wsp:rsid wsp:val=&quot;00822DA4&quot;/&gt;&lt;wsp:rsid wsp:val=&quot;00822EB8&quot;/&gt;&lt;wsp:rsid wsp:val=&quot;0082384C&quot;/&gt;&lt;wsp:rsid wsp:val=&quot;008240FF&quot;/&gt;&lt;wsp:rsid wsp:val=&quot;008243E9&quot;/&gt;&lt;wsp:rsid wsp:val=&quot;008246F5&quot;/&gt;&lt;wsp:rsid wsp:val=&quot;00824923&quot;/&gt;&lt;wsp:rsid wsp:val=&quot;00824B96&quot;/&gt;&lt;wsp:rsid wsp:val=&quot;00824DF4&quot;/&gt;&lt;wsp:rsid wsp:val=&quot;0082518D&quot;/&gt;&lt;wsp:rsid wsp:val=&quot;00825F44&quot;/&gt;&lt;wsp:rsid wsp:val=&quot;00825FAE&quot;/&gt;&lt;wsp:rsid wsp:val=&quot;008267DE&quot;/&gt;&lt;wsp:rsid wsp:val=&quot;00826D46&quot;/&gt;&lt;wsp:rsid wsp:val=&quot;00826EFD&quot;/&gt;&lt;wsp:rsid wsp:val=&quot;00827656&quot;/&gt;&lt;wsp:rsid wsp:val=&quot;008276BB&quot;/&gt;&lt;wsp:rsid wsp:val=&quot;00827753&quot;/&gt;&lt;wsp:rsid wsp:val=&quot;00827992&quot;/&gt;&lt;wsp:rsid wsp:val=&quot;008279BF&quot;/&gt;&lt;wsp:rsid wsp:val=&quot;008303CB&quot;/&gt;&lt;wsp:rsid wsp:val=&quot;00830AE4&quot;/&gt;&lt;wsp:rsid wsp:val=&quot;00830D15&quot;/&gt;&lt;wsp:rsid wsp:val=&quot;00830DCC&quot;/&gt;&lt;wsp:rsid wsp:val=&quot;00830EFF&quot;/&gt;&lt;wsp:rsid wsp:val=&quot;008310EE&quot;/&gt;&lt;wsp:rsid wsp:val=&quot;00831312&quot;/&gt;&lt;wsp:rsid wsp:val=&quot;00831663&quot;/&gt;&lt;wsp:rsid wsp:val=&quot;008318B9&quot;/&gt;&lt;wsp:rsid wsp:val=&quot;0083198C&quot;/&gt;&lt;wsp:rsid wsp:val=&quot;00831A4B&quot;/&gt;&lt;wsp:rsid wsp:val=&quot;00831E96&quot;/&gt;&lt;wsp:rsid wsp:val=&quot;00832409&quot;/&gt;&lt;wsp:rsid wsp:val=&quot;008325C4&quot;/&gt;&lt;wsp:rsid wsp:val=&quot;00832F48&quot;/&gt;&lt;wsp:rsid wsp:val=&quot;00833495&quot;/&gt;&lt;wsp:rsid wsp:val=&quot;00833B5D&quot;/&gt;&lt;wsp:rsid wsp:val=&quot;00834015&quot;/&gt;&lt;wsp:rsid wsp:val=&quot;0083419D&quot;/&gt;&lt;wsp:rsid wsp:val=&quot;008345B4&quot;/&gt;&lt;wsp:rsid wsp:val=&quot;008345BF&quot;/&gt;&lt;wsp:rsid wsp:val=&quot;0083490E&quot;/&gt;&lt;wsp:rsid wsp:val=&quot;008349E9&quot;/&gt;&lt;wsp:rsid wsp:val=&quot;008359EB&quot;/&gt;&lt;wsp:rsid wsp:val=&quot;008359F5&quot;/&gt;&lt;wsp:rsid wsp:val=&quot;00835A49&quot;/&gt;&lt;wsp:rsid wsp:val=&quot;00835B52&quot;/&gt;&lt;wsp:rsid wsp:val=&quot;00836003&quot;/&gt;&lt;wsp:rsid wsp:val=&quot;00836940&quot;/&gt;&lt;wsp:rsid wsp:val=&quot;008369BB&quot;/&gt;&lt;wsp:rsid wsp:val=&quot;00836F5C&quot;/&gt;&lt;wsp:rsid wsp:val=&quot;008371FC&quot;/&gt;&lt;wsp:rsid wsp:val=&quot;0083766E&quot;/&gt;&lt;wsp:rsid wsp:val=&quot;00840100&quot;/&gt;&lt;wsp:rsid wsp:val=&quot;0084011C&quot;/&gt;&lt;wsp:rsid wsp:val=&quot;00840634&quot;/&gt;&lt;wsp:rsid wsp:val=&quot;008407F6&quot;/&gt;&lt;wsp:rsid wsp:val=&quot;00840AAC&quot;/&gt;&lt;wsp:rsid wsp:val=&quot;00840DF5&quot;/&gt;&lt;wsp:rsid wsp:val=&quot;008411D5&quot;/&gt;&lt;wsp:rsid wsp:val=&quot;008416B7&quot;/&gt;&lt;wsp:rsid wsp:val=&quot;00841B10&quot;/&gt;&lt;wsp:rsid wsp:val=&quot;00841E06&quot;/&gt;&lt;wsp:rsid wsp:val=&quot;0084270C&quot;/&gt;&lt;wsp:rsid wsp:val=&quot;00842A42&quot;/&gt;&lt;wsp:rsid wsp:val=&quot;00842CE6&quot;/&gt;&lt;wsp:rsid wsp:val=&quot;00842DFF&quot;/&gt;&lt;wsp:rsid wsp:val=&quot;00843EB7&quot;/&gt;&lt;wsp:rsid wsp:val=&quot;00844066&quot;/&gt;&lt;wsp:rsid wsp:val=&quot;00844405&quot;/&gt;&lt;wsp:rsid wsp:val=&quot;00844AB7&quot;/&gt;&lt;wsp:rsid wsp:val=&quot;00844C2F&quot;/&gt;&lt;wsp:rsid wsp:val=&quot;00845212&quot;/&gt;&lt;wsp:rsid wsp:val=&quot;00845B59&quot;/&gt;&lt;wsp:rsid wsp:val=&quot;0084617E&quot;/&gt;&lt;wsp:rsid wsp:val=&quot;008461D2&quot;/&gt;&lt;wsp:rsid wsp:val=&quot;008461E2&quot;/&gt;&lt;wsp:rsid wsp:val=&quot;008468E7&quot;/&gt;&lt;wsp:rsid wsp:val=&quot;00846BB4&quot;/&gt;&lt;wsp:rsid wsp:val=&quot;00846C1F&quot;/&gt;&lt;wsp:rsid wsp:val=&quot;008470AD&quot;/&gt;&lt;wsp:rsid wsp:val=&quot;00847206&quot;/&gt;&lt;wsp:rsid wsp:val=&quot;0084763D&quot;/&gt;&lt;wsp:rsid wsp:val=&quot;008500F2&quot;/&gt;&lt;wsp:rsid wsp:val=&quot;00850134&quot;/&gt;&lt;wsp:rsid wsp:val=&quot;008509EA&quot;/&gt;&lt;wsp:rsid wsp:val=&quot;00850D3C&quot;/&gt;&lt;wsp:rsid wsp:val=&quot;008510E5&quot;/&gt;&lt;wsp:rsid wsp:val=&quot;0085123F&quot;/&gt;&lt;wsp:rsid wsp:val=&quot;00851D73&quot;/&gt;&lt;wsp:rsid wsp:val=&quot;00852200&quot;/&gt;&lt;wsp:rsid wsp:val=&quot;0085231E&quot;/&gt;&lt;wsp:rsid wsp:val=&quot;0085235E&quot;/&gt;&lt;wsp:rsid wsp:val=&quot;008524B3&quot;/&gt;&lt;wsp:rsid wsp:val=&quot;00852EEA&quot;/&gt;&lt;wsp:rsid wsp:val=&quot;00852F16&quot;/&gt;&lt;wsp:rsid wsp:val=&quot;008538E3&quot;/&gt;&lt;wsp:rsid wsp:val=&quot;00853AA1&quot;/&gt;&lt;wsp:rsid wsp:val=&quot;00853CE9&quot;/&gt;&lt;wsp:rsid wsp:val=&quot;00853E34&quot;/&gt;&lt;wsp:rsid wsp:val=&quot;00853E80&quot;/&gt;&lt;wsp:rsid wsp:val=&quot;008541CB&quot;/&gt;&lt;wsp:rsid wsp:val=&quot;008544A1&quot;/&gt;&lt;wsp:rsid wsp:val=&quot;008544CA&quot;/&gt;&lt;wsp:rsid wsp:val=&quot;008546B4&quot;/&gt;&lt;wsp:rsid wsp:val=&quot;00854A9C&quot;/&gt;&lt;wsp:rsid wsp:val=&quot;00854C78&quot;/&gt;&lt;wsp:rsid wsp:val=&quot;0085518A&quot;/&gt;&lt;wsp:rsid wsp:val=&quot;00855538&quot;/&gt;&lt;wsp:rsid wsp:val=&quot;00855A2A&quot;/&gt;&lt;wsp:rsid wsp:val=&quot;00855C51&quot;/&gt;&lt;wsp:rsid wsp:val=&quot;00856270&quot;/&gt;&lt;wsp:rsid wsp:val=&quot;00856614&quot;/&gt;&lt;wsp:rsid wsp:val=&quot;0085665F&quot;/&gt;&lt;wsp:rsid wsp:val=&quot;00856A5B&quot;/&gt;&lt;wsp:rsid wsp:val=&quot;00856EB8&quot;/&gt;&lt;wsp:rsid wsp:val=&quot;00856EFB&quot;/&gt;&lt;wsp:rsid wsp:val=&quot;0085724F&quot;/&gt;&lt;wsp:rsid wsp:val=&quot;0085766B&quot;/&gt;&lt;wsp:rsid wsp:val=&quot;00857736&quot;/&gt;&lt;wsp:rsid wsp:val=&quot;00860309&quot;/&gt;&lt;wsp:rsid wsp:val=&quot;00860720&quot;/&gt;&lt;wsp:rsid wsp:val=&quot;0086074E&quot;/&gt;&lt;wsp:rsid wsp:val=&quot;00860ECE&quot;/&gt;&lt;wsp:rsid wsp:val=&quot;0086105A&quot;/&gt;&lt;wsp:rsid wsp:val=&quot;008613DC&quot;/&gt;&lt;wsp:rsid wsp:val=&quot;0086163E&quot;/&gt;&lt;wsp:rsid wsp:val=&quot;008619E7&quot;/&gt;&lt;wsp:rsid wsp:val=&quot;00862064&quot;/&gt;&lt;wsp:rsid wsp:val=&quot;008623F6&quot;/&gt;&lt;wsp:rsid wsp:val=&quot;008626C5&quot;/&gt;&lt;wsp:rsid wsp:val=&quot;00862C2C&quot;/&gt;&lt;wsp:rsid wsp:val=&quot;00862CBE&quot;/&gt;&lt;wsp:rsid wsp:val=&quot;00862CC6&quot;/&gt;&lt;wsp:rsid wsp:val=&quot;00862F76&quot;/&gt;&lt;wsp:rsid wsp:val=&quot;00863013&quot;/&gt;&lt;wsp:rsid wsp:val=&quot;00864149&quot;/&gt;&lt;wsp:rsid wsp:val=&quot;008644EA&quot;/&gt;&lt;wsp:rsid wsp:val=&quot;0086457D&quot;/&gt;&lt;wsp:rsid wsp:val=&quot;008648AD&quot;/&gt;&lt;wsp:rsid wsp:val=&quot;0086528B&quot;/&gt;&lt;wsp:rsid wsp:val=&quot;00865E4A&quot;/&gt;&lt;wsp:rsid wsp:val=&quot;00866041&quot;/&gt;&lt;wsp:rsid wsp:val=&quot;008663D9&quot;/&gt;&lt;wsp:rsid wsp:val=&quot;00866475&quot;/&gt;&lt;wsp:rsid wsp:val=&quot;008666CB&quot;/&gt;&lt;wsp:rsid wsp:val=&quot;00866C8A&quot;/&gt;&lt;wsp:rsid wsp:val=&quot;00866FD8&quot;/&gt;&lt;wsp:rsid wsp:val=&quot;00867317&quot;/&gt;&lt;wsp:rsid wsp:val=&quot;008679B9&quot;/&gt;&lt;wsp:rsid wsp:val=&quot;00867BE3&quot;/&gt;&lt;wsp:rsid wsp:val=&quot;008702F8&quot;/&gt;&lt;wsp:rsid wsp:val=&quot;008703D9&quot;/&gt;&lt;wsp:rsid wsp:val=&quot;00870565&quot;/&gt;&lt;wsp:rsid wsp:val=&quot;008712C3&quot;/&gt;&lt;wsp:rsid wsp:val=&quot;0087143E&quot;/&gt;&lt;wsp:rsid wsp:val=&quot;00871A09&quot;/&gt;&lt;wsp:rsid wsp:val=&quot;00871B31&quot;/&gt;&lt;wsp:rsid wsp:val=&quot;00871C0F&quot;/&gt;&lt;wsp:rsid wsp:val=&quot;00871FCD&quot;/&gt;&lt;wsp:rsid wsp:val=&quot;008721C3&quot;/&gt;&lt;wsp:rsid wsp:val=&quot;008722A4&quot;/&gt;&lt;wsp:rsid wsp:val=&quot;00872393&quot;/&gt;&lt;wsp:rsid wsp:val=&quot;00872591&quot;/&gt;&lt;wsp:rsid wsp:val=&quot;0087277C&quot;/&gt;&lt;wsp:rsid wsp:val=&quot;00872896&quot;/&gt;&lt;wsp:rsid wsp:val=&quot;0087289C&quot;/&gt;&lt;wsp:rsid wsp:val=&quot;00872AE8&quot;/&gt;&lt;wsp:rsid wsp:val=&quot;00872B75&quot;/&gt;&lt;wsp:rsid wsp:val=&quot;008731CB&quot;/&gt;&lt;wsp:rsid wsp:val=&quot;0087366B&quot;/&gt;&lt;wsp:rsid wsp:val=&quot;00874CBC&quot;/&gt;&lt;wsp:rsid wsp:val=&quot;00874CD7&quot;/&gt;&lt;wsp:rsid wsp:val=&quot;0087556F&quot;/&gt;&lt;wsp:rsid wsp:val=&quot;008755B0&quot;/&gt;&lt;wsp:rsid wsp:val=&quot;0087569A&quot;/&gt;&lt;wsp:rsid wsp:val=&quot;00875D94&quot;/&gt;&lt;wsp:rsid wsp:val=&quot;00875EDA&quot;/&gt;&lt;wsp:rsid wsp:val=&quot;00876239&quot;/&gt;&lt;wsp:rsid wsp:val=&quot;00876340&quot;/&gt;&lt;wsp:rsid wsp:val=&quot;0087678D&quot;/&gt;&lt;wsp:rsid wsp:val=&quot;008769E3&quot;/&gt;&lt;wsp:rsid wsp:val=&quot;00876E84&quot;/&gt;&lt;wsp:rsid wsp:val=&quot;00876FF7&quot;/&gt;&lt;wsp:rsid wsp:val=&quot;00877161&quot;/&gt;&lt;wsp:rsid wsp:val=&quot;008779E6&quot;/&gt;&lt;wsp:rsid wsp:val=&quot;00877B53&quot;/&gt;&lt;wsp:rsid wsp:val=&quot;00877C15&quot;/&gt;&lt;wsp:rsid wsp:val=&quot;00877DBC&quot;/&gt;&lt;wsp:rsid wsp:val=&quot;00877E2E&quot;/&gt;&lt;wsp:rsid wsp:val=&quot;00880540&quot;/&gt;&lt;wsp:rsid wsp:val=&quot;00880E78&quot;/&gt;&lt;wsp:rsid wsp:val=&quot;00881098&quot;/&gt;&lt;wsp:rsid wsp:val=&quot;0088123F&quot;/&gt;&lt;wsp:rsid wsp:val=&quot;00881278&quot;/&gt;&lt;wsp:rsid wsp:val=&quot;0088153E&quot;/&gt;&lt;wsp:rsid wsp:val=&quot;00881A78&quot;/&gt;&lt;wsp:rsid wsp:val=&quot;00881C83&quot;/&gt;&lt;wsp:rsid wsp:val=&quot;00881C9B&quot;/&gt;&lt;wsp:rsid wsp:val=&quot;00882509&quot;/&gt;&lt;wsp:rsid wsp:val=&quot;0088274C&quot;/&gt;&lt;wsp:rsid wsp:val=&quot;00882AC8&quot;/&gt;&lt;wsp:rsid wsp:val=&quot;00882E90&quot;/&gt;&lt;wsp:rsid wsp:val=&quot;008836DF&quot;/&gt;&lt;wsp:rsid wsp:val=&quot;008837F7&quot;/&gt;&lt;wsp:rsid wsp:val=&quot;00883BB7&quot;/&gt;&lt;wsp:rsid wsp:val=&quot;00884469&quot;/&gt;&lt;wsp:rsid wsp:val=&quot;008848A2&quot;/&gt;&lt;wsp:rsid wsp:val=&quot;00884C50&quot;/&gt;&lt;wsp:rsid wsp:val=&quot;00884CD4&quot;/&gt;&lt;wsp:rsid wsp:val=&quot;008858FB&quot;/&gt;&lt;wsp:rsid wsp:val=&quot;00885F57&quot;/&gt;&lt;wsp:rsid wsp:val=&quot;0088685D&quot;/&gt;&lt;wsp:rsid wsp:val=&quot;00886CE4&quot;/&gt;&lt;wsp:rsid wsp:val=&quot;00890330&quot;/&gt;&lt;wsp:rsid wsp:val=&quot;0089078F&quot;/&gt;&lt;wsp:rsid wsp:val=&quot;00890835&quot;/&gt;&lt;wsp:rsid wsp:val=&quot;00890B00&quot;/&gt;&lt;wsp:rsid wsp:val=&quot;008910DD&quot;/&gt;&lt;wsp:rsid wsp:val=&quot;008914FE&quot;/&gt;&lt;wsp:rsid wsp:val=&quot;00891788&quot;/&gt;&lt;wsp:rsid wsp:val=&quot;00891D83&quot;/&gt;&lt;wsp:rsid wsp:val=&quot;00891E45&quot;/&gt;&lt;wsp:rsid wsp:val=&quot;00892360&quot;/&gt;&lt;wsp:rsid wsp:val=&quot;00892545&quot;/&gt;&lt;wsp:rsid wsp:val=&quot;00892660&quot;/&gt;&lt;wsp:rsid wsp:val=&quot;008926B3&quot;/&gt;&lt;wsp:rsid wsp:val=&quot;00892B7A&quot;/&gt;&lt;wsp:rsid wsp:val=&quot;00892F8C&quot;/&gt;&lt;wsp:rsid wsp:val=&quot;00893051&quot;/&gt;&lt;wsp:rsid wsp:val=&quot;0089347F&quot;/&gt;&lt;wsp:rsid wsp:val=&quot;008939D3&quot;/&gt;&lt;wsp:rsid wsp:val=&quot;00894096&quot;/&gt;&lt;wsp:rsid wsp:val=&quot;0089421F&quot;/&gt;&lt;wsp:rsid wsp:val=&quot;008943D5&quot;/&gt;&lt;wsp:rsid wsp:val=&quot;00894A10&quot;/&gt;&lt;wsp:rsid wsp:val=&quot;00894DEB&quot;/&gt;&lt;wsp:rsid wsp:val=&quot;00894E64&quot;/&gt;&lt;wsp:rsid wsp:val=&quot;0089535F&quot;/&gt;&lt;wsp:rsid wsp:val=&quot;008955D8&quot;/&gt;&lt;wsp:rsid wsp:val=&quot;008957CE&quot;/&gt;&lt;wsp:rsid wsp:val=&quot;00895B4E&quot;/&gt;&lt;wsp:rsid wsp:val=&quot;00895DB5&quot;/&gt;&lt;wsp:rsid wsp:val=&quot;00895E8B&quot;/&gt;&lt;wsp:rsid wsp:val=&quot;00896A43&quot;/&gt;&lt;wsp:rsid wsp:val=&quot;00896AF6&quot;/&gt;&lt;wsp:rsid wsp:val=&quot;00896B67&quot;/&gt;&lt;wsp:rsid wsp:val=&quot;00896C40&quot;/&gt;&lt;wsp:rsid wsp:val=&quot;008970CC&quot;/&gt;&lt;wsp:rsid wsp:val=&quot;0089728E&quot;/&gt;&lt;wsp:rsid wsp:val=&quot;008974F1&quot;/&gt;&lt;wsp:rsid wsp:val=&quot;00897B02&quot;/&gt;&lt;wsp:rsid wsp:val=&quot;00897C6B&quot;/&gt;&lt;wsp:rsid wsp:val=&quot;00897E7A&quot;/&gt;&lt;wsp:rsid wsp:val=&quot;008A00ED&quot;/&gt;&lt;wsp:rsid wsp:val=&quot;008A0547&quot;/&gt;&lt;wsp:rsid wsp:val=&quot;008A0FE4&quot;/&gt;&lt;wsp:rsid wsp:val=&quot;008A1013&quot;/&gt;&lt;wsp:rsid wsp:val=&quot;008A12BE&quot;/&gt;&lt;wsp:rsid wsp:val=&quot;008A1E46&quot;/&gt;&lt;wsp:rsid wsp:val=&quot;008A1FD1&quot;/&gt;&lt;wsp:rsid wsp:val=&quot;008A20DF&quot;/&gt;&lt;wsp:rsid wsp:val=&quot;008A24A4&quot;/&gt;&lt;wsp:rsid wsp:val=&quot;008A2697&quot;/&gt;&lt;wsp:rsid wsp:val=&quot;008A297A&quot;/&gt;&lt;wsp:rsid wsp:val=&quot;008A2AFD&quot;/&gt;&lt;wsp:rsid wsp:val=&quot;008A2BEE&quot;/&gt;&lt;wsp:rsid wsp:val=&quot;008A31BD&quot;/&gt;&lt;wsp:rsid wsp:val=&quot;008A342D&quot;/&gt;&lt;wsp:rsid wsp:val=&quot;008A3480&quot;/&gt;&lt;wsp:rsid wsp:val=&quot;008A3498&quot;/&gt;&lt;wsp:rsid wsp:val=&quot;008A35D3&quot;/&gt;&lt;wsp:rsid wsp:val=&quot;008A36E0&quot;/&gt;&lt;wsp:rsid wsp:val=&quot;008A38A9&quot;/&gt;&lt;wsp:rsid wsp:val=&quot;008A3C20&quot;/&gt;&lt;wsp:rsid wsp:val=&quot;008A3D2A&quot;/&gt;&lt;wsp:rsid wsp:val=&quot;008A3EB1&quot;/&gt;&lt;wsp:rsid wsp:val=&quot;008A3EC1&quot;/&gt;&lt;wsp:rsid wsp:val=&quot;008A413D&quot;/&gt;&lt;wsp:rsid wsp:val=&quot;008A4B83&quot;/&gt;&lt;wsp:rsid wsp:val=&quot;008A4F91&quot;/&gt;&lt;wsp:rsid wsp:val=&quot;008A6840&quot;/&gt;&lt;wsp:rsid wsp:val=&quot;008A6AC5&quot;/&gt;&lt;wsp:rsid wsp:val=&quot;008A6B6C&quot;/&gt;&lt;wsp:rsid wsp:val=&quot;008A6C57&quot;/&gt;&lt;wsp:rsid wsp:val=&quot;008A6D31&quot;/&gt;&lt;wsp:rsid wsp:val=&quot;008A6D33&quot;/&gt;&lt;wsp:rsid wsp:val=&quot;008A6E55&quot;/&gt;&lt;wsp:rsid wsp:val=&quot;008A6F6F&quot;/&gt;&lt;wsp:rsid wsp:val=&quot;008A71DA&quot;/&gt;&lt;wsp:rsid wsp:val=&quot;008A71F1&quot;/&gt;&lt;wsp:rsid wsp:val=&quot;008A729A&quot;/&gt;&lt;wsp:rsid wsp:val=&quot;008A74B8&quot;/&gt;&lt;wsp:rsid wsp:val=&quot;008A7504&quot;/&gt;&lt;wsp:rsid wsp:val=&quot;008A7CC6&quot;/&gt;&lt;wsp:rsid wsp:val=&quot;008A7F91&quot;/&gt;&lt;wsp:rsid wsp:val=&quot;008B0115&quot;/&gt;&lt;wsp:rsid wsp:val=&quot;008B0407&quot;/&gt;&lt;wsp:rsid wsp:val=&quot;008B043B&quot;/&gt;&lt;wsp:rsid wsp:val=&quot;008B0656&quot;/&gt;&lt;wsp:rsid wsp:val=&quot;008B0A10&quot;/&gt;&lt;wsp:rsid wsp:val=&quot;008B0AEA&quot;/&gt;&lt;wsp:rsid wsp:val=&quot;008B0DE6&quot;/&gt;&lt;wsp:rsid wsp:val=&quot;008B0E42&quot;/&gt;&lt;wsp:rsid wsp:val=&quot;008B103A&quot;/&gt;&lt;wsp:rsid wsp:val=&quot;008B1621&quot;/&gt;&lt;wsp:rsid wsp:val=&quot;008B1A93&quot;/&gt;&lt;wsp:rsid wsp:val=&quot;008B2041&quot;/&gt;&lt;wsp:rsid wsp:val=&quot;008B229B&quot;/&gt;&lt;wsp:rsid wsp:val=&quot;008B2473&quot;/&gt;&lt;wsp:rsid wsp:val=&quot;008B28D9&quot;/&gt;&lt;wsp:rsid wsp:val=&quot;008B34F3&quot;/&gt;&lt;wsp:rsid wsp:val=&quot;008B3697&quot;/&gt;&lt;wsp:rsid wsp:val=&quot;008B378A&quot;/&gt;&lt;wsp:rsid wsp:val=&quot;008B3D95&quot;/&gt;&lt;wsp:rsid wsp:val=&quot;008B41AE&quot;/&gt;&lt;wsp:rsid wsp:val=&quot;008B4461&quot;/&gt;&lt;wsp:rsid wsp:val=&quot;008B46D9&quot;/&gt;&lt;wsp:rsid wsp:val=&quot;008B48F9&quot;/&gt;&lt;wsp:rsid wsp:val=&quot;008B4924&quot;/&gt;&lt;wsp:rsid wsp:val=&quot;008B4BEB&quot;/&gt;&lt;wsp:rsid wsp:val=&quot;008B56A4&quot;/&gt;&lt;wsp:rsid wsp:val=&quot;008B5816&quot;/&gt;&lt;wsp:rsid wsp:val=&quot;008B5A79&quot;/&gt;&lt;wsp:rsid wsp:val=&quot;008B5CDC&quot;/&gt;&lt;wsp:rsid wsp:val=&quot;008B60B1&quot;/&gt;&lt;wsp:rsid wsp:val=&quot;008B6A43&quot;/&gt;&lt;wsp:rsid wsp:val=&quot;008B7359&quot;/&gt;&lt;wsp:rsid wsp:val=&quot;008B74CC&quot;/&gt;&lt;wsp:rsid wsp:val=&quot;008B7A4A&quot;/&gt;&lt;wsp:rsid wsp:val=&quot;008B7FD9&quot;/&gt;&lt;wsp:rsid wsp:val=&quot;008C0097&quot;/&gt;&lt;wsp:rsid wsp:val=&quot;008C06B0&quot;/&gt;&lt;wsp:rsid wsp:val=&quot;008C144E&quot;/&gt;&lt;wsp:rsid wsp:val=&quot;008C1477&quot;/&gt;&lt;wsp:rsid wsp:val=&quot;008C14B0&quot;/&gt;&lt;wsp:rsid wsp:val=&quot;008C1662&quot;/&gt;&lt;wsp:rsid wsp:val=&quot;008C1A84&quot;/&gt;&lt;wsp:rsid wsp:val=&quot;008C25A2&quot;/&gt;&lt;wsp:rsid wsp:val=&quot;008C2810&quot;/&gt;&lt;wsp:rsid wsp:val=&quot;008C2A9B&quot;/&gt;&lt;wsp:rsid wsp:val=&quot;008C2B4F&quot;/&gt;&lt;wsp:rsid wsp:val=&quot;008C2D15&quot;/&gt;&lt;wsp:rsid wsp:val=&quot;008C3315&quot;/&gt;&lt;wsp:rsid wsp:val=&quot;008C360A&quot;/&gt;&lt;wsp:rsid wsp:val=&quot;008C3771&quot;/&gt;&lt;wsp:rsid wsp:val=&quot;008C3933&quot;/&gt;&lt;wsp:rsid wsp:val=&quot;008C3BF8&quot;/&gt;&lt;wsp:rsid wsp:val=&quot;008C3D82&quot;/&gt;&lt;wsp:rsid wsp:val=&quot;008C415D&quot;/&gt;&lt;wsp:rsid wsp:val=&quot;008C42C7&quot;/&gt;&lt;wsp:rsid wsp:val=&quot;008C45CF&quot;/&gt;&lt;wsp:rsid wsp:val=&quot;008C572D&quot;/&gt;&lt;wsp:rsid wsp:val=&quot;008C58D1&quot;/&gt;&lt;wsp:rsid wsp:val=&quot;008C593D&quot;/&gt;&lt;wsp:rsid wsp:val=&quot;008C5FCF&quot;/&gt;&lt;wsp:rsid wsp:val=&quot;008C6149&quot;/&gt;&lt;wsp:rsid wsp:val=&quot;008C67CD&quot;/&gt;&lt;wsp:rsid wsp:val=&quot;008C68C0&quot;/&gt;&lt;wsp:rsid wsp:val=&quot;008C6C4E&quot;/&gt;&lt;wsp:rsid wsp:val=&quot;008C7C21&quot;/&gt;&lt;wsp:rsid wsp:val=&quot;008C7CCA&quot;/&gt;&lt;wsp:rsid wsp:val=&quot;008C7DD4&quot;/&gt;&lt;wsp:rsid wsp:val=&quot;008D01B7&quot;/&gt;&lt;wsp:rsid wsp:val=&quot;008D026B&quot;/&gt;&lt;wsp:rsid wsp:val=&quot;008D0759&quot;/&gt;&lt;wsp:rsid wsp:val=&quot;008D0A83&quot;/&gt;&lt;wsp:rsid wsp:val=&quot;008D0D13&quot;/&gt;&lt;wsp:rsid wsp:val=&quot;008D0EA5&quot;/&gt;&lt;wsp:rsid wsp:val=&quot;008D0EC0&quot;/&gt;&lt;wsp:rsid wsp:val=&quot;008D14AA&quot;/&gt;&lt;wsp:rsid wsp:val=&quot;008D1524&quot;/&gt;&lt;wsp:rsid wsp:val=&quot;008D1682&quot;/&gt;&lt;wsp:rsid wsp:val=&quot;008D18C3&quot;/&gt;&lt;wsp:rsid wsp:val=&quot;008D1ADA&quot;/&gt;&lt;wsp:rsid wsp:val=&quot;008D1EA6&quot;/&gt;&lt;wsp:rsid wsp:val=&quot;008D1F51&quot;/&gt;&lt;wsp:rsid wsp:val=&quot;008D1FFB&quot;/&gt;&lt;wsp:rsid wsp:val=&quot;008D20B5&quot;/&gt;&lt;wsp:rsid wsp:val=&quot;008D2227&quot;/&gt;&lt;wsp:rsid wsp:val=&quot;008D22A8&quot;/&gt;&lt;wsp:rsid wsp:val=&quot;008D22C7&quot;/&gt;&lt;wsp:rsid wsp:val=&quot;008D2904&quot;/&gt;&lt;wsp:rsid wsp:val=&quot;008D2A2C&quot;/&gt;&lt;wsp:rsid wsp:val=&quot;008D2B0C&quot;/&gt;&lt;wsp:rsid wsp:val=&quot;008D3227&quot;/&gt;&lt;wsp:rsid wsp:val=&quot;008D401E&quot;/&gt;&lt;wsp:rsid wsp:val=&quot;008D4832&quot;/&gt;&lt;wsp:rsid wsp:val=&quot;008D498A&quot;/&gt;&lt;wsp:rsid wsp:val=&quot;008D4B52&quot;/&gt;&lt;wsp:rsid wsp:val=&quot;008D4F03&quot;/&gt;&lt;wsp:rsid wsp:val=&quot;008D4F7F&quot;/&gt;&lt;wsp:rsid wsp:val=&quot;008D569C&quot;/&gt;&lt;wsp:rsid wsp:val=&quot;008D5700&quot;/&gt;&lt;wsp:rsid wsp:val=&quot;008D576F&quot;/&gt;&lt;wsp:rsid wsp:val=&quot;008D63DE&quot;/&gt;&lt;wsp:rsid wsp:val=&quot;008D679D&quot;/&gt;&lt;wsp:rsid wsp:val=&quot;008D6A72&quot;/&gt;&lt;wsp:rsid wsp:val=&quot;008D6A73&quot;/&gt;&lt;wsp:rsid wsp:val=&quot;008D6BDA&quot;/&gt;&lt;wsp:rsid wsp:val=&quot;008D6C69&quot;/&gt;&lt;wsp:rsid wsp:val=&quot;008D716D&quot;/&gt;&lt;wsp:rsid wsp:val=&quot;008D7D84&quot;/&gt;&lt;wsp:rsid wsp:val=&quot;008E01D1&quot;/&gt;&lt;wsp:rsid wsp:val=&quot;008E0325&quot;/&gt;&lt;wsp:rsid wsp:val=&quot;008E04CB&quot;/&gt;&lt;wsp:rsid wsp:val=&quot;008E0EB6&quot;/&gt;&lt;wsp:rsid wsp:val=&quot;008E0EF6&quot;/&gt;&lt;wsp:rsid wsp:val=&quot;008E105A&quot;/&gt;&lt;wsp:rsid wsp:val=&quot;008E1363&quot;/&gt;&lt;wsp:rsid wsp:val=&quot;008E13C5&quot;/&gt;&lt;wsp:rsid wsp:val=&quot;008E1DB6&quot;/&gt;&lt;wsp:rsid wsp:val=&quot;008E23CB&quot;/&gt;&lt;wsp:rsid wsp:val=&quot;008E254F&quot;/&gt;&lt;wsp:rsid wsp:val=&quot;008E2953&quot;/&gt;&lt;wsp:rsid wsp:val=&quot;008E30B8&quot;/&gt;&lt;wsp:rsid wsp:val=&quot;008E3314&quot;/&gt;&lt;wsp:rsid wsp:val=&quot;008E3760&quot;/&gt;&lt;wsp:rsid wsp:val=&quot;008E3ECC&quot;/&gt;&lt;wsp:rsid wsp:val=&quot;008E40F1&quot;/&gt;&lt;wsp:rsid wsp:val=&quot;008E428A&quot;/&gt;&lt;wsp:rsid wsp:val=&quot;008E48D5&quot;/&gt;&lt;wsp:rsid wsp:val=&quot;008E4CE7&quot;/&gt;&lt;wsp:rsid wsp:val=&quot;008E5159&quot;/&gt;&lt;wsp:rsid wsp:val=&quot;008E53D0&quot;/&gt;&lt;wsp:rsid wsp:val=&quot;008E56F0&quot;/&gt;&lt;wsp:rsid wsp:val=&quot;008E5A1B&quot;/&gt;&lt;wsp:rsid wsp:val=&quot;008E5AB4&quot;/&gt;&lt;wsp:rsid wsp:val=&quot;008E6EEC&quot;/&gt;&lt;wsp:rsid wsp:val=&quot;008E746A&quot;/&gt;&lt;wsp:rsid wsp:val=&quot;008E774E&quot;/&gt;&lt;wsp:rsid wsp:val=&quot;008E7883&quot;/&gt;&lt;wsp:rsid wsp:val=&quot;008F02B6&quot;/&gt;&lt;wsp:rsid wsp:val=&quot;008F07DA&quot;/&gt;&lt;wsp:rsid wsp:val=&quot;008F0F64&quot;/&gt;&lt;wsp:rsid wsp:val=&quot;008F11A0&quot;/&gt;&lt;wsp:rsid wsp:val=&quot;008F20C0&quot;/&gt;&lt;wsp:rsid wsp:val=&quot;008F2482&quot;/&gt;&lt;wsp:rsid wsp:val=&quot;008F26E0&quot;/&gt;&lt;wsp:rsid wsp:val=&quot;008F2CCA&quot;/&gt;&lt;wsp:rsid wsp:val=&quot;008F2CE9&quot;/&gt;&lt;wsp:rsid wsp:val=&quot;008F2D5C&quot;/&gt;&lt;wsp:rsid wsp:val=&quot;008F2E62&quot;/&gt;&lt;wsp:rsid wsp:val=&quot;008F2FDB&quot;/&gt;&lt;wsp:rsid wsp:val=&quot;008F3A9F&quot;/&gt;&lt;wsp:rsid wsp:val=&quot;008F3FC3&quot;/&gt;&lt;wsp:rsid wsp:val=&quot;008F47FD&quot;/&gt;&lt;wsp:rsid wsp:val=&quot;008F51CF&quot;/&gt;&lt;wsp:rsid wsp:val=&quot;008F51D2&quot;/&gt;&lt;wsp:rsid wsp:val=&quot;008F521C&quot;/&gt;&lt;wsp:rsid wsp:val=&quot;008F563A&quot;/&gt;&lt;wsp:rsid wsp:val=&quot;008F5C44&quot;/&gt;&lt;wsp:rsid wsp:val=&quot;008F5FB5&quot;/&gt;&lt;wsp:rsid wsp:val=&quot;008F60D0&quot;/&gt;&lt;wsp:rsid wsp:val=&quot;008F6501&quot;/&gt;&lt;wsp:rsid wsp:val=&quot;008F665A&quot;/&gt;&lt;wsp:rsid wsp:val=&quot;008F66A7&quot;/&gt;&lt;wsp:rsid wsp:val=&quot;008F6E4C&quot;/&gt;&lt;wsp:rsid wsp:val=&quot;008F72A6&quot;/&gt;&lt;wsp:rsid wsp:val=&quot;008F7380&quot;/&gt;&lt;wsp:rsid wsp:val=&quot;008F73DB&quot;/&gt;&lt;wsp:rsid wsp:val=&quot;008F75D4&quot;/&gt;&lt;wsp:rsid wsp:val=&quot;008F77AE&quot;/&gt;&lt;wsp:rsid wsp:val=&quot;008F79F0&quot;/&gt;&lt;wsp:rsid wsp:val=&quot;00900C54&quot;/&gt;&lt;wsp:rsid wsp:val=&quot;009011A8&quot;/&gt;&lt;wsp:rsid wsp:val=&quot;00901998&quot;/&gt;&lt;wsp:rsid wsp:val=&quot;009019DB&quot;/&gt;&lt;wsp:rsid wsp:val=&quot;00901C46&quot;/&gt;&lt;wsp:rsid wsp:val=&quot;00901D2D&quot;/&gt;&lt;wsp:rsid wsp:val=&quot;009027DD&quot;/&gt;&lt;wsp:rsid wsp:val=&quot;00902E5B&quot;/&gt;&lt;wsp:rsid wsp:val=&quot;0090305D&quot;/&gt;&lt;wsp:rsid wsp:val=&quot;00903679&quot;/&gt;&lt;wsp:rsid wsp:val=&quot;00903820&quot;/&gt;&lt;wsp:rsid wsp:val=&quot;00903909&quot;/&gt;&lt;wsp:rsid wsp:val=&quot;009041A0&quot;/&gt;&lt;wsp:rsid wsp:val=&quot;009041EA&quot;/&gt;&lt;wsp:rsid wsp:val=&quot;009041EE&quot;/&gt;&lt;wsp:rsid wsp:val=&quot;00904349&quot;/&gt;&lt;wsp:rsid wsp:val=&quot;009048ED&quot;/&gt;&lt;wsp:rsid wsp:val=&quot;00904CF0&quot;/&gt;&lt;wsp:rsid wsp:val=&quot;00905093&quot;/&gt;&lt;wsp:rsid wsp:val=&quot;009054B7&quot;/&gt;&lt;wsp:rsid wsp:val=&quot;0090560C&quot;/&gt;&lt;wsp:rsid wsp:val=&quot;0090590C&quot;/&gt;&lt;wsp:rsid wsp:val=&quot;00905AB0&quot;/&gt;&lt;wsp:rsid wsp:val=&quot;00905BF0&quot;/&gt;&lt;wsp:rsid wsp:val=&quot;00905F18&quot;/&gt;&lt;wsp:rsid wsp:val=&quot;00905F43&quot;/&gt;&lt;wsp:rsid wsp:val=&quot;00906362&quot;/&gt;&lt;wsp:rsid wsp:val=&quot;009063F7&quot;/&gt;&lt;wsp:rsid wsp:val=&quot;009064CD&quot;/&gt;&lt;wsp:rsid wsp:val=&quot;00906510&quot;/&gt;&lt;wsp:rsid wsp:val=&quot;00907531&quot;/&gt;&lt;wsp:rsid wsp:val=&quot;009077B4&quot;/&gt;&lt;wsp:rsid wsp:val=&quot;00907F9F&quot;/&gt;&lt;wsp:rsid wsp:val=&quot;009100E4&quot;/&gt;&lt;wsp:rsid wsp:val=&quot;00910164&quot;/&gt;&lt;wsp:rsid wsp:val=&quot;009102E8&quot;/&gt;&lt;wsp:rsid wsp:val=&quot;009104D1&quot;/&gt;&lt;wsp:rsid wsp:val=&quot;00910812&quot;/&gt;&lt;wsp:rsid wsp:val=&quot;00910BC0&quot;/&gt;&lt;wsp:rsid wsp:val=&quot;009113D0&quot;/&gt;&lt;wsp:rsid wsp:val=&quot;00911879&quot;/&gt;&lt;wsp:rsid wsp:val=&quot;0091199C&quot;/&gt;&lt;wsp:rsid wsp:val=&quot;00911CF7&quot;/&gt;&lt;wsp:rsid wsp:val=&quot;009121AA&quot;/&gt;&lt;wsp:rsid wsp:val=&quot;009121DB&quot;/&gt;&lt;wsp:rsid wsp:val=&quot;009127B1&quot;/&gt;&lt;wsp:rsid wsp:val=&quot;00912875&quot;/&gt;&lt;wsp:rsid wsp:val=&quot;00912C0B&quot;/&gt;&lt;wsp:rsid wsp:val=&quot;00913256&quot;/&gt;&lt;wsp:rsid wsp:val=&quot;00913463&quot;/&gt;&lt;wsp:rsid wsp:val=&quot;00913D7D&quot;/&gt;&lt;wsp:rsid wsp:val=&quot;00913DBB&quot;/&gt;&lt;wsp:rsid wsp:val=&quot;00913DF1&quot;/&gt;&lt;wsp:rsid wsp:val=&quot;009140CE&quot;/&gt;&lt;wsp:rsid wsp:val=&quot;00914798&quot;/&gt;&lt;wsp:rsid wsp:val=&quot;00914B6F&quot;/&gt;&lt;wsp:rsid wsp:val=&quot;0091514D&quot;/&gt;&lt;wsp:rsid wsp:val=&quot;009153A9&quot;/&gt;&lt;wsp:rsid wsp:val=&quot;009154C3&quot;/&gt;&lt;wsp:rsid wsp:val=&quot;00915A10&quot;/&gt;&lt;wsp:rsid wsp:val=&quot;009161BA&quot;/&gt;&lt;wsp:rsid wsp:val=&quot;009166F6&quot;/&gt;&lt;wsp:rsid wsp:val=&quot;009168E0&quot;/&gt;&lt;wsp:rsid wsp:val=&quot;00916BB1&quot;/&gt;&lt;wsp:rsid wsp:val=&quot;00916DDB&quot;/&gt;&lt;wsp:rsid wsp:val=&quot;009177FB&quot;/&gt;&lt;wsp:rsid wsp:val=&quot;0092034B&quot;/&gt;&lt;wsp:rsid wsp:val=&quot;00920966&quot;/&gt;&lt;wsp:rsid wsp:val=&quot;00920A68&quot;/&gt;&lt;wsp:rsid wsp:val=&quot;009218D8&quot;/&gt;&lt;wsp:rsid wsp:val=&quot;0092234D&quot;/&gt;&lt;wsp:rsid wsp:val=&quot;00922973&quot;/&gt;&lt;wsp:rsid wsp:val=&quot;00922AEA&quot;/&gt;&lt;wsp:rsid wsp:val=&quot;00923648&quot;/&gt;&lt;wsp:rsid wsp:val=&quot;009237D0&quot;/&gt;&lt;wsp:rsid wsp:val=&quot;00923C69&quot;/&gt;&lt;wsp:rsid wsp:val=&quot;0092430E&quot;/&gt;&lt;wsp:rsid wsp:val=&quot;009245C6&quot;/&gt;&lt;wsp:rsid wsp:val=&quot;00924BD6&quot;/&gt;&lt;wsp:rsid wsp:val=&quot;00924F37&quot;/&gt;&lt;wsp:rsid wsp:val=&quot;00925215&quot;/&gt;&lt;wsp:rsid wsp:val=&quot;00925250&quot;/&gt;&lt;wsp:rsid wsp:val=&quot;009252A2&quot;/&gt;&lt;wsp:rsid wsp:val=&quot;0092546C&quot;/&gt;&lt;wsp:rsid wsp:val=&quot;0092567E&quot;/&gt;&lt;wsp:rsid wsp:val=&quot;00925F75&quot;/&gt;&lt;wsp:rsid wsp:val=&quot;009266DF&quot;/&gt;&lt;wsp:rsid wsp:val=&quot;009267B1&quot;/&gt;&lt;wsp:rsid wsp:val=&quot;00926949&quot;/&gt;&lt;wsp:rsid wsp:val=&quot;00926A51&quot;/&gt;&lt;wsp:rsid wsp:val=&quot;00926D4F&quot;/&gt;&lt;wsp:rsid wsp:val=&quot;00926DA8&quot;/&gt;&lt;wsp:rsid wsp:val=&quot;0092736C&quot;/&gt;&lt;wsp:rsid wsp:val=&quot;009274CB&quot;/&gt;&lt;wsp:rsid wsp:val=&quot;009276BB&quot;/&gt;&lt;wsp:rsid wsp:val=&quot;00927DC0&quot;/&gt;&lt;wsp:rsid wsp:val=&quot;00927F48&quot;/&gt;&lt;wsp:rsid wsp:val=&quot;00930177&quot;/&gt;&lt;wsp:rsid wsp:val=&quot;00930285&quot;/&gt;&lt;wsp:rsid wsp:val=&quot;009304B3&quot;/&gt;&lt;wsp:rsid wsp:val=&quot;00930520&quot;/&gt;&lt;wsp:rsid wsp:val=&quot;0093074F&quot;/&gt;&lt;wsp:rsid wsp:val=&quot;0093081D&quot;/&gt;&lt;wsp:rsid wsp:val=&quot;00930A9B&quot;/&gt;&lt;wsp:rsid wsp:val=&quot;0093101A&quot;/&gt;&lt;wsp:rsid wsp:val=&quot;00931142&quot;/&gt;&lt;wsp:rsid wsp:val=&quot;00931CC4&quot;/&gt;&lt;wsp:rsid wsp:val=&quot;009323BE&quot;/&gt;&lt;wsp:rsid wsp:val=&quot;0093281C&quot;/&gt;&lt;wsp:rsid wsp:val=&quot;00932835&quot;/&gt;&lt;wsp:rsid wsp:val=&quot;00933263&quot;/&gt;&lt;wsp:rsid wsp:val=&quot;00933411&quot;/&gt;&lt;wsp:rsid wsp:val=&quot;00933952&quot;/&gt;&lt;wsp:rsid wsp:val=&quot;00933AF4&quot;/&gt;&lt;wsp:rsid wsp:val=&quot;00933BF1&quot;/&gt;&lt;wsp:rsid wsp:val=&quot;0093411D&quot;/&gt;&lt;wsp:rsid wsp:val=&quot;00934205&quot;/&gt;&lt;wsp:rsid wsp:val=&quot;009343F2&quot;/&gt;&lt;wsp:rsid wsp:val=&quot;009345C7&quot;/&gt;&lt;wsp:rsid wsp:val=&quot;00934D58&quot;/&gt;&lt;wsp:rsid wsp:val=&quot;0093521A&quot;/&gt;&lt;wsp:rsid wsp:val=&quot;00935555&quot;/&gt;&lt;wsp:rsid wsp:val=&quot;009355E6&quot;/&gt;&lt;wsp:rsid wsp:val=&quot;00935BDC&quot;/&gt;&lt;wsp:rsid wsp:val=&quot;009360D2&quot;/&gt;&lt;wsp:rsid wsp:val=&quot;00936428&quot;/&gt;&lt;wsp:rsid wsp:val=&quot;0093701D&quot;/&gt;&lt;wsp:rsid wsp:val=&quot;0093705E&quot;/&gt;&lt;wsp:rsid wsp:val=&quot;009372CA&quot;/&gt;&lt;wsp:rsid wsp:val=&quot;009376FA&quot;/&gt;&lt;wsp:rsid wsp:val=&quot;00937762&quot;/&gt;&lt;wsp:rsid wsp:val=&quot;00937EC4&quot;/&gt;&lt;wsp:rsid wsp:val=&quot;0094026A&quot;/&gt;&lt;wsp:rsid wsp:val=&quot;00940AAD&quot;/&gt;&lt;wsp:rsid wsp:val=&quot;00940CA4&quot;/&gt;&lt;wsp:rsid wsp:val=&quot;0094167A&quot;/&gt;&lt;wsp:rsid wsp:val=&quot;0094178A&quot;/&gt;&lt;wsp:rsid wsp:val=&quot;009432AC&quot;/&gt;&lt;wsp:rsid wsp:val=&quot;009439C3&quot;/&gt;&lt;wsp:rsid wsp:val=&quot;00943E28&quot;/&gt;&lt;wsp:rsid wsp:val=&quot;00943FB4&quot;/&gt;&lt;wsp:rsid wsp:val=&quot;0094456C&quot;/&gt;&lt;wsp:rsid wsp:val=&quot;009445FB&quot;/&gt;&lt;wsp:rsid wsp:val=&quot;009446EB&quot;/&gt;&lt;wsp:rsid wsp:val=&quot;00944963&quot;/&gt;&lt;wsp:rsid wsp:val=&quot;00944B24&quot;/&gt;&lt;wsp:rsid wsp:val=&quot;00944D7F&quot;/&gt;&lt;wsp:rsid wsp:val=&quot;00944FEC&quot;/&gt;&lt;wsp:rsid wsp:val=&quot;00946510&quot;/&gt;&lt;wsp:rsid wsp:val=&quot;009466E8&quot;/&gt;&lt;wsp:rsid wsp:val=&quot;00946C20&quot;/&gt;&lt;wsp:rsid wsp:val=&quot;009471BC&quot;/&gt;&lt;wsp:rsid wsp:val=&quot;00947342&quot;/&gt;&lt;wsp:rsid wsp:val=&quot;0094759D&quot;/&gt;&lt;wsp:rsid wsp:val=&quot;00947A25&quot;/&gt;&lt;wsp:rsid wsp:val=&quot;00947CFC&quot;/&gt;&lt;wsp:rsid wsp:val=&quot;00947E1C&quot;/&gt;&lt;wsp:rsid wsp:val=&quot;00947EF8&quot;/&gt;&lt;wsp:rsid wsp:val=&quot;009505EA&quot;/&gt;&lt;wsp:rsid wsp:val=&quot;00950F95&quot;/&gt;&lt;wsp:rsid wsp:val=&quot;009513E7&quot;/&gt;&lt;wsp:rsid wsp:val=&quot;00951659&quot;/&gt;&lt;wsp:rsid wsp:val=&quot;00951739&quot;/&gt;&lt;wsp:rsid wsp:val=&quot;0095176E&quot;/&gt;&lt;wsp:rsid wsp:val=&quot;00951C00&quot;/&gt;&lt;wsp:rsid wsp:val=&quot;00951CB7&quot;/&gt;&lt;wsp:rsid wsp:val=&quot;00952A08&quot;/&gt;&lt;wsp:rsid wsp:val=&quot;00953104&quot;/&gt;&lt;wsp:rsid wsp:val=&quot;0095311A&quot;/&gt;&lt;wsp:rsid wsp:val=&quot;009533DB&quot;/&gt;&lt;wsp:rsid wsp:val=&quot;00953E3F&quot;/&gt;&lt;wsp:rsid wsp:val=&quot;0095413E&quot;/&gt;&lt;wsp:rsid wsp:val=&quot;00954483&quot;/&gt;&lt;wsp:rsid wsp:val=&quot;00954569&quot;/&gt;&lt;wsp:rsid wsp:val=&quot;00954AB2&quot;/&gt;&lt;wsp:rsid wsp:val=&quot;00955074&quot;/&gt;&lt;wsp:rsid wsp:val=&quot;009551DF&quot;/&gt;&lt;wsp:rsid wsp:val=&quot;009557C6&quot;/&gt;&lt;wsp:rsid wsp:val=&quot;00955B64&quot;/&gt;&lt;wsp:rsid wsp:val=&quot;00955B83&quot;/&gt;&lt;wsp:rsid wsp:val=&quot;00955C3F&quot;/&gt;&lt;wsp:rsid wsp:val=&quot;00955CA6&quot;/&gt;&lt;wsp:rsid wsp:val=&quot;00956093&quot;/&gt;&lt;wsp:rsid wsp:val=&quot;009563A6&quot;/&gt;&lt;wsp:rsid wsp:val=&quot;009569B4&quot;/&gt;&lt;wsp:rsid wsp:val=&quot;00956C6D&quot;/&gt;&lt;wsp:rsid wsp:val=&quot;00956EF6&quot;/&gt;&lt;wsp:rsid wsp:val=&quot;009570C9&quot;/&gt;&lt;wsp:rsid wsp:val=&quot;00957610&quot;/&gt;&lt;wsp:rsid wsp:val=&quot;00957D67&quot;/&gt;&lt;wsp:rsid wsp:val=&quot;00957E30&quot;/&gt;&lt;wsp:rsid wsp:val=&quot;00957F8C&quot;/&gt;&lt;wsp:rsid wsp:val=&quot;009609E9&quot;/&gt;&lt;wsp:rsid wsp:val=&quot;00960F07&quot;/&gt;&lt;wsp:rsid wsp:val=&quot;00961202&quot;/&gt;&lt;wsp:rsid wsp:val=&quot;0096129E&quot;/&gt;&lt;wsp:rsid wsp:val=&quot;00961567&quot;/&gt;&lt;wsp:rsid wsp:val=&quot;0096159D&quot;/&gt;&lt;wsp:rsid wsp:val=&quot;00961C07&quot;/&gt;&lt;wsp:rsid wsp:val=&quot;00961EBD&quot;/&gt;&lt;wsp:rsid wsp:val=&quot;00961FEF&quot;/&gt;&lt;wsp:rsid wsp:val=&quot;009621FC&quot;/&gt;&lt;wsp:rsid wsp:val=&quot;00962203&quot;/&gt;&lt;wsp:rsid wsp:val=&quot;009625A0&quot;/&gt;&lt;wsp:rsid wsp:val=&quot;00962763&quot;/&gt;&lt;wsp:rsid wsp:val=&quot;009628A3&quot;/&gt;&lt;wsp:rsid wsp:val=&quot;00962902&quot;/&gt;&lt;wsp:rsid wsp:val=&quot;00962940&quot;/&gt;&lt;wsp:rsid wsp:val=&quot;00962966&quot;/&gt;&lt;wsp:rsid wsp:val=&quot;00962CBE&quot;/&gt;&lt;wsp:rsid wsp:val=&quot;00962E98&quot;/&gt;&lt;wsp:rsid wsp:val=&quot;00963153&quot;/&gt;&lt;wsp:rsid wsp:val=&quot;00963723&quot;/&gt;&lt;wsp:rsid wsp:val=&quot;00963BC7&quot;/&gt;&lt;wsp:rsid wsp:val=&quot;00963E29&quot;/&gt;&lt;wsp:rsid wsp:val=&quot;00963FBC&quot;/&gt;&lt;wsp:rsid wsp:val=&quot;009640F6&quot;/&gt;&lt;wsp:rsid wsp:val=&quot;00964332&quot;/&gt;&lt;wsp:rsid wsp:val=&quot;00964346&quot;/&gt;&lt;wsp:rsid wsp:val=&quot;009646AB&quot;/&gt;&lt;wsp:rsid wsp:val=&quot;00964D93&quot;/&gt;&lt;wsp:rsid wsp:val=&quot;00964F73&quot;/&gt;&lt;wsp:rsid wsp:val=&quot;0096598D&quot;/&gt;&lt;wsp:rsid wsp:val=&quot;00965D1A&quot;/&gt;&lt;wsp:rsid wsp:val=&quot;00965DCD&quot;/&gt;&lt;wsp:rsid wsp:val=&quot;00965FCA&quot;/&gt;&lt;wsp:rsid wsp:val=&quot;009661CB&quot;/&gt;&lt;wsp:rsid wsp:val=&quot;009667CD&quot;/&gt;&lt;wsp:rsid wsp:val=&quot;00966BEA&quot;/&gt;&lt;wsp:rsid wsp:val=&quot;00966D5B&quot;/&gt;&lt;wsp:rsid wsp:val=&quot;00966DDB&quot;/&gt;&lt;wsp:rsid wsp:val=&quot;00967120&quot;/&gt;&lt;wsp:rsid wsp:val=&quot;009676ED&quot;/&gt;&lt;wsp:rsid wsp:val=&quot;009676FF&quot;/&gt;&lt;wsp:rsid wsp:val=&quot;00967A22&quot;/&gt;&lt;wsp:rsid wsp:val=&quot;009703FD&quot;/&gt;&lt;wsp:rsid wsp:val=&quot;00970690&quot;/&gt;&lt;wsp:rsid wsp:val=&quot;00970CC0&quot;/&gt;&lt;wsp:rsid wsp:val=&quot;0097108F&quot;/&gt;&lt;wsp:rsid wsp:val=&quot;00971130&quot;/&gt;&lt;wsp:rsid wsp:val=&quot;009711C1&quot;/&gt;&lt;wsp:rsid wsp:val=&quot;009713A6&quot;/&gt;&lt;wsp:rsid wsp:val=&quot;00971436&quot;/&gt;&lt;wsp:rsid wsp:val=&quot;0097160C&quot;/&gt;&lt;wsp:rsid wsp:val=&quot;00971701&quot;/&gt;&lt;wsp:rsid wsp:val=&quot;0097187A&quot;/&gt;&lt;wsp:rsid wsp:val=&quot;00971ACC&quot;/&gt;&lt;wsp:rsid wsp:val=&quot;00971B03&quot;/&gt;&lt;wsp:rsid wsp:val=&quot;00971B70&quot;/&gt;&lt;wsp:rsid wsp:val=&quot;00971BB3&quot;/&gt;&lt;wsp:rsid wsp:val=&quot;00971F0A&quot;/&gt;&lt;wsp:rsid wsp:val=&quot;0097202F&quot;/&gt;&lt;wsp:rsid wsp:val=&quot;00972122&quot;/&gt;&lt;wsp:rsid wsp:val=&quot;00972236&quot;/&gt;&lt;wsp:rsid wsp:val=&quot;009727C9&quot;/&gt;&lt;wsp:rsid wsp:val=&quot;00972CFF&quot;/&gt;&lt;wsp:rsid wsp:val=&quot;00972D3E&quot;/&gt;&lt;wsp:rsid wsp:val=&quot;009737DF&quot;/&gt;&lt;wsp:rsid wsp:val=&quot;009738AD&quot;/&gt;&lt;wsp:rsid wsp:val=&quot;00973912&quot;/&gt;&lt;wsp:rsid wsp:val=&quot;00973D43&quot;/&gt;&lt;wsp:rsid wsp:val=&quot;00973DE7&quot;/&gt;&lt;wsp:rsid wsp:val=&quot;00973F83&quot;/&gt;&lt;wsp:rsid wsp:val=&quot;009742E2&quot;/&gt;&lt;wsp:rsid wsp:val=&quot;0097441B&quot;/&gt;&lt;wsp:rsid wsp:val=&quot;0097459E&quot;/&gt;&lt;wsp:rsid wsp:val=&quot;00974890&quot;/&gt;&lt;wsp:rsid wsp:val=&quot;00974C08&quot;/&gt;&lt;wsp:rsid wsp:val=&quot;009752C4&quot;/&gt;&lt;wsp:rsid wsp:val=&quot;00975D24&quot;/&gt;&lt;wsp:rsid wsp:val=&quot;00975F1F&quot;/&gt;&lt;wsp:rsid wsp:val=&quot;00975FAA&quot;/&gt;&lt;wsp:rsid wsp:val=&quot;009764B6&quot;/&gt;&lt;wsp:rsid wsp:val=&quot;00976A85&quot;/&gt;&lt;wsp:rsid wsp:val=&quot;00976F1F&quot;/&gt;&lt;wsp:rsid wsp:val=&quot;00977211&quot;/&gt;&lt;wsp:rsid wsp:val=&quot;0097726F&quot;/&gt;&lt;wsp:rsid wsp:val=&quot;009772D2&quot;/&gt;&lt;wsp:rsid wsp:val=&quot;0097767C&quot;/&gt;&lt;wsp:rsid wsp:val=&quot;00980234&quot;/&gt;&lt;wsp:rsid wsp:val=&quot;009803DA&quot;/&gt;&lt;wsp:rsid wsp:val=&quot;00980405&quot;/&gt;&lt;wsp:rsid wsp:val=&quot;00980480&quot;/&gt;&lt;wsp:rsid wsp:val=&quot;00980B2B&quot;/&gt;&lt;wsp:rsid wsp:val=&quot;00980B99&quot;/&gt;&lt;wsp:rsid wsp:val=&quot;009810F9&quot;/&gt;&lt;wsp:rsid wsp:val=&quot;0098127A&quot;/&gt;&lt;wsp:rsid wsp:val=&quot;00981708&quot;/&gt;&lt;wsp:rsid wsp:val=&quot;00981E5A&quot;/&gt;&lt;wsp:rsid wsp:val=&quot;00981F21&quot;/&gt;&lt;wsp:rsid wsp:val=&quot;00982245&quot;/&gt;&lt;wsp:rsid wsp:val=&quot;00982EC7&quot;/&gt;&lt;wsp:rsid wsp:val=&quot;00983216&quot;/&gt;&lt;wsp:rsid wsp:val=&quot;00983297&quot;/&gt;&lt;wsp:rsid wsp:val=&quot;00983398&quot;/&gt;&lt;wsp:rsid wsp:val=&quot;009838B6&quot;/&gt;&lt;wsp:rsid wsp:val=&quot;00983984&quot;/&gt;&lt;wsp:rsid wsp:val=&quot;00983B0C&quot;/&gt;&lt;wsp:rsid wsp:val=&quot;00983B0F&quot;/&gt;&lt;wsp:rsid wsp:val=&quot;00983F3D&quot;/&gt;&lt;wsp:rsid wsp:val=&quot;00984399&quot;/&gt;&lt;wsp:rsid wsp:val=&quot;009843E6&quot;/&gt;&lt;wsp:rsid wsp:val=&quot;009853D1&quot;/&gt;&lt;wsp:rsid wsp:val=&quot;0098563A&quot;/&gt;&lt;wsp:rsid wsp:val=&quot;00985995&quot;/&gt;&lt;wsp:rsid wsp:val=&quot;00985F38&quot;/&gt;&lt;wsp:rsid wsp:val=&quot;0098606E&quot;/&gt;&lt;wsp:rsid wsp:val=&quot;00986199&quot;/&gt;&lt;wsp:rsid wsp:val=&quot;009867C1&quot;/&gt;&lt;wsp:rsid wsp:val=&quot;00986848&quot;/&gt;&lt;wsp:rsid wsp:val=&quot;009875F4&quot;/&gt;&lt;wsp:rsid wsp:val=&quot;00987728&quot;/&gt;&lt;wsp:rsid wsp:val=&quot;009879A0&quot;/&gt;&lt;wsp:rsid wsp:val=&quot;00987C73&quot;/&gt;&lt;wsp:rsid wsp:val=&quot;00987C83&quot;/&gt;&lt;wsp:rsid wsp:val=&quot;00987CAA&quot;/&gt;&lt;wsp:rsid wsp:val=&quot;00987D6A&quot;/&gt;&lt;wsp:rsid wsp:val=&quot;009904A0&quot;/&gt;&lt;wsp:rsid wsp:val=&quot;00990EA6&quot;/&gt;&lt;wsp:rsid wsp:val=&quot;009910F0&quot;/&gt;&lt;wsp:rsid wsp:val=&quot;0099174D&quot;/&gt;&lt;wsp:rsid wsp:val=&quot;0099190A&quot;/&gt;&lt;wsp:rsid wsp:val=&quot;00991D1B&quot;/&gt;&lt;wsp:rsid wsp:val=&quot;0099224A&quot;/&gt;&lt;wsp:rsid wsp:val=&quot;00992436&quot;/&gt;&lt;wsp:rsid wsp:val=&quot;00992AD1&quot;/&gt;&lt;wsp:rsid wsp:val=&quot;009930C1&quot;/&gt;&lt;wsp:rsid wsp:val=&quot;009933A4&quot;/&gt;&lt;wsp:rsid wsp:val=&quot;009938C3&quot;/&gt;&lt;wsp:rsid wsp:val=&quot;00993D0A&quot;/&gt;&lt;wsp:rsid wsp:val=&quot;0099417C&quot;/&gt;&lt;wsp:rsid wsp:val=&quot;009956DA&quot;/&gt;&lt;wsp:rsid wsp:val=&quot;00995897&quot;/&gt;&lt;wsp:rsid wsp:val=&quot;00995D35&quot;/&gt;&lt;wsp:rsid wsp:val=&quot;0099622A&quot;/&gt;&lt;wsp:rsid wsp:val=&quot;0099631F&quot;/&gt;&lt;wsp:rsid wsp:val=&quot;009965A1&quot;/&gt;&lt;wsp:rsid wsp:val=&quot;00996BB7&quot;/&gt;&lt;wsp:rsid wsp:val=&quot;00996BD9&quot;/&gt;&lt;wsp:rsid wsp:val=&quot;00996ED4&quot;/&gt;&lt;wsp:rsid wsp:val=&quot;00997200&quot;/&gt;&lt;wsp:rsid wsp:val=&quot;0099749F&quot;/&gt;&lt;wsp:rsid wsp:val=&quot;00997629&quot;/&gt;&lt;wsp:rsid wsp:val=&quot;009978EA&quot;/&gt;&lt;wsp:rsid wsp:val=&quot;00997F33&quot;/&gt;&lt;wsp:rsid wsp:val=&quot;009A00F0&quot;/&gt;&lt;wsp:rsid wsp:val=&quot;009A02B9&quot;/&gt;&lt;wsp:rsid wsp:val=&quot;009A0B39&quot;/&gt;&lt;wsp:rsid wsp:val=&quot;009A0D89&quot;/&gt;&lt;wsp:rsid wsp:val=&quot;009A137B&quot;/&gt;&lt;wsp:rsid wsp:val=&quot;009A145A&quot;/&gt;&lt;wsp:rsid wsp:val=&quot;009A15EF&quot;/&gt;&lt;wsp:rsid wsp:val=&quot;009A18BD&quot;/&gt;&lt;wsp:rsid wsp:val=&quot;009A1A33&quot;/&gt;&lt;wsp:rsid wsp:val=&quot;009A1D33&quot;/&gt;&lt;wsp:rsid wsp:val=&quot;009A1EFD&quot;/&gt;&lt;wsp:rsid wsp:val=&quot;009A2336&quot;/&gt;&lt;wsp:rsid wsp:val=&quot;009A2499&quot;/&gt;&lt;wsp:rsid wsp:val=&quot;009A252C&quot;/&gt;&lt;wsp:rsid wsp:val=&quot;009A33BE&quot;/&gt;&lt;wsp:rsid wsp:val=&quot;009A377F&quot;/&gt;&lt;wsp:rsid wsp:val=&quot;009A3A6C&quot;/&gt;&lt;wsp:rsid wsp:val=&quot;009A3CAF&quot;/&gt;&lt;wsp:rsid wsp:val=&quot;009A42C4&quot;/&gt;&lt;wsp:rsid wsp:val=&quot;009A436D&quot;/&gt;&lt;wsp:rsid wsp:val=&quot;009A46DD&quot;/&gt;&lt;wsp:rsid wsp:val=&quot;009A4C26&quot;/&gt;&lt;wsp:rsid wsp:val=&quot;009A4DD7&quot;/&gt;&lt;wsp:rsid wsp:val=&quot;009A4EC0&quot;/&gt;&lt;wsp:rsid wsp:val=&quot;009A4FD8&quot;/&gt;&lt;wsp:rsid wsp:val=&quot;009A52AD&quot;/&gt;&lt;wsp:rsid wsp:val=&quot;009A5857&quot;/&gt;&lt;wsp:rsid wsp:val=&quot;009A59D4&quot;/&gt;&lt;wsp:rsid wsp:val=&quot;009A5A59&quot;/&gt;&lt;wsp:rsid wsp:val=&quot;009A5EF7&quot;/&gt;&lt;wsp:rsid wsp:val=&quot;009A5F62&quot;/&gt;&lt;wsp:rsid wsp:val=&quot;009A652B&quot;/&gt;&lt;wsp:rsid wsp:val=&quot;009A66FC&quot;/&gt;&lt;wsp:rsid wsp:val=&quot;009A6756&quot;/&gt;&lt;wsp:rsid wsp:val=&quot;009A6BFF&quot;/&gt;&lt;wsp:rsid wsp:val=&quot;009A7041&quot;/&gt;&lt;wsp:rsid wsp:val=&quot;009A7312&quot;/&gt;&lt;wsp:rsid wsp:val=&quot;009A77E7&quot;/&gt;&lt;wsp:rsid wsp:val=&quot;009A7996&quot;/&gt;&lt;wsp:rsid wsp:val=&quot;009A7C82&quot;/&gt;&lt;wsp:rsid wsp:val=&quot;009B06B2&quot;/&gt;&lt;wsp:rsid wsp:val=&quot;009B074A&quot;/&gt;&lt;wsp:rsid wsp:val=&quot;009B0D10&quot;/&gt;&lt;wsp:rsid wsp:val=&quot;009B0FFD&quot;/&gt;&lt;wsp:rsid wsp:val=&quot;009B139A&quot;/&gt;&lt;wsp:rsid wsp:val=&quot;009B160E&quot;/&gt;&lt;wsp:rsid wsp:val=&quot;009B1D77&quot;/&gt;&lt;wsp:rsid wsp:val=&quot;009B1EAF&quot;/&gt;&lt;wsp:rsid wsp:val=&quot;009B1F73&quot;/&gt;&lt;wsp:rsid wsp:val=&quot;009B1F8A&quot;/&gt;&lt;wsp:rsid wsp:val=&quot;009B2358&quot;/&gt;&lt;wsp:rsid wsp:val=&quot;009B2C09&quot;/&gt;&lt;wsp:rsid wsp:val=&quot;009B2D06&quot;/&gt;&lt;wsp:rsid wsp:val=&quot;009B2F5E&quot;/&gt;&lt;wsp:rsid wsp:val=&quot;009B30EA&quot;/&gt;&lt;wsp:rsid wsp:val=&quot;009B3E63&quot;/&gt;&lt;wsp:rsid wsp:val=&quot;009B40F6&quot;/&gt;&lt;wsp:rsid wsp:val=&quot;009B4328&quot;/&gt;&lt;wsp:rsid wsp:val=&quot;009B43F7&quot;/&gt;&lt;wsp:rsid wsp:val=&quot;009B4F11&quot;/&gt;&lt;wsp:rsid wsp:val=&quot;009B5D3B&quot;/&gt;&lt;wsp:rsid wsp:val=&quot;009B5F52&quot;/&gt;&lt;wsp:rsid wsp:val=&quot;009B6216&quot;/&gt;&lt;wsp:rsid wsp:val=&quot;009B635C&quot;/&gt;&lt;wsp:rsid wsp:val=&quot;009B65CF&quot;/&gt;&lt;wsp:rsid wsp:val=&quot;009B6859&quot;/&gt;&lt;wsp:rsid wsp:val=&quot;009B6C8B&quot;/&gt;&lt;wsp:rsid wsp:val=&quot;009B6CB2&quot;/&gt;&lt;wsp:rsid wsp:val=&quot;009B72DF&quot;/&gt;&lt;wsp:rsid wsp:val=&quot;009B748A&quot;/&gt;&lt;wsp:rsid wsp:val=&quot;009B7AB4&quot;/&gt;&lt;wsp:rsid wsp:val=&quot;009C028C&quot;/&gt;&lt;wsp:rsid wsp:val=&quot;009C05E8&quot;/&gt;&lt;wsp:rsid wsp:val=&quot;009C0612&quot;/&gt;&lt;wsp:rsid wsp:val=&quot;009C0F09&quot;/&gt;&lt;wsp:rsid wsp:val=&quot;009C1413&quot;/&gt;&lt;wsp:rsid wsp:val=&quot;009C1560&quot;/&gt;&lt;wsp:rsid wsp:val=&quot;009C1945&quot;/&gt;&lt;wsp:rsid wsp:val=&quot;009C1CA5&quot;/&gt;&lt;wsp:rsid wsp:val=&quot;009C1D3A&quot;/&gt;&lt;wsp:rsid wsp:val=&quot;009C1E4E&quot;/&gt;&lt;wsp:rsid wsp:val=&quot;009C20A2&quot;/&gt;&lt;wsp:rsid wsp:val=&quot;009C2430&quot;/&gt;&lt;wsp:rsid wsp:val=&quot;009C30AE&quot;/&gt;&lt;wsp:rsid wsp:val=&quot;009C3482&quot;/&gt;&lt;wsp:rsid wsp:val=&quot;009C372E&quot;/&gt;&lt;wsp:rsid wsp:val=&quot;009C3A12&quot;/&gt;&lt;wsp:rsid wsp:val=&quot;009C3C1D&quot;/&gt;&lt;wsp:rsid wsp:val=&quot;009C3EB5&quot;/&gt;&lt;wsp:rsid wsp:val=&quot;009C4090&quot;/&gt;&lt;wsp:rsid wsp:val=&quot;009C47A0&quot;/&gt;&lt;wsp:rsid wsp:val=&quot;009C4962&quot;/&gt;&lt;wsp:rsid wsp:val=&quot;009C4BF2&quot;/&gt;&lt;wsp:rsid wsp:val=&quot;009C4FE2&quot;/&gt;&lt;wsp:rsid wsp:val=&quot;009C503C&quot;/&gt;&lt;wsp:rsid wsp:val=&quot;009C5566&quot;/&gt;&lt;wsp:rsid wsp:val=&quot;009C5580&quot;/&gt;&lt;wsp:rsid wsp:val=&quot;009C5616&quot;/&gt;&lt;wsp:rsid wsp:val=&quot;009C56E0&quot;/&gt;&lt;wsp:rsid wsp:val=&quot;009C5B78&quot;/&gt;&lt;wsp:rsid wsp:val=&quot;009C5F15&quot;/&gt;&lt;wsp:rsid wsp:val=&quot;009C6067&quot;/&gt;&lt;wsp:rsid wsp:val=&quot;009C6072&quot;/&gt;&lt;wsp:rsid wsp:val=&quot;009C662B&quot;/&gt;&lt;wsp:rsid wsp:val=&quot;009C7213&quot;/&gt;&lt;wsp:rsid wsp:val=&quot;009C7F6A&quot;/&gt;&lt;wsp:rsid wsp:val=&quot;009D02E3&quot;/&gt;&lt;wsp:rsid wsp:val=&quot;009D0A69&quot;/&gt;&lt;wsp:rsid wsp:val=&quot;009D0AD0&quot;/&gt;&lt;wsp:rsid wsp:val=&quot;009D0DDA&quot;/&gt;&lt;wsp:rsid wsp:val=&quot;009D1217&quot;/&gt;&lt;wsp:rsid wsp:val=&quot;009D1992&quot;/&gt;&lt;wsp:rsid wsp:val=&quot;009D1BC4&quot;/&gt;&lt;wsp:rsid wsp:val=&quot;009D24A9&quot;/&gt;&lt;wsp:rsid wsp:val=&quot;009D2809&quot;/&gt;&lt;wsp:rsid wsp:val=&quot;009D295E&quot;/&gt;&lt;wsp:rsid wsp:val=&quot;009D2B2D&quot;/&gt;&lt;wsp:rsid wsp:val=&quot;009D2CBD&quot;/&gt;&lt;wsp:rsid wsp:val=&quot;009D2D5B&quot;/&gt;&lt;wsp:rsid wsp:val=&quot;009D33B4&quot;/&gt;&lt;wsp:rsid wsp:val=&quot;009D36DD&quot;/&gt;&lt;wsp:rsid wsp:val=&quot;009D3C32&quot;/&gt;&lt;wsp:rsid wsp:val=&quot;009D3E5C&quot;/&gt;&lt;wsp:rsid wsp:val=&quot;009D3FCA&quot;/&gt;&lt;wsp:rsid wsp:val=&quot;009D40D6&quot;/&gt;&lt;wsp:rsid wsp:val=&quot;009D413A&quot;/&gt;&lt;wsp:rsid wsp:val=&quot;009D424D&quot;/&gt;&lt;wsp:rsid wsp:val=&quot;009D491F&quot;/&gt;&lt;wsp:rsid wsp:val=&quot;009D4F85&quot;/&gt;&lt;wsp:rsid wsp:val=&quot;009D518F&quot;/&gt;&lt;wsp:rsid wsp:val=&quot;009D53CB&quot;/&gt;&lt;wsp:rsid wsp:val=&quot;009D53D7&quot;/&gt;&lt;wsp:rsid wsp:val=&quot;009D54FC&quot;/&gt;&lt;wsp:rsid wsp:val=&quot;009D6825&quot;/&gt;&lt;wsp:rsid wsp:val=&quot;009D6873&quot;/&gt;&lt;wsp:rsid wsp:val=&quot;009D6A28&quot;/&gt;&lt;wsp:rsid wsp:val=&quot;009D6E82&quot;/&gt;&lt;wsp:rsid wsp:val=&quot;009D729E&quot;/&gt;&lt;wsp:rsid wsp:val=&quot;009D74C6&quot;/&gt;&lt;wsp:rsid wsp:val=&quot;009D7732&quot;/&gt;&lt;wsp:rsid wsp:val=&quot;009D7854&quot;/&gt;&lt;wsp:rsid wsp:val=&quot;009E170A&quot;/&gt;&lt;wsp:rsid wsp:val=&quot;009E172F&quot;/&gt;&lt;wsp:rsid wsp:val=&quot;009E1A92&quot;/&gt;&lt;wsp:rsid wsp:val=&quot;009E1E8A&quot;/&gt;&lt;wsp:rsid wsp:val=&quot;009E1FF2&quot;/&gt;&lt;wsp:rsid wsp:val=&quot;009E2F30&quot;/&gt;&lt;wsp:rsid wsp:val=&quot;009E307B&quot;/&gt;&lt;wsp:rsid wsp:val=&quot;009E30D6&quot;/&gt;&lt;wsp:rsid wsp:val=&quot;009E3147&quot;/&gt;&lt;wsp:rsid wsp:val=&quot;009E35AA&quot;/&gt;&lt;wsp:rsid wsp:val=&quot;009E3786&quot;/&gt;&lt;wsp:rsid wsp:val=&quot;009E3E89&quot;/&gt;&lt;wsp:rsid wsp:val=&quot;009E3EC6&quot;/&gt;&lt;wsp:rsid wsp:val=&quot;009E4A8B&quot;/&gt;&lt;wsp:rsid wsp:val=&quot;009E50FF&quot;/&gt;&lt;wsp:rsid wsp:val=&quot;009E51C9&quot;/&gt;&lt;wsp:rsid wsp:val=&quot;009E6140&quot;/&gt;&lt;wsp:rsid wsp:val=&quot;009E687E&quot;/&gt;&lt;wsp:rsid wsp:val=&quot;009E6892&quot;/&gt;&lt;wsp:rsid wsp:val=&quot;009E6A23&quot;/&gt;&lt;wsp:rsid wsp:val=&quot;009E6A59&quot;/&gt;&lt;wsp:rsid wsp:val=&quot;009E7C48&quot;/&gt;&lt;wsp:rsid wsp:val=&quot;009F0003&quot;/&gt;&lt;wsp:rsid wsp:val=&quot;009F019F&quot;/&gt;&lt;wsp:rsid wsp:val=&quot;009F01A1&quot;/&gt;&lt;wsp:rsid wsp:val=&quot;009F0213&quot;/&gt;&lt;wsp:rsid wsp:val=&quot;009F0438&quot;/&gt;&lt;wsp:rsid wsp:val=&quot;009F079E&quot;/&gt;&lt;wsp:rsid wsp:val=&quot;009F0D65&quot;/&gt;&lt;wsp:rsid wsp:val=&quot;009F0F6F&quot;/&gt;&lt;wsp:rsid wsp:val=&quot;009F106C&quot;/&gt;&lt;wsp:rsid wsp:val=&quot;009F182D&quot;/&gt;&lt;wsp:rsid wsp:val=&quot;009F1864&quot;/&gt;&lt;wsp:rsid wsp:val=&quot;009F18D6&quot;/&gt;&lt;wsp:rsid wsp:val=&quot;009F1A8F&quot;/&gt;&lt;wsp:rsid wsp:val=&quot;009F1AAB&quot;/&gt;&lt;wsp:rsid wsp:val=&quot;009F22F6&quot;/&gt;&lt;wsp:rsid wsp:val=&quot;009F2412&quot;/&gt;&lt;wsp:rsid wsp:val=&quot;009F246A&quot;/&gt;&lt;wsp:rsid wsp:val=&quot;009F281A&quot;/&gt;&lt;wsp:rsid wsp:val=&quot;009F2C19&quot;/&gt;&lt;wsp:rsid wsp:val=&quot;009F2E99&quot;/&gt;&lt;wsp:rsid wsp:val=&quot;009F3B48&quot;/&gt;&lt;wsp:rsid wsp:val=&quot;009F3DB8&quot;/&gt;&lt;wsp:rsid wsp:val=&quot;009F3E1B&quot;/&gt;&lt;wsp:rsid wsp:val=&quot;009F42FF&quot;/&gt;&lt;wsp:rsid wsp:val=&quot;009F48C8&quot;/&gt;&lt;wsp:rsid wsp:val=&quot;009F49B8&quot;/&gt;&lt;wsp:rsid wsp:val=&quot;009F4FB9&quot;/&gt;&lt;wsp:rsid wsp:val=&quot;009F5225&quot;/&gt;&lt;wsp:rsid wsp:val=&quot;009F52B9&quot;/&gt;&lt;wsp:rsid wsp:val=&quot;009F6B4A&quot;/&gt;&lt;wsp:rsid wsp:val=&quot;009F6CC8&quot;/&gt;&lt;wsp:rsid wsp:val=&quot;009F7471&quot;/&gt;&lt;wsp:rsid wsp:val=&quot;009F7BB1&quot;/&gt;&lt;wsp:rsid wsp:val=&quot;009F7E4E&quot;/&gt;&lt;wsp:rsid wsp:val=&quot;009F7F8C&quot;/&gt;&lt;wsp:rsid wsp:val=&quot;00A0008B&quot;/&gt;&lt;wsp:rsid wsp:val=&quot;00A00AD8&quot;/&gt;&lt;wsp:rsid wsp:val=&quot;00A01C72&quot;/&gt;&lt;wsp:rsid wsp:val=&quot;00A02147&quot;/&gt;&lt;wsp:rsid wsp:val=&quot;00A0289A&quot;/&gt;&lt;wsp:rsid wsp:val=&quot;00A03290&quot;/&gt;&lt;wsp:rsid wsp:val=&quot;00A03466&quot;/&gt;&lt;wsp:rsid wsp:val=&quot;00A036E9&quot;/&gt;&lt;wsp:rsid wsp:val=&quot;00A03EEB&quot;/&gt;&lt;wsp:rsid wsp:val=&quot;00A03F3C&quot;/&gt;&lt;wsp:rsid wsp:val=&quot;00A03F3F&quot;/&gt;&lt;wsp:rsid wsp:val=&quot;00A041F4&quot;/&gt;&lt;wsp:rsid wsp:val=&quot;00A04229&quot;/&gt;&lt;wsp:rsid wsp:val=&quot;00A0488B&quot;/&gt;&lt;wsp:rsid wsp:val=&quot;00A05168&quot;/&gt;&lt;wsp:rsid wsp:val=&quot;00A056A0&quot;/&gt;&lt;wsp:rsid wsp:val=&quot;00A05869&quot;/&gt;&lt;wsp:rsid wsp:val=&quot;00A05EEA&quot;/&gt;&lt;wsp:rsid wsp:val=&quot;00A064D4&quot;/&gt;&lt;wsp:rsid wsp:val=&quot;00A065B7&quot;/&gt;&lt;wsp:rsid wsp:val=&quot;00A06ABE&quot;/&gt;&lt;wsp:rsid wsp:val=&quot;00A07395&quot;/&gt;&lt;wsp:rsid wsp:val=&quot;00A074F8&quot;/&gt;&lt;wsp:rsid wsp:val=&quot;00A07688&quot;/&gt;&lt;wsp:rsid wsp:val=&quot;00A076AD&quot;/&gt;&lt;wsp:rsid wsp:val=&quot;00A076B3&quot;/&gt;&lt;wsp:rsid wsp:val=&quot;00A07D82&quot;/&gt;&lt;wsp:rsid wsp:val=&quot;00A10226&quot;/&gt;&lt;wsp:rsid wsp:val=&quot;00A10454&quot;/&gt;&lt;wsp:rsid wsp:val=&quot;00A107F9&quot;/&gt;&lt;wsp:rsid wsp:val=&quot;00A10A2D&quot;/&gt;&lt;wsp:rsid wsp:val=&quot;00A10B34&quot;/&gt;&lt;wsp:rsid wsp:val=&quot;00A10B37&quot;/&gt;&lt;wsp:rsid wsp:val=&quot;00A11456&quot;/&gt;&lt;wsp:rsid wsp:val=&quot;00A1165E&quot;/&gt;&lt;wsp:rsid wsp:val=&quot;00A1187D&quot;/&gt;&lt;wsp:rsid wsp:val=&quot;00A11B01&quot;/&gt;&lt;wsp:rsid wsp:val=&quot;00A133DF&quot;/&gt;&lt;wsp:rsid wsp:val=&quot;00A13882&quot;/&gt;&lt;wsp:rsid wsp:val=&quot;00A138EA&quot;/&gt;&lt;wsp:rsid wsp:val=&quot;00A13DDA&quot;/&gt;&lt;wsp:rsid wsp:val=&quot;00A13E7E&quot;/&gt;&lt;wsp:rsid wsp:val=&quot;00A14014&quot;/&gt;&lt;wsp:rsid wsp:val=&quot;00A146FC&quot;/&gt;&lt;wsp:rsid wsp:val=&quot;00A150B6&quot;/&gt;&lt;wsp:rsid wsp:val=&quot;00A151CA&quot;/&gt;&lt;wsp:rsid wsp:val=&quot;00A154D9&quot;/&gt;&lt;wsp:rsid wsp:val=&quot;00A160DE&quot;/&gt;&lt;wsp:rsid wsp:val=&quot;00A1629A&quot;/&gt;&lt;wsp:rsid wsp:val=&quot;00A173F6&quot;/&gt;&lt;wsp:rsid wsp:val=&quot;00A179C6&quot;/&gt;&lt;wsp:rsid wsp:val=&quot;00A17CB2&quot;/&gt;&lt;wsp:rsid wsp:val=&quot;00A17D15&quot;/&gt;&lt;wsp:rsid wsp:val=&quot;00A20293&quot;/&gt;&lt;wsp:rsid wsp:val=&quot;00A2075E&quot;/&gt;&lt;wsp:rsid wsp:val=&quot;00A2091A&quot;/&gt;&lt;wsp:rsid wsp:val=&quot;00A20991&quot;/&gt;&lt;wsp:rsid wsp:val=&quot;00A209D7&quot;/&gt;&lt;wsp:rsid wsp:val=&quot;00A20E4F&quot;/&gt;&lt;wsp:rsid wsp:val=&quot;00A210E3&quot;/&gt;&lt;wsp:rsid wsp:val=&quot;00A216F3&quot;/&gt;&lt;wsp:rsid wsp:val=&quot;00A21723&quot;/&gt;&lt;wsp:rsid wsp:val=&quot;00A219E5&quot;/&gt;&lt;wsp:rsid wsp:val=&quot;00A21B04&quot;/&gt;&lt;wsp:rsid wsp:val=&quot;00A22504&quot;/&gt;&lt;wsp:rsid wsp:val=&quot;00A225CD&quot;/&gt;&lt;wsp:rsid wsp:val=&quot;00A2270C&quot;/&gt;&lt;wsp:rsid wsp:val=&quot;00A2287D&quot;/&gt;&lt;wsp:rsid wsp:val=&quot;00A22AFE&quot;/&gt;&lt;wsp:rsid wsp:val=&quot;00A22B02&quot;/&gt;&lt;wsp:rsid wsp:val=&quot;00A22B7B&quot;/&gt;&lt;wsp:rsid wsp:val=&quot;00A23041&quot;/&gt;&lt;wsp:rsid wsp:val=&quot;00A2338A&quot;/&gt;&lt;wsp:rsid wsp:val=&quot;00A23BE9&quot;/&gt;&lt;wsp:rsid wsp:val=&quot;00A23D37&quot;/&gt;&lt;wsp:rsid wsp:val=&quot;00A23D66&quot;/&gt;&lt;wsp:rsid wsp:val=&quot;00A23F6B&quot;/&gt;&lt;wsp:rsid wsp:val=&quot;00A24161&quot;/&gt;&lt;wsp:rsid wsp:val=&quot;00A2476A&quot;/&gt;&lt;wsp:rsid wsp:val=&quot;00A24F6D&quot;/&gt;&lt;wsp:rsid wsp:val=&quot;00A25071&quot;/&gt;&lt;wsp:rsid wsp:val=&quot;00A25616&quot;/&gt;&lt;wsp:rsid wsp:val=&quot;00A25902&quot;/&gt;&lt;wsp:rsid wsp:val=&quot;00A25E7F&quot;/&gt;&lt;wsp:rsid wsp:val=&quot;00A25F3D&quot;/&gt;&lt;wsp:rsid wsp:val=&quot;00A26678&quot;/&gt;&lt;wsp:rsid wsp:val=&quot;00A26680&quot;/&gt;&lt;wsp:rsid wsp:val=&quot;00A26B90&quot;/&gt;&lt;wsp:rsid wsp:val=&quot;00A27055&quot;/&gt;&lt;wsp:rsid wsp:val=&quot;00A272C6&quot;/&gt;&lt;wsp:rsid wsp:val=&quot;00A27408&quot;/&gt;&lt;wsp:rsid wsp:val=&quot;00A275B6&quot;/&gt;&lt;wsp:rsid wsp:val=&quot;00A27A2C&quot;/&gt;&lt;wsp:rsid wsp:val=&quot;00A27CEB&quot;/&gt;&lt;wsp:rsid wsp:val=&quot;00A3026B&quot;/&gt;&lt;wsp:rsid wsp:val=&quot;00A302EE&quot;/&gt;&lt;wsp:rsid wsp:val=&quot;00A30427&quot;/&gt;&lt;wsp:rsid wsp:val=&quot;00A30EF9&quot;/&gt;&lt;wsp:rsid wsp:val=&quot;00A31B9C&quot;/&gt;&lt;wsp:rsid wsp:val=&quot;00A31D12&quot;/&gt;&lt;wsp:rsid wsp:val=&quot;00A327E8&quot;/&gt;&lt;wsp:rsid wsp:val=&quot;00A330E3&quot;/&gt;&lt;wsp:rsid wsp:val=&quot;00A33122&quot;/&gt;&lt;wsp:rsid wsp:val=&quot;00A33251&quot;/&gt;&lt;wsp:rsid wsp:val=&quot;00A3344B&quot;/&gt;&lt;wsp:rsid wsp:val=&quot;00A33C54&quot;/&gt;&lt;wsp:rsid wsp:val=&quot;00A33F30&quot;/&gt;&lt;wsp:rsid wsp:val=&quot;00A340B0&quot;/&gt;&lt;wsp:rsid wsp:val=&quot;00A342F0&quot;/&gt;&lt;wsp:rsid wsp:val=&quot;00A344CE&quot;/&gt;&lt;wsp:rsid wsp:val=&quot;00A34A3D&quot;/&gt;&lt;wsp:rsid wsp:val=&quot;00A34D63&quot;/&gt;&lt;wsp:rsid wsp:val=&quot;00A34F32&quot;/&gt;&lt;wsp:rsid wsp:val=&quot;00A35098&quot;/&gt;&lt;wsp:rsid wsp:val=&quot;00A356CC&quot;/&gt;&lt;wsp:rsid wsp:val=&quot;00A3598B&quot;/&gt;&lt;wsp:rsid wsp:val=&quot;00A35994&quot;/&gt;&lt;wsp:rsid wsp:val=&quot;00A35AB6&quot;/&gt;&lt;wsp:rsid wsp:val=&quot;00A35C65&quot;/&gt;&lt;wsp:rsid wsp:val=&quot;00A36329&quot;/&gt;&lt;wsp:rsid wsp:val=&quot;00A36618&quot;/&gt;&lt;wsp:rsid wsp:val=&quot;00A37446&quot;/&gt;&lt;wsp:rsid wsp:val=&quot;00A3753C&quot;/&gt;&lt;wsp:rsid wsp:val=&quot;00A37A60&quot;/&gt;&lt;wsp:rsid wsp:val=&quot;00A37E7E&quot;/&gt;&lt;wsp:rsid wsp:val=&quot;00A37FCA&quot;/&gt;&lt;wsp:rsid wsp:val=&quot;00A402E2&quot;/&gt;&lt;wsp:rsid wsp:val=&quot;00A407B7&quot;/&gt;&lt;wsp:rsid wsp:val=&quot;00A40A2D&quot;/&gt;&lt;wsp:rsid wsp:val=&quot;00A40A35&quot;/&gt;&lt;wsp:rsid wsp:val=&quot;00A40AA3&quot;/&gt;&lt;wsp:rsid wsp:val=&quot;00A414F9&quot;/&gt;&lt;wsp:rsid wsp:val=&quot;00A41FB3&quot;/&gt;&lt;wsp:rsid wsp:val=&quot;00A4201B&quot;/&gt;&lt;wsp:rsid wsp:val=&quot;00A42337&quot;/&gt;&lt;wsp:rsid wsp:val=&quot;00A426B0&quot;/&gt;&lt;wsp:rsid wsp:val=&quot;00A428B5&quot;/&gt;&lt;wsp:rsid wsp:val=&quot;00A42B72&quot;/&gt;&lt;wsp:rsid wsp:val=&quot;00A42C83&quot;/&gt;&lt;wsp:rsid wsp:val=&quot;00A42F14&quot;/&gt;&lt;wsp:rsid wsp:val=&quot;00A43130&quot;/&gt;&lt;wsp:rsid wsp:val=&quot;00A432A5&quot;/&gt;&lt;wsp:rsid wsp:val=&quot;00A433EE&quot;/&gt;&lt;wsp:rsid wsp:val=&quot;00A43CCA&quot;/&gt;&lt;wsp:rsid wsp:val=&quot;00A43D52&quot;/&gt;&lt;wsp:rsid wsp:val=&quot;00A43D8D&quot;/&gt;&lt;wsp:rsid wsp:val=&quot;00A43DB9&quot;/&gt;&lt;wsp:rsid wsp:val=&quot;00A44007&quot;/&gt;&lt;wsp:rsid wsp:val=&quot;00A441C9&quot;/&gt;&lt;wsp:rsid wsp:val=&quot;00A44306&quot;/&gt;&lt;wsp:rsid wsp:val=&quot;00A4441A&quot;/&gt;&lt;wsp:rsid wsp:val=&quot;00A4450A&quot;/&gt;&lt;wsp:rsid wsp:val=&quot;00A44697&quot;/&gt;&lt;wsp:rsid wsp:val=&quot;00A448E1&quot;/&gt;&lt;wsp:rsid wsp:val=&quot;00A44B02&quot;/&gt;&lt;wsp:rsid wsp:val=&quot;00A44EE3&quot;/&gt;&lt;wsp:rsid wsp:val=&quot;00A45088&quot;/&gt;&lt;wsp:rsid wsp:val=&quot;00A45709&quot;/&gt;&lt;wsp:rsid wsp:val=&quot;00A45BAD&quot;/&gt;&lt;wsp:rsid wsp:val=&quot;00A45D3A&quot;/&gt;&lt;wsp:rsid wsp:val=&quot;00A465E6&quot;/&gt;&lt;wsp:rsid wsp:val=&quot;00A46C10&quot;/&gt;&lt;wsp:rsid wsp:val=&quot;00A46FEC&quot;/&gt;&lt;wsp:rsid wsp:val=&quot;00A4739F&quot;/&gt;&lt;wsp:rsid wsp:val=&quot;00A47C85&quot;/&gt;&lt;wsp:rsid wsp:val=&quot;00A47FA4&quot;/&gt;&lt;wsp:rsid wsp:val=&quot;00A47FF5&quot;/&gt;&lt;wsp:rsid wsp:val=&quot;00A50397&quot;/&gt;&lt;wsp:rsid wsp:val=&quot;00A50FCF&quot;/&gt;&lt;wsp:rsid wsp:val=&quot;00A51651&quot;/&gt;&lt;wsp:rsid wsp:val=&quot;00A51A7D&quot;/&gt;&lt;wsp:rsid wsp:val=&quot;00A51B3B&quot;/&gt;&lt;wsp:rsid wsp:val=&quot;00A521DF&quot;/&gt;&lt;wsp:rsid wsp:val=&quot;00A522BD&quot;/&gt;&lt;wsp:rsid wsp:val=&quot;00A522F5&quot;/&gt;&lt;wsp:rsid wsp:val=&quot;00A53069&quot;/&gt;&lt;wsp:rsid wsp:val=&quot;00A53CEE&quot;/&gt;&lt;wsp:rsid wsp:val=&quot;00A53DDB&quot;/&gt;&lt;wsp:rsid wsp:val=&quot;00A54165&quot;/&gt;&lt;wsp:rsid wsp:val=&quot;00A54192&quot;/&gt;&lt;wsp:rsid wsp:val=&quot;00A544CF&quot;/&gt;&lt;wsp:rsid wsp:val=&quot;00A550CC&quot;/&gt;&lt;wsp:rsid wsp:val=&quot;00A55592&quot;/&gt;&lt;wsp:rsid wsp:val=&quot;00A56971&quot;/&gt;&lt;wsp:rsid wsp:val=&quot;00A56DA3&quot;/&gt;&lt;wsp:rsid wsp:val=&quot;00A5712D&quot;/&gt;&lt;wsp:rsid wsp:val=&quot;00A571A1&quot;/&gt;&lt;wsp:rsid wsp:val=&quot;00A57603&quot;/&gt;&lt;wsp:rsid wsp:val=&quot;00A57747&quot;/&gt;&lt;wsp:rsid wsp:val=&quot;00A577C8&quot;/&gt;&lt;wsp:rsid wsp:val=&quot;00A57998&quot;/&gt;&lt;wsp:rsid wsp:val=&quot;00A5799C&quot;/&gt;&lt;wsp:rsid wsp:val=&quot;00A57CDD&quot;/&gt;&lt;wsp:rsid wsp:val=&quot;00A57D38&quot;/&gt;&lt;wsp:rsid wsp:val=&quot;00A57ECD&quot;/&gt;&lt;wsp:rsid wsp:val=&quot;00A60232&quot;/&gt;&lt;wsp:rsid wsp:val=&quot;00A603C1&quot;/&gt;&lt;wsp:rsid wsp:val=&quot;00A606E1&quot;/&gt;&lt;wsp:rsid wsp:val=&quot;00A60F4E&quot;/&gt;&lt;wsp:rsid wsp:val=&quot;00A60FF7&quot;/&gt;&lt;wsp:rsid wsp:val=&quot;00A611A0&quot;/&gt;&lt;wsp:rsid wsp:val=&quot;00A6132B&quot;/&gt;&lt;wsp:rsid wsp:val=&quot;00A61343&quot;/&gt;&lt;wsp:rsid wsp:val=&quot;00A61726&quot;/&gt;&lt;wsp:rsid wsp:val=&quot;00A61944&quot;/&gt;&lt;wsp:rsid wsp:val=&quot;00A61FB8&quot;/&gt;&lt;wsp:rsid wsp:val=&quot;00A621F9&quot;/&gt;&lt;wsp:rsid wsp:val=&quot;00A627DC&quot;/&gt;&lt;wsp:rsid wsp:val=&quot;00A6298D&quot;/&gt;&lt;wsp:rsid wsp:val=&quot;00A62AC4&quot;/&gt;&lt;wsp:rsid wsp:val=&quot;00A63373&quot;/&gt;&lt;wsp:rsid wsp:val=&quot;00A63B90&quot;/&gt;&lt;wsp:rsid wsp:val=&quot;00A64482&quot;/&gt;&lt;wsp:rsid wsp:val=&quot;00A64B34&quot;/&gt;&lt;wsp:rsid wsp:val=&quot;00A64BA3&quot;/&gt;&lt;wsp:rsid wsp:val=&quot;00A64D0E&quot;/&gt;&lt;wsp:rsid wsp:val=&quot;00A64F41&quot;/&gt;&lt;wsp:rsid wsp:val=&quot;00A64F9B&quot;/&gt;&lt;wsp:rsid wsp:val=&quot;00A655EA&quot;/&gt;&lt;wsp:rsid wsp:val=&quot;00A6585E&quot;/&gt;&lt;wsp:rsid wsp:val=&quot;00A65964&quot;/&gt;&lt;wsp:rsid wsp:val=&quot;00A66562&quot;/&gt;&lt;wsp:rsid wsp:val=&quot;00A66655&quot;/&gt;&lt;wsp:rsid wsp:val=&quot;00A6674A&quot;/&gt;&lt;wsp:rsid wsp:val=&quot;00A6687A&quot;/&gt;&lt;wsp:rsid wsp:val=&quot;00A66B11&quot;/&gt;&lt;wsp:rsid wsp:val=&quot;00A66BC6&quot;/&gt;&lt;wsp:rsid wsp:val=&quot;00A66C95&quot;/&gt;&lt;wsp:rsid wsp:val=&quot;00A66E1B&quot;/&gt;&lt;wsp:rsid wsp:val=&quot;00A66E25&quot;/&gt;&lt;wsp:rsid wsp:val=&quot;00A6737F&quot;/&gt;&lt;wsp:rsid wsp:val=&quot;00A673D9&quot;/&gt;&lt;wsp:rsid wsp:val=&quot;00A678C1&quot;/&gt;&lt;wsp:rsid wsp:val=&quot;00A67964&quot;/&gt;&lt;wsp:rsid wsp:val=&quot;00A67990&quot;/&gt;&lt;wsp:rsid wsp:val=&quot;00A67ED4&quot;/&gt;&lt;wsp:rsid wsp:val=&quot;00A700D0&quot;/&gt;&lt;wsp:rsid wsp:val=&quot;00A70715&quot;/&gt;&lt;wsp:rsid wsp:val=&quot;00A70C94&quot;/&gt;&lt;wsp:rsid wsp:val=&quot;00A716B1&quot;/&gt;&lt;wsp:rsid wsp:val=&quot;00A7199F&quot;/&gt;&lt;wsp:rsid wsp:val=&quot;00A71EE9&quot;/&gt;&lt;wsp:rsid wsp:val=&quot;00A71F6E&quot;/&gt;&lt;wsp:rsid wsp:val=&quot;00A7263A&quot;/&gt;&lt;wsp:rsid wsp:val=&quot;00A72700&quot;/&gt;&lt;wsp:rsid wsp:val=&quot;00A7334E&quot;/&gt;&lt;wsp:rsid wsp:val=&quot;00A736D7&quot;/&gt;&lt;wsp:rsid wsp:val=&quot;00A73DE9&quot;/&gt;&lt;wsp:rsid wsp:val=&quot;00A74A13&quot;/&gt;&lt;wsp:rsid wsp:val=&quot;00A74CA6&quot;/&gt;&lt;wsp:rsid wsp:val=&quot;00A756C3&quot;/&gt;&lt;wsp:rsid wsp:val=&quot;00A75F8A&quot;/&gt;&lt;wsp:rsid wsp:val=&quot;00A760E7&quot;/&gt;&lt;wsp:rsid wsp:val=&quot;00A763D5&quot;/&gt;&lt;wsp:rsid wsp:val=&quot;00A765AF&quot;/&gt;&lt;wsp:rsid wsp:val=&quot;00A765E5&quot;/&gt;&lt;wsp:rsid wsp:val=&quot;00A766D9&quot;/&gt;&lt;wsp:rsid wsp:val=&quot;00A76B25&quot;/&gt;&lt;wsp:rsid wsp:val=&quot;00A76DE9&quot;/&gt;&lt;wsp:rsid wsp:val=&quot;00A771FF&quot;/&gt;&lt;wsp:rsid wsp:val=&quot;00A77409&quot;/&gt;&lt;wsp:rsid wsp:val=&quot;00A77745&quot;/&gt;&lt;wsp:rsid wsp:val=&quot;00A778B0&quot;/&gt;&lt;wsp:rsid wsp:val=&quot;00A77991&quot;/&gt;&lt;wsp:rsid wsp:val=&quot;00A8097A&quot;/&gt;&lt;wsp:rsid wsp:val=&quot;00A809DB&quot;/&gt;&lt;wsp:rsid wsp:val=&quot;00A80C99&quot;/&gt;&lt;wsp:rsid wsp:val=&quot;00A81177&quot;/&gt;&lt;wsp:rsid wsp:val=&quot;00A817B9&quot;/&gt;&lt;wsp:rsid wsp:val=&quot;00A81C38&quot;/&gt;&lt;wsp:rsid wsp:val=&quot;00A820B6&quot;/&gt;&lt;wsp:rsid wsp:val=&quot;00A82236&quot;/&gt;&lt;wsp:rsid wsp:val=&quot;00A822E7&quot;/&gt;&lt;wsp:rsid wsp:val=&quot;00A82449&quot;/&gt;&lt;wsp:rsid wsp:val=&quot;00A824A1&quot;/&gt;&lt;wsp:rsid wsp:val=&quot;00A828B2&quot;/&gt;&lt;wsp:rsid wsp:val=&quot;00A83023&quot;/&gt;&lt;wsp:rsid wsp:val=&quot;00A83792&quot;/&gt;&lt;wsp:rsid wsp:val=&quot;00A83951&quot;/&gt;&lt;wsp:rsid wsp:val=&quot;00A839D0&quot;/&gt;&lt;wsp:rsid wsp:val=&quot;00A83F26&quot;/&gt;&lt;wsp:rsid wsp:val=&quot;00A84198&quot;/&gt;&lt;wsp:rsid wsp:val=&quot;00A84200&quot;/&gt;&lt;wsp:rsid wsp:val=&quot;00A84673&quot;/&gt;&lt;wsp:rsid wsp:val=&quot;00A84854&quot;/&gt;&lt;wsp:rsid wsp:val=&quot;00A84DCB&quot;/&gt;&lt;wsp:rsid wsp:val=&quot;00A8510F&quot;/&gt;&lt;wsp:rsid wsp:val=&quot;00A852B5&quot;/&gt;&lt;wsp:rsid wsp:val=&quot;00A853E3&quot;/&gt;&lt;wsp:rsid wsp:val=&quot;00A854D8&quot;/&gt;&lt;wsp:rsid wsp:val=&quot;00A85AB5&quot;/&gt;&lt;wsp:rsid wsp:val=&quot;00A85C00&quot;/&gt;&lt;wsp:rsid wsp:val=&quot;00A85D6D&quot;/&gt;&lt;wsp:rsid wsp:val=&quot;00A85EB3&quot;/&gt;&lt;wsp:rsid wsp:val=&quot;00A85F84&quot;/&gt;&lt;wsp:rsid wsp:val=&quot;00A86657&quot;/&gt;&lt;wsp:rsid wsp:val=&quot;00A866B6&quot;/&gt;&lt;wsp:rsid wsp:val=&quot;00A8672E&quot;/&gt;&lt;wsp:rsid wsp:val=&quot;00A86B0C&quot;/&gt;&lt;wsp:rsid wsp:val=&quot;00A86E87&quot;/&gt;&lt;wsp:rsid wsp:val=&quot;00A86EE4&quot;/&gt;&lt;wsp:rsid wsp:val=&quot;00A86FA8&quot;/&gt;&lt;wsp:rsid wsp:val=&quot;00A87763&quot;/&gt;&lt;wsp:rsid wsp:val=&quot;00A878E9&quot;/&gt;&lt;wsp:rsid wsp:val=&quot;00A87A26&quot;/&gt;&lt;wsp:rsid wsp:val=&quot;00A9060A&quot;/&gt;&lt;wsp:rsid wsp:val=&quot;00A90A2C&quot;/&gt;&lt;wsp:rsid wsp:val=&quot;00A90AD8&quot;/&gt;&lt;wsp:rsid wsp:val=&quot;00A90B33&quot;/&gt;&lt;wsp:rsid wsp:val=&quot;00A90D06&quot;/&gt;&lt;wsp:rsid wsp:val=&quot;00A90DB1&quot;/&gt;&lt;wsp:rsid wsp:val=&quot;00A90E98&quot;/&gt;&lt;wsp:rsid wsp:val=&quot;00A91228&quot;/&gt;&lt;wsp:rsid wsp:val=&quot;00A912DE&quot;/&gt;&lt;wsp:rsid wsp:val=&quot;00A914E8&quot;/&gt;&lt;wsp:rsid wsp:val=&quot;00A91549&quot;/&gt;&lt;wsp:rsid wsp:val=&quot;00A9187B&quot;/&gt;&lt;wsp:rsid wsp:val=&quot;00A91AE0&quot;/&gt;&lt;wsp:rsid wsp:val=&quot;00A91DDD&quot;/&gt;&lt;wsp:rsid wsp:val=&quot;00A91E3D&quot;/&gt;&lt;wsp:rsid wsp:val=&quot;00A91E8B&quot;/&gt;&lt;wsp:rsid wsp:val=&quot;00A91FF8&quot;/&gt;&lt;wsp:rsid wsp:val=&quot;00A92C00&quot;/&gt;&lt;wsp:rsid wsp:val=&quot;00A9307D&quot;/&gt;&lt;wsp:rsid wsp:val=&quot;00A93595&quot;/&gt;&lt;wsp:rsid wsp:val=&quot;00A9378A&quot;/&gt;&lt;wsp:rsid wsp:val=&quot;00A93DC6&quot;/&gt;&lt;wsp:rsid wsp:val=&quot;00A93F77&quot;/&gt;&lt;wsp:rsid wsp:val=&quot;00A94191&quot;/&gt;&lt;wsp:rsid wsp:val=&quot;00A9429F&quot;/&gt;&lt;wsp:rsid wsp:val=&quot;00A944E2&quot;/&gt;&lt;wsp:rsid wsp:val=&quot;00A94689&quot;/&gt;&lt;wsp:rsid wsp:val=&quot;00A94BE2&quot;/&gt;&lt;wsp:rsid wsp:val=&quot;00A94E34&quot;/&gt;&lt;wsp:rsid wsp:val=&quot;00A94E6A&quot;/&gt;&lt;wsp:rsid wsp:val=&quot;00A95085&quot;/&gt;&lt;wsp:rsid wsp:val=&quot;00A95089&quot;/&gt;&lt;wsp:rsid wsp:val=&quot;00A9530F&quot;/&gt;&lt;wsp:rsid wsp:val=&quot;00A958C7&quot;/&gt;&lt;wsp:rsid wsp:val=&quot;00A95DD7&quot;/&gt;&lt;wsp:rsid wsp:val=&quot;00A96703&quot;/&gt;&lt;wsp:rsid wsp:val=&quot;00A96CF7&quot;/&gt;&lt;wsp:rsid wsp:val=&quot;00A96DE5&quot;/&gt;&lt;wsp:rsid wsp:val=&quot;00A96F99&quot;/&gt;&lt;wsp:rsid wsp:val=&quot;00A97788&quot;/&gt;&lt;wsp:rsid wsp:val=&quot;00A97E99&quot;/&gt;&lt;wsp:rsid wsp:val=&quot;00AA00B0&quot;/&gt;&lt;wsp:rsid wsp:val=&quot;00AA024A&quot;/&gt;&lt;wsp:rsid wsp:val=&quot;00AA0845&quot;/&gt;&lt;wsp:rsid wsp:val=&quot;00AA09D8&quot;/&gt;&lt;wsp:rsid wsp:val=&quot;00AA1033&quot;/&gt;&lt;wsp:rsid wsp:val=&quot;00AA16C0&quot;/&gt;&lt;wsp:rsid wsp:val=&quot;00AA2337&quot;/&gt;&lt;wsp:rsid wsp:val=&quot;00AA2681&quot;/&gt;&lt;wsp:rsid wsp:val=&quot;00AA2A6C&quot;/&gt;&lt;wsp:rsid wsp:val=&quot;00AA30DE&quot;/&gt;&lt;wsp:rsid wsp:val=&quot;00AA3647&quot;/&gt;&lt;wsp:rsid wsp:val=&quot;00AA3FD3&quot;/&gt;&lt;wsp:rsid wsp:val=&quot;00AA43F4&quot;/&gt;&lt;wsp:rsid wsp:val=&quot;00AA46ED&quot;/&gt;&lt;wsp:rsid wsp:val=&quot;00AA48C4&quot;/&gt;&lt;wsp:rsid wsp:val=&quot;00AA4C5F&quot;/&gt;&lt;wsp:rsid wsp:val=&quot;00AA50CB&quot;/&gt;&lt;wsp:rsid wsp:val=&quot;00AA5183&quot;/&gt;&lt;wsp:rsid wsp:val=&quot;00AA58E4&quot;/&gt;&lt;wsp:rsid wsp:val=&quot;00AA5D15&quot;/&gt;&lt;wsp:rsid wsp:val=&quot;00AA5D2F&quot;/&gt;&lt;wsp:rsid wsp:val=&quot;00AA5EDE&quot;/&gt;&lt;wsp:rsid wsp:val=&quot;00AA7183&quot;/&gt;&lt;wsp:rsid wsp:val=&quot;00AA71BE&quot;/&gt;&lt;wsp:rsid wsp:val=&quot;00AA7419&quot;/&gt;&lt;wsp:rsid wsp:val=&quot;00AA74DC&quot;/&gt;&lt;wsp:rsid wsp:val=&quot;00AA78C2&quot;/&gt;&lt;wsp:rsid wsp:val=&quot;00AB0099&quot;/&gt;&lt;wsp:rsid wsp:val=&quot;00AB01C3&quot;/&gt;&lt;wsp:rsid wsp:val=&quot;00AB02EE&quot;/&gt;&lt;wsp:rsid wsp:val=&quot;00AB0A9F&quot;/&gt;&lt;wsp:rsid wsp:val=&quot;00AB1160&quot;/&gt;&lt;wsp:rsid wsp:val=&quot;00AB1230&quot;/&gt;&lt;wsp:rsid wsp:val=&quot;00AB1887&quot;/&gt;&lt;wsp:rsid wsp:val=&quot;00AB1A6C&quot;/&gt;&lt;wsp:rsid wsp:val=&quot;00AB1CCD&quot;/&gt;&lt;wsp:rsid wsp:val=&quot;00AB1D1A&quot;/&gt;&lt;wsp:rsid wsp:val=&quot;00AB21EC&quot;/&gt;&lt;wsp:rsid wsp:val=&quot;00AB262A&quot;/&gt;&lt;wsp:rsid wsp:val=&quot;00AB26FB&quot;/&gt;&lt;wsp:rsid wsp:val=&quot;00AB2AE1&quot;/&gt;&lt;wsp:rsid wsp:val=&quot;00AB2B18&quot;/&gt;&lt;wsp:rsid wsp:val=&quot;00AB2E4F&quot;/&gt;&lt;wsp:rsid wsp:val=&quot;00AB338D&quot;/&gt;&lt;wsp:rsid wsp:val=&quot;00AB34B1&quot;/&gt;&lt;wsp:rsid wsp:val=&quot;00AB36E6&quot;/&gt;&lt;wsp:rsid wsp:val=&quot;00AB3C29&quot;/&gt;&lt;wsp:rsid wsp:val=&quot;00AB40C2&quot;/&gt;&lt;wsp:rsid wsp:val=&quot;00AB479B&quot;/&gt;&lt;wsp:rsid wsp:val=&quot;00AB4984&quot;/&gt;&lt;wsp:rsid wsp:val=&quot;00AB516F&quot;/&gt;&lt;wsp:rsid wsp:val=&quot;00AB5232&quot;/&gt;&lt;wsp:rsid wsp:val=&quot;00AB562B&quot;/&gt;&lt;wsp:rsid wsp:val=&quot;00AB57D3&quot;/&gt;&lt;wsp:rsid wsp:val=&quot;00AB59B1&quot;/&gt;&lt;wsp:rsid wsp:val=&quot;00AB59D5&quot;/&gt;&lt;wsp:rsid wsp:val=&quot;00AB5B58&quot;/&gt;&lt;wsp:rsid wsp:val=&quot;00AB5E0E&quot;/&gt;&lt;wsp:rsid wsp:val=&quot;00AB6303&quot;/&gt;&lt;wsp:rsid wsp:val=&quot;00AB6397&quot;/&gt;&lt;wsp:rsid wsp:val=&quot;00AB654D&quot;/&gt;&lt;wsp:rsid wsp:val=&quot;00AB6A8F&quot;/&gt;&lt;wsp:rsid wsp:val=&quot;00AB7383&quot;/&gt;&lt;wsp:rsid wsp:val=&quot;00AB74E4&quot;/&gt;&lt;wsp:rsid wsp:val=&quot;00AB7B86&quot;/&gt;&lt;wsp:rsid wsp:val=&quot;00AC09CD&quot;/&gt;&lt;wsp:rsid wsp:val=&quot;00AC0EBB&quot;/&gt;&lt;wsp:rsid wsp:val=&quot;00AC1793&quot;/&gt;&lt;wsp:rsid wsp:val=&quot;00AC216B&quot;/&gt;&lt;wsp:rsid wsp:val=&quot;00AC2616&quot;/&gt;&lt;wsp:rsid wsp:val=&quot;00AC2ADD&quot;/&gt;&lt;wsp:rsid wsp:val=&quot;00AC2FFF&quot;/&gt;&lt;wsp:rsid wsp:val=&quot;00AC30C4&quot;/&gt;&lt;wsp:rsid wsp:val=&quot;00AC3439&quot;/&gt;&lt;wsp:rsid wsp:val=&quot;00AC3532&quot;/&gt;&lt;wsp:rsid wsp:val=&quot;00AC3555&quot;/&gt;&lt;wsp:rsid wsp:val=&quot;00AC36EE&quot;/&gt;&lt;wsp:rsid wsp:val=&quot;00AC3E5E&quot;/&gt;&lt;wsp:rsid wsp:val=&quot;00AC4C55&quot;/&gt;&lt;wsp:rsid wsp:val=&quot;00AC52D5&quot;/&gt;&lt;wsp:rsid wsp:val=&quot;00AC53A6&quot;/&gt;&lt;wsp:rsid wsp:val=&quot;00AC5EC3&quot;/&gt;&lt;wsp:rsid wsp:val=&quot;00AC6393&quot;/&gt;&lt;wsp:rsid wsp:val=&quot;00AC6826&quot;/&gt;&lt;wsp:rsid wsp:val=&quot;00AC7003&quot;/&gt;&lt;wsp:rsid wsp:val=&quot;00AC7338&quot;/&gt;&lt;wsp:rsid wsp:val=&quot;00AC760B&quot;/&gt;&lt;wsp:rsid wsp:val=&quot;00AC777A&quot;/&gt;&lt;wsp:rsid wsp:val=&quot;00AC7A6E&quot;/&gt;&lt;wsp:rsid wsp:val=&quot;00AC7B86&quot;/&gt;&lt;wsp:rsid wsp:val=&quot;00AC7BED&quot;/&gt;&lt;wsp:rsid wsp:val=&quot;00AC7ECF&quot;/&gt;&lt;wsp:rsid wsp:val=&quot;00AC7EDC&quot;/&gt;&lt;wsp:rsid wsp:val=&quot;00AD1187&quot;/&gt;&lt;wsp:rsid wsp:val=&quot;00AD1444&quot;/&gt;&lt;wsp:rsid wsp:val=&quot;00AD1649&quot;/&gt;&lt;wsp:rsid wsp:val=&quot;00AD1CB1&quot;/&gt;&lt;wsp:rsid wsp:val=&quot;00AD2036&quot;/&gt;&lt;wsp:rsid wsp:val=&quot;00AD2D3E&quot;/&gt;&lt;wsp:rsid wsp:val=&quot;00AD37C3&quot;/&gt;&lt;wsp:rsid wsp:val=&quot;00AD37E5&quot;/&gt;&lt;wsp:rsid wsp:val=&quot;00AD3907&quot;/&gt;&lt;wsp:rsid wsp:val=&quot;00AD3B5D&quot;/&gt;&lt;wsp:rsid wsp:val=&quot;00AD413C&quot;/&gt;&lt;wsp:rsid wsp:val=&quot;00AD43BE&quot;/&gt;&lt;wsp:rsid wsp:val=&quot;00AD4C66&quot;/&gt;&lt;wsp:rsid wsp:val=&quot;00AD5124&quot;/&gt;&lt;wsp:rsid wsp:val=&quot;00AD5733&quot;/&gt;&lt;wsp:rsid wsp:val=&quot;00AD5E3A&quot;/&gt;&lt;wsp:rsid wsp:val=&quot;00AD629A&quot;/&gt;&lt;wsp:rsid wsp:val=&quot;00AD63AF&quot;/&gt;&lt;wsp:rsid wsp:val=&quot;00AD65EB&quot;/&gt;&lt;wsp:rsid wsp:val=&quot;00AD69C8&quot;/&gt;&lt;wsp:rsid wsp:val=&quot;00AD6A27&quot;/&gt;&lt;wsp:rsid wsp:val=&quot;00AD6A67&quot;/&gt;&lt;wsp:rsid wsp:val=&quot;00AD6BF4&quot;/&gt;&lt;wsp:rsid wsp:val=&quot;00AD6F05&quot;/&gt;&lt;wsp:rsid wsp:val=&quot;00AD703B&quot;/&gt;&lt;wsp:rsid wsp:val=&quot;00AD742B&quot;/&gt;&lt;wsp:rsid wsp:val=&quot;00AE02EA&quot;/&gt;&lt;wsp:rsid wsp:val=&quot;00AE03ED&quot;/&gt;&lt;wsp:rsid wsp:val=&quot;00AE05B9&quot;/&gt;&lt;wsp:rsid wsp:val=&quot;00AE066C&quot;/&gt;&lt;wsp:rsid wsp:val=&quot;00AE0694&quot;/&gt;&lt;wsp:rsid wsp:val=&quot;00AE0B18&quot;/&gt;&lt;wsp:rsid wsp:val=&quot;00AE0CD2&quot;/&gt;&lt;wsp:rsid wsp:val=&quot;00AE0D7C&quot;/&gt;&lt;wsp:rsid wsp:val=&quot;00AE0E1E&quot;/&gt;&lt;wsp:rsid wsp:val=&quot;00AE0F0D&quot;/&gt;&lt;wsp:rsid wsp:val=&quot;00AE13CF&quot;/&gt;&lt;wsp:rsid wsp:val=&quot;00AE1B37&quot;/&gt;&lt;wsp:rsid wsp:val=&quot;00AE1B95&quot;/&gt;&lt;wsp:rsid wsp:val=&quot;00AE1DF6&quot;/&gt;&lt;wsp:rsid wsp:val=&quot;00AE2230&quot;/&gt;&lt;wsp:rsid wsp:val=&quot;00AE25F7&quot;/&gt;&lt;wsp:rsid wsp:val=&quot;00AE2BDD&quot;/&gt;&lt;wsp:rsid wsp:val=&quot;00AE3029&quot;/&gt;&lt;wsp:rsid wsp:val=&quot;00AE3B25&quot;/&gt;&lt;wsp:rsid wsp:val=&quot;00AE3F62&quot;/&gt;&lt;wsp:rsid wsp:val=&quot;00AE45F5&quot;/&gt;&lt;wsp:rsid wsp:val=&quot;00AE486E&quot;/&gt;&lt;wsp:rsid wsp:val=&quot;00AE4D2C&quot;/&gt;&lt;wsp:rsid wsp:val=&quot;00AE4DE1&quot;/&gt;&lt;wsp:rsid wsp:val=&quot;00AE4E9C&quot;/&gt;&lt;wsp:rsid wsp:val=&quot;00AE55B6&quot;/&gt;&lt;wsp:rsid wsp:val=&quot;00AE573D&quot;/&gt;&lt;wsp:rsid wsp:val=&quot;00AE5A74&quot;/&gt;&lt;wsp:rsid wsp:val=&quot;00AE63AB&quot;/&gt;&lt;wsp:rsid wsp:val=&quot;00AE67B2&quot;/&gt;&lt;wsp:rsid wsp:val=&quot;00AE6E93&quot;/&gt;&lt;wsp:rsid wsp:val=&quot;00AE6ED9&quot;/&gt;&lt;wsp:rsid wsp:val=&quot;00AE701C&quot;/&gt;&lt;wsp:rsid wsp:val=&quot;00AE7058&quot;/&gt;&lt;wsp:rsid wsp:val=&quot;00AE72AD&quot;/&gt;&lt;wsp:rsid wsp:val=&quot;00AE76D3&quot;/&gt;&lt;wsp:rsid wsp:val=&quot;00AE7956&quot;/&gt;&lt;wsp:rsid wsp:val=&quot;00AE7D12&quot;/&gt;&lt;wsp:rsid wsp:val=&quot;00AE7D18&quot;/&gt;&lt;wsp:rsid wsp:val=&quot;00AF001B&quot;/&gt;&lt;wsp:rsid wsp:val=&quot;00AF02B5&quot;/&gt;&lt;wsp:rsid wsp:val=&quot;00AF0EF9&quot;/&gt;&lt;wsp:rsid wsp:val=&quot;00AF126E&quot;/&gt;&lt;wsp:rsid wsp:val=&quot;00AF13DF&quot;/&gt;&lt;wsp:rsid wsp:val=&quot;00AF16DF&quot;/&gt;&lt;wsp:rsid wsp:val=&quot;00AF17B4&quot;/&gt;&lt;wsp:rsid wsp:val=&quot;00AF1808&quot;/&gt;&lt;wsp:rsid wsp:val=&quot;00AF1943&quot;/&gt;&lt;wsp:rsid wsp:val=&quot;00AF1A22&quot;/&gt;&lt;wsp:rsid wsp:val=&quot;00AF1D4B&quot;/&gt;&lt;wsp:rsid wsp:val=&quot;00AF1FD7&quot;/&gt;&lt;wsp:rsid wsp:val=&quot;00AF2B79&quot;/&gt;&lt;wsp:rsid wsp:val=&quot;00AF2C03&quot;/&gt;&lt;wsp:rsid wsp:val=&quot;00AF2DCA&quot;/&gt;&lt;wsp:rsid wsp:val=&quot;00AF2E66&quot;/&gt;&lt;wsp:rsid wsp:val=&quot;00AF2EE2&quot;/&gt;&lt;wsp:rsid wsp:val=&quot;00AF2FAB&quot;/&gt;&lt;wsp:rsid wsp:val=&quot;00AF3174&quot;/&gt;&lt;wsp:rsid wsp:val=&quot;00AF3D3B&quot;/&gt;&lt;wsp:rsid wsp:val=&quot;00AF3DC5&quot;/&gt;&lt;wsp:rsid wsp:val=&quot;00AF40BC&quot;/&gt;&lt;wsp:rsid wsp:val=&quot;00AF432E&quot;/&gt;&lt;wsp:rsid wsp:val=&quot;00AF44D8&quot;/&gt;&lt;wsp:rsid wsp:val=&quot;00AF454B&quot;/&gt;&lt;wsp:rsid wsp:val=&quot;00AF4737&quot;/&gt;&lt;wsp:rsid wsp:val=&quot;00AF5592&quot;/&gt;&lt;wsp:rsid wsp:val=&quot;00AF563B&quot;/&gt;&lt;wsp:rsid wsp:val=&quot;00AF5CD8&quot;/&gt;&lt;wsp:rsid wsp:val=&quot;00AF5DD6&quot;/&gt;&lt;wsp:rsid wsp:val=&quot;00AF61F2&quot;/&gt;&lt;wsp:rsid wsp:val=&quot;00AF62E6&quot;/&gt;&lt;wsp:rsid wsp:val=&quot;00AF640E&quot;/&gt;&lt;wsp:rsid wsp:val=&quot;00AF67F3&quot;/&gt;&lt;wsp:rsid wsp:val=&quot;00AF7112&quot;/&gt;&lt;wsp:rsid wsp:val=&quot;00AF7214&quot;/&gt;&lt;wsp:rsid wsp:val=&quot;00AF75A5&quot;/&gt;&lt;wsp:rsid wsp:val=&quot;00AF75E6&quot;/&gt;&lt;wsp:rsid wsp:val=&quot;00B00C5A&quot;/&gt;&lt;wsp:rsid wsp:val=&quot;00B01449&quot;/&gt;&lt;wsp:rsid wsp:val=&quot;00B014C2&quot;/&gt;&lt;wsp:rsid wsp:val=&quot;00B0174B&quot;/&gt;&lt;wsp:rsid wsp:val=&quot;00B01797&quot;/&gt;&lt;wsp:rsid wsp:val=&quot;00B02194&quot;/&gt;&lt;wsp:rsid wsp:val=&quot;00B0222D&quot;/&gt;&lt;wsp:rsid wsp:val=&quot;00B022BB&quot;/&gt;&lt;wsp:rsid wsp:val=&quot;00B02AA0&quot;/&gt;&lt;wsp:rsid wsp:val=&quot;00B03173&quot;/&gt;&lt;wsp:rsid wsp:val=&quot;00B035A5&quot;/&gt;&lt;wsp:rsid wsp:val=&quot;00B03A7E&quot;/&gt;&lt;wsp:rsid wsp:val=&quot;00B0429D&quot;/&gt;&lt;wsp:rsid wsp:val=&quot;00B0459E&quot;/&gt;&lt;wsp:rsid wsp:val=&quot;00B04624&quot;/&gt;&lt;wsp:rsid wsp:val=&quot;00B049CD&quot;/&gt;&lt;wsp:rsid wsp:val=&quot;00B053C8&quot;/&gt;&lt;wsp:rsid wsp:val=&quot;00B059B5&quot;/&gt;&lt;wsp:rsid wsp:val=&quot;00B05ACA&quot;/&gt;&lt;wsp:rsid wsp:val=&quot;00B05C3C&quot;/&gt;&lt;wsp:rsid wsp:val=&quot;00B0661A&quot;/&gt;&lt;wsp:rsid wsp:val=&quot;00B06A4C&quot;/&gt;&lt;wsp:rsid wsp:val=&quot;00B1025B&quot;/&gt;&lt;wsp:rsid wsp:val=&quot;00B10746&quot;/&gt;&lt;wsp:rsid wsp:val=&quot;00B10D53&quot;/&gt;&lt;wsp:rsid wsp:val=&quot;00B10EDA&quot;/&gt;&lt;wsp:rsid wsp:val=&quot;00B10FDE&quot;/&gt;&lt;wsp:rsid wsp:val=&quot;00B111EC&quot;/&gt;&lt;wsp:rsid wsp:val=&quot;00B118E4&quot;/&gt;&lt;wsp:rsid wsp:val=&quot;00B11BDA&quot;/&gt;&lt;wsp:rsid wsp:val=&quot;00B11D0E&quot;/&gt;&lt;wsp:rsid wsp:val=&quot;00B11DEA&quot;/&gt;&lt;wsp:rsid wsp:val=&quot;00B12042&quot;/&gt;&lt;wsp:rsid wsp:val=&quot;00B123BB&quot;/&gt;&lt;wsp:rsid wsp:val=&quot;00B12582&quot;/&gt;&lt;wsp:rsid wsp:val=&quot;00B12A30&quot;/&gt;&lt;wsp:rsid wsp:val=&quot;00B12C5B&quot;/&gt;&lt;wsp:rsid wsp:val=&quot;00B1301A&quot;/&gt;&lt;wsp:rsid wsp:val=&quot;00B13388&quot;/&gt;&lt;wsp:rsid wsp:val=&quot;00B13590&quot;/&gt;&lt;wsp:rsid wsp:val=&quot;00B135CB&quot;/&gt;&lt;wsp:rsid wsp:val=&quot;00B13F5C&quot;/&gt;&lt;wsp:rsid wsp:val=&quot;00B14295&quot;/&gt;&lt;wsp:rsid wsp:val=&quot;00B14642&quot;/&gt;&lt;wsp:rsid wsp:val=&quot;00B14840&quot;/&gt;&lt;wsp:rsid wsp:val=&quot;00B1487A&quot;/&gt;&lt;wsp:rsid wsp:val=&quot;00B14FAB&quot;/&gt;&lt;wsp:rsid wsp:val=&quot;00B152C6&quot;/&gt;&lt;wsp:rsid wsp:val=&quot;00B15386&quot;/&gt;&lt;wsp:rsid wsp:val=&quot;00B1545F&quot;/&gt;&lt;wsp:rsid wsp:val=&quot;00B158E6&quot;/&gt;&lt;wsp:rsid wsp:val=&quot;00B15AF3&quot;/&gt;&lt;wsp:rsid wsp:val=&quot;00B15C51&quot;/&gt;&lt;wsp:rsid wsp:val=&quot;00B16483&quot;/&gt;&lt;wsp:rsid wsp:val=&quot;00B16B63&quot;/&gt;&lt;wsp:rsid wsp:val=&quot;00B16EDD&quot;/&gt;&lt;wsp:rsid wsp:val=&quot;00B17244&quot;/&gt;&lt;wsp:rsid wsp:val=&quot;00B1765C&quot;/&gt;&lt;wsp:rsid wsp:val=&quot;00B176E7&quot;/&gt;&lt;wsp:rsid wsp:val=&quot;00B1784A&quot;/&gt;&lt;wsp:rsid wsp:val=&quot;00B17920&quot;/&gt;&lt;wsp:rsid wsp:val=&quot;00B17A6B&quot;/&gt;&lt;wsp:rsid wsp:val=&quot;00B17ACB&quot;/&gt;&lt;wsp:rsid wsp:val=&quot;00B2015F&quot;/&gt;&lt;wsp:rsid wsp:val=&quot;00B20FD8&quot;/&gt;&lt;wsp:rsid wsp:val=&quot;00B21567&quot;/&gt;&lt;wsp:rsid wsp:val=&quot;00B216AA&quot;/&gt;&lt;wsp:rsid wsp:val=&quot;00B2173D&quot;/&gt;&lt;wsp:rsid wsp:val=&quot;00B2178D&quot;/&gt;&lt;wsp:rsid wsp:val=&quot;00B21811&quot;/&gt;&lt;wsp:rsid wsp:val=&quot;00B2205A&quot;/&gt;&lt;wsp:rsid wsp:val=&quot;00B22165&quot;/&gt;&lt;wsp:rsid wsp:val=&quot;00B22791&quot;/&gt;&lt;wsp:rsid wsp:val=&quot;00B234D0&quot;/&gt;&lt;wsp:rsid wsp:val=&quot;00B23FC7&quot;/&gt;&lt;wsp:rsid wsp:val=&quot;00B243AF&quot;/&gt;&lt;wsp:rsid wsp:val=&quot;00B246B2&quot;/&gt;&lt;wsp:rsid wsp:val=&quot;00B246B3&quot;/&gt;&lt;wsp:rsid wsp:val=&quot;00B2470D&quot;/&gt;&lt;wsp:rsid wsp:val=&quot;00B247F7&quot;/&gt;&lt;wsp:rsid wsp:val=&quot;00B24BF6&quot;/&gt;&lt;wsp:rsid wsp:val=&quot;00B24D79&quot;/&gt;&lt;wsp:rsid wsp:val=&quot;00B24E8C&quot;/&gt;&lt;wsp:rsid wsp:val=&quot;00B25106&quot;/&gt;&lt;wsp:rsid wsp:val=&quot;00B254B4&quot;/&gt;&lt;wsp:rsid wsp:val=&quot;00B25617&quot;/&gt;&lt;wsp:rsid wsp:val=&quot;00B25802&quot;/&gt;&lt;wsp:rsid wsp:val=&quot;00B25CE5&quot;/&gt;&lt;wsp:rsid wsp:val=&quot;00B2664D&quot;/&gt;&lt;wsp:rsid wsp:val=&quot;00B2687D&quot;/&gt;&lt;wsp:rsid wsp:val=&quot;00B26C10&quot;/&gt;&lt;wsp:rsid wsp:val=&quot;00B27ABE&quot;/&gt;&lt;wsp:rsid wsp:val=&quot;00B30028&quot;/&gt;&lt;wsp:rsid wsp:val=&quot;00B30D1A&quot;/&gt;&lt;wsp:rsid wsp:val=&quot;00B311A1&quot;/&gt;&lt;wsp:rsid wsp:val=&quot;00B313ED&quot;/&gt;&lt;wsp:rsid wsp:val=&quot;00B314AA&quot;/&gt;&lt;wsp:rsid wsp:val=&quot;00B314B7&quot;/&gt;&lt;wsp:rsid wsp:val=&quot;00B316D8&quot;/&gt;&lt;wsp:rsid wsp:val=&quot;00B31AC9&quot;/&gt;&lt;wsp:rsid wsp:val=&quot;00B3239C&quot;/&gt;&lt;wsp:rsid wsp:val=&quot;00B32CB6&quot;/&gt;&lt;wsp:rsid wsp:val=&quot;00B33123&quot;/&gt;&lt;wsp:rsid wsp:val=&quot;00B33A29&quot;/&gt;&lt;wsp:rsid wsp:val=&quot;00B33A95&quot;/&gt;&lt;wsp:rsid wsp:val=&quot;00B33DB2&quot;/&gt;&lt;wsp:rsid wsp:val=&quot;00B34A49&quot;/&gt;&lt;wsp:rsid wsp:val=&quot;00B35463&quot;/&gt;&lt;wsp:rsid wsp:val=&quot;00B36272&quot;/&gt;&lt;wsp:rsid wsp:val=&quot;00B3630E&quot;/&gt;&lt;wsp:rsid wsp:val=&quot;00B36417&quot;/&gt;&lt;wsp:rsid wsp:val=&quot;00B3646A&quot;/&gt;&lt;wsp:rsid wsp:val=&quot;00B368B0&quot;/&gt;&lt;wsp:rsid wsp:val=&quot;00B36D39&quot;/&gt;&lt;wsp:rsid wsp:val=&quot;00B36E6A&quot;/&gt;&lt;wsp:rsid wsp:val=&quot;00B37236&quot;/&gt;&lt;wsp:rsid wsp:val=&quot;00B37666&quot;/&gt;&lt;wsp:rsid wsp:val=&quot;00B376E5&quot;/&gt;&lt;wsp:rsid wsp:val=&quot;00B37C1D&quot;/&gt;&lt;wsp:rsid wsp:val=&quot;00B37C54&quot;/&gt;&lt;wsp:rsid wsp:val=&quot;00B403F5&quot;/&gt;&lt;wsp:rsid wsp:val=&quot;00B404D8&quot;/&gt;&lt;wsp:rsid wsp:val=&quot;00B405E6&quot;/&gt;&lt;wsp:rsid wsp:val=&quot;00B40EF2&quot;/&gt;&lt;wsp:rsid wsp:val=&quot;00B415F8&quot;/&gt;&lt;wsp:rsid wsp:val=&quot;00B41948&quot;/&gt;&lt;wsp:rsid wsp:val=&quot;00B4310A&quot;/&gt;&lt;wsp:rsid wsp:val=&quot;00B438B2&quot;/&gt;&lt;wsp:rsid wsp:val=&quot;00B4434B&quot;/&gt;&lt;wsp:rsid wsp:val=&quot;00B4450E&quot;/&gt;&lt;wsp:rsid wsp:val=&quot;00B45869&quot;/&gt;&lt;wsp:rsid wsp:val=&quot;00B45C37&quot;/&gt;&lt;wsp:rsid wsp:val=&quot;00B45D15&quot;/&gt;&lt;wsp:rsid wsp:val=&quot;00B45D44&quot;/&gt;&lt;wsp:rsid wsp:val=&quot;00B4676F&quot;/&gt;&lt;wsp:rsid wsp:val=&quot;00B46C94&quot;/&gt;&lt;wsp:rsid wsp:val=&quot;00B4701E&quot;/&gt;&lt;wsp:rsid wsp:val=&quot;00B47113&quot;/&gt;&lt;wsp:rsid wsp:val=&quot;00B475CC&quot;/&gt;&lt;wsp:rsid wsp:val=&quot;00B476DA&quot;/&gt;&lt;wsp:rsid wsp:val=&quot;00B47835&quot;/&gt;&lt;wsp:rsid wsp:val=&quot;00B502E2&quot;/&gt;&lt;wsp:rsid wsp:val=&quot;00B50515&quot;/&gt;&lt;wsp:rsid wsp:val=&quot;00B50B7E&quot;/&gt;&lt;wsp:rsid wsp:val=&quot;00B50FB7&quot;/&gt;&lt;wsp:rsid wsp:val=&quot;00B5162D&quot;/&gt;&lt;wsp:rsid wsp:val=&quot;00B519BF&quot;/&gt;&lt;wsp:rsid wsp:val=&quot;00B51B3E&quot;/&gt;&lt;wsp:rsid wsp:val=&quot;00B527E4&quot;/&gt;&lt;wsp:rsid wsp:val=&quot;00B52AA7&quot;/&gt;&lt;wsp:rsid wsp:val=&quot;00B53127&quot;/&gt;&lt;wsp:rsid wsp:val=&quot;00B533AD&quot;/&gt;&lt;wsp:rsid wsp:val=&quot;00B5345B&quot;/&gt;&lt;wsp:rsid wsp:val=&quot;00B53610&quot;/&gt;&lt;wsp:rsid wsp:val=&quot;00B53917&quot;/&gt;&lt;wsp:rsid wsp:val=&quot;00B53A9D&quot;/&gt;&lt;wsp:rsid wsp:val=&quot;00B53E4B&quot;/&gt;&lt;wsp:rsid wsp:val=&quot;00B54888&quot;/&gt;&lt;wsp:rsid wsp:val=&quot;00B54CA4&quot;/&gt;&lt;wsp:rsid wsp:val=&quot;00B54E01&quot;/&gt;&lt;wsp:rsid wsp:val=&quot;00B55C26&quot;/&gt;&lt;wsp:rsid wsp:val=&quot;00B55E05&quot;/&gt;&lt;wsp:rsid wsp:val=&quot;00B560A0&quot;/&gt;&lt;wsp:rsid wsp:val=&quot;00B56257&quot;/&gt;&lt;wsp:rsid wsp:val=&quot;00B568F7&quot;/&gt;&lt;wsp:rsid wsp:val=&quot;00B56A8D&quot;/&gt;&lt;wsp:rsid wsp:val=&quot;00B60550&quot;/&gt;&lt;wsp:rsid wsp:val=&quot;00B60CBC&quot;/&gt;&lt;wsp:rsid wsp:val=&quot;00B60D69&quot;/&gt;&lt;wsp:rsid wsp:val=&quot;00B61E6B&quot;/&gt;&lt;wsp:rsid wsp:val=&quot;00B62B9E&quot;/&gt;&lt;wsp:rsid wsp:val=&quot;00B62CB8&quot;/&gt;&lt;wsp:rsid wsp:val=&quot;00B62FC1&quot;/&gt;&lt;wsp:rsid wsp:val=&quot;00B63250&quot;/&gt;&lt;wsp:rsid wsp:val=&quot;00B632B0&quot;/&gt;&lt;wsp:rsid wsp:val=&quot;00B633B5&quot;/&gt;&lt;wsp:rsid wsp:val=&quot;00B644BA&quot;/&gt;&lt;wsp:rsid wsp:val=&quot;00B64699&quot;/&gt;&lt;wsp:rsid wsp:val=&quot;00B64AD0&quot;/&gt;&lt;wsp:rsid wsp:val=&quot;00B654DB&quot;/&gt;&lt;wsp:rsid wsp:val=&quot;00B6567C&quot;/&gt;&lt;wsp:rsid wsp:val=&quot;00B6595A&quot;/&gt;&lt;wsp:rsid wsp:val=&quot;00B65983&quot;/&gt;&lt;wsp:rsid wsp:val=&quot;00B66027&quot;/&gt;&lt;wsp:rsid wsp:val=&quot;00B661B7&quot;/&gt;&lt;wsp:rsid wsp:val=&quot;00B665DB&quot;/&gt;&lt;wsp:rsid wsp:val=&quot;00B66A00&quot;/&gt;&lt;wsp:rsid wsp:val=&quot;00B66B45&quot;/&gt;&lt;wsp:rsid wsp:val=&quot;00B66D57&quot;/&gt;&lt;wsp:rsid wsp:val=&quot;00B66F33&quot;/&gt;&lt;wsp:rsid wsp:val=&quot;00B66F50&quot;/&gt;&lt;wsp:rsid wsp:val=&quot;00B674BE&quot;/&gt;&lt;wsp:rsid wsp:val=&quot;00B67934&quot;/&gt;&lt;wsp:rsid wsp:val=&quot;00B67A3C&quot;/&gt;&lt;wsp:rsid wsp:val=&quot;00B67B36&quot;/&gt;&lt;wsp:rsid wsp:val=&quot;00B67BB4&quot;/&gt;&lt;wsp:rsid wsp:val=&quot;00B67CCB&quot;/&gt;&lt;wsp:rsid wsp:val=&quot;00B67E7D&quot;/&gt;&lt;wsp:rsid wsp:val=&quot;00B7047A&quot;/&gt;&lt;wsp:rsid wsp:val=&quot;00B704D6&quot;/&gt;&lt;wsp:rsid wsp:val=&quot;00B70663&quot;/&gt;&lt;wsp:rsid wsp:val=&quot;00B70D8C&quot;/&gt;&lt;wsp:rsid wsp:val=&quot;00B714B7&quot;/&gt;&lt;wsp:rsid wsp:val=&quot;00B7165C&quot;/&gt;&lt;wsp:rsid wsp:val=&quot;00B71A7C&quot;/&gt;&lt;wsp:rsid wsp:val=&quot;00B71F20&quot;/&gt;&lt;wsp:rsid wsp:val=&quot;00B720F9&quot;/&gt;&lt;wsp:rsid wsp:val=&quot;00B72178&quot;/&gt;&lt;wsp:rsid wsp:val=&quot;00B72312&quot;/&gt;&lt;wsp:rsid wsp:val=&quot;00B72CE1&quot;/&gt;&lt;wsp:rsid wsp:val=&quot;00B72CE4&quot;/&gt;&lt;wsp:rsid wsp:val=&quot;00B72D49&quot;/&gt;&lt;wsp:rsid wsp:val=&quot;00B72D52&quot;/&gt;&lt;wsp:rsid wsp:val=&quot;00B73A2F&quot;/&gt;&lt;wsp:rsid wsp:val=&quot;00B73B0E&quot;/&gt;&lt;wsp:rsid wsp:val=&quot;00B740D6&quot;/&gt;&lt;wsp:rsid wsp:val=&quot;00B7428F&quot;/&gt;&lt;wsp:rsid wsp:val=&quot;00B74315&quot;/&gt;&lt;wsp:rsid wsp:val=&quot;00B743C9&quot;/&gt;&lt;wsp:rsid wsp:val=&quot;00B7478E&quot;/&gt;&lt;wsp:rsid wsp:val=&quot;00B74807&quot;/&gt;&lt;wsp:rsid wsp:val=&quot;00B74C28&quot;/&gt;&lt;wsp:rsid wsp:val=&quot;00B74C7E&quot;/&gt;&lt;wsp:rsid wsp:val=&quot;00B7513C&quot;/&gt;&lt;wsp:rsid wsp:val=&quot;00B75664&quot;/&gt;&lt;wsp:rsid wsp:val=&quot;00B75722&quot;/&gt;&lt;wsp:rsid wsp:val=&quot;00B75A57&quot;/&gt;&lt;wsp:rsid wsp:val=&quot;00B75B8C&quot;/&gt;&lt;wsp:rsid wsp:val=&quot;00B75F8C&quot;/&gt;&lt;wsp:rsid wsp:val=&quot;00B76073&quot;/&gt;&lt;wsp:rsid wsp:val=&quot;00B765A0&quot;/&gt;&lt;wsp:rsid wsp:val=&quot;00B76808&quot;/&gt;&lt;wsp:rsid wsp:val=&quot;00B76896&quot;/&gt;&lt;wsp:rsid wsp:val=&quot;00B76A0E&quot;/&gt;&lt;wsp:rsid wsp:val=&quot;00B76AD2&quot;/&gt;&lt;wsp:rsid wsp:val=&quot;00B76AFC&quot;/&gt;&lt;wsp:rsid wsp:val=&quot;00B76B23&quot;/&gt;&lt;wsp:rsid wsp:val=&quot;00B76B39&quot;/&gt;&lt;wsp:rsid wsp:val=&quot;00B76E1A&quot;/&gt;&lt;wsp:rsid wsp:val=&quot;00B771F7&quot;/&gt;&lt;wsp:rsid wsp:val=&quot;00B774C9&quot;/&gt;&lt;wsp:rsid wsp:val=&quot;00B775DA&quot;/&gt;&lt;wsp:rsid wsp:val=&quot;00B77690&quot;/&gt;&lt;wsp:rsid wsp:val=&quot;00B777DD&quot;/&gt;&lt;wsp:rsid wsp:val=&quot;00B77C38&quot;/&gt;&lt;wsp:rsid wsp:val=&quot;00B77D87&quot;/&gt;&lt;wsp:rsid wsp:val=&quot;00B8000A&quot;/&gt;&lt;wsp:rsid wsp:val=&quot;00B80593&quot;/&gt;&lt;wsp:rsid wsp:val=&quot;00B809AB&quot;/&gt;&lt;wsp:rsid wsp:val=&quot;00B80DC7&quot;/&gt;&lt;wsp:rsid wsp:val=&quot;00B8103A&quot;/&gt;&lt;wsp:rsid wsp:val=&quot;00B81139&quot;/&gt;&lt;wsp:rsid wsp:val=&quot;00B81228&quot;/&gt;&lt;wsp:rsid wsp:val=&quot;00B81296&quot;/&gt;&lt;wsp:rsid wsp:val=&quot;00B812B9&quot;/&gt;&lt;wsp:rsid wsp:val=&quot;00B81B00&quot;/&gt;&lt;wsp:rsid wsp:val=&quot;00B826AE&quot;/&gt;&lt;wsp:rsid wsp:val=&quot;00B83ACE&quot;/&gt;&lt;wsp:rsid wsp:val=&quot;00B83B45&quot;/&gt;&lt;wsp:rsid wsp:val=&quot;00B83CCF&quot;/&gt;&lt;wsp:rsid wsp:val=&quot;00B83D5A&quot;/&gt;&lt;wsp:rsid wsp:val=&quot;00B83D74&quot;/&gt;&lt;wsp:rsid wsp:val=&quot;00B84101&quot;/&gt;&lt;wsp:rsid wsp:val=&quot;00B84460&quot;/&gt;&lt;wsp:rsid wsp:val=&quot;00B85085&quot;/&gt;&lt;wsp:rsid wsp:val=&quot;00B8529C&quot;/&gt;&lt;wsp:rsid wsp:val=&quot;00B8611C&quot;/&gt;&lt;wsp:rsid wsp:val=&quot;00B8673B&quot;/&gt;&lt;wsp:rsid wsp:val=&quot;00B86B94&quot;/&gt;&lt;wsp:rsid wsp:val=&quot;00B8725C&quot;/&gt;&lt;wsp:rsid wsp:val=&quot;00B876D5&quot;/&gt;&lt;wsp:rsid wsp:val=&quot;00B87860&quot;/&gt;&lt;wsp:rsid wsp:val=&quot;00B87EE9&quot;/&gt;&lt;wsp:rsid wsp:val=&quot;00B90E1E&quot;/&gt;&lt;wsp:rsid wsp:val=&quot;00B915B1&quot;/&gt;&lt;wsp:rsid wsp:val=&quot;00B916E9&quot;/&gt;&lt;wsp:rsid wsp:val=&quot;00B91A1D&quot;/&gt;&lt;wsp:rsid wsp:val=&quot;00B91A6F&quot;/&gt;&lt;wsp:rsid wsp:val=&quot;00B91AF1&quot;/&gt;&lt;wsp:rsid wsp:val=&quot;00B91C22&quot;/&gt;&lt;wsp:rsid wsp:val=&quot;00B91EB7&quot;/&gt;&lt;wsp:rsid wsp:val=&quot;00B9234D&quot;/&gt;&lt;wsp:rsid wsp:val=&quot;00B92A9A&quot;/&gt;&lt;wsp:rsid wsp:val=&quot;00B92B5B&quot;/&gt;&lt;wsp:rsid wsp:val=&quot;00B932CC&quot;/&gt;&lt;wsp:rsid wsp:val=&quot;00B934CF&quot;/&gt;&lt;wsp:rsid wsp:val=&quot;00B935CA&quot;/&gt;&lt;wsp:rsid wsp:val=&quot;00B93F4A&quot;/&gt;&lt;wsp:rsid wsp:val=&quot;00B9549B&quot;/&gt;&lt;wsp:rsid wsp:val=&quot;00B95BFB&quot;/&gt;&lt;wsp:rsid wsp:val=&quot;00B95F24&quot;/&gt;&lt;wsp:rsid wsp:val=&quot;00B9645F&quot;/&gt;&lt;wsp:rsid wsp:val=&quot;00B9665D&quot;/&gt;&lt;wsp:rsid wsp:val=&quot;00B96D14&quot;/&gt;&lt;wsp:rsid wsp:val=&quot;00B96E95&quot;/&gt;&lt;wsp:rsid wsp:val=&quot;00B96F34&quot;/&gt;&lt;wsp:rsid wsp:val=&quot;00B96FA9&quot;/&gt;&lt;wsp:rsid wsp:val=&quot;00B97054&quot;/&gt;&lt;wsp:rsid wsp:val=&quot;00B97342&quot;/&gt;&lt;wsp:rsid wsp:val=&quot;00B97F22&quot;/&gt;&lt;wsp:rsid wsp:val=&quot;00BA04A1&quot;/&gt;&lt;wsp:rsid wsp:val=&quot;00BA066E&quot;/&gt;&lt;wsp:rsid wsp:val=&quot;00BA18C6&quot;/&gt;&lt;wsp:rsid wsp:val=&quot;00BA1AF7&quot;/&gt;&lt;wsp:rsid wsp:val=&quot;00BA1FC0&quot;/&gt;&lt;wsp:rsid wsp:val=&quot;00BA20BF&quot;/&gt;&lt;wsp:rsid wsp:val=&quot;00BA2174&quot;/&gt;&lt;wsp:rsid wsp:val=&quot;00BA234F&quot;/&gt;&lt;wsp:rsid wsp:val=&quot;00BA2B73&quot;/&gt;&lt;wsp:rsid wsp:val=&quot;00BA2C33&quot;/&gt;&lt;wsp:rsid wsp:val=&quot;00BA2EC9&quot;/&gt;&lt;wsp:rsid wsp:val=&quot;00BA2FAE&quot;/&gt;&lt;wsp:rsid wsp:val=&quot;00BA304C&quot;/&gt;&lt;wsp:rsid wsp:val=&quot;00BA3105&quot;/&gt;&lt;wsp:rsid wsp:val=&quot;00BA3A41&quot;/&gt;&lt;wsp:rsid wsp:val=&quot;00BA3CD8&quot;/&gt;&lt;wsp:rsid wsp:val=&quot;00BA4098&quot;/&gt;&lt;wsp:rsid wsp:val=&quot;00BA476C&quot;/&gt;&lt;wsp:rsid wsp:val=&quot;00BA4D43&quot;/&gt;&lt;wsp:rsid wsp:val=&quot;00BA4E24&quot;/&gt;&lt;wsp:rsid wsp:val=&quot;00BA4F8B&quot;/&gt;&lt;wsp:rsid wsp:val=&quot;00BA5116&quot;/&gt;&lt;wsp:rsid wsp:val=&quot;00BA5155&quot;/&gt;&lt;wsp:rsid wsp:val=&quot;00BA5458&quot;/&gt;&lt;wsp:rsid wsp:val=&quot;00BA56BC&quot;/&gt;&lt;wsp:rsid wsp:val=&quot;00BA5A5D&quot;/&gt;&lt;wsp:rsid wsp:val=&quot;00BA5C5E&quot;/&gt;&lt;wsp:rsid wsp:val=&quot;00BA5D0E&quot;/&gt;&lt;wsp:rsid wsp:val=&quot;00BA603C&quot;/&gt;&lt;wsp:rsid wsp:val=&quot;00BA6350&quot;/&gt;&lt;wsp:rsid wsp:val=&quot;00BA63F7&quot;/&gt;&lt;wsp:rsid wsp:val=&quot;00BA6B89&quot;/&gt;&lt;wsp:rsid wsp:val=&quot;00BA6C47&quot;/&gt;&lt;wsp:rsid wsp:val=&quot;00BA7280&quot;/&gt;&lt;wsp:rsid wsp:val=&quot;00BA796A&quot;/&gt;&lt;wsp:rsid wsp:val=&quot;00BA7C8D&quot;/&gt;&lt;wsp:rsid wsp:val=&quot;00BB03D2&quot;/&gt;&lt;wsp:rsid wsp:val=&quot;00BB080E&quot;/&gt;&lt;wsp:rsid wsp:val=&quot;00BB09B0&quot;/&gt;&lt;wsp:rsid wsp:val=&quot;00BB1216&quot;/&gt;&lt;wsp:rsid wsp:val=&quot;00BB1400&quot;/&gt;&lt;wsp:rsid wsp:val=&quot;00BB14E3&quot;/&gt;&lt;wsp:rsid wsp:val=&quot;00BB162A&quot;/&gt;&lt;wsp:rsid wsp:val=&quot;00BB16B6&quot;/&gt;&lt;wsp:rsid wsp:val=&quot;00BB1923&quot;/&gt;&lt;wsp:rsid wsp:val=&quot;00BB1A20&quot;/&gt;&lt;wsp:rsid wsp:val=&quot;00BB1EDF&quot;/&gt;&lt;wsp:rsid wsp:val=&quot;00BB20CC&quot;/&gt;&lt;wsp:rsid wsp:val=&quot;00BB223B&quot;/&gt;&lt;wsp:rsid wsp:val=&quot;00BB24DC&quot;/&gt;&lt;wsp:rsid wsp:val=&quot;00BB255F&quot;/&gt;&lt;wsp:rsid wsp:val=&quot;00BB2D20&quot;/&gt;&lt;wsp:rsid wsp:val=&quot;00BB2F0E&quot;/&gt;&lt;wsp:rsid wsp:val=&quot;00BB319F&quot;/&gt;&lt;wsp:rsid wsp:val=&quot;00BB37CC&quot;/&gt;&lt;wsp:rsid wsp:val=&quot;00BB41F7&quot;/&gt;&lt;wsp:rsid wsp:val=&quot;00BB43DD&quot;/&gt;&lt;wsp:rsid wsp:val=&quot;00BB4859&quot;/&gt;&lt;wsp:rsid wsp:val=&quot;00BB4AA3&quot;/&gt;&lt;wsp:rsid wsp:val=&quot;00BB4D3A&quot;/&gt;&lt;wsp:rsid wsp:val=&quot;00BB4E42&quot;/&gt;&lt;wsp:rsid wsp:val=&quot;00BB5679&quot;/&gt;&lt;wsp:rsid wsp:val=&quot;00BB6B06&quot;/&gt;&lt;wsp:rsid wsp:val=&quot;00BB6DBF&quot;/&gt;&lt;wsp:rsid wsp:val=&quot;00BB76F3&quot;/&gt;&lt;wsp:rsid wsp:val=&quot;00BB77F1&quot;/&gt;&lt;wsp:rsid wsp:val=&quot;00BB78BF&quot;/&gt;&lt;wsp:rsid wsp:val=&quot;00BC007B&quot;/&gt;&lt;wsp:rsid wsp:val=&quot;00BC0266&quot;/&gt;&lt;wsp:rsid wsp:val=&quot;00BC05B6&quot;/&gt;&lt;wsp:rsid wsp:val=&quot;00BC0B08&quot;/&gt;&lt;wsp:rsid wsp:val=&quot;00BC0E1C&quot;/&gt;&lt;wsp:rsid wsp:val=&quot;00BC0F6D&quot;/&gt;&lt;wsp:rsid wsp:val=&quot;00BC108B&quot;/&gt;&lt;wsp:rsid wsp:val=&quot;00BC1219&quot;/&gt;&lt;wsp:rsid wsp:val=&quot;00BC153B&quot;/&gt;&lt;wsp:rsid wsp:val=&quot;00BC1915&quot;/&gt;&lt;wsp:rsid wsp:val=&quot;00BC1967&quot;/&gt;&lt;wsp:rsid wsp:val=&quot;00BC1D77&quot;/&gt;&lt;wsp:rsid wsp:val=&quot;00BC1DA7&quot;/&gt;&lt;wsp:rsid wsp:val=&quot;00BC2213&quot;/&gt;&lt;wsp:rsid wsp:val=&quot;00BC242A&quot;/&gt;&lt;wsp:rsid wsp:val=&quot;00BC2461&quot;/&gt;&lt;wsp:rsid wsp:val=&quot;00BC2778&quot;/&gt;&lt;wsp:rsid wsp:val=&quot;00BC27F3&quot;/&gt;&lt;wsp:rsid wsp:val=&quot;00BC2AA5&quot;/&gt;&lt;wsp:rsid wsp:val=&quot;00BC2C03&quot;/&gt;&lt;wsp:rsid wsp:val=&quot;00BC2FA2&quot;/&gt;&lt;wsp:rsid wsp:val=&quot;00BC3052&quot;/&gt;&lt;wsp:rsid wsp:val=&quot;00BC3270&quot;/&gt;&lt;wsp:rsid wsp:val=&quot;00BC349B&quot;/&gt;&lt;wsp:rsid wsp:val=&quot;00BC38B9&quot;/&gt;&lt;wsp:rsid wsp:val=&quot;00BC3CE9&quot;/&gt;&lt;wsp:rsid wsp:val=&quot;00BC3D31&quot;/&gt;&lt;wsp:rsid wsp:val=&quot;00BC3D3E&quot;/&gt;&lt;wsp:rsid wsp:val=&quot;00BC3FAC&quot;/&gt;&lt;wsp:rsid wsp:val=&quot;00BC466F&quot;/&gt;&lt;wsp:rsid wsp:val=&quot;00BC467E&quot;/&gt;&lt;wsp:rsid wsp:val=&quot;00BC479C&quot;/&gt;&lt;wsp:rsid wsp:val=&quot;00BC4A75&quot;/&gt;&lt;wsp:rsid wsp:val=&quot;00BC4ADF&quot;/&gt;&lt;wsp:rsid wsp:val=&quot;00BC4B36&quot;/&gt;&lt;wsp:rsid wsp:val=&quot;00BC4B47&quot;/&gt;&lt;wsp:rsid wsp:val=&quot;00BC4BD2&quot;/&gt;&lt;wsp:rsid wsp:val=&quot;00BC4ECE&quot;/&gt;&lt;wsp:rsid wsp:val=&quot;00BC639E&quot;/&gt;&lt;wsp:rsid wsp:val=&quot;00BC6449&quot;/&gt;&lt;wsp:rsid wsp:val=&quot;00BC6710&quot;/&gt;&lt;wsp:rsid wsp:val=&quot;00BC6CA2&quot;/&gt;&lt;wsp:rsid wsp:val=&quot;00BC6E88&quot;/&gt;&lt;wsp:rsid wsp:val=&quot;00BC6F0D&quot;/&gt;&lt;wsp:rsid wsp:val=&quot;00BC727B&quot;/&gt;&lt;wsp:rsid wsp:val=&quot;00BC74CF&quot;/&gt;&lt;wsp:rsid wsp:val=&quot;00BC7B41&quot;/&gt;&lt;wsp:rsid wsp:val=&quot;00BD0015&quot;/&gt;&lt;wsp:rsid wsp:val=&quot;00BD0540&quot;/&gt;&lt;wsp:rsid wsp:val=&quot;00BD0870&quot;/&gt;&lt;wsp:rsid wsp:val=&quot;00BD12A6&quot;/&gt;&lt;wsp:rsid wsp:val=&quot;00BD1A45&quot;/&gt;&lt;wsp:rsid wsp:val=&quot;00BD1D40&quot;/&gt;&lt;wsp:rsid wsp:val=&quot;00BD2076&quot;/&gt;&lt;wsp:rsid wsp:val=&quot;00BD23C8&quot;/&gt;&lt;wsp:rsid wsp:val=&quot;00BD2634&quot;/&gt;&lt;wsp:rsid wsp:val=&quot;00BD3163&quot;/&gt;&lt;wsp:rsid wsp:val=&quot;00BD37A1&quot;/&gt;&lt;wsp:rsid wsp:val=&quot;00BD38B2&quot;/&gt;&lt;wsp:rsid wsp:val=&quot;00BD3AC2&quot;/&gt;&lt;wsp:rsid wsp:val=&quot;00BD3FCB&quot;/&gt;&lt;wsp:rsid wsp:val=&quot;00BD553D&quot;/&gt;&lt;wsp:rsid wsp:val=&quot;00BD5599&quot;/&gt;&lt;wsp:rsid wsp:val=&quot;00BD5629&quot;/&gt;&lt;wsp:rsid wsp:val=&quot;00BD5756&quot;/&gt;&lt;wsp:rsid wsp:val=&quot;00BD59D8&quot;/&gt;&lt;wsp:rsid wsp:val=&quot;00BD5AEB&quot;/&gt;&lt;wsp:rsid wsp:val=&quot;00BD6397&quot;/&gt;&lt;wsp:rsid wsp:val=&quot;00BD64C9&quot;/&gt;&lt;wsp:rsid wsp:val=&quot;00BD65C1&quot;/&gt;&lt;wsp:rsid wsp:val=&quot;00BD70C7&quot;/&gt;&lt;wsp:rsid wsp:val=&quot;00BD7465&quot;/&gt;&lt;wsp:rsid wsp:val=&quot;00BE039F&quot;/&gt;&lt;wsp:rsid wsp:val=&quot;00BE08A6&quot;/&gt;&lt;wsp:rsid wsp:val=&quot;00BE0B35&quot;/&gt;&lt;wsp:rsid wsp:val=&quot;00BE1452&quot;/&gt;&lt;wsp:rsid wsp:val=&quot;00BE18B6&quot;/&gt;&lt;wsp:rsid wsp:val=&quot;00BE1EDD&quot;/&gt;&lt;wsp:rsid wsp:val=&quot;00BE2385&quot;/&gt;&lt;wsp:rsid wsp:val=&quot;00BE24B5&quot;/&gt;&lt;wsp:rsid wsp:val=&quot;00BE2504&quot;/&gt;&lt;wsp:rsid wsp:val=&quot;00BE2820&quot;/&gt;&lt;wsp:rsid wsp:val=&quot;00BE2A67&quot;/&gt;&lt;wsp:rsid wsp:val=&quot;00BE2BCB&quot;/&gt;&lt;wsp:rsid wsp:val=&quot;00BE30D3&quot;/&gt;&lt;wsp:rsid wsp:val=&quot;00BE31F6&quot;/&gt;&lt;wsp:rsid wsp:val=&quot;00BE362D&quot;/&gt;&lt;wsp:rsid wsp:val=&quot;00BE3875&quot;/&gt;&lt;wsp:rsid wsp:val=&quot;00BE3965&quot;/&gt;&lt;wsp:rsid wsp:val=&quot;00BE3B59&quot;/&gt;&lt;wsp:rsid wsp:val=&quot;00BE42CF&quot;/&gt;&lt;wsp:rsid wsp:val=&quot;00BE459F&quot;/&gt;&lt;wsp:rsid wsp:val=&quot;00BE51CB&quot;/&gt;&lt;wsp:rsid wsp:val=&quot;00BE521E&quot;/&gt;&lt;wsp:rsid wsp:val=&quot;00BE64AE&quot;/&gt;&lt;wsp:rsid wsp:val=&quot;00BE66FD&quot;/&gt;&lt;wsp:rsid wsp:val=&quot;00BE6D8D&quot;/&gt;&lt;wsp:rsid wsp:val=&quot;00BE7007&quot;/&gt;&lt;wsp:rsid wsp:val=&quot;00BE722E&quot;/&gt;&lt;wsp:rsid wsp:val=&quot;00BE77C9&quot;/&gt;&lt;wsp:rsid wsp:val=&quot;00BE77DE&quot;/&gt;&lt;wsp:rsid wsp:val=&quot;00BE7C18&quot;/&gt;&lt;wsp:rsid wsp:val=&quot;00BE7D3A&quot;/&gt;&lt;wsp:rsid wsp:val=&quot;00BE7F77&quot;/&gt;&lt;wsp:rsid wsp:val=&quot;00BF04CF&quot;/&gt;&lt;wsp:rsid wsp:val=&quot;00BF058C&quot;/&gt;&lt;wsp:rsid wsp:val=&quot;00BF05CA&quot;/&gt;&lt;wsp:rsid wsp:val=&quot;00BF0783&quot;/&gt;&lt;wsp:rsid wsp:val=&quot;00BF0936&quot;/&gt;&lt;wsp:rsid wsp:val=&quot;00BF0BA1&quot;/&gt;&lt;wsp:rsid wsp:val=&quot;00BF1733&quot;/&gt;&lt;wsp:rsid wsp:val=&quot;00BF1822&quot;/&gt;&lt;wsp:rsid wsp:val=&quot;00BF19D6&quot;/&gt;&lt;wsp:rsid wsp:val=&quot;00BF2711&quot;/&gt;&lt;wsp:rsid wsp:val=&quot;00BF2D6E&quot;/&gt;&lt;wsp:rsid wsp:val=&quot;00BF3091&quot;/&gt;&lt;wsp:rsid wsp:val=&quot;00BF31E9&quot;/&gt;&lt;wsp:rsid wsp:val=&quot;00BF332C&quot;/&gt;&lt;wsp:rsid wsp:val=&quot;00BF3346&quot;/&gt;&lt;wsp:rsid wsp:val=&quot;00BF3441&quot;/&gt;&lt;wsp:rsid wsp:val=&quot;00BF42EC&quot;/&gt;&lt;wsp:rsid wsp:val=&quot;00BF4C4E&quot;/&gt;&lt;wsp:rsid wsp:val=&quot;00BF4D22&quot;/&gt;&lt;wsp:rsid wsp:val=&quot;00BF502F&quot;/&gt;&lt;wsp:rsid wsp:val=&quot;00BF58BC&quot;/&gt;&lt;wsp:rsid wsp:val=&quot;00BF5C29&quot;/&gt;&lt;wsp:rsid wsp:val=&quot;00BF5FE5&quot;/&gt;&lt;wsp:rsid wsp:val=&quot;00BF60DE&quot;/&gt;&lt;wsp:rsid wsp:val=&quot;00BF6167&quot;/&gt;&lt;wsp:rsid wsp:val=&quot;00BF6432&quot;/&gt;&lt;wsp:rsid wsp:val=&quot;00BF6512&quot;/&gt;&lt;wsp:rsid wsp:val=&quot;00BF68F1&quot;/&gt;&lt;wsp:rsid wsp:val=&quot;00BF7681&quot;/&gt;&lt;wsp:rsid wsp:val=&quot;00BF79FE&quot;/&gt;&lt;wsp:rsid wsp:val=&quot;00BF7B02&quot;/&gt;&lt;wsp:rsid wsp:val=&quot;00BF7BEC&quot;/&gt;&lt;wsp:rsid wsp:val=&quot;00BF7CF9&quot;/&gt;&lt;wsp:rsid wsp:val=&quot;00BF7D70&quot;/&gt;&lt;wsp:rsid wsp:val=&quot;00C00022&quot;/&gt;&lt;wsp:rsid wsp:val=&quot;00C00413&quot;/&gt;&lt;wsp:rsid wsp:val=&quot;00C005B5&quot;/&gt;&lt;wsp:rsid wsp:val=&quot;00C0092B&quot;/&gt;&lt;wsp:rsid wsp:val=&quot;00C014E4&quot;/&gt;&lt;wsp:rsid wsp:val=&quot;00C01536&quot;/&gt;&lt;wsp:rsid wsp:val=&quot;00C015C7&quot;/&gt;&lt;wsp:rsid wsp:val=&quot;00C01A2D&quot;/&gt;&lt;wsp:rsid wsp:val=&quot;00C02275&quot;/&gt;&lt;wsp:rsid wsp:val=&quot;00C027BB&quot;/&gt;&lt;wsp:rsid wsp:val=&quot;00C02A1C&quot;/&gt;&lt;wsp:rsid wsp:val=&quot;00C02CF7&quot;/&gt;&lt;wsp:rsid wsp:val=&quot;00C02ECB&quot;/&gt;&lt;wsp:rsid wsp:val=&quot;00C03220&quot;/&gt;&lt;wsp:rsid wsp:val=&quot;00C0403C&quot;/&gt;&lt;wsp:rsid wsp:val=&quot;00C040FB&quot;/&gt;&lt;wsp:rsid wsp:val=&quot;00C047AA&quot;/&gt;&lt;wsp:rsid wsp:val=&quot;00C047AF&quot;/&gt;&lt;wsp:rsid wsp:val=&quot;00C047CD&quot;/&gt;&lt;wsp:rsid wsp:val=&quot;00C04DF7&quot;/&gt;&lt;wsp:rsid wsp:val=&quot;00C05197&quot;/&gt;&lt;wsp:rsid wsp:val=&quot;00C05220&quot;/&gt;&lt;wsp:rsid wsp:val=&quot;00C053DF&quot;/&gt;&lt;wsp:rsid wsp:val=&quot;00C058E5&quot;/&gt;&lt;wsp:rsid wsp:val=&quot;00C05BDF&quot;/&gt;&lt;wsp:rsid wsp:val=&quot;00C05F9A&quot;/&gt;&lt;wsp:rsid wsp:val=&quot;00C06033&quot;/&gt;&lt;wsp:rsid wsp:val=&quot;00C06137&quot;/&gt;&lt;wsp:rsid wsp:val=&quot;00C06D8D&quot;/&gt;&lt;wsp:rsid wsp:val=&quot;00C07332&quot;/&gt;&lt;wsp:rsid wsp:val=&quot;00C07426&quot;/&gt;&lt;wsp:rsid wsp:val=&quot;00C07851&quot;/&gt;&lt;wsp:rsid wsp:val=&quot;00C07FEA&quot;/&gt;&lt;wsp:rsid wsp:val=&quot;00C1007C&quot;/&gt;&lt;wsp:rsid wsp:val=&quot;00C10AE1&quot;/&gt;&lt;wsp:rsid wsp:val=&quot;00C11046&quot;/&gt;&lt;wsp:rsid wsp:val=&quot;00C111A8&quot;/&gt;&lt;wsp:rsid wsp:val=&quot;00C11762&quot;/&gt;&lt;wsp:rsid wsp:val=&quot;00C1197F&quot;/&gt;&lt;wsp:rsid wsp:val=&quot;00C11A26&quot;/&gt;&lt;wsp:rsid wsp:val=&quot;00C11E64&quot;/&gt;&lt;wsp:rsid wsp:val=&quot;00C122CE&quot;/&gt;&lt;wsp:rsid wsp:val=&quot;00C123A3&quot;/&gt;&lt;wsp:rsid wsp:val=&quot;00C1278C&quot;/&gt;&lt;wsp:rsid wsp:val=&quot;00C127EE&quot;/&gt;&lt;wsp:rsid wsp:val=&quot;00C1296B&quot;/&gt;&lt;wsp:rsid wsp:val=&quot;00C12D60&quot;/&gt;&lt;wsp:rsid wsp:val=&quot;00C131FD&quot;/&gt;&lt;wsp:rsid wsp:val=&quot;00C1332B&quot;/&gt;&lt;wsp:rsid wsp:val=&quot;00C136C0&quot;/&gt;&lt;wsp:rsid wsp:val=&quot;00C13A76&quot;/&gt;&lt;wsp:rsid wsp:val=&quot;00C148B6&quot;/&gt;&lt;wsp:rsid wsp:val=&quot;00C14CE9&quot;/&gt;&lt;wsp:rsid wsp:val=&quot;00C14E66&quot;/&gt;&lt;wsp:rsid wsp:val=&quot;00C14FFA&quot;/&gt;&lt;wsp:rsid wsp:val=&quot;00C1532F&quot;/&gt;&lt;wsp:rsid wsp:val=&quot;00C1560E&quot;/&gt;&lt;wsp:rsid wsp:val=&quot;00C15CB0&quot;/&gt;&lt;wsp:rsid wsp:val=&quot;00C15D40&quot;/&gt;&lt;wsp:rsid wsp:val=&quot;00C161E0&quot;/&gt;&lt;wsp:rsid wsp:val=&quot;00C164EA&quot;/&gt;&lt;wsp:rsid wsp:val=&quot;00C16693&quot;/&gt;&lt;wsp:rsid wsp:val=&quot;00C16790&quot;/&gt;&lt;wsp:rsid wsp:val=&quot;00C16C13&quot;/&gt;&lt;wsp:rsid wsp:val=&quot;00C16E2F&quot;/&gt;&lt;wsp:rsid wsp:val=&quot;00C17058&quot;/&gt;&lt;wsp:rsid wsp:val=&quot;00C17066&quot;/&gt;&lt;wsp:rsid wsp:val=&quot;00C17151&quot;/&gt;&lt;wsp:rsid wsp:val=&quot;00C17B40&quot;/&gt;&lt;wsp:rsid wsp:val=&quot;00C202AD&quot;/&gt;&lt;wsp:rsid wsp:val=&quot;00C20434&quot;/&gt;&lt;wsp:rsid wsp:val=&quot;00C20674&quot;/&gt;&lt;wsp:rsid wsp:val=&quot;00C2086E&quot;/&gt;&lt;wsp:rsid wsp:val=&quot;00C21002&quot;/&gt;&lt;wsp:rsid wsp:val=&quot;00C21547&quot;/&gt;&lt;wsp:rsid wsp:val=&quot;00C21C64&quot;/&gt;&lt;wsp:rsid wsp:val=&quot;00C22762&quot;/&gt;&lt;wsp:rsid wsp:val=&quot;00C23754&quot;/&gt;&lt;wsp:rsid wsp:val=&quot;00C237B8&quot;/&gt;&lt;wsp:rsid wsp:val=&quot;00C239E4&quot;/&gt;&lt;wsp:rsid wsp:val=&quot;00C239EA&quot;/&gt;&lt;wsp:rsid wsp:val=&quot;00C23ADC&quot;/&gt;&lt;wsp:rsid wsp:val=&quot;00C23EA9&quot;/&gt;&lt;wsp:rsid wsp:val=&quot;00C24276&quot;/&gt;&lt;wsp:rsid wsp:val=&quot;00C2451C&quot;/&gt;&lt;wsp:rsid wsp:val=&quot;00C246E2&quot;/&gt;&lt;wsp:rsid wsp:val=&quot;00C25292&quot;/&gt;&lt;wsp:rsid wsp:val=&quot;00C2581E&quot;/&gt;&lt;wsp:rsid wsp:val=&quot;00C25A00&quot;/&gt;&lt;wsp:rsid wsp:val=&quot;00C25CA4&quot;/&gt;&lt;wsp:rsid wsp:val=&quot;00C2601E&quot;/&gt;&lt;wsp:rsid wsp:val=&quot;00C261C6&quot;/&gt;&lt;wsp:rsid wsp:val=&quot;00C26976&quot;/&gt;&lt;wsp:rsid wsp:val=&quot;00C26C18&quot;/&gt;&lt;wsp:rsid wsp:val=&quot;00C27907&quot;/&gt;&lt;wsp:rsid wsp:val=&quot;00C27FD0&quot;/&gt;&lt;wsp:rsid wsp:val=&quot;00C301CE&quot;/&gt;&lt;wsp:rsid wsp:val=&quot;00C31126&quot;/&gt;&lt;wsp:rsid wsp:val=&quot;00C31A91&quot;/&gt;&lt;wsp:rsid wsp:val=&quot;00C31B47&quot;/&gt;&lt;wsp:rsid wsp:val=&quot;00C31BC9&quot;/&gt;&lt;wsp:rsid wsp:val=&quot;00C31E95&quot;/&gt;&lt;wsp:rsid wsp:val=&quot;00C3259F&quot;/&gt;&lt;wsp:rsid wsp:val=&quot;00C32F10&quot;/&gt;&lt;wsp:rsid wsp:val=&quot;00C33205&quot;/&gt;&lt;wsp:rsid wsp:val=&quot;00C33A96&quot;/&gt;&lt;wsp:rsid wsp:val=&quot;00C33B6D&quot;/&gt;&lt;wsp:rsid wsp:val=&quot;00C33DE0&quot;/&gt;&lt;wsp:rsid wsp:val=&quot;00C344B1&quot;/&gt;&lt;wsp:rsid wsp:val=&quot;00C345F6&quot;/&gt;&lt;wsp:rsid wsp:val=&quot;00C35004&quot;/&gt;&lt;wsp:rsid wsp:val=&quot;00C351EC&quot;/&gt;&lt;wsp:rsid wsp:val=&quot;00C357D0&quot;/&gt;&lt;wsp:rsid wsp:val=&quot;00C35EE3&quot;/&gt;&lt;wsp:rsid wsp:val=&quot;00C3621A&quot;/&gt;&lt;wsp:rsid wsp:val=&quot;00C363D4&quot;/&gt;&lt;wsp:rsid wsp:val=&quot;00C3664D&quot;/&gt;&lt;wsp:rsid wsp:val=&quot;00C36741&quot;/&gt;&lt;wsp:rsid wsp:val=&quot;00C3744F&quot;/&gt;&lt;wsp:rsid wsp:val=&quot;00C37831&quot;/&gt;&lt;wsp:rsid wsp:val=&quot;00C401F2&quot;/&gt;&lt;wsp:rsid wsp:val=&quot;00C40221&quot;/&gt;&lt;wsp:rsid wsp:val=&quot;00C40327&quot;/&gt;&lt;wsp:rsid wsp:val=&quot;00C40594&quot;/&gt;&lt;wsp:rsid wsp:val=&quot;00C40629&quot;/&gt;&lt;wsp:rsid wsp:val=&quot;00C406C2&quot;/&gt;&lt;wsp:rsid wsp:val=&quot;00C406FF&quot;/&gt;&lt;wsp:rsid wsp:val=&quot;00C407FA&quot;/&gt;&lt;wsp:rsid wsp:val=&quot;00C40CA8&quot;/&gt;&lt;wsp:rsid wsp:val=&quot;00C40EB9&quot;/&gt;&lt;wsp:rsid wsp:val=&quot;00C410BC&quot;/&gt;&lt;wsp:rsid wsp:val=&quot;00C418AA&quot;/&gt;&lt;wsp:rsid wsp:val=&quot;00C421D5&quot;/&gt;&lt;wsp:rsid wsp:val=&quot;00C422D0&quot;/&gt;&lt;wsp:rsid wsp:val=&quot;00C4233C&quot;/&gt;&lt;wsp:rsid wsp:val=&quot;00C42B75&quot;/&gt;&lt;wsp:rsid wsp:val=&quot;00C434C4&quot;/&gt;&lt;wsp:rsid wsp:val=&quot;00C438E1&quot;/&gt;&lt;wsp:rsid wsp:val=&quot;00C43C46&quot;/&gt;&lt;wsp:rsid wsp:val=&quot;00C43CC5&quot;/&gt;&lt;wsp:rsid wsp:val=&quot;00C43CEA&quot;/&gt;&lt;wsp:rsid wsp:val=&quot;00C4407E&quot;/&gt;&lt;wsp:rsid wsp:val=&quot;00C44A80&quot;/&gt;&lt;wsp:rsid wsp:val=&quot;00C44DC6&quot;/&gt;&lt;wsp:rsid wsp:val=&quot;00C44E9D&quot;/&gt;&lt;wsp:rsid wsp:val=&quot;00C45B14&quot;/&gt;&lt;wsp:rsid wsp:val=&quot;00C45C95&quot;/&gt;&lt;wsp:rsid wsp:val=&quot;00C4619B&quot;/&gt;&lt;wsp:rsid wsp:val=&quot;00C46375&quot;/&gt;&lt;wsp:rsid wsp:val=&quot;00C46B4A&quot;/&gt;&lt;wsp:rsid wsp:val=&quot;00C4748B&quot;/&gt;&lt;wsp:rsid wsp:val=&quot;00C474EA&quot;/&gt;&lt;wsp:rsid wsp:val=&quot;00C47B60&quot;/&gt;&lt;wsp:rsid wsp:val=&quot;00C47DBB&quot;/&gt;&lt;wsp:rsid wsp:val=&quot;00C500BE&quot;/&gt;&lt;wsp:rsid wsp:val=&quot;00C50A50&quot;/&gt;&lt;wsp:rsid wsp:val=&quot;00C50C0C&quot;/&gt;&lt;wsp:rsid wsp:val=&quot;00C51232&quot;/&gt;&lt;wsp:rsid wsp:val=&quot;00C5157D&quot;/&gt;&lt;wsp:rsid wsp:val=&quot;00C51E08&quot;/&gt;&lt;wsp:rsid wsp:val=&quot;00C51E83&quot;/&gt;&lt;wsp:rsid wsp:val=&quot;00C5266B&quot;/&gt;&lt;wsp:rsid wsp:val=&quot;00C52B54&quot;/&gt;&lt;wsp:rsid wsp:val=&quot;00C52DBA&quot;/&gt;&lt;wsp:rsid wsp:val=&quot;00C52E4C&quot;/&gt;&lt;wsp:rsid wsp:val=&quot;00C52F5A&quot;/&gt;&lt;wsp:rsid wsp:val=&quot;00C5317C&quot;/&gt;&lt;wsp:rsid wsp:val=&quot;00C532C7&quot;/&gt;&lt;wsp:rsid wsp:val=&quot;00C53463&quot;/&gt;&lt;wsp:rsid wsp:val=&quot;00C53A81&quot;/&gt;&lt;wsp:rsid wsp:val=&quot;00C54358&quot;/&gt;&lt;wsp:rsid wsp:val=&quot;00C548C9&quot;/&gt;&lt;wsp:rsid wsp:val=&quot;00C54BE7&quot;/&gt;&lt;wsp:rsid wsp:val=&quot;00C54DB2&quot;/&gt;&lt;wsp:rsid wsp:val=&quot;00C54F9A&quot;/&gt;&lt;wsp:rsid wsp:val=&quot;00C55418&quot;/&gt;&lt;wsp:rsid wsp:val=&quot;00C55D1F&quot;/&gt;&lt;wsp:rsid wsp:val=&quot;00C55DF8&quot;/&gt;&lt;wsp:rsid wsp:val=&quot;00C55E60&quot;/&gt;&lt;wsp:rsid wsp:val=&quot;00C5635F&quot;/&gt;&lt;wsp:rsid wsp:val=&quot;00C56383&quot;/&gt;&lt;wsp:rsid wsp:val=&quot;00C56BB4&quot;/&gt;&lt;wsp:rsid wsp:val=&quot;00C56C02&quot;/&gt;&lt;wsp:rsid wsp:val=&quot;00C56C58&quot;/&gt;&lt;wsp:rsid wsp:val=&quot;00C56E38&quot;/&gt;&lt;wsp:rsid wsp:val=&quot;00C56EC9&quot;/&gt;&lt;wsp:rsid wsp:val=&quot;00C5765F&quot;/&gt;&lt;wsp:rsid wsp:val=&quot;00C577B5&quot;/&gt;&lt;wsp:rsid wsp:val=&quot;00C57E05&quot;/&gt;&lt;wsp:rsid wsp:val=&quot;00C57E2A&quot;/&gt;&lt;wsp:rsid wsp:val=&quot;00C60338&quot;/&gt;&lt;wsp:rsid wsp:val=&quot;00C603A8&quot;/&gt;&lt;wsp:rsid wsp:val=&quot;00C604B9&quot;/&gt;&lt;wsp:rsid wsp:val=&quot;00C60B45&quot;/&gt;&lt;wsp:rsid wsp:val=&quot;00C60BB5&quot;/&gt;&lt;wsp:rsid wsp:val=&quot;00C614A1&quot;/&gt;&lt;wsp:rsid wsp:val=&quot;00C61832&quot;/&gt;&lt;wsp:rsid wsp:val=&quot;00C61ADD&quot;/&gt;&lt;wsp:rsid wsp:val=&quot;00C61D3E&quot;/&gt;&lt;wsp:rsid wsp:val=&quot;00C6209B&quot;/&gt;&lt;wsp:rsid wsp:val=&quot;00C6212C&quot;/&gt;&lt;wsp:rsid wsp:val=&quot;00C6257C&quot;/&gt;&lt;wsp:rsid wsp:val=&quot;00C62770&quot;/&gt;&lt;wsp:rsid wsp:val=&quot;00C631B4&quot;/&gt;&lt;wsp:rsid wsp:val=&quot;00C631CE&quot;/&gt;&lt;wsp:rsid wsp:val=&quot;00C637BC&quot;/&gt;&lt;wsp:rsid wsp:val=&quot;00C63978&quot;/&gt;&lt;wsp:rsid wsp:val=&quot;00C63BCF&quot;/&gt;&lt;wsp:rsid wsp:val=&quot;00C63F45&quot;/&gt;&lt;wsp:rsid wsp:val=&quot;00C63FCE&quot;/&gt;&lt;wsp:rsid wsp:val=&quot;00C6403E&quot;/&gt;&lt;wsp:rsid wsp:val=&quot;00C645F7&quot;/&gt;&lt;wsp:rsid wsp:val=&quot;00C64DF7&quot;/&gt;&lt;wsp:rsid wsp:val=&quot;00C64E70&quot;/&gt;&lt;wsp:rsid wsp:val=&quot;00C64FD0&quot;/&gt;&lt;wsp:rsid wsp:val=&quot;00C651C0&quot;/&gt;&lt;wsp:rsid wsp:val=&quot;00C65BBB&quot;/&gt;&lt;wsp:rsid wsp:val=&quot;00C66067&quot;/&gt;&lt;wsp:rsid wsp:val=&quot;00C6688E&quot;/&gt;&lt;wsp:rsid wsp:val=&quot;00C6697B&quot;/&gt;&lt;wsp:rsid wsp:val=&quot;00C66AC0&quot;/&gt;&lt;wsp:rsid wsp:val=&quot;00C66B9C&quot;/&gt;&lt;wsp:rsid wsp:val=&quot;00C66CB7&quot;/&gt;&lt;wsp:rsid wsp:val=&quot;00C672B3&quot;/&gt;&lt;wsp:rsid wsp:val=&quot;00C677C6&quot;/&gt;&lt;wsp:rsid wsp:val=&quot;00C677FD&quot;/&gt;&lt;wsp:rsid wsp:val=&quot;00C67C18&quot;/&gt;&lt;wsp:rsid wsp:val=&quot;00C67DEA&quot;/&gt;&lt;wsp:rsid wsp:val=&quot;00C67E5F&quot;/&gt;&lt;wsp:rsid wsp:val=&quot;00C701D9&quot;/&gt;&lt;wsp:rsid wsp:val=&quot;00C70C41&quot;/&gt;&lt;wsp:rsid wsp:val=&quot;00C71482&quot;/&gt;&lt;wsp:rsid wsp:val=&quot;00C71641&quot;/&gt;&lt;wsp:rsid wsp:val=&quot;00C720F7&quot;/&gt;&lt;wsp:rsid wsp:val=&quot;00C723D1&quot;/&gt;&lt;wsp:rsid wsp:val=&quot;00C72967&quot;/&gt;&lt;wsp:rsid wsp:val=&quot;00C730AC&quot;/&gt;&lt;wsp:rsid wsp:val=&quot;00C734B8&quot;/&gt;&lt;wsp:rsid wsp:val=&quot;00C739AA&quot;/&gt;&lt;wsp:rsid wsp:val=&quot;00C74392&quot;/&gt;&lt;wsp:rsid wsp:val=&quot;00C75E1B&quot;/&gt;&lt;wsp:rsid wsp:val=&quot;00C76084&quot;/&gt;&lt;wsp:rsid wsp:val=&quot;00C763BC&quot;/&gt;&lt;wsp:rsid wsp:val=&quot;00C764D9&quot;/&gt;&lt;wsp:rsid wsp:val=&quot;00C766B5&quot;/&gt;&lt;wsp:rsid wsp:val=&quot;00C769E6&quot;/&gt;&lt;wsp:rsid wsp:val=&quot;00C769F8&quot;/&gt;&lt;wsp:rsid wsp:val=&quot;00C76B2A&quot;/&gt;&lt;wsp:rsid wsp:val=&quot;00C770C1&quot;/&gt;&lt;wsp:rsid wsp:val=&quot;00C77250&quot;/&gt;&lt;wsp:rsid wsp:val=&quot;00C77410&quot;/&gt;&lt;wsp:rsid wsp:val=&quot;00C7778C&quot;/&gt;&lt;wsp:rsid wsp:val=&quot;00C77FDE&quot;/&gt;&lt;wsp:rsid wsp:val=&quot;00C800C7&quot;/&gt;&lt;wsp:rsid wsp:val=&quot;00C80404&quot;/&gt;&lt;wsp:rsid wsp:val=&quot;00C80B4A&quot;/&gt;&lt;wsp:rsid wsp:val=&quot;00C80FD7&quot;/&gt;&lt;wsp:rsid wsp:val=&quot;00C8103B&quot;/&gt;&lt;wsp:rsid wsp:val=&quot;00C810A1&quot;/&gt;&lt;wsp:rsid wsp:val=&quot;00C81593&quot;/&gt;&lt;wsp:rsid wsp:val=&quot;00C81DBC&quot;/&gt;&lt;wsp:rsid wsp:val=&quot;00C81E8C&quot;/&gt;&lt;wsp:rsid wsp:val=&quot;00C82353&quot;/&gt;&lt;wsp:rsid wsp:val=&quot;00C824B9&quot;/&gt;&lt;wsp:rsid wsp:val=&quot;00C82818&quot;/&gt;&lt;wsp:rsid wsp:val=&quot;00C82A23&quot;/&gt;&lt;wsp:rsid wsp:val=&quot;00C82B6A&quot;/&gt;&lt;wsp:rsid wsp:val=&quot;00C82EAA&quot;/&gt;&lt;wsp:rsid wsp:val=&quot;00C832AE&quot;/&gt;&lt;wsp:rsid wsp:val=&quot;00C83845&quot;/&gt;&lt;wsp:rsid wsp:val=&quot;00C8395F&quot;/&gt;&lt;wsp:rsid wsp:val=&quot;00C83E8E&quot;/&gt;&lt;wsp:rsid wsp:val=&quot;00C8500C&quot;/&gt;&lt;wsp:rsid wsp:val=&quot;00C8504D&quot;/&gt;&lt;wsp:rsid wsp:val=&quot;00C857BD&quot;/&gt;&lt;wsp:rsid wsp:val=&quot;00C85B1A&quot;/&gt;&lt;wsp:rsid wsp:val=&quot;00C85C16&quot;/&gt;&lt;wsp:rsid wsp:val=&quot;00C85C46&quot;/&gt;&lt;wsp:rsid wsp:val=&quot;00C85CF3&quot;/&gt;&lt;wsp:rsid wsp:val=&quot;00C85DD6&quot;/&gt;&lt;wsp:rsid wsp:val=&quot;00C862B8&quot;/&gt;&lt;wsp:rsid wsp:val=&quot;00C862F3&quot;/&gt;&lt;wsp:rsid wsp:val=&quot;00C863B3&quot;/&gt;&lt;wsp:rsid wsp:val=&quot;00C8656C&quot;/&gt;&lt;wsp:rsid wsp:val=&quot;00C865E0&quot;/&gt;&lt;wsp:rsid wsp:val=&quot;00C8669F&quot;/&gt;&lt;wsp:rsid wsp:val=&quot;00C870AB&quot;/&gt;&lt;wsp:rsid wsp:val=&quot;00C87233&quot;/&gt;&lt;wsp:rsid wsp:val=&quot;00C8730D&quot;/&gt;&lt;wsp:rsid wsp:val=&quot;00C876DE&quot;/&gt;&lt;wsp:rsid wsp:val=&quot;00C876FA&quot;/&gt;&lt;wsp:rsid wsp:val=&quot;00C87749&quot;/&gt;&lt;wsp:rsid wsp:val=&quot;00C87C4F&quot;/&gt;&lt;wsp:rsid wsp:val=&quot;00C87F02&quot;/&gt;&lt;wsp:rsid wsp:val=&quot;00C90071&quot;/&gt;&lt;wsp:rsid wsp:val=&quot;00C90EC6&quot;/&gt;&lt;wsp:rsid wsp:val=&quot;00C90F7D&quot;/&gt;&lt;wsp:rsid wsp:val=&quot;00C91053&quot;/&gt;&lt;wsp:rsid wsp:val=&quot;00C9132D&quot;/&gt;&lt;wsp:rsid wsp:val=&quot;00C91D7C&quot;/&gt;&lt;wsp:rsid wsp:val=&quot;00C91F1D&quot;/&gt;&lt;wsp:rsid wsp:val=&quot;00C91FBF&quot;/&gt;&lt;wsp:rsid wsp:val=&quot;00C9251C&quot;/&gt;&lt;wsp:rsid wsp:val=&quot;00C92978&quot;/&gt;&lt;wsp:rsid wsp:val=&quot;00C92BF8&quot;/&gt;&lt;wsp:rsid wsp:val=&quot;00C92D9A&quot;/&gt;&lt;wsp:rsid wsp:val=&quot;00C92E23&quot;/&gt;&lt;wsp:rsid wsp:val=&quot;00C9319E&quot;/&gt;&lt;wsp:rsid wsp:val=&quot;00C9321C&quot;/&gt;&lt;wsp:rsid wsp:val=&quot;00C93AEB&quot;/&gt;&lt;wsp:rsid wsp:val=&quot;00C93E73&quot;/&gt;&lt;wsp:rsid wsp:val=&quot;00C9441E&quot;/&gt;&lt;wsp:rsid wsp:val=&quot;00C95054&quot;/&gt;&lt;wsp:rsid wsp:val=&quot;00C9547B&quot;/&gt;&lt;wsp:rsid wsp:val=&quot;00C9586B&quot;/&gt;&lt;wsp:rsid wsp:val=&quot;00C958F7&quot;/&gt;&lt;wsp:rsid wsp:val=&quot;00C95DD4&quot;/&gt;&lt;wsp:rsid wsp:val=&quot;00C963C0&quot;/&gt;&lt;wsp:rsid wsp:val=&quot;00C9686A&quot;/&gt;&lt;wsp:rsid wsp:val=&quot;00C96B19&quot;/&gt;&lt;wsp:rsid wsp:val=&quot;00C9732E&quot;/&gt;&lt;wsp:rsid wsp:val=&quot;00C97359&quot;/&gt;&lt;wsp:rsid wsp:val=&quot;00C97577&quot;/&gt;&lt;wsp:rsid wsp:val=&quot;00C97A1A&quot;/&gt;&lt;wsp:rsid wsp:val=&quot;00C97C57&quot;/&gt;&lt;wsp:rsid wsp:val=&quot;00CA0297&quot;/&gt;&lt;wsp:rsid wsp:val=&quot;00CA0CA5&quot;/&gt;&lt;wsp:rsid wsp:val=&quot;00CA0DB4&quot;/&gt;&lt;wsp:rsid wsp:val=&quot;00CA1A3A&quot;/&gt;&lt;wsp:rsid wsp:val=&quot;00CA1CF1&quot;/&gt;&lt;wsp:rsid wsp:val=&quot;00CA1E5C&quot;/&gt;&lt;wsp:rsid wsp:val=&quot;00CA1E74&quot;/&gt;&lt;wsp:rsid wsp:val=&quot;00CA2299&quot;/&gt;&lt;wsp:rsid wsp:val=&quot;00CA23CB&quot;/&gt;&lt;wsp:rsid wsp:val=&quot;00CA272D&quot;/&gt;&lt;wsp:rsid wsp:val=&quot;00CA28B1&quot;/&gt;&lt;wsp:rsid wsp:val=&quot;00CA3504&quot;/&gt;&lt;wsp:rsid wsp:val=&quot;00CA3610&quot;/&gt;&lt;wsp:rsid wsp:val=&quot;00CA3C7C&quot;/&gt;&lt;wsp:rsid wsp:val=&quot;00CA4060&quot;/&gt;&lt;wsp:rsid wsp:val=&quot;00CA48A5&quot;/&gt;&lt;wsp:rsid wsp:val=&quot;00CA4E42&quot;/&gt;&lt;wsp:rsid wsp:val=&quot;00CA50AF&quot;/&gt;&lt;wsp:rsid wsp:val=&quot;00CA570C&quot;/&gt;&lt;wsp:rsid wsp:val=&quot;00CA5972&quot;/&gt;&lt;wsp:rsid wsp:val=&quot;00CA5A75&quot;/&gt;&lt;wsp:rsid wsp:val=&quot;00CA5BE4&quot;/&gt;&lt;wsp:rsid wsp:val=&quot;00CA5F79&quot;/&gt;&lt;wsp:rsid wsp:val=&quot;00CA6426&quot;/&gt;&lt;wsp:rsid wsp:val=&quot;00CA6459&quot;/&gt;&lt;wsp:rsid wsp:val=&quot;00CA6A09&quot;/&gt;&lt;wsp:rsid wsp:val=&quot;00CA7265&quot;/&gt;&lt;wsp:rsid wsp:val=&quot;00CA72BA&quot;/&gt;&lt;wsp:rsid wsp:val=&quot;00CA7AB1&quot;/&gt;&lt;wsp:rsid wsp:val=&quot;00CA7D3A&quot;/&gt;&lt;wsp:rsid wsp:val=&quot;00CB07A0&quot;/&gt;&lt;wsp:rsid wsp:val=&quot;00CB0B9D&quot;/&gt;&lt;wsp:rsid wsp:val=&quot;00CB0BC5&quot;/&gt;&lt;wsp:rsid wsp:val=&quot;00CB0ECA&quot;/&gt;&lt;wsp:rsid wsp:val=&quot;00CB12B4&quot;/&gt;&lt;wsp:rsid wsp:val=&quot;00CB15DB&quot;/&gt;&lt;wsp:rsid wsp:val=&quot;00CB16BB&quot;/&gt;&lt;wsp:rsid wsp:val=&quot;00CB232F&quot;/&gt;&lt;wsp:rsid wsp:val=&quot;00CB2BD2&quot;/&gt;&lt;wsp:rsid wsp:val=&quot;00CB2EBB&quot;/&gt;&lt;wsp:rsid wsp:val=&quot;00CB3170&quot;/&gt;&lt;wsp:rsid wsp:val=&quot;00CB3184&quot;/&gt;&lt;wsp:rsid wsp:val=&quot;00CB3323&quot;/&gt;&lt;wsp:rsid wsp:val=&quot;00CB390E&quot;/&gt;&lt;wsp:rsid wsp:val=&quot;00CB3DFF&quot;/&gt;&lt;wsp:rsid wsp:val=&quot;00CB5693&quot;/&gt;&lt;wsp:rsid wsp:val=&quot;00CB584C&quot;/&gt;&lt;wsp:rsid wsp:val=&quot;00CB5AEC&quot;/&gt;&lt;wsp:rsid wsp:val=&quot;00CB5C40&quot;/&gt;&lt;wsp:rsid wsp:val=&quot;00CB60D0&quot;/&gt;&lt;wsp:rsid wsp:val=&quot;00CB6255&quot;/&gt;&lt;wsp:rsid wsp:val=&quot;00CB6278&quot;/&gt;&lt;wsp:rsid wsp:val=&quot;00CB6660&quot;/&gt;&lt;wsp:rsid wsp:val=&quot;00CB711B&quot;/&gt;&lt;wsp:rsid wsp:val=&quot;00CB75C4&quot;/&gt;&lt;wsp:rsid wsp:val=&quot;00CB7EA4&quot;/&gt;&lt;wsp:rsid wsp:val=&quot;00CB7FE2&quot;/&gt;&lt;wsp:rsid wsp:val=&quot;00CB7FF4&quot;/&gt;&lt;wsp:rsid wsp:val=&quot;00CC05DC&quot;/&gt;&lt;wsp:rsid wsp:val=&quot;00CC0A6A&quot;/&gt;&lt;wsp:rsid wsp:val=&quot;00CC0F8E&quot;/&gt;&lt;wsp:rsid wsp:val=&quot;00CC111C&quot;/&gt;&lt;wsp:rsid wsp:val=&quot;00CC125C&quot;/&gt;&lt;wsp:rsid wsp:val=&quot;00CC12FE&quot;/&gt;&lt;wsp:rsid wsp:val=&quot;00CC139B&quot;/&gt;&lt;wsp:rsid wsp:val=&quot;00CC1583&quot;/&gt;&lt;wsp:rsid wsp:val=&quot;00CC24DF&quot;/&gt;&lt;wsp:rsid wsp:val=&quot;00CC2B0F&quot;/&gt;&lt;wsp:rsid wsp:val=&quot;00CC2C26&quot;/&gt;&lt;wsp:rsid wsp:val=&quot;00CC3121&quot;/&gt;&lt;wsp:rsid wsp:val=&quot;00CC332B&quot;/&gt;&lt;wsp:rsid wsp:val=&quot;00CC3987&quot;/&gt;&lt;wsp:rsid wsp:val=&quot;00CC3E5B&quot;/&gt;&lt;wsp:rsid wsp:val=&quot;00CC4DAA&quot;/&gt;&lt;wsp:rsid wsp:val=&quot;00CC4E46&quot;/&gt;&lt;wsp:rsid wsp:val=&quot;00CC5108&quot;/&gt;&lt;wsp:rsid wsp:val=&quot;00CC55C3&quot;/&gt;&lt;wsp:rsid wsp:val=&quot;00CC58EB&quot;/&gt;&lt;wsp:rsid wsp:val=&quot;00CC5CCD&quot;/&gt;&lt;wsp:rsid wsp:val=&quot;00CC5CD3&quot;/&gt;&lt;wsp:rsid wsp:val=&quot;00CC5DAF&quot;/&gt;&lt;wsp:rsid wsp:val=&quot;00CC5E1F&quot;/&gt;&lt;wsp:rsid wsp:val=&quot;00CC6166&quot;/&gt;&lt;wsp:rsid wsp:val=&quot;00CC683D&quot;/&gt;&lt;wsp:rsid wsp:val=&quot;00CC6BBD&quot;/&gt;&lt;wsp:rsid wsp:val=&quot;00CC6D49&quot;/&gt;&lt;wsp:rsid wsp:val=&quot;00CC72C8&quot;/&gt;&lt;wsp:rsid wsp:val=&quot;00CC79DE&quot;/&gt;&lt;wsp:rsid wsp:val=&quot;00CC7A94&quot;/&gt;&lt;wsp:rsid wsp:val=&quot;00CC7FA3&quot;/&gt;&lt;wsp:rsid wsp:val=&quot;00CD009E&quot;/&gt;&lt;wsp:rsid wsp:val=&quot;00CD0586&quot;/&gt;&lt;wsp:rsid wsp:val=&quot;00CD0664&quot;/&gt;&lt;wsp:rsid wsp:val=&quot;00CD076B&quot;/&gt;&lt;wsp:rsid wsp:val=&quot;00CD07AE&quot;/&gt;&lt;wsp:rsid wsp:val=&quot;00CD0EF0&quot;/&gt;&lt;wsp:rsid wsp:val=&quot;00CD1862&quot;/&gt;&lt;wsp:rsid wsp:val=&quot;00CD19EA&quot;/&gt;&lt;wsp:rsid wsp:val=&quot;00CD1FDD&quot;/&gt;&lt;wsp:rsid wsp:val=&quot;00CD245C&quot;/&gt;&lt;wsp:rsid wsp:val=&quot;00CD2EEC&quot;/&gt;&lt;wsp:rsid wsp:val=&quot;00CD3854&quot;/&gt;&lt;wsp:rsid wsp:val=&quot;00CD39B4&quot;/&gt;&lt;wsp:rsid wsp:val=&quot;00CD3CE3&quot;/&gt;&lt;wsp:rsid wsp:val=&quot;00CD403A&quot;/&gt;&lt;wsp:rsid wsp:val=&quot;00CD4181&quot;/&gt;&lt;wsp:rsid wsp:val=&quot;00CD4268&quot;/&gt;&lt;wsp:rsid wsp:val=&quot;00CD438E&quot;/&gt;&lt;wsp:rsid wsp:val=&quot;00CD48D7&quot;/&gt;&lt;wsp:rsid wsp:val=&quot;00CD4B4A&quot;/&gt;&lt;wsp:rsid wsp:val=&quot;00CD649A&quot;/&gt;&lt;wsp:rsid wsp:val=&quot;00CD6688&quot;/&gt;&lt;wsp:rsid wsp:val=&quot;00CD66EA&quot;/&gt;&lt;wsp:rsid wsp:val=&quot;00CD6E99&quot;/&gt;&lt;wsp:rsid wsp:val=&quot;00CE0186&quot;/&gt;&lt;wsp:rsid wsp:val=&quot;00CE0314&quot;/&gt;&lt;wsp:rsid wsp:val=&quot;00CE03B4&quot;/&gt;&lt;wsp:rsid wsp:val=&quot;00CE0839&quot;/&gt;&lt;wsp:rsid wsp:val=&quot;00CE0A6B&quot;/&gt;&lt;wsp:rsid wsp:val=&quot;00CE0CBB&quot;/&gt;&lt;wsp:rsid wsp:val=&quot;00CE0D5B&quot;/&gt;&lt;wsp:rsid wsp:val=&quot;00CE0F6D&quot;/&gt;&lt;wsp:rsid wsp:val=&quot;00CE1336&quot;/&gt;&lt;wsp:rsid wsp:val=&quot;00CE137C&quot;/&gt;&lt;wsp:rsid wsp:val=&quot;00CE164F&quot;/&gt;&lt;wsp:rsid wsp:val=&quot;00CE1884&quot;/&gt;&lt;wsp:rsid wsp:val=&quot;00CE1A81&quot;/&gt;&lt;wsp:rsid wsp:val=&quot;00CE1C9C&quot;/&gt;&lt;wsp:rsid wsp:val=&quot;00CE1D0C&quot;/&gt;&lt;wsp:rsid wsp:val=&quot;00CE2035&quot;/&gt;&lt;wsp:rsid wsp:val=&quot;00CE2065&quot;/&gt;&lt;wsp:rsid wsp:val=&quot;00CE209B&quot;/&gt;&lt;wsp:rsid wsp:val=&quot;00CE2117&quot;/&gt;&lt;wsp:rsid wsp:val=&quot;00CE255E&quot;/&gt;&lt;wsp:rsid wsp:val=&quot;00CE2706&quot;/&gt;&lt;wsp:rsid wsp:val=&quot;00CE2B8E&quot;/&gt;&lt;wsp:rsid wsp:val=&quot;00CE2E6C&quot;/&gt;&lt;wsp:rsid wsp:val=&quot;00CE3026&quot;/&gt;&lt;wsp:rsid wsp:val=&quot;00CE31C6&quot;/&gt;&lt;wsp:rsid wsp:val=&quot;00CE32EA&quot;/&gt;&lt;wsp:rsid wsp:val=&quot;00CE3377&quot;/&gt;&lt;wsp:rsid wsp:val=&quot;00CE359A&quot;/&gt;&lt;wsp:rsid wsp:val=&quot;00CE36A2&quot;/&gt;&lt;wsp:rsid wsp:val=&quot;00CE36F9&quot;/&gt;&lt;wsp:rsid wsp:val=&quot;00CE3724&quot;/&gt;&lt;wsp:rsid wsp:val=&quot;00CE3D96&quot;/&gt;&lt;wsp:rsid wsp:val=&quot;00CE3EF3&quot;/&gt;&lt;wsp:rsid wsp:val=&quot;00CE3F15&quot;/&gt;&lt;wsp:rsid wsp:val=&quot;00CE4747&quot;/&gt;&lt;wsp:rsid wsp:val=&quot;00CE4A90&quot;/&gt;&lt;wsp:rsid wsp:val=&quot;00CE4B3D&quot;/&gt;&lt;wsp:rsid wsp:val=&quot;00CE4DFD&quot;/&gt;&lt;wsp:rsid wsp:val=&quot;00CE501B&quot;/&gt;&lt;wsp:rsid wsp:val=&quot;00CE522B&quot;/&gt;&lt;wsp:rsid wsp:val=&quot;00CE5528&quot;/&gt;&lt;wsp:rsid wsp:val=&quot;00CE5735&quot;/&gt;&lt;wsp:rsid wsp:val=&quot;00CE5FA1&quot;/&gt;&lt;wsp:rsid wsp:val=&quot;00CE6042&quot;/&gt;&lt;wsp:rsid wsp:val=&quot;00CE6313&quot;/&gt;&lt;wsp:rsid wsp:val=&quot;00CE6477&quot;/&gt;&lt;wsp:rsid wsp:val=&quot;00CE69F3&quot;/&gt;&lt;wsp:rsid wsp:val=&quot;00CE6D19&quot;/&gt;&lt;wsp:rsid wsp:val=&quot;00CE7161&quot;/&gt;&lt;wsp:rsid wsp:val=&quot;00CE71B4&quot;/&gt;&lt;wsp:rsid wsp:val=&quot;00CE7513&quot;/&gt;&lt;wsp:rsid wsp:val=&quot;00CE762F&quot;/&gt;&lt;wsp:rsid wsp:val=&quot;00CE7C98&quot;/&gt;&lt;wsp:rsid wsp:val=&quot;00CE7CE7&quot;/&gt;&lt;wsp:rsid wsp:val=&quot;00CE7CEA&quot;/&gt;&lt;wsp:rsid wsp:val=&quot;00CE7DE3&quot;/&gt;&lt;wsp:rsid wsp:val=&quot;00CF0D1E&quot;/&gt;&lt;wsp:rsid wsp:val=&quot;00CF0E05&quot;/&gt;&lt;wsp:rsid wsp:val=&quot;00CF1364&quot;/&gt;&lt;wsp:rsid wsp:val=&quot;00CF156F&quot;/&gt;&lt;wsp:rsid wsp:val=&quot;00CF1869&quot;/&gt;&lt;wsp:rsid wsp:val=&quot;00CF1994&quot;/&gt;&lt;wsp:rsid wsp:val=&quot;00CF1B9E&quot;/&gt;&lt;wsp:rsid wsp:val=&quot;00CF1C25&quot;/&gt;&lt;wsp:rsid wsp:val=&quot;00CF1D04&quot;/&gt;&lt;wsp:rsid wsp:val=&quot;00CF1D43&quot;/&gt;&lt;wsp:rsid wsp:val=&quot;00CF1FF9&quot;/&gt;&lt;wsp:rsid wsp:val=&quot;00CF20DA&quot;/&gt;&lt;wsp:rsid wsp:val=&quot;00CF219F&quot;/&gt;&lt;wsp:rsid wsp:val=&quot;00CF242E&quot;/&gt;&lt;wsp:rsid wsp:val=&quot;00CF2747&quot;/&gt;&lt;wsp:rsid wsp:val=&quot;00CF284B&quot;/&gt;&lt;wsp:rsid wsp:val=&quot;00CF2F52&quot;/&gt;&lt;wsp:rsid wsp:val=&quot;00CF3093&quot;/&gt;&lt;wsp:rsid wsp:val=&quot;00CF3801&quot;/&gt;&lt;wsp:rsid wsp:val=&quot;00CF3C18&quot;/&gt;&lt;wsp:rsid wsp:val=&quot;00CF4086&quot;/&gt;&lt;wsp:rsid wsp:val=&quot;00CF411A&quot;/&gt;&lt;wsp:rsid wsp:val=&quot;00CF424F&quot;/&gt;&lt;wsp:rsid wsp:val=&quot;00CF493C&quot;/&gt;&lt;wsp:rsid wsp:val=&quot;00CF49F7&quot;/&gt;&lt;wsp:rsid wsp:val=&quot;00CF4DDD&quot;/&gt;&lt;wsp:rsid wsp:val=&quot;00CF5587&quot;/&gt;&lt;wsp:rsid wsp:val=&quot;00CF5594&quot;/&gt;&lt;wsp:rsid wsp:val=&quot;00CF5895&quot;/&gt;&lt;wsp:rsid wsp:val=&quot;00CF5A1A&quot;/&gt;&lt;wsp:rsid wsp:val=&quot;00CF5A70&quot;/&gt;&lt;wsp:rsid wsp:val=&quot;00CF5A84&quot;/&gt;&lt;wsp:rsid wsp:val=&quot;00CF5A87&quot;/&gt;&lt;wsp:rsid wsp:val=&quot;00CF5BD6&quot;/&gt;&lt;wsp:rsid wsp:val=&quot;00CF5E6A&quot;/&gt;&lt;wsp:rsid wsp:val=&quot;00CF601F&quot;/&gt;&lt;wsp:rsid wsp:val=&quot;00CF60F3&quot;/&gt;&lt;wsp:rsid wsp:val=&quot;00CF6BF0&quot;/&gt;&lt;wsp:rsid wsp:val=&quot;00CF6FA7&quot;/&gt;&lt;wsp:rsid wsp:val=&quot;00CF70B1&quot;/&gt;&lt;wsp:rsid wsp:val=&quot;00CF76F5&quot;/&gt;&lt;wsp:rsid wsp:val=&quot;00CF7AB0&quot;/&gt;&lt;wsp:rsid wsp:val=&quot;00CF7EAE&quot;/&gt;&lt;wsp:rsid wsp:val=&quot;00D001EB&quot;/&gt;&lt;wsp:rsid wsp:val=&quot;00D002F0&quot;/&gt;&lt;wsp:rsid wsp:val=&quot;00D00414&quot;/&gt;&lt;wsp:rsid wsp:val=&quot;00D007D2&quot;/&gt;&lt;wsp:rsid wsp:val=&quot;00D007F1&quot;/&gt;&lt;wsp:rsid wsp:val=&quot;00D00F56&quot;/&gt;&lt;wsp:rsid wsp:val=&quot;00D01050&quot;/&gt;&lt;wsp:rsid wsp:val=&quot;00D0114F&quot;/&gt;&lt;wsp:rsid wsp:val=&quot;00D01231&quot;/&gt;&lt;wsp:rsid wsp:val=&quot;00D01919&quot;/&gt;&lt;wsp:rsid wsp:val=&quot;00D01A66&quot;/&gt;&lt;wsp:rsid wsp:val=&quot;00D01DF6&quot;/&gt;&lt;wsp:rsid wsp:val=&quot;00D02078&quot;/&gt;&lt;wsp:rsid wsp:val=&quot;00D02209&quot;/&gt;&lt;wsp:rsid wsp:val=&quot;00D02A0F&quot;/&gt;&lt;wsp:rsid wsp:val=&quot;00D02B30&quot;/&gt;&lt;wsp:rsid wsp:val=&quot;00D031AA&quot;/&gt;&lt;wsp:rsid wsp:val=&quot;00D03213&quot;/&gt;&lt;wsp:rsid wsp:val=&quot;00D03827&quot;/&gt;&lt;wsp:rsid wsp:val=&quot;00D0422B&quot;/&gt;&lt;wsp:rsid wsp:val=&quot;00D0480F&quot;/&gt;&lt;wsp:rsid wsp:val=&quot;00D055D7&quot;/&gt;&lt;wsp:rsid wsp:val=&quot;00D06122&quot;/&gt;&lt;wsp:rsid wsp:val=&quot;00D062C0&quot;/&gt;&lt;wsp:rsid wsp:val=&quot;00D06474&quot;/&gt;&lt;wsp:rsid wsp:val=&quot;00D06C46&quot;/&gt;&lt;wsp:rsid wsp:val=&quot;00D06CA1&quot;/&gt;&lt;wsp:rsid wsp:val=&quot;00D07DC6&quot;/&gt;&lt;wsp:rsid wsp:val=&quot;00D10103&quot;/&gt;&lt;wsp:rsid wsp:val=&quot;00D116FE&quot;/&gt;&lt;wsp:rsid wsp:val=&quot;00D11AED&quot;/&gt;&lt;wsp:rsid wsp:val=&quot;00D11CB7&quot;/&gt;&lt;wsp:rsid wsp:val=&quot;00D12127&quot;/&gt;&lt;wsp:rsid wsp:val=&quot;00D1216C&quot;/&gt;&lt;wsp:rsid wsp:val=&quot;00D12416&quot;/&gt;&lt;wsp:rsid wsp:val=&quot;00D12561&quot;/&gt;&lt;wsp:rsid wsp:val=&quot;00D1287A&quot;/&gt;&lt;wsp:rsid wsp:val=&quot;00D13285&quot;/&gt;&lt;wsp:rsid wsp:val=&quot;00D132B5&quot;/&gt;&lt;wsp:rsid wsp:val=&quot;00D13713&quot;/&gt;&lt;wsp:rsid wsp:val=&quot;00D1386C&quot;/&gt;&lt;wsp:rsid wsp:val=&quot;00D13AAC&quot;/&gt;&lt;wsp:rsid wsp:val=&quot;00D13B8E&quot;/&gt;&lt;wsp:rsid wsp:val=&quot;00D141A0&quot;/&gt;&lt;wsp:rsid wsp:val=&quot;00D14744&quot;/&gt;&lt;wsp:rsid wsp:val=&quot;00D14781&quot;/&gt;&lt;wsp:rsid wsp:val=&quot;00D149EB&quot;/&gt;&lt;wsp:rsid wsp:val=&quot;00D14C52&quot;/&gt;&lt;wsp:rsid wsp:val=&quot;00D1531A&quot;/&gt;&lt;wsp:rsid wsp:val=&quot;00D155D5&quot;/&gt;&lt;wsp:rsid wsp:val=&quot;00D157CF&quot;/&gt;&lt;wsp:rsid wsp:val=&quot;00D160E9&quot;/&gt;&lt;wsp:rsid wsp:val=&quot;00D16123&quot;/&gt;&lt;wsp:rsid wsp:val=&quot;00D16603&quot;/&gt;&lt;wsp:rsid wsp:val=&quot;00D16C00&quot;/&gt;&lt;wsp:rsid wsp:val=&quot;00D174C5&quot;/&gt;&lt;wsp:rsid wsp:val=&quot;00D17588&quot;/&gt;&lt;wsp:rsid wsp:val=&quot;00D17B00&quot;/&gt;&lt;wsp:rsid wsp:val=&quot;00D17EDF&quot;/&gt;&lt;wsp:rsid wsp:val=&quot;00D202A3&quot;/&gt;&lt;wsp:rsid wsp:val=&quot;00D205A4&quot;/&gt;&lt;wsp:rsid wsp:val=&quot;00D20627&quot;/&gt;&lt;wsp:rsid wsp:val=&quot;00D207EE&quot;/&gt;&lt;wsp:rsid wsp:val=&quot;00D20BC5&quot;/&gt;&lt;wsp:rsid wsp:val=&quot;00D20DFE&quot;/&gt;&lt;wsp:rsid wsp:val=&quot;00D211CE&quot;/&gt;&lt;wsp:rsid wsp:val=&quot;00D21474&quot;/&gt;&lt;wsp:rsid wsp:val=&quot;00D214EE&quot;/&gt;&lt;wsp:rsid wsp:val=&quot;00D216E8&quot;/&gt;&lt;wsp:rsid wsp:val=&quot;00D217A5&quot;/&gt;&lt;wsp:rsid wsp:val=&quot;00D21B3C&quot;/&gt;&lt;wsp:rsid wsp:val=&quot;00D21D8C&quot;/&gt;&lt;wsp:rsid wsp:val=&quot;00D22048&quot;/&gt;&lt;wsp:rsid wsp:val=&quot;00D220B8&quot;/&gt;&lt;wsp:rsid wsp:val=&quot;00D220BD&quot;/&gt;&lt;wsp:rsid wsp:val=&quot;00D223B6&quot;/&gt;&lt;wsp:rsid wsp:val=&quot;00D2248C&quot;/&gt;&lt;wsp:rsid wsp:val=&quot;00D22721&quot;/&gt;&lt;wsp:rsid wsp:val=&quot;00D233F6&quot;/&gt;&lt;wsp:rsid wsp:val=&quot;00D23873&quot;/&gt;&lt;wsp:rsid wsp:val=&quot;00D238FD&quot;/&gt;&lt;wsp:rsid wsp:val=&quot;00D23E35&quot;/&gt;&lt;wsp:rsid wsp:val=&quot;00D24174&quot;/&gt;&lt;wsp:rsid wsp:val=&quot;00D241A4&quot;/&gt;&lt;wsp:rsid wsp:val=&quot;00D24472&quot;/&gt;&lt;wsp:rsid wsp:val=&quot;00D24656&quot;/&gt;&lt;wsp:rsid wsp:val=&quot;00D24974&quot;/&gt;&lt;wsp:rsid wsp:val=&quot;00D2511E&quot;/&gt;&lt;wsp:rsid wsp:val=&quot;00D25250&quot;/&gt;&lt;wsp:rsid wsp:val=&quot;00D252DF&quot;/&gt;&lt;wsp:rsid wsp:val=&quot;00D2545C&quot;/&gt;&lt;wsp:rsid wsp:val=&quot;00D25928&quot;/&gt;&lt;wsp:rsid wsp:val=&quot;00D25A81&quot;/&gt;&lt;wsp:rsid wsp:val=&quot;00D26752&quot;/&gt;&lt;wsp:rsid wsp:val=&quot;00D2677F&quot;/&gt;&lt;wsp:rsid wsp:val=&quot;00D267A2&quot;/&gt;&lt;wsp:rsid wsp:val=&quot;00D269EE&quot;/&gt;&lt;wsp:rsid wsp:val=&quot;00D26A6F&quot;/&gt;&lt;wsp:rsid wsp:val=&quot;00D26DCF&quot;/&gt;&lt;wsp:rsid wsp:val=&quot;00D271F1&quot;/&gt;&lt;wsp:rsid wsp:val=&quot;00D2736F&quot;/&gt;&lt;wsp:rsid wsp:val=&quot;00D27540&quot;/&gt;&lt;wsp:rsid wsp:val=&quot;00D275AF&quot;/&gt;&lt;wsp:rsid wsp:val=&quot;00D30160&quot;/&gt;&lt;wsp:rsid wsp:val=&quot;00D303ED&quot;/&gt;&lt;wsp:rsid wsp:val=&quot;00D306F3&quot;/&gt;&lt;wsp:rsid wsp:val=&quot;00D30782&quot;/&gt;&lt;wsp:rsid wsp:val=&quot;00D309A6&quot;/&gt;&lt;wsp:rsid wsp:val=&quot;00D30A4A&quot;/&gt;&lt;wsp:rsid wsp:val=&quot;00D30D13&quot;/&gt;&lt;wsp:rsid wsp:val=&quot;00D3140A&quot;/&gt;&lt;wsp:rsid wsp:val=&quot;00D31450&quot;/&gt;&lt;wsp:rsid wsp:val=&quot;00D3177D&quot;/&gt;&lt;wsp:rsid wsp:val=&quot;00D31838&quot;/&gt;&lt;wsp:rsid wsp:val=&quot;00D31ABB&quot;/&gt;&lt;wsp:rsid wsp:val=&quot;00D31F79&quot;/&gt;&lt;wsp:rsid wsp:val=&quot;00D327EE&quot;/&gt;&lt;wsp:rsid wsp:val=&quot;00D327F9&quot;/&gt;&lt;wsp:rsid wsp:val=&quot;00D328C0&quot;/&gt;&lt;wsp:rsid wsp:val=&quot;00D32950&quot;/&gt;&lt;wsp:rsid wsp:val=&quot;00D32B25&quot;/&gt;&lt;wsp:rsid wsp:val=&quot;00D33B1E&quot;/&gt;&lt;wsp:rsid wsp:val=&quot;00D33D34&quot;/&gt;&lt;wsp:rsid wsp:val=&quot;00D33DA6&quot;/&gt;&lt;wsp:rsid wsp:val=&quot;00D33E6F&quot;/&gt;&lt;wsp:rsid wsp:val=&quot;00D33EF7&quot;/&gt;&lt;wsp:rsid wsp:val=&quot;00D34337&quot;/&gt;&lt;wsp:rsid wsp:val=&quot;00D34D52&quot;/&gt;&lt;wsp:rsid wsp:val=&quot;00D34EF5&quot;/&gt;&lt;wsp:rsid wsp:val=&quot;00D35314&quot;/&gt;&lt;wsp:rsid wsp:val=&quot;00D355B2&quot;/&gt;&lt;wsp:rsid wsp:val=&quot;00D3572E&quot;/&gt;&lt;wsp:rsid wsp:val=&quot;00D358F5&quot;/&gt;&lt;wsp:rsid wsp:val=&quot;00D360D5&quot;/&gt;&lt;wsp:rsid wsp:val=&quot;00D36910&quot;/&gt;&lt;wsp:rsid wsp:val=&quot;00D36A44&quot;/&gt;&lt;wsp:rsid wsp:val=&quot;00D36D02&quot;/&gt;&lt;wsp:rsid wsp:val=&quot;00D36E54&quot;/&gt;&lt;wsp:rsid wsp:val=&quot;00D36ED1&quot;/&gt;&lt;wsp:rsid wsp:val=&quot;00D37020&quot;/&gt;&lt;wsp:rsid wsp:val=&quot;00D3707C&quot;/&gt;&lt;wsp:rsid wsp:val=&quot;00D374D5&quot;/&gt;&lt;wsp:rsid wsp:val=&quot;00D37640&quot;/&gt;&lt;wsp:rsid wsp:val=&quot;00D3786F&quot;/&gt;&lt;wsp:rsid wsp:val=&quot;00D37E6C&quot;/&gt;&lt;wsp:rsid wsp:val=&quot;00D409CA&quot;/&gt;&lt;wsp:rsid wsp:val=&quot;00D40A9D&quot;/&gt;&lt;wsp:rsid wsp:val=&quot;00D40C9A&quot;/&gt;&lt;wsp:rsid wsp:val=&quot;00D41141&quot;/&gt;&lt;wsp:rsid wsp:val=&quot;00D4120B&quot;/&gt;&lt;wsp:rsid wsp:val=&quot;00D41AF9&quot;/&gt;&lt;wsp:rsid wsp:val=&quot;00D4271E&quot;/&gt;&lt;wsp:rsid wsp:val=&quot;00D42853&quot;/&gt;&lt;wsp:rsid wsp:val=&quot;00D42C01&quot;/&gt;&lt;wsp:rsid wsp:val=&quot;00D4357C&quot;/&gt;&lt;wsp:rsid wsp:val=&quot;00D43A08&quot;/&gt;&lt;wsp:rsid wsp:val=&quot;00D44116&quot;/&gt;&lt;wsp:rsid wsp:val=&quot;00D448F3&quot;/&gt;&lt;wsp:rsid wsp:val=&quot;00D44DCA&quot;/&gt;&lt;wsp:rsid wsp:val=&quot;00D4523A&quot;/&gt;&lt;wsp:rsid wsp:val=&quot;00D45374&quot;/&gt;&lt;wsp:rsid wsp:val=&quot;00D460D1&quot;/&gt;&lt;wsp:rsid wsp:val=&quot;00D46431&quot;/&gt;&lt;wsp:rsid wsp:val=&quot;00D464C3&quot;/&gt;&lt;wsp:rsid wsp:val=&quot;00D468F9&quot;/&gt;&lt;wsp:rsid wsp:val=&quot;00D46BFF&quot;/&gt;&lt;wsp:rsid wsp:val=&quot;00D46EDA&quot;/&gt;&lt;wsp:rsid wsp:val=&quot;00D470FE&quot;/&gt;&lt;wsp:rsid wsp:val=&quot;00D4791D&quot;/&gt;&lt;wsp:rsid wsp:val=&quot;00D47B1C&quot;/&gt;&lt;wsp:rsid wsp:val=&quot;00D5043F&quot;/&gt;&lt;wsp:rsid wsp:val=&quot;00D50BDB&quot;/&gt;&lt;wsp:rsid wsp:val=&quot;00D50F27&quot;/&gt;&lt;wsp:rsid wsp:val=&quot;00D51172&quot;/&gt;&lt;wsp:rsid wsp:val=&quot;00D51186&quot;/&gt;&lt;wsp:rsid wsp:val=&quot;00D514D6&quot;/&gt;&lt;wsp:rsid wsp:val=&quot;00D51EF4&quot;/&gt;&lt;wsp:rsid wsp:val=&quot;00D539C1&quot;/&gt;&lt;wsp:rsid wsp:val=&quot;00D549BF&quot;/&gt;&lt;wsp:rsid wsp:val=&quot;00D54CEA&quot;/&gt;&lt;wsp:rsid wsp:val=&quot;00D54EC3&quot;/&gt;&lt;wsp:rsid wsp:val=&quot;00D553DC&quot;/&gt;&lt;wsp:rsid wsp:val=&quot;00D55723&quot;/&gt;&lt;wsp:rsid wsp:val=&quot;00D55F09&quot;/&gt;&lt;wsp:rsid wsp:val=&quot;00D55F58&quot;/&gt;&lt;wsp:rsid wsp:val=&quot;00D569C6&quot;/&gt;&lt;wsp:rsid wsp:val=&quot;00D56FB0&quot;/&gt;&lt;wsp:rsid wsp:val=&quot;00D57428&quot;/&gt;&lt;wsp:rsid wsp:val=&quot;00D5797A&quot;/&gt;&lt;wsp:rsid wsp:val=&quot;00D57B03&quot;/&gt;&lt;wsp:rsid wsp:val=&quot;00D57EF4&quot;/&gt;&lt;wsp:rsid wsp:val=&quot;00D6009D&quot;/&gt;&lt;wsp:rsid wsp:val=&quot;00D60474&quot;/&gt;&lt;wsp:rsid wsp:val=&quot;00D60A61&quot;/&gt;&lt;wsp:rsid wsp:val=&quot;00D60E07&quot;/&gt;&lt;wsp:rsid wsp:val=&quot;00D610A4&quot;/&gt;&lt;wsp:rsid wsp:val=&quot;00D6121D&quot;/&gt;&lt;wsp:rsid wsp:val=&quot;00D612FA&quot;/&gt;&lt;wsp:rsid wsp:val=&quot;00D614B8&quot;/&gt;&lt;wsp:rsid wsp:val=&quot;00D6181B&quot;/&gt;&lt;wsp:rsid wsp:val=&quot;00D61B69&quot;/&gt;&lt;wsp:rsid wsp:val=&quot;00D61C00&quot;/&gt;&lt;wsp:rsid wsp:val=&quot;00D61E65&quot;/&gt;&lt;wsp:rsid wsp:val=&quot;00D6282C&quot;/&gt;&lt;wsp:rsid wsp:val=&quot;00D62B30&quot;/&gt;&lt;wsp:rsid wsp:val=&quot;00D62C08&quot;/&gt;&lt;wsp:rsid wsp:val=&quot;00D6321E&quot;/&gt;&lt;wsp:rsid wsp:val=&quot;00D63279&quot;/&gt;&lt;wsp:rsid wsp:val=&quot;00D636ED&quot;/&gt;&lt;wsp:rsid wsp:val=&quot;00D63860&quot;/&gt;&lt;wsp:rsid wsp:val=&quot;00D63B41&quot;/&gt;&lt;wsp:rsid wsp:val=&quot;00D63D63&quot;/&gt;&lt;wsp:rsid wsp:val=&quot;00D63EDC&quot;/&gt;&lt;wsp:rsid wsp:val=&quot;00D6491F&quot;/&gt;&lt;wsp:rsid wsp:val=&quot;00D64998&quot;/&gt;&lt;wsp:rsid wsp:val=&quot;00D64BB2&quot;/&gt;&lt;wsp:rsid wsp:val=&quot;00D64CE9&quot;/&gt;&lt;wsp:rsid wsp:val=&quot;00D64F51&quot;/&gt;&lt;wsp:rsid wsp:val=&quot;00D650DC&quot;/&gt;&lt;wsp:rsid wsp:val=&quot;00D65F20&quot;/&gt;&lt;wsp:rsid wsp:val=&quot;00D66051&quot;/&gt;&lt;wsp:rsid wsp:val=&quot;00D660FC&quot;/&gt;&lt;wsp:rsid wsp:val=&quot;00D668D4&quot;/&gt;&lt;wsp:rsid wsp:val=&quot;00D66D5A&quot;/&gt;&lt;wsp:rsid wsp:val=&quot;00D66EDE&quot;/&gt;&lt;wsp:rsid wsp:val=&quot;00D66F99&quot;/&gt;&lt;wsp:rsid wsp:val=&quot;00D67D13&quot;/&gt;&lt;wsp:rsid wsp:val=&quot;00D67D6F&quot;/&gt;&lt;wsp:rsid wsp:val=&quot;00D706AE&quot;/&gt;&lt;wsp:rsid wsp:val=&quot;00D71045&quot;/&gt;&lt;wsp:rsid wsp:val=&quot;00D71200&quot;/&gt;&lt;wsp:rsid wsp:val=&quot;00D71414&quot;/&gt;&lt;wsp:rsid wsp:val=&quot;00D715DA&quot;/&gt;&lt;wsp:rsid wsp:val=&quot;00D71E51&quot;/&gt;&lt;wsp:rsid wsp:val=&quot;00D71E83&quot;/&gt;&lt;wsp:rsid wsp:val=&quot;00D72045&quot;/&gt;&lt;wsp:rsid wsp:val=&quot;00D72135&quot;/&gt;&lt;wsp:rsid wsp:val=&quot;00D729F3&quot;/&gt;&lt;wsp:rsid wsp:val=&quot;00D72C2C&quot;/&gt;&lt;wsp:rsid wsp:val=&quot;00D73163&quot;/&gt;&lt;wsp:rsid wsp:val=&quot;00D7339E&quot;/&gt;&lt;wsp:rsid wsp:val=&quot;00D735CE&quot;/&gt;&lt;wsp:rsid wsp:val=&quot;00D73A09&quot;/&gt;&lt;wsp:rsid wsp:val=&quot;00D73CB5&quot;/&gt;&lt;wsp:rsid wsp:val=&quot;00D73CFC&quot;/&gt;&lt;wsp:rsid wsp:val=&quot;00D7442D&quot;/&gt;&lt;wsp:rsid wsp:val=&quot;00D746B0&quot;/&gt;&lt;wsp:rsid wsp:val=&quot;00D74AEE&quot;/&gt;&lt;wsp:rsid wsp:val=&quot;00D74BBE&quot;/&gt;&lt;wsp:rsid wsp:val=&quot;00D74C01&quot;/&gt;&lt;wsp:rsid wsp:val=&quot;00D75570&quot;/&gt;&lt;wsp:rsid wsp:val=&quot;00D756E2&quot;/&gt;&lt;wsp:rsid wsp:val=&quot;00D75912&quot;/&gt;&lt;wsp:rsid wsp:val=&quot;00D75A7B&quot;/&gt;&lt;wsp:rsid wsp:val=&quot;00D75CB0&quot;/&gt;&lt;wsp:rsid wsp:val=&quot;00D7612C&quot;/&gt;&lt;wsp:rsid wsp:val=&quot;00D762A6&quot;/&gt;&lt;wsp:rsid wsp:val=&quot;00D76471&quot;/&gt;&lt;wsp:rsid wsp:val=&quot;00D76484&quot;/&gt;&lt;wsp:rsid wsp:val=&quot;00D765AC&quot;/&gt;&lt;wsp:rsid wsp:val=&quot;00D76875&quot;/&gt;&lt;wsp:rsid wsp:val=&quot;00D772CA&quot;/&gt;&lt;wsp:rsid wsp:val=&quot;00D7731D&quot;/&gt;&lt;wsp:rsid wsp:val=&quot;00D773E8&quot;/&gt;&lt;wsp:rsid wsp:val=&quot;00D77973&quot;/&gt;&lt;wsp:rsid wsp:val=&quot;00D77AD8&quot;/&gt;&lt;wsp:rsid wsp:val=&quot;00D801AB&quot;/&gt;&lt;wsp:rsid wsp:val=&quot;00D801DF&quot;/&gt;&lt;wsp:rsid wsp:val=&quot;00D80C23&quot;/&gt;&lt;wsp:rsid wsp:val=&quot;00D80F5A&quot;/&gt;&lt;wsp:rsid wsp:val=&quot;00D8171D&quot;/&gt;&lt;wsp:rsid wsp:val=&quot;00D81901&quot;/&gt;&lt;wsp:rsid wsp:val=&quot;00D81D7F&quot;/&gt;&lt;wsp:rsid wsp:val=&quot;00D82068&quot;/&gt;&lt;wsp:rsid wsp:val=&quot;00D821BE&quot;/&gt;&lt;wsp:rsid wsp:val=&quot;00D83500&quot;/&gt;&lt;wsp:rsid wsp:val=&quot;00D83745&quot;/&gt;&lt;wsp:rsid wsp:val=&quot;00D83B0B&quot;/&gt;&lt;wsp:rsid wsp:val=&quot;00D83C16&quot;/&gt;&lt;wsp:rsid wsp:val=&quot;00D84320&quot;/&gt;&lt;wsp:rsid wsp:val=&quot;00D84711&quot;/&gt;&lt;wsp:rsid wsp:val=&quot;00D84C83&quot;/&gt;&lt;wsp:rsid wsp:val=&quot;00D84F5B&quot;/&gt;&lt;wsp:rsid wsp:val=&quot;00D84F6F&quot;/&gt;&lt;wsp:rsid wsp:val=&quot;00D84F88&quot;/&gt;&lt;wsp:rsid wsp:val=&quot;00D85422&quot;/&gt;&lt;wsp:rsid wsp:val=&quot;00D8550B&quot;/&gt;&lt;wsp:rsid wsp:val=&quot;00D8613C&quot;/&gt;&lt;wsp:rsid wsp:val=&quot;00D867E4&quot;/&gt;&lt;wsp:rsid wsp:val=&quot;00D868BD&quot;/&gt;&lt;wsp:rsid wsp:val=&quot;00D86A1E&quot;/&gt;&lt;wsp:rsid wsp:val=&quot;00D86E83&quot;/&gt;&lt;wsp:rsid wsp:val=&quot;00D87694&quot;/&gt;&lt;wsp:rsid wsp:val=&quot;00D87E5F&quot;/&gt;&lt;wsp:rsid wsp:val=&quot;00D90166&quot;/&gt;&lt;wsp:rsid wsp:val=&quot;00D903B6&quot;/&gt;&lt;wsp:rsid wsp:val=&quot;00D90B3F&quot;/&gt;&lt;wsp:rsid wsp:val=&quot;00D91720&quot;/&gt;&lt;wsp:rsid wsp:val=&quot;00D91C2F&quot;/&gt;&lt;wsp:rsid wsp:val=&quot;00D91EB9&quot;/&gt;&lt;wsp:rsid wsp:val=&quot;00D92246&quot;/&gt;&lt;wsp:rsid wsp:val=&quot;00D923FD&quot;/&gt;&lt;wsp:rsid wsp:val=&quot;00D9257C&quot;/&gt;&lt;wsp:rsid wsp:val=&quot;00D925E0&quot;/&gt;&lt;wsp:rsid wsp:val=&quot;00D927EE&quot;/&gt;&lt;wsp:rsid wsp:val=&quot;00D9283B&quot;/&gt;&lt;wsp:rsid wsp:val=&quot;00D92951&quot;/&gt;&lt;wsp:rsid wsp:val=&quot;00D92D14&quot;/&gt;&lt;wsp:rsid wsp:val=&quot;00D92FB7&quot;/&gt;&lt;wsp:rsid wsp:val=&quot;00D934B7&quot;/&gt;&lt;wsp:rsid wsp:val=&quot;00D937E0&quot;/&gt;&lt;wsp:rsid wsp:val=&quot;00D938A8&quot;/&gt;&lt;wsp:rsid wsp:val=&quot;00D93BD4&quot;/&gt;&lt;wsp:rsid wsp:val=&quot;00D945DA&quot;/&gt;&lt;wsp:rsid wsp:val=&quot;00D94D61&quot;/&gt;&lt;wsp:rsid wsp:val=&quot;00D9523C&quot;/&gt;&lt;wsp:rsid wsp:val=&quot;00D95572&quot;/&gt;&lt;wsp:rsid wsp:val=&quot;00D9573A&quot;/&gt;&lt;wsp:rsid wsp:val=&quot;00D958A7&quot;/&gt;&lt;wsp:rsid wsp:val=&quot;00D96136&quot;/&gt;&lt;wsp:rsid wsp:val=&quot;00D96152&quot;/&gt;&lt;wsp:rsid wsp:val=&quot;00D963FB&quot;/&gt;&lt;wsp:rsid wsp:val=&quot;00D96537&quot;/&gt;&lt;wsp:rsid wsp:val=&quot;00D96730&quot;/&gt;&lt;wsp:rsid wsp:val=&quot;00D96B9B&quot;/&gt;&lt;wsp:rsid wsp:val=&quot;00D96C67&quot;/&gt;&lt;wsp:rsid wsp:val=&quot;00D96DA1&quot;/&gt;&lt;wsp:rsid wsp:val=&quot;00D96ECA&quot;/&gt;&lt;wsp:rsid wsp:val=&quot;00D97590&quot;/&gt;&lt;wsp:rsid wsp:val=&quot;00D97706&quot;/&gt;&lt;wsp:rsid wsp:val=&quot;00D97CBD&quot;/&gt;&lt;wsp:rsid wsp:val=&quot;00D97DF3&quot;/&gt;&lt;wsp:rsid wsp:val=&quot;00DA0059&quot;/&gt;&lt;wsp:rsid wsp:val=&quot;00DA08E1&quot;/&gt;&lt;wsp:rsid wsp:val=&quot;00DA0A80&quot;/&gt;&lt;wsp:rsid wsp:val=&quot;00DA108F&quot;/&gt;&lt;wsp:rsid wsp:val=&quot;00DA1519&quot;/&gt;&lt;wsp:rsid wsp:val=&quot;00DA19EA&quot;/&gt;&lt;wsp:rsid wsp:val=&quot;00DA213B&quot;/&gt;&lt;wsp:rsid wsp:val=&quot;00DA2168&quot;/&gt;&lt;wsp:rsid wsp:val=&quot;00DA2253&quot;/&gt;&lt;wsp:rsid wsp:val=&quot;00DA22BB&quot;/&gt;&lt;wsp:rsid wsp:val=&quot;00DA27F9&quot;/&gt;&lt;wsp:rsid wsp:val=&quot;00DA3210&quot;/&gt;&lt;wsp:rsid wsp:val=&quot;00DA366A&quot;/&gt;&lt;wsp:rsid wsp:val=&quot;00DA38DF&quot;/&gt;&lt;wsp:rsid wsp:val=&quot;00DA3E2C&quot;/&gt;&lt;wsp:rsid wsp:val=&quot;00DA3FAA&quot;/&gt;&lt;wsp:rsid wsp:val=&quot;00DA3FEE&quot;/&gt;&lt;wsp:rsid wsp:val=&quot;00DA404A&quot;/&gt;&lt;wsp:rsid wsp:val=&quot;00DA452C&quot;/&gt;&lt;wsp:rsid wsp:val=&quot;00DA463E&quot;/&gt;&lt;wsp:rsid wsp:val=&quot;00DA4729&quot;/&gt;&lt;wsp:rsid wsp:val=&quot;00DA49DA&quot;/&gt;&lt;wsp:rsid wsp:val=&quot;00DA4E43&quot;/&gt;&lt;wsp:rsid wsp:val=&quot;00DA5E3F&quot;/&gt;&lt;wsp:rsid wsp:val=&quot;00DA5EF9&quot;/&gt;&lt;wsp:rsid wsp:val=&quot;00DA612D&quot;/&gt;&lt;wsp:rsid wsp:val=&quot;00DA66AD&quot;/&gt;&lt;wsp:rsid wsp:val=&quot;00DA70E8&quot;/&gt;&lt;wsp:rsid wsp:val=&quot;00DA77C4&quot;/&gt;&lt;wsp:rsid wsp:val=&quot;00DA7ADE&quot;/&gt;&lt;wsp:rsid wsp:val=&quot;00DA7DB6&quot;/&gt;&lt;wsp:rsid wsp:val=&quot;00DA7F17&quot;/&gt;&lt;wsp:rsid wsp:val=&quot;00DB00A2&quot;/&gt;&lt;wsp:rsid wsp:val=&quot;00DB0382&quot;/&gt;&lt;wsp:rsid wsp:val=&quot;00DB0472&quot;/&gt;&lt;wsp:rsid wsp:val=&quot;00DB0773&quot;/&gt;&lt;wsp:rsid wsp:val=&quot;00DB08D2&quot;/&gt;&lt;wsp:rsid wsp:val=&quot;00DB11FF&quot;/&gt;&lt;wsp:rsid wsp:val=&quot;00DB126E&quot;/&gt;&lt;wsp:rsid wsp:val=&quot;00DB13E5&quot;/&gt;&lt;wsp:rsid wsp:val=&quot;00DB18AE&quot;/&gt;&lt;wsp:rsid wsp:val=&quot;00DB1F4A&quot;/&gt;&lt;wsp:rsid wsp:val=&quot;00DB216C&quot;/&gt;&lt;wsp:rsid wsp:val=&quot;00DB238E&quot;/&gt;&lt;wsp:rsid wsp:val=&quot;00DB2474&quot;/&gt;&lt;wsp:rsid wsp:val=&quot;00DB2542&quot;/&gt;&lt;wsp:rsid wsp:val=&quot;00DB2767&quot;/&gt;&lt;wsp:rsid wsp:val=&quot;00DB2AD4&quot;/&gt;&lt;wsp:rsid wsp:val=&quot;00DB3DA3&quot;/&gt;&lt;wsp:rsid wsp:val=&quot;00DB3F4B&quot;/&gt;&lt;wsp:rsid wsp:val=&quot;00DB45AC&quot;/&gt;&lt;wsp:rsid wsp:val=&quot;00DB4693&quot;/&gt;&lt;wsp:rsid wsp:val=&quot;00DB474A&quot;/&gt;&lt;wsp:rsid wsp:val=&quot;00DB4CB9&quot;/&gt;&lt;wsp:rsid wsp:val=&quot;00DB4F18&quot;/&gt;&lt;wsp:rsid wsp:val=&quot;00DB505F&quot;/&gt;&lt;wsp:rsid wsp:val=&quot;00DB52BC&quot;/&gt;&lt;wsp:rsid wsp:val=&quot;00DB580B&quot;/&gt;&lt;wsp:rsid wsp:val=&quot;00DB5BDA&quot;/&gt;&lt;wsp:rsid wsp:val=&quot;00DB6869&quot;/&gt;&lt;wsp:rsid wsp:val=&quot;00DB6CC1&quot;/&gt;&lt;wsp:rsid wsp:val=&quot;00DB7265&quot;/&gt;&lt;wsp:rsid wsp:val=&quot;00DB7513&quot;/&gt;&lt;wsp:rsid wsp:val=&quot;00DB7CFE&quot;/&gt;&lt;wsp:rsid wsp:val=&quot;00DB7DB5&quot;/&gt;&lt;wsp:rsid wsp:val=&quot;00DB7DEC&quot;/&gt;&lt;wsp:rsid wsp:val=&quot;00DC068E&quot;/&gt;&lt;wsp:rsid wsp:val=&quot;00DC0977&quot;/&gt;&lt;wsp:rsid wsp:val=&quot;00DC0A83&quot;/&gt;&lt;wsp:rsid wsp:val=&quot;00DC0BB3&quot;/&gt;&lt;wsp:rsid wsp:val=&quot;00DC0BED&quot;/&gt;&lt;wsp:rsid wsp:val=&quot;00DC0D35&quot;/&gt;&lt;wsp:rsid wsp:val=&quot;00DC1636&quot;/&gt;&lt;wsp:rsid wsp:val=&quot;00DC166D&quot;/&gt;&lt;wsp:rsid wsp:val=&quot;00DC1990&quot;/&gt;&lt;wsp:rsid wsp:val=&quot;00DC1B2F&quot;/&gt;&lt;wsp:rsid wsp:val=&quot;00DC1BF2&quot;/&gt;&lt;wsp:rsid wsp:val=&quot;00DC1E27&quot;/&gt;&lt;wsp:rsid wsp:val=&quot;00DC20A9&quot;/&gt;&lt;wsp:rsid wsp:val=&quot;00DC21A9&quot;/&gt;&lt;wsp:rsid wsp:val=&quot;00DC22BC&quot;/&gt;&lt;wsp:rsid wsp:val=&quot;00DC27A8&quot;/&gt;&lt;wsp:rsid wsp:val=&quot;00DC2FA9&quot;/&gt;&lt;wsp:rsid wsp:val=&quot;00DC4B29&quot;/&gt;&lt;wsp:rsid wsp:val=&quot;00DC4E25&quot;/&gt;&lt;wsp:rsid wsp:val=&quot;00DC4F80&quot;/&gt;&lt;wsp:rsid wsp:val=&quot;00DC50DF&quot;/&gt;&lt;wsp:rsid wsp:val=&quot;00DC6120&quot;/&gt;&lt;wsp:rsid wsp:val=&quot;00DC63F7&quot;/&gt;&lt;wsp:rsid wsp:val=&quot;00DC6423&quot;/&gt;&lt;wsp:rsid wsp:val=&quot;00DC6A58&quot;/&gt;&lt;wsp:rsid wsp:val=&quot;00DC6BCE&quot;/&gt;&lt;wsp:rsid wsp:val=&quot;00DC6CE5&quot;/&gt;&lt;wsp:rsid wsp:val=&quot;00DC6F05&quot;/&gt;&lt;wsp:rsid wsp:val=&quot;00DC73C7&quot;/&gt;&lt;wsp:rsid wsp:val=&quot;00DC7DE4&quot;/&gt;&lt;wsp:rsid wsp:val=&quot;00DD0144&quot;/&gt;&lt;wsp:rsid wsp:val=&quot;00DD01D0&quot;/&gt;&lt;wsp:rsid wsp:val=&quot;00DD035D&quot;/&gt;&lt;wsp:rsid wsp:val=&quot;00DD0423&quot;/&gt;&lt;wsp:rsid wsp:val=&quot;00DD0424&quot;/&gt;&lt;wsp:rsid wsp:val=&quot;00DD0557&quot;/&gt;&lt;wsp:rsid wsp:val=&quot;00DD095A&quot;/&gt;&lt;wsp:rsid wsp:val=&quot;00DD0A7F&quot;/&gt;&lt;wsp:rsid wsp:val=&quot;00DD0BF4&quot;/&gt;&lt;wsp:rsid wsp:val=&quot;00DD0C92&quot;/&gt;&lt;wsp:rsid wsp:val=&quot;00DD0DE3&quot;/&gt;&lt;wsp:rsid wsp:val=&quot;00DD14E8&quot;/&gt;&lt;wsp:rsid wsp:val=&quot;00DD1F0F&quot;/&gt;&lt;wsp:rsid wsp:val=&quot;00DD2221&quot;/&gt;&lt;wsp:rsid wsp:val=&quot;00DD23C5&quot;/&gt;&lt;wsp:rsid wsp:val=&quot;00DD2480&quot;/&gt;&lt;wsp:rsid wsp:val=&quot;00DD2731&quot;/&gt;&lt;wsp:rsid wsp:val=&quot;00DD29AF&quot;/&gt;&lt;wsp:rsid wsp:val=&quot;00DD2BA4&quot;/&gt;&lt;wsp:rsid wsp:val=&quot;00DD3142&quot;/&gt;&lt;wsp:rsid wsp:val=&quot;00DD33B7&quot;/&gt;&lt;wsp:rsid wsp:val=&quot;00DD3944&quot;/&gt;&lt;wsp:rsid wsp:val=&quot;00DD4331&quot;/&gt;&lt;wsp:rsid wsp:val=&quot;00DD4552&quot;/&gt;&lt;wsp:rsid wsp:val=&quot;00DD469C&quot;/&gt;&lt;wsp:rsid wsp:val=&quot;00DD47F8&quot;/&gt;&lt;wsp:rsid wsp:val=&quot;00DD4F6B&quot;/&gt;&lt;wsp:rsid wsp:val=&quot;00DD4FCC&quot;/&gt;&lt;wsp:rsid wsp:val=&quot;00DD57B9&quot;/&gt;&lt;wsp:rsid wsp:val=&quot;00DD5BD0&quot;/&gt;&lt;wsp:rsid wsp:val=&quot;00DD68CB&quot;/&gt;&lt;wsp:rsid wsp:val=&quot;00DD6B83&quot;/&gt;&lt;wsp:rsid wsp:val=&quot;00DD6DF9&quot;/&gt;&lt;wsp:rsid wsp:val=&quot;00DD6E1D&quot;/&gt;&lt;wsp:rsid wsp:val=&quot;00DD7001&quot;/&gt;&lt;wsp:rsid wsp:val=&quot;00DD7326&quot;/&gt;&lt;wsp:rsid wsp:val=&quot;00DD7685&quot;/&gt;&lt;wsp:rsid wsp:val=&quot;00DD7C2A&quot;/&gt;&lt;wsp:rsid wsp:val=&quot;00DD7D62&quot;/&gt;&lt;wsp:rsid wsp:val=&quot;00DD7DF7&quot;/&gt;&lt;wsp:rsid wsp:val=&quot;00DD7FF0&quot;/&gt;&lt;wsp:rsid wsp:val=&quot;00DD7FFB&quot;/&gt;&lt;wsp:rsid wsp:val=&quot;00DE07D4&quot;/&gt;&lt;wsp:rsid wsp:val=&quot;00DE085F&quot;/&gt;&lt;wsp:rsid wsp:val=&quot;00DE0EB7&quot;/&gt;&lt;wsp:rsid wsp:val=&quot;00DE1175&quot;/&gt;&lt;wsp:rsid wsp:val=&quot;00DE154C&quot;/&gt;&lt;wsp:rsid wsp:val=&quot;00DE16A3&quot;/&gt;&lt;wsp:rsid wsp:val=&quot;00DE17F0&quot;/&gt;&lt;wsp:rsid wsp:val=&quot;00DE21B9&quot;/&gt;&lt;wsp:rsid wsp:val=&quot;00DE25F2&quot;/&gt;&lt;wsp:rsid wsp:val=&quot;00DE2B53&quot;/&gt;&lt;wsp:rsid wsp:val=&quot;00DE2C1A&quot;/&gt;&lt;wsp:rsid wsp:val=&quot;00DE2CD3&quot;/&gt;&lt;wsp:rsid wsp:val=&quot;00DE3456&quot;/&gt;&lt;wsp:rsid wsp:val=&quot;00DE3B78&quot;/&gt;&lt;wsp:rsid wsp:val=&quot;00DE3CC1&quot;/&gt;&lt;wsp:rsid wsp:val=&quot;00DE413F&quot;/&gt;&lt;wsp:rsid wsp:val=&quot;00DE414C&quot;/&gt;&lt;wsp:rsid wsp:val=&quot;00DE47D6&quot;/&gt;&lt;wsp:rsid wsp:val=&quot;00DE496C&quot;/&gt;&lt;wsp:rsid wsp:val=&quot;00DE4A9C&quot;/&gt;&lt;wsp:rsid wsp:val=&quot;00DE4DA5&quot;/&gt;&lt;wsp:rsid wsp:val=&quot;00DE4F15&quot;/&gt;&lt;wsp:rsid wsp:val=&quot;00DE5303&quot;/&gt;&lt;wsp:rsid wsp:val=&quot;00DE55F8&quot;/&gt;&lt;wsp:rsid wsp:val=&quot;00DE576A&quot;/&gt;&lt;wsp:rsid wsp:val=&quot;00DE59C5&quot;/&gt;&lt;wsp:rsid wsp:val=&quot;00DE5FC0&quot;/&gt;&lt;wsp:rsid wsp:val=&quot;00DE61D3&quot;/&gt;&lt;wsp:rsid wsp:val=&quot;00DE64E0&quot;/&gt;&lt;wsp:rsid wsp:val=&quot;00DE6BE2&quot;/&gt;&lt;wsp:rsid wsp:val=&quot;00DE7091&quot;/&gt;&lt;wsp:rsid wsp:val=&quot;00DE71A9&quot;/&gt;&lt;wsp:rsid wsp:val=&quot;00DE7757&quot;/&gt;&lt;wsp:rsid wsp:val=&quot;00DE7B2F&quot;/&gt;&lt;wsp:rsid wsp:val=&quot;00DF02EC&quot;/&gt;&lt;wsp:rsid wsp:val=&quot;00DF181F&quot;/&gt;&lt;wsp:rsid wsp:val=&quot;00DF1B64&quot;/&gt;&lt;wsp:rsid wsp:val=&quot;00DF1B9C&quot;/&gt;&lt;wsp:rsid wsp:val=&quot;00DF1BE4&quot;/&gt;&lt;wsp:rsid wsp:val=&quot;00DF1EC7&quot;/&gt;&lt;wsp:rsid wsp:val=&quot;00DF23A2&quot;/&gt;&lt;wsp:rsid wsp:val=&quot;00DF24B7&quot;/&gt;&lt;wsp:rsid wsp:val=&quot;00DF2CFC&quot;/&gt;&lt;wsp:rsid wsp:val=&quot;00DF2F2E&quot;/&gt;&lt;wsp:rsid wsp:val=&quot;00DF2F53&quot;/&gt;&lt;wsp:rsid wsp:val=&quot;00DF3453&quot;/&gt;&lt;wsp:rsid wsp:val=&quot;00DF3980&quot;/&gt;&lt;wsp:rsid wsp:val=&quot;00DF3E90&quot;/&gt;&lt;wsp:rsid wsp:val=&quot;00DF44CD&quot;/&gt;&lt;wsp:rsid wsp:val=&quot;00DF47B2&quot;/&gt;&lt;wsp:rsid wsp:val=&quot;00DF4A7F&quot;/&gt;&lt;wsp:rsid wsp:val=&quot;00DF4BC9&quot;/&gt;&lt;wsp:rsid wsp:val=&quot;00DF4CD3&quot;/&gt;&lt;wsp:rsid wsp:val=&quot;00DF5005&quot;/&gt;&lt;wsp:rsid wsp:val=&quot;00DF50B2&quot;/&gt;&lt;wsp:rsid wsp:val=&quot;00DF52BF&quot;/&gt;&lt;wsp:rsid wsp:val=&quot;00DF5B2F&quot;/&gt;&lt;wsp:rsid wsp:val=&quot;00DF5F76&quot;/&gt;&lt;wsp:rsid wsp:val=&quot;00DF62D9&quot;/&gt;&lt;wsp:rsid wsp:val=&quot;00DF692A&quot;/&gt;&lt;wsp:rsid wsp:val=&quot;00DF6BA2&quot;/&gt;&lt;wsp:rsid wsp:val=&quot;00DF6BC5&quot;/&gt;&lt;wsp:rsid wsp:val=&quot;00DF6D56&quot;/&gt;&lt;wsp:rsid wsp:val=&quot;00DF6E14&quot;/&gt;&lt;wsp:rsid wsp:val=&quot;00DF6EDF&quot;/&gt;&lt;wsp:rsid wsp:val=&quot;00DF7081&quot;/&gt;&lt;wsp:rsid wsp:val=&quot;00DF78F3&quot;/&gt;&lt;wsp:rsid wsp:val=&quot;00DF7E04&quot;/&gt;&lt;wsp:rsid wsp:val=&quot;00E00107&quot;/&gt;&lt;wsp:rsid wsp:val=&quot;00E00166&quot;/&gt;&lt;wsp:rsid wsp:val=&quot;00E0016E&quot;/&gt;&lt;wsp:rsid wsp:val=&quot;00E0018D&quot;/&gt;&lt;wsp:rsid wsp:val=&quot;00E00247&quot;/&gt;&lt;wsp:rsid wsp:val=&quot;00E00421&quot;/&gt;&lt;wsp:rsid wsp:val=&quot;00E0058E&quot;/&gt;&lt;wsp:rsid wsp:val=&quot;00E00870&quot;/&gt;&lt;wsp:rsid wsp:val=&quot;00E00C41&quot;/&gt;&lt;wsp:rsid wsp:val=&quot;00E00F36&quot;/&gt;&lt;wsp:rsid wsp:val=&quot;00E01144&quot;/&gt;&lt;wsp:rsid wsp:val=&quot;00E0119B&quot;/&gt;&lt;wsp:rsid wsp:val=&quot;00E01D38&quot;/&gt;&lt;wsp:rsid wsp:val=&quot;00E01F74&quot;/&gt;&lt;wsp:rsid wsp:val=&quot;00E0226D&quot;/&gt;&lt;wsp:rsid wsp:val=&quot;00E0249B&quot;/&gt;&lt;wsp:rsid wsp:val=&quot;00E03AEF&quot;/&gt;&lt;wsp:rsid wsp:val=&quot;00E04615&quot;/&gt;&lt;wsp:rsid wsp:val=&quot;00E0496E&quot;/&gt;&lt;wsp:rsid wsp:val=&quot;00E04E21&quot;/&gt;&lt;wsp:rsid wsp:val=&quot;00E04F0D&quot;/&gt;&lt;wsp:rsid wsp:val=&quot;00E05281&quot;/&gt;&lt;wsp:rsid wsp:val=&quot;00E054F0&quot;/&gt;&lt;wsp:rsid wsp:val=&quot;00E0573D&quot;/&gt;&lt;wsp:rsid wsp:val=&quot;00E05918&quot;/&gt;&lt;wsp:rsid wsp:val=&quot;00E06235&quot;/&gt;&lt;wsp:rsid wsp:val=&quot;00E06869&quot;/&gt;&lt;wsp:rsid wsp:val=&quot;00E06985&quot;/&gt;&lt;wsp:rsid wsp:val=&quot;00E069CF&quot;/&gt;&lt;wsp:rsid wsp:val=&quot;00E071CB&quot;/&gt;&lt;wsp:rsid wsp:val=&quot;00E07387&quot;/&gt;&lt;wsp:rsid wsp:val=&quot;00E074B5&quot;/&gt;&lt;wsp:rsid wsp:val=&quot;00E074DC&quot;/&gt;&lt;wsp:rsid wsp:val=&quot;00E07C5A&quot;/&gt;&lt;wsp:rsid wsp:val=&quot;00E07DE7&quot;/&gt;&lt;wsp:rsid wsp:val=&quot;00E07E32&quot;/&gt;&lt;wsp:rsid wsp:val=&quot;00E1003A&quot;/&gt;&lt;wsp:rsid wsp:val=&quot;00E10063&quot;/&gt;&lt;wsp:rsid wsp:val=&quot;00E1058C&quot;/&gt;&lt;wsp:rsid wsp:val=&quot;00E10922&quot;/&gt;&lt;wsp:rsid wsp:val=&quot;00E10EA2&quot;/&gt;&lt;wsp:rsid wsp:val=&quot;00E11139&quot;/&gt;&lt;wsp:rsid wsp:val=&quot;00E11578&quot;/&gt;&lt;wsp:rsid wsp:val=&quot;00E11B63&quot;/&gt;&lt;wsp:rsid wsp:val=&quot;00E11EA6&quot;/&gt;&lt;wsp:rsid wsp:val=&quot;00E12039&quot;/&gt;&lt;wsp:rsid wsp:val=&quot;00E120E6&quot;/&gt;&lt;wsp:rsid wsp:val=&quot;00E12441&quot;/&gt;&lt;wsp:rsid wsp:val=&quot;00E129B2&quot;/&gt;&lt;wsp:rsid wsp:val=&quot;00E1341F&quot;/&gt;&lt;wsp:rsid wsp:val=&quot;00E14019&quot;/&gt;&lt;wsp:rsid wsp:val=&quot;00E1402B&quot;/&gt;&lt;wsp:rsid wsp:val=&quot;00E14B6C&quot;/&gt;&lt;wsp:rsid wsp:val=&quot;00E14BEA&quot;/&gt;&lt;wsp:rsid wsp:val=&quot;00E1519A&quot;/&gt;&lt;wsp:rsid wsp:val=&quot;00E157F7&quot;/&gt;&lt;wsp:rsid wsp:val=&quot;00E15F88&quot;/&gt;&lt;wsp:rsid wsp:val=&quot;00E160AA&quot;/&gt;&lt;wsp:rsid wsp:val=&quot;00E165AB&quot;/&gt;&lt;wsp:rsid wsp:val=&quot;00E165B0&quot;/&gt;&lt;wsp:rsid wsp:val=&quot;00E169A8&quot;/&gt;&lt;wsp:rsid wsp:val=&quot;00E16E1A&quot;/&gt;&lt;wsp:rsid wsp:val=&quot;00E16E65&quot;/&gt;&lt;wsp:rsid wsp:val=&quot;00E16EFE&quot;/&gt;&lt;wsp:rsid wsp:val=&quot;00E17262&quot;/&gt;&lt;wsp:rsid wsp:val=&quot;00E174BB&quot;/&gt;&lt;wsp:rsid wsp:val=&quot;00E17518&quot;/&gt;&lt;wsp:rsid wsp:val=&quot;00E17B35&quot;/&gt;&lt;wsp:rsid wsp:val=&quot;00E17EAF&quot;/&gt;&lt;wsp:rsid wsp:val=&quot;00E20169&quot;/&gt;&lt;wsp:rsid wsp:val=&quot;00E206DF&quot;/&gt;&lt;wsp:rsid wsp:val=&quot;00E20B51&quot;/&gt;&lt;wsp:rsid wsp:val=&quot;00E20BA0&quot;/&gt;&lt;wsp:rsid wsp:val=&quot;00E20D60&quot;/&gt;&lt;wsp:rsid wsp:val=&quot;00E20F4E&quot;/&gt;&lt;wsp:rsid wsp:val=&quot;00E21328&quot;/&gt;&lt;wsp:rsid wsp:val=&quot;00E21910&quot;/&gt;&lt;wsp:rsid wsp:val=&quot;00E21AED&quot;/&gt;&lt;wsp:rsid wsp:val=&quot;00E21B44&quot;/&gt;&lt;wsp:rsid wsp:val=&quot;00E21B5C&quot;/&gt;&lt;wsp:rsid wsp:val=&quot;00E21BDA&quot;/&gt;&lt;wsp:rsid wsp:val=&quot;00E21BF4&quot;/&gt;&lt;wsp:rsid wsp:val=&quot;00E21E34&quot;/&gt;&lt;wsp:rsid wsp:val=&quot;00E2274C&quot;/&gt;&lt;wsp:rsid wsp:val=&quot;00E22B9C&quot;/&gt;&lt;wsp:rsid wsp:val=&quot;00E22DF6&quot;/&gt;&lt;wsp:rsid wsp:val=&quot;00E237BA&quot;/&gt;&lt;wsp:rsid wsp:val=&quot;00E24415&quot;/&gt;&lt;wsp:rsid wsp:val=&quot;00E24449&quot;/&gt;&lt;wsp:rsid wsp:val=&quot;00E245C7&quot;/&gt;&lt;wsp:rsid wsp:val=&quot;00E24B4D&quot;/&gt;&lt;wsp:rsid wsp:val=&quot;00E25144&quot;/&gt;&lt;wsp:rsid wsp:val=&quot;00E253CD&quot;/&gt;&lt;wsp:rsid wsp:val=&quot;00E25461&quot;/&gt;&lt;wsp:rsid wsp:val=&quot;00E25F58&quot;/&gt;&lt;wsp:rsid wsp:val=&quot;00E26185&quot;/&gt;&lt;wsp:rsid wsp:val=&quot;00E268FB&quot;/&gt;&lt;wsp:rsid wsp:val=&quot;00E27024&quot;/&gt;&lt;wsp:rsid wsp:val=&quot;00E2755F&quot;/&gt;&lt;wsp:rsid wsp:val=&quot;00E27F58&quot;/&gt;&lt;wsp:rsid wsp:val=&quot;00E300E7&quot;/&gt;&lt;wsp:rsid wsp:val=&quot;00E30BFA&quot;/&gt;&lt;wsp:rsid wsp:val=&quot;00E3181D&quot;/&gt;&lt;wsp:rsid wsp:val=&quot;00E318A3&quot;/&gt;&lt;wsp:rsid wsp:val=&quot;00E31F21&quot;/&gt;&lt;wsp:rsid wsp:val=&quot;00E320B1&quot;/&gt;&lt;wsp:rsid wsp:val=&quot;00E3218F&quot;/&gt;&lt;wsp:rsid wsp:val=&quot;00E3249A&quot;/&gt;&lt;wsp:rsid wsp:val=&quot;00E3279E&quot;/&gt;&lt;wsp:rsid wsp:val=&quot;00E329CA&quot;/&gt;&lt;wsp:rsid wsp:val=&quot;00E32BF6&quot;/&gt;&lt;wsp:rsid wsp:val=&quot;00E32C8C&quot;/&gt;&lt;wsp:rsid wsp:val=&quot;00E32E7C&quot;/&gt;&lt;wsp:rsid wsp:val=&quot;00E33034&quot;/&gt;&lt;wsp:rsid wsp:val=&quot;00E33303&quot;/&gt;&lt;wsp:rsid wsp:val=&quot;00E334B8&quot;/&gt;&lt;wsp:rsid wsp:val=&quot;00E33546&quot;/&gt;&lt;wsp:rsid wsp:val=&quot;00E335D3&quot;/&gt;&lt;wsp:rsid wsp:val=&quot;00E33A9F&quot;/&gt;&lt;wsp:rsid wsp:val=&quot;00E33D4B&quot;/&gt;&lt;wsp:rsid wsp:val=&quot;00E33F97&quot;/&gt;&lt;wsp:rsid wsp:val=&quot;00E342C9&quot;/&gt;&lt;wsp:rsid wsp:val=&quot;00E34380&quot;/&gt;&lt;wsp:rsid wsp:val=&quot;00E3457D&quot;/&gt;&lt;wsp:rsid wsp:val=&quot;00E34741&quot;/&gt;&lt;wsp:rsid wsp:val=&quot;00E34EDD&quot;/&gt;&lt;wsp:rsid wsp:val=&quot;00E34F28&quot;/&gt;&lt;wsp:rsid wsp:val=&quot;00E34F78&quot;/&gt;&lt;wsp:rsid wsp:val=&quot;00E35ADA&quot;/&gt;&lt;wsp:rsid wsp:val=&quot;00E35B55&quot;/&gt;&lt;wsp:rsid wsp:val=&quot;00E35EE9&quot;/&gt;&lt;wsp:rsid wsp:val=&quot;00E35F9B&quot;/&gt;&lt;wsp:rsid wsp:val=&quot;00E364C1&quot;/&gt;&lt;wsp:rsid wsp:val=&quot;00E365ED&quot;/&gt;&lt;wsp:rsid wsp:val=&quot;00E366F5&quot;/&gt;&lt;wsp:rsid wsp:val=&quot;00E368BF&quot;/&gt;&lt;wsp:rsid wsp:val=&quot;00E37032&quot;/&gt;&lt;wsp:rsid wsp:val=&quot;00E37196&quot;/&gt;&lt;wsp:rsid wsp:val=&quot;00E376AA&quot;/&gt;&lt;wsp:rsid wsp:val=&quot;00E37A63&quot;/&gt;&lt;wsp:rsid wsp:val=&quot;00E37C42&quot;/&gt;&lt;wsp:rsid wsp:val=&quot;00E37D4E&quot;/&gt;&lt;wsp:rsid wsp:val=&quot;00E40990&quot;/&gt;&lt;wsp:rsid wsp:val=&quot;00E40E65&quot;/&gt;&lt;wsp:rsid wsp:val=&quot;00E410D4&quot;/&gt;&lt;wsp:rsid wsp:val=&quot;00E415CA&quot;/&gt;&lt;wsp:rsid wsp:val=&quot;00E41647&quot;/&gt;&lt;wsp:rsid wsp:val=&quot;00E417BB&quot;/&gt;&lt;wsp:rsid wsp:val=&quot;00E41861&quot;/&gt;&lt;wsp:rsid wsp:val=&quot;00E41E7A&quot;/&gt;&lt;wsp:rsid wsp:val=&quot;00E422D4&quot;/&gt;&lt;wsp:rsid wsp:val=&quot;00E42450&quot;/&gt;&lt;wsp:rsid wsp:val=&quot;00E427FF&quot;/&gt;&lt;wsp:rsid wsp:val=&quot;00E42ADB&quot;/&gt;&lt;wsp:rsid wsp:val=&quot;00E42B03&quot;/&gt;&lt;wsp:rsid wsp:val=&quot;00E43337&quot;/&gt;&lt;wsp:rsid wsp:val=&quot;00E4352F&quot;/&gt;&lt;wsp:rsid wsp:val=&quot;00E4353C&quot;/&gt;&lt;wsp:rsid wsp:val=&quot;00E43687&quot;/&gt;&lt;wsp:rsid wsp:val=&quot;00E43B4B&quot;/&gt;&lt;wsp:rsid wsp:val=&quot;00E442BB&quot;/&gt;&lt;wsp:rsid wsp:val=&quot;00E44308&quot;/&gt;&lt;wsp:rsid wsp:val=&quot;00E443A4&quot;/&gt;&lt;wsp:rsid wsp:val=&quot;00E44910&quot;/&gt;&lt;wsp:rsid wsp:val=&quot;00E44A1D&quot;/&gt;&lt;wsp:rsid wsp:val=&quot;00E44C60&quot;/&gt;&lt;wsp:rsid wsp:val=&quot;00E44CCC&quot;/&gt;&lt;wsp:rsid wsp:val=&quot;00E44D7C&quot;/&gt;&lt;wsp:rsid wsp:val=&quot;00E44F4C&quot;/&gt;&lt;wsp:rsid wsp:val=&quot;00E45C08&quot;/&gt;&lt;wsp:rsid wsp:val=&quot;00E45EFE&quot;/&gt;&lt;wsp:rsid wsp:val=&quot;00E46932&quot;/&gt;&lt;wsp:rsid wsp:val=&quot;00E46960&quot;/&gt;&lt;wsp:rsid wsp:val=&quot;00E470C6&quot;/&gt;&lt;wsp:rsid wsp:val=&quot;00E47734&quot;/&gt;&lt;wsp:rsid wsp:val=&quot;00E4785F&quot;/&gt;&lt;wsp:rsid wsp:val=&quot;00E479DC&quot;/&gt;&lt;wsp:rsid wsp:val=&quot;00E47D1F&quot;/&gt;&lt;wsp:rsid wsp:val=&quot;00E5013E&quot;/&gt;&lt;wsp:rsid wsp:val=&quot;00E50915&quot;/&gt;&lt;wsp:rsid wsp:val=&quot;00E509FD&quot;/&gt;&lt;wsp:rsid wsp:val=&quot;00E50AA8&quot;/&gt;&lt;wsp:rsid wsp:val=&quot;00E50E61&quot;/&gt;&lt;wsp:rsid wsp:val=&quot;00E51AEA&quot;/&gt;&lt;wsp:rsid wsp:val=&quot;00E51CD9&quot;/&gt;&lt;wsp:rsid wsp:val=&quot;00E51E04&quot;/&gt;&lt;wsp:rsid wsp:val=&quot;00E5218D&quot;/&gt;&lt;wsp:rsid wsp:val=&quot;00E522F9&quot;/&gt;&lt;wsp:rsid wsp:val=&quot;00E52382&quot;/&gt;&lt;wsp:rsid wsp:val=&quot;00E52D9A&quot;/&gt;&lt;wsp:rsid wsp:val=&quot;00E52ECD&quot;/&gt;&lt;wsp:rsid wsp:val=&quot;00E52EE4&quot;/&gt;&lt;wsp:rsid wsp:val=&quot;00E52F84&quot;/&gt;&lt;wsp:rsid wsp:val=&quot;00E52FFD&quot;/&gt;&lt;wsp:rsid wsp:val=&quot;00E53660&quot;/&gt;&lt;wsp:rsid wsp:val=&quot;00E53A0A&quot;/&gt;&lt;wsp:rsid wsp:val=&quot;00E53E1C&quot;/&gt;&lt;wsp:rsid wsp:val=&quot;00E54208&quot;/&gt;&lt;wsp:rsid wsp:val=&quot;00E54349&quot;/&gt;&lt;wsp:rsid wsp:val=&quot;00E54614&quot;/&gt;&lt;wsp:rsid wsp:val=&quot;00E546E0&quot;/&gt;&lt;wsp:rsid wsp:val=&quot;00E5491F&quot;/&gt;&lt;wsp:rsid wsp:val=&quot;00E54C82&quot;/&gt;&lt;wsp:rsid wsp:val=&quot;00E54F4B&quot;/&gt;&lt;wsp:rsid wsp:val=&quot;00E55FF3&quot;/&gt;&lt;wsp:rsid wsp:val=&quot;00E5656C&quot;/&gt;&lt;wsp:rsid wsp:val=&quot;00E565D4&quot;/&gt;&lt;wsp:rsid wsp:val=&quot;00E56673&quot;/&gt;&lt;wsp:rsid wsp:val=&quot;00E5681D&quot;/&gt;&lt;wsp:rsid wsp:val=&quot;00E56D94&quot;/&gt;&lt;wsp:rsid wsp:val=&quot;00E56F86&quot;/&gt;&lt;wsp:rsid wsp:val=&quot;00E5709D&quot;/&gt;&lt;wsp:rsid wsp:val=&quot;00E57375&quot;/&gt;&lt;wsp:rsid wsp:val=&quot;00E57514&quot;/&gt;&lt;wsp:rsid wsp:val=&quot;00E57561&quot;/&gt;&lt;wsp:rsid wsp:val=&quot;00E5758F&quot;/&gt;&lt;wsp:rsid wsp:val=&quot;00E57AB5&quot;/&gt;&lt;wsp:rsid wsp:val=&quot;00E57FA9&quot;/&gt;&lt;wsp:rsid wsp:val=&quot;00E6034A&quot;/&gt;&lt;wsp:rsid wsp:val=&quot;00E608B5&quot;/&gt;&lt;wsp:rsid wsp:val=&quot;00E60D6F&quot;/&gt;&lt;wsp:rsid wsp:val=&quot;00E60E51&quot;/&gt;&lt;wsp:rsid wsp:val=&quot;00E60E79&quot;/&gt;&lt;wsp:rsid wsp:val=&quot;00E610CA&quot;/&gt;&lt;wsp:rsid wsp:val=&quot;00E611B2&quot;/&gt;&lt;wsp:rsid wsp:val=&quot;00E613C9&quot;/&gt;&lt;wsp:rsid wsp:val=&quot;00E6153E&quot;/&gt;&lt;wsp:rsid wsp:val=&quot;00E6176E&quot;/&gt;&lt;wsp:rsid wsp:val=&quot;00E61935&quot;/&gt;&lt;wsp:rsid wsp:val=&quot;00E62308&quot;/&gt;&lt;wsp:rsid wsp:val=&quot;00E62527&quot;/&gt;&lt;wsp:rsid wsp:val=&quot;00E626FB&quot;/&gt;&lt;wsp:rsid wsp:val=&quot;00E62869&quot;/&gt;&lt;wsp:rsid wsp:val=&quot;00E62B78&quot;/&gt;&lt;wsp:rsid wsp:val=&quot;00E632A7&quot;/&gt;&lt;wsp:rsid wsp:val=&quot;00E633F0&quot;/&gt;&lt;wsp:rsid wsp:val=&quot;00E6391C&quot;/&gt;&lt;wsp:rsid wsp:val=&quot;00E63B45&quot;/&gt;&lt;wsp:rsid wsp:val=&quot;00E63EE1&quot;/&gt;&lt;wsp:rsid wsp:val=&quot;00E64025&quot;/&gt;&lt;wsp:rsid wsp:val=&quot;00E64546&quot;/&gt;&lt;wsp:rsid wsp:val=&quot;00E64D07&quot;/&gt;&lt;wsp:rsid wsp:val=&quot;00E64E25&quot;/&gt;&lt;wsp:rsid wsp:val=&quot;00E6518F&quot;/&gt;&lt;wsp:rsid wsp:val=&quot;00E65F05&quot;/&gt;&lt;wsp:rsid wsp:val=&quot;00E65FB1&quot;/&gt;&lt;wsp:rsid wsp:val=&quot;00E666C5&quot;/&gt;&lt;wsp:rsid wsp:val=&quot;00E6693C&quot;/&gt;&lt;wsp:rsid wsp:val=&quot;00E66F55&quot;/&gt;&lt;wsp:rsid wsp:val=&quot;00E6706C&quot;/&gt;&lt;wsp:rsid wsp:val=&quot;00E67621&quot;/&gt;&lt;wsp:rsid wsp:val=&quot;00E679AF&quot;/&gt;&lt;wsp:rsid wsp:val=&quot;00E70224&quot;/&gt;&lt;wsp:rsid wsp:val=&quot;00E704A5&quot;/&gt;&lt;wsp:rsid wsp:val=&quot;00E70711&quot;/&gt;&lt;wsp:rsid wsp:val=&quot;00E70D02&quot;/&gt;&lt;wsp:rsid wsp:val=&quot;00E71435&quot;/&gt;&lt;wsp:rsid wsp:val=&quot;00E714A1&quot;/&gt;&lt;wsp:rsid wsp:val=&quot;00E71661&quot;/&gt;&lt;wsp:rsid wsp:val=&quot;00E718FE&quot;/&gt;&lt;wsp:rsid wsp:val=&quot;00E71BFA&quot;/&gt;&lt;wsp:rsid wsp:val=&quot;00E72367&quot;/&gt;&lt;wsp:rsid wsp:val=&quot;00E7264A&quot;/&gt;&lt;wsp:rsid wsp:val=&quot;00E727EE&quot;/&gt;&lt;wsp:rsid wsp:val=&quot;00E72939&quot;/&gt;&lt;wsp:rsid wsp:val=&quot;00E73262&quot;/&gt;&lt;wsp:rsid wsp:val=&quot;00E73747&quot;/&gt;&lt;wsp:rsid wsp:val=&quot;00E738AD&quot;/&gt;&lt;wsp:rsid wsp:val=&quot;00E73AEC&quot;/&gt;&lt;wsp:rsid wsp:val=&quot;00E74796&quot;/&gt;&lt;wsp:rsid wsp:val=&quot;00E74BC2&quot;/&gt;&lt;wsp:rsid wsp:val=&quot;00E74D63&quot;/&gt;&lt;wsp:rsid wsp:val=&quot;00E7500C&quot;/&gt;&lt;wsp:rsid wsp:val=&quot;00E7505C&quot;/&gt;&lt;wsp:rsid wsp:val=&quot;00E752AE&quot;/&gt;&lt;wsp:rsid wsp:val=&quot;00E7552F&quot;/&gt;&lt;wsp:rsid wsp:val=&quot;00E75629&quot;/&gt;&lt;wsp:rsid wsp:val=&quot;00E75AC6&quot;/&gt;&lt;wsp:rsid wsp:val=&quot;00E75E82&quot;/&gt;&lt;wsp:rsid wsp:val=&quot;00E75EE5&quot;/&gt;&lt;wsp:rsid wsp:val=&quot;00E76143&quot;/&gt;&lt;wsp:rsid wsp:val=&quot;00E76F38&quot;/&gt;&lt;wsp:rsid wsp:val=&quot;00E77581&quot;/&gt;&lt;wsp:rsid wsp:val=&quot;00E7781A&quot;/&gt;&lt;wsp:rsid wsp:val=&quot;00E77B8B&quot;/&gt;&lt;wsp:rsid wsp:val=&quot;00E77D04&quot;/&gt;&lt;wsp:rsid wsp:val=&quot;00E802AE&quot;/&gt;&lt;wsp:rsid wsp:val=&quot;00E80671&quot;/&gt;&lt;wsp:rsid wsp:val=&quot;00E80ED5&quot;/&gt;&lt;wsp:rsid wsp:val=&quot;00E80FDB&quot;/&gt;&lt;wsp:rsid wsp:val=&quot;00E81B32&quot;/&gt;&lt;wsp:rsid wsp:val=&quot;00E81BA1&quot;/&gt;&lt;wsp:rsid wsp:val=&quot;00E82016&quot;/&gt;&lt;wsp:rsid wsp:val=&quot;00E82772&quot;/&gt;&lt;wsp:rsid wsp:val=&quot;00E827DE&quot;/&gt;&lt;wsp:rsid wsp:val=&quot;00E83674&quot;/&gt;&lt;wsp:rsid wsp:val=&quot;00E83C13&quot;/&gt;&lt;wsp:rsid wsp:val=&quot;00E8433E&quot;/&gt;&lt;wsp:rsid wsp:val=&quot;00E8463F&quot;/&gt;&lt;wsp:rsid wsp:val=&quot;00E84E03&quot;/&gt;&lt;wsp:rsid wsp:val=&quot;00E85262&quot;/&gt;&lt;wsp:rsid wsp:val=&quot;00E85892&quot;/&gt;&lt;wsp:rsid wsp:val=&quot;00E85A0A&quot;/&gt;&lt;wsp:rsid wsp:val=&quot;00E85EBC&quot;/&gt;&lt;wsp:rsid wsp:val=&quot;00E86176&quot;/&gt;&lt;wsp:rsid wsp:val=&quot;00E86772&quot;/&gt;&lt;wsp:rsid wsp:val=&quot;00E86CD6&quot;/&gt;&lt;wsp:rsid wsp:val=&quot;00E86D8B&quot;/&gt;&lt;wsp:rsid wsp:val=&quot;00E8777C&quot;/&gt;&lt;wsp:rsid wsp:val=&quot;00E87972&quot;/&gt;&lt;wsp:rsid wsp:val=&quot;00E8797B&quot;/&gt;&lt;wsp:rsid wsp:val=&quot;00E87A12&quot;/&gt;&lt;wsp:rsid wsp:val=&quot;00E87DA5&quot;/&gt;&lt;wsp:rsid wsp:val=&quot;00E900B8&quot;/&gt;&lt;wsp:rsid wsp:val=&quot;00E906F2&quot;/&gt;&lt;wsp:rsid wsp:val=&quot;00E90A85&quot;/&gt;&lt;wsp:rsid wsp:val=&quot;00E90ADB&quot;/&gt;&lt;wsp:rsid wsp:val=&quot;00E90AEF&quot;/&gt;&lt;wsp:rsid wsp:val=&quot;00E90B2C&quot;/&gt;&lt;wsp:rsid wsp:val=&quot;00E90B73&quot;/&gt;&lt;wsp:rsid wsp:val=&quot;00E90D03&quot;/&gt;&lt;wsp:rsid wsp:val=&quot;00E90D6A&quot;/&gt;&lt;wsp:rsid wsp:val=&quot;00E91242&quot;/&gt;&lt;wsp:rsid wsp:val=&quot;00E913BE&quot;/&gt;&lt;wsp:rsid wsp:val=&quot;00E922DF&quot;/&gt;&lt;wsp:rsid wsp:val=&quot;00E927DA&quot;/&gt;&lt;wsp:rsid wsp:val=&quot;00E92974&quot;/&gt;&lt;wsp:rsid wsp:val=&quot;00E929C9&quot;/&gt;&lt;wsp:rsid wsp:val=&quot;00E92C21&quot;/&gt;&lt;wsp:rsid wsp:val=&quot;00E940A0&quot;/&gt;&lt;wsp:rsid wsp:val=&quot;00E94167&quot;/&gt;&lt;wsp:rsid wsp:val=&quot;00E9476C&quot;/&gt;&lt;wsp:rsid wsp:val=&quot;00E9486A&quot;/&gt;&lt;wsp:rsid wsp:val=&quot;00E9527E&quot;/&gt;&lt;wsp:rsid wsp:val=&quot;00E9528B&quot;/&gt;&lt;wsp:rsid wsp:val=&quot;00E9577E&quot;/&gt;&lt;wsp:rsid wsp:val=&quot;00E957F3&quot;/&gt;&lt;wsp:rsid wsp:val=&quot;00E95BFA&quot;/&gt;&lt;wsp:rsid wsp:val=&quot;00E9609A&quot;/&gt;&lt;wsp:rsid wsp:val=&quot;00E96315&quot;/&gt;&lt;wsp:rsid wsp:val=&quot;00E964DC&quot;/&gt;&lt;wsp:rsid wsp:val=&quot;00E969CB&quot;/&gt;&lt;wsp:rsid wsp:val=&quot;00E96AB5&quot;/&gt;&lt;wsp:rsid wsp:val=&quot;00E96C13&quot;/&gt;&lt;wsp:rsid wsp:val=&quot;00E96C6C&quot;/&gt;&lt;wsp:rsid wsp:val=&quot;00E97062&quot;/&gt;&lt;wsp:rsid wsp:val=&quot;00E97130&quot;/&gt;&lt;wsp:rsid wsp:val=&quot;00E97312&quot;/&gt;&lt;wsp:rsid wsp:val=&quot;00E977D2&quot;/&gt;&lt;wsp:rsid wsp:val=&quot;00E9798A&quot;/&gt;&lt;wsp:rsid wsp:val=&quot;00E97DB5&quot;/&gt;&lt;wsp:rsid wsp:val=&quot;00E97DDB&quot;/&gt;&lt;wsp:rsid wsp:val=&quot;00E97DEB&quot;/&gt;&lt;wsp:rsid wsp:val=&quot;00EA044D&quot;/&gt;&lt;wsp:rsid wsp:val=&quot;00EA0B51&quot;/&gt;&lt;wsp:rsid wsp:val=&quot;00EA16F2&quot;/&gt;&lt;wsp:rsid wsp:val=&quot;00EA17BE&quot;/&gt;&lt;wsp:rsid wsp:val=&quot;00EA1AD9&quot;/&gt;&lt;wsp:rsid wsp:val=&quot;00EA1D6A&quot;/&gt;&lt;wsp:rsid wsp:val=&quot;00EA1D73&quot;/&gt;&lt;wsp:rsid wsp:val=&quot;00EA1F85&quot;/&gt;&lt;wsp:rsid wsp:val=&quot;00EA2710&quot;/&gt;&lt;wsp:rsid wsp:val=&quot;00EA27C0&quot;/&gt;&lt;wsp:rsid wsp:val=&quot;00EA38DF&quot;/&gt;&lt;wsp:rsid wsp:val=&quot;00EA3924&quot;/&gt;&lt;wsp:rsid wsp:val=&quot;00EA3C04&quot;/&gt;&lt;wsp:rsid wsp:val=&quot;00EA3DC1&quot;/&gt;&lt;wsp:rsid wsp:val=&quot;00EA3EF5&quot;/&gt;&lt;wsp:rsid wsp:val=&quot;00EA3F5E&quot;/&gt;&lt;wsp:rsid wsp:val=&quot;00EA459A&quot;/&gt;&lt;wsp:rsid wsp:val=&quot;00EA45D2&quot;/&gt;&lt;wsp:rsid wsp:val=&quot;00EA49F2&quot;/&gt;&lt;wsp:rsid wsp:val=&quot;00EA4CF9&quot;/&gt;&lt;wsp:rsid wsp:val=&quot;00EA51D5&quot;/&gt;&lt;wsp:rsid wsp:val=&quot;00EA5434&quot;/&gt;&lt;wsp:rsid wsp:val=&quot;00EA575C&quot;/&gt;&lt;wsp:rsid wsp:val=&quot;00EA592E&quot;/&gt;&lt;wsp:rsid wsp:val=&quot;00EA59AE&quot;/&gt;&lt;wsp:rsid wsp:val=&quot;00EA651E&quot;/&gt;&lt;wsp:rsid wsp:val=&quot;00EA65D6&quot;/&gt;&lt;wsp:rsid wsp:val=&quot;00EA676A&quot;/&gt;&lt;wsp:rsid wsp:val=&quot;00EA6C0C&quot;/&gt;&lt;wsp:rsid wsp:val=&quot;00EA6C67&quot;/&gt;&lt;wsp:rsid wsp:val=&quot;00EA6D01&quot;/&gt;&lt;wsp:rsid wsp:val=&quot;00EA6E6D&quot;/&gt;&lt;wsp:rsid wsp:val=&quot;00EA74F6&quot;/&gt;&lt;wsp:rsid wsp:val=&quot;00EA7572&quot;/&gt;&lt;wsp:rsid wsp:val=&quot;00EA7CE2&quot;/&gt;&lt;wsp:rsid wsp:val=&quot;00EA7E3C&quot;/&gt;&lt;wsp:rsid wsp:val=&quot;00EA7E63&quot;/&gt;&lt;wsp:rsid wsp:val=&quot;00EB0155&quot;/&gt;&lt;wsp:rsid wsp:val=&quot;00EB03FD&quot;/&gt;&lt;wsp:rsid wsp:val=&quot;00EB08EB&quot;/&gt;&lt;wsp:rsid wsp:val=&quot;00EB0C7B&quot;/&gt;&lt;wsp:rsid wsp:val=&quot;00EB111F&quot;/&gt;&lt;wsp:rsid wsp:val=&quot;00EB118D&quot;/&gt;&lt;wsp:rsid wsp:val=&quot;00EB15C3&quot;/&gt;&lt;wsp:rsid wsp:val=&quot;00EB1C7F&quot;/&gt;&lt;wsp:rsid wsp:val=&quot;00EB2590&quot;/&gt;&lt;wsp:rsid wsp:val=&quot;00EB2DC0&quot;/&gt;&lt;wsp:rsid wsp:val=&quot;00EB3026&quot;/&gt;&lt;wsp:rsid wsp:val=&quot;00EB3347&quot;/&gt;&lt;wsp:rsid wsp:val=&quot;00EB380F&quot;/&gt;&lt;wsp:rsid wsp:val=&quot;00EB3AA3&quot;/&gt;&lt;wsp:rsid wsp:val=&quot;00EB3AC1&quot;/&gt;&lt;wsp:rsid wsp:val=&quot;00EB3F4C&quot;/&gt;&lt;wsp:rsid wsp:val=&quot;00EB41EA&quot;/&gt;&lt;wsp:rsid wsp:val=&quot;00EB4231&quot;/&gt;&lt;wsp:rsid wsp:val=&quot;00EB459C&quot;/&gt;&lt;wsp:rsid wsp:val=&quot;00EB488E&quot;/&gt;&lt;wsp:rsid wsp:val=&quot;00EB52D5&quot;/&gt;&lt;wsp:rsid wsp:val=&quot;00EB5722&quot;/&gt;&lt;wsp:rsid wsp:val=&quot;00EB57F5&quot;/&gt;&lt;wsp:rsid wsp:val=&quot;00EB583F&quot;/&gt;&lt;wsp:rsid wsp:val=&quot;00EB5F3F&quot;/&gt;&lt;wsp:rsid wsp:val=&quot;00EB62B3&quot;/&gt;&lt;wsp:rsid wsp:val=&quot;00EB6524&quot;/&gt;&lt;wsp:rsid wsp:val=&quot;00EB66C7&quot;/&gt;&lt;wsp:rsid wsp:val=&quot;00EB6720&quot;/&gt;&lt;wsp:rsid wsp:val=&quot;00EB6808&quot;/&gt;&lt;wsp:rsid wsp:val=&quot;00EB69F8&quot;/&gt;&lt;wsp:rsid wsp:val=&quot;00EB6A5C&quot;/&gt;&lt;wsp:rsid wsp:val=&quot;00EB6D0A&quot;/&gt;&lt;wsp:rsid wsp:val=&quot;00EB72EF&quot;/&gt;&lt;wsp:rsid wsp:val=&quot;00EB73A5&quot;/&gt;&lt;wsp:rsid wsp:val=&quot;00EB7516&quot;/&gt;&lt;wsp:rsid wsp:val=&quot;00EC0326&quot;/&gt;&lt;wsp:rsid wsp:val=&quot;00EC033E&quot;/&gt;&lt;wsp:rsid wsp:val=&quot;00EC0926&quot;/&gt;&lt;wsp:rsid wsp:val=&quot;00EC0952&quot;/&gt;&lt;wsp:rsid wsp:val=&quot;00EC0E57&quot;/&gt;&lt;wsp:rsid wsp:val=&quot;00EC0FB1&quot;/&gt;&lt;wsp:rsid wsp:val=&quot;00EC1252&quot;/&gt;&lt;wsp:rsid wsp:val=&quot;00EC2A47&quot;/&gt;&lt;wsp:rsid wsp:val=&quot;00EC2AE8&quot;/&gt;&lt;wsp:rsid wsp:val=&quot;00EC2F82&quot;/&gt;&lt;wsp:rsid wsp:val=&quot;00EC32FC&quot;/&gt;&lt;wsp:rsid wsp:val=&quot;00EC3479&quot;/&gt;&lt;wsp:rsid wsp:val=&quot;00EC3572&quot;/&gt;&lt;wsp:rsid wsp:val=&quot;00EC35A6&quot;/&gt;&lt;wsp:rsid wsp:val=&quot;00EC41EF&quot;/&gt;&lt;wsp:rsid wsp:val=&quot;00EC4460&quot;/&gt;&lt;wsp:rsid wsp:val=&quot;00EC4898&quot;/&gt;&lt;wsp:rsid wsp:val=&quot;00EC497E&quot;/&gt;&lt;wsp:rsid wsp:val=&quot;00EC4CBE&quot;/&gt;&lt;wsp:rsid wsp:val=&quot;00EC4F0E&quot;/&gt;&lt;wsp:rsid wsp:val=&quot;00EC5017&quot;/&gt;&lt;wsp:rsid wsp:val=&quot;00EC5634&quot;/&gt;&lt;wsp:rsid wsp:val=&quot;00EC56E4&quot;/&gt;&lt;wsp:rsid wsp:val=&quot;00EC6013&quot;/&gt;&lt;wsp:rsid wsp:val=&quot;00EC6088&quot;/&gt;&lt;wsp:rsid wsp:val=&quot;00EC63F7&quot;/&gt;&lt;wsp:rsid wsp:val=&quot;00EC65BF&quot;/&gt;&lt;wsp:rsid wsp:val=&quot;00EC6AB4&quot;/&gt;&lt;wsp:rsid wsp:val=&quot;00EC6EAF&quot;/&gt;&lt;wsp:rsid wsp:val=&quot;00EC7149&quot;/&gt;&lt;wsp:rsid wsp:val=&quot;00EC7265&quot;/&gt;&lt;wsp:rsid wsp:val=&quot;00EC75D1&quot;/&gt;&lt;wsp:rsid wsp:val=&quot;00ED0144&quot;/&gt;&lt;wsp:rsid wsp:val=&quot;00ED016B&quot;/&gt;&lt;wsp:rsid wsp:val=&quot;00ED028D&quot;/&gt;&lt;wsp:rsid wsp:val=&quot;00ED057C&quot;/&gt;&lt;wsp:rsid wsp:val=&quot;00ED0EC5&quot;/&gt;&lt;wsp:rsid wsp:val=&quot;00ED103C&quot;/&gt;&lt;wsp:rsid wsp:val=&quot;00ED1402&quot;/&gt;&lt;wsp:rsid wsp:val=&quot;00ED1C0C&quot;/&gt;&lt;wsp:rsid wsp:val=&quot;00ED1C31&quot;/&gt;&lt;wsp:rsid wsp:val=&quot;00ED1D70&quot;/&gt;&lt;wsp:rsid wsp:val=&quot;00ED1EE4&quot;/&gt;&lt;wsp:rsid wsp:val=&quot;00ED20CA&quot;/&gt;&lt;wsp:rsid wsp:val=&quot;00ED291D&quot;/&gt;&lt;wsp:rsid wsp:val=&quot;00ED2A3A&quot;/&gt;&lt;wsp:rsid wsp:val=&quot;00ED2A69&quot;/&gt;&lt;wsp:rsid wsp:val=&quot;00ED2FCA&quot;/&gt;&lt;wsp:rsid wsp:val=&quot;00ED2FD5&quot;/&gt;&lt;wsp:rsid wsp:val=&quot;00ED33DD&quot;/&gt;&lt;wsp:rsid wsp:val=&quot;00ED3452&quot;/&gt;&lt;wsp:rsid wsp:val=&quot;00ED35D4&quot;/&gt;&lt;wsp:rsid wsp:val=&quot;00ED389E&quot;/&gt;&lt;wsp:rsid wsp:val=&quot;00ED3935&quot;/&gt;&lt;wsp:rsid wsp:val=&quot;00ED4783&quot;/&gt;&lt;wsp:rsid wsp:val=&quot;00ED47C6&quot;/&gt;&lt;wsp:rsid wsp:val=&quot;00ED4C83&quot;/&gt;&lt;wsp:rsid wsp:val=&quot;00ED4FC6&quot;/&gt;&lt;wsp:rsid wsp:val=&quot;00ED5405&quot;/&gt;&lt;wsp:rsid wsp:val=&quot;00ED56C1&quot;/&gt;&lt;wsp:rsid wsp:val=&quot;00ED58CB&quot;/&gt;&lt;wsp:rsid wsp:val=&quot;00ED6905&quot;/&gt;&lt;wsp:rsid wsp:val=&quot;00ED6E1C&quot;/&gt;&lt;wsp:rsid wsp:val=&quot;00ED742D&quot;/&gt;&lt;wsp:rsid wsp:val=&quot;00ED7914&quot;/&gt;&lt;wsp:rsid wsp:val=&quot;00ED7BD0&quot;/&gt;&lt;wsp:rsid wsp:val=&quot;00ED7D97&quot;/&gt;&lt;wsp:rsid wsp:val=&quot;00ED7E79&quot;/&gt;&lt;wsp:rsid wsp:val=&quot;00EE0739&quot;/&gt;&lt;wsp:rsid wsp:val=&quot;00EE0B06&quot;/&gt;&lt;wsp:rsid wsp:val=&quot;00EE0B0A&quot;/&gt;&lt;wsp:rsid wsp:val=&quot;00EE0BDC&quot;/&gt;&lt;wsp:rsid wsp:val=&quot;00EE0E63&quot;/&gt;&lt;wsp:rsid wsp:val=&quot;00EE1A47&quot;/&gt;&lt;wsp:rsid wsp:val=&quot;00EE1DF0&quot;/&gt;&lt;wsp:rsid wsp:val=&quot;00EE1DF8&quot;/&gt;&lt;wsp:rsid wsp:val=&quot;00EE25E4&quot;/&gt;&lt;wsp:rsid wsp:val=&quot;00EE28E1&quot;/&gt;&lt;wsp:rsid wsp:val=&quot;00EE2ADD&quot;/&gt;&lt;wsp:rsid wsp:val=&quot;00EE3066&quot;/&gt;&lt;wsp:rsid wsp:val=&quot;00EE35C8&quot;/&gt;&lt;wsp:rsid wsp:val=&quot;00EE379A&quot;/&gt;&lt;wsp:rsid wsp:val=&quot;00EE3AB3&quot;/&gt;&lt;wsp:rsid wsp:val=&quot;00EE3B65&quot;/&gt;&lt;wsp:rsid wsp:val=&quot;00EE3C6B&quot;/&gt;&lt;wsp:rsid wsp:val=&quot;00EE3C8B&quot;/&gt;&lt;wsp:rsid wsp:val=&quot;00EE3D81&quot;/&gt;&lt;wsp:rsid wsp:val=&quot;00EE3FA8&quot;/&gt;&lt;wsp:rsid wsp:val=&quot;00EE43EE&quot;/&gt;&lt;wsp:rsid wsp:val=&quot;00EE4496&quot;/&gt;&lt;wsp:rsid wsp:val=&quot;00EE4552&quot;/&gt;&lt;wsp:rsid wsp:val=&quot;00EE464C&quot;/&gt;&lt;wsp:rsid wsp:val=&quot;00EE4B29&quot;/&gt;&lt;wsp:rsid wsp:val=&quot;00EE4B3F&quot;/&gt;&lt;wsp:rsid wsp:val=&quot;00EE65C5&quot;/&gt;&lt;wsp:rsid wsp:val=&quot;00EE680B&quot;/&gt;&lt;wsp:rsid wsp:val=&quot;00EE7400&quot;/&gt;&lt;wsp:rsid wsp:val=&quot;00EE7912&quot;/&gt;&lt;wsp:rsid wsp:val=&quot;00EF013E&quot;/&gt;&lt;wsp:rsid wsp:val=&quot;00EF04CA&quot;/&gt;&lt;wsp:rsid wsp:val=&quot;00EF0649&quot;/&gt;&lt;wsp:rsid wsp:val=&quot;00EF0751&quot;/&gt;&lt;wsp:rsid wsp:val=&quot;00EF07D8&quot;/&gt;&lt;wsp:rsid wsp:val=&quot;00EF08CE&quot;/&gt;&lt;wsp:rsid wsp:val=&quot;00EF0B2A&quot;/&gt;&lt;wsp:rsid wsp:val=&quot;00EF0E83&quot;/&gt;&lt;wsp:rsid wsp:val=&quot;00EF0F0A&quot;/&gt;&lt;wsp:rsid wsp:val=&quot;00EF0FF6&quot;/&gt;&lt;wsp:rsid wsp:val=&quot;00EF104E&quot;/&gt;&lt;wsp:rsid wsp:val=&quot;00EF1688&quot;/&gt;&lt;wsp:rsid wsp:val=&quot;00EF1A3A&quot;/&gt;&lt;wsp:rsid wsp:val=&quot;00EF1C16&quot;/&gt;&lt;wsp:rsid wsp:val=&quot;00EF1E30&quot;/&gt;&lt;wsp:rsid wsp:val=&quot;00EF2005&quot;/&gt;&lt;wsp:rsid wsp:val=&quot;00EF2999&quot;/&gt;&lt;wsp:rsid wsp:val=&quot;00EF3066&quot;/&gt;&lt;wsp:rsid wsp:val=&quot;00EF30A1&quot;/&gt;&lt;wsp:rsid wsp:val=&quot;00EF372B&quot;/&gt;&lt;wsp:rsid wsp:val=&quot;00EF3F0D&quot;/&gt;&lt;wsp:rsid wsp:val=&quot;00EF4476&quot;/&gt;&lt;wsp:rsid wsp:val=&quot;00EF4B56&quot;/&gt;&lt;wsp:rsid wsp:val=&quot;00EF4DCA&quot;/&gt;&lt;wsp:rsid wsp:val=&quot;00EF4E77&quot;/&gt;&lt;wsp:rsid wsp:val=&quot;00EF51F9&quot;/&gt;&lt;wsp:rsid wsp:val=&quot;00EF555F&quot;/&gt;&lt;wsp:rsid wsp:val=&quot;00EF5805&quot;/&gt;&lt;wsp:rsid wsp:val=&quot;00EF5899&quot;/&gt;&lt;wsp:rsid wsp:val=&quot;00EF5E4E&quot;/&gt;&lt;wsp:rsid wsp:val=&quot;00EF5FA3&quot;/&gt;&lt;wsp:rsid wsp:val=&quot;00EF5FD5&quot;/&gt;&lt;wsp:rsid wsp:val=&quot;00EF642B&quot;/&gt;&lt;wsp:rsid wsp:val=&quot;00EF6766&quot;/&gt;&lt;wsp:rsid wsp:val=&quot;00EF689E&quot;/&gt;&lt;wsp:rsid wsp:val=&quot;00EF6E11&quot;/&gt;&lt;wsp:rsid wsp:val=&quot;00EF73E4&quot;/&gt;&lt;wsp:rsid wsp:val=&quot;00EF76A6&quot;/&gt;&lt;wsp:rsid wsp:val=&quot;00EF7873&quot;/&gt;&lt;wsp:rsid wsp:val=&quot;00EF7B2D&quot;/&gt;&lt;wsp:rsid wsp:val=&quot;00EF7C7E&quot;/&gt;&lt;wsp:rsid wsp:val=&quot;00F00396&quot;/&gt;&lt;wsp:rsid wsp:val=&quot;00F0062B&quot;/&gt;&lt;wsp:rsid wsp:val=&quot;00F00EEF&quot;/&gt;&lt;wsp:rsid wsp:val=&quot;00F00FE8&quot;/&gt;&lt;wsp:rsid wsp:val=&quot;00F013FF&quot;/&gt;&lt;wsp:rsid wsp:val=&quot;00F01644&quot;/&gt;&lt;wsp:rsid wsp:val=&quot;00F016F2&quot;/&gt;&lt;wsp:rsid wsp:val=&quot;00F01A8B&quot;/&gt;&lt;wsp:rsid wsp:val=&quot;00F02044&quot;/&gt;&lt;wsp:rsid wsp:val=&quot;00F02258&quot;/&gt;&lt;wsp:rsid wsp:val=&quot;00F0298F&quot;/&gt;&lt;wsp:rsid wsp:val=&quot;00F02E0C&quot;/&gt;&lt;wsp:rsid wsp:val=&quot;00F03059&quot;/&gt;&lt;wsp:rsid wsp:val=&quot;00F03186&quot;/&gt;&lt;wsp:rsid wsp:val=&quot;00F035AE&quot;/&gt;&lt;wsp:rsid wsp:val=&quot;00F03D98&quot;/&gt;&lt;wsp:rsid wsp:val=&quot;00F03F4A&quot;/&gt;&lt;wsp:rsid wsp:val=&quot;00F03FAA&quot;/&gt;&lt;wsp:rsid wsp:val=&quot;00F043C6&quot;/&gt;&lt;wsp:rsid wsp:val=&quot;00F043D8&quot;/&gt;&lt;wsp:rsid wsp:val=&quot;00F04E24&quot;/&gt;&lt;wsp:rsid wsp:val=&quot;00F0514A&quot;/&gt;&lt;wsp:rsid wsp:val=&quot;00F0528B&quot;/&gt;&lt;wsp:rsid wsp:val=&quot;00F05778&quot;/&gt;&lt;wsp:rsid wsp:val=&quot;00F05D5F&quot;/&gt;&lt;wsp:rsid wsp:val=&quot;00F065C9&quot;/&gt;&lt;wsp:rsid wsp:val=&quot;00F067E3&quot;/&gt;&lt;wsp:rsid wsp:val=&quot;00F06B61&quot;/&gt;&lt;wsp:rsid wsp:val=&quot;00F06C94&quot;/&gt;&lt;wsp:rsid wsp:val=&quot;00F06E8C&quot;/&gt;&lt;wsp:rsid wsp:val=&quot;00F0714F&quot;/&gt;&lt;wsp:rsid wsp:val=&quot;00F0780D&quot;/&gt;&lt;wsp:rsid wsp:val=&quot;00F07876&quot;/&gt;&lt;wsp:rsid wsp:val=&quot;00F1018B&quot;/&gt;&lt;wsp:rsid wsp:val=&quot;00F1021E&quot;/&gt;&lt;wsp:rsid wsp:val=&quot;00F1124D&quot;/&gt;&lt;wsp:rsid wsp:val=&quot;00F112E6&quot;/&gt;&lt;wsp:rsid wsp:val=&quot;00F1143A&quot;/&gt;&lt;wsp:rsid wsp:val=&quot;00F11489&quot;/&gt;&lt;wsp:rsid wsp:val=&quot;00F119F7&quot;/&gt;&lt;wsp:rsid wsp:val=&quot;00F11FDE&quot;/&gt;&lt;wsp:rsid wsp:val=&quot;00F12310&quot;/&gt;&lt;wsp:rsid wsp:val=&quot;00F126E5&quot;/&gt;&lt;wsp:rsid wsp:val=&quot;00F12975&quot;/&gt;&lt;wsp:rsid wsp:val=&quot;00F12B14&quot;/&gt;&lt;wsp:rsid wsp:val=&quot;00F12F19&quot;/&gt;&lt;wsp:rsid wsp:val=&quot;00F13094&quot;/&gt;&lt;wsp:rsid wsp:val=&quot;00F132A7&quot;/&gt;&lt;wsp:rsid wsp:val=&quot;00F1363C&quot;/&gt;&lt;wsp:rsid wsp:val=&quot;00F139BD&quot;/&gt;&lt;wsp:rsid wsp:val=&quot;00F139F4&quot;/&gt;&lt;wsp:rsid wsp:val=&quot;00F13B52&quot;/&gt;&lt;wsp:rsid wsp:val=&quot;00F13DFA&quot;/&gt;&lt;wsp:rsid wsp:val=&quot;00F14323&quot;/&gt;&lt;wsp:rsid wsp:val=&quot;00F14662&quot;/&gt;&lt;wsp:rsid wsp:val=&quot;00F14DC3&quot;/&gt;&lt;wsp:rsid wsp:val=&quot;00F15145&quot;/&gt;&lt;wsp:rsid wsp:val=&quot;00F15282&quot;/&gt;&lt;wsp:rsid wsp:val=&quot;00F15A5A&quot;/&gt;&lt;wsp:rsid wsp:val=&quot;00F15B16&quot;/&gt;&lt;wsp:rsid wsp:val=&quot;00F15CA1&quot;/&gt;&lt;wsp:rsid wsp:val=&quot;00F15E80&quot;/&gt;&lt;wsp:rsid wsp:val=&quot;00F165D7&quot;/&gt;&lt;wsp:rsid wsp:val=&quot;00F16D11&quot;/&gt;&lt;wsp:rsid wsp:val=&quot;00F16E74&quot;/&gt;&lt;wsp:rsid wsp:val=&quot;00F16F6B&quot;/&gt;&lt;wsp:rsid wsp:val=&quot;00F17287&quot;/&gt;&lt;wsp:rsid wsp:val=&quot;00F172D0&quot;/&gt;&lt;wsp:rsid wsp:val=&quot;00F174BB&quot;/&gt;&lt;wsp:rsid wsp:val=&quot;00F17A02&quot;/&gt;&lt;wsp:rsid wsp:val=&quot;00F17B4F&quot;/&gt;&lt;wsp:rsid wsp:val=&quot;00F204FE&quot;/&gt;&lt;wsp:rsid wsp:val=&quot;00F2068E&quot;/&gt;&lt;wsp:rsid wsp:val=&quot;00F2069F&quot;/&gt;&lt;wsp:rsid wsp:val=&quot;00F20D70&quot;/&gt;&lt;wsp:rsid wsp:val=&quot;00F21266&quot;/&gt;&lt;wsp:rsid wsp:val=&quot;00F2140D&quot;/&gt;&lt;wsp:rsid wsp:val=&quot;00F21990&quot;/&gt;&lt;wsp:rsid wsp:val=&quot;00F219C4&quot;/&gt;&lt;wsp:rsid wsp:val=&quot;00F221F2&quot;/&gt;&lt;wsp:rsid wsp:val=&quot;00F2278D&quot;/&gt;&lt;wsp:rsid wsp:val=&quot;00F22926&quot;/&gt;&lt;wsp:rsid wsp:val=&quot;00F237CB&quot;/&gt;&lt;wsp:rsid wsp:val=&quot;00F23B07&quot;/&gt;&lt;wsp:rsid wsp:val=&quot;00F23B88&quot;/&gt;&lt;wsp:rsid wsp:val=&quot;00F23B99&quot;/&gt;&lt;wsp:rsid wsp:val=&quot;00F23D16&quot;/&gt;&lt;wsp:rsid wsp:val=&quot;00F23E76&quot;/&gt;&lt;wsp:rsid wsp:val=&quot;00F24500&quot;/&gt;&lt;wsp:rsid wsp:val=&quot;00F24B11&quot;/&gt;&lt;wsp:rsid wsp:val=&quot;00F25258&quot;/&gt;&lt;wsp:rsid wsp:val=&quot;00F2531D&quot;/&gt;&lt;wsp:rsid wsp:val=&quot;00F266BA&quot;/&gt;&lt;wsp:rsid wsp:val=&quot;00F26961&quot;/&gt;&lt;wsp:rsid wsp:val=&quot;00F26DDD&quot;/&gt;&lt;wsp:rsid wsp:val=&quot;00F26E80&quot;/&gt;&lt;wsp:rsid wsp:val=&quot;00F273EF&quot;/&gt;&lt;wsp:rsid wsp:val=&quot;00F27888&quot;/&gt;&lt;wsp:rsid wsp:val=&quot;00F279BF&quot;/&gt;&lt;wsp:rsid wsp:val=&quot;00F27ABF&quot;/&gt;&lt;wsp:rsid wsp:val=&quot;00F27CEA&quot;/&gt;&lt;wsp:rsid wsp:val=&quot;00F27EA1&quot;/&gt;&lt;wsp:rsid wsp:val=&quot;00F27F15&quot;/&gt;&lt;wsp:rsid wsp:val=&quot;00F301C6&quot;/&gt;&lt;wsp:rsid wsp:val=&quot;00F3070D&quot;/&gt;&lt;wsp:rsid wsp:val=&quot;00F30927&quot;/&gt;&lt;wsp:rsid wsp:val=&quot;00F30C11&quot;/&gt;&lt;wsp:rsid wsp:val=&quot;00F31555&quot;/&gt;&lt;wsp:rsid wsp:val=&quot;00F31DEE&quot;/&gt;&lt;wsp:rsid wsp:val=&quot;00F31FE9&quot;/&gt;&lt;wsp:rsid wsp:val=&quot;00F320EA&quot;/&gt;&lt;wsp:rsid wsp:val=&quot;00F322E7&quot;/&gt;&lt;wsp:rsid wsp:val=&quot;00F324E0&quot;/&gt;&lt;wsp:rsid wsp:val=&quot;00F32805&quot;/&gt;&lt;wsp:rsid wsp:val=&quot;00F32DCA&quot;/&gt;&lt;wsp:rsid wsp:val=&quot;00F330AD&quot;/&gt;&lt;wsp:rsid wsp:val=&quot;00F33158&quot;/&gt;&lt;wsp:rsid wsp:val=&quot;00F334FC&quot;/&gt;&lt;wsp:rsid wsp:val=&quot;00F3377C&quot;/&gt;&lt;wsp:rsid wsp:val=&quot;00F33E90&quot;/&gt;&lt;wsp:rsid wsp:val=&quot;00F350CE&quot;/&gt;&lt;wsp:rsid wsp:val=&quot;00F35945&quot;/&gt;&lt;wsp:rsid wsp:val=&quot;00F36445&quot;/&gt;&lt;wsp:rsid wsp:val=&quot;00F3677D&quot;/&gt;&lt;wsp:rsid wsp:val=&quot;00F36C59&quot;/&gt;&lt;wsp:rsid wsp:val=&quot;00F37091&quot;/&gt;&lt;wsp:rsid wsp:val=&quot;00F372E3&quot;/&gt;&lt;wsp:rsid wsp:val=&quot;00F3750F&quot;/&gt;&lt;wsp:rsid wsp:val=&quot;00F37611&quot;/&gt;&lt;wsp:rsid wsp:val=&quot;00F37F49&quot;/&gt;&lt;wsp:rsid wsp:val=&quot;00F400E7&quot;/&gt;&lt;wsp:rsid wsp:val=&quot;00F40169&quot;/&gt;&lt;wsp:rsid wsp:val=&quot;00F40385&quot;/&gt;&lt;wsp:rsid wsp:val=&quot;00F4041D&quot;/&gt;&lt;wsp:rsid wsp:val=&quot;00F40431&quot;/&gt;&lt;wsp:rsid wsp:val=&quot;00F40AD6&quot;/&gt;&lt;wsp:rsid wsp:val=&quot;00F40C34&quot;/&gt;&lt;wsp:rsid wsp:val=&quot;00F40F7C&quot;/&gt;&lt;wsp:rsid wsp:val=&quot;00F40F8D&quot;/&gt;&lt;wsp:rsid wsp:val=&quot;00F4149C&quot;/&gt;&lt;wsp:rsid wsp:val=&quot;00F4175B&quot;/&gt;&lt;wsp:rsid wsp:val=&quot;00F41A9A&quot;/&gt;&lt;wsp:rsid wsp:val=&quot;00F41F1D&quot;/&gt;&lt;wsp:rsid wsp:val=&quot;00F42279&quot;/&gt;&lt;wsp:rsid wsp:val=&quot;00F428E5&quot;/&gt;&lt;wsp:rsid wsp:val=&quot;00F430D7&quot;/&gt;&lt;wsp:rsid wsp:val=&quot;00F43779&quot;/&gt;&lt;wsp:rsid wsp:val=&quot;00F43C17&quot;/&gt;&lt;wsp:rsid wsp:val=&quot;00F446A2&quot;/&gt;&lt;wsp:rsid wsp:val=&quot;00F447B7&quot;/&gt;&lt;wsp:rsid wsp:val=&quot;00F44CFA&quot;/&gt;&lt;wsp:rsid wsp:val=&quot;00F44E5E&quot;/&gt;&lt;wsp:rsid wsp:val=&quot;00F450D9&quot;/&gt;&lt;wsp:rsid wsp:val=&quot;00F4522A&quot;/&gt;&lt;wsp:rsid wsp:val=&quot;00F4525C&quot;/&gt;&lt;wsp:rsid wsp:val=&quot;00F452AE&quot;/&gt;&lt;wsp:rsid wsp:val=&quot;00F455F1&quot;/&gt;&lt;wsp:rsid wsp:val=&quot;00F45825&quot;/&gt;&lt;wsp:rsid wsp:val=&quot;00F45B81&quot;/&gt;&lt;wsp:rsid wsp:val=&quot;00F46539&quot;/&gt;&lt;wsp:rsid wsp:val=&quot;00F46799&quot;/&gt;&lt;wsp:rsid wsp:val=&quot;00F4696B&quot;/&gt;&lt;wsp:rsid wsp:val=&quot;00F46CC3&quot;/&gt;&lt;wsp:rsid wsp:val=&quot;00F4717A&quot;/&gt;&lt;wsp:rsid wsp:val=&quot;00F472EB&quot;/&gt;&lt;wsp:rsid wsp:val=&quot;00F4762D&quot;/&gt;&lt;wsp:rsid wsp:val=&quot;00F4779B&quot;/&gt;&lt;wsp:rsid wsp:val=&quot;00F4795B&quot;/&gt;&lt;wsp:rsid wsp:val=&quot;00F4799A&quot;/&gt;&lt;wsp:rsid wsp:val=&quot;00F50374&quot;/&gt;&lt;wsp:rsid wsp:val=&quot;00F503EF&quot;/&gt;&lt;wsp:rsid wsp:val=&quot;00F50C2A&quot;/&gt;&lt;wsp:rsid wsp:val=&quot;00F50F98&quot;/&gt;&lt;wsp:rsid wsp:val=&quot;00F5106C&quot;/&gt;&lt;wsp:rsid wsp:val=&quot;00F51217&quot;/&gt;&lt;wsp:rsid wsp:val=&quot;00F51493&quot;/&gt;&lt;wsp:rsid wsp:val=&quot;00F517BB&quot;/&gt;&lt;wsp:rsid wsp:val=&quot;00F51B4B&quot;/&gt;&lt;wsp:rsid wsp:val=&quot;00F51E1F&quot;/&gt;&lt;wsp:rsid wsp:val=&quot;00F51F48&quot;/&gt;&lt;wsp:rsid wsp:val=&quot;00F52179&quot;/&gt;&lt;wsp:rsid wsp:val=&quot;00F52510&quot;/&gt;&lt;wsp:rsid wsp:val=&quot;00F52668&quot;/&gt;&lt;wsp:rsid wsp:val=&quot;00F52727&quot;/&gt;&lt;wsp:rsid wsp:val=&quot;00F528B8&quot;/&gt;&lt;wsp:rsid wsp:val=&quot;00F52987&quot;/&gt;&lt;wsp:rsid wsp:val=&quot;00F52EE1&quot;/&gt;&lt;wsp:rsid wsp:val=&quot;00F5304D&quot;/&gt;&lt;wsp:rsid wsp:val=&quot;00F5345B&quot;/&gt;&lt;wsp:rsid wsp:val=&quot;00F535E6&quot;/&gt;&lt;wsp:rsid wsp:val=&quot;00F5416F&quot;/&gt;&lt;wsp:rsid wsp:val=&quot;00F5433A&quot;/&gt;&lt;wsp:rsid wsp:val=&quot;00F54693&quot;/&gt;&lt;wsp:rsid wsp:val=&quot;00F5469C&quot;/&gt;&lt;wsp:rsid wsp:val=&quot;00F54C3D&quot;/&gt;&lt;wsp:rsid wsp:val=&quot;00F54DD6&quot;/&gt;&lt;wsp:rsid wsp:val=&quot;00F54FF2&quot;/&gt;&lt;wsp:rsid wsp:val=&quot;00F5518F&quot;/&gt;&lt;wsp:rsid wsp:val=&quot;00F55396&quot;/&gt;&lt;wsp:rsid wsp:val=&quot;00F55A8D&quot;/&gt;&lt;wsp:rsid wsp:val=&quot;00F55D18&quot;/&gt;&lt;wsp:rsid wsp:val=&quot;00F55E1E&quot;/&gt;&lt;wsp:rsid wsp:val=&quot;00F561AA&quot;/&gt;&lt;wsp:rsid wsp:val=&quot;00F567DE&quot;/&gt;&lt;wsp:rsid wsp:val=&quot;00F56BF5&quot;/&gt;&lt;wsp:rsid wsp:val=&quot;00F56C15&quot;/&gt;&lt;wsp:rsid wsp:val=&quot;00F56FCE&quot;/&gt;&lt;wsp:rsid wsp:val=&quot;00F57126&quot;/&gt;&lt;wsp:rsid wsp:val=&quot;00F5712D&quot;/&gt;&lt;wsp:rsid wsp:val=&quot;00F57B95&quot;/&gt;&lt;wsp:rsid wsp:val=&quot;00F6013E&quot;/&gt;&lt;wsp:rsid wsp:val=&quot;00F60161&quot;/&gt;&lt;wsp:rsid wsp:val=&quot;00F6045B&quot;/&gt;&lt;wsp:rsid wsp:val=&quot;00F605CF&quot;/&gt;&lt;wsp:rsid wsp:val=&quot;00F60639&quot;/&gt;&lt;wsp:rsid wsp:val=&quot;00F60AAB&quot;/&gt;&lt;wsp:rsid wsp:val=&quot;00F60B75&quot;/&gt;&lt;wsp:rsid wsp:val=&quot;00F6137A&quot;/&gt;&lt;wsp:rsid wsp:val=&quot;00F618B9&quot;/&gt;&lt;wsp:rsid wsp:val=&quot;00F61940&quot;/&gt;&lt;wsp:rsid wsp:val=&quot;00F61F2F&quot;/&gt;&lt;wsp:rsid wsp:val=&quot;00F62551&quot;/&gt;&lt;wsp:rsid wsp:val=&quot;00F62575&quot;/&gt;&lt;wsp:rsid wsp:val=&quot;00F62685&quot;/&gt;&lt;wsp:rsid wsp:val=&quot;00F62B70&quot;/&gt;&lt;wsp:rsid wsp:val=&quot;00F62E4C&quot;/&gt;&lt;wsp:rsid wsp:val=&quot;00F62FD2&quot;/&gt;&lt;wsp:rsid wsp:val=&quot;00F63480&quot;/&gt;&lt;wsp:rsid wsp:val=&quot;00F63799&quot;/&gt;&lt;wsp:rsid wsp:val=&quot;00F637DC&quot;/&gt;&lt;wsp:rsid wsp:val=&quot;00F638C9&quot;/&gt;&lt;wsp:rsid wsp:val=&quot;00F63AA1&quot;/&gt;&lt;wsp:rsid wsp:val=&quot;00F63B62&quot;/&gt;&lt;wsp:rsid wsp:val=&quot;00F644D9&quot;/&gt;&lt;wsp:rsid wsp:val=&quot;00F64553&quot;/&gt;&lt;wsp:rsid wsp:val=&quot;00F645AC&quot;/&gt;&lt;wsp:rsid wsp:val=&quot;00F64D37&quot;/&gt;&lt;wsp:rsid wsp:val=&quot;00F64DD5&quot;/&gt;&lt;wsp:rsid wsp:val=&quot;00F64EDF&quot;/&gt;&lt;wsp:rsid wsp:val=&quot;00F656A1&quot;/&gt;&lt;wsp:rsid wsp:val=&quot;00F661D0&quot;/&gt;&lt;wsp:rsid wsp:val=&quot;00F6643D&quot;/&gt;&lt;wsp:rsid wsp:val=&quot;00F66976&quot;/&gt;&lt;wsp:rsid wsp:val=&quot;00F66A08&quot;/&gt;&lt;wsp:rsid wsp:val=&quot;00F66A32&quot;/&gt;&lt;wsp:rsid wsp:val=&quot;00F66A69&quot;/&gt;&lt;wsp:rsid wsp:val=&quot;00F66AF5&quot;/&gt;&lt;wsp:rsid wsp:val=&quot;00F66C9C&quot;/&gt;&lt;wsp:rsid wsp:val=&quot;00F672D9&quot;/&gt;&lt;wsp:rsid wsp:val=&quot;00F6755B&quot;/&gt;&lt;wsp:rsid wsp:val=&quot;00F67BD8&quot;/&gt;&lt;wsp:rsid wsp:val=&quot;00F67CE2&quot;/&gt;&lt;wsp:rsid wsp:val=&quot;00F70815&quot;/&gt;&lt;wsp:rsid wsp:val=&quot;00F719AB&quot;/&gt;&lt;wsp:rsid wsp:val=&quot;00F71C1D&quot;/&gt;&lt;wsp:rsid wsp:val=&quot;00F71EB4&quot;/&gt;&lt;wsp:rsid wsp:val=&quot;00F7201B&quot;/&gt;&lt;wsp:rsid wsp:val=&quot;00F72B28&quot;/&gt;&lt;wsp:rsid wsp:val=&quot;00F72E16&quot;/&gt;&lt;wsp:rsid wsp:val=&quot;00F72EA6&quot;/&gt;&lt;wsp:rsid wsp:val=&quot;00F72EC4&quot;/&gt;&lt;wsp:rsid wsp:val=&quot;00F73292&quot;/&gt;&lt;wsp:rsid wsp:val=&quot;00F736DF&quot;/&gt;&lt;wsp:rsid wsp:val=&quot;00F73BF8&quot;/&gt;&lt;wsp:rsid wsp:val=&quot;00F73CDB&quot;/&gt;&lt;wsp:rsid wsp:val=&quot;00F741D6&quot;/&gt;&lt;wsp:rsid wsp:val=&quot;00F746C3&quot;/&gt;&lt;wsp:rsid wsp:val=&quot;00F74831&quot;/&gt;&lt;wsp:rsid wsp:val=&quot;00F74EC7&quot;/&gt;&lt;wsp:rsid wsp:val=&quot;00F7563C&quot;/&gt;&lt;wsp:rsid wsp:val=&quot;00F75CE4&quot;/&gt;&lt;wsp:rsid wsp:val=&quot;00F76036&quot;/&gt;&lt;wsp:rsid wsp:val=&quot;00F762F3&quot;/&gt;&lt;wsp:rsid wsp:val=&quot;00F763C4&quot;/&gt;&lt;wsp:rsid wsp:val=&quot;00F76AD3&quot;/&gt;&lt;wsp:rsid wsp:val=&quot;00F770EE&quot;/&gt;&lt;wsp:rsid wsp:val=&quot;00F774C1&quot;/&gt;&lt;wsp:rsid wsp:val=&quot;00F800FB&quot;/&gt;&lt;wsp:rsid wsp:val=&quot;00F80447&quot;/&gt;&lt;wsp:rsid wsp:val=&quot;00F80ADB&quot;/&gt;&lt;wsp:rsid wsp:val=&quot;00F811F6&quot;/&gt;&lt;wsp:rsid wsp:val=&quot;00F81945&quot;/&gt;&lt;wsp:rsid wsp:val=&quot;00F81D05&quot;/&gt;&lt;wsp:rsid wsp:val=&quot;00F82682&quot;/&gt;&lt;wsp:rsid wsp:val=&quot;00F826B6&quot;/&gt;&lt;wsp:rsid wsp:val=&quot;00F82C19&quot;/&gt;&lt;wsp:rsid wsp:val=&quot;00F82CA1&quot;/&gt;&lt;wsp:rsid wsp:val=&quot;00F83229&quot;/&gt;&lt;wsp:rsid wsp:val=&quot;00F833AA&quot;/&gt;&lt;wsp:rsid wsp:val=&quot;00F833C3&quot;/&gt;&lt;wsp:rsid wsp:val=&quot;00F8380B&quot;/&gt;&lt;wsp:rsid wsp:val=&quot;00F844DF&quot;/&gt;&lt;wsp:rsid wsp:val=&quot;00F84713&quot;/&gt;&lt;wsp:rsid wsp:val=&quot;00F84939&quot;/&gt;&lt;wsp:rsid wsp:val=&quot;00F85201&quot;/&gt;&lt;wsp:rsid wsp:val=&quot;00F8529D&quot;/&gt;&lt;wsp:rsid wsp:val=&quot;00F857E7&quot;/&gt;&lt;wsp:rsid wsp:val=&quot;00F865E7&quot;/&gt;&lt;wsp:rsid wsp:val=&quot;00F86D68&quot;/&gt;&lt;wsp:rsid wsp:val=&quot;00F87069&quot;/&gt;&lt;wsp:rsid wsp:val=&quot;00F874FE&quot;/&gt;&lt;wsp:rsid wsp:val=&quot;00F878BC&quot;/&gt;&lt;wsp:rsid wsp:val=&quot;00F87A86&quot;/&gt;&lt;wsp:rsid wsp:val=&quot;00F87D61&quot;/&gt;&lt;wsp:rsid wsp:val=&quot;00F90165&quot;/&gt;&lt;wsp:rsid wsp:val=&quot;00F9021A&quot;/&gt;&lt;wsp:rsid wsp:val=&quot;00F9029A&quot;/&gt;&lt;wsp:rsid wsp:val=&quot;00F90FC2&quot;/&gt;&lt;wsp:rsid wsp:val=&quot;00F916A7&quot;/&gt;&lt;wsp:rsid wsp:val=&quot;00F91BD0&quot;/&gt;&lt;wsp:rsid wsp:val=&quot;00F91FE8&quot;/&gt;&lt;wsp:rsid wsp:val=&quot;00F9219C&quot;/&gt;&lt;wsp:rsid wsp:val=&quot;00F92614&quot;/&gt;&lt;wsp:rsid wsp:val=&quot;00F92647&quot;/&gt;&lt;wsp:rsid wsp:val=&quot;00F92C24&quot;/&gt;&lt;wsp:rsid wsp:val=&quot;00F92E6A&quot;/&gt;&lt;wsp:rsid wsp:val=&quot;00F9302E&quot;/&gt;&lt;wsp:rsid wsp:val=&quot;00F931E8&quot;/&gt;&lt;wsp:rsid wsp:val=&quot;00F93337&quot;/&gt;&lt;wsp:rsid wsp:val=&quot;00F937AA&quot;/&gt;&lt;wsp:rsid wsp:val=&quot;00F939F3&quot;/&gt;&lt;wsp:rsid wsp:val=&quot;00F93A9A&quot;/&gt;&lt;wsp:rsid wsp:val=&quot;00F93AFD&quot;/&gt;&lt;wsp:rsid wsp:val=&quot;00F93BB5&quot;/&gt;&lt;wsp:rsid wsp:val=&quot;00F943E8&quot;/&gt;&lt;wsp:rsid wsp:val=&quot;00F94CF7&quot;/&gt;&lt;wsp:rsid wsp:val=&quot;00F950E7&quot;/&gt;&lt;wsp:rsid wsp:val=&quot;00F953D0&quot;/&gt;&lt;wsp:rsid wsp:val=&quot;00F95BA7&quot;/&gt;&lt;wsp:rsid wsp:val=&quot;00F95E2C&quot;/&gt;&lt;wsp:rsid wsp:val=&quot;00F95EDF&quot;/&gt;&lt;wsp:rsid wsp:val=&quot;00F96187&quot;/&gt;&lt;wsp:rsid wsp:val=&quot;00F96454&quot;/&gt;&lt;wsp:rsid wsp:val=&quot;00F966AF&quot;/&gt;&lt;wsp:rsid wsp:val=&quot;00F969FE&quot;/&gt;&lt;wsp:rsid wsp:val=&quot;00F96A2F&quot;/&gt;&lt;wsp:rsid wsp:val=&quot;00F97302&quot;/&gt;&lt;wsp:rsid wsp:val=&quot;00F973D4&quot;/&gt;&lt;wsp:rsid wsp:val=&quot;00F974D8&quot;/&gt;&lt;wsp:rsid wsp:val=&quot;00F97A06&quot;/&gt;&lt;wsp:rsid wsp:val=&quot;00F97D19&quot;/&gt;&lt;wsp:rsid wsp:val=&quot;00FA0699&quot;/&gt;&lt;wsp:rsid wsp:val=&quot;00FA154B&quot;/&gt;&lt;wsp:rsid wsp:val=&quot;00FA15ED&quot;/&gt;&lt;wsp:rsid wsp:val=&quot;00FA161D&quot;/&gt;&lt;wsp:rsid wsp:val=&quot;00FA1649&quot;/&gt;&lt;wsp:rsid wsp:val=&quot;00FA206E&quot;/&gt;&lt;wsp:rsid wsp:val=&quot;00FA21E6&quot;/&gt;&lt;wsp:rsid wsp:val=&quot;00FA2500&quot;/&gt;&lt;wsp:rsid wsp:val=&quot;00FA26E4&quot;/&gt;&lt;wsp:rsid wsp:val=&quot;00FA2830&quot;/&gt;&lt;wsp:rsid wsp:val=&quot;00FA2B6F&quot;/&gt;&lt;wsp:rsid wsp:val=&quot;00FA2E40&quot;/&gt;&lt;wsp:rsid wsp:val=&quot;00FA3108&quot;/&gt;&lt;wsp:rsid wsp:val=&quot;00FA32E3&quot;/&gt;&lt;wsp:rsid wsp:val=&quot;00FA3536&quot;/&gt;&lt;wsp:rsid wsp:val=&quot;00FA35F9&quot;/&gt;&lt;wsp:rsid wsp:val=&quot;00FA3B1D&quot;/&gt;&lt;wsp:rsid wsp:val=&quot;00FA3B8E&quot;/&gt;&lt;wsp:rsid wsp:val=&quot;00FA3D4E&quot;/&gt;&lt;wsp:rsid wsp:val=&quot;00FA3E2C&quot;/&gt;&lt;wsp:rsid wsp:val=&quot;00FA44CB&quot;/&gt;&lt;wsp:rsid wsp:val=&quot;00FA459A&quot;/&gt;&lt;wsp:rsid wsp:val=&quot;00FA46F1&quot;/&gt;&lt;wsp:rsid wsp:val=&quot;00FA4852&quot;/&gt;&lt;wsp:rsid wsp:val=&quot;00FA5477&quot;/&gt;&lt;wsp:rsid wsp:val=&quot;00FA5558&quot;/&gt;&lt;wsp:rsid wsp:val=&quot;00FA5703&quot;/&gt;&lt;wsp:rsid wsp:val=&quot;00FA5FDA&quot;/&gt;&lt;wsp:rsid wsp:val=&quot;00FA6723&quot;/&gt;&lt;wsp:rsid wsp:val=&quot;00FA67FC&quot;/&gt;&lt;wsp:rsid wsp:val=&quot;00FA6939&quot;/&gt;&lt;wsp:rsid wsp:val=&quot;00FA6EFF&quot;/&gt;&lt;wsp:rsid wsp:val=&quot;00FA6F54&quot;/&gt;&lt;wsp:rsid wsp:val=&quot;00FA70AE&quot;/&gt;&lt;wsp:rsid wsp:val=&quot;00FA77E0&quot;/&gt;&lt;wsp:rsid wsp:val=&quot;00FA7C31&quot;/&gt;&lt;wsp:rsid wsp:val=&quot;00FA7CAF&quot;/&gt;&lt;wsp:rsid wsp:val=&quot;00FB02B9&quot;/&gt;&lt;wsp:rsid wsp:val=&quot;00FB047F&quot;/&gt;&lt;wsp:rsid wsp:val=&quot;00FB0B8B&quot;/&gt;&lt;wsp:rsid wsp:val=&quot;00FB0BD5&quot;/&gt;&lt;wsp:rsid wsp:val=&quot;00FB0F8B&quot;/&gt;&lt;wsp:rsid wsp:val=&quot;00FB113A&quot;/&gt;&lt;wsp:rsid wsp:val=&quot;00FB11F5&quot;/&gt;&lt;wsp:rsid wsp:val=&quot;00FB174F&quot;/&gt;&lt;wsp:rsid wsp:val=&quot;00FB20B6&quot;/&gt;&lt;wsp:rsid wsp:val=&quot;00FB2282&quot;/&gt;&lt;wsp:rsid wsp:val=&quot;00FB246C&quot;/&gt;&lt;wsp:rsid wsp:val=&quot;00FB252C&quot;/&gt;&lt;wsp:rsid wsp:val=&quot;00FB2A16&quot;/&gt;&lt;wsp:rsid wsp:val=&quot;00FB2AD2&quot;/&gt;&lt;wsp:rsid wsp:val=&quot;00FB2C57&quot;/&gt;&lt;wsp:rsid wsp:val=&quot;00FB306C&quot;/&gt;&lt;wsp:rsid wsp:val=&quot;00FB3BD2&quot;/&gt;&lt;wsp:rsid wsp:val=&quot;00FB4C8E&quot;/&gt;&lt;wsp:rsid wsp:val=&quot;00FB4FBA&quot;/&gt;&lt;wsp:rsid wsp:val=&quot;00FB5204&quot;/&gt;&lt;wsp:rsid wsp:val=&quot;00FB5636&quot;/&gt;&lt;wsp:rsid wsp:val=&quot;00FB5760&quot;/&gt;&lt;wsp:rsid wsp:val=&quot;00FB60A5&quot;/&gt;&lt;wsp:rsid wsp:val=&quot;00FB6109&quot;/&gt;&lt;wsp:rsid wsp:val=&quot;00FB64AF&quot;/&gt;&lt;wsp:rsid wsp:val=&quot;00FB676A&quot;/&gt;&lt;wsp:rsid wsp:val=&quot;00FB6E72&quot;/&gt;&lt;wsp:rsid wsp:val=&quot;00FB72EA&quot;/&gt;&lt;wsp:rsid wsp:val=&quot;00FB7526&quot;/&gt;&lt;wsp:rsid wsp:val=&quot;00FB7767&quot;/&gt;&lt;wsp:rsid wsp:val=&quot;00FB78E1&quot;/&gt;&lt;wsp:rsid wsp:val=&quot;00FB7A18&quot;/&gt;&lt;wsp:rsid wsp:val=&quot;00FB7B7E&quot;/&gt;&lt;wsp:rsid wsp:val=&quot;00FC020B&quot;/&gt;&lt;wsp:rsid wsp:val=&quot;00FC069F&quot;/&gt;&lt;wsp:rsid wsp:val=&quot;00FC06DE&quot;/&gt;&lt;wsp:rsid wsp:val=&quot;00FC1446&quot;/&gt;&lt;wsp:rsid wsp:val=&quot;00FC1570&quot;/&gt;&lt;wsp:rsid wsp:val=&quot;00FC19B7&quot;/&gt;&lt;wsp:rsid wsp:val=&quot;00FC1F57&quot;/&gt;&lt;wsp:rsid wsp:val=&quot;00FC2056&quot;/&gt;&lt;wsp:rsid wsp:val=&quot;00FC299A&quot;/&gt;&lt;wsp:rsid wsp:val=&quot;00FC2CC7&quot;/&gt;&lt;wsp:rsid wsp:val=&quot;00FC2E46&quot;/&gt;&lt;wsp:rsid wsp:val=&quot;00FC2E60&quot;/&gt;&lt;wsp:rsid wsp:val=&quot;00FC34F9&quot;/&gt;&lt;wsp:rsid wsp:val=&quot;00FC39EF&quot;/&gt;&lt;wsp:rsid wsp:val=&quot;00FC3F07&quot;/&gt;&lt;wsp:rsid wsp:val=&quot;00FC3F0E&quot;/&gt;&lt;wsp:rsid wsp:val=&quot;00FC41AB&quot;/&gt;&lt;wsp:rsid wsp:val=&quot;00FC44D4&quot;/&gt;&lt;wsp:rsid wsp:val=&quot;00FC52A8&quot;/&gt;&lt;wsp:rsid wsp:val=&quot;00FC582F&quot;/&gt;&lt;wsp:rsid wsp:val=&quot;00FC5E12&quot;/&gt;&lt;wsp:rsid wsp:val=&quot;00FC5EB1&quot;/&gt;&lt;wsp:rsid wsp:val=&quot;00FC5F14&quot;/&gt;&lt;wsp:rsid wsp:val=&quot;00FC5FD6&quot;/&gt;&lt;wsp:rsid wsp:val=&quot;00FC61FF&quot;/&gt;&lt;wsp:rsid wsp:val=&quot;00FC7681&quot;/&gt;&lt;wsp:rsid wsp:val=&quot;00FC78A9&quot;/&gt;&lt;wsp:rsid wsp:val=&quot;00FD00E7&quot;/&gt;&lt;wsp:rsid wsp:val=&quot;00FD015C&quot;/&gt;&lt;wsp:rsid wsp:val=&quot;00FD051F&quot;/&gt;&lt;wsp:rsid wsp:val=&quot;00FD07F8&quot;/&gt;&lt;wsp:rsid wsp:val=&quot;00FD0EA2&quot;/&gt;&lt;wsp:rsid wsp:val=&quot;00FD1375&quot;/&gt;&lt;wsp:rsid wsp:val=&quot;00FD1CFD&quot;/&gt;&lt;wsp:rsid wsp:val=&quot;00FD2073&quot;/&gt;&lt;wsp:rsid wsp:val=&quot;00FD22A4&quot;/&gt;&lt;wsp:rsid wsp:val=&quot;00FD24D9&quot;/&gt;&lt;wsp:rsid wsp:val=&quot;00FD2676&quot;/&gt;&lt;wsp:rsid wsp:val=&quot;00FD2822&quot;/&gt;&lt;wsp:rsid wsp:val=&quot;00FD2F02&quot;/&gt;&lt;wsp:rsid wsp:val=&quot;00FD2FA4&quot;/&gt;&lt;wsp:rsid wsp:val=&quot;00FD33FA&quot;/&gt;&lt;wsp:rsid wsp:val=&quot;00FD4370&quot;/&gt;&lt;wsp:rsid wsp:val=&quot;00FD4992&quot;/&gt;&lt;wsp:rsid wsp:val=&quot;00FD4C41&quot;/&gt;&lt;wsp:rsid wsp:val=&quot;00FD4E4D&quot;/&gt;&lt;wsp:rsid wsp:val=&quot;00FD5400&quot;/&gt;&lt;wsp:rsid wsp:val=&quot;00FD57BB&quot;/&gt;&lt;wsp:rsid wsp:val=&quot;00FD5807&quot;/&gt;&lt;wsp:rsid wsp:val=&quot;00FD5AED&quot;/&gt;&lt;wsp:rsid wsp:val=&quot;00FD5C33&quot;/&gt;&lt;wsp:rsid wsp:val=&quot;00FD64D1&quot;/&gt;&lt;wsp:rsid wsp:val=&quot;00FD6CF6&quot;/&gt;&lt;wsp:rsid wsp:val=&quot;00FD6EC4&quot;/&gt;&lt;wsp:rsid wsp:val=&quot;00FD6F67&quot;/&gt;&lt;wsp:rsid wsp:val=&quot;00FD734F&quot;/&gt;&lt;wsp:rsid wsp:val=&quot;00FD7B2F&quot;/&gt;&lt;wsp:rsid wsp:val=&quot;00FE080F&quot;/&gt;&lt;wsp:rsid wsp:val=&quot;00FE0909&quot;/&gt;&lt;wsp:rsid wsp:val=&quot;00FE0B60&quot;/&gt;&lt;wsp:rsid wsp:val=&quot;00FE0C37&quot;/&gt;&lt;wsp:rsid wsp:val=&quot;00FE1048&quot;/&gt;&lt;wsp:rsid wsp:val=&quot;00FE1266&quot;/&gt;&lt;wsp:rsid wsp:val=&quot;00FE17F3&quot;/&gt;&lt;wsp:rsid wsp:val=&quot;00FE1890&quot;/&gt;&lt;wsp:rsid wsp:val=&quot;00FE1983&quot;/&gt;&lt;wsp:rsid wsp:val=&quot;00FE1E06&quot;/&gt;&lt;wsp:rsid wsp:val=&quot;00FE2264&quot;/&gt;&lt;wsp:rsid wsp:val=&quot;00FE2701&quot;/&gt;&lt;wsp:rsid wsp:val=&quot;00FE2862&quot;/&gt;&lt;wsp:rsid wsp:val=&quot;00FE2A92&quot;/&gt;&lt;wsp:rsid wsp:val=&quot;00FE2BB3&quot;/&gt;&lt;wsp:rsid wsp:val=&quot;00FE2D2E&quot;/&gt;&lt;wsp:rsid wsp:val=&quot;00FE30D0&quot;/&gt;&lt;wsp:rsid wsp:val=&quot;00FE314C&quot;/&gt;&lt;wsp:rsid wsp:val=&quot;00FE352A&quot;/&gt;&lt;wsp:rsid wsp:val=&quot;00FE37C8&quot;/&gt;&lt;wsp:rsid wsp:val=&quot;00FE38E7&quot;/&gt;&lt;wsp:rsid wsp:val=&quot;00FE3F2D&quot;/&gt;&lt;wsp:rsid wsp:val=&quot;00FE40CB&quot;/&gt;&lt;wsp:rsid wsp:val=&quot;00FE4370&quot;/&gt;&lt;wsp:rsid wsp:val=&quot;00FE4CA5&quot;/&gt;&lt;wsp:rsid wsp:val=&quot;00FE5157&quot;/&gt;&lt;wsp:rsid wsp:val=&quot;00FE529D&quot;/&gt;&lt;wsp:rsid wsp:val=&quot;00FE54CF&quot;/&gt;&lt;wsp:rsid wsp:val=&quot;00FE59AB&quot;/&gt;&lt;wsp:rsid wsp:val=&quot;00FE5CAD&quot;/&gt;&lt;wsp:rsid wsp:val=&quot;00FE5EE2&quot;/&gt;&lt;wsp:rsid wsp:val=&quot;00FE61CB&quot;/&gt;&lt;wsp:rsid wsp:val=&quot;00FE661A&quot;/&gt;&lt;wsp:rsid wsp:val=&quot;00FE6987&quot;/&gt;&lt;wsp:rsid wsp:val=&quot;00FE6CF6&quot;/&gt;&lt;wsp:rsid wsp:val=&quot;00FE7145&quot;/&gt;&lt;wsp:rsid wsp:val=&quot;00FE7180&quot;/&gt;&lt;wsp:rsid wsp:val=&quot;00FE771F&quot;/&gt;&lt;wsp:rsid wsp:val=&quot;00FE7B66&quot;/&gt;&lt;wsp:rsid wsp:val=&quot;00FF01A2&quot;/&gt;&lt;wsp:rsid wsp:val=&quot;00FF0599&quot;/&gt;&lt;wsp:rsid wsp:val=&quot;00FF0B91&quot;/&gt;&lt;wsp:rsid wsp:val=&quot;00FF0DFF&quot;/&gt;&lt;wsp:rsid wsp:val=&quot;00FF13E9&quot;/&gt;&lt;wsp:rsid wsp:val=&quot;00FF16BE&quot;/&gt;&lt;wsp:rsid wsp:val=&quot;00FF1CCF&quot;/&gt;&lt;wsp:rsid wsp:val=&quot;00FF21C5&quot;/&gt;&lt;wsp:rsid wsp:val=&quot;00FF258D&quot;/&gt;&lt;wsp:rsid wsp:val=&quot;00FF2652&quot;/&gt;&lt;wsp:rsid wsp:val=&quot;00FF27BB&quot;/&gt;&lt;wsp:rsid wsp:val=&quot;00FF2B7E&quot;/&gt;&lt;wsp:rsid wsp:val=&quot;00FF2D2A&quot;/&gt;&lt;wsp:rsid wsp:val=&quot;00FF3936&quot;/&gt;&lt;wsp:rsid wsp:val=&quot;00FF3B19&quot;/&gt;&lt;wsp:rsid wsp:val=&quot;00FF3D88&quot;/&gt;&lt;wsp:rsid wsp:val=&quot;00FF445B&quot;/&gt;&lt;wsp:rsid wsp:val=&quot;00FF45AC&quot;/&gt;&lt;wsp:rsid wsp:val=&quot;00FF4A33&quot;/&gt;&lt;wsp:rsid wsp:val=&quot;00FF4CBD&quot;/&gt;&lt;wsp:rsid wsp:val=&quot;00FF4E1A&quot;/&gt;&lt;wsp:rsid wsp:val=&quot;00FF4E9C&quot;/&gt;&lt;wsp:rsid wsp:val=&quot;00FF5012&quot;/&gt;&lt;wsp:rsid wsp:val=&quot;00FF52C9&quot;/&gt;&lt;wsp:rsid wsp:val=&quot;00FF53DB&quot;/&gt;&lt;wsp:rsid wsp:val=&quot;00FF5460&quot;/&gt;&lt;wsp:rsid wsp:val=&quot;00FF63E0&quot;/&gt;&lt;wsp:rsid wsp:val=&quot;00FF643A&quot;/&gt;&lt;wsp:rsid wsp:val=&quot;00FF6E03&quot;/&gt;&lt;wsp:rsid wsp:val=&quot;00FF6FFA&quot;/&gt;&lt;wsp:rsid wsp:val=&quot;00FF7079&quot;/&gt;&lt;wsp:rsid wsp:val=&quot;00FF72BE&quot;/&gt;&lt;wsp:rsid wsp:val=&quot;00FF7522&quot;/&gt;&lt;wsp:rsid wsp:val=&quot;00FF7598&quot;/&gt;&lt;wsp:rsid wsp:val=&quot;01415FE5&quot;/&gt;&lt;wsp:rsid wsp:val=&quot;016F0D06&quot;/&gt;&lt;wsp:rsid wsp:val=&quot;01757940&quot;/&gt;&lt;wsp:rsid wsp:val=&quot;017D380F&quot;/&gt;&lt;wsp:rsid wsp:val=&quot;019065BA&quot;/&gt;&lt;wsp:rsid wsp:val=&quot;01953A3F&quot;/&gt;&lt;wsp:rsid wsp:val=&quot;01BF0AE6&quot;/&gt;&lt;wsp:rsid wsp:val=&quot;01C166F4&quot;/&gt;&lt;wsp:rsid wsp:val=&quot;01FA253F&quot;/&gt;&lt;wsp:rsid wsp:val=&quot;01FC66F2&quot;/&gt;&lt;wsp:rsid wsp:val=&quot;02105F39&quot;/&gt;&lt;wsp:rsid wsp:val=&quot;02452AB5&quot;/&gt;&lt;wsp:rsid wsp:val=&quot;02710FDB&quot;/&gt;&lt;wsp:rsid wsp:val=&quot;027A27B1&quot;/&gt;&lt;wsp:rsid wsp:val=&quot;02833870&quot;/&gt;&lt;wsp:rsid wsp:val=&quot;029465DE&quot;/&gt;&lt;wsp:rsid wsp:val=&quot;02AA4C24&quot;/&gt;&lt;wsp:rsid wsp:val=&quot;02E31761&quot;/&gt;&lt;wsp:rsid wsp:val=&quot;03122645&quot;/&gt;&lt;wsp:rsid wsp:val=&quot;031306C4&quot;/&gt;&lt;wsp:rsid wsp:val=&quot;034B37C8&quot;/&gt;&lt;wsp:rsid wsp:val=&quot;03910C0E&quot;/&gt;&lt;wsp:rsid wsp:val=&quot;039B50A8&quot;/&gt;&lt;wsp:rsid wsp:val=&quot;03BC15F1&quot;/&gt;&lt;wsp:rsid wsp:val=&quot;04133A2D&quot;/&gt;&lt;wsp:rsid wsp:val=&quot;04292B87&quot;/&gt;&lt;wsp:rsid wsp:val=&quot;043226C7&quot;/&gt;&lt;wsp:rsid wsp:val=&quot;043E5088&quot;/&gt;&lt;wsp:rsid wsp:val=&quot;04833F91&quot;/&gt;&lt;wsp:rsid wsp:val=&quot;04874089&quot;/&gt;&lt;wsp:rsid wsp:val=&quot;049B5114&quot;/&gt;&lt;wsp:rsid wsp:val=&quot;04CC2C5F&quot;/&gt;&lt;wsp:rsid wsp:val=&quot;04DF7408&quot;/&gt;&lt;wsp:rsid wsp:val=&quot;05291E1F&quot;/&gt;&lt;wsp:rsid wsp:val=&quot;053E0F56&quot;/&gt;&lt;wsp:rsid wsp:val=&quot;05715827&quot;/&gt;&lt;wsp:rsid wsp:val=&quot;05D7519E&quot;/&gt;&lt;wsp:rsid wsp:val=&quot;05EB6070&quot;/&gt;&lt;wsp:rsid wsp:val=&quot;05F81E96&quot;/&gt;&lt;wsp:rsid wsp:val=&quot;064743BD&quot;/&gt;&lt;wsp:rsid wsp:val=&quot;065C3E8B&quot;/&gt;&lt;wsp:rsid wsp:val=&quot;066164C8&quot;/&gt;&lt;wsp:rsid wsp:val=&quot;06990204&quot;/&gt;&lt;wsp:rsid wsp:val=&quot;06B17214&quot;/&gt;&lt;wsp:rsid wsp:val=&quot;06C9511D&quot;/&gt;&lt;wsp:rsid wsp:val=&quot;06CB4AF4&quot;/&gt;&lt;wsp:rsid wsp:val=&quot;070754B4&quot;/&gt;&lt;wsp:rsid wsp:val=&quot;07693597&quot;/&gt;&lt;wsp:rsid wsp:val=&quot;076B274E&quot;/&gt;&lt;wsp:rsid wsp:val=&quot;081704CA&quot;/&gt;&lt;wsp:rsid wsp:val=&quot;08393FC7&quot;/&gt;&lt;wsp:rsid wsp:val=&quot;085C7DC0&quot;/&gt;&lt;wsp:rsid wsp:val=&quot;08902443&quot;/&gt;&lt;wsp:rsid wsp:val=&quot;08CA3223&quot;/&gt;&lt;wsp:rsid wsp:val=&quot;08CC568F&quot;/&gt;&lt;wsp:rsid wsp:val=&quot;0915537C&quot;/&gt;&lt;wsp:rsid wsp:val=&quot;092F2A3B&quot;/&gt;&lt;wsp:rsid wsp:val=&quot;092F33B7&quot;/&gt;&lt;wsp:rsid wsp:val=&quot;093768CE&quot;/&gt;&lt;wsp:rsid wsp:val=&quot;09747A93&quot;/&gt;&lt;wsp:rsid wsp:val=&quot;099255A1&quot;/&gt;&lt;wsp:rsid wsp:val=&quot;09B01B15&quot;/&gt;&lt;wsp:rsid wsp:val=&quot;0A3021CC&quot;/&gt;&lt;wsp:rsid wsp:val=&quot;0A3B3622&quot;/&gt;&lt;wsp:rsid wsp:val=&quot;0A597CF5&quot;/&gt;&lt;wsp:rsid wsp:val=&quot;0A890F20&quot;/&gt;&lt;wsp:rsid wsp:val=&quot;0A9E4804&quot;/&gt;&lt;wsp:rsid wsp:val=&quot;0AB76DC4&quot;/&gt;&lt;wsp:rsid wsp:val=&quot;0B006FC5&quot;/&gt;&lt;wsp:rsid wsp:val=&quot;0B2A31DC&quot;/&gt;&lt;wsp:rsid wsp:val=&quot;0B9E41C6&quot;/&gt;&lt;wsp:rsid wsp:val=&quot;0BE0642A&quot;/&gt;&lt;wsp:rsid wsp:val=&quot;0BF27EFA&quot;/&gt;&lt;wsp:rsid wsp:val=&quot;0C083BA8&quot;/&gt;&lt;wsp:rsid wsp:val=&quot;0C1227F3&quot;/&gt;&lt;wsp:rsid wsp:val=&quot;0C376144&quot;/&gt;&lt;wsp:rsid wsp:val=&quot;0C613145&quot;/&gt;&lt;wsp:rsid wsp:val=&quot;0C9811DE&quot;/&gt;&lt;wsp:rsid wsp:val=&quot;0CAC4B37&quot;/&gt;&lt;wsp:rsid wsp:val=&quot;0CCF545B&quot;/&gt;&lt;wsp:rsid wsp:val=&quot;0D0738FD&quot;/&gt;&lt;wsp:rsid wsp:val=&quot;0D085C8C&quot;/&gt;&lt;wsp:rsid wsp:val=&quot;0D2158D9&quot;/&gt;&lt;wsp:rsid wsp:val=&quot;0D2328E8&quot;/&gt;&lt;wsp:rsid wsp:val=&quot;0D5C1EF2&quot;/&gt;&lt;wsp:rsid wsp:val=&quot;0D631EB4&quot;/&gt;&lt;wsp:rsid wsp:val=&quot;0D793528&quot;/&gt;&lt;wsp:rsid wsp:val=&quot;0D7E167C&quot;/&gt;&lt;wsp:rsid wsp:val=&quot;0DAA229E&quot;/&gt;&lt;wsp:rsid wsp:val=&quot;0DC76B6E&quot;/&gt;&lt;wsp:rsid wsp:val=&quot;0DF37F6C&quot;/&gt;&lt;wsp:rsid wsp:val=&quot;0DFA48CC&quot;/&gt;&lt;wsp:rsid wsp:val=&quot;0E431D4D&quot;/&gt;&lt;wsp:rsid wsp:val=&quot;0E607AFC&quot;/&gt;&lt;wsp:rsid wsp:val=&quot;0E6E17D1&quot;/&gt;&lt;wsp:rsid wsp:val=&quot;0E861EB6&quot;/&gt;&lt;wsp:rsid wsp:val=&quot;0E9443E5&quot;/&gt;&lt;wsp:rsid wsp:val=&quot;0EA36294&quot;/&gt;&lt;wsp:rsid wsp:val=&quot;0EB2476C&quot;/&gt;&lt;wsp:rsid wsp:val=&quot;0EC86F6F&quot;/&gt;&lt;wsp:rsid wsp:val=&quot;0F0105B3&quot;/&gt;&lt;wsp:rsid wsp:val=&quot;0F097F10&quot;/&gt;&lt;wsp:rsid wsp:val=&quot;0F0B30C1&quot;/&gt;&lt;wsp:rsid wsp:val=&quot;0F32469F&quot;/&gt;&lt;wsp:rsid wsp:val=&quot;0FA847F0&quot;/&gt;&lt;wsp:rsid wsp:val=&quot;0FCF584F&quot;/&gt;&lt;wsp:rsid wsp:val=&quot;0FE81A71&quot;/&gt;&lt;wsp:rsid wsp:val=&quot;10247D23&quot;/&gt;&lt;wsp:rsid wsp:val=&quot;10511863&quot;/&gt;&lt;wsp:rsid wsp:val=&quot;10821972&quot;/&gt;&lt;wsp:rsid wsp:val=&quot;10D93F75&quot;/&gt;&lt;wsp:rsid wsp:val=&quot;10E8298C&quot;/&gt;&lt;wsp:rsid wsp:val=&quot;110C145D&quot;/&gt;&lt;wsp:rsid wsp:val=&quot;111A3090&quot;/&gt;&lt;wsp:rsid wsp:val=&quot;1124611B&quot;/&gt;&lt;wsp:rsid wsp:val=&quot;11517AEC&quot;/&gt;&lt;wsp:rsid wsp:val=&quot;11637F9B&quot;/&gt;&lt;wsp:rsid wsp:val=&quot;116C080A&quot;/&gt;&lt;wsp:rsid wsp:val=&quot;11840E63&quot;/&gt;&lt;wsp:rsid wsp:val=&quot;11B13C7A&quot;/&gt;&lt;wsp:rsid wsp:val=&quot;11EB07E7&quot;/&gt;&lt;wsp:rsid wsp:val=&quot;12007799&quot;/&gt;&lt;wsp:rsid wsp:val=&quot;12081144&quot;/&gt;&lt;wsp:rsid wsp:val=&quot;123407FF&quot;/&gt;&lt;wsp:rsid wsp:val=&quot;12475AB8&quot;/&gt;&lt;wsp:rsid wsp:val=&quot;124C0828&quot;/&gt;&lt;wsp:rsid wsp:val=&quot;12572AAF&quot;/&gt;&lt;wsp:rsid wsp:val=&quot;12782B0D&quot;/&gt;&lt;wsp:rsid wsp:val=&quot;127D5A2B&quot;/&gt;&lt;wsp:rsid wsp:val=&quot;12880147&quot;/&gt;&lt;wsp:rsid wsp:val=&quot;12DE45FD&quot;/&gt;&lt;wsp:rsid wsp:val=&quot;130F2B82&quot;/&gt;&lt;wsp:rsid wsp:val=&quot;13830D1B&quot;/&gt;&lt;wsp:rsid wsp:val=&quot;138C7FDE&quot;/&gt;&lt;wsp:rsid wsp:val=&quot;13A70E18&quot;/&gt;&lt;wsp:rsid wsp:val=&quot;13D307EA&quot;/&gt;&lt;wsp:rsid wsp:val=&quot;13E52B1F&quot;/&gt;&lt;wsp:rsid wsp:val=&quot;13EA370B&quot;/&gt;&lt;wsp:rsid wsp:val=&quot;14492A04&quot;/&gt;&lt;wsp:rsid wsp:val=&quot;14570C43&quot;/&gt;&lt;wsp:rsid wsp:val=&quot;146B7E32&quot;/&gt;&lt;wsp:rsid wsp:val=&quot;14940DC8&quot;/&gt;&lt;wsp:rsid wsp:val=&quot;14D939B3&quot;/&gt;&lt;wsp:rsid wsp:val=&quot;15036B18&quot;/&gt;&lt;wsp:rsid wsp:val=&quot;15045696&quot;/&gt;&lt;wsp:rsid wsp:val=&quot;152754CD&quot;/&gt;&lt;wsp:rsid wsp:val=&quot;153A70FE&quot;/&gt;&lt;wsp:rsid wsp:val=&quot;15720710&quot;/&gt;&lt;wsp:rsid wsp:val=&quot;15DF59DA&quot;/&gt;&lt;wsp:rsid wsp:val=&quot;160D3FCC&quot;/&gt;&lt;wsp:rsid wsp:val=&quot;160F4E0B&quot;/&gt;&lt;wsp:rsid wsp:val=&quot;164752AE&quot;/&gt;&lt;wsp:rsid wsp:val=&quot;16ED5EEF&quot;/&gt;&lt;wsp:rsid wsp:val=&quot;17794E06&quot;/&gt;&lt;wsp:rsid wsp:val=&quot;17A200F9&quot;/&gt;&lt;wsp:rsid wsp:val=&quot;180D67FD&quot;/&gt;&lt;wsp:rsid wsp:val=&quot;181B7460&quot;/&gt;&lt;wsp:rsid wsp:val=&quot;188F4BB3&quot;/&gt;&lt;wsp:rsid wsp:val=&quot;18AC514D&quot;/&gt;&lt;wsp:rsid wsp:val=&quot;18D76298&quot;/&gt;&lt;wsp:rsid wsp:val=&quot;195347D3&quot;/&gt;&lt;wsp:rsid wsp:val=&quot;19735052&quot;/&gt;&lt;wsp:rsid wsp:val=&quot;19966AF1&quot;/&gt;&lt;wsp:rsid wsp:val=&quot;19BB2C71&quot;/&gt;&lt;wsp:rsid wsp:val=&quot;19BC649E&quot;/&gt;&lt;wsp:rsid wsp:val=&quot;1A15700F&quot;/&gt;&lt;wsp:rsid wsp:val=&quot;1A3D64BC&quot;/&gt;&lt;wsp:rsid wsp:val=&quot;1A6F4961&quot;/&gt;&lt;wsp:rsid wsp:val=&quot;1A6F5B4F&quot;/&gt;&lt;wsp:rsid wsp:val=&quot;1A873D79&quot;/&gt;&lt;wsp:rsid wsp:val=&quot;1A943962&quot;/&gt;&lt;wsp:rsid wsp:val=&quot;1A981A14&quot;/&gt;&lt;wsp:rsid wsp:val=&quot;1A9A53CD&quot;/&gt;&lt;wsp:rsid wsp:val=&quot;1AD52E27&quot;/&gt;&lt;wsp:rsid wsp:val=&quot;1AEA3452&quot;/&gt;&lt;wsp:rsid wsp:val=&quot;1B24529A&quot;/&gt;&lt;wsp:rsid wsp:val=&quot;1B6510A2&quot;/&gt;&lt;wsp:rsid wsp:val=&quot;1B783301&quot;/&gt;&lt;wsp:rsid wsp:val=&quot;1BC13A05&quot;/&gt;&lt;wsp:rsid wsp:val=&quot;1C580C50&quot;/&gt;&lt;wsp:rsid wsp:val=&quot;1C8A021D&quot;/&gt;&lt;wsp:rsid wsp:val=&quot;1C9327FA&quot;/&gt;&lt;wsp:rsid wsp:val=&quot;1CB94A98&quot;/&gt;&lt;wsp:rsid wsp:val=&quot;1D0A556F&quot;/&gt;&lt;wsp:rsid wsp:val=&quot;1D307C7F&quot;/&gt;&lt;wsp:rsid wsp:val=&quot;1D38618A&quot;/&gt;&lt;wsp:rsid wsp:val=&quot;1D4204B8&quot;/&gt;&lt;wsp:rsid wsp:val=&quot;1D4E08B6&quot;/&gt;&lt;wsp:rsid wsp:val=&quot;1D5A27F2&quot;/&gt;&lt;wsp:rsid wsp:val=&quot;1D6612E8&quot;/&gt;&lt;wsp:rsid wsp:val=&quot;1DAD4689&quot;/&gt;&lt;wsp:rsid wsp:val=&quot;1DED249C&quot;/&gt;&lt;wsp:rsid wsp:val=&quot;1DF85FDB&quot;/&gt;&lt;wsp:rsid wsp:val=&quot;1E3436D5&quot;/&gt;&lt;wsp:rsid wsp:val=&quot;1E382D17&quot;/&gt;&lt;wsp:rsid wsp:val=&quot;1E605C8C&quot;/&gt;&lt;wsp:rsid wsp:val=&quot;1E65194E&quot;/&gt;&lt;wsp:rsid wsp:val=&quot;1EAF7BE2&quot;/&gt;&lt;wsp:rsid wsp:val=&quot;1EB2332C&quot;/&gt;&lt;wsp:rsid wsp:val=&quot;1EB916C8&quot;/&gt;&lt;wsp:rsid wsp:val=&quot;1EFD4164&quot;/&gt;&lt;wsp:rsid wsp:val=&quot;1F1A0CBF&quot;/&gt;&lt;wsp:rsid wsp:val=&quot;1F4719AD&quot;/&gt;&lt;wsp:rsid wsp:val=&quot;1FBA7011&quot;/&gt;&lt;wsp:rsid wsp:val=&quot;1FEF4FB7&quot;/&gt;&lt;wsp:rsid wsp:val=&quot;200B7308&quot;/&gt;&lt;wsp:rsid wsp:val=&quot;20713A86&quot;/&gt;&lt;wsp:rsid wsp:val=&quot;20A900D3&quot;/&gt;&lt;wsp:rsid wsp:val=&quot;20D04E77&quot;/&gt;&lt;wsp:rsid wsp:val=&quot;20DD3A5A&quot;/&gt;&lt;wsp:rsid wsp:val=&quot;20F10467&quot;/&gt;&lt;wsp:rsid wsp:val=&quot;214C7989&quot;/&gt;&lt;wsp:rsid wsp:val=&quot;2165234F&quot;/&gt;&lt;wsp:rsid wsp:val=&quot;219D1CBD&quot;/&gt;&lt;wsp:rsid wsp:val=&quot;21A72B90&quot;/&gt;&lt;wsp:rsid wsp:val=&quot;21B81460&quot;/&gt;&lt;wsp:rsid wsp:val=&quot;21C924E9&quot;/&gt;&lt;wsp:rsid wsp:val=&quot;220505E8&quot;/&gt;&lt;wsp:rsid wsp:val=&quot;224C1F23&quot;/&gt;&lt;wsp:rsid wsp:val=&quot;22943E84&quot;/&gt;&lt;wsp:rsid wsp:val=&quot;22C40C3F&quot;/&gt;&lt;wsp:rsid wsp:val=&quot;2300710C&quot;/&gt;&lt;wsp:rsid wsp:val=&quot;23480256&quot;/&gt;&lt;wsp:rsid wsp:val=&quot;2375371D&quot;/&gt;&lt;wsp:rsid wsp:val=&quot;23CB58EA&quot;/&gt;&lt;wsp:rsid wsp:val=&quot;23DC76A6&quot;/&gt;&lt;wsp:rsid wsp:val=&quot;23DE7C42&quot;/&gt;&lt;wsp:rsid wsp:val=&quot;23F21740&quot;/&gt;&lt;wsp:rsid wsp:val=&quot;243D5695&quot;/&gt;&lt;wsp:rsid wsp:val=&quot;2460300B&quot;/&gt;&lt;wsp:rsid wsp:val=&quot;24746305&quot;/&gt;&lt;wsp:rsid wsp:val=&quot;247D7E0E&quot;/&gt;&lt;wsp:rsid wsp:val=&quot;24944663&quot;/&gt;&lt;wsp:rsid wsp:val=&quot;24BC31D3&quot;/&gt;&lt;wsp:rsid wsp:val=&quot;24C169D5&quot;/&gt;&lt;wsp:rsid wsp:val=&quot;24ED72A4&quot;/&gt;&lt;wsp:rsid wsp:val=&quot;25201627&quot;/&gt;&lt;wsp:rsid wsp:val=&quot;25484A85&quot;/&gt;&lt;wsp:rsid wsp:val=&quot;256C6D70&quot;/&gt;&lt;wsp:rsid wsp:val=&quot;256E06D7&quot;/&gt;&lt;wsp:rsid wsp:val=&quot;25864EB9&quot;/&gt;&lt;wsp:rsid wsp:val=&quot;25E04BC3&quot;/&gt;&lt;wsp:rsid wsp:val=&quot;260D2B9E&quot;/&gt;&lt;wsp:rsid wsp:val=&quot;263C4537&quot;/&gt;&lt;wsp:rsid wsp:val=&quot;263C523D&quot;/&gt;&lt;wsp:rsid wsp:val=&quot;26531A27&quot;/&gt;&lt;wsp:rsid wsp:val=&quot;26577261&quot;/&gt;&lt;wsp:rsid wsp:val=&quot;26660B72&quot;/&gt;&lt;wsp:rsid wsp:val=&quot;26A95F45&quot;/&gt;&lt;wsp:rsid wsp:val=&quot;26C6655B&quot;/&gt;&lt;wsp:rsid wsp:val=&quot;274F59EF&quot;/&gt;&lt;wsp:rsid wsp:val=&quot;27511BD6&quot;/&gt;&lt;wsp:rsid wsp:val=&quot;276D159F&quot;/&gt;&lt;wsp:rsid wsp:val=&quot;276D758B&quot;/&gt;&lt;wsp:rsid wsp:val=&quot;2777588C&quot;/&gt;&lt;wsp:rsid wsp:val=&quot;277D6FC2&quot;/&gt;&lt;wsp:rsid wsp:val=&quot;278A008E&quot;/&gt;&lt;wsp:rsid wsp:val=&quot;27C13091&quot;/&gt;&lt;wsp:rsid wsp:val=&quot;280D4AE1&quot;/&gt;&lt;wsp:rsid wsp:val=&quot;281745B5&quot;/&gt;&lt;wsp:rsid wsp:val=&quot;284802C8&quot;/&gt;&lt;wsp:rsid wsp:val=&quot;28A50DA0&quot;/&gt;&lt;wsp:rsid wsp:val=&quot;28AD136B&quot;/&gt;&lt;wsp:rsid wsp:val=&quot;28B36C40&quot;/&gt;&lt;wsp:rsid wsp:val=&quot;28DD4426&quot;/&gt;&lt;wsp:rsid wsp:val=&quot;28E17FE1&quot;/&gt;&lt;wsp:rsid wsp:val=&quot;28F40A64&quot;/&gt;&lt;wsp:rsid wsp:val=&quot;28F66E41&quot;/&gt;&lt;wsp:rsid wsp:val=&quot;290F1E7B&quot;/&gt;&lt;wsp:rsid wsp:val=&quot;294314E2&quot;/&gt;&lt;wsp:rsid wsp:val=&quot;29865772&quot;/&gt;&lt;wsp:rsid wsp:val=&quot;29B642C9&quot;/&gt;&lt;wsp:rsid wsp:val=&quot;29CB340C&quot;/&gt;&lt;wsp:rsid wsp:val=&quot;29CD16C8&quot;/&gt;&lt;wsp:rsid wsp:val=&quot;2A030F8A&quot;/&gt;&lt;wsp:rsid wsp:val=&quot;2A0E73C3&quot;/&gt;&lt;wsp:rsid wsp:val=&quot;2A1F2401&quot;/&gt;&lt;wsp:rsid wsp:val=&quot;2A466F4F&quot;/&gt;&lt;wsp:rsid wsp:val=&quot;2A9B4F45&quot;/&gt;&lt;wsp:rsid wsp:val=&quot;2ABD37F5&quot;/&gt;&lt;wsp:rsid wsp:val=&quot;2B095935&quot;/&gt;&lt;wsp:rsid wsp:val=&quot;2B172D9E&quot;/&gt;&lt;wsp:rsid wsp:val=&quot;2B462A2E&quot;/&gt;&lt;wsp:rsid wsp:val=&quot;2B5F2346&quot;/&gt;&lt;wsp:rsid wsp:val=&quot;2B87148A&quot;/&gt;&lt;wsp:rsid wsp:val=&quot;2BA0077B&quot;/&gt;&lt;wsp:rsid wsp:val=&quot;2BDC5E67&quot;/&gt;&lt;wsp:rsid wsp:val=&quot;2BFF2464&quot;/&gt;&lt;wsp:rsid wsp:val=&quot;2C0E7D14&quot;/&gt;&lt;wsp:rsid wsp:val=&quot;2CB432FC&quot;/&gt;&lt;wsp:rsid wsp:val=&quot;2CBD33CA&quot;/&gt;&lt;wsp:rsid wsp:val=&quot;2CCE6FA7&quot;/&gt;&lt;wsp:rsid wsp:val=&quot;2D1134A8&quot;/&gt;&lt;wsp:rsid wsp:val=&quot;2D1C3AF7&quot;/&gt;&lt;wsp:rsid wsp:val=&quot;2D5D0D68&quot;/&gt;&lt;wsp:rsid wsp:val=&quot;2DDA2544&quot;/&gt;&lt;wsp:rsid wsp:val=&quot;2DDA6C54&quot;/&gt;&lt;wsp:rsid wsp:val=&quot;2DED6433&quot;/&gt;&lt;wsp:rsid wsp:val=&quot;2DF96BF8&quot;/&gt;&lt;wsp:rsid wsp:val=&quot;2E0B0E2B&quot;/&gt;&lt;wsp:rsid wsp:val=&quot;2E2D233F&quot;/&gt;&lt;wsp:rsid wsp:val=&quot;2E336DAC&quot;/&gt;&lt;wsp:rsid wsp:val=&quot;2E732223&quot;/&gt;&lt;wsp:rsid wsp:val=&quot;2ED570D7&quot;/&gt;&lt;wsp:rsid wsp:val=&quot;2EDF21B0&quot;/&gt;&lt;wsp:rsid wsp:val=&quot;2EFB3C9C&quot;/&gt;&lt;wsp:rsid wsp:val=&quot;2F0D2584&quot;/&gt;&lt;wsp:rsid wsp:val=&quot;2F0D5BC4&quot;/&gt;&lt;wsp:rsid wsp:val=&quot;2F312903&quot;/&gt;&lt;wsp:rsid wsp:val=&quot;2F373FFA&quot;/&gt;&lt;wsp:rsid wsp:val=&quot;2F402768&quot;/&gt;&lt;wsp:rsid wsp:val=&quot;2FCB2E60&quot;/&gt;&lt;wsp:rsid wsp:val=&quot;2FF11189&quot;/&gt;&lt;wsp:rsid wsp:val=&quot;30166685&quot;/&gt;&lt;wsp:rsid wsp:val=&quot;30256C85&quot;/&gt;&lt;wsp:rsid wsp:val=&quot;30584578&quot;/&gt;&lt;wsp:rsid wsp:val=&quot;30814EEE&quot;/&gt;&lt;wsp:rsid wsp:val=&quot;30B1213C&quot;/&gt;&lt;wsp:rsid wsp:val=&quot;30DE6B20&quot;/&gt;&lt;wsp:rsid wsp:val=&quot;30EB4929&quot;/&gt;&lt;wsp:rsid wsp:val=&quot;30EB50B7&quot;/&gt;&lt;wsp:rsid wsp:val=&quot;30FF3D41&quot;/&gt;&lt;wsp:rsid wsp:val=&quot;315D3CB1&quot;/&gt;&lt;wsp:rsid wsp:val=&quot;32012B92&quot;/&gt;&lt;wsp:rsid wsp:val=&quot;32090739&quot;/&gt;&lt;wsp:rsid wsp:val=&quot;320B2190&quot;/&gt;&lt;wsp:rsid wsp:val=&quot;322F79DD&quot;/&gt;&lt;wsp:rsid wsp:val=&quot;323B7922&quot;/&gt;&lt;wsp:rsid wsp:val=&quot;324A05BB&quot;/&gt;&lt;wsp:rsid wsp:val=&quot;328F53BD&quot;/&gt;&lt;wsp:rsid wsp:val=&quot;32BB69E9&quot;/&gt;&lt;wsp:rsid wsp:val=&quot;33C57071&quot;/&gt;&lt;wsp:rsid wsp:val=&quot;33E4255C&quot;/&gt;&lt;wsp:rsid wsp:val=&quot;33F95CBC&quot;/&gt;&lt;wsp:rsid wsp:val=&quot;349171B1&quot;/&gt;&lt;wsp:rsid wsp:val=&quot;34D077F2&quot;/&gt;&lt;wsp:rsid wsp:val=&quot;34DB7025&quot;/&gt;&lt;wsp:rsid wsp:val=&quot;35B60E80&quot;/&gt;&lt;wsp:rsid wsp:val=&quot;35C3628B&quot;/&gt;&lt;wsp:rsid wsp:val=&quot;35FE7846&quot;/&gt;&lt;wsp:rsid wsp:val=&quot;361A37E9&quot;/&gt;&lt;wsp:rsid wsp:val=&quot;361E3EEB&quot;/&gt;&lt;wsp:rsid wsp:val=&quot;364A5D09&quot;/&gt;&lt;wsp:rsid wsp:val=&quot;367605F0&quot;/&gt;&lt;wsp:rsid wsp:val=&quot;36D137A6&quot;/&gt;&lt;wsp:rsid wsp:val=&quot;36DD5160&quot;/&gt;&lt;wsp:rsid wsp:val=&quot;372E2785&quot;/&gt;&lt;wsp:rsid wsp:val=&quot;37463790&quot;/&gt;&lt;wsp:rsid wsp:val=&quot;376E5C54&quot;/&gt;&lt;wsp:rsid wsp:val=&quot;378808AD&quot;/&gt;&lt;wsp:rsid wsp:val=&quot;37AD1C20&quot;/&gt;&lt;wsp:rsid wsp:val=&quot;37C61845&quot;/&gt;&lt;wsp:rsid wsp:val=&quot;37D77901&quot;/&gt;&lt;wsp:rsid wsp:val=&quot;37EE388E&quot;/&gt;&lt;wsp:rsid wsp:val=&quot;38501F01&quot;/&gt;&lt;wsp:rsid wsp:val=&quot;38633A78&quot;/&gt;&lt;wsp:rsid wsp:val=&quot;386D3E1A&quot;/&gt;&lt;wsp:rsid wsp:val=&quot;387900AE&quot;/&gt;&lt;wsp:rsid wsp:val=&quot;38D60219&quot;/&gt;&lt;wsp:rsid wsp:val=&quot;38EC22C3&quot;/&gt;&lt;wsp:rsid wsp:val=&quot;39034EF3&quot;/&gt;&lt;wsp:rsid wsp:val=&quot;391B11B7&quot;/&gt;&lt;wsp:rsid wsp:val=&quot;391E136B&quot;/&gt;&lt;wsp:rsid wsp:val=&quot;395753AC&quot;/&gt;&lt;wsp:rsid wsp:val=&quot;395B5602&quot;/&gt;&lt;wsp:rsid wsp:val=&quot;39803530&quot;/&gt;&lt;wsp:rsid wsp:val=&quot;398464ED&quot;/&gt;&lt;wsp:rsid wsp:val=&quot;39D70E7A&quot;/&gt;&lt;wsp:rsid wsp:val=&quot;39E24207&quot;/&gt;&lt;wsp:rsid wsp:val=&quot;39E75B0F&quot;/&gt;&lt;wsp:rsid wsp:val=&quot;3A9B7A40&quot;/&gt;&lt;wsp:rsid wsp:val=&quot;3ADE6844&quot;/&gt;&lt;wsp:rsid wsp:val=&quot;3ADF5690&quot;/&gt;&lt;wsp:rsid wsp:val=&quot;3BD55156&quot;/&gt;&lt;wsp:rsid wsp:val=&quot;3BF7433C&quot;/&gt;&lt;wsp:rsid wsp:val=&quot;3C0A065A&quot;/&gt;&lt;wsp:rsid wsp:val=&quot;3C394F22&quot;/&gt;&lt;wsp:rsid wsp:val=&quot;3C803199&quot;/&gt;&lt;wsp:rsid wsp:val=&quot;3C82518B&quot;/&gt;&lt;wsp:rsid wsp:val=&quot;3CB20C9B&quot;/&gt;&lt;wsp:rsid wsp:val=&quot;3CE50FE6&quot;/&gt;&lt;wsp:rsid wsp:val=&quot;3D1C097A&quot;/&gt;&lt;wsp:rsid wsp:val=&quot;3D2316E0&quot;/&gt;&lt;wsp:rsid wsp:val=&quot;3D242B1D&quot;/&gt;&lt;wsp:rsid wsp:val=&quot;3D28490E&quot;/&gt;&lt;wsp:rsid wsp:val=&quot;3D471932&quot;/&gt;&lt;wsp:rsid wsp:val=&quot;3D5A692C&quot;/&gt;&lt;wsp:rsid wsp:val=&quot;3D61225D&quot;/&gt;&lt;wsp:rsid wsp:val=&quot;3D873829&quot;/&gt;&lt;wsp:rsid wsp:val=&quot;3DBA3B41&quot;/&gt;&lt;wsp:rsid wsp:val=&quot;3DCC50BE&quot;/&gt;&lt;wsp:rsid wsp:val=&quot;3E452E47&quot;/&gt;&lt;wsp:rsid wsp:val=&quot;3E46706F&quot;/&gt;&lt;wsp:rsid wsp:val=&quot;3E9E3F5F&quot;/&gt;&lt;wsp:rsid wsp:val=&quot;3EA8374B&quot;/&gt;&lt;wsp:rsid wsp:val=&quot;3EA92A8E&quot;/&gt;&lt;wsp:rsid wsp:val=&quot;3EAF1D21&quot;/&gt;&lt;wsp:rsid wsp:val=&quot;3EB2505C&quot;/&gt;&lt;wsp:rsid wsp:val=&quot;3F2143BA&quot;/&gt;&lt;wsp:rsid wsp:val=&quot;3F2C7150&quot;/&gt;&lt;wsp:rsid wsp:val=&quot;3F2E5F44&quot;/&gt;&lt;wsp:rsid wsp:val=&quot;3F32004D&quot;/&gt;&lt;wsp:rsid wsp:val=&quot;3F3F1286&quot;/&gt;&lt;wsp:rsid wsp:val=&quot;3F5D1C02&quot;/&gt;&lt;wsp:rsid wsp:val=&quot;3F6F6320&quot;/&gt;&lt;wsp:rsid wsp:val=&quot;3FA61547&quot;/&gt;&lt;wsp:rsid wsp:val=&quot;3FD85F5B&quot;/&gt;&lt;wsp:rsid wsp:val=&quot;40066CE4&quot;/&gt;&lt;wsp:rsid wsp:val=&quot;404C3530&quot;/&gt;&lt;wsp:rsid wsp:val=&quot;40640F50&quot;/&gt;&lt;wsp:rsid wsp:val=&quot;4073053A&quot;/&gt;&lt;wsp:rsid wsp:val=&quot;40CC17E3&quot;/&gt;&lt;wsp:rsid wsp:val=&quot;40E87CEA&quot;/&gt;&lt;wsp:rsid wsp:val=&quot;411B35A5&quot;/&gt;&lt;wsp:rsid wsp:val=&quot;41303BBB&quot;/&gt;&lt;wsp:rsid wsp:val=&quot;414469D9&quot;/&gt;&lt;wsp:rsid wsp:val=&quot;4148460B&quot;/&gt;&lt;wsp:rsid wsp:val=&quot;414F1FB2&quot;/&gt;&lt;wsp:rsid wsp:val=&quot;415C28FA&quot;/&gt;&lt;wsp:rsid wsp:val=&quot;417838C4&quot;/&gt;&lt;wsp:rsid wsp:val=&quot;417E77D7&quot;/&gt;&lt;wsp:rsid wsp:val=&quot;41A14061&quot;/&gt;&lt;wsp:rsid wsp:val=&quot;41B23089&quot;/&gt;&lt;wsp:rsid wsp:val=&quot;41B93036&quot;/&gt;&lt;wsp:rsid wsp:val=&quot;42201F87&quot;/&gt;&lt;wsp:rsid wsp:val=&quot;4230506D&quot;/&gt;&lt;wsp:rsid wsp:val=&quot;42431FFC&quot;/&gt;&lt;wsp:rsid wsp:val=&quot;42643643&quot;/&gt;&lt;wsp:rsid wsp:val=&quot;4289555C&quot;/&gt;&lt;wsp:rsid wsp:val=&quot;42B06A84&quot;/&gt;&lt;wsp:rsid wsp:val=&quot;42D65CF8&quot;/&gt;&lt;wsp:rsid wsp:val=&quot;42DB2F6B&quot;/&gt;&lt;wsp:rsid wsp:val=&quot;42E3229E&quot;/&gt;&lt;wsp:rsid wsp:val=&quot;42F76746&quot;/&gt;&lt;wsp:rsid wsp:val=&quot;430F5A79&quot;/&gt;&lt;wsp:rsid wsp:val=&quot;432C688E&quot;/&gt;&lt;wsp:rsid wsp:val=&quot;437645EA&quot;/&gt;&lt;wsp:rsid wsp:val=&quot;438965F2&quot;/&gt;&lt;wsp:rsid wsp:val=&quot;438B49D7&quot;/&gt;&lt;wsp:rsid wsp:val=&quot;43964A00&quot;/&gt;&lt;wsp:rsid wsp:val=&quot;43A3194B&quot;/&gt;&lt;wsp:rsid wsp:val=&quot;43C004B9&quot;/&gt;&lt;wsp:rsid wsp:val=&quot;44046E3F&quot;/&gt;&lt;wsp:rsid wsp:val=&quot;44363274&quot;/&gt;&lt;wsp:rsid wsp:val=&quot;445C0110&quot;/&gt;&lt;wsp:rsid wsp:val=&quot;4466014D&quot;/&gt;&lt;wsp:rsid wsp:val=&quot;44895FC2&quot;/&gt;&lt;wsp:rsid wsp:val=&quot;44A60836&quot;/&gt;&lt;wsp:rsid wsp:val=&quot;44E90CFB&quot;/&gt;&lt;wsp:rsid wsp:val=&quot;457172A4&quot;/&gt;&lt;wsp:rsid wsp:val=&quot;45753B2D&quot;/&gt;&lt;wsp:rsid wsp:val=&quot;458E0791&quot;/&gt;&lt;wsp:rsid wsp:val=&quot;45B56A56&quot;/&gt;&lt;wsp:rsid wsp:val=&quot;45E94812&quot;/&gt;&lt;wsp:rsid wsp:val=&quot;4606306A&quot;/&gt;&lt;wsp:rsid wsp:val=&quot;46163AA9&quot;/&gt;&lt;wsp:rsid wsp:val=&quot;464B35C0&quot;/&gt;&lt;wsp:rsid wsp:val=&quot;46690A43&quot;/&gt;&lt;wsp:rsid wsp:val=&quot;46986D0B&quot;/&gt;&lt;wsp:rsid wsp:val=&quot;46B040D3&quot;/&gt;&lt;wsp:rsid wsp:val=&quot;46E9731D&quot;/&gt;&lt;wsp:rsid wsp:val=&quot;47251E42&quot;/&gt;&lt;wsp:rsid wsp:val=&quot;473B5CE5&quot;/&gt;&lt;wsp:rsid wsp:val=&quot;473C5719&quot;/&gt;&lt;wsp:rsid wsp:val=&quot;47A43544&quot;/&gt;&lt;wsp:rsid wsp:val=&quot;480B2B37&quot;/&gt;&lt;wsp:rsid wsp:val=&quot;48365F56&quot;/&gt;&lt;wsp:rsid wsp:val=&quot;48DA1197&quot;/&gt;&lt;wsp:rsid wsp:val=&quot;48EA7040&quot;/&gt;&lt;wsp:rsid wsp:val=&quot;49007441&quot;/&gt;&lt;wsp:rsid wsp:val=&quot;4960513D&quot;/&gt;&lt;wsp:rsid wsp:val=&quot;496E20EB&quot;/&gt;&lt;wsp:rsid wsp:val=&quot;49791FEE&quot;/&gt;&lt;wsp:rsid wsp:val=&quot;49A719CD&quot;/&gt;&lt;wsp:rsid wsp:val=&quot;49BD37FA&quot;/&gt;&lt;wsp:rsid wsp:val=&quot;49E56F19&quot;/&gt;&lt;wsp:rsid wsp:val=&quot;4A663C8A&quot;/&gt;&lt;wsp:rsid wsp:val=&quot;4A88627C&quot;/&gt;&lt;wsp:rsid wsp:val=&quot;4A8E2D13&quot;/&gt;&lt;wsp:rsid wsp:val=&quot;4ABE1DA7&quot;/&gt;&lt;wsp:rsid wsp:val=&quot;4AD62B21&quot;/&gt;&lt;wsp:rsid wsp:val=&quot;4AF137FB&quot;/&gt;&lt;wsp:rsid wsp:val=&quot;4B172495&quot;/&gt;&lt;wsp:rsid wsp:val=&quot;4B1E675F&quot;/&gt;&lt;wsp:rsid wsp:val=&quot;4B2C5D5B&quot;/&gt;&lt;wsp:rsid wsp:val=&quot;4B63183A&quot;/&gt;&lt;wsp:rsid wsp:val=&quot;4BB41E44&quot;/&gt;&lt;wsp:rsid wsp:val=&quot;4BD11B39&quot;/&gt;&lt;wsp:rsid wsp:val=&quot;4BE26767&quot;/&gt;&lt;wsp:rsid wsp:val=&quot;4BF5445B&quot;/&gt;&lt;wsp:rsid wsp:val=&quot;4C0A2CBF&quot;/&gt;&lt;wsp:rsid wsp:val=&quot;4C874D8E&quot;/&gt;&lt;wsp:rsid wsp:val=&quot;4C897C4A&quot;/&gt;&lt;wsp:rsid wsp:val=&quot;4CAF4D1F&quot;/&gt;&lt;wsp:rsid wsp:val=&quot;4CDB2216&quot;/&gt;&lt;wsp:rsid wsp:val=&quot;4D0C1539&quot;/&gt;&lt;wsp:rsid wsp:val=&quot;4D454300&quot;/&gt;&lt;wsp:rsid wsp:val=&quot;4D564FE0&quot;/&gt;&lt;wsp:rsid wsp:val=&quot;4D5C02C6&quot;/&gt;&lt;wsp:rsid wsp:val=&quot;4D6B0E41&quot;/&gt;&lt;wsp:rsid wsp:val=&quot;4D947E50&quot;/&gt;&lt;wsp:rsid wsp:val=&quot;4D9A5CA2&quot;/&gt;&lt;wsp:rsid wsp:val=&quot;4DA0333B&quot;/&gt;&lt;wsp:rsid wsp:val=&quot;4DAE0055&quot;/&gt;&lt;wsp:rsid wsp:val=&quot;4DD24C72&quot;/&gt;&lt;wsp:rsid wsp:val=&quot;4DE04782&quot;/&gt;&lt;wsp:rsid wsp:val=&quot;4DF156F4&quot;/&gt;&lt;wsp:rsid wsp:val=&quot;4E0C1458&quot;/&gt;&lt;wsp:rsid wsp:val=&quot;4E443E74&quot;/&gt;&lt;wsp:rsid wsp:val=&quot;4E666BE0&quot;/&gt;&lt;wsp:rsid wsp:val=&quot;4EA24DAE&quot;/&gt;&lt;wsp:rsid wsp:val=&quot;4EE20D1B&quot;/&gt;&lt;wsp:rsid wsp:val=&quot;4EE41921&quot;/&gt;&lt;wsp:rsid wsp:val=&quot;4EFD18C0&quot;/&gt;&lt;wsp:rsid wsp:val=&quot;4EFE757C&quot;/&gt;&lt;wsp:rsid wsp:val=&quot;4F015442&quot;/&gt;&lt;wsp:rsid wsp:val=&quot;4F1C0FF8&quot;/&gt;&lt;wsp:rsid wsp:val=&quot;4F3978A8&quot;/&gt;&lt;wsp:rsid wsp:val=&quot;4F4A021A&quot;/&gt;&lt;wsp:rsid wsp:val=&quot;4FD02DDC&quot;/&gt;&lt;wsp:rsid wsp:val=&quot;4FD469DF&quot;/&gt;&lt;wsp:rsid wsp:val=&quot;4FE45624&quot;/&gt;&lt;wsp:rsid wsp:val=&quot;504E1890&quot;/&gt;&lt;wsp:rsid wsp:val=&quot;505A1A55&quot;/&gt;&lt;wsp:rsid wsp:val=&quot;50791A7F&quot;/&gt;&lt;wsp:rsid wsp:val=&quot;5094364E&quot;/&gt;&lt;wsp:rsid wsp:val=&quot;50A46DF1&quot;/&gt;&lt;wsp:rsid wsp:val=&quot;50C20AB4&quot;/&gt;&lt;wsp:rsid wsp:val=&quot;50D0060B&quot;/&gt;&lt;wsp:rsid wsp:val=&quot;50D96D03&quot;/&gt;&lt;wsp:rsid wsp:val=&quot;510E0B92&quot;/&gt;&lt;wsp:rsid wsp:val=&quot;51265078&quot;/&gt;&lt;wsp:rsid wsp:val=&quot;513B3915&quot;/&gt;&lt;wsp:rsid wsp:val=&quot;5150479E&quot;/&gt;&lt;wsp:rsid wsp:val=&quot;515917B1&quot;/&gt;&lt;wsp:rsid wsp:val=&quot;51617ACD&quot;/&gt;&lt;wsp:rsid wsp:val=&quot;519E3D7D&quot;/&gt;&lt;wsp:rsid wsp:val=&quot;525846B2&quot;/&gt;&lt;wsp:rsid wsp:val=&quot;528A3BDD&quot;/&gt;&lt;wsp:rsid wsp:val=&quot;528C263E&quot;/&gt;&lt;wsp:rsid wsp:val=&quot;52EF29EA&quot;/&gt;&lt;wsp:rsid wsp:val=&quot;53076EE6&quot;/&gt;&lt;wsp:rsid wsp:val=&quot;53430DF5&quot;/&gt;&lt;wsp:rsid wsp:val=&quot;53587C56&quot;/&gt;&lt;wsp:rsid wsp:val=&quot;53826273&quot;/&gt;&lt;wsp:rsid wsp:val=&quot;53DF3BE1&quot;/&gt;&lt;wsp:rsid wsp:val=&quot;54172B81&quot;/&gt;&lt;wsp:rsid wsp:val=&quot;541A66F2&quot;/&gt;&lt;wsp:rsid wsp:val=&quot;54216C5A&quot;/&gt;&lt;wsp:rsid wsp:val=&quot;54806771&quot;/&gt;&lt;wsp:rsid wsp:val=&quot;54D4025F&quot;/&gt;&lt;wsp:rsid wsp:val=&quot;54D95948&quot;/&gt;&lt;wsp:rsid wsp:val=&quot;551F3E54&quot;/&gt;&lt;wsp:rsid wsp:val=&quot;55444A80&quot;/&gt;&lt;wsp:rsid wsp:val=&quot;55545112&quot;/&gt;&lt;wsp:rsid wsp:val=&quot;558701FB&quot;/&gt;&lt;wsp:rsid wsp:val=&quot;55874F40&quot;/&gt;&lt;wsp:rsid wsp:val=&quot;558B306E&quot;/&gt;&lt;wsp:rsid wsp:val=&quot;55994037&quot;/&gt;&lt;wsp:rsid wsp:val=&quot;55D54FF2&quot;/&gt;&lt;wsp:rsid wsp:val=&quot;55DF4E88&quot;/&gt;&lt;wsp:rsid wsp:val=&quot;560321F1&quot;/&gt;&lt;wsp:rsid wsp:val=&quot;563C1221&quot;/&gt;&lt;wsp:rsid wsp:val=&quot;566B5300&quot;/&gt;&lt;wsp:rsid wsp:val=&quot;56CF135A&quot;/&gt;&lt;wsp:rsid wsp:val=&quot;57016FCE&quot;/&gt;&lt;wsp:rsid wsp:val=&quot;57100045&quot;/&gt;&lt;wsp:rsid wsp:val=&quot;57716378&quot;/&gt;&lt;wsp:rsid wsp:val=&quot;577225FD&quot;/&gt;&lt;wsp:rsid wsp:val=&quot;57BB25E4&quot;/&gt;&lt;wsp:rsid wsp:val=&quot;57C62553&quot;/&gt;&lt;wsp:rsid wsp:val=&quot;57DA54CC&quot;/&gt;&lt;wsp:rsid wsp:val=&quot;58533AD8&quot;/&gt;&lt;wsp:rsid wsp:val=&quot;589B29E5&quot;/&gt;&lt;wsp:rsid wsp:val=&quot;58A45951&quot;/&gt;&lt;wsp:rsid wsp:val=&quot;58C32CA1&quot;/&gt;&lt;wsp:rsid wsp:val=&quot;59360835&quot;/&gt;&lt;wsp:rsid wsp:val=&quot;59403ACB&quot;/&gt;&lt;wsp:rsid wsp:val=&quot;59887D89&quot;/&gt;&lt;wsp:rsid wsp:val=&quot;59A43E68&quot;/&gt;&lt;wsp:rsid wsp:val=&quot;59BB0B13&quot;/&gt;&lt;wsp:rsid wsp:val=&quot;59C60638&quot;/&gt;&lt;wsp:rsid wsp:val=&quot;5A2B1AF4&quot;/&gt;&lt;wsp:rsid wsp:val=&quot;5A586AE9&quot;/&gt;&lt;wsp:rsid wsp:val=&quot;5A6C1DCF&quot;/&gt;&lt;wsp:rsid wsp:val=&quot;5AB853FB&quot;/&gt;&lt;wsp:rsid wsp:val=&quot;5AC819D7&quot;/&gt;&lt;wsp:rsid wsp:val=&quot;5B133ED4&quot;/&gt;&lt;wsp:rsid wsp:val=&quot;5B380613&quot;/&gt;&lt;wsp:rsid wsp:val=&quot;5BC06FEA&quot;/&gt;&lt;wsp:rsid wsp:val=&quot;5BC21DE2&quot;/&gt;&lt;wsp:rsid wsp:val=&quot;5C216719&quot;/&gt;&lt;wsp:rsid wsp:val=&quot;5C6F37EE&quot;/&gt;&lt;wsp:rsid wsp:val=&quot;5C7D32EC&quot;/&gt;&lt;wsp:rsid wsp:val=&quot;5C915128&quot;/&gt;&lt;wsp:rsid wsp:val=&quot;5CAC7477&quot;/&gt;&lt;wsp:rsid wsp:val=&quot;5CC13055&quot;/&gt;&lt;wsp:rsid wsp:val=&quot;5D6041F0&quot;/&gt;&lt;wsp:rsid wsp:val=&quot;5D8E1C21&quot;/&gt;&lt;wsp:rsid wsp:val=&quot;5D9777AC&quot;/&gt;&lt;wsp:rsid wsp:val=&quot;5DB5566F&quot;/&gt;&lt;wsp:rsid wsp:val=&quot;5DC61CB0&quot;/&gt;&lt;wsp:rsid wsp:val=&quot;5DDD778D&quot;/&gt;&lt;wsp:rsid wsp:val=&quot;5E53313F&quot;/&gt;&lt;wsp:rsid wsp:val=&quot;5E6A5B56&quot;/&gt;&lt;wsp:rsid wsp:val=&quot;5E6B6793&quot;/&gt;&lt;wsp:rsid wsp:val=&quot;5E8E63D7&quot;/&gt;&lt;wsp:rsid wsp:val=&quot;5EAF7EA1&quot;/&gt;&lt;wsp:rsid wsp:val=&quot;5EEE0ABF&quot;/&gt;&lt;wsp:rsid wsp:val=&quot;5EF5098B&quot;/&gt;&lt;wsp:rsid wsp:val=&quot;5EFA0F31&quot;/&gt;&lt;wsp:rsid wsp:val=&quot;5F1178F8&quot;/&gt;&lt;wsp:rsid wsp:val=&quot;5F262F21&quot;/&gt;&lt;wsp:rsid wsp:val=&quot;5F7D5CBA&quot;/&gt;&lt;wsp:rsid wsp:val=&quot;602500CC&quot;/&gt;&lt;wsp:rsid wsp:val=&quot;60446032&quot;/&gt;&lt;wsp:rsid wsp:val=&quot;60523E2E&quot;/&gt;&lt;wsp:rsid wsp:val=&quot;60554E98&quot;/&gt;&lt;wsp:rsid wsp:val=&quot;6064577E&quot;/&gt;&lt;wsp:rsid wsp:val=&quot;6075356F&quot;/&gt;&lt;wsp:rsid wsp:val=&quot;60956993&quot;/&gt;&lt;wsp:rsid wsp:val=&quot;60AF47F0&quot;/&gt;&lt;wsp:rsid wsp:val=&quot;60D922BB&quot;/&gt;&lt;wsp:rsid wsp:val=&quot;60DE6DBC&quot;/&gt;&lt;wsp:rsid wsp:val=&quot;60F76F71&quot;/&gt;&lt;wsp:rsid wsp:val=&quot;617D013C&quot;/&gt;&lt;wsp:rsid wsp:val=&quot;618A61A7&quot;/&gt;&lt;wsp:rsid wsp:val=&quot;619209EF&quot;/&gt;&lt;wsp:rsid wsp:val=&quot;61D77161&quot;/&gt;&lt;wsp:rsid wsp:val=&quot;6200301E&quot;/&gt;&lt;wsp:rsid wsp:val=&quot;62190BF6&quot;/&gt;&lt;wsp:rsid wsp:val=&quot;622005E5&quot;/&gt;&lt;wsp:rsid wsp:val=&quot;624A6098&quot;/&gt;&lt;wsp:rsid wsp:val=&quot;626C102D&quot;/&gt;&lt;wsp:rsid wsp:val=&quot;62725AD7&quot;/&gt;&lt;wsp:rsid wsp:val=&quot;62793237&quot;/&gt;&lt;wsp:rsid wsp:val=&quot;62BC19B3&quot;/&gt;&lt;wsp:rsid wsp:val=&quot;62BF0B18&quot;/&gt;&lt;wsp:rsid wsp:val=&quot;62D83FA6&quot;/&gt;&lt;wsp:rsid wsp:val=&quot;62E46A4F&quot;/&gt;&lt;wsp:rsid wsp:val=&quot;62E544B1&quot;/&gt;&lt;wsp:rsid wsp:val=&quot;632A0181&quot;/&gt;&lt;wsp:rsid wsp:val=&quot;6347539C&quot;/&gt;&lt;wsp:rsid wsp:val=&quot;635F0FD9&quot;/&gt;&lt;wsp:rsid wsp:val=&quot;638A1FD1&quot;/&gt;&lt;wsp:rsid wsp:val=&quot;63966621&quot;/&gt;&lt;wsp:rsid wsp:val=&quot;63BE314B&quot;/&gt;&lt;wsp:rsid wsp:val=&quot;64555B88&quot;/&gt;&lt;wsp:rsid wsp:val=&quot;64604C75&quot;/&gt;&lt;wsp:rsid wsp:val=&quot;64B4442E&quot;/&gt;&lt;wsp:rsid wsp:val=&quot;64D47D6D&quot;/&gt;&lt;wsp:rsid wsp:val=&quot;64E073FD&quot;/&gt;&lt;wsp:rsid wsp:val=&quot;65930436&quot;/&gt;&lt;wsp:rsid wsp:val=&quot;65D82284&quot;/&gt;&lt;wsp:rsid wsp:val=&quot;66074444&quot;/&gt;&lt;wsp:rsid wsp:val=&quot;661C3B92&quot;/&gt;&lt;wsp:rsid wsp:val=&quot;66926AF2&quot;/&gt;&lt;wsp:rsid wsp:val=&quot;66975888&quot;/&gt;&lt;wsp:rsid wsp:val=&quot;669763E5&quot;/&gt;&lt;wsp:rsid wsp:val=&quot;66FD27C7&quot;/&gt;&lt;wsp:rsid wsp:val=&quot;675D1430&quot;/&gt;&lt;wsp:rsid wsp:val=&quot;67892399&quot;/&gt;&lt;wsp:rsid wsp:val=&quot;67B57718&quot;/&gt;&lt;wsp:rsid wsp:val=&quot;67BB4055&quot;/&gt;&lt;wsp:rsid wsp:val=&quot;67E34D51&quot;/&gt;&lt;wsp:rsid wsp:val=&quot;68114B61&quot;/&gt;&lt;wsp:rsid wsp:val=&quot;681778A7&quot;/&gt;&lt;wsp:rsid wsp:val=&quot;687E32F6&quot;/&gt;&lt;wsp:rsid wsp:val=&quot;68805770&quot;/&gt;&lt;wsp:rsid wsp:val=&quot;689B7DBE&quot;/&gt;&lt;wsp:rsid wsp:val=&quot;68AF62D4&quot;/&gt;&lt;wsp:rsid wsp:val=&quot;69392A21&quot;/&gt;&lt;wsp:rsid wsp:val=&quot;69431129&quot;/&gt;&lt;wsp:rsid wsp:val=&quot;699345C0&quot;/&gt;&lt;wsp:rsid wsp:val=&quot;69E111D1&quot;/&gt;&lt;wsp:rsid wsp:val=&quot;6A1B73D0&quot;/&gt;&lt;wsp:rsid wsp:val=&quot;6A2054EB&quot;/&gt;&lt;wsp:rsid wsp:val=&quot;6A57693B&quot;/&gt;&lt;wsp:rsid wsp:val=&quot;6B220F26&quot;/&gt;&lt;wsp:rsid wsp:val=&quot;6B3D4802&quot;/&gt;&lt;wsp:rsid wsp:val=&quot;6B550C89&quot;/&gt;&lt;wsp:rsid wsp:val=&quot;6B5D2D83&quot;/&gt;&lt;wsp:rsid wsp:val=&quot;6B686860&quot;/&gt;&lt;wsp:rsid wsp:val=&quot;6BF32254&quot;/&gt;&lt;wsp:rsid wsp:val=&quot;6C2E1B76&quot;/&gt;&lt;wsp:rsid wsp:val=&quot;6C4D10CA&quot;/&gt;&lt;wsp:rsid wsp:val=&quot;6C620DCD&quot;/&gt;&lt;wsp:rsid wsp:val=&quot;6C632E71&quot;/&gt;&lt;wsp:rsid wsp:val=&quot;6C98402E&quot;/&gt;&lt;wsp:rsid wsp:val=&quot;6CAF3346&quot;/&gt;&lt;wsp:rsid wsp:val=&quot;6CCD71DF&quot;/&gt;&lt;wsp:rsid wsp:val=&quot;6D0E3FD4&quot;/&gt;&lt;wsp:rsid wsp:val=&quot;6D4274C1&quot;/&gt;&lt;wsp:rsid wsp:val=&quot;6D477FCC&quot;/&gt;&lt;wsp:rsid wsp:val=&quot;6DC50278&quot;/&gt;&lt;wsp:rsid wsp:val=&quot;6DCD09F2&quot;/&gt;&lt;wsp:rsid wsp:val=&quot;6DCF3424&quot;/&gt;&lt;wsp:rsid wsp:val=&quot;6E302025&quot;/&gt;&lt;wsp:rsid wsp:val=&quot;6E4B6AAD&quot;/&gt;&lt;wsp:rsid wsp:val=&quot;6E4E3DD7&quot;/&gt;&lt;wsp:rsid wsp:val=&quot;6E5A7ED4&quot;/&gt;&lt;wsp:rsid wsp:val=&quot;6E805D8C&quot;/&gt;&lt;wsp:rsid wsp:val=&quot;6EC06C9B&quot;/&gt;&lt;wsp:rsid wsp:val=&quot;6EC06F25&quot;/&gt;&lt;wsp:rsid wsp:val=&quot;6EEE0A94&quot;/&gt;&lt;wsp:rsid wsp:val=&quot;6F0240E9&quot;/&gt;&lt;wsp:rsid wsp:val=&quot;6F2B100A&quot;/&gt;&lt;wsp:rsid wsp:val=&quot;6F4B0FCB&quot;/&gt;&lt;wsp:rsid wsp:val=&quot;6F4C3B6C&quot;/&gt;&lt;wsp:rsid wsp:val=&quot;6F4E2339&quot;/&gt;&lt;wsp:rsid wsp:val=&quot;6F8977E8&quot;/&gt;&lt;wsp:rsid wsp:val=&quot;6FB2545B&quot;/&gt;&lt;wsp:rsid wsp:val=&quot;6FC12AAE&quot;/&gt;&lt;wsp:rsid wsp:val=&quot;700225B6&quot;/&gt;&lt;wsp:rsid wsp:val=&quot;703F3B79&quot;/&gt;&lt;wsp:rsid wsp:val=&quot;70482B4A&quot;/&gt;&lt;wsp:rsid wsp:val=&quot;70915B62&quot;/&gt;&lt;wsp:rsid wsp:val=&quot;709B1DD5&quot;/&gt;&lt;wsp:rsid wsp:val=&quot;70B03826&quot;/&gt;&lt;wsp:rsid wsp:val=&quot;70FE253C&quot;/&gt;&lt;wsp:rsid wsp:val=&quot;710836C0&quot;/&gt;&lt;wsp:rsid wsp:val=&quot;710C4641&quot;/&gt;&lt;wsp:rsid wsp:val=&quot;716021C0&quot;/&gt;&lt;wsp:rsid wsp:val=&quot;71771F2B&quot;/&gt;&lt;wsp:rsid wsp:val=&quot;719B7959&quot;/&gt;&lt;wsp:rsid wsp:val=&quot;71A301A4&quot;/&gt;&lt;wsp:rsid wsp:val=&quot;71B81EEE&quot;/&gt;&lt;wsp:rsid wsp:val=&quot;71E84A17&quot;/&gt;&lt;wsp:rsid wsp:val=&quot;71F24CB9&quot;/&gt;&lt;wsp:rsid wsp:val=&quot;721249BC&quot;/&gt;&lt;wsp:rsid wsp:val=&quot;72153AEA&quot;/&gt;&lt;wsp:rsid wsp:val=&quot;72726D3F&quot;/&gt;&lt;wsp:rsid wsp:val=&quot;72801F33&quot;/&gt;&lt;wsp:rsid wsp:val=&quot;72D900D9&quot;/&gt;&lt;wsp:rsid wsp:val=&quot;73013B75&quot;/&gt;&lt;wsp:rsid wsp:val=&quot;73383393&quot;/&gt;&lt;wsp:rsid wsp:val=&quot;735B5491&quot;/&gt;&lt;wsp:rsid wsp:val=&quot;736E350B&quot;/&gt;&lt;wsp:rsid wsp:val=&quot;73B128F9&quot;/&gt;&lt;wsp:rsid wsp:val=&quot;73C71D1C&quot;/&gt;&lt;wsp:rsid wsp:val=&quot;740E767B&quot;/&gt;&lt;wsp:rsid wsp:val=&quot;74131440&quot;/&gt;&lt;wsp:rsid wsp:val=&quot;741A6855&quot;/&gt;&lt;wsp:rsid wsp:val=&quot;74483378&quot;/&gt;&lt;wsp:rsid wsp:val=&quot;74620165&quot;/&gt;&lt;wsp:rsid wsp:val=&quot;74A86B4B&quot;/&gt;&lt;wsp:rsid wsp:val=&quot;752E34EE&quot;/&gt;&lt;wsp:rsid wsp:val=&quot;75631640&quot;/&gt;&lt;wsp:rsid wsp:val=&quot;757A11FB&quot;/&gt;&lt;wsp:rsid wsp:val=&quot;759F44A6&quot;/&gt;&lt;wsp:rsid wsp:val=&quot;75E821DF&quot;/&gt;&lt;wsp:rsid wsp:val=&quot;7624661D&quot;/&gt;&lt;wsp:rsid wsp:val=&quot;76613B45&quot;/&gt;&lt;wsp:rsid wsp:val=&quot;76794489&quot;/&gt;&lt;wsp:rsid wsp:val=&quot;76844423&quot;/&gt;&lt;wsp:rsid wsp:val=&quot;769B4760&quot;/&gt;&lt;wsp:rsid wsp:val=&quot;76A1621B&quot;/&gt;&lt;wsp:rsid wsp:val=&quot;76A61249&quot;/&gt;&lt;wsp:rsid wsp:val=&quot;76BE76BD&quot;/&gt;&lt;wsp:rsid wsp:val=&quot;77125AB5&quot;/&gt;&lt;wsp:rsid wsp:val=&quot;776B66F1&quot;/&gt;&lt;wsp:rsid wsp:val=&quot;77A551E4&quot;/&gt;&lt;wsp:rsid wsp:val=&quot;77DC5F58&quot;/&gt;&lt;wsp:rsid wsp:val=&quot;77E462BC&quot;/&gt;&lt;wsp:rsid wsp:val=&quot;7807225B&quot;/&gt;&lt;wsp:rsid wsp:val=&quot;7853086D&quot;/&gt;&lt;wsp:rsid wsp:val=&quot;787B24B3&quot;/&gt;&lt;wsp:rsid wsp:val=&quot;78BE2892&quot;/&gt;&lt;wsp:rsid wsp:val=&quot;79487F3B&quot;/&gt;&lt;wsp:rsid wsp:val=&quot;7958034D&quot;/&gt;&lt;wsp:rsid wsp:val=&quot;79874F65&quot;/&gt;&lt;wsp:rsid wsp:val=&quot;79AD754C&quot;/&gt;&lt;wsp:rsid wsp:val=&quot;79CE6960&quot;/&gt;&lt;wsp:rsid wsp:val=&quot;79E34EA8&quot;/&gt;&lt;wsp:rsid wsp:val=&quot;7A216E9D&quot;/&gt;&lt;wsp:rsid wsp:val=&quot;7A623047&quot;/&gt;&lt;wsp:rsid wsp:val=&quot;7AC34186&quot;/&gt;&lt;wsp:rsid wsp:val=&quot;7ACE4DA3&quot;/&gt;&lt;wsp:rsid wsp:val=&quot;7AD207C3&quot;/&gt;&lt;wsp:rsid wsp:val=&quot;7B534B92&quot;/&gt;&lt;wsp:rsid wsp:val=&quot;7B664C07&quot;/&gt;&lt;wsp:rsid wsp:val=&quot;7BA274E7&quot;/&gt;&lt;wsp:rsid wsp:val=&quot;7BA975D4&quot;/&gt;&lt;wsp:rsid wsp:val=&quot;7BBD73A6&quot;/&gt;&lt;wsp:rsid wsp:val=&quot;7BCD1D9C&quot;/&gt;&lt;wsp:rsid wsp:val=&quot;7BEF1581&quot;/&gt;&lt;wsp:rsid wsp:val=&quot;7C1049C9&quot;/&gt;&lt;wsp:rsid wsp:val=&quot;7C17313A&quot;/&gt;&lt;wsp:rsid wsp:val=&quot;7C5A20B4&quot;/&gt;&lt;wsp:rsid wsp:val=&quot;7C945FA9&quot;/&gt;&lt;wsp:rsid wsp:val=&quot;7CD603FC&quot;/&gt;&lt;wsp:rsid wsp:val=&quot;7D1A439B&quot;/&gt;&lt;wsp:rsid wsp:val=&quot;7D1A788D&quot;/&gt;&lt;wsp:rsid wsp:val=&quot;7D83567A&quot;/&gt;&lt;wsp:rsid wsp:val=&quot;7D8D57CF&quot;/&gt;&lt;wsp:rsid wsp:val=&quot;7D955548&quot;/&gt;&lt;wsp:rsid wsp:val=&quot;7D996BBB&quot;/&gt;&lt;wsp:rsid wsp:val=&quot;7D9D7130&quot;/&gt;&lt;wsp:rsid wsp:val=&quot;7DA43D6F&quot;/&gt;&lt;wsp:rsid wsp:val=&quot;7DDC7E18&quot;/&gt;&lt;wsp:rsid wsp:val=&quot;7E287490&quot;/&gt;&lt;wsp:rsid wsp:val=&quot;7E4055F7&quot;/&gt;&lt;wsp:rsid wsp:val=&quot;7E6E79C9&quot;/&gt;&lt;wsp:rsid wsp:val=&quot;7E7D5A15&quot;/&gt;&lt;wsp:rsid wsp:val=&quot;7E9919F4&quot;/&gt;&lt;wsp:rsid wsp:val=&quot;7EE20BA5&quot;/&gt;&lt;wsp:rsid wsp:val=&quot;7EE21A8E&quot;/&gt;&lt;wsp:rsid wsp:val=&quot;7EFF63BE&quot;/&gt;&lt;wsp:rsid wsp:val=&quot;7F122845&quot;/&gt;&lt;wsp:rsid wsp:val=&quot;7F1E3054&quot;/&gt;&lt;wsp:rsid wsp:val=&quot;7F374D05&quot;/&gt;&lt;wsp:rsid wsp:val=&quot;7F4767F7&quot;/&gt;&lt;wsp:rsid wsp:val=&quot;7F490F62&quot;/&gt;&lt;wsp:rsid wsp:val=&quot;7F5044D1&quot;/&gt;&lt;wsp:rsid wsp:val=&quot;7F644169&quot;/&gt;&lt;wsp:rsid wsp:val=&quot;7F6F24D2&quot;/&gt;&lt;wsp:rsid wsp:val=&quot;7FA73E60&quot;/&gt;&lt;wsp:rsid wsp:val=&quot;7FC866DA&quot;/&gt;&lt;wsp:rsid wsp:val=&quot;7FE109F3&quot;/&gt;&lt;wsp:rsid wsp:val=&quot;7FE33A33&quot;/&gt;&lt;wsp:rsid wsp:val=&quot;7FE8614A&quot;/&gt;&lt;/wsp:rsids&gt;&lt;/w:docPr&gt;&lt;w:body&gt;&lt;wx:sect&gt;&lt;w:p wsp:rsidR=&quot;00000000&quot; wsp:rsidRPr=&quot;00DB00A2&quot; wsp:rsidRDefault=&quot;00DB00A2&quot; wsp:rsidP=&quot;00DB00A2&quot;&gt;&lt;w:pPr&gt;&lt;w:ind w:first-line=&quot;480&quot;/&gt;&lt;/w:pPr&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P&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lt;/m:t&gt;&lt;/m:r&gt;&lt;/m:e&gt;&lt;m:sub&gt;&lt;m:r&gt;&lt;w:rPr&gt;&lt;w:rFonts w:ascii=&quot;Cambria Math&quot; w:h-ansi=&quot;Cambria Math&quot;/&gt;&lt;wx:font wx:val=&quot;Cambria Math&quot;/&gt;&lt;w:i/&gt;&lt;/w:rPr&gt;&lt;m:t&gt;i&lt;/m:t&gt;&lt;/m:r&gt;&lt;/m:sub&gt;&lt;/m:sSub&gt;&lt;m:r&gt;&lt;w:rPr&gt;&lt;w:rFonts w:ascii=&quot;Cambria Math&quot; w:h-ansi=&quot;Cambria Math&quot;/&gt;&lt;wx:font wx:val=&quot;Cambria Math&quot;/&gt;&lt;w:i/&gt;&lt;/w:rPr&gt;&lt;m:t&gt;/&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C&lt;/m:t&gt;&lt;/m:r&gt;&lt;/m:e&gt;&lt;m:sub&gt;&lt;m:r&gt;&lt;w:rPr&gt;&lt;w:rFonts w:ascii=&quot;Cambria Math&quot; w:h-ansi=&quot;Cambria Math&quot; w:hint=&quot;fareast&quot;/&gt;&lt;wx:font wx:val=&quot;Cambria Math&quot;/&gt;&lt;w:i/&gt;&lt;/w:rPr&gt;&lt;m:t&gt;s&lt;/m:t&gt;&lt;/m:r&gt;&lt;m:r&gt;&lt;w:rPr&gt;&lt;w:rFonts w:ascii=&quot;Cambria Math&quot; w:h-ansi=&quot;Cambria Math&quot;/&gt;&lt;wx:font wx:val=&quot;Cambria Math&quot;/&gt;&lt;w:i/&gt;&lt;/w:rPr&gt;&lt;m:t&gt;i&lt;/m:t&gt;&lt;/m:r&gt;&lt;/m:sub&gt;&lt;/m:sSub&gt;&lt;/m:oMath&gt;&lt;/m:oMathPara&gt;&lt;/w:p&gt;&lt;w:sectPr wsp:rsidR=&quot;00000000&quot; wsp:rsidRPr=&quot;00DB00A2&quot;&gt;&lt;w:pgSz w:w=&quot;12240&quot; w:h=&quot;15840&quot;/&gt;&lt;w:pgMar w:top=&quot;1440&quot; w:right=&quot;1800&quot; w:bottom=&quot;1440&quot; w:left=&quot;1800&quot; w:header=&quot;720&quot; w:footer=&quot;720&quot; w:gutter=&quot;0&quot;/&gt;&lt;w:cols w:space=&quot;720&quot;/&gt;&lt;/w:sectPr&gt;&lt;/wx:sect&gt;&lt;/w:body&gt;&lt;/w:wordDocument">
            <v:path/>
            <v:fill on="f" focussize="0,0"/>
            <v:stroke on="f" joinstyle="miter"/>
            <v:imagedata r:id="rId86" chromakey="#FFFFFF" o:title=""/>
            <o:lock v:ext="edit" aspectratio="t"/>
            <w10:wrap type="none"/>
            <w10:anchorlock/>
          </v:shape>
        </w:pict>
      </w:r>
    </w:p>
    <w:p w14:paraId="7FAFD656">
      <w:pPr>
        <w:ind w:firstLine="480"/>
        <w:rPr>
          <w:color w:val="auto"/>
        </w:rPr>
      </w:pPr>
      <w:r>
        <w:rPr>
          <w:rFonts w:hint="eastAsia"/>
          <w:color w:val="auto"/>
        </w:rPr>
        <w:t>式中：</w:t>
      </w:r>
    </w:p>
    <w:p w14:paraId="17BEA99D">
      <w:pPr>
        <w:ind w:firstLine="480"/>
        <w:rPr>
          <w:color w:val="auto"/>
        </w:rPr>
      </w:pPr>
      <w:r>
        <w:rPr>
          <w:rFonts w:hint="eastAsia"/>
          <w:color w:val="auto"/>
        </w:rPr>
        <w:t>P</w:t>
      </w:r>
      <w:r>
        <w:rPr>
          <w:rFonts w:hint="eastAsia"/>
          <w:color w:val="auto"/>
          <w:vertAlign w:val="subscript"/>
        </w:rPr>
        <w:t>i</w:t>
      </w:r>
      <w:r>
        <w:rPr>
          <w:rFonts w:hint="eastAsia"/>
          <w:color w:val="auto"/>
        </w:rPr>
        <w:t>——第i个水质因子的标准指数，无量纲；</w:t>
      </w:r>
    </w:p>
    <w:p w14:paraId="087DB5FE">
      <w:pPr>
        <w:ind w:firstLine="480"/>
        <w:rPr>
          <w:color w:val="auto"/>
        </w:rPr>
      </w:pPr>
      <w:r>
        <w:rPr>
          <w:rFonts w:hint="eastAsia"/>
          <w:color w:val="auto"/>
        </w:rPr>
        <w:t>C</w:t>
      </w:r>
      <w:r>
        <w:rPr>
          <w:rFonts w:hint="eastAsia"/>
          <w:color w:val="auto"/>
          <w:vertAlign w:val="subscript"/>
        </w:rPr>
        <w:t>i</w:t>
      </w:r>
      <w:r>
        <w:rPr>
          <w:rFonts w:hint="eastAsia"/>
          <w:color w:val="auto"/>
        </w:rPr>
        <w:t>——第i个水质因子的监测浓度值，mg/L；</w:t>
      </w:r>
    </w:p>
    <w:p w14:paraId="59BB8F76">
      <w:pPr>
        <w:ind w:firstLine="480"/>
        <w:rPr>
          <w:color w:val="auto"/>
        </w:rPr>
      </w:pPr>
      <w:r>
        <w:rPr>
          <w:rFonts w:hint="eastAsia"/>
          <w:color w:val="auto"/>
        </w:rPr>
        <w:t>C</w:t>
      </w:r>
      <w:r>
        <w:rPr>
          <w:rFonts w:hint="eastAsia"/>
          <w:color w:val="auto"/>
          <w:vertAlign w:val="subscript"/>
        </w:rPr>
        <w:t>si</w:t>
      </w:r>
      <w:r>
        <w:rPr>
          <w:rFonts w:hint="eastAsia"/>
          <w:color w:val="auto"/>
        </w:rPr>
        <w:t>——第i个水质因子的标准浓度值，mg/L。</w:t>
      </w:r>
    </w:p>
    <w:p w14:paraId="0B7B98EF">
      <w:pPr>
        <w:ind w:firstLine="480"/>
        <w:rPr>
          <w:color w:val="auto"/>
        </w:rPr>
      </w:pPr>
      <w:r>
        <w:rPr>
          <w:rFonts w:hint="eastAsia"/>
          <w:color w:val="auto"/>
        </w:rPr>
        <w:t>对于评价标准为区间值的水质因子，pH值标准指数的计算公式：</w:t>
      </w:r>
    </w:p>
    <w:p w14:paraId="1FA6ADFE">
      <w:pPr>
        <w:ind w:firstLine="480"/>
        <w:jc w:val="center"/>
        <w:rPr>
          <w:color w:val="auto"/>
        </w:rPr>
      </w:pPr>
      <w:r>
        <w:rPr>
          <w:color w:val="auto"/>
        </w:rPr>
        <w:fldChar w:fldCharType="begin"/>
      </w:r>
      <w:r>
        <w:rPr>
          <w:color w:val="auto"/>
        </w:rPr>
        <w:instrText xml:space="preserve"> QUOTE </w:instrText>
      </w:r>
      <w:r>
        <w:rPr>
          <w:color w:val="auto"/>
        </w:rPr>
        <w:pict>
          <v:shape id="_x0000_i1036" o:spt="75" type="#_x0000_t75" style="height:30pt;width:7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displayBackgroundShape/&gt;&lt;w:doNotEmbedSystemFonts/&gt;&lt;w:hideSpellingErrors/&gt;&lt;w:stylePaneFormatFilter w:val=&quot;3F01&quot;/&gt;&lt;w:defaultTabStop w:val=&quot;420&quot;/&gt;&lt;w:drawingGridHorizontalSpacing w:val=&quot;120&quot;/&gt;&lt;w:drawingGridVerticalSpacing w:val=&quot;333&quot;/&gt;&lt;w:displayHorizontalDrawingGridEvery w:val=&quot;2&quot;/&gt;&lt;w:characterSpacingControl w:val=&quot;CompressPunctuation&quot;/&gt;&lt;w:webPageEncoding w:val=&quot;x-cp20936&quot;/&gt;&lt;w:optimizeForBrowser/&gt;&lt;w:allowPNG/&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docVars&gt;&lt;w:docVar w:name=&quot;commondata&quot; w:val=&quot;eyJoZGlkIjoiNjk0ZjU2YzNkNWFhOWM4OGMwNGRjZTIyNDMxOWQwZDYifQ==&quot;/&gt;&lt;/w:docVars&gt;&lt;wsp:rsids&gt;&lt;wsp:rsidRoot wsp:val=&quot;00172A27&quot;/&gt;&lt;wsp:rsid wsp:val=&quot;0000022F&quot;/&gt;&lt;wsp:rsid wsp:val=&quot;00000384&quot;/&gt;&lt;wsp:rsid wsp:val=&quot;000004DF&quot;/&gt;&lt;wsp:rsid wsp:val=&quot;00000A0B&quot;/&gt;&lt;wsp:rsid wsp:val=&quot;00000A3E&quot;/&gt;&lt;wsp:rsid wsp:val=&quot;00000B73&quot;/&gt;&lt;wsp:rsid wsp:val=&quot;00000CAA&quot;/&gt;&lt;wsp:rsid wsp:val=&quot;000011E2&quot;/&gt;&lt;wsp:rsid wsp:val=&quot;0000150C&quot;/&gt;&lt;wsp:rsid wsp:val=&quot;000015BC&quot;/&gt;&lt;wsp:rsid wsp:val=&quot;000015EC&quot;/&gt;&lt;wsp:rsid wsp:val=&quot;000017CA&quot;/&gt;&lt;wsp:rsid wsp:val=&quot;00001C36&quot;/&gt;&lt;wsp:rsid wsp:val=&quot;00001C48&quot;/&gt;&lt;wsp:rsid wsp:val=&quot;0000219B&quot;/&gt;&lt;wsp:rsid wsp:val=&quot;00002E2B&quot;/&gt;&lt;wsp:rsid wsp:val=&quot;00003024&quot;/&gt;&lt;wsp:rsid wsp:val=&quot;000030BE&quot;/&gt;&lt;wsp:rsid wsp:val=&quot;00003138&quot;/&gt;&lt;wsp:rsid wsp:val=&quot;0000336F&quot;/&gt;&lt;wsp:rsid wsp:val=&quot;000038D6&quot;/&gt;&lt;wsp:rsid wsp:val=&quot;00003B70&quot;/&gt;&lt;wsp:rsid wsp:val=&quot;00003C50&quot;/&gt;&lt;wsp:rsid wsp:val=&quot;00003CAD&quot;/&gt;&lt;wsp:rsid wsp:val=&quot;00003D71&quot;/&gt;&lt;wsp:rsid wsp:val=&quot;00003DDB&quot;/&gt;&lt;wsp:rsid wsp:val=&quot;00003E4D&quot;/&gt;&lt;wsp:rsid wsp:val=&quot;0000401F&quot;/&gt;&lt;wsp:rsid wsp:val=&quot;00005163&quot;/&gt;&lt;wsp:rsid wsp:val=&quot;0000523C&quot;/&gt;&lt;wsp:rsid wsp:val=&quot;000052E2&quot;/&gt;&lt;wsp:rsid wsp:val=&quot;00005688&quot;/&gt;&lt;wsp:rsid wsp:val=&quot;00005F62&quot;/&gt;&lt;wsp:rsid wsp:val=&quot;00006049&quot;/&gt;&lt;wsp:rsid wsp:val=&quot;00006447&quot;/&gt;&lt;wsp:rsid wsp:val=&quot;0000644B&quot;/&gt;&lt;wsp:rsid wsp:val=&quot;0000682C&quot;/&gt;&lt;wsp:rsid wsp:val=&quot;00006B6F&quot;/&gt;&lt;wsp:rsid wsp:val=&quot;000076B4&quot;/&gt;&lt;wsp:rsid wsp:val=&quot;00007713&quot;/&gt;&lt;wsp:rsid wsp:val=&quot;00007BDE&quot;/&gt;&lt;wsp:rsid wsp:val=&quot;00007DAF&quot;/&gt;&lt;wsp:rsid wsp:val=&quot;00010469&quot;/&gt;&lt;wsp:rsid wsp:val=&quot;00010982&quot;/&gt;&lt;wsp:rsid wsp:val=&quot;00010A0D&quot;/&gt;&lt;wsp:rsid wsp:val=&quot;00010ADF&quot;/&gt;&lt;wsp:rsid wsp:val=&quot;0001100E&quot;/&gt;&lt;wsp:rsid wsp:val=&quot;000115C2&quot;/&gt;&lt;wsp:rsid wsp:val=&quot;00011B14&quot;/&gt;&lt;wsp:rsid wsp:val=&quot;00011B79&quot;/&gt;&lt;wsp:rsid wsp:val=&quot;0001252B&quot;/&gt;&lt;wsp:rsid wsp:val=&quot;00012C75&quot;/&gt;&lt;wsp:rsid wsp:val=&quot;00012CE6&quot;/&gt;&lt;wsp:rsid wsp:val=&quot;0001307C&quot;/&gt;&lt;wsp:rsid wsp:val=&quot;000130A5&quot;/&gt;&lt;wsp:rsid wsp:val=&quot;00013349&quot;/&gt;&lt;wsp:rsid wsp:val=&quot;000134B2&quot;/&gt;&lt;wsp:rsid wsp:val=&quot;00013864&quot;/&gt;&lt;wsp:rsid wsp:val=&quot;0001391F&quot;/&gt;&lt;wsp:rsid wsp:val=&quot;00013922&quot;/&gt;&lt;wsp:rsid wsp:val=&quot;0001398B&quot;/&gt;&lt;wsp:rsid wsp:val=&quot;00013BFA&quot;/&gt;&lt;wsp:rsid wsp:val=&quot;0001435A&quot;/&gt;&lt;wsp:rsid wsp:val=&quot;00014504&quot;/&gt;&lt;wsp:rsid wsp:val=&quot;0001468D&quot;/&gt;&lt;wsp:rsid wsp:val=&quot;0001484A&quot;/&gt;&lt;wsp:rsid wsp:val=&quot;00015025&quot;/&gt;&lt;wsp:rsid wsp:val=&quot;00015885&quot;/&gt;&lt;wsp:rsid wsp:val=&quot;00015B16&quot;/&gt;&lt;wsp:rsid wsp:val=&quot;00015C72&quot;/&gt;&lt;wsp:rsid wsp:val=&quot;000160E3&quot;/&gt;&lt;wsp:rsid wsp:val=&quot;00016243&quot;/&gt;&lt;wsp:rsid wsp:val=&quot;0001655D&quot;/&gt;&lt;wsp:rsid wsp:val=&quot;0001698B&quot;/&gt;&lt;wsp:rsid wsp:val=&quot;00017AFE&quot;/&gt;&lt;wsp:rsid wsp:val=&quot;00017C19&quot;/&gt;&lt;wsp:rsid wsp:val=&quot;00021301&quot;/&gt;&lt;wsp:rsid wsp:val=&quot;0002151D&quot;/&gt;&lt;wsp:rsid wsp:val=&quot;00021560&quot;/&gt;&lt;wsp:rsid wsp:val=&quot;00021A4C&quot;/&gt;&lt;wsp:rsid wsp:val=&quot;0002225C&quot;/&gt;&lt;wsp:rsid wsp:val=&quot;000224E4&quot;/&gt;&lt;wsp:rsid wsp:val=&quot;000227B9&quot;/&gt;&lt;wsp:rsid wsp:val=&quot;000233D0&quot;/&gt;&lt;wsp:rsid wsp:val=&quot;000236A2&quot;/&gt;&lt;wsp:rsid wsp:val=&quot;00023B3C&quot;/&gt;&lt;wsp:rsid wsp:val=&quot;00023BED&quot;/&gt;&lt;wsp:rsid wsp:val=&quot;000246C4&quot;/&gt;&lt;wsp:rsid wsp:val=&quot;00024CDA&quot;/&gt;&lt;wsp:rsid wsp:val=&quot;00024E8A&quot;/&gt;&lt;wsp:rsid wsp:val=&quot;00025365&quot;/&gt;&lt;wsp:rsid wsp:val=&quot;00025477&quot;/&gt;&lt;wsp:rsid wsp:val=&quot;000258DC&quot;/&gt;&lt;wsp:rsid wsp:val=&quot;00025C11&quot;/&gt;&lt;wsp:rsid wsp:val=&quot;00025D8F&quot;/&gt;&lt;wsp:rsid wsp:val=&quot;00025E50&quot;/&gt;&lt;wsp:rsid wsp:val=&quot;00025F43&quot;/&gt;&lt;wsp:rsid wsp:val=&quot;00026330&quot;/&gt;&lt;wsp:rsid wsp:val=&quot;000265C3&quot;/&gt;&lt;wsp:rsid wsp:val=&quot;00026A30&quot;/&gt;&lt;wsp:rsid wsp:val=&quot;00027069&quot;/&gt;&lt;wsp:rsid wsp:val=&quot;000271AB&quot;/&gt;&lt;wsp:rsid wsp:val=&quot;00027286&quot;/&gt;&lt;wsp:rsid wsp:val=&quot;0002750E&quot;/&gt;&lt;wsp:rsid wsp:val=&quot;000275CE&quot;/&gt;&lt;wsp:rsid wsp:val=&quot;00027886&quot;/&gt;&lt;wsp:rsid wsp:val=&quot;00027C25&quot;/&gt;&lt;wsp:rsid wsp:val=&quot;00027D99&quot;/&gt;&lt;wsp:rsid wsp:val=&quot;00027F29&quot;/&gt;&lt;wsp:rsid wsp:val=&quot;00030097&quot;/&gt;&lt;wsp:rsid wsp:val=&quot;00030482&quot;/&gt;&lt;wsp:rsid wsp:val=&quot;0003049B&quot;/&gt;&lt;wsp:rsid wsp:val=&quot;000305A7&quot;/&gt;&lt;wsp:rsid wsp:val=&quot;00031893&quot;/&gt;&lt;wsp:rsid wsp:val=&quot;00031B2D&quot;/&gt;&lt;wsp:rsid wsp:val=&quot;00031D30&quot;/&gt;&lt;wsp:rsid wsp:val=&quot;00032A8C&quot;/&gt;&lt;wsp:rsid wsp:val=&quot;00032CA5&quot;/&gt;&lt;wsp:rsid wsp:val=&quot;00032F8A&quot;/&gt;&lt;wsp:rsid wsp:val=&quot;0003348A&quot;/&gt;&lt;wsp:rsid wsp:val=&quot;000335E6&quot;/&gt;&lt;wsp:rsid wsp:val=&quot;0003421E&quot;/&gt;&lt;wsp:rsid wsp:val=&quot;000346A1&quot;/&gt;&lt;wsp:rsid wsp:val=&quot;00034799&quot;/&gt;&lt;wsp:rsid wsp:val=&quot;00034D53&quot;/&gt;&lt;wsp:rsid wsp:val=&quot;00034E85&quot;/&gt;&lt;wsp:rsid wsp:val=&quot;00034F14&quot;/&gt;&lt;wsp:rsid wsp:val=&quot;0003510D&quot;/&gt;&lt;wsp:rsid wsp:val=&quot;00035BE6&quot;/&gt;&lt;wsp:rsid wsp:val=&quot;00035CE7&quot;/&gt;&lt;wsp:rsid wsp:val=&quot;00036265&quot;/&gt;&lt;wsp:rsid wsp:val=&quot;000367D9&quot;/&gt;&lt;wsp:rsid wsp:val=&quot;00036BF8&quot;/&gt;&lt;wsp:rsid wsp:val=&quot;00037795&quot;/&gt;&lt;wsp:rsid wsp:val=&quot;00037962&quot;/&gt;&lt;wsp:rsid wsp:val=&quot;00037D5A&quot;/&gt;&lt;wsp:rsid wsp:val=&quot;00037DD9&quot;/&gt;&lt;wsp:rsid wsp:val=&quot;00037E9D&quot;/&gt;&lt;wsp:rsid wsp:val=&quot;000403AD&quot;/&gt;&lt;wsp:rsid wsp:val=&quot;00040568&quot;/&gt;&lt;wsp:rsid wsp:val=&quot;000405B6&quot;/&gt;&lt;wsp:rsid wsp:val=&quot;00041379&quot;/&gt;&lt;wsp:rsid wsp:val=&quot;00041507&quot;/&gt;&lt;wsp:rsid wsp:val=&quot;000415B9&quot;/&gt;&lt;wsp:rsid wsp:val=&quot;00041627&quot;/&gt;&lt;wsp:rsid wsp:val=&quot;00041A92&quot;/&gt;&lt;wsp:rsid wsp:val=&quot;00041B78&quot;/&gt;&lt;wsp:rsid wsp:val=&quot;00041C7C&quot;/&gt;&lt;wsp:rsid wsp:val=&quot;00042046&quot;/&gt;&lt;wsp:rsid wsp:val=&quot;00042160&quot;/&gt;&lt;wsp:rsid wsp:val=&quot;00042304&quot;/&gt;&lt;wsp:rsid wsp:val=&quot;000427DA&quot;/&gt;&lt;wsp:rsid wsp:val=&quot;000428AB&quot;/&gt;&lt;wsp:rsid wsp:val=&quot;00042906&quot;/&gt;&lt;wsp:rsid wsp:val=&quot;00042A13&quot;/&gt;&lt;wsp:rsid wsp:val=&quot;00042CA9&quot;/&gt;&lt;wsp:rsid wsp:val=&quot;00042FF9&quot;/&gt;&lt;wsp:rsid wsp:val=&quot;00043B29&quot;/&gt;&lt;wsp:rsid wsp:val=&quot;00043B34&quot;/&gt;&lt;wsp:rsid wsp:val=&quot;00043F0A&quot;/&gt;&lt;wsp:rsid wsp:val=&quot;00043F57&quot;/&gt;&lt;wsp:rsid wsp:val=&quot;000445EB&quot;/&gt;&lt;wsp:rsid wsp:val=&quot;0004466A&quot;/&gt;&lt;wsp:rsid wsp:val=&quot;00044888&quot;/&gt;&lt;wsp:rsid wsp:val=&quot;000449E1&quot;/&gt;&lt;wsp:rsid wsp:val=&quot;00044A6E&quot;/&gt;&lt;wsp:rsid wsp:val=&quot;00045DF6&quot;/&gt;&lt;wsp:rsid wsp:val=&quot;00045F1E&quot;/&gt;&lt;wsp:rsid wsp:val=&quot;000460DC&quot;/&gt;&lt;wsp:rsid wsp:val=&quot;00046316&quot;/&gt;&lt;wsp:rsid wsp:val=&quot;0004788D&quot;/&gt;&lt;wsp:rsid wsp:val=&quot;00047C3A&quot;/&gt;&lt;wsp:rsid wsp:val=&quot;000500BC&quot;/&gt;&lt;wsp:rsid wsp:val=&quot;0005058E&quot;/&gt;&lt;wsp:rsid wsp:val=&quot;0005070D&quot;/&gt;&lt;wsp:rsid wsp:val=&quot;00050882&quot;/&gt;&lt;wsp:rsid wsp:val=&quot;00050BE4&quot;/&gt;&lt;wsp:rsid wsp:val=&quot;00050D7A&quot;/&gt;&lt;wsp:rsid wsp:val=&quot;00050EAC&quot;/&gt;&lt;wsp:rsid wsp:val=&quot;000512D2&quot;/&gt;&lt;wsp:rsid wsp:val=&quot;0005174C&quot;/&gt;&lt;wsp:rsid wsp:val=&quot;00051C0F&quot;/&gt;&lt;wsp:rsid wsp:val=&quot;00051CD8&quot;/&gt;&lt;wsp:rsid wsp:val=&quot;00052154&quot;/&gt;&lt;wsp:rsid wsp:val=&quot;000522C7&quot;/&gt;&lt;wsp:rsid wsp:val=&quot;00052CF9&quot;/&gt;&lt;wsp:rsid wsp:val=&quot;000530C9&quot;/&gt;&lt;wsp:rsid wsp:val=&quot;000530D0&quot;/&gt;&lt;wsp:rsid wsp:val=&quot;00053212&quot;/&gt;&lt;wsp:rsid wsp:val=&quot;000532E4&quot;/&gt;&lt;wsp:rsid wsp:val=&quot;000541FD&quot;/&gt;&lt;wsp:rsid wsp:val=&quot;00054823&quot;/&gt;&lt;wsp:rsid wsp:val=&quot;0005484C&quot;/&gt;&lt;wsp:rsid wsp:val=&quot;000552E0&quot;/&gt;&lt;wsp:rsid wsp:val=&quot;000552EC&quot;/&gt;&lt;wsp:rsid wsp:val=&quot;000555BA&quot;/&gt;&lt;wsp:rsid wsp:val=&quot;000558A8&quot;/&gt;&lt;wsp:rsid wsp:val=&quot;00055941&quot;/&gt;&lt;wsp:rsid wsp:val=&quot;000559EE&quot;/&gt;&lt;wsp:rsid wsp:val=&quot;00055D03&quot;/&gt;&lt;wsp:rsid wsp:val=&quot;00056002&quot;/&gt;&lt;wsp:rsid wsp:val=&quot;00056098&quot;/&gt;&lt;wsp:rsid wsp:val=&quot;000560B4&quot;/&gt;&lt;wsp:rsid wsp:val=&quot;000560FC&quot;/&gt;&lt;wsp:rsid wsp:val=&quot;00056638&quot;/&gt;&lt;wsp:rsid wsp:val=&quot;000566E8&quot;/&gt;&lt;wsp:rsid wsp:val=&quot;00056841&quot;/&gt;&lt;wsp:rsid wsp:val=&quot;000568C7&quot;/&gt;&lt;wsp:rsid wsp:val=&quot;00056F36&quot;/&gt;&lt;wsp:rsid wsp:val=&quot;00057292&quot;/&gt;&lt;wsp:rsid wsp:val=&quot;00057837&quot;/&gt;&lt;wsp:rsid wsp:val=&quot;00057A84&quot;/&gt;&lt;wsp:rsid wsp:val=&quot;00057B20&quot;/&gt;&lt;wsp:rsid wsp:val=&quot;00057BDB&quot;/&gt;&lt;wsp:rsid wsp:val=&quot;00057D12&quot;/&gt;&lt;wsp:rsid wsp:val=&quot;00060260&quot;/&gt;&lt;wsp:rsid wsp:val=&quot;000605C3&quot;/&gt;&lt;wsp:rsid wsp:val=&quot;00060BB5&quot;/&gt;&lt;wsp:rsid wsp:val=&quot;00061697&quot;/&gt;&lt;wsp:rsid wsp:val=&quot;00061B2B&quot;/&gt;&lt;wsp:rsid wsp:val=&quot;00061DBE&quot;/&gt;&lt;wsp:rsid wsp:val=&quot;000620E3&quot;/&gt;&lt;wsp:rsid wsp:val=&quot;00062112&quot;/&gt;&lt;wsp:rsid wsp:val=&quot;000621B0&quot;/&gt;&lt;wsp:rsid wsp:val=&quot;000623B4&quot;/&gt;&lt;wsp:rsid wsp:val=&quot;000626D5&quot;/&gt;&lt;wsp:rsid wsp:val=&quot;00062943&quot;/&gt;&lt;wsp:rsid wsp:val=&quot;00063223&quot;/&gt;&lt;wsp:rsid wsp:val=&quot;00063530&quot;/&gt;&lt;wsp:rsid wsp:val=&quot;000637CE&quot;/&gt;&lt;wsp:rsid wsp:val=&quot;00063912&quot;/&gt;&lt;wsp:rsid wsp:val=&quot;000639A7&quot;/&gt;&lt;wsp:rsid wsp:val=&quot;00064759&quot;/&gt;&lt;wsp:rsid wsp:val=&quot;00065140&quot;/&gt;&lt;wsp:rsid wsp:val=&quot;000651D1&quot;/&gt;&lt;wsp:rsid wsp:val=&quot;0006737C&quot;/&gt;&lt;wsp:rsid wsp:val=&quot;000674A7&quot;/&gt;&lt;wsp:rsid wsp:val=&quot;0006771D&quot;/&gt;&lt;wsp:rsid wsp:val=&quot;000677C1&quot;/&gt;&lt;wsp:rsid wsp:val=&quot;000705B3&quot;/&gt;&lt;wsp:rsid wsp:val=&quot;00070E41&quot;/&gt;&lt;wsp:rsid wsp:val=&quot;00071078&quot;/&gt;&lt;wsp:rsid wsp:val=&quot;000713AF&quot;/&gt;&lt;wsp:rsid wsp:val=&quot;00071452&quot;/&gt;&lt;wsp:rsid wsp:val=&quot;000718E7&quot;/&gt;&lt;wsp:rsid wsp:val=&quot;00071B41&quot;/&gt;&lt;wsp:rsid wsp:val=&quot;00071D62&quot;/&gt;&lt;wsp:rsid wsp:val=&quot;00071E06&quot;/&gt;&lt;wsp:rsid wsp:val=&quot;00071EF4&quot;/&gt;&lt;wsp:rsid wsp:val=&quot;00072124&quot;/&gt;&lt;wsp:rsid wsp:val=&quot;00072223&quot;/&gt;&lt;wsp:rsid wsp:val=&quot;000727DD&quot;/&gt;&lt;wsp:rsid wsp:val=&quot;00072A7C&quot;/&gt;&lt;wsp:rsid wsp:val=&quot;00072F74&quot;/&gt;&lt;wsp:rsid wsp:val=&quot;000730EC&quot;/&gt;&lt;wsp:rsid wsp:val=&quot;00073818&quot;/&gt;&lt;wsp:rsid wsp:val=&quot;00073A3F&quot;/&gt;&lt;wsp:rsid wsp:val=&quot;00073D42&quot;/&gt;&lt;wsp:rsid wsp:val=&quot;00074150&quot;/&gt;&lt;wsp:rsid wsp:val=&quot;00074587&quot;/&gt;&lt;wsp:rsid wsp:val=&quot;00074A92&quot;/&gt;&lt;wsp:rsid wsp:val=&quot;00074C0E&quot;/&gt;&lt;wsp:rsid wsp:val=&quot;00074EA2&quot;/&gt;&lt;wsp:rsid wsp:val=&quot;00075128&quot;/&gt;&lt;wsp:rsid wsp:val=&quot;00075455&quot;/&gt;&lt;wsp:rsid wsp:val=&quot;00076688&quot;/&gt;&lt;wsp:rsid wsp:val=&quot;00077076&quot;/&gt;&lt;wsp:rsid wsp:val=&quot;0007727A&quot;/&gt;&lt;wsp:rsid wsp:val=&quot;00077572&quot;/&gt;&lt;wsp:rsid wsp:val=&quot;0007758C&quot;/&gt;&lt;wsp:rsid wsp:val=&quot;000779A3&quot;/&gt;&lt;wsp:rsid wsp:val=&quot;00077AD3&quot;/&gt;&lt;wsp:rsid wsp:val=&quot;0008015C&quot;/&gt;&lt;wsp:rsid wsp:val=&quot;00080248&quot;/&gt;&lt;wsp:rsid wsp:val=&quot;000802C4&quot;/&gt;&lt;wsp:rsid wsp:val=&quot;00080900&quot;/&gt;&lt;wsp:rsid wsp:val=&quot;00081546&quot;/&gt;&lt;wsp:rsid wsp:val=&quot;000816AD&quot;/&gt;&lt;wsp:rsid wsp:val=&quot;0008236E&quot;/&gt;&lt;wsp:rsid wsp:val=&quot;000823BC&quot;/&gt;&lt;wsp:rsid wsp:val=&quot;000829DB&quot;/&gt;&lt;wsp:rsid wsp:val=&quot;00082D5D&quot;/&gt;&lt;wsp:rsid wsp:val=&quot;000837D8&quot;/&gt;&lt;wsp:rsid wsp:val=&quot;00083A03&quot;/&gt;&lt;wsp:rsid wsp:val=&quot;00083D4A&quot;/&gt;&lt;wsp:rsid wsp:val=&quot;000840A3&quot;/&gt;&lt;wsp:rsid wsp:val=&quot;0008416D&quot;/&gt;&lt;wsp:rsid wsp:val=&quot;000843D7&quot;/&gt;&lt;wsp:rsid wsp:val=&quot;00084495&quot;/&gt;&lt;wsp:rsid wsp:val=&quot;00084870&quot;/&gt;&lt;wsp:rsid wsp:val=&quot;00085127&quot;/&gt;&lt;wsp:rsid wsp:val=&quot;0008548A&quot;/&gt;&lt;wsp:rsid wsp:val=&quot;00085B7D&quot;/&gt;&lt;wsp:rsid wsp:val=&quot;00085E5C&quot;/&gt;&lt;wsp:rsid wsp:val=&quot;000869CE&quot;/&gt;&lt;wsp:rsid wsp:val=&quot;00086A65&quot;/&gt;&lt;wsp:rsid wsp:val=&quot;00086EF1&quot;/&gt;&lt;wsp:rsid wsp:val=&quot;000871B8&quot;/&gt;&lt;wsp:rsid wsp:val=&quot;00087345&quot;/&gt;&lt;wsp:rsid wsp:val=&quot;00087893&quot;/&gt;&lt;wsp:rsid wsp:val=&quot;00087C3F&quot;/&gt;&lt;wsp:rsid wsp:val=&quot;00090020&quot;/&gt;&lt;wsp:rsid wsp:val=&quot;0009003D&quot;/&gt;&lt;wsp:rsid wsp:val=&quot;00090151&quot;/&gt;&lt;wsp:rsid wsp:val=&quot;00090570&quot;/&gt;&lt;wsp:rsid wsp:val=&quot;0009083D&quot;/&gt;&lt;wsp:rsid wsp:val=&quot;00090A87&quot;/&gt;&lt;wsp:rsid wsp:val=&quot;00090E88&quot;/&gt;&lt;wsp:rsid wsp:val=&quot;00091143&quot;/&gt;&lt;wsp:rsid wsp:val=&quot;00091257&quot;/&gt;&lt;wsp:rsid wsp:val=&quot;00091535&quot;/&gt;&lt;wsp:rsid wsp:val=&quot;00091CD3&quot;/&gt;&lt;wsp:rsid wsp:val=&quot;00091EF4&quot;/&gt;&lt;wsp:rsid wsp:val=&quot;00092059&quot;/&gt;&lt;wsp:rsid wsp:val=&quot;0009211B&quot;/&gt;&lt;wsp:rsid wsp:val=&quot;000921A3&quot;/&gt;&lt;wsp:rsid wsp:val=&quot;000928B4&quot;/&gt;&lt;wsp:rsid wsp:val=&quot;00092B3D&quot;/&gt;&lt;wsp:rsid wsp:val=&quot;00092E2B&quot;/&gt;&lt;wsp:rsid wsp:val=&quot;00092EAA&quot;/&gt;&lt;wsp:rsid wsp:val=&quot;000939F4&quot;/&gt;&lt;wsp:rsid wsp:val=&quot;00093DA7&quot;/&gt;&lt;wsp:rsid wsp:val=&quot;00093DDA&quot;/&gt;&lt;wsp:rsid wsp:val=&quot;000945B1&quot;/&gt;&lt;wsp:rsid wsp:val=&quot;000955D9&quot;/&gt;&lt;wsp:rsid wsp:val=&quot;00095B20&quot;/&gt;&lt;wsp:rsid wsp:val=&quot;0009623A&quot;/&gt;&lt;wsp:rsid wsp:val=&quot;00096553&quot;/&gt;&lt;wsp:rsid wsp:val=&quot;0009673E&quot;/&gt;&lt;wsp:rsid wsp:val=&quot;000967DB&quot;/&gt;&lt;wsp:rsid wsp:val=&quot;00096955&quot;/&gt;&lt;wsp:rsid wsp:val=&quot;00096CAF&quot;/&gt;&lt;wsp:rsid wsp:val=&quot;000976D5&quot;/&gt;&lt;wsp:rsid wsp:val=&quot;00097982&quot;/&gt;&lt;wsp:rsid wsp:val=&quot;00097A26&quot;/&gt;&lt;wsp:rsid wsp:val=&quot;00097A3B&quot;/&gt;&lt;wsp:rsid wsp:val=&quot;00097A44&quot;/&gt;&lt;wsp:rsid wsp:val=&quot;00097FEC&quot;/&gt;&lt;wsp:rsid wsp:val=&quot;000A04CD&quot;/&gt;&lt;wsp:rsid wsp:val=&quot;000A0589&quot;/&gt;&lt;wsp:rsid wsp:val=&quot;000A091F&quot;/&gt;&lt;wsp:rsid wsp:val=&quot;000A12BD&quot;/&gt;&lt;wsp:rsid wsp:val=&quot;000A1985&quot;/&gt;&lt;wsp:rsid wsp:val=&quot;000A1A03&quot;/&gt;&lt;wsp:rsid wsp:val=&quot;000A1D1C&quot;/&gt;&lt;wsp:rsid wsp:val=&quot;000A250B&quot;/&gt;&lt;wsp:rsid wsp:val=&quot;000A3159&quot;/&gt;&lt;wsp:rsid wsp:val=&quot;000A37E9&quot;/&gt;&lt;wsp:rsid wsp:val=&quot;000A3B32&quot;/&gt;&lt;wsp:rsid wsp:val=&quot;000A3EEF&quot;/&gt;&lt;wsp:rsid wsp:val=&quot;000A412D&quot;/&gt;&lt;wsp:rsid wsp:val=&quot;000A4326&quot;/&gt;&lt;wsp:rsid wsp:val=&quot;000A434B&quot;/&gt;&lt;wsp:rsid wsp:val=&quot;000A4596&quot;/&gt;&lt;wsp:rsid wsp:val=&quot;000A460B&quot;/&gt;&lt;wsp:rsid wsp:val=&quot;000A4B02&quot;/&gt;&lt;wsp:rsid wsp:val=&quot;000A4B5C&quot;/&gt;&lt;wsp:rsid wsp:val=&quot;000A4D77&quot;/&gt;&lt;wsp:rsid wsp:val=&quot;000A5349&quot;/&gt;&lt;wsp:rsid wsp:val=&quot;000A5508&quot;/&gt;&lt;wsp:rsid wsp:val=&quot;000A5B78&quot;/&gt;&lt;wsp:rsid wsp:val=&quot;000A5BB5&quot;/&gt;&lt;wsp:rsid wsp:val=&quot;000A5DD8&quot;/&gt;&lt;wsp:rsid wsp:val=&quot;000A61D5&quot;/&gt;&lt;wsp:rsid wsp:val=&quot;000A6570&quot;/&gt;&lt;wsp:rsid wsp:val=&quot;000A69D2&quot;/&gt;&lt;wsp:rsid wsp:val=&quot;000A6ABC&quot;/&gt;&lt;wsp:rsid wsp:val=&quot;000A6B84&quot;/&gt;&lt;wsp:rsid wsp:val=&quot;000A6E04&quot;/&gt;&lt;wsp:rsid wsp:val=&quot;000B000D&quot;/&gt;&lt;wsp:rsid wsp:val=&quot;000B0512&quot;/&gt;&lt;wsp:rsid wsp:val=&quot;000B0529&quot;/&gt;&lt;wsp:rsid wsp:val=&quot;000B0C4F&quot;/&gt;&lt;wsp:rsid wsp:val=&quot;000B0F57&quot;/&gt;&lt;wsp:rsid wsp:val=&quot;000B10BD&quot;/&gt;&lt;wsp:rsid wsp:val=&quot;000B1106&quot;/&gt;&lt;wsp:rsid wsp:val=&quot;000B16E4&quot;/&gt;&lt;wsp:rsid wsp:val=&quot;000B1AED&quot;/&gt;&lt;wsp:rsid wsp:val=&quot;000B1B44&quot;/&gt;&lt;wsp:rsid wsp:val=&quot;000B1BDB&quot;/&gt;&lt;wsp:rsid wsp:val=&quot;000B1C4A&quot;/&gt;&lt;wsp:rsid wsp:val=&quot;000B1C8E&quot;/&gt;&lt;wsp:rsid wsp:val=&quot;000B2CF8&quot;/&gt;&lt;wsp:rsid wsp:val=&quot;000B30AE&quot;/&gt;&lt;wsp:rsid wsp:val=&quot;000B35C2&quot;/&gt;&lt;wsp:rsid wsp:val=&quot;000B3FC1&quot;/&gt;&lt;wsp:rsid wsp:val=&quot;000B451E&quot;/&gt;&lt;wsp:rsid wsp:val=&quot;000B492E&quot;/&gt;&lt;wsp:rsid wsp:val=&quot;000B4B0F&quot;/&gt;&lt;wsp:rsid wsp:val=&quot;000B4EA8&quot;/&gt;&lt;wsp:rsid wsp:val=&quot;000B4ECC&quot;/&gt;&lt;wsp:rsid wsp:val=&quot;000B520F&quot;/&gt;&lt;wsp:rsid wsp:val=&quot;000B5524&quot;/&gt;&lt;wsp:rsid wsp:val=&quot;000B55AC&quot;/&gt;&lt;wsp:rsid wsp:val=&quot;000B5707&quot;/&gt;&lt;wsp:rsid wsp:val=&quot;000B5988&quot;/&gt;&lt;wsp:rsid wsp:val=&quot;000B5D8A&quot;/&gt;&lt;wsp:rsid wsp:val=&quot;000B6271&quot;/&gt;&lt;wsp:rsid wsp:val=&quot;000B6676&quot;/&gt;&lt;wsp:rsid wsp:val=&quot;000B69F7&quot;/&gt;&lt;wsp:rsid wsp:val=&quot;000B6E30&quot;/&gt;&lt;wsp:rsid wsp:val=&quot;000B6EFB&quot;/&gt;&lt;wsp:rsid wsp:val=&quot;000B70E6&quot;/&gt;&lt;wsp:rsid wsp:val=&quot;000B73F0&quot;/&gt;&lt;wsp:rsid wsp:val=&quot;000B741A&quot;/&gt;&lt;wsp:rsid wsp:val=&quot;000C0234&quot;/&gt;&lt;wsp:rsid wsp:val=&quot;000C0652&quot;/&gt;&lt;wsp:rsid wsp:val=&quot;000C0DEC&quot;/&gt;&lt;wsp:rsid wsp:val=&quot;000C1407&quot;/&gt;&lt;wsp:rsid wsp:val=&quot;000C16BE&quot;/&gt;&lt;wsp:rsid wsp:val=&quot;000C1F0F&quot;/&gt;&lt;wsp:rsid wsp:val=&quot;000C1FCF&quot;/&gt;&lt;wsp:rsid wsp:val=&quot;000C237D&quot;/&gt;&lt;wsp:rsid wsp:val=&quot;000C2418&quot;/&gt;&lt;wsp:rsid wsp:val=&quot;000C268F&quot;/&gt;&lt;wsp:rsid wsp:val=&quot;000C2807&quot;/&gt;&lt;wsp:rsid wsp:val=&quot;000C2F00&quot;/&gt;&lt;wsp:rsid wsp:val=&quot;000C3198&quot;/&gt;&lt;wsp:rsid wsp:val=&quot;000C3201&quot;/&gt;&lt;wsp:rsid wsp:val=&quot;000C3DDD&quot;/&gt;&lt;wsp:rsid wsp:val=&quot;000C4ABC&quot;/&gt;&lt;wsp:rsid wsp:val=&quot;000C4B30&quot;/&gt;&lt;wsp:rsid wsp:val=&quot;000C4C8D&quot;/&gt;&lt;wsp:rsid wsp:val=&quot;000C4D0D&quot;/&gt;&lt;wsp:rsid wsp:val=&quot;000C530D&quot;/&gt;&lt;wsp:rsid wsp:val=&quot;000C5929&quot;/&gt;&lt;wsp:rsid wsp:val=&quot;000C59A7&quot;/&gt;&lt;wsp:rsid wsp:val=&quot;000C6161&quot;/&gt;&lt;wsp:rsid wsp:val=&quot;000C6310&quot;/&gt;&lt;wsp:rsid wsp:val=&quot;000C65A1&quot;/&gt;&lt;wsp:rsid wsp:val=&quot;000C6783&quot;/&gt;&lt;wsp:rsid wsp:val=&quot;000C684C&quot;/&gt;&lt;wsp:rsid wsp:val=&quot;000C6B4E&quot;/&gt;&lt;wsp:rsid wsp:val=&quot;000C728F&quot;/&gt;&lt;wsp:rsid wsp:val=&quot;000C7626&quot;/&gt;&lt;wsp:rsid wsp:val=&quot;000C7CA8&quot;/&gt;&lt;wsp:rsid wsp:val=&quot;000C7DA1&quot;/&gt;&lt;wsp:rsid wsp:val=&quot;000C7EB0&quot;/&gt;&lt;wsp:rsid wsp:val=&quot;000C7FF1&quot;/&gt;&lt;wsp:rsid wsp:val=&quot;000C7FF4&quot;/&gt;&lt;wsp:rsid wsp:val=&quot;000D00DF&quot;/&gt;&lt;wsp:rsid wsp:val=&quot;000D028E&quot;/&gt;&lt;wsp:rsid wsp:val=&quot;000D0411&quot;/&gt;&lt;wsp:rsid wsp:val=&quot;000D0D59&quot;/&gt;&lt;wsp:rsid wsp:val=&quot;000D0E57&quot;/&gt;&lt;wsp:rsid wsp:val=&quot;000D1160&quot;/&gt;&lt;wsp:rsid wsp:val=&quot;000D1425&quot;/&gt;&lt;wsp:rsid wsp:val=&quot;000D14C9&quot;/&gt;&lt;wsp:rsid wsp:val=&quot;000D14D2&quot;/&gt;&lt;wsp:rsid wsp:val=&quot;000D163A&quot;/&gt;&lt;wsp:rsid wsp:val=&quot;000D1DF0&quot;/&gt;&lt;wsp:rsid wsp:val=&quot;000D2053&quot;/&gt;&lt;wsp:rsid wsp:val=&quot;000D2155&quot;/&gt;&lt;wsp:rsid wsp:val=&quot;000D224C&quot;/&gt;&lt;wsp:rsid wsp:val=&quot;000D24F0&quot;/&gt;&lt;wsp:rsid wsp:val=&quot;000D2606&quot;/&gt;&lt;wsp:rsid wsp:val=&quot;000D2793&quot;/&gt;&lt;wsp:rsid wsp:val=&quot;000D28F8&quot;/&gt;&lt;wsp:rsid wsp:val=&quot;000D2A3E&quot;/&gt;&lt;wsp:rsid wsp:val=&quot;000D2C90&quot;/&gt;&lt;wsp:rsid wsp:val=&quot;000D3118&quot;/&gt;&lt;wsp:rsid wsp:val=&quot;000D3346&quot;/&gt;&lt;wsp:rsid wsp:val=&quot;000D3A7F&quot;/&gt;&lt;wsp:rsid wsp:val=&quot;000D3C31&quot;/&gt;&lt;wsp:rsid wsp:val=&quot;000D3FA9&quot;/&gt;&lt;wsp:rsid wsp:val=&quot;000D4408&quot;/&gt;&lt;wsp:rsid wsp:val=&quot;000D4AFD&quot;/&gt;&lt;wsp:rsid wsp:val=&quot;000D4C41&quot;/&gt;&lt;wsp:rsid wsp:val=&quot;000D4D76&quot;/&gt;&lt;wsp:rsid wsp:val=&quot;000D5016&quot;/&gt;&lt;wsp:rsid wsp:val=&quot;000D511F&quot;/&gt;&lt;wsp:rsid wsp:val=&quot;000D534D&quot;/&gt;&lt;wsp:rsid wsp:val=&quot;000D540B&quot;/&gt;&lt;wsp:rsid wsp:val=&quot;000D5D04&quot;/&gt;&lt;wsp:rsid wsp:val=&quot;000D5E6C&quot;/&gt;&lt;wsp:rsid wsp:val=&quot;000D60CE&quot;/&gt;&lt;wsp:rsid wsp:val=&quot;000D62EB&quot;/&gt;&lt;wsp:rsid wsp:val=&quot;000D62FE&quot;/&gt;&lt;wsp:rsid wsp:val=&quot;000D64D1&quot;/&gt;&lt;wsp:rsid wsp:val=&quot;000D678F&quot;/&gt;&lt;wsp:rsid wsp:val=&quot;000D75C4&quot;/&gt;&lt;wsp:rsid wsp:val=&quot;000D7B48&quot;/&gt;&lt;wsp:rsid wsp:val=&quot;000D7DB4&quot;/&gt;&lt;wsp:rsid wsp:val=&quot;000D7E47&quot;/&gt;&lt;wsp:rsid wsp:val=&quot;000E03E5&quot;/&gt;&lt;wsp:rsid wsp:val=&quot;000E089C&quot;/&gt;&lt;wsp:rsid wsp:val=&quot;000E0FA2&quot;/&gt;&lt;wsp:rsid wsp:val=&quot;000E18EA&quot;/&gt;&lt;wsp:rsid wsp:val=&quot;000E212D&quot;/&gt;&lt;wsp:rsid wsp:val=&quot;000E2433&quot;/&gt;&lt;wsp:rsid wsp:val=&quot;000E2997&quot;/&gt;&lt;wsp:rsid wsp:val=&quot;000E2A06&quot;/&gt;&lt;wsp:rsid wsp:val=&quot;000E2C44&quot;/&gt;&lt;wsp:rsid wsp:val=&quot;000E2F25&quot;/&gt;&lt;wsp:rsid wsp:val=&quot;000E41EF&quot;/&gt;&lt;wsp:rsid wsp:val=&quot;000E42AA&quot;/&gt;&lt;wsp:rsid wsp:val=&quot;000E42BD&quot;/&gt;&lt;wsp:rsid wsp:val=&quot;000E43A3&quot;/&gt;&lt;wsp:rsid wsp:val=&quot;000E4D08&quot;/&gt;&lt;wsp:rsid wsp:val=&quot;000E561D&quot;/&gt;&lt;wsp:rsid wsp:val=&quot;000E56FF&quot;/&gt;&lt;wsp:rsid wsp:val=&quot;000E5707&quot;/&gt;&lt;wsp:rsid wsp:val=&quot;000E58FA&quot;/&gt;&lt;wsp:rsid wsp:val=&quot;000E59EE&quot;/&gt;&lt;wsp:rsid wsp:val=&quot;000E5C2C&quot;/&gt;&lt;wsp:rsid wsp:val=&quot;000E6630&quot;/&gt;&lt;wsp:rsid wsp:val=&quot;000E68D9&quot;/&gt;&lt;wsp:rsid wsp:val=&quot;000E6918&quot;/&gt;&lt;wsp:rsid wsp:val=&quot;000E6FB7&quot;/&gt;&lt;wsp:rsid wsp:val=&quot;000E707F&quot;/&gt;&lt;wsp:rsid wsp:val=&quot;000E79E2&quot;/&gt;&lt;wsp:rsid wsp:val=&quot;000E7A06&quot;/&gt;&lt;wsp:rsid wsp:val=&quot;000F0385&quot;/&gt;&lt;wsp:rsid wsp:val=&quot;000F0B46&quot;/&gt;&lt;wsp:rsid wsp:val=&quot;000F1305&quot;/&gt;&lt;wsp:rsid wsp:val=&quot;000F14AC&quot;/&gt;&lt;wsp:rsid wsp:val=&quot;000F14B4&quot;/&gt;&lt;wsp:rsid wsp:val=&quot;000F1B61&quot;/&gt;&lt;wsp:rsid wsp:val=&quot;000F22C3&quot;/&gt;&lt;wsp:rsid wsp:val=&quot;000F234A&quot;/&gt;&lt;wsp:rsid wsp:val=&quot;000F23CD&quot;/&gt;&lt;wsp:rsid wsp:val=&quot;000F253F&quot;/&gt;&lt;wsp:rsid wsp:val=&quot;000F2708&quot;/&gt;&lt;wsp:rsid wsp:val=&quot;000F29FF&quot;/&gt;&lt;wsp:rsid wsp:val=&quot;000F2CC0&quot;/&gt;&lt;wsp:rsid wsp:val=&quot;000F2E51&quot;/&gt;&lt;wsp:rsid wsp:val=&quot;000F30A4&quot;/&gt;&lt;wsp:rsid wsp:val=&quot;000F34C8&quot;/&gt;&lt;wsp:rsid wsp:val=&quot;000F3C97&quot;/&gt;&lt;wsp:rsid wsp:val=&quot;000F3FDE&quot;/&gt;&lt;wsp:rsid wsp:val=&quot;000F412B&quot;/&gt;&lt;wsp:rsid wsp:val=&quot;000F4778&quot;/&gt;&lt;wsp:rsid wsp:val=&quot;000F4872&quot;/&gt;&lt;wsp:rsid wsp:val=&quot;000F5066&quot;/&gt;&lt;wsp:rsid wsp:val=&quot;000F53A0&quot;/&gt;&lt;wsp:rsid wsp:val=&quot;000F5F69&quot;/&gt;&lt;wsp:rsid wsp:val=&quot;000F662A&quot;/&gt;&lt;wsp:rsid wsp:val=&quot;000F6C97&quot;/&gt;&lt;wsp:rsid wsp:val=&quot;000F7084&quot;/&gt;&lt;wsp:rsid wsp:val=&quot;000F75A9&quot;/&gt;&lt;wsp:rsid wsp:val=&quot;000F7AC0&quot;/&gt;&lt;wsp:rsid wsp:val=&quot;000F7F82&quot;/&gt;&lt;wsp:rsid wsp:val=&quot;0010025F&quot;/&gt;&lt;wsp:rsid wsp:val=&quot;001005D2&quot;/&gt;&lt;wsp:rsid wsp:val=&quot;00101239&quot;/&gt;&lt;wsp:rsid wsp:val=&quot;001013D9&quot;/&gt;&lt;wsp:rsid wsp:val=&quot;00101871&quot;/&gt;&lt;wsp:rsid wsp:val=&quot;001018C7&quot;/&gt;&lt;wsp:rsid wsp:val=&quot;001020C2&quot;/&gt;&lt;wsp:rsid wsp:val=&quot;0010231A&quot;/&gt;&lt;wsp:rsid wsp:val=&quot;001028BB&quot;/&gt;&lt;wsp:rsid wsp:val=&quot;00102E0D&quot;/&gt;&lt;wsp:rsid wsp:val=&quot;00103796&quot;/&gt;&lt;wsp:rsid wsp:val=&quot;00103846&quot;/&gt;&lt;wsp:rsid wsp:val=&quot;00103EA1&quot;/&gt;&lt;wsp:rsid wsp:val=&quot;00103F74&quot;/&gt;&lt;wsp:rsid wsp:val=&quot;00104355&quot;/&gt;&lt;wsp:rsid wsp:val=&quot;00104388&quot;/&gt;&lt;wsp:rsid wsp:val=&quot;00104389&quot;/&gt;&lt;wsp:rsid wsp:val=&quot;0010480D&quot;/&gt;&lt;wsp:rsid wsp:val=&quot;00105028&quot;/&gt;&lt;wsp:rsid wsp:val=&quot;00105443&quot;/&gt;&lt;wsp:rsid wsp:val=&quot;001056B5&quot;/&gt;&lt;wsp:rsid wsp:val=&quot;001058C4&quot;/&gt;&lt;wsp:rsid wsp:val=&quot;001058F6&quot;/&gt;&lt;wsp:rsid wsp:val=&quot;00105E47&quot;/&gt;&lt;wsp:rsid wsp:val=&quot;00106090&quot;/&gt;&lt;wsp:rsid wsp:val=&quot;0010696F&quot;/&gt;&lt;wsp:rsid wsp:val=&quot;001069DA&quot;/&gt;&lt;wsp:rsid wsp:val=&quot;001070AB&quot;/&gt;&lt;wsp:rsid wsp:val=&quot;0010737C&quot;/&gt;&lt;wsp:rsid wsp:val=&quot;001074E2&quot;/&gt;&lt;wsp:rsid wsp:val=&quot;00107F58&quot;/&gt;&lt;wsp:rsid wsp:val=&quot;00107FC8&quot;/&gt;&lt;wsp:rsid wsp:val=&quot;00110512&quot;/&gt;&lt;wsp:rsid wsp:val=&quot;001106DF&quot;/&gt;&lt;wsp:rsid wsp:val=&quot;00110785&quot;/&gt;&lt;wsp:rsid wsp:val=&quot;001109E0&quot;/&gt;&lt;wsp:rsid wsp:val=&quot;00110B2B&quot;/&gt;&lt;wsp:rsid wsp:val=&quot;00110B86&quot;/&gt;&lt;wsp:rsid wsp:val=&quot;00110BB2&quot;/&gt;&lt;wsp:rsid wsp:val=&quot;00110DCB&quot;/&gt;&lt;wsp:rsid wsp:val=&quot;00110DE9&quot;/&gt;&lt;wsp:rsid wsp:val=&quot;00110F03&quot;/&gt;&lt;wsp:rsid wsp:val=&quot;0011113F&quot;/&gt;&lt;wsp:rsid wsp:val=&quot;00111461&quot;/&gt;&lt;wsp:rsid wsp:val=&quot;00111696&quot;/&gt;&lt;wsp:rsid wsp:val=&quot;00111720&quot;/&gt;&lt;wsp:rsid wsp:val=&quot;00111779&quot;/&gt;&lt;wsp:rsid wsp:val=&quot;00111830&quot;/&gt;&lt;wsp:rsid wsp:val=&quot;00111C6B&quot;/&gt;&lt;wsp:rsid wsp:val=&quot;00111E0A&quot;/&gt;&lt;wsp:rsid wsp:val=&quot;00111E27&quot;/&gt;&lt;wsp:rsid wsp:val=&quot;00112299&quot;/&gt;&lt;wsp:rsid wsp:val=&quot;00112A50&quot;/&gt;&lt;wsp:rsid wsp:val=&quot;00112CE3&quot;/&gt;&lt;wsp:rsid wsp:val=&quot;00113456&quot;/&gt;&lt;wsp:rsid wsp:val=&quot;00113AB5&quot;/&gt;&lt;wsp:rsid wsp:val=&quot;00113B30&quot;/&gt;&lt;wsp:rsid wsp:val=&quot;00114030&quot;/&gt;&lt;wsp:rsid wsp:val=&quot;001140A9&quot;/&gt;&lt;wsp:rsid wsp:val=&quot;00114238&quot;/&gt;&lt;wsp:rsid wsp:val=&quot;00114EBB&quot;/&gt;&lt;wsp:rsid wsp:val=&quot;001158F7&quot;/&gt;&lt;wsp:rsid wsp:val=&quot;00115C2D&quot;/&gt;&lt;wsp:rsid wsp:val=&quot;001160C4&quot;/&gt;&lt;wsp:rsid wsp:val=&quot;001161DC&quot;/&gt;&lt;wsp:rsid wsp:val=&quot;0011661A&quot;/&gt;&lt;wsp:rsid wsp:val=&quot;00116711&quot;/&gt;&lt;wsp:rsid wsp:val=&quot;001167CC&quot;/&gt;&lt;wsp:rsid wsp:val=&quot;00116897&quot;/&gt;&lt;wsp:rsid wsp:val=&quot;0011692A&quot;/&gt;&lt;wsp:rsid wsp:val=&quot;00116BCE&quot;/&gt;&lt;wsp:rsid wsp:val=&quot;00117300&quot;/&gt;&lt;wsp:rsid wsp:val=&quot;0011759D&quot;/&gt;&lt;wsp:rsid wsp:val=&quot;001178ED&quot;/&gt;&lt;wsp:rsid wsp:val=&quot;00117978&quot;/&gt;&lt;wsp:rsid wsp:val=&quot;00117E81&quot;/&gt;&lt;wsp:rsid wsp:val=&quot;00120448&quot;/&gt;&lt;wsp:rsid wsp:val=&quot;00120628&quot;/&gt;&lt;wsp:rsid wsp:val=&quot;00120A8E&quot;/&gt;&lt;wsp:rsid wsp:val=&quot;00121308&quot;/&gt;&lt;wsp:rsid wsp:val=&quot;001214EE&quot;/&gt;&lt;wsp:rsid wsp:val=&quot;00121906&quot;/&gt;&lt;wsp:rsid wsp:val=&quot;001219FB&quot;/&gt;&lt;wsp:rsid wsp:val=&quot;00121F2D&quot;/&gt;&lt;wsp:rsid wsp:val=&quot;001220BC&quot;/&gt;&lt;wsp:rsid wsp:val=&quot;0012231E&quot;/&gt;&lt;wsp:rsid wsp:val=&quot;0012239C&quot;/&gt;&lt;wsp:rsid wsp:val=&quot;001224A8&quot;/&gt;&lt;wsp:rsid wsp:val=&quot;00122B60&quot;/&gt;&lt;wsp:rsid wsp:val=&quot;00122D66&quot;/&gt;&lt;wsp:rsid wsp:val=&quot;0012337B&quot;/&gt;&lt;wsp:rsid wsp:val=&quot;00123986&quot;/&gt;&lt;wsp:rsid wsp:val=&quot;00123A88&quot;/&gt;&lt;wsp:rsid wsp:val=&quot;00123C7D&quot;/&gt;&lt;wsp:rsid wsp:val=&quot;00123FBF&quot;/&gt;&lt;wsp:rsid wsp:val=&quot;001240E2&quot;/&gt;&lt;wsp:rsid wsp:val=&quot;0012417C&quot;/&gt;&lt;wsp:rsid wsp:val=&quot;001243A3&quot;/&gt;&lt;wsp:rsid wsp:val=&quot;00124D77&quot;/&gt;&lt;wsp:rsid wsp:val=&quot;00124E18&quot;/&gt;&lt;wsp:rsid wsp:val=&quot;0012509A&quot;/&gt;&lt;wsp:rsid wsp:val=&quot;00125335&quot;/&gt;&lt;wsp:rsid wsp:val=&quot;00125613&quot;/&gt;&lt;wsp:rsid wsp:val=&quot;00125933&quot;/&gt;&lt;wsp:rsid wsp:val=&quot;0012594D&quot;/&gt;&lt;wsp:rsid wsp:val=&quot;00125997&quot;/&gt;&lt;wsp:rsid wsp:val=&quot;00126100&quot;/&gt;&lt;wsp:rsid wsp:val=&quot;00126541&quot;/&gt;&lt;wsp:rsid wsp:val=&quot;00126554&quot;/&gt;&lt;wsp:rsid wsp:val=&quot;001268F0&quot;/&gt;&lt;wsp:rsid wsp:val=&quot;001269DB&quot;/&gt;&lt;wsp:rsid wsp:val=&quot;00126D09&quot;/&gt;&lt;wsp:rsid wsp:val=&quot;00126E74&quot;/&gt;&lt;wsp:rsid wsp:val=&quot;001272E8&quot;/&gt;&lt;wsp:rsid wsp:val=&quot;00127E57&quot;/&gt;&lt;wsp:rsid wsp:val=&quot;00127E8B&quot;/&gt;&lt;wsp:rsid wsp:val=&quot;00127F02&quot;/&gt;&lt;wsp:rsid wsp:val=&quot;00130180&quot;/&gt;&lt;wsp:rsid wsp:val=&quot;001302F3&quot;/&gt;&lt;wsp:rsid wsp:val=&quot;00130316&quot;/&gt;&lt;wsp:rsid wsp:val=&quot;0013050B&quot;/&gt;&lt;wsp:rsid wsp:val=&quot;00130BB0&quot;/&gt;&lt;wsp:rsid wsp:val=&quot;00131514&quot;/&gt;&lt;wsp:rsid wsp:val=&quot;00131547&quot;/&gt;&lt;wsp:rsid wsp:val=&quot;00131CD2&quot;/&gt;&lt;wsp:rsid wsp:val=&quot;00131DF2&quot;/&gt;&lt;wsp:rsid wsp:val=&quot;001321CB&quot;/&gt;&lt;wsp:rsid wsp:val=&quot;00132377&quot;/&gt;&lt;wsp:rsid wsp:val=&quot;00132982&quot;/&gt;&lt;wsp:rsid wsp:val=&quot;00132A19&quot;/&gt;&lt;wsp:rsid wsp:val=&quot;00132F62&quot;/&gt;&lt;wsp:rsid wsp:val=&quot;00133A5C&quot;/&gt;&lt;wsp:rsid wsp:val=&quot;00133BD1&quot;/&gt;&lt;wsp:rsid wsp:val=&quot;00133D4B&quot;/&gt;&lt;wsp:rsid wsp:val=&quot;00133F21&quot;/&gt;&lt;wsp:rsid wsp:val=&quot;00134277&quot;/&gt;&lt;wsp:rsid wsp:val=&quot;001345FC&quot;/&gt;&lt;wsp:rsid wsp:val=&quot;00134F35&quot;/&gt;&lt;wsp:rsid wsp:val=&quot;00135996&quot;/&gt;&lt;wsp:rsid wsp:val=&quot;00135A27&quot;/&gt;&lt;wsp:rsid wsp:val=&quot;001360E7&quot;/&gt;&lt;wsp:rsid wsp:val=&quot;00136289&quot;/&gt;&lt;wsp:rsid wsp:val=&quot;00137580&quot;/&gt;&lt;wsp:rsid wsp:val=&quot;00137ACA&quot;/&gt;&lt;wsp:rsid wsp:val=&quot;00137B0B&quot;/&gt;&lt;wsp:rsid wsp:val=&quot;00137DC3&quot;/&gt;&lt;wsp:rsid wsp:val=&quot;0014008D&quot;/&gt;&lt;wsp:rsid wsp:val=&quot;001402E0&quot;/&gt;&lt;wsp:rsid wsp:val=&quot;0014040D&quot;/&gt;&lt;wsp:rsid wsp:val=&quot;00140E0E&quot;/&gt;&lt;wsp:rsid wsp:val=&quot;00141044&quot;/&gt;&lt;wsp:rsid wsp:val=&quot;00141079&quot;/&gt;&lt;wsp:rsid wsp:val=&quot;0014165B&quot;/&gt;&lt;wsp:rsid wsp:val=&quot;00141B33&quot;/&gt;&lt;wsp:rsid wsp:val=&quot;00141FFC&quot;/&gt;&lt;wsp:rsid wsp:val=&quot;0014209D&quot;/&gt;&lt;wsp:rsid wsp:val=&quot;00142398&quot;/&gt;&lt;wsp:rsid wsp:val=&quot;001429F9&quot;/&gt;&lt;wsp:rsid wsp:val=&quot;00142A47&quot;/&gt;&lt;wsp:rsid wsp:val=&quot;001431B5&quot;/&gt;&lt;wsp:rsid wsp:val=&quot;001434DB&quot;/&gt;&lt;wsp:rsid wsp:val=&quot;00143751&quot;/&gt;&lt;wsp:rsid wsp:val=&quot;00143755&quot;/&gt;&lt;wsp:rsid wsp:val=&quot;00143870&quot;/&gt;&lt;wsp:rsid wsp:val=&quot;00143A78&quot;/&gt;&lt;wsp:rsid wsp:val=&quot;00143CE6&quot;/&gt;&lt;wsp:rsid wsp:val=&quot;00143E5C&quot;/&gt;&lt;wsp:rsid wsp:val=&quot;0014430E&quot;/&gt;&lt;wsp:rsid wsp:val=&quot;001443A1&quot;/&gt;&lt;wsp:rsid wsp:val=&quot;00144794&quot;/&gt;&lt;wsp:rsid wsp:val=&quot;001447B9&quot;/&gt;&lt;wsp:rsid wsp:val=&quot;001447F6&quot;/&gt;&lt;wsp:rsid wsp:val=&quot;001448B0&quot;/&gt;&lt;wsp:rsid wsp:val=&quot;00145097&quot;/&gt;&lt;wsp:rsid wsp:val=&quot;00145FB5&quot;/&gt;&lt;wsp:rsid wsp:val=&quot;0014649E&quot;/&gt;&lt;wsp:rsid wsp:val=&quot;001465B8&quot;/&gt;&lt;wsp:rsid wsp:val=&quot;001475AB&quot;/&gt;&lt;wsp:rsid wsp:val=&quot;00147718&quot;/&gt;&lt;wsp:rsid wsp:val=&quot;00150054&quot;/&gt;&lt;wsp:rsid wsp:val=&quot;0015054B&quot;/&gt;&lt;wsp:rsid wsp:val=&quot;00150698&quot;/&gt;&lt;wsp:rsid wsp:val=&quot;0015072F&quot;/&gt;&lt;wsp:rsid wsp:val=&quot;00150766&quot;/&gt;&lt;wsp:rsid wsp:val=&quot;00150843&quot;/&gt;&lt;wsp:rsid wsp:val=&quot;00151950&quot;/&gt;&lt;wsp:rsid wsp:val=&quot;00151C5E&quot;/&gt;&lt;wsp:rsid wsp:val=&quot;00151E62&quot;/&gt;&lt;wsp:rsid wsp:val=&quot;00152241&quot;/&gt;&lt;wsp:rsid wsp:val=&quot;00152BAE&quot;/&gt;&lt;wsp:rsid wsp:val=&quot;00152DFF&quot;/&gt;&lt;wsp:rsid wsp:val=&quot;00153787&quot;/&gt;&lt;wsp:rsid wsp:val=&quot;00153AF5&quot;/&gt;&lt;wsp:rsid wsp:val=&quot;00153F24&quot;/&gt;&lt;wsp:rsid wsp:val=&quot;00154483&quot;/&gt;&lt;wsp:rsid wsp:val=&quot;001544FA&quot;/&gt;&lt;wsp:rsid wsp:val=&quot;001547E3&quot;/&gt;&lt;wsp:rsid wsp:val=&quot;00154953&quot;/&gt;&lt;wsp:rsid wsp:val=&quot;00154AB7&quot;/&gt;&lt;wsp:rsid wsp:val=&quot;00154B16&quot;/&gt;&lt;wsp:rsid wsp:val=&quot;00154DFE&quot;/&gt;&lt;wsp:rsid wsp:val=&quot;001552D3&quot;/&gt;&lt;wsp:rsid wsp:val=&quot;001559E8&quot;/&gt;&lt;wsp:rsid wsp:val=&quot;0015601A&quot;/&gt;&lt;wsp:rsid wsp:val=&quot;00156184&quot;/&gt;&lt;wsp:rsid wsp:val=&quot;00156A17&quot;/&gt;&lt;wsp:rsid wsp:val=&quot;00156B81&quot;/&gt;&lt;wsp:rsid wsp:val=&quot;0015704E&quot;/&gt;&lt;wsp:rsid wsp:val=&quot;001574E1&quot;/&gt;&lt;wsp:rsid wsp:val=&quot;001575AF&quot;/&gt;&lt;wsp:rsid wsp:val=&quot;0015782F&quot;/&gt;&lt;wsp:rsid wsp:val=&quot;00157AFE&quot;/&gt;&lt;wsp:rsid wsp:val=&quot;001602F2&quot;/&gt;&lt;wsp:rsid wsp:val=&quot;00160664&quot;/&gt;&lt;wsp:rsid wsp:val=&quot;00160D95&quot;/&gt;&lt;wsp:rsid wsp:val=&quot;001612F0&quot;/&gt;&lt;wsp:rsid wsp:val=&quot;001615A4&quot;/&gt;&lt;wsp:rsid wsp:val=&quot;00161AAC&quot;/&gt;&lt;wsp:rsid wsp:val=&quot;00161B7C&quot;/&gt;&lt;wsp:rsid wsp:val=&quot;00162A3E&quot;/&gt;&lt;wsp:rsid wsp:val=&quot;00163260&quot;/&gt;&lt;wsp:rsid wsp:val=&quot;00163987&quot;/&gt;&lt;wsp:rsid wsp:val=&quot;001646F6&quot;/&gt;&lt;wsp:rsid wsp:val=&quot;00164AF2&quot;/&gt;&lt;wsp:rsid wsp:val=&quot;00164D06&quot;/&gt;&lt;wsp:rsid wsp:val=&quot;00165029&quot;/&gt;&lt;wsp:rsid wsp:val=&quot;00165647&quot;/&gt;&lt;wsp:rsid wsp:val=&quot;00165695&quot;/&gt;&lt;wsp:rsid wsp:val=&quot;0016573E&quot;/&gt;&lt;wsp:rsid wsp:val=&quot;00165A0C&quot;/&gt;&lt;wsp:rsid wsp:val=&quot;0016629B&quot;/&gt;&lt;wsp:rsid wsp:val=&quot;00166ABC&quot;/&gt;&lt;wsp:rsid wsp:val=&quot;00166B55&quot;/&gt;&lt;wsp:rsid wsp:val=&quot;00166CC5&quot;/&gt;&lt;wsp:rsid wsp:val=&quot;00167068&quot;/&gt;&lt;wsp:rsid wsp:val=&quot;00167263&quot;/&gt;&lt;wsp:rsid wsp:val=&quot;00167A8C&quot;/&gt;&lt;wsp:rsid wsp:val=&quot;00167E07&quot;/&gt;&lt;wsp:rsid wsp:val=&quot;00170052&quot;/&gt;&lt;wsp:rsid wsp:val=&quot;00170433&quot;/&gt;&lt;wsp:rsid wsp:val=&quot;0017069E&quot;/&gt;&lt;wsp:rsid wsp:val=&quot;0017094F&quot;/&gt;&lt;wsp:rsid wsp:val=&quot;00171047&quot;/&gt;&lt;wsp:rsid wsp:val=&quot;0017107D&quot;/&gt;&lt;wsp:rsid wsp:val=&quot;001715DE&quot;/&gt;&lt;wsp:rsid wsp:val=&quot;0017241A&quot;/&gt;&lt;wsp:rsid wsp:val=&quot;00172565&quot;/&gt;&lt;wsp:rsid wsp:val=&quot;00172572&quot;/&gt;&lt;wsp:rsid wsp:val=&quot;00172A89&quot;/&gt;&lt;wsp:rsid wsp:val=&quot;0017306B&quot;/&gt;&lt;wsp:rsid wsp:val=&quot;00173E1E&quot;/&gt;&lt;wsp:rsid wsp:val=&quot;00174067&quot;/&gt;&lt;wsp:rsid wsp:val=&quot;00174504&quot;/&gt;&lt;wsp:rsid wsp:val=&quot;001748F4&quot;/&gt;&lt;wsp:rsid wsp:val=&quot;00174C11&quot;/&gt;&lt;wsp:rsid wsp:val=&quot;00174EE1&quot;/&gt;&lt;wsp:rsid wsp:val=&quot;00175060&quot;/&gt;&lt;wsp:rsid wsp:val=&quot;0017535C&quot;/&gt;&lt;wsp:rsid wsp:val=&quot;00175632&quot;/&gt;&lt;wsp:rsid wsp:val=&quot;00175720&quot;/&gt;&lt;wsp:rsid wsp:val=&quot;00175909&quot;/&gt;&lt;wsp:rsid wsp:val=&quot;00175AD0&quot;/&gt;&lt;wsp:rsid wsp:val=&quot;00175EB3&quot;/&gt;&lt;wsp:rsid wsp:val=&quot;00175FE6&quot;/&gt;&lt;wsp:rsid wsp:val=&quot;00176341&quot;/&gt;&lt;wsp:rsid wsp:val=&quot;001766D4&quot;/&gt;&lt;wsp:rsid wsp:val=&quot;0017674E&quot;/&gt;&lt;wsp:rsid wsp:val=&quot;00176D85&quot;/&gt;&lt;wsp:rsid wsp:val=&quot;001777A1&quot;/&gt;&lt;wsp:rsid wsp:val=&quot;00177A3D&quot;/&gt;&lt;wsp:rsid wsp:val=&quot;00177CA7&quot;/&gt;&lt;wsp:rsid wsp:val=&quot;00177D28&quot;/&gt;&lt;wsp:rsid wsp:val=&quot;0018039F&quot;/&gt;&lt;wsp:rsid wsp:val=&quot;00180956&quot;/&gt;&lt;wsp:rsid wsp:val=&quot;00180C7C&quot;/&gt;&lt;wsp:rsid wsp:val=&quot;00180E74&quot;/&gt;&lt;wsp:rsid wsp:val=&quot;00180EF6&quot;/&gt;&lt;wsp:rsid wsp:val=&quot;001811A7&quot;/&gt;&lt;wsp:rsid wsp:val=&quot;001812A5&quot;/&gt;&lt;wsp:rsid wsp:val=&quot;001812CE&quot;/&gt;&lt;wsp:rsid wsp:val=&quot;0018148D&quot;/&gt;&lt;wsp:rsid wsp:val=&quot;00181693&quot;/&gt;&lt;wsp:rsid wsp:val=&quot;001819BE&quot;/&gt;&lt;wsp:rsid wsp:val=&quot;00181C6C&quot;/&gt;&lt;wsp:rsid wsp:val=&quot;00181F6A&quot;/&gt;&lt;wsp:rsid wsp:val=&quot;001825DA&quot;/&gt;&lt;wsp:rsid wsp:val=&quot;0018277D&quot;/&gt;&lt;wsp:rsid wsp:val=&quot;00182A5B&quot;/&gt;&lt;wsp:rsid wsp:val=&quot;00182D17&quot;/&gt;&lt;wsp:rsid wsp:val=&quot;001830C1&quot;/&gt;&lt;wsp:rsid wsp:val=&quot;00183239&quot;/&gt;&lt;wsp:rsid wsp:val=&quot;00183421&quot;/&gt;&lt;wsp:rsid wsp:val=&quot;001835BF&quot;/&gt;&lt;wsp:rsid wsp:val=&quot;001835F4&quot;/&gt;&lt;wsp:rsid wsp:val=&quot;00183AD4&quot;/&gt;&lt;wsp:rsid wsp:val=&quot;00183B6D&quot;/&gt;&lt;wsp:rsid wsp:val=&quot;001840C7&quot;/&gt;&lt;wsp:rsid wsp:val=&quot;0018414F&quot;/&gt;&lt;wsp:rsid wsp:val=&quot;001844A9&quot;/&gt;&lt;wsp:rsid wsp:val=&quot;00184754&quot;/&gt;&lt;wsp:rsid wsp:val=&quot;00184793&quot;/&gt;&lt;wsp:rsid wsp:val=&quot;00184BE5&quot;/&gt;&lt;wsp:rsid wsp:val=&quot;001854D8&quot;/&gt;&lt;wsp:rsid wsp:val=&quot;00185EB9&quot;/&gt;&lt;wsp:rsid wsp:val=&quot;00185FE2&quot;/&gt;&lt;wsp:rsid wsp:val=&quot;00186155&quot;/&gt;&lt;wsp:rsid wsp:val=&quot;001863D3&quot;/&gt;&lt;wsp:rsid wsp:val=&quot;0018645F&quot;/&gt;&lt;wsp:rsid wsp:val=&quot;00186824&quot;/&gt;&lt;wsp:rsid wsp:val=&quot;00186D14&quot;/&gt;&lt;wsp:rsid wsp:val=&quot;0018729A&quot;/&gt;&lt;wsp:rsid wsp:val=&quot;00187305&quot;/&gt;&lt;wsp:rsid wsp:val=&quot;00187491&quot;/&gt;&lt;wsp:rsid wsp:val=&quot;001875D1&quot;/&gt;&lt;wsp:rsid wsp:val=&quot;0018761E&quot;/&gt;&lt;wsp:rsid wsp:val=&quot;00190D0C&quot;/&gt;&lt;wsp:rsid wsp:val=&quot;00191003&quot;/&gt;&lt;wsp:rsid wsp:val=&quot;001911CD&quot;/&gt;&lt;wsp:rsid wsp:val=&quot;00191924&quot;/&gt;&lt;wsp:rsid wsp:val=&quot;0019214A&quot;/&gt;&lt;wsp:rsid wsp:val=&quot;0019244B&quot;/&gt;&lt;wsp:rsid wsp:val=&quot;00192670&quot;/&gt;&lt;wsp:rsid wsp:val=&quot;00192A46&quot;/&gt;&lt;wsp:rsid wsp:val=&quot;00192C20&quot;/&gt;&lt;wsp:rsid wsp:val=&quot;00193095&quot;/&gt;&lt;wsp:rsid wsp:val=&quot;0019318F&quot;/&gt;&lt;wsp:rsid wsp:val=&quot;001931B2&quot;/&gt;&lt;wsp:rsid wsp:val=&quot;00193270&quot;/&gt;&lt;wsp:rsid wsp:val=&quot;0019345A&quot;/&gt;&lt;wsp:rsid wsp:val=&quot;00193598&quot;/&gt;&lt;wsp:rsid wsp:val=&quot;0019366F&quot;/&gt;&lt;wsp:rsid wsp:val=&quot;001940A4&quot;/&gt;&lt;wsp:rsid wsp:val=&quot;00194725&quot;/&gt;&lt;wsp:rsid wsp:val=&quot;00194B0B&quot;/&gt;&lt;wsp:rsid wsp:val=&quot;0019556E&quot;/&gt;&lt;wsp:rsid wsp:val=&quot;00195CC7&quot;/&gt;&lt;wsp:rsid wsp:val=&quot;00195DCE&quot;/&gt;&lt;wsp:rsid wsp:val=&quot;001960B7&quot;/&gt;&lt;wsp:rsid wsp:val=&quot;0019619C&quot;/&gt;&lt;wsp:rsid wsp:val=&quot;0019633B&quot;/&gt;&lt;wsp:rsid wsp:val=&quot;0019672C&quot;/&gt;&lt;wsp:rsid wsp:val=&quot;00196756&quot;/&gt;&lt;wsp:rsid wsp:val=&quot;00196D13&quot;/&gt;&lt;wsp:rsid wsp:val=&quot;0019740D&quot;/&gt;&lt;wsp:rsid wsp:val=&quot;0019761A&quot;/&gt;&lt;wsp:rsid wsp:val=&quot;00197676&quot;/&gt;&lt;wsp:rsid wsp:val=&quot;00197F27&quot;/&gt;&lt;wsp:rsid wsp:val=&quot;001A017E&quot;/&gt;&lt;wsp:rsid wsp:val=&quot;001A0298&quot;/&gt;&lt;wsp:rsid wsp:val=&quot;001A0339&quot;/&gt;&lt;wsp:rsid wsp:val=&quot;001A033B&quot;/&gt;&lt;wsp:rsid wsp:val=&quot;001A09EC&quot;/&gt;&lt;wsp:rsid wsp:val=&quot;001A0DD7&quot;/&gt;&lt;wsp:rsid wsp:val=&quot;001A0E92&quot;/&gt;&lt;wsp:rsid wsp:val=&quot;001A0EA8&quot;/&gt;&lt;wsp:rsid wsp:val=&quot;001A1277&quot;/&gt;&lt;wsp:rsid wsp:val=&quot;001A1619&quot;/&gt;&lt;wsp:rsid wsp:val=&quot;001A165B&quot;/&gt;&lt;wsp:rsid wsp:val=&quot;001A1B95&quot;/&gt;&lt;wsp:rsid wsp:val=&quot;001A2121&quot;/&gt;&lt;wsp:rsid wsp:val=&quot;001A2405&quot;/&gt;&lt;wsp:rsid wsp:val=&quot;001A260A&quot;/&gt;&lt;wsp:rsid wsp:val=&quot;001A2675&quot;/&gt;&lt;wsp:rsid wsp:val=&quot;001A26AA&quot;/&gt;&lt;wsp:rsid wsp:val=&quot;001A2BDB&quot;/&gt;&lt;wsp:rsid wsp:val=&quot;001A362B&quot;/&gt;&lt;wsp:rsid wsp:val=&quot;001A382C&quot;/&gt;&lt;wsp:rsid wsp:val=&quot;001A3FD6&quot;/&gt;&lt;wsp:rsid wsp:val=&quot;001A4B97&quot;/&gt;&lt;wsp:rsid wsp:val=&quot;001A4D57&quot;/&gt;&lt;wsp:rsid wsp:val=&quot;001A4DDE&quot;/&gt;&lt;wsp:rsid wsp:val=&quot;001A5199&quot;/&gt;&lt;wsp:rsid wsp:val=&quot;001A5252&quot;/&gt;&lt;wsp:rsid wsp:val=&quot;001A53E0&quot;/&gt;&lt;wsp:rsid wsp:val=&quot;001A53FD&quot;/&gt;&lt;wsp:rsid wsp:val=&quot;001A54FB&quot;/&gt;&lt;wsp:rsid wsp:val=&quot;001A5BC2&quot;/&gt;&lt;wsp:rsid wsp:val=&quot;001A5C95&quot;/&gt;&lt;wsp:rsid wsp:val=&quot;001A5FD8&quot;/&gt;&lt;wsp:rsid wsp:val=&quot;001A6D65&quot;/&gt;&lt;wsp:rsid wsp:val=&quot;001A6E6B&quot;/&gt;&lt;wsp:rsid wsp:val=&quot;001A72A1&quot;/&gt;&lt;wsp:rsid wsp:val=&quot;001A7428&quot;/&gt;&lt;wsp:rsid wsp:val=&quot;001A7A53&quot;/&gt;&lt;wsp:rsid wsp:val=&quot;001B05B6&quot;/&gt;&lt;wsp:rsid wsp:val=&quot;001B0839&quot;/&gt;&lt;wsp:rsid wsp:val=&quot;001B0881&quot;/&gt;&lt;wsp:rsid wsp:val=&quot;001B0BDB&quot;/&gt;&lt;wsp:rsid wsp:val=&quot;001B0DF0&quot;/&gt;&lt;wsp:rsid wsp:val=&quot;001B1987&quot;/&gt;&lt;wsp:rsid wsp:val=&quot;001B19A7&quot;/&gt;&lt;wsp:rsid wsp:val=&quot;001B1B75&quot;/&gt;&lt;wsp:rsid wsp:val=&quot;001B1C5E&quot;/&gt;&lt;wsp:rsid wsp:val=&quot;001B2085&quot;/&gt;&lt;wsp:rsid wsp:val=&quot;001B2088&quot;/&gt;&lt;wsp:rsid wsp:val=&quot;001B2DF5&quot;/&gt;&lt;wsp:rsid wsp:val=&quot;001B2FC1&quot;/&gt;&lt;wsp:rsid wsp:val=&quot;001B3551&quot;/&gt;&lt;wsp:rsid wsp:val=&quot;001B3AD2&quot;/&gt;&lt;wsp:rsid wsp:val=&quot;001B3D05&quot;/&gt;&lt;wsp:rsid wsp:val=&quot;001B3E23&quot;/&gt;&lt;wsp:rsid wsp:val=&quot;001B4026&quot;/&gt;&lt;wsp:rsid wsp:val=&quot;001B4152&quot;/&gt;&lt;wsp:rsid wsp:val=&quot;001B41C4&quot;/&gt;&lt;wsp:rsid wsp:val=&quot;001B4330&quot;/&gt;&lt;wsp:rsid wsp:val=&quot;001B46A2&quot;/&gt;&lt;wsp:rsid wsp:val=&quot;001B46EC&quot;/&gt;&lt;wsp:rsid wsp:val=&quot;001B4C55&quot;/&gt;&lt;wsp:rsid wsp:val=&quot;001B4FD9&quot;/&gt;&lt;wsp:rsid wsp:val=&quot;001B5599&quot;/&gt;&lt;wsp:rsid wsp:val=&quot;001B597C&quot;/&gt;&lt;wsp:rsid wsp:val=&quot;001B5BD6&quot;/&gt;&lt;wsp:rsid wsp:val=&quot;001B5D0F&quot;/&gt;&lt;wsp:rsid wsp:val=&quot;001B5E6C&quot;/&gt;&lt;wsp:rsid wsp:val=&quot;001B6390&quot;/&gt;&lt;wsp:rsid wsp:val=&quot;001B6CEC&quot;/&gt;&lt;wsp:rsid wsp:val=&quot;001B6E59&quot;/&gt;&lt;wsp:rsid wsp:val=&quot;001B718C&quot;/&gt;&lt;wsp:rsid wsp:val=&quot;001B7518&quot;/&gt;&lt;wsp:rsid wsp:val=&quot;001B7AF2&quot;/&gt;&lt;wsp:rsid wsp:val=&quot;001B7ED7&quot;/&gt;&lt;wsp:rsid wsp:val=&quot;001C0350&quot;/&gt;&lt;wsp:rsid wsp:val=&quot;001C0C1A&quot;/&gt;&lt;wsp:rsid wsp:val=&quot;001C11DD&quot;/&gt;&lt;wsp:rsid wsp:val=&quot;001C11F6&quot;/&gt;&lt;wsp:rsid wsp:val=&quot;001C1367&quot;/&gt;&lt;wsp:rsid wsp:val=&quot;001C1384&quot;/&gt;&lt;wsp:rsid wsp:val=&quot;001C13AF&quot;/&gt;&lt;wsp:rsid wsp:val=&quot;001C1477&quot;/&gt;&lt;wsp:rsid wsp:val=&quot;001C1650&quot;/&gt;&lt;wsp:rsid wsp:val=&quot;001C177E&quot;/&gt;&lt;wsp:rsid wsp:val=&quot;001C1CFC&quot;/&gt;&lt;wsp:rsid wsp:val=&quot;001C1D74&quot;/&gt;&lt;wsp:rsid wsp:val=&quot;001C1FA2&quot;/&gt;&lt;wsp:rsid wsp:val=&quot;001C2238&quot;/&gt;&lt;wsp:rsid wsp:val=&quot;001C2857&quot;/&gt;&lt;wsp:rsid wsp:val=&quot;001C2FAB&quot;/&gt;&lt;wsp:rsid wsp:val=&quot;001C32DD&quot;/&gt;&lt;wsp:rsid wsp:val=&quot;001C36D5&quot;/&gt;&lt;wsp:rsid wsp:val=&quot;001C3C03&quot;/&gt;&lt;wsp:rsid wsp:val=&quot;001C3EF3&quot;/&gt;&lt;wsp:rsid wsp:val=&quot;001C4329&quot;/&gt;&lt;wsp:rsid wsp:val=&quot;001C4719&quot;/&gt;&lt;wsp:rsid wsp:val=&quot;001C4C26&quot;/&gt;&lt;wsp:rsid wsp:val=&quot;001C5962&quot;/&gt;&lt;wsp:rsid wsp:val=&quot;001C5E2B&quot;/&gt;&lt;wsp:rsid wsp:val=&quot;001C6779&quot;/&gt;&lt;wsp:rsid wsp:val=&quot;001C6C18&quot;/&gt;&lt;wsp:rsid wsp:val=&quot;001C7136&quot;/&gt;&lt;wsp:rsid wsp:val=&quot;001C76C4&quot;/&gt;&lt;wsp:rsid wsp:val=&quot;001C76D0&quot;/&gt;&lt;wsp:rsid wsp:val=&quot;001C770E&quot;/&gt;&lt;wsp:rsid wsp:val=&quot;001C7B33&quot;/&gt;&lt;wsp:rsid wsp:val=&quot;001C7CA5&quot;/&gt;&lt;wsp:rsid wsp:val=&quot;001D02AD&quot;/&gt;&lt;wsp:rsid wsp:val=&quot;001D0A08&quot;/&gt;&lt;wsp:rsid wsp:val=&quot;001D0B24&quot;/&gt;&lt;wsp:rsid wsp:val=&quot;001D0BDA&quot;/&gt;&lt;wsp:rsid wsp:val=&quot;001D0C91&quot;/&gt;&lt;wsp:rsid wsp:val=&quot;001D0DF2&quot;/&gt;&lt;wsp:rsid wsp:val=&quot;001D0E81&quot;/&gt;&lt;wsp:rsid wsp:val=&quot;001D1472&quot;/&gt;&lt;wsp:rsid wsp:val=&quot;001D18E6&quot;/&gt;&lt;wsp:rsid wsp:val=&quot;001D1A78&quot;/&gt;&lt;wsp:rsid wsp:val=&quot;001D26E0&quot;/&gt;&lt;wsp:rsid wsp:val=&quot;001D2B45&quot;/&gt;&lt;wsp:rsid wsp:val=&quot;001D2B6E&quot;/&gt;&lt;wsp:rsid wsp:val=&quot;001D2BD5&quot;/&gt;&lt;wsp:rsid wsp:val=&quot;001D2DF0&quot;/&gt;&lt;wsp:rsid wsp:val=&quot;001D2FAB&quot;/&gt;&lt;wsp:rsid wsp:val=&quot;001D33B5&quot;/&gt;&lt;wsp:rsid wsp:val=&quot;001D35F9&quot;/&gt;&lt;wsp:rsid wsp:val=&quot;001D3612&quot;/&gt;&lt;wsp:rsid wsp:val=&quot;001D3B5D&quot;/&gt;&lt;wsp:rsid wsp:val=&quot;001D3BAB&quot;/&gt;&lt;wsp:rsid wsp:val=&quot;001D3FDA&quot;/&gt;&lt;wsp:rsid wsp:val=&quot;001D44A8&quot;/&gt;&lt;wsp:rsid wsp:val=&quot;001D4695&quot;/&gt;&lt;wsp:rsid wsp:val=&quot;001D4935&quot;/&gt;&lt;wsp:rsid wsp:val=&quot;001D4AD4&quot;/&gt;&lt;wsp:rsid wsp:val=&quot;001D4F2B&quot;/&gt;&lt;wsp:rsid wsp:val=&quot;001D54D5&quot;/&gt;&lt;wsp:rsid wsp:val=&quot;001D5801&quot;/&gt;&lt;wsp:rsid wsp:val=&quot;001D5BCE&quot;/&gt;&lt;wsp:rsid wsp:val=&quot;001D6148&quot;/&gt;&lt;wsp:rsid wsp:val=&quot;001D6654&quot;/&gt;&lt;wsp:rsid wsp:val=&quot;001D6A1E&quot;/&gt;&lt;wsp:rsid wsp:val=&quot;001D6F0E&quot;/&gt;&lt;wsp:rsid wsp:val=&quot;001D7073&quot;/&gt;&lt;wsp:rsid wsp:val=&quot;001D76D8&quot;/&gt;&lt;wsp:rsid wsp:val=&quot;001D785B&quot;/&gt;&lt;wsp:rsid wsp:val=&quot;001D7C93&quot;/&gt;&lt;wsp:rsid wsp:val=&quot;001D7E44&quot;/&gt;&lt;wsp:rsid wsp:val=&quot;001E031B&quot;/&gt;&lt;wsp:rsid wsp:val=&quot;001E03DE&quot;/&gt;&lt;wsp:rsid wsp:val=&quot;001E068A&quot;/&gt;&lt;wsp:rsid wsp:val=&quot;001E0729&quot;/&gt;&lt;wsp:rsid wsp:val=&quot;001E1760&quot;/&gt;&lt;wsp:rsid wsp:val=&quot;001E1AAD&quot;/&gt;&lt;wsp:rsid wsp:val=&quot;001E1F48&quot;/&gt;&lt;wsp:rsid wsp:val=&quot;001E2224&quot;/&gt;&lt;wsp:rsid wsp:val=&quot;001E24F7&quot;/&gt;&lt;wsp:rsid wsp:val=&quot;001E2DA5&quot;/&gt;&lt;wsp:rsid wsp:val=&quot;001E32A5&quot;/&gt;&lt;wsp:rsid wsp:val=&quot;001E347B&quot;/&gt;&lt;wsp:rsid wsp:val=&quot;001E3F3B&quot;/&gt;&lt;wsp:rsid wsp:val=&quot;001E401E&quot;/&gt;&lt;wsp:rsid wsp:val=&quot;001E4261&quot;/&gt;&lt;wsp:rsid wsp:val=&quot;001E45E4&quot;/&gt;&lt;wsp:rsid wsp:val=&quot;001E4BC6&quot;/&gt;&lt;wsp:rsid wsp:val=&quot;001E4C48&quot;/&gt;&lt;wsp:rsid wsp:val=&quot;001E4F36&quot;/&gt;&lt;wsp:rsid wsp:val=&quot;001E570A&quot;/&gt;&lt;wsp:rsid wsp:val=&quot;001E596A&quot;/&gt;&lt;wsp:rsid wsp:val=&quot;001E59D7&quot;/&gt;&lt;wsp:rsid wsp:val=&quot;001E5A0D&quot;/&gt;&lt;wsp:rsid wsp:val=&quot;001E5AD4&quot;/&gt;&lt;wsp:rsid wsp:val=&quot;001E5AD5&quot;/&gt;&lt;wsp:rsid wsp:val=&quot;001E5C5B&quot;/&gt;&lt;wsp:rsid wsp:val=&quot;001E6428&quot;/&gt;&lt;wsp:rsid wsp:val=&quot;001E6758&quot;/&gt;&lt;wsp:rsid wsp:val=&quot;001E6EB4&quot;/&gt;&lt;wsp:rsid wsp:val=&quot;001E70C7&quot;/&gt;&lt;wsp:rsid wsp:val=&quot;001E7226&quot;/&gt;&lt;wsp:rsid wsp:val=&quot;001E7275&quot;/&gt;&lt;wsp:rsid wsp:val=&quot;001E75C4&quot;/&gt;&lt;wsp:rsid wsp:val=&quot;001E7D99&quot;/&gt;&lt;wsp:rsid wsp:val=&quot;001F073A&quot;/&gt;&lt;wsp:rsid wsp:val=&quot;001F0892&quot;/&gt;&lt;wsp:rsid wsp:val=&quot;001F0B0B&quot;/&gt;&lt;wsp:rsid wsp:val=&quot;001F11A4&quot;/&gt;&lt;wsp:rsid wsp:val=&quot;001F1745&quot;/&gt;&lt;wsp:rsid wsp:val=&quot;001F179C&quot;/&gt;&lt;wsp:rsid wsp:val=&quot;001F1EE0&quot;/&gt;&lt;wsp:rsid wsp:val=&quot;001F230B&quot;/&gt;&lt;wsp:rsid wsp:val=&quot;001F2315&quot;/&gt;&lt;wsp:rsid wsp:val=&quot;001F2418&quot;/&gt;&lt;wsp:rsid wsp:val=&quot;001F2C4F&quot;/&gt;&lt;wsp:rsid wsp:val=&quot;001F322F&quot;/&gt;&lt;wsp:rsid wsp:val=&quot;001F3560&quot;/&gt;&lt;wsp:rsid wsp:val=&quot;001F3906&quot;/&gt;&lt;wsp:rsid wsp:val=&quot;001F3918&quot;/&gt;&lt;wsp:rsid wsp:val=&quot;001F395A&quot;/&gt;&lt;wsp:rsid wsp:val=&quot;001F3A68&quot;/&gt;&lt;wsp:rsid wsp:val=&quot;001F401D&quot;/&gt;&lt;wsp:rsid wsp:val=&quot;001F4063&quot;/&gt;&lt;wsp:rsid wsp:val=&quot;001F4312&quot;/&gt;&lt;wsp:rsid wsp:val=&quot;001F49E3&quot;/&gt;&lt;wsp:rsid wsp:val=&quot;001F4B8C&quot;/&gt;&lt;wsp:rsid wsp:val=&quot;001F4BA2&quot;/&gt;&lt;wsp:rsid wsp:val=&quot;001F4F88&quot;/&gt;&lt;wsp:rsid wsp:val=&quot;001F54E1&quot;/&gt;&lt;wsp:rsid wsp:val=&quot;001F5C7C&quot;/&gt;&lt;wsp:rsid wsp:val=&quot;001F5E99&quot;/&gt;&lt;wsp:rsid wsp:val=&quot;001F677D&quot;/&gt;&lt;wsp:rsid wsp:val=&quot;001F6904&quot;/&gt;&lt;wsp:rsid wsp:val=&quot;001F6C6D&quot;/&gt;&lt;wsp:rsid wsp:val=&quot;001F7140&quot;/&gt;&lt;wsp:rsid wsp:val=&quot;001F776C&quot;/&gt;&lt;wsp:rsid wsp:val=&quot;001F7812&quot;/&gt;&lt;wsp:rsid wsp:val=&quot;001F7ECC&quot;/&gt;&lt;wsp:rsid wsp:val=&quot;0020031A&quot;/&gt;&lt;wsp:rsid wsp:val=&quot;002005E5&quot;/&gt;&lt;wsp:rsid wsp:val=&quot;002009F9&quot;/&gt;&lt;wsp:rsid wsp:val=&quot;00200AEC&quot;/&gt;&lt;wsp:rsid wsp:val=&quot;002013AA&quot;/&gt;&lt;wsp:rsid wsp:val=&quot;002017AD&quot;/&gt;&lt;wsp:rsid wsp:val=&quot;00202623&quot;/&gt;&lt;wsp:rsid wsp:val=&quot;00202982&quot;/&gt;&lt;wsp:rsid wsp:val=&quot;002029A9&quot;/&gt;&lt;wsp:rsid wsp:val=&quot;00202A7D&quot;/&gt;&lt;wsp:rsid wsp:val=&quot;00202CC2&quot;/&gt;&lt;wsp:rsid wsp:val=&quot;00203122&quot;/&gt;&lt;wsp:rsid wsp:val=&quot;00203261&quot;/&gt;&lt;wsp:rsid wsp:val=&quot;0020357F&quot;/&gt;&lt;wsp:rsid wsp:val=&quot;00203601&quot;/&gt;&lt;wsp:rsid wsp:val=&quot;00203921&quot;/&gt;&lt;wsp:rsid wsp:val=&quot;00203F47&quot;/&gt;&lt;wsp:rsid wsp:val=&quot;0020424C&quot;/&gt;&lt;wsp:rsid wsp:val=&quot;002043D5&quot;/&gt;&lt;wsp:rsid wsp:val=&quot;0020451E&quot;/&gt;&lt;wsp:rsid wsp:val=&quot;00204B8D&quot;/&gt;&lt;wsp:rsid wsp:val=&quot;00204D00&quot;/&gt;&lt;wsp:rsid wsp:val=&quot;00204DCF&quot;/&gt;&lt;wsp:rsid wsp:val=&quot;002058AC&quot;/&gt;&lt;wsp:rsid wsp:val=&quot;00205A36&quot;/&gt;&lt;wsp:rsid wsp:val=&quot;00205A41&quot;/&gt;&lt;wsp:rsid wsp:val=&quot;00205BE1&quot;/&gt;&lt;wsp:rsid wsp:val=&quot;0020661B&quot;/&gt;&lt;wsp:rsid wsp:val=&quot;00206ACA&quot;/&gt;&lt;wsp:rsid wsp:val=&quot;00206BB6&quot;/&gt;&lt;wsp:rsid wsp:val=&quot;00206DA6&quot;/&gt;&lt;wsp:rsid wsp:val=&quot;002078C7&quot;/&gt;&lt;wsp:rsid wsp:val=&quot;00207A54&quot;/&gt;&lt;wsp:rsid wsp:val=&quot;00207C3E&quot;/&gt;&lt;wsp:rsid wsp:val=&quot;00207D7C&quot;/&gt;&lt;wsp:rsid wsp:val=&quot;0021089C&quot;/&gt;&lt;wsp:rsid wsp:val=&quot;00210D89&quot;/&gt;&lt;wsp:rsid wsp:val=&quot;00211566&quot;/&gt;&lt;wsp:rsid wsp:val=&quot;002118CD&quot;/&gt;&lt;wsp:rsid wsp:val=&quot;00211AA5&quot;/&gt;&lt;wsp:rsid wsp:val=&quot;00212030&quot;/&gt;&lt;wsp:rsid wsp:val=&quot;002125EA&quot;/&gt;&lt;wsp:rsid wsp:val=&quot;00212CCA&quot;/&gt;&lt;wsp:rsid wsp:val=&quot;00212EC4&quot;/&gt;&lt;wsp:rsid wsp:val=&quot;00212F17&quot;/&gt;&lt;wsp:rsid wsp:val=&quot;00213486&quot;/&gt;&lt;wsp:rsid wsp:val=&quot;0021353E&quot;/&gt;&lt;wsp:rsid wsp:val=&quot;0021366F&quot;/&gt;&lt;wsp:rsid wsp:val=&quot;00213D33&quot;/&gt;&lt;wsp:rsid wsp:val=&quot;00214364&quot;/&gt;&lt;wsp:rsid wsp:val=&quot;0021495F&quot;/&gt;&lt;wsp:rsid wsp:val=&quot;002150F8&quot;/&gt;&lt;wsp:rsid wsp:val=&quot;002153D2&quot;/&gt;&lt;wsp:rsid wsp:val=&quot;002157DC&quot;/&gt;&lt;wsp:rsid wsp:val=&quot;00215AEF&quot;/&gt;&lt;wsp:rsid wsp:val=&quot;002160B4&quot;/&gt;&lt;wsp:rsid wsp:val=&quot;002168CE&quot;/&gt;&lt;wsp:rsid wsp:val=&quot;00216A79&quot;/&gt;&lt;wsp:rsid wsp:val=&quot;00216FCD&quot;/&gt;&lt;wsp:rsid wsp:val=&quot;00217179&quot;/&gt;&lt;wsp:rsid wsp:val=&quot;00217964&quot;/&gt;&lt;wsp:rsid wsp:val=&quot;00217CFA&quot;/&gt;&lt;wsp:rsid wsp:val=&quot;00220307&quot;/&gt;&lt;wsp:rsid wsp:val=&quot;002206DE&quot;/&gt;&lt;wsp:rsid wsp:val=&quot;002208DF&quot;/&gt;&lt;wsp:rsid wsp:val=&quot;002224C1&quot;/&gt;&lt;wsp:rsid wsp:val=&quot;00222A8B&quot;/&gt;&lt;wsp:rsid wsp:val=&quot;00222BB9&quot;/&gt;&lt;wsp:rsid wsp:val=&quot;00222E7E&quot;/&gt;&lt;wsp:rsid wsp:val=&quot;002236DD&quot;/&gt;&lt;wsp:rsid wsp:val=&quot;00223872&quot;/&gt;&lt;wsp:rsid wsp:val=&quot;00223992&quot;/&gt;&lt;wsp:rsid wsp:val=&quot;00223F65&quot;/&gt;&lt;wsp:rsid wsp:val=&quot;002246EF&quot;/&gt;&lt;wsp:rsid wsp:val=&quot;00224702&quot;/&gt;&lt;wsp:rsid wsp:val=&quot;00224EF5&quot;/&gt;&lt;wsp:rsid wsp:val=&quot;002252A3&quot;/&gt;&lt;wsp:rsid wsp:val=&quot;0022595C&quot;/&gt;&lt;wsp:rsid wsp:val=&quot;00225A86&quot;/&gt;&lt;wsp:rsid wsp:val=&quot;00225A8D&quot;/&gt;&lt;wsp:rsid wsp:val=&quot;00225A90&quot;/&gt;&lt;wsp:rsid wsp:val=&quot;00226027&quot;/&gt;&lt;wsp:rsid wsp:val=&quot;00226040&quot;/&gt;&lt;wsp:rsid wsp:val=&quot;00226415&quot;/&gt;&lt;wsp:rsid wsp:val=&quot;00226F20&quot;/&gt;&lt;wsp:rsid wsp:val=&quot;002270FB&quot;/&gt;&lt;wsp:rsid wsp:val=&quot;00230881&quot;/&gt;&lt;wsp:rsid wsp:val=&quot;002308E8&quot;/&gt;&lt;wsp:rsid wsp:val=&quot;00230BF5&quot;/&gt;&lt;wsp:rsid wsp:val=&quot;00230E2F&quot;/&gt;&lt;wsp:rsid wsp:val=&quot;00231609&quot;/&gt;&lt;wsp:rsid wsp:val=&quot;00231703&quot;/&gt;&lt;wsp:rsid wsp:val=&quot;00231719&quot;/&gt;&lt;wsp:rsid wsp:val=&quot;00231F5B&quot;/&gt;&lt;wsp:rsid wsp:val=&quot;002320A4&quot;/&gt;&lt;wsp:rsid wsp:val=&quot;0023375F&quot;/&gt;&lt;wsp:rsid wsp:val=&quot;00233910&quot;/&gt;&lt;wsp:rsid wsp:val=&quot;00233A0E&quot;/&gt;&lt;wsp:rsid wsp:val=&quot;00233B91&quot;/&gt;&lt;wsp:rsid wsp:val=&quot;00233BF0&quot;/&gt;&lt;wsp:rsid wsp:val=&quot;00233E8C&quot;/&gt;&lt;wsp:rsid wsp:val=&quot;00234410&quot;/&gt;&lt;wsp:rsid wsp:val=&quot;0023449B&quot;/&gt;&lt;wsp:rsid wsp:val=&quot;00234540&quot;/&gt;&lt;wsp:rsid wsp:val=&quot;002346B9&quot;/&gt;&lt;wsp:rsid wsp:val=&quot;002347C8&quot;/&gt;&lt;wsp:rsid wsp:val=&quot;00234937&quot;/&gt;&lt;wsp:rsid wsp:val=&quot;0023498C&quot;/&gt;&lt;wsp:rsid wsp:val=&quot;00234B9D&quot;/&gt;&lt;wsp:rsid wsp:val=&quot;00234DCB&quot;/&gt;&lt;wsp:rsid wsp:val=&quot;00234F43&quot;/&gt;&lt;wsp:rsid wsp:val=&quot;00235140&quot;/&gt;&lt;wsp:rsid wsp:val=&quot;00235370&quot;/&gt;&lt;wsp:rsid wsp:val=&quot;00235668&quot;/&gt;&lt;wsp:rsid wsp:val=&quot;00235CCE&quot;/&gt;&lt;wsp:rsid wsp:val=&quot;00235DB8&quot;/&gt;&lt;wsp:rsid wsp:val=&quot;00235E84&quot;/&gt;&lt;wsp:rsid wsp:val=&quot;00236226&quot;/&gt;&lt;wsp:rsid wsp:val=&quot;002363F2&quot;/&gt;&lt;wsp:rsid wsp:val=&quot;00236A37&quot;/&gt;&lt;wsp:rsid wsp:val=&quot;00236A91&quot;/&gt;&lt;wsp:rsid wsp:val=&quot;00236B94&quot;/&gt;&lt;wsp:rsid wsp:val=&quot;0023716A&quot;/&gt;&lt;wsp:rsid wsp:val=&quot;00237351&quot;/&gt;&lt;wsp:rsid wsp:val=&quot;0023772A&quot;/&gt;&lt;wsp:rsid wsp:val=&quot;00237ADA&quot;/&gt;&lt;wsp:rsid wsp:val=&quot;0024020D&quot;/&gt;&lt;wsp:rsid wsp:val=&quot;00240733&quot;/&gt;&lt;wsp:rsid wsp:val=&quot;002407A6&quot;/&gt;&lt;wsp:rsid wsp:val=&quot;002411F3&quot;/&gt;&lt;wsp:rsid wsp:val=&quot;00241C4A&quot;/&gt;&lt;wsp:rsid wsp:val=&quot;00241F5E&quot;/&gt;&lt;wsp:rsid wsp:val=&quot;002420B0&quot;/&gt;&lt;wsp:rsid wsp:val=&quot;0024222B&quot;/&gt;&lt;wsp:rsid wsp:val=&quot;00242278&quot;/&gt;&lt;wsp:rsid wsp:val=&quot;002425F3&quot;/&gt;&lt;wsp:rsid wsp:val=&quot;00242A1F&quot;/&gt;&lt;wsp:rsid wsp:val=&quot;00242D22&quot;/&gt;&lt;wsp:rsid wsp:val=&quot;002437AF&quot;/&gt;&lt;wsp:rsid wsp:val=&quot;00243952&quot;/&gt;&lt;wsp:rsid wsp:val=&quot;00243B64&quot;/&gt;&lt;wsp:rsid wsp:val=&quot;002441A4&quot;/&gt;&lt;wsp:rsid wsp:val=&quot;002441C4&quot;/&gt;&lt;wsp:rsid wsp:val=&quot;002447C4&quot;/&gt;&lt;wsp:rsid wsp:val=&quot;0024489F&quot;/&gt;&lt;wsp:rsid wsp:val=&quot;00244D85&quot;/&gt;&lt;wsp:rsid wsp:val=&quot;00245177&quot;/&gt;&lt;wsp:rsid wsp:val=&quot;0024518A&quot;/&gt;&lt;wsp:rsid wsp:val=&quot;0024525D&quot;/&gt;&lt;wsp:rsid wsp:val=&quot;002455DD&quot;/&gt;&lt;wsp:rsid wsp:val=&quot;0024592E&quot;/&gt;&lt;wsp:rsid wsp:val=&quot;002459DC&quot;/&gt;&lt;wsp:rsid wsp:val=&quot;0024694D&quot;/&gt;&lt;wsp:rsid wsp:val=&quot;00246B7A&quot;/&gt;&lt;wsp:rsid wsp:val=&quot;002473B0&quot;/&gt;&lt;wsp:rsid wsp:val=&quot;00247BEC&quot;/&gt;&lt;wsp:rsid wsp:val=&quot;00250A0F&quot;/&gt;&lt;wsp:rsid wsp:val=&quot;00250D71&quot;/&gt;&lt;wsp:rsid wsp:val=&quot;0025175A&quot;/&gt;&lt;wsp:rsid wsp:val=&quot;00251FB6&quot;/&gt;&lt;wsp:rsid wsp:val=&quot;002523A4&quot;/&gt;&lt;wsp:rsid wsp:val=&quot;0025245D&quot;/&gt;&lt;wsp:rsid wsp:val=&quot;002524C2&quot;/&gt;&lt;wsp:rsid wsp:val=&quot;002527CE&quot;/&gt;&lt;wsp:rsid wsp:val=&quot;00253034&quot;/&gt;&lt;wsp:rsid wsp:val=&quot;00253371&quot;/&gt;&lt;wsp:rsid wsp:val=&quot;002539C6&quot;/&gt;&lt;wsp:rsid wsp:val=&quot;00253B94&quot;/&gt;&lt;wsp:rsid wsp:val=&quot;00253E92&quot;/&gt;&lt;wsp:rsid wsp:val=&quot;002541CD&quot;/&gt;&lt;wsp:rsid wsp:val=&quot;00254B3A&quot;/&gt;&lt;wsp:rsid wsp:val=&quot;00254E47&quot;/&gt;&lt;wsp:rsid wsp:val=&quot;002551FF&quot;/&gt;&lt;wsp:rsid wsp:val=&quot;002558DD&quot;/&gt;&lt;wsp:rsid wsp:val=&quot;0025618E&quot;/&gt;&lt;wsp:rsid wsp:val=&quot;002569BF&quot;/&gt;&lt;wsp:rsid wsp:val=&quot;00256C57&quot;/&gt;&lt;wsp:rsid wsp:val=&quot;00256CA5&quot;/&gt;&lt;wsp:rsid wsp:val=&quot;00256FE7&quot;/&gt;&lt;wsp:rsid wsp:val=&quot;00257A6B&quot;/&gt;&lt;wsp:rsid wsp:val=&quot;00260684&quot;/&gt;&lt;wsp:rsid wsp:val=&quot;00260FB2&quot;/&gt;&lt;wsp:rsid wsp:val=&quot;002614C0&quot;/&gt;&lt;wsp:rsid wsp:val=&quot;0026207B&quot;/&gt;&lt;wsp:rsid wsp:val=&quot;002620CF&quot;/&gt;&lt;wsp:rsid wsp:val=&quot;00262211&quot;/&gt;&lt;wsp:rsid wsp:val=&quot;0026279E&quot;/&gt;&lt;wsp:rsid wsp:val=&quot;002629C4&quot;/&gt;&lt;wsp:rsid wsp:val=&quot;00263338&quot;/&gt;&lt;wsp:rsid wsp:val=&quot;002639EE&quot;/&gt;&lt;wsp:rsid wsp:val=&quot;00263D3E&quot;/&gt;&lt;wsp:rsid wsp:val=&quot;00264067&quot;/&gt;&lt;wsp:rsid wsp:val=&quot;002643AD&quot;/&gt;&lt;wsp:rsid wsp:val=&quot;00264B1C&quot;/&gt;&lt;wsp:rsid wsp:val=&quot;00264D87&quot;/&gt;&lt;wsp:rsid wsp:val=&quot;0026501B&quot;/&gt;&lt;wsp:rsid wsp:val=&quot;002654A2&quot;/&gt;&lt;wsp:rsid wsp:val=&quot;00265806&quot;/&gt;&lt;wsp:rsid wsp:val=&quot;00265A0B&quot;/&gt;&lt;wsp:rsid wsp:val=&quot;00265F50&quot;/&gt;&lt;wsp:rsid wsp:val=&quot;00266085&quot;/&gt;&lt;wsp:rsid wsp:val=&quot;002660DA&quot;/&gt;&lt;wsp:rsid wsp:val=&quot;002662AB&quot;/&gt;&lt;wsp:rsid wsp:val=&quot;0026638B&quot;/&gt;&lt;wsp:rsid wsp:val=&quot;00267525&quot;/&gt;&lt;wsp:rsid wsp:val=&quot;002701CE&quot;/&gt;&lt;wsp:rsid wsp:val=&quot;00271042&quot;/&gt;&lt;wsp:rsid wsp:val=&quot;0027122C&quot;/&gt;&lt;wsp:rsid wsp:val=&quot;0027129C&quot;/&gt;&lt;wsp:rsid wsp:val=&quot;00271878&quot;/&gt;&lt;wsp:rsid wsp:val=&quot;002719F8&quot;/&gt;&lt;wsp:rsid wsp:val=&quot;00271D53&quot;/&gt;&lt;wsp:rsid wsp:val=&quot;00271F63&quot;/&gt;&lt;wsp:rsid wsp:val=&quot;0027248E&quot;/&gt;&lt;wsp:rsid wsp:val=&quot;002729DF&quot;/&gt;&lt;wsp:rsid wsp:val=&quot;002731EF&quot;/&gt;&lt;wsp:rsid wsp:val=&quot;0027331D&quot;/&gt;&lt;wsp:rsid wsp:val=&quot;0027333D&quot;/&gt;&lt;wsp:rsid wsp:val=&quot;002733A9&quot;/&gt;&lt;wsp:rsid wsp:val=&quot;0027376E&quot;/&gt;&lt;wsp:rsid wsp:val=&quot;00273EB7&quot;/&gt;&lt;wsp:rsid wsp:val=&quot;00273F05&quot;/&gt;&lt;wsp:rsid wsp:val=&quot;002746C3&quot;/&gt;&lt;wsp:rsid wsp:val=&quot;002749A8&quot;/&gt;&lt;wsp:rsid wsp:val=&quot;00275292&quot;/&gt;&lt;wsp:rsid wsp:val=&quot;0027558A&quot;/&gt;&lt;wsp:rsid wsp:val=&quot;00275CD3&quot;/&gt;&lt;wsp:rsid wsp:val=&quot;00275EA0&quot;/&gt;&lt;wsp:rsid wsp:val=&quot;00275FD8&quot;/&gt;&lt;wsp:rsid wsp:val=&quot;0027624B&quot;/&gt;&lt;wsp:rsid wsp:val=&quot;002762DF&quot;/&gt;&lt;wsp:rsid wsp:val=&quot;0027647D&quot;/&gt;&lt;wsp:rsid wsp:val=&quot;002767C0&quot;/&gt;&lt;wsp:rsid wsp:val=&quot;00276917&quot;/&gt;&lt;wsp:rsid wsp:val=&quot;00276A7D&quot;/&gt;&lt;wsp:rsid wsp:val=&quot;00276FC0&quot;/&gt;&lt;wsp:rsid wsp:val=&quot;00277612&quot;/&gt;&lt;wsp:rsid wsp:val=&quot;0027777A&quot;/&gt;&lt;wsp:rsid wsp:val=&quot;00277914&quot;/&gt;&lt;wsp:rsid wsp:val=&quot;00277946&quot;/&gt;&lt;wsp:rsid wsp:val=&quot;00277D95&quot;/&gt;&lt;wsp:rsid wsp:val=&quot;0028031F&quot;/&gt;&lt;wsp:rsid wsp:val=&quot;0028058B&quot;/&gt;&lt;wsp:rsid wsp:val=&quot;0028110B&quot;/&gt;&lt;wsp:rsid wsp:val=&quot;00281209&quot;/&gt;&lt;wsp:rsid wsp:val=&quot;0028158A&quot;/&gt;&lt;wsp:rsid wsp:val=&quot;00281F80&quot;/&gt;&lt;wsp:rsid wsp:val=&quot;0028217B&quot;/&gt;&lt;wsp:rsid wsp:val=&quot;00282264&quot;/&gt;&lt;wsp:rsid wsp:val=&quot;00282727&quot;/&gt;&lt;wsp:rsid wsp:val=&quot;00282906&quot;/&gt;&lt;wsp:rsid wsp:val=&quot;00282B6F&quot;/&gt;&lt;wsp:rsid wsp:val=&quot;00282F99&quot;/&gt;&lt;wsp:rsid wsp:val=&quot;00282FB7&quot;/&gt;&lt;wsp:rsid wsp:val=&quot;00282FC6&quot;/&gt;&lt;wsp:rsid wsp:val=&quot;002834C1&quot;/&gt;&lt;wsp:rsid wsp:val=&quot;002837BC&quot;/&gt;&lt;wsp:rsid wsp:val=&quot;00283EAE&quot;/&gt;&lt;wsp:rsid wsp:val=&quot;0028433F&quot;/&gt;&lt;wsp:rsid wsp:val=&quot;00284EF9&quot;/&gt;&lt;wsp:rsid wsp:val=&quot;00284F75&quot;/&gt;&lt;wsp:rsid wsp:val=&quot;00285283&quot;/&gt;&lt;wsp:rsid wsp:val=&quot;002852F0&quot;/&gt;&lt;wsp:rsid wsp:val=&quot;00285635&quot;/&gt;&lt;wsp:rsid wsp:val=&quot;00285CAC&quot;/&gt;&lt;wsp:rsid wsp:val=&quot;00285D5C&quot;/&gt;&lt;wsp:rsid wsp:val=&quot;00285E9A&quot;/&gt;&lt;wsp:rsid wsp:val=&quot;00285F5B&quot;/&gt;&lt;wsp:rsid wsp:val=&quot;00286696&quot;/&gt;&lt;wsp:rsid wsp:val=&quot;00286836&quot;/&gt;&lt;wsp:rsid wsp:val=&quot;002868F3&quot;/&gt;&lt;wsp:rsid wsp:val=&quot;00286905&quot;/&gt;&lt;wsp:rsid wsp:val=&quot;00286981&quot;/&gt;&lt;wsp:rsid wsp:val=&quot;00286C5E&quot;/&gt;&lt;wsp:rsid wsp:val=&quot;00286DCA&quot;/&gt;&lt;wsp:rsid wsp:val=&quot;00286FAF&quot;/&gt;&lt;wsp:rsid wsp:val=&quot;0028713E&quot;/&gt;&lt;wsp:rsid wsp:val=&quot;00287742&quot;/&gt;&lt;wsp:rsid wsp:val=&quot;002901C8&quot;/&gt;&lt;wsp:rsid wsp:val=&quot;00290548&quot;/&gt;&lt;wsp:rsid wsp:val=&quot;00290B8C&quot;/&gt;&lt;wsp:rsid wsp:val=&quot;00290C2C&quot;/&gt;&lt;wsp:rsid wsp:val=&quot;00291245&quot;/&gt;&lt;wsp:rsid wsp:val=&quot;0029153B&quot;/&gt;&lt;wsp:rsid wsp:val=&quot;00291DB1&quot;/&gt;&lt;wsp:rsid wsp:val=&quot;00291EF2&quot;/&gt;&lt;wsp:rsid wsp:val=&quot;002921BB&quot;/&gt;&lt;wsp:rsid wsp:val=&quot;002922BD&quot;/&gt;&lt;wsp:rsid wsp:val=&quot;00292394&quot;/&gt;&lt;wsp:rsid wsp:val=&quot;00292B30&quot;/&gt;&lt;wsp:rsid wsp:val=&quot;00292BE2&quot;/&gt;&lt;wsp:rsid wsp:val=&quot;00292D93&quot;/&gt;&lt;wsp:rsid wsp:val=&quot;00293138&quot;/&gt;&lt;wsp:rsid wsp:val=&quot;0029317A&quot;/&gt;&lt;wsp:rsid wsp:val=&quot;002934B9&quot;/&gt;&lt;wsp:rsid wsp:val=&quot;002942A0&quot;/&gt;&lt;wsp:rsid wsp:val=&quot;0029498B&quot;/&gt;&lt;wsp:rsid wsp:val=&quot;002949DB&quot;/&gt;&lt;wsp:rsid wsp:val=&quot;00294D3D&quot;/&gt;&lt;wsp:rsid wsp:val=&quot;002958D6&quot;/&gt;&lt;wsp:rsid wsp:val=&quot;00295D34&quot;/&gt;&lt;wsp:rsid wsp:val=&quot;00295FF1&quot;/&gt;&lt;wsp:rsid wsp:val=&quot;00296672&quot;/&gt;&lt;wsp:rsid wsp:val=&quot;00296ADB&quot;/&gt;&lt;wsp:rsid wsp:val=&quot;00296C9D&quot;/&gt;&lt;wsp:rsid wsp:val=&quot;0029713D&quot;/&gt;&lt;wsp:rsid wsp:val=&quot;00297293&quot;/&gt;&lt;wsp:rsid wsp:val=&quot;002976BB&quot;/&gt;&lt;wsp:rsid wsp:val=&quot;00297EFE&quot;/&gt;&lt;wsp:rsid wsp:val=&quot;002A0178&quot;/&gt;&lt;wsp:rsid wsp:val=&quot;002A057D&quot;/&gt;&lt;wsp:rsid wsp:val=&quot;002A07A0&quot;/&gt;&lt;wsp:rsid wsp:val=&quot;002A07F7&quot;/&gt;&lt;wsp:rsid wsp:val=&quot;002A17A4&quot;/&gt;&lt;wsp:rsid wsp:val=&quot;002A197A&quot;/&gt;&lt;wsp:rsid wsp:val=&quot;002A1AB5&quot;/&gt;&lt;wsp:rsid wsp:val=&quot;002A1B00&quot;/&gt;&lt;wsp:rsid wsp:val=&quot;002A1B20&quot;/&gt;&lt;wsp:rsid wsp:val=&quot;002A1F06&quot;/&gt;&lt;wsp:rsid wsp:val=&quot;002A2135&quot;/&gt;&lt;wsp:rsid wsp:val=&quot;002A26BF&quot;/&gt;&lt;wsp:rsid wsp:val=&quot;002A2E38&quot;/&gt;&lt;wsp:rsid wsp:val=&quot;002A3B3A&quot;/&gt;&lt;wsp:rsid wsp:val=&quot;002A403F&quot;/&gt;&lt;wsp:rsid wsp:val=&quot;002A4184&quot;/&gt;&lt;wsp:rsid wsp:val=&quot;002A4743&quot;/&gt;&lt;wsp:rsid wsp:val=&quot;002A47CB&quot;/&gt;&lt;wsp:rsid wsp:val=&quot;002A47EB&quot;/&gt;&lt;wsp:rsid wsp:val=&quot;002A48C1&quot;/&gt;&lt;wsp:rsid wsp:val=&quot;002A4BC3&quot;/&gt;&lt;wsp:rsid wsp:val=&quot;002A4ED5&quot;/&gt;&lt;wsp:rsid wsp:val=&quot;002A4F57&quot;/&gt;&lt;wsp:rsid wsp:val=&quot;002A511D&quot;/&gt;&lt;wsp:rsid wsp:val=&quot;002A573E&quot;/&gt;&lt;wsp:rsid wsp:val=&quot;002A5821&quot;/&gt;&lt;wsp:rsid wsp:val=&quot;002A58CA&quot;/&gt;&lt;wsp:rsid wsp:val=&quot;002A596D&quot;/&gt;&lt;wsp:rsid wsp:val=&quot;002A645A&quot;/&gt;&lt;wsp:rsid wsp:val=&quot;002A71BA&quot;/&gt;&lt;wsp:rsid wsp:val=&quot;002A75D0&quot;/&gt;&lt;wsp:rsid wsp:val=&quot;002A7A36&quot;/&gt;&lt;wsp:rsid wsp:val=&quot;002A7D15&quot;/&gt;&lt;wsp:rsid wsp:val=&quot;002A7DEF&quot;/&gt;&lt;wsp:rsid wsp:val=&quot;002B00D9&quot;/&gt;&lt;wsp:rsid wsp:val=&quot;002B013C&quot;/&gt;&lt;wsp:rsid wsp:val=&quot;002B01E7&quot;/&gt;&lt;wsp:rsid wsp:val=&quot;002B0A58&quot;/&gt;&lt;wsp:rsid wsp:val=&quot;002B0ECA&quot;/&gt;&lt;wsp:rsid wsp:val=&quot;002B0F93&quot;/&gt;&lt;wsp:rsid wsp:val=&quot;002B193C&quot;/&gt;&lt;wsp:rsid wsp:val=&quot;002B23D6&quot;/&gt;&lt;wsp:rsid wsp:val=&quot;002B2617&quot;/&gt;&lt;wsp:rsid wsp:val=&quot;002B279E&quot;/&gt;&lt;wsp:rsid wsp:val=&quot;002B28AD&quot;/&gt;&lt;wsp:rsid wsp:val=&quot;002B2E07&quot;/&gt;&lt;wsp:rsid wsp:val=&quot;002B2E2E&quot;/&gt;&lt;wsp:rsid wsp:val=&quot;002B30E0&quot;/&gt;&lt;wsp:rsid wsp:val=&quot;002B3201&quot;/&gt;&lt;wsp:rsid wsp:val=&quot;002B3221&quot;/&gt;&lt;wsp:rsid wsp:val=&quot;002B3680&quot;/&gt;&lt;wsp:rsid wsp:val=&quot;002B3B8B&quot;/&gt;&lt;wsp:rsid wsp:val=&quot;002B3E00&quot;/&gt;&lt;wsp:rsid wsp:val=&quot;002B41CB&quot;/&gt;&lt;wsp:rsid wsp:val=&quot;002B4842&quot;/&gt;&lt;wsp:rsid wsp:val=&quot;002B4846&quot;/&gt;&lt;wsp:rsid wsp:val=&quot;002B4A83&quot;/&gt;&lt;wsp:rsid wsp:val=&quot;002B4E93&quot;/&gt;&lt;wsp:rsid wsp:val=&quot;002B515E&quot;/&gt;&lt;wsp:rsid wsp:val=&quot;002B5547&quot;/&gt;&lt;wsp:rsid wsp:val=&quot;002B5549&quot;/&gt;&lt;wsp:rsid wsp:val=&quot;002B5D5A&quot;/&gt;&lt;wsp:rsid wsp:val=&quot;002B6065&quot;/&gt;&lt;wsp:rsid wsp:val=&quot;002B6093&quot;/&gt;&lt;wsp:rsid wsp:val=&quot;002B6815&quot;/&gt;&lt;wsp:rsid wsp:val=&quot;002B6D1A&quot;/&gt;&lt;wsp:rsid wsp:val=&quot;002B6D5D&quot;/&gt;&lt;wsp:rsid wsp:val=&quot;002B7977&quot;/&gt;&lt;wsp:rsid wsp:val=&quot;002B7BDD&quot;/&gt;&lt;wsp:rsid wsp:val=&quot;002B7C90&quot;/&gt;&lt;wsp:rsid wsp:val=&quot;002B7CC7&quot;/&gt;&lt;wsp:rsid wsp:val=&quot;002B7CEA&quot;/&gt;&lt;wsp:rsid wsp:val=&quot;002B7DCA&quot;/&gt;&lt;wsp:rsid wsp:val=&quot;002C0194&quot;/&gt;&lt;wsp:rsid wsp:val=&quot;002C03CE&quot;/&gt;&lt;wsp:rsid wsp:val=&quot;002C1763&quot;/&gt;&lt;wsp:rsid wsp:val=&quot;002C1EFE&quot;/&gt;&lt;wsp:rsid wsp:val=&quot;002C20C7&quot;/&gt;&lt;wsp:rsid wsp:val=&quot;002C21EA&quot;/&gt;&lt;wsp:rsid wsp:val=&quot;002C22A2&quot;/&gt;&lt;wsp:rsid wsp:val=&quot;002C267B&quot;/&gt;&lt;wsp:rsid wsp:val=&quot;002C2902&quot;/&gt;&lt;wsp:rsid wsp:val=&quot;002C2B5F&quot;/&gt;&lt;wsp:rsid wsp:val=&quot;002C2E7E&quot;/&gt;&lt;wsp:rsid wsp:val=&quot;002C3288&quot;/&gt;&lt;wsp:rsid wsp:val=&quot;002C39CD&quot;/&gt;&lt;wsp:rsid wsp:val=&quot;002C3B6F&quot;/&gt;&lt;wsp:rsid wsp:val=&quot;002C3E69&quot;/&gt;&lt;wsp:rsid wsp:val=&quot;002C452C&quot;/&gt;&lt;wsp:rsid wsp:val=&quot;002C4BE4&quot;/&gt;&lt;wsp:rsid wsp:val=&quot;002C4FDC&quot;/&gt;&lt;wsp:rsid wsp:val=&quot;002C5309&quot;/&gt;&lt;wsp:rsid wsp:val=&quot;002C53D3&quot;/&gt;&lt;wsp:rsid wsp:val=&quot;002C56C3&quot;/&gt;&lt;wsp:rsid wsp:val=&quot;002C5784&quot;/&gt;&lt;wsp:rsid wsp:val=&quot;002C582B&quot;/&gt;&lt;wsp:rsid wsp:val=&quot;002C58B2&quot;/&gt;&lt;wsp:rsid wsp:val=&quot;002C5AAF&quot;/&gt;&lt;wsp:rsid wsp:val=&quot;002C5E9F&quot;/&gt;&lt;wsp:rsid wsp:val=&quot;002C5F24&quot;/&gt;&lt;wsp:rsid wsp:val=&quot;002C6604&quot;/&gt;&lt;wsp:rsid wsp:val=&quot;002C6954&quot;/&gt;&lt;wsp:rsid wsp:val=&quot;002C6964&quot;/&gt;&lt;wsp:rsid wsp:val=&quot;002C73BC&quot;/&gt;&lt;wsp:rsid wsp:val=&quot;002C76A6&quot;/&gt;&lt;wsp:rsid wsp:val=&quot;002C7DBB&quot;/&gt;&lt;wsp:rsid wsp:val=&quot;002C7EF8&quot;/&gt;&lt;wsp:rsid wsp:val=&quot;002C7F0E&quot;/&gt;&lt;wsp:rsid wsp:val=&quot;002D0266&quot;/&gt;&lt;wsp:rsid wsp:val=&quot;002D0385&quot;/&gt;&lt;wsp:rsid wsp:val=&quot;002D04EF&quot;/&gt;&lt;wsp:rsid wsp:val=&quot;002D0BF8&quot;/&gt;&lt;wsp:rsid wsp:val=&quot;002D0C12&quot;/&gt;&lt;wsp:rsid wsp:val=&quot;002D0CB7&quot;/&gt;&lt;wsp:rsid wsp:val=&quot;002D0D0A&quot;/&gt;&lt;wsp:rsid wsp:val=&quot;002D0E25&quot;/&gt;&lt;wsp:rsid wsp:val=&quot;002D0F23&quot;/&gt;&lt;wsp:rsid wsp:val=&quot;002D14E1&quot;/&gt;&lt;wsp:rsid wsp:val=&quot;002D15AC&quot;/&gt;&lt;wsp:rsid wsp:val=&quot;002D1703&quot;/&gt;&lt;wsp:rsid wsp:val=&quot;002D196D&quot;/&gt;&lt;wsp:rsid wsp:val=&quot;002D1A50&quot;/&gt;&lt;wsp:rsid wsp:val=&quot;002D1BD3&quot;/&gt;&lt;wsp:rsid wsp:val=&quot;002D1C13&quot;/&gt;&lt;wsp:rsid wsp:val=&quot;002D22B5&quot;/&gt;&lt;wsp:rsid wsp:val=&quot;002D2585&quot;/&gt;&lt;wsp:rsid wsp:val=&quot;002D2754&quot;/&gt;&lt;wsp:rsid wsp:val=&quot;002D2AC8&quot;/&gt;&lt;wsp:rsid wsp:val=&quot;002D2B15&quot;/&gt;&lt;wsp:rsid wsp:val=&quot;002D32FC&quot;/&gt;&lt;wsp:rsid wsp:val=&quot;002D3B3F&quot;/&gt;&lt;wsp:rsid wsp:val=&quot;002D3BF6&quot;/&gt;&lt;wsp:rsid wsp:val=&quot;002D3FC6&quot;/&gt;&lt;wsp:rsid wsp:val=&quot;002D4030&quot;/&gt;&lt;wsp:rsid wsp:val=&quot;002D463D&quot;/&gt;&lt;wsp:rsid wsp:val=&quot;002D48C1&quot;/&gt;&lt;wsp:rsid wsp:val=&quot;002D4B56&quot;/&gt;&lt;wsp:rsid wsp:val=&quot;002D4CEA&quot;/&gt;&lt;wsp:rsid wsp:val=&quot;002D4E81&quot;/&gt;&lt;wsp:rsid wsp:val=&quot;002D5015&quot;/&gt;&lt;wsp:rsid wsp:val=&quot;002D539B&quot;/&gt;&lt;wsp:rsid wsp:val=&quot;002D5475&quot;/&gt;&lt;wsp:rsid wsp:val=&quot;002D5FB4&quot;/&gt;&lt;wsp:rsid wsp:val=&quot;002D6457&quot;/&gt;&lt;wsp:rsid wsp:val=&quot;002D6539&quot;/&gt;&lt;wsp:rsid wsp:val=&quot;002D6719&quot;/&gt;&lt;wsp:rsid wsp:val=&quot;002D6735&quot;/&gt;&lt;wsp:rsid wsp:val=&quot;002D6E13&quot;/&gt;&lt;wsp:rsid wsp:val=&quot;002D6F4A&quot;/&gt;&lt;wsp:rsid wsp:val=&quot;002D7410&quot;/&gt;&lt;wsp:rsid wsp:val=&quot;002D750E&quot;/&gt;&lt;wsp:rsid wsp:val=&quot;002D7640&quot;/&gt;&lt;wsp:rsid wsp:val=&quot;002D7934&quot;/&gt;&lt;wsp:rsid wsp:val=&quot;002D7A7E&quot;/&gt;&lt;wsp:rsid wsp:val=&quot;002D7B30&quot;/&gt;&lt;wsp:rsid wsp:val=&quot;002D7E38&quot;/&gt;&lt;wsp:rsid wsp:val=&quot;002E010F&quot;/&gt;&lt;wsp:rsid wsp:val=&quot;002E01AA&quot;/&gt;&lt;wsp:rsid wsp:val=&quot;002E0A2E&quot;/&gt;&lt;wsp:rsid wsp:val=&quot;002E1062&quot;/&gt;&lt;wsp:rsid wsp:val=&quot;002E18E2&quot;/&gt;&lt;wsp:rsid wsp:val=&quot;002E1C89&quot;/&gt;&lt;wsp:rsid wsp:val=&quot;002E23C9&quot;/&gt;&lt;wsp:rsid wsp:val=&quot;002E29CF&quot;/&gt;&lt;wsp:rsid wsp:val=&quot;002E2FF9&quot;/&gt;&lt;wsp:rsid wsp:val=&quot;002E3034&quot;/&gt;&lt;wsp:rsid wsp:val=&quot;002E30DA&quot;/&gt;&lt;wsp:rsid wsp:val=&quot;002E33F1&quot;/&gt;&lt;wsp:rsid wsp:val=&quot;002E37FB&quot;/&gt;&lt;wsp:rsid wsp:val=&quot;002E3978&quot;/&gt;&lt;wsp:rsid wsp:val=&quot;002E40A7&quot;/&gt;&lt;wsp:rsid wsp:val=&quot;002E40CA&quot;/&gt;&lt;wsp:rsid wsp:val=&quot;002E458A&quot;/&gt;&lt;wsp:rsid wsp:val=&quot;002E47AB&quot;/&gt;&lt;wsp:rsid wsp:val=&quot;002E49FB&quot;/&gt;&lt;wsp:rsid wsp:val=&quot;002E4CBF&quot;/&gt;&lt;wsp:rsid wsp:val=&quot;002E5304&quot;/&gt;&lt;wsp:rsid wsp:val=&quot;002E558C&quot;/&gt;&lt;wsp:rsid wsp:val=&quot;002E5649&quot;/&gt;&lt;wsp:rsid wsp:val=&quot;002E5697&quot;/&gt;&lt;wsp:rsid wsp:val=&quot;002E5D6D&quot;/&gt;&lt;wsp:rsid wsp:val=&quot;002E60F8&quot;/&gt;&lt;wsp:rsid wsp:val=&quot;002E66FC&quot;/&gt;&lt;wsp:rsid wsp:val=&quot;002E693F&quot;/&gt;&lt;wsp:rsid wsp:val=&quot;002E6BA0&quot;/&gt;&lt;wsp:rsid wsp:val=&quot;002E718E&quot;/&gt;&lt;wsp:rsid wsp:val=&quot;002E7B1C&quot;/&gt;&lt;wsp:rsid wsp:val=&quot;002F0030&quot;/&gt;&lt;wsp:rsid wsp:val=&quot;002F061E&quot;/&gt;&lt;wsp:rsid wsp:val=&quot;002F07D7&quot;/&gt;&lt;wsp:rsid wsp:val=&quot;002F0E9E&quot;/&gt;&lt;wsp:rsid wsp:val=&quot;002F102B&quot;/&gt;&lt;wsp:rsid wsp:val=&quot;002F1371&quot;/&gt;&lt;wsp:rsid wsp:val=&quot;002F2715&quot;/&gt;&lt;wsp:rsid wsp:val=&quot;002F31F2&quot;/&gt;&lt;wsp:rsid wsp:val=&quot;002F3303&quot;/&gt;&lt;wsp:rsid wsp:val=&quot;002F3768&quot;/&gt;&lt;wsp:rsid wsp:val=&quot;002F3B6F&quot;/&gt;&lt;wsp:rsid wsp:val=&quot;002F4192&quot;/&gt;&lt;wsp:rsid wsp:val=&quot;002F4379&quot;/&gt;&lt;wsp:rsid wsp:val=&quot;002F4668&quot;/&gt;&lt;wsp:rsid wsp:val=&quot;002F4EE4&quot;/&gt;&lt;wsp:rsid wsp:val=&quot;002F4F34&quot;/&gt;&lt;wsp:rsid wsp:val=&quot;002F521B&quot;/&gt;&lt;wsp:rsid wsp:val=&quot;002F52F8&quot;/&gt;&lt;wsp:rsid wsp:val=&quot;002F57E9&quot;/&gt;&lt;wsp:rsid wsp:val=&quot;002F584A&quot;/&gt;&lt;wsp:rsid wsp:val=&quot;002F5EF4&quot;/&gt;&lt;wsp:rsid wsp:val=&quot;002F60EB&quot;/&gt;&lt;wsp:rsid wsp:val=&quot;002F62CF&quot;/&gt;&lt;wsp:rsid wsp:val=&quot;002F77E3&quot;/&gt;&lt;wsp:rsid wsp:val=&quot;002F7972&quot;/&gt;&lt;wsp:rsid wsp:val=&quot;003003D3&quot;/&gt;&lt;wsp:rsid wsp:val=&quot;003003E4&quot;/&gt;&lt;wsp:rsid wsp:val=&quot;0030091D&quot;/&gt;&lt;wsp:rsid wsp:val=&quot;0030094C&quot;/&gt;&lt;wsp:rsid wsp:val=&quot;00300AEC&quot;/&gt;&lt;wsp:rsid wsp:val=&quot;00300C87&quot;/&gt;&lt;wsp:rsid wsp:val=&quot;0030120B&quot;/&gt;&lt;wsp:rsid wsp:val=&quot;0030145C&quot;/&gt;&lt;wsp:rsid wsp:val=&quot;00302585&quot;/&gt;&lt;wsp:rsid wsp:val=&quot;00302927&quot;/&gt;&lt;wsp:rsid wsp:val=&quot;00302993&quot;/&gt;&lt;wsp:rsid wsp:val=&quot;0030299A&quot;/&gt;&lt;wsp:rsid wsp:val=&quot;0030303B&quot;/&gt;&lt;wsp:rsid wsp:val=&quot;0030304F&quot;/&gt;&lt;wsp:rsid wsp:val=&quot;0030360F&quot;/&gt;&lt;wsp:rsid wsp:val=&quot;00303CFC&quot;/&gt;&lt;wsp:rsid wsp:val=&quot;00303F9A&quot;/&gt;&lt;wsp:rsid wsp:val=&quot;003041F7&quot;/&gt;&lt;wsp:rsid wsp:val=&quot;00304279&quot;/&gt;&lt;wsp:rsid wsp:val=&quot;0030482D&quot;/&gt;&lt;wsp:rsid wsp:val=&quot;00304B43&quot;/&gt;&lt;wsp:rsid wsp:val=&quot;00304BE6&quot;/&gt;&lt;wsp:rsid wsp:val=&quot;00305339&quot;/&gt;&lt;wsp:rsid wsp:val=&quot;0030577A&quot;/&gt;&lt;wsp:rsid wsp:val=&quot;00305808&quot;/&gt;&lt;wsp:rsid wsp:val=&quot;00306045&quot;/&gt;&lt;wsp:rsid wsp:val=&quot;003063F1&quot;/&gt;&lt;wsp:rsid wsp:val=&quot;003064E2&quot;/&gt;&lt;wsp:rsid wsp:val=&quot;00306600&quot;/&gt;&lt;wsp:rsid wsp:val=&quot;0030662F&quot;/&gt;&lt;wsp:rsid wsp:val=&quot;00306817&quot;/&gt;&lt;wsp:rsid wsp:val=&quot;00306D86&quot;/&gt;&lt;wsp:rsid wsp:val=&quot;00306F1F&quot;/&gt;&lt;wsp:rsid wsp:val=&quot;003072EB&quot;/&gt;&lt;wsp:rsid wsp:val=&quot;003102D1&quot;/&gt;&lt;wsp:rsid wsp:val=&quot;00310491&quot;/&gt;&lt;wsp:rsid wsp:val=&quot;003105CD&quot;/&gt;&lt;wsp:rsid wsp:val=&quot;00310779&quot;/&gt;&lt;wsp:rsid wsp:val=&quot;00310786&quot;/&gt;&lt;wsp:rsid wsp:val=&quot;00310B9A&quot;/&gt;&lt;wsp:rsid wsp:val=&quot;00311082&quot;/&gt;&lt;wsp:rsid wsp:val=&quot;003117C6&quot;/&gt;&lt;wsp:rsid wsp:val=&quot;00311CBD&quot;/&gt;&lt;wsp:rsid wsp:val=&quot;00312004&quot;/&gt;&lt;wsp:rsid wsp:val=&quot;0031206F&quot;/&gt;&lt;wsp:rsid wsp:val=&quot;00312649&quot;/&gt;&lt;wsp:rsid wsp:val=&quot;00312DD5&quot;/&gt;&lt;wsp:rsid wsp:val=&quot;0031322C&quot;/&gt;&lt;wsp:rsid wsp:val=&quot;0031338F&quot;/&gt;&lt;wsp:rsid wsp:val=&quot;003133C2&quot;/&gt;&lt;wsp:rsid wsp:val=&quot;00313670&quot;/&gt;&lt;wsp:rsid wsp:val=&quot;0031372A&quot;/&gt;&lt;wsp:rsid wsp:val=&quot;00313733&quot;/&gt;&lt;wsp:rsid wsp:val=&quot;003139D5&quot;/&gt;&lt;wsp:rsid wsp:val=&quot;00314488&quot;/&gt;&lt;wsp:rsid wsp:val=&quot;00314A55&quot;/&gt;&lt;wsp:rsid wsp:val=&quot;00314F94&quot;/&gt;&lt;wsp:rsid wsp:val=&quot;00315452&quot;/&gt;&lt;wsp:rsid wsp:val=&quot;00315682&quot;/&gt;&lt;wsp:rsid wsp:val=&quot;003156D1&quot;/&gt;&lt;wsp:rsid wsp:val=&quot;0031583A&quot;/&gt;&lt;wsp:rsid wsp:val=&quot;00315AD1&quot;/&gt;&lt;wsp:rsid wsp:val=&quot;00315BE5&quot;/&gt;&lt;wsp:rsid wsp:val=&quot;00315E93&quot;/&gt;&lt;wsp:rsid wsp:val=&quot;00315F6A&quot;/&gt;&lt;wsp:rsid wsp:val=&quot;003165A7&quot;/&gt;&lt;wsp:rsid wsp:val=&quot;003166B4&quot;/&gt;&lt;wsp:rsid wsp:val=&quot;00316F07&quot;/&gt;&lt;wsp:rsid wsp:val=&quot;00316F80&quot;/&gt;&lt;wsp:rsid wsp:val=&quot;00317124&quot;/&gt;&lt;wsp:rsid wsp:val=&quot;003172DA&quot;/&gt;&lt;wsp:rsid wsp:val=&quot;003173BB&quot;/&gt;&lt;wsp:rsid wsp:val=&quot;0031769B&quot;/&gt;&lt;wsp:rsid wsp:val=&quot;00317BDE&quot;/&gt;&lt;wsp:rsid wsp:val=&quot;00317D94&quot;/&gt;&lt;wsp:rsid wsp:val=&quot;00317E53&quot;/&gt;&lt;wsp:rsid wsp:val=&quot;00317E73&quot;/&gt;&lt;wsp:rsid wsp:val=&quot;00317FA4&quot;/&gt;&lt;wsp:rsid wsp:val=&quot;0032001F&quot;/&gt;&lt;wsp:rsid wsp:val=&quot;0032048E&quot;/&gt;&lt;wsp:rsid wsp:val=&quot;0032062E&quot;/&gt;&lt;wsp:rsid wsp:val=&quot;0032083D&quot;/&gt;&lt;wsp:rsid wsp:val=&quot;003208E1&quot;/&gt;&lt;wsp:rsid wsp:val=&quot;00320B05&quot;/&gt;&lt;wsp:rsid wsp:val=&quot;00320CFE&quot;/&gt;&lt;wsp:rsid wsp:val=&quot;00320ED3&quot;/&gt;&lt;wsp:rsid wsp:val=&quot;003214C6&quot;/&gt;&lt;wsp:rsid wsp:val=&quot;003219C9&quot;/&gt;&lt;wsp:rsid wsp:val=&quot;00321AD2&quot;/&gt;&lt;wsp:rsid wsp:val=&quot;00321C48&quot;/&gt;&lt;wsp:rsid wsp:val=&quot;003230E9&quot;/&gt;&lt;wsp:rsid wsp:val=&quot;0032331B&quot;/&gt;&lt;wsp:rsid wsp:val=&quot;003235C4&quot;/&gt;&lt;wsp:rsid wsp:val=&quot;003235CB&quot;/&gt;&lt;wsp:rsid wsp:val=&quot;003236D2&quot;/&gt;&lt;wsp:rsid wsp:val=&quot;003237D8&quot;/&gt;&lt;wsp:rsid wsp:val=&quot;00323828&quot;/&gt;&lt;wsp:rsid wsp:val=&quot;0032393E&quot;/&gt;&lt;wsp:rsid wsp:val=&quot;00323A06&quot;/&gt;&lt;wsp:rsid wsp:val=&quot;00323C50&quot;/&gt;&lt;wsp:rsid wsp:val=&quot;003240AF&quot;/&gt;&lt;wsp:rsid wsp:val=&quot;0032436C&quot;/&gt;&lt;wsp:rsid wsp:val=&quot;00324372&quot;/&gt;&lt;wsp:rsid wsp:val=&quot;003246A4&quot;/&gt;&lt;wsp:rsid wsp:val=&quot;00324BD8&quot;/&gt;&lt;wsp:rsid wsp:val=&quot;003250F2&quot;/&gt;&lt;wsp:rsid wsp:val=&quot;003251C1&quot;/&gt;&lt;wsp:rsid wsp:val=&quot;003254DA&quot;/&gt;&lt;wsp:rsid wsp:val=&quot;00325532&quot;/&gt;&lt;wsp:rsid wsp:val=&quot;003255BD&quot;/&gt;&lt;wsp:rsid wsp:val=&quot;003259F0&quot;/&gt;&lt;wsp:rsid wsp:val=&quot;00325BB0&quot;/&gt;&lt;wsp:rsid wsp:val=&quot;00325C32&quot;/&gt;&lt;wsp:rsid wsp:val=&quot;00326417&quot;/&gt;&lt;wsp:rsid wsp:val=&quot;00326DB6&quot;/&gt;&lt;wsp:rsid wsp:val=&quot;00327500&quot;/&gt;&lt;wsp:rsid wsp:val=&quot;00327E03&quot;/&gt;&lt;wsp:rsid wsp:val=&quot;0033020A&quot;/&gt;&lt;wsp:rsid wsp:val=&quot;00330F62&quot;/&gt;&lt;wsp:rsid wsp:val=&quot;003318E3&quot;/&gt;&lt;wsp:rsid wsp:val=&quot;00332138&quot;/&gt;&lt;wsp:rsid wsp:val=&quot;003324FC&quot;/&gt;&lt;wsp:rsid wsp:val=&quot;003331DF&quot;/&gt;&lt;wsp:rsid wsp:val=&quot;00333664&quot;/&gt;&lt;wsp:rsid wsp:val=&quot;0033369A&quot;/&gt;&lt;wsp:rsid wsp:val=&quot;003337DB&quot;/&gt;&lt;wsp:rsid wsp:val=&quot;0033393B&quot;/&gt;&lt;wsp:rsid wsp:val=&quot;003343B4&quot;/&gt;&lt;wsp:rsid wsp:val=&quot;00334822&quot;/&gt;&lt;wsp:rsid wsp:val=&quot;00334D10&quot;/&gt;&lt;wsp:rsid wsp:val=&quot;00334D1C&quot;/&gt;&lt;wsp:rsid wsp:val=&quot;00334E87&quot;/&gt;&lt;wsp:rsid wsp:val=&quot;00335368&quot;/&gt;&lt;wsp:rsid wsp:val=&quot;003356E5&quot;/&gt;&lt;wsp:rsid wsp:val=&quot;00335727&quot;/&gt;&lt;wsp:rsid wsp:val=&quot;00335E03&quot;/&gt;&lt;wsp:rsid wsp:val=&quot;00336379&quot;/&gt;&lt;wsp:rsid wsp:val=&quot;003363D7&quot;/&gt;&lt;wsp:rsid wsp:val=&quot;0033696D&quot;/&gt;&lt;wsp:rsid wsp:val=&quot;00336AD5&quot;/&gt;&lt;wsp:rsid wsp:val=&quot;003373A3&quot;/&gt;&lt;wsp:rsid wsp:val=&quot;00337486&quot;/&gt;&lt;wsp:rsid wsp:val=&quot;003378B4&quot;/&gt;&lt;wsp:rsid wsp:val=&quot;00337A16&quot;/&gt;&lt;wsp:rsid wsp:val=&quot;00340030&quot;/&gt;&lt;wsp:rsid wsp:val=&quot;00340280&quot;/&gt;&lt;wsp:rsid wsp:val=&quot;00340AEC&quot;/&gt;&lt;wsp:rsid wsp:val=&quot;00340F85&quot;/&gt;&lt;wsp:rsid wsp:val=&quot;003411E9&quot;/&gt;&lt;wsp:rsid wsp:val=&quot;00341259&quot;/&gt;&lt;wsp:rsid wsp:val=&quot;003412EC&quot;/&gt;&lt;wsp:rsid wsp:val=&quot;003416DD&quot;/&gt;&lt;wsp:rsid wsp:val=&quot;00341793&quot;/&gt;&lt;wsp:rsid wsp:val=&quot;00342002&quot;/&gt;&lt;wsp:rsid wsp:val=&quot;003420B1&quot;/&gt;&lt;wsp:rsid wsp:val=&quot;00342376&quot;/&gt;&lt;wsp:rsid wsp:val=&quot;00342466&quot;/&gt;&lt;wsp:rsid wsp:val=&quot;00342AFF&quot;/&gt;&lt;wsp:rsid wsp:val=&quot;00342F82&quot;/&gt;&lt;wsp:rsid wsp:val=&quot;0034319C&quot;/&gt;&lt;wsp:rsid wsp:val=&quot;003437E7&quot;/&gt;&lt;wsp:rsid wsp:val=&quot;0034390E&quot;/&gt;&lt;wsp:rsid wsp:val=&quot;00344744&quot;/&gt;&lt;wsp:rsid wsp:val=&quot;00344AEB&quot;/&gt;&lt;wsp:rsid wsp:val=&quot;00344B58&quot;/&gt;&lt;wsp:rsid wsp:val=&quot;00344CAE&quot;/&gt;&lt;wsp:rsid wsp:val=&quot;0034525B&quot;/&gt;&lt;wsp:rsid wsp:val=&quot;0034529F&quot;/&gt;&lt;wsp:rsid wsp:val=&quot;00346473&quot;/&gt;&lt;wsp:rsid wsp:val=&quot;003467B6&quot;/&gt;&lt;wsp:rsid wsp:val=&quot;00346DDE&quot;/&gt;&lt;wsp:rsid wsp:val=&quot;0034701D&quot;/&gt;&lt;wsp:rsid wsp:val=&quot;003474FC&quot;/&gt;&lt;wsp:rsid wsp:val=&quot;0034767A&quot;/&gt;&lt;wsp:rsid wsp:val=&quot;00347C5C&quot;/&gt;&lt;wsp:rsid wsp:val=&quot;00347E72&quot;/&gt;&lt;wsp:rsid wsp:val=&quot;00350280&quot;/&gt;&lt;wsp:rsid wsp:val=&quot;00350400&quot;/&gt;&lt;wsp:rsid wsp:val=&quot;00350464&quot;/&gt;&lt;wsp:rsid wsp:val=&quot;0035081E&quot;/&gt;&lt;wsp:rsid wsp:val=&quot;00350C2D&quot;/&gt;&lt;wsp:rsid wsp:val=&quot;00350F52&quot;/&gt;&lt;wsp:rsid wsp:val=&quot;003511DD&quot;/&gt;&lt;wsp:rsid wsp:val=&quot;00351433&quot;/&gt;&lt;wsp:rsid wsp:val=&quot;003531E7&quot;/&gt;&lt;wsp:rsid wsp:val=&quot;0035387B&quot;/&gt;&lt;wsp:rsid wsp:val=&quot;00353B14&quot;/&gt;&lt;wsp:rsid wsp:val=&quot;00354086&quot;/&gt;&lt;wsp:rsid wsp:val=&quot;003543E6&quot;/&gt;&lt;wsp:rsid wsp:val=&quot;0035446A&quot;/&gt;&lt;wsp:rsid wsp:val=&quot;003544EA&quot;/&gt;&lt;wsp:rsid wsp:val=&quot;0035481A&quot;/&gt;&lt;wsp:rsid wsp:val=&quot;00354901&quot;/&gt;&lt;wsp:rsid wsp:val=&quot;00354C27&quot;/&gt;&lt;wsp:rsid wsp:val=&quot;00354D6C&quot;/&gt;&lt;wsp:rsid wsp:val=&quot;0035565E&quot;/&gt;&lt;wsp:rsid wsp:val=&quot;003566C2&quot;/&gt;&lt;wsp:rsid wsp:val=&quot;00356A86&quot;/&gt;&lt;wsp:rsid wsp:val=&quot;00356B40&quot;/&gt;&lt;wsp:rsid wsp:val=&quot;00356FC0&quot;/&gt;&lt;wsp:rsid wsp:val=&quot;003570B6&quot;/&gt;&lt;wsp:rsid wsp:val=&quot;0035728C&quot;/&gt;&lt;wsp:rsid wsp:val=&quot;00357601&quot;/&gt;&lt;wsp:rsid wsp:val=&quot;00357683&quot;/&gt;&lt;wsp:rsid wsp:val=&quot;0036026F&quot;/&gt;&lt;wsp:rsid wsp:val=&quot;00360417&quot;/&gt;&lt;wsp:rsid wsp:val=&quot;003604CA&quot;/&gt;&lt;wsp:rsid wsp:val=&quot;003607B6&quot;/&gt;&lt;wsp:rsid wsp:val=&quot;00361007&quot;/&gt;&lt;wsp:rsid wsp:val=&quot;00361176&quot;/&gt;&lt;wsp:rsid wsp:val=&quot;00361362&quot;/&gt;&lt;wsp:rsid wsp:val=&quot;0036156A&quot;/&gt;&lt;wsp:rsid wsp:val=&quot;0036174C&quot;/&gt;&lt;wsp:rsid wsp:val=&quot;003618F8&quot;/&gt;&lt;wsp:rsid wsp:val=&quot;00361E1D&quot;/&gt;&lt;wsp:rsid wsp:val=&quot;00361EE4&quot;/&gt;&lt;wsp:rsid wsp:val=&quot;00361EE7&quot;/&gt;&lt;wsp:rsid wsp:val=&quot;00362298&quot;/&gt;&lt;wsp:rsid wsp:val=&quot;00362303&quot;/&gt;&lt;wsp:rsid wsp:val=&quot;0036238B&quot;/&gt;&lt;wsp:rsid wsp:val=&quot;0036242F&quot;/&gt;&lt;wsp:rsid wsp:val=&quot;00362447&quot;/&gt;&lt;wsp:rsid wsp:val=&quot;0036267A&quot;/&gt;&lt;wsp:rsid wsp:val=&quot;003629FF&quot;/&gt;&lt;wsp:rsid wsp:val=&quot;00362B25&quot;/&gt;&lt;wsp:rsid wsp:val=&quot;00362CC2&quot;/&gt;&lt;wsp:rsid wsp:val=&quot;00362D5A&quot;/&gt;&lt;wsp:rsid wsp:val=&quot;00362ED2&quot;/&gt;&lt;wsp:rsid wsp:val=&quot;00362F50&quot;/&gt;&lt;wsp:rsid wsp:val=&quot;003635E9&quot;/&gt;&lt;wsp:rsid wsp:val=&quot;0036368E&quot;/&gt;&lt;wsp:rsid wsp:val=&quot;00363A04&quot;/&gt;&lt;wsp:rsid wsp:val=&quot;00363B65&quot;/&gt;&lt;wsp:rsid wsp:val=&quot;00363B9C&quot;/&gt;&lt;wsp:rsid wsp:val=&quot;0036503A&quot;/&gt;&lt;wsp:rsid wsp:val=&quot;003650C4&quot;/&gt;&lt;wsp:rsid wsp:val=&quot;0036536F&quot;/&gt;&lt;wsp:rsid wsp:val=&quot;003656FD&quot;/&gt;&lt;wsp:rsid wsp:val=&quot;00365AF8&quot;/&gt;&lt;wsp:rsid wsp:val=&quot;00366230&quot;/&gt;&lt;wsp:rsid wsp:val=&quot;003664B4&quot;/&gt;&lt;wsp:rsid wsp:val=&quot;003668DD&quot;/&gt;&lt;wsp:rsid wsp:val=&quot;003668E7&quot;/&gt;&lt;wsp:rsid wsp:val=&quot;0036698F&quot;/&gt;&lt;wsp:rsid wsp:val=&quot;00366AC4&quot;/&gt;&lt;wsp:rsid wsp:val=&quot;00366DC0&quot;/&gt;&lt;wsp:rsid wsp:val=&quot;00366E27&quot;/&gt;&lt;wsp:rsid wsp:val=&quot;00367046&quot;/&gt;&lt;wsp:rsid wsp:val=&quot;00367140&quot;/&gt;&lt;wsp:rsid wsp:val=&quot;00367470&quot;/&gt;&lt;wsp:rsid wsp:val=&quot;00367573&quot;/&gt;&lt;wsp:rsid wsp:val=&quot;00367758&quot;/&gt;&lt;wsp:rsid wsp:val=&quot;00367B22&quot;/&gt;&lt;wsp:rsid wsp:val=&quot;00367B91&quot;/&gt;&lt;wsp:rsid wsp:val=&quot;00367E4B&quot;/&gt;&lt;wsp:rsid wsp:val=&quot;0037000A&quot;/&gt;&lt;wsp:rsid wsp:val=&quot;00370219&quot;/&gt;&lt;wsp:rsid wsp:val=&quot;0037043E&quot;/&gt;&lt;wsp:rsid wsp:val=&quot;003708D7&quot;/&gt;&lt;wsp:rsid wsp:val=&quot;003709B7&quot;/&gt;&lt;wsp:rsid wsp:val=&quot;003720AE&quot;/&gt;&lt;wsp:rsid wsp:val=&quot;00372677&quot;/&gt;&lt;wsp:rsid wsp:val=&quot;0037268F&quot;/&gt;&lt;wsp:rsid wsp:val=&quot;003726E7&quot;/&gt;&lt;wsp:rsid wsp:val=&quot;003727AB&quot;/&gt;&lt;wsp:rsid wsp:val=&quot;003727BE&quot;/&gt;&lt;wsp:rsid wsp:val=&quot;00372DE1&quot;/&gt;&lt;wsp:rsid wsp:val=&quot;00372DEF&quot;/&gt;&lt;wsp:rsid wsp:val=&quot;00373100&quot;/&gt;&lt;wsp:rsid wsp:val=&quot;00373363&quot;/&gt;&lt;wsp:rsid wsp:val=&quot;003733F5&quot;/&gt;&lt;wsp:rsid wsp:val=&quot;00373886&quot;/&gt;&lt;wsp:rsid wsp:val=&quot;00373C6E&quot;/&gt;&lt;wsp:rsid wsp:val=&quot;00373E6B&quot;/&gt;&lt;wsp:rsid wsp:val=&quot;00374357&quot;/&gt;&lt;wsp:rsid wsp:val=&quot;00374813&quot;/&gt;&lt;wsp:rsid wsp:val=&quot;00374AF9&quot;/&gt;&lt;wsp:rsid wsp:val=&quot;00374B7E&quot;/&gt;&lt;wsp:rsid wsp:val=&quot;00374F75&quot;/&gt;&lt;wsp:rsid wsp:val=&quot;003754DB&quot;/&gt;&lt;wsp:rsid wsp:val=&quot;00375992&quot;/&gt;&lt;wsp:rsid wsp:val=&quot;00375A95&quot;/&gt;&lt;wsp:rsid wsp:val=&quot;00375AE4&quot;/&gt;&lt;wsp:rsid wsp:val=&quot;00375AFA&quot;/&gt;&lt;wsp:rsid wsp:val=&quot;00375DC6&quot;/&gt;&lt;wsp:rsid wsp:val=&quot;0037614F&quot;/&gt;&lt;wsp:rsid wsp:val=&quot;003761C1&quot;/&gt;&lt;wsp:rsid wsp:val=&quot;00376377&quot;/&gt;&lt;wsp:rsid wsp:val=&quot;00376848&quot;/&gt;&lt;wsp:rsid wsp:val=&quot;003772D1&quot;/&gt;&lt;wsp:rsid wsp:val=&quot;003774E9&quot;/&gt;&lt;wsp:rsid wsp:val=&quot;003775F1&quot;/&gt;&lt;wsp:rsid wsp:val=&quot;00377822&quot;/&gt;&lt;wsp:rsid wsp:val=&quot;00377868&quot;/&gt;&lt;wsp:rsid wsp:val=&quot;003779B4&quot;/&gt;&lt;wsp:rsid wsp:val=&quot;003801C6&quot;/&gt;&lt;wsp:rsid wsp:val=&quot;003802D2&quot;/&gt;&lt;wsp:rsid wsp:val=&quot;0038105C&quot;/&gt;&lt;wsp:rsid wsp:val=&quot;003819C5&quot;/&gt;&lt;wsp:rsid wsp:val=&quot;00381FAA&quot;/&gt;&lt;wsp:rsid wsp:val=&quot;00381FB2&quot;/&gt;&lt;wsp:rsid wsp:val=&quot;00382640&quot;/&gt;&lt;wsp:rsid wsp:val=&quot;0038285C&quot;/&gt;&lt;wsp:rsid wsp:val=&quot;00382982&quot;/&gt;&lt;wsp:rsid wsp:val=&quot;003829EC&quot;/&gt;&lt;wsp:rsid wsp:val=&quot;00382B02&quot;/&gt;&lt;wsp:rsid wsp:val=&quot;00382DCF&quot;/&gt;&lt;wsp:rsid wsp:val=&quot;00382F96&quot;/&gt;&lt;wsp:rsid wsp:val=&quot;0038370C&quot;/&gt;&lt;wsp:rsid wsp:val=&quot;00383A4C&quot;/&gt;&lt;wsp:rsid wsp:val=&quot;00383B58&quot;/&gt;&lt;wsp:rsid wsp:val=&quot;00383D6C&quot;/&gt;&lt;wsp:rsid wsp:val=&quot;003847EC&quot;/&gt;&lt;wsp:rsid wsp:val=&quot;003849BF&quot;/&gt;&lt;wsp:rsid wsp:val=&quot;003852D0&quot;/&gt;&lt;wsp:rsid wsp:val=&quot;003853A9&quot;/&gt;&lt;wsp:rsid wsp:val=&quot;003853E4&quot;/&gt;&lt;wsp:rsid wsp:val=&quot;00385589&quot;/&gt;&lt;wsp:rsid wsp:val=&quot;003859F2&quot;/&gt;&lt;wsp:rsid wsp:val=&quot;00386673&quot;/&gt;&lt;wsp:rsid wsp:val=&quot;003868A5&quot;/&gt;&lt;wsp:rsid wsp:val=&quot;00386A51&quot;/&gt;&lt;wsp:rsid wsp:val=&quot;00386FED&quot;/&gt;&lt;wsp:rsid wsp:val=&quot;003871F0&quot;/&gt;&lt;wsp:rsid wsp:val=&quot;00387220&quot;/&gt;&lt;wsp:rsid wsp:val=&quot;00387329&quot;/&gt;&lt;wsp:rsid wsp:val=&quot;0038750E&quot;/&gt;&lt;wsp:rsid wsp:val=&quot;00390030&quot;/&gt;&lt;wsp:rsid wsp:val=&quot;00390325&quot;/&gt;&lt;wsp:rsid wsp:val=&quot;0039073A&quot;/&gt;&lt;wsp:rsid wsp:val=&quot;0039076A&quot;/&gt;&lt;wsp:rsid wsp:val=&quot;00390886&quot;/&gt;&lt;wsp:rsid wsp:val=&quot;00390DD5&quot;/&gt;&lt;wsp:rsid wsp:val=&quot;00391B37&quot;/&gt;&lt;wsp:rsid wsp:val=&quot;00391D35&quot;/&gt;&lt;wsp:rsid wsp:val=&quot;00392699&quot;/&gt;&lt;wsp:rsid wsp:val=&quot;003927B4&quot;/&gt;&lt;wsp:rsid wsp:val=&quot;00392D74&quot;/&gt;&lt;wsp:rsid wsp:val=&quot;00392DB0&quot;/&gt;&lt;wsp:rsid wsp:val=&quot;00392E89&quot;/&gt;&lt;wsp:rsid wsp:val=&quot;00392EA1&quot;/&gt;&lt;wsp:rsid wsp:val=&quot;00392FD7&quot;/&gt;&lt;wsp:rsid wsp:val=&quot;003940AA&quot;/&gt;&lt;wsp:rsid wsp:val=&quot;003942B8&quot;/&gt;&lt;wsp:rsid wsp:val=&quot;003942F9&quot;/&gt;&lt;wsp:rsid wsp:val=&quot;003948BD&quot;/&gt;&lt;wsp:rsid wsp:val=&quot;00394966&quot;/&gt;&lt;wsp:rsid wsp:val=&quot;00394D96&quot;/&gt;&lt;wsp:rsid wsp:val=&quot;0039512E&quot;/&gt;&lt;wsp:rsid wsp:val=&quot;0039590F&quot;/&gt;&lt;wsp:rsid wsp:val=&quot;00395AE7&quot;/&gt;&lt;wsp:rsid wsp:val=&quot;00395AFC&quot;/&gt;&lt;wsp:rsid wsp:val=&quot;00395B4E&quot;/&gt;&lt;wsp:rsid wsp:val=&quot;00395C0A&quot;/&gt;&lt;wsp:rsid wsp:val=&quot;003960AD&quot;/&gt;&lt;wsp:rsid wsp:val=&quot;003961C8&quot;/&gt;&lt;wsp:rsid wsp:val=&quot;00396267&quot;/&gt;&lt;wsp:rsid wsp:val=&quot;00396404&quot;/&gt;&lt;wsp:rsid wsp:val=&quot;00396539&quot;/&gt;&lt;wsp:rsid wsp:val=&quot;0039677A&quot;/&gt;&lt;wsp:rsid wsp:val=&quot;00397158&quot;/&gt;&lt;wsp:rsid wsp:val=&quot;003973E6&quot;/&gt;&lt;wsp:rsid wsp:val=&quot;003976C2&quot;/&gt;&lt;wsp:rsid wsp:val=&quot;00397977&quot;/&gt;&lt;wsp:rsid wsp:val=&quot;00397B87&quot;/&gt;&lt;wsp:rsid wsp:val=&quot;00397D52&quot;/&gt;&lt;wsp:rsid wsp:val=&quot;00397FA8&quot;/&gt;&lt;wsp:rsid wsp:val=&quot;003A026C&quot;/&gt;&lt;wsp:rsid wsp:val=&quot;003A0A5A&quot;/&gt;&lt;wsp:rsid wsp:val=&quot;003A1E22&quot;/&gt;&lt;wsp:rsid wsp:val=&quot;003A2524&quot;/&gt;&lt;wsp:rsid wsp:val=&quot;003A27BC&quot;/&gt;&lt;wsp:rsid wsp:val=&quot;003A2B89&quot;/&gt;&lt;wsp:rsid wsp:val=&quot;003A324A&quot;/&gt;&lt;wsp:rsid wsp:val=&quot;003A391B&quot;/&gt;&lt;wsp:rsid wsp:val=&quot;003A414D&quot;/&gt;&lt;wsp:rsid wsp:val=&quot;003A41B4&quot;/&gt;&lt;wsp:rsid wsp:val=&quot;003A42D4&quot;/&gt;&lt;wsp:rsid wsp:val=&quot;003A45CF&quot;/&gt;&lt;wsp:rsid wsp:val=&quot;003A468F&quot;/&gt;&lt;wsp:rsid wsp:val=&quot;003A4859&quot;/&gt;&lt;wsp:rsid wsp:val=&quot;003A499E&quot;/&gt;&lt;wsp:rsid wsp:val=&quot;003A4A34&quot;/&gt;&lt;wsp:rsid wsp:val=&quot;003A51B9&quot;/&gt;&lt;wsp:rsid wsp:val=&quot;003A520B&quot;/&gt;&lt;wsp:rsid wsp:val=&quot;003A5705&quot;/&gt;&lt;wsp:rsid wsp:val=&quot;003A5A8F&quot;/&gt;&lt;wsp:rsid wsp:val=&quot;003A60DE&quot;/&gt;&lt;wsp:rsid wsp:val=&quot;003A625D&quot;/&gt;&lt;wsp:rsid wsp:val=&quot;003A6A74&quot;/&gt;&lt;wsp:rsid wsp:val=&quot;003A7558&quot;/&gt;&lt;wsp:rsid wsp:val=&quot;003A7862&quot;/&gt;&lt;wsp:rsid wsp:val=&quot;003B00A6&quot;/&gt;&lt;wsp:rsid wsp:val=&quot;003B00E3&quot;/&gt;&lt;wsp:rsid wsp:val=&quot;003B035B&quot;/&gt;&lt;wsp:rsid wsp:val=&quot;003B0374&quot;/&gt;&lt;wsp:rsid wsp:val=&quot;003B03BD&quot;/&gt;&lt;wsp:rsid wsp:val=&quot;003B0B61&quot;/&gt;&lt;wsp:rsid wsp:val=&quot;003B131F&quot;/&gt;&lt;wsp:rsid wsp:val=&quot;003B170C&quot;/&gt;&lt;wsp:rsid wsp:val=&quot;003B1BEB&quot;/&gt;&lt;wsp:rsid wsp:val=&quot;003B218E&quot;/&gt;&lt;wsp:rsid wsp:val=&quot;003B24E6&quot;/&gt;&lt;wsp:rsid wsp:val=&quot;003B2813&quot;/&gt;&lt;wsp:rsid wsp:val=&quot;003B289D&quot;/&gt;&lt;wsp:rsid wsp:val=&quot;003B2D7F&quot;/&gt;&lt;wsp:rsid wsp:val=&quot;003B31C2&quot;/&gt;&lt;wsp:rsid wsp:val=&quot;003B379E&quot;/&gt;&lt;wsp:rsid wsp:val=&quot;003B397C&quot;/&gt;&lt;wsp:rsid wsp:val=&quot;003B3BCD&quot;/&gt;&lt;wsp:rsid wsp:val=&quot;003B3C69&quot;/&gt;&lt;wsp:rsid wsp:val=&quot;003B3D58&quot;/&gt;&lt;wsp:rsid wsp:val=&quot;003B3D62&quot;/&gt;&lt;wsp:rsid wsp:val=&quot;003B4235&quot;/&gt;&lt;wsp:rsid wsp:val=&quot;003B46E9&quot;/&gt;&lt;wsp:rsid wsp:val=&quot;003B474A&quot;/&gt;&lt;wsp:rsid wsp:val=&quot;003B4B10&quot;/&gt;&lt;wsp:rsid wsp:val=&quot;003B4CF9&quot;/&gt;&lt;wsp:rsid wsp:val=&quot;003B5723&quot;/&gt;&lt;wsp:rsid wsp:val=&quot;003B62CE&quot;/&gt;&lt;wsp:rsid wsp:val=&quot;003B63D8&quot;/&gt;&lt;wsp:rsid wsp:val=&quot;003B6422&quot;/&gt;&lt;wsp:rsid wsp:val=&quot;003B6474&quot;/&gt;&lt;wsp:rsid wsp:val=&quot;003B69BC&quot;/&gt;&lt;wsp:rsid wsp:val=&quot;003B7235&quot;/&gt;&lt;wsp:rsid wsp:val=&quot;003B7614&quot;/&gt;&lt;wsp:rsid wsp:val=&quot;003B7673&quot;/&gt;&lt;wsp:rsid wsp:val=&quot;003B76A9&quot;/&gt;&lt;wsp:rsid wsp:val=&quot;003B76E6&quot;/&gt;&lt;wsp:rsid wsp:val=&quot;003C0142&quot;/&gt;&lt;wsp:rsid wsp:val=&quot;003C04FC&quot;/&gt;&lt;wsp:rsid wsp:val=&quot;003C07AB&quot;/&gt;&lt;wsp:rsid wsp:val=&quot;003C092C&quot;/&gt;&lt;wsp:rsid wsp:val=&quot;003C0C95&quot;/&gt;&lt;wsp:rsid wsp:val=&quot;003C0CC8&quot;/&gt;&lt;wsp:rsid wsp:val=&quot;003C0D59&quot;/&gt;&lt;wsp:rsid wsp:val=&quot;003C15CF&quot;/&gt;&lt;wsp:rsid wsp:val=&quot;003C17F9&quot;/&gt;&lt;wsp:rsid wsp:val=&quot;003C237E&quot;/&gt;&lt;wsp:rsid wsp:val=&quot;003C261A&quot;/&gt;&lt;wsp:rsid wsp:val=&quot;003C26EE&quot;/&gt;&lt;wsp:rsid wsp:val=&quot;003C2714&quot;/&gt;&lt;wsp:rsid wsp:val=&quot;003C2746&quot;/&gt;&lt;wsp:rsid wsp:val=&quot;003C2791&quot;/&gt;&lt;wsp:rsid wsp:val=&quot;003C2966&quot;/&gt;&lt;wsp:rsid wsp:val=&quot;003C2FE0&quot;/&gt;&lt;wsp:rsid wsp:val=&quot;003C35A1&quot;/&gt;&lt;wsp:rsid wsp:val=&quot;003C40FB&quot;/&gt;&lt;wsp:rsid wsp:val=&quot;003C443B&quot;/&gt;&lt;wsp:rsid wsp:val=&quot;003C49BD&quot;/&gt;&lt;wsp:rsid wsp:val=&quot;003C4AF7&quot;/&gt;&lt;wsp:rsid wsp:val=&quot;003C4CEA&quot;/&gt;&lt;wsp:rsid wsp:val=&quot;003C564D&quot;/&gt;&lt;wsp:rsid wsp:val=&quot;003C58A4&quot;/&gt;&lt;wsp:rsid wsp:val=&quot;003C65EE&quot;/&gt;&lt;wsp:rsid wsp:val=&quot;003C65FF&quot;/&gt;&lt;wsp:rsid wsp:val=&quot;003C6C30&quot;/&gt;&lt;wsp:rsid wsp:val=&quot;003C6D2E&quot;/&gt;&lt;wsp:rsid wsp:val=&quot;003C7579&quot;/&gt;&lt;wsp:rsid wsp:val=&quot;003D007F&quot;/&gt;&lt;wsp:rsid wsp:val=&quot;003D02AF&quot;/&gt;&lt;wsp:rsid wsp:val=&quot;003D07B6&quot;/&gt;&lt;wsp:rsid wsp:val=&quot;003D0B69&quot;/&gt;&lt;wsp:rsid wsp:val=&quot;003D0C0E&quot;/&gt;&lt;wsp:rsid wsp:val=&quot;003D0D11&quot;/&gt;&lt;wsp:rsid wsp:val=&quot;003D115D&quot;/&gt;&lt;wsp:rsid wsp:val=&quot;003D1D3C&quot;/&gt;&lt;wsp:rsid wsp:val=&quot;003D2482&quot;/&gt;&lt;wsp:rsid wsp:val=&quot;003D2726&quot;/&gt;&lt;wsp:rsid wsp:val=&quot;003D2813&quot;/&gt;&lt;wsp:rsid wsp:val=&quot;003D2827&quot;/&gt;&lt;wsp:rsid wsp:val=&quot;003D28B4&quot;/&gt;&lt;wsp:rsid wsp:val=&quot;003D2B5F&quot;/&gt;&lt;wsp:rsid wsp:val=&quot;003D3486&quot;/&gt;&lt;wsp:rsid wsp:val=&quot;003D3DBF&quot;/&gt;&lt;wsp:rsid wsp:val=&quot;003D4FC4&quot;/&gt;&lt;wsp:rsid wsp:val=&quot;003D5C02&quot;/&gt;&lt;wsp:rsid wsp:val=&quot;003D5D49&quot;/&gt;&lt;wsp:rsid wsp:val=&quot;003D5EC3&quot;/&gt;&lt;wsp:rsid wsp:val=&quot;003D6291&quot;/&gt;&lt;wsp:rsid wsp:val=&quot;003D62FE&quot;/&gt;&lt;wsp:rsid wsp:val=&quot;003D678D&quot;/&gt;&lt;wsp:rsid wsp:val=&quot;003D68E6&quot;/&gt;&lt;wsp:rsid wsp:val=&quot;003D6E19&quot;/&gt;&lt;wsp:rsid wsp:val=&quot;003D70FB&quot;/&gt;&lt;wsp:rsid wsp:val=&quot;003D77A8&quot;/&gt;&lt;wsp:rsid wsp:val=&quot;003D7AD3&quot;/&gt;&lt;wsp:rsid wsp:val=&quot;003D7FA4&quot;/&gt;&lt;wsp:rsid wsp:val=&quot;003E032B&quot;/&gt;&lt;wsp:rsid wsp:val=&quot;003E0B4B&quot;/&gt;&lt;wsp:rsid wsp:val=&quot;003E113A&quot;/&gt;&lt;wsp:rsid wsp:val=&quot;003E1C74&quot;/&gt;&lt;wsp:rsid wsp:val=&quot;003E1E03&quot;/&gt;&lt;wsp:rsid wsp:val=&quot;003E2182&quot;/&gt;&lt;wsp:rsid wsp:val=&quot;003E273D&quot;/&gt;&lt;wsp:rsid wsp:val=&quot;003E2A1B&quot;/&gt;&lt;wsp:rsid wsp:val=&quot;003E2BC0&quot;/&gt;&lt;wsp:rsid wsp:val=&quot;003E303D&quot;/&gt;&lt;wsp:rsid wsp:val=&quot;003E317A&quot;/&gt;&lt;wsp:rsid wsp:val=&quot;003E3421&quot;/&gt;&lt;wsp:rsid wsp:val=&quot;003E3634&quot;/&gt;&lt;wsp:rsid wsp:val=&quot;003E36AC&quot;/&gt;&lt;wsp:rsid wsp:val=&quot;003E3ABB&quot;/&gt;&lt;wsp:rsid wsp:val=&quot;003E3B73&quot;/&gt;&lt;wsp:rsid wsp:val=&quot;003E48A8&quot;/&gt;&lt;wsp:rsid wsp:val=&quot;003E4923&quot;/&gt;&lt;wsp:rsid wsp:val=&quot;003E4A12&quot;/&gt;&lt;wsp:rsid wsp:val=&quot;003E594B&quot;/&gt;&lt;wsp:rsid wsp:val=&quot;003E5D71&quot;/&gt;&lt;wsp:rsid wsp:val=&quot;003E5EB8&quot;/&gt;&lt;wsp:rsid wsp:val=&quot;003E6743&quot;/&gt;&lt;wsp:rsid wsp:val=&quot;003E6B7F&quot;/&gt;&lt;wsp:rsid wsp:val=&quot;003E6F45&quot;/&gt;&lt;wsp:rsid wsp:val=&quot;003E6F9B&quot;/&gt;&lt;wsp:rsid wsp:val=&quot;003E7100&quot;/&gt;&lt;wsp:rsid wsp:val=&quot;003E78A7&quot;/&gt;&lt;wsp:rsid wsp:val=&quot;003F0040&quot;/&gt;&lt;wsp:rsid wsp:val=&quot;003F03D2&quot;/&gt;&lt;wsp:rsid wsp:val=&quot;003F04C5&quot;/&gt;&lt;wsp:rsid wsp:val=&quot;003F0D55&quot;/&gt;&lt;wsp:rsid wsp:val=&quot;003F0EFA&quot;/&gt;&lt;wsp:rsid wsp:val=&quot;003F0FF2&quot;/&gt;&lt;wsp:rsid wsp:val=&quot;003F1708&quot;/&gt;&lt;wsp:rsid wsp:val=&quot;003F186B&quot;/&gt;&lt;wsp:rsid wsp:val=&quot;003F19FB&quot;/&gt;&lt;wsp:rsid wsp:val=&quot;003F1DFE&quot;/&gt;&lt;wsp:rsid wsp:val=&quot;003F2740&quot;/&gt;&lt;wsp:rsid wsp:val=&quot;003F2DDE&quot;/&gt;&lt;wsp:rsid wsp:val=&quot;003F2EF0&quot;/&gt;&lt;wsp:rsid wsp:val=&quot;003F30AD&quot;/&gt;&lt;wsp:rsid wsp:val=&quot;003F3836&quot;/&gt;&lt;wsp:rsid wsp:val=&quot;003F394A&quot;/&gt;&lt;wsp:rsid wsp:val=&quot;003F4A3E&quot;/&gt;&lt;wsp:rsid wsp:val=&quot;003F4AF8&quot;/&gt;&lt;wsp:rsid wsp:val=&quot;003F4BD1&quot;/&gt;&lt;wsp:rsid wsp:val=&quot;003F5384&quot;/&gt;&lt;wsp:rsid wsp:val=&quot;003F5562&quot;/&gt;&lt;wsp:rsid wsp:val=&quot;003F56F0&quot;/&gt;&lt;wsp:rsid wsp:val=&quot;003F5787&quot;/&gt;&lt;wsp:rsid wsp:val=&quot;003F5C3E&quot;/&gt;&lt;wsp:rsid wsp:val=&quot;003F5E25&quot;/&gt;&lt;wsp:rsid wsp:val=&quot;003F5F12&quot;/&gt;&lt;wsp:rsid wsp:val=&quot;003F6033&quot;/&gt;&lt;wsp:rsid wsp:val=&quot;003F616E&quot;/&gt;&lt;wsp:rsid wsp:val=&quot;003F68F9&quot;/&gt;&lt;wsp:rsid wsp:val=&quot;003F698F&quot;/&gt;&lt;wsp:rsid wsp:val=&quot;003F6B96&quot;/&gt;&lt;wsp:rsid wsp:val=&quot;003F6BDA&quot;/&gt;&lt;wsp:rsid wsp:val=&quot;003F727B&quot;/&gt;&lt;wsp:rsid wsp:val=&quot;003F7625&quot;/&gt;&lt;wsp:rsid wsp:val=&quot;00400694&quot;/&gt;&lt;wsp:rsid wsp:val=&quot;004007E4&quot;/&gt;&lt;wsp:rsid wsp:val=&quot;00400BBF&quot;/&gt;&lt;wsp:rsid wsp:val=&quot;00400E3D&quot;/&gt;&lt;wsp:rsid wsp:val=&quot;00401477&quot;/&gt;&lt;wsp:rsid wsp:val=&quot;00401686&quot;/&gt;&lt;wsp:rsid wsp:val=&quot;00401DB7&quot;/&gt;&lt;wsp:rsid wsp:val=&quot;00401DD7&quot;/&gt;&lt;wsp:rsid wsp:val=&quot;00401FEE&quot;/&gt;&lt;wsp:rsid wsp:val=&quot;004021CE&quot;/&gt;&lt;wsp:rsid wsp:val=&quot;00402236&quot;/&gt;&lt;wsp:rsid wsp:val=&quot;004022D7&quot;/&gt;&lt;wsp:rsid wsp:val=&quot;004026E2&quot;/&gt;&lt;wsp:rsid wsp:val=&quot;00402CF7&quot;/&gt;&lt;wsp:rsid wsp:val=&quot;00403A6B&quot;/&gt;&lt;wsp:rsid wsp:val=&quot;00403DE1&quot;/&gt;&lt;wsp:rsid wsp:val=&quot;0040416B&quot;/&gt;&lt;wsp:rsid wsp:val=&quot;0040427C&quot;/&gt;&lt;wsp:rsid wsp:val=&quot;0040429A&quot;/&gt;&lt;wsp:rsid wsp:val=&quot;004043CC&quot;/&gt;&lt;wsp:rsid wsp:val=&quot;00404454&quot;/&gt;&lt;wsp:rsid wsp:val=&quot;00404824&quot;/&gt;&lt;wsp:rsid wsp:val=&quot;0040495B&quot;/&gt;&lt;wsp:rsid wsp:val=&quot;00404E75&quot;/&gt;&lt;wsp:rsid wsp:val=&quot;00405086&quot;/&gt;&lt;wsp:rsid wsp:val=&quot;004050CE&quot;/&gt;&lt;wsp:rsid wsp:val=&quot;0040540D&quot;/&gt;&lt;wsp:rsid wsp:val=&quot;004054FE&quot;/&gt;&lt;wsp:rsid wsp:val=&quot;004057E7&quot;/&gt;&lt;wsp:rsid wsp:val=&quot;004058F5&quot;/&gt;&lt;wsp:rsid wsp:val=&quot;00405E41&quot;/&gt;&lt;wsp:rsid wsp:val=&quot;00405E9F&quot;/&gt;&lt;wsp:rsid wsp:val=&quot;004060DF&quot;/&gt;&lt;wsp:rsid wsp:val=&quot;00406384&quot;/&gt;&lt;wsp:rsid wsp:val=&quot;00406721&quot;/&gt;&lt;wsp:rsid wsp:val=&quot;00406801&quot;/&gt;&lt;wsp:rsid wsp:val=&quot;004069D8&quot;/&gt;&lt;wsp:rsid wsp:val=&quot;0040715B&quot;/&gt;&lt;wsp:rsid wsp:val=&quot;00407364&quot;/&gt;&lt;wsp:rsid wsp:val=&quot;0040779B&quot;/&gt;&lt;wsp:rsid wsp:val=&quot;004079A8&quot;/&gt;&lt;wsp:rsid wsp:val=&quot;00407A9E&quot;/&gt;&lt;wsp:rsid wsp:val=&quot;004107A6&quot;/&gt;&lt;wsp:rsid wsp:val=&quot;004107B6&quot;/&gt;&lt;wsp:rsid wsp:val=&quot;004112A6&quot;/&gt;&lt;wsp:rsid wsp:val=&quot;00411434&quot;/&gt;&lt;wsp:rsid wsp:val=&quot;00411ECC&quot;/&gt;&lt;wsp:rsid wsp:val=&quot;0041279E&quot;/&gt;&lt;wsp:rsid wsp:val=&quot;00412A6E&quot;/&gt;&lt;wsp:rsid wsp:val=&quot;00412C2E&quot;/&gt;&lt;wsp:rsid wsp:val=&quot;00412D0D&quot;/&gt;&lt;wsp:rsid wsp:val=&quot;00413004&quot;/&gt;&lt;wsp:rsid wsp:val=&quot;0041317A&quot;/&gt;&lt;wsp:rsid wsp:val=&quot;0041319A&quot;/&gt;&lt;wsp:rsid wsp:val=&quot;004135AE&quot;/&gt;&lt;wsp:rsid wsp:val=&quot;0041383A&quot;/&gt;&lt;wsp:rsid wsp:val=&quot;00413968&quot;/&gt;&lt;wsp:rsid wsp:val=&quot;0041427E&quot;/&gt;&lt;wsp:rsid wsp:val=&quot;004144D9&quot;/&gt;&lt;wsp:rsid wsp:val=&quot;0041462C&quot;/&gt;&lt;wsp:rsid wsp:val=&quot;00414B08&quot;/&gt;&lt;wsp:rsid wsp:val=&quot;00414FAD&quot;/&gt;&lt;wsp:rsid wsp:val=&quot;004152A2&quot;/&gt;&lt;wsp:rsid wsp:val=&quot;00415407&quot;/&gt;&lt;wsp:rsid wsp:val=&quot;004157B6&quot;/&gt;&lt;wsp:rsid wsp:val=&quot;0041587B&quot;/&gt;&lt;wsp:rsid wsp:val=&quot;00415987&quot;/&gt;&lt;wsp:rsid wsp:val=&quot;0041704F&quot;/&gt;&lt;wsp:rsid wsp:val=&quot;004175D8&quot;/&gt;&lt;wsp:rsid wsp:val=&quot;00417F57&quot;/&gt;&lt;wsp:rsid wsp:val=&quot;00417FE3&quot;/&gt;&lt;wsp:rsid wsp:val=&quot;00420F88&quot;/&gt;&lt;wsp:rsid wsp:val=&quot;00420FB4&quot;/&gt;&lt;wsp:rsid wsp:val=&quot;00421980&quot;/&gt;&lt;wsp:rsid wsp:val=&quot;00422056&quot;/&gt;&lt;wsp:rsid wsp:val=&quot;0042260B&quot;/&gt;&lt;wsp:rsid wsp:val=&quot;00422BB5&quot;/&gt;&lt;wsp:rsid wsp:val=&quot;00422C16&quot;/&gt;&lt;wsp:rsid wsp:val=&quot;00422D56&quot;/&gt;&lt;wsp:rsid wsp:val=&quot;00423115&quot;/&gt;&lt;wsp:rsid wsp:val=&quot;0042385B&quot;/&gt;&lt;wsp:rsid wsp:val=&quot;0042396F&quot;/&gt;&lt;wsp:rsid wsp:val=&quot;00423B57&quot;/&gt;&lt;wsp:rsid wsp:val=&quot;00423D2F&quot;/&gt;&lt;wsp:rsid wsp:val=&quot;0042475B&quot;/&gt;&lt;wsp:rsid wsp:val=&quot;00424885&quot;/&gt;&lt;wsp:rsid wsp:val=&quot;00424A56&quot;/&gt;&lt;wsp:rsid wsp:val=&quot;00424BB1&quot;/&gt;&lt;wsp:rsid wsp:val=&quot;00425A0E&quot;/&gt;&lt;wsp:rsid wsp:val=&quot;00425AF1&quot;/&gt;&lt;wsp:rsid wsp:val=&quot;00425C46&quot;/&gt;&lt;wsp:rsid wsp:val=&quot;00425C64&quot;/&gt;&lt;wsp:rsid wsp:val=&quot;00425ED8&quot;/&gt;&lt;wsp:rsid wsp:val=&quot;004263DB&quot;/&gt;&lt;wsp:rsid wsp:val=&quot;00426722&quot;/&gt;&lt;wsp:rsid wsp:val=&quot;00426793&quot;/&gt;&lt;wsp:rsid wsp:val=&quot;00426968&quot;/&gt;&lt;wsp:rsid wsp:val=&quot;00426D04&quot;/&gt;&lt;wsp:rsid wsp:val=&quot;00426D1A&quot;/&gt;&lt;wsp:rsid wsp:val=&quot;0042708E&quot;/&gt;&lt;wsp:rsid wsp:val=&quot;00427169&quot;/&gt;&lt;wsp:rsid wsp:val=&quot;004272B3&quot;/&gt;&lt;wsp:rsid wsp:val=&quot;00427360&quot;/&gt;&lt;wsp:rsid wsp:val=&quot;0042736C&quot;/&gt;&lt;wsp:rsid wsp:val=&quot;004273FC&quot;/&gt;&lt;wsp:rsid wsp:val=&quot;004277C1&quot;/&gt;&lt;wsp:rsid wsp:val=&quot;00427AE6&quot;/&gt;&lt;wsp:rsid wsp:val=&quot;00427DA8&quot;/&gt;&lt;wsp:rsid wsp:val=&quot;00427F65&quot;/&gt;&lt;wsp:rsid wsp:val=&quot;0043059C&quot;/&gt;&lt;wsp:rsid wsp:val=&quot;0043073B&quot;/&gt;&lt;wsp:rsid wsp:val=&quot;004307DF&quot;/&gt;&lt;wsp:rsid wsp:val=&quot;004309CE&quot;/&gt;&lt;wsp:rsid wsp:val=&quot;00430E8D&quot;/&gt;&lt;wsp:rsid wsp:val=&quot;00430FE8&quot;/&gt;&lt;wsp:rsid wsp:val=&quot;0043159E&quot;/&gt;&lt;wsp:rsid wsp:val=&quot;00431FFD&quot;/&gt;&lt;wsp:rsid wsp:val=&quot;004320ED&quot;/&gt;&lt;wsp:rsid wsp:val=&quot;00432299&quot;/&gt;&lt;wsp:rsid wsp:val=&quot;004325DF&quot;/&gt;&lt;wsp:rsid wsp:val=&quot;00432BF3&quot;/&gt;&lt;wsp:rsid wsp:val=&quot;0043302C&quot;/&gt;&lt;wsp:rsid wsp:val=&quot;004332F2&quot;/&gt;&lt;wsp:rsid wsp:val=&quot;00433664&quot;/&gt;&lt;wsp:rsid wsp:val=&quot;004339D8&quot;/&gt;&lt;wsp:rsid wsp:val=&quot;00433CB0&quot;/&gt;&lt;wsp:rsid wsp:val=&quot;00433DA9&quot;/&gt;&lt;wsp:rsid wsp:val=&quot;00433E05&quot;/&gt;&lt;wsp:rsid wsp:val=&quot;00434041&quot;/&gt;&lt;wsp:rsid wsp:val=&quot;00434256&quot;/&gt;&lt;wsp:rsid wsp:val=&quot;00434756&quot;/&gt;&lt;wsp:rsid wsp:val=&quot;00434AD3&quot;/&gt;&lt;wsp:rsid wsp:val=&quot;00434D96&quot;/&gt;&lt;wsp:rsid wsp:val=&quot;00435161&quot;/&gt;&lt;wsp:rsid wsp:val=&quot;004351B1&quot;/&gt;&lt;wsp:rsid wsp:val=&quot;00435391&quot;/&gt;&lt;wsp:rsid wsp:val=&quot;0043545E&quot;/&gt;&lt;wsp:rsid wsp:val=&quot;00435918&quot;/&gt;&lt;wsp:rsid wsp:val=&quot;004359BC&quot;/&gt;&lt;wsp:rsid wsp:val=&quot;00435DC9&quot;/&gt;&lt;wsp:rsid wsp:val=&quot;00436323&quot;/&gt;&lt;wsp:rsid wsp:val=&quot;00436AD9&quot;/&gt;&lt;wsp:rsid wsp:val=&quot;00436B70&quot;/&gt;&lt;wsp:rsid wsp:val=&quot;0043751D&quot;/&gt;&lt;wsp:rsid wsp:val=&quot;00437C23&quot;/&gt;&lt;wsp:rsid wsp:val=&quot;00437C27&quot;/&gt;&lt;wsp:rsid wsp:val=&quot;00437C41&quot;/&gt;&lt;wsp:rsid wsp:val=&quot;00437F7B&quot;/&gt;&lt;wsp:rsid wsp:val=&quot;00437FA1&quot;/&gt;&lt;wsp:rsid wsp:val=&quot;004401F8&quot;/&gt;&lt;wsp:rsid wsp:val=&quot;0044040B&quot;/&gt;&lt;wsp:rsid wsp:val=&quot;00440437&quot;/&gt;&lt;wsp:rsid wsp:val=&quot;004408DC&quot;/&gt;&lt;wsp:rsid wsp:val=&quot;00440FBB&quot;/&gt;&lt;wsp:rsid wsp:val=&quot;00441009&quot;/&gt;&lt;wsp:rsid wsp:val=&quot;004411F9&quot;/&gt;&lt;wsp:rsid wsp:val=&quot;004412B4&quot;/&gt;&lt;wsp:rsid wsp:val=&quot;00441D9E&quot;/&gt;&lt;wsp:rsid wsp:val=&quot;00441F03&quot;/&gt;&lt;wsp:rsid wsp:val=&quot;00442650&quot;/&gt;&lt;wsp:rsid wsp:val=&quot;004426EA&quot;/&gt;&lt;wsp:rsid wsp:val=&quot;00442757&quot;/&gt;&lt;wsp:rsid wsp:val=&quot;00442E55&quot;/&gt;&lt;wsp:rsid wsp:val=&quot;004432F0&quot;/&gt;&lt;wsp:rsid wsp:val=&quot;00443512&quot;/&gt;&lt;wsp:rsid wsp:val=&quot;00443699&quot;/&gt;&lt;wsp:rsid wsp:val=&quot;004439E7&quot;/&gt;&lt;wsp:rsid wsp:val=&quot;00444879&quot;/&gt;&lt;wsp:rsid wsp:val=&quot;004448C5&quot;/&gt;&lt;wsp:rsid wsp:val=&quot;004448DA&quot;/&gt;&lt;wsp:rsid wsp:val=&quot;00444D56&quot;/&gt;&lt;wsp:rsid wsp:val=&quot;004452EA&quot;/&gt;&lt;wsp:rsid wsp:val=&quot;00445A82&quot;/&gt;&lt;wsp:rsid wsp:val=&quot;00445F22&quot;/&gt;&lt;wsp:rsid wsp:val=&quot;004462D5&quot;/&gt;&lt;wsp:rsid wsp:val=&quot;004465EF&quot;/&gt;&lt;wsp:rsid wsp:val=&quot;004467B4&quot;/&gt;&lt;wsp:rsid wsp:val=&quot;0044696A&quot;/&gt;&lt;wsp:rsid wsp:val=&quot;00446E07&quot;/&gt;&lt;wsp:rsid wsp:val=&quot;004470A9&quot;/&gt;&lt;wsp:rsid wsp:val=&quot;00447D66&quot;/&gt;&lt;wsp:rsid wsp:val=&quot;00450010&quot;/&gt;&lt;wsp:rsid wsp:val=&quot;004507DB&quot;/&gt;&lt;wsp:rsid wsp:val=&quot;00450A8A&quot;/&gt;&lt;wsp:rsid wsp:val=&quot;00450CC1&quot;/&gt;&lt;wsp:rsid wsp:val=&quot;00450CED&quot;/&gt;&lt;wsp:rsid wsp:val=&quot;00450E63&quot;/&gt;&lt;wsp:rsid wsp:val=&quot;00450F41&quot;/&gt;&lt;wsp:rsid wsp:val=&quot;00451167&quot;/&gt;&lt;wsp:rsid wsp:val=&quot;00451466&quot;/&gt;&lt;wsp:rsid wsp:val=&quot;00451DA7&quot;/&gt;&lt;wsp:rsid wsp:val=&quot;004523D9&quot;/&gt;&lt;wsp:rsid wsp:val=&quot;004523FC&quot;/&gt;&lt;wsp:rsid wsp:val=&quot;00452764&quot;/&gt;&lt;wsp:rsid wsp:val=&quot;00452B8E&quot;/&gt;&lt;wsp:rsid wsp:val=&quot;004538EB&quot;/&gt;&lt;wsp:rsid wsp:val=&quot;0045399C&quot;/&gt;&lt;wsp:rsid wsp:val=&quot;00453B46&quot;/&gt;&lt;wsp:rsid wsp:val=&quot;00453D04&quot;/&gt;&lt;wsp:rsid wsp:val=&quot;00453EF1&quot;/&gt;&lt;wsp:rsid wsp:val=&quot;004546DB&quot;/&gt;&lt;wsp:rsid wsp:val=&quot;00454BF4&quot;/&gt;&lt;wsp:rsid wsp:val=&quot;00454DEA&quot;/&gt;&lt;wsp:rsid wsp:val=&quot;004554B7&quot;/&gt;&lt;wsp:rsid wsp:val=&quot;004559F9&quot;/&gt;&lt;wsp:rsid wsp:val=&quot;00455C34&quot;/&gt;&lt;wsp:rsid wsp:val=&quot;004560E3&quot;/&gt;&lt;wsp:rsid wsp:val=&quot;0045627C&quot;/&gt;&lt;wsp:rsid wsp:val=&quot;004570B9&quot;/&gt;&lt;wsp:rsid wsp:val=&quot;004575A4&quot;/&gt;&lt;wsp:rsid wsp:val=&quot;0045776D&quot;/&gt;&lt;wsp:rsid wsp:val=&quot;00457971&quot;/&gt;&lt;wsp:rsid wsp:val=&quot;00460125&quot;/&gt;&lt;wsp:rsid wsp:val=&quot;004603C0&quot;/&gt;&lt;wsp:rsid wsp:val=&quot;00460C91&quot;/&gt;&lt;wsp:rsid wsp:val=&quot;00460CE2&quot;/&gt;&lt;wsp:rsid wsp:val=&quot;00460F3A&quot;/&gt;&lt;wsp:rsid wsp:val=&quot;00461211&quot;/&gt;&lt;wsp:rsid wsp:val=&quot;004612EB&quot;/&gt;&lt;wsp:rsid wsp:val=&quot;0046174B&quot;/&gt;&lt;wsp:rsid wsp:val=&quot;004621F0&quot;/&gt;&lt;wsp:rsid wsp:val=&quot;004622B2&quot;/&gt;&lt;wsp:rsid wsp:val=&quot;0046334A&quot;/&gt;&lt;wsp:rsid wsp:val=&quot;00463955&quot;/&gt;&lt;wsp:rsid wsp:val=&quot;00463AF5&quot;/&gt;&lt;wsp:rsid wsp:val=&quot;00463E7E&quot;/&gt;&lt;wsp:rsid wsp:val=&quot;00463F73&quot;/&gt;&lt;wsp:rsid wsp:val=&quot;004642FC&quot;/&gt;&lt;wsp:rsid wsp:val=&quot;0046438A&quot;/&gt;&lt;wsp:rsid wsp:val=&quot;0046457C&quot;/&gt;&lt;wsp:rsid wsp:val=&quot;00464BBC&quot;/&gt;&lt;wsp:rsid wsp:val=&quot;00464EF9&quot;/&gt;&lt;wsp:rsid wsp:val=&quot;004650C0&quot;/&gt;&lt;wsp:rsid wsp:val=&quot;0046561D&quot;/&gt;&lt;wsp:rsid wsp:val=&quot;004656C2&quot;/&gt;&lt;wsp:rsid wsp:val=&quot;004657C3&quot;/&gt;&lt;wsp:rsid wsp:val=&quot;00465819&quot;/&gt;&lt;wsp:rsid wsp:val=&quot;00465831&quot;/&gt;&lt;wsp:rsid wsp:val=&quot;004658CA&quot;/&gt;&lt;wsp:rsid wsp:val=&quot;00465BF0&quot;/&gt;&lt;wsp:rsid wsp:val=&quot;00465D0C&quot;/&gt;&lt;wsp:rsid wsp:val=&quot;00465D65&quot;/&gt;&lt;wsp:rsid wsp:val=&quot;0046682A&quot;/&gt;&lt;wsp:rsid wsp:val=&quot;004668A8&quot;/&gt;&lt;wsp:rsid wsp:val=&quot;004668DC&quot;/&gt;&lt;wsp:rsid wsp:val=&quot;00466C7B&quot;/&gt;&lt;wsp:rsid wsp:val=&quot;00466CEF&quot;/&gt;&lt;wsp:rsid wsp:val=&quot;00466D60&quot;/&gt;&lt;wsp:rsid wsp:val=&quot;00467157&quot;/&gt;&lt;wsp:rsid wsp:val=&quot;00467784&quot;/&gt;&lt;wsp:rsid wsp:val=&quot;00467AA5&quot;/&gt;&lt;wsp:rsid wsp:val=&quot;00467B0E&quot;/&gt;&lt;wsp:rsid wsp:val=&quot;00467B1B&quot;/&gt;&lt;wsp:rsid wsp:val=&quot;0047053F&quot;/&gt;&lt;wsp:rsid wsp:val=&quot;00470552&quot;/&gt;&lt;wsp:rsid wsp:val=&quot;004705A2&quot;/&gt;&lt;wsp:rsid wsp:val=&quot;00470680&quot;/&gt;&lt;wsp:rsid wsp:val=&quot;0047071D&quot;/&gt;&lt;wsp:rsid wsp:val=&quot;00470BF6&quot;/&gt;&lt;wsp:rsid wsp:val=&quot;0047130F&quot;/&gt;&lt;wsp:rsid wsp:val=&quot;0047137A&quot;/&gt;&lt;wsp:rsid wsp:val=&quot;0047171F&quot;/&gt;&lt;wsp:rsid wsp:val=&quot;00471DCF&quot;/&gt;&lt;wsp:rsid wsp:val=&quot;00472059&quot;/&gt;&lt;wsp:rsid wsp:val=&quot;00472220&quot;/&gt;&lt;wsp:rsid wsp:val=&quot;004726A2&quot;/&gt;&lt;wsp:rsid wsp:val=&quot;00472845&quot;/&gt;&lt;wsp:rsid wsp:val=&quot;00472BF0&quot;/&gt;&lt;wsp:rsid wsp:val=&quot;00473427&quot;/&gt;&lt;wsp:rsid wsp:val=&quot;00474B46&quot;/&gt;&lt;wsp:rsid wsp:val=&quot;00475375&quot;/&gt;&lt;wsp:rsid wsp:val=&quot;004753B5&quot;/&gt;&lt;wsp:rsid wsp:val=&quot;00475428&quot;/&gt;&lt;wsp:rsid wsp:val=&quot;0047598C&quot;/&gt;&lt;wsp:rsid wsp:val=&quot;0047629D&quot;/&gt;&lt;wsp:rsid wsp:val=&quot;00476314&quot;/&gt;&lt;wsp:rsid wsp:val=&quot;00476E1B&quot;/&gt;&lt;wsp:rsid wsp:val=&quot;00477D13&quot;/&gt;&lt;wsp:rsid wsp:val=&quot;00477EE2&quot;/&gt;&lt;wsp:rsid wsp:val=&quot;00480196&quot;/&gt;&lt;wsp:rsid wsp:val=&quot;0048037C&quot;/&gt;&lt;wsp:rsid wsp:val=&quot;00480529&quot;/&gt;&lt;wsp:rsid wsp:val=&quot;004808AF&quot;/&gt;&lt;wsp:rsid wsp:val=&quot;00480CBF&quot;/&gt;&lt;wsp:rsid wsp:val=&quot;00481AE3&quot;/&gt;&lt;wsp:rsid wsp:val=&quot;004821A8&quot;/&gt;&lt;wsp:rsid wsp:val=&quot;00482311&quot;/&gt;&lt;wsp:rsid wsp:val=&quot;004823E4&quot;/&gt;&lt;wsp:rsid wsp:val=&quot;00482416&quot;/&gt;&lt;wsp:rsid wsp:val=&quot;004826E9&quot;/&gt;&lt;wsp:rsid wsp:val=&quot;00482E27&quot;/&gt;&lt;wsp:rsid wsp:val=&quot;00482E4F&quot;/&gt;&lt;wsp:rsid wsp:val=&quot;00483238&quot;/&gt;&lt;wsp:rsid wsp:val=&quot;00483987&quot;/&gt;&lt;wsp:rsid wsp:val=&quot;00483CC6&quot;/&gt;&lt;wsp:rsid wsp:val=&quot;00484078&quot;/&gt;&lt;wsp:rsid wsp:val=&quot;0048439E&quot;/&gt;&lt;wsp:rsid wsp:val=&quot;004849D4&quot;/&gt;&lt;wsp:rsid wsp:val=&quot;00484AA2&quot;/&gt;&lt;wsp:rsid wsp:val=&quot;00484AF7&quot;/&gt;&lt;wsp:rsid wsp:val=&quot;00484E4C&quot;/&gt;&lt;wsp:rsid wsp:val=&quot;0048591A&quot;/&gt;&lt;wsp:rsid wsp:val=&quot;00485B6A&quot;/&gt;&lt;wsp:rsid wsp:val=&quot;00485D8A&quot;/&gt;&lt;wsp:rsid wsp:val=&quot;00486070&quot;/&gt;&lt;wsp:rsid wsp:val=&quot;00486EFD&quot;/&gt;&lt;wsp:rsid wsp:val=&quot;004874D8&quot;/&gt;&lt;wsp:rsid wsp:val=&quot;0048758A&quot;/&gt;&lt;wsp:rsid wsp:val=&quot;00487710&quot;/&gt;&lt;wsp:rsid wsp:val=&quot;00487E3D&quot;/&gt;&lt;wsp:rsid wsp:val=&quot;00487EDD&quot;/&gt;&lt;wsp:rsid wsp:val=&quot;004904C4&quot;/&gt;&lt;wsp:rsid wsp:val=&quot;0049099D&quot;/&gt;&lt;wsp:rsid wsp:val=&quot;00490A11&quot;/&gt;&lt;wsp:rsid wsp:val=&quot;00490CBE&quot;/&gt;&lt;wsp:rsid wsp:val=&quot;00490EED&quot;/&gt;&lt;wsp:rsid wsp:val=&quot;0049128C&quot;/&gt;&lt;wsp:rsid wsp:val=&quot;0049139A&quot;/&gt;&lt;wsp:rsid wsp:val=&quot;00491735&quot;/&gt;&lt;wsp:rsid wsp:val=&quot;00491885&quot;/&gt;&lt;wsp:rsid wsp:val=&quot;004918B4&quot;/&gt;&lt;wsp:rsid wsp:val=&quot;004919CC&quot;/&gt;&lt;wsp:rsid wsp:val=&quot;00491C99&quot;/&gt;&lt;wsp:rsid wsp:val=&quot;00491CBC&quot;/&gt;&lt;wsp:rsid wsp:val=&quot;00491DFE&quot;/&gt;&lt;wsp:rsid wsp:val=&quot;00491EC2&quot;/&gt;&lt;wsp:rsid wsp:val=&quot;00492150&quot;/&gt;&lt;wsp:rsid wsp:val=&quot;00492211&quot;/&gt;&lt;wsp:rsid wsp:val=&quot;00492636&quot;/&gt;&lt;wsp:rsid wsp:val=&quot;004928D1&quot;/&gt;&lt;wsp:rsid wsp:val=&quot;00492C13&quot;/&gt;&lt;wsp:rsid wsp:val=&quot;00492FEC&quot;/&gt;&lt;wsp:rsid wsp:val=&quot;00493174&quot;/&gt;&lt;wsp:rsid wsp:val=&quot;0049391F&quot;/&gt;&lt;wsp:rsid wsp:val=&quot;004940B6&quot;/&gt;&lt;wsp:rsid wsp:val=&quot;004940BB&quot;/&gt;&lt;wsp:rsid wsp:val=&quot;004942C1&quot;/&gt;&lt;wsp:rsid wsp:val=&quot;00494391&quot;/&gt;&lt;wsp:rsid wsp:val=&quot;004945BD&quot;/&gt;&lt;wsp:rsid wsp:val=&quot;00494A89&quot;/&gt;&lt;wsp:rsid wsp:val=&quot;00494FDB&quot;/&gt;&lt;wsp:rsid wsp:val=&quot;00495216&quot;/&gt;&lt;wsp:rsid wsp:val=&quot;004952D7&quot;/&gt;&lt;wsp:rsid wsp:val=&quot;004952F0&quot;/&gt;&lt;wsp:rsid wsp:val=&quot;00495346&quot;/&gt;&lt;wsp:rsid wsp:val=&quot;004954F3&quot;/&gt;&lt;wsp:rsid wsp:val=&quot;004955E8&quot;/&gt;&lt;wsp:rsid wsp:val=&quot;0049561F&quot;/&gt;&lt;wsp:rsid wsp:val=&quot;00495687&quot;/&gt;&lt;wsp:rsid wsp:val=&quot;00495994&quot;/&gt;&lt;wsp:rsid wsp:val=&quot;004959FE&quot;/&gt;&lt;wsp:rsid wsp:val=&quot;00496515&quot;/&gt;&lt;wsp:rsid wsp:val=&quot;00496964&quot;/&gt;&lt;wsp:rsid wsp:val=&quot;00496D48&quot;/&gt;&lt;wsp:rsid wsp:val=&quot;00496F34&quot;/&gt;&lt;wsp:rsid wsp:val=&quot;00496FFE&quot;/&gt;&lt;wsp:rsid wsp:val=&quot;0049735F&quot;/&gt;&lt;wsp:rsid wsp:val=&quot;00497882&quot;/&gt;&lt;wsp:rsid wsp:val=&quot;00497F71&quot;/&gt;&lt;wsp:rsid wsp:val=&quot;004A0097&quot;/&gt;&lt;wsp:rsid wsp:val=&quot;004A033E&quot;/&gt;&lt;wsp:rsid wsp:val=&quot;004A08BA&quot;/&gt;&lt;wsp:rsid wsp:val=&quot;004A0C5B&quot;/&gt;&lt;wsp:rsid wsp:val=&quot;004A1C0F&quot;/&gt;&lt;wsp:rsid wsp:val=&quot;004A25EB&quot;/&gt;&lt;wsp:rsid wsp:val=&quot;004A2818&quot;/&gt;&lt;wsp:rsid wsp:val=&quot;004A2A17&quot;/&gt;&lt;wsp:rsid wsp:val=&quot;004A2B8A&quot;/&gt;&lt;wsp:rsid wsp:val=&quot;004A2CF2&quot;/&gt;&lt;wsp:rsid wsp:val=&quot;004A2E33&quot;/&gt;&lt;wsp:rsid wsp:val=&quot;004A2E48&quot;/&gt;&lt;wsp:rsid wsp:val=&quot;004A3129&quot;/&gt;&lt;wsp:rsid wsp:val=&quot;004A358F&quot;/&gt;&lt;wsp:rsid wsp:val=&quot;004A52BA&quot;/&gt;&lt;wsp:rsid wsp:val=&quot;004A564E&quot;/&gt;&lt;wsp:rsid wsp:val=&quot;004A5947&quot;/&gt;&lt;wsp:rsid wsp:val=&quot;004A5C61&quot;/&gt;&lt;wsp:rsid wsp:val=&quot;004A5D81&quot;/&gt;&lt;wsp:rsid wsp:val=&quot;004A623F&quot;/&gt;&lt;wsp:rsid wsp:val=&quot;004A657E&quot;/&gt;&lt;wsp:rsid wsp:val=&quot;004A65F9&quot;/&gt;&lt;wsp:rsid wsp:val=&quot;004A6AF1&quot;/&gt;&lt;wsp:rsid wsp:val=&quot;004A6D2A&quot;/&gt;&lt;wsp:rsid wsp:val=&quot;004A6E2E&quot;/&gt;&lt;wsp:rsid wsp:val=&quot;004A6E8A&quot;/&gt;&lt;wsp:rsid wsp:val=&quot;004A7283&quot;/&gt;&lt;wsp:rsid wsp:val=&quot;004A790F&quot;/&gt;&lt;wsp:rsid wsp:val=&quot;004A7FF2&quot;/&gt;&lt;wsp:rsid wsp:val=&quot;004B032B&quot;/&gt;&lt;wsp:rsid wsp:val=&quot;004B05B2&quot;/&gt;&lt;wsp:rsid wsp:val=&quot;004B0978&quot;/&gt;&lt;wsp:rsid wsp:val=&quot;004B0F53&quot;/&gt;&lt;wsp:rsid wsp:val=&quot;004B1308&quot;/&gt;&lt;wsp:rsid wsp:val=&quot;004B145D&quot;/&gt;&lt;wsp:rsid wsp:val=&quot;004B1D8F&quot;/&gt;&lt;wsp:rsid wsp:val=&quot;004B225B&quot;/&gt;&lt;wsp:rsid wsp:val=&quot;004B29C5&quot;/&gt;&lt;wsp:rsid wsp:val=&quot;004B2E9F&quot;/&gt;&lt;wsp:rsid wsp:val=&quot;004B41B6&quot;/&gt;&lt;wsp:rsid wsp:val=&quot;004B434E&quot;/&gt;&lt;wsp:rsid wsp:val=&quot;004B435F&quot;/&gt;&lt;wsp:rsid wsp:val=&quot;004B440D&quot;/&gt;&lt;wsp:rsid wsp:val=&quot;004B4DD8&quot;/&gt;&lt;wsp:rsid wsp:val=&quot;004B555E&quot;/&gt;&lt;wsp:rsid wsp:val=&quot;004B55CA&quot;/&gt;&lt;wsp:rsid wsp:val=&quot;004B58F2&quot;/&gt;&lt;wsp:rsid wsp:val=&quot;004B5D92&quot;/&gt;&lt;wsp:rsid wsp:val=&quot;004B5EE5&quot;/&gt;&lt;wsp:rsid wsp:val=&quot;004B61B0&quot;/&gt;&lt;wsp:rsid wsp:val=&quot;004B6219&quot;/&gt;&lt;wsp:rsid wsp:val=&quot;004B6285&quot;/&gt;&lt;wsp:rsid wsp:val=&quot;004B6679&quot;/&gt;&lt;wsp:rsid wsp:val=&quot;004B6707&quot;/&gt;&lt;wsp:rsid wsp:val=&quot;004B69EC&quot;/&gt;&lt;wsp:rsid wsp:val=&quot;004B701F&quot;/&gt;&lt;wsp:rsid wsp:val=&quot;004B7117&quot;/&gt;&lt;wsp:rsid wsp:val=&quot;004B75E3&quot;/&gt;&lt;wsp:rsid wsp:val=&quot;004B76B1&quot;/&gt;&lt;wsp:rsid wsp:val=&quot;004B7D0B&quot;/&gt;&lt;wsp:rsid wsp:val=&quot;004C01FD&quot;/&gt;&lt;wsp:rsid wsp:val=&quot;004C0369&quot;/&gt;&lt;wsp:rsid wsp:val=&quot;004C0653&quot;/&gt;&lt;wsp:rsid wsp:val=&quot;004C06AA&quot;/&gt;&lt;wsp:rsid wsp:val=&quot;004C06FB&quot;/&gt;&lt;wsp:rsid wsp:val=&quot;004C0DFC&quot;/&gt;&lt;wsp:rsid wsp:val=&quot;004C0F9C&quot;/&gt;&lt;wsp:rsid wsp:val=&quot;004C1291&quot;/&gt;&lt;wsp:rsid wsp:val=&quot;004C1ABB&quot;/&gt;&lt;wsp:rsid wsp:val=&quot;004C1B46&quot;/&gt;&lt;wsp:rsid wsp:val=&quot;004C1DA9&quot;/&gt;&lt;wsp:rsid wsp:val=&quot;004C3A6C&quot;/&gt;&lt;wsp:rsid wsp:val=&quot;004C3C5B&quot;/&gt;&lt;wsp:rsid wsp:val=&quot;004C3C82&quot;/&gt;&lt;wsp:rsid wsp:val=&quot;004C4983&quot;/&gt;&lt;wsp:rsid wsp:val=&quot;004C4C56&quot;/&gt;&lt;wsp:rsid wsp:val=&quot;004C4FFB&quot;/&gt;&lt;wsp:rsid wsp:val=&quot;004C5059&quot;/&gt;&lt;wsp:rsid wsp:val=&quot;004C50F9&quot;/&gt;&lt;wsp:rsid wsp:val=&quot;004C5131&quot;/&gt;&lt;wsp:rsid wsp:val=&quot;004C5145&quot;/&gt;&lt;wsp:rsid wsp:val=&quot;004C5B0C&quot;/&gt;&lt;wsp:rsid wsp:val=&quot;004C5F31&quot;/&gt;&lt;wsp:rsid wsp:val=&quot;004C671A&quot;/&gt;&lt;wsp:rsid wsp:val=&quot;004C6DBF&quot;/&gt;&lt;wsp:rsid wsp:val=&quot;004C742B&quot;/&gt;&lt;wsp:rsid wsp:val=&quot;004C7B92&quot;/&gt;&lt;wsp:rsid wsp:val=&quot;004C7C9F&quot;/&gt;&lt;wsp:rsid wsp:val=&quot;004D0477&quot;/&gt;&lt;wsp:rsid wsp:val=&quot;004D0579&quot;/&gt;&lt;wsp:rsid wsp:val=&quot;004D05DC&quot;/&gt;&lt;wsp:rsid wsp:val=&quot;004D09CD&quot;/&gt;&lt;wsp:rsid wsp:val=&quot;004D1078&quot;/&gt;&lt;wsp:rsid wsp:val=&quot;004D10FE&quot;/&gt;&lt;wsp:rsid wsp:val=&quot;004D13D9&quot;/&gt;&lt;wsp:rsid wsp:val=&quot;004D1557&quot;/&gt;&lt;wsp:rsid wsp:val=&quot;004D163C&quot;/&gt;&lt;wsp:rsid wsp:val=&quot;004D1C13&quot;/&gt;&lt;wsp:rsid wsp:val=&quot;004D2080&quot;/&gt;&lt;wsp:rsid wsp:val=&quot;004D250E&quot;/&gt;&lt;wsp:rsid wsp:val=&quot;004D270F&quot;/&gt;&lt;wsp:rsid wsp:val=&quot;004D2851&quot;/&gt;&lt;wsp:rsid wsp:val=&quot;004D3636&quot;/&gt;&lt;wsp:rsid wsp:val=&quot;004D377E&quot;/&gt;&lt;wsp:rsid wsp:val=&quot;004D4254&quot;/&gt;&lt;wsp:rsid wsp:val=&quot;004D4572&quot;/&gt;&lt;wsp:rsid wsp:val=&quot;004D4588&quot;/&gt;&lt;wsp:rsid wsp:val=&quot;004D4C82&quot;/&gt;&lt;wsp:rsid wsp:val=&quot;004D5273&quot;/&gt;&lt;wsp:rsid wsp:val=&quot;004D537A&quot;/&gt;&lt;wsp:rsid wsp:val=&quot;004D5863&quot;/&gt;&lt;wsp:rsid wsp:val=&quot;004D6045&quot;/&gt;&lt;wsp:rsid wsp:val=&quot;004D66D5&quot;/&gt;&lt;wsp:rsid wsp:val=&quot;004D673C&quot;/&gt;&lt;wsp:rsid wsp:val=&quot;004D6895&quot;/&gt;&lt;wsp:rsid wsp:val=&quot;004D6E47&quot;/&gt;&lt;wsp:rsid wsp:val=&quot;004D704B&quot;/&gt;&lt;wsp:rsid wsp:val=&quot;004D71E6&quot;/&gt;&lt;wsp:rsid wsp:val=&quot;004D73D8&quot;/&gt;&lt;wsp:rsid wsp:val=&quot;004D764D&quot;/&gt;&lt;wsp:rsid wsp:val=&quot;004D79AC&quot;/&gt;&lt;wsp:rsid wsp:val=&quot;004D7B97&quot;/&gt;&lt;wsp:rsid wsp:val=&quot;004D7C03&quot;/&gt;&lt;wsp:rsid wsp:val=&quot;004E000F&quot;/&gt;&lt;wsp:rsid wsp:val=&quot;004E0618&quot;/&gt;&lt;wsp:rsid wsp:val=&quot;004E0F67&quot;/&gt;&lt;wsp:rsid wsp:val=&quot;004E18D6&quot;/&gt;&lt;wsp:rsid wsp:val=&quot;004E1BB3&quot;/&gt;&lt;wsp:rsid wsp:val=&quot;004E1E6F&quot;/&gt;&lt;wsp:rsid wsp:val=&quot;004E1FC6&quot;/&gt;&lt;wsp:rsid wsp:val=&quot;004E2360&quot;/&gt;&lt;wsp:rsid wsp:val=&quot;004E2CEA&quot;/&gt;&lt;wsp:rsid wsp:val=&quot;004E31EB&quot;/&gt;&lt;wsp:rsid wsp:val=&quot;004E328B&quot;/&gt;&lt;wsp:rsid wsp:val=&quot;004E3389&quot;/&gt;&lt;wsp:rsid wsp:val=&quot;004E33AF&quot;/&gt;&lt;wsp:rsid wsp:val=&quot;004E358B&quot;/&gt;&lt;wsp:rsid wsp:val=&quot;004E4017&quot;/&gt;&lt;wsp:rsid wsp:val=&quot;004E4643&quot;/&gt;&lt;wsp:rsid wsp:val=&quot;004E4E7D&quot;/&gt;&lt;wsp:rsid wsp:val=&quot;004E527A&quot;/&gt;&lt;wsp:rsid wsp:val=&quot;004E560E&quot;/&gt;&lt;wsp:rsid wsp:val=&quot;004E5B06&quot;/&gt;&lt;wsp:rsid wsp:val=&quot;004E61F5&quot;/&gt;&lt;wsp:rsid wsp:val=&quot;004E6955&quot;/&gt;&lt;wsp:rsid wsp:val=&quot;004E7306&quot;/&gt;&lt;wsp:rsid wsp:val=&quot;004E7868&quot;/&gt;&lt;wsp:rsid wsp:val=&quot;004E7A93&quot;/&gt;&lt;wsp:rsid wsp:val=&quot;004E7F40&quot;/&gt;&lt;wsp:rsid wsp:val=&quot;004F00E9&quot;/&gt;&lt;wsp:rsid wsp:val=&quot;004F030D&quot;/&gt;&lt;wsp:rsid wsp:val=&quot;004F0342&quot;/&gt;&lt;wsp:rsid wsp:val=&quot;004F087C&quot;/&gt;&lt;wsp:rsid wsp:val=&quot;004F0E59&quot;/&gt;&lt;wsp:rsid wsp:val=&quot;004F0EA4&quot;/&gt;&lt;wsp:rsid wsp:val=&quot;004F1389&quot;/&gt;&lt;wsp:rsid wsp:val=&quot;004F141A&quot;/&gt;&lt;wsp:rsid wsp:val=&quot;004F19DE&quot;/&gt;&lt;wsp:rsid wsp:val=&quot;004F1E22&quot;/&gt;&lt;wsp:rsid wsp:val=&quot;004F1F81&quot;/&gt;&lt;wsp:rsid wsp:val=&quot;004F20DC&quot;/&gt;&lt;wsp:rsid wsp:val=&quot;004F21E6&quot;/&gt;&lt;wsp:rsid wsp:val=&quot;004F26BC&quot;/&gt;&lt;wsp:rsid wsp:val=&quot;004F2CF6&quot;/&gt;&lt;wsp:rsid wsp:val=&quot;004F341F&quot;/&gt;&lt;wsp:rsid wsp:val=&quot;004F39A8&quot;/&gt;&lt;wsp:rsid wsp:val=&quot;004F3B68&quot;/&gt;&lt;wsp:rsid wsp:val=&quot;004F3CB1&quot;/&gt;&lt;wsp:rsid wsp:val=&quot;004F3EB1&quot;/&gt;&lt;wsp:rsid wsp:val=&quot;004F4B35&quot;/&gt;&lt;wsp:rsid wsp:val=&quot;004F4D3F&quot;/&gt;&lt;wsp:rsid wsp:val=&quot;004F4FE9&quot;/&gt;&lt;wsp:rsid wsp:val=&quot;004F5095&quot;/&gt;&lt;wsp:rsid wsp:val=&quot;004F50CE&quot;/&gt;&lt;wsp:rsid wsp:val=&quot;004F53E7&quot;/&gt;&lt;wsp:rsid wsp:val=&quot;004F544B&quot;/&gt;&lt;wsp:rsid wsp:val=&quot;004F5752&quot;/&gt;&lt;wsp:rsid wsp:val=&quot;004F5A83&quot;/&gt;&lt;wsp:rsid wsp:val=&quot;004F5B67&quot;/&gt;&lt;wsp:rsid wsp:val=&quot;004F605F&quot;/&gt;&lt;wsp:rsid wsp:val=&quot;004F6428&quot;/&gt;&lt;wsp:rsid wsp:val=&quot;004F6D5F&quot;/&gt;&lt;wsp:rsid wsp:val=&quot;004F7518&quot;/&gt;&lt;wsp:rsid wsp:val=&quot;00500525&quot;/&gt;&lt;wsp:rsid wsp:val=&quot;005005E2&quot;/&gt;&lt;wsp:rsid wsp:val=&quot;005008C3&quot;/&gt;&lt;wsp:rsid wsp:val=&quot;0050090B&quot;/&gt;&lt;wsp:rsid wsp:val=&quot;00500E06&quot;/&gt;&lt;wsp:rsid wsp:val=&quot;00500F51&quot;/&gt;&lt;wsp:rsid wsp:val=&quot;0050129C&quot;/&gt;&lt;wsp:rsid wsp:val=&quot;00501655&quot;/&gt;&lt;wsp:rsid wsp:val=&quot;00502020&quot;/&gt;&lt;wsp:rsid wsp:val=&quot;005024BB&quot;/&gt;&lt;wsp:rsid wsp:val=&quot;005026DC&quot;/&gt;&lt;wsp:rsid wsp:val=&quot;00502C8D&quot;/&gt;&lt;wsp:rsid wsp:val=&quot;00502F1F&quot;/&gt;&lt;wsp:rsid wsp:val=&quot;00503745&quot;/&gt;&lt;wsp:rsid wsp:val=&quot;005038BC&quot;/&gt;&lt;wsp:rsid wsp:val=&quot;00503C54&quot;/&gt;&lt;wsp:rsid wsp:val=&quot;0050413F&quot;/&gt;&lt;wsp:rsid wsp:val=&quot;00504193&quot;/&gt;&lt;wsp:rsid wsp:val=&quot;00504917&quot;/&gt;&lt;wsp:rsid wsp:val=&quot;00504B26&quot;/&gt;&lt;wsp:rsid wsp:val=&quot;00504C21&quot;/&gt;&lt;wsp:rsid wsp:val=&quot;00504E2F&quot;/&gt;&lt;wsp:rsid wsp:val=&quot;00504EC4&quot;/&gt;&lt;wsp:rsid wsp:val=&quot;005054E7&quot;/&gt;&lt;wsp:rsid wsp:val=&quot;00505967&quot;/&gt;&lt;wsp:rsid wsp:val=&quot;00505ACC&quot;/&gt;&lt;wsp:rsid wsp:val=&quot;00505CDF&quot;/&gt;&lt;wsp:rsid wsp:val=&quot;005063D5&quot;/&gt;&lt;wsp:rsid wsp:val=&quot;0050662F&quot;/&gt;&lt;wsp:rsid wsp:val=&quot;00506EFE&quot;/&gt;&lt;wsp:rsid wsp:val=&quot;00506FAD&quot;/&gt;&lt;wsp:rsid wsp:val=&quot;0050717B&quot;/&gt;&lt;wsp:rsid wsp:val=&quot;00507184&quot;/&gt;&lt;wsp:rsid wsp:val=&quot;00507D15&quot;/&gt;&lt;wsp:rsid wsp:val=&quot;00507D5D&quot;/&gt;&lt;wsp:rsid wsp:val=&quot;0051041C&quot;/&gt;&lt;wsp:rsid wsp:val=&quot;005112CA&quot;/&gt;&lt;wsp:rsid wsp:val=&quot;00511673&quot;/&gt;&lt;wsp:rsid wsp:val=&quot;00511A60&quot;/&gt;&lt;wsp:rsid wsp:val=&quot;0051236D&quot;/&gt;&lt;wsp:rsid wsp:val=&quot;00512D7F&quot;/&gt;&lt;wsp:rsid wsp:val=&quot;00512D83&quot;/&gt;&lt;wsp:rsid wsp:val=&quot;0051377C&quot;/&gt;&lt;wsp:rsid wsp:val=&quot;005139E0&quot;/&gt;&lt;wsp:rsid wsp:val=&quot;00513B21&quot;/&gt;&lt;wsp:rsid wsp:val=&quot;00513E46&quot;/&gt;&lt;wsp:rsid wsp:val=&quot;0051431C&quot;/&gt;&lt;wsp:rsid wsp:val=&quot;00514D53&quot;/&gt;&lt;wsp:rsid wsp:val=&quot;00514D5F&quot;/&gt;&lt;wsp:rsid wsp:val=&quot;00514EC4&quot;/&gt;&lt;wsp:rsid wsp:val=&quot;0051527C&quot;/&gt;&lt;wsp:rsid wsp:val=&quot;00515420&quot;/&gt;&lt;wsp:rsid wsp:val=&quot;00515905&quot;/&gt;&lt;wsp:rsid wsp:val=&quot;00516385&quot;/&gt;&lt;wsp:rsid wsp:val=&quot;00516618&quot;/&gt;&lt;wsp:rsid wsp:val=&quot;00516F9E&quot;/&gt;&lt;wsp:rsid wsp:val=&quot;00517075&quot;/&gt;&lt;wsp:rsid wsp:val=&quot;00517094&quot;/&gt;&lt;wsp:rsid wsp:val=&quot;005171B9&quot;/&gt;&lt;wsp:rsid wsp:val=&quot;0051749B&quot;/&gt;&lt;wsp:rsid wsp:val=&quot;00517DEC&quot;/&gt;&lt;wsp:rsid wsp:val=&quot;00520091&quot;/&gt;&lt;wsp:rsid wsp:val=&quot;0052094F&quot;/&gt;&lt;wsp:rsid wsp:val=&quot;00520A72&quot;/&gt;&lt;wsp:rsid wsp:val=&quot;00520B91&quot;/&gt;&lt;wsp:rsid wsp:val=&quot;005213A6&quot;/&gt;&lt;wsp:rsid wsp:val=&quot;00522C8F&quot;/&gt;&lt;wsp:rsid wsp:val=&quot;00522D90&quot;/&gt;&lt;wsp:rsid wsp:val=&quot;005232B0&quot;/&gt;&lt;wsp:rsid wsp:val=&quot;00523A0A&quot;/&gt;&lt;wsp:rsid wsp:val=&quot;00523B03&quot;/&gt;&lt;wsp:rsid wsp:val=&quot;00523D52&quot;/&gt;&lt;wsp:rsid wsp:val=&quot;00523DEF&quot;/&gt;&lt;wsp:rsid wsp:val=&quot;00523E19&quot;/&gt;&lt;wsp:rsid wsp:val=&quot;00524973&quot;/&gt;&lt;wsp:rsid wsp:val=&quot;00524C0C&quot;/&gt;&lt;wsp:rsid wsp:val=&quot;00524C95&quot;/&gt;&lt;wsp:rsid wsp:val=&quot;00525371&quot;/&gt;&lt;wsp:rsid wsp:val=&quot;0052539A&quot;/&gt;&lt;wsp:rsid wsp:val=&quot;005255E9&quot;/&gt;&lt;wsp:rsid wsp:val=&quot;0052600F&quot;/&gt;&lt;wsp:rsid wsp:val=&quot;005260F2&quot;/&gt;&lt;wsp:rsid wsp:val=&quot;00526C2E&quot;/&gt;&lt;wsp:rsid wsp:val=&quot;00526C3C&quot;/&gt;&lt;wsp:rsid wsp:val=&quot;00527199&quot;/&gt;&lt;wsp:rsid wsp:val=&quot;005272BE&quot;/&gt;&lt;wsp:rsid wsp:val=&quot;00527927&quot;/&gt;&lt;wsp:rsid wsp:val=&quot;0052794E&quot;/&gt;&lt;wsp:rsid wsp:val=&quot;00527B7C&quot;/&gt;&lt;wsp:rsid wsp:val=&quot;0053017A&quot;/&gt;&lt;wsp:rsid wsp:val=&quot;005303A4&quot;/&gt;&lt;wsp:rsid wsp:val=&quot;00530667&quot;/&gt;&lt;wsp:rsid wsp:val=&quot;005308CB&quot;/&gt;&lt;wsp:rsid wsp:val=&quot;005308D8&quot;/&gt;&lt;wsp:rsid wsp:val=&quot;00530CB4&quot;/&gt;&lt;wsp:rsid wsp:val=&quot;0053109A&quot;/&gt;&lt;wsp:rsid wsp:val=&quot;005311FA&quot;/&gt;&lt;wsp:rsid wsp:val=&quot;005319AF&quot;/&gt;&lt;wsp:rsid wsp:val=&quot;00531A8A&quot;/&gt;&lt;wsp:rsid wsp:val=&quot;0053230D&quot;/&gt;&lt;wsp:rsid wsp:val=&quot;00532906&quot;/&gt;&lt;wsp:rsid wsp:val=&quot;005329A0&quot;/&gt;&lt;wsp:rsid wsp:val=&quot;00532A8C&quot;/&gt;&lt;wsp:rsid wsp:val=&quot;00532A90&quot;/&gt;&lt;wsp:rsid wsp:val=&quot;00532B20&quot;/&gt;&lt;wsp:rsid wsp:val=&quot;0053349E&quot;/&gt;&lt;wsp:rsid wsp:val=&quot;00533522&quot;/&gt;&lt;wsp:rsid wsp:val=&quot;00533B57&quot;/&gt;&lt;wsp:rsid wsp:val=&quot;00533D72&quot;/&gt;&lt;wsp:rsid wsp:val=&quot;0053407A&quot;/&gt;&lt;wsp:rsid wsp:val=&quot;00534662&quot;/&gt;&lt;wsp:rsid wsp:val=&quot;005348B6&quot;/&gt;&lt;wsp:rsid wsp:val=&quot;00534A7D&quot;/&gt;&lt;wsp:rsid wsp:val=&quot;00534B5E&quot;/&gt;&lt;wsp:rsid wsp:val=&quot;00534D1B&quot;/&gt;&lt;wsp:rsid wsp:val=&quot;005352E2&quot;/&gt;&lt;wsp:rsid wsp:val=&quot;00535743&quot;/&gt;&lt;wsp:rsid wsp:val=&quot;00535848&quot;/&gt;&lt;wsp:rsid wsp:val=&quot;00535CA1&quot;/&gt;&lt;wsp:rsid wsp:val=&quot;00535D48&quot;/&gt;&lt;wsp:rsid wsp:val=&quot;00535D50&quot;/&gt;&lt;wsp:rsid wsp:val=&quot;00536012&quot;/&gt;&lt;wsp:rsid wsp:val=&quot;005364D7&quot;/&gt;&lt;wsp:rsid wsp:val=&quot;00536620&quot;/&gt;&lt;wsp:rsid wsp:val=&quot;005368FF&quot;/&gt;&lt;wsp:rsid wsp:val=&quot;005369F5&quot;/&gt;&lt;wsp:rsid wsp:val=&quot;00536C26&quot;/&gt;&lt;wsp:rsid wsp:val=&quot;00536D3F&quot;/&gt;&lt;wsp:rsid wsp:val=&quot;00536E6E&quot;/&gt;&lt;wsp:rsid wsp:val=&quot;00536F61&quot;/&gt;&lt;wsp:rsid wsp:val=&quot;00536FF8&quot;/&gt;&lt;wsp:rsid wsp:val=&quot;0053744C&quot;/&gt;&lt;wsp:rsid wsp:val=&quot;00537533&quot;/&gt;&lt;wsp:rsid wsp:val=&quot;00537ADA&quot;/&gt;&lt;wsp:rsid wsp:val=&quot;005418B3&quot;/&gt;&lt;wsp:rsid wsp:val=&quot;005419FA&quot;/&gt;&lt;wsp:rsid wsp:val=&quot;00541A3F&quot;/&gt;&lt;wsp:rsid wsp:val=&quot;00541CB9&quot;/&gt;&lt;wsp:rsid wsp:val=&quot;00541D4D&quot;/&gt;&lt;wsp:rsid wsp:val=&quot;00541E9C&quot;/&gt;&lt;wsp:rsid wsp:val=&quot;00542561&quot;/&gt;&lt;wsp:rsid wsp:val=&quot;005428A4&quot;/&gt;&lt;wsp:rsid wsp:val=&quot;00542982&quot;/&gt;&lt;wsp:rsid wsp:val=&quot;00542E18&quot;/&gt;&lt;wsp:rsid wsp:val=&quot;00543226&quot;/&gt;&lt;wsp:rsid wsp:val=&quot;00543560&quot;/&gt;&lt;wsp:rsid wsp:val=&quot;00543781&quot;/&gt;&lt;wsp:rsid wsp:val=&quot;00543A2C&quot;/&gt;&lt;wsp:rsid wsp:val=&quot;00543E0A&quot;/&gt;&lt;wsp:rsid wsp:val=&quot;00543FE9&quot;/&gt;&lt;wsp:rsid wsp:val=&quot;00544235&quot;/&gt;&lt;wsp:rsid wsp:val=&quot;005443FE&quot;/&gt;&lt;wsp:rsid wsp:val=&quot;00544781&quot;/&gt;&lt;wsp:rsid wsp:val=&quot;005448DF&quot;/&gt;&lt;wsp:rsid wsp:val=&quot;00544A62&quot;/&gt;&lt;wsp:rsid wsp:val=&quot;00544D4C&quot;/&gt;&lt;wsp:rsid wsp:val=&quot;00545053&quot;/&gt;&lt;wsp:rsid wsp:val=&quot;005450D1&quot;/&gt;&lt;wsp:rsid wsp:val=&quot;00545547&quot;/&gt;&lt;wsp:rsid wsp:val=&quot;00545616&quot;/&gt;&lt;wsp:rsid wsp:val=&quot;00545635&quot;/&gt;&lt;wsp:rsid wsp:val=&quot;005456E1&quot;/&gt;&lt;wsp:rsid wsp:val=&quot;00545C73&quot;/&gt;&lt;wsp:rsid wsp:val=&quot;005463CC&quot;/&gt;&lt;wsp:rsid wsp:val=&quot;005464E1&quot;/&gt;&lt;wsp:rsid wsp:val=&quot;00546E72&quot;/&gt;&lt;wsp:rsid wsp:val=&quot;00546EBD&quot;/&gt;&lt;wsp:rsid wsp:val=&quot;00547064&quot;/&gt;&lt;wsp:rsid wsp:val=&quot;00547B80&quot;/&gt;&lt;wsp:rsid wsp:val=&quot;00547BBD&quot;/&gt;&lt;wsp:rsid wsp:val=&quot;005504DA&quot;/&gt;&lt;wsp:rsid wsp:val=&quot;005509E2&quot;/&gt;&lt;wsp:rsid wsp:val=&quot;00550B9D&quot;/&gt;&lt;wsp:rsid wsp:val=&quot;00550C97&quot;/&gt;&lt;wsp:rsid wsp:val=&quot;005510AC&quot;/&gt;&lt;wsp:rsid wsp:val=&quot;00551909&quot;/&gt;&lt;wsp:rsid wsp:val=&quot;00551A7E&quot;/&gt;&lt;wsp:rsid wsp:val=&quot;0055209F&quot;/&gt;&lt;wsp:rsid wsp:val=&quot;0055212C&quot;/&gt;&lt;wsp:rsid wsp:val=&quot;005524B0&quot;/&gt;&lt;wsp:rsid wsp:val=&quot;00552872&quot;/&gt;&lt;wsp:rsid wsp:val=&quot;00552BC1&quot;/&gt;&lt;wsp:rsid wsp:val=&quot;00552BE7&quot;/&gt;&lt;wsp:rsid wsp:val=&quot;005531DC&quot;/&gt;&lt;wsp:rsid wsp:val=&quot;00553315&quot;/&gt;&lt;wsp:rsid wsp:val=&quot;005534EF&quot;/&gt;&lt;wsp:rsid wsp:val=&quot;00553503&quot;/&gt;&lt;wsp:rsid wsp:val=&quot;00553798&quot;/&gt;&lt;wsp:rsid wsp:val=&quot;00553EA4&quot;/&gt;&lt;wsp:rsid wsp:val=&quot;005540A5&quot;/&gt;&lt;wsp:rsid wsp:val=&quot;0055413B&quot;/&gt;&lt;wsp:rsid wsp:val=&quot;0055429F&quot;/&gt;&lt;wsp:rsid wsp:val=&quot;00554392&quot;/&gt;&lt;wsp:rsid wsp:val=&quot;00554A4D&quot;/&gt;&lt;wsp:rsid wsp:val=&quot;00554E98&quot;/&gt;&lt;wsp:rsid wsp:val=&quot;00555062&quot;/&gt;&lt;wsp:rsid wsp:val=&quot;0055572C&quot;/&gt;&lt;wsp:rsid wsp:val=&quot;00556519&quot;/&gt;&lt;wsp:rsid wsp:val=&quot;005566C8&quot;/&gt;&lt;wsp:rsid wsp:val=&quot;00556BE3&quot;/&gt;&lt;wsp:rsid wsp:val=&quot;00556CB6&quot;/&gt;&lt;wsp:rsid wsp:val=&quot;005576A6&quot;/&gt;&lt;wsp:rsid wsp:val=&quot;0055787A&quot;/&gt;&lt;wsp:rsid wsp:val=&quot;00557C62&quot;/&gt;&lt;wsp:rsid wsp:val=&quot;00557E19&quot;/&gt;&lt;wsp:rsid wsp:val=&quot;00557F58&quot;/&gt;&lt;wsp:rsid wsp:val=&quot;005602E7&quot;/&gt;&lt;wsp:rsid wsp:val=&quot;005606C4&quot;/&gt;&lt;wsp:rsid wsp:val=&quot;00560D19&quot;/&gt;&lt;wsp:rsid wsp:val=&quot;00561EA2&quot;/&gt;&lt;wsp:rsid wsp:val=&quot;0056203F&quot;/&gt;&lt;wsp:rsid wsp:val=&quot;00562101&quot;/&gt;&lt;wsp:rsid wsp:val=&quot;005626C5&quot;/&gt;&lt;wsp:rsid wsp:val=&quot;00562A26&quot;/&gt;&lt;wsp:rsid wsp:val=&quot;00562C6C&quot;/&gt;&lt;wsp:rsid wsp:val=&quot;00563083&quot;/&gt;&lt;wsp:rsid wsp:val=&quot;00564105&quot;/&gt;&lt;wsp:rsid wsp:val=&quot;005642FF&quot;/&gt;&lt;wsp:rsid wsp:val=&quot;005652B6&quot;/&gt;&lt;wsp:rsid wsp:val=&quot;005659D1&quot;/&gt;&lt;wsp:rsid wsp:val=&quot;00565DA5&quot;/&gt;&lt;wsp:rsid wsp:val=&quot;005661BF&quot;/&gt;&lt;wsp:rsid wsp:val=&quot;00566248&quot;/&gt;&lt;wsp:rsid wsp:val=&quot;005667FB&quot;/&gt;&lt;wsp:rsid wsp:val=&quot;00566985&quot;/&gt;&lt;wsp:rsid wsp:val=&quot;00567218&quot;/&gt;&lt;wsp:rsid wsp:val=&quot;005676AB&quot;/&gt;&lt;wsp:rsid wsp:val=&quot;00567778&quot;/&gt;&lt;wsp:rsid wsp:val=&quot;00567782&quot;/&gt;&lt;wsp:rsid wsp:val=&quot;005677E8&quot;/&gt;&lt;wsp:rsid wsp:val=&quot;005678F4&quot;/&gt;&lt;wsp:rsid wsp:val=&quot;00567A9B&quot;/&gt;&lt;wsp:rsid wsp:val=&quot;00567C68&quot;/&gt;&lt;wsp:rsid wsp:val=&quot;00567F72&quot;/&gt;&lt;wsp:rsid wsp:val=&quot;00570222&quot;/&gt;&lt;wsp:rsid wsp:val=&quot;005703F3&quot;/&gt;&lt;wsp:rsid wsp:val=&quot;00570567&quot;/&gt;&lt;wsp:rsid wsp:val=&quot;005708E0&quot;/&gt;&lt;wsp:rsid wsp:val=&quot;005709C7&quot;/&gt;&lt;wsp:rsid wsp:val=&quot;00571297&quot;/&gt;&lt;wsp:rsid wsp:val=&quot;00571355&quot;/&gt;&lt;wsp:rsid wsp:val=&quot;0057174D&quot;/&gt;&lt;wsp:rsid wsp:val=&quot;00571A63&quot;/&gt;&lt;wsp:rsid wsp:val=&quot;0057216F&quot;/&gt;&lt;wsp:rsid wsp:val=&quot;00572170&quot;/&gt;&lt;wsp:rsid wsp:val=&quot;00572202&quot;/&gt;&lt;wsp:rsid wsp:val=&quot;00572505&quot;/&gt;&lt;wsp:rsid wsp:val=&quot;00572E8A&quot;/&gt;&lt;wsp:rsid wsp:val=&quot;00572EAA&quot;/&gt;&lt;wsp:rsid wsp:val=&quot;00572EC7&quot;/&gt;&lt;wsp:rsid wsp:val=&quot;00572FDC&quot;/&gt;&lt;wsp:rsid wsp:val=&quot;005735B5&quot;/&gt;&lt;wsp:rsid wsp:val=&quot;00573AB3&quot;/&gt;&lt;wsp:rsid wsp:val=&quot;00573BC6&quot;/&gt;&lt;wsp:rsid wsp:val=&quot;00573FD7&quot;/&gt;&lt;wsp:rsid wsp:val=&quot;00574046&quot;/&gt;&lt;wsp:rsid wsp:val=&quot;005741DE&quot;/&gt;&lt;wsp:rsid wsp:val=&quot;0057450D&quot;/&gt;&lt;wsp:rsid wsp:val=&quot;00574603&quot;/&gt;&lt;wsp:rsid wsp:val=&quot;005746A1&quot;/&gt;&lt;wsp:rsid wsp:val=&quot;0057474A&quot;/&gt;&lt;wsp:rsid wsp:val=&quot;00574DD8&quot;/&gt;&lt;wsp:rsid wsp:val=&quot;00575282&quot;/&gt;&lt;wsp:rsid wsp:val=&quot;00575784&quot;/&gt;&lt;wsp:rsid wsp:val=&quot;005758F5&quot;/&gt;&lt;wsp:rsid wsp:val=&quot;00575AB6&quot;/&gt;&lt;wsp:rsid wsp:val=&quot;005760F5&quot;/&gt;&lt;wsp:rsid wsp:val=&quot;00576322&quot;/&gt;&lt;wsp:rsid wsp:val=&quot;0057656B&quot;/&gt;&lt;wsp:rsid wsp:val=&quot;00576C46&quot;/&gt;&lt;wsp:rsid wsp:val=&quot;00576D39&quot;/&gt;&lt;wsp:rsid wsp:val=&quot;005776B8&quot;/&gt;&lt;wsp:rsid wsp:val=&quot;00577C8A&quot;/&gt;&lt;wsp:rsid wsp:val=&quot;00580043&quot;/&gt;&lt;wsp:rsid wsp:val=&quot;0058070D&quot;/&gt;&lt;wsp:rsid wsp:val=&quot;005810F0&quot;/&gt;&lt;wsp:rsid wsp:val=&quot;00581238&quot;/&gt;&lt;wsp:rsid wsp:val=&quot;005814D5&quot;/&gt;&lt;wsp:rsid wsp:val=&quot;0058200D&quot;/&gt;&lt;wsp:rsid wsp:val=&quot;00582A7C&quot;/&gt;&lt;wsp:rsid wsp:val=&quot;00582B0A&quot;/&gt;&lt;wsp:rsid wsp:val=&quot;00582B40&quot;/&gt;&lt;wsp:rsid wsp:val=&quot;00583422&quot;/&gt;&lt;wsp:rsid wsp:val=&quot;0058349F&quot;/&gt;&lt;wsp:rsid wsp:val=&quot;0058354E&quot;/&gt;&lt;wsp:rsid wsp:val=&quot;00583D5A&quot;/&gt;&lt;wsp:rsid wsp:val=&quot;00584A27&quot;/&gt;&lt;wsp:rsid wsp:val=&quot;00584DA8&quot;/&gt;&lt;wsp:rsid wsp:val=&quot;00585130&quot;/&gt;&lt;wsp:rsid wsp:val=&quot;00585520&quot;/&gt;&lt;wsp:rsid wsp:val=&quot;005860A3&quot;/&gt;&lt;wsp:rsid wsp:val=&quot;005860D7&quot;/&gt;&lt;wsp:rsid wsp:val=&quot;005862A4&quot;/&gt;&lt;wsp:rsid wsp:val=&quot;00586490&quot;/&gt;&lt;wsp:rsid wsp:val=&quot;00586492&quot;/&gt;&lt;wsp:rsid wsp:val=&quot;00586507&quot;/&gt;&lt;wsp:rsid wsp:val=&quot;00587064&quot;/&gt;&lt;wsp:rsid wsp:val=&quot;00587294&quot;/&gt;&lt;wsp:rsid wsp:val=&quot;00587981&quot;/&gt;&lt;wsp:rsid wsp:val=&quot;00587B8C&quot;/&gt;&lt;wsp:rsid wsp:val=&quot;00587D33&quot;/&gt;&lt;wsp:rsid wsp:val=&quot;00587DB0&quot;/&gt;&lt;wsp:rsid wsp:val=&quot;00587EB0&quot;/&gt;&lt;wsp:rsid wsp:val=&quot;005904F8&quot;/&gt;&lt;wsp:rsid wsp:val=&quot;0059050B&quot;/&gt;&lt;wsp:rsid wsp:val=&quot;00590645&quot;/&gt;&lt;wsp:rsid wsp:val=&quot;00590AC0&quot;/&gt;&lt;wsp:rsid wsp:val=&quot;00590F30&quot;/&gt;&lt;wsp:rsid wsp:val=&quot;00591937&quot;/&gt;&lt;wsp:rsid wsp:val=&quot;0059262A&quot;/&gt;&lt;wsp:rsid wsp:val=&quot;005928DB&quot;/&gt;&lt;wsp:rsid wsp:val=&quot;0059302D&quot;/&gt;&lt;wsp:rsid wsp:val=&quot;00593401&quot;/&gt;&lt;wsp:rsid wsp:val=&quot;00593AEF&quot;/&gt;&lt;wsp:rsid wsp:val=&quot;005941A9&quot;/&gt;&lt;wsp:rsid wsp:val=&quot;005943A1&quot;/&gt;&lt;wsp:rsid wsp:val=&quot;00594433&quot;/&gt;&lt;wsp:rsid wsp:val=&quot;00594AB5&quot;/&gt;&lt;wsp:rsid wsp:val=&quot;00594C34&quot;/&gt;&lt;wsp:rsid wsp:val=&quot;00594FE8&quot;/&gt;&lt;wsp:rsid wsp:val=&quot;00595533&quot;/&gt;&lt;wsp:rsid wsp:val=&quot;005955AA&quot;/&gt;&lt;wsp:rsid wsp:val=&quot;00595F1A&quot;/&gt;&lt;wsp:rsid wsp:val=&quot;005963E5&quot;/&gt;&lt;wsp:rsid wsp:val=&quot;005966F2&quot;/&gt;&lt;wsp:rsid wsp:val=&quot;0059693C&quot;/&gt;&lt;wsp:rsid wsp:val=&quot;00596AB3&quot;/&gt;&lt;wsp:rsid wsp:val=&quot;00596FE8&quot;/&gt;&lt;wsp:rsid wsp:val=&quot;005971B9&quot;/&gt;&lt;wsp:rsid wsp:val=&quot;005971E9&quot;/&gt;&lt;wsp:rsid wsp:val=&quot;005973A0&quot;/&gt;&lt;wsp:rsid wsp:val=&quot;005974E1&quot;/&gt;&lt;wsp:rsid wsp:val=&quot;005975B0&quot;/&gt;&lt;wsp:rsid wsp:val=&quot;00597717&quot;/&gt;&lt;wsp:rsid wsp:val=&quot;005A01AA&quot;/&gt;&lt;wsp:rsid wsp:val=&quot;005A0668&quot;/&gt;&lt;wsp:rsid wsp:val=&quot;005A1173&quot;/&gt;&lt;wsp:rsid wsp:val=&quot;005A14E3&quot;/&gt;&lt;wsp:rsid wsp:val=&quot;005A1848&quot;/&gt;&lt;wsp:rsid wsp:val=&quot;005A1BFB&quot;/&gt;&lt;wsp:rsid wsp:val=&quot;005A1D36&quot;/&gt;&lt;wsp:rsid wsp:val=&quot;005A1EBB&quot;/&gt;&lt;wsp:rsid wsp:val=&quot;005A219B&quot;/&gt;&lt;wsp:rsid wsp:val=&quot;005A236A&quot;/&gt;&lt;wsp:rsid wsp:val=&quot;005A293C&quot;/&gt;&lt;wsp:rsid wsp:val=&quot;005A294C&quot;/&gt;&lt;wsp:rsid wsp:val=&quot;005A2E17&quot;/&gt;&lt;wsp:rsid wsp:val=&quot;005A2F7C&quot;/&gt;&lt;wsp:rsid wsp:val=&quot;005A3305&quot;/&gt;&lt;wsp:rsid wsp:val=&quot;005A347B&quot;/&gt;&lt;wsp:rsid wsp:val=&quot;005A4BB1&quot;/&gt;&lt;wsp:rsid wsp:val=&quot;005A4C44&quot;/&gt;&lt;wsp:rsid wsp:val=&quot;005A59BE&quot;/&gt;&lt;wsp:rsid wsp:val=&quot;005A6121&quot;/&gt;&lt;wsp:rsid wsp:val=&quot;005A6183&quot;/&gt;&lt;wsp:rsid wsp:val=&quot;005A6E72&quot;/&gt;&lt;wsp:rsid wsp:val=&quot;005A6F8C&quot;/&gt;&lt;wsp:rsid wsp:val=&quot;005A70C7&quot;/&gt;&lt;wsp:rsid wsp:val=&quot;005A7558&quot;/&gt;&lt;wsp:rsid wsp:val=&quot;005A787B&quot;/&gt;&lt;wsp:rsid wsp:val=&quot;005A7920&quot;/&gt;&lt;wsp:rsid wsp:val=&quot;005A7CA5&quot;/&gt;&lt;wsp:rsid wsp:val=&quot;005B0455&quot;/&gt;&lt;wsp:rsid wsp:val=&quot;005B0516&quot;/&gt;&lt;wsp:rsid wsp:val=&quot;005B064B&quot;/&gt;&lt;wsp:rsid wsp:val=&quot;005B080E&quot;/&gt;&lt;wsp:rsid wsp:val=&quot;005B08C4&quot;/&gt;&lt;wsp:rsid wsp:val=&quot;005B0991&quot;/&gt;&lt;wsp:rsid wsp:val=&quot;005B14F5&quot;/&gt;&lt;wsp:rsid wsp:val=&quot;005B17FB&quot;/&gt;&lt;wsp:rsid wsp:val=&quot;005B1E89&quot;/&gt;&lt;wsp:rsid wsp:val=&quot;005B2184&quot;/&gt;&lt;wsp:rsid wsp:val=&quot;005B237A&quot;/&gt;&lt;wsp:rsid wsp:val=&quot;005B248C&quot;/&gt;&lt;wsp:rsid wsp:val=&quot;005B2AC3&quot;/&gt;&lt;wsp:rsid wsp:val=&quot;005B2C4A&quot;/&gt;&lt;wsp:rsid wsp:val=&quot;005B314A&quot;/&gt;&lt;wsp:rsid wsp:val=&quot;005B3351&quot;/&gt;&lt;wsp:rsid wsp:val=&quot;005B35C5&quot;/&gt;&lt;wsp:rsid wsp:val=&quot;005B37D5&quot;/&gt;&lt;wsp:rsid wsp:val=&quot;005B383D&quot;/&gt;&lt;wsp:rsid wsp:val=&quot;005B3B27&quot;/&gt;&lt;wsp:rsid wsp:val=&quot;005B402D&quot;/&gt;&lt;wsp:rsid wsp:val=&quot;005B41AC&quot;/&gt;&lt;wsp:rsid wsp:val=&quot;005B49D7&quot;/&gt;&lt;wsp:rsid wsp:val=&quot;005B4F09&quot;/&gt;&lt;wsp:rsid wsp:val=&quot;005B58FD&quot;/&gt;&lt;wsp:rsid wsp:val=&quot;005B6115&quot;/&gt;&lt;wsp:rsid wsp:val=&quot;005B6256&quot;/&gt;&lt;wsp:rsid wsp:val=&quot;005B640B&quot;/&gt;&lt;wsp:rsid wsp:val=&quot;005B6F17&quot;/&gt;&lt;wsp:rsid wsp:val=&quot;005B7B27&quot;/&gt;&lt;wsp:rsid wsp:val=&quot;005B7F27&quot;/&gt;&lt;wsp:rsid wsp:val=&quot;005C08D1&quot;/&gt;&lt;wsp:rsid wsp:val=&quot;005C0B25&quot;/&gt;&lt;wsp:rsid wsp:val=&quot;005C0F82&quot;/&gt;&lt;wsp:rsid wsp:val=&quot;005C18C0&quot;/&gt;&lt;wsp:rsid wsp:val=&quot;005C1BC4&quot;/&gt;&lt;wsp:rsid wsp:val=&quot;005C2CB7&quot;/&gt;&lt;wsp:rsid wsp:val=&quot;005C328D&quot;/&gt;&lt;wsp:rsid wsp:val=&quot;005C34B9&quot;/&gt;&lt;wsp:rsid wsp:val=&quot;005C370D&quot;/&gt;&lt;wsp:rsid wsp:val=&quot;005C3B46&quot;/&gt;&lt;wsp:rsid wsp:val=&quot;005C3C94&quot;/&gt;&lt;wsp:rsid wsp:val=&quot;005C41AE&quot;/&gt;&lt;wsp:rsid wsp:val=&quot;005C420F&quot;/&gt;&lt;wsp:rsid wsp:val=&quot;005C4431&quot;/&gt;&lt;wsp:rsid wsp:val=&quot;005C45E7&quot;/&gt;&lt;wsp:rsid wsp:val=&quot;005C4E26&quot;/&gt;&lt;wsp:rsid wsp:val=&quot;005C559E&quot;/&gt;&lt;wsp:rsid wsp:val=&quot;005C5CAA&quot;/&gt;&lt;wsp:rsid wsp:val=&quot;005C5E3B&quot;/&gt;&lt;wsp:rsid wsp:val=&quot;005C5F32&quot;/&gt;&lt;wsp:rsid wsp:val=&quot;005C658B&quot;/&gt;&lt;wsp:rsid wsp:val=&quot;005C6A0D&quot;/&gt;&lt;wsp:rsid wsp:val=&quot;005C6A61&quot;/&gt;&lt;wsp:rsid wsp:val=&quot;005C6AE5&quot;/&gt;&lt;wsp:rsid wsp:val=&quot;005C6C28&quot;/&gt;&lt;wsp:rsid wsp:val=&quot;005C6CAC&quot;/&gt;&lt;wsp:rsid wsp:val=&quot;005C6FFE&quot;/&gt;&lt;wsp:rsid wsp:val=&quot;005C72DD&quot;/&gt;&lt;wsp:rsid wsp:val=&quot;005C75D9&quot;/&gt;&lt;wsp:rsid wsp:val=&quot;005C7BE8&quot;/&gt;&lt;wsp:rsid wsp:val=&quot;005C7F30&quot;/&gt;&lt;wsp:rsid wsp:val=&quot;005D0161&quot;/&gt;&lt;wsp:rsid wsp:val=&quot;005D06F5&quot;/&gt;&lt;wsp:rsid wsp:val=&quot;005D0DF7&quot;/&gt;&lt;wsp:rsid wsp:val=&quot;005D1169&quot;/&gt;&lt;wsp:rsid wsp:val=&quot;005D129B&quot;/&gt;&lt;wsp:rsid wsp:val=&quot;005D137F&quot;/&gt;&lt;wsp:rsid wsp:val=&quot;005D1459&quot;/&gt;&lt;wsp:rsid wsp:val=&quot;005D1906&quot;/&gt;&lt;wsp:rsid wsp:val=&quot;005D1B80&quot;/&gt;&lt;wsp:rsid wsp:val=&quot;005D1C8E&quot;/&gt;&lt;wsp:rsid wsp:val=&quot;005D1FC4&quot;/&gt;&lt;wsp:rsid wsp:val=&quot;005D1FDB&quot;/&gt;&lt;wsp:rsid wsp:val=&quot;005D2023&quot;/&gt;&lt;wsp:rsid wsp:val=&quot;005D2374&quot;/&gt;&lt;wsp:rsid wsp:val=&quot;005D24B3&quot;/&gt;&lt;wsp:rsid wsp:val=&quot;005D264A&quot;/&gt;&lt;wsp:rsid wsp:val=&quot;005D2F67&quot;/&gt;&lt;wsp:rsid wsp:val=&quot;005D30BA&quot;/&gt;&lt;wsp:rsid wsp:val=&quot;005D3CBD&quot;/&gt;&lt;wsp:rsid wsp:val=&quot;005D42FD&quot;/&gt;&lt;wsp:rsid wsp:val=&quot;005D43C9&quot;/&gt;&lt;wsp:rsid wsp:val=&quot;005D44A3&quot;/&gt;&lt;wsp:rsid wsp:val=&quot;005D4961&quot;/&gt;&lt;wsp:rsid wsp:val=&quot;005D4A3A&quot;/&gt;&lt;wsp:rsid wsp:val=&quot;005D4DBD&quot;/&gt;&lt;wsp:rsid wsp:val=&quot;005D5749&quot;/&gt;&lt;wsp:rsid wsp:val=&quot;005D594C&quot;/&gt;&lt;wsp:rsid wsp:val=&quot;005D6191&quot;/&gt;&lt;wsp:rsid wsp:val=&quot;005D633F&quot;/&gt;&lt;wsp:rsid wsp:val=&quot;005D6389&quot;/&gt;&lt;wsp:rsid wsp:val=&quot;005D6976&quot;/&gt;&lt;wsp:rsid wsp:val=&quot;005D6CF8&quot;/&gt;&lt;wsp:rsid wsp:val=&quot;005D6D76&quot;/&gt;&lt;wsp:rsid wsp:val=&quot;005D6FD0&quot;/&gt;&lt;wsp:rsid wsp:val=&quot;005D771B&quot;/&gt;&lt;wsp:rsid wsp:val=&quot;005D7B22&quot;/&gt;&lt;wsp:rsid wsp:val=&quot;005E0863&quot;/&gt;&lt;wsp:rsid wsp:val=&quot;005E0A6B&quot;/&gt;&lt;wsp:rsid wsp:val=&quot;005E0B99&quot;/&gt;&lt;wsp:rsid wsp:val=&quot;005E14A7&quot;/&gt;&lt;wsp:rsid wsp:val=&quot;005E1736&quot;/&gt;&lt;wsp:rsid wsp:val=&quot;005E1BB1&quot;/&gt;&lt;wsp:rsid wsp:val=&quot;005E1C17&quot;/&gt;&lt;wsp:rsid wsp:val=&quot;005E204B&quot;/&gt;&lt;wsp:rsid wsp:val=&quot;005E2CA9&quot;/&gt;&lt;wsp:rsid wsp:val=&quot;005E3323&quot;/&gt;&lt;wsp:rsid wsp:val=&quot;005E3615&quot;/&gt;&lt;wsp:rsid wsp:val=&quot;005E42A4&quot;/&gt;&lt;wsp:rsid wsp:val=&quot;005E46F9&quot;/&gt;&lt;wsp:rsid wsp:val=&quot;005E522D&quot;/&gt;&lt;wsp:rsid wsp:val=&quot;005E5623&quot;/&gt;&lt;wsp:rsid wsp:val=&quot;005E576F&quot;/&gt;&lt;wsp:rsid wsp:val=&quot;005E5958&quot;/&gt;&lt;wsp:rsid wsp:val=&quot;005E595D&quot;/&gt;&lt;wsp:rsid wsp:val=&quot;005E5CB6&quot;/&gt;&lt;wsp:rsid wsp:val=&quot;005E6340&quot;/&gt;&lt;wsp:rsid wsp:val=&quot;005E6552&quot;/&gt;&lt;wsp:rsid wsp:val=&quot;005E6604&quot;/&gt;&lt;wsp:rsid wsp:val=&quot;005E67FE&quot;/&gt;&lt;wsp:rsid wsp:val=&quot;005E6B92&quot;/&gt;&lt;wsp:rsid wsp:val=&quot;005E6E4A&quot;/&gt;&lt;wsp:rsid wsp:val=&quot;005E70F7&quot;/&gt;&lt;wsp:rsid wsp:val=&quot;005E77E6&quot;/&gt;&lt;wsp:rsid wsp:val=&quot;005E7D46&quot;/&gt;&lt;wsp:rsid wsp:val=&quot;005F0AA5&quot;/&gt;&lt;wsp:rsid wsp:val=&quot;005F0C74&quot;/&gt;&lt;wsp:rsid wsp:val=&quot;005F0D8A&quot;/&gt;&lt;wsp:rsid wsp:val=&quot;005F118F&quot;/&gt;&lt;wsp:rsid wsp:val=&quot;005F14A6&quot;/&gt;&lt;wsp:rsid wsp:val=&quot;005F17A0&quot;/&gt;&lt;wsp:rsid wsp:val=&quot;005F1918&quot;/&gt;&lt;wsp:rsid wsp:val=&quot;005F19FE&quot;/&gt;&lt;wsp:rsid wsp:val=&quot;005F1C12&quot;/&gt;&lt;wsp:rsid wsp:val=&quot;005F1E27&quot;/&gt;&lt;wsp:rsid wsp:val=&quot;005F2021&quot;/&gt;&lt;wsp:rsid wsp:val=&quot;005F208D&quot;/&gt;&lt;wsp:rsid wsp:val=&quot;005F2193&quot;/&gt;&lt;wsp:rsid wsp:val=&quot;005F27FB&quot;/&gt;&lt;wsp:rsid wsp:val=&quot;005F2E5A&quot;/&gt;&lt;wsp:rsid wsp:val=&quot;005F339C&quot;/&gt;&lt;wsp:rsid wsp:val=&quot;005F33B7&quot;/&gt;&lt;wsp:rsid wsp:val=&quot;005F3406&quot;/&gt;&lt;wsp:rsid wsp:val=&quot;005F39DA&quot;/&gt;&lt;wsp:rsid wsp:val=&quot;005F3B6D&quot;/&gt;&lt;wsp:rsid wsp:val=&quot;005F3BD3&quot;/&gt;&lt;wsp:rsid wsp:val=&quot;005F45EB&quot;/&gt;&lt;wsp:rsid wsp:val=&quot;005F469B&quot;/&gt;&lt;wsp:rsid wsp:val=&quot;005F4D5C&quot;/&gt;&lt;wsp:rsid wsp:val=&quot;005F543C&quot;/&gt;&lt;wsp:rsid wsp:val=&quot;005F5823&quot;/&gt;&lt;wsp:rsid wsp:val=&quot;005F5DCD&quot;/&gt;&lt;wsp:rsid wsp:val=&quot;005F5FB8&quot;/&gt;&lt;wsp:rsid wsp:val=&quot;005F63DD&quot;/&gt;&lt;wsp:rsid wsp:val=&quot;005F6614&quot;/&gt;&lt;wsp:rsid wsp:val=&quot;005F6CB8&quot;/&gt;&lt;wsp:rsid wsp:val=&quot;005F746D&quot;/&gt;&lt;wsp:rsid wsp:val=&quot;005F75FF&quot;/&gt;&lt;wsp:rsid wsp:val=&quot;005F787D&quot;/&gt;&lt;wsp:rsid wsp:val=&quot;00600022&quot;/&gt;&lt;wsp:rsid wsp:val=&quot;006003B1&quot;/&gt;&lt;wsp:rsid wsp:val=&quot;0060088E&quot;/&gt;&lt;wsp:rsid wsp:val=&quot;00601213&quot;/&gt;&lt;wsp:rsid wsp:val=&quot;0060178D&quot;/&gt;&lt;wsp:rsid wsp:val=&quot;00601825&quot;/&gt;&lt;wsp:rsid wsp:val=&quot;00601F04&quot;/&gt;&lt;wsp:rsid wsp:val=&quot;0060217A&quot;/&gt;&lt;wsp:rsid wsp:val=&quot;006026AB&quot;/&gt;&lt;wsp:rsid wsp:val=&quot;00602745&quot;/&gt;&lt;wsp:rsid wsp:val=&quot;00602D49&quot;/&gt;&lt;wsp:rsid wsp:val=&quot;00603DF0&quot;/&gt;&lt;wsp:rsid wsp:val=&quot;00603F6F&quot;/&gt;&lt;wsp:rsid wsp:val=&quot;006040C6&quot;/&gt;&lt;wsp:rsid wsp:val=&quot;006049CB&quot;/&gt;&lt;wsp:rsid wsp:val=&quot;00605873&quot;/&gt;&lt;wsp:rsid wsp:val=&quot;0060639E&quot;/&gt;&lt;wsp:rsid wsp:val=&quot;00606620&quot;/&gt;&lt;wsp:rsid wsp:val=&quot;0060664F&quot;/&gt;&lt;wsp:rsid wsp:val=&quot;006068F0&quot;/&gt;&lt;wsp:rsid wsp:val=&quot;00606C1E&quot;/&gt;&lt;wsp:rsid wsp:val=&quot;00606DBC&quot;/&gt;&lt;wsp:rsid wsp:val=&quot;0060750E&quot;/&gt;&lt;wsp:rsid wsp:val=&quot;00607635&quot;/&gt;&lt;wsp:rsid wsp:val=&quot;006076D3&quot;/&gt;&lt;wsp:rsid wsp:val=&quot;0060798F&quot;/&gt;&lt;wsp:rsid wsp:val=&quot;00607AF8&quot;/&gt;&lt;wsp:rsid wsp:val=&quot;00607F3B&quot;/&gt;&lt;wsp:rsid wsp:val=&quot;0061002D&quot;/&gt;&lt;wsp:rsid wsp:val=&quot;006106F8&quot;/&gt;&lt;wsp:rsid wsp:val=&quot;0061090B&quot;/&gt;&lt;wsp:rsid wsp:val=&quot;00610AE0&quot;/&gt;&lt;wsp:rsid wsp:val=&quot;00610B84&quot;/&gt;&lt;wsp:rsid wsp:val=&quot;00610E25&quot;/&gt;&lt;wsp:rsid wsp:val=&quot;00611080&quot;/&gt;&lt;wsp:rsid wsp:val=&quot;0061146F&quot;/&gt;&lt;wsp:rsid wsp:val=&quot;0061160E&quot;/&gt;&lt;wsp:rsid wsp:val=&quot;00611639&quot;/&gt;&lt;wsp:rsid wsp:val=&quot;00611773&quot;/&gt;&lt;wsp:rsid wsp:val=&quot;00611AE2&quot;/&gt;&lt;wsp:rsid wsp:val=&quot;00611FC7&quot;/&gt;&lt;wsp:rsid wsp:val=&quot;006126BC&quot;/&gt;&lt;wsp:rsid wsp:val=&quot;00612776&quot;/&gt;&lt;wsp:rsid wsp:val=&quot;00613032&quot;/&gt;&lt;wsp:rsid wsp:val=&quot;00613079&quot;/&gt;&lt;wsp:rsid wsp:val=&quot;00613328&quot;/&gt;&lt;wsp:rsid wsp:val=&quot;0061352F&quot;/&gt;&lt;wsp:rsid wsp:val=&quot;00614418&quot;/&gt;&lt;wsp:rsid wsp:val=&quot;00614958&quot;/&gt;&lt;wsp:rsid wsp:val=&quot;00614AA5&quot;/&gt;&lt;wsp:rsid wsp:val=&quot;00615010&quot;/&gt;&lt;wsp:rsid wsp:val=&quot;00615105&quot;/&gt;&lt;wsp:rsid wsp:val=&quot;0061576D&quot;/&gt;&lt;wsp:rsid wsp:val=&quot;00615958&quot;/&gt;&lt;wsp:rsid wsp:val=&quot;00615A20&quot;/&gt;&lt;wsp:rsid wsp:val=&quot;00616625&quot;/&gt;&lt;wsp:rsid wsp:val=&quot;00616CB0&quot;/&gt;&lt;wsp:rsid wsp:val=&quot;006174E0&quot;/&gt;&lt;wsp:rsid wsp:val=&quot;00617EAB&quot;/&gt;&lt;wsp:rsid wsp:val=&quot;006203E0&quot;/&gt;&lt;wsp:rsid wsp:val=&quot;006204AC&quot;/&gt;&lt;wsp:rsid wsp:val=&quot;00620EBF&quot;/&gt;&lt;wsp:rsid wsp:val=&quot;0062122B&quot;/&gt;&lt;wsp:rsid wsp:val=&quot;006217B6&quot;/&gt;&lt;wsp:rsid wsp:val=&quot;00621956&quot;/&gt;&lt;wsp:rsid wsp:val=&quot;00621CEE&quot;/&gt;&lt;wsp:rsid wsp:val=&quot;006222B1&quot;/&gt;&lt;wsp:rsid wsp:val=&quot;00622BA2&quot;/&gt;&lt;wsp:rsid wsp:val=&quot;00623098&quot;/&gt;&lt;wsp:rsid wsp:val=&quot;0062325C&quot;/&gt;&lt;wsp:rsid wsp:val=&quot;00623836&quot;/&gt;&lt;wsp:rsid wsp:val=&quot;006238A4&quot;/&gt;&lt;wsp:rsid wsp:val=&quot;0062390B&quot;/&gt;&lt;wsp:rsid wsp:val=&quot;00623C7F&quot;/&gt;&lt;wsp:rsid wsp:val=&quot;0062429A&quot;/&gt;&lt;wsp:rsid wsp:val=&quot;00624351&quot;/&gt;&lt;wsp:rsid wsp:val=&quot;00624AFE&quot;/&gt;&lt;wsp:rsid wsp:val=&quot;00624F5B&quot;/&gt;&lt;wsp:rsid wsp:val=&quot;00624FE6&quot;/&gt;&lt;wsp:rsid wsp:val=&quot;0062522B&quot;/&gt;&lt;wsp:rsid wsp:val=&quot;006254C8&quot;/&gt;&lt;wsp:rsid wsp:val=&quot;00625899&quot;/&gt;&lt;wsp:rsid wsp:val=&quot;00625B56&quot;/&gt;&lt;wsp:rsid wsp:val=&quot;00625E52&quot;/&gt;&lt;wsp:rsid wsp:val=&quot;00625F08&quot;/&gt;&lt;wsp:rsid wsp:val=&quot;006260FF&quot;/&gt;&lt;wsp:rsid wsp:val=&quot;00626169&quot;/&gt;&lt;wsp:rsid wsp:val=&quot;0062616A&quot;/&gt;&lt;wsp:rsid wsp:val=&quot;006266BC&quot;/&gt;&lt;wsp:rsid wsp:val=&quot;0062673E&quot;/&gt;&lt;wsp:rsid wsp:val=&quot;006268AC&quot;/&gt;&lt;wsp:rsid wsp:val=&quot;00626CD1&quot;/&gt;&lt;wsp:rsid wsp:val=&quot;00627275&quot;/&gt;&lt;wsp:rsid wsp:val=&quot;006272F8&quot;/&gt;&lt;wsp:rsid wsp:val=&quot;00627397&quot;/&gt;&lt;wsp:rsid wsp:val=&quot;006278A0&quot;/&gt;&lt;wsp:rsid wsp:val=&quot;00627E6D&quot;/&gt;&lt;wsp:rsid wsp:val=&quot;00627F1D&quot;/&gt;&lt;wsp:rsid wsp:val=&quot;00630057&quot;/&gt;&lt;wsp:rsid wsp:val=&quot;00630100&quot;/&gt;&lt;wsp:rsid wsp:val=&quot;00630483&quot;/&gt;&lt;wsp:rsid wsp:val=&quot;006307DE&quot;/&gt;&lt;wsp:rsid wsp:val=&quot;006309F5&quot;/&gt;&lt;wsp:rsid wsp:val=&quot;00630F1A&quot;/&gt;&lt;wsp:rsid wsp:val=&quot;00630F30&quot;/&gt;&lt;wsp:rsid wsp:val=&quot;00631626&quot;/&gt;&lt;wsp:rsid wsp:val=&quot;00631674&quot;/&gt;&lt;wsp:rsid wsp:val=&quot;00631A16&quot;/&gt;&lt;wsp:rsid wsp:val=&quot;00631ACC&quot;/&gt;&lt;wsp:rsid wsp:val=&quot;00631DD4&quot;/&gt;&lt;wsp:rsid wsp:val=&quot;006321A9&quot;/&gt;&lt;wsp:rsid wsp:val=&quot;006323B8&quot;/&gt;&lt;wsp:rsid wsp:val=&quot;006324CC&quot;/&gt;&lt;wsp:rsid wsp:val=&quot;00632919&quot;/&gt;&lt;wsp:rsid wsp:val=&quot;00632F23&quot;/&gt;&lt;wsp:rsid wsp:val=&quot;00633364&quot;/&gt;&lt;wsp:rsid wsp:val=&quot;00633717&quot;/&gt;&lt;wsp:rsid wsp:val=&quot;00633854&quot;/&gt;&lt;wsp:rsid wsp:val=&quot;00633A9D&quot;/&gt;&lt;wsp:rsid wsp:val=&quot;00633B40&quot;/&gt;&lt;wsp:rsid wsp:val=&quot;00633F5B&quot;/&gt;&lt;wsp:rsid wsp:val=&quot;006345B2&quot;/&gt;&lt;wsp:rsid wsp:val=&quot;006345D4&quot;/&gt;&lt;wsp:rsid wsp:val=&quot;00634AB8&quot;/&gt;&lt;wsp:rsid wsp:val=&quot;00634F70&quot;/&gt;&lt;wsp:rsid wsp:val=&quot;006353D6&quot;/&gt;&lt;wsp:rsid wsp:val=&quot;00635480&quot;/&gt;&lt;wsp:rsid wsp:val=&quot;006356BC&quot;/&gt;&lt;wsp:rsid wsp:val=&quot;00635721&quot;/&gt;&lt;wsp:rsid wsp:val=&quot;00635A70&quot;/&gt;&lt;wsp:rsid wsp:val=&quot;00635C59&quot;/&gt;&lt;wsp:rsid wsp:val=&quot;00635E78&quot;/&gt;&lt;wsp:rsid wsp:val=&quot;00635ECA&quot;/&gt;&lt;wsp:rsid wsp:val=&quot;00636053&quot;/&gt;&lt;wsp:rsid wsp:val=&quot;006367D8&quot;/&gt;&lt;wsp:rsid wsp:val=&quot;0063695C&quot;/&gt;&lt;wsp:rsid wsp:val=&quot;006377F7&quot;/&gt;&lt;wsp:rsid wsp:val=&quot;006379FB&quot;/&gt;&lt;wsp:rsid wsp:val=&quot;00637BA5&quot;/&gt;&lt;wsp:rsid wsp:val=&quot;006400EA&quot;/&gt;&lt;wsp:rsid wsp:val=&quot;00640262&quot;/&gt;&lt;wsp:rsid wsp:val=&quot;00640BF7&quot;/&gt;&lt;wsp:rsid wsp:val=&quot;00641264&quot;/&gt;&lt;wsp:rsid wsp:val=&quot;0064171A&quot;/&gt;&lt;wsp:rsid wsp:val=&quot;00641923&quot;/&gt;&lt;wsp:rsid wsp:val=&quot;00641BB9&quot;/&gt;&lt;wsp:rsid wsp:val=&quot;00641BF2&quot;/&gt;&lt;wsp:rsid wsp:val=&quot;00641E7A&quot;/&gt;&lt;wsp:rsid wsp:val=&quot;00641FFF&quot;/&gt;&lt;wsp:rsid wsp:val=&quot;00642073&quot;/&gt;&lt;wsp:rsid wsp:val=&quot;0064236C&quot;/&gt;&lt;wsp:rsid wsp:val=&quot;006428DA&quot;/&gt;&lt;wsp:rsid wsp:val=&quot;00642BC9&quot;/&gt;&lt;wsp:rsid wsp:val=&quot;00642E51&quot;/&gt;&lt;wsp:rsid wsp:val=&quot;006445CA&quot;/&gt;&lt;wsp:rsid wsp:val=&quot;00644AF2&quot;/&gt;&lt;wsp:rsid wsp:val=&quot;00644F8C&quot;/&gt;&lt;wsp:rsid wsp:val=&quot;00645119&quot;/&gt;&lt;wsp:rsid wsp:val=&quot;00645603&quot;/&gt;&lt;wsp:rsid wsp:val=&quot;0064573D&quot;/&gt;&lt;wsp:rsid wsp:val=&quot;00646174&quot;/&gt;&lt;wsp:rsid wsp:val=&quot;006461AD&quot;/&gt;&lt;wsp:rsid wsp:val=&quot;00646649&quot;/&gt;&lt;wsp:rsid wsp:val=&quot;00647911&quot;/&gt;&lt;wsp:rsid wsp:val=&quot;0064795B&quot;/&gt;&lt;wsp:rsid wsp:val=&quot;006479A6&quot;/&gt;&lt;wsp:rsid wsp:val=&quot;00647FA2&quot;/&gt;&lt;wsp:rsid wsp:val=&quot;00650059&quot;/&gt;&lt;wsp:rsid wsp:val=&quot;006501B2&quot;/&gt;&lt;wsp:rsid wsp:val=&quot;0065075A&quot;/&gt;&lt;wsp:rsid wsp:val=&quot;00650775&quot;/&gt;&lt;wsp:rsid wsp:val=&quot;00650D27&quot;/&gt;&lt;wsp:rsid wsp:val=&quot;00651019&quot;/&gt;&lt;wsp:rsid wsp:val=&quot;0065110B&quot;/&gt;&lt;wsp:rsid wsp:val=&quot;006511DA&quot;/&gt;&lt;wsp:rsid wsp:val=&quot;006513B0&quot;/&gt;&lt;wsp:rsid wsp:val=&quot;00651537&quot;/&gt;&lt;wsp:rsid wsp:val=&quot;00651850&quot;/&gt;&lt;wsp:rsid wsp:val=&quot;006519D7&quot;/&gt;&lt;wsp:rsid wsp:val=&quot;00651C1C&quot;/&gt;&lt;wsp:rsid wsp:val=&quot;00651C99&quot;/&gt;&lt;wsp:rsid wsp:val=&quot;00651CFF&quot;/&gt;&lt;wsp:rsid wsp:val=&quot;00651D91&quot;/&gt;&lt;wsp:rsid wsp:val=&quot;00652112&quot;/&gt;&lt;wsp:rsid wsp:val=&quot;0065215A&quot;/&gt;&lt;wsp:rsid wsp:val=&quot;006522EF&quot;/&gt;&lt;wsp:rsid wsp:val=&quot;006524FD&quot;/&gt;&lt;wsp:rsid wsp:val=&quot;0065253D&quot;/&gt;&lt;wsp:rsid wsp:val=&quot;006527CD&quot;/&gt;&lt;wsp:rsid wsp:val=&quot;00652926&quot;/&gt;&lt;wsp:rsid wsp:val=&quot;00652F11&quot;/&gt;&lt;wsp:rsid wsp:val=&quot;0065381F&quot;/&gt;&lt;wsp:rsid wsp:val=&quot;00653A42&quot;/&gt;&lt;wsp:rsid wsp:val=&quot;00653B69&quot;/&gt;&lt;wsp:rsid wsp:val=&quot;00653F61&quot;/&gt;&lt;wsp:rsid wsp:val=&quot;00654C40&quot;/&gt;&lt;wsp:rsid wsp:val=&quot;006550E7&quot;/&gt;&lt;wsp:rsid wsp:val=&quot;0065518C&quot;/&gt;&lt;wsp:rsid wsp:val=&quot;00655329&quot;/&gt;&lt;wsp:rsid wsp:val=&quot;00655713&quot;/&gt;&lt;wsp:rsid wsp:val=&quot;00655AB9&quot;/&gt;&lt;wsp:rsid wsp:val=&quot;00656160&quot;/&gt;&lt;wsp:rsid wsp:val=&quot;006564BF&quot;/&gt;&lt;wsp:rsid wsp:val=&quot;0065653C&quot;/&gt;&lt;wsp:rsid wsp:val=&quot;006568BB&quot;/&gt;&lt;wsp:rsid wsp:val=&quot;00656C0C&quot;/&gt;&lt;wsp:rsid wsp:val=&quot;00656C41&quot;/&gt;&lt;wsp:rsid wsp:val=&quot;00656DD0&quot;/&gt;&lt;wsp:rsid wsp:val=&quot;00656F60&quot;/&gt;&lt;wsp:rsid wsp:val=&quot;006572EB&quot;/&gt;&lt;wsp:rsid wsp:val=&quot;006572EE&quot;/&gt;&lt;wsp:rsid wsp:val=&quot;0065754F&quot;/&gt;&lt;wsp:rsid wsp:val=&quot;00657B4B&quot;/&gt;&lt;wsp:rsid wsp:val=&quot;00657C2E&quot;/&gt;&lt;wsp:rsid wsp:val=&quot;0066040A&quot;/&gt;&lt;wsp:rsid wsp:val=&quot;006612E3&quot;/&gt;&lt;wsp:rsid wsp:val=&quot;00661396&quot;/&gt;&lt;wsp:rsid wsp:val=&quot;00661656&quot;/&gt;&lt;wsp:rsid wsp:val=&quot;006616BB&quot;/&gt;&lt;wsp:rsid wsp:val=&quot;0066185F&quot;/&gt;&lt;wsp:rsid wsp:val=&quot;00661876&quot;/&gt;&lt;wsp:rsid wsp:val=&quot;006619F6&quot;/&gt;&lt;wsp:rsid wsp:val=&quot;00661A27&quot;/&gt;&lt;wsp:rsid wsp:val=&quot;00661A2D&quot;/&gt;&lt;wsp:rsid wsp:val=&quot;00661B76&quot;/&gt;&lt;wsp:rsid wsp:val=&quot;00661E49&quot;/&gt;&lt;wsp:rsid wsp:val=&quot;006620C1&quot;/&gt;&lt;wsp:rsid wsp:val=&quot;006620C2&quot;/&gt;&lt;wsp:rsid wsp:val=&quot;00662520&quot;/&gt;&lt;wsp:rsid wsp:val=&quot;006629AF&quot;/&gt;&lt;wsp:rsid wsp:val=&quot;00662DE2&quot;/&gt;&lt;wsp:rsid wsp:val=&quot;006631C5&quot;/&gt;&lt;wsp:rsid wsp:val=&quot;006631E6&quot;/&gt;&lt;wsp:rsid wsp:val=&quot;0066343C&quot;/&gt;&lt;wsp:rsid wsp:val=&quot;006634D2&quot;/&gt;&lt;wsp:rsid wsp:val=&quot;00663708&quot;/&gt;&lt;wsp:rsid wsp:val=&quot;00663C48&quot;/&gt;&lt;wsp:rsid wsp:val=&quot;00663FD9&quot;/&gt;&lt;wsp:rsid wsp:val=&quot;00664B08&quot;/&gt;&lt;wsp:rsid wsp:val=&quot;00665147&quot;/&gt;&lt;wsp:rsid wsp:val=&quot;00665890&quot;/&gt;&lt;wsp:rsid wsp:val=&quot;00665E0F&quot;/&gt;&lt;wsp:rsid wsp:val=&quot;006661B6&quot;/&gt;&lt;wsp:rsid wsp:val=&quot;00666443&quot;/&gt;&lt;wsp:rsid wsp:val=&quot;00667334&quot;/&gt;&lt;wsp:rsid wsp:val=&quot;00667DD7&quot;/&gt;&lt;wsp:rsid wsp:val=&quot;00667E22&quot;/&gt;&lt;wsp:rsid wsp:val=&quot;00670365&quot;/&gt;&lt;wsp:rsid wsp:val=&quot;00670647&quot;/&gt;&lt;wsp:rsid wsp:val=&quot;0067077C&quot;/&gt;&lt;wsp:rsid wsp:val=&quot;006707A6&quot;/&gt;&lt;wsp:rsid wsp:val=&quot;006709BD&quot;/&gt;&lt;wsp:rsid wsp:val=&quot;00670D86&quot;/&gt;&lt;wsp:rsid wsp:val=&quot;00670E40&quot;/&gt;&lt;wsp:rsid wsp:val=&quot;00670F7E&quot;/&gt;&lt;wsp:rsid wsp:val=&quot;006715F9&quot;/&gt;&lt;wsp:rsid wsp:val=&quot;00671CA5&quot;/&gt;&lt;wsp:rsid wsp:val=&quot;00671D3A&quot;/&gt;&lt;wsp:rsid wsp:val=&quot;006720C0&quot;/&gt;&lt;wsp:rsid wsp:val=&quot;00672B26&quot;/&gt;&lt;wsp:rsid wsp:val=&quot;006735C2&quot;/&gt;&lt;wsp:rsid wsp:val=&quot;00673A61&quot;/&gt;&lt;wsp:rsid wsp:val=&quot;00673B23&quot;/&gt;&lt;wsp:rsid wsp:val=&quot;00673BC0&quot;/&gt;&lt;wsp:rsid wsp:val=&quot;00673C64&quot;/&gt;&lt;wsp:rsid wsp:val=&quot;00673C85&quot;/&gt;&lt;wsp:rsid wsp:val=&quot;00673C99&quot;/&gt;&lt;wsp:rsid wsp:val=&quot;00673CA4&quot;/&gt;&lt;wsp:rsid wsp:val=&quot;00673D0D&quot;/&gt;&lt;wsp:rsid wsp:val=&quot;006746C2&quot;/&gt;&lt;wsp:rsid wsp:val=&quot;006748DF&quot;/&gt;&lt;wsp:rsid wsp:val=&quot;00674ED7&quot;/&gt;&lt;wsp:rsid wsp:val=&quot;00675021&quot;/&gt;&lt;wsp:rsid wsp:val=&quot;00675A2C&quot;/&gt;&lt;wsp:rsid wsp:val=&quot;00675B87&quot;/&gt;&lt;wsp:rsid wsp:val=&quot;00675C10&quot;/&gt;&lt;wsp:rsid wsp:val=&quot;006764A5&quot;/&gt;&lt;wsp:rsid wsp:val=&quot;006768C4&quot;/&gt;&lt;wsp:rsid wsp:val=&quot;006769AE&quot;/&gt;&lt;wsp:rsid wsp:val=&quot;00677720&quot;/&gt;&lt;wsp:rsid wsp:val=&quot;00677D3B&quot;/&gt;&lt;wsp:rsid wsp:val=&quot;00677DE3&quot;/&gt;&lt;wsp:rsid wsp:val=&quot;00677E79&quot;/&gt;&lt;wsp:rsid wsp:val=&quot;00680499&quot;/&gt;&lt;wsp:rsid wsp:val=&quot;0068057A&quot;/&gt;&lt;wsp:rsid wsp:val=&quot;00680AC8&quot;/&gt;&lt;wsp:rsid wsp:val=&quot;00680E26&quot;/&gt;&lt;wsp:rsid wsp:val=&quot;006810D0&quot;/&gt;&lt;wsp:rsid wsp:val=&quot;00681297&quot;/&gt;&lt;wsp:rsid wsp:val=&quot;006812F7&quot;/&gt;&lt;wsp:rsid wsp:val=&quot;0068192C&quot;/&gt;&lt;wsp:rsid wsp:val=&quot;006820C2&quot;/&gt;&lt;wsp:rsid wsp:val=&quot;006824B6&quot;/&gt;&lt;wsp:rsid wsp:val=&quot;00682581&quot;/&gt;&lt;wsp:rsid wsp:val=&quot;006825F9&quot;/&gt;&lt;wsp:rsid wsp:val=&quot;0068282E&quot;/&gt;&lt;wsp:rsid wsp:val=&quot;00682AAB&quot;/&gt;&lt;wsp:rsid wsp:val=&quot;00682EB9&quot;/&gt;&lt;wsp:rsid wsp:val=&quot;00682EC0&quot;/&gt;&lt;wsp:rsid wsp:val=&quot;00682FD9&quot;/&gt;&lt;wsp:rsid wsp:val=&quot;006830BB&quot;/&gt;&lt;wsp:rsid wsp:val=&quot;0068347B&quot;/&gt;&lt;wsp:rsid wsp:val=&quot;006838C8&quot;/&gt;&lt;wsp:rsid wsp:val=&quot;00683F23&quot;/&gt;&lt;wsp:rsid wsp:val=&quot;006847BF&quot;/&gt;&lt;wsp:rsid wsp:val=&quot;00684936&quot;/&gt;&lt;wsp:rsid wsp:val=&quot;0068524E&quot;/&gt;&lt;wsp:rsid wsp:val=&quot;00685288&quot;/&gt;&lt;wsp:rsid wsp:val=&quot;006852F9&quot;/&gt;&lt;wsp:rsid wsp:val=&quot;00685624&quot;/&gt;&lt;wsp:rsid wsp:val=&quot;006856D7&quot;/&gt;&lt;wsp:rsid wsp:val=&quot;006868B5&quot;/&gt;&lt;wsp:rsid wsp:val=&quot;006868E8&quot;/&gt;&lt;wsp:rsid wsp:val=&quot;00686D42&quot;/&gt;&lt;wsp:rsid wsp:val=&quot;00686D9A&quot;/&gt;&lt;wsp:rsid wsp:val=&quot;00686F2E&quot;/&gt;&lt;wsp:rsid wsp:val=&quot;00687E4D&quot;/&gt;&lt;wsp:rsid wsp:val=&quot;00690397&quot;/&gt;&lt;wsp:rsid wsp:val=&quot;006903E9&quot;/&gt;&lt;wsp:rsid wsp:val=&quot;006908B7&quot;/&gt;&lt;wsp:rsid wsp:val=&quot;00690A5C&quot;/&gt;&lt;wsp:rsid wsp:val=&quot;00691134&quot;/&gt;&lt;wsp:rsid wsp:val=&quot;0069185A&quot;/&gt;&lt;wsp:rsid wsp:val=&quot;00691880&quot;/&gt;&lt;wsp:rsid wsp:val=&quot;00691998&quot;/&gt;&lt;wsp:rsid wsp:val=&quot;00691BCC&quot;/&gt;&lt;wsp:rsid wsp:val=&quot;00691D15&quot;/&gt;&lt;wsp:rsid wsp:val=&quot;00691E38&quot;/&gt;&lt;wsp:rsid wsp:val=&quot;00692158&quot;/&gt;&lt;wsp:rsid wsp:val=&quot;006923A0&quot;/&gt;&lt;wsp:rsid wsp:val=&quot;00692659&quot;/&gt;&lt;wsp:rsid wsp:val=&quot;00692887&quot;/&gt;&lt;wsp:rsid wsp:val=&quot;00692CD1&quot;/&gt;&lt;wsp:rsid wsp:val=&quot;0069330D&quot;/&gt;&lt;wsp:rsid wsp:val=&quot;00693674&quot;/&gt;&lt;wsp:rsid wsp:val=&quot;00693B5D&quot;/&gt;&lt;wsp:rsid wsp:val=&quot;00694354&quot;/&gt;&lt;wsp:rsid wsp:val=&quot;0069436A&quot;/&gt;&lt;wsp:rsid wsp:val=&quot;006945D9&quot;/&gt;&lt;wsp:rsid wsp:val=&quot;006946CE&quot;/&gt;&lt;wsp:rsid wsp:val=&quot;0069472F&quot;/&gt;&lt;wsp:rsid wsp:val=&quot;00694887&quot;/&gt;&lt;wsp:rsid wsp:val=&quot;00694A28&quot;/&gt;&lt;wsp:rsid wsp:val=&quot;00694B46&quot;/&gt;&lt;wsp:rsid wsp:val=&quot;00695C97&quot;/&gt;&lt;wsp:rsid wsp:val=&quot;00696C38&quot;/&gt;&lt;wsp:rsid wsp:val=&quot;0069716A&quot;/&gt;&lt;wsp:rsid wsp:val=&quot;006971C5&quot;/&gt;&lt;wsp:rsid wsp:val=&quot;0069725D&quot;/&gt;&lt;wsp:rsid wsp:val=&quot;00697721&quot;/&gt;&lt;wsp:rsid wsp:val=&quot;00697BA0&quot;/&gt;&lt;wsp:rsid wsp:val=&quot;00697C70&quot;/&gt;&lt;wsp:rsid wsp:val=&quot;00697E3B&quot;/&gt;&lt;wsp:rsid wsp:val=&quot;006A0054&quot;/&gt;&lt;wsp:rsid wsp:val=&quot;006A016A&quot;/&gt;&lt;wsp:rsid wsp:val=&quot;006A08A8&quot;/&gt;&lt;wsp:rsid wsp:val=&quot;006A0A08&quot;/&gt;&lt;wsp:rsid wsp:val=&quot;006A0ACA&quot;/&gt;&lt;wsp:rsid wsp:val=&quot;006A0BDF&quot;/&gt;&lt;wsp:rsid wsp:val=&quot;006A1414&quot;/&gt;&lt;wsp:rsid wsp:val=&quot;006A149F&quot;/&gt;&lt;wsp:rsid wsp:val=&quot;006A1FF2&quot;/&gt;&lt;wsp:rsid wsp:val=&quot;006A21A6&quot;/&gt;&lt;wsp:rsid wsp:val=&quot;006A21C7&quot;/&gt;&lt;wsp:rsid wsp:val=&quot;006A23FF&quot;/&gt;&lt;wsp:rsid wsp:val=&quot;006A29E8&quot;/&gt;&lt;wsp:rsid wsp:val=&quot;006A2DD9&quot;/&gt;&lt;wsp:rsid wsp:val=&quot;006A3480&quot;/&gt;&lt;wsp:rsid wsp:val=&quot;006A36AF&quot;/&gt;&lt;wsp:rsid wsp:val=&quot;006A3C93&quot;/&gt;&lt;wsp:rsid wsp:val=&quot;006A3CCD&quot;/&gt;&lt;wsp:rsid wsp:val=&quot;006A3DF4&quot;/&gt;&lt;wsp:rsid wsp:val=&quot;006A445A&quot;/&gt;&lt;wsp:rsid wsp:val=&quot;006A4509&quot;/&gt;&lt;wsp:rsid wsp:val=&quot;006A487D&quot;/&gt;&lt;wsp:rsid wsp:val=&quot;006A4D60&quot;/&gt;&lt;wsp:rsid wsp:val=&quot;006A5960&quot;/&gt;&lt;wsp:rsid wsp:val=&quot;006A5C72&quot;/&gt;&lt;wsp:rsid wsp:val=&quot;006A5DB7&quot;/&gt;&lt;wsp:rsid wsp:val=&quot;006A5EB6&quot;/&gt;&lt;wsp:rsid wsp:val=&quot;006A61E7&quot;/&gt;&lt;wsp:rsid wsp:val=&quot;006A6408&quot;/&gt;&lt;wsp:rsid wsp:val=&quot;006A6465&quot;/&gt;&lt;wsp:rsid wsp:val=&quot;006A6B67&quot;/&gt;&lt;wsp:rsid wsp:val=&quot;006A6BEA&quot;/&gt;&lt;wsp:rsid wsp:val=&quot;006A6F1D&quot;/&gt;&lt;wsp:rsid wsp:val=&quot;006A70E9&quot;/&gt;&lt;wsp:rsid wsp:val=&quot;006A71F3&quot;/&gt;&lt;wsp:rsid wsp:val=&quot;006A7813&quot;/&gt;&lt;wsp:rsid wsp:val=&quot;006A79DD&quot;/&gt;&lt;wsp:rsid wsp:val=&quot;006A7CD4&quot;/&gt;&lt;wsp:rsid wsp:val=&quot;006A7EED&quot;/&gt;&lt;wsp:rsid wsp:val=&quot;006B022A&quot;/&gt;&lt;wsp:rsid wsp:val=&quot;006B0304&quot;/&gt;&lt;wsp:rsid wsp:val=&quot;006B035B&quot;/&gt;&lt;wsp:rsid wsp:val=&quot;006B057E&quot;/&gt;&lt;wsp:rsid wsp:val=&quot;006B071E&quot;/&gt;&lt;wsp:rsid wsp:val=&quot;006B0C4E&quot;/&gt;&lt;wsp:rsid wsp:val=&quot;006B0EEB&quot;/&gt;&lt;wsp:rsid wsp:val=&quot;006B11E3&quot;/&gt;&lt;wsp:rsid wsp:val=&quot;006B14DF&quot;/&gt;&lt;wsp:rsid wsp:val=&quot;006B155E&quot;/&gt;&lt;wsp:rsid wsp:val=&quot;006B1C89&quot;/&gt;&lt;wsp:rsid wsp:val=&quot;006B27F3&quot;/&gt;&lt;wsp:rsid wsp:val=&quot;006B299B&quot;/&gt;&lt;wsp:rsid wsp:val=&quot;006B2DCB&quot;/&gt;&lt;wsp:rsid wsp:val=&quot;006B31E9&quot;/&gt;&lt;wsp:rsid wsp:val=&quot;006B3308&quot;/&gt;&lt;wsp:rsid wsp:val=&quot;006B3A82&quot;/&gt;&lt;wsp:rsid wsp:val=&quot;006B4581&quot;/&gt;&lt;wsp:rsid wsp:val=&quot;006B4C4D&quot;/&gt;&lt;wsp:rsid wsp:val=&quot;006B507D&quot;/&gt;&lt;wsp:rsid wsp:val=&quot;006B5198&quot;/&gt;&lt;wsp:rsid wsp:val=&quot;006B550A&quot;/&gt;&lt;wsp:rsid wsp:val=&quot;006B5554&quot;/&gt;&lt;wsp:rsid wsp:val=&quot;006B581E&quot;/&gt;&lt;wsp:rsid wsp:val=&quot;006B625E&quot;/&gt;&lt;wsp:rsid wsp:val=&quot;006B6323&quot;/&gt;&lt;wsp:rsid wsp:val=&quot;006B66D2&quot;/&gt;&lt;wsp:rsid wsp:val=&quot;006B6A1C&quot;/&gt;&lt;wsp:rsid wsp:val=&quot;006B6A3F&quot;/&gt;&lt;wsp:rsid wsp:val=&quot;006B713A&quot;/&gt;&lt;wsp:rsid wsp:val=&quot;006B7200&quot;/&gt;&lt;wsp:rsid wsp:val=&quot;006B7571&quot;/&gt;&lt;wsp:rsid wsp:val=&quot;006B7F1D&quot;/&gt;&lt;wsp:rsid wsp:val=&quot;006C0318&quot;/&gt;&lt;wsp:rsid wsp:val=&quot;006C056A&quot;/&gt;&lt;wsp:rsid wsp:val=&quot;006C0A8E&quot;/&gt;&lt;wsp:rsid wsp:val=&quot;006C1745&quot;/&gt;&lt;wsp:rsid wsp:val=&quot;006C1A0F&quot;/&gt;&lt;wsp:rsid wsp:val=&quot;006C1BED&quot;/&gt;&lt;wsp:rsid wsp:val=&quot;006C1EC1&quot;/&gt;&lt;wsp:rsid wsp:val=&quot;006C2556&quot;/&gt;&lt;wsp:rsid wsp:val=&quot;006C2AA6&quot;/&gt;&lt;wsp:rsid wsp:val=&quot;006C30CA&quot;/&gt;&lt;wsp:rsid wsp:val=&quot;006C3133&quot;/&gt;&lt;wsp:rsid wsp:val=&quot;006C3950&quot;/&gt;&lt;wsp:rsid wsp:val=&quot;006C3C0C&quot;/&gt;&lt;wsp:rsid wsp:val=&quot;006C3CE3&quot;/&gt;&lt;wsp:rsid wsp:val=&quot;006C3F9D&quot;/&gt;&lt;wsp:rsid wsp:val=&quot;006C40E6&quot;/&gt;&lt;wsp:rsid wsp:val=&quot;006C4346&quot;/&gt;&lt;wsp:rsid wsp:val=&quot;006C4834&quot;/&gt;&lt;wsp:rsid wsp:val=&quot;006C49B3&quot;/&gt;&lt;wsp:rsid wsp:val=&quot;006C4BBD&quot;/&gt;&lt;wsp:rsid wsp:val=&quot;006C50C4&quot;/&gt;&lt;wsp:rsid wsp:val=&quot;006C5269&quot;/&gt;&lt;wsp:rsid wsp:val=&quot;006C52D6&quot;/&gt;&lt;wsp:rsid wsp:val=&quot;006C5530&quot;/&gt;&lt;wsp:rsid wsp:val=&quot;006C5569&quot;/&gt;&lt;wsp:rsid wsp:val=&quot;006C5583&quot;/&gt;&lt;wsp:rsid wsp:val=&quot;006C5932&quot;/&gt;&lt;wsp:rsid wsp:val=&quot;006C5964&quot;/&gt;&lt;wsp:rsid wsp:val=&quot;006C5A1D&quot;/&gt;&lt;wsp:rsid wsp:val=&quot;006C5F60&quot;/&gt;&lt;wsp:rsid wsp:val=&quot;006C6254&quot;/&gt;&lt;wsp:rsid wsp:val=&quot;006C6307&quot;/&gt;&lt;wsp:rsid wsp:val=&quot;006C633E&quot;/&gt;&lt;wsp:rsid wsp:val=&quot;006C66B5&quot;/&gt;&lt;wsp:rsid wsp:val=&quot;006C694A&quot;/&gt;&lt;wsp:rsid wsp:val=&quot;006C6C6D&quot;/&gt;&lt;wsp:rsid wsp:val=&quot;006C6E03&quot;/&gt;&lt;wsp:rsid wsp:val=&quot;006C7B1C&quot;/&gt;&lt;wsp:rsid wsp:val=&quot;006C7C21&quot;/&gt;&lt;wsp:rsid wsp:val=&quot;006C7C95&quot;/&gt;&lt;wsp:rsid wsp:val=&quot;006C7CA8&quot;/&gt;&lt;wsp:rsid wsp:val=&quot;006D026F&quot;/&gt;&lt;wsp:rsid wsp:val=&quot;006D0289&quot;/&gt;&lt;wsp:rsid wsp:val=&quot;006D0436&quot;/&gt;&lt;wsp:rsid wsp:val=&quot;006D0666&quot;/&gt;&lt;wsp:rsid wsp:val=&quot;006D0D51&quot;/&gt;&lt;wsp:rsid wsp:val=&quot;006D0DFE&quot;/&gt;&lt;wsp:rsid wsp:val=&quot;006D0E79&quot;/&gt;&lt;wsp:rsid wsp:val=&quot;006D1381&quot;/&gt;&lt;wsp:rsid wsp:val=&quot;006D15D4&quot;/&gt;&lt;wsp:rsid wsp:val=&quot;006D200F&quot;/&gt;&lt;wsp:rsid wsp:val=&quot;006D243F&quot;/&gt;&lt;wsp:rsid wsp:val=&quot;006D2ACA&quot;/&gt;&lt;wsp:rsid wsp:val=&quot;006D2D11&quot;/&gt;&lt;wsp:rsid wsp:val=&quot;006D2F98&quot;/&gt;&lt;wsp:rsid wsp:val=&quot;006D3723&quot;/&gt;&lt;wsp:rsid wsp:val=&quot;006D37DD&quot;/&gt;&lt;wsp:rsid wsp:val=&quot;006D3883&quot;/&gt;&lt;wsp:rsid wsp:val=&quot;006D3BF5&quot;/&gt;&lt;wsp:rsid wsp:val=&quot;006D3F06&quot;/&gt;&lt;wsp:rsid wsp:val=&quot;006D3F78&quot;/&gt;&lt;wsp:rsid wsp:val=&quot;006D40DB&quot;/&gt;&lt;wsp:rsid wsp:val=&quot;006D51DC&quot;/&gt;&lt;wsp:rsid wsp:val=&quot;006D5804&quot;/&gt;&lt;wsp:rsid wsp:val=&quot;006D58E0&quot;/&gt;&lt;wsp:rsid wsp:val=&quot;006D5B6A&quot;/&gt;&lt;wsp:rsid wsp:val=&quot;006D5D15&quot;/&gt;&lt;wsp:rsid wsp:val=&quot;006D6276&quot;/&gt;&lt;wsp:rsid wsp:val=&quot;006D637C&quot;/&gt;&lt;wsp:rsid wsp:val=&quot;006D67C8&quot;/&gt;&lt;wsp:rsid wsp:val=&quot;006D6909&quot;/&gt;&lt;wsp:rsid wsp:val=&quot;006D6A93&quot;/&gt;&lt;wsp:rsid wsp:val=&quot;006D7385&quot;/&gt;&lt;wsp:rsid wsp:val=&quot;006D76BA&quot;/&gt;&lt;wsp:rsid wsp:val=&quot;006D79BE&quot;/&gt;&lt;wsp:rsid wsp:val=&quot;006D7A1A&quot;/&gt;&lt;wsp:rsid wsp:val=&quot;006D7CE3&quot;/&gt;&lt;wsp:rsid wsp:val=&quot;006E033D&quot;/&gt;&lt;wsp:rsid wsp:val=&quot;006E057F&quot;/&gt;&lt;wsp:rsid wsp:val=&quot;006E0855&quot;/&gt;&lt;wsp:rsid wsp:val=&quot;006E0F3D&quot;/&gt;&lt;wsp:rsid wsp:val=&quot;006E141F&quot;/&gt;&lt;wsp:rsid wsp:val=&quot;006E160C&quot;/&gt;&lt;wsp:rsid wsp:val=&quot;006E1765&quot;/&gt;&lt;wsp:rsid wsp:val=&quot;006E197D&quot;/&gt;&lt;wsp:rsid wsp:val=&quot;006E220B&quot;/&gt;&lt;wsp:rsid wsp:val=&quot;006E2297&quot;/&gt;&lt;wsp:rsid wsp:val=&quot;006E22AE&quot;/&gt;&lt;wsp:rsid wsp:val=&quot;006E243F&quot;/&gt;&lt;wsp:rsid wsp:val=&quot;006E261D&quot;/&gt;&lt;wsp:rsid wsp:val=&quot;006E264D&quot;/&gt;&lt;wsp:rsid wsp:val=&quot;006E27E2&quot;/&gt;&lt;wsp:rsid wsp:val=&quot;006E2AF3&quot;/&gt;&lt;wsp:rsid wsp:val=&quot;006E32CD&quot;/&gt;&lt;wsp:rsid wsp:val=&quot;006E3497&quot;/&gt;&lt;wsp:rsid wsp:val=&quot;006E37C7&quot;/&gt;&lt;wsp:rsid wsp:val=&quot;006E416D&quot;/&gt;&lt;wsp:rsid wsp:val=&quot;006E4297&quot;/&gt;&lt;wsp:rsid wsp:val=&quot;006E42F1&quot;/&gt;&lt;wsp:rsid wsp:val=&quot;006E431B&quot;/&gt;&lt;wsp:rsid wsp:val=&quot;006E4344&quot;/&gt;&lt;wsp:rsid wsp:val=&quot;006E4423&quot;/&gt;&lt;wsp:rsid wsp:val=&quot;006E4903&quot;/&gt;&lt;wsp:rsid wsp:val=&quot;006E49B3&quot;/&gt;&lt;wsp:rsid wsp:val=&quot;006E4B97&quot;/&gt;&lt;wsp:rsid wsp:val=&quot;006E5214&quot;/&gt;&lt;wsp:rsid wsp:val=&quot;006E5581&quot;/&gt;&lt;wsp:rsid wsp:val=&quot;006E59EC&quot;/&gt;&lt;wsp:rsid wsp:val=&quot;006E5C8C&quot;/&gt;&lt;wsp:rsid wsp:val=&quot;006E5EA0&quot;/&gt;&lt;wsp:rsid wsp:val=&quot;006E6EF0&quot;/&gt;&lt;wsp:rsid wsp:val=&quot;006E71DB&quot;/&gt;&lt;wsp:rsid wsp:val=&quot;006E7726&quot;/&gt;&lt;wsp:rsid wsp:val=&quot;006E7C5C&quot;/&gt;&lt;wsp:rsid wsp:val=&quot;006F000B&quot;/&gt;&lt;wsp:rsid wsp:val=&quot;006F01BD&quot;/&gt;&lt;wsp:rsid wsp:val=&quot;006F0CF3&quot;/&gt;&lt;wsp:rsid wsp:val=&quot;006F0EBC&quot;/&gt;&lt;wsp:rsid wsp:val=&quot;006F11C9&quot;/&gt;&lt;wsp:rsid wsp:val=&quot;006F153E&quot;/&gt;&lt;wsp:rsid wsp:val=&quot;006F1911&quot;/&gt;&lt;wsp:rsid wsp:val=&quot;006F1CD5&quot;/&gt;&lt;wsp:rsid wsp:val=&quot;006F1D0E&quot;/&gt;&lt;wsp:rsid wsp:val=&quot;006F1FAE&quot;/&gt;&lt;wsp:rsid wsp:val=&quot;006F27B1&quot;/&gt;&lt;wsp:rsid wsp:val=&quot;006F2E80&quot;/&gt;&lt;wsp:rsid wsp:val=&quot;006F32BF&quot;/&gt;&lt;wsp:rsid wsp:val=&quot;006F3853&quot;/&gt;&lt;wsp:rsid wsp:val=&quot;006F3875&quot;/&gt;&lt;wsp:rsid wsp:val=&quot;006F3A6B&quot;/&gt;&lt;wsp:rsid wsp:val=&quot;006F3D7B&quot;/&gt;&lt;wsp:rsid wsp:val=&quot;006F4A53&quot;/&gt;&lt;wsp:rsid wsp:val=&quot;006F4D67&quot;/&gt;&lt;wsp:rsid wsp:val=&quot;006F5078&quot;/&gt;&lt;wsp:rsid wsp:val=&quot;006F5148&quot;/&gt;&lt;wsp:rsid wsp:val=&quot;006F5160&quot;/&gt;&lt;wsp:rsid wsp:val=&quot;006F56C5&quot;/&gt;&lt;wsp:rsid wsp:val=&quot;006F5729&quot;/&gt;&lt;wsp:rsid wsp:val=&quot;006F5B59&quot;/&gt;&lt;wsp:rsid wsp:val=&quot;006F5F3D&quot;/&gt;&lt;wsp:rsid wsp:val=&quot;006F6183&quot;/&gt;&lt;wsp:rsid wsp:val=&quot;006F6582&quot;/&gt;&lt;wsp:rsid wsp:val=&quot;006F6723&quot;/&gt;&lt;wsp:rsid wsp:val=&quot;006F6805&quot;/&gt;&lt;wsp:rsid wsp:val=&quot;006F74D1&quot;/&gt;&lt;wsp:rsid wsp:val=&quot;006F759C&quot;/&gt;&lt;wsp:rsid wsp:val=&quot;007005CE&quot;/&gt;&lt;wsp:rsid wsp:val=&quot;00700785&quot;/&gt;&lt;wsp:rsid wsp:val=&quot;00700B6A&quot;/&gt;&lt;wsp:rsid wsp:val=&quot;007012B6&quot;/&gt;&lt;wsp:rsid wsp:val=&quot;007019DB&quot;/&gt;&lt;wsp:rsid wsp:val=&quot;00701B12&quot;/&gt;&lt;wsp:rsid wsp:val=&quot;00701B6D&quot;/&gt;&lt;wsp:rsid wsp:val=&quot;00701B99&quot;/&gt;&lt;wsp:rsid wsp:val=&quot;00701BB3&quot;/&gt;&lt;wsp:rsid wsp:val=&quot;007020E0&quot;/&gt;&lt;wsp:rsid wsp:val=&quot;00702352&quot;/&gt;&lt;wsp:rsid wsp:val=&quot;007024FC&quot;/&gt;&lt;wsp:rsid wsp:val=&quot;00702676&quot;/&gt;&lt;wsp:rsid wsp:val=&quot;007027B0&quot;/&gt;&lt;wsp:rsid wsp:val=&quot;007027BE&quot;/&gt;&lt;wsp:rsid wsp:val=&quot;00702B44&quot;/&gt;&lt;wsp:rsid wsp:val=&quot;00703568&quot;/&gt;&lt;wsp:rsid wsp:val=&quot;007041AF&quot;/&gt;&lt;wsp:rsid wsp:val=&quot;00704444&quot;/&gt;&lt;wsp:rsid wsp:val=&quot;00704723&quot;/&gt;&lt;wsp:rsid wsp:val=&quot;00704A92&quot;/&gt;&lt;wsp:rsid wsp:val=&quot;00704DF3&quot;/&gt;&lt;wsp:rsid wsp:val=&quot;00705249&quot;/&gt;&lt;wsp:rsid wsp:val=&quot;00705ACF&quot;/&gt;&lt;wsp:rsid wsp:val=&quot;007068FC&quot;/&gt;&lt;wsp:rsid wsp:val=&quot;00706982&quot;/&gt;&lt;wsp:rsid wsp:val=&quot;00706B93&quot;/&gt;&lt;wsp:rsid wsp:val=&quot;00706E5B&quot;/&gt;&lt;wsp:rsid wsp:val=&quot;00706EA7&quot;/&gt;&lt;wsp:rsid wsp:val=&quot;00706ED1&quot;/&gt;&lt;wsp:rsid wsp:val=&quot;00706F79&quot;/&gt;&lt;wsp:rsid wsp:val=&quot;00707445&quot;/&gt;&lt;wsp:rsid wsp:val=&quot;007077B2&quot;/&gt;&lt;wsp:rsid wsp:val=&quot;0070796F&quot;/&gt;&lt;wsp:rsid wsp:val=&quot;007102E8&quot;/&gt;&lt;wsp:rsid wsp:val=&quot;007104D3&quot;/&gt;&lt;wsp:rsid wsp:val=&quot;0071145C&quot;/&gt;&lt;wsp:rsid wsp:val=&quot;00711796&quot;/&gt;&lt;wsp:rsid wsp:val=&quot;00711A03&quot;/&gt;&lt;wsp:rsid wsp:val=&quot;00711EB8&quot;/&gt;&lt;wsp:rsid wsp:val=&quot;0071202A&quot;/&gt;&lt;wsp:rsid wsp:val=&quot;007121F0&quot;/&gt;&lt;wsp:rsid wsp:val=&quot;0071233A&quot;/&gt;&lt;wsp:rsid wsp:val=&quot;00712374&quot;/&gt;&lt;wsp:rsid wsp:val=&quot;00712CA4&quot;/&gt;&lt;wsp:rsid wsp:val=&quot;00712DB0&quot;/&gt;&lt;wsp:rsid wsp:val=&quot;00713701&quot;/&gt;&lt;wsp:rsid wsp:val=&quot;00713CD2&quot;/&gt;&lt;wsp:rsid wsp:val=&quot;00713D2F&quot;/&gt;&lt;wsp:rsid wsp:val=&quot;00714483&quot;/&gt;&lt;wsp:rsid wsp:val=&quot;00714539&quot;/&gt;&lt;wsp:rsid wsp:val=&quot;007147D0&quot;/&gt;&lt;wsp:rsid wsp:val=&quot;00714ABA&quot;/&gt;&lt;wsp:rsid wsp:val=&quot;00714BE6&quot;/&gt;&lt;wsp:rsid wsp:val=&quot;007153F0&quot;/&gt;&lt;wsp:rsid wsp:val=&quot;00715AF4&quot;/&gt;&lt;wsp:rsid wsp:val=&quot;00715B8F&quot;/&gt;&lt;wsp:rsid wsp:val=&quot;00715F71&quot;/&gt;&lt;wsp:rsid wsp:val=&quot;00716BBA&quot;/&gt;&lt;wsp:rsid wsp:val=&quot;00716EDA&quot;/&gt;&lt;wsp:rsid wsp:val=&quot;00720AC5&quot;/&gt;&lt;wsp:rsid wsp:val=&quot;0072136C&quot;/&gt;&lt;wsp:rsid wsp:val=&quot;00721375&quot;/&gt;&lt;wsp:rsid wsp:val=&quot;00721436&quot;/&gt;&lt;wsp:rsid wsp:val=&quot;007215A1&quot;/&gt;&lt;wsp:rsid wsp:val=&quot;00721A6A&quot;/&gt;&lt;wsp:rsid wsp:val=&quot;00721F5B&quot;/&gt;&lt;wsp:rsid wsp:val=&quot;0072203C&quot;/&gt;&lt;wsp:rsid wsp:val=&quot;00722330&quot;/&gt;&lt;wsp:rsid wsp:val=&quot;007225C8&quot;/&gt;&lt;wsp:rsid wsp:val=&quot;007227AD&quot;/&gt;&lt;wsp:rsid wsp:val=&quot;00722BFB&quot;/&gt;&lt;wsp:rsid wsp:val=&quot;00722DEA&quot;/&gt;&lt;wsp:rsid wsp:val=&quot;007230DA&quot;/&gt;&lt;wsp:rsid wsp:val=&quot;0072350E&quot;/&gt;&lt;wsp:rsid wsp:val=&quot;00723531&quot;/&gt;&lt;wsp:rsid wsp:val=&quot;0072383F&quot;/&gt;&lt;wsp:rsid wsp:val=&quot;007238D8&quot;/&gt;&lt;wsp:rsid wsp:val=&quot;007238DE&quot;/&gt;&lt;wsp:rsid wsp:val=&quot;00723D7C&quot;/&gt;&lt;wsp:rsid wsp:val=&quot;007241A9&quot;/&gt;&lt;wsp:rsid wsp:val=&quot;007242B8&quot;/&gt;&lt;wsp:rsid wsp:val=&quot;00724378&quot;/&gt;&lt;wsp:rsid wsp:val=&quot;007244D7&quot;/&gt;&lt;wsp:rsid wsp:val=&quot;00724536&quot;/&gt;&lt;wsp:rsid wsp:val=&quot;007248F0&quot;/&gt;&lt;wsp:rsid wsp:val=&quot;00724E70&quot;/&gt;&lt;wsp:rsid wsp:val=&quot;007251A5&quot;/&gt;&lt;wsp:rsid wsp:val=&quot;0072525B&quot;/&gt;&lt;wsp:rsid wsp:val=&quot;007255E8&quot;/&gt;&lt;wsp:rsid wsp:val=&quot;00725846&quot;/&gt;&lt;wsp:rsid wsp:val=&quot;00725EA3&quot;/&gt;&lt;wsp:rsid wsp:val=&quot;00725EA5&quot;/&gt;&lt;wsp:rsid wsp:val=&quot;00726067&quot;/&gt;&lt;wsp:rsid wsp:val=&quot;00726412&quot;/&gt;&lt;wsp:rsid wsp:val=&quot;0072718D&quot;/&gt;&lt;wsp:rsid wsp:val=&quot;007274EA&quot;/&gt;&lt;wsp:rsid wsp:val=&quot;0072760C&quot;/&gt;&lt;wsp:rsid wsp:val=&quot;00727610&quot;/&gt;&lt;wsp:rsid wsp:val=&quot;0072784F&quot;/&gt;&lt;wsp:rsid wsp:val=&quot;00727B47&quot;/&gt;&lt;wsp:rsid wsp:val=&quot;00727C81&quot;/&gt;&lt;wsp:rsid wsp:val=&quot;00727D45&quot;/&gt;&lt;wsp:rsid wsp:val=&quot;00727F0B&quot;/&gt;&lt;wsp:rsid wsp:val=&quot;00727F59&quot;/&gt;&lt;wsp:rsid wsp:val=&quot;0073029F&quot;/&gt;&lt;wsp:rsid wsp:val=&quot;007303AF&quot;/&gt;&lt;wsp:rsid wsp:val=&quot;007306D8&quot;/&gt;&lt;wsp:rsid wsp:val=&quot;007308DB&quot;/&gt;&lt;wsp:rsid wsp:val=&quot;00731158&quot;/&gt;&lt;wsp:rsid wsp:val=&quot;00731426&quot;/&gt;&lt;wsp:rsid wsp:val=&quot;00731487&quot;/&gt;&lt;wsp:rsid wsp:val=&quot;00731797&quot;/&gt;&lt;wsp:rsid wsp:val=&quot;007318FB&quot;/&gt;&lt;wsp:rsid wsp:val=&quot;00731EE1&quot;/&gt;&lt;wsp:rsid wsp:val=&quot;00732466&quot;/&gt;&lt;wsp:rsid wsp:val=&quot;007328CE&quot;/&gt;&lt;wsp:rsid wsp:val=&quot;00733536&quot;/&gt;&lt;wsp:rsid wsp:val=&quot;007339A1&quot;/&gt;&lt;wsp:rsid wsp:val=&quot;007339AB&quot;/&gt;&lt;wsp:rsid wsp:val=&quot;0073430F&quot;/&gt;&lt;wsp:rsid wsp:val=&quot;00734F6E&quot;/&gt;&lt;wsp:rsid wsp:val=&quot;0073504B&quot;/&gt;&lt;wsp:rsid wsp:val=&quot;0073521B&quot;/&gt;&lt;wsp:rsid wsp:val=&quot;007354B7&quot;/&gt;&lt;wsp:rsid wsp:val=&quot;0073655C&quot;/&gt;&lt;wsp:rsid wsp:val=&quot;00737317&quot;/&gt;&lt;wsp:rsid wsp:val=&quot;007376F3&quot;/&gt;&lt;wsp:rsid wsp:val=&quot;00737A19&quot;/&gt;&lt;wsp:rsid wsp:val=&quot;00737DCC&quot;/&gt;&lt;wsp:rsid wsp:val=&quot;00737E9A&quot;/&gt;&lt;wsp:rsid wsp:val=&quot;00740118&quot;/&gt;&lt;wsp:rsid wsp:val=&quot;0074033A&quot;/&gt;&lt;wsp:rsid wsp:val=&quot;0074062F&quot;/&gt;&lt;wsp:rsid wsp:val=&quot;007406A7&quot;/&gt;&lt;wsp:rsid wsp:val=&quot;00740A3A&quot;/&gt;&lt;wsp:rsid wsp:val=&quot;007412A7&quot;/&gt;&lt;wsp:rsid wsp:val=&quot;007414DD&quot;/&gt;&lt;wsp:rsid wsp:val=&quot;00741A50&quot;/&gt;&lt;wsp:rsid wsp:val=&quot;00741CCC&quot;/&gt;&lt;wsp:rsid wsp:val=&quot;00741FC2&quot;/&gt;&lt;wsp:rsid wsp:val=&quot;00742371&quot;/&gt;&lt;wsp:rsid wsp:val=&quot;00742499&quot;/&gt;&lt;wsp:rsid wsp:val=&quot;00742B6C&quot;/&gt;&lt;wsp:rsid wsp:val=&quot;00742DD4&quot;/&gt;&lt;wsp:rsid wsp:val=&quot;00742F7B&quot;/&gt;&lt;wsp:rsid wsp:val=&quot;00743ED2&quot;/&gt;&lt;wsp:rsid wsp:val=&quot;007440D9&quot;/&gt;&lt;wsp:rsid wsp:val=&quot;0074448C&quot;/&gt;&lt;wsp:rsid wsp:val=&quot;007444CF&quot;/&gt;&lt;wsp:rsid wsp:val=&quot;0074450F&quot;/&gt;&lt;wsp:rsid wsp:val=&quot;007451AB&quot;/&gt;&lt;wsp:rsid wsp:val=&quot;007452A0&quot;/&gt;&lt;wsp:rsid wsp:val=&quot;00745723&quot;/&gt;&lt;wsp:rsid wsp:val=&quot;00745A3F&quot;/&gt;&lt;wsp:rsid wsp:val=&quot;00745BA7&quot;/&gt;&lt;wsp:rsid wsp:val=&quot;00745BD5&quot;/&gt;&lt;wsp:rsid wsp:val=&quot;007465ED&quot;/&gt;&lt;wsp:rsid wsp:val=&quot;00746C94&quot;/&gt;&lt;wsp:rsid wsp:val=&quot;00746DC9&quot;/&gt;&lt;wsp:rsid wsp:val=&quot;00746E92&quot;/&gt;&lt;wsp:rsid wsp:val=&quot;007470DF&quot;/&gt;&lt;wsp:rsid wsp:val=&quot;007474D1&quot;/&gt;&lt;wsp:rsid wsp:val=&quot;00747A33&quot;/&gt;&lt;wsp:rsid wsp:val=&quot;00747A65&quot;/&gt;&lt;wsp:rsid wsp:val=&quot;00747EBF&quot;/&gt;&lt;wsp:rsid wsp:val=&quot;00747ED2&quot;/&gt;&lt;wsp:rsid wsp:val=&quot;007506A5&quot;/&gt;&lt;wsp:rsid wsp:val=&quot;00750B96&quot;/&gt;&lt;wsp:rsid wsp:val=&quot;00750D7B&quot;/&gt;&lt;wsp:rsid wsp:val=&quot;00750D9D&quot;/&gt;&lt;wsp:rsid wsp:val=&quot;0075101B&quot;/&gt;&lt;wsp:rsid wsp:val=&quot;00751291&quot;/&gt;&lt;wsp:rsid wsp:val=&quot;0075161A&quot;/&gt;&lt;wsp:rsid wsp:val=&quot;007517BF&quot;/&gt;&lt;wsp:rsid wsp:val=&quot;0075187C&quot;/&gt;&lt;wsp:rsid wsp:val=&quot;00751DD0&quot;/&gt;&lt;wsp:rsid wsp:val=&quot;0075224D&quot;/&gt;&lt;wsp:rsid wsp:val=&quot;007522B2&quot;/&gt;&lt;wsp:rsid wsp:val=&quot;0075239C&quot;/&gt;&lt;wsp:rsid wsp:val=&quot;007526FB&quot;/&gt;&lt;wsp:rsid wsp:val=&quot;00752C28&quot;/&gt;&lt;wsp:rsid wsp:val=&quot;00752D23&quot;/&gt;&lt;wsp:rsid wsp:val=&quot;00752E35&quot;/&gt;&lt;wsp:rsid wsp:val=&quot;0075333A&quot;/&gt;&lt;wsp:rsid wsp:val=&quot;007533E6&quot;/&gt;&lt;wsp:rsid wsp:val=&quot;007534F7&quot;/&gt;&lt;wsp:rsid wsp:val=&quot;0075353C&quot;/&gt;&lt;wsp:rsid wsp:val=&quot;007535E9&quot;/&gt;&lt;wsp:rsid wsp:val=&quot;00754067&quot;/&gt;&lt;wsp:rsid wsp:val=&quot;007540E0&quot;/&gt;&lt;wsp:rsid wsp:val=&quot;00754162&quot;/&gt;&lt;wsp:rsid wsp:val=&quot;00754C9E&quot;/&gt;&lt;wsp:rsid wsp:val=&quot;00755882&quot;/&gt;&lt;wsp:rsid wsp:val=&quot;00755BF5&quot;/&gt;&lt;wsp:rsid wsp:val=&quot;007562EC&quot;/&gt;&lt;wsp:rsid wsp:val=&quot;0075694A&quot;/&gt;&lt;wsp:rsid wsp:val=&quot;00756E03&quot;/&gt;&lt;wsp:rsid wsp:val=&quot;00756E6F&quot;/&gt;&lt;wsp:rsid wsp:val=&quot;007570F9&quot;/&gt;&lt;wsp:rsid wsp:val=&quot;00757412&quot;/&gt;&lt;wsp:rsid wsp:val=&quot;007576BC&quot;/&gt;&lt;wsp:rsid wsp:val=&quot;00757E5E&quot;/&gt;&lt;wsp:rsid wsp:val=&quot;007603F4&quot;/&gt;&lt;wsp:rsid wsp:val=&quot;00760844&quot;/&gt;&lt;wsp:rsid wsp:val=&quot;00760BD3&quot;/&gt;&lt;wsp:rsid wsp:val=&quot;007610DE&quot;/&gt;&lt;wsp:rsid wsp:val=&quot;00761484&quot;/&gt;&lt;wsp:rsid wsp:val=&quot;007615D5&quot;/&gt;&lt;wsp:rsid wsp:val=&quot;00761894&quot;/&gt;&lt;wsp:rsid wsp:val=&quot;0076193A&quot;/&gt;&lt;wsp:rsid wsp:val=&quot;007629B9&quot;/&gt;&lt;wsp:rsid wsp:val=&quot;00762DBE&quot;/&gt;&lt;wsp:rsid wsp:val=&quot;00763484&quot;/&gt;&lt;wsp:rsid wsp:val=&quot;007637D2&quot;/&gt;&lt;wsp:rsid wsp:val=&quot;00763979&quot;/&gt;&lt;wsp:rsid wsp:val=&quot;00763C73&quot;/&gt;&lt;wsp:rsid wsp:val=&quot;0076455E&quot;/&gt;&lt;wsp:rsid wsp:val=&quot;00764569&quot;/&gt;&lt;wsp:rsid wsp:val=&quot;00764892&quot;/&gt;&lt;wsp:rsid wsp:val=&quot;00764C76&quot;/&gt;&lt;wsp:rsid wsp:val=&quot;007652EF&quot;/&gt;&lt;wsp:rsid wsp:val=&quot;007659D4&quot;/&gt;&lt;wsp:rsid wsp:val=&quot;007665A0&quot;/&gt;&lt;wsp:rsid wsp:val=&quot;00766A93&quot;/&gt;&lt;wsp:rsid wsp:val=&quot;00767148&quot;/&gt;&lt;wsp:rsid wsp:val=&quot;00767C8A&quot;/&gt;&lt;wsp:rsid wsp:val=&quot;00767F05&quot;/&gt;&lt;wsp:rsid wsp:val=&quot;00770118&quot;/&gt;&lt;wsp:rsid wsp:val=&quot;007701FB&quot;/&gt;&lt;wsp:rsid wsp:val=&quot;007703EF&quot;/&gt;&lt;wsp:rsid wsp:val=&quot;00770630&quot;/&gt;&lt;wsp:rsid wsp:val=&quot;007707D2&quot;/&gt;&lt;wsp:rsid wsp:val=&quot;00770AB5&quot;/&gt;&lt;wsp:rsid wsp:val=&quot;0077124C&quot;/&gt;&lt;wsp:rsid wsp:val=&quot;00771A6D&quot;/&gt;&lt;wsp:rsid wsp:val=&quot;00772469&quot;/&gt;&lt;wsp:rsid wsp:val=&quot;0077265C&quot;/&gt;&lt;wsp:rsid wsp:val=&quot;00772E19&quot;/&gt;&lt;wsp:rsid wsp:val=&quot;0077319A&quot;/&gt;&lt;wsp:rsid wsp:val=&quot;007736A5&quot;/&gt;&lt;wsp:rsid wsp:val=&quot;0077370C&quot;/&gt;&lt;wsp:rsid wsp:val=&quot;00773E0C&quot;/&gt;&lt;wsp:rsid wsp:val=&quot;00774715&quot;/&gt;&lt;wsp:rsid wsp:val=&quot;00774727&quot;/&gt;&lt;wsp:rsid wsp:val=&quot;007747B9&quot;/&gt;&lt;wsp:rsid wsp:val=&quot;007748B8&quot;/&gt;&lt;wsp:rsid wsp:val=&quot;00774CF4&quot;/&gt;&lt;wsp:rsid wsp:val=&quot;00774F51&quot;/&gt;&lt;wsp:rsid wsp:val=&quot;007750DC&quot;/&gt;&lt;wsp:rsid wsp:val=&quot;00775394&quot;/&gt;&lt;wsp:rsid wsp:val=&quot;00775AFA&quot;/&gt;&lt;wsp:rsid wsp:val=&quot;007763F6&quot;/&gt;&lt;wsp:rsid wsp:val=&quot;0077675D&quot;/&gt;&lt;wsp:rsid wsp:val=&quot;00776791&quot;/&gt;&lt;wsp:rsid wsp:val=&quot;007768DB&quot;/&gt;&lt;wsp:rsid wsp:val=&quot;00776A45&quot;/&gt;&lt;wsp:rsid wsp:val=&quot;00777297&quot;/&gt;&lt;wsp:rsid wsp:val=&quot;0077764A&quot;/&gt;&lt;wsp:rsid wsp:val=&quot;00780317&quot;/&gt;&lt;wsp:rsid wsp:val=&quot;007807FF&quot;/&gt;&lt;wsp:rsid wsp:val=&quot;007808B1&quot;/&gt;&lt;wsp:rsid wsp:val=&quot;00780EEE&quot;/&gt;&lt;wsp:rsid wsp:val=&quot;007817EB&quot;/&gt;&lt;wsp:rsid wsp:val=&quot;00781F79&quot;/&gt;&lt;wsp:rsid wsp:val=&quot;00781FA6&quot;/&gt;&lt;wsp:rsid wsp:val=&quot;00782277&quot;/&gt;&lt;wsp:rsid wsp:val=&quot;00782468&quot;/&gt;&lt;wsp:rsid wsp:val=&quot;007824F1&quot;/&gt;&lt;wsp:rsid wsp:val=&quot;0078257A&quot;/&gt;&lt;wsp:rsid wsp:val=&quot;00782654&quot;/&gt;&lt;wsp:rsid wsp:val=&quot;007827C4&quot;/&gt;&lt;wsp:rsid wsp:val=&quot;00782882&quot;/&gt;&lt;wsp:rsid wsp:val=&quot;00782D25&quot;/&gt;&lt;wsp:rsid wsp:val=&quot;00782F96&quot;/&gt;&lt;wsp:rsid wsp:val=&quot;0078308B&quot;/&gt;&lt;wsp:rsid wsp:val=&quot;00783216&quot;/&gt;&lt;wsp:rsid wsp:val=&quot;00783C7D&quot;/&gt;&lt;wsp:rsid wsp:val=&quot;00783D75&quot;/&gt;&lt;wsp:rsid wsp:val=&quot;00783F9B&quot;/&gt;&lt;wsp:rsid wsp:val=&quot;007843D7&quot;/&gt;&lt;wsp:rsid wsp:val=&quot;00784ACF&quot;/&gt;&lt;wsp:rsid wsp:val=&quot;00784F8F&quot;/&gt;&lt;wsp:rsid wsp:val=&quot;007852CA&quot;/&gt;&lt;wsp:rsid wsp:val=&quot;007854C8&quot;/&gt;&lt;wsp:rsid wsp:val=&quot;00786474&quot;/&gt;&lt;wsp:rsid wsp:val=&quot;00786B6D&quot;/&gt;&lt;wsp:rsid wsp:val=&quot;00786C91&quot;/&gt;&lt;wsp:rsid wsp:val=&quot;00786DA1&quot;/&gt;&lt;wsp:rsid wsp:val=&quot;007870F9&quot;/&gt;&lt;wsp:rsid wsp:val=&quot;007877B2&quot;/&gt;&lt;wsp:rsid wsp:val=&quot;00787872&quot;/&gt;&lt;wsp:rsid wsp:val=&quot;007878F5&quot;/&gt;&lt;wsp:rsid wsp:val=&quot;00787928&quot;/&gt;&lt;wsp:rsid wsp:val=&quot;00787A16&quot;/&gt;&lt;wsp:rsid wsp:val=&quot;007901E5&quot;/&gt;&lt;wsp:rsid wsp:val=&quot;00790228&quot;/&gt;&lt;wsp:rsid wsp:val=&quot;00790431&quot;/&gt;&lt;wsp:rsid wsp:val=&quot;0079065C&quot;/&gt;&lt;wsp:rsid wsp:val=&quot;007906D7&quot;/&gt;&lt;wsp:rsid wsp:val=&quot;007908AF&quot;/&gt;&lt;wsp:rsid wsp:val=&quot;00790CAA&quot;/&gt;&lt;wsp:rsid wsp:val=&quot;00790EBB&quot;/&gt;&lt;wsp:rsid wsp:val=&quot;00791633&quot;/&gt;&lt;wsp:rsid wsp:val=&quot;0079179E&quot;/&gt;&lt;wsp:rsid wsp:val=&quot;007918D6&quot;/&gt;&lt;wsp:rsid wsp:val=&quot;00791969&quot;/&gt;&lt;wsp:rsid wsp:val=&quot;007920CF&quot;/&gt;&lt;wsp:rsid wsp:val=&quot;00792B58&quot;/&gt;&lt;wsp:rsid wsp:val=&quot;00792DCB&quot;/&gt;&lt;wsp:rsid wsp:val=&quot;007930F5&quot;/&gt;&lt;wsp:rsid wsp:val=&quot;007936EC&quot;/&gt;&lt;wsp:rsid wsp:val=&quot;00793EC2&quot;/&gt;&lt;wsp:rsid wsp:val=&quot;007940B7&quot;/&gt;&lt;wsp:rsid wsp:val=&quot;007946A8&quot;/&gt;&lt;wsp:rsid wsp:val=&quot;00794AB6&quot;/&gt;&lt;wsp:rsid wsp:val=&quot;007954FA&quot;/&gt;&lt;wsp:rsid wsp:val=&quot;0079583C&quot;/&gt;&lt;wsp:rsid wsp:val=&quot;0079590A&quot;/&gt;&lt;wsp:rsid wsp:val=&quot;00795C07&quot;/&gt;&lt;wsp:rsid wsp:val=&quot;00795D1F&quot;/&gt;&lt;wsp:rsid wsp:val=&quot;00796129&quot;/&gt;&lt;wsp:rsid wsp:val=&quot;00796149&quot;/&gt;&lt;wsp:rsid wsp:val=&quot;007962B5&quot;/&gt;&lt;wsp:rsid wsp:val=&quot;00796515&quot;/&gt;&lt;wsp:rsid wsp:val=&quot;0079660C&quot;/&gt;&lt;wsp:rsid wsp:val=&quot;007969B6&quot;/&gt;&lt;wsp:rsid wsp:val=&quot;00796B08&quot;/&gt;&lt;wsp:rsid wsp:val=&quot;007A02CD&quot;/&gt;&lt;wsp:rsid wsp:val=&quot;007A0BA5&quot;/&gt;&lt;wsp:rsid wsp:val=&quot;007A0D61&quot;/&gt;&lt;wsp:rsid wsp:val=&quot;007A0DCE&quot;/&gt;&lt;wsp:rsid wsp:val=&quot;007A1941&quot;/&gt;&lt;wsp:rsid wsp:val=&quot;007A194C&quot;/&gt;&lt;wsp:rsid wsp:val=&quot;007A25A6&quot;/&gt;&lt;wsp:rsid wsp:val=&quot;007A2610&quot;/&gt;&lt;wsp:rsid wsp:val=&quot;007A2846&quot;/&gt;&lt;wsp:rsid wsp:val=&quot;007A28AA&quot;/&gt;&lt;wsp:rsid wsp:val=&quot;007A2B9B&quot;/&gt;&lt;wsp:rsid wsp:val=&quot;007A2F16&quot;/&gt;&lt;wsp:rsid wsp:val=&quot;007A3205&quot;/&gt;&lt;wsp:rsid wsp:val=&quot;007A3A14&quot;/&gt;&lt;wsp:rsid wsp:val=&quot;007A3AB0&quot;/&gt;&lt;wsp:rsid wsp:val=&quot;007A3E4E&quot;/&gt;&lt;wsp:rsid wsp:val=&quot;007A4035&quot;/&gt;&lt;wsp:rsid wsp:val=&quot;007A4128&quot;/&gt;&lt;wsp:rsid wsp:val=&quot;007A4180&quot;/&gt;&lt;wsp:rsid wsp:val=&quot;007A4231&quot;/&gt;&lt;wsp:rsid wsp:val=&quot;007A5F69&quot;/&gt;&lt;wsp:rsid wsp:val=&quot;007A5FB2&quot;/&gt;&lt;wsp:rsid wsp:val=&quot;007A6255&quot;/&gt;&lt;wsp:rsid wsp:val=&quot;007A67FD&quot;/&gt;&lt;wsp:rsid wsp:val=&quot;007A6B15&quot;/&gt;&lt;wsp:rsid wsp:val=&quot;007A7406&quot;/&gt;&lt;wsp:rsid wsp:val=&quot;007A7419&quot;/&gt;&lt;wsp:rsid wsp:val=&quot;007A79AA&quot;/&gt;&lt;wsp:rsid wsp:val=&quot;007A7BA0&quot;/&gt;&lt;wsp:rsid wsp:val=&quot;007B024D&quot;/&gt;&lt;wsp:rsid wsp:val=&quot;007B03E1&quot;/&gt;&lt;wsp:rsid wsp:val=&quot;007B0B77&quot;/&gt;&lt;wsp:rsid wsp:val=&quot;007B0D5F&quot;/&gt;&lt;wsp:rsid wsp:val=&quot;007B0F02&quot;/&gt;&lt;wsp:rsid wsp:val=&quot;007B129A&quot;/&gt;&lt;wsp:rsid wsp:val=&quot;007B14EC&quot;/&gt;&lt;wsp:rsid wsp:val=&quot;007B1634&quot;/&gt;&lt;wsp:rsid wsp:val=&quot;007B1A29&quot;/&gt;&lt;wsp:rsid wsp:val=&quot;007B1AAE&quot;/&gt;&lt;wsp:rsid wsp:val=&quot;007B1C6E&quot;/&gt;&lt;wsp:rsid wsp:val=&quot;007B21BD&quot;/&gt;&lt;wsp:rsid wsp:val=&quot;007B237E&quot;/&gt;&lt;wsp:rsid wsp:val=&quot;007B257F&quot;/&gt;&lt;wsp:rsid wsp:val=&quot;007B2661&quot;/&gt;&lt;wsp:rsid wsp:val=&quot;007B2769&quot;/&gt;&lt;wsp:rsid wsp:val=&quot;007B27B9&quot;/&gt;&lt;wsp:rsid wsp:val=&quot;007B29A4&quot;/&gt;&lt;wsp:rsid wsp:val=&quot;007B2F57&quot;/&gt;&lt;wsp:rsid wsp:val=&quot;007B3423&quot;/&gt;&lt;wsp:rsid wsp:val=&quot;007B3978&quot;/&gt;&lt;wsp:rsid wsp:val=&quot;007B45DF&quot;/&gt;&lt;wsp:rsid wsp:val=&quot;007B5237&quot;/&gt;&lt;wsp:rsid wsp:val=&quot;007B529D&quot;/&gt;&lt;wsp:rsid wsp:val=&quot;007B530B&quot;/&gt;&lt;wsp:rsid wsp:val=&quot;007B54BF&quot;/&gt;&lt;wsp:rsid wsp:val=&quot;007B5C14&quot;/&gt;&lt;wsp:rsid wsp:val=&quot;007B67B6&quot;/&gt;&lt;wsp:rsid wsp:val=&quot;007B69EF&quot;/&gt;&lt;wsp:rsid wsp:val=&quot;007B6EF1&quot;/&gt;&lt;wsp:rsid wsp:val=&quot;007B7282&quot;/&gt;&lt;wsp:rsid wsp:val=&quot;007B73D4&quot;/&gt;&lt;wsp:rsid wsp:val=&quot;007B7950&quot;/&gt;&lt;wsp:rsid wsp:val=&quot;007B7FA2&quot;/&gt;&lt;wsp:rsid wsp:val=&quot;007C01D8&quot;/&gt;&lt;wsp:rsid wsp:val=&quot;007C04BA&quot;/&gt;&lt;wsp:rsid wsp:val=&quot;007C0646&quot;/&gt;&lt;wsp:rsid wsp:val=&quot;007C095F&quot;/&gt;&lt;wsp:rsid wsp:val=&quot;007C0C2E&quot;/&gt;&lt;wsp:rsid wsp:val=&quot;007C0D0F&quot;/&gt;&lt;wsp:rsid wsp:val=&quot;007C0E13&quot;/&gt;&lt;wsp:rsid wsp:val=&quot;007C0E89&quot;/&gt;&lt;wsp:rsid wsp:val=&quot;007C1567&quot;/&gt;&lt;wsp:rsid wsp:val=&quot;007C1AF1&quot;/&gt;&lt;wsp:rsid wsp:val=&quot;007C1C99&quot;/&gt;&lt;wsp:rsid wsp:val=&quot;007C1FDC&quot;/&gt;&lt;wsp:rsid wsp:val=&quot;007C277A&quot;/&gt;&lt;wsp:rsid wsp:val=&quot;007C3151&quot;/&gt;&lt;wsp:rsid wsp:val=&quot;007C3620&quot;/&gt;&lt;wsp:rsid wsp:val=&quot;007C3CC0&quot;/&gt;&lt;wsp:rsid wsp:val=&quot;007C4A48&quot;/&gt;&lt;wsp:rsid wsp:val=&quot;007C51A8&quot;/&gt;&lt;wsp:rsid wsp:val=&quot;007C5367&quot;/&gt;&lt;wsp:rsid wsp:val=&quot;007C538C&quot;/&gt;&lt;wsp:rsid wsp:val=&quot;007C53D0&quot;/&gt;&lt;wsp:rsid wsp:val=&quot;007C5587&quot;/&gt;&lt;wsp:rsid wsp:val=&quot;007C59E7&quot;/&gt;&lt;wsp:rsid wsp:val=&quot;007C5B9A&quot;/&gt;&lt;wsp:rsid wsp:val=&quot;007C61DE&quot;/&gt;&lt;wsp:rsid wsp:val=&quot;007C6645&quot;/&gt;&lt;wsp:rsid wsp:val=&quot;007C66EB&quot;/&gt;&lt;wsp:rsid wsp:val=&quot;007C6A5A&quot;/&gt;&lt;wsp:rsid wsp:val=&quot;007C7662&quot;/&gt;&lt;wsp:rsid wsp:val=&quot;007C76E7&quot;/&gt;&lt;wsp:rsid wsp:val=&quot;007C797D&quot;/&gt;&lt;wsp:rsid wsp:val=&quot;007C7BB1&quot;/&gt;&lt;wsp:rsid wsp:val=&quot;007C7EEE&quot;/&gt;&lt;wsp:rsid wsp:val=&quot;007D00FA&quot;/&gt;&lt;wsp:rsid wsp:val=&quot;007D026E&quot;/&gt;&lt;wsp:rsid wsp:val=&quot;007D04BB&quot;/&gt;&lt;wsp:rsid wsp:val=&quot;007D05AB&quot;/&gt;&lt;wsp:rsid wsp:val=&quot;007D07DD&quot;/&gt;&lt;wsp:rsid wsp:val=&quot;007D1071&quot;/&gt;&lt;wsp:rsid wsp:val=&quot;007D1210&quot;/&gt;&lt;wsp:rsid wsp:val=&quot;007D1601&quot;/&gt;&lt;wsp:rsid wsp:val=&quot;007D1D4B&quot;/&gt;&lt;wsp:rsid wsp:val=&quot;007D2708&quot;/&gt;&lt;wsp:rsid wsp:val=&quot;007D278F&quot;/&gt;&lt;wsp:rsid wsp:val=&quot;007D27FC&quot;/&gt;&lt;wsp:rsid wsp:val=&quot;007D2F41&quot;/&gt;&lt;wsp:rsid wsp:val=&quot;007D2F79&quot;/&gt;&lt;wsp:rsid wsp:val=&quot;007D2F87&quot;/&gt;&lt;wsp:rsid wsp:val=&quot;007D3180&quot;/&gt;&lt;wsp:rsid wsp:val=&quot;007D3563&quot;/&gt;&lt;wsp:rsid wsp:val=&quot;007D35D4&quot;/&gt;&lt;wsp:rsid wsp:val=&quot;007D3887&quot;/&gt;&lt;wsp:rsid wsp:val=&quot;007D3C58&quot;/&gt;&lt;wsp:rsid wsp:val=&quot;007D3F65&quot;/&gt;&lt;wsp:rsid wsp:val=&quot;007D42A1&quot;/&gt;&lt;wsp:rsid wsp:val=&quot;007D4356&quot;/&gt;&lt;wsp:rsid wsp:val=&quot;007D4635&quot;/&gt;&lt;wsp:rsid wsp:val=&quot;007D465F&quot;/&gt;&lt;wsp:rsid wsp:val=&quot;007D4B2A&quot;/&gt;&lt;wsp:rsid wsp:val=&quot;007D4E72&quot;/&gt;&lt;wsp:rsid wsp:val=&quot;007D4FF8&quot;/&gt;&lt;wsp:rsid wsp:val=&quot;007D50E2&quot;/&gt;&lt;wsp:rsid wsp:val=&quot;007D57FB&quot;/&gt;&lt;wsp:rsid wsp:val=&quot;007D594C&quot;/&gt;&lt;wsp:rsid wsp:val=&quot;007D5B2C&quot;/&gt;&lt;wsp:rsid wsp:val=&quot;007D5EB0&quot;/&gt;&lt;wsp:rsid wsp:val=&quot;007D6E86&quot;/&gt;&lt;wsp:rsid wsp:val=&quot;007D6F39&quot;/&gt;&lt;wsp:rsid wsp:val=&quot;007D717B&quot;/&gt;&lt;wsp:rsid wsp:val=&quot;007D71DF&quot;/&gt;&lt;wsp:rsid wsp:val=&quot;007D73D6&quot;/&gt;&lt;wsp:rsid wsp:val=&quot;007D7C4A&quot;/&gt;&lt;wsp:rsid wsp:val=&quot;007D7E8E&quot;/&gt;&lt;wsp:rsid wsp:val=&quot;007E0215&quot;/&gt;&lt;wsp:rsid wsp:val=&quot;007E0B5A&quot;/&gt;&lt;wsp:rsid wsp:val=&quot;007E1189&quot;/&gt;&lt;wsp:rsid wsp:val=&quot;007E1765&quot;/&gt;&lt;wsp:rsid wsp:val=&quot;007E1B2A&quot;/&gt;&lt;wsp:rsid wsp:val=&quot;007E1BAB&quot;/&gt;&lt;wsp:rsid wsp:val=&quot;007E1CD3&quot;/&gt;&lt;wsp:rsid wsp:val=&quot;007E1F15&quot;/&gt;&lt;wsp:rsid wsp:val=&quot;007E221E&quot;/&gt;&lt;wsp:rsid wsp:val=&quot;007E2ECE&quot;/&gt;&lt;wsp:rsid wsp:val=&quot;007E2ED4&quot;/&gt;&lt;wsp:rsid wsp:val=&quot;007E3041&quot;/&gt;&lt;wsp:rsid wsp:val=&quot;007E3194&quot;/&gt;&lt;wsp:rsid wsp:val=&quot;007E320C&quot;/&gt;&lt;wsp:rsid wsp:val=&quot;007E33C8&quot;/&gt;&lt;wsp:rsid wsp:val=&quot;007E352B&quot;/&gt;&lt;wsp:rsid wsp:val=&quot;007E3670&quot;/&gt;&lt;wsp:rsid wsp:val=&quot;007E3A53&quot;/&gt;&lt;wsp:rsid wsp:val=&quot;007E3D17&quot;/&gt;&lt;wsp:rsid wsp:val=&quot;007E4211&quot;/&gt;&lt;wsp:rsid wsp:val=&quot;007E4435&quot;/&gt;&lt;wsp:rsid wsp:val=&quot;007E469A&quot;/&gt;&lt;wsp:rsid wsp:val=&quot;007E478E&quot;/&gt;&lt;wsp:rsid wsp:val=&quot;007E4BD7&quot;/&gt;&lt;wsp:rsid wsp:val=&quot;007E4D79&quot;/&gt;&lt;wsp:rsid wsp:val=&quot;007E4E52&quot;/&gt;&lt;wsp:rsid wsp:val=&quot;007E4FD5&quot;/&gt;&lt;wsp:rsid wsp:val=&quot;007E500E&quot;/&gt;&lt;wsp:rsid wsp:val=&quot;007E5082&quot;/&gt;&lt;wsp:rsid wsp:val=&quot;007E5190&quot;/&gt;&lt;wsp:rsid wsp:val=&quot;007E5315&quot;/&gt;&lt;wsp:rsid wsp:val=&quot;007E56C6&quot;/&gt;&lt;wsp:rsid wsp:val=&quot;007E5734&quot;/&gt;&lt;wsp:rsid wsp:val=&quot;007E5869&quot;/&gt;&lt;wsp:rsid wsp:val=&quot;007E5C62&quot;/&gt;&lt;wsp:rsid wsp:val=&quot;007E5D5A&quot;/&gt;&lt;wsp:rsid wsp:val=&quot;007E5E2A&quot;/&gt;&lt;wsp:rsid wsp:val=&quot;007E5F6D&quot;/&gt;&lt;wsp:rsid wsp:val=&quot;007E6BDD&quot;/&gt;&lt;wsp:rsid wsp:val=&quot;007E7117&quot;/&gt;&lt;wsp:rsid wsp:val=&quot;007E7378&quot;/&gt;&lt;wsp:rsid wsp:val=&quot;007E7BD8&quot;/&gt;&lt;wsp:rsid wsp:val=&quot;007F00A7&quot;/&gt;&lt;wsp:rsid wsp:val=&quot;007F00CD&quot;/&gt;&lt;wsp:rsid wsp:val=&quot;007F039F&quot;/&gt;&lt;wsp:rsid wsp:val=&quot;007F075C&quot;/&gt;&lt;wsp:rsid wsp:val=&quot;007F079B&quot;/&gt;&lt;wsp:rsid wsp:val=&quot;007F0C77&quot;/&gt;&lt;wsp:rsid wsp:val=&quot;007F0DC9&quot;/&gt;&lt;wsp:rsid wsp:val=&quot;007F0E5C&quot;/&gt;&lt;wsp:rsid wsp:val=&quot;007F0FDB&quot;/&gt;&lt;wsp:rsid wsp:val=&quot;007F128B&quot;/&gt;&lt;wsp:rsid wsp:val=&quot;007F1B10&quot;/&gt;&lt;wsp:rsid wsp:val=&quot;007F1EE1&quot;/&gt;&lt;wsp:rsid wsp:val=&quot;007F1EEA&quot;/&gt;&lt;wsp:rsid wsp:val=&quot;007F281F&quot;/&gt;&lt;wsp:rsid wsp:val=&quot;007F2B95&quot;/&gt;&lt;wsp:rsid wsp:val=&quot;007F2C56&quot;/&gt;&lt;wsp:rsid wsp:val=&quot;007F34ED&quot;/&gt;&lt;wsp:rsid wsp:val=&quot;007F3E21&quot;/&gt;&lt;wsp:rsid wsp:val=&quot;007F411A&quot;/&gt;&lt;wsp:rsid wsp:val=&quot;007F45D6&quot;/&gt;&lt;wsp:rsid wsp:val=&quot;007F497E&quot;/&gt;&lt;wsp:rsid wsp:val=&quot;007F49F7&quot;/&gt;&lt;wsp:rsid wsp:val=&quot;007F4B1E&quot;/&gt;&lt;wsp:rsid wsp:val=&quot;007F4C33&quot;/&gt;&lt;wsp:rsid wsp:val=&quot;007F531C&quot;/&gt;&lt;wsp:rsid wsp:val=&quot;007F552B&quot;/&gt;&lt;wsp:rsid wsp:val=&quot;007F5530&quot;/&gt;&lt;wsp:rsid wsp:val=&quot;007F5784&quot;/&gt;&lt;wsp:rsid wsp:val=&quot;007F6256&quot;/&gt;&lt;wsp:rsid wsp:val=&quot;007F633D&quot;/&gt;&lt;wsp:rsid wsp:val=&quot;007F6547&quot;/&gt;&lt;wsp:rsid wsp:val=&quot;007F662C&quot;/&gt;&lt;wsp:rsid wsp:val=&quot;007F6940&quot;/&gt;&lt;wsp:rsid wsp:val=&quot;007F70D7&quot;/&gt;&lt;wsp:rsid wsp:val=&quot;007F7412&quot;/&gt;&lt;wsp:rsid wsp:val=&quot;007F7750&quot;/&gt;&lt;wsp:rsid wsp:val=&quot;007F7A25&quot;/&gt;&lt;wsp:rsid wsp:val=&quot;007F7C57&quot;/&gt;&lt;wsp:rsid wsp:val=&quot;007F7C76&quot;/&gt;&lt;wsp:rsid wsp:val=&quot;007F7FB6&quot;/&gt;&lt;wsp:rsid wsp:val=&quot;00800125&quot;/&gt;&lt;wsp:rsid wsp:val=&quot;00800589&quot;/&gt;&lt;wsp:rsid wsp:val=&quot;008011C4&quot;/&gt;&lt;wsp:rsid wsp:val=&quot;008015ED&quot;/&gt;&lt;wsp:rsid wsp:val=&quot;00801695&quot;/&gt;&lt;wsp:rsid wsp:val=&quot;00801A3B&quot;/&gt;&lt;wsp:rsid wsp:val=&quot;00801BB7&quot;/&gt;&lt;wsp:rsid wsp:val=&quot;00801CF4&quot;/&gt;&lt;wsp:rsid wsp:val=&quot;00802650&quot;/&gt;&lt;wsp:rsid wsp:val=&quot;00802D67&quot;/&gt;&lt;wsp:rsid wsp:val=&quot;008032D8&quot;/&gt;&lt;wsp:rsid wsp:val=&quot;00803C6D&quot;/&gt;&lt;wsp:rsid wsp:val=&quot;00803D41&quot;/&gt;&lt;wsp:rsid wsp:val=&quot;0080424E&quot;/&gt;&lt;wsp:rsid wsp:val=&quot;0080459F&quot;/&gt;&lt;wsp:rsid wsp:val=&quot;00804D30&quot;/&gt;&lt;wsp:rsid wsp:val=&quot;00804D6B&quot;/&gt;&lt;wsp:rsid wsp:val=&quot;00805030&quot;/&gt;&lt;wsp:rsid wsp:val=&quot;0080558A&quot;/&gt;&lt;wsp:rsid wsp:val=&quot;0080586E&quot;/&gt;&lt;wsp:rsid wsp:val=&quot;00805CF8&quot;/&gt;&lt;wsp:rsid wsp:val=&quot;00805E47&quot;/&gt;&lt;wsp:rsid wsp:val=&quot;00805E6E&quot;/&gt;&lt;wsp:rsid wsp:val=&quot;008060EE&quot;/&gt;&lt;wsp:rsid wsp:val=&quot;008063FA&quot;/&gt;&lt;wsp:rsid wsp:val=&quot;008068F3&quot;/&gt;&lt;wsp:rsid wsp:val=&quot;008069E3&quot;/&gt;&lt;wsp:rsid wsp:val=&quot;00807234&quot;/&gt;&lt;wsp:rsid wsp:val=&quot;0080723B&quot;/&gt;&lt;wsp:rsid wsp:val=&quot;008075D7&quot;/&gt;&lt;wsp:rsid wsp:val=&quot;00807D03&quot;/&gt;&lt;wsp:rsid wsp:val=&quot;00807F3E&quot;/&gt;&lt;wsp:rsid wsp:val=&quot;008103DD&quot;/&gt;&lt;wsp:rsid wsp:val=&quot;00810924&quot;/&gt;&lt;wsp:rsid wsp:val=&quot;008110BC&quot;/&gt;&lt;wsp:rsid wsp:val=&quot;0081152E&quot;/&gt;&lt;wsp:rsid wsp:val=&quot;008117F4&quot;/&gt;&lt;wsp:rsid wsp:val=&quot;00811856&quot;/&gt;&lt;wsp:rsid wsp:val=&quot;00812522&quot;/&gt;&lt;wsp:rsid wsp:val=&quot;00812BC5&quot;/&gt;&lt;wsp:rsid wsp:val=&quot;00812DD0&quot;/&gt;&lt;wsp:rsid wsp:val=&quot;008137BA&quot;/&gt;&lt;wsp:rsid wsp:val=&quot;008137D9&quot;/&gt;&lt;wsp:rsid wsp:val=&quot;00813928&quot;/&gt;&lt;wsp:rsid wsp:val=&quot;00813CB4&quot;/&gt;&lt;wsp:rsid wsp:val=&quot;00813F87&quot;/&gt;&lt;wsp:rsid wsp:val=&quot;00813FB6&quot;/&gt;&lt;wsp:rsid wsp:val=&quot;00814155&quot;/&gt;&lt;wsp:rsid wsp:val=&quot;0081416D&quot;/&gt;&lt;wsp:rsid wsp:val=&quot;0081466F&quot;/&gt;&lt;wsp:rsid wsp:val=&quot;00814842&quot;/&gt;&lt;wsp:rsid wsp:val=&quot;00814E7E&quot;/&gt;&lt;wsp:rsid wsp:val=&quot;00814F4B&quot;/&gt;&lt;wsp:rsid wsp:val=&quot;00815291&quot;/&gt;&lt;wsp:rsid wsp:val=&quot;008152FF&quot;/&gt;&lt;wsp:rsid wsp:val=&quot;00815466&quot;/&gt;&lt;wsp:rsid wsp:val=&quot;008159FE&quot;/&gt;&lt;wsp:rsid wsp:val=&quot;00815C35&quot;/&gt;&lt;wsp:rsid wsp:val=&quot;00815C82&quot;/&gt;&lt;wsp:rsid wsp:val=&quot;00816463&quot;/&gt;&lt;wsp:rsid wsp:val=&quot;00816796&quot;/&gt;&lt;wsp:rsid wsp:val=&quot;0081698E&quot;/&gt;&lt;wsp:rsid wsp:val=&quot;00816D50&quot;/&gt;&lt;wsp:rsid wsp:val=&quot;0081752E&quot;/&gt;&lt;wsp:rsid wsp:val=&quot;00817F76&quot;/&gt;&lt;wsp:rsid wsp:val=&quot;00820102&quot;/&gt;&lt;wsp:rsid wsp:val=&quot;008208F6&quot;/&gt;&lt;wsp:rsid wsp:val=&quot;00820C24&quot;/&gt;&lt;wsp:rsid wsp:val=&quot;00820FC8&quot;/&gt;&lt;wsp:rsid wsp:val=&quot;0082108C&quot;/&gt;&lt;wsp:rsid wsp:val=&quot;00821640&quot;/&gt;&lt;wsp:rsid wsp:val=&quot;00821D18&quot;/&gt;&lt;wsp:rsid wsp:val=&quot;00822620&quot;/&gt;&lt;wsp:rsid wsp:val=&quot;008227E5&quot;/&gt;&lt;wsp:rsid wsp:val=&quot;00822DA4&quot;/&gt;&lt;wsp:rsid wsp:val=&quot;00822EB8&quot;/&gt;&lt;wsp:rsid wsp:val=&quot;0082384C&quot;/&gt;&lt;wsp:rsid wsp:val=&quot;008240FF&quot;/&gt;&lt;wsp:rsid wsp:val=&quot;008243E9&quot;/&gt;&lt;wsp:rsid wsp:val=&quot;008246F5&quot;/&gt;&lt;wsp:rsid wsp:val=&quot;00824923&quot;/&gt;&lt;wsp:rsid wsp:val=&quot;00824B96&quot;/&gt;&lt;wsp:rsid wsp:val=&quot;00824DF4&quot;/&gt;&lt;wsp:rsid wsp:val=&quot;0082518D&quot;/&gt;&lt;wsp:rsid wsp:val=&quot;00825F44&quot;/&gt;&lt;wsp:rsid wsp:val=&quot;00825FAE&quot;/&gt;&lt;wsp:rsid wsp:val=&quot;008267DE&quot;/&gt;&lt;wsp:rsid wsp:val=&quot;00826D46&quot;/&gt;&lt;wsp:rsid wsp:val=&quot;00826EFD&quot;/&gt;&lt;wsp:rsid wsp:val=&quot;00827656&quot;/&gt;&lt;wsp:rsid wsp:val=&quot;008276BB&quot;/&gt;&lt;wsp:rsid wsp:val=&quot;00827753&quot;/&gt;&lt;wsp:rsid wsp:val=&quot;00827992&quot;/&gt;&lt;wsp:rsid wsp:val=&quot;008279BF&quot;/&gt;&lt;wsp:rsid wsp:val=&quot;008303CB&quot;/&gt;&lt;wsp:rsid wsp:val=&quot;00830AE4&quot;/&gt;&lt;wsp:rsid wsp:val=&quot;00830D15&quot;/&gt;&lt;wsp:rsid wsp:val=&quot;00830DCC&quot;/&gt;&lt;wsp:rsid wsp:val=&quot;00830EFF&quot;/&gt;&lt;wsp:rsid wsp:val=&quot;008310EE&quot;/&gt;&lt;wsp:rsid wsp:val=&quot;00831312&quot;/&gt;&lt;wsp:rsid wsp:val=&quot;00831663&quot;/&gt;&lt;wsp:rsid wsp:val=&quot;008318B9&quot;/&gt;&lt;wsp:rsid wsp:val=&quot;0083198C&quot;/&gt;&lt;wsp:rsid wsp:val=&quot;00831A4B&quot;/&gt;&lt;wsp:rsid wsp:val=&quot;00831E96&quot;/&gt;&lt;wsp:rsid wsp:val=&quot;00832409&quot;/&gt;&lt;wsp:rsid wsp:val=&quot;008325C4&quot;/&gt;&lt;wsp:rsid wsp:val=&quot;00832F48&quot;/&gt;&lt;wsp:rsid wsp:val=&quot;00833495&quot;/&gt;&lt;wsp:rsid wsp:val=&quot;00833B5D&quot;/&gt;&lt;wsp:rsid wsp:val=&quot;00834015&quot;/&gt;&lt;wsp:rsid wsp:val=&quot;0083419D&quot;/&gt;&lt;wsp:rsid wsp:val=&quot;008345B4&quot;/&gt;&lt;wsp:rsid wsp:val=&quot;008345BF&quot;/&gt;&lt;wsp:rsid wsp:val=&quot;0083490E&quot;/&gt;&lt;wsp:rsid wsp:val=&quot;008349E9&quot;/&gt;&lt;wsp:rsid wsp:val=&quot;008359EB&quot;/&gt;&lt;wsp:rsid wsp:val=&quot;008359F5&quot;/&gt;&lt;wsp:rsid wsp:val=&quot;00835A49&quot;/&gt;&lt;wsp:rsid wsp:val=&quot;00835B52&quot;/&gt;&lt;wsp:rsid wsp:val=&quot;00836003&quot;/&gt;&lt;wsp:rsid wsp:val=&quot;00836940&quot;/&gt;&lt;wsp:rsid wsp:val=&quot;008369BB&quot;/&gt;&lt;wsp:rsid wsp:val=&quot;00836F5C&quot;/&gt;&lt;wsp:rsid wsp:val=&quot;008371FC&quot;/&gt;&lt;wsp:rsid wsp:val=&quot;0083766E&quot;/&gt;&lt;wsp:rsid wsp:val=&quot;00840100&quot;/&gt;&lt;wsp:rsid wsp:val=&quot;0084011C&quot;/&gt;&lt;wsp:rsid wsp:val=&quot;00840634&quot;/&gt;&lt;wsp:rsid wsp:val=&quot;008407F6&quot;/&gt;&lt;wsp:rsid wsp:val=&quot;00840AAC&quot;/&gt;&lt;wsp:rsid wsp:val=&quot;00840DF5&quot;/&gt;&lt;wsp:rsid wsp:val=&quot;008411D5&quot;/&gt;&lt;wsp:rsid wsp:val=&quot;008416B7&quot;/&gt;&lt;wsp:rsid wsp:val=&quot;00841B10&quot;/&gt;&lt;wsp:rsid wsp:val=&quot;00841E06&quot;/&gt;&lt;wsp:rsid wsp:val=&quot;0084270C&quot;/&gt;&lt;wsp:rsid wsp:val=&quot;00842A42&quot;/&gt;&lt;wsp:rsid wsp:val=&quot;00842CE6&quot;/&gt;&lt;wsp:rsid wsp:val=&quot;00842DFF&quot;/&gt;&lt;wsp:rsid wsp:val=&quot;00843EB7&quot;/&gt;&lt;wsp:rsid wsp:val=&quot;00844066&quot;/&gt;&lt;wsp:rsid wsp:val=&quot;00844405&quot;/&gt;&lt;wsp:rsid wsp:val=&quot;00844AB7&quot;/&gt;&lt;wsp:rsid wsp:val=&quot;00844C2F&quot;/&gt;&lt;wsp:rsid wsp:val=&quot;00845212&quot;/&gt;&lt;wsp:rsid wsp:val=&quot;00845B59&quot;/&gt;&lt;wsp:rsid wsp:val=&quot;0084617E&quot;/&gt;&lt;wsp:rsid wsp:val=&quot;008461D2&quot;/&gt;&lt;wsp:rsid wsp:val=&quot;008461E2&quot;/&gt;&lt;wsp:rsid wsp:val=&quot;008468E7&quot;/&gt;&lt;wsp:rsid wsp:val=&quot;00846BB4&quot;/&gt;&lt;wsp:rsid wsp:val=&quot;00846C1F&quot;/&gt;&lt;wsp:rsid wsp:val=&quot;008470AD&quot;/&gt;&lt;wsp:rsid wsp:val=&quot;00847206&quot;/&gt;&lt;wsp:rsid wsp:val=&quot;0084763D&quot;/&gt;&lt;wsp:rsid wsp:val=&quot;008500F2&quot;/&gt;&lt;wsp:rsid wsp:val=&quot;00850134&quot;/&gt;&lt;wsp:rsid wsp:val=&quot;008509EA&quot;/&gt;&lt;wsp:rsid wsp:val=&quot;00850D3C&quot;/&gt;&lt;wsp:rsid wsp:val=&quot;008510E5&quot;/&gt;&lt;wsp:rsid wsp:val=&quot;0085123F&quot;/&gt;&lt;wsp:rsid wsp:val=&quot;00851D73&quot;/&gt;&lt;wsp:rsid wsp:val=&quot;00852200&quot;/&gt;&lt;wsp:rsid wsp:val=&quot;0085231E&quot;/&gt;&lt;wsp:rsid wsp:val=&quot;0085235E&quot;/&gt;&lt;wsp:rsid wsp:val=&quot;008524B3&quot;/&gt;&lt;wsp:rsid wsp:val=&quot;00852EEA&quot;/&gt;&lt;wsp:rsid wsp:val=&quot;00852F16&quot;/&gt;&lt;wsp:rsid wsp:val=&quot;008538E3&quot;/&gt;&lt;wsp:rsid wsp:val=&quot;00853AA1&quot;/&gt;&lt;wsp:rsid wsp:val=&quot;00853CE9&quot;/&gt;&lt;wsp:rsid wsp:val=&quot;00853E34&quot;/&gt;&lt;wsp:rsid wsp:val=&quot;00853E80&quot;/&gt;&lt;wsp:rsid wsp:val=&quot;008541CB&quot;/&gt;&lt;wsp:rsid wsp:val=&quot;008544A1&quot;/&gt;&lt;wsp:rsid wsp:val=&quot;008544CA&quot;/&gt;&lt;wsp:rsid wsp:val=&quot;008546B4&quot;/&gt;&lt;wsp:rsid wsp:val=&quot;00854A9C&quot;/&gt;&lt;wsp:rsid wsp:val=&quot;00854C78&quot;/&gt;&lt;wsp:rsid wsp:val=&quot;0085518A&quot;/&gt;&lt;wsp:rsid wsp:val=&quot;00855538&quot;/&gt;&lt;wsp:rsid wsp:val=&quot;00855A2A&quot;/&gt;&lt;wsp:rsid wsp:val=&quot;00855C51&quot;/&gt;&lt;wsp:rsid wsp:val=&quot;00856270&quot;/&gt;&lt;wsp:rsid wsp:val=&quot;00856614&quot;/&gt;&lt;wsp:rsid wsp:val=&quot;0085665F&quot;/&gt;&lt;wsp:rsid wsp:val=&quot;00856A5B&quot;/&gt;&lt;wsp:rsid wsp:val=&quot;00856EB8&quot;/&gt;&lt;wsp:rsid wsp:val=&quot;00856EFB&quot;/&gt;&lt;wsp:rsid wsp:val=&quot;0085724F&quot;/&gt;&lt;wsp:rsid wsp:val=&quot;0085766B&quot;/&gt;&lt;wsp:rsid wsp:val=&quot;00857736&quot;/&gt;&lt;wsp:rsid wsp:val=&quot;00860309&quot;/&gt;&lt;wsp:rsid wsp:val=&quot;00860720&quot;/&gt;&lt;wsp:rsid wsp:val=&quot;0086074E&quot;/&gt;&lt;wsp:rsid wsp:val=&quot;00860ECE&quot;/&gt;&lt;wsp:rsid wsp:val=&quot;0086105A&quot;/&gt;&lt;wsp:rsid wsp:val=&quot;008613DC&quot;/&gt;&lt;wsp:rsid wsp:val=&quot;0086163E&quot;/&gt;&lt;wsp:rsid wsp:val=&quot;008619E7&quot;/&gt;&lt;wsp:rsid wsp:val=&quot;00862064&quot;/&gt;&lt;wsp:rsid wsp:val=&quot;008623F6&quot;/&gt;&lt;wsp:rsid wsp:val=&quot;008626C5&quot;/&gt;&lt;wsp:rsid wsp:val=&quot;00862C2C&quot;/&gt;&lt;wsp:rsid wsp:val=&quot;00862CBE&quot;/&gt;&lt;wsp:rsid wsp:val=&quot;00862CC6&quot;/&gt;&lt;wsp:rsid wsp:val=&quot;00862F76&quot;/&gt;&lt;wsp:rsid wsp:val=&quot;00863013&quot;/&gt;&lt;wsp:rsid wsp:val=&quot;00864149&quot;/&gt;&lt;wsp:rsid wsp:val=&quot;008644EA&quot;/&gt;&lt;wsp:rsid wsp:val=&quot;0086457D&quot;/&gt;&lt;wsp:rsid wsp:val=&quot;008648AD&quot;/&gt;&lt;wsp:rsid wsp:val=&quot;0086528B&quot;/&gt;&lt;wsp:rsid wsp:val=&quot;00865E4A&quot;/&gt;&lt;wsp:rsid wsp:val=&quot;00866041&quot;/&gt;&lt;wsp:rsid wsp:val=&quot;008663D9&quot;/&gt;&lt;wsp:rsid wsp:val=&quot;00866475&quot;/&gt;&lt;wsp:rsid wsp:val=&quot;008666CB&quot;/&gt;&lt;wsp:rsid wsp:val=&quot;00866C8A&quot;/&gt;&lt;wsp:rsid wsp:val=&quot;00866FD8&quot;/&gt;&lt;wsp:rsid wsp:val=&quot;00867317&quot;/&gt;&lt;wsp:rsid wsp:val=&quot;008679B9&quot;/&gt;&lt;wsp:rsid wsp:val=&quot;00867BE3&quot;/&gt;&lt;wsp:rsid wsp:val=&quot;008702F8&quot;/&gt;&lt;wsp:rsid wsp:val=&quot;008703D9&quot;/&gt;&lt;wsp:rsid wsp:val=&quot;00870565&quot;/&gt;&lt;wsp:rsid wsp:val=&quot;008712C3&quot;/&gt;&lt;wsp:rsid wsp:val=&quot;0087143E&quot;/&gt;&lt;wsp:rsid wsp:val=&quot;00871A09&quot;/&gt;&lt;wsp:rsid wsp:val=&quot;00871B31&quot;/&gt;&lt;wsp:rsid wsp:val=&quot;00871C0F&quot;/&gt;&lt;wsp:rsid wsp:val=&quot;00871FCD&quot;/&gt;&lt;wsp:rsid wsp:val=&quot;008721C3&quot;/&gt;&lt;wsp:rsid wsp:val=&quot;008722A4&quot;/&gt;&lt;wsp:rsid wsp:val=&quot;00872393&quot;/&gt;&lt;wsp:rsid wsp:val=&quot;00872591&quot;/&gt;&lt;wsp:rsid wsp:val=&quot;0087277C&quot;/&gt;&lt;wsp:rsid wsp:val=&quot;00872896&quot;/&gt;&lt;wsp:rsid wsp:val=&quot;0087289C&quot;/&gt;&lt;wsp:rsid wsp:val=&quot;00872AE8&quot;/&gt;&lt;wsp:rsid wsp:val=&quot;00872B75&quot;/&gt;&lt;wsp:rsid wsp:val=&quot;008731CB&quot;/&gt;&lt;wsp:rsid wsp:val=&quot;0087366B&quot;/&gt;&lt;wsp:rsid wsp:val=&quot;00874CBC&quot;/&gt;&lt;wsp:rsid wsp:val=&quot;00874CD7&quot;/&gt;&lt;wsp:rsid wsp:val=&quot;0087556F&quot;/&gt;&lt;wsp:rsid wsp:val=&quot;008755B0&quot;/&gt;&lt;wsp:rsid wsp:val=&quot;0087569A&quot;/&gt;&lt;wsp:rsid wsp:val=&quot;00875D94&quot;/&gt;&lt;wsp:rsid wsp:val=&quot;00875EDA&quot;/&gt;&lt;wsp:rsid wsp:val=&quot;00876239&quot;/&gt;&lt;wsp:rsid wsp:val=&quot;00876340&quot;/&gt;&lt;wsp:rsid wsp:val=&quot;0087678D&quot;/&gt;&lt;wsp:rsid wsp:val=&quot;008769E3&quot;/&gt;&lt;wsp:rsid wsp:val=&quot;00876E84&quot;/&gt;&lt;wsp:rsid wsp:val=&quot;00876FF7&quot;/&gt;&lt;wsp:rsid wsp:val=&quot;00877161&quot;/&gt;&lt;wsp:rsid wsp:val=&quot;008779E6&quot;/&gt;&lt;wsp:rsid wsp:val=&quot;00877B53&quot;/&gt;&lt;wsp:rsid wsp:val=&quot;00877C15&quot;/&gt;&lt;wsp:rsid wsp:val=&quot;00877DBC&quot;/&gt;&lt;wsp:rsid wsp:val=&quot;00877E2E&quot;/&gt;&lt;wsp:rsid wsp:val=&quot;00880540&quot;/&gt;&lt;wsp:rsid wsp:val=&quot;00880E78&quot;/&gt;&lt;wsp:rsid wsp:val=&quot;00881098&quot;/&gt;&lt;wsp:rsid wsp:val=&quot;0088123F&quot;/&gt;&lt;wsp:rsid wsp:val=&quot;00881278&quot;/&gt;&lt;wsp:rsid wsp:val=&quot;0088153E&quot;/&gt;&lt;wsp:rsid wsp:val=&quot;00881A78&quot;/&gt;&lt;wsp:rsid wsp:val=&quot;00881C83&quot;/&gt;&lt;wsp:rsid wsp:val=&quot;00881C9B&quot;/&gt;&lt;wsp:rsid wsp:val=&quot;00882509&quot;/&gt;&lt;wsp:rsid wsp:val=&quot;0088274C&quot;/&gt;&lt;wsp:rsid wsp:val=&quot;00882AC8&quot;/&gt;&lt;wsp:rsid wsp:val=&quot;00882E90&quot;/&gt;&lt;wsp:rsid wsp:val=&quot;008836DF&quot;/&gt;&lt;wsp:rsid wsp:val=&quot;008837F7&quot;/&gt;&lt;wsp:rsid wsp:val=&quot;00883BB7&quot;/&gt;&lt;wsp:rsid wsp:val=&quot;00884469&quot;/&gt;&lt;wsp:rsid wsp:val=&quot;008848A2&quot;/&gt;&lt;wsp:rsid wsp:val=&quot;00884C50&quot;/&gt;&lt;wsp:rsid wsp:val=&quot;00884CD4&quot;/&gt;&lt;wsp:rsid wsp:val=&quot;008858FB&quot;/&gt;&lt;wsp:rsid wsp:val=&quot;00885F57&quot;/&gt;&lt;wsp:rsid wsp:val=&quot;0088685D&quot;/&gt;&lt;wsp:rsid wsp:val=&quot;00886CE4&quot;/&gt;&lt;wsp:rsid wsp:val=&quot;00890330&quot;/&gt;&lt;wsp:rsid wsp:val=&quot;0089078F&quot;/&gt;&lt;wsp:rsid wsp:val=&quot;00890835&quot;/&gt;&lt;wsp:rsid wsp:val=&quot;00890B00&quot;/&gt;&lt;wsp:rsid wsp:val=&quot;008910DD&quot;/&gt;&lt;wsp:rsid wsp:val=&quot;008914FE&quot;/&gt;&lt;wsp:rsid wsp:val=&quot;00891788&quot;/&gt;&lt;wsp:rsid wsp:val=&quot;00891D83&quot;/&gt;&lt;wsp:rsid wsp:val=&quot;00891E45&quot;/&gt;&lt;wsp:rsid wsp:val=&quot;00892360&quot;/&gt;&lt;wsp:rsid wsp:val=&quot;00892545&quot;/&gt;&lt;wsp:rsid wsp:val=&quot;00892660&quot;/&gt;&lt;wsp:rsid wsp:val=&quot;008926B3&quot;/&gt;&lt;wsp:rsid wsp:val=&quot;00892B7A&quot;/&gt;&lt;wsp:rsid wsp:val=&quot;00892F8C&quot;/&gt;&lt;wsp:rsid wsp:val=&quot;00893051&quot;/&gt;&lt;wsp:rsid wsp:val=&quot;0089347F&quot;/&gt;&lt;wsp:rsid wsp:val=&quot;008939D3&quot;/&gt;&lt;wsp:rsid wsp:val=&quot;00894096&quot;/&gt;&lt;wsp:rsid wsp:val=&quot;0089421F&quot;/&gt;&lt;wsp:rsid wsp:val=&quot;008943D5&quot;/&gt;&lt;wsp:rsid wsp:val=&quot;00894A10&quot;/&gt;&lt;wsp:rsid wsp:val=&quot;00894DEB&quot;/&gt;&lt;wsp:rsid wsp:val=&quot;00894E64&quot;/&gt;&lt;wsp:rsid wsp:val=&quot;0089535F&quot;/&gt;&lt;wsp:rsid wsp:val=&quot;008955D8&quot;/&gt;&lt;wsp:rsid wsp:val=&quot;008957CE&quot;/&gt;&lt;wsp:rsid wsp:val=&quot;00895B4E&quot;/&gt;&lt;wsp:rsid wsp:val=&quot;00895DB5&quot;/&gt;&lt;wsp:rsid wsp:val=&quot;00895E8B&quot;/&gt;&lt;wsp:rsid wsp:val=&quot;00896A43&quot;/&gt;&lt;wsp:rsid wsp:val=&quot;00896AF6&quot;/&gt;&lt;wsp:rsid wsp:val=&quot;00896B67&quot;/&gt;&lt;wsp:rsid wsp:val=&quot;00896C40&quot;/&gt;&lt;wsp:rsid wsp:val=&quot;008970CC&quot;/&gt;&lt;wsp:rsid wsp:val=&quot;0089728E&quot;/&gt;&lt;wsp:rsid wsp:val=&quot;008974F1&quot;/&gt;&lt;wsp:rsid wsp:val=&quot;00897B02&quot;/&gt;&lt;wsp:rsid wsp:val=&quot;00897C6B&quot;/&gt;&lt;wsp:rsid wsp:val=&quot;00897E7A&quot;/&gt;&lt;wsp:rsid wsp:val=&quot;008A00ED&quot;/&gt;&lt;wsp:rsid wsp:val=&quot;008A0547&quot;/&gt;&lt;wsp:rsid wsp:val=&quot;008A0FE4&quot;/&gt;&lt;wsp:rsid wsp:val=&quot;008A1013&quot;/&gt;&lt;wsp:rsid wsp:val=&quot;008A12BE&quot;/&gt;&lt;wsp:rsid wsp:val=&quot;008A1E46&quot;/&gt;&lt;wsp:rsid wsp:val=&quot;008A1FD1&quot;/&gt;&lt;wsp:rsid wsp:val=&quot;008A20DF&quot;/&gt;&lt;wsp:rsid wsp:val=&quot;008A24A4&quot;/&gt;&lt;wsp:rsid wsp:val=&quot;008A2697&quot;/&gt;&lt;wsp:rsid wsp:val=&quot;008A297A&quot;/&gt;&lt;wsp:rsid wsp:val=&quot;008A2AFD&quot;/&gt;&lt;wsp:rsid wsp:val=&quot;008A2BEE&quot;/&gt;&lt;wsp:rsid wsp:val=&quot;008A31BD&quot;/&gt;&lt;wsp:rsid wsp:val=&quot;008A342D&quot;/&gt;&lt;wsp:rsid wsp:val=&quot;008A3480&quot;/&gt;&lt;wsp:rsid wsp:val=&quot;008A3498&quot;/&gt;&lt;wsp:rsid wsp:val=&quot;008A35D3&quot;/&gt;&lt;wsp:rsid wsp:val=&quot;008A36E0&quot;/&gt;&lt;wsp:rsid wsp:val=&quot;008A38A9&quot;/&gt;&lt;wsp:rsid wsp:val=&quot;008A3C20&quot;/&gt;&lt;wsp:rsid wsp:val=&quot;008A3D2A&quot;/&gt;&lt;wsp:rsid wsp:val=&quot;008A3EB1&quot;/&gt;&lt;wsp:rsid wsp:val=&quot;008A3EC1&quot;/&gt;&lt;wsp:rsid wsp:val=&quot;008A413D&quot;/&gt;&lt;wsp:rsid wsp:val=&quot;008A4B83&quot;/&gt;&lt;wsp:rsid wsp:val=&quot;008A4F91&quot;/&gt;&lt;wsp:rsid wsp:val=&quot;008A6840&quot;/&gt;&lt;wsp:rsid wsp:val=&quot;008A6AC5&quot;/&gt;&lt;wsp:rsid wsp:val=&quot;008A6B6C&quot;/&gt;&lt;wsp:rsid wsp:val=&quot;008A6C57&quot;/&gt;&lt;wsp:rsid wsp:val=&quot;008A6D31&quot;/&gt;&lt;wsp:rsid wsp:val=&quot;008A6D33&quot;/&gt;&lt;wsp:rsid wsp:val=&quot;008A6E55&quot;/&gt;&lt;wsp:rsid wsp:val=&quot;008A6F6F&quot;/&gt;&lt;wsp:rsid wsp:val=&quot;008A71DA&quot;/&gt;&lt;wsp:rsid wsp:val=&quot;008A71F1&quot;/&gt;&lt;wsp:rsid wsp:val=&quot;008A729A&quot;/&gt;&lt;wsp:rsid wsp:val=&quot;008A74B8&quot;/&gt;&lt;wsp:rsid wsp:val=&quot;008A7504&quot;/&gt;&lt;wsp:rsid wsp:val=&quot;008A7CC6&quot;/&gt;&lt;wsp:rsid wsp:val=&quot;008A7F91&quot;/&gt;&lt;wsp:rsid wsp:val=&quot;008B0115&quot;/&gt;&lt;wsp:rsid wsp:val=&quot;008B0407&quot;/&gt;&lt;wsp:rsid wsp:val=&quot;008B043B&quot;/&gt;&lt;wsp:rsid wsp:val=&quot;008B0656&quot;/&gt;&lt;wsp:rsid wsp:val=&quot;008B0A10&quot;/&gt;&lt;wsp:rsid wsp:val=&quot;008B0AEA&quot;/&gt;&lt;wsp:rsid wsp:val=&quot;008B0DE6&quot;/&gt;&lt;wsp:rsid wsp:val=&quot;008B0E42&quot;/&gt;&lt;wsp:rsid wsp:val=&quot;008B103A&quot;/&gt;&lt;wsp:rsid wsp:val=&quot;008B1621&quot;/&gt;&lt;wsp:rsid wsp:val=&quot;008B1A93&quot;/&gt;&lt;wsp:rsid wsp:val=&quot;008B2041&quot;/&gt;&lt;wsp:rsid wsp:val=&quot;008B229B&quot;/&gt;&lt;wsp:rsid wsp:val=&quot;008B2473&quot;/&gt;&lt;wsp:rsid wsp:val=&quot;008B28D9&quot;/&gt;&lt;wsp:rsid wsp:val=&quot;008B34F3&quot;/&gt;&lt;wsp:rsid wsp:val=&quot;008B3697&quot;/&gt;&lt;wsp:rsid wsp:val=&quot;008B378A&quot;/&gt;&lt;wsp:rsid wsp:val=&quot;008B3D95&quot;/&gt;&lt;wsp:rsid wsp:val=&quot;008B41AE&quot;/&gt;&lt;wsp:rsid wsp:val=&quot;008B4461&quot;/&gt;&lt;wsp:rsid wsp:val=&quot;008B46D9&quot;/&gt;&lt;wsp:rsid wsp:val=&quot;008B48F9&quot;/&gt;&lt;wsp:rsid wsp:val=&quot;008B4924&quot;/&gt;&lt;wsp:rsid wsp:val=&quot;008B4BEB&quot;/&gt;&lt;wsp:rsid wsp:val=&quot;008B56A4&quot;/&gt;&lt;wsp:rsid wsp:val=&quot;008B5816&quot;/&gt;&lt;wsp:rsid wsp:val=&quot;008B5A79&quot;/&gt;&lt;wsp:rsid wsp:val=&quot;008B5CDC&quot;/&gt;&lt;wsp:rsid wsp:val=&quot;008B60B1&quot;/&gt;&lt;wsp:rsid wsp:val=&quot;008B6A43&quot;/&gt;&lt;wsp:rsid wsp:val=&quot;008B7359&quot;/&gt;&lt;wsp:rsid wsp:val=&quot;008B74CC&quot;/&gt;&lt;wsp:rsid wsp:val=&quot;008B7A4A&quot;/&gt;&lt;wsp:rsid wsp:val=&quot;008B7FD9&quot;/&gt;&lt;wsp:rsid wsp:val=&quot;008C0097&quot;/&gt;&lt;wsp:rsid wsp:val=&quot;008C06B0&quot;/&gt;&lt;wsp:rsid wsp:val=&quot;008C144E&quot;/&gt;&lt;wsp:rsid wsp:val=&quot;008C1477&quot;/&gt;&lt;wsp:rsid wsp:val=&quot;008C14B0&quot;/&gt;&lt;wsp:rsid wsp:val=&quot;008C1662&quot;/&gt;&lt;wsp:rsid wsp:val=&quot;008C1A84&quot;/&gt;&lt;wsp:rsid wsp:val=&quot;008C25A2&quot;/&gt;&lt;wsp:rsid wsp:val=&quot;008C2810&quot;/&gt;&lt;wsp:rsid wsp:val=&quot;008C2A9B&quot;/&gt;&lt;wsp:rsid wsp:val=&quot;008C2B4F&quot;/&gt;&lt;wsp:rsid wsp:val=&quot;008C2D15&quot;/&gt;&lt;wsp:rsid wsp:val=&quot;008C3315&quot;/&gt;&lt;wsp:rsid wsp:val=&quot;008C360A&quot;/&gt;&lt;wsp:rsid wsp:val=&quot;008C3771&quot;/&gt;&lt;wsp:rsid wsp:val=&quot;008C3933&quot;/&gt;&lt;wsp:rsid wsp:val=&quot;008C3BF8&quot;/&gt;&lt;wsp:rsid wsp:val=&quot;008C3D82&quot;/&gt;&lt;wsp:rsid wsp:val=&quot;008C415D&quot;/&gt;&lt;wsp:rsid wsp:val=&quot;008C42C7&quot;/&gt;&lt;wsp:rsid wsp:val=&quot;008C45CF&quot;/&gt;&lt;wsp:rsid wsp:val=&quot;008C572D&quot;/&gt;&lt;wsp:rsid wsp:val=&quot;008C58D1&quot;/&gt;&lt;wsp:rsid wsp:val=&quot;008C593D&quot;/&gt;&lt;wsp:rsid wsp:val=&quot;008C5FCF&quot;/&gt;&lt;wsp:rsid wsp:val=&quot;008C6149&quot;/&gt;&lt;wsp:rsid wsp:val=&quot;008C67CD&quot;/&gt;&lt;wsp:rsid wsp:val=&quot;008C68C0&quot;/&gt;&lt;wsp:rsid wsp:val=&quot;008C6C4E&quot;/&gt;&lt;wsp:rsid wsp:val=&quot;008C7C21&quot;/&gt;&lt;wsp:rsid wsp:val=&quot;008C7CCA&quot;/&gt;&lt;wsp:rsid wsp:val=&quot;008C7DD4&quot;/&gt;&lt;wsp:rsid wsp:val=&quot;008D01B7&quot;/&gt;&lt;wsp:rsid wsp:val=&quot;008D026B&quot;/&gt;&lt;wsp:rsid wsp:val=&quot;008D0759&quot;/&gt;&lt;wsp:rsid wsp:val=&quot;008D0A83&quot;/&gt;&lt;wsp:rsid wsp:val=&quot;008D0D13&quot;/&gt;&lt;wsp:rsid wsp:val=&quot;008D0EA5&quot;/&gt;&lt;wsp:rsid wsp:val=&quot;008D0EC0&quot;/&gt;&lt;wsp:rsid wsp:val=&quot;008D14AA&quot;/&gt;&lt;wsp:rsid wsp:val=&quot;008D1524&quot;/&gt;&lt;wsp:rsid wsp:val=&quot;008D1682&quot;/&gt;&lt;wsp:rsid wsp:val=&quot;008D18C3&quot;/&gt;&lt;wsp:rsid wsp:val=&quot;008D1ADA&quot;/&gt;&lt;wsp:rsid wsp:val=&quot;008D1EA6&quot;/&gt;&lt;wsp:rsid wsp:val=&quot;008D1F51&quot;/&gt;&lt;wsp:rsid wsp:val=&quot;008D1FFB&quot;/&gt;&lt;wsp:rsid wsp:val=&quot;008D20B5&quot;/&gt;&lt;wsp:rsid wsp:val=&quot;008D2227&quot;/&gt;&lt;wsp:rsid wsp:val=&quot;008D22A8&quot;/&gt;&lt;wsp:rsid wsp:val=&quot;008D22C7&quot;/&gt;&lt;wsp:rsid wsp:val=&quot;008D2904&quot;/&gt;&lt;wsp:rsid wsp:val=&quot;008D2A2C&quot;/&gt;&lt;wsp:rsid wsp:val=&quot;008D2B0C&quot;/&gt;&lt;wsp:rsid wsp:val=&quot;008D3227&quot;/&gt;&lt;wsp:rsid wsp:val=&quot;008D401E&quot;/&gt;&lt;wsp:rsid wsp:val=&quot;008D4832&quot;/&gt;&lt;wsp:rsid wsp:val=&quot;008D498A&quot;/&gt;&lt;wsp:rsid wsp:val=&quot;008D4B52&quot;/&gt;&lt;wsp:rsid wsp:val=&quot;008D4F03&quot;/&gt;&lt;wsp:rsid wsp:val=&quot;008D4F7F&quot;/&gt;&lt;wsp:rsid wsp:val=&quot;008D569C&quot;/&gt;&lt;wsp:rsid wsp:val=&quot;008D5700&quot;/&gt;&lt;wsp:rsid wsp:val=&quot;008D576F&quot;/&gt;&lt;wsp:rsid wsp:val=&quot;008D63DE&quot;/&gt;&lt;wsp:rsid wsp:val=&quot;008D679D&quot;/&gt;&lt;wsp:rsid wsp:val=&quot;008D6A72&quot;/&gt;&lt;wsp:rsid wsp:val=&quot;008D6A73&quot;/&gt;&lt;wsp:rsid wsp:val=&quot;008D6BDA&quot;/&gt;&lt;wsp:rsid wsp:val=&quot;008D6C69&quot;/&gt;&lt;wsp:rsid wsp:val=&quot;008D716D&quot;/&gt;&lt;wsp:rsid wsp:val=&quot;008D7D84&quot;/&gt;&lt;wsp:rsid wsp:val=&quot;008E01D1&quot;/&gt;&lt;wsp:rsid wsp:val=&quot;008E0325&quot;/&gt;&lt;wsp:rsid wsp:val=&quot;008E04CB&quot;/&gt;&lt;wsp:rsid wsp:val=&quot;008E0EB6&quot;/&gt;&lt;wsp:rsid wsp:val=&quot;008E0EF6&quot;/&gt;&lt;wsp:rsid wsp:val=&quot;008E105A&quot;/&gt;&lt;wsp:rsid wsp:val=&quot;008E1363&quot;/&gt;&lt;wsp:rsid wsp:val=&quot;008E13C5&quot;/&gt;&lt;wsp:rsid wsp:val=&quot;008E1DB6&quot;/&gt;&lt;wsp:rsid wsp:val=&quot;008E23CB&quot;/&gt;&lt;wsp:rsid wsp:val=&quot;008E254F&quot;/&gt;&lt;wsp:rsid wsp:val=&quot;008E2953&quot;/&gt;&lt;wsp:rsid wsp:val=&quot;008E30B8&quot;/&gt;&lt;wsp:rsid wsp:val=&quot;008E3314&quot;/&gt;&lt;wsp:rsid wsp:val=&quot;008E3760&quot;/&gt;&lt;wsp:rsid wsp:val=&quot;008E3ECC&quot;/&gt;&lt;wsp:rsid wsp:val=&quot;008E40F1&quot;/&gt;&lt;wsp:rsid wsp:val=&quot;008E428A&quot;/&gt;&lt;wsp:rsid wsp:val=&quot;008E48D5&quot;/&gt;&lt;wsp:rsid wsp:val=&quot;008E4CE7&quot;/&gt;&lt;wsp:rsid wsp:val=&quot;008E5159&quot;/&gt;&lt;wsp:rsid wsp:val=&quot;008E53D0&quot;/&gt;&lt;wsp:rsid wsp:val=&quot;008E56F0&quot;/&gt;&lt;wsp:rsid wsp:val=&quot;008E5A1B&quot;/&gt;&lt;wsp:rsid wsp:val=&quot;008E5AB4&quot;/&gt;&lt;wsp:rsid wsp:val=&quot;008E6EEC&quot;/&gt;&lt;wsp:rsid wsp:val=&quot;008E746A&quot;/&gt;&lt;wsp:rsid wsp:val=&quot;008E774E&quot;/&gt;&lt;wsp:rsid wsp:val=&quot;008E7883&quot;/&gt;&lt;wsp:rsid wsp:val=&quot;008F02B6&quot;/&gt;&lt;wsp:rsid wsp:val=&quot;008F07DA&quot;/&gt;&lt;wsp:rsid wsp:val=&quot;008F0F64&quot;/&gt;&lt;wsp:rsid wsp:val=&quot;008F11A0&quot;/&gt;&lt;wsp:rsid wsp:val=&quot;008F20C0&quot;/&gt;&lt;wsp:rsid wsp:val=&quot;008F2482&quot;/&gt;&lt;wsp:rsid wsp:val=&quot;008F26E0&quot;/&gt;&lt;wsp:rsid wsp:val=&quot;008F2CCA&quot;/&gt;&lt;wsp:rsid wsp:val=&quot;008F2CE9&quot;/&gt;&lt;wsp:rsid wsp:val=&quot;008F2D5C&quot;/&gt;&lt;wsp:rsid wsp:val=&quot;008F2E62&quot;/&gt;&lt;wsp:rsid wsp:val=&quot;008F2FDB&quot;/&gt;&lt;wsp:rsid wsp:val=&quot;008F3A9F&quot;/&gt;&lt;wsp:rsid wsp:val=&quot;008F3FC3&quot;/&gt;&lt;wsp:rsid wsp:val=&quot;008F47FD&quot;/&gt;&lt;wsp:rsid wsp:val=&quot;008F51CF&quot;/&gt;&lt;wsp:rsid wsp:val=&quot;008F51D2&quot;/&gt;&lt;wsp:rsid wsp:val=&quot;008F521C&quot;/&gt;&lt;wsp:rsid wsp:val=&quot;008F563A&quot;/&gt;&lt;wsp:rsid wsp:val=&quot;008F5C44&quot;/&gt;&lt;wsp:rsid wsp:val=&quot;008F5FB5&quot;/&gt;&lt;wsp:rsid wsp:val=&quot;008F60D0&quot;/&gt;&lt;wsp:rsid wsp:val=&quot;008F6501&quot;/&gt;&lt;wsp:rsid wsp:val=&quot;008F665A&quot;/&gt;&lt;wsp:rsid wsp:val=&quot;008F66A7&quot;/&gt;&lt;wsp:rsid wsp:val=&quot;008F6E4C&quot;/&gt;&lt;wsp:rsid wsp:val=&quot;008F72A6&quot;/&gt;&lt;wsp:rsid wsp:val=&quot;008F7380&quot;/&gt;&lt;wsp:rsid wsp:val=&quot;008F73DB&quot;/&gt;&lt;wsp:rsid wsp:val=&quot;008F75D4&quot;/&gt;&lt;wsp:rsid wsp:val=&quot;008F77AE&quot;/&gt;&lt;wsp:rsid wsp:val=&quot;008F79F0&quot;/&gt;&lt;wsp:rsid wsp:val=&quot;00900C54&quot;/&gt;&lt;wsp:rsid wsp:val=&quot;009011A8&quot;/&gt;&lt;wsp:rsid wsp:val=&quot;00901998&quot;/&gt;&lt;wsp:rsid wsp:val=&quot;009019DB&quot;/&gt;&lt;wsp:rsid wsp:val=&quot;00901C46&quot;/&gt;&lt;wsp:rsid wsp:val=&quot;00901D2D&quot;/&gt;&lt;wsp:rsid wsp:val=&quot;009027DD&quot;/&gt;&lt;wsp:rsid wsp:val=&quot;00902E5B&quot;/&gt;&lt;wsp:rsid wsp:val=&quot;0090305D&quot;/&gt;&lt;wsp:rsid wsp:val=&quot;00903679&quot;/&gt;&lt;wsp:rsid wsp:val=&quot;00903820&quot;/&gt;&lt;wsp:rsid wsp:val=&quot;00903909&quot;/&gt;&lt;wsp:rsid wsp:val=&quot;009041A0&quot;/&gt;&lt;wsp:rsid wsp:val=&quot;009041EA&quot;/&gt;&lt;wsp:rsid wsp:val=&quot;009041EE&quot;/&gt;&lt;wsp:rsid wsp:val=&quot;00904349&quot;/&gt;&lt;wsp:rsid wsp:val=&quot;009048ED&quot;/&gt;&lt;wsp:rsid wsp:val=&quot;00904CF0&quot;/&gt;&lt;wsp:rsid wsp:val=&quot;00905093&quot;/&gt;&lt;wsp:rsid wsp:val=&quot;009054B7&quot;/&gt;&lt;wsp:rsid wsp:val=&quot;0090560C&quot;/&gt;&lt;wsp:rsid wsp:val=&quot;0090590C&quot;/&gt;&lt;wsp:rsid wsp:val=&quot;00905AB0&quot;/&gt;&lt;wsp:rsid wsp:val=&quot;00905BF0&quot;/&gt;&lt;wsp:rsid wsp:val=&quot;00905F18&quot;/&gt;&lt;wsp:rsid wsp:val=&quot;00905F43&quot;/&gt;&lt;wsp:rsid wsp:val=&quot;00906362&quot;/&gt;&lt;wsp:rsid wsp:val=&quot;009063F7&quot;/&gt;&lt;wsp:rsid wsp:val=&quot;009064CD&quot;/&gt;&lt;wsp:rsid wsp:val=&quot;00906510&quot;/&gt;&lt;wsp:rsid wsp:val=&quot;00907531&quot;/&gt;&lt;wsp:rsid wsp:val=&quot;009077B4&quot;/&gt;&lt;wsp:rsid wsp:val=&quot;00907F9F&quot;/&gt;&lt;wsp:rsid wsp:val=&quot;009100E4&quot;/&gt;&lt;wsp:rsid wsp:val=&quot;00910164&quot;/&gt;&lt;wsp:rsid wsp:val=&quot;009102E8&quot;/&gt;&lt;wsp:rsid wsp:val=&quot;009104D1&quot;/&gt;&lt;wsp:rsid wsp:val=&quot;00910812&quot;/&gt;&lt;wsp:rsid wsp:val=&quot;00910BC0&quot;/&gt;&lt;wsp:rsid wsp:val=&quot;009113D0&quot;/&gt;&lt;wsp:rsid wsp:val=&quot;00911879&quot;/&gt;&lt;wsp:rsid wsp:val=&quot;0091199C&quot;/&gt;&lt;wsp:rsid wsp:val=&quot;00911CF7&quot;/&gt;&lt;wsp:rsid wsp:val=&quot;009121AA&quot;/&gt;&lt;wsp:rsid wsp:val=&quot;009121DB&quot;/&gt;&lt;wsp:rsid wsp:val=&quot;009127B1&quot;/&gt;&lt;wsp:rsid wsp:val=&quot;00912875&quot;/&gt;&lt;wsp:rsid wsp:val=&quot;00912C0B&quot;/&gt;&lt;wsp:rsid wsp:val=&quot;00913256&quot;/&gt;&lt;wsp:rsid wsp:val=&quot;00913463&quot;/&gt;&lt;wsp:rsid wsp:val=&quot;00913D7D&quot;/&gt;&lt;wsp:rsid wsp:val=&quot;00913DBB&quot;/&gt;&lt;wsp:rsid wsp:val=&quot;00913DF1&quot;/&gt;&lt;wsp:rsid wsp:val=&quot;009140CE&quot;/&gt;&lt;wsp:rsid wsp:val=&quot;00914798&quot;/&gt;&lt;wsp:rsid wsp:val=&quot;00914B6F&quot;/&gt;&lt;wsp:rsid wsp:val=&quot;0091514D&quot;/&gt;&lt;wsp:rsid wsp:val=&quot;009153A9&quot;/&gt;&lt;wsp:rsid wsp:val=&quot;009154C3&quot;/&gt;&lt;wsp:rsid wsp:val=&quot;00915A10&quot;/&gt;&lt;wsp:rsid wsp:val=&quot;009161BA&quot;/&gt;&lt;wsp:rsid wsp:val=&quot;009166F6&quot;/&gt;&lt;wsp:rsid wsp:val=&quot;009168E0&quot;/&gt;&lt;wsp:rsid wsp:val=&quot;00916BB1&quot;/&gt;&lt;wsp:rsid wsp:val=&quot;00916DDB&quot;/&gt;&lt;wsp:rsid wsp:val=&quot;009177FB&quot;/&gt;&lt;wsp:rsid wsp:val=&quot;0092034B&quot;/&gt;&lt;wsp:rsid wsp:val=&quot;00920966&quot;/&gt;&lt;wsp:rsid wsp:val=&quot;00920A68&quot;/&gt;&lt;wsp:rsid wsp:val=&quot;009218D8&quot;/&gt;&lt;wsp:rsid wsp:val=&quot;0092234D&quot;/&gt;&lt;wsp:rsid wsp:val=&quot;00922973&quot;/&gt;&lt;wsp:rsid wsp:val=&quot;00922AEA&quot;/&gt;&lt;wsp:rsid wsp:val=&quot;00923648&quot;/&gt;&lt;wsp:rsid wsp:val=&quot;009237D0&quot;/&gt;&lt;wsp:rsid wsp:val=&quot;00923C69&quot;/&gt;&lt;wsp:rsid wsp:val=&quot;0092430E&quot;/&gt;&lt;wsp:rsid wsp:val=&quot;009245C6&quot;/&gt;&lt;wsp:rsid wsp:val=&quot;00924BD6&quot;/&gt;&lt;wsp:rsid wsp:val=&quot;00924F37&quot;/&gt;&lt;wsp:rsid wsp:val=&quot;00925215&quot;/&gt;&lt;wsp:rsid wsp:val=&quot;00925250&quot;/&gt;&lt;wsp:rsid wsp:val=&quot;009252A2&quot;/&gt;&lt;wsp:rsid wsp:val=&quot;0092546C&quot;/&gt;&lt;wsp:rsid wsp:val=&quot;0092567E&quot;/&gt;&lt;wsp:rsid wsp:val=&quot;00925F75&quot;/&gt;&lt;wsp:rsid wsp:val=&quot;009266DF&quot;/&gt;&lt;wsp:rsid wsp:val=&quot;009267B1&quot;/&gt;&lt;wsp:rsid wsp:val=&quot;00926949&quot;/&gt;&lt;wsp:rsid wsp:val=&quot;00926A51&quot;/&gt;&lt;wsp:rsid wsp:val=&quot;00926D4F&quot;/&gt;&lt;wsp:rsid wsp:val=&quot;00926DA8&quot;/&gt;&lt;wsp:rsid wsp:val=&quot;0092736C&quot;/&gt;&lt;wsp:rsid wsp:val=&quot;009274CB&quot;/&gt;&lt;wsp:rsid wsp:val=&quot;009276BB&quot;/&gt;&lt;wsp:rsid wsp:val=&quot;00927DC0&quot;/&gt;&lt;wsp:rsid wsp:val=&quot;00927F48&quot;/&gt;&lt;wsp:rsid wsp:val=&quot;00930177&quot;/&gt;&lt;wsp:rsid wsp:val=&quot;00930285&quot;/&gt;&lt;wsp:rsid wsp:val=&quot;009304B3&quot;/&gt;&lt;wsp:rsid wsp:val=&quot;00930520&quot;/&gt;&lt;wsp:rsid wsp:val=&quot;0093074F&quot;/&gt;&lt;wsp:rsid wsp:val=&quot;0093081D&quot;/&gt;&lt;wsp:rsid wsp:val=&quot;00930A9B&quot;/&gt;&lt;wsp:rsid wsp:val=&quot;0093101A&quot;/&gt;&lt;wsp:rsid wsp:val=&quot;00931142&quot;/&gt;&lt;wsp:rsid wsp:val=&quot;00931CC4&quot;/&gt;&lt;wsp:rsid wsp:val=&quot;009323BE&quot;/&gt;&lt;wsp:rsid wsp:val=&quot;0093281C&quot;/&gt;&lt;wsp:rsid wsp:val=&quot;00932835&quot;/&gt;&lt;wsp:rsid wsp:val=&quot;00933263&quot;/&gt;&lt;wsp:rsid wsp:val=&quot;00933411&quot;/&gt;&lt;wsp:rsid wsp:val=&quot;00933952&quot;/&gt;&lt;wsp:rsid wsp:val=&quot;00933AF4&quot;/&gt;&lt;wsp:rsid wsp:val=&quot;00933BF1&quot;/&gt;&lt;wsp:rsid wsp:val=&quot;0093411D&quot;/&gt;&lt;wsp:rsid wsp:val=&quot;00934205&quot;/&gt;&lt;wsp:rsid wsp:val=&quot;009343F2&quot;/&gt;&lt;wsp:rsid wsp:val=&quot;009345C7&quot;/&gt;&lt;wsp:rsid wsp:val=&quot;00934D58&quot;/&gt;&lt;wsp:rsid wsp:val=&quot;0093521A&quot;/&gt;&lt;wsp:rsid wsp:val=&quot;00935555&quot;/&gt;&lt;wsp:rsid wsp:val=&quot;009355E6&quot;/&gt;&lt;wsp:rsid wsp:val=&quot;00935BDC&quot;/&gt;&lt;wsp:rsid wsp:val=&quot;009360D2&quot;/&gt;&lt;wsp:rsid wsp:val=&quot;00936428&quot;/&gt;&lt;wsp:rsid wsp:val=&quot;0093701D&quot;/&gt;&lt;wsp:rsid wsp:val=&quot;0093705E&quot;/&gt;&lt;wsp:rsid wsp:val=&quot;009372CA&quot;/&gt;&lt;wsp:rsid wsp:val=&quot;009376FA&quot;/&gt;&lt;wsp:rsid wsp:val=&quot;00937762&quot;/&gt;&lt;wsp:rsid wsp:val=&quot;00937EC4&quot;/&gt;&lt;wsp:rsid wsp:val=&quot;0094026A&quot;/&gt;&lt;wsp:rsid wsp:val=&quot;00940AAD&quot;/&gt;&lt;wsp:rsid wsp:val=&quot;00940CA4&quot;/&gt;&lt;wsp:rsid wsp:val=&quot;0094167A&quot;/&gt;&lt;wsp:rsid wsp:val=&quot;0094178A&quot;/&gt;&lt;wsp:rsid wsp:val=&quot;009432AC&quot;/&gt;&lt;wsp:rsid wsp:val=&quot;009439C3&quot;/&gt;&lt;wsp:rsid wsp:val=&quot;00943E28&quot;/&gt;&lt;wsp:rsid wsp:val=&quot;00943FB4&quot;/&gt;&lt;wsp:rsid wsp:val=&quot;0094456C&quot;/&gt;&lt;wsp:rsid wsp:val=&quot;009445FB&quot;/&gt;&lt;wsp:rsid wsp:val=&quot;009446EB&quot;/&gt;&lt;wsp:rsid wsp:val=&quot;00944963&quot;/&gt;&lt;wsp:rsid wsp:val=&quot;00944B24&quot;/&gt;&lt;wsp:rsid wsp:val=&quot;00944D7F&quot;/&gt;&lt;wsp:rsid wsp:val=&quot;00944FEC&quot;/&gt;&lt;wsp:rsid wsp:val=&quot;00946510&quot;/&gt;&lt;wsp:rsid wsp:val=&quot;009466E8&quot;/&gt;&lt;wsp:rsid wsp:val=&quot;00946C20&quot;/&gt;&lt;wsp:rsid wsp:val=&quot;009471BC&quot;/&gt;&lt;wsp:rsid wsp:val=&quot;00947342&quot;/&gt;&lt;wsp:rsid wsp:val=&quot;0094759D&quot;/&gt;&lt;wsp:rsid wsp:val=&quot;00947A25&quot;/&gt;&lt;wsp:rsid wsp:val=&quot;00947CFC&quot;/&gt;&lt;wsp:rsid wsp:val=&quot;00947E1C&quot;/&gt;&lt;wsp:rsid wsp:val=&quot;00947EF8&quot;/&gt;&lt;wsp:rsid wsp:val=&quot;009505EA&quot;/&gt;&lt;wsp:rsid wsp:val=&quot;00950F95&quot;/&gt;&lt;wsp:rsid wsp:val=&quot;009513E7&quot;/&gt;&lt;wsp:rsid wsp:val=&quot;00951659&quot;/&gt;&lt;wsp:rsid wsp:val=&quot;00951739&quot;/&gt;&lt;wsp:rsid wsp:val=&quot;0095176E&quot;/&gt;&lt;wsp:rsid wsp:val=&quot;00951C00&quot;/&gt;&lt;wsp:rsid wsp:val=&quot;00951CB7&quot;/&gt;&lt;wsp:rsid wsp:val=&quot;00952A08&quot;/&gt;&lt;wsp:rsid wsp:val=&quot;00953104&quot;/&gt;&lt;wsp:rsid wsp:val=&quot;0095311A&quot;/&gt;&lt;wsp:rsid wsp:val=&quot;009533DB&quot;/&gt;&lt;wsp:rsid wsp:val=&quot;00953E3F&quot;/&gt;&lt;wsp:rsid wsp:val=&quot;0095413E&quot;/&gt;&lt;wsp:rsid wsp:val=&quot;00954483&quot;/&gt;&lt;wsp:rsid wsp:val=&quot;00954569&quot;/&gt;&lt;wsp:rsid wsp:val=&quot;00954AB2&quot;/&gt;&lt;wsp:rsid wsp:val=&quot;00955074&quot;/&gt;&lt;wsp:rsid wsp:val=&quot;009551DF&quot;/&gt;&lt;wsp:rsid wsp:val=&quot;009557C6&quot;/&gt;&lt;wsp:rsid wsp:val=&quot;00955B64&quot;/&gt;&lt;wsp:rsid wsp:val=&quot;00955B83&quot;/&gt;&lt;wsp:rsid wsp:val=&quot;00955C3F&quot;/&gt;&lt;wsp:rsid wsp:val=&quot;00955CA6&quot;/&gt;&lt;wsp:rsid wsp:val=&quot;00956093&quot;/&gt;&lt;wsp:rsid wsp:val=&quot;009563A6&quot;/&gt;&lt;wsp:rsid wsp:val=&quot;009569B4&quot;/&gt;&lt;wsp:rsid wsp:val=&quot;00956C6D&quot;/&gt;&lt;wsp:rsid wsp:val=&quot;00956EF6&quot;/&gt;&lt;wsp:rsid wsp:val=&quot;009570C9&quot;/&gt;&lt;wsp:rsid wsp:val=&quot;00957610&quot;/&gt;&lt;wsp:rsid wsp:val=&quot;00957D67&quot;/&gt;&lt;wsp:rsid wsp:val=&quot;00957E30&quot;/&gt;&lt;wsp:rsid wsp:val=&quot;00957F8C&quot;/&gt;&lt;wsp:rsid wsp:val=&quot;009609E9&quot;/&gt;&lt;wsp:rsid wsp:val=&quot;00960F07&quot;/&gt;&lt;wsp:rsid wsp:val=&quot;00961202&quot;/&gt;&lt;wsp:rsid wsp:val=&quot;0096129E&quot;/&gt;&lt;wsp:rsid wsp:val=&quot;00961567&quot;/&gt;&lt;wsp:rsid wsp:val=&quot;0096159D&quot;/&gt;&lt;wsp:rsid wsp:val=&quot;00961C07&quot;/&gt;&lt;wsp:rsid wsp:val=&quot;00961EBD&quot;/&gt;&lt;wsp:rsid wsp:val=&quot;00961FEF&quot;/&gt;&lt;wsp:rsid wsp:val=&quot;009621FC&quot;/&gt;&lt;wsp:rsid wsp:val=&quot;00962203&quot;/&gt;&lt;wsp:rsid wsp:val=&quot;009625A0&quot;/&gt;&lt;wsp:rsid wsp:val=&quot;00962763&quot;/&gt;&lt;wsp:rsid wsp:val=&quot;009628A3&quot;/&gt;&lt;wsp:rsid wsp:val=&quot;00962902&quot;/&gt;&lt;wsp:rsid wsp:val=&quot;00962940&quot;/&gt;&lt;wsp:rsid wsp:val=&quot;00962966&quot;/&gt;&lt;wsp:rsid wsp:val=&quot;00962CBE&quot;/&gt;&lt;wsp:rsid wsp:val=&quot;00962E98&quot;/&gt;&lt;wsp:rsid wsp:val=&quot;00963153&quot;/&gt;&lt;wsp:rsid wsp:val=&quot;00963723&quot;/&gt;&lt;wsp:rsid wsp:val=&quot;00963BC7&quot;/&gt;&lt;wsp:rsid wsp:val=&quot;00963E29&quot;/&gt;&lt;wsp:rsid wsp:val=&quot;00963FBC&quot;/&gt;&lt;wsp:rsid wsp:val=&quot;009640F6&quot;/&gt;&lt;wsp:rsid wsp:val=&quot;00964332&quot;/&gt;&lt;wsp:rsid wsp:val=&quot;00964346&quot;/&gt;&lt;wsp:rsid wsp:val=&quot;009646AB&quot;/&gt;&lt;wsp:rsid wsp:val=&quot;00964D93&quot;/&gt;&lt;wsp:rsid wsp:val=&quot;00964F73&quot;/&gt;&lt;wsp:rsid wsp:val=&quot;0096598D&quot;/&gt;&lt;wsp:rsid wsp:val=&quot;00965D1A&quot;/&gt;&lt;wsp:rsid wsp:val=&quot;00965DCD&quot;/&gt;&lt;wsp:rsid wsp:val=&quot;00965FCA&quot;/&gt;&lt;wsp:rsid wsp:val=&quot;009661CB&quot;/&gt;&lt;wsp:rsid wsp:val=&quot;009667CD&quot;/&gt;&lt;wsp:rsid wsp:val=&quot;00966BEA&quot;/&gt;&lt;wsp:rsid wsp:val=&quot;00966D5B&quot;/&gt;&lt;wsp:rsid wsp:val=&quot;00966DDB&quot;/&gt;&lt;wsp:rsid wsp:val=&quot;00967120&quot;/&gt;&lt;wsp:rsid wsp:val=&quot;009676ED&quot;/&gt;&lt;wsp:rsid wsp:val=&quot;009676FF&quot;/&gt;&lt;wsp:rsid wsp:val=&quot;00967A22&quot;/&gt;&lt;wsp:rsid wsp:val=&quot;009703FD&quot;/&gt;&lt;wsp:rsid wsp:val=&quot;00970690&quot;/&gt;&lt;wsp:rsid wsp:val=&quot;00970CC0&quot;/&gt;&lt;wsp:rsid wsp:val=&quot;0097108F&quot;/&gt;&lt;wsp:rsid wsp:val=&quot;00971130&quot;/&gt;&lt;wsp:rsid wsp:val=&quot;009711C1&quot;/&gt;&lt;wsp:rsid wsp:val=&quot;009713A6&quot;/&gt;&lt;wsp:rsid wsp:val=&quot;00971436&quot;/&gt;&lt;wsp:rsid wsp:val=&quot;0097160C&quot;/&gt;&lt;wsp:rsid wsp:val=&quot;00971701&quot;/&gt;&lt;wsp:rsid wsp:val=&quot;0097187A&quot;/&gt;&lt;wsp:rsid wsp:val=&quot;00971ACC&quot;/&gt;&lt;wsp:rsid wsp:val=&quot;00971B03&quot;/&gt;&lt;wsp:rsid wsp:val=&quot;00971B70&quot;/&gt;&lt;wsp:rsid wsp:val=&quot;00971BB3&quot;/&gt;&lt;wsp:rsid wsp:val=&quot;00971F0A&quot;/&gt;&lt;wsp:rsid wsp:val=&quot;0097202F&quot;/&gt;&lt;wsp:rsid wsp:val=&quot;00972122&quot;/&gt;&lt;wsp:rsid wsp:val=&quot;00972236&quot;/&gt;&lt;wsp:rsid wsp:val=&quot;009727C9&quot;/&gt;&lt;wsp:rsid wsp:val=&quot;00972CFF&quot;/&gt;&lt;wsp:rsid wsp:val=&quot;00972D3E&quot;/&gt;&lt;wsp:rsid wsp:val=&quot;009737DF&quot;/&gt;&lt;wsp:rsid wsp:val=&quot;009738AD&quot;/&gt;&lt;wsp:rsid wsp:val=&quot;00973912&quot;/&gt;&lt;wsp:rsid wsp:val=&quot;00973D43&quot;/&gt;&lt;wsp:rsid wsp:val=&quot;00973DE7&quot;/&gt;&lt;wsp:rsid wsp:val=&quot;00973F83&quot;/&gt;&lt;wsp:rsid wsp:val=&quot;009742E2&quot;/&gt;&lt;wsp:rsid wsp:val=&quot;0097441B&quot;/&gt;&lt;wsp:rsid wsp:val=&quot;0097459E&quot;/&gt;&lt;wsp:rsid wsp:val=&quot;00974890&quot;/&gt;&lt;wsp:rsid wsp:val=&quot;00974C08&quot;/&gt;&lt;wsp:rsid wsp:val=&quot;009752C4&quot;/&gt;&lt;wsp:rsid wsp:val=&quot;00975D24&quot;/&gt;&lt;wsp:rsid wsp:val=&quot;00975F1F&quot;/&gt;&lt;wsp:rsid wsp:val=&quot;00975FAA&quot;/&gt;&lt;wsp:rsid wsp:val=&quot;009764B6&quot;/&gt;&lt;wsp:rsid wsp:val=&quot;00976A85&quot;/&gt;&lt;wsp:rsid wsp:val=&quot;00976F1F&quot;/&gt;&lt;wsp:rsid wsp:val=&quot;00977211&quot;/&gt;&lt;wsp:rsid wsp:val=&quot;0097726F&quot;/&gt;&lt;wsp:rsid wsp:val=&quot;009772D2&quot;/&gt;&lt;wsp:rsid wsp:val=&quot;0097767C&quot;/&gt;&lt;wsp:rsid wsp:val=&quot;00980234&quot;/&gt;&lt;wsp:rsid wsp:val=&quot;009803DA&quot;/&gt;&lt;wsp:rsid wsp:val=&quot;00980405&quot;/&gt;&lt;wsp:rsid wsp:val=&quot;00980480&quot;/&gt;&lt;wsp:rsid wsp:val=&quot;00980B2B&quot;/&gt;&lt;wsp:rsid wsp:val=&quot;00980B99&quot;/&gt;&lt;wsp:rsid wsp:val=&quot;009810F9&quot;/&gt;&lt;wsp:rsid wsp:val=&quot;0098127A&quot;/&gt;&lt;wsp:rsid wsp:val=&quot;00981708&quot;/&gt;&lt;wsp:rsid wsp:val=&quot;00981E5A&quot;/&gt;&lt;wsp:rsid wsp:val=&quot;00981F21&quot;/&gt;&lt;wsp:rsid wsp:val=&quot;00982245&quot;/&gt;&lt;wsp:rsid wsp:val=&quot;00982EC7&quot;/&gt;&lt;wsp:rsid wsp:val=&quot;00983216&quot;/&gt;&lt;wsp:rsid wsp:val=&quot;00983297&quot;/&gt;&lt;wsp:rsid wsp:val=&quot;00983398&quot;/&gt;&lt;wsp:rsid wsp:val=&quot;009838B6&quot;/&gt;&lt;wsp:rsid wsp:val=&quot;00983984&quot;/&gt;&lt;wsp:rsid wsp:val=&quot;00983B0C&quot;/&gt;&lt;wsp:rsid wsp:val=&quot;00983B0F&quot;/&gt;&lt;wsp:rsid wsp:val=&quot;00983F3D&quot;/&gt;&lt;wsp:rsid wsp:val=&quot;00984399&quot;/&gt;&lt;wsp:rsid wsp:val=&quot;009843E6&quot;/&gt;&lt;wsp:rsid wsp:val=&quot;009853D1&quot;/&gt;&lt;wsp:rsid wsp:val=&quot;0098563A&quot;/&gt;&lt;wsp:rsid wsp:val=&quot;00985995&quot;/&gt;&lt;wsp:rsid wsp:val=&quot;00985F38&quot;/&gt;&lt;wsp:rsid wsp:val=&quot;0098606E&quot;/&gt;&lt;wsp:rsid wsp:val=&quot;00986199&quot;/&gt;&lt;wsp:rsid wsp:val=&quot;009867C1&quot;/&gt;&lt;wsp:rsid wsp:val=&quot;00986848&quot;/&gt;&lt;wsp:rsid wsp:val=&quot;009875F4&quot;/&gt;&lt;wsp:rsid wsp:val=&quot;00987728&quot;/&gt;&lt;wsp:rsid wsp:val=&quot;009879A0&quot;/&gt;&lt;wsp:rsid wsp:val=&quot;00987C73&quot;/&gt;&lt;wsp:rsid wsp:val=&quot;00987C83&quot;/&gt;&lt;wsp:rsid wsp:val=&quot;00987CAA&quot;/&gt;&lt;wsp:rsid wsp:val=&quot;00987D6A&quot;/&gt;&lt;wsp:rsid wsp:val=&quot;009904A0&quot;/&gt;&lt;wsp:rsid wsp:val=&quot;00990EA6&quot;/&gt;&lt;wsp:rsid wsp:val=&quot;009910F0&quot;/&gt;&lt;wsp:rsid wsp:val=&quot;0099174D&quot;/&gt;&lt;wsp:rsid wsp:val=&quot;0099190A&quot;/&gt;&lt;wsp:rsid wsp:val=&quot;00991D1B&quot;/&gt;&lt;wsp:rsid wsp:val=&quot;0099224A&quot;/&gt;&lt;wsp:rsid wsp:val=&quot;00992436&quot;/&gt;&lt;wsp:rsid wsp:val=&quot;00992AD1&quot;/&gt;&lt;wsp:rsid wsp:val=&quot;009930C1&quot;/&gt;&lt;wsp:rsid wsp:val=&quot;009933A4&quot;/&gt;&lt;wsp:rsid wsp:val=&quot;009938C3&quot;/&gt;&lt;wsp:rsid wsp:val=&quot;00993D0A&quot;/&gt;&lt;wsp:rsid wsp:val=&quot;0099417C&quot;/&gt;&lt;wsp:rsid wsp:val=&quot;009956DA&quot;/&gt;&lt;wsp:rsid wsp:val=&quot;00995897&quot;/&gt;&lt;wsp:rsid wsp:val=&quot;00995D35&quot;/&gt;&lt;wsp:rsid wsp:val=&quot;0099622A&quot;/&gt;&lt;wsp:rsid wsp:val=&quot;0099631F&quot;/&gt;&lt;wsp:rsid wsp:val=&quot;009965A1&quot;/&gt;&lt;wsp:rsid wsp:val=&quot;00996BB7&quot;/&gt;&lt;wsp:rsid wsp:val=&quot;00996BD9&quot;/&gt;&lt;wsp:rsid wsp:val=&quot;00996ED4&quot;/&gt;&lt;wsp:rsid wsp:val=&quot;00997200&quot;/&gt;&lt;wsp:rsid wsp:val=&quot;0099749F&quot;/&gt;&lt;wsp:rsid wsp:val=&quot;00997629&quot;/&gt;&lt;wsp:rsid wsp:val=&quot;009978EA&quot;/&gt;&lt;wsp:rsid wsp:val=&quot;00997F33&quot;/&gt;&lt;wsp:rsid wsp:val=&quot;009A00F0&quot;/&gt;&lt;wsp:rsid wsp:val=&quot;009A02B9&quot;/&gt;&lt;wsp:rsid wsp:val=&quot;009A0B39&quot;/&gt;&lt;wsp:rsid wsp:val=&quot;009A0D89&quot;/&gt;&lt;wsp:rsid wsp:val=&quot;009A137B&quot;/&gt;&lt;wsp:rsid wsp:val=&quot;009A145A&quot;/&gt;&lt;wsp:rsid wsp:val=&quot;009A15EF&quot;/&gt;&lt;wsp:rsid wsp:val=&quot;009A18BD&quot;/&gt;&lt;wsp:rsid wsp:val=&quot;009A1A33&quot;/&gt;&lt;wsp:rsid wsp:val=&quot;009A1D33&quot;/&gt;&lt;wsp:rsid wsp:val=&quot;009A1EFD&quot;/&gt;&lt;wsp:rsid wsp:val=&quot;009A2336&quot;/&gt;&lt;wsp:rsid wsp:val=&quot;009A2499&quot;/&gt;&lt;wsp:rsid wsp:val=&quot;009A252C&quot;/&gt;&lt;wsp:rsid wsp:val=&quot;009A33BE&quot;/&gt;&lt;wsp:rsid wsp:val=&quot;009A377F&quot;/&gt;&lt;wsp:rsid wsp:val=&quot;009A3A6C&quot;/&gt;&lt;wsp:rsid wsp:val=&quot;009A3CAF&quot;/&gt;&lt;wsp:rsid wsp:val=&quot;009A42C4&quot;/&gt;&lt;wsp:rsid wsp:val=&quot;009A436D&quot;/&gt;&lt;wsp:rsid wsp:val=&quot;009A46DD&quot;/&gt;&lt;wsp:rsid wsp:val=&quot;009A4C26&quot;/&gt;&lt;wsp:rsid wsp:val=&quot;009A4DD7&quot;/&gt;&lt;wsp:rsid wsp:val=&quot;009A4EC0&quot;/&gt;&lt;wsp:rsid wsp:val=&quot;009A4FD8&quot;/&gt;&lt;wsp:rsid wsp:val=&quot;009A52AD&quot;/&gt;&lt;wsp:rsid wsp:val=&quot;009A5857&quot;/&gt;&lt;wsp:rsid wsp:val=&quot;009A59D4&quot;/&gt;&lt;wsp:rsid wsp:val=&quot;009A5A59&quot;/&gt;&lt;wsp:rsid wsp:val=&quot;009A5EF7&quot;/&gt;&lt;wsp:rsid wsp:val=&quot;009A5F62&quot;/&gt;&lt;wsp:rsid wsp:val=&quot;009A652B&quot;/&gt;&lt;wsp:rsid wsp:val=&quot;009A66FC&quot;/&gt;&lt;wsp:rsid wsp:val=&quot;009A6756&quot;/&gt;&lt;wsp:rsid wsp:val=&quot;009A6BFF&quot;/&gt;&lt;wsp:rsid wsp:val=&quot;009A7041&quot;/&gt;&lt;wsp:rsid wsp:val=&quot;009A7312&quot;/&gt;&lt;wsp:rsid wsp:val=&quot;009A77E7&quot;/&gt;&lt;wsp:rsid wsp:val=&quot;009A7996&quot;/&gt;&lt;wsp:rsid wsp:val=&quot;009A7C82&quot;/&gt;&lt;wsp:rsid wsp:val=&quot;009B06B2&quot;/&gt;&lt;wsp:rsid wsp:val=&quot;009B074A&quot;/&gt;&lt;wsp:rsid wsp:val=&quot;009B0D10&quot;/&gt;&lt;wsp:rsid wsp:val=&quot;009B0FFD&quot;/&gt;&lt;wsp:rsid wsp:val=&quot;009B139A&quot;/&gt;&lt;wsp:rsid wsp:val=&quot;009B160E&quot;/&gt;&lt;wsp:rsid wsp:val=&quot;009B1D77&quot;/&gt;&lt;wsp:rsid wsp:val=&quot;009B1EAF&quot;/&gt;&lt;wsp:rsid wsp:val=&quot;009B1F73&quot;/&gt;&lt;wsp:rsid wsp:val=&quot;009B1F8A&quot;/&gt;&lt;wsp:rsid wsp:val=&quot;009B2358&quot;/&gt;&lt;wsp:rsid wsp:val=&quot;009B2C09&quot;/&gt;&lt;wsp:rsid wsp:val=&quot;009B2D06&quot;/&gt;&lt;wsp:rsid wsp:val=&quot;009B2F5E&quot;/&gt;&lt;wsp:rsid wsp:val=&quot;009B30EA&quot;/&gt;&lt;wsp:rsid wsp:val=&quot;009B3E63&quot;/&gt;&lt;wsp:rsid wsp:val=&quot;009B40F6&quot;/&gt;&lt;wsp:rsid wsp:val=&quot;009B4328&quot;/&gt;&lt;wsp:rsid wsp:val=&quot;009B43F7&quot;/&gt;&lt;wsp:rsid wsp:val=&quot;009B4F11&quot;/&gt;&lt;wsp:rsid wsp:val=&quot;009B5D3B&quot;/&gt;&lt;wsp:rsid wsp:val=&quot;009B5F52&quot;/&gt;&lt;wsp:rsid wsp:val=&quot;009B6216&quot;/&gt;&lt;wsp:rsid wsp:val=&quot;009B635C&quot;/&gt;&lt;wsp:rsid wsp:val=&quot;009B65CF&quot;/&gt;&lt;wsp:rsid wsp:val=&quot;009B6859&quot;/&gt;&lt;wsp:rsid wsp:val=&quot;009B6C8B&quot;/&gt;&lt;wsp:rsid wsp:val=&quot;009B6CB2&quot;/&gt;&lt;wsp:rsid wsp:val=&quot;009B72DF&quot;/&gt;&lt;wsp:rsid wsp:val=&quot;009B748A&quot;/&gt;&lt;wsp:rsid wsp:val=&quot;009B7AB4&quot;/&gt;&lt;wsp:rsid wsp:val=&quot;009C028C&quot;/&gt;&lt;wsp:rsid wsp:val=&quot;009C05E8&quot;/&gt;&lt;wsp:rsid wsp:val=&quot;009C0612&quot;/&gt;&lt;wsp:rsid wsp:val=&quot;009C0F09&quot;/&gt;&lt;wsp:rsid wsp:val=&quot;009C1413&quot;/&gt;&lt;wsp:rsid wsp:val=&quot;009C1560&quot;/&gt;&lt;wsp:rsid wsp:val=&quot;009C1945&quot;/&gt;&lt;wsp:rsid wsp:val=&quot;009C1CA5&quot;/&gt;&lt;wsp:rsid wsp:val=&quot;009C1D3A&quot;/&gt;&lt;wsp:rsid wsp:val=&quot;009C1E4E&quot;/&gt;&lt;wsp:rsid wsp:val=&quot;009C20A2&quot;/&gt;&lt;wsp:rsid wsp:val=&quot;009C2430&quot;/&gt;&lt;wsp:rsid wsp:val=&quot;009C30AE&quot;/&gt;&lt;wsp:rsid wsp:val=&quot;009C3482&quot;/&gt;&lt;wsp:rsid wsp:val=&quot;009C372E&quot;/&gt;&lt;wsp:rsid wsp:val=&quot;009C3A12&quot;/&gt;&lt;wsp:rsid wsp:val=&quot;009C3C1D&quot;/&gt;&lt;wsp:rsid wsp:val=&quot;009C3EB5&quot;/&gt;&lt;wsp:rsid wsp:val=&quot;009C4090&quot;/&gt;&lt;wsp:rsid wsp:val=&quot;009C47A0&quot;/&gt;&lt;wsp:rsid wsp:val=&quot;009C4962&quot;/&gt;&lt;wsp:rsid wsp:val=&quot;009C4BF2&quot;/&gt;&lt;wsp:rsid wsp:val=&quot;009C4FE2&quot;/&gt;&lt;wsp:rsid wsp:val=&quot;009C503C&quot;/&gt;&lt;wsp:rsid wsp:val=&quot;009C5566&quot;/&gt;&lt;wsp:rsid wsp:val=&quot;009C5580&quot;/&gt;&lt;wsp:rsid wsp:val=&quot;009C5616&quot;/&gt;&lt;wsp:rsid wsp:val=&quot;009C56E0&quot;/&gt;&lt;wsp:rsid wsp:val=&quot;009C5B78&quot;/&gt;&lt;wsp:rsid wsp:val=&quot;009C5F15&quot;/&gt;&lt;wsp:rsid wsp:val=&quot;009C6067&quot;/&gt;&lt;wsp:rsid wsp:val=&quot;009C6072&quot;/&gt;&lt;wsp:rsid wsp:val=&quot;009C662B&quot;/&gt;&lt;wsp:rsid wsp:val=&quot;009C7213&quot;/&gt;&lt;wsp:rsid wsp:val=&quot;009C7F6A&quot;/&gt;&lt;wsp:rsid wsp:val=&quot;009D02E3&quot;/&gt;&lt;wsp:rsid wsp:val=&quot;009D0A69&quot;/&gt;&lt;wsp:rsid wsp:val=&quot;009D0AD0&quot;/&gt;&lt;wsp:rsid wsp:val=&quot;009D0DDA&quot;/&gt;&lt;wsp:rsid wsp:val=&quot;009D1217&quot;/&gt;&lt;wsp:rsid wsp:val=&quot;009D1992&quot;/&gt;&lt;wsp:rsid wsp:val=&quot;009D1BC4&quot;/&gt;&lt;wsp:rsid wsp:val=&quot;009D24A9&quot;/&gt;&lt;wsp:rsid wsp:val=&quot;009D2809&quot;/&gt;&lt;wsp:rsid wsp:val=&quot;009D295E&quot;/&gt;&lt;wsp:rsid wsp:val=&quot;009D2B2D&quot;/&gt;&lt;wsp:rsid wsp:val=&quot;009D2CBD&quot;/&gt;&lt;wsp:rsid wsp:val=&quot;009D2D5B&quot;/&gt;&lt;wsp:rsid wsp:val=&quot;009D33B4&quot;/&gt;&lt;wsp:rsid wsp:val=&quot;009D36DD&quot;/&gt;&lt;wsp:rsid wsp:val=&quot;009D3C32&quot;/&gt;&lt;wsp:rsid wsp:val=&quot;009D3E5C&quot;/&gt;&lt;wsp:rsid wsp:val=&quot;009D3FCA&quot;/&gt;&lt;wsp:rsid wsp:val=&quot;009D40D6&quot;/&gt;&lt;wsp:rsid wsp:val=&quot;009D413A&quot;/&gt;&lt;wsp:rsid wsp:val=&quot;009D424D&quot;/&gt;&lt;wsp:rsid wsp:val=&quot;009D491F&quot;/&gt;&lt;wsp:rsid wsp:val=&quot;009D4F85&quot;/&gt;&lt;wsp:rsid wsp:val=&quot;009D518F&quot;/&gt;&lt;wsp:rsid wsp:val=&quot;009D53CB&quot;/&gt;&lt;wsp:rsid wsp:val=&quot;009D53D7&quot;/&gt;&lt;wsp:rsid wsp:val=&quot;009D54FC&quot;/&gt;&lt;wsp:rsid wsp:val=&quot;009D6825&quot;/&gt;&lt;wsp:rsid wsp:val=&quot;009D6873&quot;/&gt;&lt;wsp:rsid wsp:val=&quot;009D6A28&quot;/&gt;&lt;wsp:rsid wsp:val=&quot;009D6E82&quot;/&gt;&lt;wsp:rsid wsp:val=&quot;009D729E&quot;/&gt;&lt;wsp:rsid wsp:val=&quot;009D74C6&quot;/&gt;&lt;wsp:rsid wsp:val=&quot;009D7732&quot;/&gt;&lt;wsp:rsid wsp:val=&quot;009D7854&quot;/&gt;&lt;wsp:rsid wsp:val=&quot;009E170A&quot;/&gt;&lt;wsp:rsid wsp:val=&quot;009E172F&quot;/&gt;&lt;wsp:rsid wsp:val=&quot;009E1A92&quot;/&gt;&lt;wsp:rsid wsp:val=&quot;009E1E8A&quot;/&gt;&lt;wsp:rsid wsp:val=&quot;009E1FF2&quot;/&gt;&lt;wsp:rsid wsp:val=&quot;009E2F30&quot;/&gt;&lt;wsp:rsid wsp:val=&quot;009E307B&quot;/&gt;&lt;wsp:rsid wsp:val=&quot;009E30D6&quot;/&gt;&lt;wsp:rsid wsp:val=&quot;009E3147&quot;/&gt;&lt;wsp:rsid wsp:val=&quot;009E35AA&quot;/&gt;&lt;wsp:rsid wsp:val=&quot;009E3786&quot;/&gt;&lt;wsp:rsid wsp:val=&quot;009E3E89&quot;/&gt;&lt;wsp:rsid wsp:val=&quot;009E3EC6&quot;/&gt;&lt;wsp:rsid wsp:val=&quot;009E4A8B&quot;/&gt;&lt;wsp:rsid wsp:val=&quot;009E50FF&quot;/&gt;&lt;wsp:rsid wsp:val=&quot;009E51C9&quot;/&gt;&lt;wsp:rsid wsp:val=&quot;009E6140&quot;/&gt;&lt;wsp:rsid wsp:val=&quot;009E687E&quot;/&gt;&lt;wsp:rsid wsp:val=&quot;009E6892&quot;/&gt;&lt;wsp:rsid wsp:val=&quot;009E6A23&quot;/&gt;&lt;wsp:rsid wsp:val=&quot;009E6A59&quot;/&gt;&lt;wsp:rsid wsp:val=&quot;009E7C48&quot;/&gt;&lt;wsp:rsid wsp:val=&quot;009F0003&quot;/&gt;&lt;wsp:rsid wsp:val=&quot;009F019F&quot;/&gt;&lt;wsp:rsid wsp:val=&quot;009F01A1&quot;/&gt;&lt;wsp:rsid wsp:val=&quot;009F0213&quot;/&gt;&lt;wsp:rsid wsp:val=&quot;009F0438&quot;/&gt;&lt;wsp:rsid wsp:val=&quot;009F079E&quot;/&gt;&lt;wsp:rsid wsp:val=&quot;009F0D65&quot;/&gt;&lt;wsp:rsid wsp:val=&quot;009F0F6F&quot;/&gt;&lt;wsp:rsid wsp:val=&quot;009F106C&quot;/&gt;&lt;wsp:rsid wsp:val=&quot;009F182D&quot;/&gt;&lt;wsp:rsid wsp:val=&quot;009F1864&quot;/&gt;&lt;wsp:rsid wsp:val=&quot;009F18D6&quot;/&gt;&lt;wsp:rsid wsp:val=&quot;009F1A8F&quot;/&gt;&lt;wsp:rsid wsp:val=&quot;009F1AAB&quot;/&gt;&lt;wsp:rsid wsp:val=&quot;009F22F6&quot;/&gt;&lt;wsp:rsid wsp:val=&quot;009F2412&quot;/&gt;&lt;wsp:rsid wsp:val=&quot;009F246A&quot;/&gt;&lt;wsp:rsid wsp:val=&quot;009F281A&quot;/&gt;&lt;wsp:rsid wsp:val=&quot;009F2C19&quot;/&gt;&lt;wsp:rsid wsp:val=&quot;009F2E99&quot;/&gt;&lt;wsp:rsid wsp:val=&quot;009F3B48&quot;/&gt;&lt;wsp:rsid wsp:val=&quot;009F3DB8&quot;/&gt;&lt;wsp:rsid wsp:val=&quot;009F3E1B&quot;/&gt;&lt;wsp:rsid wsp:val=&quot;009F42FF&quot;/&gt;&lt;wsp:rsid wsp:val=&quot;009F48C8&quot;/&gt;&lt;wsp:rsid wsp:val=&quot;009F49B8&quot;/&gt;&lt;wsp:rsid wsp:val=&quot;009F4FB9&quot;/&gt;&lt;wsp:rsid wsp:val=&quot;009F5225&quot;/&gt;&lt;wsp:rsid wsp:val=&quot;009F52B9&quot;/&gt;&lt;wsp:rsid wsp:val=&quot;009F6B4A&quot;/&gt;&lt;wsp:rsid wsp:val=&quot;009F6CC8&quot;/&gt;&lt;wsp:rsid wsp:val=&quot;009F7471&quot;/&gt;&lt;wsp:rsid wsp:val=&quot;009F7BB1&quot;/&gt;&lt;wsp:rsid wsp:val=&quot;009F7E4E&quot;/&gt;&lt;wsp:rsid wsp:val=&quot;009F7F8C&quot;/&gt;&lt;wsp:rsid wsp:val=&quot;00A0008B&quot;/&gt;&lt;wsp:rsid wsp:val=&quot;00A00AD8&quot;/&gt;&lt;wsp:rsid wsp:val=&quot;00A01C72&quot;/&gt;&lt;wsp:rsid wsp:val=&quot;00A02147&quot;/&gt;&lt;wsp:rsid wsp:val=&quot;00A0289A&quot;/&gt;&lt;wsp:rsid wsp:val=&quot;00A03290&quot;/&gt;&lt;wsp:rsid wsp:val=&quot;00A03466&quot;/&gt;&lt;wsp:rsid wsp:val=&quot;00A036E9&quot;/&gt;&lt;wsp:rsid wsp:val=&quot;00A03EEB&quot;/&gt;&lt;wsp:rsid wsp:val=&quot;00A03F3C&quot;/&gt;&lt;wsp:rsid wsp:val=&quot;00A03F3F&quot;/&gt;&lt;wsp:rsid wsp:val=&quot;00A041F4&quot;/&gt;&lt;wsp:rsid wsp:val=&quot;00A04229&quot;/&gt;&lt;wsp:rsid wsp:val=&quot;00A0488B&quot;/&gt;&lt;wsp:rsid wsp:val=&quot;00A05168&quot;/&gt;&lt;wsp:rsid wsp:val=&quot;00A056A0&quot;/&gt;&lt;wsp:rsid wsp:val=&quot;00A05869&quot;/&gt;&lt;wsp:rsid wsp:val=&quot;00A05EEA&quot;/&gt;&lt;wsp:rsid wsp:val=&quot;00A064D4&quot;/&gt;&lt;wsp:rsid wsp:val=&quot;00A065B7&quot;/&gt;&lt;wsp:rsid wsp:val=&quot;00A06ABE&quot;/&gt;&lt;wsp:rsid wsp:val=&quot;00A07395&quot;/&gt;&lt;wsp:rsid wsp:val=&quot;00A074F8&quot;/&gt;&lt;wsp:rsid wsp:val=&quot;00A07688&quot;/&gt;&lt;wsp:rsid wsp:val=&quot;00A076AD&quot;/&gt;&lt;wsp:rsid wsp:val=&quot;00A076B3&quot;/&gt;&lt;wsp:rsid wsp:val=&quot;00A07D82&quot;/&gt;&lt;wsp:rsid wsp:val=&quot;00A10226&quot;/&gt;&lt;wsp:rsid wsp:val=&quot;00A10454&quot;/&gt;&lt;wsp:rsid wsp:val=&quot;00A107F9&quot;/&gt;&lt;wsp:rsid wsp:val=&quot;00A10A2D&quot;/&gt;&lt;wsp:rsid wsp:val=&quot;00A10B34&quot;/&gt;&lt;wsp:rsid wsp:val=&quot;00A10B37&quot;/&gt;&lt;wsp:rsid wsp:val=&quot;00A11456&quot;/&gt;&lt;wsp:rsid wsp:val=&quot;00A1165E&quot;/&gt;&lt;wsp:rsid wsp:val=&quot;00A1187D&quot;/&gt;&lt;wsp:rsid wsp:val=&quot;00A11B01&quot;/&gt;&lt;wsp:rsid wsp:val=&quot;00A133DF&quot;/&gt;&lt;wsp:rsid wsp:val=&quot;00A13882&quot;/&gt;&lt;wsp:rsid wsp:val=&quot;00A138EA&quot;/&gt;&lt;wsp:rsid wsp:val=&quot;00A13DDA&quot;/&gt;&lt;wsp:rsid wsp:val=&quot;00A13E7E&quot;/&gt;&lt;wsp:rsid wsp:val=&quot;00A14014&quot;/&gt;&lt;wsp:rsid wsp:val=&quot;00A146FC&quot;/&gt;&lt;wsp:rsid wsp:val=&quot;00A150B6&quot;/&gt;&lt;wsp:rsid wsp:val=&quot;00A151CA&quot;/&gt;&lt;wsp:rsid wsp:val=&quot;00A154D9&quot;/&gt;&lt;wsp:rsid wsp:val=&quot;00A160DE&quot;/&gt;&lt;wsp:rsid wsp:val=&quot;00A1629A&quot;/&gt;&lt;wsp:rsid wsp:val=&quot;00A173F6&quot;/&gt;&lt;wsp:rsid wsp:val=&quot;00A179C6&quot;/&gt;&lt;wsp:rsid wsp:val=&quot;00A17CB2&quot;/&gt;&lt;wsp:rsid wsp:val=&quot;00A17D15&quot;/&gt;&lt;wsp:rsid wsp:val=&quot;00A20293&quot;/&gt;&lt;wsp:rsid wsp:val=&quot;00A2075E&quot;/&gt;&lt;wsp:rsid wsp:val=&quot;00A2091A&quot;/&gt;&lt;wsp:rsid wsp:val=&quot;00A20991&quot;/&gt;&lt;wsp:rsid wsp:val=&quot;00A209D7&quot;/&gt;&lt;wsp:rsid wsp:val=&quot;00A20E4F&quot;/&gt;&lt;wsp:rsid wsp:val=&quot;00A210E3&quot;/&gt;&lt;wsp:rsid wsp:val=&quot;00A216F3&quot;/&gt;&lt;wsp:rsid wsp:val=&quot;00A21723&quot;/&gt;&lt;wsp:rsid wsp:val=&quot;00A219E5&quot;/&gt;&lt;wsp:rsid wsp:val=&quot;00A21B04&quot;/&gt;&lt;wsp:rsid wsp:val=&quot;00A22504&quot;/&gt;&lt;wsp:rsid wsp:val=&quot;00A225CD&quot;/&gt;&lt;wsp:rsid wsp:val=&quot;00A2270C&quot;/&gt;&lt;wsp:rsid wsp:val=&quot;00A2287D&quot;/&gt;&lt;wsp:rsid wsp:val=&quot;00A22AFE&quot;/&gt;&lt;wsp:rsid wsp:val=&quot;00A22B02&quot;/&gt;&lt;wsp:rsid wsp:val=&quot;00A22B7B&quot;/&gt;&lt;wsp:rsid wsp:val=&quot;00A23041&quot;/&gt;&lt;wsp:rsid wsp:val=&quot;00A2338A&quot;/&gt;&lt;wsp:rsid wsp:val=&quot;00A23BE9&quot;/&gt;&lt;wsp:rsid wsp:val=&quot;00A23D37&quot;/&gt;&lt;wsp:rsid wsp:val=&quot;00A23D66&quot;/&gt;&lt;wsp:rsid wsp:val=&quot;00A23F6B&quot;/&gt;&lt;wsp:rsid wsp:val=&quot;00A24161&quot;/&gt;&lt;wsp:rsid wsp:val=&quot;00A2476A&quot;/&gt;&lt;wsp:rsid wsp:val=&quot;00A24F6D&quot;/&gt;&lt;wsp:rsid wsp:val=&quot;00A25071&quot;/&gt;&lt;wsp:rsid wsp:val=&quot;00A25616&quot;/&gt;&lt;wsp:rsid wsp:val=&quot;00A25902&quot;/&gt;&lt;wsp:rsid wsp:val=&quot;00A25E7F&quot;/&gt;&lt;wsp:rsid wsp:val=&quot;00A25F3D&quot;/&gt;&lt;wsp:rsid wsp:val=&quot;00A26678&quot;/&gt;&lt;wsp:rsid wsp:val=&quot;00A26680&quot;/&gt;&lt;wsp:rsid wsp:val=&quot;00A26B90&quot;/&gt;&lt;wsp:rsid wsp:val=&quot;00A27055&quot;/&gt;&lt;wsp:rsid wsp:val=&quot;00A272C6&quot;/&gt;&lt;wsp:rsid wsp:val=&quot;00A27408&quot;/&gt;&lt;wsp:rsid wsp:val=&quot;00A275B6&quot;/&gt;&lt;wsp:rsid wsp:val=&quot;00A27A2C&quot;/&gt;&lt;wsp:rsid wsp:val=&quot;00A27CEB&quot;/&gt;&lt;wsp:rsid wsp:val=&quot;00A3026B&quot;/&gt;&lt;wsp:rsid wsp:val=&quot;00A302EE&quot;/&gt;&lt;wsp:rsid wsp:val=&quot;00A30427&quot;/&gt;&lt;wsp:rsid wsp:val=&quot;00A30EF9&quot;/&gt;&lt;wsp:rsid wsp:val=&quot;00A31B9C&quot;/&gt;&lt;wsp:rsid wsp:val=&quot;00A31D12&quot;/&gt;&lt;wsp:rsid wsp:val=&quot;00A327E8&quot;/&gt;&lt;wsp:rsid wsp:val=&quot;00A330E3&quot;/&gt;&lt;wsp:rsid wsp:val=&quot;00A33122&quot;/&gt;&lt;wsp:rsid wsp:val=&quot;00A33251&quot;/&gt;&lt;wsp:rsid wsp:val=&quot;00A3344B&quot;/&gt;&lt;wsp:rsid wsp:val=&quot;00A33C54&quot;/&gt;&lt;wsp:rsid wsp:val=&quot;00A33F30&quot;/&gt;&lt;wsp:rsid wsp:val=&quot;00A340B0&quot;/&gt;&lt;wsp:rsid wsp:val=&quot;00A342F0&quot;/&gt;&lt;wsp:rsid wsp:val=&quot;00A344CE&quot;/&gt;&lt;wsp:rsid wsp:val=&quot;00A34A3D&quot;/&gt;&lt;wsp:rsid wsp:val=&quot;00A34D63&quot;/&gt;&lt;wsp:rsid wsp:val=&quot;00A34F32&quot;/&gt;&lt;wsp:rsid wsp:val=&quot;00A35098&quot;/&gt;&lt;wsp:rsid wsp:val=&quot;00A356CC&quot;/&gt;&lt;wsp:rsid wsp:val=&quot;00A3598B&quot;/&gt;&lt;wsp:rsid wsp:val=&quot;00A35994&quot;/&gt;&lt;wsp:rsid wsp:val=&quot;00A35AB6&quot;/&gt;&lt;wsp:rsid wsp:val=&quot;00A35C65&quot;/&gt;&lt;wsp:rsid wsp:val=&quot;00A36329&quot;/&gt;&lt;wsp:rsid wsp:val=&quot;00A36618&quot;/&gt;&lt;wsp:rsid wsp:val=&quot;00A37446&quot;/&gt;&lt;wsp:rsid wsp:val=&quot;00A3753C&quot;/&gt;&lt;wsp:rsid wsp:val=&quot;00A37A60&quot;/&gt;&lt;wsp:rsid wsp:val=&quot;00A37E7E&quot;/&gt;&lt;wsp:rsid wsp:val=&quot;00A37FCA&quot;/&gt;&lt;wsp:rsid wsp:val=&quot;00A402E2&quot;/&gt;&lt;wsp:rsid wsp:val=&quot;00A407B7&quot;/&gt;&lt;wsp:rsid wsp:val=&quot;00A40A2D&quot;/&gt;&lt;wsp:rsid wsp:val=&quot;00A40A35&quot;/&gt;&lt;wsp:rsid wsp:val=&quot;00A40AA3&quot;/&gt;&lt;wsp:rsid wsp:val=&quot;00A414F9&quot;/&gt;&lt;wsp:rsid wsp:val=&quot;00A41FB3&quot;/&gt;&lt;wsp:rsid wsp:val=&quot;00A4201B&quot;/&gt;&lt;wsp:rsid wsp:val=&quot;00A42337&quot;/&gt;&lt;wsp:rsid wsp:val=&quot;00A426B0&quot;/&gt;&lt;wsp:rsid wsp:val=&quot;00A428B5&quot;/&gt;&lt;wsp:rsid wsp:val=&quot;00A42B72&quot;/&gt;&lt;wsp:rsid wsp:val=&quot;00A42C83&quot;/&gt;&lt;wsp:rsid wsp:val=&quot;00A42F14&quot;/&gt;&lt;wsp:rsid wsp:val=&quot;00A43130&quot;/&gt;&lt;wsp:rsid wsp:val=&quot;00A432A5&quot;/&gt;&lt;wsp:rsid wsp:val=&quot;00A433EE&quot;/&gt;&lt;wsp:rsid wsp:val=&quot;00A43CCA&quot;/&gt;&lt;wsp:rsid wsp:val=&quot;00A43D52&quot;/&gt;&lt;wsp:rsid wsp:val=&quot;00A43D8D&quot;/&gt;&lt;wsp:rsid wsp:val=&quot;00A43DB9&quot;/&gt;&lt;wsp:rsid wsp:val=&quot;00A44007&quot;/&gt;&lt;wsp:rsid wsp:val=&quot;00A441C9&quot;/&gt;&lt;wsp:rsid wsp:val=&quot;00A44306&quot;/&gt;&lt;wsp:rsid wsp:val=&quot;00A4441A&quot;/&gt;&lt;wsp:rsid wsp:val=&quot;00A4450A&quot;/&gt;&lt;wsp:rsid wsp:val=&quot;00A44697&quot;/&gt;&lt;wsp:rsid wsp:val=&quot;00A448E1&quot;/&gt;&lt;wsp:rsid wsp:val=&quot;00A44B02&quot;/&gt;&lt;wsp:rsid wsp:val=&quot;00A44EE3&quot;/&gt;&lt;wsp:rsid wsp:val=&quot;00A45088&quot;/&gt;&lt;wsp:rsid wsp:val=&quot;00A45709&quot;/&gt;&lt;wsp:rsid wsp:val=&quot;00A45BAD&quot;/&gt;&lt;wsp:rsid wsp:val=&quot;00A45D3A&quot;/&gt;&lt;wsp:rsid wsp:val=&quot;00A465E6&quot;/&gt;&lt;wsp:rsid wsp:val=&quot;00A46C10&quot;/&gt;&lt;wsp:rsid wsp:val=&quot;00A46FEC&quot;/&gt;&lt;wsp:rsid wsp:val=&quot;00A4739F&quot;/&gt;&lt;wsp:rsid wsp:val=&quot;00A47C85&quot;/&gt;&lt;wsp:rsid wsp:val=&quot;00A47FA4&quot;/&gt;&lt;wsp:rsid wsp:val=&quot;00A47FF5&quot;/&gt;&lt;wsp:rsid wsp:val=&quot;00A50397&quot;/&gt;&lt;wsp:rsid wsp:val=&quot;00A50FCF&quot;/&gt;&lt;wsp:rsid wsp:val=&quot;00A51651&quot;/&gt;&lt;wsp:rsid wsp:val=&quot;00A51A7D&quot;/&gt;&lt;wsp:rsid wsp:val=&quot;00A51B3B&quot;/&gt;&lt;wsp:rsid wsp:val=&quot;00A521DF&quot;/&gt;&lt;wsp:rsid wsp:val=&quot;00A522BD&quot;/&gt;&lt;wsp:rsid wsp:val=&quot;00A522F5&quot;/&gt;&lt;wsp:rsid wsp:val=&quot;00A53069&quot;/&gt;&lt;wsp:rsid wsp:val=&quot;00A53CEE&quot;/&gt;&lt;wsp:rsid wsp:val=&quot;00A53DDB&quot;/&gt;&lt;wsp:rsid wsp:val=&quot;00A54165&quot;/&gt;&lt;wsp:rsid wsp:val=&quot;00A54192&quot;/&gt;&lt;wsp:rsid wsp:val=&quot;00A544CF&quot;/&gt;&lt;wsp:rsid wsp:val=&quot;00A550CC&quot;/&gt;&lt;wsp:rsid wsp:val=&quot;00A55592&quot;/&gt;&lt;wsp:rsid wsp:val=&quot;00A56971&quot;/&gt;&lt;wsp:rsid wsp:val=&quot;00A56DA3&quot;/&gt;&lt;wsp:rsid wsp:val=&quot;00A5712D&quot;/&gt;&lt;wsp:rsid wsp:val=&quot;00A571A1&quot;/&gt;&lt;wsp:rsid wsp:val=&quot;00A57603&quot;/&gt;&lt;wsp:rsid wsp:val=&quot;00A57747&quot;/&gt;&lt;wsp:rsid wsp:val=&quot;00A577C8&quot;/&gt;&lt;wsp:rsid wsp:val=&quot;00A57998&quot;/&gt;&lt;wsp:rsid wsp:val=&quot;00A5799C&quot;/&gt;&lt;wsp:rsid wsp:val=&quot;00A57CDD&quot;/&gt;&lt;wsp:rsid wsp:val=&quot;00A57D38&quot;/&gt;&lt;wsp:rsid wsp:val=&quot;00A57ECD&quot;/&gt;&lt;wsp:rsid wsp:val=&quot;00A60232&quot;/&gt;&lt;wsp:rsid wsp:val=&quot;00A603C1&quot;/&gt;&lt;wsp:rsid wsp:val=&quot;00A606E1&quot;/&gt;&lt;wsp:rsid wsp:val=&quot;00A60F4E&quot;/&gt;&lt;wsp:rsid wsp:val=&quot;00A60FF7&quot;/&gt;&lt;wsp:rsid wsp:val=&quot;00A611A0&quot;/&gt;&lt;wsp:rsid wsp:val=&quot;00A6132B&quot;/&gt;&lt;wsp:rsid wsp:val=&quot;00A61343&quot;/&gt;&lt;wsp:rsid wsp:val=&quot;00A61726&quot;/&gt;&lt;wsp:rsid wsp:val=&quot;00A61944&quot;/&gt;&lt;wsp:rsid wsp:val=&quot;00A61FB8&quot;/&gt;&lt;wsp:rsid wsp:val=&quot;00A621F9&quot;/&gt;&lt;wsp:rsid wsp:val=&quot;00A627DC&quot;/&gt;&lt;wsp:rsid wsp:val=&quot;00A6298D&quot;/&gt;&lt;wsp:rsid wsp:val=&quot;00A62AC4&quot;/&gt;&lt;wsp:rsid wsp:val=&quot;00A63373&quot;/&gt;&lt;wsp:rsid wsp:val=&quot;00A63B90&quot;/&gt;&lt;wsp:rsid wsp:val=&quot;00A64482&quot;/&gt;&lt;wsp:rsid wsp:val=&quot;00A64B34&quot;/&gt;&lt;wsp:rsid wsp:val=&quot;00A64BA3&quot;/&gt;&lt;wsp:rsid wsp:val=&quot;00A64D0E&quot;/&gt;&lt;wsp:rsid wsp:val=&quot;00A64F41&quot;/&gt;&lt;wsp:rsid wsp:val=&quot;00A64F9B&quot;/&gt;&lt;wsp:rsid wsp:val=&quot;00A655EA&quot;/&gt;&lt;wsp:rsid wsp:val=&quot;00A6585E&quot;/&gt;&lt;wsp:rsid wsp:val=&quot;00A65964&quot;/&gt;&lt;wsp:rsid wsp:val=&quot;00A66562&quot;/&gt;&lt;wsp:rsid wsp:val=&quot;00A66655&quot;/&gt;&lt;wsp:rsid wsp:val=&quot;00A6674A&quot;/&gt;&lt;wsp:rsid wsp:val=&quot;00A6687A&quot;/&gt;&lt;wsp:rsid wsp:val=&quot;00A66B11&quot;/&gt;&lt;wsp:rsid wsp:val=&quot;00A66BC6&quot;/&gt;&lt;wsp:rsid wsp:val=&quot;00A66C95&quot;/&gt;&lt;wsp:rsid wsp:val=&quot;00A66E1B&quot;/&gt;&lt;wsp:rsid wsp:val=&quot;00A66E25&quot;/&gt;&lt;wsp:rsid wsp:val=&quot;00A6737F&quot;/&gt;&lt;wsp:rsid wsp:val=&quot;00A673D9&quot;/&gt;&lt;wsp:rsid wsp:val=&quot;00A678C1&quot;/&gt;&lt;wsp:rsid wsp:val=&quot;00A67964&quot;/&gt;&lt;wsp:rsid wsp:val=&quot;00A67990&quot;/&gt;&lt;wsp:rsid wsp:val=&quot;00A67ED4&quot;/&gt;&lt;wsp:rsid wsp:val=&quot;00A700D0&quot;/&gt;&lt;wsp:rsid wsp:val=&quot;00A70715&quot;/&gt;&lt;wsp:rsid wsp:val=&quot;00A70C94&quot;/&gt;&lt;wsp:rsid wsp:val=&quot;00A716B1&quot;/&gt;&lt;wsp:rsid wsp:val=&quot;00A7199F&quot;/&gt;&lt;wsp:rsid wsp:val=&quot;00A71EE9&quot;/&gt;&lt;wsp:rsid wsp:val=&quot;00A71F6E&quot;/&gt;&lt;wsp:rsid wsp:val=&quot;00A7263A&quot;/&gt;&lt;wsp:rsid wsp:val=&quot;00A72700&quot;/&gt;&lt;wsp:rsid wsp:val=&quot;00A7334E&quot;/&gt;&lt;wsp:rsid wsp:val=&quot;00A736D7&quot;/&gt;&lt;wsp:rsid wsp:val=&quot;00A73DE9&quot;/&gt;&lt;wsp:rsid wsp:val=&quot;00A74A13&quot;/&gt;&lt;wsp:rsid wsp:val=&quot;00A74CA6&quot;/&gt;&lt;wsp:rsid wsp:val=&quot;00A756C3&quot;/&gt;&lt;wsp:rsid wsp:val=&quot;00A75F8A&quot;/&gt;&lt;wsp:rsid wsp:val=&quot;00A760E7&quot;/&gt;&lt;wsp:rsid wsp:val=&quot;00A763D5&quot;/&gt;&lt;wsp:rsid wsp:val=&quot;00A765AF&quot;/&gt;&lt;wsp:rsid wsp:val=&quot;00A765E5&quot;/&gt;&lt;wsp:rsid wsp:val=&quot;00A766D9&quot;/&gt;&lt;wsp:rsid wsp:val=&quot;00A76B25&quot;/&gt;&lt;wsp:rsid wsp:val=&quot;00A76DE9&quot;/&gt;&lt;wsp:rsid wsp:val=&quot;00A771FF&quot;/&gt;&lt;wsp:rsid wsp:val=&quot;00A77409&quot;/&gt;&lt;wsp:rsid wsp:val=&quot;00A77745&quot;/&gt;&lt;wsp:rsid wsp:val=&quot;00A778B0&quot;/&gt;&lt;wsp:rsid wsp:val=&quot;00A77991&quot;/&gt;&lt;wsp:rsid wsp:val=&quot;00A8097A&quot;/&gt;&lt;wsp:rsid wsp:val=&quot;00A809DB&quot;/&gt;&lt;wsp:rsid wsp:val=&quot;00A80C99&quot;/&gt;&lt;wsp:rsid wsp:val=&quot;00A81177&quot;/&gt;&lt;wsp:rsid wsp:val=&quot;00A817B9&quot;/&gt;&lt;wsp:rsid wsp:val=&quot;00A81C38&quot;/&gt;&lt;wsp:rsid wsp:val=&quot;00A820B6&quot;/&gt;&lt;wsp:rsid wsp:val=&quot;00A82236&quot;/&gt;&lt;wsp:rsid wsp:val=&quot;00A822E7&quot;/&gt;&lt;wsp:rsid wsp:val=&quot;00A82449&quot;/&gt;&lt;wsp:rsid wsp:val=&quot;00A824A1&quot;/&gt;&lt;wsp:rsid wsp:val=&quot;00A828B2&quot;/&gt;&lt;wsp:rsid wsp:val=&quot;00A83023&quot;/&gt;&lt;wsp:rsid wsp:val=&quot;00A83792&quot;/&gt;&lt;wsp:rsid wsp:val=&quot;00A83951&quot;/&gt;&lt;wsp:rsid wsp:val=&quot;00A839D0&quot;/&gt;&lt;wsp:rsid wsp:val=&quot;00A83F26&quot;/&gt;&lt;wsp:rsid wsp:val=&quot;00A84198&quot;/&gt;&lt;wsp:rsid wsp:val=&quot;00A84200&quot;/&gt;&lt;wsp:rsid wsp:val=&quot;00A84673&quot;/&gt;&lt;wsp:rsid wsp:val=&quot;00A84854&quot;/&gt;&lt;wsp:rsid wsp:val=&quot;00A84DCB&quot;/&gt;&lt;wsp:rsid wsp:val=&quot;00A8510F&quot;/&gt;&lt;wsp:rsid wsp:val=&quot;00A852B5&quot;/&gt;&lt;wsp:rsid wsp:val=&quot;00A853E3&quot;/&gt;&lt;wsp:rsid wsp:val=&quot;00A854D8&quot;/&gt;&lt;wsp:rsid wsp:val=&quot;00A85AB5&quot;/&gt;&lt;wsp:rsid wsp:val=&quot;00A85C00&quot;/&gt;&lt;wsp:rsid wsp:val=&quot;00A85D6D&quot;/&gt;&lt;wsp:rsid wsp:val=&quot;00A85EB3&quot;/&gt;&lt;wsp:rsid wsp:val=&quot;00A85F84&quot;/&gt;&lt;wsp:rsid wsp:val=&quot;00A86657&quot;/&gt;&lt;wsp:rsid wsp:val=&quot;00A866B6&quot;/&gt;&lt;wsp:rsid wsp:val=&quot;00A8672E&quot;/&gt;&lt;wsp:rsid wsp:val=&quot;00A86B0C&quot;/&gt;&lt;wsp:rsid wsp:val=&quot;00A86E87&quot;/&gt;&lt;wsp:rsid wsp:val=&quot;00A86EE4&quot;/&gt;&lt;wsp:rsid wsp:val=&quot;00A86FA8&quot;/&gt;&lt;wsp:rsid wsp:val=&quot;00A87763&quot;/&gt;&lt;wsp:rsid wsp:val=&quot;00A878E9&quot;/&gt;&lt;wsp:rsid wsp:val=&quot;00A87A26&quot;/&gt;&lt;wsp:rsid wsp:val=&quot;00A9060A&quot;/&gt;&lt;wsp:rsid wsp:val=&quot;00A90A2C&quot;/&gt;&lt;wsp:rsid wsp:val=&quot;00A90AD8&quot;/&gt;&lt;wsp:rsid wsp:val=&quot;00A90B33&quot;/&gt;&lt;wsp:rsid wsp:val=&quot;00A90D06&quot;/&gt;&lt;wsp:rsid wsp:val=&quot;00A90DB1&quot;/&gt;&lt;wsp:rsid wsp:val=&quot;00A90E98&quot;/&gt;&lt;wsp:rsid wsp:val=&quot;00A91228&quot;/&gt;&lt;wsp:rsid wsp:val=&quot;00A912DE&quot;/&gt;&lt;wsp:rsid wsp:val=&quot;00A914E8&quot;/&gt;&lt;wsp:rsid wsp:val=&quot;00A91549&quot;/&gt;&lt;wsp:rsid wsp:val=&quot;00A9187B&quot;/&gt;&lt;wsp:rsid wsp:val=&quot;00A91AE0&quot;/&gt;&lt;wsp:rsid wsp:val=&quot;00A91DDD&quot;/&gt;&lt;wsp:rsid wsp:val=&quot;00A91E3D&quot;/&gt;&lt;wsp:rsid wsp:val=&quot;00A91E8B&quot;/&gt;&lt;wsp:rsid wsp:val=&quot;00A91FF8&quot;/&gt;&lt;wsp:rsid wsp:val=&quot;00A92C00&quot;/&gt;&lt;wsp:rsid wsp:val=&quot;00A9307D&quot;/&gt;&lt;wsp:rsid wsp:val=&quot;00A93595&quot;/&gt;&lt;wsp:rsid wsp:val=&quot;00A9378A&quot;/&gt;&lt;wsp:rsid wsp:val=&quot;00A93DC6&quot;/&gt;&lt;wsp:rsid wsp:val=&quot;00A93F77&quot;/&gt;&lt;wsp:rsid wsp:val=&quot;00A94191&quot;/&gt;&lt;wsp:rsid wsp:val=&quot;00A9429F&quot;/&gt;&lt;wsp:rsid wsp:val=&quot;00A944E2&quot;/&gt;&lt;wsp:rsid wsp:val=&quot;00A94689&quot;/&gt;&lt;wsp:rsid wsp:val=&quot;00A94BE2&quot;/&gt;&lt;wsp:rsid wsp:val=&quot;00A94E34&quot;/&gt;&lt;wsp:rsid wsp:val=&quot;00A94E6A&quot;/&gt;&lt;wsp:rsid wsp:val=&quot;00A95085&quot;/&gt;&lt;wsp:rsid wsp:val=&quot;00A95089&quot;/&gt;&lt;wsp:rsid wsp:val=&quot;00A9530F&quot;/&gt;&lt;wsp:rsid wsp:val=&quot;00A958C7&quot;/&gt;&lt;wsp:rsid wsp:val=&quot;00A95DD7&quot;/&gt;&lt;wsp:rsid wsp:val=&quot;00A96703&quot;/&gt;&lt;wsp:rsid wsp:val=&quot;00A96CF7&quot;/&gt;&lt;wsp:rsid wsp:val=&quot;00A96DE5&quot;/&gt;&lt;wsp:rsid wsp:val=&quot;00A96F99&quot;/&gt;&lt;wsp:rsid wsp:val=&quot;00A97788&quot;/&gt;&lt;wsp:rsid wsp:val=&quot;00A97E99&quot;/&gt;&lt;wsp:rsid wsp:val=&quot;00AA00B0&quot;/&gt;&lt;wsp:rsid wsp:val=&quot;00AA024A&quot;/&gt;&lt;wsp:rsid wsp:val=&quot;00AA0845&quot;/&gt;&lt;wsp:rsid wsp:val=&quot;00AA09D8&quot;/&gt;&lt;wsp:rsid wsp:val=&quot;00AA1033&quot;/&gt;&lt;wsp:rsid wsp:val=&quot;00AA16C0&quot;/&gt;&lt;wsp:rsid wsp:val=&quot;00AA2337&quot;/&gt;&lt;wsp:rsid wsp:val=&quot;00AA2681&quot;/&gt;&lt;wsp:rsid wsp:val=&quot;00AA2A6C&quot;/&gt;&lt;wsp:rsid wsp:val=&quot;00AA30DE&quot;/&gt;&lt;wsp:rsid wsp:val=&quot;00AA3647&quot;/&gt;&lt;wsp:rsid wsp:val=&quot;00AA3FD3&quot;/&gt;&lt;wsp:rsid wsp:val=&quot;00AA43F4&quot;/&gt;&lt;wsp:rsid wsp:val=&quot;00AA46ED&quot;/&gt;&lt;wsp:rsid wsp:val=&quot;00AA48C4&quot;/&gt;&lt;wsp:rsid wsp:val=&quot;00AA4C5F&quot;/&gt;&lt;wsp:rsid wsp:val=&quot;00AA50CB&quot;/&gt;&lt;wsp:rsid wsp:val=&quot;00AA5183&quot;/&gt;&lt;wsp:rsid wsp:val=&quot;00AA58E4&quot;/&gt;&lt;wsp:rsid wsp:val=&quot;00AA5D15&quot;/&gt;&lt;wsp:rsid wsp:val=&quot;00AA5D2F&quot;/&gt;&lt;wsp:rsid wsp:val=&quot;00AA5EDE&quot;/&gt;&lt;wsp:rsid wsp:val=&quot;00AA7183&quot;/&gt;&lt;wsp:rsid wsp:val=&quot;00AA71BE&quot;/&gt;&lt;wsp:rsid wsp:val=&quot;00AA7419&quot;/&gt;&lt;wsp:rsid wsp:val=&quot;00AA74DC&quot;/&gt;&lt;wsp:rsid wsp:val=&quot;00AA78C2&quot;/&gt;&lt;wsp:rsid wsp:val=&quot;00AB0099&quot;/&gt;&lt;wsp:rsid wsp:val=&quot;00AB01C3&quot;/&gt;&lt;wsp:rsid wsp:val=&quot;00AB02EE&quot;/&gt;&lt;wsp:rsid wsp:val=&quot;00AB0A9F&quot;/&gt;&lt;wsp:rsid wsp:val=&quot;00AB1160&quot;/&gt;&lt;wsp:rsid wsp:val=&quot;00AB1230&quot;/&gt;&lt;wsp:rsid wsp:val=&quot;00AB1887&quot;/&gt;&lt;wsp:rsid wsp:val=&quot;00AB1A6C&quot;/&gt;&lt;wsp:rsid wsp:val=&quot;00AB1CCD&quot;/&gt;&lt;wsp:rsid wsp:val=&quot;00AB1D1A&quot;/&gt;&lt;wsp:rsid wsp:val=&quot;00AB21EC&quot;/&gt;&lt;wsp:rsid wsp:val=&quot;00AB262A&quot;/&gt;&lt;wsp:rsid wsp:val=&quot;00AB26FB&quot;/&gt;&lt;wsp:rsid wsp:val=&quot;00AB2AE1&quot;/&gt;&lt;wsp:rsid wsp:val=&quot;00AB2B18&quot;/&gt;&lt;wsp:rsid wsp:val=&quot;00AB2E4F&quot;/&gt;&lt;wsp:rsid wsp:val=&quot;00AB338D&quot;/&gt;&lt;wsp:rsid wsp:val=&quot;00AB34B1&quot;/&gt;&lt;wsp:rsid wsp:val=&quot;00AB36E6&quot;/&gt;&lt;wsp:rsid wsp:val=&quot;00AB3C29&quot;/&gt;&lt;wsp:rsid wsp:val=&quot;00AB40C2&quot;/&gt;&lt;wsp:rsid wsp:val=&quot;00AB479B&quot;/&gt;&lt;wsp:rsid wsp:val=&quot;00AB4984&quot;/&gt;&lt;wsp:rsid wsp:val=&quot;00AB516F&quot;/&gt;&lt;wsp:rsid wsp:val=&quot;00AB5232&quot;/&gt;&lt;wsp:rsid wsp:val=&quot;00AB562B&quot;/&gt;&lt;wsp:rsid wsp:val=&quot;00AB57D3&quot;/&gt;&lt;wsp:rsid wsp:val=&quot;00AB59B1&quot;/&gt;&lt;wsp:rsid wsp:val=&quot;00AB59D5&quot;/&gt;&lt;wsp:rsid wsp:val=&quot;00AB5B58&quot;/&gt;&lt;wsp:rsid wsp:val=&quot;00AB5E0E&quot;/&gt;&lt;wsp:rsid wsp:val=&quot;00AB6303&quot;/&gt;&lt;wsp:rsid wsp:val=&quot;00AB6397&quot;/&gt;&lt;wsp:rsid wsp:val=&quot;00AB654D&quot;/&gt;&lt;wsp:rsid wsp:val=&quot;00AB6A8F&quot;/&gt;&lt;wsp:rsid wsp:val=&quot;00AB7383&quot;/&gt;&lt;wsp:rsid wsp:val=&quot;00AB74E4&quot;/&gt;&lt;wsp:rsid wsp:val=&quot;00AB7B86&quot;/&gt;&lt;wsp:rsid wsp:val=&quot;00AC09CD&quot;/&gt;&lt;wsp:rsid wsp:val=&quot;00AC0EBB&quot;/&gt;&lt;wsp:rsid wsp:val=&quot;00AC1793&quot;/&gt;&lt;wsp:rsid wsp:val=&quot;00AC216B&quot;/&gt;&lt;wsp:rsid wsp:val=&quot;00AC2616&quot;/&gt;&lt;wsp:rsid wsp:val=&quot;00AC2ADD&quot;/&gt;&lt;wsp:rsid wsp:val=&quot;00AC2FFF&quot;/&gt;&lt;wsp:rsid wsp:val=&quot;00AC30C4&quot;/&gt;&lt;wsp:rsid wsp:val=&quot;00AC3439&quot;/&gt;&lt;wsp:rsid wsp:val=&quot;00AC3532&quot;/&gt;&lt;wsp:rsid wsp:val=&quot;00AC3555&quot;/&gt;&lt;wsp:rsid wsp:val=&quot;00AC36EE&quot;/&gt;&lt;wsp:rsid wsp:val=&quot;00AC3E5E&quot;/&gt;&lt;wsp:rsid wsp:val=&quot;00AC4C55&quot;/&gt;&lt;wsp:rsid wsp:val=&quot;00AC52D5&quot;/&gt;&lt;wsp:rsid wsp:val=&quot;00AC53A6&quot;/&gt;&lt;wsp:rsid wsp:val=&quot;00AC5EC3&quot;/&gt;&lt;wsp:rsid wsp:val=&quot;00AC6393&quot;/&gt;&lt;wsp:rsid wsp:val=&quot;00AC6826&quot;/&gt;&lt;wsp:rsid wsp:val=&quot;00AC7003&quot;/&gt;&lt;wsp:rsid wsp:val=&quot;00AC7338&quot;/&gt;&lt;wsp:rsid wsp:val=&quot;00AC760B&quot;/&gt;&lt;wsp:rsid wsp:val=&quot;00AC777A&quot;/&gt;&lt;wsp:rsid wsp:val=&quot;00AC7A6E&quot;/&gt;&lt;wsp:rsid wsp:val=&quot;00AC7B86&quot;/&gt;&lt;wsp:rsid wsp:val=&quot;00AC7BED&quot;/&gt;&lt;wsp:rsid wsp:val=&quot;00AC7ECF&quot;/&gt;&lt;wsp:rsid wsp:val=&quot;00AC7EDC&quot;/&gt;&lt;wsp:rsid wsp:val=&quot;00AD1187&quot;/&gt;&lt;wsp:rsid wsp:val=&quot;00AD1444&quot;/&gt;&lt;wsp:rsid wsp:val=&quot;00AD1649&quot;/&gt;&lt;wsp:rsid wsp:val=&quot;00AD1CB1&quot;/&gt;&lt;wsp:rsid wsp:val=&quot;00AD2036&quot;/&gt;&lt;wsp:rsid wsp:val=&quot;00AD2D3E&quot;/&gt;&lt;wsp:rsid wsp:val=&quot;00AD37C3&quot;/&gt;&lt;wsp:rsid wsp:val=&quot;00AD37E5&quot;/&gt;&lt;wsp:rsid wsp:val=&quot;00AD3907&quot;/&gt;&lt;wsp:rsid wsp:val=&quot;00AD3B5D&quot;/&gt;&lt;wsp:rsid wsp:val=&quot;00AD413C&quot;/&gt;&lt;wsp:rsid wsp:val=&quot;00AD43BE&quot;/&gt;&lt;wsp:rsid wsp:val=&quot;00AD4C66&quot;/&gt;&lt;wsp:rsid wsp:val=&quot;00AD5124&quot;/&gt;&lt;wsp:rsid wsp:val=&quot;00AD5733&quot;/&gt;&lt;wsp:rsid wsp:val=&quot;00AD5E3A&quot;/&gt;&lt;wsp:rsid wsp:val=&quot;00AD629A&quot;/&gt;&lt;wsp:rsid wsp:val=&quot;00AD63AF&quot;/&gt;&lt;wsp:rsid wsp:val=&quot;00AD65EB&quot;/&gt;&lt;wsp:rsid wsp:val=&quot;00AD69C8&quot;/&gt;&lt;wsp:rsid wsp:val=&quot;00AD6A27&quot;/&gt;&lt;wsp:rsid wsp:val=&quot;00AD6A67&quot;/&gt;&lt;wsp:rsid wsp:val=&quot;00AD6BF4&quot;/&gt;&lt;wsp:rsid wsp:val=&quot;00AD6F05&quot;/&gt;&lt;wsp:rsid wsp:val=&quot;00AD703B&quot;/&gt;&lt;wsp:rsid wsp:val=&quot;00AD742B&quot;/&gt;&lt;wsp:rsid wsp:val=&quot;00AE02EA&quot;/&gt;&lt;wsp:rsid wsp:val=&quot;00AE03ED&quot;/&gt;&lt;wsp:rsid wsp:val=&quot;00AE05B9&quot;/&gt;&lt;wsp:rsid wsp:val=&quot;00AE066C&quot;/&gt;&lt;wsp:rsid wsp:val=&quot;00AE0694&quot;/&gt;&lt;wsp:rsid wsp:val=&quot;00AE0B18&quot;/&gt;&lt;wsp:rsid wsp:val=&quot;00AE0CD2&quot;/&gt;&lt;wsp:rsid wsp:val=&quot;00AE0D7C&quot;/&gt;&lt;wsp:rsid wsp:val=&quot;00AE0E1E&quot;/&gt;&lt;wsp:rsid wsp:val=&quot;00AE0F0D&quot;/&gt;&lt;wsp:rsid wsp:val=&quot;00AE13CF&quot;/&gt;&lt;wsp:rsid wsp:val=&quot;00AE1B37&quot;/&gt;&lt;wsp:rsid wsp:val=&quot;00AE1B95&quot;/&gt;&lt;wsp:rsid wsp:val=&quot;00AE1DF6&quot;/&gt;&lt;wsp:rsid wsp:val=&quot;00AE2230&quot;/&gt;&lt;wsp:rsid wsp:val=&quot;00AE25F7&quot;/&gt;&lt;wsp:rsid wsp:val=&quot;00AE2BDD&quot;/&gt;&lt;wsp:rsid wsp:val=&quot;00AE3029&quot;/&gt;&lt;wsp:rsid wsp:val=&quot;00AE3B25&quot;/&gt;&lt;wsp:rsid wsp:val=&quot;00AE3F62&quot;/&gt;&lt;wsp:rsid wsp:val=&quot;00AE45F5&quot;/&gt;&lt;wsp:rsid wsp:val=&quot;00AE486E&quot;/&gt;&lt;wsp:rsid wsp:val=&quot;00AE4D2C&quot;/&gt;&lt;wsp:rsid wsp:val=&quot;00AE4DE1&quot;/&gt;&lt;wsp:rsid wsp:val=&quot;00AE4E9C&quot;/&gt;&lt;wsp:rsid wsp:val=&quot;00AE55B6&quot;/&gt;&lt;wsp:rsid wsp:val=&quot;00AE573D&quot;/&gt;&lt;wsp:rsid wsp:val=&quot;00AE5A74&quot;/&gt;&lt;wsp:rsid wsp:val=&quot;00AE63AB&quot;/&gt;&lt;wsp:rsid wsp:val=&quot;00AE67B2&quot;/&gt;&lt;wsp:rsid wsp:val=&quot;00AE6E93&quot;/&gt;&lt;wsp:rsid wsp:val=&quot;00AE6ED9&quot;/&gt;&lt;wsp:rsid wsp:val=&quot;00AE701C&quot;/&gt;&lt;wsp:rsid wsp:val=&quot;00AE7058&quot;/&gt;&lt;wsp:rsid wsp:val=&quot;00AE72AD&quot;/&gt;&lt;wsp:rsid wsp:val=&quot;00AE76D3&quot;/&gt;&lt;wsp:rsid wsp:val=&quot;00AE7956&quot;/&gt;&lt;wsp:rsid wsp:val=&quot;00AE7D12&quot;/&gt;&lt;wsp:rsid wsp:val=&quot;00AE7D18&quot;/&gt;&lt;wsp:rsid wsp:val=&quot;00AF001B&quot;/&gt;&lt;wsp:rsid wsp:val=&quot;00AF02B5&quot;/&gt;&lt;wsp:rsid wsp:val=&quot;00AF0EF9&quot;/&gt;&lt;wsp:rsid wsp:val=&quot;00AF126E&quot;/&gt;&lt;wsp:rsid wsp:val=&quot;00AF13DF&quot;/&gt;&lt;wsp:rsid wsp:val=&quot;00AF16DF&quot;/&gt;&lt;wsp:rsid wsp:val=&quot;00AF17B4&quot;/&gt;&lt;wsp:rsid wsp:val=&quot;00AF1808&quot;/&gt;&lt;wsp:rsid wsp:val=&quot;00AF1943&quot;/&gt;&lt;wsp:rsid wsp:val=&quot;00AF1A22&quot;/&gt;&lt;wsp:rsid wsp:val=&quot;00AF1D4B&quot;/&gt;&lt;wsp:rsid wsp:val=&quot;00AF1FD7&quot;/&gt;&lt;wsp:rsid wsp:val=&quot;00AF2B79&quot;/&gt;&lt;wsp:rsid wsp:val=&quot;00AF2C03&quot;/&gt;&lt;wsp:rsid wsp:val=&quot;00AF2DCA&quot;/&gt;&lt;wsp:rsid wsp:val=&quot;00AF2E66&quot;/&gt;&lt;wsp:rsid wsp:val=&quot;00AF2EE2&quot;/&gt;&lt;wsp:rsid wsp:val=&quot;00AF2FAB&quot;/&gt;&lt;wsp:rsid wsp:val=&quot;00AF3174&quot;/&gt;&lt;wsp:rsid wsp:val=&quot;00AF3D3B&quot;/&gt;&lt;wsp:rsid wsp:val=&quot;00AF3DC5&quot;/&gt;&lt;wsp:rsid wsp:val=&quot;00AF40BC&quot;/&gt;&lt;wsp:rsid wsp:val=&quot;00AF432E&quot;/&gt;&lt;wsp:rsid wsp:val=&quot;00AF44D8&quot;/&gt;&lt;wsp:rsid wsp:val=&quot;00AF454B&quot;/&gt;&lt;wsp:rsid wsp:val=&quot;00AF4737&quot;/&gt;&lt;wsp:rsid wsp:val=&quot;00AF5592&quot;/&gt;&lt;wsp:rsid wsp:val=&quot;00AF563B&quot;/&gt;&lt;wsp:rsid wsp:val=&quot;00AF5CD8&quot;/&gt;&lt;wsp:rsid wsp:val=&quot;00AF5DD6&quot;/&gt;&lt;wsp:rsid wsp:val=&quot;00AF61F2&quot;/&gt;&lt;wsp:rsid wsp:val=&quot;00AF62E6&quot;/&gt;&lt;wsp:rsid wsp:val=&quot;00AF640E&quot;/&gt;&lt;wsp:rsid wsp:val=&quot;00AF67F3&quot;/&gt;&lt;wsp:rsid wsp:val=&quot;00AF7112&quot;/&gt;&lt;wsp:rsid wsp:val=&quot;00AF7214&quot;/&gt;&lt;wsp:rsid wsp:val=&quot;00AF75A5&quot;/&gt;&lt;wsp:rsid wsp:val=&quot;00AF75E6&quot;/&gt;&lt;wsp:rsid wsp:val=&quot;00B00C5A&quot;/&gt;&lt;wsp:rsid wsp:val=&quot;00B01449&quot;/&gt;&lt;wsp:rsid wsp:val=&quot;00B014C2&quot;/&gt;&lt;wsp:rsid wsp:val=&quot;00B0174B&quot;/&gt;&lt;wsp:rsid wsp:val=&quot;00B01797&quot;/&gt;&lt;wsp:rsid wsp:val=&quot;00B02194&quot;/&gt;&lt;wsp:rsid wsp:val=&quot;00B0222D&quot;/&gt;&lt;wsp:rsid wsp:val=&quot;00B022BB&quot;/&gt;&lt;wsp:rsid wsp:val=&quot;00B02AA0&quot;/&gt;&lt;wsp:rsid wsp:val=&quot;00B03173&quot;/&gt;&lt;wsp:rsid wsp:val=&quot;00B035A5&quot;/&gt;&lt;wsp:rsid wsp:val=&quot;00B03A7E&quot;/&gt;&lt;wsp:rsid wsp:val=&quot;00B0429D&quot;/&gt;&lt;wsp:rsid wsp:val=&quot;00B0459E&quot;/&gt;&lt;wsp:rsid wsp:val=&quot;00B04624&quot;/&gt;&lt;wsp:rsid wsp:val=&quot;00B049CD&quot;/&gt;&lt;wsp:rsid wsp:val=&quot;00B053C8&quot;/&gt;&lt;wsp:rsid wsp:val=&quot;00B059B5&quot;/&gt;&lt;wsp:rsid wsp:val=&quot;00B05ACA&quot;/&gt;&lt;wsp:rsid wsp:val=&quot;00B05C3C&quot;/&gt;&lt;wsp:rsid wsp:val=&quot;00B0661A&quot;/&gt;&lt;wsp:rsid wsp:val=&quot;00B06A4C&quot;/&gt;&lt;wsp:rsid wsp:val=&quot;00B1025B&quot;/&gt;&lt;wsp:rsid wsp:val=&quot;00B10746&quot;/&gt;&lt;wsp:rsid wsp:val=&quot;00B10D53&quot;/&gt;&lt;wsp:rsid wsp:val=&quot;00B10EDA&quot;/&gt;&lt;wsp:rsid wsp:val=&quot;00B10FDE&quot;/&gt;&lt;wsp:rsid wsp:val=&quot;00B111EC&quot;/&gt;&lt;wsp:rsid wsp:val=&quot;00B118E4&quot;/&gt;&lt;wsp:rsid wsp:val=&quot;00B11BDA&quot;/&gt;&lt;wsp:rsid wsp:val=&quot;00B11D0E&quot;/&gt;&lt;wsp:rsid wsp:val=&quot;00B11DEA&quot;/&gt;&lt;wsp:rsid wsp:val=&quot;00B12042&quot;/&gt;&lt;wsp:rsid wsp:val=&quot;00B123BB&quot;/&gt;&lt;wsp:rsid wsp:val=&quot;00B12582&quot;/&gt;&lt;wsp:rsid wsp:val=&quot;00B12A30&quot;/&gt;&lt;wsp:rsid wsp:val=&quot;00B12C5B&quot;/&gt;&lt;wsp:rsid wsp:val=&quot;00B1301A&quot;/&gt;&lt;wsp:rsid wsp:val=&quot;00B13388&quot;/&gt;&lt;wsp:rsid wsp:val=&quot;00B13590&quot;/&gt;&lt;wsp:rsid wsp:val=&quot;00B135CB&quot;/&gt;&lt;wsp:rsid wsp:val=&quot;00B13F5C&quot;/&gt;&lt;wsp:rsid wsp:val=&quot;00B14295&quot;/&gt;&lt;wsp:rsid wsp:val=&quot;00B14642&quot;/&gt;&lt;wsp:rsid wsp:val=&quot;00B14840&quot;/&gt;&lt;wsp:rsid wsp:val=&quot;00B1487A&quot;/&gt;&lt;wsp:rsid wsp:val=&quot;00B14FAB&quot;/&gt;&lt;wsp:rsid wsp:val=&quot;00B152C6&quot;/&gt;&lt;wsp:rsid wsp:val=&quot;00B15386&quot;/&gt;&lt;wsp:rsid wsp:val=&quot;00B1545F&quot;/&gt;&lt;wsp:rsid wsp:val=&quot;00B158E6&quot;/&gt;&lt;wsp:rsid wsp:val=&quot;00B15AF3&quot;/&gt;&lt;wsp:rsid wsp:val=&quot;00B15C51&quot;/&gt;&lt;wsp:rsid wsp:val=&quot;00B16483&quot;/&gt;&lt;wsp:rsid wsp:val=&quot;00B16B63&quot;/&gt;&lt;wsp:rsid wsp:val=&quot;00B16EDD&quot;/&gt;&lt;wsp:rsid wsp:val=&quot;00B17244&quot;/&gt;&lt;wsp:rsid wsp:val=&quot;00B1765C&quot;/&gt;&lt;wsp:rsid wsp:val=&quot;00B176E7&quot;/&gt;&lt;wsp:rsid wsp:val=&quot;00B1784A&quot;/&gt;&lt;wsp:rsid wsp:val=&quot;00B17920&quot;/&gt;&lt;wsp:rsid wsp:val=&quot;00B17A6B&quot;/&gt;&lt;wsp:rsid wsp:val=&quot;00B17ACB&quot;/&gt;&lt;wsp:rsid wsp:val=&quot;00B2015F&quot;/&gt;&lt;wsp:rsid wsp:val=&quot;00B20FD8&quot;/&gt;&lt;wsp:rsid wsp:val=&quot;00B21567&quot;/&gt;&lt;wsp:rsid wsp:val=&quot;00B216AA&quot;/&gt;&lt;wsp:rsid wsp:val=&quot;00B2173D&quot;/&gt;&lt;wsp:rsid wsp:val=&quot;00B2178D&quot;/&gt;&lt;wsp:rsid wsp:val=&quot;00B21811&quot;/&gt;&lt;wsp:rsid wsp:val=&quot;00B2205A&quot;/&gt;&lt;wsp:rsid wsp:val=&quot;00B22165&quot;/&gt;&lt;wsp:rsid wsp:val=&quot;00B22791&quot;/&gt;&lt;wsp:rsid wsp:val=&quot;00B234D0&quot;/&gt;&lt;wsp:rsid wsp:val=&quot;00B23FC7&quot;/&gt;&lt;wsp:rsid wsp:val=&quot;00B243AF&quot;/&gt;&lt;wsp:rsid wsp:val=&quot;00B246B2&quot;/&gt;&lt;wsp:rsid wsp:val=&quot;00B246B3&quot;/&gt;&lt;wsp:rsid wsp:val=&quot;00B2470D&quot;/&gt;&lt;wsp:rsid wsp:val=&quot;00B247F7&quot;/&gt;&lt;wsp:rsid wsp:val=&quot;00B24BF6&quot;/&gt;&lt;wsp:rsid wsp:val=&quot;00B24D79&quot;/&gt;&lt;wsp:rsid wsp:val=&quot;00B24E8C&quot;/&gt;&lt;wsp:rsid wsp:val=&quot;00B25106&quot;/&gt;&lt;wsp:rsid wsp:val=&quot;00B254B4&quot;/&gt;&lt;wsp:rsid wsp:val=&quot;00B25617&quot;/&gt;&lt;wsp:rsid wsp:val=&quot;00B25802&quot;/&gt;&lt;wsp:rsid wsp:val=&quot;00B25CE5&quot;/&gt;&lt;wsp:rsid wsp:val=&quot;00B2664D&quot;/&gt;&lt;wsp:rsid wsp:val=&quot;00B2687D&quot;/&gt;&lt;wsp:rsid wsp:val=&quot;00B26C10&quot;/&gt;&lt;wsp:rsid wsp:val=&quot;00B27ABE&quot;/&gt;&lt;wsp:rsid wsp:val=&quot;00B30028&quot;/&gt;&lt;wsp:rsid wsp:val=&quot;00B30D1A&quot;/&gt;&lt;wsp:rsid wsp:val=&quot;00B311A1&quot;/&gt;&lt;wsp:rsid wsp:val=&quot;00B313ED&quot;/&gt;&lt;wsp:rsid wsp:val=&quot;00B314AA&quot;/&gt;&lt;wsp:rsid wsp:val=&quot;00B314B7&quot;/&gt;&lt;wsp:rsid wsp:val=&quot;00B316D8&quot;/&gt;&lt;wsp:rsid wsp:val=&quot;00B31AC9&quot;/&gt;&lt;wsp:rsid wsp:val=&quot;00B3239C&quot;/&gt;&lt;wsp:rsid wsp:val=&quot;00B32CB6&quot;/&gt;&lt;wsp:rsid wsp:val=&quot;00B33123&quot;/&gt;&lt;wsp:rsid wsp:val=&quot;00B33A29&quot;/&gt;&lt;wsp:rsid wsp:val=&quot;00B33A95&quot;/&gt;&lt;wsp:rsid wsp:val=&quot;00B33DB2&quot;/&gt;&lt;wsp:rsid wsp:val=&quot;00B34A49&quot;/&gt;&lt;wsp:rsid wsp:val=&quot;00B35463&quot;/&gt;&lt;wsp:rsid wsp:val=&quot;00B36272&quot;/&gt;&lt;wsp:rsid wsp:val=&quot;00B3630E&quot;/&gt;&lt;wsp:rsid wsp:val=&quot;00B36417&quot;/&gt;&lt;wsp:rsid wsp:val=&quot;00B3646A&quot;/&gt;&lt;wsp:rsid wsp:val=&quot;00B368B0&quot;/&gt;&lt;wsp:rsid wsp:val=&quot;00B36D39&quot;/&gt;&lt;wsp:rsid wsp:val=&quot;00B36E6A&quot;/&gt;&lt;wsp:rsid wsp:val=&quot;00B37236&quot;/&gt;&lt;wsp:rsid wsp:val=&quot;00B37666&quot;/&gt;&lt;wsp:rsid wsp:val=&quot;00B376E5&quot;/&gt;&lt;wsp:rsid wsp:val=&quot;00B37C1D&quot;/&gt;&lt;wsp:rsid wsp:val=&quot;00B37C54&quot;/&gt;&lt;wsp:rsid wsp:val=&quot;00B403F5&quot;/&gt;&lt;wsp:rsid wsp:val=&quot;00B404D8&quot;/&gt;&lt;wsp:rsid wsp:val=&quot;00B405E6&quot;/&gt;&lt;wsp:rsid wsp:val=&quot;00B40EF2&quot;/&gt;&lt;wsp:rsid wsp:val=&quot;00B415F8&quot;/&gt;&lt;wsp:rsid wsp:val=&quot;00B41948&quot;/&gt;&lt;wsp:rsid wsp:val=&quot;00B4310A&quot;/&gt;&lt;wsp:rsid wsp:val=&quot;00B438B2&quot;/&gt;&lt;wsp:rsid wsp:val=&quot;00B4434B&quot;/&gt;&lt;wsp:rsid wsp:val=&quot;00B4450E&quot;/&gt;&lt;wsp:rsid wsp:val=&quot;00B45869&quot;/&gt;&lt;wsp:rsid wsp:val=&quot;00B45C37&quot;/&gt;&lt;wsp:rsid wsp:val=&quot;00B45D15&quot;/&gt;&lt;wsp:rsid wsp:val=&quot;00B45D44&quot;/&gt;&lt;wsp:rsid wsp:val=&quot;00B4676F&quot;/&gt;&lt;wsp:rsid wsp:val=&quot;00B46C94&quot;/&gt;&lt;wsp:rsid wsp:val=&quot;00B4701E&quot;/&gt;&lt;wsp:rsid wsp:val=&quot;00B47113&quot;/&gt;&lt;wsp:rsid wsp:val=&quot;00B475CC&quot;/&gt;&lt;wsp:rsid wsp:val=&quot;00B476DA&quot;/&gt;&lt;wsp:rsid wsp:val=&quot;00B47835&quot;/&gt;&lt;wsp:rsid wsp:val=&quot;00B502E2&quot;/&gt;&lt;wsp:rsid wsp:val=&quot;00B50515&quot;/&gt;&lt;wsp:rsid wsp:val=&quot;00B50B7E&quot;/&gt;&lt;wsp:rsid wsp:val=&quot;00B50FB7&quot;/&gt;&lt;wsp:rsid wsp:val=&quot;00B5162D&quot;/&gt;&lt;wsp:rsid wsp:val=&quot;00B519BF&quot;/&gt;&lt;wsp:rsid wsp:val=&quot;00B51B3E&quot;/&gt;&lt;wsp:rsid wsp:val=&quot;00B527E4&quot;/&gt;&lt;wsp:rsid wsp:val=&quot;00B52AA7&quot;/&gt;&lt;wsp:rsid wsp:val=&quot;00B53127&quot;/&gt;&lt;wsp:rsid wsp:val=&quot;00B533AD&quot;/&gt;&lt;wsp:rsid wsp:val=&quot;00B5345B&quot;/&gt;&lt;wsp:rsid wsp:val=&quot;00B53610&quot;/&gt;&lt;wsp:rsid wsp:val=&quot;00B53917&quot;/&gt;&lt;wsp:rsid wsp:val=&quot;00B53A9D&quot;/&gt;&lt;wsp:rsid wsp:val=&quot;00B53E4B&quot;/&gt;&lt;wsp:rsid wsp:val=&quot;00B54888&quot;/&gt;&lt;wsp:rsid wsp:val=&quot;00B54CA4&quot;/&gt;&lt;wsp:rsid wsp:val=&quot;00B54E01&quot;/&gt;&lt;wsp:rsid wsp:val=&quot;00B55C26&quot;/&gt;&lt;wsp:rsid wsp:val=&quot;00B55E05&quot;/&gt;&lt;wsp:rsid wsp:val=&quot;00B560A0&quot;/&gt;&lt;wsp:rsid wsp:val=&quot;00B56257&quot;/&gt;&lt;wsp:rsid wsp:val=&quot;00B568F7&quot;/&gt;&lt;wsp:rsid wsp:val=&quot;00B56A8D&quot;/&gt;&lt;wsp:rsid wsp:val=&quot;00B60550&quot;/&gt;&lt;wsp:rsid wsp:val=&quot;00B60CBC&quot;/&gt;&lt;wsp:rsid wsp:val=&quot;00B60D69&quot;/&gt;&lt;wsp:rsid wsp:val=&quot;00B61E6B&quot;/&gt;&lt;wsp:rsid wsp:val=&quot;00B62B9E&quot;/&gt;&lt;wsp:rsid wsp:val=&quot;00B62CB8&quot;/&gt;&lt;wsp:rsid wsp:val=&quot;00B62FC1&quot;/&gt;&lt;wsp:rsid wsp:val=&quot;00B63250&quot;/&gt;&lt;wsp:rsid wsp:val=&quot;00B632B0&quot;/&gt;&lt;wsp:rsid wsp:val=&quot;00B633B5&quot;/&gt;&lt;wsp:rsid wsp:val=&quot;00B644BA&quot;/&gt;&lt;wsp:rsid wsp:val=&quot;00B64699&quot;/&gt;&lt;wsp:rsid wsp:val=&quot;00B64AD0&quot;/&gt;&lt;wsp:rsid wsp:val=&quot;00B654DB&quot;/&gt;&lt;wsp:rsid wsp:val=&quot;00B6567C&quot;/&gt;&lt;wsp:rsid wsp:val=&quot;00B6595A&quot;/&gt;&lt;wsp:rsid wsp:val=&quot;00B65983&quot;/&gt;&lt;wsp:rsid wsp:val=&quot;00B66027&quot;/&gt;&lt;wsp:rsid wsp:val=&quot;00B661B7&quot;/&gt;&lt;wsp:rsid wsp:val=&quot;00B665DB&quot;/&gt;&lt;wsp:rsid wsp:val=&quot;00B66A00&quot;/&gt;&lt;wsp:rsid wsp:val=&quot;00B66B45&quot;/&gt;&lt;wsp:rsid wsp:val=&quot;00B66D57&quot;/&gt;&lt;wsp:rsid wsp:val=&quot;00B66F33&quot;/&gt;&lt;wsp:rsid wsp:val=&quot;00B66F50&quot;/&gt;&lt;wsp:rsid wsp:val=&quot;00B674BE&quot;/&gt;&lt;wsp:rsid wsp:val=&quot;00B67934&quot;/&gt;&lt;wsp:rsid wsp:val=&quot;00B67A3C&quot;/&gt;&lt;wsp:rsid wsp:val=&quot;00B67B36&quot;/&gt;&lt;wsp:rsid wsp:val=&quot;00B67BB4&quot;/&gt;&lt;wsp:rsid wsp:val=&quot;00B67CCB&quot;/&gt;&lt;wsp:rsid wsp:val=&quot;00B67E7D&quot;/&gt;&lt;wsp:rsid wsp:val=&quot;00B7047A&quot;/&gt;&lt;wsp:rsid wsp:val=&quot;00B704D6&quot;/&gt;&lt;wsp:rsid wsp:val=&quot;00B70663&quot;/&gt;&lt;wsp:rsid wsp:val=&quot;00B70D8C&quot;/&gt;&lt;wsp:rsid wsp:val=&quot;00B714B7&quot;/&gt;&lt;wsp:rsid wsp:val=&quot;00B7165C&quot;/&gt;&lt;wsp:rsid wsp:val=&quot;00B71A7C&quot;/&gt;&lt;wsp:rsid wsp:val=&quot;00B71F20&quot;/&gt;&lt;wsp:rsid wsp:val=&quot;00B720F9&quot;/&gt;&lt;wsp:rsid wsp:val=&quot;00B72178&quot;/&gt;&lt;wsp:rsid wsp:val=&quot;00B72312&quot;/&gt;&lt;wsp:rsid wsp:val=&quot;00B72CE1&quot;/&gt;&lt;wsp:rsid wsp:val=&quot;00B72CE4&quot;/&gt;&lt;wsp:rsid wsp:val=&quot;00B72D49&quot;/&gt;&lt;wsp:rsid wsp:val=&quot;00B72D52&quot;/&gt;&lt;wsp:rsid wsp:val=&quot;00B73A2F&quot;/&gt;&lt;wsp:rsid wsp:val=&quot;00B73B0E&quot;/&gt;&lt;wsp:rsid wsp:val=&quot;00B740D6&quot;/&gt;&lt;wsp:rsid wsp:val=&quot;00B7428F&quot;/&gt;&lt;wsp:rsid wsp:val=&quot;00B74315&quot;/&gt;&lt;wsp:rsid wsp:val=&quot;00B743C9&quot;/&gt;&lt;wsp:rsid wsp:val=&quot;00B7478E&quot;/&gt;&lt;wsp:rsid wsp:val=&quot;00B74807&quot;/&gt;&lt;wsp:rsid wsp:val=&quot;00B74C28&quot;/&gt;&lt;wsp:rsid wsp:val=&quot;00B74C7E&quot;/&gt;&lt;wsp:rsid wsp:val=&quot;00B7513C&quot;/&gt;&lt;wsp:rsid wsp:val=&quot;00B75664&quot;/&gt;&lt;wsp:rsid wsp:val=&quot;00B75722&quot;/&gt;&lt;wsp:rsid wsp:val=&quot;00B75A57&quot;/&gt;&lt;wsp:rsid wsp:val=&quot;00B75B8C&quot;/&gt;&lt;wsp:rsid wsp:val=&quot;00B75F8C&quot;/&gt;&lt;wsp:rsid wsp:val=&quot;00B76073&quot;/&gt;&lt;wsp:rsid wsp:val=&quot;00B765A0&quot;/&gt;&lt;wsp:rsid wsp:val=&quot;00B76808&quot;/&gt;&lt;wsp:rsid wsp:val=&quot;00B76896&quot;/&gt;&lt;wsp:rsid wsp:val=&quot;00B76A0E&quot;/&gt;&lt;wsp:rsid wsp:val=&quot;00B76AD2&quot;/&gt;&lt;wsp:rsid wsp:val=&quot;00B76AFC&quot;/&gt;&lt;wsp:rsid wsp:val=&quot;00B76B23&quot;/&gt;&lt;wsp:rsid wsp:val=&quot;00B76B39&quot;/&gt;&lt;wsp:rsid wsp:val=&quot;00B76E1A&quot;/&gt;&lt;wsp:rsid wsp:val=&quot;00B771F7&quot;/&gt;&lt;wsp:rsid wsp:val=&quot;00B774C9&quot;/&gt;&lt;wsp:rsid wsp:val=&quot;00B775DA&quot;/&gt;&lt;wsp:rsid wsp:val=&quot;00B77690&quot;/&gt;&lt;wsp:rsid wsp:val=&quot;00B777DD&quot;/&gt;&lt;wsp:rsid wsp:val=&quot;00B77C38&quot;/&gt;&lt;wsp:rsid wsp:val=&quot;00B77D87&quot;/&gt;&lt;wsp:rsid wsp:val=&quot;00B8000A&quot;/&gt;&lt;wsp:rsid wsp:val=&quot;00B80593&quot;/&gt;&lt;wsp:rsid wsp:val=&quot;00B809AB&quot;/&gt;&lt;wsp:rsid wsp:val=&quot;00B80DC7&quot;/&gt;&lt;wsp:rsid wsp:val=&quot;00B8103A&quot;/&gt;&lt;wsp:rsid wsp:val=&quot;00B81139&quot;/&gt;&lt;wsp:rsid wsp:val=&quot;00B81228&quot;/&gt;&lt;wsp:rsid wsp:val=&quot;00B81296&quot;/&gt;&lt;wsp:rsid wsp:val=&quot;00B812B9&quot;/&gt;&lt;wsp:rsid wsp:val=&quot;00B81B00&quot;/&gt;&lt;wsp:rsid wsp:val=&quot;00B826AE&quot;/&gt;&lt;wsp:rsid wsp:val=&quot;00B83ACE&quot;/&gt;&lt;wsp:rsid wsp:val=&quot;00B83B45&quot;/&gt;&lt;wsp:rsid wsp:val=&quot;00B83CCF&quot;/&gt;&lt;wsp:rsid wsp:val=&quot;00B83D5A&quot;/&gt;&lt;wsp:rsid wsp:val=&quot;00B83D74&quot;/&gt;&lt;wsp:rsid wsp:val=&quot;00B84101&quot;/&gt;&lt;wsp:rsid wsp:val=&quot;00B84460&quot;/&gt;&lt;wsp:rsid wsp:val=&quot;00B85085&quot;/&gt;&lt;wsp:rsid wsp:val=&quot;00B8529C&quot;/&gt;&lt;wsp:rsid wsp:val=&quot;00B8611C&quot;/&gt;&lt;wsp:rsid wsp:val=&quot;00B8673B&quot;/&gt;&lt;wsp:rsid wsp:val=&quot;00B86B94&quot;/&gt;&lt;wsp:rsid wsp:val=&quot;00B8725C&quot;/&gt;&lt;wsp:rsid wsp:val=&quot;00B876D5&quot;/&gt;&lt;wsp:rsid wsp:val=&quot;00B87860&quot;/&gt;&lt;wsp:rsid wsp:val=&quot;00B87EE9&quot;/&gt;&lt;wsp:rsid wsp:val=&quot;00B90E1E&quot;/&gt;&lt;wsp:rsid wsp:val=&quot;00B915B1&quot;/&gt;&lt;wsp:rsid wsp:val=&quot;00B916E9&quot;/&gt;&lt;wsp:rsid wsp:val=&quot;00B91A1D&quot;/&gt;&lt;wsp:rsid wsp:val=&quot;00B91A6F&quot;/&gt;&lt;wsp:rsid wsp:val=&quot;00B91AF1&quot;/&gt;&lt;wsp:rsid wsp:val=&quot;00B91C22&quot;/&gt;&lt;wsp:rsid wsp:val=&quot;00B91EB7&quot;/&gt;&lt;wsp:rsid wsp:val=&quot;00B9234D&quot;/&gt;&lt;wsp:rsid wsp:val=&quot;00B92A9A&quot;/&gt;&lt;wsp:rsid wsp:val=&quot;00B92B5B&quot;/&gt;&lt;wsp:rsid wsp:val=&quot;00B932CC&quot;/&gt;&lt;wsp:rsid wsp:val=&quot;00B934CF&quot;/&gt;&lt;wsp:rsid wsp:val=&quot;00B935CA&quot;/&gt;&lt;wsp:rsid wsp:val=&quot;00B93F4A&quot;/&gt;&lt;wsp:rsid wsp:val=&quot;00B9549B&quot;/&gt;&lt;wsp:rsid wsp:val=&quot;00B95BFB&quot;/&gt;&lt;wsp:rsid wsp:val=&quot;00B95F24&quot;/&gt;&lt;wsp:rsid wsp:val=&quot;00B9645F&quot;/&gt;&lt;wsp:rsid wsp:val=&quot;00B9665D&quot;/&gt;&lt;wsp:rsid wsp:val=&quot;00B96D14&quot;/&gt;&lt;wsp:rsid wsp:val=&quot;00B96E95&quot;/&gt;&lt;wsp:rsid wsp:val=&quot;00B96F34&quot;/&gt;&lt;wsp:rsid wsp:val=&quot;00B96FA9&quot;/&gt;&lt;wsp:rsid wsp:val=&quot;00B97054&quot;/&gt;&lt;wsp:rsid wsp:val=&quot;00B97342&quot;/&gt;&lt;wsp:rsid wsp:val=&quot;00B97F22&quot;/&gt;&lt;wsp:rsid wsp:val=&quot;00BA04A1&quot;/&gt;&lt;wsp:rsid wsp:val=&quot;00BA066E&quot;/&gt;&lt;wsp:rsid wsp:val=&quot;00BA18C6&quot;/&gt;&lt;wsp:rsid wsp:val=&quot;00BA1AF7&quot;/&gt;&lt;wsp:rsid wsp:val=&quot;00BA1FC0&quot;/&gt;&lt;wsp:rsid wsp:val=&quot;00BA20BF&quot;/&gt;&lt;wsp:rsid wsp:val=&quot;00BA2174&quot;/&gt;&lt;wsp:rsid wsp:val=&quot;00BA234F&quot;/&gt;&lt;wsp:rsid wsp:val=&quot;00BA2B73&quot;/&gt;&lt;wsp:rsid wsp:val=&quot;00BA2C33&quot;/&gt;&lt;wsp:rsid wsp:val=&quot;00BA2EC9&quot;/&gt;&lt;wsp:rsid wsp:val=&quot;00BA2FAE&quot;/&gt;&lt;wsp:rsid wsp:val=&quot;00BA304C&quot;/&gt;&lt;wsp:rsid wsp:val=&quot;00BA3105&quot;/&gt;&lt;wsp:rsid wsp:val=&quot;00BA3A41&quot;/&gt;&lt;wsp:rsid wsp:val=&quot;00BA3CD8&quot;/&gt;&lt;wsp:rsid wsp:val=&quot;00BA4098&quot;/&gt;&lt;wsp:rsid wsp:val=&quot;00BA476C&quot;/&gt;&lt;wsp:rsid wsp:val=&quot;00BA4D43&quot;/&gt;&lt;wsp:rsid wsp:val=&quot;00BA4E24&quot;/&gt;&lt;wsp:rsid wsp:val=&quot;00BA4F8B&quot;/&gt;&lt;wsp:rsid wsp:val=&quot;00BA5116&quot;/&gt;&lt;wsp:rsid wsp:val=&quot;00BA5155&quot;/&gt;&lt;wsp:rsid wsp:val=&quot;00BA5458&quot;/&gt;&lt;wsp:rsid wsp:val=&quot;00BA56BC&quot;/&gt;&lt;wsp:rsid wsp:val=&quot;00BA5A5D&quot;/&gt;&lt;wsp:rsid wsp:val=&quot;00BA5C5E&quot;/&gt;&lt;wsp:rsid wsp:val=&quot;00BA5D0E&quot;/&gt;&lt;wsp:rsid wsp:val=&quot;00BA603C&quot;/&gt;&lt;wsp:rsid wsp:val=&quot;00BA6350&quot;/&gt;&lt;wsp:rsid wsp:val=&quot;00BA63F7&quot;/&gt;&lt;wsp:rsid wsp:val=&quot;00BA6B89&quot;/&gt;&lt;wsp:rsid wsp:val=&quot;00BA6C47&quot;/&gt;&lt;wsp:rsid wsp:val=&quot;00BA7280&quot;/&gt;&lt;wsp:rsid wsp:val=&quot;00BA796A&quot;/&gt;&lt;wsp:rsid wsp:val=&quot;00BA7C8D&quot;/&gt;&lt;wsp:rsid wsp:val=&quot;00BB03D2&quot;/&gt;&lt;wsp:rsid wsp:val=&quot;00BB080E&quot;/&gt;&lt;wsp:rsid wsp:val=&quot;00BB09B0&quot;/&gt;&lt;wsp:rsid wsp:val=&quot;00BB1216&quot;/&gt;&lt;wsp:rsid wsp:val=&quot;00BB1400&quot;/&gt;&lt;wsp:rsid wsp:val=&quot;00BB14E3&quot;/&gt;&lt;wsp:rsid wsp:val=&quot;00BB162A&quot;/&gt;&lt;wsp:rsid wsp:val=&quot;00BB16B6&quot;/&gt;&lt;wsp:rsid wsp:val=&quot;00BB1923&quot;/&gt;&lt;wsp:rsid wsp:val=&quot;00BB1A20&quot;/&gt;&lt;wsp:rsid wsp:val=&quot;00BB1EDF&quot;/&gt;&lt;wsp:rsid wsp:val=&quot;00BB20CC&quot;/&gt;&lt;wsp:rsid wsp:val=&quot;00BB223B&quot;/&gt;&lt;wsp:rsid wsp:val=&quot;00BB24DC&quot;/&gt;&lt;wsp:rsid wsp:val=&quot;00BB255F&quot;/&gt;&lt;wsp:rsid wsp:val=&quot;00BB2D20&quot;/&gt;&lt;wsp:rsid wsp:val=&quot;00BB2F0E&quot;/&gt;&lt;wsp:rsid wsp:val=&quot;00BB319F&quot;/&gt;&lt;wsp:rsid wsp:val=&quot;00BB37CC&quot;/&gt;&lt;wsp:rsid wsp:val=&quot;00BB41F7&quot;/&gt;&lt;wsp:rsid wsp:val=&quot;00BB43DD&quot;/&gt;&lt;wsp:rsid wsp:val=&quot;00BB4859&quot;/&gt;&lt;wsp:rsid wsp:val=&quot;00BB4AA3&quot;/&gt;&lt;wsp:rsid wsp:val=&quot;00BB4D3A&quot;/&gt;&lt;wsp:rsid wsp:val=&quot;00BB4E42&quot;/&gt;&lt;wsp:rsid wsp:val=&quot;00BB5679&quot;/&gt;&lt;wsp:rsid wsp:val=&quot;00BB6B06&quot;/&gt;&lt;wsp:rsid wsp:val=&quot;00BB6DBF&quot;/&gt;&lt;wsp:rsid wsp:val=&quot;00BB76F3&quot;/&gt;&lt;wsp:rsid wsp:val=&quot;00BB77F1&quot;/&gt;&lt;wsp:rsid wsp:val=&quot;00BB78BF&quot;/&gt;&lt;wsp:rsid wsp:val=&quot;00BC007B&quot;/&gt;&lt;wsp:rsid wsp:val=&quot;00BC0266&quot;/&gt;&lt;wsp:rsid wsp:val=&quot;00BC05B6&quot;/&gt;&lt;wsp:rsid wsp:val=&quot;00BC0B08&quot;/&gt;&lt;wsp:rsid wsp:val=&quot;00BC0E1C&quot;/&gt;&lt;wsp:rsid wsp:val=&quot;00BC0F6D&quot;/&gt;&lt;wsp:rsid wsp:val=&quot;00BC108B&quot;/&gt;&lt;wsp:rsid wsp:val=&quot;00BC1219&quot;/&gt;&lt;wsp:rsid wsp:val=&quot;00BC153B&quot;/&gt;&lt;wsp:rsid wsp:val=&quot;00BC1915&quot;/&gt;&lt;wsp:rsid wsp:val=&quot;00BC1967&quot;/&gt;&lt;wsp:rsid wsp:val=&quot;00BC1D77&quot;/&gt;&lt;wsp:rsid wsp:val=&quot;00BC1DA7&quot;/&gt;&lt;wsp:rsid wsp:val=&quot;00BC2213&quot;/&gt;&lt;wsp:rsid wsp:val=&quot;00BC242A&quot;/&gt;&lt;wsp:rsid wsp:val=&quot;00BC2461&quot;/&gt;&lt;wsp:rsid wsp:val=&quot;00BC2778&quot;/&gt;&lt;wsp:rsid wsp:val=&quot;00BC27F3&quot;/&gt;&lt;wsp:rsid wsp:val=&quot;00BC2AA5&quot;/&gt;&lt;wsp:rsid wsp:val=&quot;00BC2C03&quot;/&gt;&lt;wsp:rsid wsp:val=&quot;00BC2FA2&quot;/&gt;&lt;wsp:rsid wsp:val=&quot;00BC3052&quot;/&gt;&lt;wsp:rsid wsp:val=&quot;00BC3270&quot;/&gt;&lt;wsp:rsid wsp:val=&quot;00BC349B&quot;/&gt;&lt;wsp:rsid wsp:val=&quot;00BC38B9&quot;/&gt;&lt;wsp:rsid wsp:val=&quot;00BC3CE9&quot;/&gt;&lt;wsp:rsid wsp:val=&quot;00BC3D31&quot;/&gt;&lt;wsp:rsid wsp:val=&quot;00BC3D3E&quot;/&gt;&lt;wsp:rsid wsp:val=&quot;00BC3FAC&quot;/&gt;&lt;wsp:rsid wsp:val=&quot;00BC466F&quot;/&gt;&lt;wsp:rsid wsp:val=&quot;00BC467E&quot;/&gt;&lt;wsp:rsid wsp:val=&quot;00BC479C&quot;/&gt;&lt;wsp:rsid wsp:val=&quot;00BC4A75&quot;/&gt;&lt;wsp:rsid wsp:val=&quot;00BC4ADF&quot;/&gt;&lt;wsp:rsid wsp:val=&quot;00BC4B36&quot;/&gt;&lt;wsp:rsid wsp:val=&quot;00BC4B47&quot;/&gt;&lt;wsp:rsid wsp:val=&quot;00BC4BD2&quot;/&gt;&lt;wsp:rsid wsp:val=&quot;00BC4ECE&quot;/&gt;&lt;wsp:rsid wsp:val=&quot;00BC639E&quot;/&gt;&lt;wsp:rsid wsp:val=&quot;00BC6449&quot;/&gt;&lt;wsp:rsid wsp:val=&quot;00BC6710&quot;/&gt;&lt;wsp:rsid wsp:val=&quot;00BC6CA2&quot;/&gt;&lt;wsp:rsid wsp:val=&quot;00BC6E88&quot;/&gt;&lt;wsp:rsid wsp:val=&quot;00BC6F0D&quot;/&gt;&lt;wsp:rsid wsp:val=&quot;00BC727B&quot;/&gt;&lt;wsp:rsid wsp:val=&quot;00BC74CF&quot;/&gt;&lt;wsp:rsid wsp:val=&quot;00BC7B41&quot;/&gt;&lt;wsp:rsid wsp:val=&quot;00BD0015&quot;/&gt;&lt;wsp:rsid wsp:val=&quot;00BD0540&quot;/&gt;&lt;wsp:rsid wsp:val=&quot;00BD0870&quot;/&gt;&lt;wsp:rsid wsp:val=&quot;00BD12A6&quot;/&gt;&lt;wsp:rsid wsp:val=&quot;00BD1A45&quot;/&gt;&lt;wsp:rsid wsp:val=&quot;00BD1D40&quot;/&gt;&lt;wsp:rsid wsp:val=&quot;00BD2076&quot;/&gt;&lt;wsp:rsid wsp:val=&quot;00BD23C8&quot;/&gt;&lt;wsp:rsid wsp:val=&quot;00BD2634&quot;/&gt;&lt;wsp:rsid wsp:val=&quot;00BD3163&quot;/&gt;&lt;wsp:rsid wsp:val=&quot;00BD37A1&quot;/&gt;&lt;wsp:rsid wsp:val=&quot;00BD38B2&quot;/&gt;&lt;wsp:rsid wsp:val=&quot;00BD3AC2&quot;/&gt;&lt;wsp:rsid wsp:val=&quot;00BD3FCB&quot;/&gt;&lt;wsp:rsid wsp:val=&quot;00BD553D&quot;/&gt;&lt;wsp:rsid wsp:val=&quot;00BD5599&quot;/&gt;&lt;wsp:rsid wsp:val=&quot;00BD5629&quot;/&gt;&lt;wsp:rsid wsp:val=&quot;00BD5756&quot;/&gt;&lt;wsp:rsid wsp:val=&quot;00BD59D8&quot;/&gt;&lt;wsp:rsid wsp:val=&quot;00BD5AEB&quot;/&gt;&lt;wsp:rsid wsp:val=&quot;00BD6397&quot;/&gt;&lt;wsp:rsid wsp:val=&quot;00BD64C9&quot;/&gt;&lt;wsp:rsid wsp:val=&quot;00BD65C1&quot;/&gt;&lt;wsp:rsid wsp:val=&quot;00BD70C7&quot;/&gt;&lt;wsp:rsid wsp:val=&quot;00BD7465&quot;/&gt;&lt;wsp:rsid wsp:val=&quot;00BE039F&quot;/&gt;&lt;wsp:rsid wsp:val=&quot;00BE08A6&quot;/&gt;&lt;wsp:rsid wsp:val=&quot;00BE0B35&quot;/&gt;&lt;wsp:rsid wsp:val=&quot;00BE1452&quot;/&gt;&lt;wsp:rsid wsp:val=&quot;00BE18B6&quot;/&gt;&lt;wsp:rsid wsp:val=&quot;00BE1EDD&quot;/&gt;&lt;wsp:rsid wsp:val=&quot;00BE2385&quot;/&gt;&lt;wsp:rsid wsp:val=&quot;00BE24B5&quot;/&gt;&lt;wsp:rsid wsp:val=&quot;00BE2504&quot;/&gt;&lt;wsp:rsid wsp:val=&quot;00BE2820&quot;/&gt;&lt;wsp:rsid wsp:val=&quot;00BE2A67&quot;/&gt;&lt;wsp:rsid wsp:val=&quot;00BE2BCB&quot;/&gt;&lt;wsp:rsid wsp:val=&quot;00BE30D3&quot;/&gt;&lt;wsp:rsid wsp:val=&quot;00BE31F6&quot;/&gt;&lt;wsp:rsid wsp:val=&quot;00BE362D&quot;/&gt;&lt;wsp:rsid wsp:val=&quot;00BE3875&quot;/&gt;&lt;wsp:rsid wsp:val=&quot;00BE3965&quot;/&gt;&lt;wsp:rsid wsp:val=&quot;00BE3B59&quot;/&gt;&lt;wsp:rsid wsp:val=&quot;00BE42CF&quot;/&gt;&lt;wsp:rsid wsp:val=&quot;00BE459F&quot;/&gt;&lt;wsp:rsid wsp:val=&quot;00BE51CB&quot;/&gt;&lt;wsp:rsid wsp:val=&quot;00BE521E&quot;/&gt;&lt;wsp:rsid wsp:val=&quot;00BE64AE&quot;/&gt;&lt;wsp:rsid wsp:val=&quot;00BE66FD&quot;/&gt;&lt;wsp:rsid wsp:val=&quot;00BE6D8D&quot;/&gt;&lt;wsp:rsid wsp:val=&quot;00BE7007&quot;/&gt;&lt;wsp:rsid wsp:val=&quot;00BE722E&quot;/&gt;&lt;wsp:rsid wsp:val=&quot;00BE77C9&quot;/&gt;&lt;wsp:rsid wsp:val=&quot;00BE77DE&quot;/&gt;&lt;wsp:rsid wsp:val=&quot;00BE7C18&quot;/&gt;&lt;wsp:rsid wsp:val=&quot;00BE7D3A&quot;/&gt;&lt;wsp:rsid wsp:val=&quot;00BE7F77&quot;/&gt;&lt;wsp:rsid wsp:val=&quot;00BF04CF&quot;/&gt;&lt;wsp:rsid wsp:val=&quot;00BF058C&quot;/&gt;&lt;wsp:rsid wsp:val=&quot;00BF05CA&quot;/&gt;&lt;wsp:rsid wsp:val=&quot;00BF0783&quot;/&gt;&lt;wsp:rsid wsp:val=&quot;00BF0936&quot;/&gt;&lt;wsp:rsid wsp:val=&quot;00BF0BA1&quot;/&gt;&lt;wsp:rsid wsp:val=&quot;00BF1733&quot;/&gt;&lt;wsp:rsid wsp:val=&quot;00BF1822&quot;/&gt;&lt;wsp:rsid wsp:val=&quot;00BF19D6&quot;/&gt;&lt;wsp:rsid wsp:val=&quot;00BF2711&quot;/&gt;&lt;wsp:rsid wsp:val=&quot;00BF2D6E&quot;/&gt;&lt;wsp:rsid wsp:val=&quot;00BF3091&quot;/&gt;&lt;wsp:rsid wsp:val=&quot;00BF31E9&quot;/&gt;&lt;wsp:rsid wsp:val=&quot;00BF332C&quot;/&gt;&lt;wsp:rsid wsp:val=&quot;00BF3346&quot;/&gt;&lt;wsp:rsid wsp:val=&quot;00BF3441&quot;/&gt;&lt;wsp:rsid wsp:val=&quot;00BF42EC&quot;/&gt;&lt;wsp:rsid wsp:val=&quot;00BF4C4E&quot;/&gt;&lt;wsp:rsid wsp:val=&quot;00BF4D22&quot;/&gt;&lt;wsp:rsid wsp:val=&quot;00BF502F&quot;/&gt;&lt;wsp:rsid wsp:val=&quot;00BF58BC&quot;/&gt;&lt;wsp:rsid wsp:val=&quot;00BF5C29&quot;/&gt;&lt;wsp:rsid wsp:val=&quot;00BF5FE5&quot;/&gt;&lt;wsp:rsid wsp:val=&quot;00BF60DE&quot;/&gt;&lt;wsp:rsid wsp:val=&quot;00BF6167&quot;/&gt;&lt;wsp:rsid wsp:val=&quot;00BF6432&quot;/&gt;&lt;wsp:rsid wsp:val=&quot;00BF6512&quot;/&gt;&lt;wsp:rsid wsp:val=&quot;00BF68F1&quot;/&gt;&lt;wsp:rsid wsp:val=&quot;00BF7681&quot;/&gt;&lt;wsp:rsid wsp:val=&quot;00BF79FE&quot;/&gt;&lt;wsp:rsid wsp:val=&quot;00BF7B02&quot;/&gt;&lt;wsp:rsid wsp:val=&quot;00BF7BEC&quot;/&gt;&lt;wsp:rsid wsp:val=&quot;00BF7CF9&quot;/&gt;&lt;wsp:rsid wsp:val=&quot;00BF7D70&quot;/&gt;&lt;wsp:rsid wsp:val=&quot;00C00022&quot;/&gt;&lt;wsp:rsid wsp:val=&quot;00C00413&quot;/&gt;&lt;wsp:rsid wsp:val=&quot;00C005B5&quot;/&gt;&lt;wsp:rsid wsp:val=&quot;00C0092B&quot;/&gt;&lt;wsp:rsid wsp:val=&quot;00C014E4&quot;/&gt;&lt;wsp:rsid wsp:val=&quot;00C01536&quot;/&gt;&lt;wsp:rsid wsp:val=&quot;00C015C7&quot;/&gt;&lt;wsp:rsid wsp:val=&quot;00C01A2D&quot;/&gt;&lt;wsp:rsid wsp:val=&quot;00C02275&quot;/&gt;&lt;wsp:rsid wsp:val=&quot;00C027BB&quot;/&gt;&lt;wsp:rsid wsp:val=&quot;00C02A1C&quot;/&gt;&lt;wsp:rsid wsp:val=&quot;00C02CF7&quot;/&gt;&lt;wsp:rsid wsp:val=&quot;00C02ECB&quot;/&gt;&lt;wsp:rsid wsp:val=&quot;00C03220&quot;/&gt;&lt;wsp:rsid wsp:val=&quot;00C0403C&quot;/&gt;&lt;wsp:rsid wsp:val=&quot;00C040FB&quot;/&gt;&lt;wsp:rsid wsp:val=&quot;00C047AA&quot;/&gt;&lt;wsp:rsid wsp:val=&quot;00C047AF&quot;/&gt;&lt;wsp:rsid wsp:val=&quot;00C047CD&quot;/&gt;&lt;wsp:rsid wsp:val=&quot;00C04DF7&quot;/&gt;&lt;wsp:rsid wsp:val=&quot;00C05197&quot;/&gt;&lt;wsp:rsid wsp:val=&quot;00C05220&quot;/&gt;&lt;wsp:rsid wsp:val=&quot;00C053DF&quot;/&gt;&lt;wsp:rsid wsp:val=&quot;00C058E5&quot;/&gt;&lt;wsp:rsid wsp:val=&quot;00C05BDF&quot;/&gt;&lt;wsp:rsid wsp:val=&quot;00C05F9A&quot;/&gt;&lt;wsp:rsid wsp:val=&quot;00C06033&quot;/&gt;&lt;wsp:rsid wsp:val=&quot;00C06137&quot;/&gt;&lt;wsp:rsid wsp:val=&quot;00C06D8D&quot;/&gt;&lt;wsp:rsid wsp:val=&quot;00C07332&quot;/&gt;&lt;wsp:rsid wsp:val=&quot;00C07426&quot;/&gt;&lt;wsp:rsid wsp:val=&quot;00C07851&quot;/&gt;&lt;wsp:rsid wsp:val=&quot;00C07FEA&quot;/&gt;&lt;wsp:rsid wsp:val=&quot;00C1007C&quot;/&gt;&lt;wsp:rsid wsp:val=&quot;00C10AE1&quot;/&gt;&lt;wsp:rsid wsp:val=&quot;00C11046&quot;/&gt;&lt;wsp:rsid wsp:val=&quot;00C111A8&quot;/&gt;&lt;wsp:rsid wsp:val=&quot;00C11762&quot;/&gt;&lt;wsp:rsid wsp:val=&quot;00C1197F&quot;/&gt;&lt;wsp:rsid wsp:val=&quot;00C11A26&quot;/&gt;&lt;wsp:rsid wsp:val=&quot;00C11E64&quot;/&gt;&lt;wsp:rsid wsp:val=&quot;00C122CE&quot;/&gt;&lt;wsp:rsid wsp:val=&quot;00C123A3&quot;/&gt;&lt;wsp:rsid wsp:val=&quot;00C1278C&quot;/&gt;&lt;wsp:rsid wsp:val=&quot;00C127EE&quot;/&gt;&lt;wsp:rsid wsp:val=&quot;00C1296B&quot;/&gt;&lt;wsp:rsid wsp:val=&quot;00C12D60&quot;/&gt;&lt;wsp:rsid wsp:val=&quot;00C131FD&quot;/&gt;&lt;wsp:rsid wsp:val=&quot;00C1332B&quot;/&gt;&lt;wsp:rsid wsp:val=&quot;00C136C0&quot;/&gt;&lt;wsp:rsid wsp:val=&quot;00C13A76&quot;/&gt;&lt;wsp:rsid wsp:val=&quot;00C148B6&quot;/&gt;&lt;wsp:rsid wsp:val=&quot;00C14CE9&quot;/&gt;&lt;wsp:rsid wsp:val=&quot;00C14E66&quot;/&gt;&lt;wsp:rsid wsp:val=&quot;00C14FFA&quot;/&gt;&lt;wsp:rsid wsp:val=&quot;00C1532F&quot;/&gt;&lt;wsp:rsid wsp:val=&quot;00C1560E&quot;/&gt;&lt;wsp:rsid wsp:val=&quot;00C15CB0&quot;/&gt;&lt;wsp:rsid wsp:val=&quot;00C15D40&quot;/&gt;&lt;wsp:rsid wsp:val=&quot;00C161E0&quot;/&gt;&lt;wsp:rsid wsp:val=&quot;00C164EA&quot;/&gt;&lt;wsp:rsid wsp:val=&quot;00C16693&quot;/&gt;&lt;wsp:rsid wsp:val=&quot;00C16790&quot;/&gt;&lt;wsp:rsid wsp:val=&quot;00C16C13&quot;/&gt;&lt;wsp:rsid wsp:val=&quot;00C16E2F&quot;/&gt;&lt;wsp:rsid wsp:val=&quot;00C17058&quot;/&gt;&lt;wsp:rsid wsp:val=&quot;00C17066&quot;/&gt;&lt;wsp:rsid wsp:val=&quot;00C17151&quot;/&gt;&lt;wsp:rsid wsp:val=&quot;00C17B40&quot;/&gt;&lt;wsp:rsid wsp:val=&quot;00C202AD&quot;/&gt;&lt;wsp:rsid wsp:val=&quot;00C20434&quot;/&gt;&lt;wsp:rsid wsp:val=&quot;00C20674&quot;/&gt;&lt;wsp:rsid wsp:val=&quot;00C2086E&quot;/&gt;&lt;wsp:rsid wsp:val=&quot;00C21002&quot;/&gt;&lt;wsp:rsid wsp:val=&quot;00C21547&quot;/&gt;&lt;wsp:rsid wsp:val=&quot;00C21C64&quot;/&gt;&lt;wsp:rsid wsp:val=&quot;00C22762&quot;/&gt;&lt;wsp:rsid wsp:val=&quot;00C23754&quot;/&gt;&lt;wsp:rsid wsp:val=&quot;00C237B8&quot;/&gt;&lt;wsp:rsid wsp:val=&quot;00C239E4&quot;/&gt;&lt;wsp:rsid wsp:val=&quot;00C239EA&quot;/&gt;&lt;wsp:rsid wsp:val=&quot;00C23ADC&quot;/&gt;&lt;wsp:rsid wsp:val=&quot;00C23EA9&quot;/&gt;&lt;wsp:rsid wsp:val=&quot;00C24276&quot;/&gt;&lt;wsp:rsid wsp:val=&quot;00C2451C&quot;/&gt;&lt;wsp:rsid wsp:val=&quot;00C246E2&quot;/&gt;&lt;wsp:rsid wsp:val=&quot;00C25292&quot;/&gt;&lt;wsp:rsid wsp:val=&quot;00C2581E&quot;/&gt;&lt;wsp:rsid wsp:val=&quot;00C25A00&quot;/&gt;&lt;wsp:rsid wsp:val=&quot;00C25CA4&quot;/&gt;&lt;wsp:rsid wsp:val=&quot;00C2601E&quot;/&gt;&lt;wsp:rsid wsp:val=&quot;00C261C6&quot;/&gt;&lt;wsp:rsid wsp:val=&quot;00C26976&quot;/&gt;&lt;wsp:rsid wsp:val=&quot;00C26C18&quot;/&gt;&lt;wsp:rsid wsp:val=&quot;00C27907&quot;/&gt;&lt;wsp:rsid wsp:val=&quot;00C27FD0&quot;/&gt;&lt;wsp:rsid wsp:val=&quot;00C301CE&quot;/&gt;&lt;wsp:rsid wsp:val=&quot;00C31126&quot;/&gt;&lt;wsp:rsid wsp:val=&quot;00C31A91&quot;/&gt;&lt;wsp:rsid wsp:val=&quot;00C31B47&quot;/&gt;&lt;wsp:rsid wsp:val=&quot;00C31BC9&quot;/&gt;&lt;wsp:rsid wsp:val=&quot;00C31E95&quot;/&gt;&lt;wsp:rsid wsp:val=&quot;00C3259F&quot;/&gt;&lt;wsp:rsid wsp:val=&quot;00C32F10&quot;/&gt;&lt;wsp:rsid wsp:val=&quot;00C33205&quot;/&gt;&lt;wsp:rsid wsp:val=&quot;00C33A96&quot;/&gt;&lt;wsp:rsid wsp:val=&quot;00C33B6D&quot;/&gt;&lt;wsp:rsid wsp:val=&quot;00C33DE0&quot;/&gt;&lt;wsp:rsid wsp:val=&quot;00C344B1&quot;/&gt;&lt;wsp:rsid wsp:val=&quot;00C345F6&quot;/&gt;&lt;wsp:rsid wsp:val=&quot;00C35004&quot;/&gt;&lt;wsp:rsid wsp:val=&quot;00C351EC&quot;/&gt;&lt;wsp:rsid wsp:val=&quot;00C357D0&quot;/&gt;&lt;wsp:rsid wsp:val=&quot;00C35EE3&quot;/&gt;&lt;wsp:rsid wsp:val=&quot;00C3621A&quot;/&gt;&lt;wsp:rsid wsp:val=&quot;00C363D4&quot;/&gt;&lt;wsp:rsid wsp:val=&quot;00C3664D&quot;/&gt;&lt;wsp:rsid wsp:val=&quot;00C36741&quot;/&gt;&lt;wsp:rsid wsp:val=&quot;00C3744F&quot;/&gt;&lt;wsp:rsid wsp:val=&quot;00C37831&quot;/&gt;&lt;wsp:rsid wsp:val=&quot;00C401F2&quot;/&gt;&lt;wsp:rsid wsp:val=&quot;00C40221&quot;/&gt;&lt;wsp:rsid wsp:val=&quot;00C40327&quot;/&gt;&lt;wsp:rsid wsp:val=&quot;00C40594&quot;/&gt;&lt;wsp:rsid wsp:val=&quot;00C40629&quot;/&gt;&lt;wsp:rsid wsp:val=&quot;00C406C2&quot;/&gt;&lt;wsp:rsid wsp:val=&quot;00C406FF&quot;/&gt;&lt;wsp:rsid wsp:val=&quot;00C407FA&quot;/&gt;&lt;wsp:rsid wsp:val=&quot;00C40CA8&quot;/&gt;&lt;wsp:rsid wsp:val=&quot;00C40EB9&quot;/&gt;&lt;wsp:rsid wsp:val=&quot;00C410BC&quot;/&gt;&lt;wsp:rsid wsp:val=&quot;00C418AA&quot;/&gt;&lt;wsp:rsid wsp:val=&quot;00C421D5&quot;/&gt;&lt;wsp:rsid wsp:val=&quot;00C422D0&quot;/&gt;&lt;wsp:rsid wsp:val=&quot;00C4233C&quot;/&gt;&lt;wsp:rsid wsp:val=&quot;00C42B75&quot;/&gt;&lt;wsp:rsid wsp:val=&quot;00C434C4&quot;/&gt;&lt;wsp:rsid wsp:val=&quot;00C438E1&quot;/&gt;&lt;wsp:rsid wsp:val=&quot;00C43C46&quot;/&gt;&lt;wsp:rsid wsp:val=&quot;00C43CC5&quot;/&gt;&lt;wsp:rsid wsp:val=&quot;00C43CEA&quot;/&gt;&lt;wsp:rsid wsp:val=&quot;00C4407E&quot;/&gt;&lt;wsp:rsid wsp:val=&quot;00C44A80&quot;/&gt;&lt;wsp:rsid wsp:val=&quot;00C44DC6&quot;/&gt;&lt;wsp:rsid wsp:val=&quot;00C44E9D&quot;/&gt;&lt;wsp:rsid wsp:val=&quot;00C45B14&quot;/&gt;&lt;wsp:rsid wsp:val=&quot;00C45C95&quot;/&gt;&lt;wsp:rsid wsp:val=&quot;00C4619B&quot;/&gt;&lt;wsp:rsid wsp:val=&quot;00C46375&quot;/&gt;&lt;wsp:rsid wsp:val=&quot;00C46B4A&quot;/&gt;&lt;wsp:rsid wsp:val=&quot;00C4748B&quot;/&gt;&lt;wsp:rsid wsp:val=&quot;00C474EA&quot;/&gt;&lt;wsp:rsid wsp:val=&quot;00C47B60&quot;/&gt;&lt;wsp:rsid wsp:val=&quot;00C47DBB&quot;/&gt;&lt;wsp:rsid wsp:val=&quot;00C500BE&quot;/&gt;&lt;wsp:rsid wsp:val=&quot;00C50A50&quot;/&gt;&lt;wsp:rsid wsp:val=&quot;00C50C0C&quot;/&gt;&lt;wsp:rsid wsp:val=&quot;00C51232&quot;/&gt;&lt;wsp:rsid wsp:val=&quot;00C5157D&quot;/&gt;&lt;wsp:rsid wsp:val=&quot;00C51E08&quot;/&gt;&lt;wsp:rsid wsp:val=&quot;00C51E83&quot;/&gt;&lt;wsp:rsid wsp:val=&quot;00C5266B&quot;/&gt;&lt;wsp:rsid wsp:val=&quot;00C52B54&quot;/&gt;&lt;wsp:rsid wsp:val=&quot;00C52DBA&quot;/&gt;&lt;wsp:rsid wsp:val=&quot;00C52E4C&quot;/&gt;&lt;wsp:rsid wsp:val=&quot;00C52F5A&quot;/&gt;&lt;wsp:rsid wsp:val=&quot;00C5317C&quot;/&gt;&lt;wsp:rsid wsp:val=&quot;00C532C7&quot;/&gt;&lt;wsp:rsid wsp:val=&quot;00C53463&quot;/&gt;&lt;wsp:rsid wsp:val=&quot;00C53A81&quot;/&gt;&lt;wsp:rsid wsp:val=&quot;00C54358&quot;/&gt;&lt;wsp:rsid wsp:val=&quot;00C548C9&quot;/&gt;&lt;wsp:rsid wsp:val=&quot;00C54BE7&quot;/&gt;&lt;wsp:rsid wsp:val=&quot;00C54DB2&quot;/&gt;&lt;wsp:rsid wsp:val=&quot;00C54F9A&quot;/&gt;&lt;wsp:rsid wsp:val=&quot;00C55418&quot;/&gt;&lt;wsp:rsid wsp:val=&quot;00C55D1F&quot;/&gt;&lt;wsp:rsid wsp:val=&quot;00C55DF8&quot;/&gt;&lt;wsp:rsid wsp:val=&quot;00C55E60&quot;/&gt;&lt;wsp:rsid wsp:val=&quot;00C5635F&quot;/&gt;&lt;wsp:rsid wsp:val=&quot;00C56383&quot;/&gt;&lt;wsp:rsid wsp:val=&quot;00C56BB4&quot;/&gt;&lt;wsp:rsid wsp:val=&quot;00C56C02&quot;/&gt;&lt;wsp:rsid wsp:val=&quot;00C56C58&quot;/&gt;&lt;wsp:rsid wsp:val=&quot;00C56E38&quot;/&gt;&lt;wsp:rsid wsp:val=&quot;00C56EC9&quot;/&gt;&lt;wsp:rsid wsp:val=&quot;00C5765F&quot;/&gt;&lt;wsp:rsid wsp:val=&quot;00C577B5&quot;/&gt;&lt;wsp:rsid wsp:val=&quot;00C57E05&quot;/&gt;&lt;wsp:rsid wsp:val=&quot;00C57E2A&quot;/&gt;&lt;wsp:rsid wsp:val=&quot;00C60338&quot;/&gt;&lt;wsp:rsid wsp:val=&quot;00C603A8&quot;/&gt;&lt;wsp:rsid wsp:val=&quot;00C604B9&quot;/&gt;&lt;wsp:rsid wsp:val=&quot;00C60B45&quot;/&gt;&lt;wsp:rsid wsp:val=&quot;00C60BB5&quot;/&gt;&lt;wsp:rsid wsp:val=&quot;00C614A1&quot;/&gt;&lt;wsp:rsid wsp:val=&quot;00C61832&quot;/&gt;&lt;wsp:rsid wsp:val=&quot;00C61ADD&quot;/&gt;&lt;wsp:rsid wsp:val=&quot;00C61D3E&quot;/&gt;&lt;wsp:rsid wsp:val=&quot;00C6209B&quot;/&gt;&lt;wsp:rsid wsp:val=&quot;00C6212C&quot;/&gt;&lt;wsp:rsid wsp:val=&quot;00C6257C&quot;/&gt;&lt;wsp:rsid wsp:val=&quot;00C62770&quot;/&gt;&lt;wsp:rsid wsp:val=&quot;00C631B4&quot;/&gt;&lt;wsp:rsid wsp:val=&quot;00C631CE&quot;/&gt;&lt;wsp:rsid wsp:val=&quot;00C637BC&quot;/&gt;&lt;wsp:rsid wsp:val=&quot;00C63978&quot;/&gt;&lt;wsp:rsid wsp:val=&quot;00C63BCF&quot;/&gt;&lt;wsp:rsid wsp:val=&quot;00C63F45&quot;/&gt;&lt;wsp:rsid wsp:val=&quot;00C63FCE&quot;/&gt;&lt;wsp:rsid wsp:val=&quot;00C6403E&quot;/&gt;&lt;wsp:rsid wsp:val=&quot;00C645F7&quot;/&gt;&lt;wsp:rsid wsp:val=&quot;00C64DF7&quot;/&gt;&lt;wsp:rsid wsp:val=&quot;00C64E70&quot;/&gt;&lt;wsp:rsid wsp:val=&quot;00C64FD0&quot;/&gt;&lt;wsp:rsid wsp:val=&quot;00C651C0&quot;/&gt;&lt;wsp:rsid wsp:val=&quot;00C65BBB&quot;/&gt;&lt;wsp:rsid wsp:val=&quot;00C66067&quot;/&gt;&lt;wsp:rsid wsp:val=&quot;00C6688E&quot;/&gt;&lt;wsp:rsid wsp:val=&quot;00C6697B&quot;/&gt;&lt;wsp:rsid wsp:val=&quot;00C66AC0&quot;/&gt;&lt;wsp:rsid wsp:val=&quot;00C66B9C&quot;/&gt;&lt;wsp:rsid wsp:val=&quot;00C66CB7&quot;/&gt;&lt;wsp:rsid wsp:val=&quot;00C672B3&quot;/&gt;&lt;wsp:rsid wsp:val=&quot;00C677C6&quot;/&gt;&lt;wsp:rsid wsp:val=&quot;00C677FD&quot;/&gt;&lt;wsp:rsid wsp:val=&quot;00C67C18&quot;/&gt;&lt;wsp:rsid wsp:val=&quot;00C67DEA&quot;/&gt;&lt;wsp:rsid wsp:val=&quot;00C67E5F&quot;/&gt;&lt;wsp:rsid wsp:val=&quot;00C701D9&quot;/&gt;&lt;wsp:rsid wsp:val=&quot;00C70C41&quot;/&gt;&lt;wsp:rsid wsp:val=&quot;00C71482&quot;/&gt;&lt;wsp:rsid wsp:val=&quot;00C71641&quot;/&gt;&lt;wsp:rsid wsp:val=&quot;00C720F7&quot;/&gt;&lt;wsp:rsid wsp:val=&quot;00C723D1&quot;/&gt;&lt;wsp:rsid wsp:val=&quot;00C72967&quot;/&gt;&lt;wsp:rsid wsp:val=&quot;00C730AC&quot;/&gt;&lt;wsp:rsid wsp:val=&quot;00C734B8&quot;/&gt;&lt;wsp:rsid wsp:val=&quot;00C739AA&quot;/&gt;&lt;wsp:rsid wsp:val=&quot;00C74392&quot;/&gt;&lt;wsp:rsid wsp:val=&quot;00C75E1B&quot;/&gt;&lt;wsp:rsid wsp:val=&quot;00C76084&quot;/&gt;&lt;wsp:rsid wsp:val=&quot;00C763BC&quot;/&gt;&lt;wsp:rsid wsp:val=&quot;00C764D9&quot;/&gt;&lt;wsp:rsid wsp:val=&quot;00C766B5&quot;/&gt;&lt;wsp:rsid wsp:val=&quot;00C769E6&quot;/&gt;&lt;wsp:rsid wsp:val=&quot;00C769F8&quot;/&gt;&lt;wsp:rsid wsp:val=&quot;00C76B2A&quot;/&gt;&lt;wsp:rsid wsp:val=&quot;00C770C1&quot;/&gt;&lt;wsp:rsid wsp:val=&quot;00C77250&quot;/&gt;&lt;wsp:rsid wsp:val=&quot;00C77410&quot;/&gt;&lt;wsp:rsid wsp:val=&quot;00C7778C&quot;/&gt;&lt;wsp:rsid wsp:val=&quot;00C77FDE&quot;/&gt;&lt;wsp:rsid wsp:val=&quot;00C800C7&quot;/&gt;&lt;wsp:rsid wsp:val=&quot;00C80404&quot;/&gt;&lt;wsp:rsid wsp:val=&quot;00C80B4A&quot;/&gt;&lt;wsp:rsid wsp:val=&quot;00C80FD7&quot;/&gt;&lt;wsp:rsid wsp:val=&quot;00C8103B&quot;/&gt;&lt;wsp:rsid wsp:val=&quot;00C810A1&quot;/&gt;&lt;wsp:rsid wsp:val=&quot;00C81593&quot;/&gt;&lt;wsp:rsid wsp:val=&quot;00C81DBC&quot;/&gt;&lt;wsp:rsid wsp:val=&quot;00C81E8C&quot;/&gt;&lt;wsp:rsid wsp:val=&quot;00C82353&quot;/&gt;&lt;wsp:rsid wsp:val=&quot;00C824B9&quot;/&gt;&lt;wsp:rsid wsp:val=&quot;00C82818&quot;/&gt;&lt;wsp:rsid wsp:val=&quot;00C82A23&quot;/&gt;&lt;wsp:rsid wsp:val=&quot;00C82B6A&quot;/&gt;&lt;wsp:rsid wsp:val=&quot;00C82EAA&quot;/&gt;&lt;wsp:rsid wsp:val=&quot;00C832AE&quot;/&gt;&lt;wsp:rsid wsp:val=&quot;00C83845&quot;/&gt;&lt;wsp:rsid wsp:val=&quot;00C8395F&quot;/&gt;&lt;wsp:rsid wsp:val=&quot;00C83E8E&quot;/&gt;&lt;wsp:rsid wsp:val=&quot;00C8500C&quot;/&gt;&lt;wsp:rsid wsp:val=&quot;00C8504D&quot;/&gt;&lt;wsp:rsid wsp:val=&quot;00C857BD&quot;/&gt;&lt;wsp:rsid wsp:val=&quot;00C85B1A&quot;/&gt;&lt;wsp:rsid wsp:val=&quot;00C85C16&quot;/&gt;&lt;wsp:rsid wsp:val=&quot;00C85C46&quot;/&gt;&lt;wsp:rsid wsp:val=&quot;00C85CF3&quot;/&gt;&lt;wsp:rsid wsp:val=&quot;00C85DD6&quot;/&gt;&lt;wsp:rsid wsp:val=&quot;00C862B8&quot;/&gt;&lt;wsp:rsid wsp:val=&quot;00C862F3&quot;/&gt;&lt;wsp:rsid wsp:val=&quot;00C863B3&quot;/&gt;&lt;wsp:rsid wsp:val=&quot;00C8656C&quot;/&gt;&lt;wsp:rsid wsp:val=&quot;00C865E0&quot;/&gt;&lt;wsp:rsid wsp:val=&quot;00C8669F&quot;/&gt;&lt;wsp:rsid wsp:val=&quot;00C870AB&quot;/&gt;&lt;wsp:rsid wsp:val=&quot;00C87233&quot;/&gt;&lt;wsp:rsid wsp:val=&quot;00C8730D&quot;/&gt;&lt;wsp:rsid wsp:val=&quot;00C876DE&quot;/&gt;&lt;wsp:rsid wsp:val=&quot;00C876FA&quot;/&gt;&lt;wsp:rsid wsp:val=&quot;00C87749&quot;/&gt;&lt;wsp:rsid wsp:val=&quot;00C87C4F&quot;/&gt;&lt;wsp:rsid wsp:val=&quot;00C87F02&quot;/&gt;&lt;wsp:rsid wsp:val=&quot;00C90071&quot;/&gt;&lt;wsp:rsid wsp:val=&quot;00C90EC6&quot;/&gt;&lt;wsp:rsid wsp:val=&quot;00C90F7D&quot;/&gt;&lt;wsp:rsid wsp:val=&quot;00C91053&quot;/&gt;&lt;wsp:rsid wsp:val=&quot;00C9132D&quot;/&gt;&lt;wsp:rsid wsp:val=&quot;00C91D7C&quot;/&gt;&lt;wsp:rsid wsp:val=&quot;00C91F1D&quot;/&gt;&lt;wsp:rsid wsp:val=&quot;00C91FBF&quot;/&gt;&lt;wsp:rsid wsp:val=&quot;00C9251C&quot;/&gt;&lt;wsp:rsid wsp:val=&quot;00C92978&quot;/&gt;&lt;wsp:rsid wsp:val=&quot;00C92BF8&quot;/&gt;&lt;wsp:rsid wsp:val=&quot;00C92D9A&quot;/&gt;&lt;wsp:rsid wsp:val=&quot;00C92E23&quot;/&gt;&lt;wsp:rsid wsp:val=&quot;00C9319E&quot;/&gt;&lt;wsp:rsid wsp:val=&quot;00C9321C&quot;/&gt;&lt;wsp:rsid wsp:val=&quot;00C93AEB&quot;/&gt;&lt;wsp:rsid wsp:val=&quot;00C93E73&quot;/&gt;&lt;wsp:rsid wsp:val=&quot;00C9441E&quot;/&gt;&lt;wsp:rsid wsp:val=&quot;00C95054&quot;/&gt;&lt;wsp:rsid wsp:val=&quot;00C9547B&quot;/&gt;&lt;wsp:rsid wsp:val=&quot;00C9586B&quot;/&gt;&lt;wsp:rsid wsp:val=&quot;00C958F7&quot;/&gt;&lt;wsp:rsid wsp:val=&quot;00C95DD4&quot;/&gt;&lt;wsp:rsid wsp:val=&quot;00C963C0&quot;/&gt;&lt;wsp:rsid wsp:val=&quot;00C9686A&quot;/&gt;&lt;wsp:rsid wsp:val=&quot;00C96B19&quot;/&gt;&lt;wsp:rsid wsp:val=&quot;00C9732E&quot;/&gt;&lt;wsp:rsid wsp:val=&quot;00C97359&quot;/&gt;&lt;wsp:rsid wsp:val=&quot;00C97577&quot;/&gt;&lt;wsp:rsid wsp:val=&quot;00C97A1A&quot;/&gt;&lt;wsp:rsid wsp:val=&quot;00C97C57&quot;/&gt;&lt;wsp:rsid wsp:val=&quot;00CA0297&quot;/&gt;&lt;wsp:rsid wsp:val=&quot;00CA0CA5&quot;/&gt;&lt;wsp:rsid wsp:val=&quot;00CA0DB4&quot;/&gt;&lt;wsp:rsid wsp:val=&quot;00CA1A3A&quot;/&gt;&lt;wsp:rsid wsp:val=&quot;00CA1CF1&quot;/&gt;&lt;wsp:rsid wsp:val=&quot;00CA1E5C&quot;/&gt;&lt;wsp:rsid wsp:val=&quot;00CA1E74&quot;/&gt;&lt;wsp:rsid wsp:val=&quot;00CA2299&quot;/&gt;&lt;wsp:rsid wsp:val=&quot;00CA23CB&quot;/&gt;&lt;wsp:rsid wsp:val=&quot;00CA272D&quot;/&gt;&lt;wsp:rsid wsp:val=&quot;00CA28B1&quot;/&gt;&lt;wsp:rsid wsp:val=&quot;00CA3504&quot;/&gt;&lt;wsp:rsid wsp:val=&quot;00CA3610&quot;/&gt;&lt;wsp:rsid wsp:val=&quot;00CA3C7C&quot;/&gt;&lt;wsp:rsid wsp:val=&quot;00CA4060&quot;/&gt;&lt;wsp:rsid wsp:val=&quot;00CA48A5&quot;/&gt;&lt;wsp:rsid wsp:val=&quot;00CA4E42&quot;/&gt;&lt;wsp:rsid wsp:val=&quot;00CA50AF&quot;/&gt;&lt;wsp:rsid wsp:val=&quot;00CA570C&quot;/&gt;&lt;wsp:rsid wsp:val=&quot;00CA5972&quot;/&gt;&lt;wsp:rsid wsp:val=&quot;00CA5A75&quot;/&gt;&lt;wsp:rsid wsp:val=&quot;00CA5BE4&quot;/&gt;&lt;wsp:rsid wsp:val=&quot;00CA5F79&quot;/&gt;&lt;wsp:rsid wsp:val=&quot;00CA6426&quot;/&gt;&lt;wsp:rsid wsp:val=&quot;00CA6459&quot;/&gt;&lt;wsp:rsid wsp:val=&quot;00CA6A09&quot;/&gt;&lt;wsp:rsid wsp:val=&quot;00CA7265&quot;/&gt;&lt;wsp:rsid wsp:val=&quot;00CA72BA&quot;/&gt;&lt;wsp:rsid wsp:val=&quot;00CA7AB1&quot;/&gt;&lt;wsp:rsid wsp:val=&quot;00CA7D3A&quot;/&gt;&lt;wsp:rsid wsp:val=&quot;00CB07A0&quot;/&gt;&lt;wsp:rsid wsp:val=&quot;00CB0B9D&quot;/&gt;&lt;wsp:rsid wsp:val=&quot;00CB0BC5&quot;/&gt;&lt;wsp:rsid wsp:val=&quot;00CB0ECA&quot;/&gt;&lt;wsp:rsid wsp:val=&quot;00CB12B4&quot;/&gt;&lt;wsp:rsid wsp:val=&quot;00CB15DB&quot;/&gt;&lt;wsp:rsid wsp:val=&quot;00CB16BB&quot;/&gt;&lt;wsp:rsid wsp:val=&quot;00CB232F&quot;/&gt;&lt;wsp:rsid wsp:val=&quot;00CB2BD2&quot;/&gt;&lt;wsp:rsid wsp:val=&quot;00CB2EBB&quot;/&gt;&lt;wsp:rsid wsp:val=&quot;00CB3170&quot;/&gt;&lt;wsp:rsid wsp:val=&quot;00CB3184&quot;/&gt;&lt;wsp:rsid wsp:val=&quot;00CB3323&quot;/&gt;&lt;wsp:rsid wsp:val=&quot;00CB390E&quot;/&gt;&lt;wsp:rsid wsp:val=&quot;00CB3DFF&quot;/&gt;&lt;wsp:rsid wsp:val=&quot;00CB5693&quot;/&gt;&lt;wsp:rsid wsp:val=&quot;00CB584C&quot;/&gt;&lt;wsp:rsid wsp:val=&quot;00CB5AEC&quot;/&gt;&lt;wsp:rsid wsp:val=&quot;00CB5C40&quot;/&gt;&lt;wsp:rsid wsp:val=&quot;00CB60D0&quot;/&gt;&lt;wsp:rsid wsp:val=&quot;00CB6255&quot;/&gt;&lt;wsp:rsid wsp:val=&quot;00CB6278&quot;/&gt;&lt;wsp:rsid wsp:val=&quot;00CB6660&quot;/&gt;&lt;wsp:rsid wsp:val=&quot;00CB711B&quot;/&gt;&lt;wsp:rsid wsp:val=&quot;00CB75C4&quot;/&gt;&lt;wsp:rsid wsp:val=&quot;00CB7EA4&quot;/&gt;&lt;wsp:rsid wsp:val=&quot;00CB7FE2&quot;/&gt;&lt;wsp:rsid wsp:val=&quot;00CB7FF4&quot;/&gt;&lt;wsp:rsid wsp:val=&quot;00CC05DC&quot;/&gt;&lt;wsp:rsid wsp:val=&quot;00CC0A6A&quot;/&gt;&lt;wsp:rsid wsp:val=&quot;00CC0F8E&quot;/&gt;&lt;wsp:rsid wsp:val=&quot;00CC111C&quot;/&gt;&lt;wsp:rsid wsp:val=&quot;00CC125C&quot;/&gt;&lt;wsp:rsid wsp:val=&quot;00CC12FE&quot;/&gt;&lt;wsp:rsid wsp:val=&quot;00CC139B&quot;/&gt;&lt;wsp:rsid wsp:val=&quot;00CC1583&quot;/&gt;&lt;wsp:rsid wsp:val=&quot;00CC24DF&quot;/&gt;&lt;wsp:rsid wsp:val=&quot;00CC2B0F&quot;/&gt;&lt;wsp:rsid wsp:val=&quot;00CC2C26&quot;/&gt;&lt;wsp:rsid wsp:val=&quot;00CC3121&quot;/&gt;&lt;wsp:rsid wsp:val=&quot;00CC332B&quot;/&gt;&lt;wsp:rsid wsp:val=&quot;00CC3987&quot;/&gt;&lt;wsp:rsid wsp:val=&quot;00CC3E5B&quot;/&gt;&lt;wsp:rsid wsp:val=&quot;00CC4DAA&quot;/&gt;&lt;wsp:rsid wsp:val=&quot;00CC4E46&quot;/&gt;&lt;wsp:rsid wsp:val=&quot;00CC5108&quot;/&gt;&lt;wsp:rsid wsp:val=&quot;00CC55C3&quot;/&gt;&lt;wsp:rsid wsp:val=&quot;00CC58EB&quot;/&gt;&lt;wsp:rsid wsp:val=&quot;00CC5CCD&quot;/&gt;&lt;wsp:rsid wsp:val=&quot;00CC5CD3&quot;/&gt;&lt;wsp:rsid wsp:val=&quot;00CC5DAF&quot;/&gt;&lt;wsp:rsid wsp:val=&quot;00CC5E1F&quot;/&gt;&lt;wsp:rsid wsp:val=&quot;00CC6166&quot;/&gt;&lt;wsp:rsid wsp:val=&quot;00CC683D&quot;/&gt;&lt;wsp:rsid wsp:val=&quot;00CC6BBD&quot;/&gt;&lt;wsp:rsid wsp:val=&quot;00CC6D49&quot;/&gt;&lt;wsp:rsid wsp:val=&quot;00CC72C8&quot;/&gt;&lt;wsp:rsid wsp:val=&quot;00CC79DE&quot;/&gt;&lt;wsp:rsid wsp:val=&quot;00CC7A94&quot;/&gt;&lt;wsp:rsid wsp:val=&quot;00CC7FA3&quot;/&gt;&lt;wsp:rsid wsp:val=&quot;00CD009E&quot;/&gt;&lt;wsp:rsid wsp:val=&quot;00CD0586&quot;/&gt;&lt;wsp:rsid wsp:val=&quot;00CD0664&quot;/&gt;&lt;wsp:rsid wsp:val=&quot;00CD076B&quot;/&gt;&lt;wsp:rsid wsp:val=&quot;00CD07AE&quot;/&gt;&lt;wsp:rsid wsp:val=&quot;00CD0EF0&quot;/&gt;&lt;wsp:rsid wsp:val=&quot;00CD1862&quot;/&gt;&lt;wsp:rsid wsp:val=&quot;00CD19EA&quot;/&gt;&lt;wsp:rsid wsp:val=&quot;00CD1FDD&quot;/&gt;&lt;wsp:rsid wsp:val=&quot;00CD245C&quot;/&gt;&lt;wsp:rsid wsp:val=&quot;00CD2EEC&quot;/&gt;&lt;wsp:rsid wsp:val=&quot;00CD3854&quot;/&gt;&lt;wsp:rsid wsp:val=&quot;00CD39B4&quot;/&gt;&lt;wsp:rsid wsp:val=&quot;00CD3CE3&quot;/&gt;&lt;wsp:rsid wsp:val=&quot;00CD403A&quot;/&gt;&lt;wsp:rsid wsp:val=&quot;00CD4181&quot;/&gt;&lt;wsp:rsid wsp:val=&quot;00CD4268&quot;/&gt;&lt;wsp:rsid wsp:val=&quot;00CD438E&quot;/&gt;&lt;wsp:rsid wsp:val=&quot;00CD48D7&quot;/&gt;&lt;wsp:rsid wsp:val=&quot;00CD4B4A&quot;/&gt;&lt;wsp:rsid wsp:val=&quot;00CD649A&quot;/&gt;&lt;wsp:rsid wsp:val=&quot;00CD6688&quot;/&gt;&lt;wsp:rsid wsp:val=&quot;00CD66EA&quot;/&gt;&lt;wsp:rsid wsp:val=&quot;00CD6E99&quot;/&gt;&lt;wsp:rsid wsp:val=&quot;00CE0186&quot;/&gt;&lt;wsp:rsid wsp:val=&quot;00CE0314&quot;/&gt;&lt;wsp:rsid wsp:val=&quot;00CE03B4&quot;/&gt;&lt;wsp:rsid wsp:val=&quot;00CE0839&quot;/&gt;&lt;wsp:rsid wsp:val=&quot;00CE0A6B&quot;/&gt;&lt;wsp:rsid wsp:val=&quot;00CE0CBB&quot;/&gt;&lt;wsp:rsid wsp:val=&quot;00CE0D5B&quot;/&gt;&lt;wsp:rsid wsp:val=&quot;00CE0F6D&quot;/&gt;&lt;wsp:rsid wsp:val=&quot;00CE1336&quot;/&gt;&lt;wsp:rsid wsp:val=&quot;00CE137C&quot;/&gt;&lt;wsp:rsid wsp:val=&quot;00CE164F&quot;/&gt;&lt;wsp:rsid wsp:val=&quot;00CE1884&quot;/&gt;&lt;wsp:rsid wsp:val=&quot;00CE1A81&quot;/&gt;&lt;wsp:rsid wsp:val=&quot;00CE1C9C&quot;/&gt;&lt;wsp:rsid wsp:val=&quot;00CE1D0C&quot;/&gt;&lt;wsp:rsid wsp:val=&quot;00CE2035&quot;/&gt;&lt;wsp:rsid wsp:val=&quot;00CE2065&quot;/&gt;&lt;wsp:rsid wsp:val=&quot;00CE209B&quot;/&gt;&lt;wsp:rsid wsp:val=&quot;00CE2117&quot;/&gt;&lt;wsp:rsid wsp:val=&quot;00CE255E&quot;/&gt;&lt;wsp:rsid wsp:val=&quot;00CE2706&quot;/&gt;&lt;wsp:rsid wsp:val=&quot;00CE2B8E&quot;/&gt;&lt;wsp:rsid wsp:val=&quot;00CE2E6C&quot;/&gt;&lt;wsp:rsid wsp:val=&quot;00CE3026&quot;/&gt;&lt;wsp:rsid wsp:val=&quot;00CE31C6&quot;/&gt;&lt;wsp:rsid wsp:val=&quot;00CE32EA&quot;/&gt;&lt;wsp:rsid wsp:val=&quot;00CE3377&quot;/&gt;&lt;wsp:rsid wsp:val=&quot;00CE359A&quot;/&gt;&lt;wsp:rsid wsp:val=&quot;00CE36A2&quot;/&gt;&lt;wsp:rsid wsp:val=&quot;00CE36F9&quot;/&gt;&lt;wsp:rsid wsp:val=&quot;00CE3724&quot;/&gt;&lt;wsp:rsid wsp:val=&quot;00CE3D96&quot;/&gt;&lt;wsp:rsid wsp:val=&quot;00CE3EF3&quot;/&gt;&lt;wsp:rsid wsp:val=&quot;00CE3F15&quot;/&gt;&lt;wsp:rsid wsp:val=&quot;00CE4747&quot;/&gt;&lt;wsp:rsid wsp:val=&quot;00CE4A90&quot;/&gt;&lt;wsp:rsid wsp:val=&quot;00CE4B3D&quot;/&gt;&lt;wsp:rsid wsp:val=&quot;00CE4DFD&quot;/&gt;&lt;wsp:rsid wsp:val=&quot;00CE501B&quot;/&gt;&lt;wsp:rsid wsp:val=&quot;00CE522B&quot;/&gt;&lt;wsp:rsid wsp:val=&quot;00CE5528&quot;/&gt;&lt;wsp:rsid wsp:val=&quot;00CE5735&quot;/&gt;&lt;wsp:rsid wsp:val=&quot;00CE5FA1&quot;/&gt;&lt;wsp:rsid wsp:val=&quot;00CE6042&quot;/&gt;&lt;wsp:rsid wsp:val=&quot;00CE6313&quot;/&gt;&lt;wsp:rsid wsp:val=&quot;00CE6477&quot;/&gt;&lt;wsp:rsid wsp:val=&quot;00CE69F3&quot;/&gt;&lt;wsp:rsid wsp:val=&quot;00CE6D19&quot;/&gt;&lt;wsp:rsid wsp:val=&quot;00CE7161&quot;/&gt;&lt;wsp:rsid wsp:val=&quot;00CE71B4&quot;/&gt;&lt;wsp:rsid wsp:val=&quot;00CE7513&quot;/&gt;&lt;wsp:rsid wsp:val=&quot;00CE762F&quot;/&gt;&lt;wsp:rsid wsp:val=&quot;00CE7C98&quot;/&gt;&lt;wsp:rsid wsp:val=&quot;00CE7CE7&quot;/&gt;&lt;wsp:rsid wsp:val=&quot;00CE7CEA&quot;/&gt;&lt;wsp:rsid wsp:val=&quot;00CE7DE3&quot;/&gt;&lt;wsp:rsid wsp:val=&quot;00CF0D1E&quot;/&gt;&lt;wsp:rsid wsp:val=&quot;00CF0E05&quot;/&gt;&lt;wsp:rsid wsp:val=&quot;00CF1364&quot;/&gt;&lt;wsp:rsid wsp:val=&quot;00CF156F&quot;/&gt;&lt;wsp:rsid wsp:val=&quot;00CF1869&quot;/&gt;&lt;wsp:rsid wsp:val=&quot;00CF1994&quot;/&gt;&lt;wsp:rsid wsp:val=&quot;00CF1B9E&quot;/&gt;&lt;wsp:rsid wsp:val=&quot;00CF1C25&quot;/&gt;&lt;wsp:rsid wsp:val=&quot;00CF1D04&quot;/&gt;&lt;wsp:rsid wsp:val=&quot;00CF1D43&quot;/&gt;&lt;wsp:rsid wsp:val=&quot;00CF1FF9&quot;/&gt;&lt;wsp:rsid wsp:val=&quot;00CF20DA&quot;/&gt;&lt;wsp:rsid wsp:val=&quot;00CF219F&quot;/&gt;&lt;wsp:rsid wsp:val=&quot;00CF242E&quot;/&gt;&lt;wsp:rsid wsp:val=&quot;00CF2747&quot;/&gt;&lt;wsp:rsid wsp:val=&quot;00CF284B&quot;/&gt;&lt;wsp:rsid wsp:val=&quot;00CF2F52&quot;/&gt;&lt;wsp:rsid wsp:val=&quot;00CF3093&quot;/&gt;&lt;wsp:rsid wsp:val=&quot;00CF3801&quot;/&gt;&lt;wsp:rsid wsp:val=&quot;00CF3C18&quot;/&gt;&lt;wsp:rsid wsp:val=&quot;00CF4086&quot;/&gt;&lt;wsp:rsid wsp:val=&quot;00CF411A&quot;/&gt;&lt;wsp:rsid wsp:val=&quot;00CF424F&quot;/&gt;&lt;wsp:rsid wsp:val=&quot;00CF493C&quot;/&gt;&lt;wsp:rsid wsp:val=&quot;00CF49F7&quot;/&gt;&lt;wsp:rsid wsp:val=&quot;00CF4DDD&quot;/&gt;&lt;wsp:rsid wsp:val=&quot;00CF5587&quot;/&gt;&lt;wsp:rsid wsp:val=&quot;00CF5594&quot;/&gt;&lt;wsp:rsid wsp:val=&quot;00CF5895&quot;/&gt;&lt;wsp:rsid wsp:val=&quot;00CF5A1A&quot;/&gt;&lt;wsp:rsid wsp:val=&quot;00CF5A70&quot;/&gt;&lt;wsp:rsid wsp:val=&quot;00CF5A84&quot;/&gt;&lt;wsp:rsid wsp:val=&quot;00CF5A87&quot;/&gt;&lt;wsp:rsid wsp:val=&quot;00CF5BD6&quot;/&gt;&lt;wsp:rsid wsp:val=&quot;00CF5E6A&quot;/&gt;&lt;wsp:rsid wsp:val=&quot;00CF601F&quot;/&gt;&lt;wsp:rsid wsp:val=&quot;00CF60F3&quot;/&gt;&lt;wsp:rsid wsp:val=&quot;00CF6BF0&quot;/&gt;&lt;wsp:rsid wsp:val=&quot;00CF6FA7&quot;/&gt;&lt;wsp:rsid wsp:val=&quot;00CF70B1&quot;/&gt;&lt;wsp:rsid wsp:val=&quot;00CF76F5&quot;/&gt;&lt;wsp:rsid wsp:val=&quot;00CF7AB0&quot;/&gt;&lt;wsp:rsid wsp:val=&quot;00CF7EAE&quot;/&gt;&lt;wsp:rsid wsp:val=&quot;00D001EB&quot;/&gt;&lt;wsp:rsid wsp:val=&quot;00D002F0&quot;/&gt;&lt;wsp:rsid wsp:val=&quot;00D00414&quot;/&gt;&lt;wsp:rsid wsp:val=&quot;00D007D2&quot;/&gt;&lt;wsp:rsid wsp:val=&quot;00D007F1&quot;/&gt;&lt;wsp:rsid wsp:val=&quot;00D00F56&quot;/&gt;&lt;wsp:rsid wsp:val=&quot;00D01050&quot;/&gt;&lt;wsp:rsid wsp:val=&quot;00D0114F&quot;/&gt;&lt;wsp:rsid wsp:val=&quot;00D01231&quot;/&gt;&lt;wsp:rsid wsp:val=&quot;00D01919&quot;/&gt;&lt;wsp:rsid wsp:val=&quot;00D01A66&quot;/&gt;&lt;wsp:rsid wsp:val=&quot;00D01DF6&quot;/&gt;&lt;wsp:rsid wsp:val=&quot;00D02078&quot;/&gt;&lt;wsp:rsid wsp:val=&quot;00D02209&quot;/&gt;&lt;wsp:rsid wsp:val=&quot;00D02A0F&quot;/&gt;&lt;wsp:rsid wsp:val=&quot;00D02B30&quot;/&gt;&lt;wsp:rsid wsp:val=&quot;00D031AA&quot;/&gt;&lt;wsp:rsid wsp:val=&quot;00D03213&quot;/&gt;&lt;wsp:rsid wsp:val=&quot;00D03827&quot;/&gt;&lt;wsp:rsid wsp:val=&quot;00D0422B&quot;/&gt;&lt;wsp:rsid wsp:val=&quot;00D0480F&quot;/&gt;&lt;wsp:rsid wsp:val=&quot;00D055D7&quot;/&gt;&lt;wsp:rsid wsp:val=&quot;00D06122&quot;/&gt;&lt;wsp:rsid wsp:val=&quot;00D062C0&quot;/&gt;&lt;wsp:rsid wsp:val=&quot;00D06474&quot;/&gt;&lt;wsp:rsid wsp:val=&quot;00D06C46&quot;/&gt;&lt;wsp:rsid wsp:val=&quot;00D06CA1&quot;/&gt;&lt;wsp:rsid wsp:val=&quot;00D07DC6&quot;/&gt;&lt;wsp:rsid wsp:val=&quot;00D10103&quot;/&gt;&lt;wsp:rsid wsp:val=&quot;00D116FE&quot;/&gt;&lt;wsp:rsid wsp:val=&quot;00D11AED&quot;/&gt;&lt;wsp:rsid wsp:val=&quot;00D11CB7&quot;/&gt;&lt;wsp:rsid wsp:val=&quot;00D12127&quot;/&gt;&lt;wsp:rsid wsp:val=&quot;00D1216C&quot;/&gt;&lt;wsp:rsid wsp:val=&quot;00D12416&quot;/&gt;&lt;wsp:rsid wsp:val=&quot;00D12561&quot;/&gt;&lt;wsp:rsid wsp:val=&quot;00D1287A&quot;/&gt;&lt;wsp:rsid wsp:val=&quot;00D13285&quot;/&gt;&lt;wsp:rsid wsp:val=&quot;00D132B5&quot;/&gt;&lt;wsp:rsid wsp:val=&quot;00D13713&quot;/&gt;&lt;wsp:rsid wsp:val=&quot;00D1386C&quot;/&gt;&lt;wsp:rsid wsp:val=&quot;00D13AAC&quot;/&gt;&lt;wsp:rsid wsp:val=&quot;00D13B8E&quot;/&gt;&lt;wsp:rsid wsp:val=&quot;00D141A0&quot;/&gt;&lt;wsp:rsid wsp:val=&quot;00D14744&quot;/&gt;&lt;wsp:rsid wsp:val=&quot;00D14781&quot;/&gt;&lt;wsp:rsid wsp:val=&quot;00D149EB&quot;/&gt;&lt;wsp:rsid wsp:val=&quot;00D14C52&quot;/&gt;&lt;wsp:rsid wsp:val=&quot;00D1531A&quot;/&gt;&lt;wsp:rsid wsp:val=&quot;00D155D5&quot;/&gt;&lt;wsp:rsid wsp:val=&quot;00D157CF&quot;/&gt;&lt;wsp:rsid wsp:val=&quot;00D160E9&quot;/&gt;&lt;wsp:rsid wsp:val=&quot;00D16123&quot;/&gt;&lt;wsp:rsid wsp:val=&quot;00D16603&quot;/&gt;&lt;wsp:rsid wsp:val=&quot;00D16C00&quot;/&gt;&lt;wsp:rsid wsp:val=&quot;00D174C5&quot;/&gt;&lt;wsp:rsid wsp:val=&quot;00D17588&quot;/&gt;&lt;wsp:rsid wsp:val=&quot;00D17B00&quot;/&gt;&lt;wsp:rsid wsp:val=&quot;00D17EDF&quot;/&gt;&lt;wsp:rsid wsp:val=&quot;00D202A3&quot;/&gt;&lt;wsp:rsid wsp:val=&quot;00D205A4&quot;/&gt;&lt;wsp:rsid wsp:val=&quot;00D20627&quot;/&gt;&lt;wsp:rsid wsp:val=&quot;00D207EE&quot;/&gt;&lt;wsp:rsid wsp:val=&quot;00D20BC5&quot;/&gt;&lt;wsp:rsid wsp:val=&quot;00D20DFE&quot;/&gt;&lt;wsp:rsid wsp:val=&quot;00D211CE&quot;/&gt;&lt;wsp:rsid wsp:val=&quot;00D21474&quot;/&gt;&lt;wsp:rsid wsp:val=&quot;00D214EE&quot;/&gt;&lt;wsp:rsid wsp:val=&quot;00D216E8&quot;/&gt;&lt;wsp:rsid wsp:val=&quot;00D217A5&quot;/&gt;&lt;wsp:rsid wsp:val=&quot;00D21B3C&quot;/&gt;&lt;wsp:rsid wsp:val=&quot;00D21D8C&quot;/&gt;&lt;wsp:rsid wsp:val=&quot;00D22048&quot;/&gt;&lt;wsp:rsid wsp:val=&quot;00D220B8&quot;/&gt;&lt;wsp:rsid wsp:val=&quot;00D220BD&quot;/&gt;&lt;wsp:rsid wsp:val=&quot;00D223B6&quot;/&gt;&lt;wsp:rsid wsp:val=&quot;00D2248C&quot;/&gt;&lt;wsp:rsid wsp:val=&quot;00D22721&quot;/&gt;&lt;wsp:rsid wsp:val=&quot;00D233F6&quot;/&gt;&lt;wsp:rsid wsp:val=&quot;00D23873&quot;/&gt;&lt;wsp:rsid wsp:val=&quot;00D238FD&quot;/&gt;&lt;wsp:rsid wsp:val=&quot;00D23E35&quot;/&gt;&lt;wsp:rsid wsp:val=&quot;00D24174&quot;/&gt;&lt;wsp:rsid wsp:val=&quot;00D241A4&quot;/&gt;&lt;wsp:rsid wsp:val=&quot;00D24472&quot;/&gt;&lt;wsp:rsid wsp:val=&quot;00D24656&quot;/&gt;&lt;wsp:rsid wsp:val=&quot;00D24974&quot;/&gt;&lt;wsp:rsid wsp:val=&quot;00D2511E&quot;/&gt;&lt;wsp:rsid wsp:val=&quot;00D25250&quot;/&gt;&lt;wsp:rsid wsp:val=&quot;00D252DF&quot;/&gt;&lt;wsp:rsid wsp:val=&quot;00D2545C&quot;/&gt;&lt;wsp:rsid wsp:val=&quot;00D25928&quot;/&gt;&lt;wsp:rsid wsp:val=&quot;00D25A81&quot;/&gt;&lt;wsp:rsid wsp:val=&quot;00D26752&quot;/&gt;&lt;wsp:rsid wsp:val=&quot;00D2677F&quot;/&gt;&lt;wsp:rsid wsp:val=&quot;00D267A2&quot;/&gt;&lt;wsp:rsid wsp:val=&quot;00D269EE&quot;/&gt;&lt;wsp:rsid wsp:val=&quot;00D26A6F&quot;/&gt;&lt;wsp:rsid wsp:val=&quot;00D26DCF&quot;/&gt;&lt;wsp:rsid wsp:val=&quot;00D271F1&quot;/&gt;&lt;wsp:rsid wsp:val=&quot;00D2736F&quot;/&gt;&lt;wsp:rsid wsp:val=&quot;00D27540&quot;/&gt;&lt;wsp:rsid wsp:val=&quot;00D275AF&quot;/&gt;&lt;wsp:rsid wsp:val=&quot;00D30160&quot;/&gt;&lt;wsp:rsid wsp:val=&quot;00D303ED&quot;/&gt;&lt;wsp:rsid wsp:val=&quot;00D306F3&quot;/&gt;&lt;wsp:rsid wsp:val=&quot;00D30782&quot;/&gt;&lt;wsp:rsid wsp:val=&quot;00D309A6&quot;/&gt;&lt;wsp:rsid wsp:val=&quot;00D30A4A&quot;/&gt;&lt;wsp:rsid wsp:val=&quot;00D30D13&quot;/&gt;&lt;wsp:rsid wsp:val=&quot;00D3140A&quot;/&gt;&lt;wsp:rsid wsp:val=&quot;00D31450&quot;/&gt;&lt;wsp:rsid wsp:val=&quot;00D3177D&quot;/&gt;&lt;wsp:rsid wsp:val=&quot;00D31838&quot;/&gt;&lt;wsp:rsid wsp:val=&quot;00D31ABB&quot;/&gt;&lt;wsp:rsid wsp:val=&quot;00D31F79&quot;/&gt;&lt;wsp:rsid wsp:val=&quot;00D327EE&quot;/&gt;&lt;wsp:rsid wsp:val=&quot;00D327F9&quot;/&gt;&lt;wsp:rsid wsp:val=&quot;00D328C0&quot;/&gt;&lt;wsp:rsid wsp:val=&quot;00D32950&quot;/&gt;&lt;wsp:rsid wsp:val=&quot;00D32B25&quot;/&gt;&lt;wsp:rsid wsp:val=&quot;00D33B1E&quot;/&gt;&lt;wsp:rsid wsp:val=&quot;00D33D34&quot;/&gt;&lt;wsp:rsid wsp:val=&quot;00D33DA6&quot;/&gt;&lt;wsp:rsid wsp:val=&quot;00D33E6F&quot;/&gt;&lt;wsp:rsid wsp:val=&quot;00D33EF7&quot;/&gt;&lt;wsp:rsid wsp:val=&quot;00D34337&quot;/&gt;&lt;wsp:rsid wsp:val=&quot;00D34D52&quot;/&gt;&lt;wsp:rsid wsp:val=&quot;00D34EF5&quot;/&gt;&lt;wsp:rsid wsp:val=&quot;00D35314&quot;/&gt;&lt;wsp:rsid wsp:val=&quot;00D355B2&quot;/&gt;&lt;wsp:rsid wsp:val=&quot;00D3572E&quot;/&gt;&lt;wsp:rsid wsp:val=&quot;00D358F5&quot;/&gt;&lt;wsp:rsid wsp:val=&quot;00D360D5&quot;/&gt;&lt;wsp:rsid wsp:val=&quot;00D36910&quot;/&gt;&lt;wsp:rsid wsp:val=&quot;00D36A44&quot;/&gt;&lt;wsp:rsid wsp:val=&quot;00D36D02&quot;/&gt;&lt;wsp:rsid wsp:val=&quot;00D36E54&quot;/&gt;&lt;wsp:rsid wsp:val=&quot;00D36ED1&quot;/&gt;&lt;wsp:rsid wsp:val=&quot;00D37020&quot;/&gt;&lt;wsp:rsid wsp:val=&quot;00D3707C&quot;/&gt;&lt;wsp:rsid wsp:val=&quot;00D374D5&quot;/&gt;&lt;wsp:rsid wsp:val=&quot;00D37640&quot;/&gt;&lt;wsp:rsid wsp:val=&quot;00D3786F&quot;/&gt;&lt;wsp:rsid wsp:val=&quot;00D37E6C&quot;/&gt;&lt;wsp:rsid wsp:val=&quot;00D409CA&quot;/&gt;&lt;wsp:rsid wsp:val=&quot;00D40A9D&quot;/&gt;&lt;wsp:rsid wsp:val=&quot;00D40C9A&quot;/&gt;&lt;wsp:rsid wsp:val=&quot;00D41141&quot;/&gt;&lt;wsp:rsid wsp:val=&quot;00D4120B&quot;/&gt;&lt;wsp:rsid wsp:val=&quot;00D41AF9&quot;/&gt;&lt;wsp:rsid wsp:val=&quot;00D4271E&quot;/&gt;&lt;wsp:rsid wsp:val=&quot;00D42853&quot;/&gt;&lt;wsp:rsid wsp:val=&quot;00D42C01&quot;/&gt;&lt;wsp:rsid wsp:val=&quot;00D4357C&quot;/&gt;&lt;wsp:rsid wsp:val=&quot;00D43A08&quot;/&gt;&lt;wsp:rsid wsp:val=&quot;00D44116&quot;/&gt;&lt;wsp:rsid wsp:val=&quot;00D448F3&quot;/&gt;&lt;wsp:rsid wsp:val=&quot;00D44DCA&quot;/&gt;&lt;wsp:rsid wsp:val=&quot;00D4523A&quot;/&gt;&lt;wsp:rsid wsp:val=&quot;00D45374&quot;/&gt;&lt;wsp:rsid wsp:val=&quot;00D460D1&quot;/&gt;&lt;wsp:rsid wsp:val=&quot;00D46431&quot;/&gt;&lt;wsp:rsid wsp:val=&quot;00D464C3&quot;/&gt;&lt;wsp:rsid wsp:val=&quot;00D468F9&quot;/&gt;&lt;wsp:rsid wsp:val=&quot;00D46BFF&quot;/&gt;&lt;wsp:rsid wsp:val=&quot;00D46EDA&quot;/&gt;&lt;wsp:rsid wsp:val=&quot;00D470FE&quot;/&gt;&lt;wsp:rsid wsp:val=&quot;00D4791D&quot;/&gt;&lt;wsp:rsid wsp:val=&quot;00D47B1C&quot;/&gt;&lt;wsp:rsid wsp:val=&quot;00D5043F&quot;/&gt;&lt;wsp:rsid wsp:val=&quot;00D50BDB&quot;/&gt;&lt;wsp:rsid wsp:val=&quot;00D50F27&quot;/&gt;&lt;wsp:rsid wsp:val=&quot;00D51172&quot;/&gt;&lt;wsp:rsid wsp:val=&quot;00D51186&quot;/&gt;&lt;wsp:rsid wsp:val=&quot;00D514D6&quot;/&gt;&lt;wsp:rsid wsp:val=&quot;00D51EF4&quot;/&gt;&lt;wsp:rsid wsp:val=&quot;00D539C1&quot;/&gt;&lt;wsp:rsid wsp:val=&quot;00D549BF&quot;/&gt;&lt;wsp:rsid wsp:val=&quot;00D54CEA&quot;/&gt;&lt;wsp:rsid wsp:val=&quot;00D54EC3&quot;/&gt;&lt;wsp:rsid wsp:val=&quot;00D553DC&quot;/&gt;&lt;wsp:rsid wsp:val=&quot;00D55723&quot;/&gt;&lt;wsp:rsid wsp:val=&quot;00D55F09&quot;/&gt;&lt;wsp:rsid wsp:val=&quot;00D55F58&quot;/&gt;&lt;wsp:rsid wsp:val=&quot;00D569C6&quot;/&gt;&lt;wsp:rsid wsp:val=&quot;00D56FB0&quot;/&gt;&lt;wsp:rsid wsp:val=&quot;00D57428&quot;/&gt;&lt;wsp:rsid wsp:val=&quot;00D5797A&quot;/&gt;&lt;wsp:rsid wsp:val=&quot;00D57B03&quot;/&gt;&lt;wsp:rsid wsp:val=&quot;00D57EF4&quot;/&gt;&lt;wsp:rsid wsp:val=&quot;00D6009D&quot;/&gt;&lt;wsp:rsid wsp:val=&quot;00D60474&quot;/&gt;&lt;wsp:rsid wsp:val=&quot;00D60A61&quot;/&gt;&lt;wsp:rsid wsp:val=&quot;00D60E07&quot;/&gt;&lt;wsp:rsid wsp:val=&quot;00D610A4&quot;/&gt;&lt;wsp:rsid wsp:val=&quot;00D6121D&quot;/&gt;&lt;wsp:rsid wsp:val=&quot;00D612FA&quot;/&gt;&lt;wsp:rsid wsp:val=&quot;00D614B8&quot;/&gt;&lt;wsp:rsid wsp:val=&quot;00D6181B&quot;/&gt;&lt;wsp:rsid wsp:val=&quot;00D61B69&quot;/&gt;&lt;wsp:rsid wsp:val=&quot;00D61C00&quot;/&gt;&lt;wsp:rsid wsp:val=&quot;00D61E65&quot;/&gt;&lt;wsp:rsid wsp:val=&quot;00D6282C&quot;/&gt;&lt;wsp:rsid wsp:val=&quot;00D62B30&quot;/&gt;&lt;wsp:rsid wsp:val=&quot;00D62C08&quot;/&gt;&lt;wsp:rsid wsp:val=&quot;00D6321E&quot;/&gt;&lt;wsp:rsid wsp:val=&quot;00D63279&quot;/&gt;&lt;wsp:rsid wsp:val=&quot;00D636ED&quot;/&gt;&lt;wsp:rsid wsp:val=&quot;00D63860&quot;/&gt;&lt;wsp:rsid wsp:val=&quot;00D63B41&quot;/&gt;&lt;wsp:rsid wsp:val=&quot;00D63D63&quot;/&gt;&lt;wsp:rsid wsp:val=&quot;00D63EDC&quot;/&gt;&lt;wsp:rsid wsp:val=&quot;00D6491F&quot;/&gt;&lt;wsp:rsid wsp:val=&quot;00D64998&quot;/&gt;&lt;wsp:rsid wsp:val=&quot;00D64BB2&quot;/&gt;&lt;wsp:rsid wsp:val=&quot;00D64CE9&quot;/&gt;&lt;wsp:rsid wsp:val=&quot;00D64F51&quot;/&gt;&lt;wsp:rsid wsp:val=&quot;00D650DC&quot;/&gt;&lt;wsp:rsid wsp:val=&quot;00D65F20&quot;/&gt;&lt;wsp:rsid wsp:val=&quot;00D66051&quot;/&gt;&lt;wsp:rsid wsp:val=&quot;00D660FC&quot;/&gt;&lt;wsp:rsid wsp:val=&quot;00D668D4&quot;/&gt;&lt;wsp:rsid wsp:val=&quot;00D66D5A&quot;/&gt;&lt;wsp:rsid wsp:val=&quot;00D66EDE&quot;/&gt;&lt;wsp:rsid wsp:val=&quot;00D66F99&quot;/&gt;&lt;wsp:rsid wsp:val=&quot;00D67D13&quot;/&gt;&lt;wsp:rsid wsp:val=&quot;00D67D6F&quot;/&gt;&lt;wsp:rsid wsp:val=&quot;00D706AE&quot;/&gt;&lt;wsp:rsid wsp:val=&quot;00D71045&quot;/&gt;&lt;wsp:rsid wsp:val=&quot;00D71200&quot;/&gt;&lt;wsp:rsid wsp:val=&quot;00D71414&quot;/&gt;&lt;wsp:rsid wsp:val=&quot;00D715DA&quot;/&gt;&lt;wsp:rsid wsp:val=&quot;00D71E51&quot;/&gt;&lt;wsp:rsid wsp:val=&quot;00D71E83&quot;/&gt;&lt;wsp:rsid wsp:val=&quot;00D72045&quot;/&gt;&lt;wsp:rsid wsp:val=&quot;00D72135&quot;/&gt;&lt;wsp:rsid wsp:val=&quot;00D729F3&quot;/&gt;&lt;wsp:rsid wsp:val=&quot;00D72C2C&quot;/&gt;&lt;wsp:rsid wsp:val=&quot;00D73163&quot;/&gt;&lt;wsp:rsid wsp:val=&quot;00D7339E&quot;/&gt;&lt;wsp:rsid wsp:val=&quot;00D735CE&quot;/&gt;&lt;wsp:rsid wsp:val=&quot;00D73A09&quot;/&gt;&lt;wsp:rsid wsp:val=&quot;00D73CB5&quot;/&gt;&lt;wsp:rsid wsp:val=&quot;00D73CFC&quot;/&gt;&lt;wsp:rsid wsp:val=&quot;00D7442D&quot;/&gt;&lt;wsp:rsid wsp:val=&quot;00D746B0&quot;/&gt;&lt;wsp:rsid wsp:val=&quot;00D74AEE&quot;/&gt;&lt;wsp:rsid wsp:val=&quot;00D74BBE&quot;/&gt;&lt;wsp:rsid wsp:val=&quot;00D74C01&quot;/&gt;&lt;wsp:rsid wsp:val=&quot;00D75570&quot;/&gt;&lt;wsp:rsid wsp:val=&quot;00D756E2&quot;/&gt;&lt;wsp:rsid wsp:val=&quot;00D75912&quot;/&gt;&lt;wsp:rsid wsp:val=&quot;00D75A7B&quot;/&gt;&lt;wsp:rsid wsp:val=&quot;00D75CB0&quot;/&gt;&lt;wsp:rsid wsp:val=&quot;00D7612C&quot;/&gt;&lt;wsp:rsid wsp:val=&quot;00D762A6&quot;/&gt;&lt;wsp:rsid wsp:val=&quot;00D76471&quot;/&gt;&lt;wsp:rsid wsp:val=&quot;00D76484&quot;/&gt;&lt;wsp:rsid wsp:val=&quot;00D765AC&quot;/&gt;&lt;wsp:rsid wsp:val=&quot;00D76875&quot;/&gt;&lt;wsp:rsid wsp:val=&quot;00D772CA&quot;/&gt;&lt;wsp:rsid wsp:val=&quot;00D7731D&quot;/&gt;&lt;wsp:rsid wsp:val=&quot;00D773E8&quot;/&gt;&lt;wsp:rsid wsp:val=&quot;00D77973&quot;/&gt;&lt;wsp:rsid wsp:val=&quot;00D77AD8&quot;/&gt;&lt;wsp:rsid wsp:val=&quot;00D801AB&quot;/&gt;&lt;wsp:rsid wsp:val=&quot;00D801DF&quot;/&gt;&lt;wsp:rsid wsp:val=&quot;00D80C23&quot;/&gt;&lt;wsp:rsid wsp:val=&quot;00D80F5A&quot;/&gt;&lt;wsp:rsid wsp:val=&quot;00D8171D&quot;/&gt;&lt;wsp:rsid wsp:val=&quot;00D81901&quot;/&gt;&lt;wsp:rsid wsp:val=&quot;00D81D7F&quot;/&gt;&lt;wsp:rsid wsp:val=&quot;00D82068&quot;/&gt;&lt;wsp:rsid wsp:val=&quot;00D821BE&quot;/&gt;&lt;wsp:rsid wsp:val=&quot;00D83500&quot;/&gt;&lt;wsp:rsid wsp:val=&quot;00D83745&quot;/&gt;&lt;wsp:rsid wsp:val=&quot;00D83B0B&quot;/&gt;&lt;wsp:rsid wsp:val=&quot;00D83C16&quot;/&gt;&lt;wsp:rsid wsp:val=&quot;00D84320&quot;/&gt;&lt;wsp:rsid wsp:val=&quot;00D84711&quot;/&gt;&lt;wsp:rsid wsp:val=&quot;00D84C83&quot;/&gt;&lt;wsp:rsid wsp:val=&quot;00D84F5B&quot;/&gt;&lt;wsp:rsid wsp:val=&quot;00D84F6F&quot;/&gt;&lt;wsp:rsid wsp:val=&quot;00D84F88&quot;/&gt;&lt;wsp:rsid wsp:val=&quot;00D85422&quot;/&gt;&lt;wsp:rsid wsp:val=&quot;00D8550B&quot;/&gt;&lt;wsp:rsid wsp:val=&quot;00D8613C&quot;/&gt;&lt;wsp:rsid wsp:val=&quot;00D867E4&quot;/&gt;&lt;wsp:rsid wsp:val=&quot;00D868BD&quot;/&gt;&lt;wsp:rsid wsp:val=&quot;00D86A1E&quot;/&gt;&lt;wsp:rsid wsp:val=&quot;00D86E83&quot;/&gt;&lt;wsp:rsid wsp:val=&quot;00D87694&quot;/&gt;&lt;wsp:rsid wsp:val=&quot;00D87E5F&quot;/&gt;&lt;wsp:rsid wsp:val=&quot;00D90166&quot;/&gt;&lt;wsp:rsid wsp:val=&quot;00D903B6&quot;/&gt;&lt;wsp:rsid wsp:val=&quot;00D90B3F&quot;/&gt;&lt;wsp:rsid wsp:val=&quot;00D91720&quot;/&gt;&lt;wsp:rsid wsp:val=&quot;00D91C2F&quot;/&gt;&lt;wsp:rsid wsp:val=&quot;00D91EB9&quot;/&gt;&lt;wsp:rsid wsp:val=&quot;00D92246&quot;/&gt;&lt;wsp:rsid wsp:val=&quot;00D923FD&quot;/&gt;&lt;wsp:rsid wsp:val=&quot;00D9257C&quot;/&gt;&lt;wsp:rsid wsp:val=&quot;00D925E0&quot;/&gt;&lt;wsp:rsid wsp:val=&quot;00D927EE&quot;/&gt;&lt;wsp:rsid wsp:val=&quot;00D9283B&quot;/&gt;&lt;wsp:rsid wsp:val=&quot;00D92951&quot;/&gt;&lt;wsp:rsid wsp:val=&quot;00D92D14&quot;/&gt;&lt;wsp:rsid wsp:val=&quot;00D92FB7&quot;/&gt;&lt;wsp:rsid wsp:val=&quot;00D934B7&quot;/&gt;&lt;wsp:rsid wsp:val=&quot;00D937E0&quot;/&gt;&lt;wsp:rsid wsp:val=&quot;00D938A8&quot;/&gt;&lt;wsp:rsid wsp:val=&quot;00D93BD4&quot;/&gt;&lt;wsp:rsid wsp:val=&quot;00D945DA&quot;/&gt;&lt;wsp:rsid wsp:val=&quot;00D94D61&quot;/&gt;&lt;wsp:rsid wsp:val=&quot;00D9523C&quot;/&gt;&lt;wsp:rsid wsp:val=&quot;00D95572&quot;/&gt;&lt;wsp:rsid wsp:val=&quot;00D9573A&quot;/&gt;&lt;wsp:rsid wsp:val=&quot;00D958A7&quot;/&gt;&lt;wsp:rsid wsp:val=&quot;00D96136&quot;/&gt;&lt;wsp:rsid wsp:val=&quot;00D96152&quot;/&gt;&lt;wsp:rsid wsp:val=&quot;00D963FB&quot;/&gt;&lt;wsp:rsid wsp:val=&quot;00D96537&quot;/&gt;&lt;wsp:rsid wsp:val=&quot;00D96730&quot;/&gt;&lt;wsp:rsid wsp:val=&quot;00D96B9B&quot;/&gt;&lt;wsp:rsid wsp:val=&quot;00D96C67&quot;/&gt;&lt;wsp:rsid wsp:val=&quot;00D96DA1&quot;/&gt;&lt;wsp:rsid wsp:val=&quot;00D96ECA&quot;/&gt;&lt;wsp:rsid wsp:val=&quot;00D97590&quot;/&gt;&lt;wsp:rsid wsp:val=&quot;00D97706&quot;/&gt;&lt;wsp:rsid wsp:val=&quot;00D97CBD&quot;/&gt;&lt;wsp:rsid wsp:val=&quot;00D97DF3&quot;/&gt;&lt;wsp:rsid wsp:val=&quot;00DA0059&quot;/&gt;&lt;wsp:rsid wsp:val=&quot;00DA08E1&quot;/&gt;&lt;wsp:rsid wsp:val=&quot;00DA0A80&quot;/&gt;&lt;wsp:rsid wsp:val=&quot;00DA108F&quot;/&gt;&lt;wsp:rsid wsp:val=&quot;00DA1519&quot;/&gt;&lt;wsp:rsid wsp:val=&quot;00DA19EA&quot;/&gt;&lt;wsp:rsid wsp:val=&quot;00DA213B&quot;/&gt;&lt;wsp:rsid wsp:val=&quot;00DA2168&quot;/&gt;&lt;wsp:rsid wsp:val=&quot;00DA2253&quot;/&gt;&lt;wsp:rsid wsp:val=&quot;00DA22BB&quot;/&gt;&lt;wsp:rsid wsp:val=&quot;00DA27F9&quot;/&gt;&lt;wsp:rsid wsp:val=&quot;00DA3210&quot;/&gt;&lt;wsp:rsid wsp:val=&quot;00DA366A&quot;/&gt;&lt;wsp:rsid wsp:val=&quot;00DA38DF&quot;/&gt;&lt;wsp:rsid wsp:val=&quot;00DA3E2C&quot;/&gt;&lt;wsp:rsid wsp:val=&quot;00DA3FAA&quot;/&gt;&lt;wsp:rsid wsp:val=&quot;00DA3FEE&quot;/&gt;&lt;wsp:rsid wsp:val=&quot;00DA404A&quot;/&gt;&lt;wsp:rsid wsp:val=&quot;00DA452C&quot;/&gt;&lt;wsp:rsid wsp:val=&quot;00DA463E&quot;/&gt;&lt;wsp:rsid wsp:val=&quot;00DA4729&quot;/&gt;&lt;wsp:rsid wsp:val=&quot;00DA49DA&quot;/&gt;&lt;wsp:rsid wsp:val=&quot;00DA4E43&quot;/&gt;&lt;wsp:rsid wsp:val=&quot;00DA5E3F&quot;/&gt;&lt;wsp:rsid wsp:val=&quot;00DA5EF9&quot;/&gt;&lt;wsp:rsid wsp:val=&quot;00DA612D&quot;/&gt;&lt;wsp:rsid wsp:val=&quot;00DA66AD&quot;/&gt;&lt;wsp:rsid wsp:val=&quot;00DA70E8&quot;/&gt;&lt;wsp:rsid wsp:val=&quot;00DA77C4&quot;/&gt;&lt;wsp:rsid wsp:val=&quot;00DA7ADE&quot;/&gt;&lt;wsp:rsid wsp:val=&quot;00DA7DB6&quot;/&gt;&lt;wsp:rsid wsp:val=&quot;00DA7F17&quot;/&gt;&lt;wsp:rsid wsp:val=&quot;00DB0382&quot;/&gt;&lt;wsp:rsid wsp:val=&quot;00DB0472&quot;/&gt;&lt;wsp:rsid wsp:val=&quot;00DB0773&quot;/&gt;&lt;wsp:rsid wsp:val=&quot;00DB08D2&quot;/&gt;&lt;wsp:rsid wsp:val=&quot;00DB11FF&quot;/&gt;&lt;wsp:rsid wsp:val=&quot;00DB126E&quot;/&gt;&lt;wsp:rsid wsp:val=&quot;00DB13E5&quot;/&gt;&lt;wsp:rsid wsp:val=&quot;00DB18AE&quot;/&gt;&lt;wsp:rsid wsp:val=&quot;00DB1F4A&quot;/&gt;&lt;wsp:rsid wsp:val=&quot;00DB216C&quot;/&gt;&lt;wsp:rsid wsp:val=&quot;00DB238E&quot;/&gt;&lt;wsp:rsid wsp:val=&quot;00DB2474&quot;/&gt;&lt;wsp:rsid wsp:val=&quot;00DB2542&quot;/&gt;&lt;wsp:rsid wsp:val=&quot;00DB2767&quot;/&gt;&lt;wsp:rsid wsp:val=&quot;00DB2AD4&quot;/&gt;&lt;wsp:rsid wsp:val=&quot;00DB3DA3&quot;/&gt;&lt;wsp:rsid wsp:val=&quot;00DB3F4B&quot;/&gt;&lt;wsp:rsid wsp:val=&quot;00DB45AC&quot;/&gt;&lt;wsp:rsid wsp:val=&quot;00DB4693&quot;/&gt;&lt;wsp:rsid wsp:val=&quot;00DB474A&quot;/&gt;&lt;wsp:rsid wsp:val=&quot;00DB4CB9&quot;/&gt;&lt;wsp:rsid wsp:val=&quot;00DB4F18&quot;/&gt;&lt;wsp:rsid wsp:val=&quot;00DB505F&quot;/&gt;&lt;wsp:rsid wsp:val=&quot;00DB52BC&quot;/&gt;&lt;wsp:rsid wsp:val=&quot;00DB580B&quot;/&gt;&lt;wsp:rsid wsp:val=&quot;00DB5BDA&quot;/&gt;&lt;wsp:rsid wsp:val=&quot;00DB6869&quot;/&gt;&lt;wsp:rsid wsp:val=&quot;00DB6CC1&quot;/&gt;&lt;wsp:rsid wsp:val=&quot;00DB7265&quot;/&gt;&lt;wsp:rsid wsp:val=&quot;00DB7513&quot;/&gt;&lt;wsp:rsid wsp:val=&quot;00DB7CFE&quot;/&gt;&lt;wsp:rsid wsp:val=&quot;00DB7DB5&quot;/&gt;&lt;wsp:rsid wsp:val=&quot;00DB7DEC&quot;/&gt;&lt;wsp:rsid wsp:val=&quot;00DC068E&quot;/&gt;&lt;wsp:rsid wsp:val=&quot;00DC0977&quot;/&gt;&lt;wsp:rsid wsp:val=&quot;00DC0A83&quot;/&gt;&lt;wsp:rsid wsp:val=&quot;00DC0BB3&quot;/&gt;&lt;wsp:rsid wsp:val=&quot;00DC0BED&quot;/&gt;&lt;wsp:rsid wsp:val=&quot;00DC0D35&quot;/&gt;&lt;wsp:rsid wsp:val=&quot;00DC1636&quot;/&gt;&lt;wsp:rsid wsp:val=&quot;00DC166D&quot;/&gt;&lt;wsp:rsid wsp:val=&quot;00DC1990&quot;/&gt;&lt;wsp:rsid wsp:val=&quot;00DC1B2F&quot;/&gt;&lt;wsp:rsid wsp:val=&quot;00DC1BF2&quot;/&gt;&lt;wsp:rsid wsp:val=&quot;00DC1E27&quot;/&gt;&lt;wsp:rsid wsp:val=&quot;00DC20A9&quot;/&gt;&lt;wsp:rsid wsp:val=&quot;00DC21A9&quot;/&gt;&lt;wsp:rsid wsp:val=&quot;00DC22BC&quot;/&gt;&lt;wsp:rsid wsp:val=&quot;00DC27A8&quot;/&gt;&lt;wsp:rsid wsp:val=&quot;00DC2FA9&quot;/&gt;&lt;wsp:rsid wsp:val=&quot;00DC4B29&quot;/&gt;&lt;wsp:rsid wsp:val=&quot;00DC4E25&quot;/&gt;&lt;wsp:rsid wsp:val=&quot;00DC4F80&quot;/&gt;&lt;wsp:rsid wsp:val=&quot;00DC50DF&quot;/&gt;&lt;wsp:rsid wsp:val=&quot;00DC6120&quot;/&gt;&lt;wsp:rsid wsp:val=&quot;00DC63F7&quot;/&gt;&lt;wsp:rsid wsp:val=&quot;00DC6423&quot;/&gt;&lt;wsp:rsid wsp:val=&quot;00DC6A58&quot;/&gt;&lt;wsp:rsid wsp:val=&quot;00DC6BCE&quot;/&gt;&lt;wsp:rsid wsp:val=&quot;00DC6CE5&quot;/&gt;&lt;wsp:rsid wsp:val=&quot;00DC6F05&quot;/&gt;&lt;wsp:rsid wsp:val=&quot;00DC73C7&quot;/&gt;&lt;wsp:rsid wsp:val=&quot;00DC7DE4&quot;/&gt;&lt;wsp:rsid wsp:val=&quot;00DD0144&quot;/&gt;&lt;wsp:rsid wsp:val=&quot;00DD01D0&quot;/&gt;&lt;wsp:rsid wsp:val=&quot;00DD035D&quot;/&gt;&lt;wsp:rsid wsp:val=&quot;00DD0423&quot;/&gt;&lt;wsp:rsid wsp:val=&quot;00DD0424&quot;/&gt;&lt;wsp:rsid wsp:val=&quot;00DD0557&quot;/&gt;&lt;wsp:rsid wsp:val=&quot;00DD095A&quot;/&gt;&lt;wsp:rsid wsp:val=&quot;00DD0A7F&quot;/&gt;&lt;wsp:rsid wsp:val=&quot;00DD0BF4&quot;/&gt;&lt;wsp:rsid wsp:val=&quot;00DD0C92&quot;/&gt;&lt;wsp:rsid wsp:val=&quot;00DD0DE3&quot;/&gt;&lt;wsp:rsid wsp:val=&quot;00DD14E8&quot;/&gt;&lt;wsp:rsid wsp:val=&quot;00DD1F0F&quot;/&gt;&lt;wsp:rsid wsp:val=&quot;00DD2221&quot;/&gt;&lt;wsp:rsid wsp:val=&quot;00DD23C5&quot;/&gt;&lt;wsp:rsid wsp:val=&quot;00DD2480&quot;/&gt;&lt;wsp:rsid wsp:val=&quot;00DD2731&quot;/&gt;&lt;wsp:rsid wsp:val=&quot;00DD29AF&quot;/&gt;&lt;wsp:rsid wsp:val=&quot;00DD2BA4&quot;/&gt;&lt;wsp:rsid wsp:val=&quot;00DD3142&quot;/&gt;&lt;wsp:rsid wsp:val=&quot;00DD33B7&quot;/&gt;&lt;wsp:rsid wsp:val=&quot;00DD3944&quot;/&gt;&lt;wsp:rsid wsp:val=&quot;00DD4331&quot;/&gt;&lt;wsp:rsid wsp:val=&quot;00DD4552&quot;/&gt;&lt;wsp:rsid wsp:val=&quot;00DD469C&quot;/&gt;&lt;wsp:rsid wsp:val=&quot;00DD47F8&quot;/&gt;&lt;wsp:rsid wsp:val=&quot;00DD4F6B&quot;/&gt;&lt;wsp:rsid wsp:val=&quot;00DD4FCC&quot;/&gt;&lt;wsp:rsid wsp:val=&quot;00DD57B9&quot;/&gt;&lt;wsp:rsid wsp:val=&quot;00DD5BD0&quot;/&gt;&lt;wsp:rsid wsp:val=&quot;00DD68CB&quot;/&gt;&lt;wsp:rsid wsp:val=&quot;00DD6B83&quot;/&gt;&lt;wsp:rsid wsp:val=&quot;00DD6DF9&quot;/&gt;&lt;wsp:rsid wsp:val=&quot;00DD6E1D&quot;/&gt;&lt;wsp:rsid wsp:val=&quot;00DD7001&quot;/&gt;&lt;wsp:rsid wsp:val=&quot;00DD7326&quot;/&gt;&lt;wsp:rsid wsp:val=&quot;00DD7685&quot;/&gt;&lt;wsp:rsid wsp:val=&quot;00DD7C2A&quot;/&gt;&lt;wsp:rsid wsp:val=&quot;00DD7D62&quot;/&gt;&lt;wsp:rsid wsp:val=&quot;00DD7DF7&quot;/&gt;&lt;wsp:rsid wsp:val=&quot;00DD7FF0&quot;/&gt;&lt;wsp:rsid wsp:val=&quot;00DD7FFB&quot;/&gt;&lt;wsp:rsid wsp:val=&quot;00DE07D4&quot;/&gt;&lt;wsp:rsid wsp:val=&quot;00DE085F&quot;/&gt;&lt;wsp:rsid wsp:val=&quot;00DE0EB7&quot;/&gt;&lt;wsp:rsid wsp:val=&quot;00DE1175&quot;/&gt;&lt;wsp:rsid wsp:val=&quot;00DE154C&quot;/&gt;&lt;wsp:rsid wsp:val=&quot;00DE16A3&quot;/&gt;&lt;wsp:rsid wsp:val=&quot;00DE17F0&quot;/&gt;&lt;wsp:rsid wsp:val=&quot;00DE21B9&quot;/&gt;&lt;wsp:rsid wsp:val=&quot;00DE25F2&quot;/&gt;&lt;wsp:rsid wsp:val=&quot;00DE2B53&quot;/&gt;&lt;wsp:rsid wsp:val=&quot;00DE2C1A&quot;/&gt;&lt;wsp:rsid wsp:val=&quot;00DE2CD3&quot;/&gt;&lt;wsp:rsid wsp:val=&quot;00DE3456&quot;/&gt;&lt;wsp:rsid wsp:val=&quot;00DE3B78&quot;/&gt;&lt;wsp:rsid wsp:val=&quot;00DE3CC1&quot;/&gt;&lt;wsp:rsid wsp:val=&quot;00DE413F&quot;/&gt;&lt;wsp:rsid wsp:val=&quot;00DE414C&quot;/&gt;&lt;wsp:rsid wsp:val=&quot;00DE47D6&quot;/&gt;&lt;wsp:rsid wsp:val=&quot;00DE496C&quot;/&gt;&lt;wsp:rsid wsp:val=&quot;00DE4A9C&quot;/&gt;&lt;wsp:rsid wsp:val=&quot;00DE4DA5&quot;/&gt;&lt;wsp:rsid wsp:val=&quot;00DE4F15&quot;/&gt;&lt;wsp:rsid wsp:val=&quot;00DE5303&quot;/&gt;&lt;wsp:rsid wsp:val=&quot;00DE55F8&quot;/&gt;&lt;wsp:rsid wsp:val=&quot;00DE576A&quot;/&gt;&lt;wsp:rsid wsp:val=&quot;00DE59C5&quot;/&gt;&lt;wsp:rsid wsp:val=&quot;00DE5FC0&quot;/&gt;&lt;wsp:rsid wsp:val=&quot;00DE61D3&quot;/&gt;&lt;wsp:rsid wsp:val=&quot;00DE64E0&quot;/&gt;&lt;wsp:rsid wsp:val=&quot;00DE6BE2&quot;/&gt;&lt;wsp:rsid wsp:val=&quot;00DE7091&quot;/&gt;&lt;wsp:rsid wsp:val=&quot;00DE71A9&quot;/&gt;&lt;wsp:rsid wsp:val=&quot;00DE7757&quot;/&gt;&lt;wsp:rsid wsp:val=&quot;00DE7B2F&quot;/&gt;&lt;wsp:rsid wsp:val=&quot;00DF02EC&quot;/&gt;&lt;wsp:rsid wsp:val=&quot;00DF181F&quot;/&gt;&lt;wsp:rsid wsp:val=&quot;00DF1B64&quot;/&gt;&lt;wsp:rsid wsp:val=&quot;00DF1B9C&quot;/&gt;&lt;wsp:rsid wsp:val=&quot;00DF1BE4&quot;/&gt;&lt;wsp:rsid wsp:val=&quot;00DF1EC7&quot;/&gt;&lt;wsp:rsid wsp:val=&quot;00DF23A2&quot;/&gt;&lt;wsp:rsid wsp:val=&quot;00DF24B7&quot;/&gt;&lt;wsp:rsid wsp:val=&quot;00DF2CFC&quot;/&gt;&lt;wsp:rsid wsp:val=&quot;00DF2F2E&quot;/&gt;&lt;wsp:rsid wsp:val=&quot;00DF2F53&quot;/&gt;&lt;wsp:rsid wsp:val=&quot;00DF3453&quot;/&gt;&lt;wsp:rsid wsp:val=&quot;00DF3980&quot;/&gt;&lt;wsp:rsid wsp:val=&quot;00DF3E90&quot;/&gt;&lt;wsp:rsid wsp:val=&quot;00DF44CD&quot;/&gt;&lt;wsp:rsid wsp:val=&quot;00DF47B2&quot;/&gt;&lt;wsp:rsid wsp:val=&quot;00DF4A7F&quot;/&gt;&lt;wsp:rsid wsp:val=&quot;00DF4BC9&quot;/&gt;&lt;wsp:rsid wsp:val=&quot;00DF4CD3&quot;/&gt;&lt;wsp:rsid wsp:val=&quot;00DF5005&quot;/&gt;&lt;wsp:rsid wsp:val=&quot;00DF50B2&quot;/&gt;&lt;wsp:rsid wsp:val=&quot;00DF52BF&quot;/&gt;&lt;wsp:rsid wsp:val=&quot;00DF5B2F&quot;/&gt;&lt;wsp:rsid wsp:val=&quot;00DF5F76&quot;/&gt;&lt;wsp:rsid wsp:val=&quot;00DF62D9&quot;/&gt;&lt;wsp:rsid wsp:val=&quot;00DF692A&quot;/&gt;&lt;wsp:rsid wsp:val=&quot;00DF6BA2&quot;/&gt;&lt;wsp:rsid wsp:val=&quot;00DF6BC5&quot;/&gt;&lt;wsp:rsid wsp:val=&quot;00DF6D56&quot;/&gt;&lt;wsp:rsid wsp:val=&quot;00DF6E14&quot;/&gt;&lt;wsp:rsid wsp:val=&quot;00DF6EDF&quot;/&gt;&lt;wsp:rsid wsp:val=&quot;00DF7081&quot;/&gt;&lt;wsp:rsid wsp:val=&quot;00DF78F3&quot;/&gt;&lt;wsp:rsid wsp:val=&quot;00DF7E04&quot;/&gt;&lt;wsp:rsid wsp:val=&quot;00E00107&quot;/&gt;&lt;wsp:rsid wsp:val=&quot;00E00166&quot;/&gt;&lt;wsp:rsid wsp:val=&quot;00E0016E&quot;/&gt;&lt;wsp:rsid wsp:val=&quot;00E0018D&quot;/&gt;&lt;wsp:rsid wsp:val=&quot;00E00247&quot;/&gt;&lt;wsp:rsid wsp:val=&quot;00E00421&quot;/&gt;&lt;wsp:rsid wsp:val=&quot;00E0058E&quot;/&gt;&lt;wsp:rsid wsp:val=&quot;00E00870&quot;/&gt;&lt;wsp:rsid wsp:val=&quot;00E00C41&quot;/&gt;&lt;wsp:rsid wsp:val=&quot;00E00F36&quot;/&gt;&lt;wsp:rsid wsp:val=&quot;00E01144&quot;/&gt;&lt;wsp:rsid wsp:val=&quot;00E0119B&quot;/&gt;&lt;wsp:rsid wsp:val=&quot;00E01D38&quot;/&gt;&lt;wsp:rsid wsp:val=&quot;00E01F74&quot;/&gt;&lt;wsp:rsid wsp:val=&quot;00E0226D&quot;/&gt;&lt;wsp:rsid wsp:val=&quot;00E0249B&quot;/&gt;&lt;wsp:rsid wsp:val=&quot;00E03AEF&quot;/&gt;&lt;wsp:rsid wsp:val=&quot;00E04615&quot;/&gt;&lt;wsp:rsid wsp:val=&quot;00E0496E&quot;/&gt;&lt;wsp:rsid wsp:val=&quot;00E04E21&quot;/&gt;&lt;wsp:rsid wsp:val=&quot;00E04F0D&quot;/&gt;&lt;wsp:rsid wsp:val=&quot;00E05281&quot;/&gt;&lt;wsp:rsid wsp:val=&quot;00E054F0&quot;/&gt;&lt;wsp:rsid wsp:val=&quot;00E0573D&quot;/&gt;&lt;wsp:rsid wsp:val=&quot;00E05918&quot;/&gt;&lt;wsp:rsid wsp:val=&quot;00E06235&quot;/&gt;&lt;wsp:rsid wsp:val=&quot;00E06869&quot;/&gt;&lt;wsp:rsid wsp:val=&quot;00E06985&quot;/&gt;&lt;wsp:rsid wsp:val=&quot;00E069CF&quot;/&gt;&lt;wsp:rsid wsp:val=&quot;00E071CB&quot;/&gt;&lt;wsp:rsid wsp:val=&quot;00E07387&quot;/&gt;&lt;wsp:rsid wsp:val=&quot;00E074B5&quot;/&gt;&lt;wsp:rsid wsp:val=&quot;00E074DC&quot;/&gt;&lt;wsp:rsid wsp:val=&quot;00E07C5A&quot;/&gt;&lt;wsp:rsid wsp:val=&quot;00E07DE7&quot;/&gt;&lt;wsp:rsid wsp:val=&quot;00E07E32&quot;/&gt;&lt;wsp:rsid wsp:val=&quot;00E1003A&quot;/&gt;&lt;wsp:rsid wsp:val=&quot;00E10063&quot;/&gt;&lt;wsp:rsid wsp:val=&quot;00E1058C&quot;/&gt;&lt;wsp:rsid wsp:val=&quot;00E10922&quot;/&gt;&lt;wsp:rsid wsp:val=&quot;00E10EA2&quot;/&gt;&lt;wsp:rsid wsp:val=&quot;00E11139&quot;/&gt;&lt;wsp:rsid wsp:val=&quot;00E11578&quot;/&gt;&lt;wsp:rsid wsp:val=&quot;00E11B63&quot;/&gt;&lt;wsp:rsid wsp:val=&quot;00E11EA6&quot;/&gt;&lt;wsp:rsid wsp:val=&quot;00E12039&quot;/&gt;&lt;wsp:rsid wsp:val=&quot;00E120E6&quot;/&gt;&lt;wsp:rsid wsp:val=&quot;00E12441&quot;/&gt;&lt;wsp:rsid wsp:val=&quot;00E129B2&quot;/&gt;&lt;wsp:rsid wsp:val=&quot;00E1341F&quot;/&gt;&lt;wsp:rsid wsp:val=&quot;00E14019&quot;/&gt;&lt;wsp:rsid wsp:val=&quot;00E1402B&quot;/&gt;&lt;wsp:rsid wsp:val=&quot;00E14B6C&quot;/&gt;&lt;wsp:rsid wsp:val=&quot;00E14BEA&quot;/&gt;&lt;wsp:rsid wsp:val=&quot;00E1519A&quot;/&gt;&lt;wsp:rsid wsp:val=&quot;00E157F7&quot;/&gt;&lt;wsp:rsid wsp:val=&quot;00E15F88&quot;/&gt;&lt;wsp:rsid wsp:val=&quot;00E160AA&quot;/&gt;&lt;wsp:rsid wsp:val=&quot;00E165AB&quot;/&gt;&lt;wsp:rsid wsp:val=&quot;00E165B0&quot;/&gt;&lt;wsp:rsid wsp:val=&quot;00E169A8&quot;/&gt;&lt;wsp:rsid wsp:val=&quot;00E16E1A&quot;/&gt;&lt;wsp:rsid wsp:val=&quot;00E16E65&quot;/&gt;&lt;wsp:rsid wsp:val=&quot;00E16EFE&quot;/&gt;&lt;wsp:rsid wsp:val=&quot;00E17262&quot;/&gt;&lt;wsp:rsid wsp:val=&quot;00E174BB&quot;/&gt;&lt;wsp:rsid wsp:val=&quot;00E17518&quot;/&gt;&lt;wsp:rsid wsp:val=&quot;00E17B35&quot;/&gt;&lt;wsp:rsid wsp:val=&quot;00E17EAF&quot;/&gt;&lt;wsp:rsid wsp:val=&quot;00E20169&quot;/&gt;&lt;wsp:rsid wsp:val=&quot;00E206DF&quot;/&gt;&lt;wsp:rsid wsp:val=&quot;00E20B51&quot;/&gt;&lt;wsp:rsid wsp:val=&quot;00E20BA0&quot;/&gt;&lt;wsp:rsid wsp:val=&quot;00E20D60&quot;/&gt;&lt;wsp:rsid wsp:val=&quot;00E20F4E&quot;/&gt;&lt;wsp:rsid wsp:val=&quot;00E21328&quot;/&gt;&lt;wsp:rsid wsp:val=&quot;00E21910&quot;/&gt;&lt;wsp:rsid wsp:val=&quot;00E21AED&quot;/&gt;&lt;wsp:rsid wsp:val=&quot;00E21B44&quot;/&gt;&lt;wsp:rsid wsp:val=&quot;00E21B5C&quot;/&gt;&lt;wsp:rsid wsp:val=&quot;00E21BDA&quot;/&gt;&lt;wsp:rsid wsp:val=&quot;00E21BF4&quot;/&gt;&lt;wsp:rsid wsp:val=&quot;00E21E34&quot;/&gt;&lt;wsp:rsid wsp:val=&quot;00E2274C&quot;/&gt;&lt;wsp:rsid wsp:val=&quot;00E22B9C&quot;/&gt;&lt;wsp:rsid wsp:val=&quot;00E22DF6&quot;/&gt;&lt;wsp:rsid wsp:val=&quot;00E237BA&quot;/&gt;&lt;wsp:rsid wsp:val=&quot;00E24415&quot;/&gt;&lt;wsp:rsid wsp:val=&quot;00E24449&quot;/&gt;&lt;wsp:rsid wsp:val=&quot;00E245C7&quot;/&gt;&lt;wsp:rsid wsp:val=&quot;00E24B4D&quot;/&gt;&lt;wsp:rsid wsp:val=&quot;00E25144&quot;/&gt;&lt;wsp:rsid wsp:val=&quot;00E253CD&quot;/&gt;&lt;wsp:rsid wsp:val=&quot;00E25461&quot;/&gt;&lt;wsp:rsid wsp:val=&quot;00E25F58&quot;/&gt;&lt;wsp:rsid wsp:val=&quot;00E26185&quot;/&gt;&lt;wsp:rsid wsp:val=&quot;00E268FB&quot;/&gt;&lt;wsp:rsid wsp:val=&quot;00E27024&quot;/&gt;&lt;wsp:rsid wsp:val=&quot;00E2755F&quot;/&gt;&lt;wsp:rsid wsp:val=&quot;00E27F58&quot;/&gt;&lt;wsp:rsid wsp:val=&quot;00E300E7&quot;/&gt;&lt;wsp:rsid wsp:val=&quot;00E30BFA&quot;/&gt;&lt;wsp:rsid wsp:val=&quot;00E3181D&quot;/&gt;&lt;wsp:rsid wsp:val=&quot;00E318A3&quot;/&gt;&lt;wsp:rsid wsp:val=&quot;00E31F21&quot;/&gt;&lt;wsp:rsid wsp:val=&quot;00E320B1&quot;/&gt;&lt;wsp:rsid wsp:val=&quot;00E3218F&quot;/&gt;&lt;wsp:rsid wsp:val=&quot;00E3249A&quot;/&gt;&lt;wsp:rsid wsp:val=&quot;00E3279E&quot;/&gt;&lt;wsp:rsid wsp:val=&quot;00E329CA&quot;/&gt;&lt;wsp:rsid wsp:val=&quot;00E32BF6&quot;/&gt;&lt;wsp:rsid wsp:val=&quot;00E32C8C&quot;/&gt;&lt;wsp:rsid wsp:val=&quot;00E32E7C&quot;/&gt;&lt;wsp:rsid wsp:val=&quot;00E33034&quot;/&gt;&lt;wsp:rsid wsp:val=&quot;00E33303&quot;/&gt;&lt;wsp:rsid wsp:val=&quot;00E334B8&quot;/&gt;&lt;wsp:rsid wsp:val=&quot;00E33546&quot;/&gt;&lt;wsp:rsid wsp:val=&quot;00E335D3&quot;/&gt;&lt;wsp:rsid wsp:val=&quot;00E33A9F&quot;/&gt;&lt;wsp:rsid wsp:val=&quot;00E33D4B&quot;/&gt;&lt;wsp:rsid wsp:val=&quot;00E33F97&quot;/&gt;&lt;wsp:rsid wsp:val=&quot;00E342C9&quot;/&gt;&lt;wsp:rsid wsp:val=&quot;00E34380&quot;/&gt;&lt;wsp:rsid wsp:val=&quot;00E3457D&quot;/&gt;&lt;wsp:rsid wsp:val=&quot;00E34741&quot;/&gt;&lt;wsp:rsid wsp:val=&quot;00E34EDD&quot;/&gt;&lt;wsp:rsid wsp:val=&quot;00E34F28&quot;/&gt;&lt;wsp:rsid wsp:val=&quot;00E34F78&quot;/&gt;&lt;wsp:rsid wsp:val=&quot;00E35ADA&quot;/&gt;&lt;wsp:rsid wsp:val=&quot;00E35B55&quot;/&gt;&lt;wsp:rsid wsp:val=&quot;00E35EE9&quot;/&gt;&lt;wsp:rsid wsp:val=&quot;00E35F9B&quot;/&gt;&lt;wsp:rsid wsp:val=&quot;00E364C1&quot;/&gt;&lt;wsp:rsid wsp:val=&quot;00E365ED&quot;/&gt;&lt;wsp:rsid wsp:val=&quot;00E366F5&quot;/&gt;&lt;wsp:rsid wsp:val=&quot;00E368BF&quot;/&gt;&lt;wsp:rsid wsp:val=&quot;00E37032&quot;/&gt;&lt;wsp:rsid wsp:val=&quot;00E37196&quot;/&gt;&lt;wsp:rsid wsp:val=&quot;00E376AA&quot;/&gt;&lt;wsp:rsid wsp:val=&quot;00E37A63&quot;/&gt;&lt;wsp:rsid wsp:val=&quot;00E37C42&quot;/&gt;&lt;wsp:rsid wsp:val=&quot;00E37D4E&quot;/&gt;&lt;wsp:rsid wsp:val=&quot;00E40990&quot;/&gt;&lt;wsp:rsid wsp:val=&quot;00E40E65&quot;/&gt;&lt;wsp:rsid wsp:val=&quot;00E410D4&quot;/&gt;&lt;wsp:rsid wsp:val=&quot;00E415CA&quot;/&gt;&lt;wsp:rsid wsp:val=&quot;00E41647&quot;/&gt;&lt;wsp:rsid wsp:val=&quot;00E417BB&quot;/&gt;&lt;wsp:rsid wsp:val=&quot;00E41861&quot;/&gt;&lt;wsp:rsid wsp:val=&quot;00E41E7A&quot;/&gt;&lt;wsp:rsid wsp:val=&quot;00E422D4&quot;/&gt;&lt;wsp:rsid wsp:val=&quot;00E42450&quot;/&gt;&lt;wsp:rsid wsp:val=&quot;00E427FF&quot;/&gt;&lt;wsp:rsid wsp:val=&quot;00E42ADB&quot;/&gt;&lt;wsp:rsid wsp:val=&quot;00E42B03&quot;/&gt;&lt;wsp:rsid wsp:val=&quot;00E43337&quot;/&gt;&lt;wsp:rsid wsp:val=&quot;00E4352F&quot;/&gt;&lt;wsp:rsid wsp:val=&quot;00E4353C&quot;/&gt;&lt;wsp:rsid wsp:val=&quot;00E43687&quot;/&gt;&lt;wsp:rsid wsp:val=&quot;00E43B4B&quot;/&gt;&lt;wsp:rsid wsp:val=&quot;00E442BB&quot;/&gt;&lt;wsp:rsid wsp:val=&quot;00E44308&quot;/&gt;&lt;wsp:rsid wsp:val=&quot;00E443A4&quot;/&gt;&lt;wsp:rsid wsp:val=&quot;00E44910&quot;/&gt;&lt;wsp:rsid wsp:val=&quot;00E44A1D&quot;/&gt;&lt;wsp:rsid wsp:val=&quot;00E44C60&quot;/&gt;&lt;wsp:rsid wsp:val=&quot;00E44CCC&quot;/&gt;&lt;wsp:rsid wsp:val=&quot;00E44D7C&quot;/&gt;&lt;wsp:rsid wsp:val=&quot;00E44F4C&quot;/&gt;&lt;wsp:rsid wsp:val=&quot;00E45C08&quot;/&gt;&lt;wsp:rsid wsp:val=&quot;00E45EFE&quot;/&gt;&lt;wsp:rsid wsp:val=&quot;00E46932&quot;/&gt;&lt;wsp:rsid wsp:val=&quot;00E46960&quot;/&gt;&lt;wsp:rsid wsp:val=&quot;00E470C6&quot;/&gt;&lt;wsp:rsid wsp:val=&quot;00E47734&quot;/&gt;&lt;wsp:rsid wsp:val=&quot;00E4785F&quot;/&gt;&lt;wsp:rsid wsp:val=&quot;00E479DC&quot;/&gt;&lt;wsp:rsid wsp:val=&quot;00E47D1F&quot;/&gt;&lt;wsp:rsid wsp:val=&quot;00E5013E&quot;/&gt;&lt;wsp:rsid wsp:val=&quot;00E50915&quot;/&gt;&lt;wsp:rsid wsp:val=&quot;00E509FD&quot;/&gt;&lt;wsp:rsid wsp:val=&quot;00E50AA8&quot;/&gt;&lt;wsp:rsid wsp:val=&quot;00E50E61&quot;/&gt;&lt;wsp:rsid wsp:val=&quot;00E51AEA&quot;/&gt;&lt;wsp:rsid wsp:val=&quot;00E51CD9&quot;/&gt;&lt;wsp:rsid wsp:val=&quot;00E51E04&quot;/&gt;&lt;wsp:rsid wsp:val=&quot;00E5218D&quot;/&gt;&lt;wsp:rsid wsp:val=&quot;00E522F9&quot;/&gt;&lt;wsp:rsid wsp:val=&quot;00E52382&quot;/&gt;&lt;wsp:rsid wsp:val=&quot;00E52D9A&quot;/&gt;&lt;wsp:rsid wsp:val=&quot;00E52ECD&quot;/&gt;&lt;wsp:rsid wsp:val=&quot;00E52EE4&quot;/&gt;&lt;wsp:rsid wsp:val=&quot;00E52F84&quot;/&gt;&lt;wsp:rsid wsp:val=&quot;00E52FFD&quot;/&gt;&lt;wsp:rsid wsp:val=&quot;00E53660&quot;/&gt;&lt;wsp:rsid wsp:val=&quot;00E53A0A&quot;/&gt;&lt;wsp:rsid wsp:val=&quot;00E53E1C&quot;/&gt;&lt;wsp:rsid wsp:val=&quot;00E54208&quot;/&gt;&lt;wsp:rsid wsp:val=&quot;00E54349&quot;/&gt;&lt;wsp:rsid wsp:val=&quot;00E54614&quot;/&gt;&lt;wsp:rsid wsp:val=&quot;00E546E0&quot;/&gt;&lt;wsp:rsid wsp:val=&quot;00E5491F&quot;/&gt;&lt;wsp:rsid wsp:val=&quot;00E54C82&quot;/&gt;&lt;wsp:rsid wsp:val=&quot;00E54F4B&quot;/&gt;&lt;wsp:rsid wsp:val=&quot;00E55FF3&quot;/&gt;&lt;wsp:rsid wsp:val=&quot;00E5656C&quot;/&gt;&lt;wsp:rsid wsp:val=&quot;00E565D4&quot;/&gt;&lt;wsp:rsid wsp:val=&quot;00E56673&quot;/&gt;&lt;wsp:rsid wsp:val=&quot;00E5681D&quot;/&gt;&lt;wsp:rsid wsp:val=&quot;00E56D94&quot;/&gt;&lt;wsp:rsid wsp:val=&quot;00E56F86&quot;/&gt;&lt;wsp:rsid wsp:val=&quot;00E5709D&quot;/&gt;&lt;wsp:rsid wsp:val=&quot;00E57375&quot;/&gt;&lt;wsp:rsid wsp:val=&quot;00E57514&quot;/&gt;&lt;wsp:rsid wsp:val=&quot;00E57561&quot;/&gt;&lt;wsp:rsid wsp:val=&quot;00E5758F&quot;/&gt;&lt;wsp:rsid wsp:val=&quot;00E57AB5&quot;/&gt;&lt;wsp:rsid wsp:val=&quot;00E57FA9&quot;/&gt;&lt;wsp:rsid wsp:val=&quot;00E6034A&quot;/&gt;&lt;wsp:rsid wsp:val=&quot;00E608B5&quot;/&gt;&lt;wsp:rsid wsp:val=&quot;00E60D6F&quot;/&gt;&lt;wsp:rsid wsp:val=&quot;00E60E51&quot;/&gt;&lt;wsp:rsid wsp:val=&quot;00E60E79&quot;/&gt;&lt;wsp:rsid wsp:val=&quot;00E610CA&quot;/&gt;&lt;wsp:rsid wsp:val=&quot;00E611B2&quot;/&gt;&lt;wsp:rsid wsp:val=&quot;00E613C9&quot;/&gt;&lt;wsp:rsid wsp:val=&quot;00E6153E&quot;/&gt;&lt;wsp:rsid wsp:val=&quot;00E6176E&quot;/&gt;&lt;wsp:rsid wsp:val=&quot;00E61935&quot;/&gt;&lt;wsp:rsid wsp:val=&quot;00E62308&quot;/&gt;&lt;wsp:rsid wsp:val=&quot;00E62527&quot;/&gt;&lt;wsp:rsid wsp:val=&quot;00E626FB&quot;/&gt;&lt;wsp:rsid wsp:val=&quot;00E62869&quot;/&gt;&lt;wsp:rsid wsp:val=&quot;00E62B78&quot;/&gt;&lt;wsp:rsid wsp:val=&quot;00E632A7&quot;/&gt;&lt;wsp:rsid wsp:val=&quot;00E633F0&quot;/&gt;&lt;wsp:rsid wsp:val=&quot;00E6391C&quot;/&gt;&lt;wsp:rsid wsp:val=&quot;00E63B45&quot;/&gt;&lt;wsp:rsid wsp:val=&quot;00E63EE1&quot;/&gt;&lt;wsp:rsid wsp:val=&quot;00E64025&quot;/&gt;&lt;wsp:rsid wsp:val=&quot;00E64546&quot;/&gt;&lt;wsp:rsid wsp:val=&quot;00E64D07&quot;/&gt;&lt;wsp:rsid wsp:val=&quot;00E64E25&quot;/&gt;&lt;wsp:rsid wsp:val=&quot;00E6518F&quot;/&gt;&lt;wsp:rsid wsp:val=&quot;00E65F05&quot;/&gt;&lt;wsp:rsid wsp:val=&quot;00E65FB1&quot;/&gt;&lt;wsp:rsid wsp:val=&quot;00E666C5&quot;/&gt;&lt;wsp:rsid wsp:val=&quot;00E6693C&quot;/&gt;&lt;wsp:rsid wsp:val=&quot;00E66F55&quot;/&gt;&lt;wsp:rsid wsp:val=&quot;00E6706C&quot;/&gt;&lt;wsp:rsid wsp:val=&quot;00E67621&quot;/&gt;&lt;wsp:rsid wsp:val=&quot;00E679AF&quot;/&gt;&lt;wsp:rsid wsp:val=&quot;00E70224&quot;/&gt;&lt;wsp:rsid wsp:val=&quot;00E704A5&quot;/&gt;&lt;wsp:rsid wsp:val=&quot;00E70711&quot;/&gt;&lt;wsp:rsid wsp:val=&quot;00E70D02&quot;/&gt;&lt;wsp:rsid wsp:val=&quot;00E71435&quot;/&gt;&lt;wsp:rsid wsp:val=&quot;00E714A1&quot;/&gt;&lt;wsp:rsid wsp:val=&quot;00E71661&quot;/&gt;&lt;wsp:rsid wsp:val=&quot;00E718FE&quot;/&gt;&lt;wsp:rsid wsp:val=&quot;00E71BFA&quot;/&gt;&lt;wsp:rsid wsp:val=&quot;00E72367&quot;/&gt;&lt;wsp:rsid wsp:val=&quot;00E7264A&quot;/&gt;&lt;wsp:rsid wsp:val=&quot;00E727EE&quot;/&gt;&lt;wsp:rsid wsp:val=&quot;00E72939&quot;/&gt;&lt;wsp:rsid wsp:val=&quot;00E73262&quot;/&gt;&lt;wsp:rsid wsp:val=&quot;00E73747&quot;/&gt;&lt;wsp:rsid wsp:val=&quot;00E738AD&quot;/&gt;&lt;wsp:rsid wsp:val=&quot;00E73AEC&quot;/&gt;&lt;wsp:rsid wsp:val=&quot;00E74796&quot;/&gt;&lt;wsp:rsid wsp:val=&quot;00E74BC2&quot;/&gt;&lt;wsp:rsid wsp:val=&quot;00E74D63&quot;/&gt;&lt;wsp:rsid wsp:val=&quot;00E7500C&quot;/&gt;&lt;wsp:rsid wsp:val=&quot;00E7505C&quot;/&gt;&lt;wsp:rsid wsp:val=&quot;00E752AE&quot;/&gt;&lt;wsp:rsid wsp:val=&quot;00E7552F&quot;/&gt;&lt;wsp:rsid wsp:val=&quot;00E75629&quot;/&gt;&lt;wsp:rsid wsp:val=&quot;00E75AC6&quot;/&gt;&lt;wsp:rsid wsp:val=&quot;00E75E82&quot;/&gt;&lt;wsp:rsid wsp:val=&quot;00E75EE5&quot;/&gt;&lt;wsp:rsid wsp:val=&quot;00E76143&quot;/&gt;&lt;wsp:rsid wsp:val=&quot;00E76F38&quot;/&gt;&lt;wsp:rsid wsp:val=&quot;00E77581&quot;/&gt;&lt;wsp:rsid wsp:val=&quot;00E7781A&quot;/&gt;&lt;wsp:rsid wsp:val=&quot;00E77B8B&quot;/&gt;&lt;wsp:rsid wsp:val=&quot;00E77D04&quot;/&gt;&lt;wsp:rsid wsp:val=&quot;00E802AE&quot;/&gt;&lt;wsp:rsid wsp:val=&quot;00E80671&quot;/&gt;&lt;wsp:rsid wsp:val=&quot;00E80ED5&quot;/&gt;&lt;wsp:rsid wsp:val=&quot;00E80FDB&quot;/&gt;&lt;wsp:rsid wsp:val=&quot;00E81B32&quot;/&gt;&lt;wsp:rsid wsp:val=&quot;00E81BA1&quot;/&gt;&lt;wsp:rsid wsp:val=&quot;00E82016&quot;/&gt;&lt;wsp:rsid wsp:val=&quot;00E82772&quot;/&gt;&lt;wsp:rsid wsp:val=&quot;00E827DE&quot;/&gt;&lt;wsp:rsid wsp:val=&quot;00E83674&quot;/&gt;&lt;wsp:rsid wsp:val=&quot;00E83C13&quot;/&gt;&lt;wsp:rsid wsp:val=&quot;00E8433E&quot;/&gt;&lt;wsp:rsid wsp:val=&quot;00E8463F&quot;/&gt;&lt;wsp:rsid wsp:val=&quot;00E84E03&quot;/&gt;&lt;wsp:rsid wsp:val=&quot;00E85262&quot;/&gt;&lt;wsp:rsid wsp:val=&quot;00E85892&quot;/&gt;&lt;wsp:rsid wsp:val=&quot;00E85A0A&quot;/&gt;&lt;wsp:rsid wsp:val=&quot;00E85EBC&quot;/&gt;&lt;wsp:rsid wsp:val=&quot;00E86176&quot;/&gt;&lt;wsp:rsid wsp:val=&quot;00E86772&quot;/&gt;&lt;wsp:rsid wsp:val=&quot;00E86CD6&quot;/&gt;&lt;wsp:rsid wsp:val=&quot;00E86D8B&quot;/&gt;&lt;wsp:rsid wsp:val=&quot;00E8777C&quot;/&gt;&lt;wsp:rsid wsp:val=&quot;00E87972&quot;/&gt;&lt;wsp:rsid wsp:val=&quot;00E8797B&quot;/&gt;&lt;wsp:rsid wsp:val=&quot;00E87A12&quot;/&gt;&lt;wsp:rsid wsp:val=&quot;00E87DA5&quot;/&gt;&lt;wsp:rsid wsp:val=&quot;00E900B8&quot;/&gt;&lt;wsp:rsid wsp:val=&quot;00E906F2&quot;/&gt;&lt;wsp:rsid wsp:val=&quot;00E90A85&quot;/&gt;&lt;wsp:rsid wsp:val=&quot;00E90ADB&quot;/&gt;&lt;wsp:rsid wsp:val=&quot;00E90AEF&quot;/&gt;&lt;wsp:rsid wsp:val=&quot;00E90B2C&quot;/&gt;&lt;wsp:rsid wsp:val=&quot;00E90B73&quot;/&gt;&lt;wsp:rsid wsp:val=&quot;00E90D03&quot;/&gt;&lt;wsp:rsid wsp:val=&quot;00E90D6A&quot;/&gt;&lt;wsp:rsid wsp:val=&quot;00E91242&quot;/&gt;&lt;wsp:rsid wsp:val=&quot;00E913BE&quot;/&gt;&lt;wsp:rsid wsp:val=&quot;00E922DF&quot;/&gt;&lt;wsp:rsid wsp:val=&quot;00E927DA&quot;/&gt;&lt;wsp:rsid wsp:val=&quot;00E92974&quot;/&gt;&lt;wsp:rsid wsp:val=&quot;00E929C9&quot;/&gt;&lt;wsp:rsid wsp:val=&quot;00E92C21&quot;/&gt;&lt;wsp:rsid wsp:val=&quot;00E940A0&quot;/&gt;&lt;wsp:rsid wsp:val=&quot;00E94167&quot;/&gt;&lt;wsp:rsid wsp:val=&quot;00E9476C&quot;/&gt;&lt;wsp:rsid wsp:val=&quot;00E9486A&quot;/&gt;&lt;wsp:rsid wsp:val=&quot;00E9527E&quot;/&gt;&lt;wsp:rsid wsp:val=&quot;00E9528B&quot;/&gt;&lt;wsp:rsid wsp:val=&quot;00E9577E&quot;/&gt;&lt;wsp:rsid wsp:val=&quot;00E957F3&quot;/&gt;&lt;wsp:rsid wsp:val=&quot;00E95BFA&quot;/&gt;&lt;wsp:rsid wsp:val=&quot;00E9609A&quot;/&gt;&lt;wsp:rsid wsp:val=&quot;00E96315&quot;/&gt;&lt;wsp:rsid wsp:val=&quot;00E964DC&quot;/&gt;&lt;wsp:rsid wsp:val=&quot;00E969CB&quot;/&gt;&lt;wsp:rsid wsp:val=&quot;00E96AB5&quot;/&gt;&lt;wsp:rsid wsp:val=&quot;00E96C13&quot;/&gt;&lt;wsp:rsid wsp:val=&quot;00E96C6C&quot;/&gt;&lt;wsp:rsid wsp:val=&quot;00E97062&quot;/&gt;&lt;wsp:rsid wsp:val=&quot;00E97130&quot;/&gt;&lt;wsp:rsid wsp:val=&quot;00E97312&quot;/&gt;&lt;wsp:rsid wsp:val=&quot;00E977D2&quot;/&gt;&lt;wsp:rsid wsp:val=&quot;00E9798A&quot;/&gt;&lt;wsp:rsid wsp:val=&quot;00E97DB5&quot;/&gt;&lt;wsp:rsid wsp:val=&quot;00E97DDB&quot;/&gt;&lt;wsp:rsid wsp:val=&quot;00E97DEB&quot;/&gt;&lt;wsp:rsid wsp:val=&quot;00EA044D&quot;/&gt;&lt;wsp:rsid wsp:val=&quot;00EA0B51&quot;/&gt;&lt;wsp:rsid wsp:val=&quot;00EA16F2&quot;/&gt;&lt;wsp:rsid wsp:val=&quot;00EA17BE&quot;/&gt;&lt;wsp:rsid wsp:val=&quot;00EA1AD9&quot;/&gt;&lt;wsp:rsid wsp:val=&quot;00EA1D6A&quot;/&gt;&lt;wsp:rsid wsp:val=&quot;00EA1D73&quot;/&gt;&lt;wsp:rsid wsp:val=&quot;00EA1F85&quot;/&gt;&lt;wsp:rsid wsp:val=&quot;00EA2710&quot;/&gt;&lt;wsp:rsid wsp:val=&quot;00EA27C0&quot;/&gt;&lt;wsp:rsid wsp:val=&quot;00EA38DF&quot;/&gt;&lt;wsp:rsid wsp:val=&quot;00EA3924&quot;/&gt;&lt;wsp:rsid wsp:val=&quot;00EA3C04&quot;/&gt;&lt;wsp:rsid wsp:val=&quot;00EA3DC1&quot;/&gt;&lt;wsp:rsid wsp:val=&quot;00EA3EF5&quot;/&gt;&lt;wsp:rsid wsp:val=&quot;00EA3F5E&quot;/&gt;&lt;wsp:rsid wsp:val=&quot;00EA459A&quot;/&gt;&lt;wsp:rsid wsp:val=&quot;00EA45D2&quot;/&gt;&lt;wsp:rsid wsp:val=&quot;00EA49F2&quot;/&gt;&lt;wsp:rsid wsp:val=&quot;00EA4CF9&quot;/&gt;&lt;wsp:rsid wsp:val=&quot;00EA51D5&quot;/&gt;&lt;wsp:rsid wsp:val=&quot;00EA5434&quot;/&gt;&lt;wsp:rsid wsp:val=&quot;00EA575C&quot;/&gt;&lt;wsp:rsid wsp:val=&quot;00EA592E&quot;/&gt;&lt;wsp:rsid wsp:val=&quot;00EA59AE&quot;/&gt;&lt;wsp:rsid wsp:val=&quot;00EA651E&quot;/&gt;&lt;wsp:rsid wsp:val=&quot;00EA65D6&quot;/&gt;&lt;wsp:rsid wsp:val=&quot;00EA676A&quot;/&gt;&lt;wsp:rsid wsp:val=&quot;00EA6C0C&quot;/&gt;&lt;wsp:rsid wsp:val=&quot;00EA6C67&quot;/&gt;&lt;wsp:rsid wsp:val=&quot;00EA6D01&quot;/&gt;&lt;wsp:rsid wsp:val=&quot;00EA6E6D&quot;/&gt;&lt;wsp:rsid wsp:val=&quot;00EA74F6&quot;/&gt;&lt;wsp:rsid wsp:val=&quot;00EA7572&quot;/&gt;&lt;wsp:rsid wsp:val=&quot;00EA7CE2&quot;/&gt;&lt;wsp:rsid wsp:val=&quot;00EA7E3C&quot;/&gt;&lt;wsp:rsid wsp:val=&quot;00EA7E63&quot;/&gt;&lt;wsp:rsid wsp:val=&quot;00EB0155&quot;/&gt;&lt;wsp:rsid wsp:val=&quot;00EB03FD&quot;/&gt;&lt;wsp:rsid wsp:val=&quot;00EB08EB&quot;/&gt;&lt;wsp:rsid wsp:val=&quot;00EB0C7B&quot;/&gt;&lt;wsp:rsid wsp:val=&quot;00EB111F&quot;/&gt;&lt;wsp:rsid wsp:val=&quot;00EB118D&quot;/&gt;&lt;wsp:rsid wsp:val=&quot;00EB15C3&quot;/&gt;&lt;wsp:rsid wsp:val=&quot;00EB1C7F&quot;/&gt;&lt;wsp:rsid wsp:val=&quot;00EB2590&quot;/&gt;&lt;wsp:rsid wsp:val=&quot;00EB2DC0&quot;/&gt;&lt;wsp:rsid wsp:val=&quot;00EB3026&quot;/&gt;&lt;wsp:rsid wsp:val=&quot;00EB3347&quot;/&gt;&lt;wsp:rsid wsp:val=&quot;00EB380F&quot;/&gt;&lt;wsp:rsid wsp:val=&quot;00EB3AA3&quot;/&gt;&lt;wsp:rsid wsp:val=&quot;00EB3AC1&quot;/&gt;&lt;wsp:rsid wsp:val=&quot;00EB3F4C&quot;/&gt;&lt;wsp:rsid wsp:val=&quot;00EB41EA&quot;/&gt;&lt;wsp:rsid wsp:val=&quot;00EB4231&quot;/&gt;&lt;wsp:rsid wsp:val=&quot;00EB459C&quot;/&gt;&lt;wsp:rsid wsp:val=&quot;00EB488E&quot;/&gt;&lt;wsp:rsid wsp:val=&quot;00EB52D5&quot;/&gt;&lt;wsp:rsid wsp:val=&quot;00EB5722&quot;/&gt;&lt;wsp:rsid wsp:val=&quot;00EB57F5&quot;/&gt;&lt;wsp:rsid wsp:val=&quot;00EB583F&quot;/&gt;&lt;wsp:rsid wsp:val=&quot;00EB5F3F&quot;/&gt;&lt;wsp:rsid wsp:val=&quot;00EB62B3&quot;/&gt;&lt;wsp:rsid wsp:val=&quot;00EB6524&quot;/&gt;&lt;wsp:rsid wsp:val=&quot;00EB66C7&quot;/&gt;&lt;wsp:rsid wsp:val=&quot;00EB6720&quot;/&gt;&lt;wsp:rsid wsp:val=&quot;00EB6808&quot;/&gt;&lt;wsp:rsid wsp:val=&quot;00EB69F8&quot;/&gt;&lt;wsp:rsid wsp:val=&quot;00EB6A5C&quot;/&gt;&lt;wsp:rsid wsp:val=&quot;00EB6D0A&quot;/&gt;&lt;wsp:rsid wsp:val=&quot;00EB72EF&quot;/&gt;&lt;wsp:rsid wsp:val=&quot;00EB73A5&quot;/&gt;&lt;wsp:rsid wsp:val=&quot;00EB7516&quot;/&gt;&lt;wsp:rsid wsp:val=&quot;00EC0326&quot;/&gt;&lt;wsp:rsid wsp:val=&quot;00EC033E&quot;/&gt;&lt;wsp:rsid wsp:val=&quot;00EC0926&quot;/&gt;&lt;wsp:rsid wsp:val=&quot;00EC0952&quot;/&gt;&lt;wsp:rsid wsp:val=&quot;00EC0E57&quot;/&gt;&lt;wsp:rsid wsp:val=&quot;00EC0FB1&quot;/&gt;&lt;wsp:rsid wsp:val=&quot;00EC1252&quot;/&gt;&lt;wsp:rsid wsp:val=&quot;00EC2A47&quot;/&gt;&lt;wsp:rsid wsp:val=&quot;00EC2AE8&quot;/&gt;&lt;wsp:rsid wsp:val=&quot;00EC2F82&quot;/&gt;&lt;wsp:rsid wsp:val=&quot;00EC32FC&quot;/&gt;&lt;wsp:rsid wsp:val=&quot;00EC3479&quot;/&gt;&lt;wsp:rsid wsp:val=&quot;00EC3572&quot;/&gt;&lt;wsp:rsid wsp:val=&quot;00EC35A6&quot;/&gt;&lt;wsp:rsid wsp:val=&quot;00EC41EF&quot;/&gt;&lt;wsp:rsid wsp:val=&quot;00EC4460&quot;/&gt;&lt;wsp:rsid wsp:val=&quot;00EC4898&quot;/&gt;&lt;wsp:rsid wsp:val=&quot;00EC497E&quot;/&gt;&lt;wsp:rsid wsp:val=&quot;00EC4CBE&quot;/&gt;&lt;wsp:rsid wsp:val=&quot;00EC4F0E&quot;/&gt;&lt;wsp:rsid wsp:val=&quot;00EC5017&quot;/&gt;&lt;wsp:rsid wsp:val=&quot;00EC5634&quot;/&gt;&lt;wsp:rsid wsp:val=&quot;00EC56E4&quot;/&gt;&lt;wsp:rsid wsp:val=&quot;00EC6013&quot;/&gt;&lt;wsp:rsid wsp:val=&quot;00EC6088&quot;/&gt;&lt;wsp:rsid wsp:val=&quot;00EC63F7&quot;/&gt;&lt;wsp:rsid wsp:val=&quot;00EC65BF&quot;/&gt;&lt;wsp:rsid wsp:val=&quot;00EC6AB4&quot;/&gt;&lt;wsp:rsid wsp:val=&quot;00EC6EAF&quot;/&gt;&lt;wsp:rsid wsp:val=&quot;00EC7149&quot;/&gt;&lt;wsp:rsid wsp:val=&quot;00EC7265&quot;/&gt;&lt;wsp:rsid wsp:val=&quot;00EC75D1&quot;/&gt;&lt;wsp:rsid wsp:val=&quot;00ED0144&quot;/&gt;&lt;wsp:rsid wsp:val=&quot;00ED016B&quot;/&gt;&lt;wsp:rsid wsp:val=&quot;00ED028D&quot;/&gt;&lt;wsp:rsid wsp:val=&quot;00ED057C&quot;/&gt;&lt;wsp:rsid wsp:val=&quot;00ED0EC5&quot;/&gt;&lt;wsp:rsid wsp:val=&quot;00ED103C&quot;/&gt;&lt;wsp:rsid wsp:val=&quot;00ED1402&quot;/&gt;&lt;wsp:rsid wsp:val=&quot;00ED1C0C&quot;/&gt;&lt;wsp:rsid wsp:val=&quot;00ED1C31&quot;/&gt;&lt;wsp:rsid wsp:val=&quot;00ED1D70&quot;/&gt;&lt;wsp:rsid wsp:val=&quot;00ED1EE4&quot;/&gt;&lt;wsp:rsid wsp:val=&quot;00ED20CA&quot;/&gt;&lt;wsp:rsid wsp:val=&quot;00ED291D&quot;/&gt;&lt;wsp:rsid wsp:val=&quot;00ED2A3A&quot;/&gt;&lt;wsp:rsid wsp:val=&quot;00ED2A69&quot;/&gt;&lt;wsp:rsid wsp:val=&quot;00ED2FCA&quot;/&gt;&lt;wsp:rsid wsp:val=&quot;00ED2FD5&quot;/&gt;&lt;wsp:rsid wsp:val=&quot;00ED33DD&quot;/&gt;&lt;wsp:rsid wsp:val=&quot;00ED3452&quot;/&gt;&lt;wsp:rsid wsp:val=&quot;00ED35D4&quot;/&gt;&lt;wsp:rsid wsp:val=&quot;00ED389E&quot;/&gt;&lt;wsp:rsid wsp:val=&quot;00ED3935&quot;/&gt;&lt;wsp:rsid wsp:val=&quot;00ED4783&quot;/&gt;&lt;wsp:rsid wsp:val=&quot;00ED47C6&quot;/&gt;&lt;wsp:rsid wsp:val=&quot;00ED4C83&quot;/&gt;&lt;wsp:rsid wsp:val=&quot;00ED4FC6&quot;/&gt;&lt;wsp:rsid wsp:val=&quot;00ED5405&quot;/&gt;&lt;wsp:rsid wsp:val=&quot;00ED56C1&quot;/&gt;&lt;wsp:rsid wsp:val=&quot;00ED58CB&quot;/&gt;&lt;wsp:rsid wsp:val=&quot;00ED6905&quot;/&gt;&lt;wsp:rsid wsp:val=&quot;00ED6E1C&quot;/&gt;&lt;wsp:rsid wsp:val=&quot;00ED742D&quot;/&gt;&lt;wsp:rsid wsp:val=&quot;00ED7914&quot;/&gt;&lt;wsp:rsid wsp:val=&quot;00ED7BD0&quot;/&gt;&lt;wsp:rsid wsp:val=&quot;00ED7D97&quot;/&gt;&lt;wsp:rsid wsp:val=&quot;00ED7E79&quot;/&gt;&lt;wsp:rsid wsp:val=&quot;00EE0739&quot;/&gt;&lt;wsp:rsid wsp:val=&quot;00EE0B06&quot;/&gt;&lt;wsp:rsid wsp:val=&quot;00EE0B0A&quot;/&gt;&lt;wsp:rsid wsp:val=&quot;00EE0BDC&quot;/&gt;&lt;wsp:rsid wsp:val=&quot;00EE0E63&quot;/&gt;&lt;wsp:rsid wsp:val=&quot;00EE1A47&quot;/&gt;&lt;wsp:rsid wsp:val=&quot;00EE1DF0&quot;/&gt;&lt;wsp:rsid wsp:val=&quot;00EE1DF8&quot;/&gt;&lt;wsp:rsid wsp:val=&quot;00EE25E4&quot;/&gt;&lt;wsp:rsid wsp:val=&quot;00EE28E1&quot;/&gt;&lt;wsp:rsid wsp:val=&quot;00EE2ADD&quot;/&gt;&lt;wsp:rsid wsp:val=&quot;00EE3066&quot;/&gt;&lt;wsp:rsid wsp:val=&quot;00EE35C8&quot;/&gt;&lt;wsp:rsid wsp:val=&quot;00EE379A&quot;/&gt;&lt;wsp:rsid wsp:val=&quot;00EE3AB3&quot;/&gt;&lt;wsp:rsid wsp:val=&quot;00EE3B65&quot;/&gt;&lt;wsp:rsid wsp:val=&quot;00EE3C6B&quot;/&gt;&lt;wsp:rsid wsp:val=&quot;00EE3C8B&quot;/&gt;&lt;wsp:rsid wsp:val=&quot;00EE3D81&quot;/&gt;&lt;wsp:rsid wsp:val=&quot;00EE3FA8&quot;/&gt;&lt;wsp:rsid wsp:val=&quot;00EE43EE&quot;/&gt;&lt;wsp:rsid wsp:val=&quot;00EE4496&quot;/&gt;&lt;wsp:rsid wsp:val=&quot;00EE4552&quot;/&gt;&lt;wsp:rsid wsp:val=&quot;00EE464C&quot;/&gt;&lt;wsp:rsid wsp:val=&quot;00EE4B29&quot;/&gt;&lt;wsp:rsid wsp:val=&quot;00EE4B3F&quot;/&gt;&lt;wsp:rsid wsp:val=&quot;00EE65C5&quot;/&gt;&lt;wsp:rsid wsp:val=&quot;00EE680B&quot;/&gt;&lt;wsp:rsid wsp:val=&quot;00EE7400&quot;/&gt;&lt;wsp:rsid wsp:val=&quot;00EE7912&quot;/&gt;&lt;wsp:rsid wsp:val=&quot;00EF013E&quot;/&gt;&lt;wsp:rsid wsp:val=&quot;00EF04CA&quot;/&gt;&lt;wsp:rsid wsp:val=&quot;00EF0649&quot;/&gt;&lt;wsp:rsid wsp:val=&quot;00EF0751&quot;/&gt;&lt;wsp:rsid wsp:val=&quot;00EF07D8&quot;/&gt;&lt;wsp:rsid wsp:val=&quot;00EF08CE&quot;/&gt;&lt;wsp:rsid wsp:val=&quot;00EF0B2A&quot;/&gt;&lt;wsp:rsid wsp:val=&quot;00EF0E83&quot;/&gt;&lt;wsp:rsid wsp:val=&quot;00EF0F0A&quot;/&gt;&lt;wsp:rsid wsp:val=&quot;00EF0FF6&quot;/&gt;&lt;wsp:rsid wsp:val=&quot;00EF104E&quot;/&gt;&lt;wsp:rsid wsp:val=&quot;00EF1688&quot;/&gt;&lt;wsp:rsid wsp:val=&quot;00EF1A3A&quot;/&gt;&lt;wsp:rsid wsp:val=&quot;00EF1C16&quot;/&gt;&lt;wsp:rsid wsp:val=&quot;00EF1E30&quot;/&gt;&lt;wsp:rsid wsp:val=&quot;00EF2005&quot;/&gt;&lt;wsp:rsid wsp:val=&quot;00EF2999&quot;/&gt;&lt;wsp:rsid wsp:val=&quot;00EF3066&quot;/&gt;&lt;wsp:rsid wsp:val=&quot;00EF30A1&quot;/&gt;&lt;wsp:rsid wsp:val=&quot;00EF372B&quot;/&gt;&lt;wsp:rsid wsp:val=&quot;00EF3F0D&quot;/&gt;&lt;wsp:rsid wsp:val=&quot;00EF4476&quot;/&gt;&lt;wsp:rsid wsp:val=&quot;00EF4B56&quot;/&gt;&lt;wsp:rsid wsp:val=&quot;00EF4DCA&quot;/&gt;&lt;wsp:rsid wsp:val=&quot;00EF4E77&quot;/&gt;&lt;wsp:rsid wsp:val=&quot;00EF51F9&quot;/&gt;&lt;wsp:rsid wsp:val=&quot;00EF555F&quot;/&gt;&lt;wsp:rsid wsp:val=&quot;00EF5805&quot;/&gt;&lt;wsp:rsid wsp:val=&quot;00EF5899&quot;/&gt;&lt;wsp:rsid wsp:val=&quot;00EF5E4E&quot;/&gt;&lt;wsp:rsid wsp:val=&quot;00EF5FA3&quot;/&gt;&lt;wsp:rsid wsp:val=&quot;00EF5FD5&quot;/&gt;&lt;wsp:rsid wsp:val=&quot;00EF642B&quot;/&gt;&lt;wsp:rsid wsp:val=&quot;00EF6766&quot;/&gt;&lt;wsp:rsid wsp:val=&quot;00EF689E&quot;/&gt;&lt;wsp:rsid wsp:val=&quot;00EF6E11&quot;/&gt;&lt;wsp:rsid wsp:val=&quot;00EF73E4&quot;/&gt;&lt;wsp:rsid wsp:val=&quot;00EF76A6&quot;/&gt;&lt;wsp:rsid wsp:val=&quot;00EF7873&quot;/&gt;&lt;wsp:rsid wsp:val=&quot;00EF7B2D&quot;/&gt;&lt;wsp:rsid wsp:val=&quot;00EF7C7E&quot;/&gt;&lt;wsp:rsid wsp:val=&quot;00F00396&quot;/&gt;&lt;wsp:rsid wsp:val=&quot;00F0062B&quot;/&gt;&lt;wsp:rsid wsp:val=&quot;00F00EEF&quot;/&gt;&lt;wsp:rsid wsp:val=&quot;00F00FE8&quot;/&gt;&lt;wsp:rsid wsp:val=&quot;00F013FF&quot;/&gt;&lt;wsp:rsid wsp:val=&quot;00F01644&quot;/&gt;&lt;wsp:rsid wsp:val=&quot;00F016F2&quot;/&gt;&lt;wsp:rsid wsp:val=&quot;00F01A8B&quot;/&gt;&lt;wsp:rsid wsp:val=&quot;00F02044&quot;/&gt;&lt;wsp:rsid wsp:val=&quot;00F02258&quot;/&gt;&lt;wsp:rsid wsp:val=&quot;00F0298F&quot;/&gt;&lt;wsp:rsid wsp:val=&quot;00F02E0C&quot;/&gt;&lt;wsp:rsid wsp:val=&quot;00F03059&quot;/&gt;&lt;wsp:rsid wsp:val=&quot;00F03186&quot;/&gt;&lt;wsp:rsid wsp:val=&quot;00F035AE&quot;/&gt;&lt;wsp:rsid wsp:val=&quot;00F03D98&quot;/&gt;&lt;wsp:rsid wsp:val=&quot;00F03F4A&quot;/&gt;&lt;wsp:rsid wsp:val=&quot;00F03FAA&quot;/&gt;&lt;wsp:rsid wsp:val=&quot;00F043C6&quot;/&gt;&lt;wsp:rsid wsp:val=&quot;00F043D8&quot;/&gt;&lt;wsp:rsid wsp:val=&quot;00F04E24&quot;/&gt;&lt;wsp:rsid wsp:val=&quot;00F0514A&quot;/&gt;&lt;wsp:rsid wsp:val=&quot;00F0528B&quot;/&gt;&lt;wsp:rsid wsp:val=&quot;00F05778&quot;/&gt;&lt;wsp:rsid wsp:val=&quot;00F05D5F&quot;/&gt;&lt;wsp:rsid wsp:val=&quot;00F065C9&quot;/&gt;&lt;wsp:rsid wsp:val=&quot;00F067E3&quot;/&gt;&lt;wsp:rsid wsp:val=&quot;00F06B61&quot;/&gt;&lt;wsp:rsid wsp:val=&quot;00F06C94&quot;/&gt;&lt;wsp:rsid wsp:val=&quot;00F06E8C&quot;/&gt;&lt;wsp:rsid wsp:val=&quot;00F0714F&quot;/&gt;&lt;wsp:rsid wsp:val=&quot;00F0780D&quot;/&gt;&lt;wsp:rsid wsp:val=&quot;00F07876&quot;/&gt;&lt;wsp:rsid wsp:val=&quot;00F1018B&quot;/&gt;&lt;wsp:rsid wsp:val=&quot;00F1021E&quot;/&gt;&lt;wsp:rsid wsp:val=&quot;00F1124D&quot;/&gt;&lt;wsp:rsid wsp:val=&quot;00F112E6&quot;/&gt;&lt;wsp:rsid wsp:val=&quot;00F1143A&quot;/&gt;&lt;wsp:rsid wsp:val=&quot;00F11489&quot;/&gt;&lt;wsp:rsid wsp:val=&quot;00F119F7&quot;/&gt;&lt;wsp:rsid wsp:val=&quot;00F11FDE&quot;/&gt;&lt;wsp:rsid wsp:val=&quot;00F12310&quot;/&gt;&lt;wsp:rsid wsp:val=&quot;00F126E5&quot;/&gt;&lt;wsp:rsid wsp:val=&quot;00F12975&quot;/&gt;&lt;wsp:rsid wsp:val=&quot;00F12B14&quot;/&gt;&lt;wsp:rsid wsp:val=&quot;00F12F19&quot;/&gt;&lt;wsp:rsid wsp:val=&quot;00F13094&quot;/&gt;&lt;wsp:rsid wsp:val=&quot;00F132A7&quot;/&gt;&lt;wsp:rsid wsp:val=&quot;00F1363C&quot;/&gt;&lt;wsp:rsid wsp:val=&quot;00F139BD&quot;/&gt;&lt;wsp:rsid wsp:val=&quot;00F139F4&quot;/&gt;&lt;wsp:rsid wsp:val=&quot;00F13B52&quot;/&gt;&lt;wsp:rsid wsp:val=&quot;00F13DFA&quot;/&gt;&lt;wsp:rsid wsp:val=&quot;00F14323&quot;/&gt;&lt;wsp:rsid wsp:val=&quot;00F14662&quot;/&gt;&lt;wsp:rsid wsp:val=&quot;00F14DC3&quot;/&gt;&lt;wsp:rsid wsp:val=&quot;00F15145&quot;/&gt;&lt;wsp:rsid wsp:val=&quot;00F15282&quot;/&gt;&lt;wsp:rsid wsp:val=&quot;00F15A5A&quot;/&gt;&lt;wsp:rsid wsp:val=&quot;00F15B16&quot;/&gt;&lt;wsp:rsid wsp:val=&quot;00F15CA1&quot;/&gt;&lt;wsp:rsid wsp:val=&quot;00F15E80&quot;/&gt;&lt;wsp:rsid wsp:val=&quot;00F165D7&quot;/&gt;&lt;wsp:rsid wsp:val=&quot;00F16D11&quot;/&gt;&lt;wsp:rsid wsp:val=&quot;00F16E74&quot;/&gt;&lt;wsp:rsid wsp:val=&quot;00F16F6B&quot;/&gt;&lt;wsp:rsid wsp:val=&quot;00F17287&quot;/&gt;&lt;wsp:rsid wsp:val=&quot;00F172D0&quot;/&gt;&lt;wsp:rsid wsp:val=&quot;00F174BB&quot;/&gt;&lt;wsp:rsid wsp:val=&quot;00F17A02&quot;/&gt;&lt;wsp:rsid wsp:val=&quot;00F17B4F&quot;/&gt;&lt;wsp:rsid wsp:val=&quot;00F204FE&quot;/&gt;&lt;wsp:rsid wsp:val=&quot;00F2068E&quot;/&gt;&lt;wsp:rsid wsp:val=&quot;00F2069F&quot;/&gt;&lt;wsp:rsid wsp:val=&quot;00F20D70&quot;/&gt;&lt;wsp:rsid wsp:val=&quot;00F21266&quot;/&gt;&lt;wsp:rsid wsp:val=&quot;00F2140D&quot;/&gt;&lt;wsp:rsid wsp:val=&quot;00F21990&quot;/&gt;&lt;wsp:rsid wsp:val=&quot;00F219C4&quot;/&gt;&lt;wsp:rsid wsp:val=&quot;00F221F2&quot;/&gt;&lt;wsp:rsid wsp:val=&quot;00F2278D&quot;/&gt;&lt;wsp:rsid wsp:val=&quot;00F22926&quot;/&gt;&lt;wsp:rsid wsp:val=&quot;00F237CB&quot;/&gt;&lt;wsp:rsid wsp:val=&quot;00F23B07&quot;/&gt;&lt;wsp:rsid wsp:val=&quot;00F23B88&quot;/&gt;&lt;wsp:rsid wsp:val=&quot;00F23B99&quot;/&gt;&lt;wsp:rsid wsp:val=&quot;00F23D16&quot;/&gt;&lt;wsp:rsid wsp:val=&quot;00F23E76&quot;/&gt;&lt;wsp:rsid wsp:val=&quot;00F24500&quot;/&gt;&lt;wsp:rsid wsp:val=&quot;00F24B11&quot;/&gt;&lt;wsp:rsid wsp:val=&quot;00F25258&quot;/&gt;&lt;wsp:rsid wsp:val=&quot;00F2531D&quot;/&gt;&lt;wsp:rsid wsp:val=&quot;00F266BA&quot;/&gt;&lt;wsp:rsid wsp:val=&quot;00F26961&quot;/&gt;&lt;wsp:rsid wsp:val=&quot;00F26DDD&quot;/&gt;&lt;wsp:rsid wsp:val=&quot;00F26E80&quot;/&gt;&lt;wsp:rsid wsp:val=&quot;00F273EF&quot;/&gt;&lt;wsp:rsid wsp:val=&quot;00F27888&quot;/&gt;&lt;wsp:rsid wsp:val=&quot;00F279BF&quot;/&gt;&lt;wsp:rsid wsp:val=&quot;00F27ABF&quot;/&gt;&lt;wsp:rsid wsp:val=&quot;00F27CEA&quot;/&gt;&lt;wsp:rsid wsp:val=&quot;00F27EA1&quot;/&gt;&lt;wsp:rsid wsp:val=&quot;00F27F15&quot;/&gt;&lt;wsp:rsid wsp:val=&quot;00F301C6&quot;/&gt;&lt;wsp:rsid wsp:val=&quot;00F3070D&quot;/&gt;&lt;wsp:rsid wsp:val=&quot;00F30927&quot;/&gt;&lt;wsp:rsid wsp:val=&quot;00F30C11&quot;/&gt;&lt;wsp:rsid wsp:val=&quot;00F31555&quot;/&gt;&lt;wsp:rsid wsp:val=&quot;00F31DEE&quot;/&gt;&lt;wsp:rsid wsp:val=&quot;00F31FE9&quot;/&gt;&lt;wsp:rsid wsp:val=&quot;00F320EA&quot;/&gt;&lt;wsp:rsid wsp:val=&quot;00F322E7&quot;/&gt;&lt;wsp:rsid wsp:val=&quot;00F324E0&quot;/&gt;&lt;wsp:rsid wsp:val=&quot;00F32805&quot;/&gt;&lt;wsp:rsid wsp:val=&quot;00F32DCA&quot;/&gt;&lt;wsp:rsid wsp:val=&quot;00F330AD&quot;/&gt;&lt;wsp:rsid wsp:val=&quot;00F33158&quot;/&gt;&lt;wsp:rsid wsp:val=&quot;00F334FC&quot;/&gt;&lt;wsp:rsid wsp:val=&quot;00F3377C&quot;/&gt;&lt;wsp:rsid wsp:val=&quot;00F33E90&quot;/&gt;&lt;wsp:rsid wsp:val=&quot;00F350CE&quot;/&gt;&lt;wsp:rsid wsp:val=&quot;00F35945&quot;/&gt;&lt;wsp:rsid wsp:val=&quot;00F36445&quot;/&gt;&lt;wsp:rsid wsp:val=&quot;00F3677D&quot;/&gt;&lt;wsp:rsid wsp:val=&quot;00F36C59&quot;/&gt;&lt;wsp:rsid wsp:val=&quot;00F37091&quot;/&gt;&lt;wsp:rsid wsp:val=&quot;00F372E3&quot;/&gt;&lt;wsp:rsid wsp:val=&quot;00F3750F&quot;/&gt;&lt;wsp:rsid wsp:val=&quot;00F37611&quot;/&gt;&lt;wsp:rsid wsp:val=&quot;00F37F49&quot;/&gt;&lt;wsp:rsid wsp:val=&quot;00F400E7&quot;/&gt;&lt;wsp:rsid wsp:val=&quot;00F40169&quot;/&gt;&lt;wsp:rsid wsp:val=&quot;00F40385&quot;/&gt;&lt;wsp:rsid wsp:val=&quot;00F4041D&quot;/&gt;&lt;wsp:rsid wsp:val=&quot;00F40431&quot;/&gt;&lt;wsp:rsid wsp:val=&quot;00F40AD6&quot;/&gt;&lt;wsp:rsid wsp:val=&quot;00F40C34&quot;/&gt;&lt;wsp:rsid wsp:val=&quot;00F40F7C&quot;/&gt;&lt;wsp:rsid wsp:val=&quot;00F40F8D&quot;/&gt;&lt;wsp:rsid wsp:val=&quot;00F4149C&quot;/&gt;&lt;wsp:rsid wsp:val=&quot;00F4175B&quot;/&gt;&lt;wsp:rsid wsp:val=&quot;00F41A9A&quot;/&gt;&lt;wsp:rsid wsp:val=&quot;00F41F1D&quot;/&gt;&lt;wsp:rsid wsp:val=&quot;00F42279&quot;/&gt;&lt;wsp:rsid wsp:val=&quot;00F428E5&quot;/&gt;&lt;wsp:rsid wsp:val=&quot;00F430D7&quot;/&gt;&lt;wsp:rsid wsp:val=&quot;00F43779&quot;/&gt;&lt;wsp:rsid wsp:val=&quot;00F43C17&quot;/&gt;&lt;wsp:rsid wsp:val=&quot;00F446A2&quot;/&gt;&lt;wsp:rsid wsp:val=&quot;00F447B7&quot;/&gt;&lt;wsp:rsid wsp:val=&quot;00F44CFA&quot;/&gt;&lt;wsp:rsid wsp:val=&quot;00F44E5E&quot;/&gt;&lt;wsp:rsid wsp:val=&quot;00F450D9&quot;/&gt;&lt;wsp:rsid wsp:val=&quot;00F4522A&quot;/&gt;&lt;wsp:rsid wsp:val=&quot;00F4525C&quot;/&gt;&lt;wsp:rsid wsp:val=&quot;00F452AE&quot;/&gt;&lt;wsp:rsid wsp:val=&quot;00F455F1&quot;/&gt;&lt;wsp:rsid wsp:val=&quot;00F45825&quot;/&gt;&lt;wsp:rsid wsp:val=&quot;00F45B81&quot;/&gt;&lt;wsp:rsid wsp:val=&quot;00F46539&quot;/&gt;&lt;wsp:rsid wsp:val=&quot;00F46799&quot;/&gt;&lt;wsp:rsid wsp:val=&quot;00F4696B&quot;/&gt;&lt;wsp:rsid wsp:val=&quot;00F46CC3&quot;/&gt;&lt;wsp:rsid wsp:val=&quot;00F4717A&quot;/&gt;&lt;wsp:rsid wsp:val=&quot;00F472EB&quot;/&gt;&lt;wsp:rsid wsp:val=&quot;00F4762D&quot;/&gt;&lt;wsp:rsid wsp:val=&quot;00F4779B&quot;/&gt;&lt;wsp:rsid wsp:val=&quot;00F4795B&quot;/&gt;&lt;wsp:rsid wsp:val=&quot;00F4799A&quot;/&gt;&lt;wsp:rsid wsp:val=&quot;00F50374&quot;/&gt;&lt;wsp:rsid wsp:val=&quot;00F503EF&quot;/&gt;&lt;wsp:rsid wsp:val=&quot;00F50C2A&quot;/&gt;&lt;wsp:rsid wsp:val=&quot;00F50F98&quot;/&gt;&lt;wsp:rsid wsp:val=&quot;00F5106C&quot;/&gt;&lt;wsp:rsid wsp:val=&quot;00F51217&quot;/&gt;&lt;wsp:rsid wsp:val=&quot;00F51493&quot;/&gt;&lt;wsp:rsid wsp:val=&quot;00F517BB&quot;/&gt;&lt;wsp:rsid wsp:val=&quot;00F51B4B&quot;/&gt;&lt;wsp:rsid wsp:val=&quot;00F51E1F&quot;/&gt;&lt;wsp:rsid wsp:val=&quot;00F51F48&quot;/&gt;&lt;wsp:rsid wsp:val=&quot;00F52179&quot;/&gt;&lt;wsp:rsid wsp:val=&quot;00F52510&quot;/&gt;&lt;wsp:rsid wsp:val=&quot;00F52668&quot;/&gt;&lt;wsp:rsid wsp:val=&quot;00F52727&quot;/&gt;&lt;wsp:rsid wsp:val=&quot;00F528B8&quot;/&gt;&lt;wsp:rsid wsp:val=&quot;00F52987&quot;/&gt;&lt;wsp:rsid wsp:val=&quot;00F52EE1&quot;/&gt;&lt;wsp:rsid wsp:val=&quot;00F5304D&quot;/&gt;&lt;wsp:rsid wsp:val=&quot;00F5345B&quot;/&gt;&lt;wsp:rsid wsp:val=&quot;00F535E6&quot;/&gt;&lt;wsp:rsid wsp:val=&quot;00F5416F&quot;/&gt;&lt;wsp:rsid wsp:val=&quot;00F5433A&quot;/&gt;&lt;wsp:rsid wsp:val=&quot;00F54693&quot;/&gt;&lt;wsp:rsid wsp:val=&quot;00F5469C&quot;/&gt;&lt;wsp:rsid wsp:val=&quot;00F54C3D&quot;/&gt;&lt;wsp:rsid wsp:val=&quot;00F54DD6&quot;/&gt;&lt;wsp:rsid wsp:val=&quot;00F54FF2&quot;/&gt;&lt;wsp:rsid wsp:val=&quot;00F5518F&quot;/&gt;&lt;wsp:rsid wsp:val=&quot;00F55396&quot;/&gt;&lt;wsp:rsid wsp:val=&quot;00F55A8D&quot;/&gt;&lt;wsp:rsid wsp:val=&quot;00F55D18&quot;/&gt;&lt;wsp:rsid wsp:val=&quot;00F55E1E&quot;/&gt;&lt;wsp:rsid wsp:val=&quot;00F561AA&quot;/&gt;&lt;wsp:rsid wsp:val=&quot;00F567DE&quot;/&gt;&lt;wsp:rsid wsp:val=&quot;00F56BF5&quot;/&gt;&lt;wsp:rsid wsp:val=&quot;00F56C15&quot;/&gt;&lt;wsp:rsid wsp:val=&quot;00F56FCE&quot;/&gt;&lt;wsp:rsid wsp:val=&quot;00F57126&quot;/&gt;&lt;wsp:rsid wsp:val=&quot;00F5712D&quot;/&gt;&lt;wsp:rsid wsp:val=&quot;00F57B95&quot;/&gt;&lt;wsp:rsid wsp:val=&quot;00F6013E&quot;/&gt;&lt;wsp:rsid wsp:val=&quot;00F60161&quot;/&gt;&lt;wsp:rsid wsp:val=&quot;00F6045B&quot;/&gt;&lt;wsp:rsid wsp:val=&quot;00F605CF&quot;/&gt;&lt;wsp:rsid wsp:val=&quot;00F60639&quot;/&gt;&lt;wsp:rsid wsp:val=&quot;00F60AAB&quot;/&gt;&lt;wsp:rsid wsp:val=&quot;00F60B75&quot;/&gt;&lt;wsp:rsid wsp:val=&quot;00F6137A&quot;/&gt;&lt;wsp:rsid wsp:val=&quot;00F618B9&quot;/&gt;&lt;wsp:rsid wsp:val=&quot;00F61940&quot;/&gt;&lt;wsp:rsid wsp:val=&quot;00F61F2F&quot;/&gt;&lt;wsp:rsid wsp:val=&quot;00F62551&quot;/&gt;&lt;wsp:rsid wsp:val=&quot;00F62575&quot;/&gt;&lt;wsp:rsid wsp:val=&quot;00F62685&quot;/&gt;&lt;wsp:rsid wsp:val=&quot;00F62B70&quot;/&gt;&lt;wsp:rsid wsp:val=&quot;00F62E4C&quot;/&gt;&lt;wsp:rsid wsp:val=&quot;00F62FD2&quot;/&gt;&lt;wsp:rsid wsp:val=&quot;00F63480&quot;/&gt;&lt;wsp:rsid wsp:val=&quot;00F63799&quot;/&gt;&lt;wsp:rsid wsp:val=&quot;00F637DC&quot;/&gt;&lt;wsp:rsid wsp:val=&quot;00F638C9&quot;/&gt;&lt;wsp:rsid wsp:val=&quot;00F63AA1&quot;/&gt;&lt;wsp:rsid wsp:val=&quot;00F63B62&quot;/&gt;&lt;wsp:rsid wsp:val=&quot;00F644D9&quot;/&gt;&lt;wsp:rsid wsp:val=&quot;00F64553&quot;/&gt;&lt;wsp:rsid wsp:val=&quot;00F645AC&quot;/&gt;&lt;wsp:rsid wsp:val=&quot;00F64D37&quot;/&gt;&lt;wsp:rsid wsp:val=&quot;00F64DD5&quot;/&gt;&lt;wsp:rsid wsp:val=&quot;00F64EDF&quot;/&gt;&lt;wsp:rsid wsp:val=&quot;00F656A1&quot;/&gt;&lt;wsp:rsid wsp:val=&quot;00F661D0&quot;/&gt;&lt;wsp:rsid wsp:val=&quot;00F6643D&quot;/&gt;&lt;wsp:rsid wsp:val=&quot;00F66976&quot;/&gt;&lt;wsp:rsid wsp:val=&quot;00F66A08&quot;/&gt;&lt;wsp:rsid wsp:val=&quot;00F66A32&quot;/&gt;&lt;wsp:rsid wsp:val=&quot;00F66A69&quot;/&gt;&lt;wsp:rsid wsp:val=&quot;00F66AF5&quot;/&gt;&lt;wsp:rsid wsp:val=&quot;00F66C9C&quot;/&gt;&lt;wsp:rsid wsp:val=&quot;00F672D9&quot;/&gt;&lt;wsp:rsid wsp:val=&quot;00F6755B&quot;/&gt;&lt;wsp:rsid wsp:val=&quot;00F67BD8&quot;/&gt;&lt;wsp:rsid wsp:val=&quot;00F67CE2&quot;/&gt;&lt;wsp:rsid wsp:val=&quot;00F70815&quot;/&gt;&lt;wsp:rsid wsp:val=&quot;00F719AB&quot;/&gt;&lt;wsp:rsid wsp:val=&quot;00F71C1D&quot;/&gt;&lt;wsp:rsid wsp:val=&quot;00F71EB4&quot;/&gt;&lt;wsp:rsid wsp:val=&quot;00F7201B&quot;/&gt;&lt;wsp:rsid wsp:val=&quot;00F72B28&quot;/&gt;&lt;wsp:rsid wsp:val=&quot;00F72E16&quot;/&gt;&lt;wsp:rsid wsp:val=&quot;00F72EA6&quot;/&gt;&lt;wsp:rsid wsp:val=&quot;00F72EC4&quot;/&gt;&lt;wsp:rsid wsp:val=&quot;00F73292&quot;/&gt;&lt;wsp:rsid wsp:val=&quot;00F736DF&quot;/&gt;&lt;wsp:rsid wsp:val=&quot;00F73BF8&quot;/&gt;&lt;wsp:rsid wsp:val=&quot;00F73CDB&quot;/&gt;&lt;wsp:rsid wsp:val=&quot;00F741D6&quot;/&gt;&lt;wsp:rsid wsp:val=&quot;00F746C3&quot;/&gt;&lt;wsp:rsid wsp:val=&quot;00F74831&quot;/&gt;&lt;wsp:rsid wsp:val=&quot;00F74EC7&quot;/&gt;&lt;wsp:rsid wsp:val=&quot;00F7563C&quot;/&gt;&lt;wsp:rsid wsp:val=&quot;00F75CE4&quot;/&gt;&lt;wsp:rsid wsp:val=&quot;00F76036&quot;/&gt;&lt;wsp:rsid wsp:val=&quot;00F762F3&quot;/&gt;&lt;wsp:rsid wsp:val=&quot;00F763C4&quot;/&gt;&lt;wsp:rsid wsp:val=&quot;00F76AD3&quot;/&gt;&lt;wsp:rsid wsp:val=&quot;00F770EE&quot;/&gt;&lt;wsp:rsid wsp:val=&quot;00F774C1&quot;/&gt;&lt;wsp:rsid wsp:val=&quot;00F800FB&quot;/&gt;&lt;wsp:rsid wsp:val=&quot;00F80447&quot;/&gt;&lt;wsp:rsid wsp:val=&quot;00F80ADB&quot;/&gt;&lt;wsp:rsid wsp:val=&quot;00F811F6&quot;/&gt;&lt;wsp:rsid wsp:val=&quot;00F81945&quot;/&gt;&lt;wsp:rsid wsp:val=&quot;00F81D05&quot;/&gt;&lt;wsp:rsid wsp:val=&quot;00F82682&quot;/&gt;&lt;wsp:rsid wsp:val=&quot;00F826B6&quot;/&gt;&lt;wsp:rsid wsp:val=&quot;00F82C19&quot;/&gt;&lt;wsp:rsid wsp:val=&quot;00F82CA1&quot;/&gt;&lt;wsp:rsid wsp:val=&quot;00F83229&quot;/&gt;&lt;wsp:rsid wsp:val=&quot;00F833AA&quot;/&gt;&lt;wsp:rsid wsp:val=&quot;00F833C3&quot;/&gt;&lt;wsp:rsid wsp:val=&quot;00F8380B&quot;/&gt;&lt;wsp:rsid wsp:val=&quot;00F844DF&quot;/&gt;&lt;wsp:rsid wsp:val=&quot;00F84713&quot;/&gt;&lt;wsp:rsid wsp:val=&quot;00F84939&quot;/&gt;&lt;wsp:rsid wsp:val=&quot;00F85201&quot;/&gt;&lt;wsp:rsid wsp:val=&quot;00F8529D&quot;/&gt;&lt;wsp:rsid wsp:val=&quot;00F857E7&quot;/&gt;&lt;wsp:rsid wsp:val=&quot;00F865E7&quot;/&gt;&lt;wsp:rsid wsp:val=&quot;00F86D68&quot;/&gt;&lt;wsp:rsid wsp:val=&quot;00F87069&quot;/&gt;&lt;wsp:rsid wsp:val=&quot;00F874FE&quot;/&gt;&lt;wsp:rsid wsp:val=&quot;00F878BC&quot;/&gt;&lt;wsp:rsid wsp:val=&quot;00F87A86&quot;/&gt;&lt;wsp:rsid wsp:val=&quot;00F87D61&quot;/&gt;&lt;wsp:rsid wsp:val=&quot;00F90165&quot;/&gt;&lt;wsp:rsid wsp:val=&quot;00F9021A&quot;/&gt;&lt;wsp:rsid wsp:val=&quot;00F9029A&quot;/&gt;&lt;wsp:rsid wsp:val=&quot;00F90FC2&quot;/&gt;&lt;wsp:rsid wsp:val=&quot;00F916A7&quot;/&gt;&lt;wsp:rsid wsp:val=&quot;00F91BD0&quot;/&gt;&lt;wsp:rsid wsp:val=&quot;00F91FE8&quot;/&gt;&lt;wsp:rsid wsp:val=&quot;00F9219C&quot;/&gt;&lt;wsp:rsid wsp:val=&quot;00F92614&quot;/&gt;&lt;wsp:rsid wsp:val=&quot;00F92647&quot;/&gt;&lt;wsp:rsid wsp:val=&quot;00F92C24&quot;/&gt;&lt;wsp:rsid wsp:val=&quot;00F92E6A&quot;/&gt;&lt;wsp:rsid wsp:val=&quot;00F9302E&quot;/&gt;&lt;wsp:rsid wsp:val=&quot;00F931E8&quot;/&gt;&lt;wsp:rsid wsp:val=&quot;00F93337&quot;/&gt;&lt;wsp:rsid wsp:val=&quot;00F937AA&quot;/&gt;&lt;wsp:rsid wsp:val=&quot;00F939F3&quot;/&gt;&lt;wsp:rsid wsp:val=&quot;00F93A9A&quot;/&gt;&lt;wsp:rsid wsp:val=&quot;00F93AFD&quot;/&gt;&lt;wsp:rsid wsp:val=&quot;00F93BB5&quot;/&gt;&lt;wsp:rsid wsp:val=&quot;00F943E8&quot;/&gt;&lt;wsp:rsid wsp:val=&quot;00F94CF7&quot;/&gt;&lt;wsp:rsid wsp:val=&quot;00F950E7&quot;/&gt;&lt;wsp:rsid wsp:val=&quot;00F953D0&quot;/&gt;&lt;wsp:rsid wsp:val=&quot;00F95BA7&quot;/&gt;&lt;wsp:rsid wsp:val=&quot;00F95E2C&quot;/&gt;&lt;wsp:rsid wsp:val=&quot;00F95EDF&quot;/&gt;&lt;wsp:rsid wsp:val=&quot;00F96187&quot;/&gt;&lt;wsp:rsid wsp:val=&quot;00F96454&quot;/&gt;&lt;wsp:rsid wsp:val=&quot;00F966AF&quot;/&gt;&lt;wsp:rsid wsp:val=&quot;00F969FE&quot;/&gt;&lt;wsp:rsid wsp:val=&quot;00F96A2F&quot;/&gt;&lt;wsp:rsid wsp:val=&quot;00F97302&quot;/&gt;&lt;wsp:rsid wsp:val=&quot;00F973D4&quot;/&gt;&lt;wsp:rsid wsp:val=&quot;00F974D8&quot;/&gt;&lt;wsp:rsid wsp:val=&quot;00F97A06&quot;/&gt;&lt;wsp:rsid wsp:val=&quot;00F97D19&quot;/&gt;&lt;wsp:rsid wsp:val=&quot;00FA0699&quot;/&gt;&lt;wsp:rsid wsp:val=&quot;00FA154B&quot;/&gt;&lt;wsp:rsid wsp:val=&quot;00FA15ED&quot;/&gt;&lt;wsp:rsid wsp:val=&quot;00FA161D&quot;/&gt;&lt;wsp:rsid wsp:val=&quot;00FA1649&quot;/&gt;&lt;wsp:rsid wsp:val=&quot;00FA206E&quot;/&gt;&lt;wsp:rsid wsp:val=&quot;00FA21E6&quot;/&gt;&lt;wsp:rsid wsp:val=&quot;00FA2500&quot;/&gt;&lt;wsp:rsid wsp:val=&quot;00FA26E4&quot;/&gt;&lt;wsp:rsid wsp:val=&quot;00FA2830&quot;/&gt;&lt;wsp:rsid wsp:val=&quot;00FA2B6F&quot;/&gt;&lt;wsp:rsid wsp:val=&quot;00FA2E40&quot;/&gt;&lt;wsp:rsid wsp:val=&quot;00FA3108&quot;/&gt;&lt;wsp:rsid wsp:val=&quot;00FA32E3&quot;/&gt;&lt;wsp:rsid wsp:val=&quot;00FA3536&quot;/&gt;&lt;wsp:rsid wsp:val=&quot;00FA35F9&quot;/&gt;&lt;wsp:rsid wsp:val=&quot;00FA3B1D&quot;/&gt;&lt;wsp:rsid wsp:val=&quot;00FA3B8E&quot;/&gt;&lt;wsp:rsid wsp:val=&quot;00FA3D4E&quot;/&gt;&lt;wsp:rsid wsp:val=&quot;00FA3E2C&quot;/&gt;&lt;wsp:rsid wsp:val=&quot;00FA44CB&quot;/&gt;&lt;wsp:rsid wsp:val=&quot;00FA459A&quot;/&gt;&lt;wsp:rsid wsp:val=&quot;00FA46F1&quot;/&gt;&lt;wsp:rsid wsp:val=&quot;00FA4852&quot;/&gt;&lt;wsp:rsid wsp:val=&quot;00FA5477&quot;/&gt;&lt;wsp:rsid wsp:val=&quot;00FA5558&quot;/&gt;&lt;wsp:rsid wsp:val=&quot;00FA5703&quot;/&gt;&lt;wsp:rsid wsp:val=&quot;00FA5FDA&quot;/&gt;&lt;wsp:rsid wsp:val=&quot;00FA6723&quot;/&gt;&lt;wsp:rsid wsp:val=&quot;00FA67FC&quot;/&gt;&lt;wsp:rsid wsp:val=&quot;00FA6939&quot;/&gt;&lt;wsp:rsid wsp:val=&quot;00FA6EFF&quot;/&gt;&lt;wsp:rsid wsp:val=&quot;00FA6F54&quot;/&gt;&lt;wsp:rsid wsp:val=&quot;00FA70AE&quot;/&gt;&lt;wsp:rsid wsp:val=&quot;00FA77E0&quot;/&gt;&lt;wsp:rsid wsp:val=&quot;00FA7C31&quot;/&gt;&lt;wsp:rsid wsp:val=&quot;00FA7CAF&quot;/&gt;&lt;wsp:rsid wsp:val=&quot;00FB02B9&quot;/&gt;&lt;wsp:rsid wsp:val=&quot;00FB047F&quot;/&gt;&lt;wsp:rsid wsp:val=&quot;00FB0B8B&quot;/&gt;&lt;wsp:rsid wsp:val=&quot;00FB0BD5&quot;/&gt;&lt;wsp:rsid wsp:val=&quot;00FB0F8B&quot;/&gt;&lt;wsp:rsid wsp:val=&quot;00FB113A&quot;/&gt;&lt;wsp:rsid wsp:val=&quot;00FB11F5&quot;/&gt;&lt;wsp:rsid wsp:val=&quot;00FB174F&quot;/&gt;&lt;wsp:rsid wsp:val=&quot;00FB20B6&quot;/&gt;&lt;wsp:rsid wsp:val=&quot;00FB2282&quot;/&gt;&lt;wsp:rsid wsp:val=&quot;00FB246C&quot;/&gt;&lt;wsp:rsid wsp:val=&quot;00FB252C&quot;/&gt;&lt;wsp:rsid wsp:val=&quot;00FB2A16&quot;/&gt;&lt;wsp:rsid wsp:val=&quot;00FB2AD2&quot;/&gt;&lt;wsp:rsid wsp:val=&quot;00FB2C57&quot;/&gt;&lt;wsp:rsid wsp:val=&quot;00FB306C&quot;/&gt;&lt;wsp:rsid wsp:val=&quot;00FB3BD2&quot;/&gt;&lt;wsp:rsid wsp:val=&quot;00FB4C8E&quot;/&gt;&lt;wsp:rsid wsp:val=&quot;00FB4FBA&quot;/&gt;&lt;wsp:rsid wsp:val=&quot;00FB5204&quot;/&gt;&lt;wsp:rsid wsp:val=&quot;00FB5636&quot;/&gt;&lt;wsp:rsid wsp:val=&quot;00FB5760&quot;/&gt;&lt;wsp:rsid wsp:val=&quot;00FB60A5&quot;/&gt;&lt;wsp:rsid wsp:val=&quot;00FB6109&quot;/&gt;&lt;wsp:rsid wsp:val=&quot;00FB64AF&quot;/&gt;&lt;wsp:rsid wsp:val=&quot;00FB676A&quot;/&gt;&lt;wsp:rsid wsp:val=&quot;00FB6E72&quot;/&gt;&lt;wsp:rsid wsp:val=&quot;00FB72EA&quot;/&gt;&lt;wsp:rsid wsp:val=&quot;00FB7526&quot;/&gt;&lt;wsp:rsid wsp:val=&quot;00FB7767&quot;/&gt;&lt;wsp:rsid wsp:val=&quot;00FB78E1&quot;/&gt;&lt;wsp:rsid wsp:val=&quot;00FB7A18&quot;/&gt;&lt;wsp:rsid wsp:val=&quot;00FB7B7E&quot;/&gt;&lt;wsp:rsid wsp:val=&quot;00FC020B&quot;/&gt;&lt;wsp:rsid wsp:val=&quot;00FC069F&quot;/&gt;&lt;wsp:rsid wsp:val=&quot;00FC06DE&quot;/&gt;&lt;wsp:rsid wsp:val=&quot;00FC1446&quot;/&gt;&lt;wsp:rsid wsp:val=&quot;00FC1570&quot;/&gt;&lt;wsp:rsid wsp:val=&quot;00FC19B7&quot;/&gt;&lt;wsp:rsid wsp:val=&quot;00FC1F57&quot;/&gt;&lt;wsp:rsid wsp:val=&quot;00FC2056&quot;/&gt;&lt;wsp:rsid wsp:val=&quot;00FC299A&quot;/&gt;&lt;wsp:rsid wsp:val=&quot;00FC2CC7&quot;/&gt;&lt;wsp:rsid wsp:val=&quot;00FC2E46&quot;/&gt;&lt;wsp:rsid wsp:val=&quot;00FC2E60&quot;/&gt;&lt;wsp:rsid wsp:val=&quot;00FC34F9&quot;/&gt;&lt;wsp:rsid wsp:val=&quot;00FC39EF&quot;/&gt;&lt;wsp:rsid wsp:val=&quot;00FC3F07&quot;/&gt;&lt;wsp:rsid wsp:val=&quot;00FC3F0E&quot;/&gt;&lt;wsp:rsid wsp:val=&quot;00FC41AB&quot;/&gt;&lt;wsp:rsid wsp:val=&quot;00FC44D4&quot;/&gt;&lt;wsp:rsid wsp:val=&quot;00FC52A8&quot;/&gt;&lt;wsp:rsid wsp:val=&quot;00FC582F&quot;/&gt;&lt;wsp:rsid wsp:val=&quot;00FC5E12&quot;/&gt;&lt;wsp:rsid wsp:val=&quot;00FC5EB1&quot;/&gt;&lt;wsp:rsid wsp:val=&quot;00FC5F14&quot;/&gt;&lt;wsp:rsid wsp:val=&quot;00FC5FD6&quot;/&gt;&lt;wsp:rsid wsp:val=&quot;00FC61FF&quot;/&gt;&lt;wsp:rsid wsp:val=&quot;00FC7681&quot;/&gt;&lt;wsp:rsid wsp:val=&quot;00FC78A9&quot;/&gt;&lt;wsp:rsid wsp:val=&quot;00FD00E7&quot;/&gt;&lt;wsp:rsid wsp:val=&quot;00FD015C&quot;/&gt;&lt;wsp:rsid wsp:val=&quot;00FD051F&quot;/&gt;&lt;wsp:rsid wsp:val=&quot;00FD07F8&quot;/&gt;&lt;wsp:rsid wsp:val=&quot;00FD0EA2&quot;/&gt;&lt;wsp:rsid wsp:val=&quot;00FD1375&quot;/&gt;&lt;wsp:rsid wsp:val=&quot;00FD1CFD&quot;/&gt;&lt;wsp:rsid wsp:val=&quot;00FD2073&quot;/&gt;&lt;wsp:rsid wsp:val=&quot;00FD22A4&quot;/&gt;&lt;wsp:rsid wsp:val=&quot;00FD24D9&quot;/&gt;&lt;wsp:rsid wsp:val=&quot;00FD2676&quot;/&gt;&lt;wsp:rsid wsp:val=&quot;00FD2822&quot;/&gt;&lt;wsp:rsid wsp:val=&quot;00FD2F02&quot;/&gt;&lt;wsp:rsid wsp:val=&quot;00FD2FA4&quot;/&gt;&lt;wsp:rsid wsp:val=&quot;00FD33FA&quot;/&gt;&lt;wsp:rsid wsp:val=&quot;00FD4370&quot;/&gt;&lt;wsp:rsid wsp:val=&quot;00FD4992&quot;/&gt;&lt;wsp:rsid wsp:val=&quot;00FD4C41&quot;/&gt;&lt;wsp:rsid wsp:val=&quot;00FD4E4D&quot;/&gt;&lt;wsp:rsid wsp:val=&quot;00FD5400&quot;/&gt;&lt;wsp:rsid wsp:val=&quot;00FD57BB&quot;/&gt;&lt;wsp:rsid wsp:val=&quot;00FD5807&quot;/&gt;&lt;wsp:rsid wsp:val=&quot;00FD5AED&quot;/&gt;&lt;wsp:rsid wsp:val=&quot;00FD5C33&quot;/&gt;&lt;wsp:rsid wsp:val=&quot;00FD64D1&quot;/&gt;&lt;wsp:rsid wsp:val=&quot;00FD6CF6&quot;/&gt;&lt;wsp:rsid wsp:val=&quot;00FD6EC4&quot;/&gt;&lt;wsp:rsid wsp:val=&quot;00FD6F67&quot;/&gt;&lt;wsp:rsid wsp:val=&quot;00FD734F&quot;/&gt;&lt;wsp:rsid wsp:val=&quot;00FD7B2F&quot;/&gt;&lt;wsp:rsid wsp:val=&quot;00FE080F&quot;/&gt;&lt;wsp:rsid wsp:val=&quot;00FE0909&quot;/&gt;&lt;wsp:rsid wsp:val=&quot;00FE0B60&quot;/&gt;&lt;wsp:rsid wsp:val=&quot;00FE0C37&quot;/&gt;&lt;wsp:rsid wsp:val=&quot;00FE1048&quot;/&gt;&lt;wsp:rsid wsp:val=&quot;00FE1266&quot;/&gt;&lt;wsp:rsid wsp:val=&quot;00FE17F3&quot;/&gt;&lt;wsp:rsid wsp:val=&quot;00FE1890&quot;/&gt;&lt;wsp:rsid wsp:val=&quot;00FE1983&quot;/&gt;&lt;wsp:rsid wsp:val=&quot;00FE1E06&quot;/&gt;&lt;wsp:rsid wsp:val=&quot;00FE2264&quot;/&gt;&lt;wsp:rsid wsp:val=&quot;00FE2701&quot;/&gt;&lt;wsp:rsid wsp:val=&quot;00FE2862&quot;/&gt;&lt;wsp:rsid wsp:val=&quot;00FE2A92&quot;/&gt;&lt;wsp:rsid wsp:val=&quot;00FE2BB3&quot;/&gt;&lt;wsp:rsid wsp:val=&quot;00FE2D2E&quot;/&gt;&lt;wsp:rsid wsp:val=&quot;00FE30D0&quot;/&gt;&lt;wsp:rsid wsp:val=&quot;00FE314C&quot;/&gt;&lt;wsp:rsid wsp:val=&quot;00FE352A&quot;/&gt;&lt;wsp:rsid wsp:val=&quot;00FE37C8&quot;/&gt;&lt;wsp:rsid wsp:val=&quot;00FE38E7&quot;/&gt;&lt;wsp:rsid wsp:val=&quot;00FE3F2D&quot;/&gt;&lt;wsp:rsid wsp:val=&quot;00FE40CB&quot;/&gt;&lt;wsp:rsid wsp:val=&quot;00FE4370&quot;/&gt;&lt;wsp:rsid wsp:val=&quot;00FE4CA5&quot;/&gt;&lt;wsp:rsid wsp:val=&quot;00FE5157&quot;/&gt;&lt;wsp:rsid wsp:val=&quot;00FE529D&quot;/&gt;&lt;wsp:rsid wsp:val=&quot;00FE54CF&quot;/&gt;&lt;wsp:rsid wsp:val=&quot;00FE59AB&quot;/&gt;&lt;wsp:rsid wsp:val=&quot;00FE5CAD&quot;/&gt;&lt;wsp:rsid wsp:val=&quot;00FE5EE2&quot;/&gt;&lt;wsp:rsid wsp:val=&quot;00FE61CB&quot;/&gt;&lt;wsp:rsid wsp:val=&quot;00FE661A&quot;/&gt;&lt;wsp:rsid wsp:val=&quot;00FE6987&quot;/&gt;&lt;wsp:rsid wsp:val=&quot;00FE6CF6&quot;/&gt;&lt;wsp:rsid wsp:val=&quot;00FE7145&quot;/&gt;&lt;wsp:rsid wsp:val=&quot;00FE7180&quot;/&gt;&lt;wsp:rsid wsp:val=&quot;00FE771F&quot;/&gt;&lt;wsp:rsid wsp:val=&quot;00FE7B66&quot;/&gt;&lt;wsp:rsid wsp:val=&quot;00FF01A2&quot;/&gt;&lt;wsp:rsid wsp:val=&quot;00FF0599&quot;/&gt;&lt;wsp:rsid wsp:val=&quot;00FF0B91&quot;/&gt;&lt;wsp:rsid wsp:val=&quot;00FF0DFF&quot;/&gt;&lt;wsp:rsid wsp:val=&quot;00FF13E9&quot;/&gt;&lt;wsp:rsid wsp:val=&quot;00FF16BE&quot;/&gt;&lt;wsp:rsid wsp:val=&quot;00FF1CCF&quot;/&gt;&lt;wsp:rsid wsp:val=&quot;00FF21C5&quot;/&gt;&lt;wsp:rsid wsp:val=&quot;00FF258D&quot;/&gt;&lt;wsp:rsid wsp:val=&quot;00FF2652&quot;/&gt;&lt;wsp:rsid wsp:val=&quot;00FF27BB&quot;/&gt;&lt;wsp:rsid wsp:val=&quot;00FF2B7E&quot;/&gt;&lt;wsp:rsid wsp:val=&quot;00FF2D2A&quot;/&gt;&lt;wsp:rsid wsp:val=&quot;00FF3936&quot;/&gt;&lt;wsp:rsid wsp:val=&quot;00FF3B19&quot;/&gt;&lt;wsp:rsid wsp:val=&quot;00FF3D88&quot;/&gt;&lt;wsp:rsid wsp:val=&quot;00FF445B&quot;/&gt;&lt;wsp:rsid wsp:val=&quot;00FF45AC&quot;/&gt;&lt;wsp:rsid wsp:val=&quot;00FF4A33&quot;/&gt;&lt;wsp:rsid wsp:val=&quot;00FF4CBD&quot;/&gt;&lt;wsp:rsid wsp:val=&quot;00FF4E1A&quot;/&gt;&lt;wsp:rsid wsp:val=&quot;00FF4E9C&quot;/&gt;&lt;wsp:rsid wsp:val=&quot;00FF5012&quot;/&gt;&lt;wsp:rsid wsp:val=&quot;00FF52C9&quot;/&gt;&lt;wsp:rsid wsp:val=&quot;00FF53DB&quot;/&gt;&lt;wsp:rsid wsp:val=&quot;00FF5460&quot;/&gt;&lt;wsp:rsid wsp:val=&quot;00FF63E0&quot;/&gt;&lt;wsp:rsid wsp:val=&quot;00FF643A&quot;/&gt;&lt;wsp:rsid wsp:val=&quot;00FF6E03&quot;/&gt;&lt;wsp:rsid wsp:val=&quot;00FF6FFA&quot;/&gt;&lt;wsp:rsid wsp:val=&quot;00FF7079&quot;/&gt;&lt;wsp:rsid wsp:val=&quot;00FF72BE&quot;/&gt;&lt;wsp:rsid wsp:val=&quot;00FF7522&quot;/&gt;&lt;wsp:rsid wsp:val=&quot;00FF7598&quot;/&gt;&lt;wsp:rsid wsp:val=&quot;01415FE5&quot;/&gt;&lt;wsp:rsid wsp:val=&quot;016F0D06&quot;/&gt;&lt;wsp:rsid wsp:val=&quot;01757940&quot;/&gt;&lt;wsp:rsid wsp:val=&quot;017D380F&quot;/&gt;&lt;wsp:rsid wsp:val=&quot;019065BA&quot;/&gt;&lt;wsp:rsid wsp:val=&quot;01953A3F&quot;/&gt;&lt;wsp:rsid wsp:val=&quot;01BF0AE6&quot;/&gt;&lt;wsp:rsid wsp:val=&quot;01C166F4&quot;/&gt;&lt;wsp:rsid wsp:val=&quot;01FA253F&quot;/&gt;&lt;wsp:rsid wsp:val=&quot;01FC66F2&quot;/&gt;&lt;wsp:rsid wsp:val=&quot;02105F39&quot;/&gt;&lt;wsp:rsid wsp:val=&quot;02452AB5&quot;/&gt;&lt;wsp:rsid wsp:val=&quot;02710FDB&quot;/&gt;&lt;wsp:rsid wsp:val=&quot;027A27B1&quot;/&gt;&lt;wsp:rsid wsp:val=&quot;02833870&quot;/&gt;&lt;wsp:rsid wsp:val=&quot;029465DE&quot;/&gt;&lt;wsp:rsid wsp:val=&quot;02AA4C24&quot;/&gt;&lt;wsp:rsid wsp:val=&quot;02E31761&quot;/&gt;&lt;wsp:rsid wsp:val=&quot;03122645&quot;/&gt;&lt;wsp:rsid wsp:val=&quot;031306C4&quot;/&gt;&lt;wsp:rsid wsp:val=&quot;034B37C8&quot;/&gt;&lt;wsp:rsid wsp:val=&quot;03910C0E&quot;/&gt;&lt;wsp:rsid wsp:val=&quot;039B50A8&quot;/&gt;&lt;wsp:rsid wsp:val=&quot;03BC15F1&quot;/&gt;&lt;wsp:rsid wsp:val=&quot;04133A2D&quot;/&gt;&lt;wsp:rsid wsp:val=&quot;04292B87&quot;/&gt;&lt;wsp:rsid wsp:val=&quot;043226C7&quot;/&gt;&lt;wsp:rsid wsp:val=&quot;043E5088&quot;/&gt;&lt;wsp:rsid wsp:val=&quot;04833F91&quot;/&gt;&lt;wsp:rsid wsp:val=&quot;04874089&quot;/&gt;&lt;wsp:rsid wsp:val=&quot;049B5114&quot;/&gt;&lt;wsp:rsid wsp:val=&quot;04CC2C5F&quot;/&gt;&lt;wsp:rsid wsp:val=&quot;04DF7408&quot;/&gt;&lt;wsp:rsid wsp:val=&quot;05291E1F&quot;/&gt;&lt;wsp:rsid wsp:val=&quot;053E0F56&quot;/&gt;&lt;wsp:rsid wsp:val=&quot;05715827&quot;/&gt;&lt;wsp:rsid wsp:val=&quot;05D7519E&quot;/&gt;&lt;wsp:rsid wsp:val=&quot;05EB6070&quot;/&gt;&lt;wsp:rsid wsp:val=&quot;05F81E96&quot;/&gt;&lt;wsp:rsid wsp:val=&quot;064743BD&quot;/&gt;&lt;wsp:rsid wsp:val=&quot;065C3E8B&quot;/&gt;&lt;wsp:rsid wsp:val=&quot;066164C8&quot;/&gt;&lt;wsp:rsid wsp:val=&quot;06990204&quot;/&gt;&lt;wsp:rsid wsp:val=&quot;06B17214&quot;/&gt;&lt;wsp:rsid wsp:val=&quot;06C9511D&quot;/&gt;&lt;wsp:rsid wsp:val=&quot;06CB4AF4&quot;/&gt;&lt;wsp:rsid wsp:val=&quot;070754B4&quot;/&gt;&lt;wsp:rsid wsp:val=&quot;07693597&quot;/&gt;&lt;wsp:rsid wsp:val=&quot;076B274E&quot;/&gt;&lt;wsp:rsid wsp:val=&quot;081704CA&quot;/&gt;&lt;wsp:rsid wsp:val=&quot;08393FC7&quot;/&gt;&lt;wsp:rsid wsp:val=&quot;085C7DC0&quot;/&gt;&lt;wsp:rsid wsp:val=&quot;08902443&quot;/&gt;&lt;wsp:rsid wsp:val=&quot;08CA3223&quot;/&gt;&lt;wsp:rsid wsp:val=&quot;08CC568F&quot;/&gt;&lt;wsp:rsid wsp:val=&quot;0915537C&quot;/&gt;&lt;wsp:rsid wsp:val=&quot;092F2A3B&quot;/&gt;&lt;wsp:rsid wsp:val=&quot;092F33B7&quot;/&gt;&lt;wsp:rsid wsp:val=&quot;093768CE&quot;/&gt;&lt;wsp:rsid wsp:val=&quot;09747A93&quot;/&gt;&lt;wsp:rsid wsp:val=&quot;099255A1&quot;/&gt;&lt;wsp:rsid wsp:val=&quot;09B01B15&quot;/&gt;&lt;wsp:rsid wsp:val=&quot;0A3021CC&quot;/&gt;&lt;wsp:rsid wsp:val=&quot;0A3B3622&quot;/&gt;&lt;wsp:rsid wsp:val=&quot;0A597CF5&quot;/&gt;&lt;wsp:rsid wsp:val=&quot;0A890F20&quot;/&gt;&lt;wsp:rsid wsp:val=&quot;0A9E4804&quot;/&gt;&lt;wsp:rsid wsp:val=&quot;0AB76DC4&quot;/&gt;&lt;wsp:rsid wsp:val=&quot;0B006FC5&quot;/&gt;&lt;wsp:rsid wsp:val=&quot;0B2A31DC&quot;/&gt;&lt;wsp:rsid wsp:val=&quot;0B9E41C6&quot;/&gt;&lt;wsp:rsid wsp:val=&quot;0BE0642A&quot;/&gt;&lt;wsp:rsid wsp:val=&quot;0BF27EFA&quot;/&gt;&lt;wsp:rsid wsp:val=&quot;0C083BA8&quot;/&gt;&lt;wsp:rsid wsp:val=&quot;0C1227F3&quot;/&gt;&lt;wsp:rsid wsp:val=&quot;0C376144&quot;/&gt;&lt;wsp:rsid wsp:val=&quot;0C613145&quot;/&gt;&lt;wsp:rsid wsp:val=&quot;0C9811DE&quot;/&gt;&lt;wsp:rsid wsp:val=&quot;0CAC4B37&quot;/&gt;&lt;wsp:rsid wsp:val=&quot;0CCF545B&quot;/&gt;&lt;wsp:rsid wsp:val=&quot;0D0738FD&quot;/&gt;&lt;wsp:rsid wsp:val=&quot;0D085C8C&quot;/&gt;&lt;wsp:rsid wsp:val=&quot;0D2158D9&quot;/&gt;&lt;wsp:rsid wsp:val=&quot;0D2328E8&quot;/&gt;&lt;wsp:rsid wsp:val=&quot;0D5C1EF2&quot;/&gt;&lt;wsp:rsid wsp:val=&quot;0D631EB4&quot;/&gt;&lt;wsp:rsid wsp:val=&quot;0D793528&quot;/&gt;&lt;wsp:rsid wsp:val=&quot;0D7E167C&quot;/&gt;&lt;wsp:rsid wsp:val=&quot;0DAA229E&quot;/&gt;&lt;wsp:rsid wsp:val=&quot;0DC76B6E&quot;/&gt;&lt;wsp:rsid wsp:val=&quot;0DF37F6C&quot;/&gt;&lt;wsp:rsid wsp:val=&quot;0DFA48CC&quot;/&gt;&lt;wsp:rsid wsp:val=&quot;0E431D4D&quot;/&gt;&lt;wsp:rsid wsp:val=&quot;0E607AFC&quot;/&gt;&lt;wsp:rsid wsp:val=&quot;0E6E17D1&quot;/&gt;&lt;wsp:rsid wsp:val=&quot;0E861EB6&quot;/&gt;&lt;wsp:rsid wsp:val=&quot;0E9443E5&quot;/&gt;&lt;wsp:rsid wsp:val=&quot;0EA36294&quot;/&gt;&lt;wsp:rsid wsp:val=&quot;0EB2476C&quot;/&gt;&lt;wsp:rsid wsp:val=&quot;0EC86F6F&quot;/&gt;&lt;wsp:rsid wsp:val=&quot;0F0105B3&quot;/&gt;&lt;wsp:rsid wsp:val=&quot;0F097F10&quot;/&gt;&lt;wsp:rsid wsp:val=&quot;0F0B30C1&quot;/&gt;&lt;wsp:rsid wsp:val=&quot;0F32469F&quot;/&gt;&lt;wsp:rsid wsp:val=&quot;0FA847F0&quot;/&gt;&lt;wsp:rsid wsp:val=&quot;0FCF584F&quot;/&gt;&lt;wsp:rsid wsp:val=&quot;0FE81A71&quot;/&gt;&lt;wsp:rsid wsp:val=&quot;10247D23&quot;/&gt;&lt;wsp:rsid wsp:val=&quot;10511863&quot;/&gt;&lt;wsp:rsid wsp:val=&quot;10821972&quot;/&gt;&lt;wsp:rsid wsp:val=&quot;10D93F75&quot;/&gt;&lt;wsp:rsid wsp:val=&quot;10E8298C&quot;/&gt;&lt;wsp:rsid wsp:val=&quot;110C145D&quot;/&gt;&lt;wsp:rsid wsp:val=&quot;111A3090&quot;/&gt;&lt;wsp:rsid wsp:val=&quot;1124611B&quot;/&gt;&lt;wsp:rsid wsp:val=&quot;11517AEC&quot;/&gt;&lt;wsp:rsid wsp:val=&quot;11637F9B&quot;/&gt;&lt;wsp:rsid wsp:val=&quot;116C080A&quot;/&gt;&lt;wsp:rsid wsp:val=&quot;11840E63&quot;/&gt;&lt;wsp:rsid wsp:val=&quot;11B13C7A&quot;/&gt;&lt;wsp:rsid wsp:val=&quot;11EB07E7&quot;/&gt;&lt;wsp:rsid wsp:val=&quot;12007799&quot;/&gt;&lt;wsp:rsid wsp:val=&quot;12081144&quot;/&gt;&lt;wsp:rsid wsp:val=&quot;123407FF&quot;/&gt;&lt;wsp:rsid wsp:val=&quot;12475AB8&quot;/&gt;&lt;wsp:rsid wsp:val=&quot;124C0828&quot;/&gt;&lt;wsp:rsid wsp:val=&quot;12572AAF&quot;/&gt;&lt;wsp:rsid wsp:val=&quot;12782B0D&quot;/&gt;&lt;wsp:rsid wsp:val=&quot;127D5A2B&quot;/&gt;&lt;wsp:rsid wsp:val=&quot;12880147&quot;/&gt;&lt;wsp:rsid wsp:val=&quot;12DE45FD&quot;/&gt;&lt;wsp:rsid wsp:val=&quot;130F2B82&quot;/&gt;&lt;wsp:rsid wsp:val=&quot;13830D1B&quot;/&gt;&lt;wsp:rsid wsp:val=&quot;138C7FDE&quot;/&gt;&lt;wsp:rsid wsp:val=&quot;13A70E18&quot;/&gt;&lt;wsp:rsid wsp:val=&quot;13D307EA&quot;/&gt;&lt;wsp:rsid wsp:val=&quot;13E52B1F&quot;/&gt;&lt;wsp:rsid wsp:val=&quot;13EA370B&quot;/&gt;&lt;wsp:rsid wsp:val=&quot;14492A04&quot;/&gt;&lt;wsp:rsid wsp:val=&quot;14570C43&quot;/&gt;&lt;wsp:rsid wsp:val=&quot;146B7E32&quot;/&gt;&lt;wsp:rsid wsp:val=&quot;14940DC8&quot;/&gt;&lt;wsp:rsid wsp:val=&quot;14D939B3&quot;/&gt;&lt;wsp:rsid wsp:val=&quot;15036B18&quot;/&gt;&lt;wsp:rsid wsp:val=&quot;15045696&quot;/&gt;&lt;wsp:rsid wsp:val=&quot;152754CD&quot;/&gt;&lt;wsp:rsid wsp:val=&quot;153A70FE&quot;/&gt;&lt;wsp:rsid wsp:val=&quot;15720710&quot;/&gt;&lt;wsp:rsid wsp:val=&quot;15DF59DA&quot;/&gt;&lt;wsp:rsid wsp:val=&quot;160D3FCC&quot;/&gt;&lt;wsp:rsid wsp:val=&quot;160F4E0B&quot;/&gt;&lt;wsp:rsid wsp:val=&quot;164752AE&quot;/&gt;&lt;wsp:rsid wsp:val=&quot;16ED5EEF&quot;/&gt;&lt;wsp:rsid wsp:val=&quot;17794E06&quot;/&gt;&lt;wsp:rsid wsp:val=&quot;17A200F9&quot;/&gt;&lt;wsp:rsid wsp:val=&quot;180D67FD&quot;/&gt;&lt;wsp:rsid wsp:val=&quot;181B7460&quot;/&gt;&lt;wsp:rsid wsp:val=&quot;188F4BB3&quot;/&gt;&lt;wsp:rsid wsp:val=&quot;18AC514D&quot;/&gt;&lt;wsp:rsid wsp:val=&quot;18D76298&quot;/&gt;&lt;wsp:rsid wsp:val=&quot;195347D3&quot;/&gt;&lt;wsp:rsid wsp:val=&quot;19735052&quot;/&gt;&lt;wsp:rsid wsp:val=&quot;19966AF1&quot;/&gt;&lt;wsp:rsid wsp:val=&quot;19BB2C71&quot;/&gt;&lt;wsp:rsid wsp:val=&quot;19BC649E&quot;/&gt;&lt;wsp:rsid wsp:val=&quot;1A15700F&quot;/&gt;&lt;wsp:rsid wsp:val=&quot;1A3D64BC&quot;/&gt;&lt;wsp:rsid wsp:val=&quot;1A6F4961&quot;/&gt;&lt;wsp:rsid wsp:val=&quot;1A6F5B4F&quot;/&gt;&lt;wsp:rsid wsp:val=&quot;1A873D79&quot;/&gt;&lt;wsp:rsid wsp:val=&quot;1A943962&quot;/&gt;&lt;wsp:rsid wsp:val=&quot;1A981A14&quot;/&gt;&lt;wsp:rsid wsp:val=&quot;1A9A53CD&quot;/&gt;&lt;wsp:rsid wsp:val=&quot;1AD52E27&quot;/&gt;&lt;wsp:rsid wsp:val=&quot;1AEA3452&quot;/&gt;&lt;wsp:rsid wsp:val=&quot;1B24529A&quot;/&gt;&lt;wsp:rsid wsp:val=&quot;1B6510A2&quot;/&gt;&lt;wsp:rsid wsp:val=&quot;1B783301&quot;/&gt;&lt;wsp:rsid wsp:val=&quot;1BC13A05&quot;/&gt;&lt;wsp:rsid wsp:val=&quot;1C580C50&quot;/&gt;&lt;wsp:rsid wsp:val=&quot;1C8A021D&quot;/&gt;&lt;wsp:rsid wsp:val=&quot;1C9327FA&quot;/&gt;&lt;wsp:rsid wsp:val=&quot;1CB94A98&quot;/&gt;&lt;wsp:rsid wsp:val=&quot;1D0A556F&quot;/&gt;&lt;wsp:rsid wsp:val=&quot;1D307C7F&quot;/&gt;&lt;wsp:rsid wsp:val=&quot;1D38618A&quot;/&gt;&lt;wsp:rsid wsp:val=&quot;1D4204B8&quot;/&gt;&lt;wsp:rsid wsp:val=&quot;1D4E08B6&quot;/&gt;&lt;wsp:rsid wsp:val=&quot;1D5A27F2&quot;/&gt;&lt;wsp:rsid wsp:val=&quot;1D6612E8&quot;/&gt;&lt;wsp:rsid wsp:val=&quot;1DAD4689&quot;/&gt;&lt;wsp:rsid wsp:val=&quot;1DED249C&quot;/&gt;&lt;wsp:rsid wsp:val=&quot;1DF85FDB&quot;/&gt;&lt;wsp:rsid wsp:val=&quot;1E3436D5&quot;/&gt;&lt;wsp:rsid wsp:val=&quot;1E382D17&quot;/&gt;&lt;wsp:rsid wsp:val=&quot;1E605C8C&quot;/&gt;&lt;wsp:rsid wsp:val=&quot;1E65194E&quot;/&gt;&lt;wsp:rsid wsp:val=&quot;1EAF7BE2&quot;/&gt;&lt;wsp:rsid wsp:val=&quot;1EB2332C&quot;/&gt;&lt;wsp:rsid wsp:val=&quot;1EB916C8&quot;/&gt;&lt;wsp:rsid wsp:val=&quot;1EFD4164&quot;/&gt;&lt;wsp:rsid wsp:val=&quot;1F1A0CBF&quot;/&gt;&lt;wsp:rsid wsp:val=&quot;1F4719AD&quot;/&gt;&lt;wsp:rsid wsp:val=&quot;1FBA7011&quot;/&gt;&lt;wsp:rsid wsp:val=&quot;1FEF4FB7&quot;/&gt;&lt;wsp:rsid wsp:val=&quot;200B7308&quot;/&gt;&lt;wsp:rsid wsp:val=&quot;20713A86&quot;/&gt;&lt;wsp:rsid wsp:val=&quot;20A900D3&quot;/&gt;&lt;wsp:rsid wsp:val=&quot;20D04E77&quot;/&gt;&lt;wsp:rsid wsp:val=&quot;20DD3A5A&quot;/&gt;&lt;wsp:rsid wsp:val=&quot;20F10467&quot;/&gt;&lt;wsp:rsid wsp:val=&quot;214C7989&quot;/&gt;&lt;wsp:rsid wsp:val=&quot;2165234F&quot;/&gt;&lt;wsp:rsid wsp:val=&quot;219D1CBD&quot;/&gt;&lt;wsp:rsid wsp:val=&quot;21A72B90&quot;/&gt;&lt;wsp:rsid wsp:val=&quot;21B81460&quot;/&gt;&lt;wsp:rsid wsp:val=&quot;21C924E9&quot;/&gt;&lt;wsp:rsid wsp:val=&quot;220505E8&quot;/&gt;&lt;wsp:rsid wsp:val=&quot;224C1F23&quot;/&gt;&lt;wsp:rsid wsp:val=&quot;22943E84&quot;/&gt;&lt;wsp:rsid wsp:val=&quot;22C40C3F&quot;/&gt;&lt;wsp:rsid wsp:val=&quot;2300710C&quot;/&gt;&lt;wsp:rsid wsp:val=&quot;23480256&quot;/&gt;&lt;wsp:rsid wsp:val=&quot;2375371D&quot;/&gt;&lt;wsp:rsid wsp:val=&quot;23CB58EA&quot;/&gt;&lt;wsp:rsid wsp:val=&quot;23DC76A6&quot;/&gt;&lt;wsp:rsid wsp:val=&quot;23DE7C42&quot;/&gt;&lt;wsp:rsid wsp:val=&quot;23F21740&quot;/&gt;&lt;wsp:rsid wsp:val=&quot;243D5695&quot;/&gt;&lt;wsp:rsid wsp:val=&quot;2460300B&quot;/&gt;&lt;wsp:rsid wsp:val=&quot;24746305&quot;/&gt;&lt;wsp:rsid wsp:val=&quot;247D7E0E&quot;/&gt;&lt;wsp:rsid wsp:val=&quot;24944663&quot;/&gt;&lt;wsp:rsid wsp:val=&quot;24BC31D3&quot;/&gt;&lt;wsp:rsid wsp:val=&quot;24C169D5&quot;/&gt;&lt;wsp:rsid wsp:val=&quot;24ED72A4&quot;/&gt;&lt;wsp:rsid wsp:val=&quot;25201627&quot;/&gt;&lt;wsp:rsid wsp:val=&quot;25484A85&quot;/&gt;&lt;wsp:rsid wsp:val=&quot;256C6D70&quot;/&gt;&lt;wsp:rsid wsp:val=&quot;256E06D7&quot;/&gt;&lt;wsp:rsid wsp:val=&quot;25864EB9&quot;/&gt;&lt;wsp:rsid wsp:val=&quot;25E04BC3&quot;/&gt;&lt;wsp:rsid wsp:val=&quot;260D2B9E&quot;/&gt;&lt;wsp:rsid wsp:val=&quot;263C4537&quot;/&gt;&lt;wsp:rsid wsp:val=&quot;263C523D&quot;/&gt;&lt;wsp:rsid wsp:val=&quot;26531A27&quot;/&gt;&lt;wsp:rsid wsp:val=&quot;26577261&quot;/&gt;&lt;wsp:rsid wsp:val=&quot;26660B72&quot;/&gt;&lt;wsp:rsid wsp:val=&quot;26A95F45&quot;/&gt;&lt;wsp:rsid wsp:val=&quot;26C6655B&quot;/&gt;&lt;wsp:rsid wsp:val=&quot;274F59EF&quot;/&gt;&lt;wsp:rsid wsp:val=&quot;27511BD6&quot;/&gt;&lt;wsp:rsid wsp:val=&quot;276D159F&quot;/&gt;&lt;wsp:rsid wsp:val=&quot;276D758B&quot;/&gt;&lt;wsp:rsid wsp:val=&quot;2777588C&quot;/&gt;&lt;wsp:rsid wsp:val=&quot;277D6FC2&quot;/&gt;&lt;wsp:rsid wsp:val=&quot;278A008E&quot;/&gt;&lt;wsp:rsid wsp:val=&quot;27C13091&quot;/&gt;&lt;wsp:rsid wsp:val=&quot;280D4AE1&quot;/&gt;&lt;wsp:rsid wsp:val=&quot;281745B5&quot;/&gt;&lt;wsp:rsid wsp:val=&quot;284802C8&quot;/&gt;&lt;wsp:rsid wsp:val=&quot;28A50DA0&quot;/&gt;&lt;wsp:rsid wsp:val=&quot;28AD136B&quot;/&gt;&lt;wsp:rsid wsp:val=&quot;28B36C40&quot;/&gt;&lt;wsp:rsid wsp:val=&quot;28DD4426&quot;/&gt;&lt;wsp:rsid wsp:val=&quot;28E17FE1&quot;/&gt;&lt;wsp:rsid wsp:val=&quot;28F40A64&quot;/&gt;&lt;wsp:rsid wsp:val=&quot;28F66E41&quot;/&gt;&lt;wsp:rsid wsp:val=&quot;290F1E7B&quot;/&gt;&lt;wsp:rsid wsp:val=&quot;294314E2&quot;/&gt;&lt;wsp:rsid wsp:val=&quot;29865772&quot;/&gt;&lt;wsp:rsid wsp:val=&quot;29B642C9&quot;/&gt;&lt;wsp:rsid wsp:val=&quot;29CB340C&quot;/&gt;&lt;wsp:rsid wsp:val=&quot;29CD16C8&quot;/&gt;&lt;wsp:rsid wsp:val=&quot;2A030F8A&quot;/&gt;&lt;wsp:rsid wsp:val=&quot;2A0E73C3&quot;/&gt;&lt;wsp:rsid wsp:val=&quot;2A1F2401&quot;/&gt;&lt;wsp:rsid wsp:val=&quot;2A466F4F&quot;/&gt;&lt;wsp:rsid wsp:val=&quot;2A9B4F45&quot;/&gt;&lt;wsp:rsid wsp:val=&quot;2ABD37F5&quot;/&gt;&lt;wsp:rsid wsp:val=&quot;2B095935&quot;/&gt;&lt;wsp:rsid wsp:val=&quot;2B172D9E&quot;/&gt;&lt;wsp:rsid wsp:val=&quot;2B462A2E&quot;/&gt;&lt;wsp:rsid wsp:val=&quot;2B5F2346&quot;/&gt;&lt;wsp:rsid wsp:val=&quot;2B87148A&quot;/&gt;&lt;wsp:rsid wsp:val=&quot;2BA0077B&quot;/&gt;&lt;wsp:rsid wsp:val=&quot;2BDC5E67&quot;/&gt;&lt;wsp:rsid wsp:val=&quot;2BFF2464&quot;/&gt;&lt;wsp:rsid wsp:val=&quot;2C0E7D14&quot;/&gt;&lt;wsp:rsid wsp:val=&quot;2CB432FC&quot;/&gt;&lt;wsp:rsid wsp:val=&quot;2CBD33CA&quot;/&gt;&lt;wsp:rsid wsp:val=&quot;2CCE6FA7&quot;/&gt;&lt;wsp:rsid wsp:val=&quot;2D1134A8&quot;/&gt;&lt;wsp:rsid wsp:val=&quot;2D1C3AF7&quot;/&gt;&lt;wsp:rsid wsp:val=&quot;2D5D0D68&quot;/&gt;&lt;wsp:rsid wsp:val=&quot;2DDA2544&quot;/&gt;&lt;wsp:rsid wsp:val=&quot;2DDA6C54&quot;/&gt;&lt;wsp:rsid wsp:val=&quot;2DED6433&quot;/&gt;&lt;wsp:rsid wsp:val=&quot;2DF96BF8&quot;/&gt;&lt;wsp:rsid wsp:val=&quot;2E0B0E2B&quot;/&gt;&lt;wsp:rsid wsp:val=&quot;2E2D233F&quot;/&gt;&lt;wsp:rsid wsp:val=&quot;2E336DAC&quot;/&gt;&lt;wsp:rsid wsp:val=&quot;2E732223&quot;/&gt;&lt;wsp:rsid wsp:val=&quot;2ED570D7&quot;/&gt;&lt;wsp:rsid wsp:val=&quot;2EDF21B0&quot;/&gt;&lt;wsp:rsid wsp:val=&quot;2EFB3C9C&quot;/&gt;&lt;wsp:rsid wsp:val=&quot;2F0D2584&quot;/&gt;&lt;wsp:rsid wsp:val=&quot;2F0D5BC4&quot;/&gt;&lt;wsp:rsid wsp:val=&quot;2F312903&quot;/&gt;&lt;wsp:rsid wsp:val=&quot;2F373FFA&quot;/&gt;&lt;wsp:rsid wsp:val=&quot;2F402768&quot;/&gt;&lt;wsp:rsid wsp:val=&quot;2FCB2E60&quot;/&gt;&lt;wsp:rsid wsp:val=&quot;2FF11189&quot;/&gt;&lt;wsp:rsid wsp:val=&quot;30166685&quot;/&gt;&lt;wsp:rsid wsp:val=&quot;30256C85&quot;/&gt;&lt;wsp:rsid wsp:val=&quot;30584578&quot;/&gt;&lt;wsp:rsid wsp:val=&quot;30814EEE&quot;/&gt;&lt;wsp:rsid wsp:val=&quot;30B1213C&quot;/&gt;&lt;wsp:rsid wsp:val=&quot;30DE6B20&quot;/&gt;&lt;wsp:rsid wsp:val=&quot;30EB4929&quot;/&gt;&lt;wsp:rsid wsp:val=&quot;30EB50B7&quot;/&gt;&lt;wsp:rsid wsp:val=&quot;30FF3D41&quot;/&gt;&lt;wsp:rsid wsp:val=&quot;315D3CB1&quot;/&gt;&lt;wsp:rsid wsp:val=&quot;32012B92&quot;/&gt;&lt;wsp:rsid wsp:val=&quot;32090739&quot;/&gt;&lt;wsp:rsid wsp:val=&quot;320B2190&quot;/&gt;&lt;wsp:rsid wsp:val=&quot;322F79DD&quot;/&gt;&lt;wsp:rsid wsp:val=&quot;323B7922&quot;/&gt;&lt;wsp:rsid wsp:val=&quot;324A05BB&quot;/&gt;&lt;wsp:rsid wsp:val=&quot;328F53BD&quot;/&gt;&lt;wsp:rsid wsp:val=&quot;32BB69E9&quot;/&gt;&lt;wsp:rsid wsp:val=&quot;33C57071&quot;/&gt;&lt;wsp:rsid wsp:val=&quot;33E4255C&quot;/&gt;&lt;wsp:rsid wsp:val=&quot;33F95CBC&quot;/&gt;&lt;wsp:rsid wsp:val=&quot;349171B1&quot;/&gt;&lt;wsp:rsid wsp:val=&quot;34D077F2&quot;/&gt;&lt;wsp:rsid wsp:val=&quot;34DB7025&quot;/&gt;&lt;wsp:rsid wsp:val=&quot;35B60E80&quot;/&gt;&lt;wsp:rsid wsp:val=&quot;35C3628B&quot;/&gt;&lt;wsp:rsid wsp:val=&quot;35FE7846&quot;/&gt;&lt;wsp:rsid wsp:val=&quot;361A37E9&quot;/&gt;&lt;wsp:rsid wsp:val=&quot;361E3EEB&quot;/&gt;&lt;wsp:rsid wsp:val=&quot;364A5D09&quot;/&gt;&lt;wsp:rsid wsp:val=&quot;367605F0&quot;/&gt;&lt;wsp:rsid wsp:val=&quot;36D137A6&quot;/&gt;&lt;wsp:rsid wsp:val=&quot;36DD5160&quot;/&gt;&lt;wsp:rsid wsp:val=&quot;372E2785&quot;/&gt;&lt;wsp:rsid wsp:val=&quot;37463790&quot;/&gt;&lt;wsp:rsid wsp:val=&quot;376E5C54&quot;/&gt;&lt;wsp:rsid wsp:val=&quot;378808AD&quot;/&gt;&lt;wsp:rsid wsp:val=&quot;37AD1C20&quot;/&gt;&lt;wsp:rsid wsp:val=&quot;37C61845&quot;/&gt;&lt;wsp:rsid wsp:val=&quot;37D77901&quot;/&gt;&lt;wsp:rsid wsp:val=&quot;37EE388E&quot;/&gt;&lt;wsp:rsid wsp:val=&quot;38501F01&quot;/&gt;&lt;wsp:rsid wsp:val=&quot;38633A78&quot;/&gt;&lt;wsp:rsid wsp:val=&quot;386D3E1A&quot;/&gt;&lt;wsp:rsid wsp:val=&quot;387900AE&quot;/&gt;&lt;wsp:rsid wsp:val=&quot;38D60219&quot;/&gt;&lt;wsp:rsid wsp:val=&quot;38EC22C3&quot;/&gt;&lt;wsp:rsid wsp:val=&quot;39034EF3&quot;/&gt;&lt;wsp:rsid wsp:val=&quot;391B11B7&quot;/&gt;&lt;wsp:rsid wsp:val=&quot;391E136B&quot;/&gt;&lt;wsp:rsid wsp:val=&quot;395753AC&quot;/&gt;&lt;wsp:rsid wsp:val=&quot;395B5602&quot;/&gt;&lt;wsp:rsid wsp:val=&quot;39803530&quot;/&gt;&lt;wsp:rsid wsp:val=&quot;398464ED&quot;/&gt;&lt;wsp:rsid wsp:val=&quot;39D70E7A&quot;/&gt;&lt;wsp:rsid wsp:val=&quot;39E24207&quot;/&gt;&lt;wsp:rsid wsp:val=&quot;39E75B0F&quot;/&gt;&lt;wsp:rsid wsp:val=&quot;3A9B7A40&quot;/&gt;&lt;wsp:rsid wsp:val=&quot;3ADE6844&quot;/&gt;&lt;wsp:rsid wsp:val=&quot;3ADF5690&quot;/&gt;&lt;wsp:rsid wsp:val=&quot;3BD55156&quot;/&gt;&lt;wsp:rsid wsp:val=&quot;3BF7433C&quot;/&gt;&lt;wsp:rsid wsp:val=&quot;3C0A065A&quot;/&gt;&lt;wsp:rsid wsp:val=&quot;3C394F22&quot;/&gt;&lt;wsp:rsid wsp:val=&quot;3C803199&quot;/&gt;&lt;wsp:rsid wsp:val=&quot;3C82518B&quot;/&gt;&lt;wsp:rsid wsp:val=&quot;3CB20C9B&quot;/&gt;&lt;wsp:rsid wsp:val=&quot;3CE50FE6&quot;/&gt;&lt;wsp:rsid wsp:val=&quot;3D1C097A&quot;/&gt;&lt;wsp:rsid wsp:val=&quot;3D2316E0&quot;/&gt;&lt;wsp:rsid wsp:val=&quot;3D242B1D&quot;/&gt;&lt;wsp:rsid wsp:val=&quot;3D28490E&quot;/&gt;&lt;wsp:rsid wsp:val=&quot;3D471932&quot;/&gt;&lt;wsp:rsid wsp:val=&quot;3D5A692C&quot;/&gt;&lt;wsp:rsid wsp:val=&quot;3D61225D&quot;/&gt;&lt;wsp:rsid wsp:val=&quot;3D873829&quot;/&gt;&lt;wsp:rsid wsp:val=&quot;3DBA3B41&quot;/&gt;&lt;wsp:rsid wsp:val=&quot;3DCC50BE&quot;/&gt;&lt;wsp:rsid wsp:val=&quot;3E452E47&quot;/&gt;&lt;wsp:rsid wsp:val=&quot;3E46706F&quot;/&gt;&lt;wsp:rsid wsp:val=&quot;3E9E3F5F&quot;/&gt;&lt;wsp:rsid wsp:val=&quot;3EA8374B&quot;/&gt;&lt;wsp:rsid wsp:val=&quot;3EA92A8E&quot;/&gt;&lt;wsp:rsid wsp:val=&quot;3EAF1D21&quot;/&gt;&lt;wsp:rsid wsp:val=&quot;3EB2505C&quot;/&gt;&lt;wsp:rsid wsp:val=&quot;3F2143BA&quot;/&gt;&lt;wsp:rsid wsp:val=&quot;3F2C7150&quot;/&gt;&lt;wsp:rsid wsp:val=&quot;3F2E5F44&quot;/&gt;&lt;wsp:rsid wsp:val=&quot;3F32004D&quot;/&gt;&lt;wsp:rsid wsp:val=&quot;3F3F1286&quot;/&gt;&lt;wsp:rsid wsp:val=&quot;3F5D1C02&quot;/&gt;&lt;wsp:rsid wsp:val=&quot;3F6F6320&quot;/&gt;&lt;wsp:rsid wsp:val=&quot;3FA61547&quot;/&gt;&lt;wsp:rsid wsp:val=&quot;3FD85F5B&quot;/&gt;&lt;wsp:rsid wsp:val=&quot;40066CE4&quot;/&gt;&lt;wsp:rsid wsp:val=&quot;404C3530&quot;/&gt;&lt;wsp:rsid wsp:val=&quot;40640F50&quot;/&gt;&lt;wsp:rsid wsp:val=&quot;4073053A&quot;/&gt;&lt;wsp:rsid wsp:val=&quot;40CC17E3&quot;/&gt;&lt;wsp:rsid wsp:val=&quot;40E87CEA&quot;/&gt;&lt;wsp:rsid wsp:val=&quot;411B35A5&quot;/&gt;&lt;wsp:rsid wsp:val=&quot;41303BBB&quot;/&gt;&lt;wsp:rsid wsp:val=&quot;414469D9&quot;/&gt;&lt;wsp:rsid wsp:val=&quot;4148460B&quot;/&gt;&lt;wsp:rsid wsp:val=&quot;414F1FB2&quot;/&gt;&lt;wsp:rsid wsp:val=&quot;415C28FA&quot;/&gt;&lt;wsp:rsid wsp:val=&quot;417838C4&quot;/&gt;&lt;wsp:rsid wsp:val=&quot;417E77D7&quot;/&gt;&lt;wsp:rsid wsp:val=&quot;41A14061&quot;/&gt;&lt;wsp:rsid wsp:val=&quot;41B23089&quot;/&gt;&lt;wsp:rsid wsp:val=&quot;41B93036&quot;/&gt;&lt;wsp:rsid wsp:val=&quot;42201F87&quot;/&gt;&lt;wsp:rsid wsp:val=&quot;4230506D&quot;/&gt;&lt;wsp:rsid wsp:val=&quot;42431FFC&quot;/&gt;&lt;wsp:rsid wsp:val=&quot;42643643&quot;/&gt;&lt;wsp:rsid wsp:val=&quot;4289555C&quot;/&gt;&lt;wsp:rsid wsp:val=&quot;42B06A84&quot;/&gt;&lt;wsp:rsid wsp:val=&quot;42D65CF8&quot;/&gt;&lt;wsp:rsid wsp:val=&quot;42DB2F6B&quot;/&gt;&lt;wsp:rsid wsp:val=&quot;42E3229E&quot;/&gt;&lt;wsp:rsid wsp:val=&quot;42F76746&quot;/&gt;&lt;wsp:rsid wsp:val=&quot;430F5A79&quot;/&gt;&lt;wsp:rsid wsp:val=&quot;432C688E&quot;/&gt;&lt;wsp:rsid wsp:val=&quot;437645EA&quot;/&gt;&lt;wsp:rsid wsp:val=&quot;438965F2&quot;/&gt;&lt;wsp:rsid wsp:val=&quot;438B49D7&quot;/&gt;&lt;wsp:rsid wsp:val=&quot;43964A00&quot;/&gt;&lt;wsp:rsid wsp:val=&quot;43A3194B&quot;/&gt;&lt;wsp:rsid wsp:val=&quot;43C004B9&quot;/&gt;&lt;wsp:rsid wsp:val=&quot;44046E3F&quot;/&gt;&lt;wsp:rsid wsp:val=&quot;44363274&quot;/&gt;&lt;wsp:rsid wsp:val=&quot;445C0110&quot;/&gt;&lt;wsp:rsid wsp:val=&quot;4466014D&quot;/&gt;&lt;wsp:rsid wsp:val=&quot;44895FC2&quot;/&gt;&lt;wsp:rsid wsp:val=&quot;44A60836&quot;/&gt;&lt;wsp:rsid wsp:val=&quot;44E90CFB&quot;/&gt;&lt;wsp:rsid wsp:val=&quot;457172A4&quot;/&gt;&lt;wsp:rsid wsp:val=&quot;45753B2D&quot;/&gt;&lt;wsp:rsid wsp:val=&quot;458E0791&quot;/&gt;&lt;wsp:rsid wsp:val=&quot;45B56A56&quot;/&gt;&lt;wsp:rsid wsp:val=&quot;45E94812&quot;/&gt;&lt;wsp:rsid wsp:val=&quot;4606306A&quot;/&gt;&lt;wsp:rsid wsp:val=&quot;46163AA9&quot;/&gt;&lt;wsp:rsid wsp:val=&quot;464B35C0&quot;/&gt;&lt;wsp:rsid wsp:val=&quot;46690A43&quot;/&gt;&lt;wsp:rsid wsp:val=&quot;46986D0B&quot;/&gt;&lt;wsp:rsid wsp:val=&quot;46B040D3&quot;/&gt;&lt;wsp:rsid wsp:val=&quot;46E9731D&quot;/&gt;&lt;wsp:rsid wsp:val=&quot;47251E42&quot;/&gt;&lt;wsp:rsid wsp:val=&quot;473B5CE5&quot;/&gt;&lt;wsp:rsid wsp:val=&quot;473C5719&quot;/&gt;&lt;wsp:rsid wsp:val=&quot;47A43544&quot;/&gt;&lt;wsp:rsid wsp:val=&quot;480B2B37&quot;/&gt;&lt;wsp:rsid wsp:val=&quot;48365F56&quot;/&gt;&lt;wsp:rsid wsp:val=&quot;48DA1197&quot;/&gt;&lt;wsp:rsid wsp:val=&quot;48EA7040&quot;/&gt;&lt;wsp:rsid wsp:val=&quot;49007441&quot;/&gt;&lt;wsp:rsid wsp:val=&quot;4960513D&quot;/&gt;&lt;wsp:rsid wsp:val=&quot;496E20EB&quot;/&gt;&lt;wsp:rsid wsp:val=&quot;49791FEE&quot;/&gt;&lt;wsp:rsid wsp:val=&quot;49A719CD&quot;/&gt;&lt;wsp:rsid wsp:val=&quot;49BD37FA&quot;/&gt;&lt;wsp:rsid wsp:val=&quot;49E56F19&quot;/&gt;&lt;wsp:rsid wsp:val=&quot;4A663C8A&quot;/&gt;&lt;wsp:rsid wsp:val=&quot;4A88627C&quot;/&gt;&lt;wsp:rsid wsp:val=&quot;4A8E2D13&quot;/&gt;&lt;wsp:rsid wsp:val=&quot;4ABE1DA7&quot;/&gt;&lt;wsp:rsid wsp:val=&quot;4AD62B21&quot;/&gt;&lt;wsp:rsid wsp:val=&quot;4AF137FB&quot;/&gt;&lt;wsp:rsid wsp:val=&quot;4B172495&quot;/&gt;&lt;wsp:rsid wsp:val=&quot;4B1E675F&quot;/&gt;&lt;wsp:rsid wsp:val=&quot;4B2C5D5B&quot;/&gt;&lt;wsp:rsid wsp:val=&quot;4B63183A&quot;/&gt;&lt;wsp:rsid wsp:val=&quot;4BB41E44&quot;/&gt;&lt;wsp:rsid wsp:val=&quot;4BD11B39&quot;/&gt;&lt;wsp:rsid wsp:val=&quot;4BE26767&quot;/&gt;&lt;wsp:rsid wsp:val=&quot;4BF5445B&quot;/&gt;&lt;wsp:rsid wsp:val=&quot;4C0A2CBF&quot;/&gt;&lt;wsp:rsid wsp:val=&quot;4C874D8E&quot;/&gt;&lt;wsp:rsid wsp:val=&quot;4C897C4A&quot;/&gt;&lt;wsp:rsid wsp:val=&quot;4CAF4D1F&quot;/&gt;&lt;wsp:rsid wsp:val=&quot;4CDB2216&quot;/&gt;&lt;wsp:rsid wsp:val=&quot;4D0C1539&quot;/&gt;&lt;wsp:rsid wsp:val=&quot;4D454300&quot;/&gt;&lt;wsp:rsid wsp:val=&quot;4D564FE0&quot;/&gt;&lt;wsp:rsid wsp:val=&quot;4D5C02C6&quot;/&gt;&lt;wsp:rsid wsp:val=&quot;4D6B0E41&quot;/&gt;&lt;wsp:rsid wsp:val=&quot;4D947E50&quot;/&gt;&lt;wsp:rsid wsp:val=&quot;4D9A5CA2&quot;/&gt;&lt;wsp:rsid wsp:val=&quot;4DA0333B&quot;/&gt;&lt;wsp:rsid wsp:val=&quot;4DAE0055&quot;/&gt;&lt;wsp:rsid wsp:val=&quot;4DD24C72&quot;/&gt;&lt;wsp:rsid wsp:val=&quot;4DE04782&quot;/&gt;&lt;wsp:rsid wsp:val=&quot;4DF156F4&quot;/&gt;&lt;wsp:rsid wsp:val=&quot;4E0C1458&quot;/&gt;&lt;wsp:rsid wsp:val=&quot;4E443E74&quot;/&gt;&lt;wsp:rsid wsp:val=&quot;4E666BE0&quot;/&gt;&lt;wsp:rsid wsp:val=&quot;4EA24DAE&quot;/&gt;&lt;wsp:rsid wsp:val=&quot;4EE20D1B&quot;/&gt;&lt;wsp:rsid wsp:val=&quot;4EE41921&quot;/&gt;&lt;wsp:rsid wsp:val=&quot;4EFD18C0&quot;/&gt;&lt;wsp:rsid wsp:val=&quot;4EFE757C&quot;/&gt;&lt;wsp:rsid wsp:val=&quot;4F015442&quot;/&gt;&lt;wsp:rsid wsp:val=&quot;4F1C0FF8&quot;/&gt;&lt;wsp:rsid wsp:val=&quot;4F3978A8&quot;/&gt;&lt;wsp:rsid wsp:val=&quot;4F4A021A&quot;/&gt;&lt;wsp:rsid wsp:val=&quot;4FD02DDC&quot;/&gt;&lt;wsp:rsid wsp:val=&quot;4FD469DF&quot;/&gt;&lt;wsp:rsid wsp:val=&quot;4FE45624&quot;/&gt;&lt;wsp:rsid wsp:val=&quot;504E1890&quot;/&gt;&lt;wsp:rsid wsp:val=&quot;505A1A55&quot;/&gt;&lt;wsp:rsid wsp:val=&quot;50791A7F&quot;/&gt;&lt;wsp:rsid wsp:val=&quot;5094364E&quot;/&gt;&lt;wsp:rsid wsp:val=&quot;50A46DF1&quot;/&gt;&lt;wsp:rsid wsp:val=&quot;50C20AB4&quot;/&gt;&lt;wsp:rsid wsp:val=&quot;50D0060B&quot;/&gt;&lt;wsp:rsid wsp:val=&quot;50D96D03&quot;/&gt;&lt;wsp:rsid wsp:val=&quot;510E0B92&quot;/&gt;&lt;wsp:rsid wsp:val=&quot;51265078&quot;/&gt;&lt;wsp:rsid wsp:val=&quot;513B3915&quot;/&gt;&lt;wsp:rsid wsp:val=&quot;5150479E&quot;/&gt;&lt;wsp:rsid wsp:val=&quot;515917B1&quot;/&gt;&lt;wsp:rsid wsp:val=&quot;51617ACD&quot;/&gt;&lt;wsp:rsid wsp:val=&quot;519E3D7D&quot;/&gt;&lt;wsp:rsid wsp:val=&quot;525846B2&quot;/&gt;&lt;wsp:rsid wsp:val=&quot;528A3BDD&quot;/&gt;&lt;wsp:rsid wsp:val=&quot;528C263E&quot;/&gt;&lt;wsp:rsid wsp:val=&quot;52EF29EA&quot;/&gt;&lt;wsp:rsid wsp:val=&quot;53076EE6&quot;/&gt;&lt;wsp:rsid wsp:val=&quot;53430DF5&quot;/&gt;&lt;wsp:rsid wsp:val=&quot;53587C56&quot;/&gt;&lt;wsp:rsid wsp:val=&quot;53826273&quot;/&gt;&lt;wsp:rsid wsp:val=&quot;53DF3BE1&quot;/&gt;&lt;wsp:rsid wsp:val=&quot;54172B81&quot;/&gt;&lt;wsp:rsid wsp:val=&quot;541A66F2&quot;/&gt;&lt;wsp:rsid wsp:val=&quot;54216C5A&quot;/&gt;&lt;wsp:rsid wsp:val=&quot;54806771&quot;/&gt;&lt;wsp:rsid wsp:val=&quot;54D4025F&quot;/&gt;&lt;wsp:rsid wsp:val=&quot;54D95948&quot;/&gt;&lt;wsp:rsid wsp:val=&quot;551F3E54&quot;/&gt;&lt;wsp:rsid wsp:val=&quot;55444A80&quot;/&gt;&lt;wsp:rsid wsp:val=&quot;55545112&quot;/&gt;&lt;wsp:rsid wsp:val=&quot;558701FB&quot;/&gt;&lt;wsp:rsid wsp:val=&quot;55874F40&quot;/&gt;&lt;wsp:rsid wsp:val=&quot;558B306E&quot;/&gt;&lt;wsp:rsid wsp:val=&quot;55994037&quot;/&gt;&lt;wsp:rsid wsp:val=&quot;55D54FF2&quot;/&gt;&lt;wsp:rsid wsp:val=&quot;55DF4E88&quot;/&gt;&lt;wsp:rsid wsp:val=&quot;560321F1&quot;/&gt;&lt;wsp:rsid wsp:val=&quot;563C1221&quot;/&gt;&lt;wsp:rsid wsp:val=&quot;566B5300&quot;/&gt;&lt;wsp:rsid wsp:val=&quot;56CF135A&quot;/&gt;&lt;wsp:rsid wsp:val=&quot;57016FCE&quot;/&gt;&lt;wsp:rsid wsp:val=&quot;57100045&quot;/&gt;&lt;wsp:rsid wsp:val=&quot;57716378&quot;/&gt;&lt;wsp:rsid wsp:val=&quot;577225FD&quot;/&gt;&lt;wsp:rsid wsp:val=&quot;57BB25E4&quot;/&gt;&lt;wsp:rsid wsp:val=&quot;57C62553&quot;/&gt;&lt;wsp:rsid wsp:val=&quot;57DA54CC&quot;/&gt;&lt;wsp:rsid wsp:val=&quot;58533AD8&quot;/&gt;&lt;wsp:rsid wsp:val=&quot;589B29E5&quot;/&gt;&lt;wsp:rsid wsp:val=&quot;58A45951&quot;/&gt;&lt;wsp:rsid wsp:val=&quot;58C32CA1&quot;/&gt;&lt;wsp:rsid wsp:val=&quot;59360835&quot;/&gt;&lt;wsp:rsid wsp:val=&quot;59403ACB&quot;/&gt;&lt;wsp:rsid wsp:val=&quot;59887D89&quot;/&gt;&lt;wsp:rsid wsp:val=&quot;59A43E68&quot;/&gt;&lt;wsp:rsid wsp:val=&quot;59BB0B13&quot;/&gt;&lt;wsp:rsid wsp:val=&quot;59C60638&quot;/&gt;&lt;wsp:rsid wsp:val=&quot;5A2B1AF4&quot;/&gt;&lt;wsp:rsid wsp:val=&quot;5A586AE9&quot;/&gt;&lt;wsp:rsid wsp:val=&quot;5A6C1DCF&quot;/&gt;&lt;wsp:rsid wsp:val=&quot;5AB853FB&quot;/&gt;&lt;wsp:rsid wsp:val=&quot;5AC819D7&quot;/&gt;&lt;wsp:rsid wsp:val=&quot;5B133ED4&quot;/&gt;&lt;wsp:rsid wsp:val=&quot;5B380613&quot;/&gt;&lt;wsp:rsid wsp:val=&quot;5BC06FEA&quot;/&gt;&lt;wsp:rsid wsp:val=&quot;5BC21DE2&quot;/&gt;&lt;wsp:rsid wsp:val=&quot;5C216719&quot;/&gt;&lt;wsp:rsid wsp:val=&quot;5C6F37EE&quot;/&gt;&lt;wsp:rsid wsp:val=&quot;5C7D32EC&quot;/&gt;&lt;wsp:rsid wsp:val=&quot;5C915128&quot;/&gt;&lt;wsp:rsid wsp:val=&quot;5CAC7477&quot;/&gt;&lt;wsp:rsid wsp:val=&quot;5CC13055&quot;/&gt;&lt;wsp:rsid wsp:val=&quot;5D6041F0&quot;/&gt;&lt;wsp:rsid wsp:val=&quot;5D8E1C21&quot;/&gt;&lt;wsp:rsid wsp:val=&quot;5D9777AC&quot;/&gt;&lt;wsp:rsid wsp:val=&quot;5DB5566F&quot;/&gt;&lt;wsp:rsid wsp:val=&quot;5DC61CB0&quot;/&gt;&lt;wsp:rsid wsp:val=&quot;5DDD778D&quot;/&gt;&lt;wsp:rsid wsp:val=&quot;5E53313F&quot;/&gt;&lt;wsp:rsid wsp:val=&quot;5E6A5B56&quot;/&gt;&lt;wsp:rsid wsp:val=&quot;5E6B6793&quot;/&gt;&lt;wsp:rsid wsp:val=&quot;5E8E63D7&quot;/&gt;&lt;wsp:rsid wsp:val=&quot;5EAF7EA1&quot;/&gt;&lt;wsp:rsid wsp:val=&quot;5EEE0ABF&quot;/&gt;&lt;wsp:rsid wsp:val=&quot;5EF5098B&quot;/&gt;&lt;wsp:rsid wsp:val=&quot;5EFA0F31&quot;/&gt;&lt;wsp:rsid wsp:val=&quot;5F1178F8&quot;/&gt;&lt;wsp:rsid wsp:val=&quot;5F262F21&quot;/&gt;&lt;wsp:rsid wsp:val=&quot;5F7D5CBA&quot;/&gt;&lt;wsp:rsid wsp:val=&quot;602500CC&quot;/&gt;&lt;wsp:rsid wsp:val=&quot;60446032&quot;/&gt;&lt;wsp:rsid wsp:val=&quot;60523E2E&quot;/&gt;&lt;wsp:rsid wsp:val=&quot;60554E98&quot;/&gt;&lt;wsp:rsid wsp:val=&quot;6064577E&quot;/&gt;&lt;wsp:rsid wsp:val=&quot;6075356F&quot;/&gt;&lt;wsp:rsid wsp:val=&quot;60956993&quot;/&gt;&lt;wsp:rsid wsp:val=&quot;60AF47F0&quot;/&gt;&lt;wsp:rsid wsp:val=&quot;60D922BB&quot;/&gt;&lt;wsp:rsid wsp:val=&quot;60DE6DBC&quot;/&gt;&lt;wsp:rsid wsp:val=&quot;60F76F71&quot;/&gt;&lt;wsp:rsid wsp:val=&quot;617D013C&quot;/&gt;&lt;wsp:rsid wsp:val=&quot;618A61A7&quot;/&gt;&lt;wsp:rsid wsp:val=&quot;619209EF&quot;/&gt;&lt;wsp:rsid wsp:val=&quot;61D77161&quot;/&gt;&lt;wsp:rsid wsp:val=&quot;6200301E&quot;/&gt;&lt;wsp:rsid wsp:val=&quot;62190BF6&quot;/&gt;&lt;wsp:rsid wsp:val=&quot;622005E5&quot;/&gt;&lt;wsp:rsid wsp:val=&quot;624A6098&quot;/&gt;&lt;wsp:rsid wsp:val=&quot;626C102D&quot;/&gt;&lt;wsp:rsid wsp:val=&quot;62725AD7&quot;/&gt;&lt;wsp:rsid wsp:val=&quot;62793237&quot;/&gt;&lt;wsp:rsid wsp:val=&quot;62BC19B3&quot;/&gt;&lt;wsp:rsid wsp:val=&quot;62BF0B18&quot;/&gt;&lt;wsp:rsid wsp:val=&quot;62D83FA6&quot;/&gt;&lt;wsp:rsid wsp:val=&quot;62E46A4F&quot;/&gt;&lt;wsp:rsid wsp:val=&quot;62E544B1&quot;/&gt;&lt;wsp:rsid wsp:val=&quot;632A0181&quot;/&gt;&lt;wsp:rsid wsp:val=&quot;6347539C&quot;/&gt;&lt;wsp:rsid wsp:val=&quot;635F0FD9&quot;/&gt;&lt;wsp:rsid wsp:val=&quot;638A1FD1&quot;/&gt;&lt;wsp:rsid wsp:val=&quot;63966621&quot;/&gt;&lt;wsp:rsid wsp:val=&quot;63BE314B&quot;/&gt;&lt;wsp:rsid wsp:val=&quot;64555B88&quot;/&gt;&lt;wsp:rsid wsp:val=&quot;64604C75&quot;/&gt;&lt;wsp:rsid wsp:val=&quot;64B4442E&quot;/&gt;&lt;wsp:rsid wsp:val=&quot;64D47D6D&quot;/&gt;&lt;wsp:rsid wsp:val=&quot;64E073FD&quot;/&gt;&lt;wsp:rsid wsp:val=&quot;65930436&quot;/&gt;&lt;wsp:rsid wsp:val=&quot;65D82284&quot;/&gt;&lt;wsp:rsid wsp:val=&quot;66074444&quot;/&gt;&lt;wsp:rsid wsp:val=&quot;661C3B92&quot;/&gt;&lt;wsp:rsid wsp:val=&quot;66926AF2&quot;/&gt;&lt;wsp:rsid wsp:val=&quot;66975888&quot;/&gt;&lt;wsp:rsid wsp:val=&quot;669763E5&quot;/&gt;&lt;wsp:rsid wsp:val=&quot;66FD27C7&quot;/&gt;&lt;wsp:rsid wsp:val=&quot;675D1430&quot;/&gt;&lt;wsp:rsid wsp:val=&quot;67892399&quot;/&gt;&lt;wsp:rsid wsp:val=&quot;67B57718&quot;/&gt;&lt;wsp:rsid wsp:val=&quot;67BB4055&quot;/&gt;&lt;wsp:rsid wsp:val=&quot;67E34D51&quot;/&gt;&lt;wsp:rsid wsp:val=&quot;68114B61&quot;/&gt;&lt;wsp:rsid wsp:val=&quot;681778A7&quot;/&gt;&lt;wsp:rsid wsp:val=&quot;687E32F6&quot;/&gt;&lt;wsp:rsid wsp:val=&quot;68805770&quot;/&gt;&lt;wsp:rsid wsp:val=&quot;689B7DBE&quot;/&gt;&lt;wsp:rsid wsp:val=&quot;68AF62D4&quot;/&gt;&lt;wsp:rsid wsp:val=&quot;69392A21&quot;/&gt;&lt;wsp:rsid wsp:val=&quot;69431129&quot;/&gt;&lt;wsp:rsid wsp:val=&quot;699345C0&quot;/&gt;&lt;wsp:rsid wsp:val=&quot;69E111D1&quot;/&gt;&lt;wsp:rsid wsp:val=&quot;6A1B73D0&quot;/&gt;&lt;wsp:rsid wsp:val=&quot;6A2054EB&quot;/&gt;&lt;wsp:rsid wsp:val=&quot;6A57693B&quot;/&gt;&lt;wsp:rsid wsp:val=&quot;6B220F26&quot;/&gt;&lt;wsp:rsid wsp:val=&quot;6B3D4802&quot;/&gt;&lt;wsp:rsid wsp:val=&quot;6B550C89&quot;/&gt;&lt;wsp:rsid wsp:val=&quot;6B5D2D83&quot;/&gt;&lt;wsp:rsid wsp:val=&quot;6B686860&quot;/&gt;&lt;wsp:rsid wsp:val=&quot;6BF32254&quot;/&gt;&lt;wsp:rsid wsp:val=&quot;6C2E1B76&quot;/&gt;&lt;wsp:rsid wsp:val=&quot;6C4D10CA&quot;/&gt;&lt;wsp:rsid wsp:val=&quot;6C620DCD&quot;/&gt;&lt;wsp:rsid wsp:val=&quot;6C632E71&quot;/&gt;&lt;wsp:rsid wsp:val=&quot;6C98402E&quot;/&gt;&lt;wsp:rsid wsp:val=&quot;6CAF3346&quot;/&gt;&lt;wsp:rsid wsp:val=&quot;6CCD71DF&quot;/&gt;&lt;wsp:rsid wsp:val=&quot;6D0E3FD4&quot;/&gt;&lt;wsp:rsid wsp:val=&quot;6D4274C1&quot;/&gt;&lt;wsp:rsid wsp:val=&quot;6D477FCC&quot;/&gt;&lt;wsp:rsid wsp:val=&quot;6DC50278&quot;/&gt;&lt;wsp:rsid wsp:val=&quot;6DCD09F2&quot;/&gt;&lt;wsp:rsid wsp:val=&quot;6DCF3424&quot;/&gt;&lt;wsp:rsid wsp:val=&quot;6E302025&quot;/&gt;&lt;wsp:rsid wsp:val=&quot;6E4B6AAD&quot;/&gt;&lt;wsp:rsid wsp:val=&quot;6E4E3DD7&quot;/&gt;&lt;wsp:rsid wsp:val=&quot;6E5A7ED4&quot;/&gt;&lt;wsp:rsid wsp:val=&quot;6E805D8C&quot;/&gt;&lt;wsp:rsid wsp:val=&quot;6EC06C9B&quot;/&gt;&lt;wsp:rsid wsp:val=&quot;6EC06F25&quot;/&gt;&lt;wsp:rsid wsp:val=&quot;6EEE0A94&quot;/&gt;&lt;wsp:rsid wsp:val=&quot;6F0240E9&quot;/&gt;&lt;wsp:rsid wsp:val=&quot;6F2B100A&quot;/&gt;&lt;wsp:rsid wsp:val=&quot;6F4B0FCB&quot;/&gt;&lt;wsp:rsid wsp:val=&quot;6F4C3B6C&quot;/&gt;&lt;wsp:rsid wsp:val=&quot;6F4E2339&quot;/&gt;&lt;wsp:rsid wsp:val=&quot;6F8977E8&quot;/&gt;&lt;wsp:rsid wsp:val=&quot;6FB2545B&quot;/&gt;&lt;wsp:rsid wsp:val=&quot;6FC12AAE&quot;/&gt;&lt;wsp:rsid wsp:val=&quot;700225B6&quot;/&gt;&lt;wsp:rsid wsp:val=&quot;703F3B79&quot;/&gt;&lt;wsp:rsid wsp:val=&quot;70482B4A&quot;/&gt;&lt;wsp:rsid wsp:val=&quot;70915B62&quot;/&gt;&lt;wsp:rsid wsp:val=&quot;709B1DD5&quot;/&gt;&lt;wsp:rsid wsp:val=&quot;70B03826&quot;/&gt;&lt;wsp:rsid wsp:val=&quot;70FE253C&quot;/&gt;&lt;wsp:rsid wsp:val=&quot;710836C0&quot;/&gt;&lt;wsp:rsid wsp:val=&quot;710C4641&quot;/&gt;&lt;wsp:rsid wsp:val=&quot;716021C0&quot;/&gt;&lt;wsp:rsid wsp:val=&quot;71771F2B&quot;/&gt;&lt;wsp:rsid wsp:val=&quot;719B7959&quot;/&gt;&lt;wsp:rsid wsp:val=&quot;71A301A4&quot;/&gt;&lt;wsp:rsid wsp:val=&quot;71B81EEE&quot;/&gt;&lt;wsp:rsid wsp:val=&quot;71E84A17&quot;/&gt;&lt;wsp:rsid wsp:val=&quot;71F24CB9&quot;/&gt;&lt;wsp:rsid wsp:val=&quot;721249BC&quot;/&gt;&lt;wsp:rsid wsp:val=&quot;72153AEA&quot;/&gt;&lt;wsp:rsid wsp:val=&quot;72726D3F&quot;/&gt;&lt;wsp:rsid wsp:val=&quot;72801F33&quot;/&gt;&lt;wsp:rsid wsp:val=&quot;72D900D9&quot;/&gt;&lt;wsp:rsid wsp:val=&quot;73013B75&quot;/&gt;&lt;wsp:rsid wsp:val=&quot;73383393&quot;/&gt;&lt;wsp:rsid wsp:val=&quot;735B5491&quot;/&gt;&lt;wsp:rsid wsp:val=&quot;736E350B&quot;/&gt;&lt;wsp:rsid wsp:val=&quot;73B128F9&quot;/&gt;&lt;wsp:rsid wsp:val=&quot;73C71D1C&quot;/&gt;&lt;wsp:rsid wsp:val=&quot;740E767B&quot;/&gt;&lt;wsp:rsid wsp:val=&quot;74131440&quot;/&gt;&lt;wsp:rsid wsp:val=&quot;741A6855&quot;/&gt;&lt;wsp:rsid wsp:val=&quot;74483378&quot;/&gt;&lt;wsp:rsid wsp:val=&quot;74620165&quot;/&gt;&lt;wsp:rsid wsp:val=&quot;74A86B4B&quot;/&gt;&lt;wsp:rsid wsp:val=&quot;752E34EE&quot;/&gt;&lt;wsp:rsid wsp:val=&quot;75631640&quot;/&gt;&lt;wsp:rsid wsp:val=&quot;757A11FB&quot;/&gt;&lt;wsp:rsid wsp:val=&quot;759F44A6&quot;/&gt;&lt;wsp:rsid wsp:val=&quot;75E821DF&quot;/&gt;&lt;wsp:rsid wsp:val=&quot;7624661D&quot;/&gt;&lt;wsp:rsid wsp:val=&quot;76613B45&quot;/&gt;&lt;wsp:rsid wsp:val=&quot;76794489&quot;/&gt;&lt;wsp:rsid wsp:val=&quot;76844423&quot;/&gt;&lt;wsp:rsid wsp:val=&quot;769B4760&quot;/&gt;&lt;wsp:rsid wsp:val=&quot;76A1621B&quot;/&gt;&lt;wsp:rsid wsp:val=&quot;76A61249&quot;/&gt;&lt;wsp:rsid wsp:val=&quot;76BE76BD&quot;/&gt;&lt;wsp:rsid wsp:val=&quot;77125AB5&quot;/&gt;&lt;wsp:rsid wsp:val=&quot;776B66F1&quot;/&gt;&lt;wsp:rsid wsp:val=&quot;77A551E4&quot;/&gt;&lt;wsp:rsid wsp:val=&quot;77DC5F58&quot;/&gt;&lt;wsp:rsid wsp:val=&quot;77E462BC&quot;/&gt;&lt;wsp:rsid wsp:val=&quot;7807225B&quot;/&gt;&lt;wsp:rsid wsp:val=&quot;7853086D&quot;/&gt;&lt;wsp:rsid wsp:val=&quot;787B24B3&quot;/&gt;&lt;wsp:rsid wsp:val=&quot;78BE2892&quot;/&gt;&lt;wsp:rsid wsp:val=&quot;79487F3B&quot;/&gt;&lt;wsp:rsid wsp:val=&quot;7958034D&quot;/&gt;&lt;wsp:rsid wsp:val=&quot;79874F65&quot;/&gt;&lt;wsp:rsid wsp:val=&quot;79AD754C&quot;/&gt;&lt;wsp:rsid wsp:val=&quot;79CE6960&quot;/&gt;&lt;wsp:rsid wsp:val=&quot;79E34EA8&quot;/&gt;&lt;wsp:rsid wsp:val=&quot;7A216E9D&quot;/&gt;&lt;wsp:rsid wsp:val=&quot;7A623047&quot;/&gt;&lt;wsp:rsid wsp:val=&quot;7AC34186&quot;/&gt;&lt;wsp:rsid wsp:val=&quot;7ACE4DA3&quot;/&gt;&lt;wsp:rsid wsp:val=&quot;7AD207C3&quot;/&gt;&lt;wsp:rsid wsp:val=&quot;7B534B92&quot;/&gt;&lt;wsp:rsid wsp:val=&quot;7B664C07&quot;/&gt;&lt;wsp:rsid wsp:val=&quot;7BA274E7&quot;/&gt;&lt;wsp:rsid wsp:val=&quot;7BA975D4&quot;/&gt;&lt;wsp:rsid wsp:val=&quot;7BBD73A6&quot;/&gt;&lt;wsp:rsid wsp:val=&quot;7BCD1D9C&quot;/&gt;&lt;wsp:rsid wsp:val=&quot;7BEF1581&quot;/&gt;&lt;wsp:rsid wsp:val=&quot;7C1049C9&quot;/&gt;&lt;wsp:rsid wsp:val=&quot;7C17313A&quot;/&gt;&lt;wsp:rsid wsp:val=&quot;7C5A20B4&quot;/&gt;&lt;wsp:rsid wsp:val=&quot;7C945FA9&quot;/&gt;&lt;wsp:rsid wsp:val=&quot;7CD603FC&quot;/&gt;&lt;wsp:rsid wsp:val=&quot;7D1A439B&quot;/&gt;&lt;wsp:rsid wsp:val=&quot;7D1A788D&quot;/&gt;&lt;wsp:rsid wsp:val=&quot;7D83567A&quot;/&gt;&lt;wsp:rsid wsp:val=&quot;7D8D57CF&quot;/&gt;&lt;wsp:rsid wsp:val=&quot;7D955548&quot;/&gt;&lt;wsp:rsid wsp:val=&quot;7D996BBB&quot;/&gt;&lt;wsp:rsid wsp:val=&quot;7D9D7130&quot;/&gt;&lt;wsp:rsid wsp:val=&quot;7DA43D6F&quot;/&gt;&lt;wsp:rsid wsp:val=&quot;7DDC7E18&quot;/&gt;&lt;wsp:rsid wsp:val=&quot;7E287490&quot;/&gt;&lt;wsp:rsid wsp:val=&quot;7E4055F7&quot;/&gt;&lt;wsp:rsid wsp:val=&quot;7E6E79C9&quot;/&gt;&lt;wsp:rsid wsp:val=&quot;7E7D5A15&quot;/&gt;&lt;wsp:rsid wsp:val=&quot;7E9919F4&quot;/&gt;&lt;wsp:rsid wsp:val=&quot;7EE20BA5&quot;/&gt;&lt;wsp:rsid wsp:val=&quot;7EE21A8E&quot;/&gt;&lt;wsp:rsid wsp:val=&quot;7EFF63BE&quot;/&gt;&lt;wsp:rsid wsp:val=&quot;7F122845&quot;/&gt;&lt;wsp:rsid wsp:val=&quot;7F1E3054&quot;/&gt;&lt;wsp:rsid wsp:val=&quot;7F374D05&quot;/&gt;&lt;wsp:rsid wsp:val=&quot;7F4767F7&quot;/&gt;&lt;wsp:rsid wsp:val=&quot;7F490F62&quot;/&gt;&lt;wsp:rsid wsp:val=&quot;7F5044D1&quot;/&gt;&lt;wsp:rsid wsp:val=&quot;7F644169&quot;/&gt;&lt;wsp:rsid wsp:val=&quot;7F6F24D2&quot;/&gt;&lt;wsp:rsid wsp:val=&quot;7FA73E60&quot;/&gt;&lt;wsp:rsid wsp:val=&quot;7FC866DA&quot;/&gt;&lt;wsp:rsid wsp:val=&quot;7FE109F3&quot;/&gt;&lt;wsp:rsid wsp:val=&quot;7FE33A33&quot;/&gt;&lt;wsp:rsid wsp:val=&quot;7FE8614A&quot;/&gt;&lt;/wsp:rsids&gt;&lt;/w:docPr&gt;&lt;w:body&gt;&lt;wx:sect&gt;&lt;w:p wsp:rsidR=&quot;00000000&quot; wsp:rsidRDefault=&quot;001A4D57&quot; wsp:rsidP=&quot;001A4D57&quot;&gt;&lt;w:pPr&gt;&lt;w:ind w:first-line=&quot;480&quot;/&gt;&lt;/w:pPr&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S&lt;/m:t&gt;&lt;/m:r&gt;&lt;/m:e&gt;&lt;m:sub&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7.0-&lt;/m:t&gt;&lt;/m:r&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j&lt;/m:t&gt;&lt;/m:r&gt;&lt;/m:sub&gt;&lt;/m:sSub&gt;&lt;/m:num&gt;&lt;m:den&gt;&lt;m:r&gt;&lt;w:rPr&gt;&lt;w:rFonts w:ascii=&quot;Cambria Math&quot; w:h-ansi=&quot;Cambria Math&quot;/&gt;&lt;wx:font wx:val=&quot;Cambria Math&quot;/&gt;&lt;w:i/&gt;&lt;/w:rPr&gt;&lt;m:t&gt;7.0-&lt;/m:t&gt;&lt;/m:r&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sd&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
            <v:path/>
            <v:fill on="f" focussize="0,0"/>
            <v:stroke on="f" joinstyle="miter"/>
            <v:imagedata r:id="rId87" chromakey="#FFFFFF" o:title=""/>
            <o:lock v:ext="edit" aspectratio="t"/>
            <w10:wrap type="none"/>
            <w10:anchorlock/>
          </v:shape>
        </w:pict>
      </w:r>
      <w:r>
        <w:rPr>
          <w:color w:val="auto"/>
        </w:rPr>
        <w:instrText xml:space="preserve"> </w:instrText>
      </w:r>
      <w:r>
        <w:rPr>
          <w:color w:val="auto"/>
        </w:rPr>
        <w:fldChar w:fldCharType="separate"/>
      </w:r>
      <w:r>
        <w:rPr>
          <w:color w:val="auto"/>
        </w:rPr>
        <w:pict>
          <v:shape id="_x0000_i1037" o:spt="75" type="#_x0000_t75" style="height:30pt;width:7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displayBackgroundShape/&gt;&lt;w:doNotEmbedSystemFonts/&gt;&lt;w:hideSpellingErrors/&gt;&lt;w:stylePaneFormatFilter w:val=&quot;3F01&quot;/&gt;&lt;w:defaultTabStop w:val=&quot;420&quot;/&gt;&lt;w:drawingGridHorizontalSpacing w:val=&quot;120&quot;/&gt;&lt;w:drawingGridVerticalSpacing w:val=&quot;333&quot;/&gt;&lt;w:displayHorizontalDrawingGridEvery w:val=&quot;2&quot;/&gt;&lt;w:characterSpacingControl w:val=&quot;CompressPunctuation&quot;/&gt;&lt;w:webPageEncoding w:val=&quot;x-cp20936&quot;/&gt;&lt;w:optimizeForBrowser/&gt;&lt;w:allowPNG/&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docVars&gt;&lt;w:docVar w:name=&quot;commondata&quot; w:val=&quot;eyJoZGlkIjoiNjk0ZjU2YzNkNWFhOWM4OGMwNGRjZTIyNDMxOWQwZDYifQ==&quot;/&gt;&lt;/w:docVars&gt;&lt;wsp:rsids&gt;&lt;wsp:rsidRoot wsp:val=&quot;00172A27&quot;/&gt;&lt;wsp:rsid wsp:val=&quot;0000022F&quot;/&gt;&lt;wsp:rsid wsp:val=&quot;00000384&quot;/&gt;&lt;wsp:rsid wsp:val=&quot;000004DF&quot;/&gt;&lt;wsp:rsid wsp:val=&quot;00000A0B&quot;/&gt;&lt;wsp:rsid wsp:val=&quot;00000A3E&quot;/&gt;&lt;wsp:rsid wsp:val=&quot;00000B73&quot;/&gt;&lt;wsp:rsid wsp:val=&quot;00000CAA&quot;/&gt;&lt;wsp:rsid wsp:val=&quot;000011E2&quot;/&gt;&lt;wsp:rsid wsp:val=&quot;0000150C&quot;/&gt;&lt;wsp:rsid wsp:val=&quot;000015BC&quot;/&gt;&lt;wsp:rsid wsp:val=&quot;000015EC&quot;/&gt;&lt;wsp:rsid wsp:val=&quot;000017CA&quot;/&gt;&lt;wsp:rsid wsp:val=&quot;00001C36&quot;/&gt;&lt;wsp:rsid wsp:val=&quot;00001C48&quot;/&gt;&lt;wsp:rsid wsp:val=&quot;0000219B&quot;/&gt;&lt;wsp:rsid wsp:val=&quot;00002E2B&quot;/&gt;&lt;wsp:rsid wsp:val=&quot;00003024&quot;/&gt;&lt;wsp:rsid wsp:val=&quot;000030BE&quot;/&gt;&lt;wsp:rsid wsp:val=&quot;00003138&quot;/&gt;&lt;wsp:rsid wsp:val=&quot;0000336F&quot;/&gt;&lt;wsp:rsid wsp:val=&quot;000038D6&quot;/&gt;&lt;wsp:rsid wsp:val=&quot;00003B70&quot;/&gt;&lt;wsp:rsid wsp:val=&quot;00003C50&quot;/&gt;&lt;wsp:rsid wsp:val=&quot;00003CAD&quot;/&gt;&lt;wsp:rsid wsp:val=&quot;00003D71&quot;/&gt;&lt;wsp:rsid wsp:val=&quot;00003DDB&quot;/&gt;&lt;wsp:rsid wsp:val=&quot;00003E4D&quot;/&gt;&lt;wsp:rsid wsp:val=&quot;0000401F&quot;/&gt;&lt;wsp:rsid wsp:val=&quot;00005163&quot;/&gt;&lt;wsp:rsid wsp:val=&quot;0000523C&quot;/&gt;&lt;wsp:rsid wsp:val=&quot;000052E2&quot;/&gt;&lt;wsp:rsid wsp:val=&quot;00005688&quot;/&gt;&lt;wsp:rsid wsp:val=&quot;00005F62&quot;/&gt;&lt;wsp:rsid wsp:val=&quot;00006049&quot;/&gt;&lt;wsp:rsid wsp:val=&quot;00006447&quot;/&gt;&lt;wsp:rsid wsp:val=&quot;0000644B&quot;/&gt;&lt;wsp:rsid wsp:val=&quot;0000682C&quot;/&gt;&lt;wsp:rsid wsp:val=&quot;00006B6F&quot;/&gt;&lt;wsp:rsid wsp:val=&quot;000076B4&quot;/&gt;&lt;wsp:rsid wsp:val=&quot;00007713&quot;/&gt;&lt;wsp:rsid wsp:val=&quot;00007BDE&quot;/&gt;&lt;wsp:rsid wsp:val=&quot;00007DAF&quot;/&gt;&lt;wsp:rsid wsp:val=&quot;00010469&quot;/&gt;&lt;wsp:rsid wsp:val=&quot;00010982&quot;/&gt;&lt;wsp:rsid wsp:val=&quot;00010A0D&quot;/&gt;&lt;wsp:rsid wsp:val=&quot;00010ADF&quot;/&gt;&lt;wsp:rsid wsp:val=&quot;0001100E&quot;/&gt;&lt;wsp:rsid wsp:val=&quot;000115C2&quot;/&gt;&lt;wsp:rsid wsp:val=&quot;00011B14&quot;/&gt;&lt;wsp:rsid wsp:val=&quot;00011B79&quot;/&gt;&lt;wsp:rsid wsp:val=&quot;0001252B&quot;/&gt;&lt;wsp:rsid wsp:val=&quot;00012C75&quot;/&gt;&lt;wsp:rsid wsp:val=&quot;00012CE6&quot;/&gt;&lt;wsp:rsid wsp:val=&quot;0001307C&quot;/&gt;&lt;wsp:rsid wsp:val=&quot;000130A5&quot;/&gt;&lt;wsp:rsid wsp:val=&quot;00013349&quot;/&gt;&lt;wsp:rsid wsp:val=&quot;000134B2&quot;/&gt;&lt;wsp:rsid wsp:val=&quot;00013864&quot;/&gt;&lt;wsp:rsid wsp:val=&quot;0001391F&quot;/&gt;&lt;wsp:rsid wsp:val=&quot;00013922&quot;/&gt;&lt;wsp:rsid wsp:val=&quot;0001398B&quot;/&gt;&lt;wsp:rsid wsp:val=&quot;00013BFA&quot;/&gt;&lt;wsp:rsid wsp:val=&quot;0001435A&quot;/&gt;&lt;wsp:rsid wsp:val=&quot;00014504&quot;/&gt;&lt;wsp:rsid wsp:val=&quot;0001468D&quot;/&gt;&lt;wsp:rsid wsp:val=&quot;0001484A&quot;/&gt;&lt;wsp:rsid wsp:val=&quot;00015025&quot;/&gt;&lt;wsp:rsid wsp:val=&quot;00015885&quot;/&gt;&lt;wsp:rsid wsp:val=&quot;00015B16&quot;/&gt;&lt;wsp:rsid wsp:val=&quot;00015C72&quot;/&gt;&lt;wsp:rsid wsp:val=&quot;000160E3&quot;/&gt;&lt;wsp:rsid wsp:val=&quot;00016243&quot;/&gt;&lt;wsp:rsid wsp:val=&quot;0001655D&quot;/&gt;&lt;wsp:rsid wsp:val=&quot;0001698B&quot;/&gt;&lt;wsp:rsid wsp:val=&quot;00017AFE&quot;/&gt;&lt;wsp:rsid wsp:val=&quot;00017C19&quot;/&gt;&lt;wsp:rsid wsp:val=&quot;00021301&quot;/&gt;&lt;wsp:rsid wsp:val=&quot;0002151D&quot;/&gt;&lt;wsp:rsid wsp:val=&quot;00021560&quot;/&gt;&lt;wsp:rsid wsp:val=&quot;00021A4C&quot;/&gt;&lt;wsp:rsid wsp:val=&quot;0002225C&quot;/&gt;&lt;wsp:rsid wsp:val=&quot;000224E4&quot;/&gt;&lt;wsp:rsid wsp:val=&quot;000227B9&quot;/&gt;&lt;wsp:rsid wsp:val=&quot;000233D0&quot;/&gt;&lt;wsp:rsid wsp:val=&quot;000236A2&quot;/&gt;&lt;wsp:rsid wsp:val=&quot;00023B3C&quot;/&gt;&lt;wsp:rsid wsp:val=&quot;00023BED&quot;/&gt;&lt;wsp:rsid wsp:val=&quot;000246C4&quot;/&gt;&lt;wsp:rsid wsp:val=&quot;00024CDA&quot;/&gt;&lt;wsp:rsid wsp:val=&quot;00024E8A&quot;/&gt;&lt;wsp:rsid wsp:val=&quot;00025365&quot;/&gt;&lt;wsp:rsid wsp:val=&quot;00025477&quot;/&gt;&lt;wsp:rsid wsp:val=&quot;000258DC&quot;/&gt;&lt;wsp:rsid wsp:val=&quot;00025C11&quot;/&gt;&lt;wsp:rsid wsp:val=&quot;00025D8F&quot;/&gt;&lt;wsp:rsid wsp:val=&quot;00025E50&quot;/&gt;&lt;wsp:rsid wsp:val=&quot;00025F43&quot;/&gt;&lt;wsp:rsid wsp:val=&quot;00026330&quot;/&gt;&lt;wsp:rsid wsp:val=&quot;000265C3&quot;/&gt;&lt;wsp:rsid wsp:val=&quot;00026A30&quot;/&gt;&lt;wsp:rsid wsp:val=&quot;00027069&quot;/&gt;&lt;wsp:rsid wsp:val=&quot;000271AB&quot;/&gt;&lt;wsp:rsid wsp:val=&quot;00027286&quot;/&gt;&lt;wsp:rsid wsp:val=&quot;0002750E&quot;/&gt;&lt;wsp:rsid wsp:val=&quot;000275CE&quot;/&gt;&lt;wsp:rsid wsp:val=&quot;00027886&quot;/&gt;&lt;wsp:rsid wsp:val=&quot;00027C25&quot;/&gt;&lt;wsp:rsid wsp:val=&quot;00027D99&quot;/&gt;&lt;wsp:rsid wsp:val=&quot;00027F29&quot;/&gt;&lt;wsp:rsid wsp:val=&quot;00030097&quot;/&gt;&lt;wsp:rsid wsp:val=&quot;00030482&quot;/&gt;&lt;wsp:rsid wsp:val=&quot;0003049B&quot;/&gt;&lt;wsp:rsid wsp:val=&quot;000305A7&quot;/&gt;&lt;wsp:rsid wsp:val=&quot;00031893&quot;/&gt;&lt;wsp:rsid wsp:val=&quot;00031B2D&quot;/&gt;&lt;wsp:rsid wsp:val=&quot;00031D30&quot;/&gt;&lt;wsp:rsid wsp:val=&quot;00032A8C&quot;/&gt;&lt;wsp:rsid wsp:val=&quot;00032CA5&quot;/&gt;&lt;wsp:rsid wsp:val=&quot;00032F8A&quot;/&gt;&lt;wsp:rsid wsp:val=&quot;0003348A&quot;/&gt;&lt;wsp:rsid wsp:val=&quot;000335E6&quot;/&gt;&lt;wsp:rsid wsp:val=&quot;0003421E&quot;/&gt;&lt;wsp:rsid wsp:val=&quot;000346A1&quot;/&gt;&lt;wsp:rsid wsp:val=&quot;00034799&quot;/&gt;&lt;wsp:rsid wsp:val=&quot;00034D53&quot;/&gt;&lt;wsp:rsid wsp:val=&quot;00034E85&quot;/&gt;&lt;wsp:rsid wsp:val=&quot;00034F14&quot;/&gt;&lt;wsp:rsid wsp:val=&quot;0003510D&quot;/&gt;&lt;wsp:rsid wsp:val=&quot;00035BE6&quot;/&gt;&lt;wsp:rsid wsp:val=&quot;00035CE7&quot;/&gt;&lt;wsp:rsid wsp:val=&quot;00036265&quot;/&gt;&lt;wsp:rsid wsp:val=&quot;000367D9&quot;/&gt;&lt;wsp:rsid wsp:val=&quot;00036BF8&quot;/&gt;&lt;wsp:rsid wsp:val=&quot;00037795&quot;/&gt;&lt;wsp:rsid wsp:val=&quot;00037962&quot;/&gt;&lt;wsp:rsid wsp:val=&quot;00037D5A&quot;/&gt;&lt;wsp:rsid wsp:val=&quot;00037DD9&quot;/&gt;&lt;wsp:rsid wsp:val=&quot;00037E9D&quot;/&gt;&lt;wsp:rsid wsp:val=&quot;000403AD&quot;/&gt;&lt;wsp:rsid wsp:val=&quot;00040568&quot;/&gt;&lt;wsp:rsid wsp:val=&quot;000405B6&quot;/&gt;&lt;wsp:rsid wsp:val=&quot;00041379&quot;/&gt;&lt;wsp:rsid wsp:val=&quot;00041507&quot;/&gt;&lt;wsp:rsid wsp:val=&quot;000415B9&quot;/&gt;&lt;wsp:rsid wsp:val=&quot;00041627&quot;/&gt;&lt;wsp:rsid wsp:val=&quot;00041A92&quot;/&gt;&lt;wsp:rsid wsp:val=&quot;00041B78&quot;/&gt;&lt;wsp:rsid wsp:val=&quot;00041C7C&quot;/&gt;&lt;wsp:rsid wsp:val=&quot;00042046&quot;/&gt;&lt;wsp:rsid wsp:val=&quot;00042160&quot;/&gt;&lt;wsp:rsid wsp:val=&quot;00042304&quot;/&gt;&lt;wsp:rsid wsp:val=&quot;000427DA&quot;/&gt;&lt;wsp:rsid wsp:val=&quot;000428AB&quot;/&gt;&lt;wsp:rsid wsp:val=&quot;00042906&quot;/&gt;&lt;wsp:rsid wsp:val=&quot;00042A13&quot;/&gt;&lt;wsp:rsid wsp:val=&quot;00042CA9&quot;/&gt;&lt;wsp:rsid wsp:val=&quot;00042FF9&quot;/&gt;&lt;wsp:rsid wsp:val=&quot;00043B29&quot;/&gt;&lt;wsp:rsid wsp:val=&quot;00043B34&quot;/&gt;&lt;wsp:rsid wsp:val=&quot;00043F0A&quot;/&gt;&lt;wsp:rsid wsp:val=&quot;00043F57&quot;/&gt;&lt;wsp:rsid wsp:val=&quot;000445EB&quot;/&gt;&lt;wsp:rsid wsp:val=&quot;0004466A&quot;/&gt;&lt;wsp:rsid wsp:val=&quot;00044888&quot;/&gt;&lt;wsp:rsid wsp:val=&quot;000449E1&quot;/&gt;&lt;wsp:rsid wsp:val=&quot;00044A6E&quot;/&gt;&lt;wsp:rsid wsp:val=&quot;00045DF6&quot;/&gt;&lt;wsp:rsid wsp:val=&quot;00045F1E&quot;/&gt;&lt;wsp:rsid wsp:val=&quot;000460DC&quot;/&gt;&lt;wsp:rsid wsp:val=&quot;00046316&quot;/&gt;&lt;wsp:rsid wsp:val=&quot;0004788D&quot;/&gt;&lt;wsp:rsid wsp:val=&quot;00047C3A&quot;/&gt;&lt;wsp:rsid wsp:val=&quot;000500BC&quot;/&gt;&lt;wsp:rsid wsp:val=&quot;0005058E&quot;/&gt;&lt;wsp:rsid wsp:val=&quot;0005070D&quot;/&gt;&lt;wsp:rsid wsp:val=&quot;00050882&quot;/&gt;&lt;wsp:rsid wsp:val=&quot;00050BE4&quot;/&gt;&lt;wsp:rsid wsp:val=&quot;00050D7A&quot;/&gt;&lt;wsp:rsid wsp:val=&quot;00050EAC&quot;/&gt;&lt;wsp:rsid wsp:val=&quot;000512D2&quot;/&gt;&lt;wsp:rsid wsp:val=&quot;0005174C&quot;/&gt;&lt;wsp:rsid wsp:val=&quot;00051C0F&quot;/&gt;&lt;wsp:rsid wsp:val=&quot;00051CD8&quot;/&gt;&lt;wsp:rsid wsp:val=&quot;00052154&quot;/&gt;&lt;wsp:rsid wsp:val=&quot;000522C7&quot;/&gt;&lt;wsp:rsid wsp:val=&quot;00052CF9&quot;/&gt;&lt;wsp:rsid wsp:val=&quot;000530C9&quot;/&gt;&lt;wsp:rsid wsp:val=&quot;000530D0&quot;/&gt;&lt;wsp:rsid wsp:val=&quot;00053212&quot;/&gt;&lt;wsp:rsid wsp:val=&quot;000532E4&quot;/&gt;&lt;wsp:rsid wsp:val=&quot;000541FD&quot;/&gt;&lt;wsp:rsid wsp:val=&quot;00054823&quot;/&gt;&lt;wsp:rsid wsp:val=&quot;0005484C&quot;/&gt;&lt;wsp:rsid wsp:val=&quot;000552E0&quot;/&gt;&lt;wsp:rsid wsp:val=&quot;000552EC&quot;/&gt;&lt;wsp:rsid wsp:val=&quot;000555BA&quot;/&gt;&lt;wsp:rsid wsp:val=&quot;000558A8&quot;/&gt;&lt;wsp:rsid wsp:val=&quot;00055941&quot;/&gt;&lt;wsp:rsid wsp:val=&quot;000559EE&quot;/&gt;&lt;wsp:rsid wsp:val=&quot;00055D03&quot;/&gt;&lt;wsp:rsid wsp:val=&quot;00056002&quot;/&gt;&lt;wsp:rsid wsp:val=&quot;00056098&quot;/&gt;&lt;wsp:rsid wsp:val=&quot;000560B4&quot;/&gt;&lt;wsp:rsid wsp:val=&quot;000560FC&quot;/&gt;&lt;wsp:rsid wsp:val=&quot;00056638&quot;/&gt;&lt;wsp:rsid wsp:val=&quot;000566E8&quot;/&gt;&lt;wsp:rsid wsp:val=&quot;00056841&quot;/&gt;&lt;wsp:rsid wsp:val=&quot;000568C7&quot;/&gt;&lt;wsp:rsid wsp:val=&quot;00056F36&quot;/&gt;&lt;wsp:rsid wsp:val=&quot;00057292&quot;/&gt;&lt;wsp:rsid wsp:val=&quot;00057837&quot;/&gt;&lt;wsp:rsid wsp:val=&quot;00057A84&quot;/&gt;&lt;wsp:rsid wsp:val=&quot;00057B20&quot;/&gt;&lt;wsp:rsid wsp:val=&quot;00057BDB&quot;/&gt;&lt;wsp:rsid wsp:val=&quot;00057D12&quot;/&gt;&lt;wsp:rsid wsp:val=&quot;00060260&quot;/&gt;&lt;wsp:rsid wsp:val=&quot;000605C3&quot;/&gt;&lt;wsp:rsid wsp:val=&quot;00060BB5&quot;/&gt;&lt;wsp:rsid wsp:val=&quot;00061697&quot;/&gt;&lt;wsp:rsid wsp:val=&quot;00061B2B&quot;/&gt;&lt;wsp:rsid wsp:val=&quot;00061DBE&quot;/&gt;&lt;wsp:rsid wsp:val=&quot;000620E3&quot;/&gt;&lt;wsp:rsid wsp:val=&quot;00062112&quot;/&gt;&lt;wsp:rsid wsp:val=&quot;000621B0&quot;/&gt;&lt;wsp:rsid wsp:val=&quot;000623B4&quot;/&gt;&lt;wsp:rsid wsp:val=&quot;000626D5&quot;/&gt;&lt;wsp:rsid wsp:val=&quot;00062943&quot;/&gt;&lt;wsp:rsid wsp:val=&quot;00063223&quot;/&gt;&lt;wsp:rsid wsp:val=&quot;00063530&quot;/&gt;&lt;wsp:rsid wsp:val=&quot;000637CE&quot;/&gt;&lt;wsp:rsid wsp:val=&quot;00063912&quot;/&gt;&lt;wsp:rsid wsp:val=&quot;000639A7&quot;/&gt;&lt;wsp:rsid wsp:val=&quot;00064759&quot;/&gt;&lt;wsp:rsid wsp:val=&quot;00065140&quot;/&gt;&lt;wsp:rsid wsp:val=&quot;000651D1&quot;/&gt;&lt;wsp:rsid wsp:val=&quot;0006737C&quot;/&gt;&lt;wsp:rsid wsp:val=&quot;000674A7&quot;/&gt;&lt;wsp:rsid wsp:val=&quot;0006771D&quot;/&gt;&lt;wsp:rsid wsp:val=&quot;000677C1&quot;/&gt;&lt;wsp:rsid wsp:val=&quot;000705B3&quot;/&gt;&lt;wsp:rsid wsp:val=&quot;00070E41&quot;/&gt;&lt;wsp:rsid wsp:val=&quot;00071078&quot;/&gt;&lt;wsp:rsid wsp:val=&quot;000713AF&quot;/&gt;&lt;wsp:rsid wsp:val=&quot;00071452&quot;/&gt;&lt;wsp:rsid wsp:val=&quot;000718E7&quot;/&gt;&lt;wsp:rsid wsp:val=&quot;00071B41&quot;/&gt;&lt;wsp:rsid wsp:val=&quot;00071D62&quot;/&gt;&lt;wsp:rsid wsp:val=&quot;00071E06&quot;/&gt;&lt;wsp:rsid wsp:val=&quot;00071EF4&quot;/&gt;&lt;wsp:rsid wsp:val=&quot;00072124&quot;/&gt;&lt;wsp:rsid wsp:val=&quot;00072223&quot;/&gt;&lt;wsp:rsid wsp:val=&quot;000727DD&quot;/&gt;&lt;wsp:rsid wsp:val=&quot;00072A7C&quot;/&gt;&lt;wsp:rsid wsp:val=&quot;00072F74&quot;/&gt;&lt;wsp:rsid wsp:val=&quot;000730EC&quot;/&gt;&lt;wsp:rsid wsp:val=&quot;00073818&quot;/&gt;&lt;wsp:rsid wsp:val=&quot;00073A3F&quot;/&gt;&lt;wsp:rsid wsp:val=&quot;00073D42&quot;/&gt;&lt;wsp:rsid wsp:val=&quot;00074150&quot;/&gt;&lt;wsp:rsid wsp:val=&quot;00074587&quot;/&gt;&lt;wsp:rsid wsp:val=&quot;00074A92&quot;/&gt;&lt;wsp:rsid wsp:val=&quot;00074C0E&quot;/&gt;&lt;wsp:rsid wsp:val=&quot;00074EA2&quot;/&gt;&lt;wsp:rsid wsp:val=&quot;00075128&quot;/&gt;&lt;wsp:rsid wsp:val=&quot;00075455&quot;/&gt;&lt;wsp:rsid wsp:val=&quot;00076688&quot;/&gt;&lt;wsp:rsid wsp:val=&quot;00077076&quot;/&gt;&lt;wsp:rsid wsp:val=&quot;0007727A&quot;/&gt;&lt;wsp:rsid wsp:val=&quot;00077572&quot;/&gt;&lt;wsp:rsid wsp:val=&quot;0007758C&quot;/&gt;&lt;wsp:rsid wsp:val=&quot;000779A3&quot;/&gt;&lt;wsp:rsid wsp:val=&quot;00077AD3&quot;/&gt;&lt;wsp:rsid wsp:val=&quot;0008015C&quot;/&gt;&lt;wsp:rsid wsp:val=&quot;00080248&quot;/&gt;&lt;wsp:rsid wsp:val=&quot;000802C4&quot;/&gt;&lt;wsp:rsid wsp:val=&quot;00080900&quot;/&gt;&lt;wsp:rsid wsp:val=&quot;00081546&quot;/&gt;&lt;wsp:rsid wsp:val=&quot;000816AD&quot;/&gt;&lt;wsp:rsid wsp:val=&quot;0008236E&quot;/&gt;&lt;wsp:rsid wsp:val=&quot;000823BC&quot;/&gt;&lt;wsp:rsid wsp:val=&quot;000829DB&quot;/&gt;&lt;wsp:rsid wsp:val=&quot;00082D5D&quot;/&gt;&lt;wsp:rsid wsp:val=&quot;000837D8&quot;/&gt;&lt;wsp:rsid wsp:val=&quot;00083A03&quot;/&gt;&lt;wsp:rsid wsp:val=&quot;00083D4A&quot;/&gt;&lt;wsp:rsid wsp:val=&quot;000840A3&quot;/&gt;&lt;wsp:rsid wsp:val=&quot;0008416D&quot;/&gt;&lt;wsp:rsid wsp:val=&quot;000843D7&quot;/&gt;&lt;wsp:rsid wsp:val=&quot;00084495&quot;/&gt;&lt;wsp:rsid wsp:val=&quot;00084870&quot;/&gt;&lt;wsp:rsid wsp:val=&quot;00085127&quot;/&gt;&lt;wsp:rsid wsp:val=&quot;0008548A&quot;/&gt;&lt;wsp:rsid wsp:val=&quot;00085B7D&quot;/&gt;&lt;wsp:rsid wsp:val=&quot;00085E5C&quot;/&gt;&lt;wsp:rsid wsp:val=&quot;000869CE&quot;/&gt;&lt;wsp:rsid wsp:val=&quot;00086A65&quot;/&gt;&lt;wsp:rsid wsp:val=&quot;00086EF1&quot;/&gt;&lt;wsp:rsid wsp:val=&quot;000871B8&quot;/&gt;&lt;wsp:rsid wsp:val=&quot;00087345&quot;/&gt;&lt;wsp:rsid wsp:val=&quot;00087893&quot;/&gt;&lt;wsp:rsid wsp:val=&quot;00087C3F&quot;/&gt;&lt;wsp:rsid wsp:val=&quot;00090020&quot;/&gt;&lt;wsp:rsid wsp:val=&quot;0009003D&quot;/&gt;&lt;wsp:rsid wsp:val=&quot;00090151&quot;/&gt;&lt;wsp:rsid wsp:val=&quot;00090570&quot;/&gt;&lt;wsp:rsid wsp:val=&quot;0009083D&quot;/&gt;&lt;wsp:rsid wsp:val=&quot;00090A87&quot;/&gt;&lt;wsp:rsid wsp:val=&quot;00090E88&quot;/&gt;&lt;wsp:rsid wsp:val=&quot;00091143&quot;/&gt;&lt;wsp:rsid wsp:val=&quot;00091257&quot;/&gt;&lt;wsp:rsid wsp:val=&quot;00091535&quot;/&gt;&lt;wsp:rsid wsp:val=&quot;00091CD3&quot;/&gt;&lt;wsp:rsid wsp:val=&quot;00091EF4&quot;/&gt;&lt;wsp:rsid wsp:val=&quot;00092059&quot;/&gt;&lt;wsp:rsid wsp:val=&quot;0009211B&quot;/&gt;&lt;wsp:rsid wsp:val=&quot;000921A3&quot;/&gt;&lt;wsp:rsid wsp:val=&quot;000928B4&quot;/&gt;&lt;wsp:rsid wsp:val=&quot;00092B3D&quot;/&gt;&lt;wsp:rsid wsp:val=&quot;00092E2B&quot;/&gt;&lt;wsp:rsid wsp:val=&quot;00092EAA&quot;/&gt;&lt;wsp:rsid wsp:val=&quot;000939F4&quot;/&gt;&lt;wsp:rsid wsp:val=&quot;00093DA7&quot;/&gt;&lt;wsp:rsid wsp:val=&quot;00093DDA&quot;/&gt;&lt;wsp:rsid wsp:val=&quot;000945B1&quot;/&gt;&lt;wsp:rsid wsp:val=&quot;000955D9&quot;/&gt;&lt;wsp:rsid wsp:val=&quot;00095B20&quot;/&gt;&lt;wsp:rsid wsp:val=&quot;0009623A&quot;/&gt;&lt;wsp:rsid wsp:val=&quot;00096553&quot;/&gt;&lt;wsp:rsid wsp:val=&quot;0009673E&quot;/&gt;&lt;wsp:rsid wsp:val=&quot;000967DB&quot;/&gt;&lt;wsp:rsid wsp:val=&quot;00096955&quot;/&gt;&lt;wsp:rsid wsp:val=&quot;00096CAF&quot;/&gt;&lt;wsp:rsid wsp:val=&quot;000976D5&quot;/&gt;&lt;wsp:rsid wsp:val=&quot;00097982&quot;/&gt;&lt;wsp:rsid wsp:val=&quot;00097A26&quot;/&gt;&lt;wsp:rsid wsp:val=&quot;00097A3B&quot;/&gt;&lt;wsp:rsid wsp:val=&quot;00097A44&quot;/&gt;&lt;wsp:rsid wsp:val=&quot;00097FEC&quot;/&gt;&lt;wsp:rsid wsp:val=&quot;000A04CD&quot;/&gt;&lt;wsp:rsid wsp:val=&quot;000A0589&quot;/&gt;&lt;wsp:rsid wsp:val=&quot;000A091F&quot;/&gt;&lt;wsp:rsid wsp:val=&quot;000A12BD&quot;/&gt;&lt;wsp:rsid wsp:val=&quot;000A1985&quot;/&gt;&lt;wsp:rsid wsp:val=&quot;000A1A03&quot;/&gt;&lt;wsp:rsid wsp:val=&quot;000A1D1C&quot;/&gt;&lt;wsp:rsid wsp:val=&quot;000A250B&quot;/&gt;&lt;wsp:rsid wsp:val=&quot;000A3159&quot;/&gt;&lt;wsp:rsid wsp:val=&quot;000A37E9&quot;/&gt;&lt;wsp:rsid wsp:val=&quot;000A3B32&quot;/&gt;&lt;wsp:rsid wsp:val=&quot;000A3EEF&quot;/&gt;&lt;wsp:rsid wsp:val=&quot;000A412D&quot;/&gt;&lt;wsp:rsid wsp:val=&quot;000A4326&quot;/&gt;&lt;wsp:rsid wsp:val=&quot;000A434B&quot;/&gt;&lt;wsp:rsid wsp:val=&quot;000A4596&quot;/&gt;&lt;wsp:rsid wsp:val=&quot;000A460B&quot;/&gt;&lt;wsp:rsid wsp:val=&quot;000A4B02&quot;/&gt;&lt;wsp:rsid wsp:val=&quot;000A4B5C&quot;/&gt;&lt;wsp:rsid wsp:val=&quot;000A4D77&quot;/&gt;&lt;wsp:rsid wsp:val=&quot;000A5349&quot;/&gt;&lt;wsp:rsid wsp:val=&quot;000A5508&quot;/&gt;&lt;wsp:rsid wsp:val=&quot;000A5B78&quot;/&gt;&lt;wsp:rsid wsp:val=&quot;000A5BB5&quot;/&gt;&lt;wsp:rsid wsp:val=&quot;000A5DD8&quot;/&gt;&lt;wsp:rsid wsp:val=&quot;000A61D5&quot;/&gt;&lt;wsp:rsid wsp:val=&quot;000A6570&quot;/&gt;&lt;wsp:rsid wsp:val=&quot;000A69D2&quot;/&gt;&lt;wsp:rsid wsp:val=&quot;000A6ABC&quot;/&gt;&lt;wsp:rsid wsp:val=&quot;000A6B84&quot;/&gt;&lt;wsp:rsid wsp:val=&quot;000A6E04&quot;/&gt;&lt;wsp:rsid wsp:val=&quot;000B000D&quot;/&gt;&lt;wsp:rsid wsp:val=&quot;000B0512&quot;/&gt;&lt;wsp:rsid wsp:val=&quot;000B0529&quot;/&gt;&lt;wsp:rsid wsp:val=&quot;000B0C4F&quot;/&gt;&lt;wsp:rsid wsp:val=&quot;000B0F57&quot;/&gt;&lt;wsp:rsid wsp:val=&quot;000B10BD&quot;/&gt;&lt;wsp:rsid wsp:val=&quot;000B1106&quot;/&gt;&lt;wsp:rsid wsp:val=&quot;000B16E4&quot;/&gt;&lt;wsp:rsid wsp:val=&quot;000B1AED&quot;/&gt;&lt;wsp:rsid wsp:val=&quot;000B1B44&quot;/&gt;&lt;wsp:rsid wsp:val=&quot;000B1BDB&quot;/&gt;&lt;wsp:rsid wsp:val=&quot;000B1C4A&quot;/&gt;&lt;wsp:rsid wsp:val=&quot;000B1C8E&quot;/&gt;&lt;wsp:rsid wsp:val=&quot;000B2CF8&quot;/&gt;&lt;wsp:rsid wsp:val=&quot;000B30AE&quot;/&gt;&lt;wsp:rsid wsp:val=&quot;000B35C2&quot;/&gt;&lt;wsp:rsid wsp:val=&quot;000B3FC1&quot;/&gt;&lt;wsp:rsid wsp:val=&quot;000B451E&quot;/&gt;&lt;wsp:rsid wsp:val=&quot;000B492E&quot;/&gt;&lt;wsp:rsid wsp:val=&quot;000B4B0F&quot;/&gt;&lt;wsp:rsid wsp:val=&quot;000B4EA8&quot;/&gt;&lt;wsp:rsid wsp:val=&quot;000B4ECC&quot;/&gt;&lt;wsp:rsid wsp:val=&quot;000B520F&quot;/&gt;&lt;wsp:rsid wsp:val=&quot;000B5524&quot;/&gt;&lt;wsp:rsid wsp:val=&quot;000B55AC&quot;/&gt;&lt;wsp:rsid wsp:val=&quot;000B5707&quot;/&gt;&lt;wsp:rsid wsp:val=&quot;000B5988&quot;/&gt;&lt;wsp:rsid wsp:val=&quot;000B5D8A&quot;/&gt;&lt;wsp:rsid wsp:val=&quot;000B6271&quot;/&gt;&lt;wsp:rsid wsp:val=&quot;000B6676&quot;/&gt;&lt;wsp:rsid wsp:val=&quot;000B69F7&quot;/&gt;&lt;wsp:rsid wsp:val=&quot;000B6E30&quot;/&gt;&lt;wsp:rsid wsp:val=&quot;000B6EFB&quot;/&gt;&lt;wsp:rsid wsp:val=&quot;000B70E6&quot;/&gt;&lt;wsp:rsid wsp:val=&quot;000B73F0&quot;/&gt;&lt;wsp:rsid wsp:val=&quot;000B741A&quot;/&gt;&lt;wsp:rsid wsp:val=&quot;000C0234&quot;/&gt;&lt;wsp:rsid wsp:val=&quot;000C0652&quot;/&gt;&lt;wsp:rsid wsp:val=&quot;000C0DEC&quot;/&gt;&lt;wsp:rsid wsp:val=&quot;000C1407&quot;/&gt;&lt;wsp:rsid wsp:val=&quot;000C16BE&quot;/&gt;&lt;wsp:rsid wsp:val=&quot;000C1F0F&quot;/&gt;&lt;wsp:rsid wsp:val=&quot;000C1FCF&quot;/&gt;&lt;wsp:rsid wsp:val=&quot;000C237D&quot;/&gt;&lt;wsp:rsid wsp:val=&quot;000C2418&quot;/&gt;&lt;wsp:rsid wsp:val=&quot;000C268F&quot;/&gt;&lt;wsp:rsid wsp:val=&quot;000C2807&quot;/&gt;&lt;wsp:rsid wsp:val=&quot;000C2F00&quot;/&gt;&lt;wsp:rsid wsp:val=&quot;000C3198&quot;/&gt;&lt;wsp:rsid wsp:val=&quot;000C3201&quot;/&gt;&lt;wsp:rsid wsp:val=&quot;000C3DDD&quot;/&gt;&lt;wsp:rsid wsp:val=&quot;000C4ABC&quot;/&gt;&lt;wsp:rsid wsp:val=&quot;000C4B30&quot;/&gt;&lt;wsp:rsid wsp:val=&quot;000C4C8D&quot;/&gt;&lt;wsp:rsid wsp:val=&quot;000C4D0D&quot;/&gt;&lt;wsp:rsid wsp:val=&quot;000C530D&quot;/&gt;&lt;wsp:rsid wsp:val=&quot;000C5929&quot;/&gt;&lt;wsp:rsid wsp:val=&quot;000C59A7&quot;/&gt;&lt;wsp:rsid wsp:val=&quot;000C6161&quot;/&gt;&lt;wsp:rsid wsp:val=&quot;000C6310&quot;/&gt;&lt;wsp:rsid wsp:val=&quot;000C65A1&quot;/&gt;&lt;wsp:rsid wsp:val=&quot;000C6783&quot;/&gt;&lt;wsp:rsid wsp:val=&quot;000C684C&quot;/&gt;&lt;wsp:rsid wsp:val=&quot;000C6B4E&quot;/&gt;&lt;wsp:rsid wsp:val=&quot;000C728F&quot;/&gt;&lt;wsp:rsid wsp:val=&quot;000C7626&quot;/&gt;&lt;wsp:rsid wsp:val=&quot;000C7CA8&quot;/&gt;&lt;wsp:rsid wsp:val=&quot;000C7DA1&quot;/&gt;&lt;wsp:rsid wsp:val=&quot;000C7EB0&quot;/&gt;&lt;wsp:rsid wsp:val=&quot;000C7FF1&quot;/&gt;&lt;wsp:rsid wsp:val=&quot;000C7FF4&quot;/&gt;&lt;wsp:rsid wsp:val=&quot;000D00DF&quot;/&gt;&lt;wsp:rsid wsp:val=&quot;000D028E&quot;/&gt;&lt;wsp:rsid wsp:val=&quot;000D0411&quot;/&gt;&lt;wsp:rsid wsp:val=&quot;000D0D59&quot;/&gt;&lt;wsp:rsid wsp:val=&quot;000D0E57&quot;/&gt;&lt;wsp:rsid wsp:val=&quot;000D1160&quot;/&gt;&lt;wsp:rsid wsp:val=&quot;000D1425&quot;/&gt;&lt;wsp:rsid wsp:val=&quot;000D14C9&quot;/&gt;&lt;wsp:rsid wsp:val=&quot;000D14D2&quot;/&gt;&lt;wsp:rsid wsp:val=&quot;000D163A&quot;/&gt;&lt;wsp:rsid wsp:val=&quot;000D1DF0&quot;/&gt;&lt;wsp:rsid wsp:val=&quot;000D2053&quot;/&gt;&lt;wsp:rsid wsp:val=&quot;000D2155&quot;/&gt;&lt;wsp:rsid wsp:val=&quot;000D224C&quot;/&gt;&lt;wsp:rsid wsp:val=&quot;000D24F0&quot;/&gt;&lt;wsp:rsid wsp:val=&quot;000D2606&quot;/&gt;&lt;wsp:rsid wsp:val=&quot;000D2793&quot;/&gt;&lt;wsp:rsid wsp:val=&quot;000D28F8&quot;/&gt;&lt;wsp:rsid wsp:val=&quot;000D2A3E&quot;/&gt;&lt;wsp:rsid wsp:val=&quot;000D2C90&quot;/&gt;&lt;wsp:rsid wsp:val=&quot;000D3118&quot;/&gt;&lt;wsp:rsid wsp:val=&quot;000D3346&quot;/&gt;&lt;wsp:rsid wsp:val=&quot;000D3A7F&quot;/&gt;&lt;wsp:rsid wsp:val=&quot;000D3C31&quot;/&gt;&lt;wsp:rsid wsp:val=&quot;000D3FA9&quot;/&gt;&lt;wsp:rsid wsp:val=&quot;000D4408&quot;/&gt;&lt;wsp:rsid wsp:val=&quot;000D4AFD&quot;/&gt;&lt;wsp:rsid wsp:val=&quot;000D4C41&quot;/&gt;&lt;wsp:rsid wsp:val=&quot;000D4D76&quot;/&gt;&lt;wsp:rsid wsp:val=&quot;000D5016&quot;/&gt;&lt;wsp:rsid wsp:val=&quot;000D511F&quot;/&gt;&lt;wsp:rsid wsp:val=&quot;000D534D&quot;/&gt;&lt;wsp:rsid wsp:val=&quot;000D540B&quot;/&gt;&lt;wsp:rsid wsp:val=&quot;000D5D04&quot;/&gt;&lt;wsp:rsid wsp:val=&quot;000D5E6C&quot;/&gt;&lt;wsp:rsid wsp:val=&quot;000D60CE&quot;/&gt;&lt;wsp:rsid wsp:val=&quot;000D62EB&quot;/&gt;&lt;wsp:rsid wsp:val=&quot;000D62FE&quot;/&gt;&lt;wsp:rsid wsp:val=&quot;000D64D1&quot;/&gt;&lt;wsp:rsid wsp:val=&quot;000D678F&quot;/&gt;&lt;wsp:rsid wsp:val=&quot;000D75C4&quot;/&gt;&lt;wsp:rsid wsp:val=&quot;000D7B48&quot;/&gt;&lt;wsp:rsid wsp:val=&quot;000D7DB4&quot;/&gt;&lt;wsp:rsid wsp:val=&quot;000D7E47&quot;/&gt;&lt;wsp:rsid wsp:val=&quot;000E03E5&quot;/&gt;&lt;wsp:rsid wsp:val=&quot;000E089C&quot;/&gt;&lt;wsp:rsid wsp:val=&quot;000E0FA2&quot;/&gt;&lt;wsp:rsid wsp:val=&quot;000E18EA&quot;/&gt;&lt;wsp:rsid wsp:val=&quot;000E212D&quot;/&gt;&lt;wsp:rsid wsp:val=&quot;000E2433&quot;/&gt;&lt;wsp:rsid wsp:val=&quot;000E2997&quot;/&gt;&lt;wsp:rsid wsp:val=&quot;000E2A06&quot;/&gt;&lt;wsp:rsid wsp:val=&quot;000E2C44&quot;/&gt;&lt;wsp:rsid wsp:val=&quot;000E2F25&quot;/&gt;&lt;wsp:rsid wsp:val=&quot;000E41EF&quot;/&gt;&lt;wsp:rsid wsp:val=&quot;000E42AA&quot;/&gt;&lt;wsp:rsid wsp:val=&quot;000E42BD&quot;/&gt;&lt;wsp:rsid wsp:val=&quot;000E43A3&quot;/&gt;&lt;wsp:rsid wsp:val=&quot;000E4D08&quot;/&gt;&lt;wsp:rsid wsp:val=&quot;000E561D&quot;/&gt;&lt;wsp:rsid wsp:val=&quot;000E56FF&quot;/&gt;&lt;wsp:rsid wsp:val=&quot;000E5707&quot;/&gt;&lt;wsp:rsid wsp:val=&quot;000E58FA&quot;/&gt;&lt;wsp:rsid wsp:val=&quot;000E59EE&quot;/&gt;&lt;wsp:rsid wsp:val=&quot;000E5C2C&quot;/&gt;&lt;wsp:rsid wsp:val=&quot;000E6630&quot;/&gt;&lt;wsp:rsid wsp:val=&quot;000E68D9&quot;/&gt;&lt;wsp:rsid wsp:val=&quot;000E6918&quot;/&gt;&lt;wsp:rsid wsp:val=&quot;000E6FB7&quot;/&gt;&lt;wsp:rsid wsp:val=&quot;000E707F&quot;/&gt;&lt;wsp:rsid wsp:val=&quot;000E79E2&quot;/&gt;&lt;wsp:rsid wsp:val=&quot;000E7A06&quot;/&gt;&lt;wsp:rsid wsp:val=&quot;000F0385&quot;/&gt;&lt;wsp:rsid wsp:val=&quot;000F0B46&quot;/&gt;&lt;wsp:rsid wsp:val=&quot;000F1305&quot;/&gt;&lt;wsp:rsid wsp:val=&quot;000F14AC&quot;/&gt;&lt;wsp:rsid wsp:val=&quot;000F14B4&quot;/&gt;&lt;wsp:rsid wsp:val=&quot;000F1B61&quot;/&gt;&lt;wsp:rsid wsp:val=&quot;000F22C3&quot;/&gt;&lt;wsp:rsid wsp:val=&quot;000F234A&quot;/&gt;&lt;wsp:rsid wsp:val=&quot;000F23CD&quot;/&gt;&lt;wsp:rsid wsp:val=&quot;000F253F&quot;/&gt;&lt;wsp:rsid wsp:val=&quot;000F2708&quot;/&gt;&lt;wsp:rsid wsp:val=&quot;000F29FF&quot;/&gt;&lt;wsp:rsid wsp:val=&quot;000F2CC0&quot;/&gt;&lt;wsp:rsid wsp:val=&quot;000F2E51&quot;/&gt;&lt;wsp:rsid wsp:val=&quot;000F30A4&quot;/&gt;&lt;wsp:rsid wsp:val=&quot;000F34C8&quot;/&gt;&lt;wsp:rsid wsp:val=&quot;000F3C97&quot;/&gt;&lt;wsp:rsid wsp:val=&quot;000F3FDE&quot;/&gt;&lt;wsp:rsid wsp:val=&quot;000F412B&quot;/&gt;&lt;wsp:rsid wsp:val=&quot;000F4778&quot;/&gt;&lt;wsp:rsid wsp:val=&quot;000F4872&quot;/&gt;&lt;wsp:rsid wsp:val=&quot;000F5066&quot;/&gt;&lt;wsp:rsid wsp:val=&quot;000F53A0&quot;/&gt;&lt;wsp:rsid wsp:val=&quot;000F5F69&quot;/&gt;&lt;wsp:rsid wsp:val=&quot;000F662A&quot;/&gt;&lt;wsp:rsid wsp:val=&quot;000F6C97&quot;/&gt;&lt;wsp:rsid wsp:val=&quot;000F7084&quot;/&gt;&lt;wsp:rsid wsp:val=&quot;000F75A9&quot;/&gt;&lt;wsp:rsid wsp:val=&quot;000F7AC0&quot;/&gt;&lt;wsp:rsid wsp:val=&quot;000F7F82&quot;/&gt;&lt;wsp:rsid wsp:val=&quot;0010025F&quot;/&gt;&lt;wsp:rsid wsp:val=&quot;001005D2&quot;/&gt;&lt;wsp:rsid wsp:val=&quot;00101239&quot;/&gt;&lt;wsp:rsid wsp:val=&quot;001013D9&quot;/&gt;&lt;wsp:rsid wsp:val=&quot;00101871&quot;/&gt;&lt;wsp:rsid wsp:val=&quot;001018C7&quot;/&gt;&lt;wsp:rsid wsp:val=&quot;001020C2&quot;/&gt;&lt;wsp:rsid wsp:val=&quot;0010231A&quot;/&gt;&lt;wsp:rsid wsp:val=&quot;001028BB&quot;/&gt;&lt;wsp:rsid wsp:val=&quot;00102E0D&quot;/&gt;&lt;wsp:rsid wsp:val=&quot;00103796&quot;/&gt;&lt;wsp:rsid wsp:val=&quot;00103846&quot;/&gt;&lt;wsp:rsid wsp:val=&quot;00103EA1&quot;/&gt;&lt;wsp:rsid wsp:val=&quot;00103F74&quot;/&gt;&lt;wsp:rsid wsp:val=&quot;00104355&quot;/&gt;&lt;wsp:rsid wsp:val=&quot;00104388&quot;/&gt;&lt;wsp:rsid wsp:val=&quot;00104389&quot;/&gt;&lt;wsp:rsid wsp:val=&quot;0010480D&quot;/&gt;&lt;wsp:rsid wsp:val=&quot;00105028&quot;/&gt;&lt;wsp:rsid wsp:val=&quot;00105443&quot;/&gt;&lt;wsp:rsid wsp:val=&quot;001056B5&quot;/&gt;&lt;wsp:rsid wsp:val=&quot;001058C4&quot;/&gt;&lt;wsp:rsid wsp:val=&quot;001058F6&quot;/&gt;&lt;wsp:rsid wsp:val=&quot;00105E47&quot;/&gt;&lt;wsp:rsid wsp:val=&quot;00106090&quot;/&gt;&lt;wsp:rsid wsp:val=&quot;0010696F&quot;/&gt;&lt;wsp:rsid wsp:val=&quot;001069DA&quot;/&gt;&lt;wsp:rsid wsp:val=&quot;001070AB&quot;/&gt;&lt;wsp:rsid wsp:val=&quot;0010737C&quot;/&gt;&lt;wsp:rsid wsp:val=&quot;001074E2&quot;/&gt;&lt;wsp:rsid wsp:val=&quot;00107F58&quot;/&gt;&lt;wsp:rsid wsp:val=&quot;00107FC8&quot;/&gt;&lt;wsp:rsid wsp:val=&quot;00110512&quot;/&gt;&lt;wsp:rsid wsp:val=&quot;001106DF&quot;/&gt;&lt;wsp:rsid wsp:val=&quot;00110785&quot;/&gt;&lt;wsp:rsid wsp:val=&quot;001109E0&quot;/&gt;&lt;wsp:rsid wsp:val=&quot;00110B2B&quot;/&gt;&lt;wsp:rsid wsp:val=&quot;00110B86&quot;/&gt;&lt;wsp:rsid wsp:val=&quot;00110BB2&quot;/&gt;&lt;wsp:rsid wsp:val=&quot;00110DCB&quot;/&gt;&lt;wsp:rsid wsp:val=&quot;00110DE9&quot;/&gt;&lt;wsp:rsid wsp:val=&quot;00110F03&quot;/&gt;&lt;wsp:rsid wsp:val=&quot;0011113F&quot;/&gt;&lt;wsp:rsid wsp:val=&quot;00111461&quot;/&gt;&lt;wsp:rsid wsp:val=&quot;00111696&quot;/&gt;&lt;wsp:rsid wsp:val=&quot;00111720&quot;/&gt;&lt;wsp:rsid wsp:val=&quot;00111779&quot;/&gt;&lt;wsp:rsid wsp:val=&quot;00111830&quot;/&gt;&lt;wsp:rsid wsp:val=&quot;00111C6B&quot;/&gt;&lt;wsp:rsid wsp:val=&quot;00111E0A&quot;/&gt;&lt;wsp:rsid wsp:val=&quot;00111E27&quot;/&gt;&lt;wsp:rsid wsp:val=&quot;00112299&quot;/&gt;&lt;wsp:rsid wsp:val=&quot;00112A50&quot;/&gt;&lt;wsp:rsid wsp:val=&quot;00112CE3&quot;/&gt;&lt;wsp:rsid wsp:val=&quot;00113456&quot;/&gt;&lt;wsp:rsid wsp:val=&quot;00113AB5&quot;/&gt;&lt;wsp:rsid wsp:val=&quot;00113B30&quot;/&gt;&lt;wsp:rsid wsp:val=&quot;00114030&quot;/&gt;&lt;wsp:rsid wsp:val=&quot;001140A9&quot;/&gt;&lt;wsp:rsid wsp:val=&quot;00114238&quot;/&gt;&lt;wsp:rsid wsp:val=&quot;00114EBB&quot;/&gt;&lt;wsp:rsid wsp:val=&quot;001158F7&quot;/&gt;&lt;wsp:rsid wsp:val=&quot;00115C2D&quot;/&gt;&lt;wsp:rsid wsp:val=&quot;001160C4&quot;/&gt;&lt;wsp:rsid wsp:val=&quot;001161DC&quot;/&gt;&lt;wsp:rsid wsp:val=&quot;0011661A&quot;/&gt;&lt;wsp:rsid wsp:val=&quot;00116711&quot;/&gt;&lt;wsp:rsid wsp:val=&quot;001167CC&quot;/&gt;&lt;wsp:rsid wsp:val=&quot;00116897&quot;/&gt;&lt;wsp:rsid wsp:val=&quot;0011692A&quot;/&gt;&lt;wsp:rsid wsp:val=&quot;00116BCE&quot;/&gt;&lt;wsp:rsid wsp:val=&quot;00117300&quot;/&gt;&lt;wsp:rsid wsp:val=&quot;0011759D&quot;/&gt;&lt;wsp:rsid wsp:val=&quot;001178ED&quot;/&gt;&lt;wsp:rsid wsp:val=&quot;00117978&quot;/&gt;&lt;wsp:rsid wsp:val=&quot;00117E81&quot;/&gt;&lt;wsp:rsid wsp:val=&quot;00120448&quot;/&gt;&lt;wsp:rsid wsp:val=&quot;00120628&quot;/&gt;&lt;wsp:rsid wsp:val=&quot;00120A8E&quot;/&gt;&lt;wsp:rsid wsp:val=&quot;00121308&quot;/&gt;&lt;wsp:rsid wsp:val=&quot;001214EE&quot;/&gt;&lt;wsp:rsid wsp:val=&quot;00121906&quot;/&gt;&lt;wsp:rsid wsp:val=&quot;001219FB&quot;/&gt;&lt;wsp:rsid wsp:val=&quot;00121F2D&quot;/&gt;&lt;wsp:rsid wsp:val=&quot;001220BC&quot;/&gt;&lt;wsp:rsid wsp:val=&quot;0012231E&quot;/&gt;&lt;wsp:rsid wsp:val=&quot;0012239C&quot;/&gt;&lt;wsp:rsid wsp:val=&quot;001224A8&quot;/&gt;&lt;wsp:rsid wsp:val=&quot;00122B60&quot;/&gt;&lt;wsp:rsid wsp:val=&quot;00122D66&quot;/&gt;&lt;wsp:rsid wsp:val=&quot;0012337B&quot;/&gt;&lt;wsp:rsid wsp:val=&quot;00123986&quot;/&gt;&lt;wsp:rsid wsp:val=&quot;00123A88&quot;/&gt;&lt;wsp:rsid wsp:val=&quot;00123C7D&quot;/&gt;&lt;wsp:rsid wsp:val=&quot;00123FBF&quot;/&gt;&lt;wsp:rsid wsp:val=&quot;001240E2&quot;/&gt;&lt;wsp:rsid wsp:val=&quot;0012417C&quot;/&gt;&lt;wsp:rsid wsp:val=&quot;001243A3&quot;/&gt;&lt;wsp:rsid wsp:val=&quot;00124D77&quot;/&gt;&lt;wsp:rsid wsp:val=&quot;00124E18&quot;/&gt;&lt;wsp:rsid wsp:val=&quot;0012509A&quot;/&gt;&lt;wsp:rsid wsp:val=&quot;00125335&quot;/&gt;&lt;wsp:rsid wsp:val=&quot;00125613&quot;/&gt;&lt;wsp:rsid wsp:val=&quot;00125933&quot;/&gt;&lt;wsp:rsid wsp:val=&quot;0012594D&quot;/&gt;&lt;wsp:rsid wsp:val=&quot;00125997&quot;/&gt;&lt;wsp:rsid wsp:val=&quot;00126100&quot;/&gt;&lt;wsp:rsid wsp:val=&quot;00126541&quot;/&gt;&lt;wsp:rsid wsp:val=&quot;00126554&quot;/&gt;&lt;wsp:rsid wsp:val=&quot;001268F0&quot;/&gt;&lt;wsp:rsid wsp:val=&quot;001269DB&quot;/&gt;&lt;wsp:rsid wsp:val=&quot;00126D09&quot;/&gt;&lt;wsp:rsid wsp:val=&quot;00126E74&quot;/&gt;&lt;wsp:rsid wsp:val=&quot;001272E8&quot;/&gt;&lt;wsp:rsid wsp:val=&quot;00127E57&quot;/&gt;&lt;wsp:rsid wsp:val=&quot;00127E8B&quot;/&gt;&lt;wsp:rsid wsp:val=&quot;00127F02&quot;/&gt;&lt;wsp:rsid wsp:val=&quot;00130180&quot;/&gt;&lt;wsp:rsid wsp:val=&quot;001302F3&quot;/&gt;&lt;wsp:rsid wsp:val=&quot;00130316&quot;/&gt;&lt;wsp:rsid wsp:val=&quot;0013050B&quot;/&gt;&lt;wsp:rsid wsp:val=&quot;00130BB0&quot;/&gt;&lt;wsp:rsid wsp:val=&quot;00131514&quot;/&gt;&lt;wsp:rsid wsp:val=&quot;00131547&quot;/&gt;&lt;wsp:rsid wsp:val=&quot;00131CD2&quot;/&gt;&lt;wsp:rsid wsp:val=&quot;00131DF2&quot;/&gt;&lt;wsp:rsid wsp:val=&quot;001321CB&quot;/&gt;&lt;wsp:rsid wsp:val=&quot;00132377&quot;/&gt;&lt;wsp:rsid wsp:val=&quot;00132982&quot;/&gt;&lt;wsp:rsid wsp:val=&quot;00132A19&quot;/&gt;&lt;wsp:rsid wsp:val=&quot;00132F62&quot;/&gt;&lt;wsp:rsid wsp:val=&quot;00133A5C&quot;/&gt;&lt;wsp:rsid wsp:val=&quot;00133BD1&quot;/&gt;&lt;wsp:rsid wsp:val=&quot;00133D4B&quot;/&gt;&lt;wsp:rsid wsp:val=&quot;00133F21&quot;/&gt;&lt;wsp:rsid wsp:val=&quot;00134277&quot;/&gt;&lt;wsp:rsid wsp:val=&quot;001345FC&quot;/&gt;&lt;wsp:rsid wsp:val=&quot;00134F35&quot;/&gt;&lt;wsp:rsid wsp:val=&quot;00135996&quot;/&gt;&lt;wsp:rsid wsp:val=&quot;00135A27&quot;/&gt;&lt;wsp:rsid wsp:val=&quot;001360E7&quot;/&gt;&lt;wsp:rsid wsp:val=&quot;00136289&quot;/&gt;&lt;wsp:rsid wsp:val=&quot;00137580&quot;/&gt;&lt;wsp:rsid wsp:val=&quot;00137ACA&quot;/&gt;&lt;wsp:rsid wsp:val=&quot;00137B0B&quot;/&gt;&lt;wsp:rsid wsp:val=&quot;00137DC3&quot;/&gt;&lt;wsp:rsid wsp:val=&quot;0014008D&quot;/&gt;&lt;wsp:rsid wsp:val=&quot;001402E0&quot;/&gt;&lt;wsp:rsid wsp:val=&quot;0014040D&quot;/&gt;&lt;wsp:rsid wsp:val=&quot;00140E0E&quot;/&gt;&lt;wsp:rsid wsp:val=&quot;00141044&quot;/&gt;&lt;wsp:rsid wsp:val=&quot;00141079&quot;/&gt;&lt;wsp:rsid wsp:val=&quot;0014165B&quot;/&gt;&lt;wsp:rsid wsp:val=&quot;00141B33&quot;/&gt;&lt;wsp:rsid wsp:val=&quot;00141FFC&quot;/&gt;&lt;wsp:rsid wsp:val=&quot;0014209D&quot;/&gt;&lt;wsp:rsid wsp:val=&quot;00142398&quot;/&gt;&lt;wsp:rsid wsp:val=&quot;001429F9&quot;/&gt;&lt;wsp:rsid wsp:val=&quot;00142A47&quot;/&gt;&lt;wsp:rsid wsp:val=&quot;001431B5&quot;/&gt;&lt;wsp:rsid wsp:val=&quot;001434DB&quot;/&gt;&lt;wsp:rsid wsp:val=&quot;00143751&quot;/&gt;&lt;wsp:rsid wsp:val=&quot;00143755&quot;/&gt;&lt;wsp:rsid wsp:val=&quot;00143870&quot;/&gt;&lt;wsp:rsid wsp:val=&quot;00143A78&quot;/&gt;&lt;wsp:rsid wsp:val=&quot;00143CE6&quot;/&gt;&lt;wsp:rsid wsp:val=&quot;00143E5C&quot;/&gt;&lt;wsp:rsid wsp:val=&quot;0014430E&quot;/&gt;&lt;wsp:rsid wsp:val=&quot;001443A1&quot;/&gt;&lt;wsp:rsid wsp:val=&quot;00144794&quot;/&gt;&lt;wsp:rsid wsp:val=&quot;001447B9&quot;/&gt;&lt;wsp:rsid wsp:val=&quot;001447F6&quot;/&gt;&lt;wsp:rsid wsp:val=&quot;001448B0&quot;/&gt;&lt;wsp:rsid wsp:val=&quot;00145097&quot;/&gt;&lt;wsp:rsid wsp:val=&quot;00145FB5&quot;/&gt;&lt;wsp:rsid wsp:val=&quot;0014649E&quot;/&gt;&lt;wsp:rsid wsp:val=&quot;001465B8&quot;/&gt;&lt;wsp:rsid wsp:val=&quot;001475AB&quot;/&gt;&lt;wsp:rsid wsp:val=&quot;00147718&quot;/&gt;&lt;wsp:rsid wsp:val=&quot;00150054&quot;/&gt;&lt;wsp:rsid wsp:val=&quot;0015054B&quot;/&gt;&lt;wsp:rsid wsp:val=&quot;00150698&quot;/&gt;&lt;wsp:rsid wsp:val=&quot;0015072F&quot;/&gt;&lt;wsp:rsid wsp:val=&quot;00150766&quot;/&gt;&lt;wsp:rsid wsp:val=&quot;00150843&quot;/&gt;&lt;wsp:rsid wsp:val=&quot;00151950&quot;/&gt;&lt;wsp:rsid wsp:val=&quot;00151C5E&quot;/&gt;&lt;wsp:rsid wsp:val=&quot;00151E62&quot;/&gt;&lt;wsp:rsid wsp:val=&quot;00152241&quot;/&gt;&lt;wsp:rsid wsp:val=&quot;00152BAE&quot;/&gt;&lt;wsp:rsid wsp:val=&quot;00152DFF&quot;/&gt;&lt;wsp:rsid wsp:val=&quot;00153787&quot;/&gt;&lt;wsp:rsid wsp:val=&quot;00153AF5&quot;/&gt;&lt;wsp:rsid wsp:val=&quot;00153F24&quot;/&gt;&lt;wsp:rsid wsp:val=&quot;00154483&quot;/&gt;&lt;wsp:rsid wsp:val=&quot;001544FA&quot;/&gt;&lt;wsp:rsid wsp:val=&quot;001547E3&quot;/&gt;&lt;wsp:rsid wsp:val=&quot;00154953&quot;/&gt;&lt;wsp:rsid wsp:val=&quot;00154AB7&quot;/&gt;&lt;wsp:rsid wsp:val=&quot;00154B16&quot;/&gt;&lt;wsp:rsid wsp:val=&quot;00154DFE&quot;/&gt;&lt;wsp:rsid wsp:val=&quot;001552D3&quot;/&gt;&lt;wsp:rsid wsp:val=&quot;001559E8&quot;/&gt;&lt;wsp:rsid wsp:val=&quot;0015601A&quot;/&gt;&lt;wsp:rsid wsp:val=&quot;00156184&quot;/&gt;&lt;wsp:rsid wsp:val=&quot;00156A17&quot;/&gt;&lt;wsp:rsid wsp:val=&quot;00156B81&quot;/&gt;&lt;wsp:rsid wsp:val=&quot;0015704E&quot;/&gt;&lt;wsp:rsid wsp:val=&quot;001574E1&quot;/&gt;&lt;wsp:rsid wsp:val=&quot;001575AF&quot;/&gt;&lt;wsp:rsid wsp:val=&quot;0015782F&quot;/&gt;&lt;wsp:rsid wsp:val=&quot;00157AFE&quot;/&gt;&lt;wsp:rsid wsp:val=&quot;001602F2&quot;/&gt;&lt;wsp:rsid wsp:val=&quot;00160664&quot;/&gt;&lt;wsp:rsid wsp:val=&quot;00160D95&quot;/&gt;&lt;wsp:rsid wsp:val=&quot;001612F0&quot;/&gt;&lt;wsp:rsid wsp:val=&quot;001615A4&quot;/&gt;&lt;wsp:rsid wsp:val=&quot;00161AAC&quot;/&gt;&lt;wsp:rsid wsp:val=&quot;00161B7C&quot;/&gt;&lt;wsp:rsid wsp:val=&quot;00162A3E&quot;/&gt;&lt;wsp:rsid wsp:val=&quot;00163260&quot;/&gt;&lt;wsp:rsid wsp:val=&quot;00163987&quot;/&gt;&lt;wsp:rsid wsp:val=&quot;001646F6&quot;/&gt;&lt;wsp:rsid wsp:val=&quot;00164AF2&quot;/&gt;&lt;wsp:rsid wsp:val=&quot;00164D06&quot;/&gt;&lt;wsp:rsid wsp:val=&quot;00165029&quot;/&gt;&lt;wsp:rsid wsp:val=&quot;00165647&quot;/&gt;&lt;wsp:rsid wsp:val=&quot;00165695&quot;/&gt;&lt;wsp:rsid wsp:val=&quot;0016573E&quot;/&gt;&lt;wsp:rsid wsp:val=&quot;00165A0C&quot;/&gt;&lt;wsp:rsid wsp:val=&quot;0016629B&quot;/&gt;&lt;wsp:rsid wsp:val=&quot;00166ABC&quot;/&gt;&lt;wsp:rsid wsp:val=&quot;00166B55&quot;/&gt;&lt;wsp:rsid wsp:val=&quot;00166CC5&quot;/&gt;&lt;wsp:rsid wsp:val=&quot;00167068&quot;/&gt;&lt;wsp:rsid wsp:val=&quot;00167263&quot;/&gt;&lt;wsp:rsid wsp:val=&quot;00167A8C&quot;/&gt;&lt;wsp:rsid wsp:val=&quot;00167E07&quot;/&gt;&lt;wsp:rsid wsp:val=&quot;00170052&quot;/&gt;&lt;wsp:rsid wsp:val=&quot;00170433&quot;/&gt;&lt;wsp:rsid wsp:val=&quot;0017069E&quot;/&gt;&lt;wsp:rsid wsp:val=&quot;0017094F&quot;/&gt;&lt;wsp:rsid wsp:val=&quot;00171047&quot;/&gt;&lt;wsp:rsid wsp:val=&quot;0017107D&quot;/&gt;&lt;wsp:rsid wsp:val=&quot;001715DE&quot;/&gt;&lt;wsp:rsid wsp:val=&quot;0017241A&quot;/&gt;&lt;wsp:rsid wsp:val=&quot;00172565&quot;/&gt;&lt;wsp:rsid wsp:val=&quot;00172572&quot;/&gt;&lt;wsp:rsid wsp:val=&quot;00172A89&quot;/&gt;&lt;wsp:rsid wsp:val=&quot;0017306B&quot;/&gt;&lt;wsp:rsid wsp:val=&quot;00173E1E&quot;/&gt;&lt;wsp:rsid wsp:val=&quot;00174067&quot;/&gt;&lt;wsp:rsid wsp:val=&quot;00174504&quot;/&gt;&lt;wsp:rsid wsp:val=&quot;001748F4&quot;/&gt;&lt;wsp:rsid wsp:val=&quot;00174C11&quot;/&gt;&lt;wsp:rsid wsp:val=&quot;00174EE1&quot;/&gt;&lt;wsp:rsid wsp:val=&quot;00175060&quot;/&gt;&lt;wsp:rsid wsp:val=&quot;0017535C&quot;/&gt;&lt;wsp:rsid wsp:val=&quot;00175632&quot;/&gt;&lt;wsp:rsid wsp:val=&quot;00175720&quot;/&gt;&lt;wsp:rsid wsp:val=&quot;00175909&quot;/&gt;&lt;wsp:rsid wsp:val=&quot;00175AD0&quot;/&gt;&lt;wsp:rsid wsp:val=&quot;00175EB3&quot;/&gt;&lt;wsp:rsid wsp:val=&quot;00175FE6&quot;/&gt;&lt;wsp:rsid wsp:val=&quot;00176341&quot;/&gt;&lt;wsp:rsid wsp:val=&quot;001766D4&quot;/&gt;&lt;wsp:rsid wsp:val=&quot;0017674E&quot;/&gt;&lt;wsp:rsid wsp:val=&quot;00176D85&quot;/&gt;&lt;wsp:rsid wsp:val=&quot;001777A1&quot;/&gt;&lt;wsp:rsid wsp:val=&quot;00177A3D&quot;/&gt;&lt;wsp:rsid wsp:val=&quot;00177CA7&quot;/&gt;&lt;wsp:rsid wsp:val=&quot;00177D28&quot;/&gt;&lt;wsp:rsid wsp:val=&quot;0018039F&quot;/&gt;&lt;wsp:rsid wsp:val=&quot;00180956&quot;/&gt;&lt;wsp:rsid wsp:val=&quot;00180C7C&quot;/&gt;&lt;wsp:rsid wsp:val=&quot;00180E74&quot;/&gt;&lt;wsp:rsid wsp:val=&quot;00180EF6&quot;/&gt;&lt;wsp:rsid wsp:val=&quot;001811A7&quot;/&gt;&lt;wsp:rsid wsp:val=&quot;001812A5&quot;/&gt;&lt;wsp:rsid wsp:val=&quot;001812CE&quot;/&gt;&lt;wsp:rsid wsp:val=&quot;0018148D&quot;/&gt;&lt;wsp:rsid wsp:val=&quot;00181693&quot;/&gt;&lt;wsp:rsid wsp:val=&quot;001819BE&quot;/&gt;&lt;wsp:rsid wsp:val=&quot;00181C6C&quot;/&gt;&lt;wsp:rsid wsp:val=&quot;00181F6A&quot;/&gt;&lt;wsp:rsid wsp:val=&quot;001825DA&quot;/&gt;&lt;wsp:rsid wsp:val=&quot;0018277D&quot;/&gt;&lt;wsp:rsid wsp:val=&quot;00182A5B&quot;/&gt;&lt;wsp:rsid wsp:val=&quot;00182D17&quot;/&gt;&lt;wsp:rsid wsp:val=&quot;001830C1&quot;/&gt;&lt;wsp:rsid wsp:val=&quot;00183239&quot;/&gt;&lt;wsp:rsid wsp:val=&quot;00183421&quot;/&gt;&lt;wsp:rsid wsp:val=&quot;001835BF&quot;/&gt;&lt;wsp:rsid wsp:val=&quot;001835F4&quot;/&gt;&lt;wsp:rsid wsp:val=&quot;00183AD4&quot;/&gt;&lt;wsp:rsid wsp:val=&quot;00183B6D&quot;/&gt;&lt;wsp:rsid wsp:val=&quot;001840C7&quot;/&gt;&lt;wsp:rsid wsp:val=&quot;0018414F&quot;/&gt;&lt;wsp:rsid wsp:val=&quot;001844A9&quot;/&gt;&lt;wsp:rsid wsp:val=&quot;00184754&quot;/&gt;&lt;wsp:rsid wsp:val=&quot;00184793&quot;/&gt;&lt;wsp:rsid wsp:val=&quot;00184BE5&quot;/&gt;&lt;wsp:rsid wsp:val=&quot;001854D8&quot;/&gt;&lt;wsp:rsid wsp:val=&quot;00185EB9&quot;/&gt;&lt;wsp:rsid wsp:val=&quot;00185FE2&quot;/&gt;&lt;wsp:rsid wsp:val=&quot;00186155&quot;/&gt;&lt;wsp:rsid wsp:val=&quot;001863D3&quot;/&gt;&lt;wsp:rsid wsp:val=&quot;0018645F&quot;/&gt;&lt;wsp:rsid wsp:val=&quot;00186824&quot;/&gt;&lt;wsp:rsid wsp:val=&quot;00186D14&quot;/&gt;&lt;wsp:rsid wsp:val=&quot;0018729A&quot;/&gt;&lt;wsp:rsid wsp:val=&quot;00187305&quot;/&gt;&lt;wsp:rsid wsp:val=&quot;00187491&quot;/&gt;&lt;wsp:rsid wsp:val=&quot;001875D1&quot;/&gt;&lt;wsp:rsid wsp:val=&quot;0018761E&quot;/&gt;&lt;wsp:rsid wsp:val=&quot;00190D0C&quot;/&gt;&lt;wsp:rsid wsp:val=&quot;00191003&quot;/&gt;&lt;wsp:rsid wsp:val=&quot;001911CD&quot;/&gt;&lt;wsp:rsid wsp:val=&quot;00191924&quot;/&gt;&lt;wsp:rsid wsp:val=&quot;0019214A&quot;/&gt;&lt;wsp:rsid wsp:val=&quot;0019244B&quot;/&gt;&lt;wsp:rsid wsp:val=&quot;00192670&quot;/&gt;&lt;wsp:rsid wsp:val=&quot;00192A46&quot;/&gt;&lt;wsp:rsid wsp:val=&quot;00192C20&quot;/&gt;&lt;wsp:rsid wsp:val=&quot;00193095&quot;/&gt;&lt;wsp:rsid wsp:val=&quot;0019318F&quot;/&gt;&lt;wsp:rsid wsp:val=&quot;001931B2&quot;/&gt;&lt;wsp:rsid wsp:val=&quot;00193270&quot;/&gt;&lt;wsp:rsid wsp:val=&quot;0019345A&quot;/&gt;&lt;wsp:rsid wsp:val=&quot;00193598&quot;/&gt;&lt;wsp:rsid wsp:val=&quot;0019366F&quot;/&gt;&lt;wsp:rsid wsp:val=&quot;001940A4&quot;/&gt;&lt;wsp:rsid wsp:val=&quot;00194725&quot;/&gt;&lt;wsp:rsid wsp:val=&quot;00194B0B&quot;/&gt;&lt;wsp:rsid wsp:val=&quot;0019556E&quot;/&gt;&lt;wsp:rsid wsp:val=&quot;00195CC7&quot;/&gt;&lt;wsp:rsid wsp:val=&quot;00195DCE&quot;/&gt;&lt;wsp:rsid wsp:val=&quot;001960B7&quot;/&gt;&lt;wsp:rsid wsp:val=&quot;0019619C&quot;/&gt;&lt;wsp:rsid wsp:val=&quot;0019633B&quot;/&gt;&lt;wsp:rsid wsp:val=&quot;0019672C&quot;/&gt;&lt;wsp:rsid wsp:val=&quot;00196756&quot;/&gt;&lt;wsp:rsid wsp:val=&quot;00196D13&quot;/&gt;&lt;wsp:rsid wsp:val=&quot;0019740D&quot;/&gt;&lt;wsp:rsid wsp:val=&quot;0019761A&quot;/&gt;&lt;wsp:rsid wsp:val=&quot;00197676&quot;/&gt;&lt;wsp:rsid wsp:val=&quot;00197F27&quot;/&gt;&lt;wsp:rsid wsp:val=&quot;001A017E&quot;/&gt;&lt;wsp:rsid wsp:val=&quot;001A0298&quot;/&gt;&lt;wsp:rsid wsp:val=&quot;001A0339&quot;/&gt;&lt;wsp:rsid wsp:val=&quot;001A033B&quot;/&gt;&lt;wsp:rsid wsp:val=&quot;001A09EC&quot;/&gt;&lt;wsp:rsid wsp:val=&quot;001A0DD7&quot;/&gt;&lt;wsp:rsid wsp:val=&quot;001A0E92&quot;/&gt;&lt;wsp:rsid wsp:val=&quot;001A0EA8&quot;/&gt;&lt;wsp:rsid wsp:val=&quot;001A1277&quot;/&gt;&lt;wsp:rsid wsp:val=&quot;001A1619&quot;/&gt;&lt;wsp:rsid wsp:val=&quot;001A165B&quot;/&gt;&lt;wsp:rsid wsp:val=&quot;001A1B95&quot;/&gt;&lt;wsp:rsid wsp:val=&quot;001A2121&quot;/&gt;&lt;wsp:rsid wsp:val=&quot;001A2405&quot;/&gt;&lt;wsp:rsid wsp:val=&quot;001A260A&quot;/&gt;&lt;wsp:rsid wsp:val=&quot;001A2675&quot;/&gt;&lt;wsp:rsid wsp:val=&quot;001A26AA&quot;/&gt;&lt;wsp:rsid wsp:val=&quot;001A2BDB&quot;/&gt;&lt;wsp:rsid wsp:val=&quot;001A362B&quot;/&gt;&lt;wsp:rsid wsp:val=&quot;001A382C&quot;/&gt;&lt;wsp:rsid wsp:val=&quot;001A3FD6&quot;/&gt;&lt;wsp:rsid wsp:val=&quot;001A4B97&quot;/&gt;&lt;wsp:rsid wsp:val=&quot;001A4D57&quot;/&gt;&lt;wsp:rsid wsp:val=&quot;001A4DDE&quot;/&gt;&lt;wsp:rsid wsp:val=&quot;001A5199&quot;/&gt;&lt;wsp:rsid wsp:val=&quot;001A5252&quot;/&gt;&lt;wsp:rsid wsp:val=&quot;001A53E0&quot;/&gt;&lt;wsp:rsid wsp:val=&quot;001A53FD&quot;/&gt;&lt;wsp:rsid wsp:val=&quot;001A54FB&quot;/&gt;&lt;wsp:rsid wsp:val=&quot;001A5BC2&quot;/&gt;&lt;wsp:rsid wsp:val=&quot;001A5C95&quot;/&gt;&lt;wsp:rsid wsp:val=&quot;001A5FD8&quot;/&gt;&lt;wsp:rsid wsp:val=&quot;001A6D65&quot;/&gt;&lt;wsp:rsid wsp:val=&quot;001A6E6B&quot;/&gt;&lt;wsp:rsid wsp:val=&quot;001A72A1&quot;/&gt;&lt;wsp:rsid wsp:val=&quot;001A7428&quot;/&gt;&lt;wsp:rsid wsp:val=&quot;001A7A53&quot;/&gt;&lt;wsp:rsid wsp:val=&quot;001B05B6&quot;/&gt;&lt;wsp:rsid wsp:val=&quot;001B0839&quot;/&gt;&lt;wsp:rsid wsp:val=&quot;001B0881&quot;/&gt;&lt;wsp:rsid wsp:val=&quot;001B0BDB&quot;/&gt;&lt;wsp:rsid wsp:val=&quot;001B0DF0&quot;/&gt;&lt;wsp:rsid wsp:val=&quot;001B1987&quot;/&gt;&lt;wsp:rsid wsp:val=&quot;001B19A7&quot;/&gt;&lt;wsp:rsid wsp:val=&quot;001B1B75&quot;/&gt;&lt;wsp:rsid wsp:val=&quot;001B1C5E&quot;/&gt;&lt;wsp:rsid wsp:val=&quot;001B2085&quot;/&gt;&lt;wsp:rsid wsp:val=&quot;001B2088&quot;/&gt;&lt;wsp:rsid wsp:val=&quot;001B2DF5&quot;/&gt;&lt;wsp:rsid wsp:val=&quot;001B2FC1&quot;/&gt;&lt;wsp:rsid wsp:val=&quot;001B3551&quot;/&gt;&lt;wsp:rsid wsp:val=&quot;001B3AD2&quot;/&gt;&lt;wsp:rsid wsp:val=&quot;001B3D05&quot;/&gt;&lt;wsp:rsid wsp:val=&quot;001B3E23&quot;/&gt;&lt;wsp:rsid wsp:val=&quot;001B4026&quot;/&gt;&lt;wsp:rsid wsp:val=&quot;001B4152&quot;/&gt;&lt;wsp:rsid wsp:val=&quot;001B41C4&quot;/&gt;&lt;wsp:rsid wsp:val=&quot;001B4330&quot;/&gt;&lt;wsp:rsid wsp:val=&quot;001B46A2&quot;/&gt;&lt;wsp:rsid wsp:val=&quot;001B46EC&quot;/&gt;&lt;wsp:rsid wsp:val=&quot;001B4C55&quot;/&gt;&lt;wsp:rsid wsp:val=&quot;001B4FD9&quot;/&gt;&lt;wsp:rsid wsp:val=&quot;001B5599&quot;/&gt;&lt;wsp:rsid wsp:val=&quot;001B597C&quot;/&gt;&lt;wsp:rsid wsp:val=&quot;001B5BD6&quot;/&gt;&lt;wsp:rsid wsp:val=&quot;001B5D0F&quot;/&gt;&lt;wsp:rsid wsp:val=&quot;001B5E6C&quot;/&gt;&lt;wsp:rsid wsp:val=&quot;001B6390&quot;/&gt;&lt;wsp:rsid wsp:val=&quot;001B6CEC&quot;/&gt;&lt;wsp:rsid wsp:val=&quot;001B6E59&quot;/&gt;&lt;wsp:rsid wsp:val=&quot;001B718C&quot;/&gt;&lt;wsp:rsid wsp:val=&quot;001B7518&quot;/&gt;&lt;wsp:rsid wsp:val=&quot;001B7AF2&quot;/&gt;&lt;wsp:rsid wsp:val=&quot;001B7ED7&quot;/&gt;&lt;wsp:rsid wsp:val=&quot;001C0350&quot;/&gt;&lt;wsp:rsid wsp:val=&quot;001C0C1A&quot;/&gt;&lt;wsp:rsid wsp:val=&quot;001C11DD&quot;/&gt;&lt;wsp:rsid wsp:val=&quot;001C11F6&quot;/&gt;&lt;wsp:rsid wsp:val=&quot;001C1367&quot;/&gt;&lt;wsp:rsid wsp:val=&quot;001C1384&quot;/&gt;&lt;wsp:rsid wsp:val=&quot;001C13AF&quot;/&gt;&lt;wsp:rsid wsp:val=&quot;001C1477&quot;/&gt;&lt;wsp:rsid wsp:val=&quot;001C1650&quot;/&gt;&lt;wsp:rsid wsp:val=&quot;001C177E&quot;/&gt;&lt;wsp:rsid wsp:val=&quot;001C1CFC&quot;/&gt;&lt;wsp:rsid wsp:val=&quot;001C1D74&quot;/&gt;&lt;wsp:rsid wsp:val=&quot;001C1FA2&quot;/&gt;&lt;wsp:rsid wsp:val=&quot;001C2238&quot;/&gt;&lt;wsp:rsid wsp:val=&quot;001C2857&quot;/&gt;&lt;wsp:rsid wsp:val=&quot;001C2FAB&quot;/&gt;&lt;wsp:rsid wsp:val=&quot;001C32DD&quot;/&gt;&lt;wsp:rsid wsp:val=&quot;001C36D5&quot;/&gt;&lt;wsp:rsid wsp:val=&quot;001C3C03&quot;/&gt;&lt;wsp:rsid wsp:val=&quot;001C3EF3&quot;/&gt;&lt;wsp:rsid wsp:val=&quot;001C4329&quot;/&gt;&lt;wsp:rsid wsp:val=&quot;001C4719&quot;/&gt;&lt;wsp:rsid wsp:val=&quot;001C4C26&quot;/&gt;&lt;wsp:rsid wsp:val=&quot;001C5962&quot;/&gt;&lt;wsp:rsid wsp:val=&quot;001C5E2B&quot;/&gt;&lt;wsp:rsid wsp:val=&quot;001C6779&quot;/&gt;&lt;wsp:rsid wsp:val=&quot;001C6C18&quot;/&gt;&lt;wsp:rsid wsp:val=&quot;001C7136&quot;/&gt;&lt;wsp:rsid wsp:val=&quot;001C76C4&quot;/&gt;&lt;wsp:rsid wsp:val=&quot;001C76D0&quot;/&gt;&lt;wsp:rsid wsp:val=&quot;001C770E&quot;/&gt;&lt;wsp:rsid wsp:val=&quot;001C7B33&quot;/&gt;&lt;wsp:rsid wsp:val=&quot;001C7CA5&quot;/&gt;&lt;wsp:rsid wsp:val=&quot;001D02AD&quot;/&gt;&lt;wsp:rsid wsp:val=&quot;001D0A08&quot;/&gt;&lt;wsp:rsid wsp:val=&quot;001D0B24&quot;/&gt;&lt;wsp:rsid wsp:val=&quot;001D0BDA&quot;/&gt;&lt;wsp:rsid wsp:val=&quot;001D0C91&quot;/&gt;&lt;wsp:rsid wsp:val=&quot;001D0DF2&quot;/&gt;&lt;wsp:rsid wsp:val=&quot;001D0E81&quot;/&gt;&lt;wsp:rsid wsp:val=&quot;001D1472&quot;/&gt;&lt;wsp:rsid wsp:val=&quot;001D18E6&quot;/&gt;&lt;wsp:rsid wsp:val=&quot;001D1A78&quot;/&gt;&lt;wsp:rsid wsp:val=&quot;001D26E0&quot;/&gt;&lt;wsp:rsid wsp:val=&quot;001D2B45&quot;/&gt;&lt;wsp:rsid wsp:val=&quot;001D2B6E&quot;/&gt;&lt;wsp:rsid wsp:val=&quot;001D2BD5&quot;/&gt;&lt;wsp:rsid wsp:val=&quot;001D2DF0&quot;/&gt;&lt;wsp:rsid wsp:val=&quot;001D2FAB&quot;/&gt;&lt;wsp:rsid wsp:val=&quot;001D33B5&quot;/&gt;&lt;wsp:rsid wsp:val=&quot;001D35F9&quot;/&gt;&lt;wsp:rsid wsp:val=&quot;001D3612&quot;/&gt;&lt;wsp:rsid wsp:val=&quot;001D3B5D&quot;/&gt;&lt;wsp:rsid wsp:val=&quot;001D3BAB&quot;/&gt;&lt;wsp:rsid wsp:val=&quot;001D3FDA&quot;/&gt;&lt;wsp:rsid wsp:val=&quot;001D44A8&quot;/&gt;&lt;wsp:rsid wsp:val=&quot;001D4695&quot;/&gt;&lt;wsp:rsid wsp:val=&quot;001D4935&quot;/&gt;&lt;wsp:rsid wsp:val=&quot;001D4AD4&quot;/&gt;&lt;wsp:rsid wsp:val=&quot;001D4F2B&quot;/&gt;&lt;wsp:rsid wsp:val=&quot;001D54D5&quot;/&gt;&lt;wsp:rsid wsp:val=&quot;001D5801&quot;/&gt;&lt;wsp:rsid wsp:val=&quot;001D5BCE&quot;/&gt;&lt;wsp:rsid wsp:val=&quot;001D6148&quot;/&gt;&lt;wsp:rsid wsp:val=&quot;001D6654&quot;/&gt;&lt;wsp:rsid wsp:val=&quot;001D6A1E&quot;/&gt;&lt;wsp:rsid wsp:val=&quot;001D6F0E&quot;/&gt;&lt;wsp:rsid wsp:val=&quot;001D7073&quot;/&gt;&lt;wsp:rsid wsp:val=&quot;001D76D8&quot;/&gt;&lt;wsp:rsid wsp:val=&quot;001D785B&quot;/&gt;&lt;wsp:rsid wsp:val=&quot;001D7C93&quot;/&gt;&lt;wsp:rsid wsp:val=&quot;001D7E44&quot;/&gt;&lt;wsp:rsid wsp:val=&quot;001E031B&quot;/&gt;&lt;wsp:rsid wsp:val=&quot;001E03DE&quot;/&gt;&lt;wsp:rsid wsp:val=&quot;001E068A&quot;/&gt;&lt;wsp:rsid wsp:val=&quot;001E0729&quot;/&gt;&lt;wsp:rsid wsp:val=&quot;001E1760&quot;/&gt;&lt;wsp:rsid wsp:val=&quot;001E1AAD&quot;/&gt;&lt;wsp:rsid wsp:val=&quot;001E1F48&quot;/&gt;&lt;wsp:rsid wsp:val=&quot;001E2224&quot;/&gt;&lt;wsp:rsid wsp:val=&quot;001E24F7&quot;/&gt;&lt;wsp:rsid wsp:val=&quot;001E2DA5&quot;/&gt;&lt;wsp:rsid wsp:val=&quot;001E32A5&quot;/&gt;&lt;wsp:rsid wsp:val=&quot;001E347B&quot;/&gt;&lt;wsp:rsid wsp:val=&quot;001E3F3B&quot;/&gt;&lt;wsp:rsid wsp:val=&quot;001E401E&quot;/&gt;&lt;wsp:rsid wsp:val=&quot;001E4261&quot;/&gt;&lt;wsp:rsid wsp:val=&quot;001E45E4&quot;/&gt;&lt;wsp:rsid wsp:val=&quot;001E4BC6&quot;/&gt;&lt;wsp:rsid wsp:val=&quot;001E4C48&quot;/&gt;&lt;wsp:rsid wsp:val=&quot;001E4F36&quot;/&gt;&lt;wsp:rsid wsp:val=&quot;001E570A&quot;/&gt;&lt;wsp:rsid wsp:val=&quot;001E596A&quot;/&gt;&lt;wsp:rsid wsp:val=&quot;001E59D7&quot;/&gt;&lt;wsp:rsid wsp:val=&quot;001E5A0D&quot;/&gt;&lt;wsp:rsid wsp:val=&quot;001E5AD4&quot;/&gt;&lt;wsp:rsid wsp:val=&quot;001E5AD5&quot;/&gt;&lt;wsp:rsid wsp:val=&quot;001E5C5B&quot;/&gt;&lt;wsp:rsid wsp:val=&quot;001E6428&quot;/&gt;&lt;wsp:rsid wsp:val=&quot;001E6758&quot;/&gt;&lt;wsp:rsid wsp:val=&quot;001E6EB4&quot;/&gt;&lt;wsp:rsid wsp:val=&quot;001E70C7&quot;/&gt;&lt;wsp:rsid wsp:val=&quot;001E7226&quot;/&gt;&lt;wsp:rsid wsp:val=&quot;001E7275&quot;/&gt;&lt;wsp:rsid wsp:val=&quot;001E75C4&quot;/&gt;&lt;wsp:rsid wsp:val=&quot;001E7D99&quot;/&gt;&lt;wsp:rsid wsp:val=&quot;001F073A&quot;/&gt;&lt;wsp:rsid wsp:val=&quot;001F0892&quot;/&gt;&lt;wsp:rsid wsp:val=&quot;001F0B0B&quot;/&gt;&lt;wsp:rsid wsp:val=&quot;001F11A4&quot;/&gt;&lt;wsp:rsid wsp:val=&quot;001F1745&quot;/&gt;&lt;wsp:rsid wsp:val=&quot;001F179C&quot;/&gt;&lt;wsp:rsid wsp:val=&quot;001F1EE0&quot;/&gt;&lt;wsp:rsid wsp:val=&quot;001F230B&quot;/&gt;&lt;wsp:rsid wsp:val=&quot;001F2315&quot;/&gt;&lt;wsp:rsid wsp:val=&quot;001F2418&quot;/&gt;&lt;wsp:rsid wsp:val=&quot;001F2C4F&quot;/&gt;&lt;wsp:rsid wsp:val=&quot;001F322F&quot;/&gt;&lt;wsp:rsid wsp:val=&quot;001F3560&quot;/&gt;&lt;wsp:rsid wsp:val=&quot;001F3906&quot;/&gt;&lt;wsp:rsid wsp:val=&quot;001F3918&quot;/&gt;&lt;wsp:rsid wsp:val=&quot;001F395A&quot;/&gt;&lt;wsp:rsid wsp:val=&quot;001F3A68&quot;/&gt;&lt;wsp:rsid wsp:val=&quot;001F401D&quot;/&gt;&lt;wsp:rsid wsp:val=&quot;001F4063&quot;/&gt;&lt;wsp:rsid wsp:val=&quot;001F4312&quot;/&gt;&lt;wsp:rsid wsp:val=&quot;001F49E3&quot;/&gt;&lt;wsp:rsid wsp:val=&quot;001F4B8C&quot;/&gt;&lt;wsp:rsid wsp:val=&quot;001F4BA2&quot;/&gt;&lt;wsp:rsid wsp:val=&quot;001F4F88&quot;/&gt;&lt;wsp:rsid wsp:val=&quot;001F54E1&quot;/&gt;&lt;wsp:rsid wsp:val=&quot;001F5C7C&quot;/&gt;&lt;wsp:rsid wsp:val=&quot;001F5E99&quot;/&gt;&lt;wsp:rsid wsp:val=&quot;001F677D&quot;/&gt;&lt;wsp:rsid wsp:val=&quot;001F6904&quot;/&gt;&lt;wsp:rsid wsp:val=&quot;001F6C6D&quot;/&gt;&lt;wsp:rsid wsp:val=&quot;001F7140&quot;/&gt;&lt;wsp:rsid wsp:val=&quot;001F776C&quot;/&gt;&lt;wsp:rsid wsp:val=&quot;001F7812&quot;/&gt;&lt;wsp:rsid wsp:val=&quot;001F7ECC&quot;/&gt;&lt;wsp:rsid wsp:val=&quot;0020031A&quot;/&gt;&lt;wsp:rsid wsp:val=&quot;002005E5&quot;/&gt;&lt;wsp:rsid wsp:val=&quot;002009F9&quot;/&gt;&lt;wsp:rsid wsp:val=&quot;00200AEC&quot;/&gt;&lt;wsp:rsid wsp:val=&quot;002013AA&quot;/&gt;&lt;wsp:rsid wsp:val=&quot;002017AD&quot;/&gt;&lt;wsp:rsid wsp:val=&quot;00202623&quot;/&gt;&lt;wsp:rsid wsp:val=&quot;00202982&quot;/&gt;&lt;wsp:rsid wsp:val=&quot;002029A9&quot;/&gt;&lt;wsp:rsid wsp:val=&quot;00202A7D&quot;/&gt;&lt;wsp:rsid wsp:val=&quot;00202CC2&quot;/&gt;&lt;wsp:rsid wsp:val=&quot;00203122&quot;/&gt;&lt;wsp:rsid wsp:val=&quot;00203261&quot;/&gt;&lt;wsp:rsid wsp:val=&quot;0020357F&quot;/&gt;&lt;wsp:rsid wsp:val=&quot;00203601&quot;/&gt;&lt;wsp:rsid wsp:val=&quot;00203921&quot;/&gt;&lt;wsp:rsid wsp:val=&quot;00203F47&quot;/&gt;&lt;wsp:rsid wsp:val=&quot;0020424C&quot;/&gt;&lt;wsp:rsid wsp:val=&quot;002043D5&quot;/&gt;&lt;wsp:rsid wsp:val=&quot;0020451E&quot;/&gt;&lt;wsp:rsid wsp:val=&quot;00204B8D&quot;/&gt;&lt;wsp:rsid wsp:val=&quot;00204D00&quot;/&gt;&lt;wsp:rsid wsp:val=&quot;00204DCF&quot;/&gt;&lt;wsp:rsid wsp:val=&quot;002058AC&quot;/&gt;&lt;wsp:rsid wsp:val=&quot;00205A36&quot;/&gt;&lt;wsp:rsid wsp:val=&quot;00205A41&quot;/&gt;&lt;wsp:rsid wsp:val=&quot;00205BE1&quot;/&gt;&lt;wsp:rsid wsp:val=&quot;0020661B&quot;/&gt;&lt;wsp:rsid wsp:val=&quot;00206ACA&quot;/&gt;&lt;wsp:rsid wsp:val=&quot;00206BB6&quot;/&gt;&lt;wsp:rsid wsp:val=&quot;00206DA6&quot;/&gt;&lt;wsp:rsid wsp:val=&quot;002078C7&quot;/&gt;&lt;wsp:rsid wsp:val=&quot;00207A54&quot;/&gt;&lt;wsp:rsid wsp:val=&quot;00207C3E&quot;/&gt;&lt;wsp:rsid wsp:val=&quot;00207D7C&quot;/&gt;&lt;wsp:rsid wsp:val=&quot;0021089C&quot;/&gt;&lt;wsp:rsid wsp:val=&quot;00210D89&quot;/&gt;&lt;wsp:rsid wsp:val=&quot;00211566&quot;/&gt;&lt;wsp:rsid wsp:val=&quot;002118CD&quot;/&gt;&lt;wsp:rsid wsp:val=&quot;00211AA5&quot;/&gt;&lt;wsp:rsid wsp:val=&quot;00212030&quot;/&gt;&lt;wsp:rsid wsp:val=&quot;002125EA&quot;/&gt;&lt;wsp:rsid wsp:val=&quot;00212CCA&quot;/&gt;&lt;wsp:rsid wsp:val=&quot;00212EC4&quot;/&gt;&lt;wsp:rsid wsp:val=&quot;00212F17&quot;/&gt;&lt;wsp:rsid wsp:val=&quot;00213486&quot;/&gt;&lt;wsp:rsid wsp:val=&quot;0021353E&quot;/&gt;&lt;wsp:rsid wsp:val=&quot;0021366F&quot;/&gt;&lt;wsp:rsid wsp:val=&quot;00213D33&quot;/&gt;&lt;wsp:rsid wsp:val=&quot;00214364&quot;/&gt;&lt;wsp:rsid wsp:val=&quot;0021495F&quot;/&gt;&lt;wsp:rsid wsp:val=&quot;002150F8&quot;/&gt;&lt;wsp:rsid wsp:val=&quot;002153D2&quot;/&gt;&lt;wsp:rsid wsp:val=&quot;002157DC&quot;/&gt;&lt;wsp:rsid wsp:val=&quot;00215AEF&quot;/&gt;&lt;wsp:rsid wsp:val=&quot;002160B4&quot;/&gt;&lt;wsp:rsid wsp:val=&quot;002168CE&quot;/&gt;&lt;wsp:rsid wsp:val=&quot;00216A79&quot;/&gt;&lt;wsp:rsid wsp:val=&quot;00216FCD&quot;/&gt;&lt;wsp:rsid wsp:val=&quot;00217179&quot;/&gt;&lt;wsp:rsid wsp:val=&quot;00217964&quot;/&gt;&lt;wsp:rsid wsp:val=&quot;00217CFA&quot;/&gt;&lt;wsp:rsid wsp:val=&quot;00220307&quot;/&gt;&lt;wsp:rsid wsp:val=&quot;002206DE&quot;/&gt;&lt;wsp:rsid wsp:val=&quot;002208DF&quot;/&gt;&lt;wsp:rsid wsp:val=&quot;002224C1&quot;/&gt;&lt;wsp:rsid wsp:val=&quot;00222A8B&quot;/&gt;&lt;wsp:rsid wsp:val=&quot;00222BB9&quot;/&gt;&lt;wsp:rsid wsp:val=&quot;00222E7E&quot;/&gt;&lt;wsp:rsid wsp:val=&quot;002236DD&quot;/&gt;&lt;wsp:rsid wsp:val=&quot;00223872&quot;/&gt;&lt;wsp:rsid wsp:val=&quot;00223992&quot;/&gt;&lt;wsp:rsid wsp:val=&quot;00223F65&quot;/&gt;&lt;wsp:rsid wsp:val=&quot;002246EF&quot;/&gt;&lt;wsp:rsid wsp:val=&quot;00224702&quot;/&gt;&lt;wsp:rsid wsp:val=&quot;00224EF5&quot;/&gt;&lt;wsp:rsid wsp:val=&quot;002252A3&quot;/&gt;&lt;wsp:rsid wsp:val=&quot;0022595C&quot;/&gt;&lt;wsp:rsid wsp:val=&quot;00225A86&quot;/&gt;&lt;wsp:rsid wsp:val=&quot;00225A8D&quot;/&gt;&lt;wsp:rsid wsp:val=&quot;00225A90&quot;/&gt;&lt;wsp:rsid wsp:val=&quot;00226027&quot;/&gt;&lt;wsp:rsid wsp:val=&quot;00226040&quot;/&gt;&lt;wsp:rsid wsp:val=&quot;00226415&quot;/&gt;&lt;wsp:rsid wsp:val=&quot;00226F20&quot;/&gt;&lt;wsp:rsid wsp:val=&quot;002270FB&quot;/&gt;&lt;wsp:rsid wsp:val=&quot;00230881&quot;/&gt;&lt;wsp:rsid wsp:val=&quot;002308E8&quot;/&gt;&lt;wsp:rsid wsp:val=&quot;00230BF5&quot;/&gt;&lt;wsp:rsid wsp:val=&quot;00230E2F&quot;/&gt;&lt;wsp:rsid wsp:val=&quot;00231609&quot;/&gt;&lt;wsp:rsid wsp:val=&quot;00231703&quot;/&gt;&lt;wsp:rsid wsp:val=&quot;00231719&quot;/&gt;&lt;wsp:rsid wsp:val=&quot;00231F5B&quot;/&gt;&lt;wsp:rsid wsp:val=&quot;002320A4&quot;/&gt;&lt;wsp:rsid wsp:val=&quot;0023375F&quot;/&gt;&lt;wsp:rsid wsp:val=&quot;00233910&quot;/&gt;&lt;wsp:rsid wsp:val=&quot;00233A0E&quot;/&gt;&lt;wsp:rsid wsp:val=&quot;00233B91&quot;/&gt;&lt;wsp:rsid wsp:val=&quot;00233BF0&quot;/&gt;&lt;wsp:rsid wsp:val=&quot;00233E8C&quot;/&gt;&lt;wsp:rsid wsp:val=&quot;00234410&quot;/&gt;&lt;wsp:rsid wsp:val=&quot;0023449B&quot;/&gt;&lt;wsp:rsid wsp:val=&quot;00234540&quot;/&gt;&lt;wsp:rsid wsp:val=&quot;002346B9&quot;/&gt;&lt;wsp:rsid wsp:val=&quot;002347C8&quot;/&gt;&lt;wsp:rsid wsp:val=&quot;00234937&quot;/&gt;&lt;wsp:rsid wsp:val=&quot;0023498C&quot;/&gt;&lt;wsp:rsid wsp:val=&quot;00234B9D&quot;/&gt;&lt;wsp:rsid wsp:val=&quot;00234DCB&quot;/&gt;&lt;wsp:rsid wsp:val=&quot;00234F43&quot;/&gt;&lt;wsp:rsid wsp:val=&quot;00235140&quot;/&gt;&lt;wsp:rsid wsp:val=&quot;00235370&quot;/&gt;&lt;wsp:rsid wsp:val=&quot;00235668&quot;/&gt;&lt;wsp:rsid wsp:val=&quot;00235CCE&quot;/&gt;&lt;wsp:rsid wsp:val=&quot;00235DB8&quot;/&gt;&lt;wsp:rsid wsp:val=&quot;00235E84&quot;/&gt;&lt;wsp:rsid wsp:val=&quot;00236226&quot;/&gt;&lt;wsp:rsid wsp:val=&quot;002363F2&quot;/&gt;&lt;wsp:rsid wsp:val=&quot;00236A37&quot;/&gt;&lt;wsp:rsid wsp:val=&quot;00236A91&quot;/&gt;&lt;wsp:rsid wsp:val=&quot;00236B94&quot;/&gt;&lt;wsp:rsid wsp:val=&quot;0023716A&quot;/&gt;&lt;wsp:rsid wsp:val=&quot;00237351&quot;/&gt;&lt;wsp:rsid wsp:val=&quot;0023772A&quot;/&gt;&lt;wsp:rsid wsp:val=&quot;00237ADA&quot;/&gt;&lt;wsp:rsid wsp:val=&quot;0024020D&quot;/&gt;&lt;wsp:rsid wsp:val=&quot;00240733&quot;/&gt;&lt;wsp:rsid wsp:val=&quot;002407A6&quot;/&gt;&lt;wsp:rsid wsp:val=&quot;002411F3&quot;/&gt;&lt;wsp:rsid wsp:val=&quot;00241C4A&quot;/&gt;&lt;wsp:rsid wsp:val=&quot;00241F5E&quot;/&gt;&lt;wsp:rsid wsp:val=&quot;002420B0&quot;/&gt;&lt;wsp:rsid wsp:val=&quot;0024222B&quot;/&gt;&lt;wsp:rsid wsp:val=&quot;00242278&quot;/&gt;&lt;wsp:rsid wsp:val=&quot;002425F3&quot;/&gt;&lt;wsp:rsid wsp:val=&quot;00242A1F&quot;/&gt;&lt;wsp:rsid wsp:val=&quot;00242D22&quot;/&gt;&lt;wsp:rsid wsp:val=&quot;002437AF&quot;/&gt;&lt;wsp:rsid wsp:val=&quot;00243952&quot;/&gt;&lt;wsp:rsid wsp:val=&quot;00243B64&quot;/&gt;&lt;wsp:rsid wsp:val=&quot;002441A4&quot;/&gt;&lt;wsp:rsid wsp:val=&quot;002441C4&quot;/&gt;&lt;wsp:rsid wsp:val=&quot;002447C4&quot;/&gt;&lt;wsp:rsid wsp:val=&quot;0024489F&quot;/&gt;&lt;wsp:rsid wsp:val=&quot;00244D85&quot;/&gt;&lt;wsp:rsid wsp:val=&quot;00245177&quot;/&gt;&lt;wsp:rsid wsp:val=&quot;0024518A&quot;/&gt;&lt;wsp:rsid wsp:val=&quot;0024525D&quot;/&gt;&lt;wsp:rsid wsp:val=&quot;002455DD&quot;/&gt;&lt;wsp:rsid wsp:val=&quot;0024592E&quot;/&gt;&lt;wsp:rsid wsp:val=&quot;002459DC&quot;/&gt;&lt;wsp:rsid wsp:val=&quot;0024694D&quot;/&gt;&lt;wsp:rsid wsp:val=&quot;00246B7A&quot;/&gt;&lt;wsp:rsid wsp:val=&quot;002473B0&quot;/&gt;&lt;wsp:rsid wsp:val=&quot;00247BEC&quot;/&gt;&lt;wsp:rsid wsp:val=&quot;00250A0F&quot;/&gt;&lt;wsp:rsid wsp:val=&quot;00250D71&quot;/&gt;&lt;wsp:rsid wsp:val=&quot;0025175A&quot;/&gt;&lt;wsp:rsid wsp:val=&quot;00251FB6&quot;/&gt;&lt;wsp:rsid wsp:val=&quot;002523A4&quot;/&gt;&lt;wsp:rsid wsp:val=&quot;0025245D&quot;/&gt;&lt;wsp:rsid wsp:val=&quot;002524C2&quot;/&gt;&lt;wsp:rsid wsp:val=&quot;002527CE&quot;/&gt;&lt;wsp:rsid wsp:val=&quot;00253034&quot;/&gt;&lt;wsp:rsid wsp:val=&quot;00253371&quot;/&gt;&lt;wsp:rsid wsp:val=&quot;002539C6&quot;/&gt;&lt;wsp:rsid wsp:val=&quot;00253B94&quot;/&gt;&lt;wsp:rsid wsp:val=&quot;00253E92&quot;/&gt;&lt;wsp:rsid wsp:val=&quot;002541CD&quot;/&gt;&lt;wsp:rsid wsp:val=&quot;00254B3A&quot;/&gt;&lt;wsp:rsid wsp:val=&quot;00254E47&quot;/&gt;&lt;wsp:rsid wsp:val=&quot;002551FF&quot;/&gt;&lt;wsp:rsid wsp:val=&quot;002558DD&quot;/&gt;&lt;wsp:rsid wsp:val=&quot;0025618E&quot;/&gt;&lt;wsp:rsid wsp:val=&quot;002569BF&quot;/&gt;&lt;wsp:rsid wsp:val=&quot;00256C57&quot;/&gt;&lt;wsp:rsid wsp:val=&quot;00256CA5&quot;/&gt;&lt;wsp:rsid wsp:val=&quot;00256FE7&quot;/&gt;&lt;wsp:rsid wsp:val=&quot;00257A6B&quot;/&gt;&lt;wsp:rsid wsp:val=&quot;00260684&quot;/&gt;&lt;wsp:rsid wsp:val=&quot;00260FB2&quot;/&gt;&lt;wsp:rsid wsp:val=&quot;002614C0&quot;/&gt;&lt;wsp:rsid wsp:val=&quot;0026207B&quot;/&gt;&lt;wsp:rsid wsp:val=&quot;002620CF&quot;/&gt;&lt;wsp:rsid wsp:val=&quot;00262211&quot;/&gt;&lt;wsp:rsid wsp:val=&quot;0026279E&quot;/&gt;&lt;wsp:rsid wsp:val=&quot;002629C4&quot;/&gt;&lt;wsp:rsid wsp:val=&quot;00263338&quot;/&gt;&lt;wsp:rsid wsp:val=&quot;002639EE&quot;/&gt;&lt;wsp:rsid wsp:val=&quot;00263D3E&quot;/&gt;&lt;wsp:rsid wsp:val=&quot;00264067&quot;/&gt;&lt;wsp:rsid wsp:val=&quot;002643AD&quot;/&gt;&lt;wsp:rsid wsp:val=&quot;00264B1C&quot;/&gt;&lt;wsp:rsid wsp:val=&quot;00264D87&quot;/&gt;&lt;wsp:rsid wsp:val=&quot;0026501B&quot;/&gt;&lt;wsp:rsid wsp:val=&quot;002654A2&quot;/&gt;&lt;wsp:rsid wsp:val=&quot;00265806&quot;/&gt;&lt;wsp:rsid wsp:val=&quot;00265A0B&quot;/&gt;&lt;wsp:rsid wsp:val=&quot;00265F50&quot;/&gt;&lt;wsp:rsid wsp:val=&quot;00266085&quot;/&gt;&lt;wsp:rsid wsp:val=&quot;002660DA&quot;/&gt;&lt;wsp:rsid wsp:val=&quot;002662AB&quot;/&gt;&lt;wsp:rsid wsp:val=&quot;0026638B&quot;/&gt;&lt;wsp:rsid wsp:val=&quot;00267525&quot;/&gt;&lt;wsp:rsid wsp:val=&quot;002701CE&quot;/&gt;&lt;wsp:rsid wsp:val=&quot;00271042&quot;/&gt;&lt;wsp:rsid wsp:val=&quot;0027122C&quot;/&gt;&lt;wsp:rsid wsp:val=&quot;0027129C&quot;/&gt;&lt;wsp:rsid wsp:val=&quot;00271878&quot;/&gt;&lt;wsp:rsid wsp:val=&quot;002719F8&quot;/&gt;&lt;wsp:rsid wsp:val=&quot;00271D53&quot;/&gt;&lt;wsp:rsid wsp:val=&quot;00271F63&quot;/&gt;&lt;wsp:rsid wsp:val=&quot;0027248E&quot;/&gt;&lt;wsp:rsid wsp:val=&quot;002729DF&quot;/&gt;&lt;wsp:rsid wsp:val=&quot;002731EF&quot;/&gt;&lt;wsp:rsid wsp:val=&quot;0027331D&quot;/&gt;&lt;wsp:rsid wsp:val=&quot;0027333D&quot;/&gt;&lt;wsp:rsid wsp:val=&quot;002733A9&quot;/&gt;&lt;wsp:rsid wsp:val=&quot;0027376E&quot;/&gt;&lt;wsp:rsid wsp:val=&quot;00273EB7&quot;/&gt;&lt;wsp:rsid wsp:val=&quot;00273F05&quot;/&gt;&lt;wsp:rsid wsp:val=&quot;002746C3&quot;/&gt;&lt;wsp:rsid wsp:val=&quot;002749A8&quot;/&gt;&lt;wsp:rsid wsp:val=&quot;00275292&quot;/&gt;&lt;wsp:rsid wsp:val=&quot;0027558A&quot;/&gt;&lt;wsp:rsid wsp:val=&quot;00275CD3&quot;/&gt;&lt;wsp:rsid wsp:val=&quot;00275EA0&quot;/&gt;&lt;wsp:rsid wsp:val=&quot;00275FD8&quot;/&gt;&lt;wsp:rsid wsp:val=&quot;0027624B&quot;/&gt;&lt;wsp:rsid wsp:val=&quot;002762DF&quot;/&gt;&lt;wsp:rsid wsp:val=&quot;0027647D&quot;/&gt;&lt;wsp:rsid wsp:val=&quot;002767C0&quot;/&gt;&lt;wsp:rsid wsp:val=&quot;00276917&quot;/&gt;&lt;wsp:rsid wsp:val=&quot;00276A7D&quot;/&gt;&lt;wsp:rsid wsp:val=&quot;00276FC0&quot;/&gt;&lt;wsp:rsid wsp:val=&quot;00277612&quot;/&gt;&lt;wsp:rsid wsp:val=&quot;0027777A&quot;/&gt;&lt;wsp:rsid wsp:val=&quot;00277914&quot;/&gt;&lt;wsp:rsid wsp:val=&quot;00277946&quot;/&gt;&lt;wsp:rsid wsp:val=&quot;00277D95&quot;/&gt;&lt;wsp:rsid wsp:val=&quot;0028031F&quot;/&gt;&lt;wsp:rsid wsp:val=&quot;0028058B&quot;/&gt;&lt;wsp:rsid wsp:val=&quot;0028110B&quot;/&gt;&lt;wsp:rsid wsp:val=&quot;00281209&quot;/&gt;&lt;wsp:rsid wsp:val=&quot;0028158A&quot;/&gt;&lt;wsp:rsid wsp:val=&quot;00281F80&quot;/&gt;&lt;wsp:rsid wsp:val=&quot;0028217B&quot;/&gt;&lt;wsp:rsid wsp:val=&quot;00282264&quot;/&gt;&lt;wsp:rsid wsp:val=&quot;00282727&quot;/&gt;&lt;wsp:rsid wsp:val=&quot;00282906&quot;/&gt;&lt;wsp:rsid wsp:val=&quot;00282B6F&quot;/&gt;&lt;wsp:rsid wsp:val=&quot;00282F99&quot;/&gt;&lt;wsp:rsid wsp:val=&quot;00282FB7&quot;/&gt;&lt;wsp:rsid wsp:val=&quot;00282FC6&quot;/&gt;&lt;wsp:rsid wsp:val=&quot;002834C1&quot;/&gt;&lt;wsp:rsid wsp:val=&quot;002837BC&quot;/&gt;&lt;wsp:rsid wsp:val=&quot;00283EAE&quot;/&gt;&lt;wsp:rsid wsp:val=&quot;0028433F&quot;/&gt;&lt;wsp:rsid wsp:val=&quot;00284EF9&quot;/&gt;&lt;wsp:rsid wsp:val=&quot;00284F75&quot;/&gt;&lt;wsp:rsid wsp:val=&quot;00285283&quot;/&gt;&lt;wsp:rsid wsp:val=&quot;002852F0&quot;/&gt;&lt;wsp:rsid wsp:val=&quot;00285635&quot;/&gt;&lt;wsp:rsid wsp:val=&quot;00285CAC&quot;/&gt;&lt;wsp:rsid wsp:val=&quot;00285D5C&quot;/&gt;&lt;wsp:rsid wsp:val=&quot;00285E9A&quot;/&gt;&lt;wsp:rsid wsp:val=&quot;00285F5B&quot;/&gt;&lt;wsp:rsid wsp:val=&quot;00286696&quot;/&gt;&lt;wsp:rsid wsp:val=&quot;00286836&quot;/&gt;&lt;wsp:rsid wsp:val=&quot;002868F3&quot;/&gt;&lt;wsp:rsid wsp:val=&quot;00286905&quot;/&gt;&lt;wsp:rsid wsp:val=&quot;00286981&quot;/&gt;&lt;wsp:rsid wsp:val=&quot;00286C5E&quot;/&gt;&lt;wsp:rsid wsp:val=&quot;00286DCA&quot;/&gt;&lt;wsp:rsid wsp:val=&quot;00286FAF&quot;/&gt;&lt;wsp:rsid wsp:val=&quot;0028713E&quot;/&gt;&lt;wsp:rsid wsp:val=&quot;00287742&quot;/&gt;&lt;wsp:rsid wsp:val=&quot;002901C8&quot;/&gt;&lt;wsp:rsid wsp:val=&quot;00290548&quot;/&gt;&lt;wsp:rsid wsp:val=&quot;00290B8C&quot;/&gt;&lt;wsp:rsid wsp:val=&quot;00290C2C&quot;/&gt;&lt;wsp:rsid wsp:val=&quot;00291245&quot;/&gt;&lt;wsp:rsid wsp:val=&quot;0029153B&quot;/&gt;&lt;wsp:rsid wsp:val=&quot;00291DB1&quot;/&gt;&lt;wsp:rsid wsp:val=&quot;00291EF2&quot;/&gt;&lt;wsp:rsid wsp:val=&quot;002921BB&quot;/&gt;&lt;wsp:rsid wsp:val=&quot;002922BD&quot;/&gt;&lt;wsp:rsid wsp:val=&quot;00292394&quot;/&gt;&lt;wsp:rsid wsp:val=&quot;00292B30&quot;/&gt;&lt;wsp:rsid wsp:val=&quot;00292BE2&quot;/&gt;&lt;wsp:rsid wsp:val=&quot;00292D93&quot;/&gt;&lt;wsp:rsid wsp:val=&quot;00293138&quot;/&gt;&lt;wsp:rsid wsp:val=&quot;0029317A&quot;/&gt;&lt;wsp:rsid wsp:val=&quot;002934B9&quot;/&gt;&lt;wsp:rsid wsp:val=&quot;002942A0&quot;/&gt;&lt;wsp:rsid wsp:val=&quot;0029498B&quot;/&gt;&lt;wsp:rsid wsp:val=&quot;002949DB&quot;/&gt;&lt;wsp:rsid wsp:val=&quot;00294D3D&quot;/&gt;&lt;wsp:rsid wsp:val=&quot;002958D6&quot;/&gt;&lt;wsp:rsid wsp:val=&quot;00295D34&quot;/&gt;&lt;wsp:rsid wsp:val=&quot;00295FF1&quot;/&gt;&lt;wsp:rsid wsp:val=&quot;00296672&quot;/&gt;&lt;wsp:rsid wsp:val=&quot;00296ADB&quot;/&gt;&lt;wsp:rsid wsp:val=&quot;00296C9D&quot;/&gt;&lt;wsp:rsid wsp:val=&quot;0029713D&quot;/&gt;&lt;wsp:rsid wsp:val=&quot;00297293&quot;/&gt;&lt;wsp:rsid wsp:val=&quot;002976BB&quot;/&gt;&lt;wsp:rsid wsp:val=&quot;00297EFE&quot;/&gt;&lt;wsp:rsid wsp:val=&quot;002A0178&quot;/&gt;&lt;wsp:rsid wsp:val=&quot;002A057D&quot;/&gt;&lt;wsp:rsid wsp:val=&quot;002A07A0&quot;/&gt;&lt;wsp:rsid wsp:val=&quot;002A07F7&quot;/&gt;&lt;wsp:rsid wsp:val=&quot;002A17A4&quot;/&gt;&lt;wsp:rsid wsp:val=&quot;002A197A&quot;/&gt;&lt;wsp:rsid wsp:val=&quot;002A1AB5&quot;/&gt;&lt;wsp:rsid wsp:val=&quot;002A1B00&quot;/&gt;&lt;wsp:rsid wsp:val=&quot;002A1B20&quot;/&gt;&lt;wsp:rsid wsp:val=&quot;002A1F06&quot;/&gt;&lt;wsp:rsid wsp:val=&quot;002A2135&quot;/&gt;&lt;wsp:rsid wsp:val=&quot;002A26BF&quot;/&gt;&lt;wsp:rsid wsp:val=&quot;002A2E38&quot;/&gt;&lt;wsp:rsid wsp:val=&quot;002A3B3A&quot;/&gt;&lt;wsp:rsid wsp:val=&quot;002A403F&quot;/&gt;&lt;wsp:rsid wsp:val=&quot;002A4184&quot;/&gt;&lt;wsp:rsid wsp:val=&quot;002A4743&quot;/&gt;&lt;wsp:rsid wsp:val=&quot;002A47CB&quot;/&gt;&lt;wsp:rsid wsp:val=&quot;002A47EB&quot;/&gt;&lt;wsp:rsid wsp:val=&quot;002A48C1&quot;/&gt;&lt;wsp:rsid wsp:val=&quot;002A4BC3&quot;/&gt;&lt;wsp:rsid wsp:val=&quot;002A4ED5&quot;/&gt;&lt;wsp:rsid wsp:val=&quot;002A4F57&quot;/&gt;&lt;wsp:rsid wsp:val=&quot;002A511D&quot;/&gt;&lt;wsp:rsid wsp:val=&quot;002A573E&quot;/&gt;&lt;wsp:rsid wsp:val=&quot;002A5821&quot;/&gt;&lt;wsp:rsid wsp:val=&quot;002A58CA&quot;/&gt;&lt;wsp:rsid wsp:val=&quot;002A596D&quot;/&gt;&lt;wsp:rsid wsp:val=&quot;002A645A&quot;/&gt;&lt;wsp:rsid wsp:val=&quot;002A71BA&quot;/&gt;&lt;wsp:rsid wsp:val=&quot;002A75D0&quot;/&gt;&lt;wsp:rsid wsp:val=&quot;002A7A36&quot;/&gt;&lt;wsp:rsid wsp:val=&quot;002A7D15&quot;/&gt;&lt;wsp:rsid wsp:val=&quot;002A7DEF&quot;/&gt;&lt;wsp:rsid wsp:val=&quot;002B00D9&quot;/&gt;&lt;wsp:rsid wsp:val=&quot;002B013C&quot;/&gt;&lt;wsp:rsid wsp:val=&quot;002B01E7&quot;/&gt;&lt;wsp:rsid wsp:val=&quot;002B0A58&quot;/&gt;&lt;wsp:rsid wsp:val=&quot;002B0ECA&quot;/&gt;&lt;wsp:rsid wsp:val=&quot;002B0F93&quot;/&gt;&lt;wsp:rsid wsp:val=&quot;002B193C&quot;/&gt;&lt;wsp:rsid wsp:val=&quot;002B23D6&quot;/&gt;&lt;wsp:rsid wsp:val=&quot;002B2617&quot;/&gt;&lt;wsp:rsid wsp:val=&quot;002B279E&quot;/&gt;&lt;wsp:rsid wsp:val=&quot;002B28AD&quot;/&gt;&lt;wsp:rsid wsp:val=&quot;002B2E07&quot;/&gt;&lt;wsp:rsid wsp:val=&quot;002B2E2E&quot;/&gt;&lt;wsp:rsid wsp:val=&quot;002B30E0&quot;/&gt;&lt;wsp:rsid wsp:val=&quot;002B3201&quot;/&gt;&lt;wsp:rsid wsp:val=&quot;002B3221&quot;/&gt;&lt;wsp:rsid wsp:val=&quot;002B3680&quot;/&gt;&lt;wsp:rsid wsp:val=&quot;002B3B8B&quot;/&gt;&lt;wsp:rsid wsp:val=&quot;002B3E00&quot;/&gt;&lt;wsp:rsid wsp:val=&quot;002B41CB&quot;/&gt;&lt;wsp:rsid wsp:val=&quot;002B4842&quot;/&gt;&lt;wsp:rsid wsp:val=&quot;002B4846&quot;/&gt;&lt;wsp:rsid wsp:val=&quot;002B4A83&quot;/&gt;&lt;wsp:rsid wsp:val=&quot;002B4E93&quot;/&gt;&lt;wsp:rsid wsp:val=&quot;002B515E&quot;/&gt;&lt;wsp:rsid wsp:val=&quot;002B5547&quot;/&gt;&lt;wsp:rsid wsp:val=&quot;002B5549&quot;/&gt;&lt;wsp:rsid wsp:val=&quot;002B5D5A&quot;/&gt;&lt;wsp:rsid wsp:val=&quot;002B6065&quot;/&gt;&lt;wsp:rsid wsp:val=&quot;002B6093&quot;/&gt;&lt;wsp:rsid wsp:val=&quot;002B6815&quot;/&gt;&lt;wsp:rsid wsp:val=&quot;002B6D1A&quot;/&gt;&lt;wsp:rsid wsp:val=&quot;002B6D5D&quot;/&gt;&lt;wsp:rsid wsp:val=&quot;002B7977&quot;/&gt;&lt;wsp:rsid wsp:val=&quot;002B7BDD&quot;/&gt;&lt;wsp:rsid wsp:val=&quot;002B7C90&quot;/&gt;&lt;wsp:rsid wsp:val=&quot;002B7CC7&quot;/&gt;&lt;wsp:rsid wsp:val=&quot;002B7CEA&quot;/&gt;&lt;wsp:rsid wsp:val=&quot;002B7DCA&quot;/&gt;&lt;wsp:rsid wsp:val=&quot;002C0194&quot;/&gt;&lt;wsp:rsid wsp:val=&quot;002C03CE&quot;/&gt;&lt;wsp:rsid wsp:val=&quot;002C1763&quot;/&gt;&lt;wsp:rsid wsp:val=&quot;002C1EFE&quot;/&gt;&lt;wsp:rsid wsp:val=&quot;002C20C7&quot;/&gt;&lt;wsp:rsid wsp:val=&quot;002C21EA&quot;/&gt;&lt;wsp:rsid wsp:val=&quot;002C22A2&quot;/&gt;&lt;wsp:rsid wsp:val=&quot;002C267B&quot;/&gt;&lt;wsp:rsid wsp:val=&quot;002C2902&quot;/&gt;&lt;wsp:rsid wsp:val=&quot;002C2B5F&quot;/&gt;&lt;wsp:rsid wsp:val=&quot;002C2E7E&quot;/&gt;&lt;wsp:rsid wsp:val=&quot;002C3288&quot;/&gt;&lt;wsp:rsid wsp:val=&quot;002C39CD&quot;/&gt;&lt;wsp:rsid wsp:val=&quot;002C3B6F&quot;/&gt;&lt;wsp:rsid wsp:val=&quot;002C3E69&quot;/&gt;&lt;wsp:rsid wsp:val=&quot;002C452C&quot;/&gt;&lt;wsp:rsid wsp:val=&quot;002C4BE4&quot;/&gt;&lt;wsp:rsid wsp:val=&quot;002C4FDC&quot;/&gt;&lt;wsp:rsid wsp:val=&quot;002C5309&quot;/&gt;&lt;wsp:rsid wsp:val=&quot;002C53D3&quot;/&gt;&lt;wsp:rsid wsp:val=&quot;002C56C3&quot;/&gt;&lt;wsp:rsid wsp:val=&quot;002C5784&quot;/&gt;&lt;wsp:rsid wsp:val=&quot;002C582B&quot;/&gt;&lt;wsp:rsid wsp:val=&quot;002C58B2&quot;/&gt;&lt;wsp:rsid wsp:val=&quot;002C5AAF&quot;/&gt;&lt;wsp:rsid wsp:val=&quot;002C5E9F&quot;/&gt;&lt;wsp:rsid wsp:val=&quot;002C5F24&quot;/&gt;&lt;wsp:rsid wsp:val=&quot;002C6604&quot;/&gt;&lt;wsp:rsid wsp:val=&quot;002C6954&quot;/&gt;&lt;wsp:rsid wsp:val=&quot;002C6964&quot;/&gt;&lt;wsp:rsid wsp:val=&quot;002C73BC&quot;/&gt;&lt;wsp:rsid wsp:val=&quot;002C76A6&quot;/&gt;&lt;wsp:rsid wsp:val=&quot;002C7DBB&quot;/&gt;&lt;wsp:rsid wsp:val=&quot;002C7EF8&quot;/&gt;&lt;wsp:rsid wsp:val=&quot;002C7F0E&quot;/&gt;&lt;wsp:rsid wsp:val=&quot;002D0266&quot;/&gt;&lt;wsp:rsid wsp:val=&quot;002D0385&quot;/&gt;&lt;wsp:rsid wsp:val=&quot;002D04EF&quot;/&gt;&lt;wsp:rsid wsp:val=&quot;002D0BF8&quot;/&gt;&lt;wsp:rsid wsp:val=&quot;002D0C12&quot;/&gt;&lt;wsp:rsid wsp:val=&quot;002D0CB7&quot;/&gt;&lt;wsp:rsid wsp:val=&quot;002D0D0A&quot;/&gt;&lt;wsp:rsid wsp:val=&quot;002D0E25&quot;/&gt;&lt;wsp:rsid wsp:val=&quot;002D0F23&quot;/&gt;&lt;wsp:rsid wsp:val=&quot;002D14E1&quot;/&gt;&lt;wsp:rsid wsp:val=&quot;002D15AC&quot;/&gt;&lt;wsp:rsid wsp:val=&quot;002D1703&quot;/&gt;&lt;wsp:rsid wsp:val=&quot;002D196D&quot;/&gt;&lt;wsp:rsid wsp:val=&quot;002D1A50&quot;/&gt;&lt;wsp:rsid wsp:val=&quot;002D1BD3&quot;/&gt;&lt;wsp:rsid wsp:val=&quot;002D1C13&quot;/&gt;&lt;wsp:rsid wsp:val=&quot;002D22B5&quot;/&gt;&lt;wsp:rsid wsp:val=&quot;002D2585&quot;/&gt;&lt;wsp:rsid wsp:val=&quot;002D2754&quot;/&gt;&lt;wsp:rsid wsp:val=&quot;002D2AC8&quot;/&gt;&lt;wsp:rsid wsp:val=&quot;002D2B15&quot;/&gt;&lt;wsp:rsid wsp:val=&quot;002D32FC&quot;/&gt;&lt;wsp:rsid wsp:val=&quot;002D3B3F&quot;/&gt;&lt;wsp:rsid wsp:val=&quot;002D3BF6&quot;/&gt;&lt;wsp:rsid wsp:val=&quot;002D3FC6&quot;/&gt;&lt;wsp:rsid wsp:val=&quot;002D4030&quot;/&gt;&lt;wsp:rsid wsp:val=&quot;002D463D&quot;/&gt;&lt;wsp:rsid wsp:val=&quot;002D48C1&quot;/&gt;&lt;wsp:rsid wsp:val=&quot;002D4B56&quot;/&gt;&lt;wsp:rsid wsp:val=&quot;002D4CEA&quot;/&gt;&lt;wsp:rsid wsp:val=&quot;002D4E81&quot;/&gt;&lt;wsp:rsid wsp:val=&quot;002D5015&quot;/&gt;&lt;wsp:rsid wsp:val=&quot;002D539B&quot;/&gt;&lt;wsp:rsid wsp:val=&quot;002D5475&quot;/&gt;&lt;wsp:rsid wsp:val=&quot;002D5FB4&quot;/&gt;&lt;wsp:rsid wsp:val=&quot;002D6457&quot;/&gt;&lt;wsp:rsid wsp:val=&quot;002D6539&quot;/&gt;&lt;wsp:rsid wsp:val=&quot;002D6719&quot;/&gt;&lt;wsp:rsid wsp:val=&quot;002D6735&quot;/&gt;&lt;wsp:rsid wsp:val=&quot;002D6E13&quot;/&gt;&lt;wsp:rsid wsp:val=&quot;002D6F4A&quot;/&gt;&lt;wsp:rsid wsp:val=&quot;002D7410&quot;/&gt;&lt;wsp:rsid wsp:val=&quot;002D750E&quot;/&gt;&lt;wsp:rsid wsp:val=&quot;002D7640&quot;/&gt;&lt;wsp:rsid wsp:val=&quot;002D7934&quot;/&gt;&lt;wsp:rsid wsp:val=&quot;002D7A7E&quot;/&gt;&lt;wsp:rsid wsp:val=&quot;002D7B30&quot;/&gt;&lt;wsp:rsid wsp:val=&quot;002D7E38&quot;/&gt;&lt;wsp:rsid wsp:val=&quot;002E010F&quot;/&gt;&lt;wsp:rsid wsp:val=&quot;002E01AA&quot;/&gt;&lt;wsp:rsid wsp:val=&quot;002E0A2E&quot;/&gt;&lt;wsp:rsid wsp:val=&quot;002E1062&quot;/&gt;&lt;wsp:rsid wsp:val=&quot;002E18E2&quot;/&gt;&lt;wsp:rsid wsp:val=&quot;002E1C89&quot;/&gt;&lt;wsp:rsid wsp:val=&quot;002E23C9&quot;/&gt;&lt;wsp:rsid wsp:val=&quot;002E29CF&quot;/&gt;&lt;wsp:rsid wsp:val=&quot;002E2FF9&quot;/&gt;&lt;wsp:rsid wsp:val=&quot;002E3034&quot;/&gt;&lt;wsp:rsid wsp:val=&quot;002E30DA&quot;/&gt;&lt;wsp:rsid wsp:val=&quot;002E33F1&quot;/&gt;&lt;wsp:rsid wsp:val=&quot;002E37FB&quot;/&gt;&lt;wsp:rsid wsp:val=&quot;002E3978&quot;/&gt;&lt;wsp:rsid wsp:val=&quot;002E40A7&quot;/&gt;&lt;wsp:rsid wsp:val=&quot;002E40CA&quot;/&gt;&lt;wsp:rsid wsp:val=&quot;002E458A&quot;/&gt;&lt;wsp:rsid wsp:val=&quot;002E47AB&quot;/&gt;&lt;wsp:rsid wsp:val=&quot;002E49FB&quot;/&gt;&lt;wsp:rsid wsp:val=&quot;002E4CBF&quot;/&gt;&lt;wsp:rsid wsp:val=&quot;002E5304&quot;/&gt;&lt;wsp:rsid wsp:val=&quot;002E558C&quot;/&gt;&lt;wsp:rsid wsp:val=&quot;002E5649&quot;/&gt;&lt;wsp:rsid wsp:val=&quot;002E5697&quot;/&gt;&lt;wsp:rsid wsp:val=&quot;002E5D6D&quot;/&gt;&lt;wsp:rsid wsp:val=&quot;002E60F8&quot;/&gt;&lt;wsp:rsid wsp:val=&quot;002E66FC&quot;/&gt;&lt;wsp:rsid wsp:val=&quot;002E693F&quot;/&gt;&lt;wsp:rsid wsp:val=&quot;002E6BA0&quot;/&gt;&lt;wsp:rsid wsp:val=&quot;002E718E&quot;/&gt;&lt;wsp:rsid wsp:val=&quot;002E7B1C&quot;/&gt;&lt;wsp:rsid wsp:val=&quot;002F0030&quot;/&gt;&lt;wsp:rsid wsp:val=&quot;002F061E&quot;/&gt;&lt;wsp:rsid wsp:val=&quot;002F07D7&quot;/&gt;&lt;wsp:rsid wsp:val=&quot;002F0E9E&quot;/&gt;&lt;wsp:rsid wsp:val=&quot;002F102B&quot;/&gt;&lt;wsp:rsid wsp:val=&quot;002F1371&quot;/&gt;&lt;wsp:rsid wsp:val=&quot;002F2715&quot;/&gt;&lt;wsp:rsid wsp:val=&quot;002F31F2&quot;/&gt;&lt;wsp:rsid wsp:val=&quot;002F3303&quot;/&gt;&lt;wsp:rsid wsp:val=&quot;002F3768&quot;/&gt;&lt;wsp:rsid wsp:val=&quot;002F3B6F&quot;/&gt;&lt;wsp:rsid wsp:val=&quot;002F4192&quot;/&gt;&lt;wsp:rsid wsp:val=&quot;002F4379&quot;/&gt;&lt;wsp:rsid wsp:val=&quot;002F4668&quot;/&gt;&lt;wsp:rsid wsp:val=&quot;002F4EE4&quot;/&gt;&lt;wsp:rsid wsp:val=&quot;002F4F34&quot;/&gt;&lt;wsp:rsid wsp:val=&quot;002F521B&quot;/&gt;&lt;wsp:rsid wsp:val=&quot;002F52F8&quot;/&gt;&lt;wsp:rsid wsp:val=&quot;002F57E9&quot;/&gt;&lt;wsp:rsid wsp:val=&quot;002F584A&quot;/&gt;&lt;wsp:rsid wsp:val=&quot;002F5EF4&quot;/&gt;&lt;wsp:rsid wsp:val=&quot;002F60EB&quot;/&gt;&lt;wsp:rsid wsp:val=&quot;002F62CF&quot;/&gt;&lt;wsp:rsid wsp:val=&quot;002F77E3&quot;/&gt;&lt;wsp:rsid wsp:val=&quot;002F7972&quot;/&gt;&lt;wsp:rsid wsp:val=&quot;003003D3&quot;/&gt;&lt;wsp:rsid wsp:val=&quot;003003E4&quot;/&gt;&lt;wsp:rsid wsp:val=&quot;0030091D&quot;/&gt;&lt;wsp:rsid wsp:val=&quot;0030094C&quot;/&gt;&lt;wsp:rsid wsp:val=&quot;00300AEC&quot;/&gt;&lt;wsp:rsid wsp:val=&quot;00300C87&quot;/&gt;&lt;wsp:rsid wsp:val=&quot;0030120B&quot;/&gt;&lt;wsp:rsid wsp:val=&quot;0030145C&quot;/&gt;&lt;wsp:rsid wsp:val=&quot;00302585&quot;/&gt;&lt;wsp:rsid wsp:val=&quot;00302927&quot;/&gt;&lt;wsp:rsid wsp:val=&quot;00302993&quot;/&gt;&lt;wsp:rsid wsp:val=&quot;0030299A&quot;/&gt;&lt;wsp:rsid wsp:val=&quot;0030303B&quot;/&gt;&lt;wsp:rsid wsp:val=&quot;0030304F&quot;/&gt;&lt;wsp:rsid wsp:val=&quot;0030360F&quot;/&gt;&lt;wsp:rsid wsp:val=&quot;00303CFC&quot;/&gt;&lt;wsp:rsid wsp:val=&quot;00303F9A&quot;/&gt;&lt;wsp:rsid wsp:val=&quot;003041F7&quot;/&gt;&lt;wsp:rsid wsp:val=&quot;00304279&quot;/&gt;&lt;wsp:rsid wsp:val=&quot;0030482D&quot;/&gt;&lt;wsp:rsid wsp:val=&quot;00304B43&quot;/&gt;&lt;wsp:rsid wsp:val=&quot;00304BE6&quot;/&gt;&lt;wsp:rsid wsp:val=&quot;00305339&quot;/&gt;&lt;wsp:rsid wsp:val=&quot;0030577A&quot;/&gt;&lt;wsp:rsid wsp:val=&quot;00305808&quot;/&gt;&lt;wsp:rsid wsp:val=&quot;00306045&quot;/&gt;&lt;wsp:rsid wsp:val=&quot;003063F1&quot;/&gt;&lt;wsp:rsid wsp:val=&quot;003064E2&quot;/&gt;&lt;wsp:rsid wsp:val=&quot;00306600&quot;/&gt;&lt;wsp:rsid wsp:val=&quot;0030662F&quot;/&gt;&lt;wsp:rsid wsp:val=&quot;00306817&quot;/&gt;&lt;wsp:rsid wsp:val=&quot;00306D86&quot;/&gt;&lt;wsp:rsid wsp:val=&quot;00306F1F&quot;/&gt;&lt;wsp:rsid wsp:val=&quot;003072EB&quot;/&gt;&lt;wsp:rsid wsp:val=&quot;003102D1&quot;/&gt;&lt;wsp:rsid wsp:val=&quot;00310491&quot;/&gt;&lt;wsp:rsid wsp:val=&quot;003105CD&quot;/&gt;&lt;wsp:rsid wsp:val=&quot;00310779&quot;/&gt;&lt;wsp:rsid wsp:val=&quot;00310786&quot;/&gt;&lt;wsp:rsid wsp:val=&quot;00310B9A&quot;/&gt;&lt;wsp:rsid wsp:val=&quot;00311082&quot;/&gt;&lt;wsp:rsid wsp:val=&quot;003117C6&quot;/&gt;&lt;wsp:rsid wsp:val=&quot;00311CBD&quot;/&gt;&lt;wsp:rsid wsp:val=&quot;00312004&quot;/&gt;&lt;wsp:rsid wsp:val=&quot;0031206F&quot;/&gt;&lt;wsp:rsid wsp:val=&quot;00312649&quot;/&gt;&lt;wsp:rsid wsp:val=&quot;00312DD5&quot;/&gt;&lt;wsp:rsid wsp:val=&quot;0031322C&quot;/&gt;&lt;wsp:rsid wsp:val=&quot;0031338F&quot;/&gt;&lt;wsp:rsid wsp:val=&quot;003133C2&quot;/&gt;&lt;wsp:rsid wsp:val=&quot;00313670&quot;/&gt;&lt;wsp:rsid wsp:val=&quot;0031372A&quot;/&gt;&lt;wsp:rsid wsp:val=&quot;00313733&quot;/&gt;&lt;wsp:rsid wsp:val=&quot;003139D5&quot;/&gt;&lt;wsp:rsid wsp:val=&quot;00314488&quot;/&gt;&lt;wsp:rsid wsp:val=&quot;00314A55&quot;/&gt;&lt;wsp:rsid wsp:val=&quot;00314F94&quot;/&gt;&lt;wsp:rsid wsp:val=&quot;00315452&quot;/&gt;&lt;wsp:rsid wsp:val=&quot;00315682&quot;/&gt;&lt;wsp:rsid wsp:val=&quot;003156D1&quot;/&gt;&lt;wsp:rsid wsp:val=&quot;0031583A&quot;/&gt;&lt;wsp:rsid wsp:val=&quot;00315AD1&quot;/&gt;&lt;wsp:rsid wsp:val=&quot;00315BE5&quot;/&gt;&lt;wsp:rsid wsp:val=&quot;00315E93&quot;/&gt;&lt;wsp:rsid wsp:val=&quot;00315F6A&quot;/&gt;&lt;wsp:rsid wsp:val=&quot;003165A7&quot;/&gt;&lt;wsp:rsid wsp:val=&quot;003166B4&quot;/&gt;&lt;wsp:rsid wsp:val=&quot;00316F07&quot;/&gt;&lt;wsp:rsid wsp:val=&quot;00316F80&quot;/&gt;&lt;wsp:rsid wsp:val=&quot;00317124&quot;/&gt;&lt;wsp:rsid wsp:val=&quot;003172DA&quot;/&gt;&lt;wsp:rsid wsp:val=&quot;003173BB&quot;/&gt;&lt;wsp:rsid wsp:val=&quot;0031769B&quot;/&gt;&lt;wsp:rsid wsp:val=&quot;00317BDE&quot;/&gt;&lt;wsp:rsid wsp:val=&quot;00317D94&quot;/&gt;&lt;wsp:rsid wsp:val=&quot;00317E53&quot;/&gt;&lt;wsp:rsid wsp:val=&quot;00317E73&quot;/&gt;&lt;wsp:rsid wsp:val=&quot;00317FA4&quot;/&gt;&lt;wsp:rsid wsp:val=&quot;0032001F&quot;/&gt;&lt;wsp:rsid wsp:val=&quot;0032048E&quot;/&gt;&lt;wsp:rsid wsp:val=&quot;0032062E&quot;/&gt;&lt;wsp:rsid wsp:val=&quot;0032083D&quot;/&gt;&lt;wsp:rsid wsp:val=&quot;003208E1&quot;/&gt;&lt;wsp:rsid wsp:val=&quot;00320B05&quot;/&gt;&lt;wsp:rsid wsp:val=&quot;00320CFE&quot;/&gt;&lt;wsp:rsid wsp:val=&quot;00320ED3&quot;/&gt;&lt;wsp:rsid wsp:val=&quot;003214C6&quot;/&gt;&lt;wsp:rsid wsp:val=&quot;003219C9&quot;/&gt;&lt;wsp:rsid wsp:val=&quot;00321AD2&quot;/&gt;&lt;wsp:rsid wsp:val=&quot;00321C48&quot;/&gt;&lt;wsp:rsid wsp:val=&quot;003230E9&quot;/&gt;&lt;wsp:rsid wsp:val=&quot;0032331B&quot;/&gt;&lt;wsp:rsid wsp:val=&quot;003235C4&quot;/&gt;&lt;wsp:rsid wsp:val=&quot;003235CB&quot;/&gt;&lt;wsp:rsid wsp:val=&quot;003236D2&quot;/&gt;&lt;wsp:rsid wsp:val=&quot;003237D8&quot;/&gt;&lt;wsp:rsid wsp:val=&quot;00323828&quot;/&gt;&lt;wsp:rsid wsp:val=&quot;0032393E&quot;/&gt;&lt;wsp:rsid wsp:val=&quot;00323A06&quot;/&gt;&lt;wsp:rsid wsp:val=&quot;00323C50&quot;/&gt;&lt;wsp:rsid wsp:val=&quot;003240AF&quot;/&gt;&lt;wsp:rsid wsp:val=&quot;0032436C&quot;/&gt;&lt;wsp:rsid wsp:val=&quot;00324372&quot;/&gt;&lt;wsp:rsid wsp:val=&quot;003246A4&quot;/&gt;&lt;wsp:rsid wsp:val=&quot;00324BD8&quot;/&gt;&lt;wsp:rsid wsp:val=&quot;003250F2&quot;/&gt;&lt;wsp:rsid wsp:val=&quot;003251C1&quot;/&gt;&lt;wsp:rsid wsp:val=&quot;003254DA&quot;/&gt;&lt;wsp:rsid wsp:val=&quot;00325532&quot;/&gt;&lt;wsp:rsid wsp:val=&quot;003255BD&quot;/&gt;&lt;wsp:rsid wsp:val=&quot;003259F0&quot;/&gt;&lt;wsp:rsid wsp:val=&quot;00325BB0&quot;/&gt;&lt;wsp:rsid wsp:val=&quot;00325C32&quot;/&gt;&lt;wsp:rsid wsp:val=&quot;00326417&quot;/&gt;&lt;wsp:rsid wsp:val=&quot;00326DB6&quot;/&gt;&lt;wsp:rsid wsp:val=&quot;00327500&quot;/&gt;&lt;wsp:rsid wsp:val=&quot;00327E03&quot;/&gt;&lt;wsp:rsid wsp:val=&quot;0033020A&quot;/&gt;&lt;wsp:rsid wsp:val=&quot;00330F62&quot;/&gt;&lt;wsp:rsid wsp:val=&quot;003318E3&quot;/&gt;&lt;wsp:rsid wsp:val=&quot;00332138&quot;/&gt;&lt;wsp:rsid wsp:val=&quot;003324FC&quot;/&gt;&lt;wsp:rsid wsp:val=&quot;003331DF&quot;/&gt;&lt;wsp:rsid wsp:val=&quot;00333664&quot;/&gt;&lt;wsp:rsid wsp:val=&quot;0033369A&quot;/&gt;&lt;wsp:rsid wsp:val=&quot;003337DB&quot;/&gt;&lt;wsp:rsid wsp:val=&quot;0033393B&quot;/&gt;&lt;wsp:rsid wsp:val=&quot;003343B4&quot;/&gt;&lt;wsp:rsid wsp:val=&quot;00334822&quot;/&gt;&lt;wsp:rsid wsp:val=&quot;00334D10&quot;/&gt;&lt;wsp:rsid wsp:val=&quot;00334D1C&quot;/&gt;&lt;wsp:rsid wsp:val=&quot;00334E87&quot;/&gt;&lt;wsp:rsid wsp:val=&quot;00335368&quot;/&gt;&lt;wsp:rsid wsp:val=&quot;003356E5&quot;/&gt;&lt;wsp:rsid wsp:val=&quot;00335727&quot;/&gt;&lt;wsp:rsid wsp:val=&quot;00335E03&quot;/&gt;&lt;wsp:rsid wsp:val=&quot;00336379&quot;/&gt;&lt;wsp:rsid wsp:val=&quot;003363D7&quot;/&gt;&lt;wsp:rsid wsp:val=&quot;0033696D&quot;/&gt;&lt;wsp:rsid wsp:val=&quot;00336AD5&quot;/&gt;&lt;wsp:rsid wsp:val=&quot;003373A3&quot;/&gt;&lt;wsp:rsid wsp:val=&quot;00337486&quot;/&gt;&lt;wsp:rsid wsp:val=&quot;003378B4&quot;/&gt;&lt;wsp:rsid wsp:val=&quot;00337A16&quot;/&gt;&lt;wsp:rsid wsp:val=&quot;00340030&quot;/&gt;&lt;wsp:rsid wsp:val=&quot;00340280&quot;/&gt;&lt;wsp:rsid wsp:val=&quot;00340AEC&quot;/&gt;&lt;wsp:rsid wsp:val=&quot;00340F85&quot;/&gt;&lt;wsp:rsid wsp:val=&quot;003411E9&quot;/&gt;&lt;wsp:rsid wsp:val=&quot;00341259&quot;/&gt;&lt;wsp:rsid wsp:val=&quot;003412EC&quot;/&gt;&lt;wsp:rsid wsp:val=&quot;003416DD&quot;/&gt;&lt;wsp:rsid wsp:val=&quot;00341793&quot;/&gt;&lt;wsp:rsid wsp:val=&quot;00342002&quot;/&gt;&lt;wsp:rsid wsp:val=&quot;003420B1&quot;/&gt;&lt;wsp:rsid wsp:val=&quot;00342376&quot;/&gt;&lt;wsp:rsid wsp:val=&quot;00342466&quot;/&gt;&lt;wsp:rsid wsp:val=&quot;00342AFF&quot;/&gt;&lt;wsp:rsid wsp:val=&quot;00342F82&quot;/&gt;&lt;wsp:rsid wsp:val=&quot;0034319C&quot;/&gt;&lt;wsp:rsid wsp:val=&quot;003437E7&quot;/&gt;&lt;wsp:rsid wsp:val=&quot;0034390E&quot;/&gt;&lt;wsp:rsid wsp:val=&quot;00344744&quot;/&gt;&lt;wsp:rsid wsp:val=&quot;00344AEB&quot;/&gt;&lt;wsp:rsid wsp:val=&quot;00344B58&quot;/&gt;&lt;wsp:rsid wsp:val=&quot;00344CAE&quot;/&gt;&lt;wsp:rsid wsp:val=&quot;0034525B&quot;/&gt;&lt;wsp:rsid wsp:val=&quot;0034529F&quot;/&gt;&lt;wsp:rsid wsp:val=&quot;00346473&quot;/&gt;&lt;wsp:rsid wsp:val=&quot;003467B6&quot;/&gt;&lt;wsp:rsid wsp:val=&quot;00346DDE&quot;/&gt;&lt;wsp:rsid wsp:val=&quot;0034701D&quot;/&gt;&lt;wsp:rsid wsp:val=&quot;003474FC&quot;/&gt;&lt;wsp:rsid wsp:val=&quot;0034767A&quot;/&gt;&lt;wsp:rsid wsp:val=&quot;00347C5C&quot;/&gt;&lt;wsp:rsid wsp:val=&quot;00347E72&quot;/&gt;&lt;wsp:rsid wsp:val=&quot;00350280&quot;/&gt;&lt;wsp:rsid wsp:val=&quot;00350400&quot;/&gt;&lt;wsp:rsid wsp:val=&quot;00350464&quot;/&gt;&lt;wsp:rsid wsp:val=&quot;0035081E&quot;/&gt;&lt;wsp:rsid wsp:val=&quot;00350C2D&quot;/&gt;&lt;wsp:rsid wsp:val=&quot;00350F52&quot;/&gt;&lt;wsp:rsid wsp:val=&quot;003511DD&quot;/&gt;&lt;wsp:rsid wsp:val=&quot;00351433&quot;/&gt;&lt;wsp:rsid wsp:val=&quot;003531E7&quot;/&gt;&lt;wsp:rsid wsp:val=&quot;0035387B&quot;/&gt;&lt;wsp:rsid wsp:val=&quot;00353B14&quot;/&gt;&lt;wsp:rsid wsp:val=&quot;00354086&quot;/&gt;&lt;wsp:rsid wsp:val=&quot;003543E6&quot;/&gt;&lt;wsp:rsid wsp:val=&quot;0035446A&quot;/&gt;&lt;wsp:rsid wsp:val=&quot;003544EA&quot;/&gt;&lt;wsp:rsid wsp:val=&quot;0035481A&quot;/&gt;&lt;wsp:rsid wsp:val=&quot;00354901&quot;/&gt;&lt;wsp:rsid wsp:val=&quot;00354C27&quot;/&gt;&lt;wsp:rsid wsp:val=&quot;00354D6C&quot;/&gt;&lt;wsp:rsid wsp:val=&quot;0035565E&quot;/&gt;&lt;wsp:rsid wsp:val=&quot;003566C2&quot;/&gt;&lt;wsp:rsid wsp:val=&quot;00356A86&quot;/&gt;&lt;wsp:rsid wsp:val=&quot;00356B40&quot;/&gt;&lt;wsp:rsid wsp:val=&quot;00356FC0&quot;/&gt;&lt;wsp:rsid wsp:val=&quot;003570B6&quot;/&gt;&lt;wsp:rsid wsp:val=&quot;0035728C&quot;/&gt;&lt;wsp:rsid wsp:val=&quot;00357601&quot;/&gt;&lt;wsp:rsid wsp:val=&quot;00357683&quot;/&gt;&lt;wsp:rsid wsp:val=&quot;0036026F&quot;/&gt;&lt;wsp:rsid wsp:val=&quot;00360417&quot;/&gt;&lt;wsp:rsid wsp:val=&quot;003604CA&quot;/&gt;&lt;wsp:rsid wsp:val=&quot;003607B6&quot;/&gt;&lt;wsp:rsid wsp:val=&quot;00361007&quot;/&gt;&lt;wsp:rsid wsp:val=&quot;00361176&quot;/&gt;&lt;wsp:rsid wsp:val=&quot;00361362&quot;/&gt;&lt;wsp:rsid wsp:val=&quot;0036156A&quot;/&gt;&lt;wsp:rsid wsp:val=&quot;0036174C&quot;/&gt;&lt;wsp:rsid wsp:val=&quot;003618F8&quot;/&gt;&lt;wsp:rsid wsp:val=&quot;00361E1D&quot;/&gt;&lt;wsp:rsid wsp:val=&quot;00361EE4&quot;/&gt;&lt;wsp:rsid wsp:val=&quot;00361EE7&quot;/&gt;&lt;wsp:rsid wsp:val=&quot;00362298&quot;/&gt;&lt;wsp:rsid wsp:val=&quot;00362303&quot;/&gt;&lt;wsp:rsid wsp:val=&quot;0036238B&quot;/&gt;&lt;wsp:rsid wsp:val=&quot;0036242F&quot;/&gt;&lt;wsp:rsid wsp:val=&quot;00362447&quot;/&gt;&lt;wsp:rsid wsp:val=&quot;0036267A&quot;/&gt;&lt;wsp:rsid wsp:val=&quot;003629FF&quot;/&gt;&lt;wsp:rsid wsp:val=&quot;00362B25&quot;/&gt;&lt;wsp:rsid wsp:val=&quot;00362CC2&quot;/&gt;&lt;wsp:rsid wsp:val=&quot;00362D5A&quot;/&gt;&lt;wsp:rsid wsp:val=&quot;00362ED2&quot;/&gt;&lt;wsp:rsid wsp:val=&quot;00362F50&quot;/&gt;&lt;wsp:rsid wsp:val=&quot;003635E9&quot;/&gt;&lt;wsp:rsid wsp:val=&quot;0036368E&quot;/&gt;&lt;wsp:rsid wsp:val=&quot;00363A04&quot;/&gt;&lt;wsp:rsid wsp:val=&quot;00363B65&quot;/&gt;&lt;wsp:rsid wsp:val=&quot;00363B9C&quot;/&gt;&lt;wsp:rsid wsp:val=&quot;0036503A&quot;/&gt;&lt;wsp:rsid wsp:val=&quot;003650C4&quot;/&gt;&lt;wsp:rsid wsp:val=&quot;0036536F&quot;/&gt;&lt;wsp:rsid wsp:val=&quot;003656FD&quot;/&gt;&lt;wsp:rsid wsp:val=&quot;00365AF8&quot;/&gt;&lt;wsp:rsid wsp:val=&quot;00366230&quot;/&gt;&lt;wsp:rsid wsp:val=&quot;003664B4&quot;/&gt;&lt;wsp:rsid wsp:val=&quot;003668DD&quot;/&gt;&lt;wsp:rsid wsp:val=&quot;003668E7&quot;/&gt;&lt;wsp:rsid wsp:val=&quot;0036698F&quot;/&gt;&lt;wsp:rsid wsp:val=&quot;00366AC4&quot;/&gt;&lt;wsp:rsid wsp:val=&quot;00366DC0&quot;/&gt;&lt;wsp:rsid wsp:val=&quot;00366E27&quot;/&gt;&lt;wsp:rsid wsp:val=&quot;00367046&quot;/&gt;&lt;wsp:rsid wsp:val=&quot;00367140&quot;/&gt;&lt;wsp:rsid wsp:val=&quot;00367470&quot;/&gt;&lt;wsp:rsid wsp:val=&quot;00367573&quot;/&gt;&lt;wsp:rsid wsp:val=&quot;00367758&quot;/&gt;&lt;wsp:rsid wsp:val=&quot;00367B22&quot;/&gt;&lt;wsp:rsid wsp:val=&quot;00367B91&quot;/&gt;&lt;wsp:rsid wsp:val=&quot;00367E4B&quot;/&gt;&lt;wsp:rsid wsp:val=&quot;0037000A&quot;/&gt;&lt;wsp:rsid wsp:val=&quot;00370219&quot;/&gt;&lt;wsp:rsid wsp:val=&quot;0037043E&quot;/&gt;&lt;wsp:rsid wsp:val=&quot;003708D7&quot;/&gt;&lt;wsp:rsid wsp:val=&quot;003709B7&quot;/&gt;&lt;wsp:rsid wsp:val=&quot;003720AE&quot;/&gt;&lt;wsp:rsid wsp:val=&quot;00372677&quot;/&gt;&lt;wsp:rsid wsp:val=&quot;0037268F&quot;/&gt;&lt;wsp:rsid wsp:val=&quot;003726E7&quot;/&gt;&lt;wsp:rsid wsp:val=&quot;003727AB&quot;/&gt;&lt;wsp:rsid wsp:val=&quot;003727BE&quot;/&gt;&lt;wsp:rsid wsp:val=&quot;00372DE1&quot;/&gt;&lt;wsp:rsid wsp:val=&quot;00372DEF&quot;/&gt;&lt;wsp:rsid wsp:val=&quot;00373100&quot;/&gt;&lt;wsp:rsid wsp:val=&quot;00373363&quot;/&gt;&lt;wsp:rsid wsp:val=&quot;003733F5&quot;/&gt;&lt;wsp:rsid wsp:val=&quot;00373886&quot;/&gt;&lt;wsp:rsid wsp:val=&quot;00373C6E&quot;/&gt;&lt;wsp:rsid wsp:val=&quot;00373E6B&quot;/&gt;&lt;wsp:rsid wsp:val=&quot;00374357&quot;/&gt;&lt;wsp:rsid wsp:val=&quot;00374813&quot;/&gt;&lt;wsp:rsid wsp:val=&quot;00374AF9&quot;/&gt;&lt;wsp:rsid wsp:val=&quot;00374B7E&quot;/&gt;&lt;wsp:rsid wsp:val=&quot;00374F75&quot;/&gt;&lt;wsp:rsid wsp:val=&quot;003754DB&quot;/&gt;&lt;wsp:rsid wsp:val=&quot;00375992&quot;/&gt;&lt;wsp:rsid wsp:val=&quot;00375A95&quot;/&gt;&lt;wsp:rsid wsp:val=&quot;00375AE4&quot;/&gt;&lt;wsp:rsid wsp:val=&quot;00375AFA&quot;/&gt;&lt;wsp:rsid wsp:val=&quot;00375DC6&quot;/&gt;&lt;wsp:rsid wsp:val=&quot;0037614F&quot;/&gt;&lt;wsp:rsid wsp:val=&quot;003761C1&quot;/&gt;&lt;wsp:rsid wsp:val=&quot;00376377&quot;/&gt;&lt;wsp:rsid wsp:val=&quot;00376848&quot;/&gt;&lt;wsp:rsid wsp:val=&quot;003772D1&quot;/&gt;&lt;wsp:rsid wsp:val=&quot;003774E9&quot;/&gt;&lt;wsp:rsid wsp:val=&quot;003775F1&quot;/&gt;&lt;wsp:rsid wsp:val=&quot;00377822&quot;/&gt;&lt;wsp:rsid wsp:val=&quot;00377868&quot;/&gt;&lt;wsp:rsid wsp:val=&quot;003779B4&quot;/&gt;&lt;wsp:rsid wsp:val=&quot;003801C6&quot;/&gt;&lt;wsp:rsid wsp:val=&quot;003802D2&quot;/&gt;&lt;wsp:rsid wsp:val=&quot;0038105C&quot;/&gt;&lt;wsp:rsid wsp:val=&quot;003819C5&quot;/&gt;&lt;wsp:rsid wsp:val=&quot;00381FAA&quot;/&gt;&lt;wsp:rsid wsp:val=&quot;00381FB2&quot;/&gt;&lt;wsp:rsid wsp:val=&quot;00382640&quot;/&gt;&lt;wsp:rsid wsp:val=&quot;0038285C&quot;/&gt;&lt;wsp:rsid wsp:val=&quot;00382982&quot;/&gt;&lt;wsp:rsid wsp:val=&quot;003829EC&quot;/&gt;&lt;wsp:rsid wsp:val=&quot;00382B02&quot;/&gt;&lt;wsp:rsid wsp:val=&quot;00382DCF&quot;/&gt;&lt;wsp:rsid wsp:val=&quot;00382F96&quot;/&gt;&lt;wsp:rsid wsp:val=&quot;0038370C&quot;/&gt;&lt;wsp:rsid wsp:val=&quot;00383A4C&quot;/&gt;&lt;wsp:rsid wsp:val=&quot;00383B58&quot;/&gt;&lt;wsp:rsid wsp:val=&quot;00383D6C&quot;/&gt;&lt;wsp:rsid wsp:val=&quot;003847EC&quot;/&gt;&lt;wsp:rsid wsp:val=&quot;003849BF&quot;/&gt;&lt;wsp:rsid wsp:val=&quot;003852D0&quot;/&gt;&lt;wsp:rsid wsp:val=&quot;003853A9&quot;/&gt;&lt;wsp:rsid wsp:val=&quot;003853E4&quot;/&gt;&lt;wsp:rsid wsp:val=&quot;00385589&quot;/&gt;&lt;wsp:rsid wsp:val=&quot;003859F2&quot;/&gt;&lt;wsp:rsid wsp:val=&quot;00386673&quot;/&gt;&lt;wsp:rsid wsp:val=&quot;003868A5&quot;/&gt;&lt;wsp:rsid wsp:val=&quot;00386A51&quot;/&gt;&lt;wsp:rsid wsp:val=&quot;00386FED&quot;/&gt;&lt;wsp:rsid wsp:val=&quot;003871F0&quot;/&gt;&lt;wsp:rsid wsp:val=&quot;00387220&quot;/&gt;&lt;wsp:rsid wsp:val=&quot;00387329&quot;/&gt;&lt;wsp:rsid wsp:val=&quot;0038750E&quot;/&gt;&lt;wsp:rsid wsp:val=&quot;00390030&quot;/&gt;&lt;wsp:rsid wsp:val=&quot;00390325&quot;/&gt;&lt;wsp:rsid wsp:val=&quot;0039073A&quot;/&gt;&lt;wsp:rsid wsp:val=&quot;0039076A&quot;/&gt;&lt;wsp:rsid wsp:val=&quot;00390886&quot;/&gt;&lt;wsp:rsid wsp:val=&quot;00390DD5&quot;/&gt;&lt;wsp:rsid wsp:val=&quot;00391B37&quot;/&gt;&lt;wsp:rsid wsp:val=&quot;00391D35&quot;/&gt;&lt;wsp:rsid wsp:val=&quot;00392699&quot;/&gt;&lt;wsp:rsid wsp:val=&quot;003927B4&quot;/&gt;&lt;wsp:rsid wsp:val=&quot;00392D74&quot;/&gt;&lt;wsp:rsid wsp:val=&quot;00392DB0&quot;/&gt;&lt;wsp:rsid wsp:val=&quot;00392E89&quot;/&gt;&lt;wsp:rsid wsp:val=&quot;00392EA1&quot;/&gt;&lt;wsp:rsid wsp:val=&quot;00392FD7&quot;/&gt;&lt;wsp:rsid wsp:val=&quot;003940AA&quot;/&gt;&lt;wsp:rsid wsp:val=&quot;003942B8&quot;/&gt;&lt;wsp:rsid wsp:val=&quot;003942F9&quot;/&gt;&lt;wsp:rsid wsp:val=&quot;003948BD&quot;/&gt;&lt;wsp:rsid wsp:val=&quot;00394966&quot;/&gt;&lt;wsp:rsid wsp:val=&quot;00394D96&quot;/&gt;&lt;wsp:rsid wsp:val=&quot;0039512E&quot;/&gt;&lt;wsp:rsid wsp:val=&quot;0039590F&quot;/&gt;&lt;wsp:rsid wsp:val=&quot;00395AE7&quot;/&gt;&lt;wsp:rsid wsp:val=&quot;00395AFC&quot;/&gt;&lt;wsp:rsid wsp:val=&quot;00395B4E&quot;/&gt;&lt;wsp:rsid wsp:val=&quot;00395C0A&quot;/&gt;&lt;wsp:rsid wsp:val=&quot;003960AD&quot;/&gt;&lt;wsp:rsid wsp:val=&quot;003961C8&quot;/&gt;&lt;wsp:rsid wsp:val=&quot;00396267&quot;/&gt;&lt;wsp:rsid wsp:val=&quot;00396404&quot;/&gt;&lt;wsp:rsid wsp:val=&quot;00396539&quot;/&gt;&lt;wsp:rsid wsp:val=&quot;0039677A&quot;/&gt;&lt;wsp:rsid wsp:val=&quot;00397158&quot;/&gt;&lt;wsp:rsid wsp:val=&quot;003973E6&quot;/&gt;&lt;wsp:rsid wsp:val=&quot;003976C2&quot;/&gt;&lt;wsp:rsid wsp:val=&quot;00397977&quot;/&gt;&lt;wsp:rsid wsp:val=&quot;00397B87&quot;/&gt;&lt;wsp:rsid wsp:val=&quot;00397D52&quot;/&gt;&lt;wsp:rsid wsp:val=&quot;00397FA8&quot;/&gt;&lt;wsp:rsid wsp:val=&quot;003A026C&quot;/&gt;&lt;wsp:rsid wsp:val=&quot;003A0A5A&quot;/&gt;&lt;wsp:rsid wsp:val=&quot;003A1E22&quot;/&gt;&lt;wsp:rsid wsp:val=&quot;003A2524&quot;/&gt;&lt;wsp:rsid wsp:val=&quot;003A27BC&quot;/&gt;&lt;wsp:rsid wsp:val=&quot;003A2B89&quot;/&gt;&lt;wsp:rsid wsp:val=&quot;003A324A&quot;/&gt;&lt;wsp:rsid wsp:val=&quot;003A391B&quot;/&gt;&lt;wsp:rsid wsp:val=&quot;003A414D&quot;/&gt;&lt;wsp:rsid wsp:val=&quot;003A41B4&quot;/&gt;&lt;wsp:rsid wsp:val=&quot;003A42D4&quot;/&gt;&lt;wsp:rsid wsp:val=&quot;003A45CF&quot;/&gt;&lt;wsp:rsid wsp:val=&quot;003A468F&quot;/&gt;&lt;wsp:rsid wsp:val=&quot;003A4859&quot;/&gt;&lt;wsp:rsid wsp:val=&quot;003A499E&quot;/&gt;&lt;wsp:rsid wsp:val=&quot;003A4A34&quot;/&gt;&lt;wsp:rsid wsp:val=&quot;003A51B9&quot;/&gt;&lt;wsp:rsid wsp:val=&quot;003A520B&quot;/&gt;&lt;wsp:rsid wsp:val=&quot;003A5705&quot;/&gt;&lt;wsp:rsid wsp:val=&quot;003A5A8F&quot;/&gt;&lt;wsp:rsid wsp:val=&quot;003A60DE&quot;/&gt;&lt;wsp:rsid wsp:val=&quot;003A625D&quot;/&gt;&lt;wsp:rsid wsp:val=&quot;003A6A74&quot;/&gt;&lt;wsp:rsid wsp:val=&quot;003A7558&quot;/&gt;&lt;wsp:rsid wsp:val=&quot;003A7862&quot;/&gt;&lt;wsp:rsid wsp:val=&quot;003B00A6&quot;/&gt;&lt;wsp:rsid wsp:val=&quot;003B00E3&quot;/&gt;&lt;wsp:rsid wsp:val=&quot;003B035B&quot;/&gt;&lt;wsp:rsid wsp:val=&quot;003B0374&quot;/&gt;&lt;wsp:rsid wsp:val=&quot;003B03BD&quot;/&gt;&lt;wsp:rsid wsp:val=&quot;003B0B61&quot;/&gt;&lt;wsp:rsid wsp:val=&quot;003B131F&quot;/&gt;&lt;wsp:rsid wsp:val=&quot;003B170C&quot;/&gt;&lt;wsp:rsid wsp:val=&quot;003B1BEB&quot;/&gt;&lt;wsp:rsid wsp:val=&quot;003B218E&quot;/&gt;&lt;wsp:rsid wsp:val=&quot;003B24E6&quot;/&gt;&lt;wsp:rsid wsp:val=&quot;003B2813&quot;/&gt;&lt;wsp:rsid wsp:val=&quot;003B289D&quot;/&gt;&lt;wsp:rsid wsp:val=&quot;003B2D7F&quot;/&gt;&lt;wsp:rsid wsp:val=&quot;003B31C2&quot;/&gt;&lt;wsp:rsid wsp:val=&quot;003B379E&quot;/&gt;&lt;wsp:rsid wsp:val=&quot;003B397C&quot;/&gt;&lt;wsp:rsid wsp:val=&quot;003B3BCD&quot;/&gt;&lt;wsp:rsid wsp:val=&quot;003B3C69&quot;/&gt;&lt;wsp:rsid wsp:val=&quot;003B3D58&quot;/&gt;&lt;wsp:rsid wsp:val=&quot;003B3D62&quot;/&gt;&lt;wsp:rsid wsp:val=&quot;003B4235&quot;/&gt;&lt;wsp:rsid wsp:val=&quot;003B46E9&quot;/&gt;&lt;wsp:rsid wsp:val=&quot;003B474A&quot;/&gt;&lt;wsp:rsid wsp:val=&quot;003B4B10&quot;/&gt;&lt;wsp:rsid wsp:val=&quot;003B4CF9&quot;/&gt;&lt;wsp:rsid wsp:val=&quot;003B5723&quot;/&gt;&lt;wsp:rsid wsp:val=&quot;003B62CE&quot;/&gt;&lt;wsp:rsid wsp:val=&quot;003B63D8&quot;/&gt;&lt;wsp:rsid wsp:val=&quot;003B6422&quot;/&gt;&lt;wsp:rsid wsp:val=&quot;003B6474&quot;/&gt;&lt;wsp:rsid wsp:val=&quot;003B69BC&quot;/&gt;&lt;wsp:rsid wsp:val=&quot;003B7235&quot;/&gt;&lt;wsp:rsid wsp:val=&quot;003B7614&quot;/&gt;&lt;wsp:rsid wsp:val=&quot;003B7673&quot;/&gt;&lt;wsp:rsid wsp:val=&quot;003B76A9&quot;/&gt;&lt;wsp:rsid wsp:val=&quot;003B76E6&quot;/&gt;&lt;wsp:rsid wsp:val=&quot;003C0142&quot;/&gt;&lt;wsp:rsid wsp:val=&quot;003C04FC&quot;/&gt;&lt;wsp:rsid wsp:val=&quot;003C07AB&quot;/&gt;&lt;wsp:rsid wsp:val=&quot;003C092C&quot;/&gt;&lt;wsp:rsid wsp:val=&quot;003C0C95&quot;/&gt;&lt;wsp:rsid wsp:val=&quot;003C0CC8&quot;/&gt;&lt;wsp:rsid wsp:val=&quot;003C0D59&quot;/&gt;&lt;wsp:rsid wsp:val=&quot;003C15CF&quot;/&gt;&lt;wsp:rsid wsp:val=&quot;003C17F9&quot;/&gt;&lt;wsp:rsid wsp:val=&quot;003C237E&quot;/&gt;&lt;wsp:rsid wsp:val=&quot;003C261A&quot;/&gt;&lt;wsp:rsid wsp:val=&quot;003C26EE&quot;/&gt;&lt;wsp:rsid wsp:val=&quot;003C2714&quot;/&gt;&lt;wsp:rsid wsp:val=&quot;003C2746&quot;/&gt;&lt;wsp:rsid wsp:val=&quot;003C2791&quot;/&gt;&lt;wsp:rsid wsp:val=&quot;003C2966&quot;/&gt;&lt;wsp:rsid wsp:val=&quot;003C2FE0&quot;/&gt;&lt;wsp:rsid wsp:val=&quot;003C35A1&quot;/&gt;&lt;wsp:rsid wsp:val=&quot;003C40FB&quot;/&gt;&lt;wsp:rsid wsp:val=&quot;003C443B&quot;/&gt;&lt;wsp:rsid wsp:val=&quot;003C49BD&quot;/&gt;&lt;wsp:rsid wsp:val=&quot;003C4AF7&quot;/&gt;&lt;wsp:rsid wsp:val=&quot;003C4CEA&quot;/&gt;&lt;wsp:rsid wsp:val=&quot;003C564D&quot;/&gt;&lt;wsp:rsid wsp:val=&quot;003C58A4&quot;/&gt;&lt;wsp:rsid wsp:val=&quot;003C65EE&quot;/&gt;&lt;wsp:rsid wsp:val=&quot;003C65FF&quot;/&gt;&lt;wsp:rsid wsp:val=&quot;003C6C30&quot;/&gt;&lt;wsp:rsid wsp:val=&quot;003C6D2E&quot;/&gt;&lt;wsp:rsid wsp:val=&quot;003C7579&quot;/&gt;&lt;wsp:rsid wsp:val=&quot;003D007F&quot;/&gt;&lt;wsp:rsid wsp:val=&quot;003D02AF&quot;/&gt;&lt;wsp:rsid wsp:val=&quot;003D07B6&quot;/&gt;&lt;wsp:rsid wsp:val=&quot;003D0B69&quot;/&gt;&lt;wsp:rsid wsp:val=&quot;003D0C0E&quot;/&gt;&lt;wsp:rsid wsp:val=&quot;003D0D11&quot;/&gt;&lt;wsp:rsid wsp:val=&quot;003D115D&quot;/&gt;&lt;wsp:rsid wsp:val=&quot;003D1D3C&quot;/&gt;&lt;wsp:rsid wsp:val=&quot;003D2482&quot;/&gt;&lt;wsp:rsid wsp:val=&quot;003D2726&quot;/&gt;&lt;wsp:rsid wsp:val=&quot;003D2813&quot;/&gt;&lt;wsp:rsid wsp:val=&quot;003D2827&quot;/&gt;&lt;wsp:rsid wsp:val=&quot;003D28B4&quot;/&gt;&lt;wsp:rsid wsp:val=&quot;003D2B5F&quot;/&gt;&lt;wsp:rsid wsp:val=&quot;003D3486&quot;/&gt;&lt;wsp:rsid wsp:val=&quot;003D3DBF&quot;/&gt;&lt;wsp:rsid wsp:val=&quot;003D4FC4&quot;/&gt;&lt;wsp:rsid wsp:val=&quot;003D5C02&quot;/&gt;&lt;wsp:rsid wsp:val=&quot;003D5D49&quot;/&gt;&lt;wsp:rsid wsp:val=&quot;003D5EC3&quot;/&gt;&lt;wsp:rsid wsp:val=&quot;003D6291&quot;/&gt;&lt;wsp:rsid wsp:val=&quot;003D62FE&quot;/&gt;&lt;wsp:rsid wsp:val=&quot;003D678D&quot;/&gt;&lt;wsp:rsid wsp:val=&quot;003D68E6&quot;/&gt;&lt;wsp:rsid wsp:val=&quot;003D6E19&quot;/&gt;&lt;wsp:rsid wsp:val=&quot;003D70FB&quot;/&gt;&lt;wsp:rsid wsp:val=&quot;003D77A8&quot;/&gt;&lt;wsp:rsid wsp:val=&quot;003D7AD3&quot;/&gt;&lt;wsp:rsid wsp:val=&quot;003D7FA4&quot;/&gt;&lt;wsp:rsid wsp:val=&quot;003E032B&quot;/&gt;&lt;wsp:rsid wsp:val=&quot;003E0B4B&quot;/&gt;&lt;wsp:rsid wsp:val=&quot;003E113A&quot;/&gt;&lt;wsp:rsid wsp:val=&quot;003E1C74&quot;/&gt;&lt;wsp:rsid wsp:val=&quot;003E1E03&quot;/&gt;&lt;wsp:rsid wsp:val=&quot;003E2182&quot;/&gt;&lt;wsp:rsid wsp:val=&quot;003E273D&quot;/&gt;&lt;wsp:rsid wsp:val=&quot;003E2A1B&quot;/&gt;&lt;wsp:rsid wsp:val=&quot;003E2BC0&quot;/&gt;&lt;wsp:rsid wsp:val=&quot;003E303D&quot;/&gt;&lt;wsp:rsid wsp:val=&quot;003E317A&quot;/&gt;&lt;wsp:rsid wsp:val=&quot;003E3421&quot;/&gt;&lt;wsp:rsid wsp:val=&quot;003E3634&quot;/&gt;&lt;wsp:rsid wsp:val=&quot;003E36AC&quot;/&gt;&lt;wsp:rsid wsp:val=&quot;003E3ABB&quot;/&gt;&lt;wsp:rsid wsp:val=&quot;003E3B73&quot;/&gt;&lt;wsp:rsid wsp:val=&quot;003E48A8&quot;/&gt;&lt;wsp:rsid wsp:val=&quot;003E4923&quot;/&gt;&lt;wsp:rsid wsp:val=&quot;003E4A12&quot;/&gt;&lt;wsp:rsid wsp:val=&quot;003E594B&quot;/&gt;&lt;wsp:rsid wsp:val=&quot;003E5D71&quot;/&gt;&lt;wsp:rsid wsp:val=&quot;003E5EB8&quot;/&gt;&lt;wsp:rsid wsp:val=&quot;003E6743&quot;/&gt;&lt;wsp:rsid wsp:val=&quot;003E6B7F&quot;/&gt;&lt;wsp:rsid wsp:val=&quot;003E6F45&quot;/&gt;&lt;wsp:rsid wsp:val=&quot;003E6F9B&quot;/&gt;&lt;wsp:rsid wsp:val=&quot;003E7100&quot;/&gt;&lt;wsp:rsid wsp:val=&quot;003E78A7&quot;/&gt;&lt;wsp:rsid wsp:val=&quot;003F0040&quot;/&gt;&lt;wsp:rsid wsp:val=&quot;003F03D2&quot;/&gt;&lt;wsp:rsid wsp:val=&quot;003F04C5&quot;/&gt;&lt;wsp:rsid wsp:val=&quot;003F0D55&quot;/&gt;&lt;wsp:rsid wsp:val=&quot;003F0EFA&quot;/&gt;&lt;wsp:rsid wsp:val=&quot;003F0FF2&quot;/&gt;&lt;wsp:rsid wsp:val=&quot;003F1708&quot;/&gt;&lt;wsp:rsid wsp:val=&quot;003F186B&quot;/&gt;&lt;wsp:rsid wsp:val=&quot;003F19FB&quot;/&gt;&lt;wsp:rsid wsp:val=&quot;003F1DFE&quot;/&gt;&lt;wsp:rsid wsp:val=&quot;003F2740&quot;/&gt;&lt;wsp:rsid wsp:val=&quot;003F2DDE&quot;/&gt;&lt;wsp:rsid wsp:val=&quot;003F2EF0&quot;/&gt;&lt;wsp:rsid wsp:val=&quot;003F30AD&quot;/&gt;&lt;wsp:rsid wsp:val=&quot;003F3836&quot;/&gt;&lt;wsp:rsid wsp:val=&quot;003F394A&quot;/&gt;&lt;wsp:rsid wsp:val=&quot;003F4A3E&quot;/&gt;&lt;wsp:rsid wsp:val=&quot;003F4AF8&quot;/&gt;&lt;wsp:rsid wsp:val=&quot;003F4BD1&quot;/&gt;&lt;wsp:rsid wsp:val=&quot;003F5384&quot;/&gt;&lt;wsp:rsid wsp:val=&quot;003F5562&quot;/&gt;&lt;wsp:rsid wsp:val=&quot;003F56F0&quot;/&gt;&lt;wsp:rsid wsp:val=&quot;003F5787&quot;/&gt;&lt;wsp:rsid wsp:val=&quot;003F5C3E&quot;/&gt;&lt;wsp:rsid wsp:val=&quot;003F5E25&quot;/&gt;&lt;wsp:rsid wsp:val=&quot;003F5F12&quot;/&gt;&lt;wsp:rsid wsp:val=&quot;003F6033&quot;/&gt;&lt;wsp:rsid wsp:val=&quot;003F616E&quot;/&gt;&lt;wsp:rsid wsp:val=&quot;003F68F9&quot;/&gt;&lt;wsp:rsid wsp:val=&quot;003F698F&quot;/&gt;&lt;wsp:rsid wsp:val=&quot;003F6B96&quot;/&gt;&lt;wsp:rsid wsp:val=&quot;003F6BDA&quot;/&gt;&lt;wsp:rsid wsp:val=&quot;003F727B&quot;/&gt;&lt;wsp:rsid wsp:val=&quot;003F7625&quot;/&gt;&lt;wsp:rsid wsp:val=&quot;00400694&quot;/&gt;&lt;wsp:rsid wsp:val=&quot;004007E4&quot;/&gt;&lt;wsp:rsid wsp:val=&quot;00400BBF&quot;/&gt;&lt;wsp:rsid wsp:val=&quot;00400E3D&quot;/&gt;&lt;wsp:rsid wsp:val=&quot;00401477&quot;/&gt;&lt;wsp:rsid wsp:val=&quot;00401686&quot;/&gt;&lt;wsp:rsid wsp:val=&quot;00401DB7&quot;/&gt;&lt;wsp:rsid wsp:val=&quot;00401DD7&quot;/&gt;&lt;wsp:rsid wsp:val=&quot;00401FEE&quot;/&gt;&lt;wsp:rsid wsp:val=&quot;004021CE&quot;/&gt;&lt;wsp:rsid wsp:val=&quot;00402236&quot;/&gt;&lt;wsp:rsid wsp:val=&quot;004022D7&quot;/&gt;&lt;wsp:rsid wsp:val=&quot;004026E2&quot;/&gt;&lt;wsp:rsid wsp:val=&quot;00402CF7&quot;/&gt;&lt;wsp:rsid wsp:val=&quot;00403A6B&quot;/&gt;&lt;wsp:rsid wsp:val=&quot;00403DE1&quot;/&gt;&lt;wsp:rsid wsp:val=&quot;0040416B&quot;/&gt;&lt;wsp:rsid wsp:val=&quot;0040427C&quot;/&gt;&lt;wsp:rsid wsp:val=&quot;0040429A&quot;/&gt;&lt;wsp:rsid wsp:val=&quot;004043CC&quot;/&gt;&lt;wsp:rsid wsp:val=&quot;00404454&quot;/&gt;&lt;wsp:rsid wsp:val=&quot;00404824&quot;/&gt;&lt;wsp:rsid wsp:val=&quot;0040495B&quot;/&gt;&lt;wsp:rsid wsp:val=&quot;00404E75&quot;/&gt;&lt;wsp:rsid wsp:val=&quot;00405086&quot;/&gt;&lt;wsp:rsid wsp:val=&quot;004050CE&quot;/&gt;&lt;wsp:rsid wsp:val=&quot;0040540D&quot;/&gt;&lt;wsp:rsid wsp:val=&quot;004054FE&quot;/&gt;&lt;wsp:rsid wsp:val=&quot;004057E7&quot;/&gt;&lt;wsp:rsid wsp:val=&quot;004058F5&quot;/&gt;&lt;wsp:rsid wsp:val=&quot;00405E41&quot;/&gt;&lt;wsp:rsid wsp:val=&quot;00405E9F&quot;/&gt;&lt;wsp:rsid wsp:val=&quot;004060DF&quot;/&gt;&lt;wsp:rsid wsp:val=&quot;00406384&quot;/&gt;&lt;wsp:rsid wsp:val=&quot;00406721&quot;/&gt;&lt;wsp:rsid wsp:val=&quot;00406801&quot;/&gt;&lt;wsp:rsid wsp:val=&quot;004069D8&quot;/&gt;&lt;wsp:rsid wsp:val=&quot;0040715B&quot;/&gt;&lt;wsp:rsid wsp:val=&quot;00407364&quot;/&gt;&lt;wsp:rsid wsp:val=&quot;0040779B&quot;/&gt;&lt;wsp:rsid wsp:val=&quot;004079A8&quot;/&gt;&lt;wsp:rsid wsp:val=&quot;00407A9E&quot;/&gt;&lt;wsp:rsid wsp:val=&quot;004107A6&quot;/&gt;&lt;wsp:rsid wsp:val=&quot;004107B6&quot;/&gt;&lt;wsp:rsid wsp:val=&quot;004112A6&quot;/&gt;&lt;wsp:rsid wsp:val=&quot;00411434&quot;/&gt;&lt;wsp:rsid wsp:val=&quot;00411ECC&quot;/&gt;&lt;wsp:rsid wsp:val=&quot;0041279E&quot;/&gt;&lt;wsp:rsid wsp:val=&quot;00412A6E&quot;/&gt;&lt;wsp:rsid wsp:val=&quot;00412C2E&quot;/&gt;&lt;wsp:rsid wsp:val=&quot;00412D0D&quot;/&gt;&lt;wsp:rsid wsp:val=&quot;00413004&quot;/&gt;&lt;wsp:rsid wsp:val=&quot;0041317A&quot;/&gt;&lt;wsp:rsid wsp:val=&quot;0041319A&quot;/&gt;&lt;wsp:rsid wsp:val=&quot;004135AE&quot;/&gt;&lt;wsp:rsid wsp:val=&quot;0041383A&quot;/&gt;&lt;wsp:rsid wsp:val=&quot;00413968&quot;/&gt;&lt;wsp:rsid wsp:val=&quot;0041427E&quot;/&gt;&lt;wsp:rsid wsp:val=&quot;004144D9&quot;/&gt;&lt;wsp:rsid wsp:val=&quot;0041462C&quot;/&gt;&lt;wsp:rsid wsp:val=&quot;00414B08&quot;/&gt;&lt;wsp:rsid wsp:val=&quot;00414FAD&quot;/&gt;&lt;wsp:rsid wsp:val=&quot;004152A2&quot;/&gt;&lt;wsp:rsid wsp:val=&quot;00415407&quot;/&gt;&lt;wsp:rsid wsp:val=&quot;004157B6&quot;/&gt;&lt;wsp:rsid wsp:val=&quot;0041587B&quot;/&gt;&lt;wsp:rsid wsp:val=&quot;00415987&quot;/&gt;&lt;wsp:rsid wsp:val=&quot;0041704F&quot;/&gt;&lt;wsp:rsid wsp:val=&quot;004175D8&quot;/&gt;&lt;wsp:rsid wsp:val=&quot;00417F57&quot;/&gt;&lt;wsp:rsid wsp:val=&quot;00417FE3&quot;/&gt;&lt;wsp:rsid wsp:val=&quot;00420F88&quot;/&gt;&lt;wsp:rsid wsp:val=&quot;00420FB4&quot;/&gt;&lt;wsp:rsid wsp:val=&quot;00421980&quot;/&gt;&lt;wsp:rsid wsp:val=&quot;00422056&quot;/&gt;&lt;wsp:rsid wsp:val=&quot;0042260B&quot;/&gt;&lt;wsp:rsid wsp:val=&quot;00422BB5&quot;/&gt;&lt;wsp:rsid wsp:val=&quot;00422C16&quot;/&gt;&lt;wsp:rsid wsp:val=&quot;00422D56&quot;/&gt;&lt;wsp:rsid wsp:val=&quot;00423115&quot;/&gt;&lt;wsp:rsid wsp:val=&quot;0042385B&quot;/&gt;&lt;wsp:rsid wsp:val=&quot;0042396F&quot;/&gt;&lt;wsp:rsid wsp:val=&quot;00423B57&quot;/&gt;&lt;wsp:rsid wsp:val=&quot;00423D2F&quot;/&gt;&lt;wsp:rsid wsp:val=&quot;0042475B&quot;/&gt;&lt;wsp:rsid wsp:val=&quot;00424885&quot;/&gt;&lt;wsp:rsid wsp:val=&quot;00424A56&quot;/&gt;&lt;wsp:rsid wsp:val=&quot;00424BB1&quot;/&gt;&lt;wsp:rsid wsp:val=&quot;00425A0E&quot;/&gt;&lt;wsp:rsid wsp:val=&quot;00425AF1&quot;/&gt;&lt;wsp:rsid wsp:val=&quot;00425C46&quot;/&gt;&lt;wsp:rsid wsp:val=&quot;00425C64&quot;/&gt;&lt;wsp:rsid wsp:val=&quot;00425ED8&quot;/&gt;&lt;wsp:rsid wsp:val=&quot;004263DB&quot;/&gt;&lt;wsp:rsid wsp:val=&quot;00426722&quot;/&gt;&lt;wsp:rsid wsp:val=&quot;00426793&quot;/&gt;&lt;wsp:rsid wsp:val=&quot;00426968&quot;/&gt;&lt;wsp:rsid wsp:val=&quot;00426D04&quot;/&gt;&lt;wsp:rsid wsp:val=&quot;00426D1A&quot;/&gt;&lt;wsp:rsid wsp:val=&quot;0042708E&quot;/&gt;&lt;wsp:rsid wsp:val=&quot;00427169&quot;/&gt;&lt;wsp:rsid wsp:val=&quot;004272B3&quot;/&gt;&lt;wsp:rsid wsp:val=&quot;00427360&quot;/&gt;&lt;wsp:rsid wsp:val=&quot;0042736C&quot;/&gt;&lt;wsp:rsid wsp:val=&quot;004273FC&quot;/&gt;&lt;wsp:rsid wsp:val=&quot;004277C1&quot;/&gt;&lt;wsp:rsid wsp:val=&quot;00427AE6&quot;/&gt;&lt;wsp:rsid wsp:val=&quot;00427DA8&quot;/&gt;&lt;wsp:rsid wsp:val=&quot;00427F65&quot;/&gt;&lt;wsp:rsid wsp:val=&quot;0043059C&quot;/&gt;&lt;wsp:rsid wsp:val=&quot;0043073B&quot;/&gt;&lt;wsp:rsid wsp:val=&quot;004307DF&quot;/&gt;&lt;wsp:rsid wsp:val=&quot;004309CE&quot;/&gt;&lt;wsp:rsid wsp:val=&quot;00430E8D&quot;/&gt;&lt;wsp:rsid wsp:val=&quot;00430FE8&quot;/&gt;&lt;wsp:rsid wsp:val=&quot;0043159E&quot;/&gt;&lt;wsp:rsid wsp:val=&quot;00431FFD&quot;/&gt;&lt;wsp:rsid wsp:val=&quot;004320ED&quot;/&gt;&lt;wsp:rsid wsp:val=&quot;00432299&quot;/&gt;&lt;wsp:rsid wsp:val=&quot;004325DF&quot;/&gt;&lt;wsp:rsid wsp:val=&quot;00432BF3&quot;/&gt;&lt;wsp:rsid wsp:val=&quot;0043302C&quot;/&gt;&lt;wsp:rsid wsp:val=&quot;004332F2&quot;/&gt;&lt;wsp:rsid wsp:val=&quot;00433664&quot;/&gt;&lt;wsp:rsid wsp:val=&quot;004339D8&quot;/&gt;&lt;wsp:rsid wsp:val=&quot;00433CB0&quot;/&gt;&lt;wsp:rsid wsp:val=&quot;00433DA9&quot;/&gt;&lt;wsp:rsid wsp:val=&quot;00433E05&quot;/&gt;&lt;wsp:rsid wsp:val=&quot;00434041&quot;/&gt;&lt;wsp:rsid wsp:val=&quot;00434256&quot;/&gt;&lt;wsp:rsid wsp:val=&quot;00434756&quot;/&gt;&lt;wsp:rsid wsp:val=&quot;00434AD3&quot;/&gt;&lt;wsp:rsid wsp:val=&quot;00434D96&quot;/&gt;&lt;wsp:rsid wsp:val=&quot;00435161&quot;/&gt;&lt;wsp:rsid wsp:val=&quot;004351B1&quot;/&gt;&lt;wsp:rsid wsp:val=&quot;00435391&quot;/&gt;&lt;wsp:rsid wsp:val=&quot;0043545E&quot;/&gt;&lt;wsp:rsid wsp:val=&quot;00435918&quot;/&gt;&lt;wsp:rsid wsp:val=&quot;004359BC&quot;/&gt;&lt;wsp:rsid wsp:val=&quot;00435DC9&quot;/&gt;&lt;wsp:rsid wsp:val=&quot;00436323&quot;/&gt;&lt;wsp:rsid wsp:val=&quot;00436AD9&quot;/&gt;&lt;wsp:rsid wsp:val=&quot;00436B70&quot;/&gt;&lt;wsp:rsid wsp:val=&quot;0043751D&quot;/&gt;&lt;wsp:rsid wsp:val=&quot;00437C23&quot;/&gt;&lt;wsp:rsid wsp:val=&quot;00437C27&quot;/&gt;&lt;wsp:rsid wsp:val=&quot;00437C41&quot;/&gt;&lt;wsp:rsid wsp:val=&quot;00437F7B&quot;/&gt;&lt;wsp:rsid wsp:val=&quot;00437FA1&quot;/&gt;&lt;wsp:rsid wsp:val=&quot;004401F8&quot;/&gt;&lt;wsp:rsid wsp:val=&quot;0044040B&quot;/&gt;&lt;wsp:rsid wsp:val=&quot;00440437&quot;/&gt;&lt;wsp:rsid wsp:val=&quot;004408DC&quot;/&gt;&lt;wsp:rsid wsp:val=&quot;00440FBB&quot;/&gt;&lt;wsp:rsid wsp:val=&quot;00441009&quot;/&gt;&lt;wsp:rsid wsp:val=&quot;004411F9&quot;/&gt;&lt;wsp:rsid wsp:val=&quot;004412B4&quot;/&gt;&lt;wsp:rsid wsp:val=&quot;00441D9E&quot;/&gt;&lt;wsp:rsid wsp:val=&quot;00441F03&quot;/&gt;&lt;wsp:rsid wsp:val=&quot;00442650&quot;/&gt;&lt;wsp:rsid wsp:val=&quot;004426EA&quot;/&gt;&lt;wsp:rsid wsp:val=&quot;00442757&quot;/&gt;&lt;wsp:rsid wsp:val=&quot;00442E55&quot;/&gt;&lt;wsp:rsid wsp:val=&quot;004432F0&quot;/&gt;&lt;wsp:rsid wsp:val=&quot;00443512&quot;/&gt;&lt;wsp:rsid wsp:val=&quot;00443699&quot;/&gt;&lt;wsp:rsid wsp:val=&quot;004439E7&quot;/&gt;&lt;wsp:rsid wsp:val=&quot;00444879&quot;/&gt;&lt;wsp:rsid wsp:val=&quot;004448C5&quot;/&gt;&lt;wsp:rsid wsp:val=&quot;004448DA&quot;/&gt;&lt;wsp:rsid wsp:val=&quot;00444D56&quot;/&gt;&lt;wsp:rsid wsp:val=&quot;004452EA&quot;/&gt;&lt;wsp:rsid wsp:val=&quot;00445A82&quot;/&gt;&lt;wsp:rsid wsp:val=&quot;00445F22&quot;/&gt;&lt;wsp:rsid wsp:val=&quot;004462D5&quot;/&gt;&lt;wsp:rsid wsp:val=&quot;004465EF&quot;/&gt;&lt;wsp:rsid wsp:val=&quot;004467B4&quot;/&gt;&lt;wsp:rsid wsp:val=&quot;0044696A&quot;/&gt;&lt;wsp:rsid wsp:val=&quot;00446E07&quot;/&gt;&lt;wsp:rsid wsp:val=&quot;004470A9&quot;/&gt;&lt;wsp:rsid wsp:val=&quot;00447D66&quot;/&gt;&lt;wsp:rsid wsp:val=&quot;00450010&quot;/&gt;&lt;wsp:rsid wsp:val=&quot;004507DB&quot;/&gt;&lt;wsp:rsid wsp:val=&quot;00450A8A&quot;/&gt;&lt;wsp:rsid wsp:val=&quot;00450CC1&quot;/&gt;&lt;wsp:rsid wsp:val=&quot;00450CED&quot;/&gt;&lt;wsp:rsid wsp:val=&quot;00450E63&quot;/&gt;&lt;wsp:rsid wsp:val=&quot;00450F41&quot;/&gt;&lt;wsp:rsid wsp:val=&quot;00451167&quot;/&gt;&lt;wsp:rsid wsp:val=&quot;00451466&quot;/&gt;&lt;wsp:rsid wsp:val=&quot;00451DA7&quot;/&gt;&lt;wsp:rsid wsp:val=&quot;004523D9&quot;/&gt;&lt;wsp:rsid wsp:val=&quot;004523FC&quot;/&gt;&lt;wsp:rsid wsp:val=&quot;00452764&quot;/&gt;&lt;wsp:rsid wsp:val=&quot;00452B8E&quot;/&gt;&lt;wsp:rsid wsp:val=&quot;004538EB&quot;/&gt;&lt;wsp:rsid wsp:val=&quot;0045399C&quot;/&gt;&lt;wsp:rsid wsp:val=&quot;00453B46&quot;/&gt;&lt;wsp:rsid wsp:val=&quot;00453D04&quot;/&gt;&lt;wsp:rsid wsp:val=&quot;00453EF1&quot;/&gt;&lt;wsp:rsid wsp:val=&quot;004546DB&quot;/&gt;&lt;wsp:rsid wsp:val=&quot;00454BF4&quot;/&gt;&lt;wsp:rsid wsp:val=&quot;00454DEA&quot;/&gt;&lt;wsp:rsid wsp:val=&quot;004554B7&quot;/&gt;&lt;wsp:rsid wsp:val=&quot;004559F9&quot;/&gt;&lt;wsp:rsid wsp:val=&quot;00455C34&quot;/&gt;&lt;wsp:rsid wsp:val=&quot;004560E3&quot;/&gt;&lt;wsp:rsid wsp:val=&quot;0045627C&quot;/&gt;&lt;wsp:rsid wsp:val=&quot;004570B9&quot;/&gt;&lt;wsp:rsid wsp:val=&quot;004575A4&quot;/&gt;&lt;wsp:rsid wsp:val=&quot;0045776D&quot;/&gt;&lt;wsp:rsid wsp:val=&quot;00457971&quot;/&gt;&lt;wsp:rsid wsp:val=&quot;00460125&quot;/&gt;&lt;wsp:rsid wsp:val=&quot;004603C0&quot;/&gt;&lt;wsp:rsid wsp:val=&quot;00460C91&quot;/&gt;&lt;wsp:rsid wsp:val=&quot;00460CE2&quot;/&gt;&lt;wsp:rsid wsp:val=&quot;00460F3A&quot;/&gt;&lt;wsp:rsid wsp:val=&quot;00461211&quot;/&gt;&lt;wsp:rsid wsp:val=&quot;004612EB&quot;/&gt;&lt;wsp:rsid wsp:val=&quot;0046174B&quot;/&gt;&lt;wsp:rsid wsp:val=&quot;004621F0&quot;/&gt;&lt;wsp:rsid wsp:val=&quot;004622B2&quot;/&gt;&lt;wsp:rsid wsp:val=&quot;0046334A&quot;/&gt;&lt;wsp:rsid wsp:val=&quot;00463955&quot;/&gt;&lt;wsp:rsid wsp:val=&quot;00463AF5&quot;/&gt;&lt;wsp:rsid wsp:val=&quot;00463E7E&quot;/&gt;&lt;wsp:rsid wsp:val=&quot;00463F73&quot;/&gt;&lt;wsp:rsid wsp:val=&quot;004642FC&quot;/&gt;&lt;wsp:rsid wsp:val=&quot;0046438A&quot;/&gt;&lt;wsp:rsid wsp:val=&quot;0046457C&quot;/&gt;&lt;wsp:rsid wsp:val=&quot;00464BBC&quot;/&gt;&lt;wsp:rsid wsp:val=&quot;00464EF9&quot;/&gt;&lt;wsp:rsid wsp:val=&quot;004650C0&quot;/&gt;&lt;wsp:rsid wsp:val=&quot;0046561D&quot;/&gt;&lt;wsp:rsid wsp:val=&quot;004656C2&quot;/&gt;&lt;wsp:rsid wsp:val=&quot;004657C3&quot;/&gt;&lt;wsp:rsid wsp:val=&quot;00465819&quot;/&gt;&lt;wsp:rsid wsp:val=&quot;00465831&quot;/&gt;&lt;wsp:rsid wsp:val=&quot;004658CA&quot;/&gt;&lt;wsp:rsid wsp:val=&quot;00465BF0&quot;/&gt;&lt;wsp:rsid wsp:val=&quot;00465D0C&quot;/&gt;&lt;wsp:rsid wsp:val=&quot;00465D65&quot;/&gt;&lt;wsp:rsid wsp:val=&quot;0046682A&quot;/&gt;&lt;wsp:rsid wsp:val=&quot;004668A8&quot;/&gt;&lt;wsp:rsid wsp:val=&quot;004668DC&quot;/&gt;&lt;wsp:rsid wsp:val=&quot;00466C7B&quot;/&gt;&lt;wsp:rsid wsp:val=&quot;00466CEF&quot;/&gt;&lt;wsp:rsid wsp:val=&quot;00466D60&quot;/&gt;&lt;wsp:rsid wsp:val=&quot;00467157&quot;/&gt;&lt;wsp:rsid wsp:val=&quot;00467784&quot;/&gt;&lt;wsp:rsid wsp:val=&quot;00467AA5&quot;/&gt;&lt;wsp:rsid wsp:val=&quot;00467B0E&quot;/&gt;&lt;wsp:rsid wsp:val=&quot;00467B1B&quot;/&gt;&lt;wsp:rsid wsp:val=&quot;0047053F&quot;/&gt;&lt;wsp:rsid wsp:val=&quot;00470552&quot;/&gt;&lt;wsp:rsid wsp:val=&quot;004705A2&quot;/&gt;&lt;wsp:rsid wsp:val=&quot;00470680&quot;/&gt;&lt;wsp:rsid wsp:val=&quot;0047071D&quot;/&gt;&lt;wsp:rsid wsp:val=&quot;00470BF6&quot;/&gt;&lt;wsp:rsid wsp:val=&quot;0047130F&quot;/&gt;&lt;wsp:rsid wsp:val=&quot;0047137A&quot;/&gt;&lt;wsp:rsid wsp:val=&quot;0047171F&quot;/&gt;&lt;wsp:rsid wsp:val=&quot;00471DCF&quot;/&gt;&lt;wsp:rsid wsp:val=&quot;00472059&quot;/&gt;&lt;wsp:rsid wsp:val=&quot;00472220&quot;/&gt;&lt;wsp:rsid wsp:val=&quot;004726A2&quot;/&gt;&lt;wsp:rsid wsp:val=&quot;00472845&quot;/&gt;&lt;wsp:rsid wsp:val=&quot;00472BF0&quot;/&gt;&lt;wsp:rsid wsp:val=&quot;00473427&quot;/&gt;&lt;wsp:rsid wsp:val=&quot;00474B46&quot;/&gt;&lt;wsp:rsid wsp:val=&quot;00475375&quot;/&gt;&lt;wsp:rsid wsp:val=&quot;004753B5&quot;/&gt;&lt;wsp:rsid wsp:val=&quot;00475428&quot;/&gt;&lt;wsp:rsid wsp:val=&quot;0047598C&quot;/&gt;&lt;wsp:rsid wsp:val=&quot;0047629D&quot;/&gt;&lt;wsp:rsid wsp:val=&quot;00476314&quot;/&gt;&lt;wsp:rsid wsp:val=&quot;00476E1B&quot;/&gt;&lt;wsp:rsid wsp:val=&quot;00477D13&quot;/&gt;&lt;wsp:rsid wsp:val=&quot;00477EE2&quot;/&gt;&lt;wsp:rsid wsp:val=&quot;00480196&quot;/&gt;&lt;wsp:rsid wsp:val=&quot;0048037C&quot;/&gt;&lt;wsp:rsid wsp:val=&quot;00480529&quot;/&gt;&lt;wsp:rsid wsp:val=&quot;004808AF&quot;/&gt;&lt;wsp:rsid wsp:val=&quot;00480CBF&quot;/&gt;&lt;wsp:rsid wsp:val=&quot;00481AE3&quot;/&gt;&lt;wsp:rsid wsp:val=&quot;004821A8&quot;/&gt;&lt;wsp:rsid wsp:val=&quot;00482311&quot;/&gt;&lt;wsp:rsid wsp:val=&quot;004823E4&quot;/&gt;&lt;wsp:rsid wsp:val=&quot;00482416&quot;/&gt;&lt;wsp:rsid wsp:val=&quot;004826E9&quot;/&gt;&lt;wsp:rsid wsp:val=&quot;00482E27&quot;/&gt;&lt;wsp:rsid wsp:val=&quot;00482E4F&quot;/&gt;&lt;wsp:rsid wsp:val=&quot;00483238&quot;/&gt;&lt;wsp:rsid wsp:val=&quot;00483987&quot;/&gt;&lt;wsp:rsid wsp:val=&quot;00483CC6&quot;/&gt;&lt;wsp:rsid wsp:val=&quot;00484078&quot;/&gt;&lt;wsp:rsid wsp:val=&quot;0048439E&quot;/&gt;&lt;wsp:rsid wsp:val=&quot;004849D4&quot;/&gt;&lt;wsp:rsid wsp:val=&quot;00484AA2&quot;/&gt;&lt;wsp:rsid wsp:val=&quot;00484AF7&quot;/&gt;&lt;wsp:rsid wsp:val=&quot;00484E4C&quot;/&gt;&lt;wsp:rsid wsp:val=&quot;0048591A&quot;/&gt;&lt;wsp:rsid wsp:val=&quot;00485B6A&quot;/&gt;&lt;wsp:rsid wsp:val=&quot;00485D8A&quot;/&gt;&lt;wsp:rsid wsp:val=&quot;00486070&quot;/&gt;&lt;wsp:rsid wsp:val=&quot;00486EFD&quot;/&gt;&lt;wsp:rsid wsp:val=&quot;004874D8&quot;/&gt;&lt;wsp:rsid wsp:val=&quot;0048758A&quot;/&gt;&lt;wsp:rsid wsp:val=&quot;00487710&quot;/&gt;&lt;wsp:rsid wsp:val=&quot;00487E3D&quot;/&gt;&lt;wsp:rsid wsp:val=&quot;00487EDD&quot;/&gt;&lt;wsp:rsid wsp:val=&quot;004904C4&quot;/&gt;&lt;wsp:rsid wsp:val=&quot;0049099D&quot;/&gt;&lt;wsp:rsid wsp:val=&quot;00490A11&quot;/&gt;&lt;wsp:rsid wsp:val=&quot;00490CBE&quot;/&gt;&lt;wsp:rsid wsp:val=&quot;00490EED&quot;/&gt;&lt;wsp:rsid wsp:val=&quot;0049128C&quot;/&gt;&lt;wsp:rsid wsp:val=&quot;0049139A&quot;/&gt;&lt;wsp:rsid wsp:val=&quot;00491735&quot;/&gt;&lt;wsp:rsid wsp:val=&quot;00491885&quot;/&gt;&lt;wsp:rsid wsp:val=&quot;004918B4&quot;/&gt;&lt;wsp:rsid wsp:val=&quot;004919CC&quot;/&gt;&lt;wsp:rsid wsp:val=&quot;00491C99&quot;/&gt;&lt;wsp:rsid wsp:val=&quot;00491CBC&quot;/&gt;&lt;wsp:rsid wsp:val=&quot;00491DFE&quot;/&gt;&lt;wsp:rsid wsp:val=&quot;00491EC2&quot;/&gt;&lt;wsp:rsid wsp:val=&quot;00492150&quot;/&gt;&lt;wsp:rsid wsp:val=&quot;00492211&quot;/&gt;&lt;wsp:rsid wsp:val=&quot;00492636&quot;/&gt;&lt;wsp:rsid wsp:val=&quot;004928D1&quot;/&gt;&lt;wsp:rsid wsp:val=&quot;00492C13&quot;/&gt;&lt;wsp:rsid wsp:val=&quot;00492FEC&quot;/&gt;&lt;wsp:rsid wsp:val=&quot;00493174&quot;/&gt;&lt;wsp:rsid wsp:val=&quot;0049391F&quot;/&gt;&lt;wsp:rsid wsp:val=&quot;004940B6&quot;/&gt;&lt;wsp:rsid wsp:val=&quot;004940BB&quot;/&gt;&lt;wsp:rsid wsp:val=&quot;004942C1&quot;/&gt;&lt;wsp:rsid wsp:val=&quot;00494391&quot;/&gt;&lt;wsp:rsid wsp:val=&quot;004945BD&quot;/&gt;&lt;wsp:rsid wsp:val=&quot;00494A89&quot;/&gt;&lt;wsp:rsid wsp:val=&quot;00494FDB&quot;/&gt;&lt;wsp:rsid wsp:val=&quot;00495216&quot;/&gt;&lt;wsp:rsid wsp:val=&quot;004952D7&quot;/&gt;&lt;wsp:rsid wsp:val=&quot;004952F0&quot;/&gt;&lt;wsp:rsid wsp:val=&quot;00495346&quot;/&gt;&lt;wsp:rsid wsp:val=&quot;004954F3&quot;/&gt;&lt;wsp:rsid wsp:val=&quot;004955E8&quot;/&gt;&lt;wsp:rsid wsp:val=&quot;0049561F&quot;/&gt;&lt;wsp:rsid wsp:val=&quot;00495687&quot;/&gt;&lt;wsp:rsid wsp:val=&quot;00495994&quot;/&gt;&lt;wsp:rsid wsp:val=&quot;004959FE&quot;/&gt;&lt;wsp:rsid wsp:val=&quot;00496515&quot;/&gt;&lt;wsp:rsid wsp:val=&quot;00496964&quot;/&gt;&lt;wsp:rsid wsp:val=&quot;00496D48&quot;/&gt;&lt;wsp:rsid wsp:val=&quot;00496F34&quot;/&gt;&lt;wsp:rsid wsp:val=&quot;00496FFE&quot;/&gt;&lt;wsp:rsid wsp:val=&quot;0049735F&quot;/&gt;&lt;wsp:rsid wsp:val=&quot;00497882&quot;/&gt;&lt;wsp:rsid wsp:val=&quot;00497F71&quot;/&gt;&lt;wsp:rsid wsp:val=&quot;004A0097&quot;/&gt;&lt;wsp:rsid wsp:val=&quot;004A033E&quot;/&gt;&lt;wsp:rsid wsp:val=&quot;004A08BA&quot;/&gt;&lt;wsp:rsid wsp:val=&quot;004A0C5B&quot;/&gt;&lt;wsp:rsid wsp:val=&quot;004A1C0F&quot;/&gt;&lt;wsp:rsid wsp:val=&quot;004A25EB&quot;/&gt;&lt;wsp:rsid wsp:val=&quot;004A2818&quot;/&gt;&lt;wsp:rsid wsp:val=&quot;004A2A17&quot;/&gt;&lt;wsp:rsid wsp:val=&quot;004A2B8A&quot;/&gt;&lt;wsp:rsid wsp:val=&quot;004A2CF2&quot;/&gt;&lt;wsp:rsid wsp:val=&quot;004A2E33&quot;/&gt;&lt;wsp:rsid wsp:val=&quot;004A2E48&quot;/&gt;&lt;wsp:rsid wsp:val=&quot;004A3129&quot;/&gt;&lt;wsp:rsid wsp:val=&quot;004A358F&quot;/&gt;&lt;wsp:rsid wsp:val=&quot;004A52BA&quot;/&gt;&lt;wsp:rsid wsp:val=&quot;004A564E&quot;/&gt;&lt;wsp:rsid wsp:val=&quot;004A5947&quot;/&gt;&lt;wsp:rsid wsp:val=&quot;004A5C61&quot;/&gt;&lt;wsp:rsid wsp:val=&quot;004A5D81&quot;/&gt;&lt;wsp:rsid wsp:val=&quot;004A623F&quot;/&gt;&lt;wsp:rsid wsp:val=&quot;004A657E&quot;/&gt;&lt;wsp:rsid wsp:val=&quot;004A65F9&quot;/&gt;&lt;wsp:rsid wsp:val=&quot;004A6AF1&quot;/&gt;&lt;wsp:rsid wsp:val=&quot;004A6D2A&quot;/&gt;&lt;wsp:rsid wsp:val=&quot;004A6E2E&quot;/&gt;&lt;wsp:rsid wsp:val=&quot;004A6E8A&quot;/&gt;&lt;wsp:rsid wsp:val=&quot;004A7283&quot;/&gt;&lt;wsp:rsid wsp:val=&quot;004A790F&quot;/&gt;&lt;wsp:rsid wsp:val=&quot;004A7FF2&quot;/&gt;&lt;wsp:rsid wsp:val=&quot;004B032B&quot;/&gt;&lt;wsp:rsid wsp:val=&quot;004B05B2&quot;/&gt;&lt;wsp:rsid wsp:val=&quot;004B0978&quot;/&gt;&lt;wsp:rsid wsp:val=&quot;004B0F53&quot;/&gt;&lt;wsp:rsid wsp:val=&quot;004B1308&quot;/&gt;&lt;wsp:rsid wsp:val=&quot;004B145D&quot;/&gt;&lt;wsp:rsid wsp:val=&quot;004B1D8F&quot;/&gt;&lt;wsp:rsid wsp:val=&quot;004B225B&quot;/&gt;&lt;wsp:rsid wsp:val=&quot;004B29C5&quot;/&gt;&lt;wsp:rsid wsp:val=&quot;004B2E9F&quot;/&gt;&lt;wsp:rsid wsp:val=&quot;004B41B6&quot;/&gt;&lt;wsp:rsid wsp:val=&quot;004B434E&quot;/&gt;&lt;wsp:rsid wsp:val=&quot;004B435F&quot;/&gt;&lt;wsp:rsid wsp:val=&quot;004B440D&quot;/&gt;&lt;wsp:rsid wsp:val=&quot;004B4DD8&quot;/&gt;&lt;wsp:rsid wsp:val=&quot;004B555E&quot;/&gt;&lt;wsp:rsid wsp:val=&quot;004B55CA&quot;/&gt;&lt;wsp:rsid wsp:val=&quot;004B58F2&quot;/&gt;&lt;wsp:rsid wsp:val=&quot;004B5D92&quot;/&gt;&lt;wsp:rsid wsp:val=&quot;004B5EE5&quot;/&gt;&lt;wsp:rsid wsp:val=&quot;004B61B0&quot;/&gt;&lt;wsp:rsid wsp:val=&quot;004B6219&quot;/&gt;&lt;wsp:rsid wsp:val=&quot;004B6285&quot;/&gt;&lt;wsp:rsid wsp:val=&quot;004B6679&quot;/&gt;&lt;wsp:rsid wsp:val=&quot;004B6707&quot;/&gt;&lt;wsp:rsid wsp:val=&quot;004B69EC&quot;/&gt;&lt;wsp:rsid wsp:val=&quot;004B701F&quot;/&gt;&lt;wsp:rsid wsp:val=&quot;004B7117&quot;/&gt;&lt;wsp:rsid wsp:val=&quot;004B75E3&quot;/&gt;&lt;wsp:rsid wsp:val=&quot;004B76B1&quot;/&gt;&lt;wsp:rsid wsp:val=&quot;004B7D0B&quot;/&gt;&lt;wsp:rsid wsp:val=&quot;004C01FD&quot;/&gt;&lt;wsp:rsid wsp:val=&quot;004C0369&quot;/&gt;&lt;wsp:rsid wsp:val=&quot;004C0653&quot;/&gt;&lt;wsp:rsid wsp:val=&quot;004C06AA&quot;/&gt;&lt;wsp:rsid wsp:val=&quot;004C06FB&quot;/&gt;&lt;wsp:rsid wsp:val=&quot;004C0DFC&quot;/&gt;&lt;wsp:rsid wsp:val=&quot;004C0F9C&quot;/&gt;&lt;wsp:rsid wsp:val=&quot;004C1291&quot;/&gt;&lt;wsp:rsid wsp:val=&quot;004C1ABB&quot;/&gt;&lt;wsp:rsid wsp:val=&quot;004C1B46&quot;/&gt;&lt;wsp:rsid wsp:val=&quot;004C1DA9&quot;/&gt;&lt;wsp:rsid wsp:val=&quot;004C3A6C&quot;/&gt;&lt;wsp:rsid wsp:val=&quot;004C3C5B&quot;/&gt;&lt;wsp:rsid wsp:val=&quot;004C3C82&quot;/&gt;&lt;wsp:rsid wsp:val=&quot;004C4983&quot;/&gt;&lt;wsp:rsid wsp:val=&quot;004C4C56&quot;/&gt;&lt;wsp:rsid wsp:val=&quot;004C4FFB&quot;/&gt;&lt;wsp:rsid wsp:val=&quot;004C5059&quot;/&gt;&lt;wsp:rsid wsp:val=&quot;004C50F9&quot;/&gt;&lt;wsp:rsid wsp:val=&quot;004C5131&quot;/&gt;&lt;wsp:rsid wsp:val=&quot;004C5145&quot;/&gt;&lt;wsp:rsid wsp:val=&quot;004C5B0C&quot;/&gt;&lt;wsp:rsid wsp:val=&quot;004C5F31&quot;/&gt;&lt;wsp:rsid wsp:val=&quot;004C671A&quot;/&gt;&lt;wsp:rsid wsp:val=&quot;004C6DBF&quot;/&gt;&lt;wsp:rsid wsp:val=&quot;004C742B&quot;/&gt;&lt;wsp:rsid wsp:val=&quot;004C7B92&quot;/&gt;&lt;wsp:rsid wsp:val=&quot;004C7C9F&quot;/&gt;&lt;wsp:rsid wsp:val=&quot;004D0477&quot;/&gt;&lt;wsp:rsid wsp:val=&quot;004D0579&quot;/&gt;&lt;wsp:rsid wsp:val=&quot;004D05DC&quot;/&gt;&lt;wsp:rsid wsp:val=&quot;004D09CD&quot;/&gt;&lt;wsp:rsid wsp:val=&quot;004D1078&quot;/&gt;&lt;wsp:rsid wsp:val=&quot;004D10FE&quot;/&gt;&lt;wsp:rsid wsp:val=&quot;004D13D9&quot;/&gt;&lt;wsp:rsid wsp:val=&quot;004D1557&quot;/&gt;&lt;wsp:rsid wsp:val=&quot;004D163C&quot;/&gt;&lt;wsp:rsid wsp:val=&quot;004D1C13&quot;/&gt;&lt;wsp:rsid wsp:val=&quot;004D2080&quot;/&gt;&lt;wsp:rsid wsp:val=&quot;004D250E&quot;/&gt;&lt;wsp:rsid wsp:val=&quot;004D270F&quot;/&gt;&lt;wsp:rsid wsp:val=&quot;004D2851&quot;/&gt;&lt;wsp:rsid wsp:val=&quot;004D3636&quot;/&gt;&lt;wsp:rsid wsp:val=&quot;004D377E&quot;/&gt;&lt;wsp:rsid wsp:val=&quot;004D4254&quot;/&gt;&lt;wsp:rsid wsp:val=&quot;004D4572&quot;/&gt;&lt;wsp:rsid wsp:val=&quot;004D4588&quot;/&gt;&lt;wsp:rsid wsp:val=&quot;004D4C82&quot;/&gt;&lt;wsp:rsid wsp:val=&quot;004D5273&quot;/&gt;&lt;wsp:rsid wsp:val=&quot;004D537A&quot;/&gt;&lt;wsp:rsid wsp:val=&quot;004D5863&quot;/&gt;&lt;wsp:rsid wsp:val=&quot;004D6045&quot;/&gt;&lt;wsp:rsid wsp:val=&quot;004D66D5&quot;/&gt;&lt;wsp:rsid wsp:val=&quot;004D673C&quot;/&gt;&lt;wsp:rsid wsp:val=&quot;004D6895&quot;/&gt;&lt;wsp:rsid wsp:val=&quot;004D6E47&quot;/&gt;&lt;wsp:rsid wsp:val=&quot;004D704B&quot;/&gt;&lt;wsp:rsid wsp:val=&quot;004D71E6&quot;/&gt;&lt;wsp:rsid wsp:val=&quot;004D73D8&quot;/&gt;&lt;wsp:rsid wsp:val=&quot;004D764D&quot;/&gt;&lt;wsp:rsid wsp:val=&quot;004D79AC&quot;/&gt;&lt;wsp:rsid wsp:val=&quot;004D7B97&quot;/&gt;&lt;wsp:rsid wsp:val=&quot;004D7C03&quot;/&gt;&lt;wsp:rsid wsp:val=&quot;004E000F&quot;/&gt;&lt;wsp:rsid wsp:val=&quot;004E0618&quot;/&gt;&lt;wsp:rsid wsp:val=&quot;004E0F67&quot;/&gt;&lt;wsp:rsid wsp:val=&quot;004E18D6&quot;/&gt;&lt;wsp:rsid wsp:val=&quot;004E1BB3&quot;/&gt;&lt;wsp:rsid wsp:val=&quot;004E1E6F&quot;/&gt;&lt;wsp:rsid wsp:val=&quot;004E1FC6&quot;/&gt;&lt;wsp:rsid wsp:val=&quot;004E2360&quot;/&gt;&lt;wsp:rsid wsp:val=&quot;004E2CEA&quot;/&gt;&lt;wsp:rsid wsp:val=&quot;004E31EB&quot;/&gt;&lt;wsp:rsid wsp:val=&quot;004E328B&quot;/&gt;&lt;wsp:rsid wsp:val=&quot;004E3389&quot;/&gt;&lt;wsp:rsid wsp:val=&quot;004E33AF&quot;/&gt;&lt;wsp:rsid wsp:val=&quot;004E358B&quot;/&gt;&lt;wsp:rsid wsp:val=&quot;004E4017&quot;/&gt;&lt;wsp:rsid wsp:val=&quot;004E4643&quot;/&gt;&lt;wsp:rsid wsp:val=&quot;004E4E7D&quot;/&gt;&lt;wsp:rsid wsp:val=&quot;004E527A&quot;/&gt;&lt;wsp:rsid wsp:val=&quot;004E560E&quot;/&gt;&lt;wsp:rsid wsp:val=&quot;004E5B06&quot;/&gt;&lt;wsp:rsid wsp:val=&quot;004E61F5&quot;/&gt;&lt;wsp:rsid wsp:val=&quot;004E6955&quot;/&gt;&lt;wsp:rsid wsp:val=&quot;004E7306&quot;/&gt;&lt;wsp:rsid wsp:val=&quot;004E7868&quot;/&gt;&lt;wsp:rsid wsp:val=&quot;004E7A93&quot;/&gt;&lt;wsp:rsid wsp:val=&quot;004E7F40&quot;/&gt;&lt;wsp:rsid wsp:val=&quot;004F00E9&quot;/&gt;&lt;wsp:rsid wsp:val=&quot;004F030D&quot;/&gt;&lt;wsp:rsid wsp:val=&quot;004F0342&quot;/&gt;&lt;wsp:rsid wsp:val=&quot;004F087C&quot;/&gt;&lt;wsp:rsid wsp:val=&quot;004F0E59&quot;/&gt;&lt;wsp:rsid wsp:val=&quot;004F0EA4&quot;/&gt;&lt;wsp:rsid wsp:val=&quot;004F1389&quot;/&gt;&lt;wsp:rsid wsp:val=&quot;004F141A&quot;/&gt;&lt;wsp:rsid wsp:val=&quot;004F19DE&quot;/&gt;&lt;wsp:rsid wsp:val=&quot;004F1E22&quot;/&gt;&lt;wsp:rsid wsp:val=&quot;004F1F81&quot;/&gt;&lt;wsp:rsid wsp:val=&quot;004F20DC&quot;/&gt;&lt;wsp:rsid wsp:val=&quot;004F21E6&quot;/&gt;&lt;wsp:rsid wsp:val=&quot;004F26BC&quot;/&gt;&lt;wsp:rsid wsp:val=&quot;004F2CF6&quot;/&gt;&lt;wsp:rsid wsp:val=&quot;004F341F&quot;/&gt;&lt;wsp:rsid wsp:val=&quot;004F39A8&quot;/&gt;&lt;wsp:rsid wsp:val=&quot;004F3B68&quot;/&gt;&lt;wsp:rsid wsp:val=&quot;004F3CB1&quot;/&gt;&lt;wsp:rsid wsp:val=&quot;004F3EB1&quot;/&gt;&lt;wsp:rsid wsp:val=&quot;004F4B35&quot;/&gt;&lt;wsp:rsid wsp:val=&quot;004F4D3F&quot;/&gt;&lt;wsp:rsid wsp:val=&quot;004F4FE9&quot;/&gt;&lt;wsp:rsid wsp:val=&quot;004F5095&quot;/&gt;&lt;wsp:rsid wsp:val=&quot;004F50CE&quot;/&gt;&lt;wsp:rsid wsp:val=&quot;004F53E7&quot;/&gt;&lt;wsp:rsid wsp:val=&quot;004F544B&quot;/&gt;&lt;wsp:rsid wsp:val=&quot;004F5752&quot;/&gt;&lt;wsp:rsid wsp:val=&quot;004F5A83&quot;/&gt;&lt;wsp:rsid wsp:val=&quot;004F5B67&quot;/&gt;&lt;wsp:rsid wsp:val=&quot;004F605F&quot;/&gt;&lt;wsp:rsid wsp:val=&quot;004F6428&quot;/&gt;&lt;wsp:rsid wsp:val=&quot;004F6D5F&quot;/&gt;&lt;wsp:rsid wsp:val=&quot;004F7518&quot;/&gt;&lt;wsp:rsid wsp:val=&quot;00500525&quot;/&gt;&lt;wsp:rsid wsp:val=&quot;005005E2&quot;/&gt;&lt;wsp:rsid wsp:val=&quot;005008C3&quot;/&gt;&lt;wsp:rsid wsp:val=&quot;0050090B&quot;/&gt;&lt;wsp:rsid wsp:val=&quot;00500E06&quot;/&gt;&lt;wsp:rsid wsp:val=&quot;00500F51&quot;/&gt;&lt;wsp:rsid wsp:val=&quot;0050129C&quot;/&gt;&lt;wsp:rsid wsp:val=&quot;00501655&quot;/&gt;&lt;wsp:rsid wsp:val=&quot;00502020&quot;/&gt;&lt;wsp:rsid wsp:val=&quot;005024BB&quot;/&gt;&lt;wsp:rsid wsp:val=&quot;005026DC&quot;/&gt;&lt;wsp:rsid wsp:val=&quot;00502C8D&quot;/&gt;&lt;wsp:rsid wsp:val=&quot;00502F1F&quot;/&gt;&lt;wsp:rsid wsp:val=&quot;00503745&quot;/&gt;&lt;wsp:rsid wsp:val=&quot;005038BC&quot;/&gt;&lt;wsp:rsid wsp:val=&quot;00503C54&quot;/&gt;&lt;wsp:rsid wsp:val=&quot;0050413F&quot;/&gt;&lt;wsp:rsid wsp:val=&quot;00504193&quot;/&gt;&lt;wsp:rsid wsp:val=&quot;00504917&quot;/&gt;&lt;wsp:rsid wsp:val=&quot;00504B26&quot;/&gt;&lt;wsp:rsid wsp:val=&quot;00504C21&quot;/&gt;&lt;wsp:rsid wsp:val=&quot;00504E2F&quot;/&gt;&lt;wsp:rsid wsp:val=&quot;00504EC4&quot;/&gt;&lt;wsp:rsid wsp:val=&quot;005054E7&quot;/&gt;&lt;wsp:rsid wsp:val=&quot;00505967&quot;/&gt;&lt;wsp:rsid wsp:val=&quot;00505ACC&quot;/&gt;&lt;wsp:rsid wsp:val=&quot;00505CDF&quot;/&gt;&lt;wsp:rsid wsp:val=&quot;005063D5&quot;/&gt;&lt;wsp:rsid wsp:val=&quot;0050662F&quot;/&gt;&lt;wsp:rsid wsp:val=&quot;00506EFE&quot;/&gt;&lt;wsp:rsid wsp:val=&quot;00506FAD&quot;/&gt;&lt;wsp:rsid wsp:val=&quot;0050717B&quot;/&gt;&lt;wsp:rsid wsp:val=&quot;00507184&quot;/&gt;&lt;wsp:rsid wsp:val=&quot;00507D15&quot;/&gt;&lt;wsp:rsid wsp:val=&quot;00507D5D&quot;/&gt;&lt;wsp:rsid wsp:val=&quot;0051041C&quot;/&gt;&lt;wsp:rsid wsp:val=&quot;005112CA&quot;/&gt;&lt;wsp:rsid wsp:val=&quot;00511673&quot;/&gt;&lt;wsp:rsid wsp:val=&quot;00511A60&quot;/&gt;&lt;wsp:rsid wsp:val=&quot;0051236D&quot;/&gt;&lt;wsp:rsid wsp:val=&quot;00512D7F&quot;/&gt;&lt;wsp:rsid wsp:val=&quot;00512D83&quot;/&gt;&lt;wsp:rsid wsp:val=&quot;0051377C&quot;/&gt;&lt;wsp:rsid wsp:val=&quot;005139E0&quot;/&gt;&lt;wsp:rsid wsp:val=&quot;00513B21&quot;/&gt;&lt;wsp:rsid wsp:val=&quot;00513E46&quot;/&gt;&lt;wsp:rsid wsp:val=&quot;0051431C&quot;/&gt;&lt;wsp:rsid wsp:val=&quot;00514D53&quot;/&gt;&lt;wsp:rsid wsp:val=&quot;00514D5F&quot;/&gt;&lt;wsp:rsid wsp:val=&quot;00514EC4&quot;/&gt;&lt;wsp:rsid wsp:val=&quot;0051527C&quot;/&gt;&lt;wsp:rsid wsp:val=&quot;00515420&quot;/&gt;&lt;wsp:rsid wsp:val=&quot;00515905&quot;/&gt;&lt;wsp:rsid wsp:val=&quot;00516385&quot;/&gt;&lt;wsp:rsid wsp:val=&quot;00516618&quot;/&gt;&lt;wsp:rsid wsp:val=&quot;00516F9E&quot;/&gt;&lt;wsp:rsid wsp:val=&quot;00517075&quot;/&gt;&lt;wsp:rsid wsp:val=&quot;00517094&quot;/&gt;&lt;wsp:rsid wsp:val=&quot;005171B9&quot;/&gt;&lt;wsp:rsid wsp:val=&quot;0051749B&quot;/&gt;&lt;wsp:rsid wsp:val=&quot;00517DEC&quot;/&gt;&lt;wsp:rsid wsp:val=&quot;00520091&quot;/&gt;&lt;wsp:rsid wsp:val=&quot;0052094F&quot;/&gt;&lt;wsp:rsid wsp:val=&quot;00520A72&quot;/&gt;&lt;wsp:rsid wsp:val=&quot;00520B91&quot;/&gt;&lt;wsp:rsid wsp:val=&quot;005213A6&quot;/&gt;&lt;wsp:rsid wsp:val=&quot;00522C8F&quot;/&gt;&lt;wsp:rsid wsp:val=&quot;00522D90&quot;/&gt;&lt;wsp:rsid wsp:val=&quot;005232B0&quot;/&gt;&lt;wsp:rsid wsp:val=&quot;00523A0A&quot;/&gt;&lt;wsp:rsid wsp:val=&quot;00523B03&quot;/&gt;&lt;wsp:rsid wsp:val=&quot;00523D52&quot;/&gt;&lt;wsp:rsid wsp:val=&quot;00523DEF&quot;/&gt;&lt;wsp:rsid wsp:val=&quot;00523E19&quot;/&gt;&lt;wsp:rsid wsp:val=&quot;00524973&quot;/&gt;&lt;wsp:rsid wsp:val=&quot;00524C0C&quot;/&gt;&lt;wsp:rsid wsp:val=&quot;00524C95&quot;/&gt;&lt;wsp:rsid wsp:val=&quot;00525371&quot;/&gt;&lt;wsp:rsid wsp:val=&quot;0052539A&quot;/&gt;&lt;wsp:rsid wsp:val=&quot;005255E9&quot;/&gt;&lt;wsp:rsid wsp:val=&quot;0052600F&quot;/&gt;&lt;wsp:rsid wsp:val=&quot;005260F2&quot;/&gt;&lt;wsp:rsid wsp:val=&quot;00526C2E&quot;/&gt;&lt;wsp:rsid wsp:val=&quot;00526C3C&quot;/&gt;&lt;wsp:rsid wsp:val=&quot;00527199&quot;/&gt;&lt;wsp:rsid wsp:val=&quot;005272BE&quot;/&gt;&lt;wsp:rsid wsp:val=&quot;00527927&quot;/&gt;&lt;wsp:rsid wsp:val=&quot;0052794E&quot;/&gt;&lt;wsp:rsid wsp:val=&quot;00527B7C&quot;/&gt;&lt;wsp:rsid wsp:val=&quot;0053017A&quot;/&gt;&lt;wsp:rsid wsp:val=&quot;005303A4&quot;/&gt;&lt;wsp:rsid wsp:val=&quot;00530667&quot;/&gt;&lt;wsp:rsid wsp:val=&quot;005308CB&quot;/&gt;&lt;wsp:rsid wsp:val=&quot;005308D8&quot;/&gt;&lt;wsp:rsid wsp:val=&quot;00530CB4&quot;/&gt;&lt;wsp:rsid wsp:val=&quot;0053109A&quot;/&gt;&lt;wsp:rsid wsp:val=&quot;005311FA&quot;/&gt;&lt;wsp:rsid wsp:val=&quot;005319AF&quot;/&gt;&lt;wsp:rsid wsp:val=&quot;00531A8A&quot;/&gt;&lt;wsp:rsid wsp:val=&quot;0053230D&quot;/&gt;&lt;wsp:rsid wsp:val=&quot;00532906&quot;/&gt;&lt;wsp:rsid wsp:val=&quot;005329A0&quot;/&gt;&lt;wsp:rsid wsp:val=&quot;00532A8C&quot;/&gt;&lt;wsp:rsid wsp:val=&quot;00532A90&quot;/&gt;&lt;wsp:rsid wsp:val=&quot;00532B20&quot;/&gt;&lt;wsp:rsid wsp:val=&quot;0053349E&quot;/&gt;&lt;wsp:rsid wsp:val=&quot;00533522&quot;/&gt;&lt;wsp:rsid wsp:val=&quot;00533B57&quot;/&gt;&lt;wsp:rsid wsp:val=&quot;00533D72&quot;/&gt;&lt;wsp:rsid wsp:val=&quot;0053407A&quot;/&gt;&lt;wsp:rsid wsp:val=&quot;00534662&quot;/&gt;&lt;wsp:rsid wsp:val=&quot;005348B6&quot;/&gt;&lt;wsp:rsid wsp:val=&quot;00534A7D&quot;/&gt;&lt;wsp:rsid wsp:val=&quot;00534B5E&quot;/&gt;&lt;wsp:rsid wsp:val=&quot;00534D1B&quot;/&gt;&lt;wsp:rsid wsp:val=&quot;005352E2&quot;/&gt;&lt;wsp:rsid wsp:val=&quot;00535743&quot;/&gt;&lt;wsp:rsid wsp:val=&quot;00535848&quot;/&gt;&lt;wsp:rsid wsp:val=&quot;00535CA1&quot;/&gt;&lt;wsp:rsid wsp:val=&quot;00535D48&quot;/&gt;&lt;wsp:rsid wsp:val=&quot;00535D50&quot;/&gt;&lt;wsp:rsid wsp:val=&quot;00536012&quot;/&gt;&lt;wsp:rsid wsp:val=&quot;005364D7&quot;/&gt;&lt;wsp:rsid wsp:val=&quot;00536620&quot;/&gt;&lt;wsp:rsid wsp:val=&quot;005368FF&quot;/&gt;&lt;wsp:rsid wsp:val=&quot;005369F5&quot;/&gt;&lt;wsp:rsid wsp:val=&quot;00536C26&quot;/&gt;&lt;wsp:rsid wsp:val=&quot;00536D3F&quot;/&gt;&lt;wsp:rsid wsp:val=&quot;00536E6E&quot;/&gt;&lt;wsp:rsid wsp:val=&quot;00536F61&quot;/&gt;&lt;wsp:rsid wsp:val=&quot;00536FF8&quot;/&gt;&lt;wsp:rsid wsp:val=&quot;0053744C&quot;/&gt;&lt;wsp:rsid wsp:val=&quot;00537533&quot;/&gt;&lt;wsp:rsid wsp:val=&quot;00537ADA&quot;/&gt;&lt;wsp:rsid wsp:val=&quot;005418B3&quot;/&gt;&lt;wsp:rsid wsp:val=&quot;005419FA&quot;/&gt;&lt;wsp:rsid wsp:val=&quot;00541A3F&quot;/&gt;&lt;wsp:rsid wsp:val=&quot;00541CB9&quot;/&gt;&lt;wsp:rsid wsp:val=&quot;00541D4D&quot;/&gt;&lt;wsp:rsid wsp:val=&quot;00541E9C&quot;/&gt;&lt;wsp:rsid wsp:val=&quot;00542561&quot;/&gt;&lt;wsp:rsid wsp:val=&quot;005428A4&quot;/&gt;&lt;wsp:rsid wsp:val=&quot;00542982&quot;/&gt;&lt;wsp:rsid wsp:val=&quot;00542E18&quot;/&gt;&lt;wsp:rsid wsp:val=&quot;00543226&quot;/&gt;&lt;wsp:rsid wsp:val=&quot;00543560&quot;/&gt;&lt;wsp:rsid wsp:val=&quot;00543781&quot;/&gt;&lt;wsp:rsid wsp:val=&quot;00543A2C&quot;/&gt;&lt;wsp:rsid wsp:val=&quot;00543E0A&quot;/&gt;&lt;wsp:rsid wsp:val=&quot;00543FE9&quot;/&gt;&lt;wsp:rsid wsp:val=&quot;00544235&quot;/&gt;&lt;wsp:rsid wsp:val=&quot;005443FE&quot;/&gt;&lt;wsp:rsid wsp:val=&quot;00544781&quot;/&gt;&lt;wsp:rsid wsp:val=&quot;005448DF&quot;/&gt;&lt;wsp:rsid wsp:val=&quot;00544A62&quot;/&gt;&lt;wsp:rsid wsp:val=&quot;00544D4C&quot;/&gt;&lt;wsp:rsid wsp:val=&quot;00545053&quot;/&gt;&lt;wsp:rsid wsp:val=&quot;005450D1&quot;/&gt;&lt;wsp:rsid wsp:val=&quot;00545547&quot;/&gt;&lt;wsp:rsid wsp:val=&quot;00545616&quot;/&gt;&lt;wsp:rsid wsp:val=&quot;00545635&quot;/&gt;&lt;wsp:rsid wsp:val=&quot;005456E1&quot;/&gt;&lt;wsp:rsid wsp:val=&quot;00545C73&quot;/&gt;&lt;wsp:rsid wsp:val=&quot;005463CC&quot;/&gt;&lt;wsp:rsid wsp:val=&quot;005464E1&quot;/&gt;&lt;wsp:rsid wsp:val=&quot;00546E72&quot;/&gt;&lt;wsp:rsid wsp:val=&quot;00546EBD&quot;/&gt;&lt;wsp:rsid wsp:val=&quot;00547064&quot;/&gt;&lt;wsp:rsid wsp:val=&quot;00547B80&quot;/&gt;&lt;wsp:rsid wsp:val=&quot;00547BBD&quot;/&gt;&lt;wsp:rsid wsp:val=&quot;005504DA&quot;/&gt;&lt;wsp:rsid wsp:val=&quot;005509E2&quot;/&gt;&lt;wsp:rsid wsp:val=&quot;00550B9D&quot;/&gt;&lt;wsp:rsid wsp:val=&quot;00550C97&quot;/&gt;&lt;wsp:rsid wsp:val=&quot;005510AC&quot;/&gt;&lt;wsp:rsid wsp:val=&quot;00551909&quot;/&gt;&lt;wsp:rsid wsp:val=&quot;00551A7E&quot;/&gt;&lt;wsp:rsid wsp:val=&quot;0055209F&quot;/&gt;&lt;wsp:rsid wsp:val=&quot;0055212C&quot;/&gt;&lt;wsp:rsid wsp:val=&quot;005524B0&quot;/&gt;&lt;wsp:rsid wsp:val=&quot;00552872&quot;/&gt;&lt;wsp:rsid wsp:val=&quot;00552BC1&quot;/&gt;&lt;wsp:rsid wsp:val=&quot;00552BE7&quot;/&gt;&lt;wsp:rsid wsp:val=&quot;005531DC&quot;/&gt;&lt;wsp:rsid wsp:val=&quot;00553315&quot;/&gt;&lt;wsp:rsid wsp:val=&quot;005534EF&quot;/&gt;&lt;wsp:rsid wsp:val=&quot;00553503&quot;/&gt;&lt;wsp:rsid wsp:val=&quot;00553798&quot;/&gt;&lt;wsp:rsid wsp:val=&quot;00553EA4&quot;/&gt;&lt;wsp:rsid wsp:val=&quot;005540A5&quot;/&gt;&lt;wsp:rsid wsp:val=&quot;0055413B&quot;/&gt;&lt;wsp:rsid wsp:val=&quot;0055429F&quot;/&gt;&lt;wsp:rsid wsp:val=&quot;00554392&quot;/&gt;&lt;wsp:rsid wsp:val=&quot;00554A4D&quot;/&gt;&lt;wsp:rsid wsp:val=&quot;00554E98&quot;/&gt;&lt;wsp:rsid wsp:val=&quot;00555062&quot;/&gt;&lt;wsp:rsid wsp:val=&quot;0055572C&quot;/&gt;&lt;wsp:rsid wsp:val=&quot;00556519&quot;/&gt;&lt;wsp:rsid wsp:val=&quot;005566C8&quot;/&gt;&lt;wsp:rsid wsp:val=&quot;00556BE3&quot;/&gt;&lt;wsp:rsid wsp:val=&quot;00556CB6&quot;/&gt;&lt;wsp:rsid wsp:val=&quot;005576A6&quot;/&gt;&lt;wsp:rsid wsp:val=&quot;0055787A&quot;/&gt;&lt;wsp:rsid wsp:val=&quot;00557C62&quot;/&gt;&lt;wsp:rsid wsp:val=&quot;00557E19&quot;/&gt;&lt;wsp:rsid wsp:val=&quot;00557F58&quot;/&gt;&lt;wsp:rsid wsp:val=&quot;005602E7&quot;/&gt;&lt;wsp:rsid wsp:val=&quot;005606C4&quot;/&gt;&lt;wsp:rsid wsp:val=&quot;00560D19&quot;/&gt;&lt;wsp:rsid wsp:val=&quot;00561EA2&quot;/&gt;&lt;wsp:rsid wsp:val=&quot;0056203F&quot;/&gt;&lt;wsp:rsid wsp:val=&quot;00562101&quot;/&gt;&lt;wsp:rsid wsp:val=&quot;005626C5&quot;/&gt;&lt;wsp:rsid wsp:val=&quot;00562A26&quot;/&gt;&lt;wsp:rsid wsp:val=&quot;00562C6C&quot;/&gt;&lt;wsp:rsid wsp:val=&quot;00563083&quot;/&gt;&lt;wsp:rsid wsp:val=&quot;00564105&quot;/&gt;&lt;wsp:rsid wsp:val=&quot;005642FF&quot;/&gt;&lt;wsp:rsid wsp:val=&quot;005652B6&quot;/&gt;&lt;wsp:rsid wsp:val=&quot;005659D1&quot;/&gt;&lt;wsp:rsid wsp:val=&quot;00565DA5&quot;/&gt;&lt;wsp:rsid wsp:val=&quot;005661BF&quot;/&gt;&lt;wsp:rsid wsp:val=&quot;00566248&quot;/&gt;&lt;wsp:rsid wsp:val=&quot;005667FB&quot;/&gt;&lt;wsp:rsid wsp:val=&quot;00566985&quot;/&gt;&lt;wsp:rsid wsp:val=&quot;00567218&quot;/&gt;&lt;wsp:rsid wsp:val=&quot;005676AB&quot;/&gt;&lt;wsp:rsid wsp:val=&quot;00567778&quot;/&gt;&lt;wsp:rsid wsp:val=&quot;00567782&quot;/&gt;&lt;wsp:rsid wsp:val=&quot;005677E8&quot;/&gt;&lt;wsp:rsid wsp:val=&quot;005678F4&quot;/&gt;&lt;wsp:rsid wsp:val=&quot;00567A9B&quot;/&gt;&lt;wsp:rsid wsp:val=&quot;00567C68&quot;/&gt;&lt;wsp:rsid wsp:val=&quot;00567F72&quot;/&gt;&lt;wsp:rsid wsp:val=&quot;00570222&quot;/&gt;&lt;wsp:rsid wsp:val=&quot;005703F3&quot;/&gt;&lt;wsp:rsid wsp:val=&quot;00570567&quot;/&gt;&lt;wsp:rsid wsp:val=&quot;005708E0&quot;/&gt;&lt;wsp:rsid wsp:val=&quot;005709C7&quot;/&gt;&lt;wsp:rsid wsp:val=&quot;00571297&quot;/&gt;&lt;wsp:rsid wsp:val=&quot;00571355&quot;/&gt;&lt;wsp:rsid wsp:val=&quot;0057174D&quot;/&gt;&lt;wsp:rsid wsp:val=&quot;00571A63&quot;/&gt;&lt;wsp:rsid wsp:val=&quot;0057216F&quot;/&gt;&lt;wsp:rsid wsp:val=&quot;00572170&quot;/&gt;&lt;wsp:rsid wsp:val=&quot;00572202&quot;/&gt;&lt;wsp:rsid wsp:val=&quot;00572505&quot;/&gt;&lt;wsp:rsid wsp:val=&quot;00572E8A&quot;/&gt;&lt;wsp:rsid wsp:val=&quot;00572EAA&quot;/&gt;&lt;wsp:rsid wsp:val=&quot;00572EC7&quot;/&gt;&lt;wsp:rsid wsp:val=&quot;00572FDC&quot;/&gt;&lt;wsp:rsid wsp:val=&quot;005735B5&quot;/&gt;&lt;wsp:rsid wsp:val=&quot;00573AB3&quot;/&gt;&lt;wsp:rsid wsp:val=&quot;00573BC6&quot;/&gt;&lt;wsp:rsid wsp:val=&quot;00573FD7&quot;/&gt;&lt;wsp:rsid wsp:val=&quot;00574046&quot;/&gt;&lt;wsp:rsid wsp:val=&quot;005741DE&quot;/&gt;&lt;wsp:rsid wsp:val=&quot;0057450D&quot;/&gt;&lt;wsp:rsid wsp:val=&quot;00574603&quot;/&gt;&lt;wsp:rsid wsp:val=&quot;005746A1&quot;/&gt;&lt;wsp:rsid wsp:val=&quot;0057474A&quot;/&gt;&lt;wsp:rsid wsp:val=&quot;00574DD8&quot;/&gt;&lt;wsp:rsid wsp:val=&quot;00575282&quot;/&gt;&lt;wsp:rsid wsp:val=&quot;00575784&quot;/&gt;&lt;wsp:rsid wsp:val=&quot;005758F5&quot;/&gt;&lt;wsp:rsid wsp:val=&quot;00575AB6&quot;/&gt;&lt;wsp:rsid wsp:val=&quot;005760F5&quot;/&gt;&lt;wsp:rsid wsp:val=&quot;00576322&quot;/&gt;&lt;wsp:rsid wsp:val=&quot;0057656B&quot;/&gt;&lt;wsp:rsid wsp:val=&quot;00576C46&quot;/&gt;&lt;wsp:rsid wsp:val=&quot;00576D39&quot;/&gt;&lt;wsp:rsid wsp:val=&quot;005776B8&quot;/&gt;&lt;wsp:rsid wsp:val=&quot;00577C8A&quot;/&gt;&lt;wsp:rsid wsp:val=&quot;00580043&quot;/&gt;&lt;wsp:rsid wsp:val=&quot;0058070D&quot;/&gt;&lt;wsp:rsid wsp:val=&quot;005810F0&quot;/&gt;&lt;wsp:rsid wsp:val=&quot;00581238&quot;/&gt;&lt;wsp:rsid wsp:val=&quot;005814D5&quot;/&gt;&lt;wsp:rsid wsp:val=&quot;0058200D&quot;/&gt;&lt;wsp:rsid wsp:val=&quot;00582A7C&quot;/&gt;&lt;wsp:rsid wsp:val=&quot;00582B0A&quot;/&gt;&lt;wsp:rsid wsp:val=&quot;00582B40&quot;/&gt;&lt;wsp:rsid wsp:val=&quot;00583422&quot;/&gt;&lt;wsp:rsid wsp:val=&quot;0058349F&quot;/&gt;&lt;wsp:rsid wsp:val=&quot;0058354E&quot;/&gt;&lt;wsp:rsid wsp:val=&quot;00583D5A&quot;/&gt;&lt;wsp:rsid wsp:val=&quot;00584A27&quot;/&gt;&lt;wsp:rsid wsp:val=&quot;00584DA8&quot;/&gt;&lt;wsp:rsid wsp:val=&quot;00585130&quot;/&gt;&lt;wsp:rsid wsp:val=&quot;00585520&quot;/&gt;&lt;wsp:rsid wsp:val=&quot;005860A3&quot;/&gt;&lt;wsp:rsid wsp:val=&quot;005860D7&quot;/&gt;&lt;wsp:rsid wsp:val=&quot;005862A4&quot;/&gt;&lt;wsp:rsid wsp:val=&quot;00586490&quot;/&gt;&lt;wsp:rsid wsp:val=&quot;00586492&quot;/&gt;&lt;wsp:rsid wsp:val=&quot;00586507&quot;/&gt;&lt;wsp:rsid wsp:val=&quot;00587064&quot;/&gt;&lt;wsp:rsid wsp:val=&quot;00587294&quot;/&gt;&lt;wsp:rsid wsp:val=&quot;00587981&quot;/&gt;&lt;wsp:rsid wsp:val=&quot;00587B8C&quot;/&gt;&lt;wsp:rsid wsp:val=&quot;00587D33&quot;/&gt;&lt;wsp:rsid wsp:val=&quot;00587DB0&quot;/&gt;&lt;wsp:rsid wsp:val=&quot;00587EB0&quot;/&gt;&lt;wsp:rsid wsp:val=&quot;005904F8&quot;/&gt;&lt;wsp:rsid wsp:val=&quot;0059050B&quot;/&gt;&lt;wsp:rsid wsp:val=&quot;00590645&quot;/&gt;&lt;wsp:rsid wsp:val=&quot;00590AC0&quot;/&gt;&lt;wsp:rsid wsp:val=&quot;00590F30&quot;/&gt;&lt;wsp:rsid wsp:val=&quot;00591937&quot;/&gt;&lt;wsp:rsid wsp:val=&quot;0059262A&quot;/&gt;&lt;wsp:rsid wsp:val=&quot;005928DB&quot;/&gt;&lt;wsp:rsid wsp:val=&quot;0059302D&quot;/&gt;&lt;wsp:rsid wsp:val=&quot;00593401&quot;/&gt;&lt;wsp:rsid wsp:val=&quot;00593AEF&quot;/&gt;&lt;wsp:rsid wsp:val=&quot;005941A9&quot;/&gt;&lt;wsp:rsid wsp:val=&quot;005943A1&quot;/&gt;&lt;wsp:rsid wsp:val=&quot;00594433&quot;/&gt;&lt;wsp:rsid wsp:val=&quot;00594AB5&quot;/&gt;&lt;wsp:rsid wsp:val=&quot;00594C34&quot;/&gt;&lt;wsp:rsid wsp:val=&quot;00594FE8&quot;/&gt;&lt;wsp:rsid wsp:val=&quot;00595533&quot;/&gt;&lt;wsp:rsid wsp:val=&quot;005955AA&quot;/&gt;&lt;wsp:rsid wsp:val=&quot;00595F1A&quot;/&gt;&lt;wsp:rsid wsp:val=&quot;005963E5&quot;/&gt;&lt;wsp:rsid wsp:val=&quot;005966F2&quot;/&gt;&lt;wsp:rsid wsp:val=&quot;0059693C&quot;/&gt;&lt;wsp:rsid wsp:val=&quot;00596AB3&quot;/&gt;&lt;wsp:rsid wsp:val=&quot;00596FE8&quot;/&gt;&lt;wsp:rsid wsp:val=&quot;005971B9&quot;/&gt;&lt;wsp:rsid wsp:val=&quot;005971E9&quot;/&gt;&lt;wsp:rsid wsp:val=&quot;005973A0&quot;/&gt;&lt;wsp:rsid wsp:val=&quot;005974E1&quot;/&gt;&lt;wsp:rsid wsp:val=&quot;005975B0&quot;/&gt;&lt;wsp:rsid wsp:val=&quot;00597717&quot;/&gt;&lt;wsp:rsid wsp:val=&quot;005A01AA&quot;/&gt;&lt;wsp:rsid wsp:val=&quot;005A0668&quot;/&gt;&lt;wsp:rsid wsp:val=&quot;005A1173&quot;/&gt;&lt;wsp:rsid wsp:val=&quot;005A14E3&quot;/&gt;&lt;wsp:rsid wsp:val=&quot;005A1848&quot;/&gt;&lt;wsp:rsid wsp:val=&quot;005A1BFB&quot;/&gt;&lt;wsp:rsid wsp:val=&quot;005A1D36&quot;/&gt;&lt;wsp:rsid wsp:val=&quot;005A1EBB&quot;/&gt;&lt;wsp:rsid wsp:val=&quot;005A219B&quot;/&gt;&lt;wsp:rsid wsp:val=&quot;005A236A&quot;/&gt;&lt;wsp:rsid wsp:val=&quot;005A293C&quot;/&gt;&lt;wsp:rsid wsp:val=&quot;005A294C&quot;/&gt;&lt;wsp:rsid wsp:val=&quot;005A2E17&quot;/&gt;&lt;wsp:rsid wsp:val=&quot;005A2F7C&quot;/&gt;&lt;wsp:rsid wsp:val=&quot;005A3305&quot;/&gt;&lt;wsp:rsid wsp:val=&quot;005A347B&quot;/&gt;&lt;wsp:rsid wsp:val=&quot;005A4BB1&quot;/&gt;&lt;wsp:rsid wsp:val=&quot;005A4C44&quot;/&gt;&lt;wsp:rsid wsp:val=&quot;005A59BE&quot;/&gt;&lt;wsp:rsid wsp:val=&quot;005A6121&quot;/&gt;&lt;wsp:rsid wsp:val=&quot;005A6183&quot;/&gt;&lt;wsp:rsid wsp:val=&quot;005A6E72&quot;/&gt;&lt;wsp:rsid wsp:val=&quot;005A6F8C&quot;/&gt;&lt;wsp:rsid wsp:val=&quot;005A70C7&quot;/&gt;&lt;wsp:rsid wsp:val=&quot;005A7558&quot;/&gt;&lt;wsp:rsid wsp:val=&quot;005A787B&quot;/&gt;&lt;wsp:rsid wsp:val=&quot;005A7920&quot;/&gt;&lt;wsp:rsid wsp:val=&quot;005A7CA5&quot;/&gt;&lt;wsp:rsid wsp:val=&quot;005B0455&quot;/&gt;&lt;wsp:rsid wsp:val=&quot;005B0516&quot;/&gt;&lt;wsp:rsid wsp:val=&quot;005B064B&quot;/&gt;&lt;wsp:rsid wsp:val=&quot;005B080E&quot;/&gt;&lt;wsp:rsid wsp:val=&quot;005B08C4&quot;/&gt;&lt;wsp:rsid wsp:val=&quot;005B0991&quot;/&gt;&lt;wsp:rsid wsp:val=&quot;005B14F5&quot;/&gt;&lt;wsp:rsid wsp:val=&quot;005B17FB&quot;/&gt;&lt;wsp:rsid wsp:val=&quot;005B1E89&quot;/&gt;&lt;wsp:rsid wsp:val=&quot;005B2184&quot;/&gt;&lt;wsp:rsid wsp:val=&quot;005B237A&quot;/&gt;&lt;wsp:rsid wsp:val=&quot;005B248C&quot;/&gt;&lt;wsp:rsid wsp:val=&quot;005B2AC3&quot;/&gt;&lt;wsp:rsid wsp:val=&quot;005B2C4A&quot;/&gt;&lt;wsp:rsid wsp:val=&quot;005B314A&quot;/&gt;&lt;wsp:rsid wsp:val=&quot;005B3351&quot;/&gt;&lt;wsp:rsid wsp:val=&quot;005B35C5&quot;/&gt;&lt;wsp:rsid wsp:val=&quot;005B37D5&quot;/&gt;&lt;wsp:rsid wsp:val=&quot;005B383D&quot;/&gt;&lt;wsp:rsid wsp:val=&quot;005B3B27&quot;/&gt;&lt;wsp:rsid wsp:val=&quot;005B402D&quot;/&gt;&lt;wsp:rsid wsp:val=&quot;005B41AC&quot;/&gt;&lt;wsp:rsid wsp:val=&quot;005B49D7&quot;/&gt;&lt;wsp:rsid wsp:val=&quot;005B4F09&quot;/&gt;&lt;wsp:rsid wsp:val=&quot;005B58FD&quot;/&gt;&lt;wsp:rsid wsp:val=&quot;005B6115&quot;/&gt;&lt;wsp:rsid wsp:val=&quot;005B6256&quot;/&gt;&lt;wsp:rsid wsp:val=&quot;005B640B&quot;/&gt;&lt;wsp:rsid wsp:val=&quot;005B6F17&quot;/&gt;&lt;wsp:rsid wsp:val=&quot;005B7B27&quot;/&gt;&lt;wsp:rsid wsp:val=&quot;005B7F27&quot;/&gt;&lt;wsp:rsid wsp:val=&quot;005C08D1&quot;/&gt;&lt;wsp:rsid wsp:val=&quot;005C0B25&quot;/&gt;&lt;wsp:rsid wsp:val=&quot;005C0F82&quot;/&gt;&lt;wsp:rsid wsp:val=&quot;005C18C0&quot;/&gt;&lt;wsp:rsid wsp:val=&quot;005C1BC4&quot;/&gt;&lt;wsp:rsid wsp:val=&quot;005C2CB7&quot;/&gt;&lt;wsp:rsid wsp:val=&quot;005C328D&quot;/&gt;&lt;wsp:rsid wsp:val=&quot;005C34B9&quot;/&gt;&lt;wsp:rsid wsp:val=&quot;005C370D&quot;/&gt;&lt;wsp:rsid wsp:val=&quot;005C3B46&quot;/&gt;&lt;wsp:rsid wsp:val=&quot;005C3C94&quot;/&gt;&lt;wsp:rsid wsp:val=&quot;005C41AE&quot;/&gt;&lt;wsp:rsid wsp:val=&quot;005C420F&quot;/&gt;&lt;wsp:rsid wsp:val=&quot;005C4431&quot;/&gt;&lt;wsp:rsid wsp:val=&quot;005C45E7&quot;/&gt;&lt;wsp:rsid wsp:val=&quot;005C4E26&quot;/&gt;&lt;wsp:rsid wsp:val=&quot;005C559E&quot;/&gt;&lt;wsp:rsid wsp:val=&quot;005C5CAA&quot;/&gt;&lt;wsp:rsid wsp:val=&quot;005C5E3B&quot;/&gt;&lt;wsp:rsid wsp:val=&quot;005C5F32&quot;/&gt;&lt;wsp:rsid wsp:val=&quot;005C658B&quot;/&gt;&lt;wsp:rsid wsp:val=&quot;005C6A0D&quot;/&gt;&lt;wsp:rsid wsp:val=&quot;005C6A61&quot;/&gt;&lt;wsp:rsid wsp:val=&quot;005C6AE5&quot;/&gt;&lt;wsp:rsid wsp:val=&quot;005C6C28&quot;/&gt;&lt;wsp:rsid wsp:val=&quot;005C6CAC&quot;/&gt;&lt;wsp:rsid wsp:val=&quot;005C6FFE&quot;/&gt;&lt;wsp:rsid wsp:val=&quot;005C72DD&quot;/&gt;&lt;wsp:rsid wsp:val=&quot;005C75D9&quot;/&gt;&lt;wsp:rsid wsp:val=&quot;005C7BE8&quot;/&gt;&lt;wsp:rsid wsp:val=&quot;005C7F30&quot;/&gt;&lt;wsp:rsid wsp:val=&quot;005D0161&quot;/&gt;&lt;wsp:rsid wsp:val=&quot;005D06F5&quot;/&gt;&lt;wsp:rsid wsp:val=&quot;005D0DF7&quot;/&gt;&lt;wsp:rsid wsp:val=&quot;005D1169&quot;/&gt;&lt;wsp:rsid wsp:val=&quot;005D129B&quot;/&gt;&lt;wsp:rsid wsp:val=&quot;005D137F&quot;/&gt;&lt;wsp:rsid wsp:val=&quot;005D1459&quot;/&gt;&lt;wsp:rsid wsp:val=&quot;005D1906&quot;/&gt;&lt;wsp:rsid wsp:val=&quot;005D1B80&quot;/&gt;&lt;wsp:rsid wsp:val=&quot;005D1C8E&quot;/&gt;&lt;wsp:rsid wsp:val=&quot;005D1FC4&quot;/&gt;&lt;wsp:rsid wsp:val=&quot;005D1FDB&quot;/&gt;&lt;wsp:rsid wsp:val=&quot;005D2023&quot;/&gt;&lt;wsp:rsid wsp:val=&quot;005D2374&quot;/&gt;&lt;wsp:rsid wsp:val=&quot;005D24B3&quot;/&gt;&lt;wsp:rsid wsp:val=&quot;005D264A&quot;/&gt;&lt;wsp:rsid wsp:val=&quot;005D2F67&quot;/&gt;&lt;wsp:rsid wsp:val=&quot;005D30BA&quot;/&gt;&lt;wsp:rsid wsp:val=&quot;005D3CBD&quot;/&gt;&lt;wsp:rsid wsp:val=&quot;005D42FD&quot;/&gt;&lt;wsp:rsid wsp:val=&quot;005D43C9&quot;/&gt;&lt;wsp:rsid wsp:val=&quot;005D44A3&quot;/&gt;&lt;wsp:rsid wsp:val=&quot;005D4961&quot;/&gt;&lt;wsp:rsid wsp:val=&quot;005D4A3A&quot;/&gt;&lt;wsp:rsid wsp:val=&quot;005D4DBD&quot;/&gt;&lt;wsp:rsid wsp:val=&quot;005D5749&quot;/&gt;&lt;wsp:rsid wsp:val=&quot;005D594C&quot;/&gt;&lt;wsp:rsid wsp:val=&quot;005D6191&quot;/&gt;&lt;wsp:rsid wsp:val=&quot;005D633F&quot;/&gt;&lt;wsp:rsid wsp:val=&quot;005D6389&quot;/&gt;&lt;wsp:rsid wsp:val=&quot;005D6976&quot;/&gt;&lt;wsp:rsid wsp:val=&quot;005D6CF8&quot;/&gt;&lt;wsp:rsid wsp:val=&quot;005D6D76&quot;/&gt;&lt;wsp:rsid wsp:val=&quot;005D6FD0&quot;/&gt;&lt;wsp:rsid wsp:val=&quot;005D771B&quot;/&gt;&lt;wsp:rsid wsp:val=&quot;005D7B22&quot;/&gt;&lt;wsp:rsid wsp:val=&quot;005E0863&quot;/&gt;&lt;wsp:rsid wsp:val=&quot;005E0A6B&quot;/&gt;&lt;wsp:rsid wsp:val=&quot;005E0B99&quot;/&gt;&lt;wsp:rsid wsp:val=&quot;005E14A7&quot;/&gt;&lt;wsp:rsid wsp:val=&quot;005E1736&quot;/&gt;&lt;wsp:rsid wsp:val=&quot;005E1BB1&quot;/&gt;&lt;wsp:rsid wsp:val=&quot;005E1C17&quot;/&gt;&lt;wsp:rsid wsp:val=&quot;005E204B&quot;/&gt;&lt;wsp:rsid wsp:val=&quot;005E2CA9&quot;/&gt;&lt;wsp:rsid wsp:val=&quot;005E3323&quot;/&gt;&lt;wsp:rsid wsp:val=&quot;005E3615&quot;/&gt;&lt;wsp:rsid wsp:val=&quot;005E42A4&quot;/&gt;&lt;wsp:rsid wsp:val=&quot;005E46F9&quot;/&gt;&lt;wsp:rsid wsp:val=&quot;005E522D&quot;/&gt;&lt;wsp:rsid wsp:val=&quot;005E5623&quot;/&gt;&lt;wsp:rsid wsp:val=&quot;005E576F&quot;/&gt;&lt;wsp:rsid wsp:val=&quot;005E5958&quot;/&gt;&lt;wsp:rsid wsp:val=&quot;005E595D&quot;/&gt;&lt;wsp:rsid wsp:val=&quot;005E5CB6&quot;/&gt;&lt;wsp:rsid wsp:val=&quot;005E6340&quot;/&gt;&lt;wsp:rsid wsp:val=&quot;005E6552&quot;/&gt;&lt;wsp:rsid wsp:val=&quot;005E6604&quot;/&gt;&lt;wsp:rsid wsp:val=&quot;005E67FE&quot;/&gt;&lt;wsp:rsid wsp:val=&quot;005E6B92&quot;/&gt;&lt;wsp:rsid wsp:val=&quot;005E6E4A&quot;/&gt;&lt;wsp:rsid wsp:val=&quot;005E70F7&quot;/&gt;&lt;wsp:rsid wsp:val=&quot;005E77E6&quot;/&gt;&lt;wsp:rsid wsp:val=&quot;005E7D46&quot;/&gt;&lt;wsp:rsid wsp:val=&quot;005F0AA5&quot;/&gt;&lt;wsp:rsid wsp:val=&quot;005F0C74&quot;/&gt;&lt;wsp:rsid wsp:val=&quot;005F0D8A&quot;/&gt;&lt;wsp:rsid wsp:val=&quot;005F118F&quot;/&gt;&lt;wsp:rsid wsp:val=&quot;005F14A6&quot;/&gt;&lt;wsp:rsid wsp:val=&quot;005F17A0&quot;/&gt;&lt;wsp:rsid wsp:val=&quot;005F1918&quot;/&gt;&lt;wsp:rsid wsp:val=&quot;005F19FE&quot;/&gt;&lt;wsp:rsid wsp:val=&quot;005F1C12&quot;/&gt;&lt;wsp:rsid wsp:val=&quot;005F1E27&quot;/&gt;&lt;wsp:rsid wsp:val=&quot;005F2021&quot;/&gt;&lt;wsp:rsid wsp:val=&quot;005F208D&quot;/&gt;&lt;wsp:rsid wsp:val=&quot;005F2193&quot;/&gt;&lt;wsp:rsid wsp:val=&quot;005F27FB&quot;/&gt;&lt;wsp:rsid wsp:val=&quot;005F2E5A&quot;/&gt;&lt;wsp:rsid wsp:val=&quot;005F339C&quot;/&gt;&lt;wsp:rsid wsp:val=&quot;005F33B7&quot;/&gt;&lt;wsp:rsid wsp:val=&quot;005F3406&quot;/&gt;&lt;wsp:rsid wsp:val=&quot;005F39DA&quot;/&gt;&lt;wsp:rsid wsp:val=&quot;005F3B6D&quot;/&gt;&lt;wsp:rsid wsp:val=&quot;005F3BD3&quot;/&gt;&lt;wsp:rsid wsp:val=&quot;005F45EB&quot;/&gt;&lt;wsp:rsid wsp:val=&quot;005F469B&quot;/&gt;&lt;wsp:rsid wsp:val=&quot;005F4D5C&quot;/&gt;&lt;wsp:rsid wsp:val=&quot;005F543C&quot;/&gt;&lt;wsp:rsid wsp:val=&quot;005F5823&quot;/&gt;&lt;wsp:rsid wsp:val=&quot;005F5DCD&quot;/&gt;&lt;wsp:rsid wsp:val=&quot;005F5FB8&quot;/&gt;&lt;wsp:rsid wsp:val=&quot;005F63DD&quot;/&gt;&lt;wsp:rsid wsp:val=&quot;005F6614&quot;/&gt;&lt;wsp:rsid wsp:val=&quot;005F6CB8&quot;/&gt;&lt;wsp:rsid wsp:val=&quot;005F746D&quot;/&gt;&lt;wsp:rsid wsp:val=&quot;005F75FF&quot;/&gt;&lt;wsp:rsid wsp:val=&quot;005F787D&quot;/&gt;&lt;wsp:rsid wsp:val=&quot;00600022&quot;/&gt;&lt;wsp:rsid wsp:val=&quot;006003B1&quot;/&gt;&lt;wsp:rsid wsp:val=&quot;0060088E&quot;/&gt;&lt;wsp:rsid wsp:val=&quot;00601213&quot;/&gt;&lt;wsp:rsid wsp:val=&quot;0060178D&quot;/&gt;&lt;wsp:rsid wsp:val=&quot;00601825&quot;/&gt;&lt;wsp:rsid wsp:val=&quot;00601F04&quot;/&gt;&lt;wsp:rsid wsp:val=&quot;0060217A&quot;/&gt;&lt;wsp:rsid wsp:val=&quot;006026AB&quot;/&gt;&lt;wsp:rsid wsp:val=&quot;00602745&quot;/&gt;&lt;wsp:rsid wsp:val=&quot;00602D49&quot;/&gt;&lt;wsp:rsid wsp:val=&quot;00603DF0&quot;/&gt;&lt;wsp:rsid wsp:val=&quot;00603F6F&quot;/&gt;&lt;wsp:rsid wsp:val=&quot;006040C6&quot;/&gt;&lt;wsp:rsid wsp:val=&quot;006049CB&quot;/&gt;&lt;wsp:rsid wsp:val=&quot;00605873&quot;/&gt;&lt;wsp:rsid wsp:val=&quot;0060639E&quot;/&gt;&lt;wsp:rsid wsp:val=&quot;00606620&quot;/&gt;&lt;wsp:rsid wsp:val=&quot;0060664F&quot;/&gt;&lt;wsp:rsid wsp:val=&quot;006068F0&quot;/&gt;&lt;wsp:rsid wsp:val=&quot;00606C1E&quot;/&gt;&lt;wsp:rsid wsp:val=&quot;00606DBC&quot;/&gt;&lt;wsp:rsid wsp:val=&quot;0060750E&quot;/&gt;&lt;wsp:rsid wsp:val=&quot;00607635&quot;/&gt;&lt;wsp:rsid wsp:val=&quot;006076D3&quot;/&gt;&lt;wsp:rsid wsp:val=&quot;0060798F&quot;/&gt;&lt;wsp:rsid wsp:val=&quot;00607AF8&quot;/&gt;&lt;wsp:rsid wsp:val=&quot;00607F3B&quot;/&gt;&lt;wsp:rsid wsp:val=&quot;0061002D&quot;/&gt;&lt;wsp:rsid wsp:val=&quot;006106F8&quot;/&gt;&lt;wsp:rsid wsp:val=&quot;0061090B&quot;/&gt;&lt;wsp:rsid wsp:val=&quot;00610AE0&quot;/&gt;&lt;wsp:rsid wsp:val=&quot;00610B84&quot;/&gt;&lt;wsp:rsid wsp:val=&quot;00610E25&quot;/&gt;&lt;wsp:rsid wsp:val=&quot;00611080&quot;/&gt;&lt;wsp:rsid wsp:val=&quot;0061146F&quot;/&gt;&lt;wsp:rsid wsp:val=&quot;0061160E&quot;/&gt;&lt;wsp:rsid wsp:val=&quot;00611639&quot;/&gt;&lt;wsp:rsid wsp:val=&quot;00611773&quot;/&gt;&lt;wsp:rsid wsp:val=&quot;00611AE2&quot;/&gt;&lt;wsp:rsid wsp:val=&quot;00611FC7&quot;/&gt;&lt;wsp:rsid wsp:val=&quot;006126BC&quot;/&gt;&lt;wsp:rsid wsp:val=&quot;00612776&quot;/&gt;&lt;wsp:rsid wsp:val=&quot;00613032&quot;/&gt;&lt;wsp:rsid wsp:val=&quot;00613079&quot;/&gt;&lt;wsp:rsid wsp:val=&quot;00613328&quot;/&gt;&lt;wsp:rsid wsp:val=&quot;0061352F&quot;/&gt;&lt;wsp:rsid wsp:val=&quot;00614418&quot;/&gt;&lt;wsp:rsid wsp:val=&quot;00614958&quot;/&gt;&lt;wsp:rsid wsp:val=&quot;00614AA5&quot;/&gt;&lt;wsp:rsid wsp:val=&quot;00615010&quot;/&gt;&lt;wsp:rsid wsp:val=&quot;00615105&quot;/&gt;&lt;wsp:rsid wsp:val=&quot;0061576D&quot;/&gt;&lt;wsp:rsid wsp:val=&quot;00615958&quot;/&gt;&lt;wsp:rsid wsp:val=&quot;00615A20&quot;/&gt;&lt;wsp:rsid wsp:val=&quot;00616625&quot;/&gt;&lt;wsp:rsid wsp:val=&quot;00616CB0&quot;/&gt;&lt;wsp:rsid wsp:val=&quot;006174E0&quot;/&gt;&lt;wsp:rsid wsp:val=&quot;00617EAB&quot;/&gt;&lt;wsp:rsid wsp:val=&quot;006203E0&quot;/&gt;&lt;wsp:rsid wsp:val=&quot;006204AC&quot;/&gt;&lt;wsp:rsid wsp:val=&quot;00620EBF&quot;/&gt;&lt;wsp:rsid wsp:val=&quot;0062122B&quot;/&gt;&lt;wsp:rsid wsp:val=&quot;006217B6&quot;/&gt;&lt;wsp:rsid wsp:val=&quot;00621956&quot;/&gt;&lt;wsp:rsid wsp:val=&quot;00621CEE&quot;/&gt;&lt;wsp:rsid wsp:val=&quot;006222B1&quot;/&gt;&lt;wsp:rsid wsp:val=&quot;00622BA2&quot;/&gt;&lt;wsp:rsid wsp:val=&quot;00623098&quot;/&gt;&lt;wsp:rsid wsp:val=&quot;0062325C&quot;/&gt;&lt;wsp:rsid wsp:val=&quot;00623836&quot;/&gt;&lt;wsp:rsid wsp:val=&quot;006238A4&quot;/&gt;&lt;wsp:rsid wsp:val=&quot;0062390B&quot;/&gt;&lt;wsp:rsid wsp:val=&quot;00623C7F&quot;/&gt;&lt;wsp:rsid wsp:val=&quot;0062429A&quot;/&gt;&lt;wsp:rsid wsp:val=&quot;00624351&quot;/&gt;&lt;wsp:rsid wsp:val=&quot;00624AFE&quot;/&gt;&lt;wsp:rsid wsp:val=&quot;00624F5B&quot;/&gt;&lt;wsp:rsid wsp:val=&quot;00624FE6&quot;/&gt;&lt;wsp:rsid wsp:val=&quot;0062522B&quot;/&gt;&lt;wsp:rsid wsp:val=&quot;006254C8&quot;/&gt;&lt;wsp:rsid wsp:val=&quot;00625899&quot;/&gt;&lt;wsp:rsid wsp:val=&quot;00625B56&quot;/&gt;&lt;wsp:rsid wsp:val=&quot;00625E52&quot;/&gt;&lt;wsp:rsid wsp:val=&quot;00625F08&quot;/&gt;&lt;wsp:rsid wsp:val=&quot;006260FF&quot;/&gt;&lt;wsp:rsid wsp:val=&quot;00626169&quot;/&gt;&lt;wsp:rsid wsp:val=&quot;0062616A&quot;/&gt;&lt;wsp:rsid wsp:val=&quot;006266BC&quot;/&gt;&lt;wsp:rsid wsp:val=&quot;0062673E&quot;/&gt;&lt;wsp:rsid wsp:val=&quot;006268AC&quot;/&gt;&lt;wsp:rsid wsp:val=&quot;00626CD1&quot;/&gt;&lt;wsp:rsid wsp:val=&quot;00627275&quot;/&gt;&lt;wsp:rsid wsp:val=&quot;006272F8&quot;/&gt;&lt;wsp:rsid wsp:val=&quot;00627397&quot;/&gt;&lt;wsp:rsid wsp:val=&quot;006278A0&quot;/&gt;&lt;wsp:rsid wsp:val=&quot;00627E6D&quot;/&gt;&lt;wsp:rsid wsp:val=&quot;00627F1D&quot;/&gt;&lt;wsp:rsid wsp:val=&quot;00630057&quot;/&gt;&lt;wsp:rsid wsp:val=&quot;00630100&quot;/&gt;&lt;wsp:rsid wsp:val=&quot;00630483&quot;/&gt;&lt;wsp:rsid wsp:val=&quot;006307DE&quot;/&gt;&lt;wsp:rsid wsp:val=&quot;006309F5&quot;/&gt;&lt;wsp:rsid wsp:val=&quot;00630F1A&quot;/&gt;&lt;wsp:rsid wsp:val=&quot;00630F30&quot;/&gt;&lt;wsp:rsid wsp:val=&quot;00631626&quot;/&gt;&lt;wsp:rsid wsp:val=&quot;00631674&quot;/&gt;&lt;wsp:rsid wsp:val=&quot;00631A16&quot;/&gt;&lt;wsp:rsid wsp:val=&quot;00631ACC&quot;/&gt;&lt;wsp:rsid wsp:val=&quot;00631DD4&quot;/&gt;&lt;wsp:rsid wsp:val=&quot;006321A9&quot;/&gt;&lt;wsp:rsid wsp:val=&quot;006323B8&quot;/&gt;&lt;wsp:rsid wsp:val=&quot;006324CC&quot;/&gt;&lt;wsp:rsid wsp:val=&quot;00632919&quot;/&gt;&lt;wsp:rsid wsp:val=&quot;00632F23&quot;/&gt;&lt;wsp:rsid wsp:val=&quot;00633364&quot;/&gt;&lt;wsp:rsid wsp:val=&quot;00633717&quot;/&gt;&lt;wsp:rsid wsp:val=&quot;00633854&quot;/&gt;&lt;wsp:rsid wsp:val=&quot;00633A9D&quot;/&gt;&lt;wsp:rsid wsp:val=&quot;00633B40&quot;/&gt;&lt;wsp:rsid wsp:val=&quot;00633F5B&quot;/&gt;&lt;wsp:rsid wsp:val=&quot;006345B2&quot;/&gt;&lt;wsp:rsid wsp:val=&quot;006345D4&quot;/&gt;&lt;wsp:rsid wsp:val=&quot;00634AB8&quot;/&gt;&lt;wsp:rsid wsp:val=&quot;00634F70&quot;/&gt;&lt;wsp:rsid wsp:val=&quot;006353D6&quot;/&gt;&lt;wsp:rsid wsp:val=&quot;00635480&quot;/&gt;&lt;wsp:rsid wsp:val=&quot;006356BC&quot;/&gt;&lt;wsp:rsid wsp:val=&quot;00635721&quot;/&gt;&lt;wsp:rsid wsp:val=&quot;00635A70&quot;/&gt;&lt;wsp:rsid wsp:val=&quot;00635C59&quot;/&gt;&lt;wsp:rsid wsp:val=&quot;00635E78&quot;/&gt;&lt;wsp:rsid wsp:val=&quot;00635ECA&quot;/&gt;&lt;wsp:rsid wsp:val=&quot;00636053&quot;/&gt;&lt;wsp:rsid wsp:val=&quot;006367D8&quot;/&gt;&lt;wsp:rsid wsp:val=&quot;0063695C&quot;/&gt;&lt;wsp:rsid wsp:val=&quot;006377F7&quot;/&gt;&lt;wsp:rsid wsp:val=&quot;006379FB&quot;/&gt;&lt;wsp:rsid wsp:val=&quot;00637BA5&quot;/&gt;&lt;wsp:rsid wsp:val=&quot;006400EA&quot;/&gt;&lt;wsp:rsid wsp:val=&quot;00640262&quot;/&gt;&lt;wsp:rsid wsp:val=&quot;00640BF7&quot;/&gt;&lt;wsp:rsid wsp:val=&quot;00641264&quot;/&gt;&lt;wsp:rsid wsp:val=&quot;0064171A&quot;/&gt;&lt;wsp:rsid wsp:val=&quot;00641923&quot;/&gt;&lt;wsp:rsid wsp:val=&quot;00641BB9&quot;/&gt;&lt;wsp:rsid wsp:val=&quot;00641BF2&quot;/&gt;&lt;wsp:rsid wsp:val=&quot;00641E7A&quot;/&gt;&lt;wsp:rsid wsp:val=&quot;00641FFF&quot;/&gt;&lt;wsp:rsid wsp:val=&quot;00642073&quot;/&gt;&lt;wsp:rsid wsp:val=&quot;0064236C&quot;/&gt;&lt;wsp:rsid wsp:val=&quot;006428DA&quot;/&gt;&lt;wsp:rsid wsp:val=&quot;00642BC9&quot;/&gt;&lt;wsp:rsid wsp:val=&quot;00642E51&quot;/&gt;&lt;wsp:rsid wsp:val=&quot;006445CA&quot;/&gt;&lt;wsp:rsid wsp:val=&quot;00644AF2&quot;/&gt;&lt;wsp:rsid wsp:val=&quot;00644F8C&quot;/&gt;&lt;wsp:rsid wsp:val=&quot;00645119&quot;/&gt;&lt;wsp:rsid wsp:val=&quot;00645603&quot;/&gt;&lt;wsp:rsid wsp:val=&quot;0064573D&quot;/&gt;&lt;wsp:rsid wsp:val=&quot;00646174&quot;/&gt;&lt;wsp:rsid wsp:val=&quot;006461AD&quot;/&gt;&lt;wsp:rsid wsp:val=&quot;00646649&quot;/&gt;&lt;wsp:rsid wsp:val=&quot;00647911&quot;/&gt;&lt;wsp:rsid wsp:val=&quot;0064795B&quot;/&gt;&lt;wsp:rsid wsp:val=&quot;006479A6&quot;/&gt;&lt;wsp:rsid wsp:val=&quot;00647FA2&quot;/&gt;&lt;wsp:rsid wsp:val=&quot;00650059&quot;/&gt;&lt;wsp:rsid wsp:val=&quot;006501B2&quot;/&gt;&lt;wsp:rsid wsp:val=&quot;0065075A&quot;/&gt;&lt;wsp:rsid wsp:val=&quot;00650775&quot;/&gt;&lt;wsp:rsid wsp:val=&quot;00650D27&quot;/&gt;&lt;wsp:rsid wsp:val=&quot;00651019&quot;/&gt;&lt;wsp:rsid wsp:val=&quot;0065110B&quot;/&gt;&lt;wsp:rsid wsp:val=&quot;006511DA&quot;/&gt;&lt;wsp:rsid wsp:val=&quot;006513B0&quot;/&gt;&lt;wsp:rsid wsp:val=&quot;00651537&quot;/&gt;&lt;wsp:rsid wsp:val=&quot;00651850&quot;/&gt;&lt;wsp:rsid wsp:val=&quot;006519D7&quot;/&gt;&lt;wsp:rsid wsp:val=&quot;00651C1C&quot;/&gt;&lt;wsp:rsid wsp:val=&quot;00651C99&quot;/&gt;&lt;wsp:rsid wsp:val=&quot;00651CFF&quot;/&gt;&lt;wsp:rsid wsp:val=&quot;00651D91&quot;/&gt;&lt;wsp:rsid wsp:val=&quot;00652112&quot;/&gt;&lt;wsp:rsid wsp:val=&quot;0065215A&quot;/&gt;&lt;wsp:rsid wsp:val=&quot;006522EF&quot;/&gt;&lt;wsp:rsid wsp:val=&quot;006524FD&quot;/&gt;&lt;wsp:rsid wsp:val=&quot;0065253D&quot;/&gt;&lt;wsp:rsid wsp:val=&quot;006527CD&quot;/&gt;&lt;wsp:rsid wsp:val=&quot;00652926&quot;/&gt;&lt;wsp:rsid wsp:val=&quot;00652F11&quot;/&gt;&lt;wsp:rsid wsp:val=&quot;0065381F&quot;/&gt;&lt;wsp:rsid wsp:val=&quot;00653A42&quot;/&gt;&lt;wsp:rsid wsp:val=&quot;00653B69&quot;/&gt;&lt;wsp:rsid wsp:val=&quot;00653F61&quot;/&gt;&lt;wsp:rsid wsp:val=&quot;00654C40&quot;/&gt;&lt;wsp:rsid wsp:val=&quot;006550E7&quot;/&gt;&lt;wsp:rsid wsp:val=&quot;0065518C&quot;/&gt;&lt;wsp:rsid wsp:val=&quot;00655329&quot;/&gt;&lt;wsp:rsid wsp:val=&quot;00655713&quot;/&gt;&lt;wsp:rsid wsp:val=&quot;00655AB9&quot;/&gt;&lt;wsp:rsid wsp:val=&quot;00656160&quot;/&gt;&lt;wsp:rsid wsp:val=&quot;006564BF&quot;/&gt;&lt;wsp:rsid wsp:val=&quot;0065653C&quot;/&gt;&lt;wsp:rsid wsp:val=&quot;006568BB&quot;/&gt;&lt;wsp:rsid wsp:val=&quot;00656C0C&quot;/&gt;&lt;wsp:rsid wsp:val=&quot;00656C41&quot;/&gt;&lt;wsp:rsid wsp:val=&quot;00656DD0&quot;/&gt;&lt;wsp:rsid wsp:val=&quot;00656F60&quot;/&gt;&lt;wsp:rsid wsp:val=&quot;006572EB&quot;/&gt;&lt;wsp:rsid wsp:val=&quot;006572EE&quot;/&gt;&lt;wsp:rsid wsp:val=&quot;0065754F&quot;/&gt;&lt;wsp:rsid wsp:val=&quot;00657B4B&quot;/&gt;&lt;wsp:rsid wsp:val=&quot;00657C2E&quot;/&gt;&lt;wsp:rsid wsp:val=&quot;0066040A&quot;/&gt;&lt;wsp:rsid wsp:val=&quot;006612E3&quot;/&gt;&lt;wsp:rsid wsp:val=&quot;00661396&quot;/&gt;&lt;wsp:rsid wsp:val=&quot;00661656&quot;/&gt;&lt;wsp:rsid wsp:val=&quot;006616BB&quot;/&gt;&lt;wsp:rsid wsp:val=&quot;0066185F&quot;/&gt;&lt;wsp:rsid wsp:val=&quot;00661876&quot;/&gt;&lt;wsp:rsid wsp:val=&quot;006619F6&quot;/&gt;&lt;wsp:rsid wsp:val=&quot;00661A27&quot;/&gt;&lt;wsp:rsid wsp:val=&quot;00661A2D&quot;/&gt;&lt;wsp:rsid wsp:val=&quot;00661B76&quot;/&gt;&lt;wsp:rsid wsp:val=&quot;00661E49&quot;/&gt;&lt;wsp:rsid wsp:val=&quot;006620C1&quot;/&gt;&lt;wsp:rsid wsp:val=&quot;006620C2&quot;/&gt;&lt;wsp:rsid wsp:val=&quot;00662520&quot;/&gt;&lt;wsp:rsid wsp:val=&quot;006629AF&quot;/&gt;&lt;wsp:rsid wsp:val=&quot;00662DE2&quot;/&gt;&lt;wsp:rsid wsp:val=&quot;006631C5&quot;/&gt;&lt;wsp:rsid wsp:val=&quot;006631E6&quot;/&gt;&lt;wsp:rsid wsp:val=&quot;0066343C&quot;/&gt;&lt;wsp:rsid wsp:val=&quot;006634D2&quot;/&gt;&lt;wsp:rsid wsp:val=&quot;00663708&quot;/&gt;&lt;wsp:rsid wsp:val=&quot;00663C48&quot;/&gt;&lt;wsp:rsid wsp:val=&quot;00663FD9&quot;/&gt;&lt;wsp:rsid wsp:val=&quot;00664B08&quot;/&gt;&lt;wsp:rsid wsp:val=&quot;00665147&quot;/&gt;&lt;wsp:rsid wsp:val=&quot;00665890&quot;/&gt;&lt;wsp:rsid wsp:val=&quot;00665E0F&quot;/&gt;&lt;wsp:rsid wsp:val=&quot;006661B6&quot;/&gt;&lt;wsp:rsid wsp:val=&quot;00666443&quot;/&gt;&lt;wsp:rsid wsp:val=&quot;00667334&quot;/&gt;&lt;wsp:rsid wsp:val=&quot;00667DD7&quot;/&gt;&lt;wsp:rsid wsp:val=&quot;00667E22&quot;/&gt;&lt;wsp:rsid wsp:val=&quot;00670365&quot;/&gt;&lt;wsp:rsid wsp:val=&quot;00670647&quot;/&gt;&lt;wsp:rsid wsp:val=&quot;0067077C&quot;/&gt;&lt;wsp:rsid wsp:val=&quot;006707A6&quot;/&gt;&lt;wsp:rsid wsp:val=&quot;006709BD&quot;/&gt;&lt;wsp:rsid wsp:val=&quot;00670D86&quot;/&gt;&lt;wsp:rsid wsp:val=&quot;00670E40&quot;/&gt;&lt;wsp:rsid wsp:val=&quot;00670F7E&quot;/&gt;&lt;wsp:rsid wsp:val=&quot;006715F9&quot;/&gt;&lt;wsp:rsid wsp:val=&quot;00671CA5&quot;/&gt;&lt;wsp:rsid wsp:val=&quot;00671D3A&quot;/&gt;&lt;wsp:rsid wsp:val=&quot;006720C0&quot;/&gt;&lt;wsp:rsid wsp:val=&quot;00672B26&quot;/&gt;&lt;wsp:rsid wsp:val=&quot;006735C2&quot;/&gt;&lt;wsp:rsid wsp:val=&quot;00673A61&quot;/&gt;&lt;wsp:rsid wsp:val=&quot;00673B23&quot;/&gt;&lt;wsp:rsid wsp:val=&quot;00673BC0&quot;/&gt;&lt;wsp:rsid wsp:val=&quot;00673C64&quot;/&gt;&lt;wsp:rsid wsp:val=&quot;00673C85&quot;/&gt;&lt;wsp:rsid wsp:val=&quot;00673C99&quot;/&gt;&lt;wsp:rsid wsp:val=&quot;00673CA4&quot;/&gt;&lt;wsp:rsid wsp:val=&quot;00673D0D&quot;/&gt;&lt;wsp:rsid wsp:val=&quot;006746C2&quot;/&gt;&lt;wsp:rsid wsp:val=&quot;006748DF&quot;/&gt;&lt;wsp:rsid wsp:val=&quot;00674ED7&quot;/&gt;&lt;wsp:rsid wsp:val=&quot;00675021&quot;/&gt;&lt;wsp:rsid wsp:val=&quot;00675A2C&quot;/&gt;&lt;wsp:rsid wsp:val=&quot;00675B87&quot;/&gt;&lt;wsp:rsid wsp:val=&quot;00675C10&quot;/&gt;&lt;wsp:rsid wsp:val=&quot;006764A5&quot;/&gt;&lt;wsp:rsid wsp:val=&quot;006768C4&quot;/&gt;&lt;wsp:rsid wsp:val=&quot;006769AE&quot;/&gt;&lt;wsp:rsid wsp:val=&quot;00677720&quot;/&gt;&lt;wsp:rsid wsp:val=&quot;00677D3B&quot;/&gt;&lt;wsp:rsid wsp:val=&quot;00677DE3&quot;/&gt;&lt;wsp:rsid wsp:val=&quot;00677E79&quot;/&gt;&lt;wsp:rsid wsp:val=&quot;00680499&quot;/&gt;&lt;wsp:rsid wsp:val=&quot;0068057A&quot;/&gt;&lt;wsp:rsid wsp:val=&quot;00680AC8&quot;/&gt;&lt;wsp:rsid wsp:val=&quot;00680E26&quot;/&gt;&lt;wsp:rsid wsp:val=&quot;006810D0&quot;/&gt;&lt;wsp:rsid wsp:val=&quot;00681297&quot;/&gt;&lt;wsp:rsid wsp:val=&quot;006812F7&quot;/&gt;&lt;wsp:rsid wsp:val=&quot;0068192C&quot;/&gt;&lt;wsp:rsid wsp:val=&quot;006820C2&quot;/&gt;&lt;wsp:rsid wsp:val=&quot;006824B6&quot;/&gt;&lt;wsp:rsid wsp:val=&quot;00682581&quot;/&gt;&lt;wsp:rsid wsp:val=&quot;006825F9&quot;/&gt;&lt;wsp:rsid wsp:val=&quot;0068282E&quot;/&gt;&lt;wsp:rsid wsp:val=&quot;00682AAB&quot;/&gt;&lt;wsp:rsid wsp:val=&quot;00682EB9&quot;/&gt;&lt;wsp:rsid wsp:val=&quot;00682EC0&quot;/&gt;&lt;wsp:rsid wsp:val=&quot;00682FD9&quot;/&gt;&lt;wsp:rsid wsp:val=&quot;006830BB&quot;/&gt;&lt;wsp:rsid wsp:val=&quot;0068347B&quot;/&gt;&lt;wsp:rsid wsp:val=&quot;006838C8&quot;/&gt;&lt;wsp:rsid wsp:val=&quot;00683F23&quot;/&gt;&lt;wsp:rsid wsp:val=&quot;006847BF&quot;/&gt;&lt;wsp:rsid wsp:val=&quot;00684936&quot;/&gt;&lt;wsp:rsid wsp:val=&quot;0068524E&quot;/&gt;&lt;wsp:rsid wsp:val=&quot;00685288&quot;/&gt;&lt;wsp:rsid wsp:val=&quot;006852F9&quot;/&gt;&lt;wsp:rsid wsp:val=&quot;00685624&quot;/&gt;&lt;wsp:rsid wsp:val=&quot;006856D7&quot;/&gt;&lt;wsp:rsid wsp:val=&quot;006868B5&quot;/&gt;&lt;wsp:rsid wsp:val=&quot;006868E8&quot;/&gt;&lt;wsp:rsid wsp:val=&quot;00686D42&quot;/&gt;&lt;wsp:rsid wsp:val=&quot;00686D9A&quot;/&gt;&lt;wsp:rsid wsp:val=&quot;00686F2E&quot;/&gt;&lt;wsp:rsid wsp:val=&quot;00687E4D&quot;/&gt;&lt;wsp:rsid wsp:val=&quot;00690397&quot;/&gt;&lt;wsp:rsid wsp:val=&quot;006903E9&quot;/&gt;&lt;wsp:rsid wsp:val=&quot;006908B7&quot;/&gt;&lt;wsp:rsid wsp:val=&quot;00690A5C&quot;/&gt;&lt;wsp:rsid wsp:val=&quot;00691134&quot;/&gt;&lt;wsp:rsid wsp:val=&quot;0069185A&quot;/&gt;&lt;wsp:rsid wsp:val=&quot;00691880&quot;/&gt;&lt;wsp:rsid wsp:val=&quot;00691998&quot;/&gt;&lt;wsp:rsid wsp:val=&quot;00691BCC&quot;/&gt;&lt;wsp:rsid wsp:val=&quot;00691D15&quot;/&gt;&lt;wsp:rsid wsp:val=&quot;00691E38&quot;/&gt;&lt;wsp:rsid wsp:val=&quot;00692158&quot;/&gt;&lt;wsp:rsid wsp:val=&quot;006923A0&quot;/&gt;&lt;wsp:rsid wsp:val=&quot;00692659&quot;/&gt;&lt;wsp:rsid wsp:val=&quot;00692887&quot;/&gt;&lt;wsp:rsid wsp:val=&quot;00692CD1&quot;/&gt;&lt;wsp:rsid wsp:val=&quot;0069330D&quot;/&gt;&lt;wsp:rsid wsp:val=&quot;00693674&quot;/&gt;&lt;wsp:rsid wsp:val=&quot;00693B5D&quot;/&gt;&lt;wsp:rsid wsp:val=&quot;00694354&quot;/&gt;&lt;wsp:rsid wsp:val=&quot;0069436A&quot;/&gt;&lt;wsp:rsid wsp:val=&quot;006945D9&quot;/&gt;&lt;wsp:rsid wsp:val=&quot;006946CE&quot;/&gt;&lt;wsp:rsid wsp:val=&quot;0069472F&quot;/&gt;&lt;wsp:rsid wsp:val=&quot;00694887&quot;/&gt;&lt;wsp:rsid wsp:val=&quot;00694A28&quot;/&gt;&lt;wsp:rsid wsp:val=&quot;00694B46&quot;/&gt;&lt;wsp:rsid wsp:val=&quot;00695C97&quot;/&gt;&lt;wsp:rsid wsp:val=&quot;00696C38&quot;/&gt;&lt;wsp:rsid wsp:val=&quot;0069716A&quot;/&gt;&lt;wsp:rsid wsp:val=&quot;006971C5&quot;/&gt;&lt;wsp:rsid wsp:val=&quot;0069725D&quot;/&gt;&lt;wsp:rsid wsp:val=&quot;00697721&quot;/&gt;&lt;wsp:rsid wsp:val=&quot;00697BA0&quot;/&gt;&lt;wsp:rsid wsp:val=&quot;00697C70&quot;/&gt;&lt;wsp:rsid wsp:val=&quot;00697E3B&quot;/&gt;&lt;wsp:rsid wsp:val=&quot;006A0054&quot;/&gt;&lt;wsp:rsid wsp:val=&quot;006A016A&quot;/&gt;&lt;wsp:rsid wsp:val=&quot;006A08A8&quot;/&gt;&lt;wsp:rsid wsp:val=&quot;006A0A08&quot;/&gt;&lt;wsp:rsid wsp:val=&quot;006A0ACA&quot;/&gt;&lt;wsp:rsid wsp:val=&quot;006A0BDF&quot;/&gt;&lt;wsp:rsid wsp:val=&quot;006A1414&quot;/&gt;&lt;wsp:rsid wsp:val=&quot;006A149F&quot;/&gt;&lt;wsp:rsid wsp:val=&quot;006A1FF2&quot;/&gt;&lt;wsp:rsid wsp:val=&quot;006A21A6&quot;/&gt;&lt;wsp:rsid wsp:val=&quot;006A21C7&quot;/&gt;&lt;wsp:rsid wsp:val=&quot;006A23FF&quot;/&gt;&lt;wsp:rsid wsp:val=&quot;006A29E8&quot;/&gt;&lt;wsp:rsid wsp:val=&quot;006A2DD9&quot;/&gt;&lt;wsp:rsid wsp:val=&quot;006A3480&quot;/&gt;&lt;wsp:rsid wsp:val=&quot;006A36AF&quot;/&gt;&lt;wsp:rsid wsp:val=&quot;006A3C93&quot;/&gt;&lt;wsp:rsid wsp:val=&quot;006A3CCD&quot;/&gt;&lt;wsp:rsid wsp:val=&quot;006A3DF4&quot;/&gt;&lt;wsp:rsid wsp:val=&quot;006A445A&quot;/&gt;&lt;wsp:rsid wsp:val=&quot;006A4509&quot;/&gt;&lt;wsp:rsid wsp:val=&quot;006A487D&quot;/&gt;&lt;wsp:rsid wsp:val=&quot;006A4D60&quot;/&gt;&lt;wsp:rsid wsp:val=&quot;006A5960&quot;/&gt;&lt;wsp:rsid wsp:val=&quot;006A5C72&quot;/&gt;&lt;wsp:rsid wsp:val=&quot;006A5DB7&quot;/&gt;&lt;wsp:rsid wsp:val=&quot;006A5EB6&quot;/&gt;&lt;wsp:rsid wsp:val=&quot;006A61E7&quot;/&gt;&lt;wsp:rsid wsp:val=&quot;006A6408&quot;/&gt;&lt;wsp:rsid wsp:val=&quot;006A6465&quot;/&gt;&lt;wsp:rsid wsp:val=&quot;006A6B67&quot;/&gt;&lt;wsp:rsid wsp:val=&quot;006A6BEA&quot;/&gt;&lt;wsp:rsid wsp:val=&quot;006A6F1D&quot;/&gt;&lt;wsp:rsid wsp:val=&quot;006A70E9&quot;/&gt;&lt;wsp:rsid wsp:val=&quot;006A71F3&quot;/&gt;&lt;wsp:rsid wsp:val=&quot;006A7813&quot;/&gt;&lt;wsp:rsid wsp:val=&quot;006A79DD&quot;/&gt;&lt;wsp:rsid wsp:val=&quot;006A7CD4&quot;/&gt;&lt;wsp:rsid wsp:val=&quot;006A7EED&quot;/&gt;&lt;wsp:rsid wsp:val=&quot;006B022A&quot;/&gt;&lt;wsp:rsid wsp:val=&quot;006B0304&quot;/&gt;&lt;wsp:rsid wsp:val=&quot;006B035B&quot;/&gt;&lt;wsp:rsid wsp:val=&quot;006B057E&quot;/&gt;&lt;wsp:rsid wsp:val=&quot;006B071E&quot;/&gt;&lt;wsp:rsid wsp:val=&quot;006B0C4E&quot;/&gt;&lt;wsp:rsid wsp:val=&quot;006B0EEB&quot;/&gt;&lt;wsp:rsid wsp:val=&quot;006B11E3&quot;/&gt;&lt;wsp:rsid wsp:val=&quot;006B14DF&quot;/&gt;&lt;wsp:rsid wsp:val=&quot;006B155E&quot;/&gt;&lt;wsp:rsid wsp:val=&quot;006B1C89&quot;/&gt;&lt;wsp:rsid wsp:val=&quot;006B27F3&quot;/&gt;&lt;wsp:rsid wsp:val=&quot;006B299B&quot;/&gt;&lt;wsp:rsid wsp:val=&quot;006B2DCB&quot;/&gt;&lt;wsp:rsid wsp:val=&quot;006B31E9&quot;/&gt;&lt;wsp:rsid wsp:val=&quot;006B3308&quot;/&gt;&lt;wsp:rsid wsp:val=&quot;006B3A82&quot;/&gt;&lt;wsp:rsid wsp:val=&quot;006B4581&quot;/&gt;&lt;wsp:rsid wsp:val=&quot;006B4C4D&quot;/&gt;&lt;wsp:rsid wsp:val=&quot;006B507D&quot;/&gt;&lt;wsp:rsid wsp:val=&quot;006B5198&quot;/&gt;&lt;wsp:rsid wsp:val=&quot;006B550A&quot;/&gt;&lt;wsp:rsid wsp:val=&quot;006B5554&quot;/&gt;&lt;wsp:rsid wsp:val=&quot;006B581E&quot;/&gt;&lt;wsp:rsid wsp:val=&quot;006B625E&quot;/&gt;&lt;wsp:rsid wsp:val=&quot;006B6323&quot;/&gt;&lt;wsp:rsid wsp:val=&quot;006B66D2&quot;/&gt;&lt;wsp:rsid wsp:val=&quot;006B6A1C&quot;/&gt;&lt;wsp:rsid wsp:val=&quot;006B6A3F&quot;/&gt;&lt;wsp:rsid wsp:val=&quot;006B713A&quot;/&gt;&lt;wsp:rsid wsp:val=&quot;006B7200&quot;/&gt;&lt;wsp:rsid wsp:val=&quot;006B7571&quot;/&gt;&lt;wsp:rsid wsp:val=&quot;006B7F1D&quot;/&gt;&lt;wsp:rsid wsp:val=&quot;006C0318&quot;/&gt;&lt;wsp:rsid wsp:val=&quot;006C056A&quot;/&gt;&lt;wsp:rsid wsp:val=&quot;006C0A8E&quot;/&gt;&lt;wsp:rsid wsp:val=&quot;006C1745&quot;/&gt;&lt;wsp:rsid wsp:val=&quot;006C1A0F&quot;/&gt;&lt;wsp:rsid wsp:val=&quot;006C1BED&quot;/&gt;&lt;wsp:rsid wsp:val=&quot;006C1EC1&quot;/&gt;&lt;wsp:rsid wsp:val=&quot;006C2556&quot;/&gt;&lt;wsp:rsid wsp:val=&quot;006C2AA6&quot;/&gt;&lt;wsp:rsid wsp:val=&quot;006C30CA&quot;/&gt;&lt;wsp:rsid wsp:val=&quot;006C3133&quot;/&gt;&lt;wsp:rsid wsp:val=&quot;006C3950&quot;/&gt;&lt;wsp:rsid wsp:val=&quot;006C3C0C&quot;/&gt;&lt;wsp:rsid wsp:val=&quot;006C3CE3&quot;/&gt;&lt;wsp:rsid wsp:val=&quot;006C3F9D&quot;/&gt;&lt;wsp:rsid wsp:val=&quot;006C40E6&quot;/&gt;&lt;wsp:rsid wsp:val=&quot;006C4346&quot;/&gt;&lt;wsp:rsid wsp:val=&quot;006C4834&quot;/&gt;&lt;wsp:rsid wsp:val=&quot;006C49B3&quot;/&gt;&lt;wsp:rsid wsp:val=&quot;006C4BBD&quot;/&gt;&lt;wsp:rsid wsp:val=&quot;006C50C4&quot;/&gt;&lt;wsp:rsid wsp:val=&quot;006C5269&quot;/&gt;&lt;wsp:rsid wsp:val=&quot;006C52D6&quot;/&gt;&lt;wsp:rsid wsp:val=&quot;006C5530&quot;/&gt;&lt;wsp:rsid wsp:val=&quot;006C5569&quot;/&gt;&lt;wsp:rsid wsp:val=&quot;006C5583&quot;/&gt;&lt;wsp:rsid wsp:val=&quot;006C5932&quot;/&gt;&lt;wsp:rsid wsp:val=&quot;006C5964&quot;/&gt;&lt;wsp:rsid wsp:val=&quot;006C5A1D&quot;/&gt;&lt;wsp:rsid wsp:val=&quot;006C5F60&quot;/&gt;&lt;wsp:rsid wsp:val=&quot;006C6254&quot;/&gt;&lt;wsp:rsid wsp:val=&quot;006C6307&quot;/&gt;&lt;wsp:rsid wsp:val=&quot;006C633E&quot;/&gt;&lt;wsp:rsid wsp:val=&quot;006C66B5&quot;/&gt;&lt;wsp:rsid wsp:val=&quot;006C694A&quot;/&gt;&lt;wsp:rsid wsp:val=&quot;006C6C6D&quot;/&gt;&lt;wsp:rsid wsp:val=&quot;006C6E03&quot;/&gt;&lt;wsp:rsid wsp:val=&quot;006C7B1C&quot;/&gt;&lt;wsp:rsid wsp:val=&quot;006C7C21&quot;/&gt;&lt;wsp:rsid wsp:val=&quot;006C7C95&quot;/&gt;&lt;wsp:rsid wsp:val=&quot;006C7CA8&quot;/&gt;&lt;wsp:rsid wsp:val=&quot;006D026F&quot;/&gt;&lt;wsp:rsid wsp:val=&quot;006D0289&quot;/&gt;&lt;wsp:rsid wsp:val=&quot;006D0436&quot;/&gt;&lt;wsp:rsid wsp:val=&quot;006D0666&quot;/&gt;&lt;wsp:rsid wsp:val=&quot;006D0D51&quot;/&gt;&lt;wsp:rsid wsp:val=&quot;006D0DFE&quot;/&gt;&lt;wsp:rsid wsp:val=&quot;006D0E79&quot;/&gt;&lt;wsp:rsid wsp:val=&quot;006D1381&quot;/&gt;&lt;wsp:rsid wsp:val=&quot;006D15D4&quot;/&gt;&lt;wsp:rsid wsp:val=&quot;006D200F&quot;/&gt;&lt;wsp:rsid wsp:val=&quot;006D243F&quot;/&gt;&lt;wsp:rsid wsp:val=&quot;006D2ACA&quot;/&gt;&lt;wsp:rsid wsp:val=&quot;006D2D11&quot;/&gt;&lt;wsp:rsid wsp:val=&quot;006D2F98&quot;/&gt;&lt;wsp:rsid wsp:val=&quot;006D3723&quot;/&gt;&lt;wsp:rsid wsp:val=&quot;006D37DD&quot;/&gt;&lt;wsp:rsid wsp:val=&quot;006D3883&quot;/&gt;&lt;wsp:rsid wsp:val=&quot;006D3BF5&quot;/&gt;&lt;wsp:rsid wsp:val=&quot;006D3F06&quot;/&gt;&lt;wsp:rsid wsp:val=&quot;006D3F78&quot;/&gt;&lt;wsp:rsid wsp:val=&quot;006D40DB&quot;/&gt;&lt;wsp:rsid wsp:val=&quot;006D51DC&quot;/&gt;&lt;wsp:rsid wsp:val=&quot;006D5804&quot;/&gt;&lt;wsp:rsid wsp:val=&quot;006D58E0&quot;/&gt;&lt;wsp:rsid wsp:val=&quot;006D5B6A&quot;/&gt;&lt;wsp:rsid wsp:val=&quot;006D5D15&quot;/&gt;&lt;wsp:rsid wsp:val=&quot;006D6276&quot;/&gt;&lt;wsp:rsid wsp:val=&quot;006D637C&quot;/&gt;&lt;wsp:rsid wsp:val=&quot;006D67C8&quot;/&gt;&lt;wsp:rsid wsp:val=&quot;006D6909&quot;/&gt;&lt;wsp:rsid wsp:val=&quot;006D6A93&quot;/&gt;&lt;wsp:rsid wsp:val=&quot;006D7385&quot;/&gt;&lt;wsp:rsid wsp:val=&quot;006D76BA&quot;/&gt;&lt;wsp:rsid wsp:val=&quot;006D79BE&quot;/&gt;&lt;wsp:rsid wsp:val=&quot;006D7A1A&quot;/&gt;&lt;wsp:rsid wsp:val=&quot;006D7CE3&quot;/&gt;&lt;wsp:rsid wsp:val=&quot;006E033D&quot;/&gt;&lt;wsp:rsid wsp:val=&quot;006E057F&quot;/&gt;&lt;wsp:rsid wsp:val=&quot;006E0855&quot;/&gt;&lt;wsp:rsid wsp:val=&quot;006E0F3D&quot;/&gt;&lt;wsp:rsid wsp:val=&quot;006E141F&quot;/&gt;&lt;wsp:rsid wsp:val=&quot;006E160C&quot;/&gt;&lt;wsp:rsid wsp:val=&quot;006E1765&quot;/&gt;&lt;wsp:rsid wsp:val=&quot;006E197D&quot;/&gt;&lt;wsp:rsid wsp:val=&quot;006E220B&quot;/&gt;&lt;wsp:rsid wsp:val=&quot;006E2297&quot;/&gt;&lt;wsp:rsid wsp:val=&quot;006E22AE&quot;/&gt;&lt;wsp:rsid wsp:val=&quot;006E243F&quot;/&gt;&lt;wsp:rsid wsp:val=&quot;006E261D&quot;/&gt;&lt;wsp:rsid wsp:val=&quot;006E264D&quot;/&gt;&lt;wsp:rsid wsp:val=&quot;006E27E2&quot;/&gt;&lt;wsp:rsid wsp:val=&quot;006E2AF3&quot;/&gt;&lt;wsp:rsid wsp:val=&quot;006E32CD&quot;/&gt;&lt;wsp:rsid wsp:val=&quot;006E3497&quot;/&gt;&lt;wsp:rsid wsp:val=&quot;006E37C7&quot;/&gt;&lt;wsp:rsid wsp:val=&quot;006E416D&quot;/&gt;&lt;wsp:rsid wsp:val=&quot;006E4297&quot;/&gt;&lt;wsp:rsid wsp:val=&quot;006E42F1&quot;/&gt;&lt;wsp:rsid wsp:val=&quot;006E431B&quot;/&gt;&lt;wsp:rsid wsp:val=&quot;006E4344&quot;/&gt;&lt;wsp:rsid wsp:val=&quot;006E4423&quot;/&gt;&lt;wsp:rsid wsp:val=&quot;006E4903&quot;/&gt;&lt;wsp:rsid wsp:val=&quot;006E49B3&quot;/&gt;&lt;wsp:rsid wsp:val=&quot;006E4B97&quot;/&gt;&lt;wsp:rsid wsp:val=&quot;006E5214&quot;/&gt;&lt;wsp:rsid wsp:val=&quot;006E5581&quot;/&gt;&lt;wsp:rsid wsp:val=&quot;006E59EC&quot;/&gt;&lt;wsp:rsid wsp:val=&quot;006E5C8C&quot;/&gt;&lt;wsp:rsid wsp:val=&quot;006E5EA0&quot;/&gt;&lt;wsp:rsid wsp:val=&quot;006E6EF0&quot;/&gt;&lt;wsp:rsid wsp:val=&quot;006E71DB&quot;/&gt;&lt;wsp:rsid wsp:val=&quot;006E7726&quot;/&gt;&lt;wsp:rsid wsp:val=&quot;006E7C5C&quot;/&gt;&lt;wsp:rsid wsp:val=&quot;006F000B&quot;/&gt;&lt;wsp:rsid wsp:val=&quot;006F01BD&quot;/&gt;&lt;wsp:rsid wsp:val=&quot;006F0CF3&quot;/&gt;&lt;wsp:rsid wsp:val=&quot;006F0EBC&quot;/&gt;&lt;wsp:rsid wsp:val=&quot;006F11C9&quot;/&gt;&lt;wsp:rsid wsp:val=&quot;006F153E&quot;/&gt;&lt;wsp:rsid wsp:val=&quot;006F1911&quot;/&gt;&lt;wsp:rsid wsp:val=&quot;006F1CD5&quot;/&gt;&lt;wsp:rsid wsp:val=&quot;006F1D0E&quot;/&gt;&lt;wsp:rsid wsp:val=&quot;006F1FAE&quot;/&gt;&lt;wsp:rsid wsp:val=&quot;006F27B1&quot;/&gt;&lt;wsp:rsid wsp:val=&quot;006F2E80&quot;/&gt;&lt;wsp:rsid wsp:val=&quot;006F32BF&quot;/&gt;&lt;wsp:rsid wsp:val=&quot;006F3853&quot;/&gt;&lt;wsp:rsid wsp:val=&quot;006F3875&quot;/&gt;&lt;wsp:rsid wsp:val=&quot;006F3A6B&quot;/&gt;&lt;wsp:rsid wsp:val=&quot;006F3D7B&quot;/&gt;&lt;wsp:rsid wsp:val=&quot;006F4A53&quot;/&gt;&lt;wsp:rsid wsp:val=&quot;006F4D67&quot;/&gt;&lt;wsp:rsid wsp:val=&quot;006F5078&quot;/&gt;&lt;wsp:rsid wsp:val=&quot;006F5148&quot;/&gt;&lt;wsp:rsid wsp:val=&quot;006F5160&quot;/&gt;&lt;wsp:rsid wsp:val=&quot;006F56C5&quot;/&gt;&lt;wsp:rsid wsp:val=&quot;006F5729&quot;/&gt;&lt;wsp:rsid wsp:val=&quot;006F5B59&quot;/&gt;&lt;wsp:rsid wsp:val=&quot;006F5F3D&quot;/&gt;&lt;wsp:rsid wsp:val=&quot;006F6183&quot;/&gt;&lt;wsp:rsid wsp:val=&quot;006F6582&quot;/&gt;&lt;wsp:rsid wsp:val=&quot;006F6723&quot;/&gt;&lt;wsp:rsid wsp:val=&quot;006F6805&quot;/&gt;&lt;wsp:rsid wsp:val=&quot;006F74D1&quot;/&gt;&lt;wsp:rsid wsp:val=&quot;006F759C&quot;/&gt;&lt;wsp:rsid wsp:val=&quot;007005CE&quot;/&gt;&lt;wsp:rsid wsp:val=&quot;00700785&quot;/&gt;&lt;wsp:rsid wsp:val=&quot;00700B6A&quot;/&gt;&lt;wsp:rsid wsp:val=&quot;007012B6&quot;/&gt;&lt;wsp:rsid wsp:val=&quot;007019DB&quot;/&gt;&lt;wsp:rsid wsp:val=&quot;00701B12&quot;/&gt;&lt;wsp:rsid wsp:val=&quot;00701B6D&quot;/&gt;&lt;wsp:rsid wsp:val=&quot;00701B99&quot;/&gt;&lt;wsp:rsid wsp:val=&quot;00701BB3&quot;/&gt;&lt;wsp:rsid wsp:val=&quot;007020E0&quot;/&gt;&lt;wsp:rsid wsp:val=&quot;00702352&quot;/&gt;&lt;wsp:rsid wsp:val=&quot;007024FC&quot;/&gt;&lt;wsp:rsid wsp:val=&quot;00702676&quot;/&gt;&lt;wsp:rsid wsp:val=&quot;007027B0&quot;/&gt;&lt;wsp:rsid wsp:val=&quot;007027BE&quot;/&gt;&lt;wsp:rsid wsp:val=&quot;00702B44&quot;/&gt;&lt;wsp:rsid wsp:val=&quot;00703568&quot;/&gt;&lt;wsp:rsid wsp:val=&quot;007041AF&quot;/&gt;&lt;wsp:rsid wsp:val=&quot;00704444&quot;/&gt;&lt;wsp:rsid wsp:val=&quot;00704723&quot;/&gt;&lt;wsp:rsid wsp:val=&quot;00704A92&quot;/&gt;&lt;wsp:rsid wsp:val=&quot;00704DF3&quot;/&gt;&lt;wsp:rsid wsp:val=&quot;00705249&quot;/&gt;&lt;wsp:rsid wsp:val=&quot;00705ACF&quot;/&gt;&lt;wsp:rsid wsp:val=&quot;007068FC&quot;/&gt;&lt;wsp:rsid wsp:val=&quot;00706982&quot;/&gt;&lt;wsp:rsid wsp:val=&quot;00706B93&quot;/&gt;&lt;wsp:rsid wsp:val=&quot;00706E5B&quot;/&gt;&lt;wsp:rsid wsp:val=&quot;00706EA7&quot;/&gt;&lt;wsp:rsid wsp:val=&quot;00706ED1&quot;/&gt;&lt;wsp:rsid wsp:val=&quot;00706F79&quot;/&gt;&lt;wsp:rsid wsp:val=&quot;00707445&quot;/&gt;&lt;wsp:rsid wsp:val=&quot;007077B2&quot;/&gt;&lt;wsp:rsid wsp:val=&quot;0070796F&quot;/&gt;&lt;wsp:rsid wsp:val=&quot;007102E8&quot;/&gt;&lt;wsp:rsid wsp:val=&quot;007104D3&quot;/&gt;&lt;wsp:rsid wsp:val=&quot;0071145C&quot;/&gt;&lt;wsp:rsid wsp:val=&quot;00711796&quot;/&gt;&lt;wsp:rsid wsp:val=&quot;00711A03&quot;/&gt;&lt;wsp:rsid wsp:val=&quot;00711EB8&quot;/&gt;&lt;wsp:rsid wsp:val=&quot;0071202A&quot;/&gt;&lt;wsp:rsid wsp:val=&quot;007121F0&quot;/&gt;&lt;wsp:rsid wsp:val=&quot;0071233A&quot;/&gt;&lt;wsp:rsid wsp:val=&quot;00712374&quot;/&gt;&lt;wsp:rsid wsp:val=&quot;00712CA4&quot;/&gt;&lt;wsp:rsid wsp:val=&quot;00712DB0&quot;/&gt;&lt;wsp:rsid wsp:val=&quot;00713701&quot;/&gt;&lt;wsp:rsid wsp:val=&quot;00713CD2&quot;/&gt;&lt;wsp:rsid wsp:val=&quot;00713D2F&quot;/&gt;&lt;wsp:rsid wsp:val=&quot;00714483&quot;/&gt;&lt;wsp:rsid wsp:val=&quot;00714539&quot;/&gt;&lt;wsp:rsid wsp:val=&quot;007147D0&quot;/&gt;&lt;wsp:rsid wsp:val=&quot;00714ABA&quot;/&gt;&lt;wsp:rsid wsp:val=&quot;00714BE6&quot;/&gt;&lt;wsp:rsid wsp:val=&quot;007153F0&quot;/&gt;&lt;wsp:rsid wsp:val=&quot;00715AF4&quot;/&gt;&lt;wsp:rsid wsp:val=&quot;00715B8F&quot;/&gt;&lt;wsp:rsid wsp:val=&quot;00715F71&quot;/&gt;&lt;wsp:rsid wsp:val=&quot;00716BBA&quot;/&gt;&lt;wsp:rsid wsp:val=&quot;00716EDA&quot;/&gt;&lt;wsp:rsid wsp:val=&quot;00720AC5&quot;/&gt;&lt;wsp:rsid wsp:val=&quot;0072136C&quot;/&gt;&lt;wsp:rsid wsp:val=&quot;00721375&quot;/&gt;&lt;wsp:rsid wsp:val=&quot;00721436&quot;/&gt;&lt;wsp:rsid wsp:val=&quot;007215A1&quot;/&gt;&lt;wsp:rsid wsp:val=&quot;00721A6A&quot;/&gt;&lt;wsp:rsid wsp:val=&quot;00721F5B&quot;/&gt;&lt;wsp:rsid wsp:val=&quot;0072203C&quot;/&gt;&lt;wsp:rsid wsp:val=&quot;00722330&quot;/&gt;&lt;wsp:rsid wsp:val=&quot;007225C8&quot;/&gt;&lt;wsp:rsid wsp:val=&quot;007227AD&quot;/&gt;&lt;wsp:rsid wsp:val=&quot;00722BFB&quot;/&gt;&lt;wsp:rsid wsp:val=&quot;00722DEA&quot;/&gt;&lt;wsp:rsid wsp:val=&quot;007230DA&quot;/&gt;&lt;wsp:rsid wsp:val=&quot;0072350E&quot;/&gt;&lt;wsp:rsid wsp:val=&quot;00723531&quot;/&gt;&lt;wsp:rsid wsp:val=&quot;0072383F&quot;/&gt;&lt;wsp:rsid wsp:val=&quot;007238D8&quot;/&gt;&lt;wsp:rsid wsp:val=&quot;007238DE&quot;/&gt;&lt;wsp:rsid wsp:val=&quot;00723D7C&quot;/&gt;&lt;wsp:rsid wsp:val=&quot;007241A9&quot;/&gt;&lt;wsp:rsid wsp:val=&quot;007242B8&quot;/&gt;&lt;wsp:rsid wsp:val=&quot;00724378&quot;/&gt;&lt;wsp:rsid wsp:val=&quot;007244D7&quot;/&gt;&lt;wsp:rsid wsp:val=&quot;00724536&quot;/&gt;&lt;wsp:rsid wsp:val=&quot;007248F0&quot;/&gt;&lt;wsp:rsid wsp:val=&quot;00724E70&quot;/&gt;&lt;wsp:rsid wsp:val=&quot;007251A5&quot;/&gt;&lt;wsp:rsid wsp:val=&quot;0072525B&quot;/&gt;&lt;wsp:rsid wsp:val=&quot;007255E8&quot;/&gt;&lt;wsp:rsid wsp:val=&quot;00725846&quot;/&gt;&lt;wsp:rsid wsp:val=&quot;00725EA3&quot;/&gt;&lt;wsp:rsid wsp:val=&quot;00725EA5&quot;/&gt;&lt;wsp:rsid wsp:val=&quot;00726067&quot;/&gt;&lt;wsp:rsid wsp:val=&quot;00726412&quot;/&gt;&lt;wsp:rsid wsp:val=&quot;0072718D&quot;/&gt;&lt;wsp:rsid wsp:val=&quot;007274EA&quot;/&gt;&lt;wsp:rsid wsp:val=&quot;0072760C&quot;/&gt;&lt;wsp:rsid wsp:val=&quot;00727610&quot;/&gt;&lt;wsp:rsid wsp:val=&quot;0072784F&quot;/&gt;&lt;wsp:rsid wsp:val=&quot;00727B47&quot;/&gt;&lt;wsp:rsid wsp:val=&quot;00727C81&quot;/&gt;&lt;wsp:rsid wsp:val=&quot;00727D45&quot;/&gt;&lt;wsp:rsid wsp:val=&quot;00727F0B&quot;/&gt;&lt;wsp:rsid wsp:val=&quot;00727F59&quot;/&gt;&lt;wsp:rsid wsp:val=&quot;0073029F&quot;/&gt;&lt;wsp:rsid wsp:val=&quot;007303AF&quot;/&gt;&lt;wsp:rsid wsp:val=&quot;007306D8&quot;/&gt;&lt;wsp:rsid wsp:val=&quot;007308DB&quot;/&gt;&lt;wsp:rsid wsp:val=&quot;00731158&quot;/&gt;&lt;wsp:rsid wsp:val=&quot;00731426&quot;/&gt;&lt;wsp:rsid wsp:val=&quot;00731487&quot;/&gt;&lt;wsp:rsid wsp:val=&quot;00731797&quot;/&gt;&lt;wsp:rsid wsp:val=&quot;007318FB&quot;/&gt;&lt;wsp:rsid wsp:val=&quot;00731EE1&quot;/&gt;&lt;wsp:rsid wsp:val=&quot;00732466&quot;/&gt;&lt;wsp:rsid wsp:val=&quot;007328CE&quot;/&gt;&lt;wsp:rsid wsp:val=&quot;00733536&quot;/&gt;&lt;wsp:rsid wsp:val=&quot;007339A1&quot;/&gt;&lt;wsp:rsid wsp:val=&quot;007339AB&quot;/&gt;&lt;wsp:rsid wsp:val=&quot;0073430F&quot;/&gt;&lt;wsp:rsid wsp:val=&quot;00734F6E&quot;/&gt;&lt;wsp:rsid wsp:val=&quot;0073504B&quot;/&gt;&lt;wsp:rsid wsp:val=&quot;0073521B&quot;/&gt;&lt;wsp:rsid wsp:val=&quot;007354B7&quot;/&gt;&lt;wsp:rsid wsp:val=&quot;0073655C&quot;/&gt;&lt;wsp:rsid wsp:val=&quot;00737317&quot;/&gt;&lt;wsp:rsid wsp:val=&quot;007376F3&quot;/&gt;&lt;wsp:rsid wsp:val=&quot;00737A19&quot;/&gt;&lt;wsp:rsid wsp:val=&quot;00737DCC&quot;/&gt;&lt;wsp:rsid wsp:val=&quot;00737E9A&quot;/&gt;&lt;wsp:rsid wsp:val=&quot;00740118&quot;/&gt;&lt;wsp:rsid wsp:val=&quot;0074033A&quot;/&gt;&lt;wsp:rsid wsp:val=&quot;0074062F&quot;/&gt;&lt;wsp:rsid wsp:val=&quot;007406A7&quot;/&gt;&lt;wsp:rsid wsp:val=&quot;00740A3A&quot;/&gt;&lt;wsp:rsid wsp:val=&quot;007412A7&quot;/&gt;&lt;wsp:rsid wsp:val=&quot;007414DD&quot;/&gt;&lt;wsp:rsid wsp:val=&quot;00741A50&quot;/&gt;&lt;wsp:rsid wsp:val=&quot;00741CCC&quot;/&gt;&lt;wsp:rsid wsp:val=&quot;00741FC2&quot;/&gt;&lt;wsp:rsid wsp:val=&quot;00742371&quot;/&gt;&lt;wsp:rsid wsp:val=&quot;00742499&quot;/&gt;&lt;wsp:rsid wsp:val=&quot;00742B6C&quot;/&gt;&lt;wsp:rsid wsp:val=&quot;00742DD4&quot;/&gt;&lt;wsp:rsid wsp:val=&quot;00742F7B&quot;/&gt;&lt;wsp:rsid wsp:val=&quot;00743ED2&quot;/&gt;&lt;wsp:rsid wsp:val=&quot;007440D9&quot;/&gt;&lt;wsp:rsid wsp:val=&quot;0074448C&quot;/&gt;&lt;wsp:rsid wsp:val=&quot;007444CF&quot;/&gt;&lt;wsp:rsid wsp:val=&quot;0074450F&quot;/&gt;&lt;wsp:rsid wsp:val=&quot;007451AB&quot;/&gt;&lt;wsp:rsid wsp:val=&quot;007452A0&quot;/&gt;&lt;wsp:rsid wsp:val=&quot;00745723&quot;/&gt;&lt;wsp:rsid wsp:val=&quot;00745A3F&quot;/&gt;&lt;wsp:rsid wsp:val=&quot;00745BA7&quot;/&gt;&lt;wsp:rsid wsp:val=&quot;00745BD5&quot;/&gt;&lt;wsp:rsid wsp:val=&quot;007465ED&quot;/&gt;&lt;wsp:rsid wsp:val=&quot;00746C94&quot;/&gt;&lt;wsp:rsid wsp:val=&quot;00746DC9&quot;/&gt;&lt;wsp:rsid wsp:val=&quot;00746E92&quot;/&gt;&lt;wsp:rsid wsp:val=&quot;007470DF&quot;/&gt;&lt;wsp:rsid wsp:val=&quot;007474D1&quot;/&gt;&lt;wsp:rsid wsp:val=&quot;00747A33&quot;/&gt;&lt;wsp:rsid wsp:val=&quot;00747A65&quot;/&gt;&lt;wsp:rsid wsp:val=&quot;00747EBF&quot;/&gt;&lt;wsp:rsid wsp:val=&quot;00747ED2&quot;/&gt;&lt;wsp:rsid wsp:val=&quot;007506A5&quot;/&gt;&lt;wsp:rsid wsp:val=&quot;00750B96&quot;/&gt;&lt;wsp:rsid wsp:val=&quot;00750D7B&quot;/&gt;&lt;wsp:rsid wsp:val=&quot;00750D9D&quot;/&gt;&lt;wsp:rsid wsp:val=&quot;0075101B&quot;/&gt;&lt;wsp:rsid wsp:val=&quot;00751291&quot;/&gt;&lt;wsp:rsid wsp:val=&quot;0075161A&quot;/&gt;&lt;wsp:rsid wsp:val=&quot;007517BF&quot;/&gt;&lt;wsp:rsid wsp:val=&quot;0075187C&quot;/&gt;&lt;wsp:rsid wsp:val=&quot;00751DD0&quot;/&gt;&lt;wsp:rsid wsp:val=&quot;0075224D&quot;/&gt;&lt;wsp:rsid wsp:val=&quot;007522B2&quot;/&gt;&lt;wsp:rsid wsp:val=&quot;0075239C&quot;/&gt;&lt;wsp:rsid wsp:val=&quot;007526FB&quot;/&gt;&lt;wsp:rsid wsp:val=&quot;00752C28&quot;/&gt;&lt;wsp:rsid wsp:val=&quot;00752D23&quot;/&gt;&lt;wsp:rsid wsp:val=&quot;00752E35&quot;/&gt;&lt;wsp:rsid wsp:val=&quot;0075333A&quot;/&gt;&lt;wsp:rsid wsp:val=&quot;007533E6&quot;/&gt;&lt;wsp:rsid wsp:val=&quot;007534F7&quot;/&gt;&lt;wsp:rsid wsp:val=&quot;0075353C&quot;/&gt;&lt;wsp:rsid wsp:val=&quot;007535E9&quot;/&gt;&lt;wsp:rsid wsp:val=&quot;00754067&quot;/&gt;&lt;wsp:rsid wsp:val=&quot;007540E0&quot;/&gt;&lt;wsp:rsid wsp:val=&quot;00754162&quot;/&gt;&lt;wsp:rsid wsp:val=&quot;00754C9E&quot;/&gt;&lt;wsp:rsid wsp:val=&quot;00755882&quot;/&gt;&lt;wsp:rsid wsp:val=&quot;00755BF5&quot;/&gt;&lt;wsp:rsid wsp:val=&quot;007562EC&quot;/&gt;&lt;wsp:rsid wsp:val=&quot;0075694A&quot;/&gt;&lt;wsp:rsid wsp:val=&quot;00756E03&quot;/&gt;&lt;wsp:rsid wsp:val=&quot;00756E6F&quot;/&gt;&lt;wsp:rsid wsp:val=&quot;007570F9&quot;/&gt;&lt;wsp:rsid wsp:val=&quot;00757412&quot;/&gt;&lt;wsp:rsid wsp:val=&quot;007576BC&quot;/&gt;&lt;wsp:rsid wsp:val=&quot;00757E5E&quot;/&gt;&lt;wsp:rsid wsp:val=&quot;007603F4&quot;/&gt;&lt;wsp:rsid wsp:val=&quot;00760844&quot;/&gt;&lt;wsp:rsid wsp:val=&quot;00760BD3&quot;/&gt;&lt;wsp:rsid wsp:val=&quot;007610DE&quot;/&gt;&lt;wsp:rsid wsp:val=&quot;00761484&quot;/&gt;&lt;wsp:rsid wsp:val=&quot;007615D5&quot;/&gt;&lt;wsp:rsid wsp:val=&quot;00761894&quot;/&gt;&lt;wsp:rsid wsp:val=&quot;0076193A&quot;/&gt;&lt;wsp:rsid wsp:val=&quot;007629B9&quot;/&gt;&lt;wsp:rsid wsp:val=&quot;00762DBE&quot;/&gt;&lt;wsp:rsid wsp:val=&quot;00763484&quot;/&gt;&lt;wsp:rsid wsp:val=&quot;007637D2&quot;/&gt;&lt;wsp:rsid wsp:val=&quot;00763979&quot;/&gt;&lt;wsp:rsid wsp:val=&quot;00763C73&quot;/&gt;&lt;wsp:rsid wsp:val=&quot;0076455E&quot;/&gt;&lt;wsp:rsid wsp:val=&quot;00764569&quot;/&gt;&lt;wsp:rsid wsp:val=&quot;00764892&quot;/&gt;&lt;wsp:rsid wsp:val=&quot;00764C76&quot;/&gt;&lt;wsp:rsid wsp:val=&quot;007652EF&quot;/&gt;&lt;wsp:rsid wsp:val=&quot;007659D4&quot;/&gt;&lt;wsp:rsid wsp:val=&quot;007665A0&quot;/&gt;&lt;wsp:rsid wsp:val=&quot;00766A93&quot;/&gt;&lt;wsp:rsid wsp:val=&quot;00767148&quot;/&gt;&lt;wsp:rsid wsp:val=&quot;00767C8A&quot;/&gt;&lt;wsp:rsid wsp:val=&quot;00767F05&quot;/&gt;&lt;wsp:rsid wsp:val=&quot;00770118&quot;/&gt;&lt;wsp:rsid wsp:val=&quot;007701FB&quot;/&gt;&lt;wsp:rsid wsp:val=&quot;007703EF&quot;/&gt;&lt;wsp:rsid wsp:val=&quot;00770630&quot;/&gt;&lt;wsp:rsid wsp:val=&quot;007707D2&quot;/&gt;&lt;wsp:rsid wsp:val=&quot;00770AB5&quot;/&gt;&lt;wsp:rsid wsp:val=&quot;0077124C&quot;/&gt;&lt;wsp:rsid wsp:val=&quot;00771A6D&quot;/&gt;&lt;wsp:rsid wsp:val=&quot;00772469&quot;/&gt;&lt;wsp:rsid wsp:val=&quot;0077265C&quot;/&gt;&lt;wsp:rsid wsp:val=&quot;00772E19&quot;/&gt;&lt;wsp:rsid wsp:val=&quot;0077319A&quot;/&gt;&lt;wsp:rsid wsp:val=&quot;007736A5&quot;/&gt;&lt;wsp:rsid wsp:val=&quot;0077370C&quot;/&gt;&lt;wsp:rsid wsp:val=&quot;00773E0C&quot;/&gt;&lt;wsp:rsid wsp:val=&quot;00774715&quot;/&gt;&lt;wsp:rsid wsp:val=&quot;00774727&quot;/&gt;&lt;wsp:rsid wsp:val=&quot;007747B9&quot;/&gt;&lt;wsp:rsid wsp:val=&quot;007748B8&quot;/&gt;&lt;wsp:rsid wsp:val=&quot;00774CF4&quot;/&gt;&lt;wsp:rsid wsp:val=&quot;00774F51&quot;/&gt;&lt;wsp:rsid wsp:val=&quot;007750DC&quot;/&gt;&lt;wsp:rsid wsp:val=&quot;00775394&quot;/&gt;&lt;wsp:rsid wsp:val=&quot;00775AFA&quot;/&gt;&lt;wsp:rsid wsp:val=&quot;007763F6&quot;/&gt;&lt;wsp:rsid wsp:val=&quot;0077675D&quot;/&gt;&lt;wsp:rsid wsp:val=&quot;00776791&quot;/&gt;&lt;wsp:rsid wsp:val=&quot;007768DB&quot;/&gt;&lt;wsp:rsid wsp:val=&quot;00776A45&quot;/&gt;&lt;wsp:rsid wsp:val=&quot;00777297&quot;/&gt;&lt;wsp:rsid wsp:val=&quot;0077764A&quot;/&gt;&lt;wsp:rsid wsp:val=&quot;00780317&quot;/&gt;&lt;wsp:rsid wsp:val=&quot;007807FF&quot;/&gt;&lt;wsp:rsid wsp:val=&quot;007808B1&quot;/&gt;&lt;wsp:rsid wsp:val=&quot;00780EEE&quot;/&gt;&lt;wsp:rsid wsp:val=&quot;007817EB&quot;/&gt;&lt;wsp:rsid wsp:val=&quot;00781F79&quot;/&gt;&lt;wsp:rsid wsp:val=&quot;00781FA6&quot;/&gt;&lt;wsp:rsid wsp:val=&quot;00782277&quot;/&gt;&lt;wsp:rsid wsp:val=&quot;00782468&quot;/&gt;&lt;wsp:rsid wsp:val=&quot;007824F1&quot;/&gt;&lt;wsp:rsid wsp:val=&quot;0078257A&quot;/&gt;&lt;wsp:rsid wsp:val=&quot;00782654&quot;/&gt;&lt;wsp:rsid wsp:val=&quot;007827C4&quot;/&gt;&lt;wsp:rsid wsp:val=&quot;00782882&quot;/&gt;&lt;wsp:rsid wsp:val=&quot;00782D25&quot;/&gt;&lt;wsp:rsid wsp:val=&quot;00782F96&quot;/&gt;&lt;wsp:rsid wsp:val=&quot;0078308B&quot;/&gt;&lt;wsp:rsid wsp:val=&quot;00783216&quot;/&gt;&lt;wsp:rsid wsp:val=&quot;00783C7D&quot;/&gt;&lt;wsp:rsid wsp:val=&quot;00783D75&quot;/&gt;&lt;wsp:rsid wsp:val=&quot;00783F9B&quot;/&gt;&lt;wsp:rsid wsp:val=&quot;007843D7&quot;/&gt;&lt;wsp:rsid wsp:val=&quot;00784ACF&quot;/&gt;&lt;wsp:rsid wsp:val=&quot;00784F8F&quot;/&gt;&lt;wsp:rsid wsp:val=&quot;007852CA&quot;/&gt;&lt;wsp:rsid wsp:val=&quot;007854C8&quot;/&gt;&lt;wsp:rsid wsp:val=&quot;00786474&quot;/&gt;&lt;wsp:rsid wsp:val=&quot;00786B6D&quot;/&gt;&lt;wsp:rsid wsp:val=&quot;00786C91&quot;/&gt;&lt;wsp:rsid wsp:val=&quot;00786DA1&quot;/&gt;&lt;wsp:rsid wsp:val=&quot;007870F9&quot;/&gt;&lt;wsp:rsid wsp:val=&quot;007877B2&quot;/&gt;&lt;wsp:rsid wsp:val=&quot;00787872&quot;/&gt;&lt;wsp:rsid wsp:val=&quot;007878F5&quot;/&gt;&lt;wsp:rsid wsp:val=&quot;00787928&quot;/&gt;&lt;wsp:rsid wsp:val=&quot;00787A16&quot;/&gt;&lt;wsp:rsid wsp:val=&quot;007901E5&quot;/&gt;&lt;wsp:rsid wsp:val=&quot;00790228&quot;/&gt;&lt;wsp:rsid wsp:val=&quot;00790431&quot;/&gt;&lt;wsp:rsid wsp:val=&quot;0079065C&quot;/&gt;&lt;wsp:rsid wsp:val=&quot;007906D7&quot;/&gt;&lt;wsp:rsid wsp:val=&quot;007908AF&quot;/&gt;&lt;wsp:rsid wsp:val=&quot;00790CAA&quot;/&gt;&lt;wsp:rsid wsp:val=&quot;00790EBB&quot;/&gt;&lt;wsp:rsid wsp:val=&quot;00791633&quot;/&gt;&lt;wsp:rsid wsp:val=&quot;0079179E&quot;/&gt;&lt;wsp:rsid wsp:val=&quot;007918D6&quot;/&gt;&lt;wsp:rsid wsp:val=&quot;00791969&quot;/&gt;&lt;wsp:rsid wsp:val=&quot;007920CF&quot;/&gt;&lt;wsp:rsid wsp:val=&quot;00792B58&quot;/&gt;&lt;wsp:rsid wsp:val=&quot;00792DCB&quot;/&gt;&lt;wsp:rsid wsp:val=&quot;007930F5&quot;/&gt;&lt;wsp:rsid wsp:val=&quot;007936EC&quot;/&gt;&lt;wsp:rsid wsp:val=&quot;00793EC2&quot;/&gt;&lt;wsp:rsid wsp:val=&quot;007940B7&quot;/&gt;&lt;wsp:rsid wsp:val=&quot;007946A8&quot;/&gt;&lt;wsp:rsid wsp:val=&quot;00794AB6&quot;/&gt;&lt;wsp:rsid wsp:val=&quot;007954FA&quot;/&gt;&lt;wsp:rsid wsp:val=&quot;0079583C&quot;/&gt;&lt;wsp:rsid wsp:val=&quot;0079590A&quot;/&gt;&lt;wsp:rsid wsp:val=&quot;00795C07&quot;/&gt;&lt;wsp:rsid wsp:val=&quot;00795D1F&quot;/&gt;&lt;wsp:rsid wsp:val=&quot;00796129&quot;/&gt;&lt;wsp:rsid wsp:val=&quot;00796149&quot;/&gt;&lt;wsp:rsid wsp:val=&quot;007962B5&quot;/&gt;&lt;wsp:rsid wsp:val=&quot;00796515&quot;/&gt;&lt;wsp:rsid wsp:val=&quot;0079660C&quot;/&gt;&lt;wsp:rsid wsp:val=&quot;007969B6&quot;/&gt;&lt;wsp:rsid wsp:val=&quot;00796B08&quot;/&gt;&lt;wsp:rsid wsp:val=&quot;007A02CD&quot;/&gt;&lt;wsp:rsid wsp:val=&quot;007A0BA5&quot;/&gt;&lt;wsp:rsid wsp:val=&quot;007A0D61&quot;/&gt;&lt;wsp:rsid wsp:val=&quot;007A0DCE&quot;/&gt;&lt;wsp:rsid wsp:val=&quot;007A1941&quot;/&gt;&lt;wsp:rsid wsp:val=&quot;007A194C&quot;/&gt;&lt;wsp:rsid wsp:val=&quot;007A25A6&quot;/&gt;&lt;wsp:rsid wsp:val=&quot;007A2610&quot;/&gt;&lt;wsp:rsid wsp:val=&quot;007A2846&quot;/&gt;&lt;wsp:rsid wsp:val=&quot;007A28AA&quot;/&gt;&lt;wsp:rsid wsp:val=&quot;007A2B9B&quot;/&gt;&lt;wsp:rsid wsp:val=&quot;007A2F16&quot;/&gt;&lt;wsp:rsid wsp:val=&quot;007A3205&quot;/&gt;&lt;wsp:rsid wsp:val=&quot;007A3A14&quot;/&gt;&lt;wsp:rsid wsp:val=&quot;007A3AB0&quot;/&gt;&lt;wsp:rsid wsp:val=&quot;007A3E4E&quot;/&gt;&lt;wsp:rsid wsp:val=&quot;007A4035&quot;/&gt;&lt;wsp:rsid wsp:val=&quot;007A4128&quot;/&gt;&lt;wsp:rsid wsp:val=&quot;007A4180&quot;/&gt;&lt;wsp:rsid wsp:val=&quot;007A4231&quot;/&gt;&lt;wsp:rsid wsp:val=&quot;007A5F69&quot;/&gt;&lt;wsp:rsid wsp:val=&quot;007A5FB2&quot;/&gt;&lt;wsp:rsid wsp:val=&quot;007A6255&quot;/&gt;&lt;wsp:rsid wsp:val=&quot;007A67FD&quot;/&gt;&lt;wsp:rsid wsp:val=&quot;007A6B15&quot;/&gt;&lt;wsp:rsid wsp:val=&quot;007A7406&quot;/&gt;&lt;wsp:rsid wsp:val=&quot;007A7419&quot;/&gt;&lt;wsp:rsid wsp:val=&quot;007A79AA&quot;/&gt;&lt;wsp:rsid wsp:val=&quot;007A7BA0&quot;/&gt;&lt;wsp:rsid wsp:val=&quot;007B024D&quot;/&gt;&lt;wsp:rsid wsp:val=&quot;007B03E1&quot;/&gt;&lt;wsp:rsid wsp:val=&quot;007B0B77&quot;/&gt;&lt;wsp:rsid wsp:val=&quot;007B0D5F&quot;/&gt;&lt;wsp:rsid wsp:val=&quot;007B0F02&quot;/&gt;&lt;wsp:rsid wsp:val=&quot;007B129A&quot;/&gt;&lt;wsp:rsid wsp:val=&quot;007B14EC&quot;/&gt;&lt;wsp:rsid wsp:val=&quot;007B1634&quot;/&gt;&lt;wsp:rsid wsp:val=&quot;007B1A29&quot;/&gt;&lt;wsp:rsid wsp:val=&quot;007B1AAE&quot;/&gt;&lt;wsp:rsid wsp:val=&quot;007B1C6E&quot;/&gt;&lt;wsp:rsid wsp:val=&quot;007B21BD&quot;/&gt;&lt;wsp:rsid wsp:val=&quot;007B237E&quot;/&gt;&lt;wsp:rsid wsp:val=&quot;007B257F&quot;/&gt;&lt;wsp:rsid wsp:val=&quot;007B2661&quot;/&gt;&lt;wsp:rsid wsp:val=&quot;007B2769&quot;/&gt;&lt;wsp:rsid wsp:val=&quot;007B27B9&quot;/&gt;&lt;wsp:rsid wsp:val=&quot;007B29A4&quot;/&gt;&lt;wsp:rsid wsp:val=&quot;007B2F57&quot;/&gt;&lt;wsp:rsid wsp:val=&quot;007B3423&quot;/&gt;&lt;wsp:rsid wsp:val=&quot;007B3978&quot;/&gt;&lt;wsp:rsid wsp:val=&quot;007B45DF&quot;/&gt;&lt;wsp:rsid wsp:val=&quot;007B5237&quot;/&gt;&lt;wsp:rsid wsp:val=&quot;007B529D&quot;/&gt;&lt;wsp:rsid wsp:val=&quot;007B530B&quot;/&gt;&lt;wsp:rsid wsp:val=&quot;007B54BF&quot;/&gt;&lt;wsp:rsid wsp:val=&quot;007B5C14&quot;/&gt;&lt;wsp:rsid wsp:val=&quot;007B67B6&quot;/&gt;&lt;wsp:rsid wsp:val=&quot;007B69EF&quot;/&gt;&lt;wsp:rsid wsp:val=&quot;007B6EF1&quot;/&gt;&lt;wsp:rsid wsp:val=&quot;007B7282&quot;/&gt;&lt;wsp:rsid wsp:val=&quot;007B73D4&quot;/&gt;&lt;wsp:rsid wsp:val=&quot;007B7950&quot;/&gt;&lt;wsp:rsid wsp:val=&quot;007B7FA2&quot;/&gt;&lt;wsp:rsid wsp:val=&quot;007C01D8&quot;/&gt;&lt;wsp:rsid wsp:val=&quot;007C04BA&quot;/&gt;&lt;wsp:rsid wsp:val=&quot;007C0646&quot;/&gt;&lt;wsp:rsid wsp:val=&quot;007C095F&quot;/&gt;&lt;wsp:rsid wsp:val=&quot;007C0C2E&quot;/&gt;&lt;wsp:rsid wsp:val=&quot;007C0D0F&quot;/&gt;&lt;wsp:rsid wsp:val=&quot;007C0E13&quot;/&gt;&lt;wsp:rsid wsp:val=&quot;007C0E89&quot;/&gt;&lt;wsp:rsid wsp:val=&quot;007C1567&quot;/&gt;&lt;wsp:rsid wsp:val=&quot;007C1AF1&quot;/&gt;&lt;wsp:rsid wsp:val=&quot;007C1C99&quot;/&gt;&lt;wsp:rsid wsp:val=&quot;007C1FDC&quot;/&gt;&lt;wsp:rsid wsp:val=&quot;007C277A&quot;/&gt;&lt;wsp:rsid wsp:val=&quot;007C3151&quot;/&gt;&lt;wsp:rsid wsp:val=&quot;007C3620&quot;/&gt;&lt;wsp:rsid wsp:val=&quot;007C3CC0&quot;/&gt;&lt;wsp:rsid wsp:val=&quot;007C4A48&quot;/&gt;&lt;wsp:rsid wsp:val=&quot;007C51A8&quot;/&gt;&lt;wsp:rsid wsp:val=&quot;007C5367&quot;/&gt;&lt;wsp:rsid wsp:val=&quot;007C538C&quot;/&gt;&lt;wsp:rsid wsp:val=&quot;007C53D0&quot;/&gt;&lt;wsp:rsid wsp:val=&quot;007C5587&quot;/&gt;&lt;wsp:rsid wsp:val=&quot;007C59E7&quot;/&gt;&lt;wsp:rsid wsp:val=&quot;007C5B9A&quot;/&gt;&lt;wsp:rsid wsp:val=&quot;007C61DE&quot;/&gt;&lt;wsp:rsid wsp:val=&quot;007C6645&quot;/&gt;&lt;wsp:rsid wsp:val=&quot;007C66EB&quot;/&gt;&lt;wsp:rsid wsp:val=&quot;007C6A5A&quot;/&gt;&lt;wsp:rsid wsp:val=&quot;007C7662&quot;/&gt;&lt;wsp:rsid wsp:val=&quot;007C76E7&quot;/&gt;&lt;wsp:rsid wsp:val=&quot;007C797D&quot;/&gt;&lt;wsp:rsid wsp:val=&quot;007C7BB1&quot;/&gt;&lt;wsp:rsid wsp:val=&quot;007C7EEE&quot;/&gt;&lt;wsp:rsid wsp:val=&quot;007D00FA&quot;/&gt;&lt;wsp:rsid wsp:val=&quot;007D026E&quot;/&gt;&lt;wsp:rsid wsp:val=&quot;007D04BB&quot;/&gt;&lt;wsp:rsid wsp:val=&quot;007D05AB&quot;/&gt;&lt;wsp:rsid wsp:val=&quot;007D07DD&quot;/&gt;&lt;wsp:rsid wsp:val=&quot;007D1071&quot;/&gt;&lt;wsp:rsid wsp:val=&quot;007D1210&quot;/&gt;&lt;wsp:rsid wsp:val=&quot;007D1601&quot;/&gt;&lt;wsp:rsid wsp:val=&quot;007D1D4B&quot;/&gt;&lt;wsp:rsid wsp:val=&quot;007D2708&quot;/&gt;&lt;wsp:rsid wsp:val=&quot;007D278F&quot;/&gt;&lt;wsp:rsid wsp:val=&quot;007D27FC&quot;/&gt;&lt;wsp:rsid wsp:val=&quot;007D2F41&quot;/&gt;&lt;wsp:rsid wsp:val=&quot;007D2F79&quot;/&gt;&lt;wsp:rsid wsp:val=&quot;007D2F87&quot;/&gt;&lt;wsp:rsid wsp:val=&quot;007D3180&quot;/&gt;&lt;wsp:rsid wsp:val=&quot;007D3563&quot;/&gt;&lt;wsp:rsid wsp:val=&quot;007D35D4&quot;/&gt;&lt;wsp:rsid wsp:val=&quot;007D3887&quot;/&gt;&lt;wsp:rsid wsp:val=&quot;007D3C58&quot;/&gt;&lt;wsp:rsid wsp:val=&quot;007D3F65&quot;/&gt;&lt;wsp:rsid wsp:val=&quot;007D42A1&quot;/&gt;&lt;wsp:rsid wsp:val=&quot;007D4356&quot;/&gt;&lt;wsp:rsid wsp:val=&quot;007D4635&quot;/&gt;&lt;wsp:rsid wsp:val=&quot;007D465F&quot;/&gt;&lt;wsp:rsid wsp:val=&quot;007D4B2A&quot;/&gt;&lt;wsp:rsid wsp:val=&quot;007D4E72&quot;/&gt;&lt;wsp:rsid wsp:val=&quot;007D4FF8&quot;/&gt;&lt;wsp:rsid wsp:val=&quot;007D50E2&quot;/&gt;&lt;wsp:rsid wsp:val=&quot;007D57FB&quot;/&gt;&lt;wsp:rsid wsp:val=&quot;007D594C&quot;/&gt;&lt;wsp:rsid wsp:val=&quot;007D5B2C&quot;/&gt;&lt;wsp:rsid wsp:val=&quot;007D5EB0&quot;/&gt;&lt;wsp:rsid wsp:val=&quot;007D6E86&quot;/&gt;&lt;wsp:rsid wsp:val=&quot;007D6F39&quot;/&gt;&lt;wsp:rsid wsp:val=&quot;007D717B&quot;/&gt;&lt;wsp:rsid wsp:val=&quot;007D71DF&quot;/&gt;&lt;wsp:rsid wsp:val=&quot;007D73D6&quot;/&gt;&lt;wsp:rsid wsp:val=&quot;007D7C4A&quot;/&gt;&lt;wsp:rsid wsp:val=&quot;007D7E8E&quot;/&gt;&lt;wsp:rsid wsp:val=&quot;007E0215&quot;/&gt;&lt;wsp:rsid wsp:val=&quot;007E0B5A&quot;/&gt;&lt;wsp:rsid wsp:val=&quot;007E1189&quot;/&gt;&lt;wsp:rsid wsp:val=&quot;007E1765&quot;/&gt;&lt;wsp:rsid wsp:val=&quot;007E1B2A&quot;/&gt;&lt;wsp:rsid wsp:val=&quot;007E1BAB&quot;/&gt;&lt;wsp:rsid wsp:val=&quot;007E1CD3&quot;/&gt;&lt;wsp:rsid wsp:val=&quot;007E1F15&quot;/&gt;&lt;wsp:rsid wsp:val=&quot;007E221E&quot;/&gt;&lt;wsp:rsid wsp:val=&quot;007E2ECE&quot;/&gt;&lt;wsp:rsid wsp:val=&quot;007E2ED4&quot;/&gt;&lt;wsp:rsid wsp:val=&quot;007E3041&quot;/&gt;&lt;wsp:rsid wsp:val=&quot;007E3194&quot;/&gt;&lt;wsp:rsid wsp:val=&quot;007E320C&quot;/&gt;&lt;wsp:rsid wsp:val=&quot;007E33C8&quot;/&gt;&lt;wsp:rsid wsp:val=&quot;007E352B&quot;/&gt;&lt;wsp:rsid wsp:val=&quot;007E3670&quot;/&gt;&lt;wsp:rsid wsp:val=&quot;007E3A53&quot;/&gt;&lt;wsp:rsid wsp:val=&quot;007E3D17&quot;/&gt;&lt;wsp:rsid wsp:val=&quot;007E4211&quot;/&gt;&lt;wsp:rsid wsp:val=&quot;007E4435&quot;/&gt;&lt;wsp:rsid wsp:val=&quot;007E469A&quot;/&gt;&lt;wsp:rsid wsp:val=&quot;007E478E&quot;/&gt;&lt;wsp:rsid wsp:val=&quot;007E4BD7&quot;/&gt;&lt;wsp:rsid wsp:val=&quot;007E4D79&quot;/&gt;&lt;wsp:rsid wsp:val=&quot;007E4E52&quot;/&gt;&lt;wsp:rsid wsp:val=&quot;007E4FD5&quot;/&gt;&lt;wsp:rsid wsp:val=&quot;007E500E&quot;/&gt;&lt;wsp:rsid wsp:val=&quot;007E5082&quot;/&gt;&lt;wsp:rsid wsp:val=&quot;007E5190&quot;/&gt;&lt;wsp:rsid wsp:val=&quot;007E5315&quot;/&gt;&lt;wsp:rsid wsp:val=&quot;007E56C6&quot;/&gt;&lt;wsp:rsid wsp:val=&quot;007E5734&quot;/&gt;&lt;wsp:rsid wsp:val=&quot;007E5869&quot;/&gt;&lt;wsp:rsid wsp:val=&quot;007E5C62&quot;/&gt;&lt;wsp:rsid wsp:val=&quot;007E5D5A&quot;/&gt;&lt;wsp:rsid wsp:val=&quot;007E5E2A&quot;/&gt;&lt;wsp:rsid wsp:val=&quot;007E5F6D&quot;/&gt;&lt;wsp:rsid wsp:val=&quot;007E6BDD&quot;/&gt;&lt;wsp:rsid wsp:val=&quot;007E7117&quot;/&gt;&lt;wsp:rsid wsp:val=&quot;007E7378&quot;/&gt;&lt;wsp:rsid wsp:val=&quot;007E7BD8&quot;/&gt;&lt;wsp:rsid wsp:val=&quot;007F00A7&quot;/&gt;&lt;wsp:rsid wsp:val=&quot;007F00CD&quot;/&gt;&lt;wsp:rsid wsp:val=&quot;007F039F&quot;/&gt;&lt;wsp:rsid wsp:val=&quot;007F075C&quot;/&gt;&lt;wsp:rsid wsp:val=&quot;007F079B&quot;/&gt;&lt;wsp:rsid wsp:val=&quot;007F0C77&quot;/&gt;&lt;wsp:rsid wsp:val=&quot;007F0DC9&quot;/&gt;&lt;wsp:rsid wsp:val=&quot;007F0E5C&quot;/&gt;&lt;wsp:rsid wsp:val=&quot;007F0FDB&quot;/&gt;&lt;wsp:rsid wsp:val=&quot;007F128B&quot;/&gt;&lt;wsp:rsid wsp:val=&quot;007F1B10&quot;/&gt;&lt;wsp:rsid wsp:val=&quot;007F1EE1&quot;/&gt;&lt;wsp:rsid wsp:val=&quot;007F1EEA&quot;/&gt;&lt;wsp:rsid wsp:val=&quot;007F281F&quot;/&gt;&lt;wsp:rsid wsp:val=&quot;007F2B95&quot;/&gt;&lt;wsp:rsid wsp:val=&quot;007F2C56&quot;/&gt;&lt;wsp:rsid wsp:val=&quot;007F34ED&quot;/&gt;&lt;wsp:rsid wsp:val=&quot;007F3E21&quot;/&gt;&lt;wsp:rsid wsp:val=&quot;007F411A&quot;/&gt;&lt;wsp:rsid wsp:val=&quot;007F45D6&quot;/&gt;&lt;wsp:rsid wsp:val=&quot;007F497E&quot;/&gt;&lt;wsp:rsid wsp:val=&quot;007F49F7&quot;/&gt;&lt;wsp:rsid wsp:val=&quot;007F4B1E&quot;/&gt;&lt;wsp:rsid wsp:val=&quot;007F4C33&quot;/&gt;&lt;wsp:rsid wsp:val=&quot;007F531C&quot;/&gt;&lt;wsp:rsid wsp:val=&quot;007F552B&quot;/&gt;&lt;wsp:rsid wsp:val=&quot;007F5530&quot;/&gt;&lt;wsp:rsid wsp:val=&quot;007F5784&quot;/&gt;&lt;wsp:rsid wsp:val=&quot;007F6256&quot;/&gt;&lt;wsp:rsid wsp:val=&quot;007F633D&quot;/&gt;&lt;wsp:rsid wsp:val=&quot;007F6547&quot;/&gt;&lt;wsp:rsid wsp:val=&quot;007F662C&quot;/&gt;&lt;wsp:rsid wsp:val=&quot;007F6940&quot;/&gt;&lt;wsp:rsid wsp:val=&quot;007F70D7&quot;/&gt;&lt;wsp:rsid wsp:val=&quot;007F7412&quot;/&gt;&lt;wsp:rsid wsp:val=&quot;007F7750&quot;/&gt;&lt;wsp:rsid wsp:val=&quot;007F7A25&quot;/&gt;&lt;wsp:rsid wsp:val=&quot;007F7C57&quot;/&gt;&lt;wsp:rsid wsp:val=&quot;007F7C76&quot;/&gt;&lt;wsp:rsid wsp:val=&quot;007F7FB6&quot;/&gt;&lt;wsp:rsid wsp:val=&quot;00800125&quot;/&gt;&lt;wsp:rsid wsp:val=&quot;00800589&quot;/&gt;&lt;wsp:rsid wsp:val=&quot;008011C4&quot;/&gt;&lt;wsp:rsid wsp:val=&quot;008015ED&quot;/&gt;&lt;wsp:rsid wsp:val=&quot;00801695&quot;/&gt;&lt;wsp:rsid wsp:val=&quot;00801A3B&quot;/&gt;&lt;wsp:rsid wsp:val=&quot;00801BB7&quot;/&gt;&lt;wsp:rsid wsp:val=&quot;00801CF4&quot;/&gt;&lt;wsp:rsid wsp:val=&quot;00802650&quot;/&gt;&lt;wsp:rsid wsp:val=&quot;00802D67&quot;/&gt;&lt;wsp:rsid wsp:val=&quot;008032D8&quot;/&gt;&lt;wsp:rsid wsp:val=&quot;00803C6D&quot;/&gt;&lt;wsp:rsid wsp:val=&quot;00803D41&quot;/&gt;&lt;wsp:rsid wsp:val=&quot;0080424E&quot;/&gt;&lt;wsp:rsid wsp:val=&quot;0080459F&quot;/&gt;&lt;wsp:rsid wsp:val=&quot;00804D30&quot;/&gt;&lt;wsp:rsid wsp:val=&quot;00804D6B&quot;/&gt;&lt;wsp:rsid wsp:val=&quot;00805030&quot;/&gt;&lt;wsp:rsid wsp:val=&quot;0080558A&quot;/&gt;&lt;wsp:rsid wsp:val=&quot;0080586E&quot;/&gt;&lt;wsp:rsid wsp:val=&quot;00805CF8&quot;/&gt;&lt;wsp:rsid wsp:val=&quot;00805E47&quot;/&gt;&lt;wsp:rsid wsp:val=&quot;00805E6E&quot;/&gt;&lt;wsp:rsid wsp:val=&quot;008060EE&quot;/&gt;&lt;wsp:rsid wsp:val=&quot;008063FA&quot;/&gt;&lt;wsp:rsid wsp:val=&quot;008068F3&quot;/&gt;&lt;wsp:rsid wsp:val=&quot;008069E3&quot;/&gt;&lt;wsp:rsid wsp:val=&quot;00807234&quot;/&gt;&lt;wsp:rsid wsp:val=&quot;0080723B&quot;/&gt;&lt;wsp:rsid wsp:val=&quot;008075D7&quot;/&gt;&lt;wsp:rsid wsp:val=&quot;00807D03&quot;/&gt;&lt;wsp:rsid wsp:val=&quot;00807F3E&quot;/&gt;&lt;wsp:rsid wsp:val=&quot;008103DD&quot;/&gt;&lt;wsp:rsid wsp:val=&quot;00810924&quot;/&gt;&lt;wsp:rsid wsp:val=&quot;008110BC&quot;/&gt;&lt;wsp:rsid wsp:val=&quot;0081152E&quot;/&gt;&lt;wsp:rsid wsp:val=&quot;008117F4&quot;/&gt;&lt;wsp:rsid wsp:val=&quot;00811856&quot;/&gt;&lt;wsp:rsid wsp:val=&quot;00812522&quot;/&gt;&lt;wsp:rsid wsp:val=&quot;00812BC5&quot;/&gt;&lt;wsp:rsid wsp:val=&quot;00812DD0&quot;/&gt;&lt;wsp:rsid wsp:val=&quot;008137BA&quot;/&gt;&lt;wsp:rsid wsp:val=&quot;008137D9&quot;/&gt;&lt;wsp:rsid wsp:val=&quot;00813928&quot;/&gt;&lt;wsp:rsid wsp:val=&quot;00813CB4&quot;/&gt;&lt;wsp:rsid wsp:val=&quot;00813F87&quot;/&gt;&lt;wsp:rsid wsp:val=&quot;00813FB6&quot;/&gt;&lt;wsp:rsid wsp:val=&quot;00814155&quot;/&gt;&lt;wsp:rsid wsp:val=&quot;0081416D&quot;/&gt;&lt;wsp:rsid wsp:val=&quot;0081466F&quot;/&gt;&lt;wsp:rsid wsp:val=&quot;00814842&quot;/&gt;&lt;wsp:rsid wsp:val=&quot;00814E7E&quot;/&gt;&lt;wsp:rsid wsp:val=&quot;00814F4B&quot;/&gt;&lt;wsp:rsid wsp:val=&quot;00815291&quot;/&gt;&lt;wsp:rsid wsp:val=&quot;008152FF&quot;/&gt;&lt;wsp:rsid wsp:val=&quot;00815466&quot;/&gt;&lt;wsp:rsid wsp:val=&quot;008159FE&quot;/&gt;&lt;wsp:rsid wsp:val=&quot;00815C35&quot;/&gt;&lt;wsp:rsid wsp:val=&quot;00815C82&quot;/&gt;&lt;wsp:rsid wsp:val=&quot;00816463&quot;/&gt;&lt;wsp:rsid wsp:val=&quot;00816796&quot;/&gt;&lt;wsp:rsid wsp:val=&quot;0081698E&quot;/&gt;&lt;wsp:rsid wsp:val=&quot;00816D50&quot;/&gt;&lt;wsp:rsid wsp:val=&quot;0081752E&quot;/&gt;&lt;wsp:rsid wsp:val=&quot;00817F76&quot;/&gt;&lt;wsp:rsid wsp:val=&quot;00820102&quot;/&gt;&lt;wsp:rsid wsp:val=&quot;008208F6&quot;/&gt;&lt;wsp:rsid wsp:val=&quot;00820C24&quot;/&gt;&lt;wsp:rsid wsp:val=&quot;00820FC8&quot;/&gt;&lt;wsp:rsid wsp:val=&quot;0082108C&quot;/&gt;&lt;wsp:rsid wsp:val=&quot;00821640&quot;/&gt;&lt;wsp:rsid wsp:val=&quot;00821D18&quot;/&gt;&lt;wsp:rsid wsp:val=&quot;00822620&quot;/&gt;&lt;wsp:rsid wsp:val=&quot;008227E5&quot;/&gt;&lt;wsp:rsid wsp:val=&quot;00822DA4&quot;/&gt;&lt;wsp:rsid wsp:val=&quot;00822EB8&quot;/&gt;&lt;wsp:rsid wsp:val=&quot;0082384C&quot;/&gt;&lt;wsp:rsid wsp:val=&quot;008240FF&quot;/&gt;&lt;wsp:rsid wsp:val=&quot;008243E9&quot;/&gt;&lt;wsp:rsid wsp:val=&quot;008246F5&quot;/&gt;&lt;wsp:rsid wsp:val=&quot;00824923&quot;/&gt;&lt;wsp:rsid wsp:val=&quot;00824B96&quot;/&gt;&lt;wsp:rsid wsp:val=&quot;00824DF4&quot;/&gt;&lt;wsp:rsid wsp:val=&quot;0082518D&quot;/&gt;&lt;wsp:rsid wsp:val=&quot;00825F44&quot;/&gt;&lt;wsp:rsid wsp:val=&quot;00825FAE&quot;/&gt;&lt;wsp:rsid wsp:val=&quot;008267DE&quot;/&gt;&lt;wsp:rsid wsp:val=&quot;00826D46&quot;/&gt;&lt;wsp:rsid wsp:val=&quot;00826EFD&quot;/&gt;&lt;wsp:rsid wsp:val=&quot;00827656&quot;/&gt;&lt;wsp:rsid wsp:val=&quot;008276BB&quot;/&gt;&lt;wsp:rsid wsp:val=&quot;00827753&quot;/&gt;&lt;wsp:rsid wsp:val=&quot;00827992&quot;/&gt;&lt;wsp:rsid wsp:val=&quot;008279BF&quot;/&gt;&lt;wsp:rsid wsp:val=&quot;008303CB&quot;/&gt;&lt;wsp:rsid wsp:val=&quot;00830AE4&quot;/&gt;&lt;wsp:rsid wsp:val=&quot;00830D15&quot;/&gt;&lt;wsp:rsid wsp:val=&quot;00830DCC&quot;/&gt;&lt;wsp:rsid wsp:val=&quot;00830EFF&quot;/&gt;&lt;wsp:rsid wsp:val=&quot;008310EE&quot;/&gt;&lt;wsp:rsid wsp:val=&quot;00831312&quot;/&gt;&lt;wsp:rsid wsp:val=&quot;00831663&quot;/&gt;&lt;wsp:rsid wsp:val=&quot;008318B9&quot;/&gt;&lt;wsp:rsid wsp:val=&quot;0083198C&quot;/&gt;&lt;wsp:rsid wsp:val=&quot;00831A4B&quot;/&gt;&lt;wsp:rsid wsp:val=&quot;00831E96&quot;/&gt;&lt;wsp:rsid wsp:val=&quot;00832409&quot;/&gt;&lt;wsp:rsid wsp:val=&quot;008325C4&quot;/&gt;&lt;wsp:rsid wsp:val=&quot;00832F48&quot;/&gt;&lt;wsp:rsid wsp:val=&quot;00833495&quot;/&gt;&lt;wsp:rsid wsp:val=&quot;00833B5D&quot;/&gt;&lt;wsp:rsid wsp:val=&quot;00834015&quot;/&gt;&lt;wsp:rsid wsp:val=&quot;0083419D&quot;/&gt;&lt;wsp:rsid wsp:val=&quot;008345B4&quot;/&gt;&lt;wsp:rsid wsp:val=&quot;008345BF&quot;/&gt;&lt;wsp:rsid wsp:val=&quot;0083490E&quot;/&gt;&lt;wsp:rsid wsp:val=&quot;008349E9&quot;/&gt;&lt;wsp:rsid wsp:val=&quot;008359EB&quot;/&gt;&lt;wsp:rsid wsp:val=&quot;008359F5&quot;/&gt;&lt;wsp:rsid wsp:val=&quot;00835A49&quot;/&gt;&lt;wsp:rsid wsp:val=&quot;00835B52&quot;/&gt;&lt;wsp:rsid wsp:val=&quot;00836003&quot;/&gt;&lt;wsp:rsid wsp:val=&quot;00836940&quot;/&gt;&lt;wsp:rsid wsp:val=&quot;008369BB&quot;/&gt;&lt;wsp:rsid wsp:val=&quot;00836F5C&quot;/&gt;&lt;wsp:rsid wsp:val=&quot;008371FC&quot;/&gt;&lt;wsp:rsid wsp:val=&quot;0083766E&quot;/&gt;&lt;wsp:rsid wsp:val=&quot;00840100&quot;/&gt;&lt;wsp:rsid wsp:val=&quot;0084011C&quot;/&gt;&lt;wsp:rsid wsp:val=&quot;00840634&quot;/&gt;&lt;wsp:rsid wsp:val=&quot;008407F6&quot;/&gt;&lt;wsp:rsid wsp:val=&quot;00840AAC&quot;/&gt;&lt;wsp:rsid wsp:val=&quot;00840DF5&quot;/&gt;&lt;wsp:rsid wsp:val=&quot;008411D5&quot;/&gt;&lt;wsp:rsid wsp:val=&quot;008416B7&quot;/&gt;&lt;wsp:rsid wsp:val=&quot;00841B10&quot;/&gt;&lt;wsp:rsid wsp:val=&quot;00841E06&quot;/&gt;&lt;wsp:rsid wsp:val=&quot;0084270C&quot;/&gt;&lt;wsp:rsid wsp:val=&quot;00842A42&quot;/&gt;&lt;wsp:rsid wsp:val=&quot;00842CE6&quot;/&gt;&lt;wsp:rsid wsp:val=&quot;00842DFF&quot;/&gt;&lt;wsp:rsid wsp:val=&quot;00843EB7&quot;/&gt;&lt;wsp:rsid wsp:val=&quot;00844066&quot;/&gt;&lt;wsp:rsid wsp:val=&quot;00844405&quot;/&gt;&lt;wsp:rsid wsp:val=&quot;00844AB7&quot;/&gt;&lt;wsp:rsid wsp:val=&quot;00844C2F&quot;/&gt;&lt;wsp:rsid wsp:val=&quot;00845212&quot;/&gt;&lt;wsp:rsid wsp:val=&quot;00845B59&quot;/&gt;&lt;wsp:rsid wsp:val=&quot;0084617E&quot;/&gt;&lt;wsp:rsid wsp:val=&quot;008461D2&quot;/&gt;&lt;wsp:rsid wsp:val=&quot;008461E2&quot;/&gt;&lt;wsp:rsid wsp:val=&quot;008468E7&quot;/&gt;&lt;wsp:rsid wsp:val=&quot;00846BB4&quot;/&gt;&lt;wsp:rsid wsp:val=&quot;00846C1F&quot;/&gt;&lt;wsp:rsid wsp:val=&quot;008470AD&quot;/&gt;&lt;wsp:rsid wsp:val=&quot;00847206&quot;/&gt;&lt;wsp:rsid wsp:val=&quot;0084763D&quot;/&gt;&lt;wsp:rsid wsp:val=&quot;008500F2&quot;/&gt;&lt;wsp:rsid wsp:val=&quot;00850134&quot;/&gt;&lt;wsp:rsid wsp:val=&quot;008509EA&quot;/&gt;&lt;wsp:rsid wsp:val=&quot;00850D3C&quot;/&gt;&lt;wsp:rsid wsp:val=&quot;008510E5&quot;/&gt;&lt;wsp:rsid wsp:val=&quot;0085123F&quot;/&gt;&lt;wsp:rsid wsp:val=&quot;00851D73&quot;/&gt;&lt;wsp:rsid wsp:val=&quot;00852200&quot;/&gt;&lt;wsp:rsid wsp:val=&quot;0085231E&quot;/&gt;&lt;wsp:rsid wsp:val=&quot;0085235E&quot;/&gt;&lt;wsp:rsid wsp:val=&quot;008524B3&quot;/&gt;&lt;wsp:rsid wsp:val=&quot;00852EEA&quot;/&gt;&lt;wsp:rsid wsp:val=&quot;00852F16&quot;/&gt;&lt;wsp:rsid wsp:val=&quot;008538E3&quot;/&gt;&lt;wsp:rsid wsp:val=&quot;00853AA1&quot;/&gt;&lt;wsp:rsid wsp:val=&quot;00853CE9&quot;/&gt;&lt;wsp:rsid wsp:val=&quot;00853E34&quot;/&gt;&lt;wsp:rsid wsp:val=&quot;00853E80&quot;/&gt;&lt;wsp:rsid wsp:val=&quot;008541CB&quot;/&gt;&lt;wsp:rsid wsp:val=&quot;008544A1&quot;/&gt;&lt;wsp:rsid wsp:val=&quot;008544CA&quot;/&gt;&lt;wsp:rsid wsp:val=&quot;008546B4&quot;/&gt;&lt;wsp:rsid wsp:val=&quot;00854A9C&quot;/&gt;&lt;wsp:rsid wsp:val=&quot;00854C78&quot;/&gt;&lt;wsp:rsid wsp:val=&quot;0085518A&quot;/&gt;&lt;wsp:rsid wsp:val=&quot;00855538&quot;/&gt;&lt;wsp:rsid wsp:val=&quot;00855A2A&quot;/&gt;&lt;wsp:rsid wsp:val=&quot;00855C51&quot;/&gt;&lt;wsp:rsid wsp:val=&quot;00856270&quot;/&gt;&lt;wsp:rsid wsp:val=&quot;00856614&quot;/&gt;&lt;wsp:rsid wsp:val=&quot;0085665F&quot;/&gt;&lt;wsp:rsid wsp:val=&quot;00856A5B&quot;/&gt;&lt;wsp:rsid wsp:val=&quot;00856EB8&quot;/&gt;&lt;wsp:rsid wsp:val=&quot;00856EFB&quot;/&gt;&lt;wsp:rsid wsp:val=&quot;0085724F&quot;/&gt;&lt;wsp:rsid wsp:val=&quot;0085766B&quot;/&gt;&lt;wsp:rsid wsp:val=&quot;00857736&quot;/&gt;&lt;wsp:rsid wsp:val=&quot;00860309&quot;/&gt;&lt;wsp:rsid wsp:val=&quot;00860720&quot;/&gt;&lt;wsp:rsid wsp:val=&quot;0086074E&quot;/&gt;&lt;wsp:rsid wsp:val=&quot;00860ECE&quot;/&gt;&lt;wsp:rsid wsp:val=&quot;0086105A&quot;/&gt;&lt;wsp:rsid wsp:val=&quot;008613DC&quot;/&gt;&lt;wsp:rsid wsp:val=&quot;0086163E&quot;/&gt;&lt;wsp:rsid wsp:val=&quot;008619E7&quot;/&gt;&lt;wsp:rsid wsp:val=&quot;00862064&quot;/&gt;&lt;wsp:rsid wsp:val=&quot;008623F6&quot;/&gt;&lt;wsp:rsid wsp:val=&quot;008626C5&quot;/&gt;&lt;wsp:rsid wsp:val=&quot;00862C2C&quot;/&gt;&lt;wsp:rsid wsp:val=&quot;00862CBE&quot;/&gt;&lt;wsp:rsid wsp:val=&quot;00862CC6&quot;/&gt;&lt;wsp:rsid wsp:val=&quot;00862F76&quot;/&gt;&lt;wsp:rsid wsp:val=&quot;00863013&quot;/&gt;&lt;wsp:rsid wsp:val=&quot;00864149&quot;/&gt;&lt;wsp:rsid wsp:val=&quot;008644EA&quot;/&gt;&lt;wsp:rsid wsp:val=&quot;0086457D&quot;/&gt;&lt;wsp:rsid wsp:val=&quot;008648AD&quot;/&gt;&lt;wsp:rsid wsp:val=&quot;0086528B&quot;/&gt;&lt;wsp:rsid wsp:val=&quot;00865E4A&quot;/&gt;&lt;wsp:rsid wsp:val=&quot;00866041&quot;/&gt;&lt;wsp:rsid wsp:val=&quot;008663D9&quot;/&gt;&lt;wsp:rsid wsp:val=&quot;00866475&quot;/&gt;&lt;wsp:rsid wsp:val=&quot;008666CB&quot;/&gt;&lt;wsp:rsid wsp:val=&quot;00866C8A&quot;/&gt;&lt;wsp:rsid wsp:val=&quot;00866FD8&quot;/&gt;&lt;wsp:rsid wsp:val=&quot;00867317&quot;/&gt;&lt;wsp:rsid wsp:val=&quot;008679B9&quot;/&gt;&lt;wsp:rsid wsp:val=&quot;00867BE3&quot;/&gt;&lt;wsp:rsid wsp:val=&quot;008702F8&quot;/&gt;&lt;wsp:rsid wsp:val=&quot;008703D9&quot;/&gt;&lt;wsp:rsid wsp:val=&quot;00870565&quot;/&gt;&lt;wsp:rsid wsp:val=&quot;008712C3&quot;/&gt;&lt;wsp:rsid wsp:val=&quot;0087143E&quot;/&gt;&lt;wsp:rsid wsp:val=&quot;00871A09&quot;/&gt;&lt;wsp:rsid wsp:val=&quot;00871B31&quot;/&gt;&lt;wsp:rsid wsp:val=&quot;00871C0F&quot;/&gt;&lt;wsp:rsid wsp:val=&quot;00871FCD&quot;/&gt;&lt;wsp:rsid wsp:val=&quot;008721C3&quot;/&gt;&lt;wsp:rsid wsp:val=&quot;008722A4&quot;/&gt;&lt;wsp:rsid wsp:val=&quot;00872393&quot;/&gt;&lt;wsp:rsid wsp:val=&quot;00872591&quot;/&gt;&lt;wsp:rsid wsp:val=&quot;0087277C&quot;/&gt;&lt;wsp:rsid wsp:val=&quot;00872896&quot;/&gt;&lt;wsp:rsid wsp:val=&quot;0087289C&quot;/&gt;&lt;wsp:rsid wsp:val=&quot;00872AE8&quot;/&gt;&lt;wsp:rsid wsp:val=&quot;00872B75&quot;/&gt;&lt;wsp:rsid wsp:val=&quot;008731CB&quot;/&gt;&lt;wsp:rsid wsp:val=&quot;0087366B&quot;/&gt;&lt;wsp:rsid wsp:val=&quot;00874CBC&quot;/&gt;&lt;wsp:rsid wsp:val=&quot;00874CD7&quot;/&gt;&lt;wsp:rsid wsp:val=&quot;0087556F&quot;/&gt;&lt;wsp:rsid wsp:val=&quot;008755B0&quot;/&gt;&lt;wsp:rsid wsp:val=&quot;0087569A&quot;/&gt;&lt;wsp:rsid wsp:val=&quot;00875D94&quot;/&gt;&lt;wsp:rsid wsp:val=&quot;00875EDA&quot;/&gt;&lt;wsp:rsid wsp:val=&quot;00876239&quot;/&gt;&lt;wsp:rsid wsp:val=&quot;00876340&quot;/&gt;&lt;wsp:rsid wsp:val=&quot;0087678D&quot;/&gt;&lt;wsp:rsid wsp:val=&quot;008769E3&quot;/&gt;&lt;wsp:rsid wsp:val=&quot;00876E84&quot;/&gt;&lt;wsp:rsid wsp:val=&quot;00876FF7&quot;/&gt;&lt;wsp:rsid wsp:val=&quot;00877161&quot;/&gt;&lt;wsp:rsid wsp:val=&quot;008779E6&quot;/&gt;&lt;wsp:rsid wsp:val=&quot;00877B53&quot;/&gt;&lt;wsp:rsid wsp:val=&quot;00877C15&quot;/&gt;&lt;wsp:rsid wsp:val=&quot;00877DBC&quot;/&gt;&lt;wsp:rsid wsp:val=&quot;00877E2E&quot;/&gt;&lt;wsp:rsid wsp:val=&quot;00880540&quot;/&gt;&lt;wsp:rsid wsp:val=&quot;00880E78&quot;/&gt;&lt;wsp:rsid wsp:val=&quot;00881098&quot;/&gt;&lt;wsp:rsid wsp:val=&quot;0088123F&quot;/&gt;&lt;wsp:rsid wsp:val=&quot;00881278&quot;/&gt;&lt;wsp:rsid wsp:val=&quot;0088153E&quot;/&gt;&lt;wsp:rsid wsp:val=&quot;00881A78&quot;/&gt;&lt;wsp:rsid wsp:val=&quot;00881C83&quot;/&gt;&lt;wsp:rsid wsp:val=&quot;00881C9B&quot;/&gt;&lt;wsp:rsid wsp:val=&quot;00882509&quot;/&gt;&lt;wsp:rsid wsp:val=&quot;0088274C&quot;/&gt;&lt;wsp:rsid wsp:val=&quot;00882AC8&quot;/&gt;&lt;wsp:rsid wsp:val=&quot;00882E90&quot;/&gt;&lt;wsp:rsid wsp:val=&quot;008836DF&quot;/&gt;&lt;wsp:rsid wsp:val=&quot;008837F7&quot;/&gt;&lt;wsp:rsid wsp:val=&quot;00883BB7&quot;/&gt;&lt;wsp:rsid wsp:val=&quot;00884469&quot;/&gt;&lt;wsp:rsid wsp:val=&quot;008848A2&quot;/&gt;&lt;wsp:rsid wsp:val=&quot;00884C50&quot;/&gt;&lt;wsp:rsid wsp:val=&quot;00884CD4&quot;/&gt;&lt;wsp:rsid wsp:val=&quot;008858FB&quot;/&gt;&lt;wsp:rsid wsp:val=&quot;00885F57&quot;/&gt;&lt;wsp:rsid wsp:val=&quot;0088685D&quot;/&gt;&lt;wsp:rsid wsp:val=&quot;00886CE4&quot;/&gt;&lt;wsp:rsid wsp:val=&quot;00890330&quot;/&gt;&lt;wsp:rsid wsp:val=&quot;0089078F&quot;/&gt;&lt;wsp:rsid wsp:val=&quot;00890835&quot;/&gt;&lt;wsp:rsid wsp:val=&quot;00890B00&quot;/&gt;&lt;wsp:rsid wsp:val=&quot;008910DD&quot;/&gt;&lt;wsp:rsid wsp:val=&quot;008914FE&quot;/&gt;&lt;wsp:rsid wsp:val=&quot;00891788&quot;/&gt;&lt;wsp:rsid wsp:val=&quot;00891D83&quot;/&gt;&lt;wsp:rsid wsp:val=&quot;00891E45&quot;/&gt;&lt;wsp:rsid wsp:val=&quot;00892360&quot;/&gt;&lt;wsp:rsid wsp:val=&quot;00892545&quot;/&gt;&lt;wsp:rsid wsp:val=&quot;00892660&quot;/&gt;&lt;wsp:rsid wsp:val=&quot;008926B3&quot;/&gt;&lt;wsp:rsid wsp:val=&quot;00892B7A&quot;/&gt;&lt;wsp:rsid wsp:val=&quot;00892F8C&quot;/&gt;&lt;wsp:rsid wsp:val=&quot;00893051&quot;/&gt;&lt;wsp:rsid wsp:val=&quot;0089347F&quot;/&gt;&lt;wsp:rsid wsp:val=&quot;008939D3&quot;/&gt;&lt;wsp:rsid wsp:val=&quot;00894096&quot;/&gt;&lt;wsp:rsid wsp:val=&quot;0089421F&quot;/&gt;&lt;wsp:rsid wsp:val=&quot;008943D5&quot;/&gt;&lt;wsp:rsid wsp:val=&quot;00894A10&quot;/&gt;&lt;wsp:rsid wsp:val=&quot;00894DEB&quot;/&gt;&lt;wsp:rsid wsp:val=&quot;00894E64&quot;/&gt;&lt;wsp:rsid wsp:val=&quot;0089535F&quot;/&gt;&lt;wsp:rsid wsp:val=&quot;008955D8&quot;/&gt;&lt;wsp:rsid wsp:val=&quot;008957CE&quot;/&gt;&lt;wsp:rsid wsp:val=&quot;00895B4E&quot;/&gt;&lt;wsp:rsid wsp:val=&quot;00895DB5&quot;/&gt;&lt;wsp:rsid wsp:val=&quot;00895E8B&quot;/&gt;&lt;wsp:rsid wsp:val=&quot;00896A43&quot;/&gt;&lt;wsp:rsid wsp:val=&quot;00896AF6&quot;/&gt;&lt;wsp:rsid wsp:val=&quot;00896B67&quot;/&gt;&lt;wsp:rsid wsp:val=&quot;00896C40&quot;/&gt;&lt;wsp:rsid wsp:val=&quot;008970CC&quot;/&gt;&lt;wsp:rsid wsp:val=&quot;0089728E&quot;/&gt;&lt;wsp:rsid wsp:val=&quot;008974F1&quot;/&gt;&lt;wsp:rsid wsp:val=&quot;00897B02&quot;/&gt;&lt;wsp:rsid wsp:val=&quot;00897C6B&quot;/&gt;&lt;wsp:rsid wsp:val=&quot;00897E7A&quot;/&gt;&lt;wsp:rsid wsp:val=&quot;008A00ED&quot;/&gt;&lt;wsp:rsid wsp:val=&quot;008A0547&quot;/&gt;&lt;wsp:rsid wsp:val=&quot;008A0FE4&quot;/&gt;&lt;wsp:rsid wsp:val=&quot;008A1013&quot;/&gt;&lt;wsp:rsid wsp:val=&quot;008A12BE&quot;/&gt;&lt;wsp:rsid wsp:val=&quot;008A1E46&quot;/&gt;&lt;wsp:rsid wsp:val=&quot;008A1FD1&quot;/&gt;&lt;wsp:rsid wsp:val=&quot;008A20DF&quot;/&gt;&lt;wsp:rsid wsp:val=&quot;008A24A4&quot;/&gt;&lt;wsp:rsid wsp:val=&quot;008A2697&quot;/&gt;&lt;wsp:rsid wsp:val=&quot;008A297A&quot;/&gt;&lt;wsp:rsid wsp:val=&quot;008A2AFD&quot;/&gt;&lt;wsp:rsid wsp:val=&quot;008A2BEE&quot;/&gt;&lt;wsp:rsid wsp:val=&quot;008A31BD&quot;/&gt;&lt;wsp:rsid wsp:val=&quot;008A342D&quot;/&gt;&lt;wsp:rsid wsp:val=&quot;008A3480&quot;/&gt;&lt;wsp:rsid wsp:val=&quot;008A3498&quot;/&gt;&lt;wsp:rsid wsp:val=&quot;008A35D3&quot;/&gt;&lt;wsp:rsid wsp:val=&quot;008A36E0&quot;/&gt;&lt;wsp:rsid wsp:val=&quot;008A38A9&quot;/&gt;&lt;wsp:rsid wsp:val=&quot;008A3C20&quot;/&gt;&lt;wsp:rsid wsp:val=&quot;008A3D2A&quot;/&gt;&lt;wsp:rsid wsp:val=&quot;008A3EB1&quot;/&gt;&lt;wsp:rsid wsp:val=&quot;008A3EC1&quot;/&gt;&lt;wsp:rsid wsp:val=&quot;008A413D&quot;/&gt;&lt;wsp:rsid wsp:val=&quot;008A4B83&quot;/&gt;&lt;wsp:rsid wsp:val=&quot;008A4F91&quot;/&gt;&lt;wsp:rsid wsp:val=&quot;008A6840&quot;/&gt;&lt;wsp:rsid wsp:val=&quot;008A6AC5&quot;/&gt;&lt;wsp:rsid wsp:val=&quot;008A6B6C&quot;/&gt;&lt;wsp:rsid wsp:val=&quot;008A6C57&quot;/&gt;&lt;wsp:rsid wsp:val=&quot;008A6D31&quot;/&gt;&lt;wsp:rsid wsp:val=&quot;008A6D33&quot;/&gt;&lt;wsp:rsid wsp:val=&quot;008A6E55&quot;/&gt;&lt;wsp:rsid wsp:val=&quot;008A6F6F&quot;/&gt;&lt;wsp:rsid wsp:val=&quot;008A71DA&quot;/&gt;&lt;wsp:rsid wsp:val=&quot;008A71F1&quot;/&gt;&lt;wsp:rsid wsp:val=&quot;008A729A&quot;/&gt;&lt;wsp:rsid wsp:val=&quot;008A74B8&quot;/&gt;&lt;wsp:rsid wsp:val=&quot;008A7504&quot;/&gt;&lt;wsp:rsid wsp:val=&quot;008A7CC6&quot;/&gt;&lt;wsp:rsid wsp:val=&quot;008A7F91&quot;/&gt;&lt;wsp:rsid wsp:val=&quot;008B0115&quot;/&gt;&lt;wsp:rsid wsp:val=&quot;008B0407&quot;/&gt;&lt;wsp:rsid wsp:val=&quot;008B043B&quot;/&gt;&lt;wsp:rsid wsp:val=&quot;008B0656&quot;/&gt;&lt;wsp:rsid wsp:val=&quot;008B0A10&quot;/&gt;&lt;wsp:rsid wsp:val=&quot;008B0AEA&quot;/&gt;&lt;wsp:rsid wsp:val=&quot;008B0DE6&quot;/&gt;&lt;wsp:rsid wsp:val=&quot;008B0E42&quot;/&gt;&lt;wsp:rsid wsp:val=&quot;008B103A&quot;/&gt;&lt;wsp:rsid wsp:val=&quot;008B1621&quot;/&gt;&lt;wsp:rsid wsp:val=&quot;008B1A93&quot;/&gt;&lt;wsp:rsid wsp:val=&quot;008B2041&quot;/&gt;&lt;wsp:rsid wsp:val=&quot;008B229B&quot;/&gt;&lt;wsp:rsid wsp:val=&quot;008B2473&quot;/&gt;&lt;wsp:rsid wsp:val=&quot;008B28D9&quot;/&gt;&lt;wsp:rsid wsp:val=&quot;008B34F3&quot;/&gt;&lt;wsp:rsid wsp:val=&quot;008B3697&quot;/&gt;&lt;wsp:rsid wsp:val=&quot;008B378A&quot;/&gt;&lt;wsp:rsid wsp:val=&quot;008B3D95&quot;/&gt;&lt;wsp:rsid wsp:val=&quot;008B41AE&quot;/&gt;&lt;wsp:rsid wsp:val=&quot;008B4461&quot;/&gt;&lt;wsp:rsid wsp:val=&quot;008B46D9&quot;/&gt;&lt;wsp:rsid wsp:val=&quot;008B48F9&quot;/&gt;&lt;wsp:rsid wsp:val=&quot;008B4924&quot;/&gt;&lt;wsp:rsid wsp:val=&quot;008B4BEB&quot;/&gt;&lt;wsp:rsid wsp:val=&quot;008B56A4&quot;/&gt;&lt;wsp:rsid wsp:val=&quot;008B5816&quot;/&gt;&lt;wsp:rsid wsp:val=&quot;008B5A79&quot;/&gt;&lt;wsp:rsid wsp:val=&quot;008B5CDC&quot;/&gt;&lt;wsp:rsid wsp:val=&quot;008B60B1&quot;/&gt;&lt;wsp:rsid wsp:val=&quot;008B6A43&quot;/&gt;&lt;wsp:rsid wsp:val=&quot;008B7359&quot;/&gt;&lt;wsp:rsid wsp:val=&quot;008B74CC&quot;/&gt;&lt;wsp:rsid wsp:val=&quot;008B7A4A&quot;/&gt;&lt;wsp:rsid wsp:val=&quot;008B7FD9&quot;/&gt;&lt;wsp:rsid wsp:val=&quot;008C0097&quot;/&gt;&lt;wsp:rsid wsp:val=&quot;008C06B0&quot;/&gt;&lt;wsp:rsid wsp:val=&quot;008C144E&quot;/&gt;&lt;wsp:rsid wsp:val=&quot;008C1477&quot;/&gt;&lt;wsp:rsid wsp:val=&quot;008C14B0&quot;/&gt;&lt;wsp:rsid wsp:val=&quot;008C1662&quot;/&gt;&lt;wsp:rsid wsp:val=&quot;008C1A84&quot;/&gt;&lt;wsp:rsid wsp:val=&quot;008C25A2&quot;/&gt;&lt;wsp:rsid wsp:val=&quot;008C2810&quot;/&gt;&lt;wsp:rsid wsp:val=&quot;008C2A9B&quot;/&gt;&lt;wsp:rsid wsp:val=&quot;008C2B4F&quot;/&gt;&lt;wsp:rsid wsp:val=&quot;008C2D15&quot;/&gt;&lt;wsp:rsid wsp:val=&quot;008C3315&quot;/&gt;&lt;wsp:rsid wsp:val=&quot;008C360A&quot;/&gt;&lt;wsp:rsid wsp:val=&quot;008C3771&quot;/&gt;&lt;wsp:rsid wsp:val=&quot;008C3933&quot;/&gt;&lt;wsp:rsid wsp:val=&quot;008C3BF8&quot;/&gt;&lt;wsp:rsid wsp:val=&quot;008C3D82&quot;/&gt;&lt;wsp:rsid wsp:val=&quot;008C415D&quot;/&gt;&lt;wsp:rsid wsp:val=&quot;008C42C7&quot;/&gt;&lt;wsp:rsid wsp:val=&quot;008C45CF&quot;/&gt;&lt;wsp:rsid wsp:val=&quot;008C572D&quot;/&gt;&lt;wsp:rsid wsp:val=&quot;008C58D1&quot;/&gt;&lt;wsp:rsid wsp:val=&quot;008C593D&quot;/&gt;&lt;wsp:rsid wsp:val=&quot;008C5FCF&quot;/&gt;&lt;wsp:rsid wsp:val=&quot;008C6149&quot;/&gt;&lt;wsp:rsid wsp:val=&quot;008C67CD&quot;/&gt;&lt;wsp:rsid wsp:val=&quot;008C68C0&quot;/&gt;&lt;wsp:rsid wsp:val=&quot;008C6C4E&quot;/&gt;&lt;wsp:rsid wsp:val=&quot;008C7C21&quot;/&gt;&lt;wsp:rsid wsp:val=&quot;008C7CCA&quot;/&gt;&lt;wsp:rsid wsp:val=&quot;008C7DD4&quot;/&gt;&lt;wsp:rsid wsp:val=&quot;008D01B7&quot;/&gt;&lt;wsp:rsid wsp:val=&quot;008D026B&quot;/&gt;&lt;wsp:rsid wsp:val=&quot;008D0759&quot;/&gt;&lt;wsp:rsid wsp:val=&quot;008D0A83&quot;/&gt;&lt;wsp:rsid wsp:val=&quot;008D0D13&quot;/&gt;&lt;wsp:rsid wsp:val=&quot;008D0EA5&quot;/&gt;&lt;wsp:rsid wsp:val=&quot;008D0EC0&quot;/&gt;&lt;wsp:rsid wsp:val=&quot;008D14AA&quot;/&gt;&lt;wsp:rsid wsp:val=&quot;008D1524&quot;/&gt;&lt;wsp:rsid wsp:val=&quot;008D1682&quot;/&gt;&lt;wsp:rsid wsp:val=&quot;008D18C3&quot;/&gt;&lt;wsp:rsid wsp:val=&quot;008D1ADA&quot;/&gt;&lt;wsp:rsid wsp:val=&quot;008D1EA6&quot;/&gt;&lt;wsp:rsid wsp:val=&quot;008D1F51&quot;/&gt;&lt;wsp:rsid wsp:val=&quot;008D1FFB&quot;/&gt;&lt;wsp:rsid wsp:val=&quot;008D20B5&quot;/&gt;&lt;wsp:rsid wsp:val=&quot;008D2227&quot;/&gt;&lt;wsp:rsid wsp:val=&quot;008D22A8&quot;/&gt;&lt;wsp:rsid wsp:val=&quot;008D22C7&quot;/&gt;&lt;wsp:rsid wsp:val=&quot;008D2904&quot;/&gt;&lt;wsp:rsid wsp:val=&quot;008D2A2C&quot;/&gt;&lt;wsp:rsid wsp:val=&quot;008D2B0C&quot;/&gt;&lt;wsp:rsid wsp:val=&quot;008D3227&quot;/&gt;&lt;wsp:rsid wsp:val=&quot;008D401E&quot;/&gt;&lt;wsp:rsid wsp:val=&quot;008D4832&quot;/&gt;&lt;wsp:rsid wsp:val=&quot;008D498A&quot;/&gt;&lt;wsp:rsid wsp:val=&quot;008D4B52&quot;/&gt;&lt;wsp:rsid wsp:val=&quot;008D4F03&quot;/&gt;&lt;wsp:rsid wsp:val=&quot;008D4F7F&quot;/&gt;&lt;wsp:rsid wsp:val=&quot;008D569C&quot;/&gt;&lt;wsp:rsid wsp:val=&quot;008D5700&quot;/&gt;&lt;wsp:rsid wsp:val=&quot;008D576F&quot;/&gt;&lt;wsp:rsid wsp:val=&quot;008D63DE&quot;/&gt;&lt;wsp:rsid wsp:val=&quot;008D679D&quot;/&gt;&lt;wsp:rsid wsp:val=&quot;008D6A72&quot;/&gt;&lt;wsp:rsid wsp:val=&quot;008D6A73&quot;/&gt;&lt;wsp:rsid wsp:val=&quot;008D6BDA&quot;/&gt;&lt;wsp:rsid wsp:val=&quot;008D6C69&quot;/&gt;&lt;wsp:rsid wsp:val=&quot;008D716D&quot;/&gt;&lt;wsp:rsid wsp:val=&quot;008D7D84&quot;/&gt;&lt;wsp:rsid wsp:val=&quot;008E01D1&quot;/&gt;&lt;wsp:rsid wsp:val=&quot;008E0325&quot;/&gt;&lt;wsp:rsid wsp:val=&quot;008E04CB&quot;/&gt;&lt;wsp:rsid wsp:val=&quot;008E0EB6&quot;/&gt;&lt;wsp:rsid wsp:val=&quot;008E0EF6&quot;/&gt;&lt;wsp:rsid wsp:val=&quot;008E105A&quot;/&gt;&lt;wsp:rsid wsp:val=&quot;008E1363&quot;/&gt;&lt;wsp:rsid wsp:val=&quot;008E13C5&quot;/&gt;&lt;wsp:rsid wsp:val=&quot;008E1DB6&quot;/&gt;&lt;wsp:rsid wsp:val=&quot;008E23CB&quot;/&gt;&lt;wsp:rsid wsp:val=&quot;008E254F&quot;/&gt;&lt;wsp:rsid wsp:val=&quot;008E2953&quot;/&gt;&lt;wsp:rsid wsp:val=&quot;008E30B8&quot;/&gt;&lt;wsp:rsid wsp:val=&quot;008E3314&quot;/&gt;&lt;wsp:rsid wsp:val=&quot;008E3760&quot;/&gt;&lt;wsp:rsid wsp:val=&quot;008E3ECC&quot;/&gt;&lt;wsp:rsid wsp:val=&quot;008E40F1&quot;/&gt;&lt;wsp:rsid wsp:val=&quot;008E428A&quot;/&gt;&lt;wsp:rsid wsp:val=&quot;008E48D5&quot;/&gt;&lt;wsp:rsid wsp:val=&quot;008E4CE7&quot;/&gt;&lt;wsp:rsid wsp:val=&quot;008E5159&quot;/&gt;&lt;wsp:rsid wsp:val=&quot;008E53D0&quot;/&gt;&lt;wsp:rsid wsp:val=&quot;008E56F0&quot;/&gt;&lt;wsp:rsid wsp:val=&quot;008E5A1B&quot;/&gt;&lt;wsp:rsid wsp:val=&quot;008E5AB4&quot;/&gt;&lt;wsp:rsid wsp:val=&quot;008E6EEC&quot;/&gt;&lt;wsp:rsid wsp:val=&quot;008E746A&quot;/&gt;&lt;wsp:rsid wsp:val=&quot;008E774E&quot;/&gt;&lt;wsp:rsid wsp:val=&quot;008E7883&quot;/&gt;&lt;wsp:rsid wsp:val=&quot;008F02B6&quot;/&gt;&lt;wsp:rsid wsp:val=&quot;008F07DA&quot;/&gt;&lt;wsp:rsid wsp:val=&quot;008F0F64&quot;/&gt;&lt;wsp:rsid wsp:val=&quot;008F11A0&quot;/&gt;&lt;wsp:rsid wsp:val=&quot;008F20C0&quot;/&gt;&lt;wsp:rsid wsp:val=&quot;008F2482&quot;/&gt;&lt;wsp:rsid wsp:val=&quot;008F26E0&quot;/&gt;&lt;wsp:rsid wsp:val=&quot;008F2CCA&quot;/&gt;&lt;wsp:rsid wsp:val=&quot;008F2CE9&quot;/&gt;&lt;wsp:rsid wsp:val=&quot;008F2D5C&quot;/&gt;&lt;wsp:rsid wsp:val=&quot;008F2E62&quot;/&gt;&lt;wsp:rsid wsp:val=&quot;008F2FDB&quot;/&gt;&lt;wsp:rsid wsp:val=&quot;008F3A9F&quot;/&gt;&lt;wsp:rsid wsp:val=&quot;008F3FC3&quot;/&gt;&lt;wsp:rsid wsp:val=&quot;008F47FD&quot;/&gt;&lt;wsp:rsid wsp:val=&quot;008F51CF&quot;/&gt;&lt;wsp:rsid wsp:val=&quot;008F51D2&quot;/&gt;&lt;wsp:rsid wsp:val=&quot;008F521C&quot;/&gt;&lt;wsp:rsid wsp:val=&quot;008F563A&quot;/&gt;&lt;wsp:rsid wsp:val=&quot;008F5C44&quot;/&gt;&lt;wsp:rsid wsp:val=&quot;008F5FB5&quot;/&gt;&lt;wsp:rsid wsp:val=&quot;008F60D0&quot;/&gt;&lt;wsp:rsid wsp:val=&quot;008F6501&quot;/&gt;&lt;wsp:rsid wsp:val=&quot;008F665A&quot;/&gt;&lt;wsp:rsid wsp:val=&quot;008F66A7&quot;/&gt;&lt;wsp:rsid wsp:val=&quot;008F6E4C&quot;/&gt;&lt;wsp:rsid wsp:val=&quot;008F72A6&quot;/&gt;&lt;wsp:rsid wsp:val=&quot;008F7380&quot;/&gt;&lt;wsp:rsid wsp:val=&quot;008F73DB&quot;/&gt;&lt;wsp:rsid wsp:val=&quot;008F75D4&quot;/&gt;&lt;wsp:rsid wsp:val=&quot;008F77AE&quot;/&gt;&lt;wsp:rsid wsp:val=&quot;008F79F0&quot;/&gt;&lt;wsp:rsid wsp:val=&quot;00900C54&quot;/&gt;&lt;wsp:rsid wsp:val=&quot;009011A8&quot;/&gt;&lt;wsp:rsid wsp:val=&quot;00901998&quot;/&gt;&lt;wsp:rsid wsp:val=&quot;009019DB&quot;/&gt;&lt;wsp:rsid wsp:val=&quot;00901C46&quot;/&gt;&lt;wsp:rsid wsp:val=&quot;00901D2D&quot;/&gt;&lt;wsp:rsid wsp:val=&quot;009027DD&quot;/&gt;&lt;wsp:rsid wsp:val=&quot;00902E5B&quot;/&gt;&lt;wsp:rsid wsp:val=&quot;0090305D&quot;/&gt;&lt;wsp:rsid wsp:val=&quot;00903679&quot;/&gt;&lt;wsp:rsid wsp:val=&quot;00903820&quot;/&gt;&lt;wsp:rsid wsp:val=&quot;00903909&quot;/&gt;&lt;wsp:rsid wsp:val=&quot;009041A0&quot;/&gt;&lt;wsp:rsid wsp:val=&quot;009041EA&quot;/&gt;&lt;wsp:rsid wsp:val=&quot;009041EE&quot;/&gt;&lt;wsp:rsid wsp:val=&quot;00904349&quot;/&gt;&lt;wsp:rsid wsp:val=&quot;009048ED&quot;/&gt;&lt;wsp:rsid wsp:val=&quot;00904CF0&quot;/&gt;&lt;wsp:rsid wsp:val=&quot;00905093&quot;/&gt;&lt;wsp:rsid wsp:val=&quot;009054B7&quot;/&gt;&lt;wsp:rsid wsp:val=&quot;0090560C&quot;/&gt;&lt;wsp:rsid wsp:val=&quot;0090590C&quot;/&gt;&lt;wsp:rsid wsp:val=&quot;00905AB0&quot;/&gt;&lt;wsp:rsid wsp:val=&quot;00905BF0&quot;/&gt;&lt;wsp:rsid wsp:val=&quot;00905F18&quot;/&gt;&lt;wsp:rsid wsp:val=&quot;00905F43&quot;/&gt;&lt;wsp:rsid wsp:val=&quot;00906362&quot;/&gt;&lt;wsp:rsid wsp:val=&quot;009063F7&quot;/&gt;&lt;wsp:rsid wsp:val=&quot;009064CD&quot;/&gt;&lt;wsp:rsid wsp:val=&quot;00906510&quot;/&gt;&lt;wsp:rsid wsp:val=&quot;00907531&quot;/&gt;&lt;wsp:rsid wsp:val=&quot;009077B4&quot;/&gt;&lt;wsp:rsid wsp:val=&quot;00907F9F&quot;/&gt;&lt;wsp:rsid wsp:val=&quot;009100E4&quot;/&gt;&lt;wsp:rsid wsp:val=&quot;00910164&quot;/&gt;&lt;wsp:rsid wsp:val=&quot;009102E8&quot;/&gt;&lt;wsp:rsid wsp:val=&quot;009104D1&quot;/&gt;&lt;wsp:rsid wsp:val=&quot;00910812&quot;/&gt;&lt;wsp:rsid wsp:val=&quot;00910BC0&quot;/&gt;&lt;wsp:rsid wsp:val=&quot;009113D0&quot;/&gt;&lt;wsp:rsid wsp:val=&quot;00911879&quot;/&gt;&lt;wsp:rsid wsp:val=&quot;0091199C&quot;/&gt;&lt;wsp:rsid wsp:val=&quot;00911CF7&quot;/&gt;&lt;wsp:rsid wsp:val=&quot;009121AA&quot;/&gt;&lt;wsp:rsid wsp:val=&quot;009121DB&quot;/&gt;&lt;wsp:rsid wsp:val=&quot;009127B1&quot;/&gt;&lt;wsp:rsid wsp:val=&quot;00912875&quot;/&gt;&lt;wsp:rsid wsp:val=&quot;00912C0B&quot;/&gt;&lt;wsp:rsid wsp:val=&quot;00913256&quot;/&gt;&lt;wsp:rsid wsp:val=&quot;00913463&quot;/&gt;&lt;wsp:rsid wsp:val=&quot;00913D7D&quot;/&gt;&lt;wsp:rsid wsp:val=&quot;00913DBB&quot;/&gt;&lt;wsp:rsid wsp:val=&quot;00913DF1&quot;/&gt;&lt;wsp:rsid wsp:val=&quot;009140CE&quot;/&gt;&lt;wsp:rsid wsp:val=&quot;00914798&quot;/&gt;&lt;wsp:rsid wsp:val=&quot;00914B6F&quot;/&gt;&lt;wsp:rsid wsp:val=&quot;0091514D&quot;/&gt;&lt;wsp:rsid wsp:val=&quot;009153A9&quot;/&gt;&lt;wsp:rsid wsp:val=&quot;009154C3&quot;/&gt;&lt;wsp:rsid wsp:val=&quot;00915A10&quot;/&gt;&lt;wsp:rsid wsp:val=&quot;009161BA&quot;/&gt;&lt;wsp:rsid wsp:val=&quot;009166F6&quot;/&gt;&lt;wsp:rsid wsp:val=&quot;009168E0&quot;/&gt;&lt;wsp:rsid wsp:val=&quot;00916BB1&quot;/&gt;&lt;wsp:rsid wsp:val=&quot;00916DDB&quot;/&gt;&lt;wsp:rsid wsp:val=&quot;009177FB&quot;/&gt;&lt;wsp:rsid wsp:val=&quot;0092034B&quot;/&gt;&lt;wsp:rsid wsp:val=&quot;00920966&quot;/&gt;&lt;wsp:rsid wsp:val=&quot;00920A68&quot;/&gt;&lt;wsp:rsid wsp:val=&quot;009218D8&quot;/&gt;&lt;wsp:rsid wsp:val=&quot;0092234D&quot;/&gt;&lt;wsp:rsid wsp:val=&quot;00922973&quot;/&gt;&lt;wsp:rsid wsp:val=&quot;00922AEA&quot;/&gt;&lt;wsp:rsid wsp:val=&quot;00923648&quot;/&gt;&lt;wsp:rsid wsp:val=&quot;009237D0&quot;/&gt;&lt;wsp:rsid wsp:val=&quot;00923C69&quot;/&gt;&lt;wsp:rsid wsp:val=&quot;0092430E&quot;/&gt;&lt;wsp:rsid wsp:val=&quot;009245C6&quot;/&gt;&lt;wsp:rsid wsp:val=&quot;00924BD6&quot;/&gt;&lt;wsp:rsid wsp:val=&quot;00924F37&quot;/&gt;&lt;wsp:rsid wsp:val=&quot;00925215&quot;/&gt;&lt;wsp:rsid wsp:val=&quot;00925250&quot;/&gt;&lt;wsp:rsid wsp:val=&quot;009252A2&quot;/&gt;&lt;wsp:rsid wsp:val=&quot;0092546C&quot;/&gt;&lt;wsp:rsid wsp:val=&quot;0092567E&quot;/&gt;&lt;wsp:rsid wsp:val=&quot;00925F75&quot;/&gt;&lt;wsp:rsid wsp:val=&quot;009266DF&quot;/&gt;&lt;wsp:rsid wsp:val=&quot;009267B1&quot;/&gt;&lt;wsp:rsid wsp:val=&quot;00926949&quot;/&gt;&lt;wsp:rsid wsp:val=&quot;00926A51&quot;/&gt;&lt;wsp:rsid wsp:val=&quot;00926D4F&quot;/&gt;&lt;wsp:rsid wsp:val=&quot;00926DA8&quot;/&gt;&lt;wsp:rsid wsp:val=&quot;0092736C&quot;/&gt;&lt;wsp:rsid wsp:val=&quot;009274CB&quot;/&gt;&lt;wsp:rsid wsp:val=&quot;009276BB&quot;/&gt;&lt;wsp:rsid wsp:val=&quot;00927DC0&quot;/&gt;&lt;wsp:rsid wsp:val=&quot;00927F48&quot;/&gt;&lt;wsp:rsid wsp:val=&quot;00930177&quot;/&gt;&lt;wsp:rsid wsp:val=&quot;00930285&quot;/&gt;&lt;wsp:rsid wsp:val=&quot;009304B3&quot;/&gt;&lt;wsp:rsid wsp:val=&quot;00930520&quot;/&gt;&lt;wsp:rsid wsp:val=&quot;0093074F&quot;/&gt;&lt;wsp:rsid wsp:val=&quot;0093081D&quot;/&gt;&lt;wsp:rsid wsp:val=&quot;00930A9B&quot;/&gt;&lt;wsp:rsid wsp:val=&quot;0093101A&quot;/&gt;&lt;wsp:rsid wsp:val=&quot;00931142&quot;/&gt;&lt;wsp:rsid wsp:val=&quot;00931CC4&quot;/&gt;&lt;wsp:rsid wsp:val=&quot;009323BE&quot;/&gt;&lt;wsp:rsid wsp:val=&quot;0093281C&quot;/&gt;&lt;wsp:rsid wsp:val=&quot;00932835&quot;/&gt;&lt;wsp:rsid wsp:val=&quot;00933263&quot;/&gt;&lt;wsp:rsid wsp:val=&quot;00933411&quot;/&gt;&lt;wsp:rsid wsp:val=&quot;00933952&quot;/&gt;&lt;wsp:rsid wsp:val=&quot;00933AF4&quot;/&gt;&lt;wsp:rsid wsp:val=&quot;00933BF1&quot;/&gt;&lt;wsp:rsid wsp:val=&quot;0093411D&quot;/&gt;&lt;wsp:rsid wsp:val=&quot;00934205&quot;/&gt;&lt;wsp:rsid wsp:val=&quot;009343F2&quot;/&gt;&lt;wsp:rsid wsp:val=&quot;009345C7&quot;/&gt;&lt;wsp:rsid wsp:val=&quot;00934D58&quot;/&gt;&lt;wsp:rsid wsp:val=&quot;0093521A&quot;/&gt;&lt;wsp:rsid wsp:val=&quot;00935555&quot;/&gt;&lt;wsp:rsid wsp:val=&quot;009355E6&quot;/&gt;&lt;wsp:rsid wsp:val=&quot;00935BDC&quot;/&gt;&lt;wsp:rsid wsp:val=&quot;009360D2&quot;/&gt;&lt;wsp:rsid wsp:val=&quot;00936428&quot;/&gt;&lt;wsp:rsid wsp:val=&quot;0093701D&quot;/&gt;&lt;wsp:rsid wsp:val=&quot;0093705E&quot;/&gt;&lt;wsp:rsid wsp:val=&quot;009372CA&quot;/&gt;&lt;wsp:rsid wsp:val=&quot;009376FA&quot;/&gt;&lt;wsp:rsid wsp:val=&quot;00937762&quot;/&gt;&lt;wsp:rsid wsp:val=&quot;00937EC4&quot;/&gt;&lt;wsp:rsid wsp:val=&quot;0094026A&quot;/&gt;&lt;wsp:rsid wsp:val=&quot;00940AAD&quot;/&gt;&lt;wsp:rsid wsp:val=&quot;00940CA4&quot;/&gt;&lt;wsp:rsid wsp:val=&quot;0094167A&quot;/&gt;&lt;wsp:rsid wsp:val=&quot;0094178A&quot;/&gt;&lt;wsp:rsid wsp:val=&quot;009432AC&quot;/&gt;&lt;wsp:rsid wsp:val=&quot;009439C3&quot;/&gt;&lt;wsp:rsid wsp:val=&quot;00943E28&quot;/&gt;&lt;wsp:rsid wsp:val=&quot;00943FB4&quot;/&gt;&lt;wsp:rsid wsp:val=&quot;0094456C&quot;/&gt;&lt;wsp:rsid wsp:val=&quot;009445FB&quot;/&gt;&lt;wsp:rsid wsp:val=&quot;009446EB&quot;/&gt;&lt;wsp:rsid wsp:val=&quot;00944963&quot;/&gt;&lt;wsp:rsid wsp:val=&quot;00944B24&quot;/&gt;&lt;wsp:rsid wsp:val=&quot;00944D7F&quot;/&gt;&lt;wsp:rsid wsp:val=&quot;00944FEC&quot;/&gt;&lt;wsp:rsid wsp:val=&quot;00946510&quot;/&gt;&lt;wsp:rsid wsp:val=&quot;009466E8&quot;/&gt;&lt;wsp:rsid wsp:val=&quot;00946C20&quot;/&gt;&lt;wsp:rsid wsp:val=&quot;009471BC&quot;/&gt;&lt;wsp:rsid wsp:val=&quot;00947342&quot;/&gt;&lt;wsp:rsid wsp:val=&quot;0094759D&quot;/&gt;&lt;wsp:rsid wsp:val=&quot;00947A25&quot;/&gt;&lt;wsp:rsid wsp:val=&quot;00947CFC&quot;/&gt;&lt;wsp:rsid wsp:val=&quot;00947E1C&quot;/&gt;&lt;wsp:rsid wsp:val=&quot;00947EF8&quot;/&gt;&lt;wsp:rsid wsp:val=&quot;009505EA&quot;/&gt;&lt;wsp:rsid wsp:val=&quot;00950F95&quot;/&gt;&lt;wsp:rsid wsp:val=&quot;009513E7&quot;/&gt;&lt;wsp:rsid wsp:val=&quot;00951659&quot;/&gt;&lt;wsp:rsid wsp:val=&quot;00951739&quot;/&gt;&lt;wsp:rsid wsp:val=&quot;0095176E&quot;/&gt;&lt;wsp:rsid wsp:val=&quot;00951C00&quot;/&gt;&lt;wsp:rsid wsp:val=&quot;00951CB7&quot;/&gt;&lt;wsp:rsid wsp:val=&quot;00952A08&quot;/&gt;&lt;wsp:rsid wsp:val=&quot;00953104&quot;/&gt;&lt;wsp:rsid wsp:val=&quot;0095311A&quot;/&gt;&lt;wsp:rsid wsp:val=&quot;009533DB&quot;/&gt;&lt;wsp:rsid wsp:val=&quot;00953E3F&quot;/&gt;&lt;wsp:rsid wsp:val=&quot;0095413E&quot;/&gt;&lt;wsp:rsid wsp:val=&quot;00954483&quot;/&gt;&lt;wsp:rsid wsp:val=&quot;00954569&quot;/&gt;&lt;wsp:rsid wsp:val=&quot;00954AB2&quot;/&gt;&lt;wsp:rsid wsp:val=&quot;00955074&quot;/&gt;&lt;wsp:rsid wsp:val=&quot;009551DF&quot;/&gt;&lt;wsp:rsid wsp:val=&quot;009557C6&quot;/&gt;&lt;wsp:rsid wsp:val=&quot;00955B64&quot;/&gt;&lt;wsp:rsid wsp:val=&quot;00955B83&quot;/&gt;&lt;wsp:rsid wsp:val=&quot;00955C3F&quot;/&gt;&lt;wsp:rsid wsp:val=&quot;00955CA6&quot;/&gt;&lt;wsp:rsid wsp:val=&quot;00956093&quot;/&gt;&lt;wsp:rsid wsp:val=&quot;009563A6&quot;/&gt;&lt;wsp:rsid wsp:val=&quot;009569B4&quot;/&gt;&lt;wsp:rsid wsp:val=&quot;00956C6D&quot;/&gt;&lt;wsp:rsid wsp:val=&quot;00956EF6&quot;/&gt;&lt;wsp:rsid wsp:val=&quot;009570C9&quot;/&gt;&lt;wsp:rsid wsp:val=&quot;00957610&quot;/&gt;&lt;wsp:rsid wsp:val=&quot;00957D67&quot;/&gt;&lt;wsp:rsid wsp:val=&quot;00957E30&quot;/&gt;&lt;wsp:rsid wsp:val=&quot;00957F8C&quot;/&gt;&lt;wsp:rsid wsp:val=&quot;009609E9&quot;/&gt;&lt;wsp:rsid wsp:val=&quot;00960F07&quot;/&gt;&lt;wsp:rsid wsp:val=&quot;00961202&quot;/&gt;&lt;wsp:rsid wsp:val=&quot;0096129E&quot;/&gt;&lt;wsp:rsid wsp:val=&quot;00961567&quot;/&gt;&lt;wsp:rsid wsp:val=&quot;0096159D&quot;/&gt;&lt;wsp:rsid wsp:val=&quot;00961C07&quot;/&gt;&lt;wsp:rsid wsp:val=&quot;00961EBD&quot;/&gt;&lt;wsp:rsid wsp:val=&quot;00961FEF&quot;/&gt;&lt;wsp:rsid wsp:val=&quot;009621FC&quot;/&gt;&lt;wsp:rsid wsp:val=&quot;00962203&quot;/&gt;&lt;wsp:rsid wsp:val=&quot;009625A0&quot;/&gt;&lt;wsp:rsid wsp:val=&quot;00962763&quot;/&gt;&lt;wsp:rsid wsp:val=&quot;009628A3&quot;/&gt;&lt;wsp:rsid wsp:val=&quot;00962902&quot;/&gt;&lt;wsp:rsid wsp:val=&quot;00962940&quot;/&gt;&lt;wsp:rsid wsp:val=&quot;00962966&quot;/&gt;&lt;wsp:rsid wsp:val=&quot;00962CBE&quot;/&gt;&lt;wsp:rsid wsp:val=&quot;00962E98&quot;/&gt;&lt;wsp:rsid wsp:val=&quot;00963153&quot;/&gt;&lt;wsp:rsid wsp:val=&quot;00963723&quot;/&gt;&lt;wsp:rsid wsp:val=&quot;00963BC7&quot;/&gt;&lt;wsp:rsid wsp:val=&quot;00963E29&quot;/&gt;&lt;wsp:rsid wsp:val=&quot;00963FBC&quot;/&gt;&lt;wsp:rsid wsp:val=&quot;009640F6&quot;/&gt;&lt;wsp:rsid wsp:val=&quot;00964332&quot;/&gt;&lt;wsp:rsid wsp:val=&quot;00964346&quot;/&gt;&lt;wsp:rsid wsp:val=&quot;009646AB&quot;/&gt;&lt;wsp:rsid wsp:val=&quot;00964D93&quot;/&gt;&lt;wsp:rsid wsp:val=&quot;00964F73&quot;/&gt;&lt;wsp:rsid wsp:val=&quot;0096598D&quot;/&gt;&lt;wsp:rsid wsp:val=&quot;00965D1A&quot;/&gt;&lt;wsp:rsid wsp:val=&quot;00965DCD&quot;/&gt;&lt;wsp:rsid wsp:val=&quot;00965FCA&quot;/&gt;&lt;wsp:rsid wsp:val=&quot;009661CB&quot;/&gt;&lt;wsp:rsid wsp:val=&quot;009667CD&quot;/&gt;&lt;wsp:rsid wsp:val=&quot;00966BEA&quot;/&gt;&lt;wsp:rsid wsp:val=&quot;00966D5B&quot;/&gt;&lt;wsp:rsid wsp:val=&quot;00966DDB&quot;/&gt;&lt;wsp:rsid wsp:val=&quot;00967120&quot;/&gt;&lt;wsp:rsid wsp:val=&quot;009676ED&quot;/&gt;&lt;wsp:rsid wsp:val=&quot;009676FF&quot;/&gt;&lt;wsp:rsid wsp:val=&quot;00967A22&quot;/&gt;&lt;wsp:rsid wsp:val=&quot;009703FD&quot;/&gt;&lt;wsp:rsid wsp:val=&quot;00970690&quot;/&gt;&lt;wsp:rsid wsp:val=&quot;00970CC0&quot;/&gt;&lt;wsp:rsid wsp:val=&quot;0097108F&quot;/&gt;&lt;wsp:rsid wsp:val=&quot;00971130&quot;/&gt;&lt;wsp:rsid wsp:val=&quot;009711C1&quot;/&gt;&lt;wsp:rsid wsp:val=&quot;009713A6&quot;/&gt;&lt;wsp:rsid wsp:val=&quot;00971436&quot;/&gt;&lt;wsp:rsid wsp:val=&quot;0097160C&quot;/&gt;&lt;wsp:rsid wsp:val=&quot;00971701&quot;/&gt;&lt;wsp:rsid wsp:val=&quot;0097187A&quot;/&gt;&lt;wsp:rsid wsp:val=&quot;00971ACC&quot;/&gt;&lt;wsp:rsid wsp:val=&quot;00971B03&quot;/&gt;&lt;wsp:rsid wsp:val=&quot;00971B70&quot;/&gt;&lt;wsp:rsid wsp:val=&quot;00971BB3&quot;/&gt;&lt;wsp:rsid wsp:val=&quot;00971F0A&quot;/&gt;&lt;wsp:rsid wsp:val=&quot;0097202F&quot;/&gt;&lt;wsp:rsid wsp:val=&quot;00972122&quot;/&gt;&lt;wsp:rsid wsp:val=&quot;00972236&quot;/&gt;&lt;wsp:rsid wsp:val=&quot;009727C9&quot;/&gt;&lt;wsp:rsid wsp:val=&quot;00972CFF&quot;/&gt;&lt;wsp:rsid wsp:val=&quot;00972D3E&quot;/&gt;&lt;wsp:rsid wsp:val=&quot;009737DF&quot;/&gt;&lt;wsp:rsid wsp:val=&quot;009738AD&quot;/&gt;&lt;wsp:rsid wsp:val=&quot;00973912&quot;/&gt;&lt;wsp:rsid wsp:val=&quot;00973D43&quot;/&gt;&lt;wsp:rsid wsp:val=&quot;00973DE7&quot;/&gt;&lt;wsp:rsid wsp:val=&quot;00973F83&quot;/&gt;&lt;wsp:rsid wsp:val=&quot;009742E2&quot;/&gt;&lt;wsp:rsid wsp:val=&quot;0097441B&quot;/&gt;&lt;wsp:rsid wsp:val=&quot;0097459E&quot;/&gt;&lt;wsp:rsid wsp:val=&quot;00974890&quot;/&gt;&lt;wsp:rsid wsp:val=&quot;00974C08&quot;/&gt;&lt;wsp:rsid wsp:val=&quot;009752C4&quot;/&gt;&lt;wsp:rsid wsp:val=&quot;00975D24&quot;/&gt;&lt;wsp:rsid wsp:val=&quot;00975F1F&quot;/&gt;&lt;wsp:rsid wsp:val=&quot;00975FAA&quot;/&gt;&lt;wsp:rsid wsp:val=&quot;009764B6&quot;/&gt;&lt;wsp:rsid wsp:val=&quot;00976A85&quot;/&gt;&lt;wsp:rsid wsp:val=&quot;00976F1F&quot;/&gt;&lt;wsp:rsid wsp:val=&quot;00977211&quot;/&gt;&lt;wsp:rsid wsp:val=&quot;0097726F&quot;/&gt;&lt;wsp:rsid wsp:val=&quot;009772D2&quot;/&gt;&lt;wsp:rsid wsp:val=&quot;0097767C&quot;/&gt;&lt;wsp:rsid wsp:val=&quot;00980234&quot;/&gt;&lt;wsp:rsid wsp:val=&quot;009803DA&quot;/&gt;&lt;wsp:rsid wsp:val=&quot;00980405&quot;/&gt;&lt;wsp:rsid wsp:val=&quot;00980480&quot;/&gt;&lt;wsp:rsid wsp:val=&quot;00980B2B&quot;/&gt;&lt;wsp:rsid wsp:val=&quot;00980B99&quot;/&gt;&lt;wsp:rsid wsp:val=&quot;009810F9&quot;/&gt;&lt;wsp:rsid wsp:val=&quot;0098127A&quot;/&gt;&lt;wsp:rsid wsp:val=&quot;00981708&quot;/&gt;&lt;wsp:rsid wsp:val=&quot;00981E5A&quot;/&gt;&lt;wsp:rsid wsp:val=&quot;00981F21&quot;/&gt;&lt;wsp:rsid wsp:val=&quot;00982245&quot;/&gt;&lt;wsp:rsid wsp:val=&quot;00982EC7&quot;/&gt;&lt;wsp:rsid wsp:val=&quot;00983216&quot;/&gt;&lt;wsp:rsid wsp:val=&quot;00983297&quot;/&gt;&lt;wsp:rsid wsp:val=&quot;00983398&quot;/&gt;&lt;wsp:rsid wsp:val=&quot;009838B6&quot;/&gt;&lt;wsp:rsid wsp:val=&quot;00983984&quot;/&gt;&lt;wsp:rsid wsp:val=&quot;00983B0C&quot;/&gt;&lt;wsp:rsid wsp:val=&quot;00983B0F&quot;/&gt;&lt;wsp:rsid wsp:val=&quot;00983F3D&quot;/&gt;&lt;wsp:rsid wsp:val=&quot;00984399&quot;/&gt;&lt;wsp:rsid wsp:val=&quot;009843E6&quot;/&gt;&lt;wsp:rsid wsp:val=&quot;009853D1&quot;/&gt;&lt;wsp:rsid wsp:val=&quot;0098563A&quot;/&gt;&lt;wsp:rsid wsp:val=&quot;00985995&quot;/&gt;&lt;wsp:rsid wsp:val=&quot;00985F38&quot;/&gt;&lt;wsp:rsid wsp:val=&quot;0098606E&quot;/&gt;&lt;wsp:rsid wsp:val=&quot;00986199&quot;/&gt;&lt;wsp:rsid wsp:val=&quot;009867C1&quot;/&gt;&lt;wsp:rsid wsp:val=&quot;00986848&quot;/&gt;&lt;wsp:rsid wsp:val=&quot;009875F4&quot;/&gt;&lt;wsp:rsid wsp:val=&quot;00987728&quot;/&gt;&lt;wsp:rsid wsp:val=&quot;009879A0&quot;/&gt;&lt;wsp:rsid wsp:val=&quot;00987C73&quot;/&gt;&lt;wsp:rsid wsp:val=&quot;00987C83&quot;/&gt;&lt;wsp:rsid wsp:val=&quot;00987CAA&quot;/&gt;&lt;wsp:rsid wsp:val=&quot;00987D6A&quot;/&gt;&lt;wsp:rsid wsp:val=&quot;009904A0&quot;/&gt;&lt;wsp:rsid wsp:val=&quot;00990EA6&quot;/&gt;&lt;wsp:rsid wsp:val=&quot;009910F0&quot;/&gt;&lt;wsp:rsid wsp:val=&quot;0099174D&quot;/&gt;&lt;wsp:rsid wsp:val=&quot;0099190A&quot;/&gt;&lt;wsp:rsid wsp:val=&quot;00991D1B&quot;/&gt;&lt;wsp:rsid wsp:val=&quot;0099224A&quot;/&gt;&lt;wsp:rsid wsp:val=&quot;00992436&quot;/&gt;&lt;wsp:rsid wsp:val=&quot;00992AD1&quot;/&gt;&lt;wsp:rsid wsp:val=&quot;009930C1&quot;/&gt;&lt;wsp:rsid wsp:val=&quot;009933A4&quot;/&gt;&lt;wsp:rsid wsp:val=&quot;009938C3&quot;/&gt;&lt;wsp:rsid wsp:val=&quot;00993D0A&quot;/&gt;&lt;wsp:rsid wsp:val=&quot;0099417C&quot;/&gt;&lt;wsp:rsid wsp:val=&quot;009956DA&quot;/&gt;&lt;wsp:rsid wsp:val=&quot;00995897&quot;/&gt;&lt;wsp:rsid wsp:val=&quot;00995D35&quot;/&gt;&lt;wsp:rsid wsp:val=&quot;0099622A&quot;/&gt;&lt;wsp:rsid wsp:val=&quot;0099631F&quot;/&gt;&lt;wsp:rsid wsp:val=&quot;009965A1&quot;/&gt;&lt;wsp:rsid wsp:val=&quot;00996BB7&quot;/&gt;&lt;wsp:rsid wsp:val=&quot;00996BD9&quot;/&gt;&lt;wsp:rsid wsp:val=&quot;00996ED4&quot;/&gt;&lt;wsp:rsid wsp:val=&quot;00997200&quot;/&gt;&lt;wsp:rsid wsp:val=&quot;0099749F&quot;/&gt;&lt;wsp:rsid wsp:val=&quot;00997629&quot;/&gt;&lt;wsp:rsid wsp:val=&quot;009978EA&quot;/&gt;&lt;wsp:rsid wsp:val=&quot;00997F33&quot;/&gt;&lt;wsp:rsid wsp:val=&quot;009A00F0&quot;/&gt;&lt;wsp:rsid wsp:val=&quot;009A02B9&quot;/&gt;&lt;wsp:rsid wsp:val=&quot;009A0B39&quot;/&gt;&lt;wsp:rsid wsp:val=&quot;009A0D89&quot;/&gt;&lt;wsp:rsid wsp:val=&quot;009A137B&quot;/&gt;&lt;wsp:rsid wsp:val=&quot;009A145A&quot;/&gt;&lt;wsp:rsid wsp:val=&quot;009A15EF&quot;/&gt;&lt;wsp:rsid wsp:val=&quot;009A18BD&quot;/&gt;&lt;wsp:rsid wsp:val=&quot;009A1A33&quot;/&gt;&lt;wsp:rsid wsp:val=&quot;009A1D33&quot;/&gt;&lt;wsp:rsid wsp:val=&quot;009A1EFD&quot;/&gt;&lt;wsp:rsid wsp:val=&quot;009A2336&quot;/&gt;&lt;wsp:rsid wsp:val=&quot;009A2499&quot;/&gt;&lt;wsp:rsid wsp:val=&quot;009A252C&quot;/&gt;&lt;wsp:rsid wsp:val=&quot;009A33BE&quot;/&gt;&lt;wsp:rsid wsp:val=&quot;009A377F&quot;/&gt;&lt;wsp:rsid wsp:val=&quot;009A3A6C&quot;/&gt;&lt;wsp:rsid wsp:val=&quot;009A3CAF&quot;/&gt;&lt;wsp:rsid wsp:val=&quot;009A42C4&quot;/&gt;&lt;wsp:rsid wsp:val=&quot;009A436D&quot;/&gt;&lt;wsp:rsid wsp:val=&quot;009A46DD&quot;/&gt;&lt;wsp:rsid wsp:val=&quot;009A4C26&quot;/&gt;&lt;wsp:rsid wsp:val=&quot;009A4DD7&quot;/&gt;&lt;wsp:rsid wsp:val=&quot;009A4EC0&quot;/&gt;&lt;wsp:rsid wsp:val=&quot;009A4FD8&quot;/&gt;&lt;wsp:rsid wsp:val=&quot;009A52AD&quot;/&gt;&lt;wsp:rsid wsp:val=&quot;009A5857&quot;/&gt;&lt;wsp:rsid wsp:val=&quot;009A59D4&quot;/&gt;&lt;wsp:rsid wsp:val=&quot;009A5A59&quot;/&gt;&lt;wsp:rsid wsp:val=&quot;009A5EF7&quot;/&gt;&lt;wsp:rsid wsp:val=&quot;009A5F62&quot;/&gt;&lt;wsp:rsid wsp:val=&quot;009A652B&quot;/&gt;&lt;wsp:rsid wsp:val=&quot;009A66FC&quot;/&gt;&lt;wsp:rsid wsp:val=&quot;009A6756&quot;/&gt;&lt;wsp:rsid wsp:val=&quot;009A6BFF&quot;/&gt;&lt;wsp:rsid wsp:val=&quot;009A7041&quot;/&gt;&lt;wsp:rsid wsp:val=&quot;009A7312&quot;/&gt;&lt;wsp:rsid wsp:val=&quot;009A77E7&quot;/&gt;&lt;wsp:rsid wsp:val=&quot;009A7996&quot;/&gt;&lt;wsp:rsid wsp:val=&quot;009A7C82&quot;/&gt;&lt;wsp:rsid wsp:val=&quot;009B06B2&quot;/&gt;&lt;wsp:rsid wsp:val=&quot;009B074A&quot;/&gt;&lt;wsp:rsid wsp:val=&quot;009B0D10&quot;/&gt;&lt;wsp:rsid wsp:val=&quot;009B0FFD&quot;/&gt;&lt;wsp:rsid wsp:val=&quot;009B139A&quot;/&gt;&lt;wsp:rsid wsp:val=&quot;009B160E&quot;/&gt;&lt;wsp:rsid wsp:val=&quot;009B1D77&quot;/&gt;&lt;wsp:rsid wsp:val=&quot;009B1EAF&quot;/&gt;&lt;wsp:rsid wsp:val=&quot;009B1F73&quot;/&gt;&lt;wsp:rsid wsp:val=&quot;009B1F8A&quot;/&gt;&lt;wsp:rsid wsp:val=&quot;009B2358&quot;/&gt;&lt;wsp:rsid wsp:val=&quot;009B2C09&quot;/&gt;&lt;wsp:rsid wsp:val=&quot;009B2D06&quot;/&gt;&lt;wsp:rsid wsp:val=&quot;009B2F5E&quot;/&gt;&lt;wsp:rsid wsp:val=&quot;009B30EA&quot;/&gt;&lt;wsp:rsid wsp:val=&quot;009B3E63&quot;/&gt;&lt;wsp:rsid wsp:val=&quot;009B40F6&quot;/&gt;&lt;wsp:rsid wsp:val=&quot;009B4328&quot;/&gt;&lt;wsp:rsid wsp:val=&quot;009B43F7&quot;/&gt;&lt;wsp:rsid wsp:val=&quot;009B4F11&quot;/&gt;&lt;wsp:rsid wsp:val=&quot;009B5D3B&quot;/&gt;&lt;wsp:rsid wsp:val=&quot;009B5F52&quot;/&gt;&lt;wsp:rsid wsp:val=&quot;009B6216&quot;/&gt;&lt;wsp:rsid wsp:val=&quot;009B635C&quot;/&gt;&lt;wsp:rsid wsp:val=&quot;009B65CF&quot;/&gt;&lt;wsp:rsid wsp:val=&quot;009B6859&quot;/&gt;&lt;wsp:rsid wsp:val=&quot;009B6C8B&quot;/&gt;&lt;wsp:rsid wsp:val=&quot;009B6CB2&quot;/&gt;&lt;wsp:rsid wsp:val=&quot;009B72DF&quot;/&gt;&lt;wsp:rsid wsp:val=&quot;009B748A&quot;/&gt;&lt;wsp:rsid wsp:val=&quot;009B7AB4&quot;/&gt;&lt;wsp:rsid wsp:val=&quot;009C028C&quot;/&gt;&lt;wsp:rsid wsp:val=&quot;009C05E8&quot;/&gt;&lt;wsp:rsid wsp:val=&quot;009C0612&quot;/&gt;&lt;wsp:rsid wsp:val=&quot;009C0F09&quot;/&gt;&lt;wsp:rsid wsp:val=&quot;009C1413&quot;/&gt;&lt;wsp:rsid wsp:val=&quot;009C1560&quot;/&gt;&lt;wsp:rsid wsp:val=&quot;009C1945&quot;/&gt;&lt;wsp:rsid wsp:val=&quot;009C1CA5&quot;/&gt;&lt;wsp:rsid wsp:val=&quot;009C1D3A&quot;/&gt;&lt;wsp:rsid wsp:val=&quot;009C1E4E&quot;/&gt;&lt;wsp:rsid wsp:val=&quot;009C20A2&quot;/&gt;&lt;wsp:rsid wsp:val=&quot;009C2430&quot;/&gt;&lt;wsp:rsid wsp:val=&quot;009C30AE&quot;/&gt;&lt;wsp:rsid wsp:val=&quot;009C3482&quot;/&gt;&lt;wsp:rsid wsp:val=&quot;009C372E&quot;/&gt;&lt;wsp:rsid wsp:val=&quot;009C3A12&quot;/&gt;&lt;wsp:rsid wsp:val=&quot;009C3C1D&quot;/&gt;&lt;wsp:rsid wsp:val=&quot;009C3EB5&quot;/&gt;&lt;wsp:rsid wsp:val=&quot;009C4090&quot;/&gt;&lt;wsp:rsid wsp:val=&quot;009C47A0&quot;/&gt;&lt;wsp:rsid wsp:val=&quot;009C4962&quot;/&gt;&lt;wsp:rsid wsp:val=&quot;009C4BF2&quot;/&gt;&lt;wsp:rsid wsp:val=&quot;009C4FE2&quot;/&gt;&lt;wsp:rsid wsp:val=&quot;009C503C&quot;/&gt;&lt;wsp:rsid wsp:val=&quot;009C5566&quot;/&gt;&lt;wsp:rsid wsp:val=&quot;009C5580&quot;/&gt;&lt;wsp:rsid wsp:val=&quot;009C5616&quot;/&gt;&lt;wsp:rsid wsp:val=&quot;009C56E0&quot;/&gt;&lt;wsp:rsid wsp:val=&quot;009C5B78&quot;/&gt;&lt;wsp:rsid wsp:val=&quot;009C5F15&quot;/&gt;&lt;wsp:rsid wsp:val=&quot;009C6067&quot;/&gt;&lt;wsp:rsid wsp:val=&quot;009C6072&quot;/&gt;&lt;wsp:rsid wsp:val=&quot;009C662B&quot;/&gt;&lt;wsp:rsid wsp:val=&quot;009C7213&quot;/&gt;&lt;wsp:rsid wsp:val=&quot;009C7F6A&quot;/&gt;&lt;wsp:rsid wsp:val=&quot;009D02E3&quot;/&gt;&lt;wsp:rsid wsp:val=&quot;009D0A69&quot;/&gt;&lt;wsp:rsid wsp:val=&quot;009D0AD0&quot;/&gt;&lt;wsp:rsid wsp:val=&quot;009D0DDA&quot;/&gt;&lt;wsp:rsid wsp:val=&quot;009D1217&quot;/&gt;&lt;wsp:rsid wsp:val=&quot;009D1992&quot;/&gt;&lt;wsp:rsid wsp:val=&quot;009D1BC4&quot;/&gt;&lt;wsp:rsid wsp:val=&quot;009D24A9&quot;/&gt;&lt;wsp:rsid wsp:val=&quot;009D2809&quot;/&gt;&lt;wsp:rsid wsp:val=&quot;009D295E&quot;/&gt;&lt;wsp:rsid wsp:val=&quot;009D2B2D&quot;/&gt;&lt;wsp:rsid wsp:val=&quot;009D2CBD&quot;/&gt;&lt;wsp:rsid wsp:val=&quot;009D2D5B&quot;/&gt;&lt;wsp:rsid wsp:val=&quot;009D33B4&quot;/&gt;&lt;wsp:rsid wsp:val=&quot;009D36DD&quot;/&gt;&lt;wsp:rsid wsp:val=&quot;009D3C32&quot;/&gt;&lt;wsp:rsid wsp:val=&quot;009D3E5C&quot;/&gt;&lt;wsp:rsid wsp:val=&quot;009D3FCA&quot;/&gt;&lt;wsp:rsid wsp:val=&quot;009D40D6&quot;/&gt;&lt;wsp:rsid wsp:val=&quot;009D413A&quot;/&gt;&lt;wsp:rsid wsp:val=&quot;009D424D&quot;/&gt;&lt;wsp:rsid wsp:val=&quot;009D491F&quot;/&gt;&lt;wsp:rsid wsp:val=&quot;009D4F85&quot;/&gt;&lt;wsp:rsid wsp:val=&quot;009D518F&quot;/&gt;&lt;wsp:rsid wsp:val=&quot;009D53CB&quot;/&gt;&lt;wsp:rsid wsp:val=&quot;009D53D7&quot;/&gt;&lt;wsp:rsid wsp:val=&quot;009D54FC&quot;/&gt;&lt;wsp:rsid wsp:val=&quot;009D6825&quot;/&gt;&lt;wsp:rsid wsp:val=&quot;009D6873&quot;/&gt;&lt;wsp:rsid wsp:val=&quot;009D6A28&quot;/&gt;&lt;wsp:rsid wsp:val=&quot;009D6E82&quot;/&gt;&lt;wsp:rsid wsp:val=&quot;009D729E&quot;/&gt;&lt;wsp:rsid wsp:val=&quot;009D74C6&quot;/&gt;&lt;wsp:rsid wsp:val=&quot;009D7732&quot;/&gt;&lt;wsp:rsid wsp:val=&quot;009D7854&quot;/&gt;&lt;wsp:rsid wsp:val=&quot;009E170A&quot;/&gt;&lt;wsp:rsid wsp:val=&quot;009E172F&quot;/&gt;&lt;wsp:rsid wsp:val=&quot;009E1A92&quot;/&gt;&lt;wsp:rsid wsp:val=&quot;009E1E8A&quot;/&gt;&lt;wsp:rsid wsp:val=&quot;009E1FF2&quot;/&gt;&lt;wsp:rsid wsp:val=&quot;009E2F30&quot;/&gt;&lt;wsp:rsid wsp:val=&quot;009E307B&quot;/&gt;&lt;wsp:rsid wsp:val=&quot;009E30D6&quot;/&gt;&lt;wsp:rsid wsp:val=&quot;009E3147&quot;/&gt;&lt;wsp:rsid wsp:val=&quot;009E35AA&quot;/&gt;&lt;wsp:rsid wsp:val=&quot;009E3786&quot;/&gt;&lt;wsp:rsid wsp:val=&quot;009E3E89&quot;/&gt;&lt;wsp:rsid wsp:val=&quot;009E3EC6&quot;/&gt;&lt;wsp:rsid wsp:val=&quot;009E4A8B&quot;/&gt;&lt;wsp:rsid wsp:val=&quot;009E50FF&quot;/&gt;&lt;wsp:rsid wsp:val=&quot;009E51C9&quot;/&gt;&lt;wsp:rsid wsp:val=&quot;009E6140&quot;/&gt;&lt;wsp:rsid wsp:val=&quot;009E687E&quot;/&gt;&lt;wsp:rsid wsp:val=&quot;009E6892&quot;/&gt;&lt;wsp:rsid wsp:val=&quot;009E6A23&quot;/&gt;&lt;wsp:rsid wsp:val=&quot;009E6A59&quot;/&gt;&lt;wsp:rsid wsp:val=&quot;009E7C48&quot;/&gt;&lt;wsp:rsid wsp:val=&quot;009F0003&quot;/&gt;&lt;wsp:rsid wsp:val=&quot;009F019F&quot;/&gt;&lt;wsp:rsid wsp:val=&quot;009F01A1&quot;/&gt;&lt;wsp:rsid wsp:val=&quot;009F0213&quot;/&gt;&lt;wsp:rsid wsp:val=&quot;009F0438&quot;/&gt;&lt;wsp:rsid wsp:val=&quot;009F079E&quot;/&gt;&lt;wsp:rsid wsp:val=&quot;009F0D65&quot;/&gt;&lt;wsp:rsid wsp:val=&quot;009F0F6F&quot;/&gt;&lt;wsp:rsid wsp:val=&quot;009F106C&quot;/&gt;&lt;wsp:rsid wsp:val=&quot;009F182D&quot;/&gt;&lt;wsp:rsid wsp:val=&quot;009F1864&quot;/&gt;&lt;wsp:rsid wsp:val=&quot;009F18D6&quot;/&gt;&lt;wsp:rsid wsp:val=&quot;009F1A8F&quot;/&gt;&lt;wsp:rsid wsp:val=&quot;009F1AAB&quot;/&gt;&lt;wsp:rsid wsp:val=&quot;009F22F6&quot;/&gt;&lt;wsp:rsid wsp:val=&quot;009F2412&quot;/&gt;&lt;wsp:rsid wsp:val=&quot;009F246A&quot;/&gt;&lt;wsp:rsid wsp:val=&quot;009F281A&quot;/&gt;&lt;wsp:rsid wsp:val=&quot;009F2C19&quot;/&gt;&lt;wsp:rsid wsp:val=&quot;009F2E99&quot;/&gt;&lt;wsp:rsid wsp:val=&quot;009F3B48&quot;/&gt;&lt;wsp:rsid wsp:val=&quot;009F3DB8&quot;/&gt;&lt;wsp:rsid wsp:val=&quot;009F3E1B&quot;/&gt;&lt;wsp:rsid wsp:val=&quot;009F42FF&quot;/&gt;&lt;wsp:rsid wsp:val=&quot;009F48C8&quot;/&gt;&lt;wsp:rsid wsp:val=&quot;009F49B8&quot;/&gt;&lt;wsp:rsid wsp:val=&quot;009F4FB9&quot;/&gt;&lt;wsp:rsid wsp:val=&quot;009F5225&quot;/&gt;&lt;wsp:rsid wsp:val=&quot;009F52B9&quot;/&gt;&lt;wsp:rsid wsp:val=&quot;009F6B4A&quot;/&gt;&lt;wsp:rsid wsp:val=&quot;009F6CC8&quot;/&gt;&lt;wsp:rsid wsp:val=&quot;009F7471&quot;/&gt;&lt;wsp:rsid wsp:val=&quot;009F7BB1&quot;/&gt;&lt;wsp:rsid wsp:val=&quot;009F7E4E&quot;/&gt;&lt;wsp:rsid wsp:val=&quot;009F7F8C&quot;/&gt;&lt;wsp:rsid wsp:val=&quot;00A0008B&quot;/&gt;&lt;wsp:rsid wsp:val=&quot;00A00AD8&quot;/&gt;&lt;wsp:rsid wsp:val=&quot;00A01C72&quot;/&gt;&lt;wsp:rsid wsp:val=&quot;00A02147&quot;/&gt;&lt;wsp:rsid wsp:val=&quot;00A0289A&quot;/&gt;&lt;wsp:rsid wsp:val=&quot;00A03290&quot;/&gt;&lt;wsp:rsid wsp:val=&quot;00A03466&quot;/&gt;&lt;wsp:rsid wsp:val=&quot;00A036E9&quot;/&gt;&lt;wsp:rsid wsp:val=&quot;00A03EEB&quot;/&gt;&lt;wsp:rsid wsp:val=&quot;00A03F3C&quot;/&gt;&lt;wsp:rsid wsp:val=&quot;00A03F3F&quot;/&gt;&lt;wsp:rsid wsp:val=&quot;00A041F4&quot;/&gt;&lt;wsp:rsid wsp:val=&quot;00A04229&quot;/&gt;&lt;wsp:rsid wsp:val=&quot;00A0488B&quot;/&gt;&lt;wsp:rsid wsp:val=&quot;00A05168&quot;/&gt;&lt;wsp:rsid wsp:val=&quot;00A056A0&quot;/&gt;&lt;wsp:rsid wsp:val=&quot;00A05869&quot;/&gt;&lt;wsp:rsid wsp:val=&quot;00A05EEA&quot;/&gt;&lt;wsp:rsid wsp:val=&quot;00A064D4&quot;/&gt;&lt;wsp:rsid wsp:val=&quot;00A065B7&quot;/&gt;&lt;wsp:rsid wsp:val=&quot;00A06ABE&quot;/&gt;&lt;wsp:rsid wsp:val=&quot;00A07395&quot;/&gt;&lt;wsp:rsid wsp:val=&quot;00A074F8&quot;/&gt;&lt;wsp:rsid wsp:val=&quot;00A07688&quot;/&gt;&lt;wsp:rsid wsp:val=&quot;00A076AD&quot;/&gt;&lt;wsp:rsid wsp:val=&quot;00A076B3&quot;/&gt;&lt;wsp:rsid wsp:val=&quot;00A07D82&quot;/&gt;&lt;wsp:rsid wsp:val=&quot;00A10226&quot;/&gt;&lt;wsp:rsid wsp:val=&quot;00A10454&quot;/&gt;&lt;wsp:rsid wsp:val=&quot;00A107F9&quot;/&gt;&lt;wsp:rsid wsp:val=&quot;00A10A2D&quot;/&gt;&lt;wsp:rsid wsp:val=&quot;00A10B34&quot;/&gt;&lt;wsp:rsid wsp:val=&quot;00A10B37&quot;/&gt;&lt;wsp:rsid wsp:val=&quot;00A11456&quot;/&gt;&lt;wsp:rsid wsp:val=&quot;00A1165E&quot;/&gt;&lt;wsp:rsid wsp:val=&quot;00A1187D&quot;/&gt;&lt;wsp:rsid wsp:val=&quot;00A11B01&quot;/&gt;&lt;wsp:rsid wsp:val=&quot;00A133DF&quot;/&gt;&lt;wsp:rsid wsp:val=&quot;00A13882&quot;/&gt;&lt;wsp:rsid wsp:val=&quot;00A138EA&quot;/&gt;&lt;wsp:rsid wsp:val=&quot;00A13DDA&quot;/&gt;&lt;wsp:rsid wsp:val=&quot;00A13E7E&quot;/&gt;&lt;wsp:rsid wsp:val=&quot;00A14014&quot;/&gt;&lt;wsp:rsid wsp:val=&quot;00A146FC&quot;/&gt;&lt;wsp:rsid wsp:val=&quot;00A150B6&quot;/&gt;&lt;wsp:rsid wsp:val=&quot;00A151CA&quot;/&gt;&lt;wsp:rsid wsp:val=&quot;00A154D9&quot;/&gt;&lt;wsp:rsid wsp:val=&quot;00A160DE&quot;/&gt;&lt;wsp:rsid wsp:val=&quot;00A1629A&quot;/&gt;&lt;wsp:rsid wsp:val=&quot;00A173F6&quot;/&gt;&lt;wsp:rsid wsp:val=&quot;00A179C6&quot;/&gt;&lt;wsp:rsid wsp:val=&quot;00A17CB2&quot;/&gt;&lt;wsp:rsid wsp:val=&quot;00A17D15&quot;/&gt;&lt;wsp:rsid wsp:val=&quot;00A20293&quot;/&gt;&lt;wsp:rsid wsp:val=&quot;00A2075E&quot;/&gt;&lt;wsp:rsid wsp:val=&quot;00A2091A&quot;/&gt;&lt;wsp:rsid wsp:val=&quot;00A20991&quot;/&gt;&lt;wsp:rsid wsp:val=&quot;00A209D7&quot;/&gt;&lt;wsp:rsid wsp:val=&quot;00A20E4F&quot;/&gt;&lt;wsp:rsid wsp:val=&quot;00A210E3&quot;/&gt;&lt;wsp:rsid wsp:val=&quot;00A216F3&quot;/&gt;&lt;wsp:rsid wsp:val=&quot;00A21723&quot;/&gt;&lt;wsp:rsid wsp:val=&quot;00A219E5&quot;/&gt;&lt;wsp:rsid wsp:val=&quot;00A21B04&quot;/&gt;&lt;wsp:rsid wsp:val=&quot;00A22504&quot;/&gt;&lt;wsp:rsid wsp:val=&quot;00A225CD&quot;/&gt;&lt;wsp:rsid wsp:val=&quot;00A2270C&quot;/&gt;&lt;wsp:rsid wsp:val=&quot;00A2287D&quot;/&gt;&lt;wsp:rsid wsp:val=&quot;00A22AFE&quot;/&gt;&lt;wsp:rsid wsp:val=&quot;00A22B02&quot;/&gt;&lt;wsp:rsid wsp:val=&quot;00A22B7B&quot;/&gt;&lt;wsp:rsid wsp:val=&quot;00A23041&quot;/&gt;&lt;wsp:rsid wsp:val=&quot;00A2338A&quot;/&gt;&lt;wsp:rsid wsp:val=&quot;00A23BE9&quot;/&gt;&lt;wsp:rsid wsp:val=&quot;00A23D37&quot;/&gt;&lt;wsp:rsid wsp:val=&quot;00A23D66&quot;/&gt;&lt;wsp:rsid wsp:val=&quot;00A23F6B&quot;/&gt;&lt;wsp:rsid wsp:val=&quot;00A24161&quot;/&gt;&lt;wsp:rsid wsp:val=&quot;00A2476A&quot;/&gt;&lt;wsp:rsid wsp:val=&quot;00A24F6D&quot;/&gt;&lt;wsp:rsid wsp:val=&quot;00A25071&quot;/&gt;&lt;wsp:rsid wsp:val=&quot;00A25616&quot;/&gt;&lt;wsp:rsid wsp:val=&quot;00A25902&quot;/&gt;&lt;wsp:rsid wsp:val=&quot;00A25E7F&quot;/&gt;&lt;wsp:rsid wsp:val=&quot;00A25F3D&quot;/&gt;&lt;wsp:rsid wsp:val=&quot;00A26678&quot;/&gt;&lt;wsp:rsid wsp:val=&quot;00A26680&quot;/&gt;&lt;wsp:rsid wsp:val=&quot;00A26B90&quot;/&gt;&lt;wsp:rsid wsp:val=&quot;00A27055&quot;/&gt;&lt;wsp:rsid wsp:val=&quot;00A272C6&quot;/&gt;&lt;wsp:rsid wsp:val=&quot;00A27408&quot;/&gt;&lt;wsp:rsid wsp:val=&quot;00A275B6&quot;/&gt;&lt;wsp:rsid wsp:val=&quot;00A27A2C&quot;/&gt;&lt;wsp:rsid wsp:val=&quot;00A27CEB&quot;/&gt;&lt;wsp:rsid wsp:val=&quot;00A3026B&quot;/&gt;&lt;wsp:rsid wsp:val=&quot;00A302EE&quot;/&gt;&lt;wsp:rsid wsp:val=&quot;00A30427&quot;/&gt;&lt;wsp:rsid wsp:val=&quot;00A30EF9&quot;/&gt;&lt;wsp:rsid wsp:val=&quot;00A31B9C&quot;/&gt;&lt;wsp:rsid wsp:val=&quot;00A31D12&quot;/&gt;&lt;wsp:rsid wsp:val=&quot;00A327E8&quot;/&gt;&lt;wsp:rsid wsp:val=&quot;00A330E3&quot;/&gt;&lt;wsp:rsid wsp:val=&quot;00A33122&quot;/&gt;&lt;wsp:rsid wsp:val=&quot;00A33251&quot;/&gt;&lt;wsp:rsid wsp:val=&quot;00A3344B&quot;/&gt;&lt;wsp:rsid wsp:val=&quot;00A33C54&quot;/&gt;&lt;wsp:rsid wsp:val=&quot;00A33F30&quot;/&gt;&lt;wsp:rsid wsp:val=&quot;00A340B0&quot;/&gt;&lt;wsp:rsid wsp:val=&quot;00A342F0&quot;/&gt;&lt;wsp:rsid wsp:val=&quot;00A344CE&quot;/&gt;&lt;wsp:rsid wsp:val=&quot;00A34A3D&quot;/&gt;&lt;wsp:rsid wsp:val=&quot;00A34D63&quot;/&gt;&lt;wsp:rsid wsp:val=&quot;00A34F32&quot;/&gt;&lt;wsp:rsid wsp:val=&quot;00A35098&quot;/&gt;&lt;wsp:rsid wsp:val=&quot;00A356CC&quot;/&gt;&lt;wsp:rsid wsp:val=&quot;00A3598B&quot;/&gt;&lt;wsp:rsid wsp:val=&quot;00A35994&quot;/&gt;&lt;wsp:rsid wsp:val=&quot;00A35AB6&quot;/&gt;&lt;wsp:rsid wsp:val=&quot;00A35C65&quot;/&gt;&lt;wsp:rsid wsp:val=&quot;00A36329&quot;/&gt;&lt;wsp:rsid wsp:val=&quot;00A36618&quot;/&gt;&lt;wsp:rsid wsp:val=&quot;00A37446&quot;/&gt;&lt;wsp:rsid wsp:val=&quot;00A3753C&quot;/&gt;&lt;wsp:rsid wsp:val=&quot;00A37A60&quot;/&gt;&lt;wsp:rsid wsp:val=&quot;00A37E7E&quot;/&gt;&lt;wsp:rsid wsp:val=&quot;00A37FCA&quot;/&gt;&lt;wsp:rsid wsp:val=&quot;00A402E2&quot;/&gt;&lt;wsp:rsid wsp:val=&quot;00A407B7&quot;/&gt;&lt;wsp:rsid wsp:val=&quot;00A40A2D&quot;/&gt;&lt;wsp:rsid wsp:val=&quot;00A40A35&quot;/&gt;&lt;wsp:rsid wsp:val=&quot;00A40AA3&quot;/&gt;&lt;wsp:rsid wsp:val=&quot;00A414F9&quot;/&gt;&lt;wsp:rsid wsp:val=&quot;00A41FB3&quot;/&gt;&lt;wsp:rsid wsp:val=&quot;00A4201B&quot;/&gt;&lt;wsp:rsid wsp:val=&quot;00A42337&quot;/&gt;&lt;wsp:rsid wsp:val=&quot;00A426B0&quot;/&gt;&lt;wsp:rsid wsp:val=&quot;00A428B5&quot;/&gt;&lt;wsp:rsid wsp:val=&quot;00A42B72&quot;/&gt;&lt;wsp:rsid wsp:val=&quot;00A42C83&quot;/&gt;&lt;wsp:rsid wsp:val=&quot;00A42F14&quot;/&gt;&lt;wsp:rsid wsp:val=&quot;00A43130&quot;/&gt;&lt;wsp:rsid wsp:val=&quot;00A432A5&quot;/&gt;&lt;wsp:rsid wsp:val=&quot;00A433EE&quot;/&gt;&lt;wsp:rsid wsp:val=&quot;00A43CCA&quot;/&gt;&lt;wsp:rsid wsp:val=&quot;00A43D52&quot;/&gt;&lt;wsp:rsid wsp:val=&quot;00A43D8D&quot;/&gt;&lt;wsp:rsid wsp:val=&quot;00A43DB9&quot;/&gt;&lt;wsp:rsid wsp:val=&quot;00A44007&quot;/&gt;&lt;wsp:rsid wsp:val=&quot;00A441C9&quot;/&gt;&lt;wsp:rsid wsp:val=&quot;00A44306&quot;/&gt;&lt;wsp:rsid wsp:val=&quot;00A4441A&quot;/&gt;&lt;wsp:rsid wsp:val=&quot;00A4450A&quot;/&gt;&lt;wsp:rsid wsp:val=&quot;00A44697&quot;/&gt;&lt;wsp:rsid wsp:val=&quot;00A448E1&quot;/&gt;&lt;wsp:rsid wsp:val=&quot;00A44B02&quot;/&gt;&lt;wsp:rsid wsp:val=&quot;00A44EE3&quot;/&gt;&lt;wsp:rsid wsp:val=&quot;00A45088&quot;/&gt;&lt;wsp:rsid wsp:val=&quot;00A45709&quot;/&gt;&lt;wsp:rsid wsp:val=&quot;00A45BAD&quot;/&gt;&lt;wsp:rsid wsp:val=&quot;00A45D3A&quot;/&gt;&lt;wsp:rsid wsp:val=&quot;00A465E6&quot;/&gt;&lt;wsp:rsid wsp:val=&quot;00A46C10&quot;/&gt;&lt;wsp:rsid wsp:val=&quot;00A46FEC&quot;/&gt;&lt;wsp:rsid wsp:val=&quot;00A4739F&quot;/&gt;&lt;wsp:rsid wsp:val=&quot;00A47C85&quot;/&gt;&lt;wsp:rsid wsp:val=&quot;00A47FA4&quot;/&gt;&lt;wsp:rsid wsp:val=&quot;00A47FF5&quot;/&gt;&lt;wsp:rsid wsp:val=&quot;00A50397&quot;/&gt;&lt;wsp:rsid wsp:val=&quot;00A50FCF&quot;/&gt;&lt;wsp:rsid wsp:val=&quot;00A51651&quot;/&gt;&lt;wsp:rsid wsp:val=&quot;00A51A7D&quot;/&gt;&lt;wsp:rsid wsp:val=&quot;00A51B3B&quot;/&gt;&lt;wsp:rsid wsp:val=&quot;00A521DF&quot;/&gt;&lt;wsp:rsid wsp:val=&quot;00A522BD&quot;/&gt;&lt;wsp:rsid wsp:val=&quot;00A522F5&quot;/&gt;&lt;wsp:rsid wsp:val=&quot;00A53069&quot;/&gt;&lt;wsp:rsid wsp:val=&quot;00A53CEE&quot;/&gt;&lt;wsp:rsid wsp:val=&quot;00A53DDB&quot;/&gt;&lt;wsp:rsid wsp:val=&quot;00A54165&quot;/&gt;&lt;wsp:rsid wsp:val=&quot;00A54192&quot;/&gt;&lt;wsp:rsid wsp:val=&quot;00A544CF&quot;/&gt;&lt;wsp:rsid wsp:val=&quot;00A550CC&quot;/&gt;&lt;wsp:rsid wsp:val=&quot;00A55592&quot;/&gt;&lt;wsp:rsid wsp:val=&quot;00A56971&quot;/&gt;&lt;wsp:rsid wsp:val=&quot;00A56DA3&quot;/&gt;&lt;wsp:rsid wsp:val=&quot;00A5712D&quot;/&gt;&lt;wsp:rsid wsp:val=&quot;00A571A1&quot;/&gt;&lt;wsp:rsid wsp:val=&quot;00A57603&quot;/&gt;&lt;wsp:rsid wsp:val=&quot;00A57747&quot;/&gt;&lt;wsp:rsid wsp:val=&quot;00A577C8&quot;/&gt;&lt;wsp:rsid wsp:val=&quot;00A57998&quot;/&gt;&lt;wsp:rsid wsp:val=&quot;00A5799C&quot;/&gt;&lt;wsp:rsid wsp:val=&quot;00A57CDD&quot;/&gt;&lt;wsp:rsid wsp:val=&quot;00A57D38&quot;/&gt;&lt;wsp:rsid wsp:val=&quot;00A57ECD&quot;/&gt;&lt;wsp:rsid wsp:val=&quot;00A60232&quot;/&gt;&lt;wsp:rsid wsp:val=&quot;00A603C1&quot;/&gt;&lt;wsp:rsid wsp:val=&quot;00A606E1&quot;/&gt;&lt;wsp:rsid wsp:val=&quot;00A60F4E&quot;/&gt;&lt;wsp:rsid wsp:val=&quot;00A60FF7&quot;/&gt;&lt;wsp:rsid wsp:val=&quot;00A611A0&quot;/&gt;&lt;wsp:rsid wsp:val=&quot;00A6132B&quot;/&gt;&lt;wsp:rsid wsp:val=&quot;00A61343&quot;/&gt;&lt;wsp:rsid wsp:val=&quot;00A61726&quot;/&gt;&lt;wsp:rsid wsp:val=&quot;00A61944&quot;/&gt;&lt;wsp:rsid wsp:val=&quot;00A61FB8&quot;/&gt;&lt;wsp:rsid wsp:val=&quot;00A621F9&quot;/&gt;&lt;wsp:rsid wsp:val=&quot;00A627DC&quot;/&gt;&lt;wsp:rsid wsp:val=&quot;00A6298D&quot;/&gt;&lt;wsp:rsid wsp:val=&quot;00A62AC4&quot;/&gt;&lt;wsp:rsid wsp:val=&quot;00A63373&quot;/&gt;&lt;wsp:rsid wsp:val=&quot;00A63B90&quot;/&gt;&lt;wsp:rsid wsp:val=&quot;00A64482&quot;/&gt;&lt;wsp:rsid wsp:val=&quot;00A64B34&quot;/&gt;&lt;wsp:rsid wsp:val=&quot;00A64BA3&quot;/&gt;&lt;wsp:rsid wsp:val=&quot;00A64D0E&quot;/&gt;&lt;wsp:rsid wsp:val=&quot;00A64F41&quot;/&gt;&lt;wsp:rsid wsp:val=&quot;00A64F9B&quot;/&gt;&lt;wsp:rsid wsp:val=&quot;00A655EA&quot;/&gt;&lt;wsp:rsid wsp:val=&quot;00A6585E&quot;/&gt;&lt;wsp:rsid wsp:val=&quot;00A65964&quot;/&gt;&lt;wsp:rsid wsp:val=&quot;00A66562&quot;/&gt;&lt;wsp:rsid wsp:val=&quot;00A66655&quot;/&gt;&lt;wsp:rsid wsp:val=&quot;00A6674A&quot;/&gt;&lt;wsp:rsid wsp:val=&quot;00A6687A&quot;/&gt;&lt;wsp:rsid wsp:val=&quot;00A66B11&quot;/&gt;&lt;wsp:rsid wsp:val=&quot;00A66BC6&quot;/&gt;&lt;wsp:rsid wsp:val=&quot;00A66C95&quot;/&gt;&lt;wsp:rsid wsp:val=&quot;00A66E1B&quot;/&gt;&lt;wsp:rsid wsp:val=&quot;00A66E25&quot;/&gt;&lt;wsp:rsid wsp:val=&quot;00A6737F&quot;/&gt;&lt;wsp:rsid wsp:val=&quot;00A673D9&quot;/&gt;&lt;wsp:rsid wsp:val=&quot;00A678C1&quot;/&gt;&lt;wsp:rsid wsp:val=&quot;00A67964&quot;/&gt;&lt;wsp:rsid wsp:val=&quot;00A67990&quot;/&gt;&lt;wsp:rsid wsp:val=&quot;00A67ED4&quot;/&gt;&lt;wsp:rsid wsp:val=&quot;00A700D0&quot;/&gt;&lt;wsp:rsid wsp:val=&quot;00A70715&quot;/&gt;&lt;wsp:rsid wsp:val=&quot;00A70C94&quot;/&gt;&lt;wsp:rsid wsp:val=&quot;00A716B1&quot;/&gt;&lt;wsp:rsid wsp:val=&quot;00A7199F&quot;/&gt;&lt;wsp:rsid wsp:val=&quot;00A71EE9&quot;/&gt;&lt;wsp:rsid wsp:val=&quot;00A71F6E&quot;/&gt;&lt;wsp:rsid wsp:val=&quot;00A7263A&quot;/&gt;&lt;wsp:rsid wsp:val=&quot;00A72700&quot;/&gt;&lt;wsp:rsid wsp:val=&quot;00A7334E&quot;/&gt;&lt;wsp:rsid wsp:val=&quot;00A736D7&quot;/&gt;&lt;wsp:rsid wsp:val=&quot;00A73DE9&quot;/&gt;&lt;wsp:rsid wsp:val=&quot;00A74A13&quot;/&gt;&lt;wsp:rsid wsp:val=&quot;00A74CA6&quot;/&gt;&lt;wsp:rsid wsp:val=&quot;00A756C3&quot;/&gt;&lt;wsp:rsid wsp:val=&quot;00A75F8A&quot;/&gt;&lt;wsp:rsid wsp:val=&quot;00A760E7&quot;/&gt;&lt;wsp:rsid wsp:val=&quot;00A763D5&quot;/&gt;&lt;wsp:rsid wsp:val=&quot;00A765AF&quot;/&gt;&lt;wsp:rsid wsp:val=&quot;00A765E5&quot;/&gt;&lt;wsp:rsid wsp:val=&quot;00A766D9&quot;/&gt;&lt;wsp:rsid wsp:val=&quot;00A76B25&quot;/&gt;&lt;wsp:rsid wsp:val=&quot;00A76DE9&quot;/&gt;&lt;wsp:rsid wsp:val=&quot;00A771FF&quot;/&gt;&lt;wsp:rsid wsp:val=&quot;00A77409&quot;/&gt;&lt;wsp:rsid wsp:val=&quot;00A77745&quot;/&gt;&lt;wsp:rsid wsp:val=&quot;00A778B0&quot;/&gt;&lt;wsp:rsid wsp:val=&quot;00A77991&quot;/&gt;&lt;wsp:rsid wsp:val=&quot;00A8097A&quot;/&gt;&lt;wsp:rsid wsp:val=&quot;00A809DB&quot;/&gt;&lt;wsp:rsid wsp:val=&quot;00A80C99&quot;/&gt;&lt;wsp:rsid wsp:val=&quot;00A81177&quot;/&gt;&lt;wsp:rsid wsp:val=&quot;00A817B9&quot;/&gt;&lt;wsp:rsid wsp:val=&quot;00A81C38&quot;/&gt;&lt;wsp:rsid wsp:val=&quot;00A820B6&quot;/&gt;&lt;wsp:rsid wsp:val=&quot;00A82236&quot;/&gt;&lt;wsp:rsid wsp:val=&quot;00A822E7&quot;/&gt;&lt;wsp:rsid wsp:val=&quot;00A82449&quot;/&gt;&lt;wsp:rsid wsp:val=&quot;00A824A1&quot;/&gt;&lt;wsp:rsid wsp:val=&quot;00A828B2&quot;/&gt;&lt;wsp:rsid wsp:val=&quot;00A83023&quot;/&gt;&lt;wsp:rsid wsp:val=&quot;00A83792&quot;/&gt;&lt;wsp:rsid wsp:val=&quot;00A83951&quot;/&gt;&lt;wsp:rsid wsp:val=&quot;00A839D0&quot;/&gt;&lt;wsp:rsid wsp:val=&quot;00A83F26&quot;/&gt;&lt;wsp:rsid wsp:val=&quot;00A84198&quot;/&gt;&lt;wsp:rsid wsp:val=&quot;00A84200&quot;/&gt;&lt;wsp:rsid wsp:val=&quot;00A84673&quot;/&gt;&lt;wsp:rsid wsp:val=&quot;00A84854&quot;/&gt;&lt;wsp:rsid wsp:val=&quot;00A84DCB&quot;/&gt;&lt;wsp:rsid wsp:val=&quot;00A8510F&quot;/&gt;&lt;wsp:rsid wsp:val=&quot;00A852B5&quot;/&gt;&lt;wsp:rsid wsp:val=&quot;00A853E3&quot;/&gt;&lt;wsp:rsid wsp:val=&quot;00A854D8&quot;/&gt;&lt;wsp:rsid wsp:val=&quot;00A85AB5&quot;/&gt;&lt;wsp:rsid wsp:val=&quot;00A85C00&quot;/&gt;&lt;wsp:rsid wsp:val=&quot;00A85D6D&quot;/&gt;&lt;wsp:rsid wsp:val=&quot;00A85EB3&quot;/&gt;&lt;wsp:rsid wsp:val=&quot;00A85F84&quot;/&gt;&lt;wsp:rsid wsp:val=&quot;00A86657&quot;/&gt;&lt;wsp:rsid wsp:val=&quot;00A866B6&quot;/&gt;&lt;wsp:rsid wsp:val=&quot;00A8672E&quot;/&gt;&lt;wsp:rsid wsp:val=&quot;00A86B0C&quot;/&gt;&lt;wsp:rsid wsp:val=&quot;00A86E87&quot;/&gt;&lt;wsp:rsid wsp:val=&quot;00A86EE4&quot;/&gt;&lt;wsp:rsid wsp:val=&quot;00A86FA8&quot;/&gt;&lt;wsp:rsid wsp:val=&quot;00A87763&quot;/&gt;&lt;wsp:rsid wsp:val=&quot;00A878E9&quot;/&gt;&lt;wsp:rsid wsp:val=&quot;00A87A26&quot;/&gt;&lt;wsp:rsid wsp:val=&quot;00A9060A&quot;/&gt;&lt;wsp:rsid wsp:val=&quot;00A90A2C&quot;/&gt;&lt;wsp:rsid wsp:val=&quot;00A90AD8&quot;/&gt;&lt;wsp:rsid wsp:val=&quot;00A90B33&quot;/&gt;&lt;wsp:rsid wsp:val=&quot;00A90D06&quot;/&gt;&lt;wsp:rsid wsp:val=&quot;00A90DB1&quot;/&gt;&lt;wsp:rsid wsp:val=&quot;00A90E98&quot;/&gt;&lt;wsp:rsid wsp:val=&quot;00A91228&quot;/&gt;&lt;wsp:rsid wsp:val=&quot;00A912DE&quot;/&gt;&lt;wsp:rsid wsp:val=&quot;00A914E8&quot;/&gt;&lt;wsp:rsid wsp:val=&quot;00A91549&quot;/&gt;&lt;wsp:rsid wsp:val=&quot;00A9187B&quot;/&gt;&lt;wsp:rsid wsp:val=&quot;00A91AE0&quot;/&gt;&lt;wsp:rsid wsp:val=&quot;00A91DDD&quot;/&gt;&lt;wsp:rsid wsp:val=&quot;00A91E3D&quot;/&gt;&lt;wsp:rsid wsp:val=&quot;00A91E8B&quot;/&gt;&lt;wsp:rsid wsp:val=&quot;00A91FF8&quot;/&gt;&lt;wsp:rsid wsp:val=&quot;00A92C00&quot;/&gt;&lt;wsp:rsid wsp:val=&quot;00A9307D&quot;/&gt;&lt;wsp:rsid wsp:val=&quot;00A93595&quot;/&gt;&lt;wsp:rsid wsp:val=&quot;00A9378A&quot;/&gt;&lt;wsp:rsid wsp:val=&quot;00A93DC6&quot;/&gt;&lt;wsp:rsid wsp:val=&quot;00A93F77&quot;/&gt;&lt;wsp:rsid wsp:val=&quot;00A94191&quot;/&gt;&lt;wsp:rsid wsp:val=&quot;00A9429F&quot;/&gt;&lt;wsp:rsid wsp:val=&quot;00A944E2&quot;/&gt;&lt;wsp:rsid wsp:val=&quot;00A94689&quot;/&gt;&lt;wsp:rsid wsp:val=&quot;00A94BE2&quot;/&gt;&lt;wsp:rsid wsp:val=&quot;00A94E34&quot;/&gt;&lt;wsp:rsid wsp:val=&quot;00A94E6A&quot;/&gt;&lt;wsp:rsid wsp:val=&quot;00A95085&quot;/&gt;&lt;wsp:rsid wsp:val=&quot;00A95089&quot;/&gt;&lt;wsp:rsid wsp:val=&quot;00A9530F&quot;/&gt;&lt;wsp:rsid wsp:val=&quot;00A958C7&quot;/&gt;&lt;wsp:rsid wsp:val=&quot;00A95DD7&quot;/&gt;&lt;wsp:rsid wsp:val=&quot;00A96703&quot;/&gt;&lt;wsp:rsid wsp:val=&quot;00A96CF7&quot;/&gt;&lt;wsp:rsid wsp:val=&quot;00A96DE5&quot;/&gt;&lt;wsp:rsid wsp:val=&quot;00A96F99&quot;/&gt;&lt;wsp:rsid wsp:val=&quot;00A97788&quot;/&gt;&lt;wsp:rsid wsp:val=&quot;00A97E99&quot;/&gt;&lt;wsp:rsid wsp:val=&quot;00AA00B0&quot;/&gt;&lt;wsp:rsid wsp:val=&quot;00AA024A&quot;/&gt;&lt;wsp:rsid wsp:val=&quot;00AA0845&quot;/&gt;&lt;wsp:rsid wsp:val=&quot;00AA09D8&quot;/&gt;&lt;wsp:rsid wsp:val=&quot;00AA1033&quot;/&gt;&lt;wsp:rsid wsp:val=&quot;00AA16C0&quot;/&gt;&lt;wsp:rsid wsp:val=&quot;00AA2337&quot;/&gt;&lt;wsp:rsid wsp:val=&quot;00AA2681&quot;/&gt;&lt;wsp:rsid wsp:val=&quot;00AA2A6C&quot;/&gt;&lt;wsp:rsid wsp:val=&quot;00AA30DE&quot;/&gt;&lt;wsp:rsid wsp:val=&quot;00AA3647&quot;/&gt;&lt;wsp:rsid wsp:val=&quot;00AA3FD3&quot;/&gt;&lt;wsp:rsid wsp:val=&quot;00AA43F4&quot;/&gt;&lt;wsp:rsid wsp:val=&quot;00AA46ED&quot;/&gt;&lt;wsp:rsid wsp:val=&quot;00AA48C4&quot;/&gt;&lt;wsp:rsid wsp:val=&quot;00AA4C5F&quot;/&gt;&lt;wsp:rsid wsp:val=&quot;00AA50CB&quot;/&gt;&lt;wsp:rsid wsp:val=&quot;00AA5183&quot;/&gt;&lt;wsp:rsid wsp:val=&quot;00AA58E4&quot;/&gt;&lt;wsp:rsid wsp:val=&quot;00AA5D15&quot;/&gt;&lt;wsp:rsid wsp:val=&quot;00AA5D2F&quot;/&gt;&lt;wsp:rsid wsp:val=&quot;00AA5EDE&quot;/&gt;&lt;wsp:rsid wsp:val=&quot;00AA7183&quot;/&gt;&lt;wsp:rsid wsp:val=&quot;00AA71BE&quot;/&gt;&lt;wsp:rsid wsp:val=&quot;00AA7419&quot;/&gt;&lt;wsp:rsid wsp:val=&quot;00AA74DC&quot;/&gt;&lt;wsp:rsid wsp:val=&quot;00AA78C2&quot;/&gt;&lt;wsp:rsid wsp:val=&quot;00AB0099&quot;/&gt;&lt;wsp:rsid wsp:val=&quot;00AB01C3&quot;/&gt;&lt;wsp:rsid wsp:val=&quot;00AB02EE&quot;/&gt;&lt;wsp:rsid wsp:val=&quot;00AB0A9F&quot;/&gt;&lt;wsp:rsid wsp:val=&quot;00AB1160&quot;/&gt;&lt;wsp:rsid wsp:val=&quot;00AB1230&quot;/&gt;&lt;wsp:rsid wsp:val=&quot;00AB1887&quot;/&gt;&lt;wsp:rsid wsp:val=&quot;00AB1A6C&quot;/&gt;&lt;wsp:rsid wsp:val=&quot;00AB1CCD&quot;/&gt;&lt;wsp:rsid wsp:val=&quot;00AB1D1A&quot;/&gt;&lt;wsp:rsid wsp:val=&quot;00AB21EC&quot;/&gt;&lt;wsp:rsid wsp:val=&quot;00AB262A&quot;/&gt;&lt;wsp:rsid wsp:val=&quot;00AB26FB&quot;/&gt;&lt;wsp:rsid wsp:val=&quot;00AB2AE1&quot;/&gt;&lt;wsp:rsid wsp:val=&quot;00AB2B18&quot;/&gt;&lt;wsp:rsid wsp:val=&quot;00AB2E4F&quot;/&gt;&lt;wsp:rsid wsp:val=&quot;00AB338D&quot;/&gt;&lt;wsp:rsid wsp:val=&quot;00AB34B1&quot;/&gt;&lt;wsp:rsid wsp:val=&quot;00AB36E6&quot;/&gt;&lt;wsp:rsid wsp:val=&quot;00AB3C29&quot;/&gt;&lt;wsp:rsid wsp:val=&quot;00AB40C2&quot;/&gt;&lt;wsp:rsid wsp:val=&quot;00AB479B&quot;/&gt;&lt;wsp:rsid wsp:val=&quot;00AB4984&quot;/&gt;&lt;wsp:rsid wsp:val=&quot;00AB516F&quot;/&gt;&lt;wsp:rsid wsp:val=&quot;00AB5232&quot;/&gt;&lt;wsp:rsid wsp:val=&quot;00AB562B&quot;/&gt;&lt;wsp:rsid wsp:val=&quot;00AB57D3&quot;/&gt;&lt;wsp:rsid wsp:val=&quot;00AB59B1&quot;/&gt;&lt;wsp:rsid wsp:val=&quot;00AB59D5&quot;/&gt;&lt;wsp:rsid wsp:val=&quot;00AB5B58&quot;/&gt;&lt;wsp:rsid wsp:val=&quot;00AB5E0E&quot;/&gt;&lt;wsp:rsid wsp:val=&quot;00AB6303&quot;/&gt;&lt;wsp:rsid wsp:val=&quot;00AB6397&quot;/&gt;&lt;wsp:rsid wsp:val=&quot;00AB654D&quot;/&gt;&lt;wsp:rsid wsp:val=&quot;00AB6A8F&quot;/&gt;&lt;wsp:rsid wsp:val=&quot;00AB7383&quot;/&gt;&lt;wsp:rsid wsp:val=&quot;00AB74E4&quot;/&gt;&lt;wsp:rsid wsp:val=&quot;00AB7B86&quot;/&gt;&lt;wsp:rsid wsp:val=&quot;00AC09CD&quot;/&gt;&lt;wsp:rsid wsp:val=&quot;00AC0EBB&quot;/&gt;&lt;wsp:rsid wsp:val=&quot;00AC1793&quot;/&gt;&lt;wsp:rsid wsp:val=&quot;00AC216B&quot;/&gt;&lt;wsp:rsid wsp:val=&quot;00AC2616&quot;/&gt;&lt;wsp:rsid wsp:val=&quot;00AC2ADD&quot;/&gt;&lt;wsp:rsid wsp:val=&quot;00AC2FFF&quot;/&gt;&lt;wsp:rsid wsp:val=&quot;00AC30C4&quot;/&gt;&lt;wsp:rsid wsp:val=&quot;00AC3439&quot;/&gt;&lt;wsp:rsid wsp:val=&quot;00AC3532&quot;/&gt;&lt;wsp:rsid wsp:val=&quot;00AC3555&quot;/&gt;&lt;wsp:rsid wsp:val=&quot;00AC36EE&quot;/&gt;&lt;wsp:rsid wsp:val=&quot;00AC3E5E&quot;/&gt;&lt;wsp:rsid wsp:val=&quot;00AC4C55&quot;/&gt;&lt;wsp:rsid wsp:val=&quot;00AC52D5&quot;/&gt;&lt;wsp:rsid wsp:val=&quot;00AC53A6&quot;/&gt;&lt;wsp:rsid wsp:val=&quot;00AC5EC3&quot;/&gt;&lt;wsp:rsid wsp:val=&quot;00AC6393&quot;/&gt;&lt;wsp:rsid wsp:val=&quot;00AC6826&quot;/&gt;&lt;wsp:rsid wsp:val=&quot;00AC7003&quot;/&gt;&lt;wsp:rsid wsp:val=&quot;00AC7338&quot;/&gt;&lt;wsp:rsid wsp:val=&quot;00AC760B&quot;/&gt;&lt;wsp:rsid wsp:val=&quot;00AC777A&quot;/&gt;&lt;wsp:rsid wsp:val=&quot;00AC7A6E&quot;/&gt;&lt;wsp:rsid wsp:val=&quot;00AC7B86&quot;/&gt;&lt;wsp:rsid wsp:val=&quot;00AC7BED&quot;/&gt;&lt;wsp:rsid wsp:val=&quot;00AC7ECF&quot;/&gt;&lt;wsp:rsid wsp:val=&quot;00AC7EDC&quot;/&gt;&lt;wsp:rsid wsp:val=&quot;00AD1187&quot;/&gt;&lt;wsp:rsid wsp:val=&quot;00AD1444&quot;/&gt;&lt;wsp:rsid wsp:val=&quot;00AD1649&quot;/&gt;&lt;wsp:rsid wsp:val=&quot;00AD1CB1&quot;/&gt;&lt;wsp:rsid wsp:val=&quot;00AD2036&quot;/&gt;&lt;wsp:rsid wsp:val=&quot;00AD2D3E&quot;/&gt;&lt;wsp:rsid wsp:val=&quot;00AD37C3&quot;/&gt;&lt;wsp:rsid wsp:val=&quot;00AD37E5&quot;/&gt;&lt;wsp:rsid wsp:val=&quot;00AD3907&quot;/&gt;&lt;wsp:rsid wsp:val=&quot;00AD3B5D&quot;/&gt;&lt;wsp:rsid wsp:val=&quot;00AD413C&quot;/&gt;&lt;wsp:rsid wsp:val=&quot;00AD43BE&quot;/&gt;&lt;wsp:rsid wsp:val=&quot;00AD4C66&quot;/&gt;&lt;wsp:rsid wsp:val=&quot;00AD5124&quot;/&gt;&lt;wsp:rsid wsp:val=&quot;00AD5733&quot;/&gt;&lt;wsp:rsid wsp:val=&quot;00AD5E3A&quot;/&gt;&lt;wsp:rsid wsp:val=&quot;00AD629A&quot;/&gt;&lt;wsp:rsid wsp:val=&quot;00AD63AF&quot;/&gt;&lt;wsp:rsid wsp:val=&quot;00AD65EB&quot;/&gt;&lt;wsp:rsid wsp:val=&quot;00AD69C8&quot;/&gt;&lt;wsp:rsid wsp:val=&quot;00AD6A27&quot;/&gt;&lt;wsp:rsid wsp:val=&quot;00AD6A67&quot;/&gt;&lt;wsp:rsid wsp:val=&quot;00AD6BF4&quot;/&gt;&lt;wsp:rsid wsp:val=&quot;00AD6F05&quot;/&gt;&lt;wsp:rsid wsp:val=&quot;00AD703B&quot;/&gt;&lt;wsp:rsid wsp:val=&quot;00AD742B&quot;/&gt;&lt;wsp:rsid wsp:val=&quot;00AE02EA&quot;/&gt;&lt;wsp:rsid wsp:val=&quot;00AE03ED&quot;/&gt;&lt;wsp:rsid wsp:val=&quot;00AE05B9&quot;/&gt;&lt;wsp:rsid wsp:val=&quot;00AE066C&quot;/&gt;&lt;wsp:rsid wsp:val=&quot;00AE0694&quot;/&gt;&lt;wsp:rsid wsp:val=&quot;00AE0B18&quot;/&gt;&lt;wsp:rsid wsp:val=&quot;00AE0CD2&quot;/&gt;&lt;wsp:rsid wsp:val=&quot;00AE0D7C&quot;/&gt;&lt;wsp:rsid wsp:val=&quot;00AE0E1E&quot;/&gt;&lt;wsp:rsid wsp:val=&quot;00AE0F0D&quot;/&gt;&lt;wsp:rsid wsp:val=&quot;00AE13CF&quot;/&gt;&lt;wsp:rsid wsp:val=&quot;00AE1B37&quot;/&gt;&lt;wsp:rsid wsp:val=&quot;00AE1B95&quot;/&gt;&lt;wsp:rsid wsp:val=&quot;00AE1DF6&quot;/&gt;&lt;wsp:rsid wsp:val=&quot;00AE2230&quot;/&gt;&lt;wsp:rsid wsp:val=&quot;00AE25F7&quot;/&gt;&lt;wsp:rsid wsp:val=&quot;00AE2BDD&quot;/&gt;&lt;wsp:rsid wsp:val=&quot;00AE3029&quot;/&gt;&lt;wsp:rsid wsp:val=&quot;00AE3B25&quot;/&gt;&lt;wsp:rsid wsp:val=&quot;00AE3F62&quot;/&gt;&lt;wsp:rsid wsp:val=&quot;00AE45F5&quot;/&gt;&lt;wsp:rsid wsp:val=&quot;00AE486E&quot;/&gt;&lt;wsp:rsid wsp:val=&quot;00AE4D2C&quot;/&gt;&lt;wsp:rsid wsp:val=&quot;00AE4DE1&quot;/&gt;&lt;wsp:rsid wsp:val=&quot;00AE4E9C&quot;/&gt;&lt;wsp:rsid wsp:val=&quot;00AE55B6&quot;/&gt;&lt;wsp:rsid wsp:val=&quot;00AE573D&quot;/&gt;&lt;wsp:rsid wsp:val=&quot;00AE5A74&quot;/&gt;&lt;wsp:rsid wsp:val=&quot;00AE63AB&quot;/&gt;&lt;wsp:rsid wsp:val=&quot;00AE67B2&quot;/&gt;&lt;wsp:rsid wsp:val=&quot;00AE6E93&quot;/&gt;&lt;wsp:rsid wsp:val=&quot;00AE6ED9&quot;/&gt;&lt;wsp:rsid wsp:val=&quot;00AE701C&quot;/&gt;&lt;wsp:rsid wsp:val=&quot;00AE7058&quot;/&gt;&lt;wsp:rsid wsp:val=&quot;00AE72AD&quot;/&gt;&lt;wsp:rsid wsp:val=&quot;00AE76D3&quot;/&gt;&lt;wsp:rsid wsp:val=&quot;00AE7956&quot;/&gt;&lt;wsp:rsid wsp:val=&quot;00AE7D12&quot;/&gt;&lt;wsp:rsid wsp:val=&quot;00AE7D18&quot;/&gt;&lt;wsp:rsid wsp:val=&quot;00AF001B&quot;/&gt;&lt;wsp:rsid wsp:val=&quot;00AF02B5&quot;/&gt;&lt;wsp:rsid wsp:val=&quot;00AF0EF9&quot;/&gt;&lt;wsp:rsid wsp:val=&quot;00AF126E&quot;/&gt;&lt;wsp:rsid wsp:val=&quot;00AF13DF&quot;/&gt;&lt;wsp:rsid wsp:val=&quot;00AF16DF&quot;/&gt;&lt;wsp:rsid wsp:val=&quot;00AF17B4&quot;/&gt;&lt;wsp:rsid wsp:val=&quot;00AF1808&quot;/&gt;&lt;wsp:rsid wsp:val=&quot;00AF1943&quot;/&gt;&lt;wsp:rsid wsp:val=&quot;00AF1A22&quot;/&gt;&lt;wsp:rsid wsp:val=&quot;00AF1D4B&quot;/&gt;&lt;wsp:rsid wsp:val=&quot;00AF1FD7&quot;/&gt;&lt;wsp:rsid wsp:val=&quot;00AF2B79&quot;/&gt;&lt;wsp:rsid wsp:val=&quot;00AF2C03&quot;/&gt;&lt;wsp:rsid wsp:val=&quot;00AF2DCA&quot;/&gt;&lt;wsp:rsid wsp:val=&quot;00AF2E66&quot;/&gt;&lt;wsp:rsid wsp:val=&quot;00AF2EE2&quot;/&gt;&lt;wsp:rsid wsp:val=&quot;00AF2FAB&quot;/&gt;&lt;wsp:rsid wsp:val=&quot;00AF3174&quot;/&gt;&lt;wsp:rsid wsp:val=&quot;00AF3D3B&quot;/&gt;&lt;wsp:rsid wsp:val=&quot;00AF3DC5&quot;/&gt;&lt;wsp:rsid wsp:val=&quot;00AF40BC&quot;/&gt;&lt;wsp:rsid wsp:val=&quot;00AF432E&quot;/&gt;&lt;wsp:rsid wsp:val=&quot;00AF44D8&quot;/&gt;&lt;wsp:rsid wsp:val=&quot;00AF454B&quot;/&gt;&lt;wsp:rsid wsp:val=&quot;00AF4737&quot;/&gt;&lt;wsp:rsid wsp:val=&quot;00AF5592&quot;/&gt;&lt;wsp:rsid wsp:val=&quot;00AF563B&quot;/&gt;&lt;wsp:rsid wsp:val=&quot;00AF5CD8&quot;/&gt;&lt;wsp:rsid wsp:val=&quot;00AF5DD6&quot;/&gt;&lt;wsp:rsid wsp:val=&quot;00AF61F2&quot;/&gt;&lt;wsp:rsid wsp:val=&quot;00AF62E6&quot;/&gt;&lt;wsp:rsid wsp:val=&quot;00AF640E&quot;/&gt;&lt;wsp:rsid wsp:val=&quot;00AF67F3&quot;/&gt;&lt;wsp:rsid wsp:val=&quot;00AF7112&quot;/&gt;&lt;wsp:rsid wsp:val=&quot;00AF7214&quot;/&gt;&lt;wsp:rsid wsp:val=&quot;00AF75A5&quot;/&gt;&lt;wsp:rsid wsp:val=&quot;00AF75E6&quot;/&gt;&lt;wsp:rsid wsp:val=&quot;00B00C5A&quot;/&gt;&lt;wsp:rsid wsp:val=&quot;00B01449&quot;/&gt;&lt;wsp:rsid wsp:val=&quot;00B014C2&quot;/&gt;&lt;wsp:rsid wsp:val=&quot;00B0174B&quot;/&gt;&lt;wsp:rsid wsp:val=&quot;00B01797&quot;/&gt;&lt;wsp:rsid wsp:val=&quot;00B02194&quot;/&gt;&lt;wsp:rsid wsp:val=&quot;00B0222D&quot;/&gt;&lt;wsp:rsid wsp:val=&quot;00B022BB&quot;/&gt;&lt;wsp:rsid wsp:val=&quot;00B02AA0&quot;/&gt;&lt;wsp:rsid wsp:val=&quot;00B03173&quot;/&gt;&lt;wsp:rsid wsp:val=&quot;00B035A5&quot;/&gt;&lt;wsp:rsid wsp:val=&quot;00B03A7E&quot;/&gt;&lt;wsp:rsid wsp:val=&quot;00B0429D&quot;/&gt;&lt;wsp:rsid wsp:val=&quot;00B0459E&quot;/&gt;&lt;wsp:rsid wsp:val=&quot;00B04624&quot;/&gt;&lt;wsp:rsid wsp:val=&quot;00B049CD&quot;/&gt;&lt;wsp:rsid wsp:val=&quot;00B053C8&quot;/&gt;&lt;wsp:rsid wsp:val=&quot;00B059B5&quot;/&gt;&lt;wsp:rsid wsp:val=&quot;00B05ACA&quot;/&gt;&lt;wsp:rsid wsp:val=&quot;00B05C3C&quot;/&gt;&lt;wsp:rsid wsp:val=&quot;00B0661A&quot;/&gt;&lt;wsp:rsid wsp:val=&quot;00B06A4C&quot;/&gt;&lt;wsp:rsid wsp:val=&quot;00B1025B&quot;/&gt;&lt;wsp:rsid wsp:val=&quot;00B10746&quot;/&gt;&lt;wsp:rsid wsp:val=&quot;00B10D53&quot;/&gt;&lt;wsp:rsid wsp:val=&quot;00B10EDA&quot;/&gt;&lt;wsp:rsid wsp:val=&quot;00B10FDE&quot;/&gt;&lt;wsp:rsid wsp:val=&quot;00B111EC&quot;/&gt;&lt;wsp:rsid wsp:val=&quot;00B118E4&quot;/&gt;&lt;wsp:rsid wsp:val=&quot;00B11BDA&quot;/&gt;&lt;wsp:rsid wsp:val=&quot;00B11D0E&quot;/&gt;&lt;wsp:rsid wsp:val=&quot;00B11DEA&quot;/&gt;&lt;wsp:rsid wsp:val=&quot;00B12042&quot;/&gt;&lt;wsp:rsid wsp:val=&quot;00B123BB&quot;/&gt;&lt;wsp:rsid wsp:val=&quot;00B12582&quot;/&gt;&lt;wsp:rsid wsp:val=&quot;00B12A30&quot;/&gt;&lt;wsp:rsid wsp:val=&quot;00B12C5B&quot;/&gt;&lt;wsp:rsid wsp:val=&quot;00B1301A&quot;/&gt;&lt;wsp:rsid wsp:val=&quot;00B13388&quot;/&gt;&lt;wsp:rsid wsp:val=&quot;00B13590&quot;/&gt;&lt;wsp:rsid wsp:val=&quot;00B135CB&quot;/&gt;&lt;wsp:rsid wsp:val=&quot;00B13F5C&quot;/&gt;&lt;wsp:rsid wsp:val=&quot;00B14295&quot;/&gt;&lt;wsp:rsid wsp:val=&quot;00B14642&quot;/&gt;&lt;wsp:rsid wsp:val=&quot;00B14840&quot;/&gt;&lt;wsp:rsid wsp:val=&quot;00B1487A&quot;/&gt;&lt;wsp:rsid wsp:val=&quot;00B14FAB&quot;/&gt;&lt;wsp:rsid wsp:val=&quot;00B152C6&quot;/&gt;&lt;wsp:rsid wsp:val=&quot;00B15386&quot;/&gt;&lt;wsp:rsid wsp:val=&quot;00B1545F&quot;/&gt;&lt;wsp:rsid wsp:val=&quot;00B158E6&quot;/&gt;&lt;wsp:rsid wsp:val=&quot;00B15AF3&quot;/&gt;&lt;wsp:rsid wsp:val=&quot;00B15C51&quot;/&gt;&lt;wsp:rsid wsp:val=&quot;00B16483&quot;/&gt;&lt;wsp:rsid wsp:val=&quot;00B16B63&quot;/&gt;&lt;wsp:rsid wsp:val=&quot;00B16EDD&quot;/&gt;&lt;wsp:rsid wsp:val=&quot;00B17244&quot;/&gt;&lt;wsp:rsid wsp:val=&quot;00B1765C&quot;/&gt;&lt;wsp:rsid wsp:val=&quot;00B176E7&quot;/&gt;&lt;wsp:rsid wsp:val=&quot;00B1784A&quot;/&gt;&lt;wsp:rsid wsp:val=&quot;00B17920&quot;/&gt;&lt;wsp:rsid wsp:val=&quot;00B17A6B&quot;/&gt;&lt;wsp:rsid wsp:val=&quot;00B17ACB&quot;/&gt;&lt;wsp:rsid wsp:val=&quot;00B2015F&quot;/&gt;&lt;wsp:rsid wsp:val=&quot;00B20FD8&quot;/&gt;&lt;wsp:rsid wsp:val=&quot;00B21567&quot;/&gt;&lt;wsp:rsid wsp:val=&quot;00B216AA&quot;/&gt;&lt;wsp:rsid wsp:val=&quot;00B2173D&quot;/&gt;&lt;wsp:rsid wsp:val=&quot;00B2178D&quot;/&gt;&lt;wsp:rsid wsp:val=&quot;00B21811&quot;/&gt;&lt;wsp:rsid wsp:val=&quot;00B2205A&quot;/&gt;&lt;wsp:rsid wsp:val=&quot;00B22165&quot;/&gt;&lt;wsp:rsid wsp:val=&quot;00B22791&quot;/&gt;&lt;wsp:rsid wsp:val=&quot;00B234D0&quot;/&gt;&lt;wsp:rsid wsp:val=&quot;00B23FC7&quot;/&gt;&lt;wsp:rsid wsp:val=&quot;00B243AF&quot;/&gt;&lt;wsp:rsid wsp:val=&quot;00B246B2&quot;/&gt;&lt;wsp:rsid wsp:val=&quot;00B246B3&quot;/&gt;&lt;wsp:rsid wsp:val=&quot;00B2470D&quot;/&gt;&lt;wsp:rsid wsp:val=&quot;00B247F7&quot;/&gt;&lt;wsp:rsid wsp:val=&quot;00B24BF6&quot;/&gt;&lt;wsp:rsid wsp:val=&quot;00B24D79&quot;/&gt;&lt;wsp:rsid wsp:val=&quot;00B24E8C&quot;/&gt;&lt;wsp:rsid wsp:val=&quot;00B25106&quot;/&gt;&lt;wsp:rsid wsp:val=&quot;00B254B4&quot;/&gt;&lt;wsp:rsid wsp:val=&quot;00B25617&quot;/&gt;&lt;wsp:rsid wsp:val=&quot;00B25802&quot;/&gt;&lt;wsp:rsid wsp:val=&quot;00B25CE5&quot;/&gt;&lt;wsp:rsid wsp:val=&quot;00B2664D&quot;/&gt;&lt;wsp:rsid wsp:val=&quot;00B2687D&quot;/&gt;&lt;wsp:rsid wsp:val=&quot;00B26C10&quot;/&gt;&lt;wsp:rsid wsp:val=&quot;00B27ABE&quot;/&gt;&lt;wsp:rsid wsp:val=&quot;00B30028&quot;/&gt;&lt;wsp:rsid wsp:val=&quot;00B30D1A&quot;/&gt;&lt;wsp:rsid wsp:val=&quot;00B311A1&quot;/&gt;&lt;wsp:rsid wsp:val=&quot;00B313ED&quot;/&gt;&lt;wsp:rsid wsp:val=&quot;00B314AA&quot;/&gt;&lt;wsp:rsid wsp:val=&quot;00B314B7&quot;/&gt;&lt;wsp:rsid wsp:val=&quot;00B316D8&quot;/&gt;&lt;wsp:rsid wsp:val=&quot;00B31AC9&quot;/&gt;&lt;wsp:rsid wsp:val=&quot;00B3239C&quot;/&gt;&lt;wsp:rsid wsp:val=&quot;00B32CB6&quot;/&gt;&lt;wsp:rsid wsp:val=&quot;00B33123&quot;/&gt;&lt;wsp:rsid wsp:val=&quot;00B33A29&quot;/&gt;&lt;wsp:rsid wsp:val=&quot;00B33A95&quot;/&gt;&lt;wsp:rsid wsp:val=&quot;00B33DB2&quot;/&gt;&lt;wsp:rsid wsp:val=&quot;00B34A49&quot;/&gt;&lt;wsp:rsid wsp:val=&quot;00B35463&quot;/&gt;&lt;wsp:rsid wsp:val=&quot;00B36272&quot;/&gt;&lt;wsp:rsid wsp:val=&quot;00B3630E&quot;/&gt;&lt;wsp:rsid wsp:val=&quot;00B36417&quot;/&gt;&lt;wsp:rsid wsp:val=&quot;00B3646A&quot;/&gt;&lt;wsp:rsid wsp:val=&quot;00B368B0&quot;/&gt;&lt;wsp:rsid wsp:val=&quot;00B36D39&quot;/&gt;&lt;wsp:rsid wsp:val=&quot;00B36E6A&quot;/&gt;&lt;wsp:rsid wsp:val=&quot;00B37236&quot;/&gt;&lt;wsp:rsid wsp:val=&quot;00B37666&quot;/&gt;&lt;wsp:rsid wsp:val=&quot;00B376E5&quot;/&gt;&lt;wsp:rsid wsp:val=&quot;00B37C1D&quot;/&gt;&lt;wsp:rsid wsp:val=&quot;00B37C54&quot;/&gt;&lt;wsp:rsid wsp:val=&quot;00B403F5&quot;/&gt;&lt;wsp:rsid wsp:val=&quot;00B404D8&quot;/&gt;&lt;wsp:rsid wsp:val=&quot;00B405E6&quot;/&gt;&lt;wsp:rsid wsp:val=&quot;00B40EF2&quot;/&gt;&lt;wsp:rsid wsp:val=&quot;00B415F8&quot;/&gt;&lt;wsp:rsid wsp:val=&quot;00B41948&quot;/&gt;&lt;wsp:rsid wsp:val=&quot;00B4310A&quot;/&gt;&lt;wsp:rsid wsp:val=&quot;00B438B2&quot;/&gt;&lt;wsp:rsid wsp:val=&quot;00B4434B&quot;/&gt;&lt;wsp:rsid wsp:val=&quot;00B4450E&quot;/&gt;&lt;wsp:rsid wsp:val=&quot;00B45869&quot;/&gt;&lt;wsp:rsid wsp:val=&quot;00B45C37&quot;/&gt;&lt;wsp:rsid wsp:val=&quot;00B45D15&quot;/&gt;&lt;wsp:rsid wsp:val=&quot;00B45D44&quot;/&gt;&lt;wsp:rsid wsp:val=&quot;00B4676F&quot;/&gt;&lt;wsp:rsid wsp:val=&quot;00B46C94&quot;/&gt;&lt;wsp:rsid wsp:val=&quot;00B4701E&quot;/&gt;&lt;wsp:rsid wsp:val=&quot;00B47113&quot;/&gt;&lt;wsp:rsid wsp:val=&quot;00B475CC&quot;/&gt;&lt;wsp:rsid wsp:val=&quot;00B476DA&quot;/&gt;&lt;wsp:rsid wsp:val=&quot;00B47835&quot;/&gt;&lt;wsp:rsid wsp:val=&quot;00B502E2&quot;/&gt;&lt;wsp:rsid wsp:val=&quot;00B50515&quot;/&gt;&lt;wsp:rsid wsp:val=&quot;00B50B7E&quot;/&gt;&lt;wsp:rsid wsp:val=&quot;00B50FB7&quot;/&gt;&lt;wsp:rsid wsp:val=&quot;00B5162D&quot;/&gt;&lt;wsp:rsid wsp:val=&quot;00B519BF&quot;/&gt;&lt;wsp:rsid wsp:val=&quot;00B51B3E&quot;/&gt;&lt;wsp:rsid wsp:val=&quot;00B527E4&quot;/&gt;&lt;wsp:rsid wsp:val=&quot;00B52AA7&quot;/&gt;&lt;wsp:rsid wsp:val=&quot;00B53127&quot;/&gt;&lt;wsp:rsid wsp:val=&quot;00B533AD&quot;/&gt;&lt;wsp:rsid wsp:val=&quot;00B5345B&quot;/&gt;&lt;wsp:rsid wsp:val=&quot;00B53610&quot;/&gt;&lt;wsp:rsid wsp:val=&quot;00B53917&quot;/&gt;&lt;wsp:rsid wsp:val=&quot;00B53A9D&quot;/&gt;&lt;wsp:rsid wsp:val=&quot;00B53E4B&quot;/&gt;&lt;wsp:rsid wsp:val=&quot;00B54888&quot;/&gt;&lt;wsp:rsid wsp:val=&quot;00B54CA4&quot;/&gt;&lt;wsp:rsid wsp:val=&quot;00B54E01&quot;/&gt;&lt;wsp:rsid wsp:val=&quot;00B55C26&quot;/&gt;&lt;wsp:rsid wsp:val=&quot;00B55E05&quot;/&gt;&lt;wsp:rsid wsp:val=&quot;00B560A0&quot;/&gt;&lt;wsp:rsid wsp:val=&quot;00B56257&quot;/&gt;&lt;wsp:rsid wsp:val=&quot;00B568F7&quot;/&gt;&lt;wsp:rsid wsp:val=&quot;00B56A8D&quot;/&gt;&lt;wsp:rsid wsp:val=&quot;00B60550&quot;/&gt;&lt;wsp:rsid wsp:val=&quot;00B60CBC&quot;/&gt;&lt;wsp:rsid wsp:val=&quot;00B60D69&quot;/&gt;&lt;wsp:rsid wsp:val=&quot;00B61E6B&quot;/&gt;&lt;wsp:rsid wsp:val=&quot;00B62B9E&quot;/&gt;&lt;wsp:rsid wsp:val=&quot;00B62CB8&quot;/&gt;&lt;wsp:rsid wsp:val=&quot;00B62FC1&quot;/&gt;&lt;wsp:rsid wsp:val=&quot;00B63250&quot;/&gt;&lt;wsp:rsid wsp:val=&quot;00B632B0&quot;/&gt;&lt;wsp:rsid wsp:val=&quot;00B633B5&quot;/&gt;&lt;wsp:rsid wsp:val=&quot;00B644BA&quot;/&gt;&lt;wsp:rsid wsp:val=&quot;00B64699&quot;/&gt;&lt;wsp:rsid wsp:val=&quot;00B64AD0&quot;/&gt;&lt;wsp:rsid wsp:val=&quot;00B654DB&quot;/&gt;&lt;wsp:rsid wsp:val=&quot;00B6567C&quot;/&gt;&lt;wsp:rsid wsp:val=&quot;00B6595A&quot;/&gt;&lt;wsp:rsid wsp:val=&quot;00B65983&quot;/&gt;&lt;wsp:rsid wsp:val=&quot;00B66027&quot;/&gt;&lt;wsp:rsid wsp:val=&quot;00B661B7&quot;/&gt;&lt;wsp:rsid wsp:val=&quot;00B665DB&quot;/&gt;&lt;wsp:rsid wsp:val=&quot;00B66A00&quot;/&gt;&lt;wsp:rsid wsp:val=&quot;00B66B45&quot;/&gt;&lt;wsp:rsid wsp:val=&quot;00B66D57&quot;/&gt;&lt;wsp:rsid wsp:val=&quot;00B66F33&quot;/&gt;&lt;wsp:rsid wsp:val=&quot;00B66F50&quot;/&gt;&lt;wsp:rsid wsp:val=&quot;00B674BE&quot;/&gt;&lt;wsp:rsid wsp:val=&quot;00B67934&quot;/&gt;&lt;wsp:rsid wsp:val=&quot;00B67A3C&quot;/&gt;&lt;wsp:rsid wsp:val=&quot;00B67B36&quot;/&gt;&lt;wsp:rsid wsp:val=&quot;00B67BB4&quot;/&gt;&lt;wsp:rsid wsp:val=&quot;00B67CCB&quot;/&gt;&lt;wsp:rsid wsp:val=&quot;00B67E7D&quot;/&gt;&lt;wsp:rsid wsp:val=&quot;00B7047A&quot;/&gt;&lt;wsp:rsid wsp:val=&quot;00B704D6&quot;/&gt;&lt;wsp:rsid wsp:val=&quot;00B70663&quot;/&gt;&lt;wsp:rsid wsp:val=&quot;00B70D8C&quot;/&gt;&lt;wsp:rsid wsp:val=&quot;00B714B7&quot;/&gt;&lt;wsp:rsid wsp:val=&quot;00B7165C&quot;/&gt;&lt;wsp:rsid wsp:val=&quot;00B71A7C&quot;/&gt;&lt;wsp:rsid wsp:val=&quot;00B71F20&quot;/&gt;&lt;wsp:rsid wsp:val=&quot;00B720F9&quot;/&gt;&lt;wsp:rsid wsp:val=&quot;00B72178&quot;/&gt;&lt;wsp:rsid wsp:val=&quot;00B72312&quot;/&gt;&lt;wsp:rsid wsp:val=&quot;00B72CE1&quot;/&gt;&lt;wsp:rsid wsp:val=&quot;00B72CE4&quot;/&gt;&lt;wsp:rsid wsp:val=&quot;00B72D49&quot;/&gt;&lt;wsp:rsid wsp:val=&quot;00B72D52&quot;/&gt;&lt;wsp:rsid wsp:val=&quot;00B73A2F&quot;/&gt;&lt;wsp:rsid wsp:val=&quot;00B73B0E&quot;/&gt;&lt;wsp:rsid wsp:val=&quot;00B740D6&quot;/&gt;&lt;wsp:rsid wsp:val=&quot;00B7428F&quot;/&gt;&lt;wsp:rsid wsp:val=&quot;00B74315&quot;/&gt;&lt;wsp:rsid wsp:val=&quot;00B743C9&quot;/&gt;&lt;wsp:rsid wsp:val=&quot;00B7478E&quot;/&gt;&lt;wsp:rsid wsp:val=&quot;00B74807&quot;/&gt;&lt;wsp:rsid wsp:val=&quot;00B74C28&quot;/&gt;&lt;wsp:rsid wsp:val=&quot;00B74C7E&quot;/&gt;&lt;wsp:rsid wsp:val=&quot;00B7513C&quot;/&gt;&lt;wsp:rsid wsp:val=&quot;00B75664&quot;/&gt;&lt;wsp:rsid wsp:val=&quot;00B75722&quot;/&gt;&lt;wsp:rsid wsp:val=&quot;00B75A57&quot;/&gt;&lt;wsp:rsid wsp:val=&quot;00B75B8C&quot;/&gt;&lt;wsp:rsid wsp:val=&quot;00B75F8C&quot;/&gt;&lt;wsp:rsid wsp:val=&quot;00B76073&quot;/&gt;&lt;wsp:rsid wsp:val=&quot;00B765A0&quot;/&gt;&lt;wsp:rsid wsp:val=&quot;00B76808&quot;/&gt;&lt;wsp:rsid wsp:val=&quot;00B76896&quot;/&gt;&lt;wsp:rsid wsp:val=&quot;00B76A0E&quot;/&gt;&lt;wsp:rsid wsp:val=&quot;00B76AD2&quot;/&gt;&lt;wsp:rsid wsp:val=&quot;00B76AFC&quot;/&gt;&lt;wsp:rsid wsp:val=&quot;00B76B23&quot;/&gt;&lt;wsp:rsid wsp:val=&quot;00B76B39&quot;/&gt;&lt;wsp:rsid wsp:val=&quot;00B76E1A&quot;/&gt;&lt;wsp:rsid wsp:val=&quot;00B771F7&quot;/&gt;&lt;wsp:rsid wsp:val=&quot;00B774C9&quot;/&gt;&lt;wsp:rsid wsp:val=&quot;00B775DA&quot;/&gt;&lt;wsp:rsid wsp:val=&quot;00B77690&quot;/&gt;&lt;wsp:rsid wsp:val=&quot;00B777DD&quot;/&gt;&lt;wsp:rsid wsp:val=&quot;00B77C38&quot;/&gt;&lt;wsp:rsid wsp:val=&quot;00B77D87&quot;/&gt;&lt;wsp:rsid wsp:val=&quot;00B8000A&quot;/&gt;&lt;wsp:rsid wsp:val=&quot;00B80593&quot;/&gt;&lt;wsp:rsid wsp:val=&quot;00B809AB&quot;/&gt;&lt;wsp:rsid wsp:val=&quot;00B80DC7&quot;/&gt;&lt;wsp:rsid wsp:val=&quot;00B8103A&quot;/&gt;&lt;wsp:rsid wsp:val=&quot;00B81139&quot;/&gt;&lt;wsp:rsid wsp:val=&quot;00B81228&quot;/&gt;&lt;wsp:rsid wsp:val=&quot;00B81296&quot;/&gt;&lt;wsp:rsid wsp:val=&quot;00B812B9&quot;/&gt;&lt;wsp:rsid wsp:val=&quot;00B81B00&quot;/&gt;&lt;wsp:rsid wsp:val=&quot;00B826AE&quot;/&gt;&lt;wsp:rsid wsp:val=&quot;00B83ACE&quot;/&gt;&lt;wsp:rsid wsp:val=&quot;00B83B45&quot;/&gt;&lt;wsp:rsid wsp:val=&quot;00B83CCF&quot;/&gt;&lt;wsp:rsid wsp:val=&quot;00B83D5A&quot;/&gt;&lt;wsp:rsid wsp:val=&quot;00B83D74&quot;/&gt;&lt;wsp:rsid wsp:val=&quot;00B84101&quot;/&gt;&lt;wsp:rsid wsp:val=&quot;00B84460&quot;/&gt;&lt;wsp:rsid wsp:val=&quot;00B85085&quot;/&gt;&lt;wsp:rsid wsp:val=&quot;00B8529C&quot;/&gt;&lt;wsp:rsid wsp:val=&quot;00B8611C&quot;/&gt;&lt;wsp:rsid wsp:val=&quot;00B8673B&quot;/&gt;&lt;wsp:rsid wsp:val=&quot;00B86B94&quot;/&gt;&lt;wsp:rsid wsp:val=&quot;00B8725C&quot;/&gt;&lt;wsp:rsid wsp:val=&quot;00B876D5&quot;/&gt;&lt;wsp:rsid wsp:val=&quot;00B87860&quot;/&gt;&lt;wsp:rsid wsp:val=&quot;00B87EE9&quot;/&gt;&lt;wsp:rsid wsp:val=&quot;00B90E1E&quot;/&gt;&lt;wsp:rsid wsp:val=&quot;00B915B1&quot;/&gt;&lt;wsp:rsid wsp:val=&quot;00B916E9&quot;/&gt;&lt;wsp:rsid wsp:val=&quot;00B91A1D&quot;/&gt;&lt;wsp:rsid wsp:val=&quot;00B91A6F&quot;/&gt;&lt;wsp:rsid wsp:val=&quot;00B91AF1&quot;/&gt;&lt;wsp:rsid wsp:val=&quot;00B91C22&quot;/&gt;&lt;wsp:rsid wsp:val=&quot;00B91EB7&quot;/&gt;&lt;wsp:rsid wsp:val=&quot;00B9234D&quot;/&gt;&lt;wsp:rsid wsp:val=&quot;00B92A9A&quot;/&gt;&lt;wsp:rsid wsp:val=&quot;00B92B5B&quot;/&gt;&lt;wsp:rsid wsp:val=&quot;00B932CC&quot;/&gt;&lt;wsp:rsid wsp:val=&quot;00B934CF&quot;/&gt;&lt;wsp:rsid wsp:val=&quot;00B935CA&quot;/&gt;&lt;wsp:rsid wsp:val=&quot;00B93F4A&quot;/&gt;&lt;wsp:rsid wsp:val=&quot;00B9549B&quot;/&gt;&lt;wsp:rsid wsp:val=&quot;00B95BFB&quot;/&gt;&lt;wsp:rsid wsp:val=&quot;00B95F24&quot;/&gt;&lt;wsp:rsid wsp:val=&quot;00B9645F&quot;/&gt;&lt;wsp:rsid wsp:val=&quot;00B9665D&quot;/&gt;&lt;wsp:rsid wsp:val=&quot;00B96D14&quot;/&gt;&lt;wsp:rsid wsp:val=&quot;00B96E95&quot;/&gt;&lt;wsp:rsid wsp:val=&quot;00B96F34&quot;/&gt;&lt;wsp:rsid wsp:val=&quot;00B96FA9&quot;/&gt;&lt;wsp:rsid wsp:val=&quot;00B97054&quot;/&gt;&lt;wsp:rsid wsp:val=&quot;00B97342&quot;/&gt;&lt;wsp:rsid wsp:val=&quot;00B97F22&quot;/&gt;&lt;wsp:rsid wsp:val=&quot;00BA04A1&quot;/&gt;&lt;wsp:rsid wsp:val=&quot;00BA066E&quot;/&gt;&lt;wsp:rsid wsp:val=&quot;00BA18C6&quot;/&gt;&lt;wsp:rsid wsp:val=&quot;00BA1AF7&quot;/&gt;&lt;wsp:rsid wsp:val=&quot;00BA1FC0&quot;/&gt;&lt;wsp:rsid wsp:val=&quot;00BA20BF&quot;/&gt;&lt;wsp:rsid wsp:val=&quot;00BA2174&quot;/&gt;&lt;wsp:rsid wsp:val=&quot;00BA234F&quot;/&gt;&lt;wsp:rsid wsp:val=&quot;00BA2B73&quot;/&gt;&lt;wsp:rsid wsp:val=&quot;00BA2C33&quot;/&gt;&lt;wsp:rsid wsp:val=&quot;00BA2EC9&quot;/&gt;&lt;wsp:rsid wsp:val=&quot;00BA2FAE&quot;/&gt;&lt;wsp:rsid wsp:val=&quot;00BA304C&quot;/&gt;&lt;wsp:rsid wsp:val=&quot;00BA3105&quot;/&gt;&lt;wsp:rsid wsp:val=&quot;00BA3A41&quot;/&gt;&lt;wsp:rsid wsp:val=&quot;00BA3CD8&quot;/&gt;&lt;wsp:rsid wsp:val=&quot;00BA4098&quot;/&gt;&lt;wsp:rsid wsp:val=&quot;00BA476C&quot;/&gt;&lt;wsp:rsid wsp:val=&quot;00BA4D43&quot;/&gt;&lt;wsp:rsid wsp:val=&quot;00BA4E24&quot;/&gt;&lt;wsp:rsid wsp:val=&quot;00BA4F8B&quot;/&gt;&lt;wsp:rsid wsp:val=&quot;00BA5116&quot;/&gt;&lt;wsp:rsid wsp:val=&quot;00BA5155&quot;/&gt;&lt;wsp:rsid wsp:val=&quot;00BA5458&quot;/&gt;&lt;wsp:rsid wsp:val=&quot;00BA56BC&quot;/&gt;&lt;wsp:rsid wsp:val=&quot;00BA5A5D&quot;/&gt;&lt;wsp:rsid wsp:val=&quot;00BA5C5E&quot;/&gt;&lt;wsp:rsid wsp:val=&quot;00BA5D0E&quot;/&gt;&lt;wsp:rsid wsp:val=&quot;00BA603C&quot;/&gt;&lt;wsp:rsid wsp:val=&quot;00BA6350&quot;/&gt;&lt;wsp:rsid wsp:val=&quot;00BA63F7&quot;/&gt;&lt;wsp:rsid wsp:val=&quot;00BA6B89&quot;/&gt;&lt;wsp:rsid wsp:val=&quot;00BA6C47&quot;/&gt;&lt;wsp:rsid wsp:val=&quot;00BA7280&quot;/&gt;&lt;wsp:rsid wsp:val=&quot;00BA796A&quot;/&gt;&lt;wsp:rsid wsp:val=&quot;00BA7C8D&quot;/&gt;&lt;wsp:rsid wsp:val=&quot;00BB03D2&quot;/&gt;&lt;wsp:rsid wsp:val=&quot;00BB080E&quot;/&gt;&lt;wsp:rsid wsp:val=&quot;00BB09B0&quot;/&gt;&lt;wsp:rsid wsp:val=&quot;00BB1216&quot;/&gt;&lt;wsp:rsid wsp:val=&quot;00BB1400&quot;/&gt;&lt;wsp:rsid wsp:val=&quot;00BB14E3&quot;/&gt;&lt;wsp:rsid wsp:val=&quot;00BB162A&quot;/&gt;&lt;wsp:rsid wsp:val=&quot;00BB16B6&quot;/&gt;&lt;wsp:rsid wsp:val=&quot;00BB1923&quot;/&gt;&lt;wsp:rsid wsp:val=&quot;00BB1A20&quot;/&gt;&lt;wsp:rsid wsp:val=&quot;00BB1EDF&quot;/&gt;&lt;wsp:rsid wsp:val=&quot;00BB20CC&quot;/&gt;&lt;wsp:rsid wsp:val=&quot;00BB223B&quot;/&gt;&lt;wsp:rsid wsp:val=&quot;00BB24DC&quot;/&gt;&lt;wsp:rsid wsp:val=&quot;00BB255F&quot;/&gt;&lt;wsp:rsid wsp:val=&quot;00BB2D20&quot;/&gt;&lt;wsp:rsid wsp:val=&quot;00BB2F0E&quot;/&gt;&lt;wsp:rsid wsp:val=&quot;00BB319F&quot;/&gt;&lt;wsp:rsid wsp:val=&quot;00BB37CC&quot;/&gt;&lt;wsp:rsid wsp:val=&quot;00BB41F7&quot;/&gt;&lt;wsp:rsid wsp:val=&quot;00BB43DD&quot;/&gt;&lt;wsp:rsid wsp:val=&quot;00BB4859&quot;/&gt;&lt;wsp:rsid wsp:val=&quot;00BB4AA3&quot;/&gt;&lt;wsp:rsid wsp:val=&quot;00BB4D3A&quot;/&gt;&lt;wsp:rsid wsp:val=&quot;00BB4E42&quot;/&gt;&lt;wsp:rsid wsp:val=&quot;00BB5679&quot;/&gt;&lt;wsp:rsid wsp:val=&quot;00BB6B06&quot;/&gt;&lt;wsp:rsid wsp:val=&quot;00BB6DBF&quot;/&gt;&lt;wsp:rsid wsp:val=&quot;00BB76F3&quot;/&gt;&lt;wsp:rsid wsp:val=&quot;00BB77F1&quot;/&gt;&lt;wsp:rsid wsp:val=&quot;00BB78BF&quot;/&gt;&lt;wsp:rsid wsp:val=&quot;00BC007B&quot;/&gt;&lt;wsp:rsid wsp:val=&quot;00BC0266&quot;/&gt;&lt;wsp:rsid wsp:val=&quot;00BC05B6&quot;/&gt;&lt;wsp:rsid wsp:val=&quot;00BC0B08&quot;/&gt;&lt;wsp:rsid wsp:val=&quot;00BC0E1C&quot;/&gt;&lt;wsp:rsid wsp:val=&quot;00BC0F6D&quot;/&gt;&lt;wsp:rsid wsp:val=&quot;00BC108B&quot;/&gt;&lt;wsp:rsid wsp:val=&quot;00BC1219&quot;/&gt;&lt;wsp:rsid wsp:val=&quot;00BC153B&quot;/&gt;&lt;wsp:rsid wsp:val=&quot;00BC1915&quot;/&gt;&lt;wsp:rsid wsp:val=&quot;00BC1967&quot;/&gt;&lt;wsp:rsid wsp:val=&quot;00BC1D77&quot;/&gt;&lt;wsp:rsid wsp:val=&quot;00BC1DA7&quot;/&gt;&lt;wsp:rsid wsp:val=&quot;00BC2213&quot;/&gt;&lt;wsp:rsid wsp:val=&quot;00BC242A&quot;/&gt;&lt;wsp:rsid wsp:val=&quot;00BC2461&quot;/&gt;&lt;wsp:rsid wsp:val=&quot;00BC2778&quot;/&gt;&lt;wsp:rsid wsp:val=&quot;00BC27F3&quot;/&gt;&lt;wsp:rsid wsp:val=&quot;00BC2AA5&quot;/&gt;&lt;wsp:rsid wsp:val=&quot;00BC2C03&quot;/&gt;&lt;wsp:rsid wsp:val=&quot;00BC2FA2&quot;/&gt;&lt;wsp:rsid wsp:val=&quot;00BC3052&quot;/&gt;&lt;wsp:rsid wsp:val=&quot;00BC3270&quot;/&gt;&lt;wsp:rsid wsp:val=&quot;00BC349B&quot;/&gt;&lt;wsp:rsid wsp:val=&quot;00BC38B9&quot;/&gt;&lt;wsp:rsid wsp:val=&quot;00BC3CE9&quot;/&gt;&lt;wsp:rsid wsp:val=&quot;00BC3D31&quot;/&gt;&lt;wsp:rsid wsp:val=&quot;00BC3D3E&quot;/&gt;&lt;wsp:rsid wsp:val=&quot;00BC3FAC&quot;/&gt;&lt;wsp:rsid wsp:val=&quot;00BC466F&quot;/&gt;&lt;wsp:rsid wsp:val=&quot;00BC467E&quot;/&gt;&lt;wsp:rsid wsp:val=&quot;00BC479C&quot;/&gt;&lt;wsp:rsid wsp:val=&quot;00BC4A75&quot;/&gt;&lt;wsp:rsid wsp:val=&quot;00BC4ADF&quot;/&gt;&lt;wsp:rsid wsp:val=&quot;00BC4B36&quot;/&gt;&lt;wsp:rsid wsp:val=&quot;00BC4B47&quot;/&gt;&lt;wsp:rsid wsp:val=&quot;00BC4BD2&quot;/&gt;&lt;wsp:rsid wsp:val=&quot;00BC4ECE&quot;/&gt;&lt;wsp:rsid wsp:val=&quot;00BC639E&quot;/&gt;&lt;wsp:rsid wsp:val=&quot;00BC6449&quot;/&gt;&lt;wsp:rsid wsp:val=&quot;00BC6710&quot;/&gt;&lt;wsp:rsid wsp:val=&quot;00BC6CA2&quot;/&gt;&lt;wsp:rsid wsp:val=&quot;00BC6E88&quot;/&gt;&lt;wsp:rsid wsp:val=&quot;00BC6F0D&quot;/&gt;&lt;wsp:rsid wsp:val=&quot;00BC727B&quot;/&gt;&lt;wsp:rsid wsp:val=&quot;00BC74CF&quot;/&gt;&lt;wsp:rsid wsp:val=&quot;00BC7B41&quot;/&gt;&lt;wsp:rsid wsp:val=&quot;00BD0015&quot;/&gt;&lt;wsp:rsid wsp:val=&quot;00BD0540&quot;/&gt;&lt;wsp:rsid wsp:val=&quot;00BD0870&quot;/&gt;&lt;wsp:rsid wsp:val=&quot;00BD12A6&quot;/&gt;&lt;wsp:rsid wsp:val=&quot;00BD1A45&quot;/&gt;&lt;wsp:rsid wsp:val=&quot;00BD1D40&quot;/&gt;&lt;wsp:rsid wsp:val=&quot;00BD2076&quot;/&gt;&lt;wsp:rsid wsp:val=&quot;00BD23C8&quot;/&gt;&lt;wsp:rsid wsp:val=&quot;00BD2634&quot;/&gt;&lt;wsp:rsid wsp:val=&quot;00BD3163&quot;/&gt;&lt;wsp:rsid wsp:val=&quot;00BD37A1&quot;/&gt;&lt;wsp:rsid wsp:val=&quot;00BD38B2&quot;/&gt;&lt;wsp:rsid wsp:val=&quot;00BD3AC2&quot;/&gt;&lt;wsp:rsid wsp:val=&quot;00BD3FCB&quot;/&gt;&lt;wsp:rsid wsp:val=&quot;00BD553D&quot;/&gt;&lt;wsp:rsid wsp:val=&quot;00BD5599&quot;/&gt;&lt;wsp:rsid wsp:val=&quot;00BD5629&quot;/&gt;&lt;wsp:rsid wsp:val=&quot;00BD5756&quot;/&gt;&lt;wsp:rsid wsp:val=&quot;00BD59D8&quot;/&gt;&lt;wsp:rsid wsp:val=&quot;00BD5AEB&quot;/&gt;&lt;wsp:rsid wsp:val=&quot;00BD6397&quot;/&gt;&lt;wsp:rsid wsp:val=&quot;00BD64C9&quot;/&gt;&lt;wsp:rsid wsp:val=&quot;00BD65C1&quot;/&gt;&lt;wsp:rsid wsp:val=&quot;00BD70C7&quot;/&gt;&lt;wsp:rsid wsp:val=&quot;00BD7465&quot;/&gt;&lt;wsp:rsid wsp:val=&quot;00BE039F&quot;/&gt;&lt;wsp:rsid wsp:val=&quot;00BE08A6&quot;/&gt;&lt;wsp:rsid wsp:val=&quot;00BE0B35&quot;/&gt;&lt;wsp:rsid wsp:val=&quot;00BE1452&quot;/&gt;&lt;wsp:rsid wsp:val=&quot;00BE18B6&quot;/&gt;&lt;wsp:rsid wsp:val=&quot;00BE1EDD&quot;/&gt;&lt;wsp:rsid wsp:val=&quot;00BE2385&quot;/&gt;&lt;wsp:rsid wsp:val=&quot;00BE24B5&quot;/&gt;&lt;wsp:rsid wsp:val=&quot;00BE2504&quot;/&gt;&lt;wsp:rsid wsp:val=&quot;00BE2820&quot;/&gt;&lt;wsp:rsid wsp:val=&quot;00BE2A67&quot;/&gt;&lt;wsp:rsid wsp:val=&quot;00BE2BCB&quot;/&gt;&lt;wsp:rsid wsp:val=&quot;00BE30D3&quot;/&gt;&lt;wsp:rsid wsp:val=&quot;00BE31F6&quot;/&gt;&lt;wsp:rsid wsp:val=&quot;00BE362D&quot;/&gt;&lt;wsp:rsid wsp:val=&quot;00BE3875&quot;/&gt;&lt;wsp:rsid wsp:val=&quot;00BE3965&quot;/&gt;&lt;wsp:rsid wsp:val=&quot;00BE3B59&quot;/&gt;&lt;wsp:rsid wsp:val=&quot;00BE42CF&quot;/&gt;&lt;wsp:rsid wsp:val=&quot;00BE459F&quot;/&gt;&lt;wsp:rsid wsp:val=&quot;00BE51CB&quot;/&gt;&lt;wsp:rsid wsp:val=&quot;00BE521E&quot;/&gt;&lt;wsp:rsid wsp:val=&quot;00BE64AE&quot;/&gt;&lt;wsp:rsid wsp:val=&quot;00BE66FD&quot;/&gt;&lt;wsp:rsid wsp:val=&quot;00BE6D8D&quot;/&gt;&lt;wsp:rsid wsp:val=&quot;00BE7007&quot;/&gt;&lt;wsp:rsid wsp:val=&quot;00BE722E&quot;/&gt;&lt;wsp:rsid wsp:val=&quot;00BE77C9&quot;/&gt;&lt;wsp:rsid wsp:val=&quot;00BE77DE&quot;/&gt;&lt;wsp:rsid wsp:val=&quot;00BE7C18&quot;/&gt;&lt;wsp:rsid wsp:val=&quot;00BE7D3A&quot;/&gt;&lt;wsp:rsid wsp:val=&quot;00BE7F77&quot;/&gt;&lt;wsp:rsid wsp:val=&quot;00BF04CF&quot;/&gt;&lt;wsp:rsid wsp:val=&quot;00BF058C&quot;/&gt;&lt;wsp:rsid wsp:val=&quot;00BF05CA&quot;/&gt;&lt;wsp:rsid wsp:val=&quot;00BF0783&quot;/&gt;&lt;wsp:rsid wsp:val=&quot;00BF0936&quot;/&gt;&lt;wsp:rsid wsp:val=&quot;00BF0BA1&quot;/&gt;&lt;wsp:rsid wsp:val=&quot;00BF1733&quot;/&gt;&lt;wsp:rsid wsp:val=&quot;00BF1822&quot;/&gt;&lt;wsp:rsid wsp:val=&quot;00BF19D6&quot;/&gt;&lt;wsp:rsid wsp:val=&quot;00BF2711&quot;/&gt;&lt;wsp:rsid wsp:val=&quot;00BF2D6E&quot;/&gt;&lt;wsp:rsid wsp:val=&quot;00BF3091&quot;/&gt;&lt;wsp:rsid wsp:val=&quot;00BF31E9&quot;/&gt;&lt;wsp:rsid wsp:val=&quot;00BF332C&quot;/&gt;&lt;wsp:rsid wsp:val=&quot;00BF3346&quot;/&gt;&lt;wsp:rsid wsp:val=&quot;00BF3441&quot;/&gt;&lt;wsp:rsid wsp:val=&quot;00BF42EC&quot;/&gt;&lt;wsp:rsid wsp:val=&quot;00BF4C4E&quot;/&gt;&lt;wsp:rsid wsp:val=&quot;00BF4D22&quot;/&gt;&lt;wsp:rsid wsp:val=&quot;00BF502F&quot;/&gt;&lt;wsp:rsid wsp:val=&quot;00BF58BC&quot;/&gt;&lt;wsp:rsid wsp:val=&quot;00BF5C29&quot;/&gt;&lt;wsp:rsid wsp:val=&quot;00BF5FE5&quot;/&gt;&lt;wsp:rsid wsp:val=&quot;00BF60DE&quot;/&gt;&lt;wsp:rsid wsp:val=&quot;00BF6167&quot;/&gt;&lt;wsp:rsid wsp:val=&quot;00BF6432&quot;/&gt;&lt;wsp:rsid wsp:val=&quot;00BF6512&quot;/&gt;&lt;wsp:rsid wsp:val=&quot;00BF68F1&quot;/&gt;&lt;wsp:rsid wsp:val=&quot;00BF7681&quot;/&gt;&lt;wsp:rsid wsp:val=&quot;00BF79FE&quot;/&gt;&lt;wsp:rsid wsp:val=&quot;00BF7B02&quot;/&gt;&lt;wsp:rsid wsp:val=&quot;00BF7BEC&quot;/&gt;&lt;wsp:rsid wsp:val=&quot;00BF7CF9&quot;/&gt;&lt;wsp:rsid wsp:val=&quot;00BF7D70&quot;/&gt;&lt;wsp:rsid wsp:val=&quot;00C00022&quot;/&gt;&lt;wsp:rsid wsp:val=&quot;00C00413&quot;/&gt;&lt;wsp:rsid wsp:val=&quot;00C005B5&quot;/&gt;&lt;wsp:rsid wsp:val=&quot;00C0092B&quot;/&gt;&lt;wsp:rsid wsp:val=&quot;00C014E4&quot;/&gt;&lt;wsp:rsid wsp:val=&quot;00C01536&quot;/&gt;&lt;wsp:rsid wsp:val=&quot;00C015C7&quot;/&gt;&lt;wsp:rsid wsp:val=&quot;00C01A2D&quot;/&gt;&lt;wsp:rsid wsp:val=&quot;00C02275&quot;/&gt;&lt;wsp:rsid wsp:val=&quot;00C027BB&quot;/&gt;&lt;wsp:rsid wsp:val=&quot;00C02A1C&quot;/&gt;&lt;wsp:rsid wsp:val=&quot;00C02CF7&quot;/&gt;&lt;wsp:rsid wsp:val=&quot;00C02ECB&quot;/&gt;&lt;wsp:rsid wsp:val=&quot;00C03220&quot;/&gt;&lt;wsp:rsid wsp:val=&quot;00C0403C&quot;/&gt;&lt;wsp:rsid wsp:val=&quot;00C040FB&quot;/&gt;&lt;wsp:rsid wsp:val=&quot;00C047AA&quot;/&gt;&lt;wsp:rsid wsp:val=&quot;00C047AF&quot;/&gt;&lt;wsp:rsid wsp:val=&quot;00C047CD&quot;/&gt;&lt;wsp:rsid wsp:val=&quot;00C04DF7&quot;/&gt;&lt;wsp:rsid wsp:val=&quot;00C05197&quot;/&gt;&lt;wsp:rsid wsp:val=&quot;00C05220&quot;/&gt;&lt;wsp:rsid wsp:val=&quot;00C053DF&quot;/&gt;&lt;wsp:rsid wsp:val=&quot;00C058E5&quot;/&gt;&lt;wsp:rsid wsp:val=&quot;00C05BDF&quot;/&gt;&lt;wsp:rsid wsp:val=&quot;00C05F9A&quot;/&gt;&lt;wsp:rsid wsp:val=&quot;00C06033&quot;/&gt;&lt;wsp:rsid wsp:val=&quot;00C06137&quot;/&gt;&lt;wsp:rsid wsp:val=&quot;00C06D8D&quot;/&gt;&lt;wsp:rsid wsp:val=&quot;00C07332&quot;/&gt;&lt;wsp:rsid wsp:val=&quot;00C07426&quot;/&gt;&lt;wsp:rsid wsp:val=&quot;00C07851&quot;/&gt;&lt;wsp:rsid wsp:val=&quot;00C07FEA&quot;/&gt;&lt;wsp:rsid wsp:val=&quot;00C1007C&quot;/&gt;&lt;wsp:rsid wsp:val=&quot;00C10AE1&quot;/&gt;&lt;wsp:rsid wsp:val=&quot;00C11046&quot;/&gt;&lt;wsp:rsid wsp:val=&quot;00C111A8&quot;/&gt;&lt;wsp:rsid wsp:val=&quot;00C11762&quot;/&gt;&lt;wsp:rsid wsp:val=&quot;00C1197F&quot;/&gt;&lt;wsp:rsid wsp:val=&quot;00C11A26&quot;/&gt;&lt;wsp:rsid wsp:val=&quot;00C11E64&quot;/&gt;&lt;wsp:rsid wsp:val=&quot;00C122CE&quot;/&gt;&lt;wsp:rsid wsp:val=&quot;00C123A3&quot;/&gt;&lt;wsp:rsid wsp:val=&quot;00C1278C&quot;/&gt;&lt;wsp:rsid wsp:val=&quot;00C127EE&quot;/&gt;&lt;wsp:rsid wsp:val=&quot;00C1296B&quot;/&gt;&lt;wsp:rsid wsp:val=&quot;00C12D60&quot;/&gt;&lt;wsp:rsid wsp:val=&quot;00C131FD&quot;/&gt;&lt;wsp:rsid wsp:val=&quot;00C1332B&quot;/&gt;&lt;wsp:rsid wsp:val=&quot;00C136C0&quot;/&gt;&lt;wsp:rsid wsp:val=&quot;00C13A76&quot;/&gt;&lt;wsp:rsid wsp:val=&quot;00C148B6&quot;/&gt;&lt;wsp:rsid wsp:val=&quot;00C14CE9&quot;/&gt;&lt;wsp:rsid wsp:val=&quot;00C14E66&quot;/&gt;&lt;wsp:rsid wsp:val=&quot;00C14FFA&quot;/&gt;&lt;wsp:rsid wsp:val=&quot;00C1532F&quot;/&gt;&lt;wsp:rsid wsp:val=&quot;00C1560E&quot;/&gt;&lt;wsp:rsid wsp:val=&quot;00C15CB0&quot;/&gt;&lt;wsp:rsid wsp:val=&quot;00C15D40&quot;/&gt;&lt;wsp:rsid wsp:val=&quot;00C161E0&quot;/&gt;&lt;wsp:rsid wsp:val=&quot;00C164EA&quot;/&gt;&lt;wsp:rsid wsp:val=&quot;00C16693&quot;/&gt;&lt;wsp:rsid wsp:val=&quot;00C16790&quot;/&gt;&lt;wsp:rsid wsp:val=&quot;00C16C13&quot;/&gt;&lt;wsp:rsid wsp:val=&quot;00C16E2F&quot;/&gt;&lt;wsp:rsid wsp:val=&quot;00C17058&quot;/&gt;&lt;wsp:rsid wsp:val=&quot;00C17066&quot;/&gt;&lt;wsp:rsid wsp:val=&quot;00C17151&quot;/&gt;&lt;wsp:rsid wsp:val=&quot;00C17B40&quot;/&gt;&lt;wsp:rsid wsp:val=&quot;00C202AD&quot;/&gt;&lt;wsp:rsid wsp:val=&quot;00C20434&quot;/&gt;&lt;wsp:rsid wsp:val=&quot;00C20674&quot;/&gt;&lt;wsp:rsid wsp:val=&quot;00C2086E&quot;/&gt;&lt;wsp:rsid wsp:val=&quot;00C21002&quot;/&gt;&lt;wsp:rsid wsp:val=&quot;00C21547&quot;/&gt;&lt;wsp:rsid wsp:val=&quot;00C21C64&quot;/&gt;&lt;wsp:rsid wsp:val=&quot;00C22762&quot;/&gt;&lt;wsp:rsid wsp:val=&quot;00C23754&quot;/&gt;&lt;wsp:rsid wsp:val=&quot;00C237B8&quot;/&gt;&lt;wsp:rsid wsp:val=&quot;00C239E4&quot;/&gt;&lt;wsp:rsid wsp:val=&quot;00C239EA&quot;/&gt;&lt;wsp:rsid wsp:val=&quot;00C23ADC&quot;/&gt;&lt;wsp:rsid wsp:val=&quot;00C23EA9&quot;/&gt;&lt;wsp:rsid wsp:val=&quot;00C24276&quot;/&gt;&lt;wsp:rsid wsp:val=&quot;00C2451C&quot;/&gt;&lt;wsp:rsid wsp:val=&quot;00C246E2&quot;/&gt;&lt;wsp:rsid wsp:val=&quot;00C25292&quot;/&gt;&lt;wsp:rsid wsp:val=&quot;00C2581E&quot;/&gt;&lt;wsp:rsid wsp:val=&quot;00C25A00&quot;/&gt;&lt;wsp:rsid wsp:val=&quot;00C25CA4&quot;/&gt;&lt;wsp:rsid wsp:val=&quot;00C2601E&quot;/&gt;&lt;wsp:rsid wsp:val=&quot;00C261C6&quot;/&gt;&lt;wsp:rsid wsp:val=&quot;00C26976&quot;/&gt;&lt;wsp:rsid wsp:val=&quot;00C26C18&quot;/&gt;&lt;wsp:rsid wsp:val=&quot;00C27907&quot;/&gt;&lt;wsp:rsid wsp:val=&quot;00C27FD0&quot;/&gt;&lt;wsp:rsid wsp:val=&quot;00C301CE&quot;/&gt;&lt;wsp:rsid wsp:val=&quot;00C31126&quot;/&gt;&lt;wsp:rsid wsp:val=&quot;00C31A91&quot;/&gt;&lt;wsp:rsid wsp:val=&quot;00C31B47&quot;/&gt;&lt;wsp:rsid wsp:val=&quot;00C31BC9&quot;/&gt;&lt;wsp:rsid wsp:val=&quot;00C31E95&quot;/&gt;&lt;wsp:rsid wsp:val=&quot;00C3259F&quot;/&gt;&lt;wsp:rsid wsp:val=&quot;00C32F10&quot;/&gt;&lt;wsp:rsid wsp:val=&quot;00C33205&quot;/&gt;&lt;wsp:rsid wsp:val=&quot;00C33A96&quot;/&gt;&lt;wsp:rsid wsp:val=&quot;00C33B6D&quot;/&gt;&lt;wsp:rsid wsp:val=&quot;00C33DE0&quot;/&gt;&lt;wsp:rsid wsp:val=&quot;00C344B1&quot;/&gt;&lt;wsp:rsid wsp:val=&quot;00C345F6&quot;/&gt;&lt;wsp:rsid wsp:val=&quot;00C35004&quot;/&gt;&lt;wsp:rsid wsp:val=&quot;00C351EC&quot;/&gt;&lt;wsp:rsid wsp:val=&quot;00C357D0&quot;/&gt;&lt;wsp:rsid wsp:val=&quot;00C35EE3&quot;/&gt;&lt;wsp:rsid wsp:val=&quot;00C3621A&quot;/&gt;&lt;wsp:rsid wsp:val=&quot;00C363D4&quot;/&gt;&lt;wsp:rsid wsp:val=&quot;00C3664D&quot;/&gt;&lt;wsp:rsid wsp:val=&quot;00C36741&quot;/&gt;&lt;wsp:rsid wsp:val=&quot;00C3744F&quot;/&gt;&lt;wsp:rsid wsp:val=&quot;00C37831&quot;/&gt;&lt;wsp:rsid wsp:val=&quot;00C401F2&quot;/&gt;&lt;wsp:rsid wsp:val=&quot;00C40221&quot;/&gt;&lt;wsp:rsid wsp:val=&quot;00C40327&quot;/&gt;&lt;wsp:rsid wsp:val=&quot;00C40594&quot;/&gt;&lt;wsp:rsid wsp:val=&quot;00C40629&quot;/&gt;&lt;wsp:rsid wsp:val=&quot;00C406C2&quot;/&gt;&lt;wsp:rsid wsp:val=&quot;00C406FF&quot;/&gt;&lt;wsp:rsid wsp:val=&quot;00C407FA&quot;/&gt;&lt;wsp:rsid wsp:val=&quot;00C40CA8&quot;/&gt;&lt;wsp:rsid wsp:val=&quot;00C40EB9&quot;/&gt;&lt;wsp:rsid wsp:val=&quot;00C410BC&quot;/&gt;&lt;wsp:rsid wsp:val=&quot;00C418AA&quot;/&gt;&lt;wsp:rsid wsp:val=&quot;00C421D5&quot;/&gt;&lt;wsp:rsid wsp:val=&quot;00C422D0&quot;/&gt;&lt;wsp:rsid wsp:val=&quot;00C4233C&quot;/&gt;&lt;wsp:rsid wsp:val=&quot;00C42B75&quot;/&gt;&lt;wsp:rsid wsp:val=&quot;00C434C4&quot;/&gt;&lt;wsp:rsid wsp:val=&quot;00C438E1&quot;/&gt;&lt;wsp:rsid wsp:val=&quot;00C43C46&quot;/&gt;&lt;wsp:rsid wsp:val=&quot;00C43CC5&quot;/&gt;&lt;wsp:rsid wsp:val=&quot;00C43CEA&quot;/&gt;&lt;wsp:rsid wsp:val=&quot;00C4407E&quot;/&gt;&lt;wsp:rsid wsp:val=&quot;00C44A80&quot;/&gt;&lt;wsp:rsid wsp:val=&quot;00C44DC6&quot;/&gt;&lt;wsp:rsid wsp:val=&quot;00C44E9D&quot;/&gt;&lt;wsp:rsid wsp:val=&quot;00C45B14&quot;/&gt;&lt;wsp:rsid wsp:val=&quot;00C45C95&quot;/&gt;&lt;wsp:rsid wsp:val=&quot;00C4619B&quot;/&gt;&lt;wsp:rsid wsp:val=&quot;00C46375&quot;/&gt;&lt;wsp:rsid wsp:val=&quot;00C46B4A&quot;/&gt;&lt;wsp:rsid wsp:val=&quot;00C4748B&quot;/&gt;&lt;wsp:rsid wsp:val=&quot;00C474EA&quot;/&gt;&lt;wsp:rsid wsp:val=&quot;00C47B60&quot;/&gt;&lt;wsp:rsid wsp:val=&quot;00C47DBB&quot;/&gt;&lt;wsp:rsid wsp:val=&quot;00C500BE&quot;/&gt;&lt;wsp:rsid wsp:val=&quot;00C50A50&quot;/&gt;&lt;wsp:rsid wsp:val=&quot;00C50C0C&quot;/&gt;&lt;wsp:rsid wsp:val=&quot;00C51232&quot;/&gt;&lt;wsp:rsid wsp:val=&quot;00C5157D&quot;/&gt;&lt;wsp:rsid wsp:val=&quot;00C51E08&quot;/&gt;&lt;wsp:rsid wsp:val=&quot;00C51E83&quot;/&gt;&lt;wsp:rsid wsp:val=&quot;00C5266B&quot;/&gt;&lt;wsp:rsid wsp:val=&quot;00C52B54&quot;/&gt;&lt;wsp:rsid wsp:val=&quot;00C52DBA&quot;/&gt;&lt;wsp:rsid wsp:val=&quot;00C52E4C&quot;/&gt;&lt;wsp:rsid wsp:val=&quot;00C52F5A&quot;/&gt;&lt;wsp:rsid wsp:val=&quot;00C5317C&quot;/&gt;&lt;wsp:rsid wsp:val=&quot;00C532C7&quot;/&gt;&lt;wsp:rsid wsp:val=&quot;00C53463&quot;/&gt;&lt;wsp:rsid wsp:val=&quot;00C53A81&quot;/&gt;&lt;wsp:rsid wsp:val=&quot;00C54358&quot;/&gt;&lt;wsp:rsid wsp:val=&quot;00C548C9&quot;/&gt;&lt;wsp:rsid wsp:val=&quot;00C54BE7&quot;/&gt;&lt;wsp:rsid wsp:val=&quot;00C54DB2&quot;/&gt;&lt;wsp:rsid wsp:val=&quot;00C54F9A&quot;/&gt;&lt;wsp:rsid wsp:val=&quot;00C55418&quot;/&gt;&lt;wsp:rsid wsp:val=&quot;00C55D1F&quot;/&gt;&lt;wsp:rsid wsp:val=&quot;00C55DF8&quot;/&gt;&lt;wsp:rsid wsp:val=&quot;00C55E60&quot;/&gt;&lt;wsp:rsid wsp:val=&quot;00C5635F&quot;/&gt;&lt;wsp:rsid wsp:val=&quot;00C56383&quot;/&gt;&lt;wsp:rsid wsp:val=&quot;00C56BB4&quot;/&gt;&lt;wsp:rsid wsp:val=&quot;00C56C02&quot;/&gt;&lt;wsp:rsid wsp:val=&quot;00C56C58&quot;/&gt;&lt;wsp:rsid wsp:val=&quot;00C56E38&quot;/&gt;&lt;wsp:rsid wsp:val=&quot;00C56EC9&quot;/&gt;&lt;wsp:rsid wsp:val=&quot;00C5765F&quot;/&gt;&lt;wsp:rsid wsp:val=&quot;00C577B5&quot;/&gt;&lt;wsp:rsid wsp:val=&quot;00C57E05&quot;/&gt;&lt;wsp:rsid wsp:val=&quot;00C57E2A&quot;/&gt;&lt;wsp:rsid wsp:val=&quot;00C60338&quot;/&gt;&lt;wsp:rsid wsp:val=&quot;00C603A8&quot;/&gt;&lt;wsp:rsid wsp:val=&quot;00C604B9&quot;/&gt;&lt;wsp:rsid wsp:val=&quot;00C60B45&quot;/&gt;&lt;wsp:rsid wsp:val=&quot;00C60BB5&quot;/&gt;&lt;wsp:rsid wsp:val=&quot;00C614A1&quot;/&gt;&lt;wsp:rsid wsp:val=&quot;00C61832&quot;/&gt;&lt;wsp:rsid wsp:val=&quot;00C61ADD&quot;/&gt;&lt;wsp:rsid wsp:val=&quot;00C61D3E&quot;/&gt;&lt;wsp:rsid wsp:val=&quot;00C6209B&quot;/&gt;&lt;wsp:rsid wsp:val=&quot;00C6212C&quot;/&gt;&lt;wsp:rsid wsp:val=&quot;00C6257C&quot;/&gt;&lt;wsp:rsid wsp:val=&quot;00C62770&quot;/&gt;&lt;wsp:rsid wsp:val=&quot;00C631B4&quot;/&gt;&lt;wsp:rsid wsp:val=&quot;00C631CE&quot;/&gt;&lt;wsp:rsid wsp:val=&quot;00C637BC&quot;/&gt;&lt;wsp:rsid wsp:val=&quot;00C63978&quot;/&gt;&lt;wsp:rsid wsp:val=&quot;00C63BCF&quot;/&gt;&lt;wsp:rsid wsp:val=&quot;00C63F45&quot;/&gt;&lt;wsp:rsid wsp:val=&quot;00C63FCE&quot;/&gt;&lt;wsp:rsid wsp:val=&quot;00C6403E&quot;/&gt;&lt;wsp:rsid wsp:val=&quot;00C645F7&quot;/&gt;&lt;wsp:rsid wsp:val=&quot;00C64DF7&quot;/&gt;&lt;wsp:rsid wsp:val=&quot;00C64E70&quot;/&gt;&lt;wsp:rsid wsp:val=&quot;00C64FD0&quot;/&gt;&lt;wsp:rsid wsp:val=&quot;00C651C0&quot;/&gt;&lt;wsp:rsid wsp:val=&quot;00C65BBB&quot;/&gt;&lt;wsp:rsid wsp:val=&quot;00C66067&quot;/&gt;&lt;wsp:rsid wsp:val=&quot;00C6688E&quot;/&gt;&lt;wsp:rsid wsp:val=&quot;00C6697B&quot;/&gt;&lt;wsp:rsid wsp:val=&quot;00C66AC0&quot;/&gt;&lt;wsp:rsid wsp:val=&quot;00C66B9C&quot;/&gt;&lt;wsp:rsid wsp:val=&quot;00C66CB7&quot;/&gt;&lt;wsp:rsid wsp:val=&quot;00C672B3&quot;/&gt;&lt;wsp:rsid wsp:val=&quot;00C677C6&quot;/&gt;&lt;wsp:rsid wsp:val=&quot;00C677FD&quot;/&gt;&lt;wsp:rsid wsp:val=&quot;00C67C18&quot;/&gt;&lt;wsp:rsid wsp:val=&quot;00C67DEA&quot;/&gt;&lt;wsp:rsid wsp:val=&quot;00C67E5F&quot;/&gt;&lt;wsp:rsid wsp:val=&quot;00C701D9&quot;/&gt;&lt;wsp:rsid wsp:val=&quot;00C70C41&quot;/&gt;&lt;wsp:rsid wsp:val=&quot;00C71482&quot;/&gt;&lt;wsp:rsid wsp:val=&quot;00C71641&quot;/&gt;&lt;wsp:rsid wsp:val=&quot;00C720F7&quot;/&gt;&lt;wsp:rsid wsp:val=&quot;00C723D1&quot;/&gt;&lt;wsp:rsid wsp:val=&quot;00C72967&quot;/&gt;&lt;wsp:rsid wsp:val=&quot;00C730AC&quot;/&gt;&lt;wsp:rsid wsp:val=&quot;00C734B8&quot;/&gt;&lt;wsp:rsid wsp:val=&quot;00C739AA&quot;/&gt;&lt;wsp:rsid wsp:val=&quot;00C74392&quot;/&gt;&lt;wsp:rsid wsp:val=&quot;00C75E1B&quot;/&gt;&lt;wsp:rsid wsp:val=&quot;00C76084&quot;/&gt;&lt;wsp:rsid wsp:val=&quot;00C763BC&quot;/&gt;&lt;wsp:rsid wsp:val=&quot;00C764D9&quot;/&gt;&lt;wsp:rsid wsp:val=&quot;00C766B5&quot;/&gt;&lt;wsp:rsid wsp:val=&quot;00C769E6&quot;/&gt;&lt;wsp:rsid wsp:val=&quot;00C769F8&quot;/&gt;&lt;wsp:rsid wsp:val=&quot;00C76B2A&quot;/&gt;&lt;wsp:rsid wsp:val=&quot;00C770C1&quot;/&gt;&lt;wsp:rsid wsp:val=&quot;00C77250&quot;/&gt;&lt;wsp:rsid wsp:val=&quot;00C77410&quot;/&gt;&lt;wsp:rsid wsp:val=&quot;00C7778C&quot;/&gt;&lt;wsp:rsid wsp:val=&quot;00C77FDE&quot;/&gt;&lt;wsp:rsid wsp:val=&quot;00C800C7&quot;/&gt;&lt;wsp:rsid wsp:val=&quot;00C80404&quot;/&gt;&lt;wsp:rsid wsp:val=&quot;00C80B4A&quot;/&gt;&lt;wsp:rsid wsp:val=&quot;00C80FD7&quot;/&gt;&lt;wsp:rsid wsp:val=&quot;00C8103B&quot;/&gt;&lt;wsp:rsid wsp:val=&quot;00C810A1&quot;/&gt;&lt;wsp:rsid wsp:val=&quot;00C81593&quot;/&gt;&lt;wsp:rsid wsp:val=&quot;00C81DBC&quot;/&gt;&lt;wsp:rsid wsp:val=&quot;00C81E8C&quot;/&gt;&lt;wsp:rsid wsp:val=&quot;00C82353&quot;/&gt;&lt;wsp:rsid wsp:val=&quot;00C824B9&quot;/&gt;&lt;wsp:rsid wsp:val=&quot;00C82818&quot;/&gt;&lt;wsp:rsid wsp:val=&quot;00C82A23&quot;/&gt;&lt;wsp:rsid wsp:val=&quot;00C82B6A&quot;/&gt;&lt;wsp:rsid wsp:val=&quot;00C82EAA&quot;/&gt;&lt;wsp:rsid wsp:val=&quot;00C832AE&quot;/&gt;&lt;wsp:rsid wsp:val=&quot;00C83845&quot;/&gt;&lt;wsp:rsid wsp:val=&quot;00C8395F&quot;/&gt;&lt;wsp:rsid wsp:val=&quot;00C83E8E&quot;/&gt;&lt;wsp:rsid wsp:val=&quot;00C8500C&quot;/&gt;&lt;wsp:rsid wsp:val=&quot;00C8504D&quot;/&gt;&lt;wsp:rsid wsp:val=&quot;00C857BD&quot;/&gt;&lt;wsp:rsid wsp:val=&quot;00C85B1A&quot;/&gt;&lt;wsp:rsid wsp:val=&quot;00C85C16&quot;/&gt;&lt;wsp:rsid wsp:val=&quot;00C85C46&quot;/&gt;&lt;wsp:rsid wsp:val=&quot;00C85CF3&quot;/&gt;&lt;wsp:rsid wsp:val=&quot;00C85DD6&quot;/&gt;&lt;wsp:rsid wsp:val=&quot;00C862B8&quot;/&gt;&lt;wsp:rsid wsp:val=&quot;00C862F3&quot;/&gt;&lt;wsp:rsid wsp:val=&quot;00C863B3&quot;/&gt;&lt;wsp:rsid wsp:val=&quot;00C8656C&quot;/&gt;&lt;wsp:rsid wsp:val=&quot;00C865E0&quot;/&gt;&lt;wsp:rsid wsp:val=&quot;00C8669F&quot;/&gt;&lt;wsp:rsid wsp:val=&quot;00C870AB&quot;/&gt;&lt;wsp:rsid wsp:val=&quot;00C87233&quot;/&gt;&lt;wsp:rsid wsp:val=&quot;00C8730D&quot;/&gt;&lt;wsp:rsid wsp:val=&quot;00C876DE&quot;/&gt;&lt;wsp:rsid wsp:val=&quot;00C876FA&quot;/&gt;&lt;wsp:rsid wsp:val=&quot;00C87749&quot;/&gt;&lt;wsp:rsid wsp:val=&quot;00C87C4F&quot;/&gt;&lt;wsp:rsid wsp:val=&quot;00C87F02&quot;/&gt;&lt;wsp:rsid wsp:val=&quot;00C90071&quot;/&gt;&lt;wsp:rsid wsp:val=&quot;00C90EC6&quot;/&gt;&lt;wsp:rsid wsp:val=&quot;00C90F7D&quot;/&gt;&lt;wsp:rsid wsp:val=&quot;00C91053&quot;/&gt;&lt;wsp:rsid wsp:val=&quot;00C9132D&quot;/&gt;&lt;wsp:rsid wsp:val=&quot;00C91D7C&quot;/&gt;&lt;wsp:rsid wsp:val=&quot;00C91F1D&quot;/&gt;&lt;wsp:rsid wsp:val=&quot;00C91FBF&quot;/&gt;&lt;wsp:rsid wsp:val=&quot;00C9251C&quot;/&gt;&lt;wsp:rsid wsp:val=&quot;00C92978&quot;/&gt;&lt;wsp:rsid wsp:val=&quot;00C92BF8&quot;/&gt;&lt;wsp:rsid wsp:val=&quot;00C92D9A&quot;/&gt;&lt;wsp:rsid wsp:val=&quot;00C92E23&quot;/&gt;&lt;wsp:rsid wsp:val=&quot;00C9319E&quot;/&gt;&lt;wsp:rsid wsp:val=&quot;00C9321C&quot;/&gt;&lt;wsp:rsid wsp:val=&quot;00C93AEB&quot;/&gt;&lt;wsp:rsid wsp:val=&quot;00C93E73&quot;/&gt;&lt;wsp:rsid wsp:val=&quot;00C9441E&quot;/&gt;&lt;wsp:rsid wsp:val=&quot;00C95054&quot;/&gt;&lt;wsp:rsid wsp:val=&quot;00C9547B&quot;/&gt;&lt;wsp:rsid wsp:val=&quot;00C9586B&quot;/&gt;&lt;wsp:rsid wsp:val=&quot;00C958F7&quot;/&gt;&lt;wsp:rsid wsp:val=&quot;00C95DD4&quot;/&gt;&lt;wsp:rsid wsp:val=&quot;00C963C0&quot;/&gt;&lt;wsp:rsid wsp:val=&quot;00C9686A&quot;/&gt;&lt;wsp:rsid wsp:val=&quot;00C96B19&quot;/&gt;&lt;wsp:rsid wsp:val=&quot;00C9732E&quot;/&gt;&lt;wsp:rsid wsp:val=&quot;00C97359&quot;/&gt;&lt;wsp:rsid wsp:val=&quot;00C97577&quot;/&gt;&lt;wsp:rsid wsp:val=&quot;00C97A1A&quot;/&gt;&lt;wsp:rsid wsp:val=&quot;00C97C57&quot;/&gt;&lt;wsp:rsid wsp:val=&quot;00CA0297&quot;/&gt;&lt;wsp:rsid wsp:val=&quot;00CA0CA5&quot;/&gt;&lt;wsp:rsid wsp:val=&quot;00CA0DB4&quot;/&gt;&lt;wsp:rsid wsp:val=&quot;00CA1A3A&quot;/&gt;&lt;wsp:rsid wsp:val=&quot;00CA1CF1&quot;/&gt;&lt;wsp:rsid wsp:val=&quot;00CA1E5C&quot;/&gt;&lt;wsp:rsid wsp:val=&quot;00CA1E74&quot;/&gt;&lt;wsp:rsid wsp:val=&quot;00CA2299&quot;/&gt;&lt;wsp:rsid wsp:val=&quot;00CA23CB&quot;/&gt;&lt;wsp:rsid wsp:val=&quot;00CA272D&quot;/&gt;&lt;wsp:rsid wsp:val=&quot;00CA28B1&quot;/&gt;&lt;wsp:rsid wsp:val=&quot;00CA3504&quot;/&gt;&lt;wsp:rsid wsp:val=&quot;00CA3610&quot;/&gt;&lt;wsp:rsid wsp:val=&quot;00CA3C7C&quot;/&gt;&lt;wsp:rsid wsp:val=&quot;00CA4060&quot;/&gt;&lt;wsp:rsid wsp:val=&quot;00CA48A5&quot;/&gt;&lt;wsp:rsid wsp:val=&quot;00CA4E42&quot;/&gt;&lt;wsp:rsid wsp:val=&quot;00CA50AF&quot;/&gt;&lt;wsp:rsid wsp:val=&quot;00CA570C&quot;/&gt;&lt;wsp:rsid wsp:val=&quot;00CA5972&quot;/&gt;&lt;wsp:rsid wsp:val=&quot;00CA5A75&quot;/&gt;&lt;wsp:rsid wsp:val=&quot;00CA5BE4&quot;/&gt;&lt;wsp:rsid wsp:val=&quot;00CA5F79&quot;/&gt;&lt;wsp:rsid wsp:val=&quot;00CA6426&quot;/&gt;&lt;wsp:rsid wsp:val=&quot;00CA6459&quot;/&gt;&lt;wsp:rsid wsp:val=&quot;00CA6A09&quot;/&gt;&lt;wsp:rsid wsp:val=&quot;00CA7265&quot;/&gt;&lt;wsp:rsid wsp:val=&quot;00CA72BA&quot;/&gt;&lt;wsp:rsid wsp:val=&quot;00CA7AB1&quot;/&gt;&lt;wsp:rsid wsp:val=&quot;00CA7D3A&quot;/&gt;&lt;wsp:rsid wsp:val=&quot;00CB07A0&quot;/&gt;&lt;wsp:rsid wsp:val=&quot;00CB0B9D&quot;/&gt;&lt;wsp:rsid wsp:val=&quot;00CB0BC5&quot;/&gt;&lt;wsp:rsid wsp:val=&quot;00CB0ECA&quot;/&gt;&lt;wsp:rsid wsp:val=&quot;00CB12B4&quot;/&gt;&lt;wsp:rsid wsp:val=&quot;00CB15DB&quot;/&gt;&lt;wsp:rsid wsp:val=&quot;00CB16BB&quot;/&gt;&lt;wsp:rsid wsp:val=&quot;00CB232F&quot;/&gt;&lt;wsp:rsid wsp:val=&quot;00CB2BD2&quot;/&gt;&lt;wsp:rsid wsp:val=&quot;00CB2EBB&quot;/&gt;&lt;wsp:rsid wsp:val=&quot;00CB3170&quot;/&gt;&lt;wsp:rsid wsp:val=&quot;00CB3184&quot;/&gt;&lt;wsp:rsid wsp:val=&quot;00CB3323&quot;/&gt;&lt;wsp:rsid wsp:val=&quot;00CB390E&quot;/&gt;&lt;wsp:rsid wsp:val=&quot;00CB3DFF&quot;/&gt;&lt;wsp:rsid wsp:val=&quot;00CB5693&quot;/&gt;&lt;wsp:rsid wsp:val=&quot;00CB584C&quot;/&gt;&lt;wsp:rsid wsp:val=&quot;00CB5AEC&quot;/&gt;&lt;wsp:rsid wsp:val=&quot;00CB5C40&quot;/&gt;&lt;wsp:rsid wsp:val=&quot;00CB60D0&quot;/&gt;&lt;wsp:rsid wsp:val=&quot;00CB6255&quot;/&gt;&lt;wsp:rsid wsp:val=&quot;00CB6278&quot;/&gt;&lt;wsp:rsid wsp:val=&quot;00CB6660&quot;/&gt;&lt;wsp:rsid wsp:val=&quot;00CB711B&quot;/&gt;&lt;wsp:rsid wsp:val=&quot;00CB75C4&quot;/&gt;&lt;wsp:rsid wsp:val=&quot;00CB7EA4&quot;/&gt;&lt;wsp:rsid wsp:val=&quot;00CB7FE2&quot;/&gt;&lt;wsp:rsid wsp:val=&quot;00CB7FF4&quot;/&gt;&lt;wsp:rsid wsp:val=&quot;00CC05DC&quot;/&gt;&lt;wsp:rsid wsp:val=&quot;00CC0A6A&quot;/&gt;&lt;wsp:rsid wsp:val=&quot;00CC0F8E&quot;/&gt;&lt;wsp:rsid wsp:val=&quot;00CC111C&quot;/&gt;&lt;wsp:rsid wsp:val=&quot;00CC125C&quot;/&gt;&lt;wsp:rsid wsp:val=&quot;00CC12FE&quot;/&gt;&lt;wsp:rsid wsp:val=&quot;00CC139B&quot;/&gt;&lt;wsp:rsid wsp:val=&quot;00CC1583&quot;/&gt;&lt;wsp:rsid wsp:val=&quot;00CC24DF&quot;/&gt;&lt;wsp:rsid wsp:val=&quot;00CC2B0F&quot;/&gt;&lt;wsp:rsid wsp:val=&quot;00CC2C26&quot;/&gt;&lt;wsp:rsid wsp:val=&quot;00CC3121&quot;/&gt;&lt;wsp:rsid wsp:val=&quot;00CC332B&quot;/&gt;&lt;wsp:rsid wsp:val=&quot;00CC3987&quot;/&gt;&lt;wsp:rsid wsp:val=&quot;00CC3E5B&quot;/&gt;&lt;wsp:rsid wsp:val=&quot;00CC4DAA&quot;/&gt;&lt;wsp:rsid wsp:val=&quot;00CC4E46&quot;/&gt;&lt;wsp:rsid wsp:val=&quot;00CC5108&quot;/&gt;&lt;wsp:rsid wsp:val=&quot;00CC55C3&quot;/&gt;&lt;wsp:rsid wsp:val=&quot;00CC58EB&quot;/&gt;&lt;wsp:rsid wsp:val=&quot;00CC5CCD&quot;/&gt;&lt;wsp:rsid wsp:val=&quot;00CC5CD3&quot;/&gt;&lt;wsp:rsid wsp:val=&quot;00CC5DAF&quot;/&gt;&lt;wsp:rsid wsp:val=&quot;00CC5E1F&quot;/&gt;&lt;wsp:rsid wsp:val=&quot;00CC6166&quot;/&gt;&lt;wsp:rsid wsp:val=&quot;00CC683D&quot;/&gt;&lt;wsp:rsid wsp:val=&quot;00CC6BBD&quot;/&gt;&lt;wsp:rsid wsp:val=&quot;00CC6D49&quot;/&gt;&lt;wsp:rsid wsp:val=&quot;00CC72C8&quot;/&gt;&lt;wsp:rsid wsp:val=&quot;00CC79DE&quot;/&gt;&lt;wsp:rsid wsp:val=&quot;00CC7A94&quot;/&gt;&lt;wsp:rsid wsp:val=&quot;00CC7FA3&quot;/&gt;&lt;wsp:rsid wsp:val=&quot;00CD009E&quot;/&gt;&lt;wsp:rsid wsp:val=&quot;00CD0586&quot;/&gt;&lt;wsp:rsid wsp:val=&quot;00CD0664&quot;/&gt;&lt;wsp:rsid wsp:val=&quot;00CD076B&quot;/&gt;&lt;wsp:rsid wsp:val=&quot;00CD07AE&quot;/&gt;&lt;wsp:rsid wsp:val=&quot;00CD0EF0&quot;/&gt;&lt;wsp:rsid wsp:val=&quot;00CD1862&quot;/&gt;&lt;wsp:rsid wsp:val=&quot;00CD19EA&quot;/&gt;&lt;wsp:rsid wsp:val=&quot;00CD1FDD&quot;/&gt;&lt;wsp:rsid wsp:val=&quot;00CD245C&quot;/&gt;&lt;wsp:rsid wsp:val=&quot;00CD2EEC&quot;/&gt;&lt;wsp:rsid wsp:val=&quot;00CD3854&quot;/&gt;&lt;wsp:rsid wsp:val=&quot;00CD39B4&quot;/&gt;&lt;wsp:rsid wsp:val=&quot;00CD3CE3&quot;/&gt;&lt;wsp:rsid wsp:val=&quot;00CD403A&quot;/&gt;&lt;wsp:rsid wsp:val=&quot;00CD4181&quot;/&gt;&lt;wsp:rsid wsp:val=&quot;00CD4268&quot;/&gt;&lt;wsp:rsid wsp:val=&quot;00CD438E&quot;/&gt;&lt;wsp:rsid wsp:val=&quot;00CD48D7&quot;/&gt;&lt;wsp:rsid wsp:val=&quot;00CD4B4A&quot;/&gt;&lt;wsp:rsid wsp:val=&quot;00CD649A&quot;/&gt;&lt;wsp:rsid wsp:val=&quot;00CD6688&quot;/&gt;&lt;wsp:rsid wsp:val=&quot;00CD66EA&quot;/&gt;&lt;wsp:rsid wsp:val=&quot;00CD6E99&quot;/&gt;&lt;wsp:rsid wsp:val=&quot;00CE0186&quot;/&gt;&lt;wsp:rsid wsp:val=&quot;00CE0314&quot;/&gt;&lt;wsp:rsid wsp:val=&quot;00CE03B4&quot;/&gt;&lt;wsp:rsid wsp:val=&quot;00CE0839&quot;/&gt;&lt;wsp:rsid wsp:val=&quot;00CE0A6B&quot;/&gt;&lt;wsp:rsid wsp:val=&quot;00CE0CBB&quot;/&gt;&lt;wsp:rsid wsp:val=&quot;00CE0D5B&quot;/&gt;&lt;wsp:rsid wsp:val=&quot;00CE0F6D&quot;/&gt;&lt;wsp:rsid wsp:val=&quot;00CE1336&quot;/&gt;&lt;wsp:rsid wsp:val=&quot;00CE137C&quot;/&gt;&lt;wsp:rsid wsp:val=&quot;00CE164F&quot;/&gt;&lt;wsp:rsid wsp:val=&quot;00CE1884&quot;/&gt;&lt;wsp:rsid wsp:val=&quot;00CE1A81&quot;/&gt;&lt;wsp:rsid wsp:val=&quot;00CE1C9C&quot;/&gt;&lt;wsp:rsid wsp:val=&quot;00CE1D0C&quot;/&gt;&lt;wsp:rsid wsp:val=&quot;00CE2035&quot;/&gt;&lt;wsp:rsid wsp:val=&quot;00CE2065&quot;/&gt;&lt;wsp:rsid wsp:val=&quot;00CE209B&quot;/&gt;&lt;wsp:rsid wsp:val=&quot;00CE2117&quot;/&gt;&lt;wsp:rsid wsp:val=&quot;00CE255E&quot;/&gt;&lt;wsp:rsid wsp:val=&quot;00CE2706&quot;/&gt;&lt;wsp:rsid wsp:val=&quot;00CE2B8E&quot;/&gt;&lt;wsp:rsid wsp:val=&quot;00CE2E6C&quot;/&gt;&lt;wsp:rsid wsp:val=&quot;00CE3026&quot;/&gt;&lt;wsp:rsid wsp:val=&quot;00CE31C6&quot;/&gt;&lt;wsp:rsid wsp:val=&quot;00CE32EA&quot;/&gt;&lt;wsp:rsid wsp:val=&quot;00CE3377&quot;/&gt;&lt;wsp:rsid wsp:val=&quot;00CE359A&quot;/&gt;&lt;wsp:rsid wsp:val=&quot;00CE36A2&quot;/&gt;&lt;wsp:rsid wsp:val=&quot;00CE36F9&quot;/&gt;&lt;wsp:rsid wsp:val=&quot;00CE3724&quot;/&gt;&lt;wsp:rsid wsp:val=&quot;00CE3D96&quot;/&gt;&lt;wsp:rsid wsp:val=&quot;00CE3EF3&quot;/&gt;&lt;wsp:rsid wsp:val=&quot;00CE3F15&quot;/&gt;&lt;wsp:rsid wsp:val=&quot;00CE4747&quot;/&gt;&lt;wsp:rsid wsp:val=&quot;00CE4A90&quot;/&gt;&lt;wsp:rsid wsp:val=&quot;00CE4B3D&quot;/&gt;&lt;wsp:rsid wsp:val=&quot;00CE4DFD&quot;/&gt;&lt;wsp:rsid wsp:val=&quot;00CE501B&quot;/&gt;&lt;wsp:rsid wsp:val=&quot;00CE522B&quot;/&gt;&lt;wsp:rsid wsp:val=&quot;00CE5528&quot;/&gt;&lt;wsp:rsid wsp:val=&quot;00CE5735&quot;/&gt;&lt;wsp:rsid wsp:val=&quot;00CE5FA1&quot;/&gt;&lt;wsp:rsid wsp:val=&quot;00CE6042&quot;/&gt;&lt;wsp:rsid wsp:val=&quot;00CE6313&quot;/&gt;&lt;wsp:rsid wsp:val=&quot;00CE6477&quot;/&gt;&lt;wsp:rsid wsp:val=&quot;00CE69F3&quot;/&gt;&lt;wsp:rsid wsp:val=&quot;00CE6D19&quot;/&gt;&lt;wsp:rsid wsp:val=&quot;00CE7161&quot;/&gt;&lt;wsp:rsid wsp:val=&quot;00CE71B4&quot;/&gt;&lt;wsp:rsid wsp:val=&quot;00CE7513&quot;/&gt;&lt;wsp:rsid wsp:val=&quot;00CE762F&quot;/&gt;&lt;wsp:rsid wsp:val=&quot;00CE7C98&quot;/&gt;&lt;wsp:rsid wsp:val=&quot;00CE7CE7&quot;/&gt;&lt;wsp:rsid wsp:val=&quot;00CE7CEA&quot;/&gt;&lt;wsp:rsid wsp:val=&quot;00CE7DE3&quot;/&gt;&lt;wsp:rsid wsp:val=&quot;00CF0D1E&quot;/&gt;&lt;wsp:rsid wsp:val=&quot;00CF0E05&quot;/&gt;&lt;wsp:rsid wsp:val=&quot;00CF1364&quot;/&gt;&lt;wsp:rsid wsp:val=&quot;00CF156F&quot;/&gt;&lt;wsp:rsid wsp:val=&quot;00CF1869&quot;/&gt;&lt;wsp:rsid wsp:val=&quot;00CF1994&quot;/&gt;&lt;wsp:rsid wsp:val=&quot;00CF1B9E&quot;/&gt;&lt;wsp:rsid wsp:val=&quot;00CF1C25&quot;/&gt;&lt;wsp:rsid wsp:val=&quot;00CF1D04&quot;/&gt;&lt;wsp:rsid wsp:val=&quot;00CF1D43&quot;/&gt;&lt;wsp:rsid wsp:val=&quot;00CF1FF9&quot;/&gt;&lt;wsp:rsid wsp:val=&quot;00CF20DA&quot;/&gt;&lt;wsp:rsid wsp:val=&quot;00CF219F&quot;/&gt;&lt;wsp:rsid wsp:val=&quot;00CF242E&quot;/&gt;&lt;wsp:rsid wsp:val=&quot;00CF2747&quot;/&gt;&lt;wsp:rsid wsp:val=&quot;00CF284B&quot;/&gt;&lt;wsp:rsid wsp:val=&quot;00CF2F52&quot;/&gt;&lt;wsp:rsid wsp:val=&quot;00CF3093&quot;/&gt;&lt;wsp:rsid wsp:val=&quot;00CF3801&quot;/&gt;&lt;wsp:rsid wsp:val=&quot;00CF3C18&quot;/&gt;&lt;wsp:rsid wsp:val=&quot;00CF4086&quot;/&gt;&lt;wsp:rsid wsp:val=&quot;00CF411A&quot;/&gt;&lt;wsp:rsid wsp:val=&quot;00CF424F&quot;/&gt;&lt;wsp:rsid wsp:val=&quot;00CF493C&quot;/&gt;&lt;wsp:rsid wsp:val=&quot;00CF49F7&quot;/&gt;&lt;wsp:rsid wsp:val=&quot;00CF4DDD&quot;/&gt;&lt;wsp:rsid wsp:val=&quot;00CF5587&quot;/&gt;&lt;wsp:rsid wsp:val=&quot;00CF5594&quot;/&gt;&lt;wsp:rsid wsp:val=&quot;00CF5895&quot;/&gt;&lt;wsp:rsid wsp:val=&quot;00CF5A1A&quot;/&gt;&lt;wsp:rsid wsp:val=&quot;00CF5A70&quot;/&gt;&lt;wsp:rsid wsp:val=&quot;00CF5A84&quot;/&gt;&lt;wsp:rsid wsp:val=&quot;00CF5A87&quot;/&gt;&lt;wsp:rsid wsp:val=&quot;00CF5BD6&quot;/&gt;&lt;wsp:rsid wsp:val=&quot;00CF5E6A&quot;/&gt;&lt;wsp:rsid wsp:val=&quot;00CF601F&quot;/&gt;&lt;wsp:rsid wsp:val=&quot;00CF60F3&quot;/&gt;&lt;wsp:rsid wsp:val=&quot;00CF6BF0&quot;/&gt;&lt;wsp:rsid wsp:val=&quot;00CF6FA7&quot;/&gt;&lt;wsp:rsid wsp:val=&quot;00CF70B1&quot;/&gt;&lt;wsp:rsid wsp:val=&quot;00CF76F5&quot;/&gt;&lt;wsp:rsid wsp:val=&quot;00CF7AB0&quot;/&gt;&lt;wsp:rsid wsp:val=&quot;00CF7EAE&quot;/&gt;&lt;wsp:rsid wsp:val=&quot;00D001EB&quot;/&gt;&lt;wsp:rsid wsp:val=&quot;00D002F0&quot;/&gt;&lt;wsp:rsid wsp:val=&quot;00D00414&quot;/&gt;&lt;wsp:rsid wsp:val=&quot;00D007D2&quot;/&gt;&lt;wsp:rsid wsp:val=&quot;00D007F1&quot;/&gt;&lt;wsp:rsid wsp:val=&quot;00D00F56&quot;/&gt;&lt;wsp:rsid wsp:val=&quot;00D01050&quot;/&gt;&lt;wsp:rsid wsp:val=&quot;00D0114F&quot;/&gt;&lt;wsp:rsid wsp:val=&quot;00D01231&quot;/&gt;&lt;wsp:rsid wsp:val=&quot;00D01919&quot;/&gt;&lt;wsp:rsid wsp:val=&quot;00D01A66&quot;/&gt;&lt;wsp:rsid wsp:val=&quot;00D01DF6&quot;/&gt;&lt;wsp:rsid wsp:val=&quot;00D02078&quot;/&gt;&lt;wsp:rsid wsp:val=&quot;00D02209&quot;/&gt;&lt;wsp:rsid wsp:val=&quot;00D02A0F&quot;/&gt;&lt;wsp:rsid wsp:val=&quot;00D02B30&quot;/&gt;&lt;wsp:rsid wsp:val=&quot;00D031AA&quot;/&gt;&lt;wsp:rsid wsp:val=&quot;00D03213&quot;/&gt;&lt;wsp:rsid wsp:val=&quot;00D03827&quot;/&gt;&lt;wsp:rsid wsp:val=&quot;00D0422B&quot;/&gt;&lt;wsp:rsid wsp:val=&quot;00D0480F&quot;/&gt;&lt;wsp:rsid wsp:val=&quot;00D055D7&quot;/&gt;&lt;wsp:rsid wsp:val=&quot;00D06122&quot;/&gt;&lt;wsp:rsid wsp:val=&quot;00D062C0&quot;/&gt;&lt;wsp:rsid wsp:val=&quot;00D06474&quot;/&gt;&lt;wsp:rsid wsp:val=&quot;00D06C46&quot;/&gt;&lt;wsp:rsid wsp:val=&quot;00D06CA1&quot;/&gt;&lt;wsp:rsid wsp:val=&quot;00D07DC6&quot;/&gt;&lt;wsp:rsid wsp:val=&quot;00D10103&quot;/&gt;&lt;wsp:rsid wsp:val=&quot;00D116FE&quot;/&gt;&lt;wsp:rsid wsp:val=&quot;00D11AED&quot;/&gt;&lt;wsp:rsid wsp:val=&quot;00D11CB7&quot;/&gt;&lt;wsp:rsid wsp:val=&quot;00D12127&quot;/&gt;&lt;wsp:rsid wsp:val=&quot;00D1216C&quot;/&gt;&lt;wsp:rsid wsp:val=&quot;00D12416&quot;/&gt;&lt;wsp:rsid wsp:val=&quot;00D12561&quot;/&gt;&lt;wsp:rsid wsp:val=&quot;00D1287A&quot;/&gt;&lt;wsp:rsid wsp:val=&quot;00D13285&quot;/&gt;&lt;wsp:rsid wsp:val=&quot;00D132B5&quot;/&gt;&lt;wsp:rsid wsp:val=&quot;00D13713&quot;/&gt;&lt;wsp:rsid wsp:val=&quot;00D1386C&quot;/&gt;&lt;wsp:rsid wsp:val=&quot;00D13AAC&quot;/&gt;&lt;wsp:rsid wsp:val=&quot;00D13B8E&quot;/&gt;&lt;wsp:rsid wsp:val=&quot;00D141A0&quot;/&gt;&lt;wsp:rsid wsp:val=&quot;00D14744&quot;/&gt;&lt;wsp:rsid wsp:val=&quot;00D14781&quot;/&gt;&lt;wsp:rsid wsp:val=&quot;00D149EB&quot;/&gt;&lt;wsp:rsid wsp:val=&quot;00D14C52&quot;/&gt;&lt;wsp:rsid wsp:val=&quot;00D1531A&quot;/&gt;&lt;wsp:rsid wsp:val=&quot;00D155D5&quot;/&gt;&lt;wsp:rsid wsp:val=&quot;00D157CF&quot;/&gt;&lt;wsp:rsid wsp:val=&quot;00D160E9&quot;/&gt;&lt;wsp:rsid wsp:val=&quot;00D16123&quot;/&gt;&lt;wsp:rsid wsp:val=&quot;00D16603&quot;/&gt;&lt;wsp:rsid wsp:val=&quot;00D16C00&quot;/&gt;&lt;wsp:rsid wsp:val=&quot;00D174C5&quot;/&gt;&lt;wsp:rsid wsp:val=&quot;00D17588&quot;/&gt;&lt;wsp:rsid wsp:val=&quot;00D17B00&quot;/&gt;&lt;wsp:rsid wsp:val=&quot;00D17EDF&quot;/&gt;&lt;wsp:rsid wsp:val=&quot;00D202A3&quot;/&gt;&lt;wsp:rsid wsp:val=&quot;00D205A4&quot;/&gt;&lt;wsp:rsid wsp:val=&quot;00D20627&quot;/&gt;&lt;wsp:rsid wsp:val=&quot;00D207EE&quot;/&gt;&lt;wsp:rsid wsp:val=&quot;00D20BC5&quot;/&gt;&lt;wsp:rsid wsp:val=&quot;00D20DFE&quot;/&gt;&lt;wsp:rsid wsp:val=&quot;00D211CE&quot;/&gt;&lt;wsp:rsid wsp:val=&quot;00D21474&quot;/&gt;&lt;wsp:rsid wsp:val=&quot;00D214EE&quot;/&gt;&lt;wsp:rsid wsp:val=&quot;00D216E8&quot;/&gt;&lt;wsp:rsid wsp:val=&quot;00D217A5&quot;/&gt;&lt;wsp:rsid wsp:val=&quot;00D21B3C&quot;/&gt;&lt;wsp:rsid wsp:val=&quot;00D21D8C&quot;/&gt;&lt;wsp:rsid wsp:val=&quot;00D22048&quot;/&gt;&lt;wsp:rsid wsp:val=&quot;00D220B8&quot;/&gt;&lt;wsp:rsid wsp:val=&quot;00D220BD&quot;/&gt;&lt;wsp:rsid wsp:val=&quot;00D223B6&quot;/&gt;&lt;wsp:rsid wsp:val=&quot;00D2248C&quot;/&gt;&lt;wsp:rsid wsp:val=&quot;00D22721&quot;/&gt;&lt;wsp:rsid wsp:val=&quot;00D233F6&quot;/&gt;&lt;wsp:rsid wsp:val=&quot;00D23873&quot;/&gt;&lt;wsp:rsid wsp:val=&quot;00D238FD&quot;/&gt;&lt;wsp:rsid wsp:val=&quot;00D23E35&quot;/&gt;&lt;wsp:rsid wsp:val=&quot;00D24174&quot;/&gt;&lt;wsp:rsid wsp:val=&quot;00D241A4&quot;/&gt;&lt;wsp:rsid wsp:val=&quot;00D24472&quot;/&gt;&lt;wsp:rsid wsp:val=&quot;00D24656&quot;/&gt;&lt;wsp:rsid wsp:val=&quot;00D24974&quot;/&gt;&lt;wsp:rsid wsp:val=&quot;00D2511E&quot;/&gt;&lt;wsp:rsid wsp:val=&quot;00D25250&quot;/&gt;&lt;wsp:rsid wsp:val=&quot;00D252DF&quot;/&gt;&lt;wsp:rsid wsp:val=&quot;00D2545C&quot;/&gt;&lt;wsp:rsid wsp:val=&quot;00D25928&quot;/&gt;&lt;wsp:rsid wsp:val=&quot;00D25A81&quot;/&gt;&lt;wsp:rsid wsp:val=&quot;00D26752&quot;/&gt;&lt;wsp:rsid wsp:val=&quot;00D2677F&quot;/&gt;&lt;wsp:rsid wsp:val=&quot;00D267A2&quot;/&gt;&lt;wsp:rsid wsp:val=&quot;00D269EE&quot;/&gt;&lt;wsp:rsid wsp:val=&quot;00D26A6F&quot;/&gt;&lt;wsp:rsid wsp:val=&quot;00D26DCF&quot;/&gt;&lt;wsp:rsid wsp:val=&quot;00D271F1&quot;/&gt;&lt;wsp:rsid wsp:val=&quot;00D2736F&quot;/&gt;&lt;wsp:rsid wsp:val=&quot;00D27540&quot;/&gt;&lt;wsp:rsid wsp:val=&quot;00D275AF&quot;/&gt;&lt;wsp:rsid wsp:val=&quot;00D30160&quot;/&gt;&lt;wsp:rsid wsp:val=&quot;00D303ED&quot;/&gt;&lt;wsp:rsid wsp:val=&quot;00D306F3&quot;/&gt;&lt;wsp:rsid wsp:val=&quot;00D30782&quot;/&gt;&lt;wsp:rsid wsp:val=&quot;00D309A6&quot;/&gt;&lt;wsp:rsid wsp:val=&quot;00D30A4A&quot;/&gt;&lt;wsp:rsid wsp:val=&quot;00D30D13&quot;/&gt;&lt;wsp:rsid wsp:val=&quot;00D3140A&quot;/&gt;&lt;wsp:rsid wsp:val=&quot;00D31450&quot;/&gt;&lt;wsp:rsid wsp:val=&quot;00D3177D&quot;/&gt;&lt;wsp:rsid wsp:val=&quot;00D31838&quot;/&gt;&lt;wsp:rsid wsp:val=&quot;00D31ABB&quot;/&gt;&lt;wsp:rsid wsp:val=&quot;00D31F79&quot;/&gt;&lt;wsp:rsid wsp:val=&quot;00D327EE&quot;/&gt;&lt;wsp:rsid wsp:val=&quot;00D327F9&quot;/&gt;&lt;wsp:rsid wsp:val=&quot;00D328C0&quot;/&gt;&lt;wsp:rsid wsp:val=&quot;00D32950&quot;/&gt;&lt;wsp:rsid wsp:val=&quot;00D32B25&quot;/&gt;&lt;wsp:rsid wsp:val=&quot;00D33B1E&quot;/&gt;&lt;wsp:rsid wsp:val=&quot;00D33D34&quot;/&gt;&lt;wsp:rsid wsp:val=&quot;00D33DA6&quot;/&gt;&lt;wsp:rsid wsp:val=&quot;00D33E6F&quot;/&gt;&lt;wsp:rsid wsp:val=&quot;00D33EF7&quot;/&gt;&lt;wsp:rsid wsp:val=&quot;00D34337&quot;/&gt;&lt;wsp:rsid wsp:val=&quot;00D34D52&quot;/&gt;&lt;wsp:rsid wsp:val=&quot;00D34EF5&quot;/&gt;&lt;wsp:rsid wsp:val=&quot;00D35314&quot;/&gt;&lt;wsp:rsid wsp:val=&quot;00D355B2&quot;/&gt;&lt;wsp:rsid wsp:val=&quot;00D3572E&quot;/&gt;&lt;wsp:rsid wsp:val=&quot;00D358F5&quot;/&gt;&lt;wsp:rsid wsp:val=&quot;00D360D5&quot;/&gt;&lt;wsp:rsid wsp:val=&quot;00D36910&quot;/&gt;&lt;wsp:rsid wsp:val=&quot;00D36A44&quot;/&gt;&lt;wsp:rsid wsp:val=&quot;00D36D02&quot;/&gt;&lt;wsp:rsid wsp:val=&quot;00D36E54&quot;/&gt;&lt;wsp:rsid wsp:val=&quot;00D36ED1&quot;/&gt;&lt;wsp:rsid wsp:val=&quot;00D37020&quot;/&gt;&lt;wsp:rsid wsp:val=&quot;00D3707C&quot;/&gt;&lt;wsp:rsid wsp:val=&quot;00D374D5&quot;/&gt;&lt;wsp:rsid wsp:val=&quot;00D37640&quot;/&gt;&lt;wsp:rsid wsp:val=&quot;00D3786F&quot;/&gt;&lt;wsp:rsid wsp:val=&quot;00D37E6C&quot;/&gt;&lt;wsp:rsid wsp:val=&quot;00D409CA&quot;/&gt;&lt;wsp:rsid wsp:val=&quot;00D40A9D&quot;/&gt;&lt;wsp:rsid wsp:val=&quot;00D40C9A&quot;/&gt;&lt;wsp:rsid wsp:val=&quot;00D41141&quot;/&gt;&lt;wsp:rsid wsp:val=&quot;00D4120B&quot;/&gt;&lt;wsp:rsid wsp:val=&quot;00D41AF9&quot;/&gt;&lt;wsp:rsid wsp:val=&quot;00D4271E&quot;/&gt;&lt;wsp:rsid wsp:val=&quot;00D42853&quot;/&gt;&lt;wsp:rsid wsp:val=&quot;00D42C01&quot;/&gt;&lt;wsp:rsid wsp:val=&quot;00D4357C&quot;/&gt;&lt;wsp:rsid wsp:val=&quot;00D43A08&quot;/&gt;&lt;wsp:rsid wsp:val=&quot;00D44116&quot;/&gt;&lt;wsp:rsid wsp:val=&quot;00D448F3&quot;/&gt;&lt;wsp:rsid wsp:val=&quot;00D44DCA&quot;/&gt;&lt;wsp:rsid wsp:val=&quot;00D4523A&quot;/&gt;&lt;wsp:rsid wsp:val=&quot;00D45374&quot;/&gt;&lt;wsp:rsid wsp:val=&quot;00D460D1&quot;/&gt;&lt;wsp:rsid wsp:val=&quot;00D46431&quot;/&gt;&lt;wsp:rsid wsp:val=&quot;00D464C3&quot;/&gt;&lt;wsp:rsid wsp:val=&quot;00D468F9&quot;/&gt;&lt;wsp:rsid wsp:val=&quot;00D46BFF&quot;/&gt;&lt;wsp:rsid wsp:val=&quot;00D46EDA&quot;/&gt;&lt;wsp:rsid wsp:val=&quot;00D470FE&quot;/&gt;&lt;wsp:rsid wsp:val=&quot;00D4791D&quot;/&gt;&lt;wsp:rsid wsp:val=&quot;00D47B1C&quot;/&gt;&lt;wsp:rsid wsp:val=&quot;00D5043F&quot;/&gt;&lt;wsp:rsid wsp:val=&quot;00D50BDB&quot;/&gt;&lt;wsp:rsid wsp:val=&quot;00D50F27&quot;/&gt;&lt;wsp:rsid wsp:val=&quot;00D51172&quot;/&gt;&lt;wsp:rsid wsp:val=&quot;00D51186&quot;/&gt;&lt;wsp:rsid wsp:val=&quot;00D514D6&quot;/&gt;&lt;wsp:rsid wsp:val=&quot;00D51EF4&quot;/&gt;&lt;wsp:rsid wsp:val=&quot;00D539C1&quot;/&gt;&lt;wsp:rsid wsp:val=&quot;00D549BF&quot;/&gt;&lt;wsp:rsid wsp:val=&quot;00D54CEA&quot;/&gt;&lt;wsp:rsid wsp:val=&quot;00D54EC3&quot;/&gt;&lt;wsp:rsid wsp:val=&quot;00D553DC&quot;/&gt;&lt;wsp:rsid wsp:val=&quot;00D55723&quot;/&gt;&lt;wsp:rsid wsp:val=&quot;00D55F09&quot;/&gt;&lt;wsp:rsid wsp:val=&quot;00D55F58&quot;/&gt;&lt;wsp:rsid wsp:val=&quot;00D569C6&quot;/&gt;&lt;wsp:rsid wsp:val=&quot;00D56FB0&quot;/&gt;&lt;wsp:rsid wsp:val=&quot;00D57428&quot;/&gt;&lt;wsp:rsid wsp:val=&quot;00D5797A&quot;/&gt;&lt;wsp:rsid wsp:val=&quot;00D57B03&quot;/&gt;&lt;wsp:rsid wsp:val=&quot;00D57EF4&quot;/&gt;&lt;wsp:rsid wsp:val=&quot;00D6009D&quot;/&gt;&lt;wsp:rsid wsp:val=&quot;00D60474&quot;/&gt;&lt;wsp:rsid wsp:val=&quot;00D60A61&quot;/&gt;&lt;wsp:rsid wsp:val=&quot;00D60E07&quot;/&gt;&lt;wsp:rsid wsp:val=&quot;00D610A4&quot;/&gt;&lt;wsp:rsid wsp:val=&quot;00D6121D&quot;/&gt;&lt;wsp:rsid wsp:val=&quot;00D612FA&quot;/&gt;&lt;wsp:rsid wsp:val=&quot;00D614B8&quot;/&gt;&lt;wsp:rsid wsp:val=&quot;00D6181B&quot;/&gt;&lt;wsp:rsid wsp:val=&quot;00D61B69&quot;/&gt;&lt;wsp:rsid wsp:val=&quot;00D61C00&quot;/&gt;&lt;wsp:rsid wsp:val=&quot;00D61E65&quot;/&gt;&lt;wsp:rsid wsp:val=&quot;00D6282C&quot;/&gt;&lt;wsp:rsid wsp:val=&quot;00D62B30&quot;/&gt;&lt;wsp:rsid wsp:val=&quot;00D62C08&quot;/&gt;&lt;wsp:rsid wsp:val=&quot;00D6321E&quot;/&gt;&lt;wsp:rsid wsp:val=&quot;00D63279&quot;/&gt;&lt;wsp:rsid wsp:val=&quot;00D636ED&quot;/&gt;&lt;wsp:rsid wsp:val=&quot;00D63860&quot;/&gt;&lt;wsp:rsid wsp:val=&quot;00D63B41&quot;/&gt;&lt;wsp:rsid wsp:val=&quot;00D63D63&quot;/&gt;&lt;wsp:rsid wsp:val=&quot;00D63EDC&quot;/&gt;&lt;wsp:rsid wsp:val=&quot;00D6491F&quot;/&gt;&lt;wsp:rsid wsp:val=&quot;00D64998&quot;/&gt;&lt;wsp:rsid wsp:val=&quot;00D64BB2&quot;/&gt;&lt;wsp:rsid wsp:val=&quot;00D64CE9&quot;/&gt;&lt;wsp:rsid wsp:val=&quot;00D64F51&quot;/&gt;&lt;wsp:rsid wsp:val=&quot;00D650DC&quot;/&gt;&lt;wsp:rsid wsp:val=&quot;00D65F20&quot;/&gt;&lt;wsp:rsid wsp:val=&quot;00D66051&quot;/&gt;&lt;wsp:rsid wsp:val=&quot;00D660FC&quot;/&gt;&lt;wsp:rsid wsp:val=&quot;00D668D4&quot;/&gt;&lt;wsp:rsid wsp:val=&quot;00D66D5A&quot;/&gt;&lt;wsp:rsid wsp:val=&quot;00D66EDE&quot;/&gt;&lt;wsp:rsid wsp:val=&quot;00D66F99&quot;/&gt;&lt;wsp:rsid wsp:val=&quot;00D67D13&quot;/&gt;&lt;wsp:rsid wsp:val=&quot;00D67D6F&quot;/&gt;&lt;wsp:rsid wsp:val=&quot;00D706AE&quot;/&gt;&lt;wsp:rsid wsp:val=&quot;00D71045&quot;/&gt;&lt;wsp:rsid wsp:val=&quot;00D71200&quot;/&gt;&lt;wsp:rsid wsp:val=&quot;00D71414&quot;/&gt;&lt;wsp:rsid wsp:val=&quot;00D715DA&quot;/&gt;&lt;wsp:rsid wsp:val=&quot;00D71E51&quot;/&gt;&lt;wsp:rsid wsp:val=&quot;00D71E83&quot;/&gt;&lt;wsp:rsid wsp:val=&quot;00D72045&quot;/&gt;&lt;wsp:rsid wsp:val=&quot;00D72135&quot;/&gt;&lt;wsp:rsid wsp:val=&quot;00D729F3&quot;/&gt;&lt;wsp:rsid wsp:val=&quot;00D72C2C&quot;/&gt;&lt;wsp:rsid wsp:val=&quot;00D73163&quot;/&gt;&lt;wsp:rsid wsp:val=&quot;00D7339E&quot;/&gt;&lt;wsp:rsid wsp:val=&quot;00D735CE&quot;/&gt;&lt;wsp:rsid wsp:val=&quot;00D73A09&quot;/&gt;&lt;wsp:rsid wsp:val=&quot;00D73CB5&quot;/&gt;&lt;wsp:rsid wsp:val=&quot;00D73CFC&quot;/&gt;&lt;wsp:rsid wsp:val=&quot;00D7442D&quot;/&gt;&lt;wsp:rsid wsp:val=&quot;00D746B0&quot;/&gt;&lt;wsp:rsid wsp:val=&quot;00D74AEE&quot;/&gt;&lt;wsp:rsid wsp:val=&quot;00D74BBE&quot;/&gt;&lt;wsp:rsid wsp:val=&quot;00D74C01&quot;/&gt;&lt;wsp:rsid wsp:val=&quot;00D75570&quot;/&gt;&lt;wsp:rsid wsp:val=&quot;00D756E2&quot;/&gt;&lt;wsp:rsid wsp:val=&quot;00D75912&quot;/&gt;&lt;wsp:rsid wsp:val=&quot;00D75A7B&quot;/&gt;&lt;wsp:rsid wsp:val=&quot;00D75CB0&quot;/&gt;&lt;wsp:rsid wsp:val=&quot;00D7612C&quot;/&gt;&lt;wsp:rsid wsp:val=&quot;00D762A6&quot;/&gt;&lt;wsp:rsid wsp:val=&quot;00D76471&quot;/&gt;&lt;wsp:rsid wsp:val=&quot;00D76484&quot;/&gt;&lt;wsp:rsid wsp:val=&quot;00D765AC&quot;/&gt;&lt;wsp:rsid wsp:val=&quot;00D76875&quot;/&gt;&lt;wsp:rsid wsp:val=&quot;00D772CA&quot;/&gt;&lt;wsp:rsid wsp:val=&quot;00D7731D&quot;/&gt;&lt;wsp:rsid wsp:val=&quot;00D773E8&quot;/&gt;&lt;wsp:rsid wsp:val=&quot;00D77973&quot;/&gt;&lt;wsp:rsid wsp:val=&quot;00D77AD8&quot;/&gt;&lt;wsp:rsid wsp:val=&quot;00D801AB&quot;/&gt;&lt;wsp:rsid wsp:val=&quot;00D801DF&quot;/&gt;&lt;wsp:rsid wsp:val=&quot;00D80C23&quot;/&gt;&lt;wsp:rsid wsp:val=&quot;00D80F5A&quot;/&gt;&lt;wsp:rsid wsp:val=&quot;00D8171D&quot;/&gt;&lt;wsp:rsid wsp:val=&quot;00D81901&quot;/&gt;&lt;wsp:rsid wsp:val=&quot;00D81D7F&quot;/&gt;&lt;wsp:rsid wsp:val=&quot;00D82068&quot;/&gt;&lt;wsp:rsid wsp:val=&quot;00D821BE&quot;/&gt;&lt;wsp:rsid wsp:val=&quot;00D83500&quot;/&gt;&lt;wsp:rsid wsp:val=&quot;00D83745&quot;/&gt;&lt;wsp:rsid wsp:val=&quot;00D83B0B&quot;/&gt;&lt;wsp:rsid wsp:val=&quot;00D83C16&quot;/&gt;&lt;wsp:rsid wsp:val=&quot;00D84320&quot;/&gt;&lt;wsp:rsid wsp:val=&quot;00D84711&quot;/&gt;&lt;wsp:rsid wsp:val=&quot;00D84C83&quot;/&gt;&lt;wsp:rsid wsp:val=&quot;00D84F5B&quot;/&gt;&lt;wsp:rsid wsp:val=&quot;00D84F6F&quot;/&gt;&lt;wsp:rsid wsp:val=&quot;00D84F88&quot;/&gt;&lt;wsp:rsid wsp:val=&quot;00D85422&quot;/&gt;&lt;wsp:rsid wsp:val=&quot;00D8550B&quot;/&gt;&lt;wsp:rsid wsp:val=&quot;00D8613C&quot;/&gt;&lt;wsp:rsid wsp:val=&quot;00D867E4&quot;/&gt;&lt;wsp:rsid wsp:val=&quot;00D868BD&quot;/&gt;&lt;wsp:rsid wsp:val=&quot;00D86A1E&quot;/&gt;&lt;wsp:rsid wsp:val=&quot;00D86E83&quot;/&gt;&lt;wsp:rsid wsp:val=&quot;00D87694&quot;/&gt;&lt;wsp:rsid wsp:val=&quot;00D87E5F&quot;/&gt;&lt;wsp:rsid wsp:val=&quot;00D90166&quot;/&gt;&lt;wsp:rsid wsp:val=&quot;00D903B6&quot;/&gt;&lt;wsp:rsid wsp:val=&quot;00D90B3F&quot;/&gt;&lt;wsp:rsid wsp:val=&quot;00D91720&quot;/&gt;&lt;wsp:rsid wsp:val=&quot;00D91C2F&quot;/&gt;&lt;wsp:rsid wsp:val=&quot;00D91EB9&quot;/&gt;&lt;wsp:rsid wsp:val=&quot;00D92246&quot;/&gt;&lt;wsp:rsid wsp:val=&quot;00D923FD&quot;/&gt;&lt;wsp:rsid wsp:val=&quot;00D9257C&quot;/&gt;&lt;wsp:rsid wsp:val=&quot;00D925E0&quot;/&gt;&lt;wsp:rsid wsp:val=&quot;00D927EE&quot;/&gt;&lt;wsp:rsid wsp:val=&quot;00D9283B&quot;/&gt;&lt;wsp:rsid wsp:val=&quot;00D92951&quot;/&gt;&lt;wsp:rsid wsp:val=&quot;00D92D14&quot;/&gt;&lt;wsp:rsid wsp:val=&quot;00D92FB7&quot;/&gt;&lt;wsp:rsid wsp:val=&quot;00D934B7&quot;/&gt;&lt;wsp:rsid wsp:val=&quot;00D937E0&quot;/&gt;&lt;wsp:rsid wsp:val=&quot;00D938A8&quot;/&gt;&lt;wsp:rsid wsp:val=&quot;00D93BD4&quot;/&gt;&lt;wsp:rsid wsp:val=&quot;00D945DA&quot;/&gt;&lt;wsp:rsid wsp:val=&quot;00D94D61&quot;/&gt;&lt;wsp:rsid wsp:val=&quot;00D9523C&quot;/&gt;&lt;wsp:rsid wsp:val=&quot;00D95572&quot;/&gt;&lt;wsp:rsid wsp:val=&quot;00D9573A&quot;/&gt;&lt;wsp:rsid wsp:val=&quot;00D958A7&quot;/&gt;&lt;wsp:rsid wsp:val=&quot;00D96136&quot;/&gt;&lt;wsp:rsid wsp:val=&quot;00D96152&quot;/&gt;&lt;wsp:rsid wsp:val=&quot;00D963FB&quot;/&gt;&lt;wsp:rsid wsp:val=&quot;00D96537&quot;/&gt;&lt;wsp:rsid wsp:val=&quot;00D96730&quot;/&gt;&lt;wsp:rsid wsp:val=&quot;00D96B9B&quot;/&gt;&lt;wsp:rsid wsp:val=&quot;00D96C67&quot;/&gt;&lt;wsp:rsid wsp:val=&quot;00D96DA1&quot;/&gt;&lt;wsp:rsid wsp:val=&quot;00D96ECA&quot;/&gt;&lt;wsp:rsid wsp:val=&quot;00D97590&quot;/&gt;&lt;wsp:rsid wsp:val=&quot;00D97706&quot;/&gt;&lt;wsp:rsid wsp:val=&quot;00D97CBD&quot;/&gt;&lt;wsp:rsid wsp:val=&quot;00D97DF3&quot;/&gt;&lt;wsp:rsid wsp:val=&quot;00DA0059&quot;/&gt;&lt;wsp:rsid wsp:val=&quot;00DA08E1&quot;/&gt;&lt;wsp:rsid wsp:val=&quot;00DA0A80&quot;/&gt;&lt;wsp:rsid wsp:val=&quot;00DA108F&quot;/&gt;&lt;wsp:rsid wsp:val=&quot;00DA1519&quot;/&gt;&lt;wsp:rsid wsp:val=&quot;00DA19EA&quot;/&gt;&lt;wsp:rsid wsp:val=&quot;00DA213B&quot;/&gt;&lt;wsp:rsid wsp:val=&quot;00DA2168&quot;/&gt;&lt;wsp:rsid wsp:val=&quot;00DA2253&quot;/&gt;&lt;wsp:rsid wsp:val=&quot;00DA22BB&quot;/&gt;&lt;wsp:rsid wsp:val=&quot;00DA27F9&quot;/&gt;&lt;wsp:rsid wsp:val=&quot;00DA3210&quot;/&gt;&lt;wsp:rsid wsp:val=&quot;00DA366A&quot;/&gt;&lt;wsp:rsid wsp:val=&quot;00DA38DF&quot;/&gt;&lt;wsp:rsid wsp:val=&quot;00DA3E2C&quot;/&gt;&lt;wsp:rsid wsp:val=&quot;00DA3FAA&quot;/&gt;&lt;wsp:rsid wsp:val=&quot;00DA3FEE&quot;/&gt;&lt;wsp:rsid wsp:val=&quot;00DA404A&quot;/&gt;&lt;wsp:rsid wsp:val=&quot;00DA452C&quot;/&gt;&lt;wsp:rsid wsp:val=&quot;00DA463E&quot;/&gt;&lt;wsp:rsid wsp:val=&quot;00DA4729&quot;/&gt;&lt;wsp:rsid wsp:val=&quot;00DA49DA&quot;/&gt;&lt;wsp:rsid wsp:val=&quot;00DA4E43&quot;/&gt;&lt;wsp:rsid wsp:val=&quot;00DA5E3F&quot;/&gt;&lt;wsp:rsid wsp:val=&quot;00DA5EF9&quot;/&gt;&lt;wsp:rsid wsp:val=&quot;00DA612D&quot;/&gt;&lt;wsp:rsid wsp:val=&quot;00DA66AD&quot;/&gt;&lt;wsp:rsid wsp:val=&quot;00DA70E8&quot;/&gt;&lt;wsp:rsid wsp:val=&quot;00DA77C4&quot;/&gt;&lt;wsp:rsid wsp:val=&quot;00DA7ADE&quot;/&gt;&lt;wsp:rsid wsp:val=&quot;00DA7DB6&quot;/&gt;&lt;wsp:rsid wsp:val=&quot;00DA7F17&quot;/&gt;&lt;wsp:rsid wsp:val=&quot;00DB0382&quot;/&gt;&lt;wsp:rsid wsp:val=&quot;00DB0472&quot;/&gt;&lt;wsp:rsid wsp:val=&quot;00DB0773&quot;/&gt;&lt;wsp:rsid wsp:val=&quot;00DB08D2&quot;/&gt;&lt;wsp:rsid wsp:val=&quot;00DB11FF&quot;/&gt;&lt;wsp:rsid wsp:val=&quot;00DB126E&quot;/&gt;&lt;wsp:rsid wsp:val=&quot;00DB13E5&quot;/&gt;&lt;wsp:rsid wsp:val=&quot;00DB18AE&quot;/&gt;&lt;wsp:rsid wsp:val=&quot;00DB1F4A&quot;/&gt;&lt;wsp:rsid wsp:val=&quot;00DB216C&quot;/&gt;&lt;wsp:rsid wsp:val=&quot;00DB238E&quot;/&gt;&lt;wsp:rsid wsp:val=&quot;00DB2474&quot;/&gt;&lt;wsp:rsid wsp:val=&quot;00DB2542&quot;/&gt;&lt;wsp:rsid wsp:val=&quot;00DB2767&quot;/&gt;&lt;wsp:rsid wsp:val=&quot;00DB2AD4&quot;/&gt;&lt;wsp:rsid wsp:val=&quot;00DB3DA3&quot;/&gt;&lt;wsp:rsid wsp:val=&quot;00DB3F4B&quot;/&gt;&lt;wsp:rsid wsp:val=&quot;00DB45AC&quot;/&gt;&lt;wsp:rsid wsp:val=&quot;00DB4693&quot;/&gt;&lt;wsp:rsid wsp:val=&quot;00DB474A&quot;/&gt;&lt;wsp:rsid wsp:val=&quot;00DB4CB9&quot;/&gt;&lt;wsp:rsid wsp:val=&quot;00DB4F18&quot;/&gt;&lt;wsp:rsid wsp:val=&quot;00DB505F&quot;/&gt;&lt;wsp:rsid wsp:val=&quot;00DB52BC&quot;/&gt;&lt;wsp:rsid wsp:val=&quot;00DB580B&quot;/&gt;&lt;wsp:rsid wsp:val=&quot;00DB5BDA&quot;/&gt;&lt;wsp:rsid wsp:val=&quot;00DB6869&quot;/&gt;&lt;wsp:rsid wsp:val=&quot;00DB6CC1&quot;/&gt;&lt;wsp:rsid wsp:val=&quot;00DB7265&quot;/&gt;&lt;wsp:rsid wsp:val=&quot;00DB7513&quot;/&gt;&lt;wsp:rsid wsp:val=&quot;00DB7CFE&quot;/&gt;&lt;wsp:rsid wsp:val=&quot;00DB7DB5&quot;/&gt;&lt;wsp:rsid wsp:val=&quot;00DB7DEC&quot;/&gt;&lt;wsp:rsid wsp:val=&quot;00DC068E&quot;/&gt;&lt;wsp:rsid wsp:val=&quot;00DC0977&quot;/&gt;&lt;wsp:rsid wsp:val=&quot;00DC0A83&quot;/&gt;&lt;wsp:rsid wsp:val=&quot;00DC0BB3&quot;/&gt;&lt;wsp:rsid wsp:val=&quot;00DC0BED&quot;/&gt;&lt;wsp:rsid wsp:val=&quot;00DC0D35&quot;/&gt;&lt;wsp:rsid wsp:val=&quot;00DC1636&quot;/&gt;&lt;wsp:rsid wsp:val=&quot;00DC166D&quot;/&gt;&lt;wsp:rsid wsp:val=&quot;00DC1990&quot;/&gt;&lt;wsp:rsid wsp:val=&quot;00DC1B2F&quot;/&gt;&lt;wsp:rsid wsp:val=&quot;00DC1BF2&quot;/&gt;&lt;wsp:rsid wsp:val=&quot;00DC1E27&quot;/&gt;&lt;wsp:rsid wsp:val=&quot;00DC20A9&quot;/&gt;&lt;wsp:rsid wsp:val=&quot;00DC21A9&quot;/&gt;&lt;wsp:rsid wsp:val=&quot;00DC22BC&quot;/&gt;&lt;wsp:rsid wsp:val=&quot;00DC27A8&quot;/&gt;&lt;wsp:rsid wsp:val=&quot;00DC2FA9&quot;/&gt;&lt;wsp:rsid wsp:val=&quot;00DC4B29&quot;/&gt;&lt;wsp:rsid wsp:val=&quot;00DC4E25&quot;/&gt;&lt;wsp:rsid wsp:val=&quot;00DC4F80&quot;/&gt;&lt;wsp:rsid wsp:val=&quot;00DC50DF&quot;/&gt;&lt;wsp:rsid wsp:val=&quot;00DC6120&quot;/&gt;&lt;wsp:rsid wsp:val=&quot;00DC63F7&quot;/&gt;&lt;wsp:rsid wsp:val=&quot;00DC6423&quot;/&gt;&lt;wsp:rsid wsp:val=&quot;00DC6A58&quot;/&gt;&lt;wsp:rsid wsp:val=&quot;00DC6BCE&quot;/&gt;&lt;wsp:rsid wsp:val=&quot;00DC6CE5&quot;/&gt;&lt;wsp:rsid wsp:val=&quot;00DC6F05&quot;/&gt;&lt;wsp:rsid wsp:val=&quot;00DC73C7&quot;/&gt;&lt;wsp:rsid wsp:val=&quot;00DC7DE4&quot;/&gt;&lt;wsp:rsid wsp:val=&quot;00DD0144&quot;/&gt;&lt;wsp:rsid wsp:val=&quot;00DD01D0&quot;/&gt;&lt;wsp:rsid wsp:val=&quot;00DD035D&quot;/&gt;&lt;wsp:rsid wsp:val=&quot;00DD0423&quot;/&gt;&lt;wsp:rsid wsp:val=&quot;00DD0424&quot;/&gt;&lt;wsp:rsid wsp:val=&quot;00DD0557&quot;/&gt;&lt;wsp:rsid wsp:val=&quot;00DD095A&quot;/&gt;&lt;wsp:rsid wsp:val=&quot;00DD0A7F&quot;/&gt;&lt;wsp:rsid wsp:val=&quot;00DD0BF4&quot;/&gt;&lt;wsp:rsid wsp:val=&quot;00DD0C92&quot;/&gt;&lt;wsp:rsid wsp:val=&quot;00DD0DE3&quot;/&gt;&lt;wsp:rsid wsp:val=&quot;00DD14E8&quot;/&gt;&lt;wsp:rsid wsp:val=&quot;00DD1F0F&quot;/&gt;&lt;wsp:rsid wsp:val=&quot;00DD2221&quot;/&gt;&lt;wsp:rsid wsp:val=&quot;00DD23C5&quot;/&gt;&lt;wsp:rsid wsp:val=&quot;00DD2480&quot;/&gt;&lt;wsp:rsid wsp:val=&quot;00DD2731&quot;/&gt;&lt;wsp:rsid wsp:val=&quot;00DD29AF&quot;/&gt;&lt;wsp:rsid wsp:val=&quot;00DD2BA4&quot;/&gt;&lt;wsp:rsid wsp:val=&quot;00DD3142&quot;/&gt;&lt;wsp:rsid wsp:val=&quot;00DD33B7&quot;/&gt;&lt;wsp:rsid wsp:val=&quot;00DD3944&quot;/&gt;&lt;wsp:rsid wsp:val=&quot;00DD4331&quot;/&gt;&lt;wsp:rsid wsp:val=&quot;00DD4552&quot;/&gt;&lt;wsp:rsid wsp:val=&quot;00DD469C&quot;/&gt;&lt;wsp:rsid wsp:val=&quot;00DD47F8&quot;/&gt;&lt;wsp:rsid wsp:val=&quot;00DD4F6B&quot;/&gt;&lt;wsp:rsid wsp:val=&quot;00DD4FCC&quot;/&gt;&lt;wsp:rsid wsp:val=&quot;00DD57B9&quot;/&gt;&lt;wsp:rsid wsp:val=&quot;00DD5BD0&quot;/&gt;&lt;wsp:rsid wsp:val=&quot;00DD68CB&quot;/&gt;&lt;wsp:rsid wsp:val=&quot;00DD6B83&quot;/&gt;&lt;wsp:rsid wsp:val=&quot;00DD6DF9&quot;/&gt;&lt;wsp:rsid wsp:val=&quot;00DD6E1D&quot;/&gt;&lt;wsp:rsid wsp:val=&quot;00DD7001&quot;/&gt;&lt;wsp:rsid wsp:val=&quot;00DD7326&quot;/&gt;&lt;wsp:rsid wsp:val=&quot;00DD7685&quot;/&gt;&lt;wsp:rsid wsp:val=&quot;00DD7C2A&quot;/&gt;&lt;wsp:rsid wsp:val=&quot;00DD7D62&quot;/&gt;&lt;wsp:rsid wsp:val=&quot;00DD7DF7&quot;/&gt;&lt;wsp:rsid wsp:val=&quot;00DD7FF0&quot;/&gt;&lt;wsp:rsid wsp:val=&quot;00DD7FFB&quot;/&gt;&lt;wsp:rsid wsp:val=&quot;00DE07D4&quot;/&gt;&lt;wsp:rsid wsp:val=&quot;00DE085F&quot;/&gt;&lt;wsp:rsid wsp:val=&quot;00DE0EB7&quot;/&gt;&lt;wsp:rsid wsp:val=&quot;00DE1175&quot;/&gt;&lt;wsp:rsid wsp:val=&quot;00DE154C&quot;/&gt;&lt;wsp:rsid wsp:val=&quot;00DE16A3&quot;/&gt;&lt;wsp:rsid wsp:val=&quot;00DE17F0&quot;/&gt;&lt;wsp:rsid wsp:val=&quot;00DE21B9&quot;/&gt;&lt;wsp:rsid wsp:val=&quot;00DE25F2&quot;/&gt;&lt;wsp:rsid wsp:val=&quot;00DE2B53&quot;/&gt;&lt;wsp:rsid wsp:val=&quot;00DE2C1A&quot;/&gt;&lt;wsp:rsid wsp:val=&quot;00DE2CD3&quot;/&gt;&lt;wsp:rsid wsp:val=&quot;00DE3456&quot;/&gt;&lt;wsp:rsid wsp:val=&quot;00DE3B78&quot;/&gt;&lt;wsp:rsid wsp:val=&quot;00DE3CC1&quot;/&gt;&lt;wsp:rsid wsp:val=&quot;00DE413F&quot;/&gt;&lt;wsp:rsid wsp:val=&quot;00DE414C&quot;/&gt;&lt;wsp:rsid wsp:val=&quot;00DE47D6&quot;/&gt;&lt;wsp:rsid wsp:val=&quot;00DE496C&quot;/&gt;&lt;wsp:rsid wsp:val=&quot;00DE4A9C&quot;/&gt;&lt;wsp:rsid wsp:val=&quot;00DE4DA5&quot;/&gt;&lt;wsp:rsid wsp:val=&quot;00DE4F15&quot;/&gt;&lt;wsp:rsid wsp:val=&quot;00DE5303&quot;/&gt;&lt;wsp:rsid wsp:val=&quot;00DE55F8&quot;/&gt;&lt;wsp:rsid wsp:val=&quot;00DE576A&quot;/&gt;&lt;wsp:rsid wsp:val=&quot;00DE59C5&quot;/&gt;&lt;wsp:rsid wsp:val=&quot;00DE5FC0&quot;/&gt;&lt;wsp:rsid wsp:val=&quot;00DE61D3&quot;/&gt;&lt;wsp:rsid wsp:val=&quot;00DE64E0&quot;/&gt;&lt;wsp:rsid wsp:val=&quot;00DE6BE2&quot;/&gt;&lt;wsp:rsid wsp:val=&quot;00DE7091&quot;/&gt;&lt;wsp:rsid wsp:val=&quot;00DE71A9&quot;/&gt;&lt;wsp:rsid wsp:val=&quot;00DE7757&quot;/&gt;&lt;wsp:rsid wsp:val=&quot;00DE7B2F&quot;/&gt;&lt;wsp:rsid wsp:val=&quot;00DF02EC&quot;/&gt;&lt;wsp:rsid wsp:val=&quot;00DF181F&quot;/&gt;&lt;wsp:rsid wsp:val=&quot;00DF1B64&quot;/&gt;&lt;wsp:rsid wsp:val=&quot;00DF1B9C&quot;/&gt;&lt;wsp:rsid wsp:val=&quot;00DF1BE4&quot;/&gt;&lt;wsp:rsid wsp:val=&quot;00DF1EC7&quot;/&gt;&lt;wsp:rsid wsp:val=&quot;00DF23A2&quot;/&gt;&lt;wsp:rsid wsp:val=&quot;00DF24B7&quot;/&gt;&lt;wsp:rsid wsp:val=&quot;00DF2CFC&quot;/&gt;&lt;wsp:rsid wsp:val=&quot;00DF2F2E&quot;/&gt;&lt;wsp:rsid wsp:val=&quot;00DF2F53&quot;/&gt;&lt;wsp:rsid wsp:val=&quot;00DF3453&quot;/&gt;&lt;wsp:rsid wsp:val=&quot;00DF3980&quot;/&gt;&lt;wsp:rsid wsp:val=&quot;00DF3E90&quot;/&gt;&lt;wsp:rsid wsp:val=&quot;00DF44CD&quot;/&gt;&lt;wsp:rsid wsp:val=&quot;00DF47B2&quot;/&gt;&lt;wsp:rsid wsp:val=&quot;00DF4A7F&quot;/&gt;&lt;wsp:rsid wsp:val=&quot;00DF4BC9&quot;/&gt;&lt;wsp:rsid wsp:val=&quot;00DF4CD3&quot;/&gt;&lt;wsp:rsid wsp:val=&quot;00DF5005&quot;/&gt;&lt;wsp:rsid wsp:val=&quot;00DF50B2&quot;/&gt;&lt;wsp:rsid wsp:val=&quot;00DF52BF&quot;/&gt;&lt;wsp:rsid wsp:val=&quot;00DF5B2F&quot;/&gt;&lt;wsp:rsid wsp:val=&quot;00DF5F76&quot;/&gt;&lt;wsp:rsid wsp:val=&quot;00DF62D9&quot;/&gt;&lt;wsp:rsid wsp:val=&quot;00DF692A&quot;/&gt;&lt;wsp:rsid wsp:val=&quot;00DF6BA2&quot;/&gt;&lt;wsp:rsid wsp:val=&quot;00DF6BC5&quot;/&gt;&lt;wsp:rsid wsp:val=&quot;00DF6D56&quot;/&gt;&lt;wsp:rsid wsp:val=&quot;00DF6E14&quot;/&gt;&lt;wsp:rsid wsp:val=&quot;00DF6EDF&quot;/&gt;&lt;wsp:rsid wsp:val=&quot;00DF7081&quot;/&gt;&lt;wsp:rsid wsp:val=&quot;00DF78F3&quot;/&gt;&lt;wsp:rsid wsp:val=&quot;00DF7E04&quot;/&gt;&lt;wsp:rsid wsp:val=&quot;00E00107&quot;/&gt;&lt;wsp:rsid wsp:val=&quot;00E00166&quot;/&gt;&lt;wsp:rsid wsp:val=&quot;00E0016E&quot;/&gt;&lt;wsp:rsid wsp:val=&quot;00E0018D&quot;/&gt;&lt;wsp:rsid wsp:val=&quot;00E00247&quot;/&gt;&lt;wsp:rsid wsp:val=&quot;00E00421&quot;/&gt;&lt;wsp:rsid wsp:val=&quot;00E0058E&quot;/&gt;&lt;wsp:rsid wsp:val=&quot;00E00870&quot;/&gt;&lt;wsp:rsid wsp:val=&quot;00E00C41&quot;/&gt;&lt;wsp:rsid wsp:val=&quot;00E00F36&quot;/&gt;&lt;wsp:rsid wsp:val=&quot;00E01144&quot;/&gt;&lt;wsp:rsid wsp:val=&quot;00E0119B&quot;/&gt;&lt;wsp:rsid wsp:val=&quot;00E01D38&quot;/&gt;&lt;wsp:rsid wsp:val=&quot;00E01F74&quot;/&gt;&lt;wsp:rsid wsp:val=&quot;00E0226D&quot;/&gt;&lt;wsp:rsid wsp:val=&quot;00E0249B&quot;/&gt;&lt;wsp:rsid wsp:val=&quot;00E03AEF&quot;/&gt;&lt;wsp:rsid wsp:val=&quot;00E04615&quot;/&gt;&lt;wsp:rsid wsp:val=&quot;00E0496E&quot;/&gt;&lt;wsp:rsid wsp:val=&quot;00E04E21&quot;/&gt;&lt;wsp:rsid wsp:val=&quot;00E04F0D&quot;/&gt;&lt;wsp:rsid wsp:val=&quot;00E05281&quot;/&gt;&lt;wsp:rsid wsp:val=&quot;00E054F0&quot;/&gt;&lt;wsp:rsid wsp:val=&quot;00E0573D&quot;/&gt;&lt;wsp:rsid wsp:val=&quot;00E05918&quot;/&gt;&lt;wsp:rsid wsp:val=&quot;00E06235&quot;/&gt;&lt;wsp:rsid wsp:val=&quot;00E06869&quot;/&gt;&lt;wsp:rsid wsp:val=&quot;00E06985&quot;/&gt;&lt;wsp:rsid wsp:val=&quot;00E069CF&quot;/&gt;&lt;wsp:rsid wsp:val=&quot;00E071CB&quot;/&gt;&lt;wsp:rsid wsp:val=&quot;00E07387&quot;/&gt;&lt;wsp:rsid wsp:val=&quot;00E074B5&quot;/&gt;&lt;wsp:rsid wsp:val=&quot;00E074DC&quot;/&gt;&lt;wsp:rsid wsp:val=&quot;00E07C5A&quot;/&gt;&lt;wsp:rsid wsp:val=&quot;00E07DE7&quot;/&gt;&lt;wsp:rsid wsp:val=&quot;00E07E32&quot;/&gt;&lt;wsp:rsid wsp:val=&quot;00E1003A&quot;/&gt;&lt;wsp:rsid wsp:val=&quot;00E10063&quot;/&gt;&lt;wsp:rsid wsp:val=&quot;00E1058C&quot;/&gt;&lt;wsp:rsid wsp:val=&quot;00E10922&quot;/&gt;&lt;wsp:rsid wsp:val=&quot;00E10EA2&quot;/&gt;&lt;wsp:rsid wsp:val=&quot;00E11139&quot;/&gt;&lt;wsp:rsid wsp:val=&quot;00E11578&quot;/&gt;&lt;wsp:rsid wsp:val=&quot;00E11B63&quot;/&gt;&lt;wsp:rsid wsp:val=&quot;00E11EA6&quot;/&gt;&lt;wsp:rsid wsp:val=&quot;00E12039&quot;/&gt;&lt;wsp:rsid wsp:val=&quot;00E120E6&quot;/&gt;&lt;wsp:rsid wsp:val=&quot;00E12441&quot;/&gt;&lt;wsp:rsid wsp:val=&quot;00E129B2&quot;/&gt;&lt;wsp:rsid wsp:val=&quot;00E1341F&quot;/&gt;&lt;wsp:rsid wsp:val=&quot;00E14019&quot;/&gt;&lt;wsp:rsid wsp:val=&quot;00E1402B&quot;/&gt;&lt;wsp:rsid wsp:val=&quot;00E14B6C&quot;/&gt;&lt;wsp:rsid wsp:val=&quot;00E14BEA&quot;/&gt;&lt;wsp:rsid wsp:val=&quot;00E1519A&quot;/&gt;&lt;wsp:rsid wsp:val=&quot;00E157F7&quot;/&gt;&lt;wsp:rsid wsp:val=&quot;00E15F88&quot;/&gt;&lt;wsp:rsid wsp:val=&quot;00E160AA&quot;/&gt;&lt;wsp:rsid wsp:val=&quot;00E165AB&quot;/&gt;&lt;wsp:rsid wsp:val=&quot;00E165B0&quot;/&gt;&lt;wsp:rsid wsp:val=&quot;00E169A8&quot;/&gt;&lt;wsp:rsid wsp:val=&quot;00E16E1A&quot;/&gt;&lt;wsp:rsid wsp:val=&quot;00E16E65&quot;/&gt;&lt;wsp:rsid wsp:val=&quot;00E16EFE&quot;/&gt;&lt;wsp:rsid wsp:val=&quot;00E17262&quot;/&gt;&lt;wsp:rsid wsp:val=&quot;00E174BB&quot;/&gt;&lt;wsp:rsid wsp:val=&quot;00E17518&quot;/&gt;&lt;wsp:rsid wsp:val=&quot;00E17B35&quot;/&gt;&lt;wsp:rsid wsp:val=&quot;00E17EAF&quot;/&gt;&lt;wsp:rsid wsp:val=&quot;00E20169&quot;/&gt;&lt;wsp:rsid wsp:val=&quot;00E206DF&quot;/&gt;&lt;wsp:rsid wsp:val=&quot;00E20B51&quot;/&gt;&lt;wsp:rsid wsp:val=&quot;00E20BA0&quot;/&gt;&lt;wsp:rsid wsp:val=&quot;00E20D60&quot;/&gt;&lt;wsp:rsid wsp:val=&quot;00E20F4E&quot;/&gt;&lt;wsp:rsid wsp:val=&quot;00E21328&quot;/&gt;&lt;wsp:rsid wsp:val=&quot;00E21910&quot;/&gt;&lt;wsp:rsid wsp:val=&quot;00E21AED&quot;/&gt;&lt;wsp:rsid wsp:val=&quot;00E21B44&quot;/&gt;&lt;wsp:rsid wsp:val=&quot;00E21B5C&quot;/&gt;&lt;wsp:rsid wsp:val=&quot;00E21BDA&quot;/&gt;&lt;wsp:rsid wsp:val=&quot;00E21BF4&quot;/&gt;&lt;wsp:rsid wsp:val=&quot;00E21E34&quot;/&gt;&lt;wsp:rsid wsp:val=&quot;00E2274C&quot;/&gt;&lt;wsp:rsid wsp:val=&quot;00E22B9C&quot;/&gt;&lt;wsp:rsid wsp:val=&quot;00E22DF6&quot;/&gt;&lt;wsp:rsid wsp:val=&quot;00E237BA&quot;/&gt;&lt;wsp:rsid wsp:val=&quot;00E24415&quot;/&gt;&lt;wsp:rsid wsp:val=&quot;00E24449&quot;/&gt;&lt;wsp:rsid wsp:val=&quot;00E245C7&quot;/&gt;&lt;wsp:rsid wsp:val=&quot;00E24B4D&quot;/&gt;&lt;wsp:rsid wsp:val=&quot;00E25144&quot;/&gt;&lt;wsp:rsid wsp:val=&quot;00E253CD&quot;/&gt;&lt;wsp:rsid wsp:val=&quot;00E25461&quot;/&gt;&lt;wsp:rsid wsp:val=&quot;00E25F58&quot;/&gt;&lt;wsp:rsid wsp:val=&quot;00E26185&quot;/&gt;&lt;wsp:rsid wsp:val=&quot;00E268FB&quot;/&gt;&lt;wsp:rsid wsp:val=&quot;00E27024&quot;/&gt;&lt;wsp:rsid wsp:val=&quot;00E2755F&quot;/&gt;&lt;wsp:rsid wsp:val=&quot;00E27F58&quot;/&gt;&lt;wsp:rsid wsp:val=&quot;00E300E7&quot;/&gt;&lt;wsp:rsid wsp:val=&quot;00E30BFA&quot;/&gt;&lt;wsp:rsid wsp:val=&quot;00E3181D&quot;/&gt;&lt;wsp:rsid wsp:val=&quot;00E318A3&quot;/&gt;&lt;wsp:rsid wsp:val=&quot;00E31F21&quot;/&gt;&lt;wsp:rsid wsp:val=&quot;00E320B1&quot;/&gt;&lt;wsp:rsid wsp:val=&quot;00E3218F&quot;/&gt;&lt;wsp:rsid wsp:val=&quot;00E3249A&quot;/&gt;&lt;wsp:rsid wsp:val=&quot;00E3279E&quot;/&gt;&lt;wsp:rsid wsp:val=&quot;00E329CA&quot;/&gt;&lt;wsp:rsid wsp:val=&quot;00E32BF6&quot;/&gt;&lt;wsp:rsid wsp:val=&quot;00E32C8C&quot;/&gt;&lt;wsp:rsid wsp:val=&quot;00E32E7C&quot;/&gt;&lt;wsp:rsid wsp:val=&quot;00E33034&quot;/&gt;&lt;wsp:rsid wsp:val=&quot;00E33303&quot;/&gt;&lt;wsp:rsid wsp:val=&quot;00E334B8&quot;/&gt;&lt;wsp:rsid wsp:val=&quot;00E33546&quot;/&gt;&lt;wsp:rsid wsp:val=&quot;00E335D3&quot;/&gt;&lt;wsp:rsid wsp:val=&quot;00E33A9F&quot;/&gt;&lt;wsp:rsid wsp:val=&quot;00E33D4B&quot;/&gt;&lt;wsp:rsid wsp:val=&quot;00E33F97&quot;/&gt;&lt;wsp:rsid wsp:val=&quot;00E342C9&quot;/&gt;&lt;wsp:rsid wsp:val=&quot;00E34380&quot;/&gt;&lt;wsp:rsid wsp:val=&quot;00E3457D&quot;/&gt;&lt;wsp:rsid wsp:val=&quot;00E34741&quot;/&gt;&lt;wsp:rsid wsp:val=&quot;00E34EDD&quot;/&gt;&lt;wsp:rsid wsp:val=&quot;00E34F28&quot;/&gt;&lt;wsp:rsid wsp:val=&quot;00E34F78&quot;/&gt;&lt;wsp:rsid wsp:val=&quot;00E35ADA&quot;/&gt;&lt;wsp:rsid wsp:val=&quot;00E35B55&quot;/&gt;&lt;wsp:rsid wsp:val=&quot;00E35EE9&quot;/&gt;&lt;wsp:rsid wsp:val=&quot;00E35F9B&quot;/&gt;&lt;wsp:rsid wsp:val=&quot;00E364C1&quot;/&gt;&lt;wsp:rsid wsp:val=&quot;00E365ED&quot;/&gt;&lt;wsp:rsid wsp:val=&quot;00E366F5&quot;/&gt;&lt;wsp:rsid wsp:val=&quot;00E368BF&quot;/&gt;&lt;wsp:rsid wsp:val=&quot;00E37032&quot;/&gt;&lt;wsp:rsid wsp:val=&quot;00E37196&quot;/&gt;&lt;wsp:rsid wsp:val=&quot;00E376AA&quot;/&gt;&lt;wsp:rsid wsp:val=&quot;00E37A63&quot;/&gt;&lt;wsp:rsid wsp:val=&quot;00E37C42&quot;/&gt;&lt;wsp:rsid wsp:val=&quot;00E37D4E&quot;/&gt;&lt;wsp:rsid wsp:val=&quot;00E40990&quot;/&gt;&lt;wsp:rsid wsp:val=&quot;00E40E65&quot;/&gt;&lt;wsp:rsid wsp:val=&quot;00E410D4&quot;/&gt;&lt;wsp:rsid wsp:val=&quot;00E415CA&quot;/&gt;&lt;wsp:rsid wsp:val=&quot;00E41647&quot;/&gt;&lt;wsp:rsid wsp:val=&quot;00E417BB&quot;/&gt;&lt;wsp:rsid wsp:val=&quot;00E41861&quot;/&gt;&lt;wsp:rsid wsp:val=&quot;00E41E7A&quot;/&gt;&lt;wsp:rsid wsp:val=&quot;00E422D4&quot;/&gt;&lt;wsp:rsid wsp:val=&quot;00E42450&quot;/&gt;&lt;wsp:rsid wsp:val=&quot;00E427FF&quot;/&gt;&lt;wsp:rsid wsp:val=&quot;00E42ADB&quot;/&gt;&lt;wsp:rsid wsp:val=&quot;00E42B03&quot;/&gt;&lt;wsp:rsid wsp:val=&quot;00E43337&quot;/&gt;&lt;wsp:rsid wsp:val=&quot;00E4352F&quot;/&gt;&lt;wsp:rsid wsp:val=&quot;00E4353C&quot;/&gt;&lt;wsp:rsid wsp:val=&quot;00E43687&quot;/&gt;&lt;wsp:rsid wsp:val=&quot;00E43B4B&quot;/&gt;&lt;wsp:rsid wsp:val=&quot;00E442BB&quot;/&gt;&lt;wsp:rsid wsp:val=&quot;00E44308&quot;/&gt;&lt;wsp:rsid wsp:val=&quot;00E443A4&quot;/&gt;&lt;wsp:rsid wsp:val=&quot;00E44910&quot;/&gt;&lt;wsp:rsid wsp:val=&quot;00E44A1D&quot;/&gt;&lt;wsp:rsid wsp:val=&quot;00E44C60&quot;/&gt;&lt;wsp:rsid wsp:val=&quot;00E44CCC&quot;/&gt;&lt;wsp:rsid wsp:val=&quot;00E44D7C&quot;/&gt;&lt;wsp:rsid wsp:val=&quot;00E44F4C&quot;/&gt;&lt;wsp:rsid wsp:val=&quot;00E45C08&quot;/&gt;&lt;wsp:rsid wsp:val=&quot;00E45EFE&quot;/&gt;&lt;wsp:rsid wsp:val=&quot;00E46932&quot;/&gt;&lt;wsp:rsid wsp:val=&quot;00E46960&quot;/&gt;&lt;wsp:rsid wsp:val=&quot;00E470C6&quot;/&gt;&lt;wsp:rsid wsp:val=&quot;00E47734&quot;/&gt;&lt;wsp:rsid wsp:val=&quot;00E4785F&quot;/&gt;&lt;wsp:rsid wsp:val=&quot;00E479DC&quot;/&gt;&lt;wsp:rsid wsp:val=&quot;00E47D1F&quot;/&gt;&lt;wsp:rsid wsp:val=&quot;00E5013E&quot;/&gt;&lt;wsp:rsid wsp:val=&quot;00E50915&quot;/&gt;&lt;wsp:rsid wsp:val=&quot;00E509FD&quot;/&gt;&lt;wsp:rsid wsp:val=&quot;00E50AA8&quot;/&gt;&lt;wsp:rsid wsp:val=&quot;00E50E61&quot;/&gt;&lt;wsp:rsid wsp:val=&quot;00E51AEA&quot;/&gt;&lt;wsp:rsid wsp:val=&quot;00E51CD9&quot;/&gt;&lt;wsp:rsid wsp:val=&quot;00E51E04&quot;/&gt;&lt;wsp:rsid wsp:val=&quot;00E5218D&quot;/&gt;&lt;wsp:rsid wsp:val=&quot;00E522F9&quot;/&gt;&lt;wsp:rsid wsp:val=&quot;00E52382&quot;/&gt;&lt;wsp:rsid wsp:val=&quot;00E52D9A&quot;/&gt;&lt;wsp:rsid wsp:val=&quot;00E52ECD&quot;/&gt;&lt;wsp:rsid wsp:val=&quot;00E52EE4&quot;/&gt;&lt;wsp:rsid wsp:val=&quot;00E52F84&quot;/&gt;&lt;wsp:rsid wsp:val=&quot;00E52FFD&quot;/&gt;&lt;wsp:rsid wsp:val=&quot;00E53660&quot;/&gt;&lt;wsp:rsid wsp:val=&quot;00E53A0A&quot;/&gt;&lt;wsp:rsid wsp:val=&quot;00E53E1C&quot;/&gt;&lt;wsp:rsid wsp:val=&quot;00E54208&quot;/&gt;&lt;wsp:rsid wsp:val=&quot;00E54349&quot;/&gt;&lt;wsp:rsid wsp:val=&quot;00E54614&quot;/&gt;&lt;wsp:rsid wsp:val=&quot;00E546E0&quot;/&gt;&lt;wsp:rsid wsp:val=&quot;00E5491F&quot;/&gt;&lt;wsp:rsid wsp:val=&quot;00E54C82&quot;/&gt;&lt;wsp:rsid wsp:val=&quot;00E54F4B&quot;/&gt;&lt;wsp:rsid wsp:val=&quot;00E55FF3&quot;/&gt;&lt;wsp:rsid wsp:val=&quot;00E5656C&quot;/&gt;&lt;wsp:rsid wsp:val=&quot;00E565D4&quot;/&gt;&lt;wsp:rsid wsp:val=&quot;00E56673&quot;/&gt;&lt;wsp:rsid wsp:val=&quot;00E5681D&quot;/&gt;&lt;wsp:rsid wsp:val=&quot;00E56D94&quot;/&gt;&lt;wsp:rsid wsp:val=&quot;00E56F86&quot;/&gt;&lt;wsp:rsid wsp:val=&quot;00E5709D&quot;/&gt;&lt;wsp:rsid wsp:val=&quot;00E57375&quot;/&gt;&lt;wsp:rsid wsp:val=&quot;00E57514&quot;/&gt;&lt;wsp:rsid wsp:val=&quot;00E57561&quot;/&gt;&lt;wsp:rsid wsp:val=&quot;00E5758F&quot;/&gt;&lt;wsp:rsid wsp:val=&quot;00E57AB5&quot;/&gt;&lt;wsp:rsid wsp:val=&quot;00E57FA9&quot;/&gt;&lt;wsp:rsid wsp:val=&quot;00E6034A&quot;/&gt;&lt;wsp:rsid wsp:val=&quot;00E608B5&quot;/&gt;&lt;wsp:rsid wsp:val=&quot;00E60D6F&quot;/&gt;&lt;wsp:rsid wsp:val=&quot;00E60E51&quot;/&gt;&lt;wsp:rsid wsp:val=&quot;00E60E79&quot;/&gt;&lt;wsp:rsid wsp:val=&quot;00E610CA&quot;/&gt;&lt;wsp:rsid wsp:val=&quot;00E611B2&quot;/&gt;&lt;wsp:rsid wsp:val=&quot;00E613C9&quot;/&gt;&lt;wsp:rsid wsp:val=&quot;00E6153E&quot;/&gt;&lt;wsp:rsid wsp:val=&quot;00E6176E&quot;/&gt;&lt;wsp:rsid wsp:val=&quot;00E61935&quot;/&gt;&lt;wsp:rsid wsp:val=&quot;00E62308&quot;/&gt;&lt;wsp:rsid wsp:val=&quot;00E62527&quot;/&gt;&lt;wsp:rsid wsp:val=&quot;00E626FB&quot;/&gt;&lt;wsp:rsid wsp:val=&quot;00E62869&quot;/&gt;&lt;wsp:rsid wsp:val=&quot;00E62B78&quot;/&gt;&lt;wsp:rsid wsp:val=&quot;00E632A7&quot;/&gt;&lt;wsp:rsid wsp:val=&quot;00E633F0&quot;/&gt;&lt;wsp:rsid wsp:val=&quot;00E6391C&quot;/&gt;&lt;wsp:rsid wsp:val=&quot;00E63B45&quot;/&gt;&lt;wsp:rsid wsp:val=&quot;00E63EE1&quot;/&gt;&lt;wsp:rsid wsp:val=&quot;00E64025&quot;/&gt;&lt;wsp:rsid wsp:val=&quot;00E64546&quot;/&gt;&lt;wsp:rsid wsp:val=&quot;00E64D07&quot;/&gt;&lt;wsp:rsid wsp:val=&quot;00E64E25&quot;/&gt;&lt;wsp:rsid wsp:val=&quot;00E6518F&quot;/&gt;&lt;wsp:rsid wsp:val=&quot;00E65F05&quot;/&gt;&lt;wsp:rsid wsp:val=&quot;00E65FB1&quot;/&gt;&lt;wsp:rsid wsp:val=&quot;00E666C5&quot;/&gt;&lt;wsp:rsid wsp:val=&quot;00E6693C&quot;/&gt;&lt;wsp:rsid wsp:val=&quot;00E66F55&quot;/&gt;&lt;wsp:rsid wsp:val=&quot;00E6706C&quot;/&gt;&lt;wsp:rsid wsp:val=&quot;00E67621&quot;/&gt;&lt;wsp:rsid wsp:val=&quot;00E679AF&quot;/&gt;&lt;wsp:rsid wsp:val=&quot;00E70224&quot;/&gt;&lt;wsp:rsid wsp:val=&quot;00E704A5&quot;/&gt;&lt;wsp:rsid wsp:val=&quot;00E70711&quot;/&gt;&lt;wsp:rsid wsp:val=&quot;00E70D02&quot;/&gt;&lt;wsp:rsid wsp:val=&quot;00E71435&quot;/&gt;&lt;wsp:rsid wsp:val=&quot;00E714A1&quot;/&gt;&lt;wsp:rsid wsp:val=&quot;00E71661&quot;/&gt;&lt;wsp:rsid wsp:val=&quot;00E718FE&quot;/&gt;&lt;wsp:rsid wsp:val=&quot;00E71BFA&quot;/&gt;&lt;wsp:rsid wsp:val=&quot;00E72367&quot;/&gt;&lt;wsp:rsid wsp:val=&quot;00E7264A&quot;/&gt;&lt;wsp:rsid wsp:val=&quot;00E727EE&quot;/&gt;&lt;wsp:rsid wsp:val=&quot;00E72939&quot;/&gt;&lt;wsp:rsid wsp:val=&quot;00E73262&quot;/&gt;&lt;wsp:rsid wsp:val=&quot;00E73747&quot;/&gt;&lt;wsp:rsid wsp:val=&quot;00E738AD&quot;/&gt;&lt;wsp:rsid wsp:val=&quot;00E73AEC&quot;/&gt;&lt;wsp:rsid wsp:val=&quot;00E74796&quot;/&gt;&lt;wsp:rsid wsp:val=&quot;00E74BC2&quot;/&gt;&lt;wsp:rsid wsp:val=&quot;00E74D63&quot;/&gt;&lt;wsp:rsid wsp:val=&quot;00E7500C&quot;/&gt;&lt;wsp:rsid wsp:val=&quot;00E7505C&quot;/&gt;&lt;wsp:rsid wsp:val=&quot;00E752AE&quot;/&gt;&lt;wsp:rsid wsp:val=&quot;00E7552F&quot;/&gt;&lt;wsp:rsid wsp:val=&quot;00E75629&quot;/&gt;&lt;wsp:rsid wsp:val=&quot;00E75AC6&quot;/&gt;&lt;wsp:rsid wsp:val=&quot;00E75E82&quot;/&gt;&lt;wsp:rsid wsp:val=&quot;00E75EE5&quot;/&gt;&lt;wsp:rsid wsp:val=&quot;00E76143&quot;/&gt;&lt;wsp:rsid wsp:val=&quot;00E76F38&quot;/&gt;&lt;wsp:rsid wsp:val=&quot;00E77581&quot;/&gt;&lt;wsp:rsid wsp:val=&quot;00E7781A&quot;/&gt;&lt;wsp:rsid wsp:val=&quot;00E77B8B&quot;/&gt;&lt;wsp:rsid wsp:val=&quot;00E77D04&quot;/&gt;&lt;wsp:rsid wsp:val=&quot;00E802AE&quot;/&gt;&lt;wsp:rsid wsp:val=&quot;00E80671&quot;/&gt;&lt;wsp:rsid wsp:val=&quot;00E80ED5&quot;/&gt;&lt;wsp:rsid wsp:val=&quot;00E80FDB&quot;/&gt;&lt;wsp:rsid wsp:val=&quot;00E81B32&quot;/&gt;&lt;wsp:rsid wsp:val=&quot;00E81BA1&quot;/&gt;&lt;wsp:rsid wsp:val=&quot;00E82016&quot;/&gt;&lt;wsp:rsid wsp:val=&quot;00E82772&quot;/&gt;&lt;wsp:rsid wsp:val=&quot;00E827DE&quot;/&gt;&lt;wsp:rsid wsp:val=&quot;00E83674&quot;/&gt;&lt;wsp:rsid wsp:val=&quot;00E83C13&quot;/&gt;&lt;wsp:rsid wsp:val=&quot;00E8433E&quot;/&gt;&lt;wsp:rsid wsp:val=&quot;00E8463F&quot;/&gt;&lt;wsp:rsid wsp:val=&quot;00E84E03&quot;/&gt;&lt;wsp:rsid wsp:val=&quot;00E85262&quot;/&gt;&lt;wsp:rsid wsp:val=&quot;00E85892&quot;/&gt;&lt;wsp:rsid wsp:val=&quot;00E85A0A&quot;/&gt;&lt;wsp:rsid wsp:val=&quot;00E85EBC&quot;/&gt;&lt;wsp:rsid wsp:val=&quot;00E86176&quot;/&gt;&lt;wsp:rsid wsp:val=&quot;00E86772&quot;/&gt;&lt;wsp:rsid wsp:val=&quot;00E86CD6&quot;/&gt;&lt;wsp:rsid wsp:val=&quot;00E86D8B&quot;/&gt;&lt;wsp:rsid wsp:val=&quot;00E8777C&quot;/&gt;&lt;wsp:rsid wsp:val=&quot;00E87972&quot;/&gt;&lt;wsp:rsid wsp:val=&quot;00E8797B&quot;/&gt;&lt;wsp:rsid wsp:val=&quot;00E87A12&quot;/&gt;&lt;wsp:rsid wsp:val=&quot;00E87DA5&quot;/&gt;&lt;wsp:rsid wsp:val=&quot;00E900B8&quot;/&gt;&lt;wsp:rsid wsp:val=&quot;00E906F2&quot;/&gt;&lt;wsp:rsid wsp:val=&quot;00E90A85&quot;/&gt;&lt;wsp:rsid wsp:val=&quot;00E90ADB&quot;/&gt;&lt;wsp:rsid wsp:val=&quot;00E90AEF&quot;/&gt;&lt;wsp:rsid wsp:val=&quot;00E90B2C&quot;/&gt;&lt;wsp:rsid wsp:val=&quot;00E90B73&quot;/&gt;&lt;wsp:rsid wsp:val=&quot;00E90D03&quot;/&gt;&lt;wsp:rsid wsp:val=&quot;00E90D6A&quot;/&gt;&lt;wsp:rsid wsp:val=&quot;00E91242&quot;/&gt;&lt;wsp:rsid wsp:val=&quot;00E913BE&quot;/&gt;&lt;wsp:rsid wsp:val=&quot;00E922DF&quot;/&gt;&lt;wsp:rsid wsp:val=&quot;00E927DA&quot;/&gt;&lt;wsp:rsid wsp:val=&quot;00E92974&quot;/&gt;&lt;wsp:rsid wsp:val=&quot;00E929C9&quot;/&gt;&lt;wsp:rsid wsp:val=&quot;00E92C21&quot;/&gt;&lt;wsp:rsid wsp:val=&quot;00E940A0&quot;/&gt;&lt;wsp:rsid wsp:val=&quot;00E94167&quot;/&gt;&lt;wsp:rsid wsp:val=&quot;00E9476C&quot;/&gt;&lt;wsp:rsid wsp:val=&quot;00E9486A&quot;/&gt;&lt;wsp:rsid wsp:val=&quot;00E9527E&quot;/&gt;&lt;wsp:rsid wsp:val=&quot;00E9528B&quot;/&gt;&lt;wsp:rsid wsp:val=&quot;00E9577E&quot;/&gt;&lt;wsp:rsid wsp:val=&quot;00E957F3&quot;/&gt;&lt;wsp:rsid wsp:val=&quot;00E95BFA&quot;/&gt;&lt;wsp:rsid wsp:val=&quot;00E9609A&quot;/&gt;&lt;wsp:rsid wsp:val=&quot;00E96315&quot;/&gt;&lt;wsp:rsid wsp:val=&quot;00E964DC&quot;/&gt;&lt;wsp:rsid wsp:val=&quot;00E969CB&quot;/&gt;&lt;wsp:rsid wsp:val=&quot;00E96AB5&quot;/&gt;&lt;wsp:rsid wsp:val=&quot;00E96C13&quot;/&gt;&lt;wsp:rsid wsp:val=&quot;00E96C6C&quot;/&gt;&lt;wsp:rsid wsp:val=&quot;00E97062&quot;/&gt;&lt;wsp:rsid wsp:val=&quot;00E97130&quot;/&gt;&lt;wsp:rsid wsp:val=&quot;00E97312&quot;/&gt;&lt;wsp:rsid wsp:val=&quot;00E977D2&quot;/&gt;&lt;wsp:rsid wsp:val=&quot;00E9798A&quot;/&gt;&lt;wsp:rsid wsp:val=&quot;00E97DB5&quot;/&gt;&lt;wsp:rsid wsp:val=&quot;00E97DDB&quot;/&gt;&lt;wsp:rsid wsp:val=&quot;00E97DEB&quot;/&gt;&lt;wsp:rsid wsp:val=&quot;00EA044D&quot;/&gt;&lt;wsp:rsid wsp:val=&quot;00EA0B51&quot;/&gt;&lt;wsp:rsid wsp:val=&quot;00EA16F2&quot;/&gt;&lt;wsp:rsid wsp:val=&quot;00EA17BE&quot;/&gt;&lt;wsp:rsid wsp:val=&quot;00EA1AD9&quot;/&gt;&lt;wsp:rsid wsp:val=&quot;00EA1D6A&quot;/&gt;&lt;wsp:rsid wsp:val=&quot;00EA1D73&quot;/&gt;&lt;wsp:rsid wsp:val=&quot;00EA1F85&quot;/&gt;&lt;wsp:rsid wsp:val=&quot;00EA2710&quot;/&gt;&lt;wsp:rsid wsp:val=&quot;00EA27C0&quot;/&gt;&lt;wsp:rsid wsp:val=&quot;00EA38DF&quot;/&gt;&lt;wsp:rsid wsp:val=&quot;00EA3924&quot;/&gt;&lt;wsp:rsid wsp:val=&quot;00EA3C04&quot;/&gt;&lt;wsp:rsid wsp:val=&quot;00EA3DC1&quot;/&gt;&lt;wsp:rsid wsp:val=&quot;00EA3EF5&quot;/&gt;&lt;wsp:rsid wsp:val=&quot;00EA3F5E&quot;/&gt;&lt;wsp:rsid wsp:val=&quot;00EA459A&quot;/&gt;&lt;wsp:rsid wsp:val=&quot;00EA45D2&quot;/&gt;&lt;wsp:rsid wsp:val=&quot;00EA49F2&quot;/&gt;&lt;wsp:rsid wsp:val=&quot;00EA4CF9&quot;/&gt;&lt;wsp:rsid wsp:val=&quot;00EA51D5&quot;/&gt;&lt;wsp:rsid wsp:val=&quot;00EA5434&quot;/&gt;&lt;wsp:rsid wsp:val=&quot;00EA575C&quot;/&gt;&lt;wsp:rsid wsp:val=&quot;00EA592E&quot;/&gt;&lt;wsp:rsid wsp:val=&quot;00EA59AE&quot;/&gt;&lt;wsp:rsid wsp:val=&quot;00EA651E&quot;/&gt;&lt;wsp:rsid wsp:val=&quot;00EA65D6&quot;/&gt;&lt;wsp:rsid wsp:val=&quot;00EA676A&quot;/&gt;&lt;wsp:rsid wsp:val=&quot;00EA6C0C&quot;/&gt;&lt;wsp:rsid wsp:val=&quot;00EA6C67&quot;/&gt;&lt;wsp:rsid wsp:val=&quot;00EA6D01&quot;/&gt;&lt;wsp:rsid wsp:val=&quot;00EA6E6D&quot;/&gt;&lt;wsp:rsid wsp:val=&quot;00EA74F6&quot;/&gt;&lt;wsp:rsid wsp:val=&quot;00EA7572&quot;/&gt;&lt;wsp:rsid wsp:val=&quot;00EA7CE2&quot;/&gt;&lt;wsp:rsid wsp:val=&quot;00EA7E3C&quot;/&gt;&lt;wsp:rsid wsp:val=&quot;00EA7E63&quot;/&gt;&lt;wsp:rsid wsp:val=&quot;00EB0155&quot;/&gt;&lt;wsp:rsid wsp:val=&quot;00EB03FD&quot;/&gt;&lt;wsp:rsid wsp:val=&quot;00EB08EB&quot;/&gt;&lt;wsp:rsid wsp:val=&quot;00EB0C7B&quot;/&gt;&lt;wsp:rsid wsp:val=&quot;00EB111F&quot;/&gt;&lt;wsp:rsid wsp:val=&quot;00EB118D&quot;/&gt;&lt;wsp:rsid wsp:val=&quot;00EB15C3&quot;/&gt;&lt;wsp:rsid wsp:val=&quot;00EB1C7F&quot;/&gt;&lt;wsp:rsid wsp:val=&quot;00EB2590&quot;/&gt;&lt;wsp:rsid wsp:val=&quot;00EB2DC0&quot;/&gt;&lt;wsp:rsid wsp:val=&quot;00EB3026&quot;/&gt;&lt;wsp:rsid wsp:val=&quot;00EB3347&quot;/&gt;&lt;wsp:rsid wsp:val=&quot;00EB380F&quot;/&gt;&lt;wsp:rsid wsp:val=&quot;00EB3AA3&quot;/&gt;&lt;wsp:rsid wsp:val=&quot;00EB3AC1&quot;/&gt;&lt;wsp:rsid wsp:val=&quot;00EB3F4C&quot;/&gt;&lt;wsp:rsid wsp:val=&quot;00EB41EA&quot;/&gt;&lt;wsp:rsid wsp:val=&quot;00EB4231&quot;/&gt;&lt;wsp:rsid wsp:val=&quot;00EB459C&quot;/&gt;&lt;wsp:rsid wsp:val=&quot;00EB488E&quot;/&gt;&lt;wsp:rsid wsp:val=&quot;00EB52D5&quot;/&gt;&lt;wsp:rsid wsp:val=&quot;00EB5722&quot;/&gt;&lt;wsp:rsid wsp:val=&quot;00EB57F5&quot;/&gt;&lt;wsp:rsid wsp:val=&quot;00EB583F&quot;/&gt;&lt;wsp:rsid wsp:val=&quot;00EB5F3F&quot;/&gt;&lt;wsp:rsid wsp:val=&quot;00EB62B3&quot;/&gt;&lt;wsp:rsid wsp:val=&quot;00EB6524&quot;/&gt;&lt;wsp:rsid wsp:val=&quot;00EB66C7&quot;/&gt;&lt;wsp:rsid wsp:val=&quot;00EB6720&quot;/&gt;&lt;wsp:rsid wsp:val=&quot;00EB6808&quot;/&gt;&lt;wsp:rsid wsp:val=&quot;00EB69F8&quot;/&gt;&lt;wsp:rsid wsp:val=&quot;00EB6A5C&quot;/&gt;&lt;wsp:rsid wsp:val=&quot;00EB6D0A&quot;/&gt;&lt;wsp:rsid wsp:val=&quot;00EB72EF&quot;/&gt;&lt;wsp:rsid wsp:val=&quot;00EB73A5&quot;/&gt;&lt;wsp:rsid wsp:val=&quot;00EB7516&quot;/&gt;&lt;wsp:rsid wsp:val=&quot;00EC0326&quot;/&gt;&lt;wsp:rsid wsp:val=&quot;00EC033E&quot;/&gt;&lt;wsp:rsid wsp:val=&quot;00EC0926&quot;/&gt;&lt;wsp:rsid wsp:val=&quot;00EC0952&quot;/&gt;&lt;wsp:rsid wsp:val=&quot;00EC0E57&quot;/&gt;&lt;wsp:rsid wsp:val=&quot;00EC0FB1&quot;/&gt;&lt;wsp:rsid wsp:val=&quot;00EC1252&quot;/&gt;&lt;wsp:rsid wsp:val=&quot;00EC2A47&quot;/&gt;&lt;wsp:rsid wsp:val=&quot;00EC2AE8&quot;/&gt;&lt;wsp:rsid wsp:val=&quot;00EC2F82&quot;/&gt;&lt;wsp:rsid wsp:val=&quot;00EC32FC&quot;/&gt;&lt;wsp:rsid wsp:val=&quot;00EC3479&quot;/&gt;&lt;wsp:rsid wsp:val=&quot;00EC3572&quot;/&gt;&lt;wsp:rsid wsp:val=&quot;00EC35A6&quot;/&gt;&lt;wsp:rsid wsp:val=&quot;00EC41EF&quot;/&gt;&lt;wsp:rsid wsp:val=&quot;00EC4460&quot;/&gt;&lt;wsp:rsid wsp:val=&quot;00EC4898&quot;/&gt;&lt;wsp:rsid wsp:val=&quot;00EC497E&quot;/&gt;&lt;wsp:rsid wsp:val=&quot;00EC4CBE&quot;/&gt;&lt;wsp:rsid wsp:val=&quot;00EC4F0E&quot;/&gt;&lt;wsp:rsid wsp:val=&quot;00EC5017&quot;/&gt;&lt;wsp:rsid wsp:val=&quot;00EC5634&quot;/&gt;&lt;wsp:rsid wsp:val=&quot;00EC56E4&quot;/&gt;&lt;wsp:rsid wsp:val=&quot;00EC6013&quot;/&gt;&lt;wsp:rsid wsp:val=&quot;00EC6088&quot;/&gt;&lt;wsp:rsid wsp:val=&quot;00EC63F7&quot;/&gt;&lt;wsp:rsid wsp:val=&quot;00EC65BF&quot;/&gt;&lt;wsp:rsid wsp:val=&quot;00EC6AB4&quot;/&gt;&lt;wsp:rsid wsp:val=&quot;00EC6EAF&quot;/&gt;&lt;wsp:rsid wsp:val=&quot;00EC7149&quot;/&gt;&lt;wsp:rsid wsp:val=&quot;00EC7265&quot;/&gt;&lt;wsp:rsid wsp:val=&quot;00EC75D1&quot;/&gt;&lt;wsp:rsid wsp:val=&quot;00ED0144&quot;/&gt;&lt;wsp:rsid wsp:val=&quot;00ED016B&quot;/&gt;&lt;wsp:rsid wsp:val=&quot;00ED028D&quot;/&gt;&lt;wsp:rsid wsp:val=&quot;00ED057C&quot;/&gt;&lt;wsp:rsid wsp:val=&quot;00ED0EC5&quot;/&gt;&lt;wsp:rsid wsp:val=&quot;00ED103C&quot;/&gt;&lt;wsp:rsid wsp:val=&quot;00ED1402&quot;/&gt;&lt;wsp:rsid wsp:val=&quot;00ED1C0C&quot;/&gt;&lt;wsp:rsid wsp:val=&quot;00ED1C31&quot;/&gt;&lt;wsp:rsid wsp:val=&quot;00ED1D70&quot;/&gt;&lt;wsp:rsid wsp:val=&quot;00ED1EE4&quot;/&gt;&lt;wsp:rsid wsp:val=&quot;00ED20CA&quot;/&gt;&lt;wsp:rsid wsp:val=&quot;00ED291D&quot;/&gt;&lt;wsp:rsid wsp:val=&quot;00ED2A3A&quot;/&gt;&lt;wsp:rsid wsp:val=&quot;00ED2A69&quot;/&gt;&lt;wsp:rsid wsp:val=&quot;00ED2FCA&quot;/&gt;&lt;wsp:rsid wsp:val=&quot;00ED2FD5&quot;/&gt;&lt;wsp:rsid wsp:val=&quot;00ED33DD&quot;/&gt;&lt;wsp:rsid wsp:val=&quot;00ED3452&quot;/&gt;&lt;wsp:rsid wsp:val=&quot;00ED35D4&quot;/&gt;&lt;wsp:rsid wsp:val=&quot;00ED389E&quot;/&gt;&lt;wsp:rsid wsp:val=&quot;00ED3935&quot;/&gt;&lt;wsp:rsid wsp:val=&quot;00ED4783&quot;/&gt;&lt;wsp:rsid wsp:val=&quot;00ED47C6&quot;/&gt;&lt;wsp:rsid wsp:val=&quot;00ED4C83&quot;/&gt;&lt;wsp:rsid wsp:val=&quot;00ED4FC6&quot;/&gt;&lt;wsp:rsid wsp:val=&quot;00ED5405&quot;/&gt;&lt;wsp:rsid wsp:val=&quot;00ED56C1&quot;/&gt;&lt;wsp:rsid wsp:val=&quot;00ED58CB&quot;/&gt;&lt;wsp:rsid wsp:val=&quot;00ED6905&quot;/&gt;&lt;wsp:rsid wsp:val=&quot;00ED6E1C&quot;/&gt;&lt;wsp:rsid wsp:val=&quot;00ED742D&quot;/&gt;&lt;wsp:rsid wsp:val=&quot;00ED7914&quot;/&gt;&lt;wsp:rsid wsp:val=&quot;00ED7BD0&quot;/&gt;&lt;wsp:rsid wsp:val=&quot;00ED7D97&quot;/&gt;&lt;wsp:rsid wsp:val=&quot;00ED7E79&quot;/&gt;&lt;wsp:rsid wsp:val=&quot;00EE0739&quot;/&gt;&lt;wsp:rsid wsp:val=&quot;00EE0B06&quot;/&gt;&lt;wsp:rsid wsp:val=&quot;00EE0B0A&quot;/&gt;&lt;wsp:rsid wsp:val=&quot;00EE0BDC&quot;/&gt;&lt;wsp:rsid wsp:val=&quot;00EE0E63&quot;/&gt;&lt;wsp:rsid wsp:val=&quot;00EE1A47&quot;/&gt;&lt;wsp:rsid wsp:val=&quot;00EE1DF0&quot;/&gt;&lt;wsp:rsid wsp:val=&quot;00EE1DF8&quot;/&gt;&lt;wsp:rsid wsp:val=&quot;00EE25E4&quot;/&gt;&lt;wsp:rsid wsp:val=&quot;00EE28E1&quot;/&gt;&lt;wsp:rsid wsp:val=&quot;00EE2ADD&quot;/&gt;&lt;wsp:rsid wsp:val=&quot;00EE3066&quot;/&gt;&lt;wsp:rsid wsp:val=&quot;00EE35C8&quot;/&gt;&lt;wsp:rsid wsp:val=&quot;00EE379A&quot;/&gt;&lt;wsp:rsid wsp:val=&quot;00EE3AB3&quot;/&gt;&lt;wsp:rsid wsp:val=&quot;00EE3B65&quot;/&gt;&lt;wsp:rsid wsp:val=&quot;00EE3C6B&quot;/&gt;&lt;wsp:rsid wsp:val=&quot;00EE3C8B&quot;/&gt;&lt;wsp:rsid wsp:val=&quot;00EE3D81&quot;/&gt;&lt;wsp:rsid wsp:val=&quot;00EE3FA8&quot;/&gt;&lt;wsp:rsid wsp:val=&quot;00EE43EE&quot;/&gt;&lt;wsp:rsid wsp:val=&quot;00EE4496&quot;/&gt;&lt;wsp:rsid wsp:val=&quot;00EE4552&quot;/&gt;&lt;wsp:rsid wsp:val=&quot;00EE464C&quot;/&gt;&lt;wsp:rsid wsp:val=&quot;00EE4B29&quot;/&gt;&lt;wsp:rsid wsp:val=&quot;00EE4B3F&quot;/&gt;&lt;wsp:rsid wsp:val=&quot;00EE65C5&quot;/&gt;&lt;wsp:rsid wsp:val=&quot;00EE680B&quot;/&gt;&lt;wsp:rsid wsp:val=&quot;00EE7400&quot;/&gt;&lt;wsp:rsid wsp:val=&quot;00EE7912&quot;/&gt;&lt;wsp:rsid wsp:val=&quot;00EF013E&quot;/&gt;&lt;wsp:rsid wsp:val=&quot;00EF04CA&quot;/&gt;&lt;wsp:rsid wsp:val=&quot;00EF0649&quot;/&gt;&lt;wsp:rsid wsp:val=&quot;00EF0751&quot;/&gt;&lt;wsp:rsid wsp:val=&quot;00EF07D8&quot;/&gt;&lt;wsp:rsid wsp:val=&quot;00EF08CE&quot;/&gt;&lt;wsp:rsid wsp:val=&quot;00EF0B2A&quot;/&gt;&lt;wsp:rsid wsp:val=&quot;00EF0E83&quot;/&gt;&lt;wsp:rsid wsp:val=&quot;00EF0F0A&quot;/&gt;&lt;wsp:rsid wsp:val=&quot;00EF0FF6&quot;/&gt;&lt;wsp:rsid wsp:val=&quot;00EF104E&quot;/&gt;&lt;wsp:rsid wsp:val=&quot;00EF1688&quot;/&gt;&lt;wsp:rsid wsp:val=&quot;00EF1A3A&quot;/&gt;&lt;wsp:rsid wsp:val=&quot;00EF1C16&quot;/&gt;&lt;wsp:rsid wsp:val=&quot;00EF1E30&quot;/&gt;&lt;wsp:rsid wsp:val=&quot;00EF2005&quot;/&gt;&lt;wsp:rsid wsp:val=&quot;00EF2999&quot;/&gt;&lt;wsp:rsid wsp:val=&quot;00EF3066&quot;/&gt;&lt;wsp:rsid wsp:val=&quot;00EF30A1&quot;/&gt;&lt;wsp:rsid wsp:val=&quot;00EF372B&quot;/&gt;&lt;wsp:rsid wsp:val=&quot;00EF3F0D&quot;/&gt;&lt;wsp:rsid wsp:val=&quot;00EF4476&quot;/&gt;&lt;wsp:rsid wsp:val=&quot;00EF4B56&quot;/&gt;&lt;wsp:rsid wsp:val=&quot;00EF4DCA&quot;/&gt;&lt;wsp:rsid wsp:val=&quot;00EF4E77&quot;/&gt;&lt;wsp:rsid wsp:val=&quot;00EF51F9&quot;/&gt;&lt;wsp:rsid wsp:val=&quot;00EF555F&quot;/&gt;&lt;wsp:rsid wsp:val=&quot;00EF5805&quot;/&gt;&lt;wsp:rsid wsp:val=&quot;00EF5899&quot;/&gt;&lt;wsp:rsid wsp:val=&quot;00EF5E4E&quot;/&gt;&lt;wsp:rsid wsp:val=&quot;00EF5FA3&quot;/&gt;&lt;wsp:rsid wsp:val=&quot;00EF5FD5&quot;/&gt;&lt;wsp:rsid wsp:val=&quot;00EF642B&quot;/&gt;&lt;wsp:rsid wsp:val=&quot;00EF6766&quot;/&gt;&lt;wsp:rsid wsp:val=&quot;00EF689E&quot;/&gt;&lt;wsp:rsid wsp:val=&quot;00EF6E11&quot;/&gt;&lt;wsp:rsid wsp:val=&quot;00EF73E4&quot;/&gt;&lt;wsp:rsid wsp:val=&quot;00EF76A6&quot;/&gt;&lt;wsp:rsid wsp:val=&quot;00EF7873&quot;/&gt;&lt;wsp:rsid wsp:val=&quot;00EF7B2D&quot;/&gt;&lt;wsp:rsid wsp:val=&quot;00EF7C7E&quot;/&gt;&lt;wsp:rsid wsp:val=&quot;00F00396&quot;/&gt;&lt;wsp:rsid wsp:val=&quot;00F0062B&quot;/&gt;&lt;wsp:rsid wsp:val=&quot;00F00EEF&quot;/&gt;&lt;wsp:rsid wsp:val=&quot;00F00FE8&quot;/&gt;&lt;wsp:rsid wsp:val=&quot;00F013FF&quot;/&gt;&lt;wsp:rsid wsp:val=&quot;00F01644&quot;/&gt;&lt;wsp:rsid wsp:val=&quot;00F016F2&quot;/&gt;&lt;wsp:rsid wsp:val=&quot;00F01A8B&quot;/&gt;&lt;wsp:rsid wsp:val=&quot;00F02044&quot;/&gt;&lt;wsp:rsid wsp:val=&quot;00F02258&quot;/&gt;&lt;wsp:rsid wsp:val=&quot;00F0298F&quot;/&gt;&lt;wsp:rsid wsp:val=&quot;00F02E0C&quot;/&gt;&lt;wsp:rsid wsp:val=&quot;00F03059&quot;/&gt;&lt;wsp:rsid wsp:val=&quot;00F03186&quot;/&gt;&lt;wsp:rsid wsp:val=&quot;00F035AE&quot;/&gt;&lt;wsp:rsid wsp:val=&quot;00F03D98&quot;/&gt;&lt;wsp:rsid wsp:val=&quot;00F03F4A&quot;/&gt;&lt;wsp:rsid wsp:val=&quot;00F03FAA&quot;/&gt;&lt;wsp:rsid wsp:val=&quot;00F043C6&quot;/&gt;&lt;wsp:rsid wsp:val=&quot;00F043D8&quot;/&gt;&lt;wsp:rsid wsp:val=&quot;00F04E24&quot;/&gt;&lt;wsp:rsid wsp:val=&quot;00F0514A&quot;/&gt;&lt;wsp:rsid wsp:val=&quot;00F0528B&quot;/&gt;&lt;wsp:rsid wsp:val=&quot;00F05778&quot;/&gt;&lt;wsp:rsid wsp:val=&quot;00F05D5F&quot;/&gt;&lt;wsp:rsid wsp:val=&quot;00F065C9&quot;/&gt;&lt;wsp:rsid wsp:val=&quot;00F067E3&quot;/&gt;&lt;wsp:rsid wsp:val=&quot;00F06B61&quot;/&gt;&lt;wsp:rsid wsp:val=&quot;00F06C94&quot;/&gt;&lt;wsp:rsid wsp:val=&quot;00F06E8C&quot;/&gt;&lt;wsp:rsid wsp:val=&quot;00F0714F&quot;/&gt;&lt;wsp:rsid wsp:val=&quot;00F0780D&quot;/&gt;&lt;wsp:rsid wsp:val=&quot;00F07876&quot;/&gt;&lt;wsp:rsid wsp:val=&quot;00F1018B&quot;/&gt;&lt;wsp:rsid wsp:val=&quot;00F1021E&quot;/&gt;&lt;wsp:rsid wsp:val=&quot;00F1124D&quot;/&gt;&lt;wsp:rsid wsp:val=&quot;00F112E6&quot;/&gt;&lt;wsp:rsid wsp:val=&quot;00F1143A&quot;/&gt;&lt;wsp:rsid wsp:val=&quot;00F11489&quot;/&gt;&lt;wsp:rsid wsp:val=&quot;00F119F7&quot;/&gt;&lt;wsp:rsid wsp:val=&quot;00F11FDE&quot;/&gt;&lt;wsp:rsid wsp:val=&quot;00F12310&quot;/&gt;&lt;wsp:rsid wsp:val=&quot;00F126E5&quot;/&gt;&lt;wsp:rsid wsp:val=&quot;00F12975&quot;/&gt;&lt;wsp:rsid wsp:val=&quot;00F12B14&quot;/&gt;&lt;wsp:rsid wsp:val=&quot;00F12F19&quot;/&gt;&lt;wsp:rsid wsp:val=&quot;00F13094&quot;/&gt;&lt;wsp:rsid wsp:val=&quot;00F132A7&quot;/&gt;&lt;wsp:rsid wsp:val=&quot;00F1363C&quot;/&gt;&lt;wsp:rsid wsp:val=&quot;00F139BD&quot;/&gt;&lt;wsp:rsid wsp:val=&quot;00F139F4&quot;/&gt;&lt;wsp:rsid wsp:val=&quot;00F13B52&quot;/&gt;&lt;wsp:rsid wsp:val=&quot;00F13DFA&quot;/&gt;&lt;wsp:rsid wsp:val=&quot;00F14323&quot;/&gt;&lt;wsp:rsid wsp:val=&quot;00F14662&quot;/&gt;&lt;wsp:rsid wsp:val=&quot;00F14DC3&quot;/&gt;&lt;wsp:rsid wsp:val=&quot;00F15145&quot;/&gt;&lt;wsp:rsid wsp:val=&quot;00F15282&quot;/&gt;&lt;wsp:rsid wsp:val=&quot;00F15A5A&quot;/&gt;&lt;wsp:rsid wsp:val=&quot;00F15B16&quot;/&gt;&lt;wsp:rsid wsp:val=&quot;00F15CA1&quot;/&gt;&lt;wsp:rsid wsp:val=&quot;00F15E80&quot;/&gt;&lt;wsp:rsid wsp:val=&quot;00F165D7&quot;/&gt;&lt;wsp:rsid wsp:val=&quot;00F16D11&quot;/&gt;&lt;wsp:rsid wsp:val=&quot;00F16E74&quot;/&gt;&lt;wsp:rsid wsp:val=&quot;00F16F6B&quot;/&gt;&lt;wsp:rsid wsp:val=&quot;00F17287&quot;/&gt;&lt;wsp:rsid wsp:val=&quot;00F172D0&quot;/&gt;&lt;wsp:rsid wsp:val=&quot;00F174BB&quot;/&gt;&lt;wsp:rsid wsp:val=&quot;00F17A02&quot;/&gt;&lt;wsp:rsid wsp:val=&quot;00F17B4F&quot;/&gt;&lt;wsp:rsid wsp:val=&quot;00F204FE&quot;/&gt;&lt;wsp:rsid wsp:val=&quot;00F2068E&quot;/&gt;&lt;wsp:rsid wsp:val=&quot;00F2069F&quot;/&gt;&lt;wsp:rsid wsp:val=&quot;00F20D70&quot;/&gt;&lt;wsp:rsid wsp:val=&quot;00F21266&quot;/&gt;&lt;wsp:rsid wsp:val=&quot;00F2140D&quot;/&gt;&lt;wsp:rsid wsp:val=&quot;00F21990&quot;/&gt;&lt;wsp:rsid wsp:val=&quot;00F219C4&quot;/&gt;&lt;wsp:rsid wsp:val=&quot;00F221F2&quot;/&gt;&lt;wsp:rsid wsp:val=&quot;00F2278D&quot;/&gt;&lt;wsp:rsid wsp:val=&quot;00F22926&quot;/&gt;&lt;wsp:rsid wsp:val=&quot;00F237CB&quot;/&gt;&lt;wsp:rsid wsp:val=&quot;00F23B07&quot;/&gt;&lt;wsp:rsid wsp:val=&quot;00F23B88&quot;/&gt;&lt;wsp:rsid wsp:val=&quot;00F23B99&quot;/&gt;&lt;wsp:rsid wsp:val=&quot;00F23D16&quot;/&gt;&lt;wsp:rsid wsp:val=&quot;00F23E76&quot;/&gt;&lt;wsp:rsid wsp:val=&quot;00F24500&quot;/&gt;&lt;wsp:rsid wsp:val=&quot;00F24B11&quot;/&gt;&lt;wsp:rsid wsp:val=&quot;00F25258&quot;/&gt;&lt;wsp:rsid wsp:val=&quot;00F2531D&quot;/&gt;&lt;wsp:rsid wsp:val=&quot;00F266BA&quot;/&gt;&lt;wsp:rsid wsp:val=&quot;00F26961&quot;/&gt;&lt;wsp:rsid wsp:val=&quot;00F26DDD&quot;/&gt;&lt;wsp:rsid wsp:val=&quot;00F26E80&quot;/&gt;&lt;wsp:rsid wsp:val=&quot;00F273EF&quot;/&gt;&lt;wsp:rsid wsp:val=&quot;00F27888&quot;/&gt;&lt;wsp:rsid wsp:val=&quot;00F279BF&quot;/&gt;&lt;wsp:rsid wsp:val=&quot;00F27ABF&quot;/&gt;&lt;wsp:rsid wsp:val=&quot;00F27CEA&quot;/&gt;&lt;wsp:rsid wsp:val=&quot;00F27EA1&quot;/&gt;&lt;wsp:rsid wsp:val=&quot;00F27F15&quot;/&gt;&lt;wsp:rsid wsp:val=&quot;00F301C6&quot;/&gt;&lt;wsp:rsid wsp:val=&quot;00F3070D&quot;/&gt;&lt;wsp:rsid wsp:val=&quot;00F30927&quot;/&gt;&lt;wsp:rsid wsp:val=&quot;00F30C11&quot;/&gt;&lt;wsp:rsid wsp:val=&quot;00F31555&quot;/&gt;&lt;wsp:rsid wsp:val=&quot;00F31DEE&quot;/&gt;&lt;wsp:rsid wsp:val=&quot;00F31FE9&quot;/&gt;&lt;wsp:rsid wsp:val=&quot;00F320EA&quot;/&gt;&lt;wsp:rsid wsp:val=&quot;00F322E7&quot;/&gt;&lt;wsp:rsid wsp:val=&quot;00F324E0&quot;/&gt;&lt;wsp:rsid wsp:val=&quot;00F32805&quot;/&gt;&lt;wsp:rsid wsp:val=&quot;00F32DCA&quot;/&gt;&lt;wsp:rsid wsp:val=&quot;00F330AD&quot;/&gt;&lt;wsp:rsid wsp:val=&quot;00F33158&quot;/&gt;&lt;wsp:rsid wsp:val=&quot;00F334FC&quot;/&gt;&lt;wsp:rsid wsp:val=&quot;00F3377C&quot;/&gt;&lt;wsp:rsid wsp:val=&quot;00F33E90&quot;/&gt;&lt;wsp:rsid wsp:val=&quot;00F350CE&quot;/&gt;&lt;wsp:rsid wsp:val=&quot;00F35945&quot;/&gt;&lt;wsp:rsid wsp:val=&quot;00F36445&quot;/&gt;&lt;wsp:rsid wsp:val=&quot;00F3677D&quot;/&gt;&lt;wsp:rsid wsp:val=&quot;00F36C59&quot;/&gt;&lt;wsp:rsid wsp:val=&quot;00F37091&quot;/&gt;&lt;wsp:rsid wsp:val=&quot;00F372E3&quot;/&gt;&lt;wsp:rsid wsp:val=&quot;00F3750F&quot;/&gt;&lt;wsp:rsid wsp:val=&quot;00F37611&quot;/&gt;&lt;wsp:rsid wsp:val=&quot;00F37F49&quot;/&gt;&lt;wsp:rsid wsp:val=&quot;00F400E7&quot;/&gt;&lt;wsp:rsid wsp:val=&quot;00F40169&quot;/&gt;&lt;wsp:rsid wsp:val=&quot;00F40385&quot;/&gt;&lt;wsp:rsid wsp:val=&quot;00F4041D&quot;/&gt;&lt;wsp:rsid wsp:val=&quot;00F40431&quot;/&gt;&lt;wsp:rsid wsp:val=&quot;00F40AD6&quot;/&gt;&lt;wsp:rsid wsp:val=&quot;00F40C34&quot;/&gt;&lt;wsp:rsid wsp:val=&quot;00F40F7C&quot;/&gt;&lt;wsp:rsid wsp:val=&quot;00F40F8D&quot;/&gt;&lt;wsp:rsid wsp:val=&quot;00F4149C&quot;/&gt;&lt;wsp:rsid wsp:val=&quot;00F4175B&quot;/&gt;&lt;wsp:rsid wsp:val=&quot;00F41A9A&quot;/&gt;&lt;wsp:rsid wsp:val=&quot;00F41F1D&quot;/&gt;&lt;wsp:rsid wsp:val=&quot;00F42279&quot;/&gt;&lt;wsp:rsid wsp:val=&quot;00F428E5&quot;/&gt;&lt;wsp:rsid wsp:val=&quot;00F430D7&quot;/&gt;&lt;wsp:rsid wsp:val=&quot;00F43779&quot;/&gt;&lt;wsp:rsid wsp:val=&quot;00F43C17&quot;/&gt;&lt;wsp:rsid wsp:val=&quot;00F446A2&quot;/&gt;&lt;wsp:rsid wsp:val=&quot;00F447B7&quot;/&gt;&lt;wsp:rsid wsp:val=&quot;00F44CFA&quot;/&gt;&lt;wsp:rsid wsp:val=&quot;00F44E5E&quot;/&gt;&lt;wsp:rsid wsp:val=&quot;00F450D9&quot;/&gt;&lt;wsp:rsid wsp:val=&quot;00F4522A&quot;/&gt;&lt;wsp:rsid wsp:val=&quot;00F4525C&quot;/&gt;&lt;wsp:rsid wsp:val=&quot;00F452AE&quot;/&gt;&lt;wsp:rsid wsp:val=&quot;00F455F1&quot;/&gt;&lt;wsp:rsid wsp:val=&quot;00F45825&quot;/&gt;&lt;wsp:rsid wsp:val=&quot;00F45B81&quot;/&gt;&lt;wsp:rsid wsp:val=&quot;00F46539&quot;/&gt;&lt;wsp:rsid wsp:val=&quot;00F46799&quot;/&gt;&lt;wsp:rsid wsp:val=&quot;00F4696B&quot;/&gt;&lt;wsp:rsid wsp:val=&quot;00F46CC3&quot;/&gt;&lt;wsp:rsid wsp:val=&quot;00F4717A&quot;/&gt;&lt;wsp:rsid wsp:val=&quot;00F472EB&quot;/&gt;&lt;wsp:rsid wsp:val=&quot;00F4762D&quot;/&gt;&lt;wsp:rsid wsp:val=&quot;00F4779B&quot;/&gt;&lt;wsp:rsid wsp:val=&quot;00F4795B&quot;/&gt;&lt;wsp:rsid wsp:val=&quot;00F4799A&quot;/&gt;&lt;wsp:rsid wsp:val=&quot;00F50374&quot;/&gt;&lt;wsp:rsid wsp:val=&quot;00F503EF&quot;/&gt;&lt;wsp:rsid wsp:val=&quot;00F50C2A&quot;/&gt;&lt;wsp:rsid wsp:val=&quot;00F50F98&quot;/&gt;&lt;wsp:rsid wsp:val=&quot;00F5106C&quot;/&gt;&lt;wsp:rsid wsp:val=&quot;00F51217&quot;/&gt;&lt;wsp:rsid wsp:val=&quot;00F51493&quot;/&gt;&lt;wsp:rsid wsp:val=&quot;00F517BB&quot;/&gt;&lt;wsp:rsid wsp:val=&quot;00F51B4B&quot;/&gt;&lt;wsp:rsid wsp:val=&quot;00F51E1F&quot;/&gt;&lt;wsp:rsid wsp:val=&quot;00F51F48&quot;/&gt;&lt;wsp:rsid wsp:val=&quot;00F52179&quot;/&gt;&lt;wsp:rsid wsp:val=&quot;00F52510&quot;/&gt;&lt;wsp:rsid wsp:val=&quot;00F52668&quot;/&gt;&lt;wsp:rsid wsp:val=&quot;00F52727&quot;/&gt;&lt;wsp:rsid wsp:val=&quot;00F528B8&quot;/&gt;&lt;wsp:rsid wsp:val=&quot;00F52987&quot;/&gt;&lt;wsp:rsid wsp:val=&quot;00F52EE1&quot;/&gt;&lt;wsp:rsid wsp:val=&quot;00F5304D&quot;/&gt;&lt;wsp:rsid wsp:val=&quot;00F5345B&quot;/&gt;&lt;wsp:rsid wsp:val=&quot;00F535E6&quot;/&gt;&lt;wsp:rsid wsp:val=&quot;00F5416F&quot;/&gt;&lt;wsp:rsid wsp:val=&quot;00F5433A&quot;/&gt;&lt;wsp:rsid wsp:val=&quot;00F54693&quot;/&gt;&lt;wsp:rsid wsp:val=&quot;00F5469C&quot;/&gt;&lt;wsp:rsid wsp:val=&quot;00F54C3D&quot;/&gt;&lt;wsp:rsid wsp:val=&quot;00F54DD6&quot;/&gt;&lt;wsp:rsid wsp:val=&quot;00F54FF2&quot;/&gt;&lt;wsp:rsid wsp:val=&quot;00F5518F&quot;/&gt;&lt;wsp:rsid wsp:val=&quot;00F55396&quot;/&gt;&lt;wsp:rsid wsp:val=&quot;00F55A8D&quot;/&gt;&lt;wsp:rsid wsp:val=&quot;00F55D18&quot;/&gt;&lt;wsp:rsid wsp:val=&quot;00F55E1E&quot;/&gt;&lt;wsp:rsid wsp:val=&quot;00F561AA&quot;/&gt;&lt;wsp:rsid wsp:val=&quot;00F567DE&quot;/&gt;&lt;wsp:rsid wsp:val=&quot;00F56BF5&quot;/&gt;&lt;wsp:rsid wsp:val=&quot;00F56C15&quot;/&gt;&lt;wsp:rsid wsp:val=&quot;00F56FCE&quot;/&gt;&lt;wsp:rsid wsp:val=&quot;00F57126&quot;/&gt;&lt;wsp:rsid wsp:val=&quot;00F5712D&quot;/&gt;&lt;wsp:rsid wsp:val=&quot;00F57B95&quot;/&gt;&lt;wsp:rsid wsp:val=&quot;00F6013E&quot;/&gt;&lt;wsp:rsid wsp:val=&quot;00F60161&quot;/&gt;&lt;wsp:rsid wsp:val=&quot;00F6045B&quot;/&gt;&lt;wsp:rsid wsp:val=&quot;00F605CF&quot;/&gt;&lt;wsp:rsid wsp:val=&quot;00F60639&quot;/&gt;&lt;wsp:rsid wsp:val=&quot;00F60AAB&quot;/&gt;&lt;wsp:rsid wsp:val=&quot;00F60B75&quot;/&gt;&lt;wsp:rsid wsp:val=&quot;00F6137A&quot;/&gt;&lt;wsp:rsid wsp:val=&quot;00F618B9&quot;/&gt;&lt;wsp:rsid wsp:val=&quot;00F61940&quot;/&gt;&lt;wsp:rsid wsp:val=&quot;00F61F2F&quot;/&gt;&lt;wsp:rsid wsp:val=&quot;00F62551&quot;/&gt;&lt;wsp:rsid wsp:val=&quot;00F62575&quot;/&gt;&lt;wsp:rsid wsp:val=&quot;00F62685&quot;/&gt;&lt;wsp:rsid wsp:val=&quot;00F62B70&quot;/&gt;&lt;wsp:rsid wsp:val=&quot;00F62E4C&quot;/&gt;&lt;wsp:rsid wsp:val=&quot;00F62FD2&quot;/&gt;&lt;wsp:rsid wsp:val=&quot;00F63480&quot;/&gt;&lt;wsp:rsid wsp:val=&quot;00F63799&quot;/&gt;&lt;wsp:rsid wsp:val=&quot;00F637DC&quot;/&gt;&lt;wsp:rsid wsp:val=&quot;00F638C9&quot;/&gt;&lt;wsp:rsid wsp:val=&quot;00F63AA1&quot;/&gt;&lt;wsp:rsid wsp:val=&quot;00F63B62&quot;/&gt;&lt;wsp:rsid wsp:val=&quot;00F644D9&quot;/&gt;&lt;wsp:rsid wsp:val=&quot;00F64553&quot;/&gt;&lt;wsp:rsid wsp:val=&quot;00F645AC&quot;/&gt;&lt;wsp:rsid wsp:val=&quot;00F64D37&quot;/&gt;&lt;wsp:rsid wsp:val=&quot;00F64DD5&quot;/&gt;&lt;wsp:rsid wsp:val=&quot;00F64EDF&quot;/&gt;&lt;wsp:rsid wsp:val=&quot;00F656A1&quot;/&gt;&lt;wsp:rsid wsp:val=&quot;00F661D0&quot;/&gt;&lt;wsp:rsid wsp:val=&quot;00F6643D&quot;/&gt;&lt;wsp:rsid wsp:val=&quot;00F66976&quot;/&gt;&lt;wsp:rsid wsp:val=&quot;00F66A08&quot;/&gt;&lt;wsp:rsid wsp:val=&quot;00F66A32&quot;/&gt;&lt;wsp:rsid wsp:val=&quot;00F66A69&quot;/&gt;&lt;wsp:rsid wsp:val=&quot;00F66AF5&quot;/&gt;&lt;wsp:rsid wsp:val=&quot;00F66C9C&quot;/&gt;&lt;wsp:rsid wsp:val=&quot;00F672D9&quot;/&gt;&lt;wsp:rsid wsp:val=&quot;00F6755B&quot;/&gt;&lt;wsp:rsid wsp:val=&quot;00F67BD8&quot;/&gt;&lt;wsp:rsid wsp:val=&quot;00F67CE2&quot;/&gt;&lt;wsp:rsid wsp:val=&quot;00F70815&quot;/&gt;&lt;wsp:rsid wsp:val=&quot;00F719AB&quot;/&gt;&lt;wsp:rsid wsp:val=&quot;00F71C1D&quot;/&gt;&lt;wsp:rsid wsp:val=&quot;00F71EB4&quot;/&gt;&lt;wsp:rsid wsp:val=&quot;00F7201B&quot;/&gt;&lt;wsp:rsid wsp:val=&quot;00F72B28&quot;/&gt;&lt;wsp:rsid wsp:val=&quot;00F72E16&quot;/&gt;&lt;wsp:rsid wsp:val=&quot;00F72EA6&quot;/&gt;&lt;wsp:rsid wsp:val=&quot;00F72EC4&quot;/&gt;&lt;wsp:rsid wsp:val=&quot;00F73292&quot;/&gt;&lt;wsp:rsid wsp:val=&quot;00F736DF&quot;/&gt;&lt;wsp:rsid wsp:val=&quot;00F73BF8&quot;/&gt;&lt;wsp:rsid wsp:val=&quot;00F73CDB&quot;/&gt;&lt;wsp:rsid wsp:val=&quot;00F741D6&quot;/&gt;&lt;wsp:rsid wsp:val=&quot;00F746C3&quot;/&gt;&lt;wsp:rsid wsp:val=&quot;00F74831&quot;/&gt;&lt;wsp:rsid wsp:val=&quot;00F74EC7&quot;/&gt;&lt;wsp:rsid wsp:val=&quot;00F7563C&quot;/&gt;&lt;wsp:rsid wsp:val=&quot;00F75CE4&quot;/&gt;&lt;wsp:rsid wsp:val=&quot;00F76036&quot;/&gt;&lt;wsp:rsid wsp:val=&quot;00F762F3&quot;/&gt;&lt;wsp:rsid wsp:val=&quot;00F763C4&quot;/&gt;&lt;wsp:rsid wsp:val=&quot;00F76AD3&quot;/&gt;&lt;wsp:rsid wsp:val=&quot;00F770EE&quot;/&gt;&lt;wsp:rsid wsp:val=&quot;00F774C1&quot;/&gt;&lt;wsp:rsid wsp:val=&quot;00F800FB&quot;/&gt;&lt;wsp:rsid wsp:val=&quot;00F80447&quot;/&gt;&lt;wsp:rsid wsp:val=&quot;00F80ADB&quot;/&gt;&lt;wsp:rsid wsp:val=&quot;00F811F6&quot;/&gt;&lt;wsp:rsid wsp:val=&quot;00F81945&quot;/&gt;&lt;wsp:rsid wsp:val=&quot;00F81D05&quot;/&gt;&lt;wsp:rsid wsp:val=&quot;00F82682&quot;/&gt;&lt;wsp:rsid wsp:val=&quot;00F826B6&quot;/&gt;&lt;wsp:rsid wsp:val=&quot;00F82C19&quot;/&gt;&lt;wsp:rsid wsp:val=&quot;00F82CA1&quot;/&gt;&lt;wsp:rsid wsp:val=&quot;00F83229&quot;/&gt;&lt;wsp:rsid wsp:val=&quot;00F833AA&quot;/&gt;&lt;wsp:rsid wsp:val=&quot;00F833C3&quot;/&gt;&lt;wsp:rsid wsp:val=&quot;00F8380B&quot;/&gt;&lt;wsp:rsid wsp:val=&quot;00F844DF&quot;/&gt;&lt;wsp:rsid wsp:val=&quot;00F84713&quot;/&gt;&lt;wsp:rsid wsp:val=&quot;00F84939&quot;/&gt;&lt;wsp:rsid wsp:val=&quot;00F85201&quot;/&gt;&lt;wsp:rsid wsp:val=&quot;00F8529D&quot;/&gt;&lt;wsp:rsid wsp:val=&quot;00F857E7&quot;/&gt;&lt;wsp:rsid wsp:val=&quot;00F865E7&quot;/&gt;&lt;wsp:rsid wsp:val=&quot;00F86D68&quot;/&gt;&lt;wsp:rsid wsp:val=&quot;00F87069&quot;/&gt;&lt;wsp:rsid wsp:val=&quot;00F874FE&quot;/&gt;&lt;wsp:rsid wsp:val=&quot;00F878BC&quot;/&gt;&lt;wsp:rsid wsp:val=&quot;00F87A86&quot;/&gt;&lt;wsp:rsid wsp:val=&quot;00F87D61&quot;/&gt;&lt;wsp:rsid wsp:val=&quot;00F90165&quot;/&gt;&lt;wsp:rsid wsp:val=&quot;00F9021A&quot;/&gt;&lt;wsp:rsid wsp:val=&quot;00F9029A&quot;/&gt;&lt;wsp:rsid wsp:val=&quot;00F90FC2&quot;/&gt;&lt;wsp:rsid wsp:val=&quot;00F916A7&quot;/&gt;&lt;wsp:rsid wsp:val=&quot;00F91BD0&quot;/&gt;&lt;wsp:rsid wsp:val=&quot;00F91FE8&quot;/&gt;&lt;wsp:rsid wsp:val=&quot;00F9219C&quot;/&gt;&lt;wsp:rsid wsp:val=&quot;00F92614&quot;/&gt;&lt;wsp:rsid wsp:val=&quot;00F92647&quot;/&gt;&lt;wsp:rsid wsp:val=&quot;00F92C24&quot;/&gt;&lt;wsp:rsid wsp:val=&quot;00F92E6A&quot;/&gt;&lt;wsp:rsid wsp:val=&quot;00F9302E&quot;/&gt;&lt;wsp:rsid wsp:val=&quot;00F931E8&quot;/&gt;&lt;wsp:rsid wsp:val=&quot;00F93337&quot;/&gt;&lt;wsp:rsid wsp:val=&quot;00F937AA&quot;/&gt;&lt;wsp:rsid wsp:val=&quot;00F939F3&quot;/&gt;&lt;wsp:rsid wsp:val=&quot;00F93A9A&quot;/&gt;&lt;wsp:rsid wsp:val=&quot;00F93AFD&quot;/&gt;&lt;wsp:rsid wsp:val=&quot;00F93BB5&quot;/&gt;&lt;wsp:rsid wsp:val=&quot;00F943E8&quot;/&gt;&lt;wsp:rsid wsp:val=&quot;00F94CF7&quot;/&gt;&lt;wsp:rsid wsp:val=&quot;00F950E7&quot;/&gt;&lt;wsp:rsid wsp:val=&quot;00F953D0&quot;/&gt;&lt;wsp:rsid wsp:val=&quot;00F95BA7&quot;/&gt;&lt;wsp:rsid wsp:val=&quot;00F95E2C&quot;/&gt;&lt;wsp:rsid wsp:val=&quot;00F95EDF&quot;/&gt;&lt;wsp:rsid wsp:val=&quot;00F96187&quot;/&gt;&lt;wsp:rsid wsp:val=&quot;00F96454&quot;/&gt;&lt;wsp:rsid wsp:val=&quot;00F966AF&quot;/&gt;&lt;wsp:rsid wsp:val=&quot;00F969FE&quot;/&gt;&lt;wsp:rsid wsp:val=&quot;00F96A2F&quot;/&gt;&lt;wsp:rsid wsp:val=&quot;00F97302&quot;/&gt;&lt;wsp:rsid wsp:val=&quot;00F973D4&quot;/&gt;&lt;wsp:rsid wsp:val=&quot;00F974D8&quot;/&gt;&lt;wsp:rsid wsp:val=&quot;00F97A06&quot;/&gt;&lt;wsp:rsid wsp:val=&quot;00F97D19&quot;/&gt;&lt;wsp:rsid wsp:val=&quot;00FA0699&quot;/&gt;&lt;wsp:rsid wsp:val=&quot;00FA154B&quot;/&gt;&lt;wsp:rsid wsp:val=&quot;00FA15ED&quot;/&gt;&lt;wsp:rsid wsp:val=&quot;00FA161D&quot;/&gt;&lt;wsp:rsid wsp:val=&quot;00FA1649&quot;/&gt;&lt;wsp:rsid wsp:val=&quot;00FA206E&quot;/&gt;&lt;wsp:rsid wsp:val=&quot;00FA21E6&quot;/&gt;&lt;wsp:rsid wsp:val=&quot;00FA2500&quot;/&gt;&lt;wsp:rsid wsp:val=&quot;00FA26E4&quot;/&gt;&lt;wsp:rsid wsp:val=&quot;00FA2830&quot;/&gt;&lt;wsp:rsid wsp:val=&quot;00FA2B6F&quot;/&gt;&lt;wsp:rsid wsp:val=&quot;00FA2E40&quot;/&gt;&lt;wsp:rsid wsp:val=&quot;00FA3108&quot;/&gt;&lt;wsp:rsid wsp:val=&quot;00FA32E3&quot;/&gt;&lt;wsp:rsid wsp:val=&quot;00FA3536&quot;/&gt;&lt;wsp:rsid wsp:val=&quot;00FA35F9&quot;/&gt;&lt;wsp:rsid wsp:val=&quot;00FA3B1D&quot;/&gt;&lt;wsp:rsid wsp:val=&quot;00FA3B8E&quot;/&gt;&lt;wsp:rsid wsp:val=&quot;00FA3D4E&quot;/&gt;&lt;wsp:rsid wsp:val=&quot;00FA3E2C&quot;/&gt;&lt;wsp:rsid wsp:val=&quot;00FA44CB&quot;/&gt;&lt;wsp:rsid wsp:val=&quot;00FA459A&quot;/&gt;&lt;wsp:rsid wsp:val=&quot;00FA46F1&quot;/&gt;&lt;wsp:rsid wsp:val=&quot;00FA4852&quot;/&gt;&lt;wsp:rsid wsp:val=&quot;00FA5477&quot;/&gt;&lt;wsp:rsid wsp:val=&quot;00FA5558&quot;/&gt;&lt;wsp:rsid wsp:val=&quot;00FA5703&quot;/&gt;&lt;wsp:rsid wsp:val=&quot;00FA5FDA&quot;/&gt;&lt;wsp:rsid wsp:val=&quot;00FA6723&quot;/&gt;&lt;wsp:rsid wsp:val=&quot;00FA67FC&quot;/&gt;&lt;wsp:rsid wsp:val=&quot;00FA6939&quot;/&gt;&lt;wsp:rsid wsp:val=&quot;00FA6EFF&quot;/&gt;&lt;wsp:rsid wsp:val=&quot;00FA6F54&quot;/&gt;&lt;wsp:rsid wsp:val=&quot;00FA70AE&quot;/&gt;&lt;wsp:rsid wsp:val=&quot;00FA77E0&quot;/&gt;&lt;wsp:rsid wsp:val=&quot;00FA7C31&quot;/&gt;&lt;wsp:rsid wsp:val=&quot;00FA7CAF&quot;/&gt;&lt;wsp:rsid wsp:val=&quot;00FB02B9&quot;/&gt;&lt;wsp:rsid wsp:val=&quot;00FB047F&quot;/&gt;&lt;wsp:rsid wsp:val=&quot;00FB0B8B&quot;/&gt;&lt;wsp:rsid wsp:val=&quot;00FB0BD5&quot;/&gt;&lt;wsp:rsid wsp:val=&quot;00FB0F8B&quot;/&gt;&lt;wsp:rsid wsp:val=&quot;00FB113A&quot;/&gt;&lt;wsp:rsid wsp:val=&quot;00FB11F5&quot;/&gt;&lt;wsp:rsid wsp:val=&quot;00FB174F&quot;/&gt;&lt;wsp:rsid wsp:val=&quot;00FB20B6&quot;/&gt;&lt;wsp:rsid wsp:val=&quot;00FB2282&quot;/&gt;&lt;wsp:rsid wsp:val=&quot;00FB246C&quot;/&gt;&lt;wsp:rsid wsp:val=&quot;00FB252C&quot;/&gt;&lt;wsp:rsid wsp:val=&quot;00FB2A16&quot;/&gt;&lt;wsp:rsid wsp:val=&quot;00FB2AD2&quot;/&gt;&lt;wsp:rsid wsp:val=&quot;00FB2C57&quot;/&gt;&lt;wsp:rsid wsp:val=&quot;00FB306C&quot;/&gt;&lt;wsp:rsid wsp:val=&quot;00FB3BD2&quot;/&gt;&lt;wsp:rsid wsp:val=&quot;00FB4C8E&quot;/&gt;&lt;wsp:rsid wsp:val=&quot;00FB4FBA&quot;/&gt;&lt;wsp:rsid wsp:val=&quot;00FB5204&quot;/&gt;&lt;wsp:rsid wsp:val=&quot;00FB5636&quot;/&gt;&lt;wsp:rsid wsp:val=&quot;00FB5760&quot;/&gt;&lt;wsp:rsid wsp:val=&quot;00FB60A5&quot;/&gt;&lt;wsp:rsid wsp:val=&quot;00FB6109&quot;/&gt;&lt;wsp:rsid wsp:val=&quot;00FB64AF&quot;/&gt;&lt;wsp:rsid wsp:val=&quot;00FB676A&quot;/&gt;&lt;wsp:rsid wsp:val=&quot;00FB6E72&quot;/&gt;&lt;wsp:rsid wsp:val=&quot;00FB72EA&quot;/&gt;&lt;wsp:rsid wsp:val=&quot;00FB7526&quot;/&gt;&lt;wsp:rsid wsp:val=&quot;00FB7767&quot;/&gt;&lt;wsp:rsid wsp:val=&quot;00FB78E1&quot;/&gt;&lt;wsp:rsid wsp:val=&quot;00FB7A18&quot;/&gt;&lt;wsp:rsid wsp:val=&quot;00FB7B7E&quot;/&gt;&lt;wsp:rsid wsp:val=&quot;00FC020B&quot;/&gt;&lt;wsp:rsid wsp:val=&quot;00FC069F&quot;/&gt;&lt;wsp:rsid wsp:val=&quot;00FC06DE&quot;/&gt;&lt;wsp:rsid wsp:val=&quot;00FC1446&quot;/&gt;&lt;wsp:rsid wsp:val=&quot;00FC1570&quot;/&gt;&lt;wsp:rsid wsp:val=&quot;00FC19B7&quot;/&gt;&lt;wsp:rsid wsp:val=&quot;00FC1F57&quot;/&gt;&lt;wsp:rsid wsp:val=&quot;00FC2056&quot;/&gt;&lt;wsp:rsid wsp:val=&quot;00FC299A&quot;/&gt;&lt;wsp:rsid wsp:val=&quot;00FC2CC7&quot;/&gt;&lt;wsp:rsid wsp:val=&quot;00FC2E46&quot;/&gt;&lt;wsp:rsid wsp:val=&quot;00FC2E60&quot;/&gt;&lt;wsp:rsid wsp:val=&quot;00FC34F9&quot;/&gt;&lt;wsp:rsid wsp:val=&quot;00FC39EF&quot;/&gt;&lt;wsp:rsid wsp:val=&quot;00FC3F07&quot;/&gt;&lt;wsp:rsid wsp:val=&quot;00FC3F0E&quot;/&gt;&lt;wsp:rsid wsp:val=&quot;00FC41AB&quot;/&gt;&lt;wsp:rsid wsp:val=&quot;00FC44D4&quot;/&gt;&lt;wsp:rsid wsp:val=&quot;00FC52A8&quot;/&gt;&lt;wsp:rsid wsp:val=&quot;00FC582F&quot;/&gt;&lt;wsp:rsid wsp:val=&quot;00FC5E12&quot;/&gt;&lt;wsp:rsid wsp:val=&quot;00FC5EB1&quot;/&gt;&lt;wsp:rsid wsp:val=&quot;00FC5F14&quot;/&gt;&lt;wsp:rsid wsp:val=&quot;00FC5FD6&quot;/&gt;&lt;wsp:rsid wsp:val=&quot;00FC61FF&quot;/&gt;&lt;wsp:rsid wsp:val=&quot;00FC7681&quot;/&gt;&lt;wsp:rsid wsp:val=&quot;00FC78A9&quot;/&gt;&lt;wsp:rsid wsp:val=&quot;00FD00E7&quot;/&gt;&lt;wsp:rsid wsp:val=&quot;00FD015C&quot;/&gt;&lt;wsp:rsid wsp:val=&quot;00FD051F&quot;/&gt;&lt;wsp:rsid wsp:val=&quot;00FD07F8&quot;/&gt;&lt;wsp:rsid wsp:val=&quot;00FD0EA2&quot;/&gt;&lt;wsp:rsid wsp:val=&quot;00FD1375&quot;/&gt;&lt;wsp:rsid wsp:val=&quot;00FD1CFD&quot;/&gt;&lt;wsp:rsid wsp:val=&quot;00FD2073&quot;/&gt;&lt;wsp:rsid wsp:val=&quot;00FD22A4&quot;/&gt;&lt;wsp:rsid wsp:val=&quot;00FD24D9&quot;/&gt;&lt;wsp:rsid wsp:val=&quot;00FD2676&quot;/&gt;&lt;wsp:rsid wsp:val=&quot;00FD2822&quot;/&gt;&lt;wsp:rsid wsp:val=&quot;00FD2F02&quot;/&gt;&lt;wsp:rsid wsp:val=&quot;00FD2FA4&quot;/&gt;&lt;wsp:rsid wsp:val=&quot;00FD33FA&quot;/&gt;&lt;wsp:rsid wsp:val=&quot;00FD4370&quot;/&gt;&lt;wsp:rsid wsp:val=&quot;00FD4992&quot;/&gt;&lt;wsp:rsid wsp:val=&quot;00FD4C41&quot;/&gt;&lt;wsp:rsid wsp:val=&quot;00FD4E4D&quot;/&gt;&lt;wsp:rsid wsp:val=&quot;00FD5400&quot;/&gt;&lt;wsp:rsid wsp:val=&quot;00FD57BB&quot;/&gt;&lt;wsp:rsid wsp:val=&quot;00FD5807&quot;/&gt;&lt;wsp:rsid wsp:val=&quot;00FD5AED&quot;/&gt;&lt;wsp:rsid wsp:val=&quot;00FD5C33&quot;/&gt;&lt;wsp:rsid wsp:val=&quot;00FD64D1&quot;/&gt;&lt;wsp:rsid wsp:val=&quot;00FD6CF6&quot;/&gt;&lt;wsp:rsid wsp:val=&quot;00FD6EC4&quot;/&gt;&lt;wsp:rsid wsp:val=&quot;00FD6F67&quot;/&gt;&lt;wsp:rsid wsp:val=&quot;00FD734F&quot;/&gt;&lt;wsp:rsid wsp:val=&quot;00FD7B2F&quot;/&gt;&lt;wsp:rsid wsp:val=&quot;00FE080F&quot;/&gt;&lt;wsp:rsid wsp:val=&quot;00FE0909&quot;/&gt;&lt;wsp:rsid wsp:val=&quot;00FE0B60&quot;/&gt;&lt;wsp:rsid wsp:val=&quot;00FE0C37&quot;/&gt;&lt;wsp:rsid wsp:val=&quot;00FE1048&quot;/&gt;&lt;wsp:rsid wsp:val=&quot;00FE1266&quot;/&gt;&lt;wsp:rsid wsp:val=&quot;00FE17F3&quot;/&gt;&lt;wsp:rsid wsp:val=&quot;00FE1890&quot;/&gt;&lt;wsp:rsid wsp:val=&quot;00FE1983&quot;/&gt;&lt;wsp:rsid wsp:val=&quot;00FE1E06&quot;/&gt;&lt;wsp:rsid wsp:val=&quot;00FE2264&quot;/&gt;&lt;wsp:rsid wsp:val=&quot;00FE2701&quot;/&gt;&lt;wsp:rsid wsp:val=&quot;00FE2862&quot;/&gt;&lt;wsp:rsid wsp:val=&quot;00FE2A92&quot;/&gt;&lt;wsp:rsid wsp:val=&quot;00FE2BB3&quot;/&gt;&lt;wsp:rsid wsp:val=&quot;00FE2D2E&quot;/&gt;&lt;wsp:rsid wsp:val=&quot;00FE30D0&quot;/&gt;&lt;wsp:rsid wsp:val=&quot;00FE314C&quot;/&gt;&lt;wsp:rsid wsp:val=&quot;00FE352A&quot;/&gt;&lt;wsp:rsid wsp:val=&quot;00FE37C8&quot;/&gt;&lt;wsp:rsid wsp:val=&quot;00FE38E7&quot;/&gt;&lt;wsp:rsid wsp:val=&quot;00FE3F2D&quot;/&gt;&lt;wsp:rsid wsp:val=&quot;00FE40CB&quot;/&gt;&lt;wsp:rsid wsp:val=&quot;00FE4370&quot;/&gt;&lt;wsp:rsid wsp:val=&quot;00FE4CA5&quot;/&gt;&lt;wsp:rsid wsp:val=&quot;00FE5157&quot;/&gt;&lt;wsp:rsid wsp:val=&quot;00FE529D&quot;/&gt;&lt;wsp:rsid wsp:val=&quot;00FE54CF&quot;/&gt;&lt;wsp:rsid wsp:val=&quot;00FE59AB&quot;/&gt;&lt;wsp:rsid wsp:val=&quot;00FE5CAD&quot;/&gt;&lt;wsp:rsid wsp:val=&quot;00FE5EE2&quot;/&gt;&lt;wsp:rsid wsp:val=&quot;00FE61CB&quot;/&gt;&lt;wsp:rsid wsp:val=&quot;00FE661A&quot;/&gt;&lt;wsp:rsid wsp:val=&quot;00FE6987&quot;/&gt;&lt;wsp:rsid wsp:val=&quot;00FE6CF6&quot;/&gt;&lt;wsp:rsid wsp:val=&quot;00FE7145&quot;/&gt;&lt;wsp:rsid wsp:val=&quot;00FE7180&quot;/&gt;&lt;wsp:rsid wsp:val=&quot;00FE771F&quot;/&gt;&lt;wsp:rsid wsp:val=&quot;00FE7B66&quot;/&gt;&lt;wsp:rsid wsp:val=&quot;00FF01A2&quot;/&gt;&lt;wsp:rsid wsp:val=&quot;00FF0599&quot;/&gt;&lt;wsp:rsid wsp:val=&quot;00FF0B91&quot;/&gt;&lt;wsp:rsid wsp:val=&quot;00FF0DFF&quot;/&gt;&lt;wsp:rsid wsp:val=&quot;00FF13E9&quot;/&gt;&lt;wsp:rsid wsp:val=&quot;00FF16BE&quot;/&gt;&lt;wsp:rsid wsp:val=&quot;00FF1CCF&quot;/&gt;&lt;wsp:rsid wsp:val=&quot;00FF21C5&quot;/&gt;&lt;wsp:rsid wsp:val=&quot;00FF258D&quot;/&gt;&lt;wsp:rsid wsp:val=&quot;00FF2652&quot;/&gt;&lt;wsp:rsid wsp:val=&quot;00FF27BB&quot;/&gt;&lt;wsp:rsid wsp:val=&quot;00FF2B7E&quot;/&gt;&lt;wsp:rsid wsp:val=&quot;00FF2D2A&quot;/&gt;&lt;wsp:rsid wsp:val=&quot;00FF3936&quot;/&gt;&lt;wsp:rsid wsp:val=&quot;00FF3B19&quot;/&gt;&lt;wsp:rsid wsp:val=&quot;00FF3D88&quot;/&gt;&lt;wsp:rsid wsp:val=&quot;00FF445B&quot;/&gt;&lt;wsp:rsid wsp:val=&quot;00FF45AC&quot;/&gt;&lt;wsp:rsid wsp:val=&quot;00FF4A33&quot;/&gt;&lt;wsp:rsid wsp:val=&quot;00FF4CBD&quot;/&gt;&lt;wsp:rsid wsp:val=&quot;00FF4E1A&quot;/&gt;&lt;wsp:rsid wsp:val=&quot;00FF4E9C&quot;/&gt;&lt;wsp:rsid wsp:val=&quot;00FF5012&quot;/&gt;&lt;wsp:rsid wsp:val=&quot;00FF52C9&quot;/&gt;&lt;wsp:rsid wsp:val=&quot;00FF53DB&quot;/&gt;&lt;wsp:rsid wsp:val=&quot;00FF5460&quot;/&gt;&lt;wsp:rsid wsp:val=&quot;00FF63E0&quot;/&gt;&lt;wsp:rsid wsp:val=&quot;00FF643A&quot;/&gt;&lt;wsp:rsid wsp:val=&quot;00FF6E03&quot;/&gt;&lt;wsp:rsid wsp:val=&quot;00FF6FFA&quot;/&gt;&lt;wsp:rsid wsp:val=&quot;00FF7079&quot;/&gt;&lt;wsp:rsid wsp:val=&quot;00FF72BE&quot;/&gt;&lt;wsp:rsid wsp:val=&quot;00FF7522&quot;/&gt;&lt;wsp:rsid wsp:val=&quot;00FF7598&quot;/&gt;&lt;wsp:rsid wsp:val=&quot;01415FE5&quot;/&gt;&lt;wsp:rsid wsp:val=&quot;016F0D06&quot;/&gt;&lt;wsp:rsid wsp:val=&quot;01757940&quot;/&gt;&lt;wsp:rsid wsp:val=&quot;017D380F&quot;/&gt;&lt;wsp:rsid wsp:val=&quot;019065BA&quot;/&gt;&lt;wsp:rsid wsp:val=&quot;01953A3F&quot;/&gt;&lt;wsp:rsid wsp:val=&quot;01BF0AE6&quot;/&gt;&lt;wsp:rsid wsp:val=&quot;01C166F4&quot;/&gt;&lt;wsp:rsid wsp:val=&quot;01FA253F&quot;/&gt;&lt;wsp:rsid wsp:val=&quot;01FC66F2&quot;/&gt;&lt;wsp:rsid wsp:val=&quot;02105F39&quot;/&gt;&lt;wsp:rsid wsp:val=&quot;02452AB5&quot;/&gt;&lt;wsp:rsid wsp:val=&quot;02710FDB&quot;/&gt;&lt;wsp:rsid wsp:val=&quot;027A27B1&quot;/&gt;&lt;wsp:rsid wsp:val=&quot;02833870&quot;/&gt;&lt;wsp:rsid wsp:val=&quot;029465DE&quot;/&gt;&lt;wsp:rsid wsp:val=&quot;02AA4C24&quot;/&gt;&lt;wsp:rsid wsp:val=&quot;02E31761&quot;/&gt;&lt;wsp:rsid wsp:val=&quot;03122645&quot;/&gt;&lt;wsp:rsid wsp:val=&quot;031306C4&quot;/&gt;&lt;wsp:rsid wsp:val=&quot;034B37C8&quot;/&gt;&lt;wsp:rsid wsp:val=&quot;03910C0E&quot;/&gt;&lt;wsp:rsid wsp:val=&quot;039B50A8&quot;/&gt;&lt;wsp:rsid wsp:val=&quot;03BC15F1&quot;/&gt;&lt;wsp:rsid wsp:val=&quot;04133A2D&quot;/&gt;&lt;wsp:rsid wsp:val=&quot;04292B87&quot;/&gt;&lt;wsp:rsid wsp:val=&quot;043226C7&quot;/&gt;&lt;wsp:rsid wsp:val=&quot;043E5088&quot;/&gt;&lt;wsp:rsid wsp:val=&quot;04833F91&quot;/&gt;&lt;wsp:rsid wsp:val=&quot;04874089&quot;/&gt;&lt;wsp:rsid wsp:val=&quot;049B5114&quot;/&gt;&lt;wsp:rsid wsp:val=&quot;04CC2C5F&quot;/&gt;&lt;wsp:rsid wsp:val=&quot;04DF7408&quot;/&gt;&lt;wsp:rsid wsp:val=&quot;05291E1F&quot;/&gt;&lt;wsp:rsid wsp:val=&quot;053E0F56&quot;/&gt;&lt;wsp:rsid wsp:val=&quot;05715827&quot;/&gt;&lt;wsp:rsid wsp:val=&quot;05D7519E&quot;/&gt;&lt;wsp:rsid wsp:val=&quot;05EB6070&quot;/&gt;&lt;wsp:rsid wsp:val=&quot;05F81E96&quot;/&gt;&lt;wsp:rsid wsp:val=&quot;064743BD&quot;/&gt;&lt;wsp:rsid wsp:val=&quot;065C3E8B&quot;/&gt;&lt;wsp:rsid wsp:val=&quot;066164C8&quot;/&gt;&lt;wsp:rsid wsp:val=&quot;06990204&quot;/&gt;&lt;wsp:rsid wsp:val=&quot;06B17214&quot;/&gt;&lt;wsp:rsid wsp:val=&quot;06C9511D&quot;/&gt;&lt;wsp:rsid wsp:val=&quot;06CB4AF4&quot;/&gt;&lt;wsp:rsid wsp:val=&quot;070754B4&quot;/&gt;&lt;wsp:rsid wsp:val=&quot;07693597&quot;/&gt;&lt;wsp:rsid wsp:val=&quot;076B274E&quot;/&gt;&lt;wsp:rsid wsp:val=&quot;081704CA&quot;/&gt;&lt;wsp:rsid wsp:val=&quot;08393FC7&quot;/&gt;&lt;wsp:rsid wsp:val=&quot;085C7DC0&quot;/&gt;&lt;wsp:rsid wsp:val=&quot;08902443&quot;/&gt;&lt;wsp:rsid wsp:val=&quot;08CA3223&quot;/&gt;&lt;wsp:rsid wsp:val=&quot;08CC568F&quot;/&gt;&lt;wsp:rsid wsp:val=&quot;0915537C&quot;/&gt;&lt;wsp:rsid wsp:val=&quot;092F2A3B&quot;/&gt;&lt;wsp:rsid wsp:val=&quot;092F33B7&quot;/&gt;&lt;wsp:rsid wsp:val=&quot;093768CE&quot;/&gt;&lt;wsp:rsid wsp:val=&quot;09747A93&quot;/&gt;&lt;wsp:rsid wsp:val=&quot;099255A1&quot;/&gt;&lt;wsp:rsid wsp:val=&quot;09B01B15&quot;/&gt;&lt;wsp:rsid wsp:val=&quot;0A3021CC&quot;/&gt;&lt;wsp:rsid wsp:val=&quot;0A3B3622&quot;/&gt;&lt;wsp:rsid wsp:val=&quot;0A597CF5&quot;/&gt;&lt;wsp:rsid wsp:val=&quot;0A890F20&quot;/&gt;&lt;wsp:rsid wsp:val=&quot;0A9E4804&quot;/&gt;&lt;wsp:rsid wsp:val=&quot;0AB76DC4&quot;/&gt;&lt;wsp:rsid wsp:val=&quot;0B006FC5&quot;/&gt;&lt;wsp:rsid wsp:val=&quot;0B2A31DC&quot;/&gt;&lt;wsp:rsid wsp:val=&quot;0B9E41C6&quot;/&gt;&lt;wsp:rsid wsp:val=&quot;0BE0642A&quot;/&gt;&lt;wsp:rsid wsp:val=&quot;0BF27EFA&quot;/&gt;&lt;wsp:rsid wsp:val=&quot;0C083BA8&quot;/&gt;&lt;wsp:rsid wsp:val=&quot;0C1227F3&quot;/&gt;&lt;wsp:rsid wsp:val=&quot;0C376144&quot;/&gt;&lt;wsp:rsid wsp:val=&quot;0C613145&quot;/&gt;&lt;wsp:rsid wsp:val=&quot;0C9811DE&quot;/&gt;&lt;wsp:rsid wsp:val=&quot;0CAC4B37&quot;/&gt;&lt;wsp:rsid wsp:val=&quot;0CCF545B&quot;/&gt;&lt;wsp:rsid wsp:val=&quot;0D0738FD&quot;/&gt;&lt;wsp:rsid wsp:val=&quot;0D085C8C&quot;/&gt;&lt;wsp:rsid wsp:val=&quot;0D2158D9&quot;/&gt;&lt;wsp:rsid wsp:val=&quot;0D2328E8&quot;/&gt;&lt;wsp:rsid wsp:val=&quot;0D5C1EF2&quot;/&gt;&lt;wsp:rsid wsp:val=&quot;0D631EB4&quot;/&gt;&lt;wsp:rsid wsp:val=&quot;0D793528&quot;/&gt;&lt;wsp:rsid wsp:val=&quot;0D7E167C&quot;/&gt;&lt;wsp:rsid wsp:val=&quot;0DAA229E&quot;/&gt;&lt;wsp:rsid wsp:val=&quot;0DC76B6E&quot;/&gt;&lt;wsp:rsid wsp:val=&quot;0DF37F6C&quot;/&gt;&lt;wsp:rsid wsp:val=&quot;0DFA48CC&quot;/&gt;&lt;wsp:rsid wsp:val=&quot;0E431D4D&quot;/&gt;&lt;wsp:rsid wsp:val=&quot;0E607AFC&quot;/&gt;&lt;wsp:rsid wsp:val=&quot;0E6E17D1&quot;/&gt;&lt;wsp:rsid wsp:val=&quot;0E861EB6&quot;/&gt;&lt;wsp:rsid wsp:val=&quot;0E9443E5&quot;/&gt;&lt;wsp:rsid wsp:val=&quot;0EA36294&quot;/&gt;&lt;wsp:rsid wsp:val=&quot;0EB2476C&quot;/&gt;&lt;wsp:rsid wsp:val=&quot;0EC86F6F&quot;/&gt;&lt;wsp:rsid wsp:val=&quot;0F0105B3&quot;/&gt;&lt;wsp:rsid wsp:val=&quot;0F097F10&quot;/&gt;&lt;wsp:rsid wsp:val=&quot;0F0B30C1&quot;/&gt;&lt;wsp:rsid wsp:val=&quot;0F32469F&quot;/&gt;&lt;wsp:rsid wsp:val=&quot;0FA847F0&quot;/&gt;&lt;wsp:rsid wsp:val=&quot;0FCF584F&quot;/&gt;&lt;wsp:rsid wsp:val=&quot;0FE81A71&quot;/&gt;&lt;wsp:rsid wsp:val=&quot;10247D23&quot;/&gt;&lt;wsp:rsid wsp:val=&quot;10511863&quot;/&gt;&lt;wsp:rsid wsp:val=&quot;10821972&quot;/&gt;&lt;wsp:rsid wsp:val=&quot;10D93F75&quot;/&gt;&lt;wsp:rsid wsp:val=&quot;10E8298C&quot;/&gt;&lt;wsp:rsid wsp:val=&quot;110C145D&quot;/&gt;&lt;wsp:rsid wsp:val=&quot;111A3090&quot;/&gt;&lt;wsp:rsid wsp:val=&quot;1124611B&quot;/&gt;&lt;wsp:rsid wsp:val=&quot;11517AEC&quot;/&gt;&lt;wsp:rsid wsp:val=&quot;11637F9B&quot;/&gt;&lt;wsp:rsid wsp:val=&quot;116C080A&quot;/&gt;&lt;wsp:rsid wsp:val=&quot;11840E63&quot;/&gt;&lt;wsp:rsid wsp:val=&quot;11B13C7A&quot;/&gt;&lt;wsp:rsid wsp:val=&quot;11EB07E7&quot;/&gt;&lt;wsp:rsid wsp:val=&quot;12007799&quot;/&gt;&lt;wsp:rsid wsp:val=&quot;12081144&quot;/&gt;&lt;wsp:rsid wsp:val=&quot;123407FF&quot;/&gt;&lt;wsp:rsid wsp:val=&quot;12475AB8&quot;/&gt;&lt;wsp:rsid wsp:val=&quot;124C0828&quot;/&gt;&lt;wsp:rsid wsp:val=&quot;12572AAF&quot;/&gt;&lt;wsp:rsid wsp:val=&quot;12782B0D&quot;/&gt;&lt;wsp:rsid wsp:val=&quot;127D5A2B&quot;/&gt;&lt;wsp:rsid wsp:val=&quot;12880147&quot;/&gt;&lt;wsp:rsid wsp:val=&quot;12DE45FD&quot;/&gt;&lt;wsp:rsid wsp:val=&quot;130F2B82&quot;/&gt;&lt;wsp:rsid wsp:val=&quot;13830D1B&quot;/&gt;&lt;wsp:rsid wsp:val=&quot;138C7FDE&quot;/&gt;&lt;wsp:rsid wsp:val=&quot;13A70E18&quot;/&gt;&lt;wsp:rsid wsp:val=&quot;13D307EA&quot;/&gt;&lt;wsp:rsid wsp:val=&quot;13E52B1F&quot;/&gt;&lt;wsp:rsid wsp:val=&quot;13EA370B&quot;/&gt;&lt;wsp:rsid wsp:val=&quot;14492A04&quot;/&gt;&lt;wsp:rsid wsp:val=&quot;14570C43&quot;/&gt;&lt;wsp:rsid wsp:val=&quot;146B7E32&quot;/&gt;&lt;wsp:rsid wsp:val=&quot;14940DC8&quot;/&gt;&lt;wsp:rsid wsp:val=&quot;14D939B3&quot;/&gt;&lt;wsp:rsid wsp:val=&quot;15036B18&quot;/&gt;&lt;wsp:rsid wsp:val=&quot;15045696&quot;/&gt;&lt;wsp:rsid wsp:val=&quot;152754CD&quot;/&gt;&lt;wsp:rsid wsp:val=&quot;153A70FE&quot;/&gt;&lt;wsp:rsid wsp:val=&quot;15720710&quot;/&gt;&lt;wsp:rsid wsp:val=&quot;15DF59DA&quot;/&gt;&lt;wsp:rsid wsp:val=&quot;160D3FCC&quot;/&gt;&lt;wsp:rsid wsp:val=&quot;160F4E0B&quot;/&gt;&lt;wsp:rsid wsp:val=&quot;164752AE&quot;/&gt;&lt;wsp:rsid wsp:val=&quot;16ED5EEF&quot;/&gt;&lt;wsp:rsid wsp:val=&quot;17794E06&quot;/&gt;&lt;wsp:rsid wsp:val=&quot;17A200F9&quot;/&gt;&lt;wsp:rsid wsp:val=&quot;180D67FD&quot;/&gt;&lt;wsp:rsid wsp:val=&quot;181B7460&quot;/&gt;&lt;wsp:rsid wsp:val=&quot;188F4BB3&quot;/&gt;&lt;wsp:rsid wsp:val=&quot;18AC514D&quot;/&gt;&lt;wsp:rsid wsp:val=&quot;18D76298&quot;/&gt;&lt;wsp:rsid wsp:val=&quot;195347D3&quot;/&gt;&lt;wsp:rsid wsp:val=&quot;19735052&quot;/&gt;&lt;wsp:rsid wsp:val=&quot;19966AF1&quot;/&gt;&lt;wsp:rsid wsp:val=&quot;19BB2C71&quot;/&gt;&lt;wsp:rsid wsp:val=&quot;19BC649E&quot;/&gt;&lt;wsp:rsid wsp:val=&quot;1A15700F&quot;/&gt;&lt;wsp:rsid wsp:val=&quot;1A3D64BC&quot;/&gt;&lt;wsp:rsid wsp:val=&quot;1A6F4961&quot;/&gt;&lt;wsp:rsid wsp:val=&quot;1A6F5B4F&quot;/&gt;&lt;wsp:rsid wsp:val=&quot;1A873D79&quot;/&gt;&lt;wsp:rsid wsp:val=&quot;1A943962&quot;/&gt;&lt;wsp:rsid wsp:val=&quot;1A981A14&quot;/&gt;&lt;wsp:rsid wsp:val=&quot;1A9A53CD&quot;/&gt;&lt;wsp:rsid wsp:val=&quot;1AD52E27&quot;/&gt;&lt;wsp:rsid wsp:val=&quot;1AEA3452&quot;/&gt;&lt;wsp:rsid wsp:val=&quot;1B24529A&quot;/&gt;&lt;wsp:rsid wsp:val=&quot;1B6510A2&quot;/&gt;&lt;wsp:rsid wsp:val=&quot;1B783301&quot;/&gt;&lt;wsp:rsid wsp:val=&quot;1BC13A05&quot;/&gt;&lt;wsp:rsid wsp:val=&quot;1C580C50&quot;/&gt;&lt;wsp:rsid wsp:val=&quot;1C8A021D&quot;/&gt;&lt;wsp:rsid wsp:val=&quot;1C9327FA&quot;/&gt;&lt;wsp:rsid wsp:val=&quot;1CB94A98&quot;/&gt;&lt;wsp:rsid wsp:val=&quot;1D0A556F&quot;/&gt;&lt;wsp:rsid wsp:val=&quot;1D307C7F&quot;/&gt;&lt;wsp:rsid wsp:val=&quot;1D38618A&quot;/&gt;&lt;wsp:rsid wsp:val=&quot;1D4204B8&quot;/&gt;&lt;wsp:rsid wsp:val=&quot;1D4E08B6&quot;/&gt;&lt;wsp:rsid wsp:val=&quot;1D5A27F2&quot;/&gt;&lt;wsp:rsid wsp:val=&quot;1D6612E8&quot;/&gt;&lt;wsp:rsid wsp:val=&quot;1DAD4689&quot;/&gt;&lt;wsp:rsid wsp:val=&quot;1DED249C&quot;/&gt;&lt;wsp:rsid wsp:val=&quot;1DF85FDB&quot;/&gt;&lt;wsp:rsid wsp:val=&quot;1E3436D5&quot;/&gt;&lt;wsp:rsid wsp:val=&quot;1E382D17&quot;/&gt;&lt;wsp:rsid wsp:val=&quot;1E605C8C&quot;/&gt;&lt;wsp:rsid wsp:val=&quot;1E65194E&quot;/&gt;&lt;wsp:rsid wsp:val=&quot;1EAF7BE2&quot;/&gt;&lt;wsp:rsid wsp:val=&quot;1EB2332C&quot;/&gt;&lt;wsp:rsid wsp:val=&quot;1EB916C8&quot;/&gt;&lt;wsp:rsid wsp:val=&quot;1EFD4164&quot;/&gt;&lt;wsp:rsid wsp:val=&quot;1F1A0CBF&quot;/&gt;&lt;wsp:rsid wsp:val=&quot;1F4719AD&quot;/&gt;&lt;wsp:rsid wsp:val=&quot;1FBA7011&quot;/&gt;&lt;wsp:rsid wsp:val=&quot;1FEF4FB7&quot;/&gt;&lt;wsp:rsid wsp:val=&quot;200B7308&quot;/&gt;&lt;wsp:rsid wsp:val=&quot;20713A86&quot;/&gt;&lt;wsp:rsid wsp:val=&quot;20A900D3&quot;/&gt;&lt;wsp:rsid wsp:val=&quot;20D04E77&quot;/&gt;&lt;wsp:rsid wsp:val=&quot;20DD3A5A&quot;/&gt;&lt;wsp:rsid wsp:val=&quot;20F10467&quot;/&gt;&lt;wsp:rsid wsp:val=&quot;214C7989&quot;/&gt;&lt;wsp:rsid wsp:val=&quot;2165234F&quot;/&gt;&lt;wsp:rsid wsp:val=&quot;219D1CBD&quot;/&gt;&lt;wsp:rsid wsp:val=&quot;21A72B90&quot;/&gt;&lt;wsp:rsid wsp:val=&quot;21B81460&quot;/&gt;&lt;wsp:rsid wsp:val=&quot;21C924E9&quot;/&gt;&lt;wsp:rsid wsp:val=&quot;220505E8&quot;/&gt;&lt;wsp:rsid wsp:val=&quot;224C1F23&quot;/&gt;&lt;wsp:rsid wsp:val=&quot;22943E84&quot;/&gt;&lt;wsp:rsid wsp:val=&quot;22C40C3F&quot;/&gt;&lt;wsp:rsid wsp:val=&quot;2300710C&quot;/&gt;&lt;wsp:rsid wsp:val=&quot;23480256&quot;/&gt;&lt;wsp:rsid wsp:val=&quot;2375371D&quot;/&gt;&lt;wsp:rsid wsp:val=&quot;23CB58EA&quot;/&gt;&lt;wsp:rsid wsp:val=&quot;23DC76A6&quot;/&gt;&lt;wsp:rsid wsp:val=&quot;23DE7C42&quot;/&gt;&lt;wsp:rsid wsp:val=&quot;23F21740&quot;/&gt;&lt;wsp:rsid wsp:val=&quot;243D5695&quot;/&gt;&lt;wsp:rsid wsp:val=&quot;2460300B&quot;/&gt;&lt;wsp:rsid wsp:val=&quot;24746305&quot;/&gt;&lt;wsp:rsid wsp:val=&quot;247D7E0E&quot;/&gt;&lt;wsp:rsid wsp:val=&quot;24944663&quot;/&gt;&lt;wsp:rsid wsp:val=&quot;24BC31D3&quot;/&gt;&lt;wsp:rsid wsp:val=&quot;24C169D5&quot;/&gt;&lt;wsp:rsid wsp:val=&quot;24ED72A4&quot;/&gt;&lt;wsp:rsid wsp:val=&quot;25201627&quot;/&gt;&lt;wsp:rsid wsp:val=&quot;25484A85&quot;/&gt;&lt;wsp:rsid wsp:val=&quot;256C6D70&quot;/&gt;&lt;wsp:rsid wsp:val=&quot;256E06D7&quot;/&gt;&lt;wsp:rsid wsp:val=&quot;25864EB9&quot;/&gt;&lt;wsp:rsid wsp:val=&quot;25E04BC3&quot;/&gt;&lt;wsp:rsid wsp:val=&quot;260D2B9E&quot;/&gt;&lt;wsp:rsid wsp:val=&quot;263C4537&quot;/&gt;&lt;wsp:rsid wsp:val=&quot;263C523D&quot;/&gt;&lt;wsp:rsid wsp:val=&quot;26531A27&quot;/&gt;&lt;wsp:rsid wsp:val=&quot;26577261&quot;/&gt;&lt;wsp:rsid wsp:val=&quot;26660B72&quot;/&gt;&lt;wsp:rsid wsp:val=&quot;26A95F45&quot;/&gt;&lt;wsp:rsid wsp:val=&quot;26C6655B&quot;/&gt;&lt;wsp:rsid wsp:val=&quot;274F59EF&quot;/&gt;&lt;wsp:rsid wsp:val=&quot;27511BD6&quot;/&gt;&lt;wsp:rsid wsp:val=&quot;276D159F&quot;/&gt;&lt;wsp:rsid wsp:val=&quot;276D758B&quot;/&gt;&lt;wsp:rsid wsp:val=&quot;2777588C&quot;/&gt;&lt;wsp:rsid wsp:val=&quot;277D6FC2&quot;/&gt;&lt;wsp:rsid wsp:val=&quot;278A008E&quot;/&gt;&lt;wsp:rsid wsp:val=&quot;27C13091&quot;/&gt;&lt;wsp:rsid wsp:val=&quot;280D4AE1&quot;/&gt;&lt;wsp:rsid wsp:val=&quot;281745B5&quot;/&gt;&lt;wsp:rsid wsp:val=&quot;284802C8&quot;/&gt;&lt;wsp:rsid wsp:val=&quot;28A50DA0&quot;/&gt;&lt;wsp:rsid wsp:val=&quot;28AD136B&quot;/&gt;&lt;wsp:rsid wsp:val=&quot;28B36C40&quot;/&gt;&lt;wsp:rsid wsp:val=&quot;28DD4426&quot;/&gt;&lt;wsp:rsid wsp:val=&quot;28E17FE1&quot;/&gt;&lt;wsp:rsid wsp:val=&quot;28F40A64&quot;/&gt;&lt;wsp:rsid wsp:val=&quot;28F66E41&quot;/&gt;&lt;wsp:rsid wsp:val=&quot;290F1E7B&quot;/&gt;&lt;wsp:rsid wsp:val=&quot;294314E2&quot;/&gt;&lt;wsp:rsid wsp:val=&quot;29865772&quot;/&gt;&lt;wsp:rsid wsp:val=&quot;29B642C9&quot;/&gt;&lt;wsp:rsid wsp:val=&quot;29CB340C&quot;/&gt;&lt;wsp:rsid wsp:val=&quot;29CD16C8&quot;/&gt;&lt;wsp:rsid wsp:val=&quot;2A030F8A&quot;/&gt;&lt;wsp:rsid wsp:val=&quot;2A0E73C3&quot;/&gt;&lt;wsp:rsid wsp:val=&quot;2A1F2401&quot;/&gt;&lt;wsp:rsid wsp:val=&quot;2A466F4F&quot;/&gt;&lt;wsp:rsid wsp:val=&quot;2A9B4F45&quot;/&gt;&lt;wsp:rsid wsp:val=&quot;2ABD37F5&quot;/&gt;&lt;wsp:rsid wsp:val=&quot;2B095935&quot;/&gt;&lt;wsp:rsid wsp:val=&quot;2B172D9E&quot;/&gt;&lt;wsp:rsid wsp:val=&quot;2B462A2E&quot;/&gt;&lt;wsp:rsid wsp:val=&quot;2B5F2346&quot;/&gt;&lt;wsp:rsid wsp:val=&quot;2B87148A&quot;/&gt;&lt;wsp:rsid wsp:val=&quot;2BA0077B&quot;/&gt;&lt;wsp:rsid wsp:val=&quot;2BDC5E67&quot;/&gt;&lt;wsp:rsid wsp:val=&quot;2BFF2464&quot;/&gt;&lt;wsp:rsid wsp:val=&quot;2C0E7D14&quot;/&gt;&lt;wsp:rsid wsp:val=&quot;2CB432FC&quot;/&gt;&lt;wsp:rsid wsp:val=&quot;2CBD33CA&quot;/&gt;&lt;wsp:rsid wsp:val=&quot;2CCE6FA7&quot;/&gt;&lt;wsp:rsid wsp:val=&quot;2D1134A8&quot;/&gt;&lt;wsp:rsid wsp:val=&quot;2D1C3AF7&quot;/&gt;&lt;wsp:rsid wsp:val=&quot;2D5D0D68&quot;/&gt;&lt;wsp:rsid wsp:val=&quot;2DDA2544&quot;/&gt;&lt;wsp:rsid wsp:val=&quot;2DDA6C54&quot;/&gt;&lt;wsp:rsid wsp:val=&quot;2DED6433&quot;/&gt;&lt;wsp:rsid wsp:val=&quot;2DF96BF8&quot;/&gt;&lt;wsp:rsid wsp:val=&quot;2E0B0E2B&quot;/&gt;&lt;wsp:rsid wsp:val=&quot;2E2D233F&quot;/&gt;&lt;wsp:rsid wsp:val=&quot;2E336DAC&quot;/&gt;&lt;wsp:rsid wsp:val=&quot;2E732223&quot;/&gt;&lt;wsp:rsid wsp:val=&quot;2ED570D7&quot;/&gt;&lt;wsp:rsid wsp:val=&quot;2EDF21B0&quot;/&gt;&lt;wsp:rsid wsp:val=&quot;2EFB3C9C&quot;/&gt;&lt;wsp:rsid wsp:val=&quot;2F0D2584&quot;/&gt;&lt;wsp:rsid wsp:val=&quot;2F0D5BC4&quot;/&gt;&lt;wsp:rsid wsp:val=&quot;2F312903&quot;/&gt;&lt;wsp:rsid wsp:val=&quot;2F373FFA&quot;/&gt;&lt;wsp:rsid wsp:val=&quot;2F402768&quot;/&gt;&lt;wsp:rsid wsp:val=&quot;2FCB2E60&quot;/&gt;&lt;wsp:rsid wsp:val=&quot;2FF11189&quot;/&gt;&lt;wsp:rsid wsp:val=&quot;30166685&quot;/&gt;&lt;wsp:rsid wsp:val=&quot;30256C85&quot;/&gt;&lt;wsp:rsid wsp:val=&quot;30584578&quot;/&gt;&lt;wsp:rsid wsp:val=&quot;30814EEE&quot;/&gt;&lt;wsp:rsid wsp:val=&quot;30B1213C&quot;/&gt;&lt;wsp:rsid wsp:val=&quot;30DE6B20&quot;/&gt;&lt;wsp:rsid wsp:val=&quot;30EB4929&quot;/&gt;&lt;wsp:rsid wsp:val=&quot;30EB50B7&quot;/&gt;&lt;wsp:rsid wsp:val=&quot;30FF3D41&quot;/&gt;&lt;wsp:rsid wsp:val=&quot;315D3CB1&quot;/&gt;&lt;wsp:rsid wsp:val=&quot;32012B92&quot;/&gt;&lt;wsp:rsid wsp:val=&quot;32090739&quot;/&gt;&lt;wsp:rsid wsp:val=&quot;320B2190&quot;/&gt;&lt;wsp:rsid wsp:val=&quot;322F79DD&quot;/&gt;&lt;wsp:rsid wsp:val=&quot;323B7922&quot;/&gt;&lt;wsp:rsid wsp:val=&quot;324A05BB&quot;/&gt;&lt;wsp:rsid wsp:val=&quot;328F53BD&quot;/&gt;&lt;wsp:rsid wsp:val=&quot;32BB69E9&quot;/&gt;&lt;wsp:rsid wsp:val=&quot;33C57071&quot;/&gt;&lt;wsp:rsid wsp:val=&quot;33E4255C&quot;/&gt;&lt;wsp:rsid wsp:val=&quot;33F95CBC&quot;/&gt;&lt;wsp:rsid wsp:val=&quot;349171B1&quot;/&gt;&lt;wsp:rsid wsp:val=&quot;34D077F2&quot;/&gt;&lt;wsp:rsid wsp:val=&quot;34DB7025&quot;/&gt;&lt;wsp:rsid wsp:val=&quot;35B60E80&quot;/&gt;&lt;wsp:rsid wsp:val=&quot;35C3628B&quot;/&gt;&lt;wsp:rsid wsp:val=&quot;35FE7846&quot;/&gt;&lt;wsp:rsid wsp:val=&quot;361A37E9&quot;/&gt;&lt;wsp:rsid wsp:val=&quot;361E3EEB&quot;/&gt;&lt;wsp:rsid wsp:val=&quot;364A5D09&quot;/&gt;&lt;wsp:rsid wsp:val=&quot;367605F0&quot;/&gt;&lt;wsp:rsid wsp:val=&quot;36D137A6&quot;/&gt;&lt;wsp:rsid wsp:val=&quot;36DD5160&quot;/&gt;&lt;wsp:rsid wsp:val=&quot;372E2785&quot;/&gt;&lt;wsp:rsid wsp:val=&quot;37463790&quot;/&gt;&lt;wsp:rsid wsp:val=&quot;376E5C54&quot;/&gt;&lt;wsp:rsid wsp:val=&quot;378808AD&quot;/&gt;&lt;wsp:rsid wsp:val=&quot;37AD1C20&quot;/&gt;&lt;wsp:rsid wsp:val=&quot;37C61845&quot;/&gt;&lt;wsp:rsid wsp:val=&quot;37D77901&quot;/&gt;&lt;wsp:rsid wsp:val=&quot;37EE388E&quot;/&gt;&lt;wsp:rsid wsp:val=&quot;38501F01&quot;/&gt;&lt;wsp:rsid wsp:val=&quot;38633A78&quot;/&gt;&lt;wsp:rsid wsp:val=&quot;386D3E1A&quot;/&gt;&lt;wsp:rsid wsp:val=&quot;387900AE&quot;/&gt;&lt;wsp:rsid wsp:val=&quot;38D60219&quot;/&gt;&lt;wsp:rsid wsp:val=&quot;38EC22C3&quot;/&gt;&lt;wsp:rsid wsp:val=&quot;39034EF3&quot;/&gt;&lt;wsp:rsid wsp:val=&quot;391B11B7&quot;/&gt;&lt;wsp:rsid wsp:val=&quot;391E136B&quot;/&gt;&lt;wsp:rsid wsp:val=&quot;395753AC&quot;/&gt;&lt;wsp:rsid wsp:val=&quot;395B5602&quot;/&gt;&lt;wsp:rsid wsp:val=&quot;39803530&quot;/&gt;&lt;wsp:rsid wsp:val=&quot;398464ED&quot;/&gt;&lt;wsp:rsid wsp:val=&quot;39D70E7A&quot;/&gt;&lt;wsp:rsid wsp:val=&quot;39E24207&quot;/&gt;&lt;wsp:rsid wsp:val=&quot;39E75B0F&quot;/&gt;&lt;wsp:rsid wsp:val=&quot;3A9B7A40&quot;/&gt;&lt;wsp:rsid wsp:val=&quot;3ADE6844&quot;/&gt;&lt;wsp:rsid wsp:val=&quot;3ADF5690&quot;/&gt;&lt;wsp:rsid wsp:val=&quot;3BD55156&quot;/&gt;&lt;wsp:rsid wsp:val=&quot;3BF7433C&quot;/&gt;&lt;wsp:rsid wsp:val=&quot;3C0A065A&quot;/&gt;&lt;wsp:rsid wsp:val=&quot;3C394F22&quot;/&gt;&lt;wsp:rsid wsp:val=&quot;3C803199&quot;/&gt;&lt;wsp:rsid wsp:val=&quot;3C82518B&quot;/&gt;&lt;wsp:rsid wsp:val=&quot;3CB20C9B&quot;/&gt;&lt;wsp:rsid wsp:val=&quot;3CE50FE6&quot;/&gt;&lt;wsp:rsid wsp:val=&quot;3D1C097A&quot;/&gt;&lt;wsp:rsid wsp:val=&quot;3D2316E0&quot;/&gt;&lt;wsp:rsid wsp:val=&quot;3D242B1D&quot;/&gt;&lt;wsp:rsid wsp:val=&quot;3D28490E&quot;/&gt;&lt;wsp:rsid wsp:val=&quot;3D471932&quot;/&gt;&lt;wsp:rsid wsp:val=&quot;3D5A692C&quot;/&gt;&lt;wsp:rsid wsp:val=&quot;3D61225D&quot;/&gt;&lt;wsp:rsid wsp:val=&quot;3D873829&quot;/&gt;&lt;wsp:rsid wsp:val=&quot;3DBA3B41&quot;/&gt;&lt;wsp:rsid wsp:val=&quot;3DCC50BE&quot;/&gt;&lt;wsp:rsid wsp:val=&quot;3E452E47&quot;/&gt;&lt;wsp:rsid wsp:val=&quot;3E46706F&quot;/&gt;&lt;wsp:rsid wsp:val=&quot;3E9E3F5F&quot;/&gt;&lt;wsp:rsid wsp:val=&quot;3EA8374B&quot;/&gt;&lt;wsp:rsid wsp:val=&quot;3EA92A8E&quot;/&gt;&lt;wsp:rsid wsp:val=&quot;3EAF1D21&quot;/&gt;&lt;wsp:rsid wsp:val=&quot;3EB2505C&quot;/&gt;&lt;wsp:rsid wsp:val=&quot;3F2143BA&quot;/&gt;&lt;wsp:rsid wsp:val=&quot;3F2C7150&quot;/&gt;&lt;wsp:rsid wsp:val=&quot;3F2E5F44&quot;/&gt;&lt;wsp:rsid wsp:val=&quot;3F32004D&quot;/&gt;&lt;wsp:rsid wsp:val=&quot;3F3F1286&quot;/&gt;&lt;wsp:rsid wsp:val=&quot;3F5D1C02&quot;/&gt;&lt;wsp:rsid wsp:val=&quot;3F6F6320&quot;/&gt;&lt;wsp:rsid wsp:val=&quot;3FA61547&quot;/&gt;&lt;wsp:rsid wsp:val=&quot;3FD85F5B&quot;/&gt;&lt;wsp:rsid wsp:val=&quot;40066CE4&quot;/&gt;&lt;wsp:rsid wsp:val=&quot;404C3530&quot;/&gt;&lt;wsp:rsid wsp:val=&quot;40640F50&quot;/&gt;&lt;wsp:rsid wsp:val=&quot;4073053A&quot;/&gt;&lt;wsp:rsid wsp:val=&quot;40CC17E3&quot;/&gt;&lt;wsp:rsid wsp:val=&quot;40E87CEA&quot;/&gt;&lt;wsp:rsid wsp:val=&quot;411B35A5&quot;/&gt;&lt;wsp:rsid wsp:val=&quot;41303BBB&quot;/&gt;&lt;wsp:rsid wsp:val=&quot;414469D9&quot;/&gt;&lt;wsp:rsid wsp:val=&quot;4148460B&quot;/&gt;&lt;wsp:rsid wsp:val=&quot;414F1FB2&quot;/&gt;&lt;wsp:rsid wsp:val=&quot;415C28FA&quot;/&gt;&lt;wsp:rsid wsp:val=&quot;417838C4&quot;/&gt;&lt;wsp:rsid wsp:val=&quot;417E77D7&quot;/&gt;&lt;wsp:rsid wsp:val=&quot;41A14061&quot;/&gt;&lt;wsp:rsid wsp:val=&quot;41B23089&quot;/&gt;&lt;wsp:rsid wsp:val=&quot;41B93036&quot;/&gt;&lt;wsp:rsid wsp:val=&quot;42201F87&quot;/&gt;&lt;wsp:rsid wsp:val=&quot;4230506D&quot;/&gt;&lt;wsp:rsid wsp:val=&quot;42431FFC&quot;/&gt;&lt;wsp:rsid wsp:val=&quot;42643643&quot;/&gt;&lt;wsp:rsid wsp:val=&quot;4289555C&quot;/&gt;&lt;wsp:rsid wsp:val=&quot;42B06A84&quot;/&gt;&lt;wsp:rsid wsp:val=&quot;42D65CF8&quot;/&gt;&lt;wsp:rsid wsp:val=&quot;42DB2F6B&quot;/&gt;&lt;wsp:rsid wsp:val=&quot;42E3229E&quot;/&gt;&lt;wsp:rsid wsp:val=&quot;42F76746&quot;/&gt;&lt;wsp:rsid wsp:val=&quot;430F5A79&quot;/&gt;&lt;wsp:rsid wsp:val=&quot;432C688E&quot;/&gt;&lt;wsp:rsid wsp:val=&quot;437645EA&quot;/&gt;&lt;wsp:rsid wsp:val=&quot;438965F2&quot;/&gt;&lt;wsp:rsid wsp:val=&quot;438B49D7&quot;/&gt;&lt;wsp:rsid wsp:val=&quot;43964A00&quot;/&gt;&lt;wsp:rsid wsp:val=&quot;43A3194B&quot;/&gt;&lt;wsp:rsid wsp:val=&quot;43C004B9&quot;/&gt;&lt;wsp:rsid wsp:val=&quot;44046E3F&quot;/&gt;&lt;wsp:rsid wsp:val=&quot;44363274&quot;/&gt;&lt;wsp:rsid wsp:val=&quot;445C0110&quot;/&gt;&lt;wsp:rsid wsp:val=&quot;4466014D&quot;/&gt;&lt;wsp:rsid wsp:val=&quot;44895FC2&quot;/&gt;&lt;wsp:rsid wsp:val=&quot;44A60836&quot;/&gt;&lt;wsp:rsid wsp:val=&quot;44E90CFB&quot;/&gt;&lt;wsp:rsid wsp:val=&quot;457172A4&quot;/&gt;&lt;wsp:rsid wsp:val=&quot;45753B2D&quot;/&gt;&lt;wsp:rsid wsp:val=&quot;458E0791&quot;/&gt;&lt;wsp:rsid wsp:val=&quot;45B56A56&quot;/&gt;&lt;wsp:rsid wsp:val=&quot;45E94812&quot;/&gt;&lt;wsp:rsid wsp:val=&quot;4606306A&quot;/&gt;&lt;wsp:rsid wsp:val=&quot;46163AA9&quot;/&gt;&lt;wsp:rsid wsp:val=&quot;464B35C0&quot;/&gt;&lt;wsp:rsid wsp:val=&quot;46690A43&quot;/&gt;&lt;wsp:rsid wsp:val=&quot;46986D0B&quot;/&gt;&lt;wsp:rsid wsp:val=&quot;46B040D3&quot;/&gt;&lt;wsp:rsid wsp:val=&quot;46E9731D&quot;/&gt;&lt;wsp:rsid wsp:val=&quot;47251E42&quot;/&gt;&lt;wsp:rsid wsp:val=&quot;473B5CE5&quot;/&gt;&lt;wsp:rsid wsp:val=&quot;473C5719&quot;/&gt;&lt;wsp:rsid wsp:val=&quot;47A43544&quot;/&gt;&lt;wsp:rsid wsp:val=&quot;480B2B37&quot;/&gt;&lt;wsp:rsid wsp:val=&quot;48365F56&quot;/&gt;&lt;wsp:rsid wsp:val=&quot;48DA1197&quot;/&gt;&lt;wsp:rsid wsp:val=&quot;48EA7040&quot;/&gt;&lt;wsp:rsid wsp:val=&quot;49007441&quot;/&gt;&lt;wsp:rsid wsp:val=&quot;4960513D&quot;/&gt;&lt;wsp:rsid wsp:val=&quot;496E20EB&quot;/&gt;&lt;wsp:rsid wsp:val=&quot;49791FEE&quot;/&gt;&lt;wsp:rsid wsp:val=&quot;49A719CD&quot;/&gt;&lt;wsp:rsid wsp:val=&quot;49BD37FA&quot;/&gt;&lt;wsp:rsid wsp:val=&quot;49E56F19&quot;/&gt;&lt;wsp:rsid wsp:val=&quot;4A663C8A&quot;/&gt;&lt;wsp:rsid wsp:val=&quot;4A88627C&quot;/&gt;&lt;wsp:rsid wsp:val=&quot;4A8E2D13&quot;/&gt;&lt;wsp:rsid wsp:val=&quot;4ABE1DA7&quot;/&gt;&lt;wsp:rsid wsp:val=&quot;4AD62B21&quot;/&gt;&lt;wsp:rsid wsp:val=&quot;4AF137FB&quot;/&gt;&lt;wsp:rsid wsp:val=&quot;4B172495&quot;/&gt;&lt;wsp:rsid wsp:val=&quot;4B1E675F&quot;/&gt;&lt;wsp:rsid wsp:val=&quot;4B2C5D5B&quot;/&gt;&lt;wsp:rsid wsp:val=&quot;4B63183A&quot;/&gt;&lt;wsp:rsid wsp:val=&quot;4BB41E44&quot;/&gt;&lt;wsp:rsid wsp:val=&quot;4BD11B39&quot;/&gt;&lt;wsp:rsid wsp:val=&quot;4BE26767&quot;/&gt;&lt;wsp:rsid wsp:val=&quot;4BF5445B&quot;/&gt;&lt;wsp:rsid wsp:val=&quot;4C0A2CBF&quot;/&gt;&lt;wsp:rsid wsp:val=&quot;4C874D8E&quot;/&gt;&lt;wsp:rsid wsp:val=&quot;4C897C4A&quot;/&gt;&lt;wsp:rsid wsp:val=&quot;4CAF4D1F&quot;/&gt;&lt;wsp:rsid wsp:val=&quot;4CDB2216&quot;/&gt;&lt;wsp:rsid wsp:val=&quot;4D0C1539&quot;/&gt;&lt;wsp:rsid wsp:val=&quot;4D454300&quot;/&gt;&lt;wsp:rsid wsp:val=&quot;4D564FE0&quot;/&gt;&lt;wsp:rsid wsp:val=&quot;4D5C02C6&quot;/&gt;&lt;wsp:rsid wsp:val=&quot;4D6B0E41&quot;/&gt;&lt;wsp:rsid wsp:val=&quot;4D947E50&quot;/&gt;&lt;wsp:rsid wsp:val=&quot;4D9A5CA2&quot;/&gt;&lt;wsp:rsid wsp:val=&quot;4DA0333B&quot;/&gt;&lt;wsp:rsid wsp:val=&quot;4DAE0055&quot;/&gt;&lt;wsp:rsid wsp:val=&quot;4DD24C72&quot;/&gt;&lt;wsp:rsid wsp:val=&quot;4DE04782&quot;/&gt;&lt;wsp:rsid wsp:val=&quot;4DF156F4&quot;/&gt;&lt;wsp:rsid wsp:val=&quot;4E0C1458&quot;/&gt;&lt;wsp:rsid wsp:val=&quot;4E443E74&quot;/&gt;&lt;wsp:rsid wsp:val=&quot;4E666BE0&quot;/&gt;&lt;wsp:rsid wsp:val=&quot;4EA24DAE&quot;/&gt;&lt;wsp:rsid wsp:val=&quot;4EE20D1B&quot;/&gt;&lt;wsp:rsid wsp:val=&quot;4EE41921&quot;/&gt;&lt;wsp:rsid wsp:val=&quot;4EFD18C0&quot;/&gt;&lt;wsp:rsid wsp:val=&quot;4EFE757C&quot;/&gt;&lt;wsp:rsid wsp:val=&quot;4F015442&quot;/&gt;&lt;wsp:rsid wsp:val=&quot;4F1C0FF8&quot;/&gt;&lt;wsp:rsid wsp:val=&quot;4F3978A8&quot;/&gt;&lt;wsp:rsid wsp:val=&quot;4F4A021A&quot;/&gt;&lt;wsp:rsid wsp:val=&quot;4FD02DDC&quot;/&gt;&lt;wsp:rsid wsp:val=&quot;4FD469DF&quot;/&gt;&lt;wsp:rsid wsp:val=&quot;4FE45624&quot;/&gt;&lt;wsp:rsid wsp:val=&quot;504E1890&quot;/&gt;&lt;wsp:rsid wsp:val=&quot;505A1A55&quot;/&gt;&lt;wsp:rsid wsp:val=&quot;50791A7F&quot;/&gt;&lt;wsp:rsid wsp:val=&quot;5094364E&quot;/&gt;&lt;wsp:rsid wsp:val=&quot;50A46DF1&quot;/&gt;&lt;wsp:rsid wsp:val=&quot;50C20AB4&quot;/&gt;&lt;wsp:rsid wsp:val=&quot;50D0060B&quot;/&gt;&lt;wsp:rsid wsp:val=&quot;50D96D03&quot;/&gt;&lt;wsp:rsid wsp:val=&quot;510E0B92&quot;/&gt;&lt;wsp:rsid wsp:val=&quot;51265078&quot;/&gt;&lt;wsp:rsid wsp:val=&quot;513B3915&quot;/&gt;&lt;wsp:rsid wsp:val=&quot;5150479E&quot;/&gt;&lt;wsp:rsid wsp:val=&quot;515917B1&quot;/&gt;&lt;wsp:rsid wsp:val=&quot;51617ACD&quot;/&gt;&lt;wsp:rsid wsp:val=&quot;519E3D7D&quot;/&gt;&lt;wsp:rsid wsp:val=&quot;525846B2&quot;/&gt;&lt;wsp:rsid wsp:val=&quot;528A3BDD&quot;/&gt;&lt;wsp:rsid wsp:val=&quot;528C263E&quot;/&gt;&lt;wsp:rsid wsp:val=&quot;52EF29EA&quot;/&gt;&lt;wsp:rsid wsp:val=&quot;53076EE6&quot;/&gt;&lt;wsp:rsid wsp:val=&quot;53430DF5&quot;/&gt;&lt;wsp:rsid wsp:val=&quot;53587C56&quot;/&gt;&lt;wsp:rsid wsp:val=&quot;53826273&quot;/&gt;&lt;wsp:rsid wsp:val=&quot;53DF3BE1&quot;/&gt;&lt;wsp:rsid wsp:val=&quot;54172B81&quot;/&gt;&lt;wsp:rsid wsp:val=&quot;541A66F2&quot;/&gt;&lt;wsp:rsid wsp:val=&quot;54216C5A&quot;/&gt;&lt;wsp:rsid wsp:val=&quot;54806771&quot;/&gt;&lt;wsp:rsid wsp:val=&quot;54D4025F&quot;/&gt;&lt;wsp:rsid wsp:val=&quot;54D95948&quot;/&gt;&lt;wsp:rsid wsp:val=&quot;551F3E54&quot;/&gt;&lt;wsp:rsid wsp:val=&quot;55444A80&quot;/&gt;&lt;wsp:rsid wsp:val=&quot;55545112&quot;/&gt;&lt;wsp:rsid wsp:val=&quot;558701FB&quot;/&gt;&lt;wsp:rsid wsp:val=&quot;55874F40&quot;/&gt;&lt;wsp:rsid wsp:val=&quot;558B306E&quot;/&gt;&lt;wsp:rsid wsp:val=&quot;55994037&quot;/&gt;&lt;wsp:rsid wsp:val=&quot;55D54FF2&quot;/&gt;&lt;wsp:rsid wsp:val=&quot;55DF4E88&quot;/&gt;&lt;wsp:rsid wsp:val=&quot;560321F1&quot;/&gt;&lt;wsp:rsid wsp:val=&quot;563C1221&quot;/&gt;&lt;wsp:rsid wsp:val=&quot;566B5300&quot;/&gt;&lt;wsp:rsid wsp:val=&quot;56CF135A&quot;/&gt;&lt;wsp:rsid wsp:val=&quot;57016FCE&quot;/&gt;&lt;wsp:rsid wsp:val=&quot;57100045&quot;/&gt;&lt;wsp:rsid wsp:val=&quot;57716378&quot;/&gt;&lt;wsp:rsid wsp:val=&quot;577225FD&quot;/&gt;&lt;wsp:rsid wsp:val=&quot;57BB25E4&quot;/&gt;&lt;wsp:rsid wsp:val=&quot;57C62553&quot;/&gt;&lt;wsp:rsid wsp:val=&quot;57DA54CC&quot;/&gt;&lt;wsp:rsid wsp:val=&quot;58533AD8&quot;/&gt;&lt;wsp:rsid wsp:val=&quot;589B29E5&quot;/&gt;&lt;wsp:rsid wsp:val=&quot;58A45951&quot;/&gt;&lt;wsp:rsid wsp:val=&quot;58C32CA1&quot;/&gt;&lt;wsp:rsid wsp:val=&quot;59360835&quot;/&gt;&lt;wsp:rsid wsp:val=&quot;59403ACB&quot;/&gt;&lt;wsp:rsid wsp:val=&quot;59887D89&quot;/&gt;&lt;wsp:rsid wsp:val=&quot;59A43E68&quot;/&gt;&lt;wsp:rsid wsp:val=&quot;59BB0B13&quot;/&gt;&lt;wsp:rsid wsp:val=&quot;59C60638&quot;/&gt;&lt;wsp:rsid wsp:val=&quot;5A2B1AF4&quot;/&gt;&lt;wsp:rsid wsp:val=&quot;5A586AE9&quot;/&gt;&lt;wsp:rsid wsp:val=&quot;5A6C1DCF&quot;/&gt;&lt;wsp:rsid wsp:val=&quot;5AB853FB&quot;/&gt;&lt;wsp:rsid wsp:val=&quot;5AC819D7&quot;/&gt;&lt;wsp:rsid wsp:val=&quot;5B133ED4&quot;/&gt;&lt;wsp:rsid wsp:val=&quot;5B380613&quot;/&gt;&lt;wsp:rsid wsp:val=&quot;5BC06FEA&quot;/&gt;&lt;wsp:rsid wsp:val=&quot;5BC21DE2&quot;/&gt;&lt;wsp:rsid wsp:val=&quot;5C216719&quot;/&gt;&lt;wsp:rsid wsp:val=&quot;5C6F37EE&quot;/&gt;&lt;wsp:rsid wsp:val=&quot;5C7D32EC&quot;/&gt;&lt;wsp:rsid wsp:val=&quot;5C915128&quot;/&gt;&lt;wsp:rsid wsp:val=&quot;5CAC7477&quot;/&gt;&lt;wsp:rsid wsp:val=&quot;5CC13055&quot;/&gt;&lt;wsp:rsid wsp:val=&quot;5D6041F0&quot;/&gt;&lt;wsp:rsid wsp:val=&quot;5D8E1C21&quot;/&gt;&lt;wsp:rsid wsp:val=&quot;5D9777AC&quot;/&gt;&lt;wsp:rsid wsp:val=&quot;5DB5566F&quot;/&gt;&lt;wsp:rsid wsp:val=&quot;5DC61CB0&quot;/&gt;&lt;wsp:rsid wsp:val=&quot;5DDD778D&quot;/&gt;&lt;wsp:rsid wsp:val=&quot;5E53313F&quot;/&gt;&lt;wsp:rsid wsp:val=&quot;5E6A5B56&quot;/&gt;&lt;wsp:rsid wsp:val=&quot;5E6B6793&quot;/&gt;&lt;wsp:rsid wsp:val=&quot;5E8E63D7&quot;/&gt;&lt;wsp:rsid wsp:val=&quot;5EAF7EA1&quot;/&gt;&lt;wsp:rsid wsp:val=&quot;5EEE0ABF&quot;/&gt;&lt;wsp:rsid wsp:val=&quot;5EF5098B&quot;/&gt;&lt;wsp:rsid wsp:val=&quot;5EFA0F31&quot;/&gt;&lt;wsp:rsid wsp:val=&quot;5F1178F8&quot;/&gt;&lt;wsp:rsid wsp:val=&quot;5F262F21&quot;/&gt;&lt;wsp:rsid wsp:val=&quot;5F7D5CBA&quot;/&gt;&lt;wsp:rsid wsp:val=&quot;602500CC&quot;/&gt;&lt;wsp:rsid wsp:val=&quot;60446032&quot;/&gt;&lt;wsp:rsid wsp:val=&quot;60523E2E&quot;/&gt;&lt;wsp:rsid wsp:val=&quot;60554E98&quot;/&gt;&lt;wsp:rsid wsp:val=&quot;6064577E&quot;/&gt;&lt;wsp:rsid wsp:val=&quot;6075356F&quot;/&gt;&lt;wsp:rsid wsp:val=&quot;60956993&quot;/&gt;&lt;wsp:rsid wsp:val=&quot;60AF47F0&quot;/&gt;&lt;wsp:rsid wsp:val=&quot;60D922BB&quot;/&gt;&lt;wsp:rsid wsp:val=&quot;60DE6DBC&quot;/&gt;&lt;wsp:rsid wsp:val=&quot;60F76F71&quot;/&gt;&lt;wsp:rsid wsp:val=&quot;617D013C&quot;/&gt;&lt;wsp:rsid wsp:val=&quot;618A61A7&quot;/&gt;&lt;wsp:rsid wsp:val=&quot;619209EF&quot;/&gt;&lt;wsp:rsid wsp:val=&quot;61D77161&quot;/&gt;&lt;wsp:rsid wsp:val=&quot;6200301E&quot;/&gt;&lt;wsp:rsid wsp:val=&quot;62190BF6&quot;/&gt;&lt;wsp:rsid wsp:val=&quot;622005E5&quot;/&gt;&lt;wsp:rsid wsp:val=&quot;624A6098&quot;/&gt;&lt;wsp:rsid wsp:val=&quot;626C102D&quot;/&gt;&lt;wsp:rsid wsp:val=&quot;62725AD7&quot;/&gt;&lt;wsp:rsid wsp:val=&quot;62793237&quot;/&gt;&lt;wsp:rsid wsp:val=&quot;62BC19B3&quot;/&gt;&lt;wsp:rsid wsp:val=&quot;62BF0B18&quot;/&gt;&lt;wsp:rsid wsp:val=&quot;62D83FA6&quot;/&gt;&lt;wsp:rsid wsp:val=&quot;62E46A4F&quot;/&gt;&lt;wsp:rsid wsp:val=&quot;62E544B1&quot;/&gt;&lt;wsp:rsid wsp:val=&quot;632A0181&quot;/&gt;&lt;wsp:rsid wsp:val=&quot;6347539C&quot;/&gt;&lt;wsp:rsid wsp:val=&quot;635F0FD9&quot;/&gt;&lt;wsp:rsid wsp:val=&quot;638A1FD1&quot;/&gt;&lt;wsp:rsid wsp:val=&quot;63966621&quot;/&gt;&lt;wsp:rsid wsp:val=&quot;63BE314B&quot;/&gt;&lt;wsp:rsid wsp:val=&quot;64555B88&quot;/&gt;&lt;wsp:rsid wsp:val=&quot;64604C75&quot;/&gt;&lt;wsp:rsid wsp:val=&quot;64B4442E&quot;/&gt;&lt;wsp:rsid wsp:val=&quot;64D47D6D&quot;/&gt;&lt;wsp:rsid wsp:val=&quot;64E073FD&quot;/&gt;&lt;wsp:rsid wsp:val=&quot;65930436&quot;/&gt;&lt;wsp:rsid wsp:val=&quot;65D82284&quot;/&gt;&lt;wsp:rsid wsp:val=&quot;66074444&quot;/&gt;&lt;wsp:rsid wsp:val=&quot;661C3B92&quot;/&gt;&lt;wsp:rsid wsp:val=&quot;66926AF2&quot;/&gt;&lt;wsp:rsid wsp:val=&quot;66975888&quot;/&gt;&lt;wsp:rsid wsp:val=&quot;669763E5&quot;/&gt;&lt;wsp:rsid wsp:val=&quot;66FD27C7&quot;/&gt;&lt;wsp:rsid wsp:val=&quot;675D1430&quot;/&gt;&lt;wsp:rsid wsp:val=&quot;67892399&quot;/&gt;&lt;wsp:rsid wsp:val=&quot;67B57718&quot;/&gt;&lt;wsp:rsid wsp:val=&quot;67BB4055&quot;/&gt;&lt;wsp:rsid wsp:val=&quot;67E34D51&quot;/&gt;&lt;wsp:rsid wsp:val=&quot;68114B61&quot;/&gt;&lt;wsp:rsid wsp:val=&quot;681778A7&quot;/&gt;&lt;wsp:rsid wsp:val=&quot;687E32F6&quot;/&gt;&lt;wsp:rsid wsp:val=&quot;68805770&quot;/&gt;&lt;wsp:rsid wsp:val=&quot;689B7DBE&quot;/&gt;&lt;wsp:rsid wsp:val=&quot;68AF62D4&quot;/&gt;&lt;wsp:rsid wsp:val=&quot;69392A21&quot;/&gt;&lt;wsp:rsid wsp:val=&quot;69431129&quot;/&gt;&lt;wsp:rsid wsp:val=&quot;699345C0&quot;/&gt;&lt;wsp:rsid wsp:val=&quot;69E111D1&quot;/&gt;&lt;wsp:rsid wsp:val=&quot;6A1B73D0&quot;/&gt;&lt;wsp:rsid wsp:val=&quot;6A2054EB&quot;/&gt;&lt;wsp:rsid wsp:val=&quot;6A57693B&quot;/&gt;&lt;wsp:rsid wsp:val=&quot;6B220F26&quot;/&gt;&lt;wsp:rsid wsp:val=&quot;6B3D4802&quot;/&gt;&lt;wsp:rsid wsp:val=&quot;6B550C89&quot;/&gt;&lt;wsp:rsid wsp:val=&quot;6B5D2D83&quot;/&gt;&lt;wsp:rsid wsp:val=&quot;6B686860&quot;/&gt;&lt;wsp:rsid wsp:val=&quot;6BF32254&quot;/&gt;&lt;wsp:rsid wsp:val=&quot;6C2E1B76&quot;/&gt;&lt;wsp:rsid wsp:val=&quot;6C4D10CA&quot;/&gt;&lt;wsp:rsid wsp:val=&quot;6C620DCD&quot;/&gt;&lt;wsp:rsid wsp:val=&quot;6C632E71&quot;/&gt;&lt;wsp:rsid wsp:val=&quot;6C98402E&quot;/&gt;&lt;wsp:rsid wsp:val=&quot;6CAF3346&quot;/&gt;&lt;wsp:rsid wsp:val=&quot;6CCD71DF&quot;/&gt;&lt;wsp:rsid wsp:val=&quot;6D0E3FD4&quot;/&gt;&lt;wsp:rsid wsp:val=&quot;6D4274C1&quot;/&gt;&lt;wsp:rsid wsp:val=&quot;6D477FCC&quot;/&gt;&lt;wsp:rsid wsp:val=&quot;6DC50278&quot;/&gt;&lt;wsp:rsid wsp:val=&quot;6DCD09F2&quot;/&gt;&lt;wsp:rsid wsp:val=&quot;6DCF3424&quot;/&gt;&lt;wsp:rsid wsp:val=&quot;6E302025&quot;/&gt;&lt;wsp:rsid wsp:val=&quot;6E4B6AAD&quot;/&gt;&lt;wsp:rsid wsp:val=&quot;6E4E3DD7&quot;/&gt;&lt;wsp:rsid wsp:val=&quot;6E5A7ED4&quot;/&gt;&lt;wsp:rsid wsp:val=&quot;6E805D8C&quot;/&gt;&lt;wsp:rsid wsp:val=&quot;6EC06C9B&quot;/&gt;&lt;wsp:rsid wsp:val=&quot;6EC06F25&quot;/&gt;&lt;wsp:rsid wsp:val=&quot;6EEE0A94&quot;/&gt;&lt;wsp:rsid wsp:val=&quot;6F0240E9&quot;/&gt;&lt;wsp:rsid wsp:val=&quot;6F2B100A&quot;/&gt;&lt;wsp:rsid wsp:val=&quot;6F4B0FCB&quot;/&gt;&lt;wsp:rsid wsp:val=&quot;6F4C3B6C&quot;/&gt;&lt;wsp:rsid wsp:val=&quot;6F4E2339&quot;/&gt;&lt;wsp:rsid wsp:val=&quot;6F8977E8&quot;/&gt;&lt;wsp:rsid wsp:val=&quot;6FB2545B&quot;/&gt;&lt;wsp:rsid wsp:val=&quot;6FC12AAE&quot;/&gt;&lt;wsp:rsid wsp:val=&quot;700225B6&quot;/&gt;&lt;wsp:rsid wsp:val=&quot;703F3B79&quot;/&gt;&lt;wsp:rsid wsp:val=&quot;70482B4A&quot;/&gt;&lt;wsp:rsid wsp:val=&quot;70915B62&quot;/&gt;&lt;wsp:rsid wsp:val=&quot;709B1DD5&quot;/&gt;&lt;wsp:rsid wsp:val=&quot;70B03826&quot;/&gt;&lt;wsp:rsid wsp:val=&quot;70FE253C&quot;/&gt;&lt;wsp:rsid wsp:val=&quot;710836C0&quot;/&gt;&lt;wsp:rsid wsp:val=&quot;710C4641&quot;/&gt;&lt;wsp:rsid wsp:val=&quot;716021C0&quot;/&gt;&lt;wsp:rsid wsp:val=&quot;71771F2B&quot;/&gt;&lt;wsp:rsid wsp:val=&quot;719B7959&quot;/&gt;&lt;wsp:rsid wsp:val=&quot;71A301A4&quot;/&gt;&lt;wsp:rsid wsp:val=&quot;71B81EEE&quot;/&gt;&lt;wsp:rsid wsp:val=&quot;71E84A17&quot;/&gt;&lt;wsp:rsid wsp:val=&quot;71F24CB9&quot;/&gt;&lt;wsp:rsid wsp:val=&quot;721249BC&quot;/&gt;&lt;wsp:rsid wsp:val=&quot;72153AEA&quot;/&gt;&lt;wsp:rsid wsp:val=&quot;72726D3F&quot;/&gt;&lt;wsp:rsid wsp:val=&quot;72801F33&quot;/&gt;&lt;wsp:rsid wsp:val=&quot;72D900D9&quot;/&gt;&lt;wsp:rsid wsp:val=&quot;73013B75&quot;/&gt;&lt;wsp:rsid wsp:val=&quot;73383393&quot;/&gt;&lt;wsp:rsid wsp:val=&quot;735B5491&quot;/&gt;&lt;wsp:rsid wsp:val=&quot;736E350B&quot;/&gt;&lt;wsp:rsid wsp:val=&quot;73B128F9&quot;/&gt;&lt;wsp:rsid wsp:val=&quot;73C71D1C&quot;/&gt;&lt;wsp:rsid wsp:val=&quot;740E767B&quot;/&gt;&lt;wsp:rsid wsp:val=&quot;74131440&quot;/&gt;&lt;wsp:rsid wsp:val=&quot;741A6855&quot;/&gt;&lt;wsp:rsid wsp:val=&quot;74483378&quot;/&gt;&lt;wsp:rsid wsp:val=&quot;74620165&quot;/&gt;&lt;wsp:rsid wsp:val=&quot;74A86B4B&quot;/&gt;&lt;wsp:rsid wsp:val=&quot;752E34EE&quot;/&gt;&lt;wsp:rsid wsp:val=&quot;75631640&quot;/&gt;&lt;wsp:rsid wsp:val=&quot;757A11FB&quot;/&gt;&lt;wsp:rsid wsp:val=&quot;759F44A6&quot;/&gt;&lt;wsp:rsid wsp:val=&quot;75E821DF&quot;/&gt;&lt;wsp:rsid wsp:val=&quot;7624661D&quot;/&gt;&lt;wsp:rsid wsp:val=&quot;76613B45&quot;/&gt;&lt;wsp:rsid wsp:val=&quot;76794489&quot;/&gt;&lt;wsp:rsid wsp:val=&quot;76844423&quot;/&gt;&lt;wsp:rsid wsp:val=&quot;769B4760&quot;/&gt;&lt;wsp:rsid wsp:val=&quot;76A1621B&quot;/&gt;&lt;wsp:rsid wsp:val=&quot;76A61249&quot;/&gt;&lt;wsp:rsid wsp:val=&quot;76BE76BD&quot;/&gt;&lt;wsp:rsid wsp:val=&quot;77125AB5&quot;/&gt;&lt;wsp:rsid wsp:val=&quot;776B66F1&quot;/&gt;&lt;wsp:rsid wsp:val=&quot;77A551E4&quot;/&gt;&lt;wsp:rsid wsp:val=&quot;77DC5F58&quot;/&gt;&lt;wsp:rsid wsp:val=&quot;77E462BC&quot;/&gt;&lt;wsp:rsid wsp:val=&quot;7807225B&quot;/&gt;&lt;wsp:rsid wsp:val=&quot;7853086D&quot;/&gt;&lt;wsp:rsid wsp:val=&quot;787B24B3&quot;/&gt;&lt;wsp:rsid wsp:val=&quot;78BE2892&quot;/&gt;&lt;wsp:rsid wsp:val=&quot;79487F3B&quot;/&gt;&lt;wsp:rsid wsp:val=&quot;7958034D&quot;/&gt;&lt;wsp:rsid wsp:val=&quot;79874F65&quot;/&gt;&lt;wsp:rsid wsp:val=&quot;79AD754C&quot;/&gt;&lt;wsp:rsid wsp:val=&quot;79CE6960&quot;/&gt;&lt;wsp:rsid wsp:val=&quot;79E34EA8&quot;/&gt;&lt;wsp:rsid wsp:val=&quot;7A216E9D&quot;/&gt;&lt;wsp:rsid wsp:val=&quot;7A623047&quot;/&gt;&lt;wsp:rsid wsp:val=&quot;7AC34186&quot;/&gt;&lt;wsp:rsid wsp:val=&quot;7ACE4DA3&quot;/&gt;&lt;wsp:rsid wsp:val=&quot;7AD207C3&quot;/&gt;&lt;wsp:rsid wsp:val=&quot;7B534B92&quot;/&gt;&lt;wsp:rsid wsp:val=&quot;7B664C07&quot;/&gt;&lt;wsp:rsid wsp:val=&quot;7BA274E7&quot;/&gt;&lt;wsp:rsid wsp:val=&quot;7BA975D4&quot;/&gt;&lt;wsp:rsid wsp:val=&quot;7BBD73A6&quot;/&gt;&lt;wsp:rsid wsp:val=&quot;7BCD1D9C&quot;/&gt;&lt;wsp:rsid wsp:val=&quot;7BEF1581&quot;/&gt;&lt;wsp:rsid wsp:val=&quot;7C1049C9&quot;/&gt;&lt;wsp:rsid wsp:val=&quot;7C17313A&quot;/&gt;&lt;wsp:rsid wsp:val=&quot;7C5A20B4&quot;/&gt;&lt;wsp:rsid wsp:val=&quot;7C945FA9&quot;/&gt;&lt;wsp:rsid wsp:val=&quot;7CD603FC&quot;/&gt;&lt;wsp:rsid wsp:val=&quot;7D1A439B&quot;/&gt;&lt;wsp:rsid wsp:val=&quot;7D1A788D&quot;/&gt;&lt;wsp:rsid wsp:val=&quot;7D83567A&quot;/&gt;&lt;wsp:rsid wsp:val=&quot;7D8D57CF&quot;/&gt;&lt;wsp:rsid wsp:val=&quot;7D955548&quot;/&gt;&lt;wsp:rsid wsp:val=&quot;7D996BBB&quot;/&gt;&lt;wsp:rsid wsp:val=&quot;7D9D7130&quot;/&gt;&lt;wsp:rsid wsp:val=&quot;7DA43D6F&quot;/&gt;&lt;wsp:rsid wsp:val=&quot;7DDC7E18&quot;/&gt;&lt;wsp:rsid wsp:val=&quot;7E287490&quot;/&gt;&lt;wsp:rsid wsp:val=&quot;7E4055F7&quot;/&gt;&lt;wsp:rsid wsp:val=&quot;7E6E79C9&quot;/&gt;&lt;wsp:rsid wsp:val=&quot;7E7D5A15&quot;/&gt;&lt;wsp:rsid wsp:val=&quot;7E9919F4&quot;/&gt;&lt;wsp:rsid wsp:val=&quot;7EE20BA5&quot;/&gt;&lt;wsp:rsid wsp:val=&quot;7EE21A8E&quot;/&gt;&lt;wsp:rsid wsp:val=&quot;7EFF63BE&quot;/&gt;&lt;wsp:rsid wsp:val=&quot;7F122845&quot;/&gt;&lt;wsp:rsid wsp:val=&quot;7F1E3054&quot;/&gt;&lt;wsp:rsid wsp:val=&quot;7F374D05&quot;/&gt;&lt;wsp:rsid wsp:val=&quot;7F4767F7&quot;/&gt;&lt;wsp:rsid wsp:val=&quot;7F490F62&quot;/&gt;&lt;wsp:rsid wsp:val=&quot;7F5044D1&quot;/&gt;&lt;wsp:rsid wsp:val=&quot;7F644169&quot;/&gt;&lt;wsp:rsid wsp:val=&quot;7F6F24D2&quot;/&gt;&lt;wsp:rsid wsp:val=&quot;7FA73E60&quot;/&gt;&lt;wsp:rsid wsp:val=&quot;7FC866DA&quot;/&gt;&lt;wsp:rsid wsp:val=&quot;7FE109F3&quot;/&gt;&lt;wsp:rsid wsp:val=&quot;7FE33A33&quot;/&gt;&lt;wsp:rsid wsp:val=&quot;7FE8614A&quot;/&gt;&lt;/wsp:rsids&gt;&lt;/w:docPr&gt;&lt;w:body&gt;&lt;wx:sect&gt;&lt;w:p wsp:rsidR=&quot;00000000&quot; wsp:rsidRDefault=&quot;001A4D57&quot; wsp:rsidP=&quot;001A4D57&quot;&gt;&lt;w:pPr&gt;&lt;w:ind w:first-line=&quot;480&quot;/&gt;&lt;/w:pPr&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S&lt;/m:t&gt;&lt;/m:r&gt;&lt;/m:e&gt;&lt;m:sub&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r&gt;&lt;w:rPr&gt;&lt;w:rFonts w:ascii=&quot;Cambria Math&quot; w:h-ansi=&quot;Cambria Math&quot;/&gt;&lt;wx:font wx:val=&quot;Cambria Math&quot;/&gt;&lt;w:i/&gt;&lt;/w:rPr&gt;&lt;m:t&gt;7.0-&lt;/m:t&gt;&lt;/m:r&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j&lt;/m:t&gt;&lt;/m:r&gt;&lt;/m:sub&gt;&lt;/m:sSub&gt;&lt;/m:num&gt;&lt;m:den&gt;&lt;m:r&gt;&lt;w:rPr&gt;&lt;w:rFonts w:ascii=&quot;Cambria Math&quot; w:h-ansi=&quot;Cambria Math&quot;/&gt;&lt;wx:font wx:val=&quot;Cambria Math&quot;/&gt;&lt;w:i/&gt;&lt;/w:rPr&gt;&lt;m:t&gt;7.0-&lt;/m:t&gt;&lt;/m:r&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sd&lt;/m:t&gt;&lt;/m:r&gt;&lt;/m:sub&gt;&lt;/m:sSub&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
            <v:path/>
            <v:fill on="f" focussize="0,0"/>
            <v:stroke on="f" joinstyle="miter"/>
            <v:imagedata r:id="rId87" chromakey="#FFFFFF" o:title=""/>
            <o:lock v:ext="edit" aspectratio="t"/>
            <w10:wrap type="none"/>
            <w10:anchorlock/>
          </v:shape>
        </w:pict>
      </w:r>
      <w:r>
        <w:rPr>
          <w:color w:val="auto"/>
        </w:rPr>
        <w:fldChar w:fldCharType="end"/>
      </w:r>
      <w:r>
        <w:rPr>
          <w:rFonts w:hint="eastAsia"/>
          <w:color w:val="auto"/>
        </w:rPr>
        <w:t xml:space="preserve"> </w:t>
      </w:r>
      <w:r>
        <w:rPr>
          <w:color w:val="auto"/>
        </w:rPr>
        <w:t xml:space="preserve">    </w:t>
      </w:r>
      <w:r>
        <w:rPr>
          <w:rFonts w:hint="eastAsia"/>
          <w:color w:val="auto"/>
        </w:rPr>
        <w:t>p</w:t>
      </w:r>
      <w:r>
        <w:rPr>
          <w:color w:val="auto"/>
        </w:rPr>
        <w:t>H</w:t>
      </w:r>
      <w:r>
        <w:rPr>
          <w:rFonts w:hint="eastAsia"/>
          <w:color w:val="auto"/>
          <w:vertAlign w:val="subscript"/>
        </w:rPr>
        <w:t>j</w:t>
      </w:r>
      <w:r>
        <w:rPr>
          <w:rFonts w:hint="eastAsia"/>
          <w:color w:val="auto"/>
        </w:rPr>
        <w:t>≤</w:t>
      </w:r>
      <w:r>
        <w:rPr>
          <w:color w:val="auto"/>
        </w:rPr>
        <w:t>7.0</w:t>
      </w:r>
    </w:p>
    <w:p w14:paraId="586DA058">
      <w:pPr>
        <w:ind w:firstLine="480"/>
        <w:jc w:val="center"/>
        <w:rPr>
          <w:color w:val="auto"/>
        </w:rPr>
      </w:pPr>
      <w:r>
        <w:rPr>
          <w:color w:val="auto"/>
        </w:rPr>
        <w:fldChar w:fldCharType="begin"/>
      </w:r>
      <w:r>
        <w:rPr>
          <w:color w:val="auto"/>
        </w:rPr>
        <w:instrText xml:space="preserve"> QUOTE </w:instrText>
      </w:r>
      <w:r>
        <w:rPr>
          <w:color w:val="auto"/>
        </w:rPr>
        <w:pict>
          <v:shape id="_x0000_i1038" o:spt="75" type="#_x0000_t75" style="height:30pt;width:7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displayBackgroundShape/&gt;&lt;w:doNotEmbedSystemFonts/&gt;&lt;w:hideSpellingErrors/&gt;&lt;w:stylePaneFormatFilter w:val=&quot;3F01&quot;/&gt;&lt;w:defaultTabStop w:val=&quot;420&quot;/&gt;&lt;w:drawingGridHorizontalSpacing w:val=&quot;120&quot;/&gt;&lt;w:drawingGridVerticalSpacing w:val=&quot;333&quot;/&gt;&lt;w:displayHorizontalDrawingGridEvery w:val=&quot;2&quot;/&gt;&lt;w:characterSpacingControl w:val=&quot;CompressPunctuation&quot;/&gt;&lt;w:webPageEncoding w:val=&quot;x-cp20936&quot;/&gt;&lt;w:optimizeForBrowser/&gt;&lt;w:allowPNG/&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docVars&gt;&lt;w:docVar w:name=&quot;commondata&quot; w:val=&quot;eyJoZGlkIjoiNjk0ZjU2YzNkNWFhOWM4OGMwNGRjZTIyNDMxOWQwZDYifQ==&quot;/&gt;&lt;/w:docVars&gt;&lt;wsp:rsids&gt;&lt;wsp:rsidRoot wsp:val=&quot;00172A27&quot;/&gt;&lt;wsp:rsid wsp:val=&quot;0000022F&quot;/&gt;&lt;wsp:rsid wsp:val=&quot;00000384&quot;/&gt;&lt;wsp:rsid wsp:val=&quot;000004DF&quot;/&gt;&lt;wsp:rsid wsp:val=&quot;00000A0B&quot;/&gt;&lt;wsp:rsid wsp:val=&quot;00000A3E&quot;/&gt;&lt;wsp:rsid wsp:val=&quot;00000B73&quot;/&gt;&lt;wsp:rsid wsp:val=&quot;00000CAA&quot;/&gt;&lt;wsp:rsid wsp:val=&quot;000011E2&quot;/&gt;&lt;wsp:rsid wsp:val=&quot;0000150C&quot;/&gt;&lt;wsp:rsid wsp:val=&quot;000015BC&quot;/&gt;&lt;wsp:rsid wsp:val=&quot;000015EC&quot;/&gt;&lt;wsp:rsid wsp:val=&quot;000017CA&quot;/&gt;&lt;wsp:rsid wsp:val=&quot;00001C36&quot;/&gt;&lt;wsp:rsid wsp:val=&quot;00001C48&quot;/&gt;&lt;wsp:rsid wsp:val=&quot;0000219B&quot;/&gt;&lt;wsp:rsid wsp:val=&quot;00002E2B&quot;/&gt;&lt;wsp:rsid wsp:val=&quot;00003024&quot;/&gt;&lt;wsp:rsid wsp:val=&quot;000030BE&quot;/&gt;&lt;wsp:rsid wsp:val=&quot;00003138&quot;/&gt;&lt;wsp:rsid wsp:val=&quot;0000336F&quot;/&gt;&lt;wsp:rsid wsp:val=&quot;000038D6&quot;/&gt;&lt;wsp:rsid wsp:val=&quot;00003B70&quot;/&gt;&lt;wsp:rsid wsp:val=&quot;00003C50&quot;/&gt;&lt;wsp:rsid wsp:val=&quot;00003CAD&quot;/&gt;&lt;wsp:rsid wsp:val=&quot;00003D71&quot;/&gt;&lt;wsp:rsid wsp:val=&quot;00003DDB&quot;/&gt;&lt;wsp:rsid wsp:val=&quot;00003E4D&quot;/&gt;&lt;wsp:rsid wsp:val=&quot;0000401F&quot;/&gt;&lt;wsp:rsid wsp:val=&quot;00005163&quot;/&gt;&lt;wsp:rsid wsp:val=&quot;0000523C&quot;/&gt;&lt;wsp:rsid wsp:val=&quot;000052E2&quot;/&gt;&lt;wsp:rsid wsp:val=&quot;00005688&quot;/&gt;&lt;wsp:rsid wsp:val=&quot;00005F62&quot;/&gt;&lt;wsp:rsid wsp:val=&quot;00006049&quot;/&gt;&lt;wsp:rsid wsp:val=&quot;00006447&quot;/&gt;&lt;wsp:rsid wsp:val=&quot;0000644B&quot;/&gt;&lt;wsp:rsid wsp:val=&quot;0000682C&quot;/&gt;&lt;wsp:rsid wsp:val=&quot;00006B6F&quot;/&gt;&lt;wsp:rsid wsp:val=&quot;000076B4&quot;/&gt;&lt;wsp:rsid wsp:val=&quot;00007713&quot;/&gt;&lt;wsp:rsid wsp:val=&quot;00007BDE&quot;/&gt;&lt;wsp:rsid wsp:val=&quot;00007DAF&quot;/&gt;&lt;wsp:rsid wsp:val=&quot;00010469&quot;/&gt;&lt;wsp:rsid wsp:val=&quot;00010982&quot;/&gt;&lt;wsp:rsid wsp:val=&quot;00010A0D&quot;/&gt;&lt;wsp:rsid wsp:val=&quot;00010ADF&quot;/&gt;&lt;wsp:rsid wsp:val=&quot;0001100E&quot;/&gt;&lt;wsp:rsid wsp:val=&quot;000115C2&quot;/&gt;&lt;wsp:rsid wsp:val=&quot;00011B14&quot;/&gt;&lt;wsp:rsid wsp:val=&quot;00011B79&quot;/&gt;&lt;wsp:rsid wsp:val=&quot;0001252B&quot;/&gt;&lt;wsp:rsid wsp:val=&quot;00012C75&quot;/&gt;&lt;wsp:rsid wsp:val=&quot;00012CE6&quot;/&gt;&lt;wsp:rsid wsp:val=&quot;0001307C&quot;/&gt;&lt;wsp:rsid wsp:val=&quot;000130A5&quot;/&gt;&lt;wsp:rsid wsp:val=&quot;00013349&quot;/&gt;&lt;wsp:rsid wsp:val=&quot;000134B2&quot;/&gt;&lt;wsp:rsid wsp:val=&quot;00013864&quot;/&gt;&lt;wsp:rsid wsp:val=&quot;0001391F&quot;/&gt;&lt;wsp:rsid wsp:val=&quot;00013922&quot;/&gt;&lt;wsp:rsid wsp:val=&quot;0001398B&quot;/&gt;&lt;wsp:rsid wsp:val=&quot;00013BFA&quot;/&gt;&lt;wsp:rsid wsp:val=&quot;0001435A&quot;/&gt;&lt;wsp:rsid wsp:val=&quot;00014504&quot;/&gt;&lt;wsp:rsid wsp:val=&quot;0001468D&quot;/&gt;&lt;wsp:rsid wsp:val=&quot;0001484A&quot;/&gt;&lt;wsp:rsid wsp:val=&quot;00015025&quot;/&gt;&lt;wsp:rsid wsp:val=&quot;00015885&quot;/&gt;&lt;wsp:rsid wsp:val=&quot;00015B16&quot;/&gt;&lt;wsp:rsid wsp:val=&quot;00015C72&quot;/&gt;&lt;wsp:rsid wsp:val=&quot;000160E3&quot;/&gt;&lt;wsp:rsid wsp:val=&quot;00016243&quot;/&gt;&lt;wsp:rsid wsp:val=&quot;0001655D&quot;/&gt;&lt;wsp:rsid wsp:val=&quot;0001698B&quot;/&gt;&lt;wsp:rsid wsp:val=&quot;00017AFE&quot;/&gt;&lt;wsp:rsid wsp:val=&quot;00017C19&quot;/&gt;&lt;wsp:rsid wsp:val=&quot;00021301&quot;/&gt;&lt;wsp:rsid wsp:val=&quot;0002151D&quot;/&gt;&lt;wsp:rsid wsp:val=&quot;00021560&quot;/&gt;&lt;wsp:rsid wsp:val=&quot;00021A4C&quot;/&gt;&lt;wsp:rsid wsp:val=&quot;0002225C&quot;/&gt;&lt;wsp:rsid wsp:val=&quot;000224E4&quot;/&gt;&lt;wsp:rsid wsp:val=&quot;000227B9&quot;/&gt;&lt;wsp:rsid wsp:val=&quot;000233D0&quot;/&gt;&lt;wsp:rsid wsp:val=&quot;000236A2&quot;/&gt;&lt;wsp:rsid wsp:val=&quot;00023B3C&quot;/&gt;&lt;wsp:rsid wsp:val=&quot;00023BED&quot;/&gt;&lt;wsp:rsid wsp:val=&quot;000246C4&quot;/&gt;&lt;wsp:rsid wsp:val=&quot;00024CDA&quot;/&gt;&lt;wsp:rsid wsp:val=&quot;00024E8A&quot;/&gt;&lt;wsp:rsid wsp:val=&quot;00025365&quot;/&gt;&lt;wsp:rsid wsp:val=&quot;00025477&quot;/&gt;&lt;wsp:rsid wsp:val=&quot;000258DC&quot;/&gt;&lt;wsp:rsid wsp:val=&quot;00025C11&quot;/&gt;&lt;wsp:rsid wsp:val=&quot;00025D8F&quot;/&gt;&lt;wsp:rsid wsp:val=&quot;00025E50&quot;/&gt;&lt;wsp:rsid wsp:val=&quot;00025F43&quot;/&gt;&lt;wsp:rsid wsp:val=&quot;00026330&quot;/&gt;&lt;wsp:rsid wsp:val=&quot;000265C3&quot;/&gt;&lt;wsp:rsid wsp:val=&quot;00026A30&quot;/&gt;&lt;wsp:rsid wsp:val=&quot;00027069&quot;/&gt;&lt;wsp:rsid wsp:val=&quot;000271AB&quot;/&gt;&lt;wsp:rsid wsp:val=&quot;00027286&quot;/&gt;&lt;wsp:rsid wsp:val=&quot;0002750E&quot;/&gt;&lt;wsp:rsid wsp:val=&quot;000275CE&quot;/&gt;&lt;wsp:rsid wsp:val=&quot;00027886&quot;/&gt;&lt;wsp:rsid wsp:val=&quot;00027C25&quot;/&gt;&lt;wsp:rsid wsp:val=&quot;00027D99&quot;/&gt;&lt;wsp:rsid wsp:val=&quot;00027F29&quot;/&gt;&lt;wsp:rsid wsp:val=&quot;00030097&quot;/&gt;&lt;wsp:rsid wsp:val=&quot;00030482&quot;/&gt;&lt;wsp:rsid wsp:val=&quot;0003049B&quot;/&gt;&lt;wsp:rsid wsp:val=&quot;000305A7&quot;/&gt;&lt;wsp:rsid wsp:val=&quot;00031893&quot;/&gt;&lt;wsp:rsid wsp:val=&quot;00031B2D&quot;/&gt;&lt;wsp:rsid wsp:val=&quot;00031D30&quot;/&gt;&lt;wsp:rsid wsp:val=&quot;00032A8C&quot;/&gt;&lt;wsp:rsid wsp:val=&quot;00032CA5&quot;/&gt;&lt;wsp:rsid wsp:val=&quot;00032F8A&quot;/&gt;&lt;wsp:rsid wsp:val=&quot;0003348A&quot;/&gt;&lt;wsp:rsid wsp:val=&quot;000335E6&quot;/&gt;&lt;wsp:rsid wsp:val=&quot;0003421E&quot;/&gt;&lt;wsp:rsid wsp:val=&quot;000346A1&quot;/&gt;&lt;wsp:rsid wsp:val=&quot;00034799&quot;/&gt;&lt;wsp:rsid wsp:val=&quot;00034D53&quot;/&gt;&lt;wsp:rsid wsp:val=&quot;00034E85&quot;/&gt;&lt;wsp:rsid wsp:val=&quot;00034F14&quot;/&gt;&lt;wsp:rsid wsp:val=&quot;0003510D&quot;/&gt;&lt;wsp:rsid wsp:val=&quot;00035BE6&quot;/&gt;&lt;wsp:rsid wsp:val=&quot;00035CE7&quot;/&gt;&lt;wsp:rsid wsp:val=&quot;00036265&quot;/&gt;&lt;wsp:rsid wsp:val=&quot;000367D9&quot;/&gt;&lt;wsp:rsid wsp:val=&quot;00036BF8&quot;/&gt;&lt;wsp:rsid wsp:val=&quot;00037795&quot;/&gt;&lt;wsp:rsid wsp:val=&quot;00037962&quot;/&gt;&lt;wsp:rsid wsp:val=&quot;00037D5A&quot;/&gt;&lt;wsp:rsid wsp:val=&quot;00037DD9&quot;/&gt;&lt;wsp:rsid wsp:val=&quot;00037E9D&quot;/&gt;&lt;wsp:rsid wsp:val=&quot;000403AD&quot;/&gt;&lt;wsp:rsid wsp:val=&quot;00040568&quot;/&gt;&lt;wsp:rsid wsp:val=&quot;000405B6&quot;/&gt;&lt;wsp:rsid wsp:val=&quot;00041379&quot;/&gt;&lt;wsp:rsid wsp:val=&quot;00041507&quot;/&gt;&lt;wsp:rsid wsp:val=&quot;000415B9&quot;/&gt;&lt;wsp:rsid wsp:val=&quot;00041627&quot;/&gt;&lt;wsp:rsid wsp:val=&quot;00041A92&quot;/&gt;&lt;wsp:rsid wsp:val=&quot;00041B78&quot;/&gt;&lt;wsp:rsid wsp:val=&quot;00041C7C&quot;/&gt;&lt;wsp:rsid wsp:val=&quot;00042046&quot;/&gt;&lt;wsp:rsid wsp:val=&quot;00042160&quot;/&gt;&lt;wsp:rsid wsp:val=&quot;00042304&quot;/&gt;&lt;wsp:rsid wsp:val=&quot;000427DA&quot;/&gt;&lt;wsp:rsid wsp:val=&quot;000428AB&quot;/&gt;&lt;wsp:rsid wsp:val=&quot;00042906&quot;/&gt;&lt;wsp:rsid wsp:val=&quot;00042A13&quot;/&gt;&lt;wsp:rsid wsp:val=&quot;00042CA9&quot;/&gt;&lt;wsp:rsid wsp:val=&quot;00042FF9&quot;/&gt;&lt;wsp:rsid wsp:val=&quot;00043B29&quot;/&gt;&lt;wsp:rsid wsp:val=&quot;00043B34&quot;/&gt;&lt;wsp:rsid wsp:val=&quot;00043F0A&quot;/&gt;&lt;wsp:rsid wsp:val=&quot;00043F57&quot;/&gt;&lt;wsp:rsid wsp:val=&quot;000445EB&quot;/&gt;&lt;wsp:rsid wsp:val=&quot;0004466A&quot;/&gt;&lt;wsp:rsid wsp:val=&quot;00044888&quot;/&gt;&lt;wsp:rsid wsp:val=&quot;000449E1&quot;/&gt;&lt;wsp:rsid wsp:val=&quot;00044A6E&quot;/&gt;&lt;wsp:rsid wsp:val=&quot;00045DF6&quot;/&gt;&lt;wsp:rsid wsp:val=&quot;00045F1E&quot;/&gt;&lt;wsp:rsid wsp:val=&quot;000460DC&quot;/&gt;&lt;wsp:rsid wsp:val=&quot;00046316&quot;/&gt;&lt;wsp:rsid wsp:val=&quot;0004788D&quot;/&gt;&lt;wsp:rsid wsp:val=&quot;00047C3A&quot;/&gt;&lt;wsp:rsid wsp:val=&quot;000500BC&quot;/&gt;&lt;wsp:rsid wsp:val=&quot;0005058E&quot;/&gt;&lt;wsp:rsid wsp:val=&quot;0005070D&quot;/&gt;&lt;wsp:rsid wsp:val=&quot;00050882&quot;/&gt;&lt;wsp:rsid wsp:val=&quot;00050BE4&quot;/&gt;&lt;wsp:rsid wsp:val=&quot;00050D7A&quot;/&gt;&lt;wsp:rsid wsp:val=&quot;00050EAC&quot;/&gt;&lt;wsp:rsid wsp:val=&quot;000512D2&quot;/&gt;&lt;wsp:rsid wsp:val=&quot;0005174C&quot;/&gt;&lt;wsp:rsid wsp:val=&quot;00051C0F&quot;/&gt;&lt;wsp:rsid wsp:val=&quot;00051CD8&quot;/&gt;&lt;wsp:rsid wsp:val=&quot;00052154&quot;/&gt;&lt;wsp:rsid wsp:val=&quot;000522C7&quot;/&gt;&lt;wsp:rsid wsp:val=&quot;00052CF9&quot;/&gt;&lt;wsp:rsid wsp:val=&quot;000530C9&quot;/&gt;&lt;wsp:rsid wsp:val=&quot;000530D0&quot;/&gt;&lt;wsp:rsid wsp:val=&quot;00053212&quot;/&gt;&lt;wsp:rsid wsp:val=&quot;000532E4&quot;/&gt;&lt;wsp:rsid wsp:val=&quot;000541FD&quot;/&gt;&lt;wsp:rsid wsp:val=&quot;00054823&quot;/&gt;&lt;wsp:rsid wsp:val=&quot;0005484C&quot;/&gt;&lt;wsp:rsid wsp:val=&quot;000552E0&quot;/&gt;&lt;wsp:rsid wsp:val=&quot;000552EC&quot;/&gt;&lt;wsp:rsid wsp:val=&quot;000555BA&quot;/&gt;&lt;wsp:rsid wsp:val=&quot;000558A8&quot;/&gt;&lt;wsp:rsid wsp:val=&quot;00055941&quot;/&gt;&lt;wsp:rsid wsp:val=&quot;000559EE&quot;/&gt;&lt;wsp:rsid wsp:val=&quot;00055D03&quot;/&gt;&lt;wsp:rsid wsp:val=&quot;00056002&quot;/&gt;&lt;wsp:rsid wsp:val=&quot;00056098&quot;/&gt;&lt;wsp:rsid wsp:val=&quot;000560B4&quot;/&gt;&lt;wsp:rsid wsp:val=&quot;000560FC&quot;/&gt;&lt;wsp:rsid wsp:val=&quot;00056638&quot;/&gt;&lt;wsp:rsid wsp:val=&quot;000566E8&quot;/&gt;&lt;wsp:rsid wsp:val=&quot;00056841&quot;/&gt;&lt;wsp:rsid wsp:val=&quot;000568C7&quot;/&gt;&lt;wsp:rsid wsp:val=&quot;00056F36&quot;/&gt;&lt;wsp:rsid wsp:val=&quot;00057292&quot;/&gt;&lt;wsp:rsid wsp:val=&quot;00057837&quot;/&gt;&lt;wsp:rsid wsp:val=&quot;00057A84&quot;/&gt;&lt;wsp:rsid wsp:val=&quot;00057B20&quot;/&gt;&lt;wsp:rsid wsp:val=&quot;00057BDB&quot;/&gt;&lt;wsp:rsid wsp:val=&quot;00057D12&quot;/&gt;&lt;wsp:rsid wsp:val=&quot;00060260&quot;/&gt;&lt;wsp:rsid wsp:val=&quot;000605C3&quot;/&gt;&lt;wsp:rsid wsp:val=&quot;00060BB5&quot;/&gt;&lt;wsp:rsid wsp:val=&quot;00061697&quot;/&gt;&lt;wsp:rsid wsp:val=&quot;00061B2B&quot;/&gt;&lt;wsp:rsid wsp:val=&quot;00061DBE&quot;/&gt;&lt;wsp:rsid wsp:val=&quot;000620E3&quot;/&gt;&lt;wsp:rsid wsp:val=&quot;00062112&quot;/&gt;&lt;wsp:rsid wsp:val=&quot;000621B0&quot;/&gt;&lt;wsp:rsid wsp:val=&quot;000623B4&quot;/&gt;&lt;wsp:rsid wsp:val=&quot;000626D5&quot;/&gt;&lt;wsp:rsid wsp:val=&quot;00062943&quot;/&gt;&lt;wsp:rsid wsp:val=&quot;00063223&quot;/&gt;&lt;wsp:rsid wsp:val=&quot;00063530&quot;/&gt;&lt;wsp:rsid wsp:val=&quot;000637CE&quot;/&gt;&lt;wsp:rsid wsp:val=&quot;00063912&quot;/&gt;&lt;wsp:rsid wsp:val=&quot;000639A7&quot;/&gt;&lt;wsp:rsid wsp:val=&quot;00064759&quot;/&gt;&lt;wsp:rsid wsp:val=&quot;00065140&quot;/&gt;&lt;wsp:rsid wsp:val=&quot;000651D1&quot;/&gt;&lt;wsp:rsid wsp:val=&quot;0006737C&quot;/&gt;&lt;wsp:rsid wsp:val=&quot;000674A7&quot;/&gt;&lt;wsp:rsid wsp:val=&quot;0006771D&quot;/&gt;&lt;wsp:rsid wsp:val=&quot;000677C1&quot;/&gt;&lt;wsp:rsid wsp:val=&quot;000705B3&quot;/&gt;&lt;wsp:rsid wsp:val=&quot;00070E41&quot;/&gt;&lt;wsp:rsid wsp:val=&quot;00071078&quot;/&gt;&lt;wsp:rsid wsp:val=&quot;000713AF&quot;/&gt;&lt;wsp:rsid wsp:val=&quot;00071452&quot;/&gt;&lt;wsp:rsid wsp:val=&quot;000718E7&quot;/&gt;&lt;wsp:rsid wsp:val=&quot;00071B41&quot;/&gt;&lt;wsp:rsid wsp:val=&quot;00071D62&quot;/&gt;&lt;wsp:rsid wsp:val=&quot;00071E06&quot;/&gt;&lt;wsp:rsid wsp:val=&quot;00071EF4&quot;/&gt;&lt;wsp:rsid wsp:val=&quot;00072124&quot;/&gt;&lt;wsp:rsid wsp:val=&quot;00072223&quot;/&gt;&lt;wsp:rsid wsp:val=&quot;000727DD&quot;/&gt;&lt;wsp:rsid wsp:val=&quot;00072A7C&quot;/&gt;&lt;wsp:rsid wsp:val=&quot;00072F74&quot;/&gt;&lt;wsp:rsid wsp:val=&quot;000730EC&quot;/&gt;&lt;wsp:rsid wsp:val=&quot;00073818&quot;/&gt;&lt;wsp:rsid wsp:val=&quot;00073A3F&quot;/&gt;&lt;wsp:rsid wsp:val=&quot;00073D42&quot;/&gt;&lt;wsp:rsid wsp:val=&quot;00074150&quot;/&gt;&lt;wsp:rsid wsp:val=&quot;00074587&quot;/&gt;&lt;wsp:rsid wsp:val=&quot;00074A92&quot;/&gt;&lt;wsp:rsid wsp:val=&quot;00074C0E&quot;/&gt;&lt;wsp:rsid wsp:val=&quot;00074EA2&quot;/&gt;&lt;wsp:rsid wsp:val=&quot;00075128&quot;/&gt;&lt;wsp:rsid wsp:val=&quot;00075455&quot;/&gt;&lt;wsp:rsid wsp:val=&quot;00076688&quot;/&gt;&lt;wsp:rsid wsp:val=&quot;00077076&quot;/&gt;&lt;wsp:rsid wsp:val=&quot;0007727A&quot;/&gt;&lt;wsp:rsid wsp:val=&quot;00077572&quot;/&gt;&lt;wsp:rsid wsp:val=&quot;0007758C&quot;/&gt;&lt;wsp:rsid wsp:val=&quot;000779A3&quot;/&gt;&lt;wsp:rsid wsp:val=&quot;00077AD3&quot;/&gt;&lt;wsp:rsid wsp:val=&quot;0008015C&quot;/&gt;&lt;wsp:rsid wsp:val=&quot;00080248&quot;/&gt;&lt;wsp:rsid wsp:val=&quot;000802C4&quot;/&gt;&lt;wsp:rsid wsp:val=&quot;00080900&quot;/&gt;&lt;wsp:rsid wsp:val=&quot;00081546&quot;/&gt;&lt;wsp:rsid wsp:val=&quot;000816AD&quot;/&gt;&lt;wsp:rsid wsp:val=&quot;0008236E&quot;/&gt;&lt;wsp:rsid wsp:val=&quot;000823BC&quot;/&gt;&lt;wsp:rsid wsp:val=&quot;000829DB&quot;/&gt;&lt;wsp:rsid wsp:val=&quot;00082D5D&quot;/&gt;&lt;wsp:rsid wsp:val=&quot;000837D8&quot;/&gt;&lt;wsp:rsid wsp:val=&quot;00083A03&quot;/&gt;&lt;wsp:rsid wsp:val=&quot;00083D4A&quot;/&gt;&lt;wsp:rsid wsp:val=&quot;000840A3&quot;/&gt;&lt;wsp:rsid wsp:val=&quot;0008416D&quot;/&gt;&lt;wsp:rsid wsp:val=&quot;000843D7&quot;/&gt;&lt;wsp:rsid wsp:val=&quot;00084495&quot;/&gt;&lt;wsp:rsid wsp:val=&quot;00084870&quot;/&gt;&lt;wsp:rsid wsp:val=&quot;00085127&quot;/&gt;&lt;wsp:rsid wsp:val=&quot;0008548A&quot;/&gt;&lt;wsp:rsid wsp:val=&quot;00085B7D&quot;/&gt;&lt;wsp:rsid wsp:val=&quot;00085E5C&quot;/&gt;&lt;wsp:rsid wsp:val=&quot;000869CE&quot;/&gt;&lt;wsp:rsid wsp:val=&quot;00086A65&quot;/&gt;&lt;wsp:rsid wsp:val=&quot;00086EF1&quot;/&gt;&lt;wsp:rsid wsp:val=&quot;000871B8&quot;/&gt;&lt;wsp:rsid wsp:val=&quot;00087345&quot;/&gt;&lt;wsp:rsid wsp:val=&quot;00087893&quot;/&gt;&lt;wsp:rsid wsp:val=&quot;00087C3F&quot;/&gt;&lt;wsp:rsid wsp:val=&quot;00090020&quot;/&gt;&lt;wsp:rsid wsp:val=&quot;0009003D&quot;/&gt;&lt;wsp:rsid wsp:val=&quot;00090151&quot;/&gt;&lt;wsp:rsid wsp:val=&quot;00090570&quot;/&gt;&lt;wsp:rsid wsp:val=&quot;0009083D&quot;/&gt;&lt;wsp:rsid wsp:val=&quot;00090A87&quot;/&gt;&lt;wsp:rsid wsp:val=&quot;00090E88&quot;/&gt;&lt;wsp:rsid wsp:val=&quot;00091143&quot;/&gt;&lt;wsp:rsid wsp:val=&quot;00091257&quot;/&gt;&lt;wsp:rsid wsp:val=&quot;00091535&quot;/&gt;&lt;wsp:rsid wsp:val=&quot;00091CD3&quot;/&gt;&lt;wsp:rsid wsp:val=&quot;00091EF4&quot;/&gt;&lt;wsp:rsid wsp:val=&quot;00092059&quot;/&gt;&lt;wsp:rsid wsp:val=&quot;0009211B&quot;/&gt;&lt;wsp:rsid wsp:val=&quot;000921A3&quot;/&gt;&lt;wsp:rsid wsp:val=&quot;000928B4&quot;/&gt;&lt;wsp:rsid wsp:val=&quot;00092B3D&quot;/&gt;&lt;wsp:rsid wsp:val=&quot;00092E2B&quot;/&gt;&lt;wsp:rsid wsp:val=&quot;00092EAA&quot;/&gt;&lt;wsp:rsid wsp:val=&quot;000939F4&quot;/&gt;&lt;wsp:rsid wsp:val=&quot;00093DA7&quot;/&gt;&lt;wsp:rsid wsp:val=&quot;00093DDA&quot;/&gt;&lt;wsp:rsid wsp:val=&quot;000945B1&quot;/&gt;&lt;wsp:rsid wsp:val=&quot;000955D9&quot;/&gt;&lt;wsp:rsid wsp:val=&quot;00095B20&quot;/&gt;&lt;wsp:rsid wsp:val=&quot;0009623A&quot;/&gt;&lt;wsp:rsid wsp:val=&quot;00096553&quot;/&gt;&lt;wsp:rsid wsp:val=&quot;0009673E&quot;/&gt;&lt;wsp:rsid wsp:val=&quot;000967DB&quot;/&gt;&lt;wsp:rsid wsp:val=&quot;00096955&quot;/&gt;&lt;wsp:rsid wsp:val=&quot;00096CAF&quot;/&gt;&lt;wsp:rsid wsp:val=&quot;000976D5&quot;/&gt;&lt;wsp:rsid wsp:val=&quot;00097982&quot;/&gt;&lt;wsp:rsid wsp:val=&quot;00097A26&quot;/&gt;&lt;wsp:rsid wsp:val=&quot;00097A3B&quot;/&gt;&lt;wsp:rsid wsp:val=&quot;00097A44&quot;/&gt;&lt;wsp:rsid wsp:val=&quot;00097FEC&quot;/&gt;&lt;wsp:rsid wsp:val=&quot;000A04CD&quot;/&gt;&lt;wsp:rsid wsp:val=&quot;000A0589&quot;/&gt;&lt;wsp:rsid wsp:val=&quot;000A091F&quot;/&gt;&lt;wsp:rsid wsp:val=&quot;000A12BD&quot;/&gt;&lt;wsp:rsid wsp:val=&quot;000A1985&quot;/&gt;&lt;wsp:rsid wsp:val=&quot;000A1A03&quot;/&gt;&lt;wsp:rsid wsp:val=&quot;000A1D1C&quot;/&gt;&lt;wsp:rsid wsp:val=&quot;000A250B&quot;/&gt;&lt;wsp:rsid wsp:val=&quot;000A3159&quot;/&gt;&lt;wsp:rsid wsp:val=&quot;000A37E9&quot;/&gt;&lt;wsp:rsid wsp:val=&quot;000A3B32&quot;/&gt;&lt;wsp:rsid wsp:val=&quot;000A3EEF&quot;/&gt;&lt;wsp:rsid wsp:val=&quot;000A412D&quot;/&gt;&lt;wsp:rsid wsp:val=&quot;000A4326&quot;/&gt;&lt;wsp:rsid wsp:val=&quot;000A434B&quot;/&gt;&lt;wsp:rsid wsp:val=&quot;000A4596&quot;/&gt;&lt;wsp:rsid wsp:val=&quot;000A460B&quot;/&gt;&lt;wsp:rsid wsp:val=&quot;000A4B02&quot;/&gt;&lt;wsp:rsid wsp:val=&quot;000A4B5C&quot;/&gt;&lt;wsp:rsid wsp:val=&quot;000A4D77&quot;/&gt;&lt;wsp:rsid wsp:val=&quot;000A5349&quot;/&gt;&lt;wsp:rsid wsp:val=&quot;000A5508&quot;/&gt;&lt;wsp:rsid wsp:val=&quot;000A5B78&quot;/&gt;&lt;wsp:rsid wsp:val=&quot;000A5BB5&quot;/&gt;&lt;wsp:rsid wsp:val=&quot;000A5DD8&quot;/&gt;&lt;wsp:rsid wsp:val=&quot;000A61D5&quot;/&gt;&lt;wsp:rsid wsp:val=&quot;000A6570&quot;/&gt;&lt;wsp:rsid wsp:val=&quot;000A69D2&quot;/&gt;&lt;wsp:rsid wsp:val=&quot;000A6ABC&quot;/&gt;&lt;wsp:rsid wsp:val=&quot;000A6B84&quot;/&gt;&lt;wsp:rsid wsp:val=&quot;000A6E04&quot;/&gt;&lt;wsp:rsid wsp:val=&quot;000B000D&quot;/&gt;&lt;wsp:rsid wsp:val=&quot;000B0512&quot;/&gt;&lt;wsp:rsid wsp:val=&quot;000B0529&quot;/&gt;&lt;wsp:rsid wsp:val=&quot;000B0C4F&quot;/&gt;&lt;wsp:rsid wsp:val=&quot;000B0F57&quot;/&gt;&lt;wsp:rsid wsp:val=&quot;000B10BD&quot;/&gt;&lt;wsp:rsid wsp:val=&quot;000B1106&quot;/&gt;&lt;wsp:rsid wsp:val=&quot;000B16E4&quot;/&gt;&lt;wsp:rsid wsp:val=&quot;000B1AED&quot;/&gt;&lt;wsp:rsid wsp:val=&quot;000B1B44&quot;/&gt;&lt;wsp:rsid wsp:val=&quot;000B1BDB&quot;/&gt;&lt;wsp:rsid wsp:val=&quot;000B1C4A&quot;/&gt;&lt;wsp:rsid wsp:val=&quot;000B1C8E&quot;/&gt;&lt;wsp:rsid wsp:val=&quot;000B2CF8&quot;/&gt;&lt;wsp:rsid wsp:val=&quot;000B30AE&quot;/&gt;&lt;wsp:rsid wsp:val=&quot;000B35C2&quot;/&gt;&lt;wsp:rsid wsp:val=&quot;000B3FC1&quot;/&gt;&lt;wsp:rsid wsp:val=&quot;000B451E&quot;/&gt;&lt;wsp:rsid wsp:val=&quot;000B492E&quot;/&gt;&lt;wsp:rsid wsp:val=&quot;000B4B0F&quot;/&gt;&lt;wsp:rsid wsp:val=&quot;000B4EA8&quot;/&gt;&lt;wsp:rsid wsp:val=&quot;000B4ECC&quot;/&gt;&lt;wsp:rsid wsp:val=&quot;000B520F&quot;/&gt;&lt;wsp:rsid wsp:val=&quot;000B5524&quot;/&gt;&lt;wsp:rsid wsp:val=&quot;000B55AC&quot;/&gt;&lt;wsp:rsid wsp:val=&quot;000B5707&quot;/&gt;&lt;wsp:rsid wsp:val=&quot;000B5988&quot;/&gt;&lt;wsp:rsid wsp:val=&quot;000B5D8A&quot;/&gt;&lt;wsp:rsid wsp:val=&quot;000B6271&quot;/&gt;&lt;wsp:rsid wsp:val=&quot;000B6676&quot;/&gt;&lt;wsp:rsid wsp:val=&quot;000B69F7&quot;/&gt;&lt;wsp:rsid wsp:val=&quot;000B6E30&quot;/&gt;&lt;wsp:rsid wsp:val=&quot;000B6EFB&quot;/&gt;&lt;wsp:rsid wsp:val=&quot;000B70E6&quot;/&gt;&lt;wsp:rsid wsp:val=&quot;000B73F0&quot;/&gt;&lt;wsp:rsid wsp:val=&quot;000B741A&quot;/&gt;&lt;wsp:rsid wsp:val=&quot;000C0234&quot;/&gt;&lt;wsp:rsid wsp:val=&quot;000C0652&quot;/&gt;&lt;wsp:rsid wsp:val=&quot;000C0DEC&quot;/&gt;&lt;wsp:rsid wsp:val=&quot;000C1407&quot;/&gt;&lt;wsp:rsid wsp:val=&quot;000C16BE&quot;/&gt;&lt;wsp:rsid wsp:val=&quot;000C1F0F&quot;/&gt;&lt;wsp:rsid wsp:val=&quot;000C1FCF&quot;/&gt;&lt;wsp:rsid wsp:val=&quot;000C237D&quot;/&gt;&lt;wsp:rsid wsp:val=&quot;000C2418&quot;/&gt;&lt;wsp:rsid wsp:val=&quot;000C268F&quot;/&gt;&lt;wsp:rsid wsp:val=&quot;000C2807&quot;/&gt;&lt;wsp:rsid wsp:val=&quot;000C2F00&quot;/&gt;&lt;wsp:rsid wsp:val=&quot;000C3198&quot;/&gt;&lt;wsp:rsid wsp:val=&quot;000C3201&quot;/&gt;&lt;wsp:rsid wsp:val=&quot;000C3DDD&quot;/&gt;&lt;wsp:rsid wsp:val=&quot;000C4ABC&quot;/&gt;&lt;wsp:rsid wsp:val=&quot;000C4B30&quot;/&gt;&lt;wsp:rsid wsp:val=&quot;000C4C8D&quot;/&gt;&lt;wsp:rsid wsp:val=&quot;000C4D0D&quot;/&gt;&lt;wsp:rsid wsp:val=&quot;000C530D&quot;/&gt;&lt;wsp:rsid wsp:val=&quot;000C5929&quot;/&gt;&lt;wsp:rsid wsp:val=&quot;000C59A7&quot;/&gt;&lt;wsp:rsid wsp:val=&quot;000C6161&quot;/&gt;&lt;wsp:rsid wsp:val=&quot;000C6310&quot;/&gt;&lt;wsp:rsid wsp:val=&quot;000C65A1&quot;/&gt;&lt;wsp:rsid wsp:val=&quot;000C6783&quot;/&gt;&lt;wsp:rsid wsp:val=&quot;000C684C&quot;/&gt;&lt;wsp:rsid wsp:val=&quot;000C6B4E&quot;/&gt;&lt;wsp:rsid wsp:val=&quot;000C728F&quot;/&gt;&lt;wsp:rsid wsp:val=&quot;000C7626&quot;/&gt;&lt;wsp:rsid wsp:val=&quot;000C7CA8&quot;/&gt;&lt;wsp:rsid wsp:val=&quot;000C7DA1&quot;/&gt;&lt;wsp:rsid wsp:val=&quot;000C7EB0&quot;/&gt;&lt;wsp:rsid wsp:val=&quot;000C7FF1&quot;/&gt;&lt;wsp:rsid wsp:val=&quot;000C7FF4&quot;/&gt;&lt;wsp:rsid wsp:val=&quot;000D00DF&quot;/&gt;&lt;wsp:rsid wsp:val=&quot;000D028E&quot;/&gt;&lt;wsp:rsid wsp:val=&quot;000D0411&quot;/&gt;&lt;wsp:rsid wsp:val=&quot;000D0D59&quot;/&gt;&lt;wsp:rsid wsp:val=&quot;000D0E57&quot;/&gt;&lt;wsp:rsid wsp:val=&quot;000D1160&quot;/&gt;&lt;wsp:rsid wsp:val=&quot;000D1425&quot;/&gt;&lt;wsp:rsid wsp:val=&quot;000D14C9&quot;/&gt;&lt;wsp:rsid wsp:val=&quot;000D14D2&quot;/&gt;&lt;wsp:rsid wsp:val=&quot;000D163A&quot;/&gt;&lt;wsp:rsid wsp:val=&quot;000D1DF0&quot;/&gt;&lt;wsp:rsid wsp:val=&quot;000D2053&quot;/&gt;&lt;wsp:rsid wsp:val=&quot;000D2155&quot;/&gt;&lt;wsp:rsid wsp:val=&quot;000D224C&quot;/&gt;&lt;wsp:rsid wsp:val=&quot;000D24F0&quot;/&gt;&lt;wsp:rsid wsp:val=&quot;000D2606&quot;/&gt;&lt;wsp:rsid wsp:val=&quot;000D2793&quot;/&gt;&lt;wsp:rsid wsp:val=&quot;000D28F8&quot;/&gt;&lt;wsp:rsid wsp:val=&quot;000D2A3E&quot;/&gt;&lt;wsp:rsid wsp:val=&quot;000D2C90&quot;/&gt;&lt;wsp:rsid wsp:val=&quot;000D3118&quot;/&gt;&lt;wsp:rsid wsp:val=&quot;000D3346&quot;/&gt;&lt;wsp:rsid wsp:val=&quot;000D3A7F&quot;/&gt;&lt;wsp:rsid wsp:val=&quot;000D3C31&quot;/&gt;&lt;wsp:rsid wsp:val=&quot;000D3FA9&quot;/&gt;&lt;wsp:rsid wsp:val=&quot;000D4408&quot;/&gt;&lt;wsp:rsid wsp:val=&quot;000D4AFD&quot;/&gt;&lt;wsp:rsid wsp:val=&quot;000D4C41&quot;/&gt;&lt;wsp:rsid wsp:val=&quot;000D4D76&quot;/&gt;&lt;wsp:rsid wsp:val=&quot;000D5016&quot;/&gt;&lt;wsp:rsid wsp:val=&quot;000D511F&quot;/&gt;&lt;wsp:rsid wsp:val=&quot;000D534D&quot;/&gt;&lt;wsp:rsid wsp:val=&quot;000D540B&quot;/&gt;&lt;wsp:rsid wsp:val=&quot;000D5D04&quot;/&gt;&lt;wsp:rsid wsp:val=&quot;000D5E6C&quot;/&gt;&lt;wsp:rsid wsp:val=&quot;000D60CE&quot;/&gt;&lt;wsp:rsid wsp:val=&quot;000D62EB&quot;/&gt;&lt;wsp:rsid wsp:val=&quot;000D62FE&quot;/&gt;&lt;wsp:rsid wsp:val=&quot;000D64D1&quot;/&gt;&lt;wsp:rsid wsp:val=&quot;000D678F&quot;/&gt;&lt;wsp:rsid wsp:val=&quot;000D75C4&quot;/&gt;&lt;wsp:rsid wsp:val=&quot;000D7B48&quot;/&gt;&lt;wsp:rsid wsp:val=&quot;000D7DB4&quot;/&gt;&lt;wsp:rsid wsp:val=&quot;000D7E47&quot;/&gt;&lt;wsp:rsid wsp:val=&quot;000E03E5&quot;/&gt;&lt;wsp:rsid wsp:val=&quot;000E089C&quot;/&gt;&lt;wsp:rsid wsp:val=&quot;000E0FA2&quot;/&gt;&lt;wsp:rsid wsp:val=&quot;000E18EA&quot;/&gt;&lt;wsp:rsid wsp:val=&quot;000E212D&quot;/&gt;&lt;wsp:rsid wsp:val=&quot;000E2433&quot;/&gt;&lt;wsp:rsid wsp:val=&quot;000E2997&quot;/&gt;&lt;wsp:rsid wsp:val=&quot;000E2A06&quot;/&gt;&lt;wsp:rsid wsp:val=&quot;000E2C44&quot;/&gt;&lt;wsp:rsid wsp:val=&quot;000E2F25&quot;/&gt;&lt;wsp:rsid wsp:val=&quot;000E41EF&quot;/&gt;&lt;wsp:rsid wsp:val=&quot;000E42AA&quot;/&gt;&lt;wsp:rsid wsp:val=&quot;000E42BD&quot;/&gt;&lt;wsp:rsid wsp:val=&quot;000E43A3&quot;/&gt;&lt;wsp:rsid wsp:val=&quot;000E4D08&quot;/&gt;&lt;wsp:rsid wsp:val=&quot;000E561D&quot;/&gt;&lt;wsp:rsid wsp:val=&quot;000E56FF&quot;/&gt;&lt;wsp:rsid wsp:val=&quot;000E5707&quot;/&gt;&lt;wsp:rsid wsp:val=&quot;000E58FA&quot;/&gt;&lt;wsp:rsid wsp:val=&quot;000E59EE&quot;/&gt;&lt;wsp:rsid wsp:val=&quot;000E5C2C&quot;/&gt;&lt;wsp:rsid wsp:val=&quot;000E6630&quot;/&gt;&lt;wsp:rsid wsp:val=&quot;000E68D9&quot;/&gt;&lt;wsp:rsid wsp:val=&quot;000E6918&quot;/&gt;&lt;wsp:rsid wsp:val=&quot;000E6FB7&quot;/&gt;&lt;wsp:rsid wsp:val=&quot;000E707F&quot;/&gt;&lt;wsp:rsid wsp:val=&quot;000E79E2&quot;/&gt;&lt;wsp:rsid wsp:val=&quot;000E7A06&quot;/&gt;&lt;wsp:rsid wsp:val=&quot;000F0385&quot;/&gt;&lt;wsp:rsid wsp:val=&quot;000F0B46&quot;/&gt;&lt;wsp:rsid wsp:val=&quot;000F1305&quot;/&gt;&lt;wsp:rsid wsp:val=&quot;000F14AC&quot;/&gt;&lt;wsp:rsid wsp:val=&quot;000F14B4&quot;/&gt;&lt;wsp:rsid wsp:val=&quot;000F1B61&quot;/&gt;&lt;wsp:rsid wsp:val=&quot;000F22C3&quot;/&gt;&lt;wsp:rsid wsp:val=&quot;000F234A&quot;/&gt;&lt;wsp:rsid wsp:val=&quot;000F23CD&quot;/&gt;&lt;wsp:rsid wsp:val=&quot;000F253F&quot;/&gt;&lt;wsp:rsid wsp:val=&quot;000F2708&quot;/&gt;&lt;wsp:rsid wsp:val=&quot;000F29FF&quot;/&gt;&lt;wsp:rsid wsp:val=&quot;000F2CC0&quot;/&gt;&lt;wsp:rsid wsp:val=&quot;000F2E51&quot;/&gt;&lt;wsp:rsid wsp:val=&quot;000F30A4&quot;/&gt;&lt;wsp:rsid wsp:val=&quot;000F34C8&quot;/&gt;&lt;wsp:rsid wsp:val=&quot;000F3C97&quot;/&gt;&lt;wsp:rsid wsp:val=&quot;000F3FDE&quot;/&gt;&lt;wsp:rsid wsp:val=&quot;000F412B&quot;/&gt;&lt;wsp:rsid wsp:val=&quot;000F4778&quot;/&gt;&lt;wsp:rsid wsp:val=&quot;000F4872&quot;/&gt;&lt;wsp:rsid wsp:val=&quot;000F5066&quot;/&gt;&lt;wsp:rsid wsp:val=&quot;000F53A0&quot;/&gt;&lt;wsp:rsid wsp:val=&quot;000F5F69&quot;/&gt;&lt;wsp:rsid wsp:val=&quot;000F662A&quot;/&gt;&lt;wsp:rsid wsp:val=&quot;000F6C97&quot;/&gt;&lt;wsp:rsid wsp:val=&quot;000F7084&quot;/&gt;&lt;wsp:rsid wsp:val=&quot;000F75A9&quot;/&gt;&lt;wsp:rsid wsp:val=&quot;000F7AC0&quot;/&gt;&lt;wsp:rsid wsp:val=&quot;000F7F82&quot;/&gt;&lt;wsp:rsid wsp:val=&quot;0010025F&quot;/&gt;&lt;wsp:rsid wsp:val=&quot;001005D2&quot;/&gt;&lt;wsp:rsid wsp:val=&quot;00101239&quot;/&gt;&lt;wsp:rsid wsp:val=&quot;001013D9&quot;/&gt;&lt;wsp:rsid wsp:val=&quot;00101871&quot;/&gt;&lt;wsp:rsid wsp:val=&quot;001018C7&quot;/&gt;&lt;wsp:rsid wsp:val=&quot;001020C2&quot;/&gt;&lt;wsp:rsid wsp:val=&quot;0010231A&quot;/&gt;&lt;wsp:rsid wsp:val=&quot;001028BB&quot;/&gt;&lt;wsp:rsid wsp:val=&quot;00102E0D&quot;/&gt;&lt;wsp:rsid wsp:val=&quot;00103796&quot;/&gt;&lt;wsp:rsid wsp:val=&quot;00103846&quot;/&gt;&lt;wsp:rsid wsp:val=&quot;00103EA1&quot;/&gt;&lt;wsp:rsid wsp:val=&quot;00103F74&quot;/&gt;&lt;wsp:rsid wsp:val=&quot;00104355&quot;/&gt;&lt;wsp:rsid wsp:val=&quot;00104388&quot;/&gt;&lt;wsp:rsid wsp:val=&quot;00104389&quot;/&gt;&lt;wsp:rsid wsp:val=&quot;0010480D&quot;/&gt;&lt;wsp:rsid wsp:val=&quot;00105028&quot;/&gt;&lt;wsp:rsid wsp:val=&quot;00105443&quot;/&gt;&lt;wsp:rsid wsp:val=&quot;001056B5&quot;/&gt;&lt;wsp:rsid wsp:val=&quot;001058C4&quot;/&gt;&lt;wsp:rsid wsp:val=&quot;001058F6&quot;/&gt;&lt;wsp:rsid wsp:val=&quot;00105E47&quot;/&gt;&lt;wsp:rsid wsp:val=&quot;00106090&quot;/&gt;&lt;wsp:rsid wsp:val=&quot;0010696F&quot;/&gt;&lt;wsp:rsid wsp:val=&quot;001069DA&quot;/&gt;&lt;wsp:rsid wsp:val=&quot;001070AB&quot;/&gt;&lt;wsp:rsid wsp:val=&quot;0010737C&quot;/&gt;&lt;wsp:rsid wsp:val=&quot;001074E2&quot;/&gt;&lt;wsp:rsid wsp:val=&quot;00107F58&quot;/&gt;&lt;wsp:rsid wsp:val=&quot;00107FC8&quot;/&gt;&lt;wsp:rsid wsp:val=&quot;00110512&quot;/&gt;&lt;wsp:rsid wsp:val=&quot;001106DF&quot;/&gt;&lt;wsp:rsid wsp:val=&quot;00110785&quot;/&gt;&lt;wsp:rsid wsp:val=&quot;001109E0&quot;/&gt;&lt;wsp:rsid wsp:val=&quot;00110B2B&quot;/&gt;&lt;wsp:rsid wsp:val=&quot;00110B86&quot;/&gt;&lt;wsp:rsid wsp:val=&quot;00110BB2&quot;/&gt;&lt;wsp:rsid wsp:val=&quot;00110DCB&quot;/&gt;&lt;wsp:rsid wsp:val=&quot;00110DE9&quot;/&gt;&lt;wsp:rsid wsp:val=&quot;00110F03&quot;/&gt;&lt;wsp:rsid wsp:val=&quot;0011113F&quot;/&gt;&lt;wsp:rsid wsp:val=&quot;00111461&quot;/&gt;&lt;wsp:rsid wsp:val=&quot;00111696&quot;/&gt;&lt;wsp:rsid wsp:val=&quot;00111720&quot;/&gt;&lt;wsp:rsid wsp:val=&quot;00111779&quot;/&gt;&lt;wsp:rsid wsp:val=&quot;00111830&quot;/&gt;&lt;wsp:rsid wsp:val=&quot;00111C6B&quot;/&gt;&lt;wsp:rsid wsp:val=&quot;00111E0A&quot;/&gt;&lt;wsp:rsid wsp:val=&quot;00111E27&quot;/&gt;&lt;wsp:rsid wsp:val=&quot;00112299&quot;/&gt;&lt;wsp:rsid wsp:val=&quot;00112A50&quot;/&gt;&lt;wsp:rsid wsp:val=&quot;00112CE3&quot;/&gt;&lt;wsp:rsid wsp:val=&quot;00113456&quot;/&gt;&lt;wsp:rsid wsp:val=&quot;00113AB5&quot;/&gt;&lt;wsp:rsid wsp:val=&quot;00113B30&quot;/&gt;&lt;wsp:rsid wsp:val=&quot;00114030&quot;/&gt;&lt;wsp:rsid wsp:val=&quot;001140A9&quot;/&gt;&lt;wsp:rsid wsp:val=&quot;00114238&quot;/&gt;&lt;wsp:rsid wsp:val=&quot;00114EBB&quot;/&gt;&lt;wsp:rsid wsp:val=&quot;001158F7&quot;/&gt;&lt;wsp:rsid wsp:val=&quot;00115C2D&quot;/&gt;&lt;wsp:rsid wsp:val=&quot;001160C4&quot;/&gt;&lt;wsp:rsid wsp:val=&quot;001161DC&quot;/&gt;&lt;wsp:rsid wsp:val=&quot;0011661A&quot;/&gt;&lt;wsp:rsid wsp:val=&quot;00116711&quot;/&gt;&lt;wsp:rsid wsp:val=&quot;001167CC&quot;/&gt;&lt;wsp:rsid wsp:val=&quot;00116897&quot;/&gt;&lt;wsp:rsid wsp:val=&quot;0011692A&quot;/&gt;&lt;wsp:rsid wsp:val=&quot;00116BCE&quot;/&gt;&lt;wsp:rsid wsp:val=&quot;00117300&quot;/&gt;&lt;wsp:rsid wsp:val=&quot;0011759D&quot;/&gt;&lt;wsp:rsid wsp:val=&quot;001178ED&quot;/&gt;&lt;wsp:rsid wsp:val=&quot;00117978&quot;/&gt;&lt;wsp:rsid wsp:val=&quot;00117E81&quot;/&gt;&lt;wsp:rsid wsp:val=&quot;00120448&quot;/&gt;&lt;wsp:rsid wsp:val=&quot;00120628&quot;/&gt;&lt;wsp:rsid wsp:val=&quot;00120A8E&quot;/&gt;&lt;wsp:rsid wsp:val=&quot;00121308&quot;/&gt;&lt;wsp:rsid wsp:val=&quot;001214EE&quot;/&gt;&lt;wsp:rsid wsp:val=&quot;00121906&quot;/&gt;&lt;wsp:rsid wsp:val=&quot;001219FB&quot;/&gt;&lt;wsp:rsid wsp:val=&quot;00121F2D&quot;/&gt;&lt;wsp:rsid wsp:val=&quot;001220BC&quot;/&gt;&lt;wsp:rsid wsp:val=&quot;0012231E&quot;/&gt;&lt;wsp:rsid wsp:val=&quot;0012239C&quot;/&gt;&lt;wsp:rsid wsp:val=&quot;001224A8&quot;/&gt;&lt;wsp:rsid wsp:val=&quot;00122B60&quot;/&gt;&lt;wsp:rsid wsp:val=&quot;00122D66&quot;/&gt;&lt;wsp:rsid wsp:val=&quot;0012337B&quot;/&gt;&lt;wsp:rsid wsp:val=&quot;00123986&quot;/&gt;&lt;wsp:rsid wsp:val=&quot;00123A88&quot;/&gt;&lt;wsp:rsid wsp:val=&quot;00123C7D&quot;/&gt;&lt;wsp:rsid wsp:val=&quot;00123FBF&quot;/&gt;&lt;wsp:rsid wsp:val=&quot;001240E2&quot;/&gt;&lt;wsp:rsid wsp:val=&quot;0012417C&quot;/&gt;&lt;wsp:rsid wsp:val=&quot;001243A3&quot;/&gt;&lt;wsp:rsid wsp:val=&quot;00124D77&quot;/&gt;&lt;wsp:rsid wsp:val=&quot;00124E18&quot;/&gt;&lt;wsp:rsid wsp:val=&quot;0012509A&quot;/&gt;&lt;wsp:rsid wsp:val=&quot;00125335&quot;/&gt;&lt;wsp:rsid wsp:val=&quot;00125613&quot;/&gt;&lt;wsp:rsid wsp:val=&quot;00125933&quot;/&gt;&lt;wsp:rsid wsp:val=&quot;0012594D&quot;/&gt;&lt;wsp:rsid wsp:val=&quot;00125997&quot;/&gt;&lt;wsp:rsid wsp:val=&quot;00126100&quot;/&gt;&lt;wsp:rsid wsp:val=&quot;00126541&quot;/&gt;&lt;wsp:rsid wsp:val=&quot;00126554&quot;/&gt;&lt;wsp:rsid wsp:val=&quot;001268F0&quot;/&gt;&lt;wsp:rsid wsp:val=&quot;001269DB&quot;/&gt;&lt;wsp:rsid wsp:val=&quot;00126D09&quot;/&gt;&lt;wsp:rsid wsp:val=&quot;00126E74&quot;/&gt;&lt;wsp:rsid wsp:val=&quot;001272E8&quot;/&gt;&lt;wsp:rsid wsp:val=&quot;00127E57&quot;/&gt;&lt;wsp:rsid wsp:val=&quot;00127E8B&quot;/&gt;&lt;wsp:rsid wsp:val=&quot;00127F02&quot;/&gt;&lt;wsp:rsid wsp:val=&quot;00130180&quot;/&gt;&lt;wsp:rsid wsp:val=&quot;001302F3&quot;/&gt;&lt;wsp:rsid wsp:val=&quot;00130316&quot;/&gt;&lt;wsp:rsid wsp:val=&quot;0013050B&quot;/&gt;&lt;wsp:rsid wsp:val=&quot;00130BB0&quot;/&gt;&lt;wsp:rsid wsp:val=&quot;00131514&quot;/&gt;&lt;wsp:rsid wsp:val=&quot;00131547&quot;/&gt;&lt;wsp:rsid wsp:val=&quot;00131CD2&quot;/&gt;&lt;wsp:rsid wsp:val=&quot;00131DF2&quot;/&gt;&lt;wsp:rsid wsp:val=&quot;001321CB&quot;/&gt;&lt;wsp:rsid wsp:val=&quot;00132377&quot;/&gt;&lt;wsp:rsid wsp:val=&quot;00132982&quot;/&gt;&lt;wsp:rsid wsp:val=&quot;00132A19&quot;/&gt;&lt;wsp:rsid wsp:val=&quot;00132F62&quot;/&gt;&lt;wsp:rsid wsp:val=&quot;00133A5C&quot;/&gt;&lt;wsp:rsid wsp:val=&quot;00133BD1&quot;/&gt;&lt;wsp:rsid wsp:val=&quot;00133D4B&quot;/&gt;&lt;wsp:rsid wsp:val=&quot;00133F21&quot;/&gt;&lt;wsp:rsid wsp:val=&quot;00134277&quot;/&gt;&lt;wsp:rsid wsp:val=&quot;001345FC&quot;/&gt;&lt;wsp:rsid wsp:val=&quot;00134F35&quot;/&gt;&lt;wsp:rsid wsp:val=&quot;00135996&quot;/&gt;&lt;wsp:rsid wsp:val=&quot;00135A27&quot;/&gt;&lt;wsp:rsid wsp:val=&quot;001360E7&quot;/&gt;&lt;wsp:rsid wsp:val=&quot;00136289&quot;/&gt;&lt;wsp:rsid wsp:val=&quot;00137580&quot;/&gt;&lt;wsp:rsid wsp:val=&quot;00137ACA&quot;/&gt;&lt;wsp:rsid wsp:val=&quot;00137B0B&quot;/&gt;&lt;wsp:rsid wsp:val=&quot;00137DC3&quot;/&gt;&lt;wsp:rsid wsp:val=&quot;0014008D&quot;/&gt;&lt;wsp:rsid wsp:val=&quot;001402E0&quot;/&gt;&lt;wsp:rsid wsp:val=&quot;0014040D&quot;/&gt;&lt;wsp:rsid wsp:val=&quot;00140E0E&quot;/&gt;&lt;wsp:rsid wsp:val=&quot;00141044&quot;/&gt;&lt;wsp:rsid wsp:val=&quot;00141079&quot;/&gt;&lt;wsp:rsid wsp:val=&quot;0014165B&quot;/&gt;&lt;wsp:rsid wsp:val=&quot;00141B33&quot;/&gt;&lt;wsp:rsid wsp:val=&quot;00141FFC&quot;/&gt;&lt;wsp:rsid wsp:val=&quot;0014209D&quot;/&gt;&lt;wsp:rsid wsp:val=&quot;00142398&quot;/&gt;&lt;wsp:rsid wsp:val=&quot;001429F9&quot;/&gt;&lt;wsp:rsid wsp:val=&quot;00142A47&quot;/&gt;&lt;wsp:rsid wsp:val=&quot;001431B5&quot;/&gt;&lt;wsp:rsid wsp:val=&quot;001434DB&quot;/&gt;&lt;wsp:rsid wsp:val=&quot;00143751&quot;/&gt;&lt;wsp:rsid wsp:val=&quot;00143755&quot;/&gt;&lt;wsp:rsid wsp:val=&quot;00143870&quot;/&gt;&lt;wsp:rsid wsp:val=&quot;00143A78&quot;/&gt;&lt;wsp:rsid wsp:val=&quot;00143CE6&quot;/&gt;&lt;wsp:rsid wsp:val=&quot;00143E5C&quot;/&gt;&lt;wsp:rsid wsp:val=&quot;0014430E&quot;/&gt;&lt;wsp:rsid wsp:val=&quot;001443A1&quot;/&gt;&lt;wsp:rsid wsp:val=&quot;00144794&quot;/&gt;&lt;wsp:rsid wsp:val=&quot;001447B9&quot;/&gt;&lt;wsp:rsid wsp:val=&quot;001447F6&quot;/&gt;&lt;wsp:rsid wsp:val=&quot;001448B0&quot;/&gt;&lt;wsp:rsid wsp:val=&quot;00145097&quot;/&gt;&lt;wsp:rsid wsp:val=&quot;00145FB5&quot;/&gt;&lt;wsp:rsid wsp:val=&quot;0014649E&quot;/&gt;&lt;wsp:rsid wsp:val=&quot;001465B8&quot;/&gt;&lt;wsp:rsid wsp:val=&quot;001475AB&quot;/&gt;&lt;wsp:rsid wsp:val=&quot;00147718&quot;/&gt;&lt;wsp:rsid wsp:val=&quot;00150054&quot;/&gt;&lt;wsp:rsid wsp:val=&quot;0015054B&quot;/&gt;&lt;wsp:rsid wsp:val=&quot;00150698&quot;/&gt;&lt;wsp:rsid wsp:val=&quot;0015072F&quot;/&gt;&lt;wsp:rsid wsp:val=&quot;00150766&quot;/&gt;&lt;wsp:rsid wsp:val=&quot;00150843&quot;/&gt;&lt;wsp:rsid wsp:val=&quot;00151950&quot;/&gt;&lt;wsp:rsid wsp:val=&quot;00151C5E&quot;/&gt;&lt;wsp:rsid wsp:val=&quot;00151E62&quot;/&gt;&lt;wsp:rsid wsp:val=&quot;00152241&quot;/&gt;&lt;wsp:rsid wsp:val=&quot;00152BAE&quot;/&gt;&lt;wsp:rsid wsp:val=&quot;00152DFF&quot;/&gt;&lt;wsp:rsid wsp:val=&quot;00153787&quot;/&gt;&lt;wsp:rsid wsp:val=&quot;00153AF5&quot;/&gt;&lt;wsp:rsid wsp:val=&quot;00153F24&quot;/&gt;&lt;wsp:rsid wsp:val=&quot;00154483&quot;/&gt;&lt;wsp:rsid wsp:val=&quot;001544FA&quot;/&gt;&lt;wsp:rsid wsp:val=&quot;001547E3&quot;/&gt;&lt;wsp:rsid wsp:val=&quot;00154953&quot;/&gt;&lt;wsp:rsid wsp:val=&quot;00154AB7&quot;/&gt;&lt;wsp:rsid wsp:val=&quot;00154B16&quot;/&gt;&lt;wsp:rsid wsp:val=&quot;00154DFE&quot;/&gt;&lt;wsp:rsid wsp:val=&quot;001552D3&quot;/&gt;&lt;wsp:rsid wsp:val=&quot;001559E8&quot;/&gt;&lt;wsp:rsid wsp:val=&quot;0015601A&quot;/&gt;&lt;wsp:rsid wsp:val=&quot;00156184&quot;/&gt;&lt;wsp:rsid wsp:val=&quot;00156A17&quot;/&gt;&lt;wsp:rsid wsp:val=&quot;00156B81&quot;/&gt;&lt;wsp:rsid wsp:val=&quot;0015704E&quot;/&gt;&lt;wsp:rsid wsp:val=&quot;001574E1&quot;/&gt;&lt;wsp:rsid wsp:val=&quot;001575AF&quot;/&gt;&lt;wsp:rsid wsp:val=&quot;0015782F&quot;/&gt;&lt;wsp:rsid wsp:val=&quot;00157AFE&quot;/&gt;&lt;wsp:rsid wsp:val=&quot;001602F2&quot;/&gt;&lt;wsp:rsid wsp:val=&quot;00160664&quot;/&gt;&lt;wsp:rsid wsp:val=&quot;00160D95&quot;/&gt;&lt;wsp:rsid wsp:val=&quot;001612F0&quot;/&gt;&lt;wsp:rsid wsp:val=&quot;001615A4&quot;/&gt;&lt;wsp:rsid wsp:val=&quot;00161AAC&quot;/&gt;&lt;wsp:rsid wsp:val=&quot;00161B7C&quot;/&gt;&lt;wsp:rsid wsp:val=&quot;00162A3E&quot;/&gt;&lt;wsp:rsid wsp:val=&quot;00163260&quot;/&gt;&lt;wsp:rsid wsp:val=&quot;00163987&quot;/&gt;&lt;wsp:rsid wsp:val=&quot;001646F6&quot;/&gt;&lt;wsp:rsid wsp:val=&quot;00164AF2&quot;/&gt;&lt;wsp:rsid wsp:val=&quot;00164D06&quot;/&gt;&lt;wsp:rsid wsp:val=&quot;00165029&quot;/&gt;&lt;wsp:rsid wsp:val=&quot;00165647&quot;/&gt;&lt;wsp:rsid wsp:val=&quot;00165695&quot;/&gt;&lt;wsp:rsid wsp:val=&quot;0016573E&quot;/&gt;&lt;wsp:rsid wsp:val=&quot;00165A0C&quot;/&gt;&lt;wsp:rsid wsp:val=&quot;0016629B&quot;/&gt;&lt;wsp:rsid wsp:val=&quot;00166ABC&quot;/&gt;&lt;wsp:rsid wsp:val=&quot;00166B55&quot;/&gt;&lt;wsp:rsid wsp:val=&quot;00166CC5&quot;/&gt;&lt;wsp:rsid wsp:val=&quot;00167068&quot;/&gt;&lt;wsp:rsid wsp:val=&quot;00167263&quot;/&gt;&lt;wsp:rsid wsp:val=&quot;00167A8C&quot;/&gt;&lt;wsp:rsid wsp:val=&quot;00167E07&quot;/&gt;&lt;wsp:rsid wsp:val=&quot;00170052&quot;/&gt;&lt;wsp:rsid wsp:val=&quot;00170433&quot;/&gt;&lt;wsp:rsid wsp:val=&quot;0017069E&quot;/&gt;&lt;wsp:rsid wsp:val=&quot;0017094F&quot;/&gt;&lt;wsp:rsid wsp:val=&quot;00171047&quot;/&gt;&lt;wsp:rsid wsp:val=&quot;0017107D&quot;/&gt;&lt;wsp:rsid wsp:val=&quot;001715DE&quot;/&gt;&lt;wsp:rsid wsp:val=&quot;0017241A&quot;/&gt;&lt;wsp:rsid wsp:val=&quot;00172565&quot;/&gt;&lt;wsp:rsid wsp:val=&quot;00172572&quot;/&gt;&lt;wsp:rsid wsp:val=&quot;00172A89&quot;/&gt;&lt;wsp:rsid wsp:val=&quot;0017306B&quot;/&gt;&lt;wsp:rsid wsp:val=&quot;00173E1E&quot;/&gt;&lt;wsp:rsid wsp:val=&quot;00174067&quot;/&gt;&lt;wsp:rsid wsp:val=&quot;00174504&quot;/&gt;&lt;wsp:rsid wsp:val=&quot;001748F4&quot;/&gt;&lt;wsp:rsid wsp:val=&quot;00174C11&quot;/&gt;&lt;wsp:rsid wsp:val=&quot;00174EE1&quot;/&gt;&lt;wsp:rsid wsp:val=&quot;00175060&quot;/&gt;&lt;wsp:rsid wsp:val=&quot;0017535C&quot;/&gt;&lt;wsp:rsid wsp:val=&quot;00175632&quot;/&gt;&lt;wsp:rsid wsp:val=&quot;00175720&quot;/&gt;&lt;wsp:rsid wsp:val=&quot;00175909&quot;/&gt;&lt;wsp:rsid wsp:val=&quot;00175AD0&quot;/&gt;&lt;wsp:rsid wsp:val=&quot;00175EB3&quot;/&gt;&lt;wsp:rsid wsp:val=&quot;00175FE6&quot;/&gt;&lt;wsp:rsid wsp:val=&quot;00176341&quot;/&gt;&lt;wsp:rsid wsp:val=&quot;001766D4&quot;/&gt;&lt;wsp:rsid wsp:val=&quot;0017674E&quot;/&gt;&lt;wsp:rsid wsp:val=&quot;00176D85&quot;/&gt;&lt;wsp:rsid wsp:val=&quot;001777A1&quot;/&gt;&lt;wsp:rsid wsp:val=&quot;00177A3D&quot;/&gt;&lt;wsp:rsid wsp:val=&quot;00177CA7&quot;/&gt;&lt;wsp:rsid wsp:val=&quot;00177D28&quot;/&gt;&lt;wsp:rsid wsp:val=&quot;0018039F&quot;/&gt;&lt;wsp:rsid wsp:val=&quot;00180956&quot;/&gt;&lt;wsp:rsid wsp:val=&quot;00180C7C&quot;/&gt;&lt;wsp:rsid wsp:val=&quot;00180E74&quot;/&gt;&lt;wsp:rsid wsp:val=&quot;00180EF6&quot;/&gt;&lt;wsp:rsid wsp:val=&quot;001811A7&quot;/&gt;&lt;wsp:rsid wsp:val=&quot;001812A5&quot;/&gt;&lt;wsp:rsid wsp:val=&quot;001812CE&quot;/&gt;&lt;wsp:rsid wsp:val=&quot;0018148D&quot;/&gt;&lt;wsp:rsid wsp:val=&quot;00181693&quot;/&gt;&lt;wsp:rsid wsp:val=&quot;001819BE&quot;/&gt;&lt;wsp:rsid wsp:val=&quot;00181C6C&quot;/&gt;&lt;wsp:rsid wsp:val=&quot;00181F6A&quot;/&gt;&lt;wsp:rsid wsp:val=&quot;001825DA&quot;/&gt;&lt;wsp:rsid wsp:val=&quot;0018277D&quot;/&gt;&lt;wsp:rsid wsp:val=&quot;00182A5B&quot;/&gt;&lt;wsp:rsid wsp:val=&quot;00182D17&quot;/&gt;&lt;wsp:rsid wsp:val=&quot;001830C1&quot;/&gt;&lt;wsp:rsid wsp:val=&quot;00183239&quot;/&gt;&lt;wsp:rsid wsp:val=&quot;00183421&quot;/&gt;&lt;wsp:rsid wsp:val=&quot;001835BF&quot;/&gt;&lt;wsp:rsid wsp:val=&quot;001835F4&quot;/&gt;&lt;wsp:rsid wsp:val=&quot;00183AD4&quot;/&gt;&lt;wsp:rsid wsp:val=&quot;00183B6D&quot;/&gt;&lt;wsp:rsid wsp:val=&quot;001840C7&quot;/&gt;&lt;wsp:rsid wsp:val=&quot;0018414F&quot;/&gt;&lt;wsp:rsid wsp:val=&quot;001844A9&quot;/&gt;&lt;wsp:rsid wsp:val=&quot;00184754&quot;/&gt;&lt;wsp:rsid wsp:val=&quot;00184793&quot;/&gt;&lt;wsp:rsid wsp:val=&quot;00184BE5&quot;/&gt;&lt;wsp:rsid wsp:val=&quot;001854D8&quot;/&gt;&lt;wsp:rsid wsp:val=&quot;00185EB9&quot;/&gt;&lt;wsp:rsid wsp:val=&quot;00185FE2&quot;/&gt;&lt;wsp:rsid wsp:val=&quot;00186155&quot;/&gt;&lt;wsp:rsid wsp:val=&quot;001863D3&quot;/&gt;&lt;wsp:rsid wsp:val=&quot;0018645F&quot;/&gt;&lt;wsp:rsid wsp:val=&quot;00186824&quot;/&gt;&lt;wsp:rsid wsp:val=&quot;00186D14&quot;/&gt;&lt;wsp:rsid wsp:val=&quot;0018729A&quot;/&gt;&lt;wsp:rsid wsp:val=&quot;00187305&quot;/&gt;&lt;wsp:rsid wsp:val=&quot;00187491&quot;/&gt;&lt;wsp:rsid wsp:val=&quot;001875D1&quot;/&gt;&lt;wsp:rsid wsp:val=&quot;0018761E&quot;/&gt;&lt;wsp:rsid wsp:val=&quot;00190D0C&quot;/&gt;&lt;wsp:rsid wsp:val=&quot;00191003&quot;/&gt;&lt;wsp:rsid wsp:val=&quot;001911CD&quot;/&gt;&lt;wsp:rsid wsp:val=&quot;00191924&quot;/&gt;&lt;wsp:rsid wsp:val=&quot;0019214A&quot;/&gt;&lt;wsp:rsid wsp:val=&quot;0019244B&quot;/&gt;&lt;wsp:rsid wsp:val=&quot;00192670&quot;/&gt;&lt;wsp:rsid wsp:val=&quot;00192A46&quot;/&gt;&lt;wsp:rsid wsp:val=&quot;00192C20&quot;/&gt;&lt;wsp:rsid wsp:val=&quot;00193095&quot;/&gt;&lt;wsp:rsid wsp:val=&quot;0019318F&quot;/&gt;&lt;wsp:rsid wsp:val=&quot;001931B2&quot;/&gt;&lt;wsp:rsid wsp:val=&quot;00193270&quot;/&gt;&lt;wsp:rsid wsp:val=&quot;0019345A&quot;/&gt;&lt;wsp:rsid wsp:val=&quot;00193598&quot;/&gt;&lt;wsp:rsid wsp:val=&quot;0019366F&quot;/&gt;&lt;wsp:rsid wsp:val=&quot;001940A4&quot;/&gt;&lt;wsp:rsid wsp:val=&quot;00194725&quot;/&gt;&lt;wsp:rsid wsp:val=&quot;00194B0B&quot;/&gt;&lt;wsp:rsid wsp:val=&quot;0019556E&quot;/&gt;&lt;wsp:rsid wsp:val=&quot;00195CC7&quot;/&gt;&lt;wsp:rsid wsp:val=&quot;00195DCE&quot;/&gt;&lt;wsp:rsid wsp:val=&quot;001960B7&quot;/&gt;&lt;wsp:rsid wsp:val=&quot;0019619C&quot;/&gt;&lt;wsp:rsid wsp:val=&quot;0019633B&quot;/&gt;&lt;wsp:rsid wsp:val=&quot;0019672C&quot;/&gt;&lt;wsp:rsid wsp:val=&quot;00196756&quot;/&gt;&lt;wsp:rsid wsp:val=&quot;00196D13&quot;/&gt;&lt;wsp:rsid wsp:val=&quot;0019740D&quot;/&gt;&lt;wsp:rsid wsp:val=&quot;0019761A&quot;/&gt;&lt;wsp:rsid wsp:val=&quot;00197676&quot;/&gt;&lt;wsp:rsid wsp:val=&quot;00197F27&quot;/&gt;&lt;wsp:rsid wsp:val=&quot;001A017E&quot;/&gt;&lt;wsp:rsid wsp:val=&quot;001A0298&quot;/&gt;&lt;wsp:rsid wsp:val=&quot;001A0339&quot;/&gt;&lt;wsp:rsid wsp:val=&quot;001A033B&quot;/&gt;&lt;wsp:rsid wsp:val=&quot;001A09EC&quot;/&gt;&lt;wsp:rsid wsp:val=&quot;001A0DD7&quot;/&gt;&lt;wsp:rsid wsp:val=&quot;001A0E92&quot;/&gt;&lt;wsp:rsid wsp:val=&quot;001A0EA8&quot;/&gt;&lt;wsp:rsid wsp:val=&quot;001A1277&quot;/&gt;&lt;wsp:rsid wsp:val=&quot;001A1619&quot;/&gt;&lt;wsp:rsid wsp:val=&quot;001A165B&quot;/&gt;&lt;wsp:rsid wsp:val=&quot;001A1B95&quot;/&gt;&lt;wsp:rsid wsp:val=&quot;001A2121&quot;/&gt;&lt;wsp:rsid wsp:val=&quot;001A2405&quot;/&gt;&lt;wsp:rsid wsp:val=&quot;001A260A&quot;/&gt;&lt;wsp:rsid wsp:val=&quot;001A2675&quot;/&gt;&lt;wsp:rsid wsp:val=&quot;001A26AA&quot;/&gt;&lt;wsp:rsid wsp:val=&quot;001A2BDB&quot;/&gt;&lt;wsp:rsid wsp:val=&quot;001A362B&quot;/&gt;&lt;wsp:rsid wsp:val=&quot;001A382C&quot;/&gt;&lt;wsp:rsid wsp:val=&quot;001A3FD6&quot;/&gt;&lt;wsp:rsid wsp:val=&quot;001A4B97&quot;/&gt;&lt;wsp:rsid wsp:val=&quot;001A4DDE&quot;/&gt;&lt;wsp:rsid wsp:val=&quot;001A5199&quot;/&gt;&lt;wsp:rsid wsp:val=&quot;001A5252&quot;/&gt;&lt;wsp:rsid wsp:val=&quot;001A53E0&quot;/&gt;&lt;wsp:rsid wsp:val=&quot;001A53FD&quot;/&gt;&lt;wsp:rsid wsp:val=&quot;001A54FB&quot;/&gt;&lt;wsp:rsid wsp:val=&quot;001A5BC2&quot;/&gt;&lt;wsp:rsid wsp:val=&quot;001A5C95&quot;/&gt;&lt;wsp:rsid wsp:val=&quot;001A5FD8&quot;/&gt;&lt;wsp:rsid wsp:val=&quot;001A6D65&quot;/&gt;&lt;wsp:rsid wsp:val=&quot;001A6E6B&quot;/&gt;&lt;wsp:rsid wsp:val=&quot;001A72A1&quot;/&gt;&lt;wsp:rsid wsp:val=&quot;001A7428&quot;/&gt;&lt;wsp:rsid wsp:val=&quot;001A7A53&quot;/&gt;&lt;wsp:rsid wsp:val=&quot;001B05B6&quot;/&gt;&lt;wsp:rsid wsp:val=&quot;001B0839&quot;/&gt;&lt;wsp:rsid wsp:val=&quot;001B0881&quot;/&gt;&lt;wsp:rsid wsp:val=&quot;001B0BDB&quot;/&gt;&lt;wsp:rsid wsp:val=&quot;001B0DF0&quot;/&gt;&lt;wsp:rsid wsp:val=&quot;001B1987&quot;/&gt;&lt;wsp:rsid wsp:val=&quot;001B19A7&quot;/&gt;&lt;wsp:rsid wsp:val=&quot;001B1B75&quot;/&gt;&lt;wsp:rsid wsp:val=&quot;001B1C5E&quot;/&gt;&lt;wsp:rsid wsp:val=&quot;001B2085&quot;/&gt;&lt;wsp:rsid wsp:val=&quot;001B2088&quot;/&gt;&lt;wsp:rsid wsp:val=&quot;001B2DF5&quot;/&gt;&lt;wsp:rsid wsp:val=&quot;001B2FC1&quot;/&gt;&lt;wsp:rsid wsp:val=&quot;001B3551&quot;/&gt;&lt;wsp:rsid wsp:val=&quot;001B3AD2&quot;/&gt;&lt;wsp:rsid wsp:val=&quot;001B3D05&quot;/&gt;&lt;wsp:rsid wsp:val=&quot;001B3E23&quot;/&gt;&lt;wsp:rsid wsp:val=&quot;001B4026&quot;/&gt;&lt;wsp:rsid wsp:val=&quot;001B4152&quot;/&gt;&lt;wsp:rsid wsp:val=&quot;001B41C4&quot;/&gt;&lt;wsp:rsid wsp:val=&quot;001B4330&quot;/&gt;&lt;wsp:rsid wsp:val=&quot;001B46A2&quot;/&gt;&lt;wsp:rsid wsp:val=&quot;001B46EC&quot;/&gt;&lt;wsp:rsid wsp:val=&quot;001B4C55&quot;/&gt;&lt;wsp:rsid wsp:val=&quot;001B4FD9&quot;/&gt;&lt;wsp:rsid wsp:val=&quot;001B5599&quot;/&gt;&lt;wsp:rsid wsp:val=&quot;001B597C&quot;/&gt;&lt;wsp:rsid wsp:val=&quot;001B5BD6&quot;/&gt;&lt;wsp:rsid wsp:val=&quot;001B5D0F&quot;/&gt;&lt;wsp:rsid wsp:val=&quot;001B5E6C&quot;/&gt;&lt;wsp:rsid wsp:val=&quot;001B6390&quot;/&gt;&lt;wsp:rsid wsp:val=&quot;001B6CEC&quot;/&gt;&lt;wsp:rsid wsp:val=&quot;001B6E59&quot;/&gt;&lt;wsp:rsid wsp:val=&quot;001B718C&quot;/&gt;&lt;wsp:rsid wsp:val=&quot;001B7518&quot;/&gt;&lt;wsp:rsid wsp:val=&quot;001B7AF2&quot;/&gt;&lt;wsp:rsid wsp:val=&quot;001B7ED7&quot;/&gt;&lt;wsp:rsid wsp:val=&quot;001C0350&quot;/&gt;&lt;wsp:rsid wsp:val=&quot;001C0C1A&quot;/&gt;&lt;wsp:rsid wsp:val=&quot;001C11DD&quot;/&gt;&lt;wsp:rsid wsp:val=&quot;001C11F6&quot;/&gt;&lt;wsp:rsid wsp:val=&quot;001C1367&quot;/&gt;&lt;wsp:rsid wsp:val=&quot;001C1384&quot;/&gt;&lt;wsp:rsid wsp:val=&quot;001C13AF&quot;/&gt;&lt;wsp:rsid wsp:val=&quot;001C1477&quot;/&gt;&lt;wsp:rsid wsp:val=&quot;001C1650&quot;/&gt;&lt;wsp:rsid wsp:val=&quot;001C177E&quot;/&gt;&lt;wsp:rsid wsp:val=&quot;001C1CFC&quot;/&gt;&lt;wsp:rsid wsp:val=&quot;001C1D74&quot;/&gt;&lt;wsp:rsid wsp:val=&quot;001C1FA2&quot;/&gt;&lt;wsp:rsid wsp:val=&quot;001C2238&quot;/&gt;&lt;wsp:rsid wsp:val=&quot;001C2857&quot;/&gt;&lt;wsp:rsid wsp:val=&quot;001C2FAB&quot;/&gt;&lt;wsp:rsid wsp:val=&quot;001C32DD&quot;/&gt;&lt;wsp:rsid wsp:val=&quot;001C36D5&quot;/&gt;&lt;wsp:rsid wsp:val=&quot;001C3C03&quot;/&gt;&lt;wsp:rsid wsp:val=&quot;001C3EF3&quot;/&gt;&lt;wsp:rsid wsp:val=&quot;001C4329&quot;/&gt;&lt;wsp:rsid wsp:val=&quot;001C4719&quot;/&gt;&lt;wsp:rsid wsp:val=&quot;001C4C26&quot;/&gt;&lt;wsp:rsid wsp:val=&quot;001C5962&quot;/&gt;&lt;wsp:rsid wsp:val=&quot;001C5E2B&quot;/&gt;&lt;wsp:rsid wsp:val=&quot;001C6779&quot;/&gt;&lt;wsp:rsid wsp:val=&quot;001C6C18&quot;/&gt;&lt;wsp:rsid wsp:val=&quot;001C7136&quot;/&gt;&lt;wsp:rsid wsp:val=&quot;001C76C4&quot;/&gt;&lt;wsp:rsid wsp:val=&quot;001C76D0&quot;/&gt;&lt;wsp:rsid wsp:val=&quot;001C770E&quot;/&gt;&lt;wsp:rsid wsp:val=&quot;001C7B33&quot;/&gt;&lt;wsp:rsid wsp:val=&quot;001C7CA5&quot;/&gt;&lt;wsp:rsid wsp:val=&quot;001D02AD&quot;/&gt;&lt;wsp:rsid wsp:val=&quot;001D0A08&quot;/&gt;&lt;wsp:rsid wsp:val=&quot;001D0B24&quot;/&gt;&lt;wsp:rsid wsp:val=&quot;001D0BDA&quot;/&gt;&lt;wsp:rsid wsp:val=&quot;001D0C91&quot;/&gt;&lt;wsp:rsid wsp:val=&quot;001D0DF2&quot;/&gt;&lt;wsp:rsid wsp:val=&quot;001D0E81&quot;/&gt;&lt;wsp:rsid wsp:val=&quot;001D1472&quot;/&gt;&lt;wsp:rsid wsp:val=&quot;001D18E6&quot;/&gt;&lt;wsp:rsid wsp:val=&quot;001D1A78&quot;/&gt;&lt;wsp:rsid wsp:val=&quot;001D26E0&quot;/&gt;&lt;wsp:rsid wsp:val=&quot;001D2B45&quot;/&gt;&lt;wsp:rsid wsp:val=&quot;001D2B6E&quot;/&gt;&lt;wsp:rsid wsp:val=&quot;001D2BD5&quot;/&gt;&lt;wsp:rsid wsp:val=&quot;001D2DF0&quot;/&gt;&lt;wsp:rsid wsp:val=&quot;001D2FAB&quot;/&gt;&lt;wsp:rsid wsp:val=&quot;001D33B5&quot;/&gt;&lt;wsp:rsid wsp:val=&quot;001D35F9&quot;/&gt;&lt;wsp:rsid wsp:val=&quot;001D3612&quot;/&gt;&lt;wsp:rsid wsp:val=&quot;001D3B5D&quot;/&gt;&lt;wsp:rsid wsp:val=&quot;001D3BAB&quot;/&gt;&lt;wsp:rsid wsp:val=&quot;001D3FDA&quot;/&gt;&lt;wsp:rsid wsp:val=&quot;001D44A8&quot;/&gt;&lt;wsp:rsid wsp:val=&quot;001D4695&quot;/&gt;&lt;wsp:rsid wsp:val=&quot;001D4935&quot;/&gt;&lt;wsp:rsid wsp:val=&quot;001D4AD4&quot;/&gt;&lt;wsp:rsid wsp:val=&quot;001D4F2B&quot;/&gt;&lt;wsp:rsid wsp:val=&quot;001D54D5&quot;/&gt;&lt;wsp:rsid wsp:val=&quot;001D5801&quot;/&gt;&lt;wsp:rsid wsp:val=&quot;001D5BCE&quot;/&gt;&lt;wsp:rsid wsp:val=&quot;001D6148&quot;/&gt;&lt;wsp:rsid wsp:val=&quot;001D6654&quot;/&gt;&lt;wsp:rsid wsp:val=&quot;001D6A1E&quot;/&gt;&lt;wsp:rsid wsp:val=&quot;001D6F0E&quot;/&gt;&lt;wsp:rsid wsp:val=&quot;001D7073&quot;/&gt;&lt;wsp:rsid wsp:val=&quot;001D76D8&quot;/&gt;&lt;wsp:rsid wsp:val=&quot;001D785B&quot;/&gt;&lt;wsp:rsid wsp:val=&quot;001D7C93&quot;/&gt;&lt;wsp:rsid wsp:val=&quot;001D7E44&quot;/&gt;&lt;wsp:rsid wsp:val=&quot;001E031B&quot;/&gt;&lt;wsp:rsid wsp:val=&quot;001E03DE&quot;/&gt;&lt;wsp:rsid wsp:val=&quot;001E068A&quot;/&gt;&lt;wsp:rsid wsp:val=&quot;001E0729&quot;/&gt;&lt;wsp:rsid wsp:val=&quot;001E1760&quot;/&gt;&lt;wsp:rsid wsp:val=&quot;001E1AAD&quot;/&gt;&lt;wsp:rsid wsp:val=&quot;001E1F48&quot;/&gt;&lt;wsp:rsid wsp:val=&quot;001E2224&quot;/&gt;&lt;wsp:rsid wsp:val=&quot;001E24F7&quot;/&gt;&lt;wsp:rsid wsp:val=&quot;001E2DA5&quot;/&gt;&lt;wsp:rsid wsp:val=&quot;001E32A5&quot;/&gt;&lt;wsp:rsid wsp:val=&quot;001E347B&quot;/&gt;&lt;wsp:rsid wsp:val=&quot;001E3F3B&quot;/&gt;&lt;wsp:rsid wsp:val=&quot;001E401E&quot;/&gt;&lt;wsp:rsid wsp:val=&quot;001E4261&quot;/&gt;&lt;wsp:rsid wsp:val=&quot;001E45E4&quot;/&gt;&lt;wsp:rsid wsp:val=&quot;001E4BC6&quot;/&gt;&lt;wsp:rsid wsp:val=&quot;001E4C48&quot;/&gt;&lt;wsp:rsid wsp:val=&quot;001E4F36&quot;/&gt;&lt;wsp:rsid wsp:val=&quot;001E570A&quot;/&gt;&lt;wsp:rsid wsp:val=&quot;001E596A&quot;/&gt;&lt;wsp:rsid wsp:val=&quot;001E59D7&quot;/&gt;&lt;wsp:rsid wsp:val=&quot;001E5A0D&quot;/&gt;&lt;wsp:rsid wsp:val=&quot;001E5AD4&quot;/&gt;&lt;wsp:rsid wsp:val=&quot;001E5AD5&quot;/&gt;&lt;wsp:rsid wsp:val=&quot;001E5C5B&quot;/&gt;&lt;wsp:rsid wsp:val=&quot;001E6428&quot;/&gt;&lt;wsp:rsid wsp:val=&quot;001E6758&quot;/&gt;&lt;wsp:rsid wsp:val=&quot;001E6EB4&quot;/&gt;&lt;wsp:rsid wsp:val=&quot;001E70C7&quot;/&gt;&lt;wsp:rsid wsp:val=&quot;001E7226&quot;/&gt;&lt;wsp:rsid wsp:val=&quot;001E7275&quot;/&gt;&lt;wsp:rsid wsp:val=&quot;001E75C4&quot;/&gt;&lt;wsp:rsid wsp:val=&quot;001E7D99&quot;/&gt;&lt;wsp:rsid wsp:val=&quot;001F073A&quot;/&gt;&lt;wsp:rsid wsp:val=&quot;001F0892&quot;/&gt;&lt;wsp:rsid wsp:val=&quot;001F0B0B&quot;/&gt;&lt;wsp:rsid wsp:val=&quot;001F11A4&quot;/&gt;&lt;wsp:rsid wsp:val=&quot;001F1745&quot;/&gt;&lt;wsp:rsid wsp:val=&quot;001F179C&quot;/&gt;&lt;wsp:rsid wsp:val=&quot;001F1EE0&quot;/&gt;&lt;wsp:rsid wsp:val=&quot;001F230B&quot;/&gt;&lt;wsp:rsid wsp:val=&quot;001F2315&quot;/&gt;&lt;wsp:rsid wsp:val=&quot;001F2418&quot;/&gt;&lt;wsp:rsid wsp:val=&quot;001F2C4F&quot;/&gt;&lt;wsp:rsid wsp:val=&quot;001F322F&quot;/&gt;&lt;wsp:rsid wsp:val=&quot;001F3560&quot;/&gt;&lt;wsp:rsid wsp:val=&quot;001F3906&quot;/&gt;&lt;wsp:rsid wsp:val=&quot;001F3918&quot;/&gt;&lt;wsp:rsid wsp:val=&quot;001F395A&quot;/&gt;&lt;wsp:rsid wsp:val=&quot;001F3A68&quot;/&gt;&lt;wsp:rsid wsp:val=&quot;001F401D&quot;/&gt;&lt;wsp:rsid wsp:val=&quot;001F4063&quot;/&gt;&lt;wsp:rsid wsp:val=&quot;001F4312&quot;/&gt;&lt;wsp:rsid wsp:val=&quot;001F49E3&quot;/&gt;&lt;wsp:rsid wsp:val=&quot;001F4B8C&quot;/&gt;&lt;wsp:rsid wsp:val=&quot;001F4BA2&quot;/&gt;&lt;wsp:rsid wsp:val=&quot;001F4F88&quot;/&gt;&lt;wsp:rsid wsp:val=&quot;001F54E1&quot;/&gt;&lt;wsp:rsid wsp:val=&quot;001F5C7C&quot;/&gt;&lt;wsp:rsid wsp:val=&quot;001F5E99&quot;/&gt;&lt;wsp:rsid wsp:val=&quot;001F677D&quot;/&gt;&lt;wsp:rsid wsp:val=&quot;001F6904&quot;/&gt;&lt;wsp:rsid wsp:val=&quot;001F6C6D&quot;/&gt;&lt;wsp:rsid wsp:val=&quot;001F7140&quot;/&gt;&lt;wsp:rsid wsp:val=&quot;001F776C&quot;/&gt;&lt;wsp:rsid wsp:val=&quot;001F7812&quot;/&gt;&lt;wsp:rsid wsp:val=&quot;001F7ECC&quot;/&gt;&lt;wsp:rsid wsp:val=&quot;0020031A&quot;/&gt;&lt;wsp:rsid wsp:val=&quot;002005E5&quot;/&gt;&lt;wsp:rsid wsp:val=&quot;002009F9&quot;/&gt;&lt;wsp:rsid wsp:val=&quot;00200AEC&quot;/&gt;&lt;wsp:rsid wsp:val=&quot;002013AA&quot;/&gt;&lt;wsp:rsid wsp:val=&quot;002017AD&quot;/&gt;&lt;wsp:rsid wsp:val=&quot;00202623&quot;/&gt;&lt;wsp:rsid wsp:val=&quot;00202982&quot;/&gt;&lt;wsp:rsid wsp:val=&quot;002029A9&quot;/&gt;&lt;wsp:rsid wsp:val=&quot;00202A7D&quot;/&gt;&lt;wsp:rsid wsp:val=&quot;00202CC2&quot;/&gt;&lt;wsp:rsid wsp:val=&quot;00203122&quot;/&gt;&lt;wsp:rsid wsp:val=&quot;00203261&quot;/&gt;&lt;wsp:rsid wsp:val=&quot;0020357F&quot;/&gt;&lt;wsp:rsid wsp:val=&quot;00203601&quot;/&gt;&lt;wsp:rsid wsp:val=&quot;00203921&quot;/&gt;&lt;wsp:rsid wsp:val=&quot;00203F47&quot;/&gt;&lt;wsp:rsid wsp:val=&quot;0020424C&quot;/&gt;&lt;wsp:rsid wsp:val=&quot;002043D5&quot;/&gt;&lt;wsp:rsid wsp:val=&quot;0020451E&quot;/&gt;&lt;wsp:rsid wsp:val=&quot;00204B8D&quot;/&gt;&lt;wsp:rsid wsp:val=&quot;00204D00&quot;/&gt;&lt;wsp:rsid wsp:val=&quot;00204DCF&quot;/&gt;&lt;wsp:rsid wsp:val=&quot;002058AC&quot;/&gt;&lt;wsp:rsid wsp:val=&quot;00205A36&quot;/&gt;&lt;wsp:rsid wsp:val=&quot;00205A41&quot;/&gt;&lt;wsp:rsid wsp:val=&quot;00205BE1&quot;/&gt;&lt;wsp:rsid wsp:val=&quot;0020661B&quot;/&gt;&lt;wsp:rsid wsp:val=&quot;00206ACA&quot;/&gt;&lt;wsp:rsid wsp:val=&quot;00206BB6&quot;/&gt;&lt;wsp:rsid wsp:val=&quot;00206DA6&quot;/&gt;&lt;wsp:rsid wsp:val=&quot;002078C7&quot;/&gt;&lt;wsp:rsid wsp:val=&quot;00207A54&quot;/&gt;&lt;wsp:rsid wsp:val=&quot;00207C3E&quot;/&gt;&lt;wsp:rsid wsp:val=&quot;00207D7C&quot;/&gt;&lt;wsp:rsid wsp:val=&quot;0021089C&quot;/&gt;&lt;wsp:rsid wsp:val=&quot;00210D89&quot;/&gt;&lt;wsp:rsid wsp:val=&quot;00211566&quot;/&gt;&lt;wsp:rsid wsp:val=&quot;002118CD&quot;/&gt;&lt;wsp:rsid wsp:val=&quot;00211AA5&quot;/&gt;&lt;wsp:rsid wsp:val=&quot;00212030&quot;/&gt;&lt;wsp:rsid wsp:val=&quot;002125EA&quot;/&gt;&lt;wsp:rsid wsp:val=&quot;00212CCA&quot;/&gt;&lt;wsp:rsid wsp:val=&quot;00212EC4&quot;/&gt;&lt;wsp:rsid wsp:val=&quot;00212F17&quot;/&gt;&lt;wsp:rsid wsp:val=&quot;00213486&quot;/&gt;&lt;wsp:rsid wsp:val=&quot;0021353E&quot;/&gt;&lt;wsp:rsid wsp:val=&quot;0021366F&quot;/&gt;&lt;wsp:rsid wsp:val=&quot;00213D33&quot;/&gt;&lt;wsp:rsid wsp:val=&quot;00214364&quot;/&gt;&lt;wsp:rsid wsp:val=&quot;0021495F&quot;/&gt;&lt;wsp:rsid wsp:val=&quot;002150F8&quot;/&gt;&lt;wsp:rsid wsp:val=&quot;002153D2&quot;/&gt;&lt;wsp:rsid wsp:val=&quot;002157DC&quot;/&gt;&lt;wsp:rsid wsp:val=&quot;00215AEF&quot;/&gt;&lt;wsp:rsid wsp:val=&quot;002160B4&quot;/&gt;&lt;wsp:rsid wsp:val=&quot;002168CE&quot;/&gt;&lt;wsp:rsid wsp:val=&quot;00216A79&quot;/&gt;&lt;wsp:rsid wsp:val=&quot;00216FCD&quot;/&gt;&lt;wsp:rsid wsp:val=&quot;00217179&quot;/&gt;&lt;wsp:rsid wsp:val=&quot;00217964&quot;/&gt;&lt;wsp:rsid wsp:val=&quot;00217CFA&quot;/&gt;&lt;wsp:rsid wsp:val=&quot;00220307&quot;/&gt;&lt;wsp:rsid wsp:val=&quot;002206DE&quot;/&gt;&lt;wsp:rsid wsp:val=&quot;002208DF&quot;/&gt;&lt;wsp:rsid wsp:val=&quot;002224C1&quot;/&gt;&lt;wsp:rsid wsp:val=&quot;00222A8B&quot;/&gt;&lt;wsp:rsid wsp:val=&quot;00222BB9&quot;/&gt;&lt;wsp:rsid wsp:val=&quot;00222E7E&quot;/&gt;&lt;wsp:rsid wsp:val=&quot;002236DD&quot;/&gt;&lt;wsp:rsid wsp:val=&quot;00223872&quot;/&gt;&lt;wsp:rsid wsp:val=&quot;00223992&quot;/&gt;&lt;wsp:rsid wsp:val=&quot;00223F65&quot;/&gt;&lt;wsp:rsid wsp:val=&quot;002246EF&quot;/&gt;&lt;wsp:rsid wsp:val=&quot;00224702&quot;/&gt;&lt;wsp:rsid wsp:val=&quot;00224EF5&quot;/&gt;&lt;wsp:rsid wsp:val=&quot;002252A3&quot;/&gt;&lt;wsp:rsid wsp:val=&quot;0022595C&quot;/&gt;&lt;wsp:rsid wsp:val=&quot;00225A86&quot;/&gt;&lt;wsp:rsid wsp:val=&quot;00225A8D&quot;/&gt;&lt;wsp:rsid wsp:val=&quot;00225A90&quot;/&gt;&lt;wsp:rsid wsp:val=&quot;00226027&quot;/&gt;&lt;wsp:rsid wsp:val=&quot;00226040&quot;/&gt;&lt;wsp:rsid wsp:val=&quot;00226415&quot;/&gt;&lt;wsp:rsid wsp:val=&quot;00226F20&quot;/&gt;&lt;wsp:rsid wsp:val=&quot;002270FB&quot;/&gt;&lt;wsp:rsid wsp:val=&quot;00230881&quot;/&gt;&lt;wsp:rsid wsp:val=&quot;002308E8&quot;/&gt;&lt;wsp:rsid wsp:val=&quot;00230BF5&quot;/&gt;&lt;wsp:rsid wsp:val=&quot;00230E2F&quot;/&gt;&lt;wsp:rsid wsp:val=&quot;00231609&quot;/&gt;&lt;wsp:rsid wsp:val=&quot;00231703&quot;/&gt;&lt;wsp:rsid wsp:val=&quot;00231719&quot;/&gt;&lt;wsp:rsid wsp:val=&quot;00231F5B&quot;/&gt;&lt;wsp:rsid wsp:val=&quot;002320A4&quot;/&gt;&lt;wsp:rsid wsp:val=&quot;0023375F&quot;/&gt;&lt;wsp:rsid wsp:val=&quot;00233910&quot;/&gt;&lt;wsp:rsid wsp:val=&quot;00233A0E&quot;/&gt;&lt;wsp:rsid wsp:val=&quot;00233B91&quot;/&gt;&lt;wsp:rsid wsp:val=&quot;00233BF0&quot;/&gt;&lt;wsp:rsid wsp:val=&quot;00233E8C&quot;/&gt;&lt;wsp:rsid wsp:val=&quot;00234410&quot;/&gt;&lt;wsp:rsid wsp:val=&quot;0023449B&quot;/&gt;&lt;wsp:rsid wsp:val=&quot;00234540&quot;/&gt;&lt;wsp:rsid wsp:val=&quot;002346B9&quot;/&gt;&lt;wsp:rsid wsp:val=&quot;002347C8&quot;/&gt;&lt;wsp:rsid wsp:val=&quot;00234937&quot;/&gt;&lt;wsp:rsid wsp:val=&quot;0023498C&quot;/&gt;&lt;wsp:rsid wsp:val=&quot;00234B9D&quot;/&gt;&lt;wsp:rsid wsp:val=&quot;00234DCB&quot;/&gt;&lt;wsp:rsid wsp:val=&quot;00234F43&quot;/&gt;&lt;wsp:rsid wsp:val=&quot;00235140&quot;/&gt;&lt;wsp:rsid wsp:val=&quot;00235370&quot;/&gt;&lt;wsp:rsid wsp:val=&quot;00235668&quot;/&gt;&lt;wsp:rsid wsp:val=&quot;00235AD1&quot;/&gt;&lt;wsp:rsid wsp:val=&quot;00235CCE&quot;/&gt;&lt;wsp:rsid wsp:val=&quot;00235DB8&quot;/&gt;&lt;wsp:rsid wsp:val=&quot;00235E84&quot;/&gt;&lt;wsp:rsid wsp:val=&quot;00236226&quot;/&gt;&lt;wsp:rsid wsp:val=&quot;002363F2&quot;/&gt;&lt;wsp:rsid wsp:val=&quot;00236A37&quot;/&gt;&lt;wsp:rsid wsp:val=&quot;00236A91&quot;/&gt;&lt;wsp:rsid wsp:val=&quot;00236B94&quot;/&gt;&lt;wsp:rsid wsp:val=&quot;0023716A&quot;/&gt;&lt;wsp:rsid wsp:val=&quot;00237351&quot;/&gt;&lt;wsp:rsid wsp:val=&quot;0023772A&quot;/&gt;&lt;wsp:rsid wsp:val=&quot;00237ADA&quot;/&gt;&lt;wsp:rsid wsp:val=&quot;0024020D&quot;/&gt;&lt;wsp:rsid wsp:val=&quot;00240733&quot;/&gt;&lt;wsp:rsid wsp:val=&quot;002407A6&quot;/&gt;&lt;wsp:rsid wsp:val=&quot;002411F3&quot;/&gt;&lt;wsp:rsid wsp:val=&quot;00241C4A&quot;/&gt;&lt;wsp:rsid wsp:val=&quot;00241F5E&quot;/&gt;&lt;wsp:rsid wsp:val=&quot;002420B0&quot;/&gt;&lt;wsp:rsid wsp:val=&quot;0024222B&quot;/&gt;&lt;wsp:rsid wsp:val=&quot;00242278&quot;/&gt;&lt;wsp:rsid wsp:val=&quot;002425F3&quot;/&gt;&lt;wsp:rsid wsp:val=&quot;00242A1F&quot;/&gt;&lt;wsp:rsid wsp:val=&quot;00242D22&quot;/&gt;&lt;wsp:rsid wsp:val=&quot;002437AF&quot;/&gt;&lt;wsp:rsid wsp:val=&quot;00243952&quot;/&gt;&lt;wsp:rsid wsp:val=&quot;00243B64&quot;/&gt;&lt;wsp:rsid wsp:val=&quot;002441A4&quot;/&gt;&lt;wsp:rsid wsp:val=&quot;002441C4&quot;/&gt;&lt;wsp:rsid wsp:val=&quot;002447C4&quot;/&gt;&lt;wsp:rsid wsp:val=&quot;0024489F&quot;/&gt;&lt;wsp:rsid wsp:val=&quot;00244D85&quot;/&gt;&lt;wsp:rsid wsp:val=&quot;00245177&quot;/&gt;&lt;wsp:rsid wsp:val=&quot;0024518A&quot;/&gt;&lt;wsp:rsid wsp:val=&quot;0024525D&quot;/&gt;&lt;wsp:rsid wsp:val=&quot;002455DD&quot;/&gt;&lt;wsp:rsid wsp:val=&quot;0024592E&quot;/&gt;&lt;wsp:rsid wsp:val=&quot;002459DC&quot;/&gt;&lt;wsp:rsid wsp:val=&quot;0024694D&quot;/&gt;&lt;wsp:rsid wsp:val=&quot;00246B7A&quot;/&gt;&lt;wsp:rsid wsp:val=&quot;002473B0&quot;/&gt;&lt;wsp:rsid wsp:val=&quot;00247BEC&quot;/&gt;&lt;wsp:rsid wsp:val=&quot;00250A0F&quot;/&gt;&lt;wsp:rsid wsp:val=&quot;00250D71&quot;/&gt;&lt;wsp:rsid wsp:val=&quot;0025175A&quot;/&gt;&lt;wsp:rsid wsp:val=&quot;00251FB6&quot;/&gt;&lt;wsp:rsid wsp:val=&quot;002523A4&quot;/&gt;&lt;wsp:rsid wsp:val=&quot;0025245D&quot;/&gt;&lt;wsp:rsid wsp:val=&quot;002524C2&quot;/&gt;&lt;wsp:rsid wsp:val=&quot;002527CE&quot;/&gt;&lt;wsp:rsid wsp:val=&quot;00253034&quot;/&gt;&lt;wsp:rsid wsp:val=&quot;00253371&quot;/&gt;&lt;wsp:rsid wsp:val=&quot;002539C6&quot;/&gt;&lt;wsp:rsid wsp:val=&quot;00253B94&quot;/&gt;&lt;wsp:rsid wsp:val=&quot;00253E92&quot;/&gt;&lt;wsp:rsid wsp:val=&quot;002541CD&quot;/&gt;&lt;wsp:rsid wsp:val=&quot;00254B3A&quot;/&gt;&lt;wsp:rsid wsp:val=&quot;00254E47&quot;/&gt;&lt;wsp:rsid wsp:val=&quot;002551FF&quot;/&gt;&lt;wsp:rsid wsp:val=&quot;002558DD&quot;/&gt;&lt;wsp:rsid wsp:val=&quot;0025618E&quot;/&gt;&lt;wsp:rsid wsp:val=&quot;002569BF&quot;/&gt;&lt;wsp:rsid wsp:val=&quot;00256C57&quot;/&gt;&lt;wsp:rsid wsp:val=&quot;00256CA5&quot;/&gt;&lt;wsp:rsid wsp:val=&quot;00256FE7&quot;/&gt;&lt;wsp:rsid wsp:val=&quot;00257A6B&quot;/&gt;&lt;wsp:rsid wsp:val=&quot;00260684&quot;/&gt;&lt;wsp:rsid wsp:val=&quot;00260FB2&quot;/&gt;&lt;wsp:rsid wsp:val=&quot;002614C0&quot;/&gt;&lt;wsp:rsid wsp:val=&quot;0026207B&quot;/&gt;&lt;wsp:rsid wsp:val=&quot;002620CF&quot;/&gt;&lt;wsp:rsid wsp:val=&quot;00262211&quot;/&gt;&lt;wsp:rsid wsp:val=&quot;0026279E&quot;/&gt;&lt;wsp:rsid wsp:val=&quot;002629C4&quot;/&gt;&lt;wsp:rsid wsp:val=&quot;00263338&quot;/&gt;&lt;wsp:rsid wsp:val=&quot;002639EE&quot;/&gt;&lt;wsp:rsid wsp:val=&quot;00263D3E&quot;/&gt;&lt;wsp:rsid wsp:val=&quot;00264067&quot;/&gt;&lt;wsp:rsid wsp:val=&quot;002643AD&quot;/&gt;&lt;wsp:rsid wsp:val=&quot;00264B1C&quot;/&gt;&lt;wsp:rsid wsp:val=&quot;00264D87&quot;/&gt;&lt;wsp:rsid wsp:val=&quot;0026501B&quot;/&gt;&lt;wsp:rsid wsp:val=&quot;002654A2&quot;/&gt;&lt;wsp:rsid wsp:val=&quot;00265806&quot;/&gt;&lt;wsp:rsid wsp:val=&quot;00265A0B&quot;/&gt;&lt;wsp:rsid wsp:val=&quot;00265F50&quot;/&gt;&lt;wsp:rsid wsp:val=&quot;00266085&quot;/&gt;&lt;wsp:rsid wsp:val=&quot;002660DA&quot;/&gt;&lt;wsp:rsid wsp:val=&quot;002662AB&quot;/&gt;&lt;wsp:rsid wsp:val=&quot;0026638B&quot;/&gt;&lt;wsp:rsid wsp:val=&quot;00267525&quot;/&gt;&lt;wsp:rsid wsp:val=&quot;002701CE&quot;/&gt;&lt;wsp:rsid wsp:val=&quot;00271042&quot;/&gt;&lt;wsp:rsid wsp:val=&quot;0027122C&quot;/&gt;&lt;wsp:rsid wsp:val=&quot;0027129C&quot;/&gt;&lt;wsp:rsid wsp:val=&quot;00271878&quot;/&gt;&lt;wsp:rsid wsp:val=&quot;002719F8&quot;/&gt;&lt;wsp:rsid wsp:val=&quot;00271D53&quot;/&gt;&lt;wsp:rsid wsp:val=&quot;00271F63&quot;/&gt;&lt;wsp:rsid wsp:val=&quot;0027248E&quot;/&gt;&lt;wsp:rsid wsp:val=&quot;002729DF&quot;/&gt;&lt;wsp:rsid wsp:val=&quot;002731EF&quot;/&gt;&lt;wsp:rsid wsp:val=&quot;0027331D&quot;/&gt;&lt;wsp:rsid wsp:val=&quot;0027333D&quot;/&gt;&lt;wsp:rsid wsp:val=&quot;002733A9&quot;/&gt;&lt;wsp:rsid wsp:val=&quot;0027376E&quot;/&gt;&lt;wsp:rsid wsp:val=&quot;00273EB7&quot;/&gt;&lt;wsp:rsid wsp:val=&quot;00273F05&quot;/&gt;&lt;wsp:rsid wsp:val=&quot;002746C3&quot;/&gt;&lt;wsp:rsid wsp:val=&quot;002749A8&quot;/&gt;&lt;wsp:rsid wsp:val=&quot;00275292&quot;/&gt;&lt;wsp:rsid wsp:val=&quot;0027558A&quot;/&gt;&lt;wsp:rsid wsp:val=&quot;00275CD3&quot;/&gt;&lt;wsp:rsid wsp:val=&quot;00275EA0&quot;/&gt;&lt;wsp:rsid wsp:val=&quot;00275FD8&quot;/&gt;&lt;wsp:rsid wsp:val=&quot;0027624B&quot;/&gt;&lt;wsp:rsid wsp:val=&quot;002762DF&quot;/&gt;&lt;wsp:rsid wsp:val=&quot;0027647D&quot;/&gt;&lt;wsp:rsid wsp:val=&quot;002767C0&quot;/&gt;&lt;wsp:rsid wsp:val=&quot;00276917&quot;/&gt;&lt;wsp:rsid wsp:val=&quot;00276A7D&quot;/&gt;&lt;wsp:rsid wsp:val=&quot;00276FC0&quot;/&gt;&lt;wsp:rsid wsp:val=&quot;00277612&quot;/&gt;&lt;wsp:rsid wsp:val=&quot;0027777A&quot;/&gt;&lt;wsp:rsid wsp:val=&quot;00277914&quot;/&gt;&lt;wsp:rsid wsp:val=&quot;00277946&quot;/&gt;&lt;wsp:rsid wsp:val=&quot;00277D95&quot;/&gt;&lt;wsp:rsid wsp:val=&quot;0028031F&quot;/&gt;&lt;wsp:rsid wsp:val=&quot;0028058B&quot;/&gt;&lt;wsp:rsid wsp:val=&quot;0028110B&quot;/&gt;&lt;wsp:rsid wsp:val=&quot;00281209&quot;/&gt;&lt;wsp:rsid wsp:val=&quot;0028158A&quot;/&gt;&lt;wsp:rsid wsp:val=&quot;00281F80&quot;/&gt;&lt;wsp:rsid wsp:val=&quot;0028217B&quot;/&gt;&lt;wsp:rsid wsp:val=&quot;00282264&quot;/&gt;&lt;wsp:rsid wsp:val=&quot;00282727&quot;/&gt;&lt;wsp:rsid wsp:val=&quot;00282906&quot;/&gt;&lt;wsp:rsid wsp:val=&quot;00282B6F&quot;/&gt;&lt;wsp:rsid wsp:val=&quot;00282F99&quot;/&gt;&lt;wsp:rsid wsp:val=&quot;00282FB7&quot;/&gt;&lt;wsp:rsid wsp:val=&quot;00282FC6&quot;/&gt;&lt;wsp:rsid wsp:val=&quot;002834C1&quot;/&gt;&lt;wsp:rsid wsp:val=&quot;002837BC&quot;/&gt;&lt;wsp:rsid wsp:val=&quot;00283EAE&quot;/&gt;&lt;wsp:rsid wsp:val=&quot;0028433F&quot;/&gt;&lt;wsp:rsid wsp:val=&quot;00284EF9&quot;/&gt;&lt;wsp:rsid wsp:val=&quot;00284F75&quot;/&gt;&lt;wsp:rsid wsp:val=&quot;00285283&quot;/&gt;&lt;wsp:rsid wsp:val=&quot;002852F0&quot;/&gt;&lt;wsp:rsid wsp:val=&quot;00285635&quot;/&gt;&lt;wsp:rsid wsp:val=&quot;00285CAC&quot;/&gt;&lt;wsp:rsid wsp:val=&quot;00285D5C&quot;/&gt;&lt;wsp:rsid wsp:val=&quot;00285E9A&quot;/&gt;&lt;wsp:rsid wsp:val=&quot;00285F5B&quot;/&gt;&lt;wsp:rsid wsp:val=&quot;00286696&quot;/&gt;&lt;wsp:rsid wsp:val=&quot;00286836&quot;/&gt;&lt;wsp:rsid wsp:val=&quot;002868F3&quot;/&gt;&lt;wsp:rsid wsp:val=&quot;00286905&quot;/&gt;&lt;wsp:rsid wsp:val=&quot;00286981&quot;/&gt;&lt;wsp:rsid wsp:val=&quot;00286C5E&quot;/&gt;&lt;wsp:rsid wsp:val=&quot;00286DCA&quot;/&gt;&lt;wsp:rsid wsp:val=&quot;00286FAF&quot;/&gt;&lt;wsp:rsid wsp:val=&quot;0028713E&quot;/&gt;&lt;wsp:rsid wsp:val=&quot;00287742&quot;/&gt;&lt;wsp:rsid wsp:val=&quot;002901C8&quot;/&gt;&lt;wsp:rsid wsp:val=&quot;00290548&quot;/&gt;&lt;wsp:rsid wsp:val=&quot;00290B8C&quot;/&gt;&lt;wsp:rsid wsp:val=&quot;00290C2C&quot;/&gt;&lt;wsp:rsid wsp:val=&quot;00291245&quot;/&gt;&lt;wsp:rsid wsp:val=&quot;0029153B&quot;/&gt;&lt;wsp:rsid wsp:val=&quot;00291DB1&quot;/&gt;&lt;wsp:rsid wsp:val=&quot;00291EF2&quot;/&gt;&lt;wsp:rsid wsp:val=&quot;002921BB&quot;/&gt;&lt;wsp:rsid wsp:val=&quot;002922BD&quot;/&gt;&lt;wsp:rsid wsp:val=&quot;00292394&quot;/&gt;&lt;wsp:rsid wsp:val=&quot;00292B30&quot;/&gt;&lt;wsp:rsid wsp:val=&quot;00292BE2&quot;/&gt;&lt;wsp:rsid wsp:val=&quot;00292D93&quot;/&gt;&lt;wsp:rsid wsp:val=&quot;00293138&quot;/&gt;&lt;wsp:rsid wsp:val=&quot;0029317A&quot;/&gt;&lt;wsp:rsid wsp:val=&quot;002934B9&quot;/&gt;&lt;wsp:rsid wsp:val=&quot;002942A0&quot;/&gt;&lt;wsp:rsid wsp:val=&quot;0029498B&quot;/&gt;&lt;wsp:rsid wsp:val=&quot;002949DB&quot;/&gt;&lt;wsp:rsid wsp:val=&quot;00294D3D&quot;/&gt;&lt;wsp:rsid wsp:val=&quot;002958D6&quot;/&gt;&lt;wsp:rsid wsp:val=&quot;00295D34&quot;/&gt;&lt;wsp:rsid wsp:val=&quot;00295FF1&quot;/&gt;&lt;wsp:rsid wsp:val=&quot;00296672&quot;/&gt;&lt;wsp:rsid wsp:val=&quot;00296ADB&quot;/&gt;&lt;wsp:rsid wsp:val=&quot;00296C9D&quot;/&gt;&lt;wsp:rsid wsp:val=&quot;0029713D&quot;/&gt;&lt;wsp:rsid wsp:val=&quot;00297293&quot;/&gt;&lt;wsp:rsid wsp:val=&quot;002976BB&quot;/&gt;&lt;wsp:rsid wsp:val=&quot;00297EFE&quot;/&gt;&lt;wsp:rsid wsp:val=&quot;002A0178&quot;/&gt;&lt;wsp:rsid wsp:val=&quot;002A057D&quot;/&gt;&lt;wsp:rsid wsp:val=&quot;002A07A0&quot;/&gt;&lt;wsp:rsid wsp:val=&quot;002A07F7&quot;/&gt;&lt;wsp:rsid wsp:val=&quot;002A17A4&quot;/&gt;&lt;wsp:rsid wsp:val=&quot;002A197A&quot;/&gt;&lt;wsp:rsid wsp:val=&quot;002A1AB5&quot;/&gt;&lt;wsp:rsid wsp:val=&quot;002A1B00&quot;/&gt;&lt;wsp:rsid wsp:val=&quot;002A1B20&quot;/&gt;&lt;wsp:rsid wsp:val=&quot;002A1F06&quot;/&gt;&lt;wsp:rsid wsp:val=&quot;002A2135&quot;/&gt;&lt;wsp:rsid wsp:val=&quot;002A26BF&quot;/&gt;&lt;wsp:rsid wsp:val=&quot;002A2E38&quot;/&gt;&lt;wsp:rsid wsp:val=&quot;002A3B3A&quot;/&gt;&lt;wsp:rsid wsp:val=&quot;002A403F&quot;/&gt;&lt;wsp:rsid wsp:val=&quot;002A4184&quot;/&gt;&lt;wsp:rsid wsp:val=&quot;002A4743&quot;/&gt;&lt;wsp:rsid wsp:val=&quot;002A47CB&quot;/&gt;&lt;wsp:rsid wsp:val=&quot;002A47EB&quot;/&gt;&lt;wsp:rsid wsp:val=&quot;002A48C1&quot;/&gt;&lt;wsp:rsid wsp:val=&quot;002A4BC3&quot;/&gt;&lt;wsp:rsid wsp:val=&quot;002A4ED5&quot;/&gt;&lt;wsp:rsid wsp:val=&quot;002A4F57&quot;/&gt;&lt;wsp:rsid wsp:val=&quot;002A511D&quot;/&gt;&lt;wsp:rsid wsp:val=&quot;002A573E&quot;/&gt;&lt;wsp:rsid wsp:val=&quot;002A5821&quot;/&gt;&lt;wsp:rsid wsp:val=&quot;002A58CA&quot;/&gt;&lt;wsp:rsid wsp:val=&quot;002A596D&quot;/&gt;&lt;wsp:rsid wsp:val=&quot;002A645A&quot;/&gt;&lt;wsp:rsid wsp:val=&quot;002A71BA&quot;/&gt;&lt;wsp:rsid wsp:val=&quot;002A75D0&quot;/&gt;&lt;wsp:rsid wsp:val=&quot;002A7A36&quot;/&gt;&lt;wsp:rsid wsp:val=&quot;002A7D15&quot;/&gt;&lt;wsp:rsid wsp:val=&quot;002A7DEF&quot;/&gt;&lt;wsp:rsid wsp:val=&quot;002B00D9&quot;/&gt;&lt;wsp:rsid wsp:val=&quot;002B013C&quot;/&gt;&lt;wsp:rsid wsp:val=&quot;002B01E7&quot;/&gt;&lt;wsp:rsid wsp:val=&quot;002B0A58&quot;/&gt;&lt;wsp:rsid wsp:val=&quot;002B0ECA&quot;/&gt;&lt;wsp:rsid wsp:val=&quot;002B0F93&quot;/&gt;&lt;wsp:rsid wsp:val=&quot;002B193C&quot;/&gt;&lt;wsp:rsid wsp:val=&quot;002B23D6&quot;/&gt;&lt;wsp:rsid wsp:val=&quot;002B2617&quot;/&gt;&lt;wsp:rsid wsp:val=&quot;002B279E&quot;/&gt;&lt;wsp:rsid wsp:val=&quot;002B28AD&quot;/&gt;&lt;wsp:rsid wsp:val=&quot;002B2E07&quot;/&gt;&lt;wsp:rsid wsp:val=&quot;002B2E2E&quot;/&gt;&lt;wsp:rsid wsp:val=&quot;002B30E0&quot;/&gt;&lt;wsp:rsid wsp:val=&quot;002B3201&quot;/&gt;&lt;wsp:rsid wsp:val=&quot;002B3221&quot;/&gt;&lt;wsp:rsid wsp:val=&quot;002B3680&quot;/&gt;&lt;wsp:rsid wsp:val=&quot;002B3B8B&quot;/&gt;&lt;wsp:rsid wsp:val=&quot;002B3E00&quot;/&gt;&lt;wsp:rsid wsp:val=&quot;002B41CB&quot;/&gt;&lt;wsp:rsid wsp:val=&quot;002B4842&quot;/&gt;&lt;wsp:rsid wsp:val=&quot;002B4846&quot;/&gt;&lt;wsp:rsid wsp:val=&quot;002B4A83&quot;/&gt;&lt;wsp:rsid wsp:val=&quot;002B4E93&quot;/&gt;&lt;wsp:rsid wsp:val=&quot;002B515E&quot;/&gt;&lt;wsp:rsid wsp:val=&quot;002B5547&quot;/&gt;&lt;wsp:rsid wsp:val=&quot;002B5549&quot;/&gt;&lt;wsp:rsid wsp:val=&quot;002B5D5A&quot;/&gt;&lt;wsp:rsid wsp:val=&quot;002B6065&quot;/&gt;&lt;wsp:rsid wsp:val=&quot;002B6093&quot;/&gt;&lt;wsp:rsid wsp:val=&quot;002B6815&quot;/&gt;&lt;wsp:rsid wsp:val=&quot;002B6D1A&quot;/&gt;&lt;wsp:rsid wsp:val=&quot;002B6D5D&quot;/&gt;&lt;wsp:rsid wsp:val=&quot;002B7977&quot;/&gt;&lt;wsp:rsid wsp:val=&quot;002B7BDD&quot;/&gt;&lt;wsp:rsid wsp:val=&quot;002B7C90&quot;/&gt;&lt;wsp:rsid wsp:val=&quot;002B7CC7&quot;/&gt;&lt;wsp:rsid wsp:val=&quot;002B7CEA&quot;/&gt;&lt;wsp:rsid wsp:val=&quot;002B7DCA&quot;/&gt;&lt;wsp:rsid wsp:val=&quot;002C0194&quot;/&gt;&lt;wsp:rsid wsp:val=&quot;002C03CE&quot;/&gt;&lt;wsp:rsid wsp:val=&quot;002C1763&quot;/&gt;&lt;wsp:rsid wsp:val=&quot;002C1EFE&quot;/&gt;&lt;wsp:rsid wsp:val=&quot;002C20C7&quot;/&gt;&lt;wsp:rsid wsp:val=&quot;002C21EA&quot;/&gt;&lt;wsp:rsid wsp:val=&quot;002C22A2&quot;/&gt;&lt;wsp:rsid wsp:val=&quot;002C267B&quot;/&gt;&lt;wsp:rsid wsp:val=&quot;002C2902&quot;/&gt;&lt;wsp:rsid wsp:val=&quot;002C2B5F&quot;/&gt;&lt;wsp:rsid wsp:val=&quot;002C2E7E&quot;/&gt;&lt;wsp:rsid wsp:val=&quot;002C3288&quot;/&gt;&lt;wsp:rsid wsp:val=&quot;002C39CD&quot;/&gt;&lt;wsp:rsid wsp:val=&quot;002C3B6F&quot;/&gt;&lt;wsp:rsid wsp:val=&quot;002C3E69&quot;/&gt;&lt;wsp:rsid wsp:val=&quot;002C452C&quot;/&gt;&lt;wsp:rsid wsp:val=&quot;002C4BE4&quot;/&gt;&lt;wsp:rsid wsp:val=&quot;002C4FDC&quot;/&gt;&lt;wsp:rsid wsp:val=&quot;002C5309&quot;/&gt;&lt;wsp:rsid wsp:val=&quot;002C53D3&quot;/&gt;&lt;wsp:rsid wsp:val=&quot;002C56C3&quot;/&gt;&lt;wsp:rsid wsp:val=&quot;002C5784&quot;/&gt;&lt;wsp:rsid wsp:val=&quot;002C582B&quot;/&gt;&lt;wsp:rsid wsp:val=&quot;002C58B2&quot;/&gt;&lt;wsp:rsid wsp:val=&quot;002C5AAF&quot;/&gt;&lt;wsp:rsid wsp:val=&quot;002C5E9F&quot;/&gt;&lt;wsp:rsid wsp:val=&quot;002C5F24&quot;/&gt;&lt;wsp:rsid wsp:val=&quot;002C6604&quot;/&gt;&lt;wsp:rsid wsp:val=&quot;002C6954&quot;/&gt;&lt;wsp:rsid wsp:val=&quot;002C6964&quot;/&gt;&lt;wsp:rsid wsp:val=&quot;002C73BC&quot;/&gt;&lt;wsp:rsid wsp:val=&quot;002C76A6&quot;/&gt;&lt;wsp:rsid wsp:val=&quot;002C7DBB&quot;/&gt;&lt;wsp:rsid wsp:val=&quot;002C7EF8&quot;/&gt;&lt;wsp:rsid wsp:val=&quot;002C7F0E&quot;/&gt;&lt;wsp:rsid wsp:val=&quot;002D0266&quot;/&gt;&lt;wsp:rsid wsp:val=&quot;002D0385&quot;/&gt;&lt;wsp:rsid wsp:val=&quot;002D04EF&quot;/&gt;&lt;wsp:rsid wsp:val=&quot;002D0BF8&quot;/&gt;&lt;wsp:rsid wsp:val=&quot;002D0C12&quot;/&gt;&lt;wsp:rsid wsp:val=&quot;002D0CB7&quot;/&gt;&lt;wsp:rsid wsp:val=&quot;002D0D0A&quot;/&gt;&lt;wsp:rsid wsp:val=&quot;002D0E25&quot;/&gt;&lt;wsp:rsid wsp:val=&quot;002D0F23&quot;/&gt;&lt;wsp:rsid wsp:val=&quot;002D14E1&quot;/&gt;&lt;wsp:rsid wsp:val=&quot;002D15AC&quot;/&gt;&lt;wsp:rsid wsp:val=&quot;002D1703&quot;/&gt;&lt;wsp:rsid wsp:val=&quot;002D196D&quot;/&gt;&lt;wsp:rsid wsp:val=&quot;002D1A50&quot;/&gt;&lt;wsp:rsid wsp:val=&quot;002D1BD3&quot;/&gt;&lt;wsp:rsid wsp:val=&quot;002D1C13&quot;/&gt;&lt;wsp:rsid wsp:val=&quot;002D22B5&quot;/&gt;&lt;wsp:rsid wsp:val=&quot;002D2585&quot;/&gt;&lt;wsp:rsid wsp:val=&quot;002D2754&quot;/&gt;&lt;wsp:rsid wsp:val=&quot;002D2AC8&quot;/&gt;&lt;wsp:rsid wsp:val=&quot;002D2B15&quot;/&gt;&lt;wsp:rsid wsp:val=&quot;002D32FC&quot;/&gt;&lt;wsp:rsid wsp:val=&quot;002D3B3F&quot;/&gt;&lt;wsp:rsid wsp:val=&quot;002D3BF6&quot;/&gt;&lt;wsp:rsid wsp:val=&quot;002D3FC6&quot;/&gt;&lt;wsp:rsid wsp:val=&quot;002D4030&quot;/&gt;&lt;wsp:rsid wsp:val=&quot;002D463D&quot;/&gt;&lt;wsp:rsid wsp:val=&quot;002D48C1&quot;/&gt;&lt;wsp:rsid wsp:val=&quot;002D4B56&quot;/&gt;&lt;wsp:rsid wsp:val=&quot;002D4CEA&quot;/&gt;&lt;wsp:rsid wsp:val=&quot;002D4E81&quot;/&gt;&lt;wsp:rsid wsp:val=&quot;002D5015&quot;/&gt;&lt;wsp:rsid wsp:val=&quot;002D539B&quot;/&gt;&lt;wsp:rsid wsp:val=&quot;002D5475&quot;/&gt;&lt;wsp:rsid wsp:val=&quot;002D5FB4&quot;/&gt;&lt;wsp:rsid wsp:val=&quot;002D6457&quot;/&gt;&lt;wsp:rsid wsp:val=&quot;002D6539&quot;/&gt;&lt;wsp:rsid wsp:val=&quot;002D6719&quot;/&gt;&lt;wsp:rsid wsp:val=&quot;002D6735&quot;/&gt;&lt;wsp:rsid wsp:val=&quot;002D6E13&quot;/&gt;&lt;wsp:rsid wsp:val=&quot;002D6F4A&quot;/&gt;&lt;wsp:rsid wsp:val=&quot;002D7410&quot;/&gt;&lt;wsp:rsid wsp:val=&quot;002D750E&quot;/&gt;&lt;wsp:rsid wsp:val=&quot;002D7640&quot;/&gt;&lt;wsp:rsid wsp:val=&quot;002D7934&quot;/&gt;&lt;wsp:rsid wsp:val=&quot;002D7A7E&quot;/&gt;&lt;wsp:rsid wsp:val=&quot;002D7B30&quot;/&gt;&lt;wsp:rsid wsp:val=&quot;002D7E38&quot;/&gt;&lt;wsp:rsid wsp:val=&quot;002E010F&quot;/&gt;&lt;wsp:rsid wsp:val=&quot;002E01AA&quot;/&gt;&lt;wsp:rsid wsp:val=&quot;002E0A2E&quot;/&gt;&lt;wsp:rsid wsp:val=&quot;002E1062&quot;/&gt;&lt;wsp:rsid wsp:val=&quot;002E18E2&quot;/&gt;&lt;wsp:rsid wsp:val=&quot;002E1C89&quot;/&gt;&lt;wsp:rsid wsp:val=&quot;002E23C9&quot;/&gt;&lt;wsp:rsid wsp:val=&quot;002E29CF&quot;/&gt;&lt;wsp:rsid wsp:val=&quot;002E2FF9&quot;/&gt;&lt;wsp:rsid wsp:val=&quot;002E3034&quot;/&gt;&lt;wsp:rsid wsp:val=&quot;002E30DA&quot;/&gt;&lt;wsp:rsid wsp:val=&quot;002E33F1&quot;/&gt;&lt;wsp:rsid wsp:val=&quot;002E37FB&quot;/&gt;&lt;wsp:rsid wsp:val=&quot;002E3978&quot;/&gt;&lt;wsp:rsid wsp:val=&quot;002E40A7&quot;/&gt;&lt;wsp:rsid wsp:val=&quot;002E40CA&quot;/&gt;&lt;wsp:rsid wsp:val=&quot;002E458A&quot;/&gt;&lt;wsp:rsid wsp:val=&quot;002E47AB&quot;/&gt;&lt;wsp:rsid wsp:val=&quot;002E49FB&quot;/&gt;&lt;wsp:rsid wsp:val=&quot;002E4CBF&quot;/&gt;&lt;wsp:rsid wsp:val=&quot;002E5304&quot;/&gt;&lt;wsp:rsid wsp:val=&quot;002E558C&quot;/&gt;&lt;wsp:rsid wsp:val=&quot;002E5649&quot;/&gt;&lt;wsp:rsid wsp:val=&quot;002E5697&quot;/&gt;&lt;wsp:rsid wsp:val=&quot;002E5D6D&quot;/&gt;&lt;wsp:rsid wsp:val=&quot;002E60F8&quot;/&gt;&lt;wsp:rsid wsp:val=&quot;002E66FC&quot;/&gt;&lt;wsp:rsid wsp:val=&quot;002E693F&quot;/&gt;&lt;wsp:rsid wsp:val=&quot;002E6BA0&quot;/&gt;&lt;wsp:rsid wsp:val=&quot;002E718E&quot;/&gt;&lt;wsp:rsid wsp:val=&quot;002E7B1C&quot;/&gt;&lt;wsp:rsid wsp:val=&quot;002F0030&quot;/&gt;&lt;wsp:rsid wsp:val=&quot;002F061E&quot;/&gt;&lt;wsp:rsid wsp:val=&quot;002F07D7&quot;/&gt;&lt;wsp:rsid wsp:val=&quot;002F0E9E&quot;/&gt;&lt;wsp:rsid wsp:val=&quot;002F102B&quot;/&gt;&lt;wsp:rsid wsp:val=&quot;002F1371&quot;/&gt;&lt;wsp:rsid wsp:val=&quot;002F2715&quot;/&gt;&lt;wsp:rsid wsp:val=&quot;002F31F2&quot;/&gt;&lt;wsp:rsid wsp:val=&quot;002F3303&quot;/&gt;&lt;wsp:rsid wsp:val=&quot;002F3768&quot;/&gt;&lt;wsp:rsid wsp:val=&quot;002F3B6F&quot;/&gt;&lt;wsp:rsid wsp:val=&quot;002F4192&quot;/&gt;&lt;wsp:rsid wsp:val=&quot;002F4379&quot;/&gt;&lt;wsp:rsid wsp:val=&quot;002F4668&quot;/&gt;&lt;wsp:rsid wsp:val=&quot;002F4EE4&quot;/&gt;&lt;wsp:rsid wsp:val=&quot;002F4F34&quot;/&gt;&lt;wsp:rsid wsp:val=&quot;002F521B&quot;/&gt;&lt;wsp:rsid wsp:val=&quot;002F52F8&quot;/&gt;&lt;wsp:rsid wsp:val=&quot;002F57E9&quot;/&gt;&lt;wsp:rsid wsp:val=&quot;002F584A&quot;/&gt;&lt;wsp:rsid wsp:val=&quot;002F5EF4&quot;/&gt;&lt;wsp:rsid wsp:val=&quot;002F60EB&quot;/&gt;&lt;wsp:rsid wsp:val=&quot;002F62CF&quot;/&gt;&lt;wsp:rsid wsp:val=&quot;002F77E3&quot;/&gt;&lt;wsp:rsid wsp:val=&quot;002F7972&quot;/&gt;&lt;wsp:rsid wsp:val=&quot;003003D3&quot;/&gt;&lt;wsp:rsid wsp:val=&quot;003003E4&quot;/&gt;&lt;wsp:rsid wsp:val=&quot;0030091D&quot;/&gt;&lt;wsp:rsid wsp:val=&quot;0030094C&quot;/&gt;&lt;wsp:rsid wsp:val=&quot;00300AEC&quot;/&gt;&lt;wsp:rsid wsp:val=&quot;00300C87&quot;/&gt;&lt;wsp:rsid wsp:val=&quot;0030120B&quot;/&gt;&lt;wsp:rsid wsp:val=&quot;0030145C&quot;/&gt;&lt;wsp:rsid wsp:val=&quot;00302585&quot;/&gt;&lt;wsp:rsid wsp:val=&quot;00302927&quot;/&gt;&lt;wsp:rsid wsp:val=&quot;00302993&quot;/&gt;&lt;wsp:rsid wsp:val=&quot;0030299A&quot;/&gt;&lt;wsp:rsid wsp:val=&quot;0030303B&quot;/&gt;&lt;wsp:rsid wsp:val=&quot;0030304F&quot;/&gt;&lt;wsp:rsid wsp:val=&quot;0030360F&quot;/&gt;&lt;wsp:rsid wsp:val=&quot;00303CFC&quot;/&gt;&lt;wsp:rsid wsp:val=&quot;00303F9A&quot;/&gt;&lt;wsp:rsid wsp:val=&quot;003041F7&quot;/&gt;&lt;wsp:rsid wsp:val=&quot;00304279&quot;/&gt;&lt;wsp:rsid wsp:val=&quot;0030482D&quot;/&gt;&lt;wsp:rsid wsp:val=&quot;00304B43&quot;/&gt;&lt;wsp:rsid wsp:val=&quot;00304BE6&quot;/&gt;&lt;wsp:rsid wsp:val=&quot;00305339&quot;/&gt;&lt;wsp:rsid wsp:val=&quot;0030577A&quot;/&gt;&lt;wsp:rsid wsp:val=&quot;00305808&quot;/&gt;&lt;wsp:rsid wsp:val=&quot;00306045&quot;/&gt;&lt;wsp:rsid wsp:val=&quot;003063F1&quot;/&gt;&lt;wsp:rsid wsp:val=&quot;003064E2&quot;/&gt;&lt;wsp:rsid wsp:val=&quot;00306600&quot;/&gt;&lt;wsp:rsid wsp:val=&quot;0030662F&quot;/&gt;&lt;wsp:rsid wsp:val=&quot;00306817&quot;/&gt;&lt;wsp:rsid wsp:val=&quot;00306D86&quot;/&gt;&lt;wsp:rsid wsp:val=&quot;00306F1F&quot;/&gt;&lt;wsp:rsid wsp:val=&quot;003072EB&quot;/&gt;&lt;wsp:rsid wsp:val=&quot;003102D1&quot;/&gt;&lt;wsp:rsid wsp:val=&quot;00310491&quot;/&gt;&lt;wsp:rsid wsp:val=&quot;003105CD&quot;/&gt;&lt;wsp:rsid wsp:val=&quot;00310779&quot;/&gt;&lt;wsp:rsid wsp:val=&quot;00310786&quot;/&gt;&lt;wsp:rsid wsp:val=&quot;00310B9A&quot;/&gt;&lt;wsp:rsid wsp:val=&quot;00311082&quot;/&gt;&lt;wsp:rsid wsp:val=&quot;003117C6&quot;/&gt;&lt;wsp:rsid wsp:val=&quot;00311CBD&quot;/&gt;&lt;wsp:rsid wsp:val=&quot;00312004&quot;/&gt;&lt;wsp:rsid wsp:val=&quot;0031206F&quot;/&gt;&lt;wsp:rsid wsp:val=&quot;00312649&quot;/&gt;&lt;wsp:rsid wsp:val=&quot;00312DD5&quot;/&gt;&lt;wsp:rsid wsp:val=&quot;0031322C&quot;/&gt;&lt;wsp:rsid wsp:val=&quot;0031338F&quot;/&gt;&lt;wsp:rsid wsp:val=&quot;003133C2&quot;/&gt;&lt;wsp:rsid wsp:val=&quot;00313670&quot;/&gt;&lt;wsp:rsid wsp:val=&quot;0031372A&quot;/&gt;&lt;wsp:rsid wsp:val=&quot;00313733&quot;/&gt;&lt;wsp:rsid wsp:val=&quot;003139D5&quot;/&gt;&lt;wsp:rsid wsp:val=&quot;00314488&quot;/&gt;&lt;wsp:rsid wsp:val=&quot;00314A55&quot;/&gt;&lt;wsp:rsid wsp:val=&quot;00314F94&quot;/&gt;&lt;wsp:rsid wsp:val=&quot;00315452&quot;/&gt;&lt;wsp:rsid wsp:val=&quot;00315682&quot;/&gt;&lt;wsp:rsid wsp:val=&quot;003156D1&quot;/&gt;&lt;wsp:rsid wsp:val=&quot;0031583A&quot;/&gt;&lt;wsp:rsid wsp:val=&quot;00315AD1&quot;/&gt;&lt;wsp:rsid wsp:val=&quot;00315BE5&quot;/&gt;&lt;wsp:rsid wsp:val=&quot;00315E93&quot;/&gt;&lt;wsp:rsid wsp:val=&quot;00315F6A&quot;/&gt;&lt;wsp:rsid wsp:val=&quot;003165A7&quot;/&gt;&lt;wsp:rsid wsp:val=&quot;003166B4&quot;/&gt;&lt;wsp:rsid wsp:val=&quot;00316F07&quot;/&gt;&lt;wsp:rsid wsp:val=&quot;00316F80&quot;/&gt;&lt;wsp:rsid wsp:val=&quot;00317124&quot;/&gt;&lt;wsp:rsid wsp:val=&quot;003172DA&quot;/&gt;&lt;wsp:rsid wsp:val=&quot;003173BB&quot;/&gt;&lt;wsp:rsid wsp:val=&quot;0031769B&quot;/&gt;&lt;wsp:rsid wsp:val=&quot;00317BDE&quot;/&gt;&lt;wsp:rsid wsp:val=&quot;00317D94&quot;/&gt;&lt;wsp:rsid wsp:val=&quot;00317E53&quot;/&gt;&lt;wsp:rsid wsp:val=&quot;00317E73&quot;/&gt;&lt;wsp:rsid wsp:val=&quot;00317FA4&quot;/&gt;&lt;wsp:rsid wsp:val=&quot;0032001F&quot;/&gt;&lt;wsp:rsid wsp:val=&quot;0032048E&quot;/&gt;&lt;wsp:rsid wsp:val=&quot;0032062E&quot;/&gt;&lt;wsp:rsid wsp:val=&quot;0032083D&quot;/&gt;&lt;wsp:rsid wsp:val=&quot;003208E1&quot;/&gt;&lt;wsp:rsid wsp:val=&quot;00320B05&quot;/&gt;&lt;wsp:rsid wsp:val=&quot;00320CFE&quot;/&gt;&lt;wsp:rsid wsp:val=&quot;00320ED3&quot;/&gt;&lt;wsp:rsid wsp:val=&quot;003214C6&quot;/&gt;&lt;wsp:rsid wsp:val=&quot;003219C9&quot;/&gt;&lt;wsp:rsid wsp:val=&quot;00321AD2&quot;/&gt;&lt;wsp:rsid wsp:val=&quot;00321C48&quot;/&gt;&lt;wsp:rsid wsp:val=&quot;003230E9&quot;/&gt;&lt;wsp:rsid wsp:val=&quot;0032331B&quot;/&gt;&lt;wsp:rsid wsp:val=&quot;003235C4&quot;/&gt;&lt;wsp:rsid wsp:val=&quot;003235CB&quot;/&gt;&lt;wsp:rsid wsp:val=&quot;003236D2&quot;/&gt;&lt;wsp:rsid wsp:val=&quot;003237D8&quot;/&gt;&lt;wsp:rsid wsp:val=&quot;00323828&quot;/&gt;&lt;wsp:rsid wsp:val=&quot;0032393E&quot;/&gt;&lt;wsp:rsid wsp:val=&quot;00323A06&quot;/&gt;&lt;wsp:rsid wsp:val=&quot;00323C50&quot;/&gt;&lt;wsp:rsid wsp:val=&quot;003240AF&quot;/&gt;&lt;wsp:rsid wsp:val=&quot;0032436C&quot;/&gt;&lt;wsp:rsid wsp:val=&quot;00324372&quot;/&gt;&lt;wsp:rsid wsp:val=&quot;003246A4&quot;/&gt;&lt;wsp:rsid wsp:val=&quot;00324BD8&quot;/&gt;&lt;wsp:rsid wsp:val=&quot;003250F2&quot;/&gt;&lt;wsp:rsid wsp:val=&quot;003251C1&quot;/&gt;&lt;wsp:rsid wsp:val=&quot;003254DA&quot;/&gt;&lt;wsp:rsid wsp:val=&quot;00325532&quot;/&gt;&lt;wsp:rsid wsp:val=&quot;003255BD&quot;/&gt;&lt;wsp:rsid wsp:val=&quot;003259F0&quot;/&gt;&lt;wsp:rsid wsp:val=&quot;00325BB0&quot;/&gt;&lt;wsp:rsid wsp:val=&quot;00325C32&quot;/&gt;&lt;wsp:rsid wsp:val=&quot;00326417&quot;/&gt;&lt;wsp:rsid wsp:val=&quot;00326DB6&quot;/&gt;&lt;wsp:rsid wsp:val=&quot;00327500&quot;/&gt;&lt;wsp:rsid wsp:val=&quot;00327E03&quot;/&gt;&lt;wsp:rsid wsp:val=&quot;0033020A&quot;/&gt;&lt;wsp:rsid wsp:val=&quot;00330F62&quot;/&gt;&lt;wsp:rsid wsp:val=&quot;003318E3&quot;/&gt;&lt;wsp:rsid wsp:val=&quot;00332138&quot;/&gt;&lt;wsp:rsid wsp:val=&quot;003324FC&quot;/&gt;&lt;wsp:rsid wsp:val=&quot;003331DF&quot;/&gt;&lt;wsp:rsid wsp:val=&quot;00333664&quot;/&gt;&lt;wsp:rsid wsp:val=&quot;0033369A&quot;/&gt;&lt;wsp:rsid wsp:val=&quot;003337DB&quot;/&gt;&lt;wsp:rsid wsp:val=&quot;0033393B&quot;/&gt;&lt;wsp:rsid wsp:val=&quot;003343B4&quot;/&gt;&lt;wsp:rsid wsp:val=&quot;00334822&quot;/&gt;&lt;wsp:rsid wsp:val=&quot;00334D10&quot;/&gt;&lt;wsp:rsid wsp:val=&quot;00334D1C&quot;/&gt;&lt;wsp:rsid wsp:val=&quot;00334E87&quot;/&gt;&lt;wsp:rsid wsp:val=&quot;00335368&quot;/&gt;&lt;wsp:rsid wsp:val=&quot;003356E5&quot;/&gt;&lt;wsp:rsid wsp:val=&quot;00335727&quot;/&gt;&lt;wsp:rsid wsp:val=&quot;00335E03&quot;/&gt;&lt;wsp:rsid wsp:val=&quot;00336379&quot;/&gt;&lt;wsp:rsid wsp:val=&quot;003363D7&quot;/&gt;&lt;wsp:rsid wsp:val=&quot;0033696D&quot;/&gt;&lt;wsp:rsid wsp:val=&quot;00336AD5&quot;/&gt;&lt;wsp:rsid wsp:val=&quot;003373A3&quot;/&gt;&lt;wsp:rsid wsp:val=&quot;00337486&quot;/&gt;&lt;wsp:rsid wsp:val=&quot;003378B4&quot;/&gt;&lt;wsp:rsid wsp:val=&quot;00337A16&quot;/&gt;&lt;wsp:rsid wsp:val=&quot;00340030&quot;/&gt;&lt;wsp:rsid wsp:val=&quot;00340280&quot;/&gt;&lt;wsp:rsid wsp:val=&quot;00340AEC&quot;/&gt;&lt;wsp:rsid wsp:val=&quot;00340F85&quot;/&gt;&lt;wsp:rsid wsp:val=&quot;003411E9&quot;/&gt;&lt;wsp:rsid wsp:val=&quot;00341259&quot;/&gt;&lt;wsp:rsid wsp:val=&quot;003412EC&quot;/&gt;&lt;wsp:rsid wsp:val=&quot;003416DD&quot;/&gt;&lt;wsp:rsid wsp:val=&quot;00341793&quot;/&gt;&lt;wsp:rsid wsp:val=&quot;00342002&quot;/&gt;&lt;wsp:rsid wsp:val=&quot;003420B1&quot;/&gt;&lt;wsp:rsid wsp:val=&quot;00342376&quot;/&gt;&lt;wsp:rsid wsp:val=&quot;00342466&quot;/&gt;&lt;wsp:rsid wsp:val=&quot;00342AFF&quot;/&gt;&lt;wsp:rsid wsp:val=&quot;00342F82&quot;/&gt;&lt;wsp:rsid wsp:val=&quot;0034319C&quot;/&gt;&lt;wsp:rsid wsp:val=&quot;003437E7&quot;/&gt;&lt;wsp:rsid wsp:val=&quot;0034390E&quot;/&gt;&lt;wsp:rsid wsp:val=&quot;00344744&quot;/&gt;&lt;wsp:rsid wsp:val=&quot;00344AEB&quot;/&gt;&lt;wsp:rsid wsp:val=&quot;00344B58&quot;/&gt;&lt;wsp:rsid wsp:val=&quot;00344CAE&quot;/&gt;&lt;wsp:rsid wsp:val=&quot;0034525B&quot;/&gt;&lt;wsp:rsid wsp:val=&quot;0034529F&quot;/&gt;&lt;wsp:rsid wsp:val=&quot;00346473&quot;/&gt;&lt;wsp:rsid wsp:val=&quot;003467B6&quot;/&gt;&lt;wsp:rsid wsp:val=&quot;00346DDE&quot;/&gt;&lt;wsp:rsid wsp:val=&quot;0034701D&quot;/&gt;&lt;wsp:rsid wsp:val=&quot;003474FC&quot;/&gt;&lt;wsp:rsid wsp:val=&quot;0034767A&quot;/&gt;&lt;wsp:rsid wsp:val=&quot;00347C5C&quot;/&gt;&lt;wsp:rsid wsp:val=&quot;00347E72&quot;/&gt;&lt;wsp:rsid wsp:val=&quot;00350280&quot;/&gt;&lt;wsp:rsid wsp:val=&quot;00350400&quot;/&gt;&lt;wsp:rsid wsp:val=&quot;00350464&quot;/&gt;&lt;wsp:rsid wsp:val=&quot;0035081E&quot;/&gt;&lt;wsp:rsid wsp:val=&quot;00350C2D&quot;/&gt;&lt;wsp:rsid wsp:val=&quot;00350F52&quot;/&gt;&lt;wsp:rsid wsp:val=&quot;003511DD&quot;/&gt;&lt;wsp:rsid wsp:val=&quot;00351433&quot;/&gt;&lt;wsp:rsid wsp:val=&quot;003531E7&quot;/&gt;&lt;wsp:rsid wsp:val=&quot;0035387B&quot;/&gt;&lt;wsp:rsid wsp:val=&quot;00353B14&quot;/&gt;&lt;wsp:rsid wsp:val=&quot;00354086&quot;/&gt;&lt;wsp:rsid wsp:val=&quot;003543E6&quot;/&gt;&lt;wsp:rsid wsp:val=&quot;0035446A&quot;/&gt;&lt;wsp:rsid wsp:val=&quot;003544EA&quot;/&gt;&lt;wsp:rsid wsp:val=&quot;0035481A&quot;/&gt;&lt;wsp:rsid wsp:val=&quot;00354901&quot;/&gt;&lt;wsp:rsid wsp:val=&quot;00354C27&quot;/&gt;&lt;wsp:rsid wsp:val=&quot;00354D6C&quot;/&gt;&lt;wsp:rsid wsp:val=&quot;0035565E&quot;/&gt;&lt;wsp:rsid wsp:val=&quot;003566C2&quot;/&gt;&lt;wsp:rsid wsp:val=&quot;00356A86&quot;/&gt;&lt;wsp:rsid wsp:val=&quot;00356B40&quot;/&gt;&lt;wsp:rsid wsp:val=&quot;00356FC0&quot;/&gt;&lt;wsp:rsid wsp:val=&quot;003570B6&quot;/&gt;&lt;wsp:rsid wsp:val=&quot;0035728C&quot;/&gt;&lt;wsp:rsid wsp:val=&quot;00357601&quot;/&gt;&lt;wsp:rsid wsp:val=&quot;00357683&quot;/&gt;&lt;wsp:rsid wsp:val=&quot;0036026F&quot;/&gt;&lt;wsp:rsid wsp:val=&quot;00360417&quot;/&gt;&lt;wsp:rsid wsp:val=&quot;003604CA&quot;/&gt;&lt;wsp:rsid wsp:val=&quot;003607B6&quot;/&gt;&lt;wsp:rsid wsp:val=&quot;00361007&quot;/&gt;&lt;wsp:rsid wsp:val=&quot;00361176&quot;/&gt;&lt;wsp:rsid wsp:val=&quot;00361362&quot;/&gt;&lt;wsp:rsid wsp:val=&quot;0036156A&quot;/&gt;&lt;wsp:rsid wsp:val=&quot;0036174C&quot;/&gt;&lt;wsp:rsid wsp:val=&quot;003618F8&quot;/&gt;&lt;wsp:rsid wsp:val=&quot;00361E1D&quot;/&gt;&lt;wsp:rsid wsp:val=&quot;00361EE4&quot;/&gt;&lt;wsp:rsid wsp:val=&quot;00361EE7&quot;/&gt;&lt;wsp:rsid wsp:val=&quot;00362298&quot;/&gt;&lt;wsp:rsid wsp:val=&quot;00362303&quot;/&gt;&lt;wsp:rsid wsp:val=&quot;0036238B&quot;/&gt;&lt;wsp:rsid wsp:val=&quot;0036242F&quot;/&gt;&lt;wsp:rsid wsp:val=&quot;00362447&quot;/&gt;&lt;wsp:rsid wsp:val=&quot;0036267A&quot;/&gt;&lt;wsp:rsid wsp:val=&quot;003629FF&quot;/&gt;&lt;wsp:rsid wsp:val=&quot;00362B25&quot;/&gt;&lt;wsp:rsid wsp:val=&quot;00362CC2&quot;/&gt;&lt;wsp:rsid wsp:val=&quot;00362D5A&quot;/&gt;&lt;wsp:rsid wsp:val=&quot;00362ED2&quot;/&gt;&lt;wsp:rsid wsp:val=&quot;00362F50&quot;/&gt;&lt;wsp:rsid wsp:val=&quot;003635E9&quot;/&gt;&lt;wsp:rsid wsp:val=&quot;0036368E&quot;/&gt;&lt;wsp:rsid wsp:val=&quot;00363A04&quot;/&gt;&lt;wsp:rsid wsp:val=&quot;00363B65&quot;/&gt;&lt;wsp:rsid wsp:val=&quot;00363B9C&quot;/&gt;&lt;wsp:rsid wsp:val=&quot;0036503A&quot;/&gt;&lt;wsp:rsid wsp:val=&quot;003650C4&quot;/&gt;&lt;wsp:rsid wsp:val=&quot;0036536F&quot;/&gt;&lt;wsp:rsid wsp:val=&quot;003656FD&quot;/&gt;&lt;wsp:rsid wsp:val=&quot;00365AF8&quot;/&gt;&lt;wsp:rsid wsp:val=&quot;00366230&quot;/&gt;&lt;wsp:rsid wsp:val=&quot;003664B4&quot;/&gt;&lt;wsp:rsid wsp:val=&quot;003668DD&quot;/&gt;&lt;wsp:rsid wsp:val=&quot;003668E7&quot;/&gt;&lt;wsp:rsid wsp:val=&quot;0036698F&quot;/&gt;&lt;wsp:rsid wsp:val=&quot;00366AC4&quot;/&gt;&lt;wsp:rsid wsp:val=&quot;00366DC0&quot;/&gt;&lt;wsp:rsid wsp:val=&quot;00366E27&quot;/&gt;&lt;wsp:rsid wsp:val=&quot;00367046&quot;/&gt;&lt;wsp:rsid wsp:val=&quot;00367140&quot;/&gt;&lt;wsp:rsid wsp:val=&quot;00367470&quot;/&gt;&lt;wsp:rsid wsp:val=&quot;00367573&quot;/&gt;&lt;wsp:rsid wsp:val=&quot;00367758&quot;/&gt;&lt;wsp:rsid wsp:val=&quot;00367B22&quot;/&gt;&lt;wsp:rsid wsp:val=&quot;00367B91&quot;/&gt;&lt;wsp:rsid wsp:val=&quot;00367E4B&quot;/&gt;&lt;wsp:rsid wsp:val=&quot;0037000A&quot;/&gt;&lt;wsp:rsid wsp:val=&quot;00370219&quot;/&gt;&lt;wsp:rsid wsp:val=&quot;0037043E&quot;/&gt;&lt;wsp:rsid wsp:val=&quot;003708D7&quot;/&gt;&lt;wsp:rsid wsp:val=&quot;003709B7&quot;/&gt;&lt;wsp:rsid wsp:val=&quot;003720AE&quot;/&gt;&lt;wsp:rsid wsp:val=&quot;00372677&quot;/&gt;&lt;wsp:rsid wsp:val=&quot;0037268F&quot;/&gt;&lt;wsp:rsid wsp:val=&quot;003726E7&quot;/&gt;&lt;wsp:rsid wsp:val=&quot;003727AB&quot;/&gt;&lt;wsp:rsid wsp:val=&quot;003727BE&quot;/&gt;&lt;wsp:rsid wsp:val=&quot;00372DE1&quot;/&gt;&lt;wsp:rsid wsp:val=&quot;00372DEF&quot;/&gt;&lt;wsp:rsid wsp:val=&quot;00373100&quot;/&gt;&lt;wsp:rsid wsp:val=&quot;00373363&quot;/&gt;&lt;wsp:rsid wsp:val=&quot;003733F5&quot;/&gt;&lt;wsp:rsid wsp:val=&quot;00373886&quot;/&gt;&lt;wsp:rsid wsp:val=&quot;00373C6E&quot;/&gt;&lt;wsp:rsid wsp:val=&quot;00373E6B&quot;/&gt;&lt;wsp:rsid wsp:val=&quot;00374357&quot;/&gt;&lt;wsp:rsid wsp:val=&quot;00374813&quot;/&gt;&lt;wsp:rsid wsp:val=&quot;00374AF9&quot;/&gt;&lt;wsp:rsid wsp:val=&quot;00374B7E&quot;/&gt;&lt;wsp:rsid wsp:val=&quot;00374F75&quot;/&gt;&lt;wsp:rsid wsp:val=&quot;003754DB&quot;/&gt;&lt;wsp:rsid wsp:val=&quot;00375992&quot;/&gt;&lt;wsp:rsid wsp:val=&quot;00375A95&quot;/&gt;&lt;wsp:rsid wsp:val=&quot;00375AE4&quot;/&gt;&lt;wsp:rsid wsp:val=&quot;00375AFA&quot;/&gt;&lt;wsp:rsid wsp:val=&quot;00375DC6&quot;/&gt;&lt;wsp:rsid wsp:val=&quot;0037614F&quot;/&gt;&lt;wsp:rsid wsp:val=&quot;003761C1&quot;/&gt;&lt;wsp:rsid wsp:val=&quot;00376377&quot;/&gt;&lt;wsp:rsid wsp:val=&quot;00376848&quot;/&gt;&lt;wsp:rsid wsp:val=&quot;003772D1&quot;/&gt;&lt;wsp:rsid wsp:val=&quot;003774E9&quot;/&gt;&lt;wsp:rsid wsp:val=&quot;003775F1&quot;/&gt;&lt;wsp:rsid wsp:val=&quot;00377822&quot;/&gt;&lt;wsp:rsid wsp:val=&quot;00377868&quot;/&gt;&lt;wsp:rsid wsp:val=&quot;003779B4&quot;/&gt;&lt;wsp:rsid wsp:val=&quot;003801C6&quot;/&gt;&lt;wsp:rsid wsp:val=&quot;003802D2&quot;/&gt;&lt;wsp:rsid wsp:val=&quot;0038105C&quot;/&gt;&lt;wsp:rsid wsp:val=&quot;003819C5&quot;/&gt;&lt;wsp:rsid wsp:val=&quot;00381FAA&quot;/&gt;&lt;wsp:rsid wsp:val=&quot;00381FB2&quot;/&gt;&lt;wsp:rsid wsp:val=&quot;00382640&quot;/&gt;&lt;wsp:rsid wsp:val=&quot;0038285C&quot;/&gt;&lt;wsp:rsid wsp:val=&quot;00382982&quot;/&gt;&lt;wsp:rsid wsp:val=&quot;003829EC&quot;/&gt;&lt;wsp:rsid wsp:val=&quot;00382B02&quot;/&gt;&lt;wsp:rsid wsp:val=&quot;00382DCF&quot;/&gt;&lt;wsp:rsid wsp:val=&quot;00382F96&quot;/&gt;&lt;wsp:rsid wsp:val=&quot;0038370C&quot;/&gt;&lt;wsp:rsid wsp:val=&quot;00383A4C&quot;/&gt;&lt;wsp:rsid wsp:val=&quot;00383B58&quot;/&gt;&lt;wsp:rsid wsp:val=&quot;00383D6C&quot;/&gt;&lt;wsp:rsid wsp:val=&quot;003847EC&quot;/&gt;&lt;wsp:rsid wsp:val=&quot;003849BF&quot;/&gt;&lt;wsp:rsid wsp:val=&quot;003852D0&quot;/&gt;&lt;wsp:rsid wsp:val=&quot;003853A9&quot;/&gt;&lt;wsp:rsid wsp:val=&quot;003853E4&quot;/&gt;&lt;wsp:rsid wsp:val=&quot;00385589&quot;/&gt;&lt;wsp:rsid wsp:val=&quot;003859F2&quot;/&gt;&lt;wsp:rsid wsp:val=&quot;00386673&quot;/&gt;&lt;wsp:rsid wsp:val=&quot;003868A5&quot;/&gt;&lt;wsp:rsid wsp:val=&quot;00386A51&quot;/&gt;&lt;wsp:rsid wsp:val=&quot;00386FED&quot;/&gt;&lt;wsp:rsid wsp:val=&quot;003871F0&quot;/&gt;&lt;wsp:rsid wsp:val=&quot;00387220&quot;/&gt;&lt;wsp:rsid wsp:val=&quot;00387329&quot;/&gt;&lt;wsp:rsid wsp:val=&quot;0038750E&quot;/&gt;&lt;wsp:rsid wsp:val=&quot;00390030&quot;/&gt;&lt;wsp:rsid wsp:val=&quot;00390325&quot;/&gt;&lt;wsp:rsid wsp:val=&quot;0039073A&quot;/&gt;&lt;wsp:rsid wsp:val=&quot;0039076A&quot;/&gt;&lt;wsp:rsid wsp:val=&quot;00390886&quot;/&gt;&lt;wsp:rsid wsp:val=&quot;00390DD5&quot;/&gt;&lt;wsp:rsid wsp:val=&quot;00391B37&quot;/&gt;&lt;wsp:rsid wsp:val=&quot;00391D35&quot;/&gt;&lt;wsp:rsid wsp:val=&quot;00392699&quot;/&gt;&lt;wsp:rsid wsp:val=&quot;003927B4&quot;/&gt;&lt;wsp:rsid wsp:val=&quot;00392D74&quot;/&gt;&lt;wsp:rsid wsp:val=&quot;00392DB0&quot;/&gt;&lt;wsp:rsid wsp:val=&quot;00392E89&quot;/&gt;&lt;wsp:rsid wsp:val=&quot;00392EA1&quot;/&gt;&lt;wsp:rsid wsp:val=&quot;00392FD7&quot;/&gt;&lt;wsp:rsid wsp:val=&quot;003940AA&quot;/&gt;&lt;wsp:rsid wsp:val=&quot;003942B8&quot;/&gt;&lt;wsp:rsid wsp:val=&quot;003942F9&quot;/&gt;&lt;wsp:rsid wsp:val=&quot;003948BD&quot;/&gt;&lt;wsp:rsid wsp:val=&quot;00394966&quot;/&gt;&lt;wsp:rsid wsp:val=&quot;00394D96&quot;/&gt;&lt;wsp:rsid wsp:val=&quot;0039512E&quot;/&gt;&lt;wsp:rsid wsp:val=&quot;0039590F&quot;/&gt;&lt;wsp:rsid wsp:val=&quot;00395AE7&quot;/&gt;&lt;wsp:rsid wsp:val=&quot;00395AFC&quot;/&gt;&lt;wsp:rsid wsp:val=&quot;00395B4E&quot;/&gt;&lt;wsp:rsid wsp:val=&quot;00395C0A&quot;/&gt;&lt;wsp:rsid wsp:val=&quot;003960AD&quot;/&gt;&lt;wsp:rsid wsp:val=&quot;003961C8&quot;/&gt;&lt;wsp:rsid wsp:val=&quot;00396267&quot;/&gt;&lt;wsp:rsid wsp:val=&quot;00396404&quot;/&gt;&lt;wsp:rsid wsp:val=&quot;00396539&quot;/&gt;&lt;wsp:rsid wsp:val=&quot;0039677A&quot;/&gt;&lt;wsp:rsid wsp:val=&quot;00397158&quot;/&gt;&lt;wsp:rsid wsp:val=&quot;003973E6&quot;/&gt;&lt;wsp:rsid wsp:val=&quot;003976C2&quot;/&gt;&lt;wsp:rsid wsp:val=&quot;00397977&quot;/&gt;&lt;wsp:rsid wsp:val=&quot;00397B87&quot;/&gt;&lt;wsp:rsid wsp:val=&quot;00397D52&quot;/&gt;&lt;wsp:rsid wsp:val=&quot;00397FA8&quot;/&gt;&lt;wsp:rsid wsp:val=&quot;003A026C&quot;/&gt;&lt;wsp:rsid wsp:val=&quot;003A0A5A&quot;/&gt;&lt;wsp:rsid wsp:val=&quot;003A1E22&quot;/&gt;&lt;wsp:rsid wsp:val=&quot;003A2524&quot;/&gt;&lt;wsp:rsid wsp:val=&quot;003A27BC&quot;/&gt;&lt;wsp:rsid wsp:val=&quot;003A2B89&quot;/&gt;&lt;wsp:rsid wsp:val=&quot;003A324A&quot;/&gt;&lt;wsp:rsid wsp:val=&quot;003A391B&quot;/&gt;&lt;wsp:rsid wsp:val=&quot;003A414D&quot;/&gt;&lt;wsp:rsid wsp:val=&quot;003A41B4&quot;/&gt;&lt;wsp:rsid wsp:val=&quot;003A42D4&quot;/&gt;&lt;wsp:rsid wsp:val=&quot;003A45CF&quot;/&gt;&lt;wsp:rsid wsp:val=&quot;003A468F&quot;/&gt;&lt;wsp:rsid wsp:val=&quot;003A4859&quot;/&gt;&lt;wsp:rsid wsp:val=&quot;003A499E&quot;/&gt;&lt;wsp:rsid wsp:val=&quot;003A4A34&quot;/&gt;&lt;wsp:rsid wsp:val=&quot;003A51B9&quot;/&gt;&lt;wsp:rsid wsp:val=&quot;003A520B&quot;/&gt;&lt;wsp:rsid wsp:val=&quot;003A5705&quot;/&gt;&lt;wsp:rsid wsp:val=&quot;003A5A8F&quot;/&gt;&lt;wsp:rsid wsp:val=&quot;003A60DE&quot;/&gt;&lt;wsp:rsid wsp:val=&quot;003A625D&quot;/&gt;&lt;wsp:rsid wsp:val=&quot;003A6A74&quot;/&gt;&lt;wsp:rsid wsp:val=&quot;003A7558&quot;/&gt;&lt;wsp:rsid wsp:val=&quot;003A7862&quot;/&gt;&lt;wsp:rsid wsp:val=&quot;003B00A6&quot;/&gt;&lt;wsp:rsid wsp:val=&quot;003B00E3&quot;/&gt;&lt;wsp:rsid wsp:val=&quot;003B035B&quot;/&gt;&lt;wsp:rsid wsp:val=&quot;003B0374&quot;/&gt;&lt;wsp:rsid wsp:val=&quot;003B03BD&quot;/&gt;&lt;wsp:rsid wsp:val=&quot;003B0B61&quot;/&gt;&lt;wsp:rsid wsp:val=&quot;003B131F&quot;/&gt;&lt;wsp:rsid wsp:val=&quot;003B170C&quot;/&gt;&lt;wsp:rsid wsp:val=&quot;003B1BEB&quot;/&gt;&lt;wsp:rsid wsp:val=&quot;003B218E&quot;/&gt;&lt;wsp:rsid wsp:val=&quot;003B24E6&quot;/&gt;&lt;wsp:rsid wsp:val=&quot;003B2813&quot;/&gt;&lt;wsp:rsid wsp:val=&quot;003B289D&quot;/&gt;&lt;wsp:rsid wsp:val=&quot;003B2D7F&quot;/&gt;&lt;wsp:rsid wsp:val=&quot;003B31C2&quot;/&gt;&lt;wsp:rsid wsp:val=&quot;003B379E&quot;/&gt;&lt;wsp:rsid wsp:val=&quot;003B397C&quot;/&gt;&lt;wsp:rsid wsp:val=&quot;003B3BCD&quot;/&gt;&lt;wsp:rsid wsp:val=&quot;003B3C69&quot;/&gt;&lt;wsp:rsid wsp:val=&quot;003B3D58&quot;/&gt;&lt;wsp:rsid wsp:val=&quot;003B3D62&quot;/&gt;&lt;wsp:rsid wsp:val=&quot;003B4235&quot;/&gt;&lt;wsp:rsid wsp:val=&quot;003B46E9&quot;/&gt;&lt;wsp:rsid wsp:val=&quot;003B474A&quot;/&gt;&lt;wsp:rsid wsp:val=&quot;003B4B10&quot;/&gt;&lt;wsp:rsid wsp:val=&quot;003B4CF9&quot;/&gt;&lt;wsp:rsid wsp:val=&quot;003B5723&quot;/&gt;&lt;wsp:rsid wsp:val=&quot;003B62CE&quot;/&gt;&lt;wsp:rsid wsp:val=&quot;003B63D8&quot;/&gt;&lt;wsp:rsid wsp:val=&quot;003B6422&quot;/&gt;&lt;wsp:rsid wsp:val=&quot;003B6474&quot;/&gt;&lt;wsp:rsid wsp:val=&quot;003B69BC&quot;/&gt;&lt;wsp:rsid wsp:val=&quot;003B7235&quot;/&gt;&lt;wsp:rsid wsp:val=&quot;003B7614&quot;/&gt;&lt;wsp:rsid wsp:val=&quot;003B7673&quot;/&gt;&lt;wsp:rsid wsp:val=&quot;003B76A9&quot;/&gt;&lt;wsp:rsid wsp:val=&quot;003B76E6&quot;/&gt;&lt;wsp:rsid wsp:val=&quot;003C0142&quot;/&gt;&lt;wsp:rsid wsp:val=&quot;003C04FC&quot;/&gt;&lt;wsp:rsid wsp:val=&quot;003C07AB&quot;/&gt;&lt;wsp:rsid wsp:val=&quot;003C092C&quot;/&gt;&lt;wsp:rsid wsp:val=&quot;003C0C95&quot;/&gt;&lt;wsp:rsid wsp:val=&quot;003C0CC8&quot;/&gt;&lt;wsp:rsid wsp:val=&quot;003C0D59&quot;/&gt;&lt;wsp:rsid wsp:val=&quot;003C15CF&quot;/&gt;&lt;wsp:rsid wsp:val=&quot;003C17F9&quot;/&gt;&lt;wsp:rsid wsp:val=&quot;003C237E&quot;/&gt;&lt;wsp:rsid wsp:val=&quot;003C261A&quot;/&gt;&lt;wsp:rsid wsp:val=&quot;003C26EE&quot;/&gt;&lt;wsp:rsid wsp:val=&quot;003C2714&quot;/&gt;&lt;wsp:rsid wsp:val=&quot;003C2746&quot;/&gt;&lt;wsp:rsid wsp:val=&quot;003C2791&quot;/&gt;&lt;wsp:rsid wsp:val=&quot;003C2966&quot;/&gt;&lt;wsp:rsid wsp:val=&quot;003C2FE0&quot;/&gt;&lt;wsp:rsid wsp:val=&quot;003C35A1&quot;/&gt;&lt;wsp:rsid wsp:val=&quot;003C40FB&quot;/&gt;&lt;wsp:rsid wsp:val=&quot;003C443B&quot;/&gt;&lt;wsp:rsid wsp:val=&quot;003C49BD&quot;/&gt;&lt;wsp:rsid wsp:val=&quot;003C4AF7&quot;/&gt;&lt;wsp:rsid wsp:val=&quot;003C4CEA&quot;/&gt;&lt;wsp:rsid wsp:val=&quot;003C564D&quot;/&gt;&lt;wsp:rsid wsp:val=&quot;003C58A4&quot;/&gt;&lt;wsp:rsid wsp:val=&quot;003C65EE&quot;/&gt;&lt;wsp:rsid wsp:val=&quot;003C65FF&quot;/&gt;&lt;wsp:rsid wsp:val=&quot;003C6C30&quot;/&gt;&lt;wsp:rsid wsp:val=&quot;003C6D2E&quot;/&gt;&lt;wsp:rsid wsp:val=&quot;003C7579&quot;/&gt;&lt;wsp:rsid wsp:val=&quot;003D007F&quot;/&gt;&lt;wsp:rsid wsp:val=&quot;003D02AF&quot;/&gt;&lt;wsp:rsid wsp:val=&quot;003D07B6&quot;/&gt;&lt;wsp:rsid wsp:val=&quot;003D0B69&quot;/&gt;&lt;wsp:rsid wsp:val=&quot;003D0C0E&quot;/&gt;&lt;wsp:rsid wsp:val=&quot;003D0D11&quot;/&gt;&lt;wsp:rsid wsp:val=&quot;003D115D&quot;/&gt;&lt;wsp:rsid wsp:val=&quot;003D1D3C&quot;/&gt;&lt;wsp:rsid wsp:val=&quot;003D2482&quot;/&gt;&lt;wsp:rsid wsp:val=&quot;003D2726&quot;/&gt;&lt;wsp:rsid wsp:val=&quot;003D2813&quot;/&gt;&lt;wsp:rsid wsp:val=&quot;003D2827&quot;/&gt;&lt;wsp:rsid wsp:val=&quot;003D28B4&quot;/&gt;&lt;wsp:rsid wsp:val=&quot;003D2B5F&quot;/&gt;&lt;wsp:rsid wsp:val=&quot;003D3486&quot;/&gt;&lt;wsp:rsid wsp:val=&quot;003D3DBF&quot;/&gt;&lt;wsp:rsid wsp:val=&quot;003D4FC4&quot;/&gt;&lt;wsp:rsid wsp:val=&quot;003D5C02&quot;/&gt;&lt;wsp:rsid wsp:val=&quot;003D5D49&quot;/&gt;&lt;wsp:rsid wsp:val=&quot;003D5EC3&quot;/&gt;&lt;wsp:rsid wsp:val=&quot;003D6291&quot;/&gt;&lt;wsp:rsid wsp:val=&quot;003D62FE&quot;/&gt;&lt;wsp:rsid wsp:val=&quot;003D678D&quot;/&gt;&lt;wsp:rsid wsp:val=&quot;003D68E6&quot;/&gt;&lt;wsp:rsid wsp:val=&quot;003D6E19&quot;/&gt;&lt;wsp:rsid wsp:val=&quot;003D70FB&quot;/&gt;&lt;wsp:rsid wsp:val=&quot;003D77A8&quot;/&gt;&lt;wsp:rsid wsp:val=&quot;003D7AD3&quot;/&gt;&lt;wsp:rsid wsp:val=&quot;003D7FA4&quot;/&gt;&lt;wsp:rsid wsp:val=&quot;003E032B&quot;/&gt;&lt;wsp:rsid wsp:val=&quot;003E0B4B&quot;/&gt;&lt;wsp:rsid wsp:val=&quot;003E113A&quot;/&gt;&lt;wsp:rsid wsp:val=&quot;003E1C74&quot;/&gt;&lt;wsp:rsid wsp:val=&quot;003E1E03&quot;/&gt;&lt;wsp:rsid wsp:val=&quot;003E2182&quot;/&gt;&lt;wsp:rsid wsp:val=&quot;003E273D&quot;/&gt;&lt;wsp:rsid wsp:val=&quot;003E2A1B&quot;/&gt;&lt;wsp:rsid wsp:val=&quot;003E2BC0&quot;/&gt;&lt;wsp:rsid wsp:val=&quot;003E303D&quot;/&gt;&lt;wsp:rsid wsp:val=&quot;003E317A&quot;/&gt;&lt;wsp:rsid wsp:val=&quot;003E3421&quot;/&gt;&lt;wsp:rsid wsp:val=&quot;003E3634&quot;/&gt;&lt;wsp:rsid wsp:val=&quot;003E36AC&quot;/&gt;&lt;wsp:rsid wsp:val=&quot;003E3ABB&quot;/&gt;&lt;wsp:rsid wsp:val=&quot;003E3B73&quot;/&gt;&lt;wsp:rsid wsp:val=&quot;003E48A8&quot;/&gt;&lt;wsp:rsid wsp:val=&quot;003E4923&quot;/&gt;&lt;wsp:rsid wsp:val=&quot;003E4A12&quot;/&gt;&lt;wsp:rsid wsp:val=&quot;003E594B&quot;/&gt;&lt;wsp:rsid wsp:val=&quot;003E5D71&quot;/&gt;&lt;wsp:rsid wsp:val=&quot;003E5EB8&quot;/&gt;&lt;wsp:rsid wsp:val=&quot;003E6743&quot;/&gt;&lt;wsp:rsid wsp:val=&quot;003E6B7F&quot;/&gt;&lt;wsp:rsid wsp:val=&quot;003E6F45&quot;/&gt;&lt;wsp:rsid wsp:val=&quot;003E6F9B&quot;/&gt;&lt;wsp:rsid wsp:val=&quot;003E7100&quot;/&gt;&lt;wsp:rsid wsp:val=&quot;003E78A7&quot;/&gt;&lt;wsp:rsid wsp:val=&quot;003F0040&quot;/&gt;&lt;wsp:rsid wsp:val=&quot;003F03D2&quot;/&gt;&lt;wsp:rsid wsp:val=&quot;003F04C5&quot;/&gt;&lt;wsp:rsid wsp:val=&quot;003F0D55&quot;/&gt;&lt;wsp:rsid wsp:val=&quot;003F0EFA&quot;/&gt;&lt;wsp:rsid wsp:val=&quot;003F0FF2&quot;/&gt;&lt;wsp:rsid wsp:val=&quot;003F1708&quot;/&gt;&lt;wsp:rsid wsp:val=&quot;003F186B&quot;/&gt;&lt;wsp:rsid wsp:val=&quot;003F19FB&quot;/&gt;&lt;wsp:rsid wsp:val=&quot;003F1DFE&quot;/&gt;&lt;wsp:rsid wsp:val=&quot;003F2740&quot;/&gt;&lt;wsp:rsid wsp:val=&quot;003F2DDE&quot;/&gt;&lt;wsp:rsid wsp:val=&quot;003F2EF0&quot;/&gt;&lt;wsp:rsid wsp:val=&quot;003F30AD&quot;/&gt;&lt;wsp:rsid wsp:val=&quot;003F3836&quot;/&gt;&lt;wsp:rsid wsp:val=&quot;003F394A&quot;/&gt;&lt;wsp:rsid wsp:val=&quot;003F4A3E&quot;/&gt;&lt;wsp:rsid wsp:val=&quot;003F4AF8&quot;/&gt;&lt;wsp:rsid wsp:val=&quot;003F4BD1&quot;/&gt;&lt;wsp:rsid wsp:val=&quot;003F5384&quot;/&gt;&lt;wsp:rsid wsp:val=&quot;003F5562&quot;/&gt;&lt;wsp:rsid wsp:val=&quot;003F56F0&quot;/&gt;&lt;wsp:rsid wsp:val=&quot;003F5787&quot;/&gt;&lt;wsp:rsid wsp:val=&quot;003F5C3E&quot;/&gt;&lt;wsp:rsid wsp:val=&quot;003F5E25&quot;/&gt;&lt;wsp:rsid wsp:val=&quot;003F5F12&quot;/&gt;&lt;wsp:rsid wsp:val=&quot;003F6033&quot;/&gt;&lt;wsp:rsid wsp:val=&quot;003F616E&quot;/&gt;&lt;wsp:rsid wsp:val=&quot;003F68F9&quot;/&gt;&lt;wsp:rsid wsp:val=&quot;003F698F&quot;/&gt;&lt;wsp:rsid wsp:val=&quot;003F6B96&quot;/&gt;&lt;wsp:rsid wsp:val=&quot;003F6BDA&quot;/&gt;&lt;wsp:rsid wsp:val=&quot;003F727B&quot;/&gt;&lt;wsp:rsid wsp:val=&quot;003F7625&quot;/&gt;&lt;wsp:rsid wsp:val=&quot;00400694&quot;/&gt;&lt;wsp:rsid wsp:val=&quot;004007E4&quot;/&gt;&lt;wsp:rsid wsp:val=&quot;00400BBF&quot;/&gt;&lt;wsp:rsid wsp:val=&quot;00400E3D&quot;/&gt;&lt;wsp:rsid wsp:val=&quot;00401477&quot;/&gt;&lt;wsp:rsid wsp:val=&quot;00401686&quot;/&gt;&lt;wsp:rsid wsp:val=&quot;00401DB7&quot;/&gt;&lt;wsp:rsid wsp:val=&quot;00401DD7&quot;/&gt;&lt;wsp:rsid wsp:val=&quot;00401FEE&quot;/&gt;&lt;wsp:rsid wsp:val=&quot;004021CE&quot;/&gt;&lt;wsp:rsid wsp:val=&quot;00402236&quot;/&gt;&lt;wsp:rsid wsp:val=&quot;004022D7&quot;/&gt;&lt;wsp:rsid wsp:val=&quot;004026E2&quot;/&gt;&lt;wsp:rsid wsp:val=&quot;00402CF7&quot;/&gt;&lt;wsp:rsid wsp:val=&quot;00403A6B&quot;/&gt;&lt;wsp:rsid wsp:val=&quot;00403DE1&quot;/&gt;&lt;wsp:rsid wsp:val=&quot;0040416B&quot;/&gt;&lt;wsp:rsid wsp:val=&quot;0040427C&quot;/&gt;&lt;wsp:rsid wsp:val=&quot;0040429A&quot;/&gt;&lt;wsp:rsid wsp:val=&quot;004043CC&quot;/&gt;&lt;wsp:rsid wsp:val=&quot;00404454&quot;/&gt;&lt;wsp:rsid wsp:val=&quot;00404824&quot;/&gt;&lt;wsp:rsid wsp:val=&quot;0040495B&quot;/&gt;&lt;wsp:rsid wsp:val=&quot;00404E75&quot;/&gt;&lt;wsp:rsid wsp:val=&quot;00405086&quot;/&gt;&lt;wsp:rsid wsp:val=&quot;004050CE&quot;/&gt;&lt;wsp:rsid wsp:val=&quot;0040540D&quot;/&gt;&lt;wsp:rsid wsp:val=&quot;004054FE&quot;/&gt;&lt;wsp:rsid wsp:val=&quot;004057E7&quot;/&gt;&lt;wsp:rsid wsp:val=&quot;004058F5&quot;/&gt;&lt;wsp:rsid wsp:val=&quot;00405E41&quot;/&gt;&lt;wsp:rsid wsp:val=&quot;00405E9F&quot;/&gt;&lt;wsp:rsid wsp:val=&quot;004060DF&quot;/&gt;&lt;wsp:rsid wsp:val=&quot;00406384&quot;/&gt;&lt;wsp:rsid wsp:val=&quot;00406721&quot;/&gt;&lt;wsp:rsid wsp:val=&quot;00406801&quot;/&gt;&lt;wsp:rsid wsp:val=&quot;004069D8&quot;/&gt;&lt;wsp:rsid wsp:val=&quot;0040715B&quot;/&gt;&lt;wsp:rsid wsp:val=&quot;00407364&quot;/&gt;&lt;wsp:rsid wsp:val=&quot;0040779B&quot;/&gt;&lt;wsp:rsid wsp:val=&quot;004079A8&quot;/&gt;&lt;wsp:rsid wsp:val=&quot;00407A9E&quot;/&gt;&lt;wsp:rsid wsp:val=&quot;004107A6&quot;/&gt;&lt;wsp:rsid wsp:val=&quot;004107B6&quot;/&gt;&lt;wsp:rsid wsp:val=&quot;004112A6&quot;/&gt;&lt;wsp:rsid wsp:val=&quot;00411434&quot;/&gt;&lt;wsp:rsid wsp:val=&quot;00411ECC&quot;/&gt;&lt;wsp:rsid wsp:val=&quot;0041279E&quot;/&gt;&lt;wsp:rsid wsp:val=&quot;00412A6E&quot;/&gt;&lt;wsp:rsid wsp:val=&quot;00412C2E&quot;/&gt;&lt;wsp:rsid wsp:val=&quot;00412D0D&quot;/&gt;&lt;wsp:rsid wsp:val=&quot;00413004&quot;/&gt;&lt;wsp:rsid wsp:val=&quot;0041317A&quot;/&gt;&lt;wsp:rsid wsp:val=&quot;0041319A&quot;/&gt;&lt;wsp:rsid wsp:val=&quot;004135AE&quot;/&gt;&lt;wsp:rsid wsp:val=&quot;0041383A&quot;/&gt;&lt;wsp:rsid wsp:val=&quot;00413968&quot;/&gt;&lt;wsp:rsid wsp:val=&quot;0041427E&quot;/&gt;&lt;wsp:rsid wsp:val=&quot;004144D9&quot;/&gt;&lt;wsp:rsid wsp:val=&quot;0041462C&quot;/&gt;&lt;wsp:rsid wsp:val=&quot;00414B08&quot;/&gt;&lt;wsp:rsid wsp:val=&quot;00414FAD&quot;/&gt;&lt;wsp:rsid wsp:val=&quot;004152A2&quot;/&gt;&lt;wsp:rsid wsp:val=&quot;00415407&quot;/&gt;&lt;wsp:rsid wsp:val=&quot;004157B6&quot;/&gt;&lt;wsp:rsid wsp:val=&quot;0041587B&quot;/&gt;&lt;wsp:rsid wsp:val=&quot;00415987&quot;/&gt;&lt;wsp:rsid wsp:val=&quot;0041704F&quot;/&gt;&lt;wsp:rsid wsp:val=&quot;004175D8&quot;/&gt;&lt;wsp:rsid wsp:val=&quot;00417F57&quot;/&gt;&lt;wsp:rsid wsp:val=&quot;00417FE3&quot;/&gt;&lt;wsp:rsid wsp:val=&quot;00420F88&quot;/&gt;&lt;wsp:rsid wsp:val=&quot;00420FB4&quot;/&gt;&lt;wsp:rsid wsp:val=&quot;00421980&quot;/&gt;&lt;wsp:rsid wsp:val=&quot;00422056&quot;/&gt;&lt;wsp:rsid wsp:val=&quot;0042260B&quot;/&gt;&lt;wsp:rsid wsp:val=&quot;00422BB5&quot;/&gt;&lt;wsp:rsid wsp:val=&quot;00422C16&quot;/&gt;&lt;wsp:rsid wsp:val=&quot;00422D56&quot;/&gt;&lt;wsp:rsid wsp:val=&quot;00423115&quot;/&gt;&lt;wsp:rsid wsp:val=&quot;0042385B&quot;/&gt;&lt;wsp:rsid wsp:val=&quot;0042396F&quot;/&gt;&lt;wsp:rsid wsp:val=&quot;00423B57&quot;/&gt;&lt;wsp:rsid wsp:val=&quot;00423D2F&quot;/&gt;&lt;wsp:rsid wsp:val=&quot;0042475B&quot;/&gt;&lt;wsp:rsid wsp:val=&quot;00424885&quot;/&gt;&lt;wsp:rsid wsp:val=&quot;00424A56&quot;/&gt;&lt;wsp:rsid wsp:val=&quot;00424BB1&quot;/&gt;&lt;wsp:rsid wsp:val=&quot;00425A0E&quot;/&gt;&lt;wsp:rsid wsp:val=&quot;00425AF1&quot;/&gt;&lt;wsp:rsid wsp:val=&quot;00425C46&quot;/&gt;&lt;wsp:rsid wsp:val=&quot;00425C64&quot;/&gt;&lt;wsp:rsid wsp:val=&quot;00425ED8&quot;/&gt;&lt;wsp:rsid wsp:val=&quot;004263DB&quot;/&gt;&lt;wsp:rsid wsp:val=&quot;00426722&quot;/&gt;&lt;wsp:rsid wsp:val=&quot;00426793&quot;/&gt;&lt;wsp:rsid wsp:val=&quot;00426968&quot;/&gt;&lt;wsp:rsid wsp:val=&quot;00426D04&quot;/&gt;&lt;wsp:rsid wsp:val=&quot;00426D1A&quot;/&gt;&lt;wsp:rsid wsp:val=&quot;0042708E&quot;/&gt;&lt;wsp:rsid wsp:val=&quot;00427169&quot;/&gt;&lt;wsp:rsid wsp:val=&quot;004272B3&quot;/&gt;&lt;wsp:rsid wsp:val=&quot;00427360&quot;/&gt;&lt;wsp:rsid wsp:val=&quot;0042736C&quot;/&gt;&lt;wsp:rsid wsp:val=&quot;004273FC&quot;/&gt;&lt;wsp:rsid wsp:val=&quot;004277C1&quot;/&gt;&lt;wsp:rsid wsp:val=&quot;00427AE6&quot;/&gt;&lt;wsp:rsid wsp:val=&quot;00427DA8&quot;/&gt;&lt;wsp:rsid wsp:val=&quot;00427F65&quot;/&gt;&lt;wsp:rsid wsp:val=&quot;0043059C&quot;/&gt;&lt;wsp:rsid wsp:val=&quot;0043073B&quot;/&gt;&lt;wsp:rsid wsp:val=&quot;004307DF&quot;/&gt;&lt;wsp:rsid wsp:val=&quot;004309CE&quot;/&gt;&lt;wsp:rsid wsp:val=&quot;00430E8D&quot;/&gt;&lt;wsp:rsid wsp:val=&quot;00430FE8&quot;/&gt;&lt;wsp:rsid wsp:val=&quot;0043159E&quot;/&gt;&lt;wsp:rsid wsp:val=&quot;00431FFD&quot;/&gt;&lt;wsp:rsid wsp:val=&quot;004320ED&quot;/&gt;&lt;wsp:rsid wsp:val=&quot;00432299&quot;/&gt;&lt;wsp:rsid wsp:val=&quot;004325DF&quot;/&gt;&lt;wsp:rsid wsp:val=&quot;00432BF3&quot;/&gt;&lt;wsp:rsid wsp:val=&quot;0043302C&quot;/&gt;&lt;wsp:rsid wsp:val=&quot;004332F2&quot;/&gt;&lt;wsp:rsid wsp:val=&quot;00433664&quot;/&gt;&lt;wsp:rsid wsp:val=&quot;004339D8&quot;/&gt;&lt;wsp:rsid wsp:val=&quot;00433CB0&quot;/&gt;&lt;wsp:rsid wsp:val=&quot;00433DA9&quot;/&gt;&lt;wsp:rsid wsp:val=&quot;00433E05&quot;/&gt;&lt;wsp:rsid wsp:val=&quot;00434041&quot;/&gt;&lt;wsp:rsid wsp:val=&quot;00434256&quot;/&gt;&lt;wsp:rsid wsp:val=&quot;00434756&quot;/&gt;&lt;wsp:rsid wsp:val=&quot;00434AD3&quot;/&gt;&lt;wsp:rsid wsp:val=&quot;00434D96&quot;/&gt;&lt;wsp:rsid wsp:val=&quot;00435161&quot;/&gt;&lt;wsp:rsid wsp:val=&quot;004351B1&quot;/&gt;&lt;wsp:rsid wsp:val=&quot;00435391&quot;/&gt;&lt;wsp:rsid wsp:val=&quot;0043545E&quot;/&gt;&lt;wsp:rsid wsp:val=&quot;00435918&quot;/&gt;&lt;wsp:rsid wsp:val=&quot;004359BC&quot;/&gt;&lt;wsp:rsid wsp:val=&quot;00435DC9&quot;/&gt;&lt;wsp:rsid wsp:val=&quot;00436323&quot;/&gt;&lt;wsp:rsid wsp:val=&quot;00436AD9&quot;/&gt;&lt;wsp:rsid wsp:val=&quot;00436B70&quot;/&gt;&lt;wsp:rsid wsp:val=&quot;0043751D&quot;/&gt;&lt;wsp:rsid wsp:val=&quot;00437C23&quot;/&gt;&lt;wsp:rsid wsp:val=&quot;00437C27&quot;/&gt;&lt;wsp:rsid wsp:val=&quot;00437C41&quot;/&gt;&lt;wsp:rsid wsp:val=&quot;00437F7B&quot;/&gt;&lt;wsp:rsid wsp:val=&quot;00437FA1&quot;/&gt;&lt;wsp:rsid wsp:val=&quot;004401F8&quot;/&gt;&lt;wsp:rsid wsp:val=&quot;0044040B&quot;/&gt;&lt;wsp:rsid wsp:val=&quot;00440437&quot;/&gt;&lt;wsp:rsid wsp:val=&quot;004408DC&quot;/&gt;&lt;wsp:rsid wsp:val=&quot;00440FBB&quot;/&gt;&lt;wsp:rsid wsp:val=&quot;00441009&quot;/&gt;&lt;wsp:rsid wsp:val=&quot;004411F9&quot;/&gt;&lt;wsp:rsid wsp:val=&quot;004412B4&quot;/&gt;&lt;wsp:rsid wsp:val=&quot;00441D9E&quot;/&gt;&lt;wsp:rsid wsp:val=&quot;00441F03&quot;/&gt;&lt;wsp:rsid wsp:val=&quot;00442650&quot;/&gt;&lt;wsp:rsid wsp:val=&quot;004426EA&quot;/&gt;&lt;wsp:rsid wsp:val=&quot;00442757&quot;/&gt;&lt;wsp:rsid wsp:val=&quot;00442E55&quot;/&gt;&lt;wsp:rsid wsp:val=&quot;004432F0&quot;/&gt;&lt;wsp:rsid wsp:val=&quot;00443512&quot;/&gt;&lt;wsp:rsid wsp:val=&quot;00443699&quot;/&gt;&lt;wsp:rsid wsp:val=&quot;004439E7&quot;/&gt;&lt;wsp:rsid wsp:val=&quot;00444879&quot;/&gt;&lt;wsp:rsid wsp:val=&quot;004448C5&quot;/&gt;&lt;wsp:rsid wsp:val=&quot;004448DA&quot;/&gt;&lt;wsp:rsid wsp:val=&quot;00444D56&quot;/&gt;&lt;wsp:rsid wsp:val=&quot;004452EA&quot;/&gt;&lt;wsp:rsid wsp:val=&quot;00445A82&quot;/&gt;&lt;wsp:rsid wsp:val=&quot;00445F22&quot;/&gt;&lt;wsp:rsid wsp:val=&quot;004462D5&quot;/&gt;&lt;wsp:rsid wsp:val=&quot;004465EF&quot;/&gt;&lt;wsp:rsid wsp:val=&quot;004467B4&quot;/&gt;&lt;wsp:rsid wsp:val=&quot;0044696A&quot;/&gt;&lt;wsp:rsid wsp:val=&quot;00446E07&quot;/&gt;&lt;wsp:rsid wsp:val=&quot;004470A9&quot;/&gt;&lt;wsp:rsid wsp:val=&quot;00447D66&quot;/&gt;&lt;wsp:rsid wsp:val=&quot;00450010&quot;/&gt;&lt;wsp:rsid wsp:val=&quot;004507DB&quot;/&gt;&lt;wsp:rsid wsp:val=&quot;00450A8A&quot;/&gt;&lt;wsp:rsid wsp:val=&quot;00450CC1&quot;/&gt;&lt;wsp:rsid wsp:val=&quot;00450CED&quot;/&gt;&lt;wsp:rsid wsp:val=&quot;00450E63&quot;/&gt;&lt;wsp:rsid wsp:val=&quot;00450F41&quot;/&gt;&lt;wsp:rsid wsp:val=&quot;00451167&quot;/&gt;&lt;wsp:rsid wsp:val=&quot;00451466&quot;/&gt;&lt;wsp:rsid wsp:val=&quot;00451DA7&quot;/&gt;&lt;wsp:rsid wsp:val=&quot;004523D9&quot;/&gt;&lt;wsp:rsid wsp:val=&quot;004523FC&quot;/&gt;&lt;wsp:rsid wsp:val=&quot;00452764&quot;/&gt;&lt;wsp:rsid wsp:val=&quot;00452B8E&quot;/&gt;&lt;wsp:rsid wsp:val=&quot;004538EB&quot;/&gt;&lt;wsp:rsid wsp:val=&quot;0045399C&quot;/&gt;&lt;wsp:rsid wsp:val=&quot;00453B46&quot;/&gt;&lt;wsp:rsid wsp:val=&quot;00453D04&quot;/&gt;&lt;wsp:rsid wsp:val=&quot;00453EF1&quot;/&gt;&lt;wsp:rsid wsp:val=&quot;004546DB&quot;/&gt;&lt;wsp:rsid wsp:val=&quot;00454BF4&quot;/&gt;&lt;wsp:rsid wsp:val=&quot;00454DEA&quot;/&gt;&lt;wsp:rsid wsp:val=&quot;004554B7&quot;/&gt;&lt;wsp:rsid wsp:val=&quot;004559F9&quot;/&gt;&lt;wsp:rsid wsp:val=&quot;00455C34&quot;/&gt;&lt;wsp:rsid wsp:val=&quot;004560E3&quot;/&gt;&lt;wsp:rsid wsp:val=&quot;0045627C&quot;/&gt;&lt;wsp:rsid wsp:val=&quot;004570B9&quot;/&gt;&lt;wsp:rsid wsp:val=&quot;004575A4&quot;/&gt;&lt;wsp:rsid wsp:val=&quot;0045776D&quot;/&gt;&lt;wsp:rsid wsp:val=&quot;00457971&quot;/&gt;&lt;wsp:rsid wsp:val=&quot;00460125&quot;/&gt;&lt;wsp:rsid wsp:val=&quot;004603C0&quot;/&gt;&lt;wsp:rsid wsp:val=&quot;00460C91&quot;/&gt;&lt;wsp:rsid wsp:val=&quot;00460CE2&quot;/&gt;&lt;wsp:rsid wsp:val=&quot;00460F3A&quot;/&gt;&lt;wsp:rsid wsp:val=&quot;00461211&quot;/&gt;&lt;wsp:rsid wsp:val=&quot;004612EB&quot;/&gt;&lt;wsp:rsid wsp:val=&quot;0046174B&quot;/&gt;&lt;wsp:rsid wsp:val=&quot;004621F0&quot;/&gt;&lt;wsp:rsid wsp:val=&quot;004622B2&quot;/&gt;&lt;wsp:rsid wsp:val=&quot;0046334A&quot;/&gt;&lt;wsp:rsid wsp:val=&quot;00463955&quot;/&gt;&lt;wsp:rsid wsp:val=&quot;00463AF5&quot;/&gt;&lt;wsp:rsid wsp:val=&quot;00463E7E&quot;/&gt;&lt;wsp:rsid wsp:val=&quot;00463F73&quot;/&gt;&lt;wsp:rsid wsp:val=&quot;004642FC&quot;/&gt;&lt;wsp:rsid wsp:val=&quot;0046438A&quot;/&gt;&lt;wsp:rsid wsp:val=&quot;0046457C&quot;/&gt;&lt;wsp:rsid wsp:val=&quot;00464BBC&quot;/&gt;&lt;wsp:rsid wsp:val=&quot;00464EF9&quot;/&gt;&lt;wsp:rsid wsp:val=&quot;004650C0&quot;/&gt;&lt;wsp:rsid wsp:val=&quot;0046561D&quot;/&gt;&lt;wsp:rsid wsp:val=&quot;004656C2&quot;/&gt;&lt;wsp:rsid wsp:val=&quot;004657C3&quot;/&gt;&lt;wsp:rsid wsp:val=&quot;00465819&quot;/&gt;&lt;wsp:rsid wsp:val=&quot;00465831&quot;/&gt;&lt;wsp:rsid wsp:val=&quot;004658CA&quot;/&gt;&lt;wsp:rsid wsp:val=&quot;00465BF0&quot;/&gt;&lt;wsp:rsid wsp:val=&quot;00465D0C&quot;/&gt;&lt;wsp:rsid wsp:val=&quot;00465D65&quot;/&gt;&lt;wsp:rsid wsp:val=&quot;0046682A&quot;/&gt;&lt;wsp:rsid wsp:val=&quot;004668A8&quot;/&gt;&lt;wsp:rsid wsp:val=&quot;004668DC&quot;/&gt;&lt;wsp:rsid wsp:val=&quot;00466C7B&quot;/&gt;&lt;wsp:rsid wsp:val=&quot;00466CEF&quot;/&gt;&lt;wsp:rsid wsp:val=&quot;00466D60&quot;/&gt;&lt;wsp:rsid wsp:val=&quot;00467157&quot;/&gt;&lt;wsp:rsid wsp:val=&quot;00467784&quot;/&gt;&lt;wsp:rsid wsp:val=&quot;00467AA5&quot;/&gt;&lt;wsp:rsid wsp:val=&quot;00467B0E&quot;/&gt;&lt;wsp:rsid wsp:val=&quot;00467B1B&quot;/&gt;&lt;wsp:rsid wsp:val=&quot;0047053F&quot;/&gt;&lt;wsp:rsid wsp:val=&quot;00470552&quot;/&gt;&lt;wsp:rsid wsp:val=&quot;004705A2&quot;/&gt;&lt;wsp:rsid wsp:val=&quot;00470680&quot;/&gt;&lt;wsp:rsid wsp:val=&quot;0047071D&quot;/&gt;&lt;wsp:rsid wsp:val=&quot;00470BF6&quot;/&gt;&lt;wsp:rsid wsp:val=&quot;0047130F&quot;/&gt;&lt;wsp:rsid wsp:val=&quot;0047137A&quot;/&gt;&lt;wsp:rsid wsp:val=&quot;0047171F&quot;/&gt;&lt;wsp:rsid wsp:val=&quot;00471DCF&quot;/&gt;&lt;wsp:rsid wsp:val=&quot;00472059&quot;/&gt;&lt;wsp:rsid wsp:val=&quot;00472220&quot;/&gt;&lt;wsp:rsid wsp:val=&quot;004726A2&quot;/&gt;&lt;wsp:rsid wsp:val=&quot;00472845&quot;/&gt;&lt;wsp:rsid wsp:val=&quot;00472BF0&quot;/&gt;&lt;wsp:rsid wsp:val=&quot;00473427&quot;/&gt;&lt;wsp:rsid wsp:val=&quot;00474B46&quot;/&gt;&lt;wsp:rsid wsp:val=&quot;00475375&quot;/&gt;&lt;wsp:rsid wsp:val=&quot;004753B5&quot;/&gt;&lt;wsp:rsid wsp:val=&quot;00475428&quot;/&gt;&lt;wsp:rsid wsp:val=&quot;0047598C&quot;/&gt;&lt;wsp:rsid wsp:val=&quot;0047629D&quot;/&gt;&lt;wsp:rsid wsp:val=&quot;00476314&quot;/&gt;&lt;wsp:rsid wsp:val=&quot;00476E1B&quot;/&gt;&lt;wsp:rsid wsp:val=&quot;00477D13&quot;/&gt;&lt;wsp:rsid wsp:val=&quot;00477EE2&quot;/&gt;&lt;wsp:rsid wsp:val=&quot;00480196&quot;/&gt;&lt;wsp:rsid wsp:val=&quot;0048037C&quot;/&gt;&lt;wsp:rsid wsp:val=&quot;00480529&quot;/&gt;&lt;wsp:rsid wsp:val=&quot;004808AF&quot;/&gt;&lt;wsp:rsid wsp:val=&quot;00480CBF&quot;/&gt;&lt;wsp:rsid wsp:val=&quot;00481AE3&quot;/&gt;&lt;wsp:rsid wsp:val=&quot;004821A8&quot;/&gt;&lt;wsp:rsid wsp:val=&quot;00482311&quot;/&gt;&lt;wsp:rsid wsp:val=&quot;004823E4&quot;/&gt;&lt;wsp:rsid wsp:val=&quot;00482416&quot;/&gt;&lt;wsp:rsid wsp:val=&quot;004826E9&quot;/&gt;&lt;wsp:rsid wsp:val=&quot;00482E27&quot;/&gt;&lt;wsp:rsid wsp:val=&quot;00482E4F&quot;/&gt;&lt;wsp:rsid wsp:val=&quot;00483238&quot;/&gt;&lt;wsp:rsid wsp:val=&quot;00483987&quot;/&gt;&lt;wsp:rsid wsp:val=&quot;00483CC6&quot;/&gt;&lt;wsp:rsid wsp:val=&quot;00484078&quot;/&gt;&lt;wsp:rsid wsp:val=&quot;0048439E&quot;/&gt;&lt;wsp:rsid wsp:val=&quot;004849D4&quot;/&gt;&lt;wsp:rsid wsp:val=&quot;00484AA2&quot;/&gt;&lt;wsp:rsid wsp:val=&quot;00484AF7&quot;/&gt;&lt;wsp:rsid wsp:val=&quot;00484E4C&quot;/&gt;&lt;wsp:rsid wsp:val=&quot;0048591A&quot;/&gt;&lt;wsp:rsid wsp:val=&quot;00485B6A&quot;/&gt;&lt;wsp:rsid wsp:val=&quot;00485D8A&quot;/&gt;&lt;wsp:rsid wsp:val=&quot;00486070&quot;/&gt;&lt;wsp:rsid wsp:val=&quot;00486EFD&quot;/&gt;&lt;wsp:rsid wsp:val=&quot;004874D8&quot;/&gt;&lt;wsp:rsid wsp:val=&quot;0048758A&quot;/&gt;&lt;wsp:rsid wsp:val=&quot;00487710&quot;/&gt;&lt;wsp:rsid wsp:val=&quot;00487E3D&quot;/&gt;&lt;wsp:rsid wsp:val=&quot;00487EDD&quot;/&gt;&lt;wsp:rsid wsp:val=&quot;004904C4&quot;/&gt;&lt;wsp:rsid wsp:val=&quot;0049099D&quot;/&gt;&lt;wsp:rsid wsp:val=&quot;00490A11&quot;/&gt;&lt;wsp:rsid wsp:val=&quot;00490CBE&quot;/&gt;&lt;wsp:rsid wsp:val=&quot;00490EED&quot;/&gt;&lt;wsp:rsid wsp:val=&quot;0049128C&quot;/&gt;&lt;wsp:rsid wsp:val=&quot;0049139A&quot;/&gt;&lt;wsp:rsid wsp:val=&quot;00491735&quot;/&gt;&lt;wsp:rsid wsp:val=&quot;00491885&quot;/&gt;&lt;wsp:rsid wsp:val=&quot;004918B4&quot;/&gt;&lt;wsp:rsid wsp:val=&quot;004919CC&quot;/&gt;&lt;wsp:rsid wsp:val=&quot;00491C99&quot;/&gt;&lt;wsp:rsid wsp:val=&quot;00491CBC&quot;/&gt;&lt;wsp:rsid wsp:val=&quot;00491DFE&quot;/&gt;&lt;wsp:rsid wsp:val=&quot;00491EC2&quot;/&gt;&lt;wsp:rsid wsp:val=&quot;00492150&quot;/&gt;&lt;wsp:rsid wsp:val=&quot;00492211&quot;/&gt;&lt;wsp:rsid wsp:val=&quot;00492636&quot;/&gt;&lt;wsp:rsid wsp:val=&quot;004928D1&quot;/&gt;&lt;wsp:rsid wsp:val=&quot;00492C13&quot;/&gt;&lt;wsp:rsid wsp:val=&quot;00492FEC&quot;/&gt;&lt;wsp:rsid wsp:val=&quot;00493174&quot;/&gt;&lt;wsp:rsid wsp:val=&quot;0049391F&quot;/&gt;&lt;wsp:rsid wsp:val=&quot;004940B6&quot;/&gt;&lt;wsp:rsid wsp:val=&quot;004940BB&quot;/&gt;&lt;wsp:rsid wsp:val=&quot;004942C1&quot;/&gt;&lt;wsp:rsid wsp:val=&quot;00494391&quot;/&gt;&lt;wsp:rsid wsp:val=&quot;004945BD&quot;/&gt;&lt;wsp:rsid wsp:val=&quot;00494A89&quot;/&gt;&lt;wsp:rsid wsp:val=&quot;00494FDB&quot;/&gt;&lt;wsp:rsid wsp:val=&quot;00495216&quot;/&gt;&lt;wsp:rsid wsp:val=&quot;004952D7&quot;/&gt;&lt;wsp:rsid wsp:val=&quot;004952F0&quot;/&gt;&lt;wsp:rsid wsp:val=&quot;00495346&quot;/&gt;&lt;wsp:rsid wsp:val=&quot;004954F3&quot;/&gt;&lt;wsp:rsid wsp:val=&quot;004955E8&quot;/&gt;&lt;wsp:rsid wsp:val=&quot;0049561F&quot;/&gt;&lt;wsp:rsid wsp:val=&quot;00495687&quot;/&gt;&lt;wsp:rsid wsp:val=&quot;00495994&quot;/&gt;&lt;wsp:rsid wsp:val=&quot;004959FE&quot;/&gt;&lt;wsp:rsid wsp:val=&quot;00496515&quot;/&gt;&lt;wsp:rsid wsp:val=&quot;00496964&quot;/&gt;&lt;wsp:rsid wsp:val=&quot;00496D48&quot;/&gt;&lt;wsp:rsid wsp:val=&quot;00496F34&quot;/&gt;&lt;wsp:rsid wsp:val=&quot;00496FFE&quot;/&gt;&lt;wsp:rsid wsp:val=&quot;0049735F&quot;/&gt;&lt;wsp:rsid wsp:val=&quot;00497882&quot;/&gt;&lt;wsp:rsid wsp:val=&quot;00497F71&quot;/&gt;&lt;wsp:rsid wsp:val=&quot;004A0097&quot;/&gt;&lt;wsp:rsid wsp:val=&quot;004A033E&quot;/&gt;&lt;wsp:rsid wsp:val=&quot;004A08BA&quot;/&gt;&lt;wsp:rsid wsp:val=&quot;004A0C5B&quot;/&gt;&lt;wsp:rsid wsp:val=&quot;004A1C0F&quot;/&gt;&lt;wsp:rsid wsp:val=&quot;004A25EB&quot;/&gt;&lt;wsp:rsid wsp:val=&quot;004A2818&quot;/&gt;&lt;wsp:rsid wsp:val=&quot;004A2A17&quot;/&gt;&lt;wsp:rsid wsp:val=&quot;004A2B8A&quot;/&gt;&lt;wsp:rsid wsp:val=&quot;004A2CF2&quot;/&gt;&lt;wsp:rsid wsp:val=&quot;004A2E33&quot;/&gt;&lt;wsp:rsid wsp:val=&quot;004A2E48&quot;/&gt;&lt;wsp:rsid wsp:val=&quot;004A3129&quot;/&gt;&lt;wsp:rsid wsp:val=&quot;004A358F&quot;/&gt;&lt;wsp:rsid wsp:val=&quot;004A52BA&quot;/&gt;&lt;wsp:rsid wsp:val=&quot;004A564E&quot;/&gt;&lt;wsp:rsid wsp:val=&quot;004A5947&quot;/&gt;&lt;wsp:rsid wsp:val=&quot;004A5C61&quot;/&gt;&lt;wsp:rsid wsp:val=&quot;004A5D81&quot;/&gt;&lt;wsp:rsid wsp:val=&quot;004A623F&quot;/&gt;&lt;wsp:rsid wsp:val=&quot;004A657E&quot;/&gt;&lt;wsp:rsid wsp:val=&quot;004A65F9&quot;/&gt;&lt;wsp:rsid wsp:val=&quot;004A6AF1&quot;/&gt;&lt;wsp:rsid wsp:val=&quot;004A6D2A&quot;/&gt;&lt;wsp:rsid wsp:val=&quot;004A6E2E&quot;/&gt;&lt;wsp:rsid wsp:val=&quot;004A6E8A&quot;/&gt;&lt;wsp:rsid wsp:val=&quot;004A7283&quot;/&gt;&lt;wsp:rsid wsp:val=&quot;004A790F&quot;/&gt;&lt;wsp:rsid wsp:val=&quot;004A7FF2&quot;/&gt;&lt;wsp:rsid wsp:val=&quot;004B032B&quot;/&gt;&lt;wsp:rsid wsp:val=&quot;004B05B2&quot;/&gt;&lt;wsp:rsid wsp:val=&quot;004B0978&quot;/&gt;&lt;wsp:rsid wsp:val=&quot;004B0F53&quot;/&gt;&lt;wsp:rsid wsp:val=&quot;004B1308&quot;/&gt;&lt;wsp:rsid wsp:val=&quot;004B145D&quot;/&gt;&lt;wsp:rsid wsp:val=&quot;004B1D8F&quot;/&gt;&lt;wsp:rsid wsp:val=&quot;004B225B&quot;/&gt;&lt;wsp:rsid wsp:val=&quot;004B29C5&quot;/&gt;&lt;wsp:rsid wsp:val=&quot;004B2E9F&quot;/&gt;&lt;wsp:rsid wsp:val=&quot;004B41B6&quot;/&gt;&lt;wsp:rsid wsp:val=&quot;004B434E&quot;/&gt;&lt;wsp:rsid wsp:val=&quot;004B435F&quot;/&gt;&lt;wsp:rsid wsp:val=&quot;004B440D&quot;/&gt;&lt;wsp:rsid wsp:val=&quot;004B4DD8&quot;/&gt;&lt;wsp:rsid wsp:val=&quot;004B555E&quot;/&gt;&lt;wsp:rsid wsp:val=&quot;004B55CA&quot;/&gt;&lt;wsp:rsid wsp:val=&quot;004B58F2&quot;/&gt;&lt;wsp:rsid wsp:val=&quot;004B5D92&quot;/&gt;&lt;wsp:rsid wsp:val=&quot;004B5EE5&quot;/&gt;&lt;wsp:rsid wsp:val=&quot;004B61B0&quot;/&gt;&lt;wsp:rsid wsp:val=&quot;004B6219&quot;/&gt;&lt;wsp:rsid wsp:val=&quot;004B6285&quot;/&gt;&lt;wsp:rsid wsp:val=&quot;004B6679&quot;/&gt;&lt;wsp:rsid wsp:val=&quot;004B6707&quot;/&gt;&lt;wsp:rsid wsp:val=&quot;004B69EC&quot;/&gt;&lt;wsp:rsid wsp:val=&quot;004B701F&quot;/&gt;&lt;wsp:rsid wsp:val=&quot;004B7117&quot;/&gt;&lt;wsp:rsid wsp:val=&quot;004B75E3&quot;/&gt;&lt;wsp:rsid wsp:val=&quot;004B76B1&quot;/&gt;&lt;wsp:rsid wsp:val=&quot;004B7D0B&quot;/&gt;&lt;wsp:rsid wsp:val=&quot;004C01FD&quot;/&gt;&lt;wsp:rsid wsp:val=&quot;004C0369&quot;/&gt;&lt;wsp:rsid wsp:val=&quot;004C0653&quot;/&gt;&lt;wsp:rsid wsp:val=&quot;004C06AA&quot;/&gt;&lt;wsp:rsid wsp:val=&quot;004C06FB&quot;/&gt;&lt;wsp:rsid wsp:val=&quot;004C0DFC&quot;/&gt;&lt;wsp:rsid wsp:val=&quot;004C0F9C&quot;/&gt;&lt;wsp:rsid wsp:val=&quot;004C1291&quot;/&gt;&lt;wsp:rsid wsp:val=&quot;004C1ABB&quot;/&gt;&lt;wsp:rsid wsp:val=&quot;004C1B46&quot;/&gt;&lt;wsp:rsid wsp:val=&quot;004C1DA9&quot;/&gt;&lt;wsp:rsid wsp:val=&quot;004C3A6C&quot;/&gt;&lt;wsp:rsid wsp:val=&quot;004C3C5B&quot;/&gt;&lt;wsp:rsid wsp:val=&quot;004C3C82&quot;/&gt;&lt;wsp:rsid wsp:val=&quot;004C4983&quot;/&gt;&lt;wsp:rsid wsp:val=&quot;004C4C56&quot;/&gt;&lt;wsp:rsid wsp:val=&quot;004C4FFB&quot;/&gt;&lt;wsp:rsid wsp:val=&quot;004C5059&quot;/&gt;&lt;wsp:rsid wsp:val=&quot;004C50F9&quot;/&gt;&lt;wsp:rsid wsp:val=&quot;004C5131&quot;/&gt;&lt;wsp:rsid wsp:val=&quot;004C5145&quot;/&gt;&lt;wsp:rsid wsp:val=&quot;004C5B0C&quot;/&gt;&lt;wsp:rsid wsp:val=&quot;004C5F31&quot;/&gt;&lt;wsp:rsid wsp:val=&quot;004C671A&quot;/&gt;&lt;wsp:rsid wsp:val=&quot;004C6DBF&quot;/&gt;&lt;wsp:rsid wsp:val=&quot;004C742B&quot;/&gt;&lt;wsp:rsid wsp:val=&quot;004C7B92&quot;/&gt;&lt;wsp:rsid wsp:val=&quot;004C7C9F&quot;/&gt;&lt;wsp:rsid wsp:val=&quot;004D0477&quot;/&gt;&lt;wsp:rsid wsp:val=&quot;004D0579&quot;/&gt;&lt;wsp:rsid wsp:val=&quot;004D05DC&quot;/&gt;&lt;wsp:rsid wsp:val=&quot;004D09CD&quot;/&gt;&lt;wsp:rsid wsp:val=&quot;004D1078&quot;/&gt;&lt;wsp:rsid wsp:val=&quot;004D10FE&quot;/&gt;&lt;wsp:rsid wsp:val=&quot;004D13D9&quot;/&gt;&lt;wsp:rsid wsp:val=&quot;004D1557&quot;/&gt;&lt;wsp:rsid wsp:val=&quot;004D163C&quot;/&gt;&lt;wsp:rsid wsp:val=&quot;004D1C13&quot;/&gt;&lt;wsp:rsid wsp:val=&quot;004D2080&quot;/&gt;&lt;wsp:rsid wsp:val=&quot;004D250E&quot;/&gt;&lt;wsp:rsid wsp:val=&quot;004D270F&quot;/&gt;&lt;wsp:rsid wsp:val=&quot;004D2851&quot;/&gt;&lt;wsp:rsid wsp:val=&quot;004D3636&quot;/&gt;&lt;wsp:rsid wsp:val=&quot;004D377E&quot;/&gt;&lt;wsp:rsid wsp:val=&quot;004D4254&quot;/&gt;&lt;wsp:rsid wsp:val=&quot;004D4572&quot;/&gt;&lt;wsp:rsid wsp:val=&quot;004D4588&quot;/&gt;&lt;wsp:rsid wsp:val=&quot;004D4C82&quot;/&gt;&lt;wsp:rsid wsp:val=&quot;004D5273&quot;/&gt;&lt;wsp:rsid wsp:val=&quot;004D537A&quot;/&gt;&lt;wsp:rsid wsp:val=&quot;004D5863&quot;/&gt;&lt;wsp:rsid wsp:val=&quot;004D6045&quot;/&gt;&lt;wsp:rsid wsp:val=&quot;004D66D5&quot;/&gt;&lt;wsp:rsid wsp:val=&quot;004D673C&quot;/&gt;&lt;wsp:rsid wsp:val=&quot;004D6895&quot;/&gt;&lt;wsp:rsid wsp:val=&quot;004D6E47&quot;/&gt;&lt;wsp:rsid wsp:val=&quot;004D704B&quot;/&gt;&lt;wsp:rsid wsp:val=&quot;004D71E6&quot;/&gt;&lt;wsp:rsid wsp:val=&quot;004D73D8&quot;/&gt;&lt;wsp:rsid wsp:val=&quot;004D764D&quot;/&gt;&lt;wsp:rsid wsp:val=&quot;004D79AC&quot;/&gt;&lt;wsp:rsid wsp:val=&quot;004D7B97&quot;/&gt;&lt;wsp:rsid wsp:val=&quot;004D7C03&quot;/&gt;&lt;wsp:rsid wsp:val=&quot;004E000F&quot;/&gt;&lt;wsp:rsid wsp:val=&quot;004E0618&quot;/&gt;&lt;wsp:rsid wsp:val=&quot;004E0F67&quot;/&gt;&lt;wsp:rsid wsp:val=&quot;004E18D6&quot;/&gt;&lt;wsp:rsid wsp:val=&quot;004E1BB3&quot;/&gt;&lt;wsp:rsid wsp:val=&quot;004E1E6F&quot;/&gt;&lt;wsp:rsid wsp:val=&quot;004E1FC6&quot;/&gt;&lt;wsp:rsid wsp:val=&quot;004E2360&quot;/&gt;&lt;wsp:rsid wsp:val=&quot;004E2CEA&quot;/&gt;&lt;wsp:rsid wsp:val=&quot;004E31EB&quot;/&gt;&lt;wsp:rsid wsp:val=&quot;004E328B&quot;/&gt;&lt;wsp:rsid wsp:val=&quot;004E3389&quot;/&gt;&lt;wsp:rsid wsp:val=&quot;004E33AF&quot;/&gt;&lt;wsp:rsid wsp:val=&quot;004E358B&quot;/&gt;&lt;wsp:rsid wsp:val=&quot;004E4017&quot;/&gt;&lt;wsp:rsid wsp:val=&quot;004E4643&quot;/&gt;&lt;wsp:rsid wsp:val=&quot;004E4E7D&quot;/&gt;&lt;wsp:rsid wsp:val=&quot;004E527A&quot;/&gt;&lt;wsp:rsid wsp:val=&quot;004E560E&quot;/&gt;&lt;wsp:rsid wsp:val=&quot;004E5B06&quot;/&gt;&lt;wsp:rsid wsp:val=&quot;004E61F5&quot;/&gt;&lt;wsp:rsid wsp:val=&quot;004E6955&quot;/&gt;&lt;wsp:rsid wsp:val=&quot;004E7306&quot;/&gt;&lt;wsp:rsid wsp:val=&quot;004E7868&quot;/&gt;&lt;wsp:rsid wsp:val=&quot;004E7A93&quot;/&gt;&lt;wsp:rsid wsp:val=&quot;004E7F40&quot;/&gt;&lt;wsp:rsid wsp:val=&quot;004F00E9&quot;/&gt;&lt;wsp:rsid wsp:val=&quot;004F030D&quot;/&gt;&lt;wsp:rsid wsp:val=&quot;004F0342&quot;/&gt;&lt;wsp:rsid wsp:val=&quot;004F087C&quot;/&gt;&lt;wsp:rsid wsp:val=&quot;004F0E59&quot;/&gt;&lt;wsp:rsid wsp:val=&quot;004F0EA4&quot;/&gt;&lt;wsp:rsid wsp:val=&quot;004F1389&quot;/&gt;&lt;wsp:rsid wsp:val=&quot;004F141A&quot;/&gt;&lt;wsp:rsid wsp:val=&quot;004F19DE&quot;/&gt;&lt;wsp:rsid wsp:val=&quot;004F1E22&quot;/&gt;&lt;wsp:rsid wsp:val=&quot;004F1F81&quot;/&gt;&lt;wsp:rsid wsp:val=&quot;004F20DC&quot;/&gt;&lt;wsp:rsid wsp:val=&quot;004F21E6&quot;/&gt;&lt;wsp:rsid wsp:val=&quot;004F26BC&quot;/&gt;&lt;wsp:rsid wsp:val=&quot;004F2CF6&quot;/&gt;&lt;wsp:rsid wsp:val=&quot;004F341F&quot;/&gt;&lt;wsp:rsid wsp:val=&quot;004F39A8&quot;/&gt;&lt;wsp:rsid wsp:val=&quot;004F3B68&quot;/&gt;&lt;wsp:rsid wsp:val=&quot;004F3CB1&quot;/&gt;&lt;wsp:rsid wsp:val=&quot;004F3EB1&quot;/&gt;&lt;wsp:rsid wsp:val=&quot;004F4B35&quot;/&gt;&lt;wsp:rsid wsp:val=&quot;004F4D3F&quot;/&gt;&lt;wsp:rsid wsp:val=&quot;004F4FE9&quot;/&gt;&lt;wsp:rsid wsp:val=&quot;004F5095&quot;/&gt;&lt;wsp:rsid wsp:val=&quot;004F50CE&quot;/&gt;&lt;wsp:rsid wsp:val=&quot;004F53E7&quot;/&gt;&lt;wsp:rsid wsp:val=&quot;004F544B&quot;/&gt;&lt;wsp:rsid wsp:val=&quot;004F5752&quot;/&gt;&lt;wsp:rsid wsp:val=&quot;004F5A83&quot;/&gt;&lt;wsp:rsid wsp:val=&quot;004F5B67&quot;/&gt;&lt;wsp:rsid wsp:val=&quot;004F605F&quot;/&gt;&lt;wsp:rsid wsp:val=&quot;004F6428&quot;/&gt;&lt;wsp:rsid wsp:val=&quot;004F6D5F&quot;/&gt;&lt;wsp:rsid wsp:val=&quot;004F7518&quot;/&gt;&lt;wsp:rsid wsp:val=&quot;00500525&quot;/&gt;&lt;wsp:rsid wsp:val=&quot;005005E2&quot;/&gt;&lt;wsp:rsid wsp:val=&quot;005008C3&quot;/&gt;&lt;wsp:rsid wsp:val=&quot;0050090B&quot;/&gt;&lt;wsp:rsid wsp:val=&quot;00500E06&quot;/&gt;&lt;wsp:rsid wsp:val=&quot;00500F51&quot;/&gt;&lt;wsp:rsid wsp:val=&quot;0050129C&quot;/&gt;&lt;wsp:rsid wsp:val=&quot;00501655&quot;/&gt;&lt;wsp:rsid wsp:val=&quot;00502020&quot;/&gt;&lt;wsp:rsid wsp:val=&quot;005024BB&quot;/&gt;&lt;wsp:rsid wsp:val=&quot;005026DC&quot;/&gt;&lt;wsp:rsid wsp:val=&quot;00502C8D&quot;/&gt;&lt;wsp:rsid wsp:val=&quot;00502F1F&quot;/&gt;&lt;wsp:rsid wsp:val=&quot;00503745&quot;/&gt;&lt;wsp:rsid wsp:val=&quot;005038BC&quot;/&gt;&lt;wsp:rsid wsp:val=&quot;00503C54&quot;/&gt;&lt;wsp:rsid wsp:val=&quot;0050413F&quot;/&gt;&lt;wsp:rsid wsp:val=&quot;00504193&quot;/&gt;&lt;wsp:rsid wsp:val=&quot;00504917&quot;/&gt;&lt;wsp:rsid wsp:val=&quot;00504B26&quot;/&gt;&lt;wsp:rsid wsp:val=&quot;00504C21&quot;/&gt;&lt;wsp:rsid wsp:val=&quot;00504E2F&quot;/&gt;&lt;wsp:rsid wsp:val=&quot;00504EC4&quot;/&gt;&lt;wsp:rsid wsp:val=&quot;005054E7&quot;/&gt;&lt;wsp:rsid wsp:val=&quot;00505967&quot;/&gt;&lt;wsp:rsid wsp:val=&quot;00505ACC&quot;/&gt;&lt;wsp:rsid wsp:val=&quot;00505CDF&quot;/&gt;&lt;wsp:rsid wsp:val=&quot;005063D5&quot;/&gt;&lt;wsp:rsid wsp:val=&quot;0050662F&quot;/&gt;&lt;wsp:rsid wsp:val=&quot;00506EFE&quot;/&gt;&lt;wsp:rsid wsp:val=&quot;00506FAD&quot;/&gt;&lt;wsp:rsid wsp:val=&quot;0050717B&quot;/&gt;&lt;wsp:rsid wsp:val=&quot;00507184&quot;/&gt;&lt;wsp:rsid wsp:val=&quot;00507D15&quot;/&gt;&lt;wsp:rsid wsp:val=&quot;00507D5D&quot;/&gt;&lt;wsp:rsid wsp:val=&quot;0051041C&quot;/&gt;&lt;wsp:rsid wsp:val=&quot;005112CA&quot;/&gt;&lt;wsp:rsid wsp:val=&quot;00511673&quot;/&gt;&lt;wsp:rsid wsp:val=&quot;00511A60&quot;/&gt;&lt;wsp:rsid wsp:val=&quot;0051236D&quot;/&gt;&lt;wsp:rsid wsp:val=&quot;00512D7F&quot;/&gt;&lt;wsp:rsid wsp:val=&quot;00512D83&quot;/&gt;&lt;wsp:rsid wsp:val=&quot;0051377C&quot;/&gt;&lt;wsp:rsid wsp:val=&quot;005139E0&quot;/&gt;&lt;wsp:rsid wsp:val=&quot;00513B21&quot;/&gt;&lt;wsp:rsid wsp:val=&quot;00513E46&quot;/&gt;&lt;wsp:rsid wsp:val=&quot;0051431C&quot;/&gt;&lt;wsp:rsid wsp:val=&quot;00514D53&quot;/&gt;&lt;wsp:rsid wsp:val=&quot;00514D5F&quot;/&gt;&lt;wsp:rsid wsp:val=&quot;00514EC4&quot;/&gt;&lt;wsp:rsid wsp:val=&quot;0051527C&quot;/&gt;&lt;wsp:rsid wsp:val=&quot;00515420&quot;/&gt;&lt;wsp:rsid wsp:val=&quot;00515905&quot;/&gt;&lt;wsp:rsid wsp:val=&quot;00516385&quot;/&gt;&lt;wsp:rsid wsp:val=&quot;00516618&quot;/&gt;&lt;wsp:rsid wsp:val=&quot;00516F9E&quot;/&gt;&lt;wsp:rsid wsp:val=&quot;00517075&quot;/&gt;&lt;wsp:rsid wsp:val=&quot;00517094&quot;/&gt;&lt;wsp:rsid wsp:val=&quot;005171B9&quot;/&gt;&lt;wsp:rsid wsp:val=&quot;0051749B&quot;/&gt;&lt;wsp:rsid wsp:val=&quot;00517DEC&quot;/&gt;&lt;wsp:rsid wsp:val=&quot;00520091&quot;/&gt;&lt;wsp:rsid wsp:val=&quot;0052094F&quot;/&gt;&lt;wsp:rsid wsp:val=&quot;00520A72&quot;/&gt;&lt;wsp:rsid wsp:val=&quot;00520B91&quot;/&gt;&lt;wsp:rsid wsp:val=&quot;005213A6&quot;/&gt;&lt;wsp:rsid wsp:val=&quot;00522C8F&quot;/&gt;&lt;wsp:rsid wsp:val=&quot;00522D90&quot;/&gt;&lt;wsp:rsid wsp:val=&quot;005232B0&quot;/&gt;&lt;wsp:rsid wsp:val=&quot;00523A0A&quot;/&gt;&lt;wsp:rsid wsp:val=&quot;00523B03&quot;/&gt;&lt;wsp:rsid wsp:val=&quot;00523D52&quot;/&gt;&lt;wsp:rsid wsp:val=&quot;00523DEF&quot;/&gt;&lt;wsp:rsid wsp:val=&quot;00523E19&quot;/&gt;&lt;wsp:rsid wsp:val=&quot;00524973&quot;/&gt;&lt;wsp:rsid wsp:val=&quot;00524C0C&quot;/&gt;&lt;wsp:rsid wsp:val=&quot;00524C95&quot;/&gt;&lt;wsp:rsid wsp:val=&quot;00525371&quot;/&gt;&lt;wsp:rsid wsp:val=&quot;0052539A&quot;/&gt;&lt;wsp:rsid wsp:val=&quot;005255E9&quot;/&gt;&lt;wsp:rsid wsp:val=&quot;0052600F&quot;/&gt;&lt;wsp:rsid wsp:val=&quot;005260F2&quot;/&gt;&lt;wsp:rsid wsp:val=&quot;00526C2E&quot;/&gt;&lt;wsp:rsid wsp:val=&quot;00526C3C&quot;/&gt;&lt;wsp:rsid wsp:val=&quot;00527199&quot;/&gt;&lt;wsp:rsid wsp:val=&quot;005272BE&quot;/&gt;&lt;wsp:rsid wsp:val=&quot;00527927&quot;/&gt;&lt;wsp:rsid wsp:val=&quot;0052794E&quot;/&gt;&lt;wsp:rsid wsp:val=&quot;00527B7C&quot;/&gt;&lt;wsp:rsid wsp:val=&quot;0053017A&quot;/&gt;&lt;wsp:rsid wsp:val=&quot;005303A4&quot;/&gt;&lt;wsp:rsid wsp:val=&quot;00530667&quot;/&gt;&lt;wsp:rsid wsp:val=&quot;005308CB&quot;/&gt;&lt;wsp:rsid wsp:val=&quot;005308D8&quot;/&gt;&lt;wsp:rsid wsp:val=&quot;00530CB4&quot;/&gt;&lt;wsp:rsid wsp:val=&quot;0053109A&quot;/&gt;&lt;wsp:rsid wsp:val=&quot;005311FA&quot;/&gt;&lt;wsp:rsid wsp:val=&quot;005319AF&quot;/&gt;&lt;wsp:rsid wsp:val=&quot;00531A8A&quot;/&gt;&lt;wsp:rsid wsp:val=&quot;0053230D&quot;/&gt;&lt;wsp:rsid wsp:val=&quot;00532906&quot;/&gt;&lt;wsp:rsid wsp:val=&quot;005329A0&quot;/&gt;&lt;wsp:rsid wsp:val=&quot;00532A8C&quot;/&gt;&lt;wsp:rsid wsp:val=&quot;00532A90&quot;/&gt;&lt;wsp:rsid wsp:val=&quot;00532B20&quot;/&gt;&lt;wsp:rsid wsp:val=&quot;0053349E&quot;/&gt;&lt;wsp:rsid wsp:val=&quot;00533522&quot;/&gt;&lt;wsp:rsid wsp:val=&quot;00533B57&quot;/&gt;&lt;wsp:rsid wsp:val=&quot;00533D72&quot;/&gt;&lt;wsp:rsid wsp:val=&quot;0053407A&quot;/&gt;&lt;wsp:rsid wsp:val=&quot;00534662&quot;/&gt;&lt;wsp:rsid wsp:val=&quot;005348B6&quot;/&gt;&lt;wsp:rsid wsp:val=&quot;00534A7D&quot;/&gt;&lt;wsp:rsid wsp:val=&quot;00534B5E&quot;/&gt;&lt;wsp:rsid wsp:val=&quot;00534D1B&quot;/&gt;&lt;wsp:rsid wsp:val=&quot;005352E2&quot;/&gt;&lt;wsp:rsid wsp:val=&quot;00535743&quot;/&gt;&lt;wsp:rsid wsp:val=&quot;00535848&quot;/&gt;&lt;wsp:rsid wsp:val=&quot;00535CA1&quot;/&gt;&lt;wsp:rsid wsp:val=&quot;00535D48&quot;/&gt;&lt;wsp:rsid wsp:val=&quot;00535D50&quot;/&gt;&lt;wsp:rsid wsp:val=&quot;00536012&quot;/&gt;&lt;wsp:rsid wsp:val=&quot;005364D7&quot;/&gt;&lt;wsp:rsid wsp:val=&quot;00536620&quot;/&gt;&lt;wsp:rsid wsp:val=&quot;005368FF&quot;/&gt;&lt;wsp:rsid wsp:val=&quot;005369F5&quot;/&gt;&lt;wsp:rsid wsp:val=&quot;00536C26&quot;/&gt;&lt;wsp:rsid wsp:val=&quot;00536D3F&quot;/&gt;&lt;wsp:rsid wsp:val=&quot;00536E6E&quot;/&gt;&lt;wsp:rsid wsp:val=&quot;00536F61&quot;/&gt;&lt;wsp:rsid wsp:val=&quot;00536FF8&quot;/&gt;&lt;wsp:rsid wsp:val=&quot;0053744C&quot;/&gt;&lt;wsp:rsid wsp:val=&quot;00537533&quot;/&gt;&lt;wsp:rsid wsp:val=&quot;00537ADA&quot;/&gt;&lt;wsp:rsid wsp:val=&quot;005418B3&quot;/&gt;&lt;wsp:rsid wsp:val=&quot;005419FA&quot;/&gt;&lt;wsp:rsid wsp:val=&quot;00541A3F&quot;/&gt;&lt;wsp:rsid wsp:val=&quot;00541CB9&quot;/&gt;&lt;wsp:rsid wsp:val=&quot;00541D4D&quot;/&gt;&lt;wsp:rsid wsp:val=&quot;00541E9C&quot;/&gt;&lt;wsp:rsid wsp:val=&quot;00542561&quot;/&gt;&lt;wsp:rsid wsp:val=&quot;005428A4&quot;/&gt;&lt;wsp:rsid wsp:val=&quot;00542982&quot;/&gt;&lt;wsp:rsid wsp:val=&quot;00542E18&quot;/&gt;&lt;wsp:rsid wsp:val=&quot;00543226&quot;/&gt;&lt;wsp:rsid wsp:val=&quot;00543560&quot;/&gt;&lt;wsp:rsid wsp:val=&quot;00543781&quot;/&gt;&lt;wsp:rsid wsp:val=&quot;00543A2C&quot;/&gt;&lt;wsp:rsid wsp:val=&quot;00543E0A&quot;/&gt;&lt;wsp:rsid wsp:val=&quot;00543FE9&quot;/&gt;&lt;wsp:rsid wsp:val=&quot;00544235&quot;/&gt;&lt;wsp:rsid wsp:val=&quot;005443FE&quot;/&gt;&lt;wsp:rsid wsp:val=&quot;00544781&quot;/&gt;&lt;wsp:rsid wsp:val=&quot;005448DF&quot;/&gt;&lt;wsp:rsid wsp:val=&quot;00544A62&quot;/&gt;&lt;wsp:rsid wsp:val=&quot;00544D4C&quot;/&gt;&lt;wsp:rsid wsp:val=&quot;00545053&quot;/&gt;&lt;wsp:rsid wsp:val=&quot;005450D1&quot;/&gt;&lt;wsp:rsid wsp:val=&quot;00545547&quot;/&gt;&lt;wsp:rsid wsp:val=&quot;00545616&quot;/&gt;&lt;wsp:rsid wsp:val=&quot;00545635&quot;/&gt;&lt;wsp:rsid wsp:val=&quot;005456E1&quot;/&gt;&lt;wsp:rsid wsp:val=&quot;00545C73&quot;/&gt;&lt;wsp:rsid wsp:val=&quot;005463CC&quot;/&gt;&lt;wsp:rsid wsp:val=&quot;005464E1&quot;/&gt;&lt;wsp:rsid wsp:val=&quot;00546E72&quot;/&gt;&lt;wsp:rsid wsp:val=&quot;00546EBD&quot;/&gt;&lt;wsp:rsid wsp:val=&quot;00547064&quot;/&gt;&lt;wsp:rsid wsp:val=&quot;00547B80&quot;/&gt;&lt;wsp:rsid wsp:val=&quot;00547BBD&quot;/&gt;&lt;wsp:rsid wsp:val=&quot;005504DA&quot;/&gt;&lt;wsp:rsid wsp:val=&quot;005509E2&quot;/&gt;&lt;wsp:rsid wsp:val=&quot;00550B9D&quot;/&gt;&lt;wsp:rsid wsp:val=&quot;00550C97&quot;/&gt;&lt;wsp:rsid wsp:val=&quot;005510AC&quot;/&gt;&lt;wsp:rsid wsp:val=&quot;00551909&quot;/&gt;&lt;wsp:rsid wsp:val=&quot;00551A7E&quot;/&gt;&lt;wsp:rsid wsp:val=&quot;0055209F&quot;/&gt;&lt;wsp:rsid wsp:val=&quot;0055212C&quot;/&gt;&lt;wsp:rsid wsp:val=&quot;005524B0&quot;/&gt;&lt;wsp:rsid wsp:val=&quot;00552872&quot;/&gt;&lt;wsp:rsid wsp:val=&quot;00552BC1&quot;/&gt;&lt;wsp:rsid wsp:val=&quot;00552BE7&quot;/&gt;&lt;wsp:rsid wsp:val=&quot;005531DC&quot;/&gt;&lt;wsp:rsid wsp:val=&quot;00553315&quot;/&gt;&lt;wsp:rsid wsp:val=&quot;005534EF&quot;/&gt;&lt;wsp:rsid wsp:val=&quot;00553503&quot;/&gt;&lt;wsp:rsid wsp:val=&quot;00553798&quot;/&gt;&lt;wsp:rsid wsp:val=&quot;00553EA4&quot;/&gt;&lt;wsp:rsid wsp:val=&quot;005540A5&quot;/&gt;&lt;wsp:rsid wsp:val=&quot;0055413B&quot;/&gt;&lt;wsp:rsid wsp:val=&quot;0055429F&quot;/&gt;&lt;wsp:rsid wsp:val=&quot;00554392&quot;/&gt;&lt;wsp:rsid wsp:val=&quot;00554A4D&quot;/&gt;&lt;wsp:rsid wsp:val=&quot;00554E98&quot;/&gt;&lt;wsp:rsid wsp:val=&quot;00555062&quot;/&gt;&lt;wsp:rsid wsp:val=&quot;0055572C&quot;/&gt;&lt;wsp:rsid wsp:val=&quot;00556519&quot;/&gt;&lt;wsp:rsid wsp:val=&quot;005566C8&quot;/&gt;&lt;wsp:rsid wsp:val=&quot;00556BE3&quot;/&gt;&lt;wsp:rsid wsp:val=&quot;00556CB6&quot;/&gt;&lt;wsp:rsid wsp:val=&quot;005576A6&quot;/&gt;&lt;wsp:rsid wsp:val=&quot;0055787A&quot;/&gt;&lt;wsp:rsid wsp:val=&quot;00557C62&quot;/&gt;&lt;wsp:rsid wsp:val=&quot;00557E19&quot;/&gt;&lt;wsp:rsid wsp:val=&quot;00557F58&quot;/&gt;&lt;wsp:rsid wsp:val=&quot;005602E7&quot;/&gt;&lt;wsp:rsid wsp:val=&quot;005606C4&quot;/&gt;&lt;wsp:rsid wsp:val=&quot;00560D19&quot;/&gt;&lt;wsp:rsid wsp:val=&quot;00561EA2&quot;/&gt;&lt;wsp:rsid wsp:val=&quot;0056203F&quot;/&gt;&lt;wsp:rsid wsp:val=&quot;00562101&quot;/&gt;&lt;wsp:rsid wsp:val=&quot;005626C5&quot;/&gt;&lt;wsp:rsid wsp:val=&quot;00562A26&quot;/&gt;&lt;wsp:rsid wsp:val=&quot;00562C6C&quot;/&gt;&lt;wsp:rsid wsp:val=&quot;00563083&quot;/&gt;&lt;wsp:rsid wsp:val=&quot;00564105&quot;/&gt;&lt;wsp:rsid wsp:val=&quot;005642FF&quot;/&gt;&lt;wsp:rsid wsp:val=&quot;005652B6&quot;/&gt;&lt;wsp:rsid wsp:val=&quot;005659D1&quot;/&gt;&lt;wsp:rsid wsp:val=&quot;00565DA5&quot;/&gt;&lt;wsp:rsid wsp:val=&quot;005661BF&quot;/&gt;&lt;wsp:rsid wsp:val=&quot;00566248&quot;/&gt;&lt;wsp:rsid wsp:val=&quot;005667FB&quot;/&gt;&lt;wsp:rsid wsp:val=&quot;00566985&quot;/&gt;&lt;wsp:rsid wsp:val=&quot;00567218&quot;/&gt;&lt;wsp:rsid wsp:val=&quot;005676AB&quot;/&gt;&lt;wsp:rsid wsp:val=&quot;00567778&quot;/&gt;&lt;wsp:rsid wsp:val=&quot;00567782&quot;/&gt;&lt;wsp:rsid wsp:val=&quot;005677E8&quot;/&gt;&lt;wsp:rsid wsp:val=&quot;005678F4&quot;/&gt;&lt;wsp:rsid wsp:val=&quot;00567A9B&quot;/&gt;&lt;wsp:rsid wsp:val=&quot;00567C68&quot;/&gt;&lt;wsp:rsid wsp:val=&quot;00567F72&quot;/&gt;&lt;wsp:rsid wsp:val=&quot;00570222&quot;/&gt;&lt;wsp:rsid wsp:val=&quot;005703F3&quot;/&gt;&lt;wsp:rsid wsp:val=&quot;00570567&quot;/&gt;&lt;wsp:rsid wsp:val=&quot;005708E0&quot;/&gt;&lt;wsp:rsid wsp:val=&quot;005709C7&quot;/&gt;&lt;wsp:rsid wsp:val=&quot;00571297&quot;/&gt;&lt;wsp:rsid wsp:val=&quot;00571355&quot;/&gt;&lt;wsp:rsid wsp:val=&quot;0057174D&quot;/&gt;&lt;wsp:rsid wsp:val=&quot;00571A63&quot;/&gt;&lt;wsp:rsid wsp:val=&quot;0057216F&quot;/&gt;&lt;wsp:rsid wsp:val=&quot;00572170&quot;/&gt;&lt;wsp:rsid wsp:val=&quot;00572202&quot;/&gt;&lt;wsp:rsid wsp:val=&quot;00572505&quot;/&gt;&lt;wsp:rsid wsp:val=&quot;00572E8A&quot;/&gt;&lt;wsp:rsid wsp:val=&quot;00572EAA&quot;/&gt;&lt;wsp:rsid wsp:val=&quot;00572EC7&quot;/&gt;&lt;wsp:rsid wsp:val=&quot;00572FDC&quot;/&gt;&lt;wsp:rsid wsp:val=&quot;005735B5&quot;/&gt;&lt;wsp:rsid wsp:val=&quot;00573AB3&quot;/&gt;&lt;wsp:rsid wsp:val=&quot;00573BC6&quot;/&gt;&lt;wsp:rsid wsp:val=&quot;00573FD7&quot;/&gt;&lt;wsp:rsid wsp:val=&quot;00574046&quot;/&gt;&lt;wsp:rsid wsp:val=&quot;005741DE&quot;/&gt;&lt;wsp:rsid wsp:val=&quot;0057450D&quot;/&gt;&lt;wsp:rsid wsp:val=&quot;00574603&quot;/&gt;&lt;wsp:rsid wsp:val=&quot;005746A1&quot;/&gt;&lt;wsp:rsid wsp:val=&quot;0057474A&quot;/&gt;&lt;wsp:rsid wsp:val=&quot;00574DD8&quot;/&gt;&lt;wsp:rsid wsp:val=&quot;00575282&quot;/&gt;&lt;wsp:rsid wsp:val=&quot;00575784&quot;/&gt;&lt;wsp:rsid wsp:val=&quot;005758F5&quot;/&gt;&lt;wsp:rsid wsp:val=&quot;00575AB6&quot;/&gt;&lt;wsp:rsid wsp:val=&quot;005760F5&quot;/&gt;&lt;wsp:rsid wsp:val=&quot;00576322&quot;/&gt;&lt;wsp:rsid wsp:val=&quot;0057656B&quot;/&gt;&lt;wsp:rsid wsp:val=&quot;00576C46&quot;/&gt;&lt;wsp:rsid wsp:val=&quot;00576D39&quot;/&gt;&lt;wsp:rsid wsp:val=&quot;005776B8&quot;/&gt;&lt;wsp:rsid wsp:val=&quot;00577C8A&quot;/&gt;&lt;wsp:rsid wsp:val=&quot;00580043&quot;/&gt;&lt;wsp:rsid wsp:val=&quot;0058070D&quot;/&gt;&lt;wsp:rsid wsp:val=&quot;005810F0&quot;/&gt;&lt;wsp:rsid wsp:val=&quot;00581238&quot;/&gt;&lt;wsp:rsid wsp:val=&quot;005814D5&quot;/&gt;&lt;wsp:rsid wsp:val=&quot;0058200D&quot;/&gt;&lt;wsp:rsid wsp:val=&quot;00582A7C&quot;/&gt;&lt;wsp:rsid wsp:val=&quot;00582B0A&quot;/&gt;&lt;wsp:rsid wsp:val=&quot;00582B40&quot;/&gt;&lt;wsp:rsid wsp:val=&quot;00583422&quot;/&gt;&lt;wsp:rsid wsp:val=&quot;0058349F&quot;/&gt;&lt;wsp:rsid wsp:val=&quot;0058354E&quot;/&gt;&lt;wsp:rsid wsp:val=&quot;00583D5A&quot;/&gt;&lt;wsp:rsid wsp:val=&quot;00584A27&quot;/&gt;&lt;wsp:rsid wsp:val=&quot;00584DA8&quot;/&gt;&lt;wsp:rsid wsp:val=&quot;00585130&quot;/&gt;&lt;wsp:rsid wsp:val=&quot;00585520&quot;/&gt;&lt;wsp:rsid wsp:val=&quot;005860A3&quot;/&gt;&lt;wsp:rsid wsp:val=&quot;005860D7&quot;/&gt;&lt;wsp:rsid wsp:val=&quot;005862A4&quot;/&gt;&lt;wsp:rsid wsp:val=&quot;00586490&quot;/&gt;&lt;wsp:rsid wsp:val=&quot;00586492&quot;/&gt;&lt;wsp:rsid wsp:val=&quot;00586507&quot;/&gt;&lt;wsp:rsid wsp:val=&quot;00587064&quot;/&gt;&lt;wsp:rsid wsp:val=&quot;00587294&quot;/&gt;&lt;wsp:rsid wsp:val=&quot;00587981&quot;/&gt;&lt;wsp:rsid wsp:val=&quot;00587B8C&quot;/&gt;&lt;wsp:rsid wsp:val=&quot;00587D33&quot;/&gt;&lt;wsp:rsid wsp:val=&quot;00587DB0&quot;/&gt;&lt;wsp:rsid wsp:val=&quot;00587EB0&quot;/&gt;&lt;wsp:rsid wsp:val=&quot;005904F8&quot;/&gt;&lt;wsp:rsid wsp:val=&quot;0059050B&quot;/&gt;&lt;wsp:rsid wsp:val=&quot;00590645&quot;/&gt;&lt;wsp:rsid wsp:val=&quot;00590AC0&quot;/&gt;&lt;wsp:rsid wsp:val=&quot;00590F30&quot;/&gt;&lt;wsp:rsid wsp:val=&quot;00591937&quot;/&gt;&lt;wsp:rsid wsp:val=&quot;0059262A&quot;/&gt;&lt;wsp:rsid wsp:val=&quot;005928DB&quot;/&gt;&lt;wsp:rsid wsp:val=&quot;0059302D&quot;/&gt;&lt;wsp:rsid wsp:val=&quot;00593401&quot;/&gt;&lt;wsp:rsid wsp:val=&quot;00593AEF&quot;/&gt;&lt;wsp:rsid wsp:val=&quot;005941A9&quot;/&gt;&lt;wsp:rsid wsp:val=&quot;005943A1&quot;/&gt;&lt;wsp:rsid wsp:val=&quot;00594433&quot;/&gt;&lt;wsp:rsid wsp:val=&quot;00594AB5&quot;/&gt;&lt;wsp:rsid wsp:val=&quot;00594C34&quot;/&gt;&lt;wsp:rsid wsp:val=&quot;00594FE8&quot;/&gt;&lt;wsp:rsid wsp:val=&quot;00595533&quot;/&gt;&lt;wsp:rsid wsp:val=&quot;005955AA&quot;/&gt;&lt;wsp:rsid wsp:val=&quot;00595F1A&quot;/&gt;&lt;wsp:rsid wsp:val=&quot;005963E5&quot;/&gt;&lt;wsp:rsid wsp:val=&quot;005966F2&quot;/&gt;&lt;wsp:rsid wsp:val=&quot;0059693C&quot;/&gt;&lt;wsp:rsid wsp:val=&quot;00596AB3&quot;/&gt;&lt;wsp:rsid wsp:val=&quot;00596FE8&quot;/&gt;&lt;wsp:rsid wsp:val=&quot;005971B9&quot;/&gt;&lt;wsp:rsid wsp:val=&quot;005971E9&quot;/&gt;&lt;wsp:rsid wsp:val=&quot;005973A0&quot;/&gt;&lt;wsp:rsid wsp:val=&quot;005974E1&quot;/&gt;&lt;wsp:rsid wsp:val=&quot;005975B0&quot;/&gt;&lt;wsp:rsid wsp:val=&quot;00597717&quot;/&gt;&lt;wsp:rsid wsp:val=&quot;005A01AA&quot;/&gt;&lt;wsp:rsid wsp:val=&quot;005A0668&quot;/&gt;&lt;wsp:rsid wsp:val=&quot;005A1173&quot;/&gt;&lt;wsp:rsid wsp:val=&quot;005A14E3&quot;/&gt;&lt;wsp:rsid wsp:val=&quot;005A1848&quot;/&gt;&lt;wsp:rsid wsp:val=&quot;005A1BFB&quot;/&gt;&lt;wsp:rsid wsp:val=&quot;005A1D36&quot;/&gt;&lt;wsp:rsid wsp:val=&quot;005A1EBB&quot;/&gt;&lt;wsp:rsid wsp:val=&quot;005A219B&quot;/&gt;&lt;wsp:rsid wsp:val=&quot;005A236A&quot;/&gt;&lt;wsp:rsid wsp:val=&quot;005A293C&quot;/&gt;&lt;wsp:rsid wsp:val=&quot;005A294C&quot;/&gt;&lt;wsp:rsid wsp:val=&quot;005A2E17&quot;/&gt;&lt;wsp:rsid wsp:val=&quot;005A2F7C&quot;/&gt;&lt;wsp:rsid wsp:val=&quot;005A3305&quot;/&gt;&lt;wsp:rsid wsp:val=&quot;005A347B&quot;/&gt;&lt;wsp:rsid wsp:val=&quot;005A4BB1&quot;/&gt;&lt;wsp:rsid wsp:val=&quot;005A4C44&quot;/&gt;&lt;wsp:rsid wsp:val=&quot;005A59BE&quot;/&gt;&lt;wsp:rsid wsp:val=&quot;005A6121&quot;/&gt;&lt;wsp:rsid wsp:val=&quot;005A6183&quot;/&gt;&lt;wsp:rsid wsp:val=&quot;005A6E72&quot;/&gt;&lt;wsp:rsid wsp:val=&quot;005A6F8C&quot;/&gt;&lt;wsp:rsid wsp:val=&quot;005A70C7&quot;/&gt;&lt;wsp:rsid wsp:val=&quot;005A7558&quot;/&gt;&lt;wsp:rsid wsp:val=&quot;005A787B&quot;/&gt;&lt;wsp:rsid wsp:val=&quot;005A7920&quot;/&gt;&lt;wsp:rsid wsp:val=&quot;005A7CA5&quot;/&gt;&lt;wsp:rsid wsp:val=&quot;005B0455&quot;/&gt;&lt;wsp:rsid wsp:val=&quot;005B0516&quot;/&gt;&lt;wsp:rsid wsp:val=&quot;005B064B&quot;/&gt;&lt;wsp:rsid wsp:val=&quot;005B080E&quot;/&gt;&lt;wsp:rsid wsp:val=&quot;005B08C4&quot;/&gt;&lt;wsp:rsid wsp:val=&quot;005B0991&quot;/&gt;&lt;wsp:rsid wsp:val=&quot;005B14F5&quot;/&gt;&lt;wsp:rsid wsp:val=&quot;005B17FB&quot;/&gt;&lt;wsp:rsid wsp:val=&quot;005B1E89&quot;/&gt;&lt;wsp:rsid wsp:val=&quot;005B2184&quot;/&gt;&lt;wsp:rsid wsp:val=&quot;005B237A&quot;/&gt;&lt;wsp:rsid wsp:val=&quot;005B248C&quot;/&gt;&lt;wsp:rsid wsp:val=&quot;005B2AC3&quot;/&gt;&lt;wsp:rsid wsp:val=&quot;005B2C4A&quot;/&gt;&lt;wsp:rsid wsp:val=&quot;005B314A&quot;/&gt;&lt;wsp:rsid wsp:val=&quot;005B3351&quot;/&gt;&lt;wsp:rsid wsp:val=&quot;005B35C5&quot;/&gt;&lt;wsp:rsid wsp:val=&quot;005B37D5&quot;/&gt;&lt;wsp:rsid wsp:val=&quot;005B383D&quot;/&gt;&lt;wsp:rsid wsp:val=&quot;005B3B27&quot;/&gt;&lt;wsp:rsid wsp:val=&quot;005B402D&quot;/&gt;&lt;wsp:rsid wsp:val=&quot;005B41AC&quot;/&gt;&lt;wsp:rsid wsp:val=&quot;005B49D7&quot;/&gt;&lt;wsp:rsid wsp:val=&quot;005B4F09&quot;/&gt;&lt;wsp:rsid wsp:val=&quot;005B58FD&quot;/&gt;&lt;wsp:rsid wsp:val=&quot;005B6115&quot;/&gt;&lt;wsp:rsid wsp:val=&quot;005B6256&quot;/&gt;&lt;wsp:rsid wsp:val=&quot;005B640B&quot;/&gt;&lt;wsp:rsid wsp:val=&quot;005B6F17&quot;/&gt;&lt;wsp:rsid wsp:val=&quot;005B7B27&quot;/&gt;&lt;wsp:rsid wsp:val=&quot;005B7F27&quot;/&gt;&lt;wsp:rsid wsp:val=&quot;005C08D1&quot;/&gt;&lt;wsp:rsid wsp:val=&quot;005C0B25&quot;/&gt;&lt;wsp:rsid wsp:val=&quot;005C0F82&quot;/&gt;&lt;wsp:rsid wsp:val=&quot;005C18C0&quot;/&gt;&lt;wsp:rsid wsp:val=&quot;005C1BC4&quot;/&gt;&lt;wsp:rsid wsp:val=&quot;005C2CB7&quot;/&gt;&lt;wsp:rsid wsp:val=&quot;005C328D&quot;/&gt;&lt;wsp:rsid wsp:val=&quot;005C34B9&quot;/&gt;&lt;wsp:rsid wsp:val=&quot;005C370D&quot;/&gt;&lt;wsp:rsid wsp:val=&quot;005C3B46&quot;/&gt;&lt;wsp:rsid wsp:val=&quot;005C3C94&quot;/&gt;&lt;wsp:rsid wsp:val=&quot;005C41AE&quot;/&gt;&lt;wsp:rsid wsp:val=&quot;005C420F&quot;/&gt;&lt;wsp:rsid wsp:val=&quot;005C4431&quot;/&gt;&lt;wsp:rsid wsp:val=&quot;005C45E7&quot;/&gt;&lt;wsp:rsid wsp:val=&quot;005C4E26&quot;/&gt;&lt;wsp:rsid wsp:val=&quot;005C559E&quot;/&gt;&lt;wsp:rsid wsp:val=&quot;005C5CAA&quot;/&gt;&lt;wsp:rsid wsp:val=&quot;005C5E3B&quot;/&gt;&lt;wsp:rsid wsp:val=&quot;005C5F32&quot;/&gt;&lt;wsp:rsid wsp:val=&quot;005C658B&quot;/&gt;&lt;wsp:rsid wsp:val=&quot;005C6A0D&quot;/&gt;&lt;wsp:rsid wsp:val=&quot;005C6A61&quot;/&gt;&lt;wsp:rsid wsp:val=&quot;005C6AE5&quot;/&gt;&lt;wsp:rsid wsp:val=&quot;005C6C28&quot;/&gt;&lt;wsp:rsid wsp:val=&quot;005C6CAC&quot;/&gt;&lt;wsp:rsid wsp:val=&quot;005C6FFE&quot;/&gt;&lt;wsp:rsid wsp:val=&quot;005C72DD&quot;/&gt;&lt;wsp:rsid wsp:val=&quot;005C75D9&quot;/&gt;&lt;wsp:rsid wsp:val=&quot;005C7BE8&quot;/&gt;&lt;wsp:rsid wsp:val=&quot;005C7F30&quot;/&gt;&lt;wsp:rsid wsp:val=&quot;005D0161&quot;/&gt;&lt;wsp:rsid wsp:val=&quot;005D06F5&quot;/&gt;&lt;wsp:rsid wsp:val=&quot;005D0DF7&quot;/&gt;&lt;wsp:rsid wsp:val=&quot;005D1169&quot;/&gt;&lt;wsp:rsid wsp:val=&quot;005D129B&quot;/&gt;&lt;wsp:rsid wsp:val=&quot;005D137F&quot;/&gt;&lt;wsp:rsid wsp:val=&quot;005D1459&quot;/&gt;&lt;wsp:rsid wsp:val=&quot;005D1906&quot;/&gt;&lt;wsp:rsid wsp:val=&quot;005D1B80&quot;/&gt;&lt;wsp:rsid wsp:val=&quot;005D1C8E&quot;/&gt;&lt;wsp:rsid wsp:val=&quot;005D1FC4&quot;/&gt;&lt;wsp:rsid wsp:val=&quot;005D1FDB&quot;/&gt;&lt;wsp:rsid wsp:val=&quot;005D2023&quot;/&gt;&lt;wsp:rsid wsp:val=&quot;005D2374&quot;/&gt;&lt;wsp:rsid wsp:val=&quot;005D24B3&quot;/&gt;&lt;wsp:rsid wsp:val=&quot;005D264A&quot;/&gt;&lt;wsp:rsid wsp:val=&quot;005D2F67&quot;/&gt;&lt;wsp:rsid wsp:val=&quot;005D30BA&quot;/&gt;&lt;wsp:rsid wsp:val=&quot;005D3CBD&quot;/&gt;&lt;wsp:rsid wsp:val=&quot;005D42FD&quot;/&gt;&lt;wsp:rsid wsp:val=&quot;005D43C9&quot;/&gt;&lt;wsp:rsid wsp:val=&quot;005D44A3&quot;/&gt;&lt;wsp:rsid wsp:val=&quot;005D4961&quot;/&gt;&lt;wsp:rsid wsp:val=&quot;005D4A3A&quot;/&gt;&lt;wsp:rsid wsp:val=&quot;005D4DBD&quot;/&gt;&lt;wsp:rsid wsp:val=&quot;005D5749&quot;/&gt;&lt;wsp:rsid wsp:val=&quot;005D594C&quot;/&gt;&lt;wsp:rsid wsp:val=&quot;005D6191&quot;/&gt;&lt;wsp:rsid wsp:val=&quot;005D633F&quot;/&gt;&lt;wsp:rsid wsp:val=&quot;005D6389&quot;/&gt;&lt;wsp:rsid wsp:val=&quot;005D6976&quot;/&gt;&lt;wsp:rsid wsp:val=&quot;005D6CF8&quot;/&gt;&lt;wsp:rsid wsp:val=&quot;005D6D76&quot;/&gt;&lt;wsp:rsid wsp:val=&quot;005D6FD0&quot;/&gt;&lt;wsp:rsid wsp:val=&quot;005D771B&quot;/&gt;&lt;wsp:rsid wsp:val=&quot;005D7B22&quot;/&gt;&lt;wsp:rsid wsp:val=&quot;005E0863&quot;/&gt;&lt;wsp:rsid wsp:val=&quot;005E0A6B&quot;/&gt;&lt;wsp:rsid wsp:val=&quot;005E0B99&quot;/&gt;&lt;wsp:rsid wsp:val=&quot;005E14A7&quot;/&gt;&lt;wsp:rsid wsp:val=&quot;005E1736&quot;/&gt;&lt;wsp:rsid wsp:val=&quot;005E1BB1&quot;/&gt;&lt;wsp:rsid wsp:val=&quot;005E1C17&quot;/&gt;&lt;wsp:rsid wsp:val=&quot;005E204B&quot;/&gt;&lt;wsp:rsid wsp:val=&quot;005E2CA9&quot;/&gt;&lt;wsp:rsid wsp:val=&quot;005E3323&quot;/&gt;&lt;wsp:rsid wsp:val=&quot;005E3615&quot;/&gt;&lt;wsp:rsid wsp:val=&quot;005E42A4&quot;/&gt;&lt;wsp:rsid wsp:val=&quot;005E46F9&quot;/&gt;&lt;wsp:rsid wsp:val=&quot;005E522D&quot;/&gt;&lt;wsp:rsid wsp:val=&quot;005E5623&quot;/&gt;&lt;wsp:rsid wsp:val=&quot;005E576F&quot;/&gt;&lt;wsp:rsid wsp:val=&quot;005E5958&quot;/&gt;&lt;wsp:rsid wsp:val=&quot;005E595D&quot;/&gt;&lt;wsp:rsid wsp:val=&quot;005E5CB6&quot;/&gt;&lt;wsp:rsid wsp:val=&quot;005E6340&quot;/&gt;&lt;wsp:rsid wsp:val=&quot;005E6552&quot;/&gt;&lt;wsp:rsid wsp:val=&quot;005E6604&quot;/&gt;&lt;wsp:rsid wsp:val=&quot;005E67FE&quot;/&gt;&lt;wsp:rsid wsp:val=&quot;005E6B92&quot;/&gt;&lt;wsp:rsid wsp:val=&quot;005E6E4A&quot;/&gt;&lt;wsp:rsid wsp:val=&quot;005E70F7&quot;/&gt;&lt;wsp:rsid wsp:val=&quot;005E77E6&quot;/&gt;&lt;wsp:rsid wsp:val=&quot;005E7D46&quot;/&gt;&lt;wsp:rsid wsp:val=&quot;005F0AA5&quot;/&gt;&lt;wsp:rsid wsp:val=&quot;005F0C74&quot;/&gt;&lt;wsp:rsid wsp:val=&quot;005F0D8A&quot;/&gt;&lt;wsp:rsid wsp:val=&quot;005F118F&quot;/&gt;&lt;wsp:rsid wsp:val=&quot;005F14A6&quot;/&gt;&lt;wsp:rsid wsp:val=&quot;005F17A0&quot;/&gt;&lt;wsp:rsid wsp:val=&quot;005F1918&quot;/&gt;&lt;wsp:rsid wsp:val=&quot;005F19FE&quot;/&gt;&lt;wsp:rsid wsp:val=&quot;005F1C12&quot;/&gt;&lt;wsp:rsid wsp:val=&quot;005F1E27&quot;/&gt;&lt;wsp:rsid wsp:val=&quot;005F2021&quot;/&gt;&lt;wsp:rsid wsp:val=&quot;005F208D&quot;/&gt;&lt;wsp:rsid wsp:val=&quot;005F2193&quot;/&gt;&lt;wsp:rsid wsp:val=&quot;005F27FB&quot;/&gt;&lt;wsp:rsid wsp:val=&quot;005F2E5A&quot;/&gt;&lt;wsp:rsid wsp:val=&quot;005F339C&quot;/&gt;&lt;wsp:rsid wsp:val=&quot;005F33B7&quot;/&gt;&lt;wsp:rsid wsp:val=&quot;005F3406&quot;/&gt;&lt;wsp:rsid wsp:val=&quot;005F39DA&quot;/&gt;&lt;wsp:rsid wsp:val=&quot;005F3B6D&quot;/&gt;&lt;wsp:rsid wsp:val=&quot;005F3BD3&quot;/&gt;&lt;wsp:rsid wsp:val=&quot;005F45EB&quot;/&gt;&lt;wsp:rsid wsp:val=&quot;005F469B&quot;/&gt;&lt;wsp:rsid wsp:val=&quot;005F4D5C&quot;/&gt;&lt;wsp:rsid wsp:val=&quot;005F543C&quot;/&gt;&lt;wsp:rsid wsp:val=&quot;005F5823&quot;/&gt;&lt;wsp:rsid wsp:val=&quot;005F5DCD&quot;/&gt;&lt;wsp:rsid wsp:val=&quot;005F5FB8&quot;/&gt;&lt;wsp:rsid wsp:val=&quot;005F63DD&quot;/&gt;&lt;wsp:rsid wsp:val=&quot;005F6614&quot;/&gt;&lt;wsp:rsid wsp:val=&quot;005F6CB8&quot;/&gt;&lt;wsp:rsid wsp:val=&quot;005F746D&quot;/&gt;&lt;wsp:rsid wsp:val=&quot;005F75FF&quot;/&gt;&lt;wsp:rsid wsp:val=&quot;005F787D&quot;/&gt;&lt;wsp:rsid wsp:val=&quot;00600022&quot;/&gt;&lt;wsp:rsid wsp:val=&quot;006003B1&quot;/&gt;&lt;wsp:rsid wsp:val=&quot;0060088E&quot;/&gt;&lt;wsp:rsid wsp:val=&quot;00601213&quot;/&gt;&lt;wsp:rsid wsp:val=&quot;0060178D&quot;/&gt;&lt;wsp:rsid wsp:val=&quot;00601825&quot;/&gt;&lt;wsp:rsid wsp:val=&quot;00601F04&quot;/&gt;&lt;wsp:rsid wsp:val=&quot;0060217A&quot;/&gt;&lt;wsp:rsid wsp:val=&quot;006026AB&quot;/&gt;&lt;wsp:rsid wsp:val=&quot;00602745&quot;/&gt;&lt;wsp:rsid wsp:val=&quot;00602D49&quot;/&gt;&lt;wsp:rsid wsp:val=&quot;00603DF0&quot;/&gt;&lt;wsp:rsid wsp:val=&quot;00603F6F&quot;/&gt;&lt;wsp:rsid wsp:val=&quot;006040C6&quot;/&gt;&lt;wsp:rsid wsp:val=&quot;006049CB&quot;/&gt;&lt;wsp:rsid wsp:val=&quot;00605873&quot;/&gt;&lt;wsp:rsid wsp:val=&quot;0060639E&quot;/&gt;&lt;wsp:rsid wsp:val=&quot;00606620&quot;/&gt;&lt;wsp:rsid wsp:val=&quot;0060664F&quot;/&gt;&lt;wsp:rsid wsp:val=&quot;006068F0&quot;/&gt;&lt;wsp:rsid wsp:val=&quot;00606C1E&quot;/&gt;&lt;wsp:rsid wsp:val=&quot;00606DBC&quot;/&gt;&lt;wsp:rsid wsp:val=&quot;0060750E&quot;/&gt;&lt;wsp:rsid wsp:val=&quot;00607635&quot;/&gt;&lt;wsp:rsid wsp:val=&quot;006076D3&quot;/&gt;&lt;wsp:rsid wsp:val=&quot;0060798F&quot;/&gt;&lt;wsp:rsid wsp:val=&quot;00607AF8&quot;/&gt;&lt;wsp:rsid wsp:val=&quot;00607F3B&quot;/&gt;&lt;wsp:rsid wsp:val=&quot;0061002D&quot;/&gt;&lt;wsp:rsid wsp:val=&quot;006106F8&quot;/&gt;&lt;wsp:rsid wsp:val=&quot;0061090B&quot;/&gt;&lt;wsp:rsid wsp:val=&quot;00610AE0&quot;/&gt;&lt;wsp:rsid wsp:val=&quot;00610B84&quot;/&gt;&lt;wsp:rsid wsp:val=&quot;00610E25&quot;/&gt;&lt;wsp:rsid wsp:val=&quot;00611080&quot;/&gt;&lt;wsp:rsid wsp:val=&quot;0061146F&quot;/&gt;&lt;wsp:rsid wsp:val=&quot;0061160E&quot;/&gt;&lt;wsp:rsid wsp:val=&quot;00611639&quot;/&gt;&lt;wsp:rsid wsp:val=&quot;00611773&quot;/&gt;&lt;wsp:rsid wsp:val=&quot;00611AE2&quot;/&gt;&lt;wsp:rsid wsp:val=&quot;00611FC7&quot;/&gt;&lt;wsp:rsid wsp:val=&quot;006126BC&quot;/&gt;&lt;wsp:rsid wsp:val=&quot;00612776&quot;/&gt;&lt;wsp:rsid wsp:val=&quot;00613032&quot;/&gt;&lt;wsp:rsid wsp:val=&quot;00613079&quot;/&gt;&lt;wsp:rsid wsp:val=&quot;00613328&quot;/&gt;&lt;wsp:rsid wsp:val=&quot;0061352F&quot;/&gt;&lt;wsp:rsid wsp:val=&quot;00614418&quot;/&gt;&lt;wsp:rsid wsp:val=&quot;00614958&quot;/&gt;&lt;wsp:rsid wsp:val=&quot;00614AA5&quot;/&gt;&lt;wsp:rsid wsp:val=&quot;00615010&quot;/&gt;&lt;wsp:rsid wsp:val=&quot;00615105&quot;/&gt;&lt;wsp:rsid wsp:val=&quot;0061576D&quot;/&gt;&lt;wsp:rsid wsp:val=&quot;00615958&quot;/&gt;&lt;wsp:rsid wsp:val=&quot;00615A20&quot;/&gt;&lt;wsp:rsid wsp:val=&quot;00616625&quot;/&gt;&lt;wsp:rsid wsp:val=&quot;00616CB0&quot;/&gt;&lt;wsp:rsid wsp:val=&quot;006174E0&quot;/&gt;&lt;wsp:rsid wsp:val=&quot;00617EAB&quot;/&gt;&lt;wsp:rsid wsp:val=&quot;006203E0&quot;/&gt;&lt;wsp:rsid wsp:val=&quot;006204AC&quot;/&gt;&lt;wsp:rsid wsp:val=&quot;00620EBF&quot;/&gt;&lt;wsp:rsid wsp:val=&quot;0062122B&quot;/&gt;&lt;wsp:rsid wsp:val=&quot;006217B6&quot;/&gt;&lt;wsp:rsid wsp:val=&quot;00621956&quot;/&gt;&lt;wsp:rsid wsp:val=&quot;00621CEE&quot;/&gt;&lt;wsp:rsid wsp:val=&quot;006222B1&quot;/&gt;&lt;wsp:rsid wsp:val=&quot;00622BA2&quot;/&gt;&lt;wsp:rsid wsp:val=&quot;00623098&quot;/&gt;&lt;wsp:rsid wsp:val=&quot;0062325C&quot;/&gt;&lt;wsp:rsid wsp:val=&quot;00623836&quot;/&gt;&lt;wsp:rsid wsp:val=&quot;006238A4&quot;/&gt;&lt;wsp:rsid wsp:val=&quot;0062390B&quot;/&gt;&lt;wsp:rsid wsp:val=&quot;00623C7F&quot;/&gt;&lt;wsp:rsid wsp:val=&quot;0062429A&quot;/&gt;&lt;wsp:rsid wsp:val=&quot;00624351&quot;/&gt;&lt;wsp:rsid wsp:val=&quot;00624AFE&quot;/&gt;&lt;wsp:rsid wsp:val=&quot;00624F5B&quot;/&gt;&lt;wsp:rsid wsp:val=&quot;00624FE6&quot;/&gt;&lt;wsp:rsid wsp:val=&quot;0062522B&quot;/&gt;&lt;wsp:rsid wsp:val=&quot;006254C8&quot;/&gt;&lt;wsp:rsid wsp:val=&quot;00625899&quot;/&gt;&lt;wsp:rsid wsp:val=&quot;00625B56&quot;/&gt;&lt;wsp:rsid wsp:val=&quot;00625E52&quot;/&gt;&lt;wsp:rsid wsp:val=&quot;00625F08&quot;/&gt;&lt;wsp:rsid wsp:val=&quot;006260FF&quot;/&gt;&lt;wsp:rsid wsp:val=&quot;00626169&quot;/&gt;&lt;wsp:rsid wsp:val=&quot;0062616A&quot;/&gt;&lt;wsp:rsid wsp:val=&quot;006266BC&quot;/&gt;&lt;wsp:rsid wsp:val=&quot;0062673E&quot;/&gt;&lt;wsp:rsid wsp:val=&quot;006268AC&quot;/&gt;&lt;wsp:rsid wsp:val=&quot;00626CD1&quot;/&gt;&lt;wsp:rsid wsp:val=&quot;00627275&quot;/&gt;&lt;wsp:rsid wsp:val=&quot;006272F8&quot;/&gt;&lt;wsp:rsid wsp:val=&quot;00627397&quot;/&gt;&lt;wsp:rsid wsp:val=&quot;006278A0&quot;/&gt;&lt;wsp:rsid wsp:val=&quot;00627E6D&quot;/&gt;&lt;wsp:rsid wsp:val=&quot;00627F1D&quot;/&gt;&lt;wsp:rsid wsp:val=&quot;00630057&quot;/&gt;&lt;wsp:rsid wsp:val=&quot;00630100&quot;/&gt;&lt;wsp:rsid wsp:val=&quot;00630483&quot;/&gt;&lt;wsp:rsid wsp:val=&quot;006307DE&quot;/&gt;&lt;wsp:rsid wsp:val=&quot;006309F5&quot;/&gt;&lt;wsp:rsid wsp:val=&quot;00630F1A&quot;/&gt;&lt;wsp:rsid wsp:val=&quot;00630F30&quot;/&gt;&lt;wsp:rsid wsp:val=&quot;00631626&quot;/&gt;&lt;wsp:rsid wsp:val=&quot;00631674&quot;/&gt;&lt;wsp:rsid wsp:val=&quot;00631A16&quot;/&gt;&lt;wsp:rsid wsp:val=&quot;00631ACC&quot;/&gt;&lt;wsp:rsid wsp:val=&quot;00631DD4&quot;/&gt;&lt;wsp:rsid wsp:val=&quot;006321A9&quot;/&gt;&lt;wsp:rsid wsp:val=&quot;006323B8&quot;/&gt;&lt;wsp:rsid wsp:val=&quot;006324CC&quot;/&gt;&lt;wsp:rsid wsp:val=&quot;00632919&quot;/&gt;&lt;wsp:rsid wsp:val=&quot;00632F23&quot;/&gt;&lt;wsp:rsid wsp:val=&quot;00633364&quot;/&gt;&lt;wsp:rsid wsp:val=&quot;00633717&quot;/&gt;&lt;wsp:rsid wsp:val=&quot;00633854&quot;/&gt;&lt;wsp:rsid wsp:val=&quot;00633A9D&quot;/&gt;&lt;wsp:rsid wsp:val=&quot;00633B40&quot;/&gt;&lt;wsp:rsid wsp:val=&quot;00633F5B&quot;/&gt;&lt;wsp:rsid wsp:val=&quot;006345B2&quot;/&gt;&lt;wsp:rsid wsp:val=&quot;006345D4&quot;/&gt;&lt;wsp:rsid wsp:val=&quot;00634AB8&quot;/&gt;&lt;wsp:rsid wsp:val=&quot;00634F70&quot;/&gt;&lt;wsp:rsid wsp:val=&quot;006353D6&quot;/&gt;&lt;wsp:rsid wsp:val=&quot;00635480&quot;/&gt;&lt;wsp:rsid wsp:val=&quot;006356BC&quot;/&gt;&lt;wsp:rsid wsp:val=&quot;00635721&quot;/&gt;&lt;wsp:rsid wsp:val=&quot;00635A70&quot;/&gt;&lt;wsp:rsid wsp:val=&quot;00635C59&quot;/&gt;&lt;wsp:rsid wsp:val=&quot;00635E78&quot;/&gt;&lt;wsp:rsid wsp:val=&quot;00635ECA&quot;/&gt;&lt;wsp:rsid wsp:val=&quot;00636053&quot;/&gt;&lt;wsp:rsid wsp:val=&quot;006367D8&quot;/&gt;&lt;wsp:rsid wsp:val=&quot;0063695C&quot;/&gt;&lt;wsp:rsid wsp:val=&quot;006377F7&quot;/&gt;&lt;wsp:rsid wsp:val=&quot;006379FB&quot;/&gt;&lt;wsp:rsid wsp:val=&quot;00637BA5&quot;/&gt;&lt;wsp:rsid wsp:val=&quot;006400EA&quot;/&gt;&lt;wsp:rsid wsp:val=&quot;00640262&quot;/&gt;&lt;wsp:rsid wsp:val=&quot;00640BF7&quot;/&gt;&lt;wsp:rsid wsp:val=&quot;00641264&quot;/&gt;&lt;wsp:rsid wsp:val=&quot;0064171A&quot;/&gt;&lt;wsp:rsid wsp:val=&quot;00641923&quot;/&gt;&lt;wsp:rsid wsp:val=&quot;00641BB9&quot;/&gt;&lt;wsp:rsid wsp:val=&quot;00641BF2&quot;/&gt;&lt;wsp:rsid wsp:val=&quot;00641E7A&quot;/&gt;&lt;wsp:rsid wsp:val=&quot;00641FFF&quot;/&gt;&lt;wsp:rsid wsp:val=&quot;00642073&quot;/&gt;&lt;wsp:rsid wsp:val=&quot;0064236C&quot;/&gt;&lt;wsp:rsid wsp:val=&quot;006428DA&quot;/&gt;&lt;wsp:rsid wsp:val=&quot;00642BC9&quot;/&gt;&lt;wsp:rsid wsp:val=&quot;00642E51&quot;/&gt;&lt;wsp:rsid wsp:val=&quot;006445CA&quot;/&gt;&lt;wsp:rsid wsp:val=&quot;00644AF2&quot;/&gt;&lt;wsp:rsid wsp:val=&quot;00644F8C&quot;/&gt;&lt;wsp:rsid wsp:val=&quot;00645119&quot;/&gt;&lt;wsp:rsid wsp:val=&quot;00645603&quot;/&gt;&lt;wsp:rsid wsp:val=&quot;0064573D&quot;/&gt;&lt;wsp:rsid wsp:val=&quot;00646174&quot;/&gt;&lt;wsp:rsid wsp:val=&quot;006461AD&quot;/&gt;&lt;wsp:rsid wsp:val=&quot;00646649&quot;/&gt;&lt;wsp:rsid wsp:val=&quot;00647911&quot;/&gt;&lt;wsp:rsid wsp:val=&quot;0064795B&quot;/&gt;&lt;wsp:rsid wsp:val=&quot;006479A6&quot;/&gt;&lt;wsp:rsid wsp:val=&quot;00647FA2&quot;/&gt;&lt;wsp:rsid wsp:val=&quot;00650059&quot;/&gt;&lt;wsp:rsid wsp:val=&quot;006501B2&quot;/&gt;&lt;wsp:rsid wsp:val=&quot;0065075A&quot;/&gt;&lt;wsp:rsid wsp:val=&quot;00650775&quot;/&gt;&lt;wsp:rsid wsp:val=&quot;00650D27&quot;/&gt;&lt;wsp:rsid wsp:val=&quot;00651019&quot;/&gt;&lt;wsp:rsid wsp:val=&quot;0065110B&quot;/&gt;&lt;wsp:rsid wsp:val=&quot;006511DA&quot;/&gt;&lt;wsp:rsid wsp:val=&quot;006513B0&quot;/&gt;&lt;wsp:rsid wsp:val=&quot;00651537&quot;/&gt;&lt;wsp:rsid wsp:val=&quot;00651850&quot;/&gt;&lt;wsp:rsid wsp:val=&quot;006519D7&quot;/&gt;&lt;wsp:rsid wsp:val=&quot;00651C1C&quot;/&gt;&lt;wsp:rsid wsp:val=&quot;00651C99&quot;/&gt;&lt;wsp:rsid wsp:val=&quot;00651CFF&quot;/&gt;&lt;wsp:rsid wsp:val=&quot;00651D91&quot;/&gt;&lt;wsp:rsid wsp:val=&quot;00652112&quot;/&gt;&lt;wsp:rsid wsp:val=&quot;0065215A&quot;/&gt;&lt;wsp:rsid wsp:val=&quot;006522EF&quot;/&gt;&lt;wsp:rsid wsp:val=&quot;006524FD&quot;/&gt;&lt;wsp:rsid wsp:val=&quot;0065253D&quot;/&gt;&lt;wsp:rsid wsp:val=&quot;006527CD&quot;/&gt;&lt;wsp:rsid wsp:val=&quot;00652926&quot;/&gt;&lt;wsp:rsid wsp:val=&quot;00652F11&quot;/&gt;&lt;wsp:rsid wsp:val=&quot;0065381F&quot;/&gt;&lt;wsp:rsid wsp:val=&quot;00653A42&quot;/&gt;&lt;wsp:rsid wsp:val=&quot;00653B69&quot;/&gt;&lt;wsp:rsid wsp:val=&quot;00653F61&quot;/&gt;&lt;wsp:rsid wsp:val=&quot;00654C40&quot;/&gt;&lt;wsp:rsid wsp:val=&quot;006550E7&quot;/&gt;&lt;wsp:rsid wsp:val=&quot;0065518C&quot;/&gt;&lt;wsp:rsid wsp:val=&quot;00655329&quot;/&gt;&lt;wsp:rsid wsp:val=&quot;00655713&quot;/&gt;&lt;wsp:rsid wsp:val=&quot;00655AB9&quot;/&gt;&lt;wsp:rsid wsp:val=&quot;00656160&quot;/&gt;&lt;wsp:rsid wsp:val=&quot;006564BF&quot;/&gt;&lt;wsp:rsid wsp:val=&quot;0065653C&quot;/&gt;&lt;wsp:rsid wsp:val=&quot;006568BB&quot;/&gt;&lt;wsp:rsid wsp:val=&quot;00656C0C&quot;/&gt;&lt;wsp:rsid wsp:val=&quot;00656C41&quot;/&gt;&lt;wsp:rsid wsp:val=&quot;00656DD0&quot;/&gt;&lt;wsp:rsid wsp:val=&quot;00656F60&quot;/&gt;&lt;wsp:rsid wsp:val=&quot;006572EB&quot;/&gt;&lt;wsp:rsid wsp:val=&quot;006572EE&quot;/&gt;&lt;wsp:rsid wsp:val=&quot;0065754F&quot;/&gt;&lt;wsp:rsid wsp:val=&quot;00657B4B&quot;/&gt;&lt;wsp:rsid wsp:val=&quot;00657C2E&quot;/&gt;&lt;wsp:rsid wsp:val=&quot;0066040A&quot;/&gt;&lt;wsp:rsid wsp:val=&quot;006612E3&quot;/&gt;&lt;wsp:rsid wsp:val=&quot;00661396&quot;/&gt;&lt;wsp:rsid wsp:val=&quot;00661656&quot;/&gt;&lt;wsp:rsid wsp:val=&quot;006616BB&quot;/&gt;&lt;wsp:rsid wsp:val=&quot;0066185F&quot;/&gt;&lt;wsp:rsid wsp:val=&quot;00661876&quot;/&gt;&lt;wsp:rsid wsp:val=&quot;006619F6&quot;/&gt;&lt;wsp:rsid wsp:val=&quot;00661A27&quot;/&gt;&lt;wsp:rsid wsp:val=&quot;00661A2D&quot;/&gt;&lt;wsp:rsid wsp:val=&quot;00661B76&quot;/&gt;&lt;wsp:rsid wsp:val=&quot;00661E49&quot;/&gt;&lt;wsp:rsid wsp:val=&quot;006620C1&quot;/&gt;&lt;wsp:rsid wsp:val=&quot;006620C2&quot;/&gt;&lt;wsp:rsid wsp:val=&quot;00662520&quot;/&gt;&lt;wsp:rsid wsp:val=&quot;006629AF&quot;/&gt;&lt;wsp:rsid wsp:val=&quot;00662DE2&quot;/&gt;&lt;wsp:rsid wsp:val=&quot;006631C5&quot;/&gt;&lt;wsp:rsid wsp:val=&quot;006631E6&quot;/&gt;&lt;wsp:rsid wsp:val=&quot;0066343C&quot;/&gt;&lt;wsp:rsid wsp:val=&quot;006634D2&quot;/&gt;&lt;wsp:rsid wsp:val=&quot;00663708&quot;/&gt;&lt;wsp:rsid wsp:val=&quot;00663C48&quot;/&gt;&lt;wsp:rsid wsp:val=&quot;00663FD9&quot;/&gt;&lt;wsp:rsid wsp:val=&quot;00664B08&quot;/&gt;&lt;wsp:rsid wsp:val=&quot;00665147&quot;/&gt;&lt;wsp:rsid wsp:val=&quot;00665890&quot;/&gt;&lt;wsp:rsid wsp:val=&quot;00665E0F&quot;/&gt;&lt;wsp:rsid wsp:val=&quot;006661B6&quot;/&gt;&lt;wsp:rsid wsp:val=&quot;00666443&quot;/&gt;&lt;wsp:rsid wsp:val=&quot;00667334&quot;/&gt;&lt;wsp:rsid wsp:val=&quot;00667DD7&quot;/&gt;&lt;wsp:rsid wsp:val=&quot;00667E22&quot;/&gt;&lt;wsp:rsid wsp:val=&quot;00670365&quot;/&gt;&lt;wsp:rsid wsp:val=&quot;00670647&quot;/&gt;&lt;wsp:rsid wsp:val=&quot;0067077C&quot;/&gt;&lt;wsp:rsid wsp:val=&quot;006707A6&quot;/&gt;&lt;wsp:rsid wsp:val=&quot;006709BD&quot;/&gt;&lt;wsp:rsid wsp:val=&quot;00670D86&quot;/&gt;&lt;wsp:rsid wsp:val=&quot;00670E40&quot;/&gt;&lt;wsp:rsid wsp:val=&quot;00670F7E&quot;/&gt;&lt;wsp:rsid wsp:val=&quot;006715F9&quot;/&gt;&lt;wsp:rsid wsp:val=&quot;00671CA5&quot;/&gt;&lt;wsp:rsid wsp:val=&quot;00671D3A&quot;/&gt;&lt;wsp:rsid wsp:val=&quot;006720C0&quot;/&gt;&lt;wsp:rsid wsp:val=&quot;00672B26&quot;/&gt;&lt;wsp:rsid wsp:val=&quot;006735C2&quot;/&gt;&lt;wsp:rsid wsp:val=&quot;00673A61&quot;/&gt;&lt;wsp:rsid wsp:val=&quot;00673B23&quot;/&gt;&lt;wsp:rsid wsp:val=&quot;00673BC0&quot;/&gt;&lt;wsp:rsid wsp:val=&quot;00673C64&quot;/&gt;&lt;wsp:rsid wsp:val=&quot;00673C85&quot;/&gt;&lt;wsp:rsid wsp:val=&quot;00673C99&quot;/&gt;&lt;wsp:rsid wsp:val=&quot;00673CA4&quot;/&gt;&lt;wsp:rsid wsp:val=&quot;00673D0D&quot;/&gt;&lt;wsp:rsid wsp:val=&quot;006746C2&quot;/&gt;&lt;wsp:rsid wsp:val=&quot;006748DF&quot;/&gt;&lt;wsp:rsid wsp:val=&quot;00674ED7&quot;/&gt;&lt;wsp:rsid wsp:val=&quot;00675021&quot;/&gt;&lt;wsp:rsid wsp:val=&quot;00675A2C&quot;/&gt;&lt;wsp:rsid wsp:val=&quot;00675B87&quot;/&gt;&lt;wsp:rsid wsp:val=&quot;00675C10&quot;/&gt;&lt;wsp:rsid wsp:val=&quot;006764A5&quot;/&gt;&lt;wsp:rsid wsp:val=&quot;006768C4&quot;/&gt;&lt;wsp:rsid wsp:val=&quot;006769AE&quot;/&gt;&lt;wsp:rsid wsp:val=&quot;00677720&quot;/&gt;&lt;wsp:rsid wsp:val=&quot;00677D3B&quot;/&gt;&lt;wsp:rsid wsp:val=&quot;00677DE3&quot;/&gt;&lt;wsp:rsid wsp:val=&quot;00677E79&quot;/&gt;&lt;wsp:rsid wsp:val=&quot;00680499&quot;/&gt;&lt;wsp:rsid wsp:val=&quot;0068057A&quot;/&gt;&lt;wsp:rsid wsp:val=&quot;00680AC8&quot;/&gt;&lt;wsp:rsid wsp:val=&quot;00680E26&quot;/&gt;&lt;wsp:rsid wsp:val=&quot;006810D0&quot;/&gt;&lt;wsp:rsid wsp:val=&quot;00681297&quot;/&gt;&lt;wsp:rsid wsp:val=&quot;006812F7&quot;/&gt;&lt;wsp:rsid wsp:val=&quot;0068192C&quot;/&gt;&lt;wsp:rsid wsp:val=&quot;006820C2&quot;/&gt;&lt;wsp:rsid wsp:val=&quot;006824B6&quot;/&gt;&lt;wsp:rsid wsp:val=&quot;00682581&quot;/&gt;&lt;wsp:rsid wsp:val=&quot;006825F9&quot;/&gt;&lt;wsp:rsid wsp:val=&quot;0068282E&quot;/&gt;&lt;wsp:rsid wsp:val=&quot;00682AAB&quot;/&gt;&lt;wsp:rsid wsp:val=&quot;00682EB9&quot;/&gt;&lt;wsp:rsid wsp:val=&quot;00682EC0&quot;/&gt;&lt;wsp:rsid wsp:val=&quot;00682FD9&quot;/&gt;&lt;wsp:rsid wsp:val=&quot;006830BB&quot;/&gt;&lt;wsp:rsid wsp:val=&quot;0068347B&quot;/&gt;&lt;wsp:rsid wsp:val=&quot;006838C8&quot;/&gt;&lt;wsp:rsid wsp:val=&quot;00683F23&quot;/&gt;&lt;wsp:rsid wsp:val=&quot;006847BF&quot;/&gt;&lt;wsp:rsid wsp:val=&quot;00684936&quot;/&gt;&lt;wsp:rsid wsp:val=&quot;0068524E&quot;/&gt;&lt;wsp:rsid wsp:val=&quot;00685288&quot;/&gt;&lt;wsp:rsid wsp:val=&quot;006852F9&quot;/&gt;&lt;wsp:rsid wsp:val=&quot;00685624&quot;/&gt;&lt;wsp:rsid wsp:val=&quot;006856D7&quot;/&gt;&lt;wsp:rsid wsp:val=&quot;006868B5&quot;/&gt;&lt;wsp:rsid wsp:val=&quot;006868E8&quot;/&gt;&lt;wsp:rsid wsp:val=&quot;00686D42&quot;/&gt;&lt;wsp:rsid wsp:val=&quot;00686D9A&quot;/&gt;&lt;wsp:rsid wsp:val=&quot;00686F2E&quot;/&gt;&lt;wsp:rsid wsp:val=&quot;00687E4D&quot;/&gt;&lt;wsp:rsid wsp:val=&quot;00690397&quot;/&gt;&lt;wsp:rsid wsp:val=&quot;006903E9&quot;/&gt;&lt;wsp:rsid wsp:val=&quot;006908B7&quot;/&gt;&lt;wsp:rsid wsp:val=&quot;00690A5C&quot;/&gt;&lt;wsp:rsid wsp:val=&quot;00691134&quot;/&gt;&lt;wsp:rsid wsp:val=&quot;0069185A&quot;/&gt;&lt;wsp:rsid wsp:val=&quot;00691880&quot;/&gt;&lt;wsp:rsid wsp:val=&quot;00691998&quot;/&gt;&lt;wsp:rsid wsp:val=&quot;00691BCC&quot;/&gt;&lt;wsp:rsid wsp:val=&quot;00691D15&quot;/&gt;&lt;wsp:rsid wsp:val=&quot;00691E38&quot;/&gt;&lt;wsp:rsid wsp:val=&quot;00692158&quot;/&gt;&lt;wsp:rsid wsp:val=&quot;006923A0&quot;/&gt;&lt;wsp:rsid wsp:val=&quot;00692659&quot;/&gt;&lt;wsp:rsid wsp:val=&quot;00692887&quot;/&gt;&lt;wsp:rsid wsp:val=&quot;00692CD1&quot;/&gt;&lt;wsp:rsid wsp:val=&quot;0069330D&quot;/&gt;&lt;wsp:rsid wsp:val=&quot;00693674&quot;/&gt;&lt;wsp:rsid wsp:val=&quot;00693B5D&quot;/&gt;&lt;wsp:rsid wsp:val=&quot;00694354&quot;/&gt;&lt;wsp:rsid wsp:val=&quot;0069436A&quot;/&gt;&lt;wsp:rsid wsp:val=&quot;006945D9&quot;/&gt;&lt;wsp:rsid wsp:val=&quot;006946CE&quot;/&gt;&lt;wsp:rsid wsp:val=&quot;0069472F&quot;/&gt;&lt;wsp:rsid wsp:val=&quot;00694887&quot;/&gt;&lt;wsp:rsid wsp:val=&quot;00694A28&quot;/&gt;&lt;wsp:rsid wsp:val=&quot;00694B46&quot;/&gt;&lt;wsp:rsid wsp:val=&quot;00695C97&quot;/&gt;&lt;wsp:rsid wsp:val=&quot;00696C38&quot;/&gt;&lt;wsp:rsid wsp:val=&quot;0069716A&quot;/&gt;&lt;wsp:rsid wsp:val=&quot;006971C5&quot;/&gt;&lt;wsp:rsid wsp:val=&quot;0069725D&quot;/&gt;&lt;wsp:rsid wsp:val=&quot;00697721&quot;/&gt;&lt;wsp:rsid wsp:val=&quot;00697BA0&quot;/&gt;&lt;wsp:rsid wsp:val=&quot;00697C70&quot;/&gt;&lt;wsp:rsid wsp:val=&quot;00697E3B&quot;/&gt;&lt;wsp:rsid wsp:val=&quot;006A0054&quot;/&gt;&lt;wsp:rsid wsp:val=&quot;006A016A&quot;/&gt;&lt;wsp:rsid wsp:val=&quot;006A08A8&quot;/&gt;&lt;wsp:rsid wsp:val=&quot;006A0A08&quot;/&gt;&lt;wsp:rsid wsp:val=&quot;006A0ACA&quot;/&gt;&lt;wsp:rsid wsp:val=&quot;006A0BDF&quot;/&gt;&lt;wsp:rsid wsp:val=&quot;006A1414&quot;/&gt;&lt;wsp:rsid wsp:val=&quot;006A149F&quot;/&gt;&lt;wsp:rsid wsp:val=&quot;006A1FF2&quot;/&gt;&lt;wsp:rsid wsp:val=&quot;006A21A6&quot;/&gt;&lt;wsp:rsid wsp:val=&quot;006A21C7&quot;/&gt;&lt;wsp:rsid wsp:val=&quot;006A23FF&quot;/&gt;&lt;wsp:rsid wsp:val=&quot;006A29E8&quot;/&gt;&lt;wsp:rsid wsp:val=&quot;006A2DD9&quot;/&gt;&lt;wsp:rsid wsp:val=&quot;006A3480&quot;/&gt;&lt;wsp:rsid wsp:val=&quot;006A36AF&quot;/&gt;&lt;wsp:rsid wsp:val=&quot;006A3C93&quot;/&gt;&lt;wsp:rsid wsp:val=&quot;006A3CCD&quot;/&gt;&lt;wsp:rsid wsp:val=&quot;006A3DF4&quot;/&gt;&lt;wsp:rsid wsp:val=&quot;006A445A&quot;/&gt;&lt;wsp:rsid wsp:val=&quot;006A4509&quot;/&gt;&lt;wsp:rsid wsp:val=&quot;006A487D&quot;/&gt;&lt;wsp:rsid wsp:val=&quot;006A4D60&quot;/&gt;&lt;wsp:rsid wsp:val=&quot;006A5960&quot;/&gt;&lt;wsp:rsid wsp:val=&quot;006A5C72&quot;/&gt;&lt;wsp:rsid wsp:val=&quot;006A5DB7&quot;/&gt;&lt;wsp:rsid wsp:val=&quot;006A5EB6&quot;/&gt;&lt;wsp:rsid wsp:val=&quot;006A61E7&quot;/&gt;&lt;wsp:rsid wsp:val=&quot;006A6408&quot;/&gt;&lt;wsp:rsid wsp:val=&quot;006A6465&quot;/&gt;&lt;wsp:rsid wsp:val=&quot;006A6B67&quot;/&gt;&lt;wsp:rsid wsp:val=&quot;006A6BEA&quot;/&gt;&lt;wsp:rsid wsp:val=&quot;006A6F1D&quot;/&gt;&lt;wsp:rsid wsp:val=&quot;006A70E9&quot;/&gt;&lt;wsp:rsid wsp:val=&quot;006A71F3&quot;/&gt;&lt;wsp:rsid wsp:val=&quot;006A7813&quot;/&gt;&lt;wsp:rsid wsp:val=&quot;006A79DD&quot;/&gt;&lt;wsp:rsid wsp:val=&quot;006A7CD4&quot;/&gt;&lt;wsp:rsid wsp:val=&quot;006A7EED&quot;/&gt;&lt;wsp:rsid wsp:val=&quot;006B022A&quot;/&gt;&lt;wsp:rsid wsp:val=&quot;006B0304&quot;/&gt;&lt;wsp:rsid wsp:val=&quot;006B035B&quot;/&gt;&lt;wsp:rsid wsp:val=&quot;006B057E&quot;/&gt;&lt;wsp:rsid wsp:val=&quot;006B071E&quot;/&gt;&lt;wsp:rsid wsp:val=&quot;006B0C4E&quot;/&gt;&lt;wsp:rsid wsp:val=&quot;006B0EEB&quot;/&gt;&lt;wsp:rsid wsp:val=&quot;006B11E3&quot;/&gt;&lt;wsp:rsid wsp:val=&quot;006B14DF&quot;/&gt;&lt;wsp:rsid wsp:val=&quot;006B155E&quot;/&gt;&lt;wsp:rsid wsp:val=&quot;006B1C89&quot;/&gt;&lt;wsp:rsid wsp:val=&quot;006B27F3&quot;/&gt;&lt;wsp:rsid wsp:val=&quot;006B299B&quot;/&gt;&lt;wsp:rsid wsp:val=&quot;006B2DCB&quot;/&gt;&lt;wsp:rsid wsp:val=&quot;006B31E9&quot;/&gt;&lt;wsp:rsid wsp:val=&quot;006B3308&quot;/&gt;&lt;wsp:rsid wsp:val=&quot;006B3A82&quot;/&gt;&lt;wsp:rsid wsp:val=&quot;006B4581&quot;/&gt;&lt;wsp:rsid wsp:val=&quot;006B4C4D&quot;/&gt;&lt;wsp:rsid wsp:val=&quot;006B507D&quot;/&gt;&lt;wsp:rsid wsp:val=&quot;006B5198&quot;/&gt;&lt;wsp:rsid wsp:val=&quot;006B550A&quot;/&gt;&lt;wsp:rsid wsp:val=&quot;006B5554&quot;/&gt;&lt;wsp:rsid wsp:val=&quot;006B581E&quot;/&gt;&lt;wsp:rsid wsp:val=&quot;006B625E&quot;/&gt;&lt;wsp:rsid wsp:val=&quot;006B6323&quot;/&gt;&lt;wsp:rsid wsp:val=&quot;006B66D2&quot;/&gt;&lt;wsp:rsid wsp:val=&quot;006B6A1C&quot;/&gt;&lt;wsp:rsid wsp:val=&quot;006B6A3F&quot;/&gt;&lt;wsp:rsid wsp:val=&quot;006B713A&quot;/&gt;&lt;wsp:rsid wsp:val=&quot;006B7200&quot;/&gt;&lt;wsp:rsid wsp:val=&quot;006B7571&quot;/&gt;&lt;wsp:rsid wsp:val=&quot;006B7F1D&quot;/&gt;&lt;wsp:rsid wsp:val=&quot;006C0318&quot;/&gt;&lt;wsp:rsid wsp:val=&quot;006C056A&quot;/&gt;&lt;wsp:rsid wsp:val=&quot;006C0A8E&quot;/&gt;&lt;wsp:rsid wsp:val=&quot;006C1745&quot;/&gt;&lt;wsp:rsid wsp:val=&quot;006C1A0F&quot;/&gt;&lt;wsp:rsid wsp:val=&quot;006C1BED&quot;/&gt;&lt;wsp:rsid wsp:val=&quot;006C1EC1&quot;/&gt;&lt;wsp:rsid wsp:val=&quot;006C2556&quot;/&gt;&lt;wsp:rsid wsp:val=&quot;006C2AA6&quot;/&gt;&lt;wsp:rsid wsp:val=&quot;006C30CA&quot;/&gt;&lt;wsp:rsid wsp:val=&quot;006C3133&quot;/&gt;&lt;wsp:rsid wsp:val=&quot;006C3950&quot;/&gt;&lt;wsp:rsid wsp:val=&quot;006C3C0C&quot;/&gt;&lt;wsp:rsid wsp:val=&quot;006C3CE3&quot;/&gt;&lt;wsp:rsid wsp:val=&quot;006C3F9D&quot;/&gt;&lt;wsp:rsid wsp:val=&quot;006C40E6&quot;/&gt;&lt;wsp:rsid wsp:val=&quot;006C4346&quot;/&gt;&lt;wsp:rsid wsp:val=&quot;006C4834&quot;/&gt;&lt;wsp:rsid wsp:val=&quot;006C49B3&quot;/&gt;&lt;wsp:rsid wsp:val=&quot;006C4BBD&quot;/&gt;&lt;wsp:rsid wsp:val=&quot;006C50C4&quot;/&gt;&lt;wsp:rsid wsp:val=&quot;006C5269&quot;/&gt;&lt;wsp:rsid wsp:val=&quot;006C52D6&quot;/&gt;&lt;wsp:rsid wsp:val=&quot;006C5530&quot;/&gt;&lt;wsp:rsid wsp:val=&quot;006C5569&quot;/&gt;&lt;wsp:rsid wsp:val=&quot;006C5583&quot;/&gt;&lt;wsp:rsid wsp:val=&quot;006C5932&quot;/&gt;&lt;wsp:rsid wsp:val=&quot;006C5964&quot;/&gt;&lt;wsp:rsid wsp:val=&quot;006C5A1D&quot;/&gt;&lt;wsp:rsid wsp:val=&quot;006C5F60&quot;/&gt;&lt;wsp:rsid wsp:val=&quot;006C6254&quot;/&gt;&lt;wsp:rsid wsp:val=&quot;006C6307&quot;/&gt;&lt;wsp:rsid wsp:val=&quot;006C633E&quot;/&gt;&lt;wsp:rsid wsp:val=&quot;006C66B5&quot;/&gt;&lt;wsp:rsid wsp:val=&quot;006C694A&quot;/&gt;&lt;wsp:rsid wsp:val=&quot;006C6C6D&quot;/&gt;&lt;wsp:rsid wsp:val=&quot;006C6E03&quot;/&gt;&lt;wsp:rsid wsp:val=&quot;006C7B1C&quot;/&gt;&lt;wsp:rsid wsp:val=&quot;006C7C21&quot;/&gt;&lt;wsp:rsid wsp:val=&quot;006C7C95&quot;/&gt;&lt;wsp:rsid wsp:val=&quot;006C7CA8&quot;/&gt;&lt;wsp:rsid wsp:val=&quot;006D026F&quot;/&gt;&lt;wsp:rsid wsp:val=&quot;006D0289&quot;/&gt;&lt;wsp:rsid wsp:val=&quot;006D0436&quot;/&gt;&lt;wsp:rsid wsp:val=&quot;006D0666&quot;/&gt;&lt;wsp:rsid wsp:val=&quot;006D0D51&quot;/&gt;&lt;wsp:rsid wsp:val=&quot;006D0DFE&quot;/&gt;&lt;wsp:rsid wsp:val=&quot;006D0E79&quot;/&gt;&lt;wsp:rsid wsp:val=&quot;006D1381&quot;/&gt;&lt;wsp:rsid wsp:val=&quot;006D15D4&quot;/&gt;&lt;wsp:rsid wsp:val=&quot;006D200F&quot;/&gt;&lt;wsp:rsid wsp:val=&quot;006D243F&quot;/&gt;&lt;wsp:rsid wsp:val=&quot;006D2ACA&quot;/&gt;&lt;wsp:rsid wsp:val=&quot;006D2D11&quot;/&gt;&lt;wsp:rsid wsp:val=&quot;006D2F98&quot;/&gt;&lt;wsp:rsid wsp:val=&quot;006D3723&quot;/&gt;&lt;wsp:rsid wsp:val=&quot;006D37DD&quot;/&gt;&lt;wsp:rsid wsp:val=&quot;006D3883&quot;/&gt;&lt;wsp:rsid wsp:val=&quot;006D3BF5&quot;/&gt;&lt;wsp:rsid wsp:val=&quot;006D3F06&quot;/&gt;&lt;wsp:rsid wsp:val=&quot;006D3F78&quot;/&gt;&lt;wsp:rsid wsp:val=&quot;006D40DB&quot;/&gt;&lt;wsp:rsid wsp:val=&quot;006D51DC&quot;/&gt;&lt;wsp:rsid wsp:val=&quot;006D5804&quot;/&gt;&lt;wsp:rsid wsp:val=&quot;006D58E0&quot;/&gt;&lt;wsp:rsid wsp:val=&quot;006D5B6A&quot;/&gt;&lt;wsp:rsid wsp:val=&quot;006D5D15&quot;/&gt;&lt;wsp:rsid wsp:val=&quot;006D6276&quot;/&gt;&lt;wsp:rsid wsp:val=&quot;006D637C&quot;/&gt;&lt;wsp:rsid wsp:val=&quot;006D67C8&quot;/&gt;&lt;wsp:rsid wsp:val=&quot;006D6909&quot;/&gt;&lt;wsp:rsid wsp:val=&quot;006D6A93&quot;/&gt;&lt;wsp:rsid wsp:val=&quot;006D7385&quot;/&gt;&lt;wsp:rsid wsp:val=&quot;006D76BA&quot;/&gt;&lt;wsp:rsid wsp:val=&quot;006D79BE&quot;/&gt;&lt;wsp:rsid wsp:val=&quot;006D7A1A&quot;/&gt;&lt;wsp:rsid wsp:val=&quot;006D7CE3&quot;/&gt;&lt;wsp:rsid wsp:val=&quot;006E033D&quot;/&gt;&lt;wsp:rsid wsp:val=&quot;006E057F&quot;/&gt;&lt;wsp:rsid wsp:val=&quot;006E0855&quot;/&gt;&lt;wsp:rsid wsp:val=&quot;006E0F3D&quot;/&gt;&lt;wsp:rsid wsp:val=&quot;006E141F&quot;/&gt;&lt;wsp:rsid wsp:val=&quot;006E160C&quot;/&gt;&lt;wsp:rsid wsp:val=&quot;006E1765&quot;/&gt;&lt;wsp:rsid wsp:val=&quot;006E197D&quot;/&gt;&lt;wsp:rsid wsp:val=&quot;006E220B&quot;/&gt;&lt;wsp:rsid wsp:val=&quot;006E2297&quot;/&gt;&lt;wsp:rsid wsp:val=&quot;006E22AE&quot;/&gt;&lt;wsp:rsid wsp:val=&quot;006E243F&quot;/&gt;&lt;wsp:rsid wsp:val=&quot;006E261D&quot;/&gt;&lt;wsp:rsid wsp:val=&quot;006E264D&quot;/&gt;&lt;wsp:rsid wsp:val=&quot;006E27E2&quot;/&gt;&lt;wsp:rsid wsp:val=&quot;006E2AF3&quot;/&gt;&lt;wsp:rsid wsp:val=&quot;006E32CD&quot;/&gt;&lt;wsp:rsid wsp:val=&quot;006E3497&quot;/&gt;&lt;wsp:rsid wsp:val=&quot;006E37C7&quot;/&gt;&lt;wsp:rsid wsp:val=&quot;006E416D&quot;/&gt;&lt;wsp:rsid wsp:val=&quot;006E4297&quot;/&gt;&lt;wsp:rsid wsp:val=&quot;006E42F1&quot;/&gt;&lt;wsp:rsid wsp:val=&quot;006E431B&quot;/&gt;&lt;wsp:rsid wsp:val=&quot;006E4344&quot;/&gt;&lt;wsp:rsid wsp:val=&quot;006E4423&quot;/&gt;&lt;wsp:rsid wsp:val=&quot;006E4903&quot;/&gt;&lt;wsp:rsid wsp:val=&quot;006E49B3&quot;/&gt;&lt;wsp:rsid wsp:val=&quot;006E4B97&quot;/&gt;&lt;wsp:rsid wsp:val=&quot;006E5214&quot;/&gt;&lt;wsp:rsid wsp:val=&quot;006E5581&quot;/&gt;&lt;wsp:rsid wsp:val=&quot;006E59EC&quot;/&gt;&lt;wsp:rsid wsp:val=&quot;006E5C8C&quot;/&gt;&lt;wsp:rsid wsp:val=&quot;006E5EA0&quot;/&gt;&lt;wsp:rsid wsp:val=&quot;006E6EF0&quot;/&gt;&lt;wsp:rsid wsp:val=&quot;006E71DB&quot;/&gt;&lt;wsp:rsid wsp:val=&quot;006E7726&quot;/&gt;&lt;wsp:rsid wsp:val=&quot;006E7C5C&quot;/&gt;&lt;wsp:rsid wsp:val=&quot;006F000B&quot;/&gt;&lt;wsp:rsid wsp:val=&quot;006F01BD&quot;/&gt;&lt;wsp:rsid wsp:val=&quot;006F0CF3&quot;/&gt;&lt;wsp:rsid wsp:val=&quot;006F0EBC&quot;/&gt;&lt;wsp:rsid wsp:val=&quot;006F11C9&quot;/&gt;&lt;wsp:rsid wsp:val=&quot;006F153E&quot;/&gt;&lt;wsp:rsid wsp:val=&quot;006F1911&quot;/&gt;&lt;wsp:rsid wsp:val=&quot;006F1CD5&quot;/&gt;&lt;wsp:rsid wsp:val=&quot;006F1D0E&quot;/&gt;&lt;wsp:rsid wsp:val=&quot;006F1FAE&quot;/&gt;&lt;wsp:rsid wsp:val=&quot;006F27B1&quot;/&gt;&lt;wsp:rsid wsp:val=&quot;006F2E80&quot;/&gt;&lt;wsp:rsid wsp:val=&quot;006F32BF&quot;/&gt;&lt;wsp:rsid wsp:val=&quot;006F3853&quot;/&gt;&lt;wsp:rsid wsp:val=&quot;006F3875&quot;/&gt;&lt;wsp:rsid wsp:val=&quot;006F3A6B&quot;/&gt;&lt;wsp:rsid wsp:val=&quot;006F3D7B&quot;/&gt;&lt;wsp:rsid wsp:val=&quot;006F4A53&quot;/&gt;&lt;wsp:rsid wsp:val=&quot;006F4D67&quot;/&gt;&lt;wsp:rsid wsp:val=&quot;006F5078&quot;/&gt;&lt;wsp:rsid wsp:val=&quot;006F5148&quot;/&gt;&lt;wsp:rsid wsp:val=&quot;006F5160&quot;/&gt;&lt;wsp:rsid wsp:val=&quot;006F56C5&quot;/&gt;&lt;wsp:rsid wsp:val=&quot;006F5729&quot;/&gt;&lt;wsp:rsid wsp:val=&quot;006F5B59&quot;/&gt;&lt;wsp:rsid wsp:val=&quot;006F5F3D&quot;/&gt;&lt;wsp:rsid wsp:val=&quot;006F6183&quot;/&gt;&lt;wsp:rsid wsp:val=&quot;006F6582&quot;/&gt;&lt;wsp:rsid wsp:val=&quot;006F6723&quot;/&gt;&lt;wsp:rsid wsp:val=&quot;006F6805&quot;/&gt;&lt;wsp:rsid wsp:val=&quot;006F74D1&quot;/&gt;&lt;wsp:rsid wsp:val=&quot;006F759C&quot;/&gt;&lt;wsp:rsid wsp:val=&quot;007005CE&quot;/&gt;&lt;wsp:rsid wsp:val=&quot;00700785&quot;/&gt;&lt;wsp:rsid wsp:val=&quot;00700B6A&quot;/&gt;&lt;wsp:rsid wsp:val=&quot;007012B6&quot;/&gt;&lt;wsp:rsid wsp:val=&quot;007019DB&quot;/&gt;&lt;wsp:rsid wsp:val=&quot;00701B12&quot;/&gt;&lt;wsp:rsid wsp:val=&quot;00701B6D&quot;/&gt;&lt;wsp:rsid wsp:val=&quot;00701B99&quot;/&gt;&lt;wsp:rsid wsp:val=&quot;00701BB3&quot;/&gt;&lt;wsp:rsid wsp:val=&quot;007020E0&quot;/&gt;&lt;wsp:rsid wsp:val=&quot;00702352&quot;/&gt;&lt;wsp:rsid wsp:val=&quot;007024FC&quot;/&gt;&lt;wsp:rsid wsp:val=&quot;00702676&quot;/&gt;&lt;wsp:rsid wsp:val=&quot;007027B0&quot;/&gt;&lt;wsp:rsid wsp:val=&quot;007027BE&quot;/&gt;&lt;wsp:rsid wsp:val=&quot;00702B44&quot;/&gt;&lt;wsp:rsid wsp:val=&quot;00703568&quot;/&gt;&lt;wsp:rsid wsp:val=&quot;007041AF&quot;/&gt;&lt;wsp:rsid wsp:val=&quot;00704444&quot;/&gt;&lt;wsp:rsid wsp:val=&quot;00704723&quot;/&gt;&lt;wsp:rsid wsp:val=&quot;00704A92&quot;/&gt;&lt;wsp:rsid wsp:val=&quot;00704DF3&quot;/&gt;&lt;wsp:rsid wsp:val=&quot;00705249&quot;/&gt;&lt;wsp:rsid wsp:val=&quot;00705ACF&quot;/&gt;&lt;wsp:rsid wsp:val=&quot;007068FC&quot;/&gt;&lt;wsp:rsid wsp:val=&quot;00706982&quot;/&gt;&lt;wsp:rsid wsp:val=&quot;00706B93&quot;/&gt;&lt;wsp:rsid wsp:val=&quot;00706E5B&quot;/&gt;&lt;wsp:rsid wsp:val=&quot;00706EA7&quot;/&gt;&lt;wsp:rsid wsp:val=&quot;00706ED1&quot;/&gt;&lt;wsp:rsid wsp:val=&quot;00706F79&quot;/&gt;&lt;wsp:rsid wsp:val=&quot;00707445&quot;/&gt;&lt;wsp:rsid wsp:val=&quot;007077B2&quot;/&gt;&lt;wsp:rsid wsp:val=&quot;0070796F&quot;/&gt;&lt;wsp:rsid wsp:val=&quot;007102E8&quot;/&gt;&lt;wsp:rsid wsp:val=&quot;007104D3&quot;/&gt;&lt;wsp:rsid wsp:val=&quot;0071145C&quot;/&gt;&lt;wsp:rsid wsp:val=&quot;00711796&quot;/&gt;&lt;wsp:rsid wsp:val=&quot;00711A03&quot;/&gt;&lt;wsp:rsid wsp:val=&quot;00711EB8&quot;/&gt;&lt;wsp:rsid wsp:val=&quot;0071202A&quot;/&gt;&lt;wsp:rsid wsp:val=&quot;007121F0&quot;/&gt;&lt;wsp:rsid wsp:val=&quot;0071233A&quot;/&gt;&lt;wsp:rsid wsp:val=&quot;00712374&quot;/&gt;&lt;wsp:rsid wsp:val=&quot;00712CA4&quot;/&gt;&lt;wsp:rsid wsp:val=&quot;00712DB0&quot;/&gt;&lt;wsp:rsid wsp:val=&quot;00713701&quot;/&gt;&lt;wsp:rsid wsp:val=&quot;00713CD2&quot;/&gt;&lt;wsp:rsid wsp:val=&quot;00713D2F&quot;/&gt;&lt;wsp:rsid wsp:val=&quot;00714483&quot;/&gt;&lt;wsp:rsid wsp:val=&quot;00714539&quot;/&gt;&lt;wsp:rsid wsp:val=&quot;007147D0&quot;/&gt;&lt;wsp:rsid wsp:val=&quot;00714ABA&quot;/&gt;&lt;wsp:rsid wsp:val=&quot;00714BE6&quot;/&gt;&lt;wsp:rsid wsp:val=&quot;007153F0&quot;/&gt;&lt;wsp:rsid wsp:val=&quot;00715AF4&quot;/&gt;&lt;wsp:rsid wsp:val=&quot;00715B8F&quot;/&gt;&lt;wsp:rsid wsp:val=&quot;00715F71&quot;/&gt;&lt;wsp:rsid wsp:val=&quot;00716BBA&quot;/&gt;&lt;wsp:rsid wsp:val=&quot;00716EDA&quot;/&gt;&lt;wsp:rsid wsp:val=&quot;00720AC5&quot;/&gt;&lt;wsp:rsid wsp:val=&quot;0072136C&quot;/&gt;&lt;wsp:rsid wsp:val=&quot;00721375&quot;/&gt;&lt;wsp:rsid wsp:val=&quot;00721436&quot;/&gt;&lt;wsp:rsid wsp:val=&quot;007215A1&quot;/&gt;&lt;wsp:rsid wsp:val=&quot;00721A6A&quot;/&gt;&lt;wsp:rsid wsp:val=&quot;00721F5B&quot;/&gt;&lt;wsp:rsid wsp:val=&quot;0072203C&quot;/&gt;&lt;wsp:rsid wsp:val=&quot;00722330&quot;/&gt;&lt;wsp:rsid wsp:val=&quot;007225C8&quot;/&gt;&lt;wsp:rsid wsp:val=&quot;007227AD&quot;/&gt;&lt;wsp:rsid wsp:val=&quot;00722BFB&quot;/&gt;&lt;wsp:rsid wsp:val=&quot;00722DEA&quot;/&gt;&lt;wsp:rsid wsp:val=&quot;007230DA&quot;/&gt;&lt;wsp:rsid wsp:val=&quot;0072350E&quot;/&gt;&lt;wsp:rsid wsp:val=&quot;00723531&quot;/&gt;&lt;wsp:rsid wsp:val=&quot;0072383F&quot;/&gt;&lt;wsp:rsid wsp:val=&quot;007238D8&quot;/&gt;&lt;wsp:rsid wsp:val=&quot;007238DE&quot;/&gt;&lt;wsp:rsid wsp:val=&quot;00723D7C&quot;/&gt;&lt;wsp:rsid wsp:val=&quot;007241A9&quot;/&gt;&lt;wsp:rsid wsp:val=&quot;007242B8&quot;/&gt;&lt;wsp:rsid wsp:val=&quot;00724378&quot;/&gt;&lt;wsp:rsid wsp:val=&quot;007244D7&quot;/&gt;&lt;wsp:rsid wsp:val=&quot;00724536&quot;/&gt;&lt;wsp:rsid wsp:val=&quot;007248F0&quot;/&gt;&lt;wsp:rsid wsp:val=&quot;00724E70&quot;/&gt;&lt;wsp:rsid wsp:val=&quot;007251A5&quot;/&gt;&lt;wsp:rsid wsp:val=&quot;0072525B&quot;/&gt;&lt;wsp:rsid wsp:val=&quot;007255E8&quot;/&gt;&lt;wsp:rsid wsp:val=&quot;00725846&quot;/&gt;&lt;wsp:rsid wsp:val=&quot;00725EA3&quot;/&gt;&lt;wsp:rsid wsp:val=&quot;00725EA5&quot;/&gt;&lt;wsp:rsid wsp:val=&quot;00726067&quot;/&gt;&lt;wsp:rsid wsp:val=&quot;00726412&quot;/&gt;&lt;wsp:rsid wsp:val=&quot;0072718D&quot;/&gt;&lt;wsp:rsid wsp:val=&quot;007274EA&quot;/&gt;&lt;wsp:rsid wsp:val=&quot;0072760C&quot;/&gt;&lt;wsp:rsid wsp:val=&quot;00727610&quot;/&gt;&lt;wsp:rsid wsp:val=&quot;0072784F&quot;/&gt;&lt;wsp:rsid wsp:val=&quot;00727B47&quot;/&gt;&lt;wsp:rsid wsp:val=&quot;00727C81&quot;/&gt;&lt;wsp:rsid wsp:val=&quot;00727D45&quot;/&gt;&lt;wsp:rsid wsp:val=&quot;00727F0B&quot;/&gt;&lt;wsp:rsid wsp:val=&quot;00727F59&quot;/&gt;&lt;wsp:rsid wsp:val=&quot;0073029F&quot;/&gt;&lt;wsp:rsid wsp:val=&quot;007303AF&quot;/&gt;&lt;wsp:rsid wsp:val=&quot;007306D8&quot;/&gt;&lt;wsp:rsid wsp:val=&quot;007308DB&quot;/&gt;&lt;wsp:rsid wsp:val=&quot;00731158&quot;/&gt;&lt;wsp:rsid wsp:val=&quot;00731426&quot;/&gt;&lt;wsp:rsid wsp:val=&quot;00731487&quot;/&gt;&lt;wsp:rsid wsp:val=&quot;00731797&quot;/&gt;&lt;wsp:rsid wsp:val=&quot;007318FB&quot;/&gt;&lt;wsp:rsid wsp:val=&quot;00731EE1&quot;/&gt;&lt;wsp:rsid wsp:val=&quot;00732466&quot;/&gt;&lt;wsp:rsid wsp:val=&quot;007328CE&quot;/&gt;&lt;wsp:rsid wsp:val=&quot;00733536&quot;/&gt;&lt;wsp:rsid wsp:val=&quot;007339A1&quot;/&gt;&lt;wsp:rsid wsp:val=&quot;007339AB&quot;/&gt;&lt;wsp:rsid wsp:val=&quot;0073430F&quot;/&gt;&lt;wsp:rsid wsp:val=&quot;00734F6E&quot;/&gt;&lt;wsp:rsid wsp:val=&quot;0073504B&quot;/&gt;&lt;wsp:rsid wsp:val=&quot;0073521B&quot;/&gt;&lt;wsp:rsid wsp:val=&quot;007354B7&quot;/&gt;&lt;wsp:rsid wsp:val=&quot;0073655C&quot;/&gt;&lt;wsp:rsid wsp:val=&quot;00737317&quot;/&gt;&lt;wsp:rsid wsp:val=&quot;007376F3&quot;/&gt;&lt;wsp:rsid wsp:val=&quot;00737A19&quot;/&gt;&lt;wsp:rsid wsp:val=&quot;00737DCC&quot;/&gt;&lt;wsp:rsid wsp:val=&quot;00737E9A&quot;/&gt;&lt;wsp:rsid wsp:val=&quot;00740118&quot;/&gt;&lt;wsp:rsid wsp:val=&quot;0074033A&quot;/&gt;&lt;wsp:rsid wsp:val=&quot;0074062F&quot;/&gt;&lt;wsp:rsid wsp:val=&quot;007406A7&quot;/&gt;&lt;wsp:rsid wsp:val=&quot;00740A3A&quot;/&gt;&lt;wsp:rsid wsp:val=&quot;007412A7&quot;/&gt;&lt;wsp:rsid wsp:val=&quot;007414DD&quot;/&gt;&lt;wsp:rsid wsp:val=&quot;00741A50&quot;/&gt;&lt;wsp:rsid wsp:val=&quot;00741CCC&quot;/&gt;&lt;wsp:rsid wsp:val=&quot;00741FC2&quot;/&gt;&lt;wsp:rsid wsp:val=&quot;00742371&quot;/&gt;&lt;wsp:rsid wsp:val=&quot;00742499&quot;/&gt;&lt;wsp:rsid wsp:val=&quot;00742B6C&quot;/&gt;&lt;wsp:rsid wsp:val=&quot;00742DD4&quot;/&gt;&lt;wsp:rsid wsp:val=&quot;00742F7B&quot;/&gt;&lt;wsp:rsid wsp:val=&quot;00743ED2&quot;/&gt;&lt;wsp:rsid wsp:val=&quot;007440D9&quot;/&gt;&lt;wsp:rsid wsp:val=&quot;0074448C&quot;/&gt;&lt;wsp:rsid wsp:val=&quot;007444CF&quot;/&gt;&lt;wsp:rsid wsp:val=&quot;0074450F&quot;/&gt;&lt;wsp:rsid wsp:val=&quot;007451AB&quot;/&gt;&lt;wsp:rsid wsp:val=&quot;007452A0&quot;/&gt;&lt;wsp:rsid wsp:val=&quot;00745723&quot;/&gt;&lt;wsp:rsid wsp:val=&quot;00745A3F&quot;/&gt;&lt;wsp:rsid wsp:val=&quot;00745BA7&quot;/&gt;&lt;wsp:rsid wsp:val=&quot;00745BD5&quot;/&gt;&lt;wsp:rsid wsp:val=&quot;007465ED&quot;/&gt;&lt;wsp:rsid wsp:val=&quot;00746C94&quot;/&gt;&lt;wsp:rsid wsp:val=&quot;00746DC9&quot;/&gt;&lt;wsp:rsid wsp:val=&quot;00746E92&quot;/&gt;&lt;wsp:rsid wsp:val=&quot;007470DF&quot;/&gt;&lt;wsp:rsid wsp:val=&quot;007474D1&quot;/&gt;&lt;wsp:rsid wsp:val=&quot;00747A33&quot;/&gt;&lt;wsp:rsid wsp:val=&quot;00747A65&quot;/&gt;&lt;wsp:rsid wsp:val=&quot;00747EBF&quot;/&gt;&lt;wsp:rsid wsp:val=&quot;00747ED2&quot;/&gt;&lt;wsp:rsid wsp:val=&quot;007506A5&quot;/&gt;&lt;wsp:rsid wsp:val=&quot;00750B96&quot;/&gt;&lt;wsp:rsid wsp:val=&quot;00750D7B&quot;/&gt;&lt;wsp:rsid wsp:val=&quot;00750D9D&quot;/&gt;&lt;wsp:rsid wsp:val=&quot;0075101B&quot;/&gt;&lt;wsp:rsid wsp:val=&quot;00751291&quot;/&gt;&lt;wsp:rsid wsp:val=&quot;0075161A&quot;/&gt;&lt;wsp:rsid wsp:val=&quot;007517BF&quot;/&gt;&lt;wsp:rsid wsp:val=&quot;0075187C&quot;/&gt;&lt;wsp:rsid wsp:val=&quot;00751DD0&quot;/&gt;&lt;wsp:rsid wsp:val=&quot;0075224D&quot;/&gt;&lt;wsp:rsid wsp:val=&quot;007522B2&quot;/&gt;&lt;wsp:rsid wsp:val=&quot;0075239C&quot;/&gt;&lt;wsp:rsid wsp:val=&quot;007526FB&quot;/&gt;&lt;wsp:rsid wsp:val=&quot;00752C28&quot;/&gt;&lt;wsp:rsid wsp:val=&quot;00752D23&quot;/&gt;&lt;wsp:rsid wsp:val=&quot;00752E35&quot;/&gt;&lt;wsp:rsid wsp:val=&quot;0075333A&quot;/&gt;&lt;wsp:rsid wsp:val=&quot;007533E6&quot;/&gt;&lt;wsp:rsid wsp:val=&quot;007534F7&quot;/&gt;&lt;wsp:rsid wsp:val=&quot;0075353C&quot;/&gt;&lt;wsp:rsid wsp:val=&quot;007535E9&quot;/&gt;&lt;wsp:rsid wsp:val=&quot;00754067&quot;/&gt;&lt;wsp:rsid wsp:val=&quot;007540E0&quot;/&gt;&lt;wsp:rsid wsp:val=&quot;00754162&quot;/&gt;&lt;wsp:rsid wsp:val=&quot;00754C9E&quot;/&gt;&lt;wsp:rsid wsp:val=&quot;00755882&quot;/&gt;&lt;wsp:rsid wsp:val=&quot;00755BF5&quot;/&gt;&lt;wsp:rsid wsp:val=&quot;007562EC&quot;/&gt;&lt;wsp:rsid wsp:val=&quot;0075694A&quot;/&gt;&lt;wsp:rsid wsp:val=&quot;00756E03&quot;/&gt;&lt;wsp:rsid wsp:val=&quot;00756E6F&quot;/&gt;&lt;wsp:rsid wsp:val=&quot;007570F9&quot;/&gt;&lt;wsp:rsid wsp:val=&quot;00757412&quot;/&gt;&lt;wsp:rsid wsp:val=&quot;007576BC&quot;/&gt;&lt;wsp:rsid wsp:val=&quot;00757E5E&quot;/&gt;&lt;wsp:rsid wsp:val=&quot;007603F4&quot;/&gt;&lt;wsp:rsid wsp:val=&quot;00760844&quot;/&gt;&lt;wsp:rsid wsp:val=&quot;00760BD3&quot;/&gt;&lt;wsp:rsid wsp:val=&quot;007610DE&quot;/&gt;&lt;wsp:rsid wsp:val=&quot;00761484&quot;/&gt;&lt;wsp:rsid wsp:val=&quot;007615D5&quot;/&gt;&lt;wsp:rsid wsp:val=&quot;00761894&quot;/&gt;&lt;wsp:rsid wsp:val=&quot;0076193A&quot;/&gt;&lt;wsp:rsid wsp:val=&quot;007629B9&quot;/&gt;&lt;wsp:rsid wsp:val=&quot;00762DBE&quot;/&gt;&lt;wsp:rsid wsp:val=&quot;00763484&quot;/&gt;&lt;wsp:rsid wsp:val=&quot;007637D2&quot;/&gt;&lt;wsp:rsid wsp:val=&quot;00763979&quot;/&gt;&lt;wsp:rsid wsp:val=&quot;00763C73&quot;/&gt;&lt;wsp:rsid wsp:val=&quot;0076455E&quot;/&gt;&lt;wsp:rsid wsp:val=&quot;00764569&quot;/&gt;&lt;wsp:rsid wsp:val=&quot;00764892&quot;/&gt;&lt;wsp:rsid wsp:val=&quot;00764C76&quot;/&gt;&lt;wsp:rsid wsp:val=&quot;007652EF&quot;/&gt;&lt;wsp:rsid wsp:val=&quot;007659D4&quot;/&gt;&lt;wsp:rsid wsp:val=&quot;007665A0&quot;/&gt;&lt;wsp:rsid wsp:val=&quot;00766A93&quot;/&gt;&lt;wsp:rsid wsp:val=&quot;00767148&quot;/&gt;&lt;wsp:rsid wsp:val=&quot;00767C8A&quot;/&gt;&lt;wsp:rsid wsp:val=&quot;00767F05&quot;/&gt;&lt;wsp:rsid wsp:val=&quot;00770118&quot;/&gt;&lt;wsp:rsid wsp:val=&quot;007701FB&quot;/&gt;&lt;wsp:rsid wsp:val=&quot;007703EF&quot;/&gt;&lt;wsp:rsid wsp:val=&quot;00770630&quot;/&gt;&lt;wsp:rsid wsp:val=&quot;007707D2&quot;/&gt;&lt;wsp:rsid wsp:val=&quot;00770AB5&quot;/&gt;&lt;wsp:rsid wsp:val=&quot;0077124C&quot;/&gt;&lt;wsp:rsid wsp:val=&quot;00771A6D&quot;/&gt;&lt;wsp:rsid wsp:val=&quot;00772469&quot;/&gt;&lt;wsp:rsid wsp:val=&quot;0077265C&quot;/&gt;&lt;wsp:rsid wsp:val=&quot;00772E19&quot;/&gt;&lt;wsp:rsid wsp:val=&quot;0077319A&quot;/&gt;&lt;wsp:rsid wsp:val=&quot;007736A5&quot;/&gt;&lt;wsp:rsid wsp:val=&quot;0077370C&quot;/&gt;&lt;wsp:rsid wsp:val=&quot;00773E0C&quot;/&gt;&lt;wsp:rsid wsp:val=&quot;00774715&quot;/&gt;&lt;wsp:rsid wsp:val=&quot;00774727&quot;/&gt;&lt;wsp:rsid wsp:val=&quot;007747B9&quot;/&gt;&lt;wsp:rsid wsp:val=&quot;007748B8&quot;/&gt;&lt;wsp:rsid wsp:val=&quot;00774CF4&quot;/&gt;&lt;wsp:rsid wsp:val=&quot;00774F51&quot;/&gt;&lt;wsp:rsid wsp:val=&quot;007750DC&quot;/&gt;&lt;wsp:rsid wsp:val=&quot;00775394&quot;/&gt;&lt;wsp:rsid wsp:val=&quot;00775AFA&quot;/&gt;&lt;wsp:rsid wsp:val=&quot;007763F6&quot;/&gt;&lt;wsp:rsid wsp:val=&quot;0077675D&quot;/&gt;&lt;wsp:rsid wsp:val=&quot;00776791&quot;/&gt;&lt;wsp:rsid wsp:val=&quot;007768DB&quot;/&gt;&lt;wsp:rsid wsp:val=&quot;00776A45&quot;/&gt;&lt;wsp:rsid wsp:val=&quot;00777297&quot;/&gt;&lt;wsp:rsid wsp:val=&quot;0077764A&quot;/&gt;&lt;wsp:rsid wsp:val=&quot;00780317&quot;/&gt;&lt;wsp:rsid wsp:val=&quot;007807FF&quot;/&gt;&lt;wsp:rsid wsp:val=&quot;007808B1&quot;/&gt;&lt;wsp:rsid wsp:val=&quot;00780EEE&quot;/&gt;&lt;wsp:rsid wsp:val=&quot;007817EB&quot;/&gt;&lt;wsp:rsid wsp:val=&quot;00781F79&quot;/&gt;&lt;wsp:rsid wsp:val=&quot;00781FA6&quot;/&gt;&lt;wsp:rsid wsp:val=&quot;00782277&quot;/&gt;&lt;wsp:rsid wsp:val=&quot;00782468&quot;/&gt;&lt;wsp:rsid wsp:val=&quot;007824F1&quot;/&gt;&lt;wsp:rsid wsp:val=&quot;0078257A&quot;/&gt;&lt;wsp:rsid wsp:val=&quot;00782654&quot;/&gt;&lt;wsp:rsid wsp:val=&quot;007827C4&quot;/&gt;&lt;wsp:rsid wsp:val=&quot;00782882&quot;/&gt;&lt;wsp:rsid wsp:val=&quot;00782D25&quot;/&gt;&lt;wsp:rsid wsp:val=&quot;00782F96&quot;/&gt;&lt;wsp:rsid wsp:val=&quot;0078308B&quot;/&gt;&lt;wsp:rsid wsp:val=&quot;00783216&quot;/&gt;&lt;wsp:rsid wsp:val=&quot;00783C7D&quot;/&gt;&lt;wsp:rsid wsp:val=&quot;00783D75&quot;/&gt;&lt;wsp:rsid wsp:val=&quot;00783F9B&quot;/&gt;&lt;wsp:rsid wsp:val=&quot;007843D7&quot;/&gt;&lt;wsp:rsid wsp:val=&quot;00784ACF&quot;/&gt;&lt;wsp:rsid wsp:val=&quot;00784F8F&quot;/&gt;&lt;wsp:rsid wsp:val=&quot;007852CA&quot;/&gt;&lt;wsp:rsid wsp:val=&quot;007854C8&quot;/&gt;&lt;wsp:rsid wsp:val=&quot;00786474&quot;/&gt;&lt;wsp:rsid wsp:val=&quot;00786B6D&quot;/&gt;&lt;wsp:rsid wsp:val=&quot;00786C91&quot;/&gt;&lt;wsp:rsid wsp:val=&quot;00786DA1&quot;/&gt;&lt;wsp:rsid wsp:val=&quot;007870F9&quot;/&gt;&lt;wsp:rsid wsp:val=&quot;007877B2&quot;/&gt;&lt;wsp:rsid wsp:val=&quot;00787872&quot;/&gt;&lt;wsp:rsid wsp:val=&quot;007878F5&quot;/&gt;&lt;wsp:rsid wsp:val=&quot;00787928&quot;/&gt;&lt;wsp:rsid wsp:val=&quot;00787A16&quot;/&gt;&lt;wsp:rsid wsp:val=&quot;007901E5&quot;/&gt;&lt;wsp:rsid wsp:val=&quot;00790228&quot;/&gt;&lt;wsp:rsid wsp:val=&quot;00790431&quot;/&gt;&lt;wsp:rsid wsp:val=&quot;0079065C&quot;/&gt;&lt;wsp:rsid wsp:val=&quot;007906D7&quot;/&gt;&lt;wsp:rsid wsp:val=&quot;007908AF&quot;/&gt;&lt;wsp:rsid wsp:val=&quot;00790CAA&quot;/&gt;&lt;wsp:rsid wsp:val=&quot;00790EBB&quot;/&gt;&lt;wsp:rsid wsp:val=&quot;00791633&quot;/&gt;&lt;wsp:rsid wsp:val=&quot;0079179E&quot;/&gt;&lt;wsp:rsid wsp:val=&quot;007918D6&quot;/&gt;&lt;wsp:rsid wsp:val=&quot;00791969&quot;/&gt;&lt;wsp:rsid wsp:val=&quot;007920CF&quot;/&gt;&lt;wsp:rsid wsp:val=&quot;00792B58&quot;/&gt;&lt;wsp:rsid wsp:val=&quot;00792DCB&quot;/&gt;&lt;wsp:rsid wsp:val=&quot;007930F5&quot;/&gt;&lt;wsp:rsid wsp:val=&quot;007936EC&quot;/&gt;&lt;wsp:rsid wsp:val=&quot;00793EC2&quot;/&gt;&lt;wsp:rsid wsp:val=&quot;007940B7&quot;/&gt;&lt;wsp:rsid wsp:val=&quot;007946A8&quot;/&gt;&lt;wsp:rsid wsp:val=&quot;00794AB6&quot;/&gt;&lt;wsp:rsid wsp:val=&quot;007954FA&quot;/&gt;&lt;wsp:rsid wsp:val=&quot;0079583C&quot;/&gt;&lt;wsp:rsid wsp:val=&quot;0079590A&quot;/&gt;&lt;wsp:rsid wsp:val=&quot;00795C07&quot;/&gt;&lt;wsp:rsid wsp:val=&quot;00795D1F&quot;/&gt;&lt;wsp:rsid wsp:val=&quot;00796129&quot;/&gt;&lt;wsp:rsid wsp:val=&quot;00796149&quot;/&gt;&lt;wsp:rsid wsp:val=&quot;007962B5&quot;/&gt;&lt;wsp:rsid wsp:val=&quot;00796515&quot;/&gt;&lt;wsp:rsid wsp:val=&quot;0079660C&quot;/&gt;&lt;wsp:rsid wsp:val=&quot;007969B6&quot;/&gt;&lt;wsp:rsid wsp:val=&quot;00796B08&quot;/&gt;&lt;wsp:rsid wsp:val=&quot;007A02CD&quot;/&gt;&lt;wsp:rsid wsp:val=&quot;007A0BA5&quot;/&gt;&lt;wsp:rsid wsp:val=&quot;007A0D61&quot;/&gt;&lt;wsp:rsid wsp:val=&quot;007A0DCE&quot;/&gt;&lt;wsp:rsid wsp:val=&quot;007A1941&quot;/&gt;&lt;wsp:rsid wsp:val=&quot;007A194C&quot;/&gt;&lt;wsp:rsid wsp:val=&quot;007A25A6&quot;/&gt;&lt;wsp:rsid wsp:val=&quot;007A2610&quot;/&gt;&lt;wsp:rsid wsp:val=&quot;007A2846&quot;/&gt;&lt;wsp:rsid wsp:val=&quot;007A28AA&quot;/&gt;&lt;wsp:rsid wsp:val=&quot;007A2B9B&quot;/&gt;&lt;wsp:rsid wsp:val=&quot;007A2F16&quot;/&gt;&lt;wsp:rsid wsp:val=&quot;007A3205&quot;/&gt;&lt;wsp:rsid wsp:val=&quot;007A3A14&quot;/&gt;&lt;wsp:rsid wsp:val=&quot;007A3AB0&quot;/&gt;&lt;wsp:rsid wsp:val=&quot;007A3E4E&quot;/&gt;&lt;wsp:rsid wsp:val=&quot;007A4035&quot;/&gt;&lt;wsp:rsid wsp:val=&quot;007A4128&quot;/&gt;&lt;wsp:rsid wsp:val=&quot;007A4180&quot;/&gt;&lt;wsp:rsid wsp:val=&quot;007A4231&quot;/&gt;&lt;wsp:rsid wsp:val=&quot;007A5F69&quot;/&gt;&lt;wsp:rsid wsp:val=&quot;007A5FB2&quot;/&gt;&lt;wsp:rsid wsp:val=&quot;007A6255&quot;/&gt;&lt;wsp:rsid wsp:val=&quot;007A67FD&quot;/&gt;&lt;wsp:rsid wsp:val=&quot;007A6B15&quot;/&gt;&lt;wsp:rsid wsp:val=&quot;007A7406&quot;/&gt;&lt;wsp:rsid wsp:val=&quot;007A7419&quot;/&gt;&lt;wsp:rsid wsp:val=&quot;007A79AA&quot;/&gt;&lt;wsp:rsid wsp:val=&quot;007A7BA0&quot;/&gt;&lt;wsp:rsid wsp:val=&quot;007B024D&quot;/&gt;&lt;wsp:rsid wsp:val=&quot;007B03E1&quot;/&gt;&lt;wsp:rsid wsp:val=&quot;007B0B77&quot;/&gt;&lt;wsp:rsid wsp:val=&quot;007B0D5F&quot;/&gt;&lt;wsp:rsid wsp:val=&quot;007B0F02&quot;/&gt;&lt;wsp:rsid wsp:val=&quot;007B129A&quot;/&gt;&lt;wsp:rsid wsp:val=&quot;007B14EC&quot;/&gt;&lt;wsp:rsid wsp:val=&quot;007B1634&quot;/&gt;&lt;wsp:rsid wsp:val=&quot;007B1A29&quot;/&gt;&lt;wsp:rsid wsp:val=&quot;007B1AAE&quot;/&gt;&lt;wsp:rsid wsp:val=&quot;007B1C6E&quot;/&gt;&lt;wsp:rsid wsp:val=&quot;007B21BD&quot;/&gt;&lt;wsp:rsid wsp:val=&quot;007B237E&quot;/&gt;&lt;wsp:rsid wsp:val=&quot;007B257F&quot;/&gt;&lt;wsp:rsid wsp:val=&quot;007B2661&quot;/&gt;&lt;wsp:rsid wsp:val=&quot;007B2769&quot;/&gt;&lt;wsp:rsid wsp:val=&quot;007B27B9&quot;/&gt;&lt;wsp:rsid wsp:val=&quot;007B29A4&quot;/&gt;&lt;wsp:rsid wsp:val=&quot;007B2F57&quot;/&gt;&lt;wsp:rsid wsp:val=&quot;007B3423&quot;/&gt;&lt;wsp:rsid wsp:val=&quot;007B3978&quot;/&gt;&lt;wsp:rsid wsp:val=&quot;007B45DF&quot;/&gt;&lt;wsp:rsid wsp:val=&quot;007B5237&quot;/&gt;&lt;wsp:rsid wsp:val=&quot;007B529D&quot;/&gt;&lt;wsp:rsid wsp:val=&quot;007B530B&quot;/&gt;&lt;wsp:rsid wsp:val=&quot;007B54BF&quot;/&gt;&lt;wsp:rsid wsp:val=&quot;007B5C14&quot;/&gt;&lt;wsp:rsid wsp:val=&quot;007B67B6&quot;/&gt;&lt;wsp:rsid wsp:val=&quot;007B69EF&quot;/&gt;&lt;wsp:rsid wsp:val=&quot;007B6EF1&quot;/&gt;&lt;wsp:rsid wsp:val=&quot;007B7282&quot;/&gt;&lt;wsp:rsid wsp:val=&quot;007B73D4&quot;/&gt;&lt;wsp:rsid wsp:val=&quot;007B7950&quot;/&gt;&lt;wsp:rsid wsp:val=&quot;007B7FA2&quot;/&gt;&lt;wsp:rsid wsp:val=&quot;007C01D8&quot;/&gt;&lt;wsp:rsid wsp:val=&quot;007C04BA&quot;/&gt;&lt;wsp:rsid wsp:val=&quot;007C0646&quot;/&gt;&lt;wsp:rsid wsp:val=&quot;007C095F&quot;/&gt;&lt;wsp:rsid wsp:val=&quot;007C0C2E&quot;/&gt;&lt;wsp:rsid wsp:val=&quot;007C0D0F&quot;/&gt;&lt;wsp:rsid wsp:val=&quot;007C0E13&quot;/&gt;&lt;wsp:rsid wsp:val=&quot;007C0E89&quot;/&gt;&lt;wsp:rsid wsp:val=&quot;007C1567&quot;/&gt;&lt;wsp:rsid wsp:val=&quot;007C1AF1&quot;/&gt;&lt;wsp:rsid wsp:val=&quot;007C1C99&quot;/&gt;&lt;wsp:rsid wsp:val=&quot;007C1FDC&quot;/&gt;&lt;wsp:rsid wsp:val=&quot;007C277A&quot;/&gt;&lt;wsp:rsid wsp:val=&quot;007C3151&quot;/&gt;&lt;wsp:rsid wsp:val=&quot;007C3620&quot;/&gt;&lt;wsp:rsid wsp:val=&quot;007C3CC0&quot;/&gt;&lt;wsp:rsid wsp:val=&quot;007C4A48&quot;/&gt;&lt;wsp:rsid wsp:val=&quot;007C51A8&quot;/&gt;&lt;wsp:rsid wsp:val=&quot;007C5367&quot;/&gt;&lt;wsp:rsid wsp:val=&quot;007C538C&quot;/&gt;&lt;wsp:rsid wsp:val=&quot;007C53D0&quot;/&gt;&lt;wsp:rsid wsp:val=&quot;007C5587&quot;/&gt;&lt;wsp:rsid wsp:val=&quot;007C59E7&quot;/&gt;&lt;wsp:rsid wsp:val=&quot;007C5B9A&quot;/&gt;&lt;wsp:rsid wsp:val=&quot;007C61DE&quot;/&gt;&lt;wsp:rsid wsp:val=&quot;007C6645&quot;/&gt;&lt;wsp:rsid wsp:val=&quot;007C66EB&quot;/&gt;&lt;wsp:rsid wsp:val=&quot;007C6A5A&quot;/&gt;&lt;wsp:rsid wsp:val=&quot;007C7662&quot;/&gt;&lt;wsp:rsid wsp:val=&quot;007C76E7&quot;/&gt;&lt;wsp:rsid wsp:val=&quot;007C797D&quot;/&gt;&lt;wsp:rsid wsp:val=&quot;007C7BB1&quot;/&gt;&lt;wsp:rsid wsp:val=&quot;007C7EEE&quot;/&gt;&lt;wsp:rsid wsp:val=&quot;007D00FA&quot;/&gt;&lt;wsp:rsid wsp:val=&quot;007D026E&quot;/&gt;&lt;wsp:rsid wsp:val=&quot;007D04BB&quot;/&gt;&lt;wsp:rsid wsp:val=&quot;007D05AB&quot;/&gt;&lt;wsp:rsid wsp:val=&quot;007D07DD&quot;/&gt;&lt;wsp:rsid wsp:val=&quot;007D1071&quot;/&gt;&lt;wsp:rsid wsp:val=&quot;007D1210&quot;/&gt;&lt;wsp:rsid wsp:val=&quot;007D1601&quot;/&gt;&lt;wsp:rsid wsp:val=&quot;007D1D4B&quot;/&gt;&lt;wsp:rsid wsp:val=&quot;007D2708&quot;/&gt;&lt;wsp:rsid wsp:val=&quot;007D278F&quot;/&gt;&lt;wsp:rsid wsp:val=&quot;007D27FC&quot;/&gt;&lt;wsp:rsid wsp:val=&quot;007D2F41&quot;/&gt;&lt;wsp:rsid wsp:val=&quot;007D2F79&quot;/&gt;&lt;wsp:rsid wsp:val=&quot;007D2F87&quot;/&gt;&lt;wsp:rsid wsp:val=&quot;007D3180&quot;/&gt;&lt;wsp:rsid wsp:val=&quot;007D3563&quot;/&gt;&lt;wsp:rsid wsp:val=&quot;007D35D4&quot;/&gt;&lt;wsp:rsid wsp:val=&quot;007D3887&quot;/&gt;&lt;wsp:rsid wsp:val=&quot;007D3C58&quot;/&gt;&lt;wsp:rsid wsp:val=&quot;007D3F65&quot;/&gt;&lt;wsp:rsid wsp:val=&quot;007D42A1&quot;/&gt;&lt;wsp:rsid wsp:val=&quot;007D4356&quot;/&gt;&lt;wsp:rsid wsp:val=&quot;007D4635&quot;/&gt;&lt;wsp:rsid wsp:val=&quot;007D465F&quot;/&gt;&lt;wsp:rsid wsp:val=&quot;007D4B2A&quot;/&gt;&lt;wsp:rsid wsp:val=&quot;007D4E72&quot;/&gt;&lt;wsp:rsid wsp:val=&quot;007D4FF8&quot;/&gt;&lt;wsp:rsid wsp:val=&quot;007D50E2&quot;/&gt;&lt;wsp:rsid wsp:val=&quot;007D57FB&quot;/&gt;&lt;wsp:rsid wsp:val=&quot;007D594C&quot;/&gt;&lt;wsp:rsid wsp:val=&quot;007D5B2C&quot;/&gt;&lt;wsp:rsid wsp:val=&quot;007D5EB0&quot;/&gt;&lt;wsp:rsid wsp:val=&quot;007D6E86&quot;/&gt;&lt;wsp:rsid wsp:val=&quot;007D6F39&quot;/&gt;&lt;wsp:rsid wsp:val=&quot;007D717B&quot;/&gt;&lt;wsp:rsid wsp:val=&quot;007D71DF&quot;/&gt;&lt;wsp:rsid wsp:val=&quot;007D73D6&quot;/&gt;&lt;wsp:rsid wsp:val=&quot;007D7C4A&quot;/&gt;&lt;wsp:rsid wsp:val=&quot;007D7E8E&quot;/&gt;&lt;wsp:rsid wsp:val=&quot;007E0215&quot;/&gt;&lt;wsp:rsid wsp:val=&quot;007E0B5A&quot;/&gt;&lt;wsp:rsid wsp:val=&quot;007E1189&quot;/&gt;&lt;wsp:rsid wsp:val=&quot;007E1765&quot;/&gt;&lt;wsp:rsid wsp:val=&quot;007E1B2A&quot;/&gt;&lt;wsp:rsid wsp:val=&quot;007E1BAB&quot;/&gt;&lt;wsp:rsid wsp:val=&quot;007E1CD3&quot;/&gt;&lt;wsp:rsid wsp:val=&quot;007E1F15&quot;/&gt;&lt;wsp:rsid wsp:val=&quot;007E221E&quot;/&gt;&lt;wsp:rsid wsp:val=&quot;007E2ECE&quot;/&gt;&lt;wsp:rsid wsp:val=&quot;007E2ED4&quot;/&gt;&lt;wsp:rsid wsp:val=&quot;007E3041&quot;/&gt;&lt;wsp:rsid wsp:val=&quot;007E3194&quot;/&gt;&lt;wsp:rsid wsp:val=&quot;007E320C&quot;/&gt;&lt;wsp:rsid wsp:val=&quot;007E33C8&quot;/&gt;&lt;wsp:rsid wsp:val=&quot;007E352B&quot;/&gt;&lt;wsp:rsid wsp:val=&quot;007E3670&quot;/&gt;&lt;wsp:rsid wsp:val=&quot;007E3A53&quot;/&gt;&lt;wsp:rsid wsp:val=&quot;007E3D17&quot;/&gt;&lt;wsp:rsid wsp:val=&quot;007E4211&quot;/&gt;&lt;wsp:rsid wsp:val=&quot;007E4435&quot;/&gt;&lt;wsp:rsid wsp:val=&quot;007E469A&quot;/&gt;&lt;wsp:rsid wsp:val=&quot;007E478E&quot;/&gt;&lt;wsp:rsid wsp:val=&quot;007E4BD7&quot;/&gt;&lt;wsp:rsid wsp:val=&quot;007E4D79&quot;/&gt;&lt;wsp:rsid wsp:val=&quot;007E4E52&quot;/&gt;&lt;wsp:rsid wsp:val=&quot;007E4FD5&quot;/&gt;&lt;wsp:rsid wsp:val=&quot;007E500E&quot;/&gt;&lt;wsp:rsid wsp:val=&quot;007E5082&quot;/&gt;&lt;wsp:rsid wsp:val=&quot;007E5190&quot;/&gt;&lt;wsp:rsid wsp:val=&quot;007E5315&quot;/&gt;&lt;wsp:rsid wsp:val=&quot;007E56C6&quot;/&gt;&lt;wsp:rsid wsp:val=&quot;007E5734&quot;/&gt;&lt;wsp:rsid wsp:val=&quot;007E5869&quot;/&gt;&lt;wsp:rsid wsp:val=&quot;007E5C62&quot;/&gt;&lt;wsp:rsid wsp:val=&quot;007E5D5A&quot;/&gt;&lt;wsp:rsid wsp:val=&quot;007E5E2A&quot;/&gt;&lt;wsp:rsid wsp:val=&quot;007E5F6D&quot;/&gt;&lt;wsp:rsid wsp:val=&quot;007E6BDD&quot;/&gt;&lt;wsp:rsid wsp:val=&quot;007E7117&quot;/&gt;&lt;wsp:rsid wsp:val=&quot;007E7378&quot;/&gt;&lt;wsp:rsid wsp:val=&quot;007E7BD8&quot;/&gt;&lt;wsp:rsid wsp:val=&quot;007F00A7&quot;/&gt;&lt;wsp:rsid wsp:val=&quot;007F00CD&quot;/&gt;&lt;wsp:rsid wsp:val=&quot;007F039F&quot;/&gt;&lt;wsp:rsid wsp:val=&quot;007F075C&quot;/&gt;&lt;wsp:rsid wsp:val=&quot;007F079B&quot;/&gt;&lt;wsp:rsid wsp:val=&quot;007F0C77&quot;/&gt;&lt;wsp:rsid wsp:val=&quot;007F0DC9&quot;/&gt;&lt;wsp:rsid wsp:val=&quot;007F0E5C&quot;/&gt;&lt;wsp:rsid wsp:val=&quot;007F0FDB&quot;/&gt;&lt;wsp:rsid wsp:val=&quot;007F128B&quot;/&gt;&lt;wsp:rsid wsp:val=&quot;007F1B10&quot;/&gt;&lt;wsp:rsid wsp:val=&quot;007F1EE1&quot;/&gt;&lt;wsp:rsid wsp:val=&quot;007F1EEA&quot;/&gt;&lt;wsp:rsid wsp:val=&quot;007F281F&quot;/&gt;&lt;wsp:rsid wsp:val=&quot;007F2B95&quot;/&gt;&lt;wsp:rsid wsp:val=&quot;007F2C56&quot;/&gt;&lt;wsp:rsid wsp:val=&quot;007F34ED&quot;/&gt;&lt;wsp:rsid wsp:val=&quot;007F3E21&quot;/&gt;&lt;wsp:rsid wsp:val=&quot;007F411A&quot;/&gt;&lt;wsp:rsid wsp:val=&quot;007F45D6&quot;/&gt;&lt;wsp:rsid wsp:val=&quot;007F497E&quot;/&gt;&lt;wsp:rsid wsp:val=&quot;007F49F7&quot;/&gt;&lt;wsp:rsid wsp:val=&quot;007F4B1E&quot;/&gt;&lt;wsp:rsid wsp:val=&quot;007F4C33&quot;/&gt;&lt;wsp:rsid wsp:val=&quot;007F531C&quot;/&gt;&lt;wsp:rsid wsp:val=&quot;007F552B&quot;/&gt;&lt;wsp:rsid wsp:val=&quot;007F5530&quot;/&gt;&lt;wsp:rsid wsp:val=&quot;007F5784&quot;/&gt;&lt;wsp:rsid wsp:val=&quot;007F6256&quot;/&gt;&lt;wsp:rsid wsp:val=&quot;007F633D&quot;/&gt;&lt;wsp:rsid wsp:val=&quot;007F6547&quot;/&gt;&lt;wsp:rsid wsp:val=&quot;007F662C&quot;/&gt;&lt;wsp:rsid wsp:val=&quot;007F6940&quot;/&gt;&lt;wsp:rsid wsp:val=&quot;007F70D7&quot;/&gt;&lt;wsp:rsid wsp:val=&quot;007F7412&quot;/&gt;&lt;wsp:rsid wsp:val=&quot;007F7750&quot;/&gt;&lt;wsp:rsid wsp:val=&quot;007F7A25&quot;/&gt;&lt;wsp:rsid wsp:val=&quot;007F7C57&quot;/&gt;&lt;wsp:rsid wsp:val=&quot;007F7C76&quot;/&gt;&lt;wsp:rsid wsp:val=&quot;007F7FB6&quot;/&gt;&lt;wsp:rsid wsp:val=&quot;00800125&quot;/&gt;&lt;wsp:rsid wsp:val=&quot;00800589&quot;/&gt;&lt;wsp:rsid wsp:val=&quot;008011C4&quot;/&gt;&lt;wsp:rsid wsp:val=&quot;008015ED&quot;/&gt;&lt;wsp:rsid wsp:val=&quot;00801695&quot;/&gt;&lt;wsp:rsid wsp:val=&quot;00801A3B&quot;/&gt;&lt;wsp:rsid wsp:val=&quot;00801BB7&quot;/&gt;&lt;wsp:rsid wsp:val=&quot;00801CF4&quot;/&gt;&lt;wsp:rsid wsp:val=&quot;00802650&quot;/&gt;&lt;wsp:rsid wsp:val=&quot;00802D67&quot;/&gt;&lt;wsp:rsid wsp:val=&quot;008032D8&quot;/&gt;&lt;wsp:rsid wsp:val=&quot;00803C6D&quot;/&gt;&lt;wsp:rsid wsp:val=&quot;00803D41&quot;/&gt;&lt;wsp:rsid wsp:val=&quot;0080424E&quot;/&gt;&lt;wsp:rsid wsp:val=&quot;0080459F&quot;/&gt;&lt;wsp:rsid wsp:val=&quot;00804D30&quot;/&gt;&lt;wsp:rsid wsp:val=&quot;00804D6B&quot;/&gt;&lt;wsp:rsid wsp:val=&quot;00805030&quot;/&gt;&lt;wsp:rsid wsp:val=&quot;0080558A&quot;/&gt;&lt;wsp:rsid wsp:val=&quot;0080586E&quot;/&gt;&lt;wsp:rsid wsp:val=&quot;00805CF8&quot;/&gt;&lt;wsp:rsid wsp:val=&quot;00805E47&quot;/&gt;&lt;wsp:rsid wsp:val=&quot;00805E6E&quot;/&gt;&lt;wsp:rsid wsp:val=&quot;008060EE&quot;/&gt;&lt;wsp:rsid wsp:val=&quot;008063FA&quot;/&gt;&lt;wsp:rsid wsp:val=&quot;008068F3&quot;/&gt;&lt;wsp:rsid wsp:val=&quot;008069E3&quot;/&gt;&lt;wsp:rsid wsp:val=&quot;00807234&quot;/&gt;&lt;wsp:rsid wsp:val=&quot;0080723B&quot;/&gt;&lt;wsp:rsid wsp:val=&quot;008075D7&quot;/&gt;&lt;wsp:rsid wsp:val=&quot;00807D03&quot;/&gt;&lt;wsp:rsid wsp:val=&quot;00807F3E&quot;/&gt;&lt;wsp:rsid wsp:val=&quot;008103DD&quot;/&gt;&lt;wsp:rsid wsp:val=&quot;00810924&quot;/&gt;&lt;wsp:rsid wsp:val=&quot;008110BC&quot;/&gt;&lt;wsp:rsid wsp:val=&quot;0081152E&quot;/&gt;&lt;wsp:rsid wsp:val=&quot;008117F4&quot;/&gt;&lt;wsp:rsid wsp:val=&quot;00811856&quot;/&gt;&lt;wsp:rsid wsp:val=&quot;00812522&quot;/&gt;&lt;wsp:rsid wsp:val=&quot;00812BC5&quot;/&gt;&lt;wsp:rsid wsp:val=&quot;00812DD0&quot;/&gt;&lt;wsp:rsid wsp:val=&quot;008137BA&quot;/&gt;&lt;wsp:rsid wsp:val=&quot;008137D9&quot;/&gt;&lt;wsp:rsid wsp:val=&quot;00813928&quot;/&gt;&lt;wsp:rsid wsp:val=&quot;00813CB4&quot;/&gt;&lt;wsp:rsid wsp:val=&quot;00813F87&quot;/&gt;&lt;wsp:rsid wsp:val=&quot;00813FB6&quot;/&gt;&lt;wsp:rsid wsp:val=&quot;00814155&quot;/&gt;&lt;wsp:rsid wsp:val=&quot;0081416D&quot;/&gt;&lt;wsp:rsid wsp:val=&quot;0081466F&quot;/&gt;&lt;wsp:rsid wsp:val=&quot;00814842&quot;/&gt;&lt;wsp:rsid wsp:val=&quot;00814E7E&quot;/&gt;&lt;wsp:rsid wsp:val=&quot;00814F4B&quot;/&gt;&lt;wsp:rsid wsp:val=&quot;00815291&quot;/&gt;&lt;wsp:rsid wsp:val=&quot;008152FF&quot;/&gt;&lt;wsp:rsid wsp:val=&quot;00815466&quot;/&gt;&lt;wsp:rsid wsp:val=&quot;008159FE&quot;/&gt;&lt;wsp:rsid wsp:val=&quot;00815C35&quot;/&gt;&lt;wsp:rsid wsp:val=&quot;00815C82&quot;/&gt;&lt;wsp:rsid wsp:val=&quot;00816463&quot;/&gt;&lt;wsp:rsid wsp:val=&quot;00816796&quot;/&gt;&lt;wsp:rsid wsp:val=&quot;0081698E&quot;/&gt;&lt;wsp:rsid wsp:val=&quot;00816D50&quot;/&gt;&lt;wsp:rsid wsp:val=&quot;0081752E&quot;/&gt;&lt;wsp:rsid wsp:val=&quot;00817F76&quot;/&gt;&lt;wsp:rsid wsp:val=&quot;00820102&quot;/&gt;&lt;wsp:rsid wsp:val=&quot;008208F6&quot;/&gt;&lt;wsp:rsid wsp:val=&quot;00820C24&quot;/&gt;&lt;wsp:rsid wsp:val=&quot;00820FC8&quot;/&gt;&lt;wsp:rsid wsp:val=&quot;0082108C&quot;/&gt;&lt;wsp:rsid wsp:val=&quot;00821640&quot;/&gt;&lt;wsp:rsid wsp:val=&quot;00821D18&quot;/&gt;&lt;wsp:rsid wsp:val=&quot;00822620&quot;/&gt;&lt;wsp:rsid wsp:val=&quot;008227E5&quot;/&gt;&lt;wsp:rsid wsp:val=&quot;00822DA4&quot;/&gt;&lt;wsp:rsid wsp:val=&quot;00822EB8&quot;/&gt;&lt;wsp:rsid wsp:val=&quot;0082384C&quot;/&gt;&lt;wsp:rsid wsp:val=&quot;008240FF&quot;/&gt;&lt;wsp:rsid wsp:val=&quot;008243E9&quot;/&gt;&lt;wsp:rsid wsp:val=&quot;008246F5&quot;/&gt;&lt;wsp:rsid wsp:val=&quot;00824923&quot;/&gt;&lt;wsp:rsid wsp:val=&quot;00824B96&quot;/&gt;&lt;wsp:rsid wsp:val=&quot;00824DF4&quot;/&gt;&lt;wsp:rsid wsp:val=&quot;0082518D&quot;/&gt;&lt;wsp:rsid wsp:val=&quot;00825F44&quot;/&gt;&lt;wsp:rsid wsp:val=&quot;00825FAE&quot;/&gt;&lt;wsp:rsid wsp:val=&quot;008267DE&quot;/&gt;&lt;wsp:rsid wsp:val=&quot;00826D46&quot;/&gt;&lt;wsp:rsid wsp:val=&quot;00826EFD&quot;/&gt;&lt;wsp:rsid wsp:val=&quot;00827656&quot;/&gt;&lt;wsp:rsid wsp:val=&quot;008276BB&quot;/&gt;&lt;wsp:rsid wsp:val=&quot;00827753&quot;/&gt;&lt;wsp:rsid wsp:val=&quot;00827992&quot;/&gt;&lt;wsp:rsid wsp:val=&quot;008279BF&quot;/&gt;&lt;wsp:rsid wsp:val=&quot;008303CB&quot;/&gt;&lt;wsp:rsid wsp:val=&quot;00830AE4&quot;/&gt;&lt;wsp:rsid wsp:val=&quot;00830D15&quot;/&gt;&lt;wsp:rsid wsp:val=&quot;00830DCC&quot;/&gt;&lt;wsp:rsid wsp:val=&quot;00830EFF&quot;/&gt;&lt;wsp:rsid wsp:val=&quot;008310EE&quot;/&gt;&lt;wsp:rsid wsp:val=&quot;00831312&quot;/&gt;&lt;wsp:rsid wsp:val=&quot;00831663&quot;/&gt;&lt;wsp:rsid wsp:val=&quot;008318B9&quot;/&gt;&lt;wsp:rsid wsp:val=&quot;0083198C&quot;/&gt;&lt;wsp:rsid wsp:val=&quot;00831A4B&quot;/&gt;&lt;wsp:rsid wsp:val=&quot;00831E96&quot;/&gt;&lt;wsp:rsid wsp:val=&quot;00832409&quot;/&gt;&lt;wsp:rsid wsp:val=&quot;008325C4&quot;/&gt;&lt;wsp:rsid wsp:val=&quot;00832F48&quot;/&gt;&lt;wsp:rsid wsp:val=&quot;00833495&quot;/&gt;&lt;wsp:rsid wsp:val=&quot;00833B5D&quot;/&gt;&lt;wsp:rsid wsp:val=&quot;00834015&quot;/&gt;&lt;wsp:rsid wsp:val=&quot;0083419D&quot;/&gt;&lt;wsp:rsid wsp:val=&quot;008345B4&quot;/&gt;&lt;wsp:rsid wsp:val=&quot;008345BF&quot;/&gt;&lt;wsp:rsid wsp:val=&quot;0083490E&quot;/&gt;&lt;wsp:rsid wsp:val=&quot;008349E9&quot;/&gt;&lt;wsp:rsid wsp:val=&quot;008359EB&quot;/&gt;&lt;wsp:rsid wsp:val=&quot;008359F5&quot;/&gt;&lt;wsp:rsid wsp:val=&quot;00835A49&quot;/&gt;&lt;wsp:rsid wsp:val=&quot;00835B52&quot;/&gt;&lt;wsp:rsid wsp:val=&quot;00836003&quot;/&gt;&lt;wsp:rsid wsp:val=&quot;00836940&quot;/&gt;&lt;wsp:rsid wsp:val=&quot;008369BB&quot;/&gt;&lt;wsp:rsid wsp:val=&quot;00836F5C&quot;/&gt;&lt;wsp:rsid wsp:val=&quot;008371FC&quot;/&gt;&lt;wsp:rsid wsp:val=&quot;0083766E&quot;/&gt;&lt;wsp:rsid wsp:val=&quot;00840100&quot;/&gt;&lt;wsp:rsid wsp:val=&quot;0084011C&quot;/&gt;&lt;wsp:rsid wsp:val=&quot;00840634&quot;/&gt;&lt;wsp:rsid wsp:val=&quot;008407F6&quot;/&gt;&lt;wsp:rsid wsp:val=&quot;00840AAC&quot;/&gt;&lt;wsp:rsid wsp:val=&quot;00840DF5&quot;/&gt;&lt;wsp:rsid wsp:val=&quot;008411D5&quot;/&gt;&lt;wsp:rsid wsp:val=&quot;008416B7&quot;/&gt;&lt;wsp:rsid wsp:val=&quot;00841B10&quot;/&gt;&lt;wsp:rsid wsp:val=&quot;00841E06&quot;/&gt;&lt;wsp:rsid wsp:val=&quot;0084270C&quot;/&gt;&lt;wsp:rsid wsp:val=&quot;00842A42&quot;/&gt;&lt;wsp:rsid wsp:val=&quot;00842CE6&quot;/&gt;&lt;wsp:rsid wsp:val=&quot;00842DFF&quot;/&gt;&lt;wsp:rsid wsp:val=&quot;00843EB7&quot;/&gt;&lt;wsp:rsid wsp:val=&quot;00844066&quot;/&gt;&lt;wsp:rsid wsp:val=&quot;00844405&quot;/&gt;&lt;wsp:rsid wsp:val=&quot;00844AB7&quot;/&gt;&lt;wsp:rsid wsp:val=&quot;00844C2F&quot;/&gt;&lt;wsp:rsid wsp:val=&quot;00845212&quot;/&gt;&lt;wsp:rsid wsp:val=&quot;00845B59&quot;/&gt;&lt;wsp:rsid wsp:val=&quot;0084617E&quot;/&gt;&lt;wsp:rsid wsp:val=&quot;008461D2&quot;/&gt;&lt;wsp:rsid wsp:val=&quot;008461E2&quot;/&gt;&lt;wsp:rsid wsp:val=&quot;008468E7&quot;/&gt;&lt;wsp:rsid wsp:val=&quot;00846BB4&quot;/&gt;&lt;wsp:rsid wsp:val=&quot;00846C1F&quot;/&gt;&lt;wsp:rsid wsp:val=&quot;008470AD&quot;/&gt;&lt;wsp:rsid wsp:val=&quot;00847206&quot;/&gt;&lt;wsp:rsid wsp:val=&quot;0084763D&quot;/&gt;&lt;wsp:rsid wsp:val=&quot;008500F2&quot;/&gt;&lt;wsp:rsid wsp:val=&quot;00850134&quot;/&gt;&lt;wsp:rsid wsp:val=&quot;008509EA&quot;/&gt;&lt;wsp:rsid wsp:val=&quot;00850D3C&quot;/&gt;&lt;wsp:rsid wsp:val=&quot;008510E5&quot;/&gt;&lt;wsp:rsid wsp:val=&quot;0085123F&quot;/&gt;&lt;wsp:rsid wsp:val=&quot;00851D73&quot;/&gt;&lt;wsp:rsid wsp:val=&quot;00852200&quot;/&gt;&lt;wsp:rsid wsp:val=&quot;0085231E&quot;/&gt;&lt;wsp:rsid wsp:val=&quot;0085235E&quot;/&gt;&lt;wsp:rsid wsp:val=&quot;008524B3&quot;/&gt;&lt;wsp:rsid wsp:val=&quot;00852EEA&quot;/&gt;&lt;wsp:rsid wsp:val=&quot;00852F16&quot;/&gt;&lt;wsp:rsid wsp:val=&quot;008538E3&quot;/&gt;&lt;wsp:rsid wsp:val=&quot;00853AA1&quot;/&gt;&lt;wsp:rsid wsp:val=&quot;00853CE9&quot;/&gt;&lt;wsp:rsid wsp:val=&quot;00853E34&quot;/&gt;&lt;wsp:rsid wsp:val=&quot;00853E80&quot;/&gt;&lt;wsp:rsid wsp:val=&quot;008541CB&quot;/&gt;&lt;wsp:rsid wsp:val=&quot;008544A1&quot;/&gt;&lt;wsp:rsid wsp:val=&quot;008544CA&quot;/&gt;&lt;wsp:rsid wsp:val=&quot;008546B4&quot;/&gt;&lt;wsp:rsid wsp:val=&quot;00854A9C&quot;/&gt;&lt;wsp:rsid wsp:val=&quot;00854C78&quot;/&gt;&lt;wsp:rsid wsp:val=&quot;0085518A&quot;/&gt;&lt;wsp:rsid wsp:val=&quot;00855538&quot;/&gt;&lt;wsp:rsid wsp:val=&quot;00855A2A&quot;/&gt;&lt;wsp:rsid wsp:val=&quot;00855C51&quot;/&gt;&lt;wsp:rsid wsp:val=&quot;00856270&quot;/&gt;&lt;wsp:rsid wsp:val=&quot;00856614&quot;/&gt;&lt;wsp:rsid wsp:val=&quot;0085665F&quot;/&gt;&lt;wsp:rsid wsp:val=&quot;00856A5B&quot;/&gt;&lt;wsp:rsid wsp:val=&quot;00856EB8&quot;/&gt;&lt;wsp:rsid wsp:val=&quot;00856EFB&quot;/&gt;&lt;wsp:rsid wsp:val=&quot;0085724F&quot;/&gt;&lt;wsp:rsid wsp:val=&quot;0085766B&quot;/&gt;&lt;wsp:rsid wsp:val=&quot;00857736&quot;/&gt;&lt;wsp:rsid wsp:val=&quot;00860309&quot;/&gt;&lt;wsp:rsid wsp:val=&quot;00860720&quot;/&gt;&lt;wsp:rsid wsp:val=&quot;0086074E&quot;/&gt;&lt;wsp:rsid wsp:val=&quot;00860ECE&quot;/&gt;&lt;wsp:rsid wsp:val=&quot;0086105A&quot;/&gt;&lt;wsp:rsid wsp:val=&quot;008613DC&quot;/&gt;&lt;wsp:rsid wsp:val=&quot;0086163E&quot;/&gt;&lt;wsp:rsid wsp:val=&quot;008619E7&quot;/&gt;&lt;wsp:rsid wsp:val=&quot;00862064&quot;/&gt;&lt;wsp:rsid wsp:val=&quot;008623F6&quot;/&gt;&lt;wsp:rsid wsp:val=&quot;008626C5&quot;/&gt;&lt;wsp:rsid wsp:val=&quot;00862C2C&quot;/&gt;&lt;wsp:rsid wsp:val=&quot;00862CBE&quot;/&gt;&lt;wsp:rsid wsp:val=&quot;00862CC6&quot;/&gt;&lt;wsp:rsid wsp:val=&quot;00862F76&quot;/&gt;&lt;wsp:rsid wsp:val=&quot;00863013&quot;/&gt;&lt;wsp:rsid wsp:val=&quot;00864149&quot;/&gt;&lt;wsp:rsid wsp:val=&quot;008644EA&quot;/&gt;&lt;wsp:rsid wsp:val=&quot;0086457D&quot;/&gt;&lt;wsp:rsid wsp:val=&quot;008648AD&quot;/&gt;&lt;wsp:rsid wsp:val=&quot;0086528B&quot;/&gt;&lt;wsp:rsid wsp:val=&quot;00865E4A&quot;/&gt;&lt;wsp:rsid wsp:val=&quot;00866041&quot;/&gt;&lt;wsp:rsid wsp:val=&quot;008663D9&quot;/&gt;&lt;wsp:rsid wsp:val=&quot;00866475&quot;/&gt;&lt;wsp:rsid wsp:val=&quot;008666CB&quot;/&gt;&lt;wsp:rsid wsp:val=&quot;00866C8A&quot;/&gt;&lt;wsp:rsid wsp:val=&quot;00866FD8&quot;/&gt;&lt;wsp:rsid wsp:val=&quot;00867317&quot;/&gt;&lt;wsp:rsid wsp:val=&quot;008679B9&quot;/&gt;&lt;wsp:rsid wsp:val=&quot;00867BE3&quot;/&gt;&lt;wsp:rsid wsp:val=&quot;008702F8&quot;/&gt;&lt;wsp:rsid wsp:val=&quot;008703D9&quot;/&gt;&lt;wsp:rsid wsp:val=&quot;00870565&quot;/&gt;&lt;wsp:rsid wsp:val=&quot;008712C3&quot;/&gt;&lt;wsp:rsid wsp:val=&quot;0087143E&quot;/&gt;&lt;wsp:rsid wsp:val=&quot;00871A09&quot;/&gt;&lt;wsp:rsid wsp:val=&quot;00871B31&quot;/&gt;&lt;wsp:rsid wsp:val=&quot;00871C0F&quot;/&gt;&lt;wsp:rsid wsp:val=&quot;00871FCD&quot;/&gt;&lt;wsp:rsid wsp:val=&quot;008721C3&quot;/&gt;&lt;wsp:rsid wsp:val=&quot;008722A4&quot;/&gt;&lt;wsp:rsid wsp:val=&quot;00872393&quot;/&gt;&lt;wsp:rsid wsp:val=&quot;00872591&quot;/&gt;&lt;wsp:rsid wsp:val=&quot;0087277C&quot;/&gt;&lt;wsp:rsid wsp:val=&quot;00872896&quot;/&gt;&lt;wsp:rsid wsp:val=&quot;0087289C&quot;/&gt;&lt;wsp:rsid wsp:val=&quot;00872AE8&quot;/&gt;&lt;wsp:rsid wsp:val=&quot;00872B75&quot;/&gt;&lt;wsp:rsid wsp:val=&quot;008731CB&quot;/&gt;&lt;wsp:rsid wsp:val=&quot;0087366B&quot;/&gt;&lt;wsp:rsid wsp:val=&quot;00874CBC&quot;/&gt;&lt;wsp:rsid wsp:val=&quot;00874CD7&quot;/&gt;&lt;wsp:rsid wsp:val=&quot;0087556F&quot;/&gt;&lt;wsp:rsid wsp:val=&quot;008755B0&quot;/&gt;&lt;wsp:rsid wsp:val=&quot;0087569A&quot;/&gt;&lt;wsp:rsid wsp:val=&quot;00875D94&quot;/&gt;&lt;wsp:rsid wsp:val=&quot;00875EDA&quot;/&gt;&lt;wsp:rsid wsp:val=&quot;00876239&quot;/&gt;&lt;wsp:rsid wsp:val=&quot;00876340&quot;/&gt;&lt;wsp:rsid wsp:val=&quot;0087678D&quot;/&gt;&lt;wsp:rsid wsp:val=&quot;008769E3&quot;/&gt;&lt;wsp:rsid wsp:val=&quot;00876E84&quot;/&gt;&lt;wsp:rsid wsp:val=&quot;00876FF7&quot;/&gt;&lt;wsp:rsid wsp:val=&quot;00877161&quot;/&gt;&lt;wsp:rsid wsp:val=&quot;008779E6&quot;/&gt;&lt;wsp:rsid wsp:val=&quot;00877B53&quot;/&gt;&lt;wsp:rsid wsp:val=&quot;00877C15&quot;/&gt;&lt;wsp:rsid wsp:val=&quot;00877DBC&quot;/&gt;&lt;wsp:rsid wsp:val=&quot;00877E2E&quot;/&gt;&lt;wsp:rsid wsp:val=&quot;00880540&quot;/&gt;&lt;wsp:rsid wsp:val=&quot;00880E78&quot;/&gt;&lt;wsp:rsid wsp:val=&quot;00881098&quot;/&gt;&lt;wsp:rsid wsp:val=&quot;0088123F&quot;/&gt;&lt;wsp:rsid wsp:val=&quot;00881278&quot;/&gt;&lt;wsp:rsid wsp:val=&quot;0088153E&quot;/&gt;&lt;wsp:rsid wsp:val=&quot;00881A78&quot;/&gt;&lt;wsp:rsid wsp:val=&quot;00881C83&quot;/&gt;&lt;wsp:rsid wsp:val=&quot;00881C9B&quot;/&gt;&lt;wsp:rsid wsp:val=&quot;00882509&quot;/&gt;&lt;wsp:rsid wsp:val=&quot;0088274C&quot;/&gt;&lt;wsp:rsid wsp:val=&quot;00882AC8&quot;/&gt;&lt;wsp:rsid wsp:val=&quot;00882E90&quot;/&gt;&lt;wsp:rsid wsp:val=&quot;008836DF&quot;/&gt;&lt;wsp:rsid wsp:val=&quot;008837F7&quot;/&gt;&lt;wsp:rsid wsp:val=&quot;00883BB7&quot;/&gt;&lt;wsp:rsid wsp:val=&quot;00884469&quot;/&gt;&lt;wsp:rsid wsp:val=&quot;008848A2&quot;/&gt;&lt;wsp:rsid wsp:val=&quot;00884C50&quot;/&gt;&lt;wsp:rsid wsp:val=&quot;00884CD4&quot;/&gt;&lt;wsp:rsid wsp:val=&quot;008858FB&quot;/&gt;&lt;wsp:rsid wsp:val=&quot;00885F57&quot;/&gt;&lt;wsp:rsid wsp:val=&quot;0088685D&quot;/&gt;&lt;wsp:rsid wsp:val=&quot;00886CE4&quot;/&gt;&lt;wsp:rsid wsp:val=&quot;00890330&quot;/&gt;&lt;wsp:rsid wsp:val=&quot;0089078F&quot;/&gt;&lt;wsp:rsid wsp:val=&quot;00890835&quot;/&gt;&lt;wsp:rsid wsp:val=&quot;00890B00&quot;/&gt;&lt;wsp:rsid wsp:val=&quot;008910DD&quot;/&gt;&lt;wsp:rsid wsp:val=&quot;008914FE&quot;/&gt;&lt;wsp:rsid wsp:val=&quot;00891788&quot;/&gt;&lt;wsp:rsid wsp:val=&quot;00891D83&quot;/&gt;&lt;wsp:rsid wsp:val=&quot;00891E45&quot;/&gt;&lt;wsp:rsid wsp:val=&quot;00892360&quot;/&gt;&lt;wsp:rsid wsp:val=&quot;00892545&quot;/&gt;&lt;wsp:rsid wsp:val=&quot;00892660&quot;/&gt;&lt;wsp:rsid wsp:val=&quot;008926B3&quot;/&gt;&lt;wsp:rsid wsp:val=&quot;00892B7A&quot;/&gt;&lt;wsp:rsid wsp:val=&quot;00892F8C&quot;/&gt;&lt;wsp:rsid wsp:val=&quot;00893051&quot;/&gt;&lt;wsp:rsid wsp:val=&quot;0089347F&quot;/&gt;&lt;wsp:rsid wsp:val=&quot;008939D3&quot;/&gt;&lt;wsp:rsid wsp:val=&quot;00894096&quot;/&gt;&lt;wsp:rsid wsp:val=&quot;0089421F&quot;/&gt;&lt;wsp:rsid wsp:val=&quot;008943D5&quot;/&gt;&lt;wsp:rsid wsp:val=&quot;00894A10&quot;/&gt;&lt;wsp:rsid wsp:val=&quot;00894DEB&quot;/&gt;&lt;wsp:rsid wsp:val=&quot;00894E64&quot;/&gt;&lt;wsp:rsid wsp:val=&quot;0089535F&quot;/&gt;&lt;wsp:rsid wsp:val=&quot;008955D8&quot;/&gt;&lt;wsp:rsid wsp:val=&quot;008957CE&quot;/&gt;&lt;wsp:rsid wsp:val=&quot;00895B4E&quot;/&gt;&lt;wsp:rsid wsp:val=&quot;00895DB5&quot;/&gt;&lt;wsp:rsid wsp:val=&quot;00895E8B&quot;/&gt;&lt;wsp:rsid wsp:val=&quot;00896A43&quot;/&gt;&lt;wsp:rsid wsp:val=&quot;00896AF6&quot;/&gt;&lt;wsp:rsid wsp:val=&quot;00896B67&quot;/&gt;&lt;wsp:rsid wsp:val=&quot;00896C40&quot;/&gt;&lt;wsp:rsid wsp:val=&quot;008970CC&quot;/&gt;&lt;wsp:rsid wsp:val=&quot;0089728E&quot;/&gt;&lt;wsp:rsid wsp:val=&quot;008974F1&quot;/&gt;&lt;wsp:rsid wsp:val=&quot;00897B02&quot;/&gt;&lt;wsp:rsid wsp:val=&quot;00897C6B&quot;/&gt;&lt;wsp:rsid wsp:val=&quot;00897E7A&quot;/&gt;&lt;wsp:rsid wsp:val=&quot;008A00ED&quot;/&gt;&lt;wsp:rsid wsp:val=&quot;008A0547&quot;/&gt;&lt;wsp:rsid wsp:val=&quot;008A0FE4&quot;/&gt;&lt;wsp:rsid wsp:val=&quot;008A1013&quot;/&gt;&lt;wsp:rsid wsp:val=&quot;008A12BE&quot;/&gt;&lt;wsp:rsid wsp:val=&quot;008A1E46&quot;/&gt;&lt;wsp:rsid wsp:val=&quot;008A1FD1&quot;/&gt;&lt;wsp:rsid wsp:val=&quot;008A20DF&quot;/&gt;&lt;wsp:rsid wsp:val=&quot;008A24A4&quot;/&gt;&lt;wsp:rsid wsp:val=&quot;008A2697&quot;/&gt;&lt;wsp:rsid wsp:val=&quot;008A297A&quot;/&gt;&lt;wsp:rsid wsp:val=&quot;008A2AFD&quot;/&gt;&lt;wsp:rsid wsp:val=&quot;008A2BEE&quot;/&gt;&lt;wsp:rsid wsp:val=&quot;008A31BD&quot;/&gt;&lt;wsp:rsid wsp:val=&quot;008A342D&quot;/&gt;&lt;wsp:rsid wsp:val=&quot;008A3480&quot;/&gt;&lt;wsp:rsid wsp:val=&quot;008A3498&quot;/&gt;&lt;wsp:rsid wsp:val=&quot;008A35D3&quot;/&gt;&lt;wsp:rsid wsp:val=&quot;008A36E0&quot;/&gt;&lt;wsp:rsid wsp:val=&quot;008A38A9&quot;/&gt;&lt;wsp:rsid wsp:val=&quot;008A3C20&quot;/&gt;&lt;wsp:rsid wsp:val=&quot;008A3D2A&quot;/&gt;&lt;wsp:rsid wsp:val=&quot;008A3EB1&quot;/&gt;&lt;wsp:rsid wsp:val=&quot;008A3EC1&quot;/&gt;&lt;wsp:rsid wsp:val=&quot;008A413D&quot;/&gt;&lt;wsp:rsid wsp:val=&quot;008A4B83&quot;/&gt;&lt;wsp:rsid wsp:val=&quot;008A4F91&quot;/&gt;&lt;wsp:rsid wsp:val=&quot;008A6840&quot;/&gt;&lt;wsp:rsid wsp:val=&quot;008A6AC5&quot;/&gt;&lt;wsp:rsid wsp:val=&quot;008A6B6C&quot;/&gt;&lt;wsp:rsid wsp:val=&quot;008A6C57&quot;/&gt;&lt;wsp:rsid wsp:val=&quot;008A6D31&quot;/&gt;&lt;wsp:rsid wsp:val=&quot;008A6D33&quot;/&gt;&lt;wsp:rsid wsp:val=&quot;008A6E55&quot;/&gt;&lt;wsp:rsid wsp:val=&quot;008A6F6F&quot;/&gt;&lt;wsp:rsid wsp:val=&quot;008A71DA&quot;/&gt;&lt;wsp:rsid wsp:val=&quot;008A71F1&quot;/&gt;&lt;wsp:rsid wsp:val=&quot;008A729A&quot;/&gt;&lt;wsp:rsid wsp:val=&quot;008A74B8&quot;/&gt;&lt;wsp:rsid wsp:val=&quot;008A7504&quot;/&gt;&lt;wsp:rsid wsp:val=&quot;008A7CC6&quot;/&gt;&lt;wsp:rsid wsp:val=&quot;008A7F91&quot;/&gt;&lt;wsp:rsid wsp:val=&quot;008B0115&quot;/&gt;&lt;wsp:rsid wsp:val=&quot;008B0407&quot;/&gt;&lt;wsp:rsid wsp:val=&quot;008B043B&quot;/&gt;&lt;wsp:rsid wsp:val=&quot;008B0656&quot;/&gt;&lt;wsp:rsid wsp:val=&quot;008B0A10&quot;/&gt;&lt;wsp:rsid wsp:val=&quot;008B0AEA&quot;/&gt;&lt;wsp:rsid wsp:val=&quot;008B0DE6&quot;/&gt;&lt;wsp:rsid wsp:val=&quot;008B0E42&quot;/&gt;&lt;wsp:rsid wsp:val=&quot;008B103A&quot;/&gt;&lt;wsp:rsid wsp:val=&quot;008B1621&quot;/&gt;&lt;wsp:rsid wsp:val=&quot;008B1A93&quot;/&gt;&lt;wsp:rsid wsp:val=&quot;008B2041&quot;/&gt;&lt;wsp:rsid wsp:val=&quot;008B229B&quot;/&gt;&lt;wsp:rsid wsp:val=&quot;008B2473&quot;/&gt;&lt;wsp:rsid wsp:val=&quot;008B28D9&quot;/&gt;&lt;wsp:rsid wsp:val=&quot;008B34F3&quot;/&gt;&lt;wsp:rsid wsp:val=&quot;008B3697&quot;/&gt;&lt;wsp:rsid wsp:val=&quot;008B378A&quot;/&gt;&lt;wsp:rsid wsp:val=&quot;008B3D95&quot;/&gt;&lt;wsp:rsid wsp:val=&quot;008B41AE&quot;/&gt;&lt;wsp:rsid wsp:val=&quot;008B4461&quot;/&gt;&lt;wsp:rsid wsp:val=&quot;008B46D9&quot;/&gt;&lt;wsp:rsid wsp:val=&quot;008B48F9&quot;/&gt;&lt;wsp:rsid wsp:val=&quot;008B4924&quot;/&gt;&lt;wsp:rsid wsp:val=&quot;008B4BEB&quot;/&gt;&lt;wsp:rsid wsp:val=&quot;008B56A4&quot;/&gt;&lt;wsp:rsid wsp:val=&quot;008B5816&quot;/&gt;&lt;wsp:rsid wsp:val=&quot;008B5A79&quot;/&gt;&lt;wsp:rsid wsp:val=&quot;008B5CDC&quot;/&gt;&lt;wsp:rsid wsp:val=&quot;008B60B1&quot;/&gt;&lt;wsp:rsid wsp:val=&quot;008B6A43&quot;/&gt;&lt;wsp:rsid wsp:val=&quot;008B7359&quot;/&gt;&lt;wsp:rsid wsp:val=&quot;008B74CC&quot;/&gt;&lt;wsp:rsid wsp:val=&quot;008B7A4A&quot;/&gt;&lt;wsp:rsid wsp:val=&quot;008B7FD9&quot;/&gt;&lt;wsp:rsid wsp:val=&quot;008C0097&quot;/&gt;&lt;wsp:rsid wsp:val=&quot;008C06B0&quot;/&gt;&lt;wsp:rsid wsp:val=&quot;008C144E&quot;/&gt;&lt;wsp:rsid wsp:val=&quot;008C1477&quot;/&gt;&lt;wsp:rsid wsp:val=&quot;008C14B0&quot;/&gt;&lt;wsp:rsid wsp:val=&quot;008C1662&quot;/&gt;&lt;wsp:rsid wsp:val=&quot;008C1A84&quot;/&gt;&lt;wsp:rsid wsp:val=&quot;008C25A2&quot;/&gt;&lt;wsp:rsid wsp:val=&quot;008C2810&quot;/&gt;&lt;wsp:rsid wsp:val=&quot;008C2A9B&quot;/&gt;&lt;wsp:rsid wsp:val=&quot;008C2B4F&quot;/&gt;&lt;wsp:rsid wsp:val=&quot;008C2D15&quot;/&gt;&lt;wsp:rsid wsp:val=&quot;008C3315&quot;/&gt;&lt;wsp:rsid wsp:val=&quot;008C360A&quot;/&gt;&lt;wsp:rsid wsp:val=&quot;008C3771&quot;/&gt;&lt;wsp:rsid wsp:val=&quot;008C3933&quot;/&gt;&lt;wsp:rsid wsp:val=&quot;008C3BF8&quot;/&gt;&lt;wsp:rsid wsp:val=&quot;008C3D82&quot;/&gt;&lt;wsp:rsid wsp:val=&quot;008C415D&quot;/&gt;&lt;wsp:rsid wsp:val=&quot;008C42C7&quot;/&gt;&lt;wsp:rsid wsp:val=&quot;008C45CF&quot;/&gt;&lt;wsp:rsid wsp:val=&quot;008C572D&quot;/&gt;&lt;wsp:rsid wsp:val=&quot;008C58D1&quot;/&gt;&lt;wsp:rsid wsp:val=&quot;008C593D&quot;/&gt;&lt;wsp:rsid wsp:val=&quot;008C5FCF&quot;/&gt;&lt;wsp:rsid wsp:val=&quot;008C6149&quot;/&gt;&lt;wsp:rsid wsp:val=&quot;008C67CD&quot;/&gt;&lt;wsp:rsid wsp:val=&quot;008C68C0&quot;/&gt;&lt;wsp:rsid wsp:val=&quot;008C6C4E&quot;/&gt;&lt;wsp:rsid wsp:val=&quot;008C7C21&quot;/&gt;&lt;wsp:rsid wsp:val=&quot;008C7CCA&quot;/&gt;&lt;wsp:rsid wsp:val=&quot;008C7DD4&quot;/&gt;&lt;wsp:rsid wsp:val=&quot;008D01B7&quot;/&gt;&lt;wsp:rsid wsp:val=&quot;008D026B&quot;/&gt;&lt;wsp:rsid wsp:val=&quot;008D0759&quot;/&gt;&lt;wsp:rsid wsp:val=&quot;008D0A83&quot;/&gt;&lt;wsp:rsid wsp:val=&quot;008D0D13&quot;/&gt;&lt;wsp:rsid wsp:val=&quot;008D0EA5&quot;/&gt;&lt;wsp:rsid wsp:val=&quot;008D0EC0&quot;/&gt;&lt;wsp:rsid wsp:val=&quot;008D14AA&quot;/&gt;&lt;wsp:rsid wsp:val=&quot;008D1524&quot;/&gt;&lt;wsp:rsid wsp:val=&quot;008D1682&quot;/&gt;&lt;wsp:rsid wsp:val=&quot;008D18C3&quot;/&gt;&lt;wsp:rsid wsp:val=&quot;008D1ADA&quot;/&gt;&lt;wsp:rsid wsp:val=&quot;008D1EA6&quot;/&gt;&lt;wsp:rsid wsp:val=&quot;008D1F51&quot;/&gt;&lt;wsp:rsid wsp:val=&quot;008D1FFB&quot;/&gt;&lt;wsp:rsid wsp:val=&quot;008D20B5&quot;/&gt;&lt;wsp:rsid wsp:val=&quot;008D2227&quot;/&gt;&lt;wsp:rsid wsp:val=&quot;008D22A8&quot;/&gt;&lt;wsp:rsid wsp:val=&quot;008D22C7&quot;/&gt;&lt;wsp:rsid wsp:val=&quot;008D2904&quot;/&gt;&lt;wsp:rsid wsp:val=&quot;008D2A2C&quot;/&gt;&lt;wsp:rsid wsp:val=&quot;008D2B0C&quot;/&gt;&lt;wsp:rsid wsp:val=&quot;008D3227&quot;/&gt;&lt;wsp:rsid wsp:val=&quot;008D401E&quot;/&gt;&lt;wsp:rsid wsp:val=&quot;008D4832&quot;/&gt;&lt;wsp:rsid wsp:val=&quot;008D498A&quot;/&gt;&lt;wsp:rsid wsp:val=&quot;008D4B52&quot;/&gt;&lt;wsp:rsid wsp:val=&quot;008D4F03&quot;/&gt;&lt;wsp:rsid wsp:val=&quot;008D4F7F&quot;/&gt;&lt;wsp:rsid wsp:val=&quot;008D569C&quot;/&gt;&lt;wsp:rsid wsp:val=&quot;008D5700&quot;/&gt;&lt;wsp:rsid wsp:val=&quot;008D576F&quot;/&gt;&lt;wsp:rsid wsp:val=&quot;008D63DE&quot;/&gt;&lt;wsp:rsid wsp:val=&quot;008D679D&quot;/&gt;&lt;wsp:rsid wsp:val=&quot;008D6A72&quot;/&gt;&lt;wsp:rsid wsp:val=&quot;008D6A73&quot;/&gt;&lt;wsp:rsid wsp:val=&quot;008D6BDA&quot;/&gt;&lt;wsp:rsid wsp:val=&quot;008D6C69&quot;/&gt;&lt;wsp:rsid wsp:val=&quot;008D716D&quot;/&gt;&lt;wsp:rsid wsp:val=&quot;008D7D84&quot;/&gt;&lt;wsp:rsid wsp:val=&quot;008E01D1&quot;/&gt;&lt;wsp:rsid wsp:val=&quot;008E0325&quot;/&gt;&lt;wsp:rsid wsp:val=&quot;008E04CB&quot;/&gt;&lt;wsp:rsid wsp:val=&quot;008E0EB6&quot;/&gt;&lt;wsp:rsid wsp:val=&quot;008E0EF6&quot;/&gt;&lt;wsp:rsid wsp:val=&quot;008E105A&quot;/&gt;&lt;wsp:rsid wsp:val=&quot;008E1363&quot;/&gt;&lt;wsp:rsid wsp:val=&quot;008E13C5&quot;/&gt;&lt;wsp:rsid wsp:val=&quot;008E1DB6&quot;/&gt;&lt;wsp:rsid wsp:val=&quot;008E23CB&quot;/&gt;&lt;wsp:rsid wsp:val=&quot;008E254F&quot;/&gt;&lt;wsp:rsid wsp:val=&quot;008E2953&quot;/&gt;&lt;wsp:rsid wsp:val=&quot;008E30B8&quot;/&gt;&lt;wsp:rsid wsp:val=&quot;008E3314&quot;/&gt;&lt;wsp:rsid wsp:val=&quot;008E3760&quot;/&gt;&lt;wsp:rsid wsp:val=&quot;008E3ECC&quot;/&gt;&lt;wsp:rsid wsp:val=&quot;008E40F1&quot;/&gt;&lt;wsp:rsid wsp:val=&quot;008E428A&quot;/&gt;&lt;wsp:rsid wsp:val=&quot;008E48D5&quot;/&gt;&lt;wsp:rsid wsp:val=&quot;008E4CE7&quot;/&gt;&lt;wsp:rsid wsp:val=&quot;008E5159&quot;/&gt;&lt;wsp:rsid wsp:val=&quot;008E53D0&quot;/&gt;&lt;wsp:rsid wsp:val=&quot;008E56F0&quot;/&gt;&lt;wsp:rsid wsp:val=&quot;008E5A1B&quot;/&gt;&lt;wsp:rsid wsp:val=&quot;008E5AB4&quot;/&gt;&lt;wsp:rsid wsp:val=&quot;008E6EEC&quot;/&gt;&lt;wsp:rsid wsp:val=&quot;008E746A&quot;/&gt;&lt;wsp:rsid wsp:val=&quot;008E774E&quot;/&gt;&lt;wsp:rsid wsp:val=&quot;008E7883&quot;/&gt;&lt;wsp:rsid wsp:val=&quot;008F02B6&quot;/&gt;&lt;wsp:rsid wsp:val=&quot;008F07DA&quot;/&gt;&lt;wsp:rsid wsp:val=&quot;008F0F64&quot;/&gt;&lt;wsp:rsid wsp:val=&quot;008F11A0&quot;/&gt;&lt;wsp:rsid wsp:val=&quot;008F20C0&quot;/&gt;&lt;wsp:rsid wsp:val=&quot;008F2482&quot;/&gt;&lt;wsp:rsid wsp:val=&quot;008F26E0&quot;/&gt;&lt;wsp:rsid wsp:val=&quot;008F2CCA&quot;/&gt;&lt;wsp:rsid wsp:val=&quot;008F2CE9&quot;/&gt;&lt;wsp:rsid wsp:val=&quot;008F2D5C&quot;/&gt;&lt;wsp:rsid wsp:val=&quot;008F2E62&quot;/&gt;&lt;wsp:rsid wsp:val=&quot;008F2FDB&quot;/&gt;&lt;wsp:rsid wsp:val=&quot;008F3A9F&quot;/&gt;&lt;wsp:rsid wsp:val=&quot;008F3FC3&quot;/&gt;&lt;wsp:rsid wsp:val=&quot;008F47FD&quot;/&gt;&lt;wsp:rsid wsp:val=&quot;008F51CF&quot;/&gt;&lt;wsp:rsid wsp:val=&quot;008F51D2&quot;/&gt;&lt;wsp:rsid wsp:val=&quot;008F521C&quot;/&gt;&lt;wsp:rsid wsp:val=&quot;008F563A&quot;/&gt;&lt;wsp:rsid wsp:val=&quot;008F5C44&quot;/&gt;&lt;wsp:rsid wsp:val=&quot;008F5FB5&quot;/&gt;&lt;wsp:rsid wsp:val=&quot;008F60D0&quot;/&gt;&lt;wsp:rsid wsp:val=&quot;008F6501&quot;/&gt;&lt;wsp:rsid wsp:val=&quot;008F665A&quot;/&gt;&lt;wsp:rsid wsp:val=&quot;008F66A7&quot;/&gt;&lt;wsp:rsid wsp:val=&quot;008F6E4C&quot;/&gt;&lt;wsp:rsid wsp:val=&quot;008F72A6&quot;/&gt;&lt;wsp:rsid wsp:val=&quot;008F7380&quot;/&gt;&lt;wsp:rsid wsp:val=&quot;008F73DB&quot;/&gt;&lt;wsp:rsid wsp:val=&quot;008F75D4&quot;/&gt;&lt;wsp:rsid wsp:val=&quot;008F77AE&quot;/&gt;&lt;wsp:rsid wsp:val=&quot;008F79F0&quot;/&gt;&lt;wsp:rsid wsp:val=&quot;00900C54&quot;/&gt;&lt;wsp:rsid wsp:val=&quot;009011A8&quot;/&gt;&lt;wsp:rsid wsp:val=&quot;00901998&quot;/&gt;&lt;wsp:rsid wsp:val=&quot;009019DB&quot;/&gt;&lt;wsp:rsid wsp:val=&quot;00901C46&quot;/&gt;&lt;wsp:rsid wsp:val=&quot;00901D2D&quot;/&gt;&lt;wsp:rsid wsp:val=&quot;009027DD&quot;/&gt;&lt;wsp:rsid wsp:val=&quot;00902E5B&quot;/&gt;&lt;wsp:rsid wsp:val=&quot;0090305D&quot;/&gt;&lt;wsp:rsid wsp:val=&quot;00903679&quot;/&gt;&lt;wsp:rsid wsp:val=&quot;00903820&quot;/&gt;&lt;wsp:rsid wsp:val=&quot;00903909&quot;/&gt;&lt;wsp:rsid wsp:val=&quot;009041A0&quot;/&gt;&lt;wsp:rsid wsp:val=&quot;009041EA&quot;/&gt;&lt;wsp:rsid wsp:val=&quot;009041EE&quot;/&gt;&lt;wsp:rsid wsp:val=&quot;00904349&quot;/&gt;&lt;wsp:rsid wsp:val=&quot;009048ED&quot;/&gt;&lt;wsp:rsid wsp:val=&quot;00904CF0&quot;/&gt;&lt;wsp:rsid wsp:val=&quot;00905093&quot;/&gt;&lt;wsp:rsid wsp:val=&quot;009054B7&quot;/&gt;&lt;wsp:rsid wsp:val=&quot;0090560C&quot;/&gt;&lt;wsp:rsid wsp:val=&quot;0090590C&quot;/&gt;&lt;wsp:rsid wsp:val=&quot;00905AB0&quot;/&gt;&lt;wsp:rsid wsp:val=&quot;00905BF0&quot;/&gt;&lt;wsp:rsid wsp:val=&quot;00905F18&quot;/&gt;&lt;wsp:rsid wsp:val=&quot;00905F43&quot;/&gt;&lt;wsp:rsid wsp:val=&quot;00906362&quot;/&gt;&lt;wsp:rsid wsp:val=&quot;009063F7&quot;/&gt;&lt;wsp:rsid wsp:val=&quot;009064CD&quot;/&gt;&lt;wsp:rsid wsp:val=&quot;00906510&quot;/&gt;&lt;wsp:rsid wsp:val=&quot;00907531&quot;/&gt;&lt;wsp:rsid wsp:val=&quot;009077B4&quot;/&gt;&lt;wsp:rsid wsp:val=&quot;00907F9F&quot;/&gt;&lt;wsp:rsid wsp:val=&quot;009100E4&quot;/&gt;&lt;wsp:rsid wsp:val=&quot;00910164&quot;/&gt;&lt;wsp:rsid wsp:val=&quot;009102E8&quot;/&gt;&lt;wsp:rsid wsp:val=&quot;009104D1&quot;/&gt;&lt;wsp:rsid wsp:val=&quot;00910812&quot;/&gt;&lt;wsp:rsid wsp:val=&quot;00910BC0&quot;/&gt;&lt;wsp:rsid wsp:val=&quot;009113D0&quot;/&gt;&lt;wsp:rsid wsp:val=&quot;00911879&quot;/&gt;&lt;wsp:rsid wsp:val=&quot;0091199C&quot;/&gt;&lt;wsp:rsid wsp:val=&quot;00911CF7&quot;/&gt;&lt;wsp:rsid wsp:val=&quot;009121AA&quot;/&gt;&lt;wsp:rsid wsp:val=&quot;009121DB&quot;/&gt;&lt;wsp:rsid wsp:val=&quot;009127B1&quot;/&gt;&lt;wsp:rsid wsp:val=&quot;00912875&quot;/&gt;&lt;wsp:rsid wsp:val=&quot;00912C0B&quot;/&gt;&lt;wsp:rsid wsp:val=&quot;00913256&quot;/&gt;&lt;wsp:rsid wsp:val=&quot;00913463&quot;/&gt;&lt;wsp:rsid wsp:val=&quot;00913D7D&quot;/&gt;&lt;wsp:rsid wsp:val=&quot;00913DBB&quot;/&gt;&lt;wsp:rsid wsp:val=&quot;00913DF1&quot;/&gt;&lt;wsp:rsid wsp:val=&quot;009140CE&quot;/&gt;&lt;wsp:rsid wsp:val=&quot;00914798&quot;/&gt;&lt;wsp:rsid wsp:val=&quot;00914B6F&quot;/&gt;&lt;wsp:rsid wsp:val=&quot;0091514D&quot;/&gt;&lt;wsp:rsid wsp:val=&quot;009153A9&quot;/&gt;&lt;wsp:rsid wsp:val=&quot;009154C3&quot;/&gt;&lt;wsp:rsid wsp:val=&quot;00915A10&quot;/&gt;&lt;wsp:rsid wsp:val=&quot;009161BA&quot;/&gt;&lt;wsp:rsid wsp:val=&quot;009166F6&quot;/&gt;&lt;wsp:rsid wsp:val=&quot;009168E0&quot;/&gt;&lt;wsp:rsid wsp:val=&quot;00916BB1&quot;/&gt;&lt;wsp:rsid wsp:val=&quot;00916DDB&quot;/&gt;&lt;wsp:rsid wsp:val=&quot;009177FB&quot;/&gt;&lt;wsp:rsid wsp:val=&quot;0092034B&quot;/&gt;&lt;wsp:rsid wsp:val=&quot;00920966&quot;/&gt;&lt;wsp:rsid wsp:val=&quot;00920A68&quot;/&gt;&lt;wsp:rsid wsp:val=&quot;009218D8&quot;/&gt;&lt;wsp:rsid wsp:val=&quot;0092234D&quot;/&gt;&lt;wsp:rsid wsp:val=&quot;00922973&quot;/&gt;&lt;wsp:rsid wsp:val=&quot;00922AEA&quot;/&gt;&lt;wsp:rsid wsp:val=&quot;00923648&quot;/&gt;&lt;wsp:rsid wsp:val=&quot;009237D0&quot;/&gt;&lt;wsp:rsid wsp:val=&quot;00923C69&quot;/&gt;&lt;wsp:rsid wsp:val=&quot;0092430E&quot;/&gt;&lt;wsp:rsid wsp:val=&quot;009245C6&quot;/&gt;&lt;wsp:rsid wsp:val=&quot;00924BD6&quot;/&gt;&lt;wsp:rsid wsp:val=&quot;00924F37&quot;/&gt;&lt;wsp:rsid wsp:val=&quot;00925215&quot;/&gt;&lt;wsp:rsid wsp:val=&quot;00925250&quot;/&gt;&lt;wsp:rsid wsp:val=&quot;009252A2&quot;/&gt;&lt;wsp:rsid wsp:val=&quot;0092546C&quot;/&gt;&lt;wsp:rsid wsp:val=&quot;0092567E&quot;/&gt;&lt;wsp:rsid wsp:val=&quot;00925F75&quot;/&gt;&lt;wsp:rsid wsp:val=&quot;009266DF&quot;/&gt;&lt;wsp:rsid wsp:val=&quot;009267B1&quot;/&gt;&lt;wsp:rsid wsp:val=&quot;00926949&quot;/&gt;&lt;wsp:rsid wsp:val=&quot;00926A51&quot;/&gt;&lt;wsp:rsid wsp:val=&quot;00926D4F&quot;/&gt;&lt;wsp:rsid wsp:val=&quot;00926DA8&quot;/&gt;&lt;wsp:rsid wsp:val=&quot;0092736C&quot;/&gt;&lt;wsp:rsid wsp:val=&quot;009274CB&quot;/&gt;&lt;wsp:rsid wsp:val=&quot;009276BB&quot;/&gt;&lt;wsp:rsid wsp:val=&quot;00927DC0&quot;/&gt;&lt;wsp:rsid wsp:val=&quot;00927F48&quot;/&gt;&lt;wsp:rsid wsp:val=&quot;00930177&quot;/&gt;&lt;wsp:rsid wsp:val=&quot;00930285&quot;/&gt;&lt;wsp:rsid wsp:val=&quot;009304B3&quot;/&gt;&lt;wsp:rsid wsp:val=&quot;00930520&quot;/&gt;&lt;wsp:rsid wsp:val=&quot;0093074F&quot;/&gt;&lt;wsp:rsid wsp:val=&quot;0093081D&quot;/&gt;&lt;wsp:rsid wsp:val=&quot;00930A9B&quot;/&gt;&lt;wsp:rsid wsp:val=&quot;0093101A&quot;/&gt;&lt;wsp:rsid wsp:val=&quot;00931142&quot;/&gt;&lt;wsp:rsid wsp:val=&quot;00931CC4&quot;/&gt;&lt;wsp:rsid wsp:val=&quot;009323BE&quot;/&gt;&lt;wsp:rsid wsp:val=&quot;0093281C&quot;/&gt;&lt;wsp:rsid wsp:val=&quot;00932835&quot;/&gt;&lt;wsp:rsid wsp:val=&quot;00933263&quot;/&gt;&lt;wsp:rsid wsp:val=&quot;00933411&quot;/&gt;&lt;wsp:rsid wsp:val=&quot;00933952&quot;/&gt;&lt;wsp:rsid wsp:val=&quot;00933AF4&quot;/&gt;&lt;wsp:rsid wsp:val=&quot;00933BF1&quot;/&gt;&lt;wsp:rsid wsp:val=&quot;0093411D&quot;/&gt;&lt;wsp:rsid wsp:val=&quot;00934205&quot;/&gt;&lt;wsp:rsid wsp:val=&quot;009343F2&quot;/&gt;&lt;wsp:rsid wsp:val=&quot;009345C7&quot;/&gt;&lt;wsp:rsid wsp:val=&quot;00934D58&quot;/&gt;&lt;wsp:rsid wsp:val=&quot;0093521A&quot;/&gt;&lt;wsp:rsid wsp:val=&quot;00935555&quot;/&gt;&lt;wsp:rsid wsp:val=&quot;009355E6&quot;/&gt;&lt;wsp:rsid wsp:val=&quot;00935BDC&quot;/&gt;&lt;wsp:rsid wsp:val=&quot;009360D2&quot;/&gt;&lt;wsp:rsid wsp:val=&quot;00936428&quot;/&gt;&lt;wsp:rsid wsp:val=&quot;0093701D&quot;/&gt;&lt;wsp:rsid wsp:val=&quot;0093705E&quot;/&gt;&lt;wsp:rsid wsp:val=&quot;009372CA&quot;/&gt;&lt;wsp:rsid wsp:val=&quot;009376FA&quot;/&gt;&lt;wsp:rsid wsp:val=&quot;00937762&quot;/&gt;&lt;wsp:rsid wsp:val=&quot;00937EC4&quot;/&gt;&lt;wsp:rsid wsp:val=&quot;0094026A&quot;/&gt;&lt;wsp:rsid wsp:val=&quot;00940AAD&quot;/&gt;&lt;wsp:rsid wsp:val=&quot;00940CA4&quot;/&gt;&lt;wsp:rsid wsp:val=&quot;0094167A&quot;/&gt;&lt;wsp:rsid wsp:val=&quot;0094178A&quot;/&gt;&lt;wsp:rsid wsp:val=&quot;009432AC&quot;/&gt;&lt;wsp:rsid wsp:val=&quot;009439C3&quot;/&gt;&lt;wsp:rsid wsp:val=&quot;00943E28&quot;/&gt;&lt;wsp:rsid wsp:val=&quot;00943FB4&quot;/&gt;&lt;wsp:rsid wsp:val=&quot;0094456C&quot;/&gt;&lt;wsp:rsid wsp:val=&quot;009445FB&quot;/&gt;&lt;wsp:rsid wsp:val=&quot;009446EB&quot;/&gt;&lt;wsp:rsid wsp:val=&quot;00944963&quot;/&gt;&lt;wsp:rsid wsp:val=&quot;00944B24&quot;/&gt;&lt;wsp:rsid wsp:val=&quot;00944D7F&quot;/&gt;&lt;wsp:rsid wsp:val=&quot;00944FEC&quot;/&gt;&lt;wsp:rsid wsp:val=&quot;00946510&quot;/&gt;&lt;wsp:rsid wsp:val=&quot;009466E8&quot;/&gt;&lt;wsp:rsid wsp:val=&quot;00946C20&quot;/&gt;&lt;wsp:rsid wsp:val=&quot;009471BC&quot;/&gt;&lt;wsp:rsid wsp:val=&quot;00947342&quot;/&gt;&lt;wsp:rsid wsp:val=&quot;0094759D&quot;/&gt;&lt;wsp:rsid wsp:val=&quot;00947A25&quot;/&gt;&lt;wsp:rsid wsp:val=&quot;00947CFC&quot;/&gt;&lt;wsp:rsid wsp:val=&quot;00947E1C&quot;/&gt;&lt;wsp:rsid wsp:val=&quot;00947EF8&quot;/&gt;&lt;wsp:rsid wsp:val=&quot;009505EA&quot;/&gt;&lt;wsp:rsid wsp:val=&quot;00950F95&quot;/&gt;&lt;wsp:rsid wsp:val=&quot;009513E7&quot;/&gt;&lt;wsp:rsid wsp:val=&quot;00951659&quot;/&gt;&lt;wsp:rsid wsp:val=&quot;00951739&quot;/&gt;&lt;wsp:rsid wsp:val=&quot;0095176E&quot;/&gt;&lt;wsp:rsid wsp:val=&quot;00951C00&quot;/&gt;&lt;wsp:rsid wsp:val=&quot;00951CB7&quot;/&gt;&lt;wsp:rsid wsp:val=&quot;00952A08&quot;/&gt;&lt;wsp:rsid wsp:val=&quot;00953104&quot;/&gt;&lt;wsp:rsid wsp:val=&quot;0095311A&quot;/&gt;&lt;wsp:rsid wsp:val=&quot;009533DB&quot;/&gt;&lt;wsp:rsid wsp:val=&quot;00953E3F&quot;/&gt;&lt;wsp:rsid wsp:val=&quot;0095413E&quot;/&gt;&lt;wsp:rsid wsp:val=&quot;00954483&quot;/&gt;&lt;wsp:rsid wsp:val=&quot;00954569&quot;/&gt;&lt;wsp:rsid wsp:val=&quot;00954AB2&quot;/&gt;&lt;wsp:rsid wsp:val=&quot;00955074&quot;/&gt;&lt;wsp:rsid wsp:val=&quot;009551DF&quot;/&gt;&lt;wsp:rsid wsp:val=&quot;009557C6&quot;/&gt;&lt;wsp:rsid wsp:val=&quot;00955B64&quot;/&gt;&lt;wsp:rsid wsp:val=&quot;00955B83&quot;/&gt;&lt;wsp:rsid wsp:val=&quot;00955C3F&quot;/&gt;&lt;wsp:rsid wsp:val=&quot;00955CA6&quot;/&gt;&lt;wsp:rsid wsp:val=&quot;00956093&quot;/&gt;&lt;wsp:rsid wsp:val=&quot;009563A6&quot;/&gt;&lt;wsp:rsid wsp:val=&quot;009569B4&quot;/&gt;&lt;wsp:rsid wsp:val=&quot;00956C6D&quot;/&gt;&lt;wsp:rsid wsp:val=&quot;00956EF6&quot;/&gt;&lt;wsp:rsid wsp:val=&quot;009570C9&quot;/&gt;&lt;wsp:rsid wsp:val=&quot;00957610&quot;/&gt;&lt;wsp:rsid wsp:val=&quot;00957D67&quot;/&gt;&lt;wsp:rsid wsp:val=&quot;00957E30&quot;/&gt;&lt;wsp:rsid wsp:val=&quot;00957F8C&quot;/&gt;&lt;wsp:rsid wsp:val=&quot;009609E9&quot;/&gt;&lt;wsp:rsid wsp:val=&quot;00960F07&quot;/&gt;&lt;wsp:rsid wsp:val=&quot;00961202&quot;/&gt;&lt;wsp:rsid wsp:val=&quot;0096129E&quot;/&gt;&lt;wsp:rsid wsp:val=&quot;00961567&quot;/&gt;&lt;wsp:rsid wsp:val=&quot;0096159D&quot;/&gt;&lt;wsp:rsid wsp:val=&quot;00961C07&quot;/&gt;&lt;wsp:rsid wsp:val=&quot;00961EBD&quot;/&gt;&lt;wsp:rsid wsp:val=&quot;00961FEF&quot;/&gt;&lt;wsp:rsid wsp:val=&quot;009621FC&quot;/&gt;&lt;wsp:rsid wsp:val=&quot;00962203&quot;/&gt;&lt;wsp:rsid wsp:val=&quot;009625A0&quot;/&gt;&lt;wsp:rsid wsp:val=&quot;00962763&quot;/&gt;&lt;wsp:rsid wsp:val=&quot;009628A3&quot;/&gt;&lt;wsp:rsid wsp:val=&quot;00962902&quot;/&gt;&lt;wsp:rsid wsp:val=&quot;00962940&quot;/&gt;&lt;wsp:rsid wsp:val=&quot;00962966&quot;/&gt;&lt;wsp:rsid wsp:val=&quot;00962CBE&quot;/&gt;&lt;wsp:rsid wsp:val=&quot;00962E98&quot;/&gt;&lt;wsp:rsid wsp:val=&quot;00963153&quot;/&gt;&lt;wsp:rsid wsp:val=&quot;00963723&quot;/&gt;&lt;wsp:rsid wsp:val=&quot;00963BC7&quot;/&gt;&lt;wsp:rsid wsp:val=&quot;00963E29&quot;/&gt;&lt;wsp:rsid wsp:val=&quot;00963FBC&quot;/&gt;&lt;wsp:rsid wsp:val=&quot;009640F6&quot;/&gt;&lt;wsp:rsid wsp:val=&quot;00964332&quot;/&gt;&lt;wsp:rsid wsp:val=&quot;00964346&quot;/&gt;&lt;wsp:rsid wsp:val=&quot;009646AB&quot;/&gt;&lt;wsp:rsid wsp:val=&quot;00964D93&quot;/&gt;&lt;wsp:rsid wsp:val=&quot;00964F73&quot;/&gt;&lt;wsp:rsid wsp:val=&quot;0096598D&quot;/&gt;&lt;wsp:rsid wsp:val=&quot;00965D1A&quot;/&gt;&lt;wsp:rsid wsp:val=&quot;00965DCD&quot;/&gt;&lt;wsp:rsid wsp:val=&quot;00965FCA&quot;/&gt;&lt;wsp:rsid wsp:val=&quot;009661CB&quot;/&gt;&lt;wsp:rsid wsp:val=&quot;009667CD&quot;/&gt;&lt;wsp:rsid wsp:val=&quot;00966BEA&quot;/&gt;&lt;wsp:rsid wsp:val=&quot;00966D5B&quot;/&gt;&lt;wsp:rsid wsp:val=&quot;00966DDB&quot;/&gt;&lt;wsp:rsid wsp:val=&quot;00967120&quot;/&gt;&lt;wsp:rsid wsp:val=&quot;009676ED&quot;/&gt;&lt;wsp:rsid wsp:val=&quot;009676FF&quot;/&gt;&lt;wsp:rsid wsp:val=&quot;00967A22&quot;/&gt;&lt;wsp:rsid wsp:val=&quot;009703FD&quot;/&gt;&lt;wsp:rsid wsp:val=&quot;00970690&quot;/&gt;&lt;wsp:rsid wsp:val=&quot;00970CC0&quot;/&gt;&lt;wsp:rsid wsp:val=&quot;0097108F&quot;/&gt;&lt;wsp:rsid wsp:val=&quot;00971130&quot;/&gt;&lt;wsp:rsid wsp:val=&quot;009711C1&quot;/&gt;&lt;wsp:rsid wsp:val=&quot;009713A6&quot;/&gt;&lt;wsp:rsid wsp:val=&quot;00971436&quot;/&gt;&lt;wsp:rsid wsp:val=&quot;0097160C&quot;/&gt;&lt;wsp:rsid wsp:val=&quot;00971701&quot;/&gt;&lt;wsp:rsid wsp:val=&quot;0097187A&quot;/&gt;&lt;wsp:rsid wsp:val=&quot;00971ACC&quot;/&gt;&lt;wsp:rsid wsp:val=&quot;00971B03&quot;/&gt;&lt;wsp:rsid wsp:val=&quot;00971B70&quot;/&gt;&lt;wsp:rsid wsp:val=&quot;00971BB3&quot;/&gt;&lt;wsp:rsid wsp:val=&quot;00971F0A&quot;/&gt;&lt;wsp:rsid wsp:val=&quot;0097202F&quot;/&gt;&lt;wsp:rsid wsp:val=&quot;00972122&quot;/&gt;&lt;wsp:rsid wsp:val=&quot;00972236&quot;/&gt;&lt;wsp:rsid wsp:val=&quot;009727C9&quot;/&gt;&lt;wsp:rsid wsp:val=&quot;00972CFF&quot;/&gt;&lt;wsp:rsid wsp:val=&quot;00972D3E&quot;/&gt;&lt;wsp:rsid wsp:val=&quot;009737DF&quot;/&gt;&lt;wsp:rsid wsp:val=&quot;009738AD&quot;/&gt;&lt;wsp:rsid wsp:val=&quot;00973912&quot;/&gt;&lt;wsp:rsid wsp:val=&quot;00973D43&quot;/&gt;&lt;wsp:rsid wsp:val=&quot;00973DE7&quot;/&gt;&lt;wsp:rsid wsp:val=&quot;00973F83&quot;/&gt;&lt;wsp:rsid wsp:val=&quot;009742E2&quot;/&gt;&lt;wsp:rsid wsp:val=&quot;0097441B&quot;/&gt;&lt;wsp:rsid wsp:val=&quot;0097459E&quot;/&gt;&lt;wsp:rsid wsp:val=&quot;00974890&quot;/&gt;&lt;wsp:rsid wsp:val=&quot;00974C08&quot;/&gt;&lt;wsp:rsid wsp:val=&quot;009752C4&quot;/&gt;&lt;wsp:rsid wsp:val=&quot;00975D24&quot;/&gt;&lt;wsp:rsid wsp:val=&quot;00975F1F&quot;/&gt;&lt;wsp:rsid wsp:val=&quot;00975FAA&quot;/&gt;&lt;wsp:rsid wsp:val=&quot;009764B6&quot;/&gt;&lt;wsp:rsid wsp:val=&quot;00976A85&quot;/&gt;&lt;wsp:rsid wsp:val=&quot;00976F1F&quot;/&gt;&lt;wsp:rsid wsp:val=&quot;00977211&quot;/&gt;&lt;wsp:rsid wsp:val=&quot;0097726F&quot;/&gt;&lt;wsp:rsid wsp:val=&quot;009772D2&quot;/&gt;&lt;wsp:rsid wsp:val=&quot;0097767C&quot;/&gt;&lt;wsp:rsid wsp:val=&quot;00980234&quot;/&gt;&lt;wsp:rsid wsp:val=&quot;009803DA&quot;/&gt;&lt;wsp:rsid wsp:val=&quot;00980405&quot;/&gt;&lt;wsp:rsid wsp:val=&quot;00980480&quot;/&gt;&lt;wsp:rsid wsp:val=&quot;00980B2B&quot;/&gt;&lt;wsp:rsid wsp:val=&quot;00980B99&quot;/&gt;&lt;wsp:rsid wsp:val=&quot;009810F9&quot;/&gt;&lt;wsp:rsid wsp:val=&quot;0098127A&quot;/&gt;&lt;wsp:rsid wsp:val=&quot;00981708&quot;/&gt;&lt;wsp:rsid wsp:val=&quot;00981E5A&quot;/&gt;&lt;wsp:rsid wsp:val=&quot;00981F21&quot;/&gt;&lt;wsp:rsid wsp:val=&quot;00982245&quot;/&gt;&lt;wsp:rsid wsp:val=&quot;00982EC7&quot;/&gt;&lt;wsp:rsid wsp:val=&quot;00983216&quot;/&gt;&lt;wsp:rsid wsp:val=&quot;00983297&quot;/&gt;&lt;wsp:rsid wsp:val=&quot;00983398&quot;/&gt;&lt;wsp:rsid wsp:val=&quot;009838B6&quot;/&gt;&lt;wsp:rsid wsp:val=&quot;00983984&quot;/&gt;&lt;wsp:rsid wsp:val=&quot;00983B0C&quot;/&gt;&lt;wsp:rsid wsp:val=&quot;00983B0F&quot;/&gt;&lt;wsp:rsid wsp:val=&quot;00983F3D&quot;/&gt;&lt;wsp:rsid wsp:val=&quot;00984399&quot;/&gt;&lt;wsp:rsid wsp:val=&quot;009843E6&quot;/&gt;&lt;wsp:rsid wsp:val=&quot;009853D1&quot;/&gt;&lt;wsp:rsid wsp:val=&quot;0098563A&quot;/&gt;&lt;wsp:rsid wsp:val=&quot;00985995&quot;/&gt;&lt;wsp:rsid wsp:val=&quot;00985F38&quot;/&gt;&lt;wsp:rsid wsp:val=&quot;0098606E&quot;/&gt;&lt;wsp:rsid wsp:val=&quot;00986199&quot;/&gt;&lt;wsp:rsid wsp:val=&quot;009867C1&quot;/&gt;&lt;wsp:rsid wsp:val=&quot;00986848&quot;/&gt;&lt;wsp:rsid wsp:val=&quot;009875F4&quot;/&gt;&lt;wsp:rsid wsp:val=&quot;00987728&quot;/&gt;&lt;wsp:rsid wsp:val=&quot;009879A0&quot;/&gt;&lt;wsp:rsid wsp:val=&quot;00987C73&quot;/&gt;&lt;wsp:rsid wsp:val=&quot;00987C83&quot;/&gt;&lt;wsp:rsid wsp:val=&quot;00987CAA&quot;/&gt;&lt;wsp:rsid wsp:val=&quot;00987D6A&quot;/&gt;&lt;wsp:rsid wsp:val=&quot;009904A0&quot;/&gt;&lt;wsp:rsid wsp:val=&quot;00990EA6&quot;/&gt;&lt;wsp:rsid wsp:val=&quot;009910F0&quot;/&gt;&lt;wsp:rsid wsp:val=&quot;0099174D&quot;/&gt;&lt;wsp:rsid wsp:val=&quot;0099190A&quot;/&gt;&lt;wsp:rsid wsp:val=&quot;00991D1B&quot;/&gt;&lt;wsp:rsid wsp:val=&quot;0099224A&quot;/&gt;&lt;wsp:rsid wsp:val=&quot;00992436&quot;/&gt;&lt;wsp:rsid wsp:val=&quot;00992AD1&quot;/&gt;&lt;wsp:rsid wsp:val=&quot;009930C1&quot;/&gt;&lt;wsp:rsid wsp:val=&quot;009933A4&quot;/&gt;&lt;wsp:rsid wsp:val=&quot;009938C3&quot;/&gt;&lt;wsp:rsid wsp:val=&quot;00993D0A&quot;/&gt;&lt;wsp:rsid wsp:val=&quot;0099417C&quot;/&gt;&lt;wsp:rsid wsp:val=&quot;009956DA&quot;/&gt;&lt;wsp:rsid wsp:val=&quot;00995897&quot;/&gt;&lt;wsp:rsid wsp:val=&quot;00995D35&quot;/&gt;&lt;wsp:rsid wsp:val=&quot;0099622A&quot;/&gt;&lt;wsp:rsid wsp:val=&quot;0099631F&quot;/&gt;&lt;wsp:rsid wsp:val=&quot;009965A1&quot;/&gt;&lt;wsp:rsid wsp:val=&quot;00996BB7&quot;/&gt;&lt;wsp:rsid wsp:val=&quot;00996BD9&quot;/&gt;&lt;wsp:rsid wsp:val=&quot;00996ED4&quot;/&gt;&lt;wsp:rsid wsp:val=&quot;00997200&quot;/&gt;&lt;wsp:rsid wsp:val=&quot;0099749F&quot;/&gt;&lt;wsp:rsid wsp:val=&quot;00997629&quot;/&gt;&lt;wsp:rsid wsp:val=&quot;009978EA&quot;/&gt;&lt;wsp:rsid wsp:val=&quot;00997F33&quot;/&gt;&lt;wsp:rsid wsp:val=&quot;009A00F0&quot;/&gt;&lt;wsp:rsid wsp:val=&quot;009A02B9&quot;/&gt;&lt;wsp:rsid wsp:val=&quot;009A0B39&quot;/&gt;&lt;wsp:rsid wsp:val=&quot;009A0D89&quot;/&gt;&lt;wsp:rsid wsp:val=&quot;009A137B&quot;/&gt;&lt;wsp:rsid wsp:val=&quot;009A145A&quot;/&gt;&lt;wsp:rsid wsp:val=&quot;009A15EF&quot;/&gt;&lt;wsp:rsid wsp:val=&quot;009A18BD&quot;/&gt;&lt;wsp:rsid wsp:val=&quot;009A1A33&quot;/&gt;&lt;wsp:rsid wsp:val=&quot;009A1D33&quot;/&gt;&lt;wsp:rsid wsp:val=&quot;009A1EFD&quot;/&gt;&lt;wsp:rsid wsp:val=&quot;009A2336&quot;/&gt;&lt;wsp:rsid wsp:val=&quot;009A2499&quot;/&gt;&lt;wsp:rsid wsp:val=&quot;009A252C&quot;/&gt;&lt;wsp:rsid wsp:val=&quot;009A33BE&quot;/&gt;&lt;wsp:rsid wsp:val=&quot;009A377F&quot;/&gt;&lt;wsp:rsid wsp:val=&quot;009A3A6C&quot;/&gt;&lt;wsp:rsid wsp:val=&quot;009A3CAF&quot;/&gt;&lt;wsp:rsid wsp:val=&quot;009A42C4&quot;/&gt;&lt;wsp:rsid wsp:val=&quot;009A436D&quot;/&gt;&lt;wsp:rsid wsp:val=&quot;009A46DD&quot;/&gt;&lt;wsp:rsid wsp:val=&quot;009A4C26&quot;/&gt;&lt;wsp:rsid wsp:val=&quot;009A4DD7&quot;/&gt;&lt;wsp:rsid wsp:val=&quot;009A4EC0&quot;/&gt;&lt;wsp:rsid wsp:val=&quot;009A4FD8&quot;/&gt;&lt;wsp:rsid wsp:val=&quot;009A52AD&quot;/&gt;&lt;wsp:rsid wsp:val=&quot;009A5857&quot;/&gt;&lt;wsp:rsid wsp:val=&quot;009A59D4&quot;/&gt;&lt;wsp:rsid wsp:val=&quot;009A5A59&quot;/&gt;&lt;wsp:rsid wsp:val=&quot;009A5EF7&quot;/&gt;&lt;wsp:rsid wsp:val=&quot;009A5F62&quot;/&gt;&lt;wsp:rsid wsp:val=&quot;009A652B&quot;/&gt;&lt;wsp:rsid wsp:val=&quot;009A66FC&quot;/&gt;&lt;wsp:rsid wsp:val=&quot;009A6756&quot;/&gt;&lt;wsp:rsid wsp:val=&quot;009A6BFF&quot;/&gt;&lt;wsp:rsid wsp:val=&quot;009A7041&quot;/&gt;&lt;wsp:rsid wsp:val=&quot;009A7312&quot;/&gt;&lt;wsp:rsid wsp:val=&quot;009A77E7&quot;/&gt;&lt;wsp:rsid wsp:val=&quot;009A7996&quot;/&gt;&lt;wsp:rsid wsp:val=&quot;009A7C82&quot;/&gt;&lt;wsp:rsid wsp:val=&quot;009B06B2&quot;/&gt;&lt;wsp:rsid wsp:val=&quot;009B074A&quot;/&gt;&lt;wsp:rsid wsp:val=&quot;009B0D10&quot;/&gt;&lt;wsp:rsid wsp:val=&quot;009B0FFD&quot;/&gt;&lt;wsp:rsid wsp:val=&quot;009B139A&quot;/&gt;&lt;wsp:rsid wsp:val=&quot;009B160E&quot;/&gt;&lt;wsp:rsid wsp:val=&quot;009B1D77&quot;/&gt;&lt;wsp:rsid wsp:val=&quot;009B1EAF&quot;/&gt;&lt;wsp:rsid wsp:val=&quot;009B1F73&quot;/&gt;&lt;wsp:rsid wsp:val=&quot;009B1F8A&quot;/&gt;&lt;wsp:rsid wsp:val=&quot;009B2358&quot;/&gt;&lt;wsp:rsid wsp:val=&quot;009B2C09&quot;/&gt;&lt;wsp:rsid wsp:val=&quot;009B2D06&quot;/&gt;&lt;wsp:rsid wsp:val=&quot;009B2F5E&quot;/&gt;&lt;wsp:rsid wsp:val=&quot;009B30EA&quot;/&gt;&lt;wsp:rsid wsp:val=&quot;009B3E63&quot;/&gt;&lt;wsp:rsid wsp:val=&quot;009B40F6&quot;/&gt;&lt;wsp:rsid wsp:val=&quot;009B4328&quot;/&gt;&lt;wsp:rsid wsp:val=&quot;009B43F7&quot;/&gt;&lt;wsp:rsid wsp:val=&quot;009B4F11&quot;/&gt;&lt;wsp:rsid wsp:val=&quot;009B5D3B&quot;/&gt;&lt;wsp:rsid wsp:val=&quot;009B5F52&quot;/&gt;&lt;wsp:rsid wsp:val=&quot;009B6216&quot;/&gt;&lt;wsp:rsid wsp:val=&quot;009B635C&quot;/&gt;&lt;wsp:rsid wsp:val=&quot;009B65CF&quot;/&gt;&lt;wsp:rsid wsp:val=&quot;009B6859&quot;/&gt;&lt;wsp:rsid wsp:val=&quot;009B6C8B&quot;/&gt;&lt;wsp:rsid wsp:val=&quot;009B6CB2&quot;/&gt;&lt;wsp:rsid wsp:val=&quot;009B72DF&quot;/&gt;&lt;wsp:rsid wsp:val=&quot;009B748A&quot;/&gt;&lt;wsp:rsid wsp:val=&quot;009B7AB4&quot;/&gt;&lt;wsp:rsid wsp:val=&quot;009C028C&quot;/&gt;&lt;wsp:rsid wsp:val=&quot;009C05E8&quot;/&gt;&lt;wsp:rsid wsp:val=&quot;009C0612&quot;/&gt;&lt;wsp:rsid wsp:val=&quot;009C0F09&quot;/&gt;&lt;wsp:rsid wsp:val=&quot;009C1413&quot;/&gt;&lt;wsp:rsid wsp:val=&quot;009C1560&quot;/&gt;&lt;wsp:rsid wsp:val=&quot;009C1945&quot;/&gt;&lt;wsp:rsid wsp:val=&quot;009C1CA5&quot;/&gt;&lt;wsp:rsid wsp:val=&quot;009C1D3A&quot;/&gt;&lt;wsp:rsid wsp:val=&quot;009C1E4E&quot;/&gt;&lt;wsp:rsid wsp:val=&quot;009C20A2&quot;/&gt;&lt;wsp:rsid wsp:val=&quot;009C2430&quot;/&gt;&lt;wsp:rsid wsp:val=&quot;009C30AE&quot;/&gt;&lt;wsp:rsid wsp:val=&quot;009C3482&quot;/&gt;&lt;wsp:rsid wsp:val=&quot;009C372E&quot;/&gt;&lt;wsp:rsid wsp:val=&quot;009C3A12&quot;/&gt;&lt;wsp:rsid wsp:val=&quot;009C3C1D&quot;/&gt;&lt;wsp:rsid wsp:val=&quot;009C3EB5&quot;/&gt;&lt;wsp:rsid wsp:val=&quot;009C4090&quot;/&gt;&lt;wsp:rsid wsp:val=&quot;009C47A0&quot;/&gt;&lt;wsp:rsid wsp:val=&quot;009C4962&quot;/&gt;&lt;wsp:rsid wsp:val=&quot;009C4BF2&quot;/&gt;&lt;wsp:rsid wsp:val=&quot;009C4FE2&quot;/&gt;&lt;wsp:rsid wsp:val=&quot;009C503C&quot;/&gt;&lt;wsp:rsid wsp:val=&quot;009C5566&quot;/&gt;&lt;wsp:rsid wsp:val=&quot;009C5580&quot;/&gt;&lt;wsp:rsid wsp:val=&quot;009C5616&quot;/&gt;&lt;wsp:rsid wsp:val=&quot;009C56E0&quot;/&gt;&lt;wsp:rsid wsp:val=&quot;009C5B78&quot;/&gt;&lt;wsp:rsid wsp:val=&quot;009C5F15&quot;/&gt;&lt;wsp:rsid wsp:val=&quot;009C6067&quot;/&gt;&lt;wsp:rsid wsp:val=&quot;009C6072&quot;/&gt;&lt;wsp:rsid wsp:val=&quot;009C662B&quot;/&gt;&lt;wsp:rsid wsp:val=&quot;009C7213&quot;/&gt;&lt;wsp:rsid wsp:val=&quot;009C7F6A&quot;/&gt;&lt;wsp:rsid wsp:val=&quot;009D02E3&quot;/&gt;&lt;wsp:rsid wsp:val=&quot;009D0A69&quot;/&gt;&lt;wsp:rsid wsp:val=&quot;009D0AD0&quot;/&gt;&lt;wsp:rsid wsp:val=&quot;009D0DDA&quot;/&gt;&lt;wsp:rsid wsp:val=&quot;009D1217&quot;/&gt;&lt;wsp:rsid wsp:val=&quot;009D1992&quot;/&gt;&lt;wsp:rsid wsp:val=&quot;009D1BC4&quot;/&gt;&lt;wsp:rsid wsp:val=&quot;009D24A9&quot;/&gt;&lt;wsp:rsid wsp:val=&quot;009D2809&quot;/&gt;&lt;wsp:rsid wsp:val=&quot;009D295E&quot;/&gt;&lt;wsp:rsid wsp:val=&quot;009D2B2D&quot;/&gt;&lt;wsp:rsid wsp:val=&quot;009D2CBD&quot;/&gt;&lt;wsp:rsid wsp:val=&quot;009D2D5B&quot;/&gt;&lt;wsp:rsid wsp:val=&quot;009D33B4&quot;/&gt;&lt;wsp:rsid wsp:val=&quot;009D36DD&quot;/&gt;&lt;wsp:rsid wsp:val=&quot;009D3C32&quot;/&gt;&lt;wsp:rsid wsp:val=&quot;009D3E5C&quot;/&gt;&lt;wsp:rsid wsp:val=&quot;009D3FCA&quot;/&gt;&lt;wsp:rsid wsp:val=&quot;009D40D6&quot;/&gt;&lt;wsp:rsid wsp:val=&quot;009D413A&quot;/&gt;&lt;wsp:rsid wsp:val=&quot;009D424D&quot;/&gt;&lt;wsp:rsid wsp:val=&quot;009D491F&quot;/&gt;&lt;wsp:rsid wsp:val=&quot;009D4F85&quot;/&gt;&lt;wsp:rsid wsp:val=&quot;009D518F&quot;/&gt;&lt;wsp:rsid wsp:val=&quot;009D53CB&quot;/&gt;&lt;wsp:rsid wsp:val=&quot;009D53D7&quot;/&gt;&lt;wsp:rsid wsp:val=&quot;009D54FC&quot;/&gt;&lt;wsp:rsid wsp:val=&quot;009D6825&quot;/&gt;&lt;wsp:rsid wsp:val=&quot;009D6873&quot;/&gt;&lt;wsp:rsid wsp:val=&quot;009D6A28&quot;/&gt;&lt;wsp:rsid wsp:val=&quot;009D6E82&quot;/&gt;&lt;wsp:rsid wsp:val=&quot;009D729E&quot;/&gt;&lt;wsp:rsid wsp:val=&quot;009D74C6&quot;/&gt;&lt;wsp:rsid wsp:val=&quot;009D7732&quot;/&gt;&lt;wsp:rsid wsp:val=&quot;009D7854&quot;/&gt;&lt;wsp:rsid wsp:val=&quot;009E170A&quot;/&gt;&lt;wsp:rsid wsp:val=&quot;009E172F&quot;/&gt;&lt;wsp:rsid wsp:val=&quot;009E1A92&quot;/&gt;&lt;wsp:rsid wsp:val=&quot;009E1E8A&quot;/&gt;&lt;wsp:rsid wsp:val=&quot;009E1FF2&quot;/&gt;&lt;wsp:rsid wsp:val=&quot;009E2F30&quot;/&gt;&lt;wsp:rsid wsp:val=&quot;009E307B&quot;/&gt;&lt;wsp:rsid wsp:val=&quot;009E30D6&quot;/&gt;&lt;wsp:rsid wsp:val=&quot;009E3147&quot;/&gt;&lt;wsp:rsid wsp:val=&quot;009E35AA&quot;/&gt;&lt;wsp:rsid wsp:val=&quot;009E3786&quot;/&gt;&lt;wsp:rsid wsp:val=&quot;009E3E89&quot;/&gt;&lt;wsp:rsid wsp:val=&quot;009E3EC6&quot;/&gt;&lt;wsp:rsid wsp:val=&quot;009E4A8B&quot;/&gt;&lt;wsp:rsid wsp:val=&quot;009E50FF&quot;/&gt;&lt;wsp:rsid wsp:val=&quot;009E51C9&quot;/&gt;&lt;wsp:rsid wsp:val=&quot;009E6140&quot;/&gt;&lt;wsp:rsid wsp:val=&quot;009E687E&quot;/&gt;&lt;wsp:rsid wsp:val=&quot;009E6892&quot;/&gt;&lt;wsp:rsid wsp:val=&quot;009E6A23&quot;/&gt;&lt;wsp:rsid wsp:val=&quot;009E6A59&quot;/&gt;&lt;wsp:rsid wsp:val=&quot;009E7C48&quot;/&gt;&lt;wsp:rsid wsp:val=&quot;009F0003&quot;/&gt;&lt;wsp:rsid wsp:val=&quot;009F019F&quot;/&gt;&lt;wsp:rsid wsp:val=&quot;009F01A1&quot;/&gt;&lt;wsp:rsid wsp:val=&quot;009F0213&quot;/&gt;&lt;wsp:rsid wsp:val=&quot;009F0438&quot;/&gt;&lt;wsp:rsid wsp:val=&quot;009F079E&quot;/&gt;&lt;wsp:rsid wsp:val=&quot;009F0D65&quot;/&gt;&lt;wsp:rsid wsp:val=&quot;009F0F6F&quot;/&gt;&lt;wsp:rsid wsp:val=&quot;009F106C&quot;/&gt;&lt;wsp:rsid wsp:val=&quot;009F182D&quot;/&gt;&lt;wsp:rsid wsp:val=&quot;009F1864&quot;/&gt;&lt;wsp:rsid wsp:val=&quot;009F18D6&quot;/&gt;&lt;wsp:rsid wsp:val=&quot;009F1A8F&quot;/&gt;&lt;wsp:rsid wsp:val=&quot;009F1AAB&quot;/&gt;&lt;wsp:rsid wsp:val=&quot;009F22F6&quot;/&gt;&lt;wsp:rsid wsp:val=&quot;009F2412&quot;/&gt;&lt;wsp:rsid wsp:val=&quot;009F246A&quot;/&gt;&lt;wsp:rsid wsp:val=&quot;009F281A&quot;/&gt;&lt;wsp:rsid wsp:val=&quot;009F2C19&quot;/&gt;&lt;wsp:rsid wsp:val=&quot;009F2E99&quot;/&gt;&lt;wsp:rsid wsp:val=&quot;009F3B48&quot;/&gt;&lt;wsp:rsid wsp:val=&quot;009F3DB8&quot;/&gt;&lt;wsp:rsid wsp:val=&quot;009F3E1B&quot;/&gt;&lt;wsp:rsid wsp:val=&quot;009F42FF&quot;/&gt;&lt;wsp:rsid wsp:val=&quot;009F48C8&quot;/&gt;&lt;wsp:rsid wsp:val=&quot;009F49B8&quot;/&gt;&lt;wsp:rsid wsp:val=&quot;009F4FB9&quot;/&gt;&lt;wsp:rsid wsp:val=&quot;009F5225&quot;/&gt;&lt;wsp:rsid wsp:val=&quot;009F52B9&quot;/&gt;&lt;wsp:rsid wsp:val=&quot;009F6B4A&quot;/&gt;&lt;wsp:rsid wsp:val=&quot;009F6CC8&quot;/&gt;&lt;wsp:rsid wsp:val=&quot;009F7471&quot;/&gt;&lt;wsp:rsid wsp:val=&quot;009F7BB1&quot;/&gt;&lt;wsp:rsid wsp:val=&quot;009F7E4E&quot;/&gt;&lt;wsp:rsid wsp:val=&quot;009F7F8C&quot;/&gt;&lt;wsp:rsid wsp:val=&quot;00A0008B&quot;/&gt;&lt;wsp:rsid wsp:val=&quot;00A00AD8&quot;/&gt;&lt;wsp:rsid wsp:val=&quot;00A01C72&quot;/&gt;&lt;wsp:rsid wsp:val=&quot;00A02147&quot;/&gt;&lt;wsp:rsid wsp:val=&quot;00A0289A&quot;/&gt;&lt;wsp:rsid wsp:val=&quot;00A03290&quot;/&gt;&lt;wsp:rsid wsp:val=&quot;00A03466&quot;/&gt;&lt;wsp:rsid wsp:val=&quot;00A036E9&quot;/&gt;&lt;wsp:rsid wsp:val=&quot;00A03EEB&quot;/&gt;&lt;wsp:rsid wsp:val=&quot;00A03F3C&quot;/&gt;&lt;wsp:rsid wsp:val=&quot;00A03F3F&quot;/&gt;&lt;wsp:rsid wsp:val=&quot;00A041F4&quot;/&gt;&lt;wsp:rsid wsp:val=&quot;00A04229&quot;/&gt;&lt;wsp:rsid wsp:val=&quot;00A0488B&quot;/&gt;&lt;wsp:rsid wsp:val=&quot;00A05168&quot;/&gt;&lt;wsp:rsid wsp:val=&quot;00A056A0&quot;/&gt;&lt;wsp:rsid wsp:val=&quot;00A05869&quot;/&gt;&lt;wsp:rsid wsp:val=&quot;00A05EEA&quot;/&gt;&lt;wsp:rsid wsp:val=&quot;00A064D4&quot;/&gt;&lt;wsp:rsid wsp:val=&quot;00A065B7&quot;/&gt;&lt;wsp:rsid wsp:val=&quot;00A06ABE&quot;/&gt;&lt;wsp:rsid wsp:val=&quot;00A07395&quot;/&gt;&lt;wsp:rsid wsp:val=&quot;00A074F8&quot;/&gt;&lt;wsp:rsid wsp:val=&quot;00A07688&quot;/&gt;&lt;wsp:rsid wsp:val=&quot;00A076AD&quot;/&gt;&lt;wsp:rsid wsp:val=&quot;00A076B3&quot;/&gt;&lt;wsp:rsid wsp:val=&quot;00A07D82&quot;/&gt;&lt;wsp:rsid wsp:val=&quot;00A10226&quot;/&gt;&lt;wsp:rsid wsp:val=&quot;00A10454&quot;/&gt;&lt;wsp:rsid wsp:val=&quot;00A107F9&quot;/&gt;&lt;wsp:rsid wsp:val=&quot;00A10A2D&quot;/&gt;&lt;wsp:rsid wsp:val=&quot;00A10B34&quot;/&gt;&lt;wsp:rsid wsp:val=&quot;00A10B37&quot;/&gt;&lt;wsp:rsid wsp:val=&quot;00A11456&quot;/&gt;&lt;wsp:rsid wsp:val=&quot;00A1165E&quot;/&gt;&lt;wsp:rsid wsp:val=&quot;00A1187D&quot;/&gt;&lt;wsp:rsid wsp:val=&quot;00A11B01&quot;/&gt;&lt;wsp:rsid wsp:val=&quot;00A133DF&quot;/&gt;&lt;wsp:rsid wsp:val=&quot;00A13882&quot;/&gt;&lt;wsp:rsid wsp:val=&quot;00A138EA&quot;/&gt;&lt;wsp:rsid wsp:val=&quot;00A13DDA&quot;/&gt;&lt;wsp:rsid wsp:val=&quot;00A13E7E&quot;/&gt;&lt;wsp:rsid wsp:val=&quot;00A14014&quot;/&gt;&lt;wsp:rsid wsp:val=&quot;00A146FC&quot;/&gt;&lt;wsp:rsid wsp:val=&quot;00A150B6&quot;/&gt;&lt;wsp:rsid wsp:val=&quot;00A151CA&quot;/&gt;&lt;wsp:rsid wsp:val=&quot;00A154D9&quot;/&gt;&lt;wsp:rsid wsp:val=&quot;00A160DE&quot;/&gt;&lt;wsp:rsid wsp:val=&quot;00A1629A&quot;/&gt;&lt;wsp:rsid wsp:val=&quot;00A173F6&quot;/&gt;&lt;wsp:rsid wsp:val=&quot;00A179C6&quot;/&gt;&lt;wsp:rsid wsp:val=&quot;00A17CB2&quot;/&gt;&lt;wsp:rsid wsp:val=&quot;00A17D15&quot;/&gt;&lt;wsp:rsid wsp:val=&quot;00A20293&quot;/&gt;&lt;wsp:rsid wsp:val=&quot;00A2075E&quot;/&gt;&lt;wsp:rsid wsp:val=&quot;00A2091A&quot;/&gt;&lt;wsp:rsid wsp:val=&quot;00A20991&quot;/&gt;&lt;wsp:rsid wsp:val=&quot;00A209D7&quot;/&gt;&lt;wsp:rsid wsp:val=&quot;00A20E4F&quot;/&gt;&lt;wsp:rsid wsp:val=&quot;00A210E3&quot;/&gt;&lt;wsp:rsid wsp:val=&quot;00A216F3&quot;/&gt;&lt;wsp:rsid wsp:val=&quot;00A21723&quot;/&gt;&lt;wsp:rsid wsp:val=&quot;00A219E5&quot;/&gt;&lt;wsp:rsid wsp:val=&quot;00A21B04&quot;/&gt;&lt;wsp:rsid wsp:val=&quot;00A22504&quot;/&gt;&lt;wsp:rsid wsp:val=&quot;00A225CD&quot;/&gt;&lt;wsp:rsid wsp:val=&quot;00A2270C&quot;/&gt;&lt;wsp:rsid wsp:val=&quot;00A2287D&quot;/&gt;&lt;wsp:rsid wsp:val=&quot;00A22AFE&quot;/&gt;&lt;wsp:rsid wsp:val=&quot;00A22B02&quot;/&gt;&lt;wsp:rsid wsp:val=&quot;00A22B7B&quot;/&gt;&lt;wsp:rsid wsp:val=&quot;00A23041&quot;/&gt;&lt;wsp:rsid wsp:val=&quot;00A2338A&quot;/&gt;&lt;wsp:rsid wsp:val=&quot;00A23BE9&quot;/&gt;&lt;wsp:rsid wsp:val=&quot;00A23D37&quot;/&gt;&lt;wsp:rsid wsp:val=&quot;00A23D66&quot;/&gt;&lt;wsp:rsid wsp:val=&quot;00A23F6B&quot;/&gt;&lt;wsp:rsid wsp:val=&quot;00A24161&quot;/&gt;&lt;wsp:rsid wsp:val=&quot;00A2476A&quot;/&gt;&lt;wsp:rsid wsp:val=&quot;00A24F6D&quot;/&gt;&lt;wsp:rsid wsp:val=&quot;00A25071&quot;/&gt;&lt;wsp:rsid wsp:val=&quot;00A25616&quot;/&gt;&lt;wsp:rsid wsp:val=&quot;00A25902&quot;/&gt;&lt;wsp:rsid wsp:val=&quot;00A25E7F&quot;/&gt;&lt;wsp:rsid wsp:val=&quot;00A25F3D&quot;/&gt;&lt;wsp:rsid wsp:val=&quot;00A26678&quot;/&gt;&lt;wsp:rsid wsp:val=&quot;00A26680&quot;/&gt;&lt;wsp:rsid wsp:val=&quot;00A26B90&quot;/&gt;&lt;wsp:rsid wsp:val=&quot;00A27055&quot;/&gt;&lt;wsp:rsid wsp:val=&quot;00A272C6&quot;/&gt;&lt;wsp:rsid wsp:val=&quot;00A27408&quot;/&gt;&lt;wsp:rsid wsp:val=&quot;00A275B6&quot;/&gt;&lt;wsp:rsid wsp:val=&quot;00A27A2C&quot;/&gt;&lt;wsp:rsid wsp:val=&quot;00A27CEB&quot;/&gt;&lt;wsp:rsid wsp:val=&quot;00A3026B&quot;/&gt;&lt;wsp:rsid wsp:val=&quot;00A302EE&quot;/&gt;&lt;wsp:rsid wsp:val=&quot;00A30427&quot;/&gt;&lt;wsp:rsid wsp:val=&quot;00A30EF9&quot;/&gt;&lt;wsp:rsid wsp:val=&quot;00A31B9C&quot;/&gt;&lt;wsp:rsid wsp:val=&quot;00A31D12&quot;/&gt;&lt;wsp:rsid wsp:val=&quot;00A327E8&quot;/&gt;&lt;wsp:rsid wsp:val=&quot;00A330E3&quot;/&gt;&lt;wsp:rsid wsp:val=&quot;00A33122&quot;/&gt;&lt;wsp:rsid wsp:val=&quot;00A33251&quot;/&gt;&lt;wsp:rsid wsp:val=&quot;00A3344B&quot;/&gt;&lt;wsp:rsid wsp:val=&quot;00A33C54&quot;/&gt;&lt;wsp:rsid wsp:val=&quot;00A33F30&quot;/&gt;&lt;wsp:rsid wsp:val=&quot;00A340B0&quot;/&gt;&lt;wsp:rsid wsp:val=&quot;00A342F0&quot;/&gt;&lt;wsp:rsid wsp:val=&quot;00A344CE&quot;/&gt;&lt;wsp:rsid wsp:val=&quot;00A34A3D&quot;/&gt;&lt;wsp:rsid wsp:val=&quot;00A34D63&quot;/&gt;&lt;wsp:rsid wsp:val=&quot;00A34F32&quot;/&gt;&lt;wsp:rsid wsp:val=&quot;00A35098&quot;/&gt;&lt;wsp:rsid wsp:val=&quot;00A356CC&quot;/&gt;&lt;wsp:rsid wsp:val=&quot;00A3598B&quot;/&gt;&lt;wsp:rsid wsp:val=&quot;00A35994&quot;/&gt;&lt;wsp:rsid wsp:val=&quot;00A35AB6&quot;/&gt;&lt;wsp:rsid wsp:val=&quot;00A35C65&quot;/&gt;&lt;wsp:rsid wsp:val=&quot;00A36329&quot;/&gt;&lt;wsp:rsid wsp:val=&quot;00A36618&quot;/&gt;&lt;wsp:rsid wsp:val=&quot;00A37446&quot;/&gt;&lt;wsp:rsid wsp:val=&quot;00A3753C&quot;/&gt;&lt;wsp:rsid wsp:val=&quot;00A37A60&quot;/&gt;&lt;wsp:rsid wsp:val=&quot;00A37E7E&quot;/&gt;&lt;wsp:rsid wsp:val=&quot;00A37FCA&quot;/&gt;&lt;wsp:rsid wsp:val=&quot;00A402E2&quot;/&gt;&lt;wsp:rsid wsp:val=&quot;00A407B7&quot;/&gt;&lt;wsp:rsid wsp:val=&quot;00A40A2D&quot;/&gt;&lt;wsp:rsid wsp:val=&quot;00A40A35&quot;/&gt;&lt;wsp:rsid wsp:val=&quot;00A40AA3&quot;/&gt;&lt;wsp:rsid wsp:val=&quot;00A414F9&quot;/&gt;&lt;wsp:rsid wsp:val=&quot;00A41FB3&quot;/&gt;&lt;wsp:rsid wsp:val=&quot;00A4201B&quot;/&gt;&lt;wsp:rsid wsp:val=&quot;00A42337&quot;/&gt;&lt;wsp:rsid wsp:val=&quot;00A426B0&quot;/&gt;&lt;wsp:rsid wsp:val=&quot;00A428B5&quot;/&gt;&lt;wsp:rsid wsp:val=&quot;00A42B72&quot;/&gt;&lt;wsp:rsid wsp:val=&quot;00A42C83&quot;/&gt;&lt;wsp:rsid wsp:val=&quot;00A42F14&quot;/&gt;&lt;wsp:rsid wsp:val=&quot;00A43130&quot;/&gt;&lt;wsp:rsid wsp:val=&quot;00A432A5&quot;/&gt;&lt;wsp:rsid wsp:val=&quot;00A433EE&quot;/&gt;&lt;wsp:rsid wsp:val=&quot;00A43CCA&quot;/&gt;&lt;wsp:rsid wsp:val=&quot;00A43D52&quot;/&gt;&lt;wsp:rsid wsp:val=&quot;00A43D8D&quot;/&gt;&lt;wsp:rsid wsp:val=&quot;00A43DB9&quot;/&gt;&lt;wsp:rsid wsp:val=&quot;00A44007&quot;/&gt;&lt;wsp:rsid wsp:val=&quot;00A441C9&quot;/&gt;&lt;wsp:rsid wsp:val=&quot;00A44306&quot;/&gt;&lt;wsp:rsid wsp:val=&quot;00A4441A&quot;/&gt;&lt;wsp:rsid wsp:val=&quot;00A4450A&quot;/&gt;&lt;wsp:rsid wsp:val=&quot;00A44697&quot;/&gt;&lt;wsp:rsid wsp:val=&quot;00A448E1&quot;/&gt;&lt;wsp:rsid wsp:val=&quot;00A44B02&quot;/&gt;&lt;wsp:rsid wsp:val=&quot;00A44EE3&quot;/&gt;&lt;wsp:rsid wsp:val=&quot;00A45088&quot;/&gt;&lt;wsp:rsid wsp:val=&quot;00A45709&quot;/&gt;&lt;wsp:rsid wsp:val=&quot;00A45BAD&quot;/&gt;&lt;wsp:rsid wsp:val=&quot;00A45D3A&quot;/&gt;&lt;wsp:rsid wsp:val=&quot;00A465E6&quot;/&gt;&lt;wsp:rsid wsp:val=&quot;00A46C10&quot;/&gt;&lt;wsp:rsid wsp:val=&quot;00A46FEC&quot;/&gt;&lt;wsp:rsid wsp:val=&quot;00A4739F&quot;/&gt;&lt;wsp:rsid wsp:val=&quot;00A47C85&quot;/&gt;&lt;wsp:rsid wsp:val=&quot;00A47FA4&quot;/&gt;&lt;wsp:rsid wsp:val=&quot;00A47FF5&quot;/&gt;&lt;wsp:rsid wsp:val=&quot;00A50397&quot;/&gt;&lt;wsp:rsid wsp:val=&quot;00A50FCF&quot;/&gt;&lt;wsp:rsid wsp:val=&quot;00A51651&quot;/&gt;&lt;wsp:rsid wsp:val=&quot;00A51A7D&quot;/&gt;&lt;wsp:rsid wsp:val=&quot;00A51B3B&quot;/&gt;&lt;wsp:rsid wsp:val=&quot;00A521DF&quot;/&gt;&lt;wsp:rsid wsp:val=&quot;00A522BD&quot;/&gt;&lt;wsp:rsid wsp:val=&quot;00A522F5&quot;/&gt;&lt;wsp:rsid wsp:val=&quot;00A53069&quot;/&gt;&lt;wsp:rsid wsp:val=&quot;00A53CEE&quot;/&gt;&lt;wsp:rsid wsp:val=&quot;00A53DDB&quot;/&gt;&lt;wsp:rsid wsp:val=&quot;00A54165&quot;/&gt;&lt;wsp:rsid wsp:val=&quot;00A54192&quot;/&gt;&lt;wsp:rsid wsp:val=&quot;00A544CF&quot;/&gt;&lt;wsp:rsid wsp:val=&quot;00A550CC&quot;/&gt;&lt;wsp:rsid wsp:val=&quot;00A55592&quot;/&gt;&lt;wsp:rsid wsp:val=&quot;00A56971&quot;/&gt;&lt;wsp:rsid wsp:val=&quot;00A56DA3&quot;/&gt;&lt;wsp:rsid wsp:val=&quot;00A5712D&quot;/&gt;&lt;wsp:rsid wsp:val=&quot;00A571A1&quot;/&gt;&lt;wsp:rsid wsp:val=&quot;00A57603&quot;/&gt;&lt;wsp:rsid wsp:val=&quot;00A57747&quot;/&gt;&lt;wsp:rsid wsp:val=&quot;00A577C8&quot;/&gt;&lt;wsp:rsid wsp:val=&quot;00A57998&quot;/&gt;&lt;wsp:rsid wsp:val=&quot;00A5799C&quot;/&gt;&lt;wsp:rsid wsp:val=&quot;00A57CDD&quot;/&gt;&lt;wsp:rsid wsp:val=&quot;00A57D38&quot;/&gt;&lt;wsp:rsid wsp:val=&quot;00A57ECD&quot;/&gt;&lt;wsp:rsid wsp:val=&quot;00A60232&quot;/&gt;&lt;wsp:rsid wsp:val=&quot;00A603C1&quot;/&gt;&lt;wsp:rsid wsp:val=&quot;00A606E1&quot;/&gt;&lt;wsp:rsid wsp:val=&quot;00A60F4E&quot;/&gt;&lt;wsp:rsid wsp:val=&quot;00A60FF7&quot;/&gt;&lt;wsp:rsid wsp:val=&quot;00A611A0&quot;/&gt;&lt;wsp:rsid wsp:val=&quot;00A6132B&quot;/&gt;&lt;wsp:rsid wsp:val=&quot;00A61343&quot;/&gt;&lt;wsp:rsid wsp:val=&quot;00A61726&quot;/&gt;&lt;wsp:rsid wsp:val=&quot;00A61944&quot;/&gt;&lt;wsp:rsid wsp:val=&quot;00A61FB8&quot;/&gt;&lt;wsp:rsid wsp:val=&quot;00A621F9&quot;/&gt;&lt;wsp:rsid wsp:val=&quot;00A627DC&quot;/&gt;&lt;wsp:rsid wsp:val=&quot;00A6298D&quot;/&gt;&lt;wsp:rsid wsp:val=&quot;00A62AC4&quot;/&gt;&lt;wsp:rsid wsp:val=&quot;00A63373&quot;/&gt;&lt;wsp:rsid wsp:val=&quot;00A63B90&quot;/&gt;&lt;wsp:rsid wsp:val=&quot;00A64482&quot;/&gt;&lt;wsp:rsid wsp:val=&quot;00A64B34&quot;/&gt;&lt;wsp:rsid wsp:val=&quot;00A64BA3&quot;/&gt;&lt;wsp:rsid wsp:val=&quot;00A64D0E&quot;/&gt;&lt;wsp:rsid wsp:val=&quot;00A64F41&quot;/&gt;&lt;wsp:rsid wsp:val=&quot;00A64F9B&quot;/&gt;&lt;wsp:rsid wsp:val=&quot;00A655EA&quot;/&gt;&lt;wsp:rsid wsp:val=&quot;00A6585E&quot;/&gt;&lt;wsp:rsid wsp:val=&quot;00A65964&quot;/&gt;&lt;wsp:rsid wsp:val=&quot;00A66562&quot;/&gt;&lt;wsp:rsid wsp:val=&quot;00A66655&quot;/&gt;&lt;wsp:rsid wsp:val=&quot;00A6674A&quot;/&gt;&lt;wsp:rsid wsp:val=&quot;00A6687A&quot;/&gt;&lt;wsp:rsid wsp:val=&quot;00A66B11&quot;/&gt;&lt;wsp:rsid wsp:val=&quot;00A66BC6&quot;/&gt;&lt;wsp:rsid wsp:val=&quot;00A66C95&quot;/&gt;&lt;wsp:rsid wsp:val=&quot;00A66E1B&quot;/&gt;&lt;wsp:rsid wsp:val=&quot;00A66E25&quot;/&gt;&lt;wsp:rsid wsp:val=&quot;00A6737F&quot;/&gt;&lt;wsp:rsid wsp:val=&quot;00A673D9&quot;/&gt;&lt;wsp:rsid wsp:val=&quot;00A678C1&quot;/&gt;&lt;wsp:rsid wsp:val=&quot;00A67964&quot;/&gt;&lt;wsp:rsid wsp:val=&quot;00A67990&quot;/&gt;&lt;wsp:rsid wsp:val=&quot;00A67ED4&quot;/&gt;&lt;wsp:rsid wsp:val=&quot;00A700D0&quot;/&gt;&lt;wsp:rsid wsp:val=&quot;00A70715&quot;/&gt;&lt;wsp:rsid wsp:val=&quot;00A70C94&quot;/&gt;&lt;wsp:rsid wsp:val=&quot;00A716B1&quot;/&gt;&lt;wsp:rsid wsp:val=&quot;00A7199F&quot;/&gt;&lt;wsp:rsid wsp:val=&quot;00A71EE9&quot;/&gt;&lt;wsp:rsid wsp:val=&quot;00A71F6E&quot;/&gt;&lt;wsp:rsid wsp:val=&quot;00A7263A&quot;/&gt;&lt;wsp:rsid wsp:val=&quot;00A72700&quot;/&gt;&lt;wsp:rsid wsp:val=&quot;00A7334E&quot;/&gt;&lt;wsp:rsid wsp:val=&quot;00A736D7&quot;/&gt;&lt;wsp:rsid wsp:val=&quot;00A73DE9&quot;/&gt;&lt;wsp:rsid wsp:val=&quot;00A74A13&quot;/&gt;&lt;wsp:rsid wsp:val=&quot;00A74CA6&quot;/&gt;&lt;wsp:rsid wsp:val=&quot;00A756C3&quot;/&gt;&lt;wsp:rsid wsp:val=&quot;00A75F8A&quot;/&gt;&lt;wsp:rsid wsp:val=&quot;00A760E7&quot;/&gt;&lt;wsp:rsid wsp:val=&quot;00A763D5&quot;/&gt;&lt;wsp:rsid wsp:val=&quot;00A765AF&quot;/&gt;&lt;wsp:rsid wsp:val=&quot;00A765E5&quot;/&gt;&lt;wsp:rsid wsp:val=&quot;00A766D9&quot;/&gt;&lt;wsp:rsid wsp:val=&quot;00A76B25&quot;/&gt;&lt;wsp:rsid wsp:val=&quot;00A76DE9&quot;/&gt;&lt;wsp:rsid wsp:val=&quot;00A771FF&quot;/&gt;&lt;wsp:rsid wsp:val=&quot;00A77409&quot;/&gt;&lt;wsp:rsid wsp:val=&quot;00A77745&quot;/&gt;&lt;wsp:rsid wsp:val=&quot;00A778B0&quot;/&gt;&lt;wsp:rsid wsp:val=&quot;00A77991&quot;/&gt;&lt;wsp:rsid wsp:val=&quot;00A8097A&quot;/&gt;&lt;wsp:rsid wsp:val=&quot;00A809DB&quot;/&gt;&lt;wsp:rsid wsp:val=&quot;00A80C99&quot;/&gt;&lt;wsp:rsid wsp:val=&quot;00A81177&quot;/&gt;&lt;wsp:rsid wsp:val=&quot;00A817B9&quot;/&gt;&lt;wsp:rsid wsp:val=&quot;00A81C38&quot;/&gt;&lt;wsp:rsid wsp:val=&quot;00A820B6&quot;/&gt;&lt;wsp:rsid wsp:val=&quot;00A82236&quot;/&gt;&lt;wsp:rsid wsp:val=&quot;00A822E7&quot;/&gt;&lt;wsp:rsid wsp:val=&quot;00A82449&quot;/&gt;&lt;wsp:rsid wsp:val=&quot;00A824A1&quot;/&gt;&lt;wsp:rsid wsp:val=&quot;00A828B2&quot;/&gt;&lt;wsp:rsid wsp:val=&quot;00A83023&quot;/&gt;&lt;wsp:rsid wsp:val=&quot;00A83792&quot;/&gt;&lt;wsp:rsid wsp:val=&quot;00A83951&quot;/&gt;&lt;wsp:rsid wsp:val=&quot;00A839D0&quot;/&gt;&lt;wsp:rsid wsp:val=&quot;00A83F26&quot;/&gt;&lt;wsp:rsid wsp:val=&quot;00A84198&quot;/&gt;&lt;wsp:rsid wsp:val=&quot;00A84200&quot;/&gt;&lt;wsp:rsid wsp:val=&quot;00A84673&quot;/&gt;&lt;wsp:rsid wsp:val=&quot;00A84854&quot;/&gt;&lt;wsp:rsid wsp:val=&quot;00A84DCB&quot;/&gt;&lt;wsp:rsid wsp:val=&quot;00A8510F&quot;/&gt;&lt;wsp:rsid wsp:val=&quot;00A852B5&quot;/&gt;&lt;wsp:rsid wsp:val=&quot;00A853E3&quot;/&gt;&lt;wsp:rsid wsp:val=&quot;00A854D8&quot;/&gt;&lt;wsp:rsid wsp:val=&quot;00A85AB5&quot;/&gt;&lt;wsp:rsid wsp:val=&quot;00A85C00&quot;/&gt;&lt;wsp:rsid wsp:val=&quot;00A85D6D&quot;/&gt;&lt;wsp:rsid wsp:val=&quot;00A85EB3&quot;/&gt;&lt;wsp:rsid wsp:val=&quot;00A85F84&quot;/&gt;&lt;wsp:rsid wsp:val=&quot;00A86657&quot;/&gt;&lt;wsp:rsid wsp:val=&quot;00A866B6&quot;/&gt;&lt;wsp:rsid wsp:val=&quot;00A8672E&quot;/&gt;&lt;wsp:rsid wsp:val=&quot;00A86B0C&quot;/&gt;&lt;wsp:rsid wsp:val=&quot;00A86E87&quot;/&gt;&lt;wsp:rsid wsp:val=&quot;00A86EE4&quot;/&gt;&lt;wsp:rsid wsp:val=&quot;00A86FA8&quot;/&gt;&lt;wsp:rsid wsp:val=&quot;00A87763&quot;/&gt;&lt;wsp:rsid wsp:val=&quot;00A878E9&quot;/&gt;&lt;wsp:rsid wsp:val=&quot;00A87A26&quot;/&gt;&lt;wsp:rsid wsp:val=&quot;00A9060A&quot;/&gt;&lt;wsp:rsid wsp:val=&quot;00A90A2C&quot;/&gt;&lt;wsp:rsid wsp:val=&quot;00A90AD8&quot;/&gt;&lt;wsp:rsid wsp:val=&quot;00A90B33&quot;/&gt;&lt;wsp:rsid wsp:val=&quot;00A90D06&quot;/&gt;&lt;wsp:rsid wsp:val=&quot;00A90DB1&quot;/&gt;&lt;wsp:rsid wsp:val=&quot;00A90E98&quot;/&gt;&lt;wsp:rsid wsp:val=&quot;00A91228&quot;/&gt;&lt;wsp:rsid wsp:val=&quot;00A912DE&quot;/&gt;&lt;wsp:rsid wsp:val=&quot;00A914E8&quot;/&gt;&lt;wsp:rsid wsp:val=&quot;00A91549&quot;/&gt;&lt;wsp:rsid wsp:val=&quot;00A9187B&quot;/&gt;&lt;wsp:rsid wsp:val=&quot;00A91AE0&quot;/&gt;&lt;wsp:rsid wsp:val=&quot;00A91DDD&quot;/&gt;&lt;wsp:rsid wsp:val=&quot;00A91E3D&quot;/&gt;&lt;wsp:rsid wsp:val=&quot;00A91E8B&quot;/&gt;&lt;wsp:rsid wsp:val=&quot;00A91FF8&quot;/&gt;&lt;wsp:rsid wsp:val=&quot;00A92C00&quot;/&gt;&lt;wsp:rsid wsp:val=&quot;00A9307D&quot;/&gt;&lt;wsp:rsid wsp:val=&quot;00A93595&quot;/&gt;&lt;wsp:rsid wsp:val=&quot;00A9378A&quot;/&gt;&lt;wsp:rsid wsp:val=&quot;00A93DC6&quot;/&gt;&lt;wsp:rsid wsp:val=&quot;00A93F77&quot;/&gt;&lt;wsp:rsid wsp:val=&quot;00A94191&quot;/&gt;&lt;wsp:rsid wsp:val=&quot;00A9429F&quot;/&gt;&lt;wsp:rsid wsp:val=&quot;00A944E2&quot;/&gt;&lt;wsp:rsid wsp:val=&quot;00A94689&quot;/&gt;&lt;wsp:rsid wsp:val=&quot;00A94BE2&quot;/&gt;&lt;wsp:rsid wsp:val=&quot;00A94E34&quot;/&gt;&lt;wsp:rsid wsp:val=&quot;00A94E6A&quot;/&gt;&lt;wsp:rsid wsp:val=&quot;00A95085&quot;/&gt;&lt;wsp:rsid wsp:val=&quot;00A95089&quot;/&gt;&lt;wsp:rsid wsp:val=&quot;00A9530F&quot;/&gt;&lt;wsp:rsid wsp:val=&quot;00A958C7&quot;/&gt;&lt;wsp:rsid wsp:val=&quot;00A95DD7&quot;/&gt;&lt;wsp:rsid wsp:val=&quot;00A96703&quot;/&gt;&lt;wsp:rsid wsp:val=&quot;00A96CF7&quot;/&gt;&lt;wsp:rsid wsp:val=&quot;00A96DE5&quot;/&gt;&lt;wsp:rsid wsp:val=&quot;00A96F99&quot;/&gt;&lt;wsp:rsid wsp:val=&quot;00A97788&quot;/&gt;&lt;wsp:rsid wsp:val=&quot;00A97E99&quot;/&gt;&lt;wsp:rsid wsp:val=&quot;00AA00B0&quot;/&gt;&lt;wsp:rsid wsp:val=&quot;00AA024A&quot;/&gt;&lt;wsp:rsid wsp:val=&quot;00AA0845&quot;/&gt;&lt;wsp:rsid wsp:val=&quot;00AA09D8&quot;/&gt;&lt;wsp:rsid wsp:val=&quot;00AA1033&quot;/&gt;&lt;wsp:rsid wsp:val=&quot;00AA16C0&quot;/&gt;&lt;wsp:rsid wsp:val=&quot;00AA2337&quot;/&gt;&lt;wsp:rsid wsp:val=&quot;00AA2681&quot;/&gt;&lt;wsp:rsid wsp:val=&quot;00AA2A6C&quot;/&gt;&lt;wsp:rsid wsp:val=&quot;00AA30DE&quot;/&gt;&lt;wsp:rsid wsp:val=&quot;00AA3647&quot;/&gt;&lt;wsp:rsid wsp:val=&quot;00AA3FD3&quot;/&gt;&lt;wsp:rsid wsp:val=&quot;00AA43F4&quot;/&gt;&lt;wsp:rsid wsp:val=&quot;00AA46ED&quot;/&gt;&lt;wsp:rsid wsp:val=&quot;00AA48C4&quot;/&gt;&lt;wsp:rsid wsp:val=&quot;00AA4C5F&quot;/&gt;&lt;wsp:rsid wsp:val=&quot;00AA50CB&quot;/&gt;&lt;wsp:rsid wsp:val=&quot;00AA5183&quot;/&gt;&lt;wsp:rsid wsp:val=&quot;00AA58E4&quot;/&gt;&lt;wsp:rsid wsp:val=&quot;00AA5D15&quot;/&gt;&lt;wsp:rsid wsp:val=&quot;00AA5D2F&quot;/&gt;&lt;wsp:rsid wsp:val=&quot;00AA5EDE&quot;/&gt;&lt;wsp:rsid wsp:val=&quot;00AA7183&quot;/&gt;&lt;wsp:rsid wsp:val=&quot;00AA71BE&quot;/&gt;&lt;wsp:rsid wsp:val=&quot;00AA7419&quot;/&gt;&lt;wsp:rsid wsp:val=&quot;00AA74DC&quot;/&gt;&lt;wsp:rsid wsp:val=&quot;00AA78C2&quot;/&gt;&lt;wsp:rsid wsp:val=&quot;00AB0099&quot;/&gt;&lt;wsp:rsid wsp:val=&quot;00AB01C3&quot;/&gt;&lt;wsp:rsid wsp:val=&quot;00AB02EE&quot;/&gt;&lt;wsp:rsid wsp:val=&quot;00AB0A9F&quot;/&gt;&lt;wsp:rsid wsp:val=&quot;00AB1160&quot;/&gt;&lt;wsp:rsid wsp:val=&quot;00AB1230&quot;/&gt;&lt;wsp:rsid wsp:val=&quot;00AB1887&quot;/&gt;&lt;wsp:rsid wsp:val=&quot;00AB1A6C&quot;/&gt;&lt;wsp:rsid wsp:val=&quot;00AB1CCD&quot;/&gt;&lt;wsp:rsid wsp:val=&quot;00AB1D1A&quot;/&gt;&lt;wsp:rsid wsp:val=&quot;00AB21EC&quot;/&gt;&lt;wsp:rsid wsp:val=&quot;00AB262A&quot;/&gt;&lt;wsp:rsid wsp:val=&quot;00AB26FB&quot;/&gt;&lt;wsp:rsid wsp:val=&quot;00AB2AE1&quot;/&gt;&lt;wsp:rsid wsp:val=&quot;00AB2B18&quot;/&gt;&lt;wsp:rsid wsp:val=&quot;00AB2E4F&quot;/&gt;&lt;wsp:rsid wsp:val=&quot;00AB338D&quot;/&gt;&lt;wsp:rsid wsp:val=&quot;00AB34B1&quot;/&gt;&lt;wsp:rsid wsp:val=&quot;00AB36E6&quot;/&gt;&lt;wsp:rsid wsp:val=&quot;00AB3C29&quot;/&gt;&lt;wsp:rsid wsp:val=&quot;00AB40C2&quot;/&gt;&lt;wsp:rsid wsp:val=&quot;00AB479B&quot;/&gt;&lt;wsp:rsid wsp:val=&quot;00AB4984&quot;/&gt;&lt;wsp:rsid wsp:val=&quot;00AB516F&quot;/&gt;&lt;wsp:rsid wsp:val=&quot;00AB5232&quot;/&gt;&lt;wsp:rsid wsp:val=&quot;00AB562B&quot;/&gt;&lt;wsp:rsid wsp:val=&quot;00AB57D3&quot;/&gt;&lt;wsp:rsid wsp:val=&quot;00AB59B1&quot;/&gt;&lt;wsp:rsid wsp:val=&quot;00AB59D5&quot;/&gt;&lt;wsp:rsid wsp:val=&quot;00AB5B58&quot;/&gt;&lt;wsp:rsid wsp:val=&quot;00AB5E0E&quot;/&gt;&lt;wsp:rsid wsp:val=&quot;00AB6303&quot;/&gt;&lt;wsp:rsid wsp:val=&quot;00AB6397&quot;/&gt;&lt;wsp:rsid wsp:val=&quot;00AB654D&quot;/&gt;&lt;wsp:rsid wsp:val=&quot;00AB6A8F&quot;/&gt;&lt;wsp:rsid wsp:val=&quot;00AB7383&quot;/&gt;&lt;wsp:rsid wsp:val=&quot;00AB74E4&quot;/&gt;&lt;wsp:rsid wsp:val=&quot;00AB7B86&quot;/&gt;&lt;wsp:rsid wsp:val=&quot;00AC09CD&quot;/&gt;&lt;wsp:rsid wsp:val=&quot;00AC0EBB&quot;/&gt;&lt;wsp:rsid wsp:val=&quot;00AC1793&quot;/&gt;&lt;wsp:rsid wsp:val=&quot;00AC216B&quot;/&gt;&lt;wsp:rsid wsp:val=&quot;00AC2616&quot;/&gt;&lt;wsp:rsid wsp:val=&quot;00AC2ADD&quot;/&gt;&lt;wsp:rsid wsp:val=&quot;00AC2FFF&quot;/&gt;&lt;wsp:rsid wsp:val=&quot;00AC30C4&quot;/&gt;&lt;wsp:rsid wsp:val=&quot;00AC3439&quot;/&gt;&lt;wsp:rsid wsp:val=&quot;00AC3532&quot;/&gt;&lt;wsp:rsid wsp:val=&quot;00AC3555&quot;/&gt;&lt;wsp:rsid wsp:val=&quot;00AC36EE&quot;/&gt;&lt;wsp:rsid wsp:val=&quot;00AC3E5E&quot;/&gt;&lt;wsp:rsid wsp:val=&quot;00AC4C55&quot;/&gt;&lt;wsp:rsid wsp:val=&quot;00AC52D5&quot;/&gt;&lt;wsp:rsid wsp:val=&quot;00AC53A6&quot;/&gt;&lt;wsp:rsid wsp:val=&quot;00AC5EC3&quot;/&gt;&lt;wsp:rsid wsp:val=&quot;00AC6393&quot;/&gt;&lt;wsp:rsid wsp:val=&quot;00AC6826&quot;/&gt;&lt;wsp:rsid wsp:val=&quot;00AC7003&quot;/&gt;&lt;wsp:rsid wsp:val=&quot;00AC7338&quot;/&gt;&lt;wsp:rsid wsp:val=&quot;00AC760B&quot;/&gt;&lt;wsp:rsid wsp:val=&quot;00AC777A&quot;/&gt;&lt;wsp:rsid wsp:val=&quot;00AC7A6E&quot;/&gt;&lt;wsp:rsid wsp:val=&quot;00AC7B86&quot;/&gt;&lt;wsp:rsid wsp:val=&quot;00AC7BED&quot;/&gt;&lt;wsp:rsid wsp:val=&quot;00AC7ECF&quot;/&gt;&lt;wsp:rsid wsp:val=&quot;00AC7EDC&quot;/&gt;&lt;wsp:rsid wsp:val=&quot;00AD1187&quot;/&gt;&lt;wsp:rsid wsp:val=&quot;00AD1444&quot;/&gt;&lt;wsp:rsid wsp:val=&quot;00AD1649&quot;/&gt;&lt;wsp:rsid wsp:val=&quot;00AD1CB1&quot;/&gt;&lt;wsp:rsid wsp:val=&quot;00AD2036&quot;/&gt;&lt;wsp:rsid wsp:val=&quot;00AD2D3E&quot;/&gt;&lt;wsp:rsid wsp:val=&quot;00AD37C3&quot;/&gt;&lt;wsp:rsid wsp:val=&quot;00AD37E5&quot;/&gt;&lt;wsp:rsid wsp:val=&quot;00AD3907&quot;/&gt;&lt;wsp:rsid wsp:val=&quot;00AD3B5D&quot;/&gt;&lt;wsp:rsid wsp:val=&quot;00AD413C&quot;/&gt;&lt;wsp:rsid wsp:val=&quot;00AD43BE&quot;/&gt;&lt;wsp:rsid wsp:val=&quot;00AD4C66&quot;/&gt;&lt;wsp:rsid wsp:val=&quot;00AD5124&quot;/&gt;&lt;wsp:rsid wsp:val=&quot;00AD5733&quot;/&gt;&lt;wsp:rsid wsp:val=&quot;00AD5E3A&quot;/&gt;&lt;wsp:rsid wsp:val=&quot;00AD629A&quot;/&gt;&lt;wsp:rsid wsp:val=&quot;00AD63AF&quot;/&gt;&lt;wsp:rsid wsp:val=&quot;00AD65EB&quot;/&gt;&lt;wsp:rsid wsp:val=&quot;00AD69C8&quot;/&gt;&lt;wsp:rsid wsp:val=&quot;00AD6A27&quot;/&gt;&lt;wsp:rsid wsp:val=&quot;00AD6A67&quot;/&gt;&lt;wsp:rsid wsp:val=&quot;00AD6BF4&quot;/&gt;&lt;wsp:rsid wsp:val=&quot;00AD6F05&quot;/&gt;&lt;wsp:rsid wsp:val=&quot;00AD703B&quot;/&gt;&lt;wsp:rsid wsp:val=&quot;00AD742B&quot;/&gt;&lt;wsp:rsid wsp:val=&quot;00AE02EA&quot;/&gt;&lt;wsp:rsid wsp:val=&quot;00AE03ED&quot;/&gt;&lt;wsp:rsid wsp:val=&quot;00AE05B9&quot;/&gt;&lt;wsp:rsid wsp:val=&quot;00AE066C&quot;/&gt;&lt;wsp:rsid wsp:val=&quot;00AE0694&quot;/&gt;&lt;wsp:rsid wsp:val=&quot;00AE0B18&quot;/&gt;&lt;wsp:rsid wsp:val=&quot;00AE0CD2&quot;/&gt;&lt;wsp:rsid wsp:val=&quot;00AE0D7C&quot;/&gt;&lt;wsp:rsid wsp:val=&quot;00AE0E1E&quot;/&gt;&lt;wsp:rsid wsp:val=&quot;00AE0F0D&quot;/&gt;&lt;wsp:rsid wsp:val=&quot;00AE13CF&quot;/&gt;&lt;wsp:rsid wsp:val=&quot;00AE1B37&quot;/&gt;&lt;wsp:rsid wsp:val=&quot;00AE1B95&quot;/&gt;&lt;wsp:rsid wsp:val=&quot;00AE1DF6&quot;/&gt;&lt;wsp:rsid wsp:val=&quot;00AE2230&quot;/&gt;&lt;wsp:rsid wsp:val=&quot;00AE25F7&quot;/&gt;&lt;wsp:rsid wsp:val=&quot;00AE2BDD&quot;/&gt;&lt;wsp:rsid wsp:val=&quot;00AE3029&quot;/&gt;&lt;wsp:rsid wsp:val=&quot;00AE3B25&quot;/&gt;&lt;wsp:rsid wsp:val=&quot;00AE3F62&quot;/&gt;&lt;wsp:rsid wsp:val=&quot;00AE45F5&quot;/&gt;&lt;wsp:rsid wsp:val=&quot;00AE486E&quot;/&gt;&lt;wsp:rsid wsp:val=&quot;00AE4D2C&quot;/&gt;&lt;wsp:rsid wsp:val=&quot;00AE4DE1&quot;/&gt;&lt;wsp:rsid wsp:val=&quot;00AE4E9C&quot;/&gt;&lt;wsp:rsid wsp:val=&quot;00AE55B6&quot;/&gt;&lt;wsp:rsid wsp:val=&quot;00AE573D&quot;/&gt;&lt;wsp:rsid wsp:val=&quot;00AE5A74&quot;/&gt;&lt;wsp:rsid wsp:val=&quot;00AE63AB&quot;/&gt;&lt;wsp:rsid wsp:val=&quot;00AE67B2&quot;/&gt;&lt;wsp:rsid wsp:val=&quot;00AE6E93&quot;/&gt;&lt;wsp:rsid wsp:val=&quot;00AE6ED9&quot;/&gt;&lt;wsp:rsid wsp:val=&quot;00AE701C&quot;/&gt;&lt;wsp:rsid wsp:val=&quot;00AE7058&quot;/&gt;&lt;wsp:rsid wsp:val=&quot;00AE72AD&quot;/&gt;&lt;wsp:rsid wsp:val=&quot;00AE76D3&quot;/&gt;&lt;wsp:rsid wsp:val=&quot;00AE7956&quot;/&gt;&lt;wsp:rsid wsp:val=&quot;00AE7D12&quot;/&gt;&lt;wsp:rsid wsp:val=&quot;00AE7D18&quot;/&gt;&lt;wsp:rsid wsp:val=&quot;00AF001B&quot;/&gt;&lt;wsp:rsid wsp:val=&quot;00AF02B5&quot;/&gt;&lt;wsp:rsid wsp:val=&quot;00AF0EF9&quot;/&gt;&lt;wsp:rsid wsp:val=&quot;00AF126E&quot;/&gt;&lt;wsp:rsid wsp:val=&quot;00AF13DF&quot;/&gt;&lt;wsp:rsid wsp:val=&quot;00AF16DF&quot;/&gt;&lt;wsp:rsid wsp:val=&quot;00AF17B4&quot;/&gt;&lt;wsp:rsid wsp:val=&quot;00AF1808&quot;/&gt;&lt;wsp:rsid wsp:val=&quot;00AF1943&quot;/&gt;&lt;wsp:rsid wsp:val=&quot;00AF1A22&quot;/&gt;&lt;wsp:rsid wsp:val=&quot;00AF1D4B&quot;/&gt;&lt;wsp:rsid wsp:val=&quot;00AF1FD7&quot;/&gt;&lt;wsp:rsid wsp:val=&quot;00AF2B79&quot;/&gt;&lt;wsp:rsid wsp:val=&quot;00AF2C03&quot;/&gt;&lt;wsp:rsid wsp:val=&quot;00AF2DCA&quot;/&gt;&lt;wsp:rsid wsp:val=&quot;00AF2E66&quot;/&gt;&lt;wsp:rsid wsp:val=&quot;00AF2EE2&quot;/&gt;&lt;wsp:rsid wsp:val=&quot;00AF2FAB&quot;/&gt;&lt;wsp:rsid wsp:val=&quot;00AF3174&quot;/&gt;&lt;wsp:rsid wsp:val=&quot;00AF3D3B&quot;/&gt;&lt;wsp:rsid wsp:val=&quot;00AF3DC5&quot;/&gt;&lt;wsp:rsid wsp:val=&quot;00AF40BC&quot;/&gt;&lt;wsp:rsid wsp:val=&quot;00AF432E&quot;/&gt;&lt;wsp:rsid wsp:val=&quot;00AF44D8&quot;/&gt;&lt;wsp:rsid wsp:val=&quot;00AF454B&quot;/&gt;&lt;wsp:rsid wsp:val=&quot;00AF4737&quot;/&gt;&lt;wsp:rsid wsp:val=&quot;00AF5592&quot;/&gt;&lt;wsp:rsid wsp:val=&quot;00AF563B&quot;/&gt;&lt;wsp:rsid wsp:val=&quot;00AF5CD8&quot;/&gt;&lt;wsp:rsid wsp:val=&quot;00AF5DD6&quot;/&gt;&lt;wsp:rsid wsp:val=&quot;00AF61F2&quot;/&gt;&lt;wsp:rsid wsp:val=&quot;00AF62E6&quot;/&gt;&lt;wsp:rsid wsp:val=&quot;00AF640E&quot;/&gt;&lt;wsp:rsid wsp:val=&quot;00AF67F3&quot;/&gt;&lt;wsp:rsid wsp:val=&quot;00AF7112&quot;/&gt;&lt;wsp:rsid wsp:val=&quot;00AF7214&quot;/&gt;&lt;wsp:rsid wsp:val=&quot;00AF75A5&quot;/&gt;&lt;wsp:rsid wsp:val=&quot;00AF75E6&quot;/&gt;&lt;wsp:rsid wsp:val=&quot;00B00C5A&quot;/&gt;&lt;wsp:rsid wsp:val=&quot;00B01449&quot;/&gt;&lt;wsp:rsid wsp:val=&quot;00B014C2&quot;/&gt;&lt;wsp:rsid wsp:val=&quot;00B0174B&quot;/&gt;&lt;wsp:rsid wsp:val=&quot;00B01797&quot;/&gt;&lt;wsp:rsid wsp:val=&quot;00B02194&quot;/&gt;&lt;wsp:rsid wsp:val=&quot;00B0222D&quot;/&gt;&lt;wsp:rsid wsp:val=&quot;00B022BB&quot;/&gt;&lt;wsp:rsid wsp:val=&quot;00B02AA0&quot;/&gt;&lt;wsp:rsid wsp:val=&quot;00B03173&quot;/&gt;&lt;wsp:rsid wsp:val=&quot;00B035A5&quot;/&gt;&lt;wsp:rsid wsp:val=&quot;00B03A7E&quot;/&gt;&lt;wsp:rsid wsp:val=&quot;00B0429D&quot;/&gt;&lt;wsp:rsid wsp:val=&quot;00B0459E&quot;/&gt;&lt;wsp:rsid wsp:val=&quot;00B04624&quot;/&gt;&lt;wsp:rsid wsp:val=&quot;00B049CD&quot;/&gt;&lt;wsp:rsid wsp:val=&quot;00B053C8&quot;/&gt;&lt;wsp:rsid wsp:val=&quot;00B059B5&quot;/&gt;&lt;wsp:rsid wsp:val=&quot;00B05ACA&quot;/&gt;&lt;wsp:rsid wsp:val=&quot;00B05C3C&quot;/&gt;&lt;wsp:rsid wsp:val=&quot;00B0661A&quot;/&gt;&lt;wsp:rsid wsp:val=&quot;00B06A4C&quot;/&gt;&lt;wsp:rsid wsp:val=&quot;00B1025B&quot;/&gt;&lt;wsp:rsid wsp:val=&quot;00B10746&quot;/&gt;&lt;wsp:rsid wsp:val=&quot;00B10D53&quot;/&gt;&lt;wsp:rsid wsp:val=&quot;00B10EDA&quot;/&gt;&lt;wsp:rsid wsp:val=&quot;00B10FDE&quot;/&gt;&lt;wsp:rsid wsp:val=&quot;00B111EC&quot;/&gt;&lt;wsp:rsid wsp:val=&quot;00B118E4&quot;/&gt;&lt;wsp:rsid wsp:val=&quot;00B11BDA&quot;/&gt;&lt;wsp:rsid wsp:val=&quot;00B11D0E&quot;/&gt;&lt;wsp:rsid wsp:val=&quot;00B11DEA&quot;/&gt;&lt;wsp:rsid wsp:val=&quot;00B12042&quot;/&gt;&lt;wsp:rsid wsp:val=&quot;00B123BB&quot;/&gt;&lt;wsp:rsid wsp:val=&quot;00B12582&quot;/&gt;&lt;wsp:rsid wsp:val=&quot;00B12A30&quot;/&gt;&lt;wsp:rsid wsp:val=&quot;00B12C5B&quot;/&gt;&lt;wsp:rsid wsp:val=&quot;00B1301A&quot;/&gt;&lt;wsp:rsid wsp:val=&quot;00B13388&quot;/&gt;&lt;wsp:rsid wsp:val=&quot;00B13590&quot;/&gt;&lt;wsp:rsid wsp:val=&quot;00B135CB&quot;/&gt;&lt;wsp:rsid wsp:val=&quot;00B13F5C&quot;/&gt;&lt;wsp:rsid wsp:val=&quot;00B14295&quot;/&gt;&lt;wsp:rsid wsp:val=&quot;00B14642&quot;/&gt;&lt;wsp:rsid wsp:val=&quot;00B14840&quot;/&gt;&lt;wsp:rsid wsp:val=&quot;00B1487A&quot;/&gt;&lt;wsp:rsid wsp:val=&quot;00B14FAB&quot;/&gt;&lt;wsp:rsid wsp:val=&quot;00B152C6&quot;/&gt;&lt;wsp:rsid wsp:val=&quot;00B15386&quot;/&gt;&lt;wsp:rsid wsp:val=&quot;00B1545F&quot;/&gt;&lt;wsp:rsid wsp:val=&quot;00B158E6&quot;/&gt;&lt;wsp:rsid wsp:val=&quot;00B15AF3&quot;/&gt;&lt;wsp:rsid wsp:val=&quot;00B15C51&quot;/&gt;&lt;wsp:rsid wsp:val=&quot;00B16483&quot;/&gt;&lt;wsp:rsid wsp:val=&quot;00B16B63&quot;/&gt;&lt;wsp:rsid wsp:val=&quot;00B16EDD&quot;/&gt;&lt;wsp:rsid wsp:val=&quot;00B17244&quot;/&gt;&lt;wsp:rsid wsp:val=&quot;00B1765C&quot;/&gt;&lt;wsp:rsid wsp:val=&quot;00B176E7&quot;/&gt;&lt;wsp:rsid wsp:val=&quot;00B1784A&quot;/&gt;&lt;wsp:rsid wsp:val=&quot;00B17920&quot;/&gt;&lt;wsp:rsid wsp:val=&quot;00B17A6B&quot;/&gt;&lt;wsp:rsid wsp:val=&quot;00B17ACB&quot;/&gt;&lt;wsp:rsid wsp:val=&quot;00B2015F&quot;/&gt;&lt;wsp:rsid wsp:val=&quot;00B20FD8&quot;/&gt;&lt;wsp:rsid wsp:val=&quot;00B21567&quot;/&gt;&lt;wsp:rsid wsp:val=&quot;00B216AA&quot;/&gt;&lt;wsp:rsid wsp:val=&quot;00B2173D&quot;/&gt;&lt;wsp:rsid wsp:val=&quot;00B2178D&quot;/&gt;&lt;wsp:rsid wsp:val=&quot;00B21811&quot;/&gt;&lt;wsp:rsid wsp:val=&quot;00B2205A&quot;/&gt;&lt;wsp:rsid wsp:val=&quot;00B22165&quot;/&gt;&lt;wsp:rsid wsp:val=&quot;00B22791&quot;/&gt;&lt;wsp:rsid wsp:val=&quot;00B234D0&quot;/&gt;&lt;wsp:rsid wsp:val=&quot;00B23FC7&quot;/&gt;&lt;wsp:rsid wsp:val=&quot;00B243AF&quot;/&gt;&lt;wsp:rsid wsp:val=&quot;00B246B2&quot;/&gt;&lt;wsp:rsid wsp:val=&quot;00B246B3&quot;/&gt;&lt;wsp:rsid wsp:val=&quot;00B2470D&quot;/&gt;&lt;wsp:rsid wsp:val=&quot;00B247F7&quot;/&gt;&lt;wsp:rsid wsp:val=&quot;00B24BF6&quot;/&gt;&lt;wsp:rsid wsp:val=&quot;00B24D79&quot;/&gt;&lt;wsp:rsid wsp:val=&quot;00B24E8C&quot;/&gt;&lt;wsp:rsid wsp:val=&quot;00B25106&quot;/&gt;&lt;wsp:rsid wsp:val=&quot;00B254B4&quot;/&gt;&lt;wsp:rsid wsp:val=&quot;00B25617&quot;/&gt;&lt;wsp:rsid wsp:val=&quot;00B25802&quot;/&gt;&lt;wsp:rsid wsp:val=&quot;00B25CE5&quot;/&gt;&lt;wsp:rsid wsp:val=&quot;00B2664D&quot;/&gt;&lt;wsp:rsid wsp:val=&quot;00B2687D&quot;/&gt;&lt;wsp:rsid wsp:val=&quot;00B26C10&quot;/&gt;&lt;wsp:rsid wsp:val=&quot;00B27ABE&quot;/&gt;&lt;wsp:rsid wsp:val=&quot;00B30028&quot;/&gt;&lt;wsp:rsid wsp:val=&quot;00B30D1A&quot;/&gt;&lt;wsp:rsid wsp:val=&quot;00B311A1&quot;/&gt;&lt;wsp:rsid wsp:val=&quot;00B313ED&quot;/&gt;&lt;wsp:rsid wsp:val=&quot;00B314AA&quot;/&gt;&lt;wsp:rsid wsp:val=&quot;00B314B7&quot;/&gt;&lt;wsp:rsid wsp:val=&quot;00B316D8&quot;/&gt;&lt;wsp:rsid wsp:val=&quot;00B31AC9&quot;/&gt;&lt;wsp:rsid wsp:val=&quot;00B3239C&quot;/&gt;&lt;wsp:rsid wsp:val=&quot;00B32CB6&quot;/&gt;&lt;wsp:rsid wsp:val=&quot;00B33123&quot;/&gt;&lt;wsp:rsid wsp:val=&quot;00B33A29&quot;/&gt;&lt;wsp:rsid wsp:val=&quot;00B33A95&quot;/&gt;&lt;wsp:rsid wsp:val=&quot;00B33DB2&quot;/&gt;&lt;wsp:rsid wsp:val=&quot;00B34A49&quot;/&gt;&lt;wsp:rsid wsp:val=&quot;00B35463&quot;/&gt;&lt;wsp:rsid wsp:val=&quot;00B36272&quot;/&gt;&lt;wsp:rsid wsp:val=&quot;00B3630E&quot;/&gt;&lt;wsp:rsid wsp:val=&quot;00B36417&quot;/&gt;&lt;wsp:rsid wsp:val=&quot;00B3646A&quot;/&gt;&lt;wsp:rsid wsp:val=&quot;00B368B0&quot;/&gt;&lt;wsp:rsid wsp:val=&quot;00B36D39&quot;/&gt;&lt;wsp:rsid wsp:val=&quot;00B36E6A&quot;/&gt;&lt;wsp:rsid wsp:val=&quot;00B37236&quot;/&gt;&lt;wsp:rsid wsp:val=&quot;00B37666&quot;/&gt;&lt;wsp:rsid wsp:val=&quot;00B376E5&quot;/&gt;&lt;wsp:rsid wsp:val=&quot;00B37C1D&quot;/&gt;&lt;wsp:rsid wsp:val=&quot;00B37C54&quot;/&gt;&lt;wsp:rsid wsp:val=&quot;00B403F5&quot;/&gt;&lt;wsp:rsid wsp:val=&quot;00B404D8&quot;/&gt;&lt;wsp:rsid wsp:val=&quot;00B405E6&quot;/&gt;&lt;wsp:rsid wsp:val=&quot;00B40EF2&quot;/&gt;&lt;wsp:rsid wsp:val=&quot;00B415F8&quot;/&gt;&lt;wsp:rsid wsp:val=&quot;00B41948&quot;/&gt;&lt;wsp:rsid wsp:val=&quot;00B4310A&quot;/&gt;&lt;wsp:rsid wsp:val=&quot;00B438B2&quot;/&gt;&lt;wsp:rsid wsp:val=&quot;00B4434B&quot;/&gt;&lt;wsp:rsid wsp:val=&quot;00B4450E&quot;/&gt;&lt;wsp:rsid wsp:val=&quot;00B45869&quot;/&gt;&lt;wsp:rsid wsp:val=&quot;00B45C37&quot;/&gt;&lt;wsp:rsid wsp:val=&quot;00B45D15&quot;/&gt;&lt;wsp:rsid wsp:val=&quot;00B45D44&quot;/&gt;&lt;wsp:rsid wsp:val=&quot;00B4676F&quot;/&gt;&lt;wsp:rsid wsp:val=&quot;00B46C94&quot;/&gt;&lt;wsp:rsid wsp:val=&quot;00B4701E&quot;/&gt;&lt;wsp:rsid wsp:val=&quot;00B47113&quot;/&gt;&lt;wsp:rsid wsp:val=&quot;00B475CC&quot;/&gt;&lt;wsp:rsid wsp:val=&quot;00B476DA&quot;/&gt;&lt;wsp:rsid wsp:val=&quot;00B47835&quot;/&gt;&lt;wsp:rsid wsp:val=&quot;00B502E2&quot;/&gt;&lt;wsp:rsid wsp:val=&quot;00B50515&quot;/&gt;&lt;wsp:rsid wsp:val=&quot;00B50B7E&quot;/&gt;&lt;wsp:rsid wsp:val=&quot;00B50FB7&quot;/&gt;&lt;wsp:rsid wsp:val=&quot;00B5162D&quot;/&gt;&lt;wsp:rsid wsp:val=&quot;00B519BF&quot;/&gt;&lt;wsp:rsid wsp:val=&quot;00B51B3E&quot;/&gt;&lt;wsp:rsid wsp:val=&quot;00B527E4&quot;/&gt;&lt;wsp:rsid wsp:val=&quot;00B52AA7&quot;/&gt;&lt;wsp:rsid wsp:val=&quot;00B53127&quot;/&gt;&lt;wsp:rsid wsp:val=&quot;00B533AD&quot;/&gt;&lt;wsp:rsid wsp:val=&quot;00B5345B&quot;/&gt;&lt;wsp:rsid wsp:val=&quot;00B53610&quot;/&gt;&lt;wsp:rsid wsp:val=&quot;00B53917&quot;/&gt;&lt;wsp:rsid wsp:val=&quot;00B53A9D&quot;/&gt;&lt;wsp:rsid wsp:val=&quot;00B53E4B&quot;/&gt;&lt;wsp:rsid wsp:val=&quot;00B54888&quot;/&gt;&lt;wsp:rsid wsp:val=&quot;00B54CA4&quot;/&gt;&lt;wsp:rsid wsp:val=&quot;00B54E01&quot;/&gt;&lt;wsp:rsid wsp:val=&quot;00B55C26&quot;/&gt;&lt;wsp:rsid wsp:val=&quot;00B55E05&quot;/&gt;&lt;wsp:rsid wsp:val=&quot;00B560A0&quot;/&gt;&lt;wsp:rsid wsp:val=&quot;00B56257&quot;/&gt;&lt;wsp:rsid wsp:val=&quot;00B568F7&quot;/&gt;&lt;wsp:rsid wsp:val=&quot;00B56A8D&quot;/&gt;&lt;wsp:rsid wsp:val=&quot;00B60550&quot;/&gt;&lt;wsp:rsid wsp:val=&quot;00B60CBC&quot;/&gt;&lt;wsp:rsid wsp:val=&quot;00B60D69&quot;/&gt;&lt;wsp:rsid wsp:val=&quot;00B61E6B&quot;/&gt;&lt;wsp:rsid wsp:val=&quot;00B62B9E&quot;/&gt;&lt;wsp:rsid wsp:val=&quot;00B62CB8&quot;/&gt;&lt;wsp:rsid wsp:val=&quot;00B62FC1&quot;/&gt;&lt;wsp:rsid wsp:val=&quot;00B63250&quot;/&gt;&lt;wsp:rsid wsp:val=&quot;00B632B0&quot;/&gt;&lt;wsp:rsid wsp:val=&quot;00B633B5&quot;/&gt;&lt;wsp:rsid wsp:val=&quot;00B644BA&quot;/&gt;&lt;wsp:rsid wsp:val=&quot;00B64699&quot;/&gt;&lt;wsp:rsid wsp:val=&quot;00B64AD0&quot;/&gt;&lt;wsp:rsid wsp:val=&quot;00B654DB&quot;/&gt;&lt;wsp:rsid wsp:val=&quot;00B6567C&quot;/&gt;&lt;wsp:rsid wsp:val=&quot;00B6595A&quot;/&gt;&lt;wsp:rsid wsp:val=&quot;00B65983&quot;/&gt;&lt;wsp:rsid wsp:val=&quot;00B66027&quot;/&gt;&lt;wsp:rsid wsp:val=&quot;00B661B7&quot;/&gt;&lt;wsp:rsid wsp:val=&quot;00B665DB&quot;/&gt;&lt;wsp:rsid wsp:val=&quot;00B66A00&quot;/&gt;&lt;wsp:rsid wsp:val=&quot;00B66B45&quot;/&gt;&lt;wsp:rsid wsp:val=&quot;00B66D57&quot;/&gt;&lt;wsp:rsid wsp:val=&quot;00B66F33&quot;/&gt;&lt;wsp:rsid wsp:val=&quot;00B66F50&quot;/&gt;&lt;wsp:rsid wsp:val=&quot;00B674BE&quot;/&gt;&lt;wsp:rsid wsp:val=&quot;00B67934&quot;/&gt;&lt;wsp:rsid wsp:val=&quot;00B67A3C&quot;/&gt;&lt;wsp:rsid wsp:val=&quot;00B67B36&quot;/&gt;&lt;wsp:rsid wsp:val=&quot;00B67BB4&quot;/&gt;&lt;wsp:rsid wsp:val=&quot;00B67CCB&quot;/&gt;&lt;wsp:rsid wsp:val=&quot;00B67E7D&quot;/&gt;&lt;wsp:rsid wsp:val=&quot;00B7047A&quot;/&gt;&lt;wsp:rsid wsp:val=&quot;00B704D6&quot;/&gt;&lt;wsp:rsid wsp:val=&quot;00B70663&quot;/&gt;&lt;wsp:rsid wsp:val=&quot;00B70D8C&quot;/&gt;&lt;wsp:rsid wsp:val=&quot;00B714B7&quot;/&gt;&lt;wsp:rsid wsp:val=&quot;00B7165C&quot;/&gt;&lt;wsp:rsid wsp:val=&quot;00B71A7C&quot;/&gt;&lt;wsp:rsid wsp:val=&quot;00B71F20&quot;/&gt;&lt;wsp:rsid wsp:val=&quot;00B720F9&quot;/&gt;&lt;wsp:rsid wsp:val=&quot;00B72178&quot;/&gt;&lt;wsp:rsid wsp:val=&quot;00B72312&quot;/&gt;&lt;wsp:rsid wsp:val=&quot;00B72CE1&quot;/&gt;&lt;wsp:rsid wsp:val=&quot;00B72CE4&quot;/&gt;&lt;wsp:rsid wsp:val=&quot;00B72D49&quot;/&gt;&lt;wsp:rsid wsp:val=&quot;00B72D52&quot;/&gt;&lt;wsp:rsid wsp:val=&quot;00B73A2F&quot;/&gt;&lt;wsp:rsid wsp:val=&quot;00B73B0E&quot;/&gt;&lt;wsp:rsid wsp:val=&quot;00B740D6&quot;/&gt;&lt;wsp:rsid wsp:val=&quot;00B7428F&quot;/&gt;&lt;wsp:rsid wsp:val=&quot;00B74315&quot;/&gt;&lt;wsp:rsid wsp:val=&quot;00B743C9&quot;/&gt;&lt;wsp:rsid wsp:val=&quot;00B7478E&quot;/&gt;&lt;wsp:rsid wsp:val=&quot;00B74807&quot;/&gt;&lt;wsp:rsid wsp:val=&quot;00B74C28&quot;/&gt;&lt;wsp:rsid wsp:val=&quot;00B74C7E&quot;/&gt;&lt;wsp:rsid wsp:val=&quot;00B7513C&quot;/&gt;&lt;wsp:rsid wsp:val=&quot;00B75664&quot;/&gt;&lt;wsp:rsid wsp:val=&quot;00B75722&quot;/&gt;&lt;wsp:rsid wsp:val=&quot;00B75A57&quot;/&gt;&lt;wsp:rsid wsp:val=&quot;00B75B8C&quot;/&gt;&lt;wsp:rsid wsp:val=&quot;00B75F8C&quot;/&gt;&lt;wsp:rsid wsp:val=&quot;00B76073&quot;/&gt;&lt;wsp:rsid wsp:val=&quot;00B765A0&quot;/&gt;&lt;wsp:rsid wsp:val=&quot;00B76808&quot;/&gt;&lt;wsp:rsid wsp:val=&quot;00B76896&quot;/&gt;&lt;wsp:rsid wsp:val=&quot;00B76A0E&quot;/&gt;&lt;wsp:rsid wsp:val=&quot;00B76AD2&quot;/&gt;&lt;wsp:rsid wsp:val=&quot;00B76AFC&quot;/&gt;&lt;wsp:rsid wsp:val=&quot;00B76B23&quot;/&gt;&lt;wsp:rsid wsp:val=&quot;00B76B39&quot;/&gt;&lt;wsp:rsid wsp:val=&quot;00B76E1A&quot;/&gt;&lt;wsp:rsid wsp:val=&quot;00B771F7&quot;/&gt;&lt;wsp:rsid wsp:val=&quot;00B774C9&quot;/&gt;&lt;wsp:rsid wsp:val=&quot;00B775DA&quot;/&gt;&lt;wsp:rsid wsp:val=&quot;00B77690&quot;/&gt;&lt;wsp:rsid wsp:val=&quot;00B777DD&quot;/&gt;&lt;wsp:rsid wsp:val=&quot;00B77C38&quot;/&gt;&lt;wsp:rsid wsp:val=&quot;00B77D87&quot;/&gt;&lt;wsp:rsid wsp:val=&quot;00B8000A&quot;/&gt;&lt;wsp:rsid wsp:val=&quot;00B80593&quot;/&gt;&lt;wsp:rsid wsp:val=&quot;00B809AB&quot;/&gt;&lt;wsp:rsid wsp:val=&quot;00B80DC7&quot;/&gt;&lt;wsp:rsid wsp:val=&quot;00B8103A&quot;/&gt;&lt;wsp:rsid wsp:val=&quot;00B81139&quot;/&gt;&lt;wsp:rsid wsp:val=&quot;00B81228&quot;/&gt;&lt;wsp:rsid wsp:val=&quot;00B81296&quot;/&gt;&lt;wsp:rsid wsp:val=&quot;00B812B9&quot;/&gt;&lt;wsp:rsid wsp:val=&quot;00B81B00&quot;/&gt;&lt;wsp:rsid wsp:val=&quot;00B826AE&quot;/&gt;&lt;wsp:rsid wsp:val=&quot;00B83ACE&quot;/&gt;&lt;wsp:rsid wsp:val=&quot;00B83B45&quot;/&gt;&lt;wsp:rsid wsp:val=&quot;00B83CCF&quot;/&gt;&lt;wsp:rsid wsp:val=&quot;00B83D5A&quot;/&gt;&lt;wsp:rsid wsp:val=&quot;00B83D74&quot;/&gt;&lt;wsp:rsid wsp:val=&quot;00B84101&quot;/&gt;&lt;wsp:rsid wsp:val=&quot;00B84460&quot;/&gt;&lt;wsp:rsid wsp:val=&quot;00B85085&quot;/&gt;&lt;wsp:rsid wsp:val=&quot;00B8529C&quot;/&gt;&lt;wsp:rsid wsp:val=&quot;00B8611C&quot;/&gt;&lt;wsp:rsid wsp:val=&quot;00B8673B&quot;/&gt;&lt;wsp:rsid wsp:val=&quot;00B86B94&quot;/&gt;&lt;wsp:rsid wsp:val=&quot;00B8725C&quot;/&gt;&lt;wsp:rsid wsp:val=&quot;00B876D5&quot;/&gt;&lt;wsp:rsid wsp:val=&quot;00B87860&quot;/&gt;&lt;wsp:rsid wsp:val=&quot;00B87EE9&quot;/&gt;&lt;wsp:rsid wsp:val=&quot;00B90E1E&quot;/&gt;&lt;wsp:rsid wsp:val=&quot;00B915B1&quot;/&gt;&lt;wsp:rsid wsp:val=&quot;00B916E9&quot;/&gt;&lt;wsp:rsid wsp:val=&quot;00B91A1D&quot;/&gt;&lt;wsp:rsid wsp:val=&quot;00B91A6F&quot;/&gt;&lt;wsp:rsid wsp:val=&quot;00B91AF1&quot;/&gt;&lt;wsp:rsid wsp:val=&quot;00B91C22&quot;/&gt;&lt;wsp:rsid wsp:val=&quot;00B91EB7&quot;/&gt;&lt;wsp:rsid wsp:val=&quot;00B9234D&quot;/&gt;&lt;wsp:rsid wsp:val=&quot;00B92A9A&quot;/&gt;&lt;wsp:rsid wsp:val=&quot;00B92B5B&quot;/&gt;&lt;wsp:rsid wsp:val=&quot;00B932CC&quot;/&gt;&lt;wsp:rsid wsp:val=&quot;00B934CF&quot;/&gt;&lt;wsp:rsid wsp:val=&quot;00B935CA&quot;/&gt;&lt;wsp:rsid wsp:val=&quot;00B93F4A&quot;/&gt;&lt;wsp:rsid wsp:val=&quot;00B9549B&quot;/&gt;&lt;wsp:rsid wsp:val=&quot;00B95BFB&quot;/&gt;&lt;wsp:rsid wsp:val=&quot;00B95F24&quot;/&gt;&lt;wsp:rsid wsp:val=&quot;00B9645F&quot;/&gt;&lt;wsp:rsid wsp:val=&quot;00B9665D&quot;/&gt;&lt;wsp:rsid wsp:val=&quot;00B96D14&quot;/&gt;&lt;wsp:rsid wsp:val=&quot;00B96E95&quot;/&gt;&lt;wsp:rsid wsp:val=&quot;00B96F34&quot;/&gt;&lt;wsp:rsid wsp:val=&quot;00B96FA9&quot;/&gt;&lt;wsp:rsid wsp:val=&quot;00B97054&quot;/&gt;&lt;wsp:rsid wsp:val=&quot;00B97342&quot;/&gt;&lt;wsp:rsid wsp:val=&quot;00B97F22&quot;/&gt;&lt;wsp:rsid wsp:val=&quot;00BA04A1&quot;/&gt;&lt;wsp:rsid wsp:val=&quot;00BA066E&quot;/&gt;&lt;wsp:rsid wsp:val=&quot;00BA18C6&quot;/&gt;&lt;wsp:rsid wsp:val=&quot;00BA1AF7&quot;/&gt;&lt;wsp:rsid wsp:val=&quot;00BA1FC0&quot;/&gt;&lt;wsp:rsid wsp:val=&quot;00BA20BF&quot;/&gt;&lt;wsp:rsid wsp:val=&quot;00BA2174&quot;/&gt;&lt;wsp:rsid wsp:val=&quot;00BA234F&quot;/&gt;&lt;wsp:rsid wsp:val=&quot;00BA2B73&quot;/&gt;&lt;wsp:rsid wsp:val=&quot;00BA2C33&quot;/&gt;&lt;wsp:rsid wsp:val=&quot;00BA2EC9&quot;/&gt;&lt;wsp:rsid wsp:val=&quot;00BA2FAE&quot;/&gt;&lt;wsp:rsid wsp:val=&quot;00BA304C&quot;/&gt;&lt;wsp:rsid wsp:val=&quot;00BA3105&quot;/&gt;&lt;wsp:rsid wsp:val=&quot;00BA3A41&quot;/&gt;&lt;wsp:rsid wsp:val=&quot;00BA3CD8&quot;/&gt;&lt;wsp:rsid wsp:val=&quot;00BA4098&quot;/&gt;&lt;wsp:rsid wsp:val=&quot;00BA476C&quot;/&gt;&lt;wsp:rsid wsp:val=&quot;00BA4D43&quot;/&gt;&lt;wsp:rsid wsp:val=&quot;00BA4E24&quot;/&gt;&lt;wsp:rsid wsp:val=&quot;00BA4F8B&quot;/&gt;&lt;wsp:rsid wsp:val=&quot;00BA5116&quot;/&gt;&lt;wsp:rsid wsp:val=&quot;00BA5155&quot;/&gt;&lt;wsp:rsid wsp:val=&quot;00BA5458&quot;/&gt;&lt;wsp:rsid wsp:val=&quot;00BA56BC&quot;/&gt;&lt;wsp:rsid wsp:val=&quot;00BA5A5D&quot;/&gt;&lt;wsp:rsid wsp:val=&quot;00BA5C5E&quot;/&gt;&lt;wsp:rsid wsp:val=&quot;00BA5D0E&quot;/&gt;&lt;wsp:rsid wsp:val=&quot;00BA603C&quot;/&gt;&lt;wsp:rsid wsp:val=&quot;00BA6350&quot;/&gt;&lt;wsp:rsid wsp:val=&quot;00BA63F7&quot;/&gt;&lt;wsp:rsid wsp:val=&quot;00BA6B89&quot;/&gt;&lt;wsp:rsid wsp:val=&quot;00BA6C47&quot;/&gt;&lt;wsp:rsid wsp:val=&quot;00BA7280&quot;/&gt;&lt;wsp:rsid wsp:val=&quot;00BA796A&quot;/&gt;&lt;wsp:rsid wsp:val=&quot;00BA7C8D&quot;/&gt;&lt;wsp:rsid wsp:val=&quot;00BB03D2&quot;/&gt;&lt;wsp:rsid wsp:val=&quot;00BB080E&quot;/&gt;&lt;wsp:rsid wsp:val=&quot;00BB09B0&quot;/&gt;&lt;wsp:rsid wsp:val=&quot;00BB1216&quot;/&gt;&lt;wsp:rsid wsp:val=&quot;00BB1400&quot;/&gt;&lt;wsp:rsid wsp:val=&quot;00BB14E3&quot;/&gt;&lt;wsp:rsid wsp:val=&quot;00BB162A&quot;/&gt;&lt;wsp:rsid wsp:val=&quot;00BB16B6&quot;/&gt;&lt;wsp:rsid wsp:val=&quot;00BB1923&quot;/&gt;&lt;wsp:rsid wsp:val=&quot;00BB1A20&quot;/&gt;&lt;wsp:rsid wsp:val=&quot;00BB1EDF&quot;/&gt;&lt;wsp:rsid wsp:val=&quot;00BB20CC&quot;/&gt;&lt;wsp:rsid wsp:val=&quot;00BB223B&quot;/&gt;&lt;wsp:rsid wsp:val=&quot;00BB24DC&quot;/&gt;&lt;wsp:rsid wsp:val=&quot;00BB255F&quot;/&gt;&lt;wsp:rsid wsp:val=&quot;00BB2D20&quot;/&gt;&lt;wsp:rsid wsp:val=&quot;00BB2F0E&quot;/&gt;&lt;wsp:rsid wsp:val=&quot;00BB319F&quot;/&gt;&lt;wsp:rsid wsp:val=&quot;00BB37CC&quot;/&gt;&lt;wsp:rsid wsp:val=&quot;00BB41F7&quot;/&gt;&lt;wsp:rsid wsp:val=&quot;00BB43DD&quot;/&gt;&lt;wsp:rsid wsp:val=&quot;00BB4859&quot;/&gt;&lt;wsp:rsid wsp:val=&quot;00BB4AA3&quot;/&gt;&lt;wsp:rsid wsp:val=&quot;00BB4D3A&quot;/&gt;&lt;wsp:rsid wsp:val=&quot;00BB4E42&quot;/&gt;&lt;wsp:rsid wsp:val=&quot;00BB5679&quot;/&gt;&lt;wsp:rsid wsp:val=&quot;00BB6B06&quot;/&gt;&lt;wsp:rsid wsp:val=&quot;00BB6DBF&quot;/&gt;&lt;wsp:rsid wsp:val=&quot;00BB76F3&quot;/&gt;&lt;wsp:rsid wsp:val=&quot;00BB77F1&quot;/&gt;&lt;wsp:rsid wsp:val=&quot;00BB78BF&quot;/&gt;&lt;wsp:rsid wsp:val=&quot;00BC007B&quot;/&gt;&lt;wsp:rsid wsp:val=&quot;00BC0266&quot;/&gt;&lt;wsp:rsid wsp:val=&quot;00BC05B6&quot;/&gt;&lt;wsp:rsid wsp:val=&quot;00BC0B08&quot;/&gt;&lt;wsp:rsid wsp:val=&quot;00BC0E1C&quot;/&gt;&lt;wsp:rsid wsp:val=&quot;00BC0F6D&quot;/&gt;&lt;wsp:rsid wsp:val=&quot;00BC108B&quot;/&gt;&lt;wsp:rsid wsp:val=&quot;00BC1219&quot;/&gt;&lt;wsp:rsid wsp:val=&quot;00BC153B&quot;/&gt;&lt;wsp:rsid wsp:val=&quot;00BC1915&quot;/&gt;&lt;wsp:rsid wsp:val=&quot;00BC1967&quot;/&gt;&lt;wsp:rsid wsp:val=&quot;00BC1D77&quot;/&gt;&lt;wsp:rsid wsp:val=&quot;00BC1DA7&quot;/&gt;&lt;wsp:rsid wsp:val=&quot;00BC2213&quot;/&gt;&lt;wsp:rsid wsp:val=&quot;00BC242A&quot;/&gt;&lt;wsp:rsid wsp:val=&quot;00BC2461&quot;/&gt;&lt;wsp:rsid wsp:val=&quot;00BC2778&quot;/&gt;&lt;wsp:rsid wsp:val=&quot;00BC27F3&quot;/&gt;&lt;wsp:rsid wsp:val=&quot;00BC2AA5&quot;/&gt;&lt;wsp:rsid wsp:val=&quot;00BC2C03&quot;/&gt;&lt;wsp:rsid wsp:val=&quot;00BC2FA2&quot;/&gt;&lt;wsp:rsid wsp:val=&quot;00BC3052&quot;/&gt;&lt;wsp:rsid wsp:val=&quot;00BC3270&quot;/&gt;&lt;wsp:rsid wsp:val=&quot;00BC349B&quot;/&gt;&lt;wsp:rsid wsp:val=&quot;00BC38B9&quot;/&gt;&lt;wsp:rsid wsp:val=&quot;00BC3CE9&quot;/&gt;&lt;wsp:rsid wsp:val=&quot;00BC3D31&quot;/&gt;&lt;wsp:rsid wsp:val=&quot;00BC3D3E&quot;/&gt;&lt;wsp:rsid wsp:val=&quot;00BC3FAC&quot;/&gt;&lt;wsp:rsid wsp:val=&quot;00BC466F&quot;/&gt;&lt;wsp:rsid wsp:val=&quot;00BC467E&quot;/&gt;&lt;wsp:rsid wsp:val=&quot;00BC479C&quot;/&gt;&lt;wsp:rsid wsp:val=&quot;00BC4A75&quot;/&gt;&lt;wsp:rsid wsp:val=&quot;00BC4ADF&quot;/&gt;&lt;wsp:rsid wsp:val=&quot;00BC4B36&quot;/&gt;&lt;wsp:rsid wsp:val=&quot;00BC4B47&quot;/&gt;&lt;wsp:rsid wsp:val=&quot;00BC4BD2&quot;/&gt;&lt;wsp:rsid wsp:val=&quot;00BC4ECE&quot;/&gt;&lt;wsp:rsid wsp:val=&quot;00BC639E&quot;/&gt;&lt;wsp:rsid wsp:val=&quot;00BC6449&quot;/&gt;&lt;wsp:rsid wsp:val=&quot;00BC6710&quot;/&gt;&lt;wsp:rsid wsp:val=&quot;00BC6CA2&quot;/&gt;&lt;wsp:rsid wsp:val=&quot;00BC6E88&quot;/&gt;&lt;wsp:rsid wsp:val=&quot;00BC6F0D&quot;/&gt;&lt;wsp:rsid wsp:val=&quot;00BC727B&quot;/&gt;&lt;wsp:rsid wsp:val=&quot;00BC74CF&quot;/&gt;&lt;wsp:rsid wsp:val=&quot;00BC7B41&quot;/&gt;&lt;wsp:rsid wsp:val=&quot;00BD0015&quot;/&gt;&lt;wsp:rsid wsp:val=&quot;00BD0540&quot;/&gt;&lt;wsp:rsid wsp:val=&quot;00BD0870&quot;/&gt;&lt;wsp:rsid wsp:val=&quot;00BD12A6&quot;/&gt;&lt;wsp:rsid wsp:val=&quot;00BD1A45&quot;/&gt;&lt;wsp:rsid wsp:val=&quot;00BD1D40&quot;/&gt;&lt;wsp:rsid wsp:val=&quot;00BD2076&quot;/&gt;&lt;wsp:rsid wsp:val=&quot;00BD23C8&quot;/&gt;&lt;wsp:rsid wsp:val=&quot;00BD2634&quot;/&gt;&lt;wsp:rsid wsp:val=&quot;00BD3163&quot;/&gt;&lt;wsp:rsid wsp:val=&quot;00BD37A1&quot;/&gt;&lt;wsp:rsid wsp:val=&quot;00BD38B2&quot;/&gt;&lt;wsp:rsid wsp:val=&quot;00BD3AC2&quot;/&gt;&lt;wsp:rsid wsp:val=&quot;00BD3FCB&quot;/&gt;&lt;wsp:rsid wsp:val=&quot;00BD553D&quot;/&gt;&lt;wsp:rsid wsp:val=&quot;00BD5599&quot;/&gt;&lt;wsp:rsid wsp:val=&quot;00BD5629&quot;/&gt;&lt;wsp:rsid wsp:val=&quot;00BD5756&quot;/&gt;&lt;wsp:rsid wsp:val=&quot;00BD59D8&quot;/&gt;&lt;wsp:rsid wsp:val=&quot;00BD5AEB&quot;/&gt;&lt;wsp:rsid wsp:val=&quot;00BD6397&quot;/&gt;&lt;wsp:rsid wsp:val=&quot;00BD64C9&quot;/&gt;&lt;wsp:rsid wsp:val=&quot;00BD65C1&quot;/&gt;&lt;wsp:rsid wsp:val=&quot;00BD70C7&quot;/&gt;&lt;wsp:rsid wsp:val=&quot;00BD7465&quot;/&gt;&lt;wsp:rsid wsp:val=&quot;00BE039F&quot;/&gt;&lt;wsp:rsid wsp:val=&quot;00BE08A6&quot;/&gt;&lt;wsp:rsid wsp:val=&quot;00BE0B35&quot;/&gt;&lt;wsp:rsid wsp:val=&quot;00BE1452&quot;/&gt;&lt;wsp:rsid wsp:val=&quot;00BE18B6&quot;/&gt;&lt;wsp:rsid wsp:val=&quot;00BE1EDD&quot;/&gt;&lt;wsp:rsid wsp:val=&quot;00BE2385&quot;/&gt;&lt;wsp:rsid wsp:val=&quot;00BE24B5&quot;/&gt;&lt;wsp:rsid wsp:val=&quot;00BE2504&quot;/&gt;&lt;wsp:rsid wsp:val=&quot;00BE2820&quot;/&gt;&lt;wsp:rsid wsp:val=&quot;00BE2A67&quot;/&gt;&lt;wsp:rsid wsp:val=&quot;00BE2BCB&quot;/&gt;&lt;wsp:rsid wsp:val=&quot;00BE30D3&quot;/&gt;&lt;wsp:rsid wsp:val=&quot;00BE31F6&quot;/&gt;&lt;wsp:rsid wsp:val=&quot;00BE362D&quot;/&gt;&lt;wsp:rsid wsp:val=&quot;00BE3875&quot;/&gt;&lt;wsp:rsid wsp:val=&quot;00BE3965&quot;/&gt;&lt;wsp:rsid wsp:val=&quot;00BE3B59&quot;/&gt;&lt;wsp:rsid wsp:val=&quot;00BE42CF&quot;/&gt;&lt;wsp:rsid wsp:val=&quot;00BE459F&quot;/&gt;&lt;wsp:rsid wsp:val=&quot;00BE51CB&quot;/&gt;&lt;wsp:rsid wsp:val=&quot;00BE521E&quot;/&gt;&lt;wsp:rsid wsp:val=&quot;00BE64AE&quot;/&gt;&lt;wsp:rsid wsp:val=&quot;00BE66FD&quot;/&gt;&lt;wsp:rsid wsp:val=&quot;00BE6D8D&quot;/&gt;&lt;wsp:rsid wsp:val=&quot;00BE7007&quot;/&gt;&lt;wsp:rsid wsp:val=&quot;00BE722E&quot;/&gt;&lt;wsp:rsid wsp:val=&quot;00BE77C9&quot;/&gt;&lt;wsp:rsid wsp:val=&quot;00BE77DE&quot;/&gt;&lt;wsp:rsid wsp:val=&quot;00BE7C18&quot;/&gt;&lt;wsp:rsid wsp:val=&quot;00BE7D3A&quot;/&gt;&lt;wsp:rsid wsp:val=&quot;00BE7F77&quot;/&gt;&lt;wsp:rsid wsp:val=&quot;00BF04CF&quot;/&gt;&lt;wsp:rsid wsp:val=&quot;00BF058C&quot;/&gt;&lt;wsp:rsid wsp:val=&quot;00BF05CA&quot;/&gt;&lt;wsp:rsid wsp:val=&quot;00BF0783&quot;/&gt;&lt;wsp:rsid wsp:val=&quot;00BF0936&quot;/&gt;&lt;wsp:rsid wsp:val=&quot;00BF0BA1&quot;/&gt;&lt;wsp:rsid wsp:val=&quot;00BF1733&quot;/&gt;&lt;wsp:rsid wsp:val=&quot;00BF1822&quot;/&gt;&lt;wsp:rsid wsp:val=&quot;00BF19D6&quot;/&gt;&lt;wsp:rsid wsp:val=&quot;00BF2711&quot;/&gt;&lt;wsp:rsid wsp:val=&quot;00BF2D6E&quot;/&gt;&lt;wsp:rsid wsp:val=&quot;00BF3091&quot;/&gt;&lt;wsp:rsid wsp:val=&quot;00BF31E9&quot;/&gt;&lt;wsp:rsid wsp:val=&quot;00BF332C&quot;/&gt;&lt;wsp:rsid wsp:val=&quot;00BF3346&quot;/&gt;&lt;wsp:rsid wsp:val=&quot;00BF3441&quot;/&gt;&lt;wsp:rsid wsp:val=&quot;00BF42EC&quot;/&gt;&lt;wsp:rsid wsp:val=&quot;00BF4C4E&quot;/&gt;&lt;wsp:rsid wsp:val=&quot;00BF4D22&quot;/&gt;&lt;wsp:rsid wsp:val=&quot;00BF502F&quot;/&gt;&lt;wsp:rsid wsp:val=&quot;00BF58BC&quot;/&gt;&lt;wsp:rsid wsp:val=&quot;00BF5C29&quot;/&gt;&lt;wsp:rsid wsp:val=&quot;00BF5FE5&quot;/&gt;&lt;wsp:rsid wsp:val=&quot;00BF60DE&quot;/&gt;&lt;wsp:rsid wsp:val=&quot;00BF6167&quot;/&gt;&lt;wsp:rsid wsp:val=&quot;00BF6432&quot;/&gt;&lt;wsp:rsid wsp:val=&quot;00BF6512&quot;/&gt;&lt;wsp:rsid wsp:val=&quot;00BF68F1&quot;/&gt;&lt;wsp:rsid wsp:val=&quot;00BF7681&quot;/&gt;&lt;wsp:rsid wsp:val=&quot;00BF79FE&quot;/&gt;&lt;wsp:rsid wsp:val=&quot;00BF7B02&quot;/&gt;&lt;wsp:rsid wsp:val=&quot;00BF7BEC&quot;/&gt;&lt;wsp:rsid wsp:val=&quot;00BF7CF9&quot;/&gt;&lt;wsp:rsid wsp:val=&quot;00BF7D70&quot;/&gt;&lt;wsp:rsid wsp:val=&quot;00C00022&quot;/&gt;&lt;wsp:rsid wsp:val=&quot;00C00413&quot;/&gt;&lt;wsp:rsid wsp:val=&quot;00C005B5&quot;/&gt;&lt;wsp:rsid wsp:val=&quot;00C0092B&quot;/&gt;&lt;wsp:rsid wsp:val=&quot;00C014E4&quot;/&gt;&lt;wsp:rsid wsp:val=&quot;00C01536&quot;/&gt;&lt;wsp:rsid wsp:val=&quot;00C015C7&quot;/&gt;&lt;wsp:rsid wsp:val=&quot;00C01A2D&quot;/&gt;&lt;wsp:rsid wsp:val=&quot;00C02275&quot;/&gt;&lt;wsp:rsid wsp:val=&quot;00C027BB&quot;/&gt;&lt;wsp:rsid wsp:val=&quot;00C02A1C&quot;/&gt;&lt;wsp:rsid wsp:val=&quot;00C02CF7&quot;/&gt;&lt;wsp:rsid wsp:val=&quot;00C02ECB&quot;/&gt;&lt;wsp:rsid wsp:val=&quot;00C03220&quot;/&gt;&lt;wsp:rsid wsp:val=&quot;00C0403C&quot;/&gt;&lt;wsp:rsid wsp:val=&quot;00C040FB&quot;/&gt;&lt;wsp:rsid wsp:val=&quot;00C047AA&quot;/&gt;&lt;wsp:rsid wsp:val=&quot;00C047AF&quot;/&gt;&lt;wsp:rsid wsp:val=&quot;00C047CD&quot;/&gt;&lt;wsp:rsid wsp:val=&quot;00C04DF7&quot;/&gt;&lt;wsp:rsid wsp:val=&quot;00C05197&quot;/&gt;&lt;wsp:rsid wsp:val=&quot;00C05220&quot;/&gt;&lt;wsp:rsid wsp:val=&quot;00C053DF&quot;/&gt;&lt;wsp:rsid wsp:val=&quot;00C058E5&quot;/&gt;&lt;wsp:rsid wsp:val=&quot;00C05BDF&quot;/&gt;&lt;wsp:rsid wsp:val=&quot;00C05F9A&quot;/&gt;&lt;wsp:rsid wsp:val=&quot;00C06033&quot;/&gt;&lt;wsp:rsid wsp:val=&quot;00C06137&quot;/&gt;&lt;wsp:rsid wsp:val=&quot;00C06D8D&quot;/&gt;&lt;wsp:rsid wsp:val=&quot;00C07332&quot;/&gt;&lt;wsp:rsid wsp:val=&quot;00C07426&quot;/&gt;&lt;wsp:rsid wsp:val=&quot;00C07851&quot;/&gt;&lt;wsp:rsid wsp:val=&quot;00C07FEA&quot;/&gt;&lt;wsp:rsid wsp:val=&quot;00C1007C&quot;/&gt;&lt;wsp:rsid wsp:val=&quot;00C10AE1&quot;/&gt;&lt;wsp:rsid wsp:val=&quot;00C11046&quot;/&gt;&lt;wsp:rsid wsp:val=&quot;00C111A8&quot;/&gt;&lt;wsp:rsid wsp:val=&quot;00C11762&quot;/&gt;&lt;wsp:rsid wsp:val=&quot;00C1197F&quot;/&gt;&lt;wsp:rsid wsp:val=&quot;00C11A26&quot;/&gt;&lt;wsp:rsid wsp:val=&quot;00C11E64&quot;/&gt;&lt;wsp:rsid wsp:val=&quot;00C122CE&quot;/&gt;&lt;wsp:rsid wsp:val=&quot;00C123A3&quot;/&gt;&lt;wsp:rsid wsp:val=&quot;00C1278C&quot;/&gt;&lt;wsp:rsid wsp:val=&quot;00C127EE&quot;/&gt;&lt;wsp:rsid wsp:val=&quot;00C1296B&quot;/&gt;&lt;wsp:rsid wsp:val=&quot;00C12D60&quot;/&gt;&lt;wsp:rsid wsp:val=&quot;00C131FD&quot;/&gt;&lt;wsp:rsid wsp:val=&quot;00C1332B&quot;/&gt;&lt;wsp:rsid wsp:val=&quot;00C136C0&quot;/&gt;&lt;wsp:rsid wsp:val=&quot;00C13A76&quot;/&gt;&lt;wsp:rsid wsp:val=&quot;00C148B6&quot;/&gt;&lt;wsp:rsid wsp:val=&quot;00C14CE9&quot;/&gt;&lt;wsp:rsid wsp:val=&quot;00C14E66&quot;/&gt;&lt;wsp:rsid wsp:val=&quot;00C14FFA&quot;/&gt;&lt;wsp:rsid wsp:val=&quot;00C1532F&quot;/&gt;&lt;wsp:rsid wsp:val=&quot;00C1560E&quot;/&gt;&lt;wsp:rsid wsp:val=&quot;00C15CB0&quot;/&gt;&lt;wsp:rsid wsp:val=&quot;00C15D40&quot;/&gt;&lt;wsp:rsid wsp:val=&quot;00C161E0&quot;/&gt;&lt;wsp:rsid wsp:val=&quot;00C164EA&quot;/&gt;&lt;wsp:rsid wsp:val=&quot;00C16693&quot;/&gt;&lt;wsp:rsid wsp:val=&quot;00C16790&quot;/&gt;&lt;wsp:rsid wsp:val=&quot;00C16C13&quot;/&gt;&lt;wsp:rsid wsp:val=&quot;00C16E2F&quot;/&gt;&lt;wsp:rsid wsp:val=&quot;00C17058&quot;/&gt;&lt;wsp:rsid wsp:val=&quot;00C17066&quot;/&gt;&lt;wsp:rsid wsp:val=&quot;00C17151&quot;/&gt;&lt;wsp:rsid wsp:val=&quot;00C17B40&quot;/&gt;&lt;wsp:rsid wsp:val=&quot;00C202AD&quot;/&gt;&lt;wsp:rsid wsp:val=&quot;00C20434&quot;/&gt;&lt;wsp:rsid wsp:val=&quot;00C20674&quot;/&gt;&lt;wsp:rsid wsp:val=&quot;00C2086E&quot;/&gt;&lt;wsp:rsid wsp:val=&quot;00C21002&quot;/&gt;&lt;wsp:rsid wsp:val=&quot;00C21547&quot;/&gt;&lt;wsp:rsid wsp:val=&quot;00C21C64&quot;/&gt;&lt;wsp:rsid wsp:val=&quot;00C22762&quot;/&gt;&lt;wsp:rsid wsp:val=&quot;00C23754&quot;/&gt;&lt;wsp:rsid wsp:val=&quot;00C237B8&quot;/&gt;&lt;wsp:rsid wsp:val=&quot;00C239E4&quot;/&gt;&lt;wsp:rsid wsp:val=&quot;00C239EA&quot;/&gt;&lt;wsp:rsid wsp:val=&quot;00C23ADC&quot;/&gt;&lt;wsp:rsid wsp:val=&quot;00C23EA9&quot;/&gt;&lt;wsp:rsid wsp:val=&quot;00C24276&quot;/&gt;&lt;wsp:rsid wsp:val=&quot;00C2451C&quot;/&gt;&lt;wsp:rsid wsp:val=&quot;00C246E2&quot;/&gt;&lt;wsp:rsid wsp:val=&quot;00C25292&quot;/&gt;&lt;wsp:rsid wsp:val=&quot;00C2581E&quot;/&gt;&lt;wsp:rsid wsp:val=&quot;00C25A00&quot;/&gt;&lt;wsp:rsid wsp:val=&quot;00C25CA4&quot;/&gt;&lt;wsp:rsid wsp:val=&quot;00C2601E&quot;/&gt;&lt;wsp:rsid wsp:val=&quot;00C261C6&quot;/&gt;&lt;wsp:rsid wsp:val=&quot;00C26976&quot;/&gt;&lt;wsp:rsid wsp:val=&quot;00C26C18&quot;/&gt;&lt;wsp:rsid wsp:val=&quot;00C27907&quot;/&gt;&lt;wsp:rsid wsp:val=&quot;00C27FD0&quot;/&gt;&lt;wsp:rsid wsp:val=&quot;00C301CE&quot;/&gt;&lt;wsp:rsid wsp:val=&quot;00C31126&quot;/&gt;&lt;wsp:rsid wsp:val=&quot;00C31A91&quot;/&gt;&lt;wsp:rsid wsp:val=&quot;00C31B47&quot;/&gt;&lt;wsp:rsid wsp:val=&quot;00C31BC9&quot;/&gt;&lt;wsp:rsid wsp:val=&quot;00C31E95&quot;/&gt;&lt;wsp:rsid wsp:val=&quot;00C3259F&quot;/&gt;&lt;wsp:rsid wsp:val=&quot;00C32F10&quot;/&gt;&lt;wsp:rsid wsp:val=&quot;00C33205&quot;/&gt;&lt;wsp:rsid wsp:val=&quot;00C33A96&quot;/&gt;&lt;wsp:rsid wsp:val=&quot;00C33B6D&quot;/&gt;&lt;wsp:rsid wsp:val=&quot;00C33DE0&quot;/&gt;&lt;wsp:rsid wsp:val=&quot;00C344B1&quot;/&gt;&lt;wsp:rsid wsp:val=&quot;00C345F6&quot;/&gt;&lt;wsp:rsid wsp:val=&quot;00C35004&quot;/&gt;&lt;wsp:rsid wsp:val=&quot;00C351EC&quot;/&gt;&lt;wsp:rsid wsp:val=&quot;00C357D0&quot;/&gt;&lt;wsp:rsid wsp:val=&quot;00C35EE3&quot;/&gt;&lt;wsp:rsid wsp:val=&quot;00C3621A&quot;/&gt;&lt;wsp:rsid wsp:val=&quot;00C363D4&quot;/&gt;&lt;wsp:rsid wsp:val=&quot;00C3664D&quot;/&gt;&lt;wsp:rsid wsp:val=&quot;00C36741&quot;/&gt;&lt;wsp:rsid wsp:val=&quot;00C3744F&quot;/&gt;&lt;wsp:rsid wsp:val=&quot;00C37831&quot;/&gt;&lt;wsp:rsid wsp:val=&quot;00C401F2&quot;/&gt;&lt;wsp:rsid wsp:val=&quot;00C40221&quot;/&gt;&lt;wsp:rsid wsp:val=&quot;00C40327&quot;/&gt;&lt;wsp:rsid wsp:val=&quot;00C40594&quot;/&gt;&lt;wsp:rsid wsp:val=&quot;00C40629&quot;/&gt;&lt;wsp:rsid wsp:val=&quot;00C406C2&quot;/&gt;&lt;wsp:rsid wsp:val=&quot;00C406FF&quot;/&gt;&lt;wsp:rsid wsp:val=&quot;00C407FA&quot;/&gt;&lt;wsp:rsid wsp:val=&quot;00C40CA8&quot;/&gt;&lt;wsp:rsid wsp:val=&quot;00C40EB9&quot;/&gt;&lt;wsp:rsid wsp:val=&quot;00C410BC&quot;/&gt;&lt;wsp:rsid wsp:val=&quot;00C418AA&quot;/&gt;&lt;wsp:rsid wsp:val=&quot;00C421D5&quot;/&gt;&lt;wsp:rsid wsp:val=&quot;00C422D0&quot;/&gt;&lt;wsp:rsid wsp:val=&quot;00C4233C&quot;/&gt;&lt;wsp:rsid wsp:val=&quot;00C42B75&quot;/&gt;&lt;wsp:rsid wsp:val=&quot;00C434C4&quot;/&gt;&lt;wsp:rsid wsp:val=&quot;00C438E1&quot;/&gt;&lt;wsp:rsid wsp:val=&quot;00C43C46&quot;/&gt;&lt;wsp:rsid wsp:val=&quot;00C43CC5&quot;/&gt;&lt;wsp:rsid wsp:val=&quot;00C43CEA&quot;/&gt;&lt;wsp:rsid wsp:val=&quot;00C4407E&quot;/&gt;&lt;wsp:rsid wsp:val=&quot;00C44A80&quot;/&gt;&lt;wsp:rsid wsp:val=&quot;00C44DC6&quot;/&gt;&lt;wsp:rsid wsp:val=&quot;00C44E9D&quot;/&gt;&lt;wsp:rsid wsp:val=&quot;00C45B14&quot;/&gt;&lt;wsp:rsid wsp:val=&quot;00C45C95&quot;/&gt;&lt;wsp:rsid wsp:val=&quot;00C4619B&quot;/&gt;&lt;wsp:rsid wsp:val=&quot;00C46375&quot;/&gt;&lt;wsp:rsid wsp:val=&quot;00C46B4A&quot;/&gt;&lt;wsp:rsid wsp:val=&quot;00C4748B&quot;/&gt;&lt;wsp:rsid wsp:val=&quot;00C474EA&quot;/&gt;&lt;wsp:rsid wsp:val=&quot;00C47B60&quot;/&gt;&lt;wsp:rsid wsp:val=&quot;00C47DBB&quot;/&gt;&lt;wsp:rsid wsp:val=&quot;00C500BE&quot;/&gt;&lt;wsp:rsid wsp:val=&quot;00C50A50&quot;/&gt;&lt;wsp:rsid wsp:val=&quot;00C50C0C&quot;/&gt;&lt;wsp:rsid wsp:val=&quot;00C51232&quot;/&gt;&lt;wsp:rsid wsp:val=&quot;00C5157D&quot;/&gt;&lt;wsp:rsid wsp:val=&quot;00C51E08&quot;/&gt;&lt;wsp:rsid wsp:val=&quot;00C51E83&quot;/&gt;&lt;wsp:rsid wsp:val=&quot;00C5266B&quot;/&gt;&lt;wsp:rsid wsp:val=&quot;00C52B54&quot;/&gt;&lt;wsp:rsid wsp:val=&quot;00C52DBA&quot;/&gt;&lt;wsp:rsid wsp:val=&quot;00C52E4C&quot;/&gt;&lt;wsp:rsid wsp:val=&quot;00C52F5A&quot;/&gt;&lt;wsp:rsid wsp:val=&quot;00C5317C&quot;/&gt;&lt;wsp:rsid wsp:val=&quot;00C532C7&quot;/&gt;&lt;wsp:rsid wsp:val=&quot;00C53463&quot;/&gt;&lt;wsp:rsid wsp:val=&quot;00C53A81&quot;/&gt;&lt;wsp:rsid wsp:val=&quot;00C54358&quot;/&gt;&lt;wsp:rsid wsp:val=&quot;00C548C9&quot;/&gt;&lt;wsp:rsid wsp:val=&quot;00C54BE7&quot;/&gt;&lt;wsp:rsid wsp:val=&quot;00C54DB2&quot;/&gt;&lt;wsp:rsid wsp:val=&quot;00C54F9A&quot;/&gt;&lt;wsp:rsid wsp:val=&quot;00C55418&quot;/&gt;&lt;wsp:rsid wsp:val=&quot;00C55D1F&quot;/&gt;&lt;wsp:rsid wsp:val=&quot;00C55DF8&quot;/&gt;&lt;wsp:rsid wsp:val=&quot;00C55E60&quot;/&gt;&lt;wsp:rsid wsp:val=&quot;00C5635F&quot;/&gt;&lt;wsp:rsid wsp:val=&quot;00C56383&quot;/&gt;&lt;wsp:rsid wsp:val=&quot;00C56BB4&quot;/&gt;&lt;wsp:rsid wsp:val=&quot;00C56C02&quot;/&gt;&lt;wsp:rsid wsp:val=&quot;00C56C58&quot;/&gt;&lt;wsp:rsid wsp:val=&quot;00C56E38&quot;/&gt;&lt;wsp:rsid wsp:val=&quot;00C56EC9&quot;/&gt;&lt;wsp:rsid wsp:val=&quot;00C5765F&quot;/&gt;&lt;wsp:rsid wsp:val=&quot;00C577B5&quot;/&gt;&lt;wsp:rsid wsp:val=&quot;00C57E05&quot;/&gt;&lt;wsp:rsid wsp:val=&quot;00C57E2A&quot;/&gt;&lt;wsp:rsid wsp:val=&quot;00C60338&quot;/&gt;&lt;wsp:rsid wsp:val=&quot;00C603A8&quot;/&gt;&lt;wsp:rsid wsp:val=&quot;00C604B9&quot;/&gt;&lt;wsp:rsid wsp:val=&quot;00C60B45&quot;/&gt;&lt;wsp:rsid wsp:val=&quot;00C60BB5&quot;/&gt;&lt;wsp:rsid wsp:val=&quot;00C614A1&quot;/&gt;&lt;wsp:rsid wsp:val=&quot;00C61832&quot;/&gt;&lt;wsp:rsid wsp:val=&quot;00C61ADD&quot;/&gt;&lt;wsp:rsid wsp:val=&quot;00C61D3E&quot;/&gt;&lt;wsp:rsid wsp:val=&quot;00C6209B&quot;/&gt;&lt;wsp:rsid wsp:val=&quot;00C6212C&quot;/&gt;&lt;wsp:rsid wsp:val=&quot;00C6257C&quot;/&gt;&lt;wsp:rsid wsp:val=&quot;00C62770&quot;/&gt;&lt;wsp:rsid wsp:val=&quot;00C631B4&quot;/&gt;&lt;wsp:rsid wsp:val=&quot;00C631CE&quot;/&gt;&lt;wsp:rsid wsp:val=&quot;00C637BC&quot;/&gt;&lt;wsp:rsid wsp:val=&quot;00C63978&quot;/&gt;&lt;wsp:rsid wsp:val=&quot;00C63BCF&quot;/&gt;&lt;wsp:rsid wsp:val=&quot;00C63F45&quot;/&gt;&lt;wsp:rsid wsp:val=&quot;00C63FCE&quot;/&gt;&lt;wsp:rsid wsp:val=&quot;00C6403E&quot;/&gt;&lt;wsp:rsid wsp:val=&quot;00C645F7&quot;/&gt;&lt;wsp:rsid wsp:val=&quot;00C64DF7&quot;/&gt;&lt;wsp:rsid wsp:val=&quot;00C64E70&quot;/&gt;&lt;wsp:rsid wsp:val=&quot;00C64FD0&quot;/&gt;&lt;wsp:rsid wsp:val=&quot;00C651C0&quot;/&gt;&lt;wsp:rsid wsp:val=&quot;00C65BBB&quot;/&gt;&lt;wsp:rsid wsp:val=&quot;00C66067&quot;/&gt;&lt;wsp:rsid wsp:val=&quot;00C6688E&quot;/&gt;&lt;wsp:rsid wsp:val=&quot;00C6697B&quot;/&gt;&lt;wsp:rsid wsp:val=&quot;00C66AC0&quot;/&gt;&lt;wsp:rsid wsp:val=&quot;00C66B9C&quot;/&gt;&lt;wsp:rsid wsp:val=&quot;00C66CB7&quot;/&gt;&lt;wsp:rsid wsp:val=&quot;00C672B3&quot;/&gt;&lt;wsp:rsid wsp:val=&quot;00C677C6&quot;/&gt;&lt;wsp:rsid wsp:val=&quot;00C677FD&quot;/&gt;&lt;wsp:rsid wsp:val=&quot;00C67C18&quot;/&gt;&lt;wsp:rsid wsp:val=&quot;00C67DEA&quot;/&gt;&lt;wsp:rsid wsp:val=&quot;00C67E5F&quot;/&gt;&lt;wsp:rsid wsp:val=&quot;00C701D9&quot;/&gt;&lt;wsp:rsid wsp:val=&quot;00C70C41&quot;/&gt;&lt;wsp:rsid wsp:val=&quot;00C71482&quot;/&gt;&lt;wsp:rsid wsp:val=&quot;00C71641&quot;/&gt;&lt;wsp:rsid wsp:val=&quot;00C720F7&quot;/&gt;&lt;wsp:rsid wsp:val=&quot;00C723D1&quot;/&gt;&lt;wsp:rsid wsp:val=&quot;00C72967&quot;/&gt;&lt;wsp:rsid wsp:val=&quot;00C730AC&quot;/&gt;&lt;wsp:rsid wsp:val=&quot;00C734B8&quot;/&gt;&lt;wsp:rsid wsp:val=&quot;00C739AA&quot;/&gt;&lt;wsp:rsid wsp:val=&quot;00C74392&quot;/&gt;&lt;wsp:rsid wsp:val=&quot;00C75E1B&quot;/&gt;&lt;wsp:rsid wsp:val=&quot;00C76084&quot;/&gt;&lt;wsp:rsid wsp:val=&quot;00C763BC&quot;/&gt;&lt;wsp:rsid wsp:val=&quot;00C764D9&quot;/&gt;&lt;wsp:rsid wsp:val=&quot;00C766B5&quot;/&gt;&lt;wsp:rsid wsp:val=&quot;00C769E6&quot;/&gt;&lt;wsp:rsid wsp:val=&quot;00C769F8&quot;/&gt;&lt;wsp:rsid wsp:val=&quot;00C76B2A&quot;/&gt;&lt;wsp:rsid wsp:val=&quot;00C770C1&quot;/&gt;&lt;wsp:rsid wsp:val=&quot;00C77250&quot;/&gt;&lt;wsp:rsid wsp:val=&quot;00C77410&quot;/&gt;&lt;wsp:rsid wsp:val=&quot;00C7778C&quot;/&gt;&lt;wsp:rsid wsp:val=&quot;00C77FDE&quot;/&gt;&lt;wsp:rsid wsp:val=&quot;00C800C7&quot;/&gt;&lt;wsp:rsid wsp:val=&quot;00C80404&quot;/&gt;&lt;wsp:rsid wsp:val=&quot;00C80B4A&quot;/&gt;&lt;wsp:rsid wsp:val=&quot;00C80FD7&quot;/&gt;&lt;wsp:rsid wsp:val=&quot;00C8103B&quot;/&gt;&lt;wsp:rsid wsp:val=&quot;00C810A1&quot;/&gt;&lt;wsp:rsid wsp:val=&quot;00C81593&quot;/&gt;&lt;wsp:rsid wsp:val=&quot;00C81DBC&quot;/&gt;&lt;wsp:rsid wsp:val=&quot;00C81E8C&quot;/&gt;&lt;wsp:rsid wsp:val=&quot;00C82353&quot;/&gt;&lt;wsp:rsid wsp:val=&quot;00C824B9&quot;/&gt;&lt;wsp:rsid wsp:val=&quot;00C82818&quot;/&gt;&lt;wsp:rsid wsp:val=&quot;00C82A23&quot;/&gt;&lt;wsp:rsid wsp:val=&quot;00C82B6A&quot;/&gt;&lt;wsp:rsid wsp:val=&quot;00C82EAA&quot;/&gt;&lt;wsp:rsid wsp:val=&quot;00C832AE&quot;/&gt;&lt;wsp:rsid wsp:val=&quot;00C83845&quot;/&gt;&lt;wsp:rsid wsp:val=&quot;00C8395F&quot;/&gt;&lt;wsp:rsid wsp:val=&quot;00C83E8E&quot;/&gt;&lt;wsp:rsid wsp:val=&quot;00C8500C&quot;/&gt;&lt;wsp:rsid wsp:val=&quot;00C8504D&quot;/&gt;&lt;wsp:rsid wsp:val=&quot;00C857BD&quot;/&gt;&lt;wsp:rsid wsp:val=&quot;00C85B1A&quot;/&gt;&lt;wsp:rsid wsp:val=&quot;00C85C16&quot;/&gt;&lt;wsp:rsid wsp:val=&quot;00C85C46&quot;/&gt;&lt;wsp:rsid wsp:val=&quot;00C85CF3&quot;/&gt;&lt;wsp:rsid wsp:val=&quot;00C85DD6&quot;/&gt;&lt;wsp:rsid wsp:val=&quot;00C862B8&quot;/&gt;&lt;wsp:rsid wsp:val=&quot;00C862F3&quot;/&gt;&lt;wsp:rsid wsp:val=&quot;00C863B3&quot;/&gt;&lt;wsp:rsid wsp:val=&quot;00C8656C&quot;/&gt;&lt;wsp:rsid wsp:val=&quot;00C865E0&quot;/&gt;&lt;wsp:rsid wsp:val=&quot;00C8669F&quot;/&gt;&lt;wsp:rsid wsp:val=&quot;00C870AB&quot;/&gt;&lt;wsp:rsid wsp:val=&quot;00C87233&quot;/&gt;&lt;wsp:rsid wsp:val=&quot;00C8730D&quot;/&gt;&lt;wsp:rsid wsp:val=&quot;00C876DE&quot;/&gt;&lt;wsp:rsid wsp:val=&quot;00C876FA&quot;/&gt;&lt;wsp:rsid wsp:val=&quot;00C87749&quot;/&gt;&lt;wsp:rsid wsp:val=&quot;00C87C4F&quot;/&gt;&lt;wsp:rsid wsp:val=&quot;00C87F02&quot;/&gt;&lt;wsp:rsid wsp:val=&quot;00C90071&quot;/&gt;&lt;wsp:rsid wsp:val=&quot;00C90EC6&quot;/&gt;&lt;wsp:rsid wsp:val=&quot;00C90F7D&quot;/&gt;&lt;wsp:rsid wsp:val=&quot;00C91053&quot;/&gt;&lt;wsp:rsid wsp:val=&quot;00C9132D&quot;/&gt;&lt;wsp:rsid wsp:val=&quot;00C91D7C&quot;/&gt;&lt;wsp:rsid wsp:val=&quot;00C91F1D&quot;/&gt;&lt;wsp:rsid wsp:val=&quot;00C91FBF&quot;/&gt;&lt;wsp:rsid wsp:val=&quot;00C9251C&quot;/&gt;&lt;wsp:rsid wsp:val=&quot;00C92978&quot;/&gt;&lt;wsp:rsid wsp:val=&quot;00C92BF8&quot;/&gt;&lt;wsp:rsid wsp:val=&quot;00C92D9A&quot;/&gt;&lt;wsp:rsid wsp:val=&quot;00C92E23&quot;/&gt;&lt;wsp:rsid wsp:val=&quot;00C9319E&quot;/&gt;&lt;wsp:rsid wsp:val=&quot;00C9321C&quot;/&gt;&lt;wsp:rsid wsp:val=&quot;00C93AEB&quot;/&gt;&lt;wsp:rsid wsp:val=&quot;00C93E73&quot;/&gt;&lt;wsp:rsid wsp:val=&quot;00C9441E&quot;/&gt;&lt;wsp:rsid wsp:val=&quot;00C95054&quot;/&gt;&lt;wsp:rsid wsp:val=&quot;00C9547B&quot;/&gt;&lt;wsp:rsid wsp:val=&quot;00C9586B&quot;/&gt;&lt;wsp:rsid wsp:val=&quot;00C958F7&quot;/&gt;&lt;wsp:rsid wsp:val=&quot;00C95DD4&quot;/&gt;&lt;wsp:rsid wsp:val=&quot;00C963C0&quot;/&gt;&lt;wsp:rsid wsp:val=&quot;00C9686A&quot;/&gt;&lt;wsp:rsid wsp:val=&quot;00C96B19&quot;/&gt;&lt;wsp:rsid wsp:val=&quot;00C9732E&quot;/&gt;&lt;wsp:rsid wsp:val=&quot;00C97359&quot;/&gt;&lt;wsp:rsid wsp:val=&quot;00C97577&quot;/&gt;&lt;wsp:rsid wsp:val=&quot;00C97A1A&quot;/&gt;&lt;wsp:rsid wsp:val=&quot;00C97C57&quot;/&gt;&lt;wsp:rsid wsp:val=&quot;00CA0297&quot;/&gt;&lt;wsp:rsid wsp:val=&quot;00CA0CA5&quot;/&gt;&lt;wsp:rsid wsp:val=&quot;00CA0DB4&quot;/&gt;&lt;wsp:rsid wsp:val=&quot;00CA1A3A&quot;/&gt;&lt;wsp:rsid wsp:val=&quot;00CA1CF1&quot;/&gt;&lt;wsp:rsid wsp:val=&quot;00CA1E5C&quot;/&gt;&lt;wsp:rsid wsp:val=&quot;00CA1E74&quot;/&gt;&lt;wsp:rsid wsp:val=&quot;00CA2299&quot;/&gt;&lt;wsp:rsid wsp:val=&quot;00CA23CB&quot;/&gt;&lt;wsp:rsid wsp:val=&quot;00CA272D&quot;/&gt;&lt;wsp:rsid wsp:val=&quot;00CA28B1&quot;/&gt;&lt;wsp:rsid wsp:val=&quot;00CA3504&quot;/&gt;&lt;wsp:rsid wsp:val=&quot;00CA3610&quot;/&gt;&lt;wsp:rsid wsp:val=&quot;00CA3C7C&quot;/&gt;&lt;wsp:rsid wsp:val=&quot;00CA4060&quot;/&gt;&lt;wsp:rsid wsp:val=&quot;00CA48A5&quot;/&gt;&lt;wsp:rsid wsp:val=&quot;00CA4E42&quot;/&gt;&lt;wsp:rsid wsp:val=&quot;00CA50AF&quot;/&gt;&lt;wsp:rsid wsp:val=&quot;00CA570C&quot;/&gt;&lt;wsp:rsid wsp:val=&quot;00CA5972&quot;/&gt;&lt;wsp:rsid wsp:val=&quot;00CA5A75&quot;/&gt;&lt;wsp:rsid wsp:val=&quot;00CA5BE4&quot;/&gt;&lt;wsp:rsid wsp:val=&quot;00CA5F79&quot;/&gt;&lt;wsp:rsid wsp:val=&quot;00CA6426&quot;/&gt;&lt;wsp:rsid wsp:val=&quot;00CA6459&quot;/&gt;&lt;wsp:rsid wsp:val=&quot;00CA6A09&quot;/&gt;&lt;wsp:rsid wsp:val=&quot;00CA7265&quot;/&gt;&lt;wsp:rsid wsp:val=&quot;00CA72BA&quot;/&gt;&lt;wsp:rsid wsp:val=&quot;00CA7AB1&quot;/&gt;&lt;wsp:rsid wsp:val=&quot;00CA7D3A&quot;/&gt;&lt;wsp:rsid wsp:val=&quot;00CB07A0&quot;/&gt;&lt;wsp:rsid wsp:val=&quot;00CB0B9D&quot;/&gt;&lt;wsp:rsid wsp:val=&quot;00CB0BC5&quot;/&gt;&lt;wsp:rsid wsp:val=&quot;00CB0ECA&quot;/&gt;&lt;wsp:rsid wsp:val=&quot;00CB12B4&quot;/&gt;&lt;wsp:rsid wsp:val=&quot;00CB15DB&quot;/&gt;&lt;wsp:rsid wsp:val=&quot;00CB16BB&quot;/&gt;&lt;wsp:rsid wsp:val=&quot;00CB232F&quot;/&gt;&lt;wsp:rsid wsp:val=&quot;00CB2BD2&quot;/&gt;&lt;wsp:rsid wsp:val=&quot;00CB2EBB&quot;/&gt;&lt;wsp:rsid wsp:val=&quot;00CB3170&quot;/&gt;&lt;wsp:rsid wsp:val=&quot;00CB3184&quot;/&gt;&lt;wsp:rsid wsp:val=&quot;00CB3323&quot;/&gt;&lt;wsp:rsid wsp:val=&quot;00CB390E&quot;/&gt;&lt;wsp:rsid wsp:val=&quot;00CB3DFF&quot;/&gt;&lt;wsp:rsid wsp:val=&quot;00CB5693&quot;/&gt;&lt;wsp:rsid wsp:val=&quot;00CB584C&quot;/&gt;&lt;wsp:rsid wsp:val=&quot;00CB5AEC&quot;/&gt;&lt;wsp:rsid wsp:val=&quot;00CB5C40&quot;/&gt;&lt;wsp:rsid wsp:val=&quot;00CB60D0&quot;/&gt;&lt;wsp:rsid wsp:val=&quot;00CB6255&quot;/&gt;&lt;wsp:rsid wsp:val=&quot;00CB6278&quot;/&gt;&lt;wsp:rsid wsp:val=&quot;00CB6660&quot;/&gt;&lt;wsp:rsid wsp:val=&quot;00CB711B&quot;/&gt;&lt;wsp:rsid wsp:val=&quot;00CB75C4&quot;/&gt;&lt;wsp:rsid wsp:val=&quot;00CB7EA4&quot;/&gt;&lt;wsp:rsid wsp:val=&quot;00CB7FE2&quot;/&gt;&lt;wsp:rsid wsp:val=&quot;00CB7FF4&quot;/&gt;&lt;wsp:rsid wsp:val=&quot;00CC05DC&quot;/&gt;&lt;wsp:rsid wsp:val=&quot;00CC0A6A&quot;/&gt;&lt;wsp:rsid wsp:val=&quot;00CC0F8E&quot;/&gt;&lt;wsp:rsid wsp:val=&quot;00CC111C&quot;/&gt;&lt;wsp:rsid wsp:val=&quot;00CC125C&quot;/&gt;&lt;wsp:rsid wsp:val=&quot;00CC12FE&quot;/&gt;&lt;wsp:rsid wsp:val=&quot;00CC139B&quot;/&gt;&lt;wsp:rsid wsp:val=&quot;00CC1583&quot;/&gt;&lt;wsp:rsid wsp:val=&quot;00CC24DF&quot;/&gt;&lt;wsp:rsid wsp:val=&quot;00CC2B0F&quot;/&gt;&lt;wsp:rsid wsp:val=&quot;00CC2C26&quot;/&gt;&lt;wsp:rsid wsp:val=&quot;00CC3121&quot;/&gt;&lt;wsp:rsid wsp:val=&quot;00CC332B&quot;/&gt;&lt;wsp:rsid wsp:val=&quot;00CC3987&quot;/&gt;&lt;wsp:rsid wsp:val=&quot;00CC3E5B&quot;/&gt;&lt;wsp:rsid wsp:val=&quot;00CC4DAA&quot;/&gt;&lt;wsp:rsid wsp:val=&quot;00CC4E46&quot;/&gt;&lt;wsp:rsid wsp:val=&quot;00CC5108&quot;/&gt;&lt;wsp:rsid wsp:val=&quot;00CC55C3&quot;/&gt;&lt;wsp:rsid wsp:val=&quot;00CC58EB&quot;/&gt;&lt;wsp:rsid wsp:val=&quot;00CC5CCD&quot;/&gt;&lt;wsp:rsid wsp:val=&quot;00CC5CD3&quot;/&gt;&lt;wsp:rsid wsp:val=&quot;00CC5DAF&quot;/&gt;&lt;wsp:rsid wsp:val=&quot;00CC5E1F&quot;/&gt;&lt;wsp:rsid wsp:val=&quot;00CC6166&quot;/&gt;&lt;wsp:rsid wsp:val=&quot;00CC683D&quot;/&gt;&lt;wsp:rsid wsp:val=&quot;00CC6BBD&quot;/&gt;&lt;wsp:rsid wsp:val=&quot;00CC6D49&quot;/&gt;&lt;wsp:rsid wsp:val=&quot;00CC72C8&quot;/&gt;&lt;wsp:rsid wsp:val=&quot;00CC79DE&quot;/&gt;&lt;wsp:rsid wsp:val=&quot;00CC7A94&quot;/&gt;&lt;wsp:rsid wsp:val=&quot;00CC7FA3&quot;/&gt;&lt;wsp:rsid wsp:val=&quot;00CD009E&quot;/&gt;&lt;wsp:rsid wsp:val=&quot;00CD0586&quot;/&gt;&lt;wsp:rsid wsp:val=&quot;00CD0664&quot;/&gt;&lt;wsp:rsid wsp:val=&quot;00CD076B&quot;/&gt;&lt;wsp:rsid wsp:val=&quot;00CD07AE&quot;/&gt;&lt;wsp:rsid wsp:val=&quot;00CD0EF0&quot;/&gt;&lt;wsp:rsid wsp:val=&quot;00CD1862&quot;/&gt;&lt;wsp:rsid wsp:val=&quot;00CD19EA&quot;/&gt;&lt;wsp:rsid wsp:val=&quot;00CD1FDD&quot;/&gt;&lt;wsp:rsid wsp:val=&quot;00CD245C&quot;/&gt;&lt;wsp:rsid wsp:val=&quot;00CD2EEC&quot;/&gt;&lt;wsp:rsid wsp:val=&quot;00CD3854&quot;/&gt;&lt;wsp:rsid wsp:val=&quot;00CD39B4&quot;/&gt;&lt;wsp:rsid wsp:val=&quot;00CD3CE3&quot;/&gt;&lt;wsp:rsid wsp:val=&quot;00CD403A&quot;/&gt;&lt;wsp:rsid wsp:val=&quot;00CD4181&quot;/&gt;&lt;wsp:rsid wsp:val=&quot;00CD4268&quot;/&gt;&lt;wsp:rsid wsp:val=&quot;00CD438E&quot;/&gt;&lt;wsp:rsid wsp:val=&quot;00CD48D7&quot;/&gt;&lt;wsp:rsid wsp:val=&quot;00CD4B4A&quot;/&gt;&lt;wsp:rsid wsp:val=&quot;00CD649A&quot;/&gt;&lt;wsp:rsid wsp:val=&quot;00CD6688&quot;/&gt;&lt;wsp:rsid wsp:val=&quot;00CD66EA&quot;/&gt;&lt;wsp:rsid wsp:val=&quot;00CD6E99&quot;/&gt;&lt;wsp:rsid wsp:val=&quot;00CE0186&quot;/&gt;&lt;wsp:rsid wsp:val=&quot;00CE0314&quot;/&gt;&lt;wsp:rsid wsp:val=&quot;00CE03B4&quot;/&gt;&lt;wsp:rsid wsp:val=&quot;00CE0839&quot;/&gt;&lt;wsp:rsid wsp:val=&quot;00CE0A6B&quot;/&gt;&lt;wsp:rsid wsp:val=&quot;00CE0CBB&quot;/&gt;&lt;wsp:rsid wsp:val=&quot;00CE0D5B&quot;/&gt;&lt;wsp:rsid wsp:val=&quot;00CE0F6D&quot;/&gt;&lt;wsp:rsid wsp:val=&quot;00CE1336&quot;/&gt;&lt;wsp:rsid wsp:val=&quot;00CE137C&quot;/&gt;&lt;wsp:rsid wsp:val=&quot;00CE164F&quot;/&gt;&lt;wsp:rsid wsp:val=&quot;00CE1884&quot;/&gt;&lt;wsp:rsid wsp:val=&quot;00CE1A81&quot;/&gt;&lt;wsp:rsid wsp:val=&quot;00CE1C9C&quot;/&gt;&lt;wsp:rsid wsp:val=&quot;00CE1D0C&quot;/&gt;&lt;wsp:rsid wsp:val=&quot;00CE2035&quot;/&gt;&lt;wsp:rsid wsp:val=&quot;00CE2065&quot;/&gt;&lt;wsp:rsid wsp:val=&quot;00CE209B&quot;/&gt;&lt;wsp:rsid wsp:val=&quot;00CE2117&quot;/&gt;&lt;wsp:rsid wsp:val=&quot;00CE255E&quot;/&gt;&lt;wsp:rsid wsp:val=&quot;00CE2706&quot;/&gt;&lt;wsp:rsid wsp:val=&quot;00CE2B8E&quot;/&gt;&lt;wsp:rsid wsp:val=&quot;00CE2E6C&quot;/&gt;&lt;wsp:rsid wsp:val=&quot;00CE3026&quot;/&gt;&lt;wsp:rsid wsp:val=&quot;00CE31C6&quot;/&gt;&lt;wsp:rsid wsp:val=&quot;00CE32EA&quot;/&gt;&lt;wsp:rsid wsp:val=&quot;00CE3377&quot;/&gt;&lt;wsp:rsid wsp:val=&quot;00CE359A&quot;/&gt;&lt;wsp:rsid wsp:val=&quot;00CE36A2&quot;/&gt;&lt;wsp:rsid wsp:val=&quot;00CE36F9&quot;/&gt;&lt;wsp:rsid wsp:val=&quot;00CE3724&quot;/&gt;&lt;wsp:rsid wsp:val=&quot;00CE3D96&quot;/&gt;&lt;wsp:rsid wsp:val=&quot;00CE3EF3&quot;/&gt;&lt;wsp:rsid wsp:val=&quot;00CE3F15&quot;/&gt;&lt;wsp:rsid wsp:val=&quot;00CE4747&quot;/&gt;&lt;wsp:rsid wsp:val=&quot;00CE4A90&quot;/&gt;&lt;wsp:rsid wsp:val=&quot;00CE4B3D&quot;/&gt;&lt;wsp:rsid wsp:val=&quot;00CE4DFD&quot;/&gt;&lt;wsp:rsid wsp:val=&quot;00CE501B&quot;/&gt;&lt;wsp:rsid wsp:val=&quot;00CE522B&quot;/&gt;&lt;wsp:rsid wsp:val=&quot;00CE5528&quot;/&gt;&lt;wsp:rsid wsp:val=&quot;00CE5735&quot;/&gt;&lt;wsp:rsid wsp:val=&quot;00CE5FA1&quot;/&gt;&lt;wsp:rsid wsp:val=&quot;00CE6042&quot;/&gt;&lt;wsp:rsid wsp:val=&quot;00CE6313&quot;/&gt;&lt;wsp:rsid wsp:val=&quot;00CE6477&quot;/&gt;&lt;wsp:rsid wsp:val=&quot;00CE69F3&quot;/&gt;&lt;wsp:rsid wsp:val=&quot;00CE6D19&quot;/&gt;&lt;wsp:rsid wsp:val=&quot;00CE7161&quot;/&gt;&lt;wsp:rsid wsp:val=&quot;00CE71B4&quot;/&gt;&lt;wsp:rsid wsp:val=&quot;00CE7513&quot;/&gt;&lt;wsp:rsid wsp:val=&quot;00CE762F&quot;/&gt;&lt;wsp:rsid wsp:val=&quot;00CE7C98&quot;/&gt;&lt;wsp:rsid wsp:val=&quot;00CE7CE7&quot;/&gt;&lt;wsp:rsid wsp:val=&quot;00CE7CEA&quot;/&gt;&lt;wsp:rsid wsp:val=&quot;00CE7DE3&quot;/&gt;&lt;wsp:rsid wsp:val=&quot;00CF0D1E&quot;/&gt;&lt;wsp:rsid wsp:val=&quot;00CF0E05&quot;/&gt;&lt;wsp:rsid wsp:val=&quot;00CF1364&quot;/&gt;&lt;wsp:rsid wsp:val=&quot;00CF156F&quot;/&gt;&lt;wsp:rsid wsp:val=&quot;00CF1869&quot;/&gt;&lt;wsp:rsid wsp:val=&quot;00CF1994&quot;/&gt;&lt;wsp:rsid wsp:val=&quot;00CF1B9E&quot;/&gt;&lt;wsp:rsid wsp:val=&quot;00CF1C25&quot;/&gt;&lt;wsp:rsid wsp:val=&quot;00CF1D04&quot;/&gt;&lt;wsp:rsid wsp:val=&quot;00CF1D43&quot;/&gt;&lt;wsp:rsid wsp:val=&quot;00CF1FF9&quot;/&gt;&lt;wsp:rsid wsp:val=&quot;00CF20DA&quot;/&gt;&lt;wsp:rsid wsp:val=&quot;00CF219F&quot;/&gt;&lt;wsp:rsid wsp:val=&quot;00CF242E&quot;/&gt;&lt;wsp:rsid wsp:val=&quot;00CF2747&quot;/&gt;&lt;wsp:rsid wsp:val=&quot;00CF284B&quot;/&gt;&lt;wsp:rsid wsp:val=&quot;00CF2F52&quot;/&gt;&lt;wsp:rsid wsp:val=&quot;00CF3093&quot;/&gt;&lt;wsp:rsid wsp:val=&quot;00CF3801&quot;/&gt;&lt;wsp:rsid wsp:val=&quot;00CF3C18&quot;/&gt;&lt;wsp:rsid wsp:val=&quot;00CF4086&quot;/&gt;&lt;wsp:rsid wsp:val=&quot;00CF411A&quot;/&gt;&lt;wsp:rsid wsp:val=&quot;00CF424F&quot;/&gt;&lt;wsp:rsid wsp:val=&quot;00CF493C&quot;/&gt;&lt;wsp:rsid wsp:val=&quot;00CF49F7&quot;/&gt;&lt;wsp:rsid wsp:val=&quot;00CF4DDD&quot;/&gt;&lt;wsp:rsid wsp:val=&quot;00CF5587&quot;/&gt;&lt;wsp:rsid wsp:val=&quot;00CF5594&quot;/&gt;&lt;wsp:rsid wsp:val=&quot;00CF5895&quot;/&gt;&lt;wsp:rsid wsp:val=&quot;00CF5A1A&quot;/&gt;&lt;wsp:rsid wsp:val=&quot;00CF5A70&quot;/&gt;&lt;wsp:rsid wsp:val=&quot;00CF5A84&quot;/&gt;&lt;wsp:rsid wsp:val=&quot;00CF5A87&quot;/&gt;&lt;wsp:rsid wsp:val=&quot;00CF5BD6&quot;/&gt;&lt;wsp:rsid wsp:val=&quot;00CF5E6A&quot;/&gt;&lt;wsp:rsid wsp:val=&quot;00CF601F&quot;/&gt;&lt;wsp:rsid wsp:val=&quot;00CF60F3&quot;/&gt;&lt;wsp:rsid wsp:val=&quot;00CF6BF0&quot;/&gt;&lt;wsp:rsid wsp:val=&quot;00CF6FA7&quot;/&gt;&lt;wsp:rsid wsp:val=&quot;00CF70B1&quot;/&gt;&lt;wsp:rsid wsp:val=&quot;00CF76F5&quot;/&gt;&lt;wsp:rsid wsp:val=&quot;00CF7AB0&quot;/&gt;&lt;wsp:rsid wsp:val=&quot;00CF7EAE&quot;/&gt;&lt;wsp:rsid wsp:val=&quot;00D001EB&quot;/&gt;&lt;wsp:rsid wsp:val=&quot;00D002F0&quot;/&gt;&lt;wsp:rsid wsp:val=&quot;00D00414&quot;/&gt;&lt;wsp:rsid wsp:val=&quot;00D007D2&quot;/&gt;&lt;wsp:rsid wsp:val=&quot;00D007F1&quot;/&gt;&lt;wsp:rsid wsp:val=&quot;00D00F56&quot;/&gt;&lt;wsp:rsid wsp:val=&quot;00D01050&quot;/&gt;&lt;wsp:rsid wsp:val=&quot;00D0114F&quot;/&gt;&lt;wsp:rsid wsp:val=&quot;00D01231&quot;/&gt;&lt;wsp:rsid wsp:val=&quot;00D01919&quot;/&gt;&lt;wsp:rsid wsp:val=&quot;00D01A66&quot;/&gt;&lt;wsp:rsid wsp:val=&quot;00D01DF6&quot;/&gt;&lt;wsp:rsid wsp:val=&quot;00D02078&quot;/&gt;&lt;wsp:rsid wsp:val=&quot;00D02209&quot;/&gt;&lt;wsp:rsid wsp:val=&quot;00D02A0F&quot;/&gt;&lt;wsp:rsid wsp:val=&quot;00D02B30&quot;/&gt;&lt;wsp:rsid wsp:val=&quot;00D031AA&quot;/&gt;&lt;wsp:rsid wsp:val=&quot;00D03213&quot;/&gt;&lt;wsp:rsid wsp:val=&quot;00D03827&quot;/&gt;&lt;wsp:rsid wsp:val=&quot;00D0422B&quot;/&gt;&lt;wsp:rsid wsp:val=&quot;00D0480F&quot;/&gt;&lt;wsp:rsid wsp:val=&quot;00D055D7&quot;/&gt;&lt;wsp:rsid wsp:val=&quot;00D06122&quot;/&gt;&lt;wsp:rsid wsp:val=&quot;00D062C0&quot;/&gt;&lt;wsp:rsid wsp:val=&quot;00D06474&quot;/&gt;&lt;wsp:rsid wsp:val=&quot;00D06C46&quot;/&gt;&lt;wsp:rsid wsp:val=&quot;00D06CA1&quot;/&gt;&lt;wsp:rsid wsp:val=&quot;00D07DC6&quot;/&gt;&lt;wsp:rsid wsp:val=&quot;00D10103&quot;/&gt;&lt;wsp:rsid wsp:val=&quot;00D116FE&quot;/&gt;&lt;wsp:rsid wsp:val=&quot;00D11AED&quot;/&gt;&lt;wsp:rsid wsp:val=&quot;00D11CB7&quot;/&gt;&lt;wsp:rsid wsp:val=&quot;00D12127&quot;/&gt;&lt;wsp:rsid wsp:val=&quot;00D1216C&quot;/&gt;&lt;wsp:rsid wsp:val=&quot;00D12416&quot;/&gt;&lt;wsp:rsid wsp:val=&quot;00D12561&quot;/&gt;&lt;wsp:rsid wsp:val=&quot;00D1287A&quot;/&gt;&lt;wsp:rsid wsp:val=&quot;00D13285&quot;/&gt;&lt;wsp:rsid wsp:val=&quot;00D132B5&quot;/&gt;&lt;wsp:rsid wsp:val=&quot;00D13713&quot;/&gt;&lt;wsp:rsid wsp:val=&quot;00D1386C&quot;/&gt;&lt;wsp:rsid wsp:val=&quot;00D13AAC&quot;/&gt;&lt;wsp:rsid wsp:val=&quot;00D13B8E&quot;/&gt;&lt;wsp:rsid wsp:val=&quot;00D141A0&quot;/&gt;&lt;wsp:rsid wsp:val=&quot;00D14744&quot;/&gt;&lt;wsp:rsid wsp:val=&quot;00D14781&quot;/&gt;&lt;wsp:rsid wsp:val=&quot;00D149EB&quot;/&gt;&lt;wsp:rsid wsp:val=&quot;00D14C52&quot;/&gt;&lt;wsp:rsid wsp:val=&quot;00D1531A&quot;/&gt;&lt;wsp:rsid wsp:val=&quot;00D155D5&quot;/&gt;&lt;wsp:rsid wsp:val=&quot;00D157CF&quot;/&gt;&lt;wsp:rsid wsp:val=&quot;00D160E9&quot;/&gt;&lt;wsp:rsid wsp:val=&quot;00D16123&quot;/&gt;&lt;wsp:rsid wsp:val=&quot;00D16603&quot;/&gt;&lt;wsp:rsid wsp:val=&quot;00D16C00&quot;/&gt;&lt;wsp:rsid wsp:val=&quot;00D174C5&quot;/&gt;&lt;wsp:rsid wsp:val=&quot;00D17588&quot;/&gt;&lt;wsp:rsid wsp:val=&quot;00D17B00&quot;/&gt;&lt;wsp:rsid wsp:val=&quot;00D17EDF&quot;/&gt;&lt;wsp:rsid wsp:val=&quot;00D202A3&quot;/&gt;&lt;wsp:rsid wsp:val=&quot;00D205A4&quot;/&gt;&lt;wsp:rsid wsp:val=&quot;00D20627&quot;/&gt;&lt;wsp:rsid wsp:val=&quot;00D207EE&quot;/&gt;&lt;wsp:rsid wsp:val=&quot;00D20BC5&quot;/&gt;&lt;wsp:rsid wsp:val=&quot;00D20DFE&quot;/&gt;&lt;wsp:rsid wsp:val=&quot;00D211CE&quot;/&gt;&lt;wsp:rsid wsp:val=&quot;00D21474&quot;/&gt;&lt;wsp:rsid wsp:val=&quot;00D214EE&quot;/&gt;&lt;wsp:rsid wsp:val=&quot;00D216E8&quot;/&gt;&lt;wsp:rsid wsp:val=&quot;00D217A5&quot;/&gt;&lt;wsp:rsid wsp:val=&quot;00D21B3C&quot;/&gt;&lt;wsp:rsid wsp:val=&quot;00D21D8C&quot;/&gt;&lt;wsp:rsid wsp:val=&quot;00D22048&quot;/&gt;&lt;wsp:rsid wsp:val=&quot;00D220B8&quot;/&gt;&lt;wsp:rsid wsp:val=&quot;00D220BD&quot;/&gt;&lt;wsp:rsid wsp:val=&quot;00D223B6&quot;/&gt;&lt;wsp:rsid wsp:val=&quot;00D2248C&quot;/&gt;&lt;wsp:rsid wsp:val=&quot;00D22721&quot;/&gt;&lt;wsp:rsid wsp:val=&quot;00D233F6&quot;/&gt;&lt;wsp:rsid wsp:val=&quot;00D23873&quot;/&gt;&lt;wsp:rsid wsp:val=&quot;00D238FD&quot;/&gt;&lt;wsp:rsid wsp:val=&quot;00D23E35&quot;/&gt;&lt;wsp:rsid wsp:val=&quot;00D24174&quot;/&gt;&lt;wsp:rsid wsp:val=&quot;00D241A4&quot;/&gt;&lt;wsp:rsid wsp:val=&quot;00D24472&quot;/&gt;&lt;wsp:rsid wsp:val=&quot;00D24656&quot;/&gt;&lt;wsp:rsid wsp:val=&quot;00D24974&quot;/&gt;&lt;wsp:rsid wsp:val=&quot;00D2511E&quot;/&gt;&lt;wsp:rsid wsp:val=&quot;00D25250&quot;/&gt;&lt;wsp:rsid wsp:val=&quot;00D252DF&quot;/&gt;&lt;wsp:rsid wsp:val=&quot;00D2545C&quot;/&gt;&lt;wsp:rsid wsp:val=&quot;00D25928&quot;/&gt;&lt;wsp:rsid wsp:val=&quot;00D25A81&quot;/&gt;&lt;wsp:rsid wsp:val=&quot;00D26752&quot;/&gt;&lt;wsp:rsid wsp:val=&quot;00D2677F&quot;/&gt;&lt;wsp:rsid wsp:val=&quot;00D267A2&quot;/&gt;&lt;wsp:rsid wsp:val=&quot;00D269EE&quot;/&gt;&lt;wsp:rsid wsp:val=&quot;00D26A6F&quot;/&gt;&lt;wsp:rsid wsp:val=&quot;00D26DCF&quot;/&gt;&lt;wsp:rsid wsp:val=&quot;00D271F1&quot;/&gt;&lt;wsp:rsid wsp:val=&quot;00D2736F&quot;/&gt;&lt;wsp:rsid wsp:val=&quot;00D27540&quot;/&gt;&lt;wsp:rsid wsp:val=&quot;00D275AF&quot;/&gt;&lt;wsp:rsid wsp:val=&quot;00D30160&quot;/&gt;&lt;wsp:rsid wsp:val=&quot;00D303ED&quot;/&gt;&lt;wsp:rsid wsp:val=&quot;00D306F3&quot;/&gt;&lt;wsp:rsid wsp:val=&quot;00D30782&quot;/&gt;&lt;wsp:rsid wsp:val=&quot;00D309A6&quot;/&gt;&lt;wsp:rsid wsp:val=&quot;00D30A4A&quot;/&gt;&lt;wsp:rsid wsp:val=&quot;00D30D13&quot;/&gt;&lt;wsp:rsid wsp:val=&quot;00D3140A&quot;/&gt;&lt;wsp:rsid wsp:val=&quot;00D31450&quot;/&gt;&lt;wsp:rsid wsp:val=&quot;00D3177D&quot;/&gt;&lt;wsp:rsid wsp:val=&quot;00D31838&quot;/&gt;&lt;wsp:rsid wsp:val=&quot;00D31ABB&quot;/&gt;&lt;wsp:rsid wsp:val=&quot;00D31F79&quot;/&gt;&lt;wsp:rsid wsp:val=&quot;00D327EE&quot;/&gt;&lt;wsp:rsid wsp:val=&quot;00D327F9&quot;/&gt;&lt;wsp:rsid wsp:val=&quot;00D328C0&quot;/&gt;&lt;wsp:rsid wsp:val=&quot;00D32950&quot;/&gt;&lt;wsp:rsid wsp:val=&quot;00D32B25&quot;/&gt;&lt;wsp:rsid wsp:val=&quot;00D33B1E&quot;/&gt;&lt;wsp:rsid wsp:val=&quot;00D33D34&quot;/&gt;&lt;wsp:rsid wsp:val=&quot;00D33DA6&quot;/&gt;&lt;wsp:rsid wsp:val=&quot;00D33E6F&quot;/&gt;&lt;wsp:rsid wsp:val=&quot;00D33EF7&quot;/&gt;&lt;wsp:rsid wsp:val=&quot;00D34337&quot;/&gt;&lt;wsp:rsid wsp:val=&quot;00D34D52&quot;/&gt;&lt;wsp:rsid wsp:val=&quot;00D34EF5&quot;/&gt;&lt;wsp:rsid wsp:val=&quot;00D35314&quot;/&gt;&lt;wsp:rsid wsp:val=&quot;00D355B2&quot;/&gt;&lt;wsp:rsid wsp:val=&quot;00D3572E&quot;/&gt;&lt;wsp:rsid wsp:val=&quot;00D358F5&quot;/&gt;&lt;wsp:rsid wsp:val=&quot;00D360D5&quot;/&gt;&lt;wsp:rsid wsp:val=&quot;00D36910&quot;/&gt;&lt;wsp:rsid wsp:val=&quot;00D36A44&quot;/&gt;&lt;wsp:rsid wsp:val=&quot;00D36D02&quot;/&gt;&lt;wsp:rsid wsp:val=&quot;00D36E54&quot;/&gt;&lt;wsp:rsid wsp:val=&quot;00D36ED1&quot;/&gt;&lt;wsp:rsid wsp:val=&quot;00D37020&quot;/&gt;&lt;wsp:rsid wsp:val=&quot;00D3707C&quot;/&gt;&lt;wsp:rsid wsp:val=&quot;00D374D5&quot;/&gt;&lt;wsp:rsid wsp:val=&quot;00D37640&quot;/&gt;&lt;wsp:rsid wsp:val=&quot;00D3786F&quot;/&gt;&lt;wsp:rsid wsp:val=&quot;00D37E6C&quot;/&gt;&lt;wsp:rsid wsp:val=&quot;00D409CA&quot;/&gt;&lt;wsp:rsid wsp:val=&quot;00D40A9D&quot;/&gt;&lt;wsp:rsid wsp:val=&quot;00D40C9A&quot;/&gt;&lt;wsp:rsid wsp:val=&quot;00D41141&quot;/&gt;&lt;wsp:rsid wsp:val=&quot;00D4120B&quot;/&gt;&lt;wsp:rsid wsp:val=&quot;00D41AF9&quot;/&gt;&lt;wsp:rsid wsp:val=&quot;00D4271E&quot;/&gt;&lt;wsp:rsid wsp:val=&quot;00D42853&quot;/&gt;&lt;wsp:rsid wsp:val=&quot;00D42C01&quot;/&gt;&lt;wsp:rsid wsp:val=&quot;00D4357C&quot;/&gt;&lt;wsp:rsid wsp:val=&quot;00D43A08&quot;/&gt;&lt;wsp:rsid wsp:val=&quot;00D44116&quot;/&gt;&lt;wsp:rsid wsp:val=&quot;00D448F3&quot;/&gt;&lt;wsp:rsid wsp:val=&quot;00D44DCA&quot;/&gt;&lt;wsp:rsid wsp:val=&quot;00D4523A&quot;/&gt;&lt;wsp:rsid wsp:val=&quot;00D45374&quot;/&gt;&lt;wsp:rsid wsp:val=&quot;00D460D1&quot;/&gt;&lt;wsp:rsid wsp:val=&quot;00D46431&quot;/&gt;&lt;wsp:rsid wsp:val=&quot;00D464C3&quot;/&gt;&lt;wsp:rsid wsp:val=&quot;00D468F9&quot;/&gt;&lt;wsp:rsid wsp:val=&quot;00D46BFF&quot;/&gt;&lt;wsp:rsid wsp:val=&quot;00D46EDA&quot;/&gt;&lt;wsp:rsid wsp:val=&quot;00D470FE&quot;/&gt;&lt;wsp:rsid wsp:val=&quot;00D4791D&quot;/&gt;&lt;wsp:rsid wsp:val=&quot;00D47B1C&quot;/&gt;&lt;wsp:rsid wsp:val=&quot;00D5043F&quot;/&gt;&lt;wsp:rsid wsp:val=&quot;00D50BDB&quot;/&gt;&lt;wsp:rsid wsp:val=&quot;00D50F27&quot;/&gt;&lt;wsp:rsid wsp:val=&quot;00D51172&quot;/&gt;&lt;wsp:rsid wsp:val=&quot;00D51186&quot;/&gt;&lt;wsp:rsid wsp:val=&quot;00D514D6&quot;/&gt;&lt;wsp:rsid wsp:val=&quot;00D51EF4&quot;/&gt;&lt;wsp:rsid wsp:val=&quot;00D539C1&quot;/&gt;&lt;wsp:rsid wsp:val=&quot;00D549BF&quot;/&gt;&lt;wsp:rsid wsp:val=&quot;00D54CEA&quot;/&gt;&lt;wsp:rsid wsp:val=&quot;00D54EC3&quot;/&gt;&lt;wsp:rsid wsp:val=&quot;00D553DC&quot;/&gt;&lt;wsp:rsid wsp:val=&quot;00D55723&quot;/&gt;&lt;wsp:rsid wsp:val=&quot;00D55F09&quot;/&gt;&lt;wsp:rsid wsp:val=&quot;00D55F58&quot;/&gt;&lt;wsp:rsid wsp:val=&quot;00D569C6&quot;/&gt;&lt;wsp:rsid wsp:val=&quot;00D56FB0&quot;/&gt;&lt;wsp:rsid wsp:val=&quot;00D57428&quot;/&gt;&lt;wsp:rsid wsp:val=&quot;00D5797A&quot;/&gt;&lt;wsp:rsid wsp:val=&quot;00D57B03&quot;/&gt;&lt;wsp:rsid wsp:val=&quot;00D57EF4&quot;/&gt;&lt;wsp:rsid wsp:val=&quot;00D6009D&quot;/&gt;&lt;wsp:rsid wsp:val=&quot;00D60474&quot;/&gt;&lt;wsp:rsid wsp:val=&quot;00D60A61&quot;/&gt;&lt;wsp:rsid wsp:val=&quot;00D60E07&quot;/&gt;&lt;wsp:rsid wsp:val=&quot;00D610A4&quot;/&gt;&lt;wsp:rsid wsp:val=&quot;00D6121D&quot;/&gt;&lt;wsp:rsid wsp:val=&quot;00D612FA&quot;/&gt;&lt;wsp:rsid wsp:val=&quot;00D614B8&quot;/&gt;&lt;wsp:rsid wsp:val=&quot;00D6181B&quot;/&gt;&lt;wsp:rsid wsp:val=&quot;00D61B69&quot;/&gt;&lt;wsp:rsid wsp:val=&quot;00D61C00&quot;/&gt;&lt;wsp:rsid wsp:val=&quot;00D61E65&quot;/&gt;&lt;wsp:rsid wsp:val=&quot;00D6282C&quot;/&gt;&lt;wsp:rsid wsp:val=&quot;00D62B30&quot;/&gt;&lt;wsp:rsid wsp:val=&quot;00D62C08&quot;/&gt;&lt;wsp:rsid wsp:val=&quot;00D6321E&quot;/&gt;&lt;wsp:rsid wsp:val=&quot;00D63279&quot;/&gt;&lt;wsp:rsid wsp:val=&quot;00D636ED&quot;/&gt;&lt;wsp:rsid wsp:val=&quot;00D63860&quot;/&gt;&lt;wsp:rsid wsp:val=&quot;00D63B41&quot;/&gt;&lt;wsp:rsid wsp:val=&quot;00D63D63&quot;/&gt;&lt;wsp:rsid wsp:val=&quot;00D63EDC&quot;/&gt;&lt;wsp:rsid wsp:val=&quot;00D6491F&quot;/&gt;&lt;wsp:rsid wsp:val=&quot;00D64998&quot;/&gt;&lt;wsp:rsid wsp:val=&quot;00D64BB2&quot;/&gt;&lt;wsp:rsid wsp:val=&quot;00D64CE9&quot;/&gt;&lt;wsp:rsid wsp:val=&quot;00D64F51&quot;/&gt;&lt;wsp:rsid wsp:val=&quot;00D650DC&quot;/&gt;&lt;wsp:rsid wsp:val=&quot;00D65F20&quot;/&gt;&lt;wsp:rsid wsp:val=&quot;00D66051&quot;/&gt;&lt;wsp:rsid wsp:val=&quot;00D660FC&quot;/&gt;&lt;wsp:rsid wsp:val=&quot;00D668D4&quot;/&gt;&lt;wsp:rsid wsp:val=&quot;00D66D5A&quot;/&gt;&lt;wsp:rsid wsp:val=&quot;00D66EDE&quot;/&gt;&lt;wsp:rsid wsp:val=&quot;00D66F99&quot;/&gt;&lt;wsp:rsid wsp:val=&quot;00D67D13&quot;/&gt;&lt;wsp:rsid wsp:val=&quot;00D67D6F&quot;/&gt;&lt;wsp:rsid wsp:val=&quot;00D706AE&quot;/&gt;&lt;wsp:rsid wsp:val=&quot;00D71045&quot;/&gt;&lt;wsp:rsid wsp:val=&quot;00D71200&quot;/&gt;&lt;wsp:rsid wsp:val=&quot;00D71414&quot;/&gt;&lt;wsp:rsid wsp:val=&quot;00D715DA&quot;/&gt;&lt;wsp:rsid wsp:val=&quot;00D71E51&quot;/&gt;&lt;wsp:rsid wsp:val=&quot;00D71E83&quot;/&gt;&lt;wsp:rsid wsp:val=&quot;00D72045&quot;/&gt;&lt;wsp:rsid wsp:val=&quot;00D72135&quot;/&gt;&lt;wsp:rsid wsp:val=&quot;00D729F3&quot;/&gt;&lt;wsp:rsid wsp:val=&quot;00D72C2C&quot;/&gt;&lt;wsp:rsid wsp:val=&quot;00D73163&quot;/&gt;&lt;wsp:rsid wsp:val=&quot;00D7339E&quot;/&gt;&lt;wsp:rsid wsp:val=&quot;00D735CE&quot;/&gt;&lt;wsp:rsid wsp:val=&quot;00D73A09&quot;/&gt;&lt;wsp:rsid wsp:val=&quot;00D73CB5&quot;/&gt;&lt;wsp:rsid wsp:val=&quot;00D73CFC&quot;/&gt;&lt;wsp:rsid wsp:val=&quot;00D7442D&quot;/&gt;&lt;wsp:rsid wsp:val=&quot;00D746B0&quot;/&gt;&lt;wsp:rsid wsp:val=&quot;00D74AEE&quot;/&gt;&lt;wsp:rsid wsp:val=&quot;00D74BBE&quot;/&gt;&lt;wsp:rsid wsp:val=&quot;00D74C01&quot;/&gt;&lt;wsp:rsid wsp:val=&quot;00D75570&quot;/&gt;&lt;wsp:rsid wsp:val=&quot;00D756E2&quot;/&gt;&lt;wsp:rsid wsp:val=&quot;00D75912&quot;/&gt;&lt;wsp:rsid wsp:val=&quot;00D75A7B&quot;/&gt;&lt;wsp:rsid wsp:val=&quot;00D75CB0&quot;/&gt;&lt;wsp:rsid wsp:val=&quot;00D7612C&quot;/&gt;&lt;wsp:rsid wsp:val=&quot;00D762A6&quot;/&gt;&lt;wsp:rsid wsp:val=&quot;00D76471&quot;/&gt;&lt;wsp:rsid wsp:val=&quot;00D76484&quot;/&gt;&lt;wsp:rsid wsp:val=&quot;00D765AC&quot;/&gt;&lt;wsp:rsid wsp:val=&quot;00D76875&quot;/&gt;&lt;wsp:rsid wsp:val=&quot;00D772CA&quot;/&gt;&lt;wsp:rsid wsp:val=&quot;00D7731D&quot;/&gt;&lt;wsp:rsid wsp:val=&quot;00D773E8&quot;/&gt;&lt;wsp:rsid wsp:val=&quot;00D77973&quot;/&gt;&lt;wsp:rsid wsp:val=&quot;00D77AD8&quot;/&gt;&lt;wsp:rsid wsp:val=&quot;00D801AB&quot;/&gt;&lt;wsp:rsid wsp:val=&quot;00D801DF&quot;/&gt;&lt;wsp:rsid wsp:val=&quot;00D80C23&quot;/&gt;&lt;wsp:rsid wsp:val=&quot;00D80F5A&quot;/&gt;&lt;wsp:rsid wsp:val=&quot;00D8171D&quot;/&gt;&lt;wsp:rsid wsp:val=&quot;00D81901&quot;/&gt;&lt;wsp:rsid wsp:val=&quot;00D81D7F&quot;/&gt;&lt;wsp:rsid wsp:val=&quot;00D82068&quot;/&gt;&lt;wsp:rsid wsp:val=&quot;00D821BE&quot;/&gt;&lt;wsp:rsid wsp:val=&quot;00D83500&quot;/&gt;&lt;wsp:rsid wsp:val=&quot;00D83745&quot;/&gt;&lt;wsp:rsid wsp:val=&quot;00D83B0B&quot;/&gt;&lt;wsp:rsid wsp:val=&quot;00D83C16&quot;/&gt;&lt;wsp:rsid wsp:val=&quot;00D84320&quot;/&gt;&lt;wsp:rsid wsp:val=&quot;00D84711&quot;/&gt;&lt;wsp:rsid wsp:val=&quot;00D84C83&quot;/&gt;&lt;wsp:rsid wsp:val=&quot;00D84F5B&quot;/&gt;&lt;wsp:rsid wsp:val=&quot;00D84F6F&quot;/&gt;&lt;wsp:rsid wsp:val=&quot;00D84F88&quot;/&gt;&lt;wsp:rsid wsp:val=&quot;00D85422&quot;/&gt;&lt;wsp:rsid wsp:val=&quot;00D8550B&quot;/&gt;&lt;wsp:rsid wsp:val=&quot;00D8613C&quot;/&gt;&lt;wsp:rsid wsp:val=&quot;00D867E4&quot;/&gt;&lt;wsp:rsid wsp:val=&quot;00D868BD&quot;/&gt;&lt;wsp:rsid wsp:val=&quot;00D86A1E&quot;/&gt;&lt;wsp:rsid wsp:val=&quot;00D86E83&quot;/&gt;&lt;wsp:rsid wsp:val=&quot;00D87694&quot;/&gt;&lt;wsp:rsid wsp:val=&quot;00D87E5F&quot;/&gt;&lt;wsp:rsid wsp:val=&quot;00D90166&quot;/&gt;&lt;wsp:rsid wsp:val=&quot;00D903B6&quot;/&gt;&lt;wsp:rsid wsp:val=&quot;00D90B3F&quot;/&gt;&lt;wsp:rsid wsp:val=&quot;00D91720&quot;/&gt;&lt;wsp:rsid wsp:val=&quot;00D91C2F&quot;/&gt;&lt;wsp:rsid wsp:val=&quot;00D91EB9&quot;/&gt;&lt;wsp:rsid wsp:val=&quot;00D92246&quot;/&gt;&lt;wsp:rsid wsp:val=&quot;00D923FD&quot;/&gt;&lt;wsp:rsid wsp:val=&quot;00D9257C&quot;/&gt;&lt;wsp:rsid wsp:val=&quot;00D925E0&quot;/&gt;&lt;wsp:rsid wsp:val=&quot;00D927EE&quot;/&gt;&lt;wsp:rsid wsp:val=&quot;00D9283B&quot;/&gt;&lt;wsp:rsid wsp:val=&quot;00D92951&quot;/&gt;&lt;wsp:rsid wsp:val=&quot;00D92D14&quot;/&gt;&lt;wsp:rsid wsp:val=&quot;00D92FB7&quot;/&gt;&lt;wsp:rsid wsp:val=&quot;00D934B7&quot;/&gt;&lt;wsp:rsid wsp:val=&quot;00D937E0&quot;/&gt;&lt;wsp:rsid wsp:val=&quot;00D938A8&quot;/&gt;&lt;wsp:rsid wsp:val=&quot;00D93BD4&quot;/&gt;&lt;wsp:rsid wsp:val=&quot;00D945DA&quot;/&gt;&lt;wsp:rsid wsp:val=&quot;00D94D61&quot;/&gt;&lt;wsp:rsid wsp:val=&quot;00D9523C&quot;/&gt;&lt;wsp:rsid wsp:val=&quot;00D95572&quot;/&gt;&lt;wsp:rsid wsp:val=&quot;00D9573A&quot;/&gt;&lt;wsp:rsid wsp:val=&quot;00D958A7&quot;/&gt;&lt;wsp:rsid wsp:val=&quot;00D96136&quot;/&gt;&lt;wsp:rsid wsp:val=&quot;00D96152&quot;/&gt;&lt;wsp:rsid wsp:val=&quot;00D963FB&quot;/&gt;&lt;wsp:rsid wsp:val=&quot;00D96537&quot;/&gt;&lt;wsp:rsid wsp:val=&quot;00D96730&quot;/&gt;&lt;wsp:rsid wsp:val=&quot;00D96B9B&quot;/&gt;&lt;wsp:rsid wsp:val=&quot;00D96C67&quot;/&gt;&lt;wsp:rsid wsp:val=&quot;00D96DA1&quot;/&gt;&lt;wsp:rsid wsp:val=&quot;00D96ECA&quot;/&gt;&lt;wsp:rsid wsp:val=&quot;00D97590&quot;/&gt;&lt;wsp:rsid wsp:val=&quot;00D97706&quot;/&gt;&lt;wsp:rsid wsp:val=&quot;00D97CBD&quot;/&gt;&lt;wsp:rsid wsp:val=&quot;00D97DF3&quot;/&gt;&lt;wsp:rsid wsp:val=&quot;00DA0059&quot;/&gt;&lt;wsp:rsid wsp:val=&quot;00DA08E1&quot;/&gt;&lt;wsp:rsid wsp:val=&quot;00DA0A80&quot;/&gt;&lt;wsp:rsid wsp:val=&quot;00DA108F&quot;/&gt;&lt;wsp:rsid wsp:val=&quot;00DA1519&quot;/&gt;&lt;wsp:rsid wsp:val=&quot;00DA19EA&quot;/&gt;&lt;wsp:rsid wsp:val=&quot;00DA213B&quot;/&gt;&lt;wsp:rsid wsp:val=&quot;00DA2168&quot;/&gt;&lt;wsp:rsid wsp:val=&quot;00DA2253&quot;/&gt;&lt;wsp:rsid wsp:val=&quot;00DA22BB&quot;/&gt;&lt;wsp:rsid wsp:val=&quot;00DA27F9&quot;/&gt;&lt;wsp:rsid wsp:val=&quot;00DA3210&quot;/&gt;&lt;wsp:rsid wsp:val=&quot;00DA366A&quot;/&gt;&lt;wsp:rsid wsp:val=&quot;00DA38DF&quot;/&gt;&lt;wsp:rsid wsp:val=&quot;00DA3E2C&quot;/&gt;&lt;wsp:rsid wsp:val=&quot;00DA3FAA&quot;/&gt;&lt;wsp:rsid wsp:val=&quot;00DA3FEE&quot;/&gt;&lt;wsp:rsid wsp:val=&quot;00DA404A&quot;/&gt;&lt;wsp:rsid wsp:val=&quot;00DA452C&quot;/&gt;&lt;wsp:rsid wsp:val=&quot;00DA463E&quot;/&gt;&lt;wsp:rsid wsp:val=&quot;00DA4729&quot;/&gt;&lt;wsp:rsid wsp:val=&quot;00DA49DA&quot;/&gt;&lt;wsp:rsid wsp:val=&quot;00DA4E43&quot;/&gt;&lt;wsp:rsid wsp:val=&quot;00DA5E3F&quot;/&gt;&lt;wsp:rsid wsp:val=&quot;00DA5EF9&quot;/&gt;&lt;wsp:rsid wsp:val=&quot;00DA612D&quot;/&gt;&lt;wsp:rsid wsp:val=&quot;00DA66AD&quot;/&gt;&lt;wsp:rsid wsp:val=&quot;00DA70E8&quot;/&gt;&lt;wsp:rsid wsp:val=&quot;00DA77C4&quot;/&gt;&lt;wsp:rsid wsp:val=&quot;00DA7ADE&quot;/&gt;&lt;wsp:rsid wsp:val=&quot;00DA7DB6&quot;/&gt;&lt;wsp:rsid wsp:val=&quot;00DA7F17&quot;/&gt;&lt;wsp:rsid wsp:val=&quot;00DB0382&quot;/&gt;&lt;wsp:rsid wsp:val=&quot;00DB0472&quot;/&gt;&lt;wsp:rsid wsp:val=&quot;00DB0773&quot;/&gt;&lt;wsp:rsid wsp:val=&quot;00DB08D2&quot;/&gt;&lt;wsp:rsid wsp:val=&quot;00DB11FF&quot;/&gt;&lt;wsp:rsid wsp:val=&quot;00DB126E&quot;/&gt;&lt;wsp:rsid wsp:val=&quot;00DB13E5&quot;/&gt;&lt;wsp:rsid wsp:val=&quot;00DB18AE&quot;/&gt;&lt;wsp:rsid wsp:val=&quot;00DB1F4A&quot;/&gt;&lt;wsp:rsid wsp:val=&quot;00DB216C&quot;/&gt;&lt;wsp:rsid wsp:val=&quot;00DB238E&quot;/&gt;&lt;wsp:rsid wsp:val=&quot;00DB2474&quot;/&gt;&lt;wsp:rsid wsp:val=&quot;00DB2542&quot;/&gt;&lt;wsp:rsid wsp:val=&quot;00DB2767&quot;/&gt;&lt;wsp:rsid wsp:val=&quot;00DB2AD4&quot;/&gt;&lt;wsp:rsid wsp:val=&quot;00DB3DA3&quot;/&gt;&lt;wsp:rsid wsp:val=&quot;00DB3F4B&quot;/&gt;&lt;wsp:rsid wsp:val=&quot;00DB45AC&quot;/&gt;&lt;wsp:rsid wsp:val=&quot;00DB4693&quot;/&gt;&lt;wsp:rsid wsp:val=&quot;00DB474A&quot;/&gt;&lt;wsp:rsid wsp:val=&quot;00DB4CB9&quot;/&gt;&lt;wsp:rsid wsp:val=&quot;00DB4F18&quot;/&gt;&lt;wsp:rsid wsp:val=&quot;00DB505F&quot;/&gt;&lt;wsp:rsid wsp:val=&quot;00DB52BC&quot;/&gt;&lt;wsp:rsid wsp:val=&quot;00DB580B&quot;/&gt;&lt;wsp:rsid wsp:val=&quot;00DB5BDA&quot;/&gt;&lt;wsp:rsid wsp:val=&quot;00DB6869&quot;/&gt;&lt;wsp:rsid wsp:val=&quot;00DB6CC1&quot;/&gt;&lt;wsp:rsid wsp:val=&quot;00DB7265&quot;/&gt;&lt;wsp:rsid wsp:val=&quot;00DB7513&quot;/&gt;&lt;wsp:rsid wsp:val=&quot;00DB7CFE&quot;/&gt;&lt;wsp:rsid wsp:val=&quot;00DB7DB5&quot;/&gt;&lt;wsp:rsid wsp:val=&quot;00DB7DEC&quot;/&gt;&lt;wsp:rsid wsp:val=&quot;00DC068E&quot;/&gt;&lt;wsp:rsid wsp:val=&quot;00DC0977&quot;/&gt;&lt;wsp:rsid wsp:val=&quot;00DC0A83&quot;/&gt;&lt;wsp:rsid wsp:val=&quot;00DC0BB3&quot;/&gt;&lt;wsp:rsid wsp:val=&quot;00DC0BED&quot;/&gt;&lt;wsp:rsid wsp:val=&quot;00DC0D35&quot;/&gt;&lt;wsp:rsid wsp:val=&quot;00DC1636&quot;/&gt;&lt;wsp:rsid wsp:val=&quot;00DC166D&quot;/&gt;&lt;wsp:rsid wsp:val=&quot;00DC1990&quot;/&gt;&lt;wsp:rsid wsp:val=&quot;00DC1B2F&quot;/&gt;&lt;wsp:rsid wsp:val=&quot;00DC1BF2&quot;/&gt;&lt;wsp:rsid wsp:val=&quot;00DC1E27&quot;/&gt;&lt;wsp:rsid wsp:val=&quot;00DC20A9&quot;/&gt;&lt;wsp:rsid wsp:val=&quot;00DC21A9&quot;/&gt;&lt;wsp:rsid wsp:val=&quot;00DC22BC&quot;/&gt;&lt;wsp:rsid wsp:val=&quot;00DC27A8&quot;/&gt;&lt;wsp:rsid wsp:val=&quot;00DC2FA9&quot;/&gt;&lt;wsp:rsid wsp:val=&quot;00DC4B29&quot;/&gt;&lt;wsp:rsid wsp:val=&quot;00DC4E25&quot;/&gt;&lt;wsp:rsid wsp:val=&quot;00DC4F80&quot;/&gt;&lt;wsp:rsid wsp:val=&quot;00DC50DF&quot;/&gt;&lt;wsp:rsid wsp:val=&quot;00DC6120&quot;/&gt;&lt;wsp:rsid wsp:val=&quot;00DC63F7&quot;/&gt;&lt;wsp:rsid wsp:val=&quot;00DC6423&quot;/&gt;&lt;wsp:rsid wsp:val=&quot;00DC6A58&quot;/&gt;&lt;wsp:rsid wsp:val=&quot;00DC6BCE&quot;/&gt;&lt;wsp:rsid wsp:val=&quot;00DC6CE5&quot;/&gt;&lt;wsp:rsid wsp:val=&quot;00DC6F05&quot;/&gt;&lt;wsp:rsid wsp:val=&quot;00DC73C7&quot;/&gt;&lt;wsp:rsid wsp:val=&quot;00DC7DE4&quot;/&gt;&lt;wsp:rsid wsp:val=&quot;00DD0144&quot;/&gt;&lt;wsp:rsid wsp:val=&quot;00DD01D0&quot;/&gt;&lt;wsp:rsid wsp:val=&quot;00DD035D&quot;/&gt;&lt;wsp:rsid wsp:val=&quot;00DD0423&quot;/&gt;&lt;wsp:rsid wsp:val=&quot;00DD0424&quot;/&gt;&lt;wsp:rsid wsp:val=&quot;00DD0557&quot;/&gt;&lt;wsp:rsid wsp:val=&quot;00DD095A&quot;/&gt;&lt;wsp:rsid wsp:val=&quot;00DD0A7F&quot;/&gt;&lt;wsp:rsid wsp:val=&quot;00DD0BF4&quot;/&gt;&lt;wsp:rsid wsp:val=&quot;00DD0C92&quot;/&gt;&lt;wsp:rsid wsp:val=&quot;00DD0DE3&quot;/&gt;&lt;wsp:rsid wsp:val=&quot;00DD14E8&quot;/&gt;&lt;wsp:rsid wsp:val=&quot;00DD1F0F&quot;/&gt;&lt;wsp:rsid wsp:val=&quot;00DD2221&quot;/&gt;&lt;wsp:rsid wsp:val=&quot;00DD23C5&quot;/&gt;&lt;wsp:rsid wsp:val=&quot;00DD2480&quot;/&gt;&lt;wsp:rsid wsp:val=&quot;00DD2731&quot;/&gt;&lt;wsp:rsid wsp:val=&quot;00DD29AF&quot;/&gt;&lt;wsp:rsid wsp:val=&quot;00DD2BA4&quot;/&gt;&lt;wsp:rsid wsp:val=&quot;00DD3142&quot;/&gt;&lt;wsp:rsid wsp:val=&quot;00DD33B7&quot;/&gt;&lt;wsp:rsid wsp:val=&quot;00DD3944&quot;/&gt;&lt;wsp:rsid wsp:val=&quot;00DD4331&quot;/&gt;&lt;wsp:rsid wsp:val=&quot;00DD4552&quot;/&gt;&lt;wsp:rsid wsp:val=&quot;00DD469C&quot;/&gt;&lt;wsp:rsid wsp:val=&quot;00DD47F8&quot;/&gt;&lt;wsp:rsid wsp:val=&quot;00DD4F6B&quot;/&gt;&lt;wsp:rsid wsp:val=&quot;00DD4FCC&quot;/&gt;&lt;wsp:rsid wsp:val=&quot;00DD57B9&quot;/&gt;&lt;wsp:rsid wsp:val=&quot;00DD5BD0&quot;/&gt;&lt;wsp:rsid wsp:val=&quot;00DD68CB&quot;/&gt;&lt;wsp:rsid wsp:val=&quot;00DD6B83&quot;/&gt;&lt;wsp:rsid wsp:val=&quot;00DD6DF9&quot;/&gt;&lt;wsp:rsid wsp:val=&quot;00DD6E1D&quot;/&gt;&lt;wsp:rsid wsp:val=&quot;00DD7001&quot;/&gt;&lt;wsp:rsid wsp:val=&quot;00DD7326&quot;/&gt;&lt;wsp:rsid wsp:val=&quot;00DD7685&quot;/&gt;&lt;wsp:rsid wsp:val=&quot;00DD7C2A&quot;/&gt;&lt;wsp:rsid wsp:val=&quot;00DD7D62&quot;/&gt;&lt;wsp:rsid wsp:val=&quot;00DD7DF7&quot;/&gt;&lt;wsp:rsid wsp:val=&quot;00DD7FF0&quot;/&gt;&lt;wsp:rsid wsp:val=&quot;00DD7FFB&quot;/&gt;&lt;wsp:rsid wsp:val=&quot;00DE07D4&quot;/&gt;&lt;wsp:rsid wsp:val=&quot;00DE085F&quot;/&gt;&lt;wsp:rsid wsp:val=&quot;00DE0EB7&quot;/&gt;&lt;wsp:rsid wsp:val=&quot;00DE1175&quot;/&gt;&lt;wsp:rsid wsp:val=&quot;00DE154C&quot;/&gt;&lt;wsp:rsid wsp:val=&quot;00DE16A3&quot;/&gt;&lt;wsp:rsid wsp:val=&quot;00DE17F0&quot;/&gt;&lt;wsp:rsid wsp:val=&quot;00DE21B9&quot;/&gt;&lt;wsp:rsid wsp:val=&quot;00DE25F2&quot;/&gt;&lt;wsp:rsid wsp:val=&quot;00DE2B53&quot;/&gt;&lt;wsp:rsid wsp:val=&quot;00DE2C1A&quot;/&gt;&lt;wsp:rsid wsp:val=&quot;00DE2CD3&quot;/&gt;&lt;wsp:rsid wsp:val=&quot;00DE3456&quot;/&gt;&lt;wsp:rsid wsp:val=&quot;00DE3B78&quot;/&gt;&lt;wsp:rsid wsp:val=&quot;00DE3CC1&quot;/&gt;&lt;wsp:rsid wsp:val=&quot;00DE413F&quot;/&gt;&lt;wsp:rsid wsp:val=&quot;00DE414C&quot;/&gt;&lt;wsp:rsid wsp:val=&quot;00DE47D6&quot;/&gt;&lt;wsp:rsid wsp:val=&quot;00DE496C&quot;/&gt;&lt;wsp:rsid wsp:val=&quot;00DE4A9C&quot;/&gt;&lt;wsp:rsid wsp:val=&quot;00DE4DA5&quot;/&gt;&lt;wsp:rsid wsp:val=&quot;00DE4F15&quot;/&gt;&lt;wsp:rsid wsp:val=&quot;00DE5303&quot;/&gt;&lt;wsp:rsid wsp:val=&quot;00DE55F8&quot;/&gt;&lt;wsp:rsid wsp:val=&quot;00DE576A&quot;/&gt;&lt;wsp:rsid wsp:val=&quot;00DE59C5&quot;/&gt;&lt;wsp:rsid wsp:val=&quot;00DE5FC0&quot;/&gt;&lt;wsp:rsid wsp:val=&quot;00DE61D3&quot;/&gt;&lt;wsp:rsid wsp:val=&quot;00DE64E0&quot;/&gt;&lt;wsp:rsid wsp:val=&quot;00DE6BE2&quot;/&gt;&lt;wsp:rsid wsp:val=&quot;00DE7091&quot;/&gt;&lt;wsp:rsid wsp:val=&quot;00DE71A9&quot;/&gt;&lt;wsp:rsid wsp:val=&quot;00DE7757&quot;/&gt;&lt;wsp:rsid wsp:val=&quot;00DE7B2F&quot;/&gt;&lt;wsp:rsid wsp:val=&quot;00DF02EC&quot;/&gt;&lt;wsp:rsid wsp:val=&quot;00DF181F&quot;/&gt;&lt;wsp:rsid wsp:val=&quot;00DF1B64&quot;/&gt;&lt;wsp:rsid wsp:val=&quot;00DF1B9C&quot;/&gt;&lt;wsp:rsid wsp:val=&quot;00DF1BE4&quot;/&gt;&lt;wsp:rsid wsp:val=&quot;00DF1EC7&quot;/&gt;&lt;wsp:rsid wsp:val=&quot;00DF23A2&quot;/&gt;&lt;wsp:rsid wsp:val=&quot;00DF24B7&quot;/&gt;&lt;wsp:rsid wsp:val=&quot;00DF2CFC&quot;/&gt;&lt;wsp:rsid wsp:val=&quot;00DF2F2E&quot;/&gt;&lt;wsp:rsid wsp:val=&quot;00DF2F53&quot;/&gt;&lt;wsp:rsid wsp:val=&quot;00DF3453&quot;/&gt;&lt;wsp:rsid wsp:val=&quot;00DF3980&quot;/&gt;&lt;wsp:rsid wsp:val=&quot;00DF3E90&quot;/&gt;&lt;wsp:rsid wsp:val=&quot;00DF44CD&quot;/&gt;&lt;wsp:rsid wsp:val=&quot;00DF47B2&quot;/&gt;&lt;wsp:rsid wsp:val=&quot;00DF4A7F&quot;/&gt;&lt;wsp:rsid wsp:val=&quot;00DF4BC9&quot;/&gt;&lt;wsp:rsid wsp:val=&quot;00DF4CD3&quot;/&gt;&lt;wsp:rsid wsp:val=&quot;00DF5005&quot;/&gt;&lt;wsp:rsid wsp:val=&quot;00DF50B2&quot;/&gt;&lt;wsp:rsid wsp:val=&quot;00DF52BF&quot;/&gt;&lt;wsp:rsid wsp:val=&quot;00DF5B2F&quot;/&gt;&lt;wsp:rsid wsp:val=&quot;00DF5F76&quot;/&gt;&lt;wsp:rsid wsp:val=&quot;00DF62D9&quot;/&gt;&lt;wsp:rsid wsp:val=&quot;00DF692A&quot;/&gt;&lt;wsp:rsid wsp:val=&quot;00DF6BA2&quot;/&gt;&lt;wsp:rsid wsp:val=&quot;00DF6BC5&quot;/&gt;&lt;wsp:rsid wsp:val=&quot;00DF6D56&quot;/&gt;&lt;wsp:rsid wsp:val=&quot;00DF6E14&quot;/&gt;&lt;wsp:rsid wsp:val=&quot;00DF6EDF&quot;/&gt;&lt;wsp:rsid wsp:val=&quot;00DF7081&quot;/&gt;&lt;wsp:rsid wsp:val=&quot;00DF78F3&quot;/&gt;&lt;wsp:rsid wsp:val=&quot;00DF7E04&quot;/&gt;&lt;wsp:rsid wsp:val=&quot;00E00107&quot;/&gt;&lt;wsp:rsid wsp:val=&quot;00E00166&quot;/&gt;&lt;wsp:rsid wsp:val=&quot;00E0016E&quot;/&gt;&lt;wsp:rsid wsp:val=&quot;00E0018D&quot;/&gt;&lt;wsp:rsid wsp:val=&quot;00E00247&quot;/&gt;&lt;wsp:rsid wsp:val=&quot;00E00421&quot;/&gt;&lt;wsp:rsid wsp:val=&quot;00E0058E&quot;/&gt;&lt;wsp:rsid wsp:val=&quot;00E00870&quot;/&gt;&lt;wsp:rsid wsp:val=&quot;00E00C41&quot;/&gt;&lt;wsp:rsid wsp:val=&quot;00E00F36&quot;/&gt;&lt;wsp:rsid wsp:val=&quot;00E01144&quot;/&gt;&lt;wsp:rsid wsp:val=&quot;00E0119B&quot;/&gt;&lt;wsp:rsid wsp:val=&quot;00E01D38&quot;/&gt;&lt;wsp:rsid wsp:val=&quot;00E01F74&quot;/&gt;&lt;wsp:rsid wsp:val=&quot;00E0226D&quot;/&gt;&lt;wsp:rsid wsp:val=&quot;00E0249B&quot;/&gt;&lt;wsp:rsid wsp:val=&quot;00E03AEF&quot;/&gt;&lt;wsp:rsid wsp:val=&quot;00E04615&quot;/&gt;&lt;wsp:rsid wsp:val=&quot;00E0496E&quot;/&gt;&lt;wsp:rsid wsp:val=&quot;00E04E21&quot;/&gt;&lt;wsp:rsid wsp:val=&quot;00E04F0D&quot;/&gt;&lt;wsp:rsid wsp:val=&quot;00E05281&quot;/&gt;&lt;wsp:rsid wsp:val=&quot;00E054F0&quot;/&gt;&lt;wsp:rsid wsp:val=&quot;00E0573D&quot;/&gt;&lt;wsp:rsid wsp:val=&quot;00E05918&quot;/&gt;&lt;wsp:rsid wsp:val=&quot;00E06235&quot;/&gt;&lt;wsp:rsid wsp:val=&quot;00E06869&quot;/&gt;&lt;wsp:rsid wsp:val=&quot;00E06985&quot;/&gt;&lt;wsp:rsid wsp:val=&quot;00E069CF&quot;/&gt;&lt;wsp:rsid wsp:val=&quot;00E071CB&quot;/&gt;&lt;wsp:rsid wsp:val=&quot;00E07387&quot;/&gt;&lt;wsp:rsid wsp:val=&quot;00E074B5&quot;/&gt;&lt;wsp:rsid wsp:val=&quot;00E074DC&quot;/&gt;&lt;wsp:rsid wsp:val=&quot;00E07C5A&quot;/&gt;&lt;wsp:rsid wsp:val=&quot;00E07DE7&quot;/&gt;&lt;wsp:rsid wsp:val=&quot;00E07E32&quot;/&gt;&lt;wsp:rsid wsp:val=&quot;00E1003A&quot;/&gt;&lt;wsp:rsid wsp:val=&quot;00E10063&quot;/&gt;&lt;wsp:rsid wsp:val=&quot;00E1058C&quot;/&gt;&lt;wsp:rsid wsp:val=&quot;00E10922&quot;/&gt;&lt;wsp:rsid wsp:val=&quot;00E10EA2&quot;/&gt;&lt;wsp:rsid wsp:val=&quot;00E11139&quot;/&gt;&lt;wsp:rsid wsp:val=&quot;00E11578&quot;/&gt;&lt;wsp:rsid wsp:val=&quot;00E11B63&quot;/&gt;&lt;wsp:rsid wsp:val=&quot;00E11EA6&quot;/&gt;&lt;wsp:rsid wsp:val=&quot;00E12039&quot;/&gt;&lt;wsp:rsid wsp:val=&quot;00E120E6&quot;/&gt;&lt;wsp:rsid wsp:val=&quot;00E12441&quot;/&gt;&lt;wsp:rsid wsp:val=&quot;00E129B2&quot;/&gt;&lt;wsp:rsid wsp:val=&quot;00E1341F&quot;/&gt;&lt;wsp:rsid wsp:val=&quot;00E14019&quot;/&gt;&lt;wsp:rsid wsp:val=&quot;00E1402B&quot;/&gt;&lt;wsp:rsid wsp:val=&quot;00E14B6C&quot;/&gt;&lt;wsp:rsid wsp:val=&quot;00E14BEA&quot;/&gt;&lt;wsp:rsid wsp:val=&quot;00E1519A&quot;/&gt;&lt;wsp:rsid wsp:val=&quot;00E157F7&quot;/&gt;&lt;wsp:rsid wsp:val=&quot;00E15F88&quot;/&gt;&lt;wsp:rsid wsp:val=&quot;00E160AA&quot;/&gt;&lt;wsp:rsid wsp:val=&quot;00E165AB&quot;/&gt;&lt;wsp:rsid wsp:val=&quot;00E165B0&quot;/&gt;&lt;wsp:rsid wsp:val=&quot;00E169A8&quot;/&gt;&lt;wsp:rsid wsp:val=&quot;00E16E1A&quot;/&gt;&lt;wsp:rsid wsp:val=&quot;00E16E65&quot;/&gt;&lt;wsp:rsid wsp:val=&quot;00E16EFE&quot;/&gt;&lt;wsp:rsid wsp:val=&quot;00E17262&quot;/&gt;&lt;wsp:rsid wsp:val=&quot;00E174BB&quot;/&gt;&lt;wsp:rsid wsp:val=&quot;00E17518&quot;/&gt;&lt;wsp:rsid wsp:val=&quot;00E17B35&quot;/&gt;&lt;wsp:rsid wsp:val=&quot;00E17EAF&quot;/&gt;&lt;wsp:rsid wsp:val=&quot;00E20169&quot;/&gt;&lt;wsp:rsid wsp:val=&quot;00E206DF&quot;/&gt;&lt;wsp:rsid wsp:val=&quot;00E20B51&quot;/&gt;&lt;wsp:rsid wsp:val=&quot;00E20BA0&quot;/&gt;&lt;wsp:rsid wsp:val=&quot;00E20D60&quot;/&gt;&lt;wsp:rsid wsp:val=&quot;00E20F4E&quot;/&gt;&lt;wsp:rsid wsp:val=&quot;00E21328&quot;/&gt;&lt;wsp:rsid wsp:val=&quot;00E21910&quot;/&gt;&lt;wsp:rsid wsp:val=&quot;00E21AED&quot;/&gt;&lt;wsp:rsid wsp:val=&quot;00E21B44&quot;/&gt;&lt;wsp:rsid wsp:val=&quot;00E21B5C&quot;/&gt;&lt;wsp:rsid wsp:val=&quot;00E21BDA&quot;/&gt;&lt;wsp:rsid wsp:val=&quot;00E21BF4&quot;/&gt;&lt;wsp:rsid wsp:val=&quot;00E21E34&quot;/&gt;&lt;wsp:rsid wsp:val=&quot;00E2274C&quot;/&gt;&lt;wsp:rsid wsp:val=&quot;00E22B9C&quot;/&gt;&lt;wsp:rsid wsp:val=&quot;00E22DF6&quot;/&gt;&lt;wsp:rsid wsp:val=&quot;00E237BA&quot;/&gt;&lt;wsp:rsid wsp:val=&quot;00E24415&quot;/&gt;&lt;wsp:rsid wsp:val=&quot;00E24449&quot;/&gt;&lt;wsp:rsid wsp:val=&quot;00E245C7&quot;/&gt;&lt;wsp:rsid wsp:val=&quot;00E24B4D&quot;/&gt;&lt;wsp:rsid wsp:val=&quot;00E25144&quot;/&gt;&lt;wsp:rsid wsp:val=&quot;00E253CD&quot;/&gt;&lt;wsp:rsid wsp:val=&quot;00E25461&quot;/&gt;&lt;wsp:rsid wsp:val=&quot;00E25F58&quot;/&gt;&lt;wsp:rsid wsp:val=&quot;00E26185&quot;/&gt;&lt;wsp:rsid wsp:val=&quot;00E268FB&quot;/&gt;&lt;wsp:rsid wsp:val=&quot;00E27024&quot;/&gt;&lt;wsp:rsid wsp:val=&quot;00E2755F&quot;/&gt;&lt;wsp:rsid wsp:val=&quot;00E27F58&quot;/&gt;&lt;wsp:rsid wsp:val=&quot;00E300E7&quot;/&gt;&lt;wsp:rsid wsp:val=&quot;00E30BFA&quot;/&gt;&lt;wsp:rsid wsp:val=&quot;00E3181D&quot;/&gt;&lt;wsp:rsid wsp:val=&quot;00E318A3&quot;/&gt;&lt;wsp:rsid wsp:val=&quot;00E31F21&quot;/&gt;&lt;wsp:rsid wsp:val=&quot;00E320B1&quot;/&gt;&lt;wsp:rsid wsp:val=&quot;00E3218F&quot;/&gt;&lt;wsp:rsid wsp:val=&quot;00E3249A&quot;/&gt;&lt;wsp:rsid wsp:val=&quot;00E3279E&quot;/&gt;&lt;wsp:rsid wsp:val=&quot;00E329CA&quot;/&gt;&lt;wsp:rsid wsp:val=&quot;00E32BF6&quot;/&gt;&lt;wsp:rsid wsp:val=&quot;00E32C8C&quot;/&gt;&lt;wsp:rsid wsp:val=&quot;00E32E7C&quot;/&gt;&lt;wsp:rsid wsp:val=&quot;00E33034&quot;/&gt;&lt;wsp:rsid wsp:val=&quot;00E33303&quot;/&gt;&lt;wsp:rsid wsp:val=&quot;00E334B8&quot;/&gt;&lt;wsp:rsid wsp:val=&quot;00E33546&quot;/&gt;&lt;wsp:rsid wsp:val=&quot;00E335D3&quot;/&gt;&lt;wsp:rsid wsp:val=&quot;00E33A9F&quot;/&gt;&lt;wsp:rsid wsp:val=&quot;00E33D4B&quot;/&gt;&lt;wsp:rsid wsp:val=&quot;00E33F97&quot;/&gt;&lt;wsp:rsid wsp:val=&quot;00E342C9&quot;/&gt;&lt;wsp:rsid wsp:val=&quot;00E34380&quot;/&gt;&lt;wsp:rsid wsp:val=&quot;00E3457D&quot;/&gt;&lt;wsp:rsid wsp:val=&quot;00E34741&quot;/&gt;&lt;wsp:rsid wsp:val=&quot;00E34EDD&quot;/&gt;&lt;wsp:rsid wsp:val=&quot;00E34F28&quot;/&gt;&lt;wsp:rsid wsp:val=&quot;00E34F78&quot;/&gt;&lt;wsp:rsid wsp:val=&quot;00E35ADA&quot;/&gt;&lt;wsp:rsid wsp:val=&quot;00E35B55&quot;/&gt;&lt;wsp:rsid wsp:val=&quot;00E35EE9&quot;/&gt;&lt;wsp:rsid wsp:val=&quot;00E35F9B&quot;/&gt;&lt;wsp:rsid wsp:val=&quot;00E364C1&quot;/&gt;&lt;wsp:rsid wsp:val=&quot;00E365ED&quot;/&gt;&lt;wsp:rsid wsp:val=&quot;00E366F5&quot;/&gt;&lt;wsp:rsid wsp:val=&quot;00E368BF&quot;/&gt;&lt;wsp:rsid wsp:val=&quot;00E37032&quot;/&gt;&lt;wsp:rsid wsp:val=&quot;00E37196&quot;/&gt;&lt;wsp:rsid wsp:val=&quot;00E376AA&quot;/&gt;&lt;wsp:rsid wsp:val=&quot;00E37A63&quot;/&gt;&lt;wsp:rsid wsp:val=&quot;00E37C42&quot;/&gt;&lt;wsp:rsid wsp:val=&quot;00E37D4E&quot;/&gt;&lt;wsp:rsid wsp:val=&quot;00E40990&quot;/&gt;&lt;wsp:rsid wsp:val=&quot;00E40E65&quot;/&gt;&lt;wsp:rsid wsp:val=&quot;00E410D4&quot;/&gt;&lt;wsp:rsid wsp:val=&quot;00E415CA&quot;/&gt;&lt;wsp:rsid wsp:val=&quot;00E41647&quot;/&gt;&lt;wsp:rsid wsp:val=&quot;00E417BB&quot;/&gt;&lt;wsp:rsid wsp:val=&quot;00E41861&quot;/&gt;&lt;wsp:rsid wsp:val=&quot;00E41E7A&quot;/&gt;&lt;wsp:rsid wsp:val=&quot;00E422D4&quot;/&gt;&lt;wsp:rsid wsp:val=&quot;00E42450&quot;/&gt;&lt;wsp:rsid wsp:val=&quot;00E427FF&quot;/&gt;&lt;wsp:rsid wsp:val=&quot;00E42ADB&quot;/&gt;&lt;wsp:rsid wsp:val=&quot;00E42B03&quot;/&gt;&lt;wsp:rsid wsp:val=&quot;00E43337&quot;/&gt;&lt;wsp:rsid wsp:val=&quot;00E4352F&quot;/&gt;&lt;wsp:rsid wsp:val=&quot;00E4353C&quot;/&gt;&lt;wsp:rsid wsp:val=&quot;00E43687&quot;/&gt;&lt;wsp:rsid wsp:val=&quot;00E43B4B&quot;/&gt;&lt;wsp:rsid wsp:val=&quot;00E442BB&quot;/&gt;&lt;wsp:rsid wsp:val=&quot;00E44308&quot;/&gt;&lt;wsp:rsid wsp:val=&quot;00E443A4&quot;/&gt;&lt;wsp:rsid wsp:val=&quot;00E44910&quot;/&gt;&lt;wsp:rsid wsp:val=&quot;00E44A1D&quot;/&gt;&lt;wsp:rsid wsp:val=&quot;00E44C60&quot;/&gt;&lt;wsp:rsid wsp:val=&quot;00E44CCC&quot;/&gt;&lt;wsp:rsid wsp:val=&quot;00E44D7C&quot;/&gt;&lt;wsp:rsid wsp:val=&quot;00E44F4C&quot;/&gt;&lt;wsp:rsid wsp:val=&quot;00E45C08&quot;/&gt;&lt;wsp:rsid wsp:val=&quot;00E45EFE&quot;/&gt;&lt;wsp:rsid wsp:val=&quot;00E46932&quot;/&gt;&lt;wsp:rsid wsp:val=&quot;00E46960&quot;/&gt;&lt;wsp:rsid wsp:val=&quot;00E470C6&quot;/&gt;&lt;wsp:rsid wsp:val=&quot;00E47734&quot;/&gt;&lt;wsp:rsid wsp:val=&quot;00E4785F&quot;/&gt;&lt;wsp:rsid wsp:val=&quot;00E479DC&quot;/&gt;&lt;wsp:rsid wsp:val=&quot;00E47D1F&quot;/&gt;&lt;wsp:rsid wsp:val=&quot;00E5013E&quot;/&gt;&lt;wsp:rsid wsp:val=&quot;00E50915&quot;/&gt;&lt;wsp:rsid wsp:val=&quot;00E509FD&quot;/&gt;&lt;wsp:rsid wsp:val=&quot;00E50AA8&quot;/&gt;&lt;wsp:rsid wsp:val=&quot;00E50E61&quot;/&gt;&lt;wsp:rsid wsp:val=&quot;00E51AEA&quot;/&gt;&lt;wsp:rsid wsp:val=&quot;00E51CD9&quot;/&gt;&lt;wsp:rsid wsp:val=&quot;00E51E04&quot;/&gt;&lt;wsp:rsid wsp:val=&quot;00E5218D&quot;/&gt;&lt;wsp:rsid wsp:val=&quot;00E522F9&quot;/&gt;&lt;wsp:rsid wsp:val=&quot;00E52382&quot;/&gt;&lt;wsp:rsid wsp:val=&quot;00E52D9A&quot;/&gt;&lt;wsp:rsid wsp:val=&quot;00E52ECD&quot;/&gt;&lt;wsp:rsid wsp:val=&quot;00E52EE4&quot;/&gt;&lt;wsp:rsid wsp:val=&quot;00E52F84&quot;/&gt;&lt;wsp:rsid wsp:val=&quot;00E52FFD&quot;/&gt;&lt;wsp:rsid wsp:val=&quot;00E53660&quot;/&gt;&lt;wsp:rsid wsp:val=&quot;00E53A0A&quot;/&gt;&lt;wsp:rsid wsp:val=&quot;00E53E1C&quot;/&gt;&lt;wsp:rsid wsp:val=&quot;00E54208&quot;/&gt;&lt;wsp:rsid wsp:val=&quot;00E54349&quot;/&gt;&lt;wsp:rsid wsp:val=&quot;00E54614&quot;/&gt;&lt;wsp:rsid wsp:val=&quot;00E546E0&quot;/&gt;&lt;wsp:rsid wsp:val=&quot;00E5491F&quot;/&gt;&lt;wsp:rsid wsp:val=&quot;00E54C82&quot;/&gt;&lt;wsp:rsid wsp:val=&quot;00E54F4B&quot;/&gt;&lt;wsp:rsid wsp:val=&quot;00E55FF3&quot;/&gt;&lt;wsp:rsid wsp:val=&quot;00E5656C&quot;/&gt;&lt;wsp:rsid wsp:val=&quot;00E565D4&quot;/&gt;&lt;wsp:rsid wsp:val=&quot;00E56673&quot;/&gt;&lt;wsp:rsid wsp:val=&quot;00E5681D&quot;/&gt;&lt;wsp:rsid wsp:val=&quot;00E56D94&quot;/&gt;&lt;wsp:rsid wsp:val=&quot;00E56F86&quot;/&gt;&lt;wsp:rsid wsp:val=&quot;00E5709D&quot;/&gt;&lt;wsp:rsid wsp:val=&quot;00E57375&quot;/&gt;&lt;wsp:rsid wsp:val=&quot;00E57514&quot;/&gt;&lt;wsp:rsid wsp:val=&quot;00E57561&quot;/&gt;&lt;wsp:rsid wsp:val=&quot;00E5758F&quot;/&gt;&lt;wsp:rsid wsp:val=&quot;00E57AB5&quot;/&gt;&lt;wsp:rsid wsp:val=&quot;00E57FA9&quot;/&gt;&lt;wsp:rsid wsp:val=&quot;00E6034A&quot;/&gt;&lt;wsp:rsid wsp:val=&quot;00E608B5&quot;/&gt;&lt;wsp:rsid wsp:val=&quot;00E60D6F&quot;/&gt;&lt;wsp:rsid wsp:val=&quot;00E60E51&quot;/&gt;&lt;wsp:rsid wsp:val=&quot;00E60E79&quot;/&gt;&lt;wsp:rsid wsp:val=&quot;00E610CA&quot;/&gt;&lt;wsp:rsid wsp:val=&quot;00E611B2&quot;/&gt;&lt;wsp:rsid wsp:val=&quot;00E613C9&quot;/&gt;&lt;wsp:rsid wsp:val=&quot;00E6153E&quot;/&gt;&lt;wsp:rsid wsp:val=&quot;00E6176E&quot;/&gt;&lt;wsp:rsid wsp:val=&quot;00E61935&quot;/&gt;&lt;wsp:rsid wsp:val=&quot;00E62308&quot;/&gt;&lt;wsp:rsid wsp:val=&quot;00E62527&quot;/&gt;&lt;wsp:rsid wsp:val=&quot;00E626FB&quot;/&gt;&lt;wsp:rsid wsp:val=&quot;00E62869&quot;/&gt;&lt;wsp:rsid wsp:val=&quot;00E62B78&quot;/&gt;&lt;wsp:rsid wsp:val=&quot;00E632A7&quot;/&gt;&lt;wsp:rsid wsp:val=&quot;00E633F0&quot;/&gt;&lt;wsp:rsid wsp:val=&quot;00E6391C&quot;/&gt;&lt;wsp:rsid wsp:val=&quot;00E63B45&quot;/&gt;&lt;wsp:rsid wsp:val=&quot;00E63EE1&quot;/&gt;&lt;wsp:rsid wsp:val=&quot;00E64025&quot;/&gt;&lt;wsp:rsid wsp:val=&quot;00E64546&quot;/&gt;&lt;wsp:rsid wsp:val=&quot;00E64D07&quot;/&gt;&lt;wsp:rsid wsp:val=&quot;00E64E25&quot;/&gt;&lt;wsp:rsid wsp:val=&quot;00E6518F&quot;/&gt;&lt;wsp:rsid wsp:val=&quot;00E65F05&quot;/&gt;&lt;wsp:rsid wsp:val=&quot;00E65FB1&quot;/&gt;&lt;wsp:rsid wsp:val=&quot;00E666C5&quot;/&gt;&lt;wsp:rsid wsp:val=&quot;00E6693C&quot;/&gt;&lt;wsp:rsid wsp:val=&quot;00E66F55&quot;/&gt;&lt;wsp:rsid wsp:val=&quot;00E6706C&quot;/&gt;&lt;wsp:rsid wsp:val=&quot;00E67621&quot;/&gt;&lt;wsp:rsid wsp:val=&quot;00E679AF&quot;/&gt;&lt;wsp:rsid wsp:val=&quot;00E70224&quot;/&gt;&lt;wsp:rsid wsp:val=&quot;00E704A5&quot;/&gt;&lt;wsp:rsid wsp:val=&quot;00E70711&quot;/&gt;&lt;wsp:rsid wsp:val=&quot;00E70D02&quot;/&gt;&lt;wsp:rsid wsp:val=&quot;00E71435&quot;/&gt;&lt;wsp:rsid wsp:val=&quot;00E714A1&quot;/&gt;&lt;wsp:rsid wsp:val=&quot;00E71661&quot;/&gt;&lt;wsp:rsid wsp:val=&quot;00E718FE&quot;/&gt;&lt;wsp:rsid wsp:val=&quot;00E71BFA&quot;/&gt;&lt;wsp:rsid wsp:val=&quot;00E72367&quot;/&gt;&lt;wsp:rsid wsp:val=&quot;00E7264A&quot;/&gt;&lt;wsp:rsid wsp:val=&quot;00E727EE&quot;/&gt;&lt;wsp:rsid wsp:val=&quot;00E72939&quot;/&gt;&lt;wsp:rsid wsp:val=&quot;00E73262&quot;/&gt;&lt;wsp:rsid wsp:val=&quot;00E73747&quot;/&gt;&lt;wsp:rsid wsp:val=&quot;00E738AD&quot;/&gt;&lt;wsp:rsid wsp:val=&quot;00E73AEC&quot;/&gt;&lt;wsp:rsid wsp:val=&quot;00E74796&quot;/&gt;&lt;wsp:rsid wsp:val=&quot;00E74BC2&quot;/&gt;&lt;wsp:rsid wsp:val=&quot;00E74D63&quot;/&gt;&lt;wsp:rsid wsp:val=&quot;00E7500C&quot;/&gt;&lt;wsp:rsid wsp:val=&quot;00E7505C&quot;/&gt;&lt;wsp:rsid wsp:val=&quot;00E752AE&quot;/&gt;&lt;wsp:rsid wsp:val=&quot;00E7552F&quot;/&gt;&lt;wsp:rsid wsp:val=&quot;00E75629&quot;/&gt;&lt;wsp:rsid wsp:val=&quot;00E75AC6&quot;/&gt;&lt;wsp:rsid wsp:val=&quot;00E75E82&quot;/&gt;&lt;wsp:rsid wsp:val=&quot;00E75EE5&quot;/&gt;&lt;wsp:rsid wsp:val=&quot;00E76143&quot;/&gt;&lt;wsp:rsid wsp:val=&quot;00E76F38&quot;/&gt;&lt;wsp:rsid wsp:val=&quot;00E77581&quot;/&gt;&lt;wsp:rsid wsp:val=&quot;00E7781A&quot;/&gt;&lt;wsp:rsid wsp:val=&quot;00E77B8B&quot;/&gt;&lt;wsp:rsid wsp:val=&quot;00E77D04&quot;/&gt;&lt;wsp:rsid wsp:val=&quot;00E802AE&quot;/&gt;&lt;wsp:rsid wsp:val=&quot;00E80671&quot;/&gt;&lt;wsp:rsid wsp:val=&quot;00E80ED5&quot;/&gt;&lt;wsp:rsid wsp:val=&quot;00E80FDB&quot;/&gt;&lt;wsp:rsid wsp:val=&quot;00E81B32&quot;/&gt;&lt;wsp:rsid wsp:val=&quot;00E81BA1&quot;/&gt;&lt;wsp:rsid wsp:val=&quot;00E82016&quot;/&gt;&lt;wsp:rsid wsp:val=&quot;00E82772&quot;/&gt;&lt;wsp:rsid wsp:val=&quot;00E827DE&quot;/&gt;&lt;wsp:rsid wsp:val=&quot;00E83674&quot;/&gt;&lt;wsp:rsid wsp:val=&quot;00E83C13&quot;/&gt;&lt;wsp:rsid wsp:val=&quot;00E8433E&quot;/&gt;&lt;wsp:rsid wsp:val=&quot;00E8463F&quot;/&gt;&lt;wsp:rsid wsp:val=&quot;00E84E03&quot;/&gt;&lt;wsp:rsid wsp:val=&quot;00E85262&quot;/&gt;&lt;wsp:rsid wsp:val=&quot;00E85892&quot;/&gt;&lt;wsp:rsid wsp:val=&quot;00E85A0A&quot;/&gt;&lt;wsp:rsid wsp:val=&quot;00E85EBC&quot;/&gt;&lt;wsp:rsid wsp:val=&quot;00E86176&quot;/&gt;&lt;wsp:rsid wsp:val=&quot;00E86772&quot;/&gt;&lt;wsp:rsid wsp:val=&quot;00E86CD6&quot;/&gt;&lt;wsp:rsid wsp:val=&quot;00E86D8B&quot;/&gt;&lt;wsp:rsid wsp:val=&quot;00E8777C&quot;/&gt;&lt;wsp:rsid wsp:val=&quot;00E87972&quot;/&gt;&lt;wsp:rsid wsp:val=&quot;00E8797B&quot;/&gt;&lt;wsp:rsid wsp:val=&quot;00E87A12&quot;/&gt;&lt;wsp:rsid wsp:val=&quot;00E87DA5&quot;/&gt;&lt;wsp:rsid wsp:val=&quot;00E900B8&quot;/&gt;&lt;wsp:rsid wsp:val=&quot;00E906F2&quot;/&gt;&lt;wsp:rsid wsp:val=&quot;00E90A85&quot;/&gt;&lt;wsp:rsid wsp:val=&quot;00E90ADB&quot;/&gt;&lt;wsp:rsid wsp:val=&quot;00E90AEF&quot;/&gt;&lt;wsp:rsid wsp:val=&quot;00E90B2C&quot;/&gt;&lt;wsp:rsid wsp:val=&quot;00E90B73&quot;/&gt;&lt;wsp:rsid wsp:val=&quot;00E90D03&quot;/&gt;&lt;wsp:rsid wsp:val=&quot;00E90D6A&quot;/&gt;&lt;wsp:rsid wsp:val=&quot;00E91242&quot;/&gt;&lt;wsp:rsid wsp:val=&quot;00E913BE&quot;/&gt;&lt;wsp:rsid wsp:val=&quot;00E922DF&quot;/&gt;&lt;wsp:rsid wsp:val=&quot;00E927DA&quot;/&gt;&lt;wsp:rsid wsp:val=&quot;00E92974&quot;/&gt;&lt;wsp:rsid wsp:val=&quot;00E929C9&quot;/&gt;&lt;wsp:rsid wsp:val=&quot;00E92C21&quot;/&gt;&lt;wsp:rsid wsp:val=&quot;00E940A0&quot;/&gt;&lt;wsp:rsid wsp:val=&quot;00E94167&quot;/&gt;&lt;wsp:rsid wsp:val=&quot;00E9476C&quot;/&gt;&lt;wsp:rsid wsp:val=&quot;00E9486A&quot;/&gt;&lt;wsp:rsid wsp:val=&quot;00E9527E&quot;/&gt;&lt;wsp:rsid wsp:val=&quot;00E9528B&quot;/&gt;&lt;wsp:rsid wsp:val=&quot;00E9577E&quot;/&gt;&lt;wsp:rsid wsp:val=&quot;00E957F3&quot;/&gt;&lt;wsp:rsid wsp:val=&quot;00E95BFA&quot;/&gt;&lt;wsp:rsid wsp:val=&quot;00E9609A&quot;/&gt;&lt;wsp:rsid wsp:val=&quot;00E96315&quot;/&gt;&lt;wsp:rsid wsp:val=&quot;00E964DC&quot;/&gt;&lt;wsp:rsid wsp:val=&quot;00E969CB&quot;/&gt;&lt;wsp:rsid wsp:val=&quot;00E96AB5&quot;/&gt;&lt;wsp:rsid wsp:val=&quot;00E96C13&quot;/&gt;&lt;wsp:rsid wsp:val=&quot;00E96C6C&quot;/&gt;&lt;wsp:rsid wsp:val=&quot;00E97062&quot;/&gt;&lt;wsp:rsid wsp:val=&quot;00E97130&quot;/&gt;&lt;wsp:rsid wsp:val=&quot;00E97312&quot;/&gt;&lt;wsp:rsid wsp:val=&quot;00E977D2&quot;/&gt;&lt;wsp:rsid wsp:val=&quot;00E9798A&quot;/&gt;&lt;wsp:rsid wsp:val=&quot;00E97DB5&quot;/&gt;&lt;wsp:rsid wsp:val=&quot;00E97DDB&quot;/&gt;&lt;wsp:rsid wsp:val=&quot;00E97DEB&quot;/&gt;&lt;wsp:rsid wsp:val=&quot;00EA044D&quot;/&gt;&lt;wsp:rsid wsp:val=&quot;00EA0B51&quot;/&gt;&lt;wsp:rsid wsp:val=&quot;00EA16F2&quot;/&gt;&lt;wsp:rsid wsp:val=&quot;00EA17BE&quot;/&gt;&lt;wsp:rsid wsp:val=&quot;00EA1AD9&quot;/&gt;&lt;wsp:rsid wsp:val=&quot;00EA1D6A&quot;/&gt;&lt;wsp:rsid wsp:val=&quot;00EA1D73&quot;/&gt;&lt;wsp:rsid wsp:val=&quot;00EA1F85&quot;/&gt;&lt;wsp:rsid wsp:val=&quot;00EA2710&quot;/&gt;&lt;wsp:rsid wsp:val=&quot;00EA27C0&quot;/&gt;&lt;wsp:rsid wsp:val=&quot;00EA38DF&quot;/&gt;&lt;wsp:rsid wsp:val=&quot;00EA3924&quot;/&gt;&lt;wsp:rsid wsp:val=&quot;00EA3C04&quot;/&gt;&lt;wsp:rsid wsp:val=&quot;00EA3DC1&quot;/&gt;&lt;wsp:rsid wsp:val=&quot;00EA3EF5&quot;/&gt;&lt;wsp:rsid wsp:val=&quot;00EA3F5E&quot;/&gt;&lt;wsp:rsid wsp:val=&quot;00EA459A&quot;/&gt;&lt;wsp:rsid wsp:val=&quot;00EA45D2&quot;/&gt;&lt;wsp:rsid wsp:val=&quot;00EA49F2&quot;/&gt;&lt;wsp:rsid wsp:val=&quot;00EA4CF9&quot;/&gt;&lt;wsp:rsid wsp:val=&quot;00EA51D5&quot;/&gt;&lt;wsp:rsid wsp:val=&quot;00EA5434&quot;/&gt;&lt;wsp:rsid wsp:val=&quot;00EA575C&quot;/&gt;&lt;wsp:rsid wsp:val=&quot;00EA592E&quot;/&gt;&lt;wsp:rsid wsp:val=&quot;00EA59AE&quot;/&gt;&lt;wsp:rsid wsp:val=&quot;00EA651E&quot;/&gt;&lt;wsp:rsid wsp:val=&quot;00EA65D6&quot;/&gt;&lt;wsp:rsid wsp:val=&quot;00EA676A&quot;/&gt;&lt;wsp:rsid wsp:val=&quot;00EA6C0C&quot;/&gt;&lt;wsp:rsid wsp:val=&quot;00EA6C67&quot;/&gt;&lt;wsp:rsid wsp:val=&quot;00EA6D01&quot;/&gt;&lt;wsp:rsid wsp:val=&quot;00EA6E6D&quot;/&gt;&lt;wsp:rsid wsp:val=&quot;00EA74F6&quot;/&gt;&lt;wsp:rsid wsp:val=&quot;00EA7572&quot;/&gt;&lt;wsp:rsid wsp:val=&quot;00EA7CE2&quot;/&gt;&lt;wsp:rsid wsp:val=&quot;00EA7E3C&quot;/&gt;&lt;wsp:rsid wsp:val=&quot;00EA7E63&quot;/&gt;&lt;wsp:rsid wsp:val=&quot;00EB0155&quot;/&gt;&lt;wsp:rsid wsp:val=&quot;00EB03FD&quot;/&gt;&lt;wsp:rsid wsp:val=&quot;00EB08EB&quot;/&gt;&lt;wsp:rsid wsp:val=&quot;00EB0C7B&quot;/&gt;&lt;wsp:rsid wsp:val=&quot;00EB111F&quot;/&gt;&lt;wsp:rsid wsp:val=&quot;00EB118D&quot;/&gt;&lt;wsp:rsid wsp:val=&quot;00EB15C3&quot;/&gt;&lt;wsp:rsid wsp:val=&quot;00EB1C7F&quot;/&gt;&lt;wsp:rsid wsp:val=&quot;00EB2590&quot;/&gt;&lt;wsp:rsid wsp:val=&quot;00EB2DC0&quot;/&gt;&lt;wsp:rsid wsp:val=&quot;00EB3026&quot;/&gt;&lt;wsp:rsid wsp:val=&quot;00EB3347&quot;/&gt;&lt;wsp:rsid wsp:val=&quot;00EB380F&quot;/&gt;&lt;wsp:rsid wsp:val=&quot;00EB3AA3&quot;/&gt;&lt;wsp:rsid wsp:val=&quot;00EB3AC1&quot;/&gt;&lt;wsp:rsid wsp:val=&quot;00EB3F4C&quot;/&gt;&lt;wsp:rsid wsp:val=&quot;00EB41EA&quot;/&gt;&lt;wsp:rsid wsp:val=&quot;00EB4231&quot;/&gt;&lt;wsp:rsid wsp:val=&quot;00EB459C&quot;/&gt;&lt;wsp:rsid wsp:val=&quot;00EB488E&quot;/&gt;&lt;wsp:rsid wsp:val=&quot;00EB52D5&quot;/&gt;&lt;wsp:rsid wsp:val=&quot;00EB5722&quot;/&gt;&lt;wsp:rsid wsp:val=&quot;00EB57F5&quot;/&gt;&lt;wsp:rsid wsp:val=&quot;00EB583F&quot;/&gt;&lt;wsp:rsid wsp:val=&quot;00EB5F3F&quot;/&gt;&lt;wsp:rsid wsp:val=&quot;00EB62B3&quot;/&gt;&lt;wsp:rsid wsp:val=&quot;00EB6524&quot;/&gt;&lt;wsp:rsid wsp:val=&quot;00EB66C7&quot;/&gt;&lt;wsp:rsid wsp:val=&quot;00EB6720&quot;/&gt;&lt;wsp:rsid wsp:val=&quot;00EB6808&quot;/&gt;&lt;wsp:rsid wsp:val=&quot;00EB69F8&quot;/&gt;&lt;wsp:rsid wsp:val=&quot;00EB6A5C&quot;/&gt;&lt;wsp:rsid wsp:val=&quot;00EB6D0A&quot;/&gt;&lt;wsp:rsid wsp:val=&quot;00EB72EF&quot;/&gt;&lt;wsp:rsid wsp:val=&quot;00EB73A5&quot;/&gt;&lt;wsp:rsid wsp:val=&quot;00EB7516&quot;/&gt;&lt;wsp:rsid wsp:val=&quot;00EC0326&quot;/&gt;&lt;wsp:rsid wsp:val=&quot;00EC033E&quot;/&gt;&lt;wsp:rsid wsp:val=&quot;00EC0926&quot;/&gt;&lt;wsp:rsid wsp:val=&quot;00EC0952&quot;/&gt;&lt;wsp:rsid wsp:val=&quot;00EC0E57&quot;/&gt;&lt;wsp:rsid wsp:val=&quot;00EC0FB1&quot;/&gt;&lt;wsp:rsid wsp:val=&quot;00EC1252&quot;/&gt;&lt;wsp:rsid wsp:val=&quot;00EC2A47&quot;/&gt;&lt;wsp:rsid wsp:val=&quot;00EC2AE8&quot;/&gt;&lt;wsp:rsid wsp:val=&quot;00EC2F82&quot;/&gt;&lt;wsp:rsid wsp:val=&quot;00EC32FC&quot;/&gt;&lt;wsp:rsid wsp:val=&quot;00EC3479&quot;/&gt;&lt;wsp:rsid wsp:val=&quot;00EC3572&quot;/&gt;&lt;wsp:rsid wsp:val=&quot;00EC35A6&quot;/&gt;&lt;wsp:rsid wsp:val=&quot;00EC41EF&quot;/&gt;&lt;wsp:rsid wsp:val=&quot;00EC4460&quot;/&gt;&lt;wsp:rsid wsp:val=&quot;00EC4898&quot;/&gt;&lt;wsp:rsid wsp:val=&quot;00EC497E&quot;/&gt;&lt;wsp:rsid wsp:val=&quot;00EC4CBE&quot;/&gt;&lt;wsp:rsid wsp:val=&quot;00EC4F0E&quot;/&gt;&lt;wsp:rsid wsp:val=&quot;00EC5017&quot;/&gt;&lt;wsp:rsid wsp:val=&quot;00EC5634&quot;/&gt;&lt;wsp:rsid wsp:val=&quot;00EC56E4&quot;/&gt;&lt;wsp:rsid wsp:val=&quot;00EC6013&quot;/&gt;&lt;wsp:rsid wsp:val=&quot;00EC6088&quot;/&gt;&lt;wsp:rsid wsp:val=&quot;00EC63F7&quot;/&gt;&lt;wsp:rsid wsp:val=&quot;00EC65BF&quot;/&gt;&lt;wsp:rsid wsp:val=&quot;00EC6AB4&quot;/&gt;&lt;wsp:rsid wsp:val=&quot;00EC6EAF&quot;/&gt;&lt;wsp:rsid wsp:val=&quot;00EC7149&quot;/&gt;&lt;wsp:rsid wsp:val=&quot;00EC7265&quot;/&gt;&lt;wsp:rsid wsp:val=&quot;00EC75D1&quot;/&gt;&lt;wsp:rsid wsp:val=&quot;00ED0144&quot;/&gt;&lt;wsp:rsid wsp:val=&quot;00ED016B&quot;/&gt;&lt;wsp:rsid wsp:val=&quot;00ED028D&quot;/&gt;&lt;wsp:rsid wsp:val=&quot;00ED057C&quot;/&gt;&lt;wsp:rsid wsp:val=&quot;00ED0EC5&quot;/&gt;&lt;wsp:rsid wsp:val=&quot;00ED103C&quot;/&gt;&lt;wsp:rsid wsp:val=&quot;00ED1402&quot;/&gt;&lt;wsp:rsid wsp:val=&quot;00ED1C0C&quot;/&gt;&lt;wsp:rsid wsp:val=&quot;00ED1C31&quot;/&gt;&lt;wsp:rsid wsp:val=&quot;00ED1D70&quot;/&gt;&lt;wsp:rsid wsp:val=&quot;00ED1EE4&quot;/&gt;&lt;wsp:rsid wsp:val=&quot;00ED20CA&quot;/&gt;&lt;wsp:rsid wsp:val=&quot;00ED291D&quot;/&gt;&lt;wsp:rsid wsp:val=&quot;00ED2A3A&quot;/&gt;&lt;wsp:rsid wsp:val=&quot;00ED2A69&quot;/&gt;&lt;wsp:rsid wsp:val=&quot;00ED2FCA&quot;/&gt;&lt;wsp:rsid wsp:val=&quot;00ED2FD5&quot;/&gt;&lt;wsp:rsid wsp:val=&quot;00ED33DD&quot;/&gt;&lt;wsp:rsid wsp:val=&quot;00ED3452&quot;/&gt;&lt;wsp:rsid wsp:val=&quot;00ED35D4&quot;/&gt;&lt;wsp:rsid wsp:val=&quot;00ED389E&quot;/&gt;&lt;wsp:rsid wsp:val=&quot;00ED3935&quot;/&gt;&lt;wsp:rsid wsp:val=&quot;00ED4783&quot;/&gt;&lt;wsp:rsid wsp:val=&quot;00ED47C6&quot;/&gt;&lt;wsp:rsid wsp:val=&quot;00ED4C83&quot;/&gt;&lt;wsp:rsid wsp:val=&quot;00ED4FC6&quot;/&gt;&lt;wsp:rsid wsp:val=&quot;00ED5405&quot;/&gt;&lt;wsp:rsid wsp:val=&quot;00ED56C1&quot;/&gt;&lt;wsp:rsid wsp:val=&quot;00ED58CB&quot;/&gt;&lt;wsp:rsid wsp:val=&quot;00ED6905&quot;/&gt;&lt;wsp:rsid wsp:val=&quot;00ED6E1C&quot;/&gt;&lt;wsp:rsid wsp:val=&quot;00ED742D&quot;/&gt;&lt;wsp:rsid wsp:val=&quot;00ED7914&quot;/&gt;&lt;wsp:rsid wsp:val=&quot;00ED7BD0&quot;/&gt;&lt;wsp:rsid wsp:val=&quot;00ED7D97&quot;/&gt;&lt;wsp:rsid wsp:val=&quot;00ED7E79&quot;/&gt;&lt;wsp:rsid wsp:val=&quot;00EE0739&quot;/&gt;&lt;wsp:rsid wsp:val=&quot;00EE0B06&quot;/&gt;&lt;wsp:rsid wsp:val=&quot;00EE0B0A&quot;/&gt;&lt;wsp:rsid wsp:val=&quot;00EE0BDC&quot;/&gt;&lt;wsp:rsid wsp:val=&quot;00EE0E63&quot;/&gt;&lt;wsp:rsid wsp:val=&quot;00EE1A47&quot;/&gt;&lt;wsp:rsid wsp:val=&quot;00EE1DF0&quot;/&gt;&lt;wsp:rsid wsp:val=&quot;00EE1DF8&quot;/&gt;&lt;wsp:rsid wsp:val=&quot;00EE25E4&quot;/&gt;&lt;wsp:rsid wsp:val=&quot;00EE28E1&quot;/&gt;&lt;wsp:rsid wsp:val=&quot;00EE2ADD&quot;/&gt;&lt;wsp:rsid wsp:val=&quot;00EE3066&quot;/&gt;&lt;wsp:rsid wsp:val=&quot;00EE35C8&quot;/&gt;&lt;wsp:rsid wsp:val=&quot;00EE379A&quot;/&gt;&lt;wsp:rsid wsp:val=&quot;00EE3AB3&quot;/&gt;&lt;wsp:rsid wsp:val=&quot;00EE3B65&quot;/&gt;&lt;wsp:rsid wsp:val=&quot;00EE3C6B&quot;/&gt;&lt;wsp:rsid wsp:val=&quot;00EE3C8B&quot;/&gt;&lt;wsp:rsid wsp:val=&quot;00EE3D81&quot;/&gt;&lt;wsp:rsid wsp:val=&quot;00EE3FA8&quot;/&gt;&lt;wsp:rsid wsp:val=&quot;00EE43EE&quot;/&gt;&lt;wsp:rsid wsp:val=&quot;00EE4496&quot;/&gt;&lt;wsp:rsid wsp:val=&quot;00EE4552&quot;/&gt;&lt;wsp:rsid wsp:val=&quot;00EE464C&quot;/&gt;&lt;wsp:rsid wsp:val=&quot;00EE4B29&quot;/&gt;&lt;wsp:rsid wsp:val=&quot;00EE4B3F&quot;/&gt;&lt;wsp:rsid wsp:val=&quot;00EE65C5&quot;/&gt;&lt;wsp:rsid wsp:val=&quot;00EE680B&quot;/&gt;&lt;wsp:rsid wsp:val=&quot;00EE7400&quot;/&gt;&lt;wsp:rsid wsp:val=&quot;00EE7912&quot;/&gt;&lt;wsp:rsid wsp:val=&quot;00EF013E&quot;/&gt;&lt;wsp:rsid wsp:val=&quot;00EF04CA&quot;/&gt;&lt;wsp:rsid wsp:val=&quot;00EF0649&quot;/&gt;&lt;wsp:rsid wsp:val=&quot;00EF0751&quot;/&gt;&lt;wsp:rsid wsp:val=&quot;00EF07D8&quot;/&gt;&lt;wsp:rsid wsp:val=&quot;00EF08CE&quot;/&gt;&lt;wsp:rsid wsp:val=&quot;00EF0B2A&quot;/&gt;&lt;wsp:rsid wsp:val=&quot;00EF0E83&quot;/&gt;&lt;wsp:rsid wsp:val=&quot;00EF0F0A&quot;/&gt;&lt;wsp:rsid wsp:val=&quot;00EF0FF6&quot;/&gt;&lt;wsp:rsid wsp:val=&quot;00EF104E&quot;/&gt;&lt;wsp:rsid wsp:val=&quot;00EF1688&quot;/&gt;&lt;wsp:rsid wsp:val=&quot;00EF1A3A&quot;/&gt;&lt;wsp:rsid wsp:val=&quot;00EF1C16&quot;/&gt;&lt;wsp:rsid wsp:val=&quot;00EF1E30&quot;/&gt;&lt;wsp:rsid wsp:val=&quot;00EF2005&quot;/&gt;&lt;wsp:rsid wsp:val=&quot;00EF2999&quot;/&gt;&lt;wsp:rsid wsp:val=&quot;00EF3066&quot;/&gt;&lt;wsp:rsid wsp:val=&quot;00EF30A1&quot;/&gt;&lt;wsp:rsid wsp:val=&quot;00EF372B&quot;/&gt;&lt;wsp:rsid wsp:val=&quot;00EF3F0D&quot;/&gt;&lt;wsp:rsid wsp:val=&quot;00EF4476&quot;/&gt;&lt;wsp:rsid wsp:val=&quot;00EF4B56&quot;/&gt;&lt;wsp:rsid wsp:val=&quot;00EF4DCA&quot;/&gt;&lt;wsp:rsid wsp:val=&quot;00EF4E77&quot;/&gt;&lt;wsp:rsid wsp:val=&quot;00EF51F9&quot;/&gt;&lt;wsp:rsid wsp:val=&quot;00EF555F&quot;/&gt;&lt;wsp:rsid wsp:val=&quot;00EF5805&quot;/&gt;&lt;wsp:rsid wsp:val=&quot;00EF5899&quot;/&gt;&lt;wsp:rsid wsp:val=&quot;00EF5E4E&quot;/&gt;&lt;wsp:rsid wsp:val=&quot;00EF5FA3&quot;/&gt;&lt;wsp:rsid wsp:val=&quot;00EF5FD5&quot;/&gt;&lt;wsp:rsid wsp:val=&quot;00EF642B&quot;/&gt;&lt;wsp:rsid wsp:val=&quot;00EF6766&quot;/&gt;&lt;wsp:rsid wsp:val=&quot;00EF689E&quot;/&gt;&lt;wsp:rsid wsp:val=&quot;00EF6E11&quot;/&gt;&lt;wsp:rsid wsp:val=&quot;00EF73E4&quot;/&gt;&lt;wsp:rsid wsp:val=&quot;00EF76A6&quot;/&gt;&lt;wsp:rsid wsp:val=&quot;00EF7873&quot;/&gt;&lt;wsp:rsid wsp:val=&quot;00EF7B2D&quot;/&gt;&lt;wsp:rsid wsp:val=&quot;00EF7C7E&quot;/&gt;&lt;wsp:rsid wsp:val=&quot;00F00396&quot;/&gt;&lt;wsp:rsid wsp:val=&quot;00F0062B&quot;/&gt;&lt;wsp:rsid wsp:val=&quot;00F00EEF&quot;/&gt;&lt;wsp:rsid wsp:val=&quot;00F00FE8&quot;/&gt;&lt;wsp:rsid wsp:val=&quot;00F013FF&quot;/&gt;&lt;wsp:rsid wsp:val=&quot;00F01644&quot;/&gt;&lt;wsp:rsid wsp:val=&quot;00F016F2&quot;/&gt;&lt;wsp:rsid wsp:val=&quot;00F01A8B&quot;/&gt;&lt;wsp:rsid wsp:val=&quot;00F02044&quot;/&gt;&lt;wsp:rsid wsp:val=&quot;00F02258&quot;/&gt;&lt;wsp:rsid wsp:val=&quot;00F0298F&quot;/&gt;&lt;wsp:rsid wsp:val=&quot;00F02E0C&quot;/&gt;&lt;wsp:rsid wsp:val=&quot;00F03059&quot;/&gt;&lt;wsp:rsid wsp:val=&quot;00F03186&quot;/&gt;&lt;wsp:rsid wsp:val=&quot;00F035AE&quot;/&gt;&lt;wsp:rsid wsp:val=&quot;00F03D98&quot;/&gt;&lt;wsp:rsid wsp:val=&quot;00F03F4A&quot;/&gt;&lt;wsp:rsid wsp:val=&quot;00F03FAA&quot;/&gt;&lt;wsp:rsid wsp:val=&quot;00F043C6&quot;/&gt;&lt;wsp:rsid wsp:val=&quot;00F043D8&quot;/&gt;&lt;wsp:rsid wsp:val=&quot;00F04E24&quot;/&gt;&lt;wsp:rsid wsp:val=&quot;00F0514A&quot;/&gt;&lt;wsp:rsid wsp:val=&quot;00F0528B&quot;/&gt;&lt;wsp:rsid wsp:val=&quot;00F05778&quot;/&gt;&lt;wsp:rsid wsp:val=&quot;00F05D5F&quot;/&gt;&lt;wsp:rsid wsp:val=&quot;00F065C9&quot;/&gt;&lt;wsp:rsid wsp:val=&quot;00F067E3&quot;/&gt;&lt;wsp:rsid wsp:val=&quot;00F06B61&quot;/&gt;&lt;wsp:rsid wsp:val=&quot;00F06C94&quot;/&gt;&lt;wsp:rsid wsp:val=&quot;00F06E8C&quot;/&gt;&lt;wsp:rsid wsp:val=&quot;00F0714F&quot;/&gt;&lt;wsp:rsid wsp:val=&quot;00F0780D&quot;/&gt;&lt;wsp:rsid wsp:val=&quot;00F07876&quot;/&gt;&lt;wsp:rsid wsp:val=&quot;00F1018B&quot;/&gt;&lt;wsp:rsid wsp:val=&quot;00F1021E&quot;/&gt;&lt;wsp:rsid wsp:val=&quot;00F1124D&quot;/&gt;&lt;wsp:rsid wsp:val=&quot;00F112E6&quot;/&gt;&lt;wsp:rsid wsp:val=&quot;00F1143A&quot;/&gt;&lt;wsp:rsid wsp:val=&quot;00F11489&quot;/&gt;&lt;wsp:rsid wsp:val=&quot;00F119F7&quot;/&gt;&lt;wsp:rsid wsp:val=&quot;00F11FDE&quot;/&gt;&lt;wsp:rsid wsp:val=&quot;00F12310&quot;/&gt;&lt;wsp:rsid wsp:val=&quot;00F126E5&quot;/&gt;&lt;wsp:rsid wsp:val=&quot;00F12975&quot;/&gt;&lt;wsp:rsid wsp:val=&quot;00F12B14&quot;/&gt;&lt;wsp:rsid wsp:val=&quot;00F12F19&quot;/&gt;&lt;wsp:rsid wsp:val=&quot;00F13094&quot;/&gt;&lt;wsp:rsid wsp:val=&quot;00F132A7&quot;/&gt;&lt;wsp:rsid wsp:val=&quot;00F1363C&quot;/&gt;&lt;wsp:rsid wsp:val=&quot;00F139BD&quot;/&gt;&lt;wsp:rsid wsp:val=&quot;00F139F4&quot;/&gt;&lt;wsp:rsid wsp:val=&quot;00F13B52&quot;/&gt;&lt;wsp:rsid wsp:val=&quot;00F13DFA&quot;/&gt;&lt;wsp:rsid wsp:val=&quot;00F14323&quot;/&gt;&lt;wsp:rsid wsp:val=&quot;00F14662&quot;/&gt;&lt;wsp:rsid wsp:val=&quot;00F14DC3&quot;/&gt;&lt;wsp:rsid wsp:val=&quot;00F15145&quot;/&gt;&lt;wsp:rsid wsp:val=&quot;00F15282&quot;/&gt;&lt;wsp:rsid wsp:val=&quot;00F15A5A&quot;/&gt;&lt;wsp:rsid wsp:val=&quot;00F15B16&quot;/&gt;&lt;wsp:rsid wsp:val=&quot;00F15CA1&quot;/&gt;&lt;wsp:rsid wsp:val=&quot;00F15E80&quot;/&gt;&lt;wsp:rsid wsp:val=&quot;00F165D7&quot;/&gt;&lt;wsp:rsid wsp:val=&quot;00F16D11&quot;/&gt;&lt;wsp:rsid wsp:val=&quot;00F16E74&quot;/&gt;&lt;wsp:rsid wsp:val=&quot;00F16F6B&quot;/&gt;&lt;wsp:rsid wsp:val=&quot;00F17287&quot;/&gt;&lt;wsp:rsid wsp:val=&quot;00F172D0&quot;/&gt;&lt;wsp:rsid wsp:val=&quot;00F174BB&quot;/&gt;&lt;wsp:rsid wsp:val=&quot;00F17A02&quot;/&gt;&lt;wsp:rsid wsp:val=&quot;00F17B4F&quot;/&gt;&lt;wsp:rsid wsp:val=&quot;00F204FE&quot;/&gt;&lt;wsp:rsid wsp:val=&quot;00F2068E&quot;/&gt;&lt;wsp:rsid wsp:val=&quot;00F2069F&quot;/&gt;&lt;wsp:rsid wsp:val=&quot;00F20D70&quot;/&gt;&lt;wsp:rsid wsp:val=&quot;00F21266&quot;/&gt;&lt;wsp:rsid wsp:val=&quot;00F2140D&quot;/&gt;&lt;wsp:rsid wsp:val=&quot;00F21990&quot;/&gt;&lt;wsp:rsid wsp:val=&quot;00F219C4&quot;/&gt;&lt;wsp:rsid wsp:val=&quot;00F221F2&quot;/&gt;&lt;wsp:rsid wsp:val=&quot;00F2278D&quot;/&gt;&lt;wsp:rsid wsp:val=&quot;00F22926&quot;/&gt;&lt;wsp:rsid wsp:val=&quot;00F237CB&quot;/&gt;&lt;wsp:rsid wsp:val=&quot;00F23B07&quot;/&gt;&lt;wsp:rsid wsp:val=&quot;00F23B88&quot;/&gt;&lt;wsp:rsid wsp:val=&quot;00F23B99&quot;/&gt;&lt;wsp:rsid wsp:val=&quot;00F23D16&quot;/&gt;&lt;wsp:rsid wsp:val=&quot;00F23E76&quot;/&gt;&lt;wsp:rsid wsp:val=&quot;00F24500&quot;/&gt;&lt;wsp:rsid wsp:val=&quot;00F24B11&quot;/&gt;&lt;wsp:rsid wsp:val=&quot;00F25258&quot;/&gt;&lt;wsp:rsid wsp:val=&quot;00F2531D&quot;/&gt;&lt;wsp:rsid wsp:val=&quot;00F266BA&quot;/&gt;&lt;wsp:rsid wsp:val=&quot;00F26961&quot;/&gt;&lt;wsp:rsid wsp:val=&quot;00F26DDD&quot;/&gt;&lt;wsp:rsid wsp:val=&quot;00F26E80&quot;/&gt;&lt;wsp:rsid wsp:val=&quot;00F273EF&quot;/&gt;&lt;wsp:rsid wsp:val=&quot;00F27888&quot;/&gt;&lt;wsp:rsid wsp:val=&quot;00F279BF&quot;/&gt;&lt;wsp:rsid wsp:val=&quot;00F27ABF&quot;/&gt;&lt;wsp:rsid wsp:val=&quot;00F27CEA&quot;/&gt;&lt;wsp:rsid wsp:val=&quot;00F27EA1&quot;/&gt;&lt;wsp:rsid wsp:val=&quot;00F27F15&quot;/&gt;&lt;wsp:rsid wsp:val=&quot;00F301C6&quot;/&gt;&lt;wsp:rsid wsp:val=&quot;00F3070D&quot;/&gt;&lt;wsp:rsid wsp:val=&quot;00F30927&quot;/&gt;&lt;wsp:rsid wsp:val=&quot;00F30C11&quot;/&gt;&lt;wsp:rsid wsp:val=&quot;00F31555&quot;/&gt;&lt;wsp:rsid wsp:val=&quot;00F31DEE&quot;/&gt;&lt;wsp:rsid wsp:val=&quot;00F31FE9&quot;/&gt;&lt;wsp:rsid wsp:val=&quot;00F320EA&quot;/&gt;&lt;wsp:rsid wsp:val=&quot;00F322E7&quot;/&gt;&lt;wsp:rsid wsp:val=&quot;00F324E0&quot;/&gt;&lt;wsp:rsid wsp:val=&quot;00F32805&quot;/&gt;&lt;wsp:rsid wsp:val=&quot;00F32DCA&quot;/&gt;&lt;wsp:rsid wsp:val=&quot;00F330AD&quot;/&gt;&lt;wsp:rsid wsp:val=&quot;00F33158&quot;/&gt;&lt;wsp:rsid wsp:val=&quot;00F334FC&quot;/&gt;&lt;wsp:rsid wsp:val=&quot;00F3377C&quot;/&gt;&lt;wsp:rsid wsp:val=&quot;00F33E90&quot;/&gt;&lt;wsp:rsid wsp:val=&quot;00F350CE&quot;/&gt;&lt;wsp:rsid wsp:val=&quot;00F35945&quot;/&gt;&lt;wsp:rsid wsp:val=&quot;00F36445&quot;/&gt;&lt;wsp:rsid wsp:val=&quot;00F3677D&quot;/&gt;&lt;wsp:rsid wsp:val=&quot;00F36C59&quot;/&gt;&lt;wsp:rsid wsp:val=&quot;00F37091&quot;/&gt;&lt;wsp:rsid wsp:val=&quot;00F372E3&quot;/&gt;&lt;wsp:rsid wsp:val=&quot;00F3750F&quot;/&gt;&lt;wsp:rsid wsp:val=&quot;00F37611&quot;/&gt;&lt;wsp:rsid wsp:val=&quot;00F37F49&quot;/&gt;&lt;wsp:rsid wsp:val=&quot;00F400E7&quot;/&gt;&lt;wsp:rsid wsp:val=&quot;00F40169&quot;/&gt;&lt;wsp:rsid wsp:val=&quot;00F40385&quot;/&gt;&lt;wsp:rsid wsp:val=&quot;00F4041D&quot;/&gt;&lt;wsp:rsid wsp:val=&quot;00F40431&quot;/&gt;&lt;wsp:rsid wsp:val=&quot;00F40AD6&quot;/&gt;&lt;wsp:rsid wsp:val=&quot;00F40C34&quot;/&gt;&lt;wsp:rsid wsp:val=&quot;00F40F7C&quot;/&gt;&lt;wsp:rsid wsp:val=&quot;00F40F8D&quot;/&gt;&lt;wsp:rsid wsp:val=&quot;00F4149C&quot;/&gt;&lt;wsp:rsid wsp:val=&quot;00F4175B&quot;/&gt;&lt;wsp:rsid wsp:val=&quot;00F41A9A&quot;/&gt;&lt;wsp:rsid wsp:val=&quot;00F41F1D&quot;/&gt;&lt;wsp:rsid wsp:val=&quot;00F42279&quot;/&gt;&lt;wsp:rsid wsp:val=&quot;00F428E5&quot;/&gt;&lt;wsp:rsid wsp:val=&quot;00F430D7&quot;/&gt;&lt;wsp:rsid wsp:val=&quot;00F43779&quot;/&gt;&lt;wsp:rsid wsp:val=&quot;00F43C17&quot;/&gt;&lt;wsp:rsid wsp:val=&quot;00F446A2&quot;/&gt;&lt;wsp:rsid wsp:val=&quot;00F447B7&quot;/&gt;&lt;wsp:rsid wsp:val=&quot;00F44CFA&quot;/&gt;&lt;wsp:rsid wsp:val=&quot;00F44E5E&quot;/&gt;&lt;wsp:rsid wsp:val=&quot;00F450D9&quot;/&gt;&lt;wsp:rsid wsp:val=&quot;00F4522A&quot;/&gt;&lt;wsp:rsid wsp:val=&quot;00F4525C&quot;/&gt;&lt;wsp:rsid wsp:val=&quot;00F452AE&quot;/&gt;&lt;wsp:rsid wsp:val=&quot;00F455F1&quot;/&gt;&lt;wsp:rsid wsp:val=&quot;00F45825&quot;/&gt;&lt;wsp:rsid wsp:val=&quot;00F45B81&quot;/&gt;&lt;wsp:rsid wsp:val=&quot;00F46539&quot;/&gt;&lt;wsp:rsid wsp:val=&quot;00F46799&quot;/&gt;&lt;wsp:rsid wsp:val=&quot;00F4696B&quot;/&gt;&lt;wsp:rsid wsp:val=&quot;00F46CC3&quot;/&gt;&lt;wsp:rsid wsp:val=&quot;00F4717A&quot;/&gt;&lt;wsp:rsid wsp:val=&quot;00F472EB&quot;/&gt;&lt;wsp:rsid wsp:val=&quot;00F4762D&quot;/&gt;&lt;wsp:rsid wsp:val=&quot;00F4779B&quot;/&gt;&lt;wsp:rsid wsp:val=&quot;00F4795B&quot;/&gt;&lt;wsp:rsid wsp:val=&quot;00F4799A&quot;/&gt;&lt;wsp:rsid wsp:val=&quot;00F50374&quot;/&gt;&lt;wsp:rsid wsp:val=&quot;00F503EF&quot;/&gt;&lt;wsp:rsid wsp:val=&quot;00F50C2A&quot;/&gt;&lt;wsp:rsid wsp:val=&quot;00F50F98&quot;/&gt;&lt;wsp:rsid wsp:val=&quot;00F5106C&quot;/&gt;&lt;wsp:rsid wsp:val=&quot;00F51217&quot;/&gt;&lt;wsp:rsid wsp:val=&quot;00F51493&quot;/&gt;&lt;wsp:rsid wsp:val=&quot;00F517BB&quot;/&gt;&lt;wsp:rsid wsp:val=&quot;00F51B4B&quot;/&gt;&lt;wsp:rsid wsp:val=&quot;00F51E1F&quot;/&gt;&lt;wsp:rsid wsp:val=&quot;00F51F48&quot;/&gt;&lt;wsp:rsid wsp:val=&quot;00F52179&quot;/&gt;&lt;wsp:rsid wsp:val=&quot;00F52510&quot;/&gt;&lt;wsp:rsid wsp:val=&quot;00F52668&quot;/&gt;&lt;wsp:rsid wsp:val=&quot;00F52727&quot;/&gt;&lt;wsp:rsid wsp:val=&quot;00F528B8&quot;/&gt;&lt;wsp:rsid wsp:val=&quot;00F52987&quot;/&gt;&lt;wsp:rsid wsp:val=&quot;00F52EE1&quot;/&gt;&lt;wsp:rsid wsp:val=&quot;00F5304D&quot;/&gt;&lt;wsp:rsid wsp:val=&quot;00F5345B&quot;/&gt;&lt;wsp:rsid wsp:val=&quot;00F535E6&quot;/&gt;&lt;wsp:rsid wsp:val=&quot;00F5416F&quot;/&gt;&lt;wsp:rsid wsp:val=&quot;00F5433A&quot;/&gt;&lt;wsp:rsid wsp:val=&quot;00F54693&quot;/&gt;&lt;wsp:rsid wsp:val=&quot;00F5469C&quot;/&gt;&lt;wsp:rsid wsp:val=&quot;00F54C3D&quot;/&gt;&lt;wsp:rsid wsp:val=&quot;00F54DD6&quot;/&gt;&lt;wsp:rsid wsp:val=&quot;00F54FF2&quot;/&gt;&lt;wsp:rsid wsp:val=&quot;00F5518F&quot;/&gt;&lt;wsp:rsid wsp:val=&quot;00F55396&quot;/&gt;&lt;wsp:rsid wsp:val=&quot;00F55A8D&quot;/&gt;&lt;wsp:rsid wsp:val=&quot;00F55D18&quot;/&gt;&lt;wsp:rsid wsp:val=&quot;00F55E1E&quot;/&gt;&lt;wsp:rsid wsp:val=&quot;00F561AA&quot;/&gt;&lt;wsp:rsid wsp:val=&quot;00F567DE&quot;/&gt;&lt;wsp:rsid wsp:val=&quot;00F56BF5&quot;/&gt;&lt;wsp:rsid wsp:val=&quot;00F56C15&quot;/&gt;&lt;wsp:rsid wsp:val=&quot;00F56FCE&quot;/&gt;&lt;wsp:rsid wsp:val=&quot;00F57126&quot;/&gt;&lt;wsp:rsid wsp:val=&quot;00F5712D&quot;/&gt;&lt;wsp:rsid wsp:val=&quot;00F57B95&quot;/&gt;&lt;wsp:rsid wsp:val=&quot;00F6013E&quot;/&gt;&lt;wsp:rsid wsp:val=&quot;00F60161&quot;/&gt;&lt;wsp:rsid wsp:val=&quot;00F6045B&quot;/&gt;&lt;wsp:rsid wsp:val=&quot;00F605CF&quot;/&gt;&lt;wsp:rsid wsp:val=&quot;00F60639&quot;/&gt;&lt;wsp:rsid wsp:val=&quot;00F60AAB&quot;/&gt;&lt;wsp:rsid wsp:val=&quot;00F60B75&quot;/&gt;&lt;wsp:rsid wsp:val=&quot;00F6137A&quot;/&gt;&lt;wsp:rsid wsp:val=&quot;00F618B9&quot;/&gt;&lt;wsp:rsid wsp:val=&quot;00F61940&quot;/&gt;&lt;wsp:rsid wsp:val=&quot;00F61F2F&quot;/&gt;&lt;wsp:rsid wsp:val=&quot;00F62551&quot;/&gt;&lt;wsp:rsid wsp:val=&quot;00F62575&quot;/&gt;&lt;wsp:rsid wsp:val=&quot;00F62685&quot;/&gt;&lt;wsp:rsid wsp:val=&quot;00F62B70&quot;/&gt;&lt;wsp:rsid wsp:val=&quot;00F62E4C&quot;/&gt;&lt;wsp:rsid wsp:val=&quot;00F62FD2&quot;/&gt;&lt;wsp:rsid wsp:val=&quot;00F63480&quot;/&gt;&lt;wsp:rsid wsp:val=&quot;00F63799&quot;/&gt;&lt;wsp:rsid wsp:val=&quot;00F637DC&quot;/&gt;&lt;wsp:rsid wsp:val=&quot;00F638C9&quot;/&gt;&lt;wsp:rsid wsp:val=&quot;00F63AA1&quot;/&gt;&lt;wsp:rsid wsp:val=&quot;00F63B62&quot;/&gt;&lt;wsp:rsid wsp:val=&quot;00F644D9&quot;/&gt;&lt;wsp:rsid wsp:val=&quot;00F64553&quot;/&gt;&lt;wsp:rsid wsp:val=&quot;00F645AC&quot;/&gt;&lt;wsp:rsid wsp:val=&quot;00F64D37&quot;/&gt;&lt;wsp:rsid wsp:val=&quot;00F64DD5&quot;/&gt;&lt;wsp:rsid wsp:val=&quot;00F64EDF&quot;/&gt;&lt;wsp:rsid wsp:val=&quot;00F656A1&quot;/&gt;&lt;wsp:rsid wsp:val=&quot;00F661D0&quot;/&gt;&lt;wsp:rsid wsp:val=&quot;00F6643D&quot;/&gt;&lt;wsp:rsid wsp:val=&quot;00F66976&quot;/&gt;&lt;wsp:rsid wsp:val=&quot;00F66A08&quot;/&gt;&lt;wsp:rsid wsp:val=&quot;00F66A32&quot;/&gt;&lt;wsp:rsid wsp:val=&quot;00F66A69&quot;/&gt;&lt;wsp:rsid wsp:val=&quot;00F66AF5&quot;/&gt;&lt;wsp:rsid wsp:val=&quot;00F66C9C&quot;/&gt;&lt;wsp:rsid wsp:val=&quot;00F672D9&quot;/&gt;&lt;wsp:rsid wsp:val=&quot;00F6755B&quot;/&gt;&lt;wsp:rsid wsp:val=&quot;00F67BD8&quot;/&gt;&lt;wsp:rsid wsp:val=&quot;00F67CE2&quot;/&gt;&lt;wsp:rsid wsp:val=&quot;00F70815&quot;/&gt;&lt;wsp:rsid wsp:val=&quot;00F719AB&quot;/&gt;&lt;wsp:rsid wsp:val=&quot;00F71C1D&quot;/&gt;&lt;wsp:rsid wsp:val=&quot;00F71EB4&quot;/&gt;&lt;wsp:rsid wsp:val=&quot;00F7201B&quot;/&gt;&lt;wsp:rsid wsp:val=&quot;00F72B28&quot;/&gt;&lt;wsp:rsid wsp:val=&quot;00F72E16&quot;/&gt;&lt;wsp:rsid wsp:val=&quot;00F72EA6&quot;/&gt;&lt;wsp:rsid wsp:val=&quot;00F72EC4&quot;/&gt;&lt;wsp:rsid wsp:val=&quot;00F73292&quot;/&gt;&lt;wsp:rsid wsp:val=&quot;00F736DF&quot;/&gt;&lt;wsp:rsid wsp:val=&quot;00F73BF8&quot;/&gt;&lt;wsp:rsid wsp:val=&quot;00F73CDB&quot;/&gt;&lt;wsp:rsid wsp:val=&quot;00F741D6&quot;/&gt;&lt;wsp:rsid wsp:val=&quot;00F746C3&quot;/&gt;&lt;wsp:rsid wsp:val=&quot;00F74831&quot;/&gt;&lt;wsp:rsid wsp:val=&quot;00F74EC7&quot;/&gt;&lt;wsp:rsid wsp:val=&quot;00F7563C&quot;/&gt;&lt;wsp:rsid wsp:val=&quot;00F75CE4&quot;/&gt;&lt;wsp:rsid wsp:val=&quot;00F76036&quot;/&gt;&lt;wsp:rsid wsp:val=&quot;00F762F3&quot;/&gt;&lt;wsp:rsid wsp:val=&quot;00F763C4&quot;/&gt;&lt;wsp:rsid wsp:val=&quot;00F76AD3&quot;/&gt;&lt;wsp:rsid wsp:val=&quot;00F770EE&quot;/&gt;&lt;wsp:rsid wsp:val=&quot;00F774C1&quot;/&gt;&lt;wsp:rsid wsp:val=&quot;00F800FB&quot;/&gt;&lt;wsp:rsid wsp:val=&quot;00F80447&quot;/&gt;&lt;wsp:rsid wsp:val=&quot;00F80ADB&quot;/&gt;&lt;wsp:rsid wsp:val=&quot;00F811F6&quot;/&gt;&lt;wsp:rsid wsp:val=&quot;00F81945&quot;/&gt;&lt;wsp:rsid wsp:val=&quot;00F81D05&quot;/&gt;&lt;wsp:rsid wsp:val=&quot;00F82682&quot;/&gt;&lt;wsp:rsid wsp:val=&quot;00F826B6&quot;/&gt;&lt;wsp:rsid wsp:val=&quot;00F82C19&quot;/&gt;&lt;wsp:rsid wsp:val=&quot;00F82CA1&quot;/&gt;&lt;wsp:rsid wsp:val=&quot;00F83229&quot;/&gt;&lt;wsp:rsid wsp:val=&quot;00F833AA&quot;/&gt;&lt;wsp:rsid wsp:val=&quot;00F833C3&quot;/&gt;&lt;wsp:rsid wsp:val=&quot;00F8380B&quot;/&gt;&lt;wsp:rsid wsp:val=&quot;00F844DF&quot;/&gt;&lt;wsp:rsid wsp:val=&quot;00F84713&quot;/&gt;&lt;wsp:rsid wsp:val=&quot;00F84939&quot;/&gt;&lt;wsp:rsid wsp:val=&quot;00F85201&quot;/&gt;&lt;wsp:rsid wsp:val=&quot;00F8529D&quot;/&gt;&lt;wsp:rsid wsp:val=&quot;00F857E7&quot;/&gt;&lt;wsp:rsid wsp:val=&quot;00F865E7&quot;/&gt;&lt;wsp:rsid wsp:val=&quot;00F86D68&quot;/&gt;&lt;wsp:rsid wsp:val=&quot;00F87069&quot;/&gt;&lt;wsp:rsid wsp:val=&quot;00F874FE&quot;/&gt;&lt;wsp:rsid wsp:val=&quot;00F878BC&quot;/&gt;&lt;wsp:rsid wsp:val=&quot;00F87A86&quot;/&gt;&lt;wsp:rsid wsp:val=&quot;00F87D61&quot;/&gt;&lt;wsp:rsid wsp:val=&quot;00F90165&quot;/&gt;&lt;wsp:rsid wsp:val=&quot;00F9021A&quot;/&gt;&lt;wsp:rsid wsp:val=&quot;00F9029A&quot;/&gt;&lt;wsp:rsid wsp:val=&quot;00F90FC2&quot;/&gt;&lt;wsp:rsid wsp:val=&quot;00F916A7&quot;/&gt;&lt;wsp:rsid wsp:val=&quot;00F91BD0&quot;/&gt;&lt;wsp:rsid wsp:val=&quot;00F91FE8&quot;/&gt;&lt;wsp:rsid wsp:val=&quot;00F9219C&quot;/&gt;&lt;wsp:rsid wsp:val=&quot;00F92614&quot;/&gt;&lt;wsp:rsid wsp:val=&quot;00F92647&quot;/&gt;&lt;wsp:rsid wsp:val=&quot;00F92C24&quot;/&gt;&lt;wsp:rsid wsp:val=&quot;00F92E6A&quot;/&gt;&lt;wsp:rsid wsp:val=&quot;00F9302E&quot;/&gt;&lt;wsp:rsid wsp:val=&quot;00F931E8&quot;/&gt;&lt;wsp:rsid wsp:val=&quot;00F93337&quot;/&gt;&lt;wsp:rsid wsp:val=&quot;00F937AA&quot;/&gt;&lt;wsp:rsid wsp:val=&quot;00F939F3&quot;/&gt;&lt;wsp:rsid wsp:val=&quot;00F93A9A&quot;/&gt;&lt;wsp:rsid wsp:val=&quot;00F93AFD&quot;/&gt;&lt;wsp:rsid wsp:val=&quot;00F93BB5&quot;/&gt;&lt;wsp:rsid wsp:val=&quot;00F943E8&quot;/&gt;&lt;wsp:rsid wsp:val=&quot;00F94CF7&quot;/&gt;&lt;wsp:rsid wsp:val=&quot;00F950E7&quot;/&gt;&lt;wsp:rsid wsp:val=&quot;00F953D0&quot;/&gt;&lt;wsp:rsid wsp:val=&quot;00F95BA7&quot;/&gt;&lt;wsp:rsid wsp:val=&quot;00F95E2C&quot;/&gt;&lt;wsp:rsid wsp:val=&quot;00F95EDF&quot;/&gt;&lt;wsp:rsid wsp:val=&quot;00F96187&quot;/&gt;&lt;wsp:rsid wsp:val=&quot;00F96454&quot;/&gt;&lt;wsp:rsid wsp:val=&quot;00F966AF&quot;/&gt;&lt;wsp:rsid wsp:val=&quot;00F969FE&quot;/&gt;&lt;wsp:rsid wsp:val=&quot;00F96A2F&quot;/&gt;&lt;wsp:rsid wsp:val=&quot;00F97302&quot;/&gt;&lt;wsp:rsid wsp:val=&quot;00F973D4&quot;/&gt;&lt;wsp:rsid wsp:val=&quot;00F974D8&quot;/&gt;&lt;wsp:rsid wsp:val=&quot;00F97A06&quot;/&gt;&lt;wsp:rsid wsp:val=&quot;00F97D19&quot;/&gt;&lt;wsp:rsid wsp:val=&quot;00FA0699&quot;/&gt;&lt;wsp:rsid wsp:val=&quot;00FA154B&quot;/&gt;&lt;wsp:rsid wsp:val=&quot;00FA15ED&quot;/&gt;&lt;wsp:rsid wsp:val=&quot;00FA161D&quot;/&gt;&lt;wsp:rsid wsp:val=&quot;00FA1649&quot;/&gt;&lt;wsp:rsid wsp:val=&quot;00FA206E&quot;/&gt;&lt;wsp:rsid wsp:val=&quot;00FA21E6&quot;/&gt;&lt;wsp:rsid wsp:val=&quot;00FA2500&quot;/&gt;&lt;wsp:rsid wsp:val=&quot;00FA26E4&quot;/&gt;&lt;wsp:rsid wsp:val=&quot;00FA2830&quot;/&gt;&lt;wsp:rsid wsp:val=&quot;00FA2B6F&quot;/&gt;&lt;wsp:rsid wsp:val=&quot;00FA2E40&quot;/&gt;&lt;wsp:rsid wsp:val=&quot;00FA3108&quot;/&gt;&lt;wsp:rsid wsp:val=&quot;00FA32E3&quot;/&gt;&lt;wsp:rsid wsp:val=&quot;00FA3536&quot;/&gt;&lt;wsp:rsid wsp:val=&quot;00FA35F9&quot;/&gt;&lt;wsp:rsid wsp:val=&quot;00FA3B1D&quot;/&gt;&lt;wsp:rsid wsp:val=&quot;00FA3B8E&quot;/&gt;&lt;wsp:rsid wsp:val=&quot;00FA3D4E&quot;/&gt;&lt;wsp:rsid wsp:val=&quot;00FA3E2C&quot;/&gt;&lt;wsp:rsid wsp:val=&quot;00FA44CB&quot;/&gt;&lt;wsp:rsid wsp:val=&quot;00FA459A&quot;/&gt;&lt;wsp:rsid wsp:val=&quot;00FA46F1&quot;/&gt;&lt;wsp:rsid wsp:val=&quot;00FA4852&quot;/&gt;&lt;wsp:rsid wsp:val=&quot;00FA5477&quot;/&gt;&lt;wsp:rsid wsp:val=&quot;00FA5558&quot;/&gt;&lt;wsp:rsid wsp:val=&quot;00FA5703&quot;/&gt;&lt;wsp:rsid wsp:val=&quot;00FA5FDA&quot;/&gt;&lt;wsp:rsid wsp:val=&quot;00FA6723&quot;/&gt;&lt;wsp:rsid wsp:val=&quot;00FA67FC&quot;/&gt;&lt;wsp:rsid wsp:val=&quot;00FA6939&quot;/&gt;&lt;wsp:rsid wsp:val=&quot;00FA6EFF&quot;/&gt;&lt;wsp:rsid wsp:val=&quot;00FA6F54&quot;/&gt;&lt;wsp:rsid wsp:val=&quot;00FA70AE&quot;/&gt;&lt;wsp:rsid wsp:val=&quot;00FA77E0&quot;/&gt;&lt;wsp:rsid wsp:val=&quot;00FA7C31&quot;/&gt;&lt;wsp:rsid wsp:val=&quot;00FA7CAF&quot;/&gt;&lt;wsp:rsid wsp:val=&quot;00FB02B9&quot;/&gt;&lt;wsp:rsid wsp:val=&quot;00FB047F&quot;/&gt;&lt;wsp:rsid wsp:val=&quot;00FB0B8B&quot;/&gt;&lt;wsp:rsid wsp:val=&quot;00FB0BD5&quot;/&gt;&lt;wsp:rsid wsp:val=&quot;00FB0F8B&quot;/&gt;&lt;wsp:rsid wsp:val=&quot;00FB113A&quot;/&gt;&lt;wsp:rsid wsp:val=&quot;00FB11F5&quot;/&gt;&lt;wsp:rsid wsp:val=&quot;00FB174F&quot;/&gt;&lt;wsp:rsid wsp:val=&quot;00FB20B6&quot;/&gt;&lt;wsp:rsid wsp:val=&quot;00FB2282&quot;/&gt;&lt;wsp:rsid wsp:val=&quot;00FB246C&quot;/&gt;&lt;wsp:rsid wsp:val=&quot;00FB252C&quot;/&gt;&lt;wsp:rsid wsp:val=&quot;00FB2A16&quot;/&gt;&lt;wsp:rsid wsp:val=&quot;00FB2AD2&quot;/&gt;&lt;wsp:rsid wsp:val=&quot;00FB2C57&quot;/&gt;&lt;wsp:rsid wsp:val=&quot;00FB306C&quot;/&gt;&lt;wsp:rsid wsp:val=&quot;00FB3BD2&quot;/&gt;&lt;wsp:rsid wsp:val=&quot;00FB4C8E&quot;/&gt;&lt;wsp:rsid wsp:val=&quot;00FB4FBA&quot;/&gt;&lt;wsp:rsid wsp:val=&quot;00FB5204&quot;/&gt;&lt;wsp:rsid wsp:val=&quot;00FB5636&quot;/&gt;&lt;wsp:rsid wsp:val=&quot;00FB5760&quot;/&gt;&lt;wsp:rsid wsp:val=&quot;00FB60A5&quot;/&gt;&lt;wsp:rsid wsp:val=&quot;00FB6109&quot;/&gt;&lt;wsp:rsid wsp:val=&quot;00FB64AF&quot;/&gt;&lt;wsp:rsid wsp:val=&quot;00FB676A&quot;/&gt;&lt;wsp:rsid wsp:val=&quot;00FB6E72&quot;/&gt;&lt;wsp:rsid wsp:val=&quot;00FB72EA&quot;/&gt;&lt;wsp:rsid wsp:val=&quot;00FB7526&quot;/&gt;&lt;wsp:rsid wsp:val=&quot;00FB7767&quot;/&gt;&lt;wsp:rsid wsp:val=&quot;00FB78E1&quot;/&gt;&lt;wsp:rsid wsp:val=&quot;00FB7A18&quot;/&gt;&lt;wsp:rsid wsp:val=&quot;00FB7B7E&quot;/&gt;&lt;wsp:rsid wsp:val=&quot;00FC020B&quot;/&gt;&lt;wsp:rsid wsp:val=&quot;00FC069F&quot;/&gt;&lt;wsp:rsid wsp:val=&quot;00FC06DE&quot;/&gt;&lt;wsp:rsid wsp:val=&quot;00FC1446&quot;/&gt;&lt;wsp:rsid wsp:val=&quot;00FC1570&quot;/&gt;&lt;wsp:rsid wsp:val=&quot;00FC19B7&quot;/&gt;&lt;wsp:rsid wsp:val=&quot;00FC1F57&quot;/&gt;&lt;wsp:rsid wsp:val=&quot;00FC2056&quot;/&gt;&lt;wsp:rsid wsp:val=&quot;00FC299A&quot;/&gt;&lt;wsp:rsid wsp:val=&quot;00FC2CC7&quot;/&gt;&lt;wsp:rsid wsp:val=&quot;00FC2E46&quot;/&gt;&lt;wsp:rsid wsp:val=&quot;00FC2E60&quot;/&gt;&lt;wsp:rsid wsp:val=&quot;00FC34F9&quot;/&gt;&lt;wsp:rsid wsp:val=&quot;00FC39EF&quot;/&gt;&lt;wsp:rsid wsp:val=&quot;00FC3F07&quot;/&gt;&lt;wsp:rsid wsp:val=&quot;00FC3F0E&quot;/&gt;&lt;wsp:rsid wsp:val=&quot;00FC41AB&quot;/&gt;&lt;wsp:rsid wsp:val=&quot;00FC44D4&quot;/&gt;&lt;wsp:rsid wsp:val=&quot;00FC52A8&quot;/&gt;&lt;wsp:rsid wsp:val=&quot;00FC582F&quot;/&gt;&lt;wsp:rsid wsp:val=&quot;00FC5E12&quot;/&gt;&lt;wsp:rsid wsp:val=&quot;00FC5EB1&quot;/&gt;&lt;wsp:rsid wsp:val=&quot;00FC5F14&quot;/&gt;&lt;wsp:rsid wsp:val=&quot;00FC5FD6&quot;/&gt;&lt;wsp:rsid wsp:val=&quot;00FC61FF&quot;/&gt;&lt;wsp:rsid wsp:val=&quot;00FC7681&quot;/&gt;&lt;wsp:rsid wsp:val=&quot;00FC78A9&quot;/&gt;&lt;wsp:rsid wsp:val=&quot;00FD00E7&quot;/&gt;&lt;wsp:rsid wsp:val=&quot;00FD015C&quot;/&gt;&lt;wsp:rsid wsp:val=&quot;00FD051F&quot;/&gt;&lt;wsp:rsid wsp:val=&quot;00FD07F8&quot;/&gt;&lt;wsp:rsid wsp:val=&quot;00FD0EA2&quot;/&gt;&lt;wsp:rsid wsp:val=&quot;00FD1375&quot;/&gt;&lt;wsp:rsid wsp:val=&quot;00FD1CFD&quot;/&gt;&lt;wsp:rsid wsp:val=&quot;00FD2073&quot;/&gt;&lt;wsp:rsid wsp:val=&quot;00FD22A4&quot;/&gt;&lt;wsp:rsid wsp:val=&quot;00FD24D9&quot;/&gt;&lt;wsp:rsid wsp:val=&quot;00FD2676&quot;/&gt;&lt;wsp:rsid wsp:val=&quot;00FD2822&quot;/&gt;&lt;wsp:rsid wsp:val=&quot;00FD2F02&quot;/&gt;&lt;wsp:rsid wsp:val=&quot;00FD2FA4&quot;/&gt;&lt;wsp:rsid wsp:val=&quot;00FD33FA&quot;/&gt;&lt;wsp:rsid wsp:val=&quot;00FD4370&quot;/&gt;&lt;wsp:rsid wsp:val=&quot;00FD4992&quot;/&gt;&lt;wsp:rsid wsp:val=&quot;00FD4C41&quot;/&gt;&lt;wsp:rsid wsp:val=&quot;00FD4E4D&quot;/&gt;&lt;wsp:rsid wsp:val=&quot;00FD5400&quot;/&gt;&lt;wsp:rsid wsp:val=&quot;00FD57BB&quot;/&gt;&lt;wsp:rsid wsp:val=&quot;00FD5807&quot;/&gt;&lt;wsp:rsid wsp:val=&quot;00FD5AED&quot;/&gt;&lt;wsp:rsid wsp:val=&quot;00FD5C33&quot;/&gt;&lt;wsp:rsid wsp:val=&quot;00FD64D1&quot;/&gt;&lt;wsp:rsid wsp:val=&quot;00FD6CF6&quot;/&gt;&lt;wsp:rsid wsp:val=&quot;00FD6EC4&quot;/&gt;&lt;wsp:rsid wsp:val=&quot;00FD6F67&quot;/&gt;&lt;wsp:rsid wsp:val=&quot;00FD734F&quot;/&gt;&lt;wsp:rsid wsp:val=&quot;00FD7B2F&quot;/&gt;&lt;wsp:rsid wsp:val=&quot;00FE080F&quot;/&gt;&lt;wsp:rsid wsp:val=&quot;00FE0909&quot;/&gt;&lt;wsp:rsid wsp:val=&quot;00FE0B60&quot;/&gt;&lt;wsp:rsid wsp:val=&quot;00FE0C37&quot;/&gt;&lt;wsp:rsid wsp:val=&quot;00FE1048&quot;/&gt;&lt;wsp:rsid wsp:val=&quot;00FE1266&quot;/&gt;&lt;wsp:rsid wsp:val=&quot;00FE17F3&quot;/&gt;&lt;wsp:rsid wsp:val=&quot;00FE1890&quot;/&gt;&lt;wsp:rsid wsp:val=&quot;00FE1983&quot;/&gt;&lt;wsp:rsid wsp:val=&quot;00FE1E06&quot;/&gt;&lt;wsp:rsid wsp:val=&quot;00FE2264&quot;/&gt;&lt;wsp:rsid wsp:val=&quot;00FE2701&quot;/&gt;&lt;wsp:rsid wsp:val=&quot;00FE2862&quot;/&gt;&lt;wsp:rsid wsp:val=&quot;00FE2A92&quot;/&gt;&lt;wsp:rsid wsp:val=&quot;00FE2BB3&quot;/&gt;&lt;wsp:rsid wsp:val=&quot;00FE2D2E&quot;/&gt;&lt;wsp:rsid wsp:val=&quot;00FE30D0&quot;/&gt;&lt;wsp:rsid wsp:val=&quot;00FE314C&quot;/&gt;&lt;wsp:rsid wsp:val=&quot;00FE352A&quot;/&gt;&lt;wsp:rsid wsp:val=&quot;00FE37C8&quot;/&gt;&lt;wsp:rsid wsp:val=&quot;00FE38E7&quot;/&gt;&lt;wsp:rsid wsp:val=&quot;00FE3F2D&quot;/&gt;&lt;wsp:rsid wsp:val=&quot;00FE40CB&quot;/&gt;&lt;wsp:rsid wsp:val=&quot;00FE4370&quot;/&gt;&lt;wsp:rsid wsp:val=&quot;00FE4CA5&quot;/&gt;&lt;wsp:rsid wsp:val=&quot;00FE5157&quot;/&gt;&lt;wsp:rsid wsp:val=&quot;00FE529D&quot;/&gt;&lt;wsp:rsid wsp:val=&quot;00FE54CF&quot;/&gt;&lt;wsp:rsid wsp:val=&quot;00FE59AB&quot;/&gt;&lt;wsp:rsid wsp:val=&quot;00FE5CAD&quot;/&gt;&lt;wsp:rsid wsp:val=&quot;00FE5EE2&quot;/&gt;&lt;wsp:rsid wsp:val=&quot;00FE61CB&quot;/&gt;&lt;wsp:rsid wsp:val=&quot;00FE661A&quot;/&gt;&lt;wsp:rsid wsp:val=&quot;00FE6987&quot;/&gt;&lt;wsp:rsid wsp:val=&quot;00FE6CF6&quot;/&gt;&lt;wsp:rsid wsp:val=&quot;00FE7145&quot;/&gt;&lt;wsp:rsid wsp:val=&quot;00FE7180&quot;/&gt;&lt;wsp:rsid wsp:val=&quot;00FE771F&quot;/&gt;&lt;wsp:rsid wsp:val=&quot;00FE7B66&quot;/&gt;&lt;wsp:rsid wsp:val=&quot;00FF01A2&quot;/&gt;&lt;wsp:rsid wsp:val=&quot;00FF0599&quot;/&gt;&lt;wsp:rsid wsp:val=&quot;00FF0B91&quot;/&gt;&lt;wsp:rsid wsp:val=&quot;00FF0DFF&quot;/&gt;&lt;wsp:rsid wsp:val=&quot;00FF13E9&quot;/&gt;&lt;wsp:rsid wsp:val=&quot;00FF16BE&quot;/&gt;&lt;wsp:rsid wsp:val=&quot;00FF1CCF&quot;/&gt;&lt;wsp:rsid wsp:val=&quot;00FF21C5&quot;/&gt;&lt;wsp:rsid wsp:val=&quot;00FF258D&quot;/&gt;&lt;wsp:rsid wsp:val=&quot;00FF2652&quot;/&gt;&lt;wsp:rsid wsp:val=&quot;00FF27BB&quot;/&gt;&lt;wsp:rsid wsp:val=&quot;00FF2B7E&quot;/&gt;&lt;wsp:rsid wsp:val=&quot;00FF2D2A&quot;/&gt;&lt;wsp:rsid wsp:val=&quot;00FF3936&quot;/&gt;&lt;wsp:rsid wsp:val=&quot;00FF3B19&quot;/&gt;&lt;wsp:rsid wsp:val=&quot;00FF3D88&quot;/&gt;&lt;wsp:rsid wsp:val=&quot;00FF445B&quot;/&gt;&lt;wsp:rsid wsp:val=&quot;00FF45AC&quot;/&gt;&lt;wsp:rsid wsp:val=&quot;00FF4A33&quot;/&gt;&lt;wsp:rsid wsp:val=&quot;00FF4CBD&quot;/&gt;&lt;wsp:rsid wsp:val=&quot;00FF4E1A&quot;/&gt;&lt;wsp:rsid wsp:val=&quot;00FF4E9C&quot;/&gt;&lt;wsp:rsid wsp:val=&quot;00FF5012&quot;/&gt;&lt;wsp:rsid wsp:val=&quot;00FF52C9&quot;/&gt;&lt;wsp:rsid wsp:val=&quot;00FF53DB&quot;/&gt;&lt;wsp:rsid wsp:val=&quot;00FF5460&quot;/&gt;&lt;wsp:rsid wsp:val=&quot;00FF63E0&quot;/&gt;&lt;wsp:rsid wsp:val=&quot;00FF643A&quot;/&gt;&lt;wsp:rsid wsp:val=&quot;00FF6E03&quot;/&gt;&lt;wsp:rsid wsp:val=&quot;00FF6FFA&quot;/&gt;&lt;wsp:rsid wsp:val=&quot;00FF7079&quot;/&gt;&lt;wsp:rsid wsp:val=&quot;00FF72BE&quot;/&gt;&lt;wsp:rsid wsp:val=&quot;00FF7522&quot;/&gt;&lt;wsp:rsid wsp:val=&quot;00FF7598&quot;/&gt;&lt;wsp:rsid wsp:val=&quot;01415FE5&quot;/&gt;&lt;wsp:rsid wsp:val=&quot;016F0D06&quot;/&gt;&lt;wsp:rsid wsp:val=&quot;01757940&quot;/&gt;&lt;wsp:rsid wsp:val=&quot;017D380F&quot;/&gt;&lt;wsp:rsid wsp:val=&quot;019065BA&quot;/&gt;&lt;wsp:rsid wsp:val=&quot;01953A3F&quot;/&gt;&lt;wsp:rsid wsp:val=&quot;01BF0AE6&quot;/&gt;&lt;wsp:rsid wsp:val=&quot;01C166F4&quot;/&gt;&lt;wsp:rsid wsp:val=&quot;01FA253F&quot;/&gt;&lt;wsp:rsid wsp:val=&quot;01FC66F2&quot;/&gt;&lt;wsp:rsid wsp:val=&quot;02105F39&quot;/&gt;&lt;wsp:rsid wsp:val=&quot;02452AB5&quot;/&gt;&lt;wsp:rsid wsp:val=&quot;02710FDB&quot;/&gt;&lt;wsp:rsid wsp:val=&quot;027A27B1&quot;/&gt;&lt;wsp:rsid wsp:val=&quot;02833870&quot;/&gt;&lt;wsp:rsid wsp:val=&quot;029465DE&quot;/&gt;&lt;wsp:rsid wsp:val=&quot;02AA4C24&quot;/&gt;&lt;wsp:rsid wsp:val=&quot;02E31761&quot;/&gt;&lt;wsp:rsid wsp:val=&quot;03122645&quot;/&gt;&lt;wsp:rsid wsp:val=&quot;031306C4&quot;/&gt;&lt;wsp:rsid wsp:val=&quot;034B37C8&quot;/&gt;&lt;wsp:rsid wsp:val=&quot;03910C0E&quot;/&gt;&lt;wsp:rsid wsp:val=&quot;039B50A8&quot;/&gt;&lt;wsp:rsid wsp:val=&quot;03BC15F1&quot;/&gt;&lt;wsp:rsid wsp:val=&quot;04133A2D&quot;/&gt;&lt;wsp:rsid wsp:val=&quot;04292B87&quot;/&gt;&lt;wsp:rsid wsp:val=&quot;043226C7&quot;/&gt;&lt;wsp:rsid wsp:val=&quot;043E5088&quot;/&gt;&lt;wsp:rsid wsp:val=&quot;04833F91&quot;/&gt;&lt;wsp:rsid wsp:val=&quot;04874089&quot;/&gt;&lt;wsp:rsid wsp:val=&quot;049B5114&quot;/&gt;&lt;wsp:rsid wsp:val=&quot;04CC2C5F&quot;/&gt;&lt;wsp:rsid wsp:val=&quot;04DF7408&quot;/&gt;&lt;wsp:rsid wsp:val=&quot;05291E1F&quot;/&gt;&lt;wsp:rsid wsp:val=&quot;053E0F56&quot;/&gt;&lt;wsp:rsid wsp:val=&quot;05715827&quot;/&gt;&lt;wsp:rsid wsp:val=&quot;05D7519E&quot;/&gt;&lt;wsp:rsid wsp:val=&quot;05EB6070&quot;/&gt;&lt;wsp:rsid wsp:val=&quot;05F81E96&quot;/&gt;&lt;wsp:rsid wsp:val=&quot;064743BD&quot;/&gt;&lt;wsp:rsid wsp:val=&quot;065C3E8B&quot;/&gt;&lt;wsp:rsid wsp:val=&quot;066164C8&quot;/&gt;&lt;wsp:rsid wsp:val=&quot;06990204&quot;/&gt;&lt;wsp:rsid wsp:val=&quot;06B17214&quot;/&gt;&lt;wsp:rsid wsp:val=&quot;06C9511D&quot;/&gt;&lt;wsp:rsid wsp:val=&quot;06CB4AF4&quot;/&gt;&lt;wsp:rsid wsp:val=&quot;070754B4&quot;/&gt;&lt;wsp:rsid wsp:val=&quot;07693597&quot;/&gt;&lt;wsp:rsid wsp:val=&quot;076B274E&quot;/&gt;&lt;wsp:rsid wsp:val=&quot;081704CA&quot;/&gt;&lt;wsp:rsid wsp:val=&quot;08393FC7&quot;/&gt;&lt;wsp:rsid wsp:val=&quot;085C7DC0&quot;/&gt;&lt;wsp:rsid wsp:val=&quot;08902443&quot;/&gt;&lt;wsp:rsid wsp:val=&quot;08CA3223&quot;/&gt;&lt;wsp:rsid wsp:val=&quot;08CC568F&quot;/&gt;&lt;wsp:rsid wsp:val=&quot;0915537C&quot;/&gt;&lt;wsp:rsid wsp:val=&quot;092F2A3B&quot;/&gt;&lt;wsp:rsid wsp:val=&quot;092F33B7&quot;/&gt;&lt;wsp:rsid wsp:val=&quot;093768CE&quot;/&gt;&lt;wsp:rsid wsp:val=&quot;09747A93&quot;/&gt;&lt;wsp:rsid wsp:val=&quot;099255A1&quot;/&gt;&lt;wsp:rsid wsp:val=&quot;09B01B15&quot;/&gt;&lt;wsp:rsid wsp:val=&quot;0A3021CC&quot;/&gt;&lt;wsp:rsid wsp:val=&quot;0A3B3622&quot;/&gt;&lt;wsp:rsid wsp:val=&quot;0A597CF5&quot;/&gt;&lt;wsp:rsid wsp:val=&quot;0A890F20&quot;/&gt;&lt;wsp:rsid wsp:val=&quot;0A9E4804&quot;/&gt;&lt;wsp:rsid wsp:val=&quot;0AB76DC4&quot;/&gt;&lt;wsp:rsid wsp:val=&quot;0B006FC5&quot;/&gt;&lt;wsp:rsid wsp:val=&quot;0B2A31DC&quot;/&gt;&lt;wsp:rsid wsp:val=&quot;0B9E41C6&quot;/&gt;&lt;wsp:rsid wsp:val=&quot;0BE0642A&quot;/&gt;&lt;wsp:rsid wsp:val=&quot;0BF27EFA&quot;/&gt;&lt;wsp:rsid wsp:val=&quot;0C083BA8&quot;/&gt;&lt;wsp:rsid wsp:val=&quot;0C1227F3&quot;/&gt;&lt;wsp:rsid wsp:val=&quot;0C376144&quot;/&gt;&lt;wsp:rsid wsp:val=&quot;0C613145&quot;/&gt;&lt;wsp:rsid wsp:val=&quot;0C9811DE&quot;/&gt;&lt;wsp:rsid wsp:val=&quot;0CAC4B37&quot;/&gt;&lt;wsp:rsid wsp:val=&quot;0CCF545B&quot;/&gt;&lt;wsp:rsid wsp:val=&quot;0D0738FD&quot;/&gt;&lt;wsp:rsid wsp:val=&quot;0D085C8C&quot;/&gt;&lt;wsp:rsid wsp:val=&quot;0D2158D9&quot;/&gt;&lt;wsp:rsid wsp:val=&quot;0D2328E8&quot;/&gt;&lt;wsp:rsid wsp:val=&quot;0D5C1EF2&quot;/&gt;&lt;wsp:rsid wsp:val=&quot;0D631EB4&quot;/&gt;&lt;wsp:rsid wsp:val=&quot;0D793528&quot;/&gt;&lt;wsp:rsid wsp:val=&quot;0D7E167C&quot;/&gt;&lt;wsp:rsid wsp:val=&quot;0DAA229E&quot;/&gt;&lt;wsp:rsid wsp:val=&quot;0DC76B6E&quot;/&gt;&lt;wsp:rsid wsp:val=&quot;0DF37F6C&quot;/&gt;&lt;wsp:rsid wsp:val=&quot;0DFA48CC&quot;/&gt;&lt;wsp:rsid wsp:val=&quot;0E431D4D&quot;/&gt;&lt;wsp:rsid wsp:val=&quot;0E607AFC&quot;/&gt;&lt;wsp:rsid wsp:val=&quot;0E6E17D1&quot;/&gt;&lt;wsp:rsid wsp:val=&quot;0E861EB6&quot;/&gt;&lt;wsp:rsid wsp:val=&quot;0E9443E5&quot;/&gt;&lt;wsp:rsid wsp:val=&quot;0EA36294&quot;/&gt;&lt;wsp:rsid wsp:val=&quot;0EB2476C&quot;/&gt;&lt;wsp:rsid wsp:val=&quot;0EC86F6F&quot;/&gt;&lt;wsp:rsid wsp:val=&quot;0F0105B3&quot;/&gt;&lt;wsp:rsid wsp:val=&quot;0F097F10&quot;/&gt;&lt;wsp:rsid wsp:val=&quot;0F0B30C1&quot;/&gt;&lt;wsp:rsid wsp:val=&quot;0F32469F&quot;/&gt;&lt;wsp:rsid wsp:val=&quot;0FA847F0&quot;/&gt;&lt;wsp:rsid wsp:val=&quot;0FCF584F&quot;/&gt;&lt;wsp:rsid wsp:val=&quot;0FE81A71&quot;/&gt;&lt;wsp:rsid wsp:val=&quot;10247D23&quot;/&gt;&lt;wsp:rsid wsp:val=&quot;10511863&quot;/&gt;&lt;wsp:rsid wsp:val=&quot;10821972&quot;/&gt;&lt;wsp:rsid wsp:val=&quot;10D93F75&quot;/&gt;&lt;wsp:rsid wsp:val=&quot;10E8298C&quot;/&gt;&lt;wsp:rsid wsp:val=&quot;110C145D&quot;/&gt;&lt;wsp:rsid wsp:val=&quot;111A3090&quot;/&gt;&lt;wsp:rsid wsp:val=&quot;1124611B&quot;/&gt;&lt;wsp:rsid wsp:val=&quot;11517AEC&quot;/&gt;&lt;wsp:rsid wsp:val=&quot;11637F9B&quot;/&gt;&lt;wsp:rsid wsp:val=&quot;116C080A&quot;/&gt;&lt;wsp:rsid wsp:val=&quot;11840E63&quot;/&gt;&lt;wsp:rsid wsp:val=&quot;11B13C7A&quot;/&gt;&lt;wsp:rsid wsp:val=&quot;11EB07E7&quot;/&gt;&lt;wsp:rsid wsp:val=&quot;12007799&quot;/&gt;&lt;wsp:rsid wsp:val=&quot;12081144&quot;/&gt;&lt;wsp:rsid wsp:val=&quot;123407FF&quot;/&gt;&lt;wsp:rsid wsp:val=&quot;12475AB8&quot;/&gt;&lt;wsp:rsid wsp:val=&quot;124C0828&quot;/&gt;&lt;wsp:rsid wsp:val=&quot;12572AAF&quot;/&gt;&lt;wsp:rsid wsp:val=&quot;12782B0D&quot;/&gt;&lt;wsp:rsid wsp:val=&quot;127D5A2B&quot;/&gt;&lt;wsp:rsid wsp:val=&quot;12880147&quot;/&gt;&lt;wsp:rsid wsp:val=&quot;12DE45FD&quot;/&gt;&lt;wsp:rsid wsp:val=&quot;130F2B82&quot;/&gt;&lt;wsp:rsid wsp:val=&quot;13830D1B&quot;/&gt;&lt;wsp:rsid wsp:val=&quot;138C7FDE&quot;/&gt;&lt;wsp:rsid wsp:val=&quot;13A70E18&quot;/&gt;&lt;wsp:rsid wsp:val=&quot;13D307EA&quot;/&gt;&lt;wsp:rsid wsp:val=&quot;13E52B1F&quot;/&gt;&lt;wsp:rsid wsp:val=&quot;13EA370B&quot;/&gt;&lt;wsp:rsid wsp:val=&quot;14492A04&quot;/&gt;&lt;wsp:rsid wsp:val=&quot;14570C43&quot;/&gt;&lt;wsp:rsid wsp:val=&quot;146B7E32&quot;/&gt;&lt;wsp:rsid wsp:val=&quot;14940DC8&quot;/&gt;&lt;wsp:rsid wsp:val=&quot;14D939B3&quot;/&gt;&lt;wsp:rsid wsp:val=&quot;15036B18&quot;/&gt;&lt;wsp:rsid wsp:val=&quot;15045696&quot;/&gt;&lt;wsp:rsid wsp:val=&quot;152754CD&quot;/&gt;&lt;wsp:rsid wsp:val=&quot;153A70FE&quot;/&gt;&lt;wsp:rsid wsp:val=&quot;15720710&quot;/&gt;&lt;wsp:rsid wsp:val=&quot;15DF59DA&quot;/&gt;&lt;wsp:rsid wsp:val=&quot;160D3FCC&quot;/&gt;&lt;wsp:rsid wsp:val=&quot;160F4E0B&quot;/&gt;&lt;wsp:rsid wsp:val=&quot;164752AE&quot;/&gt;&lt;wsp:rsid wsp:val=&quot;16ED5EEF&quot;/&gt;&lt;wsp:rsid wsp:val=&quot;17794E06&quot;/&gt;&lt;wsp:rsid wsp:val=&quot;17A200F9&quot;/&gt;&lt;wsp:rsid wsp:val=&quot;180D67FD&quot;/&gt;&lt;wsp:rsid wsp:val=&quot;181B7460&quot;/&gt;&lt;wsp:rsid wsp:val=&quot;188F4BB3&quot;/&gt;&lt;wsp:rsid wsp:val=&quot;18AC514D&quot;/&gt;&lt;wsp:rsid wsp:val=&quot;18D76298&quot;/&gt;&lt;wsp:rsid wsp:val=&quot;195347D3&quot;/&gt;&lt;wsp:rsid wsp:val=&quot;19735052&quot;/&gt;&lt;wsp:rsid wsp:val=&quot;19966AF1&quot;/&gt;&lt;wsp:rsid wsp:val=&quot;19BB2C71&quot;/&gt;&lt;wsp:rsid wsp:val=&quot;19BC649E&quot;/&gt;&lt;wsp:rsid wsp:val=&quot;1A15700F&quot;/&gt;&lt;wsp:rsid wsp:val=&quot;1A3D64BC&quot;/&gt;&lt;wsp:rsid wsp:val=&quot;1A6F4961&quot;/&gt;&lt;wsp:rsid wsp:val=&quot;1A6F5B4F&quot;/&gt;&lt;wsp:rsid wsp:val=&quot;1A873D79&quot;/&gt;&lt;wsp:rsid wsp:val=&quot;1A943962&quot;/&gt;&lt;wsp:rsid wsp:val=&quot;1A981A14&quot;/&gt;&lt;wsp:rsid wsp:val=&quot;1A9A53CD&quot;/&gt;&lt;wsp:rsid wsp:val=&quot;1AD52E27&quot;/&gt;&lt;wsp:rsid wsp:val=&quot;1AEA3452&quot;/&gt;&lt;wsp:rsid wsp:val=&quot;1B24529A&quot;/&gt;&lt;wsp:rsid wsp:val=&quot;1B6510A2&quot;/&gt;&lt;wsp:rsid wsp:val=&quot;1B783301&quot;/&gt;&lt;wsp:rsid wsp:val=&quot;1BC13A05&quot;/&gt;&lt;wsp:rsid wsp:val=&quot;1C580C50&quot;/&gt;&lt;wsp:rsid wsp:val=&quot;1C8A021D&quot;/&gt;&lt;wsp:rsid wsp:val=&quot;1C9327FA&quot;/&gt;&lt;wsp:rsid wsp:val=&quot;1CB94A98&quot;/&gt;&lt;wsp:rsid wsp:val=&quot;1D0A556F&quot;/&gt;&lt;wsp:rsid wsp:val=&quot;1D307C7F&quot;/&gt;&lt;wsp:rsid wsp:val=&quot;1D38618A&quot;/&gt;&lt;wsp:rsid wsp:val=&quot;1D4204B8&quot;/&gt;&lt;wsp:rsid wsp:val=&quot;1D4E08B6&quot;/&gt;&lt;wsp:rsid wsp:val=&quot;1D5A27F2&quot;/&gt;&lt;wsp:rsid wsp:val=&quot;1D6612E8&quot;/&gt;&lt;wsp:rsid wsp:val=&quot;1DAD4689&quot;/&gt;&lt;wsp:rsid wsp:val=&quot;1DED249C&quot;/&gt;&lt;wsp:rsid wsp:val=&quot;1DF85FDB&quot;/&gt;&lt;wsp:rsid wsp:val=&quot;1E3436D5&quot;/&gt;&lt;wsp:rsid wsp:val=&quot;1E382D17&quot;/&gt;&lt;wsp:rsid wsp:val=&quot;1E605C8C&quot;/&gt;&lt;wsp:rsid wsp:val=&quot;1E65194E&quot;/&gt;&lt;wsp:rsid wsp:val=&quot;1EAF7BE2&quot;/&gt;&lt;wsp:rsid wsp:val=&quot;1EB2332C&quot;/&gt;&lt;wsp:rsid wsp:val=&quot;1EB916C8&quot;/&gt;&lt;wsp:rsid wsp:val=&quot;1EFD4164&quot;/&gt;&lt;wsp:rsid wsp:val=&quot;1F1A0CBF&quot;/&gt;&lt;wsp:rsid wsp:val=&quot;1F4719AD&quot;/&gt;&lt;wsp:rsid wsp:val=&quot;1FBA7011&quot;/&gt;&lt;wsp:rsid wsp:val=&quot;1FEF4FB7&quot;/&gt;&lt;wsp:rsid wsp:val=&quot;200B7308&quot;/&gt;&lt;wsp:rsid wsp:val=&quot;20713A86&quot;/&gt;&lt;wsp:rsid wsp:val=&quot;20A900D3&quot;/&gt;&lt;wsp:rsid wsp:val=&quot;20D04E77&quot;/&gt;&lt;wsp:rsid wsp:val=&quot;20DD3A5A&quot;/&gt;&lt;wsp:rsid wsp:val=&quot;20F10467&quot;/&gt;&lt;wsp:rsid wsp:val=&quot;214C7989&quot;/&gt;&lt;wsp:rsid wsp:val=&quot;2165234F&quot;/&gt;&lt;wsp:rsid wsp:val=&quot;219D1CBD&quot;/&gt;&lt;wsp:rsid wsp:val=&quot;21A72B90&quot;/&gt;&lt;wsp:rsid wsp:val=&quot;21B81460&quot;/&gt;&lt;wsp:rsid wsp:val=&quot;21C924E9&quot;/&gt;&lt;wsp:rsid wsp:val=&quot;220505E8&quot;/&gt;&lt;wsp:rsid wsp:val=&quot;224C1F23&quot;/&gt;&lt;wsp:rsid wsp:val=&quot;22943E84&quot;/&gt;&lt;wsp:rsid wsp:val=&quot;22C40C3F&quot;/&gt;&lt;wsp:rsid wsp:val=&quot;2300710C&quot;/&gt;&lt;wsp:rsid wsp:val=&quot;23480256&quot;/&gt;&lt;wsp:rsid wsp:val=&quot;2375371D&quot;/&gt;&lt;wsp:rsid wsp:val=&quot;23CB58EA&quot;/&gt;&lt;wsp:rsid wsp:val=&quot;23DC76A6&quot;/&gt;&lt;wsp:rsid wsp:val=&quot;23DE7C42&quot;/&gt;&lt;wsp:rsid wsp:val=&quot;23F21740&quot;/&gt;&lt;wsp:rsid wsp:val=&quot;243D5695&quot;/&gt;&lt;wsp:rsid wsp:val=&quot;2460300B&quot;/&gt;&lt;wsp:rsid wsp:val=&quot;24746305&quot;/&gt;&lt;wsp:rsid wsp:val=&quot;247D7E0E&quot;/&gt;&lt;wsp:rsid wsp:val=&quot;24944663&quot;/&gt;&lt;wsp:rsid wsp:val=&quot;24BC31D3&quot;/&gt;&lt;wsp:rsid wsp:val=&quot;24C169D5&quot;/&gt;&lt;wsp:rsid wsp:val=&quot;24ED72A4&quot;/&gt;&lt;wsp:rsid wsp:val=&quot;25201627&quot;/&gt;&lt;wsp:rsid wsp:val=&quot;25484A85&quot;/&gt;&lt;wsp:rsid wsp:val=&quot;256C6D70&quot;/&gt;&lt;wsp:rsid wsp:val=&quot;256E06D7&quot;/&gt;&lt;wsp:rsid wsp:val=&quot;25864EB9&quot;/&gt;&lt;wsp:rsid wsp:val=&quot;25E04BC3&quot;/&gt;&lt;wsp:rsid wsp:val=&quot;260D2B9E&quot;/&gt;&lt;wsp:rsid wsp:val=&quot;263C4537&quot;/&gt;&lt;wsp:rsid wsp:val=&quot;263C523D&quot;/&gt;&lt;wsp:rsid wsp:val=&quot;26531A27&quot;/&gt;&lt;wsp:rsid wsp:val=&quot;26577261&quot;/&gt;&lt;wsp:rsid wsp:val=&quot;26660B72&quot;/&gt;&lt;wsp:rsid wsp:val=&quot;26A95F45&quot;/&gt;&lt;wsp:rsid wsp:val=&quot;26C6655B&quot;/&gt;&lt;wsp:rsid wsp:val=&quot;274F59EF&quot;/&gt;&lt;wsp:rsid wsp:val=&quot;27511BD6&quot;/&gt;&lt;wsp:rsid wsp:val=&quot;276D159F&quot;/&gt;&lt;wsp:rsid wsp:val=&quot;276D758B&quot;/&gt;&lt;wsp:rsid wsp:val=&quot;2777588C&quot;/&gt;&lt;wsp:rsid wsp:val=&quot;277D6FC2&quot;/&gt;&lt;wsp:rsid wsp:val=&quot;278A008E&quot;/&gt;&lt;wsp:rsid wsp:val=&quot;27C13091&quot;/&gt;&lt;wsp:rsid wsp:val=&quot;280D4AE1&quot;/&gt;&lt;wsp:rsid wsp:val=&quot;281745B5&quot;/&gt;&lt;wsp:rsid wsp:val=&quot;284802C8&quot;/&gt;&lt;wsp:rsid wsp:val=&quot;28A50DA0&quot;/&gt;&lt;wsp:rsid wsp:val=&quot;28AD136B&quot;/&gt;&lt;wsp:rsid wsp:val=&quot;28B36C40&quot;/&gt;&lt;wsp:rsid wsp:val=&quot;28DD4426&quot;/&gt;&lt;wsp:rsid wsp:val=&quot;28E17FE1&quot;/&gt;&lt;wsp:rsid wsp:val=&quot;28F40A64&quot;/&gt;&lt;wsp:rsid wsp:val=&quot;28F66E41&quot;/&gt;&lt;wsp:rsid wsp:val=&quot;290F1E7B&quot;/&gt;&lt;wsp:rsid wsp:val=&quot;294314E2&quot;/&gt;&lt;wsp:rsid wsp:val=&quot;29865772&quot;/&gt;&lt;wsp:rsid wsp:val=&quot;29B642C9&quot;/&gt;&lt;wsp:rsid wsp:val=&quot;29CB340C&quot;/&gt;&lt;wsp:rsid wsp:val=&quot;29CD16C8&quot;/&gt;&lt;wsp:rsid wsp:val=&quot;2A030F8A&quot;/&gt;&lt;wsp:rsid wsp:val=&quot;2A0E73C3&quot;/&gt;&lt;wsp:rsid wsp:val=&quot;2A1F2401&quot;/&gt;&lt;wsp:rsid wsp:val=&quot;2A466F4F&quot;/&gt;&lt;wsp:rsid wsp:val=&quot;2A9B4F45&quot;/&gt;&lt;wsp:rsid wsp:val=&quot;2ABD37F5&quot;/&gt;&lt;wsp:rsid wsp:val=&quot;2B095935&quot;/&gt;&lt;wsp:rsid wsp:val=&quot;2B172D9E&quot;/&gt;&lt;wsp:rsid wsp:val=&quot;2B462A2E&quot;/&gt;&lt;wsp:rsid wsp:val=&quot;2B5F2346&quot;/&gt;&lt;wsp:rsid wsp:val=&quot;2B87148A&quot;/&gt;&lt;wsp:rsid wsp:val=&quot;2BA0077B&quot;/&gt;&lt;wsp:rsid wsp:val=&quot;2BDC5E67&quot;/&gt;&lt;wsp:rsid wsp:val=&quot;2BFF2464&quot;/&gt;&lt;wsp:rsid wsp:val=&quot;2C0E7D14&quot;/&gt;&lt;wsp:rsid wsp:val=&quot;2CB432FC&quot;/&gt;&lt;wsp:rsid wsp:val=&quot;2CBD33CA&quot;/&gt;&lt;wsp:rsid wsp:val=&quot;2CCE6FA7&quot;/&gt;&lt;wsp:rsid wsp:val=&quot;2D1134A8&quot;/&gt;&lt;wsp:rsid wsp:val=&quot;2D1C3AF7&quot;/&gt;&lt;wsp:rsid wsp:val=&quot;2D5D0D68&quot;/&gt;&lt;wsp:rsid wsp:val=&quot;2DDA2544&quot;/&gt;&lt;wsp:rsid wsp:val=&quot;2DDA6C54&quot;/&gt;&lt;wsp:rsid wsp:val=&quot;2DED6433&quot;/&gt;&lt;wsp:rsid wsp:val=&quot;2DF96BF8&quot;/&gt;&lt;wsp:rsid wsp:val=&quot;2E0B0E2B&quot;/&gt;&lt;wsp:rsid wsp:val=&quot;2E2D233F&quot;/&gt;&lt;wsp:rsid wsp:val=&quot;2E336DAC&quot;/&gt;&lt;wsp:rsid wsp:val=&quot;2E732223&quot;/&gt;&lt;wsp:rsid wsp:val=&quot;2ED570D7&quot;/&gt;&lt;wsp:rsid wsp:val=&quot;2EDF21B0&quot;/&gt;&lt;wsp:rsid wsp:val=&quot;2EFB3C9C&quot;/&gt;&lt;wsp:rsid wsp:val=&quot;2F0D2584&quot;/&gt;&lt;wsp:rsid wsp:val=&quot;2F0D5BC4&quot;/&gt;&lt;wsp:rsid wsp:val=&quot;2F312903&quot;/&gt;&lt;wsp:rsid wsp:val=&quot;2F373FFA&quot;/&gt;&lt;wsp:rsid wsp:val=&quot;2F402768&quot;/&gt;&lt;wsp:rsid wsp:val=&quot;2FCB2E60&quot;/&gt;&lt;wsp:rsid wsp:val=&quot;2FF11189&quot;/&gt;&lt;wsp:rsid wsp:val=&quot;30166685&quot;/&gt;&lt;wsp:rsid wsp:val=&quot;30256C85&quot;/&gt;&lt;wsp:rsid wsp:val=&quot;30584578&quot;/&gt;&lt;wsp:rsid wsp:val=&quot;30814EEE&quot;/&gt;&lt;wsp:rsid wsp:val=&quot;30B1213C&quot;/&gt;&lt;wsp:rsid wsp:val=&quot;30DE6B20&quot;/&gt;&lt;wsp:rsid wsp:val=&quot;30EB4929&quot;/&gt;&lt;wsp:rsid wsp:val=&quot;30EB50B7&quot;/&gt;&lt;wsp:rsid wsp:val=&quot;30FF3D41&quot;/&gt;&lt;wsp:rsid wsp:val=&quot;315D3CB1&quot;/&gt;&lt;wsp:rsid wsp:val=&quot;32012B92&quot;/&gt;&lt;wsp:rsid wsp:val=&quot;32090739&quot;/&gt;&lt;wsp:rsid wsp:val=&quot;320B2190&quot;/&gt;&lt;wsp:rsid wsp:val=&quot;322F79DD&quot;/&gt;&lt;wsp:rsid wsp:val=&quot;323B7922&quot;/&gt;&lt;wsp:rsid wsp:val=&quot;324A05BB&quot;/&gt;&lt;wsp:rsid wsp:val=&quot;328F53BD&quot;/&gt;&lt;wsp:rsid wsp:val=&quot;32BB69E9&quot;/&gt;&lt;wsp:rsid wsp:val=&quot;33C57071&quot;/&gt;&lt;wsp:rsid wsp:val=&quot;33E4255C&quot;/&gt;&lt;wsp:rsid wsp:val=&quot;33F95CBC&quot;/&gt;&lt;wsp:rsid wsp:val=&quot;349171B1&quot;/&gt;&lt;wsp:rsid wsp:val=&quot;34D077F2&quot;/&gt;&lt;wsp:rsid wsp:val=&quot;34DB7025&quot;/&gt;&lt;wsp:rsid wsp:val=&quot;35B60E80&quot;/&gt;&lt;wsp:rsid wsp:val=&quot;35C3628B&quot;/&gt;&lt;wsp:rsid wsp:val=&quot;35FE7846&quot;/&gt;&lt;wsp:rsid wsp:val=&quot;361A37E9&quot;/&gt;&lt;wsp:rsid wsp:val=&quot;361E3EEB&quot;/&gt;&lt;wsp:rsid wsp:val=&quot;364A5D09&quot;/&gt;&lt;wsp:rsid wsp:val=&quot;367605F0&quot;/&gt;&lt;wsp:rsid wsp:val=&quot;36D137A6&quot;/&gt;&lt;wsp:rsid wsp:val=&quot;36DD5160&quot;/&gt;&lt;wsp:rsid wsp:val=&quot;372E2785&quot;/&gt;&lt;wsp:rsid wsp:val=&quot;37463790&quot;/&gt;&lt;wsp:rsid wsp:val=&quot;376E5C54&quot;/&gt;&lt;wsp:rsid wsp:val=&quot;378808AD&quot;/&gt;&lt;wsp:rsid wsp:val=&quot;37AD1C20&quot;/&gt;&lt;wsp:rsid wsp:val=&quot;37C61845&quot;/&gt;&lt;wsp:rsid wsp:val=&quot;37D77901&quot;/&gt;&lt;wsp:rsid wsp:val=&quot;37EE388E&quot;/&gt;&lt;wsp:rsid wsp:val=&quot;38501F01&quot;/&gt;&lt;wsp:rsid wsp:val=&quot;38633A78&quot;/&gt;&lt;wsp:rsid wsp:val=&quot;386D3E1A&quot;/&gt;&lt;wsp:rsid wsp:val=&quot;387900AE&quot;/&gt;&lt;wsp:rsid wsp:val=&quot;38D60219&quot;/&gt;&lt;wsp:rsid wsp:val=&quot;38EC22C3&quot;/&gt;&lt;wsp:rsid wsp:val=&quot;39034EF3&quot;/&gt;&lt;wsp:rsid wsp:val=&quot;391B11B7&quot;/&gt;&lt;wsp:rsid wsp:val=&quot;391E136B&quot;/&gt;&lt;wsp:rsid wsp:val=&quot;395753AC&quot;/&gt;&lt;wsp:rsid wsp:val=&quot;395B5602&quot;/&gt;&lt;wsp:rsid wsp:val=&quot;39803530&quot;/&gt;&lt;wsp:rsid wsp:val=&quot;398464ED&quot;/&gt;&lt;wsp:rsid wsp:val=&quot;39D70E7A&quot;/&gt;&lt;wsp:rsid wsp:val=&quot;39E24207&quot;/&gt;&lt;wsp:rsid wsp:val=&quot;39E75B0F&quot;/&gt;&lt;wsp:rsid wsp:val=&quot;3A9B7A40&quot;/&gt;&lt;wsp:rsid wsp:val=&quot;3ADE6844&quot;/&gt;&lt;wsp:rsid wsp:val=&quot;3ADF5690&quot;/&gt;&lt;wsp:rsid wsp:val=&quot;3BD55156&quot;/&gt;&lt;wsp:rsid wsp:val=&quot;3BF7433C&quot;/&gt;&lt;wsp:rsid wsp:val=&quot;3C0A065A&quot;/&gt;&lt;wsp:rsid wsp:val=&quot;3C394F22&quot;/&gt;&lt;wsp:rsid wsp:val=&quot;3C803199&quot;/&gt;&lt;wsp:rsid wsp:val=&quot;3C82518B&quot;/&gt;&lt;wsp:rsid wsp:val=&quot;3CB20C9B&quot;/&gt;&lt;wsp:rsid wsp:val=&quot;3CE50FE6&quot;/&gt;&lt;wsp:rsid wsp:val=&quot;3D1C097A&quot;/&gt;&lt;wsp:rsid wsp:val=&quot;3D2316E0&quot;/&gt;&lt;wsp:rsid wsp:val=&quot;3D242B1D&quot;/&gt;&lt;wsp:rsid wsp:val=&quot;3D28490E&quot;/&gt;&lt;wsp:rsid wsp:val=&quot;3D471932&quot;/&gt;&lt;wsp:rsid wsp:val=&quot;3D5A692C&quot;/&gt;&lt;wsp:rsid wsp:val=&quot;3D61225D&quot;/&gt;&lt;wsp:rsid wsp:val=&quot;3D873829&quot;/&gt;&lt;wsp:rsid wsp:val=&quot;3DBA3B41&quot;/&gt;&lt;wsp:rsid wsp:val=&quot;3DCC50BE&quot;/&gt;&lt;wsp:rsid wsp:val=&quot;3E452E47&quot;/&gt;&lt;wsp:rsid wsp:val=&quot;3E46706F&quot;/&gt;&lt;wsp:rsid wsp:val=&quot;3E9E3F5F&quot;/&gt;&lt;wsp:rsid wsp:val=&quot;3EA8374B&quot;/&gt;&lt;wsp:rsid wsp:val=&quot;3EA92A8E&quot;/&gt;&lt;wsp:rsid wsp:val=&quot;3EAF1D21&quot;/&gt;&lt;wsp:rsid wsp:val=&quot;3EB2505C&quot;/&gt;&lt;wsp:rsid wsp:val=&quot;3F2143BA&quot;/&gt;&lt;wsp:rsid wsp:val=&quot;3F2C7150&quot;/&gt;&lt;wsp:rsid wsp:val=&quot;3F2E5F44&quot;/&gt;&lt;wsp:rsid wsp:val=&quot;3F32004D&quot;/&gt;&lt;wsp:rsid wsp:val=&quot;3F3F1286&quot;/&gt;&lt;wsp:rsid wsp:val=&quot;3F5D1C02&quot;/&gt;&lt;wsp:rsid wsp:val=&quot;3F6F6320&quot;/&gt;&lt;wsp:rsid wsp:val=&quot;3FA61547&quot;/&gt;&lt;wsp:rsid wsp:val=&quot;3FD85F5B&quot;/&gt;&lt;wsp:rsid wsp:val=&quot;40066CE4&quot;/&gt;&lt;wsp:rsid wsp:val=&quot;404C3530&quot;/&gt;&lt;wsp:rsid wsp:val=&quot;40640F50&quot;/&gt;&lt;wsp:rsid wsp:val=&quot;4073053A&quot;/&gt;&lt;wsp:rsid wsp:val=&quot;40CC17E3&quot;/&gt;&lt;wsp:rsid wsp:val=&quot;40E87CEA&quot;/&gt;&lt;wsp:rsid wsp:val=&quot;411B35A5&quot;/&gt;&lt;wsp:rsid wsp:val=&quot;41303BBB&quot;/&gt;&lt;wsp:rsid wsp:val=&quot;414469D9&quot;/&gt;&lt;wsp:rsid wsp:val=&quot;4148460B&quot;/&gt;&lt;wsp:rsid wsp:val=&quot;414F1FB2&quot;/&gt;&lt;wsp:rsid wsp:val=&quot;415C28FA&quot;/&gt;&lt;wsp:rsid wsp:val=&quot;417838C4&quot;/&gt;&lt;wsp:rsid wsp:val=&quot;417E77D7&quot;/&gt;&lt;wsp:rsid wsp:val=&quot;41A14061&quot;/&gt;&lt;wsp:rsid wsp:val=&quot;41B23089&quot;/&gt;&lt;wsp:rsid wsp:val=&quot;41B93036&quot;/&gt;&lt;wsp:rsid wsp:val=&quot;42201F87&quot;/&gt;&lt;wsp:rsid wsp:val=&quot;4230506D&quot;/&gt;&lt;wsp:rsid wsp:val=&quot;42431FFC&quot;/&gt;&lt;wsp:rsid wsp:val=&quot;42643643&quot;/&gt;&lt;wsp:rsid wsp:val=&quot;4289555C&quot;/&gt;&lt;wsp:rsid wsp:val=&quot;42B06A84&quot;/&gt;&lt;wsp:rsid wsp:val=&quot;42D65CF8&quot;/&gt;&lt;wsp:rsid wsp:val=&quot;42DB2F6B&quot;/&gt;&lt;wsp:rsid wsp:val=&quot;42E3229E&quot;/&gt;&lt;wsp:rsid wsp:val=&quot;42F76746&quot;/&gt;&lt;wsp:rsid wsp:val=&quot;430F5A79&quot;/&gt;&lt;wsp:rsid wsp:val=&quot;432C688E&quot;/&gt;&lt;wsp:rsid wsp:val=&quot;437645EA&quot;/&gt;&lt;wsp:rsid wsp:val=&quot;438965F2&quot;/&gt;&lt;wsp:rsid wsp:val=&quot;438B49D7&quot;/&gt;&lt;wsp:rsid wsp:val=&quot;43964A00&quot;/&gt;&lt;wsp:rsid wsp:val=&quot;43A3194B&quot;/&gt;&lt;wsp:rsid wsp:val=&quot;43C004B9&quot;/&gt;&lt;wsp:rsid wsp:val=&quot;44046E3F&quot;/&gt;&lt;wsp:rsid wsp:val=&quot;44363274&quot;/&gt;&lt;wsp:rsid wsp:val=&quot;445C0110&quot;/&gt;&lt;wsp:rsid wsp:val=&quot;4466014D&quot;/&gt;&lt;wsp:rsid wsp:val=&quot;44895FC2&quot;/&gt;&lt;wsp:rsid wsp:val=&quot;44A60836&quot;/&gt;&lt;wsp:rsid wsp:val=&quot;44E90CFB&quot;/&gt;&lt;wsp:rsid wsp:val=&quot;457172A4&quot;/&gt;&lt;wsp:rsid wsp:val=&quot;45753B2D&quot;/&gt;&lt;wsp:rsid wsp:val=&quot;458E0791&quot;/&gt;&lt;wsp:rsid wsp:val=&quot;45B56A56&quot;/&gt;&lt;wsp:rsid wsp:val=&quot;45E94812&quot;/&gt;&lt;wsp:rsid wsp:val=&quot;4606306A&quot;/&gt;&lt;wsp:rsid wsp:val=&quot;46163AA9&quot;/&gt;&lt;wsp:rsid wsp:val=&quot;464B35C0&quot;/&gt;&lt;wsp:rsid wsp:val=&quot;46690A43&quot;/&gt;&lt;wsp:rsid wsp:val=&quot;46986D0B&quot;/&gt;&lt;wsp:rsid wsp:val=&quot;46B040D3&quot;/&gt;&lt;wsp:rsid wsp:val=&quot;46E9731D&quot;/&gt;&lt;wsp:rsid wsp:val=&quot;47251E42&quot;/&gt;&lt;wsp:rsid wsp:val=&quot;473B5CE5&quot;/&gt;&lt;wsp:rsid wsp:val=&quot;473C5719&quot;/&gt;&lt;wsp:rsid wsp:val=&quot;47A43544&quot;/&gt;&lt;wsp:rsid wsp:val=&quot;480B2B37&quot;/&gt;&lt;wsp:rsid wsp:val=&quot;48365F56&quot;/&gt;&lt;wsp:rsid wsp:val=&quot;48DA1197&quot;/&gt;&lt;wsp:rsid wsp:val=&quot;48EA7040&quot;/&gt;&lt;wsp:rsid wsp:val=&quot;49007441&quot;/&gt;&lt;wsp:rsid wsp:val=&quot;4960513D&quot;/&gt;&lt;wsp:rsid wsp:val=&quot;496E20EB&quot;/&gt;&lt;wsp:rsid wsp:val=&quot;49791FEE&quot;/&gt;&lt;wsp:rsid wsp:val=&quot;49A719CD&quot;/&gt;&lt;wsp:rsid wsp:val=&quot;49BD37FA&quot;/&gt;&lt;wsp:rsid wsp:val=&quot;49E56F19&quot;/&gt;&lt;wsp:rsid wsp:val=&quot;4A663C8A&quot;/&gt;&lt;wsp:rsid wsp:val=&quot;4A88627C&quot;/&gt;&lt;wsp:rsid wsp:val=&quot;4A8E2D13&quot;/&gt;&lt;wsp:rsid wsp:val=&quot;4ABE1DA7&quot;/&gt;&lt;wsp:rsid wsp:val=&quot;4AD62B21&quot;/&gt;&lt;wsp:rsid wsp:val=&quot;4AF137FB&quot;/&gt;&lt;wsp:rsid wsp:val=&quot;4B172495&quot;/&gt;&lt;wsp:rsid wsp:val=&quot;4B1E675F&quot;/&gt;&lt;wsp:rsid wsp:val=&quot;4B2C5D5B&quot;/&gt;&lt;wsp:rsid wsp:val=&quot;4B63183A&quot;/&gt;&lt;wsp:rsid wsp:val=&quot;4BB41E44&quot;/&gt;&lt;wsp:rsid wsp:val=&quot;4BD11B39&quot;/&gt;&lt;wsp:rsid wsp:val=&quot;4BE26767&quot;/&gt;&lt;wsp:rsid wsp:val=&quot;4BF5445B&quot;/&gt;&lt;wsp:rsid wsp:val=&quot;4C0A2CBF&quot;/&gt;&lt;wsp:rsid wsp:val=&quot;4C874D8E&quot;/&gt;&lt;wsp:rsid wsp:val=&quot;4C897C4A&quot;/&gt;&lt;wsp:rsid wsp:val=&quot;4CAF4D1F&quot;/&gt;&lt;wsp:rsid wsp:val=&quot;4CDB2216&quot;/&gt;&lt;wsp:rsid wsp:val=&quot;4D0C1539&quot;/&gt;&lt;wsp:rsid wsp:val=&quot;4D454300&quot;/&gt;&lt;wsp:rsid wsp:val=&quot;4D564FE0&quot;/&gt;&lt;wsp:rsid wsp:val=&quot;4D5C02C6&quot;/&gt;&lt;wsp:rsid wsp:val=&quot;4D6B0E41&quot;/&gt;&lt;wsp:rsid wsp:val=&quot;4D947E50&quot;/&gt;&lt;wsp:rsid wsp:val=&quot;4D9A5CA2&quot;/&gt;&lt;wsp:rsid wsp:val=&quot;4DA0333B&quot;/&gt;&lt;wsp:rsid wsp:val=&quot;4DAE0055&quot;/&gt;&lt;wsp:rsid wsp:val=&quot;4DD24C72&quot;/&gt;&lt;wsp:rsid wsp:val=&quot;4DE04782&quot;/&gt;&lt;wsp:rsid wsp:val=&quot;4DF156F4&quot;/&gt;&lt;wsp:rsid wsp:val=&quot;4E0C1458&quot;/&gt;&lt;wsp:rsid wsp:val=&quot;4E443E74&quot;/&gt;&lt;wsp:rsid wsp:val=&quot;4E666BE0&quot;/&gt;&lt;wsp:rsid wsp:val=&quot;4EA24DAE&quot;/&gt;&lt;wsp:rsid wsp:val=&quot;4EE20D1B&quot;/&gt;&lt;wsp:rsid wsp:val=&quot;4EE41921&quot;/&gt;&lt;wsp:rsid wsp:val=&quot;4EFD18C0&quot;/&gt;&lt;wsp:rsid wsp:val=&quot;4EFE757C&quot;/&gt;&lt;wsp:rsid wsp:val=&quot;4F015442&quot;/&gt;&lt;wsp:rsid wsp:val=&quot;4F1C0FF8&quot;/&gt;&lt;wsp:rsid wsp:val=&quot;4F3978A8&quot;/&gt;&lt;wsp:rsid wsp:val=&quot;4F4A021A&quot;/&gt;&lt;wsp:rsid wsp:val=&quot;4FD02DDC&quot;/&gt;&lt;wsp:rsid wsp:val=&quot;4FD469DF&quot;/&gt;&lt;wsp:rsid wsp:val=&quot;4FE45624&quot;/&gt;&lt;wsp:rsid wsp:val=&quot;504E1890&quot;/&gt;&lt;wsp:rsid wsp:val=&quot;505A1A55&quot;/&gt;&lt;wsp:rsid wsp:val=&quot;50791A7F&quot;/&gt;&lt;wsp:rsid wsp:val=&quot;5094364E&quot;/&gt;&lt;wsp:rsid wsp:val=&quot;50A46DF1&quot;/&gt;&lt;wsp:rsid wsp:val=&quot;50C20AB4&quot;/&gt;&lt;wsp:rsid wsp:val=&quot;50D0060B&quot;/&gt;&lt;wsp:rsid wsp:val=&quot;50D96D03&quot;/&gt;&lt;wsp:rsid wsp:val=&quot;510E0B92&quot;/&gt;&lt;wsp:rsid wsp:val=&quot;51265078&quot;/&gt;&lt;wsp:rsid wsp:val=&quot;513B3915&quot;/&gt;&lt;wsp:rsid wsp:val=&quot;5150479E&quot;/&gt;&lt;wsp:rsid wsp:val=&quot;515917B1&quot;/&gt;&lt;wsp:rsid wsp:val=&quot;51617ACD&quot;/&gt;&lt;wsp:rsid wsp:val=&quot;519E3D7D&quot;/&gt;&lt;wsp:rsid wsp:val=&quot;525846B2&quot;/&gt;&lt;wsp:rsid wsp:val=&quot;528A3BDD&quot;/&gt;&lt;wsp:rsid wsp:val=&quot;528C263E&quot;/&gt;&lt;wsp:rsid wsp:val=&quot;52EF29EA&quot;/&gt;&lt;wsp:rsid wsp:val=&quot;53076EE6&quot;/&gt;&lt;wsp:rsid wsp:val=&quot;53430DF5&quot;/&gt;&lt;wsp:rsid wsp:val=&quot;53587C56&quot;/&gt;&lt;wsp:rsid wsp:val=&quot;53826273&quot;/&gt;&lt;wsp:rsid wsp:val=&quot;53DF3BE1&quot;/&gt;&lt;wsp:rsid wsp:val=&quot;54172B81&quot;/&gt;&lt;wsp:rsid wsp:val=&quot;541A66F2&quot;/&gt;&lt;wsp:rsid wsp:val=&quot;54216C5A&quot;/&gt;&lt;wsp:rsid wsp:val=&quot;54806771&quot;/&gt;&lt;wsp:rsid wsp:val=&quot;54D4025F&quot;/&gt;&lt;wsp:rsid wsp:val=&quot;54D95948&quot;/&gt;&lt;wsp:rsid wsp:val=&quot;551F3E54&quot;/&gt;&lt;wsp:rsid wsp:val=&quot;55444A80&quot;/&gt;&lt;wsp:rsid wsp:val=&quot;55545112&quot;/&gt;&lt;wsp:rsid wsp:val=&quot;558701FB&quot;/&gt;&lt;wsp:rsid wsp:val=&quot;55874F40&quot;/&gt;&lt;wsp:rsid wsp:val=&quot;558B306E&quot;/&gt;&lt;wsp:rsid wsp:val=&quot;55994037&quot;/&gt;&lt;wsp:rsid wsp:val=&quot;55D54FF2&quot;/&gt;&lt;wsp:rsid wsp:val=&quot;55DF4E88&quot;/&gt;&lt;wsp:rsid wsp:val=&quot;560321F1&quot;/&gt;&lt;wsp:rsid wsp:val=&quot;563C1221&quot;/&gt;&lt;wsp:rsid wsp:val=&quot;566B5300&quot;/&gt;&lt;wsp:rsid wsp:val=&quot;56CF135A&quot;/&gt;&lt;wsp:rsid wsp:val=&quot;57016FCE&quot;/&gt;&lt;wsp:rsid wsp:val=&quot;57100045&quot;/&gt;&lt;wsp:rsid wsp:val=&quot;57716378&quot;/&gt;&lt;wsp:rsid wsp:val=&quot;577225FD&quot;/&gt;&lt;wsp:rsid wsp:val=&quot;57BB25E4&quot;/&gt;&lt;wsp:rsid wsp:val=&quot;57C62553&quot;/&gt;&lt;wsp:rsid wsp:val=&quot;57DA54CC&quot;/&gt;&lt;wsp:rsid wsp:val=&quot;58533AD8&quot;/&gt;&lt;wsp:rsid wsp:val=&quot;589B29E5&quot;/&gt;&lt;wsp:rsid wsp:val=&quot;58A45951&quot;/&gt;&lt;wsp:rsid wsp:val=&quot;58C32CA1&quot;/&gt;&lt;wsp:rsid wsp:val=&quot;59360835&quot;/&gt;&lt;wsp:rsid wsp:val=&quot;59403ACB&quot;/&gt;&lt;wsp:rsid wsp:val=&quot;59887D89&quot;/&gt;&lt;wsp:rsid wsp:val=&quot;59A43E68&quot;/&gt;&lt;wsp:rsid wsp:val=&quot;59BB0B13&quot;/&gt;&lt;wsp:rsid wsp:val=&quot;59C60638&quot;/&gt;&lt;wsp:rsid wsp:val=&quot;5A2B1AF4&quot;/&gt;&lt;wsp:rsid wsp:val=&quot;5A586AE9&quot;/&gt;&lt;wsp:rsid wsp:val=&quot;5A6C1DCF&quot;/&gt;&lt;wsp:rsid wsp:val=&quot;5AB853FB&quot;/&gt;&lt;wsp:rsid wsp:val=&quot;5AC819D7&quot;/&gt;&lt;wsp:rsid wsp:val=&quot;5B133ED4&quot;/&gt;&lt;wsp:rsid wsp:val=&quot;5B380613&quot;/&gt;&lt;wsp:rsid wsp:val=&quot;5BC06FEA&quot;/&gt;&lt;wsp:rsid wsp:val=&quot;5BC21DE2&quot;/&gt;&lt;wsp:rsid wsp:val=&quot;5C216719&quot;/&gt;&lt;wsp:rsid wsp:val=&quot;5C6F37EE&quot;/&gt;&lt;wsp:rsid wsp:val=&quot;5C7D32EC&quot;/&gt;&lt;wsp:rsid wsp:val=&quot;5C915128&quot;/&gt;&lt;wsp:rsid wsp:val=&quot;5CAC7477&quot;/&gt;&lt;wsp:rsid wsp:val=&quot;5CC13055&quot;/&gt;&lt;wsp:rsid wsp:val=&quot;5D6041F0&quot;/&gt;&lt;wsp:rsid wsp:val=&quot;5D8E1C21&quot;/&gt;&lt;wsp:rsid wsp:val=&quot;5D9777AC&quot;/&gt;&lt;wsp:rsid wsp:val=&quot;5DB5566F&quot;/&gt;&lt;wsp:rsid wsp:val=&quot;5DC61CB0&quot;/&gt;&lt;wsp:rsid wsp:val=&quot;5DDD778D&quot;/&gt;&lt;wsp:rsid wsp:val=&quot;5E53313F&quot;/&gt;&lt;wsp:rsid wsp:val=&quot;5E6A5B56&quot;/&gt;&lt;wsp:rsid wsp:val=&quot;5E6B6793&quot;/&gt;&lt;wsp:rsid wsp:val=&quot;5E8E63D7&quot;/&gt;&lt;wsp:rsid wsp:val=&quot;5EAF7EA1&quot;/&gt;&lt;wsp:rsid wsp:val=&quot;5EEE0ABF&quot;/&gt;&lt;wsp:rsid wsp:val=&quot;5EF5098B&quot;/&gt;&lt;wsp:rsid wsp:val=&quot;5EFA0F31&quot;/&gt;&lt;wsp:rsid wsp:val=&quot;5F1178F8&quot;/&gt;&lt;wsp:rsid wsp:val=&quot;5F262F21&quot;/&gt;&lt;wsp:rsid wsp:val=&quot;5F7D5CBA&quot;/&gt;&lt;wsp:rsid wsp:val=&quot;602500CC&quot;/&gt;&lt;wsp:rsid wsp:val=&quot;60446032&quot;/&gt;&lt;wsp:rsid wsp:val=&quot;60523E2E&quot;/&gt;&lt;wsp:rsid wsp:val=&quot;60554E98&quot;/&gt;&lt;wsp:rsid wsp:val=&quot;6064577E&quot;/&gt;&lt;wsp:rsid wsp:val=&quot;6075356F&quot;/&gt;&lt;wsp:rsid wsp:val=&quot;60956993&quot;/&gt;&lt;wsp:rsid wsp:val=&quot;60AF47F0&quot;/&gt;&lt;wsp:rsid wsp:val=&quot;60D922BB&quot;/&gt;&lt;wsp:rsid wsp:val=&quot;60DE6DBC&quot;/&gt;&lt;wsp:rsid wsp:val=&quot;60F76F71&quot;/&gt;&lt;wsp:rsid wsp:val=&quot;617D013C&quot;/&gt;&lt;wsp:rsid wsp:val=&quot;618A61A7&quot;/&gt;&lt;wsp:rsid wsp:val=&quot;619209EF&quot;/&gt;&lt;wsp:rsid wsp:val=&quot;61D77161&quot;/&gt;&lt;wsp:rsid wsp:val=&quot;6200301E&quot;/&gt;&lt;wsp:rsid wsp:val=&quot;62190BF6&quot;/&gt;&lt;wsp:rsid wsp:val=&quot;622005E5&quot;/&gt;&lt;wsp:rsid wsp:val=&quot;624A6098&quot;/&gt;&lt;wsp:rsid wsp:val=&quot;626C102D&quot;/&gt;&lt;wsp:rsid wsp:val=&quot;62725AD7&quot;/&gt;&lt;wsp:rsid wsp:val=&quot;62793237&quot;/&gt;&lt;wsp:rsid wsp:val=&quot;62BC19B3&quot;/&gt;&lt;wsp:rsid wsp:val=&quot;62BF0B18&quot;/&gt;&lt;wsp:rsid wsp:val=&quot;62D83FA6&quot;/&gt;&lt;wsp:rsid wsp:val=&quot;62E46A4F&quot;/&gt;&lt;wsp:rsid wsp:val=&quot;62E544B1&quot;/&gt;&lt;wsp:rsid wsp:val=&quot;632A0181&quot;/&gt;&lt;wsp:rsid wsp:val=&quot;6347539C&quot;/&gt;&lt;wsp:rsid wsp:val=&quot;635F0FD9&quot;/&gt;&lt;wsp:rsid wsp:val=&quot;638A1FD1&quot;/&gt;&lt;wsp:rsid wsp:val=&quot;63966621&quot;/&gt;&lt;wsp:rsid wsp:val=&quot;63BE314B&quot;/&gt;&lt;wsp:rsid wsp:val=&quot;64555B88&quot;/&gt;&lt;wsp:rsid wsp:val=&quot;64604C75&quot;/&gt;&lt;wsp:rsid wsp:val=&quot;64B4442E&quot;/&gt;&lt;wsp:rsid wsp:val=&quot;64D47D6D&quot;/&gt;&lt;wsp:rsid wsp:val=&quot;64E073FD&quot;/&gt;&lt;wsp:rsid wsp:val=&quot;65930436&quot;/&gt;&lt;wsp:rsid wsp:val=&quot;65D82284&quot;/&gt;&lt;wsp:rsid wsp:val=&quot;66074444&quot;/&gt;&lt;wsp:rsid wsp:val=&quot;661C3B92&quot;/&gt;&lt;wsp:rsid wsp:val=&quot;66926AF2&quot;/&gt;&lt;wsp:rsid wsp:val=&quot;66975888&quot;/&gt;&lt;wsp:rsid wsp:val=&quot;669763E5&quot;/&gt;&lt;wsp:rsid wsp:val=&quot;66FD27C7&quot;/&gt;&lt;wsp:rsid wsp:val=&quot;675D1430&quot;/&gt;&lt;wsp:rsid wsp:val=&quot;67892399&quot;/&gt;&lt;wsp:rsid wsp:val=&quot;67B57718&quot;/&gt;&lt;wsp:rsid wsp:val=&quot;67BB4055&quot;/&gt;&lt;wsp:rsid wsp:val=&quot;67E34D51&quot;/&gt;&lt;wsp:rsid wsp:val=&quot;68114B61&quot;/&gt;&lt;wsp:rsid wsp:val=&quot;681778A7&quot;/&gt;&lt;wsp:rsid wsp:val=&quot;687E32F6&quot;/&gt;&lt;wsp:rsid wsp:val=&quot;68805770&quot;/&gt;&lt;wsp:rsid wsp:val=&quot;689B7DBE&quot;/&gt;&lt;wsp:rsid wsp:val=&quot;68AF62D4&quot;/&gt;&lt;wsp:rsid wsp:val=&quot;69392A21&quot;/&gt;&lt;wsp:rsid wsp:val=&quot;69431129&quot;/&gt;&lt;wsp:rsid wsp:val=&quot;699345C0&quot;/&gt;&lt;wsp:rsid wsp:val=&quot;69E111D1&quot;/&gt;&lt;wsp:rsid wsp:val=&quot;6A1B73D0&quot;/&gt;&lt;wsp:rsid wsp:val=&quot;6A2054EB&quot;/&gt;&lt;wsp:rsid wsp:val=&quot;6A57693B&quot;/&gt;&lt;wsp:rsid wsp:val=&quot;6B220F26&quot;/&gt;&lt;wsp:rsid wsp:val=&quot;6B3D4802&quot;/&gt;&lt;wsp:rsid wsp:val=&quot;6B550C89&quot;/&gt;&lt;wsp:rsid wsp:val=&quot;6B5D2D83&quot;/&gt;&lt;wsp:rsid wsp:val=&quot;6B686860&quot;/&gt;&lt;wsp:rsid wsp:val=&quot;6BF32254&quot;/&gt;&lt;wsp:rsid wsp:val=&quot;6C2E1B76&quot;/&gt;&lt;wsp:rsid wsp:val=&quot;6C4D10CA&quot;/&gt;&lt;wsp:rsid wsp:val=&quot;6C620DCD&quot;/&gt;&lt;wsp:rsid wsp:val=&quot;6C632E71&quot;/&gt;&lt;wsp:rsid wsp:val=&quot;6C98402E&quot;/&gt;&lt;wsp:rsid wsp:val=&quot;6CAF3346&quot;/&gt;&lt;wsp:rsid wsp:val=&quot;6CCD71DF&quot;/&gt;&lt;wsp:rsid wsp:val=&quot;6D0E3FD4&quot;/&gt;&lt;wsp:rsid wsp:val=&quot;6D4274C1&quot;/&gt;&lt;wsp:rsid wsp:val=&quot;6D477FCC&quot;/&gt;&lt;wsp:rsid wsp:val=&quot;6DC50278&quot;/&gt;&lt;wsp:rsid wsp:val=&quot;6DCD09F2&quot;/&gt;&lt;wsp:rsid wsp:val=&quot;6DCF3424&quot;/&gt;&lt;wsp:rsid wsp:val=&quot;6E302025&quot;/&gt;&lt;wsp:rsid wsp:val=&quot;6E4B6AAD&quot;/&gt;&lt;wsp:rsid wsp:val=&quot;6E4E3DD7&quot;/&gt;&lt;wsp:rsid wsp:val=&quot;6E5A7ED4&quot;/&gt;&lt;wsp:rsid wsp:val=&quot;6E805D8C&quot;/&gt;&lt;wsp:rsid wsp:val=&quot;6EC06C9B&quot;/&gt;&lt;wsp:rsid wsp:val=&quot;6EC06F25&quot;/&gt;&lt;wsp:rsid wsp:val=&quot;6EEE0A94&quot;/&gt;&lt;wsp:rsid wsp:val=&quot;6F0240E9&quot;/&gt;&lt;wsp:rsid wsp:val=&quot;6F2B100A&quot;/&gt;&lt;wsp:rsid wsp:val=&quot;6F4B0FCB&quot;/&gt;&lt;wsp:rsid wsp:val=&quot;6F4C3B6C&quot;/&gt;&lt;wsp:rsid wsp:val=&quot;6F4E2339&quot;/&gt;&lt;wsp:rsid wsp:val=&quot;6F8977E8&quot;/&gt;&lt;wsp:rsid wsp:val=&quot;6FB2545B&quot;/&gt;&lt;wsp:rsid wsp:val=&quot;6FC12AAE&quot;/&gt;&lt;wsp:rsid wsp:val=&quot;700225B6&quot;/&gt;&lt;wsp:rsid wsp:val=&quot;703F3B79&quot;/&gt;&lt;wsp:rsid wsp:val=&quot;70482B4A&quot;/&gt;&lt;wsp:rsid wsp:val=&quot;70915B62&quot;/&gt;&lt;wsp:rsid wsp:val=&quot;709B1DD5&quot;/&gt;&lt;wsp:rsid wsp:val=&quot;70B03826&quot;/&gt;&lt;wsp:rsid wsp:val=&quot;70FE253C&quot;/&gt;&lt;wsp:rsid wsp:val=&quot;710836C0&quot;/&gt;&lt;wsp:rsid wsp:val=&quot;710C4641&quot;/&gt;&lt;wsp:rsid wsp:val=&quot;716021C0&quot;/&gt;&lt;wsp:rsid wsp:val=&quot;71771F2B&quot;/&gt;&lt;wsp:rsid wsp:val=&quot;719B7959&quot;/&gt;&lt;wsp:rsid wsp:val=&quot;71A301A4&quot;/&gt;&lt;wsp:rsid wsp:val=&quot;71B81EEE&quot;/&gt;&lt;wsp:rsid wsp:val=&quot;71E84A17&quot;/&gt;&lt;wsp:rsid wsp:val=&quot;71F24CB9&quot;/&gt;&lt;wsp:rsid wsp:val=&quot;721249BC&quot;/&gt;&lt;wsp:rsid wsp:val=&quot;72153AEA&quot;/&gt;&lt;wsp:rsid wsp:val=&quot;72726D3F&quot;/&gt;&lt;wsp:rsid wsp:val=&quot;72801F33&quot;/&gt;&lt;wsp:rsid wsp:val=&quot;72D900D9&quot;/&gt;&lt;wsp:rsid wsp:val=&quot;73013B75&quot;/&gt;&lt;wsp:rsid wsp:val=&quot;73383393&quot;/&gt;&lt;wsp:rsid wsp:val=&quot;735B5491&quot;/&gt;&lt;wsp:rsid wsp:val=&quot;736E350B&quot;/&gt;&lt;wsp:rsid wsp:val=&quot;73B128F9&quot;/&gt;&lt;wsp:rsid wsp:val=&quot;73C71D1C&quot;/&gt;&lt;wsp:rsid wsp:val=&quot;740E767B&quot;/&gt;&lt;wsp:rsid wsp:val=&quot;74131440&quot;/&gt;&lt;wsp:rsid wsp:val=&quot;741A6855&quot;/&gt;&lt;wsp:rsid wsp:val=&quot;74483378&quot;/&gt;&lt;wsp:rsid wsp:val=&quot;74620165&quot;/&gt;&lt;wsp:rsid wsp:val=&quot;74A86B4B&quot;/&gt;&lt;wsp:rsid wsp:val=&quot;752E34EE&quot;/&gt;&lt;wsp:rsid wsp:val=&quot;75631640&quot;/&gt;&lt;wsp:rsid wsp:val=&quot;757A11FB&quot;/&gt;&lt;wsp:rsid wsp:val=&quot;759F44A6&quot;/&gt;&lt;wsp:rsid wsp:val=&quot;75E821DF&quot;/&gt;&lt;wsp:rsid wsp:val=&quot;7624661D&quot;/&gt;&lt;wsp:rsid wsp:val=&quot;76613B45&quot;/&gt;&lt;wsp:rsid wsp:val=&quot;76794489&quot;/&gt;&lt;wsp:rsid wsp:val=&quot;76844423&quot;/&gt;&lt;wsp:rsid wsp:val=&quot;769B4760&quot;/&gt;&lt;wsp:rsid wsp:val=&quot;76A1621B&quot;/&gt;&lt;wsp:rsid wsp:val=&quot;76A61249&quot;/&gt;&lt;wsp:rsid wsp:val=&quot;76BE76BD&quot;/&gt;&lt;wsp:rsid wsp:val=&quot;77125AB5&quot;/&gt;&lt;wsp:rsid wsp:val=&quot;776B66F1&quot;/&gt;&lt;wsp:rsid wsp:val=&quot;77A551E4&quot;/&gt;&lt;wsp:rsid wsp:val=&quot;77DC5F58&quot;/&gt;&lt;wsp:rsid wsp:val=&quot;77E462BC&quot;/&gt;&lt;wsp:rsid wsp:val=&quot;7807225B&quot;/&gt;&lt;wsp:rsid wsp:val=&quot;7853086D&quot;/&gt;&lt;wsp:rsid wsp:val=&quot;787B24B3&quot;/&gt;&lt;wsp:rsid wsp:val=&quot;78BE2892&quot;/&gt;&lt;wsp:rsid wsp:val=&quot;79487F3B&quot;/&gt;&lt;wsp:rsid wsp:val=&quot;7958034D&quot;/&gt;&lt;wsp:rsid wsp:val=&quot;79874F65&quot;/&gt;&lt;wsp:rsid wsp:val=&quot;79AD754C&quot;/&gt;&lt;wsp:rsid wsp:val=&quot;79CE6960&quot;/&gt;&lt;wsp:rsid wsp:val=&quot;79E34EA8&quot;/&gt;&lt;wsp:rsid wsp:val=&quot;7A216E9D&quot;/&gt;&lt;wsp:rsid wsp:val=&quot;7A623047&quot;/&gt;&lt;wsp:rsid wsp:val=&quot;7AC34186&quot;/&gt;&lt;wsp:rsid wsp:val=&quot;7ACE4DA3&quot;/&gt;&lt;wsp:rsid wsp:val=&quot;7AD207C3&quot;/&gt;&lt;wsp:rsid wsp:val=&quot;7B534B92&quot;/&gt;&lt;wsp:rsid wsp:val=&quot;7B664C07&quot;/&gt;&lt;wsp:rsid wsp:val=&quot;7BA274E7&quot;/&gt;&lt;wsp:rsid wsp:val=&quot;7BA975D4&quot;/&gt;&lt;wsp:rsid wsp:val=&quot;7BBD73A6&quot;/&gt;&lt;wsp:rsid wsp:val=&quot;7BCD1D9C&quot;/&gt;&lt;wsp:rsid wsp:val=&quot;7BEF1581&quot;/&gt;&lt;wsp:rsid wsp:val=&quot;7C1049C9&quot;/&gt;&lt;wsp:rsid wsp:val=&quot;7C17313A&quot;/&gt;&lt;wsp:rsid wsp:val=&quot;7C5A20B4&quot;/&gt;&lt;wsp:rsid wsp:val=&quot;7C945FA9&quot;/&gt;&lt;wsp:rsid wsp:val=&quot;7CD603FC&quot;/&gt;&lt;wsp:rsid wsp:val=&quot;7D1A439B&quot;/&gt;&lt;wsp:rsid wsp:val=&quot;7D1A788D&quot;/&gt;&lt;wsp:rsid wsp:val=&quot;7D83567A&quot;/&gt;&lt;wsp:rsid wsp:val=&quot;7D8D57CF&quot;/&gt;&lt;wsp:rsid wsp:val=&quot;7D955548&quot;/&gt;&lt;wsp:rsid wsp:val=&quot;7D996BBB&quot;/&gt;&lt;wsp:rsid wsp:val=&quot;7D9D7130&quot;/&gt;&lt;wsp:rsid wsp:val=&quot;7DA43D6F&quot;/&gt;&lt;wsp:rsid wsp:val=&quot;7DDC7E18&quot;/&gt;&lt;wsp:rsid wsp:val=&quot;7E287490&quot;/&gt;&lt;wsp:rsid wsp:val=&quot;7E4055F7&quot;/&gt;&lt;wsp:rsid wsp:val=&quot;7E6E79C9&quot;/&gt;&lt;wsp:rsid wsp:val=&quot;7E7D5A15&quot;/&gt;&lt;wsp:rsid wsp:val=&quot;7E9919F4&quot;/&gt;&lt;wsp:rsid wsp:val=&quot;7EE20BA5&quot;/&gt;&lt;wsp:rsid wsp:val=&quot;7EE21A8E&quot;/&gt;&lt;wsp:rsid wsp:val=&quot;7EFF63BE&quot;/&gt;&lt;wsp:rsid wsp:val=&quot;7F122845&quot;/&gt;&lt;wsp:rsid wsp:val=&quot;7F1E3054&quot;/&gt;&lt;wsp:rsid wsp:val=&quot;7F374D05&quot;/&gt;&lt;wsp:rsid wsp:val=&quot;7F4767F7&quot;/&gt;&lt;wsp:rsid wsp:val=&quot;7F490F62&quot;/&gt;&lt;wsp:rsid wsp:val=&quot;7F5044D1&quot;/&gt;&lt;wsp:rsid wsp:val=&quot;7F644169&quot;/&gt;&lt;wsp:rsid wsp:val=&quot;7F6F24D2&quot;/&gt;&lt;wsp:rsid wsp:val=&quot;7FA73E60&quot;/&gt;&lt;wsp:rsid wsp:val=&quot;7FC866DA&quot;/&gt;&lt;wsp:rsid wsp:val=&quot;7FE109F3&quot;/&gt;&lt;wsp:rsid wsp:val=&quot;7FE33A33&quot;/&gt;&lt;wsp:rsid wsp:val=&quot;7FE8614A&quot;/&gt;&lt;/wsp:rsids&gt;&lt;/w:docPr&gt;&lt;w:body&gt;&lt;wx:sect&gt;&lt;w:p wsp:rsidR=&quot;00000000&quot; wsp:rsidRDefault=&quot;00235AD1&quot; wsp:rsidP=&quot;00235AD1&quot;&gt;&lt;w:pPr&gt;&lt;w:ind w:first-line=&quot;480&quot;/&gt;&lt;/w:pPr&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S&lt;/m:t&gt;&lt;/m:r&gt;&lt;/m:e&gt;&lt;m:sub&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7.0&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su&lt;/m:t&gt;&lt;/m:r&gt;&lt;/m:sub&gt;&lt;/m:sSub&gt;&lt;m:r&gt;&lt;w:rPr&gt;&lt;w:rFonts w:ascii=&quot;Cambria Math&quot; w:h-ansi=&quot;Cambria Math&quot;/&gt;&lt;wx:font wx:val=&quot;Cambria Math&quot;/&gt;&lt;w:i/&gt;&lt;/w:rPr&gt;&lt;m:t&gt;-7.0&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
            <v:path/>
            <v:fill on="f" focussize="0,0"/>
            <v:stroke on="f" joinstyle="miter"/>
            <v:imagedata r:id="rId88" chromakey="#FFFFFF" o:title=""/>
            <o:lock v:ext="edit" aspectratio="t"/>
            <w10:wrap type="none"/>
            <w10:anchorlock/>
          </v:shape>
        </w:pict>
      </w:r>
      <w:r>
        <w:rPr>
          <w:color w:val="auto"/>
        </w:rPr>
        <w:instrText xml:space="preserve"> </w:instrText>
      </w:r>
      <w:r>
        <w:rPr>
          <w:color w:val="auto"/>
        </w:rPr>
        <w:fldChar w:fldCharType="separate"/>
      </w:r>
      <w:r>
        <w:rPr>
          <w:color w:val="auto"/>
        </w:rPr>
        <w:pict>
          <v:shape id="_x0000_i1039" o:spt="75" type="#_x0000_t75" style="height:30pt;width:7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90&quot;/&gt;&lt;w:displayBackgroundShape/&gt;&lt;w:doNotEmbedSystemFonts/&gt;&lt;w:hideSpellingErrors/&gt;&lt;w:stylePaneFormatFilter w:val=&quot;3F01&quot;/&gt;&lt;w:defaultTabStop w:val=&quot;420&quot;/&gt;&lt;w:drawingGridHorizontalSpacing w:val=&quot;120&quot;/&gt;&lt;w:drawingGridVerticalSpacing w:val=&quot;333&quot;/&gt;&lt;w:displayHorizontalDrawingGridEvery w:val=&quot;2&quot;/&gt;&lt;w:characterSpacingControl w:val=&quot;CompressPunctuation&quot;/&gt;&lt;w:webPageEncoding w:val=&quot;x-cp20936&quot;/&gt;&lt;w:optimizeForBrowser/&gt;&lt;w:allowPNG/&gt;&lt;w:savePreviewPicture/&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doNotExpandShiftReturn/&gt;&lt;w:adjustLineHeightInTable/&gt;&lt;w:breakWrappedTables/&gt;&lt;w:snapToGridInCell/&gt;&lt;w:dontGrowAutofit/&gt;&lt;w:useFELayout/&gt;&lt;/w:compat&gt;&lt;w:docVars&gt;&lt;w:docVar w:name=&quot;commondata&quot; w:val=&quot;eyJoZGlkIjoiNjk0ZjU2YzNkNWFhOWM4OGMwNGRjZTIyNDMxOWQwZDYifQ==&quot;/&gt;&lt;/w:docVars&gt;&lt;wsp:rsids&gt;&lt;wsp:rsidRoot wsp:val=&quot;00172A27&quot;/&gt;&lt;wsp:rsid wsp:val=&quot;0000022F&quot;/&gt;&lt;wsp:rsid wsp:val=&quot;00000384&quot;/&gt;&lt;wsp:rsid wsp:val=&quot;000004DF&quot;/&gt;&lt;wsp:rsid wsp:val=&quot;00000A0B&quot;/&gt;&lt;wsp:rsid wsp:val=&quot;00000A3E&quot;/&gt;&lt;wsp:rsid wsp:val=&quot;00000B73&quot;/&gt;&lt;wsp:rsid wsp:val=&quot;00000CAA&quot;/&gt;&lt;wsp:rsid wsp:val=&quot;000011E2&quot;/&gt;&lt;wsp:rsid wsp:val=&quot;0000150C&quot;/&gt;&lt;wsp:rsid wsp:val=&quot;000015BC&quot;/&gt;&lt;wsp:rsid wsp:val=&quot;000015EC&quot;/&gt;&lt;wsp:rsid wsp:val=&quot;000017CA&quot;/&gt;&lt;wsp:rsid wsp:val=&quot;00001C36&quot;/&gt;&lt;wsp:rsid wsp:val=&quot;00001C48&quot;/&gt;&lt;wsp:rsid wsp:val=&quot;0000219B&quot;/&gt;&lt;wsp:rsid wsp:val=&quot;00002E2B&quot;/&gt;&lt;wsp:rsid wsp:val=&quot;00003024&quot;/&gt;&lt;wsp:rsid wsp:val=&quot;000030BE&quot;/&gt;&lt;wsp:rsid wsp:val=&quot;00003138&quot;/&gt;&lt;wsp:rsid wsp:val=&quot;0000336F&quot;/&gt;&lt;wsp:rsid wsp:val=&quot;000038D6&quot;/&gt;&lt;wsp:rsid wsp:val=&quot;00003B70&quot;/&gt;&lt;wsp:rsid wsp:val=&quot;00003C50&quot;/&gt;&lt;wsp:rsid wsp:val=&quot;00003CAD&quot;/&gt;&lt;wsp:rsid wsp:val=&quot;00003D71&quot;/&gt;&lt;wsp:rsid wsp:val=&quot;00003DDB&quot;/&gt;&lt;wsp:rsid wsp:val=&quot;00003E4D&quot;/&gt;&lt;wsp:rsid wsp:val=&quot;0000401F&quot;/&gt;&lt;wsp:rsid wsp:val=&quot;00005163&quot;/&gt;&lt;wsp:rsid wsp:val=&quot;0000523C&quot;/&gt;&lt;wsp:rsid wsp:val=&quot;000052E2&quot;/&gt;&lt;wsp:rsid wsp:val=&quot;00005688&quot;/&gt;&lt;wsp:rsid wsp:val=&quot;00005F62&quot;/&gt;&lt;wsp:rsid wsp:val=&quot;00006049&quot;/&gt;&lt;wsp:rsid wsp:val=&quot;00006447&quot;/&gt;&lt;wsp:rsid wsp:val=&quot;0000644B&quot;/&gt;&lt;wsp:rsid wsp:val=&quot;0000682C&quot;/&gt;&lt;wsp:rsid wsp:val=&quot;00006B6F&quot;/&gt;&lt;wsp:rsid wsp:val=&quot;000076B4&quot;/&gt;&lt;wsp:rsid wsp:val=&quot;00007713&quot;/&gt;&lt;wsp:rsid wsp:val=&quot;00007BDE&quot;/&gt;&lt;wsp:rsid wsp:val=&quot;00007DAF&quot;/&gt;&lt;wsp:rsid wsp:val=&quot;00010469&quot;/&gt;&lt;wsp:rsid wsp:val=&quot;00010982&quot;/&gt;&lt;wsp:rsid wsp:val=&quot;00010A0D&quot;/&gt;&lt;wsp:rsid wsp:val=&quot;00010ADF&quot;/&gt;&lt;wsp:rsid wsp:val=&quot;0001100E&quot;/&gt;&lt;wsp:rsid wsp:val=&quot;000115C2&quot;/&gt;&lt;wsp:rsid wsp:val=&quot;00011B14&quot;/&gt;&lt;wsp:rsid wsp:val=&quot;00011B79&quot;/&gt;&lt;wsp:rsid wsp:val=&quot;0001252B&quot;/&gt;&lt;wsp:rsid wsp:val=&quot;00012C75&quot;/&gt;&lt;wsp:rsid wsp:val=&quot;00012CE6&quot;/&gt;&lt;wsp:rsid wsp:val=&quot;0001307C&quot;/&gt;&lt;wsp:rsid wsp:val=&quot;000130A5&quot;/&gt;&lt;wsp:rsid wsp:val=&quot;00013349&quot;/&gt;&lt;wsp:rsid wsp:val=&quot;000134B2&quot;/&gt;&lt;wsp:rsid wsp:val=&quot;00013864&quot;/&gt;&lt;wsp:rsid wsp:val=&quot;0001391F&quot;/&gt;&lt;wsp:rsid wsp:val=&quot;00013922&quot;/&gt;&lt;wsp:rsid wsp:val=&quot;0001398B&quot;/&gt;&lt;wsp:rsid wsp:val=&quot;00013BFA&quot;/&gt;&lt;wsp:rsid wsp:val=&quot;0001435A&quot;/&gt;&lt;wsp:rsid wsp:val=&quot;00014504&quot;/&gt;&lt;wsp:rsid wsp:val=&quot;0001468D&quot;/&gt;&lt;wsp:rsid wsp:val=&quot;0001484A&quot;/&gt;&lt;wsp:rsid wsp:val=&quot;00015025&quot;/&gt;&lt;wsp:rsid wsp:val=&quot;00015885&quot;/&gt;&lt;wsp:rsid wsp:val=&quot;00015B16&quot;/&gt;&lt;wsp:rsid wsp:val=&quot;00015C72&quot;/&gt;&lt;wsp:rsid wsp:val=&quot;000160E3&quot;/&gt;&lt;wsp:rsid wsp:val=&quot;00016243&quot;/&gt;&lt;wsp:rsid wsp:val=&quot;0001655D&quot;/&gt;&lt;wsp:rsid wsp:val=&quot;0001698B&quot;/&gt;&lt;wsp:rsid wsp:val=&quot;00017AFE&quot;/&gt;&lt;wsp:rsid wsp:val=&quot;00017C19&quot;/&gt;&lt;wsp:rsid wsp:val=&quot;00021301&quot;/&gt;&lt;wsp:rsid wsp:val=&quot;0002151D&quot;/&gt;&lt;wsp:rsid wsp:val=&quot;00021560&quot;/&gt;&lt;wsp:rsid wsp:val=&quot;00021A4C&quot;/&gt;&lt;wsp:rsid wsp:val=&quot;0002225C&quot;/&gt;&lt;wsp:rsid wsp:val=&quot;000224E4&quot;/&gt;&lt;wsp:rsid wsp:val=&quot;000227B9&quot;/&gt;&lt;wsp:rsid wsp:val=&quot;000233D0&quot;/&gt;&lt;wsp:rsid wsp:val=&quot;000236A2&quot;/&gt;&lt;wsp:rsid wsp:val=&quot;00023B3C&quot;/&gt;&lt;wsp:rsid wsp:val=&quot;00023BED&quot;/&gt;&lt;wsp:rsid wsp:val=&quot;000246C4&quot;/&gt;&lt;wsp:rsid wsp:val=&quot;00024CDA&quot;/&gt;&lt;wsp:rsid wsp:val=&quot;00024E8A&quot;/&gt;&lt;wsp:rsid wsp:val=&quot;00025365&quot;/&gt;&lt;wsp:rsid wsp:val=&quot;00025477&quot;/&gt;&lt;wsp:rsid wsp:val=&quot;000258DC&quot;/&gt;&lt;wsp:rsid wsp:val=&quot;00025C11&quot;/&gt;&lt;wsp:rsid wsp:val=&quot;00025D8F&quot;/&gt;&lt;wsp:rsid wsp:val=&quot;00025E50&quot;/&gt;&lt;wsp:rsid wsp:val=&quot;00025F43&quot;/&gt;&lt;wsp:rsid wsp:val=&quot;00026330&quot;/&gt;&lt;wsp:rsid wsp:val=&quot;000265C3&quot;/&gt;&lt;wsp:rsid wsp:val=&quot;00026A30&quot;/&gt;&lt;wsp:rsid wsp:val=&quot;00027069&quot;/&gt;&lt;wsp:rsid wsp:val=&quot;000271AB&quot;/&gt;&lt;wsp:rsid wsp:val=&quot;00027286&quot;/&gt;&lt;wsp:rsid wsp:val=&quot;0002750E&quot;/&gt;&lt;wsp:rsid wsp:val=&quot;000275CE&quot;/&gt;&lt;wsp:rsid wsp:val=&quot;00027886&quot;/&gt;&lt;wsp:rsid wsp:val=&quot;00027C25&quot;/&gt;&lt;wsp:rsid wsp:val=&quot;00027D99&quot;/&gt;&lt;wsp:rsid wsp:val=&quot;00027F29&quot;/&gt;&lt;wsp:rsid wsp:val=&quot;00030097&quot;/&gt;&lt;wsp:rsid wsp:val=&quot;00030482&quot;/&gt;&lt;wsp:rsid wsp:val=&quot;0003049B&quot;/&gt;&lt;wsp:rsid wsp:val=&quot;000305A7&quot;/&gt;&lt;wsp:rsid wsp:val=&quot;00031893&quot;/&gt;&lt;wsp:rsid wsp:val=&quot;00031B2D&quot;/&gt;&lt;wsp:rsid wsp:val=&quot;00031D30&quot;/&gt;&lt;wsp:rsid wsp:val=&quot;00032A8C&quot;/&gt;&lt;wsp:rsid wsp:val=&quot;00032CA5&quot;/&gt;&lt;wsp:rsid wsp:val=&quot;00032F8A&quot;/&gt;&lt;wsp:rsid wsp:val=&quot;0003348A&quot;/&gt;&lt;wsp:rsid wsp:val=&quot;000335E6&quot;/&gt;&lt;wsp:rsid wsp:val=&quot;0003421E&quot;/&gt;&lt;wsp:rsid wsp:val=&quot;000346A1&quot;/&gt;&lt;wsp:rsid wsp:val=&quot;00034799&quot;/&gt;&lt;wsp:rsid wsp:val=&quot;00034D53&quot;/&gt;&lt;wsp:rsid wsp:val=&quot;00034E85&quot;/&gt;&lt;wsp:rsid wsp:val=&quot;00034F14&quot;/&gt;&lt;wsp:rsid wsp:val=&quot;0003510D&quot;/&gt;&lt;wsp:rsid wsp:val=&quot;00035BE6&quot;/&gt;&lt;wsp:rsid wsp:val=&quot;00035CE7&quot;/&gt;&lt;wsp:rsid wsp:val=&quot;00036265&quot;/&gt;&lt;wsp:rsid wsp:val=&quot;000367D9&quot;/&gt;&lt;wsp:rsid wsp:val=&quot;00036BF8&quot;/&gt;&lt;wsp:rsid wsp:val=&quot;00037795&quot;/&gt;&lt;wsp:rsid wsp:val=&quot;00037962&quot;/&gt;&lt;wsp:rsid wsp:val=&quot;00037D5A&quot;/&gt;&lt;wsp:rsid wsp:val=&quot;00037DD9&quot;/&gt;&lt;wsp:rsid wsp:val=&quot;00037E9D&quot;/&gt;&lt;wsp:rsid wsp:val=&quot;000403AD&quot;/&gt;&lt;wsp:rsid wsp:val=&quot;00040568&quot;/&gt;&lt;wsp:rsid wsp:val=&quot;000405B6&quot;/&gt;&lt;wsp:rsid wsp:val=&quot;00041379&quot;/&gt;&lt;wsp:rsid wsp:val=&quot;00041507&quot;/&gt;&lt;wsp:rsid wsp:val=&quot;000415B9&quot;/&gt;&lt;wsp:rsid wsp:val=&quot;00041627&quot;/&gt;&lt;wsp:rsid wsp:val=&quot;00041A92&quot;/&gt;&lt;wsp:rsid wsp:val=&quot;00041B78&quot;/&gt;&lt;wsp:rsid wsp:val=&quot;00041C7C&quot;/&gt;&lt;wsp:rsid wsp:val=&quot;00042046&quot;/&gt;&lt;wsp:rsid wsp:val=&quot;00042160&quot;/&gt;&lt;wsp:rsid wsp:val=&quot;00042304&quot;/&gt;&lt;wsp:rsid wsp:val=&quot;000427DA&quot;/&gt;&lt;wsp:rsid wsp:val=&quot;000428AB&quot;/&gt;&lt;wsp:rsid wsp:val=&quot;00042906&quot;/&gt;&lt;wsp:rsid wsp:val=&quot;00042A13&quot;/&gt;&lt;wsp:rsid wsp:val=&quot;00042CA9&quot;/&gt;&lt;wsp:rsid wsp:val=&quot;00042FF9&quot;/&gt;&lt;wsp:rsid wsp:val=&quot;00043B29&quot;/&gt;&lt;wsp:rsid wsp:val=&quot;00043B34&quot;/&gt;&lt;wsp:rsid wsp:val=&quot;00043F0A&quot;/&gt;&lt;wsp:rsid wsp:val=&quot;00043F57&quot;/&gt;&lt;wsp:rsid wsp:val=&quot;000445EB&quot;/&gt;&lt;wsp:rsid wsp:val=&quot;0004466A&quot;/&gt;&lt;wsp:rsid wsp:val=&quot;00044888&quot;/&gt;&lt;wsp:rsid wsp:val=&quot;000449E1&quot;/&gt;&lt;wsp:rsid wsp:val=&quot;00044A6E&quot;/&gt;&lt;wsp:rsid wsp:val=&quot;00045DF6&quot;/&gt;&lt;wsp:rsid wsp:val=&quot;00045F1E&quot;/&gt;&lt;wsp:rsid wsp:val=&quot;000460DC&quot;/&gt;&lt;wsp:rsid wsp:val=&quot;00046316&quot;/&gt;&lt;wsp:rsid wsp:val=&quot;0004788D&quot;/&gt;&lt;wsp:rsid wsp:val=&quot;00047C3A&quot;/&gt;&lt;wsp:rsid wsp:val=&quot;000500BC&quot;/&gt;&lt;wsp:rsid wsp:val=&quot;0005058E&quot;/&gt;&lt;wsp:rsid wsp:val=&quot;0005070D&quot;/&gt;&lt;wsp:rsid wsp:val=&quot;00050882&quot;/&gt;&lt;wsp:rsid wsp:val=&quot;00050BE4&quot;/&gt;&lt;wsp:rsid wsp:val=&quot;00050D7A&quot;/&gt;&lt;wsp:rsid wsp:val=&quot;00050EAC&quot;/&gt;&lt;wsp:rsid wsp:val=&quot;000512D2&quot;/&gt;&lt;wsp:rsid wsp:val=&quot;0005174C&quot;/&gt;&lt;wsp:rsid wsp:val=&quot;00051C0F&quot;/&gt;&lt;wsp:rsid wsp:val=&quot;00051CD8&quot;/&gt;&lt;wsp:rsid wsp:val=&quot;00052154&quot;/&gt;&lt;wsp:rsid wsp:val=&quot;000522C7&quot;/&gt;&lt;wsp:rsid wsp:val=&quot;00052CF9&quot;/&gt;&lt;wsp:rsid wsp:val=&quot;000530C9&quot;/&gt;&lt;wsp:rsid wsp:val=&quot;000530D0&quot;/&gt;&lt;wsp:rsid wsp:val=&quot;00053212&quot;/&gt;&lt;wsp:rsid wsp:val=&quot;000532E4&quot;/&gt;&lt;wsp:rsid wsp:val=&quot;000541FD&quot;/&gt;&lt;wsp:rsid wsp:val=&quot;00054823&quot;/&gt;&lt;wsp:rsid wsp:val=&quot;0005484C&quot;/&gt;&lt;wsp:rsid wsp:val=&quot;000552E0&quot;/&gt;&lt;wsp:rsid wsp:val=&quot;000552EC&quot;/&gt;&lt;wsp:rsid wsp:val=&quot;000555BA&quot;/&gt;&lt;wsp:rsid wsp:val=&quot;000558A8&quot;/&gt;&lt;wsp:rsid wsp:val=&quot;00055941&quot;/&gt;&lt;wsp:rsid wsp:val=&quot;000559EE&quot;/&gt;&lt;wsp:rsid wsp:val=&quot;00055D03&quot;/&gt;&lt;wsp:rsid wsp:val=&quot;00056002&quot;/&gt;&lt;wsp:rsid wsp:val=&quot;00056098&quot;/&gt;&lt;wsp:rsid wsp:val=&quot;000560B4&quot;/&gt;&lt;wsp:rsid wsp:val=&quot;000560FC&quot;/&gt;&lt;wsp:rsid wsp:val=&quot;00056638&quot;/&gt;&lt;wsp:rsid wsp:val=&quot;000566E8&quot;/&gt;&lt;wsp:rsid wsp:val=&quot;00056841&quot;/&gt;&lt;wsp:rsid wsp:val=&quot;000568C7&quot;/&gt;&lt;wsp:rsid wsp:val=&quot;00056F36&quot;/&gt;&lt;wsp:rsid wsp:val=&quot;00057292&quot;/&gt;&lt;wsp:rsid wsp:val=&quot;00057837&quot;/&gt;&lt;wsp:rsid wsp:val=&quot;00057A84&quot;/&gt;&lt;wsp:rsid wsp:val=&quot;00057B20&quot;/&gt;&lt;wsp:rsid wsp:val=&quot;00057BDB&quot;/&gt;&lt;wsp:rsid wsp:val=&quot;00057D12&quot;/&gt;&lt;wsp:rsid wsp:val=&quot;00060260&quot;/&gt;&lt;wsp:rsid wsp:val=&quot;000605C3&quot;/&gt;&lt;wsp:rsid wsp:val=&quot;00060BB5&quot;/&gt;&lt;wsp:rsid wsp:val=&quot;00061697&quot;/&gt;&lt;wsp:rsid wsp:val=&quot;00061B2B&quot;/&gt;&lt;wsp:rsid wsp:val=&quot;00061DBE&quot;/&gt;&lt;wsp:rsid wsp:val=&quot;000620E3&quot;/&gt;&lt;wsp:rsid wsp:val=&quot;00062112&quot;/&gt;&lt;wsp:rsid wsp:val=&quot;000621B0&quot;/&gt;&lt;wsp:rsid wsp:val=&quot;000623B4&quot;/&gt;&lt;wsp:rsid wsp:val=&quot;000626D5&quot;/&gt;&lt;wsp:rsid wsp:val=&quot;00062943&quot;/&gt;&lt;wsp:rsid wsp:val=&quot;00063223&quot;/&gt;&lt;wsp:rsid wsp:val=&quot;00063530&quot;/&gt;&lt;wsp:rsid wsp:val=&quot;000637CE&quot;/&gt;&lt;wsp:rsid wsp:val=&quot;00063912&quot;/&gt;&lt;wsp:rsid wsp:val=&quot;000639A7&quot;/&gt;&lt;wsp:rsid wsp:val=&quot;00064759&quot;/&gt;&lt;wsp:rsid wsp:val=&quot;00065140&quot;/&gt;&lt;wsp:rsid wsp:val=&quot;000651D1&quot;/&gt;&lt;wsp:rsid wsp:val=&quot;0006737C&quot;/&gt;&lt;wsp:rsid wsp:val=&quot;000674A7&quot;/&gt;&lt;wsp:rsid wsp:val=&quot;0006771D&quot;/&gt;&lt;wsp:rsid wsp:val=&quot;000677C1&quot;/&gt;&lt;wsp:rsid wsp:val=&quot;000705B3&quot;/&gt;&lt;wsp:rsid wsp:val=&quot;00070E41&quot;/&gt;&lt;wsp:rsid wsp:val=&quot;00071078&quot;/&gt;&lt;wsp:rsid wsp:val=&quot;000713AF&quot;/&gt;&lt;wsp:rsid wsp:val=&quot;00071452&quot;/&gt;&lt;wsp:rsid wsp:val=&quot;000718E7&quot;/&gt;&lt;wsp:rsid wsp:val=&quot;00071B41&quot;/&gt;&lt;wsp:rsid wsp:val=&quot;00071D62&quot;/&gt;&lt;wsp:rsid wsp:val=&quot;00071E06&quot;/&gt;&lt;wsp:rsid wsp:val=&quot;00071EF4&quot;/&gt;&lt;wsp:rsid wsp:val=&quot;00072124&quot;/&gt;&lt;wsp:rsid wsp:val=&quot;00072223&quot;/&gt;&lt;wsp:rsid wsp:val=&quot;000727DD&quot;/&gt;&lt;wsp:rsid wsp:val=&quot;00072A7C&quot;/&gt;&lt;wsp:rsid wsp:val=&quot;00072F74&quot;/&gt;&lt;wsp:rsid wsp:val=&quot;000730EC&quot;/&gt;&lt;wsp:rsid wsp:val=&quot;00073818&quot;/&gt;&lt;wsp:rsid wsp:val=&quot;00073A3F&quot;/&gt;&lt;wsp:rsid wsp:val=&quot;00073D42&quot;/&gt;&lt;wsp:rsid wsp:val=&quot;00074150&quot;/&gt;&lt;wsp:rsid wsp:val=&quot;00074587&quot;/&gt;&lt;wsp:rsid wsp:val=&quot;00074A92&quot;/&gt;&lt;wsp:rsid wsp:val=&quot;00074C0E&quot;/&gt;&lt;wsp:rsid wsp:val=&quot;00074EA2&quot;/&gt;&lt;wsp:rsid wsp:val=&quot;00075128&quot;/&gt;&lt;wsp:rsid wsp:val=&quot;00075455&quot;/&gt;&lt;wsp:rsid wsp:val=&quot;00076688&quot;/&gt;&lt;wsp:rsid wsp:val=&quot;00077076&quot;/&gt;&lt;wsp:rsid wsp:val=&quot;0007727A&quot;/&gt;&lt;wsp:rsid wsp:val=&quot;00077572&quot;/&gt;&lt;wsp:rsid wsp:val=&quot;0007758C&quot;/&gt;&lt;wsp:rsid wsp:val=&quot;000779A3&quot;/&gt;&lt;wsp:rsid wsp:val=&quot;00077AD3&quot;/&gt;&lt;wsp:rsid wsp:val=&quot;0008015C&quot;/&gt;&lt;wsp:rsid wsp:val=&quot;00080248&quot;/&gt;&lt;wsp:rsid wsp:val=&quot;000802C4&quot;/&gt;&lt;wsp:rsid wsp:val=&quot;00080900&quot;/&gt;&lt;wsp:rsid wsp:val=&quot;00081546&quot;/&gt;&lt;wsp:rsid wsp:val=&quot;000816AD&quot;/&gt;&lt;wsp:rsid wsp:val=&quot;0008236E&quot;/&gt;&lt;wsp:rsid wsp:val=&quot;000823BC&quot;/&gt;&lt;wsp:rsid wsp:val=&quot;000829DB&quot;/&gt;&lt;wsp:rsid wsp:val=&quot;00082D5D&quot;/&gt;&lt;wsp:rsid wsp:val=&quot;000837D8&quot;/&gt;&lt;wsp:rsid wsp:val=&quot;00083A03&quot;/&gt;&lt;wsp:rsid wsp:val=&quot;00083D4A&quot;/&gt;&lt;wsp:rsid wsp:val=&quot;000840A3&quot;/&gt;&lt;wsp:rsid wsp:val=&quot;0008416D&quot;/&gt;&lt;wsp:rsid wsp:val=&quot;000843D7&quot;/&gt;&lt;wsp:rsid wsp:val=&quot;00084495&quot;/&gt;&lt;wsp:rsid wsp:val=&quot;00084870&quot;/&gt;&lt;wsp:rsid wsp:val=&quot;00085127&quot;/&gt;&lt;wsp:rsid wsp:val=&quot;0008548A&quot;/&gt;&lt;wsp:rsid wsp:val=&quot;00085B7D&quot;/&gt;&lt;wsp:rsid wsp:val=&quot;00085E5C&quot;/&gt;&lt;wsp:rsid wsp:val=&quot;000869CE&quot;/&gt;&lt;wsp:rsid wsp:val=&quot;00086A65&quot;/&gt;&lt;wsp:rsid wsp:val=&quot;00086EF1&quot;/&gt;&lt;wsp:rsid wsp:val=&quot;000871B8&quot;/&gt;&lt;wsp:rsid wsp:val=&quot;00087345&quot;/&gt;&lt;wsp:rsid wsp:val=&quot;00087893&quot;/&gt;&lt;wsp:rsid wsp:val=&quot;00087C3F&quot;/&gt;&lt;wsp:rsid wsp:val=&quot;00090020&quot;/&gt;&lt;wsp:rsid wsp:val=&quot;0009003D&quot;/&gt;&lt;wsp:rsid wsp:val=&quot;00090151&quot;/&gt;&lt;wsp:rsid wsp:val=&quot;00090570&quot;/&gt;&lt;wsp:rsid wsp:val=&quot;0009083D&quot;/&gt;&lt;wsp:rsid wsp:val=&quot;00090A87&quot;/&gt;&lt;wsp:rsid wsp:val=&quot;00090E88&quot;/&gt;&lt;wsp:rsid wsp:val=&quot;00091143&quot;/&gt;&lt;wsp:rsid wsp:val=&quot;00091257&quot;/&gt;&lt;wsp:rsid wsp:val=&quot;00091535&quot;/&gt;&lt;wsp:rsid wsp:val=&quot;00091CD3&quot;/&gt;&lt;wsp:rsid wsp:val=&quot;00091EF4&quot;/&gt;&lt;wsp:rsid wsp:val=&quot;00092059&quot;/&gt;&lt;wsp:rsid wsp:val=&quot;0009211B&quot;/&gt;&lt;wsp:rsid wsp:val=&quot;000921A3&quot;/&gt;&lt;wsp:rsid wsp:val=&quot;000928B4&quot;/&gt;&lt;wsp:rsid wsp:val=&quot;00092B3D&quot;/&gt;&lt;wsp:rsid wsp:val=&quot;00092E2B&quot;/&gt;&lt;wsp:rsid wsp:val=&quot;00092EAA&quot;/&gt;&lt;wsp:rsid wsp:val=&quot;000939F4&quot;/&gt;&lt;wsp:rsid wsp:val=&quot;00093DA7&quot;/&gt;&lt;wsp:rsid wsp:val=&quot;00093DDA&quot;/&gt;&lt;wsp:rsid wsp:val=&quot;000945B1&quot;/&gt;&lt;wsp:rsid wsp:val=&quot;000955D9&quot;/&gt;&lt;wsp:rsid wsp:val=&quot;00095B20&quot;/&gt;&lt;wsp:rsid wsp:val=&quot;0009623A&quot;/&gt;&lt;wsp:rsid wsp:val=&quot;00096553&quot;/&gt;&lt;wsp:rsid wsp:val=&quot;0009673E&quot;/&gt;&lt;wsp:rsid wsp:val=&quot;000967DB&quot;/&gt;&lt;wsp:rsid wsp:val=&quot;00096955&quot;/&gt;&lt;wsp:rsid wsp:val=&quot;00096CAF&quot;/&gt;&lt;wsp:rsid wsp:val=&quot;000976D5&quot;/&gt;&lt;wsp:rsid wsp:val=&quot;00097982&quot;/&gt;&lt;wsp:rsid wsp:val=&quot;00097A26&quot;/&gt;&lt;wsp:rsid wsp:val=&quot;00097A3B&quot;/&gt;&lt;wsp:rsid wsp:val=&quot;00097A44&quot;/&gt;&lt;wsp:rsid wsp:val=&quot;00097FEC&quot;/&gt;&lt;wsp:rsid wsp:val=&quot;000A04CD&quot;/&gt;&lt;wsp:rsid wsp:val=&quot;000A0589&quot;/&gt;&lt;wsp:rsid wsp:val=&quot;000A091F&quot;/&gt;&lt;wsp:rsid wsp:val=&quot;000A12BD&quot;/&gt;&lt;wsp:rsid wsp:val=&quot;000A1985&quot;/&gt;&lt;wsp:rsid wsp:val=&quot;000A1A03&quot;/&gt;&lt;wsp:rsid wsp:val=&quot;000A1D1C&quot;/&gt;&lt;wsp:rsid wsp:val=&quot;000A250B&quot;/&gt;&lt;wsp:rsid wsp:val=&quot;000A3159&quot;/&gt;&lt;wsp:rsid wsp:val=&quot;000A37E9&quot;/&gt;&lt;wsp:rsid wsp:val=&quot;000A3B32&quot;/&gt;&lt;wsp:rsid wsp:val=&quot;000A3EEF&quot;/&gt;&lt;wsp:rsid wsp:val=&quot;000A412D&quot;/&gt;&lt;wsp:rsid wsp:val=&quot;000A4326&quot;/&gt;&lt;wsp:rsid wsp:val=&quot;000A434B&quot;/&gt;&lt;wsp:rsid wsp:val=&quot;000A4596&quot;/&gt;&lt;wsp:rsid wsp:val=&quot;000A460B&quot;/&gt;&lt;wsp:rsid wsp:val=&quot;000A4B02&quot;/&gt;&lt;wsp:rsid wsp:val=&quot;000A4B5C&quot;/&gt;&lt;wsp:rsid wsp:val=&quot;000A4D77&quot;/&gt;&lt;wsp:rsid wsp:val=&quot;000A5349&quot;/&gt;&lt;wsp:rsid wsp:val=&quot;000A5508&quot;/&gt;&lt;wsp:rsid wsp:val=&quot;000A5B78&quot;/&gt;&lt;wsp:rsid wsp:val=&quot;000A5BB5&quot;/&gt;&lt;wsp:rsid wsp:val=&quot;000A5DD8&quot;/&gt;&lt;wsp:rsid wsp:val=&quot;000A61D5&quot;/&gt;&lt;wsp:rsid wsp:val=&quot;000A6570&quot;/&gt;&lt;wsp:rsid wsp:val=&quot;000A69D2&quot;/&gt;&lt;wsp:rsid wsp:val=&quot;000A6ABC&quot;/&gt;&lt;wsp:rsid wsp:val=&quot;000A6B84&quot;/&gt;&lt;wsp:rsid wsp:val=&quot;000A6E04&quot;/&gt;&lt;wsp:rsid wsp:val=&quot;000B000D&quot;/&gt;&lt;wsp:rsid wsp:val=&quot;000B0512&quot;/&gt;&lt;wsp:rsid wsp:val=&quot;000B0529&quot;/&gt;&lt;wsp:rsid wsp:val=&quot;000B0C4F&quot;/&gt;&lt;wsp:rsid wsp:val=&quot;000B0F57&quot;/&gt;&lt;wsp:rsid wsp:val=&quot;000B10BD&quot;/&gt;&lt;wsp:rsid wsp:val=&quot;000B1106&quot;/&gt;&lt;wsp:rsid wsp:val=&quot;000B16E4&quot;/&gt;&lt;wsp:rsid wsp:val=&quot;000B1AED&quot;/&gt;&lt;wsp:rsid wsp:val=&quot;000B1B44&quot;/&gt;&lt;wsp:rsid wsp:val=&quot;000B1BDB&quot;/&gt;&lt;wsp:rsid wsp:val=&quot;000B1C4A&quot;/&gt;&lt;wsp:rsid wsp:val=&quot;000B1C8E&quot;/&gt;&lt;wsp:rsid wsp:val=&quot;000B2CF8&quot;/&gt;&lt;wsp:rsid wsp:val=&quot;000B30AE&quot;/&gt;&lt;wsp:rsid wsp:val=&quot;000B35C2&quot;/&gt;&lt;wsp:rsid wsp:val=&quot;000B3FC1&quot;/&gt;&lt;wsp:rsid wsp:val=&quot;000B451E&quot;/&gt;&lt;wsp:rsid wsp:val=&quot;000B492E&quot;/&gt;&lt;wsp:rsid wsp:val=&quot;000B4B0F&quot;/&gt;&lt;wsp:rsid wsp:val=&quot;000B4EA8&quot;/&gt;&lt;wsp:rsid wsp:val=&quot;000B4ECC&quot;/&gt;&lt;wsp:rsid wsp:val=&quot;000B520F&quot;/&gt;&lt;wsp:rsid wsp:val=&quot;000B5524&quot;/&gt;&lt;wsp:rsid wsp:val=&quot;000B55AC&quot;/&gt;&lt;wsp:rsid wsp:val=&quot;000B5707&quot;/&gt;&lt;wsp:rsid wsp:val=&quot;000B5988&quot;/&gt;&lt;wsp:rsid wsp:val=&quot;000B5D8A&quot;/&gt;&lt;wsp:rsid wsp:val=&quot;000B6271&quot;/&gt;&lt;wsp:rsid wsp:val=&quot;000B6676&quot;/&gt;&lt;wsp:rsid wsp:val=&quot;000B69F7&quot;/&gt;&lt;wsp:rsid wsp:val=&quot;000B6E30&quot;/&gt;&lt;wsp:rsid wsp:val=&quot;000B6EFB&quot;/&gt;&lt;wsp:rsid wsp:val=&quot;000B70E6&quot;/&gt;&lt;wsp:rsid wsp:val=&quot;000B73F0&quot;/&gt;&lt;wsp:rsid wsp:val=&quot;000B741A&quot;/&gt;&lt;wsp:rsid wsp:val=&quot;000C0234&quot;/&gt;&lt;wsp:rsid wsp:val=&quot;000C0652&quot;/&gt;&lt;wsp:rsid wsp:val=&quot;000C0DEC&quot;/&gt;&lt;wsp:rsid wsp:val=&quot;000C1407&quot;/&gt;&lt;wsp:rsid wsp:val=&quot;000C16BE&quot;/&gt;&lt;wsp:rsid wsp:val=&quot;000C1F0F&quot;/&gt;&lt;wsp:rsid wsp:val=&quot;000C1FCF&quot;/&gt;&lt;wsp:rsid wsp:val=&quot;000C237D&quot;/&gt;&lt;wsp:rsid wsp:val=&quot;000C2418&quot;/&gt;&lt;wsp:rsid wsp:val=&quot;000C268F&quot;/&gt;&lt;wsp:rsid wsp:val=&quot;000C2807&quot;/&gt;&lt;wsp:rsid wsp:val=&quot;000C2F00&quot;/&gt;&lt;wsp:rsid wsp:val=&quot;000C3198&quot;/&gt;&lt;wsp:rsid wsp:val=&quot;000C3201&quot;/&gt;&lt;wsp:rsid wsp:val=&quot;000C3DDD&quot;/&gt;&lt;wsp:rsid wsp:val=&quot;000C4ABC&quot;/&gt;&lt;wsp:rsid wsp:val=&quot;000C4B30&quot;/&gt;&lt;wsp:rsid wsp:val=&quot;000C4C8D&quot;/&gt;&lt;wsp:rsid wsp:val=&quot;000C4D0D&quot;/&gt;&lt;wsp:rsid wsp:val=&quot;000C530D&quot;/&gt;&lt;wsp:rsid wsp:val=&quot;000C5929&quot;/&gt;&lt;wsp:rsid wsp:val=&quot;000C59A7&quot;/&gt;&lt;wsp:rsid wsp:val=&quot;000C6161&quot;/&gt;&lt;wsp:rsid wsp:val=&quot;000C6310&quot;/&gt;&lt;wsp:rsid wsp:val=&quot;000C65A1&quot;/&gt;&lt;wsp:rsid wsp:val=&quot;000C6783&quot;/&gt;&lt;wsp:rsid wsp:val=&quot;000C684C&quot;/&gt;&lt;wsp:rsid wsp:val=&quot;000C6B4E&quot;/&gt;&lt;wsp:rsid wsp:val=&quot;000C728F&quot;/&gt;&lt;wsp:rsid wsp:val=&quot;000C7626&quot;/&gt;&lt;wsp:rsid wsp:val=&quot;000C7CA8&quot;/&gt;&lt;wsp:rsid wsp:val=&quot;000C7DA1&quot;/&gt;&lt;wsp:rsid wsp:val=&quot;000C7EB0&quot;/&gt;&lt;wsp:rsid wsp:val=&quot;000C7FF1&quot;/&gt;&lt;wsp:rsid wsp:val=&quot;000C7FF4&quot;/&gt;&lt;wsp:rsid wsp:val=&quot;000D00DF&quot;/&gt;&lt;wsp:rsid wsp:val=&quot;000D028E&quot;/&gt;&lt;wsp:rsid wsp:val=&quot;000D0411&quot;/&gt;&lt;wsp:rsid wsp:val=&quot;000D0D59&quot;/&gt;&lt;wsp:rsid wsp:val=&quot;000D0E57&quot;/&gt;&lt;wsp:rsid wsp:val=&quot;000D1160&quot;/&gt;&lt;wsp:rsid wsp:val=&quot;000D1425&quot;/&gt;&lt;wsp:rsid wsp:val=&quot;000D14C9&quot;/&gt;&lt;wsp:rsid wsp:val=&quot;000D14D2&quot;/&gt;&lt;wsp:rsid wsp:val=&quot;000D163A&quot;/&gt;&lt;wsp:rsid wsp:val=&quot;000D1DF0&quot;/&gt;&lt;wsp:rsid wsp:val=&quot;000D2053&quot;/&gt;&lt;wsp:rsid wsp:val=&quot;000D2155&quot;/&gt;&lt;wsp:rsid wsp:val=&quot;000D224C&quot;/&gt;&lt;wsp:rsid wsp:val=&quot;000D24F0&quot;/&gt;&lt;wsp:rsid wsp:val=&quot;000D2606&quot;/&gt;&lt;wsp:rsid wsp:val=&quot;000D2793&quot;/&gt;&lt;wsp:rsid wsp:val=&quot;000D28F8&quot;/&gt;&lt;wsp:rsid wsp:val=&quot;000D2A3E&quot;/&gt;&lt;wsp:rsid wsp:val=&quot;000D2C90&quot;/&gt;&lt;wsp:rsid wsp:val=&quot;000D3118&quot;/&gt;&lt;wsp:rsid wsp:val=&quot;000D3346&quot;/&gt;&lt;wsp:rsid wsp:val=&quot;000D3A7F&quot;/&gt;&lt;wsp:rsid wsp:val=&quot;000D3C31&quot;/&gt;&lt;wsp:rsid wsp:val=&quot;000D3FA9&quot;/&gt;&lt;wsp:rsid wsp:val=&quot;000D4408&quot;/&gt;&lt;wsp:rsid wsp:val=&quot;000D4AFD&quot;/&gt;&lt;wsp:rsid wsp:val=&quot;000D4C41&quot;/&gt;&lt;wsp:rsid wsp:val=&quot;000D4D76&quot;/&gt;&lt;wsp:rsid wsp:val=&quot;000D5016&quot;/&gt;&lt;wsp:rsid wsp:val=&quot;000D511F&quot;/&gt;&lt;wsp:rsid wsp:val=&quot;000D534D&quot;/&gt;&lt;wsp:rsid wsp:val=&quot;000D540B&quot;/&gt;&lt;wsp:rsid wsp:val=&quot;000D5D04&quot;/&gt;&lt;wsp:rsid wsp:val=&quot;000D5E6C&quot;/&gt;&lt;wsp:rsid wsp:val=&quot;000D60CE&quot;/&gt;&lt;wsp:rsid wsp:val=&quot;000D62EB&quot;/&gt;&lt;wsp:rsid wsp:val=&quot;000D62FE&quot;/&gt;&lt;wsp:rsid wsp:val=&quot;000D64D1&quot;/&gt;&lt;wsp:rsid wsp:val=&quot;000D678F&quot;/&gt;&lt;wsp:rsid wsp:val=&quot;000D75C4&quot;/&gt;&lt;wsp:rsid wsp:val=&quot;000D7B48&quot;/&gt;&lt;wsp:rsid wsp:val=&quot;000D7DB4&quot;/&gt;&lt;wsp:rsid wsp:val=&quot;000D7E47&quot;/&gt;&lt;wsp:rsid wsp:val=&quot;000E03E5&quot;/&gt;&lt;wsp:rsid wsp:val=&quot;000E089C&quot;/&gt;&lt;wsp:rsid wsp:val=&quot;000E0FA2&quot;/&gt;&lt;wsp:rsid wsp:val=&quot;000E18EA&quot;/&gt;&lt;wsp:rsid wsp:val=&quot;000E212D&quot;/&gt;&lt;wsp:rsid wsp:val=&quot;000E2433&quot;/&gt;&lt;wsp:rsid wsp:val=&quot;000E2997&quot;/&gt;&lt;wsp:rsid wsp:val=&quot;000E2A06&quot;/&gt;&lt;wsp:rsid wsp:val=&quot;000E2C44&quot;/&gt;&lt;wsp:rsid wsp:val=&quot;000E2F25&quot;/&gt;&lt;wsp:rsid wsp:val=&quot;000E41EF&quot;/&gt;&lt;wsp:rsid wsp:val=&quot;000E42AA&quot;/&gt;&lt;wsp:rsid wsp:val=&quot;000E42BD&quot;/&gt;&lt;wsp:rsid wsp:val=&quot;000E43A3&quot;/&gt;&lt;wsp:rsid wsp:val=&quot;000E4D08&quot;/&gt;&lt;wsp:rsid wsp:val=&quot;000E561D&quot;/&gt;&lt;wsp:rsid wsp:val=&quot;000E56FF&quot;/&gt;&lt;wsp:rsid wsp:val=&quot;000E5707&quot;/&gt;&lt;wsp:rsid wsp:val=&quot;000E58FA&quot;/&gt;&lt;wsp:rsid wsp:val=&quot;000E59EE&quot;/&gt;&lt;wsp:rsid wsp:val=&quot;000E5C2C&quot;/&gt;&lt;wsp:rsid wsp:val=&quot;000E6630&quot;/&gt;&lt;wsp:rsid wsp:val=&quot;000E68D9&quot;/&gt;&lt;wsp:rsid wsp:val=&quot;000E6918&quot;/&gt;&lt;wsp:rsid wsp:val=&quot;000E6FB7&quot;/&gt;&lt;wsp:rsid wsp:val=&quot;000E707F&quot;/&gt;&lt;wsp:rsid wsp:val=&quot;000E79E2&quot;/&gt;&lt;wsp:rsid wsp:val=&quot;000E7A06&quot;/&gt;&lt;wsp:rsid wsp:val=&quot;000F0385&quot;/&gt;&lt;wsp:rsid wsp:val=&quot;000F0B46&quot;/&gt;&lt;wsp:rsid wsp:val=&quot;000F1305&quot;/&gt;&lt;wsp:rsid wsp:val=&quot;000F14AC&quot;/&gt;&lt;wsp:rsid wsp:val=&quot;000F14B4&quot;/&gt;&lt;wsp:rsid wsp:val=&quot;000F1B61&quot;/&gt;&lt;wsp:rsid wsp:val=&quot;000F22C3&quot;/&gt;&lt;wsp:rsid wsp:val=&quot;000F234A&quot;/&gt;&lt;wsp:rsid wsp:val=&quot;000F23CD&quot;/&gt;&lt;wsp:rsid wsp:val=&quot;000F253F&quot;/&gt;&lt;wsp:rsid wsp:val=&quot;000F2708&quot;/&gt;&lt;wsp:rsid wsp:val=&quot;000F29FF&quot;/&gt;&lt;wsp:rsid wsp:val=&quot;000F2CC0&quot;/&gt;&lt;wsp:rsid wsp:val=&quot;000F2E51&quot;/&gt;&lt;wsp:rsid wsp:val=&quot;000F30A4&quot;/&gt;&lt;wsp:rsid wsp:val=&quot;000F34C8&quot;/&gt;&lt;wsp:rsid wsp:val=&quot;000F3C97&quot;/&gt;&lt;wsp:rsid wsp:val=&quot;000F3FDE&quot;/&gt;&lt;wsp:rsid wsp:val=&quot;000F412B&quot;/&gt;&lt;wsp:rsid wsp:val=&quot;000F4778&quot;/&gt;&lt;wsp:rsid wsp:val=&quot;000F4872&quot;/&gt;&lt;wsp:rsid wsp:val=&quot;000F5066&quot;/&gt;&lt;wsp:rsid wsp:val=&quot;000F53A0&quot;/&gt;&lt;wsp:rsid wsp:val=&quot;000F5F69&quot;/&gt;&lt;wsp:rsid wsp:val=&quot;000F662A&quot;/&gt;&lt;wsp:rsid wsp:val=&quot;000F6C97&quot;/&gt;&lt;wsp:rsid wsp:val=&quot;000F7084&quot;/&gt;&lt;wsp:rsid wsp:val=&quot;000F75A9&quot;/&gt;&lt;wsp:rsid wsp:val=&quot;000F7AC0&quot;/&gt;&lt;wsp:rsid wsp:val=&quot;000F7F82&quot;/&gt;&lt;wsp:rsid wsp:val=&quot;0010025F&quot;/&gt;&lt;wsp:rsid wsp:val=&quot;001005D2&quot;/&gt;&lt;wsp:rsid wsp:val=&quot;00101239&quot;/&gt;&lt;wsp:rsid wsp:val=&quot;001013D9&quot;/&gt;&lt;wsp:rsid wsp:val=&quot;00101871&quot;/&gt;&lt;wsp:rsid wsp:val=&quot;001018C7&quot;/&gt;&lt;wsp:rsid wsp:val=&quot;001020C2&quot;/&gt;&lt;wsp:rsid wsp:val=&quot;0010231A&quot;/&gt;&lt;wsp:rsid wsp:val=&quot;001028BB&quot;/&gt;&lt;wsp:rsid wsp:val=&quot;00102E0D&quot;/&gt;&lt;wsp:rsid wsp:val=&quot;00103796&quot;/&gt;&lt;wsp:rsid wsp:val=&quot;00103846&quot;/&gt;&lt;wsp:rsid wsp:val=&quot;00103EA1&quot;/&gt;&lt;wsp:rsid wsp:val=&quot;00103F74&quot;/&gt;&lt;wsp:rsid wsp:val=&quot;00104355&quot;/&gt;&lt;wsp:rsid wsp:val=&quot;00104388&quot;/&gt;&lt;wsp:rsid wsp:val=&quot;00104389&quot;/&gt;&lt;wsp:rsid wsp:val=&quot;0010480D&quot;/&gt;&lt;wsp:rsid wsp:val=&quot;00105028&quot;/&gt;&lt;wsp:rsid wsp:val=&quot;00105443&quot;/&gt;&lt;wsp:rsid wsp:val=&quot;001056B5&quot;/&gt;&lt;wsp:rsid wsp:val=&quot;001058C4&quot;/&gt;&lt;wsp:rsid wsp:val=&quot;001058F6&quot;/&gt;&lt;wsp:rsid wsp:val=&quot;00105E47&quot;/&gt;&lt;wsp:rsid wsp:val=&quot;00106090&quot;/&gt;&lt;wsp:rsid wsp:val=&quot;0010696F&quot;/&gt;&lt;wsp:rsid wsp:val=&quot;001069DA&quot;/&gt;&lt;wsp:rsid wsp:val=&quot;001070AB&quot;/&gt;&lt;wsp:rsid wsp:val=&quot;0010737C&quot;/&gt;&lt;wsp:rsid wsp:val=&quot;001074E2&quot;/&gt;&lt;wsp:rsid wsp:val=&quot;00107F58&quot;/&gt;&lt;wsp:rsid wsp:val=&quot;00107FC8&quot;/&gt;&lt;wsp:rsid wsp:val=&quot;00110512&quot;/&gt;&lt;wsp:rsid wsp:val=&quot;001106DF&quot;/&gt;&lt;wsp:rsid wsp:val=&quot;00110785&quot;/&gt;&lt;wsp:rsid wsp:val=&quot;001109E0&quot;/&gt;&lt;wsp:rsid wsp:val=&quot;00110B2B&quot;/&gt;&lt;wsp:rsid wsp:val=&quot;00110B86&quot;/&gt;&lt;wsp:rsid wsp:val=&quot;00110BB2&quot;/&gt;&lt;wsp:rsid wsp:val=&quot;00110DCB&quot;/&gt;&lt;wsp:rsid wsp:val=&quot;00110DE9&quot;/&gt;&lt;wsp:rsid wsp:val=&quot;00110F03&quot;/&gt;&lt;wsp:rsid wsp:val=&quot;0011113F&quot;/&gt;&lt;wsp:rsid wsp:val=&quot;00111461&quot;/&gt;&lt;wsp:rsid wsp:val=&quot;00111696&quot;/&gt;&lt;wsp:rsid wsp:val=&quot;00111720&quot;/&gt;&lt;wsp:rsid wsp:val=&quot;00111779&quot;/&gt;&lt;wsp:rsid wsp:val=&quot;00111830&quot;/&gt;&lt;wsp:rsid wsp:val=&quot;00111C6B&quot;/&gt;&lt;wsp:rsid wsp:val=&quot;00111E0A&quot;/&gt;&lt;wsp:rsid wsp:val=&quot;00111E27&quot;/&gt;&lt;wsp:rsid wsp:val=&quot;00112299&quot;/&gt;&lt;wsp:rsid wsp:val=&quot;00112A50&quot;/&gt;&lt;wsp:rsid wsp:val=&quot;00112CE3&quot;/&gt;&lt;wsp:rsid wsp:val=&quot;00113456&quot;/&gt;&lt;wsp:rsid wsp:val=&quot;00113AB5&quot;/&gt;&lt;wsp:rsid wsp:val=&quot;00113B30&quot;/&gt;&lt;wsp:rsid wsp:val=&quot;00114030&quot;/&gt;&lt;wsp:rsid wsp:val=&quot;001140A9&quot;/&gt;&lt;wsp:rsid wsp:val=&quot;00114238&quot;/&gt;&lt;wsp:rsid wsp:val=&quot;00114EBB&quot;/&gt;&lt;wsp:rsid wsp:val=&quot;001158F7&quot;/&gt;&lt;wsp:rsid wsp:val=&quot;00115C2D&quot;/&gt;&lt;wsp:rsid wsp:val=&quot;001160C4&quot;/&gt;&lt;wsp:rsid wsp:val=&quot;001161DC&quot;/&gt;&lt;wsp:rsid wsp:val=&quot;0011661A&quot;/&gt;&lt;wsp:rsid wsp:val=&quot;00116711&quot;/&gt;&lt;wsp:rsid wsp:val=&quot;001167CC&quot;/&gt;&lt;wsp:rsid wsp:val=&quot;00116897&quot;/&gt;&lt;wsp:rsid wsp:val=&quot;0011692A&quot;/&gt;&lt;wsp:rsid wsp:val=&quot;00116BCE&quot;/&gt;&lt;wsp:rsid wsp:val=&quot;00117300&quot;/&gt;&lt;wsp:rsid wsp:val=&quot;0011759D&quot;/&gt;&lt;wsp:rsid wsp:val=&quot;001178ED&quot;/&gt;&lt;wsp:rsid wsp:val=&quot;00117978&quot;/&gt;&lt;wsp:rsid wsp:val=&quot;00117E81&quot;/&gt;&lt;wsp:rsid wsp:val=&quot;00120448&quot;/&gt;&lt;wsp:rsid wsp:val=&quot;00120628&quot;/&gt;&lt;wsp:rsid wsp:val=&quot;00120A8E&quot;/&gt;&lt;wsp:rsid wsp:val=&quot;00121308&quot;/&gt;&lt;wsp:rsid wsp:val=&quot;001214EE&quot;/&gt;&lt;wsp:rsid wsp:val=&quot;00121906&quot;/&gt;&lt;wsp:rsid wsp:val=&quot;001219FB&quot;/&gt;&lt;wsp:rsid wsp:val=&quot;00121F2D&quot;/&gt;&lt;wsp:rsid wsp:val=&quot;001220BC&quot;/&gt;&lt;wsp:rsid wsp:val=&quot;0012231E&quot;/&gt;&lt;wsp:rsid wsp:val=&quot;0012239C&quot;/&gt;&lt;wsp:rsid wsp:val=&quot;001224A8&quot;/&gt;&lt;wsp:rsid wsp:val=&quot;00122B60&quot;/&gt;&lt;wsp:rsid wsp:val=&quot;00122D66&quot;/&gt;&lt;wsp:rsid wsp:val=&quot;0012337B&quot;/&gt;&lt;wsp:rsid wsp:val=&quot;00123986&quot;/&gt;&lt;wsp:rsid wsp:val=&quot;00123A88&quot;/&gt;&lt;wsp:rsid wsp:val=&quot;00123C7D&quot;/&gt;&lt;wsp:rsid wsp:val=&quot;00123FBF&quot;/&gt;&lt;wsp:rsid wsp:val=&quot;001240E2&quot;/&gt;&lt;wsp:rsid wsp:val=&quot;0012417C&quot;/&gt;&lt;wsp:rsid wsp:val=&quot;001243A3&quot;/&gt;&lt;wsp:rsid wsp:val=&quot;00124D77&quot;/&gt;&lt;wsp:rsid wsp:val=&quot;00124E18&quot;/&gt;&lt;wsp:rsid wsp:val=&quot;0012509A&quot;/&gt;&lt;wsp:rsid wsp:val=&quot;00125335&quot;/&gt;&lt;wsp:rsid wsp:val=&quot;00125613&quot;/&gt;&lt;wsp:rsid wsp:val=&quot;00125933&quot;/&gt;&lt;wsp:rsid wsp:val=&quot;0012594D&quot;/&gt;&lt;wsp:rsid wsp:val=&quot;00125997&quot;/&gt;&lt;wsp:rsid wsp:val=&quot;00126100&quot;/&gt;&lt;wsp:rsid wsp:val=&quot;00126541&quot;/&gt;&lt;wsp:rsid wsp:val=&quot;00126554&quot;/&gt;&lt;wsp:rsid wsp:val=&quot;001268F0&quot;/&gt;&lt;wsp:rsid wsp:val=&quot;001269DB&quot;/&gt;&lt;wsp:rsid wsp:val=&quot;00126D09&quot;/&gt;&lt;wsp:rsid wsp:val=&quot;00126E74&quot;/&gt;&lt;wsp:rsid wsp:val=&quot;001272E8&quot;/&gt;&lt;wsp:rsid wsp:val=&quot;00127E57&quot;/&gt;&lt;wsp:rsid wsp:val=&quot;00127E8B&quot;/&gt;&lt;wsp:rsid wsp:val=&quot;00127F02&quot;/&gt;&lt;wsp:rsid wsp:val=&quot;00130180&quot;/&gt;&lt;wsp:rsid wsp:val=&quot;001302F3&quot;/&gt;&lt;wsp:rsid wsp:val=&quot;00130316&quot;/&gt;&lt;wsp:rsid wsp:val=&quot;0013050B&quot;/&gt;&lt;wsp:rsid wsp:val=&quot;00130BB0&quot;/&gt;&lt;wsp:rsid wsp:val=&quot;00131514&quot;/&gt;&lt;wsp:rsid wsp:val=&quot;00131547&quot;/&gt;&lt;wsp:rsid wsp:val=&quot;00131CD2&quot;/&gt;&lt;wsp:rsid wsp:val=&quot;00131DF2&quot;/&gt;&lt;wsp:rsid wsp:val=&quot;001321CB&quot;/&gt;&lt;wsp:rsid wsp:val=&quot;00132377&quot;/&gt;&lt;wsp:rsid wsp:val=&quot;00132982&quot;/&gt;&lt;wsp:rsid wsp:val=&quot;00132A19&quot;/&gt;&lt;wsp:rsid wsp:val=&quot;00132F62&quot;/&gt;&lt;wsp:rsid wsp:val=&quot;00133A5C&quot;/&gt;&lt;wsp:rsid wsp:val=&quot;00133BD1&quot;/&gt;&lt;wsp:rsid wsp:val=&quot;00133D4B&quot;/&gt;&lt;wsp:rsid wsp:val=&quot;00133F21&quot;/&gt;&lt;wsp:rsid wsp:val=&quot;00134277&quot;/&gt;&lt;wsp:rsid wsp:val=&quot;001345FC&quot;/&gt;&lt;wsp:rsid wsp:val=&quot;00134F35&quot;/&gt;&lt;wsp:rsid wsp:val=&quot;00135996&quot;/&gt;&lt;wsp:rsid wsp:val=&quot;00135A27&quot;/&gt;&lt;wsp:rsid wsp:val=&quot;001360E7&quot;/&gt;&lt;wsp:rsid wsp:val=&quot;00136289&quot;/&gt;&lt;wsp:rsid wsp:val=&quot;00137580&quot;/&gt;&lt;wsp:rsid wsp:val=&quot;00137ACA&quot;/&gt;&lt;wsp:rsid wsp:val=&quot;00137B0B&quot;/&gt;&lt;wsp:rsid wsp:val=&quot;00137DC3&quot;/&gt;&lt;wsp:rsid wsp:val=&quot;0014008D&quot;/&gt;&lt;wsp:rsid wsp:val=&quot;001402E0&quot;/&gt;&lt;wsp:rsid wsp:val=&quot;0014040D&quot;/&gt;&lt;wsp:rsid wsp:val=&quot;00140E0E&quot;/&gt;&lt;wsp:rsid wsp:val=&quot;00141044&quot;/&gt;&lt;wsp:rsid wsp:val=&quot;00141079&quot;/&gt;&lt;wsp:rsid wsp:val=&quot;0014165B&quot;/&gt;&lt;wsp:rsid wsp:val=&quot;00141B33&quot;/&gt;&lt;wsp:rsid wsp:val=&quot;00141FFC&quot;/&gt;&lt;wsp:rsid wsp:val=&quot;0014209D&quot;/&gt;&lt;wsp:rsid wsp:val=&quot;00142398&quot;/&gt;&lt;wsp:rsid wsp:val=&quot;001429F9&quot;/&gt;&lt;wsp:rsid wsp:val=&quot;00142A47&quot;/&gt;&lt;wsp:rsid wsp:val=&quot;001431B5&quot;/&gt;&lt;wsp:rsid wsp:val=&quot;001434DB&quot;/&gt;&lt;wsp:rsid wsp:val=&quot;00143751&quot;/&gt;&lt;wsp:rsid wsp:val=&quot;00143755&quot;/&gt;&lt;wsp:rsid wsp:val=&quot;00143870&quot;/&gt;&lt;wsp:rsid wsp:val=&quot;00143A78&quot;/&gt;&lt;wsp:rsid wsp:val=&quot;00143CE6&quot;/&gt;&lt;wsp:rsid wsp:val=&quot;00143E5C&quot;/&gt;&lt;wsp:rsid wsp:val=&quot;0014430E&quot;/&gt;&lt;wsp:rsid wsp:val=&quot;001443A1&quot;/&gt;&lt;wsp:rsid wsp:val=&quot;00144794&quot;/&gt;&lt;wsp:rsid wsp:val=&quot;001447B9&quot;/&gt;&lt;wsp:rsid wsp:val=&quot;001447F6&quot;/&gt;&lt;wsp:rsid wsp:val=&quot;001448B0&quot;/&gt;&lt;wsp:rsid wsp:val=&quot;00145097&quot;/&gt;&lt;wsp:rsid wsp:val=&quot;00145FB5&quot;/&gt;&lt;wsp:rsid wsp:val=&quot;0014649E&quot;/&gt;&lt;wsp:rsid wsp:val=&quot;001465B8&quot;/&gt;&lt;wsp:rsid wsp:val=&quot;001475AB&quot;/&gt;&lt;wsp:rsid wsp:val=&quot;00147718&quot;/&gt;&lt;wsp:rsid wsp:val=&quot;00150054&quot;/&gt;&lt;wsp:rsid wsp:val=&quot;0015054B&quot;/&gt;&lt;wsp:rsid wsp:val=&quot;00150698&quot;/&gt;&lt;wsp:rsid wsp:val=&quot;0015072F&quot;/&gt;&lt;wsp:rsid wsp:val=&quot;00150766&quot;/&gt;&lt;wsp:rsid wsp:val=&quot;00150843&quot;/&gt;&lt;wsp:rsid wsp:val=&quot;00151950&quot;/&gt;&lt;wsp:rsid wsp:val=&quot;00151C5E&quot;/&gt;&lt;wsp:rsid wsp:val=&quot;00151E62&quot;/&gt;&lt;wsp:rsid wsp:val=&quot;00152241&quot;/&gt;&lt;wsp:rsid wsp:val=&quot;00152BAE&quot;/&gt;&lt;wsp:rsid wsp:val=&quot;00152DFF&quot;/&gt;&lt;wsp:rsid wsp:val=&quot;00153787&quot;/&gt;&lt;wsp:rsid wsp:val=&quot;00153AF5&quot;/&gt;&lt;wsp:rsid wsp:val=&quot;00153F24&quot;/&gt;&lt;wsp:rsid wsp:val=&quot;00154483&quot;/&gt;&lt;wsp:rsid wsp:val=&quot;001544FA&quot;/&gt;&lt;wsp:rsid wsp:val=&quot;001547E3&quot;/&gt;&lt;wsp:rsid wsp:val=&quot;00154953&quot;/&gt;&lt;wsp:rsid wsp:val=&quot;00154AB7&quot;/&gt;&lt;wsp:rsid wsp:val=&quot;00154B16&quot;/&gt;&lt;wsp:rsid wsp:val=&quot;00154DFE&quot;/&gt;&lt;wsp:rsid wsp:val=&quot;001552D3&quot;/&gt;&lt;wsp:rsid wsp:val=&quot;001559E8&quot;/&gt;&lt;wsp:rsid wsp:val=&quot;0015601A&quot;/&gt;&lt;wsp:rsid wsp:val=&quot;00156184&quot;/&gt;&lt;wsp:rsid wsp:val=&quot;00156A17&quot;/&gt;&lt;wsp:rsid wsp:val=&quot;00156B81&quot;/&gt;&lt;wsp:rsid wsp:val=&quot;0015704E&quot;/&gt;&lt;wsp:rsid wsp:val=&quot;001574E1&quot;/&gt;&lt;wsp:rsid wsp:val=&quot;001575AF&quot;/&gt;&lt;wsp:rsid wsp:val=&quot;0015782F&quot;/&gt;&lt;wsp:rsid wsp:val=&quot;00157AFE&quot;/&gt;&lt;wsp:rsid wsp:val=&quot;001602F2&quot;/&gt;&lt;wsp:rsid wsp:val=&quot;00160664&quot;/&gt;&lt;wsp:rsid wsp:val=&quot;00160D95&quot;/&gt;&lt;wsp:rsid wsp:val=&quot;001612F0&quot;/&gt;&lt;wsp:rsid wsp:val=&quot;001615A4&quot;/&gt;&lt;wsp:rsid wsp:val=&quot;00161AAC&quot;/&gt;&lt;wsp:rsid wsp:val=&quot;00161B7C&quot;/&gt;&lt;wsp:rsid wsp:val=&quot;00162A3E&quot;/&gt;&lt;wsp:rsid wsp:val=&quot;00163260&quot;/&gt;&lt;wsp:rsid wsp:val=&quot;00163987&quot;/&gt;&lt;wsp:rsid wsp:val=&quot;001646F6&quot;/&gt;&lt;wsp:rsid wsp:val=&quot;00164AF2&quot;/&gt;&lt;wsp:rsid wsp:val=&quot;00164D06&quot;/&gt;&lt;wsp:rsid wsp:val=&quot;00165029&quot;/&gt;&lt;wsp:rsid wsp:val=&quot;00165647&quot;/&gt;&lt;wsp:rsid wsp:val=&quot;00165695&quot;/&gt;&lt;wsp:rsid wsp:val=&quot;0016573E&quot;/&gt;&lt;wsp:rsid wsp:val=&quot;00165A0C&quot;/&gt;&lt;wsp:rsid wsp:val=&quot;0016629B&quot;/&gt;&lt;wsp:rsid wsp:val=&quot;00166ABC&quot;/&gt;&lt;wsp:rsid wsp:val=&quot;00166B55&quot;/&gt;&lt;wsp:rsid wsp:val=&quot;00166CC5&quot;/&gt;&lt;wsp:rsid wsp:val=&quot;00167068&quot;/&gt;&lt;wsp:rsid wsp:val=&quot;00167263&quot;/&gt;&lt;wsp:rsid wsp:val=&quot;00167A8C&quot;/&gt;&lt;wsp:rsid wsp:val=&quot;00167E07&quot;/&gt;&lt;wsp:rsid wsp:val=&quot;00170052&quot;/&gt;&lt;wsp:rsid wsp:val=&quot;00170433&quot;/&gt;&lt;wsp:rsid wsp:val=&quot;0017069E&quot;/&gt;&lt;wsp:rsid wsp:val=&quot;0017094F&quot;/&gt;&lt;wsp:rsid wsp:val=&quot;00171047&quot;/&gt;&lt;wsp:rsid wsp:val=&quot;0017107D&quot;/&gt;&lt;wsp:rsid wsp:val=&quot;001715DE&quot;/&gt;&lt;wsp:rsid wsp:val=&quot;0017241A&quot;/&gt;&lt;wsp:rsid wsp:val=&quot;00172565&quot;/&gt;&lt;wsp:rsid wsp:val=&quot;00172572&quot;/&gt;&lt;wsp:rsid wsp:val=&quot;00172A89&quot;/&gt;&lt;wsp:rsid wsp:val=&quot;0017306B&quot;/&gt;&lt;wsp:rsid wsp:val=&quot;00173E1E&quot;/&gt;&lt;wsp:rsid wsp:val=&quot;00174067&quot;/&gt;&lt;wsp:rsid wsp:val=&quot;00174504&quot;/&gt;&lt;wsp:rsid wsp:val=&quot;001748F4&quot;/&gt;&lt;wsp:rsid wsp:val=&quot;00174C11&quot;/&gt;&lt;wsp:rsid wsp:val=&quot;00174EE1&quot;/&gt;&lt;wsp:rsid wsp:val=&quot;00175060&quot;/&gt;&lt;wsp:rsid wsp:val=&quot;0017535C&quot;/&gt;&lt;wsp:rsid wsp:val=&quot;00175632&quot;/&gt;&lt;wsp:rsid wsp:val=&quot;00175720&quot;/&gt;&lt;wsp:rsid wsp:val=&quot;00175909&quot;/&gt;&lt;wsp:rsid wsp:val=&quot;00175AD0&quot;/&gt;&lt;wsp:rsid wsp:val=&quot;00175EB3&quot;/&gt;&lt;wsp:rsid wsp:val=&quot;00175FE6&quot;/&gt;&lt;wsp:rsid wsp:val=&quot;00176341&quot;/&gt;&lt;wsp:rsid wsp:val=&quot;001766D4&quot;/&gt;&lt;wsp:rsid wsp:val=&quot;0017674E&quot;/&gt;&lt;wsp:rsid wsp:val=&quot;00176D85&quot;/&gt;&lt;wsp:rsid wsp:val=&quot;001777A1&quot;/&gt;&lt;wsp:rsid wsp:val=&quot;00177A3D&quot;/&gt;&lt;wsp:rsid wsp:val=&quot;00177CA7&quot;/&gt;&lt;wsp:rsid wsp:val=&quot;00177D28&quot;/&gt;&lt;wsp:rsid wsp:val=&quot;0018039F&quot;/&gt;&lt;wsp:rsid wsp:val=&quot;00180956&quot;/&gt;&lt;wsp:rsid wsp:val=&quot;00180C7C&quot;/&gt;&lt;wsp:rsid wsp:val=&quot;00180E74&quot;/&gt;&lt;wsp:rsid wsp:val=&quot;00180EF6&quot;/&gt;&lt;wsp:rsid wsp:val=&quot;001811A7&quot;/&gt;&lt;wsp:rsid wsp:val=&quot;001812A5&quot;/&gt;&lt;wsp:rsid wsp:val=&quot;001812CE&quot;/&gt;&lt;wsp:rsid wsp:val=&quot;0018148D&quot;/&gt;&lt;wsp:rsid wsp:val=&quot;00181693&quot;/&gt;&lt;wsp:rsid wsp:val=&quot;001819BE&quot;/&gt;&lt;wsp:rsid wsp:val=&quot;00181C6C&quot;/&gt;&lt;wsp:rsid wsp:val=&quot;00181F6A&quot;/&gt;&lt;wsp:rsid wsp:val=&quot;001825DA&quot;/&gt;&lt;wsp:rsid wsp:val=&quot;0018277D&quot;/&gt;&lt;wsp:rsid wsp:val=&quot;00182A5B&quot;/&gt;&lt;wsp:rsid wsp:val=&quot;00182D17&quot;/&gt;&lt;wsp:rsid wsp:val=&quot;001830C1&quot;/&gt;&lt;wsp:rsid wsp:val=&quot;00183239&quot;/&gt;&lt;wsp:rsid wsp:val=&quot;00183421&quot;/&gt;&lt;wsp:rsid wsp:val=&quot;001835BF&quot;/&gt;&lt;wsp:rsid wsp:val=&quot;001835F4&quot;/&gt;&lt;wsp:rsid wsp:val=&quot;00183AD4&quot;/&gt;&lt;wsp:rsid wsp:val=&quot;00183B6D&quot;/&gt;&lt;wsp:rsid wsp:val=&quot;001840C7&quot;/&gt;&lt;wsp:rsid wsp:val=&quot;0018414F&quot;/&gt;&lt;wsp:rsid wsp:val=&quot;001844A9&quot;/&gt;&lt;wsp:rsid wsp:val=&quot;00184754&quot;/&gt;&lt;wsp:rsid wsp:val=&quot;00184793&quot;/&gt;&lt;wsp:rsid wsp:val=&quot;00184BE5&quot;/&gt;&lt;wsp:rsid wsp:val=&quot;001854D8&quot;/&gt;&lt;wsp:rsid wsp:val=&quot;00185EB9&quot;/&gt;&lt;wsp:rsid wsp:val=&quot;00185FE2&quot;/&gt;&lt;wsp:rsid wsp:val=&quot;00186155&quot;/&gt;&lt;wsp:rsid wsp:val=&quot;001863D3&quot;/&gt;&lt;wsp:rsid wsp:val=&quot;0018645F&quot;/&gt;&lt;wsp:rsid wsp:val=&quot;00186824&quot;/&gt;&lt;wsp:rsid wsp:val=&quot;00186D14&quot;/&gt;&lt;wsp:rsid wsp:val=&quot;0018729A&quot;/&gt;&lt;wsp:rsid wsp:val=&quot;00187305&quot;/&gt;&lt;wsp:rsid wsp:val=&quot;00187491&quot;/&gt;&lt;wsp:rsid wsp:val=&quot;001875D1&quot;/&gt;&lt;wsp:rsid wsp:val=&quot;0018761E&quot;/&gt;&lt;wsp:rsid wsp:val=&quot;00190D0C&quot;/&gt;&lt;wsp:rsid wsp:val=&quot;00191003&quot;/&gt;&lt;wsp:rsid wsp:val=&quot;001911CD&quot;/&gt;&lt;wsp:rsid wsp:val=&quot;00191924&quot;/&gt;&lt;wsp:rsid wsp:val=&quot;0019214A&quot;/&gt;&lt;wsp:rsid wsp:val=&quot;0019244B&quot;/&gt;&lt;wsp:rsid wsp:val=&quot;00192670&quot;/&gt;&lt;wsp:rsid wsp:val=&quot;00192A46&quot;/&gt;&lt;wsp:rsid wsp:val=&quot;00192C20&quot;/&gt;&lt;wsp:rsid wsp:val=&quot;00193095&quot;/&gt;&lt;wsp:rsid wsp:val=&quot;0019318F&quot;/&gt;&lt;wsp:rsid wsp:val=&quot;001931B2&quot;/&gt;&lt;wsp:rsid wsp:val=&quot;00193270&quot;/&gt;&lt;wsp:rsid wsp:val=&quot;0019345A&quot;/&gt;&lt;wsp:rsid wsp:val=&quot;00193598&quot;/&gt;&lt;wsp:rsid wsp:val=&quot;0019366F&quot;/&gt;&lt;wsp:rsid wsp:val=&quot;001940A4&quot;/&gt;&lt;wsp:rsid wsp:val=&quot;00194725&quot;/&gt;&lt;wsp:rsid wsp:val=&quot;00194B0B&quot;/&gt;&lt;wsp:rsid wsp:val=&quot;0019556E&quot;/&gt;&lt;wsp:rsid wsp:val=&quot;00195CC7&quot;/&gt;&lt;wsp:rsid wsp:val=&quot;00195DCE&quot;/&gt;&lt;wsp:rsid wsp:val=&quot;001960B7&quot;/&gt;&lt;wsp:rsid wsp:val=&quot;0019619C&quot;/&gt;&lt;wsp:rsid wsp:val=&quot;0019633B&quot;/&gt;&lt;wsp:rsid wsp:val=&quot;0019672C&quot;/&gt;&lt;wsp:rsid wsp:val=&quot;00196756&quot;/&gt;&lt;wsp:rsid wsp:val=&quot;00196D13&quot;/&gt;&lt;wsp:rsid wsp:val=&quot;0019740D&quot;/&gt;&lt;wsp:rsid wsp:val=&quot;0019761A&quot;/&gt;&lt;wsp:rsid wsp:val=&quot;00197676&quot;/&gt;&lt;wsp:rsid wsp:val=&quot;00197F27&quot;/&gt;&lt;wsp:rsid wsp:val=&quot;001A017E&quot;/&gt;&lt;wsp:rsid wsp:val=&quot;001A0298&quot;/&gt;&lt;wsp:rsid wsp:val=&quot;001A0339&quot;/&gt;&lt;wsp:rsid wsp:val=&quot;001A033B&quot;/&gt;&lt;wsp:rsid wsp:val=&quot;001A09EC&quot;/&gt;&lt;wsp:rsid wsp:val=&quot;001A0DD7&quot;/&gt;&lt;wsp:rsid wsp:val=&quot;001A0E92&quot;/&gt;&lt;wsp:rsid wsp:val=&quot;001A0EA8&quot;/&gt;&lt;wsp:rsid wsp:val=&quot;001A1277&quot;/&gt;&lt;wsp:rsid wsp:val=&quot;001A1619&quot;/&gt;&lt;wsp:rsid wsp:val=&quot;001A165B&quot;/&gt;&lt;wsp:rsid wsp:val=&quot;001A1B95&quot;/&gt;&lt;wsp:rsid wsp:val=&quot;001A2121&quot;/&gt;&lt;wsp:rsid wsp:val=&quot;001A2405&quot;/&gt;&lt;wsp:rsid wsp:val=&quot;001A260A&quot;/&gt;&lt;wsp:rsid wsp:val=&quot;001A2675&quot;/&gt;&lt;wsp:rsid wsp:val=&quot;001A26AA&quot;/&gt;&lt;wsp:rsid wsp:val=&quot;001A2BDB&quot;/&gt;&lt;wsp:rsid wsp:val=&quot;001A362B&quot;/&gt;&lt;wsp:rsid wsp:val=&quot;001A382C&quot;/&gt;&lt;wsp:rsid wsp:val=&quot;001A3FD6&quot;/&gt;&lt;wsp:rsid wsp:val=&quot;001A4B97&quot;/&gt;&lt;wsp:rsid wsp:val=&quot;001A4DDE&quot;/&gt;&lt;wsp:rsid wsp:val=&quot;001A5199&quot;/&gt;&lt;wsp:rsid wsp:val=&quot;001A5252&quot;/&gt;&lt;wsp:rsid wsp:val=&quot;001A53E0&quot;/&gt;&lt;wsp:rsid wsp:val=&quot;001A53FD&quot;/&gt;&lt;wsp:rsid wsp:val=&quot;001A54FB&quot;/&gt;&lt;wsp:rsid wsp:val=&quot;001A5BC2&quot;/&gt;&lt;wsp:rsid wsp:val=&quot;001A5C95&quot;/&gt;&lt;wsp:rsid wsp:val=&quot;001A5FD8&quot;/&gt;&lt;wsp:rsid wsp:val=&quot;001A6D65&quot;/&gt;&lt;wsp:rsid wsp:val=&quot;001A6E6B&quot;/&gt;&lt;wsp:rsid wsp:val=&quot;001A72A1&quot;/&gt;&lt;wsp:rsid wsp:val=&quot;001A7428&quot;/&gt;&lt;wsp:rsid wsp:val=&quot;001A7A53&quot;/&gt;&lt;wsp:rsid wsp:val=&quot;001B05B6&quot;/&gt;&lt;wsp:rsid wsp:val=&quot;001B0839&quot;/&gt;&lt;wsp:rsid wsp:val=&quot;001B0881&quot;/&gt;&lt;wsp:rsid wsp:val=&quot;001B0BDB&quot;/&gt;&lt;wsp:rsid wsp:val=&quot;001B0DF0&quot;/&gt;&lt;wsp:rsid wsp:val=&quot;001B1987&quot;/&gt;&lt;wsp:rsid wsp:val=&quot;001B19A7&quot;/&gt;&lt;wsp:rsid wsp:val=&quot;001B1B75&quot;/&gt;&lt;wsp:rsid wsp:val=&quot;001B1C5E&quot;/&gt;&lt;wsp:rsid wsp:val=&quot;001B2085&quot;/&gt;&lt;wsp:rsid wsp:val=&quot;001B2088&quot;/&gt;&lt;wsp:rsid wsp:val=&quot;001B2DF5&quot;/&gt;&lt;wsp:rsid wsp:val=&quot;001B2FC1&quot;/&gt;&lt;wsp:rsid wsp:val=&quot;001B3551&quot;/&gt;&lt;wsp:rsid wsp:val=&quot;001B3AD2&quot;/&gt;&lt;wsp:rsid wsp:val=&quot;001B3D05&quot;/&gt;&lt;wsp:rsid wsp:val=&quot;001B3E23&quot;/&gt;&lt;wsp:rsid wsp:val=&quot;001B4026&quot;/&gt;&lt;wsp:rsid wsp:val=&quot;001B4152&quot;/&gt;&lt;wsp:rsid wsp:val=&quot;001B41C4&quot;/&gt;&lt;wsp:rsid wsp:val=&quot;001B4330&quot;/&gt;&lt;wsp:rsid wsp:val=&quot;001B46A2&quot;/&gt;&lt;wsp:rsid wsp:val=&quot;001B46EC&quot;/&gt;&lt;wsp:rsid wsp:val=&quot;001B4C55&quot;/&gt;&lt;wsp:rsid wsp:val=&quot;001B4FD9&quot;/&gt;&lt;wsp:rsid wsp:val=&quot;001B5599&quot;/&gt;&lt;wsp:rsid wsp:val=&quot;001B597C&quot;/&gt;&lt;wsp:rsid wsp:val=&quot;001B5BD6&quot;/&gt;&lt;wsp:rsid wsp:val=&quot;001B5D0F&quot;/&gt;&lt;wsp:rsid wsp:val=&quot;001B5E6C&quot;/&gt;&lt;wsp:rsid wsp:val=&quot;001B6390&quot;/&gt;&lt;wsp:rsid wsp:val=&quot;001B6CEC&quot;/&gt;&lt;wsp:rsid wsp:val=&quot;001B6E59&quot;/&gt;&lt;wsp:rsid wsp:val=&quot;001B718C&quot;/&gt;&lt;wsp:rsid wsp:val=&quot;001B7518&quot;/&gt;&lt;wsp:rsid wsp:val=&quot;001B7AF2&quot;/&gt;&lt;wsp:rsid wsp:val=&quot;001B7ED7&quot;/&gt;&lt;wsp:rsid wsp:val=&quot;001C0350&quot;/&gt;&lt;wsp:rsid wsp:val=&quot;001C0C1A&quot;/&gt;&lt;wsp:rsid wsp:val=&quot;001C11DD&quot;/&gt;&lt;wsp:rsid wsp:val=&quot;001C11F6&quot;/&gt;&lt;wsp:rsid wsp:val=&quot;001C1367&quot;/&gt;&lt;wsp:rsid wsp:val=&quot;001C1384&quot;/&gt;&lt;wsp:rsid wsp:val=&quot;001C13AF&quot;/&gt;&lt;wsp:rsid wsp:val=&quot;001C1477&quot;/&gt;&lt;wsp:rsid wsp:val=&quot;001C1650&quot;/&gt;&lt;wsp:rsid wsp:val=&quot;001C177E&quot;/&gt;&lt;wsp:rsid wsp:val=&quot;001C1CFC&quot;/&gt;&lt;wsp:rsid wsp:val=&quot;001C1D74&quot;/&gt;&lt;wsp:rsid wsp:val=&quot;001C1FA2&quot;/&gt;&lt;wsp:rsid wsp:val=&quot;001C2238&quot;/&gt;&lt;wsp:rsid wsp:val=&quot;001C2857&quot;/&gt;&lt;wsp:rsid wsp:val=&quot;001C2FAB&quot;/&gt;&lt;wsp:rsid wsp:val=&quot;001C32DD&quot;/&gt;&lt;wsp:rsid wsp:val=&quot;001C36D5&quot;/&gt;&lt;wsp:rsid wsp:val=&quot;001C3C03&quot;/&gt;&lt;wsp:rsid wsp:val=&quot;001C3EF3&quot;/&gt;&lt;wsp:rsid wsp:val=&quot;001C4329&quot;/&gt;&lt;wsp:rsid wsp:val=&quot;001C4719&quot;/&gt;&lt;wsp:rsid wsp:val=&quot;001C4C26&quot;/&gt;&lt;wsp:rsid wsp:val=&quot;001C5962&quot;/&gt;&lt;wsp:rsid wsp:val=&quot;001C5E2B&quot;/&gt;&lt;wsp:rsid wsp:val=&quot;001C6779&quot;/&gt;&lt;wsp:rsid wsp:val=&quot;001C6C18&quot;/&gt;&lt;wsp:rsid wsp:val=&quot;001C7136&quot;/&gt;&lt;wsp:rsid wsp:val=&quot;001C76C4&quot;/&gt;&lt;wsp:rsid wsp:val=&quot;001C76D0&quot;/&gt;&lt;wsp:rsid wsp:val=&quot;001C770E&quot;/&gt;&lt;wsp:rsid wsp:val=&quot;001C7B33&quot;/&gt;&lt;wsp:rsid wsp:val=&quot;001C7CA5&quot;/&gt;&lt;wsp:rsid wsp:val=&quot;001D02AD&quot;/&gt;&lt;wsp:rsid wsp:val=&quot;001D0A08&quot;/&gt;&lt;wsp:rsid wsp:val=&quot;001D0B24&quot;/&gt;&lt;wsp:rsid wsp:val=&quot;001D0BDA&quot;/&gt;&lt;wsp:rsid wsp:val=&quot;001D0C91&quot;/&gt;&lt;wsp:rsid wsp:val=&quot;001D0DF2&quot;/&gt;&lt;wsp:rsid wsp:val=&quot;001D0E81&quot;/&gt;&lt;wsp:rsid wsp:val=&quot;001D1472&quot;/&gt;&lt;wsp:rsid wsp:val=&quot;001D18E6&quot;/&gt;&lt;wsp:rsid wsp:val=&quot;001D1A78&quot;/&gt;&lt;wsp:rsid wsp:val=&quot;001D26E0&quot;/&gt;&lt;wsp:rsid wsp:val=&quot;001D2B45&quot;/&gt;&lt;wsp:rsid wsp:val=&quot;001D2B6E&quot;/&gt;&lt;wsp:rsid wsp:val=&quot;001D2BD5&quot;/&gt;&lt;wsp:rsid wsp:val=&quot;001D2DF0&quot;/&gt;&lt;wsp:rsid wsp:val=&quot;001D2FAB&quot;/&gt;&lt;wsp:rsid wsp:val=&quot;001D33B5&quot;/&gt;&lt;wsp:rsid wsp:val=&quot;001D35F9&quot;/&gt;&lt;wsp:rsid wsp:val=&quot;001D3612&quot;/&gt;&lt;wsp:rsid wsp:val=&quot;001D3B5D&quot;/&gt;&lt;wsp:rsid wsp:val=&quot;001D3BAB&quot;/&gt;&lt;wsp:rsid wsp:val=&quot;001D3FDA&quot;/&gt;&lt;wsp:rsid wsp:val=&quot;001D44A8&quot;/&gt;&lt;wsp:rsid wsp:val=&quot;001D4695&quot;/&gt;&lt;wsp:rsid wsp:val=&quot;001D4935&quot;/&gt;&lt;wsp:rsid wsp:val=&quot;001D4AD4&quot;/&gt;&lt;wsp:rsid wsp:val=&quot;001D4F2B&quot;/&gt;&lt;wsp:rsid wsp:val=&quot;001D54D5&quot;/&gt;&lt;wsp:rsid wsp:val=&quot;001D5801&quot;/&gt;&lt;wsp:rsid wsp:val=&quot;001D5BCE&quot;/&gt;&lt;wsp:rsid wsp:val=&quot;001D6148&quot;/&gt;&lt;wsp:rsid wsp:val=&quot;001D6654&quot;/&gt;&lt;wsp:rsid wsp:val=&quot;001D6A1E&quot;/&gt;&lt;wsp:rsid wsp:val=&quot;001D6F0E&quot;/&gt;&lt;wsp:rsid wsp:val=&quot;001D7073&quot;/&gt;&lt;wsp:rsid wsp:val=&quot;001D76D8&quot;/&gt;&lt;wsp:rsid wsp:val=&quot;001D785B&quot;/&gt;&lt;wsp:rsid wsp:val=&quot;001D7C93&quot;/&gt;&lt;wsp:rsid wsp:val=&quot;001D7E44&quot;/&gt;&lt;wsp:rsid wsp:val=&quot;001E031B&quot;/&gt;&lt;wsp:rsid wsp:val=&quot;001E03DE&quot;/&gt;&lt;wsp:rsid wsp:val=&quot;001E068A&quot;/&gt;&lt;wsp:rsid wsp:val=&quot;001E0729&quot;/&gt;&lt;wsp:rsid wsp:val=&quot;001E1760&quot;/&gt;&lt;wsp:rsid wsp:val=&quot;001E1AAD&quot;/&gt;&lt;wsp:rsid wsp:val=&quot;001E1F48&quot;/&gt;&lt;wsp:rsid wsp:val=&quot;001E2224&quot;/&gt;&lt;wsp:rsid wsp:val=&quot;001E24F7&quot;/&gt;&lt;wsp:rsid wsp:val=&quot;001E2DA5&quot;/&gt;&lt;wsp:rsid wsp:val=&quot;001E32A5&quot;/&gt;&lt;wsp:rsid wsp:val=&quot;001E347B&quot;/&gt;&lt;wsp:rsid wsp:val=&quot;001E3F3B&quot;/&gt;&lt;wsp:rsid wsp:val=&quot;001E401E&quot;/&gt;&lt;wsp:rsid wsp:val=&quot;001E4261&quot;/&gt;&lt;wsp:rsid wsp:val=&quot;001E45E4&quot;/&gt;&lt;wsp:rsid wsp:val=&quot;001E4BC6&quot;/&gt;&lt;wsp:rsid wsp:val=&quot;001E4C48&quot;/&gt;&lt;wsp:rsid wsp:val=&quot;001E4F36&quot;/&gt;&lt;wsp:rsid wsp:val=&quot;001E570A&quot;/&gt;&lt;wsp:rsid wsp:val=&quot;001E596A&quot;/&gt;&lt;wsp:rsid wsp:val=&quot;001E59D7&quot;/&gt;&lt;wsp:rsid wsp:val=&quot;001E5A0D&quot;/&gt;&lt;wsp:rsid wsp:val=&quot;001E5AD4&quot;/&gt;&lt;wsp:rsid wsp:val=&quot;001E5AD5&quot;/&gt;&lt;wsp:rsid wsp:val=&quot;001E5C5B&quot;/&gt;&lt;wsp:rsid wsp:val=&quot;001E6428&quot;/&gt;&lt;wsp:rsid wsp:val=&quot;001E6758&quot;/&gt;&lt;wsp:rsid wsp:val=&quot;001E6EB4&quot;/&gt;&lt;wsp:rsid wsp:val=&quot;001E70C7&quot;/&gt;&lt;wsp:rsid wsp:val=&quot;001E7226&quot;/&gt;&lt;wsp:rsid wsp:val=&quot;001E7275&quot;/&gt;&lt;wsp:rsid wsp:val=&quot;001E75C4&quot;/&gt;&lt;wsp:rsid wsp:val=&quot;001E7D99&quot;/&gt;&lt;wsp:rsid wsp:val=&quot;001F073A&quot;/&gt;&lt;wsp:rsid wsp:val=&quot;001F0892&quot;/&gt;&lt;wsp:rsid wsp:val=&quot;001F0B0B&quot;/&gt;&lt;wsp:rsid wsp:val=&quot;001F11A4&quot;/&gt;&lt;wsp:rsid wsp:val=&quot;001F1745&quot;/&gt;&lt;wsp:rsid wsp:val=&quot;001F179C&quot;/&gt;&lt;wsp:rsid wsp:val=&quot;001F1EE0&quot;/&gt;&lt;wsp:rsid wsp:val=&quot;001F230B&quot;/&gt;&lt;wsp:rsid wsp:val=&quot;001F2315&quot;/&gt;&lt;wsp:rsid wsp:val=&quot;001F2418&quot;/&gt;&lt;wsp:rsid wsp:val=&quot;001F2C4F&quot;/&gt;&lt;wsp:rsid wsp:val=&quot;001F322F&quot;/&gt;&lt;wsp:rsid wsp:val=&quot;001F3560&quot;/&gt;&lt;wsp:rsid wsp:val=&quot;001F3906&quot;/&gt;&lt;wsp:rsid wsp:val=&quot;001F3918&quot;/&gt;&lt;wsp:rsid wsp:val=&quot;001F395A&quot;/&gt;&lt;wsp:rsid wsp:val=&quot;001F3A68&quot;/&gt;&lt;wsp:rsid wsp:val=&quot;001F401D&quot;/&gt;&lt;wsp:rsid wsp:val=&quot;001F4063&quot;/&gt;&lt;wsp:rsid wsp:val=&quot;001F4312&quot;/&gt;&lt;wsp:rsid wsp:val=&quot;001F49E3&quot;/&gt;&lt;wsp:rsid wsp:val=&quot;001F4B8C&quot;/&gt;&lt;wsp:rsid wsp:val=&quot;001F4BA2&quot;/&gt;&lt;wsp:rsid wsp:val=&quot;001F4F88&quot;/&gt;&lt;wsp:rsid wsp:val=&quot;001F54E1&quot;/&gt;&lt;wsp:rsid wsp:val=&quot;001F5C7C&quot;/&gt;&lt;wsp:rsid wsp:val=&quot;001F5E99&quot;/&gt;&lt;wsp:rsid wsp:val=&quot;001F677D&quot;/&gt;&lt;wsp:rsid wsp:val=&quot;001F6904&quot;/&gt;&lt;wsp:rsid wsp:val=&quot;001F6C6D&quot;/&gt;&lt;wsp:rsid wsp:val=&quot;001F7140&quot;/&gt;&lt;wsp:rsid wsp:val=&quot;001F776C&quot;/&gt;&lt;wsp:rsid wsp:val=&quot;001F7812&quot;/&gt;&lt;wsp:rsid wsp:val=&quot;001F7ECC&quot;/&gt;&lt;wsp:rsid wsp:val=&quot;0020031A&quot;/&gt;&lt;wsp:rsid wsp:val=&quot;002005E5&quot;/&gt;&lt;wsp:rsid wsp:val=&quot;002009F9&quot;/&gt;&lt;wsp:rsid wsp:val=&quot;00200AEC&quot;/&gt;&lt;wsp:rsid wsp:val=&quot;002013AA&quot;/&gt;&lt;wsp:rsid wsp:val=&quot;002017AD&quot;/&gt;&lt;wsp:rsid wsp:val=&quot;00202623&quot;/&gt;&lt;wsp:rsid wsp:val=&quot;00202982&quot;/&gt;&lt;wsp:rsid wsp:val=&quot;002029A9&quot;/&gt;&lt;wsp:rsid wsp:val=&quot;00202A7D&quot;/&gt;&lt;wsp:rsid wsp:val=&quot;00202CC2&quot;/&gt;&lt;wsp:rsid wsp:val=&quot;00203122&quot;/&gt;&lt;wsp:rsid wsp:val=&quot;00203261&quot;/&gt;&lt;wsp:rsid wsp:val=&quot;0020357F&quot;/&gt;&lt;wsp:rsid wsp:val=&quot;00203601&quot;/&gt;&lt;wsp:rsid wsp:val=&quot;00203921&quot;/&gt;&lt;wsp:rsid wsp:val=&quot;00203F47&quot;/&gt;&lt;wsp:rsid wsp:val=&quot;0020424C&quot;/&gt;&lt;wsp:rsid wsp:val=&quot;002043D5&quot;/&gt;&lt;wsp:rsid wsp:val=&quot;0020451E&quot;/&gt;&lt;wsp:rsid wsp:val=&quot;00204B8D&quot;/&gt;&lt;wsp:rsid wsp:val=&quot;00204D00&quot;/&gt;&lt;wsp:rsid wsp:val=&quot;00204DCF&quot;/&gt;&lt;wsp:rsid wsp:val=&quot;002058AC&quot;/&gt;&lt;wsp:rsid wsp:val=&quot;00205A36&quot;/&gt;&lt;wsp:rsid wsp:val=&quot;00205A41&quot;/&gt;&lt;wsp:rsid wsp:val=&quot;00205BE1&quot;/&gt;&lt;wsp:rsid wsp:val=&quot;0020661B&quot;/&gt;&lt;wsp:rsid wsp:val=&quot;00206ACA&quot;/&gt;&lt;wsp:rsid wsp:val=&quot;00206BB6&quot;/&gt;&lt;wsp:rsid wsp:val=&quot;00206DA6&quot;/&gt;&lt;wsp:rsid wsp:val=&quot;002078C7&quot;/&gt;&lt;wsp:rsid wsp:val=&quot;00207A54&quot;/&gt;&lt;wsp:rsid wsp:val=&quot;00207C3E&quot;/&gt;&lt;wsp:rsid wsp:val=&quot;00207D7C&quot;/&gt;&lt;wsp:rsid wsp:val=&quot;0021089C&quot;/&gt;&lt;wsp:rsid wsp:val=&quot;00210D89&quot;/&gt;&lt;wsp:rsid wsp:val=&quot;00211566&quot;/&gt;&lt;wsp:rsid wsp:val=&quot;002118CD&quot;/&gt;&lt;wsp:rsid wsp:val=&quot;00211AA5&quot;/&gt;&lt;wsp:rsid wsp:val=&quot;00212030&quot;/&gt;&lt;wsp:rsid wsp:val=&quot;002125EA&quot;/&gt;&lt;wsp:rsid wsp:val=&quot;00212CCA&quot;/&gt;&lt;wsp:rsid wsp:val=&quot;00212EC4&quot;/&gt;&lt;wsp:rsid wsp:val=&quot;00212F17&quot;/&gt;&lt;wsp:rsid wsp:val=&quot;00213486&quot;/&gt;&lt;wsp:rsid wsp:val=&quot;0021353E&quot;/&gt;&lt;wsp:rsid wsp:val=&quot;0021366F&quot;/&gt;&lt;wsp:rsid wsp:val=&quot;00213D33&quot;/&gt;&lt;wsp:rsid wsp:val=&quot;00214364&quot;/&gt;&lt;wsp:rsid wsp:val=&quot;0021495F&quot;/&gt;&lt;wsp:rsid wsp:val=&quot;002150F8&quot;/&gt;&lt;wsp:rsid wsp:val=&quot;002153D2&quot;/&gt;&lt;wsp:rsid wsp:val=&quot;002157DC&quot;/&gt;&lt;wsp:rsid wsp:val=&quot;00215AEF&quot;/&gt;&lt;wsp:rsid wsp:val=&quot;002160B4&quot;/&gt;&lt;wsp:rsid wsp:val=&quot;002168CE&quot;/&gt;&lt;wsp:rsid wsp:val=&quot;00216A79&quot;/&gt;&lt;wsp:rsid wsp:val=&quot;00216FCD&quot;/&gt;&lt;wsp:rsid wsp:val=&quot;00217179&quot;/&gt;&lt;wsp:rsid wsp:val=&quot;00217964&quot;/&gt;&lt;wsp:rsid wsp:val=&quot;00217CFA&quot;/&gt;&lt;wsp:rsid wsp:val=&quot;00220307&quot;/&gt;&lt;wsp:rsid wsp:val=&quot;002206DE&quot;/&gt;&lt;wsp:rsid wsp:val=&quot;002208DF&quot;/&gt;&lt;wsp:rsid wsp:val=&quot;002224C1&quot;/&gt;&lt;wsp:rsid wsp:val=&quot;00222A8B&quot;/&gt;&lt;wsp:rsid wsp:val=&quot;00222BB9&quot;/&gt;&lt;wsp:rsid wsp:val=&quot;00222E7E&quot;/&gt;&lt;wsp:rsid wsp:val=&quot;002236DD&quot;/&gt;&lt;wsp:rsid wsp:val=&quot;00223872&quot;/&gt;&lt;wsp:rsid wsp:val=&quot;00223992&quot;/&gt;&lt;wsp:rsid wsp:val=&quot;00223F65&quot;/&gt;&lt;wsp:rsid wsp:val=&quot;002246EF&quot;/&gt;&lt;wsp:rsid wsp:val=&quot;00224702&quot;/&gt;&lt;wsp:rsid wsp:val=&quot;00224EF5&quot;/&gt;&lt;wsp:rsid wsp:val=&quot;002252A3&quot;/&gt;&lt;wsp:rsid wsp:val=&quot;0022595C&quot;/&gt;&lt;wsp:rsid wsp:val=&quot;00225A86&quot;/&gt;&lt;wsp:rsid wsp:val=&quot;00225A8D&quot;/&gt;&lt;wsp:rsid wsp:val=&quot;00225A90&quot;/&gt;&lt;wsp:rsid wsp:val=&quot;00226027&quot;/&gt;&lt;wsp:rsid wsp:val=&quot;00226040&quot;/&gt;&lt;wsp:rsid wsp:val=&quot;00226415&quot;/&gt;&lt;wsp:rsid wsp:val=&quot;00226F20&quot;/&gt;&lt;wsp:rsid wsp:val=&quot;002270FB&quot;/&gt;&lt;wsp:rsid wsp:val=&quot;00230881&quot;/&gt;&lt;wsp:rsid wsp:val=&quot;002308E8&quot;/&gt;&lt;wsp:rsid wsp:val=&quot;00230BF5&quot;/&gt;&lt;wsp:rsid wsp:val=&quot;00230E2F&quot;/&gt;&lt;wsp:rsid wsp:val=&quot;00231609&quot;/&gt;&lt;wsp:rsid wsp:val=&quot;00231703&quot;/&gt;&lt;wsp:rsid wsp:val=&quot;00231719&quot;/&gt;&lt;wsp:rsid wsp:val=&quot;00231F5B&quot;/&gt;&lt;wsp:rsid wsp:val=&quot;002320A4&quot;/&gt;&lt;wsp:rsid wsp:val=&quot;0023375F&quot;/&gt;&lt;wsp:rsid wsp:val=&quot;00233910&quot;/&gt;&lt;wsp:rsid wsp:val=&quot;00233A0E&quot;/&gt;&lt;wsp:rsid wsp:val=&quot;00233B91&quot;/&gt;&lt;wsp:rsid wsp:val=&quot;00233BF0&quot;/&gt;&lt;wsp:rsid wsp:val=&quot;00233E8C&quot;/&gt;&lt;wsp:rsid wsp:val=&quot;00234410&quot;/&gt;&lt;wsp:rsid wsp:val=&quot;0023449B&quot;/&gt;&lt;wsp:rsid wsp:val=&quot;00234540&quot;/&gt;&lt;wsp:rsid wsp:val=&quot;002346B9&quot;/&gt;&lt;wsp:rsid wsp:val=&quot;002347C8&quot;/&gt;&lt;wsp:rsid wsp:val=&quot;00234937&quot;/&gt;&lt;wsp:rsid wsp:val=&quot;0023498C&quot;/&gt;&lt;wsp:rsid wsp:val=&quot;00234B9D&quot;/&gt;&lt;wsp:rsid wsp:val=&quot;00234DCB&quot;/&gt;&lt;wsp:rsid wsp:val=&quot;00234F43&quot;/&gt;&lt;wsp:rsid wsp:val=&quot;00235140&quot;/&gt;&lt;wsp:rsid wsp:val=&quot;00235370&quot;/&gt;&lt;wsp:rsid wsp:val=&quot;00235668&quot;/&gt;&lt;wsp:rsid wsp:val=&quot;00235AD1&quot;/&gt;&lt;wsp:rsid wsp:val=&quot;00235CCE&quot;/&gt;&lt;wsp:rsid wsp:val=&quot;00235DB8&quot;/&gt;&lt;wsp:rsid wsp:val=&quot;00235E84&quot;/&gt;&lt;wsp:rsid wsp:val=&quot;00236226&quot;/&gt;&lt;wsp:rsid wsp:val=&quot;002363F2&quot;/&gt;&lt;wsp:rsid wsp:val=&quot;00236A37&quot;/&gt;&lt;wsp:rsid wsp:val=&quot;00236A91&quot;/&gt;&lt;wsp:rsid wsp:val=&quot;00236B94&quot;/&gt;&lt;wsp:rsid wsp:val=&quot;0023716A&quot;/&gt;&lt;wsp:rsid wsp:val=&quot;00237351&quot;/&gt;&lt;wsp:rsid wsp:val=&quot;0023772A&quot;/&gt;&lt;wsp:rsid wsp:val=&quot;00237ADA&quot;/&gt;&lt;wsp:rsid wsp:val=&quot;0024020D&quot;/&gt;&lt;wsp:rsid wsp:val=&quot;00240733&quot;/&gt;&lt;wsp:rsid wsp:val=&quot;002407A6&quot;/&gt;&lt;wsp:rsid wsp:val=&quot;002411F3&quot;/&gt;&lt;wsp:rsid wsp:val=&quot;00241C4A&quot;/&gt;&lt;wsp:rsid wsp:val=&quot;00241F5E&quot;/&gt;&lt;wsp:rsid wsp:val=&quot;002420B0&quot;/&gt;&lt;wsp:rsid wsp:val=&quot;0024222B&quot;/&gt;&lt;wsp:rsid wsp:val=&quot;00242278&quot;/&gt;&lt;wsp:rsid wsp:val=&quot;002425F3&quot;/&gt;&lt;wsp:rsid wsp:val=&quot;00242A1F&quot;/&gt;&lt;wsp:rsid wsp:val=&quot;00242D22&quot;/&gt;&lt;wsp:rsid wsp:val=&quot;002437AF&quot;/&gt;&lt;wsp:rsid wsp:val=&quot;00243952&quot;/&gt;&lt;wsp:rsid wsp:val=&quot;00243B64&quot;/&gt;&lt;wsp:rsid wsp:val=&quot;002441A4&quot;/&gt;&lt;wsp:rsid wsp:val=&quot;002441C4&quot;/&gt;&lt;wsp:rsid wsp:val=&quot;002447C4&quot;/&gt;&lt;wsp:rsid wsp:val=&quot;0024489F&quot;/&gt;&lt;wsp:rsid wsp:val=&quot;00244D85&quot;/&gt;&lt;wsp:rsid wsp:val=&quot;00245177&quot;/&gt;&lt;wsp:rsid wsp:val=&quot;0024518A&quot;/&gt;&lt;wsp:rsid wsp:val=&quot;0024525D&quot;/&gt;&lt;wsp:rsid wsp:val=&quot;002455DD&quot;/&gt;&lt;wsp:rsid wsp:val=&quot;0024592E&quot;/&gt;&lt;wsp:rsid wsp:val=&quot;002459DC&quot;/&gt;&lt;wsp:rsid wsp:val=&quot;0024694D&quot;/&gt;&lt;wsp:rsid wsp:val=&quot;00246B7A&quot;/&gt;&lt;wsp:rsid wsp:val=&quot;002473B0&quot;/&gt;&lt;wsp:rsid wsp:val=&quot;00247BEC&quot;/&gt;&lt;wsp:rsid wsp:val=&quot;00250A0F&quot;/&gt;&lt;wsp:rsid wsp:val=&quot;00250D71&quot;/&gt;&lt;wsp:rsid wsp:val=&quot;0025175A&quot;/&gt;&lt;wsp:rsid wsp:val=&quot;00251FB6&quot;/&gt;&lt;wsp:rsid wsp:val=&quot;002523A4&quot;/&gt;&lt;wsp:rsid wsp:val=&quot;0025245D&quot;/&gt;&lt;wsp:rsid wsp:val=&quot;002524C2&quot;/&gt;&lt;wsp:rsid wsp:val=&quot;002527CE&quot;/&gt;&lt;wsp:rsid wsp:val=&quot;00253034&quot;/&gt;&lt;wsp:rsid wsp:val=&quot;00253371&quot;/&gt;&lt;wsp:rsid wsp:val=&quot;002539C6&quot;/&gt;&lt;wsp:rsid wsp:val=&quot;00253B94&quot;/&gt;&lt;wsp:rsid wsp:val=&quot;00253E92&quot;/&gt;&lt;wsp:rsid wsp:val=&quot;002541CD&quot;/&gt;&lt;wsp:rsid wsp:val=&quot;00254B3A&quot;/&gt;&lt;wsp:rsid wsp:val=&quot;00254E47&quot;/&gt;&lt;wsp:rsid wsp:val=&quot;002551FF&quot;/&gt;&lt;wsp:rsid wsp:val=&quot;002558DD&quot;/&gt;&lt;wsp:rsid wsp:val=&quot;0025618E&quot;/&gt;&lt;wsp:rsid wsp:val=&quot;002569BF&quot;/&gt;&lt;wsp:rsid wsp:val=&quot;00256C57&quot;/&gt;&lt;wsp:rsid wsp:val=&quot;00256CA5&quot;/&gt;&lt;wsp:rsid wsp:val=&quot;00256FE7&quot;/&gt;&lt;wsp:rsid wsp:val=&quot;00257A6B&quot;/&gt;&lt;wsp:rsid wsp:val=&quot;00260684&quot;/&gt;&lt;wsp:rsid wsp:val=&quot;00260FB2&quot;/&gt;&lt;wsp:rsid wsp:val=&quot;002614C0&quot;/&gt;&lt;wsp:rsid wsp:val=&quot;0026207B&quot;/&gt;&lt;wsp:rsid wsp:val=&quot;002620CF&quot;/&gt;&lt;wsp:rsid wsp:val=&quot;00262211&quot;/&gt;&lt;wsp:rsid wsp:val=&quot;0026279E&quot;/&gt;&lt;wsp:rsid wsp:val=&quot;002629C4&quot;/&gt;&lt;wsp:rsid wsp:val=&quot;00263338&quot;/&gt;&lt;wsp:rsid wsp:val=&quot;002639EE&quot;/&gt;&lt;wsp:rsid wsp:val=&quot;00263D3E&quot;/&gt;&lt;wsp:rsid wsp:val=&quot;00264067&quot;/&gt;&lt;wsp:rsid wsp:val=&quot;002643AD&quot;/&gt;&lt;wsp:rsid wsp:val=&quot;00264B1C&quot;/&gt;&lt;wsp:rsid wsp:val=&quot;00264D87&quot;/&gt;&lt;wsp:rsid wsp:val=&quot;0026501B&quot;/&gt;&lt;wsp:rsid wsp:val=&quot;002654A2&quot;/&gt;&lt;wsp:rsid wsp:val=&quot;00265806&quot;/&gt;&lt;wsp:rsid wsp:val=&quot;00265A0B&quot;/&gt;&lt;wsp:rsid wsp:val=&quot;00265F50&quot;/&gt;&lt;wsp:rsid wsp:val=&quot;00266085&quot;/&gt;&lt;wsp:rsid wsp:val=&quot;002660DA&quot;/&gt;&lt;wsp:rsid wsp:val=&quot;002662AB&quot;/&gt;&lt;wsp:rsid wsp:val=&quot;0026638B&quot;/&gt;&lt;wsp:rsid wsp:val=&quot;00267525&quot;/&gt;&lt;wsp:rsid wsp:val=&quot;002701CE&quot;/&gt;&lt;wsp:rsid wsp:val=&quot;00271042&quot;/&gt;&lt;wsp:rsid wsp:val=&quot;0027122C&quot;/&gt;&lt;wsp:rsid wsp:val=&quot;0027129C&quot;/&gt;&lt;wsp:rsid wsp:val=&quot;00271878&quot;/&gt;&lt;wsp:rsid wsp:val=&quot;002719F8&quot;/&gt;&lt;wsp:rsid wsp:val=&quot;00271D53&quot;/&gt;&lt;wsp:rsid wsp:val=&quot;00271F63&quot;/&gt;&lt;wsp:rsid wsp:val=&quot;0027248E&quot;/&gt;&lt;wsp:rsid wsp:val=&quot;002729DF&quot;/&gt;&lt;wsp:rsid wsp:val=&quot;002731EF&quot;/&gt;&lt;wsp:rsid wsp:val=&quot;0027331D&quot;/&gt;&lt;wsp:rsid wsp:val=&quot;0027333D&quot;/&gt;&lt;wsp:rsid wsp:val=&quot;002733A9&quot;/&gt;&lt;wsp:rsid wsp:val=&quot;0027376E&quot;/&gt;&lt;wsp:rsid wsp:val=&quot;00273EB7&quot;/&gt;&lt;wsp:rsid wsp:val=&quot;00273F05&quot;/&gt;&lt;wsp:rsid wsp:val=&quot;002746C3&quot;/&gt;&lt;wsp:rsid wsp:val=&quot;002749A8&quot;/&gt;&lt;wsp:rsid wsp:val=&quot;00275292&quot;/&gt;&lt;wsp:rsid wsp:val=&quot;0027558A&quot;/&gt;&lt;wsp:rsid wsp:val=&quot;00275CD3&quot;/&gt;&lt;wsp:rsid wsp:val=&quot;00275EA0&quot;/&gt;&lt;wsp:rsid wsp:val=&quot;00275FD8&quot;/&gt;&lt;wsp:rsid wsp:val=&quot;0027624B&quot;/&gt;&lt;wsp:rsid wsp:val=&quot;002762DF&quot;/&gt;&lt;wsp:rsid wsp:val=&quot;0027647D&quot;/&gt;&lt;wsp:rsid wsp:val=&quot;002767C0&quot;/&gt;&lt;wsp:rsid wsp:val=&quot;00276917&quot;/&gt;&lt;wsp:rsid wsp:val=&quot;00276A7D&quot;/&gt;&lt;wsp:rsid wsp:val=&quot;00276FC0&quot;/&gt;&lt;wsp:rsid wsp:val=&quot;00277612&quot;/&gt;&lt;wsp:rsid wsp:val=&quot;0027777A&quot;/&gt;&lt;wsp:rsid wsp:val=&quot;00277914&quot;/&gt;&lt;wsp:rsid wsp:val=&quot;00277946&quot;/&gt;&lt;wsp:rsid wsp:val=&quot;00277D95&quot;/&gt;&lt;wsp:rsid wsp:val=&quot;0028031F&quot;/&gt;&lt;wsp:rsid wsp:val=&quot;0028058B&quot;/&gt;&lt;wsp:rsid wsp:val=&quot;0028110B&quot;/&gt;&lt;wsp:rsid wsp:val=&quot;00281209&quot;/&gt;&lt;wsp:rsid wsp:val=&quot;0028158A&quot;/&gt;&lt;wsp:rsid wsp:val=&quot;00281F80&quot;/&gt;&lt;wsp:rsid wsp:val=&quot;0028217B&quot;/&gt;&lt;wsp:rsid wsp:val=&quot;00282264&quot;/&gt;&lt;wsp:rsid wsp:val=&quot;00282727&quot;/&gt;&lt;wsp:rsid wsp:val=&quot;00282906&quot;/&gt;&lt;wsp:rsid wsp:val=&quot;00282B6F&quot;/&gt;&lt;wsp:rsid wsp:val=&quot;00282F99&quot;/&gt;&lt;wsp:rsid wsp:val=&quot;00282FB7&quot;/&gt;&lt;wsp:rsid wsp:val=&quot;00282FC6&quot;/&gt;&lt;wsp:rsid wsp:val=&quot;002834C1&quot;/&gt;&lt;wsp:rsid wsp:val=&quot;002837BC&quot;/&gt;&lt;wsp:rsid wsp:val=&quot;00283EAE&quot;/&gt;&lt;wsp:rsid wsp:val=&quot;0028433F&quot;/&gt;&lt;wsp:rsid wsp:val=&quot;00284EF9&quot;/&gt;&lt;wsp:rsid wsp:val=&quot;00284F75&quot;/&gt;&lt;wsp:rsid wsp:val=&quot;00285283&quot;/&gt;&lt;wsp:rsid wsp:val=&quot;002852F0&quot;/&gt;&lt;wsp:rsid wsp:val=&quot;00285635&quot;/&gt;&lt;wsp:rsid wsp:val=&quot;00285CAC&quot;/&gt;&lt;wsp:rsid wsp:val=&quot;00285D5C&quot;/&gt;&lt;wsp:rsid wsp:val=&quot;00285E9A&quot;/&gt;&lt;wsp:rsid wsp:val=&quot;00285F5B&quot;/&gt;&lt;wsp:rsid wsp:val=&quot;00286696&quot;/&gt;&lt;wsp:rsid wsp:val=&quot;00286836&quot;/&gt;&lt;wsp:rsid wsp:val=&quot;002868F3&quot;/&gt;&lt;wsp:rsid wsp:val=&quot;00286905&quot;/&gt;&lt;wsp:rsid wsp:val=&quot;00286981&quot;/&gt;&lt;wsp:rsid wsp:val=&quot;00286C5E&quot;/&gt;&lt;wsp:rsid wsp:val=&quot;00286DCA&quot;/&gt;&lt;wsp:rsid wsp:val=&quot;00286FAF&quot;/&gt;&lt;wsp:rsid wsp:val=&quot;0028713E&quot;/&gt;&lt;wsp:rsid wsp:val=&quot;00287742&quot;/&gt;&lt;wsp:rsid wsp:val=&quot;002901C8&quot;/&gt;&lt;wsp:rsid wsp:val=&quot;00290548&quot;/&gt;&lt;wsp:rsid wsp:val=&quot;00290B8C&quot;/&gt;&lt;wsp:rsid wsp:val=&quot;00290C2C&quot;/&gt;&lt;wsp:rsid wsp:val=&quot;00291245&quot;/&gt;&lt;wsp:rsid wsp:val=&quot;0029153B&quot;/&gt;&lt;wsp:rsid wsp:val=&quot;00291DB1&quot;/&gt;&lt;wsp:rsid wsp:val=&quot;00291EF2&quot;/&gt;&lt;wsp:rsid wsp:val=&quot;002921BB&quot;/&gt;&lt;wsp:rsid wsp:val=&quot;002922BD&quot;/&gt;&lt;wsp:rsid wsp:val=&quot;00292394&quot;/&gt;&lt;wsp:rsid wsp:val=&quot;00292B30&quot;/&gt;&lt;wsp:rsid wsp:val=&quot;00292BE2&quot;/&gt;&lt;wsp:rsid wsp:val=&quot;00292D93&quot;/&gt;&lt;wsp:rsid wsp:val=&quot;00293138&quot;/&gt;&lt;wsp:rsid wsp:val=&quot;0029317A&quot;/&gt;&lt;wsp:rsid wsp:val=&quot;002934B9&quot;/&gt;&lt;wsp:rsid wsp:val=&quot;002942A0&quot;/&gt;&lt;wsp:rsid wsp:val=&quot;0029498B&quot;/&gt;&lt;wsp:rsid wsp:val=&quot;002949DB&quot;/&gt;&lt;wsp:rsid wsp:val=&quot;00294D3D&quot;/&gt;&lt;wsp:rsid wsp:val=&quot;002958D6&quot;/&gt;&lt;wsp:rsid wsp:val=&quot;00295D34&quot;/&gt;&lt;wsp:rsid wsp:val=&quot;00295FF1&quot;/&gt;&lt;wsp:rsid wsp:val=&quot;00296672&quot;/&gt;&lt;wsp:rsid wsp:val=&quot;00296ADB&quot;/&gt;&lt;wsp:rsid wsp:val=&quot;00296C9D&quot;/&gt;&lt;wsp:rsid wsp:val=&quot;0029713D&quot;/&gt;&lt;wsp:rsid wsp:val=&quot;00297293&quot;/&gt;&lt;wsp:rsid wsp:val=&quot;002976BB&quot;/&gt;&lt;wsp:rsid wsp:val=&quot;00297EFE&quot;/&gt;&lt;wsp:rsid wsp:val=&quot;002A0178&quot;/&gt;&lt;wsp:rsid wsp:val=&quot;002A057D&quot;/&gt;&lt;wsp:rsid wsp:val=&quot;002A07A0&quot;/&gt;&lt;wsp:rsid wsp:val=&quot;002A07F7&quot;/&gt;&lt;wsp:rsid wsp:val=&quot;002A17A4&quot;/&gt;&lt;wsp:rsid wsp:val=&quot;002A197A&quot;/&gt;&lt;wsp:rsid wsp:val=&quot;002A1AB5&quot;/&gt;&lt;wsp:rsid wsp:val=&quot;002A1B00&quot;/&gt;&lt;wsp:rsid wsp:val=&quot;002A1B20&quot;/&gt;&lt;wsp:rsid wsp:val=&quot;002A1F06&quot;/&gt;&lt;wsp:rsid wsp:val=&quot;002A2135&quot;/&gt;&lt;wsp:rsid wsp:val=&quot;002A26BF&quot;/&gt;&lt;wsp:rsid wsp:val=&quot;002A2E38&quot;/&gt;&lt;wsp:rsid wsp:val=&quot;002A3B3A&quot;/&gt;&lt;wsp:rsid wsp:val=&quot;002A403F&quot;/&gt;&lt;wsp:rsid wsp:val=&quot;002A4184&quot;/&gt;&lt;wsp:rsid wsp:val=&quot;002A4743&quot;/&gt;&lt;wsp:rsid wsp:val=&quot;002A47CB&quot;/&gt;&lt;wsp:rsid wsp:val=&quot;002A47EB&quot;/&gt;&lt;wsp:rsid wsp:val=&quot;002A48C1&quot;/&gt;&lt;wsp:rsid wsp:val=&quot;002A4BC3&quot;/&gt;&lt;wsp:rsid wsp:val=&quot;002A4ED5&quot;/&gt;&lt;wsp:rsid wsp:val=&quot;002A4F57&quot;/&gt;&lt;wsp:rsid wsp:val=&quot;002A511D&quot;/&gt;&lt;wsp:rsid wsp:val=&quot;002A573E&quot;/&gt;&lt;wsp:rsid wsp:val=&quot;002A5821&quot;/&gt;&lt;wsp:rsid wsp:val=&quot;002A58CA&quot;/&gt;&lt;wsp:rsid wsp:val=&quot;002A596D&quot;/&gt;&lt;wsp:rsid wsp:val=&quot;002A645A&quot;/&gt;&lt;wsp:rsid wsp:val=&quot;002A71BA&quot;/&gt;&lt;wsp:rsid wsp:val=&quot;002A75D0&quot;/&gt;&lt;wsp:rsid wsp:val=&quot;002A7A36&quot;/&gt;&lt;wsp:rsid wsp:val=&quot;002A7D15&quot;/&gt;&lt;wsp:rsid wsp:val=&quot;002A7DEF&quot;/&gt;&lt;wsp:rsid wsp:val=&quot;002B00D9&quot;/&gt;&lt;wsp:rsid wsp:val=&quot;002B013C&quot;/&gt;&lt;wsp:rsid wsp:val=&quot;002B01E7&quot;/&gt;&lt;wsp:rsid wsp:val=&quot;002B0A58&quot;/&gt;&lt;wsp:rsid wsp:val=&quot;002B0ECA&quot;/&gt;&lt;wsp:rsid wsp:val=&quot;002B0F93&quot;/&gt;&lt;wsp:rsid wsp:val=&quot;002B193C&quot;/&gt;&lt;wsp:rsid wsp:val=&quot;002B23D6&quot;/&gt;&lt;wsp:rsid wsp:val=&quot;002B2617&quot;/&gt;&lt;wsp:rsid wsp:val=&quot;002B279E&quot;/&gt;&lt;wsp:rsid wsp:val=&quot;002B28AD&quot;/&gt;&lt;wsp:rsid wsp:val=&quot;002B2E07&quot;/&gt;&lt;wsp:rsid wsp:val=&quot;002B2E2E&quot;/&gt;&lt;wsp:rsid wsp:val=&quot;002B30E0&quot;/&gt;&lt;wsp:rsid wsp:val=&quot;002B3201&quot;/&gt;&lt;wsp:rsid wsp:val=&quot;002B3221&quot;/&gt;&lt;wsp:rsid wsp:val=&quot;002B3680&quot;/&gt;&lt;wsp:rsid wsp:val=&quot;002B3B8B&quot;/&gt;&lt;wsp:rsid wsp:val=&quot;002B3E00&quot;/&gt;&lt;wsp:rsid wsp:val=&quot;002B41CB&quot;/&gt;&lt;wsp:rsid wsp:val=&quot;002B4842&quot;/&gt;&lt;wsp:rsid wsp:val=&quot;002B4846&quot;/&gt;&lt;wsp:rsid wsp:val=&quot;002B4A83&quot;/&gt;&lt;wsp:rsid wsp:val=&quot;002B4E93&quot;/&gt;&lt;wsp:rsid wsp:val=&quot;002B515E&quot;/&gt;&lt;wsp:rsid wsp:val=&quot;002B5547&quot;/&gt;&lt;wsp:rsid wsp:val=&quot;002B5549&quot;/&gt;&lt;wsp:rsid wsp:val=&quot;002B5D5A&quot;/&gt;&lt;wsp:rsid wsp:val=&quot;002B6065&quot;/&gt;&lt;wsp:rsid wsp:val=&quot;002B6093&quot;/&gt;&lt;wsp:rsid wsp:val=&quot;002B6815&quot;/&gt;&lt;wsp:rsid wsp:val=&quot;002B6D1A&quot;/&gt;&lt;wsp:rsid wsp:val=&quot;002B6D5D&quot;/&gt;&lt;wsp:rsid wsp:val=&quot;002B7977&quot;/&gt;&lt;wsp:rsid wsp:val=&quot;002B7BDD&quot;/&gt;&lt;wsp:rsid wsp:val=&quot;002B7C90&quot;/&gt;&lt;wsp:rsid wsp:val=&quot;002B7CC7&quot;/&gt;&lt;wsp:rsid wsp:val=&quot;002B7CEA&quot;/&gt;&lt;wsp:rsid wsp:val=&quot;002B7DCA&quot;/&gt;&lt;wsp:rsid wsp:val=&quot;002C0194&quot;/&gt;&lt;wsp:rsid wsp:val=&quot;002C03CE&quot;/&gt;&lt;wsp:rsid wsp:val=&quot;002C1763&quot;/&gt;&lt;wsp:rsid wsp:val=&quot;002C1EFE&quot;/&gt;&lt;wsp:rsid wsp:val=&quot;002C20C7&quot;/&gt;&lt;wsp:rsid wsp:val=&quot;002C21EA&quot;/&gt;&lt;wsp:rsid wsp:val=&quot;002C22A2&quot;/&gt;&lt;wsp:rsid wsp:val=&quot;002C267B&quot;/&gt;&lt;wsp:rsid wsp:val=&quot;002C2902&quot;/&gt;&lt;wsp:rsid wsp:val=&quot;002C2B5F&quot;/&gt;&lt;wsp:rsid wsp:val=&quot;002C2E7E&quot;/&gt;&lt;wsp:rsid wsp:val=&quot;002C3288&quot;/&gt;&lt;wsp:rsid wsp:val=&quot;002C39CD&quot;/&gt;&lt;wsp:rsid wsp:val=&quot;002C3B6F&quot;/&gt;&lt;wsp:rsid wsp:val=&quot;002C3E69&quot;/&gt;&lt;wsp:rsid wsp:val=&quot;002C452C&quot;/&gt;&lt;wsp:rsid wsp:val=&quot;002C4BE4&quot;/&gt;&lt;wsp:rsid wsp:val=&quot;002C4FDC&quot;/&gt;&lt;wsp:rsid wsp:val=&quot;002C5309&quot;/&gt;&lt;wsp:rsid wsp:val=&quot;002C53D3&quot;/&gt;&lt;wsp:rsid wsp:val=&quot;002C56C3&quot;/&gt;&lt;wsp:rsid wsp:val=&quot;002C5784&quot;/&gt;&lt;wsp:rsid wsp:val=&quot;002C582B&quot;/&gt;&lt;wsp:rsid wsp:val=&quot;002C58B2&quot;/&gt;&lt;wsp:rsid wsp:val=&quot;002C5AAF&quot;/&gt;&lt;wsp:rsid wsp:val=&quot;002C5E9F&quot;/&gt;&lt;wsp:rsid wsp:val=&quot;002C5F24&quot;/&gt;&lt;wsp:rsid wsp:val=&quot;002C6604&quot;/&gt;&lt;wsp:rsid wsp:val=&quot;002C6954&quot;/&gt;&lt;wsp:rsid wsp:val=&quot;002C6964&quot;/&gt;&lt;wsp:rsid wsp:val=&quot;002C73BC&quot;/&gt;&lt;wsp:rsid wsp:val=&quot;002C76A6&quot;/&gt;&lt;wsp:rsid wsp:val=&quot;002C7DBB&quot;/&gt;&lt;wsp:rsid wsp:val=&quot;002C7EF8&quot;/&gt;&lt;wsp:rsid wsp:val=&quot;002C7F0E&quot;/&gt;&lt;wsp:rsid wsp:val=&quot;002D0266&quot;/&gt;&lt;wsp:rsid wsp:val=&quot;002D0385&quot;/&gt;&lt;wsp:rsid wsp:val=&quot;002D04EF&quot;/&gt;&lt;wsp:rsid wsp:val=&quot;002D0BF8&quot;/&gt;&lt;wsp:rsid wsp:val=&quot;002D0C12&quot;/&gt;&lt;wsp:rsid wsp:val=&quot;002D0CB7&quot;/&gt;&lt;wsp:rsid wsp:val=&quot;002D0D0A&quot;/&gt;&lt;wsp:rsid wsp:val=&quot;002D0E25&quot;/&gt;&lt;wsp:rsid wsp:val=&quot;002D0F23&quot;/&gt;&lt;wsp:rsid wsp:val=&quot;002D14E1&quot;/&gt;&lt;wsp:rsid wsp:val=&quot;002D15AC&quot;/&gt;&lt;wsp:rsid wsp:val=&quot;002D1703&quot;/&gt;&lt;wsp:rsid wsp:val=&quot;002D196D&quot;/&gt;&lt;wsp:rsid wsp:val=&quot;002D1A50&quot;/&gt;&lt;wsp:rsid wsp:val=&quot;002D1BD3&quot;/&gt;&lt;wsp:rsid wsp:val=&quot;002D1C13&quot;/&gt;&lt;wsp:rsid wsp:val=&quot;002D22B5&quot;/&gt;&lt;wsp:rsid wsp:val=&quot;002D2585&quot;/&gt;&lt;wsp:rsid wsp:val=&quot;002D2754&quot;/&gt;&lt;wsp:rsid wsp:val=&quot;002D2AC8&quot;/&gt;&lt;wsp:rsid wsp:val=&quot;002D2B15&quot;/&gt;&lt;wsp:rsid wsp:val=&quot;002D32FC&quot;/&gt;&lt;wsp:rsid wsp:val=&quot;002D3B3F&quot;/&gt;&lt;wsp:rsid wsp:val=&quot;002D3BF6&quot;/&gt;&lt;wsp:rsid wsp:val=&quot;002D3FC6&quot;/&gt;&lt;wsp:rsid wsp:val=&quot;002D4030&quot;/&gt;&lt;wsp:rsid wsp:val=&quot;002D463D&quot;/&gt;&lt;wsp:rsid wsp:val=&quot;002D48C1&quot;/&gt;&lt;wsp:rsid wsp:val=&quot;002D4B56&quot;/&gt;&lt;wsp:rsid wsp:val=&quot;002D4CEA&quot;/&gt;&lt;wsp:rsid wsp:val=&quot;002D4E81&quot;/&gt;&lt;wsp:rsid wsp:val=&quot;002D5015&quot;/&gt;&lt;wsp:rsid wsp:val=&quot;002D539B&quot;/&gt;&lt;wsp:rsid wsp:val=&quot;002D5475&quot;/&gt;&lt;wsp:rsid wsp:val=&quot;002D5FB4&quot;/&gt;&lt;wsp:rsid wsp:val=&quot;002D6457&quot;/&gt;&lt;wsp:rsid wsp:val=&quot;002D6539&quot;/&gt;&lt;wsp:rsid wsp:val=&quot;002D6719&quot;/&gt;&lt;wsp:rsid wsp:val=&quot;002D6735&quot;/&gt;&lt;wsp:rsid wsp:val=&quot;002D6E13&quot;/&gt;&lt;wsp:rsid wsp:val=&quot;002D6F4A&quot;/&gt;&lt;wsp:rsid wsp:val=&quot;002D7410&quot;/&gt;&lt;wsp:rsid wsp:val=&quot;002D750E&quot;/&gt;&lt;wsp:rsid wsp:val=&quot;002D7640&quot;/&gt;&lt;wsp:rsid wsp:val=&quot;002D7934&quot;/&gt;&lt;wsp:rsid wsp:val=&quot;002D7A7E&quot;/&gt;&lt;wsp:rsid wsp:val=&quot;002D7B30&quot;/&gt;&lt;wsp:rsid wsp:val=&quot;002D7E38&quot;/&gt;&lt;wsp:rsid wsp:val=&quot;002E010F&quot;/&gt;&lt;wsp:rsid wsp:val=&quot;002E01AA&quot;/&gt;&lt;wsp:rsid wsp:val=&quot;002E0A2E&quot;/&gt;&lt;wsp:rsid wsp:val=&quot;002E1062&quot;/&gt;&lt;wsp:rsid wsp:val=&quot;002E18E2&quot;/&gt;&lt;wsp:rsid wsp:val=&quot;002E1C89&quot;/&gt;&lt;wsp:rsid wsp:val=&quot;002E23C9&quot;/&gt;&lt;wsp:rsid wsp:val=&quot;002E29CF&quot;/&gt;&lt;wsp:rsid wsp:val=&quot;002E2FF9&quot;/&gt;&lt;wsp:rsid wsp:val=&quot;002E3034&quot;/&gt;&lt;wsp:rsid wsp:val=&quot;002E30DA&quot;/&gt;&lt;wsp:rsid wsp:val=&quot;002E33F1&quot;/&gt;&lt;wsp:rsid wsp:val=&quot;002E37FB&quot;/&gt;&lt;wsp:rsid wsp:val=&quot;002E3978&quot;/&gt;&lt;wsp:rsid wsp:val=&quot;002E40A7&quot;/&gt;&lt;wsp:rsid wsp:val=&quot;002E40CA&quot;/&gt;&lt;wsp:rsid wsp:val=&quot;002E458A&quot;/&gt;&lt;wsp:rsid wsp:val=&quot;002E47AB&quot;/&gt;&lt;wsp:rsid wsp:val=&quot;002E49FB&quot;/&gt;&lt;wsp:rsid wsp:val=&quot;002E4CBF&quot;/&gt;&lt;wsp:rsid wsp:val=&quot;002E5304&quot;/&gt;&lt;wsp:rsid wsp:val=&quot;002E558C&quot;/&gt;&lt;wsp:rsid wsp:val=&quot;002E5649&quot;/&gt;&lt;wsp:rsid wsp:val=&quot;002E5697&quot;/&gt;&lt;wsp:rsid wsp:val=&quot;002E5D6D&quot;/&gt;&lt;wsp:rsid wsp:val=&quot;002E60F8&quot;/&gt;&lt;wsp:rsid wsp:val=&quot;002E66FC&quot;/&gt;&lt;wsp:rsid wsp:val=&quot;002E693F&quot;/&gt;&lt;wsp:rsid wsp:val=&quot;002E6BA0&quot;/&gt;&lt;wsp:rsid wsp:val=&quot;002E718E&quot;/&gt;&lt;wsp:rsid wsp:val=&quot;002E7B1C&quot;/&gt;&lt;wsp:rsid wsp:val=&quot;002F0030&quot;/&gt;&lt;wsp:rsid wsp:val=&quot;002F061E&quot;/&gt;&lt;wsp:rsid wsp:val=&quot;002F07D7&quot;/&gt;&lt;wsp:rsid wsp:val=&quot;002F0E9E&quot;/&gt;&lt;wsp:rsid wsp:val=&quot;002F102B&quot;/&gt;&lt;wsp:rsid wsp:val=&quot;002F1371&quot;/&gt;&lt;wsp:rsid wsp:val=&quot;002F2715&quot;/&gt;&lt;wsp:rsid wsp:val=&quot;002F31F2&quot;/&gt;&lt;wsp:rsid wsp:val=&quot;002F3303&quot;/&gt;&lt;wsp:rsid wsp:val=&quot;002F3768&quot;/&gt;&lt;wsp:rsid wsp:val=&quot;002F3B6F&quot;/&gt;&lt;wsp:rsid wsp:val=&quot;002F4192&quot;/&gt;&lt;wsp:rsid wsp:val=&quot;002F4379&quot;/&gt;&lt;wsp:rsid wsp:val=&quot;002F4668&quot;/&gt;&lt;wsp:rsid wsp:val=&quot;002F4EE4&quot;/&gt;&lt;wsp:rsid wsp:val=&quot;002F4F34&quot;/&gt;&lt;wsp:rsid wsp:val=&quot;002F521B&quot;/&gt;&lt;wsp:rsid wsp:val=&quot;002F52F8&quot;/&gt;&lt;wsp:rsid wsp:val=&quot;002F57E9&quot;/&gt;&lt;wsp:rsid wsp:val=&quot;002F584A&quot;/&gt;&lt;wsp:rsid wsp:val=&quot;002F5EF4&quot;/&gt;&lt;wsp:rsid wsp:val=&quot;002F60EB&quot;/&gt;&lt;wsp:rsid wsp:val=&quot;002F62CF&quot;/&gt;&lt;wsp:rsid wsp:val=&quot;002F77E3&quot;/&gt;&lt;wsp:rsid wsp:val=&quot;002F7972&quot;/&gt;&lt;wsp:rsid wsp:val=&quot;003003D3&quot;/&gt;&lt;wsp:rsid wsp:val=&quot;003003E4&quot;/&gt;&lt;wsp:rsid wsp:val=&quot;0030091D&quot;/&gt;&lt;wsp:rsid wsp:val=&quot;0030094C&quot;/&gt;&lt;wsp:rsid wsp:val=&quot;00300AEC&quot;/&gt;&lt;wsp:rsid wsp:val=&quot;00300C87&quot;/&gt;&lt;wsp:rsid wsp:val=&quot;0030120B&quot;/&gt;&lt;wsp:rsid wsp:val=&quot;0030145C&quot;/&gt;&lt;wsp:rsid wsp:val=&quot;00302585&quot;/&gt;&lt;wsp:rsid wsp:val=&quot;00302927&quot;/&gt;&lt;wsp:rsid wsp:val=&quot;00302993&quot;/&gt;&lt;wsp:rsid wsp:val=&quot;0030299A&quot;/&gt;&lt;wsp:rsid wsp:val=&quot;0030303B&quot;/&gt;&lt;wsp:rsid wsp:val=&quot;0030304F&quot;/&gt;&lt;wsp:rsid wsp:val=&quot;0030360F&quot;/&gt;&lt;wsp:rsid wsp:val=&quot;00303CFC&quot;/&gt;&lt;wsp:rsid wsp:val=&quot;00303F9A&quot;/&gt;&lt;wsp:rsid wsp:val=&quot;003041F7&quot;/&gt;&lt;wsp:rsid wsp:val=&quot;00304279&quot;/&gt;&lt;wsp:rsid wsp:val=&quot;0030482D&quot;/&gt;&lt;wsp:rsid wsp:val=&quot;00304B43&quot;/&gt;&lt;wsp:rsid wsp:val=&quot;00304BE6&quot;/&gt;&lt;wsp:rsid wsp:val=&quot;00305339&quot;/&gt;&lt;wsp:rsid wsp:val=&quot;0030577A&quot;/&gt;&lt;wsp:rsid wsp:val=&quot;00305808&quot;/&gt;&lt;wsp:rsid wsp:val=&quot;00306045&quot;/&gt;&lt;wsp:rsid wsp:val=&quot;003063F1&quot;/&gt;&lt;wsp:rsid wsp:val=&quot;003064E2&quot;/&gt;&lt;wsp:rsid wsp:val=&quot;00306600&quot;/&gt;&lt;wsp:rsid wsp:val=&quot;0030662F&quot;/&gt;&lt;wsp:rsid wsp:val=&quot;00306817&quot;/&gt;&lt;wsp:rsid wsp:val=&quot;00306D86&quot;/&gt;&lt;wsp:rsid wsp:val=&quot;00306F1F&quot;/&gt;&lt;wsp:rsid wsp:val=&quot;003072EB&quot;/&gt;&lt;wsp:rsid wsp:val=&quot;003102D1&quot;/&gt;&lt;wsp:rsid wsp:val=&quot;00310491&quot;/&gt;&lt;wsp:rsid wsp:val=&quot;003105CD&quot;/&gt;&lt;wsp:rsid wsp:val=&quot;00310779&quot;/&gt;&lt;wsp:rsid wsp:val=&quot;00310786&quot;/&gt;&lt;wsp:rsid wsp:val=&quot;00310B9A&quot;/&gt;&lt;wsp:rsid wsp:val=&quot;00311082&quot;/&gt;&lt;wsp:rsid wsp:val=&quot;003117C6&quot;/&gt;&lt;wsp:rsid wsp:val=&quot;00311CBD&quot;/&gt;&lt;wsp:rsid wsp:val=&quot;00312004&quot;/&gt;&lt;wsp:rsid wsp:val=&quot;0031206F&quot;/&gt;&lt;wsp:rsid wsp:val=&quot;00312649&quot;/&gt;&lt;wsp:rsid wsp:val=&quot;00312DD5&quot;/&gt;&lt;wsp:rsid wsp:val=&quot;0031322C&quot;/&gt;&lt;wsp:rsid wsp:val=&quot;0031338F&quot;/&gt;&lt;wsp:rsid wsp:val=&quot;003133C2&quot;/&gt;&lt;wsp:rsid wsp:val=&quot;00313670&quot;/&gt;&lt;wsp:rsid wsp:val=&quot;0031372A&quot;/&gt;&lt;wsp:rsid wsp:val=&quot;00313733&quot;/&gt;&lt;wsp:rsid wsp:val=&quot;003139D5&quot;/&gt;&lt;wsp:rsid wsp:val=&quot;00314488&quot;/&gt;&lt;wsp:rsid wsp:val=&quot;00314A55&quot;/&gt;&lt;wsp:rsid wsp:val=&quot;00314F94&quot;/&gt;&lt;wsp:rsid wsp:val=&quot;00315452&quot;/&gt;&lt;wsp:rsid wsp:val=&quot;00315682&quot;/&gt;&lt;wsp:rsid wsp:val=&quot;003156D1&quot;/&gt;&lt;wsp:rsid wsp:val=&quot;0031583A&quot;/&gt;&lt;wsp:rsid wsp:val=&quot;00315AD1&quot;/&gt;&lt;wsp:rsid wsp:val=&quot;00315BE5&quot;/&gt;&lt;wsp:rsid wsp:val=&quot;00315E93&quot;/&gt;&lt;wsp:rsid wsp:val=&quot;00315F6A&quot;/&gt;&lt;wsp:rsid wsp:val=&quot;003165A7&quot;/&gt;&lt;wsp:rsid wsp:val=&quot;003166B4&quot;/&gt;&lt;wsp:rsid wsp:val=&quot;00316F07&quot;/&gt;&lt;wsp:rsid wsp:val=&quot;00316F80&quot;/&gt;&lt;wsp:rsid wsp:val=&quot;00317124&quot;/&gt;&lt;wsp:rsid wsp:val=&quot;003172DA&quot;/&gt;&lt;wsp:rsid wsp:val=&quot;003173BB&quot;/&gt;&lt;wsp:rsid wsp:val=&quot;0031769B&quot;/&gt;&lt;wsp:rsid wsp:val=&quot;00317BDE&quot;/&gt;&lt;wsp:rsid wsp:val=&quot;00317D94&quot;/&gt;&lt;wsp:rsid wsp:val=&quot;00317E53&quot;/&gt;&lt;wsp:rsid wsp:val=&quot;00317E73&quot;/&gt;&lt;wsp:rsid wsp:val=&quot;00317FA4&quot;/&gt;&lt;wsp:rsid wsp:val=&quot;0032001F&quot;/&gt;&lt;wsp:rsid wsp:val=&quot;0032048E&quot;/&gt;&lt;wsp:rsid wsp:val=&quot;0032062E&quot;/&gt;&lt;wsp:rsid wsp:val=&quot;0032083D&quot;/&gt;&lt;wsp:rsid wsp:val=&quot;003208E1&quot;/&gt;&lt;wsp:rsid wsp:val=&quot;00320B05&quot;/&gt;&lt;wsp:rsid wsp:val=&quot;00320CFE&quot;/&gt;&lt;wsp:rsid wsp:val=&quot;00320ED3&quot;/&gt;&lt;wsp:rsid wsp:val=&quot;003214C6&quot;/&gt;&lt;wsp:rsid wsp:val=&quot;003219C9&quot;/&gt;&lt;wsp:rsid wsp:val=&quot;00321AD2&quot;/&gt;&lt;wsp:rsid wsp:val=&quot;00321C48&quot;/&gt;&lt;wsp:rsid wsp:val=&quot;003230E9&quot;/&gt;&lt;wsp:rsid wsp:val=&quot;0032331B&quot;/&gt;&lt;wsp:rsid wsp:val=&quot;003235C4&quot;/&gt;&lt;wsp:rsid wsp:val=&quot;003235CB&quot;/&gt;&lt;wsp:rsid wsp:val=&quot;003236D2&quot;/&gt;&lt;wsp:rsid wsp:val=&quot;003237D8&quot;/&gt;&lt;wsp:rsid wsp:val=&quot;00323828&quot;/&gt;&lt;wsp:rsid wsp:val=&quot;0032393E&quot;/&gt;&lt;wsp:rsid wsp:val=&quot;00323A06&quot;/&gt;&lt;wsp:rsid wsp:val=&quot;00323C50&quot;/&gt;&lt;wsp:rsid wsp:val=&quot;003240AF&quot;/&gt;&lt;wsp:rsid wsp:val=&quot;0032436C&quot;/&gt;&lt;wsp:rsid wsp:val=&quot;00324372&quot;/&gt;&lt;wsp:rsid wsp:val=&quot;003246A4&quot;/&gt;&lt;wsp:rsid wsp:val=&quot;00324BD8&quot;/&gt;&lt;wsp:rsid wsp:val=&quot;003250F2&quot;/&gt;&lt;wsp:rsid wsp:val=&quot;003251C1&quot;/&gt;&lt;wsp:rsid wsp:val=&quot;003254DA&quot;/&gt;&lt;wsp:rsid wsp:val=&quot;00325532&quot;/&gt;&lt;wsp:rsid wsp:val=&quot;003255BD&quot;/&gt;&lt;wsp:rsid wsp:val=&quot;003259F0&quot;/&gt;&lt;wsp:rsid wsp:val=&quot;00325BB0&quot;/&gt;&lt;wsp:rsid wsp:val=&quot;00325C32&quot;/&gt;&lt;wsp:rsid wsp:val=&quot;00326417&quot;/&gt;&lt;wsp:rsid wsp:val=&quot;00326DB6&quot;/&gt;&lt;wsp:rsid wsp:val=&quot;00327500&quot;/&gt;&lt;wsp:rsid wsp:val=&quot;00327E03&quot;/&gt;&lt;wsp:rsid wsp:val=&quot;0033020A&quot;/&gt;&lt;wsp:rsid wsp:val=&quot;00330F62&quot;/&gt;&lt;wsp:rsid wsp:val=&quot;003318E3&quot;/&gt;&lt;wsp:rsid wsp:val=&quot;00332138&quot;/&gt;&lt;wsp:rsid wsp:val=&quot;003324FC&quot;/&gt;&lt;wsp:rsid wsp:val=&quot;003331DF&quot;/&gt;&lt;wsp:rsid wsp:val=&quot;00333664&quot;/&gt;&lt;wsp:rsid wsp:val=&quot;0033369A&quot;/&gt;&lt;wsp:rsid wsp:val=&quot;003337DB&quot;/&gt;&lt;wsp:rsid wsp:val=&quot;0033393B&quot;/&gt;&lt;wsp:rsid wsp:val=&quot;003343B4&quot;/&gt;&lt;wsp:rsid wsp:val=&quot;00334822&quot;/&gt;&lt;wsp:rsid wsp:val=&quot;00334D10&quot;/&gt;&lt;wsp:rsid wsp:val=&quot;00334D1C&quot;/&gt;&lt;wsp:rsid wsp:val=&quot;00334E87&quot;/&gt;&lt;wsp:rsid wsp:val=&quot;00335368&quot;/&gt;&lt;wsp:rsid wsp:val=&quot;003356E5&quot;/&gt;&lt;wsp:rsid wsp:val=&quot;00335727&quot;/&gt;&lt;wsp:rsid wsp:val=&quot;00335E03&quot;/&gt;&lt;wsp:rsid wsp:val=&quot;00336379&quot;/&gt;&lt;wsp:rsid wsp:val=&quot;003363D7&quot;/&gt;&lt;wsp:rsid wsp:val=&quot;0033696D&quot;/&gt;&lt;wsp:rsid wsp:val=&quot;00336AD5&quot;/&gt;&lt;wsp:rsid wsp:val=&quot;003373A3&quot;/&gt;&lt;wsp:rsid wsp:val=&quot;00337486&quot;/&gt;&lt;wsp:rsid wsp:val=&quot;003378B4&quot;/&gt;&lt;wsp:rsid wsp:val=&quot;00337A16&quot;/&gt;&lt;wsp:rsid wsp:val=&quot;00340030&quot;/&gt;&lt;wsp:rsid wsp:val=&quot;00340280&quot;/&gt;&lt;wsp:rsid wsp:val=&quot;00340AEC&quot;/&gt;&lt;wsp:rsid wsp:val=&quot;00340F85&quot;/&gt;&lt;wsp:rsid wsp:val=&quot;003411E9&quot;/&gt;&lt;wsp:rsid wsp:val=&quot;00341259&quot;/&gt;&lt;wsp:rsid wsp:val=&quot;003412EC&quot;/&gt;&lt;wsp:rsid wsp:val=&quot;003416DD&quot;/&gt;&lt;wsp:rsid wsp:val=&quot;00341793&quot;/&gt;&lt;wsp:rsid wsp:val=&quot;00342002&quot;/&gt;&lt;wsp:rsid wsp:val=&quot;003420B1&quot;/&gt;&lt;wsp:rsid wsp:val=&quot;00342376&quot;/&gt;&lt;wsp:rsid wsp:val=&quot;00342466&quot;/&gt;&lt;wsp:rsid wsp:val=&quot;00342AFF&quot;/&gt;&lt;wsp:rsid wsp:val=&quot;00342F82&quot;/&gt;&lt;wsp:rsid wsp:val=&quot;0034319C&quot;/&gt;&lt;wsp:rsid wsp:val=&quot;003437E7&quot;/&gt;&lt;wsp:rsid wsp:val=&quot;0034390E&quot;/&gt;&lt;wsp:rsid wsp:val=&quot;00344744&quot;/&gt;&lt;wsp:rsid wsp:val=&quot;00344AEB&quot;/&gt;&lt;wsp:rsid wsp:val=&quot;00344B58&quot;/&gt;&lt;wsp:rsid wsp:val=&quot;00344CAE&quot;/&gt;&lt;wsp:rsid wsp:val=&quot;0034525B&quot;/&gt;&lt;wsp:rsid wsp:val=&quot;0034529F&quot;/&gt;&lt;wsp:rsid wsp:val=&quot;00346473&quot;/&gt;&lt;wsp:rsid wsp:val=&quot;003467B6&quot;/&gt;&lt;wsp:rsid wsp:val=&quot;00346DDE&quot;/&gt;&lt;wsp:rsid wsp:val=&quot;0034701D&quot;/&gt;&lt;wsp:rsid wsp:val=&quot;003474FC&quot;/&gt;&lt;wsp:rsid wsp:val=&quot;0034767A&quot;/&gt;&lt;wsp:rsid wsp:val=&quot;00347C5C&quot;/&gt;&lt;wsp:rsid wsp:val=&quot;00347E72&quot;/&gt;&lt;wsp:rsid wsp:val=&quot;00350280&quot;/&gt;&lt;wsp:rsid wsp:val=&quot;00350400&quot;/&gt;&lt;wsp:rsid wsp:val=&quot;00350464&quot;/&gt;&lt;wsp:rsid wsp:val=&quot;0035081E&quot;/&gt;&lt;wsp:rsid wsp:val=&quot;00350C2D&quot;/&gt;&lt;wsp:rsid wsp:val=&quot;00350F52&quot;/&gt;&lt;wsp:rsid wsp:val=&quot;003511DD&quot;/&gt;&lt;wsp:rsid wsp:val=&quot;00351433&quot;/&gt;&lt;wsp:rsid wsp:val=&quot;003531E7&quot;/&gt;&lt;wsp:rsid wsp:val=&quot;0035387B&quot;/&gt;&lt;wsp:rsid wsp:val=&quot;00353B14&quot;/&gt;&lt;wsp:rsid wsp:val=&quot;00354086&quot;/&gt;&lt;wsp:rsid wsp:val=&quot;003543E6&quot;/&gt;&lt;wsp:rsid wsp:val=&quot;0035446A&quot;/&gt;&lt;wsp:rsid wsp:val=&quot;003544EA&quot;/&gt;&lt;wsp:rsid wsp:val=&quot;0035481A&quot;/&gt;&lt;wsp:rsid wsp:val=&quot;00354901&quot;/&gt;&lt;wsp:rsid wsp:val=&quot;00354C27&quot;/&gt;&lt;wsp:rsid wsp:val=&quot;00354D6C&quot;/&gt;&lt;wsp:rsid wsp:val=&quot;0035565E&quot;/&gt;&lt;wsp:rsid wsp:val=&quot;003566C2&quot;/&gt;&lt;wsp:rsid wsp:val=&quot;00356A86&quot;/&gt;&lt;wsp:rsid wsp:val=&quot;00356B40&quot;/&gt;&lt;wsp:rsid wsp:val=&quot;00356FC0&quot;/&gt;&lt;wsp:rsid wsp:val=&quot;003570B6&quot;/&gt;&lt;wsp:rsid wsp:val=&quot;0035728C&quot;/&gt;&lt;wsp:rsid wsp:val=&quot;00357601&quot;/&gt;&lt;wsp:rsid wsp:val=&quot;00357683&quot;/&gt;&lt;wsp:rsid wsp:val=&quot;0036026F&quot;/&gt;&lt;wsp:rsid wsp:val=&quot;00360417&quot;/&gt;&lt;wsp:rsid wsp:val=&quot;003604CA&quot;/&gt;&lt;wsp:rsid wsp:val=&quot;003607B6&quot;/&gt;&lt;wsp:rsid wsp:val=&quot;00361007&quot;/&gt;&lt;wsp:rsid wsp:val=&quot;00361176&quot;/&gt;&lt;wsp:rsid wsp:val=&quot;00361362&quot;/&gt;&lt;wsp:rsid wsp:val=&quot;0036156A&quot;/&gt;&lt;wsp:rsid wsp:val=&quot;0036174C&quot;/&gt;&lt;wsp:rsid wsp:val=&quot;003618F8&quot;/&gt;&lt;wsp:rsid wsp:val=&quot;00361E1D&quot;/&gt;&lt;wsp:rsid wsp:val=&quot;00361EE4&quot;/&gt;&lt;wsp:rsid wsp:val=&quot;00361EE7&quot;/&gt;&lt;wsp:rsid wsp:val=&quot;00362298&quot;/&gt;&lt;wsp:rsid wsp:val=&quot;00362303&quot;/&gt;&lt;wsp:rsid wsp:val=&quot;0036238B&quot;/&gt;&lt;wsp:rsid wsp:val=&quot;0036242F&quot;/&gt;&lt;wsp:rsid wsp:val=&quot;00362447&quot;/&gt;&lt;wsp:rsid wsp:val=&quot;0036267A&quot;/&gt;&lt;wsp:rsid wsp:val=&quot;003629FF&quot;/&gt;&lt;wsp:rsid wsp:val=&quot;00362B25&quot;/&gt;&lt;wsp:rsid wsp:val=&quot;00362CC2&quot;/&gt;&lt;wsp:rsid wsp:val=&quot;00362D5A&quot;/&gt;&lt;wsp:rsid wsp:val=&quot;00362ED2&quot;/&gt;&lt;wsp:rsid wsp:val=&quot;00362F50&quot;/&gt;&lt;wsp:rsid wsp:val=&quot;003635E9&quot;/&gt;&lt;wsp:rsid wsp:val=&quot;0036368E&quot;/&gt;&lt;wsp:rsid wsp:val=&quot;00363A04&quot;/&gt;&lt;wsp:rsid wsp:val=&quot;00363B65&quot;/&gt;&lt;wsp:rsid wsp:val=&quot;00363B9C&quot;/&gt;&lt;wsp:rsid wsp:val=&quot;0036503A&quot;/&gt;&lt;wsp:rsid wsp:val=&quot;003650C4&quot;/&gt;&lt;wsp:rsid wsp:val=&quot;0036536F&quot;/&gt;&lt;wsp:rsid wsp:val=&quot;003656FD&quot;/&gt;&lt;wsp:rsid wsp:val=&quot;00365AF8&quot;/&gt;&lt;wsp:rsid wsp:val=&quot;00366230&quot;/&gt;&lt;wsp:rsid wsp:val=&quot;003664B4&quot;/&gt;&lt;wsp:rsid wsp:val=&quot;003668DD&quot;/&gt;&lt;wsp:rsid wsp:val=&quot;003668E7&quot;/&gt;&lt;wsp:rsid wsp:val=&quot;0036698F&quot;/&gt;&lt;wsp:rsid wsp:val=&quot;00366AC4&quot;/&gt;&lt;wsp:rsid wsp:val=&quot;00366DC0&quot;/&gt;&lt;wsp:rsid wsp:val=&quot;00366E27&quot;/&gt;&lt;wsp:rsid wsp:val=&quot;00367046&quot;/&gt;&lt;wsp:rsid wsp:val=&quot;00367140&quot;/&gt;&lt;wsp:rsid wsp:val=&quot;00367470&quot;/&gt;&lt;wsp:rsid wsp:val=&quot;00367573&quot;/&gt;&lt;wsp:rsid wsp:val=&quot;00367758&quot;/&gt;&lt;wsp:rsid wsp:val=&quot;00367B22&quot;/&gt;&lt;wsp:rsid wsp:val=&quot;00367B91&quot;/&gt;&lt;wsp:rsid wsp:val=&quot;00367E4B&quot;/&gt;&lt;wsp:rsid wsp:val=&quot;0037000A&quot;/&gt;&lt;wsp:rsid wsp:val=&quot;00370219&quot;/&gt;&lt;wsp:rsid wsp:val=&quot;0037043E&quot;/&gt;&lt;wsp:rsid wsp:val=&quot;003708D7&quot;/&gt;&lt;wsp:rsid wsp:val=&quot;003709B7&quot;/&gt;&lt;wsp:rsid wsp:val=&quot;003720AE&quot;/&gt;&lt;wsp:rsid wsp:val=&quot;00372677&quot;/&gt;&lt;wsp:rsid wsp:val=&quot;0037268F&quot;/&gt;&lt;wsp:rsid wsp:val=&quot;003726E7&quot;/&gt;&lt;wsp:rsid wsp:val=&quot;003727AB&quot;/&gt;&lt;wsp:rsid wsp:val=&quot;003727BE&quot;/&gt;&lt;wsp:rsid wsp:val=&quot;00372DE1&quot;/&gt;&lt;wsp:rsid wsp:val=&quot;00372DEF&quot;/&gt;&lt;wsp:rsid wsp:val=&quot;00373100&quot;/&gt;&lt;wsp:rsid wsp:val=&quot;00373363&quot;/&gt;&lt;wsp:rsid wsp:val=&quot;003733F5&quot;/&gt;&lt;wsp:rsid wsp:val=&quot;00373886&quot;/&gt;&lt;wsp:rsid wsp:val=&quot;00373C6E&quot;/&gt;&lt;wsp:rsid wsp:val=&quot;00373E6B&quot;/&gt;&lt;wsp:rsid wsp:val=&quot;00374357&quot;/&gt;&lt;wsp:rsid wsp:val=&quot;00374813&quot;/&gt;&lt;wsp:rsid wsp:val=&quot;00374AF9&quot;/&gt;&lt;wsp:rsid wsp:val=&quot;00374B7E&quot;/&gt;&lt;wsp:rsid wsp:val=&quot;00374F75&quot;/&gt;&lt;wsp:rsid wsp:val=&quot;003754DB&quot;/&gt;&lt;wsp:rsid wsp:val=&quot;00375992&quot;/&gt;&lt;wsp:rsid wsp:val=&quot;00375A95&quot;/&gt;&lt;wsp:rsid wsp:val=&quot;00375AE4&quot;/&gt;&lt;wsp:rsid wsp:val=&quot;00375AFA&quot;/&gt;&lt;wsp:rsid wsp:val=&quot;00375DC6&quot;/&gt;&lt;wsp:rsid wsp:val=&quot;0037614F&quot;/&gt;&lt;wsp:rsid wsp:val=&quot;003761C1&quot;/&gt;&lt;wsp:rsid wsp:val=&quot;00376377&quot;/&gt;&lt;wsp:rsid wsp:val=&quot;00376848&quot;/&gt;&lt;wsp:rsid wsp:val=&quot;003772D1&quot;/&gt;&lt;wsp:rsid wsp:val=&quot;003774E9&quot;/&gt;&lt;wsp:rsid wsp:val=&quot;003775F1&quot;/&gt;&lt;wsp:rsid wsp:val=&quot;00377822&quot;/&gt;&lt;wsp:rsid wsp:val=&quot;00377868&quot;/&gt;&lt;wsp:rsid wsp:val=&quot;003779B4&quot;/&gt;&lt;wsp:rsid wsp:val=&quot;003801C6&quot;/&gt;&lt;wsp:rsid wsp:val=&quot;003802D2&quot;/&gt;&lt;wsp:rsid wsp:val=&quot;0038105C&quot;/&gt;&lt;wsp:rsid wsp:val=&quot;003819C5&quot;/&gt;&lt;wsp:rsid wsp:val=&quot;00381FAA&quot;/&gt;&lt;wsp:rsid wsp:val=&quot;00381FB2&quot;/&gt;&lt;wsp:rsid wsp:val=&quot;00382640&quot;/&gt;&lt;wsp:rsid wsp:val=&quot;0038285C&quot;/&gt;&lt;wsp:rsid wsp:val=&quot;00382982&quot;/&gt;&lt;wsp:rsid wsp:val=&quot;003829EC&quot;/&gt;&lt;wsp:rsid wsp:val=&quot;00382B02&quot;/&gt;&lt;wsp:rsid wsp:val=&quot;00382DCF&quot;/&gt;&lt;wsp:rsid wsp:val=&quot;00382F96&quot;/&gt;&lt;wsp:rsid wsp:val=&quot;0038370C&quot;/&gt;&lt;wsp:rsid wsp:val=&quot;00383A4C&quot;/&gt;&lt;wsp:rsid wsp:val=&quot;00383B58&quot;/&gt;&lt;wsp:rsid wsp:val=&quot;00383D6C&quot;/&gt;&lt;wsp:rsid wsp:val=&quot;003847EC&quot;/&gt;&lt;wsp:rsid wsp:val=&quot;003849BF&quot;/&gt;&lt;wsp:rsid wsp:val=&quot;003852D0&quot;/&gt;&lt;wsp:rsid wsp:val=&quot;003853A9&quot;/&gt;&lt;wsp:rsid wsp:val=&quot;003853E4&quot;/&gt;&lt;wsp:rsid wsp:val=&quot;00385589&quot;/&gt;&lt;wsp:rsid wsp:val=&quot;003859F2&quot;/&gt;&lt;wsp:rsid wsp:val=&quot;00386673&quot;/&gt;&lt;wsp:rsid wsp:val=&quot;003868A5&quot;/&gt;&lt;wsp:rsid wsp:val=&quot;00386A51&quot;/&gt;&lt;wsp:rsid wsp:val=&quot;00386FED&quot;/&gt;&lt;wsp:rsid wsp:val=&quot;003871F0&quot;/&gt;&lt;wsp:rsid wsp:val=&quot;00387220&quot;/&gt;&lt;wsp:rsid wsp:val=&quot;00387329&quot;/&gt;&lt;wsp:rsid wsp:val=&quot;0038750E&quot;/&gt;&lt;wsp:rsid wsp:val=&quot;00390030&quot;/&gt;&lt;wsp:rsid wsp:val=&quot;00390325&quot;/&gt;&lt;wsp:rsid wsp:val=&quot;0039073A&quot;/&gt;&lt;wsp:rsid wsp:val=&quot;0039076A&quot;/&gt;&lt;wsp:rsid wsp:val=&quot;00390886&quot;/&gt;&lt;wsp:rsid wsp:val=&quot;00390DD5&quot;/&gt;&lt;wsp:rsid wsp:val=&quot;00391B37&quot;/&gt;&lt;wsp:rsid wsp:val=&quot;00391D35&quot;/&gt;&lt;wsp:rsid wsp:val=&quot;00392699&quot;/&gt;&lt;wsp:rsid wsp:val=&quot;003927B4&quot;/&gt;&lt;wsp:rsid wsp:val=&quot;00392D74&quot;/&gt;&lt;wsp:rsid wsp:val=&quot;00392DB0&quot;/&gt;&lt;wsp:rsid wsp:val=&quot;00392E89&quot;/&gt;&lt;wsp:rsid wsp:val=&quot;00392EA1&quot;/&gt;&lt;wsp:rsid wsp:val=&quot;00392FD7&quot;/&gt;&lt;wsp:rsid wsp:val=&quot;003940AA&quot;/&gt;&lt;wsp:rsid wsp:val=&quot;003942B8&quot;/&gt;&lt;wsp:rsid wsp:val=&quot;003942F9&quot;/&gt;&lt;wsp:rsid wsp:val=&quot;003948BD&quot;/&gt;&lt;wsp:rsid wsp:val=&quot;00394966&quot;/&gt;&lt;wsp:rsid wsp:val=&quot;00394D96&quot;/&gt;&lt;wsp:rsid wsp:val=&quot;0039512E&quot;/&gt;&lt;wsp:rsid wsp:val=&quot;0039590F&quot;/&gt;&lt;wsp:rsid wsp:val=&quot;00395AE7&quot;/&gt;&lt;wsp:rsid wsp:val=&quot;00395AFC&quot;/&gt;&lt;wsp:rsid wsp:val=&quot;00395B4E&quot;/&gt;&lt;wsp:rsid wsp:val=&quot;00395C0A&quot;/&gt;&lt;wsp:rsid wsp:val=&quot;003960AD&quot;/&gt;&lt;wsp:rsid wsp:val=&quot;003961C8&quot;/&gt;&lt;wsp:rsid wsp:val=&quot;00396267&quot;/&gt;&lt;wsp:rsid wsp:val=&quot;00396404&quot;/&gt;&lt;wsp:rsid wsp:val=&quot;00396539&quot;/&gt;&lt;wsp:rsid wsp:val=&quot;0039677A&quot;/&gt;&lt;wsp:rsid wsp:val=&quot;00397158&quot;/&gt;&lt;wsp:rsid wsp:val=&quot;003973E6&quot;/&gt;&lt;wsp:rsid wsp:val=&quot;003976C2&quot;/&gt;&lt;wsp:rsid wsp:val=&quot;00397977&quot;/&gt;&lt;wsp:rsid wsp:val=&quot;00397B87&quot;/&gt;&lt;wsp:rsid wsp:val=&quot;00397D52&quot;/&gt;&lt;wsp:rsid wsp:val=&quot;00397FA8&quot;/&gt;&lt;wsp:rsid wsp:val=&quot;003A026C&quot;/&gt;&lt;wsp:rsid wsp:val=&quot;003A0A5A&quot;/&gt;&lt;wsp:rsid wsp:val=&quot;003A1E22&quot;/&gt;&lt;wsp:rsid wsp:val=&quot;003A2524&quot;/&gt;&lt;wsp:rsid wsp:val=&quot;003A27BC&quot;/&gt;&lt;wsp:rsid wsp:val=&quot;003A2B89&quot;/&gt;&lt;wsp:rsid wsp:val=&quot;003A324A&quot;/&gt;&lt;wsp:rsid wsp:val=&quot;003A391B&quot;/&gt;&lt;wsp:rsid wsp:val=&quot;003A414D&quot;/&gt;&lt;wsp:rsid wsp:val=&quot;003A41B4&quot;/&gt;&lt;wsp:rsid wsp:val=&quot;003A42D4&quot;/&gt;&lt;wsp:rsid wsp:val=&quot;003A45CF&quot;/&gt;&lt;wsp:rsid wsp:val=&quot;003A468F&quot;/&gt;&lt;wsp:rsid wsp:val=&quot;003A4859&quot;/&gt;&lt;wsp:rsid wsp:val=&quot;003A499E&quot;/&gt;&lt;wsp:rsid wsp:val=&quot;003A4A34&quot;/&gt;&lt;wsp:rsid wsp:val=&quot;003A51B9&quot;/&gt;&lt;wsp:rsid wsp:val=&quot;003A520B&quot;/&gt;&lt;wsp:rsid wsp:val=&quot;003A5705&quot;/&gt;&lt;wsp:rsid wsp:val=&quot;003A5A8F&quot;/&gt;&lt;wsp:rsid wsp:val=&quot;003A60DE&quot;/&gt;&lt;wsp:rsid wsp:val=&quot;003A625D&quot;/&gt;&lt;wsp:rsid wsp:val=&quot;003A6A74&quot;/&gt;&lt;wsp:rsid wsp:val=&quot;003A7558&quot;/&gt;&lt;wsp:rsid wsp:val=&quot;003A7862&quot;/&gt;&lt;wsp:rsid wsp:val=&quot;003B00A6&quot;/&gt;&lt;wsp:rsid wsp:val=&quot;003B00E3&quot;/&gt;&lt;wsp:rsid wsp:val=&quot;003B035B&quot;/&gt;&lt;wsp:rsid wsp:val=&quot;003B0374&quot;/&gt;&lt;wsp:rsid wsp:val=&quot;003B03BD&quot;/&gt;&lt;wsp:rsid wsp:val=&quot;003B0B61&quot;/&gt;&lt;wsp:rsid wsp:val=&quot;003B131F&quot;/&gt;&lt;wsp:rsid wsp:val=&quot;003B170C&quot;/&gt;&lt;wsp:rsid wsp:val=&quot;003B1BEB&quot;/&gt;&lt;wsp:rsid wsp:val=&quot;003B218E&quot;/&gt;&lt;wsp:rsid wsp:val=&quot;003B24E6&quot;/&gt;&lt;wsp:rsid wsp:val=&quot;003B2813&quot;/&gt;&lt;wsp:rsid wsp:val=&quot;003B289D&quot;/&gt;&lt;wsp:rsid wsp:val=&quot;003B2D7F&quot;/&gt;&lt;wsp:rsid wsp:val=&quot;003B31C2&quot;/&gt;&lt;wsp:rsid wsp:val=&quot;003B379E&quot;/&gt;&lt;wsp:rsid wsp:val=&quot;003B397C&quot;/&gt;&lt;wsp:rsid wsp:val=&quot;003B3BCD&quot;/&gt;&lt;wsp:rsid wsp:val=&quot;003B3C69&quot;/&gt;&lt;wsp:rsid wsp:val=&quot;003B3D58&quot;/&gt;&lt;wsp:rsid wsp:val=&quot;003B3D62&quot;/&gt;&lt;wsp:rsid wsp:val=&quot;003B4235&quot;/&gt;&lt;wsp:rsid wsp:val=&quot;003B46E9&quot;/&gt;&lt;wsp:rsid wsp:val=&quot;003B474A&quot;/&gt;&lt;wsp:rsid wsp:val=&quot;003B4B10&quot;/&gt;&lt;wsp:rsid wsp:val=&quot;003B4CF9&quot;/&gt;&lt;wsp:rsid wsp:val=&quot;003B5723&quot;/&gt;&lt;wsp:rsid wsp:val=&quot;003B62CE&quot;/&gt;&lt;wsp:rsid wsp:val=&quot;003B63D8&quot;/&gt;&lt;wsp:rsid wsp:val=&quot;003B6422&quot;/&gt;&lt;wsp:rsid wsp:val=&quot;003B6474&quot;/&gt;&lt;wsp:rsid wsp:val=&quot;003B69BC&quot;/&gt;&lt;wsp:rsid wsp:val=&quot;003B7235&quot;/&gt;&lt;wsp:rsid wsp:val=&quot;003B7614&quot;/&gt;&lt;wsp:rsid wsp:val=&quot;003B7673&quot;/&gt;&lt;wsp:rsid wsp:val=&quot;003B76A9&quot;/&gt;&lt;wsp:rsid wsp:val=&quot;003B76E6&quot;/&gt;&lt;wsp:rsid wsp:val=&quot;003C0142&quot;/&gt;&lt;wsp:rsid wsp:val=&quot;003C04FC&quot;/&gt;&lt;wsp:rsid wsp:val=&quot;003C07AB&quot;/&gt;&lt;wsp:rsid wsp:val=&quot;003C092C&quot;/&gt;&lt;wsp:rsid wsp:val=&quot;003C0C95&quot;/&gt;&lt;wsp:rsid wsp:val=&quot;003C0CC8&quot;/&gt;&lt;wsp:rsid wsp:val=&quot;003C0D59&quot;/&gt;&lt;wsp:rsid wsp:val=&quot;003C15CF&quot;/&gt;&lt;wsp:rsid wsp:val=&quot;003C17F9&quot;/&gt;&lt;wsp:rsid wsp:val=&quot;003C237E&quot;/&gt;&lt;wsp:rsid wsp:val=&quot;003C261A&quot;/&gt;&lt;wsp:rsid wsp:val=&quot;003C26EE&quot;/&gt;&lt;wsp:rsid wsp:val=&quot;003C2714&quot;/&gt;&lt;wsp:rsid wsp:val=&quot;003C2746&quot;/&gt;&lt;wsp:rsid wsp:val=&quot;003C2791&quot;/&gt;&lt;wsp:rsid wsp:val=&quot;003C2966&quot;/&gt;&lt;wsp:rsid wsp:val=&quot;003C2FE0&quot;/&gt;&lt;wsp:rsid wsp:val=&quot;003C35A1&quot;/&gt;&lt;wsp:rsid wsp:val=&quot;003C40FB&quot;/&gt;&lt;wsp:rsid wsp:val=&quot;003C443B&quot;/&gt;&lt;wsp:rsid wsp:val=&quot;003C49BD&quot;/&gt;&lt;wsp:rsid wsp:val=&quot;003C4AF7&quot;/&gt;&lt;wsp:rsid wsp:val=&quot;003C4CEA&quot;/&gt;&lt;wsp:rsid wsp:val=&quot;003C564D&quot;/&gt;&lt;wsp:rsid wsp:val=&quot;003C58A4&quot;/&gt;&lt;wsp:rsid wsp:val=&quot;003C65EE&quot;/&gt;&lt;wsp:rsid wsp:val=&quot;003C65FF&quot;/&gt;&lt;wsp:rsid wsp:val=&quot;003C6C30&quot;/&gt;&lt;wsp:rsid wsp:val=&quot;003C6D2E&quot;/&gt;&lt;wsp:rsid wsp:val=&quot;003C7579&quot;/&gt;&lt;wsp:rsid wsp:val=&quot;003D007F&quot;/&gt;&lt;wsp:rsid wsp:val=&quot;003D02AF&quot;/&gt;&lt;wsp:rsid wsp:val=&quot;003D07B6&quot;/&gt;&lt;wsp:rsid wsp:val=&quot;003D0B69&quot;/&gt;&lt;wsp:rsid wsp:val=&quot;003D0C0E&quot;/&gt;&lt;wsp:rsid wsp:val=&quot;003D0D11&quot;/&gt;&lt;wsp:rsid wsp:val=&quot;003D115D&quot;/&gt;&lt;wsp:rsid wsp:val=&quot;003D1D3C&quot;/&gt;&lt;wsp:rsid wsp:val=&quot;003D2482&quot;/&gt;&lt;wsp:rsid wsp:val=&quot;003D2726&quot;/&gt;&lt;wsp:rsid wsp:val=&quot;003D2813&quot;/&gt;&lt;wsp:rsid wsp:val=&quot;003D2827&quot;/&gt;&lt;wsp:rsid wsp:val=&quot;003D28B4&quot;/&gt;&lt;wsp:rsid wsp:val=&quot;003D2B5F&quot;/&gt;&lt;wsp:rsid wsp:val=&quot;003D3486&quot;/&gt;&lt;wsp:rsid wsp:val=&quot;003D3DBF&quot;/&gt;&lt;wsp:rsid wsp:val=&quot;003D4FC4&quot;/&gt;&lt;wsp:rsid wsp:val=&quot;003D5C02&quot;/&gt;&lt;wsp:rsid wsp:val=&quot;003D5D49&quot;/&gt;&lt;wsp:rsid wsp:val=&quot;003D5EC3&quot;/&gt;&lt;wsp:rsid wsp:val=&quot;003D6291&quot;/&gt;&lt;wsp:rsid wsp:val=&quot;003D62FE&quot;/&gt;&lt;wsp:rsid wsp:val=&quot;003D678D&quot;/&gt;&lt;wsp:rsid wsp:val=&quot;003D68E6&quot;/&gt;&lt;wsp:rsid wsp:val=&quot;003D6E19&quot;/&gt;&lt;wsp:rsid wsp:val=&quot;003D70FB&quot;/&gt;&lt;wsp:rsid wsp:val=&quot;003D77A8&quot;/&gt;&lt;wsp:rsid wsp:val=&quot;003D7AD3&quot;/&gt;&lt;wsp:rsid wsp:val=&quot;003D7FA4&quot;/&gt;&lt;wsp:rsid wsp:val=&quot;003E032B&quot;/&gt;&lt;wsp:rsid wsp:val=&quot;003E0B4B&quot;/&gt;&lt;wsp:rsid wsp:val=&quot;003E113A&quot;/&gt;&lt;wsp:rsid wsp:val=&quot;003E1C74&quot;/&gt;&lt;wsp:rsid wsp:val=&quot;003E1E03&quot;/&gt;&lt;wsp:rsid wsp:val=&quot;003E2182&quot;/&gt;&lt;wsp:rsid wsp:val=&quot;003E273D&quot;/&gt;&lt;wsp:rsid wsp:val=&quot;003E2A1B&quot;/&gt;&lt;wsp:rsid wsp:val=&quot;003E2BC0&quot;/&gt;&lt;wsp:rsid wsp:val=&quot;003E303D&quot;/&gt;&lt;wsp:rsid wsp:val=&quot;003E317A&quot;/&gt;&lt;wsp:rsid wsp:val=&quot;003E3421&quot;/&gt;&lt;wsp:rsid wsp:val=&quot;003E3634&quot;/&gt;&lt;wsp:rsid wsp:val=&quot;003E36AC&quot;/&gt;&lt;wsp:rsid wsp:val=&quot;003E3ABB&quot;/&gt;&lt;wsp:rsid wsp:val=&quot;003E3B73&quot;/&gt;&lt;wsp:rsid wsp:val=&quot;003E48A8&quot;/&gt;&lt;wsp:rsid wsp:val=&quot;003E4923&quot;/&gt;&lt;wsp:rsid wsp:val=&quot;003E4A12&quot;/&gt;&lt;wsp:rsid wsp:val=&quot;003E594B&quot;/&gt;&lt;wsp:rsid wsp:val=&quot;003E5D71&quot;/&gt;&lt;wsp:rsid wsp:val=&quot;003E5EB8&quot;/&gt;&lt;wsp:rsid wsp:val=&quot;003E6743&quot;/&gt;&lt;wsp:rsid wsp:val=&quot;003E6B7F&quot;/&gt;&lt;wsp:rsid wsp:val=&quot;003E6F45&quot;/&gt;&lt;wsp:rsid wsp:val=&quot;003E6F9B&quot;/&gt;&lt;wsp:rsid wsp:val=&quot;003E7100&quot;/&gt;&lt;wsp:rsid wsp:val=&quot;003E78A7&quot;/&gt;&lt;wsp:rsid wsp:val=&quot;003F0040&quot;/&gt;&lt;wsp:rsid wsp:val=&quot;003F03D2&quot;/&gt;&lt;wsp:rsid wsp:val=&quot;003F04C5&quot;/&gt;&lt;wsp:rsid wsp:val=&quot;003F0D55&quot;/&gt;&lt;wsp:rsid wsp:val=&quot;003F0EFA&quot;/&gt;&lt;wsp:rsid wsp:val=&quot;003F0FF2&quot;/&gt;&lt;wsp:rsid wsp:val=&quot;003F1708&quot;/&gt;&lt;wsp:rsid wsp:val=&quot;003F186B&quot;/&gt;&lt;wsp:rsid wsp:val=&quot;003F19FB&quot;/&gt;&lt;wsp:rsid wsp:val=&quot;003F1DFE&quot;/&gt;&lt;wsp:rsid wsp:val=&quot;003F2740&quot;/&gt;&lt;wsp:rsid wsp:val=&quot;003F2DDE&quot;/&gt;&lt;wsp:rsid wsp:val=&quot;003F2EF0&quot;/&gt;&lt;wsp:rsid wsp:val=&quot;003F30AD&quot;/&gt;&lt;wsp:rsid wsp:val=&quot;003F3836&quot;/&gt;&lt;wsp:rsid wsp:val=&quot;003F394A&quot;/&gt;&lt;wsp:rsid wsp:val=&quot;003F4A3E&quot;/&gt;&lt;wsp:rsid wsp:val=&quot;003F4AF8&quot;/&gt;&lt;wsp:rsid wsp:val=&quot;003F4BD1&quot;/&gt;&lt;wsp:rsid wsp:val=&quot;003F5384&quot;/&gt;&lt;wsp:rsid wsp:val=&quot;003F5562&quot;/&gt;&lt;wsp:rsid wsp:val=&quot;003F56F0&quot;/&gt;&lt;wsp:rsid wsp:val=&quot;003F5787&quot;/&gt;&lt;wsp:rsid wsp:val=&quot;003F5C3E&quot;/&gt;&lt;wsp:rsid wsp:val=&quot;003F5E25&quot;/&gt;&lt;wsp:rsid wsp:val=&quot;003F5F12&quot;/&gt;&lt;wsp:rsid wsp:val=&quot;003F6033&quot;/&gt;&lt;wsp:rsid wsp:val=&quot;003F616E&quot;/&gt;&lt;wsp:rsid wsp:val=&quot;003F68F9&quot;/&gt;&lt;wsp:rsid wsp:val=&quot;003F698F&quot;/&gt;&lt;wsp:rsid wsp:val=&quot;003F6B96&quot;/&gt;&lt;wsp:rsid wsp:val=&quot;003F6BDA&quot;/&gt;&lt;wsp:rsid wsp:val=&quot;003F727B&quot;/&gt;&lt;wsp:rsid wsp:val=&quot;003F7625&quot;/&gt;&lt;wsp:rsid wsp:val=&quot;00400694&quot;/&gt;&lt;wsp:rsid wsp:val=&quot;004007E4&quot;/&gt;&lt;wsp:rsid wsp:val=&quot;00400BBF&quot;/&gt;&lt;wsp:rsid wsp:val=&quot;00400E3D&quot;/&gt;&lt;wsp:rsid wsp:val=&quot;00401477&quot;/&gt;&lt;wsp:rsid wsp:val=&quot;00401686&quot;/&gt;&lt;wsp:rsid wsp:val=&quot;00401DB7&quot;/&gt;&lt;wsp:rsid wsp:val=&quot;00401DD7&quot;/&gt;&lt;wsp:rsid wsp:val=&quot;00401FEE&quot;/&gt;&lt;wsp:rsid wsp:val=&quot;004021CE&quot;/&gt;&lt;wsp:rsid wsp:val=&quot;00402236&quot;/&gt;&lt;wsp:rsid wsp:val=&quot;004022D7&quot;/&gt;&lt;wsp:rsid wsp:val=&quot;004026E2&quot;/&gt;&lt;wsp:rsid wsp:val=&quot;00402CF7&quot;/&gt;&lt;wsp:rsid wsp:val=&quot;00403A6B&quot;/&gt;&lt;wsp:rsid wsp:val=&quot;00403DE1&quot;/&gt;&lt;wsp:rsid wsp:val=&quot;0040416B&quot;/&gt;&lt;wsp:rsid wsp:val=&quot;0040427C&quot;/&gt;&lt;wsp:rsid wsp:val=&quot;0040429A&quot;/&gt;&lt;wsp:rsid wsp:val=&quot;004043CC&quot;/&gt;&lt;wsp:rsid wsp:val=&quot;00404454&quot;/&gt;&lt;wsp:rsid wsp:val=&quot;00404824&quot;/&gt;&lt;wsp:rsid wsp:val=&quot;0040495B&quot;/&gt;&lt;wsp:rsid wsp:val=&quot;00404E75&quot;/&gt;&lt;wsp:rsid wsp:val=&quot;00405086&quot;/&gt;&lt;wsp:rsid wsp:val=&quot;004050CE&quot;/&gt;&lt;wsp:rsid wsp:val=&quot;0040540D&quot;/&gt;&lt;wsp:rsid wsp:val=&quot;004054FE&quot;/&gt;&lt;wsp:rsid wsp:val=&quot;004057E7&quot;/&gt;&lt;wsp:rsid wsp:val=&quot;004058F5&quot;/&gt;&lt;wsp:rsid wsp:val=&quot;00405E41&quot;/&gt;&lt;wsp:rsid wsp:val=&quot;00405E9F&quot;/&gt;&lt;wsp:rsid wsp:val=&quot;004060DF&quot;/&gt;&lt;wsp:rsid wsp:val=&quot;00406384&quot;/&gt;&lt;wsp:rsid wsp:val=&quot;00406721&quot;/&gt;&lt;wsp:rsid wsp:val=&quot;00406801&quot;/&gt;&lt;wsp:rsid wsp:val=&quot;004069D8&quot;/&gt;&lt;wsp:rsid wsp:val=&quot;0040715B&quot;/&gt;&lt;wsp:rsid wsp:val=&quot;00407364&quot;/&gt;&lt;wsp:rsid wsp:val=&quot;0040779B&quot;/&gt;&lt;wsp:rsid wsp:val=&quot;004079A8&quot;/&gt;&lt;wsp:rsid wsp:val=&quot;00407A9E&quot;/&gt;&lt;wsp:rsid wsp:val=&quot;004107A6&quot;/&gt;&lt;wsp:rsid wsp:val=&quot;004107B6&quot;/&gt;&lt;wsp:rsid wsp:val=&quot;004112A6&quot;/&gt;&lt;wsp:rsid wsp:val=&quot;00411434&quot;/&gt;&lt;wsp:rsid wsp:val=&quot;00411ECC&quot;/&gt;&lt;wsp:rsid wsp:val=&quot;0041279E&quot;/&gt;&lt;wsp:rsid wsp:val=&quot;00412A6E&quot;/&gt;&lt;wsp:rsid wsp:val=&quot;00412C2E&quot;/&gt;&lt;wsp:rsid wsp:val=&quot;00412D0D&quot;/&gt;&lt;wsp:rsid wsp:val=&quot;00413004&quot;/&gt;&lt;wsp:rsid wsp:val=&quot;0041317A&quot;/&gt;&lt;wsp:rsid wsp:val=&quot;0041319A&quot;/&gt;&lt;wsp:rsid wsp:val=&quot;004135AE&quot;/&gt;&lt;wsp:rsid wsp:val=&quot;0041383A&quot;/&gt;&lt;wsp:rsid wsp:val=&quot;00413968&quot;/&gt;&lt;wsp:rsid wsp:val=&quot;0041427E&quot;/&gt;&lt;wsp:rsid wsp:val=&quot;004144D9&quot;/&gt;&lt;wsp:rsid wsp:val=&quot;0041462C&quot;/&gt;&lt;wsp:rsid wsp:val=&quot;00414B08&quot;/&gt;&lt;wsp:rsid wsp:val=&quot;00414FAD&quot;/&gt;&lt;wsp:rsid wsp:val=&quot;004152A2&quot;/&gt;&lt;wsp:rsid wsp:val=&quot;00415407&quot;/&gt;&lt;wsp:rsid wsp:val=&quot;004157B6&quot;/&gt;&lt;wsp:rsid wsp:val=&quot;0041587B&quot;/&gt;&lt;wsp:rsid wsp:val=&quot;00415987&quot;/&gt;&lt;wsp:rsid wsp:val=&quot;0041704F&quot;/&gt;&lt;wsp:rsid wsp:val=&quot;004175D8&quot;/&gt;&lt;wsp:rsid wsp:val=&quot;00417F57&quot;/&gt;&lt;wsp:rsid wsp:val=&quot;00417FE3&quot;/&gt;&lt;wsp:rsid wsp:val=&quot;00420F88&quot;/&gt;&lt;wsp:rsid wsp:val=&quot;00420FB4&quot;/&gt;&lt;wsp:rsid wsp:val=&quot;00421980&quot;/&gt;&lt;wsp:rsid wsp:val=&quot;00422056&quot;/&gt;&lt;wsp:rsid wsp:val=&quot;0042260B&quot;/&gt;&lt;wsp:rsid wsp:val=&quot;00422BB5&quot;/&gt;&lt;wsp:rsid wsp:val=&quot;00422C16&quot;/&gt;&lt;wsp:rsid wsp:val=&quot;00422D56&quot;/&gt;&lt;wsp:rsid wsp:val=&quot;00423115&quot;/&gt;&lt;wsp:rsid wsp:val=&quot;0042385B&quot;/&gt;&lt;wsp:rsid wsp:val=&quot;0042396F&quot;/&gt;&lt;wsp:rsid wsp:val=&quot;00423B57&quot;/&gt;&lt;wsp:rsid wsp:val=&quot;00423D2F&quot;/&gt;&lt;wsp:rsid wsp:val=&quot;0042475B&quot;/&gt;&lt;wsp:rsid wsp:val=&quot;00424885&quot;/&gt;&lt;wsp:rsid wsp:val=&quot;00424A56&quot;/&gt;&lt;wsp:rsid wsp:val=&quot;00424BB1&quot;/&gt;&lt;wsp:rsid wsp:val=&quot;00425A0E&quot;/&gt;&lt;wsp:rsid wsp:val=&quot;00425AF1&quot;/&gt;&lt;wsp:rsid wsp:val=&quot;00425C46&quot;/&gt;&lt;wsp:rsid wsp:val=&quot;00425C64&quot;/&gt;&lt;wsp:rsid wsp:val=&quot;00425ED8&quot;/&gt;&lt;wsp:rsid wsp:val=&quot;004263DB&quot;/&gt;&lt;wsp:rsid wsp:val=&quot;00426722&quot;/&gt;&lt;wsp:rsid wsp:val=&quot;00426793&quot;/&gt;&lt;wsp:rsid wsp:val=&quot;00426968&quot;/&gt;&lt;wsp:rsid wsp:val=&quot;00426D04&quot;/&gt;&lt;wsp:rsid wsp:val=&quot;00426D1A&quot;/&gt;&lt;wsp:rsid wsp:val=&quot;0042708E&quot;/&gt;&lt;wsp:rsid wsp:val=&quot;00427169&quot;/&gt;&lt;wsp:rsid wsp:val=&quot;004272B3&quot;/&gt;&lt;wsp:rsid wsp:val=&quot;00427360&quot;/&gt;&lt;wsp:rsid wsp:val=&quot;0042736C&quot;/&gt;&lt;wsp:rsid wsp:val=&quot;004273FC&quot;/&gt;&lt;wsp:rsid wsp:val=&quot;004277C1&quot;/&gt;&lt;wsp:rsid wsp:val=&quot;00427AE6&quot;/&gt;&lt;wsp:rsid wsp:val=&quot;00427DA8&quot;/&gt;&lt;wsp:rsid wsp:val=&quot;00427F65&quot;/&gt;&lt;wsp:rsid wsp:val=&quot;0043059C&quot;/&gt;&lt;wsp:rsid wsp:val=&quot;0043073B&quot;/&gt;&lt;wsp:rsid wsp:val=&quot;004307DF&quot;/&gt;&lt;wsp:rsid wsp:val=&quot;004309CE&quot;/&gt;&lt;wsp:rsid wsp:val=&quot;00430E8D&quot;/&gt;&lt;wsp:rsid wsp:val=&quot;00430FE8&quot;/&gt;&lt;wsp:rsid wsp:val=&quot;0043159E&quot;/&gt;&lt;wsp:rsid wsp:val=&quot;00431FFD&quot;/&gt;&lt;wsp:rsid wsp:val=&quot;004320ED&quot;/&gt;&lt;wsp:rsid wsp:val=&quot;00432299&quot;/&gt;&lt;wsp:rsid wsp:val=&quot;004325DF&quot;/&gt;&lt;wsp:rsid wsp:val=&quot;00432BF3&quot;/&gt;&lt;wsp:rsid wsp:val=&quot;0043302C&quot;/&gt;&lt;wsp:rsid wsp:val=&quot;004332F2&quot;/&gt;&lt;wsp:rsid wsp:val=&quot;00433664&quot;/&gt;&lt;wsp:rsid wsp:val=&quot;004339D8&quot;/&gt;&lt;wsp:rsid wsp:val=&quot;00433CB0&quot;/&gt;&lt;wsp:rsid wsp:val=&quot;00433DA9&quot;/&gt;&lt;wsp:rsid wsp:val=&quot;00433E05&quot;/&gt;&lt;wsp:rsid wsp:val=&quot;00434041&quot;/&gt;&lt;wsp:rsid wsp:val=&quot;00434256&quot;/&gt;&lt;wsp:rsid wsp:val=&quot;00434756&quot;/&gt;&lt;wsp:rsid wsp:val=&quot;00434AD3&quot;/&gt;&lt;wsp:rsid wsp:val=&quot;00434D96&quot;/&gt;&lt;wsp:rsid wsp:val=&quot;00435161&quot;/&gt;&lt;wsp:rsid wsp:val=&quot;004351B1&quot;/&gt;&lt;wsp:rsid wsp:val=&quot;00435391&quot;/&gt;&lt;wsp:rsid wsp:val=&quot;0043545E&quot;/&gt;&lt;wsp:rsid wsp:val=&quot;00435918&quot;/&gt;&lt;wsp:rsid wsp:val=&quot;004359BC&quot;/&gt;&lt;wsp:rsid wsp:val=&quot;00435DC9&quot;/&gt;&lt;wsp:rsid wsp:val=&quot;00436323&quot;/&gt;&lt;wsp:rsid wsp:val=&quot;00436AD9&quot;/&gt;&lt;wsp:rsid wsp:val=&quot;00436B70&quot;/&gt;&lt;wsp:rsid wsp:val=&quot;0043751D&quot;/&gt;&lt;wsp:rsid wsp:val=&quot;00437C23&quot;/&gt;&lt;wsp:rsid wsp:val=&quot;00437C27&quot;/&gt;&lt;wsp:rsid wsp:val=&quot;00437C41&quot;/&gt;&lt;wsp:rsid wsp:val=&quot;00437F7B&quot;/&gt;&lt;wsp:rsid wsp:val=&quot;00437FA1&quot;/&gt;&lt;wsp:rsid wsp:val=&quot;004401F8&quot;/&gt;&lt;wsp:rsid wsp:val=&quot;0044040B&quot;/&gt;&lt;wsp:rsid wsp:val=&quot;00440437&quot;/&gt;&lt;wsp:rsid wsp:val=&quot;004408DC&quot;/&gt;&lt;wsp:rsid wsp:val=&quot;00440FBB&quot;/&gt;&lt;wsp:rsid wsp:val=&quot;00441009&quot;/&gt;&lt;wsp:rsid wsp:val=&quot;004411F9&quot;/&gt;&lt;wsp:rsid wsp:val=&quot;004412B4&quot;/&gt;&lt;wsp:rsid wsp:val=&quot;00441D9E&quot;/&gt;&lt;wsp:rsid wsp:val=&quot;00441F03&quot;/&gt;&lt;wsp:rsid wsp:val=&quot;00442650&quot;/&gt;&lt;wsp:rsid wsp:val=&quot;004426EA&quot;/&gt;&lt;wsp:rsid wsp:val=&quot;00442757&quot;/&gt;&lt;wsp:rsid wsp:val=&quot;00442E55&quot;/&gt;&lt;wsp:rsid wsp:val=&quot;004432F0&quot;/&gt;&lt;wsp:rsid wsp:val=&quot;00443512&quot;/&gt;&lt;wsp:rsid wsp:val=&quot;00443699&quot;/&gt;&lt;wsp:rsid wsp:val=&quot;004439E7&quot;/&gt;&lt;wsp:rsid wsp:val=&quot;00444879&quot;/&gt;&lt;wsp:rsid wsp:val=&quot;004448C5&quot;/&gt;&lt;wsp:rsid wsp:val=&quot;004448DA&quot;/&gt;&lt;wsp:rsid wsp:val=&quot;00444D56&quot;/&gt;&lt;wsp:rsid wsp:val=&quot;004452EA&quot;/&gt;&lt;wsp:rsid wsp:val=&quot;00445A82&quot;/&gt;&lt;wsp:rsid wsp:val=&quot;00445F22&quot;/&gt;&lt;wsp:rsid wsp:val=&quot;004462D5&quot;/&gt;&lt;wsp:rsid wsp:val=&quot;004465EF&quot;/&gt;&lt;wsp:rsid wsp:val=&quot;004467B4&quot;/&gt;&lt;wsp:rsid wsp:val=&quot;0044696A&quot;/&gt;&lt;wsp:rsid wsp:val=&quot;00446E07&quot;/&gt;&lt;wsp:rsid wsp:val=&quot;004470A9&quot;/&gt;&lt;wsp:rsid wsp:val=&quot;00447D66&quot;/&gt;&lt;wsp:rsid wsp:val=&quot;00450010&quot;/&gt;&lt;wsp:rsid wsp:val=&quot;004507DB&quot;/&gt;&lt;wsp:rsid wsp:val=&quot;00450A8A&quot;/&gt;&lt;wsp:rsid wsp:val=&quot;00450CC1&quot;/&gt;&lt;wsp:rsid wsp:val=&quot;00450CED&quot;/&gt;&lt;wsp:rsid wsp:val=&quot;00450E63&quot;/&gt;&lt;wsp:rsid wsp:val=&quot;00450F41&quot;/&gt;&lt;wsp:rsid wsp:val=&quot;00451167&quot;/&gt;&lt;wsp:rsid wsp:val=&quot;00451466&quot;/&gt;&lt;wsp:rsid wsp:val=&quot;00451DA7&quot;/&gt;&lt;wsp:rsid wsp:val=&quot;004523D9&quot;/&gt;&lt;wsp:rsid wsp:val=&quot;004523FC&quot;/&gt;&lt;wsp:rsid wsp:val=&quot;00452764&quot;/&gt;&lt;wsp:rsid wsp:val=&quot;00452B8E&quot;/&gt;&lt;wsp:rsid wsp:val=&quot;004538EB&quot;/&gt;&lt;wsp:rsid wsp:val=&quot;0045399C&quot;/&gt;&lt;wsp:rsid wsp:val=&quot;00453B46&quot;/&gt;&lt;wsp:rsid wsp:val=&quot;00453D04&quot;/&gt;&lt;wsp:rsid wsp:val=&quot;00453EF1&quot;/&gt;&lt;wsp:rsid wsp:val=&quot;004546DB&quot;/&gt;&lt;wsp:rsid wsp:val=&quot;00454BF4&quot;/&gt;&lt;wsp:rsid wsp:val=&quot;00454DEA&quot;/&gt;&lt;wsp:rsid wsp:val=&quot;004554B7&quot;/&gt;&lt;wsp:rsid wsp:val=&quot;004559F9&quot;/&gt;&lt;wsp:rsid wsp:val=&quot;00455C34&quot;/&gt;&lt;wsp:rsid wsp:val=&quot;004560E3&quot;/&gt;&lt;wsp:rsid wsp:val=&quot;0045627C&quot;/&gt;&lt;wsp:rsid wsp:val=&quot;004570B9&quot;/&gt;&lt;wsp:rsid wsp:val=&quot;004575A4&quot;/&gt;&lt;wsp:rsid wsp:val=&quot;0045776D&quot;/&gt;&lt;wsp:rsid wsp:val=&quot;00457971&quot;/&gt;&lt;wsp:rsid wsp:val=&quot;00460125&quot;/&gt;&lt;wsp:rsid wsp:val=&quot;004603C0&quot;/&gt;&lt;wsp:rsid wsp:val=&quot;00460C91&quot;/&gt;&lt;wsp:rsid wsp:val=&quot;00460CE2&quot;/&gt;&lt;wsp:rsid wsp:val=&quot;00460F3A&quot;/&gt;&lt;wsp:rsid wsp:val=&quot;00461211&quot;/&gt;&lt;wsp:rsid wsp:val=&quot;004612EB&quot;/&gt;&lt;wsp:rsid wsp:val=&quot;0046174B&quot;/&gt;&lt;wsp:rsid wsp:val=&quot;004621F0&quot;/&gt;&lt;wsp:rsid wsp:val=&quot;004622B2&quot;/&gt;&lt;wsp:rsid wsp:val=&quot;0046334A&quot;/&gt;&lt;wsp:rsid wsp:val=&quot;00463955&quot;/&gt;&lt;wsp:rsid wsp:val=&quot;00463AF5&quot;/&gt;&lt;wsp:rsid wsp:val=&quot;00463E7E&quot;/&gt;&lt;wsp:rsid wsp:val=&quot;00463F73&quot;/&gt;&lt;wsp:rsid wsp:val=&quot;004642FC&quot;/&gt;&lt;wsp:rsid wsp:val=&quot;0046438A&quot;/&gt;&lt;wsp:rsid wsp:val=&quot;0046457C&quot;/&gt;&lt;wsp:rsid wsp:val=&quot;00464BBC&quot;/&gt;&lt;wsp:rsid wsp:val=&quot;00464EF9&quot;/&gt;&lt;wsp:rsid wsp:val=&quot;004650C0&quot;/&gt;&lt;wsp:rsid wsp:val=&quot;0046561D&quot;/&gt;&lt;wsp:rsid wsp:val=&quot;004656C2&quot;/&gt;&lt;wsp:rsid wsp:val=&quot;004657C3&quot;/&gt;&lt;wsp:rsid wsp:val=&quot;00465819&quot;/&gt;&lt;wsp:rsid wsp:val=&quot;00465831&quot;/&gt;&lt;wsp:rsid wsp:val=&quot;004658CA&quot;/&gt;&lt;wsp:rsid wsp:val=&quot;00465BF0&quot;/&gt;&lt;wsp:rsid wsp:val=&quot;00465D0C&quot;/&gt;&lt;wsp:rsid wsp:val=&quot;00465D65&quot;/&gt;&lt;wsp:rsid wsp:val=&quot;0046682A&quot;/&gt;&lt;wsp:rsid wsp:val=&quot;004668A8&quot;/&gt;&lt;wsp:rsid wsp:val=&quot;004668DC&quot;/&gt;&lt;wsp:rsid wsp:val=&quot;00466C7B&quot;/&gt;&lt;wsp:rsid wsp:val=&quot;00466CEF&quot;/&gt;&lt;wsp:rsid wsp:val=&quot;00466D60&quot;/&gt;&lt;wsp:rsid wsp:val=&quot;00467157&quot;/&gt;&lt;wsp:rsid wsp:val=&quot;00467784&quot;/&gt;&lt;wsp:rsid wsp:val=&quot;00467AA5&quot;/&gt;&lt;wsp:rsid wsp:val=&quot;00467B0E&quot;/&gt;&lt;wsp:rsid wsp:val=&quot;00467B1B&quot;/&gt;&lt;wsp:rsid wsp:val=&quot;0047053F&quot;/&gt;&lt;wsp:rsid wsp:val=&quot;00470552&quot;/&gt;&lt;wsp:rsid wsp:val=&quot;004705A2&quot;/&gt;&lt;wsp:rsid wsp:val=&quot;00470680&quot;/&gt;&lt;wsp:rsid wsp:val=&quot;0047071D&quot;/&gt;&lt;wsp:rsid wsp:val=&quot;00470BF6&quot;/&gt;&lt;wsp:rsid wsp:val=&quot;0047130F&quot;/&gt;&lt;wsp:rsid wsp:val=&quot;0047137A&quot;/&gt;&lt;wsp:rsid wsp:val=&quot;0047171F&quot;/&gt;&lt;wsp:rsid wsp:val=&quot;00471DCF&quot;/&gt;&lt;wsp:rsid wsp:val=&quot;00472059&quot;/&gt;&lt;wsp:rsid wsp:val=&quot;00472220&quot;/&gt;&lt;wsp:rsid wsp:val=&quot;004726A2&quot;/&gt;&lt;wsp:rsid wsp:val=&quot;00472845&quot;/&gt;&lt;wsp:rsid wsp:val=&quot;00472BF0&quot;/&gt;&lt;wsp:rsid wsp:val=&quot;00473427&quot;/&gt;&lt;wsp:rsid wsp:val=&quot;00474B46&quot;/&gt;&lt;wsp:rsid wsp:val=&quot;00475375&quot;/&gt;&lt;wsp:rsid wsp:val=&quot;004753B5&quot;/&gt;&lt;wsp:rsid wsp:val=&quot;00475428&quot;/&gt;&lt;wsp:rsid wsp:val=&quot;0047598C&quot;/&gt;&lt;wsp:rsid wsp:val=&quot;0047629D&quot;/&gt;&lt;wsp:rsid wsp:val=&quot;00476314&quot;/&gt;&lt;wsp:rsid wsp:val=&quot;00476E1B&quot;/&gt;&lt;wsp:rsid wsp:val=&quot;00477D13&quot;/&gt;&lt;wsp:rsid wsp:val=&quot;00477EE2&quot;/&gt;&lt;wsp:rsid wsp:val=&quot;00480196&quot;/&gt;&lt;wsp:rsid wsp:val=&quot;0048037C&quot;/&gt;&lt;wsp:rsid wsp:val=&quot;00480529&quot;/&gt;&lt;wsp:rsid wsp:val=&quot;004808AF&quot;/&gt;&lt;wsp:rsid wsp:val=&quot;00480CBF&quot;/&gt;&lt;wsp:rsid wsp:val=&quot;00481AE3&quot;/&gt;&lt;wsp:rsid wsp:val=&quot;004821A8&quot;/&gt;&lt;wsp:rsid wsp:val=&quot;00482311&quot;/&gt;&lt;wsp:rsid wsp:val=&quot;004823E4&quot;/&gt;&lt;wsp:rsid wsp:val=&quot;00482416&quot;/&gt;&lt;wsp:rsid wsp:val=&quot;004826E9&quot;/&gt;&lt;wsp:rsid wsp:val=&quot;00482E27&quot;/&gt;&lt;wsp:rsid wsp:val=&quot;00482E4F&quot;/&gt;&lt;wsp:rsid wsp:val=&quot;00483238&quot;/&gt;&lt;wsp:rsid wsp:val=&quot;00483987&quot;/&gt;&lt;wsp:rsid wsp:val=&quot;00483CC6&quot;/&gt;&lt;wsp:rsid wsp:val=&quot;00484078&quot;/&gt;&lt;wsp:rsid wsp:val=&quot;0048439E&quot;/&gt;&lt;wsp:rsid wsp:val=&quot;004849D4&quot;/&gt;&lt;wsp:rsid wsp:val=&quot;00484AA2&quot;/&gt;&lt;wsp:rsid wsp:val=&quot;00484AF7&quot;/&gt;&lt;wsp:rsid wsp:val=&quot;00484E4C&quot;/&gt;&lt;wsp:rsid wsp:val=&quot;0048591A&quot;/&gt;&lt;wsp:rsid wsp:val=&quot;00485B6A&quot;/&gt;&lt;wsp:rsid wsp:val=&quot;00485D8A&quot;/&gt;&lt;wsp:rsid wsp:val=&quot;00486070&quot;/&gt;&lt;wsp:rsid wsp:val=&quot;00486EFD&quot;/&gt;&lt;wsp:rsid wsp:val=&quot;004874D8&quot;/&gt;&lt;wsp:rsid wsp:val=&quot;0048758A&quot;/&gt;&lt;wsp:rsid wsp:val=&quot;00487710&quot;/&gt;&lt;wsp:rsid wsp:val=&quot;00487E3D&quot;/&gt;&lt;wsp:rsid wsp:val=&quot;00487EDD&quot;/&gt;&lt;wsp:rsid wsp:val=&quot;004904C4&quot;/&gt;&lt;wsp:rsid wsp:val=&quot;0049099D&quot;/&gt;&lt;wsp:rsid wsp:val=&quot;00490A11&quot;/&gt;&lt;wsp:rsid wsp:val=&quot;00490CBE&quot;/&gt;&lt;wsp:rsid wsp:val=&quot;00490EED&quot;/&gt;&lt;wsp:rsid wsp:val=&quot;0049128C&quot;/&gt;&lt;wsp:rsid wsp:val=&quot;0049139A&quot;/&gt;&lt;wsp:rsid wsp:val=&quot;00491735&quot;/&gt;&lt;wsp:rsid wsp:val=&quot;00491885&quot;/&gt;&lt;wsp:rsid wsp:val=&quot;004918B4&quot;/&gt;&lt;wsp:rsid wsp:val=&quot;004919CC&quot;/&gt;&lt;wsp:rsid wsp:val=&quot;00491C99&quot;/&gt;&lt;wsp:rsid wsp:val=&quot;00491CBC&quot;/&gt;&lt;wsp:rsid wsp:val=&quot;00491DFE&quot;/&gt;&lt;wsp:rsid wsp:val=&quot;00491EC2&quot;/&gt;&lt;wsp:rsid wsp:val=&quot;00492150&quot;/&gt;&lt;wsp:rsid wsp:val=&quot;00492211&quot;/&gt;&lt;wsp:rsid wsp:val=&quot;00492636&quot;/&gt;&lt;wsp:rsid wsp:val=&quot;004928D1&quot;/&gt;&lt;wsp:rsid wsp:val=&quot;00492C13&quot;/&gt;&lt;wsp:rsid wsp:val=&quot;00492FEC&quot;/&gt;&lt;wsp:rsid wsp:val=&quot;00493174&quot;/&gt;&lt;wsp:rsid wsp:val=&quot;0049391F&quot;/&gt;&lt;wsp:rsid wsp:val=&quot;004940B6&quot;/&gt;&lt;wsp:rsid wsp:val=&quot;004940BB&quot;/&gt;&lt;wsp:rsid wsp:val=&quot;004942C1&quot;/&gt;&lt;wsp:rsid wsp:val=&quot;00494391&quot;/&gt;&lt;wsp:rsid wsp:val=&quot;004945BD&quot;/&gt;&lt;wsp:rsid wsp:val=&quot;00494A89&quot;/&gt;&lt;wsp:rsid wsp:val=&quot;00494FDB&quot;/&gt;&lt;wsp:rsid wsp:val=&quot;00495216&quot;/&gt;&lt;wsp:rsid wsp:val=&quot;004952D7&quot;/&gt;&lt;wsp:rsid wsp:val=&quot;004952F0&quot;/&gt;&lt;wsp:rsid wsp:val=&quot;00495346&quot;/&gt;&lt;wsp:rsid wsp:val=&quot;004954F3&quot;/&gt;&lt;wsp:rsid wsp:val=&quot;004955E8&quot;/&gt;&lt;wsp:rsid wsp:val=&quot;0049561F&quot;/&gt;&lt;wsp:rsid wsp:val=&quot;00495687&quot;/&gt;&lt;wsp:rsid wsp:val=&quot;00495994&quot;/&gt;&lt;wsp:rsid wsp:val=&quot;004959FE&quot;/&gt;&lt;wsp:rsid wsp:val=&quot;00496515&quot;/&gt;&lt;wsp:rsid wsp:val=&quot;00496964&quot;/&gt;&lt;wsp:rsid wsp:val=&quot;00496D48&quot;/&gt;&lt;wsp:rsid wsp:val=&quot;00496F34&quot;/&gt;&lt;wsp:rsid wsp:val=&quot;00496FFE&quot;/&gt;&lt;wsp:rsid wsp:val=&quot;0049735F&quot;/&gt;&lt;wsp:rsid wsp:val=&quot;00497882&quot;/&gt;&lt;wsp:rsid wsp:val=&quot;00497F71&quot;/&gt;&lt;wsp:rsid wsp:val=&quot;004A0097&quot;/&gt;&lt;wsp:rsid wsp:val=&quot;004A033E&quot;/&gt;&lt;wsp:rsid wsp:val=&quot;004A08BA&quot;/&gt;&lt;wsp:rsid wsp:val=&quot;004A0C5B&quot;/&gt;&lt;wsp:rsid wsp:val=&quot;004A1C0F&quot;/&gt;&lt;wsp:rsid wsp:val=&quot;004A25EB&quot;/&gt;&lt;wsp:rsid wsp:val=&quot;004A2818&quot;/&gt;&lt;wsp:rsid wsp:val=&quot;004A2A17&quot;/&gt;&lt;wsp:rsid wsp:val=&quot;004A2B8A&quot;/&gt;&lt;wsp:rsid wsp:val=&quot;004A2CF2&quot;/&gt;&lt;wsp:rsid wsp:val=&quot;004A2E33&quot;/&gt;&lt;wsp:rsid wsp:val=&quot;004A2E48&quot;/&gt;&lt;wsp:rsid wsp:val=&quot;004A3129&quot;/&gt;&lt;wsp:rsid wsp:val=&quot;004A358F&quot;/&gt;&lt;wsp:rsid wsp:val=&quot;004A52BA&quot;/&gt;&lt;wsp:rsid wsp:val=&quot;004A564E&quot;/&gt;&lt;wsp:rsid wsp:val=&quot;004A5947&quot;/&gt;&lt;wsp:rsid wsp:val=&quot;004A5C61&quot;/&gt;&lt;wsp:rsid wsp:val=&quot;004A5D81&quot;/&gt;&lt;wsp:rsid wsp:val=&quot;004A623F&quot;/&gt;&lt;wsp:rsid wsp:val=&quot;004A657E&quot;/&gt;&lt;wsp:rsid wsp:val=&quot;004A65F9&quot;/&gt;&lt;wsp:rsid wsp:val=&quot;004A6AF1&quot;/&gt;&lt;wsp:rsid wsp:val=&quot;004A6D2A&quot;/&gt;&lt;wsp:rsid wsp:val=&quot;004A6E2E&quot;/&gt;&lt;wsp:rsid wsp:val=&quot;004A6E8A&quot;/&gt;&lt;wsp:rsid wsp:val=&quot;004A7283&quot;/&gt;&lt;wsp:rsid wsp:val=&quot;004A790F&quot;/&gt;&lt;wsp:rsid wsp:val=&quot;004A7FF2&quot;/&gt;&lt;wsp:rsid wsp:val=&quot;004B032B&quot;/&gt;&lt;wsp:rsid wsp:val=&quot;004B05B2&quot;/&gt;&lt;wsp:rsid wsp:val=&quot;004B0978&quot;/&gt;&lt;wsp:rsid wsp:val=&quot;004B0F53&quot;/&gt;&lt;wsp:rsid wsp:val=&quot;004B1308&quot;/&gt;&lt;wsp:rsid wsp:val=&quot;004B145D&quot;/&gt;&lt;wsp:rsid wsp:val=&quot;004B1D8F&quot;/&gt;&lt;wsp:rsid wsp:val=&quot;004B225B&quot;/&gt;&lt;wsp:rsid wsp:val=&quot;004B29C5&quot;/&gt;&lt;wsp:rsid wsp:val=&quot;004B2E9F&quot;/&gt;&lt;wsp:rsid wsp:val=&quot;004B41B6&quot;/&gt;&lt;wsp:rsid wsp:val=&quot;004B434E&quot;/&gt;&lt;wsp:rsid wsp:val=&quot;004B435F&quot;/&gt;&lt;wsp:rsid wsp:val=&quot;004B440D&quot;/&gt;&lt;wsp:rsid wsp:val=&quot;004B4DD8&quot;/&gt;&lt;wsp:rsid wsp:val=&quot;004B555E&quot;/&gt;&lt;wsp:rsid wsp:val=&quot;004B55CA&quot;/&gt;&lt;wsp:rsid wsp:val=&quot;004B58F2&quot;/&gt;&lt;wsp:rsid wsp:val=&quot;004B5D92&quot;/&gt;&lt;wsp:rsid wsp:val=&quot;004B5EE5&quot;/&gt;&lt;wsp:rsid wsp:val=&quot;004B61B0&quot;/&gt;&lt;wsp:rsid wsp:val=&quot;004B6219&quot;/&gt;&lt;wsp:rsid wsp:val=&quot;004B6285&quot;/&gt;&lt;wsp:rsid wsp:val=&quot;004B6679&quot;/&gt;&lt;wsp:rsid wsp:val=&quot;004B6707&quot;/&gt;&lt;wsp:rsid wsp:val=&quot;004B69EC&quot;/&gt;&lt;wsp:rsid wsp:val=&quot;004B701F&quot;/&gt;&lt;wsp:rsid wsp:val=&quot;004B7117&quot;/&gt;&lt;wsp:rsid wsp:val=&quot;004B75E3&quot;/&gt;&lt;wsp:rsid wsp:val=&quot;004B76B1&quot;/&gt;&lt;wsp:rsid wsp:val=&quot;004B7D0B&quot;/&gt;&lt;wsp:rsid wsp:val=&quot;004C01FD&quot;/&gt;&lt;wsp:rsid wsp:val=&quot;004C0369&quot;/&gt;&lt;wsp:rsid wsp:val=&quot;004C0653&quot;/&gt;&lt;wsp:rsid wsp:val=&quot;004C06AA&quot;/&gt;&lt;wsp:rsid wsp:val=&quot;004C06FB&quot;/&gt;&lt;wsp:rsid wsp:val=&quot;004C0DFC&quot;/&gt;&lt;wsp:rsid wsp:val=&quot;004C0F9C&quot;/&gt;&lt;wsp:rsid wsp:val=&quot;004C1291&quot;/&gt;&lt;wsp:rsid wsp:val=&quot;004C1ABB&quot;/&gt;&lt;wsp:rsid wsp:val=&quot;004C1B46&quot;/&gt;&lt;wsp:rsid wsp:val=&quot;004C1DA9&quot;/&gt;&lt;wsp:rsid wsp:val=&quot;004C3A6C&quot;/&gt;&lt;wsp:rsid wsp:val=&quot;004C3C5B&quot;/&gt;&lt;wsp:rsid wsp:val=&quot;004C3C82&quot;/&gt;&lt;wsp:rsid wsp:val=&quot;004C4983&quot;/&gt;&lt;wsp:rsid wsp:val=&quot;004C4C56&quot;/&gt;&lt;wsp:rsid wsp:val=&quot;004C4FFB&quot;/&gt;&lt;wsp:rsid wsp:val=&quot;004C5059&quot;/&gt;&lt;wsp:rsid wsp:val=&quot;004C50F9&quot;/&gt;&lt;wsp:rsid wsp:val=&quot;004C5131&quot;/&gt;&lt;wsp:rsid wsp:val=&quot;004C5145&quot;/&gt;&lt;wsp:rsid wsp:val=&quot;004C5B0C&quot;/&gt;&lt;wsp:rsid wsp:val=&quot;004C5F31&quot;/&gt;&lt;wsp:rsid wsp:val=&quot;004C671A&quot;/&gt;&lt;wsp:rsid wsp:val=&quot;004C6DBF&quot;/&gt;&lt;wsp:rsid wsp:val=&quot;004C742B&quot;/&gt;&lt;wsp:rsid wsp:val=&quot;004C7B92&quot;/&gt;&lt;wsp:rsid wsp:val=&quot;004C7C9F&quot;/&gt;&lt;wsp:rsid wsp:val=&quot;004D0477&quot;/&gt;&lt;wsp:rsid wsp:val=&quot;004D0579&quot;/&gt;&lt;wsp:rsid wsp:val=&quot;004D05DC&quot;/&gt;&lt;wsp:rsid wsp:val=&quot;004D09CD&quot;/&gt;&lt;wsp:rsid wsp:val=&quot;004D1078&quot;/&gt;&lt;wsp:rsid wsp:val=&quot;004D10FE&quot;/&gt;&lt;wsp:rsid wsp:val=&quot;004D13D9&quot;/&gt;&lt;wsp:rsid wsp:val=&quot;004D1557&quot;/&gt;&lt;wsp:rsid wsp:val=&quot;004D163C&quot;/&gt;&lt;wsp:rsid wsp:val=&quot;004D1C13&quot;/&gt;&lt;wsp:rsid wsp:val=&quot;004D2080&quot;/&gt;&lt;wsp:rsid wsp:val=&quot;004D250E&quot;/&gt;&lt;wsp:rsid wsp:val=&quot;004D270F&quot;/&gt;&lt;wsp:rsid wsp:val=&quot;004D2851&quot;/&gt;&lt;wsp:rsid wsp:val=&quot;004D3636&quot;/&gt;&lt;wsp:rsid wsp:val=&quot;004D377E&quot;/&gt;&lt;wsp:rsid wsp:val=&quot;004D4254&quot;/&gt;&lt;wsp:rsid wsp:val=&quot;004D4572&quot;/&gt;&lt;wsp:rsid wsp:val=&quot;004D4588&quot;/&gt;&lt;wsp:rsid wsp:val=&quot;004D4C82&quot;/&gt;&lt;wsp:rsid wsp:val=&quot;004D5273&quot;/&gt;&lt;wsp:rsid wsp:val=&quot;004D537A&quot;/&gt;&lt;wsp:rsid wsp:val=&quot;004D5863&quot;/&gt;&lt;wsp:rsid wsp:val=&quot;004D6045&quot;/&gt;&lt;wsp:rsid wsp:val=&quot;004D66D5&quot;/&gt;&lt;wsp:rsid wsp:val=&quot;004D673C&quot;/&gt;&lt;wsp:rsid wsp:val=&quot;004D6895&quot;/&gt;&lt;wsp:rsid wsp:val=&quot;004D6E47&quot;/&gt;&lt;wsp:rsid wsp:val=&quot;004D704B&quot;/&gt;&lt;wsp:rsid wsp:val=&quot;004D71E6&quot;/&gt;&lt;wsp:rsid wsp:val=&quot;004D73D8&quot;/&gt;&lt;wsp:rsid wsp:val=&quot;004D764D&quot;/&gt;&lt;wsp:rsid wsp:val=&quot;004D79AC&quot;/&gt;&lt;wsp:rsid wsp:val=&quot;004D7B97&quot;/&gt;&lt;wsp:rsid wsp:val=&quot;004D7C03&quot;/&gt;&lt;wsp:rsid wsp:val=&quot;004E000F&quot;/&gt;&lt;wsp:rsid wsp:val=&quot;004E0618&quot;/&gt;&lt;wsp:rsid wsp:val=&quot;004E0F67&quot;/&gt;&lt;wsp:rsid wsp:val=&quot;004E18D6&quot;/&gt;&lt;wsp:rsid wsp:val=&quot;004E1BB3&quot;/&gt;&lt;wsp:rsid wsp:val=&quot;004E1E6F&quot;/&gt;&lt;wsp:rsid wsp:val=&quot;004E1FC6&quot;/&gt;&lt;wsp:rsid wsp:val=&quot;004E2360&quot;/&gt;&lt;wsp:rsid wsp:val=&quot;004E2CEA&quot;/&gt;&lt;wsp:rsid wsp:val=&quot;004E31EB&quot;/&gt;&lt;wsp:rsid wsp:val=&quot;004E328B&quot;/&gt;&lt;wsp:rsid wsp:val=&quot;004E3389&quot;/&gt;&lt;wsp:rsid wsp:val=&quot;004E33AF&quot;/&gt;&lt;wsp:rsid wsp:val=&quot;004E358B&quot;/&gt;&lt;wsp:rsid wsp:val=&quot;004E4017&quot;/&gt;&lt;wsp:rsid wsp:val=&quot;004E4643&quot;/&gt;&lt;wsp:rsid wsp:val=&quot;004E4E7D&quot;/&gt;&lt;wsp:rsid wsp:val=&quot;004E527A&quot;/&gt;&lt;wsp:rsid wsp:val=&quot;004E560E&quot;/&gt;&lt;wsp:rsid wsp:val=&quot;004E5B06&quot;/&gt;&lt;wsp:rsid wsp:val=&quot;004E61F5&quot;/&gt;&lt;wsp:rsid wsp:val=&quot;004E6955&quot;/&gt;&lt;wsp:rsid wsp:val=&quot;004E7306&quot;/&gt;&lt;wsp:rsid wsp:val=&quot;004E7868&quot;/&gt;&lt;wsp:rsid wsp:val=&quot;004E7A93&quot;/&gt;&lt;wsp:rsid wsp:val=&quot;004E7F40&quot;/&gt;&lt;wsp:rsid wsp:val=&quot;004F00E9&quot;/&gt;&lt;wsp:rsid wsp:val=&quot;004F030D&quot;/&gt;&lt;wsp:rsid wsp:val=&quot;004F0342&quot;/&gt;&lt;wsp:rsid wsp:val=&quot;004F087C&quot;/&gt;&lt;wsp:rsid wsp:val=&quot;004F0E59&quot;/&gt;&lt;wsp:rsid wsp:val=&quot;004F0EA4&quot;/&gt;&lt;wsp:rsid wsp:val=&quot;004F1389&quot;/&gt;&lt;wsp:rsid wsp:val=&quot;004F141A&quot;/&gt;&lt;wsp:rsid wsp:val=&quot;004F19DE&quot;/&gt;&lt;wsp:rsid wsp:val=&quot;004F1E22&quot;/&gt;&lt;wsp:rsid wsp:val=&quot;004F1F81&quot;/&gt;&lt;wsp:rsid wsp:val=&quot;004F20DC&quot;/&gt;&lt;wsp:rsid wsp:val=&quot;004F21E6&quot;/&gt;&lt;wsp:rsid wsp:val=&quot;004F26BC&quot;/&gt;&lt;wsp:rsid wsp:val=&quot;004F2CF6&quot;/&gt;&lt;wsp:rsid wsp:val=&quot;004F341F&quot;/&gt;&lt;wsp:rsid wsp:val=&quot;004F39A8&quot;/&gt;&lt;wsp:rsid wsp:val=&quot;004F3B68&quot;/&gt;&lt;wsp:rsid wsp:val=&quot;004F3CB1&quot;/&gt;&lt;wsp:rsid wsp:val=&quot;004F3EB1&quot;/&gt;&lt;wsp:rsid wsp:val=&quot;004F4B35&quot;/&gt;&lt;wsp:rsid wsp:val=&quot;004F4D3F&quot;/&gt;&lt;wsp:rsid wsp:val=&quot;004F4FE9&quot;/&gt;&lt;wsp:rsid wsp:val=&quot;004F5095&quot;/&gt;&lt;wsp:rsid wsp:val=&quot;004F50CE&quot;/&gt;&lt;wsp:rsid wsp:val=&quot;004F53E7&quot;/&gt;&lt;wsp:rsid wsp:val=&quot;004F544B&quot;/&gt;&lt;wsp:rsid wsp:val=&quot;004F5752&quot;/&gt;&lt;wsp:rsid wsp:val=&quot;004F5A83&quot;/&gt;&lt;wsp:rsid wsp:val=&quot;004F5B67&quot;/&gt;&lt;wsp:rsid wsp:val=&quot;004F605F&quot;/&gt;&lt;wsp:rsid wsp:val=&quot;004F6428&quot;/&gt;&lt;wsp:rsid wsp:val=&quot;004F6D5F&quot;/&gt;&lt;wsp:rsid wsp:val=&quot;004F7518&quot;/&gt;&lt;wsp:rsid wsp:val=&quot;00500525&quot;/&gt;&lt;wsp:rsid wsp:val=&quot;005005E2&quot;/&gt;&lt;wsp:rsid wsp:val=&quot;005008C3&quot;/&gt;&lt;wsp:rsid wsp:val=&quot;0050090B&quot;/&gt;&lt;wsp:rsid wsp:val=&quot;00500E06&quot;/&gt;&lt;wsp:rsid wsp:val=&quot;00500F51&quot;/&gt;&lt;wsp:rsid wsp:val=&quot;0050129C&quot;/&gt;&lt;wsp:rsid wsp:val=&quot;00501655&quot;/&gt;&lt;wsp:rsid wsp:val=&quot;00502020&quot;/&gt;&lt;wsp:rsid wsp:val=&quot;005024BB&quot;/&gt;&lt;wsp:rsid wsp:val=&quot;005026DC&quot;/&gt;&lt;wsp:rsid wsp:val=&quot;00502C8D&quot;/&gt;&lt;wsp:rsid wsp:val=&quot;00502F1F&quot;/&gt;&lt;wsp:rsid wsp:val=&quot;00503745&quot;/&gt;&lt;wsp:rsid wsp:val=&quot;005038BC&quot;/&gt;&lt;wsp:rsid wsp:val=&quot;00503C54&quot;/&gt;&lt;wsp:rsid wsp:val=&quot;0050413F&quot;/&gt;&lt;wsp:rsid wsp:val=&quot;00504193&quot;/&gt;&lt;wsp:rsid wsp:val=&quot;00504917&quot;/&gt;&lt;wsp:rsid wsp:val=&quot;00504B26&quot;/&gt;&lt;wsp:rsid wsp:val=&quot;00504C21&quot;/&gt;&lt;wsp:rsid wsp:val=&quot;00504E2F&quot;/&gt;&lt;wsp:rsid wsp:val=&quot;00504EC4&quot;/&gt;&lt;wsp:rsid wsp:val=&quot;005054E7&quot;/&gt;&lt;wsp:rsid wsp:val=&quot;00505967&quot;/&gt;&lt;wsp:rsid wsp:val=&quot;00505ACC&quot;/&gt;&lt;wsp:rsid wsp:val=&quot;00505CDF&quot;/&gt;&lt;wsp:rsid wsp:val=&quot;005063D5&quot;/&gt;&lt;wsp:rsid wsp:val=&quot;0050662F&quot;/&gt;&lt;wsp:rsid wsp:val=&quot;00506EFE&quot;/&gt;&lt;wsp:rsid wsp:val=&quot;00506FAD&quot;/&gt;&lt;wsp:rsid wsp:val=&quot;0050717B&quot;/&gt;&lt;wsp:rsid wsp:val=&quot;00507184&quot;/&gt;&lt;wsp:rsid wsp:val=&quot;00507D15&quot;/&gt;&lt;wsp:rsid wsp:val=&quot;00507D5D&quot;/&gt;&lt;wsp:rsid wsp:val=&quot;0051041C&quot;/&gt;&lt;wsp:rsid wsp:val=&quot;005112CA&quot;/&gt;&lt;wsp:rsid wsp:val=&quot;00511673&quot;/&gt;&lt;wsp:rsid wsp:val=&quot;00511A60&quot;/&gt;&lt;wsp:rsid wsp:val=&quot;0051236D&quot;/&gt;&lt;wsp:rsid wsp:val=&quot;00512D7F&quot;/&gt;&lt;wsp:rsid wsp:val=&quot;00512D83&quot;/&gt;&lt;wsp:rsid wsp:val=&quot;0051377C&quot;/&gt;&lt;wsp:rsid wsp:val=&quot;005139E0&quot;/&gt;&lt;wsp:rsid wsp:val=&quot;00513B21&quot;/&gt;&lt;wsp:rsid wsp:val=&quot;00513E46&quot;/&gt;&lt;wsp:rsid wsp:val=&quot;0051431C&quot;/&gt;&lt;wsp:rsid wsp:val=&quot;00514D53&quot;/&gt;&lt;wsp:rsid wsp:val=&quot;00514D5F&quot;/&gt;&lt;wsp:rsid wsp:val=&quot;00514EC4&quot;/&gt;&lt;wsp:rsid wsp:val=&quot;0051527C&quot;/&gt;&lt;wsp:rsid wsp:val=&quot;00515420&quot;/&gt;&lt;wsp:rsid wsp:val=&quot;00515905&quot;/&gt;&lt;wsp:rsid wsp:val=&quot;00516385&quot;/&gt;&lt;wsp:rsid wsp:val=&quot;00516618&quot;/&gt;&lt;wsp:rsid wsp:val=&quot;00516F9E&quot;/&gt;&lt;wsp:rsid wsp:val=&quot;00517075&quot;/&gt;&lt;wsp:rsid wsp:val=&quot;00517094&quot;/&gt;&lt;wsp:rsid wsp:val=&quot;005171B9&quot;/&gt;&lt;wsp:rsid wsp:val=&quot;0051749B&quot;/&gt;&lt;wsp:rsid wsp:val=&quot;00517DEC&quot;/&gt;&lt;wsp:rsid wsp:val=&quot;00520091&quot;/&gt;&lt;wsp:rsid wsp:val=&quot;0052094F&quot;/&gt;&lt;wsp:rsid wsp:val=&quot;00520A72&quot;/&gt;&lt;wsp:rsid wsp:val=&quot;00520B91&quot;/&gt;&lt;wsp:rsid wsp:val=&quot;005213A6&quot;/&gt;&lt;wsp:rsid wsp:val=&quot;00522C8F&quot;/&gt;&lt;wsp:rsid wsp:val=&quot;00522D90&quot;/&gt;&lt;wsp:rsid wsp:val=&quot;005232B0&quot;/&gt;&lt;wsp:rsid wsp:val=&quot;00523A0A&quot;/&gt;&lt;wsp:rsid wsp:val=&quot;00523B03&quot;/&gt;&lt;wsp:rsid wsp:val=&quot;00523D52&quot;/&gt;&lt;wsp:rsid wsp:val=&quot;00523DEF&quot;/&gt;&lt;wsp:rsid wsp:val=&quot;00523E19&quot;/&gt;&lt;wsp:rsid wsp:val=&quot;00524973&quot;/&gt;&lt;wsp:rsid wsp:val=&quot;00524C0C&quot;/&gt;&lt;wsp:rsid wsp:val=&quot;00524C95&quot;/&gt;&lt;wsp:rsid wsp:val=&quot;00525371&quot;/&gt;&lt;wsp:rsid wsp:val=&quot;0052539A&quot;/&gt;&lt;wsp:rsid wsp:val=&quot;005255E9&quot;/&gt;&lt;wsp:rsid wsp:val=&quot;0052600F&quot;/&gt;&lt;wsp:rsid wsp:val=&quot;005260F2&quot;/&gt;&lt;wsp:rsid wsp:val=&quot;00526C2E&quot;/&gt;&lt;wsp:rsid wsp:val=&quot;00526C3C&quot;/&gt;&lt;wsp:rsid wsp:val=&quot;00527199&quot;/&gt;&lt;wsp:rsid wsp:val=&quot;005272BE&quot;/&gt;&lt;wsp:rsid wsp:val=&quot;00527927&quot;/&gt;&lt;wsp:rsid wsp:val=&quot;0052794E&quot;/&gt;&lt;wsp:rsid wsp:val=&quot;00527B7C&quot;/&gt;&lt;wsp:rsid wsp:val=&quot;0053017A&quot;/&gt;&lt;wsp:rsid wsp:val=&quot;005303A4&quot;/&gt;&lt;wsp:rsid wsp:val=&quot;00530667&quot;/&gt;&lt;wsp:rsid wsp:val=&quot;005308CB&quot;/&gt;&lt;wsp:rsid wsp:val=&quot;005308D8&quot;/&gt;&lt;wsp:rsid wsp:val=&quot;00530CB4&quot;/&gt;&lt;wsp:rsid wsp:val=&quot;0053109A&quot;/&gt;&lt;wsp:rsid wsp:val=&quot;005311FA&quot;/&gt;&lt;wsp:rsid wsp:val=&quot;005319AF&quot;/&gt;&lt;wsp:rsid wsp:val=&quot;00531A8A&quot;/&gt;&lt;wsp:rsid wsp:val=&quot;0053230D&quot;/&gt;&lt;wsp:rsid wsp:val=&quot;00532906&quot;/&gt;&lt;wsp:rsid wsp:val=&quot;005329A0&quot;/&gt;&lt;wsp:rsid wsp:val=&quot;00532A8C&quot;/&gt;&lt;wsp:rsid wsp:val=&quot;00532A90&quot;/&gt;&lt;wsp:rsid wsp:val=&quot;00532B20&quot;/&gt;&lt;wsp:rsid wsp:val=&quot;0053349E&quot;/&gt;&lt;wsp:rsid wsp:val=&quot;00533522&quot;/&gt;&lt;wsp:rsid wsp:val=&quot;00533B57&quot;/&gt;&lt;wsp:rsid wsp:val=&quot;00533D72&quot;/&gt;&lt;wsp:rsid wsp:val=&quot;0053407A&quot;/&gt;&lt;wsp:rsid wsp:val=&quot;00534662&quot;/&gt;&lt;wsp:rsid wsp:val=&quot;005348B6&quot;/&gt;&lt;wsp:rsid wsp:val=&quot;00534A7D&quot;/&gt;&lt;wsp:rsid wsp:val=&quot;00534B5E&quot;/&gt;&lt;wsp:rsid wsp:val=&quot;00534D1B&quot;/&gt;&lt;wsp:rsid wsp:val=&quot;005352E2&quot;/&gt;&lt;wsp:rsid wsp:val=&quot;00535743&quot;/&gt;&lt;wsp:rsid wsp:val=&quot;00535848&quot;/&gt;&lt;wsp:rsid wsp:val=&quot;00535CA1&quot;/&gt;&lt;wsp:rsid wsp:val=&quot;00535D48&quot;/&gt;&lt;wsp:rsid wsp:val=&quot;00535D50&quot;/&gt;&lt;wsp:rsid wsp:val=&quot;00536012&quot;/&gt;&lt;wsp:rsid wsp:val=&quot;005364D7&quot;/&gt;&lt;wsp:rsid wsp:val=&quot;00536620&quot;/&gt;&lt;wsp:rsid wsp:val=&quot;005368FF&quot;/&gt;&lt;wsp:rsid wsp:val=&quot;005369F5&quot;/&gt;&lt;wsp:rsid wsp:val=&quot;00536C26&quot;/&gt;&lt;wsp:rsid wsp:val=&quot;00536D3F&quot;/&gt;&lt;wsp:rsid wsp:val=&quot;00536E6E&quot;/&gt;&lt;wsp:rsid wsp:val=&quot;00536F61&quot;/&gt;&lt;wsp:rsid wsp:val=&quot;00536FF8&quot;/&gt;&lt;wsp:rsid wsp:val=&quot;0053744C&quot;/&gt;&lt;wsp:rsid wsp:val=&quot;00537533&quot;/&gt;&lt;wsp:rsid wsp:val=&quot;00537ADA&quot;/&gt;&lt;wsp:rsid wsp:val=&quot;005418B3&quot;/&gt;&lt;wsp:rsid wsp:val=&quot;005419FA&quot;/&gt;&lt;wsp:rsid wsp:val=&quot;00541A3F&quot;/&gt;&lt;wsp:rsid wsp:val=&quot;00541CB9&quot;/&gt;&lt;wsp:rsid wsp:val=&quot;00541D4D&quot;/&gt;&lt;wsp:rsid wsp:val=&quot;00541E9C&quot;/&gt;&lt;wsp:rsid wsp:val=&quot;00542561&quot;/&gt;&lt;wsp:rsid wsp:val=&quot;005428A4&quot;/&gt;&lt;wsp:rsid wsp:val=&quot;00542982&quot;/&gt;&lt;wsp:rsid wsp:val=&quot;00542E18&quot;/&gt;&lt;wsp:rsid wsp:val=&quot;00543226&quot;/&gt;&lt;wsp:rsid wsp:val=&quot;00543560&quot;/&gt;&lt;wsp:rsid wsp:val=&quot;00543781&quot;/&gt;&lt;wsp:rsid wsp:val=&quot;00543A2C&quot;/&gt;&lt;wsp:rsid wsp:val=&quot;00543E0A&quot;/&gt;&lt;wsp:rsid wsp:val=&quot;00543FE9&quot;/&gt;&lt;wsp:rsid wsp:val=&quot;00544235&quot;/&gt;&lt;wsp:rsid wsp:val=&quot;005443FE&quot;/&gt;&lt;wsp:rsid wsp:val=&quot;00544781&quot;/&gt;&lt;wsp:rsid wsp:val=&quot;005448DF&quot;/&gt;&lt;wsp:rsid wsp:val=&quot;00544A62&quot;/&gt;&lt;wsp:rsid wsp:val=&quot;00544D4C&quot;/&gt;&lt;wsp:rsid wsp:val=&quot;00545053&quot;/&gt;&lt;wsp:rsid wsp:val=&quot;005450D1&quot;/&gt;&lt;wsp:rsid wsp:val=&quot;00545547&quot;/&gt;&lt;wsp:rsid wsp:val=&quot;00545616&quot;/&gt;&lt;wsp:rsid wsp:val=&quot;00545635&quot;/&gt;&lt;wsp:rsid wsp:val=&quot;005456E1&quot;/&gt;&lt;wsp:rsid wsp:val=&quot;00545C73&quot;/&gt;&lt;wsp:rsid wsp:val=&quot;005463CC&quot;/&gt;&lt;wsp:rsid wsp:val=&quot;005464E1&quot;/&gt;&lt;wsp:rsid wsp:val=&quot;00546E72&quot;/&gt;&lt;wsp:rsid wsp:val=&quot;00546EBD&quot;/&gt;&lt;wsp:rsid wsp:val=&quot;00547064&quot;/&gt;&lt;wsp:rsid wsp:val=&quot;00547B80&quot;/&gt;&lt;wsp:rsid wsp:val=&quot;00547BBD&quot;/&gt;&lt;wsp:rsid wsp:val=&quot;005504DA&quot;/&gt;&lt;wsp:rsid wsp:val=&quot;005509E2&quot;/&gt;&lt;wsp:rsid wsp:val=&quot;00550B9D&quot;/&gt;&lt;wsp:rsid wsp:val=&quot;00550C97&quot;/&gt;&lt;wsp:rsid wsp:val=&quot;005510AC&quot;/&gt;&lt;wsp:rsid wsp:val=&quot;00551909&quot;/&gt;&lt;wsp:rsid wsp:val=&quot;00551A7E&quot;/&gt;&lt;wsp:rsid wsp:val=&quot;0055209F&quot;/&gt;&lt;wsp:rsid wsp:val=&quot;0055212C&quot;/&gt;&lt;wsp:rsid wsp:val=&quot;005524B0&quot;/&gt;&lt;wsp:rsid wsp:val=&quot;00552872&quot;/&gt;&lt;wsp:rsid wsp:val=&quot;00552BC1&quot;/&gt;&lt;wsp:rsid wsp:val=&quot;00552BE7&quot;/&gt;&lt;wsp:rsid wsp:val=&quot;005531DC&quot;/&gt;&lt;wsp:rsid wsp:val=&quot;00553315&quot;/&gt;&lt;wsp:rsid wsp:val=&quot;005534EF&quot;/&gt;&lt;wsp:rsid wsp:val=&quot;00553503&quot;/&gt;&lt;wsp:rsid wsp:val=&quot;00553798&quot;/&gt;&lt;wsp:rsid wsp:val=&quot;00553EA4&quot;/&gt;&lt;wsp:rsid wsp:val=&quot;005540A5&quot;/&gt;&lt;wsp:rsid wsp:val=&quot;0055413B&quot;/&gt;&lt;wsp:rsid wsp:val=&quot;0055429F&quot;/&gt;&lt;wsp:rsid wsp:val=&quot;00554392&quot;/&gt;&lt;wsp:rsid wsp:val=&quot;00554A4D&quot;/&gt;&lt;wsp:rsid wsp:val=&quot;00554E98&quot;/&gt;&lt;wsp:rsid wsp:val=&quot;00555062&quot;/&gt;&lt;wsp:rsid wsp:val=&quot;0055572C&quot;/&gt;&lt;wsp:rsid wsp:val=&quot;00556519&quot;/&gt;&lt;wsp:rsid wsp:val=&quot;005566C8&quot;/&gt;&lt;wsp:rsid wsp:val=&quot;00556BE3&quot;/&gt;&lt;wsp:rsid wsp:val=&quot;00556CB6&quot;/&gt;&lt;wsp:rsid wsp:val=&quot;005576A6&quot;/&gt;&lt;wsp:rsid wsp:val=&quot;0055787A&quot;/&gt;&lt;wsp:rsid wsp:val=&quot;00557C62&quot;/&gt;&lt;wsp:rsid wsp:val=&quot;00557E19&quot;/&gt;&lt;wsp:rsid wsp:val=&quot;00557F58&quot;/&gt;&lt;wsp:rsid wsp:val=&quot;005602E7&quot;/&gt;&lt;wsp:rsid wsp:val=&quot;005606C4&quot;/&gt;&lt;wsp:rsid wsp:val=&quot;00560D19&quot;/&gt;&lt;wsp:rsid wsp:val=&quot;00561EA2&quot;/&gt;&lt;wsp:rsid wsp:val=&quot;0056203F&quot;/&gt;&lt;wsp:rsid wsp:val=&quot;00562101&quot;/&gt;&lt;wsp:rsid wsp:val=&quot;005626C5&quot;/&gt;&lt;wsp:rsid wsp:val=&quot;00562A26&quot;/&gt;&lt;wsp:rsid wsp:val=&quot;00562C6C&quot;/&gt;&lt;wsp:rsid wsp:val=&quot;00563083&quot;/&gt;&lt;wsp:rsid wsp:val=&quot;00564105&quot;/&gt;&lt;wsp:rsid wsp:val=&quot;005642FF&quot;/&gt;&lt;wsp:rsid wsp:val=&quot;005652B6&quot;/&gt;&lt;wsp:rsid wsp:val=&quot;005659D1&quot;/&gt;&lt;wsp:rsid wsp:val=&quot;00565DA5&quot;/&gt;&lt;wsp:rsid wsp:val=&quot;005661BF&quot;/&gt;&lt;wsp:rsid wsp:val=&quot;00566248&quot;/&gt;&lt;wsp:rsid wsp:val=&quot;005667FB&quot;/&gt;&lt;wsp:rsid wsp:val=&quot;00566985&quot;/&gt;&lt;wsp:rsid wsp:val=&quot;00567218&quot;/&gt;&lt;wsp:rsid wsp:val=&quot;005676AB&quot;/&gt;&lt;wsp:rsid wsp:val=&quot;00567778&quot;/&gt;&lt;wsp:rsid wsp:val=&quot;00567782&quot;/&gt;&lt;wsp:rsid wsp:val=&quot;005677E8&quot;/&gt;&lt;wsp:rsid wsp:val=&quot;005678F4&quot;/&gt;&lt;wsp:rsid wsp:val=&quot;00567A9B&quot;/&gt;&lt;wsp:rsid wsp:val=&quot;00567C68&quot;/&gt;&lt;wsp:rsid wsp:val=&quot;00567F72&quot;/&gt;&lt;wsp:rsid wsp:val=&quot;00570222&quot;/&gt;&lt;wsp:rsid wsp:val=&quot;005703F3&quot;/&gt;&lt;wsp:rsid wsp:val=&quot;00570567&quot;/&gt;&lt;wsp:rsid wsp:val=&quot;005708E0&quot;/&gt;&lt;wsp:rsid wsp:val=&quot;005709C7&quot;/&gt;&lt;wsp:rsid wsp:val=&quot;00571297&quot;/&gt;&lt;wsp:rsid wsp:val=&quot;00571355&quot;/&gt;&lt;wsp:rsid wsp:val=&quot;0057174D&quot;/&gt;&lt;wsp:rsid wsp:val=&quot;00571A63&quot;/&gt;&lt;wsp:rsid wsp:val=&quot;0057216F&quot;/&gt;&lt;wsp:rsid wsp:val=&quot;00572170&quot;/&gt;&lt;wsp:rsid wsp:val=&quot;00572202&quot;/&gt;&lt;wsp:rsid wsp:val=&quot;00572505&quot;/&gt;&lt;wsp:rsid wsp:val=&quot;00572E8A&quot;/&gt;&lt;wsp:rsid wsp:val=&quot;00572EAA&quot;/&gt;&lt;wsp:rsid wsp:val=&quot;00572EC7&quot;/&gt;&lt;wsp:rsid wsp:val=&quot;00572FDC&quot;/&gt;&lt;wsp:rsid wsp:val=&quot;005735B5&quot;/&gt;&lt;wsp:rsid wsp:val=&quot;00573AB3&quot;/&gt;&lt;wsp:rsid wsp:val=&quot;00573BC6&quot;/&gt;&lt;wsp:rsid wsp:val=&quot;00573FD7&quot;/&gt;&lt;wsp:rsid wsp:val=&quot;00574046&quot;/&gt;&lt;wsp:rsid wsp:val=&quot;005741DE&quot;/&gt;&lt;wsp:rsid wsp:val=&quot;0057450D&quot;/&gt;&lt;wsp:rsid wsp:val=&quot;00574603&quot;/&gt;&lt;wsp:rsid wsp:val=&quot;005746A1&quot;/&gt;&lt;wsp:rsid wsp:val=&quot;0057474A&quot;/&gt;&lt;wsp:rsid wsp:val=&quot;00574DD8&quot;/&gt;&lt;wsp:rsid wsp:val=&quot;00575282&quot;/&gt;&lt;wsp:rsid wsp:val=&quot;00575784&quot;/&gt;&lt;wsp:rsid wsp:val=&quot;005758F5&quot;/&gt;&lt;wsp:rsid wsp:val=&quot;00575AB6&quot;/&gt;&lt;wsp:rsid wsp:val=&quot;005760F5&quot;/&gt;&lt;wsp:rsid wsp:val=&quot;00576322&quot;/&gt;&lt;wsp:rsid wsp:val=&quot;0057656B&quot;/&gt;&lt;wsp:rsid wsp:val=&quot;00576C46&quot;/&gt;&lt;wsp:rsid wsp:val=&quot;00576D39&quot;/&gt;&lt;wsp:rsid wsp:val=&quot;005776B8&quot;/&gt;&lt;wsp:rsid wsp:val=&quot;00577C8A&quot;/&gt;&lt;wsp:rsid wsp:val=&quot;00580043&quot;/&gt;&lt;wsp:rsid wsp:val=&quot;0058070D&quot;/&gt;&lt;wsp:rsid wsp:val=&quot;005810F0&quot;/&gt;&lt;wsp:rsid wsp:val=&quot;00581238&quot;/&gt;&lt;wsp:rsid wsp:val=&quot;005814D5&quot;/&gt;&lt;wsp:rsid wsp:val=&quot;0058200D&quot;/&gt;&lt;wsp:rsid wsp:val=&quot;00582A7C&quot;/&gt;&lt;wsp:rsid wsp:val=&quot;00582B0A&quot;/&gt;&lt;wsp:rsid wsp:val=&quot;00582B40&quot;/&gt;&lt;wsp:rsid wsp:val=&quot;00583422&quot;/&gt;&lt;wsp:rsid wsp:val=&quot;0058349F&quot;/&gt;&lt;wsp:rsid wsp:val=&quot;0058354E&quot;/&gt;&lt;wsp:rsid wsp:val=&quot;00583D5A&quot;/&gt;&lt;wsp:rsid wsp:val=&quot;00584A27&quot;/&gt;&lt;wsp:rsid wsp:val=&quot;00584DA8&quot;/&gt;&lt;wsp:rsid wsp:val=&quot;00585130&quot;/&gt;&lt;wsp:rsid wsp:val=&quot;00585520&quot;/&gt;&lt;wsp:rsid wsp:val=&quot;005860A3&quot;/&gt;&lt;wsp:rsid wsp:val=&quot;005860D7&quot;/&gt;&lt;wsp:rsid wsp:val=&quot;005862A4&quot;/&gt;&lt;wsp:rsid wsp:val=&quot;00586490&quot;/&gt;&lt;wsp:rsid wsp:val=&quot;00586492&quot;/&gt;&lt;wsp:rsid wsp:val=&quot;00586507&quot;/&gt;&lt;wsp:rsid wsp:val=&quot;00587064&quot;/&gt;&lt;wsp:rsid wsp:val=&quot;00587294&quot;/&gt;&lt;wsp:rsid wsp:val=&quot;00587981&quot;/&gt;&lt;wsp:rsid wsp:val=&quot;00587B8C&quot;/&gt;&lt;wsp:rsid wsp:val=&quot;00587D33&quot;/&gt;&lt;wsp:rsid wsp:val=&quot;00587DB0&quot;/&gt;&lt;wsp:rsid wsp:val=&quot;00587EB0&quot;/&gt;&lt;wsp:rsid wsp:val=&quot;005904F8&quot;/&gt;&lt;wsp:rsid wsp:val=&quot;0059050B&quot;/&gt;&lt;wsp:rsid wsp:val=&quot;00590645&quot;/&gt;&lt;wsp:rsid wsp:val=&quot;00590AC0&quot;/&gt;&lt;wsp:rsid wsp:val=&quot;00590F30&quot;/&gt;&lt;wsp:rsid wsp:val=&quot;00591937&quot;/&gt;&lt;wsp:rsid wsp:val=&quot;0059262A&quot;/&gt;&lt;wsp:rsid wsp:val=&quot;005928DB&quot;/&gt;&lt;wsp:rsid wsp:val=&quot;0059302D&quot;/&gt;&lt;wsp:rsid wsp:val=&quot;00593401&quot;/&gt;&lt;wsp:rsid wsp:val=&quot;00593AEF&quot;/&gt;&lt;wsp:rsid wsp:val=&quot;005941A9&quot;/&gt;&lt;wsp:rsid wsp:val=&quot;005943A1&quot;/&gt;&lt;wsp:rsid wsp:val=&quot;00594433&quot;/&gt;&lt;wsp:rsid wsp:val=&quot;00594AB5&quot;/&gt;&lt;wsp:rsid wsp:val=&quot;00594C34&quot;/&gt;&lt;wsp:rsid wsp:val=&quot;00594FE8&quot;/&gt;&lt;wsp:rsid wsp:val=&quot;00595533&quot;/&gt;&lt;wsp:rsid wsp:val=&quot;005955AA&quot;/&gt;&lt;wsp:rsid wsp:val=&quot;00595F1A&quot;/&gt;&lt;wsp:rsid wsp:val=&quot;005963E5&quot;/&gt;&lt;wsp:rsid wsp:val=&quot;005966F2&quot;/&gt;&lt;wsp:rsid wsp:val=&quot;0059693C&quot;/&gt;&lt;wsp:rsid wsp:val=&quot;00596AB3&quot;/&gt;&lt;wsp:rsid wsp:val=&quot;00596FE8&quot;/&gt;&lt;wsp:rsid wsp:val=&quot;005971B9&quot;/&gt;&lt;wsp:rsid wsp:val=&quot;005971E9&quot;/&gt;&lt;wsp:rsid wsp:val=&quot;005973A0&quot;/&gt;&lt;wsp:rsid wsp:val=&quot;005974E1&quot;/&gt;&lt;wsp:rsid wsp:val=&quot;005975B0&quot;/&gt;&lt;wsp:rsid wsp:val=&quot;00597717&quot;/&gt;&lt;wsp:rsid wsp:val=&quot;005A01AA&quot;/&gt;&lt;wsp:rsid wsp:val=&quot;005A0668&quot;/&gt;&lt;wsp:rsid wsp:val=&quot;005A1173&quot;/&gt;&lt;wsp:rsid wsp:val=&quot;005A14E3&quot;/&gt;&lt;wsp:rsid wsp:val=&quot;005A1848&quot;/&gt;&lt;wsp:rsid wsp:val=&quot;005A1BFB&quot;/&gt;&lt;wsp:rsid wsp:val=&quot;005A1D36&quot;/&gt;&lt;wsp:rsid wsp:val=&quot;005A1EBB&quot;/&gt;&lt;wsp:rsid wsp:val=&quot;005A219B&quot;/&gt;&lt;wsp:rsid wsp:val=&quot;005A236A&quot;/&gt;&lt;wsp:rsid wsp:val=&quot;005A293C&quot;/&gt;&lt;wsp:rsid wsp:val=&quot;005A294C&quot;/&gt;&lt;wsp:rsid wsp:val=&quot;005A2E17&quot;/&gt;&lt;wsp:rsid wsp:val=&quot;005A2F7C&quot;/&gt;&lt;wsp:rsid wsp:val=&quot;005A3305&quot;/&gt;&lt;wsp:rsid wsp:val=&quot;005A347B&quot;/&gt;&lt;wsp:rsid wsp:val=&quot;005A4BB1&quot;/&gt;&lt;wsp:rsid wsp:val=&quot;005A4C44&quot;/&gt;&lt;wsp:rsid wsp:val=&quot;005A59BE&quot;/&gt;&lt;wsp:rsid wsp:val=&quot;005A6121&quot;/&gt;&lt;wsp:rsid wsp:val=&quot;005A6183&quot;/&gt;&lt;wsp:rsid wsp:val=&quot;005A6E72&quot;/&gt;&lt;wsp:rsid wsp:val=&quot;005A6F8C&quot;/&gt;&lt;wsp:rsid wsp:val=&quot;005A70C7&quot;/&gt;&lt;wsp:rsid wsp:val=&quot;005A7558&quot;/&gt;&lt;wsp:rsid wsp:val=&quot;005A787B&quot;/&gt;&lt;wsp:rsid wsp:val=&quot;005A7920&quot;/&gt;&lt;wsp:rsid wsp:val=&quot;005A7CA5&quot;/&gt;&lt;wsp:rsid wsp:val=&quot;005B0455&quot;/&gt;&lt;wsp:rsid wsp:val=&quot;005B0516&quot;/&gt;&lt;wsp:rsid wsp:val=&quot;005B064B&quot;/&gt;&lt;wsp:rsid wsp:val=&quot;005B080E&quot;/&gt;&lt;wsp:rsid wsp:val=&quot;005B08C4&quot;/&gt;&lt;wsp:rsid wsp:val=&quot;005B0991&quot;/&gt;&lt;wsp:rsid wsp:val=&quot;005B14F5&quot;/&gt;&lt;wsp:rsid wsp:val=&quot;005B17FB&quot;/&gt;&lt;wsp:rsid wsp:val=&quot;005B1E89&quot;/&gt;&lt;wsp:rsid wsp:val=&quot;005B2184&quot;/&gt;&lt;wsp:rsid wsp:val=&quot;005B237A&quot;/&gt;&lt;wsp:rsid wsp:val=&quot;005B248C&quot;/&gt;&lt;wsp:rsid wsp:val=&quot;005B2AC3&quot;/&gt;&lt;wsp:rsid wsp:val=&quot;005B2C4A&quot;/&gt;&lt;wsp:rsid wsp:val=&quot;005B314A&quot;/&gt;&lt;wsp:rsid wsp:val=&quot;005B3351&quot;/&gt;&lt;wsp:rsid wsp:val=&quot;005B35C5&quot;/&gt;&lt;wsp:rsid wsp:val=&quot;005B37D5&quot;/&gt;&lt;wsp:rsid wsp:val=&quot;005B383D&quot;/&gt;&lt;wsp:rsid wsp:val=&quot;005B3B27&quot;/&gt;&lt;wsp:rsid wsp:val=&quot;005B402D&quot;/&gt;&lt;wsp:rsid wsp:val=&quot;005B41AC&quot;/&gt;&lt;wsp:rsid wsp:val=&quot;005B49D7&quot;/&gt;&lt;wsp:rsid wsp:val=&quot;005B4F09&quot;/&gt;&lt;wsp:rsid wsp:val=&quot;005B58FD&quot;/&gt;&lt;wsp:rsid wsp:val=&quot;005B6115&quot;/&gt;&lt;wsp:rsid wsp:val=&quot;005B6256&quot;/&gt;&lt;wsp:rsid wsp:val=&quot;005B640B&quot;/&gt;&lt;wsp:rsid wsp:val=&quot;005B6F17&quot;/&gt;&lt;wsp:rsid wsp:val=&quot;005B7B27&quot;/&gt;&lt;wsp:rsid wsp:val=&quot;005B7F27&quot;/&gt;&lt;wsp:rsid wsp:val=&quot;005C08D1&quot;/&gt;&lt;wsp:rsid wsp:val=&quot;005C0B25&quot;/&gt;&lt;wsp:rsid wsp:val=&quot;005C0F82&quot;/&gt;&lt;wsp:rsid wsp:val=&quot;005C18C0&quot;/&gt;&lt;wsp:rsid wsp:val=&quot;005C1BC4&quot;/&gt;&lt;wsp:rsid wsp:val=&quot;005C2CB7&quot;/&gt;&lt;wsp:rsid wsp:val=&quot;005C328D&quot;/&gt;&lt;wsp:rsid wsp:val=&quot;005C34B9&quot;/&gt;&lt;wsp:rsid wsp:val=&quot;005C370D&quot;/&gt;&lt;wsp:rsid wsp:val=&quot;005C3B46&quot;/&gt;&lt;wsp:rsid wsp:val=&quot;005C3C94&quot;/&gt;&lt;wsp:rsid wsp:val=&quot;005C41AE&quot;/&gt;&lt;wsp:rsid wsp:val=&quot;005C420F&quot;/&gt;&lt;wsp:rsid wsp:val=&quot;005C4431&quot;/&gt;&lt;wsp:rsid wsp:val=&quot;005C45E7&quot;/&gt;&lt;wsp:rsid wsp:val=&quot;005C4E26&quot;/&gt;&lt;wsp:rsid wsp:val=&quot;005C559E&quot;/&gt;&lt;wsp:rsid wsp:val=&quot;005C5CAA&quot;/&gt;&lt;wsp:rsid wsp:val=&quot;005C5E3B&quot;/&gt;&lt;wsp:rsid wsp:val=&quot;005C5F32&quot;/&gt;&lt;wsp:rsid wsp:val=&quot;005C658B&quot;/&gt;&lt;wsp:rsid wsp:val=&quot;005C6A0D&quot;/&gt;&lt;wsp:rsid wsp:val=&quot;005C6A61&quot;/&gt;&lt;wsp:rsid wsp:val=&quot;005C6AE5&quot;/&gt;&lt;wsp:rsid wsp:val=&quot;005C6C28&quot;/&gt;&lt;wsp:rsid wsp:val=&quot;005C6CAC&quot;/&gt;&lt;wsp:rsid wsp:val=&quot;005C6FFE&quot;/&gt;&lt;wsp:rsid wsp:val=&quot;005C72DD&quot;/&gt;&lt;wsp:rsid wsp:val=&quot;005C75D9&quot;/&gt;&lt;wsp:rsid wsp:val=&quot;005C7BE8&quot;/&gt;&lt;wsp:rsid wsp:val=&quot;005C7F30&quot;/&gt;&lt;wsp:rsid wsp:val=&quot;005D0161&quot;/&gt;&lt;wsp:rsid wsp:val=&quot;005D06F5&quot;/&gt;&lt;wsp:rsid wsp:val=&quot;005D0DF7&quot;/&gt;&lt;wsp:rsid wsp:val=&quot;005D1169&quot;/&gt;&lt;wsp:rsid wsp:val=&quot;005D129B&quot;/&gt;&lt;wsp:rsid wsp:val=&quot;005D137F&quot;/&gt;&lt;wsp:rsid wsp:val=&quot;005D1459&quot;/&gt;&lt;wsp:rsid wsp:val=&quot;005D1906&quot;/&gt;&lt;wsp:rsid wsp:val=&quot;005D1B80&quot;/&gt;&lt;wsp:rsid wsp:val=&quot;005D1C8E&quot;/&gt;&lt;wsp:rsid wsp:val=&quot;005D1FC4&quot;/&gt;&lt;wsp:rsid wsp:val=&quot;005D1FDB&quot;/&gt;&lt;wsp:rsid wsp:val=&quot;005D2023&quot;/&gt;&lt;wsp:rsid wsp:val=&quot;005D2374&quot;/&gt;&lt;wsp:rsid wsp:val=&quot;005D24B3&quot;/&gt;&lt;wsp:rsid wsp:val=&quot;005D264A&quot;/&gt;&lt;wsp:rsid wsp:val=&quot;005D2F67&quot;/&gt;&lt;wsp:rsid wsp:val=&quot;005D30BA&quot;/&gt;&lt;wsp:rsid wsp:val=&quot;005D3CBD&quot;/&gt;&lt;wsp:rsid wsp:val=&quot;005D42FD&quot;/&gt;&lt;wsp:rsid wsp:val=&quot;005D43C9&quot;/&gt;&lt;wsp:rsid wsp:val=&quot;005D44A3&quot;/&gt;&lt;wsp:rsid wsp:val=&quot;005D4961&quot;/&gt;&lt;wsp:rsid wsp:val=&quot;005D4A3A&quot;/&gt;&lt;wsp:rsid wsp:val=&quot;005D4DBD&quot;/&gt;&lt;wsp:rsid wsp:val=&quot;005D5749&quot;/&gt;&lt;wsp:rsid wsp:val=&quot;005D594C&quot;/&gt;&lt;wsp:rsid wsp:val=&quot;005D6191&quot;/&gt;&lt;wsp:rsid wsp:val=&quot;005D633F&quot;/&gt;&lt;wsp:rsid wsp:val=&quot;005D6389&quot;/&gt;&lt;wsp:rsid wsp:val=&quot;005D6976&quot;/&gt;&lt;wsp:rsid wsp:val=&quot;005D6CF8&quot;/&gt;&lt;wsp:rsid wsp:val=&quot;005D6D76&quot;/&gt;&lt;wsp:rsid wsp:val=&quot;005D6FD0&quot;/&gt;&lt;wsp:rsid wsp:val=&quot;005D771B&quot;/&gt;&lt;wsp:rsid wsp:val=&quot;005D7B22&quot;/&gt;&lt;wsp:rsid wsp:val=&quot;005E0863&quot;/&gt;&lt;wsp:rsid wsp:val=&quot;005E0A6B&quot;/&gt;&lt;wsp:rsid wsp:val=&quot;005E0B99&quot;/&gt;&lt;wsp:rsid wsp:val=&quot;005E14A7&quot;/&gt;&lt;wsp:rsid wsp:val=&quot;005E1736&quot;/&gt;&lt;wsp:rsid wsp:val=&quot;005E1BB1&quot;/&gt;&lt;wsp:rsid wsp:val=&quot;005E1C17&quot;/&gt;&lt;wsp:rsid wsp:val=&quot;005E204B&quot;/&gt;&lt;wsp:rsid wsp:val=&quot;005E2CA9&quot;/&gt;&lt;wsp:rsid wsp:val=&quot;005E3323&quot;/&gt;&lt;wsp:rsid wsp:val=&quot;005E3615&quot;/&gt;&lt;wsp:rsid wsp:val=&quot;005E42A4&quot;/&gt;&lt;wsp:rsid wsp:val=&quot;005E46F9&quot;/&gt;&lt;wsp:rsid wsp:val=&quot;005E522D&quot;/&gt;&lt;wsp:rsid wsp:val=&quot;005E5623&quot;/&gt;&lt;wsp:rsid wsp:val=&quot;005E576F&quot;/&gt;&lt;wsp:rsid wsp:val=&quot;005E5958&quot;/&gt;&lt;wsp:rsid wsp:val=&quot;005E595D&quot;/&gt;&lt;wsp:rsid wsp:val=&quot;005E5CB6&quot;/&gt;&lt;wsp:rsid wsp:val=&quot;005E6340&quot;/&gt;&lt;wsp:rsid wsp:val=&quot;005E6552&quot;/&gt;&lt;wsp:rsid wsp:val=&quot;005E6604&quot;/&gt;&lt;wsp:rsid wsp:val=&quot;005E67FE&quot;/&gt;&lt;wsp:rsid wsp:val=&quot;005E6B92&quot;/&gt;&lt;wsp:rsid wsp:val=&quot;005E6E4A&quot;/&gt;&lt;wsp:rsid wsp:val=&quot;005E70F7&quot;/&gt;&lt;wsp:rsid wsp:val=&quot;005E77E6&quot;/&gt;&lt;wsp:rsid wsp:val=&quot;005E7D46&quot;/&gt;&lt;wsp:rsid wsp:val=&quot;005F0AA5&quot;/&gt;&lt;wsp:rsid wsp:val=&quot;005F0C74&quot;/&gt;&lt;wsp:rsid wsp:val=&quot;005F0D8A&quot;/&gt;&lt;wsp:rsid wsp:val=&quot;005F118F&quot;/&gt;&lt;wsp:rsid wsp:val=&quot;005F14A6&quot;/&gt;&lt;wsp:rsid wsp:val=&quot;005F17A0&quot;/&gt;&lt;wsp:rsid wsp:val=&quot;005F1918&quot;/&gt;&lt;wsp:rsid wsp:val=&quot;005F19FE&quot;/&gt;&lt;wsp:rsid wsp:val=&quot;005F1C12&quot;/&gt;&lt;wsp:rsid wsp:val=&quot;005F1E27&quot;/&gt;&lt;wsp:rsid wsp:val=&quot;005F2021&quot;/&gt;&lt;wsp:rsid wsp:val=&quot;005F208D&quot;/&gt;&lt;wsp:rsid wsp:val=&quot;005F2193&quot;/&gt;&lt;wsp:rsid wsp:val=&quot;005F27FB&quot;/&gt;&lt;wsp:rsid wsp:val=&quot;005F2E5A&quot;/&gt;&lt;wsp:rsid wsp:val=&quot;005F339C&quot;/&gt;&lt;wsp:rsid wsp:val=&quot;005F33B7&quot;/&gt;&lt;wsp:rsid wsp:val=&quot;005F3406&quot;/&gt;&lt;wsp:rsid wsp:val=&quot;005F39DA&quot;/&gt;&lt;wsp:rsid wsp:val=&quot;005F3B6D&quot;/&gt;&lt;wsp:rsid wsp:val=&quot;005F3BD3&quot;/&gt;&lt;wsp:rsid wsp:val=&quot;005F45EB&quot;/&gt;&lt;wsp:rsid wsp:val=&quot;005F469B&quot;/&gt;&lt;wsp:rsid wsp:val=&quot;005F4D5C&quot;/&gt;&lt;wsp:rsid wsp:val=&quot;005F543C&quot;/&gt;&lt;wsp:rsid wsp:val=&quot;005F5823&quot;/&gt;&lt;wsp:rsid wsp:val=&quot;005F5DCD&quot;/&gt;&lt;wsp:rsid wsp:val=&quot;005F5FB8&quot;/&gt;&lt;wsp:rsid wsp:val=&quot;005F63DD&quot;/&gt;&lt;wsp:rsid wsp:val=&quot;005F6614&quot;/&gt;&lt;wsp:rsid wsp:val=&quot;005F6CB8&quot;/&gt;&lt;wsp:rsid wsp:val=&quot;005F746D&quot;/&gt;&lt;wsp:rsid wsp:val=&quot;005F75FF&quot;/&gt;&lt;wsp:rsid wsp:val=&quot;005F787D&quot;/&gt;&lt;wsp:rsid wsp:val=&quot;00600022&quot;/&gt;&lt;wsp:rsid wsp:val=&quot;006003B1&quot;/&gt;&lt;wsp:rsid wsp:val=&quot;0060088E&quot;/&gt;&lt;wsp:rsid wsp:val=&quot;00601213&quot;/&gt;&lt;wsp:rsid wsp:val=&quot;0060178D&quot;/&gt;&lt;wsp:rsid wsp:val=&quot;00601825&quot;/&gt;&lt;wsp:rsid wsp:val=&quot;00601F04&quot;/&gt;&lt;wsp:rsid wsp:val=&quot;0060217A&quot;/&gt;&lt;wsp:rsid wsp:val=&quot;006026AB&quot;/&gt;&lt;wsp:rsid wsp:val=&quot;00602745&quot;/&gt;&lt;wsp:rsid wsp:val=&quot;00602D49&quot;/&gt;&lt;wsp:rsid wsp:val=&quot;00603DF0&quot;/&gt;&lt;wsp:rsid wsp:val=&quot;00603F6F&quot;/&gt;&lt;wsp:rsid wsp:val=&quot;006040C6&quot;/&gt;&lt;wsp:rsid wsp:val=&quot;006049CB&quot;/&gt;&lt;wsp:rsid wsp:val=&quot;00605873&quot;/&gt;&lt;wsp:rsid wsp:val=&quot;0060639E&quot;/&gt;&lt;wsp:rsid wsp:val=&quot;00606620&quot;/&gt;&lt;wsp:rsid wsp:val=&quot;0060664F&quot;/&gt;&lt;wsp:rsid wsp:val=&quot;006068F0&quot;/&gt;&lt;wsp:rsid wsp:val=&quot;00606C1E&quot;/&gt;&lt;wsp:rsid wsp:val=&quot;00606DBC&quot;/&gt;&lt;wsp:rsid wsp:val=&quot;0060750E&quot;/&gt;&lt;wsp:rsid wsp:val=&quot;00607635&quot;/&gt;&lt;wsp:rsid wsp:val=&quot;006076D3&quot;/&gt;&lt;wsp:rsid wsp:val=&quot;0060798F&quot;/&gt;&lt;wsp:rsid wsp:val=&quot;00607AF8&quot;/&gt;&lt;wsp:rsid wsp:val=&quot;00607F3B&quot;/&gt;&lt;wsp:rsid wsp:val=&quot;0061002D&quot;/&gt;&lt;wsp:rsid wsp:val=&quot;006106F8&quot;/&gt;&lt;wsp:rsid wsp:val=&quot;0061090B&quot;/&gt;&lt;wsp:rsid wsp:val=&quot;00610AE0&quot;/&gt;&lt;wsp:rsid wsp:val=&quot;00610B84&quot;/&gt;&lt;wsp:rsid wsp:val=&quot;00610E25&quot;/&gt;&lt;wsp:rsid wsp:val=&quot;00611080&quot;/&gt;&lt;wsp:rsid wsp:val=&quot;0061146F&quot;/&gt;&lt;wsp:rsid wsp:val=&quot;0061160E&quot;/&gt;&lt;wsp:rsid wsp:val=&quot;00611639&quot;/&gt;&lt;wsp:rsid wsp:val=&quot;00611773&quot;/&gt;&lt;wsp:rsid wsp:val=&quot;00611AE2&quot;/&gt;&lt;wsp:rsid wsp:val=&quot;00611FC7&quot;/&gt;&lt;wsp:rsid wsp:val=&quot;006126BC&quot;/&gt;&lt;wsp:rsid wsp:val=&quot;00612776&quot;/&gt;&lt;wsp:rsid wsp:val=&quot;00613032&quot;/&gt;&lt;wsp:rsid wsp:val=&quot;00613079&quot;/&gt;&lt;wsp:rsid wsp:val=&quot;00613328&quot;/&gt;&lt;wsp:rsid wsp:val=&quot;0061352F&quot;/&gt;&lt;wsp:rsid wsp:val=&quot;00614418&quot;/&gt;&lt;wsp:rsid wsp:val=&quot;00614958&quot;/&gt;&lt;wsp:rsid wsp:val=&quot;00614AA5&quot;/&gt;&lt;wsp:rsid wsp:val=&quot;00615010&quot;/&gt;&lt;wsp:rsid wsp:val=&quot;00615105&quot;/&gt;&lt;wsp:rsid wsp:val=&quot;0061576D&quot;/&gt;&lt;wsp:rsid wsp:val=&quot;00615958&quot;/&gt;&lt;wsp:rsid wsp:val=&quot;00615A20&quot;/&gt;&lt;wsp:rsid wsp:val=&quot;00616625&quot;/&gt;&lt;wsp:rsid wsp:val=&quot;00616CB0&quot;/&gt;&lt;wsp:rsid wsp:val=&quot;006174E0&quot;/&gt;&lt;wsp:rsid wsp:val=&quot;00617EAB&quot;/&gt;&lt;wsp:rsid wsp:val=&quot;006203E0&quot;/&gt;&lt;wsp:rsid wsp:val=&quot;006204AC&quot;/&gt;&lt;wsp:rsid wsp:val=&quot;00620EBF&quot;/&gt;&lt;wsp:rsid wsp:val=&quot;0062122B&quot;/&gt;&lt;wsp:rsid wsp:val=&quot;006217B6&quot;/&gt;&lt;wsp:rsid wsp:val=&quot;00621956&quot;/&gt;&lt;wsp:rsid wsp:val=&quot;00621CEE&quot;/&gt;&lt;wsp:rsid wsp:val=&quot;006222B1&quot;/&gt;&lt;wsp:rsid wsp:val=&quot;00622BA2&quot;/&gt;&lt;wsp:rsid wsp:val=&quot;00623098&quot;/&gt;&lt;wsp:rsid wsp:val=&quot;0062325C&quot;/&gt;&lt;wsp:rsid wsp:val=&quot;00623836&quot;/&gt;&lt;wsp:rsid wsp:val=&quot;006238A4&quot;/&gt;&lt;wsp:rsid wsp:val=&quot;0062390B&quot;/&gt;&lt;wsp:rsid wsp:val=&quot;00623C7F&quot;/&gt;&lt;wsp:rsid wsp:val=&quot;0062429A&quot;/&gt;&lt;wsp:rsid wsp:val=&quot;00624351&quot;/&gt;&lt;wsp:rsid wsp:val=&quot;00624AFE&quot;/&gt;&lt;wsp:rsid wsp:val=&quot;00624F5B&quot;/&gt;&lt;wsp:rsid wsp:val=&quot;00624FE6&quot;/&gt;&lt;wsp:rsid wsp:val=&quot;0062522B&quot;/&gt;&lt;wsp:rsid wsp:val=&quot;006254C8&quot;/&gt;&lt;wsp:rsid wsp:val=&quot;00625899&quot;/&gt;&lt;wsp:rsid wsp:val=&quot;00625B56&quot;/&gt;&lt;wsp:rsid wsp:val=&quot;00625E52&quot;/&gt;&lt;wsp:rsid wsp:val=&quot;00625F08&quot;/&gt;&lt;wsp:rsid wsp:val=&quot;006260FF&quot;/&gt;&lt;wsp:rsid wsp:val=&quot;00626169&quot;/&gt;&lt;wsp:rsid wsp:val=&quot;0062616A&quot;/&gt;&lt;wsp:rsid wsp:val=&quot;006266BC&quot;/&gt;&lt;wsp:rsid wsp:val=&quot;0062673E&quot;/&gt;&lt;wsp:rsid wsp:val=&quot;006268AC&quot;/&gt;&lt;wsp:rsid wsp:val=&quot;00626CD1&quot;/&gt;&lt;wsp:rsid wsp:val=&quot;00627275&quot;/&gt;&lt;wsp:rsid wsp:val=&quot;006272F8&quot;/&gt;&lt;wsp:rsid wsp:val=&quot;00627397&quot;/&gt;&lt;wsp:rsid wsp:val=&quot;006278A0&quot;/&gt;&lt;wsp:rsid wsp:val=&quot;00627E6D&quot;/&gt;&lt;wsp:rsid wsp:val=&quot;00627F1D&quot;/&gt;&lt;wsp:rsid wsp:val=&quot;00630057&quot;/&gt;&lt;wsp:rsid wsp:val=&quot;00630100&quot;/&gt;&lt;wsp:rsid wsp:val=&quot;00630483&quot;/&gt;&lt;wsp:rsid wsp:val=&quot;006307DE&quot;/&gt;&lt;wsp:rsid wsp:val=&quot;006309F5&quot;/&gt;&lt;wsp:rsid wsp:val=&quot;00630F1A&quot;/&gt;&lt;wsp:rsid wsp:val=&quot;00630F30&quot;/&gt;&lt;wsp:rsid wsp:val=&quot;00631626&quot;/&gt;&lt;wsp:rsid wsp:val=&quot;00631674&quot;/&gt;&lt;wsp:rsid wsp:val=&quot;00631A16&quot;/&gt;&lt;wsp:rsid wsp:val=&quot;00631ACC&quot;/&gt;&lt;wsp:rsid wsp:val=&quot;00631DD4&quot;/&gt;&lt;wsp:rsid wsp:val=&quot;006321A9&quot;/&gt;&lt;wsp:rsid wsp:val=&quot;006323B8&quot;/&gt;&lt;wsp:rsid wsp:val=&quot;006324CC&quot;/&gt;&lt;wsp:rsid wsp:val=&quot;00632919&quot;/&gt;&lt;wsp:rsid wsp:val=&quot;00632F23&quot;/&gt;&lt;wsp:rsid wsp:val=&quot;00633364&quot;/&gt;&lt;wsp:rsid wsp:val=&quot;00633717&quot;/&gt;&lt;wsp:rsid wsp:val=&quot;00633854&quot;/&gt;&lt;wsp:rsid wsp:val=&quot;00633A9D&quot;/&gt;&lt;wsp:rsid wsp:val=&quot;00633B40&quot;/&gt;&lt;wsp:rsid wsp:val=&quot;00633F5B&quot;/&gt;&lt;wsp:rsid wsp:val=&quot;006345B2&quot;/&gt;&lt;wsp:rsid wsp:val=&quot;006345D4&quot;/&gt;&lt;wsp:rsid wsp:val=&quot;00634AB8&quot;/&gt;&lt;wsp:rsid wsp:val=&quot;00634F70&quot;/&gt;&lt;wsp:rsid wsp:val=&quot;006353D6&quot;/&gt;&lt;wsp:rsid wsp:val=&quot;00635480&quot;/&gt;&lt;wsp:rsid wsp:val=&quot;006356BC&quot;/&gt;&lt;wsp:rsid wsp:val=&quot;00635721&quot;/&gt;&lt;wsp:rsid wsp:val=&quot;00635A70&quot;/&gt;&lt;wsp:rsid wsp:val=&quot;00635C59&quot;/&gt;&lt;wsp:rsid wsp:val=&quot;00635E78&quot;/&gt;&lt;wsp:rsid wsp:val=&quot;00635ECA&quot;/&gt;&lt;wsp:rsid wsp:val=&quot;00636053&quot;/&gt;&lt;wsp:rsid wsp:val=&quot;006367D8&quot;/&gt;&lt;wsp:rsid wsp:val=&quot;0063695C&quot;/&gt;&lt;wsp:rsid wsp:val=&quot;006377F7&quot;/&gt;&lt;wsp:rsid wsp:val=&quot;006379FB&quot;/&gt;&lt;wsp:rsid wsp:val=&quot;00637BA5&quot;/&gt;&lt;wsp:rsid wsp:val=&quot;006400EA&quot;/&gt;&lt;wsp:rsid wsp:val=&quot;00640262&quot;/&gt;&lt;wsp:rsid wsp:val=&quot;00640BF7&quot;/&gt;&lt;wsp:rsid wsp:val=&quot;00641264&quot;/&gt;&lt;wsp:rsid wsp:val=&quot;0064171A&quot;/&gt;&lt;wsp:rsid wsp:val=&quot;00641923&quot;/&gt;&lt;wsp:rsid wsp:val=&quot;00641BB9&quot;/&gt;&lt;wsp:rsid wsp:val=&quot;00641BF2&quot;/&gt;&lt;wsp:rsid wsp:val=&quot;00641E7A&quot;/&gt;&lt;wsp:rsid wsp:val=&quot;00641FFF&quot;/&gt;&lt;wsp:rsid wsp:val=&quot;00642073&quot;/&gt;&lt;wsp:rsid wsp:val=&quot;0064236C&quot;/&gt;&lt;wsp:rsid wsp:val=&quot;006428DA&quot;/&gt;&lt;wsp:rsid wsp:val=&quot;00642BC9&quot;/&gt;&lt;wsp:rsid wsp:val=&quot;00642E51&quot;/&gt;&lt;wsp:rsid wsp:val=&quot;006445CA&quot;/&gt;&lt;wsp:rsid wsp:val=&quot;00644AF2&quot;/&gt;&lt;wsp:rsid wsp:val=&quot;00644F8C&quot;/&gt;&lt;wsp:rsid wsp:val=&quot;00645119&quot;/&gt;&lt;wsp:rsid wsp:val=&quot;00645603&quot;/&gt;&lt;wsp:rsid wsp:val=&quot;0064573D&quot;/&gt;&lt;wsp:rsid wsp:val=&quot;00646174&quot;/&gt;&lt;wsp:rsid wsp:val=&quot;006461AD&quot;/&gt;&lt;wsp:rsid wsp:val=&quot;00646649&quot;/&gt;&lt;wsp:rsid wsp:val=&quot;00647911&quot;/&gt;&lt;wsp:rsid wsp:val=&quot;0064795B&quot;/&gt;&lt;wsp:rsid wsp:val=&quot;006479A6&quot;/&gt;&lt;wsp:rsid wsp:val=&quot;00647FA2&quot;/&gt;&lt;wsp:rsid wsp:val=&quot;00650059&quot;/&gt;&lt;wsp:rsid wsp:val=&quot;006501B2&quot;/&gt;&lt;wsp:rsid wsp:val=&quot;0065075A&quot;/&gt;&lt;wsp:rsid wsp:val=&quot;00650775&quot;/&gt;&lt;wsp:rsid wsp:val=&quot;00650D27&quot;/&gt;&lt;wsp:rsid wsp:val=&quot;00651019&quot;/&gt;&lt;wsp:rsid wsp:val=&quot;0065110B&quot;/&gt;&lt;wsp:rsid wsp:val=&quot;006511DA&quot;/&gt;&lt;wsp:rsid wsp:val=&quot;006513B0&quot;/&gt;&lt;wsp:rsid wsp:val=&quot;00651537&quot;/&gt;&lt;wsp:rsid wsp:val=&quot;00651850&quot;/&gt;&lt;wsp:rsid wsp:val=&quot;006519D7&quot;/&gt;&lt;wsp:rsid wsp:val=&quot;00651C1C&quot;/&gt;&lt;wsp:rsid wsp:val=&quot;00651C99&quot;/&gt;&lt;wsp:rsid wsp:val=&quot;00651CFF&quot;/&gt;&lt;wsp:rsid wsp:val=&quot;00651D91&quot;/&gt;&lt;wsp:rsid wsp:val=&quot;00652112&quot;/&gt;&lt;wsp:rsid wsp:val=&quot;0065215A&quot;/&gt;&lt;wsp:rsid wsp:val=&quot;006522EF&quot;/&gt;&lt;wsp:rsid wsp:val=&quot;006524FD&quot;/&gt;&lt;wsp:rsid wsp:val=&quot;0065253D&quot;/&gt;&lt;wsp:rsid wsp:val=&quot;006527CD&quot;/&gt;&lt;wsp:rsid wsp:val=&quot;00652926&quot;/&gt;&lt;wsp:rsid wsp:val=&quot;00652F11&quot;/&gt;&lt;wsp:rsid wsp:val=&quot;0065381F&quot;/&gt;&lt;wsp:rsid wsp:val=&quot;00653A42&quot;/&gt;&lt;wsp:rsid wsp:val=&quot;00653B69&quot;/&gt;&lt;wsp:rsid wsp:val=&quot;00653F61&quot;/&gt;&lt;wsp:rsid wsp:val=&quot;00654C40&quot;/&gt;&lt;wsp:rsid wsp:val=&quot;006550E7&quot;/&gt;&lt;wsp:rsid wsp:val=&quot;0065518C&quot;/&gt;&lt;wsp:rsid wsp:val=&quot;00655329&quot;/&gt;&lt;wsp:rsid wsp:val=&quot;00655713&quot;/&gt;&lt;wsp:rsid wsp:val=&quot;00655AB9&quot;/&gt;&lt;wsp:rsid wsp:val=&quot;00656160&quot;/&gt;&lt;wsp:rsid wsp:val=&quot;006564BF&quot;/&gt;&lt;wsp:rsid wsp:val=&quot;0065653C&quot;/&gt;&lt;wsp:rsid wsp:val=&quot;006568BB&quot;/&gt;&lt;wsp:rsid wsp:val=&quot;00656C0C&quot;/&gt;&lt;wsp:rsid wsp:val=&quot;00656C41&quot;/&gt;&lt;wsp:rsid wsp:val=&quot;00656DD0&quot;/&gt;&lt;wsp:rsid wsp:val=&quot;00656F60&quot;/&gt;&lt;wsp:rsid wsp:val=&quot;006572EB&quot;/&gt;&lt;wsp:rsid wsp:val=&quot;006572EE&quot;/&gt;&lt;wsp:rsid wsp:val=&quot;0065754F&quot;/&gt;&lt;wsp:rsid wsp:val=&quot;00657B4B&quot;/&gt;&lt;wsp:rsid wsp:val=&quot;00657C2E&quot;/&gt;&lt;wsp:rsid wsp:val=&quot;0066040A&quot;/&gt;&lt;wsp:rsid wsp:val=&quot;006612E3&quot;/&gt;&lt;wsp:rsid wsp:val=&quot;00661396&quot;/&gt;&lt;wsp:rsid wsp:val=&quot;00661656&quot;/&gt;&lt;wsp:rsid wsp:val=&quot;006616BB&quot;/&gt;&lt;wsp:rsid wsp:val=&quot;0066185F&quot;/&gt;&lt;wsp:rsid wsp:val=&quot;00661876&quot;/&gt;&lt;wsp:rsid wsp:val=&quot;006619F6&quot;/&gt;&lt;wsp:rsid wsp:val=&quot;00661A27&quot;/&gt;&lt;wsp:rsid wsp:val=&quot;00661A2D&quot;/&gt;&lt;wsp:rsid wsp:val=&quot;00661B76&quot;/&gt;&lt;wsp:rsid wsp:val=&quot;00661E49&quot;/&gt;&lt;wsp:rsid wsp:val=&quot;006620C1&quot;/&gt;&lt;wsp:rsid wsp:val=&quot;006620C2&quot;/&gt;&lt;wsp:rsid wsp:val=&quot;00662520&quot;/&gt;&lt;wsp:rsid wsp:val=&quot;006629AF&quot;/&gt;&lt;wsp:rsid wsp:val=&quot;00662DE2&quot;/&gt;&lt;wsp:rsid wsp:val=&quot;006631C5&quot;/&gt;&lt;wsp:rsid wsp:val=&quot;006631E6&quot;/&gt;&lt;wsp:rsid wsp:val=&quot;0066343C&quot;/&gt;&lt;wsp:rsid wsp:val=&quot;006634D2&quot;/&gt;&lt;wsp:rsid wsp:val=&quot;00663708&quot;/&gt;&lt;wsp:rsid wsp:val=&quot;00663C48&quot;/&gt;&lt;wsp:rsid wsp:val=&quot;00663FD9&quot;/&gt;&lt;wsp:rsid wsp:val=&quot;00664B08&quot;/&gt;&lt;wsp:rsid wsp:val=&quot;00665147&quot;/&gt;&lt;wsp:rsid wsp:val=&quot;00665890&quot;/&gt;&lt;wsp:rsid wsp:val=&quot;00665E0F&quot;/&gt;&lt;wsp:rsid wsp:val=&quot;006661B6&quot;/&gt;&lt;wsp:rsid wsp:val=&quot;00666443&quot;/&gt;&lt;wsp:rsid wsp:val=&quot;00667334&quot;/&gt;&lt;wsp:rsid wsp:val=&quot;00667DD7&quot;/&gt;&lt;wsp:rsid wsp:val=&quot;00667E22&quot;/&gt;&lt;wsp:rsid wsp:val=&quot;00670365&quot;/&gt;&lt;wsp:rsid wsp:val=&quot;00670647&quot;/&gt;&lt;wsp:rsid wsp:val=&quot;0067077C&quot;/&gt;&lt;wsp:rsid wsp:val=&quot;006707A6&quot;/&gt;&lt;wsp:rsid wsp:val=&quot;006709BD&quot;/&gt;&lt;wsp:rsid wsp:val=&quot;00670D86&quot;/&gt;&lt;wsp:rsid wsp:val=&quot;00670E40&quot;/&gt;&lt;wsp:rsid wsp:val=&quot;00670F7E&quot;/&gt;&lt;wsp:rsid wsp:val=&quot;006715F9&quot;/&gt;&lt;wsp:rsid wsp:val=&quot;00671CA5&quot;/&gt;&lt;wsp:rsid wsp:val=&quot;00671D3A&quot;/&gt;&lt;wsp:rsid wsp:val=&quot;006720C0&quot;/&gt;&lt;wsp:rsid wsp:val=&quot;00672B26&quot;/&gt;&lt;wsp:rsid wsp:val=&quot;006735C2&quot;/&gt;&lt;wsp:rsid wsp:val=&quot;00673A61&quot;/&gt;&lt;wsp:rsid wsp:val=&quot;00673B23&quot;/&gt;&lt;wsp:rsid wsp:val=&quot;00673BC0&quot;/&gt;&lt;wsp:rsid wsp:val=&quot;00673C64&quot;/&gt;&lt;wsp:rsid wsp:val=&quot;00673C85&quot;/&gt;&lt;wsp:rsid wsp:val=&quot;00673C99&quot;/&gt;&lt;wsp:rsid wsp:val=&quot;00673CA4&quot;/&gt;&lt;wsp:rsid wsp:val=&quot;00673D0D&quot;/&gt;&lt;wsp:rsid wsp:val=&quot;006746C2&quot;/&gt;&lt;wsp:rsid wsp:val=&quot;006748DF&quot;/&gt;&lt;wsp:rsid wsp:val=&quot;00674ED7&quot;/&gt;&lt;wsp:rsid wsp:val=&quot;00675021&quot;/&gt;&lt;wsp:rsid wsp:val=&quot;00675A2C&quot;/&gt;&lt;wsp:rsid wsp:val=&quot;00675B87&quot;/&gt;&lt;wsp:rsid wsp:val=&quot;00675C10&quot;/&gt;&lt;wsp:rsid wsp:val=&quot;006764A5&quot;/&gt;&lt;wsp:rsid wsp:val=&quot;006768C4&quot;/&gt;&lt;wsp:rsid wsp:val=&quot;006769AE&quot;/&gt;&lt;wsp:rsid wsp:val=&quot;00677720&quot;/&gt;&lt;wsp:rsid wsp:val=&quot;00677D3B&quot;/&gt;&lt;wsp:rsid wsp:val=&quot;00677DE3&quot;/&gt;&lt;wsp:rsid wsp:val=&quot;00677E79&quot;/&gt;&lt;wsp:rsid wsp:val=&quot;00680499&quot;/&gt;&lt;wsp:rsid wsp:val=&quot;0068057A&quot;/&gt;&lt;wsp:rsid wsp:val=&quot;00680AC8&quot;/&gt;&lt;wsp:rsid wsp:val=&quot;00680E26&quot;/&gt;&lt;wsp:rsid wsp:val=&quot;006810D0&quot;/&gt;&lt;wsp:rsid wsp:val=&quot;00681297&quot;/&gt;&lt;wsp:rsid wsp:val=&quot;006812F7&quot;/&gt;&lt;wsp:rsid wsp:val=&quot;0068192C&quot;/&gt;&lt;wsp:rsid wsp:val=&quot;006820C2&quot;/&gt;&lt;wsp:rsid wsp:val=&quot;006824B6&quot;/&gt;&lt;wsp:rsid wsp:val=&quot;00682581&quot;/&gt;&lt;wsp:rsid wsp:val=&quot;006825F9&quot;/&gt;&lt;wsp:rsid wsp:val=&quot;0068282E&quot;/&gt;&lt;wsp:rsid wsp:val=&quot;00682AAB&quot;/&gt;&lt;wsp:rsid wsp:val=&quot;00682EB9&quot;/&gt;&lt;wsp:rsid wsp:val=&quot;00682EC0&quot;/&gt;&lt;wsp:rsid wsp:val=&quot;00682FD9&quot;/&gt;&lt;wsp:rsid wsp:val=&quot;006830BB&quot;/&gt;&lt;wsp:rsid wsp:val=&quot;0068347B&quot;/&gt;&lt;wsp:rsid wsp:val=&quot;006838C8&quot;/&gt;&lt;wsp:rsid wsp:val=&quot;00683F23&quot;/&gt;&lt;wsp:rsid wsp:val=&quot;006847BF&quot;/&gt;&lt;wsp:rsid wsp:val=&quot;00684936&quot;/&gt;&lt;wsp:rsid wsp:val=&quot;0068524E&quot;/&gt;&lt;wsp:rsid wsp:val=&quot;00685288&quot;/&gt;&lt;wsp:rsid wsp:val=&quot;006852F9&quot;/&gt;&lt;wsp:rsid wsp:val=&quot;00685624&quot;/&gt;&lt;wsp:rsid wsp:val=&quot;006856D7&quot;/&gt;&lt;wsp:rsid wsp:val=&quot;006868B5&quot;/&gt;&lt;wsp:rsid wsp:val=&quot;006868E8&quot;/&gt;&lt;wsp:rsid wsp:val=&quot;00686D42&quot;/&gt;&lt;wsp:rsid wsp:val=&quot;00686D9A&quot;/&gt;&lt;wsp:rsid wsp:val=&quot;00686F2E&quot;/&gt;&lt;wsp:rsid wsp:val=&quot;00687E4D&quot;/&gt;&lt;wsp:rsid wsp:val=&quot;00690397&quot;/&gt;&lt;wsp:rsid wsp:val=&quot;006903E9&quot;/&gt;&lt;wsp:rsid wsp:val=&quot;006908B7&quot;/&gt;&lt;wsp:rsid wsp:val=&quot;00690A5C&quot;/&gt;&lt;wsp:rsid wsp:val=&quot;00691134&quot;/&gt;&lt;wsp:rsid wsp:val=&quot;0069185A&quot;/&gt;&lt;wsp:rsid wsp:val=&quot;00691880&quot;/&gt;&lt;wsp:rsid wsp:val=&quot;00691998&quot;/&gt;&lt;wsp:rsid wsp:val=&quot;00691BCC&quot;/&gt;&lt;wsp:rsid wsp:val=&quot;00691D15&quot;/&gt;&lt;wsp:rsid wsp:val=&quot;00691E38&quot;/&gt;&lt;wsp:rsid wsp:val=&quot;00692158&quot;/&gt;&lt;wsp:rsid wsp:val=&quot;006923A0&quot;/&gt;&lt;wsp:rsid wsp:val=&quot;00692659&quot;/&gt;&lt;wsp:rsid wsp:val=&quot;00692887&quot;/&gt;&lt;wsp:rsid wsp:val=&quot;00692CD1&quot;/&gt;&lt;wsp:rsid wsp:val=&quot;0069330D&quot;/&gt;&lt;wsp:rsid wsp:val=&quot;00693674&quot;/&gt;&lt;wsp:rsid wsp:val=&quot;00693B5D&quot;/&gt;&lt;wsp:rsid wsp:val=&quot;00694354&quot;/&gt;&lt;wsp:rsid wsp:val=&quot;0069436A&quot;/&gt;&lt;wsp:rsid wsp:val=&quot;006945D9&quot;/&gt;&lt;wsp:rsid wsp:val=&quot;006946CE&quot;/&gt;&lt;wsp:rsid wsp:val=&quot;0069472F&quot;/&gt;&lt;wsp:rsid wsp:val=&quot;00694887&quot;/&gt;&lt;wsp:rsid wsp:val=&quot;00694A28&quot;/&gt;&lt;wsp:rsid wsp:val=&quot;00694B46&quot;/&gt;&lt;wsp:rsid wsp:val=&quot;00695C97&quot;/&gt;&lt;wsp:rsid wsp:val=&quot;00696C38&quot;/&gt;&lt;wsp:rsid wsp:val=&quot;0069716A&quot;/&gt;&lt;wsp:rsid wsp:val=&quot;006971C5&quot;/&gt;&lt;wsp:rsid wsp:val=&quot;0069725D&quot;/&gt;&lt;wsp:rsid wsp:val=&quot;00697721&quot;/&gt;&lt;wsp:rsid wsp:val=&quot;00697BA0&quot;/&gt;&lt;wsp:rsid wsp:val=&quot;00697C70&quot;/&gt;&lt;wsp:rsid wsp:val=&quot;00697E3B&quot;/&gt;&lt;wsp:rsid wsp:val=&quot;006A0054&quot;/&gt;&lt;wsp:rsid wsp:val=&quot;006A016A&quot;/&gt;&lt;wsp:rsid wsp:val=&quot;006A08A8&quot;/&gt;&lt;wsp:rsid wsp:val=&quot;006A0A08&quot;/&gt;&lt;wsp:rsid wsp:val=&quot;006A0ACA&quot;/&gt;&lt;wsp:rsid wsp:val=&quot;006A0BDF&quot;/&gt;&lt;wsp:rsid wsp:val=&quot;006A1414&quot;/&gt;&lt;wsp:rsid wsp:val=&quot;006A149F&quot;/&gt;&lt;wsp:rsid wsp:val=&quot;006A1FF2&quot;/&gt;&lt;wsp:rsid wsp:val=&quot;006A21A6&quot;/&gt;&lt;wsp:rsid wsp:val=&quot;006A21C7&quot;/&gt;&lt;wsp:rsid wsp:val=&quot;006A23FF&quot;/&gt;&lt;wsp:rsid wsp:val=&quot;006A29E8&quot;/&gt;&lt;wsp:rsid wsp:val=&quot;006A2DD9&quot;/&gt;&lt;wsp:rsid wsp:val=&quot;006A3480&quot;/&gt;&lt;wsp:rsid wsp:val=&quot;006A36AF&quot;/&gt;&lt;wsp:rsid wsp:val=&quot;006A3C93&quot;/&gt;&lt;wsp:rsid wsp:val=&quot;006A3CCD&quot;/&gt;&lt;wsp:rsid wsp:val=&quot;006A3DF4&quot;/&gt;&lt;wsp:rsid wsp:val=&quot;006A445A&quot;/&gt;&lt;wsp:rsid wsp:val=&quot;006A4509&quot;/&gt;&lt;wsp:rsid wsp:val=&quot;006A487D&quot;/&gt;&lt;wsp:rsid wsp:val=&quot;006A4D60&quot;/&gt;&lt;wsp:rsid wsp:val=&quot;006A5960&quot;/&gt;&lt;wsp:rsid wsp:val=&quot;006A5C72&quot;/&gt;&lt;wsp:rsid wsp:val=&quot;006A5DB7&quot;/&gt;&lt;wsp:rsid wsp:val=&quot;006A5EB6&quot;/&gt;&lt;wsp:rsid wsp:val=&quot;006A61E7&quot;/&gt;&lt;wsp:rsid wsp:val=&quot;006A6408&quot;/&gt;&lt;wsp:rsid wsp:val=&quot;006A6465&quot;/&gt;&lt;wsp:rsid wsp:val=&quot;006A6B67&quot;/&gt;&lt;wsp:rsid wsp:val=&quot;006A6BEA&quot;/&gt;&lt;wsp:rsid wsp:val=&quot;006A6F1D&quot;/&gt;&lt;wsp:rsid wsp:val=&quot;006A70E9&quot;/&gt;&lt;wsp:rsid wsp:val=&quot;006A71F3&quot;/&gt;&lt;wsp:rsid wsp:val=&quot;006A7813&quot;/&gt;&lt;wsp:rsid wsp:val=&quot;006A79DD&quot;/&gt;&lt;wsp:rsid wsp:val=&quot;006A7CD4&quot;/&gt;&lt;wsp:rsid wsp:val=&quot;006A7EED&quot;/&gt;&lt;wsp:rsid wsp:val=&quot;006B022A&quot;/&gt;&lt;wsp:rsid wsp:val=&quot;006B0304&quot;/&gt;&lt;wsp:rsid wsp:val=&quot;006B035B&quot;/&gt;&lt;wsp:rsid wsp:val=&quot;006B057E&quot;/&gt;&lt;wsp:rsid wsp:val=&quot;006B071E&quot;/&gt;&lt;wsp:rsid wsp:val=&quot;006B0C4E&quot;/&gt;&lt;wsp:rsid wsp:val=&quot;006B0EEB&quot;/&gt;&lt;wsp:rsid wsp:val=&quot;006B11E3&quot;/&gt;&lt;wsp:rsid wsp:val=&quot;006B14DF&quot;/&gt;&lt;wsp:rsid wsp:val=&quot;006B155E&quot;/&gt;&lt;wsp:rsid wsp:val=&quot;006B1C89&quot;/&gt;&lt;wsp:rsid wsp:val=&quot;006B27F3&quot;/&gt;&lt;wsp:rsid wsp:val=&quot;006B299B&quot;/&gt;&lt;wsp:rsid wsp:val=&quot;006B2DCB&quot;/&gt;&lt;wsp:rsid wsp:val=&quot;006B31E9&quot;/&gt;&lt;wsp:rsid wsp:val=&quot;006B3308&quot;/&gt;&lt;wsp:rsid wsp:val=&quot;006B3A82&quot;/&gt;&lt;wsp:rsid wsp:val=&quot;006B4581&quot;/&gt;&lt;wsp:rsid wsp:val=&quot;006B4C4D&quot;/&gt;&lt;wsp:rsid wsp:val=&quot;006B507D&quot;/&gt;&lt;wsp:rsid wsp:val=&quot;006B5198&quot;/&gt;&lt;wsp:rsid wsp:val=&quot;006B550A&quot;/&gt;&lt;wsp:rsid wsp:val=&quot;006B5554&quot;/&gt;&lt;wsp:rsid wsp:val=&quot;006B581E&quot;/&gt;&lt;wsp:rsid wsp:val=&quot;006B625E&quot;/&gt;&lt;wsp:rsid wsp:val=&quot;006B6323&quot;/&gt;&lt;wsp:rsid wsp:val=&quot;006B66D2&quot;/&gt;&lt;wsp:rsid wsp:val=&quot;006B6A1C&quot;/&gt;&lt;wsp:rsid wsp:val=&quot;006B6A3F&quot;/&gt;&lt;wsp:rsid wsp:val=&quot;006B713A&quot;/&gt;&lt;wsp:rsid wsp:val=&quot;006B7200&quot;/&gt;&lt;wsp:rsid wsp:val=&quot;006B7571&quot;/&gt;&lt;wsp:rsid wsp:val=&quot;006B7F1D&quot;/&gt;&lt;wsp:rsid wsp:val=&quot;006C0318&quot;/&gt;&lt;wsp:rsid wsp:val=&quot;006C056A&quot;/&gt;&lt;wsp:rsid wsp:val=&quot;006C0A8E&quot;/&gt;&lt;wsp:rsid wsp:val=&quot;006C1745&quot;/&gt;&lt;wsp:rsid wsp:val=&quot;006C1A0F&quot;/&gt;&lt;wsp:rsid wsp:val=&quot;006C1BED&quot;/&gt;&lt;wsp:rsid wsp:val=&quot;006C1EC1&quot;/&gt;&lt;wsp:rsid wsp:val=&quot;006C2556&quot;/&gt;&lt;wsp:rsid wsp:val=&quot;006C2AA6&quot;/&gt;&lt;wsp:rsid wsp:val=&quot;006C30CA&quot;/&gt;&lt;wsp:rsid wsp:val=&quot;006C3133&quot;/&gt;&lt;wsp:rsid wsp:val=&quot;006C3950&quot;/&gt;&lt;wsp:rsid wsp:val=&quot;006C3C0C&quot;/&gt;&lt;wsp:rsid wsp:val=&quot;006C3CE3&quot;/&gt;&lt;wsp:rsid wsp:val=&quot;006C3F9D&quot;/&gt;&lt;wsp:rsid wsp:val=&quot;006C40E6&quot;/&gt;&lt;wsp:rsid wsp:val=&quot;006C4346&quot;/&gt;&lt;wsp:rsid wsp:val=&quot;006C4834&quot;/&gt;&lt;wsp:rsid wsp:val=&quot;006C49B3&quot;/&gt;&lt;wsp:rsid wsp:val=&quot;006C4BBD&quot;/&gt;&lt;wsp:rsid wsp:val=&quot;006C50C4&quot;/&gt;&lt;wsp:rsid wsp:val=&quot;006C5269&quot;/&gt;&lt;wsp:rsid wsp:val=&quot;006C52D6&quot;/&gt;&lt;wsp:rsid wsp:val=&quot;006C5530&quot;/&gt;&lt;wsp:rsid wsp:val=&quot;006C5569&quot;/&gt;&lt;wsp:rsid wsp:val=&quot;006C5583&quot;/&gt;&lt;wsp:rsid wsp:val=&quot;006C5932&quot;/&gt;&lt;wsp:rsid wsp:val=&quot;006C5964&quot;/&gt;&lt;wsp:rsid wsp:val=&quot;006C5A1D&quot;/&gt;&lt;wsp:rsid wsp:val=&quot;006C5F60&quot;/&gt;&lt;wsp:rsid wsp:val=&quot;006C6254&quot;/&gt;&lt;wsp:rsid wsp:val=&quot;006C6307&quot;/&gt;&lt;wsp:rsid wsp:val=&quot;006C633E&quot;/&gt;&lt;wsp:rsid wsp:val=&quot;006C66B5&quot;/&gt;&lt;wsp:rsid wsp:val=&quot;006C694A&quot;/&gt;&lt;wsp:rsid wsp:val=&quot;006C6C6D&quot;/&gt;&lt;wsp:rsid wsp:val=&quot;006C6E03&quot;/&gt;&lt;wsp:rsid wsp:val=&quot;006C7B1C&quot;/&gt;&lt;wsp:rsid wsp:val=&quot;006C7C21&quot;/&gt;&lt;wsp:rsid wsp:val=&quot;006C7C95&quot;/&gt;&lt;wsp:rsid wsp:val=&quot;006C7CA8&quot;/&gt;&lt;wsp:rsid wsp:val=&quot;006D026F&quot;/&gt;&lt;wsp:rsid wsp:val=&quot;006D0289&quot;/&gt;&lt;wsp:rsid wsp:val=&quot;006D0436&quot;/&gt;&lt;wsp:rsid wsp:val=&quot;006D0666&quot;/&gt;&lt;wsp:rsid wsp:val=&quot;006D0D51&quot;/&gt;&lt;wsp:rsid wsp:val=&quot;006D0DFE&quot;/&gt;&lt;wsp:rsid wsp:val=&quot;006D0E79&quot;/&gt;&lt;wsp:rsid wsp:val=&quot;006D1381&quot;/&gt;&lt;wsp:rsid wsp:val=&quot;006D15D4&quot;/&gt;&lt;wsp:rsid wsp:val=&quot;006D200F&quot;/&gt;&lt;wsp:rsid wsp:val=&quot;006D243F&quot;/&gt;&lt;wsp:rsid wsp:val=&quot;006D2ACA&quot;/&gt;&lt;wsp:rsid wsp:val=&quot;006D2D11&quot;/&gt;&lt;wsp:rsid wsp:val=&quot;006D2F98&quot;/&gt;&lt;wsp:rsid wsp:val=&quot;006D3723&quot;/&gt;&lt;wsp:rsid wsp:val=&quot;006D37DD&quot;/&gt;&lt;wsp:rsid wsp:val=&quot;006D3883&quot;/&gt;&lt;wsp:rsid wsp:val=&quot;006D3BF5&quot;/&gt;&lt;wsp:rsid wsp:val=&quot;006D3F06&quot;/&gt;&lt;wsp:rsid wsp:val=&quot;006D3F78&quot;/&gt;&lt;wsp:rsid wsp:val=&quot;006D40DB&quot;/&gt;&lt;wsp:rsid wsp:val=&quot;006D51DC&quot;/&gt;&lt;wsp:rsid wsp:val=&quot;006D5804&quot;/&gt;&lt;wsp:rsid wsp:val=&quot;006D58E0&quot;/&gt;&lt;wsp:rsid wsp:val=&quot;006D5B6A&quot;/&gt;&lt;wsp:rsid wsp:val=&quot;006D5D15&quot;/&gt;&lt;wsp:rsid wsp:val=&quot;006D6276&quot;/&gt;&lt;wsp:rsid wsp:val=&quot;006D637C&quot;/&gt;&lt;wsp:rsid wsp:val=&quot;006D67C8&quot;/&gt;&lt;wsp:rsid wsp:val=&quot;006D6909&quot;/&gt;&lt;wsp:rsid wsp:val=&quot;006D6A93&quot;/&gt;&lt;wsp:rsid wsp:val=&quot;006D7385&quot;/&gt;&lt;wsp:rsid wsp:val=&quot;006D76BA&quot;/&gt;&lt;wsp:rsid wsp:val=&quot;006D79BE&quot;/&gt;&lt;wsp:rsid wsp:val=&quot;006D7A1A&quot;/&gt;&lt;wsp:rsid wsp:val=&quot;006D7CE3&quot;/&gt;&lt;wsp:rsid wsp:val=&quot;006E033D&quot;/&gt;&lt;wsp:rsid wsp:val=&quot;006E057F&quot;/&gt;&lt;wsp:rsid wsp:val=&quot;006E0855&quot;/&gt;&lt;wsp:rsid wsp:val=&quot;006E0F3D&quot;/&gt;&lt;wsp:rsid wsp:val=&quot;006E141F&quot;/&gt;&lt;wsp:rsid wsp:val=&quot;006E160C&quot;/&gt;&lt;wsp:rsid wsp:val=&quot;006E1765&quot;/&gt;&lt;wsp:rsid wsp:val=&quot;006E197D&quot;/&gt;&lt;wsp:rsid wsp:val=&quot;006E220B&quot;/&gt;&lt;wsp:rsid wsp:val=&quot;006E2297&quot;/&gt;&lt;wsp:rsid wsp:val=&quot;006E22AE&quot;/&gt;&lt;wsp:rsid wsp:val=&quot;006E243F&quot;/&gt;&lt;wsp:rsid wsp:val=&quot;006E261D&quot;/&gt;&lt;wsp:rsid wsp:val=&quot;006E264D&quot;/&gt;&lt;wsp:rsid wsp:val=&quot;006E27E2&quot;/&gt;&lt;wsp:rsid wsp:val=&quot;006E2AF3&quot;/&gt;&lt;wsp:rsid wsp:val=&quot;006E32CD&quot;/&gt;&lt;wsp:rsid wsp:val=&quot;006E3497&quot;/&gt;&lt;wsp:rsid wsp:val=&quot;006E37C7&quot;/&gt;&lt;wsp:rsid wsp:val=&quot;006E416D&quot;/&gt;&lt;wsp:rsid wsp:val=&quot;006E4297&quot;/&gt;&lt;wsp:rsid wsp:val=&quot;006E42F1&quot;/&gt;&lt;wsp:rsid wsp:val=&quot;006E431B&quot;/&gt;&lt;wsp:rsid wsp:val=&quot;006E4344&quot;/&gt;&lt;wsp:rsid wsp:val=&quot;006E4423&quot;/&gt;&lt;wsp:rsid wsp:val=&quot;006E4903&quot;/&gt;&lt;wsp:rsid wsp:val=&quot;006E49B3&quot;/&gt;&lt;wsp:rsid wsp:val=&quot;006E4B97&quot;/&gt;&lt;wsp:rsid wsp:val=&quot;006E5214&quot;/&gt;&lt;wsp:rsid wsp:val=&quot;006E5581&quot;/&gt;&lt;wsp:rsid wsp:val=&quot;006E59EC&quot;/&gt;&lt;wsp:rsid wsp:val=&quot;006E5C8C&quot;/&gt;&lt;wsp:rsid wsp:val=&quot;006E5EA0&quot;/&gt;&lt;wsp:rsid wsp:val=&quot;006E6EF0&quot;/&gt;&lt;wsp:rsid wsp:val=&quot;006E71DB&quot;/&gt;&lt;wsp:rsid wsp:val=&quot;006E7726&quot;/&gt;&lt;wsp:rsid wsp:val=&quot;006E7C5C&quot;/&gt;&lt;wsp:rsid wsp:val=&quot;006F000B&quot;/&gt;&lt;wsp:rsid wsp:val=&quot;006F01BD&quot;/&gt;&lt;wsp:rsid wsp:val=&quot;006F0CF3&quot;/&gt;&lt;wsp:rsid wsp:val=&quot;006F0EBC&quot;/&gt;&lt;wsp:rsid wsp:val=&quot;006F11C9&quot;/&gt;&lt;wsp:rsid wsp:val=&quot;006F153E&quot;/&gt;&lt;wsp:rsid wsp:val=&quot;006F1911&quot;/&gt;&lt;wsp:rsid wsp:val=&quot;006F1CD5&quot;/&gt;&lt;wsp:rsid wsp:val=&quot;006F1D0E&quot;/&gt;&lt;wsp:rsid wsp:val=&quot;006F1FAE&quot;/&gt;&lt;wsp:rsid wsp:val=&quot;006F27B1&quot;/&gt;&lt;wsp:rsid wsp:val=&quot;006F2E80&quot;/&gt;&lt;wsp:rsid wsp:val=&quot;006F32BF&quot;/&gt;&lt;wsp:rsid wsp:val=&quot;006F3853&quot;/&gt;&lt;wsp:rsid wsp:val=&quot;006F3875&quot;/&gt;&lt;wsp:rsid wsp:val=&quot;006F3A6B&quot;/&gt;&lt;wsp:rsid wsp:val=&quot;006F3D7B&quot;/&gt;&lt;wsp:rsid wsp:val=&quot;006F4A53&quot;/&gt;&lt;wsp:rsid wsp:val=&quot;006F4D67&quot;/&gt;&lt;wsp:rsid wsp:val=&quot;006F5078&quot;/&gt;&lt;wsp:rsid wsp:val=&quot;006F5148&quot;/&gt;&lt;wsp:rsid wsp:val=&quot;006F5160&quot;/&gt;&lt;wsp:rsid wsp:val=&quot;006F56C5&quot;/&gt;&lt;wsp:rsid wsp:val=&quot;006F5729&quot;/&gt;&lt;wsp:rsid wsp:val=&quot;006F5B59&quot;/&gt;&lt;wsp:rsid wsp:val=&quot;006F5F3D&quot;/&gt;&lt;wsp:rsid wsp:val=&quot;006F6183&quot;/&gt;&lt;wsp:rsid wsp:val=&quot;006F6582&quot;/&gt;&lt;wsp:rsid wsp:val=&quot;006F6723&quot;/&gt;&lt;wsp:rsid wsp:val=&quot;006F6805&quot;/&gt;&lt;wsp:rsid wsp:val=&quot;006F74D1&quot;/&gt;&lt;wsp:rsid wsp:val=&quot;006F759C&quot;/&gt;&lt;wsp:rsid wsp:val=&quot;007005CE&quot;/&gt;&lt;wsp:rsid wsp:val=&quot;00700785&quot;/&gt;&lt;wsp:rsid wsp:val=&quot;00700B6A&quot;/&gt;&lt;wsp:rsid wsp:val=&quot;007012B6&quot;/&gt;&lt;wsp:rsid wsp:val=&quot;007019DB&quot;/&gt;&lt;wsp:rsid wsp:val=&quot;00701B12&quot;/&gt;&lt;wsp:rsid wsp:val=&quot;00701B6D&quot;/&gt;&lt;wsp:rsid wsp:val=&quot;00701B99&quot;/&gt;&lt;wsp:rsid wsp:val=&quot;00701BB3&quot;/&gt;&lt;wsp:rsid wsp:val=&quot;007020E0&quot;/&gt;&lt;wsp:rsid wsp:val=&quot;00702352&quot;/&gt;&lt;wsp:rsid wsp:val=&quot;007024FC&quot;/&gt;&lt;wsp:rsid wsp:val=&quot;00702676&quot;/&gt;&lt;wsp:rsid wsp:val=&quot;007027B0&quot;/&gt;&lt;wsp:rsid wsp:val=&quot;007027BE&quot;/&gt;&lt;wsp:rsid wsp:val=&quot;00702B44&quot;/&gt;&lt;wsp:rsid wsp:val=&quot;00703568&quot;/&gt;&lt;wsp:rsid wsp:val=&quot;007041AF&quot;/&gt;&lt;wsp:rsid wsp:val=&quot;00704444&quot;/&gt;&lt;wsp:rsid wsp:val=&quot;00704723&quot;/&gt;&lt;wsp:rsid wsp:val=&quot;00704A92&quot;/&gt;&lt;wsp:rsid wsp:val=&quot;00704DF3&quot;/&gt;&lt;wsp:rsid wsp:val=&quot;00705249&quot;/&gt;&lt;wsp:rsid wsp:val=&quot;00705ACF&quot;/&gt;&lt;wsp:rsid wsp:val=&quot;007068FC&quot;/&gt;&lt;wsp:rsid wsp:val=&quot;00706982&quot;/&gt;&lt;wsp:rsid wsp:val=&quot;00706B93&quot;/&gt;&lt;wsp:rsid wsp:val=&quot;00706E5B&quot;/&gt;&lt;wsp:rsid wsp:val=&quot;00706EA7&quot;/&gt;&lt;wsp:rsid wsp:val=&quot;00706ED1&quot;/&gt;&lt;wsp:rsid wsp:val=&quot;00706F79&quot;/&gt;&lt;wsp:rsid wsp:val=&quot;00707445&quot;/&gt;&lt;wsp:rsid wsp:val=&quot;007077B2&quot;/&gt;&lt;wsp:rsid wsp:val=&quot;0070796F&quot;/&gt;&lt;wsp:rsid wsp:val=&quot;007102E8&quot;/&gt;&lt;wsp:rsid wsp:val=&quot;007104D3&quot;/&gt;&lt;wsp:rsid wsp:val=&quot;0071145C&quot;/&gt;&lt;wsp:rsid wsp:val=&quot;00711796&quot;/&gt;&lt;wsp:rsid wsp:val=&quot;00711A03&quot;/&gt;&lt;wsp:rsid wsp:val=&quot;00711EB8&quot;/&gt;&lt;wsp:rsid wsp:val=&quot;0071202A&quot;/&gt;&lt;wsp:rsid wsp:val=&quot;007121F0&quot;/&gt;&lt;wsp:rsid wsp:val=&quot;0071233A&quot;/&gt;&lt;wsp:rsid wsp:val=&quot;00712374&quot;/&gt;&lt;wsp:rsid wsp:val=&quot;00712CA4&quot;/&gt;&lt;wsp:rsid wsp:val=&quot;00712DB0&quot;/&gt;&lt;wsp:rsid wsp:val=&quot;00713701&quot;/&gt;&lt;wsp:rsid wsp:val=&quot;00713CD2&quot;/&gt;&lt;wsp:rsid wsp:val=&quot;00713D2F&quot;/&gt;&lt;wsp:rsid wsp:val=&quot;00714483&quot;/&gt;&lt;wsp:rsid wsp:val=&quot;00714539&quot;/&gt;&lt;wsp:rsid wsp:val=&quot;007147D0&quot;/&gt;&lt;wsp:rsid wsp:val=&quot;00714ABA&quot;/&gt;&lt;wsp:rsid wsp:val=&quot;00714BE6&quot;/&gt;&lt;wsp:rsid wsp:val=&quot;007153F0&quot;/&gt;&lt;wsp:rsid wsp:val=&quot;00715AF4&quot;/&gt;&lt;wsp:rsid wsp:val=&quot;00715B8F&quot;/&gt;&lt;wsp:rsid wsp:val=&quot;00715F71&quot;/&gt;&lt;wsp:rsid wsp:val=&quot;00716BBA&quot;/&gt;&lt;wsp:rsid wsp:val=&quot;00716EDA&quot;/&gt;&lt;wsp:rsid wsp:val=&quot;00720AC5&quot;/&gt;&lt;wsp:rsid wsp:val=&quot;0072136C&quot;/&gt;&lt;wsp:rsid wsp:val=&quot;00721375&quot;/&gt;&lt;wsp:rsid wsp:val=&quot;00721436&quot;/&gt;&lt;wsp:rsid wsp:val=&quot;007215A1&quot;/&gt;&lt;wsp:rsid wsp:val=&quot;00721A6A&quot;/&gt;&lt;wsp:rsid wsp:val=&quot;00721F5B&quot;/&gt;&lt;wsp:rsid wsp:val=&quot;0072203C&quot;/&gt;&lt;wsp:rsid wsp:val=&quot;00722330&quot;/&gt;&lt;wsp:rsid wsp:val=&quot;007225C8&quot;/&gt;&lt;wsp:rsid wsp:val=&quot;007227AD&quot;/&gt;&lt;wsp:rsid wsp:val=&quot;00722BFB&quot;/&gt;&lt;wsp:rsid wsp:val=&quot;00722DEA&quot;/&gt;&lt;wsp:rsid wsp:val=&quot;007230DA&quot;/&gt;&lt;wsp:rsid wsp:val=&quot;0072350E&quot;/&gt;&lt;wsp:rsid wsp:val=&quot;00723531&quot;/&gt;&lt;wsp:rsid wsp:val=&quot;0072383F&quot;/&gt;&lt;wsp:rsid wsp:val=&quot;007238D8&quot;/&gt;&lt;wsp:rsid wsp:val=&quot;007238DE&quot;/&gt;&lt;wsp:rsid wsp:val=&quot;00723D7C&quot;/&gt;&lt;wsp:rsid wsp:val=&quot;007241A9&quot;/&gt;&lt;wsp:rsid wsp:val=&quot;007242B8&quot;/&gt;&lt;wsp:rsid wsp:val=&quot;00724378&quot;/&gt;&lt;wsp:rsid wsp:val=&quot;007244D7&quot;/&gt;&lt;wsp:rsid wsp:val=&quot;00724536&quot;/&gt;&lt;wsp:rsid wsp:val=&quot;007248F0&quot;/&gt;&lt;wsp:rsid wsp:val=&quot;00724E70&quot;/&gt;&lt;wsp:rsid wsp:val=&quot;007251A5&quot;/&gt;&lt;wsp:rsid wsp:val=&quot;0072525B&quot;/&gt;&lt;wsp:rsid wsp:val=&quot;007255E8&quot;/&gt;&lt;wsp:rsid wsp:val=&quot;00725846&quot;/&gt;&lt;wsp:rsid wsp:val=&quot;00725EA3&quot;/&gt;&lt;wsp:rsid wsp:val=&quot;00725EA5&quot;/&gt;&lt;wsp:rsid wsp:val=&quot;00726067&quot;/&gt;&lt;wsp:rsid wsp:val=&quot;00726412&quot;/&gt;&lt;wsp:rsid wsp:val=&quot;0072718D&quot;/&gt;&lt;wsp:rsid wsp:val=&quot;007274EA&quot;/&gt;&lt;wsp:rsid wsp:val=&quot;0072760C&quot;/&gt;&lt;wsp:rsid wsp:val=&quot;00727610&quot;/&gt;&lt;wsp:rsid wsp:val=&quot;0072784F&quot;/&gt;&lt;wsp:rsid wsp:val=&quot;00727B47&quot;/&gt;&lt;wsp:rsid wsp:val=&quot;00727C81&quot;/&gt;&lt;wsp:rsid wsp:val=&quot;00727D45&quot;/&gt;&lt;wsp:rsid wsp:val=&quot;00727F0B&quot;/&gt;&lt;wsp:rsid wsp:val=&quot;00727F59&quot;/&gt;&lt;wsp:rsid wsp:val=&quot;0073029F&quot;/&gt;&lt;wsp:rsid wsp:val=&quot;007303AF&quot;/&gt;&lt;wsp:rsid wsp:val=&quot;007306D8&quot;/&gt;&lt;wsp:rsid wsp:val=&quot;007308DB&quot;/&gt;&lt;wsp:rsid wsp:val=&quot;00731158&quot;/&gt;&lt;wsp:rsid wsp:val=&quot;00731426&quot;/&gt;&lt;wsp:rsid wsp:val=&quot;00731487&quot;/&gt;&lt;wsp:rsid wsp:val=&quot;00731797&quot;/&gt;&lt;wsp:rsid wsp:val=&quot;007318FB&quot;/&gt;&lt;wsp:rsid wsp:val=&quot;00731EE1&quot;/&gt;&lt;wsp:rsid wsp:val=&quot;00732466&quot;/&gt;&lt;wsp:rsid wsp:val=&quot;007328CE&quot;/&gt;&lt;wsp:rsid wsp:val=&quot;00733536&quot;/&gt;&lt;wsp:rsid wsp:val=&quot;007339A1&quot;/&gt;&lt;wsp:rsid wsp:val=&quot;007339AB&quot;/&gt;&lt;wsp:rsid wsp:val=&quot;0073430F&quot;/&gt;&lt;wsp:rsid wsp:val=&quot;00734F6E&quot;/&gt;&lt;wsp:rsid wsp:val=&quot;0073504B&quot;/&gt;&lt;wsp:rsid wsp:val=&quot;0073521B&quot;/&gt;&lt;wsp:rsid wsp:val=&quot;007354B7&quot;/&gt;&lt;wsp:rsid wsp:val=&quot;0073655C&quot;/&gt;&lt;wsp:rsid wsp:val=&quot;00737317&quot;/&gt;&lt;wsp:rsid wsp:val=&quot;007376F3&quot;/&gt;&lt;wsp:rsid wsp:val=&quot;00737A19&quot;/&gt;&lt;wsp:rsid wsp:val=&quot;00737DCC&quot;/&gt;&lt;wsp:rsid wsp:val=&quot;00737E9A&quot;/&gt;&lt;wsp:rsid wsp:val=&quot;00740118&quot;/&gt;&lt;wsp:rsid wsp:val=&quot;0074033A&quot;/&gt;&lt;wsp:rsid wsp:val=&quot;0074062F&quot;/&gt;&lt;wsp:rsid wsp:val=&quot;007406A7&quot;/&gt;&lt;wsp:rsid wsp:val=&quot;00740A3A&quot;/&gt;&lt;wsp:rsid wsp:val=&quot;007412A7&quot;/&gt;&lt;wsp:rsid wsp:val=&quot;007414DD&quot;/&gt;&lt;wsp:rsid wsp:val=&quot;00741A50&quot;/&gt;&lt;wsp:rsid wsp:val=&quot;00741CCC&quot;/&gt;&lt;wsp:rsid wsp:val=&quot;00741FC2&quot;/&gt;&lt;wsp:rsid wsp:val=&quot;00742371&quot;/&gt;&lt;wsp:rsid wsp:val=&quot;00742499&quot;/&gt;&lt;wsp:rsid wsp:val=&quot;00742B6C&quot;/&gt;&lt;wsp:rsid wsp:val=&quot;00742DD4&quot;/&gt;&lt;wsp:rsid wsp:val=&quot;00742F7B&quot;/&gt;&lt;wsp:rsid wsp:val=&quot;00743ED2&quot;/&gt;&lt;wsp:rsid wsp:val=&quot;007440D9&quot;/&gt;&lt;wsp:rsid wsp:val=&quot;0074448C&quot;/&gt;&lt;wsp:rsid wsp:val=&quot;007444CF&quot;/&gt;&lt;wsp:rsid wsp:val=&quot;0074450F&quot;/&gt;&lt;wsp:rsid wsp:val=&quot;007451AB&quot;/&gt;&lt;wsp:rsid wsp:val=&quot;007452A0&quot;/&gt;&lt;wsp:rsid wsp:val=&quot;00745723&quot;/&gt;&lt;wsp:rsid wsp:val=&quot;00745A3F&quot;/&gt;&lt;wsp:rsid wsp:val=&quot;00745BA7&quot;/&gt;&lt;wsp:rsid wsp:val=&quot;00745BD5&quot;/&gt;&lt;wsp:rsid wsp:val=&quot;007465ED&quot;/&gt;&lt;wsp:rsid wsp:val=&quot;00746C94&quot;/&gt;&lt;wsp:rsid wsp:val=&quot;00746DC9&quot;/&gt;&lt;wsp:rsid wsp:val=&quot;00746E92&quot;/&gt;&lt;wsp:rsid wsp:val=&quot;007470DF&quot;/&gt;&lt;wsp:rsid wsp:val=&quot;007474D1&quot;/&gt;&lt;wsp:rsid wsp:val=&quot;00747A33&quot;/&gt;&lt;wsp:rsid wsp:val=&quot;00747A65&quot;/&gt;&lt;wsp:rsid wsp:val=&quot;00747EBF&quot;/&gt;&lt;wsp:rsid wsp:val=&quot;00747ED2&quot;/&gt;&lt;wsp:rsid wsp:val=&quot;007506A5&quot;/&gt;&lt;wsp:rsid wsp:val=&quot;00750B96&quot;/&gt;&lt;wsp:rsid wsp:val=&quot;00750D7B&quot;/&gt;&lt;wsp:rsid wsp:val=&quot;00750D9D&quot;/&gt;&lt;wsp:rsid wsp:val=&quot;0075101B&quot;/&gt;&lt;wsp:rsid wsp:val=&quot;00751291&quot;/&gt;&lt;wsp:rsid wsp:val=&quot;0075161A&quot;/&gt;&lt;wsp:rsid wsp:val=&quot;007517BF&quot;/&gt;&lt;wsp:rsid wsp:val=&quot;0075187C&quot;/&gt;&lt;wsp:rsid wsp:val=&quot;00751DD0&quot;/&gt;&lt;wsp:rsid wsp:val=&quot;0075224D&quot;/&gt;&lt;wsp:rsid wsp:val=&quot;007522B2&quot;/&gt;&lt;wsp:rsid wsp:val=&quot;0075239C&quot;/&gt;&lt;wsp:rsid wsp:val=&quot;007526FB&quot;/&gt;&lt;wsp:rsid wsp:val=&quot;00752C28&quot;/&gt;&lt;wsp:rsid wsp:val=&quot;00752D23&quot;/&gt;&lt;wsp:rsid wsp:val=&quot;00752E35&quot;/&gt;&lt;wsp:rsid wsp:val=&quot;0075333A&quot;/&gt;&lt;wsp:rsid wsp:val=&quot;007533E6&quot;/&gt;&lt;wsp:rsid wsp:val=&quot;007534F7&quot;/&gt;&lt;wsp:rsid wsp:val=&quot;0075353C&quot;/&gt;&lt;wsp:rsid wsp:val=&quot;007535E9&quot;/&gt;&lt;wsp:rsid wsp:val=&quot;00754067&quot;/&gt;&lt;wsp:rsid wsp:val=&quot;007540E0&quot;/&gt;&lt;wsp:rsid wsp:val=&quot;00754162&quot;/&gt;&lt;wsp:rsid wsp:val=&quot;00754C9E&quot;/&gt;&lt;wsp:rsid wsp:val=&quot;00755882&quot;/&gt;&lt;wsp:rsid wsp:val=&quot;00755BF5&quot;/&gt;&lt;wsp:rsid wsp:val=&quot;007562EC&quot;/&gt;&lt;wsp:rsid wsp:val=&quot;0075694A&quot;/&gt;&lt;wsp:rsid wsp:val=&quot;00756E03&quot;/&gt;&lt;wsp:rsid wsp:val=&quot;00756E6F&quot;/&gt;&lt;wsp:rsid wsp:val=&quot;007570F9&quot;/&gt;&lt;wsp:rsid wsp:val=&quot;00757412&quot;/&gt;&lt;wsp:rsid wsp:val=&quot;007576BC&quot;/&gt;&lt;wsp:rsid wsp:val=&quot;00757E5E&quot;/&gt;&lt;wsp:rsid wsp:val=&quot;007603F4&quot;/&gt;&lt;wsp:rsid wsp:val=&quot;00760844&quot;/&gt;&lt;wsp:rsid wsp:val=&quot;00760BD3&quot;/&gt;&lt;wsp:rsid wsp:val=&quot;007610DE&quot;/&gt;&lt;wsp:rsid wsp:val=&quot;00761484&quot;/&gt;&lt;wsp:rsid wsp:val=&quot;007615D5&quot;/&gt;&lt;wsp:rsid wsp:val=&quot;00761894&quot;/&gt;&lt;wsp:rsid wsp:val=&quot;0076193A&quot;/&gt;&lt;wsp:rsid wsp:val=&quot;007629B9&quot;/&gt;&lt;wsp:rsid wsp:val=&quot;00762DBE&quot;/&gt;&lt;wsp:rsid wsp:val=&quot;00763484&quot;/&gt;&lt;wsp:rsid wsp:val=&quot;007637D2&quot;/&gt;&lt;wsp:rsid wsp:val=&quot;00763979&quot;/&gt;&lt;wsp:rsid wsp:val=&quot;00763C73&quot;/&gt;&lt;wsp:rsid wsp:val=&quot;0076455E&quot;/&gt;&lt;wsp:rsid wsp:val=&quot;00764569&quot;/&gt;&lt;wsp:rsid wsp:val=&quot;00764892&quot;/&gt;&lt;wsp:rsid wsp:val=&quot;00764C76&quot;/&gt;&lt;wsp:rsid wsp:val=&quot;007652EF&quot;/&gt;&lt;wsp:rsid wsp:val=&quot;007659D4&quot;/&gt;&lt;wsp:rsid wsp:val=&quot;007665A0&quot;/&gt;&lt;wsp:rsid wsp:val=&quot;00766A93&quot;/&gt;&lt;wsp:rsid wsp:val=&quot;00767148&quot;/&gt;&lt;wsp:rsid wsp:val=&quot;00767C8A&quot;/&gt;&lt;wsp:rsid wsp:val=&quot;00767F05&quot;/&gt;&lt;wsp:rsid wsp:val=&quot;00770118&quot;/&gt;&lt;wsp:rsid wsp:val=&quot;007701FB&quot;/&gt;&lt;wsp:rsid wsp:val=&quot;007703EF&quot;/&gt;&lt;wsp:rsid wsp:val=&quot;00770630&quot;/&gt;&lt;wsp:rsid wsp:val=&quot;007707D2&quot;/&gt;&lt;wsp:rsid wsp:val=&quot;00770AB5&quot;/&gt;&lt;wsp:rsid wsp:val=&quot;0077124C&quot;/&gt;&lt;wsp:rsid wsp:val=&quot;00771A6D&quot;/&gt;&lt;wsp:rsid wsp:val=&quot;00772469&quot;/&gt;&lt;wsp:rsid wsp:val=&quot;0077265C&quot;/&gt;&lt;wsp:rsid wsp:val=&quot;00772E19&quot;/&gt;&lt;wsp:rsid wsp:val=&quot;0077319A&quot;/&gt;&lt;wsp:rsid wsp:val=&quot;007736A5&quot;/&gt;&lt;wsp:rsid wsp:val=&quot;0077370C&quot;/&gt;&lt;wsp:rsid wsp:val=&quot;00773E0C&quot;/&gt;&lt;wsp:rsid wsp:val=&quot;00774715&quot;/&gt;&lt;wsp:rsid wsp:val=&quot;00774727&quot;/&gt;&lt;wsp:rsid wsp:val=&quot;007747B9&quot;/&gt;&lt;wsp:rsid wsp:val=&quot;007748B8&quot;/&gt;&lt;wsp:rsid wsp:val=&quot;00774CF4&quot;/&gt;&lt;wsp:rsid wsp:val=&quot;00774F51&quot;/&gt;&lt;wsp:rsid wsp:val=&quot;007750DC&quot;/&gt;&lt;wsp:rsid wsp:val=&quot;00775394&quot;/&gt;&lt;wsp:rsid wsp:val=&quot;00775AFA&quot;/&gt;&lt;wsp:rsid wsp:val=&quot;007763F6&quot;/&gt;&lt;wsp:rsid wsp:val=&quot;0077675D&quot;/&gt;&lt;wsp:rsid wsp:val=&quot;00776791&quot;/&gt;&lt;wsp:rsid wsp:val=&quot;007768DB&quot;/&gt;&lt;wsp:rsid wsp:val=&quot;00776A45&quot;/&gt;&lt;wsp:rsid wsp:val=&quot;00777297&quot;/&gt;&lt;wsp:rsid wsp:val=&quot;0077764A&quot;/&gt;&lt;wsp:rsid wsp:val=&quot;00780317&quot;/&gt;&lt;wsp:rsid wsp:val=&quot;007807FF&quot;/&gt;&lt;wsp:rsid wsp:val=&quot;007808B1&quot;/&gt;&lt;wsp:rsid wsp:val=&quot;00780EEE&quot;/&gt;&lt;wsp:rsid wsp:val=&quot;007817EB&quot;/&gt;&lt;wsp:rsid wsp:val=&quot;00781F79&quot;/&gt;&lt;wsp:rsid wsp:val=&quot;00781FA6&quot;/&gt;&lt;wsp:rsid wsp:val=&quot;00782277&quot;/&gt;&lt;wsp:rsid wsp:val=&quot;00782468&quot;/&gt;&lt;wsp:rsid wsp:val=&quot;007824F1&quot;/&gt;&lt;wsp:rsid wsp:val=&quot;0078257A&quot;/&gt;&lt;wsp:rsid wsp:val=&quot;00782654&quot;/&gt;&lt;wsp:rsid wsp:val=&quot;007827C4&quot;/&gt;&lt;wsp:rsid wsp:val=&quot;00782882&quot;/&gt;&lt;wsp:rsid wsp:val=&quot;00782D25&quot;/&gt;&lt;wsp:rsid wsp:val=&quot;00782F96&quot;/&gt;&lt;wsp:rsid wsp:val=&quot;0078308B&quot;/&gt;&lt;wsp:rsid wsp:val=&quot;00783216&quot;/&gt;&lt;wsp:rsid wsp:val=&quot;00783C7D&quot;/&gt;&lt;wsp:rsid wsp:val=&quot;00783D75&quot;/&gt;&lt;wsp:rsid wsp:val=&quot;00783F9B&quot;/&gt;&lt;wsp:rsid wsp:val=&quot;007843D7&quot;/&gt;&lt;wsp:rsid wsp:val=&quot;00784ACF&quot;/&gt;&lt;wsp:rsid wsp:val=&quot;00784F8F&quot;/&gt;&lt;wsp:rsid wsp:val=&quot;007852CA&quot;/&gt;&lt;wsp:rsid wsp:val=&quot;007854C8&quot;/&gt;&lt;wsp:rsid wsp:val=&quot;00786474&quot;/&gt;&lt;wsp:rsid wsp:val=&quot;00786B6D&quot;/&gt;&lt;wsp:rsid wsp:val=&quot;00786C91&quot;/&gt;&lt;wsp:rsid wsp:val=&quot;00786DA1&quot;/&gt;&lt;wsp:rsid wsp:val=&quot;007870F9&quot;/&gt;&lt;wsp:rsid wsp:val=&quot;007877B2&quot;/&gt;&lt;wsp:rsid wsp:val=&quot;00787872&quot;/&gt;&lt;wsp:rsid wsp:val=&quot;007878F5&quot;/&gt;&lt;wsp:rsid wsp:val=&quot;00787928&quot;/&gt;&lt;wsp:rsid wsp:val=&quot;00787A16&quot;/&gt;&lt;wsp:rsid wsp:val=&quot;007901E5&quot;/&gt;&lt;wsp:rsid wsp:val=&quot;00790228&quot;/&gt;&lt;wsp:rsid wsp:val=&quot;00790431&quot;/&gt;&lt;wsp:rsid wsp:val=&quot;0079065C&quot;/&gt;&lt;wsp:rsid wsp:val=&quot;007906D7&quot;/&gt;&lt;wsp:rsid wsp:val=&quot;007908AF&quot;/&gt;&lt;wsp:rsid wsp:val=&quot;00790CAA&quot;/&gt;&lt;wsp:rsid wsp:val=&quot;00790EBB&quot;/&gt;&lt;wsp:rsid wsp:val=&quot;00791633&quot;/&gt;&lt;wsp:rsid wsp:val=&quot;0079179E&quot;/&gt;&lt;wsp:rsid wsp:val=&quot;007918D6&quot;/&gt;&lt;wsp:rsid wsp:val=&quot;00791969&quot;/&gt;&lt;wsp:rsid wsp:val=&quot;007920CF&quot;/&gt;&lt;wsp:rsid wsp:val=&quot;00792B58&quot;/&gt;&lt;wsp:rsid wsp:val=&quot;00792DCB&quot;/&gt;&lt;wsp:rsid wsp:val=&quot;007930F5&quot;/&gt;&lt;wsp:rsid wsp:val=&quot;007936EC&quot;/&gt;&lt;wsp:rsid wsp:val=&quot;00793EC2&quot;/&gt;&lt;wsp:rsid wsp:val=&quot;007940B7&quot;/&gt;&lt;wsp:rsid wsp:val=&quot;007946A8&quot;/&gt;&lt;wsp:rsid wsp:val=&quot;00794AB6&quot;/&gt;&lt;wsp:rsid wsp:val=&quot;007954FA&quot;/&gt;&lt;wsp:rsid wsp:val=&quot;0079583C&quot;/&gt;&lt;wsp:rsid wsp:val=&quot;0079590A&quot;/&gt;&lt;wsp:rsid wsp:val=&quot;00795C07&quot;/&gt;&lt;wsp:rsid wsp:val=&quot;00795D1F&quot;/&gt;&lt;wsp:rsid wsp:val=&quot;00796129&quot;/&gt;&lt;wsp:rsid wsp:val=&quot;00796149&quot;/&gt;&lt;wsp:rsid wsp:val=&quot;007962B5&quot;/&gt;&lt;wsp:rsid wsp:val=&quot;00796515&quot;/&gt;&lt;wsp:rsid wsp:val=&quot;0079660C&quot;/&gt;&lt;wsp:rsid wsp:val=&quot;007969B6&quot;/&gt;&lt;wsp:rsid wsp:val=&quot;00796B08&quot;/&gt;&lt;wsp:rsid wsp:val=&quot;007A02CD&quot;/&gt;&lt;wsp:rsid wsp:val=&quot;007A0BA5&quot;/&gt;&lt;wsp:rsid wsp:val=&quot;007A0D61&quot;/&gt;&lt;wsp:rsid wsp:val=&quot;007A0DCE&quot;/&gt;&lt;wsp:rsid wsp:val=&quot;007A1941&quot;/&gt;&lt;wsp:rsid wsp:val=&quot;007A194C&quot;/&gt;&lt;wsp:rsid wsp:val=&quot;007A25A6&quot;/&gt;&lt;wsp:rsid wsp:val=&quot;007A2610&quot;/&gt;&lt;wsp:rsid wsp:val=&quot;007A2846&quot;/&gt;&lt;wsp:rsid wsp:val=&quot;007A28AA&quot;/&gt;&lt;wsp:rsid wsp:val=&quot;007A2B9B&quot;/&gt;&lt;wsp:rsid wsp:val=&quot;007A2F16&quot;/&gt;&lt;wsp:rsid wsp:val=&quot;007A3205&quot;/&gt;&lt;wsp:rsid wsp:val=&quot;007A3A14&quot;/&gt;&lt;wsp:rsid wsp:val=&quot;007A3AB0&quot;/&gt;&lt;wsp:rsid wsp:val=&quot;007A3E4E&quot;/&gt;&lt;wsp:rsid wsp:val=&quot;007A4035&quot;/&gt;&lt;wsp:rsid wsp:val=&quot;007A4128&quot;/&gt;&lt;wsp:rsid wsp:val=&quot;007A4180&quot;/&gt;&lt;wsp:rsid wsp:val=&quot;007A4231&quot;/&gt;&lt;wsp:rsid wsp:val=&quot;007A5F69&quot;/&gt;&lt;wsp:rsid wsp:val=&quot;007A5FB2&quot;/&gt;&lt;wsp:rsid wsp:val=&quot;007A6255&quot;/&gt;&lt;wsp:rsid wsp:val=&quot;007A67FD&quot;/&gt;&lt;wsp:rsid wsp:val=&quot;007A6B15&quot;/&gt;&lt;wsp:rsid wsp:val=&quot;007A7406&quot;/&gt;&lt;wsp:rsid wsp:val=&quot;007A7419&quot;/&gt;&lt;wsp:rsid wsp:val=&quot;007A79AA&quot;/&gt;&lt;wsp:rsid wsp:val=&quot;007A7BA0&quot;/&gt;&lt;wsp:rsid wsp:val=&quot;007B024D&quot;/&gt;&lt;wsp:rsid wsp:val=&quot;007B03E1&quot;/&gt;&lt;wsp:rsid wsp:val=&quot;007B0B77&quot;/&gt;&lt;wsp:rsid wsp:val=&quot;007B0D5F&quot;/&gt;&lt;wsp:rsid wsp:val=&quot;007B0F02&quot;/&gt;&lt;wsp:rsid wsp:val=&quot;007B129A&quot;/&gt;&lt;wsp:rsid wsp:val=&quot;007B14EC&quot;/&gt;&lt;wsp:rsid wsp:val=&quot;007B1634&quot;/&gt;&lt;wsp:rsid wsp:val=&quot;007B1A29&quot;/&gt;&lt;wsp:rsid wsp:val=&quot;007B1AAE&quot;/&gt;&lt;wsp:rsid wsp:val=&quot;007B1C6E&quot;/&gt;&lt;wsp:rsid wsp:val=&quot;007B21BD&quot;/&gt;&lt;wsp:rsid wsp:val=&quot;007B237E&quot;/&gt;&lt;wsp:rsid wsp:val=&quot;007B257F&quot;/&gt;&lt;wsp:rsid wsp:val=&quot;007B2661&quot;/&gt;&lt;wsp:rsid wsp:val=&quot;007B2769&quot;/&gt;&lt;wsp:rsid wsp:val=&quot;007B27B9&quot;/&gt;&lt;wsp:rsid wsp:val=&quot;007B29A4&quot;/&gt;&lt;wsp:rsid wsp:val=&quot;007B2F57&quot;/&gt;&lt;wsp:rsid wsp:val=&quot;007B3423&quot;/&gt;&lt;wsp:rsid wsp:val=&quot;007B3978&quot;/&gt;&lt;wsp:rsid wsp:val=&quot;007B45DF&quot;/&gt;&lt;wsp:rsid wsp:val=&quot;007B5237&quot;/&gt;&lt;wsp:rsid wsp:val=&quot;007B529D&quot;/&gt;&lt;wsp:rsid wsp:val=&quot;007B530B&quot;/&gt;&lt;wsp:rsid wsp:val=&quot;007B54BF&quot;/&gt;&lt;wsp:rsid wsp:val=&quot;007B5C14&quot;/&gt;&lt;wsp:rsid wsp:val=&quot;007B67B6&quot;/&gt;&lt;wsp:rsid wsp:val=&quot;007B69EF&quot;/&gt;&lt;wsp:rsid wsp:val=&quot;007B6EF1&quot;/&gt;&lt;wsp:rsid wsp:val=&quot;007B7282&quot;/&gt;&lt;wsp:rsid wsp:val=&quot;007B73D4&quot;/&gt;&lt;wsp:rsid wsp:val=&quot;007B7950&quot;/&gt;&lt;wsp:rsid wsp:val=&quot;007B7FA2&quot;/&gt;&lt;wsp:rsid wsp:val=&quot;007C01D8&quot;/&gt;&lt;wsp:rsid wsp:val=&quot;007C04BA&quot;/&gt;&lt;wsp:rsid wsp:val=&quot;007C0646&quot;/&gt;&lt;wsp:rsid wsp:val=&quot;007C095F&quot;/&gt;&lt;wsp:rsid wsp:val=&quot;007C0C2E&quot;/&gt;&lt;wsp:rsid wsp:val=&quot;007C0D0F&quot;/&gt;&lt;wsp:rsid wsp:val=&quot;007C0E13&quot;/&gt;&lt;wsp:rsid wsp:val=&quot;007C0E89&quot;/&gt;&lt;wsp:rsid wsp:val=&quot;007C1567&quot;/&gt;&lt;wsp:rsid wsp:val=&quot;007C1AF1&quot;/&gt;&lt;wsp:rsid wsp:val=&quot;007C1C99&quot;/&gt;&lt;wsp:rsid wsp:val=&quot;007C1FDC&quot;/&gt;&lt;wsp:rsid wsp:val=&quot;007C277A&quot;/&gt;&lt;wsp:rsid wsp:val=&quot;007C3151&quot;/&gt;&lt;wsp:rsid wsp:val=&quot;007C3620&quot;/&gt;&lt;wsp:rsid wsp:val=&quot;007C3CC0&quot;/&gt;&lt;wsp:rsid wsp:val=&quot;007C4A48&quot;/&gt;&lt;wsp:rsid wsp:val=&quot;007C51A8&quot;/&gt;&lt;wsp:rsid wsp:val=&quot;007C5367&quot;/&gt;&lt;wsp:rsid wsp:val=&quot;007C538C&quot;/&gt;&lt;wsp:rsid wsp:val=&quot;007C53D0&quot;/&gt;&lt;wsp:rsid wsp:val=&quot;007C5587&quot;/&gt;&lt;wsp:rsid wsp:val=&quot;007C59E7&quot;/&gt;&lt;wsp:rsid wsp:val=&quot;007C5B9A&quot;/&gt;&lt;wsp:rsid wsp:val=&quot;007C61DE&quot;/&gt;&lt;wsp:rsid wsp:val=&quot;007C6645&quot;/&gt;&lt;wsp:rsid wsp:val=&quot;007C66EB&quot;/&gt;&lt;wsp:rsid wsp:val=&quot;007C6A5A&quot;/&gt;&lt;wsp:rsid wsp:val=&quot;007C7662&quot;/&gt;&lt;wsp:rsid wsp:val=&quot;007C76E7&quot;/&gt;&lt;wsp:rsid wsp:val=&quot;007C797D&quot;/&gt;&lt;wsp:rsid wsp:val=&quot;007C7BB1&quot;/&gt;&lt;wsp:rsid wsp:val=&quot;007C7EEE&quot;/&gt;&lt;wsp:rsid wsp:val=&quot;007D00FA&quot;/&gt;&lt;wsp:rsid wsp:val=&quot;007D026E&quot;/&gt;&lt;wsp:rsid wsp:val=&quot;007D04BB&quot;/&gt;&lt;wsp:rsid wsp:val=&quot;007D05AB&quot;/&gt;&lt;wsp:rsid wsp:val=&quot;007D07DD&quot;/&gt;&lt;wsp:rsid wsp:val=&quot;007D1071&quot;/&gt;&lt;wsp:rsid wsp:val=&quot;007D1210&quot;/&gt;&lt;wsp:rsid wsp:val=&quot;007D1601&quot;/&gt;&lt;wsp:rsid wsp:val=&quot;007D1D4B&quot;/&gt;&lt;wsp:rsid wsp:val=&quot;007D2708&quot;/&gt;&lt;wsp:rsid wsp:val=&quot;007D278F&quot;/&gt;&lt;wsp:rsid wsp:val=&quot;007D27FC&quot;/&gt;&lt;wsp:rsid wsp:val=&quot;007D2F41&quot;/&gt;&lt;wsp:rsid wsp:val=&quot;007D2F79&quot;/&gt;&lt;wsp:rsid wsp:val=&quot;007D2F87&quot;/&gt;&lt;wsp:rsid wsp:val=&quot;007D3180&quot;/&gt;&lt;wsp:rsid wsp:val=&quot;007D3563&quot;/&gt;&lt;wsp:rsid wsp:val=&quot;007D35D4&quot;/&gt;&lt;wsp:rsid wsp:val=&quot;007D3887&quot;/&gt;&lt;wsp:rsid wsp:val=&quot;007D3C58&quot;/&gt;&lt;wsp:rsid wsp:val=&quot;007D3F65&quot;/&gt;&lt;wsp:rsid wsp:val=&quot;007D42A1&quot;/&gt;&lt;wsp:rsid wsp:val=&quot;007D4356&quot;/&gt;&lt;wsp:rsid wsp:val=&quot;007D4635&quot;/&gt;&lt;wsp:rsid wsp:val=&quot;007D465F&quot;/&gt;&lt;wsp:rsid wsp:val=&quot;007D4B2A&quot;/&gt;&lt;wsp:rsid wsp:val=&quot;007D4E72&quot;/&gt;&lt;wsp:rsid wsp:val=&quot;007D4FF8&quot;/&gt;&lt;wsp:rsid wsp:val=&quot;007D50E2&quot;/&gt;&lt;wsp:rsid wsp:val=&quot;007D57FB&quot;/&gt;&lt;wsp:rsid wsp:val=&quot;007D594C&quot;/&gt;&lt;wsp:rsid wsp:val=&quot;007D5B2C&quot;/&gt;&lt;wsp:rsid wsp:val=&quot;007D5EB0&quot;/&gt;&lt;wsp:rsid wsp:val=&quot;007D6E86&quot;/&gt;&lt;wsp:rsid wsp:val=&quot;007D6F39&quot;/&gt;&lt;wsp:rsid wsp:val=&quot;007D717B&quot;/&gt;&lt;wsp:rsid wsp:val=&quot;007D71DF&quot;/&gt;&lt;wsp:rsid wsp:val=&quot;007D73D6&quot;/&gt;&lt;wsp:rsid wsp:val=&quot;007D7C4A&quot;/&gt;&lt;wsp:rsid wsp:val=&quot;007D7E8E&quot;/&gt;&lt;wsp:rsid wsp:val=&quot;007E0215&quot;/&gt;&lt;wsp:rsid wsp:val=&quot;007E0B5A&quot;/&gt;&lt;wsp:rsid wsp:val=&quot;007E1189&quot;/&gt;&lt;wsp:rsid wsp:val=&quot;007E1765&quot;/&gt;&lt;wsp:rsid wsp:val=&quot;007E1B2A&quot;/&gt;&lt;wsp:rsid wsp:val=&quot;007E1BAB&quot;/&gt;&lt;wsp:rsid wsp:val=&quot;007E1CD3&quot;/&gt;&lt;wsp:rsid wsp:val=&quot;007E1F15&quot;/&gt;&lt;wsp:rsid wsp:val=&quot;007E221E&quot;/&gt;&lt;wsp:rsid wsp:val=&quot;007E2ECE&quot;/&gt;&lt;wsp:rsid wsp:val=&quot;007E2ED4&quot;/&gt;&lt;wsp:rsid wsp:val=&quot;007E3041&quot;/&gt;&lt;wsp:rsid wsp:val=&quot;007E3194&quot;/&gt;&lt;wsp:rsid wsp:val=&quot;007E320C&quot;/&gt;&lt;wsp:rsid wsp:val=&quot;007E33C8&quot;/&gt;&lt;wsp:rsid wsp:val=&quot;007E352B&quot;/&gt;&lt;wsp:rsid wsp:val=&quot;007E3670&quot;/&gt;&lt;wsp:rsid wsp:val=&quot;007E3A53&quot;/&gt;&lt;wsp:rsid wsp:val=&quot;007E3D17&quot;/&gt;&lt;wsp:rsid wsp:val=&quot;007E4211&quot;/&gt;&lt;wsp:rsid wsp:val=&quot;007E4435&quot;/&gt;&lt;wsp:rsid wsp:val=&quot;007E469A&quot;/&gt;&lt;wsp:rsid wsp:val=&quot;007E478E&quot;/&gt;&lt;wsp:rsid wsp:val=&quot;007E4BD7&quot;/&gt;&lt;wsp:rsid wsp:val=&quot;007E4D79&quot;/&gt;&lt;wsp:rsid wsp:val=&quot;007E4E52&quot;/&gt;&lt;wsp:rsid wsp:val=&quot;007E4FD5&quot;/&gt;&lt;wsp:rsid wsp:val=&quot;007E500E&quot;/&gt;&lt;wsp:rsid wsp:val=&quot;007E5082&quot;/&gt;&lt;wsp:rsid wsp:val=&quot;007E5190&quot;/&gt;&lt;wsp:rsid wsp:val=&quot;007E5315&quot;/&gt;&lt;wsp:rsid wsp:val=&quot;007E56C6&quot;/&gt;&lt;wsp:rsid wsp:val=&quot;007E5734&quot;/&gt;&lt;wsp:rsid wsp:val=&quot;007E5869&quot;/&gt;&lt;wsp:rsid wsp:val=&quot;007E5C62&quot;/&gt;&lt;wsp:rsid wsp:val=&quot;007E5D5A&quot;/&gt;&lt;wsp:rsid wsp:val=&quot;007E5E2A&quot;/&gt;&lt;wsp:rsid wsp:val=&quot;007E5F6D&quot;/&gt;&lt;wsp:rsid wsp:val=&quot;007E6BDD&quot;/&gt;&lt;wsp:rsid wsp:val=&quot;007E7117&quot;/&gt;&lt;wsp:rsid wsp:val=&quot;007E7378&quot;/&gt;&lt;wsp:rsid wsp:val=&quot;007E7BD8&quot;/&gt;&lt;wsp:rsid wsp:val=&quot;007F00A7&quot;/&gt;&lt;wsp:rsid wsp:val=&quot;007F00CD&quot;/&gt;&lt;wsp:rsid wsp:val=&quot;007F039F&quot;/&gt;&lt;wsp:rsid wsp:val=&quot;007F075C&quot;/&gt;&lt;wsp:rsid wsp:val=&quot;007F079B&quot;/&gt;&lt;wsp:rsid wsp:val=&quot;007F0C77&quot;/&gt;&lt;wsp:rsid wsp:val=&quot;007F0DC9&quot;/&gt;&lt;wsp:rsid wsp:val=&quot;007F0E5C&quot;/&gt;&lt;wsp:rsid wsp:val=&quot;007F0FDB&quot;/&gt;&lt;wsp:rsid wsp:val=&quot;007F128B&quot;/&gt;&lt;wsp:rsid wsp:val=&quot;007F1B10&quot;/&gt;&lt;wsp:rsid wsp:val=&quot;007F1EE1&quot;/&gt;&lt;wsp:rsid wsp:val=&quot;007F1EEA&quot;/&gt;&lt;wsp:rsid wsp:val=&quot;007F281F&quot;/&gt;&lt;wsp:rsid wsp:val=&quot;007F2B95&quot;/&gt;&lt;wsp:rsid wsp:val=&quot;007F2C56&quot;/&gt;&lt;wsp:rsid wsp:val=&quot;007F34ED&quot;/&gt;&lt;wsp:rsid wsp:val=&quot;007F3E21&quot;/&gt;&lt;wsp:rsid wsp:val=&quot;007F411A&quot;/&gt;&lt;wsp:rsid wsp:val=&quot;007F45D6&quot;/&gt;&lt;wsp:rsid wsp:val=&quot;007F497E&quot;/&gt;&lt;wsp:rsid wsp:val=&quot;007F49F7&quot;/&gt;&lt;wsp:rsid wsp:val=&quot;007F4B1E&quot;/&gt;&lt;wsp:rsid wsp:val=&quot;007F4C33&quot;/&gt;&lt;wsp:rsid wsp:val=&quot;007F531C&quot;/&gt;&lt;wsp:rsid wsp:val=&quot;007F552B&quot;/&gt;&lt;wsp:rsid wsp:val=&quot;007F5530&quot;/&gt;&lt;wsp:rsid wsp:val=&quot;007F5784&quot;/&gt;&lt;wsp:rsid wsp:val=&quot;007F6256&quot;/&gt;&lt;wsp:rsid wsp:val=&quot;007F633D&quot;/&gt;&lt;wsp:rsid wsp:val=&quot;007F6547&quot;/&gt;&lt;wsp:rsid wsp:val=&quot;007F662C&quot;/&gt;&lt;wsp:rsid wsp:val=&quot;007F6940&quot;/&gt;&lt;wsp:rsid wsp:val=&quot;007F70D7&quot;/&gt;&lt;wsp:rsid wsp:val=&quot;007F7412&quot;/&gt;&lt;wsp:rsid wsp:val=&quot;007F7750&quot;/&gt;&lt;wsp:rsid wsp:val=&quot;007F7A25&quot;/&gt;&lt;wsp:rsid wsp:val=&quot;007F7C57&quot;/&gt;&lt;wsp:rsid wsp:val=&quot;007F7C76&quot;/&gt;&lt;wsp:rsid wsp:val=&quot;007F7FB6&quot;/&gt;&lt;wsp:rsid wsp:val=&quot;00800125&quot;/&gt;&lt;wsp:rsid wsp:val=&quot;00800589&quot;/&gt;&lt;wsp:rsid wsp:val=&quot;008011C4&quot;/&gt;&lt;wsp:rsid wsp:val=&quot;008015ED&quot;/&gt;&lt;wsp:rsid wsp:val=&quot;00801695&quot;/&gt;&lt;wsp:rsid wsp:val=&quot;00801A3B&quot;/&gt;&lt;wsp:rsid wsp:val=&quot;00801BB7&quot;/&gt;&lt;wsp:rsid wsp:val=&quot;00801CF4&quot;/&gt;&lt;wsp:rsid wsp:val=&quot;00802650&quot;/&gt;&lt;wsp:rsid wsp:val=&quot;00802D67&quot;/&gt;&lt;wsp:rsid wsp:val=&quot;008032D8&quot;/&gt;&lt;wsp:rsid wsp:val=&quot;00803C6D&quot;/&gt;&lt;wsp:rsid wsp:val=&quot;00803D41&quot;/&gt;&lt;wsp:rsid wsp:val=&quot;0080424E&quot;/&gt;&lt;wsp:rsid wsp:val=&quot;0080459F&quot;/&gt;&lt;wsp:rsid wsp:val=&quot;00804D30&quot;/&gt;&lt;wsp:rsid wsp:val=&quot;00804D6B&quot;/&gt;&lt;wsp:rsid wsp:val=&quot;00805030&quot;/&gt;&lt;wsp:rsid wsp:val=&quot;0080558A&quot;/&gt;&lt;wsp:rsid wsp:val=&quot;0080586E&quot;/&gt;&lt;wsp:rsid wsp:val=&quot;00805CF8&quot;/&gt;&lt;wsp:rsid wsp:val=&quot;00805E47&quot;/&gt;&lt;wsp:rsid wsp:val=&quot;00805E6E&quot;/&gt;&lt;wsp:rsid wsp:val=&quot;008060EE&quot;/&gt;&lt;wsp:rsid wsp:val=&quot;008063FA&quot;/&gt;&lt;wsp:rsid wsp:val=&quot;008068F3&quot;/&gt;&lt;wsp:rsid wsp:val=&quot;008069E3&quot;/&gt;&lt;wsp:rsid wsp:val=&quot;00807234&quot;/&gt;&lt;wsp:rsid wsp:val=&quot;0080723B&quot;/&gt;&lt;wsp:rsid wsp:val=&quot;008075D7&quot;/&gt;&lt;wsp:rsid wsp:val=&quot;00807D03&quot;/&gt;&lt;wsp:rsid wsp:val=&quot;00807F3E&quot;/&gt;&lt;wsp:rsid wsp:val=&quot;008103DD&quot;/&gt;&lt;wsp:rsid wsp:val=&quot;00810924&quot;/&gt;&lt;wsp:rsid wsp:val=&quot;008110BC&quot;/&gt;&lt;wsp:rsid wsp:val=&quot;0081152E&quot;/&gt;&lt;wsp:rsid wsp:val=&quot;008117F4&quot;/&gt;&lt;wsp:rsid wsp:val=&quot;00811856&quot;/&gt;&lt;wsp:rsid wsp:val=&quot;00812522&quot;/&gt;&lt;wsp:rsid wsp:val=&quot;00812BC5&quot;/&gt;&lt;wsp:rsid wsp:val=&quot;00812DD0&quot;/&gt;&lt;wsp:rsid wsp:val=&quot;008137BA&quot;/&gt;&lt;wsp:rsid wsp:val=&quot;008137D9&quot;/&gt;&lt;wsp:rsid wsp:val=&quot;00813928&quot;/&gt;&lt;wsp:rsid wsp:val=&quot;00813CB4&quot;/&gt;&lt;wsp:rsid wsp:val=&quot;00813F87&quot;/&gt;&lt;wsp:rsid wsp:val=&quot;00813FB6&quot;/&gt;&lt;wsp:rsid wsp:val=&quot;00814155&quot;/&gt;&lt;wsp:rsid wsp:val=&quot;0081416D&quot;/&gt;&lt;wsp:rsid wsp:val=&quot;0081466F&quot;/&gt;&lt;wsp:rsid wsp:val=&quot;00814842&quot;/&gt;&lt;wsp:rsid wsp:val=&quot;00814E7E&quot;/&gt;&lt;wsp:rsid wsp:val=&quot;00814F4B&quot;/&gt;&lt;wsp:rsid wsp:val=&quot;00815291&quot;/&gt;&lt;wsp:rsid wsp:val=&quot;008152FF&quot;/&gt;&lt;wsp:rsid wsp:val=&quot;00815466&quot;/&gt;&lt;wsp:rsid wsp:val=&quot;008159FE&quot;/&gt;&lt;wsp:rsid wsp:val=&quot;00815C35&quot;/&gt;&lt;wsp:rsid wsp:val=&quot;00815C82&quot;/&gt;&lt;wsp:rsid wsp:val=&quot;00816463&quot;/&gt;&lt;wsp:rsid wsp:val=&quot;00816796&quot;/&gt;&lt;wsp:rsid wsp:val=&quot;0081698E&quot;/&gt;&lt;wsp:rsid wsp:val=&quot;00816D50&quot;/&gt;&lt;wsp:rsid wsp:val=&quot;0081752E&quot;/&gt;&lt;wsp:rsid wsp:val=&quot;00817F76&quot;/&gt;&lt;wsp:rsid wsp:val=&quot;00820102&quot;/&gt;&lt;wsp:rsid wsp:val=&quot;008208F6&quot;/&gt;&lt;wsp:rsid wsp:val=&quot;00820C24&quot;/&gt;&lt;wsp:rsid wsp:val=&quot;00820FC8&quot;/&gt;&lt;wsp:rsid wsp:val=&quot;0082108C&quot;/&gt;&lt;wsp:rsid wsp:val=&quot;00821640&quot;/&gt;&lt;wsp:rsid wsp:val=&quot;00821D18&quot;/&gt;&lt;wsp:rsid wsp:val=&quot;00822620&quot;/&gt;&lt;wsp:rsid wsp:val=&quot;008227E5&quot;/&gt;&lt;wsp:rsid wsp:val=&quot;00822DA4&quot;/&gt;&lt;wsp:rsid wsp:val=&quot;00822EB8&quot;/&gt;&lt;wsp:rsid wsp:val=&quot;0082384C&quot;/&gt;&lt;wsp:rsid wsp:val=&quot;008240FF&quot;/&gt;&lt;wsp:rsid wsp:val=&quot;008243E9&quot;/&gt;&lt;wsp:rsid wsp:val=&quot;008246F5&quot;/&gt;&lt;wsp:rsid wsp:val=&quot;00824923&quot;/&gt;&lt;wsp:rsid wsp:val=&quot;00824B96&quot;/&gt;&lt;wsp:rsid wsp:val=&quot;00824DF4&quot;/&gt;&lt;wsp:rsid wsp:val=&quot;0082518D&quot;/&gt;&lt;wsp:rsid wsp:val=&quot;00825F44&quot;/&gt;&lt;wsp:rsid wsp:val=&quot;00825FAE&quot;/&gt;&lt;wsp:rsid wsp:val=&quot;008267DE&quot;/&gt;&lt;wsp:rsid wsp:val=&quot;00826D46&quot;/&gt;&lt;wsp:rsid wsp:val=&quot;00826EFD&quot;/&gt;&lt;wsp:rsid wsp:val=&quot;00827656&quot;/&gt;&lt;wsp:rsid wsp:val=&quot;008276BB&quot;/&gt;&lt;wsp:rsid wsp:val=&quot;00827753&quot;/&gt;&lt;wsp:rsid wsp:val=&quot;00827992&quot;/&gt;&lt;wsp:rsid wsp:val=&quot;008279BF&quot;/&gt;&lt;wsp:rsid wsp:val=&quot;008303CB&quot;/&gt;&lt;wsp:rsid wsp:val=&quot;00830AE4&quot;/&gt;&lt;wsp:rsid wsp:val=&quot;00830D15&quot;/&gt;&lt;wsp:rsid wsp:val=&quot;00830DCC&quot;/&gt;&lt;wsp:rsid wsp:val=&quot;00830EFF&quot;/&gt;&lt;wsp:rsid wsp:val=&quot;008310EE&quot;/&gt;&lt;wsp:rsid wsp:val=&quot;00831312&quot;/&gt;&lt;wsp:rsid wsp:val=&quot;00831663&quot;/&gt;&lt;wsp:rsid wsp:val=&quot;008318B9&quot;/&gt;&lt;wsp:rsid wsp:val=&quot;0083198C&quot;/&gt;&lt;wsp:rsid wsp:val=&quot;00831A4B&quot;/&gt;&lt;wsp:rsid wsp:val=&quot;00831E96&quot;/&gt;&lt;wsp:rsid wsp:val=&quot;00832409&quot;/&gt;&lt;wsp:rsid wsp:val=&quot;008325C4&quot;/&gt;&lt;wsp:rsid wsp:val=&quot;00832F48&quot;/&gt;&lt;wsp:rsid wsp:val=&quot;00833495&quot;/&gt;&lt;wsp:rsid wsp:val=&quot;00833B5D&quot;/&gt;&lt;wsp:rsid wsp:val=&quot;00834015&quot;/&gt;&lt;wsp:rsid wsp:val=&quot;0083419D&quot;/&gt;&lt;wsp:rsid wsp:val=&quot;008345B4&quot;/&gt;&lt;wsp:rsid wsp:val=&quot;008345BF&quot;/&gt;&lt;wsp:rsid wsp:val=&quot;0083490E&quot;/&gt;&lt;wsp:rsid wsp:val=&quot;008349E9&quot;/&gt;&lt;wsp:rsid wsp:val=&quot;008359EB&quot;/&gt;&lt;wsp:rsid wsp:val=&quot;008359F5&quot;/&gt;&lt;wsp:rsid wsp:val=&quot;00835A49&quot;/&gt;&lt;wsp:rsid wsp:val=&quot;00835B52&quot;/&gt;&lt;wsp:rsid wsp:val=&quot;00836003&quot;/&gt;&lt;wsp:rsid wsp:val=&quot;00836940&quot;/&gt;&lt;wsp:rsid wsp:val=&quot;008369BB&quot;/&gt;&lt;wsp:rsid wsp:val=&quot;00836F5C&quot;/&gt;&lt;wsp:rsid wsp:val=&quot;008371FC&quot;/&gt;&lt;wsp:rsid wsp:val=&quot;0083766E&quot;/&gt;&lt;wsp:rsid wsp:val=&quot;00840100&quot;/&gt;&lt;wsp:rsid wsp:val=&quot;0084011C&quot;/&gt;&lt;wsp:rsid wsp:val=&quot;00840634&quot;/&gt;&lt;wsp:rsid wsp:val=&quot;008407F6&quot;/&gt;&lt;wsp:rsid wsp:val=&quot;00840AAC&quot;/&gt;&lt;wsp:rsid wsp:val=&quot;00840DF5&quot;/&gt;&lt;wsp:rsid wsp:val=&quot;008411D5&quot;/&gt;&lt;wsp:rsid wsp:val=&quot;008416B7&quot;/&gt;&lt;wsp:rsid wsp:val=&quot;00841B10&quot;/&gt;&lt;wsp:rsid wsp:val=&quot;00841E06&quot;/&gt;&lt;wsp:rsid wsp:val=&quot;0084270C&quot;/&gt;&lt;wsp:rsid wsp:val=&quot;00842A42&quot;/&gt;&lt;wsp:rsid wsp:val=&quot;00842CE6&quot;/&gt;&lt;wsp:rsid wsp:val=&quot;00842DFF&quot;/&gt;&lt;wsp:rsid wsp:val=&quot;00843EB7&quot;/&gt;&lt;wsp:rsid wsp:val=&quot;00844066&quot;/&gt;&lt;wsp:rsid wsp:val=&quot;00844405&quot;/&gt;&lt;wsp:rsid wsp:val=&quot;00844AB7&quot;/&gt;&lt;wsp:rsid wsp:val=&quot;00844C2F&quot;/&gt;&lt;wsp:rsid wsp:val=&quot;00845212&quot;/&gt;&lt;wsp:rsid wsp:val=&quot;00845B59&quot;/&gt;&lt;wsp:rsid wsp:val=&quot;0084617E&quot;/&gt;&lt;wsp:rsid wsp:val=&quot;008461D2&quot;/&gt;&lt;wsp:rsid wsp:val=&quot;008461E2&quot;/&gt;&lt;wsp:rsid wsp:val=&quot;008468E7&quot;/&gt;&lt;wsp:rsid wsp:val=&quot;00846BB4&quot;/&gt;&lt;wsp:rsid wsp:val=&quot;00846C1F&quot;/&gt;&lt;wsp:rsid wsp:val=&quot;008470AD&quot;/&gt;&lt;wsp:rsid wsp:val=&quot;00847206&quot;/&gt;&lt;wsp:rsid wsp:val=&quot;0084763D&quot;/&gt;&lt;wsp:rsid wsp:val=&quot;008500F2&quot;/&gt;&lt;wsp:rsid wsp:val=&quot;00850134&quot;/&gt;&lt;wsp:rsid wsp:val=&quot;008509EA&quot;/&gt;&lt;wsp:rsid wsp:val=&quot;00850D3C&quot;/&gt;&lt;wsp:rsid wsp:val=&quot;008510E5&quot;/&gt;&lt;wsp:rsid wsp:val=&quot;0085123F&quot;/&gt;&lt;wsp:rsid wsp:val=&quot;00851D73&quot;/&gt;&lt;wsp:rsid wsp:val=&quot;00852200&quot;/&gt;&lt;wsp:rsid wsp:val=&quot;0085231E&quot;/&gt;&lt;wsp:rsid wsp:val=&quot;0085235E&quot;/&gt;&lt;wsp:rsid wsp:val=&quot;008524B3&quot;/&gt;&lt;wsp:rsid wsp:val=&quot;00852EEA&quot;/&gt;&lt;wsp:rsid wsp:val=&quot;00852F16&quot;/&gt;&lt;wsp:rsid wsp:val=&quot;008538E3&quot;/&gt;&lt;wsp:rsid wsp:val=&quot;00853AA1&quot;/&gt;&lt;wsp:rsid wsp:val=&quot;00853CE9&quot;/&gt;&lt;wsp:rsid wsp:val=&quot;00853E34&quot;/&gt;&lt;wsp:rsid wsp:val=&quot;00853E80&quot;/&gt;&lt;wsp:rsid wsp:val=&quot;008541CB&quot;/&gt;&lt;wsp:rsid wsp:val=&quot;008544A1&quot;/&gt;&lt;wsp:rsid wsp:val=&quot;008544CA&quot;/&gt;&lt;wsp:rsid wsp:val=&quot;008546B4&quot;/&gt;&lt;wsp:rsid wsp:val=&quot;00854A9C&quot;/&gt;&lt;wsp:rsid wsp:val=&quot;00854C78&quot;/&gt;&lt;wsp:rsid wsp:val=&quot;0085518A&quot;/&gt;&lt;wsp:rsid wsp:val=&quot;00855538&quot;/&gt;&lt;wsp:rsid wsp:val=&quot;00855A2A&quot;/&gt;&lt;wsp:rsid wsp:val=&quot;00855C51&quot;/&gt;&lt;wsp:rsid wsp:val=&quot;00856270&quot;/&gt;&lt;wsp:rsid wsp:val=&quot;00856614&quot;/&gt;&lt;wsp:rsid wsp:val=&quot;0085665F&quot;/&gt;&lt;wsp:rsid wsp:val=&quot;00856A5B&quot;/&gt;&lt;wsp:rsid wsp:val=&quot;00856EB8&quot;/&gt;&lt;wsp:rsid wsp:val=&quot;00856EFB&quot;/&gt;&lt;wsp:rsid wsp:val=&quot;0085724F&quot;/&gt;&lt;wsp:rsid wsp:val=&quot;0085766B&quot;/&gt;&lt;wsp:rsid wsp:val=&quot;00857736&quot;/&gt;&lt;wsp:rsid wsp:val=&quot;00860309&quot;/&gt;&lt;wsp:rsid wsp:val=&quot;00860720&quot;/&gt;&lt;wsp:rsid wsp:val=&quot;0086074E&quot;/&gt;&lt;wsp:rsid wsp:val=&quot;00860ECE&quot;/&gt;&lt;wsp:rsid wsp:val=&quot;0086105A&quot;/&gt;&lt;wsp:rsid wsp:val=&quot;008613DC&quot;/&gt;&lt;wsp:rsid wsp:val=&quot;0086163E&quot;/&gt;&lt;wsp:rsid wsp:val=&quot;008619E7&quot;/&gt;&lt;wsp:rsid wsp:val=&quot;00862064&quot;/&gt;&lt;wsp:rsid wsp:val=&quot;008623F6&quot;/&gt;&lt;wsp:rsid wsp:val=&quot;008626C5&quot;/&gt;&lt;wsp:rsid wsp:val=&quot;00862C2C&quot;/&gt;&lt;wsp:rsid wsp:val=&quot;00862CBE&quot;/&gt;&lt;wsp:rsid wsp:val=&quot;00862CC6&quot;/&gt;&lt;wsp:rsid wsp:val=&quot;00862F76&quot;/&gt;&lt;wsp:rsid wsp:val=&quot;00863013&quot;/&gt;&lt;wsp:rsid wsp:val=&quot;00864149&quot;/&gt;&lt;wsp:rsid wsp:val=&quot;008644EA&quot;/&gt;&lt;wsp:rsid wsp:val=&quot;0086457D&quot;/&gt;&lt;wsp:rsid wsp:val=&quot;008648AD&quot;/&gt;&lt;wsp:rsid wsp:val=&quot;0086528B&quot;/&gt;&lt;wsp:rsid wsp:val=&quot;00865E4A&quot;/&gt;&lt;wsp:rsid wsp:val=&quot;00866041&quot;/&gt;&lt;wsp:rsid wsp:val=&quot;008663D9&quot;/&gt;&lt;wsp:rsid wsp:val=&quot;00866475&quot;/&gt;&lt;wsp:rsid wsp:val=&quot;008666CB&quot;/&gt;&lt;wsp:rsid wsp:val=&quot;00866C8A&quot;/&gt;&lt;wsp:rsid wsp:val=&quot;00866FD8&quot;/&gt;&lt;wsp:rsid wsp:val=&quot;00867317&quot;/&gt;&lt;wsp:rsid wsp:val=&quot;008679B9&quot;/&gt;&lt;wsp:rsid wsp:val=&quot;00867BE3&quot;/&gt;&lt;wsp:rsid wsp:val=&quot;008702F8&quot;/&gt;&lt;wsp:rsid wsp:val=&quot;008703D9&quot;/&gt;&lt;wsp:rsid wsp:val=&quot;00870565&quot;/&gt;&lt;wsp:rsid wsp:val=&quot;008712C3&quot;/&gt;&lt;wsp:rsid wsp:val=&quot;0087143E&quot;/&gt;&lt;wsp:rsid wsp:val=&quot;00871A09&quot;/&gt;&lt;wsp:rsid wsp:val=&quot;00871B31&quot;/&gt;&lt;wsp:rsid wsp:val=&quot;00871C0F&quot;/&gt;&lt;wsp:rsid wsp:val=&quot;00871FCD&quot;/&gt;&lt;wsp:rsid wsp:val=&quot;008721C3&quot;/&gt;&lt;wsp:rsid wsp:val=&quot;008722A4&quot;/&gt;&lt;wsp:rsid wsp:val=&quot;00872393&quot;/&gt;&lt;wsp:rsid wsp:val=&quot;00872591&quot;/&gt;&lt;wsp:rsid wsp:val=&quot;0087277C&quot;/&gt;&lt;wsp:rsid wsp:val=&quot;00872896&quot;/&gt;&lt;wsp:rsid wsp:val=&quot;0087289C&quot;/&gt;&lt;wsp:rsid wsp:val=&quot;00872AE8&quot;/&gt;&lt;wsp:rsid wsp:val=&quot;00872B75&quot;/&gt;&lt;wsp:rsid wsp:val=&quot;008731CB&quot;/&gt;&lt;wsp:rsid wsp:val=&quot;0087366B&quot;/&gt;&lt;wsp:rsid wsp:val=&quot;00874CBC&quot;/&gt;&lt;wsp:rsid wsp:val=&quot;00874CD7&quot;/&gt;&lt;wsp:rsid wsp:val=&quot;0087556F&quot;/&gt;&lt;wsp:rsid wsp:val=&quot;008755B0&quot;/&gt;&lt;wsp:rsid wsp:val=&quot;0087569A&quot;/&gt;&lt;wsp:rsid wsp:val=&quot;00875D94&quot;/&gt;&lt;wsp:rsid wsp:val=&quot;00875EDA&quot;/&gt;&lt;wsp:rsid wsp:val=&quot;00876239&quot;/&gt;&lt;wsp:rsid wsp:val=&quot;00876340&quot;/&gt;&lt;wsp:rsid wsp:val=&quot;0087678D&quot;/&gt;&lt;wsp:rsid wsp:val=&quot;008769E3&quot;/&gt;&lt;wsp:rsid wsp:val=&quot;00876E84&quot;/&gt;&lt;wsp:rsid wsp:val=&quot;00876FF7&quot;/&gt;&lt;wsp:rsid wsp:val=&quot;00877161&quot;/&gt;&lt;wsp:rsid wsp:val=&quot;008779E6&quot;/&gt;&lt;wsp:rsid wsp:val=&quot;00877B53&quot;/&gt;&lt;wsp:rsid wsp:val=&quot;00877C15&quot;/&gt;&lt;wsp:rsid wsp:val=&quot;00877DBC&quot;/&gt;&lt;wsp:rsid wsp:val=&quot;00877E2E&quot;/&gt;&lt;wsp:rsid wsp:val=&quot;00880540&quot;/&gt;&lt;wsp:rsid wsp:val=&quot;00880E78&quot;/&gt;&lt;wsp:rsid wsp:val=&quot;00881098&quot;/&gt;&lt;wsp:rsid wsp:val=&quot;0088123F&quot;/&gt;&lt;wsp:rsid wsp:val=&quot;00881278&quot;/&gt;&lt;wsp:rsid wsp:val=&quot;0088153E&quot;/&gt;&lt;wsp:rsid wsp:val=&quot;00881A78&quot;/&gt;&lt;wsp:rsid wsp:val=&quot;00881C83&quot;/&gt;&lt;wsp:rsid wsp:val=&quot;00881C9B&quot;/&gt;&lt;wsp:rsid wsp:val=&quot;00882509&quot;/&gt;&lt;wsp:rsid wsp:val=&quot;0088274C&quot;/&gt;&lt;wsp:rsid wsp:val=&quot;00882AC8&quot;/&gt;&lt;wsp:rsid wsp:val=&quot;00882E90&quot;/&gt;&lt;wsp:rsid wsp:val=&quot;008836DF&quot;/&gt;&lt;wsp:rsid wsp:val=&quot;008837F7&quot;/&gt;&lt;wsp:rsid wsp:val=&quot;00883BB7&quot;/&gt;&lt;wsp:rsid wsp:val=&quot;00884469&quot;/&gt;&lt;wsp:rsid wsp:val=&quot;008848A2&quot;/&gt;&lt;wsp:rsid wsp:val=&quot;00884C50&quot;/&gt;&lt;wsp:rsid wsp:val=&quot;00884CD4&quot;/&gt;&lt;wsp:rsid wsp:val=&quot;008858FB&quot;/&gt;&lt;wsp:rsid wsp:val=&quot;00885F57&quot;/&gt;&lt;wsp:rsid wsp:val=&quot;0088685D&quot;/&gt;&lt;wsp:rsid wsp:val=&quot;00886CE4&quot;/&gt;&lt;wsp:rsid wsp:val=&quot;00890330&quot;/&gt;&lt;wsp:rsid wsp:val=&quot;0089078F&quot;/&gt;&lt;wsp:rsid wsp:val=&quot;00890835&quot;/&gt;&lt;wsp:rsid wsp:val=&quot;00890B00&quot;/&gt;&lt;wsp:rsid wsp:val=&quot;008910DD&quot;/&gt;&lt;wsp:rsid wsp:val=&quot;008914FE&quot;/&gt;&lt;wsp:rsid wsp:val=&quot;00891788&quot;/&gt;&lt;wsp:rsid wsp:val=&quot;00891D83&quot;/&gt;&lt;wsp:rsid wsp:val=&quot;00891E45&quot;/&gt;&lt;wsp:rsid wsp:val=&quot;00892360&quot;/&gt;&lt;wsp:rsid wsp:val=&quot;00892545&quot;/&gt;&lt;wsp:rsid wsp:val=&quot;00892660&quot;/&gt;&lt;wsp:rsid wsp:val=&quot;008926B3&quot;/&gt;&lt;wsp:rsid wsp:val=&quot;00892B7A&quot;/&gt;&lt;wsp:rsid wsp:val=&quot;00892F8C&quot;/&gt;&lt;wsp:rsid wsp:val=&quot;00893051&quot;/&gt;&lt;wsp:rsid wsp:val=&quot;0089347F&quot;/&gt;&lt;wsp:rsid wsp:val=&quot;008939D3&quot;/&gt;&lt;wsp:rsid wsp:val=&quot;00894096&quot;/&gt;&lt;wsp:rsid wsp:val=&quot;0089421F&quot;/&gt;&lt;wsp:rsid wsp:val=&quot;008943D5&quot;/&gt;&lt;wsp:rsid wsp:val=&quot;00894A10&quot;/&gt;&lt;wsp:rsid wsp:val=&quot;00894DEB&quot;/&gt;&lt;wsp:rsid wsp:val=&quot;00894E64&quot;/&gt;&lt;wsp:rsid wsp:val=&quot;0089535F&quot;/&gt;&lt;wsp:rsid wsp:val=&quot;008955D8&quot;/&gt;&lt;wsp:rsid wsp:val=&quot;008957CE&quot;/&gt;&lt;wsp:rsid wsp:val=&quot;00895B4E&quot;/&gt;&lt;wsp:rsid wsp:val=&quot;00895DB5&quot;/&gt;&lt;wsp:rsid wsp:val=&quot;00895E8B&quot;/&gt;&lt;wsp:rsid wsp:val=&quot;00896A43&quot;/&gt;&lt;wsp:rsid wsp:val=&quot;00896AF6&quot;/&gt;&lt;wsp:rsid wsp:val=&quot;00896B67&quot;/&gt;&lt;wsp:rsid wsp:val=&quot;00896C40&quot;/&gt;&lt;wsp:rsid wsp:val=&quot;008970CC&quot;/&gt;&lt;wsp:rsid wsp:val=&quot;0089728E&quot;/&gt;&lt;wsp:rsid wsp:val=&quot;008974F1&quot;/&gt;&lt;wsp:rsid wsp:val=&quot;00897B02&quot;/&gt;&lt;wsp:rsid wsp:val=&quot;00897C6B&quot;/&gt;&lt;wsp:rsid wsp:val=&quot;00897E7A&quot;/&gt;&lt;wsp:rsid wsp:val=&quot;008A00ED&quot;/&gt;&lt;wsp:rsid wsp:val=&quot;008A0547&quot;/&gt;&lt;wsp:rsid wsp:val=&quot;008A0FE4&quot;/&gt;&lt;wsp:rsid wsp:val=&quot;008A1013&quot;/&gt;&lt;wsp:rsid wsp:val=&quot;008A12BE&quot;/&gt;&lt;wsp:rsid wsp:val=&quot;008A1E46&quot;/&gt;&lt;wsp:rsid wsp:val=&quot;008A1FD1&quot;/&gt;&lt;wsp:rsid wsp:val=&quot;008A20DF&quot;/&gt;&lt;wsp:rsid wsp:val=&quot;008A24A4&quot;/&gt;&lt;wsp:rsid wsp:val=&quot;008A2697&quot;/&gt;&lt;wsp:rsid wsp:val=&quot;008A297A&quot;/&gt;&lt;wsp:rsid wsp:val=&quot;008A2AFD&quot;/&gt;&lt;wsp:rsid wsp:val=&quot;008A2BEE&quot;/&gt;&lt;wsp:rsid wsp:val=&quot;008A31BD&quot;/&gt;&lt;wsp:rsid wsp:val=&quot;008A342D&quot;/&gt;&lt;wsp:rsid wsp:val=&quot;008A3480&quot;/&gt;&lt;wsp:rsid wsp:val=&quot;008A3498&quot;/&gt;&lt;wsp:rsid wsp:val=&quot;008A35D3&quot;/&gt;&lt;wsp:rsid wsp:val=&quot;008A36E0&quot;/&gt;&lt;wsp:rsid wsp:val=&quot;008A38A9&quot;/&gt;&lt;wsp:rsid wsp:val=&quot;008A3C20&quot;/&gt;&lt;wsp:rsid wsp:val=&quot;008A3D2A&quot;/&gt;&lt;wsp:rsid wsp:val=&quot;008A3EB1&quot;/&gt;&lt;wsp:rsid wsp:val=&quot;008A3EC1&quot;/&gt;&lt;wsp:rsid wsp:val=&quot;008A413D&quot;/&gt;&lt;wsp:rsid wsp:val=&quot;008A4B83&quot;/&gt;&lt;wsp:rsid wsp:val=&quot;008A4F91&quot;/&gt;&lt;wsp:rsid wsp:val=&quot;008A6840&quot;/&gt;&lt;wsp:rsid wsp:val=&quot;008A6AC5&quot;/&gt;&lt;wsp:rsid wsp:val=&quot;008A6B6C&quot;/&gt;&lt;wsp:rsid wsp:val=&quot;008A6C57&quot;/&gt;&lt;wsp:rsid wsp:val=&quot;008A6D31&quot;/&gt;&lt;wsp:rsid wsp:val=&quot;008A6D33&quot;/&gt;&lt;wsp:rsid wsp:val=&quot;008A6E55&quot;/&gt;&lt;wsp:rsid wsp:val=&quot;008A6F6F&quot;/&gt;&lt;wsp:rsid wsp:val=&quot;008A71DA&quot;/&gt;&lt;wsp:rsid wsp:val=&quot;008A71F1&quot;/&gt;&lt;wsp:rsid wsp:val=&quot;008A729A&quot;/&gt;&lt;wsp:rsid wsp:val=&quot;008A74B8&quot;/&gt;&lt;wsp:rsid wsp:val=&quot;008A7504&quot;/&gt;&lt;wsp:rsid wsp:val=&quot;008A7CC6&quot;/&gt;&lt;wsp:rsid wsp:val=&quot;008A7F91&quot;/&gt;&lt;wsp:rsid wsp:val=&quot;008B0115&quot;/&gt;&lt;wsp:rsid wsp:val=&quot;008B0407&quot;/&gt;&lt;wsp:rsid wsp:val=&quot;008B043B&quot;/&gt;&lt;wsp:rsid wsp:val=&quot;008B0656&quot;/&gt;&lt;wsp:rsid wsp:val=&quot;008B0A10&quot;/&gt;&lt;wsp:rsid wsp:val=&quot;008B0AEA&quot;/&gt;&lt;wsp:rsid wsp:val=&quot;008B0DE6&quot;/&gt;&lt;wsp:rsid wsp:val=&quot;008B0E42&quot;/&gt;&lt;wsp:rsid wsp:val=&quot;008B103A&quot;/&gt;&lt;wsp:rsid wsp:val=&quot;008B1621&quot;/&gt;&lt;wsp:rsid wsp:val=&quot;008B1A93&quot;/&gt;&lt;wsp:rsid wsp:val=&quot;008B2041&quot;/&gt;&lt;wsp:rsid wsp:val=&quot;008B229B&quot;/&gt;&lt;wsp:rsid wsp:val=&quot;008B2473&quot;/&gt;&lt;wsp:rsid wsp:val=&quot;008B28D9&quot;/&gt;&lt;wsp:rsid wsp:val=&quot;008B34F3&quot;/&gt;&lt;wsp:rsid wsp:val=&quot;008B3697&quot;/&gt;&lt;wsp:rsid wsp:val=&quot;008B378A&quot;/&gt;&lt;wsp:rsid wsp:val=&quot;008B3D95&quot;/&gt;&lt;wsp:rsid wsp:val=&quot;008B41AE&quot;/&gt;&lt;wsp:rsid wsp:val=&quot;008B4461&quot;/&gt;&lt;wsp:rsid wsp:val=&quot;008B46D9&quot;/&gt;&lt;wsp:rsid wsp:val=&quot;008B48F9&quot;/&gt;&lt;wsp:rsid wsp:val=&quot;008B4924&quot;/&gt;&lt;wsp:rsid wsp:val=&quot;008B4BEB&quot;/&gt;&lt;wsp:rsid wsp:val=&quot;008B56A4&quot;/&gt;&lt;wsp:rsid wsp:val=&quot;008B5816&quot;/&gt;&lt;wsp:rsid wsp:val=&quot;008B5A79&quot;/&gt;&lt;wsp:rsid wsp:val=&quot;008B5CDC&quot;/&gt;&lt;wsp:rsid wsp:val=&quot;008B60B1&quot;/&gt;&lt;wsp:rsid wsp:val=&quot;008B6A43&quot;/&gt;&lt;wsp:rsid wsp:val=&quot;008B7359&quot;/&gt;&lt;wsp:rsid wsp:val=&quot;008B74CC&quot;/&gt;&lt;wsp:rsid wsp:val=&quot;008B7A4A&quot;/&gt;&lt;wsp:rsid wsp:val=&quot;008B7FD9&quot;/&gt;&lt;wsp:rsid wsp:val=&quot;008C0097&quot;/&gt;&lt;wsp:rsid wsp:val=&quot;008C06B0&quot;/&gt;&lt;wsp:rsid wsp:val=&quot;008C144E&quot;/&gt;&lt;wsp:rsid wsp:val=&quot;008C1477&quot;/&gt;&lt;wsp:rsid wsp:val=&quot;008C14B0&quot;/&gt;&lt;wsp:rsid wsp:val=&quot;008C1662&quot;/&gt;&lt;wsp:rsid wsp:val=&quot;008C1A84&quot;/&gt;&lt;wsp:rsid wsp:val=&quot;008C25A2&quot;/&gt;&lt;wsp:rsid wsp:val=&quot;008C2810&quot;/&gt;&lt;wsp:rsid wsp:val=&quot;008C2A9B&quot;/&gt;&lt;wsp:rsid wsp:val=&quot;008C2B4F&quot;/&gt;&lt;wsp:rsid wsp:val=&quot;008C2D15&quot;/&gt;&lt;wsp:rsid wsp:val=&quot;008C3315&quot;/&gt;&lt;wsp:rsid wsp:val=&quot;008C360A&quot;/&gt;&lt;wsp:rsid wsp:val=&quot;008C3771&quot;/&gt;&lt;wsp:rsid wsp:val=&quot;008C3933&quot;/&gt;&lt;wsp:rsid wsp:val=&quot;008C3BF8&quot;/&gt;&lt;wsp:rsid wsp:val=&quot;008C3D82&quot;/&gt;&lt;wsp:rsid wsp:val=&quot;008C415D&quot;/&gt;&lt;wsp:rsid wsp:val=&quot;008C42C7&quot;/&gt;&lt;wsp:rsid wsp:val=&quot;008C45CF&quot;/&gt;&lt;wsp:rsid wsp:val=&quot;008C572D&quot;/&gt;&lt;wsp:rsid wsp:val=&quot;008C58D1&quot;/&gt;&lt;wsp:rsid wsp:val=&quot;008C593D&quot;/&gt;&lt;wsp:rsid wsp:val=&quot;008C5FCF&quot;/&gt;&lt;wsp:rsid wsp:val=&quot;008C6149&quot;/&gt;&lt;wsp:rsid wsp:val=&quot;008C67CD&quot;/&gt;&lt;wsp:rsid wsp:val=&quot;008C68C0&quot;/&gt;&lt;wsp:rsid wsp:val=&quot;008C6C4E&quot;/&gt;&lt;wsp:rsid wsp:val=&quot;008C7C21&quot;/&gt;&lt;wsp:rsid wsp:val=&quot;008C7CCA&quot;/&gt;&lt;wsp:rsid wsp:val=&quot;008C7DD4&quot;/&gt;&lt;wsp:rsid wsp:val=&quot;008D01B7&quot;/&gt;&lt;wsp:rsid wsp:val=&quot;008D026B&quot;/&gt;&lt;wsp:rsid wsp:val=&quot;008D0759&quot;/&gt;&lt;wsp:rsid wsp:val=&quot;008D0A83&quot;/&gt;&lt;wsp:rsid wsp:val=&quot;008D0D13&quot;/&gt;&lt;wsp:rsid wsp:val=&quot;008D0EA5&quot;/&gt;&lt;wsp:rsid wsp:val=&quot;008D0EC0&quot;/&gt;&lt;wsp:rsid wsp:val=&quot;008D14AA&quot;/&gt;&lt;wsp:rsid wsp:val=&quot;008D1524&quot;/&gt;&lt;wsp:rsid wsp:val=&quot;008D1682&quot;/&gt;&lt;wsp:rsid wsp:val=&quot;008D18C3&quot;/&gt;&lt;wsp:rsid wsp:val=&quot;008D1ADA&quot;/&gt;&lt;wsp:rsid wsp:val=&quot;008D1EA6&quot;/&gt;&lt;wsp:rsid wsp:val=&quot;008D1F51&quot;/&gt;&lt;wsp:rsid wsp:val=&quot;008D1FFB&quot;/&gt;&lt;wsp:rsid wsp:val=&quot;008D20B5&quot;/&gt;&lt;wsp:rsid wsp:val=&quot;008D2227&quot;/&gt;&lt;wsp:rsid wsp:val=&quot;008D22A8&quot;/&gt;&lt;wsp:rsid wsp:val=&quot;008D22C7&quot;/&gt;&lt;wsp:rsid wsp:val=&quot;008D2904&quot;/&gt;&lt;wsp:rsid wsp:val=&quot;008D2A2C&quot;/&gt;&lt;wsp:rsid wsp:val=&quot;008D2B0C&quot;/&gt;&lt;wsp:rsid wsp:val=&quot;008D3227&quot;/&gt;&lt;wsp:rsid wsp:val=&quot;008D401E&quot;/&gt;&lt;wsp:rsid wsp:val=&quot;008D4832&quot;/&gt;&lt;wsp:rsid wsp:val=&quot;008D498A&quot;/&gt;&lt;wsp:rsid wsp:val=&quot;008D4B52&quot;/&gt;&lt;wsp:rsid wsp:val=&quot;008D4F03&quot;/&gt;&lt;wsp:rsid wsp:val=&quot;008D4F7F&quot;/&gt;&lt;wsp:rsid wsp:val=&quot;008D569C&quot;/&gt;&lt;wsp:rsid wsp:val=&quot;008D5700&quot;/&gt;&lt;wsp:rsid wsp:val=&quot;008D576F&quot;/&gt;&lt;wsp:rsid wsp:val=&quot;008D63DE&quot;/&gt;&lt;wsp:rsid wsp:val=&quot;008D679D&quot;/&gt;&lt;wsp:rsid wsp:val=&quot;008D6A72&quot;/&gt;&lt;wsp:rsid wsp:val=&quot;008D6A73&quot;/&gt;&lt;wsp:rsid wsp:val=&quot;008D6BDA&quot;/&gt;&lt;wsp:rsid wsp:val=&quot;008D6C69&quot;/&gt;&lt;wsp:rsid wsp:val=&quot;008D716D&quot;/&gt;&lt;wsp:rsid wsp:val=&quot;008D7D84&quot;/&gt;&lt;wsp:rsid wsp:val=&quot;008E01D1&quot;/&gt;&lt;wsp:rsid wsp:val=&quot;008E0325&quot;/&gt;&lt;wsp:rsid wsp:val=&quot;008E04CB&quot;/&gt;&lt;wsp:rsid wsp:val=&quot;008E0EB6&quot;/&gt;&lt;wsp:rsid wsp:val=&quot;008E0EF6&quot;/&gt;&lt;wsp:rsid wsp:val=&quot;008E105A&quot;/&gt;&lt;wsp:rsid wsp:val=&quot;008E1363&quot;/&gt;&lt;wsp:rsid wsp:val=&quot;008E13C5&quot;/&gt;&lt;wsp:rsid wsp:val=&quot;008E1DB6&quot;/&gt;&lt;wsp:rsid wsp:val=&quot;008E23CB&quot;/&gt;&lt;wsp:rsid wsp:val=&quot;008E254F&quot;/&gt;&lt;wsp:rsid wsp:val=&quot;008E2953&quot;/&gt;&lt;wsp:rsid wsp:val=&quot;008E30B8&quot;/&gt;&lt;wsp:rsid wsp:val=&quot;008E3314&quot;/&gt;&lt;wsp:rsid wsp:val=&quot;008E3760&quot;/&gt;&lt;wsp:rsid wsp:val=&quot;008E3ECC&quot;/&gt;&lt;wsp:rsid wsp:val=&quot;008E40F1&quot;/&gt;&lt;wsp:rsid wsp:val=&quot;008E428A&quot;/&gt;&lt;wsp:rsid wsp:val=&quot;008E48D5&quot;/&gt;&lt;wsp:rsid wsp:val=&quot;008E4CE7&quot;/&gt;&lt;wsp:rsid wsp:val=&quot;008E5159&quot;/&gt;&lt;wsp:rsid wsp:val=&quot;008E53D0&quot;/&gt;&lt;wsp:rsid wsp:val=&quot;008E56F0&quot;/&gt;&lt;wsp:rsid wsp:val=&quot;008E5A1B&quot;/&gt;&lt;wsp:rsid wsp:val=&quot;008E5AB4&quot;/&gt;&lt;wsp:rsid wsp:val=&quot;008E6EEC&quot;/&gt;&lt;wsp:rsid wsp:val=&quot;008E746A&quot;/&gt;&lt;wsp:rsid wsp:val=&quot;008E774E&quot;/&gt;&lt;wsp:rsid wsp:val=&quot;008E7883&quot;/&gt;&lt;wsp:rsid wsp:val=&quot;008F02B6&quot;/&gt;&lt;wsp:rsid wsp:val=&quot;008F07DA&quot;/&gt;&lt;wsp:rsid wsp:val=&quot;008F0F64&quot;/&gt;&lt;wsp:rsid wsp:val=&quot;008F11A0&quot;/&gt;&lt;wsp:rsid wsp:val=&quot;008F20C0&quot;/&gt;&lt;wsp:rsid wsp:val=&quot;008F2482&quot;/&gt;&lt;wsp:rsid wsp:val=&quot;008F26E0&quot;/&gt;&lt;wsp:rsid wsp:val=&quot;008F2CCA&quot;/&gt;&lt;wsp:rsid wsp:val=&quot;008F2CE9&quot;/&gt;&lt;wsp:rsid wsp:val=&quot;008F2D5C&quot;/&gt;&lt;wsp:rsid wsp:val=&quot;008F2E62&quot;/&gt;&lt;wsp:rsid wsp:val=&quot;008F2FDB&quot;/&gt;&lt;wsp:rsid wsp:val=&quot;008F3A9F&quot;/&gt;&lt;wsp:rsid wsp:val=&quot;008F3FC3&quot;/&gt;&lt;wsp:rsid wsp:val=&quot;008F47FD&quot;/&gt;&lt;wsp:rsid wsp:val=&quot;008F51CF&quot;/&gt;&lt;wsp:rsid wsp:val=&quot;008F51D2&quot;/&gt;&lt;wsp:rsid wsp:val=&quot;008F521C&quot;/&gt;&lt;wsp:rsid wsp:val=&quot;008F563A&quot;/&gt;&lt;wsp:rsid wsp:val=&quot;008F5C44&quot;/&gt;&lt;wsp:rsid wsp:val=&quot;008F5FB5&quot;/&gt;&lt;wsp:rsid wsp:val=&quot;008F60D0&quot;/&gt;&lt;wsp:rsid wsp:val=&quot;008F6501&quot;/&gt;&lt;wsp:rsid wsp:val=&quot;008F665A&quot;/&gt;&lt;wsp:rsid wsp:val=&quot;008F66A7&quot;/&gt;&lt;wsp:rsid wsp:val=&quot;008F6E4C&quot;/&gt;&lt;wsp:rsid wsp:val=&quot;008F72A6&quot;/&gt;&lt;wsp:rsid wsp:val=&quot;008F7380&quot;/&gt;&lt;wsp:rsid wsp:val=&quot;008F73DB&quot;/&gt;&lt;wsp:rsid wsp:val=&quot;008F75D4&quot;/&gt;&lt;wsp:rsid wsp:val=&quot;008F77AE&quot;/&gt;&lt;wsp:rsid wsp:val=&quot;008F79F0&quot;/&gt;&lt;wsp:rsid wsp:val=&quot;00900C54&quot;/&gt;&lt;wsp:rsid wsp:val=&quot;009011A8&quot;/&gt;&lt;wsp:rsid wsp:val=&quot;00901998&quot;/&gt;&lt;wsp:rsid wsp:val=&quot;009019DB&quot;/&gt;&lt;wsp:rsid wsp:val=&quot;00901C46&quot;/&gt;&lt;wsp:rsid wsp:val=&quot;00901D2D&quot;/&gt;&lt;wsp:rsid wsp:val=&quot;009027DD&quot;/&gt;&lt;wsp:rsid wsp:val=&quot;00902E5B&quot;/&gt;&lt;wsp:rsid wsp:val=&quot;0090305D&quot;/&gt;&lt;wsp:rsid wsp:val=&quot;00903679&quot;/&gt;&lt;wsp:rsid wsp:val=&quot;00903820&quot;/&gt;&lt;wsp:rsid wsp:val=&quot;00903909&quot;/&gt;&lt;wsp:rsid wsp:val=&quot;009041A0&quot;/&gt;&lt;wsp:rsid wsp:val=&quot;009041EA&quot;/&gt;&lt;wsp:rsid wsp:val=&quot;009041EE&quot;/&gt;&lt;wsp:rsid wsp:val=&quot;00904349&quot;/&gt;&lt;wsp:rsid wsp:val=&quot;009048ED&quot;/&gt;&lt;wsp:rsid wsp:val=&quot;00904CF0&quot;/&gt;&lt;wsp:rsid wsp:val=&quot;00905093&quot;/&gt;&lt;wsp:rsid wsp:val=&quot;009054B7&quot;/&gt;&lt;wsp:rsid wsp:val=&quot;0090560C&quot;/&gt;&lt;wsp:rsid wsp:val=&quot;0090590C&quot;/&gt;&lt;wsp:rsid wsp:val=&quot;00905AB0&quot;/&gt;&lt;wsp:rsid wsp:val=&quot;00905BF0&quot;/&gt;&lt;wsp:rsid wsp:val=&quot;00905F18&quot;/&gt;&lt;wsp:rsid wsp:val=&quot;00905F43&quot;/&gt;&lt;wsp:rsid wsp:val=&quot;00906362&quot;/&gt;&lt;wsp:rsid wsp:val=&quot;009063F7&quot;/&gt;&lt;wsp:rsid wsp:val=&quot;009064CD&quot;/&gt;&lt;wsp:rsid wsp:val=&quot;00906510&quot;/&gt;&lt;wsp:rsid wsp:val=&quot;00907531&quot;/&gt;&lt;wsp:rsid wsp:val=&quot;009077B4&quot;/&gt;&lt;wsp:rsid wsp:val=&quot;00907F9F&quot;/&gt;&lt;wsp:rsid wsp:val=&quot;009100E4&quot;/&gt;&lt;wsp:rsid wsp:val=&quot;00910164&quot;/&gt;&lt;wsp:rsid wsp:val=&quot;009102E8&quot;/&gt;&lt;wsp:rsid wsp:val=&quot;009104D1&quot;/&gt;&lt;wsp:rsid wsp:val=&quot;00910812&quot;/&gt;&lt;wsp:rsid wsp:val=&quot;00910BC0&quot;/&gt;&lt;wsp:rsid wsp:val=&quot;009113D0&quot;/&gt;&lt;wsp:rsid wsp:val=&quot;00911879&quot;/&gt;&lt;wsp:rsid wsp:val=&quot;0091199C&quot;/&gt;&lt;wsp:rsid wsp:val=&quot;00911CF7&quot;/&gt;&lt;wsp:rsid wsp:val=&quot;009121AA&quot;/&gt;&lt;wsp:rsid wsp:val=&quot;009121DB&quot;/&gt;&lt;wsp:rsid wsp:val=&quot;009127B1&quot;/&gt;&lt;wsp:rsid wsp:val=&quot;00912875&quot;/&gt;&lt;wsp:rsid wsp:val=&quot;00912C0B&quot;/&gt;&lt;wsp:rsid wsp:val=&quot;00913256&quot;/&gt;&lt;wsp:rsid wsp:val=&quot;00913463&quot;/&gt;&lt;wsp:rsid wsp:val=&quot;00913D7D&quot;/&gt;&lt;wsp:rsid wsp:val=&quot;00913DBB&quot;/&gt;&lt;wsp:rsid wsp:val=&quot;00913DF1&quot;/&gt;&lt;wsp:rsid wsp:val=&quot;009140CE&quot;/&gt;&lt;wsp:rsid wsp:val=&quot;00914798&quot;/&gt;&lt;wsp:rsid wsp:val=&quot;00914B6F&quot;/&gt;&lt;wsp:rsid wsp:val=&quot;0091514D&quot;/&gt;&lt;wsp:rsid wsp:val=&quot;009153A9&quot;/&gt;&lt;wsp:rsid wsp:val=&quot;009154C3&quot;/&gt;&lt;wsp:rsid wsp:val=&quot;00915A10&quot;/&gt;&lt;wsp:rsid wsp:val=&quot;009161BA&quot;/&gt;&lt;wsp:rsid wsp:val=&quot;009166F6&quot;/&gt;&lt;wsp:rsid wsp:val=&quot;009168E0&quot;/&gt;&lt;wsp:rsid wsp:val=&quot;00916BB1&quot;/&gt;&lt;wsp:rsid wsp:val=&quot;00916DDB&quot;/&gt;&lt;wsp:rsid wsp:val=&quot;009177FB&quot;/&gt;&lt;wsp:rsid wsp:val=&quot;0092034B&quot;/&gt;&lt;wsp:rsid wsp:val=&quot;00920966&quot;/&gt;&lt;wsp:rsid wsp:val=&quot;00920A68&quot;/&gt;&lt;wsp:rsid wsp:val=&quot;009218D8&quot;/&gt;&lt;wsp:rsid wsp:val=&quot;0092234D&quot;/&gt;&lt;wsp:rsid wsp:val=&quot;00922973&quot;/&gt;&lt;wsp:rsid wsp:val=&quot;00922AEA&quot;/&gt;&lt;wsp:rsid wsp:val=&quot;00923648&quot;/&gt;&lt;wsp:rsid wsp:val=&quot;009237D0&quot;/&gt;&lt;wsp:rsid wsp:val=&quot;00923C69&quot;/&gt;&lt;wsp:rsid wsp:val=&quot;0092430E&quot;/&gt;&lt;wsp:rsid wsp:val=&quot;009245C6&quot;/&gt;&lt;wsp:rsid wsp:val=&quot;00924BD6&quot;/&gt;&lt;wsp:rsid wsp:val=&quot;00924F37&quot;/&gt;&lt;wsp:rsid wsp:val=&quot;00925215&quot;/&gt;&lt;wsp:rsid wsp:val=&quot;00925250&quot;/&gt;&lt;wsp:rsid wsp:val=&quot;009252A2&quot;/&gt;&lt;wsp:rsid wsp:val=&quot;0092546C&quot;/&gt;&lt;wsp:rsid wsp:val=&quot;0092567E&quot;/&gt;&lt;wsp:rsid wsp:val=&quot;00925F75&quot;/&gt;&lt;wsp:rsid wsp:val=&quot;009266DF&quot;/&gt;&lt;wsp:rsid wsp:val=&quot;009267B1&quot;/&gt;&lt;wsp:rsid wsp:val=&quot;00926949&quot;/&gt;&lt;wsp:rsid wsp:val=&quot;00926A51&quot;/&gt;&lt;wsp:rsid wsp:val=&quot;00926D4F&quot;/&gt;&lt;wsp:rsid wsp:val=&quot;00926DA8&quot;/&gt;&lt;wsp:rsid wsp:val=&quot;0092736C&quot;/&gt;&lt;wsp:rsid wsp:val=&quot;009274CB&quot;/&gt;&lt;wsp:rsid wsp:val=&quot;009276BB&quot;/&gt;&lt;wsp:rsid wsp:val=&quot;00927DC0&quot;/&gt;&lt;wsp:rsid wsp:val=&quot;00927F48&quot;/&gt;&lt;wsp:rsid wsp:val=&quot;00930177&quot;/&gt;&lt;wsp:rsid wsp:val=&quot;00930285&quot;/&gt;&lt;wsp:rsid wsp:val=&quot;009304B3&quot;/&gt;&lt;wsp:rsid wsp:val=&quot;00930520&quot;/&gt;&lt;wsp:rsid wsp:val=&quot;0093074F&quot;/&gt;&lt;wsp:rsid wsp:val=&quot;0093081D&quot;/&gt;&lt;wsp:rsid wsp:val=&quot;00930A9B&quot;/&gt;&lt;wsp:rsid wsp:val=&quot;0093101A&quot;/&gt;&lt;wsp:rsid wsp:val=&quot;00931142&quot;/&gt;&lt;wsp:rsid wsp:val=&quot;00931CC4&quot;/&gt;&lt;wsp:rsid wsp:val=&quot;009323BE&quot;/&gt;&lt;wsp:rsid wsp:val=&quot;0093281C&quot;/&gt;&lt;wsp:rsid wsp:val=&quot;00932835&quot;/&gt;&lt;wsp:rsid wsp:val=&quot;00933263&quot;/&gt;&lt;wsp:rsid wsp:val=&quot;00933411&quot;/&gt;&lt;wsp:rsid wsp:val=&quot;00933952&quot;/&gt;&lt;wsp:rsid wsp:val=&quot;00933AF4&quot;/&gt;&lt;wsp:rsid wsp:val=&quot;00933BF1&quot;/&gt;&lt;wsp:rsid wsp:val=&quot;0093411D&quot;/&gt;&lt;wsp:rsid wsp:val=&quot;00934205&quot;/&gt;&lt;wsp:rsid wsp:val=&quot;009343F2&quot;/&gt;&lt;wsp:rsid wsp:val=&quot;009345C7&quot;/&gt;&lt;wsp:rsid wsp:val=&quot;00934D58&quot;/&gt;&lt;wsp:rsid wsp:val=&quot;0093521A&quot;/&gt;&lt;wsp:rsid wsp:val=&quot;00935555&quot;/&gt;&lt;wsp:rsid wsp:val=&quot;009355E6&quot;/&gt;&lt;wsp:rsid wsp:val=&quot;00935BDC&quot;/&gt;&lt;wsp:rsid wsp:val=&quot;009360D2&quot;/&gt;&lt;wsp:rsid wsp:val=&quot;00936428&quot;/&gt;&lt;wsp:rsid wsp:val=&quot;0093701D&quot;/&gt;&lt;wsp:rsid wsp:val=&quot;0093705E&quot;/&gt;&lt;wsp:rsid wsp:val=&quot;009372CA&quot;/&gt;&lt;wsp:rsid wsp:val=&quot;009376FA&quot;/&gt;&lt;wsp:rsid wsp:val=&quot;00937762&quot;/&gt;&lt;wsp:rsid wsp:val=&quot;00937EC4&quot;/&gt;&lt;wsp:rsid wsp:val=&quot;0094026A&quot;/&gt;&lt;wsp:rsid wsp:val=&quot;00940AAD&quot;/&gt;&lt;wsp:rsid wsp:val=&quot;00940CA4&quot;/&gt;&lt;wsp:rsid wsp:val=&quot;0094167A&quot;/&gt;&lt;wsp:rsid wsp:val=&quot;0094178A&quot;/&gt;&lt;wsp:rsid wsp:val=&quot;009432AC&quot;/&gt;&lt;wsp:rsid wsp:val=&quot;009439C3&quot;/&gt;&lt;wsp:rsid wsp:val=&quot;00943E28&quot;/&gt;&lt;wsp:rsid wsp:val=&quot;00943FB4&quot;/&gt;&lt;wsp:rsid wsp:val=&quot;0094456C&quot;/&gt;&lt;wsp:rsid wsp:val=&quot;009445FB&quot;/&gt;&lt;wsp:rsid wsp:val=&quot;009446EB&quot;/&gt;&lt;wsp:rsid wsp:val=&quot;00944963&quot;/&gt;&lt;wsp:rsid wsp:val=&quot;00944B24&quot;/&gt;&lt;wsp:rsid wsp:val=&quot;00944D7F&quot;/&gt;&lt;wsp:rsid wsp:val=&quot;00944FEC&quot;/&gt;&lt;wsp:rsid wsp:val=&quot;00946510&quot;/&gt;&lt;wsp:rsid wsp:val=&quot;009466E8&quot;/&gt;&lt;wsp:rsid wsp:val=&quot;00946C20&quot;/&gt;&lt;wsp:rsid wsp:val=&quot;009471BC&quot;/&gt;&lt;wsp:rsid wsp:val=&quot;00947342&quot;/&gt;&lt;wsp:rsid wsp:val=&quot;0094759D&quot;/&gt;&lt;wsp:rsid wsp:val=&quot;00947A25&quot;/&gt;&lt;wsp:rsid wsp:val=&quot;00947CFC&quot;/&gt;&lt;wsp:rsid wsp:val=&quot;00947E1C&quot;/&gt;&lt;wsp:rsid wsp:val=&quot;00947EF8&quot;/&gt;&lt;wsp:rsid wsp:val=&quot;009505EA&quot;/&gt;&lt;wsp:rsid wsp:val=&quot;00950F95&quot;/&gt;&lt;wsp:rsid wsp:val=&quot;009513E7&quot;/&gt;&lt;wsp:rsid wsp:val=&quot;00951659&quot;/&gt;&lt;wsp:rsid wsp:val=&quot;00951739&quot;/&gt;&lt;wsp:rsid wsp:val=&quot;0095176E&quot;/&gt;&lt;wsp:rsid wsp:val=&quot;00951C00&quot;/&gt;&lt;wsp:rsid wsp:val=&quot;00951CB7&quot;/&gt;&lt;wsp:rsid wsp:val=&quot;00952A08&quot;/&gt;&lt;wsp:rsid wsp:val=&quot;00953104&quot;/&gt;&lt;wsp:rsid wsp:val=&quot;0095311A&quot;/&gt;&lt;wsp:rsid wsp:val=&quot;009533DB&quot;/&gt;&lt;wsp:rsid wsp:val=&quot;00953E3F&quot;/&gt;&lt;wsp:rsid wsp:val=&quot;0095413E&quot;/&gt;&lt;wsp:rsid wsp:val=&quot;00954483&quot;/&gt;&lt;wsp:rsid wsp:val=&quot;00954569&quot;/&gt;&lt;wsp:rsid wsp:val=&quot;00954AB2&quot;/&gt;&lt;wsp:rsid wsp:val=&quot;00955074&quot;/&gt;&lt;wsp:rsid wsp:val=&quot;009551DF&quot;/&gt;&lt;wsp:rsid wsp:val=&quot;009557C6&quot;/&gt;&lt;wsp:rsid wsp:val=&quot;00955B64&quot;/&gt;&lt;wsp:rsid wsp:val=&quot;00955B83&quot;/&gt;&lt;wsp:rsid wsp:val=&quot;00955C3F&quot;/&gt;&lt;wsp:rsid wsp:val=&quot;00955CA6&quot;/&gt;&lt;wsp:rsid wsp:val=&quot;00956093&quot;/&gt;&lt;wsp:rsid wsp:val=&quot;009563A6&quot;/&gt;&lt;wsp:rsid wsp:val=&quot;009569B4&quot;/&gt;&lt;wsp:rsid wsp:val=&quot;00956C6D&quot;/&gt;&lt;wsp:rsid wsp:val=&quot;00956EF6&quot;/&gt;&lt;wsp:rsid wsp:val=&quot;009570C9&quot;/&gt;&lt;wsp:rsid wsp:val=&quot;00957610&quot;/&gt;&lt;wsp:rsid wsp:val=&quot;00957D67&quot;/&gt;&lt;wsp:rsid wsp:val=&quot;00957E30&quot;/&gt;&lt;wsp:rsid wsp:val=&quot;00957F8C&quot;/&gt;&lt;wsp:rsid wsp:val=&quot;009609E9&quot;/&gt;&lt;wsp:rsid wsp:val=&quot;00960F07&quot;/&gt;&lt;wsp:rsid wsp:val=&quot;00961202&quot;/&gt;&lt;wsp:rsid wsp:val=&quot;0096129E&quot;/&gt;&lt;wsp:rsid wsp:val=&quot;00961567&quot;/&gt;&lt;wsp:rsid wsp:val=&quot;0096159D&quot;/&gt;&lt;wsp:rsid wsp:val=&quot;00961C07&quot;/&gt;&lt;wsp:rsid wsp:val=&quot;00961EBD&quot;/&gt;&lt;wsp:rsid wsp:val=&quot;00961FEF&quot;/&gt;&lt;wsp:rsid wsp:val=&quot;009621FC&quot;/&gt;&lt;wsp:rsid wsp:val=&quot;00962203&quot;/&gt;&lt;wsp:rsid wsp:val=&quot;009625A0&quot;/&gt;&lt;wsp:rsid wsp:val=&quot;00962763&quot;/&gt;&lt;wsp:rsid wsp:val=&quot;009628A3&quot;/&gt;&lt;wsp:rsid wsp:val=&quot;00962902&quot;/&gt;&lt;wsp:rsid wsp:val=&quot;00962940&quot;/&gt;&lt;wsp:rsid wsp:val=&quot;00962966&quot;/&gt;&lt;wsp:rsid wsp:val=&quot;00962CBE&quot;/&gt;&lt;wsp:rsid wsp:val=&quot;00962E98&quot;/&gt;&lt;wsp:rsid wsp:val=&quot;00963153&quot;/&gt;&lt;wsp:rsid wsp:val=&quot;00963723&quot;/&gt;&lt;wsp:rsid wsp:val=&quot;00963BC7&quot;/&gt;&lt;wsp:rsid wsp:val=&quot;00963E29&quot;/&gt;&lt;wsp:rsid wsp:val=&quot;00963FBC&quot;/&gt;&lt;wsp:rsid wsp:val=&quot;009640F6&quot;/&gt;&lt;wsp:rsid wsp:val=&quot;00964332&quot;/&gt;&lt;wsp:rsid wsp:val=&quot;00964346&quot;/&gt;&lt;wsp:rsid wsp:val=&quot;009646AB&quot;/&gt;&lt;wsp:rsid wsp:val=&quot;00964D93&quot;/&gt;&lt;wsp:rsid wsp:val=&quot;00964F73&quot;/&gt;&lt;wsp:rsid wsp:val=&quot;0096598D&quot;/&gt;&lt;wsp:rsid wsp:val=&quot;00965D1A&quot;/&gt;&lt;wsp:rsid wsp:val=&quot;00965DCD&quot;/&gt;&lt;wsp:rsid wsp:val=&quot;00965FCA&quot;/&gt;&lt;wsp:rsid wsp:val=&quot;009661CB&quot;/&gt;&lt;wsp:rsid wsp:val=&quot;009667CD&quot;/&gt;&lt;wsp:rsid wsp:val=&quot;00966BEA&quot;/&gt;&lt;wsp:rsid wsp:val=&quot;00966D5B&quot;/&gt;&lt;wsp:rsid wsp:val=&quot;00966DDB&quot;/&gt;&lt;wsp:rsid wsp:val=&quot;00967120&quot;/&gt;&lt;wsp:rsid wsp:val=&quot;009676ED&quot;/&gt;&lt;wsp:rsid wsp:val=&quot;009676FF&quot;/&gt;&lt;wsp:rsid wsp:val=&quot;00967A22&quot;/&gt;&lt;wsp:rsid wsp:val=&quot;009703FD&quot;/&gt;&lt;wsp:rsid wsp:val=&quot;00970690&quot;/&gt;&lt;wsp:rsid wsp:val=&quot;00970CC0&quot;/&gt;&lt;wsp:rsid wsp:val=&quot;0097108F&quot;/&gt;&lt;wsp:rsid wsp:val=&quot;00971130&quot;/&gt;&lt;wsp:rsid wsp:val=&quot;009711C1&quot;/&gt;&lt;wsp:rsid wsp:val=&quot;009713A6&quot;/&gt;&lt;wsp:rsid wsp:val=&quot;00971436&quot;/&gt;&lt;wsp:rsid wsp:val=&quot;0097160C&quot;/&gt;&lt;wsp:rsid wsp:val=&quot;00971701&quot;/&gt;&lt;wsp:rsid wsp:val=&quot;0097187A&quot;/&gt;&lt;wsp:rsid wsp:val=&quot;00971ACC&quot;/&gt;&lt;wsp:rsid wsp:val=&quot;00971B03&quot;/&gt;&lt;wsp:rsid wsp:val=&quot;00971B70&quot;/&gt;&lt;wsp:rsid wsp:val=&quot;00971BB3&quot;/&gt;&lt;wsp:rsid wsp:val=&quot;00971F0A&quot;/&gt;&lt;wsp:rsid wsp:val=&quot;0097202F&quot;/&gt;&lt;wsp:rsid wsp:val=&quot;00972122&quot;/&gt;&lt;wsp:rsid wsp:val=&quot;00972236&quot;/&gt;&lt;wsp:rsid wsp:val=&quot;009727C9&quot;/&gt;&lt;wsp:rsid wsp:val=&quot;00972CFF&quot;/&gt;&lt;wsp:rsid wsp:val=&quot;00972D3E&quot;/&gt;&lt;wsp:rsid wsp:val=&quot;009737DF&quot;/&gt;&lt;wsp:rsid wsp:val=&quot;009738AD&quot;/&gt;&lt;wsp:rsid wsp:val=&quot;00973912&quot;/&gt;&lt;wsp:rsid wsp:val=&quot;00973D43&quot;/&gt;&lt;wsp:rsid wsp:val=&quot;00973DE7&quot;/&gt;&lt;wsp:rsid wsp:val=&quot;00973F83&quot;/&gt;&lt;wsp:rsid wsp:val=&quot;009742E2&quot;/&gt;&lt;wsp:rsid wsp:val=&quot;0097441B&quot;/&gt;&lt;wsp:rsid wsp:val=&quot;0097459E&quot;/&gt;&lt;wsp:rsid wsp:val=&quot;00974890&quot;/&gt;&lt;wsp:rsid wsp:val=&quot;00974C08&quot;/&gt;&lt;wsp:rsid wsp:val=&quot;009752C4&quot;/&gt;&lt;wsp:rsid wsp:val=&quot;00975D24&quot;/&gt;&lt;wsp:rsid wsp:val=&quot;00975F1F&quot;/&gt;&lt;wsp:rsid wsp:val=&quot;00975FAA&quot;/&gt;&lt;wsp:rsid wsp:val=&quot;009764B6&quot;/&gt;&lt;wsp:rsid wsp:val=&quot;00976A85&quot;/&gt;&lt;wsp:rsid wsp:val=&quot;00976F1F&quot;/&gt;&lt;wsp:rsid wsp:val=&quot;00977211&quot;/&gt;&lt;wsp:rsid wsp:val=&quot;0097726F&quot;/&gt;&lt;wsp:rsid wsp:val=&quot;009772D2&quot;/&gt;&lt;wsp:rsid wsp:val=&quot;0097767C&quot;/&gt;&lt;wsp:rsid wsp:val=&quot;00980234&quot;/&gt;&lt;wsp:rsid wsp:val=&quot;009803DA&quot;/&gt;&lt;wsp:rsid wsp:val=&quot;00980405&quot;/&gt;&lt;wsp:rsid wsp:val=&quot;00980480&quot;/&gt;&lt;wsp:rsid wsp:val=&quot;00980B2B&quot;/&gt;&lt;wsp:rsid wsp:val=&quot;00980B99&quot;/&gt;&lt;wsp:rsid wsp:val=&quot;009810F9&quot;/&gt;&lt;wsp:rsid wsp:val=&quot;0098127A&quot;/&gt;&lt;wsp:rsid wsp:val=&quot;00981708&quot;/&gt;&lt;wsp:rsid wsp:val=&quot;00981E5A&quot;/&gt;&lt;wsp:rsid wsp:val=&quot;00981F21&quot;/&gt;&lt;wsp:rsid wsp:val=&quot;00982245&quot;/&gt;&lt;wsp:rsid wsp:val=&quot;00982EC7&quot;/&gt;&lt;wsp:rsid wsp:val=&quot;00983216&quot;/&gt;&lt;wsp:rsid wsp:val=&quot;00983297&quot;/&gt;&lt;wsp:rsid wsp:val=&quot;00983398&quot;/&gt;&lt;wsp:rsid wsp:val=&quot;009838B6&quot;/&gt;&lt;wsp:rsid wsp:val=&quot;00983984&quot;/&gt;&lt;wsp:rsid wsp:val=&quot;00983B0C&quot;/&gt;&lt;wsp:rsid wsp:val=&quot;00983B0F&quot;/&gt;&lt;wsp:rsid wsp:val=&quot;00983F3D&quot;/&gt;&lt;wsp:rsid wsp:val=&quot;00984399&quot;/&gt;&lt;wsp:rsid wsp:val=&quot;009843E6&quot;/&gt;&lt;wsp:rsid wsp:val=&quot;009853D1&quot;/&gt;&lt;wsp:rsid wsp:val=&quot;0098563A&quot;/&gt;&lt;wsp:rsid wsp:val=&quot;00985995&quot;/&gt;&lt;wsp:rsid wsp:val=&quot;00985F38&quot;/&gt;&lt;wsp:rsid wsp:val=&quot;0098606E&quot;/&gt;&lt;wsp:rsid wsp:val=&quot;00986199&quot;/&gt;&lt;wsp:rsid wsp:val=&quot;009867C1&quot;/&gt;&lt;wsp:rsid wsp:val=&quot;00986848&quot;/&gt;&lt;wsp:rsid wsp:val=&quot;009875F4&quot;/&gt;&lt;wsp:rsid wsp:val=&quot;00987728&quot;/&gt;&lt;wsp:rsid wsp:val=&quot;009879A0&quot;/&gt;&lt;wsp:rsid wsp:val=&quot;00987C73&quot;/&gt;&lt;wsp:rsid wsp:val=&quot;00987C83&quot;/&gt;&lt;wsp:rsid wsp:val=&quot;00987CAA&quot;/&gt;&lt;wsp:rsid wsp:val=&quot;00987D6A&quot;/&gt;&lt;wsp:rsid wsp:val=&quot;009904A0&quot;/&gt;&lt;wsp:rsid wsp:val=&quot;00990EA6&quot;/&gt;&lt;wsp:rsid wsp:val=&quot;009910F0&quot;/&gt;&lt;wsp:rsid wsp:val=&quot;0099174D&quot;/&gt;&lt;wsp:rsid wsp:val=&quot;0099190A&quot;/&gt;&lt;wsp:rsid wsp:val=&quot;00991D1B&quot;/&gt;&lt;wsp:rsid wsp:val=&quot;0099224A&quot;/&gt;&lt;wsp:rsid wsp:val=&quot;00992436&quot;/&gt;&lt;wsp:rsid wsp:val=&quot;00992AD1&quot;/&gt;&lt;wsp:rsid wsp:val=&quot;009930C1&quot;/&gt;&lt;wsp:rsid wsp:val=&quot;009933A4&quot;/&gt;&lt;wsp:rsid wsp:val=&quot;009938C3&quot;/&gt;&lt;wsp:rsid wsp:val=&quot;00993D0A&quot;/&gt;&lt;wsp:rsid wsp:val=&quot;0099417C&quot;/&gt;&lt;wsp:rsid wsp:val=&quot;009956DA&quot;/&gt;&lt;wsp:rsid wsp:val=&quot;00995897&quot;/&gt;&lt;wsp:rsid wsp:val=&quot;00995D35&quot;/&gt;&lt;wsp:rsid wsp:val=&quot;0099622A&quot;/&gt;&lt;wsp:rsid wsp:val=&quot;0099631F&quot;/&gt;&lt;wsp:rsid wsp:val=&quot;009965A1&quot;/&gt;&lt;wsp:rsid wsp:val=&quot;00996BB7&quot;/&gt;&lt;wsp:rsid wsp:val=&quot;00996BD9&quot;/&gt;&lt;wsp:rsid wsp:val=&quot;00996ED4&quot;/&gt;&lt;wsp:rsid wsp:val=&quot;00997200&quot;/&gt;&lt;wsp:rsid wsp:val=&quot;0099749F&quot;/&gt;&lt;wsp:rsid wsp:val=&quot;00997629&quot;/&gt;&lt;wsp:rsid wsp:val=&quot;009978EA&quot;/&gt;&lt;wsp:rsid wsp:val=&quot;00997F33&quot;/&gt;&lt;wsp:rsid wsp:val=&quot;009A00F0&quot;/&gt;&lt;wsp:rsid wsp:val=&quot;009A02B9&quot;/&gt;&lt;wsp:rsid wsp:val=&quot;009A0B39&quot;/&gt;&lt;wsp:rsid wsp:val=&quot;009A0D89&quot;/&gt;&lt;wsp:rsid wsp:val=&quot;009A137B&quot;/&gt;&lt;wsp:rsid wsp:val=&quot;009A145A&quot;/&gt;&lt;wsp:rsid wsp:val=&quot;009A15EF&quot;/&gt;&lt;wsp:rsid wsp:val=&quot;009A18BD&quot;/&gt;&lt;wsp:rsid wsp:val=&quot;009A1A33&quot;/&gt;&lt;wsp:rsid wsp:val=&quot;009A1D33&quot;/&gt;&lt;wsp:rsid wsp:val=&quot;009A1EFD&quot;/&gt;&lt;wsp:rsid wsp:val=&quot;009A2336&quot;/&gt;&lt;wsp:rsid wsp:val=&quot;009A2499&quot;/&gt;&lt;wsp:rsid wsp:val=&quot;009A252C&quot;/&gt;&lt;wsp:rsid wsp:val=&quot;009A33BE&quot;/&gt;&lt;wsp:rsid wsp:val=&quot;009A377F&quot;/&gt;&lt;wsp:rsid wsp:val=&quot;009A3A6C&quot;/&gt;&lt;wsp:rsid wsp:val=&quot;009A3CAF&quot;/&gt;&lt;wsp:rsid wsp:val=&quot;009A42C4&quot;/&gt;&lt;wsp:rsid wsp:val=&quot;009A436D&quot;/&gt;&lt;wsp:rsid wsp:val=&quot;009A46DD&quot;/&gt;&lt;wsp:rsid wsp:val=&quot;009A4C26&quot;/&gt;&lt;wsp:rsid wsp:val=&quot;009A4DD7&quot;/&gt;&lt;wsp:rsid wsp:val=&quot;009A4EC0&quot;/&gt;&lt;wsp:rsid wsp:val=&quot;009A4FD8&quot;/&gt;&lt;wsp:rsid wsp:val=&quot;009A52AD&quot;/&gt;&lt;wsp:rsid wsp:val=&quot;009A5857&quot;/&gt;&lt;wsp:rsid wsp:val=&quot;009A59D4&quot;/&gt;&lt;wsp:rsid wsp:val=&quot;009A5A59&quot;/&gt;&lt;wsp:rsid wsp:val=&quot;009A5EF7&quot;/&gt;&lt;wsp:rsid wsp:val=&quot;009A5F62&quot;/&gt;&lt;wsp:rsid wsp:val=&quot;009A652B&quot;/&gt;&lt;wsp:rsid wsp:val=&quot;009A66FC&quot;/&gt;&lt;wsp:rsid wsp:val=&quot;009A6756&quot;/&gt;&lt;wsp:rsid wsp:val=&quot;009A6BFF&quot;/&gt;&lt;wsp:rsid wsp:val=&quot;009A7041&quot;/&gt;&lt;wsp:rsid wsp:val=&quot;009A7312&quot;/&gt;&lt;wsp:rsid wsp:val=&quot;009A77E7&quot;/&gt;&lt;wsp:rsid wsp:val=&quot;009A7996&quot;/&gt;&lt;wsp:rsid wsp:val=&quot;009A7C82&quot;/&gt;&lt;wsp:rsid wsp:val=&quot;009B06B2&quot;/&gt;&lt;wsp:rsid wsp:val=&quot;009B074A&quot;/&gt;&lt;wsp:rsid wsp:val=&quot;009B0D10&quot;/&gt;&lt;wsp:rsid wsp:val=&quot;009B0FFD&quot;/&gt;&lt;wsp:rsid wsp:val=&quot;009B139A&quot;/&gt;&lt;wsp:rsid wsp:val=&quot;009B160E&quot;/&gt;&lt;wsp:rsid wsp:val=&quot;009B1D77&quot;/&gt;&lt;wsp:rsid wsp:val=&quot;009B1EAF&quot;/&gt;&lt;wsp:rsid wsp:val=&quot;009B1F73&quot;/&gt;&lt;wsp:rsid wsp:val=&quot;009B1F8A&quot;/&gt;&lt;wsp:rsid wsp:val=&quot;009B2358&quot;/&gt;&lt;wsp:rsid wsp:val=&quot;009B2C09&quot;/&gt;&lt;wsp:rsid wsp:val=&quot;009B2D06&quot;/&gt;&lt;wsp:rsid wsp:val=&quot;009B2F5E&quot;/&gt;&lt;wsp:rsid wsp:val=&quot;009B30EA&quot;/&gt;&lt;wsp:rsid wsp:val=&quot;009B3E63&quot;/&gt;&lt;wsp:rsid wsp:val=&quot;009B40F6&quot;/&gt;&lt;wsp:rsid wsp:val=&quot;009B4328&quot;/&gt;&lt;wsp:rsid wsp:val=&quot;009B43F7&quot;/&gt;&lt;wsp:rsid wsp:val=&quot;009B4F11&quot;/&gt;&lt;wsp:rsid wsp:val=&quot;009B5D3B&quot;/&gt;&lt;wsp:rsid wsp:val=&quot;009B5F52&quot;/&gt;&lt;wsp:rsid wsp:val=&quot;009B6216&quot;/&gt;&lt;wsp:rsid wsp:val=&quot;009B635C&quot;/&gt;&lt;wsp:rsid wsp:val=&quot;009B65CF&quot;/&gt;&lt;wsp:rsid wsp:val=&quot;009B6859&quot;/&gt;&lt;wsp:rsid wsp:val=&quot;009B6C8B&quot;/&gt;&lt;wsp:rsid wsp:val=&quot;009B6CB2&quot;/&gt;&lt;wsp:rsid wsp:val=&quot;009B72DF&quot;/&gt;&lt;wsp:rsid wsp:val=&quot;009B748A&quot;/&gt;&lt;wsp:rsid wsp:val=&quot;009B7AB4&quot;/&gt;&lt;wsp:rsid wsp:val=&quot;009C028C&quot;/&gt;&lt;wsp:rsid wsp:val=&quot;009C05E8&quot;/&gt;&lt;wsp:rsid wsp:val=&quot;009C0612&quot;/&gt;&lt;wsp:rsid wsp:val=&quot;009C0F09&quot;/&gt;&lt;wsp:rsid wsp:val=&quot;009C1413&quot;/&gt;&lt;wsp:rsid wsp:val=&quot;009C1560&quot;/&gt;&lt;wsp:rsid wsp:val=&quot;009C1945&quot;/&gt;&lt;wsp:rsid wsp:val=&quot;009C1CA5&quot;/&gt;&lt;wsp:rsid wsp:val=&quot;009C1D3A&quot;/&gt;&lt;wsp:rsid wsp:val=&quot;009C1E4E&quot;/&gt;&lt;wsp:rsid wsp:val=&quot;009C20A2&quot;/&gt;&lt;wsp:rsid wsp:val=&quot;009C2430&quot;/&gt;&lt;wsp:rsid wsp:val=&quot;009C30AE&quot;/&gt;&lt;wsp:rsid wsp:val=&quot;009C3482&quot;/&gt;&lt;wsp:rsid wsp:val=&quot;009C372E&quot;/&gt;&lt;wsp:rsid wsp:val=&quot;009C3A12&quot;/&gt;&lt;wsp:rsid wsp:val=&quot;009C3C1D&quot;/&gt;&lt;wsp:rsid wsp:val=&quot;009C3EB5&quot;/&gt;&lt;wsp:rsid wsp:val=&quot;009C4090&quot;/&gt;&lt;wsp:rsid wsp:val=&quot;009C47A0&quot;/&gt;&lt;wsp:rsid wsp:val=&quot;009C4962&quot;/&gt;&lt;wsp:rsid wsp:val=&quot;009C4BF2&quot;/&gt;&lt;wsp:rsid wsp:val=&quot;009C4FE2&quot;/&gt;&lt;wsp:rsid wsp:val=&quot;009C503C&quot;/&gt;&lt;wsp:rsid wsp:val=&quot;009C5566&quot;/&gt;&lt;wsp:rsid wsp:val=&quot;009C5580&quot;/&gt;&lt;wsp:rsid wsp:val=&quot;009C5616&quot;/&gt;&lt;wsp:rsid wsp:val=&quot;009C56E0&quot;/&gt;&lt;wsp:rsid wsp:val=&quot;009C5B78&quot;/&gt;&lt;wsp:rsid wsp:val=&quot;009C5F15&quot;/&gt;&lt;wsp:rsid wsp:val=&quot;009C6067&quot;/&gt;&lt;wsp:rsid wsp:val=&quot;009C6072&quot;/&gt;&lt;wsp:rsid wsp:val=&quot;009C662B&quot;/&gt;&lt;wsp:rsid wsp:val=&quot;009C7213&quot;/&gt;&lt;wsp:rsid wsp:val=&quot;009C7F6A&quot;/&gt;&lt;wsp:rsid wsp:val=&quot;009D02E3&quot;/&gt;&lt;wsp:rsid wsp:val=&quot;009D0A69&quot;/&gt;&lt;wsp:rsid wsp:val=&quot;009D0AD0&quot;/&gt;&lt;wsp:rsid wsp:val=&quot;009D0DDA&quot;/&gt;&lt;wsp:rsid wsp:val=&quot;009D1217&quot;/&gt;&lt;wsp:rsid wsp:val=&quot;009D1992&quot;/&gt;&lt;wsp:rsid wsp:val=&quot;009D1BC4&quot;/&gt;&lt;wsp:rsid wsp:val=&quot;009D24A9&quot;/&gt;&lt;wsp:rsid wsp:val=&quot;009D2809&quot;/&gt;&lt;wsp:rsid wsp:val=&quot;009D295E&quot;/&gt;&lt;wsp:rsid wsp:val=&quot;009D2B2D&quot;/&gt;&lt;wsp:rsid wsp:val=&quot;009D2CBD&quot;/&gt;&lt;wsp:rsid wsp:val=&quot;009D2D5B&quot;/&gt;&lt;wsp:rsid wsp:val=&quot;009D33B4&quot;/&gt;&lt;wsp:rsid wsp:val=&quot;009D36DD&quot;/&gt;&lt;wsp:rsid wsp:val=&quot;009D3C32&quot;/&gt;&lt;wsp:rsid wsp:val=&quot;009D3E5C&quot;/&gt;&lt;wsp:rsid wsp:val=&quot;009D3FCA&quot;/&gt;&lt;wsp:rsid wsp:val=&quot;009D40D6&quot;/&gt;&lt;wsp:rsid wsp:val=&quot;009D413A&quot;/&gt;&lt;wsp:rsid wsp:val=&quot;009D424D&quot;/&gt;&lt;wsp:rsid wsp:val=&quot;009D491F&quot;/&gt;&lt;wsp:rsid wsp:val=&quot;009D4F85&quot;/&gt;&lt;wsp:rsid wsp:val=&quot;009D518F&quot;/&gt;&lt;wsp:rsid wsp:val=&quot;009D53CB&quot;/&gt;&lt;wsp:rsid wsp:val=&quot;009D53D7&quot;/&gt;&lt;wsp:rsid wsp:val=&quot;009D54FC&quot;/&gt;&lt;wsp:rsid wsp:val=&quot;009D6825&quot;/&gt;&lt;wsp:rsid wsp:val=&quot;009D6873&quot;/&gt;&lt;wsp:rsid wsp:val=&quot;009D6A28&quot;/&gt;&lt;wsp:rsid wsp:val=&quot;009D6E82&quot;/&gt;&lt;wsp:rsid wsp:val=&quot;009D729E&quot;/&gt;&lt;wsp:rsid wsp:val=&quot;009D74C6&quot;/&gt;&lt;wsp:rsid wsp:val=&quot;009D7732&quot;/&gt;&lt;wsp:rsid wsp:val=&quot;009D7854&quot;/&gt;&lt;wsp:rsid wsp:val=&quot;009E170A&quot;/&gt;&lt;wsp:rsid wsp:val=&quot;009E172F&quot;/&gt;&lt;wsp:rsid wsp:val=&quot;009E1A92&quot;/&gt;&lt;wsp:rsid wsp:val=&quot;009E1E8A&quot;/&gt;&lt;wsp:rsid wsp:val=&quot;009E1FF2&quot;/&gt;&lt;wsp:rsid wsp:val=&quot;009E2F30&quot;/&gt;&lt;wsp:rsid wsp:val=&quot;009E307B&quot;/&gt;&lt;wsp:rsid wsp:val=&quot;009E30D6&quot;/&gt;&lt;wsp:rsid wsp:val=&quot;009E3147&quot;/&gt;&lt;wsp:rsid wsp:val=&quot;009E35AA&quot;/&gt;&lt;wsp:rsid wsp:val=&quot;009E3786&quot;/&gt;&lt;wsp:rsid wsp:val=&quot;009E3E89&quot;/&gt;&lt;wsp:rsid wsp:val=&quot;009E3EC6&quot;/&gt;&lt;wsp:rsid wsp:val=&quot;009E4A8B&quot;/&gt;&lt;wsp:rsid wsp:val=&quot;009E50FF&quot;/&gt;&lt;wsp:rsid wsp:val=&quot;009E51C9&quot;/&gt;&lt;wsp:rsid wsp:val=&quot;009E6140&quot;/&gt;&lt;wsp:rsid wsp:val=&quot;009E687E&quot;/&gt;&lt;wsp:rsid wsp:val=&quot;009E6892&quot;/&gt;&lt;wsp:rsid wsp:val=&quot;009E6A23&quot;/&gt;&lt;wsp:rsid wsp:val=&quot;009E6A59&quot;/&gt;&lt;wsp:rsid wsp:val=&quot;009E7C48&quot;/&gt;&lt;wsp:rsid wsp:val=&quot;009F0003&quot;/&gt;&lt;wsp:rsid wsp:val=&quot;009F019F&quot;/&gt;&lt;wsp:rsid wsp:val=&quot;009F01A1&quot;/&gt;&lt;wsp:rsid wsp:val=&quot;009F0213&quot;/&gt;&lt;wsp:rsid wsp:val=&quot;009F0438&quot;/&gt;&lt;wsp:rsid wsp:val=&quot;009F079E&quot;/&gt;&lt;wsp:rsid wsp:val=&quot;009F0D65&quot;/&gt;&lt;wsp:rsid wsp:val=&quot;009F0F6F&quot;/&gt;&lt;wsp:rsid wsp:val=&quot;009F106C&quot;/&gt;&lt;wsp:rsid wsp:val=&quot;009F182D&quot;/&gt;&lt;wsp:rsid wsp:val=&quot;009F1864&quot;/&gt;&lt;wsp:rsid wsp:val=&quot;009F18D6&quot;/&gt;&lt;wsp:rsid wsp:val=&quot;009F1A8F&quot;/&gt;&lt;wsp:rsid wsp:val=&quot;009F1AAB&quot;/&gt;&lt;wsp:rsid wsp:val=&quot;009F22F6&quot;/&gt;&lt;wsp:rsid wsp:val=&quot;009F2412&quot;/&gt;&lt;wsp:rsid wsp:val=&quot;009F246A&quot;/&gt;&lt;wsp:rsid wsp:val=&quot;009F281A&quot;/&gt;&lt;wsp:rsid wsp:val=&quot;009F2C19&quot;/&gt;&lt;wsp:rsid wsp:val=&quot;009F2E99&quot;/&gt;&lt;wsp:rsid wsp:val=&quot;009F3B48&quot;/&gt;&lt;wsp:rsid wsp:val=&quot;009F3DB8&quot;/&gt;&lt;wsp:rsid wsp:val=&quot;009F3E1B&quot;/&gt;&lt;wsp:rsid wsp:val=&quot;009F42FF&quot;/&gt;&lt;wsp:rsid wsp:val=&quot;009F48C8&quot;/&gt;&lt;wsp:rsid wsp:val=&quot;009F49B8&quot;/&gt;&lt;wsp:rsid wsp:val=&quot;009F4FB9&quot;/&gt;&lt;wsp:rsid wsp:val=&quot;009F5225&quot;/&gt;&lt;wsp:rsid wsp:val=&quot;009F52B9&quot;/&gt;&lt;wsp:rsid wsp:val=&quot;009F6B4A&quot;/&gt;&lt;wsp:rsid wsp:val=&quot;009F6CC8&quot;/&gt;&lt;wsp:rsid wsp:val=&quot;009F7471&quot;/&gt;&lt;wsp:rsid wsp:val=&quot;009F7BB1&quot;/&gt;&lt;wsp:rsid wsp:val=&quot;009F7E4E&quot;/&gt;&lt;wsp:rsid wsp:val=&quot;009F7F8C&quot;/&gt;&lt;wsp:rsid wsp:val=&quot;00A0008B&quot;/&gt;&lt;wsp:rsid wsp:val=&quot;00A00AD8&quot;/&gt;&lt;wsp:rsid wsp:val=&quot;00A01C72&quot;/&gt;&lt;wsp:rsid wsp:val=&quot;00A02147&quot;/&gt;&lt;wsp:rsid wsp:val=&quot;00A0289A&quot;/&gt;&lt;wsp:rsid wsp:val=&quot;00A03290&quot;/&gt;&lt;wsp:rsid wsp:val=&quot;00A03466&quot;/&gt;&lt;wsp:rsid wsp:val=&quot;00A036E9&quot;/&gt;&lt;wsp:rsid wsp:val=&quot;00A03EEB&quot;/&gt;&lt;wsp:rsid wsp:val=&quot;00A03F3C&quot;/&gt;&lt;wsp:rsid wsp:val=&quot;00A03F3F&quot;/&gt;&lt;wsp:rsid wsp:val=&quot;00A041F4&quot;/&gt;&lt;wsp:rsid wsp:val=&quot;00A04229&quot;/&gt;&lt;wsp:rsid wsp:val=&quot;00A0488B&quot;/&gt;&lt;wsp:rsid wsp:val=&quot;00A05168&quot;/&gt;&lt;wsp:rsid wsp:val=&quot;00A056A0&quot;/&gt;&lt;wsp:rsid wsp:val=&quot;00A05869&quot;/&gt;&lt;wsp:rsid wsp:val=&quot;00A05EEA&quot;/&gt;&lt;wsp:rsid wsp:val=&quot;00A064D4&quot;/&gt;&lt;wsp:rsid wsp:val=&quot;00A065B7&quot;/&gt;&lt;wsp:rsid wsp:val=&quot;00A06ABE&quot;/&gt;&lt;wsp:rsid wsp:val=&quot;00A07395&quot;/&gt;&lt;wsp:rsid wsp:val=&quot;00A074F8&quot;/&gt;&lt;wsp:rsid wsp:val=&quot;00A07688&quot;/&gt;&lt;wsp:rsid wsp:val=&quot;00A076AD&quot;/&gt;&lt;wsp:rsid wsp:val=&quot;00A076B3&quot;/&gt;&lt;wsp:rsid wsp:val=&quot;00A07D82&quot;/&gt;&lt;wsp:rsid wsp:val=&quot;00A10226&quot;/&gt;&lt;wsp:rsid wsp:val=&quot;00A10454&quot;/&gt;&lt;wsp:rsid wsp:val=&quot;00A107F9&quot;/&gt;&lt;wsp:rsid wsp:val=&quot;00A10A2D&quot;/&gt;&lt;wsp:rsid wsp:val=&quot;00A10B34&quot;/&gt;&lt;wsp:rsid wsp:val=&quot;00A10B37&quot;/&gt;&lt;wsp:rsid wsp:val=&quot;00A11456&quot;/&gt;&lt;wsp:rsid wsp:val=&quot;00A1165E&quot;/&gt;&lt;wsp:rsid wsp:val=&quot;00A1187D&quot;/&gt;&lt;wsp:rsid wsp:val=&quot;00A11B01&quot;/&gt;&lt;wsp:rsid wsp:val=&quot;00A133DF&quot;/&gt;&lt;wsp:rsid wsp:val=&quot;00A13882&quot;/&gt;&lt;wsp:rsid wsp:val=&quot;00A138EA&quot;/&gt;&lt;wsp:rsid wsp:val=&quot;00A13DDA&quot;/&gt;&lt;wsp:rsid wsp:val=&quot;00A13E7E&quot;/&gt;&lt;wsp:rsid wsp:val=&quot;00A14014&quot;/&gt;&lt;wsp:rsid wsp:val=&quot;00A146FC&quot;/&gt;&lt;wsp:rsid wsp:val=&quot;00A150B6&quot;/&gt;&lt;wsp:rsid wsp:val=&quot;00A151CA&quot;/&gt;&lt;wsp:rsid wsp:val=&quot;00A154D9&quot;/&gt;&lt;wsp:rsid wsp:val=&quot;00A160DE&quot;/&gt;&lt;wsp:rsid wsp:val=&quot;00A1629A&quot;/&gt;&lt;wsp:rsid wsp:val=&quot;00A173F6&quot;/&gt;&lt;wsp:rsid wsp:val=&quot;00A179C6&quot;/&gt;&lt;wsp:rsid wsp:val=&quot;00A17CB2&quot;/&gt;&lt;wsp:rsid wsp:val=&quot;00A17D15&quot;/&gt;&lt;wsp:rsid wsp:val=&quot;00A20293&quot;/&gt;&lt;wsp:rsid wsp:val=&quot;00A2075E&quot;/&gt;&lt;wsp:rsid wsp:val=&quot;00A2091A&quot;/&gt;&lt;wsp:rsid wsp:val=&quot;00A20991&quot;/&gt;&lt;wsp:rsid wsp:val=&quot;00A209D7&quot;/&gt;&lt;wsp:rsid wsp:val=&quot;00A20E4F&quot;/&gt;&lt;wsp:rsid wsp:val=&quot;00A210E3&quot;/&gt;&lt;wsp:rsid wsp:val=&quot;00A216F3&quot;/&gt;&lt;wsp:rsid wsp:val=&quot;00A21723&quot;/&gt;&lt;wsp:rsid wsp:val=&quot;00A219E5&quot;/&gt;&lt;wsp:rsid wsp:val=&quot;00A21B04&quot;/&gt;&lt;wsp:rsid wsp:val=&quot;00A22504&quot;/&gt;&lt;wsp:rsid wsp:val=&quot;00A225CD&quot;/&gt;&lt;wsp:rsid wsp:val=&quot;00A2270C&quot;/&gt;&lt;wsp:rsid wsp:val=&quot;00A2287D&quot;/&gt;&lt;wsp:rsid wsp:val=&quot;00A22AFE&quot;/&gt;&lt;wsp:rsid wsp:val=&quot;00A22B02&quot;/&gt;&lt;wsp:rsid wsp:val=&quot;00A22B7B&quot;/&gt;&lt;wsp:rsid wsp:val=&quot;00A23041&quot;/&gt;&lt;wsp:rsid wsp:val=&quot;00A2338A&quot;/&gt;&lt;wsp:rsid wsp:val=&quot;00A23BE9&quot;/&gt;&lt;wsp:rsid wsp:val=&quot;00A23D37&quot;/&gt;&lt;wsp:rsid wsp:val=&quot;00A23D66&quot;/&gt;&lt;wsp:rsid wsp:val=&quot;00A23F6B&quot;/&gt;&lt;wsp:rsid wsp:val=&quot;00A24161&quot;/&gt;&lt;wsp:rsid wsp:val=&quot;00A2476A&quot;/&gt;&lt;wsp:rsid wsp:val=&quot;00A24F6D&quot;/&gt;&lt;wsp:rsid wsp:val=&quot;00A25071&quot;/&gt;&lt;wsp:rsid wsp:val=&quot;00A25616&quot;/&gt;&lt;wsp:rsid wsp:val=&quot;00A25902&quot;/&gt;&lt;wsp:rsid wsp:val=&quot;00A25E7F&quot;/&gt;&lt;wsp:rsid wsp:val=&quot;00A25F3D&quot;/&gt;&lt;wsp:rsid wsp:val=&quot;00A26678&quot;/&gt;&lt;wsp:rsid wsp:val=&quot;00A26680&quot;/&gt;&lt;wsp:rsid wsp:val=&quot;00A26B90&quot;/&gt;&lt;wsp:rsid wsp:val=&quot;00A27055&quot;/&gt;&lt;wsp:rsid wsp:val=&quot;00A272C6&quot;/&gt;&lt;wsp:rsid wsp:val=&quot;00A27408&quot;/&gt;&lt;wsp:rsid wsp:val=&quot;00A275B6&quot;/&gt;&lt;wsp:rsid wsp:val=&quot;00A27A2C&quot;/&gt;&lt;wsp:rsid wsp:val=&quot;00A27CEB&quot;/&gt;&lt;wsp:rsid wsp:val=&quot;00A3026B&quot;/&gt;&lt;wsp:rsid wsp:val=&quot;00A302EE&quot;/&gt;&lt;wsp:rsid wsp:val=&quot;00A30427&quot;/&gt;&lt;wsp:rsid wsp:val=&quot;00A30EF9&quot;/&gt;&lt;wsp:rsid wsp:val=&quot;00A31B9C&quot;/&gt;&lt;wsp:rsid wsp:val=&quot;00A31D12&quot;/&gt;&lt;wsp:rsid wsp:val=&quot;00A327E8&quot;/&gt;&lt;wsp:rsid wsp:val=&quot;00A330E3&quot;/&gt;&lt;wsp:rsid wsp:val=&quot;00A33122&quot;/&gt;&lt;wsp:rsid wsp:val=&quot;00A33251&quot;/&gt;&lt;wsp:rsid wsp:val=&quot;00A3344B&quot;/&gt;&lt;wsp:rsid wsp:val=&quot;00A33C54&quot;/&gt;&lt;wsp:rsid wsp:val=&quot;00A33F30&quot;/&gt;&lt;wsp:rsid wsp:val=&quot;00A340B0&quot;/&gt;&lt;wsp:rsid wsp:val=&quot;00A342F0&quot;/&gt;&lt;wsp:rsid wsp:val=&quot;00A344CE&quot;/&gt;&lt;wsp:rsid wsp:val=&quot;00A34A3D&quot;/&gt;&lt;wsp:rsid wsp:val=&quot;00A34D63&quot;/&gt;&lt;wsp:rsid wsp:val=&quot;00A34F32&quot;/&gt;&lt;wsp:rsid wsp:val=&quot;00A35098&quot;/&gt;&lt;wsp:rsid wsp:val=&quot;00A356CC&quot;/&gt;&lt;wsp:rsid wsp:val=&quot;00A3598B&quot;/&gt;&lt;wsp:rsid wsp:val=&quot;00A35994&quot;/&gt;&lt;wsp:rsid wsp:val=&quot;00A35AB6&quot;/&gt;&lt;wsp:rsid wsp:val=&quot;00A35C65&quot;/&gt;&lt;wsp:rsid wsp:val=&quot;00A36329&quot;/&gt;&lt;wsp:rsid wsp:val=&quot;00A36618&quot;/&gt;&lt;wsp:rsid wsp:val=&quot;00A37446&quot;/&gt;&lt;wsp:rsid wsp:val=&quot;00A3753C&quot;/&gt;&lt;wsp:rsid wsp:val=&quot;00A37A60&quot;/&gt;&lt;wsp:rsid wsp:val=&quot;00A37E7E&quot;/&gt;&lt;wsp:rsid wsp:val=&quot;00A37FCA&quot;/&gt;&lt;wsp:rsid wsp:val=&quot;00A402E2&quot;/&gt;&lt;wsp:rsid wsp:val=&quot;00A407B7&quot;/&gt;&lt;wsp:rsid wsp:val=&quot;00A40A2D&quot;/&gt;&lt;wsp:rsid wsp:val=&quot;00A40A35&quot;/&gt;&lt;wsp:rsid wsp:val=&quot;00A40AA3&quot;/&gt;&lt;wsp:rsid wsp:val=&quot;00A414F9&quot;/&gt;&lt;wsp:rsid wsp:val=&quot;00A41FB3&quot;/&gt;&lt;wsp:rsid wsp:val=&quot;00A4201B&quot;/&gt;&lt;wsp:rsid wsp:val=&quot;00A42337&quot;/&gt;&lt;wsp:rsid wsp:val=&quot;00A426B0&quot;/&gt;&lt;wsp:rsid wsp:val=&quot;00A428B5&quot;/&gt;&lt;wsp:rsid wsp:val=&quot;00A42B72&quot;/&gt;&lt;wsp:rsid wsp:val=&quot;00A42C83&quot;/&gt;&lt;wsp:rsid wsp:val=&quot;00A42F14&quot;/&gt;&lt;wsp:rsid wsp:val=&quot;00A43130&quot;/&gt;&lt;wsp:rsid wsp:val=&quot;00A432A5&quot;/&gt;&lt;wsp:rsid wsp:val=&quot;00A433EE&quot;/&gt;&lt;wsp:rsid wsp:val=&quot;00A43CCA&quot;/&gt;&lt;wsp:rsid wsp:val=&quot;00A43D52&quot;/&gt;&lt;wsp:rsid wsp:val=&quot;00A43D8D&quot;/&gt;&lt;wsp:rsid wsp:val=&quot;00A43DB9&quot;/&gt;&lt;wsp:rsid wsp:val=&quot;00A44007&quot;/&gt;&lt;wsp:rsid wsp:val=&quot;00A441C9&quot;/&gt;&lt;wsp:rsid wsp:val=&quot;00A44306&quot;/&gt;&lt;wsp:rsid wsp:val=&quot;00A4441A&quot;/&gt;&lt;wsp:rsid wsp:val=&quot;00A4450A&quot;/&gt;&lt;wsp:rsid wsp:val=&quot;00A44697&quot;/&gt;&lt;wsp:rsid wsp:val=&quot;00A448E1&quot;/&gt;&lt;wsp:rsid wsp:val=&quot;00A44B02&quot;/&gt;&lt;wsp:rsid wsp:val=&quot;00A44EE3&quot;/&gt;&lt;wsp:rsid wsp:val=&quot;00A45088&quot;/&gt;&lt;wsp:rsid wsp:val=&quot;00A45709&quot;/&gt;&lt;wsp:rsid wsp:val=&quot;00A45BAD&quot;/&gt;&lt;wsp:rsid wsp:val=&quot;00A45D3A&quot;/&gt;&lt;wsp:rsid wsp:val=&quot;00A465E6&quot;/&gt;&lt;wsp:rsid wsp:val=&quot;00A46C10&quot;/&gt;&lt;wsp:rsid wsp:val=&quot;00A46FEC&quot;/&gt;&lt;wsp:rsid wsp:val=&quot;00A4739F&quot;/&gt;&lt;wsp:rsid wsp:val=&quot;00A47C85&quot;/&gt;&lt;wsp:rsid wsp:val=&quot;00A47FA4&quot;/&gt;&lt;wsp:rsid wsp:val=&quot;00A47FF5&quot;/&gt;&lt;wsp:rsid wsp:val=&quot;00A50397&quot;/&gt;&lt;wsp:rsid wsp:val=&quot;00A50FCF&quot;/&gt;&lt;wsp:rsid wsp:val=&quot;00A51651&quot;/&gt;&lt;wsp:rsid wsp:val=&quot;00A51A7D&quot;/&gt;&lt;wsp:rsid wsp:val=&quot;00A51B3B&quot;/&gt;&lt;wsp:rsid wsp:val=&quot;00A521DF&quot;/&gt;&lt;wsp:rsid wsp:val=&quot;00A522BD&quot;/&gt;&lt;wsp:rsid wsp:val=&quot;00A522F5&quot;/&gt;&lt;wsp:rsid wsp:val=&quot;00A53069&quot;/&gt;&lt;wsp:rsid wsp:val=&quot;00A53CEE&quot;/&gt;&lt;wsp:rsid wsp:val=&quot;00A53DDB&quot;/&gt;&lt;wsp:rsid wsp:val=&quot;00A54165&quot;/&gt;&lt;wsp:rsid wsp:val=&quot;00A54192&quot;/&gt;&lt;wsp:rsid wsp:val=&quot;00A544CF&quot;/&gt;&lt;wsp:rsid wsp:val=&quot;00A550CC&quot;/&gt;&lt;wsp:rsid wsp:val=&quot;00A55592&quot;/&gt;&lt;wsp:rsid wsp:val=&quot;00A56971&quot;/&gt;&lt;wsp:rsid wsp:val=&quot;00A56DA3&quot;/&gt;&lt;wsp:rsid wsp:val=&quot;00A5712D&quot;/&gt;&lt;wsp:rsid wsp:val=&quot;00A571A1&quot;/&gt;&lt;wsp:rsid wsp:val=&quot;00A57603&quot;/&gt;&lt;wsp:rsid wsp:val=&quot;00A57747&quot;/&gt;&lt;wsp:rsid wsp:val=&quot;00A577C8&quot;/&gt;&lt;wsp:rsid wsp:val=&quot;00A57998&quot;/&gt;&lt;wsp:rsid wsp:val=&quot;00A5799C&quot;/&gt;&lt;wsp:rsid wsp:val=&quot;00A57CDD&quot;/&gt;&lt;wsp:rsid wsp:val=&quot;00A57D38&quot;/&gt;&lt;wsp:rsid wsp:val=&quot;00A57ECD&quot;/&gt;&lt;wsp:rsid wsp:val=&quot;00A60232&quot;/&gt;&lt;wsp:rsid wsp:val=&quot;00A603C1&quot;/&gt;&lt;wsp:rsid wsp:val=&quot;00A606E1&quot;/&gt;&lt;wsp:rsid wsp:val=&quot;00A60F4E&quot;/&gt;&lt;wsp:rsid wsp:val=&quot;00A60FF7&quot;/&gt;&lt;wsp:rsid wsp:val=&quot;00A611A0&quot;/&gt;&lt;wsp:rsid wsp:val=&quot;00A6132B&quot;/&gt;&lt;wsp:rsid wsp:val=&quot;00A61343&quot;/&gt;&lt;wsp:rsid wsp:val=&quot;00A61726&quot;/&gt;&lt;wsp:rsid wsp:val=&quot;00A61944&quot;/&gt;&lt;wsp:rsid wsp:val=&quot;00A61FB8&quot;/&gt;&lt;wsp:rsid wsp:val=&quot;00A621F9&quot;/&gt;&lt;wsp:rsid wsp:val=&quot;00A627DC&quot;/&gt;&lt;wsp:rsid wsp:val=&quot;00A6298D&quot;/&gt;&lt;wsp:rsid wsp:val=&quot;00A62AC4&quot;/&gt;&lt;wsp:rsid wsp:val=&quot;00A63373&quot;/&gt;&lt;wsp:rsid wsp:val=&quot;00A63B90&quot;/&gt;&lt;wsp:rsid wsp:val=&quot;00A64482&quot;/&gt;&lt;wsp:rsid wsp:val=&quot;00A64B34&quot;/&gt;&lt;wsp:rsid wsp:val=&quot;00A64BA3&quot;/&gt;&lt;wsp:rsid wsp:val=&quot;00A64D0E&quot;/&gt;&lt;wsp:rsid wsp:val=&quot;00A64F41&quot;/&gt;&lt;wsp:rsid wsp:val=&quot;00A64F9B&quot;/&gt;&lt;wsp:rsid wsp:val=&quot;00A655EA&quot;/&gt;&lt;wsp:rsid wsp:val=&quot;00A6585E&quot;/&gt;&lt;wsp:rsid wsp:val=&quot;00A65964&quot;/&gt;&lt;wsp:rsid wsp:val=&quot;00A66562&quot;/&gt;&lt;wsp:rsid wsp:val=&quot;00A66655&quot;/&gt;&lt;wsp:rsid wsp:val=&quot;00A6674A&quot;/&gt;&lt;wsp:rsid wsp:val=&quot;00A6687A&quot;/&gt;&lt;wsp:rsid wsp:val=&quot;00A66B11&quot;/&gt;&lt;wsp:rsid wsp:val=&quot;00A66BC6&quot;/&gt;&lt;wsp:rsid wsp:val=&quot;00A66C95&quot;/&gt;&lt;wsp:rsid wsp:val=&quot;00A66E1B&quot;/&gt;&lt;wsp:rsid wsp:val=&quot;00A66E25&quot;/&gt;&lt;wsp:rsid wsp:val=&quot;00A6737F&quot;/&gt;&lt;wsp:rsid wsp:val=&quot;00A673D9&quot;/&gt;&lt;wsp:rsid wsp:val=&quot;00A678C1&quot;/&gt;&lt;wsp:rsid wsp:val=&quot;00A67964&quot;/&gt;&lt;wsp:rsid wsp:val=&quot;00A67990&quot;/&gt;&lt;wsp:rsid wsp:val=&quot;00A67ED4&quot;/&gt;&lt;wsp:rsid wsp:val=&quot;00A700D0&quot;/&gt;&lt;wsp:rsid wsp:val=&quot;00A70715&quot;/&gt;&lt;wsp:rsid wsp:val=&quot;00A70C94&quot;/&gt;&lt;wsp:rsid wsp:val=&quot;00A716B1&quot;/&gt;&lt;wsp:rsid wsp:val=&quot;00A7199F&quot;/&gt;&lt;wsp:rsid wsp:val=&quot;00A71EE9&quot;/&gt;&lt;wsp:rsid wsp:val=&quot;00A71F6E&quot;/&gt;&lt;wsp:rsid wsp:val=&quot;00A7263A&quot;/&gt;&lt;wsp:rsid wsp:val=&quot;00A72700&quot;/&gt;&lt;wsp:rsid wsp:val=&quot;00A7334E&quot;/&gt;&lt;wsp:rsid wsp:val=&quot;00A736D7&quot;/&gt;&lt;wsp:rsid wsp:val=&quot;00A73DE9&quot;/&gt;&lt;wsp:rsid wsp:val=&quot;00A74A13&quot;/&gt;&lt;wsp:rsid wsp:val=&quot;00A74CA6&quot;/&gt;&lt;wsp:rsid wsp:val=&quot;00A756C3&quot;/&gt;&lt;wsp:rsid wsp:val=&quot;00A75F8A&quot;/&gt;&lt;wsp:rsid wsp:val=&quot;00A760E7&quot;/&gt;&lt;wsp:rsid wsp:val=&quot;00A763D5&quot;/&gt;&lt;wsp:rsid wsp:val=&quot;00A765AF&quot;/&gt;&lt;wsp:rsid wsp:val=&quot;00A765E5&quot;/&gt;&lt;wsp:rsid wsp:val=&quot;00A766D9&quot;/&gt;&lt;wsp:rsid wsp:val=&quot;00A76B25&quot;/&gt;&lt;wsp:rsid wsp:val=&quot;00A76DE9&quot;/&gt;&lt;wsp:rsid wsp:val=&quot;00A771FF&quot;/&gt;&lt;wsp:rsid wsp:val=&quot;00A77409&quot;/&gt;&lt;wsp:rsid wsp:val=&quot;00A77745&quot;/&gt;&lt;wsp:rsid wsp:val=&quot;00A778B0&quot;/&gt;&lt;wsp:rsid wsp:val=&quot;00A77991&quot;/&gt;&lt;wsp:rsid wsp:val=&quot;00A8097A&quot;/&gt;&lt;wsp:rsid wsp:val=&quot;00A809DB&quot;/&gt;&lt;wsp:rsid wsp:val=&quot;00A80C99&quot;/&gt;&lt;wsp:rsid wsp:val=&quot;00A81177&quot;/&gt;&lt;wsp:rsid wsp:val=&quot;00A817B9&quot;/&gt;&lt;wsp:rsid wsp:val=&quot;00A81C38&quot;/&gt;&lt;wsp:rsid wsp:val=&quot;00A820B6&quot;/&gt;&lt;wsp:rsid wsp:val=&quot;00A82236&quot;/&gt;&lt;wsp:rsid wsp:val=&quot;00A822E7&quot;/&gt;&lt;wsp:rsid wsp:val=&quot;00A82449&quot;/&gt;&lt;wsp:rsid wsp:val=&quot;00A824A1&quot;/&gt;&lt;wsp:rsid wsp:val=&quot;00A828B2&quot;/&gt;&lt;wsp:rsid wsp:val=&quot;00A83023&quot;/&gt;&lt;wsp:rsid wsp:val=&quot;00A83792&quot;/&gt;&lt;wsp:rsid wsp:val=&quot;00A83951&quot;/&gt;&lt;wsp:rsid wsp:val=&quot;00A839D0&quot;/&gt;&lt;wsp:rsid wsp:val=&quot;00A83F26&quot;/&gt;&lt;wsp:rsid wsp:val=&quot;00A84198&quot;/&gt;&lt;wsp:rsid wsp:val=&quot;00A84200&quot;/&gt;&lt;wsp:rsid wsp:val=&quot;00A84673&quot;/&gt;&lt;wsp:rsid wsp:val=&quot;00A84854&quot;/&gt;&lt;wsp:rsid wsp:val=&quot;00A84DCB&quot;/&gt;&lt;wsp:rsid wsp:val=&quot;00A8510F&quot;/&gt;&lt;wsp:rsid wsp:val=&quot;00A852B5&quot;/&gt;&lt;wsp:rsid wsp:val=&quot;00A853E3&quot;/&gt;&lt;wsp:rsid wsp:val=&quot;00A854D8&quot;/&gt;&lt;wsp:rsid wsp:val=&quot;00A85AB5&quot;/&gt;&lt;wsp:rsid wsp:val=&quot;00A85C00&quot;/&gt;&lt;wsp:rsid wsp:val=&quot;00A85D6D&quot;/&gt;&lt;wsp:rsid wsp:val=&quot;00A85EB3&quot;/&gt;&lt;wsp:rsid wsp:val=&quot;00A85F84&quot;/&gt;&lt;wsp:rsid wsp:val=&quot;00A86657&quot;/&gt;&lt;wsp:rsid wsp:val=&quot;00A866B6&quot;/&gt;&lt;wsp:rsid wsp:val=&quot;00A8672E&quot;/&gt;&lt;wsp:rsid wsp:val=&quot;00A86B0C&quot;/&gt;&lt;wsp:rsid wsp:val=&quot;00A86E87&quot;/&gt;&lt;wsp:rsid wsp:val=&quot;00A86EE4&quot;/&gt;&lt;wsp:rsid wsp:val=&quot;00A86FA8&quot;/&gt;&lt;wsp:rsid wsp:val=&quot;00A87763&quot;/&gt;&lt;wsp:rsid wsp:val=&quot;00A878E9&quot;/&gt;&lt;wsp:rsid wsp:val=&quot;00A87A26&quot;/&gt;&lt;wsp:rsid wsp:val=&quot;00A9060A&quot;/&gt;&lt;wsp:rsid wsp:val=&quot;00A90A2C&quot;/&gt;&lt;wsp:rsid wsp:val=&quot;00A90AD8&quot;/&gt;&lt;wsp:rsid wsp:val=&quot;00A90B33&quot;/&gt;&lt;wsp:rsid wsp:val=&quot;00A90D06&quot;/&gt;&lt;wsp:rsid wsp:val=&quot;00A90DB1&quot;/&gt;&lt;wsp:rsid wsp:val=&quot;00A90E98&quot;/&gt;&lt;wsp:rsid wsp:val=&quot;00A91228&quot;/&gt;&lt;wsp:rsid wsp:val=&quot;00A912DE&quot;/&gt;&lt;wsp:rsid wsp:val=&quot;00A914E8&quot;/&gt;&lt;wsp:rsid wsp:val=&quot;00A91549&quot;/&gt;&lt;wsp:rsid wsp:val=&quot;00A9187B&quot;/&gt;&lt;wsp:rsid wsp:val=&quot;00A91AE0&quot;/&gt;&lt;wsp:rsid wsp:val=&quot;00A91DDD&quot;/&gt;&lt;wsp:rsid wsp:val=&quot;00A91E3D&quot;/&gt;&lt;wsp:rsid wsp:val=&quot;00A91E8B&quot;/&gt;&lt;wsp:rsid wsp:val=&quot;00A91FF8&quot;/&gt;&lt;wsp:rsid wsp:val=&quot;00A92C00&quot;/&gt;&lt;wsp:rsid wsp:val=&quot;00A9307D&quot;/&gt;&lt;wsp:rsid wsp:val=&quot;00A93595&quot;/&gt;&lt;wsp:rsid wsp:val=&quot;00A9378A&quot;/&gt;&lt;wsp:rsid wsp:val=&quot;00A93DC6&quot;/&gt;&lt;wsp:rsid wsp:val=&quot;00A93F77&quot;/&gt;&lt;wsp:rsid wsp:val=&quot;00A94191&quot;/&gt;&lt;wsp:rsid wsp:val=&quot;00A9429F&quot;/&gt;&lt;wsp:rsid wsp:val=&quot;00A944E2&quot;/&gt;&lt;wsp:rsid wsp:val=&quot;00A94689&quot;/&gt;&lt;wsp:rsid wsp:val=&quot;00A94BE2&quot;/&gt;&lt;wsp:rsid wsp:val=&quot;00A94E34&quot;/&gt;&lt;wsp:rsid wsp:val=&quot;00A94E6A&quot;/&gt;&lt;wsp:rsid wsp:val=&quot;00A95085&quot;/&gt;&lt;wsp:rsid wsp:val=&quot;00A95089&quot;/&gt;&lt;wsp:rsid wsp:val=&quot;00A9530F&quot;/&gt;&lt;wsp:rsid wsp:val=&quot;00A958C7&quot;/&gt;&lt;wsp:rsid wsp:val=&quot;00A95DD7&quot;/&gt;&lt;wsp:rsid wsp:val=&quot;00A96703&quot;/&gt;&lt;wsp:rsid wsp:val=&quot;00A96CF7&quot;/&gt;&lt;wsp:rsid wsp:val=&quot;00A96DE5&quot;/&gt;&lt;wsp:rsid wsp:val=&quot;00A96F99&quot;/&gt;&lt;wsp:rsid wsp:val=&quot;00A97788&quot;/&gt;&lt;wsp:rsid wsp:val=&quot;00A97E99&quot;/&gt;&lt;wsp:rsid wsp:val=&quot;00AA00B0&quot;/&gt;&lt;wsp:rsid wsp:val=&quot;00AA024A&quot;/&gt;&lt;wsp:rsid wsp:val=&quot;00AA0845&quot;/&gt;&lt;wsp:rsid wsp:val=&quot;00AA09D8&quot;/&gt;&lt;wsp:rsid wsp:val=&quot;00AA1033&quot;/&gt;&lt;wsp:rsid wsp:val=&quot;00AA16C0&quot;/&gt;&lt;wsp:rsid wsp:val=&quot;00AA2337&quot;/&gt;&lt;wsp:rsid wsp:val=&quot;00AA2681&quot;/&gt;&lt;wsp:rsid wsp:val=&quot;00AA2A6C&quot;/&gt;&lt;wsp:rsid wsp:val=&quot;00AA30DE&quot;/&gt;&lt;wsp:rsid wsp:val=&quot;00AA3647&quot;/&gt;&lt;wsp:rsid wsp:val=&quot;00AA3FD3&quot;/&gt;&lt;wsp:rsid wsp:val=&quot;00AA43F4&quot;/&gt;&lt;wsp:rsid wsp:val=&quot;00AA46ED&quot;/&gt;&lt;wsp:rsid wsp:val=&quot;00AA48C4&quot;/&gt;&lt;wsp:rsid wsp:val=&quot;00AA4C5F&quot;/&gt;&lt;wsp:rsid wsp:val=&quot;00AA50CB&quot;/&gt;&lt;wsp:rsid wsp:val=&quot;00AA5183&quot;/&gt;&lt;wsp:rsid wsp:val=&quot;00AA58E4&quot;/&gt;&lt;wsp:rsid wsp:val=&quot;00AA5D15&quot;/&gt;&lt;wsp:rsid wsp:val=&quot;00AA5D2F&quot;/&gt;&lt;wsp:rsid wsp:val=&quot;00AA5EDE&quot;/&gt;&lt;wsp:rsid wsp:val=&quot;00AA7183&quot;/&gt;&lt;wsp:rsid wsp:val=&quot;00AA71BE&quot;/&gt;&lt;wsp:rsid wsp:val=&quot;00AA7419&quot;/&gt;&lt;wsp:rsid wsp:val=&quot;00AA74DC&quot;/&gt;&lt;wsp:rsid wsp:val=&quot;00AA78C2&quot;/&gt;&lt;wsp:rsid wsp:val=&quot;00AB0099&quot;/&gt;&lt;wsp:rsid wsp:val=&quot;00AB01C3&quot;/&gt;&lt;wsp:rsid wsp:val=&quot;00AB02EE&quot;/&gt;&lt;wsp:rsid wsp:val=&quot;00AB0A9F&quot;/&gt;&lt;wsp:rsid wsp:val=&quot;00AB1160&quot;/&gt;&lt;wsp:rsid wsp:val=&quot;00AB1230&quot;/&gt;&lt;wsp:rsid wsp:val=&quot;00AB1887&quot;/&gt;&lt;wsp:rsid wsp:val=&quot;00AB1A6C&quot;/&gt;&lt;wsp:rsid wsp:val=&quot;00AB1CCD&quot;/&gt;&lt;wsp:rsid wsp:val=&quot;00AB1D1A&quot;/&gt;&lt;wsp:rsid wsp:val=&quot;00AB21EC&quot;/&gt;&lt;wsp:rsid wsp:val=&quot;00AB262A&quot;/&gt;&lt;wsp:rsid wsp:val=&quot;00AB26FB&quot;/&gt;&lt;wsp:rsid wsp:val=&quot;00AB2AE1&quot;/&gt;&lt;wsp:rsid wsp:val=&quot;00AB2B18&quot;/&gt;&lt;wsp:rsid wsp:val=&quot;00AB2E4F&quot;/&gt;&lt;wsp:rsid wsp:val=&quot;00AB338D&quot;/&gt;&lt;wsp:rsid wsp:val=&quot;00AB34B1&quot;/&gt;&lt;wsp:rsid wsp:val=&quot;00AB36E6&quot;/&gt;&lt;wsp:rsid wsp:val=&quot;00AB3C29&quot;/&gt;&lt;wsp:rsid wsp:val=&quot;00AB40C2&quot;/&gt;&lt;wsp:rsid wsp:val=&quot;00AB479B&quot;/&gt;&lt;wsp:rsid wsp:val=&quot;00AB4984&quot;/&gt;&lt;wsp:rsid wsp:val=&quot;00AB516F&quot;/&gt;&lt;wsp:rsid wsp:val=&quot;00AB5232&quot;/&gt;&lt;wsp:rsid wsp:val=&quot;00AB562B&quot;/&gt;&lt;wsp:rsid wsp:val=&quot;00AB57D3&quot;/&gt;&lt;wsp:rsid wsp:val=&quot;00AB59B1&quot;/&gt;&lt;wsp:rsid wsp:val=&quot;00AB59D5&quot;/&gt;&lt;wsp:rsid wsp:val=&quot;00AB5B58&quot;/&gt;&lt;wsp:rsid wsp:val=&quot;00AB5E0E&quot;/&gt;&lt;wsp:rsid wsp:val=&quot;00AB6303&quot;/&gt;&lt;wsp:rsid wsp:val=&quot;00AB6397&quot;/&gt;&lt;wsp:rsid wsp:val=&quot;00AB654D&quot;/&gt;&lt;wsp:rsid wsp:val=&quot;00AB6A8F&quot;/&gt;&lt;wsp:rsid wsp:val=&quot;00AB7383&quot;/&gt;&lt;wsp:rsid wsp:val=&quot;00AB74E4&quot;/&gt;&lt;wsp:rsid wsp:val=&quot;00AB7B86&quot;/&gt;&lt;wsp:rsid wsp:val=&quot;00AC09CD&quot;/&gt;&lt;wsp:rsid wsp:val=&quot;00AC0EBB&quot;/&gt;&lt;wsp:rsid wsp:val=&quot;00AC1793&quot;/&gt;&lt;wsp:rsid wsp:val=&quot;00AC216B&quot;/&gt;&lt;wsp:rsid wsp:val=&quot;00AC2616&quot;/&gt;&lt;wsp:rsid wsp:val=&quot;00AC2ADD&quot;/&gt;&lt;wsp:rsid wsp:val=&quot;00AC2FFF&quot;/&gt;&lt;wsp:rsid wsp:val=&quot;00AC30C4&quot;/&gt;&lt;wsp:rsid wsp:val=&quot;00AC3439&quot;/&gt;&lt;wsp:rsid wsp:val=&quot;00AC3532&quot;/&gt;&lt;wsp:rsid wsp:val=&quot;00AC3555&quot;/&gt;&lt;wsp:rsid wsp:val=&quot;00AC36EE&quot;/&gt;&lt;wsp:rsid wsp:val=&quot;00AC3E5E&quot;/&gt;&lt;wsp:rsid wsp:val=&quot;00AC4C55&quot;/&gt;&lt;wsp:rsid wsp:val=&quot;00AC52D5&quot;/&gt;&lt;wsp:rsid wsp:val=&quot;00AC53A6&quot;/&gt;&lt;wsp:rsid wsp:val=&quot;00AC5EC3&quot;/&gt;&lt;wsp:rsid wsp:val=&quot;00AC6393&quot;/&gt;&lt;wsp:rsid wsp:val=&quot;00AC6826&quot;/&gt;&lt;wsp:rsid wsp:val=&quot;00AC7003&quot;/&gt;&lt;wsp:rsid wsp:val=&quot;00AC7338&quot;/&gt;&lt;wsp:rsid wsp:val=&quot;00AC760B&quot;/&gt;&lt;wsp:rsid wsp:val=&quot;00AC777A&quot;/&gt;&lt;wsp:rsid wsp:val=&quot;00AC7A6E&quot;/&gt;&lt;wsp:rsid wsp:val=&quot;00AC7B86&quot;/&gt;&lt;wsp:rsid wsp:val=&quot;00AC7BED&quot;/&gt;&lt;wsp:rsid wsp:val=&quot;00AC7ECF&quot;/&gt;&lt;wsp:rsid wsp:val=&quot;00AC7EDC&quot;/&gt;&lt;wsp:rsid wsp:val=&quot;00AD1187&quot;/&gt;&lt;wsp:rsid wsp:val=&quot;00AD1444&quot;/&gt;&lt;wsp:rsid wsp:val=&quot;00AD1649&quot;/&gt;&lt;wsp:rsid wsp:val=&quot;00AD1CB1&quot;/&gt;&lt;wsp:rsid wsp:val=&quot;00AD2036&quot;/&gt;&lt;wsp:rsid wsp:val=&quot;00AD2D3E&quot;/&gt;&lt;wsp:rsid wsp:val=&quot;00AD37C3&quot;/&gt;&lt;wsp:rsid wsp:val=&quot;00AD37E5&quot;/&gt;&lt;wsp:rsid wsp:val=&quot;00AD3907&quot;/&gt;&lt;wsp:rsid wsp:val=&quot;00AD3B5D&quot;/&gt;&lt;wsp:rsid wsp:val=&quot;00AD413C&quot;/&gt;&lt;wsp:rsid wsp:val=&quot;00AD43BE&quot;/&gt;&lt;wsp:rsid wsp:val=&quot;00AD4C66&quot;/&gt;&lt;wsp:rsid wsp:val=&quot;00AD5124&quot;/&gt;&lt;wsp:rsid wsp:val=&quot;00AD5733&quot;/&gt;&lt;wsp:rsid wsp:val=&quot;00AD5E3A&quot;/&gt;&lt;wsp:rsid wsp:val=&quot;00AD629A&quot;/&gt;&lt;wsp:rsid wsp:val=&quot;00AD63AF&quot;/&gt;&lt;wsp:rsid wsp:val=&quot;00AD65EB&quot;/&gt;&lt;wsp:rsid wsp:val=&quot;00AD69C8&quot;/&gt;&lt;wsp:rsid wsp:val=&quot;00AD6A27&quot;/&gt;&lt;wsp:rsid wsp:val=&quot;00AD6A67&quot;/&gt;&lt;wsp:rsid wsp:val=&quot;00AD6BF4&quot;/&gt;&lt;wsp:rsid wsp:val=&quot;00AD6F05&quot;/&gt;&lt;wsp:rsid wsp:val=&quot;00AD703B&quot;/&gt;&lt;wsp:rsid wsp:val=&quot;00AD742B&quot;/&gt;&lt;wsp:rsid wsp:val=&quot;00AE02EA&quot;/&gt;&lt;wsp:rsid wsp:val=&quot;00AE03ED&quot;/&gt;&lt;wsp:rsid wsp:val=&quot;00AE05B9&quot;/&gt;&lt;wsp:rsid wsp:val=&quot;00AE066C&quot;/&gt;&lt;wsp:rsid wsp:val=&quot;00AE0694&quot;/&gt;&lt;wsp:rsid wsp:val=&quot;00AE0B18&quot;/&gt;&lt;wsp:rsid wsp:val=&quot;00AE0CD2&quot;/&gt;&lt;wsp:rsid wsp:val=&quot;00AE0D7C&quot;/&gt;&lt;wsp:rsid wsp:val=&quot;00AE0E1E&quot;/&gt;&lt;wsp:rsid wsp:val=&quot;00AE0F0D&quot;/&gt;&lt;wsp:rsid wsp:val=&quot;00AE13CF&quot;/&gt;&lt;wsp:rsid wsp:val=&quot;00AE1B37&quot;/&gt;&lt;wsp:rsid wsp:val=&quot;00AE1B95&quot;/&gt;&lt;wsp:rsid wsp:val=&quot;00AE1DF6&quot;/&gt;&lt;wsp:rsid wsp:val=&quot;00AE2230&quot;/&gt;&lt;wsp:rsid wsp:val=&quot;00AE25F7&quot;/&gt;&lt;wsp:rsid wsp:val=&quot;00AE2BDD&quot;/&gt;&lt;wsp:rsid wsp:val=&quot;00AE3029&quot;/&gt;&lt;wsp:rsid wsp:val=&quot;00AE3B25&quot;/&gt;&lt;wsp:rsid wsp:val=&quot;00AE3F62&quot;/&gt;&lt;wsp:rsid wsp:val=&quot;00AE45F5&quot;/&gt;&lt;wsp:rsid wsp:val=&quot;00AE486E&quot;/&gt;&lt;wsp:rsid wsp:val=&quot;00AE4D2C&quot;/&gt;&lt;wsp:rsid wsp:val=&quot;00AE4DE1&quot;/&gt;&lt;wsp:rsid wsp:val=&quot;00AE4E9C&quot;/&gt;&lt;wsp:rsid wsp:val=&quot;00AE55B6&quot;/&gt;&lt;wsp:rsid wsp:val=&quot;00AE573D&quot;/&gt;&lt;wsp:rsid wsp:val=&quot;00AE5A74&quot;/&gt;&lt;wsp:rsid wsp:val=&quot;00AE63AB&quot;/&gt;&lt;wsp:rsid wsp:val=&quot;00AE67B2&quot;/&gt;&lt;wsp:rsid wsp:val=&quot;00AE6E93&quot;/&gt;&lt;wsp:rsid wsp:val=&quot;00AE6ED9&quot;/&gt;&lt;wsp:rsid wsp:val=&quot;00AE701C&quot;/&gt;&lt;wsp:rsid wsp:val=&quot;00AE7058&quot;/&gt;&lt;wsp:rsid wsp:val=&quot;00AE72AD&quot;/&gt;&lt;wsp:rsid wsp:val=&quot;00AE76D3&quot;/&gt;&lt;wsp:rsid wsp:val=&quot;00AE7956&quot;/&gt;&lt;wsp:rsid wsp:val=&quot;00AE7D12&quot;/&gt;&lt;wsp:rsid wsp:val=&quot;00AE7D18&quot;/&gt;&lt;wsp:rsid wsp:val=&quot;00AF001B&quot;/&gt;&lt;wsp:rsid wsp:val=&quot;00AF02B5&quot;/&gt;&lt;wsp:rsid wsp:val=&quot;00AF0EF9&quot;/&gt;&lt;wsp:rsid wsp:val=&quot;00AF126E&quot;/&gt;&lt;wsp:rsid wsp:val=&quot;00AF13DF&quot;/&gt;&lt;wsp:rsid wsp:val=&quot;00AF16DF&quot;/&gt;&lt;wsp:rsid wsp:val=&quot;00AF17B4&quot;/&gt;&lt;wsp:rsid wsp:val=&quot;00AF1808&quot;/&gt;&lt;wsp:rsid wsp:val=&quot;00AF1943&quot;/&gt;&lt;wsp:rsid wsp:val=&quot;00AF1A22&quot;/&gt;&lt;wsp:rsid wsp:val=&quot;00AF1D4B&quot;/&gt;&lt;wsp:rsid wsp:val=&quot;00AF1FD7&quot;/&gt;&lt;wsp:rsid wsp:val=&quot;00AF2B79&quot;/&gt;&lt;wsp:rsid wsp:val=&quot;00AF2C03&quot;/&gt;&lt;wsp:rsid wsp:val=&quot;00AF2DCA&quot;/&gt;&lt;wsp:rsid wsp:val=&quot;00AF2E66&quot;/&gt;&lt;wsp:rsid wsp:val=&quot;00AF2EE2&quot;/&gt;&lt;wsp:rsid wsp:val=&quot;00AF2FAB&quot;/&gt;&lt;wsp:rsid wsp:val=&quot;00AF3174&quot;/&gt;&lt;wsp:rsid wsp:val=&quot;00AF3D3B&quot;/&gt;&lt;wsp:rsid wsp:val=&quot;00AF3DC5&quot;/&gt;&lt;wsp:rsid wsp:val=&quot;00AF40BC&quot;/&gt;&lt;wsp:rsid wsp:val=&quot;00AF432E&quot;/&gt;&lt;wsp:rsid wsp:val=&quot;00AF44D8&quot;/&gt;&lt;wsp:rsid wsp:val=&quot;00AF454B&quot;/&gt;&lt;wsp:rsid wsp:val=&quot;00AF4737&quot;/&gt;&lt;wsp:rsid wsp:val=&quot;00AF5592&quot;/&gt;&lt;wsp:rsid wsp:val=&quot;00AF563B&quot;/&gt;&lt;wsp:rsid wsp:val=&quot;00AF5CD8&quot;/&gt;&lt;wsp:rsid wsp:val=&quot;00AF5DD6&quot;/&gt;&lt;wsp:rsid wsp:val=&quot;00AF61F2&quot;/&gt;&lt;wsp:rsid wsp:val=&quot;00AF62E6&quot;/&gt;&lt;wsp:rsid wsp:val=&quot;00AF640E&quot;/&gt;&lt;wsp:rsid wsp:val=&quot;00AF67F3&quot;/&gt;&lt;wsp:rsid wsp:val=&quot;00AF7112&quot;/&gt;&lt;wsp:rsid wsp:val=&quot;00AF7214&quot;/&gt;&lt;wsp:rsid wsp:val=&quot;00AF75A5&quot;/&gt;&lt;wsp:rsid wsp:val=&quot;00AF75E6&quot;/&gt;&lt;wsp:rsid wsp:val=&quot;00B00C5A&quot;/&gt;&lt;wsp:rsid wsp:val=&quot;00B01449&quot;/&gt;&lt;wsp:rsid wsp:val=&quot;00B014C2&quot;/&gt;&lt;wsp:rsid wsp:val=&quot;00B0174B&quot;/&gt;&lt;wsp:rsid wsp:val=&quot;00B01797&quot;/&gt;&lt;wsp:rsid wsp:val=&quot;00B02194&quot;/&gt;&lt;wsp:rsid wsp:val=&quot;00B0222D&quot;/&gt;&lt;wsp:rsid wsp:val=&quot;00B022BB&quot;/&gt;&lt;wsp:rsid wsp:val=&quot;00B02AA0&quot;/&gt;&lt;wsp:rsid wsp:val=&quot;00B03173&quot;/&gt;&lt;wsp:rsid wsp:val=&quot;00B035A5&quot;/&gt;&lt;wsp:rsid wsp:val=&quot;00B03A7E&quot;/&gt;&lt;wsp:rsid wsp:val=&quot;00B0429D&quot;/&gt;&lt;wsp:rsid wsp:val=&quot;00B0459E&quot;/&gt;&lt;wsp:rsid wsp:val=&quot;00B04624&quot;/&gt;&lt;wsp:rsid wsp:val=&quot;00B049CD&quot;/&gt;&lt;wsp:rsid wsp:val=&quot;00B053C8&quot;/&gt;&lt;wsp:rsid wsp:val=&quot;00B059B5&quot;/&gt;&lt;wsp:rsid wsp:val=&quot;00B05ACA&quot;/&gt;&lt;wsp:rsid wsp:val=&quot;00B05C3C&quot;/&gt;&lt;wsp:rsid wsp:val=&quot;00B0661A&quot;/&gt;&lt;wsp:rsid wsp:val=&quot;00B06A4C&quot;/&gt;&lt;wsp:rsid wsp:val=&quot;00B1025B&quot;/&gt;&lt;wsp:rsid wsp:val=&quot;00B10746&quot;/&gt;&lt;wsp:rsid wsp:val=&quot;00B10D53&quot;/&gt;&lt;wsp:rsid wsp:val=&quot;00B10EDA&quot;/&gt;&lt;wsp:rsid wsp:val=&quot;00B10FDE&quot;/&gt;&lt;wsp:rsid wsp:val=&quot;00B111EC&quot;/&gt;&lt;wsp:rsid wsp:val=&quot;00B118E4&quot;/&gt;&lt;wsp:rsid wsp:val=&quot;00B11BDA&quot;/&gt;&lt;wsp:rsid wsp:val=&quot;00B11D0E&quot;/&gt;&lt;wsp:rsid wsp:val=&quot;00B11DEA&quot;/&gt;&lt;wsp:rsid wsp:val=&quot;00B12042&quot;/&gt;&lt;wsp:rsid wsp:val=&quot;00B123BB&quot;/&gt;&lt;wsp:rsid wsp:val=&quot;00B12582&quot;/&gt;&lt;wsp:rsid wsp:val=&quot;00B12A30&quot;/&gt;&lt;wsp:rsid wsp:val=&quot;00B12C5B&quot;/&gt;&lt;wsp:rsid wsp:val=&quot;00B1301A&quot;/&gt;&lt;wsp:rsid wsp:val=&quot;00B13388&quot;/&gt;&lt;wsp:rsid wsp:val=&quot;00B13590&quot;/&gt;&lt;wsp:rsid wsp:val=&quot;00B135CB&quot;/&gt;&lt;wsp:rsid wsp:val=&quot;00B13F5C&quot;/&gt;&lt;wsp:rsid wsp:val=&quot;00B14295&quot;/&gt;&lt;wsp:rsid wsp:val=&quot;00B14642&quot;/&gt;&lt;wsp:rsid wsp:val=&quot;00B14840&quot;/&gt;&lt;wsp:rsid wsp:val=&quot;00B1487A&quot;/&gt;&lt;wsp:rsid wsp:val=&quot;00B14FAB&quot;/&gt;&lt;wsp:rsid wsp:val=&quot;00B152C6&quot;/&gt;&lt;wsp:rsid wsp:val=&quot;00B15386&quot;/&gt;&lt;wsp:rsid wsp:val=&quot;00B1545F&quot;/&gt;&lt;wsp:rsid wsp:val=&quot;00B158E6&quot;/&gt;&lt;wsp:rsid wsp:val=&quot;00B15AF3&quot;/&gt;&lt;wsp:rsid wsp:val=&quot;00B15C51&quot;/&gt;&lt;wsp:rsid wsp:val=&quot;00B16483&quot;/&gt;&lt;wsp:rsid wsp:val=&quot;00B16B63&quot;/&gt;&lt;wsp:rsid wsp:val=&quot;00B16EDD&quot;/&gt;&lt;wsp:rsid wsp:val=&quot;00B17244&quot;/&gt;&lt;wsp:rsid wsp:val=&quot;00B1765C&quot;/&gt;&lt;wsp:rsid wsp:val=&quot;00B176E7&quot;/&gt;&lt;wsp:rsid wsp:val=&quot;00B1784A&quot;/&gt;&lt;wsp:rsid wsp:val=&quot;00B17920&quot;/&gt;&lt;wsp:rsid wsp:val=&quot;00B17A6B&quot;/&gt;&lt;wsp:rsid wsp:val=&quot;00B17ACB&quot;/&gt;&lt;wsp:rsid wsp:val=&quot;00B2015F&quot;/&gt;&lt;wsp:rsid wsp:val=&quot;00B20FD8&quot;/&gt;&lt;wsp:rsid wsp:val=&quot;00B21567&quot;/&gt;&lt;wsp:rsid wsp:val=&quot;00B216AA&quot;/&gt;&lt;wsp:rsid wsp:val=&quot;00B2173D&quot;/&gt;&lt;wsp:rsid wsp:val=&quot;00B2178D&quot;/&gt;&lt;wsp:rsid wsp:val=&quot;00B21811&quot;/&gt;&lt;wsp:rsid wsp:val=&quot;00B2205A&quot;/&gt;&lt;wsp:rsid wsp:val=&quot;00B22165&quot;/&gt;&lt;wsp:rsid wsp:val=&quot;00B22791&quot;/&gt;&lt;wsp:rsid wsp:val=&quot;00B234D0&quot;/&gt;&lt;wsp:rsid wsp:val=&quot;00B23FC7&quot;/&gt;&lt;wsp:rsid wsp:val=&quot;00B243AF&quot;/&gt;&lt;wsp:rsid wsp:val=&quot;00B246B2&quot;/&gt;&lt;wsp:rsid wsp:val=&quot;00B246B3&quot;/&gt;&lt;wsp:rsid wsp:val=&quot;00B2470D&quot;/&gt;&lt;wsp:rsid wsp:val=&quot;00B247F7&quot;/&gt;&lt;wsp:rsid wsp:val=&quot;00B24BF6&quot;/&gt;&lt;wsp:rsid wsp:val=&quot;00B24D79&quot;/&gt;&lt;wsp:rsid wsp:val=&quot;00B24E8C&quot;/&gt;&lt;wsp:rsid wsp:val=&quot;00B25106&quot;/&gt;&lt;wsp:rsid wsp:val=&quot;00B254B4&quot;/&gt;&lt;wsp:rsid wsp:val=&quot;00B25617&quot;/&gt;&lt;wsp:rsid wsp:val=&quot;00B25802&quot;/&gt;&lt;wsp:rsid wsp:val=&quot;00B25CE5&quot;/&gt;&lt;wsp:rsid wsp:val=&quot;00B2664D&quot;/&gt;&lt;wsp:rsid wsp:val=&quot;00B2687D&quot;/&gt;&lt;wsp:rsid wsp:val=&quot;00B26C10&quot;/&gt;&lt;wsp:rsid wsp:val=&quot;00B27ABE&quot;/&gt;&lt;wsp:rsid wsp:val=&quot;00B30028&quot;/&gt;&lt;wsp:rsid wsp:val=&quot;00B30D1A&quot;/&gt;&lt;wsp:rsid wsp:val=&quot;00B311A1&quot;/&gt;&lt;wsp:rsid wsp:val=&quot;00B313ED&quot;/&gt;&lt;wsp:rsid wsp:val=&quot;00B314AA&quot;/&gt;&lt;wsp:rsid wsp:val=&quot;00B314B7&quot;/&gt;&lt;wsp:rsid wsp:val=&quot;00B316D8&quot;/&gt;&lt;wsp:rsid wsp:val=&quot;00B31AC9&quot;/&gt;&lt;wsp:rsid wsp:val=&quot;00B3239C&quot;/&gt;&lt;wsp:rsid wsp:val=&quot;00B32CB6&quot;/&gt;&lt;wsp:rsid wsp:val=&quot;00B33123&quot;/&gt;&lt;wsp:rsid wsp:val=&quot;00B33A29&quot;/&gt;&lt;wsp:rsid wsp:val=&quot;00B33A95&quot;/&gt;&lt;wsp:rsid wsp:val=&quot;00B33DB2&quot;/&gt;&lt;wsp:rsid wsp:val=&quot;00B34A49&quot;/&gt;&lt;wsp:rsid wsp:val=&quot;00B35463&quot;/&gt;&lt;wsp:rsid wsp:val=&quot;00B36272&quot;/&gt;&lt;wsp:rsid wsp:val=&quot;00B3630E&quot;/&gt;&lt;wsp:rsid wsp:val=&quot;00B36417&quot;/&gt;&lt;wsp:rsid wsp:val=&quot;00B3646A&quot;/&gt;&lt;wsp:rsid wsp:val=&quot;00B368B0&quot;/&gt;&lt;wsp:rsid wsp:val=&quot;00B36D39&quot;/&gt;&lt;wsp:rsid wsp:val=&quot;00B36E6A&quot;/&gt;&lt;wsp:rsid wsp:val=&quot;00B37236&quot;/&gt;&lt;wsp:rsid wsp:val=&quot;00B37666&quot;/&gt;&lt;wsp:rsid wsp:val=&quot;00B376E5&quot;/&gt;&lt;wsp:rsid wsp:val=&quot;00B37C1D&quot;/&gt;&lt;wsp:rsid wsp:val=&quot;00B37C54&quot;/&gt;&lt;wsp:rsid wsp:val=&quot;00B403F5&quot;/&gt;&lt;wsp:rsid wsp:val=&quot;00B404D8&quot;/&gt;&lt;wsp:rsid wsp:val=&quot;00B405E6&quot;/&gt;&lt;wsp:rsid wsp:val=&quot;00B40EF2&quot;/&gt;&lt;wsp:rsid wsp:val=&quot;00B415F8&quot;/&gt;&lt;wsp:rsid wsp:val=&quot;00B41948&quot;/&gt;&lt;wsp:rsid wsp:val=&quot;00B4310A&quot;/&gt;&lt;wsp:rsid wsp:val=&quot;00B438B2&quot;/&gt;&lt;wsp:rsid wsp:val=&quot;00B4434B&quot;/&gt;&lt;wsp:rsid wsp:val=&quot;00B4450E&quot;/&gt;&lt;wsp:rsid wsp:val=&quot;00B45869&quot;/&gt;&lt;wsp:rsid wsp:val=&quot;00B45C37&quot;/&gt;&lt;wsp:rsid wsp:val=&quot;00B45D15&quot;/&gt;&lt;wsp:rsid wsp:val=&quot;00B45D44&quot;/&gt;&lt;wsp:rsid wsp:val=&quot;00B4676F&quot;/&gt;&lt;wsp:rsid wsp:val=&quot;00B46C94&quot;/&gt;&lt;wsp:rsid wsp:val=&quot;00B4701E&quot;/&gt;&lt;wsp:rsid wsp:val=&quot;00B47113&quot;/&gt;&lt;wsp:rsid wsp:val=&quot;00B475CC&quot;/&gt;&lt;wsp:rsid wsp:val=&quot;00B476DA&quot;/&gt;&lt;wsp:rsid wsp:val=&quot;00B47835&quot;/&gt;&lt;wsp:rsid wsp:val=&quot;00B502E2&quot;/&gt;&lt;wsp:rsid wsp:val=&quot;00B50515&quot;/&gt;&lt;wsp:rsid wsp:val=&quot;00B50B7E&quot;/&gt;&lt;wsp:rsid wsp:val=&quot;00B50FB7&quot;/&gt;&lt;wsp:rsid wsp:val=&quot;00B5162D&quot;/&gt;&lt;wsp:rsid wsp:val=&quot;00B519BF&quot;/&gt;&lt;wsp:rsid wsp:val=&quot;00B51B3E&quot;/&gt;&lt;wsp:rsid wsp:val=&quot;00B527E4&quot;/&gt;&lt;wsp:rsid wsp:val=&quot;00B52AA7&quot;/&gt;&lt;wsp:rsid wsp:val=&quot;00B53127&quot;/&gt;&lt;wsp:rsid wsp:val=&quot;00B533AD&quot;/&gt;&lt;wsp:rsid wsp:val=&quot;00B5345B&quot;/&gt;&lt;wsp:rsid wsp:val=&quot;00B53610&quot;/&gt;&lt;wsp:rsid wsp:val=&quot;00B53917&quot;/&gt;&lt;wsp:rsid wsp:val=&quot;00B53A9D&quot;/&gt;&lt;wsp:rsid wsp:val=&quot;00B53E4B&quot;/&gt;&lt;wsp:rsid wsp:val=&quot;00B54888&quot;/&gt;&lt;wsp:rsid wsp:val=&quot;00B54CA4&quot;/&gt;&lt;wsp:rsid wsp:val=&quot;00B54E01&quot;/&gt;&lt;wsp:rsid wsp:val=&quot;00B55C26&quot;/&gt;&lt;wsp:rsid wsp:val=&quot;00B55E05&quot;/&gt;&lt;wsp:rsid wsp:val=&quot;00B560A0&quot;/&gt;&lt;wsp:rsid wsp:val=&quot;00B56257&quot;/&gt;&lt;wsp:rsid wsp:val=&quot;00B568F7&quot;/&gt;&lt;wsp:rsid wsp:val=&quot;00B56A8D&quot;/&gt;&lt;wsp:rsid wsp:val=&quot;00B60550&quot;/&gt;&lt;wsp:rsid wsp:val=&quot;00B60CBC&quot;/&gt;&lt;wsp:rsid wsp:val=&quot;00B60D69&quot;/&gt;&lt;wsp:rsid wsp:val=&quot;00B61E6B&quot;/&gt;&lt;wsp:rsid wsp:val=&quot;00B62B9E&quot;/&gt;&lt;wsp:rsid wsp:val=&quot;00B62CB8&quot;/&gt;&lt;wsp:rsid wsp:val=&quot;00B62FC1&quot;/&gt;&lt;wsp:rsid wsp:val=&quot;00B63250&quot;/&gt;&lt;wsp:rsid wsp:val=&quot;00B632B0&quot;/&gt;&lt;wsp:rsid wsp:val=&quot;00B633B5&quot;/&gt;&lt;wsp:rsid wsp:val=&quot;00B644BA&quot;/&gt;&lt;wsp:rsid wsp:val=&quot;00B64699&quot;/&gt;&lt;wsp:rsid wsp:val=&quot;00B64AD0&quot;/&gt;&lt;wsp:rsid wsp:val=&quot;00B654DB&quot;/&gt;&lt;wsp:rsid wsp:val=&quot;00B6567C&quot;/&gt;&lt;wsp:rsid wsp:val=&quot;00B6595A&quot;/&gt;&lt;wsp:rsid wsp:val=&quot;00B65983&quot;/&gt;&lt;wsp:rsid wsp:val=&quot;00B66027&quot;/&gt;&lt;wsp:rsid wsp:val=&quot;00B661B7&quot;/&gt;&lt;wsp:rsid wsp:val=&quot;00B665DB&quot;/&gt;&lt;wsp:rsid wsp:val=&quot;00B66A00&quot;/&gt;&lt;wsp:rsid wsp:val=&quot;00B66B45&quot;/&gt;&lt;wsp:rsid wsp:val=&quot;00B66D57&quot;/&gt;&lt;wsp:rsid wsp:val=&quot;00B66F33&quot;/&gt;&lt;wsp:rsid wsp:val=&quot;00B66F50&quot;/&gt;&lt;wsp:rsid wsp:val=&quot;00B674BE&quot;/&gt;&lt;wsp:rsid wsp:val=&quot;00B67934&quot;/&gt;&lt;wsp:rsid wsp:val=&quot;00B67A3C&quot;/&gt;&lt;wsp:rsid wsp:val=&quot;00B67B36&quot;/&gt;&lt;wsp:rsid wsp:val=&quot;00B67BB4&quot;/&gt;&lt;wsp:rsid wsp:val=&quot;00B67CCB&quot;/&gt;&lt;wsp:rsid wsp:val=&quot;00B67E7D&quot;/&gt;&lt;wsp:rsid wsp:val=&quot;00B7047A&quot;/&gt;&lt;wsp:rsid wsp:val=&quot;00B704D6&quot;/&gt;&lt;wsp:rsid wsp:val=&quot;00B70663&quot;/&gt;&lt;wsp:rsid wsp:val=&quot;00B70D8C&quot;/&gt;&lt;wsp:rsid wsp:val=&quot;00B714B7&quot;/&gt;&lt;wsp:rsid wsp:val=&quot;00B7165C&quot;/&gt;&lt;wsp:rsid wsp:val=&quot;00B71A7C&quot;/&gt;&lt;wsp:rsid wsp:val=&quot;00B71F20&quot;/&gt;&lt;wsp:rsid wsp:val=&quot;00B720F9&quot;/&gt;&lt;wsp:rsid wsp:val=&quot;00B72178&quot;/&gt;&lt;wsp:rsid wsp:val=&quot;00B72312&quot;/&gt;&lt;wsp:rsid wsp:val=&quot;00B72CE1&quot;/&gt;&lt;wsp:rsid wsp:val=&quot;00B72CE4&quot;/&gt;&lt;wsp:rsid wsp:val=&quot;00B72D49&quot;/&gt;&lt;wsp:rsid wsp:val=&quot;00B72D52&quot;/&gt;&lt;wsp:rsid wsp:val=&quot;00B73A2F&quot;/&gt;&lt;wsp:rsid wsp:val=&quot;00B73B0E&quot;/&gt;&lt;wsp:rsid wsp:val=&quot;00B740D6&quot;/&gt;&lt;wsp:rsid wsp:val=&quot;00B7428F&quot;/&gt;&lt;wsp:rsid wsp:val=&quot;00B74315&quot;/&gt;&lt;wsp:rsid wsp:val=&quot;00B743C9&quot;/&gt;&lt;wsp:rsid wsp:val=&quot;00B7478E&quot;/&gt;&lt;wsp:rsid wsp:val=&quot;00B74807&quot;/&gt;&lt;wsp:rsid wsp:val=&quot;00B74C28&quot;/&gt;&lt;wsp:rsid wsp:val=&quot;00B74C7E&quot;/&gt;&lt;wsp:rsid wsp:val=&quot;00B7513C&quot;/&gt;&lt;wsp:rsid wsp:val=&quot;00B75664&quot;/&gt;&lt;wsp:rsid wsp:val=&quot;00B75722&quot;/&gt;&lt;wsp:rsid wsp:val=&quot;00B75A57&quot;/&gt;&lt;wsp:rsid wsp:val=&quot;00B75B8C&quot;/&gt;&lt;wsp:rsid wsp:val=&quot;00B75F8C&quot;/&gt;&lt;wsp:rsid wsp:val=&quot;00B76073&quot;/&gt;&lt;wsp:rsid wsp:val=&quot;00B765A0&quot;/&gt;&lt;wsp:rsid wsp:val=&quot;00B76808&quot;/&gt;&lt;wsp:rsid wsp:val=&quot;00B76896&quot;/&gt;&lt;wsp:rsid wsp:val=&quot;00B76A0E&quot;/&gt;&lt;wsp:rsid wsp:val=&quot;00B76AD2&quot;/&gt;&lt;wsp:rsid wsp:val=&quot;00B76AFC&quot;/&gt;&lt;wsp:rsid wsp:val=&quot;00B76B23&quot;/&gt;&lt;wsp:rsid wsp:val=&quot;00B76B39&quot;/&gt;&lt;wsp:rsid wsp:val=&quot;00B76E1A&quot;/&gt;&lt;wsp:rsid wsp:val=&quot;00B771F7&quot;/&gt;&lt;wsp:rsid wsp:val=&quot;00B774C9&quot;/&gt;&lt;wsp:rsid wsp:val=&quot;00B775DA&quot;/&gt;&lt;wsp:rsid wsp:val=&quot;00B77690&quot;/&gt;&lt;wsp:rsid wsp:val=&quot;00B777DD&quot;/&gt;&lt;wsp:rsid wsp:val=&quot;00B77C38&quot;/&gt;&lt;wsp:rsid wsp:val=&quot;00B77D87&quot;/&gt;&lt;wsp:rsid wsp:val=&quot;00B8000A&quot;/&gt;&lt;wsp:rsid wsp:val=&quot;00B80593&quot;/&gt;&lt;wsp:rsid wsp:val=&quot;00B809AB&quot;/&gt;&lt;wsp:rsid wsp:val=&quot;00B80DC7&quot;/&gt;&lt;wsp:rsid wsp:val=&quot;00B8103A&quot;/&gt;&lt;wsp:rsid wsp:val=&quot;00B81139&quot;/&gt;&lt;wsp:rsid wsp:val=&quot;00B81228&quot;/&gt;&lt;wsp:rsid wsp:val=&quot;00B81296&quot;/&gt;&lt;wsp:rsid wsp:val=&quot;00B812B9&quot;/&gt;&lt;wsp:rsid wsp:val=&quot;00B81B00&quot;/&gt;&lt;wsp:rsid wsp:val=&quot;00B826AE&quot;/&gt;&lt;wsp:rsid wsp:val=&quot;00B83ACE&quot;/&gt;&lt;wsp:rsid wsp:val=&quot;00B83B45&quot;/&gt;&lt;wsp:rsid wsp:val=&quot;00B83CCF&quot;/&gt;&lt;wsp:rsid wsp:val=&quot;00B83D5A&quot;/&gt;&lt;wsp:rsid wsp:val=&quot;00B83D74&quot;/&gt;&lt;wsp:rsid wsp:val=&quot;00B84101&quot;/&gt;&lt;wsp:rsid wsp:val=&quot;00B84460&quot;/&gt;&lt;wsp:rsid wsp:val=&quot;00B85085&quot;/&gt;&lt;wsp:rsid wsp:val=&quot;00B8529C&quot;/&gt;&lt;wsp:rsid wsp:val=&quot;00B8611C&quot;/&gt;&lt;wsp:rsid wsp:val=&quot;00B8673B&quot;/&gt;&lt;wsp:rsid wsp:val=&quot;00B86B94&quot;/&gt;&lt;wsp:rsid wsp:val=&quot;00B8725C&quot;/&gt;&lt;wsp:rsid wsp:val=&quot;00B876D5&quot;/&gt;&lt;wsp:rsid wsp:val=&quot;00B87860&quot;/&gt;&lt;wsp:rsid wsp:val=&quot;00B87EE9&quot;/&gt;&lt;wsp:rsid wsp:val=&quot;00B90E1E&quot;/&gt;&lt;wsp:rsid wsp:val=&quot;00B915B1&quot;/&gt;&lt;wsp:rsid wsp:val=&quot;00B916E9&quot;/&gt;&lt;wsp:rsid wsp:val=&quot;00B91A1D&quot;/&gt;&lt;wsp:rsid wsp:val=&quot;00B91A6F&quot;/&gt;&lt;wsp:rsid wsp:val=&quot;00B91AF1&quot;/&gt;&lt;wsp:rsid wsp:val=&quot;00B91C22&quot;/&gt;&lt;wsp:rsid wsp:val=&quot;00B91EB7&quot;/&gt;&lt;wsp:rsid wsp:val=&quot;00B9234D&quot;/&gt;&lt;wsp:rsid wsp:val=&quot;00B92A9A&quot;/&gt;&lt;wsp:rsid wsp:val=&quot;00B92B5B&quot;/&gt;&lt;wsp:rsid wsp:val=&quot;00B932CC&quot;/&gt;&lt;wsp:rsid wsp:val=&quot;00B934CF&quot;/&gt;&lt;wsp:rsid wsp:val=&quot;00B935CA&quot;/&gt;&lt;wsp:rsid wsp:val=&quot;00B93F4A&quot;/&gt;&lt;wsp:rsid wsp:val=&quot;00B9549B&quot;/&gt;&lt;wsp:rsid wsp:val=&quot;00B95BFB&quot;/&gt;&lt;wsp:rsid wsp:val=&quot;00B95F24&quot;/&gt;&lt;wsp:rsid wsp:val=&quot;00B9645F&quot;/&gt;&lt;wsp:rsid wsp:val=&quot;00B9665D&quot;/&gt;&lt;wsp:rsid wsp:val=&quot;00B96D14&quot;/&gt;&lt;wsp:rsid wsp:val=&quot;00B96E95&quot;/&gt;&lt;wsp:rsid wsp:val=&quot;00B96F34&quot;/&gt;&lt;wsp:rsid wsp:val=&quot;00B96FA9&quot;/&gt;&lt;wsp:rsid wsp:val=&quot;00B97054&quot;/&gt;&lt;wsp:rsid wsp:val=&quot;00B97342&quot;/&gt;&lt;wsp:rsid wsp:val=&quot;00B97F22&quot;/&gt;&lt;wsp:rsid wsp:val=&quot;00BA04A1&quot;/&gt;&lt;wsp:rsid wsp:val=&quot;00BA066E&quot;/&gt;&lt;wsp:rsid wsp:val=&quot;00BA18C6&quot;/&gt;&lt;wsp:rsid wsp:val=&quot;00BA1AF7&quot;/&gt;&lt;wsp:rsid wsp:val=&quot;00BA1FC0&quot;/&gt;&lt;wsp:rsid wsp:val=&quot;00BA20BF&quot;/&gt;&lt;wsp:rsid wsp:val=&quot;00BA2174&quot;/&gt;&lt;wsp:rsid wsp:val=&quot;00BA234F&quot;/&gt;&lt;wsp:rsid wsp:val=&quot;00BA2B73&quot;/&gt;&lt;wsp:rsid wsp:val=&quot;00BA2C33&quot;/&gt;&lt;wsp:rsid wsp:val=&quot;00BA2EC9&quot;/&gt;&lt;wsp:rsid wsp:val=&quot;00BA2FAE&quot;/&gt;&lt;wsp:rsid wsp:val=&quot;00BA304C&quot;/&gt;&lt;wsp:rsid wsp:val=&quot;00BA3105&quot;/&gt;&lt;wsp:rsid wsp:val=&quot;00BA3A41&quot;/&gt;&lt;wsp:rsid wsp:val=&quot;00BA3CD8&quot;/&gt;&lt;wsp:rsid wsp:val=&quot;00BA4098&quot;/&gt;&lt;wsp:rsid wsp:val=&quot;00BA476C&quot;/&gt;&lt;wsp:rsid wsp:val=&quot;00BA4D43&quot;/&gt;&lt;wsp:rsid wsp:val=&quot;00BA4E24&quot;/&gt;&lt;wsp:rsid wsp:val=&quot;00BA4F8B&quot;/&gt;&lt;wsp:rsid wsp:val=&quot;00BA5116&quot;/&gt;&lt;wsp:rsid wsp:val=&quot;00BA5155&quot;/&gt;&lt;wsp:rsid wsp:val=&quot;00BA5458&quot;/&gt;&lt;wsp:rsid wsp:val=&quot;00BA56BC&quot;/&gt;&lt;wsp:rsid wsp:val=&quot;00BA5A5D&quot;/&gt;&lt;wsp:rsid wsp:val=&quot;00BA5C5E&quot;/&gt;&lt;wsp:rsid wsp:val=&quot;00BA5D0E&quot;/&gt;&lt;wsp:rsid wsp:val=&quot;00BA603C&quot;/&gt;&lt;wsp:rsid wsp:val=&quot;00BA6350&quot;/&gt;&lt;wsp:rsid wsp:val=&quot;00BA63F7&quot;/&gt;&lt;wsp:rsid wsp:val=&quot;00BA6B89&quot;/&gt;&lt;wsp:rsid wsp:val=&quot;00BA6C47&quot;/&gt;&lt;wsp:rsid wsp:val=&quot;00BA7280&quot;/&gt;&lt;wsp:rsid wsp:val=&quot;00BA796A&quot;/&gt;&lt;wsp:rsid wsp:val=&quot;00BA7C8D&quot;/&gt;&lt;wsp:rsid wsp:val=&quot;00BB03D2&quot;/&gt;&lt;wsp:rsid wsp:val=&quot;00BB080E&quot;/&gt;&lt;wsp:rsid wsp:val=&quot;00BB09B0&quot;/&gt;&lt;wsp:rsid wsp:val=&quot;00BB1216&quot;/&gt;&lt;wsp:rsid wsp:val=&quot;00BB1400&quot;/&gt;&lt;wsp:rsid wsp:val=&quot;00BB14E3&quot;/&gt;&lt;wsp:rsid wsp:val=&quot;00BB162A&quot;/&gt;&lt;wsp:rsid wsp:val=&quot;00BB16B6&quot;/&gt;&lt;wsp:rsid wsp:val=&quot;00BB1923&quot;/&gt;&lt;wsp:rsid wsp:val=&quot;00BB1A20&quot;/&gt;&lt;wsp:rsid wsp:val=&quot;00BB1EDF&quot;/&gt;&lt;wsp:rsid wsp:val=&quot;00BB20CC&quot;/&gt;&lt;wsp:rsid wsp:val=&quot;00BB223B&quot;/&gt;&lt;wsp:rsid wsp:val=&quot;00BB24DC&quot;/&gt;&lt;wsp:rsid wsp:val=&quot;00BB255F&quot;/&gt;&lt;wsp:rsid wsp:val=&quot;00BB2D20&quot;/&gt;&lt;wsp:rsid wsp:val=&quot;00BB2F0E&quot;/&gt;&lt;wsp:rsid wsp:val=&quot;00BB319F&quot;/&gt;&lt;wsp:rsid wsp:val=&quot;00BB37CC&quot;/&gt;&lt;wsp:rsid wsp:val=&quot;00BB41F7&quot;/&gt;&lt;wsp:rsid wsp:val=&quot;00BB43DD&quot;/&gt;&lt;wsp:rsid wsp:val=&quot;00BB4859&quot;/&gt;&lt;wsp:rsid wsp:val=&quot;00BB4AA3&quot;/&gt;&lt;wsp:rsid wsp:val=&quot;00BB4D3A&quot;/&gt;&lt;wsp:rsid wsp:val=&quot;00BB4E42&quot;/&gt;&lt;wsp:rsid wsp:val=&quot;00BB5679&quot;/&gt;&lt;wsp:rsid wsp:val=&quot;00BB6B06&quot;/&gt;&lt;wsp:rsid wsp:val=&quot;00BB6DBF&quot;/&gt;&lt;wsp:rsid wsp:val=&quot;00BB76F3&quot;/&gt;&lt;wsp:rsid wsp:val=&quot;00BB77F1&quot;/&gt;&lt;wsp:rsid wsp:val=&quot;00BB78BF&quot;/&gt;&lt;wsp:rsid wsp:val=&quot;00BC007B&quot;/&gt;&lt;wsp:rsid wsp:val=&quot;00BC0266&quot;/&gt;&lt;wsp:rsid wsp:val=&quot;00BC05B6&quot;/&gt;&lt;wsp:rsid wsp:val=&quot;00BC0B08&quot;/&gt;&lt;wsp:rsid wsp:val=&quot;00BC0E1C&quot;/&gt;&lt;wsp:rsid wsp:val=&quot;00BC0F6D&quot;/&gt;&lt;wsp:rsid wsp:val=&quot;00BC108B&quot;/&gt;&lt;wsp:rsid wsp:val=&quot;00BC1219&quot;/&gt;&lt;wsp:rsid wsp:val=&quot;00BC153B&quot;/&gt;&lt;wsp:rsid wsp:val=&quot;00BC1915&quot;/&gt;&lt;wsp:rsid wsp:val=&quot;00BC1967&quot;/&gt;&lt;wsp:rsid wsp:val=&quot;00BC1D77&quot;/&gt;&lt;wsp:rsid wsp:val=&quot;00BC1DA7&quot;/&gt;&lt;wsp:rsid wsp:val=&quot;00BC2213&quot;/&gt;&lt;wsp:rsid wsp:val=&quot;00BC242A&quot;/&gt;&lt;wsp:rsid wsp:val=&quot;00BC2461&quot;/&gt;&lt;wsp:rsid wsp:val=&quot;00BC2778&quot;/&gt;&lt;wsp:rsid wsp:val=&quot;00BC27F3&quot;/&gt;&lt;wsp:rsid wsp:val=&quot;00BC2AA5&quot;/&gt;&lt;wsp:rsid wsp:val=&quot;00BC2C03&quot;/&gt;&lt;wsp:rsid wsp:val=&quot;00BC2FA2&quot;/&gt;&lt;wsp:rsid wsp:val=&quot;00BC3052&quot;/&gt;&lt;wsp:rsid wsp:val=&quot;00BC3270&quot;/&gt;&lt;wsp:rsid wsp:val=&quot;00BC349B&quot;/&gt;&lt;wsp:rsid wsp:val=&quot;00BC38B9&quot;/&gt;&lt;wsp:rsid wsp:val=&quot;00BC3CE9&quot;/&gt;&lt;wsp:rsid wsp:val=&quot;00BC3D31&quot;/&gt;&lt;wsp:rsid wsp:val=&quot;00BC3D3E&quot;/&gt;&lt;wsp:rsid wsp:val=&quot;00BC3FAC&quot;/&gt;&lt;wsp:rsid wsp:val=&quot;00BC466F&quot;/&gt;&lt;wsp:rsid wsp:val=&quot;00BC467E&quot;/&gt;&lt;wsp:rsid wsp:val=&quot;00BC479C&quot;/&gt;&lt;wsp:rsid wsp:val=&quot;00BC4A75&quot;/&gt;&lt;wsp:rsid wsp:val=&quot;00BC4ADF&quot;/&gt;&lt;wsp:rsid wsp:val=&quot;00BC4B36&quot;/&gt;&lt;wsp:rsid wsp:val=&quot;00BC4B47&quot;/&gt;&lt;wsp:rsid wsp:val=&quot;00BC4BD2&quot;/&gt;&lt;wsp:rsid wsp:val=&quot;00BC4ECE&quot;/&gt;&lt;wsp:rsid wsp:val=&quot;00BC639E&quot;/&gt;&lt;wsp:rsid wsp:val=&quot;00BC6449&quot;/&gt;&lt;wsp:rsid wsp:val=&quot;00BC6710&quot;/&gt;&lt;wsp:rsid wsp:val=&quot;00BC6CA2&quot;/&gt;&lt;wsp:rsid wsp:val=&quot;00BC6E88&quot;/&gt;&lt;wsp:rsid wsp:val=&quot;00BC6F0D&quot;/&gt;&lt;wsp:rsid wsp:val=&quot;00BC727B&quot;/&gt;&lt;wsp:rsid wsp:val=&quot;00BC74CF&quot;/&gt;&lt;wsp:rsid wsp:val=&quot;00BC7B41&quot;/&gt;&lt;wsp:rsid wsp:val=&quot;00BD0015&quot;/&gt;&lt;wsp:rsid wsp:val=&quot;00BD0540&quot;/&gt;&lt;wsp:rsid wsp:val=&quot;00BD0870&quot;/&gt;&lt;wsp:rsid wsp:val=&quot;00BD12A6&quot;/&gt;&lt;wsp:rsid wsp:val=&quot;00BD1A45&quot;/&gt;&lt;wsp:rsid wsp:val=&quot;00BD1D40&quot;/&gt;&lt;wsp:rsid wsp:val=&quot;00BD2076&quot;/&gt;&lt;wsp:rsid wsp:val=&quot;00BD23C8&quot;/&gt;&lt;wsp:rsid wsp:val=&quot;00BD2634&quot;/&gt;&lt;wsp:rsid wsp:val=&quot;00BD3163&quot;/&gt;&lt;wsp:rsid wsp:val=&quot;00BD37A1&quot;/&gt;&lt;wsp:rsid wsp:val=&quot;00BD38B2&quot;/&gt;&lt;wsp:rsid wsp:val=&quot;00BD3AC2&quot;/&gt;&lt;wsp:rsid wsp:val=&quot;00BD3FCB&quot;/&gt;&lt;wsp:rsid wsp:val=&quot;00BD553D&quot;/&gt;&lt;wsp:rsid wsp:val=&quot;00BD5599&quot;/&gt;&lt;wsp:rsid wsp:val=&quot;00BD5629&quot;/&gt;&lt;wsp:rsid wsp:val=&quot;00BD5756&quot;/&gt;&lt;wsp:rsid wsp:val=&quot;00BD59D8&quot;/&gt;&lt;wsp:rsid wsp:val=&quot;00BD5AEB&quot;/&gt;&lt;wsp:rsid wsp:val=&quot;00BD6397&quot;/&gt;&lt;wsp:rsid wsp:val=&quot;00BD64C9&quot;/&gt;&lt;wsp:rsid wsp:val=&quot;00BD65C1&quot;/&gt;&lt;wsp:rsid wsp:val=&quot;00BD70C7&quot;/&gt;&lt;wsp:rsid wsp:val=&quot;00BD7465&quot;/&gt;&lt;wsp:rsid wsp:val=&quot;00BE039F&quot;/&gt;&lt;wsp:rsid wsp:val=&quot;00BE08A6&quot;/&gt;&lt;wsp:rsid wsp:val=&quot;00BE0B35&quot;/&gt;&lt;wsp:rsid wsp:val=&quot;00BE1452&quot;/&gt;&lt;wsp:rsid wsp:val=&quot;00BE18B6&quot;/&gt;&lt;wsp:rsid wsp:val=&quot;00BE1EDD&quot;/&gt;&lt;wsp:rsid wsp:val=&quot;00BE2385&quot;/&gt;&lt;wsp:rsid wsp:val=&quot;00BE24B5&quot;/&gt;&lt;wsp:rsid wsp:val=&quot;00BE2504&quot;/&gt;&lt;wsp:rsid wsp:val=&quot;00BE2820&quot;/&gt;&lt;wsp:rsid wsp:val=&quot;00BE2A67&quot;/&gt;&lt;wsp:rsid wsp:val=&quot;00BE2BCB&quot;/&gt;&lt;wsp:rsid wsp:val=&quot;00BE30D3&quot;/&gt;&lt;wsp:rsid wsp:val=&quot;00BE31F6&quot;/&gt;&lt;wsp:rsid wsp:val=&quot;00BE362D&quot;/&gt;&lt;wsp:rsid wsp:val=&quot;00BE3875&quot;/&gt;&lt;wsp:rsid wsp:val=&quot;00BE3965&quot;/&gt;&lt;wsp:rsid wsp:val=&quot;00BE3B59&quot;/&gt;&lt;wsp:rsid wsp:val=&quot;00BE42CF&quot;/&gt;&lt;wsp:rsid wsp:val=&quot;00BE459F&quot;/&gt;&lt;wsp:rsid wsp:val=&quot;00BE51CB&quot;/&gt;&lt;wsp:rsid wsp:val=&quot;00BE521E&quot;/&gt;&lt;wsp:rsid wsp:val=&quot;00BE64AE&quot;/&gt;&lt;wsp:rsid wsp:val=&quot;00BE66FD&quot;/&gt;&lt;wsp:rsid wsp:val=&quot;00BE6D8D&quot;/&gt;&lt;wsp:rsid wsp:val=&quot;00BE7007&quot;/&gt;&lt;wsp:rsid wsp:val=&quot;00BE722E&quot;/&gt;&lt;wsp:rsid wsp:val=&quot;00BE77C9&quot;/&gt;&lt;wsp:rsid wsp:val=&quot;00BE77DE&quot;/&gt;&lt;wsp:rsid wsp:val=&quot;00BE7C18&quot;/&gt;&lt;wsp:rsid wsp:val=&quot;00BE7D3A&quot;/&gt;&lt;wsp:rsid wsp:val=&quot;00BE7F77&quot;/&gt;&lt;wsp:rsid wsp:val=&quot;00BF04CF&quot;/&gt;&lt;wsp:rsid wsp:val=&quot;00BF058C&quot;/&gt;&lt;wsp:rsid wsp:val=&quot;00BF05CA&quot;/&gt;&lt;wsp:rsid wsp:val=&quot;00BF0783&quot;/&gt;&lt;wsp:rsid wsp:val=&quot;00BF0936&quot;/&gt;&lt;wsp:rsid wsp:val=&quot;00BF0BA1&quot;/&gt;&lt;wsp:rsid wsp:val=&quot;00BF1733&quot;/&gt;&lt;wsp:rsid wsp:val=&quot;00BF1822&quot;/&gt;&lt;wsp:rsid wsp:val=&quot;00BF19D6&quot;/&gt;&lt;wsp:rsid wsp:val=&quot;00BF2711&quot;/&gt;&lt;wsp:rsid wsp:val=&quot;00BF2D6E&quot;/&gt;&lt;wsp:rsid wsp:val=&quot;00BF3091&quot;/&gt;&lt;wsp:rsid wsp:val=&quot;00BF31E9&quot;/&gt;&lt;wsp:rsid wsp:val=&quot;00BF332C&quot;/&gt;&lt;wsp:rsid wsp:val=&quot;00BF3346&quot;/&gt;&lt;wsp:rsid wsp:val=&quot;00BF3441&quot;/&gt;&lt;wsp:rsid wsp:val=&quot;00BF42EC&quot;/&gt;&lt;wsp:rsid wsp:val=&quot;00BF4C4E&quot;/&gt;&lt;wsp:rsid wsp:val=&quot;00BF4D22&quot;/&gt;&lt;wsp:rsid wsp:val=&quot;00BF502F&quot;/&gt;&lt;wsp:rsid wsp:val=&quot;00BF58BC&quot;/&gt;&lt;wsp:rsid wsp:val=&quot;00BF5C29&quot;/&gt;&lt;wsp:rsid wsp:val=&quot;00BF5FE5&quot;/&gt;&lt;wsp:rsid wsp:val=&quot;00BF60DE&quot;/&gt;&lt;wsp:rsid wsp:val=&quot;00BF6167&quot;/&gt;&lt;wsp:rsid wsp:val=&quot;00BF6432&quot;/&gt;&lt;wsp:rsid wsp:val=&quot;00BF6512&quot;/&gt;&lt;wsp:rsid wsp:val=&quot;00BF68F1&quot;/&gt;&lt;wsp:rsid wsp:val=&quot;00BF7681&quot;/&gt;&lt;wsp:rsid wsp:val=&quot;00BF79FE&quot;/&gt;&lt;wsp:rsid wsp:val=&quot;00BF7B02&quot;/&gt;&lt;wsp:rsid wsp:val=&quot;00BF7BEC&quot;/&gt;&lt;wsp:rsid wsp:val=&quot;00BF7CF9&quot;/&gt;&lt;wsp:rsid wsp:val=&quot;00BF7D70&quot;/&gt;&lt;wsp:rsid wsp:val=&quot;00C00022&quot;/&gt;&lt;wsp:rsid wsp:val=&quot;00C00413&quot;/&gt;&lt;wsp:rsid wsp:val=&quot;00C005B5&quot;/&gt;&lt;wsp:rsid wsp:val=&quot;00C0092B&quot;/&gt;&lt;wsp:rsid wsp:val=&quot;00C014E4&quot;/&gt;&lt;wsp:rsid wsp:val=&quot;00C01536&quot;/&gt;&lt;wsp:rsid wsp:val=&quot;00C015C7&quot;/&gt;&lt;wsp:rsid wsp:val=&quot;00C01A2D&quot;/&gt;&lt;wsp:rsid wsp:val=&quot;00C02275&quot;/&gt;&lt;wsp:rsid wsp:val=&quot;00C027BB&quot;/&gt;&lt;wsp:rsid wsp:val=&quot;00C02A1C&quot;/&gt;&lt;wsp:rsid wsp:val=&quot;00C02CF7&quot;/&gt;&lt;wsp:rsid wsp:val=&quot;00C02ECB&quot;/&gt;&lt;wsp:rsid wsp:val=&quot;00C03220&quot;/&gt;&lt;wsp:rsid wsp:val=&quot;00C0403C&quot;/&gt;&lt;wsp:rsid wsp:val=&quot;00C040FB&quot;/&gt;&lt;wsp:rsid wsp:val=&quot;00C047AA&quot;/&gt;&lt;wsp:rsid wsp:val=&quot;00C047AF&quot;/&gt;&lt;wsp:rsid wsp:val=&quot;00C047CD&quot;/&gt;&lt;wsp:rsid wsp:val=&quot;00C04DF7&quot;/&gt;&lt;wsp:rsid wsp:val=&quot;00C05197&quot;/&gt;&lt;wsp:rsid wsp:val=&quot;00C05220&quot;/&gt;&lt;wsp:rsid wsp:val=&quot;00C053DF&quot;/&gt;&lt;wsp:rsid wsp:val=&quot;00C058E5&quot;/&gt;&lt;wsp:rsid wsp:val=&quot;00C05BDF&quot;/&gt;&lt;wsp:rsid wsp:val=&quot;00C05F9A&quot;/&gt;&lt;wsp:rsid wsp:val=&quot;00C06033&quot;/&gt;&lt;wsp:rsid wsp:val=&quot;00C06137&quot;/&gt;&lt;wsp:rsid wsp:val=&quot;00C06D8D&quot;/&gt;&lt;wsp:rsid wsp:val=&quot;00C07332&quot;/&gt;&lt;wsp:rsid wsp:val=&quot;00C07426&quot;/&gt;&lt;wsp:rsid wsp:val=&quot;00C07851&quot;/&gt;&lt;wsp:rsid wsp:val=&quot;00C07FEA&quot;/&gt;&lt;wsp:rsid wsp:val=&quot;00C1007C&quot;/&gt;&lt;wsp:rsid wsp:val=&quot;00C10AE1&quot;/&gt;&lt;wsp:rsid wsp:val=&quot;00C11046&quot;/&gt;&lt;wsp:rsid wsp:val=&quot;00C111A8&quot;/&gt;&lt;wsp:rsid wsp:val=&quot;00C11762&quot;/&gt;&lt;wsp:rsid wsp:val=&quot;00C1197F&quot;/&gt;&lt;wsp:rsid wsp:val=&quot;00C11A26&quot;/&gt;&lt;wsp:rsid wsp:val=&quot;00C11E64&quot;/&gt;&lt;wsp:rsid wsp:val=&quot;00C122CE&quot;/&gt;&lt;wsp:rsid wsp:val=&quot;00C123A3&quot;/&gt;&lt;wsp:rsid wsp:val=&quot;00C1278C&quot;/&gt;&lt;wsp:rsid wsp:val=&quot;00C127EE&quot;/&gt;&lt;wsp:rsid wsp:val=&quot;00C1296B&quot;/&gt;&lt;wsp:rsid wsp:val=&quot;00C12D60&quot;/&gt;&lt;wsp:rsid wsp:val=&quot;00C131FD&quot;/&gt;&lt;wsp:rsid wsp:val=&quot;00C1332B&quot;/&gt;&lt;wsp:rsid wsp:val=&quot;00C136C0&quot;/&gt;&lt;wsp:rsid wsp:val=&quot;00C13A76&quot;/&gt;&lt;wsp:rsid wsp:val=&quot;00C148B6&quot;/&gt;&lt;wsp:rsid wsp:val=&quot;00C14CE9&quot;/&gt;&lt;wsp:rsid wsp:val=&quot;00C14E66&quot;/&gt;&lt;wsp:rsid wsp:val=&quot;00C14FFA&quot;/&gt;&lt;wsp:rsid wsp:val=&quot;00C1532F&quot;/&gt;&lt;wsp:rsid wsp:val=&quot;00C1560E&quot;/&gt;&lt;wsp:rsid wsp:val=&quot;00C15CB0&quot;/&gt;&lt;wsp:rsid wsp:val=&quot;00C15D40&quot;/&gt;&lt;wsp:rsid wsp:val=&quot;00C161E0&quot;/&gt;&lt;wsp:rsid wsp:val=&quot;00C164EA&quot;/&gt;&lt;wsp:rsid wsp:val=&quot;00C16693&quot;/&gt;&lt;wsp:rsid wsp:val=&quot;00C16790&quot;/&gt;&lt;wsp:rsid wsp:val=&quot;00C16C13&quot;/&gt;&lt;wsp:rsid wsp:val=&quot;00C16E2F&quot;/&gt;&lt;wsp:rsid wsp:val=&quot;00C17058&quot;/&gt;&lt;wsp:rsid wsp:val=&quot;00C17066&quot;/&gt;&lt;wsp:rsid wsp:val=&quot;00C17151&quot;/&gt;&lt;wsp:rsid wsp:val=&quot;00C17B40&quot;/&gt;&lt;wsp:rsid wsp:val=&quot;00C202AD&quot;/&gt;&lt;wsp:rsid wsp:val=&quot;00C20434&quot;/&gt;&lt;wsp:rsid wsp:val=&quot;00C20674&quot;/&gt;&lt;wsp:rsid wsp:val=&quot;00C2086E&quot;/&gt;&lt;wsp:rsid wsp:val=&quot;00C21002&quot;/&gt;&lt;wsp:rsid wsp:val=&quot;00C21547&quot;/&gt;&lt;wsp:rsid wsp:val=&quot;00C21C64&quot;/&gt;&lt;wsp:rsid wsp:val=&quot;00C22762&quot;/&gt;&lt;wsp:rsid wsp:val=&quot;00C23754&quot;/&gt;&lt;wsp:rsid wsp:val=&quot;00C237B8&quot;/&gt;&lt;wsp:rsid wsp:val=&quot;00C239E4&quot;/&gt;&lt;wsp:rsid wsp:val=&quot;00C239EA&quot;/&gt;&lt;wsp:rsid wsp:val=&quot;00C23ADC&quot;/&gt;&lt;wsp:rsid wsp:val=&quot;00C23EA9&quot;/&gt;&lt;wsp:rsid wsp:val=&quot;00C24276&quot;/&gt;&lt;wsp:rsid wsp:val=&quot;00C2451C&quot;/&gt;&lt;wsp:rsid wsp:val=&quot;00C246E2&quot;/&gt;&lt;wsp:rsid wsp:val=&quot;00C25292&quot;/&gt;&lt;wsp:rsid wsp:val=&quot;00C2581E&quot;/&gt;&lt;wsp:rsid wsp:val=&quot;00C25A00&quot;/&gt;&lt;wsp:rsid wsp:val=&quot;00C25CA4&quot;/&gt;&lt;wsp:rsid wsp:val=&quot;00C2601E&quot;/&gt;&lt;wsp:rsid wsp:val=&quot;00C261C6&quot;/&gt;&lt;wsp:rsid wsp:val=&quot;00C26976&quot;/&gt;&lt;wsp:rsid wsp:val=&quot;00C26C18&quot;/&gt;&lt;wsp:rsid wsp:val=&quot;00C27907&quot;/&gt;&lt;wsp:rsid wsp:val=&quot;00C27FD0&quot;/&gt;&lt;wsp:rsid wsp:val=&quot;00C301CE&quot;/&gt;&lt;wsp:rsid wsp:val=&quot;00C31126&quot;/&gt;&lt;wsp:rsid wsp:val=&quot;00C31A91&quot;/&gt;&lt;wsp:rsid wsp:val=&quot;00C31B47&quot;/&gt;&lt;wsp:rsid wsp:val=&quot;00C31BC9&quot;/&gt;&lt;wsp:rsid wsp:val=&quot;00C31E95&quot;/&gt;&lt;wsp:rsid wsp:val=&quot;00C3259F&quot;/&gt;&lt;wsp:rsid wsp:val=&quot;00C32F10&quot;/&gt;&lt;wsp:rsid wsp:val=&quot;00C33205&quot;/&gt;&lt;wsp:rsid wsp:val=&quot;00C33A96&quot;/&gt;&lt;wsp:rsid wsp:val=&quot;00C33B6D&quot;/&gt;&lt;wsp:rsid wsp:val=&quot;00C33DE0&quot;/&gt;&lt;wsp:rsid wsp:val=&quot;00C344B1&quot;/&gt;&lt;wsp:rsid wsp:val=&quot;00C345F6&quot;/&gt;&lt;wsp:rsid wsp:val=&quot;00C35004&quot;/&gt;&lt;wsp:rsid wsp:val=&quot;00C351EC&quot;/&gt;&lt;wsp:rsid wsp:val=&quot;00C357D0&quot;/&gt;&lt;wsp:rsid wsp:val=&quot;00C35EE3&quot;/&gt;&lt;wsp:rsid wsp:val=&quot;00C3621A&quot;/&gt;&lt;wsp:rsid wsp:val=&quot;00C363D4&quot;/&gt;&lt;wsp:rsid wsp:val=&quot;00C3664D&quot;/&gt;&lt;wsp:rsid wsp:val=&quot;00C36741&quot;/&gt;&lt;wsp:rsid wsp:val=&quot;00C3744F&quot;/&gt;&lt;wsp:rsid wsp:val=&quot;00C37831&quot;/&gt;&lt;wsp:rsid wsp:val=&quot;00C401F2&quot;/&gt;&lt;wsp:rsid wsp:val=&quot;00C40221&quot;/&gt;&lt;wsp:rsid wsp:val=&quot;00C40327&quot;/&gt;&lt;wsp:rsid wsp:val=&quot;00C40594&quot;/&gt;&lt;wsp:rsid wsp:val=&quot;00C40629&quot;/&gt;&lt;wsp:rsid wsp:val=&quot;00C406C2&quot;/&gt;&lt;wsp:rsid wsp:val=&quot;00C406FF&quot;/&gt;&lt;wsp:rsid wsp:val=&quot;00C407FA&quot;/&gt;&lt;wsp:rsid wsp:val=&quot;00C40CA8&quot;/&gt;&lt;wsp:rsid wsp:val=&quot;00C40EB9&quot;/&gt;&lt;wsp:rsid wsp:val=&quot;00C410BC&quot;/&gt;&lt;wsp:rsid wsp:val=&quot;00C418AA&quot;/&gt;&lt;wsp:rsid wsp:val=&quot;00C421D5&quot;/&gt;&lt;wsp:rsid wsp:val=&quot;00C422D0&quot;/&gt;&lt;wsp:rsid wsp:val=&quot;00C4233C&quot;/&gt;&lt;wsp:rsid wsp:val=&quot;00C42B75&quot;/&gt;&lt;wsp:rsid wsp:val=&quot;00C434C4&quot;/&gt;&lt;wsp:rsid wsp:val=&quot;00C438E1&quot;/&gt;&lt;wsp:rsid wsp:val=&quot;00C43C46&quot;/&gt;&lt;wsp:rsid wsp:val=&quot;00C43CC5&quot;/&gt;&lt;wsp:rsid wsp:val=&quot;00C43CEA&quot;/&gt;&lt;wsp:rsid wsp:val=&quot;00C4407E&quot;/&gt;&lt;wsp:rsid wsp:val=&quot;00C44A80&quot;/&gt;&lt;wsp:rsid wsp:val=&quot;00C44DC6&quot;/&gt;&lt;wsp:rsid wsp:val=&quot;00C44E9D&quot;/&gt;&lt;wsp:rsid wsp:val=&quot;00C45B14&quot;/&gt;&lt;wsp:rsid wsp:val=&quot;00C45C95&quot;/&gt;&lt;wsp:rsid wsp:val=&quot;00C4619B&quot;/&gt;&lt;wsp:rsid wsp:val=&quot;00C46375&quot;/&gt;&lt;wsp:rsid wsp:val=&quot;00C46B4A&quot;/&gt;&lt;wsp:rsid wsp:val=&quot;00C4748B&quot;/&gt;&lt;wsp:rsid wsp:val=&quot;00C474EA&quot;/&gt;&lt;wsp:rsid wsp:val=&quot;00C47B60&quot;/&gt;&lt;wsp:rsid wsp:val=&quot;00C47DBB&quot;/&gt;&lt;wsp:rsid wsp:val=&quot;00C500BE&quot;/&gt;&lt;wsp:rsid wsp:val=&quot;00C50A50&quot;/&gt;&lt;wsp:rsid wsp:val=&quot;00C50C0C&quot;/&gt;&lt;wsp:rsid wsp:val=&quot;00C51232&quot;/&gt;&lt;wsp:rsid wsp:val=&quot;00C5157D&quot;/&gt;&lt;wsp:rsid wsp:val=&quot;00C51E08&quot;/&gt;&lt;wsp:rsid wsp:val=&quot;00C51E83&quot;/&gt;&lt;wsp:rsid wsp:val=&quot;00C5266B&quot;/&gt;&lt;wsp:rsid wsp:val=&quot;00C52B54&quot;/&gt;&lt;wsp:rsid wsp:val=&quot;00C52DBA&quot;/&gt;&lt;wsp:rsid wsp:val=&quot;00C52E4C&quot;/&gt;&lt;wsp:rsid wsp:val=&quot;00C52F5A&quot;/&gt;&lt;wsp:rsid wsp:val=&quot;00C5317C&quot;/&gt;&lt;wsp:rsid wsp:val=&quot;00C532C7&quot;/&gt;&lt;wsp:rsid wsp:val=&quot;00C53463&quot;/&gt;&lt;wsp:rsid wsp:val=&quot;00C53A81&quot;/&gt;&lt;wsp:rsid wsp:val=&quot;00C54358&quot;/&gt;&lt;wsp:rsid wsp:val=&quot;00C548C9&quot;/&gt;&lt;wsp:rsid wsp:val=&quot;00C54BE7&quot;/&gt;&lt;wsp:rsid wsp:val=&quot;00C54DB2&quot;/&gt;&lt;wsp:rsid wsp:val=&quot;00C54F9A&quot;/&gt;&lt;wsp:rsid wsp:val=&quot;00C55418&quot;/&gt;&lt;wsp:rsid wsp:val=&quot;00C55D1F&quot;/&gt;&lt;wsp:rsid wsp:val=&quot;00C55DF8&quot;/&gt;&lt;wsp:rsid wsp:val=&quot;00C55E60&quot;/&gt;&lt;wsp:rsid wsp:val=&quot;00C5635F&quot;/&gt;&lt;wsp:rsid wsp:val=&quot;00C56383&quot;/&gt;&lt;wsp:rsid wsp:val=&quot;00C56BB4&quot;/&gt;&lt;wsp:rsid wsp:val=&quot;00C56C02&quot;/&gt;&lt;wsp:rsid wsp:val=&quot;00C56C58&quot;/&gt;&lt;wsp:rsid wsp:val=&quot;00C56E38&quot;/&gt;&lt;wsp:rsid wsp:val=&quot;00C56EC9&quot;/&gt;&lt;wsp:rsid wsp:val=&quot;00C5765F&quot;/&gt;&lt;wsp:rsid wsp:val=&quot;00C577B5&quot;/&gt;&lt;wsp:rsid wsp:val=&quot;00C57E05&quot;/&gt;&lt;wsp:rsid wsp:val=&quot;00C57E2A&quot;/&gt;&lt;wsp:rsid wsp:val=&quot;00C60338&quot;/&gt;&lt;wsp:rsid wsp:val=&quot;00C603A8&quot;/&gt;&lt;wsp:rsid wsp:val=&quot;00C604B9&quot;/&gt;&lt;wsp:rsid wsp:val=&quot;00C60B45&quot;/&gt;&lt;wsp:rsid wsp:val=&quot;00C60BB5&quot;/&gt;&lt;wsp:rsid wsp:val=&quot;00C614A1&quot;/&gt;&lt;wsp:rsid wsp:val=&quot;00C61832&quot;/&gt;&lt;wsp:rsid wsp:val=&quot;00C61ADD&quot;/&gt;&lt;wsp:rsid wsp:val=&quot;00C61D3E&quot;/&gt;&lt;wsp:rsid wsp:val=&quot;00C6209B&quot;/&gt;&lt;wsp:rsid wsp:val=&quot;00C6212C&quot;/&gt;&lt;wsp:rsid wsp:val=&quot;00C6257C&quot;/&gt;&lt;wsp:rsid wsp:val=&quot;00C62770&quot;/&gt;&lt;wsp:rsid wsp:val=&quot;00C631B4&quot;/&gt;&lt;wsp:rsid wsp:val=&quot;00C631CE&quot;/&gt;&lt;wsp:rsid wsp:val=&quot;00C637BC&quot;/&gt;&lt;wsp:rsid wsp:val=&quot;00C63978&quot;/&gt;&lt;wsp:rsid wsp:val=&quot;00C63BCF&quot;/&gt;&lt;wsp:rsid wsp:val=&quot;00C63F45&quot;/&gt;&lt;wsp:rsid wsp:val=&quot;00C63FCE&quot;/&gt;&lt;wsp:rsid wsp:val=&quot;00C6403E&quot;/&gt;&lt;wsp:rsid wsp:val=&quot;00C645F7&quot;/&gt;&lt;wsp:rsid wsp:val=&quot;00C64DF7&quot;/&gt;&lt;wsp:rsid wsp:val=&quot;00C64E70&quot;/&gt;&lt;wsp:rsid wsp:val=&quot;00C64FD0&quot;/&gt;&lt;wsp:rsid wsp:val=&quot;00C651C0&quot;/&gt;&lt;wsp:rsid wsp:val=&quot;00C65BBB&quot;/&gt;&lt;wsp:rsid wsp:val=&quot;00C66067&quot;/&gt;&lt;wsp:rsid wsp:val=&quot;00C6688E&quot;/&gt;&lt;wsp:rsid wsp:val=&quot;00C6697B&quot;/&gt;&lt;wsp:rsid wsp:val=&quot;00C66AC0&quot;/&gt;&lt;wsp:rsid wsp:val=&quot;00C66B9C&quot;/&gt;&lt;wsp:rsid wsp:val=&quot;00C66CB7&quot;/&gt;&lt;wsp:rsid wsp:val=&quot;00C672B3&quot;/&gt;&lt;wsp:rsid wsp:val=&quot;00C677C6&quot;/&gt;&lt;wsp:rsid wsp:val=&quot;00C677FD&quot;/&gt;&lt;wsp:rsid wsp:val=&quot;00C67C18&quot;/&gt;&lt;wsp:rsid wsp:val=&quot;00C67DEA&quot;/&gt;&lt;wsp:rsid wsp:val=&quot;00C67E5F&quot;/&gt;&lt;wsp:rsid wsp:val=&quot;00C701D9&quot;/&gt;&lt;wsp:rsid wsp:val=&quot;00C70C41&quot;/&gt;&lt;wsp:rsid wsp:val=&quot;00C71482&quot;/&gt;&lt;wsp:rsid wsp:val=&quot;00C71641&quot;/&gt;&lt;wsp:rsid wsp:val=&quot;00C720F7&quot;/&gt;&lt;wsp:rsid wsp:val=&quot;00C723D1&quot;/&gt;&lt;wsp:rsid wsp:val=&quot;00C72967&quot;/&gt;&lt;wsp:rsid wsp:val=&quot;00C730AC&quot;/&gt;&lt;wsp:rsid wsp:val=&quot;00C734B8&quot;/&gt;&lt;wsp:rsid wsp:val=&quot;00C739AA&quot;/&gt;&lt;wsp:rsid wsp:val=&quot;00C74392&quot;/&gt;&lt;wsp:rsid wsp:val=&quot;00C75E1B&quot;/&gt;&lt;wsp:rsid wsp:val=&quot;00C76084&quot;/&gt;&lt;wsp:rsid wsp:val=&quot;00C763BC&quot;/&gt;&lt;wsp:rsid wsp:val=&quot;00C764D9&quot;/&gt;&lt;wsp:rsid wsp:val=&quot;00C766B5&quot;/&gt;&lt;wsp:rsid wsp:val=&quot;00C769E6&quot;/&gt;&lt;wsp:rsid wsp:val=&quot;00C769F8&quot;/&gt;&lt;wsp:rsid wsp:val=&quot;00C76B2A&quot;/&gt;&lt;wsp:rsid wsp:val=&quot;00C770C1&quot;/&gt;&lt;wsp:rsid wsp:val=&quot;00C77250&quot;/&gt;&lt;wsp:rsid wsp:val=&quot;00C77410&quot;/&gt;&lt;wsp:rsid wsp:val=&quot;00C7778C&quot;/&gt;&lt;wsp:rsid wsp:val=&quot;00C77FDE&quot;/&gt;&lt;wsp:rsid wsp:val=&quot;00C800C7&quot;/&gt;&lt;wsp:rsid wsp:val=&quot;00C80404&quot;/&gt;&lt;wsp:rsid wsp:val=&quot;00C80B4A&quot;/&gt;&lt;wsp:rsid wsp:val=&quot;00C80FD7&quot;/&gt;&lt;wsp:rsid wsp:val=&quot;00C8103B&quot;/&gt;&lt;wsp:rsid wsp:val=&quot;00C810A1&quot;/&gt;&lt;wsp:rsid wsp:val=&quot;00C81593&quot;/&gt;&lt;wsp:rsid wsp:val=&quot;00C81DBC&quot;/&gt;&lt;wsp:rsid wsp:val=&quot;00C81E8C&quot;/&gt;&lt;wsp:rsid wsp:val=&quot;00C82353&quot;/&gt;&lt;wsp:rsid wsp:val=&quot;00C824B9&quot;/&gt;&lt;wsp:rsid wsp:val=&quot;00C82818&quot;/&gt;&lt;wsp:rsid wsp:val=&quot;00C82A23&quot;/&gt;&lt;wsp:rsid wsp:val=&quot;00C82B6A&quot;/&gt;&lt;wsp:rsid wsp:val=&quot;00C82EAA&quot;/&gt;&lt;wsp:rsid wsp:val=&quot;00C832AE&quot;/&gt;&lt;wsp:rsid wsp:val=&quot;00C83845&quot;/&gt;&lt;wsp:rsid wsp:val=&quot;00C8395F&quot;/&gt;&lt;wsp:rsid wsp:val=&quot;00C83E8E&quot;/&gt;&lt;wsp:rsid wsp:val=&quot;00C8500C&quot;/&gt;&lt;wsp:rsid wsp:val=&quot;00C8504D&quot;/&gt;&lt;wsp:rsid wsp:val=&quot;00C857BD&quot;/&gt;&lt;wsp:rsid wsp:val=&quot;00C85B1A&quot;/&gt;&lt;wsp:rsid wsp:val=&quot;00C85C16&quot;/&gt;&lt;wsp:rsid wsp:val=&quot;00C85C46&quot;/&gt;&lt;wsp:rsid wsp:val=&quot;00C85CF3&quot;/&gt;&lt;wsp:rsid wsp:val=&quot;00C85DD6&quot;/&gt;&lt;wsp:rsid wsp:val=&quot;00C862B8&quot;/&gt;&lt;wsp:rsid wsp:val=&quot;00C862F3&quot;/&gt;&lt;wsp:rsid wsp:val=&quot;00C863B3&quot;/&gt;&lt;wsp:rsid wsp:val=&quot;00C8656C&quot;/&gt;&lt;wsp:rsid wsp:val=&quot;00C865E0&quot;/&gt;&lt;wsp:rsid wsp:val=&quot;00C8669F&quot;/&gt;&lt;wsp:rsid wsp:val=&quot;00C870AB&quot;/&gt;&lt;wsp:rsid wsp:val=&quot;00C87233&quot;/&gt;&lt;wsp:rsid wsp:val=&quot;00C8730D&quot;/&gt;&lt;wsp:rsid wsp:val=&quot;00C876DE&quot;/&gt;&lt;wsp:rsid wsp:val=&quot;00C876FA&quot;/&gt;&lt;wsp:rsid wsp:val=&quot;00C87749&quot;/&gt;&lt;wsp:rsid wsp:val=&quot;00C87C4F&quot;/&gt;&lt;wsp:rsid wsp:val=&quot;00C87F02&quot;/&gt;&lt;wsp:rsid wsp:val=&quot;00C90071&quot;/&gt;&lt;wsp:rsid wsp:val=&quot;00C90EC6&quot;/&gt;&lt;wsp:rsid wsp:val=&quot;00C90F7D&quot;/&gt;&lt;wsp:rsid wsp:val=&quot;00C91053&quot;/&gt;&lt;wsp:rsid wsp:val=&quot;00C9132D&quot;/&gt;&lt;wsp:rsid wsp:val=&quot;00C91D7C&quot;/&gt;&lt;wsp:rsid wsp:val=&quot;00C91F1D&quot;/&gt;&lt;wsp:rsid wsp:val=&quot;00C91FBF&quot;/&gt;&lt;wsp:rsid wsp:val=&quot;00C9251C&quot;/&gt;&lt;wsp:rsid wsp:val=&quot;00C92978&quot;/&gt;&lt;wsp:rsid wsp:val=&quot;00C92BF8&quot;/&gt;&lt;wsp:rsid wsp:val=&quot;00C92D9A&quot;/&gt;&lt;wsp:rsid wsp:val=&quot;00C92E23&quot;/&gt;&lt;wsp:rsid wsp:val=&quot;00C9319E&quot;/&gt;&lt;wsp:rsid wsp:val=&quot;00C9321C&quot;/&gt;&lt;wsp:rsid wsp:val=&quot;00C93AEB&quot;/&gt;&lt;wsp:rsid wsp:val=&quot;00C93E73&quot;/&gt;&lt;wsp:rsid wsp:val=&quot;00C9441E&quot;/&gt;&lt;wsp:rsid wsp:val=&quot;00C95054&quot;/&gt;&lt;wsp:rsid wsp:val=&quot;00C9547B&quot;/&gt;&lt;wsp:rsid wsp:val=&quot;00C9586B&quot;/&gt;&lt;wsp:rsid wsp:val=&quot;00C958F7&quot;/&gt;&lt;wsp:rsid wsp:val=&quot;00C95DD4&quot;/&gt;&lt;wsp:rsid wsp:val=&quot;00C963C0&quot;/&gt;&lt;wsp:rsid wsp:val=&quot;00C9686A&quot;/&gt;&lt;wsp:rsid wsp:val=&quot;00C96B19&quot;/&gt;&lt;wsp:rsid wsp:val=&quot;00C9732E&quot;/&gt;&lt;wsp:rsid wsp:val=&quot;00C97359&quot;/&gt;&lt;wsp:rsid wsp:val=&quot;00C97577&quot;/&gt;&lt;wsp:rsid wsp:val=&quot;00C97A1A&quot;/&gt;&lt;wsp:rsid wsp:val=&quot;00C97C57&quot;/&gt;&lt;wsp:rsid wsp:val=&quot;00CA0297&quot;/&gt;&lt;wsp:rsid wsp:val=&quot;00CA0CA5&quot;/&gt;&lt;wsp:rsid wsp:val=&quot;00CA0DB4&quot;/&gt;&lt;wsp:rsid wsp:val=&quot;00CA1A3A&quot;/&gt;&lt;wsp:rsid wsp:val=&quot;00CA1CF1&quot;/&gt;&lt;wsp:rsid wsp:val=&quot;00CA1E5C&quot;/&gt;&lt;wsp:rsid wsp:val=&quot;00CA1E74&quot;/&gt;&lt;wsp:rsid wsp:val=&quot;00CA2299&quot;/&gt;&lt;wsp:rsid wsp:val=&quot;00CA23CB&quot;/&gt;&lt;wsp:rsid wsp:val=&quot;00CA272D&quot;/&gt;&lt;wsp:rsid wsp:val=&quot;00CA28B1&quot;/&gt;&lt;wsp:rsid wsp:val=&quot;00CA3504&quot;/&gt;&lt;wsp:rsid wsp:val=&quot;00CA3610&quot;/&gt;&lt;wsp:rsid wsp:val=&quot;00CA3C7C&quot;/&gt;&lt;wsp:rsid wsp:val=&quot;00CA4060&quot;/&gt;&lt;wsp:rsid wsp:val=&quot;00CA48A5&quot;/&gt;&lt;wsp:rsid wsp:val=&quot;00CA4E42&quot;/&gt;&lt;wsp:rsid wsp:val=&quot;00CA50AF&quot;/&gt;&lt;wsp:rsid wsp:val=&quot;00CA570C&quot;/&gt;&lt;wsp:rsid wsp:val=&quot;00CA5972&quot;/&gt;&lt;wsp:rsid wsp:val=&quot;00CA5A75&quot;/&gt;&lt;wsp:rsid wsp:val=&quot;00CA5BE4&quot;/&gt;&lt;wsp:rsid wsp:val=&quot;00CA5F79&quot;/&gt;&lt;wsp:rsid wsp:val=&quot;00CA6426&quot;/&gt;&lt;wsp:rsid wsp:val=&quot;00CA6459&quot;/&gt;&lt;wsp:rsid wsp:val=&quot;00CA6A09&quot;/&gt;&lt;wsp:rsid wsp:val=&quot;00CA7265&quot;/&gt;&lt;wsp:rsid wsp:val=&quot;00CA72BA&quot;/&gt;&lt;wsp:rsid wsp:val=&quot;00CA7AB1&quot;/&gt;&lt;wsp:rsid wsp:val=&quot;00CA7D3A&quot;/&gt;&lt;wsp:rsid wsp:val=&quot;00CB07A0&quot;/&gt;&lt;wsp:rsid wsp:val=&quot;00CB0B9D&quot;/&gt;&lt;wsp:rsid wsp:val=&quot;00CB0BC5&quot;/&gt;&lt;wsp:rsid wsp:val=&quot;00CB0ECA&quot;/&gt;&lt;wsp:rsid wsp:val=&quot;00CB12B4&quot;/&gt;&lt;wsp:rsid wsp:val=&quot;00CB15DB&quot;/&gt;&lt;wsp:rsid wsp:val=&quot;00CB16BB&quot;/&gt;&lt;wsp:rsid wsp:val=&quot;00CB232F&quot;/&gt;&lt;wsp:rsid wsp:val=&quot;00CB2BD2&quot;/&gt;&lt;wsp:rsid wsp:val=&quot;00CB2EBB&quot;/&gt;&lt;wsp:rsid wsp:val=&quot;00CB3170&quot;/&gt;&lt;wsp:rsid wsp:val=&quot;00CB3184&quot;/&gt;&lt;wsp:rsid wsp:val=&quot;00CB3323&quot;/&gt;&lt;wsp:rsid wsp:val=&quot;00CB390E&quot;/&gt;&lt;wsp:rsid wsp:val=&quot;00CB3DFF&quot;/&gt;&lt;wsp:rsid wsp:val=&quot;00CB5693&quot;/&gt;&lt;wsp:rsid wsp:val=&quot;00CB584C&quot;/&gt;&lt;wsp:rsid wsp:val=&quot;00CB5AEC&quot;/&gt;&lt;wsp:rsid wsp:val=&quot;00CB5C40&quot;/&gt;&lt;wsp:rsid wsp:val=&quot;00CB60D0&quot;/&gt;&lt;wsp:rsid wsp:val=&quot;00CB6255&quot;/&gt;&lt;wsp:rsid wsp:val=&quot;00CB6278&quot;/&gt;&lt;wsp:rsid wsp:val=&quot;00CB6660&quot;/&gt;&lt;wsp:rsid wsp:val=&quot;00CB711B&quot;/&gt;&lt;wsp:rsid wsp:val=&quot;00CB75C4&quot;/&gt;&lt;wsp:rsid wsp:val=&quot;00CB7EA4&quot;/&gt;&lt;wsp:rsid wsp:val=&quot;00CB7FE2&quot;/&gt;&lt;wsp:rsid wsp:val=&quot;00CB7FF4&quot;/&gt;&lt;wsp:rsid wsp:val=&quot;00CC05DC&quot;/&gt;&lt;wsp:rsid wsp:val=&quot;00CC0A6A&quot;/&gt;&lt;wsp:rsid wsp:val=&quot;00CC0F8E&quot;/&gt;&lt;wsp:rsid wsp:val=&quot;00CC111C&quot;/&gt;&lt;wsp:rsid wsp:val=&quot;00CC125C&quot;/&gt;&lt;wsp:rsid wsp:val=&quot;00CC12FE&quot;/&gt;&lt;wsp:rsid wsp:val=&quot;00CC139B&quot;/&gt;&lt;wsp:rsid wsp:val=&quot;00CC1583&quot;/&gt;&lt;wsp:rsid wsp:val=&quot;00CC24DF&quot;/&gt;&lt;wsp:rsid wsp:val=&quot;00CC2B0F&quot;/&gt;&lt;wsp:rsid wsp:val=&quot;00CC2C26&quot;/&gt;&lt;wsp:rsid wsp:val=&quot;00CC3121&quot;/&gt;&lt;wsp:rsid wsp:val=&quot;00CC332B&quot;/&gt;&lt;wsp:rsid wsp:val=&quot;00CC3987&quot;/&gt;&lt;wsp:rsid wsp:val=&quot;00CC3E5B&quot;/&gt;&lt;wsp:rsid wsp:val=&quot;00CC4DAA&quot;/&gt;&lt;wsp:rsid wsp:val=&quot;00CC4E46&quot;/&gt;&lt;wsp:rsid wsp:val=&quot;00CC5108&quot;/&gt;&lt;wsp:rsid wsp:val=&quot;00CC55C3&quot;/&gt;&lt;wsp:rsid wsp:val=&quot;00CC58EB&quot;/&gt;&lt;wsp:rsid wsp:val=&quot;00CC5CCD&quot;/&gt;&lt;wsp:rsid wsp:val=&quot;00CC5CD3&quot;/&gt;&lt;wsp:rsid wsp:val=&quot;00CC5DAF&quot;/&gt;&lt;wsp:rsid wsp:val=&quot;00CC5E1F&quot;/&gt;&lt;wsp:rsid wsp:val=&quot;00CC6166&quot;/&gt;&lt;wsp:rsid wsp:val=&quot;00CC683D&quot;/&gt;&lt;wsp:rsid wsp:val=&quot;00CC6BBD&quot;/&gt;&lt;wsp:rsid wsp:val=&quot;00CC6D49&quot;/&gt;&lt;wsp:rsid wsp:val=&quot;00CC72C8&quot;/&gt;&lt;wsp:rsid wsp:val=&quot;00CC79DE&quot;/&gt;&lt;wsp:rsid wsp:val=&quot;00CC7A94&quot;/&gt;&lt;wsp:rsid wsp:val=&quot;00CC7FA3&quot;/&gt;&lt;wsp:rsid wsp:val=&quot;00CD009E&quot;/&gt;&lt;wsp:rsid wsp:val=&quot;00CD0586&quot;/&gt;&lt;wsp:rsid wsp:val=&quot;00CD0664&quot;/&gt;&lt;wsp:rsid wsp:val=&quot;00CD076B&quot;/&gt;&lt;wsp:rsid wsp:val=&quot;00CD07AE&quot;/&gt;&lt;wsp:rsid wsp:val=&quot;00CD0EF0&quot;/&gt;&lt;wsp:rsid wsp:val=&quot;00CD1862&quot;/&gt;&lt;wsp:rsid wsp:val=&quot;00CD19EA&quot;/&gt;&lt;wsp:rsid wsp:val=&quot;00CD1FDD&quot;/&gt;&lt;wsp:rsid wsp:val=&quot;00CD245C&quot;/&gt;&lt;wsp:rsid wsp:val=&quot;00CD2EEC&quot;/&gt;&lt;wsp:rsid wsp:val=&quot;00CD3854&quot;/&gt;&lt;wsp:rsid wsp:val=&quot;00CD39B4&quot;/&gt;&lt;wsp:rsid wsp:val=&quot;00CD3CE3&quot;/&gt;&lt;wsp:rsid wsp:val=&quot;00CD403A&quot;/&gt;&lt;wsp:rsid wsp:val=&quot;00CD4181&quot;/&gt;&lt;wsp:rsid wsp:val=&quot;00CD4268&quot;/&gt;&lt;wsp:rsid wsp:val=&quot;00CD438E&quot;/&gt;&lt;wsp:rsid wsp:val=&quot;00CD48D7&quot;/&gt;&lt;wsp:rsid wsp:val=&quot;00CD4B4A&quot;/&gt;&lt;wsp:rsid wsp:val=&quot;00CD649A&quot;/&gt;&lt;wsp:rsid wsp:val=&quot;00CD6688&quot;/&gt;&lt;wsp:rsid wsp:val=&quot;00CD66EA&quot;/&gt;&lt;wsp:rsid wsp:val=&quot;00CD6E99&quot;/&gt;&lt;wsp:rsid wsp:val=&quot;00CE0186&quot;/&gt;&lt;wsp:rsid wsp:val=&quot;00CE0314&quot;/&gt;&lt;wsp:rsid wsp:val=&quot;00CE03B4&quot;/&gt;&lt;wsp:rsid wsp:val=&quot;00CE0839&quot;/&gt;&lt;wsp:rsid wsp:val=&quot;00CE0A6B&quot;/&gt;&lt;wsp:rsid wsp:val=&quot;00CE0CBB&quot;/&gt;&lt;wsp:rsid wsp:val=&quot;00CE0D5B&quot;/&gt;&lt;wsp:rsid wsp:val=&quot;00CE0F6D&quot;/&gt;&lt;wsp:rsid wsp:val=&quot;00CE1336&quot;/&gt;&lt;wsp:rsid wsp:val=&quot;00CE137C&quot;/&gt;&lt;wsp:rsid wsp:val=&quot;00CE164F&quot;/&gt;&lt;wsp:rsid wsp:val=&quot;00CE1884&quot;/&gt;&lt;wsp:rsid wsp:val=&quot;00CE1A81&quot;/&gt;&lt;wsp:rsid wsp:val=&quot;00CE1C9C&quot;/&gt;&lt;wsp:rsid wsp:val=&quot;00CE1D0C&quot;/&gt;&lt;wsp:rsid wsp:val=&quot;00CE2035&quot;/&gt;&lt;wsp:rsid wsp:val=&quot;00CE2065&quot;/&gt;&lt;wsp:rsid wsp:val=&quot;00CE209B&quot;/&gt;&lt;wsp:rsid wsp:val=&quot;00CE2117&quot;/&gt;&lt;wsp:rsid wsp:val=&quot;00CE255E&quot;/&gt;&lt;wsp:rsid wsp:val=&quot;00CE2706&quot;/&gt;&lt;wsp:rsid wsp:val=&quot;00CE2B8E&quot;/&gt;&lt;wsp:rsid wsp:val=&quot;00CE2E6C&quot;/&gt;&lt;wsp:rsid wsp:val=&quot;00CE3026&quot;/&gt;&lt;wsp:rsid wsp:val=&quot;00CE31C6&quot;/&gt;&lt;wsp:rsid wsp:val=&quot;00CE32EA&quot;/&gt;&lt;wsp:rsid wsp:val=&quot;00CE3377&quot;/&gt;&lt;wsp:rsid wsp:val=&quot;00CE359A&quot;/&gt;&lt;wsp:rsid wsp:val=&quot;00CE36A2&quot;/&gt;&lt;wsp:rsid wsp:val=&quot;00CE36F9&quot;/&gt;&lt;wsp:rsid wsp:val=&quot;00CE3724&quot;/&gt;&lt;wsp:rsid wsp:val=&quot;00CE3D96&quot;/&gt;&lt;wsp:rsid wsp:val=&quot;00CE3EF3&quot;/&gt;&lt;wsp:rsid wsp:val=&quot;00CE3F15&quot;/&gt;&lt;wsp:rsid wsp:val=&quot;00CE4747&quot;/&gt;&lt;wsp:rsid wsp:val=&quot;00CE4A90&quot;/&gt;&lt;wsp:rsid wsp:val=&quot;00CE4B3D&quot;/&gt;&lt;wsp:rsid wsp:val=&quot;00CE4DFD&quot;/&gt;&lt;wsp:rsid wsp:val=&quot;00CE501B&quot;/&gt;&lt;wsp:rsid wsp:val=&quot;00CE522B&quot;/&gt;&lt;wsp:rsid wsp:val=&quot;00CE5528&quot;/&gt;&lt;wsp:rsid wsp:val=&quot;00CE5735&quot;/&gt;&lt;wsp:rsid wsp:val=&quot;00CE5FA1&quot;/&gt;&lt;wsp:rsid wsp:val=&quot;00CE6042&quot;/&gt;&lt;wsp:rsid wsp:val=&quot;00CE6313&quot;/&gt;&lt;wsp:rsid wsp:val=&quot;00CE6477&quot;/&gt;&lt;wsp:rsid wsp:val=&quot;00CE69F3&quot;/&gt;&lt;wsp:rsid wsp:val=&quot;00CE6D19&quot;/&gt;&lt;wsp:rsid wsp:val=&quot;00CE7161&quot;/&gt;&lt;wsp:rsid wsp:val=&quot;00CE71B4&quot;/&gt;&lt;wsp:rsid wsp:val=&quot;00CE7513&quot;/&gt;&lt;wsp:rsid wsp:val=&quot;00CE762F&quot;/&gt;&lt;wsp:rsid wsp:val=&quot;00CE7C98&quot;/&gt;&lt;wsp:rsid wsp:val=&quot;00CE7CE7&quot;/&gt;&lt;wsp:rsid wsp:val=&quot;00CE7CEA&quot;/&gt;&lt;wsp:rsid wsp:val=&quot;00CE7DE3&quot;/&gt;&lt;wsp:rsid wsp:val=&quot;00CF0D1E&quot;/&gt;&lt;wsp:rsid wsp:val=&quot;00CF0E05&quot;/&gt;&lt;wsp:rsid wsp:val=&quot;00CF1364&quot;/&gt;&lt;wsp:rsid wsp:val=&quot;00CF156F&quot;/&gt;&lt;wsp:rsid wsp:val=&quot;00CF1869&quot;/&gt;&lt;wsp:rsid wsp:val=&quot;00CF1994&quot;/&gt;&lt;wsp:rsid wsp:val=&quot;00CF1B9E&quot;/&gt;&lt;wsp:rsid wsp:val=&quot;00CF1C25&quot;/&gt;&lt;wsp:rsid wsp:val=&quot;00CF1D04&quot;/&gt;&lt;wsp:rsid wsp:val=&quot;00CF1D43&quot;/&gt;&lt;wsp:rsid wsp:val=&quot;00CF1FF9&quot;/&gt;&lt;wsp:rsid wsp:val=&quot;00CF20DA&quot;/&gt;&lt;wsp:rsid wsp:val=&quot;00CF219F&quot;/&gt;&lt;wsp:rsid wsp:val=&quot;00CF242E&quot;/&gt;&lt;wsp:rsid wsp:val=&quot;00CF2747&quot;/&gt;&lt;wsp:rsid wsp:val=&quot;00CF284B&quot;/&gt;&lt;wsp:rsid wsp:val=&quot;00CF2F52&quot;/&gt;&lt;wsp:rsid wsp:val=&quot;00CF3093&quot;/&gt;&lt;wsp:rsid wsp:val=&quot;00CF3801&quot;/&gt;&lt;wsp:rsid wsp:val=&quot;00CF3C18&quot;/&gt;&lt;wsp:rsid wsp:val=&quot;00CF4086&quot;/&gt;&lt;wsp:rsid wsp:val=&quot;00CF411A&quot;/&gt;&lt;wsp:rsid wsp:val=&quot;00CF424F&quot;/&gt;&lt;wsp:rsid wsp:val=&quot;00CF493C&quot;/&gt;&lt;wsp:rsid wsp:val=&quot;00CF49F7&quot;/&gt;&lt;wsp:rsid wsp:val=&quot;00CF4DDD&quot;/&gt;&lt;wsp:rsid wsp:val=&quot;00CF5587&quot;/&gt;&lt;wsp:rsid wsp:val=&quot;00CF5594&quot;/&gt;&lt;wsp:rsid wsp:val=&quot;00CF5895&quot;/&gt;&lt;wsp:rsid wsp:val=&quot;00CF5A1A&quot;/&gt;&lt;wsp:rsid wsp:val=&quot;00CF5A70&quot;/&gt;&lt;wsp:rsid wsp:val=&quot;00CF5A84&quot;/&gt;&lt;wsp:rsid wsp:val=&quot;00CF5A87&quot;/&gt;&lt;wsp:rsid wsp:val=&quot;00CF5BD6&quot;/&gt;&lt;wsp:rsid wsp:val=&quot;00CF5E6A&quot;/&gt;&lt;wsp:rsid wsp:val=&quot;00CF601F&quot;/&gt;&lt;wsp:rsid wsp:val=&quot;00CF60F3&quot;/&gt;&lt;wsp:rsid wsp:val=&quot;00CF6BF0&quot;/&gt;&lt;wsp:rsid wsp:val=&quot;00CF6FA7&quot;/&gt;&lt;wsp:rsid wsp:val=&quot;00CF70B1&quot;/&gt;&lt;wsp:rsid wsp:val=&quot;00CF76F5&quot;/&gt;&lt;wsp:rsid wsp:val=&quot;00CF7AB0&quot;/&gt;&lt;wsp:rsid wsp:val=&quot;00CF7EAE&quot;/&gt;&lt;wsp:rsid wsp:val=&quot;00D001EB&quot;/&gt;&lt;wsp:rsid wsp:val=&quot;00D002F0&quot;/&gt;&lt;wsp:rsid wsp:val=&quot;00D00414&quot;/&gt;&lt;wsp:rsid wsp:val=&quot;00D007D2&quot;/&gt;&lt;wsp:rsid wsp:val=&quot;00D007F1&quot;/&gt;&lt;wsp:rsid wsp:val=&quot;00D00F56&quot;/&gt;&lt;wsp:rsid wsp:val=&quot;00D01050&quot;/&gt;&lt;wsp:rsid wsp:val=&quot;00D0114F&quot;/&gt;&lt;wsp:rsid wsp:val=&quot;00D01231&quot;/&gt;&lt;wsp:rsid wsp:val=&quot;00D01919&quot;/&gt;&lt;wsp:rsid wsp:val=&quot;00D01A66&quot;/&gt;&lt;wsp:rsid wsp:val=&quot;00D01DF6&quot;/&gt;&lt;wsp:rsid wsp:val=&quot;00D02078&quot;/&gt;&lt;wsp:rsid wsp:val=&quot;00D02209&quot;/&gt;&lt;wsp:rsid wsp:val=&quot;00D02A0F&quot;/&gt;&lt;wsp:rsid wsp:val=&quot;00D02B30&quot;/&gt;&lt;wsp:rsid wsp:val=&quot;00D031AA&quot;/&gt;&lt;wsp:rsid wsp:val=&quot;00D03213&quot;/&gt;&lt;wsp:rsid wsp:val=&quot;00D03827&quot;/&gt;&lt;wsp:rsid wsp:val=&quot;00D0422B&quot;/&gt;&lt;wsp:rsid wsp:val=&quot;00D0480F&quot;/&gt;&lt;wsp:rsid wsp:val=&quot;00D055D7&quot;/&gt;&lt;wsp:rsid wsp:val=&quot;00D06122&quot;/&gt;&lt;wsp:rsid wsp:val=&quot;00D062C0&quot;/&gt;&lt;wsp:rsid wsp:val=&quot;00D06474&quot;/&gt;&lt;wsp:rsid wsp:val=&quot;00D06C46&quot;/&gt;&lt;wsp:rsid wsp:val=&quot;00D06CA1&quot;/&gt;&lt;wsp:rsid wsp:val=&quot;00D07DC6&quot;/&gt;&lt;wsp:rsid wsp:val=&quot;00D10103&quot;/&gt;&lt;wsp:rsid wsp:val=&quot;00D116FE&quot;/&gt;&lt;wsp:rsid wsp:val=&quot;00D11AED&quot;/&gt;&lt;wsp:rsid wsp:val=&quot;00D11CB7&quot;/&gt;&lt;wsp:rsid wsp:val=&quot;00D12127&quot;/&gt;&lt;wsp:rsid wsp:val=&quot;00D1216C&quot;/&gt;&lt;wsp:rsid wsp:val=&quot;00D12416&quot;/&gt;&lt;wsp:rsid wsp:val=&quot;00D12561&quot;/&gt;&lt;wsp:rsid wsp:val=&quot;00D1287A&quot;/&gt;&lt;wsp:rsid wsp:val=&quot;00D13285&quot;/&gt;&lt;wsp:rsid wsp:val=&quot;00D132B5&quot;/&gt;&lt;wsp:rsid wsp:val=&quot;00D13713&quot;/&gt;&lt;wsp:rsid wsp:val=&quot;00D1386C&quot;/&gt;&lt;wsp:rsid wsp:val=&quot;00D13AAC&quot;/&gt;&lt;wsp:rsid wsp:val=&quot;00D13B8E&quot;/&gt;&lt;wsp:rsid wsp:val=&quot;00D141A0&quot;/&gt;&lt;wsp:rsid wsp:val=&quot;00D14744&quot;/&gt;&lt;wsp:rsid wsp:val=&quot;00D14781&quot;/&gt;&lt;wsp:rsid wsp:val=&quot;00D149EB&quot;/&gt;&lt;wsp:rsid wsp:val=&quot;00D14C52&quot;/&gt;&lt;wsp:rsid wsp:val=&quot;00D1531A&quot;/&gt;&lt;wsp:rsid wsp:val=&quot;00D155D5&quot;/&gt;&lt;wsp:rsid wsp:val=&quot;00D157CF&quot;/&gt;&lt;wsp:rsid wsp:val=&quot;00D160E9&quot;/&gt;&lt;wsp:rsid wsp:val=&quot;00D16123&quot;/&gt;&lt;wsp:rsid wsp:val=&quot;00D16603&quot;/&gt;&lt;wsp:rsid wsp:val=&quot;00D16C00&quot;/&gt;&lt;wsp:rsid wsp:val=&quot;00D174C5&quot;/&gt;&lt;wsp:rsid wsp:val=&quot;00D17588&quot;/&gt;&lt;wsp:rsid wsp:val=&quot;00D17B00&quot;/&gt;&lt;wsp:rsid wsp:val=&quot;00D17EDF&quot;/&gt;&lt;wsp:rsid wsp:val=&quot;00D202A3&quot;/&gt;&lt;wsp:rsid wsp:val=&quot;00D205A4&quot;/&gt;&lt;wsp:rsid wsp:val=&quot;00D20627&quot;/&gt;&lt;wsp:rsid wsp:val=&quot;00D207EE&quot;/&gt;&lt;wsp:rsid wsp:val=&quot;00D20BC5&quot;/&gt;&lt;wsp:rsid wsp:val=&quot;00D20DFE&quot;/&gt;&lt;wsp:rsid wsp:val=&quot;00D211CE&quot;/&gt;&lt;wsp:rsid wsp:val=&quot;00D21474&quot;/&gt;&lt;wsp:rsid wsp:val=&quot;00D214EE&quot;/&gt;&lt;wsp:rsid wsp:val=&quot;00D216E8&quot;/&gt;&lt;wsp:rsid wsp:val=&quot;00D217A5&quot;/&gt;&lt;wsp:rsid wsp:val=&quot;00D21B3C&quot;/&gt;&lt;wsp:rsid wsp:val=&quot;00D21D8C&quot;/&gt;&lt;wsp:rsid wsp:val=&quot;00D22048&quot;/&gt;&lt;wsp:rsid wsp:val=&quot;00D220B8&quot;/&gt;&lt;wsp:rsid wsp:val=&quot;00D220BD&quot;/&gt;&lt;wsp:rsid wsp:val=&quot;00D223B6&quot;/&gt;&lt;wsp:rsid wsp:val=&quot;00D2248C&quot;/&gt;&lt;wsp:rsid wsp:val=&quot;00D22721&quot;/&gt;&lt;wsp:rsid wsp:val=&quot;00D233F6&quot;/&gt;&lt;wsp:rsid wsp:val=&quot;00D23873&quot;/&gt;&lt;wsp:rsid wsp:val=&quot;00D238FD&quot;/&gt;&lt;wsp:rsid wsp:val=&quot;00D23E35&quot;/&gt;&lt;wsp:rsid wsp:val=&quot;00D24174&quot;/&gt;&lt;wsp:rsid wsp:val=&quot;00D241A4&quot;/&gt;&lt;wsp:rsid wsp:val=&quot;00D24472&quot;/&gt;&lt;wsp:rsid wsp:val=&quot;00D24656&quot;/&gt;&lt;wsp:rsid wsp:val=&quot;00D24974&quot;/&gt;&lt;wsp:rsid wsp:val=&quot;00D2511E&quot;/&gt;&lt;wsp:rsid wsp:val=&quot;00D25250&quot;/&gt;&lt;wsp:rsid wsp:val=&quot;00D252DF&quot;/&gt;&lt;wsp:rsid wsp:val=&quot;00D2545C&quot;/&gt;&lt;wsp:rsid wsp:val=&quot;00D25928&quot;/&gt;&lt;wsp:rsid wsp:val=&quot;00D25A81&quot;/&gt;&lt;wsp:rsid wsp:val=&quot;00D26752&quot;/&gt;&lt;wsp:rsid wsp:val=&quot;00D2677F&quot;/&gt;&lt;wsp:rsid wsp:val=&quot;00D267A2&quot;/&gt;&lt;wsp:rsid wsp:val=&quot;00D269EE&quot;/&gt;&lt;wsp:rsid wsp:val=&quot;00D26A6F&quot;/&gt;&lt;wsp:rsid wsp:val=&quot;00D26DCF&quot;/&gt;&lt;wsp:rsid wsp:val=&quot;00D271F1&quot;/&gt;&lt;wsp:rsid wsp:val=&quot;00D2736F&quot;/&gt;&lt;wsp:rsid wsp:val=&quot;00D27540&quot;/&gt;&lt;wsp:rsid wsp:val=&quot;00D275AF&quot;/&gt;&lt;wsp:rsid wsp:val=&quot;00D30160&quot;/&gt;&lt;wsp:rsid wsp:val=&quot;00D303ED&quot;/&gt;&lt;wsp:rsid wsp:val=&quot;00D306F3&quot;/&gt;&lt;wsp:rsid wsp:val=&quot;00D30782&quot;/&gt;&lt;wsp:rsid wsp:val=&quot;00D309A6&quot;/&gt;&lt;wsp:rsid wsp:val=&quot;00D30A4A&quot;/&gt;&lt;wsp:rsid wsp:val=&quot;00D30D13&quot;/&gt;&lt;wsp:rsid wsp:val=&quot;00D3140A&quot;/&gt;&lt;wsp:rsid wsp:val=&quot;00D31450&quot;/&gt;&lt;wsp:rsid wsp:val=&quot;00D3177D&quot;/&gt;&lt;wsp:rsid wsp:val=&quot;00D31838&quot;/&gt;&lt;wsp:rsid wsp:val=&quot;00D31ABB&quot;/&gt;&lt;wsp:rsid wsp:val=&quot;00D31F79&quot;/&gt;&lt;wsp:rsid wsp:val=&quot;00D327EE&quot;/&gt;&lt;wsp:rsid wsp:val=&quot;00D327F9&quot;/&gt;&lt;wsp:rsid wsp:val=&quot;00D328C0&quot;/&gt;&lt;wsp:rsid wsp:val=&quot;00D32950&quot;/&gt;&lt;wsp:rsid wsp:val=&quot;00D32B25&quot;/&gt;&lt;wsp:rsid wsp:val=&quot;00D33B1E&quot;/&gt;&lt;wsp:rsid wsp:val=&quot;00D33D34&quot;/&gt;&lt;wsp:rsid wsp:val=&quot;00D33DA6&quot;/&gt;&lt;wsp:rsid wsp:val=&quot;00D33E6F&quot;/&gt;&lt;wsp:rsid wsp:val=&quot;00D33EF7&quot;/&gt;&lt;wsp:rsid wsp:val=&quot;00D34337&quot;/&gt;&lt;wsp:rsid wsp:val=&quot;00D34D52&quot;/&gt;&lt;wsp:rsid wsp:val=&quot;00D34EF5&quot;/&gt;&lt;wsp:rsid wsp:val=&quot;00D35314&quot;/&gt;&lt;wsp:rsid wsp:val=&quot;00D355B2&quot;/&gt;&lt;wsp:rsid wsp:val=&quot;00D3572E&quot;/&gt;&lt;wsp:rsid wsp:val=&quot;00D358F5&quot;/&gt;&lt;wsp:rsid wsp:val=&quot;00D360D5&quot;/&gt;&lt;wsp:rsid wsp:val=&quot;00D36910&quot;/&gt;&lt;wsp:rsid wsp:val=&quot;00D36A44&quot;/&gt;&lt;wsp:rsid wsp:val=&quot;00D36D02&quot;/&gt;&lt;wsp:rsid wsp:val=&quot;00D36E54&quot;/&gt;&lt;wsp:rsid wsp:val=&quot;00D36ED1&quot;/&gt;&lt;wsp:rsid wsp:val=&quot;00D37020&quot;/&gt;&lt;wsp:rsid wsp:val=&quot;00D3707C&quot;/&gt;&lt;wsp:rsid wsp:val=&quot;00D374D5&quot;/&gt;&lt;wsp:rsid wsp:val=&quot;00D37640&quot;/&gt;&lt;wsp:rsid wsp:val=&quot;00D3786F&quot;/&gt;&lt;wsp:rsid wsp:val=&quot;00D37E6C&quot;/&gt;&lt;wsp:rsid wsp:val=&quot;00D409CA&quot;/&gt;&lt;wsp:rsid wsp:val=&quot;00D40A9D&quot;/&gt;&lt;wsp:rsid wsp:val=&quot;00D40C9A&quot;/&gt;&lt;wsp:rsid wsp:val=&quot;00D41141&quot;/&gt;&lt;wsp:rsid wsp:val=&quot;00D4120B&quot;/&gt;&lt;wsp:rsid wsp:val=&quot;00D41AF9&quot;/&gt;&lt;wsp:rsid wsp:val=&quot;00D4271E&quot;/&gt;&lt;wsp:rsid wsp:val=&quot;00D42853&quot;/&gt;&lt;wsp:rsid wsp:val=&quot;00D42C01&quot;/&gt;&lt;wsp:rsid wsp:val=&quot;00D4357C&quot;/&gt;&lt;wsp:rsid wsp:val=&quot;00D43A08&quot;/&gt;&lt;wsp:rsid wsp:val=&quot;00D44116&quot;/&gt;&lt;wsp:rsid wsp:val=&quot;00D448F3&quot;/&gt;&lt;wsp:rsid wsp:val=&quot;00D44DCA&quot;/&gt;&lt;wsp:rsid wsp:val=&quot;00D4523A&quot;/&gt;&lt;wsp:rsid wsp:val=&quot;00D45374&quot;/&gt;&lt;wsp:rsid wsp:val=&quot;00D460D1&quot;/&gt;&lt;wsp:rsid wsp:val=&quot;00D46431&quot;/&gt;&lt;wsp:rsid wsp:val=&quot;00D464C3&quot;/&gt;&lt;wsp:rsid wsp:val=&quot;00D468F9&quot;/&gt;&lt;wsp:rsid wsp:val=&quot;00D46BFF&quot;/&gt;&lt;wsp:rsid wsp:val=&quot;00D46EDA&quot;/&gt;&lt;wsp:rsid wsp:val=&quot;00D470FE&quot;/&gt;&lt;wsp:rsid wsp:val=&quot;00D4791D&quot;/&gt;&lt;wsp:rsid wsp:val=&quot;00D47B1C&quot;/&gt;&lt;wsp:rsid wsp:val=&quot;00D5043F&quot;/&gt;&lt;wsp:rsid wsp:val=&quot;00D50BDB&quot;/&gt;&lt;wsp:rsid wsp:val=&quot;00D50F27&quot;/&gt;&lt;wsp:rsid wsp:val=&quot;00D51172&quot;/&gt;&lt;wsp:rsid wsp:val=&quot;00D51186&quot;/&gt;&lt;wsp:rsid wsp:val=&quot;00D514D6&quot;/&gt;&lt;wsp:rsid wsp:val=&quot;00D51EF4&quot;/&gt;&lt;wsp:rsid wsp:val=&quot;00D539C1&quot;/&gt;&lt;wsp:rsid wsp:val=&quot;00D549BF&quot;/&gt;&lt;wsp:rsid wsp:val=&quot;00D54CEA&quot;/&gt;&lt;wsp:rsid wsp:val=&quot;00D54EC3&quot;/&gt;&lt;wsp:rsid wsp:val=&quot;00D553DC&quot;/&gt;&lt;wsp:rsid wsp:val=&quot;00D55723&quot;/&gt;&lt;wsp:rsid wsp:val=&quot;00D55F09&quot;/&gt;&lt;wsp:rsid wsp:val=&quot;00D55F58&quot;/&gt;&lt;wsp:rsid wsp:val=&quot;00D569C6&quot;/&gt;&lt;wsp:rsid wsp:val=&quot;00D56FB0&quot;/&gt;&lt;wsp:rsid wsp:val=&quot;00D57428&quot;/&gt;&lt;wsp:rsid wsp:val=&quot;00D5797A&quot;/&gt;&lt;wsp:rsid wsp:val=&quot;00D57B03&quot;/&gt;&lt;wsp:rsid wsp:val=&quot;00D57EF4&quot;/&gt;&lt;wsp:rsid wsp:val=&quot;00D6009D&quot;/&gt;&lt;wsp:rsid wsp:val=&quot;00D60474&quot;/&gt;&lt;wsp:rsid wsp:val=&quot;00D60A61&quot;/&gt;&lt;wsp:rsid wsp:val=&quot;00D60E07&quot;/&gt;&lt;wsp:rsid wsp:val=&quot;00D610A4&quot;/&gt;&lt;wsp:rsid wsp:val=&quot;00D6121D&quot;/&gt;&lt;wsp:rsid wsp:val=&quot;00D612FA&quot;/&gt;&lt;wsp:rsid wsp:val=&quot;00D614B8&quot;/&gt;&lt;wsp:rsid wsp:val=&quot;00D6181B&quot;/&gt;&lt;wsp:rsid wsp:val=&quot;00D61B69&quot;/&gt;&lt;wsp:rsid wsp:val=&quot;00D61C00&quot;/&gt;&lt;wsp:rsid wsp:val=&quot;00D61E65&quot;/&gt;&lt;wsp:rsid wsp:val=&quot;00D6282C&quot;/&gt;&lt;wsp:rsid wsp:val=&quot;00D62B30&quot;/&gt;&lt;wsp:rsid wsp:val=&quot;00D62C08&quot;/&gt;&lt;wsp:rsid wsp:val=&quot;00D6321E&quot;/&gt;&lt;wsp:rsid wsp:val=&quot;00D63279&quot;/&gt;&lt;wsp:rsid wsp:val=&quot;00D636ED&quot;/&gt;&lt;wsp:rsid wsp:val=&quot;00D63860&quot;/&gt;&lt;wsp:rsid wsp:val=&quot;00D63B41&quot;/&gt;&lt;wsp:rsid wsp:val=&quot;00D63D63&quot;/&gt;&lt;wsp:rsid wsp:val=&quot;00D63EDC&quot;/&gt;&lt;wsp:rsid wsp:val=&quot;00D6491F&quot;/&gt;&lt;wsp:rsid wsp:val=&quot;00D64998&quot;/&gt;&lt;wsp:rsid wsp:val=&quot;00D64BB2&quot;/&gt;&lt;wsp:rsid wsp:val=&quot;00D64CE9&quot;/&gt;&lt;wsp:rsid wsp:val=&quot;00D64F51&quot;/&gt;&lt;wsp:rsid wsp:val=&quot;00D650DC&quot;/&gt;&lt;wsp:rsid wsp:val=&quot;00D65F20&quot;/&gt;&lt;wsp:rsid wsp:val=&quot;00D66051&quot;/&gt;&lt;wsp:rsid wsp:val=&quot;00D660FC&quot;/&gt;&lt;wsp:rsid wsp:val=&quot;00D668D4&quot;/&gt;&lt;wsp:rsid wsp:val=&quot;00D66D5A&quot;/&gt;&lt;wsp:rsid wsp:val=&quot;00D66EDE&quot;/&gt;&lt;wsp:rsid wsp:val=&quot;00D66F99&quot;/&gt;&lt;wsp:rsid wsp:val=&quot;00D67D13&quot;/&gt;&lt;wsp:rsid wsp:val=&quot;00D67D6F&quot;/&gt;&lt;wsp:rsid wsp:val=&quot;00D706AE&quot;/&gt;&lt;wsp:rsid wsp:val=&quot;00D71045&quot;/&gt;&lt;wsp:rsid wsp:val=&quot;00D71200&quot;/&gt;&lt;wsp:rsid wsp:val=&quot;00D71414&quot;/&gt;&lt;wsp:rsid wsp:val=&quot;00D715DA&quot;/&gt;&lt;wsp:rsid wsp:val=&quot;00D71E51&quot;/&gt;&lt;wsp:rsid wsp:val=&quot;00D71E83&quot;/&gt;&lt;wsp:rsid wsp:val=&quot;00D72045&quot;/&gt;&lt;wsp:rsid wsp:val=&quot;00D72135&quot;/&gt;&lt;wsp:rsid wsp:val=&quot;00D729F3&quot;/&gt;&lt;wsp:rsid wsp:val=&quot;00D72C2C&quot;/&gt;&lt;wsp:rsid wsp:val=&quot;00D73163&quot;/&gt;&lt;wsp:rsid wsp:val=&quot;00D7339E&quot;/&gt;&lt;wsp:rsid wsp:val=&quot;00D735CE&quot;/&gt;&lt;wsp:rsid wsp:val=&quot;00D73A09&quot;/&gt;&lt;wsp:rsid wsp:val=&quot;00D73CB5&quot;/&gt;&lt;wsp:rsid wsp:val=&quot;00D73CFC&quot;/&gt;&lt;wsp:rsid wsp:val=&quot;00D7442D&quot;/&gt;&lt;wsp:rsid wsp:val=&quot;00D746B0&quot;/&gt;&lt;wsp:rsid wsp:val=&quot;00D74AEE&quot;/&gt;&lt;wsp:rsid wsp:val=&quot;00D74BBE&quot;/&gt;&lt;wsp:rsid wsp:val=&quot;00D74C01&quot;/&gt;&lt;wsp:rsid wsp:val=&quot;00D75570&quot;/&gt;&lt;wsp:rsid wsp:val=&quot;00D756E2&quot;/&gt;&lt;wsp:rsid wsp:val=&quot;00D75912&quot;/&gt;&lt;wsp:rsid wsp:val=&quot;00D75A7B&quot;/&gt;&lt;wsp:rsid wsp:val=&quot;00D75CB0&quot;/&gt;&lt;wsp:rsid wsp:val=&quot;00D7612C&quot;/&gt;&lt;wsp:rsid wsp:val=&quot;00D762A6&quot;/&gt;&lt;wsp:rsid wsp:val=&quot;00D76471&quot;/&gt;&lt;wsp:rsid wsp:val=&quot;00D76484&quot;/&gt;&lt;wsp:rsid wsp:val=&quot;00D765AC&quot;/&gt;&lt;wsp:rsid wsp:val=&quot;00D76875&quot;/&gt;&lt;wsp:rsid wsp:val=&quot;00D772CA&quot;/&gt;&lt;wsp:rsid wsp:val=&quot;00D7731D&quot;/&gt;&lt;wsp:rsid wsp:val=&quot;00D773E8&quot;/&gt;&lt;wsp:rsid wsp:val=&quot;00D77973&quot;/&gt;&lt;wsp:rsid wsp:val=&quot;00D77AD8&quot;/&gt;&lt;wsp:rsid wsp:val=&quot;00D801AB&quot;/&gt;&lt;wsp:rsid wsp:val=&quot;00D801DF&quot;/&gt;&lt;wsp:rsid wsp:val=&quot;00D80C23&quot;/&gt;&lt;wsp:rsid wsp:val=&quot;00D80F5A&quot;/&gt;&lt;wsp:rsid wsp:val=&quot;00D8171D&quot;/&gt;&lt;wsp:rsid wsp:val=&quot;00D81901&quot;/&gt;&lt;wsp:rsid wsp:val=&quot;00D81D7F&quot;/&gt;&lt;wsp:rsid wsp:val=&quot;00D82068&quot;/&gt;&lt;wsp:rsid wsp:val=&quot;00D821BE&quot;/&gt;&lt;wsp:rsid wsp:val=&quot;00D83500&quot;/&gt;&lt;wsp:rsid wsp:val=&quot;00D83745&quot;/&gt;&lt;wsp:rsid wsp:val=&quot;00D83B0B&quot;/&gt;&lt;wsp:rsid wsp:val=&quot;00D83C16&quot;/&gt;&lt;wsp:rsid wsp:val=&quot;00D84320&quot;/&gt;&lt;wsp:rsid wsp:val=&quot;00D84711&quot;/&gt;&lt;wsp:rsid wsp:val=&quot;00D84C83&quot;/&gt;&lt;wsp:rsid wsp:val=&quot;00D84F5B&quot;/&gt;&lt;wsp:rsid wsp:val=&quot;00D84F6F&quot;/&gt;&lt;wsp:rsid wsp:val=&quot;00D84F88&quot;/&gt;&lt;wsp:rsid wsp:val=&quot;00D85422&quot;/&gt;&lt;wsp:rsid wsp:val=&quot;00D8550B&quot;/&gt;&lt;wsp:rsid wsp:val=&quot;00D8613C&quot;/&gt;&lt;wsp:rsid wsp:val=&quot;00D867E4&quot;/&gt;&lt;wsp:rsid wsp:val=&quot;00D868BD&quot;/&gt;&lt;wsp:rsid wsp:val=&quot;00D86A1E&quot;/&gt;&lt;wsp:rsid wsp:val=&quot;00D86E83&quot;/&gt;&lt;wsp:rsid wsp:val=&quot;00D87694&quot;/&gt;&lt;wsp:rsid wsp:val=&quot;00D87E5F&quot;/&gt;&lt;wsp:rsid wsp:val=&quot;00D90166&quot;/&gt;&lt;wsp:rsid wsp:val=&quot;00D903B6&quot;/&gt;&lt;wsp:rsid wsp:val=&quot;00D90B3F&quot;/&gt;&lt;wsp:rsid wsp:val=&quot;00D91720&quot;/&gt;&lt;wsp:rsid wsp:val=&quot;00D91C2F&quot;/&gt;&lt;wsp:rsid wsp:val=&quot;00D91EB9&quot;/&gt;&lt;wsp:rsid wsp:val=&quot;00D92246&quot;/&gt;&lt;wsp:rsid wsp:val=&quot;00D923FD&quot;/&gt;&lt;wsp:rsid wsp:val=&quot;00D9257C&quot;/&gt;&lt;wsp:rsid wsp:val=&quot;00D925E0&quot;/&gt;&lt;wsp:rsid wsp:val=&quot;00D927EE&quot;/&gt;&lt;wsp:rsid wsp:val=&quot;00D9283B&quot;/&gt;&lt;wsp:rsid wsp:val=&quot;00D92951&quot;/&gt;&lt;wsp:rsid wsp:val=&quot;00D92D14&quot;/&gt;&lt;wsp:rsid wsp:val=&quot;00D92FB7&quot;/&gt;&lt;wsp:rsid wsp:val=&quot;00D934B7&quot;/&gt;&lt;wsp:rsid wsp:val=&quot;00D937E0&quot;/&gt;&lt;wsp:rsid wsp:val=&quot;00D938A8&quot;/&gt;&lt;wsp:rsid wsp:val=&quot;00D93BD4&quot;/&gt;&lt;wsp:rsid wsp:val=&quot;00D945DA&quot;/&gt;&lt;wsp:rsid wsp:val=&quot;00D94D61&quot;/&gt;&lt;wsp:rsid wsp:val=&quot;00D9523C&quot;/&gt;&lt;wsp:rsid wsp:val=&quot;00D95572&quot;/&gt;&lt;wsp:rsid wsp:val=&quot;00D9573A&quot;/&gt;&lt;wsp:rsid wsp:val=&quot;00D958A7&quot;/&gt;&lt;wsp:rsid wsp:val=&quot;00D96136&quot;/&gt;&lt;wsp:rsid wsp:val=&quot;00D96152&quot;/&gt;&lt;wsp:rsid wsp:val=&quot;00D963FB&quot;/&gt;&lt;wsp:rsid wsp:val=&quot;00D96537&quot;/&gt;&lt;wsp:rsid wsp:val=&quot;00D96730&quot;/&gt;&lt;wsp:rsid wsp:val=&quot;00D96B9B&quot;/&gt;&lt;wsp:rsid wsp:val=&quot;00D96C67&quot;/&gt;&lt;wsp:rsid wsp:val=&quot;00D96DA1&quot;/&gt;&lt;wsp:rsid wsp:val=&quot;00D96ECA&quot;/&gt;&lt;wsp:rsid wsp:val=&quot;00D97590&quot;/&gt;&lt;wsp:rsid wsp:val=&quot;00D97706&quot;/&gt;&lt;wsp:rsid wsp:val=&quot;00D97CBD&quot;/&gt;&lt;wsp:rsid wsp:val=&quot;00D97DF3&quot;/&gt;&lt;wsp:rsid wsp:val=&quot;00DA0059&quot;/&gt;&lt;wsp:rsid wsp:val=&quot;00DA08E1&quot;/&gt;&lt;wsp:rsid wsp:val=&quot;00DA0A80&quot;/&gt;&lt;wsp:rsid wsp:val=&quot;00DA108F&quot;/&gt;&lt;wsp:rsid wsp:val=&quot;00DA1519&quot;/&gt;&lt;wsp:rsid wsp:val=&quot;00DA19EA&quot;/&gt;&lt;wsp:rsid wsp:val=&quot;00DA213B&quot;/&gt;&lt;wsp:rsid wsp:val=&quot;00DA2168&quot;/&gt;&lt;wsp:rsid wsp:val=&quot;00DA2253&quot;/&gt;&lt;wsp:rsid wsp:val=&quot;00DA22BB&quot;/&gt;&lt;wsp:rsid wsp:val=&quot;00DA27F9&quot;/&gt;&lt;wsp:rsid wsp:val=&quot;00DA3210&quot;/&gt;&lt;wsp:rsid wsp:val=&quot;00DA366A&quot;/&gt;&lt;wsp:rsid wsp:val=&quot;00DA38DF&quot;/&gt;&lt;wsp:rsid wsp:val=&quot;00DA3E2C&quot;/&gt;&lt;wsp:rsid wsp:val=&quot;00DA3FAA&quot;/&gt;&lt;wsp:rsid wsp:val=&quot;00DA3FEE&quot;/&gt;&lt;wsp:rsid wsp:val=&quot;00DA404A&quot;/&gt;&lt;wsp:rsid wsp:val=&quot;00DA452C&quot;/&gt;&lt;wsp:rsid wsp:val=&quot;00DA463E&quot;/&gt;&lt;wsp:rsid wsp:val=&quot;00DA4729&quot;/&gt;&lt;wsp:rsid wsp:val=&quot;00DA49DA&quot;/&gt;&lt;wsp:rsid wsp:val=&quot;00DA4E43&quot;/&gt;&lt;wsp:rsid wsp:val=&quot;00DA5E3F&quot;/&gt;&lt;wsp:rsid wsp:val=&quot;00DA5EF9&quot;/&gt;&lt;wsp:rsid wsp:val=&quot;00DA612D&quot;/&gt;&lt;wsp:rsid wsp:val=&quot;00DA66AD&quot;/&gt;&lt;wsp:rsid wsp:val=&quot;00DA70E8&quot;/&gt;&lt;wsp:rsid wsp:val=&quot;00DA77C4&quot;/&gt;&lt;wsp:rsid wsp:val=&quot;00DA7ADE&quot;/&gt;&lt;wsp:rsid wsp:val=&quot;00DA7DB6&quot;/&gt;&lt;wsp:rsid wsp:val=&quot;00DA7F17&quot;/&gt;&lt;wsp:rsid wsp:val=&quot;00DB0382&quot;/&gt;&lt;wsp:rsid wsp:val=&quot;00DB0472&quot;/&gt;&lt;wsp:rsid wsp:val=&quot;00DB0773&quot;/&gt;&lt;wsp:rsid wsp:val=&quot;00DB08D2&quot;/&gt;&lt;wsp:rsid wsp:val=&quot;00DB11FF&quot;/&gt;&lt;wsp:rsid wsp:val=&quot;00DB126E&quot;/&gt;&lt;wsp:rsid wsp:val=&quot;00DB13E5&quot;/&gt;&lt;wsp:rsid wsp:val=&quot;00DB18AE&quot;/&gt;&lt;wsp:rsid wsp:val=&quot;00DB1F4A&quot;/&gt;&lt;wsp:rsid wsp:val=&quot;00DB216C&quot;/&gt;&lt;wsp:rsid wsp:val=&quot;00DB238E&quot;/&gt;&lt;wsp:rsid wsp:val=&quot;00DB2474&quot;/&gt;&lt;wsp:rsid wsp:val=&quot;00DB2542&quot;/&gt;&lt;wsp:rsid wsp:val=&quot;00DB2767&quot;/&gt;&lt;wsp:rsid wsp:val=&quot;00DB2AD4&quot;/&gt;&lt;wsp:rsid wsp:val=&quot;00DB3DA3&quot;/&gt;&lt;wsp:rsid wsp:val=&quot;00DB3F4B&quot;/&gt;&lt;wsp:rsid wsp:val=&quot;00DB45AC&quot;/&gt;&lt;wsp:rsid wsp:val=&quot;00DB4693&quot;/&gt;&lt;wsp:rsid wsp:val=&quot;00DB474A&quot;/&gt;&lt;wsp:rsid wsp:val=&quot;00DB4CB9&quot;/&gt;&lt;wsp:rsid wsp:val=&quot;00DB4F18&quot;/&gt;&lt;wsp:rsid wsp:val=&quot;00DB505F&quot;/&gt;&lt;wsp:rsid wsp:val=&quot;00DB52BC&quot;/&gt;&lt;wsp:rsid wsp:val=&quot;00DB580B&quot;/&gt;&lt;wsp:rsid wsp:val=&quot;00DB5BDA&quot;/&gt;&lt;wsp:rsid wsp:val=&quot;00DB6869&quot;/&gt;&lt;wsp:rsid wsp:val=&quot;00DB6CC1&quot;/&gt;&lt;wsp:rsid wsp:val=&quot;00DB7265&quot;/&gt;&lt;wsp:rsid wsp:val=&quot;00DB7513&quot;/&gt;&lt;wsp:rsid wsp:val=&quot;00DB7CFE&quot;/&gt;&lt;wsp:rsid wsp:val=&quot;00DB7DB5&quot;/&gt;&lt;wsp:rsid wsp:val=&quot;00DB7DEC&quot;/&gt;&lt;wsp:rsid wsp:val=&quot;00DC068E&quot;/&gt;&lt;wsp:rsid wsp:val=&quot;00DC0977&quot;/&gt;&lt;wsp:rsid wsp:val=&quot;00DC0A83&quot;/&gt;&lt;wsp:rsid wsp:val=&quot;00DC0BB3&quot;/&gt;&lt;wsp:rsid wsp:val=&quot;00DC0BED&quot;/&gt;&lt;wsp:rsid wsp:val=&quot;00DC0D35&quot;/&gt;&lt;wsp:rsid wsp:val=&quot;00DC1636&quot;/&gt;&lt;wsp:rsid wsp:val=&quot;00DC166D&quot;/&gt;&lt;wsp:rsid wsp:val=&quot;00DC1990&quot;/&gt;&lt;wsp:rsid wsp:val=&quot;00DC1B2F&quot;/&gt;&lt;wsp:rsid wsp:val=&quot;00DC1BF2&quot;/&gt;&lt;wsp:rsid wsp:val=&quot;00DC1E27&quot;/&gt;&lt;wsp:rsid wsp:val=&quot;00DC20A9&quot;/&gt;&lt;wsp:rsid wsp:val=&quot;00DC21A9&quot;/&gt;&lt;wsp:rsid wsp:val=&quot;00DC22BC&quot;/&gt;&lt;wsp:rsid wsp:val=&quot;00DC27A8&quot;/&gt;&lt;wsp:rsid wsp:val=&quot;00DC2FA9&quot;/&gt;&lt;wsp:rsid wsp:val=&quot;00DC4B29&quot;/&gt;&lt;wsp:rsid wsp:val=&quot;00DC4E25&quot;/&gt;&lt;wsp:rsid wsp:val=&quot;00DC4F80&quot;/&gt;&lt;wsp:rsid wsp:val=&quot;00DC50DF&quot;/&gt;&lt;wsp:rsid wsp:val=&quot;00DC6120&quot;/&gt;&lt;wsp:rsid wsp:val=&quot;00DC63F7&quot;/&gt;&lt;wsp:rsid wsp:val=&quot;00DC6423&quot;/&gt;&lt;wsp:rsid wsp:val=&quot;00DC6A58&quot;/&gt;&lt;wsp:rsid wsp:val=&quot;00DC6BCE&quot;/&gt;&lt;wsp:rsid wsp:val=&quot;00DC6CE5&quot;/&gt;&lt;wsp:rsid wsp:val=&quot;00DC6F05&quot;/&gt;&lt;wsp:rsid wsp:val=&quot;00DC73C7&quot;/&gt;&lt;wsp:rsid wsp:val=&quot;00DC7DE4&quot;/&gt;&lt;wsp:rsid wsp:val=&quot;00DD0144&quot;/&gt;&lt;wsp:rsid wsp:val=&quot;00DD01D0&quot;/&gt;&lt;wsp:rsid wsp:val=&quot;00DD035D&quot;/&gt;&lt;wsp:rsid wsp:val=&quot;00DD0423&quot;/&gt;&lt;wsp:rsid wsp:val=&quot;00DD0424&quot;/&gt;&lt;wsp:rsid wsp:val=&quot;00DD0557&quot;/&gt;&lt;wsp:rsid wsp:val=&quot;00DD095A&quot;/&gt;&lt;wsp:rsid wsp:val=&quot;00DD0A7F&quot;/&gt;&lt;wsp:rsid wsp:val=&quot;00DD0BF4&quot;/&gt;&lt;wsp:rsid wsp:val=&quot;00DD0C92&quot;/&gt;&lt;wsp:rsid wsp:val=&quot;00DD0DE3&quot;/&gt;&lt;wsp:rsid wsp:val=&quot;00DD14E8&quot;/&gt;&lt;wsp:rsid wsp:val=&quot;00DD1F0F&quot;/&gt;&lt;wsp:rsid wsp:val=&quot;00DD2221&quot;/&gt;&lt;wsp:rsid wsp:val=&quot;00DD23C5&quot;/&gt;&lt;wsp:rsid wsp:val=&quot;00DD2480&quot;/&gt;&lt;wsp:rsid wsp:val=&quot;00DD2731&quot;/&gt;&lt;wsp:rsid wsp:val=&quot;00DD29AF&quot;/&gt;&lt;wsp:rsid wsp:val=&quot;00DD2BA4&quot;/&gt;&lt;wsp:rsid wsp:val=&quot;00DD3142&quot;/&gt;&lt;wsp:rsid wsp:val=&quot;00DD33B7&quot;/&gt;&lt;wsp:rsid wsp:val=&quot;00DD3944&quot;/&gt;&lt;wsp:rsid wsp:val=&quot;00DD4331&quot;/&gt;&lt;wsp:rsid wsp:val=&quot;00DD4552&quot;/&gt;&lt;wsp:rsid wsp:val=&quot;00DD469C&quot;/&gt;&lt;wsp:rsid wsp:val=&quot;00DD47F8&quot;/&gt;&lt;wsp:rsid wsp:val=&quot;00DD4F6B&quot;/&gt;&lt;wsp:rsid wsp:val=&quot;00DD4FCC&quot;/&gt;&lt;wsp:rsid wsp:val=&quot;00DD57B9&quot;/&gt;&lt;wsp:rsid wsp:val=&quot;00DD5BD0&quot;/&gt;&lt;wsp:rsid wsp:val=&quot;00DD68CB&quot;/&gt;&lt;wsp:rsid wsp:val=&quot;00DD6B83&quot;/&gt;&lt;wsp:rsid wsp:val=&quot;00DD6DF9&quot;/&gt;&lt;wsp:rsid wsp:val=&quot;00DD6E1D&quot;/&gt;&lt;wsp:rsid wsp:val=&quot;00DD7001&quot;/&gt;&lt;wsp:rsid wsp:val=&quot;00DD7326&quot;/&gt;&lt;wsp:rsid wsp:val=&quot;00DD7685&quot;/&gt;&lt;wsp:rsid wsp:val=&quot;00DD7C2A&quot;/&gt;&lt;wsp:rsid wsp:val=&quot;00DD7D62&quot;/&gt;&lt;wsp:rsid wsp:val=&quot;00DD7DF7&quot;/&gt;&lt;wsp:rsid wsp:val=&quot;00DD7FF0&quot;/&gt;&lt;wsp:rsid wsp:val=&quot;00DD7FFB&quot;/&gt;&lt;wsp:rsid wsp:val=&quot;00DE07D4&quot;/&gt;&lt;wsp:rsid wsp:val=&quot;00DE085F&quot;/&gt;&lt;wsp:rsid wsp:val=&quot;00DE0EB7&quot;/&gt;&lt;wsp:rsid wsp:val=&quot;00DE1175&quot;/&gt;&lt;wsp:rsid wsp:val=&quot;00DE154C&quot;/&gt;&lt;wsp:rsid wsp:val=&quot;00DE16A3&quot;/&gt;&lt;wsp:rsid wsp:val=&quot;00DE17F0&quot;/&gt;&lt;wsp:rsid wsp:val=&quot;00DE21B9&quot;/&gt;&lt;wsp:rsid wsp:val=&quot;00DE25F2&quot;/&gt;&lt;wsp:rsid wsp:val=&quot;00DE2B53&quot;/&gt;&lt;wsp:rsid wsp:val=&quot;00DE2C1A&quot;/&gt;&lt;wsp:rsid wsp:val=&quot;00DE2CD3&quot;/&gt;&lt;wsp:rsid wsp:val=&quot;00DE3456&quot;/&gt;&lt;wsp:rsid wsp:val=&quot;00DE3B78&quot;/&gt;&lt;wsp:rsid wsp:val=&quot;00DE3CC1&quot;/&gt;&lt;wsp:rsid wsp:val=&quot;00DE413F&quot;/&gt;&lt;wsp:rsid wsp:val=&quot;00DE414C&quot;/&gt;&lt;wsp:rsid wsp:val=&quot;00DE47D6&quot;/&gt;&lt;wsp:rsid wsp:val=&quot;00DE496C&quot;/&gt;&lt;wsp:rsid wsp:val=&quot;00DE4A9C&quot;/&gt;&lt;wsp:rsid wsp:val=&quot;00DE4DA5&quot;/&gt;&lt;wsp:rsid wsp:val=&quot;00DE4F15&quot;/&gt;&lt;wsp:rsid wsp:val=&quot;00DE5303&quot;/&gt;&lt;wsp:rsid wsp:val=&quot;00DE55F8&quot;/&gt;&lt;wsp:rsid wsp:val=&quot;00DE576A&quot;/&gt;&lt;wsp:rsid wsp:val=&quot;00DE59C5&quot;/&gt;&lt;wsp:rsid wsp:val=&quot;00DE5FC0&quot;/&gt;&lt;wsp:rsid wsp:val=&quot;00DE61D3&quot;/&gt;&lt;wsp:rsid wsp:val=&quot;00DE64E0&quot;/&gt;&lt;wsp:rsid wsp:val=&quot;00DE6BE2&quot;/&gt;&lt;wsp:rsid wsp:val=&quot;00DE7091&quot;/&gt;&lt;wsp:rsid wsp:val=&quot;00DE71A9&quot;/&gt;&lt;wsp:rsid wsp:val=&quot;00DE7757&quot;/&gt;&lt;wsp:rsid wsp:val=&quot;00DE7B2F&quot;/&gt;&lt;wsp:rsid wsp:val=&quot;00DF02EC&quot;/&gt;&lt;wsp:rsid wsp:val=&quot;00DF181F&quot;/&gt;&lt;wsp:rsid wsp:val=&quot;00DF1B64&quot;/&gt;&lt;wsp:rsid wsp:val=&quot;00DF1B9C&quot;/&gt;&lt;wsp:rsid wsp:val=&quot;00DF1BE4&quot;/&gt;&lt;wsp:rsid wsp:val=&quot;00DF1EC7&quot;/&gt;&lt;wsp:rsid wsp:val=&quot;00DF23A2&quot;/&gt;&lt;wsp:rsid wsp:val=&quot;00DF24B7&quot;/&gt;&lt;wsp:rsid wsp:val=&quot;00DF2CFC&quot;/&gt;&lt;wsp:rsid wsp:val=&quot;00DF2F2E&quot;/&gt;&lt;wsp:rsid wsp:val=&quot;00DF2F53&quot;/&gt;&lt;wsp:rsid wsp:val=&quot;00DF3453&quot;/&gt;&lt;wsp:rsid wsp:val=&quot;00DF3980&quot;/&gt;&lt;wsp:rsid wsp:val=&quot;00DF3E90&quot;/&gt;&lt;wsp:rsid wsp:val=&quot;00DF44CD&quot;/&gt;&lt;wsp:rsid wsp:val=&quot;00DF47B2&quot;/&gt;&lt;wsp:rsid wsp:val=&quot;00DF4A7F&quot;/&gt;&lt;wsp:rsid wsp:val=&quot;00DF4BC9&quot;/&gt;&lt;wsp:rsid wsp:val=&quot;00DF4CD3&quot;/&gt;&lt;wsp:rsid wsp:val=&quot;00DF5005&quot;/&gt;&lt;wsp:rsid wsp:val=&quot;00DF50B2&quot;/&gt;&lt;wsp:rsid wsp:val=&quot;00DF52BF&quot;/&gt;&lt;wsp:rsid wsp:val=&quot;00DF5B2F&quot;/&gt;&lt;wsp:rsid wsp:val=&quot;00DF5F76&quot;/&gt;&lt;wsp:rsid wsp:val=&quot;00DF62D9&quot;/&gt;&lt;wsp:rsid wsp:val=&quot;00DF692A&quot;/&gt;&lt;wsp:rsid wsp:val=&quot;00DF6BA2&quot;/&gt;&lt;wsp:rsid wsp:val=&quot;00DF6BC5&quot;/&gt;&lt;wsp:rsid wsp:val=&quot;00DF6D56&quot;/&gt;&lt;wsp:rsid wsp:val=&quot;00DF6E14&quot;/&gt;&lt;wsp:rsid wsp:val=&quot;00DF6EDF&quot;/&gt;&lt;wsp:rsid wsp:val=&quot;00DF7081&quot;/&gt;&lt;wsp:rsid wsp:val=&quot;00DF78F3&quot;/&gt;&lt;wsp:rsid wsp:val=&quot;00DF7E04&quot;/&gt;&lt;wsp:rsid wsp:val=&quot;00E00107&quot;/&gt;&lt;wsp:rsid wsp:val=&quot;00E00166&quot;/&gt;&lt;wsp:rsid wsp:val=&quot;00E0016E&quot;/&gt;&lt;wsp:rsid wsp:val=&quot;00E0018D&quot;/&gt;&lt;wsp:rsid wsp:val=&quot;00E00247&quot;/&gt;&lt;wsp:rsid wsp:val=&quot;00E00421&quot;/&gt;&lt;wsp:rsid wsp:val=&quot;00E0058E&quot;/&gt;&lt;wsp:rsid wsp:val=&quot;00E00870&quot;/&gt;&lt;wsp:rsid wsp:val=&quot;00E00C41&quot;/&gt;&lt;wsp:rsid wsp:val=&quot;00E00F36&quot;/&gt;&lt;wsp:rsid wsp:val=&quot;00E01144&quot;/&gt;&lt;wsp:rsid wsp:val=&quot;00E0119B&quot;/&gt;&lt;wsp:rsid wsp:val=&quot;00E01D38&quot;/&gt;&lt;wsp:rsid wsp:val=&quot;00E01F74&quot;/&gt;&lt;wsp:rsid wsp:val=&quot;00E0226D&quot;/&gt;&lt;wsp:rsid wsp:val=&quot;00E0249B&quot;/&gt;&lt;wsp:rsid wsp:val=&quot;00E03AEF&quot;/&gt;&lt;wsp:rsid wsp:val=&quot;00E04615&quot;/&gt;&lt;wsp:rsid wsp:val=&quot;00E0496E&quot;/&gt;&lt;wsp:rsid wsp:val=&quot;00E04E21&quot;/&gt;&lt;wsp:rsid wsp:val=&quot;00E04F0D&quot;/&gt;&lt;wsp:rsid wsp:val=&quot;00E05281&quot;/&gt;&lt;wsp:rsid wsp:val=&quot;00E054F0&quot;/&gt;&lt;wsp:rsid wsp:val=&quot;00E0573D&quot;/&gt;&lt;wsp:rsid wsp:val=&quot;00E05918&quot;/&gt;&lt;wsp:rsid wsp:val=&quot;00E06235&quot;/&gt;&lt;wsp:rsid wsp:val=&quot;00E06869&quot;/&gt;&lt;wsp:rsid wsp:val=&quot;00E06985&quot;/&gt;&lt;wsp:rsid wsp:val=&quot;00E069CF&quot;/&gt;&lt;wsp:rsid wsp:val=&quot;00E071CB&quot;/&gt;&lt;wsp:rsid wsp:val=&quot;00E07387&quot;/&gt;&lt;wsp:rsid wsp:val=&quot;00E074B5&quot;/&gt;&lt;wsp:rsid wsp:val=&quot;00E074DC&quot;/&gt;&lt;wsp:rsid wsp:val=&quot;00E07C5A&quot;/&gt;&lt;wsp:rsid wsp:val=&quot;00E07DE7&quot;/&gt;&lt;wsp:rsid wsp:val=&quot;00E07E32&quot;/&gt;&lt;wsp:rsid wsp:val=&quot;00E1003A&quot;/&gt;&lt;wsp:rsid wsp:val=&quot;00E10063&quot;/&gt;&lt;wsp:rsid wsp:val=&quot;00E1058C&quot;/&gt;&lt;wsp:rsid wsp:val=&quot;00E10922&quot;/&gt;&lt;wsp:rsid wsp:val=&quot;00E10EA2&quot;/&gt;&lt;wsp:rsid wsp:val=&quot;00E11139&quot;/&gt;&lt;wsp:rsid wsp:val=&quot;00E11578&quot;/&gt;&lt;wsp:rsid wsp:val=&quot;00E11B63&quot;/&gt;&lt;wsp:rsid wsp:val=&quot;00E11EA6&quot;/&gt;&lt;wsp:rsid wsp:val=&quot;00E12039&quot;/&gt;&lt;wsp:rsid wsp:val=&quot;00E120E6&quot;/&gt;&lt;wsp:rsid wsp:val=&quot;00E12441&quot;/&gt;&lt;wsp:rsid wsp:val=&quot;00E129B2&quot;/&gt;&lt;wsp:rsid wsp:val=&quot;00E1341F&quot;/&gt;&lt;wsp:rsid wsp:val=&quot;00E14019&quot;/&gt;&lt;wsp:rsid wsp:val=&quot;00E1402B&quot;/&gt;&lt;wsp:rsid wsp:val=&quot;00E14B6C&quot;/&gt;&lt;wsp:rsid wsp:val=&quot;00E14BEA&quot;/&gt;&lt;wsp:rsid wsp:val=&quot;00E1519A&quot;/&gt;&lt;wsp:rsid wsp:val=&quot;00E157F7&quot;/&gt;&lt;wsp:rsid wsp:val=&quot;00E15F88&quot;/&gt;&lt;wsp:rsid wsp:val=&quot;00E160AA&quot;/&gt;&lt;wsp:rsid wsp:val=&quot;00E165AB&quot;/&gt;&lt;wsp:rsid wsp:val=&quot;00E165B0&quot;/&gt;&lt;wsp:rsid wsp:val=&quot;00E169A8&quot;/&gt;&lt;wsp:rsid wsp:val=&quot;00E16E1A&quot;/&gt;&lt;wsp:rsid wsp:val=&quot;00E16E65&quot;/&gt;&lt;wsp:rsid wsp:val=&quot;00E16EFE&quot;/&gt;&lt;wsp:rsid wsp:val=&quot;00E17262&quot;/&gt;&lt;wsp:rsid wsp:val=&quot;00E174BB&quot;/&gt;&lt;wsp:rsid wsp:val=&quot;00E17518&quot;/&gt;&lt;wsp:rsid wsp:val=&quot;00E17B35&quot;/&gt;&lt;wsp:rsid wsp:val=&quot;00E17EAF&quot;/&gt;&lt;wsp:rsid wsp:val=&quot;00E20169&quot;/&gt;&lt;wsp:rsid wsp:val=&quot;00E206DF&quot;/&gt;&lt;wsp:rsid wsp:val=&quot;00E20B51&quot;/&gt;&lt;wsp:rsid wsp:val=&quot;00E20BA0&quot;/&gt;&lt;wsp:rsid wsp:val=&quot;00E20D60&quot;/&gt;&lt;wsp:rsid wsp:val=&quot;00E20F4E&quot;/&gt;&lt;wsp:rsid wsp:val=&quot;00E21328&quot;/&gt;&lt;wsp:rsid wsp:val=&quot;00E21910&quot;/&gt;&lt;wsp:rsid wsp:val=&quot;00E21AED&quot;/&gt;&lt;wsp:rsid wsp:val=&quot;00E21B44&quot;/&gt;&lt;wsp:rsid wsp:val=&quot;00E21B5C&quot;/&gt;&lt;wsp:rsid wsp:val=&quot;00E21BDA&quot;/&gt;&lt;wsp:rsid wsp:val=&quot;00E21BF4&quot;/&gt;&lt;wsp:rsid wsp:val=&quot;00E21E34&quot;/&gt;&lt;wsp:rsid wsp:val=&quot;00E2274C&quot;/&gt;&lt;wsp:rsid wsp:val=&quot;00E22B9C&quot;/&gt;&lt;wsp:rsid wsp:val=&quot;00E22DF6&quot;/&gt;&lt;wsp:rsid wsp:val=&quot;00E237BA&quot;/&gt;&lt;wsp:rsid wsp:val=&quot;00E24415&quot;/&gt;&lt;wsp:rsid wsp:val=&quot;00E24449&quot;/&gt;&lt;wsp:rsid wsp:val=&quot;00E245C7&quot;/&gt;&lt;wsp:rsid wsp:val=&quot;00E24B4D&quot;/&gt;&lt;wsp:rsid wsp:val=&quot;00E25144&quot;/&gt;&lt;wsp:rsid wsp:val=&quot;00E253CD&quot;/&gt;&lt;wsp:rsid wsp:val=&quot;00E25461&quot;/&gt;&lt;wsp:rsid wsp:val=&quot;00E25F58&quot;/&gt;&lt;wsp:rsid wsp:val=&quot;00E26185&quot;/&gt;&lt;wsp:rsid wsp:val=&quot;00E268FB&quot;/&gt;&lt;wsp:rsid wsp:val=&quot;00E27024&quot;/&gt;&lt;wsp:rsid wsp:val=&quot;00E2755F&quot;/&gt;&lt;wsp:rsid wsp:val=&quot;00E27F58&quot;/&gt;&lt;wsp:rsid wsp:val=&quot;00E300E7&quot;/&gt;&lt;wsp:rsid wsp:val=&quot;00E30BFA&quot;/&gt;&lt;wsp:rsid wsp:val=&quot;00E3181D&quot;/&gt;&lt;wsp:rsid wsp:val=&quot;00E318A3&quot;/&gt;&lt;wsp:rsid wsp:val=&quot;00E31F21&quot;/&gt;&lt;wsp:rsid wsp:val=&quot;00E320B1&quot;/&gt;&lt;wsp:rsid wsp:val=&quot;00E3218F&quot;/&gt;&lt;wsp:rsid wsp:val=&quot;00E3249A&quot;/&gt;&lt;wsp:rsid wsp:val=&quot;00E3279E&quot;/&gt;&lt;wsp:rsid wsp:val=&quot;00E329CA&quot;/&gt;&lt;wsp:rsid wsp:val=&quot;00E32BF6&quot;/&gt;&lt;wsp:rsid wsp:val=&quot;00E32C8C&quot;/&gt;&lt;wsp:rsid wsp:val=&quot;00E32E7C&quot;/&gt;&lt;wsp:rsid wsp:val=&quot;00E33034&quot;/&gt;&lt;wsp:rsid wsp:val=&quot;00E33303&quot;/&gt;&lt;wsp:rsid wsp:val=&quot;00E334B8&quot;/&gt;&lt;wsp:rsid wsp:val=&quot;00E33546&quot;/&gt;&lt;wsp:rsid wsp:val=&quot;00E335D3&quot;/&gt;&lt;wsp:rsid wsp:val=&quot;00E33A9F&quot;/&gt;&lt;wsp:rsid wsp:val=&quot;00E33D4B&quot;/&gt;&lt;wsp:rsid wsp:val=&quot;00E33F97&quot;/&gt;&lt;wsp:rsid wsp:val=&quot;00E342C9&quot;/&gt;&lt;wsp:rsid wsp:val=&quot;00E34380&quot;/&gt;&lt;wsp:rsid wsp:val=&quot;00E3457D&quot;/&gt;&lt;wsp:rsid wsp:val=&quot;00E34741&quot;/&gt;&lt;wsp:rsid wsp:val=&quot;00E34EDD&quot;/&gt;&lt;wsp:rsid wsp:val=&quot;00E34F28&quot;/&gt;&lt;wsp:rsid wsp:val=&quot;00E34F78&quot;/&gt;&lt;wsp:rsid wsp:val=&quot;00E35ADA&quot;/&gt;&lt;wsp:rsid wsp:val=&quot;00E35B55&quot;/&gt;&lt;wsp:rsid wsp:val=&quot;00E35EE9&quot;/&gt;&lt;wsp:rsid wsp:val=&quot;00E35F9B&quot;/&gt;&lt;wsp:rsid wsp:val=&quot;00E364C1&quot;/&gt;&lt;wsp:rsid wsp:val=&quot;00E365ED&quot;/&gt;&lt;wsp:rsid wsp:val=&quot;00E366F5&quot;/&gt;&lt;wsp:rsid wsp:val=&quot;00E368BF&quot;/&gt;&lt;wsp:rsid wsp:val=&quot;00E37032&quot;/&gt;&lt;wsp:rsid wsp:val=&quot;00E37196&quot;/&gt;&lt;wsp:rsid wsp:val=&quot;00E376AA&quot;/&gt;&lt;wsp:rsid wsp:val=&quot;00E37A63&quot;/&gt;&lt;wsp:rsid wsp:val=&quot;00E37C42&quot;/&gt;&lt;wsp:rsid wsp:val=&quot;00E37D4E&quot;/&gt;&lt;wsp:rsid wsp:val=&quot;00E40990&quot;/&gt;&lt;wsp:rsid wsp:val=&quot;00E40E65&quot;/&gt;&lt;wsp:rsid wsp:val=&quot;00E410D4&quot;/&gt;&lt;wsp:rsid wsp:val=&quot;00E415CA&quot;/&gt;&lt;wsp:rsid wsp:val=&quot;00E41647&quot;/&gt;&lt;wsp:rsid wsp:val=&quot;00E417BB&quot;/&gt;&lt;wsp:rsid wsp:val=&quot;00E41861&quot;/&gt;&lt;wsp:rsid wsp:val=&quot;00E41E7A&quot;/&gt;&lt;wsp:rsid wsp:val=&quot;00E422D4&quot;/&gt;&lt;wsp:rsid wsp:val=&quot;00E42450&quot;/&gt;&lt;wsp:rsid wsp:val=&quot;00E427FF&quot;/&gt;&lt;wsp:rsid wsp:val=&quot;00E42ADB&quot;/&gt;&lt;wsp:rsid wsp:val=&quot;00E42B03&quot;/&gt;&lt;wsp:rsid wsp:val=&quot;00E43337&quot;/&gt;&lt;wsp:rsid wsp:val=&quot;00E4352F&quot;/&gt;&lt;wsp:rsid wsp:val=&quot;00E4353C&quot;/&gt;&lt;wsp:rsid wsp:val=&quot;00E43687&quot;/&gt;&lt;wsp:rsid wsp:val=&quot;00E43B4B&quot;/&gt;&lt;wsp:rsid wsp:val=&quot;00E442BB&quot;/&gt;&lt;wsp:rsid wsp:val=&quot;00E44308&quot;/&gt;&lt;wsp:rsid wsp:val=&quot;00E443A4&quot;/&gt;&lt;wsp:rsid wsp:val=&quot;00E44910&quot;/&gt;&lt;wsp:rsid wsp:val=&quot;00E44A1D&quot;/&gt;&lt;wsp:rsid wsp:val=&quot;00E44C60&quot;/&gt;&lt;wsp:rsid wsp:val=&quot;00E44CCC&quot;/&gt;&lt;wsp:rsid wsp:val=&quot;00E44D7C&quot;/&gt;&lt;wsp:rsid wsp:val=&quot;00E44F4C&quot;/&gt;&lt;wsp:rsid wsp:val=&quot;00E45C08&quot;/&gt;&lt;wsp:rsid wsp:val=&quot;00E45EFE&quot;/&gt;&lt;wsp:rsid wsp:val=&quot;00E46932&quot;/&gt;&lt;wsp:rsid wsp:val=&quot;00E46960&quot;/&gt;&lt;wsp:rsid wsp:val=&quot;00E470C6&quot;/&gt;&lt;wsp:rsid wsp:val=&quot;00E47734&quot;/&gt;&lt;wsp:rsid wsp:val=&quot;00E4785F&quot;/&gt;&lt;wsp:rsid wsp:val=&quot;00E479DC&quot;/&gt;&lt;wsp:rsid wsp:val=&quot;00E47D1F&quot;/&gt;&lt;wsp:rsid wsp:val=&quot;00E5013E&quot;/&gt;&lt;wsp:rsid wsp:val=&quot;00E50915&quot;/&gt;&lt;wsp:rsid wsp:val=&quot;00E509FD&quot;/&gt;&lt;wsp:rsid wsp:val=&quot;00E50AA8&quot;/&gt;&lt;wsp:rsid wsp:val=&quot;00E50E61&quot;/&gt;&lt;wsp:rsid wsp:val=&quot;00E51AEA&quot;/&gt;&lt;wsp:rsid wsp:val=&quot;00E51CD9&quot;/&gt;&lt;wsp:rsid wsp:val=&quot;00E51E04&quot;/&gt;&lt;wsp:rsid wsp:val=&quot;00E5218D&quot;/&gt;&lt;wsp:rsid wsp:val=&quot;00E522F9&quot;/&gt;&lt;wsp:rsid wsp:val=&quot;00E52382&quot;/&gt;&lt;wsp:rsid wsp:val=&quot;00E52D9A&quot;/&gt;&lt;wsp:rsid wsp:val=&quot;00E52ECD&quot;/&gt;&lt;wsp:rsid wsp:val=&quot;00E52EE4&quot;/&gt;&lt;wsp:rsid wsp:val=&quot;00E52F84&quot;/&gt;&lt;wsp:rsid wsp:val=&quot;00E52FFD&quot;/&gt;&lt;wsp:rsid wsp:val=&quot;00E53660&quot;/&gt;&lt;wsp:rsid wsp:val=&quot;00E53A0A&quot;/&gt;&lt;wsp:rsid wsp:val=&quot;00E53E1C&quot;/&gt;&lt;wsp:rsid wsp:val=&quot;00E54208&quot;/&gt;&lt;wsp:rsid wsp:val=&quot;00E54349&quot;/&gt;&lt;wsp:rsid wsp:val=&quot;00E54614&quot;/&gt;&lt;wsp:rsid wsp:val=&quot;00E546E0&quot;/&gt;&lt;wsp:rsid wsp:val=&quot;00E5491F&quot;/&gt;&lt;wsp:rsid wsp:val=&quot;00E54C82&quot;/&gt;&lt;wsp:rsid wsp:val=&quot;00E54F4B&quot;/&gt;&lt;wsp:rsid wsp:val=&quot;00E55FF3&quot;/&gt;&lt;wsp:rsid wsp:val=&quot;00E5656C&quot;/&gt;&lt;wsp:rsid wsp:val=&quot;00E565D4&quot;/&gt;&lt;wsp:rsid wsp:val=&quot;00E56673&quot;/&gt;&lt;wsp:rsid wsp:val=&quot;00E5681D&quot;/&gt;&lt;wsp:rsid wsp:val=&quot;00E56D94&quot;/&gt;&lt;wsp:rsid wsp:val=&quot;00E56F86&quot;/&gt;&lt;wsp:rsid wsp:val=&quot;00E5709D&quot;/&gt;&lt;wsp:rsid wsp:val=&quot;00E57375&quot;/&gt;&lt;wsp:rsid wsp:val=&quot;00E57514&quot;/&gt;&lt;wsp:rsid wsp:val=&quot;00E57561&quot;/&gt;&lt;wsp:rsid wsp:val=&quot;00E5758F&quot;/&gt;&lt;wsp:rsid wsp:val=&quot;00E57AB5&quot;/&gt;&lt;wsp:rsid wsp:val=&quot;00E57FA9&quot;/&gt;&lt;wsp:rsid wsp:val=&quot;00E6034A&quot;/&gt;&lt;wsp:rsid wsp:val=&quot;00E608B5&quot;/&gt;&lt;wsp:rsid wsp:val=&quot;00E60D6F&quot;/&gt;&lt;wsp:rsid wsp:val=&quot;00E60E51&quot;/&gt;&lt;wsp:rsid wsp:val=&quot;00E60E79&quot;/&gt;&lt;wsp:rsid wsp:val=&quot;00E610CA&quot;/&gt;&lt;wsp:rsid wsp:val=&quot;00E611B2&quot;/&gt;&lt;wsp:rsid wsp:val=&quot;00E613C9&quot;/&gt;&lt;wsp:rsid wsp:val=&quot;00E6153E&quot;/&gt;&lt;wsp:rsid wsp:val=&quot;00E6176E&quot;/&gt;&lt;wsp:rsid wsp:val=&quot;00E61935&quot;/&gt;&lt;wsp:rsid wsp:val=&quot;00E62308&quot;/&gt;&lt;wsp:rsid wsp:val=&quot;00E62527&quot;/&gt;&lt;wsp:rsid wsp:val=&quot;00E626FB&quot;/&gt;&lt;wsp:rsid wsp:val=&quot;00E62869&quot;/&gt;&lt;wsp:rsid wsp:val=&quot;00E62B78&quot;/&gt;&lt;wsp:rsid wsp:val=&quot;00E632A7&quot;/&gt;&lt;wsp:rsid wsp:val=&quot;00E633F0&quot;/&gt;&lt;wsp:rsid wsp:val=&quot;00E6391C&quot;/&gt;&lt;wsp:rsid wsp:val=&quot;00E63B45&quot;/&gt;&lt;wsp:rsid wsp:val=&quot;00E63EE1&quot;/&gt;&lt;wsp:rsid wsp:val=&quot;00E64025&quot;/&gt;&lt;wsp:rsid wsp:val=&quot;00E64546&quot;/&gt;&lt;wsp:rsid wsp:val=&quot;00E64D07&quot;/&gt;&lt;wsp:rsid wsp:val=&quot;00E64E25&quot;/&gt;&lt;wsp:rsid wsp:val=&quot;00E6518F&quot;/&gt;&lt;wsp:rsid wsp:val=&quot;00E65F05&quot;/&gt;&lt;wsp:rsid wsp:val=&quot;00E65FB1&quot;/&gt;&lt;wsp:rsid wsp:val=&quot;00E666C5&quot;/&gt;&lt;wsp:rsid wsp:val=&quot;00E6693C&quot;/&gt;&lt;wsp:rsid wsp:val=&quot;00E66F55&quot;/&gt;&lt;wsp:rsid wsp:val=&quot;00E6706C&quot;/&gt;&lt;wsp:rsid wsp:val=&quot;00E67621&quot;/&gt;&lt;wsp:rsid wsp:val=&quot;00E679AF&quot;/&gt;&lt;wsp:rsid wsp:val=&quot;00E70224&quot;/&gt;&lt;wsp:rsid wsp:val=&quot;00E704A5&quot;/&gt;&lt;wsp:rsid wsp:val=&quot;00E70711&quot;/&gt;&lt;wsp:rsid wsp:val=&quot;00E70D02&quot;/&gt;&lt;wsp:rsid wsp:val=&quot;00E71435&quot;/&gt;&lt;wsp:rsid wsp:val=&quot;00E714A1&quot;/&gt;&lt;wsp:rsid wsp:val=&quot;00E71661&quot;/&gt;&lt;wsp:rsid wsp:val=&quot;00E718FE&quot;/&gt;&lt;wsp:rsid wsp:val=&quot;00E71BFA&quot;/&gt;&lt;wsp:rsid wsp:val=&quot;00E72367&quot;/&gt;&lt;wsp:rsid wsp:val=&quot;00E7264A&quot;/&gt;&lt;wsp:rsid wsp:val=&quot;00E727EE&quot;/&gt;&lt;wsp:rsid wsp:val=&quot;00E72939&quot;/&gt;&lt;wsp:rsid wsp:val=&quot;00E73262&quot;/&gt;&lt;wsp:rsid wsp:val=&quot;00E73747&quot;/&gt;&lt;wsp:rsid wsp:val=&quot;00E738AD&quot;/&gt;&lt;wsp:rsid wsp:val=&quot;00E73AEC&quot;/&gt;&lt;wsp:rsid wsp:val=&quot;00E74796&quot;/&gt;&lt;wsp:rsid wsp:val=&quot;00E74BC2&quot;/&gt;&lt;wsp:rsid wsp:val=&quot;00E74D63&quot;/&gt;&lt;wsp:rsid wsp:val=&quot;00E7500C&quot;/&gt;&lt;wsp:rsid wsp:val=&quot;00E7505C&quot;/&gt;&lt;wsp:rsid wsp:val=&quot;00E752AE&quot;/&gt;&lt;wsp:rsid wsp:val=&quot;00E7552F&quot;/&gt;&lt;wsp:rsid wsp:val=&quot;00E75629&quot;/&gt;&lt;wsp:rsid wsp:val=&quot;00E75AC6&quot;/&gt;&lt;wsp:rsid wsp:val=&quot;00E75E82&quot;/&gt;&lt;wsp:rsid wsp:val=&quot;00E75EE5&quot;/&gt;&lt;wsp:rsid wsp:val=&quot;00E76143&quot;/&gt;&lt;wsp:rsid wsp:val=&quot;00E76F38&quot;/&gt;&lt;wsp:rsid wsp:val=&quot;00E77581&quot;/&gt;&lt;wsp:rsid wsp:val=&quot;00E7781A&quot;/&gt;&lt;wsp:rsid wsp:val=&quot;00E77B8B&quot;/&gt;&lt;wsp:rsid wsp:val=&quot;00E77D04&quot;/&gt;&lt;wsp:rsid wsp:val=&quot;00E802AE&quot;/&gt;&lt;wsp:rsid wsp:val=&quot;00E80671&quot;/&gt;&lt;wsp:rsid wsp:val=&quot;00E80ED5&quot;/&gt;&lt;wsp:rsid wsp:val=&quot;00E80FDB&quot;/&gt;&lt;wsp:rsid wsp:val=&quot;00E81B32&quot;/&gt;&lt;wsp:rsid wsp:val=&quot;00E81BA1&quot;/&gt;&lt;wsp:rsid wsp:val=&quot;00E82016&quot;/&gt;&lt;wsp:rsid wsp:val=&quot;00E82772&quot;/&gt;&lt;wsp:rsid wsp:val=&quot;00E827DE&quot;/&gt;&lt;wsp:rsid wsp:val=&quot;00E83674&quot;/&gt;&lt;wsp:rsid wsp:val=&quot;00E83C13&quot;/&gt;&lt;wsp:rsid wsp:val=&quot;00E8433E&quot;/&gt;&lt;wsp:rsid wsp:val=&quot;00E8463F&quot;/&gt;&lt;wsp:rsid wsp:val=&quot;00E84E03&quot;/&gt;&lt;wsp:rsid wsp:val=&quot;00E85262&quot;/&gt;&lt;wsp:rsid wsp:val=&quot;00E85892&quot;/&gt;&lt;wsp:rsid wsp:val=&quot;00E85A0A&quot;/&gt;&lt;wsp:rsid wsp:val=&quot;00E85EBC&quot;/&gt;&lt;wsp:rsid wsp:val=&quot;00E86176&quot;/&gt;&lt;wsp:rsid wsp:val=&quot;00E86772&quot;/&gt;&lt;wsp:rsid wsp:val=&quot;00E86CD6&quot;/&gt;&lt;wsp:rsid wsp:val=&quot;00E86D8B&quot;/&gt;&lt;wsp:rsid wsp:val=&quot;00E8777C&quot;/&gt;&lt;wsp:rsid wsp:val=&quot;00E87972&quot;/&gt;&lt;wsp:rsid wsp:val=&quot;00E8797B&quot;/&gt;&lt;wsp:rsid wsp:val=&quot;00E87A12&quot;/&gt;&lt;wsp:rsid wsp:val=&quot;00E87DA5&quot;/&gt;&lt;wsp:rsid wsp:val=&quot;00E900B8&quot;/&gt;&lt;wsp:rsid wsp:val=&quot;00E906F2&quot;/&gt;&lt;wsp:rsid wsp:val=&quot;00E90A85&quot;/&gt;&lt;wsp:rsid wsp:val=&quot;00E90ADB&quot;/&gt;&lt;wsp:rsid wsp:val=&quot;00E90AEF&quot;/&gt;&lt;wsp:rsid wsp:val=&quot;00E90B2C&quot;/&gt;&lt;wsp:rsid wsp:val=&quot;00E90B73&quot;/&gt;&lt;wsp:rsid wsp:val=&quot;00E90D03&quot;/&gt;&lt;wsp:rsid wsp:val=&quot;00E90D6A&quot;/&gt;&lt;wsp:rsid wsp:val=&quot;00E91242&quot;/&gt;&lt;wsp:rsid wsp:val=&quot;00E913BE&quot;/&gt;&lt;wsp:rsid wsp:val=&quot;00E922DF&quot;/&gt;&lt;wsp:rsid wsp:val=&quot;00E927DA&quot;/&gt;&lt;wsp:rsid wsp:val=&quot;00E92974&quot;/&gt;&lt;wsp:rsid wsp:val=&quot;00E929C9&quot;/&gt;&lt;wsp:rsid wsp:val=&quot;00E92C21&quot;/&gt;&lt;wsp:rsid wsp:val=&quot;00E940A0&quot;/&gt;&lt;wsp:rsid wsp:val=&quot;00E94167&quot;/&gt;&lt;wsp:rsid wsp:val=&quot;00E9476C&quot;/&gt;&lt;wsp:rsid wsp:val=&quot;00E9486A&quot;/&gt;&lt;wsp:rsid wsp:val=&quot;00E9527E&quot;/&gt;&lt;wsp:rsid wsp:val=&quot;00E9528B&quot;/&gt;&lt;wsp:rsid wsp:val=&quot;00E9577E&quot;/&gt;&lt;wsp:rsid wsp:val=&quot;00E957F3&quot;/&gt;&lt;wsp:rsid wsp:val=&quot;00E95BFA&quot;/&gt;&lt;wsp:rsid wsp:val=&quot;00E9609A&quot;/&gt;&lt;wsp:rsid wsp:val=&quot;00E96315&quot;/&gt;&lt;wsp:rsid wsp:val=&quot;00E964DC&quot;/&gt;&lt;wsp:rsid wsp:val=&quot;00E969CB&quot;/&gt;&lt;wsp:rsid wsp:val=&quot;00E96AB5&quot;/&gt;&lt;wsp:rsid wsp:val=&quot;00E96C13&quot;/&gt;&lt;wsp:rsid wsp:val=&quot;00E96C6C&quot;/&gt;&lt;wsp:rsid wsp:val=&quot;00E97062&quot;/&gt;&lt;wsp:rsid wsp:val=&quot;00E97130&quot;/&gt;&lt;wsp:rsid wsp:val=&quot;00E97312&quot;/&gt;&lt;wsp:rsid wsp:val=&quot;00E977D2&quot;/&gt;&lt;wsp:rsid wsp:val=&quot;00E9798A&quot;/&gt;&lt;wsp:rsid wsp:val=&quot;00E97DB5&quot;/&gt;&lt;wsp:rsid wsp:val=&quot;00E97DDB&quot;/&gt;&lt;wsp:rsid wsp:val=&quot;00E97DEB&quot;/&gt;&lt;wsp:rsid wsp:val=&quot;00EA044D&quot;/&gt;&lt;wsp:rsid wsp:val=&quot;00EA0B51&quot;/&gt;&lt;wsp:rsid wsp:val=&quot;00EA16F2&quot;/&gt;&lt;wsp:rsid wsp:val=&quot;00EA17BE&quot;/&gt;&lt;wsp:rsid wsp:val=&quot;00EA1AD9&quot;/&gt;&lt;wsp:rsid wsp:val=&quot;00EA1D6A&quot;/&gt;&lt;wsp:rsid wsp:val=&quot;00EA1D73&quot;/&gt;&lt;wsp:rsid wsp:val=&quot;00EA1F85&quot;/&gt;&lt;wsp:rsid wsp:val=&quot;00EA2710&quot;/&gt;&lt;wsp:rsid wsp:val=&quot;00EA27C0&quot;/&gt;&lt;wsp:rsid wsp:val=&quot;00EA38DF&quot;/&gt;&lt;wsp:rsid wsp:val=&quot;00EA3924&quot;/&gt;&lt;wsp:rsid wsp:val=&quot;00EA3C04&quot;/&gt;&lt;wsp:rsid wsp:val=&quot;00EA3DC1&quot;/&gt;&lt;wsp:rsid wsp:val=&quot;00EA3EF5&quot;/&gt;&lt;wsp:rsid wsp:val=&quot;00EA3F5E&quot;/&gt;&lt;wsp:rsid wsp:val=&quot;00EA459A&quot;/&gt;&lt;wsp:rsid wsp:val=&quot;00EA45D2&quot;/&gt;&lt;wsp:rsid wsp:val=&quot;00EA49F2&quot;/&gt;&lt;wsp:rsid wsp:val=&quot;00EA4CF9&quot;/&gt;&lt;wsp:rsid wsp:val=&quot;00EA51D5&quot;/&gt;&lt;wsp:rsid wsp:val=&quot;00EA5434&quot;/&gt;&lt;wsp:rsid wsp:val=&quot;00EA575C&quot;/&gt;&lt;wsp:rsid wsp:val=&quot;00EA592E&quot;/&gt;&lt;wsp:rsid wsp:val=&quot;00EA59AE&quot;/&gt;&lt;wsp:rsid wsp:val=&quot;00EA651E&quot;/&gt;&lt;wsp:rsid wsp:val=&quot;00EA65D6&quot;/&gt;&lt;wsp:rsid wsp:val=&quot;00EA676A&quot;/&gt;&lt;wsp:rsid wsp:val=&quot;00EA6C0C&quot;/&gt;&lt;wsp:rsid wsp:val=&quot;00EA6C67&quot;/&gt;&lt;wsp:rsid wsp:val=&quot;00EA6D01&quot;/&gt;&lt;wsp:rsid wsp:val=&quot;00EA6E6D&quot;/&gt;&lt;wsp:rsid wsp:val=&quot;00EA74F6&quot;/&gt;&lt;wsp:rsid wsp:val=&quot;00EA7572&quot;/&gt;&lt;wsp:rsid wsp:val=&quot;00EA7CE2&quot;/&gt;&lt;wsp:rsid wsp:val=&quot;00EA7E3C&quot;/&gt;&lt;wsp:rsid wsp:val=&quot;00EA7E63&quot;/&gt;&lt;wsp:rsid wsp:val=&quot;00EB0155&quot;/&gt;&lt;wsp:rsid wsp:val=&quot;00EB03FD&quot;/&gt;&lt;wsp:rsid wsp:val=&quot;00EB08EB&quot;/&gt;&lt;wsp:rsid wsp:val=&quot;00EB0C7B&quot;/&gt;&lt;wsp:rsid wsp:val=&quot;00EB111F&quot;/&gt;&lt;wsp:rsid wsp:val=&quot;00EB118D&quot;/&gt;&lt;wsp:rsid wsp:val=&quot;00EB15C3&quot;/&gt;&lt;wsp:rsid wsp:val=&quot;00EB1C7F&quot;/&gt;&lt;wsp:rsid wsp:val=&quot;00EB2590&quot;/&gt;&lt;wsp:rsid wsp:val=&quot;00EB2DC0&quot;/&gt;&lt;wsp:rsid wsp:val=&quot;00EB3026&quot;/&gt;&lt;wsp:rsid wsp:val=&quot;00EB3347&quot;/&gt;&lt;wsp:rsid wsp:val=&quot;00EB380F&quot;/&gt;&lt;wsp:rsid wsp:val=&quot;00EB3AA3&quot;/&gt;&lt;wsp:rsid wsp:val=&quot;00EB3AC1&quot;/&gt;&lt;wsp:rsid wsp:val=&quot;00EB3F4C&quot;/&gt;&lt;wsp:rsid wsp:val=&quot;00EB41EA&quot;/&gt;&lt;wsp:rsid wsp:val=&quot;00EB4231&quot;/&gt;&lt;wsp:rsid wsp:val=&quot;00EB459C&quot;/&gt;&lt;wsp:rsid wsp:val=&quot;00EB488E&quot;/&gt;&lt;wsp:rsid wsp:val=&quot;00EB52D5&quot;/&gt;&lt;wsp:rsid wsp:val=&quot;00EB5722&quot;/&gt;&lt;wsp:rsid wsp:val=&quot;00EB57F5&quot;/&gt;&lt;wsp:rsid wsp:val=&quot;00EB583F&quot;/&gt;&lt;wsp:rsid wsp:val=&quot;00EB5F3F&quot;/&gt;&lt;wsp:rsid wsp:val=&quot;00EB62B3&quot;/&gt;&lt;wsp:rsid wsp:val=&quot;00EB6524&quot;/&gt;&lt;wsp:rsid wsp:val=&quot;00EB66C7&quot;/&gt;&lt;wsp:rsid wsp:val=&quot;00EB6720&quot;/&gt;&lt;wsp:rsid wsp:val=&quot;00EB6808&quot;/&gt;&lt;wsp:rsid wsp:val=&quot;00EB69F8&quot;/&gt;&lt;wsp:rsid wsp:val=&quot;00EB6A5C&quot;/&gt;&lt;wsp:rsid wsp:val=&quot;00EB6D0A&quot;/&gt;&lt;wsp:rsid wsp:val=&quot;00EB72EF&quot;/&gt;&lt;wsp:rsid wsp:val=&quot;00EB73A5&quot;/&gt;&lt;wsp:rsid wsp:val=&quot;00EB7516&quot;/&gt;&lt;wsp:rsid wsp:val=&quot;00EC0326&quot;/&gt;&lt;wsp:rsid wsp:val=&quot;00EC033E&quot;/&gt;&lt;wsp:rsid wsp:val=&quot;00EC0926&quot;/&gt;&lt;wsp:rsid wsp:val=&quot;00EC0952&quot;/&gt;&lt;wsp:rsid wsp:val=&quot;00EC0E57&quot;/&gt;&lt;wsp:rsid wsp:val=&quot;00EC0FB1&quot;/&gt;&lt;wsp:rsid wsp:val=&quot;00EC1252&quot;/&gt;&lt;wsp:rsid wsp:val=&quot;00EC2A47&quot;/&gt;&lt;wsp:rsid wsp:val=&quot;00EC2AE8&quot;/&gt;&lt;wsp:rsid wsp:val=&quot;00EC2F82&quot;/&gt;&lt;wsp:rsid wsp:val=&quot;00EC32FC&quot;/&gt;&lt;wsp:rsid wsp:val=&quot;00EC3479&quot;/&gt;&lt;wsp:rsid wsp:val=&quot;00EC3572&quot;/&gt;&lt;wsp:rsid wsp:val=&quot;00EC35A6&quot;/&gt;&lt;wsp:rsid wsp:val=&quot;00EC41EF&quot;/&gt;&lt;wsp:rsid wsp:val=&quot;00EC4460&quot;/&gt;&lt;wsp:rsid wsp:val=&quot;00EC4898&quot;/&gt;&lt;wsp:rsid wsp:val=&quot;00EC497E&quot;/&gt;&lt;wsp:rsid wsp:val=&quot;00EC4CBE&quot;/&gt;&lt;wsp:rsid wsp:val=&quot;00EC4F0E&quot;/&gt;&lt;wsp:rsid wsp:val=&quot;00EC5017&quot;/&gt;&lt;wsp:rsid wsp:val=&quot;00EC5634&quot;/&gt;&lt;wsp:rsid wsp:val=&quot;00EC56E4&quot;/&gt;&lt;wsp:rsid wsp:val=&quot;00EC6013&quot;/&gt;&lt;wsp:rsid wsp:val=&quot;00EC6088&quot;/&gt;&lt;wsp:rsid wsp:val=&quot;00EC63F7&quot;/&gt;&lt;wsp:rsid wsp:val=&quot;00EC65BF&quot;/&gt;&lt;wsp:rsid wsp:val=&quot;00EC6AB4&quot;/&gt;&lt;wsp:rsid wsp:val=&quot;00EC6EAF&quot;/&gt;&lt;wsp:rsid wsp:val=&quot;00EC7149&quot;/&gt;&lt;wsp:rsid wsp:val=&quot;00EC7265&quot;/&gt;&lt;wsp:rsid wsp:val=&quot;00EC75D1&quot;/&gt;&lt;wsp:rsid wsp:val=&quot;00ED0144&quot;/&gt;&lt;wsp:rsid wsp:val=&quot;00ED016B&quot;/&gt;&lt;wsp:rsid wsp:val=&quot;00ED028D&quot;/&gt;&lt;wsp:rsid wsp:val=&quot;00ED057C&quot;/&gt;&lt;wsp:rsid wsp:val=&quot;00ED0EC5&quot;/&gt;&lt;wsp:rsid wsp:val=&quot;00ED103C&quot;/&gt;&lt;wsp:rsid wsp:val=&quot;00ED1402&quot;/&gt;&lt;wsp:rsid wsp:val=&quot;00ED1C0C&quot;/&gt;&lt;wsp:rsid wsp:val=&quot;00ED1C31&quot;/&gt;&lt;wsp:rsid wsp:val=&quot;00ED1D70&quot;/&gt;&lt;wsp:rsid wsp:val=&quot;00ED1EE4&quot;/&gt;&lt;wsp:rsid wsp:val=&quot;00ED20CA&quot;/&gt;&lt;wsp:rsid wsp:val=&quot;00ED291D&quot;/&gt;&lt;wsp:rsid wsp:val=&quot;00ED2A3A&quot;/&gt;&lt;wsp:rsid wsp:val=&quot;00ED2A69&quot;/&gt;&lt;wsp:rsid wsp:val=&quot;00ED2FCA&quot;/&gt;&lt;wsp:rsid wsp:val=&quot;00ED2FD5&quot;/&gt;&lt;wsp:rsid wsp:val=&quot;00ED33DD&quot;/&gt;&lt;wsp:rsid wsp:val=&quot;00ED3452&quot;/&gt;&lt;wsp:rsid wsp:val=&quot;00ED35D4&quot;/&gt;&lt;wsp:rsid wsp:val=&quot;00ED389E&quot;/&gt;&lt;wsp:rsid wsp:val=&quot;00ED3935&quot;/&gt;&lt;wsp:rsid wsp:val=&quot;00ED4783&quot;/&gt;&lt;wsp:rsid wsp:val=&quot;00ED47C6&quot;/&gt;&lt;wsp:rsid wsp:val=&quot;00ED4C83&quot;/&gt;&lt;wsp:rsid wsp:val=&quot;00ED4FC6&quot;/&gt;&lt;wsp:rsid wsp:val=&quot;00ED5405&quot;/&gt;&lt;wsp:rsid wsp:val=&quot;00ED56C1&quot;/&gt;&lt;wsp:rsid wsp:val=&quot;00ED58CB&quot;/&gt;&lt;wsp:rsid wsp:val=&quot;00ED6905&quot;/&gt;&lt;wsp:rsid wsp:val=&quot;00ED6E1C&quot;/&gt;&lt;wsp:rsid wsp:val=&quot;00ED742D&quot;/&gt;&lt;wsp:rsid wsp:val=&quot;00ED7914&quot;/&gt;&lt;wsp:rsid wsp:val=&quot;00ED7BD0&quot;/&gt;&lt;wsp:rsid wsp:val=&quot;00ED7D97&quot;/&gt;&lt;wsp:rsid wsp:val=&quot;00ED7E79&quot;/&gt;&lt;wsp:rsid wsp:val=&quot;00EE0739&quot;/&gt;&lt;wsp:rsid wsp:val=&quot;00EE0B06&quot;/&gt;&lt;wsp:rsid wsp:val=&quot;00EE0B0A&quot;/&gt;&lt;wsp:rsid wsp:val=&quot;00EE0BDC&quot;/&gt;&lt;wsp:rsid wsp:val=&quot;00EE0E63&quot;/&gt;&lt;wsp:rsid wsp:val=&quot;00EE1A47&quot;/&gt;&lt;wsp:rsid wsp:val=&quot;00EE1DF0&quot;/&gt;&lt;wsp:rsid wsp:val=&quot;00EE1DF8&quot;/&gt;&lt;wsp:rsid wsp:val=&quot;00EE25E4&quot;/&gt;&lt;wsp:rsid wsp:val=&quot;00EE28E1&quot;/&gt;&lt;wsp:rsid wsp:val=&quot;00EE2ADD&quot;/&gt;&lt;wsp:rsid wsp:val=&quot;00EE3066&quot;/&gt;&lt;wsp:rsid wsp:val=&quot;00EE35C8&quot;/&gt;&lt;wsp:rsid wsp:val=&quot;00EE379A&quot;/&gt;&lt;wsp:rsid wsp:val=&quot;00EE3AB3&quot;/&gt;&lt;wsp:rsid wsp:val=&quot;00EE3B65&quot;/&gt;&lt;wsp:rsid wsp:val=&quot;00EE3C6B&quot;/&gt;&lt;wsp:rsid wsp:val=&quot;00EE3C8B&quot;/&gt;&lt;wsp:rsid wsp:val=&quot;00EE3D81&quot;/&gt;&lt;wsp:rsid wsp:val=&quot;00EE3FA8&quot;/&gt;&lt;wsp:rsid wsp:val=&quot;00EE43EE&quot;/&gt;&lt;wsp:rsid wsp:val=&quot;00EE4496&quot;/&gt;&lt;wsp:rsid wsp:val=&quot;00EE4552&quot;/&gt;&lt;wsp:rsid wsp:val=&quot;00EE464C&quot;/&gt;&lt;wsp:rsid wsp:val=&quot;00EE4B29&quot;/&gt;&lt;wsp:rsid wsp:val=&quot;00EE4B3F&quot;/&gt;&lt;wsp:rsid wsp:val=&quot;00EE65C5&quot;/&gt;&lt;wsp:rsid wsp:val=&quot;00EE680B&quot;/&gt;&lt;wsp:rsid wsp:val=&quot;00EE7400&quot;/&gt;&lt;wsp:rsid wsp:val=&quot;00EE7912&quot;/&gt;&lt;wsp:rsid wsp:val=&quot;00EF013E&quot;/&gt;&lt;wsp:rsid wsp:val=&quot;00EF04CA&quot;/&gt;&lt;wsp:rsid wsp:val=&quot;00EF0649&quot;/&gt;&lt;wsp:rsid wsp:val=&quot;00EF0751&quot;/&gt;&lt;wsp:rsid wsp:val=&quot;00EF07D8&quot;/&gt;&lt;wsp:rsid wsp:val=&quot;00EF08CE&quot;/&gt;&lt;wsp:rsid wsp:val=&quot;00EF0B2A&quot;/&gt;&lt;wsp:rsid wsp:val=&quot;00EF0E83&quot;/&gt;&lt;wsp:rsid wsp:val=&quot;00EF0F0A&quot;/&gt;&lt;wsp:rsid wsp:val=&quot;00EF0FF6&quot;/&gt;&lt;wsp:rsid wsp:val=&quot;00EF104E&quot;/&gt;&lt;wsp:rsid wsp:val=&quot;00EF1688&quot;/&gt;&lt;wsp:rsid wsp:val=&quot;00EF1A3A&quot;/&gt;&lt;wsp:rsid wsp:val=&quot;00EF1C16&quot;/&gt;&lt;wsp:rsid wsp:val=&quot;00EF1E30&quot;/&gt;&lt;wsp:rsid wsp:val=&quot;00EF2005&quot;/&gt;&lt;wsp:rsid wsp:val=&quot;00EF2999&quot;/&gt;&lt;wsp:rsid wsp:val=&quot;00EF3066&quot;/&gt;&lt;wsp:rsid wsp:val=&quot;00EF30A1&quot;/&gt;&lt;wsp:rsid wsp:val=&quot;00EF372B&quot;/&gt;&lt;wsp:rsid wsp:val=&quot;00EF3F0D&quot;/&gt;&lt;wsp:rsid wsp:val=&quot;00EF4476&quot;/&gt;&lt;wsp:rsid wsp:val=&quot;00EF4B56&quot;/&gt;&lt;wsp:rsid wsp:val=&quot;00EF4DCA&quot;/&gt;&lt;wsp:rsid wsp:val=&quot;00EF4E77&quot;/&gt;&lt;wsp:rsid wsp:val=&quot;00EF51F9&quot;/&gt;&lt;wsp:rsid wsp:val=&quot;00EF555F&quot;/&gt;&lt;wsp:rsid wsp:val=&quot;00EF5805&quot;/&gt;&lt;wsp:rsid wsp:val=&quot;00EF5899&quot;/&gt;&lt;wsp:rsid wsp:val=&quot;00EF5E4E&quot;/&gt;&lt;wsp:rsid wsp:val=&quot;00EF5FA3&quot;/&gt;&lt;wsp:rsid wsp:val=&quot;00EF5FD5&quot;/&gt;&lt;wsp:rsid wsp:val=&quot;00EF642B&quot;/&gt;&lt;wsp:rsid wsp:val=&quot;00EF6766&quot;/&gt;&lt;wsp:rsid wsp:val=&quot;00EF689E&quot;/&gt;&lt;wsp:rsid wsp:val=&quot;00EF6E11&quot;/&gt;&lt;wsp:rsid wsp:val=&quot;00EF73E4&quot;/&gt;&lt;wsp:rsid wsp:val=&quot;00EF76A6&quot;/&gt;&lt;wsp:rsid wsp:val=&quot;00EF7873&quot;/&gt;&lt;wsp:rsid wsp:val=&quot;00EF7B2D&quot;/&gt;&lt;wsp:rsid wsp:val=&quot;00EF7C7E&quot;/&gt;&lt;wsp:rsid wsp:val=&quot;00F00396&quot;/&gt;&lt;wsp:rsid wsp:val=&quot;00F0062B&quot;/&gt;&lt;wsp:rsid wsp:val=&quot;00F00EEF&quot;/&gt;&lt;wsp:rsid wsp:val=&quot;00F00FE8&quot;/&gt;&lt;wsp:rsid wsp:val=&quot;00F013FF&quot;/&gt;&lt;wsp:rsid wsp:val=&quot;00F01644&quot;/&gt;&lt;wsp:rsid wsp:val=&quot;00F016F2&quot;/&gt;&lt;wsp:rsid wsp:val=&quot;00F01A8B&quot;/&gt;&lt;wsp:rsid wsp:val=&quot;00F02044&quot;/&gt;&lt;wsp:rsid wsp:val=&quot;00F02258&quot;/&gt;&lt;wsp:rsid wsp:val=&quot;00F0298F&quot;/&gt;&lt;wsp:rsid wsp:val=&quot;00F02E0C&quot;/&gt;&lt;wsp:rsid wsp:val=&quot;00F03059&quot;/&gt;&lt;wsp:rsid wsp:val=&quot;00F03186&quot;/&gt;&lt;wsp:rsid wsp:val=&quot;00F035AE&quot;/&gt;&lt;wsp:rsid wsp:val=&quot;00F03D98&quot;/&gt;&lt;wsp:rsid wsp:val=&quot;00F03F4A&quot;/&gt;&lt;wsp:rsid wsp:val=&quot;00F03FAA&quot;/&gt;&lt;wsp:rsid wsp:val=&quot;00F043C6&quot;/&gt;&lt;wsp:rsid wsp:val=&quot;00F043D8&quot;/&gt;&lt;wsp:rsid wsp:val=&quot;00F04E24&quot;/&gt;&lt;wsp:rsid wsp:val=&quot;00F0514A&quot;/&gt;&lt;wsp:rsid wsp:val=&quot;00F0528B&quot;/&gt;&lt;wsp:rsid wsp:val=&quot;00F05778&quot;/&gt;&lt;wsp:rsid wsp:val=&quot;00F05D5F&quot;/&gt;&lt;wsp:rsid wsp:val=&quot;00F065C9&quot;/&gt;&lt;wsp:rsid wsp:val=&quot;00F067E3&quot;/&gt;&lt;wsp:rsid wsp:val=&quot;00F06B61&quot;/&gt;&lt;wsp:rsid wsp:val=&quot;00F06C94&quot;/&gt;&lt;wsp:rsid wsp:val=&quot;00F06E8C&quot;/&gt;&lt;wsp:rsid wsp:val=&quot;00F0714F&quot;/&gt;&lt;wsp:rsid wsp:val=&quot;00F0780D&quot;/&gt;&lt;wsp:rsid wsp:val=&quot;00F07876&quot;/&gt;&lt;wsp:rsid wsp:val=&quot;00F1018B&quot;/&gt;&lt;wsp:rsid wsp:val=&quot;00F1021E&quot;/&gt;&lt;wsp:rsid wsp:val=&quot;00F1124D&quot;/&gt;&lt;wsp:rsid wsp:val=&quot;00F112E6&quot;/&gt;&lt;wsp:rsid wsp:val=&quot;00F1143A&quot;/&gt;&lt;wsp:rsid wsp:val=&quot;00F11489&quot;/&gt;&lt;wsp:rsid wsp:val=&quot;00F119F7&quot;/&gt;&lt;wsp:rsid wsp:val=&quot;00F11FDE&quot;/&gt;&lt;wsp:rsid wsp:val=&quot;00F12310&quot;/&gt;&lt;wsp:rsid wsp:val=&quot;00F126E5&quot;/&gt;&lt;wsp:rsid wsp:val=&quot;00F12975&quot;/&gt;&lt;wsp:rsid wsp:val=&quot;00F12B14&quot;/&gt;&lt;wsp:rsid wsp:val=&quot;00F12F19&quot;/&gt;&lt;wsp:rsid wsp:val=&quot;00F13094&quot;/&gt;&lt;wsp:rsid wsp:val=&quot;00F132A7&quot;/&gt;&lt;wsp:rsid wsp:val=&quot;00F1363C&quot;/&gt;&lt;wsp:rsid wsp:val=&quot;00F139BD&quot;/&gt;&lt;wsp:rsid wsp:val=&quot;00F139F4&quot;/&gt;&lt;wsp:rsid wsp:val=&quot;00F13B52&quot;/&gt;&lt;wsp:rsid wsp:val=&quot;00F13DFA&quot;/&gt;&lt;wsp:rsid wsp:val=&quot;00F14323&quot;/&gt;&lt;wsp:rsid wsp:val=&quot;00F14662&quot;/&gt;&lt;wsp:rsid wsp:val=&quot;00F14DC3&quot;/&gt;&lt;wsp:rsid wsp:val=&quot;00F15145&quot;/&gt;&lt;wsp:rsid wsp:val=&quot;00F15282&quot;/&gt;&lt;wsp:rsid wsp:val=&quot;00F15A5A&quot;/&gt;&lt;wsp:rsid wsp:val=&quot;00F15B16&quot;/&gt;&lt;wsp:rsid wsp:val=&quot;00F15CA1&quot;/&gt;&lt;wsp:rsid wsp:val=&quot;00F15E80&quot;/&gt;&lt;wsp:rsid wsp:val=&quot;00F165D7&quot;/&gt;&lt;wsp:rsid wsp:val=&quot;00F16D11&quot;/&gt;&lt;wsp:rsid wsp:val=&quot;00F16E74&quot;/&gt;&lt;wsp:rsid wsp:val=&quot;00F16F6B&quot;/&gt;&lt;wsp:rsid wsp:val=&quot;00F17287&quot;/&gt;&lt;wsp:rsid wsp:val=&quot;00F172D0&quot;/&gt;&lt;wsp:rsid wsp:val=&quot;00F174BB&quot;/&gt;&lt;wsp:rsid wsp:val=&quot;00F17A02&quot;/&gt;&lt;wsp:rsid wsp:val=&quot;00F17B4F&quot;/&gt;&lt;wsp:rsid wsp:val=&quot;00F204FE&quot;/&gt;&lt;wsp:rsid wsp:val=&quot;00F2068E&quot;/&gt;&lt;wsp:rsid wsp:val=&quot;00F2069F&quot;/&gt;&lt;wsp:rsid wsp:val=&quot;00F20D70&quot;/&gt;&lt;wsp:rsid wsp:val=&quot;00F21266&quot;/&gt;&lt;wsp:rsid wsp:val=&quot;00F2140D&quot;/&gt;&lt;wsp:rsid wsp:val=&quot;00F21990&quot;/&gt;&lt;wsp:rsid wsp:val=&quot;00F219C4&quot;/&gt;&lt;wsp:rsid wsp:val=&quot;00F221F2&quot;/&gt;&lt;wsp:rsid wsp:val=&quot;00F2278D&quot;/&gt;&lt;wsp:rsid wsp:val=&quot;00F22926&quot;/&gt;&lt;wsp:rsid wsp:val=&quot;00F237CB&quot;/&gt;&lt;wsp:rsid wsp:val=&quot;00F23B07&quot;/&gt;&lt;wsp:rsid wsp:val=&quot;00F23B88&quot;/&gt;&lt;wsp:rsid wsp:val=&quot;00F23B99&quot;/&gt;&lt;wsp:rsid wsp:val=&quot;00F23D16&quot;/&gt;&lt;wsp:rsid wsp:val=&quot;00F23E76&quot;/&gt;&lt;wsp:rsid wsp:val=&quot;00F24500&quot;/&gt;&lt;wsp:rsid wsp:val=&quot;00F24B11&quot;/&gt;&lt;wsp:rsid wsp:val=&quot;00F25258&quot;/&gt;&lt;wsp:rsid wsp:val=&quot;00F2531D&quot;/&gt;&lt;wsp:rsid wsp:val=&quot;00F266BA&quot;/&gt;&lt;wsp:rsid wsp:val=&quot;00F26961&quot;/&gt;&lt;wsp:rsid wsp:val=&quot;00F26DDD&quot;/&gt;&lt;wsp:rsid wsp:val=&quot;00F26E80&quot;/&gt;&lt;wsp:rsid wsp:val=&quot;00F273EF&quot;/&gt;&lt;wsp:rsid wsp:val=&quot;00F27888&quot;/&gt;&lt;wsp:rsid wsp:val=&quot;00F279BF&quot;/&gt;&lt;wsp:rsid wsp:val=&quot;00F27ABF&quot;/&gt;&lt;wsp:rsid wsp:val=&quot;00F27CEA&quot;/&gt;&lt;wsp:rsid wsp:val=&quot;00F27EA1&quot;/&gt;&lt;wsp:rsid wsp:val=&quot;00F27F15&quot;/&gt;&lt;wsp:rsid wsp:val=&quot;00F301C6&quot;/&gt;&lt;wsp:rsid wsp:val=&quot;00F3070D&quot;/&gt;&lt;wsp:rsid wsp:val=&quot;00F30927&quot;/&gt;&lt;wsp:rsid wsp:val=&quot;00F30C11&quot;/&gt;&lt;wsp:rsid wsp:val=&quot;00F31555&quot;/&gt;&lt;wsp:rsid wsp:val=&quot;00F31DEE&quot;/&gt;&lt;wsp:rsid wsp:val=&quot;00F31FE9&quot;/&gt;&lt;wsp:rsid wsp:val=&quot;00F320EA&quot;/&gt;&lt;wsp:rsid wsp:val=&quot;00F322E7&quot;/&gt;&lt;wsp:rsid wsp:val=&quot;00F324E0&quot;/&gt;&lt;wsp:rsid wsp:val=&quot;00F32805&quot;/&gt;&lt;wsp:rsid wsp:val=&quot;00F32DCA&quot;/&gt;&lt;wsp:rsid wsp:val=&quot;00F330AD&quot;/&gt;&lt;wsp:rsid wsp:val=&quot;00F33158&quot;/&gt;&lt;wsp:rsid wsp:val=&quot;00F334FC&quot;/&gt;&lt;wsp:rsid wsp:val=&quot;00F3377C&quot;/&gt;&lt;wsp:rsid wsp:val=&quot;00F33E90&quot;/&gt;&lt;wsp:rsid wsp:val=&quot;00F350CE&quot;/&gt;&lt;wsp:rsid wsp:val=&quot;00F35945&quot;/&gt;&lt;wsp:rsid wsp:val=&quot;00F36445&quot;/&gt;&lt;wsp:rsid wsp:val=&quot;00F3677D&quot;/&gt;&lt;wsp:rsid wsp:val=&quot;00F36C59&quot;/&gt;&lt;wsp:rsid wsp:val=&quot;00F37091&quot;/&gt;&lt;wsp:rsid wsp:val=&quot;00F372E3&quot;/&gt;&lt;wsp:rsid wsp:val=&quot;00F3750F&quot;/&gt;&lt;wsp:rsid wsp:val=&quot;00F37611&quot;/&gt;&lt;wsp:rsid wsp:val=&quot;00F37F49&quot;/&gt;&lt;wsp:rsid wsp:val=&quot;00F400E7&quot;/&gt;&lt;wsp:rsid wsp:val=&quot;00F40169&quot;/&gt;&lt;wsp:rsid wsp:val=&quot;00F40385&quot;/&gt;&lt;wsp:rsid wsp:val=&quot;00F4041D&quot;/&gt;&lt;wsp:rsid wsp:val=&quot;00F40431&quot;/&gt;&lt;wsp:rsid wsp:val=&quot;00F40AD6&quot;/&gt;&lt;wsp:rsid wsp:val=&quot;00F40C34&quot;/&gt;&lt;wsp:rsid wsp:val=&quot;00F40F7C&quot;/&gt;&lt;wsp:rsid wsp:val=&quot;00F40F8D&quot;/&gt;&lt;wsp:rsid wsp:val=&quot;00F4149C&quot;/&gt;&lt;wsp:rsid wsp:val=&quot;00F4175B&quot;/&gt;&lt;wsp:rsid wsp:val=&quot;00F41A9A&quot;/&gt;&lt;wsp:rsid wsp:val=&quot;00F41F1D&quot;/&gt;&lt;wsp:rsid wsp:val=&quot;00F42279&quot;/&gt;&lt;wsp:rsid wsp:val=&quot;00F428E5&quot;/&gt;&lt;wsp:rsid wsp:val=&quot;00F430D7&quot;/&gt;&lt;wsp:rsid wsp:val=&quot;00F43779&quot;/&gt;&lt;wsp:rsid wsp:val=&quot;00F43C17&quot;/&gt;&lt;wsp:rsid wsp:val=&quot;00F446A2&quot;/&gt;&lt;wsp:rsid wsp:val=&quot;00F447B7&quot;/&gt;&lt;wsp:rsid wsp:val=&quot;00F44CFA&quot;/&gt;&lt;wsp:rsid wsp:val=&quot;00F44E5E&quot;/&gt;&lt;wsp:rsid wsp:val=&quot;00F450D9&quot;/&gt;&lt;wsp:rsid wsp:val=&quot;00F4522A&quot;/&gt;&lt;wsp:rsid wsp:val=&quot;00F4525C&quot;/&gt;&lt;wsp:rsid wsp:val=&quot;00F452AE&quot;/&gt;&lt;wsp:rsid wsp:val=&quot;00F455F1&quot;/&gt;&lt;wsp:rsid wsp:val=&quot;00F45825&quot;/&gt;&lt;wsp:rsid wsp:val=&quot;00F45B81&quot;/&gt;&lt;wsp:rsid wsp:val=&quot;00F46539&quot;/&gt;&lt;wsp:rsid wsp:val=&quot;00F46799&quot;/&gt;&lt;wsp:rsid wsp:val=&quot;00F4696B&quot;/&gt;&lt;wsp:rsid wsp:val=&quot;00F46CC3&quot;/&gt;&lt;wsp:rsid wsp:val=&quot;00F4717A&quot;/&gt;&lt;wsp:rsid wsp:val=&quot;00F472EB&quot;/&gt;&lt;wsp:rsid wsp:val=&quot;00F4762D&quot;/&gt;&lt;wsp:rsid wsp:val=&quot;00F4779B&quot;/&gt;&lt;wsp:rsid wsp:val=&quot;00F4795B&quot;/&gt;&lt;wsp:rsid wsp:val=&quot;00F4799A&quot;/&gt;&lt;wsp:rsid wsp:val=&quot;00F50374&quot;/&gt;&lt;wsp:rsid wsp:val=&quot;00F503EF&quot;/&gt;&lt;wsp:rsid wsp:val=&quot;00F50C2A&quot;/&gt;&lt;wsp:rsid wsp:val=&quot;00F50F98&quot;/&gt;&lt;wsp:rsid wsp:val=&quot;00F5106C&quot;/&gt;&lt;wsp:rsid wsp:val=&quot;00F51217&quot;/&gt;&lt;wsp:rsid wsp:val=&quot;00F51493&quot;/&gt;&lt;wsp:rsid wsp:val=&quot;00F517BB&quot;/&gt;&lt;wsp:rsid wsp:val=&quot;00F51B4B&quot;/&gt;&lt;wsp:rsid wsp:val=&quot;00F51E1F&quot;/&gt;&lt;wsp:rsid wsp:val=&quot;00F51F48&quot;/&gt;&lt;wsp:rsid wsp:val=&quot;00F52179&quot;/&gt;&lt;wsp:rsid wsp:val=&quot;00F52510&quot;/&gt;&lt;wsp:rsid wsp:val=&quot;00F52668&quot;/&gt;&lt;wsp:rsid wsp:val=&quot;00F52727&quot;/&gt;&lt;wsp:rsid wsp:val=&quot;00F528B8&quot;/&gt;&lt;wsp:rsid wsp:val=&quot;00F52987&quot;/&gt;&lt;wsp:rsid wsp:val=&quot;00F52EE1&quot;/&gt;&lt;wsp:rsid wsp:val=&quot;00F5304D&quot;/&gt;&lt;wsp:rsid wsp:val=&quot;00F5345B&quot;/&gt;&lt;wsp:rsid wsp:val=&quot;00F535E6&quot;/&gt;&lt;wsp:rsid wsp:val=&quot;00F5416F&quot;/&gt;&lt;wsp:rsid wsp:val=&quot;00F5433A&quot;/&gt;&lt;wsp:rsid wsp:val=&quot;00F54693&quot;/&gt;&lt;wsp:rsid wsp:val=&quot;00F5469C&quot;/&gt;&lt;wsp:rsid wsp:val=&quot;00F54C3D&quot;/&gt;&lt;wsp:rsid wsp:val=&quot;00F54DD6&quot;/&gt;&lt;wsp:rsid wsp:val=&quot;00F54FF2&quot;/&gt;&lt;wsp:rsid wsp:val=&quot;00F5518F&quot;/&gt;&lt;wsp:rsid wsp:val=&quot;00F55396&quot;/&gt;&lt;wsp:rsid wsp:val=&quot;00F55A8D&quot;/&gt;&lt;wsp:rsid wsp:val=&quot;00F55D18&quot;/&gt;&lt;wsp:rsid wsp:val=&quot;00F55E1E&quot;/&gt;&lt;wsp:rsid wsp:val=&quot;00F561AA&quot;/&gt;&lt;wsp:rsid wsp:val=&quot;00F567DE&quot;/&gt;&lt;wsp:rsid wsp:val=&quot;00F56BF5&quot;/&gt;&lt;wsp:rsid wsp:val=&quot;00F56C15&quot;/&gt;&lt;wsp:rsid wsp:val=&quot;00F56FCE&quot;/&gt;&lt;wsp:rsid wsp:val=&quot;00F57126&quot;/&gt;&lt;wsp:rsid wsp:val=&quot;00F5712D&quot;/&gt;&lt;wsp:rsid wsp:val=&quot;00F57B95&quot;/&gt;&lt;wsp:rsid wsp:val=&quot;00F6013E&quot;/&gt;&lt;wsp:rsid wsp:val=&quot;00F60161&quot;/&gt;&lt;wsp:rsid wsp:val=&quot;00F6045B&quot;/&gt;&lt;wsp:rsid wsp:val=&quot;00F605CF&quot;/&gt;&lt;wsp:rsid wsp:val=&quot;00F60639&quot;/&gt;&lt;wsp:rsid wsp:val=&quot;00F60AAB&quot;/&gt;&lt;wsp:rsid wsp:val=&quot;00F60B75&quot;/&gt;&lt;wsp:rsid wsp:val=&quot;00F6137A&quot;/&gt;&lt;wsp:rsid wsp:val=&quot;00F618B9&quot;/&gt;&lt;wsp:rsid wsp:val=&quot;00F61940&quot;/&gt;&lt;wsp:rsid wsp:val=&quot;00F61F2F&quot;/&gt;&lt;wsp:rsid wsp:val=&quot;00F62551&quot;/&gt;&lt;wsp:rsid wsp:val=&quot;00F62575&quot;/&gt;&lt;wsp:rsid wsp:val=&quot;00F62685&quot;/&gt;&lt;wsp:rsid wsp:val=&quot;00F62B70&quot;/&gt;&lt;wsp:rsid wsp:val=&quot;00F62E4C&quot;/&gt;&lt;wsp:rsid wsp:val=&quot;00F62FD2&quot;/&gt;&lt;wsp:rsid wsp:val=&quot;00F63480&quot;/&gt;&lt;wsp:rsid wsp:val=&quot;00F63799&quot;/&gt;&lt;wsp:rsid wsp:val=&quot;00F637DC&quot;/&gt;&lt;wsp:rsid wsp:val=&quot;00F638C9&quot;/&gt;&lt;wsp:rsid wsp:val=&quot;00F63AA1&quot;/&gt;&lt;wsp:rsid wsp:val=&quot;00F63B62&quot;/&gt;&lt;wsp:rsid wsp:val=&quot;00F644D9&quot;/&gt;&lt;wsp:rsid wsp:val=&quot;00F64553&quot;/&gt;&lt;wsp:rsid wsp:val=&quot;00F645AC&quot;/&gt;&lt;wsp:rsid wsp:val=&quot;00F64D37&quot;/&gt;&lt;wsp:rsid wsp:val=&quot;00F64DD5&quot;/&gt;&lt;wsp:rsid wsp:val=&quot;00F64EDF&quot;/&gt;&lt;wsp:rsid wsp:val=&quot;00F656A1&quot;/&gt;&lt;wsp:rsid wsp:val=&quot;00F661D0&quot;/&gt;&lt;wsp:rsid wsp:val=&quot;00F6643D&quot;/&gt;&lt;wsp:rsid wsp:val=&quot;00F66976&quot;/&gt;&lt;wsp:rsid wsp:val=&quot;00F66A08&quot;/&gt;&lt;wsp:rsid wsp:val=&quot;00F66A32&quot;/&gt;&lt;wsp:rsid wsp:val=&quot;00F66A69&quot;/&gt;&lt;wsp:rsid wsp:val=&quot;00F66AF5&quot;/&gt;&lt;wsp:rsid wsp:val=&quot;00F66C9C&quot;/&gt;&lt;wsp:rsid wsp:val=&quot;00F672D9&quot;/&gt;&lt;wsp:rsid wsp:val=&quot;00F6755B&quot;/&gt;&lt;wsp:rsid wsp:val=&quot;00F67BD8&quot;/&gt;&lt;wsp:rsid wsp:val=&quot;00F67CE2&quot;/&gt;&lt;wsp:rsid wsp:val=&quot;00F70815&quot;/&gt;&lt;wsp:rsid wsp:val=&quot;00F719AB&quot;/&gt;&lt;wsp:rsid wsp:val=&quot;00F71C1D&quot;/&gt;&lt;wsp:rsid wsp:val=&quot;00F71EB4&quot;/&gt;&lt;wsp:rsid wsp:val=&quot;00F7201B&quot;/&gt;&lt;wsp:rsid wsp:val=&quot;00F72B28&quot;/&gt;&lt;wsp:rsid wsp:val=&quot;00F72E16&quot;/&gt;&lt;wsp:rsid wsp:val=&quot;00F72EA6&quot;/&gt;&lt;wsp:rsid wsp:val=&quot;00F72EC4&quot;/&gt;&lt;wsp:rsid wsp:val=&quot;00F73292&quot;/&gt;&lt;wsp:rsid wsp:val=&quot;00F736DF&quot;/&gt;&lt;wsp:rsid wsp:val=&quot;00F73BF8&quot;/&gt;&lt;wsp:rsid wsp:val=&quot;00F73CDB&quot;/&gt;&lt;wsp:rsid wsp:val=&quot;00F741D6&quot;/&gt;&lt;wsp:rsid wsp:val=&quot;00F746C3&quot;/&gt;&lt;wsp:rsid wsp:val=&quot;00F74831&quot;/&gt;&lt;wsp:rsid wsp:val=&quot;00F74EC7&quot;/&gt;&lt;wsp:rsid wsp:val=&quot;00F7563C&quot;/&gt;&lt;wsp:rsid wsp:val=&quot;00F75CE4&quot;/&gt;&lt;wsp:rsid wsp:val=&quot;00F76036&quot;/&gt;&lt;wsp:rsid wsp:val=&quot;00F762F3&quot;/&gt;&lt;wsp:rsid wsp:val=&quot;00F763C4&quot;/&gt;&lt;wsp:rsid wsp:val=&quot;00F76AD3&quot;/&gt;&lt;wsp:rsid wsp:val=&quot;00F770EE&quot;/&gt;&lt;wsp:rsid wsp:val=&quot;00F774C1&quot;/&gt;&lt;wsp:rsid wsp:val=&quot;00F800FB&quot;/&gt;&lt;wsp:rsid wsp:val=&quot;00F80447&quot;/&gt;&lt;wsp:rsid wsp:val=&quot;00F80ADB&quot;/&gt;&lt;wsp:rsid wsp:val=&quot;00F811F6&quot;/&gt;&lt;wsp:rsid wsp:val=&quot;00F81945&quot;/&gt;&lt;wsp:rsid wsp:val=&quot;00F81D05&quot;/&gt;&lt;wsp:rsid wsp:val=&quot;00F82682&quot;/&gt;&lt;wsp:rsid wsp:val=&quot;00F826B6&quot;/&gt;&lt;wsp:rsid wsp:val=&quot;00F82C19&quot;/&gt;&lt;wsp:rsid wsp:val=&quot;00F82CA1&quot;/&gt;&lt;wsp:rsid wsp:val=&quot;00F83229&quot;/&gt;&lt;wsp:rsid wsp:val=&quot;00F833AA&quot;/&gt;&lt;wsp:rsid wsp:val=&quot;00F833C3&quot;/&gt;&lt;wsp:rsid wsp:val=&quot;00F8380B&quot;/&gt;&lt;wsp:rsid wsp:val=&quot;00F844DF&quot;/&gt;&lt;wsp:rsid wsp:val=&quot;00F84713&quot;/&gt;&lt;wsp:rsid wsp:val=&quot;00F84939&quot;/&gt;&lt;wsp:rsid wsp:val=&quot;00F85201&quot;/&gt;&lt;wsp:rsid wsp:val=&quot;00F8529D&quot;/&gt;&lt;wsp:rsid wsp:val=&quot;00F857E7&quot;/&gt;&lt;wsp:rsid wsp:val=&quot;00F865E7&quot;/&gt;&lt;wsp:rsid wsp:val=&quot;00F86D68&quot;/&gt;&lt;wsp:rsid wsp:val=&quot;00F87069&quot;/&gt;&lt;wsp:rsid wsp:val=&quot;00F874FE&quot;/&gt;&lt;wsp:rsid wsp:val=&quot;00F878BC&quot;/&gt;&lt;wsp:rsid wsp:val=&quot;00F87A86&quot;/&gt;&lt;wsp:rsid wsp:val=&quot;00F87D61&quot;/&gt;&lt;wsp:rsid wsp:val=&quot;00F90165&quot;/&gt;&lt;wsp:rsid wsp:val=&quot;00F9021A&quot;/&gt;&lt;wsp:rsid wsp:val=&quot;00F9029A&quot;/&gt;&lt;wsp:rsid wsp:val=&quot;00F90FC2&quot;/&gt;&lt;wsp:rsid wsp:val=&quot;00F916A7&quot;/&gt;&lt;wsp:rsid wsp:val=&quot;00F91BD0&quot;/&gt;&lt;wsp:rsid wsp:val=&quot;00F91FE8&quot;/&gt;&lt;wsp:rsid wsp:val=&quot;00F9219C&quot;/&gt;&lt;wsp:rsid wsp:val=&quot;00F92614&quot;/&gt;&lt;wsp:rsid wsp:val=&quot;00F92647&quot;/&gt;&lt;wsp:rsid wsp:val=&quot;00F92C24&quot;/&gt;&lt;wsp:rsid wsp:val=&quot;00F92E6A&quot;/&gt;&lt;wsp:rsid wsp:val=&quot;00F9302E&quot;/&gt;&lt;wsp:rsid wsp:val=&quot;00F931E8&quot;/&gt;&lt;wsp:rsid wsp:val=&quot;00F93337&quot;/&gt;&lt;wsp:rsid wsp:val=&quot;00F937AA&quot;/&gt;&lt;wsp:rsid wsp:val=&quot;00F939F3&quot;/&gt;&lt;wsp:rsid wsp:val=&quot;00F93A9A&quot;/&gt;&lt;wsp:rsid wsp:val=&quot;00F93AFD&quot;/&gt;&lt;wsp:rsid wsp:val=&quot;00F93BB5&quot;/&gt;&lt;wsp:rsid wsp:val=&quot;00F943E8&quot;/&gt;&lt;wsp:rsid wsp:val=&quot;00F94CF7&quot;/&gt;&lt;wsp:rsid wsp:val=&quot;00F950E7&quot;/&gt;&lt;wsp:rsid wsp:val=&quot;00F953D0&quot;/&gt;&lt;wsp:rsid wsp:val=&quot;00F95BA7&quot;/&gt;&lt;wsp:rsid wsp:val=&quot;00F95E2C&quot;/&gt;&lt;wsp:rsid wsp:val=&quot;00F95EDF&quot;/&gt;&lt;wsp:rsid wsp:val=&quot;00F96187&quot;/&gt;&lt;wsp:rsid wsp:val=&quot;00F96454&quot;/&gt;&lt;wsp:rsid wsp:val=&quot;00F966AF&quot;/&gt;&lt;wsp:rsid wsp:val=&quot;00F969FE&quot;/&gt;&lt;wsp:rsid wsp:val=&quot;00F96A2F&quot;/&gt;&lt;wsp:rsid wsp:val=&quot;00F97302&quot;/&gt;&lt;wsp:rsid wsp:val=&quot;00F973D4&quot;/&gt;&lt;wsp:rsid wsp:val=&quot;00F974D8&quot;/&gt;&lt;wsp:rsid wsp:val=&quot;00F97A06&quot;/&gt;&lt;wsp:rsid wsp:val=&quot;00F97D19&quot;/&gt;&lt;wsp:rsid wsp:val=&quot;00FA0699&quot;/&gt;&lt;wsp:rsid wsp:val=&quot;00FA154B&quot;/&gt;&lt;wsp:rsid wsp:val=&quot;00FA15ED&quot;/&gt;&lt;wsp:rsid wsp:val=&quot;00FA161D&quot;/&gt;&lt;wsp:rsid wsp:val=&quot;00FA1649&quot;/&gt;&lt;wsp:rsid wsp:val=&quot;00FA206E&quot;/&gt;&lt;wsp:rsid wsp:val=&quot;00FA21E6&quot;/&gt;&lt;wsp:rsid wsp:val=&quot;00FA2500&quot;/&gt;&lt;wsp:rsid wsp:val=&quot;00FA26E4&quot;/&gt;&lt;wsp:rsid wsp:val=&quot;00FA2830&quot;/&gt;&lt;wsp:rsid wsp:val=&quot;00FA2B6F&quot;/&gt;&lt;wsp:rsid wsp:val=&quot;00FA2E40&quot;/&gt;&lt;wsp:rsid wsp:val=&quot;00FA3108&quot;/&gt;&lt;wsp:rsid wsp:val=&quot;00FA32E3&quot;/&gt;&lt;wsp:rsid wsp:val=&quot;00FA3536&quot;/&gt;&lt;wsp:rsid wsp:val=&quot;00FA35F9&quot;/&gt;&lt;wsp:rsid wsp:val=&quot;00FA3B1D&quot;/&gt;&lt;wsp:rsid wsp:val=&quot;00FA3B8E&quot;/&gt;&lt;wsp:rsid wsp:val=&quot;00FA3D4E&quot;/&gt;&lt;wsp:rsid wsp:val=&quot;00FA3E2C&quot;/&gt;&lt;wsp:rsid wsp:val=&quot;00FA44CB&quot;/&gt;&lt;wsp:rsid wsp:val=&quot;00FA459A&quot;/&gt;&lt;wsp:rsid wsp:val=&quot;00FA46F1&quot;/&gt;&lt;wsp:rsid wsp:val=&quot;00FA4852&quot;/&gt;&lt;wsp:rsid wsp:val=&quot;00FA5477&quot;/&gt;&lt;wsp:rsid wsp:val=&quot;00FA5558&quot;/&gt;&lt;wsp:rsid wsp:val=&quot;00FA5703&quot;/&gt;&lt;wsp:rsid wsp:val=&quot;00FA5FDA&quot;/&gt;&lt;wsp:rsid wsp:val=&quot;00FA6723&quot;/&gt;&lt;wsp:rsid wsp:val=&quot;00FA67FC&quot;/&gt;&lt;wsp:rsid wsp:val=&quot;00FA6939&quot;/&gt;&lt;wsp:rsid wsp:val=&quot;00FA6EFF&quot;/&gt;&lt;wsp:rsid wsp:val=&quot;00FA6F54&quot;/&gt;&lt;wsp:rsid wsp:val=&quot;00FA70AE&quot;/&gt;&lt;wsp:rsid wsp:val=&quot;00FA77E0&quot;/&gt;&lt;wsp:rsid wsp:val=&quot;00FA7C31&quot;/&gt;&lt;wsp:rsid wsp:val=&quot;00FA7CAF&quot;/&gt;&lt;wsp:rsid wsp:val=&quot;00FB02B9&quot;/&gt;&lt;wsp:rsid wsp:val=&quot;00FB047F&quot;/&gt;&lt;wsp:rsid wsp:val=&quot;00FB0B8B&quot;/&gt;&lt;wsp:rsid wsp:val=&quot;00FB0BD5&quot;/&gt;&lt;wsp:rsid wsp:val=&quot;00FB0F8B&quot;/&gt;&lt;wsp:rsid wsp:val=&quot;00FB113A&quot;/&gt;&lt;wsp:rsid wsp:val=&quot;00FB11F5&quot;/&gt;&lt;wsp:rsid wsp:val=&quot;00FB174F&quot;/&gt;&lt;wsp:rsid wsp:val=&quot;00FB20B6&quot;/&gt;&lt;wsp:rsid wsp:val=&quot;00FB2282&quot;/&gt;&lt;wsp:rsid wsp:val=&quot;00FB246C&quot;/&gt;&lt;wsp:rsid wsp:val=&quot;00FB252C&quot;/&gt;&lt;wsp:rsid wsp:val=&quot;00FB2A16&quot;/&gt;&lt;wsp:rsid wsp:val=&quot;00FB2AD2&quot;/&gt;&lt;wsp:rsid wsp:val=&quot;00FB2C57&quot;/&gt;&lt;wsp:rsid wsp:val=&quot;00FB306C&quot;/&gt;&lt;wsp:rsid wsp:val=&quot;00FB3BD2&quot;/&gt;&lt;wsp:rsid wsp:val=&quot;00FB4C8E&quot;/&gt;&lt;wsp:rsid wsp:val=&quot;00FB4FBA&quot;/&gt;&lt;wsp:rsid wsp:val=&quot;00FB5204&quot;/&gt;&lt;wsp:rsid wsp:val=&quot;00FB5636&quot;/&gt;&lt;wsp:rsid wsp:val=&quot;00FB5760&quot;/&gt;&lt;wsp:rsid wsp:val=&quot;00FB60A5&quot;/&gt;&lt;wsp:rsid wsp:val=&quot;00FB6109&quot;/&gt;&lt;wsp:rsid wsp:val=&quot;00FB64AF&quot;/&gt;&lt;wsp:rsid wsp:val=&quot;00FB676A&quot;/&gt;&lt;wsp:rsid wsp:val=&quot;00FB6E72&quot;/&gt;&lt;wsp:rsid wsp:val=&quot;00FB72EA&quot;/&gt;&lt;wsp:rsid wsp:val=&quot;00FB7526&quot;/&gt;&lt;wsp:rsid wsp:val=&quot;00FB7767&quot;/&gt;&lt;wsp:rsid wsp:val=&quot;00FB78E1&quot;/&gt;&lt;wsp:rsid wsp:val=&quot;00FB7A18&quot;/&gt;&lt;wsp:rsid wsp:val=&quot;00FB7B7E&quot;/&gt;&lt;wsp:rsid wsp:val=&quot;00FC020B&quot;/&gt;&lt;wsp:rsid wsp:val=&quot;00FC069F&quot;/&gt;&lt;wsp:rsid wsp:val=&quot;00FC06DE&quot;/&gt;&lt;wsp:rsid wsp:val=&quot;00FC1446&quot;/&gt;&lt;wsp:rsid wsp:val=&quot;00FC1570&quot;/&gt;&lt;wsp:rsid wsp:val=&quot;00FC19B7&quot;/&gt;&lt;wsp:rsid wsp:val=&quot;00FC1F57&quot;/&gt;&lt;wsp:rsid wsp:val=&quot;00FC2056&quot;/&gt;&lt;wsp:rsid wsp:val=&quot;00FC299A&quot;/&gt;&lt;wsp:rsid wsp:val=&quot;00FC2CC7&quot;/&gt;&lt;wsp:rsid wsp:val=&quot;00FC2E46&quot;/&gt;&lt;wsp:rsid wsp:val=&quot;00FC2E60&quot;/&gt;&lt;wsp:rsid wsp:val=&quot;00FC34F9&quot;/&gt;&lt;wsp:rsid wsp:val=&quot;00FC39EF&quot;/&gt;&lt;wsp:rsid wsp:val=&quot;00FC3F07&quot;/&gt;&lt;wsp:rsid wsp:val=&quot;00FC3F0E&quot;/&gt;&lt;wsp:rsid wsp:val=&quot;00FC41AB&quot;/&gt;&lt;wsp:rsid wsp:val=&quot;00FC44D4&quot;/&gt;&lt;wsp:rsid wsp:val=&quot;00FC52A8&quot;/&gt;&lt;wsp:rsid wsp:val=&quot;00FC582F&quot;/&gt;&lt;wsp:rsid wsp:val=&quot;00FC5E12&quot;/&gt;&lt;wsp:rsid wsp:val=&quot;00FC5EB1&quot;/&gt;&lt;wsp:rsid wsp:val=&quot;00FC5F14&quot;/&gt;&lt;wsp:rsid wsp:val=&quot;00FC5FD6&quot;/&gt;&lt;wsp:rsid wsp:val=&quot;00FC61FF&quot;/&gt;&lt;wsp:rsid wsp:val=&quot;00FC7681&quot;/&gt;&lt;wsp:rsid wsp:val=&quot;00FC78A9&quot;/&gt;&lt;wsp:rsid wsp:val=&quot;00FD00E7&quot;/&gt;&lt;wsp:rsid wsp:val=&quot;00FD015C&quot;/&gt;&lt;wsp:rsid wsp:val=&quot;00FD051F&quot;/&gt;&lt;wsp:rsid wsp:val=&quot;00FD07F8&quot;/&gt;&lt;wsp:rsid wsp:val=&quot;00FD0EA2&quot;/&gt;&lt;wsp:rsid wsp:val=&quot;00FD1375&quot;/&gt;&lt;wsp:rsid wsp:val=&quot;00FD1CFD&quot;/&gt;&lt;wsp:rsid wsp:val=&quot;00FD2073&quot;/&gt;&lt;wsp:rsid wsp:val=&quot;00FD22A4&quot;/&gt;&lt;wsp:rsid wsp:val=&quot;00FD24D9&quot;/&gt;&lt;wsp:rsid wsp:val=&quot;00FD2676&quot;/&gt;&lt;wsp:rsid wsp:val=&quot;00FD2822&quot;/&gt;&lt;wsp:rsid wsp:val=&quot;00FD2F02&quot;/&gt;&lt;wsp:rsid wsp:val=&quot;00FD2FA4&quot;/&gt;&lt;wsp:rsid wsp:val=&quot;00FD33FA&quot;/&gt;&lt;wsp:rsid wsp:val=&quot;00FD4370&quot;/&gt;&lt;wsp:rsid wsp:val=&quot;00FD4992&quot;/&gt;&lt;wsp:rsid wsp:val=&quot;00FD4C41&quot;/&gt;&lt;wsp:rsid wsp:val=&quot;00FD4E4D&quot;/&gt;&lt;wsp:rsid wsp:val=&quot;00FD5400&quot;/&gt;&lt;wsp:rsid wsp:val=&quot;00FD57BB&quot;/&gt;&lt;wsp:rsid wsp:val=&quot;00FD5807&quot;/&gt;&lt;wsp:rsid wsp:val=&quot;00FD5AED&quot;/&gt;&lt;wsp:rsid wsp:val=&quot;00FD5C33&quot;/&gt;&lt;wsp:rsid wsp:val=&quot;00FD64D1&quot;/&gt;&lt;wsp:rsid wsp:val=&quot;00FD6CF6&quot;/&gt;&lt;wsp:rsid wsp:val=&quot;00FD6EC4&quot;/&gt;&lt;wsp:rsid wsp:val=&quot;00FD6F67&quot;/&gt;&lt;wsp:rsid wsp:val=&quot;00FD734F&quot;/&gt;&lt;wsp:rsid wsp:val=&quot;00FD7B2F&quot;/&gt;&lt;wsp:rsid wsp:val=&quot;00FE080F&quot;/&gt;&lt;wsp:rsid wsp:val=&quot;00FE0909&quot;/&gt;&lt;wsp:rsid wsp:val=&quot;00FE0B60&quot;/&gt;&lt;wsp:rsid wsp:val=&quot;00FE0C37&quot;/&gt;&lt;wsp:rsid wsp:val=&quot;00FE1048&quot;/&gt;&lt;wsp:rsid wsp:val=&quot;00FE1266&quot;/&gt;&lt;wsp:rsid wsp:val=&quot;00FE17F3&quot;/&gt;&lt;wsp:rsid wsp:val=&quot;00FE1890&quot;/&gt;&lt;wsp:rsid wsp:val=&quot;00FE1983&quot;/&gt;&lt;wsp:rsid wsp:val=&quot;00FE1E06&quot;/&gt;&lt;wsp:rsid wsp:val=&quot;00FE2264&quot;/&gt;&lt;wsp:rsid wsp:val=&quot;00FE2701&quot;/&gt;&lt;wsp:rsid wsp:val=&quot;00FE2862&quot;/&gt;&lt;wsp:rsid wsp:val=&quot;00FE2A92&quot;/&gt;&lt;wsp:rsid wsp:val=&quot;00FE2BB3&quot;/&gt;&lt;wsp:rsid wsp:val=&quot;00FE2D2E&quot;/&gt;&lt;wsp:rsid wsp:val=&quot;00FE30D0&quot;/&gt;&lt;wsp:rsid wsp:val=&quot;00FE314C&quot;/&gt;&lt;wsp:rsid wsp:val=&quot;00FE352A&quot;/&gt;&lt;wsp:rsid wsp:val=&quot;00FE37C8&quot;/&gt;&lt;wsp:rsid wsp:val=&quot;00FE38E7&quot;/&gt;&lt;wsp:rsid wsp:val=&quot;00FE3F2D&quot;/&gt;&lt;wsp:rsid wsp:val=&quot;00FE40CB&quot;/&gt;&lt;wsp:rsid wsp:val=&quot;00FE4370&quot;/&gt;&lt;wsp:rsid wsp:val=&quot;00FE4CA5&quot;/&gt;&lt;wsp:rsid wsp:val=&quot;00FE5157&quot;/&gt;&lt;wsp:rsid wsp:val=&quot;00FE529D&quot;/&gt;&lt;wsp:rsid wsp:val=&quot;00FE54CF&quot;/&gt;&lt;wsp:rsid wsp:val=&quot;00FE59AB&quot;/&gt;&lt;wsp:rsid wsp:val=&quot;00FE5CAD&quot;/&gt;&lt;wsp:rsid wsp:val=&quot;00FE5EE2&quot;/&gt;&lt;wsp:rsid wsp:val=&quot;00FE61CB&quot;/&gt;&lt;wsp:rsid wsp:val=&quot;00FE661A&quot;/&gt;&lt;wsp:rsid wsp:val=&quot;00FE6987&quot;/&gt;&lt;wsp:rsid wsp:val=&quot;00FE6CF6&quot;/&gt;&lt;wsp:rsid wsp:val=&quot;00FE7145&quot;/&gt;&lt;wsp:rsid wsp:val=&quot;00FE7180&quot;/&gt;&lt;wsp:rsid wsp:val=&quot;00FE771F&quot;/&gt;&lt;wsp:rsid wsp:val=&quot;00FE7B66&quot;/&gt;&lt;wsp:rsid wsp:val=&quot;00FF01A2&quot;/&gt;&lt;wsp:rsid wsp:val=&quot;00FF0599&quot;/&gt;&lt;wsp:rsid wsp:val=&quot;00FF0B91&quot;/&gt;&lt;wsp:rsid wsp:val=&quot;00FF0DFF&quot;/&gt;&lt;wsp:rsid wsp:val=&quot;00FF13E9&quot;/&gt;&lt;wsp:rsid wsp:val=&quot;00FF16BE&quot;/&gt;&lt;wsp:rsid wsp:val=&quot;00FF1CCF&quot;/&gt;&lt;wsp:rsid wsp:val=&quot;00FF21C5&quot;/&gt;&lt;wsp:rsid wsp:val=&quot;00FF258D&quot;/&gt;&lt;wsp:rsid wsp:val=&quot;00FF2652&quot;/&gt;&lt;wsp:rsid wsp:val=&quot;00FF27BB&quot;/&gt;&lt;wsp:rsid wsp:val=&quot;00FF2B7E&quot;/&gt;&lt;wsp:rsid wsp:val=&quot;00FF2D2A&quot;/&gt;&lt;wsp:rsid wsp:val=&quot;00FF3936&quot;/&gt;&lt;wsp:rsid wsp:val=&quot;00FF3B19&quot;/&gt;&lt;wsp:rsid wsp:val=&quot;00FF3D88&quot;/&gt;&lt;wsp:rsid wsp:val=&quot;00FF445B&quot;/&gt;&lt;wsp:rsid wsp:val=&quot;00FF45AC&quot;/&gt;&lt;wsp:rsid wsp:val=&quot;00FF4A33&quot;/&gt;&lt;wsp:rsid wsp:val=&quot;00FF4CBD&quot;/&gt;&lt;wsp:rsid wsp:val=&quot;00FF4E1A&quot;/&gt;&lt;wsp:rsid wsp:val=&quot;00FF4E9C&quot;/&gt;&lt;wsp:rsid wsp:val=&quot;00FF5012&quot;/&gt;&lt;wsp:rsid wsp:val=&quot;00FF52C9&quot;/&gt;&lt;wsp:rsid wsp:val=&quot;00FF53DB&quot;/&gt;&lt;wsp:rsid wsp:val=&quot;00FF5460&quot;/&gt;&lt;wsp:rsid wsp:val=&quot;00FF63E0&quot;/&gt;&lt;wsp:rsid wsp:val=&quot;00FF643A&quot;/&gt;&lt;wsp:rsid wsp:val=&quot;00FF6E03&quot;/&gt;&lt;wsp:rsid wsp:val=&quot;00FF6FFA&quot;/&gt;&lt;wsp:rsid wsp:val=&quot;00FF7079&quot;/&gt;&lt;wsp:rsid wsp:val=&quot;00FF72BE&quot;/&gt;&lt;wsp:rsid wsp:val=&quot;00FF7522&quot;/&gt;&lt;wsp:rsid wsp:val=&quot;00FF7598&quot;/&gt;&lt;wsp:rsid wsp:val=&quot;01415FE5&quot;/&gt;&lt;wsp:rsid wsp:val=&quot;016F0D06&quot;/&gt;&lt;wsp:rsid wsp:val=&quot;01757940&quot;/&gt;&lt;wsp:rsid wsp:val=&quot;017D380F&quot;/&gt;&lt;wsp:rsid wsp:val=&quot;019065BA&quot;/&gt;&lt;wsp:rsid wsp:val=&quot;01953A3F&quot;/&gt;&lt;wsp:rsid wsp:val=&quot;01BF0AE6&quot;/&gt;&lt;wsp:rsid wsp:val=&quot;01C166F4&quot;/&gt;&lt;wsp:rsid wsp:val=&quot;01FA253F&quot;/&gt;&lt;wsp:rsid wsp:val=&quot;01FC66F2&quot;/&gt;&lt;wsp:rsid wsp:val=&quot;02105F39&quot;/&gt;&lt;wsp:rsid wsp:val=&quot;02452AB5&quot;/&gt;&lt;wsp:rsid wsp:val=&quot;02710FDB&quot;/&gt;&lt;wsp:rsid wsp:val=&quot;027A27B1&quot;/&gt;&lt;wsp:rsid wsp:val=&quot;02833870&quot;/&gt;&lt;wsp:rsid wsp:val=&quot;029465DE&quot;/&gt;&lt;wsp:rsid wsp:val=&quot;02AA4C24&quot;/&gt;&lt;wsp:rsid wsp:val=&quot;02E31761&quot;/&gt;&lt;wsp:rsid wsp:val=&quot;03122645&quot;/&gt;&lt;wsp:rsid wsp:val=&quot;031306C4&quot;/&gt;&lt;wsp:rsid wsp:val=&quot;034B37C8&quot;/&gt;&lt;wsp:rsid wsp:val=&quot;03910C0E&quot;/&gt;&lt;wsp:rsid wsp:val=&quot;039B50A8&quot;/&gt;&lt;wsp:rsid wsp:val=&quot;03BC15F1&quot;/&gt;&lt;wsp:rsid wsp:val=&quot;04133A2D&quot;/&gt;&lt;wsp:rsid wsp:val=&quot;04292B87&quot;/&gt;&lt;wsp:rsid wsp:val=&quot;043226C7&quot;/&gt;&lt;wsp:rsid wsp:val=&quot;043E5088&quot;/&gt;&lt;wsp:rsid wsp:val=&quot;04833F91&quot;/&gt;&lt;wsp:rsid wsp:val=&quot;04874089&quot;/&gt;&lt;wsp:rsid wsp:val=&quot;049B5114&quot;/&gt;&lt;wsp:rsid wsp:val=&quot;04CC2C5F&quot;/&gt;&lt;wsp:rsid wsp:val=&quot;04DF7408&quot;/&gt;&lt;wsp:rsid wsp:val=&quot;05291E1F&quot;/&gt;&lt;wsp:rsid wsp:val=&quot;053E0F56&quot;/&gt;&lt;wsp:rsid wsp:val=&quot;05715827&quot;/&gt;&lt;wsp:rsid wsp:val=&quot;05D7519E&quot;/&gt;&lt;wsp:rsid wsp:val=&quot;05EB6070&quot;/&gt;&lt;wsp:rsid wsp:val=&quot;05F81E96&quot;/&gt;&lt;wsp:rsid wsp:val=&quot;064743BD&quot;/&gt;&lt;wsp:rsid wsp:val=&quot;065C3E8B&quot;/&gt;&lt;wsp:rsid wsp:val=&quot;066164C8&quot;/&gt;&lt;wsp:rsid wsp:val=&quot;06990204&quot;/&gt;&lt;wsp:rsid wsp:val=&quot;06B17214&quot;/&gt;&lt;wsp:rsid wsp:val=&quot;06C9511D&quot;/&gt;&lt;wsp:rsid wsp:val=&quot;06CB4AF4&quot;/&gt;&lt;wsp:rsid wsp:val=&quot;070754B4&quot;/&gt;&lt;wsp:rsid wsp:val=&quot;07693597&quot;/&gt;&lt;wsp:rsid wsp:val=&quot;076B274E&quot;/&gt;&lt;wsp:rsid wsp:val=&quot;081704CA&quot;/&gt;&lt;wsp:rsid wsp:val=&quot;08393FC7&quot;/&gt;&lt;wsp:rsid wsp:val=&quot;085C7DC0&quot;/&gt;&lt;wsp:rsid wsp:val=&quot;08902443&quot;/&gt;&lt;wsp:rsid wsp:val=&quot;08CA3223&quot;/&gt;&lt;wsp:rsid wsp:val=&quot;08CC568F&quot;/&gt;&lt;wsp:rsid wsp:val=&quot;0915537C&quot;/&gt;&lt;wsp:rsid wsp:val=&quot;092F2A3B&quot;/&gt;&lt;wsp:rsid wsp:val=&quot;092F33B7&quot;/&gt;&lt;wsp:rsid wsp:val=&quot;093768CE&quot;/&gt;&lt;wsp:rsid wsp:val=&quot;09747A93&quot;/&gt;&lt;wsp:rsid wsp:val=&quot;099255A1&quot;/&gt;&lt;wsp:rsid wsp:val=&quot;09B01B15&quot;/&gt;&lt;wsp:rsid wsp:val=&quot;0A3021CC&quot;/&gt;&lt;wsp:rsid wsp:val=&quot;0A3B3622&quot;/&gt;&lt;wsp:rsid wsp:val=&quot;0A597CF5&quot;/&gt;&lt;wsp:rsid wsp:val=&quot;0A890F20&quot;/&gt;&lt;wsp:rsid wsp:val=&quot;0A9E4804&quot;/&gt;&lt;wsp:rsid wsp:val=&quot;0AB76DC4&quot;/&gt;&lt;wsp:rsid wsp:val=&quot;0B006FC5&quot;/&gt;&lt;wsp:rsid wsp:val=&quot;0B2A31DC&quot;/&gt;&lt;wsp:rsid wsp:val=&quot;0B9E41C6&quot;/&gt;&lt;wsp:rsid wsp:val=&quot;0BE0642A&quot;/&gt;&lt;wsp:rsid wsp:val=&quot;0BF27EFA&quot;/&gt;&lt;wsp:rsid wsp:val=&quot;0C083BA8&quot;/&gt;&lt;wsp:rsid wsp:val=&quot;0C1227F3&quot;/&gt;&lt;wsp:rsid wsp:val=&quot;0C376144&quot;/&gt;&lt;wsp:rsid wsp:val=&quot;0C613145&quot;/&gt;&lt;wsp:rsid wsp:val=&quot;0C9811DE&quot;/&gt;&lt;wsp:rsid wsp:val=&quot;0CAC4B37&quot;/&gt;&lt;wsp:rsid wsp:val=&quot;0CCF545B&quot;/&gt;&lt;wsp:rsid wsp:val=&quot;0D0738FD&quot;/&gt;&lt;wsp:rsid wsp:val=&quot;0D085C8C&quot;/&gt;&lt;wsp:rsid wsp:val=&quot;0D2158D9&quot;/&gt;&lt;wsp:rsid wsp:val=&quot;0D2328E8&quot;/&gt;&lt;wsp:rsid wsp:val=&quot;0D5C1EF2&quot;/&gt;&lt;wsp:rsid wsp:val=&quot;0D631EB4&quot;/&gt;&lt;wsp:rsid wsp:val=&quot;0D793528&quot;/&gt;&lt;wsp:rsid wsp:val=&quot;0D7E167C&quot;/&gt;&lt;wsp:rsid wsp:val=&quot;0DAA229E&quot;/&gt;&lt;wsp:rsid wsp:val=&quot;0DC76B6E&quot;/&gt;&lt;wsp:rsid wsp:val=&quot;0DF37F6C&quot;/&gt;&lt;wsp:rsid wsp:val=&quot;0DFA48CC&quot;/&gt;&lt;wsp:rsid wsp:val=&quot;0E431D4D&quot;/&gt;&lt;wsp:rsid wsp:val=&quot;0E607AFC&quot;/&gt;&lt;wsp:rsid wsp:val=&quot;0E6E17D1&quot;/&gt;&lt;wsp:rsid wsp:val=&quot;0E861EB6&quot;/&gt;&lt;wsp:rsid wsp:val=&quot;0E9443E5&quot;/&gt;&lt;wsp:rsid wsp:val=&quot;0EA36294&quot;/&gt;&lt;wsp:rsid wsp:val=&quot;0EB2476C&quot;/&gt;&lt;wsp:rsid wsp:val=&quot;0EC86F6F&quot;/&gt;&lt;wsp:rsid wsp:val=&quot;0F0105B3&quot;/&gt;&lt;wsp:rsid wsp:val=&quot;0F097F10&quot;/&gt;&lt;wsp:rsid wsp:val=&quot;0F0B30C1&quot;/&gt;&lt;wsp:rsid wsp:val=&quot;0F32469F&quot;/&gt;&lt;wsp:rsid wsp:val=&quot;0FA847F0&quot;/&gt;&lt;wsp:rsid wsp:val=&quot;0FCF584F&quot;/&gt;&lt;wsp:rsid wsp:val=&quot;0FE81A71&quot;/&gt;&lt;wsp:rsid wsp:val=&quot;10247D23&quot;/&gt;&lt;wsp:rsid wsp:val=&quot;10511863&quot;/&gt;&lt;wsp:rsid wsp:val=&quot;10821972&quot;/&gt;&lt;wsp:rsid wsp:val=&quot;10D93F75&quot;/&gt;&lt;wsp:rsid wsp:val=&quot;10E8298C&quot;/&gt;&lt;wsp:rsid wsp:val=&quot;110C145D&quot;/&gt;&lt;wsp:rsid wsp:val=&quot;111A3090&quot;/&gt;&lt;wsp:rsid wsp:val=&quot;1124611B&quot;/&gt;&lt;wsp:rsid wsp:val=&quot;11517AEC&quot;/&gt;&lt;wsp:rsid wsp:val=&quot;11637F9B&quot;/&gt;&lt;wsp:rsid wsp:val=&quot;116C080A&quot;/&gt;&lt;wsp:rsid wsp:val=&quot;11840E63&quot;/&gt;&lt;wsp:rsid wsp:val=&quot;11B13C7A&quot;/&gt;&lt;wsp:rsid wsp:val=&quot;11EB07E7&quot;/&gt;&lt;wsp:rsid wsp:val=&quot;12007799&quot;/&gt;&lt;wsp:rsid wsp:val=&quot;12081144&quot;/&gt;&lt;wsp:rsid wsp:val=&quot;123407FF&quot;/&gt;&lt;wsp:rsid wsp:val=&quot;12475AB8&quot;/&gt;&lt;wsp:rsid wsp:val=&quot;124C0828&quot;/&gt;&lt;wsp:rsid wsp:val=&quot;12572AAF&quot;/&gt;&lt;wsp:rsid wsp:val=&quot;12782B0D&quot;/&gt;&lt;wsp:rsid wsp:val=&quot;127D5A2B&quot;/&gt;&lt;wsp:rsid wsp:val=&quot;12880147&quot;/&gt;&lt;wsp:rsid wsp:val=&quot;12DE45FD&quot;/&gt;&lt;wsp:rsid wsp:val=&quot;130F2B82&quot;/&gt;&lt;wsp:rsid wsp:val=&quot;13830D1B&quot;/&gt;&lt;wsp:rsid wsp:val=&quot;138C7FDE&quot;/&gt;&lt;wsp:rsid wsp:val=&quot;13A70E18&quot;/&gt;&lt;wsp:rsid wsp:val=&quot;13D307EA&quot;/&gt;&lt;wsp:rsid wsp:val=&quot;13E52B1F&quot;/&gt;&lt;wsp:rsid wsp:val=&quot;13EA370B&quot;/&gt;&lt;wsp:rsid wsp:val=&quot;14492A04&quot;/&gt;&lt;wsp:rsid wsp:val=&quot;14570C43&quot;/&gt;&lt;wsp:rsid wsp:val=&quot;146B7E32&quot;/&gt;&lt;wsp:rsid wsp:val=&quot;14940DC8&quot;/&gt;&lt;wsp:rsid wsp:val=&quot;14D939B3&quot;/&gt;&lt;wsp:rsid wsp:val=&quot;15036B18&quot;/&gt;&lt;wsp:rsid wsp:val=&quot;15045696&quot;/&gt;&lt;wsp:rsid wsp:val=&quot;152754CD&quot;/&gt;&lt;wsp:rsid wsp:val=&quot;153A70FE&quot;/&gt;&lt;wsp:rsid wsp:val=&quot;15720710&quot;/&gt;&lt;wsp:rsid wsp:val=&quot;15DF59DA&quot;/&gt;&lt;wsp:rsid wsp:val=&quot;160D3FCC&quot;/&gt;&lt;wsp:rsid wsp:val=&quot;160F4E0B&quot;/&gt;&lt;wsp:rsid wsp:val=&quot;164752AE&quot;/&gt;&lt;wsp:rsid wsp:val=&quot;16ED5EEF&quot;/&gt;&lt;wsp:rsid wsp:val=&quot;17794E06&quot;/&gt;&lt;wsp:rsid wsp:val=&quot;17A200F9&quot;/&gt;&lt;wsp:rsid wsp:val=&quot;180D67FD&quot;/&gt;&lt;wsp:rsid wsp:val=&quot;181B7460&quot;/&gt;&lt;wsp:rsid wsp:val=&quot;188F4BB3&quot;/&gt;&lt;wsp:rsid wsp:val=&quot;18AC514D&quot;/&gt;&lt;wsp:rsid wsp:val=&quot;18D76298&quot;/&gt;&lt;wsp:rsid wsp:val=&quot;195347D3&quot;/&gt;&lt;wsp:rsid wsp:val=&quot;19735052&quot;/&gt;&lt;wsp:rsid wsp:val=&quot;19966AF1&quot;/&gt;&lt;wsp:rsid wsp:val=&quot;19BB2C71&quot;/&gt;&lt;wsp:rsid wsp:val=&quot;19BC649E&quot;/&gt;&lt;wsp:rsid wsp:val=&quot;1A15700F&quot;/&gt;&lt;wsp:rsid wsp:val=&quot;1A3D64BC&quot;/&gt;&lt;wsp:rsid wsp:val=&quot;1A6F4961&quot;/&gt;&lt;wsp:rsid wsp:val=&quot;1A6F5B4F&quot;/&gt;&lt;wsp:rsid wsp:val=&quot;1A873D79&quot;/&gt;&lt;wsp:rsid wsp:val=&quot;1A943962&quot;/&gt;&lt;wsp:rsid wsp:val=&quot;1A981A14&quot;/&gt;&lt;wsp:rsid wsp:val=&quot;1A9A53CD&quot;/&gt;&lt;wsp:rsid wsp:val=&quot;1AD52E27&quot;/&gt;&lt;wsp:rsid wsp:val=&quot;1AEA3452&quot;/&gt;&lt;wsp:rsid wsp:val=&quot;1B24529A&quot;/&gt;&lt;wsp:rsid wsp:val=&quot;1B6510A2&quot;/&gt;&lt;wsp:rsid wsp:val=&quot;1B783301&quot;/&gt;&lt;wsp:rsid wsp:val=&quot;1BC13A05&quot;/&gt;&lt;wsp:rsid wsp:val=&quot;1C580C50&quot;/&gt;&lt;wsp:rsid wsp:val=&quot;1C8A021D&quot;/&gt;&lt;wsp:rsid wsp:val=&quot;1C9327FA&quot;/&gt;&lt;wsp:rsid wsp:val=&quot;1CB94A98&quot;/&gt;&lt;wsp:rsid wsp:val=&quot;1D0A556F&quot;/&gt;&lt;wsp:rsid wsp:val=&quot;1D307C7F&quot;/&gt;&lt;wsp:rsid wsp:val=&quot;1D38618A&quot;/&gt;&lt;wsp:rsid wsp:val=&quot;1D4204B8&quot;/&gt;&lt;wsp:rsid wsp:val=&quot;1D4E08B6&quot;/&gt;&lt;wsp:rsid wsp:val=&quot;1D5A27F2&quot;/&gt;&lt;wsp:rsid wsp:val=&quot;1D6612E8&quot;/&gt;&lt;wsp:rsid wsp:val=&quot;1DAD4689&quot;/&gt;&lt;wsp:rsid wsp:val=&quot;1DED249C&quot;/&gt;&lt;wsp:rsid wsp:val=&quot;1DF85FDB&quot;/&gt;&lt;wsp:rsid wsp:val=&quot;1E3436D5&quot;/&gt;&lt;wsp:rsid wsp:val=&quot;1E382D17&quot;/&gt;&lt;wsp:rsid wsp:val=&quot;1E605C8C&quot;/&gt;&lt;wsp:rsid wsp:val=&quot;1E65194E&quot;/&gt;&lt;wsp:rsid wsp:val=&quot;1EAF7BE2&quot;/&gt;&lt;wsp:rsid wsp:val=&quot;1EB2332C&quot;/&gt;&lt;wsp:rsid wsp:val=&quot;1EB916C8&quot;/&gt;&lt;wsp:rsid wsp:val=&quot;1EFD4164&quot;/&gt;&lt;wsp:rsid wsp:val=&quot;1F1A0CBF&quot;/&gt;&lt;wsp:rsid wsp:val=&quot;1F4719AD&quot;/&gt;&lt;wsp:rsid wsp:val=&quot;1FBA7011&quot;/&gt;&lt;wsp:rsid wsp:val=&quot;1FEF4FB7&quot;/&gt;&lt;wsp:rsid wsp:val=&quot;200B7308&quot;/&gt;&lt;wsp:rsid wsp:val=&quot;20713A86&quot;/&gt;&lt;wsp:rsid wsp:val=&quot;20A900D3&quot;/&gt;&lt;wsp:rsid wsp:val=&quot;20D04E77&quot;/&gt;&lt;wsp:rsid wsp:val=&quot;20DD3A5A&quot;/&gt;&lt;wsp:rsid wsp:val=&quot;20F10467&quot;/&gt;&lt;wsp:rsid wsp:val=&quot;214C7989&quot;/&gt;&lt;wsp:rsid wsp:val=&quot;2165234F&quot;/&gt;&lt;wsp:rsid wsp:val=&quot;219D1CBD&quot;/&gt;&lt;wsp:rsid wsp:val=&quot;21A72B90&quot;/&gt;&lt;wsp:rsid wsp:val=&quot;21B81460&quot;/&gt;&lt;wsp:rsid wsp:val=&quot;21C924E9&quot;/&gt;&lt;wsp:rsid wsp:val=&quot;220505E8&quot;/&gt;&lt;wsp:rsid wsp:val=&quot;224C1F23&quot;/&gt;&lt;wsp:rsid wsp:val=&quot;22943E84&quot;/&gt;&lt;wsp:rsid wsp:val=&quot;22C40C3F&quot;/&gt;&lt;wsp:rsid wsp:val=&quot;2300710C&quot;/&gt;&lt;wsp:rsid wsp:val=&quot;23480256&quot;/&gt;&lt;wsp:rsid wsp:val=&quot;2375371D&quot;/&gt;&lt;wsp:rsid wsp:val=&quot;23CB58EA&quot;/&gt;&lt;wsp:rsid wsp:val=&quot;23DC76A6&quot;/&gt;&lt;wsp:rsid wsp:val=&quot;23DE7C42&quot;/&gt;&lt;wsp:rsid wsp:val=&quot;23F21740&quot;/&gt;&lt;wsp:rsid wsp:val=&quot;243D5695&quot;/&gt;&lt;wsp:rsid wsp:val=&quot;2460300B&quot;/&gt;&lt;wsp:rsid wsp:val=&quot;24746305&quot;/&gt;&lt;wsp:rsid wsp:val=&quot;247D7E0E&quot;/&gt;&lt;wsp:rsid wsp:val=&quot;24944663&quot;/&gt;&lt;wsp:rsid wsp:val=&quot;24BC31D3&quot;/&gt;&lt;wsp:rsid wsp:val=&quot;24C169D5&quot;/&gt;&lt;wsp:rsid wsp:val=&quot;24ED72A4&quot;/&gt;&lt;wsp:rsid wsp:val=&quot;25201627&quot;/&gt;&lt;wsp:rsid wsp:val=&quot;25484A85&quot;/&gt;&lt;wsp:rsid wsp:val=&quot;256C6D70&quot;/&gt;&lt;wsp:rsid wsp:val=&quot;256E06D7&quot;/&gt;&lt;wsp:rsid wsp:val=&quot;25864EB9&quot;/&gt;&lt;wsp:rsid wsp:val=&quot;25E04BC3&quot;/&gt;&lt;wsp:rsid wsp:val=&quot;260D2B9E&quot;/&gt;&lt;wsp:rsid wsp:val=&quot;263C4537&quot;/&gt;&lt;wsp:rsid wsp:val=&quot;263C523D&quot;/&gt;&lt;wsp:rsid wsp:val=&quot;26531A27&quot;/&gt;&lt;wsp:rsid wsp:val=&quot;26577261&quot;/&gt;&lt;wsp:rsid wsp:val=&quot;26660B72&quot;/&gt;&lt;wsp:rsid wsp:val=&quot;26A95F45&quot;/&gt;&lt;wsp:rsid wsp:val=&quot;26C6655B&quot;/&gt;&lt;wsp:rsid wsp:val=&quot;274F59EF&quot;/&gt;&lt;wsp:rsid wsp:val=&quot;27511BD6&quot;/&gt;&lt;wsp:rsid wsp:val=&quot;276D159F&quot;/&gt;&lt;wsp:rsid wsp:val=&quot;276D758B&quot;/&gt;&lt;wsp:rsid wsp:val=&quot;2777588C&quot;/&gt;&lt;wsp:rsid wsp:val=&quot;277D6FC2&quot;/&gt;&lt;wsp:rsid wsp:val=&quot;278A008E&quot;/&gt;&lt;wsp:rsid wsp:val=&quot;27C13091&quot;/&gt;&lt;wsp:rsid wsp:val=&quot;280D4AE1&quot;/&gt;&lt;wsp:rsid wsp:val=&quot;281745B5&quot;/&gt;&lt;wsp:rsid wsp:val=&quot;284802C8&quot;/&gt;&lt;wsp:rsid wsp:val=&quot;28A50DA0&quot;/&gt;&lt;wsp:rsid wsp:val=&quot;28AD136B&quot;/&gt;&lt;wsp:rsid wsp:val=&quot;28B36C40&quot;/&gt;&lt;wsp:rsid wsp:val=&quot;28DD4426&quot;/&gt;&lt;wsp:rsid wsp:val=&quot;28E17FE1&quot;/&gt;&lt;wsp:rsid wsp:val=&quot;28F40A64&quot;/&gt;&lt;wsp:rsid wsp:val=&quot;28F66E41&quot;/&gt;&lt;wsp:rsid wsp:val=&quot;290F1E7B&quot;/&gt;&lt;wsp:rsid wsp:val=&quot;294314E2&quot;/&gt;&lt;wsp:rsid wsp:val=&quot;29865772&quot;/&gt;&lt;wsp:rsid wsp:val=&quot;29B642C9&quot;/&gt;&lt;wsp:rsid wsp:val=&quot;29CB340C&quot;/&gt;&lt;wsp:rsid wsp:val=&quot;29CD16C8&quot;/&gt;&lt;wsp:rsid wsp:val=&quot;2A030F8A&quot;/&gt;&lt;wsp:rsid wsp:val=&quot;2A0E73C3&quot;/&gt;&lt;wsp:rsid wsp:val=&quot;2A1F2401&quot;/&gt;&lt;wsp:rsid wsp:val=&quot;2A466F4F&quot;/&gt;&lt;wsp:rsid wsp:val=&quot;2A9B4F45&quot;/&gt;&lt;wsp:rsid wsp:val=&quot;2ABD37F5&quot;/&gt;&lt;wsp:rsid wsp:val=&quot;2B095935&quot;/&gt;&lt;wsp:rsid wsp:val=&quot;2B172D9E&quot;/&gt;&lt;wsp:rsid wsp:val=&quot;2B462A2E&quot;/&gt;&lt;wsp:rsid wsp:val=&quot;2B5F2346&quot;/&gt;&lt;wsp:rsid wsp:val=&quot;2B87148A&quot;/&gt;&lt;wsp:rsid wsp:val=&quot;2BA0077B&quot;/&gt;&lt;wsp:rsid wsp:val=&quot;2BDC5E67&quot;/&gt;&lt;wsp:rsid wsp:val=&quot;2BFF2464&quot;/&gt;&lt;wsp:rsid wsp:val=&quot;2C0E7D14&quot;/&gt;&lt;wsp:rsid wsp:val=&quot;2CB432FC&quot;/&gt;&lt;wsp:rsid wsp:val=&quot;2CBD33CA&quot;/&gt;&lt;wsp:rsid wsp:val=&quot;2CCE6FA7&quot;/&gt;&lt;wsp:rsid wsp:val=&quot;2D1134A8&quot;/&gt;&lt;wsp:rsid wsp:val=&quot;2D1C3AF7&quot;/&gt;&lt;wsp:rsid wsp:val=&quot;2D5D0D68&quot;/&gt;&lt;wsp:rsid wsp:val=&quot;2DDA2544&quot;/&gt;&lt;wsp:rsid wsp:val=&quot;2DDA6C54&quot;/&gt;&lt;wsp:rsid wsp:val=&quot;2DED6433&quot;/&gt;&lt;wsp:rsid wsp:val=&quot;2DF96BF8&quot;/&gt;&lt;wsp:rsid wsp:val=&quot;2E0B0E2B&quot;/&gt;&lt;wsp:rsid wsp:val=&quot;2E2D233F&quot;/&gt;&lt;wsp:rsid wsp:val=&quot;2E336DAC&quot;/&gt;&lt;wsp:rsid wsp:val=&quot;2E732223&quot;/&gt;&lt;wsp:rsid wsp:val=&quot;2ED570D7&quot;/&gt;&lt;wsp:rsid wsp:val=&quot;2EDF21B0&quot;/&gt;&lt;wsp:rsid wsp:val=&quot;2EFB3C9C&quot;/&gt;&lt;wsp:rsid wsp:val=&quot;2F0D2584&quot;/&gt;&lt;wsp:rsid wsp:val=&quot;2F0D5BC4&quot;/&gt;&lt;wsp:rsid wsp:val=&quot;2F312903&quot;/&gt;&lt;wsp:rsid wsp:val=&quot;2F373FFA&quot;/&gt;&lt;wsp:rsid wsp:val=&quot;2F402768&quot;/&gt;&lt;wsp:rsid wsp:val=&quot;2FCB2E60&quot;/&gt;&lt;wsp:rsid wsp:val=&quot;2FF11189&quot;/&gt;&lt;wsp:rsid wsp:val=&quot;30166685&quot;/&gt;&lt;wsp:rsid wsp:val=&quot;30256C85&quot;/&gt;&lt;wsp:rsid wsp:val=&quot;30584578&quot;/&gt;&lt;wsp:rsid wsp:val=&quot;30814EEE&quot;/&gt;&lt;wsp:rsid wsp:val=&quot;30B1213C&quot;/&gt;&lt;wsp:rsid wsp:val=&quot;30DE6B20&quot;/&gt;&lt;wsp:rsid wsp:val=&quot;30EB4929&quot;/&gt;&lt;wsp:rsid wsp:val=&quot;30EB50B7&quot;/&gt;&lt;wsp:rsid wsp:val=&quot;30FF3D41&quot;/&gt;&lt;wsp:rsid wsp:val=&quot;315D3CB1&quot;/&gt;&lt;wsp:rsid wsp:val=&quot;32012B92&quot;/&gt;&lt;wsp:rsid wsp:val=&quot;32090739&quot;/&gt;&lt;wsp:rsid wsp:val=&quot;320B2190&quot;/&gt;&lt;wsp:rsid wsp:val=&quot;322F79DD&quot;/&gt;&lt;wsp:rsid wsp:val=&quot;323B7922&quot;/&gt;&lt;wsp:rsid wsp:val=&quot;324A05BB&quot;/&gt;&lt;wsp:rsid wsp:val=&quot;328F53BD&quot;/&gt;&lt;wsp:rsid wsp:val=&quot;32BB69E9&quot;/&gt;&lt;wsp:rsid wsp:val=&quot;33C57071&quot;/&gt;&lt;wsp:rsid wsp:val=&quot;33E4255C&quot;/&gt;&lt;wsp:rsid wsp:val=&quot;33F95CBC&quot;/&gt;&lt;wsp:rsid wsp:val=&quot;349171B1&quot;/&gt;&lt;wsp:rsid wsp:val=&quot;34D077F2&quot;/&gt;&lt;wsp:rsid wsp:val=&quot;34DB7025&quot;/&gt;&lt;wsp:rsid wsp:val=&quot;35B60E80&quot;/&gt;&lt;wsp:rsid wsp:val=&quot;35C3628B&quot;/&gt;&lt;wsp:rsid wsp:val=&quot;35FE7846&quot;/&gt;&lt;wsp:rsid wsp:val=&quot;361A37E9&quot;/&gt;&lt;wsp:rsid wsp:val=&quot;361E3EEB&quot;/&gt;&lt;wsp:rsid wsp:val=&quot;364A5D09&quot;/&gt;&lt;wsp:rsid wsp:val=&quot;367605F0&quot;/&gt;&lt;wsp:rsid wsp:val=&quot;36D137A6&quot;/&gt;&lt;wsp:rsid wsp:val=&quot;36DD5160&quot;/&gt;&lt;wsp:rsid wsp:val=&quot;372E2785&quot;/&gt;&lt;wsp:rsid wsp:val=&quot;37463790&quot;/&gt;&lt;wsp:rsid wsp:val=&quot;376E5C54&quot;/&gt;&lt;wsp:rsid wsp:val=&quot;378808AD&quot;/&gt;&lt;wsp:rsid wsp:val=&quot;37AD1C20&quot;/&gt;&lt;wsp:rsid wsp:val=&quot;37C61845&quot;/&gt;&lt;wsp:rsid wsp:val=&quot;37D77901&quot;/&gt;&lt;wsp:rsid wsp:val=&quot;37EE388E&quot;/&gt;&lt;wsp:rsid wsp:val=&quot;38501F01&quot;/&gt;&lt;wsp:rsid wsp:val=&quot;38633A78&quot;/&gt;&lt;wsp:rsid wsp:val=&quot;386D3E1A&quot;/&gt;&lt;wsp:rsid wsp:val=&quot;387900AE&quot;/&gt;&lt;wsp:rsid wsp:val=&quot;38D60219&quot;/&gt;&lt;wsp:rsid wsp:val=&quot;38EC22C3&quot;/&gt;&lt;wsp:rsid wsp:val=&quot;39034EF3&quot;/&gt;&lt;wsp:rsid wsp:val=&quot;391B11B7&quot;/&gt;&lt;wsp:rsid wsp:val=&quot;391E136B&quot;/&gt;&lt;wsp:rsid wsp:val=&quot;395753AC&quot;/&gt;&lt;wsp:rsid wsp:val=&quot;395B5602&quot;/&gt;&lt;wsp:rsid wsp:val=&quot;39803530&quot;/&gt;&lt;wsp:rsid wsp:val=&quot;398464ED&quot;/&gt;&lt;wsp:rsid wsp:val=&quot;39D70E7A&quot;/&gt;&lt;wsp:rsid wsp:val=&quot;39E24207&quot;/&gt;&lt;wsp:rsid wsp:val=&quot;39E75B0F&quot;/&gt;&lt;wsp:rsid wsp:val=&quot;3A9B7A40&quot;/&gt;&lt;wsp:rsid wsp:val=&quot;3ADE6844&quot;/&gt;&lt;wsp:rsid wsp:val=&quot;3ADF5690&quot;/&gt;&lt;wsp:rsid wsp:val=&quot;3BD55156&quot;/&gt;&lt;wsp:rsid wsp:val=&quot;3BF7433C&quot;/&gt;&lt;wsp:rsid wsp:val=&quot;3C0A065A&quot;/&gt;&lt;wsp:rsid wsp:val=&quot;3C394F22&quot;/&gt;&lt;wsp:rsid wsp:val=&quot;3C803199&quot;/&gt;&lt;wsp:rsid wsp:val=&quot;3C82518B&quot;/&gt;&lt;wsp:rsid wsp:val=&quot;3CB20C9B&quot;/&gt;&lt;wsp:rsid wsp:val=&quot;3CE50FE6&quot;/&gt;&lt;wsp:rsid wsp:val=&quot;3D1C097A&quot;/&gt;&lt;wsp:rsid wsp:val=&quot;3D2316E0&quot;/&gt;&lt;wsp:rsid wsp:val=&quot;3D242B1D&quot;/&gt;&lt;wsp:rsid wsp:val=&quot;3D28490E&quot;/&gt;&lt;wsp:rsid wsp:val=&quot;3D471932&quot;/&gt;&lt;wsp:rsid wsp:val=&quot;3D5A692C&quot;/&gt;&lt;wsp:rsid wsp:val=&quot;3D61225D&quot;/&gt;&lt;wsp:rsid wsp:val=&quot;3D873829&quot;/&gt;&lt;wsp:rsid wsp:val=&quot;3DBA3B41&quot;/&gt;&lt;wsp:rsid wsp:val=&quot;3DCC50BE&quot;/&gt;&lt;wsp:rsid wsp:val=&quot;3E452E47&quot;/&gt;&lt;wsp:rsid wsp:val=&quot;3E46706F&quot;/&gt;&lt;wsp:rsid wsp:val=&quot;3E9E3F5F&quot;/&gt;&lt;wsp:rsid wsp:val=&quot;3EA8374B&quot;/&gt;&lt;wsp:rsid wsp:val=&quot;3EA92A8E&quot;/&gt;&lt;wsp:rsid wsp:val=&quot;3EAF1D21&quot;/&gt;&lt;wsp:rsid wsp:val=&quot;3EB2505C&quot;/&gt;&lt;wsp:rsid wsp:val=&quot;3F2143BA&quot;/&gt;&lt;wsp:rsid wsp:val=&quot;3F2C7150&quot;/&gt;&lt;wsp:rsid wsp:val=&quot;3F2E5F44&quot;/&gt;&lt;wsp:rsid wsp:val=&quot;3F32004D&quot;/&gt;&lt;wsp:rsid wsp:val=&quot;3F3F1286&quot;/&gt;&lt;wsp:rsid wsp:val=&quot;3F5D1C02&quot;/&gt;&lt;wsp:rsid wsp:val=&quot;3F6F6320&quot;/&gt;&lt;wsp:rsid wsp:val=&quot;3FA61547&quot;/&gt;&lt;wsp:rsid wsp:val=&quot;3FD85F5B&quot;/&gt;&lt;wsp:rsid wsp:val=&quot;40066CE4&quot;/&gt;&lt;wsp:rsid wsp:val=&quot;404C3530&quot;/&gt;&lt;wsp:rsid wsp:val=&quot;40640F50&quot;/&gt;&lt;wsp:rsid wsp:val=&quot;4073053A&quot;/&gt;&lt;wsp:rsid wsp:val=&quot;40CC17E3&quot;/&gt;&lt;wsp:rsid wsp:val=&quot;40E87CEA&quot;/&gt;&lt;wsp:rsid wsp:val=&quot;411B35A5&quot;/&gt;&lt;wsp:rsid wsp:val=&quot;41303BBB&quot;/&gt;&lt;wsp:rsid wsp:val=&quot;414469D9&quot;/&gt;&lt;wsp:rsid wsp:val=&quot;4148460B&quot;/&gt;&lt;wsp:rsid wsp:val=&quot;414F1FB2&quot;/&gt;&lt;wsp:rsid wsp:val=&quot;415C28FA&quot;/&gt;&lt;wsp:rsid wsp:val=&quot;417838C4&quot;/&gt;&lt;wsp:rsid wsp:val=&quot;417E77D7&quot;/&gt;&lt;wsp:rsid wsp:val=&quot;41A14061&quot;/&gt;&lt;wsp:rsid wsp:val=&quot;41B23089&quot;/&gt;&lt;wsp:rsid wsp:val=&quot;41B93036&quot;/&gt;&lt;wsp:rsid wsp:val=&quot;42201F87&quot;/&gt;&lt;wsp:rsid wsp:val=&quot;4230506D&quot;/&gt;&lt;wsp:rsid wsp:val=&quot;42431FFC&quot;/&gt;&lt;wsp:rsid wsp:val=&quot;42643643&quot;/&gt;&lt;wsp:rsid wsp:val=&quot;4289555C&quot;/&gt;&lt;wsp:rsid wsp:val=&quot;42B06A84&quot;/&gt;&lt;wsp:rsid wsp:val=&quot;42D65CF8&quot;/&gt;&lt;wsp:rsid wsp:val=&quot;42DB2F6B&quot;/&gt;&lt;wsp:rsid wsp:val=&quot;42E3229E&quot;/&gt;&lt;wsp:rsid wsp:val=&quot;42F76746&quot;/&gt;&lt;wsp:rsid wsp:val=&quot;430F5A79&quot;/&gt;&lt;wsp:rsid wsp:val=&quot;432C688E&quot;/&gt;&lt;wsp:rsid wsp:val=&quot;437645EA&quot;/&gt;&lt;wsp:rsid wsp:val=&quot;438965F2&quot;/&gt;&lt;wsp:rsid wsp:val=&quot;438B49D7&quot;/&gt;&lt;wsp:rsid wsp:val=&quot;43964A00&quot;/&gt;&lt;wsp:rsid wsp:val=&quot;43A3194B&quot;/&gt;&lt;wsp:rsid wsp:val=&quot;43C004B9&quot;/&gt;&lt;wsp:rsid wsp:val=&quot;44046E3F&quot;/&gt;&lt;wsp:rsid wsp:val=&quot;44363274&quot;/&gt;&lt;wsp:rsid wsp:val=&quot;445C0110&quot;/&gt;&lt;wsp:rsid wsp:val=&quot;4466014D&quot;/&gt;&lt;wsp:rsid wsp:val=&quot;44895FC2&quot;/&gt;&lt;wsp:rsid wsp:val=&quot;44A60836&quot;/&gt;&lt;wsp:rsid wsp:val=&quot;44E90CFB&quot;/&gt;&lt;wsp:rsid wsp:val=&quot;457172A4&quot;/&gt;&lt;wsp:rsid wsp:val=&quot;45753B2D&quot;/&gt;&lt;wsp:rsid wsp:val=&quot;458E0791&quot;/&gt;&lt;wsp:rsid wsp:val=&quot;45B56A56&quot;/&gt;&lt;wsp:rsid wsp:val=&quot;45E94812&quot;/&gt;&lt;wsp:rsid wsp:val=&quot;4606306A&quot;/&gt;&lt;wsp:rsid wsp:val=&quot;46163AA9&quot;/&gt;&lt;wsp:rsid wsp:val=&quot;464B35C0&quot;/&gt;&lt;wsp:rsid wsp:val=&quot;46690A43&quot;/&gt;&lt;wsp:rsid wsp:val=&quot;46986D0B&quot;/&gt;&lt;wsp:rsid wsp:val=&quot;46B040D3&quot;/&gt;&lt;wsp:rsid wsp:val=&quot;46E9731D&quot;/&gt;&lt;wsp:rsid wsp:val=&quot;47251E42&quot;/&gt;&lt;wsp:rsid wsp:val=&quot;473B5CE5&quot;/&gt;&lt;wsp:rsid wsp:val=&quot;473C5719&quot;/&gt;&lt;wsp:rsid wsp:val=&quot;47A43544&quot;/&gt;&lt;wsp:rsid wsp:val=&quot;480B2B37&quot;/&gt;&lt;wsp:rsid wsp:val=&quot;48365F56&quot;/&gt;&lt;wsp:rsid wsp:val=&quot;48DA1197&quot;/&gt;&lt;wsp:rsid wsp:val=&quot;48EA7040&quot;/&gt;&lt;wsp:rsid wsp:val=&quot;49007441&quot;/&gt;&lt;wsp:rsid wsp:val=&quot;4960513D&quot;/&gt;&lt;wsp:rsid wsp:val=&quot;496E20EB&quot;/&gt;&lt;wsp:rsid wsp:val=&quot;49791FEE&quot;/&gt;&lt;wsp:rsid wsp:val=&quot;49A719CD&quot;/&gt;&lt;wsp:rsid wsp:val=&quot;49BD37FA&quot;/&gt;&lt;wsp:rsid wsp:val=&quot;49E56F19&quot;/&gt;&lt;wsp:rsid wsp:val=&quot;4A663C8A&quot;/&gt;&lt;wsp:rsid wsp:val=&quot;4A88627C&quot;/&gt;&lt;wsp:rsid wsp:val=&quot;4A8E2D13&quot;/&gt;&lt;wsp:rsid wsp:val=&quot;4ABE1DA7&quot;/&gt;&lt;wsp:rsid wsp:val=&quot;4AD62B21&quot;/&gt;&lt;wsp:rsid wsp:val=&quot;4AF137FB&quot;/&gt;&lt;wsp:rsid wsp:val=&quot;4B172495&quot;/&gt;&lt;wsp:rsid wsp:val=&quot;4B1E675F&quot;/&gt;&lt;wsp:rsid wsp:val=&quot;4B2C5D5B&quot;/&gt;&lt;wsp:rsid wsp:val=&quot;4B63183A&quot;/&gt;&lt;wsp:rsid wsp:val=&quot;4BB41E44&quot;/&gt;&lt;wsp:rsid wsp:val=&quot;4BD11B39&quot;/&gt;&lt;wsp:rsid wsp:val=&quot;4BE26767&quot;/&gt;&lt;wsp:rsid wsp:val=&quot;4BF5445B&quot;/&gt;&lt;wsp:rsid wsp:val=&quot;4C0A2CBF&quot;/&gt;&lt;wsp:rsid wsp:val=&quot;4C874D8E&quot;/&gt;&lt;wsp:rsid wsp:val=&quot;4C897C4A&quot;/&gt;&lt;wsp:rsid wsp:val=&quot;4CAF4D1F&quot;/&gt;&lt;wsp:rsid wsp:val=&quot;4CDB2216&quot;/&gt;&lt;wsp:rsid wsp:val=&quot;4D0C1539&quot;/&gt;&lt;wsp:rsid wsp:val=&quot;4D454300&quot;/&gt;&lt;wsp:rsid wsp:val=&quot;4D564FE0&quot;/&gt;&lt;wsp:rsid wsp:val=&quot;4D5C02C6&quot;/&gt;&lt;wsp:rsid wsp:val=&quot;4D6B0E41&quot;/&gt;&lt;wsp:rsid wsp:val=&quot;4D947E50&quot;/&gt;&lt;wsp:rsid wsp:val=&quot;4D9A5CA2&quot;/&gt;&lt;wsp:rsid wsp:val=&quot;4DA0333B&quot;/&gt;&lt;wsp:rsid wsp:val=&quot;4DAE0055&quot;/&gt;&lt;wsp:rsid wsp:val=&quot;4DD24C72&quot;/&gt;&lt;wsp:rsid wsp:val=&quot;4DE04782&quot;/&gt;&lt;wsp:rsid wsp:val=&quot;4DF156F4&quot;/&gt;&lt;wsp:rsid wsp:val=&quot;4E0C1458&quot;/&gt;&lt;wsp:rsid wsp:val=&quot;4E443E74&quot;/&gt;&lt;wsp:rsid wsp:val=&quot;4E666BE0&quot;/&gt;&lt;wsp:rsid wsp:val=&quot;4EA24DAE&quot;/&gt;&lt;wsp:rsid wsp:val=&quot;4EE20D1B&quot;/&gt;&lt;wsp:rsid wsp:val=&quot;4EE41921&quot;/&gt;&lt;wsp:rsid wsp:val=&quot;4EFD18C0&quot;/&gt;&lt;wsp:rsid wsp:val=&quot;4EFE757C&quot;/&gt;&lt;wsp:rsid wsp:val=&quot;4F015442&quot;/&gt;&lt;wsp:rsid wsp:val=&quot;4F1C0FF8&quot;/&gt;&lt;wsp:rsid wsp:val=&quot;4F3978A8&quot;/&gt;&lt;wsp:rsid wsp:val=&quot;4F4A021A&quot;/&gt;&lt;wsp:rsid wsp:val=&quot;4FD02DDC&quot;/&gt;&lt;wsp:rsid wsp:val=&quot;4FD469DF&quot;/&gt;&lt;wsp:rsid wsp:val=&quot;4FE45624&quot;/&gt;&lt;wsp:rsid wsp:val=&quot;504E1890&quot;/&gt;&lt;wsp:rsid wsp:val=&quot;505A1A55&quot;/&gt;&lt;wsp:rsid wsp:val=&quot;50791A7F&quot;/&gt;&lt;wsp:rsid wsp:val=&quot;5094364E&quot;/&gt;&lt;wsp:rsid wsp:val=&quot;50A46DF1&quot;/&gt;&lt;wsp:rsid wsp:val=&quot;50C20AB4&quot;/&gt;&lt;wsp:rsid wsp:val=&quot;50D0060B&quot;/&gt;&lt;wsp:rsid wsp:val=&quot;50D96D03&quot;/&gt;&lt;wsp:rsid wsp:val=&quot;510E0B92&quot;/&gt;&lt;wsp:rsid wsp:val=&quot;51265078&quot;/&gt;&lt;wsp:rsid wsp:val=&quot;513B3915&quot;/&gt;&lt;wsp:rsid wsp:val=&quot;5150479E&quot;/&gt;&lt;wsp:rsid wsp:val=&quot;515917B1&quot;/&gt;&lt;wsp:rsid wsp:val=&quot;51617ACD&quot;/&gt;&lt;wsp:rsid wsp:val=&quot;519E3D7D&quot;/&gt;&lt;wsp:rsid wsp:val=&quot;525846B2&quot;/&gt;&lt;wsp:rsid wsp:val=&quot;528A3BDD&quot;/&gt;&lt;wsp:rsid wsp:val=&quot;528C263E&quot;/&gt;&lt;wsp:rsid wsp:val=&quot;52EF29EA&quot;/&gt;&lt;wsp:rsid wsp:val=&quot;53076EE6&quot;/&gt;&lt;wsp:rsid wsp:val=&quot;53430DF5&quot;/&gt;&lt;wsp:rsid wsp:val=&quot;53587C56&quot;/&gt;&lt;wsp:rsid wsp:val=&quot;53826273&quot;/&gt;&lt;wsp:rsid wsp:val=&quot;53DF3BE1&quot;/&gt;&lt;wsp:rsid wsp:val=&quot;54172B81&quot;/&gt;&lt;wsp:rsid wsp:val=&quot;541A66F2&quot;/&gt;&lt;wsp:rsid wsp:val=&quot;54216C5A&quot;/&gt;&lt;wsp:rsid wsp:val=&quot;54806771&quot;/&gt;&lt;wsp:rsid wsp:val=&quot;54D4025F&quot;/&gt;&lt;wsp:rsid wsp:val=&quot;54D95948&quot;/&gt;&lt;wsp:rsid wsp:val=&quot;551F3E54&quot;/&gt;&lt;wsp:rsid wsp:val=&quot;55444A80&quot;/&gt;&lt;wsp:rsid wsp:val=&quot;55545112&quot;/&gt;&lt;wsp:rsid wsp:val=&quot;558701FB&quot;/&gt;&lt;wsp:rsid wsp:val=&quot;55874F40&quot;/&gt;&lt;wsp:rsid wsp:val=&quot;558B306E&quot;/&gt;&lt;wsp:rsid wsp:val=&quot;55994037&quot;/&gt;&lt;wsp:rsid wsp:val=&quot;55D54FF2&quot;/&gt;&lt;wsp:rsid wsp:val=&quot;55DF4E88&quot;/&gt;&lt;wsp:rsid wsp:val=&quot;560321F1&quot;/&gt;&lt;wsp:rsid wsp:val=&quot;563C1221&quot;/&gt;&lt;wsp:rsid wsp:val=&quot;566B5300&quot;/&gt;&lt;wsp:rsid wsp:val=&quot;56CF135A&quot;/&gt;&lt;wsp:rsid wsp:val=&quot;57016FCE&quot;/&gt;&lt;wsp:rsid wsp:val=&quot;57100045&quot;/&gt;&lt;wsp:rsid wsp:val=&quot;57716378&quot;/&gt;&lt;wsp:rsid wsp:val=&quot;577225FD&quot;/&gt;&lt;wsp:rsid wsp:val=&quot;57BB25E4&quot;/&gt;&lt;wsp:rsid wsp:val=&quot;57C62553&quot;/&gt;&lt;wsp:rsid wsp:val=&quot;57DA54CC&quot;/&gt;&lt;wsp:rsid wsp:val=&quot;58533AD8&quot;/&gt;&lt;wsp:rsid wsp:val=&quot;589B29E5&quot;/&gt;&lt;wsp:rsid wsp:val=&quot;58A45951&quot;/&gt;&lt;wsp:rsid wsp:val=&quot;58C32CA1&quot;/&gt;&lt;wsp:rsid wsp:val=&quot;59360835&quot;/&gt;&lt;wsp:rsid wsp:val=&quot;59403ACB&quot;/&gt;&lt;wsp:rsid wsp:val=&quot;59887D89&quot;/&gt;&lt;wsp:rsid wsp:val=&quot;59A43E68&quot;/&gt;&lt;wsp:rsid wsp:val=&quot;59BB0B13&quot;/&gt;&lt;wsp:rsid wsp:val=&quot;59C60638&quot;/&gt;&lt;wsp:rsid wsp:val=&quot;5A2B1AF4&quot;/&gt;&lt;wsp:rsid wsp:val=&quot;5A586AE9&quot;/&gt;&lt;wsp:rsid wsp:val=&quot;5A6C1DCF&quot;/&gt;&lt;wsp:rsid wsp:val=&quot;5AB853FB&quot;/&gt;&lt;wsp:rsid wsp:val=&quot;5AC819D7&quot;/&gt;&lt;wsp:rsid wsp:val=&quot;5B133ED4&quot;/&gt;&lt;wsp:rsid wsp:val=&quot;5B380613&quot;/&gt;&lt;wsp:rsid wsp:val=&quot;5BC06FEA&quot;/&gt;&lt;wsp:rsid wsp:val=&quot;5BC21DE2&quot;/&gt;&lt;wsp:rsid wsp:val=&quot;5C216719&quot;/&gt;&lt;wsp:rsid wsp:val=&quot;5C6F37EE&quot;/&gt;&lt;wsp:rsid wsp:val=&quot;5C7D32EC&quot;/&gt;&lt;wsp:rsid wsp:val=&quot;5C915128&quot;/&gt;&lt;wsp:rsid wsp:val=&quot;5CAC7477&quot;/&gt;&lt;wsp:rsid wsp:val=&quot;5CC13055&quot;/&gt;&lt;wsp:rsid wsp:val=&quot;5D6041F0&quot;/&gt;&lt;wsp:rsid wsp:val=&quot;5D8E1C21&quot;/&gt;&lt;wsp:rsid wsp:val=&quot;5D9777AC&quot;/&gt;&lt;wsp:rsid wsp:val=&quot;5DB5566F&quot;/&gt;&lt;wsp:rsid wsp:val=&quot;5DC61CB0&quot;/&gt;&lt;wsp:rsid wsp:val=&quot;5DDD778D&quot;/&gt;&lt;wsp:rsid wsp:val=&quot;5E53313F&quot;/&gt;&lt;wsp:rsid wsp:val=&quot;5E6A5B56&quot;/&gt;&lt;wsp:rsid wsp:val=&quot;5E6B6793&quot;/&gt;&lt;wsp:rsid wsp:val=&quot;5E8E63D7&quot;/&gt;&lt;wsp:rsid wsp:val=&quot;5EAF7EA1&quot;/&gt;&lt;wsp:rsid wsp:val=&quot;5EEE0ABF&quot;/&gt;&lt;wsp:rsid wsp:val=&quot;5EF5098B&quot;/&gt;&lt;wsp:rsid wsp:val=&quot;5EFA0F31&quot;/&gt;&lt;wsp:rsid wsp:val=&quot;5F1178F8&quot;/&gt;&lt;wsp:rsid wsp:val=&quot;5F262F21&quot;/&gt;&lt;wsp:rsid wsp:val=&quot;5F7D5CBA&quot;/&gt;&lt;wsp:rsid wsp:val=&quot;602500CC&quot;/&gt;&lt;wsp:rsid wsp:val=&quot;60446032&quot;/&gt;&lt;wsp:rsid wsp:val=&quot;60523E2E&quot;/&gt;&lt;wsp:rsid wsp:val=&quot;60554E98&quot;/&gt;&lt;wsp:rsid wsp:val=&quot;6064577E&quot;/&gt;&lt;wsp:rsid wsp:val=&quot;6075356F&quot;/&gt;&lt;wsp:rsid wsp:val=&quot;60956993&quot;/&gt;&lt;wsp:rsid wsp:val=&quot;60AF47F0&quot;/&gt;&lt;wsp:rsid wsp:val=&quot;60D922BB&quot;/&gt;&lt;wsp:rsid wsp:val=&quot;60DE6DBC&quot;/&gt;&lt;wsp:rsid wsp:val=&quot;60F76F71&quot;/&gt;&lt;wsp:rsid wsp:val=&quot;617D013C&quot;/&gt;&lt;wsp:rsid wsp:val=&quot;618A61A7&quot;/&gt;&lt;wsp:rsid wsp:val=&quot;619209EF&quot;/&gt;&lt;wsp:rsid wsp:val=&quot;61D77161&quot;/&gt;&lt;wsp:rsid wsp:val=&quot;6200301E&quot;/&gt;&lt;wsp:rsid wsp:val=&quot;62190BF6&quot;/&gt;&lt;wsp:rsid wsp:val=&quot;622005E5&quot;/&gt;&lt;wsp:rsid wsp:val=&quot;624A6098&quot;/&gt;&lt;wsp:rsid wsp:val=&quot;626C102D&quot;/&gt;&lt;wsp:rsid wsp:val=&quot;62725AD7&quot;/&gt;&lt;wsp:rsid wsp:val=&quot;62793237&quot;/&gt;&lt;wsp:rsid wsp:val=&quot;62BC19B3&quot;/&gt;&lt;wsp:rsid wsp:val=&quot;62BF0B18&quot;/&gt;&lt;wsp:rsid wsp:val=&quot;62D83FA6&quot;/&gt;&lt;wsp:rsid wsp:val=&quot;62E46A4F&quot;/&gt;&lt;wsp:rsid wsp:val=&quot;62E544B1&quot;/&gt;&lt;wsp:rsid wsp:val=&quot;632A0181&quot;/&gt;&lt;wsp:rsid wsp:val=&quot;6347539C&quot;/&gt;&lt;wsp:rsid wsp:val=&quot;635F0FD9&quot;/&gt;&lt;wsp:rsid wsp:val=&quot;638A1FD1&quot;/&gt;&lt;wsp:rsid wsp:val=&quot;63966621&quot;/&gt;&lt;wsp:rsid wsp:val=&quot;63BE314B&quot;/&gt;&lt;wsp:rsid wsp:val=&quot;64555B88&quot;/&gt;&lt;wsp:rsid wsp:val=&quot;64604C75&quot;/&gt;&lt;wsp:rsid wsp:val=&quot;64B4442E&quot;/&gt;&lt;wsp:rsid wsp:val=&quot;64D47D6D&quot;/&gt;&lt;wsp:rsid wsp:val=&quot;64E073FD&quot;/&gt;&lt;wsp:rsid wsp:val=&quot;65930436&quot;/&gt;&lt;wsp:rsid wsp:val=&quot;65D82284&quot;/&gt;&lt;wsp:rsid wsp:val=&quot;66074444&quot;/&gt;&lt;wsp:rsid wsp:val=&quot;661C3B92&quot;/&gt;&lt;wsp:rsid wsp:val=&quot;66926AF2&quot;/&gt;&lt;wsp:rsid wsp:val=&quot;66975888&quot;/&gt;&lt;wsp:rsid wsp:val=&quot;669763E5&quot;/&gt;&lt;wsp:rsid wsp:val=&quot;66FD27C7&quot;/&gt;&lt;wsp:rsid wsp:val=&quot;675D1430&quot;/&gt;&lt;wsp:rsid wsp:val=&quot;67892399&quot;/&gt;&lt;wsp:rsid wsp:val=&quot;67B57718&quot;/&gt;&lt;wsp:rsid wsp:val=&quot;67BB4055&quot;/&gt;&lt;wsp:rsid wsp:val=&quot;67E34D51&quot;/&gt;&lt;wsp:rsid wsp:val=&quot;68114B61&quot;/&gt;&lt;wsp:rsid wsp:val=&quot;681778A7&quot;/&gt;&lt;wsp:rsid wsp:val=&quot;687E32F6&quot;/&gt;&lt;wsp:rsid wsp:val=&quot;68805770&quot;/&gt;&lt;wsp:rsid wsp:val=&quot;689B7DBE&quot;/&gt;&lt;wsp:rsid wsp:val=&quot;68AF62D4&quot;/&gt;&lt;wsp:rsid wsp:val=&quot;69392A21&quot;/&gt;&lt;wsp:rsid wsp:val=&quot;69431129&quot;/&gt;&lt;wsp:rsid wsp:val=&quot;699345C0&quot;/&gt;&lt;wsp:rsid wsp:val=&quot;69E111D1&quot;/&gt;&lt;wsp:rsid wsp:val=&quot;6A1B73D0&quot;/&gt;&lt;wsp:rsid wsp:val=&quot;6A2054EB&quot;/&gt;&lt;wsp:rsid wsp:val=&quot;6A57693B&quot;/&gt;&lt;wsp:rsid wsp:val=&quot;6B220F26&quot;/&gt;&lt;wsp:rsid wsp:val=&quot;6B3D4802&quot;/&gt;&lt;wsp:rsid wsp:val=&quot;6B550C89&quot;/&gt;&lt;wsp:rsid wsp:val=&quot;6B5D2D83&quot;/&gt;&lt;wsp:rsid wsp:val=&quot;6B686860&quot;/&gt;&lt;wsp:rsid wsp:val=&quot;6BF32254&quot;/&gt;&lt;wsp:rsid wsp:val=&quot;6C2E1B76&quot;/&gt;&lt;wsp:rsid wsp:val=&quot;6C4D10CA&quot;/&gt;&lt;wsp:rsid wsp:val=&quot;6C620DCD&quot;/&gt;&lt;wsp:rsid wsp:val=&quot;6C632E71&quot;/&gt;&lt;wsp:rsid wsp:val=&quot;6C98402E&quot;/&gt;&lt;wsp:rsid wsp:val=&quot;6CAF3346&quot;/&gt;&lt;wsp:rsid wsp:val=&quot;6CCD71DF&quot;/&gt;&lt;wsp:rsid wsp:val=&quot;6D0E3FD4&quot;/&gt;&lt;wsp:rsid wsp:val=&quot;6D4274C1&quot;/&gt;&lt;wsp:rsid wsp:val=&quot;6D477FCC&quot;/&gt;&lt;wsp:rsid wsp:val=&quot;6DC50278&quot;/&gt;&lt;wsp:rsid wsp:val=&quot;6DCD09F2&quot;/&gt;&lt;wsp:rsid wsp:val=&quot;6DCF3424&quot;/&gt;&lt;wsp:rsid wsp:val=&quot;6E302025&quot;/&gt;&lt;wsp:rsid wsp:val=&quot;6E4B6AAD&quot;/&gt;&lt;wsp:rsid wsp:val=&quot;6E4E3DD7&quot;/&gt;&lt;wsp:rsid wsp:val=&quot;6E5A7ED4&quot;/&gt;&lt;wsp:rsid wsp:val=&quot;6E805D8C&quot;/&gt;&lt;wsp:rsid wsp:val=&quot;6EC06C9B&quot;/&gt;&lt;wsp:rsid wsp:val=&quot;6EC06F25&quot;/&gt;&lt;wsp:rsid wsp:val=&quot;6EEE0A94&quot;/&gt;&lt;wsp:rsid wsp:val=&quot;6F0240E9&quot;/&gt;&lt;wsp:rsid wsp:val=&quot;6F2B100A&quot;/&gt;&lt;wsp:rsid wsp:val=&quot;6F4B0FCB&quot;/&gt;&lt;wsp:rsid wsp:val=&quot;6F4C3B6C&quot;/&gt;&lt;wsp:rsid wsp:val=&quot;6F4E2339&quot;/&gt;&lt;wsp:rsid wsp:val=&quot;6F8977E8&quot;/&gt;&lt;wsp:rsid wsp:val=&quot;6FB2545B&quot;/&gt;&lt;wsp:rsid wsp:val=&quot;6FC12AAE&quot;/&gt;&lt;wsp:rsid wsp:val=&quot;700225B6&quot;/&gt;&lt;wsp:rsid wsp:val=&quot;703F3B79&quot;/&gt;&lt;wsp:rsid wsp:val=&quot;70482B4A&quot;/&gt;&lt;wsp:rsid wsp:val=&quot;70915B62&quot;/&gt;&lt;wsp:rsid wsp:val=&quot;709B1DD5&quot;/&gt;&lt;wsp:rsid wsp:val=&quot;70B03826&quot;/&gt;&lt;wsp:rsid wsp:val=&quot;70FE253C&quot;/&gt;&lt;wsp:rsid wsp:val=&quot;710836C0&quot;/&gt;&lt;wsp:rsid wsp:val=&quot;710C4641&quot;/&gt;&lt;wsp:rsid wsp:val=&quot;716021C0&quot;/&gt;&lt;wsp:rsid wsp:val=&quot;71771F2B&quot;/&gt;&lt;wsp:rsid wsp:val=&quot;719B7959&quot;/&gt;&lt;wsp:rsid wsp:val=&quot;71A301A4&quot;/&gt;&lt;wsp:rsid wsp:val=&quot;71B81EEE&quot;/&gt;&lt;wsp:rsid wsp:val=&quot;71E84A17&quot;/&gt;&lt;wsp:rsid wsp:val=&quot;71F24CB9&quot;/&gt;&lt;wsp:rsid wsp:val=&quot;721249BC&quot;/&gt;&lt;wsp:rsid wsp:val=&quot;72153AEA&quot;/&gt;&lt;wsp:rsid wsp:val=&quot;72726D3F&quot;/&gt;&lt;wsp:rsid wsp:val=&quot;72801F33&quot;/&gt;&lt;wsp:rsid wsp:val=&quot;72D900D9&quot;/&gt;&lt;wsp:rsid wsp:val=&quot;73013B75&quot;/&gt;&lt;wsp:rsid wsp:val=&quot;73383393&quot;/&gt;&lt;wsp:rsid wsp:val=&quot;735B5491&quot;/&gt;&lt;wsp:rsid wsp:val=&quot;736E350B&quot;/&gt;&lt;wsp:rsid wsp:val=&quot;73B128F9&quot;/&gt;&lt;wsp:rsid wsp:val=&quot;73C71D1C&quot;/&gt;&lt;wsp:rsid wsp:val=&quot;740E767B&quot;/&gt;&lt;wsp:rsid wsp:val=&quot;74131440&quot;/&gt;&lt;wsp:rsid wsp:val=&quot;741A6855&quot;/&gt;&lt;wsp:rsid wsp:val=&quot;74483378&quot;/&gt;&lt;wsp:rsid wsp:val=&quot;74620165&quot;/&gt;&lt;wsp:rsid wsp:val=&quot;74A86B4B&quot;/&gt;&lt;wsp:rsid wsp:val=&quot;752E34EE&quot;/&gt;&lt;wsp:rsid wsp:val=&quot;75631640&quot;/&gt;&lt;wsp:rsid wsp:val=&quot;757A11FB&quot;/&gt;&lt;wsp:rsid wsp:val=&quot;759F44A6&quot;/&gt;&lt;wsp:rsid wsp:val=&quot;75E821DF&quot;/&gt;&lt;wsp:rsid wsp:val=&quot;7624661D&quot;/&gt;&lt;wsp:rsid wsp:val=&quot;76613B45&quot;/&gt;&lt;wsp:rsid wsp:val=&quot;76794489&quot;/&gt;&lt;wsp:rsid wsp:val=&quot;76844423&quot;/&gt;&lt;wsp:rsid wsp:val=&quot;769B4760&quot;/&gt;&lt;wsp:rsid wsp:val=&quot;76A1621B&quot;/&gt;&lt;wsp:rsid wsp:val=&quot;76A61249&quot;/&gt;&lt;wsp:rsid wsp:val=&quot;76BE76BD&quot;/&gt;&lt;wsp:rsid wsp:val=&quot;77125AB5&quot;/&gt;&lt;wsp:rsid wsp:val=&quot;776B66F1&quot;/&gt;&lt;wsp:rsid wsp:val=&quot;77A551E4&quot;/&gt;&lt;wsp:rsid wsp:val=&quot;77DC5F58&quot;/&gt;&lt;wsp:rsid wsp:val=&quot;77E462BC&quot;/&gt;&lt;wsp:rsid wsp:val=&quot;7807225B&quot;/&gt;&lt;wsp:rsid wsp:val=&quot;7853086D&quot;/&gt;&lt;wsp:rsid wsp:val=&quot;787B24B3&quot;/&gt;&lt;wsp:rsid wsp:val=&quot;78BE2892&quot;/&gt;&lt;wsp:rsid wsp:val=&quot;79487F3B&quot;/&gt;&lt;wsp:rsid wsp:val=&quot;7958034D&quot;/&gt;&lt;wsp:rsid wsp:val=&quot;79874F65&quot;/&gt;&lt;wsp:rsid wsp:val=&quot;79AD754C&quot;/&gt;&lt;wsp:rsid wsp:val=&quot;79CE6960&quot;/&gt;&lt;wsp:rsid wsp:val=&quot;79E34EA8&quot;/&gt;&lt;wsp:rsid wsp:val=&quot;7A216E9D&quot;/&gt;&lt;wsp:rsid wsp:val=&quot;7A623047&quot;/&gt;&lt;wsp:rsid wsp:val=&quot;7AC34186&quot;/&gt;&lt;wsp:rsid wsp:val=&quot;7ACE4DA3&quot;/&gt;&lt;wsp:rsid wsp:val=&quot;7AD207C3&quot;/&gt;&lt;wsp:rsid wsp:val=&quot;7B534B92&quot;/&gt;&lt;wsp:rsid wsp:val=&quot;7B664C07&quot;/&gt;&lt;wsp:rsid wsp:val=&quot;7BA274E7&quot;/&gt;&lt;wsp:rsid wsp:val=&quot;7BA975D4&quot;/&gt;&lt;wsp:rsid wsp:val=&quot;7BBD73A6&quot;/&gt;&lt;wsp:rsid wsp:val=&quot;7BCD1D9C&quot;/&gt;&lt;wsp:rsid wsp:val=&quot;7BEF1581&quot;/&gt;&lt;wsp:rsid wsp:val=&quot;7C1049C9&quot;/&gt;&lt;wsp:rsid wsp:val=&quot;7C17313A&quot;/&gt;&lt;wsp:rsid wsp:val=&quot;7C5A20B4&quot;/&gt;&lt;wsp:rsid wsp:val=&quot;7C945FA9&quot;/&gt;&lt;wsp:rsid wsp:val=&quot;7CD603FC&quot;/&gt;&lt;wsp:rsid wsp:val=&quot;7D1A439B&quot;/&gt;&lt;wsp:rsid wsp:val=&quot;7D1A788D&quot;/&gt;&lt;wsp:rsid wsp:val=&quot;7D83567A&quot;/&gt;&lt;wsp:rsid wsp:val=&quot;7D8D57CF&quot;/&gt;&lt;wsp:rsid wsp:val=&quot;7D955548&quot;/&gt;&lt;wsp:rsid wsp:val=&quot;7D996BBB&quot;/&gt;&lt;wsp:rsid wsp:val=&quot;7D9D7130&quot;/&gt;&lt;wsp:rsid wsp:val=&quot;7DA43D6F&quot;/&gt;&lt;wsp:rsid wsp:val=&quot;7DDC7E18&quot;/&gt;&lt;wsp:rsid wsp:val=&quot;7E287490&quot;/&gt;&lt;wsp:rsid wsp:val=&quot;7E4055F7&quot;/&gt;&lt;wsp:rsid wsp:val=&quot;7E6E79C9&quot;/&gt;&lt;wsp:rsid wsp:val=&quot;7E7D5A15&quot;/&gt;&lt;wsp:rsid wsp:val=&quot;7E9919F4&quot;/&gt;&lt;wsp:rsid wsp:val=&quot;7EE20BA5&quot;/&gt;&lt;wsp:rsid wsp:val=&quot;7EE21A8E&quot;/&gt;&lt;wsp:rsid wsp:val=&quot;7EFF63BE&quot;/&gt;&lt;wsp:rsid wsp:val=&quot;7F122845&quot;/&gt;&lt;wsp:rsid wsp:val=&quot;7F1E3054&quot;/&gt;&lt;wsp:rsid wsp:val=&quot;7F374D05&quot;/&gt;&lt;wsp:rsid wsp:val=&quot;7F4767F7&quot;/&gt;&lt;wsp:rsid wsp:val=&quot;7F490F62&quot;/&gt;&lt;wsp:rsid wsp:val=&quot;7F5044D1&quot;/&gt;&lt;wsp:rsid wsp:val=&quot;7F644169&quot;/&gt;&lt;wsp:rsid wsp:val=&quot;7F6F24D2&quot;/&gt;&lt;wsp:rsid wsp:val=&quot;7FA73E60&quot;/&gt;&lt;wsp:rsid wsp:val=&quot;7FC866DA&quot;/&gt;&lt;wsp:rsid wsp:val=&quot;7FE109F3&quot;/&gt;&lt;wsp:rsid wsp:val=&quot;7FE33A33&quot;/&gt;&lt;wsp:rsid wsp:val=&quot;7FE8614A&quot;/&gt;&lt;/wsp:rsids&gt;&lt;/w:docPr&gt;&lt;w:body&gt;&lt;wx:sect&gt;&lt;w:p wsp:rsidR=&quot;00000000&quot; wsp:rsidRDefault=&quot;00235AD1&quot; wsp:rsidP=&quot;00235AD1&quot;&gt;&lt;w:pPr&gt;&lt;w:ind w:first-line=&quot;480&quot;/&gt;&lt;/w:pPr&gt;&lt;m:oMathPara&gt;&lt;m:oMath&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S&lt;/m:t&gt;&lt;/m:r&gt;&lt;/m:e&gt;&lt;m:sub&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lt;/m:t&gt;&lt;/m:r&gt;&lt;m:f&gt;&lt;m:fPr&gt;&lt;m:ctrlPr&gt;&lt;w:rPr&gt;&lt;w:rFonts w:ascii=&quot;Cambria Math&quot; w:h-ansi=&quot;Cambria Math&quot;/&gt;&lt;wx:font wx:val=&quot;Cambria Math&quot;/&gt;&lt;w:i/&gt;&lt;/w:rPr&gt;&lt;/m:ctrlPr&gt;&lt;/m:fPr&gt;&lt;m:num&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j&lt;/m:t&gt;&lt;/m:r&gt;&lt;/m:sub&gt;&lt;/m:sSub&gt;&lt;m:r&gt;&lt;w:rPr&gt;&lt;w:rFonts w:ascii=&quot;Cambria Math&quot; w:h-ansi=&quot;Cambria Math&quot;/&gt;&lt;wx:font wx:val=&quot;Cambria Math&quot;/&gt;&lt;w:i/&gt;&lt;/w:rPr&gt;&lt;m:t&gt;-7.0&lt;/m:t&gt;&lt;/m:r&gt;&lt;/m:num&gt;&lt;m:den&gt;&lt;m:sSub&gt;&lt;m:sSubPr&gt;&lt;m:ctrlPr&gt;&lt;w:rPr&gt;&lt;w:rFonts w:ascii=&quot;Cambria Math&quot; w:h-ansi=&quot;Cambria Math&quot;/&gt;&lt;wx:font wx:val=&quot;Cambria Math&quot;/&gt;&lt;w:i/&gt;&lt;/w:rPr&gt;&lt;/m:ctrlPr&gt;&lt;/m:sSubPr&gt;&lt;m:e&gt;&lt;m:r&gt;&lt;w:rPr&gt;&lt;w:rFonts w:ascii=&quot;Cambria Math&quot; w:h-ansi=&quot;Cambria Math&quot; w:hint=&quot;fareast&quot;/&gt;&lt;wx:font wx:val=&quot;Cambria Math&quot;/&gt;&lt;w:i/&gt;&lt;/w:rPr&gt;&lt;m:t&gt;p&lt;/m:t&gt;&lt;/m:r&gt;&lt;m:r&gt;&lt;w:rPr&gt;&lt;w:rFonts w:ascii=&quot;Cambria Math&quot; w:h-ansi=&quot;Cambria Math&quot;/&gt;&lt;wx:font wx:val=&quot;Cambria Math&quot;/&gt;&lt;w:i/&gt;&lt;/w:rPr&gt;&lt;m:t&gt;H&lt;/m:t&gt;&lt;/m:r&gt;&lt;/m:e&gt;&lt;m:sub&gt;&lt;m:r&gt;&lt;w:rPr&gt;&lt;w:rFonts w:ascii=&quot;Cambria Math&quot; w:h-ansi=&quot;Cambria Math&quot; w:hint=&quot;fareast&quot;/&gt;&lt;wx:font wx:val=&quot;Cambria Math&quot;/&gt;&lt;w:i/&gt;&lt;/w:rPr&gt;&lt;m:t&gt;su&lt;/m:t&gt;&lt;/m:r&gt;&lt;/m:sub&gt;&lt;/m:sSub&gt;&lt;m:r&gt;&lt;w:rPr&gt;&lt;w:rFonts w:ascii=&quot;Cambria Math&quot; w:h-ansi=&quot;Cambria Math&quot;/&gt;&lt;wx:font wx:val=&quot;Cambria Math&quot;/&gt;&lt;w:i/&gt;&lt;/w:rPr&gt;&lt;m:t&gt;-7.0&lt;/m:t&gt;&lt;/m:r&gt;&lt;/m:den&gt;&lt;/m:f&gt;&lt;/m:oMath&gt;&lt;/m:oMathPara&gt;&lt;/w:p&gt;&lt;w:sectPr wsp:rsidR=&quot;00000000&quot;&gt;&lt;w:pgSz w:w=&quot;12240&quot; w:h=&quot;15840&quot;/&gt;&lt;w:pgMar w:top=&quot;1440&quot; w:right=&quot;1800&quot; w:bottom=&quot;1440&quot; w:left=&quot;1800&quot; w:header=&quot;720&quot; w:footer=&quot;720&quot; w:gutter=&quot;0&quot;/&gt;&lt;w:cols w:space=&quot;720&quot;/&gt;&lt;/w:sectPr&gt;&lt;/wx:sect&gt;&lt;/w:body&gt;&lt;/w:wordDocument">
            <v:path/>
            <v:fill on="f" focussize="0,0"/>
            <v:stroke on="f" joinstyle="miter"/>
            <v:imagedata r:id="rId88" chromakey="#FFFFFF" o:title=""/>
            <o:lock v:ext="edit" aspectratio="t"/>
            <w10:wrap type="none"/>
            <w10:anchorlock/>
          </v:shape>
        </w:pict>
      </w:r>
      <w:r>
        <w:rPr>
          <w:color w:val="auto"/>
        </w:rPr>
        <w:fldChar w:fldCharType="end"/>
      </w:r>
      <w:r>
        <w:rPr>
          <w:rFonts w:hint="eastAsia"/>
          <w:color w:val="auto"/>
        </w:rPr>
        <w:t xml:space="preserve"> </w:t>
      </w:r>
      <w:r>
        <w:rPr>
          <w:color w:val="auto"/>
        </w:rPr>
        <w:t xml:space="preserve">    </w:t>
      </w:r>
      <w:r>
        <w:rPr>
          <w:rFonts w:hint="eastAsia"/>
          <w:color w:val="auto"/>
        </w:rPr>
        <w:t>p</w:t>
      </w:r>
      <w:r>
        <w:rPr>
          <w:color w:val="auto"/>
        </w:rPr>
        <w:t>H</w:t>
      </w:r>
      <w:r>
        <w:rPr>
          <w:rFonts w:hint="eastAsia"/>
          <w:color w:val="auto"/>
          <w:vertAlign w:val="subscript"/>
        </w:rPr>
        <w:t>j</w:t>
      </w:r>
      <w:r>
        <w:rPr>
          <w:rFonts w:hint="eastAsia"/>
          <w:color w:val="auto"/>
        </w:rPr>
        <w:t>＞7</w:t>
      </w:r>
      <w:r>
        <w:rPr>
          <w:color w:val="auto"/>
        </w:rPr>
        <w:t>.0</w:t>
      </w:r>
    </w:p>
    <w:p w14:paraId="00AD3D38">
      <w:pPr>
        <w:ind w:firstLine="480"/>
        <w:rPr>
          <w:color w:val="auto"/>
        </w:rPr>
      </w:pPr>
      <w:r>
        <w:rPr>
          <w:rFonts w:hint="eastAsia"/>
          <w:color w:val="auto"/>
        </w:rPr>
        <w:t>式中：</w:t>
      </w:r>
    </w:p>
    <w:p w14:paraId="11123A61">
      <w:pPr>
        <w:ind w:firstLine="480"/>
        <w:rPr>
          <w:color w:val="auto"/>
        </w:rPr>
      </w:pPr>
      <w:r>
        <w:rPr>
          <w:rFonts w:hint="eastAsia"/>
          <w:color w:val="auto"/>
        </w:rPr>
        <w:t>S</w:t>
      </w:r>
      <w:r>
        <w:rPr>
          <w:rFonts w:hint="eastAsia"/>
          <w:color w:val="auto"/>
          <w:vertAlign w:val="subscript"/>
        </w:rPr>
        <w:t>pH,j</w:t>
      </w:r>
      <w:r>
        <w:rPr>
          <w:rFonts w:hint="eastAsia"/>
          <w:color w:val="auto"/>
        </w:rPr>
        <w:t>—pH值的指数，大于1表明该水质因子超标；</w:t>
      </w:r>
    </w:p>
    <w:p w14:paraId="03565517">
      <w:pPr>
        <w:ind w:firstLine="480"/>
        <w:rPr>
          <w:color w:val="auto"/>
        </w:rPr>
      </w:pPr>
      <w:r>
        <w:rPr>
          <w:rFonts w:hint="eastAsia"/>
          <w:color w:val="auto"/>
        </w:rPr>
        <w:t>pH</w:t>
      </w:r>
      <w:r>
        <w:rPr>
          <w:rFonts w:hint="eastAsia"/>
          <w:color w:val="auto"/>
          <w:vertAlign w:val="subscript"/>
        </w:rPr>
        <w:t>j</w:t>
      </w:r>
      <w:r>
        <w:rPr>
          <w:rFonts w:hint="eastAsia"/>
          <w:color w:val="auto"/>
        </w:rPr>
        <w:t>—pH值实测统计代表值；</w:t>
      </w:r>
    </w:p>
    <w:p w14:paraId="220AF4AA">
      <w:pPr>
        <w:ind w:firstLine="480"/>
        <w:rPr>
          <w:color w:val="auto"/>
        </w:rPr>
      </w:pPr>
      <w:r>
        <w:rPr>
          <w:rFonts w:hint="eastAsia"/>
          <w:color w:val="auto"/>
        </w:rPr>
        <w:t>pH</w:t>
      </w:r>
      <w:r>
        <w:rPr>
          <w:rFonts w:hint="eastAsia"/>
          <w:color w:val="auto"/>
          <w:vertAlign w:val="subscript"/>
        </w:rPr>
        <w:t>sd</w:t>
      </w:r>
      <w:r>
        <w:rPr>
          <w:rFonts w:hint="eastAsia"/>
          <w:color w:val="auto"/>
        </w:rPr>
        <w:t>—评价标准中规定的pH值的下限值；</w:t>
      </w:r>
    </w:p>
    <w:p w14:paraId="1958DA6A">
      <w:pPr>
        <w:ind w:firstLine="480"/>
        <w:rPr>
          <w:color w:val="auto"/>
        </w:rPr>
      </w:pPr>
      <w:r>
        <w:rPr>
          <w:rFonts w:hint="eastAsia"/>
          <w:color w:val="auto"/>
        </w:rPr>
        <w:t>pH</w:t>
      </w:r>
      <w:r>
        <w:rPr>
          <w:rFonts w:hint="eastAsia"/>
          <w:color w:val="auto"/>
          <w:vertAlign w:val="subscript"/>
        </w:rPr>
        <w:t>su</w:t>
      </w:r>
      <w:r>
        <w:rPr>
          <w:rFonts w:hint="eastAsia"/>
          <w:color w:val="auto"/>
        </w:rPr>
        <w:t>—评价标准中规定的pH值的上限值。</w:t>
      </w:r>
    </w:p>
    <w:p w14:paraId="00BFDCA1">
      <w:pPr>
        <w:ind w:firstLine="480"/>
        <w:rPr>
          <w:color w:val="auto"/>
        </w:rPr>
      </w:pPr>
      <w:r>
        <w:rPr>
          <w:rFonts w:hint="eastAsia"/>
          <w:color w:val="auto"/>
        </w:rPr>
        <w:t>当标准指数P</w:t>
      </w:r>
      <w:r>
        <w:rPr>
          <w:rFonts w:hint="eastAsia"/>
          <w:color w:val="auto"/>
          <w:vertAlign w:val="subscript"/>
        </w:rPr>
        <w:t>i</w:t>
      </w:r>
      <w:r>
        <w:rPr>
          <w:rFonts w:hint="eastAsia"/>
          <w:color w:val="auto"/>
        </w:rPr>
        <w:t>或S</w:t>
      </w:r>
      <w:r>
        <w:rPr>
          <w:rFonts w:hint="eastAsia"/>
          <w:color w:val="auto"/>
          <w:vertAlign w:val="subscript"/>
        </w:rPr>
        <w:t>pH,j</w:t>
      </w:r>
      <w:r>
        <w:rPr>
          <w:rFonts w:hint="eastAsia"/>
          <w:color w:val="auto"/>
        </w:rPr>
        <w:t>＞1，表明该水质因子已超标，标准指数值越大，超标越严重。</w:t>
      </w:r>
    </w:p>
    <w:p w14:paraId="5B7FCC97">
      <w:pPr>
        <w:pStyle w:val="4"/>
        <w:rPr>
          <w:color w:val="auto"/>
        </w:rPr>
      </w:pPr>
      <w:bookmarkStart w:id="372" w:name="_Toc199190495"/>
      <w:bookmarkStart w:id="373" w:name="_Toc198390603"/>
      <w:bookmarkStart w:id="374" w:name="_Toc199168958"/>
      <w:bookmarkStart w:id="375" w:name="_Toc225216755"/>
      <w:bookmarkStart w:id="376" w:name="_Toc198391256"/>
      <w:r>
        <w:rPr>
          <w:rFonts w:hint="eastAsia"/>
          <w:color w:val="auto"/>
        </w:rPr>
        <w:t>监测结果及评价</w:t>
      </w:r>
      <w:bookmarkEnd w:id="372"/>
      <w:bookmarkEnd w:id="373"/>
      <w:bookmarkEnd w:id="374"/>
      <w:bookmarkEnd w:id="375"/>
      <w:bookmarkEnd w:id="376"/>
    </w:p>
    <w:p w14:paraId="0D37DE21">
      <w:pPr>
        <w:ind w:firstLine="480"/>
        <w:rPr>
          <w:color w:val="auto"/>
        </w:rPr>
      </w:pPr>
      <w:r>
        <w:rPr>
          <w:rFonts w:hint="eastAsia"/>
          <w:color w:val="auto"/>
        </w:rPr>
        <w:t>地下水水位监测结果见下表。</w:t>
      </w:r>
    </w:p>
    <w:p w14:paraId="33515428">
      <w:pPr>
        <w:pStyle w:val="7"/>
        <w:numPr>
          <w:ilvl w:val="5"/>
          <w:numId w:val="1"/>
        </w:numPr>
        <w:rPr>
          <w:color w:val="auto"/>
        </w:rPr>
      </w:pPr>
      <w:r>
        <w:rPr>
          <w:color w:val="auto"/>
        </w:rPr>
        <w:t>地下水水位监测结果</w:t>
      </w:r>
      <w:r>
        <w:rPr>
          <w:rFonts w:hint="eastAsia"/>
          <w:color w:val="auto"/>
        </w:rPr>
        <w:t>（2026年1月）</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1"/>
        <w:gridCol w:w="1437"/>
        <w:gridCol w:w="1436"/>
        <w:gridCol w:w="1281"/>
        <w:gridCol w:w="1283"/>
        <w:gridCol w:w="1284"/>
        <w:gridCol w:w="1284"/>
      </w:tblGrid>
      <w:tr w14:paraId="7B4EC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521656E6">
            <w:pPr>
              <w:pStyle w:val="33"/>
              <w:rPr>
                <w:color w:val="auto"/>
              </w:rPr>
            </w:pPr>
            <w:r>
              <w:rPr>
                <w:color w:val="auto"/>
              </w:rPr>
              <w:t>名称</w:t>
            </w:r>
          </w:p>
        </w:tc>
        <w:tc>
          <w:tcPr>
            <w:tcW w:w="774" w:type="pct"/>
            <w:noWrap/>
            <w:vAlign w:val="center"/>
          </w:tcPr>
          <w:p w14:paraId="3E10A3A0">
            <w:pPr>
              <w:pStyle w:val="33"/>
              <w:rPr>
                <w:color w:val="auto"/>
              </w:rPr>
            </w:pPr>
            <w:r>
              <w:rPr>
                <w:color w:val="auto"/>
              </w:rPr>
              <w:t>横坐标Y(米)</w:t>
            </w:r>
          </w:p>
        </w:tc>
        <w:tc>
          <w:tcPr>
            <w:tcW w:w="773" w:type="pct"/>
            <w:noWrap/>
            <w:vAlign w:val="center"/>
          </w:tcPr>
          <w:p w14:paraId="1F620473">
            <w:pPr>
              <w:pStyle w:val="33"/>
              <w:rPr>
                <w:color w:val="auto"/>
              </w:rPr>
            </w:pPr>
            <w:r>
              <w:rPr>
                <w:color w:val="auto"/>
              </w:rPr>
              <w:t>纵坐标X(米)</w:t>
            </w:r>
          </w:p>
        </w:tc>
        <w:tc>
          <w:tcPr>
            <w:tcW w:w="690" w:type="pct"/>
            <w:noWrap/>
            <w:vAlign w:val="center"/>
          </w:tcPr>
          <w:p w14:paraId="0E5162A8">
            <w:pPr>
              <w:pStyle w:val="33"/>
              <w:rPr>
                <w:color w:val="auto"/>
              </w:rPr>
            </w:pPr>
            <w:r>
              <w:rPr>
                <w:color w:val="auto"/>
              </w:rPr>
              <w:t>地面高程</w:t>
            </w:r>
          </w:p>
        </w:tc>
        <w:tc>
          <w:tcPr>
            <w:tcW w:w="691" w:type="pct"/>
            <w:noWrap/>
            <w:vAlign w:val="center"/>
          </w:tcPr>
          <w:p w14:paraId="63428751">
            <w:pPr>
              <w:pStyle w:val="33"/>
              <w:rPr>
                <w:color w:val="auto"/>
              </w:rPr>
            </w:pPr>
            <w:r>
              <w:rPr>
                <w:color w:val="auto"/>
              </w:rPr>
              <w:t>水位埋深</w:t>
            </w:r>
          </w:p>
        </w:tc>
        <w:tc>
          <w:tcPr>
            <w:tcW w:w="691" w:type="pct"/>
            <w:noWrap/>
            <w:vAlign w:val="center"/>
          </w:tcPr>
          <w:p w14:paraId="0A4E28CA">
            <w:pPr>
              <w:pStyle w:val="33"/>
              <w:rPr>
                <w:color w:val="auto"/>
              </w:rPr>
            </w:pPr>
            <w:r>
              <w:rPr>
                <w:color w:val="auto"/>
              </w:rPr>
              <w:t>水位标高</w:t>
            </w:r>
          </w:p>
        </w:tc>
        <w:tc>
          <w:tcPr>
            <w:tcW w:w="691" w:type="pct"/>
          </w:tcPr>
          <w:p w14:paraId="737F723F">
            <w:pPr>
              <w:pStyle w:val="33"/>
              <w:rPr>
                <w:color w:val="auto"/>
              </w:rPr>
            </w:pPr>
            <w:r>
              <w:rPr>
                <w:rFonts w:hint="eastAsia"/>
                <w:color w:val="auto"/>
              </w:rPr>
              <w:t>地下水类型</w:t>
            </w:r>
          </w:p>
        </w:tc>
      </w:tr>
      <w:tr w14:paraId="680E8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17947D02">
            <w:pPr>
              <w:pStyle w:val="33"/>
              <w:rPr>
                <w:color w:val="auto"/>
              </w:rPr>
            </w:pPr>
            <w:r>
              <w:rPr>
                <w:color w:val="auto"/>
              </w:rPr>
              <w:t>U1</w:t>
            </w:r>
          </w:p>
        </w:tc>
        <w:tc>
          <w:tcPr>
            <w:tcW w:w="774" w:type="pct"/>
            <w:noWrap/>
            <w:vAlign w:val="center"/>
          </w:tcPr>
          <w:p w14:paraId="368C684E">
            <w:pPr>
              <w:pStyle w:val="33"/>
              <w:rPr>
                <w:color w:val="auto"/>
              </w:rPr>
            </w:pPr>
          </w:p>
        </w:tc>
        <w:tc>
          <w:tcPr>
            <w:tcW w:w="773" w:type="pct"/>
            <w:noWrap/>
            <w:vAlign w:val="center"/>
          </w:tcPr>
          <w:p w14:paraId="438A431D">
            <w:pPr>
              <w:pStyle w:val="33"/>
              <w:rPr>
                <w:color w:val="auto"/>
              </w:rPr>
            </w:pPr>
          </w:p>
        </w:tc>
        <w:tc>
          <w:tcPr>
            <w:tcW w:w="690" w:type="pct"/>
            <w:noWrap/>
            <w:vAlign w:val="center"/>
          </w:tcPr>
          <w:p w14:paraId="2A3D9404">
            <w:pPr>
              <w:pStyle w:val="33"/>
              <w:rPr>
                <w:color w:val="auto"/>
              </w:rPr>
            </w:pPr>
          </w:p>
        </w:tc>
        <w:tc>
          <w:tcPr>
            <w:tcW w:w="691" w:type="pct"/>
            <w:noWrap/>
            <w:vAlign w:val="center"/>
          </w:tcPr>
          <w:p w14:paraId="1764272F">
            <w:pPr>
              <w:pStyle w:val="33"/>
              <w:rPr>
                <w:color w:val="auto"/>
              </w:rPr>
            </w:pPr>
          </w:p>
        </w:tc>
        <w:tc>
          <w:tcPr>
            <w:tcW w:w="691" w:type="pct"/>
            <w:noWrap/>
            <w:vAlign w:val="center"/>
          </w:tcPr>
          <w:p w14:paraId="784005B8">
            <w:pPr>
              <w:pStyle w:val="33"/>
              <w:rPr>
                <w:color w:val="auto"/>
              </w:rPr>
            </w:pPr>
          </w:p>
        </w:tc>
        <w:tc>
          <w:tcPr>
            <w:tcW w:w="691" w:type="pct"/>
            <w:vMerge w:val="restart"/>
            <w:vAlign w:val="center"/>
          </w:tcPr>
          <w:p w14:paraId="4B286745">
            <w:pPr>
              <w:pStyle w:val="33"/>
              <w:rPr>
                <w:color w:val="auto"/>
              </w:rPr>
            </w:pPr>
            <w:r>
              <w:rPr>
                <w:rFonts w:hint="eastAsia"/>
                <w:color w:val="auto"/>
              </w:rPr>
              <w:t>碎屑岩裂隙孔隙水（潜水含水层）</w:t>
            </w:r>
          </w:p>
        </w:tc>
      </w:tr>
      <w:tr w14:paraId="14677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11357F57">
            <w:pPr>
              <w:pStyle w:val="33"/>
              <w:rPr>
                <w:color w:val="auto"/>
              </w:rPr>
            </w:pPr>
            <w:r>
              <w:rPr>
                <w:color w:val="auto"/>
              </w:rPr>
              <w:t>U2</w:t>
            </w:r>
          </w:p>
        </w:tc>
        <w:tc>
          <w:tcPr>
            <w:tcW w:w="774" w:type="pct"/>
            <w:noWrap/>
            <w:vAlign w:val="center"/>
          </w:tcPr>
          <w:p w14:paraId="4C62DC56">
            <w:pPr>
              <w:pStyle w:val="33"/>
              <w:rPr>
                <w:color w:val="auto"/>
              </w:rPr>
            </w:pPr>
          </w:p>
        </w:tc>
        <w:tc>
          <w:tcPr>
            <w:tcW w:w="773" w:type="pct"/>
            <w:noWrap/>
            <w:vAlign w:val="center"/>
          </w:tcPr>
          <w:p w14:paraId="07AB9DC5">
            <w:pPr>
              <w:pStyle w:val="33"/>
              <w:rPr>
                <w:color w:val="auto"/>
              </w:rPr>
            </w:pPr>
          </w:p>
        </w:tc>
        <w:tc>
          <w:tcPr>
            <w:tcW w:w="690" w:type="pct"/>
            <w:noWrap/>
            <w:vAlign w:val="center"/>
          </w:tcPr>
          <w:p w14:paraId="5DD04FD4">
            <w:pPr>
              <w:pStyle w:val="33"/>
              <w:rPr>
                <w:color w:val="auto"/>
              </w:rPr>
            </w:pPr>
          </w:p>
        </w:tc>
        <w:tc>
          <w:tcPr>
            <w:tcW w:w="691" w:type="pct"/>
            <w:noWrap/>
            <w:vAlign w:val="center"/>
          </w:tcPr>
          <w:p w14:paraId="1B9359E0">
            <w:pPr>
              <w:pStyle w:val="33"/>
              <w:rPr>
                <w:color w:val="auto"/>
              </w:rPr>
            </w:pPr>
          </w:p>
        </w:tc>
        <w:tc>
          <w:tcPr>
            <w:tcW w:w="691" w:type="pct"/>
            <w:noWrap/>
            <w:vAlign w:val="center"/>
          </w:tcPr>
          <w:p w14:paraId="7EEBA264">
            <w:pPr>
              <w:pStyle w:val="33"/>
              <w:rPr>
                <w:color w:val="auto"/>
              </w:rPr>
            </w:pPr>
          </w:p>
        </w:tc>
        <w:tc>
          <w:tcPr>
            <w:tcW w:w="691" w:type="pct"/>
            <w:vMerge w:val="continue"/>
          </w:tcPr>
          <w:p w14:paraId="30C1C320">
            <w:pPr>
              <w:pStyle w:val="33"/>
              <w:rPr>
                <w:color w:val="auto"/>
              </w:rPr>
            </w:pPr>
          </w:p>
        </w:tc>
      </w:tr>
      <w:tr w14:paraId="0F29C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5FA343F9">
            <w:pPr>
              <w:pStyle w:val="33"/>
              <w:rPr>
                <w:color w:val="auto"/>
              </w:rPr>
            </w:pPr>
            <w:r>
              <w:rPr>
                <w:color w:val="auto"/>
              </w:rPr>
              <w:t>U3</w:t>
            </w:r>
          </w:p>
        </w:tc>
        <w:tc>
          <w:tcPr>
            <w:tcW w:w="774" w:type="pct"/>
            <w:noWrap/>
            <w:vAlign w:val="center"/>
          </w:tcPr>
          <w:p w14:paraId="157387BE">
            <w:pPr>
              <w:pStyle w:val="33"/>
              <w:rPr>
                <w:color w:val="auto"/>
              </w:rPr>
            </w:pPr>
          </w:p>
        </w:tc>
        <w:tc>
          <w:tcPr>
            <w:tcW w:w="773" w:type="pct"/>
            <w:noWrap/>
            <w:vAlign w:val="center"/>
          </w:tcPr>
          <w:p w14:paraId="0C2B472A">
            <w:pPr>
              <w:pStyle w:val="33"/>
              <w:rPr>
                <w:color w:val="auto"/>
              </w:rPr>
            </w:pPr>
          </w:p>
        </w:tc>
        <w:tc>
          <w:tcPr>
            <w:tcW w:w="690" w:type="pct"/>
            <w:noWrap/>
            <w:vAlign w:val="center"/>
          </w:tcPr>
          <w:p w14:paraId="7355C024">
            <w:pPr>
              <w:pStyle w:val="33"/>
              <w:rPr>
                <w:color w:val="auto"/>
              </w:rPr>
            </w:pPr>
          </w:p>
        </w:tc>
        <w:tc>
          <w:tcPr>
            <w:tcW w:w="691" w:type="pct"/>
            <w:noWrap/>
            <w:vAlign w:val="center"/>
          </w:tcPr>
          <w:p w14:paraId="3BB91386">
            <w:pPr>
              <w:pStyle w:val="33"/>
              <w:rPr>
                <w:color w:val="auto"/>
              </w:rPr>
            </w:pPr>
          </w:p>
        </w:tc>
        <w:tc>
          <w:tcPr>
            <w:tcW w:w="691" w:type="pct"/>
            <w:noWrap/>
            <w:vAlign w:val="center"/>
          </w:tcPr>
          <w:p w14:paraId="462ECBA1">
            <w:pPr>
              <w:pStyle w:val="33"/>
              <w:rPr>
                <w:color w:val="auto"/>
              </w:rPr>
            </w:pPr>
          </w:p>
        </w:tc>
        <w:tc>
          <w:tcPr>
            <w:tcW w:w="691" w:type="pct"/>
            <w:vMerge w:val="continue"/>
          </w:tcPr>
          <w:p w14:paraId="0C46B210">
            <w:pPr>
              <w:pStyle w:val="33"/>
              <w:rPr>
                <w:color w:val="auto"/>
              </w:rPr>
            </w:pPr>
          </w:p>
        </w:tc>
      </w:tr>
      <w:tr w14:paraId="3E071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512CF46F">
            <w:pPr>
              <w:pStyle w:val="33"/>
              <w:rPr>
                <w:color w:val="auto"/>
              </w:rPr>
            </w:pPr>
            <w:r>
              <w:rPr>
                <w:color w:val="auto"/>
              </w:rPr>
              <w:t>U4</w:t>
            </w:r>
          </w:p>
        </w:tc>
        <w:tc>
          <w:tcPr>
            <w:tcW w:w="774" w:type="pct"/>
            <w:noWrap/>
            <w:vAlign w:val="center"/>
          </w:tcPr>
          <w:p w14:paraId="44AA1693">
            <w:pPr>
              <w:pStyle w:val="33"/>
              <w:rPr>
                <w:color w:val="auto"/>
              </w:rPr>
            </w:pPr>
          </w:p>
        </w:tc>
        <w:tc>
          <w:tcPr>
            <w:tcW w:w="773" w:type="pct"/>
            <w:noWrap/>
            <w:vAlign w:val="center"/>
          </w:tcPr>
          <w:p w14:paraId="4C30CD7C">
            <w:pPr>
              <w:pStyle w:val="33"/>
              <w:rPr>
                <w:color w:val="auto"/>
              </w:rPr>
            </w:pPr>
          </w:p>
        </w:tc>
        <w:tc>
          <w:tcPr>
            <w:tcW w:w="690" w:type="pct"/>
            <w:noWrap/>
            <w:vAlign w:val="center"/>
          </w:tcPr>
          <w:p w14:paraId="0747DDD9">
            <w:pPr>
              <w:pStyle w:val="33"/>
              <w:rPr>
                <w:color w:val="auto"/>
              </w:rPr>
            </w:pPr>
          </w:p>
        </w:tc>
        <w:tc>
          <w:tcPr>
            <w:tcW w:w="691" w:type="pct"/>
            <w:noWrap/>
            <w:vAlign w:val="center"/>
          </w:tcPr>
          <w:p w14:paraId="6B169277">
            <w:pPr>
              <w:pStyle w:val="33"/>
              <w:rPr>
                <w:color w:val="auto"/>
              </w:rPr>
            </w:pPr>
          </w:p>
        </w:tc>
        <w:tc>
          <w:tcPr>
            <w:tcW w:w="691" w:type="pct"/>
            <w:noWrap/>
            <w:vAlign w:val="center"/>
          </w:tcPr>
          <w:p w14:paraId="5BFDC7C1">
            <w:pPr>
              <w:pStyle w:val="33"/>
              <w:rPr>
                <w:color w:val="auto"/>
              </w:rPr>
            </w:pPr>
          </w:p>
        </w:tc>
        <w:tc>
          <w:tcPr>
            <w:tcW w:w="691" w:type="pct"/>
            <w:vMerge w:val="continue"/>
          </w:tcPr>
          <w:p w14:paraId="31E51FF0">
            <w:pPr>
              <w:pStyle w:val="33"/>
              <w:rPr>
                <w:color w:val="auto"/>
              </w:rPr>
            </w:pPr>
          </w:p>
        </w:tc>
      </w:tr>
      <w:tr w14:paraId="563C3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3141BA96">
            <w:pPr>
              <w:pStyle w:val="33"/>
              <w:rPr>
                <w:color w:val="auto"/>
              </w:rPr>
            </w:pPr>
            <w:r>
              <w:rPr>
                <w:color w:val="auto"/>
              </w:rPr>
              <w:t>U5</w:t>
            </w:r>
          </w:p>
        </w:tc>
        <w:tc>
          <w:tcPr>
            <w:tcW w:w="774" w:type="pct"/>
            <w:noWrap/>
            <w:vAlign w:val="center"/>
          </w:tcPr>
          <w:p w14:paraId="419FD8EB">
            <w:pPr>
              <w:pStyle w:val="33"/>
              <w:rPr>
                <w:color w:val="auto"/>
              </w:rPr>
            </w:pPr>
          </w:p>
        </w:tc>
        <w:tc>
          <w:tcPr>
            <w:tcW w:w="773" w:type="pct"/>
            <w:noWrap/>
            <w:vAlign w:val="center"/>
          </w:tcPr>
          <w:p w14:paraId="2C5193B4">
            <w:pPr>
              <w:pStyle w:val="33"/>
              <w:rPr>
                <w:color w:val="auto"/>
              </w:rPr>
            </w:pPr>
          </w:p>
        </w:tc>
        <w:tc>
          <w:tcPr>
            <w:tcW w:w="690" w:type="pct"/>
            <w:noWrap/>
            <w:vAlign w:val="center"/>
          </w:tcPr>
          <w:p w14:paraId="509C1C2F">
            <w:pPr>
              <w:pStyle w:val="33"/>
              <w:rPr>
                <w:color w:val="auto"/>
              </w:rPr>
            </w:pPr>
          </w:p>
        </w:tc>
        <w:tc>
          <w:tcPr>
            <w:tcW w:w="691" w:type="pct"/>
            <w:noWrap/>
            <w:vAlign w:val="center"/>
          </w:tcPr>
          <w:p w14:paraId="0FF20EF8">
            <w:pPr>
              <w:pStyle w:val="33"/>
              <w:rPr>
                <w:color w:val="auto"/>
              </w:rPr>
            </w:pPr>
          </w:p>
        </w:tc>
        <w:tc>
          <w:tcPr>
            <w:tcW w:w="691" w:type="pct"/>
            <w:noWrap/>
            <w:vAlign w:val="center"/>
          </w:tcPr>
          <w:p w14:paraId="5434F60B">
            <w:pPr>
              <w:pStyle w:val="33"/>
              <w:rPr>
                <w:color w:val="auto"/>
              </w:rPr>
            </w:pPr>
          </w:p>
        </w:tc>
        <w:tc>
          <w:tcPr>
            <w:tcW w:w="691" w:type="pct"/>
            <w:vMerge w:val="continue"/>
          </w:tcPr>
          <w:p w14:paraId="0ECFD572">
            <w:pPr>
              <w:pStyle w:val="33"/>
              <w:rPr>
                <w:color w:val="auto"/>
              </w:rPr>
            </w:pPr>
          </w:p>
        </w:tc>
      </w:tr>
      <w:tr w14:paraId="3A80F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5FAC6424">
            <w:pPr>
              <w:pStyle w:val="33"/>
              <w:rPr>
                <w:color w:val="auto"/>
              </w:rPr>
            </w:pPr>
            <w:r>
              <w:rPr>
                <w:color w:val="auto"/>
              </w:rPr>
              <w:t>U6</w:t>
            </w:r>
          </w:p>
        </w:tc>
        <w:tc>
          <w:tcPr>
            <w:tcW w:w="774" w:type="pct"/>
            <w:noWrap/>
            <w:vAlign w:val="center"/>
          </w:tcPr>
          <w:p w14:paraId="738AAA11">
            <w:pPr>
              <w:pStyle w:val="33"/>
              <w:rPr>
                <w:color w:val="auto"/>
              </w:rPr>
            </w:pPr>
          </w:p>
        </w:tc>
        <w:tc>
          <w:tcPr>
            <w:tcW w:w="773" w:type="pct"/>
            <w:noWrap/>
            <w:vAlign w:val="center"/>
          </w:tcPr>
          <w:p w14:paraId="29AB4B15">
            <w:pPr>
              <w:pStyle w:val="33"/>
              <w:rPr>
                <w:color w:val="auto"/>
              </w:rPr>
            </w:pPr>
          </w:p>
        </w:tc>
        <w:tc>
          <w:tcPr>
            <w:tcW w:w="690" w:type="pct"/>
            <w:noWrap/>
            <w:vAlign w:val="center"/>
          </w:tcPr>
          <w:p w14:paraId="2B6C36AD">
            <w:pPr>
              <w:pStyle w:val="33"/>
              <w:rPr>
                <w:color w:val="auto"/>
              </w:rPr>
            </w:pPr>
          </w:p>
        </w:tc>
        <w:tc>
          <w:tcPr>
            <w:tcW w:w="691" w:type="pct"/>
            <w:noWrap/>
            <w:vAlign w:val="center"/>
          </w:tcPr>
          <w:p w14:paraId="717A60B6">
            <w:pPr>
              <w:pStyle w:val="33"/>
              <w:rPr>
                <w:color w:val="auto"/>
              </w:rPr>
            </w:pPr>
          </w:p>
        </w:tc>
        <w:tc>
          <w:tcPr>
            <w:tcW w:w="691" w:type="pct"/>
            <w:noWrap/>
            <w:vAlign w:val="center"/>
          </w:tcPr>
          <w:p w14:paraId="7EDD2C76">
            <w:pPr>
              <w:pStyle w:val="33"/>
              <w:rPr>
                <w:color w:val="auto"/>
              </w:rPr>
            </w:pPr>
          </w:p>
        </w:tc>
        <w:tc>
          <w:tcPr>
            <w:tcW w:w="691" w:type="pct"/>
            <w:vMerge w:val="continue"/>
          </w:tcPr>
          <w:p w14:paraId="05FF9EEF">
            <w:pPr>
              <w:pStyle w:val="33"/>
              <w:rPr>
                <w:color w:val="auto"/>
              </w:rPr>
            </w:pPr>
          </w:p>
        </w:tc>
      </w:tr>
      <w:tr w14:paraId="7033C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00C00598">
            <w:pPr>
              <w:pStyle w:val="33"/>
              <w:rPr>
                <w:color w:val="auto"/>
              </w:rPr>
            </w:pPr>
            <w:r>
              <w:rPr>
                <w:color w:val="auto"/>
              </w:rPr>
              <w:t>U7</w:t>
            </w:r>
          </w:p>
        </w:tc>
        <w:tc>
          <w:tcPr>
            <w:tcW w:w="774" w:type="pct"/>
            <w:noWrap/>
            <w:vAlign w:val="center"/>
          </w:tcPr>
          <w:p w14:paraId="61A34BFE">
            <w:pPr>
              <w:pStyle w:val="33"/>
              <w:rPr>
                <w:color w:val="auto"/>
              </w:rPr>
            </w:pPr>
          </w:p>
        </w:tc>
        <w:tc>
          <w:tcPr>
            <w:tcW w:w="773" w:type="pct"/>
            <w:noWrap/>
            <w:vAlign w:val="center"/>
          </w:tcPr>
          <w:p w14:paraId="50A73CD2">
            <w:pPr>
              <w:pStyle w:val="33"/>
              <w:rPr>
                <w:color w:val="auto"/>
              </w:rPr>
            </w:pPr>
          </w:p>
        </w:tc>
        <w:tc>
          <w:tcPr>
            <w:tcW w:w="690" w:type="pct"/>
            <w:noWrap/>
            <w:vAlign w:val="center"/>
          </w:tcPr>
          <w:p w14:paraId="3AD518A9">
            <w:pPr>
              <w:pStyle w:val="33"/>
              <w:rPr>
                <w:color w:val="auto"/>
              </w:rPr>
            </w:pPr>
          </w:p>
        </w:tc>
        <w:tc>
          <w:tcPr>
            <w:tcW w:w="691" w:type="pct"/>
            <w:noWrap/>
            <w:vAlign w:val="center"/>
          </w:tcPr>
          <w:p w14:paraId="1C1FD31A">
            <w:pPr>
              <w:pStyle w:val="33"/>
              <w:rPr>
                <w:color w:val="auto"/>
              </w:rPr>
            </w:pPr>
          </w:p>
        </w:tc>
        <w:tc>
          <w:tcPr>
            <w:tcW w:w="691" w:type="pct"/>
            <w:noWrap/>
            <w:vAlign w:val="center"/>
          </w:tcPr>
          <w:p w14:paraId="0BF25FC5">
            <w:pPr>
              <w:pStyle w:val="33"/>
              <w:rPr>
                <w:color w:val="auto"/>
              </w:rPr>
            </w:pPr>
          </w:p>
        </w:tc>
        <w:tc>
          <w:tcPr>
            <w:tcW w:w="691" w:type="pct"/>
            <w:vMerge w:val="continue"/>
          </w:tcPr>
          <w:p w14:paraId="6C50BB71">
            <w:pPr>
              <w:pStyle w:val="33"/>
              <w:rPr>
                <w:color w:val="auto"/>
              </w:rPr>
            </w:pPr>
          </w:p>
        </w:tc>
      </w:tr>
      <w:tr w14:paraId="10811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0D0E018A">
            <w:pPr>
              <w:pStyle w:val="33"/>
              <w:rPr>
                <w:color w:val="auto"/>
              </w:rPr>
            </w:pPr>
            <w:r>
              <w:rPr>
                <w:color w:val="auto"/>
              </w:rPr>
              <w:t>U8</w:t>
            </w:r>
          </w:p>
        </w:tc>
        <w:tc>
          <w:tcPr>
            <w:tcW w:w="774" w:type="pct"/>
            <w:noWrap/>
            <w:vAlign w:val="center"/>
          </w:tcPr>
          <w:p w14:paraId="6D5DBE02">
            <w:pPr>
              <w:pStyle w:val="33"/>
              <w:rPr>
                <w:color w:val="auto"/>
              </w:rPr>
            </w:pPr>
          </w:p>
        </w:tc>
        <w:tc>
          <w:tcPr>
            <w:tcW w:w="773" w:type="pct"/>
            <w:noWrap/>
            <w:vAlign w:val="center"/>
          </w:tcPr>
          <w:p w14:paraId="404F3961">
            <w:pPr>
              <w:pStyle w:val="33"/>
              <w:rPr>
                <w:color w:val="auto"/>
              </w:rPr>
            </w:pPr>
          </w:p>
        </w:tc>
        <w:tc>
          <w:tcPr>
            <w:tcW w:w="690" w:type="pct"/>
            <w:noWrap/>
            <w:vAlign w:val="center"/>
          </w:tcPr>
          <w:p w14:paraId="3A591262">
            <w:pPr>
              <w:pStyle w:val="33"/>
              <w:rPr>
                <w:color w:val="auto"/>
              </w:rPr>
            </w:pPr>
          </w:p>
        </w:tc>
        <w:tc>
          <w:tcPr>
            <w:tcW w:w="691" w:type="pct"/>
            <w:noWrap/>
            <w:vAlign w:val="center"/>
          </w:tcPr>
          <w:p w14:paraId="062312C5">
            <w:pPr>
              <w:pStyle w:val="33"/>
              <w:rPr>
                <w:color w:val="auto"/>
              </w:rPr>
            </w:pPr>
          </w:p>
        </w:tc>
        <w:tc>
          <w:tcPr>
            <w:tcW w:w="691" w:type="pct"/>
            <w:noWrap/>
            <w:vAlign w:val="center"/>
          </w:tcPr>
          <w:p w14:paraId="0A93C8E4">
            <w:pPr>
              <w:pStyle w:val="33"/>
              <w:rPr>
                <w:color w:val="auto"/>
              </w:rPr>
            </w:pPr>
          </w:p>
        </w:tc>
        <w:tc>
          <w:tcPr>
            <w:tcW w:w="691" w:type="pct"/>
            <w:vMerge w:val="continue"/>
          </w:tcPr>
          <w:p w14:paraId="628E8494">
            <w:pPr>
              <w:pStyle w:val="33"/>
              <w:rPr>
                <w:color w:val="auto"/>
              </w:rPr>
            </w:pPr>
          </w:p>
        </w:tc>
      </w:tr>
      <w:tr w14:paraId="1291B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42C212A2">
            <w:pPr>
              <w:pStyle w:val="33"/>
              <w:rPr>
                <w:color w:val="auto"/>
              </w:rPr>
            </w:pPr>
            <w:r>
              <w:rPr>
                <w:color w:val="auto"/>
              </w:rPr>
              <w:t>U9</w:t>
            </w:r>
          </w:p>
        </w:tc>
        <w:tc>
          <w:tcPr>
            <w:tcW w:w="774" w:type="pct"/>
            <w:noWrap/>
            <w:vAlign w:val="center"/>
          </w:tcPr>
          <w:p w14:paraId="2A519676">
            <w:pPr>
              <w:pStyle w:val="33"/>
              <w:rPr>
                <w:color w:val="auto"/>
              </w:rPr>
            </w:pPr>
          </w:p>
        </w:tc>
        <w:tc>
          <w:tcPr>
            <w:tcW w:w="773" w:type="pct"/>
            <w:noWrap/>
            <w:vAlign w:val="center"/>
          </w:tcPr>
          <w:p w14:paraId="1705FCE5">
            <w:pPr>
              <w:pStyle w:val="33"/>
              <w:rPr>
                <w:color w:val="auto"/>
              </w:rPr>
            </w:pPr>
          </w:p>
        </w:tc>
        <w:tc>
          <w:tcPr>
            <w:tcW w:w="690" w:type="pct"/>
            <w:noWrap/>
            <w:vAlign w:val="center"/>
          </w:tcPr>
          <w:p w14:paraId="5BC3905E">
            <w:pPr>
              <w:pStyle w:val="33"/>
              <w:rPr>
                <w:color w:val="auto"/>
              </w:rPr>
            </w:pPr>
          </w:p>
        </w:tc>
        <w:tc>
          <w:tcPr>
            <w:tcW w:w="691" w:type="pct"/>
            <w:noWrap/>
            <w:vAlign w:val="center"/>
          </w:tcPr>
          <w:p w14:paraId="7886424F">
            <w:pPr>
              <w:pStyle w:val="33"/>
              <w:rPr>
                <w:color w:val="auto"/>
              </w:rPr>
            </w:pPr>
          </w:p>
        </w:tc>
        <w:tc>
          <w:tcPr>
            <w:tcW w:w="691" w:type="pct"/>
            <w:noWrap/>
            <w:vAlign w:val="center"/>
          </w:tcPr>
          <w:p w14:paraId="51AABA92">
            <w:pPr>
              <w:pStyle w:val="33"/>
              <w:rPr>
                <w:color w:val="auto"/>
              </w:rPr>
            </w:pPr>
          </w:p>
        </w:tc>
        <w:tc>
          <w:tcPr>
            <w:tcW w:w="691" w:type="pct"/>
            <w:vMerge w:val="continue"/>
          </w:tcPr>
          <w:p w14:paraId="1DC46635">
            <w:pPr>
              <w:pStyle w:val="33"/>
              <w:rPr>
                <w:color w:val="auto"/>
              </w:rPr>
            </w:pPr>
          </w:p>
        </w:tc>
      </w:tr>
      <w:tr w14:paraId="3D08F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7B8DD593">
            <w:pPr>
              <w:pStyle w:val="33"/>
              <w:rPr>
                <w:color w:val="auto"/>
              </w:rPr>
            </w:pPr>
            <w:r>
              <w:rPr>
                <w:color w:val="auto"/>
              </w:rPr>
              <w:t>U10</w:t>
            </w:r>
          </w:p>
        </w:tc>
        <w:tc>
          <w:tcPr>
            <w:tcW w:w="774" w:type="pct"/>
            <w:noWrap/>
            <w:vAlign w:val="center"/>
          </w:tcPr>
          <w:p w14:paraId="0B476889">
            <w:pPr>
              <w:pStyle w:val="33"/>
              <w:rPr>
                <w:color w:val="auto"/>
              </w:rPr>
            </w:pPr>
          </w:p>
        </w:tc>
        <w:tc>
          <w:tcPr>
            <w:tcW w:w="773" w:type="pct"/>
            <w:noWrap/>
            <w:vAlign w:val="center"/>
          </w:tcPr>
          <w:p w14:paraId="4D81F442">
            <w:pPr>
              <w:pStyle w:val="33"/>
              <w:rPr>
                <w:color w:val="auto"/>
              </w:rPr>
            </w:pPr>
          </w:p>
        </w:tc>
        <w:tc>
          <w:tcPr>
            <w:tcW w:w="690" w:type="pct"/>
            <w:noWrap/>
            <w:vAlign w:val="center"/>
          </w:tcPr>
          <w:p w14:paraId="0D84736D">
            <w:pPr>
              <w:pStyle w:val="33"/>
              <w:rPr>
                <w:color w:val="auto"/>
              </w:rPr>
            </w:pPr>
          </w:p>
        </w:tc>
        <w:tc>
          <w:tcPr>
            <w:tcW w:w="691" w:type="pct"/>
            <w:noWrap/>
            <w:vAlign w:val="center"/>
          </w:tcPr>
          <w:p w14:paraId="2D4CE235">
            <w:pPr>
              <w:pStyle w:val="33"/>
              <w:rPr>
                <w:color w:val="auto"/>
              </w:rPr>
            </w:pPr>
          </w:p>
        </w:tc>
        <w:tc>
          <w:tcPr>
            <w:tcW w:w="691" w:type="pct"/>
            <w:noWrap/>
            <w:vAlign w:val="center"/>
          </w:tcPr>
          <w:p w14:paraId="798EDB46">
            <w:pPr>
              <w:pStyle w:val="33"/>
              <w:rPr>
                <w:color w:val="auto"/>
              </w:rPr>
            </w:pPr>
          </w:p>
        </w:tc>
        <w:tc>
          <w:tcPr>
            <w:tcW w:w="691" w:type="pct"/>
            <w:vMerge w:val="continue"/>
          </w:tcPr>
          <w:p w14:paraId="787F0C54">
            <w:pPr>
              <w:pStyle w:val="33"/>
              <w:rPr>
                <w:color w:val="auto"/>
              </w:rPr>
            </w:pPr>
          </w:p>
        </w:tc>
      </w:tr>
      <w:tr w14:paraId="5E1B1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1BB04A74">
            <w:pPr>
              <w:pStyle w:val="33"/>
              <w:rPr>
                <w:color w:val="auto"/>
              </w:rPr>
            </w:pPr>
            <w:r>
              <w:rPr>
                <w:color w:val="auto"/>
              </w:rPr>
              <w:t>U11</w:t>
            </w:r>
          </w:p>
        </w:tc>
        <w:tc>
          <w:tcPr>
            <w:tcW w:w="774" w:type="pct"/>
            <w:noWrap/>
            <w:vAlign w:val="center"/>
          </w:tcPr>
          <w:p w14:paraId="552513B7">
            <w:pPr>
              <w:pStyle w:val="33"/>
              <w:rPr>
                <w:color w:val="auto"/>
              </w:rPr>
            </w:pPr>
          </w:p>
        </w:tc>
        <w:tc>
          <w:tcPr>
            <w:tcW w:w="773" w:type="pct"/>
            <w:noWrap/>
            <w:vAlign w:val="center"/>
          </w:tcPr>
          <w:p w14:paraId="0A722994">
            <w:pPr>
              <w:pStyle w:val="33"/>
              <w:rPr>
                <w:color w:val="auto"/>
              </w:rPr>
            </w:pPr>
          </w:p>
        </w:tc>
        <w:tc>
          <w:tcPr>
            <w:tcW w:w="690" w:type="pct"/>
            <w:noWrap/>
            <w:vAlign w:val="center"/>
          </w:tcPr>
          <w:p w14:paraId="58B1BAED">
            <w:pPr>
              <w:pStyle w:val="33"/>
              <w:rPr>
                <w:color w:val="auto"/>
              </w:rPr>
            </w:pPr>
          </w:p>
        </w:tc>
        <w:tc>
          <w:tcPr>
            <w:tcW w:w="691" w:type="pct"/>
            <w:noWrap/>
            <w:vAlign w:val="center"/>
          </w:tcPr>
          <w:p w14:paraId="355CFDB9">
            <w:pPr>
              <w:pStyle w:val="33"/>
              <w:rPr>
                <w:color w:val="auto"/>
              </w:rPr>
            </w:pPr>
          </w:p>
        </w:tc>
        <w:tc>
          <w:tcPr>
            <w:tcW w:w="691" w:type="pct"/>
            <w:noWrap/>
            <w:vAlign w:val="center"/>
          </w:tcPr>
          <w:p w14:paraId="4B7E8410">
            <w:pPr>
              <w:pStyle w:val="33"/>
              <w:rPr>
                <w:color w:val="auto"/>
              </w:rPr>
            </w:pPr>
          </w:p>
        </w:tc>
        <w:tc>
          <w:tcPr>
            <w:tcW w:w="691" w:type="pct"/>
            <w:vMerge w:val="continue"/>
          </w:tcPr>
          <w:p w14:paraId="4F9D3C31">
            <w:pPr>
              <w:pStyle w:val="33"/>
              <w:rPr>
                <w:color w:val="auto"/>
              </w:rPr>
            </w:pPr>
          </w:p>
        </w:tc>
      </w:tr>
      <w:tr w14:paraId="00D9C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4F588D88">
            <w:pPr>
              <w:pStyle w:val="33"/>
              <w:rPr>
                <w:color w:val="auto"/>
              </w:rPr>
            </w:pPr>
            <w:r>
              <w:rPr>
                <w:color w:val="auto"/>
              </w:rPr>
              <w:t>U12</w:t>
            </w:r>
          </w:p>
        </w:tc>
        <w:tc>
          <w:tcPr>
            <w:tcW w:w="774" w:type="pct"/>
            <w:noWrap/>
            <w:vAlign w:val="center"/>
          </w:tcPr>
          <w:p w14:paraId="133A6CFB">
            <w:pPr>
              <w:pStyle w:val="33"/>
              <w:rPr>
                <w:color w:val="auto"/>
              </w:rPr>
            </w:pPr>
          </w:p>
        </w:tc>
        <w:tc>
          <w:tcPr>
            <w:tcW w:w="773" w:type="pct"/>
            <w:noWrap/>
            <w:vAlign w:val="center"/>
          </w:tcPr>
          <w:p w14:paraId="4373931A">
            <w:pPr>
              <w:pStyle w:val="33"/>
              <w:rPr>
                <w:color w:val="auto"/>
              </w:rPr>
            </w:pPr>
          </w:p>
        </w:tc>
        <w:tc>
          <w:tcPr>
            <w:tcW w:w="690" w:type="pct"/>
            <w:noWrap/>
            <w:vAlign w:val="center"/>
          </w:tcPr>
          <w:p w14:paraId="43DF35F2">
            <w:pPr>
              <w:pStyle w:val="33"/>
              <w:rPr>
                <w:color w:val="auto"/>
              </w:rPr>
            </w:pPr>
          </w:p>
        </w:tc>
        <w:tc>
          <w:tcPr>
            <w:tcW w:w="691" w:type="pct"/>
            <w:noWrap/>
            <w:vAlign w:val="center"/>
          </w:tcPr>
          <w:p w14:paraId="65255529">
            <w:pPr>
              <w:pStyle w:val="33"/>
              <w:rPr>
                <w:color w:val="auto"/>
              </w:rPr>
            </w:pPr>
          </w:p>
        </w:tc>
        <w:tc>
          <w:tcPr>
            <w:tcW w:w="691" w:type="pct"/>
            <w:noWrap/>
            <w:vAlign w:val="center"/>
          </w:tcPr>
          <w:p w14:paraId="6440F456">
            <w:pPr>
              <w:pStyle w:val="33"/>
              <w:rPr>
                <w:color w:val="auto"/>
              </w:rPr>
            </w:pPr>
          </w:p>
        </w:tc>
        <w:tc>
          <w:tcPr>
            <w:tcW w:w="691" w:type="pct"/>
            <w:vMerge w:val="continue"/>
          </w:tcPr>
          <w:p w14:paraId="2AEA7D68">
            <w:pPr>
              <w:pStyle w:val="33"/>
              <w:rPr>
                <w:color w:val="auto"/>
              </w:rPr>
            </w:pPr>
          </w:p>
        </w:tc>
      </w:tr>
      <w:tr w14:paraId="2C851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3D2AA209">
            <w:pPr>
              <w:pStyle w:val="33"/>
              <w:rPr>
                <w:color w:val="auto"/>
              </w:rPr>
            </w:pPr>
            <w:r>
              <w:rPr>
                <w:color w:val="auto"/>
              </w:rPr>
              <w:t>U13</w:t>
            </w:r>
          </w:p>
        </w:tc>
        <w:tc>
          <w:tcPr>
            <w:tcW w:w="774" w:type="pct"/>
            <w:noWrap/>
            <w:vAlign w:val="center"/>
          </w:tcPr>
          <w:p w14:paraId="2796F5A9">
            <w:pPr>
              <w:pStyle w:val="33"/>
              <w:rPr>
                <w:color w:val="auto"/>
              </w:rPr>
            </w:pPr>
          </w:p>
        </w:tc>
        <w:tc>
          <w:tcPr>
            <w:tcW w:w="773" w:type="pct"/>
            <w:noWrap/>
            <w:vAlign w:val="center"/>
          </w:tcPr>
          <w:p w14:paraId="655B10C9">
            <w:pPr>
              <w:pStyle w:val="33"/>
              <w:rPr>
                <w:color w:val="auto"/>
              </w:rPr>
            </w:pPr>
          </w:p>
        </w:tc>
        <w:tc>
          <w:tcPr>
            <w:tcW w:w="690" w:type="pct"/>
            <w:noWrap/>
            <w:vAlign w:val="center"/>
          </w:tcPr>
          <w:p w14:paraId="719FD84B">
            <w:pPr>
              <w:pStyle w:val="33"/>
              <w:rPr>
                <w:color w:val="auto"/>
              </w:rPr>
            </w:pPr>
          </w:p>
        </w:tc>
        <w:tc>
          <w:tcPr>
            <w:tcW w:w="691" w:type="pct"/>
            <w:noWrap/>
            <w:vAlign w:val="center"/>
          </w:tcPr>
          <w:p w14:paraId="1C3996F5">
            <w:pPr>
              <w:pStyle w:val="33"/>
              <w:rPr>
                <w:color w:val="auto"/>
              </w:rPr>
            </w:pPr>
          </w:p>
        </w:tc>
        <w:tc>
          <w:tcPr>
            <w:tcW w:w="691" w:type="pct"/>
            <w:noWrap/>
            <w:vAlign w:val="center"/>
          </w:tcPr>
          <w:p w14:paraId="6860E315">
            <w:pPr>
              <w:pStyle w:val="33"/>
              <w:rPr>
                <w:color w:val="auto"/>
              </w:rPr>
            </w:pPr>
          </w:p>
        </w:tc>
        <w:tc>
          <w:tcPr>
            <w:tcW w:w="691" w:type="pct"/>
            <w:vMerge w:val="continue"/>
          </w:tcPr>
          <w:p w14:paraId="67F491AA">
            <w:pPr>
              <w:pStyle w:val="33"/>
              <w:rPr>
                <w:color w:val="auto"/>
              </w:rPr>
            </w:pPr>
          </w:p>
        </w:tc>
      </w:tr>
      <w:tr w14:paraId="18A65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099C4F68">
            <w:pPr>
              <w:pStyle w:val="33"/>
              <w:rPr>
                <w:color w:val="auto"/>
              </w:rPr>
            </w:pPr>
            <w:r>
              <w:rPr>
                <w:color w:val="auto"/>
              </w:rPr>
              <w:t>U14</w:t>
            </w:r>
          </w:p>
        </w:tc>
        <w:tc>
          <w:tcPr>
            <w:tcW w:w="774" w:type="pct"/>
            <w:noWrap/>
            <w:vAlign w:val="center"/>
          </w:tcPr>
          <w:p w14:paraId="4C9F058C">
            <w:pPr>
              <w:pStyle w:val="33"/>
              <w:rPr>
                <w:color w:val="auto"/>
              </w:rPr>
            </w:pPr>
          </w:p>
        </w:tc>
        <w:tc>
          <w:tcPr>
            <w:tcW w:w="773" w:type="pct"/>
            <w:noWrap/>
            <w:vAlign w:val="center"/>
          </w:tcPr>
          <w:p w14:paraId="0BA4B19E">
            <w:pPr>
              <w:pStyle w:val="33"/>
              <w:rPr>
                <w:color w:val="auto"/>
              </w:rPr>
            </w:pPr>
          </w:p>
        </w:tc>
        <w:tc>
          <w:tcPr>
            <w:tcW w:w="690" w:type="pct"/>
            <w:noWrap/>
            <w:vAlign w:val="center"/>
          </w:tcPr>
          <w:p w14:paraId="483EA123">
            <w:pPr>
              <w:pStyle w:val="33"/>
              <w:rPr>
                <w:color w:val="auto"/>
              </w:rPr>
            </w:pPr>
          </w:p>
        </w:tc>
        <w:tc>
          <w:tcPr>
            <w:tcW w:w="691" w:type="pct"/>
            <w:noWrap/>
            <w:vAlign w:val="center"/>
          </w:tcPr>
          <w:p w14:paraId="25B89209">
            <w:pPr>
              <w:pStyle w:val="33"/>
              <w:rPr>
                <w:color w:val="auto"/>
              </w:rPr>
            </w:pPr>
          </w:p>
        </w:tc>
        <w:tc>
          <w:tcPr>
            <w:tcW w:w="691" w:type="pct"/>
            <w:noWrap/>
            <w:vAlign w:val="center"/>
          </w:tcPr>
          <w:p w14:paraId="34C72056">
            <w:pPr>
              <w:pStyle w:val="33"/>
              <w:rPr>
                <w:color w:val="auto"/>
              </w:rPr>
            </w:pPr>
          </w:p>
        </w:tc>
        <w:tc>
          <w:tcPr>
            <w:tcW w:w="691" w:type="pct"/>
            <w:vMerge w:val="continue"/>
          </w:tcPr>
          <w:p w14:paraId="56305E81">
            <w:pPr>
              <w:pStyle w:val="33"/>
              <w:rPr>
                <w:color w:val="auto"/>
              </w:rPr>
            </w:pPr>
          </w:p>
        </w:tc>
      </w:tr>
      <w:tr w14:paraId="20F76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690" w:type="pct"/>
            <w:noWrap/>
            <w:vAlign w:val="center"/>
          </w:tcPr>
          <w:p w14:paraId="416AFF49">
            <w:pPr>
              <w:pStyle w:val="33"/>
              <w:rPr>
                <w:color w:val="auto"/>
              </w:rPr>
            </w:pPr>
            <w:r>
              <w:rPr>
                <w:color w:val="auto"/>
              </w:rPr>
              <w:t>U15</w:t>
            </w:r>
          </w:p>
        </w:tc>
        <w:tc>
          <w:tcPr>
            <w:tcW w:w="774" w:type="pct"/>
            <w:noWrap/>
            <w:vAlign w:val="center"/>
          </w:tcPr>
          <w:p w14:paraId="40D068DD">
            <w:pPr>
              <w:pStyle w:val="33"/>
              <w:rPr>
                <w:color w:val="auto"/>
              </w:rPr>
            </w:pPr>
          </w:p>
        </w:tc>
        <w:tc>
          <w:tcPr>
            <w:tcW w:w="773" w:type="pct"/>
            <w:noWrap/>
            <w:vAlign w:val="center"/>
          </w:tcPr>
          <w:p w14:paraId="1653BBDB">
            <w:pPr>
              <w:pStyle w:val="33"/>
              <w:rPr>
                <w:color w:val="auto"/>
              </w:rPr>
            </w:pPr>
          </w:p>
        </w:tc>
        <w:tc>
          <w:tcPr>
            <w:tcW w:w="690" w:type="pct"/>
            <w:noWrap/>
            <w:vAlign w:val="center"/>
          </w:tcPr>
          <w:p w14:paraId="255A84AC">
            <w:pPr>
              <w:pStyle w:val="33"/>
              <w:rPr>
                <w:color w:val="auto"/>
              </w:rPr>
            </w:pPr>
          </w:p>
        </w:tc>
        <w:tc>
          <w:tcPr>
            <w:tcW w:w="691" w:type="pct"/>
            <w:noWrap/>
            <w:vAlign w:val="center"/>
          </w:tcPr>
          <w:p w14:paraId="1CA0723C">
            <w:pPr>
              <w:pStyle w:val="33"/>
              <w:rPr>
                <w:color w:val="auto"/>
              </w:rPr>
            </w:pPr>
          </w:p>
        </w:tc>
        <w:tc>
          <w:tcPr>
            <w:tcW w:w="691" w:type="pct"/>
            <w:noWrap/>
            <w:vAlign w:val="center"/>
          </w:tcPr>
          <w:p w14:paraId="524B20AB">
            <w:pPr>
              <w:pStyle w:val="33"/>
              <w:rPr>
                <w:color w:val="auto"/>
              </w:rPr>
            </w:pPr>
          </w:p>
        </w:tc>
        <w:tc>
          <w:tcPr>
            <w:tcW w:w="691" w:type="pct"/>
            <w:vMerge w:val="continue"/>
          </w:tcPr>
          <w:p w14:paraId="273114CB">
            <w:pPr>
              <w:pStyle w:val="33"/>
              <w:rPr>
                <w:color w:val="auto"/>
              </w:rPr>
            </w:pPr>
          </w:p>
        </w:tc>
      </w:tr>
    </w:tbl>
    <w:p w14:paraId="1A5AEB1E">
      <w:pPr>
        <w:ind w:firstLine="480"/>
        <w:rPr>
          <w:color w:val="auto"/>
        </w:rPr>
      </w:pPr>
    </w:p>
    <w:p w14:paraId="75CD5639">
      <w:pPr>
        <w:ind w:firstLine="480"/>
        <w:rPr>
          <w:color w:val="auto"/>
        </w:rPr>
      </w:pPr>
      <w:r>
        <w:rPr>
          <w:rFonts w:hint="eastAsia"/>
          <w:color w:val="auto"/>
        </w:rPr>
        <w:t>本项目地下水水质监测结果见下表。</w:t>
      </w:r>
      <w:bookmarkStart w:id="377" w:name="_Ref184719047"/>
    </w:p>
    <w:p w14:paraId="6171B487">
      <w:pPr>
        <w:pStyle w:val="7"/>
        <w:rPr>
          <w:color w:val="auto"/>
        </w:rPr>
      </w:pPr>
      <w:r>
        <w:rPr>
          <w:rFonts w:hint="eastAsia"/>
          <w:color w:val="auto"/>
        </w:rPr>
        <w:t xml:space="preserve">地下水水质监测结果统计表 </w:t>
      </w:r>
      <w:r>
        <w:rPr>
          <w:color w:val="auto"/>
        </w:rPr>
        <w:t xml:space="preserve"> </w:t>
      </w:r>
      <w:r>
        <w:rPr>
          <w:rFonts w:hint="eastAsia"/>
          <w:color w:val="auto"/>
        </w:rPr>
        <w:t>单位：</w:t>
      </w:r>
      <w:r>
        <w:rPr>
          <w:color w:val="auto"/>
        </w:rPr>
        <w:t>mg/L（pH无量纲）</w:t>
      </w:r>
      <w:bookmarkEnd w:id="377"/>
    </w:p>
    <w:tbl>
      <w:tblPr>
        <w:tblStyle w:val="26"/>
        <w:tblW w:w="5000" w:type="pct"/>
        <w:tblInd w:w="0" w:type="dxa"/>
        <w:tblLayout w:type="autofit"/>
        <w:tblCellMar>
          <w:top w:w="0" w:type="dxa"/>
          <w:left w:w="0" w:type="dxa"/>
          <w:bottom w:w="0" w:type="dxa"/>
          <w:right w:w="0" w:type="dxa"/>
        </w:tblCellMar>
      </w:tblPr>
      <w:tblGrid>
        <w:gridCol w:w="1308"/>
        <w:gridCol w:w="1400"/>
        <w:gridCol w:w="1062"/>
        <w:gridCol w:w="1062"/>
        <w:gridCol w:w="1062"/>
        <w:gridCol w:w="1062"/>
        <w:gridCol w:w="1062"/>
        <w:gridCol w:w="1062"/>
      </w:tblGrid>
      <w:tr w14:paraId="5F1B3EDC">
        <w:tblPrEx>
          <w:tblCellMar>
            <w:top w:w="0" w:type="dxa"/>
            <w:left w:w="0" w:type="dxa"/>
            <w:bottom w:w="0" w:type="dxa"/>
            <w:right w:w="0" w:type="dxa"/>
          </w:tblCellMar>
        </w:tblPrEx>
        <w:trPr>
          <w:trHeight w:val="20" w:hRule="atLeast"/>
        </w:trPr>
        <w:tc>
          <w:tcPr>
            <w:tcW w:w="1491" w:type="pct"/>
            <w:gridSpan w:val="2"/>
            <w:tcBorders>
              <w:top w:val="single" w:color="auto" w:sz="4" w:space="0"/>
              <w:left w:val="single" w:color="auto" w:sz="4" w:space="0"/>
              <w:bottom w:val="single" w:color="auto" w:sz="4" w:space="0"/>
              <w:right w:val="single" w:color="auto" w:sz="4" w:space="0"/>
              <w:tl2br w:val="single" w:color="auto" w:sz="4" w:space="0"/>
            </w:tcBorders>
            <w:vAlign w:val="center"/>
          </w:tcPr>
          <w:p w14:paraId="62278791">
            <w:pPr>
              <w:pStyle w:val="33"/>
              <w:rPr>
                <w:color w:val="auto"/>
              </w:rPr>
            </w:pPr>
            <w:r>
              <w:rPr>
                <w:color w:val="auto"/>
              </w:rPr>
              <w:t xml:space="preserve">           监测点位</w:t>
            </w:r>
          </w:p>
          <w:p w14:paraId="2188AE6D">
            <w:pPr>
              <w:pStyle w:val="33"/>
              <w:rPr>
                <w:color w:val="auto"/>
              </w:rPr>
            </w:pPr>
            <w:r>
              <w:rPr>
                <w:color w:val="auto"/>
              </w:rPr>
              <w:t>监测因子</w:t>
            </w:r>
          </w:p>
        </w:tc>
        <w:tc>
          <w:tcPr>
            <w:tcW w:w="585" w:type="pct"/>
            <w:tcBorders>
              <w:top w:val="single" w:color="auto" w:sz="4" w:space="0"/>
              <w:left w:val="single" w:color="auto" w:sz="4" w:space="0"/>
              <w:bottom w:val="single" w:color="auto" w:sz="4" w:space="0"/>
              <w:right w:val="single" w:color="auto" w:sz="4" w:space="0"/>
            </w:tcBorders>
            <w:noWrap/>
            <w:vAlign w:val="center"/>
          </w:tcPr>
          <w:p w14:paraId="139862E4">
            <w:pPr>
              <w:pStyle w:val="33"/>
              <w:rPr>
                <w:color w:val="auto"/>
              </w:rPr>
            </w:pPr>
            <w:r>
              <w:rPr>
                <w:color w:val="auto"/>
              </w:rPr>
              <w:t>U1</w:t>
            </w:r>
          </w:p>
        </w:tc>
        <w:tc>
          <w:tcPr>
            <w:tcW w:w="585" w:type="pct"/>
            <w:tcBorders>
              <w:top w:val="single" w:color="auto" w:sz="4" w:space="0"/>
              <w:left w:val="single" w:color="auto" w:sz="4" w:space="0"/>
              <w:bottom w:val="single" w:color="auto" w:sz="4" w:space="0"/>
              <w:right w:val="single" w:color="auto" w:sz="4" w:space="0"/>
            </w:tcBorders>
            <w:noWrap/>
            <w:vAlign w:val="center"/>
          </w:tcPr>
          <w:p w14:paraId="58168FC1">
            <w:pPr>
              <w:pStyle w:val="33"/>
              <w:rPr>
                <w:color w:val="auto"/>
              </w:rPr>
            </w:pPr>
            <w:r>
              <w:rPr>
                <w:color w:val="auto"/>
              </w:rPr>
              <w:t>U2</w:t>
            </w:r>
          </w:p>
        </w:tc>
        <w:tc>
          <w:tcPr>
            <w:tcW w:w="585" w:type="pct"/>
            <w:tcBorders>
              <w:top w:val="single" w:color="auto" w:sz="4" w:space="0"/>
              <w:left w:val="single" w:color="auto" w:sz="4" w:space="0"/>
              <w:bottom w:val="single" w:color="auto" w:sz="4" w:space="0"/>
              <w:right w:val="single" w:color="auto" w:sz="4" w:space="0"/>
            </w:tcBorders>
            <w:noWrap/>
            <w:vAlign w:val="center"/>
          </w:tcPr>
          <w:p w14:paraId="7495D187">
            <w:pPr>
              <w:pStyle w:val="33"/>
              <w:rPr>
                <w:color w:val="auto"/>
              </w:rPr>
            </w:pPr>
            <w:r>
              <w:rPr>
                <w:color w:val="auto"/>
              </w:rPr>
              <w:t>U3</w:t>
            </w:r>
          </w:p>
        </w:tc>
        <w:tc>
          <w:tcPr>
            <w:tcW w:w="585" w:type="pct"/>
            <w:tcBorders>
              <w:top w:val="single" w:color="auto" w:sz="4" w:space="0"/>
              <w:left w:val="single" w:color="auto" w:sz="4" w:space="0"/>
              <w:bottom w:val="single" w:color="auto" w:sz="4" w:space="0"/>
              <w:right w:val="single" w:color="auto" w:sz="4" w:space="0"/>
            </w:tcBorders>
            <w:noWrap/>
            <w:vAlign w:val="center"/>
          </w:tcPr>
          <w:p w14:paraId="32940FE5">
            <w:pPr>
              <w:pStyle w:val="33"/>
              <w:rPr>
                <w:color w:val="auto"/>
              </w:rPr>
            </w:pPr>
            <w:r>
              <w:rPr>
                <w:rFonts w:eastAsia="等线"/>
                <w:color w:val="auto"/>
              </w:rPr>
              <w:t>U4</w:t>
            </w:r>
          </w:p>
        </w:tc>
        <w:tc>
          <w:tcPr>
            <w:tcW w:w="585" w:type="pct"/>
            <w:tcBorders>
              <w:top w:val="single" w:color="auto" w:sz="4" w:space="0"/>
              <w:left w:val="single" w:color="auto" w:sz="4" w:space="0"/>
              <w:bottom w:val="single" w:color="auto" w:sz="4" w:space="0"/>
              <w:right w:val="single" w:color="auto" w:sz="4" w:space="0"/>
            </w:tcBorders>
            <w:noWrap/>
            <w:vAlign w:val="center"/>
          </w:tcPr>
          <w:p w14:paraId="753294BD">
            <w:pPr>
              <w:pStyle w:val="33"/>
              <w:rPr>
                <w:color w:val="auto"/>
              </w:rPr>
            </w:pPr>
            <w:r>
              <w:rPr>
                <w:rFonts w:eastAsia="等线"/>
                <w:color w:val="auto"/>
              </w:rPr>
              <w:t>U5</w:t>
            </w:r>
          </w:p>
        </w:tc>
        <w:tc>
          <w:tcPr>
            <w:tcW w:w="584" w:type="pct"/>
            <w:tcBorders>
              <w:top w:val="single" w:color="auto" w:sz="4" w:space="0"/>
              <w:left w:val="single" w:color="auto" w:sz="4" w:space="0"/>
              <w:bottom w:val="single" w:color="auto" w:sz="4" w:space="0"/>
              <w:right w:val="single" w:color="auto" w:sz="4" w:space="0"/>
            </w:tcBorders>
            <w:noWrap/>
            <w:vAlign w:val="center"/>
          </w:tcPr>
          <w:p w14:paraId="3080FA9E">
            <w:pPr>
              <w:pStyle w:val="33"/>
              <w:rPr>
                <w:color w:val="auto"/>
              </w:rPr>
            </w:pPr>
            <w:r>
              <w:rPr>
                <w:rFonts w:eastAsia="等线"/>
                <w:color w:val="auto"/>
              </w:rPr>
              <w:t>U6</w:t>
            </w:r>
          </w:p>
        </w:tc>
      </w:tr>
      <w:tr w14:paraId="6C3BCF7C">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3347785B">
            <w:pPr>
              <w:pStyle w:val="33"/>
              <w:rPr>
                <w:color w:val="auto"/>
              </w:rPr>
            </w:pPr>
            <w:r>
              <w:rPr>
                <w:rFonts w:eastAsia="等线"/>
                <w:color w:val="auto"/>
              </w:rPr>
              <w:t>K</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57E10D41">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6FC65A6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87929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105F7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A2BF8B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3F0F75E">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E4EB328">
            <w:pPr>
              <w:pStyle w:val="33"/>
              <w:rPr>
                <w:color w:val="auto"/>
              </w:rPr>
            </w:pPr>
          </w:p>
        </w:tc>
      </w:tr>
      <w:tr w14:paraId="3F69D320">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4D93AC9A">
            <w:pPr>
              <w:pStyle w:val="33"/>
              <w:rPr>
                <w:color w:val="auto"/>
              </w:rPr>
            </w:pPr>
            <w:r>
              <w:rPr>
                <w:rFonts w:eastAsia="等线"/>
                <w:color w:val="auto"/>
              </w:rPr>
              <w:t>Na</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355160CB">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DFB253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6CF5DC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C4EBC3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39696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3192351">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66C9A56">
            <w:pPr>
              <w:pStyle w:val="33"/>
              <w:rPr>
                <w:color w:val="auto"/>
              </w:rPr>
            </w:pPr>
          </w:p>
        </w:tc>
      </w:tr>
      <w:tr w14:paraId="1713F456">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59D5432C">
            <w:pPr>
              <w:pStyle w:val="33"/>
              <w:rPr>
                <w:color w:val="auto"/>
              </w:rPr>
            </w:pPr>
            <w:r>
              <w:rPr>
                <w:rFonts w:eastAsia="等线"/>
                <w:color w:val="auto"/>
              </w:rPr>
              <w:t>Ca</w:t>
            </w:r>
            <w:r>
              <w:rPr>
                <w:rFonts w:eastAsia="等线"/>
                <w:color w:val="auto"/>
                <w:vertAlign w:val="superscript"/>
              </w:rPr>
              <w:t>2+</w:t>
            </w:r>
          </w:p>
        </w:tc>
        <w:tc>
          <w:tcPr>
            <w:tcW w:w="771" w:type="pct"/>
            <w:tcBorders>
              <w:top w:val="single" w:color="auto" w:sz="4" w:space="0"/>
              <w:left w:val="single" w:color="auto" w:sz="4" w:space="0"/>
              <w:bottom w:val="single" w:color="auto" w:sz="4" w:space="0"/>
              <w:right w:val="single" w:color="auto" w:sz="4" w:space="0"/>
            </w:tcBorders>
            <w:noWrap/>
            <w:vAlign w:val="center"/>
          </w:tcPr>
          <w:p w14:paraId="657ED2F0">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4D6F26D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C32D8C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5B34B1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A54BAC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F8E1CB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9F069B3">
            <w:pPr>
              <w:pStyle w:val="33"/>
              <w:rPr>
                <w:color w:val="auto"/>
              </w:rPr>
            </w:pPr>
          </w:p>
        </w:tc>
      </w:tr>
      <w:tr w14:paraId="02755CDD">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739147E7">
            <w:pPr>
              <w:pStyle w:val="33"/>
              <w:rPr>
                <w:color w:val="auto"/>
              </w:rPr>
            </w:pPr>
            <w:r>
              <w:rPr>
                <w:rFonts w:eastAsia="等线"/>
                <w:color w:val="auto"/>
              </w:rPr>
              <w:t>Mg</w:t>
            </w:r>
            <w:r>
              <w:rPr>
                <w:rFonts w:eastAsia="等线"/>
                <w:color w:val="auto"/>
                <w:vertAlign w:val="superscript"/>
              </w:rPr>
              <w:t>2+</w:t>
            </w:r>
          </w:p>
        </w:tc>
        <w:tc>
          <w:tcPr>
            <w:tcW w:w="771" w:type="pct"/>
            <w:tcBorders>
              <w:top w:val="single" w:color="auto" w:sz="4" w:space="0"/>
              <w:left w:val="single" w:color="auto" w:sz="4" w:space="0"/>
              <w:bottom w:val="single" w:color="auto" w:sz="4" w:space="0"/>
              <w:right w:val="single" w:color="auto" w:sz="4" w:space="0"/>
            </w:tcBorders>
            <w:noWrap/>
            <w:vAlign w:val="center"/>
          </w:tcPr>
          <w:p w14:paraId="27805FC2">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2E64C4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808049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6A62BA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FE5284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547866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3FD2B5C">
            <w:pPr>
              <w:pStyle w:val="33"/>
              <w:rPr>
                <w:color w:val="auto"/>
              </w:rPr>
            </w:pPr>
          </w:p>
        </w:tc>
      </w:tr>
      <w:tr w14:paraId="3BBCEB31">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6B784819">
            <w:pPr>
              <w:pStyle w:val="33"/>
              <w:rPr>
                <w:color w:val="auto"/>
              </w:rPr>
            </w:pPr>
            <w:r>
              <w:rPr>
                <w:color w:val="auto"/>
              </w:rPr>
              <w:t>碳酸盐</w:t>
            </w:r>
          </w:p>
        </w:tc>
        <w:tc>
          <w:tcPr>
            <w:tcW w:w="771" w:type="pct"/>
            <w:tcBorders>
              <w:top w:val="single" w:color="auto" w:sz="4" w:space="0"/>
              <w:left w:val="single" w:color="auto" w:sz="4" w:space="0"/>
              <w:bottom w:val="single" w:color="auto" w:sz="4" w:space="0"/>
              <w:right w:val="single" w:color="auto" w:sz="4" w:space="0"/>
            </w:tcBorders>
            <w:noWrap/>
            <w:vAlign w:val="center"/>
          </w:tcPr>
          <w:p w14:paraId="0072E1AC">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52482DF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6185C8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FA3BA9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3AB24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1D67C8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C7410FF">
            <w:pPr>
              <w:pStyle w:val="33"/>
              <w:rPr>
                <w:color w:val="auto"/>
              </w:rPr>
            </w:pPr>
          </w:p>
        </w:tc>
      </w:tr>
      <w:tr w14:paraId="48C1BCBD">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599787A6">
            <w:pPr>
              <w:pStyle w:val="33"/>
              <w:rPr>
                <w:color w:val="auto"/>
              </w:rPr>
            </w:pPr>
            <w:r>
              <w:rPr>
                <w:color w:val="auto"/>
              </w:rPr>
              <w:t>重碳酸盐</w:t>
            </w:r>
          </w:p>
        </w:tc>
        <w:tc>
          <w:tcPr>
            <w:tcW w:w="771" w:type="pct"/>
            <w:tcBorders>
              <w:top w:val="single" w:color="auto" w:sz="4" w:space="0"/>
              <w:left w:val="single" w:color="auto" w:sz="4" w:space="0"/>
              <w:bottom w:val="single" w:color="auto" w:sz="4" w:space="0"/>
              <w:right w:val="single" w:color="auto" w:sz="4" w:space="0"/>
            </w:tcBorders>
            <w:noWrap/>
            <w:vAlign w:val="center"/>
          </w:tcPr>
          <w:p w14:paraId="253BC4C5">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0F88EC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89967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B5E6C4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06DFB8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6572204">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7C0C13B">
            <w:pPr>
              <w:pStyle w:val="33"/>
              <w:rPr>
                <w:color w:val="auto"/>
              </w:rPr>
            </w:pPr>
          </w:p>
        </w:tc>
      </w:tr>
      <w:tr w14:paraId="1E014C19">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4B72835D">
            <w:pPr>
              <w:pStyle w:val="33"/>
              <w:rPr>
                <w:color w:val="auto"/>
              </w:rPr>
            </w:pPr>
            <w:r>
              <w:rPr>
                <w:rFonts w:eastAsia="等线"/>
                <w:color w:val="auto"/>
              </w:rPr>
              <w:t>Cl</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0326656C">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730DA3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D47038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85E42B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331E15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B9D7F7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42F19E6">
            <w:pPr>
              <w:pStyle w:val="33"/>
              <w:rPr>
                <w:color w:val="auto"/>
              </w:rPr>
            </w:pPr>
          </w:p>
        </w:tc>
      </w:tr>
      <w:tr w14:paraId="2E52F120">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32D10FC2">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956538E">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1FD02C6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443FA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54A305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A2DA1E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3A8A6A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80F4EE7">
            <w:pPr>
              <w:pStyle w:val="33"/>
              <w:rPr>
                <w:color w:val="auto"/>
              </w:rPr>
            </w:pPr>
          </w:p>
        </w:tc>
      </w:tr>
      <w:tr w14:paraId="6ECEFCCB">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3EF9201B">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76519096">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3224B01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4846E3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86457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523091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C20C00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F738C01">
            <w:pPr>
              <w:pStyle w:val="33"/>
              <w:rPr>
                <w:color w:val="auto"/>
              </w:rPr>
            </w:pPr>
          </w:p>
        </w:tc>
      </w:tr>
      <w:tr w14:paraId="06A6D9CC">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15C4F04F">
            <w:pPr>
              <w:pStyle w:val="33"/>
              <w:rPr>
                <w:color w:val="auto"/>
              </w:rPr>
            </w:pPr>
            <w:r>
              <w:rPr>
                <w:rFonts w:eastAsia="等线"/>
                <w:color w:val="auto"/>
              </w:rPr>
              <w:t>SO</w:t>
            </w:r>
            <w:r>
              <w:rPr>
                <w:rFonts w:eastAsia="等线"/>
                <w:color w:val="auto"/>
                <w:vertAlign w:val="subscript"/>
              </w:rPr>
              <w:t>4</w:t>
            </w:r>
            <w:r>
              <w:rPr>
                <w:rFonts w:eastAsia="等线"/>
                <w:color w:val="auto"/>
                <w:vertAlign w:val="superscript"/>
              </w:rPr>
              <w:t>2-</w:t>
            </w:r>
          </w:p>
        </w:tc>
        <w:tc>
          <w:tcPr>
            <w:tcW w:w="771" w:type="pct"/>
            <w:tcBorders>
              <w:top w:val="single" w:color="auto" w:sz="4" w:space="0"/>
              <w:left w:val="single" w:color="auto" w:sz="4" w:space="0"/>
              <w:bottom w:val="single" w:color="auto" w:sz="4" w:space="0"/>
              <w:right w:val="single" w:color="auto" w:sz="4" w:space="0"/>
            </w:tcBorders>
            <w:noWrap/>
            <w:vAlign w:val="center"/>
          </w:tcPr>
          <w:p w14:paraId="3F43C437">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25CB50B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3E3608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4FC01A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2D823E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8E56222">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2F25B56">
            <w:pPr>
              <w:pStyle w:val="33"/>
              <w:rPr>
                <w:color w:val="auto"/>
              </w:rPr>
            </w:pPr>
          </w:p>
        </w:tc>
      </w:tr>
      <w:tr w14:paraId="1DCEEE36">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49FE1BA2">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476FC5B">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53BBF51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CB7535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006245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6AC62A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E50E2ED">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01E8487">
            <w:pPr>
              <w:pStyle w:val="33"/>
              <w:rPr>
                <w:color w:val="auto"/>
              </w:rPr>
            </w:pPr>
          </w:p>
        </w:tc>
      </w:tr>
      <w:tr w14:paraId="2FAA5927">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269545D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47A41F3E">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7E4F6FD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881FDD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DF41B9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8D42F3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F23973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36CCABB">
            <w:pPr>
              <w:pStyle w:val="33"/>
              <w:rPr>
                <w:color w:val="auto"/>
              </w:rPr>
            </w:pPr>
          </w:p>
        </w:tc>
      </w:tr>
      <w:tr w14:paraId="158E1C7C">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352AF254">
            <w:pPr>
              <w:pStyle w:val="33"/>
              <w:rPr>
                <w:color w:val="auto"/>
              </w:rPr>
            </w:pPr>
            <w:r>
              <w:rPr>
                <w:rFonts w:eastAsia="等线"/>
                <w:color w:val="auto"/>
              </w:rPr>
              <w:t>NO</w:t>
            </w:r>
            <w:r>
              <w:rPr>
                <w:rFonts w:eastAsia="等线"/>
                <w:color w:val="auto"/>
                <w:vertAlign w:val="subscript"/>
              </w:rPr>
              <w:t>3</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4B9F4D18">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395D5D9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DDD76A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41EA37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672C7A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C632CC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3BAEFCB">
            <w:pPr>
              <w:pStyle w:val="33"/>
              <w:rPr>
                <w:color w:val="auto"/>
              </w:rPr>
            </w:pPr>
          </w:p>
        </w:tc>
      </w:tr>
      <w:tr w14:paraId="40B0EEA4">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07E77D7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6C41AF6">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3C4B311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A67A5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CB0770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8D256E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85D9BB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A2B7840">
            <w:pPr>
              <w:pStyle w:val="33"/>
              <w:rPr>
                <w:color w:val="auto"/>
              </w:rPr>
            </w:pPr>
          </w:p>
        </w:tc>
      </w:tr>
      <w:tr w14:paraId="1D6BDBB2">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5EBFD6AE">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09BA788">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6E76C97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E1C023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38E0CD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90510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8246B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2E10439">
            <w:pPr>
              <w:pStyle w:val="33"/>
              <w:rPr>
                <w:color w:val="auto"/>
              </w:rPr>
            </w:pPr>
          </w:p>
        </w:tc>
      </w:tr>
      <w:tr w14:paraId="6A3A42D0">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4DD7FF19">
            <w:pPr>
              <w:pStyle w:val="33"/>
              <w:rPr>
                <w:color w:val="auto"/>
              </w:rPr>
            </w:pPr>
            <w:r>
              <w:rPr>
                <w:rFonts w:eastAsia="等线"/>
                <w:color w:val="auto"/>
              </w:rPr>
              <w:t>NO</w:t>
            </w:r>
            <w:r>
              <w:rPr>
                <w:rFonts w:eastAsia="等线"/>
                <w:color w:val="auto"/>
                <w:vertAlign w:val="subscript"/>
              </w:rPr>
              <w:t>2</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72624E33">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405EFED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63C2A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92EF86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9FD483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4C72412">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6BF76B8">
            <w:pPr>
              <w:pStyle w:val="33"/>
              <w:rPr>
                <w:color w:val="auto"/>
              </w:rPr>
            </w:pPr>
          </w:p>
        </w:tc>
      </w:tr>
      <w:tr w14:paraId="238AD636">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58221AD3">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2F6BF4C2">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5B9983B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5F5AD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42C2BD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D9AB31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2D661D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157423B7">
            <w:pPr>
              <w:pStyle w:val="33"/>
              <w:rPr>
                <w:color w:val="auto"/>
              </w:rPr>
            </w:pPr>
          </w:p>
        </w:tc>
      </w:tr>
      <w:tr w14:paraId="133BC58E">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204887F9">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9951155">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06C6B45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01F60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64844C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D8294A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58CA945">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046B287">
            <w:pPr>
              <w:pStyle w:val="33"/>
              <w:rPr>
                <w:color w:val="auto"/>
              </w:rPr>
            </w:pPr>
          </w:p>
        </w:tc>
      </w:tr>
      <w:tr w14:paraId="35ABFE64">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77168A43">
            <w:pPr>
              <w:pStyle w:val="33"/>
              <w:rPr>
                <w:color w:val="auto"/>
              </w:rPr>
            </w:pPr>
            <w:r>
              <w:rPr>
                <w:rFonts w:eastAsia="等线"/>
                <w:color w:val="auto"/>
              </w:rPr>
              <w:t>F</w:t>
            </w:r>
            <w:r>
              <w:rPr>
                <w:rFonts w:eastAsia="等线"/>
                <w:color w:val="auto"/>
                <w:vertAlign w:val="superscript"/>
              </w:rPr>
              <w:t>-</w:t>
            </w:r>
          </w:p>
        </w:tc>
        <w:tc>
          <w:tcPr>
            <w:tcW w:w="771" w:type="pct"/>
            <w:tcBorders>
              <w:top w:val="single" w:color="auto" w:sz="4" w:space="0"/>
              <w:left w:val="single" w:color="auto" w:sz="4" w:space="0"/>
              <w:bottom w:val="single" w:color="auto" w:sz="4" w:space="0"/>
              <w:right w:val="single" w:color="auto" w:sz="4" w:space="0"/>
            </w:tcBorders>
            <w:noWrap/>
            <w:vAlign w:val="center"/>
          </w:tcPr>
          <w:p w14:paraId="36C31697">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7546683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918B2C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38FBAD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FF7A3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30034A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9EF8AC8">
            <w:pPr>
              <w:pStyle w:val="33"/>
              <w:rPr>
                <w:color w:val="auto"/>
              </w:rPr>
            </w:pPr>
          </w:p>
        </w:tc>
      </w:tr>
      <w:tr w14:paraId="58B22160">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224B03BE">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2DB5974">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2403914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7E93E5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A0958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395695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5F60618">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A548D01">
            <w:pPr>
              <w:pStyle w:val="33"/>
              <w:rPr>
                <w:color w:val="auto"/>
              </w:rPr>
            </w:pPr>
          </w:p>
        </w:tc>
      </w:tr>
      <w:tr w14:paraId="37C19C2F">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44B73AB0">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44535179">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4B69592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38D66D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2ADFDE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7F22D3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0BD1D2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213416D">
            <w:pPr>
              <w:pStyle w:val="33"/>
              <w:rPr>
                <w:color w:val="auto"/>
              </w:rPr>
            </w:pPr>
          </w:p>
        </w:tc>
      </w:tr>
      <w:tr w14:paraId="23CE87E8">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199189A6">
            <w:pPr>
              <w:pStyle w:val="33"/>
              <w:rPr>
                <w:color w:val="auto"/>
              </w:rPr>
            </w:pPr>
            <w:r>
              <w:rPr>
                <w:rFonts w:eastAsia="等线"/>
                <w:color w:val="auto"/>
              </w:rPr>
              <w:t>pH</w:t>
            </w:r>
            <w:r>
              <w:rPr>
                <w:color w:val="auto"/>
              </w:rPr>
              <w:t>值</w:t>
            </w:r>
          </w:p>
        </w:tc>
        <w:tc>
          <w:tcPr>
            <w:tcW w:w="771" w:type="pct"/>
            <w:tcBorders>
              <w:top w:val="single" w:color="auto" w:sz="4" w:space="0"/>
              <w:left w:val="single" w:color="auto" w:sz="4" w:space="0"/>
              <w:bottom w:val="single" w:color="auto" w:sz="4" w:space="0"/>
              <w:right w:val="single" w:color="auto" w:sz="4" w:space="0"/>
            </w:tcBorders>
            <w:noWrap/>
            <w:vAlign w:val="center"/>
          </w:tcPr>
          <w:p w14:paraId="7F5A7639">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4C766F8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6A0790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54F371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B004C0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571CC5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9B8DBA1">
            <w:pPr>
              <w:pStyle w:val="33"/>
              <w:rPr>
                <w:color w:val="auto"/>
              </w:rPr>
            </w:pPr>
          </w:p>
        </w:tc>
      </w:tr>
      <w:tr w14:paraId="1859E971">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45408FA5">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8D387E7">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4611966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C33C4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BEBD08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0AC6E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21887E9">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222B3D6">
            <w:pPr>
              <w:pStyle w:val="33"/>
              <w:rPr>
                <w:color w:val="auto"/>
              </w:rPr>
            </w:pPr>
          </w:p>
        </w:tc>
      </w:tr>
      <w:tr w14:paraId="731AA4F2">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4C5D5F94">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5288E34">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6FE427C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ED6AA5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C51127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D3D15D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B7B0FE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B1DD8FF">
            <w:pPr>
              <w:pStyle w:val="33"/>
              <w:rPr>
                <w:color w:val="auto"/>
              </w:rPr>
            </w:pPr>
          </w:p>
        </w:tc>
      </w:tr>
      <w:tr w14:paraId="23897FB3">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6036D0EC">
            <w:pPr>
              <w:pStyle w:val="33"/>
              <w:rPr>
                <w:color w:val="auto"/>
              </w:rPr>
            </w:pPr>
            <w:r>
              <w:rPr>
                <w:color w:val="auto"/>
              </w:rPr>
              <w:t>氨氮</w:t>
            </w:r>
          </w:p>
        </w:tc>
        <w:tc>
          <w:tcPr>
            <w:tcW w:w="771" w:type="pct"/>
            <w:tcBorders>
              <w:top w:val="single" w:color="auto" w:sz="4" w:space="0"/>
              <w:left w:val="single" w:color="auto" w:sz="4" w:space="0"/>
              <w:bottom w:val="single" w:color="auto" w:sz="4" w:space="0"/>
              <w:right w:val="single" w:color="auto" w:sz="4" w:space="0"/>
            </w:tcBorders>
            <w:noWrap/>
            <w:vAlign w:val="center"/>
          </w:tcPr>
          <w:p w14:paraId="31F9D510">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586F8CC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A793A9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CA5DF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983D12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0FAB74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D551167">
            <w:pPr>
              <w:pStyle w:val="33"/>
              <w:rPr>
                <w:color w:val="auto"/>
              </w:rPr>
            </w:pPr>
          </w:p>
        </w:tc>
      </w:tr>
      <w:tr w14:paraId="401086D4">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6CF4C35A">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4F73EEC">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1C3594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E8F48F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9EE403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422185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B0D328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4573171">
            <w:pPr>
              <w:pStyle w:val="33"/>
              <w:rPr>
                <w:color w:val="auto"/>
              </w:rPr>
            </w:pPr>
          </w:p>
        </w:tc>
      </w:tr>
      <w:tr w14:paraId="4ABBA9A6">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5511577E">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5566CDE">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2F9B504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46450A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777A0E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3640C8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041EF7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C8B6558">
            <w:pPr>
              <w:pStyle w:val="33"/>
              <w:rPr>
                <w:color w:val="auto"/>
              </w:rPr>
            </w:pPr>
          </w:p>
        </w:tc>
      </w:tr>
      <w:tr w14:paraId="483A8AE1">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1C68267D">
            <w:pPr>
              <w:pStyle w:val="33"/>
              <w:rPr>
                <w:color w:val="auto"/>
              </w:rPr>
            </w:pPr>
            <w:r>
              <w:rPr>
                <w:color w:val="auto"/>
              </w:rPr>
              <w:t>挥发酚</w:t>
            </w:r>
          </w:p>
        </w:tc>
        <w:tc>
          <w:tcPr>
            <w:tcW w:w="771" w:type="pct"/>
            <w:tcBorders>
              <w:top w:val="single" w:color="auto" w:sz="4" w:space="0"/>
              <w:left w:val="single" w:color="auto" w:sz="4" w:space="0"/>
              <w:bottom w:val="single" w:color="auto" w:sz="4" w:space="0"/>
              <w:right w:val="single" w:color="auto" w:sz="4" w:space="0"/>
            </w:tcBorders>
            <w:noWrap/>
            <w:vAlign w:val="center"/>
          </w:tcPr>
          <w:p w14:paraId="62995370">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2F22DB3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740733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E90111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7EB931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376B1F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B9758E9">
            <w:pPr>
              <w:pStyle w:val="33"/>
              <w:rPr>
                <w:color w:val="auto"/>
              </w:rPr>
            </w:pPr>
          </w:p>
        </w:tc>
      </w:tr>
      <w:tr w14:paraId="2AA73A81">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08EEC856">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4B88429D">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457063C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3B125A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DFE7FB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7774A1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662BC7B">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4E5B03E">
            <w:pPr>
              <w:pStyle w:val="33"/>
              <w:rPr>
                <w:color w:val="auto"/>
              </w:rPr>
            </w:pPr>
          </w:p>
        </w:tc>
      </w:tr>
      <w:tr w14:paraId="1B1ECF4A">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6C7C23A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716FBD3D">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66BBC0C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BDF504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116D62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421AE3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B265CD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19C44F31">
            <w:pPr>
              <w:pStyle w:val="33"/>
              <w:rPr>
                <w:color w:val="auto"/>
              </w:rPr>
            </w:pPr>
          </w:p>
        </w:tc>
      </w:tr>
      <w:tr w14:paraId="7955CF89">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0802FE1D">
            <w:pPr>
              <w:pStyle w:val="33"/>
              <w:rPr>
                <w:color w:val="auto"/>
              </w:rPr>
            </w:pPr>
            <w:r>
              <w:rPr>
                <w:color w:val="auto"/>
              </w:rPr>
              <w:t>氰化物</w:t>
            </w:r>
          </w:p>
        </w:tc>
        <w:tc>
          <w:tcPr>
            <w:tcW w:w="771" w:type="pct"/>
            <w:tcBorders>
              <w:top w:val="single" w:color="auto" w:sz="4" w:space="0"/>
              <w:left w:val="single" w:color="auto" w:sz="4" w:space="0"/>
              <w:bottom w:val="single" w:color="auto" w:sz="4" w:space="0"/>
              <w:right w:val="single" w:color="auto" w:sz="4" w:space="0"/>
            </w:tcBorders>
            <w:noWrap/>
            <w:vAlign w:val="center"/>
          </w:tcPr>
          <w:p w14:paraId="75DB42CC">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779E890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FB308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A80747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CFFFA0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326C1D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0E842C1">
            <w:pPr>
              <w:pStyle w:val="33"/>
              <w:rPr>
                <w:color w:val="auto"/>
              </w:rPr>
            </w:pPr>
          </w:p>
        </w:tc>
      </w:tr>
      <w:tr w14:paraId="5DA26E9C">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6C07AA69">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7D2170DB">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06F3855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74FE16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E86209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9D900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9AB65C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F6DAD68">
            <w:pPr>
              <w:pStyle w:val="33"/>
              <w:rPr>
                <w:color w:val="auto"/>
              </w:rPr>
            </w:pPr>
          </w:p>
        </w:tc>
      </w:tr>
      <w:tr w14:paraId="7399D2CF">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3B7A2C04">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8F76B05">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26D1894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F8CB9F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4C8248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D2D63E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15E2BC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14C20DD8">
            <w:pPr>
              <w:pStyle w:val="33"/>
              <w:rPr>
                <w:color w:val="auto"/>
              </w:rPr>
            </w:pPr>
          </w:p>
        </w:tc>
      </w:tr>
      <w:tr w14:paraId="5C5B867B">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6F395581">
            <w:pPr>
              <w:pStyle w:val="33"/>
              <w:rPr>
                <w:color w:val="auto"/>
              </w:rPr>
            </w:pPr>
            <w:r>
              <w:rPr>
                <w:color w:val="auto"/>
              </w:rPr>
              <w:t>砷</w:t>
            </w:r>
          </w:p>
        </w:tc>
        <w:tc>
          <w:tcPr>
            <w:tcW w:w="771" w:type="pct"/>
            <w:tcBorders>
              <w:top w:val="single" w:color="auto" w:sz="4" w:space="0"/>
              <w:left w:val="single" w:color="auto" w:sz="4" w:space="0"/>
              <w:bottom w:val="single" w:color="auto" w:sz="4" w:space="0"/>
              <w:right w:val="single" w:color="auto" w:sz="4" w:space="0"/>
            </w:tcBorders>
            <w:noWrap/>
            <w:vAlign w:val="center"/>
          </w:tcPr>
          <w:p w14:paraId="059239AB">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55BAF5B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07147D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4DE058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487FB7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FC7ED20">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3E0A661">
            <w:pPr>
              <w:pStyle w:val="33"/>
              <w:rPr>
                <w:color w:val="auto"/>
              </w:rPr>
            </w:pPr>
          </w:p>
        </w:tc>
      </w:tr>
      <w:tr w14:paraId="4FC040B5">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3E42F776">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2A1C32B3">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16D1C5C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89D71C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B23D81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9266FB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2983BC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53B51DD">
            <w:pPr>
              <w:pStyle w:val="33"/>
              <w:rPr>
                <w:color w:val="auto"/>
              </w:rPr>
            </w:pPr>
          </w:p>
        </w:tc>
      </w:tr>
      <w:tr w14:paraId="18348654">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1D7F4D27">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7BF8C23">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4A6FF2A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3BDE07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65A0F1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8021D4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42B106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3211BCE">
            <w:pPr>
              <w:pStyle w:val="33"/>
              <w:rPr>
                <w:color w:val="auto"/>
              </w:rPr>
            </w:pPr>
          </w:p>
        </w:tc>
      </w:tr>
      <w:tr w14:paraId="56DA7167">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32120BD9">
            <w:pPr>
              <w:pStyle w:val="33"/>
              <w:rPr>
                <w:color w:val="auto"/>
              </w:rPr>
            </w:pPr>
            <w:r>
              <w:rPr>
                <w:color w:val="auto"/>
              </w:rPr>
              <w:t>汞</w:t>
            </w:r>
          </w:p>
        </w:tc>
        <w:tc>
          <w:tcPr>
            <w:tcW w:w="771" w:type="pct"/>
            <w:tcBorders>
              <w:top w:val="single" w:color="auto" w:sz="4" w:space="0"/>
              <w:left w:val="single" w:color="auto" w:sz="4" w:space="0"/>
              <w:bottom w:val="single" w:color="auto" w:sz="4" w:space="0"/>
              <w:right w:val="single" w:color="auto" w:sz="4" w:space="0"/>
            </w:tcBorders>
            <w:noWrap/>
            <w:vAlign w:val="center"/>
          </w:tcPr>
          <w:p w14:paraId="795D5AAC">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D6C665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29E897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70BA79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529292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71C296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E6C969A">
            <w:pPr>
              <w:pStyle w:val="33"/>
              <w:rPr>
                <w:color w:val="auto"/>
              </w:rPr>
            </w:pPr>
          </w:p>
        </w:tc>
      </w:tr>
      <w:tr w14:paraId="7AAC440D">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153D6625">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6F84583B">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4339B18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5BE5F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B9182A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84F1A2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DAB85A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832A9E2">
            <w:pPr>
              <w:pStyle w:val="33"/>
              <w:rPr>
                <w:color w:val="auto"/>
              </w:rPr>
            </w:pPr>
          </w:p>
        </w:tc>
      </w:tr>
      <w:tr w14:paraId="7FA17E83">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3DBB97B7">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60B81E05">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12649E2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9140D1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146294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BAA7C6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673860A">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8E9E275">
            <w:pPr>
              <w:pStyle w:val="33"/>
              <w:rPr>
                <w:color w:val="auto"/>
              </w:rPr>
            </w:pPr>
          </w:p>
        </w:tc>
      </w:tr>
      <w:tr w14:paraId="7A2CE172">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717F69E3">
            <w:pPr>
              <w:pStyle w:val="33"/>
              <w:rPr>
                <w:color w:val="auto"/>
              </w:rPr>
            </w:pPr>
            <w:r>
              <w:rPr>
                <w:color w:val="auto"/>
              </w:rPr>
              <w:t>铬（六价）</w:t>
            </w:r>
          </w:p>
        </w:tc>
        <w:tc>
          <w:tcPr>
            <w:tcW w:w="771" w:type="pct"/>
            <w:tcBorders>
              <w:top w:val="single" w:color="auto" w:sz="4" w:space="0"/>
              <w:left w:val="single" w:color="auto" w:sz="4" w:space="0"/>
              <w:bottom w:val="single" w:color="auto" w:sz="4" w:space="0"/>
              <w:right w:val="single" w:color="auto" w:sz="4" w:space="0"/>
            </w:tcBorders>
            <w:noWrap/>
            <w:vAlign w:val="center"/>
          </w:tcPr>
          <w:p w14:paraId="400E24DF">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79A95F2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1B3EA0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E25010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CA458B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EBED5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0FC4D43">
            <w:pPr>
              <w:pStyle w:val="33"/>
              <w:rPr>
                <w:color w:val="auto"/>
              </w:rPr>
            </w:pPr>
          </w:p>
        </w:tc>
      </w:tr>
      <w:tr w14:paraId="6874AF86">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26D1D803">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B58BFD5">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76C438E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0C8C12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A7B68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D1281C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A09B199">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0EEE931">
            <w:pPr>
              <w:pStyle w:val="33"/>
              <w:rPr>
                <w:color w:val="auto"/>
              </w:rPr>
            </w:pPr>
          </w:p>
        </w:tc>
      </w:tr>
      <w:tr w14:paraId="04DACBB3">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5F7EA6C2">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8D0482E">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096DCF2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4B1A93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EB69CB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EA6251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6E9C7A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119E66CF">
            <w:pPr>
              <w:pStyle w:val="33"/>
              <w:rPr>
                <w:color w:val="auto"/>
              </w:rPr>
            </w:pPr>
          </w:p>
        </w:tc>
      </w:tr>
      <w:tr w14:paraId="659D9326">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58C543DA">
            <w:pPr>
              <w:pStyle w:val="33"/>
              <w:rPr>
                <w:color w:val="auto"/>
              </w:rPr>
            </w:pPr>
            <w:r>
              <w:rPr>
                <w:color w:val="auto"/>
              </w:rPr>
              <w:t>总硬度</w:t>
            </w:r>
          </w:p>
        </w:tc>
        <w:tc>
          <w:tcPr>
            <w:tcW w:w="771" w:type="pct"/>
            <w:tcBorders>
              <w:top w:val="single" w:color="auto" w:sz="4" w:space="0"/>
              <w:left w:val="single" w:color="auto" w:sz="4" w:space="0"/>
              <w:bottom w:val="single" w:color="auto" w:sz="4" w:space="0"/>
              <w:right w:val="single" w:color="auto" w:sz="4" w:space="0"/>
            </w:tcBorders>
            <w:noWrap/>
            <w:vAlign w:val="center"/>
          </w:tcPr>
          <w:p w14:paraId="22C8FA62">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133A429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D187AA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F2671E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0EC497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3CC1E71">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8B8D3AD">
            <w:pPr>
              <w:pStyle w:val="33"/>
              <w:rPr>
                <w:color w:val="auto"/>
              </w:rPr>
            </w:pPr>
          </w:p>
        </w:tc>
      </w:tr>
      <w:tr w14:paraId="0D493DE9">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69230A05">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0444D45">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5754EF4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06DA01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8A353E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CD735C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738456E">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4CC50EB">
            <w:pPr>
              <w:pStyle w:val="33"/>
              <w:rPr>
                <w:color w:val="auto"/>
              </w:rPr>
            </w:pPr>
          </w:p>
        </w:tc>
      </w:tr>
      <w:tr w14:paraId="18348621">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4DD8D4C2">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266EA66">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113B0F5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1C75C1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825752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00CA1A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FA3466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5D003F5">
            <w:pPr>
              <w:pStyle w:val="33"/>
              <w:rPr>
                <w:color w:val="auto"/>
              </w:rPr>
            </w:pPr>
          </w:p>
        </w:tc>
      </w:tr>
      <w:tr w14:paraId="6B671B35">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320A5557">
            <w:pPr>
              <w:pStyle w:val="33"/>
              <w:rPr>
                <w:color w:val="auto"/>
              </w:rPr>
            </w:pPr>
            <w:r>
              <w:rPr>
                <w:color w:val="auto"/>
              </w:rPr>
              <w:t>铅</w:t>
            </w:r>
          </w:p>
        </w:tc>
        <w:tc>
          <w:tcPr>
            <w:tcW w:w="771" w:type="pct"/>
            <w:tcBorders>
              <w:top w:val="single" w:color="auto" w:sz="4" w:space="0"/>
              <w:left w:val="single" w:color="auto" w:sz="4" w:space="0"/>
              <w:bottom w:val="single" w:color="auto" w:sz="4" w:space="0"/>
              <w:right w:val="single" w:color="auto" w:sz="4" w:space="0"/>
            </w:tcBorders>
            <w:noWrap/>
            <w:vAlign w:val="center"/>
          </w:tcPr>
          <w:p w14:paraId="5178AAAB">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1D38479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31EA9F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A6C5C1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A1526D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87FA2BB">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392A23F">
            <w:pPr>
              <w:pStyle w:val="33"/>
              <w:rPr>
                <w:color w:val="auto"/>
              </w:rPr>
            </w:pPr>
          </w:p>
        </w:tc>
      </w:tr>
      <w:tr w14:paraId="62E1B032">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6D8BB5AA">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23C52CE0">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5E57596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80E927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215162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E00925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6FBE7B5">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8F4D022">
            <w:pPr>
              <w:pStyle w:val="33"/>
              <w:rPr>
                <w:color w:val="auto"/>
              </w:rPr>
            </w:pPr>
          </w:p>
        </w:tc>
      </w:tr>
      <w:tr w14:paraId="1E38A082">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07315425">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A75CB17">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63FCD4F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5822C7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DF0C84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940B0D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1CD593D">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DE53BEC">
            <w:pPr>
              <w:pStyle w:val="33"/>
              <w:rPr>
                <w:color w:val="auto"/>
              </w:rPr>
            </w:pPr>
          </w:p>
        </w:tc>
      </w:tr>
      <w:tr w14:paraId="3E309408">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7D72688D">
            <w:pPr>
              <w:pStyle w:val="33"/>
              <w:rPr>
                <w:color w:val="auto"/>
              </w:rPr>
            </w:pPr>
            <w:r>
              <w:rPr>
                <w:color w:val="auto"/>
              </w:rPr>
              <w:t>镉</w:t>
            </w:r>
          </w:p>
        </w:tc>
        <w:tc>
          <w:tcPr>
            <w:tcW w:w="771" w:type="pct"/>
            <w:tcBorders>
              <w:top w:val="single" w:color="auto" w:sz="4" w:space="0"/>
              <w:left w:val="single" w:color="auto" w:sz="4" w:space="0"/>
              <w:bottom w:val="single" w:color="auto" w:sz="4" w:space="0"/>
              <w:right w:val="single" w:color="auto" w:sz="4" w:space="0"/>
            </w:tcBorders>
            <w:noWrap/>
            <w:vAlign w:val="center"/>
          </w:tcPr>
          <w:p w14:paraId="2921D472">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11DFF08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71C5AF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5D9A3D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96F7C9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50AC47C">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9207B8D">
            <w:pPr>
              <w:pStyle w:val="33"/>
              <w:rPr>
                <w:color w:val="auto"/>
              </w:rPr>
            </w:pPr>
          </w:p>
        </w:tc>
      </w:tr>
      <w:tr w14:paraId="2D1E0AB8">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68ABDF8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24AA4795">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3388F24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C43F4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EBC4F5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93BF66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C68795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F034FED">
            <w:pPr>
              <w:pStyle w:val="33"/>
              <w:rPr>
                <w:color w:val="auto"/>
              </w:rPr>
            </w:pPr>
          </w:p>
        </w:tc>
      </w:tr>
      <w:tr w14:paraId="475D9EFE">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748E0397">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72CB464">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59110F9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E909EB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D2705B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D14035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3D11F15">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8A259D9">
            <w:pPr>
              <w:pStyle w:val="33"/>
              <w:rPr>
                <w:color w:val="auto"/>
              </w:rPr>
            </w:pPr>
          </w:p>
        </w:tc>
      </w:tr>
      <w:tr w14:paraId="41105C79">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6DA942D9">
            <w:pPr>
              <w:pStyle w:val="33"/>
              <w:rPr>
                <w:color w:val="auto"/>
              </w:rPr>
            </w:pPr>
            <w:r>
              <w:rPr>
                <w:color w:val="auto"/>
              </w:rPr>
              <w:t>铜</w:t>
            </w:r>
          </w:p>
        </w:tc>
        <w:tc>
          <w:tcPr>
            <w:tcW w:w="771" w:type="pct"/>
            <w:tcBorders>
              <w:top w:val="single" w:color="auto" w:sz="4" w:space="0"/>
              <w:left w:val="single" w:color="auto" w:sz="4" w:space="0"/>
              <w:bottom w:val="single" w:color="auto" w:sz="4" w:space="0"/>
              <w:right w:val="single" w:color="auto" w:sz="4" w:space="0"/>
            </w:tcBorders>
            <w:noWrap/>
            <w:vAlign w:val="center"/>
          </w:tcPr>
          <w:p w14:paraId="1176711A">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7DDA61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D38E02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9FBE2F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F3E799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ACC671C">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E9C6661">
            <w:pPr>
              <w:pStyle w:val="33"/>
              <w:rPr>
                <w:color w:val="auto"/>
              </w:rPr>
            </w:pPr>
          </w:p>
        </w:tc>
      </w:tr>
      <w:tr w14:paraId="5008C4B4">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2BB8618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B8159A5">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0C58E93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9F8518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65D753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67E8B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F57DE31">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8F3E799">
            <w:pPr>
              <w:pStyle w:val="33"/>
              <w:rPr>
                <w:color w:val="auto"/>
              </w:rPr>
            </w:pPr>
          </w:p>
        </w:tc>
      </w:tr>
      <w:tr w14:paraId="5D1F0BEF">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7B6F0B59">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6E134CFD">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757D894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C0792D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99981F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11CF48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EDD66EA">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EC1D542">
            <w:pPr>
              <w:pStyle w:val="33"/>
              <w:rPr>
                <w:color w:val="auto"/>
              </w:rPr>
            </w:pPr>
          </w:p>
        </w:tc>
      </w:tr>
      <w:tr w14:paraId="72D7D650">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0B19AA31">
            <w:pPr>
              <w:pStyle w:val="33"/>
              <w:rPr>
                <w:color w:val="auto"/>
              </w:rPr>
            </w:pPr>
            <w:r>
              <w:rPr>
                <w:color w:val="auto"/>
              </w:rPr>
              <w:t>锌</w:t>
            </w:r>
          </w:p>
        </w:tc>
        <w:tc>
          <w:tcPr>
            <w:tcW w:w="771" w:type="pct"/>
            <w:tcBorders>
              <w:top w:val="single" w:color="auto" w:sz="4" w:space="0"/>
              <w:left w:val="single" w:color="auto" w:sz="4" w:space="0"/>
              <w:bottom w:val="single" w:color="auto" w:sz="4" w:space="0"/>
              <w:right w:val="single" w:color="auto" w:sz="4" w:space="0"/>
            </w:tcBorders>
            <w:noWrap/>
            <w:vAlign w:val="center"/>
          </w:tcPr>
          <w:p w14:paraId="72A2CF86">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6B002A9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06E8D5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C311C2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311939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458705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FD9D547">
            <w:pPr>
              <w:pStyle w:val="33"/>
              <w:rPr>
                <w:color w:val="auto"/>
              </w:rPr>
            </w:pPr>
          </w:p>
        </w:tc>
      </w:tr>
      <w:tr w14:paraId="48EE3DEE">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5D45ACE1">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5060A48">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63C53E20">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0ED46E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9C5569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296EC4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2F3B723">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3AC594E7">
            <w:pPr>
              <w:pStyle w:val="33"/>
              <w:rPr>
                <w:color w:val="auto"/>
              </w:rPr>
            </w:pPr>
          </w:p>
        </w:tc>
      </w:tr>
      <w:tr w14:paraId="58D53C5E">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76CAAF65">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8B7B106">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1A0F0C6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E5C4B8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5CA27A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760E31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F437D4">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60E9774">
            <w:pPr>
              <w:pStyle w:val="33"/>
              <w:rPr>
                <w:color w:val="auto"/>
              </w:rPr>
            </w:pPr>
          </w:p>
        </w:tc>
      </w:tr>
      <w:tr w14:paraId="15482678">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0779CC53">
            <w:pPr>
              <w:pStyle w:val="33"/>
              <w:rPr>
                <w:color w:val="auto"/>
              </w:rPr>
            </w:pPr>
            <w:r>
              <w:rPr>
                <w:color w:val="auto"/>
              </w:rPr>
              <w:t>溶解性总固体</w:t>
            </w:r>
          </w:p>
        </w:tc>
        <w:tc>
          <w:tcPr>
            <w:tcW w:w="771" w:type="pct"/>
            <w:tcBorders>
              <w:top w:val="single" w:color="auto" w:sz="4" w:space="0"/>
              <w:left w:val="single" w:color="auto" w:sz="4" w:space="0"/>
              <w:bottom w:val="single" w:color="auto" w:sz="4" w:space="0"/>
              <w:right w:val="single" w:color="auto" w:sz="4" w:space="0"/>
            </w:tcBorders>
            <w:noWrap/>
            <w:vAlign w:val="center"/>
          </w:tcPr>
          <w:p w14:paraId="66A04E63">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2EEC1BA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2EEDBB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70F9B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927C3D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590959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6C8ED65">
            <w:pPr>
              <w:pStyle w:val="33"/>
              <w:rPr>
                <w:color w:val="auto"/>
              </w:rPr>
            </w:pPr>
          </w:p>
        </w:tc>
      </w:tr>
      <w:tr w14:paraId="7A590152">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0BF876EE">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55F737D1">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08251EF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3220C5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C3FAC2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1BB885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26A525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3E59A30">
            <w:pPr>
              <w:pStyle w:val="33"/>
              <w:rPr>
                <w:color w:val="auto"/>
              </w:rPr>
            </w:pPr>
          </w:p>
        </w:tc>
      </w:tr>
      <w:tr w14:paraId="66E4B3E8">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4394977B">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6842AB7">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076790F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B30149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E92B0A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C90FC8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1345727">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0004F08">
            <w:pPr>
              <w:pStyle w:val="33"/>
              <w:rPr>
                <w:color w:val="auto"/>
              </w:rPr>
            </w:pPr>
          </w:p>
        </w:tc>
      </w:tr>
      <w:tr w14:paraId="2A8DC9D9">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6ED6A87D">
            <w:pPr>
              <w:pStyle w:val="33"/>
              <w:rPr>
                <w:color w:val="auto"/>
              </w:rPr>
            </w:pPr>
            <w:r>
              <w:rPr>
                <w:color w:val="auto"/>
              </w:rPr>
              <w:t>阴离子表面活性剂</w:t>
            </w:r>
          </w:p>
        </w:tc>
        <w:tc>
          <w:tcPr>
            <w:tcW w:w="771" w:type="pct"/>
            <w:tcBorders>
              <w:top w:val="single" w:color="auto" w:sz="4" w:space="0"/>
              <w:left w:val="single" w:color="auto" w:sz="4" w:space="0"/>
              <w:bottom w:val="single" w:color="auto" w:sz="4" w:space="0"/>
              <w:right w:val="single" w:color="auto" w:sz="4" w:space="0"/>
            </w:tcBorders>
            <w:noWrap/>
            <w:vAlign w:val="center"/>
          </w:tcPr>
          <w:p w14:paraId="3C0AC21D">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03C5B25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258A63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DECDB8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2ADA9B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B53F699">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F27F279">
            <w:pPr>
              <w:pStyle w:val="33"/>
              <w:rPr>
                <w:color w:val="auto"/>
              </w:rPr>
            </w:pPr>
          </w:p>
        </w:tc>
      </w:tr>
      <w:tr w14:paraId="1B5BBBF6">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1C856506">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44814CD4">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2F6D3CF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CC8319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72406C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C243F8E">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5A706D2">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03BD9723">
            <w:pPr>
              <w:pStyle w:val="33"/>
              <w:rPr>
                <w:color w:val="auto"/>
              </w:rPr>
            </w:pPr>
          </w:p>
        </w:tc>
      </w:tr>
      <w:tr w14:paraId="616E6088">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29468038">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10B1B27F">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0C1976E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7F40BD5">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876CAE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0523E8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E34C52F">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97D929C">
            <w:pPr>
              <w:pStyle w:val="33"/>
              <w:rPr>
                <w:color w:val="auto"/>
              </w:rPr>
            </w:pPr>
          </w:p>
        </w:tc>
      </w:tr>
      <w:tr w14:paraId="33FE303E">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627A36F8">
            <w:pPr>
              <w:pStyle w:val="33"/>
              <w:rPr>
                <w:color w:val="auto"/>
              </w:rPr>
            </w:pPr>
            <w:r>
              <w:rPr>
                <w:color w:val="auto"/>
              </w:rPr>
              <w:t>硫化物</w:t>
            </w:r>
          </w:p>
        </w:tc>
        <w:tc>
          <w:tcPr>
            <w:tcW w:w="771" w:type="pct"/>
            <w:tcBorders>
              <w:top w:val="single" w:color="auto" w:sz="4" w:space="0"/>
              <w:left w:val="single" w:color="auto" w:sz="4" w:space="0"/>
              <w:bottom w:val="single" w:color="auto" w:sz="4" w:space="0"/>
              <w:right w:val="single" w:color="auto" w:sz="4" w:space="0"/>
            </w:tcBorders>
            <w:noWrap/>
            <w:vAlign w:val="center"/>
          </w:tcPr>
          <w:p w14:paraId="059BA1B6">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3E977FE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511E6D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AD22CA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C0825B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F9B9A8C">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F84C81F">
            <w:pPr>
              <w:pStyle w:val="33"/>
              <w:rPr>
                <w:color w:val="auto"/>
              </w:rPr>
            </w:pPr>
          </w:p>
        </w:tc>
      </w:tr>
      <w:tr w14:paraId="617005AF">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398D9257">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0733E8F4">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6D7C87D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D7453F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2C522B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FD26C7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6993B0B">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F7B1F63">
            <w:pPr>
              <w:pStyle w:val="33"/>
              <w:rPr>
                <w:color w:val="auto"/>
              </w:rPr>
            </w:pPr>
          </w:p>
        </w:tc>
      </w:tr>
      <w:tr w14:paraId="060660DE">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2196F9FF">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80162EF">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283D469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1CABC1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99DB98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2E28831">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278FA315">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4C7029F4">
            <w:pPr>
              <w:pStyle w:val="33"/>
              <w:rPr>
                <w:color w:val="auto"/>
              </w:rPr>
            </w:pPr>
          </w:p>
        </w:tc>
      </w:tr>
      <w:tr w14:paraId="3564E3EC">
        <w:tblPrEx>
          <w:tblCellMar>
            <w:top w:w="0" w:type="dxa"/>
            <w:left w:w="0" w:type="dxa"/>
            <w:bottom w:w="0" w:type="dxa"/>
            <w:right w:w="0" w:type="dxa"/>
          </w:tblCellMar>
        </w:tblPrEx>
        <w:trPr>
          <w:trHeight w:val="20" w:hRule="atLeast"/>
        </w:trPr>
        <w:tc>
          <w:tcPr>
            <w:tcW w:w="720" w:type="pct"/>
            <w:vMerge w:val="restart"/>
            <w:tcBorders>
              <w:top w:val="single" w:color="auto" w:sz="4" w:space="0"/>
              <w:left w:val="single" w:color="auto" w:sz="4" w:space="0"/>
              <w:right w:val="single" w:color="auto" w:sz="4" w:space="0"/>
            </w:tcBorders>
            <w:vAlign w:val="center"/>
          </w:tcPr>
          <w:p w14:paraId="3DBED55A">
            <w:pPr>
              <w:pStyle w:val="33"/>
              <w:rPr>
                <w:color w:val="auto"/>
              </w:rPr>
            </w:pPr>
            <w:r>
              <w:rPr>
                <w:color w:val="auto"/>
              </w:rPr>
              <w:t>高锰酸盐指数（以O</w:t>
            </w:r>
            <w:r>
              <w:rPr>
                <w:color w:val="auto"/>
                <w:vertAlign w:val="subscript"/>
              </w:rPr>
              <w:t>2</w:t>
            </w:r>
            <w:r>
              <w:rPr>
                <w:color w:val="auto"/>
              </w:rPr>
              <w:t>计）</w:t>
            </w:r>
          </w:p>
        </w:tc>
        <w:tc>
          <w:tcPr>
            <w:tcW w:w="771" w:type="pct"/>
            <w:tcBorders>
              <w:top w:val="single" w:color="auto" w:sz="4" w:space="0"/>
              <w:left w:val="single" w:color="auto" w:sz="4" w:space="0"/>
              <w:bottom w:val="single" w:color="auto" w:sz="4" w:space="0"/>
              <w:right w:val="single" w:color="auto" w:sz="4" w:space="0"/>
            </w:tcBorders>
            <w:noWrap/>
            <w:vAlign w:val="center"/>
          </w:tcPr>
          <w:p w14:paraId="5D0BBA15">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25EE900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C18DCB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0D8802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CB9DF18">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1B05DBB">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2608A9C0">
            <w:pPr>
              <w:pStyle w:val="33"/>
              <w:rPr>
                <w:color w:val="auto"/>
              </w:rPr>
            </w:pPr>
          </w:p>
        </w:tc>
      </w:tr>
      <w:tr w14:paraId="66A4BB48">
        <w:tblPrEx>
          <w:tblCellMar>
            <w:top w:w="0" w:type="dxa"/>
            <w:left w:w="0" w:type="dxa"/>
            <w:bottom w:w="0" w:type="dxa"/>
            <w:right w:w="0" w:type="dxa"/>
          </w:tblCellMar>
        </w:tblPrEx>
        <w:trPr>
          <w:trHeight w:val="20" w:hRule="atLeast"/>
        </w:trPr>
        <w:tc>
          <w:tcPr>
            <w:tcW w:w="720" w:type="pct"/>
            <w:vMerge w:val="continue"/>
            <w:tcBorders>
              <w:left w:val="single" w:color="auto" w:sz="4" w:space="0"/>
              <w:right w:val="single" w:color="auto" w:sz="4" w:space="0"/>
            </w:tcBorders>
            <w:vAlign w:val="center"/>
          </w:tcPr>
          <w:p w14:paraId="7A889EE9">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66454A1A">
            <w:pPr>
              <w:pStyle w:val="33"/>
              <w:rPr>
                <w:color w:val="auto"/>
              </w:rPr>
            </w:pPr>
            <w:r>
              <w:rPr>
                <w:color w:val="auto"/>
              </w:rPr>
              <w:t>标准值</w:t>
            </w:r>
          </w:p>
        </w:tc>
        <w:tc>
          <w:tcPr>
            <w:tcW w:w="585" w:type="pct"/>
            <w:tcBorders>
              <w:top w:val="single" w:color="auto" w:sz="4" w:space="0"/>
              <w:left w:val="single" w:color="auto" w:sz="4" w:space="0"/>
              <w:bottom w:val="single" w:color="auto" w:sz="4" w:space="0"/>
              <w:right w:val="single" w:color="auto" w:sz="4" w:space="0"/>
            </w:tcBorders>
            <w:vAlign w:val="center"/>
          </w:tcPr>
          <w:p w14:paraId="0B38B23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919E1F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FE8F7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0D337D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2127BB1">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A1FF271">
            <w:pPr>
              <w:pStyle w:val="33"/>
              <w:rPr>
                <w:color w:val="auto"/>
              </w:rPr>
            </w:pPr>
          </w:p>
        </w:tc>
      </w:tr>
      <w:tr w14:paraId="53FFCD03">
        <w:tblPrEx>
          <w:tblCellMar>
            <w:top w:w="0" w:type="dxa"/>
            <w:left w:w="0" w:type="dxa"/>
            <w:bottom w:w="0" w:type="dxa"/>
            <w:right w:w="0" w:type="dxa"/>
          </w:tblCellMar>
        </w:tblPrEx>
        <w:trPr>
          <w:trHeight w:val="20" w:hRule="atLeast"/>
        </w:trPr>
        <w:tc>
          <w:tcPr>
            <w:tcW w:w="720" w:type="pct"/>
            <w:vMerge w:val="continue"/>
            <w:tcBorders>
              <w:left w:val="single" w:color="auto" w:sz="4" w:space="0"/>
              <w:bottom w:val="single" w:color="auto" w:sz="4" w:space="0"/>
              <w:right w:val="single" w:color="auto" w:sz="4" w:space="0"/>
            </w:tcBorders>
            <w:vAlign w:val="center"/>
          </w:tcPr>
          <w:p w14:paraId="58B19804">
            <w:pPr>
              <w:pStyle w:val="33"/>
              <w:rPr>
                <w:color w:val="auto"/>
              </w:rPr>
            </w:pPr>
          </w:p>
        </w:tc>
        <w:tc>
          <w:tcPr>
            <w:tcW w:w="771" w:type="pct"/>
            <w:tcBorders>
              <w:top w:val="single" w:color="auto" w:sz="4" w:space="0"/>
              <w:left w:val="single" w:color="auto" w:sz="4" w:space="0"/>
              <w:bottom w:val="single" w:color="auto" w:sz="4" w:space="0"/>
              <w:right w:val="single" w:color="auto" w:sz="4" w:space="0"/>
            </w:tcBorders>
            <w:noWrap/>
            <w:vAlign w:val="center"/>
          </w:tcPr>
          <w:p w14:paraId="3021A9A5">
            <w:pPr>
              <w:pStyle w:val="33"/>
              <w:rPr>
                <w:color w:val="auto"/>
              </w:rPr>
            </w:pPr>
            <w:r>
              <w:rPr>
                <w:color w:val="auto"/>
              </w:rPr>
              <w:t>标准指数</w:t>
            </w:r>
          </w:p>
        </w:tc>
        <w:tc>
          <w:tcPr>
            <w:tcW w:w="585" w:type="pct"/>
            <w:tcBorders>
              <w:top w:val="single" w:color="auto" w:sz="4" w:space="0"/>
              <w:left w:val="single" w:color="auto" w:sz="4" w:space="0"/>
              <w:bottom w:val="single" w:color="auto" w:sz="4" w:space="0"/>
              <w:right w:val="single" w:color="auto" w:sz="4" w:space="0"/>
            </w:tcBorders>
            <w:vAlign w:val="center"/>
          </w:tcPr>
          <w:p w14:paraId="1675F0C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5A2502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EEA479A">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7CC9D1C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582DD92">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87B0F1D">
            <w:pPr>
              <w:pStyle w:val="33"/>
              <w:rPr>
                <w:color w:val="auto"/>
              </w:rPr>
            </w:pPr>
          </w:p>
        </w:tc>
      </w:tr>
      <w:tr w14:paraId="18749C0C">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1768C123">
            <w:pPr>
              <w:pStyle w:val="33"/>
              <w:rPr>
                <w:color w:val="auto"/>
              </w:rPr>
            </w:pPr>
            <w:r>
              <w:rPr>
                <w:color w:val="auto"/>
              </w:rPr>
              <w:t>总磷</w:t>
            </w:r>
          </w:p>
        </w:tc>
        <w:tc>
          <w:tcPr>
            <w:tcW w:w="771" w:type="pct"/>
            <w:tcBorders>
              <w:top w:val="single" w:color="auto" w:sz="4" w:space="0"/>
              <w:left w:val="single" w:color="auto" w:sz="4" w:space="0"/>
              <w:bottom w:val="single" w:color="auto" w:sz="4" w:space="0"/>
              <w:right w:val="single" w:color="auto" w:sz="4" w:space="0"/>
            </w:tcBorders>
            <w:noWrap/>
            <w:vAlign w:val="center"/>
          </w:tcPr>
          <w:p w14:paraId="28C61569">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523031BD">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DF0FC4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10AD063">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6E94054">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D55B29A">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6BB1A0D9">
            <w:pPr>
              <w:pStyle w:val="33"/>
              <w:rPr>
                <w:color w:val="auto"/>
              </w:rPr>
            </w:pPr>
          </w:p>
        </w:tc>
      </w:tr>
      <w:tr w14:paraId="0CD49F06">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4C932B89">
            <w:pPr>
              <w:pStyle w:val="33"/>
              <w:rPr>
                <w:color w:val="auto"/>
              </w:rPr>
            </w:pPr>
            <w:r>
              <w:rPr>
                <w:color w:val="auto"/>
              </w:rPr>
              <w:t>二噁英（pgTEQ/L）</w:t>
            </w:r>
          </w:p>
        </w:tc>
        <w:tc>
          <w:tcPr>
            <w:tcW w:w="771" w:type="pct"/>
            <w:tcBorders>
              <w:top w:val="single" w:color="auto" w:sz="4" w:space="0"/>
              <w:left w:val="single" w:color="auto" w:sz="4" w:space="0"/>
              <w:bottom w:val="single" w:color="auto" w:sz="4" w:space="0"/>
              <w:right w:val="single" w:color="auto" w:sz="4" w:space="0"/>
            </w:tcBorders>
            <w:noWrap/>
            <w:vAlign w:val="center"/>
          </w:tcPr>
          <w:p w14:paraId="44FA02EE">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464F4E56">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6B7D05F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365AD4EF">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5A7A692">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1BAE0F6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7F918628">
            <w:pPr>
              <w:pStyle w:val="33"/>
              <w:rPr>
                <w:color w:val="auto"/>
              </w:rPr>
            </w:pPr>
          </w:p>
        </w:tc>
      </w:tr>
      <w:tr w14:paraId="6B7B2178">
        <w:tblPrEx>
          <w:tblCellMar>
            <w:top w:w="0" w:type="dxa"/>
            <w:left w:w="0" w:type="dxa"/>
            <w:bottom w:w="0" w:type="dxa"/>
            <w:right w:w="0" w:type="dxa"/>
          </w:tblCellMar>
        </w:tblPrEx>
        <w:trPr>
          <w:trHeight w:val="20" w:hRule="atLeast"/>
        </w:trPr>
        <w:tc>
          <w:tcPr>
            <w:tcW w:w="720" w:type="pct"/>
            <w:tcBorders>
              <w:top w:val="single" w:color="auto" w:sz="4" w:space="0"/>
              <w:left w:val="single" w:color="auto" w:sz="4" w:space="0"/>
              <w:bottom w:val="single" w:color="auto" w:sz="4" w:space="0"/>
              <w:right w:val="single" w:color="auto" w:sz="4" w:space="0"/>
            </w:tcBorders>
            <w:vAlign w:val="center"/>
          </w:tcPr>
          <w:p w14:paraId="53E571A2">
            <w:pPr>
              <w:pStyle w:val="33"/>
              <w:rPr>
                <w:color w:val="auto"/>
              </w:rPr>
            </w:pPr>
            <w:r>
              <w:rPr>
                <w:rFonts w:eastAsia="等线"/>
                <w:color w:val="auto"/>
              </w:rPr>
              <w:t>AOx</w:t>
            </w:r>
          </w:p>
        </w:tc>
        <w:tc>
          <w:tcPr>
            <w:tcW w:w="771" w:type="pct"/>
            <w:tcBorders>
              <w:top w:val="single" w:color="auto" w:sz="4" w:space="0"/>
              <w:left w:val="single" w:color="auto" w:sz="4" w:space="0"/>
              <w:bottom w:val="single" w:color="auto" w:sz="4" w:space="0"/>
              <w:right w:val="single" w:color="auto" w:sz="4" w:space="0"/>
            </w:tcBorders>
            <w:noWrap/>
            <w:vAlign w:val="center"/>
          </w:tcPr>
          <w:p w14:paraId="2445467E">
            <w:pPr>
              <w:pStyle w:val="33"/>
              <w:rPr>
                <w:color w:val="auto"/>
              </w:rPr>
            </w:pPr>
            <w:r>
              <w:rPr>
                <w:color w:val="auto"/>
              </w:rPr>
              <w:t>监测值</w:t>
            </w:r>
          </w:p>
        </w:tc>
        <w:tc>
          <w:tcPr>
            <w:tcW w:w="585" w:type="pct"/>
            <w:tcBorders>
              <w:top w:val="single" w:color="auto" w:sz="4" w:space="0"/>
              <w:left w:val="single" w:color="auto" w:sz="4" w:space="0"/>
              <w:bottom w:val="single" w:color="auto" w:sz="4" w:space="0"/>
              <w:right w:val="single" w:color="auto" w:sz="4" w:space="0"/>
            </w:tcBorders>
            <w:vAlign w:val="center"/>
          </w:tcPr>
          <w:p w14:paraId="10AE262B">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03FB03A9">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FC81B2C">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4AC74A57">
            <w:pPr>
              <w:pStyle w:val="33"/>
              <w:rPr>
                <w:color w:val="auto"/>
              </w:rPr>
            </w:pPr>
          </w:p>
        </w:tc>
        <w:tc>
          <w:tcPr>
            <w:tcW w:w="585" w:type="pct"/>
            <w:tcBorders>
              <w:top w:val="single" w:color="auto" w:sz="4" w:space="0"/>
              <w:left w:val="single" w:color="auto" w:sz="4" w:space="0"/>
              <w:bottom w:val="single" w:color="auto" w:sz="4" w:space="0"/>
              <w:right w:val="single" w:color="auto" w:sz="4" w:space="0"/>
            </w:tcBorders>
            <w:vAlign w:val="center"/>
          </w:tcPr>
          <w:p w14:paraId="5A7BBFE6">
            <w:pPr>
              <w:pStyle w:val="33"/>
              <w:rPr>
                <w:color w:val="auto"/>
              </w:rPr>
            </w:pPr>
          </w:p>
        </w:tc>
        <w:tc>
          <w:tcPr>
            <w:tcW w:w="584" w:type="pct"/>
            <w:tcBorders>
              <w:top w:val="single" w:color="auto" w:sz="4" w:space="0"/>
              <w:left w:val="single" w:color="auto" w:sz="4" w:space="0"/>
              <w:bottom w:val="single" w:color="auto" w:sz="4" w:space="0"/>
              <w:right w:val="single" w:color="auto" w:sz="4" w:space="0"/>
            </w:tcBorders>
            <w:vAlign w:val="center"/>
          </w:tcPr>
          <w:p w14:paraId="587DC1A8">
            <w:pPr>
              <w:pStyle w:val="33"/>
              <w:rPr>
                <w:color w:val="auto"/>
              </w:rPr>
            </w:pPr>
          </w:p>
        </w:tc>
      </w:tr>
    </w:tbl>
    <w:p w14:paraId="6DBFF7D2">
      <w:pPr>
        <w:ind w:firstLine="0" w:firstLineChars="0"/>
        <w:rPr>
          <w:color w:val="auto"/>
          <w:sz w:val="21"/>
          <w:szCs w:val="21"/>
        </w:rPr>
      </w:pPr>
      <w:r>
        <w:rPr>
          <w:rFonts w:hint="eastAsia"/>
          <w:color w:val="auto"/>
          <w:sz w:val="21"/>
          <w:szCs w:val="21"/>
        </w:rPr>
        <w:t>注：监测结果低于方法检出限时，用“N</w:t>
      </w:r>
      <w:r>
        <w:rPr>
          <w:color w:val="auto"/>
          <w:sz w:val="21"/>
          <w:szCs w:val="21"/>
        </w:rPr>
        <w:t>D</w:t>
      </w:r>
      <w:r>
        <w:rPr>
          <w:rFonts w:hint="eastAsia"/>
          <w:color w:val="auto"/>
          <w:sz w:val="21"/>
          <w:szCs w:val="21"/>
        </w:rPr>
        <w:t>”表示。</w:t>
      </w:r>
    </w:p>
    <w:p w14:paraId="2B9CE2AA">
      <w:pPr>
        <w:ind w:firstLine="480"/>
        <w:rPr>
          <w:color w:val="auto"/>
        </w:rPr>
      </w:pPr>
      <w:r>
        <w:rPr>
          <w:rFonts w:hint="eastAsia"/>
          <w:color w:val="auto"/>
        </w:rPr>
        <w:t>由监测结果可知，</w:t>
      </w:r>
      <w:r>
        <w:rPr>
          <w:color w:val="auto"/>
        </w:rPr>
        <w:t>U1</w:t>
      </w:r>
      <w:r>
        <w:rPr>
          <w:rFonts w:hint="eastAsia"/>
          <w:color w:val="auto"/>
        </w:rPr>
        <w:t>、</w:t>
      </w:r>
      <w:r>
        <w:rPr>
          <w:color w:val="auto"/>
        </w:rPr>
        <w:t>U2</w:t>
      </w:r>
      <w:r>
        <w:rPr>
          <w:rFonts w:hint="eastAsia"/>
          <w:color w:val="auto"/>
        </w:rPr>
        <w:t>、</w:t>
      </w:r>
      <w:r>
        <w:rPr>
          <w:color w:val="auto"/>
        </w:rPr>
        <w:t>U3</w:t>
      </w:r>
      <w:r>
        <w:rPr>
          <w:rFonts w:hint="eastAsia"/>
          <w:color w:val="auto"/>
        </w:rPr>
        <w:t>点位p</w:t>
      </w:r>
      <w:r>
        <w:rPr>
          <w:color w:val="auto"/>
        </w:rPr>
        <w:t>H</w:t>
      </w:r>
      <w:r>
        <w:rPr>
          <w:rFonts w:hint="eastAsia"/>
          <w:color w:val="auto"/>
        </w:rPr>
        <w:t>值偏酸性，其余各项监测因子均达到《地下水质量标准》（G</w:t>
      </w:r>
      <w:r>
        <w:rPr>
          <w:color w:val="auto"/>
        </w:rPr>
        <w:t>B/T14848-2017</w:t>
      </w:r>
      <w:r>
        <w:rPr>
          <w:rFonts w:hint="eastAsia"/>
          <w:color w:val="auto"/>
        </w:rPr>
        <w:t>）I</w:t>
      </w:r>
      <w:r>
        <w:rPr>
          <w:color w:val="auto"/>
        </w:rPr>
        <w:t>II</w:t>
      </w:r>
      <w:r>
        <w:rPr>
          <w:rFonts w:hint="eastAsia"/>
          <w:color w:val="auto"/>
        </w:rPr>
        <w:t>类标准限值要求。</w:t>
      </w:r>
    </w:p>
    <w:p w14:paraId="5FBB23CF">
      <w:pPr>
        <w:ind w:firstLine="480"/>
        <w:rPr>
          <w:color w:val="auto"/>
        </w:rPr>
      </w:pPr>
      <w:r>
        <w:rPr>
          <w:rFonts w:hint="eastAsia"/>
          <w:color w:val="auto"/>
        </w:rPr>
        <w:t>pH值偏酸性原因分析：由于区域</w:t>
      </w:r>
      <w:bookmarkStart w:id="378" w:name="OLE_LINK5"/>
      <w:r>
        <w:rPr>
          <w:rFonts w:hint="eastAsia"/>
          <w:color w:val="auto"/>
        </w:rPr>
        <w:t>地质背景</w:t>
      </w:r>
      <w:bookmarkEnd w:id="378"/>
      <w:r>
        <w:rPr>
          <w:rFonts w:hint="eastAsia"/>
          <w:color w:val="auto"/>
        </w:rPr>
        <w:t>原因，导致地下水p</w:t>
      </w:r>
      <w:r>
        <w:rPr>
          <w:color w:val="auto"/>
        </w:rPr>
        <w:t>H</w:t>
      </w:r>
      <w:r>
        <w:rPr>
          <w:rFonts w:hint="eastAsia"/>
          <w:color w:val="auto"/>
        </w:rPr>
        <w:t>值背景值偏酸性，分析原因如下：</w:t>
      </w:r>
    </w:p>
    <w:p w14:paraId="29599F08">
      <w:pPr>
        <w:ind w:firstLine="480"/>
        <w:rPr>
          <w:color w:val="auto"/>
        </w:rPr>
      </w:pPr>
      <w:r>
        <w:rPr>
          <w:rFonts w:hint="eastAsia"/>
          <w:color w:val="auto"/>
        </w:rPr>
        <w:t>（1）纸厂没建成投产前已存在地下水偏酸的现象，并且金桂浆纸现有工程不排放酸碱废水，因此pH值超标原因应与当地地质背景有关，与金桂纸厂正常生产无关。金桂现有防渗措施符合设计的工程防渗措施，正常情况下金桂项目污水不存在跑、冒、滴、漏引起地下水水质恶化。根据2004年10月《广西金桂浆纸业有限公司林浆纸一体化工程年产60万吨高档纸板项目环境影响报告书》地下水监测水样试验成果中，调查区内3个监测井水的pH值在4.37~6.40之间，小于6.5，水质偏酸性；2018年12月《广西金桂浆纸业有限公司年产30万吨过氧化氢（浓度27.5%）项目水文地质调查报告》地下水监测水样试验成果中，调查区内5个水样的pH值为4.6-6.68，其中4个水样pH值小于6.5；</w:t>
      </w:r>
      <w:r>
        <w:rPr>
          <w:color w:val="auto"/>
        </w:rPr>
        <w:t xml:space="preserve"> </w:t>
      </w:r>
    </w:p>
    <w:p w14:paraId="2CF24E63">
      <w:pPr>
        <w:ind w:firstLine="480"/>
        <w:rPr>
          <w:color w:val="auto"/>
        </w:rPr>
      </w:pPr>
      <w:r>
        <w:rPr>
          <w:rFonts w:hint="eastAsia"/>
          <w:color w:val="auto"/>
        </w:rPr>
        <w:t>（2）地下水中pH值的超标（多表现为偏酸性）在桂南地区具有一定的普遍性（据《1:20万钦州合浦幅综合水文地质报告》中水质评价“除岩溶水和玄武岩类裂隙孔洞水外，区内其他类型的地下水，均有部分或大部分是pH值小于6.5的弱酸性甚至是强酸性水”）。因此推测本次地下水监测</w:t>
      </w:r>
      <w:r>
        <w:rPr>
          <w:color w:val="auto"/>
        </w:rPr>
        <w:t>pH</w:t>
      </w:r>
      <w:r>
        <w:rPr>
          <w:rFonts w:hint="eastAsia"/>
          <w:color w:val="auto"/>
        </w:rPr>
        <w:t>值超标原因为区域地质偏酸性。</w:t>
      </w:r>
    </w:p>
    <w:p w14:paraId="5B691F3D">
      <w:pPr>
        <w:pStyle w:val="3"/>
        <w:rPr>
          <w:color w:val="auto"/>
        </w:rPr>
      </w:pPr>
      <w:bookmarkStart w:id="379" w:name="_Toc225216756"/>
      <w:r>
        <w:rPr>
          <w:rFonts w:hint="eastAsia"/>
          <w:color w:val="auto"/>
        </w:rPr>
        <w:t>包气带污染调查</w:t>
      </w:r>
      <w:bookmarkEnd w:id="379"/>
    </w:p>
    <w:p w14:paraId="0E740C7B">
      <w:pPr>
        <w:ind w:firstLine="480"/>
        <w:rPr>
          <w:color w:val="auto"/>
        </w:rPr>
      </w:pPr>
      <w:r>
        <w:rPr>
          <w:rFonts w:hint="eastAsia"/>
          <w:color w:val="auto"/>
        </w:rPr>
        <w:t>本项目地下水等级为二级，根据《环境影响评价技术导则</w:t>
      </w:r>
      <w:r>
        <w:rPr>
          <w:color w:val="auto"/>
        </w:rPr>
        <w:t xml:space="preserve"> </w:t>
      </w:r>
      <w:r>
        <w:rPr>
          <w:rFonts w:hint="eastAsia"/>
          <w:color w:val="auto"/>
        </w:rPr>
        <w:t>地下水环境》（</w:t>
      </w:r>
      <w:r>
        <w:rPr>
          <w:color w:val="auto"/>
        </w:rPr>
        <w:t>HJ610-2016</w:t>
      </w:r>
      <w:r>
        <w:rPr>
          <w:rFonts w:hint="eastAsia"/>
          <w:color w:val="auto"/>
        </w:rPr>
        <w:t>）中的相关规定，需要开展包气带污染现状调查，本项目委托广西恒沁检测科技有限公司于</w:t>
      </w:r>
      <w:r>
        <w:rPr>
          <w:color w:val="auto"/>
        </w:rPr>
        <w:t>2026</w:t>
      </w:r>
      <w:r>
        <w:rPr>
          <w:rFonts w:hint="eastAsia"/>
          <w:color w:val="auto"/>
        </w:rPr>
        <w:t>年</w:t>
      </w:r>
      <w:r>
        <w:rPr>
          <w:color w:val="auto"/>
        </w:rPr>
        <w:t>3</w:t>
      </w:r>
      <w:r>
        <w:rPr>
          <w:rFonts w:hint="eastAsia"/>
          <w:color w:val="auto"/>
        </w:rPr>
        <w:t>月</w:t>
      </w:r>
      <w:r>
        <w:rPr>
          <w:color w:val="auto"/>
        </w:rPr>
        <w:t>12</w:t>
      </w:r>
      <w:r>
        <w:rPr>
          <w:rFonts w:hint="eastAsia"/>
          <w:color w:val="auto"/>
        </w:rPr>
        <w:t>日对污水处理站、</w:t>
      </w:r>
      <w:r>
        <w:rPr>
          <w:color w:val="auto"/>
        </w:rPr>
        <w:t>2#</w:t>
      </w:r>
      <w:r>
        <w:rPr>
          <w:rFonts w:hint="eastAsia"/>
          <w:color w:val="auto"/>
        </w:rPr>
        <w:t>硫磺山村东北面</w:t>
      </w:r>
      <w:r>
        <w:rPr>
          <w:color w:val="auto"/>
        </w:rPr>
        <w:t>120m</w:t>
      </w:r>
      <w:r>
        <w:rPr>
          <w:rFonts w:hint="eastAsia"/>
          <w:color w:val="auto"/>
        </w:rPr>
        <w:t>进行了监测。</w:t>
      </w:r>
    </w:p>
    <w:p w14:paraId="150F78B1">
      <w:pPr>
        <w:pStyle w:val="4"/>
        <w:rPr>
          <w:color w:val="auto"/>
        </w:rPr>
      </w:pPr>
      <w:bookmarkStart w:id="380" w:name="_Toc225216757"/>
      <w:r>
        <w:rPr>
          <w:rFonts w:hint="eastAsia"/>
          <w:color w:val="auto"/>
        </w:rPr>
        <w:t>监测点位和监测因子</w:t>
      </w:r>
      <w:bookmarkEnd w:id="380"/>
    </w:p>
    <w:p w14:paraId="0D95E603">
      <w:pPr>
        <w:ind w:firstLine="480"/>
        <w:rPr>
          <w:color w:val="auto"/>
        </w:rPr>
      </w:pPr>
      <w:r>
        <w:rPr>
          <w:rFonts w:hint="eastAsia"/>
          <w:color w:val="auto"/>
        </w:rPr>
        <w:t>监测点位和监测因子见下表。</w:t>
      </w:r>
    </w:p>
    <w:p w14:paraId="4AA5AE0C">
      <w:pPr>
        <w:pStyle w:val="7"/>
        <w:rPr>
          <w:color w:val="auto"/>
        </w:rPr>
      </w:pPr>
      <w:r>
        <w:rPr>
          <w:rFonts w:hint="eastAsia"/>
          <w:color w:val="auto"/>
        </w:rPr>
        <w:t>监测点位和监测因子一览表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9"/>
        <w:gridCol w:w="1179"/>
        <w:gridCol w:w="1757"/>
        <w:gridCol w:w="1320"/>
        <w:gridCol w:w="3317"/>
        <w:gridCol w:w="1154"/>
      </w:tblGrid>
      <w:tr w14:paraId="1FFF2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01" w:type="pct"/>
            <w:vAlign w:val="center"/>
          </w:tcPr>
          <w:p w14:paraId="5112DB99">
            <w:pPr>
              <w:pStyle w:val="33"/>
              <w:rPr>
                <w:color w:val="auto"/>
              </w:rPr>
            </w:pPr>
            <w:r>
              <w:rPr>
                <w:rFonts w:hint="eastAsia"/>
                <w:color w:val="auto"/>
              </w:rPr>
              <w:t>序号</w:t>
            </w:r>
          </w:p>
        </w:tc>
        <w:tc>
          <w:tcPr>
            <w:tcW w:w="1581" w:type="pct"/>
            <w:gridSpan w:val="2"/>
            <w:vAlign w:val="center"/>
          </w:tcPr>
          <w:p w14:paraId="5B7F633C">
            <w:pPr>
              <w:pStyle w:val="33"/>
              <w:rPr>
                <w:color w:val="auto"/>
              </w:rPr>
            </w:pPr>
            <w:r>
              <w:rPr>
                <w:rFonts w:hint="eastAsia"/>
                <w:color w:val="auto"/>
              </w:rPr>
              <w:t>监测点名称</w:t>
            </w:r>
          </w:p>
        </w:tc>
        <w:tc>
          <w:tcPr>
            <w:tcW w:w="711" w:type="pct"/>
            <w:vAlign w:val="center"/>
          </w:tcPr>
          <w:p w14:paraId="410EC8CB">
            <w:pPr>
              <w:pStyle w:val="33"/>
              <w:rPr>
                <w:color w:val="auto"/>
              </w:rPr>
            </w:pPr>
            <w:r>
              <w:rPr>
                <w:rFonts w:hint="eastAsia"/>
                <w:color w:val="auto"/>
              </w:rPr>
              <w:t>测点相对厂址方位</w:t>
            </w:r>
          </w:p>
        </w:tc>
        <w:tc>
          <w:tcPr>
            <w:tcW w:w="1786" w:type="pct"/>
            <w:vAlign w:val="center"/>
          </w:tcPr>
          <w:p w14:paraId="6F39DEF9">
            <w:pPr>
              <w:pStyle w:val="33"/>
              <w:rPr>
                <w:color w:val="auto"/>
              </w:rPr>
            </w:pPr>
            <w:r>
              <w:rPr>
                <w:rFonts w:hint="eastAsia"/>
                <w:color w:val="auto"/>
              </w:rPr>
              <w:t>监测因子</w:t>
            </w:r>
          </w:p>
        </w:tc>
        <w:tc>
          <w:tcPr>
            <w:tcW w:w="621" w:type="pct"/>
            <w:vAlign w:val="center"/>
          </w:tcPr>
          <w:p w14:paraId="1A2BDE63">
            <w:pPr>
              <w:pStyle w:val="33"/>
              <w:rPr>
                <w:color w:val="auto"/>
              </w:rPr>
            </w:pPr>
            <w:r>
              <w:rPr>
                <w:rFonts w:hint="eastAsia"/>
                <w:color w:val="auto"/>
              </w:rPr>
              <w:t>监测频次</w:t>
            </w:r>
          </w:p>
        </w:tc>
      </w:tr>
      <w:tr w14:paraId="290D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restart"/>
            <w:vAlign w:val="center"/>
          </w:tcPr>
          <w:p w14:paraId="1B6FD7DD">
            <w:pPr>
              <w:pStyle w:val="33"/>
              <w:rPr>
                <w:bCs/>
                <w:color w:val="auto"/>
              </w:rPr>
            </w:pPr>
            <w:r>
              <w:rPr>
                <w:bCs/>
                <w:color w:val="auto"/>
              </w:rPr>
              <w:t>1#</w:t>
            </w:r>
          </w:p>
        </w:tc>
        <w:tc>
          <w:tcPr>
            <w:tcW w:w="635" w:type="pct"/>
            <w:vMerge w:val="restart"/>
            <w:vAlign w:val="center"/>
          </w:tcPr>
          <w:p w14:paraId="2CB8FD19">
            <w:pPr>
              <w:pStyle w:val="33"/>
              <w:rPr>
                <w:bCs/>
                <w:color w:val="auto"/>
              </w:rPr>
            </w:pPr>
            <w:r>
              <w:rPr>
                <w:rFonts w:hint="eastAsia"/>
                <w:bCs/>
                <w:color w:val="auto"/>
              </w:rPr>
              <w:t>污水处理站</w:t>
            </w:r>
          </w:p>
        </w:tc>
        <w:tc>
          <w:tcPr>
            <w:tcW w:w="946" w:type="pct"/>
            <w:vAlign w:val="center"/>
          </w:tcPr>
          <w:p w14:paraId="4FD26A51">
            <w:pPr>
              <w:pStyle w:val="33"/>
              <w:rPr>
                <w:bCs/>
                <w:color w:val="auto"/>
              </w:rPr>
            </w:pPr>
            <w:r>
              <w:rPr>
                <w:bCs/>
                <w:color w:val="auto"/>
              </w:rPr>
              <w:t>0~0.5m</w:t>
            </w:r>
          </w:p>
        </w:tc>
        <w:tc>
          <w:tcPr>
            <w:tcW w:w="711" w:type="pct"/>
            <w:vMerge w:val="restart"/>
            <w:vAlign w:val="center"/>
          </w:tcPr>
          <w:p w14:paraId="56459525">
            <w:pPr>
              <w:pStyle w:val="33"/>
              <w:rPr>
                <w:bCs/>
                <w:color w:val="auto"/>
              </w:rPr>
            </w:pPr>
            <w:r>
              <w:rPr>
                <w:rFonts w:hint="eastAsia"/>
                <w:bCs/>
                <w:color w:val="auto"/>
              </w:rPr>
              <w:t>厂区范围内</w:t>
            </w:r>
          </w:p>
        </w:tc>
        <w:tc>
          <w:tcPr>
            <w:tcW w:w="1786" w:type="pct"/>
            <w:vMerge w:val="restart"/>
            <w:vAlign w:val="center"/>
          </w:tcPr>
          <w:p w14:paraId="46777F9D">
            <w:pPr>
              <w:pStyle w:val="33"/>
              <w:rPr>
                <w:bCs/>
                <w:color w:val="auto"/>
              </w:rPr>
            </w:pPr>
            <w:r>
              <w:rPr>
                <w:bCs/>
                <w:color w:val="auto"/>
              </w:rPr>
              <w:t>pH</w:t>
            </w:r>
            <w:r>
              <w:rPr>
                <w:rFonts w:hint="eastAsia"/>
                <w:bCs/>
                <w:color w:val="auto"/>
              </w:rPr>
              <w:t>、氰化物（以</w:t>
            </w:r>
            <w:r>
              <w:rPr>
                <w:bCs/>
                <w:color w:val="auto"/>
              </w:rPr>
              <w:t>CN</w:t>
            </w:r>
            <w:r>
              <w:rPr>
                <w:bCs/>
                <w:color w:val="auto"/>
                <w:vertAlign w:val="superscript"/>
              </w:rPr>
              <w:t>-</w:t>
            </w:r>
            <w:r>
              <w:rPr>
                <w:rFonts w:hint="eastAsia"/>
                <w:bCs/>
                <w:color w:val="auto"/>
              </w:rPr>
              <w:t>计）、硫酸盐（以</w:t>
            </w:r>
            <w:r>
              <w:rPr>
                <w:bCs/>
                <w:color w:val="auto"/>
              </w:rPr>
              <w:t>SO</w:t>
            </w:r>
            <w:r>
              <w:rPr>
                <w:bCs/>
                <w:color w:val="auto"/>
                <w:vertAlign w:val="subscript"/>
              </w:rPr>
              <w:t>4</w:t>
            </w:r>
            <w:r>
              <w:rPr>
                <w:bCs/>
                <w:color w:val="auto"/>
                <w:vertAlign w:val="superscript"/>
              </w:rPr>
              <w:t>2-</w:t>
            </w:r>
            <w:r>
              <w:rPr>
                <w:rFonts w:hint="eastAsia"/>
                <w:bCs/>
                <w:color w:val="auto"/>
              </w:rPr>
              <w:t>计）、氯化物（以</w:t>
            </w:r>
            <w:r>
              <w:rPr>
                <w:bCs/>
                <w:color w:val="auto"/>
              </w:rPr>
              <w:t>Cl</w:t>
            </w:r>
            <w:r>
              <w:rPr>
                <w:bCs/>
                <w:color w:val="auto"/>
                <w:vertAlign w:val="superscript"/>
              </w:rPr>
              <w:t>-</w:t>
            </w:r>
            <w:r>
              <w:rPr>
                <w:rFonts w:hint="eastAsia"/>
                <w:bCs/>
                <w:color w:val="auto"/>
              </w:rPr>
              <w:t>计）、氟化物（以</w:t>
            </w:r>
            <w:r>
              <w:rPr>
                <w:bCs/>
                <w:color w:val="auto"/>
              </w:rPr>
              <w:t>F</w:t>
            </w:r>
            <w:r>
              <w:rPr>
                <w:bCs/>
                <w:color w:val="auto"/>
                <w:vertAlign w:val="superscript"/>
              </w:rPr>
              <w:t>-</w:t>
            </w:r>
            <w:r>
              <w:rPr>
                <w:rFonts w:hint="eastAsia"/>
                <w:bCs/>
                <w:color w:val="auto"/>
              </w:rPr>
              <w:t>计）、</w:t>
            </w:r>
            <w:r>
              <w:rPr>
                <w:bCs/>
                <w:color w:val="auto"/>
              </w:rPr>
              <w:t>COD</w:t>
            </w:r>
            <w:r>
              <w:rPr>
                <w:bCs/>
                <w:color w:val="auto"/>
                <w:vertAlign w:val="subscript"/>
              </w:rPr>
              <w:t>Mn</w:t>
            </w:r>
            <w:r>
              <w:rPr>
                <w:rFonts w:hint="eastAsia"/>
                <w:bCs/>
                <w:color w:val="auto"/>
              </w:rPr>
              <w:t>、氨氮（</w:t>
            </w:r>
            <w:r>
              <w:rPr>
                <w:bCs/>
                <w:color w:val="auto"/>
              </w:rPr>
              <w:t>NH</w:t>
            </w:r>
            <w:r>
              <w:rPr>
                <w:bCs/>
                <w:color w:val="auto"/>
                <w:vertAlign w:val="subscript"/>
              </w:rPr>
              <w:t>3</w:t>
            </w:r>
            <w:r>
              <w:rPr>
                <w:bCs/>
                <w:color w:val="auto"/>
              </w:rPr>
              <w:t>-N</w:t>
            </w:r>
            <w:r>
              <w:rPr>
                <w:rFonts w:hint="eastAsia"/>
                <w:bCs/>
                <w:color w:val="auto"/>
              </w:rPr>
              <w:t>）、砷、六价铬、铜、汞、铅、石油类、硝酸盐、亚硝酸盐</w:t>
            </w:r>
          </w:p>
        </w:tc>
        <w:tc>
          <w:tcPr>
            <w:tcW w:w="621" w:type="pct"/>
            <w:vMerge w:val="restart"/>
            <w:vAlign w:val="center"/>
          </w:tcPr>
          <w:p w14:paraId="71677556">
            <w:pPr>
              <w:pStyle w:val="33"/>
              <w:rPr>
                <w:bCs/>
                <w:color w:val="auto"/>
              </w:rPr>
            </w:pPr>
            <w:r>
              <w:rPr>
                <w:bCs/>
                <w:color w:val="auto"/>
              </w:rPr>
              <w:t>1</w:t>
            </w:r>
            <w:r>
              <w:rPr>
                <w:rFonts w:hint="eastAsia"/>
                <w:bCs/>
                <w:color w:val="auto"/>
              </w:rPr>
              <w:t>次</w:t>
            </w:r>
            <w:r>
              <w:rPr>
                <w:bCs/>
                <w:color w:val="auto"/>
              </w:rPr>
              <w:t>/</w:t>
            </w:r>
            <w:r>
              <w:rPr>
                <w:rFonts w:hint="eastAsia"/>
                <w:bCs/>
                <w:color w:val="auto"/>
              </w:rPr>
              <w:t>天</w:t>
            </w:r>
          </w:p>
        </w:tc>
      </w:tr>
      <w:tr w14:paraId="27253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continue"/>
            <w:vAlign w:val="center"/>
          </w:tcPr>
          <w:p w14:paraId="7F3B38F5">
            <w:pPr>
              <w:pStyle w:val="33"/>
              <w:rPr>
                <w:bCs/>
                <w:color w:val="auto"/>
              </w:rPr>
            </w:pPr>
          </w:p>
        </w:tc>
        <w:tc>
          <w:tcPr>
            <w:tcW w:w="635" w:type="pct"/>
            <w:vMerge w:val="continue"/>
            <w:vAlign w:val="center"/>
          </w:tcPr>
          <w:p w14:paraId="1E0507A4">
            <w:pPr>
              <w:pStyle w:val="33"/>
              <w:rPr>
                <w:bCs/>
                <w:color w:val="auto"/>
              </w:rPr>
            </w:pPr>
          </w:p>
        </w:tc>
        <w:tc>
          <w:tcPr>
            <w:tcW w:w="946" w:type="pct"/>
            <w:vAlign w:val="center"/>
          </w:tcPr>
          <w:p w14:paraId="4202E323">
            <w:pPr>
              <w:pStyle w:val="33"/>
              <w:rPr>
                <w:bCs/>
                <w:color w:val="auto"/>
              </w:rPr>
            </w:pPr>
            <w:r>
              <w:rPr>
                <w:bCs/>
                <w:color w:val="auto"/>
              </w:rPr>
              <w:t>0.5~1.5m</w:t>
            </w:r>
          </w:p>
        </w:tc>
        <w:tc>
          <w:tcPr>
            <w:tcW w:w="711" w:type="pct"/>
            <w:vMerge w:val="continue"/>
            <w:vAlign w:val="center"/>
          </w:tcPr>
          <w:p w14:paraId="03D09747">
            <w:pPr>
              <w:pStyle w:val="33"/>
              <w:rPr>
                <w:bCs/>
                <w:color w:val="auto"/>
              </w:rPr>
            </w:pPr>
          </w:p>
        </w:tc>
        <w:tc>
          <w:tcPr>
            <w:tcW w:w="1786" w:type="pct"/>
            <w:vMerge w:val="continue"/>
            <w:vAlign w:val="center"/>
          </w:tcPr>
          <w:p w14:paraId="74481EEF">
            <w:pPr>
              <w:pStyle w:val="33"/>
              <w:rPr>
                <w:bCs/>
                <w:color w:val="auto"/>
              </w:rPr>
            </w:pPr>
          </w:p>
        </w:tc>
        <w:tc>
          <w:tcPr>
            <w:tcW w:w="621" w:type="pct"/>
            <w:vMerge w:val="continue"/>
            <w:vAlign w:val="center"/>
          </w:tcPr>
          <w:p w14:paraId="0DD7B41C">
            <w:pPr>
              <w:pStyle w:val="33"/>
              <w:rPr>
                <w:bCs/>
                <w:color w:val="auto"/>
              </w:rPr>
            </w:pPr>
          </w:p>
        </w:tc>
      </w:tr>
      <w:tr w14:paraId="696AC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continue"/>
            <w:vAlign w:val="center"/>
          </w:tcPr>
          <w:p w14:paraId="5AD24AA2">
            <w:pPr>
              <w:pStyle w:val="33"/>
              <w:rPr>
                <w:bCs/>
                <w:color w:val="auto"/>
              </w:rPr>
            </w:pPr>
          </w:p>
        </w:tc>
        <w:tc>
          <w:tcPr>
            <w:tcW w:w="635" w:type="pct"/>
            <w:vMerge w:val="continue"/>
            <w:vAlign w:val="center"/>
          </w:tcPr>
          <w:p w14:paraId="50860ED4">
            <w:pPr>
              <w:pStyle w:val="33"/>
              <w:rPr>
                <w:bCs/>
                <w:color w:val="auto"/>
              </w:rPr>
            </w:pPr>
          </w:p>
        </w:tc>
        <w:tc>
          <w:tcPr>
            <w:tcW w:w="946" w:type="pct"/>
            <w:vAlign w:val="center"/>
          </w:tcPr>
          <w:p w14:paraId="41F3BD06">
            <w:pPr>
              <w:pStyle w:val="33"/>
              <w:rPr>
                <w:bCs/>
                <w:color w:val="auto"/>
              </w:rPr>
            </w:pPr>
            <w:r>
              <w:rPr>
                <w:bCs/>
                <w:color w:val="auto"/>
              </w:rPr>
              <w:t>1.5~3m</w:t>
            </w:r>
          </w:p>
        </w:tc>
        <w:tc>
          <w:tcPr>
            <w:tcW w:w="711" w:type="pct"/>
            <w:vMerge w:val="continue"/>
            <w:vAlign w:val="center"/>
          </w:tcPr>
          <w:p w14:paraId="3EA75922">
            <w:pPr>
              <w:pStyle w:val="33"/>
              <w:rPr>
                <w:bCs/>
                <w:color w:val="auto"/>
              </w:rPr>
            </w:pPr>
          </w:p>
        </w:tc>
        <w:tc>
          <w:tcPr>
            <w:tcW w:w="1786" w:type="pct"/>
            <w:vMerge w:val="continue"/>
            <w:vAlign w:val="center"/>
          </w:tcPr>
          <w:p w14:paraId="351351E8">
            <w:pPr>
              <w:pStyle w:val="33"/>
              <w:rPr>
                <w:bCs/>
                <w:color w:val="auto"/>
              </w:rPr>
            </w:pPr>
          </w:p>
        </w:tc>
        <w:tc>
          <w:tcPr>
            <w:tcW w:w="621" w:type="pct"/>
            <w:vMerge w:val="continue"/>
            <w:vAlign w:val="center"/>
          </w:tcPr>
          <w:p w14:paraId="413A01FB">
            <w:pPr>
              <w:pStyle w:val="33"/>
              <w:rPr>
                <w:bCs/>
                <w:color w:val="auto"/>
              </w:rPr>
            </w:pPr>
          </w:p>
        </w:tc>
      </w:tr>
      <w:tr w14:paraId="45CB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restart"/>
            <w:vAlign w:val="center"/>
          </w:tcPr>
          <w:p w14:paraId="402FB48E">
            <w:pPr>
              <w:pStyle w:val="33"/>
              <w:rPr>
                <w:bCs/>
                <w:color w:val="auto"/>
              </w:rPr>
            </w:pPr>
            <w:r>
              <w:rPr>
                <w:bCs/>
                <w:color w:val="auto"/>
              </w:rPr>
              <w:t>2#</w:t>
            </w:r>
          </w:p>
        </w:tc>
        <w:tc>
          <w:tcPr>
            <w:tcW w:w="635" w:type="pct"/>
            <w:vMerge w:val="restart"/>
            <w:vAlign w:val="center"/>
          </w:tcPr>
          <w:p w14:paraId="012E7279">
            <w:pPr>
              <w:pStyle w:val="33"/>
              <w:rPr>
                <w:bCs/>
                <w:color w:val="auto"/>
              </w:rPr>
            </w:pPr>
            <w:r>
              <w:rPr>
                <w:color w:val="auto"/>
              </w:rPr>
              <w:t>2#</w:t>
            </w:r>
            <w:r>
              <w:rPr>
                <w:rFonts w:hint="eastAsia"/>
                <w:color w:val="auto"/>
              </w:rPr>
              <w:t>硫磺山村东北面</w:t>
            </w:r>
            <w:r>
              <w:rPr>
                <w:color w:val="auto"/>
              </w:rPr>
              <w:t>120m</w:t>
            </w:r>
          </w:p>
        </w:tc>
        <w:tc>
          <w:tcPr>
            <w:tcW w:w="946" w:type="pct"/>
            <w:vAlign w:val="center"/>
          </w:tcPr>
          <w:p w14:paraId="6DEA38FD">
            <w:pPr>
              <w:pStyle w:val="33"/>
              <w:rPr>
                <w:bCs/>
                <w:color w:val="auto"/>
              </w:rPr>
            </w:pPr>
            <w:r>
              <w:rPr>
                <w:bCs/>
                <w:color w:val="auto"/>
              </w:rPr>
              <w:t>0~0.5m</w:t>
            </w:r>
          </w:p>
        </w:tc>
        <w:tc>
          <w:tcPr>
            <w:tcW w:w="711" w:type="pct"/>
            <w:vMerge w:val="restart"/>
            <w:vAlign w:val="center"/>
          </w:tcPr>
          <w:p w14:paraId="4D99221E">
            <w:pPr>
              <w:pStyle w:val="33"/>
              <w:rPr>
                <w:bCs/>
                <w:color w:val="auto"/>
              </w:rPr>
            </w:pPr>
            <w:r>
              <w:rPr>
                <w:rFonts w:hint="eastAsia"/>
                <w:bCs/>
                <w:color w:val="auto"/>
              </w:rPr>
              <w:t>厂区范围外</w:t>
            </w:r>
          </w:p>
        </w:tc>
        <w:tc>
          <w:tcPr>
            <w:tcW w:w="1786" w:type="pct"/>
            <w:vMerge w:val="continue"/>
            <w:vAlign w:val="center"/>
          </w:tcPr>
          <w:p w14:paraId="06BEC6F9">
            <w:pPr>
              <w:pStyle w:val="33"/>
              <w:rPr>
                <w:bCs/>
                <w:color w:val="auto"/>
              </w:rPr>
            </w:pPr>
          </w:p>
        </w:tc>
        <w:tc>
          <w:tcPr>
            <w:tcW w:w="621" w:type="pct"/>
            <w:vMerge w:val="continue"/>
            <w:vAlign w:val="center"/>
          </w:tcPr>
          <w:p w14:paraId="5FE3EB6A">
            <w:pPr>
              <w:pStyle w:val="33"/>
              <w:rPr>
                <w:bCs/>
                <w:color w:val="auto"/>
              </w:rPr>
            </w:pPr>
          </w:p>
        </w:tc>
      </w:tr>
      <w:tr w14:paraId="4452E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continue"/>
            <w:vAlign w:val="center"/>
          </w:tcPr>
          <w:p w14:paraId="1BCDF80A">
            <w:pPr>
              <w:pStyle w:val="33"/>
              <w:rPr>
                <w:bCs/>
                <w:color w:val="auto"/>
              </w:rPr>
            </w:pPr>
          </w:p>
        </w:tc>
        <w:tc>
          <w:tcPr>
            <w:tcW w:w="635" w:type="pct"/>
            <w:vMerge w:val="continue"/>
            <w:vAlign w:val="center"/>
          </w:tcPr>
          <w:p w14:paraId="47B16BA1">
            <w:pPr>
              <w:pStyle w:val="33"/>
              <w:rPr>
                <w:bCs/>
                <w:color w:val="auto"/>
              </w:rPr>
            </w:pPr>
          </w:p>
        </w:tc>
        <w:tc>
          <w:tcPr>
            <w:tcW w:w="946" w:type="pct"/>
            <w:vAlign w:val="center"/>
          </w:tcPr>
          <w:p w14:paraId="7C7ACAB7">
            <w:pPr>
              <w:pStyle w:val="33"/>
              <w:rPr>
                <w:bCs/>
                <w:color w:val="auto"/>
              </w:rPr>
            </w:pPr>
            <w:r>
              <w:rPr>
                <w:bCs/>
                <w:color w:val="auto"/>
              </w:rPr>
              <w:t>0.5~1.5m</w:t>
            </w:r>
          </w:p>
        </w:tc>
        <w:tc>
          <w:tcPr>
            <w:tcW w:w="711" w:type="pct"/>
            <w:vMerge w:val="continue"/>
            <w:vAlign w:val="center"/>
          </w:tcPr>
          <w:p w14:paraId="0DBFB669">
            <w:pPr>
              <w:pStyle w:val="33"/>
              <w:rPr>
                <w:bCs/>
                <w:color w:val="auto"/>
              </w:rPr>
            </w:pPr>
          </w:p>
        </w:tc>
        <w:tc>
          <w:tcPr>
            <w:tcW w:w="1786" w:type="pct"/>
            <w:vMerge w:val="continue"/>
            <w:vAlign w:val="center"/>
          </w:tcPr>
          <w:p w14:paraId="0EC58B3A">
            <w:pPr>
              <w:pStyle w:val="33"/>
              <w:rPr>
                <w:bCs/>
                <w:color w:val="auto"/>
              </w:rPr>
            </w:pPr>
          </w:p>
        </w:tc>
        <w:tc>
          <w:tcPr>
            <w:tcW w:w="621" w:type="pct"/>
            <w:vMerge w:val="continue"/>
            <w:vAlign w:val="center"/>
          </w:tcPr>
          <w:p w14:paraId="4B7AE292">
            <w:pPr>
              <w:pStyle w:val="33"/>
              <w:rPr>
                <w:bCs/>
                <w:color w:val="auto"/>
              </w:rPr>
            </w:pPr>
          </w:p>
        </w:tc>
      </w:tr>
      <w:tr w14:paraId="6946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 w:type="pct"/>
            <w:vMerge w:val="continue"/>
            <w:vAlign w:val="center"/>
          </w:tcPr>
          <w:p w14:paraId="3B303138">
            <w:pPr>
              <w:pStyle w:val="33"/>
              <w:rPr>
                <w:bCs/>
                <w:color w:val="auto"/>
              </w:rPr>
            </w:pPr>
          </w:p>
        </w:tc>
        <w:tc>
          <w:tcPr>
            <w:tcW w:w="635" w:type="pct"/>
            <w:vMerge w:val="continue"/>
            <w:vAlign w:val="center"/>
          </w:tcPr>
          <w:p w14:paraId="42DCFAB3">
            <w:pPr>
              <w:pStyle w:val="33"/>
              <w:rPr>
                <w:color w:val="auto"/>
              </w:rPr>
            </w:pPr>
          </w:p>
        </w:tc>
        <w:tc>
          <w:tcPr>
            <w:tcW w:w="946" w:type="pct"/>
            <w:vAlign w:val="center"/>
          </w:tcPr>
          <w:p w14:paraId="328A7833">
            <w:pPr>
              <w:pStyle w:val="33"/>
              <w:rPr>
                <w:bCs/>
                <w:color w:val="auto"/>
              </w:rPr>
            </w:pPr>
            <w:r>
              <w:rPr>
                <w:bCs/>
                <w:color w:val="auto"/>
              </w:rPr>
              <w:t>1.5~3m</w:t>
            </w:r>
          </w:p>
        </w:tc>
        <w:tc>
          <w:tcPr>
            <w:tcW w:w="711" w:type="pct"/>
            <w:vMerge w:val="continue"/>
            <w:vAlign w:val="center"/>
          </w:tcPr>
          <w:p w14:paraId="053207D6">
            <w:pPr>
              <w:pStyle w:val="33"/>
              <w:rPr>
                <w:bCs/>
                <w:color w:val="auto"/>
              </w:rPr>
            </w:pPr>
          </w:p>
        </w:tc>
        <w:tc>
          <w:tcPr>
            <w:tcW w:w="1786" w:type="pct"/>
            <w:vMerge w:val="continue"/>
            <w:vAlign w:val="center"/>
          </w:tcPr>
          <w:p w14:paraId="6B633EE8">
            <w:pPr>
              <w:pStyle w:val="33"/>
              <w:rPr>
                <w:bCs/>
                <w:color w:val="auto"/>
              </w:rPr>
            </w:pPr>
          </w:p>
        </w:tc>
        <w:tc>
          <w:tcPr>
            <w:tcW w:w="621" w:type="pct"/>
            <w:vMerge w:val="continue"/>
            <w:vAlign w:val="center"/>
          </w:tcPr>
          <w:p w14:paraId="597143E3">
            <w:pPr>
              <w:pStyle w:val="33"/>
              <w:rPr>
                <w:bCs/>
                <w:color w:val="auto"/>
              </w:rPr>
            </w:pPr>
          </w:p>
        </w:tc>
      </w:tr>
    </w:tbl>
    <w:p w14:paraId="4A180DBA">
      <w:pPr>
        <w:pStyle w:val="4"/>
        <w:rPr>
          <w:color w:val="auto"/>
        </w:rPr>
      </w:pPr>
      <w:bookmarkStart w:id="381" w:name="_Toc225216758"/>
      <w:r>
        <w:rPr>
          <w:rFonts w:hint="eastAsia"/>
          <w:color w:val="auto"/>
        </w:rPr>
        <w:t>分析方法</w:t>
      </w:r>
      <w:bookmarkEnd w:id="381"/>
    </w:p>
    <w:p w14:paraId="17D36812">
      <w:pPr>
        <w:ind w:firstLine="480"/>
        <w:rPr>
          <w:color w:val="auto"/>
        </w:rPr>
      </w:pPr>
      <w:r>
        <w:rPr>
          <w:rFonts w:hint="eastAsia"/>
          <w:color w:val="auto"/>
        </w:rPr>
        <w:t>监测分析方法见下表。</w:t>
      </w:r>
    </w:p>
    <w:p w14:paraId="244C49AA">
      <w:pPr>
        <w:pStyle w:val="7"/>
        <w:rPr>
          <w:color w:val="auto"/>
        </w:rPr>
      </w:pPr>
      <w:r>
        <w:rPr>
          <w:rFonts w:hint="eastAsia"/>
          <w:color w:val="auto"/>
        </w:rPr>
        <w:t>监测分析方法</w:t>
      </w:r>
    </w:p>
    <w:tbl>
      <w:tblPr>
        <w:tblStyle w:val="26"/>
        <w:tblW w:w="96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1502"/>
        <w:gridCol w:w="5529"/>
        <w:gridCol w:w="1393"/>
      </w:tblGrid>
      <w:tr w14:paraId="4EE95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Align w:val="center"/>
          </w:tcPr>
          <w:p w14:paraId="1DB2D168">
            <w:pPr>
              <w:pStyle w:val="33"/>
              <w:rPr>
                <w:b/>
                <w:bCs/>
                <w:color w:val="auto"/>
              </w:rPr>
            </w:pPr>
            <w:r>
              <w:rPr>
                <w:rFonts w:hint="eastAsia"/>
                <w:b/>
                <w:bCs/>
                <w:color w:val="auto"/>
              </w:rPr>
              <w:t>检测要素</w:t>
            </w:r>
          </w:p>
        </w:tc>
        <w:tc>
          <w:tcPr>
            <w:tcW w:w="1502" w:type="dxa"/>
            <w:vAlign w:val="center"/>
          </w:tcPr>
          <w:p w14:paraId="701843AB">
            <w:pPr>
              <w:pStyle w:val="33"/>
              <w:rPr>
                <w:b/>
                <w:bCs/>
                <w:color w:val="auto"/>
              </w:rPr>
            </w:pPr>
            <w:r>
              <w:rPr>
                <w:rFonts w:hint="eastAsia"/>
                <w:b/>
                <w:bCs/>
                <w:color w:val="auto"/>
              </w:rPr>
              <w:t>检测项目</w:t>
            </w:r>
          </w:p>
        </w:tc>
        <w:tc>
          <w:tcPr>
            <w:tcW w:w="5529" w:type="dxa"/>
            <w:vAlign w:val="center"/>
          </w:tcPr>
          <w:p w14:paraId="6DE8DC7F">
            <w:pPr>
              <w:pStyle w:val="33"/>
              <w:rPr>
                <w:b/>
                <w:bCs/>
                <w:color w:val="auto"/>
              </w:rPr>
            </w:pPr>
            <w:r>
              <w:rPr>
                <w:rFonts w:hint="eastAsia"/>
                <w:b/>
                <w:bCs/>
                <w:color w:val="auto"/>
              </w:rPr>
              <w:t>方法名称及标准号</w:t>
            </w:r>
          </w:p>
        </w:tc>
        <w:tc>
          <w:tcPr>
            <w:tcW w:w="1393" w:type="dxa"/>
            <w:vAlign w:val="center"/>
          </w:tcPr>
          <w:p w14:paraId="195FEB33">
            <w:pPr>
              <w:pStyle w:val="33"/>
              <w:rPr>
                <w:b/>
                <w:bCs/>
                <w:color w:val="auto"/>
              </w:rPr>
            </w:pPr>
            <w:r>
              <w:rPr>
                <w:rFonts w:hint="eastAsia"/>
                <w:b/>
                <w:bCs/>
                <w:color w:val="auto"/>
              </w:rPr>
              <w:t>检出限或最低检出浓度</w:t>
            </w:r>
          </w:p>
        </w:tc>
      </w:tr>
      <w:tr w14:paraId="4A678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restart"/>
            <w:vAlign w:val="center"/>
          </w:tcPr>
          <w:p w14:paraId="0BED0965">
            <w:pPr>
              <w:pStyle w:val="33"/>
              <w:rPr>
                <w:color w:val="auto"/>
              </w:rPr>
            </w:pPr>
            <w:r>
              <w:rPr>
                <w:rFonts w:hint="eastAsia"/>
                <w:color w:val="auto"/>
              </w:rPr>
              <w:t>包气带</w:t>
            </w:r>
          </w:p>
        </w:tc>
        <w:tc>
          <w:tcPr>
            <w:tcW w:w="1502" w:type="dxa"/>
            <w:vAlign w:val="center"/>
          </w:tcPr>
          <w:p w14:paraId="1F8E2A74">
            <w:pPr>
              <w:pStyle w:val="33"/>
              <w:rPr>
                <w:color w:val="auto"/>
              </w:rPr>
            </w:pPr>
            <w:r>
              <w:rPr>
                <w:rFonts w:hint="eastAsia"/>
                <w:color w:val="auto"/>
              </w:rPr>
              <w:t>氨氮</w:t>
            </w:r>
          </w:p>
        </w:tc>
        <w:tc>
          <w:tcPr>
            <w:tcW w:w="5529" w:type="dxa"/>
            <w:vAlign w:val="center"/>
          </w:tcPr>
          <w:p w14:paraId="2BFF77E9">
            <w:pPr>
              <w:pStyle w:val="33"/>
              <w:rPr>
                <w:color w:val="auto"/>
              </w:rPr>
            </w:pPr>
            <w:r>
              <w:rPr>
                <w:rFonts w:hint="eastAsia"/>
                <w:color w:val="auto"/>
              </w:rPr>
              <w:t>水质</w:t>
            </w:r>
            <w:r>
              <w:rPr>
                <w:color w:val="auto"/>
              </w:rPr>
              <w:t xml:space="preserve"> </w:t>
            </w:r>
            <w:r>
              <w:rPr>
                <w:rFonts w:hint="eastAsia"/>
                <w:color w:val="auto"/>
              </w:rPr>
              <w:t>氨氮的测定</w:t>
            </w:r>
            <w:r>
              <w:rPr>
                <w:color w:val="auto"/>
              </w:rPr>
              <w:t xml:space="preserve"> </w:t>
            </w:r>
            <w:r>
              <w:rPr>
                <w:rFonts w:hint="eastAsia"/>
                <w:color w:val="auto"/>
              </w:rPr>
              <w:t>纳氏试剂分光光度法</w:t>
            </w:r>
          </w:p>
          <w:p w14:paraId="02A80256">
            <w:pPr>
              <w:pStyle w:val="33"/>
              <w:rPr>
                <w:color w:val="auto"/>
              </w:rPr>
            </w:pPr>
            <w:r>
              <w:rPr>
                <w:rFonts w:hint="eastAsia"/>
                <w:color w:val="auto"/>
              </w:rPr>
              <w:t>（</w:t>
            </w:r>
            <w:r>
              <w:rPr>
                <w:color w:val="auto"/>
              </w:rPr>
              <w:t>HJ 535-2009</w:t>
            </w:r>
            <w:r>
              <w:rPr>
                <w:rFonts w:hint="eastAsia"/>
                <w:color w:val="auto"/>
              </w:rPr>
              <w:t>）</w:t>
            </w:r>
          </w:p>
        </w:tc>
        <w:tc>
          <w:tcPr>
            <w:tcW w:w="1393" w:type="dxa"/>
            <w:vAlign w:val="center"/>
          </w:tcPr>
          <w:p w14:paraId="026E44CF">
            <w:pPr>
              <w:pStyle w:val="33"/>
              <w:rPr>
                <w:color w:val="auto"/>
              </w:rPr>
            </w:pPr>
            <w:r>
              <w:rPr>
                <w:color w:val="auto"/>
              </w:rPr>
              <w:t>0.025mg/L</w:t>
            </w:r>
          </w:p>
        </w:tc>
      </w:tr>
      <w:tr w14:paraId="6793D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continue"/>
            <w:vAlign w:val="center"/>
          </w:tcPr>
          <w:p w14:paraId="039617BB">
            <w:pPr>
              <w:pStyle w:val="33"/>
              <w:rPr>
                <w:color w:val="auto"/>
              </w:rPr>
            </w:pPr>
          </w:p>
        </w:tc>
        <w:tc>
          <w:tcPr>
            <w:tcW w:w="1502" w:type="dxa"/>
            <w:vAlign w:val="center"/>
          </w:tcPr>
          <w:p w14:paraId="3019093F">
            <w:pPr>
              <w:pStyle w:val="33"/>
              <w:rPr>
                <w:color w:val="auto"/>
              </w:rPr>
            </w:pPr>
            <w:r>
              <w:rPr>
                <w:rFonts w:hint="eastAsia"/>
                <w:color w:val="auto"/>
              </w:rPr>
              <w:t>砷</w:t>
            </w:r>
          </w:p>
        </w:tc>
        <w:tc>
          <w:tcPr>
            <w:tcW w:w="5529" w:type="dxa"/>
            <w:vMerge w:val="restart"/>
            <w:vAlign w:val="center"/>
          </w:tcPr>
          <w:p w14:paraId="4B848516">
            <w:pPr>
              <w:pStyle w:val="33"/>
              <w:rPr>
                <w:color w:val="auto"/>
              </w:rPr>
            </w:pPr>
            <w:r>
              <w:rPr>
                <w:rFonts w:hint="eastAsia"/>
                <w:color w:val="auto"/>
              </w:rPr>
              <w:t>水质</w:t>
            </w:r>
            <w:r>
              <w:rPr>
                <w:color w:val="auto"/>
              </w:rPr>
              <w:t xml:space="preserve"> </w:t>
            </w:r>
            <w:r>
              <w:rPr>
                <w:rFonts w:hint="eastAsia"/>
                <w:color w:val="auto"/>
              </w:rPr>
              <w:t>汞、砷、硒、铋和锑的测定</w:t>
            </w:r>
            <w:r>
              <w:rPr>
                <w:color w:val="auto"/>
              </w:rPr>
              <w:t xml:space="preserve"> </w:t>
            </w:r>
            <w:r>
              <w:rPr>
                <w:rFonts w:hint="eastAsia"/>
                <w:color w:val="auto"/>
              </w:rPr>
              <w:t>原子荧光法（</w:t>
            </w:r>
            <w:r>
              <w:rPr>
                <w:color w:val="auto"/>
              </w:rPr>
              <w:t>HJ 694-2014</w:t>
            </w:r>
            <w:r>
              <w:rPr>
                <w:rFonts w:hint="eastAsia"/>
                <w:color w:val="auto"/>
              </w:rPr>
              <w:t>）</w:t>
            </w:r>
          </w:p>
        </w:tc>
        <w:tc>
          <w:tcPr>
            <w:tcW w:w="1393" w:type="dxa"/>
            <w:vAlign w:val="center"/>
          </w:tcPr>
          <w:p w14:paraId="35F2769B">
            <w:pPr>
              <w:pStyle w:val="33"/>
              <w:rPr>
                <w:color w:val="auto"/>
              </w:rPr>
            </w:pPr>
            <w:r>
              <w:rPr>
                <w:color w:val="auto"/>
              </w:rPr>
              <w:t>0.3μg/L</w:t>
            </w:r>
          </w:p>
        </w:tc>
      </w:tr>
      <w:tr w14:paraId="1D264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continue"/>
            <w:vAlign w:val="center"/>
          </w:tcPr>
          <w:p w14:paraId="3A06DD71">
            <w:pPr>
              <w:pStyle w:val="33"/>
              <w:rPr>
                <w:color w:val="auto"/>
              </w:rPr>
            </w:pPr>
          </w:p>
        </w:tc>
        <w:tc>
          <w:tcPr>
            <w:tcW w:w="1502" w:type="dxa"/>
            <w:vAlign w:val="center"/>
          </w:tcPr>
          <w:p w14:paraId="346A0527">
            <w:pPr>
              <w:pStyle w:val="33"/>
              <w:rPr>
                <w:color w:val="auto"/>
              </w:rPr>
            </w:pPr>
            <w:r>
              <w:rPr>
                <w:rFonts w:hint="eastAsia"/>
                <w:color w:val="auto"/>
              </w:rPr>
              <w:t>汞</w:t>
            </w:r>
          </w:p>
        </w:tc>
        <w:tc>
          <w:tcPr>
            <w:tcW w:w="5529" w:type="dxa"/>
            <w:vMerge w:val="continue"/>
            <w:vAlign w:val="center"/>
          </w:tcPr>
          <w:p w14:paraId="62547F7C">
            <w:pPr>
              <w:pStyle w:val="33"/>
              <w:rPr>
                <w:color w:val="auto"/>
              </w:rPr>
            </w:pPr>
          </w:p>
        </w:tc>
        <w:tc>
          <w:tcPr>
            <w:tcW w:w="1393" w:type="dxa"/>
            <w:vAlign w:val="center"/>
          </w:tcPr>
          <w:p w14:paraId="5EAB9B7A">
            <w:pPr>
              <w:pStyle w:val="33"/>
              <w:rPr>
                <w:color w:val="auto"/>
              </w:rPr>
            </w:pPr>
            <w:r>
              <w:rPr>
                <w:color w:val="auto"/>
              </w:rPr>
              <w:t>0.04μg/L</w:t>
            </w:r>
          </w:p>
        </w:tc>
      </w:tr>
      <w:tr w14:paraId="11746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continue"/>
            <w:vAlign w:val="center"/>
          </w:tcPr>
          <w:p w14:paraId="3FD0A11C">
            <w:pPr>
              <w:pStyle w:val="33"/>
              <w:rPr>
                <w:color w:val="auto"/>
              </w:rPr>
            </w:pPr>
          </w:p>
        </w:tc>
        <w:tc>
          <w:tcPr>
            <w:tcW w:w="1502" w:type="dxa"/>
            <w:vAlign w:val="center"/>
          </w:tcPr>
          <w:p w14:paraId="41C18710">
            <w:pPr>
              <w:pStyle w:val="33"/>
              <w:rPr>
                <w:color w:val="auto"/>
              </w:rPr>
            </w:pPr>
            <w:r>
              <w:rPr>
                <w:rFonts w:hint="eastAsia"/>
                <w:color w:val="auto"/>
              </w:rPr>
              <w:t>六价铬</w:t>
            </w:r>
          </w:p>
        </w:tc>
        <w:tc>
          <w:tcPr>
            <w:tcW w:w="5529" w:type="dxa"/>
            <w:vAlign w:val="center"/>
          </w:tcPr>
          <w:p w14:paraId="38674D20">
            <w:pPr>
              <w:pStyle w:val="33"/>
              <w:rPr>
                <w:color w:val="auto"/>
              </w:rPr>
            </w:pPr>
            <w:r>
              <w:rPr>
                <w:rFonts w:hint="eastAsia"/>
                <w:color w:val="auto"/>
              </w:rPr>
              <w:t>水质</w:t>
            </w:r>
            <w:r>
              <w:rPr>
                <w:color w:val="auto"/>
              </w:rPr>
              <w:t xml:space="preserve"> </w:t>
            </w:r>
            <w:r>
              <w:rPr>
                <w:rFonts w:hint="eastAsia"/>
                <w:color w:val="auto"/>
              </w:rPr>
              <w:t>六价铬的测定</w:t>
            </w:r>
            <w:r>
              <w:rPr>
                <w:color w:val="auto"/>
              </w:rPr>
              <w:t xml:space="preserve">  </w:t>
            </w:r>
            <w:r>
              <w:rPr>
                <w:rFonts w:hint="eastAsia"/>
                <w:color w:val="auto"/>
              </w:rPr>
              <w:t>二苯碳酰二肼分光光度法</w:t>
            </w:r>
          </w:p>
          <w:p w14:paraId="6E069612">
            <w:pPr>
              <w:pStyle w:val="33"/>
              <w:rPr>
                <w:color w:val="auto"/>
              </w:rPr>
            </w:pPr>
            <w:r>
              <w:rPr>
                <w:rFonts w:hint="eastAsia"/>
                <w:color w:val="auto"/>
              </w:rPr>
              <w:t>（</w:t>
            </w:r>
            <w:r>
              <w:rPr>
                <w:color w:val="auto"/>
              </w:rPr>
              <w:t>GB 7467-87</w:t>
            </w:r>
            <w:r>
              <w:rPr>
                <w:rFonts w:hint="eastAsia"/>
                <w:color w:val="auto"/>
              </w:rPr>
              <w:t>）</w:t>
            </w:r>
          </w:p>
        </w:tc>
        <w:tc>
          <w:tcPr>
            <w:tcW w:w="1393" w:type="dxa"/>
            <w:vAlign w:val="center"/>
          </w:tcPr>
          <w:p w14:paraId="0DB81B64">
            <w:pPr>
              <w:pStyle w:val="33"/>
              <w:rPr>
                <w:color w:val="auto"/>
              </w:rPr>
            </w:pPr>
            <w:r>
              <w:rPr>
                <w:color w:val="auto"/>
              </w:rPr>
              <w:t>0.004mg/L</w:t>
            </w:r>
          </w:p>
        </w:tc>
      </w:tr>
      <w:tr w14:paraId="197D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continue"/>
            <w:vAlign w:val="center"/>
          </w:tcPr>
          <w:p w14:paraId="66D2F4F4">
            <w:pPr>
              <w:pStyle w:val="33"/>
              <w:rPr>
                <w:color w:val="auto"/>
              </w:rPr>
            </w:pPr>
          </w:p>
        </w:tc>
        <w:tc>
          <w:tcPr>
            <w:tcW w:w="1502" w:type="dxa"/>
            <w:vAlign w:val="center"/>
          </w:tcPr>
          <w:p w14:paraId="460C2974">
            <w:pPr>
              <w:pStyle w:val="33"/>
              <w:rPr>
                <w:color w:val="auto"/>
              </w:rPr>
            </w:pPr>
            <w:r>
              <w:rPr>
                <w:rFonts w:hint="eastAsia"/>
                <w:color w:val="auto"/>
              </w:rPr>
              <w:t>铜</w:t>
            </w:r>
          </w:p>
        </w:tc>
        <w:tc>
          <w:tcPr>
            <w:tcW w:w="5529" w:type="dxa"/>
            <w:vMerge w:val="restart"/>
            <w:vAlign w:val="center"/>
          </w:tcPr>
          <w:p w14:paraId="5B9F27CC">
            <w:pPr>
              <w:pStyle w:val="33"/>
              <w:rPr>
                <w:color w:val="auto"/>
              </w:rPr>
            </w:pPr>
            <w:r>
              <w:rPr>
                <w:rFonts w:hint="eastAsia"/>
                <w:color w:val="auto"/>
              </w:rPr>
              <w:t>水质</w:t>
            </w:r>
            <w:r>
              <w:rPr>
                <w:color w:val="auto"/>
              </w:rPr>
              <w:t xml:space="preserve"> 32</w:t>
            </w:r>
            <w:r>
              <w:rPr>
                <w:rFonts w:hint="eastAsia"/>
                <w:color w:val="auto"/>
              </w:rPr>
              <w:t>种元素的测定</w:t>
            </w:r>
            <w:r>
              <w:rPr>
                <w:color w:val="auto"/>
              </w:rPr>
              <w:t xml:space="preserve"> </w:t>
            </w:r>
            <w:r>
              <w:rPr>
                <w:rFonts w:hint="eastAsia"/>
                <w:color w:val="auto"/>
              </w:rPr>
              <w:t>电感耦合等离子体发射光谱法</w:t>
            </w:r>
          </w:p>
          <w:p w14:paraId="03C6A317">
            <w:pPr>
              <w:pStyle w:val="33"/>
              <w:rPr>
                <w:color w:val="auto"/>
              </w:rPr>
            </w:pPr>
            <w:r>
              <w:rPr>
                <w:rFonts w:hint="eastAsia"/>
                <w:color w:val="auto"/>
              </w:rPr>
              <w:t>（</w:t>
            </w:r>
            <w:r>
              <w:rPr>
                <w:color w:val="auto"/>
              </w:rPr>
              <w:t>HJ 776-2015</w:t>
            </w:r>
            <w:r>
              <w:rPr>
                <w:rFonts w:hint="eastAsia"/>
                <w:color w:val="auto"/>
              </w:rPr>
              <w:t>）</w:t>
            </w:r>
          </w:p>
        </w:tc>
        <w:tc>
          <w:tcPr>
            <w:tcW w:w="1393" w:type="dxa"/>
            <w:vAlign w:val="center"/>
          </w:tcPr>
          <w:p w14:paraId="766B64FF">
            <w:pPr>
              <w:pStyle w:val="33"/>
              <w:rPr>
                <w:color w:val="auto"/>
              </w:rPr>
            </w:pPr>
            <w:r>
              <w:rPr>
                <w:color w:val="auto"/>
              </w:rPr>
              <w:t>0.006mg/L</w:t>
            </w:r>
          </w:p>
        </w:tc>
      </w:tr>
      <w:tr w14:paraId="01243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214" w:type="dxa"/>
            <w:vMerge w:val="continue"/>
            <w:vAlign w:val="center"/>
          </w:tcPr>
          <w:p w14:paraId="738FC744">
            <w:pPr>
              <w:pStyle w:val="33"/>
              <w:rPr>
                <w:color w:val="auto"/>
              </w:rPr>
            </w:pPr>
          </w:p>
        </w:tc>
        <w:tc>
          <w:tcPr>
            <w:tcW w:w="1502" w:type="dxa"/>
            <w:vAlign w:val="center"/>
          </w:tcPr>
          <w:p w14:paraId="6DDC79BB">
            <w:pPr>
              <w:pStyle w:val="33"/>
              <w:rPr>
                <w:color w:val="auto"/>
              </w:rPr>
            </w:pPr>
            <w:r>
              <w:rPr>
                <w:rFonts w:hint="eastAsia"/>
                <w:color w:val="auto"/>
              </w:rPr>
              <w:t>铅</w:t>
            </w:r>
          </w:p>
        </w:tc>
        <w:tc>
          <w:tcPr>
            <w:tcW w:w="5529" w:type="dxa"/>
            <w:vMerge w:val="continue"/>
            <w:vAlign w:val="center"/>
          </w:tcPr>
          <w:p w14:paraId="3E36E8DB">
            <w:pPr>
              <w:pStyle w:val="33"/>
              <w:rPr>
                <w:color w:val="auto"/>
              </w:rPr>
            </w:pPr>
          </w:p>
        </w:tc>
        <w:tc>
          <w:tcPr>
            <w:tcW w:w="1393" w:type="dxa"/>
            <w:vAlign w:val="center"/>
          </w:tcPr>
          <w:p w14:paraId="5B8FDF04">
            <w:pPr>
              <w:pStyle w:val="33"/>
              <w:rPr>
                <w:color w:val="auto"/>
              </w:rPr>
            </w:pPr>
            <w:r>
              <w:rPr>
                <w:color w:val="auto"/>
              </w:rPr>
              <w:t>0.07mg/L</w:t>
            </w:r>
          </w:p>
        </w:tc>
      </w:tr>
      <w:tr w14:paraId="1305D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tblHeader/>
          <w:jc w:val="center"/>
        </w:trPr>
        <w:tc>
          <w:tcPr>
            <w:tcW w:w="1214" w:type="dxa"/>
            <w:vMerge w:val="continue"/>
            <w:vAlign w:val="center"/>
          </w:tcPr>
          <w:p w14:paraId="6CD673B2">
            <w:pPr>
              <w:pStyle w:val="33"/>
              <w:rPr>
                <w:color w:val="auto"/>
              </w:rPr>
            </w:pPr>
          </w:p>
        </w:tc>
        <w:tc>
          <w:tcPr>
            <w:tcW w:w="1502" w:type="dxa"/>
            <w:vAlign w:val="center"/>
          </w:tcPr>
          <w:p w14:paraId="7A217570">
            <w:pPr>
              <w:pStyle w:val="33"/>
              <w:rPr>
                <w:color w:val="auto"/>
              </w:rPr>
            </w:pPr>
            <w:r>
              <w:rPr>
                <w:rFonts w:hint="eastAsia"/>
                <w:color w:val="auto"/>
              </w:rPr>
              <w:t>石油类</w:t>
            </w:r>
          </w:p>
        </w:tc>
        <w:tc>
          <w:tcPr>
            <w:tcW w:w="5529" w:type="dxa"/>
            <w:vAlign w:val="center"/>
          </w:tcPr>
          <w:p w14:paraId="70A33A9A">
            <w:pPr>
              <w:pStyle w:val="33"/>
              <w:rPr>
                <w:color w:val="auto"/>
              </w:rPr>
            </w:pPr>
            <w:r>
              <w:rPr>
                <w:rFonts w:hint="eastAsia"/>
                <w:color w:val="auto"/>
              </w:rPr>
              <w:t>水质</w:t>
            </w:r>
            <w:r>
              <w:rPr>
                <w:color w:val="auto"/>
              </w:rPr>
              <w:t xml:space="preserve"> </w:t>
            </w:r>
            <w:r>
              <w:rPr>
                <w:rFonts w:hint="eastAsia"/>
                <w:color w:val="auto"/>
              </w:rPr>
              <w:t>石油类和动植物油类的测定</w:t>
            </w:r>
            <w:r>
              <w:rPr>
                <w:color w:val="auto"/>
              </w:rPr>
              <w:t xml:space="preserve"> </w:t>
            </w:r>
            <w:r>
              <w:rPr>
                <w:rFonts w:hint="eastAsia"/>
                <w:color w:val="auto"/>
              </w:rPr>
              <w:t>红外分光光度法</w:t>
            </w:r>
          </w:p>
          <w:p w14:paraId="410C1BF5">
            <w:pPr>
              <w:pStyle w:val="33"/>
              <w:rPr>
                <w:color w:val="auto"/>
              </w:rPr>
            </w:pPr>
            <w:r>
              <w:rPr>
                <w:rFonts w:hint="eastAsia"/>
                <w:color w:val="auto"/>
              </w:rPr>
              <w:t>（</w:t>
            </w:r>
            <w:r>
              <w:rPr>
                <w:color w:val="auto"/>
              </w:rPr>
              <w:t>HJ 637-2018</w:t>
            </w:r>
            <w:r>
              <w:rPr>
                <w:rFonts w:hint="eastAsia"/>
                <w:color w:val="auto"/>
              </w:rPr>
              <w:t>）</w:t>
            </w:r>
          </w:p>
        </w:tc>
        <w:tc>
          <w:tcPr>
            <w:tcW w:w="1393" w:type="dxa"/>
            <w:vAlign w:val="center"/>
          </w:tcPr>
          <w:p w14:paraId="08996325">
            <w:pPr>
              <w:pStyle w:val="33"/>
              <w:rPr>
                <w:color w:val="auto"/>
              </w:rPr>
            </w:pPr>
            <w:r>
              <w:rPr>
                <w:color w:val="auto"/>
              </w:rPr>
              <w:t>0.06mg/L</w:t>
            </w:r>
          </w:p>
        </w:tc>
      </w:tr>
    </w:tbl>
    <w:p w14:paraId="02231D39">
      <w:pPr>
        <w:ind w:firstLine="0" w:firstLineChars="0"/>
        <w:rPr>
          <w:color w:val="auto"/>
        </w:rPr>
        <w:sectPr>
          <w:pgSz w:w="11906" w:h="16838"/>
          <w:pgMar w:top="1418" w:right="1418" w:bottom="1418" w:left="1418" w:header="851" w:footer="850" w:gutter="0"/>
          <w:cols w:space="425" w:num="1"/>
          <w:docGrid w:type="lines" w:linePitch="326" w:charSpace="0"/>
        </w:sectPr>
      </w:pPr>
    </w:p>
    <w:p w14:paraId="0432A3D2">
      <w:pPr>
        <w:pStyle w:val="4"/>
        <w:rPr>
          <w:color w:val="auto"/>
        </w:rPr>
      </w:pPr>
      <w:bookmarkStart w:id="382" w:name="_Toc225216759"/>
      <w:r>
        <w:rPr>
          <w:rFonts w:hint="eastAsia"/>
          <w:color w:val="auto"/>
        </w:rPr>
        <w:t>监测和评价结果</w:t>
      </w:r>
      <w:bookmarkEnd w:id="382"/>
    </w:p>
    <w:p w14:paraId="25C35A27">
      <w:pPr>
        <w:ind w:firstLine="480"/>
        <w:rPr>
          <w:color w:val="auto"/>
        </w:rPr>
      </w:pPr>
      <w:r>
        <w:rPr>
          <w:rFonts w:hint="eastAsia"/>
          <w:color w:val="auto"/>
        </w:rPr>
        <w:t>包气带监测和评价结果见下表</w:t>
      </w:r>
      <w:r>
        <w:rPr>
          <w:color w:val="auto"/>
        </w:rPr>
        <w:t>4.7-3</w:t>
      </w:r>
      <w:r>
        <w:rPr>
          <w:rFonts w:hint="eastAsia"/>
          <w:color w:val="auto"/>
        </w:rPr>
        <w:t>，历史包气带数据结果引用《广西金桂浆纸业有限公司年产</w:t>
      </w:r>
      <w:r>
        <w:rPr>
          <w:color w:val="auto"/>
        </w:rPr>
        <w:t>180</w:t>
      </w:r>
      <w:r>
        <w:rPr>
          <w:rFonts w:hint="eastAsia"/>
          <w:color w:val="auto"/>
        </w:rPr>
        <w:t>万吨高档纸板扩建项目环境影响报告书》，见下表</w:t>
      </w:r>
      <w:r>
        <w:rPr>
          <w:color w:val="auto"/>
        </w:rPr>
        <w:t>4.7-4</w:t>
      </w:r>
      <w:r>
        <w:rPr>
          <w:rFonts w:hint="eastAsia"/>
          <w:color w:val="auto"/>
        </w:rPr>
        <w:t>。</w:t>
      </w:r>
    </w:p>
    <w:p w14:paraId="5266481E">
      <w:pPr>
        <w:pStyle w:val="7"/>
        <w:rPr>
          <w:color w:val="auto"/>
        </w:rPr>
      </w:pPr>
      <w:r>
        <w:rPr>
          <w:rFonts w:hint="eastAsia"/>
          <w:color w:val="auto"/>
        </w:rPr>
        <w:t>包气带污染现状监测结果</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3"/>
        <w:gridCol w:w="1137"/>
        <w:gridCol w:w="850"/>
        <w:gridCol w:w="865"/>
        <w:gridCol w:w="786"/>
        <w:gridCol w:w="788"/>
        <w:gridCol w:w="788"/>
        <w:gridCol w:w="787"/>
        <w:gridCol w:w="787"/>
        <w:gridCol w:w="787"/>
        <w:gridCol w:w="787"/>
        <w:gridCol w:w="996"/>
        <w:gridCol w:w="671"/>
        <w:gridCol w:w="787"/>
        <w:gridCol w:w="787"/>
        <w:gridCol w:w="787"/>
        <w:gridCol w:w="785"/>
      </w:tblGrid>
      <w:tr w14:paraId="65601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43" w:type="dxa"/>
            <w:vMerge w:val="restart"/>
            <w:noWrap/>
            <w:vAlign w:val="center"/>
          </w:tcPr>
          <w:p w14:paraId="38E99887">
            <w:pPr>
              <w:pStyle w:val="33"/>
              <w:rPr>
                <w:color w:val="auto"/>
              </w:rPr>
            </w:pPr>
            <w:r>
              <w:rPr>
                <w:rFonts w:hint="eastAsia"/>
                <w:color w:val="auto"/>
              </w:rPr>
              <w:t>监测点位</w:t>
            </w:r>
          </w:p>
        </w:tc>
        <w:tc>
          <w:tcPr>
            <w:tcW w:w="1137" w:type="dxa"/>
            <w:vMerge w:val="restart"/>
            <w:noWrap/>
            <w:vAlign w:val="center"/>
          </w:tcPr>
          <w:p w14:paraId="748D4B4E">
            <w:pPr>
              <w:pStyle w:val="33"/>
              <w:rPr>
                <w:color w:val="auto"/>
              </w:rPr>
            </w:pPr>
            <w:r>
              <w:rPr>
                <w:rFonts w:hint="eastAsia"/>
                <w:color w:val="auto"/>
              </w:rPr>
              <w:t>采样深度（</w:t>
            </w:r>
            <w:r>
              <w:rPr>
                <w:color w:val="auto"/>
              </w:rPr>
              <w:t>m</w:t>
            </w:r>
            <w:r>
              <w:rPr>
                <w:rFonts w:hint="eastAsia"/>
                <w:color w:val="auto"/>
              </w:rPr>
              <w:t>）</w:t>
            </w:r>
          </w:p>
        </w:tc>
        <w:tc>
          <w:tcPr>
            <w:tcW w:w="12012" w:type="dxa"/>
            <w:gridSpan w:val="15"/>
            <w:noWrap/>
            <w:vAlign w:val="center"/>
          </w:tcPr>
          <w:p w14:paraId="6B8EEE7D">
            <w:pPr>
              <w:pStyle w:val="33"/>
              <w:rPr>
                <w:color w:val="auto"/>
              </w:rPr>
            </w:pPr>
            <w:r>
              <w:rPr>
                <w:rFonts w:hint="eastAsia"/>
                <w:color w:val="auto"/>
              </w:rPr>
              <w:t>监测结果</w:t>
            </w:r>
          </w:p>
        </w:tc>
      </w:tr>
      <w:tr w14:paraId="3D10C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43" w:type="dxa"/>
            <w:vMerge w:val="continue"/>
            <w:vAlign w:val="center"/>
          </w:tcPr>
          <w:p w14:paraId="320697B4">
            <w:pPr>
              <w:pStyle w:val="33"/>
              <w:rPr>
                <w:color w:val="auto"/>
              </w:rPr>
            </w:pPr>
          </w:p>
        </w:tc>
        <w:tc>
          <w:tcPr>
            <w:tcW w:w="1137" w:type="dxa"/>
            <w:vMerge w:val="continue"/>
            <w:vAlign w:val="center"/>
          </w:tcPr>
          <w:p w14:paraId="41F6A038">
            <w:pPr>
              <w:pStyle w:val="33"/>
              <w:rPr>
                <w:color w:val="auto"/>
              </w:rPr>
            </w:pPr>
          </w:p>
        </w:tc>
        <w:tc>
          <w:tcPr>
            <w:tcW w:w="850" w:type="dxa"/>
            <w:vAlign w:val="center"/>
          </w:tcPr>
          <w:p w14:paraId="2D6D574A">
            <w:pPr>
              <w:pStyle w:val="33"/>
              <w:rPr>
                <w:color w:val="auto"/>
              </w:rPr>
            </w:pPr>
            <w:r>
              <w:rPr>
                <w:color w:val="auto"/>
              </w:rPr>
              <w:t>pH</w:t>
            </w:r>
            <w:r>
              <w:rPr>
                <w:rFonts w:hint="eastAsia"/>
                <w:color w:val="auto"/>
              </w:rPr>
              <w:t>值</w:t>
            </w:r>
          </w:p>
        </w:tc>
        <w:tc>
          <w:tcPr>
            <w:tcW w:w="865" w:type="dxa"/>
            <w:vAlign w:val="center"/>
          </w:tcPr>
          <w:p w14:paraId="56BA8EA5">
            <w:pPr>
              <w:pStyle w:val="33"/>
              <w:rPr>
                <w:color w:val="auto"/>
              </w:rPr>
            </w:pPr>
            <w:r>
              <w:rPr>
                <w:rFonts w:hint="eastAsia"/>
                <w:color w:val="auto"/>
              </w:rPr>
              <w:t>（总）氰化物</w:t>
            </w:r>
          </w:p>
        </w:tc>
        <w:tc>
          <w:tcPr>
            <w:tcW w:w="786" w:type="dxa"/>
            <w:vAlign w:val="center"/>
          </w:tcPr>
          <w:p w14:paraId="4DFF24D6">
            <w:pPr>
              <w:pStyle w:val="33"/>
              <w:rPr>
                <w:color w:val="auto"/>
              </w:rPr>
            </w:pPr>
            <w:r>
              <w:rPr>
                <w:color w:val="auto"/>
              </w:rPr>
              <w:t>SO</w:t>
            </w:r>
            <w:r>
              <w:rPr>
                <w:color w:val="auto"/>
                <w:vertAlign w:val="subscript"/>
              </w:rPr>
              <w:t>4</w:t>
            </w:r>
            <w:r>
              <w:rPr>
                <w:color w:val="auto"/>
                <w:vertAlign w:val="superscript"/>
              </w:rPr>
              <w:t>2-</w:t>
            </w:r>
          </w:p>
        </w:tc>
        <w:tc>
          <w:tcPr>
            <w:tcW w:w="788" w:type="dxa"/>
            <w:vAlign w:val="center"/>
          </w:tcPr>
          <w:p w14:paraId="5034F7DD">
            <w:pPr>
              <w:pStyle w:val="33"/>
              <w:rPr>
                <w:color w:val="auto"/>
              </w:rPr>
            </w:pPr>
            <w:r>
              <w:rPr>
                <w:color w:val="auto"/>
              </w:rPr>
              <w:t>Cl</w:t>
            </w:r>
            <w:r>
              <w:rPr>
                <w:color w:val="auto"/>
                <w:vertAlign w:val="superscript"/>
              </w:rPr>
              <w:t>-</w:t>
            </w:r>
          </w:p>
        </w:tc>
        <w:tc>
          <w:tcPr>
            <w:tcW w:w="788" w:type="dxa"/>
            <w:vAlign w:val="center"/>
          </w:tcPr>
          <w:p w14:paraId="1B15B620">
            <w:pPr>
              <w:pStyle w:val="33"/>
              <w:rPr>
                <w:color w:val="auto"/>
              </w:rPr>
            </w:pPr>
            <w:r>
              <w:rPr>
                <w:color w:val="auto"/>
              </w:rPr>
              <w:t>F</w:t>
            </w:r>
            <w:r>
              <w:rPr>
                <w:color w:val="auto"/>
                <w:vertAlign w:val="superscript"/>
              </w:rPr>
              <w:t>-</w:t>
            </w:r>
          </w:p>
        </w:tc>
        <w:tc>
          <w:tcPr>
            <w:tcW w:w="787" w:type="dxa"/>
            <w:vAlign w:val="center"/>
          </w:tcPr>
          <w:p w14:paraId="2AF89F20">
            <w:pPr>
              <w:pStyle w:val="33"/>
              <w:rPr>
                <w:color w:val="auto"/>
              </w:rPr>
            </w:pPr>
            <w:r>
              <w:rPr>
                <w:color w:val="auto"/>
              </w:rPr>
              <w:t>NO</w:t>
            </w:r>
            <w:r>
              <w:rPr>
                <w:color w:val="auto"/>
                <w:vertAlign w:val="subscript"/>
              </w:rPr>
              <w:t>3</w:t>
            </w:r>
            <w:r>
              <w:rPr>
                <w:color w:val="auto"/>
                <w:vertAlign w:val="superscript"/>
              </w:rPr>
              <w:t>-</w:t>
            </w:r>
          </w:p>
        </w:tc>
        <w:tc>
          <w:tcPr>
            <w:tcW w:w="787" w:type="dxa"/>
            <w:vAlign w:val="center"/>
          </w:tcPr>
          <w:p w14:paraId="1EFD5CA1">
            <w:pPr>
              <w:pStyle w:val="33"/>
              <w:rPr>
                <w:color w:val="auto"/>
              </w:rPr>
            </w:pPr>
            <w:r>
              <w:rPr>
                <w:color w:val="auto"/>
              </w:rPr>
              <w:t>NO</w:t>
            </w:r>
            <w:r>
              <w:rPr>
                <w:color w:val="auto"/>
                <w:vertAlign w:val="subscript"/>
              </w:rPr>
              <w:t>2</w:t>
            </w:r>
            <w:r>
              <w:rPr>
                <w:color w:val="auto"/>
                <w:vertAlign w:val="superscript"/>
              </w:rPr>
              <w:t>-</w:t>
            </w:r>
          </w:p>
        </w:tc>
        <w:tc>
          <w:tcPr>
            <w:tcW w:w="787" w:type="dxa"/>
            <w:vAlign w:val="center"/>
          </w:tcPr>
          <w:p w14:paraId="78D74355">
            <w:pPr>
              <w:pStyle w:val="33"/>
              <w:rPr>
                <w:color w:val="auto"/>
              </w:rPr>
            </w:pPr>
            <w:r>
              <w:rPr>
                <w:rFonts w:hint="eastAsia"/>
                <w:color w:val="auto"/>
              </w:rPr>
              <w:t>高锰酸盐指数</w:t>
            </w:r>
          </w:p>
        </w:tc>
        <w:tc>
          <w:tcPr>
            <w:tcW w:w="787" w:type="dxa"/>
            <w:vAlign w:val="center"/>
          </w:tcPr>
          <w:p w14:paraId="753F1294">
            <w:pPr>
              <w:pStyle w:val="33"/>
              <w:rPr>
                <w:color w:val="auto"/>
              </w:rPr>
            </w:pPr>
            <w:r>
              <w:rPr>
                <w:rFonts w:hint="eastAsia"/>
                <w:color w:val="auto"/>
              </w:rPr>
              <w:t>氨氮</w:t>
            </w:r>
          </w:p>
        </w:tc>
        <w:tc>
          <w:tcPr>
            <w:tcW w:w="996" w:type="dxa"/>
            <w:vAlign w:val="center"/>
          </w:tcPr>
          <w:p w14:paraId="0FB8BDF7">
            <w:pPr>
              <w:pStyle w:val="33"/>
              <w:rPr>
                <w:color w:val="auto"/>
              </w:rPr>
            </w:pPr>
            <w:r>
              <w:rPr>
                <w:rFonts w:hint="eastAsia"/>
                <w:color w:val="auto"/>
              </w:rPr>
              <w:t>砷</w:t>
            </w:r>
          </w:p>
        </w:tc>
        <w:tc>
          <w:tcPr>
            <w:tcW w:w="645" w:type="dxa"/>
            <w:vAlign w:val="center"/>
          </w:tcPr>
          <w:p w14:paraId="3D5C6C7F">
            <w:pPr>
              <w:pStyle w:val="33"/>
              <w:rPr>
                <w:color w:val="auto"/>
              </w:rPr>
            </w:pPr>
            <w:r>
              <w:rPr>
                <w:rFonts w:hint="eastAsia"/>
                <w:color w:val="auto"/>
              </w:rPr>
              <w:t>汞</w:t>
            </w:r>
          </w:p>
        </w:tc>
        <w:tc>
          <w:tcPr>
            <w:tcW w:w="787" w:type="dxa"/>
            <w:vAlign w:val="center"/>
          </w:tcPr>
          <w:p w14:paraId="1DBB0DB8">
            <w:pPr>
              <w:pStyle w:val="33"/>
              <w:rPr>
                <w:color w:val="auto"/>
              </w:rPr>
            </w:pPr>
            <w:r>
              <w:rPr>
                <w:rFonts w:hint="eastAsia"/>
                <w:color w:val="auto"/>
              </w:rPr>
              <w:t>六价铬</w:t>
            </w:r>
          </w:p>
        </w:tc>
        <w:tc>
          <w:tcPr>
            <w:tcW w:w="787" w:type="dxa"/>
            <w:vAlign w:val="center"/>
          </w:tcPr>
          <w:p w14:paraId="2C0A0D8F">
            <w:pPr>
              <w:pStyle w:val="33"/>
              <w:rPr>
                <w:color w:val="auto"/>
              </w:rPr>
            </w:pPr>
            <w:r>
              <w:rPr>
                <w:rFonts w:hint="eastAsia"/>
                <w:color w:val="auto"/>
              </w:rPr>
              <w:t>铜</w:t>
            </w:r>
          </w:p>
        </w:tc>
        <w:tc>
          <w:tcPr>
            <w:tcW w:w="787" w:type="dxa"/>
            <w:vAlign w:val="center"/>
          </w:tcPr>
          <w:p w14:paraId="18B6E5E4">
            <w:pPr>
              <w:pStyle w:val="33"/>
              <w:rPr>
                <w:color w:val="auto"/>
              </w:rPr>
            </w:pPr>
            <w:r>
              <w:rPr>
                <w:rFonts w:hint="eastAsia"/>
                <w:color w:val="auto"/>
              </w:rPr>
              <w:t>铅</w:t>
            </w:r>
          </w:p>
        </w:tc>
        <w:tc>
          <w:tcPr>
            <w:tcW w:w="785" w:type="dxa"/>
            <w:vAlign w:val="center"/>
          </w:tcPr>
          <w:p w14:paraId="3B9E257C">
            <w:pPr>
              <w:pStyle w:val="33"/>
              <w:rPr>
                <w:color w:val="auto"/>
              </w:rPr>
            </w:pPr>
            <w:r>
              <w:rPr>
                <w:rFonts w:hint="eastAsia"/>
                <w:color w:val="auto"/>
              </w:rPr>
              <w:t>石油类</w:t>
            </w:r>
          </w:p>
        </w:tc>
      </w:tr>
      <w:tr w14:paraId="1836D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43" w:type="dxa"/>
            <w:vMerge w:val="continue"/>
            <w:vAlign w:val="center"/>
          </w:tcPr>
          <w:p w14:paraId="48D796C1">
            <w:pPr>
              <w:pStyle w:val="33"/>
              <w:rPr>
                <w:color w:val="auto"/>
              </w:rPr>
            </w:pPr>
          </w:p>
        </w:tc>
        <w:tc>
          <w:tcPr>
            <w:tcW w:w="1137" w:type="dxa"/>
            <w:vMerge w:val="continue"/>
            <w:vAlign w:val="center"/>
          </w:tcPr>
          <w:p w14:paraId="11BF3425">
            <w:pPr>
              <w:pStyle w:val="33"/>
              <w:rPr>
                <w:color w:val="auto"/>
              </w:rPr>
            </w:pPr>
          </w:p>
        </w:tc>
        <w:tc>
          <w:tcPr>
            <w:tcW w:w="850" w:type="dxa"/>
            <w:vAlign w:val="center"/>
          </w:tcPr>
          <w:p w14:paraId="6F403499">
            <w:pPr>
              <w:pStyle w:val="33"/>
              <w:rPr>
                <w:color w:val="auto"/>
              </w:rPr>
            </w:pPr>
            <w:r>
              <w:rPr>
                <w:rFonts w:hint="eastAsia"/>
                <w:color w:val="auto"/>
              </w:rPr>
              <w:t>无量纲</w:t>
            </w:r>
          </w:p>
        </w:tc>
        <w:tc>
          <w:tcPr>
            <w:tcW w:w="865" w:type="dxa"/>
            <w:vAlign w:val="center"/>
          </w:tcPr>
          <w:p w14:paraId="0D2EC487">
            <w:pPr>
              <w:pStyle w:val="33"/>
              <w:rPr>
                <w:color w:val="auto"/>
              </w:rPr>
            </w:pPr>
            <w:r>
              <w:rPr>
                <w:color w:val="auto"/>
              </w:rPr>
              <w:t>mg/L</w:t>
            </w:r>
          </w:p>
        </w:tc>
        <w:tc>
          <w:tcPr>
            <w:tcW w:w="786" w:type="dxa"/>
            <w:vAlign w:val="center"/>
          </w:tcPr>
          <w:p w14:paraId="563614BB">
            <w:pPr>
              <w:pStyle w:val="33"/>
              <w:rPr>
                <w:color w:val="auto"/>
              </w:rPr>
            </w:pPr>
            <w:r>
              <w:rPr>
                <w:color w:val="auto"/>
              </w:rPr>
              <w:t>mg/L</w:t>
            </w:r>
          </w:p>
        </w:tc>
        <w:tc>
          <w:tcPr>
            <w:tcW w:w="788" w:type="dxa"/>
            <w:vAlign w:val="center"/>
          </w:tcPr>
          <w:p w14:paraId="73C631C8">
            <w:pPr>
              <w:pStyle w:val="33"/>
              <w:rPr>
                <w:color w:val="auto"/>
              </w:rPr>
            </w:pPr>
            <w:r>
              <w:rPr>
                <w:color w:val="auto"/>
              </w:rPr>
              <w:t>mg/L</w:t>
            </w:r>
          </w:p>
        </w:tc>
        <w:tc>
          <w:tcPr>
            <w:tcW w:w="788" w:type="dxa"/>
            <w:vAlign w:val="center"/>
          </w:tcPr>
          <w:p w14:paraId="1570BC6C">
            <w:pPr>
              <w:pStyle w:val="33"/>
              <w:rPr>
                <w:color w:val="auto"/>
              </w:rPr>
            </w:pPr>
            <w:r>
              <w:rPr>
                <w:color w:val="auto"/>
              </w:rPr>
              <w:t>mg/L</w:t>
            </w:r>
          </w:p>
        </w:tc>
        <w:tc>
          <w:tcPr>
            <w:tcW w:w="787" w:type="dxa"/>
            <w:vAlign w:val="center"/>
          </w:tcPr>
          <w:p w14:paraId="20F92AF7">
            <w:pPr>
              <w:pStyle w:val="33"/>
              <w:rPr>
                <w:color w:val="auto"/>
              </w:rPr>
            </w:pPr>
            <w:r>
              <w:rPr>
                <w:color w:val="auto"/>
              </w:rPr>
              <w:t>mg/L</w:t>
            </w:r>
          </w:p>
        </w:tc>
        <w:tc>
          <w:tcPr>
            <w:tcW w:w="787" w:type="dxa"/>
            <w:vAlign w:val="center"/>
          </w:tcPr>
          <w:p w14:paraId="11F21442">
            <w:pPr>
              <w:pStyle w:val="33"/>
              <w:rPr>
                <w:color w:val="auto"/>
              </w:rPr>
            </w:pPr>
            <w:r>
              <w:rPr>
                <w:color w:val="auto"/>
              </w:rPr>
              <w:t>mg/L</w:t>
            </w:r>
          </w:p>
        </w:tc>
        <w:tc>
          <w:tcPr>
            <w:tcW w:w="787" w:type="dxa"/>
            <w:vAlign w:val="center"/>
          </w:tcPr>
          <w:p w14:paraId="0EFFE93E">
            <w:pPr>
              <w:pStyle w:val="33"/>
              <w:rPr>
                <w:color w:val="auto"/>
              </w:rPr>
            </w:pPr>
            <w:r>
              <w:rPr>
                <w:color w:val="auto"/>
              </w:rPr>
              <w:t>mg/L</w:t>
            </w:r>
          </w:p>
        </w:tc>
        <w:tc>
          <w:tcPr>
            <w:tcW w:w="787" w:type="dxa"/>
            <w:vAlign w:val="center"/>
          </w:tcPr>
          <w:p w14:paraId="0AA3AB05">
            <w:pPr>
              <w:pStyle w:val="33"/>
              <w:rPr>
                <w:color w:val="auto"/>
              </w:rPr>
            </w:pPr>
            <w:r>
              <w:rPr>
                <w:color w:val="auto"/>
              </w:rPr>
              <w:t>mg/L</w:t>
            </w:r>
          </w:p>
        </w:tc>
        <w:tc>
          <w:tcPr>
            <w:tcW w:w="996" w:type="dxa"/>
            <w:vAlign w:val="center"/>
          </w:tcPr>
          <w:p w14:paraId="43E49AD6">
            <w:pPr>
              <w:pStyle w:val="33"/>
              <w:rPr>
                <w:color w:val="auto"/>
              </w:rPr>
            </w:pPr>
            <w:r>
              <w:rPr>
                <w:color w:val="auto"/>
              </w:rPr>
              <w:t>mg/L</w:t>
            </w:r>
          </w:p>
        </w:tc>
        <w:tc>
          <w:tcPr>
            <w:tcW w:w="645" w:type="dxa"/>
            <w:vAlign w:val="center"/>
          </w:tcPr>
          <w:p w14:paraId="3414CA2D">
            <w:pPr>
              <w:pStyle w:val="33"/>
              <w:rPr>
                <w:color w:val="auto"/>
              </w:rPr>
            </w:pPr>
            <w:r>
              <w:rPr>
                <w:color w:val="auto"/>
              </w:rPr>
              <w:t>mg/L</w:t>
            </w:r>
          </w:p>
        </w:tc>
        <w:tc>
          <w:tcPr>
            <w:tcW w:w="787" w:type="dxa"/>
            <w:vAlign w:val="center"/>
          </w:tcPr>
          <w:p w14:paraId="1C9CF04C">
            <w:pPr>
              <w:pStyle w:val="33"/>
              <w:rPr>
                <w:color w:val="auto"/>
              </w:rPr>
            </w:pPr>
            <w:r>
              <w:rPr>
                <w:color w:val="auto"/>
              </w:rPr>
              <w:t>mg/L</w:t>
            </w:r>
          </w:p>
        </w:tc>
        <w:tc>
          <w:tcPr>
            <w:tcW w:w="787" w:type="dxa"/>
            <w:vAlign w:val="center"/>
          </w:tcPr>
          <w:p w14:paraId="4BBB662E">
            <w:pPr>
              <w:pStyle w:val="33"/>
              <w:rPr>
                <w:color w:val="auto"/>
              </w:rPr>
            </w:pPr>
            <w:r>
              <w:rPr>
                <w:color w:val="auto"/>
              </w:rPr>
              <w:t>mg/L</w:t>
            </w:r>
          </w:p>
        </w:tc>
        <w:tc>
          <w:tcPr>
            <w:tcW w:w="787" w:type="dxa"/>
            <w:vAlign w:val="center"/>
          </w:tcPr>
          <w:p w14:paraId="6F4BD2FE">
            <w:pPr>
              <w:pStyle w:val="33"/>
              <w:rPr>
                <w:color w:val="auto"/>
              </w:rPr>
            </w:pPr>
            <w:r>
              <w:rPr>
                <w:color w:val="auto"/>
              </w:rPr>
              <w:t>mg/L</w:t>
            </w:r>
          </w:p>
        </w:tc>
        <w:tc>
          <w:tcPr>
            <w:tcW w:w="785" w:type="dxa"/>
            <w:vAlign w:val="center"/>
          </w:tcPr>
          <w:p w14:paraId="4AEA43C6">
            <w:pPr>
              <w:pStyle w:val="33"/>
              <w:rPr>
                <w:color w:val="auto"/>
              </w:rPr>
            </w:pPr>
            <w:r>
              <w:rPr>
                <w:color w:val="auto"/>
              </w:rPr>
              <w:t>mg/L</w:t>
            </w:r>
          </w:p>
        </w:tc>
      </w:tr>
      <w:tr w14:paraId="18618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43" w:type="dxa"/>
            <w:vMerge w:val="restart"/>
            <w:vAlign w:val="center"/>
          </w:tcPr>
          <w:p w14:paraId="0A5053CC">
            <w:pPr>
              <w:pStyle w:val="33"/>
              <w:rPr>
                <w:color w:val="auto"/>
              </w:rPr>
            </w:pPr>
            <w:r>
              <w:rPr>
                <w:color w:val="auto"/>
              </w:rPr>
              <w:t>1#</w:t>
            </w:r>
            <w:r>
              <w:rPr>
                <w:rFonts w:hint="eastAsia"/>
                <w:color w:val="auto"/>
              </w:rPr>
              <w:t>污水处理站</w:t>
            </w:r>
          </w:p>
        </w:tc>
        <w:tc>
          <w:tcPr>
            <w:tcW w:w="1137" w:type="dxa"/>
            <w:noWrap/>
            <w:vAlign w:val="center"/>
          </w:tcPr>
          <w:p w14:paraId="46AB628B">
            <w:pPr>
              <w:pStyle w:val="33"/>
              <w:rPr>
                <w:color w:val="auto"/>
              </w:rPr>
            </w:pPr>
            <w:r>
              <w:rPr>
                <w:color w:val="auto"/>
              </w:rPr>
              <w:t>0~0.5m</w:t>
            </w:r>
          </w:p>
        </w:tc>
        <w:tc>
          <w:tcPr>
            <w:tcW w:w="850" w:type="dxa"/>
            <w:vAlign w:val="center"/>
          </w:tcPr>
          <w:p w14:paraId="37F0597F">
            <w:pPr>
              <w:pStyle w:val="33"/>
              <w:rPr>
                <w:color w:val="auto"/>
              </w:rPr>
            </w:pPr>
          </w:p>
        </w:tc>
        <w:tc>
          <w:tcPr>
            <w:tcW w:w="865" w:type="dxa"/>
            <w:vAlign w:val="center"/>
          </w:tcPr>
          <w:p w14:paraId="1AA61F4D">
            <w:pPr>
              <w:pStyle w:val="33"/>
              <w:rPr>
                <w:color w:val="auto"/>
              </w:rPr>
            </w:pPr>
          </w:p>
        </w:tc>
        <w:tc>
          <w:tcPr>
            <w:tcW w:w="786" w:type="dxa"/>
            <w:vAlign w:val="center"/>
          </w:tcPr>
          <w:p w14:paraId="720B8F5B">
            <w:pPr>
              <w:pStyle w:val="33"/>
              <w:rPr>
                <w:color w:val="auto"/>
              </w:rPr>
            </w:pPr>
          </w:p>
        </w:tc>
        <w:tc>
          <w:tcPr>
            <w:tcW w:w="788" w:type="dxa"/>
            <w:vAlign w:val="center"/>
          </w:tcPr>
          <w:p w14:paraId="408793B7">
            <w:pPr>
              <w:pStyle w:val="33"/>
              <w:rPr>
                <w:color w:val="auto"/>
              </w:rPr>
            </w:pPr>
          </w:p>
        </w:tc>
        <w:tc>
          <w:tcPr>
            <w:tcW w:w="788" w:type="dxa"/>
            <w:vAlign w:val="center"/>
          </w:tcPr>
          <w:p w14:paraId="2C3A9E7C">
            <w:pPr>
              <w:pStyle w:val="33"/>
              <w:rPr>
                <w:color w:val="auto"/>
              </w:rPr>
            </w:pPr>
          </w:p>
        </w:tc>
        <w:tc>
          <w:tcPr>
            <w:tcW w:w="787" w:type="dxa"/>
            <w:vAlign w:val="center"/>
          </w:tcPr>
          <w:p w14:paraId="5FDECE11">
            <w:pPr>
              <w:pStyle w:val="33"/>
              <w:rPr>
                <w:color w:val="auto"/>
              </w:rPr>
            </w:pPr>
          </w:p>
        </w:tc>
        <w:tc>
          <w:tcPr>
            <w:tcW w:w="787" w:type="dxa"/>
            <w:vAlign w:val="center"/>
          </w:tcPr>
          <w:p w14:paraId="019445E9">
            <w:pPr>
              <w:pStyle w:val="33"/>
              <w:rPr>
                <w:color w:val="auto"/>
              </w:rPr>
            </w:pPr>
          </w:p>
        </w:tc>
        <w:tc>
          <w:tcPr>
            <w:tcW w:w="787" w:type="dxa"/>
            <w:vAlign w:val="center"/>
          </w:tcPr>
          <w:p w14:paraId="304AA60E">
            <w:pPr>
              <w:pStyle w:val="33"/>
              <w:rPr>
                <w:color w:val="auto"/>
              </w:rPr>
            </w:pPr>
          </w:p>
        </w:tc>
        <w:tc>
          <w:tcPr>
            <w:tcW w:w="787" w:type="dxa"/>
            <w:vAlign w:val="center"/>
          </w:tcPr>
          <w:p w14:paraId="3AD13995">
            <w:pPr>
              <w:pStyle w:val="33"/>
              <w:rPr>
                <w:color w:val="auto"/>
              </w:rPr>
            </w:pPr>
          </w:p>
        </w:tc>
        <w:tc>
          <w:tcPr>
            <w:tcW w:w="996" w:type="dxa"/>
            <w:vAlign w:val="center"/>
          </w:tcPr>
          <w:p w14:paraId="079AEDF3">
            <w:pPr>
              <w:pStyle w:val="33"/>
              <w:rPr>
                <w:color w:val="auto"/>
              </w:rPr>
            </w:pPr>
          </w:p>
        </w:tc>
        <w:tc>
          <w:tcPr>
            <w:tcW w:w="645" w:type="dxa"/>
            <w:vAlign w:val="center"/>
          </w:tcPr>
          <w:p w14:paraId="5DA732C8">
            <w:pPr>
              <w:pStyle w:val="33"/>
              <w:rPr>
                <w:color w:val="auto"/>
              </w:rPr>
            </w:pPr>
          </w:p>
        </w:tc>
        <w:tc>
          <w:tcPr>
            <w:tcW w:w="787" w:type="dxa"/>
            <w:vAlign w:val="center"/>
          </w:tcPr>
          <w:p w14:paraId="725402A3">
            <w:pPr>
              <w:pStyle w:val="33"/>
              <w:rPr>
                <w:color w:val="auto"/>
              </w:rPr>
            </w:pPr>
          </w:p>
        </w:tc>
        <w:tc>
          <w:tcPr>
            <w:tcW w:w="787" w:type="dxa"/>
            <w:vAlign w:val="center"/>
          </w:tcPr>
          <w:p w14:paraId="1BF61B35">
            <w:pPr>
              <w:pStyle w:val="33"/>
              <w:rPr>
                <w:color w:val="auto"/>
              </w:rPr>
            </w:pPr>
          </w:p>
        </w:tc>
        <w:tc>
          <w:tcPr>
            <w:tcW w:w="787" w:type="dxa"/>
            <w:vAlign w:val="center"/>
          </w:tcPr>
          <w:p w14:paraId="4B7E7A9F">
            <w:pPr>
              <w:pStyle w:val="33"/>
              <w:rPr>
                <w:color w:val="auto"/>
              </w:rPr>
            </w:pPr>
          </w:p>
        </w:tc>
        <w:tc>
          <w:tcPr>
            <w:tcW w:w="785" w:type="dxa"/>
            <w:vAlign w:val="center"/>
          </w:tcPr>
          <w:p w14:paraId="4E3312B5">
            <w:pPr>
              <w:pStyle w:val="33"/>
              <w:rPr>
                <w:color w:val="auto"/>
              </w:rPr>
            </w:pPr>
          </w:p>
        </w:tc>
      </w:tr>
      <w:tr w14:paraId="0456F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43" w:type="dxa"/>
            <w:vMerge w:val="continue"/>
            <w:vAlign w:val="center"/>
          </w:tcPr>
          <w:p w14:paraId="709D68E8">
            <w:pPr>
              <w:pStyle w:val="33"/>
              <w:rPr>
                <w:color w:val="auto"/>
              </w:rPr>
            </w:pPr>
          </w:p>
        </w:tc>
        <w:tc>
          <w:tcPr>
            <w:tcW w:w="1137" w:type="dxa"/>
            <w:noWrap/>
            <w:vAlign w:val="center"/>
          </w:tcPr>
          <w:p w14:paraId="61CE6D50">
            <w:pPr>
              <w:pStyle w:val="33"/>
              <w:rPr>
                <w:color w:val="auto"/>
              </w:rPr>
            </w:pPr>
            <w:r>
              <w:rPr>
                <w:color w:val="auto"/>
              </w:rPr>
              <w:t>0.5~1.5m</w:t>
            </w:r>
          </w:p>
        </w:tc>
        <w:tc>
          <w:tcPr>
            <w:tcW w:w="850" w:type="dxa"/>
            <w:vAlign w:val="center"/>
          </w:tcPr>
          <w:p w14:paraId="47447898">
            <w:pPr>
              <w:pStyle w:val="33"/>
              <w:rPr>
                <w:color w:val="auto"/>
              </w:rPr>
            </w:pPr>
          </w:p>
        </w:tc>
        <w:tc>
          <w:tcPr>
            <w:tcW w:w="865" w:type="dxa"/>
            <w:vAlign w:val="center"/>
          </w:tcPr>
          <w:p w14:paraId="28D33397">
            <w:pPr>
              <w:pStyle w:val="33"/>
              <w:rPr>
                <w:color w:val="auto"/>
              </w:rPr>
            </w:pPr>
          </w:p>
        </w:tc>
        <w:tc>
          <w:tcPr>
            <w:tcW w:w="786" w:type="dxa"/>
            <w:vAlign w:val="center"/>
          </w:tcPr>
          <w:p w14:paraId="496EEF90">
            <w:pPr>
              <w:pStyle w:val="33"/>
              <w:rPr>
                <w:color w:val="auto"/>
              </w:rPr>
            </w:pPr>
          </w:p>
        </w:tc>
        <w:tc>
          <w:tcPr>
            <w:tcW w:w="788" w:type="dxa"/>
            <w:vAlign w:val="center"/>
          </w:tcPr>
          <w:p w14:paraId="3FE93AA2">
            <w:pPr>
              <w:pStyle w:val="33"/>
              <w:rPr>
                <w:color w:val="auto"/>
              </w:rPr>
            </w:pPr>
          </w:p>
        </w:tc>
        <w:tc>
          <w:tcPr>
            <w:tcW w:w="788" w:type="dxa"/>
            <w:vAlign w:val="center"/>
          </w:tcPr>
          <w:p w14:paraId="717B3217">
            <w:pPr>
              <w:pStyle w:val="33"/>
              <w:rPr>
                <w:color w:val="auto"/>
              </w:rPr>
            </w:pPr>
          </w:p>
        </w:tc>
        <w:tc>
          <w:tcPr>
            <w:tcW w:w="787" w:type="dxa"/>
            <w:vAlign w:val="center"/>
          </w:tcPr>
          <w:p w14:paraId="1E3D8302">
            <w:pPr>
              <w:pStyle w:val="33"/>
              <w:rPr>
                <w:color w:val="auto"/>
              </w:rPr>
            </w:pPr>
          </w:p>
        </w:tc>
        <w:tc>
          <w:tcPr>
            <w:tcW w:w="787" w:type="dxa"/>
            <w:vAlign w:val="center"/>
          </w:tcPr>
          <w:p w14:paraId="38D7B7DF">
            <w:pPr>
              <w:pStyle w:val="33"/>
              <w:rPr>
                <w:color w:val="auto"/>
              </w:rPr>
            </w:pPr>
          </w:p>
        </w:tc>
        <w:tc>
          <w:tcPr>
            <w:tcW w:w="787" w:type="dxa"/>
            <w:vAlign w:val="center"/>
          </w:tcPr>
          <w:p w14:paraId="46B5BF2D">
            <w:pPr>
              <w:pStyle w:val="33"/>
              <w:rPr>
                <w:color w:val="auto"/>
              </w:rPr>
            </w:pPr>
          </w:p>
        </w:tc>
        <w:tc>
          <w:tcPr>
            <w:tcW w:w="787" w:type="dxa"/>
            <w:vAlign w:val="center"/>
          </w:tcPr>
          <w:p w14:paraId="45740108">
            <w:pPr>
              <w:pStyle w:val="33"/>
              <w:rPr>
                <w:color w:val="auto"/>
              </w:rPr>
            </w:pPr>
          </w:p>
        </w:tc>
        <w:tc>
          <w:tcPr>
            <w:tcW w:w="996" w:type="dxa"/>
            <w:vAlign w:val="center"/>
          </w:tcPr>
          <w:p w14:paraId="0E586806">
            <w:pPr>
              <w:pStyle w:val="33"/>
              <w:rPr>
                <w:color w:val="auto"/>
              </w:rPr>
            </w:pPr>
          </w:p>
        </w:tc>
        <w:tc>
          <w:tcPr>
            <w:tcW w:w="645" w:type="dxa"/>
            <w:vAlign w:val="center"/>
          </w:tcPr>
          <w:p w14:paraId="709B7908">
            <w:pPr>
              <w:pStyle w:val="33"/>
              <w:rPr>
                <w:color w:val="auto"/>
              </w:rPr>
            </w:pPr>
          </w:p>
        </w:tc>
        <w:tc>
          <w:tcPr>
            <w:tcW w:w="787" w:type="dxa"/>
            <w:vAlign w:val="center"/>
          </w:tcPr>
          <w:p w14:paraId="177F135B">
            <w:pPr>
              <w:pStyle w:val="33"/>
              <w:rPr>
                <w:color w:val="auto"/>
              </w:rPr>
            </w:pPr>
          </w:p>
        </w:tc>
        <w:tc>
          <w:tcPr>
            <w:tcW w:w="787" w:type="dxa"/>
            <w:vAlign w:val="center"/>
          </w:tcPr>
          <w:p w14:paraId="01164FD2">
            <w:pPr>
              <w:pStyle w:val="33"/>
              <w:rPr>
                <w:color w:val="auto"/>
              </w:rPr>
            </w:pPr>
          </w:p>
        </w:tc>
        <w:tc>
          <w:tcPr>
            <w:tcW w:w="787" w:type="dxa"/>
            <w:vAlign w:val="center"/>
          </w:tcPr>
          <w:p w14:paraId="5000E2E3">
            <w:pPr>
              <w:pStyle w:val="33"/>
              <w:rPr>
                <w:color w:val="auto"/>
              </w:rPr>
            </w:pPr>
          </w:p>
        </w:tc>
        <w:tc>
          <w:tcPr>
            <w:tcW w:w="785" w:type="dxa"/>
            <w:vAlign w:val="center"/>
          </w:tcPr>
          <w:p w14:paraId="4D0CEFC3">
            <w:pPr>
              <w:pStyle w:val="33"/>
              <w:rPr>
                <w:color w:val="auto"/>
              </w:rPr>
            </w:pPr>
          </w:p>
        </w:tc>
      </w:tr>
      <w:tr w14:paraId="02E38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43" w:type="dxa"/>
            <w:vMerge w:val="continue"/>
            <w:vAlign w:val="center"/>
          </w:tcPr>
          <w:p w14:paraId="16E3BCCC">
            <w:pPr>
              <w:pStyle w:val="33"/>
              <w:rPr>
                <w:color w:val="auto"/>
              </w:rPr>
            </w:pPr>
          </w:p>
        </w:tc>
        <w:tc>
          <w:tcPr>
            <w:tcW w:w="1137" w:type="dxa"/>
            <w:noWrap/>
            <w:vAlign w:val="center"/>
          </w:tcPr>
          <w:p w14:paraId="39CE9748">
            <w:pPr>
              <w:pStyle w:val="33"/>
              <w:rPr>
                <w:color w:val="auto"/>
              </w:rPr>
            </w:pPr>
            <w:r>
              <w:rPr>
                <w:color w:val="auto"/>
              </w:rPr>
              <w:t>1.5~3.0m</w:t>
            </w:r>
          </w:p>
        </w:tc>
        <w:tc>
          <w:tcPr>
            <w:tcW w:w="850" w:type="dxa"/>
            <w:vAlign w:val="center"/>
          </w:tcPr>
          <w:p w14:paraId="458E6F56">
            <w:pPr>
              <w:pStyle w:val="33"/>
              <w:rPr>
                <w:color w:val="auto"/>
              </w:rPr>
            </w:pPr>
          </w:p>
        </w:tc>
        <w:tc>
          <w:tcPr>
            <w:tcW w:w="865" w:type="dxa"/>
            <w:vAlign w:val="center"/>
          </w:tcPr>
          <w:p w14:paraId="04520957">
            <w:pPr>
              <w:pStyle w:val="33"/>
              <w:rPr>
                <w:color w:val="auto"/>
              </w:rPr>
            </w:pPr>
          </w:p>
        </w:tc>
        <w:tc>
          <w:tcPr>
            <w:tcW w:w="786" w:type="dxa"/>
            <w:vAlign w:val="center"/>
          </w:tcPr>
          <w:p w14:paraId="5A3D12F0">
            <w:pPr>
              <w:pStyle w:val="33"/>
              <w:rPr>
                <w:color w:val="auto"/>
              </w:rPr>
            </w:pPr>
          </w:p>
        </w:tc>
        <w:tc>
          <w:tcPr>
            <w:tcW w:w="788" w:type="dxa"/>
            <w:vAlign w:val="center"/>
          </w:tcPr>
          <w:p w14:paraId="740C7433">
            <w:pPr>
              <w:pStyle w:val="33"/>
              <w:rPr>
                <w:color w:val="auto"/>
              </w:rPr>
            </w:pPr>
          </w:p>
        </w:tc>
        <w:tc>
          <w:tcPr>
            <w:tcW w:w="788" w:type="dxa"/>
            <w:vAlign w:val="center"/>
          </w:tcPr>
          <w:p w14:paraId="1CD2C1C4">
            <w:pPr>
              <w:pStyle w:val="33"/>
              <w:rPr>
                <w:color w:val="auto"/>
              </w:rPr>
            </w:pPr>
          </w:p>
        </w:tc>
        <w:tc>
          <w:tcPr>
            <w:tcW w:w="787" w:type="dxa"/>
            <w:vAlign w:val="center"/>
          </w:tcPr>
          <w:p w14:paraId="5C602BC8">
            <w:pPr>
              <w:pStyle w:val="33"/>
              <w:rPr>
                <w:color w:val="auto"/>
              </w:rPr>
            </w:pPr>
          </w:p>
        </w:tc>
        <w:tc>
          <w:tcPr>
            <w:tcW w:w="787" w:type="dxa"/>
            <w:vAlign w:val="center"/>
          </w:tcPr>
          <w:p w14:paraId="707C7E9B">
            <w:pPr>
              <w:pStyle w:val="33"/>
              <w:rPr>
                <w:color w:val="auto"/>
              </w:rPr>
            </w:pPr>
          </w:p>
        </w:tc>
        <w:tc>
          <w:tcPr>
            <w:tcW w:w="787" w:type="dxa"/>
            <w:vAlign w:val="center"/>
          </w:tcPr>
          <w:p w14:paraId="7311F02C">
            <w:pPr>
              <w:pStyle w:val="33"/>
              <w:rPr>
                <w:color w:val="auto"/>
              </w:rPr>
            </w:pPr>
          </w:p>
        </w:tc>
        <w:tc>
          <w:tcPr>
            <w:tcW w:w="787" w:type="dxa"/>
            <w:vAlign w:val="center"/>
          </w:tcPr>
          <w:p w14:paraId="1237CF88">
            <w:pPr>
              <w:pStyle w:val="33"/>
              <w:rPr>
                <w:color w:val="auto"/>
              </w:rPr>
            </w:pPr>
          </w:p>
        </w:tc>
        <w:tc>
          <w:tcPr>
            <w:tcW w:w="996" w:type="dxa"/>
            <w:vAlign w:val="center"/>
          </w:tcPr>
          <w:p w14:paraId="02215E84">
            <w:pPr>
              <w:pStyle w:val="33"/>
              <w:rPr>
                <w:color w:val="auto"/>
              </w:rPr>
            </w:pPr>
          </w:p>
        </w:tc>
        <w:tc>
          <w:tcPr>
            <w:tcW w:w="645" w:type="dxa"/>
            <w:vAlign w:val="center"/>
          </w:tcPr>
          <w:p w14:paraId="553393B7">
            <w:pPr>
              <w:pStyle w:val="33"/>
              <w:rPr>
                <w:color w:val="auto"/>
              </w:rPr>
            </w:pPr>
          </w:p>
        </w:tc>
        <w:tc>
          <w:tcPr>
            <w:tcW w:w="787" w:type="dxa"/>
            <w:vAlign w:val="center"/>
          </w:tcPr>
          <w:p w14:paraId="36B6C24D">
            <w:pPr>
              <w:pStyle w:val="33"/>
              <w:rPr>
                <w:color w:val="auto"/>
              </w:rPr>
            </w:pPr>
          </w:p>
        </w:tc>
        <w:tc>
          <w:tcPr>
            <w:tcW w:w="787" w:type="dxa"/>
            <w:vAlign w:val="center"/>
          </w:tcPr>
          <w:p w14:paraId="1C48E741">
            <w:pPr>
              <w:pStyle w:val="33"/>
              <w:rPr>
                <w:color w:val="auto"/>
              </w:rPr>
            </w:pPr>
          </w:p>
        </w:tc>
        <w:tc>
          <w:tcPr>
            <w:tcW w:w="787" w:type="dxa"/>
            <w:vAlign w:val="center"/>
          </w:tcPr>
          <w:p w14:paraId="33DC75F1">
            <w:pPr>
              <w:pStyle w:val="33"/>
              <w:rPr>
                <w:color w:val="auto"/>
              </w:rPr>
            </w:pPr>
          </w:p>
        </w:tc>
        <w:tc>
          <w:tcPr>
            <w:tcW w:w="785" w:type="dxa"/>
            <w:vAlign w:val="center"/>
          </w:tcPr>
          <w:p w14:paraId="2BA56369">
            <w:pPr>
              <w:pStyle w:val="33"/>
              <w:rPr>
                <w:color w:val="auto"/>
              </w:rPr>
            </w:pPr>
          </w:p>
        </w:tc>
      </w:tr>
      <w:tr w14:paraId="4F94F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43" w:type="dxa"/>
            <w:vMerge w:val="restart"/>
            <w:vAlign w:val="center"/>
          </w:tcPr>
          <w:p w14:paraId="6E3A1600">
            <w:pPr>
              <w:pStyle w:val="33"/>
              <w:rPr>
                <w:color w:val="auto"/>
              </w:rPr>
            </w:pPr>
            <w:r>
              <w:rPr>
                <w:color w:val="auto"/>
              </w:rPr>
              <w:t>2#</w:t>
            </w:r>
            <w:r>
              <w:rPr>
                <w:rFonts w:hint="eastAsia"/>
                <w:color w:val="auto"/>
              </w:rPr>
              <w:t>硫磺山村东北面</w:t>
            </w:r>
            <w:r>
              <w:rPr>
                <w:color w:val="auto"/>
              </w:rPr>
              <w:t>120m</w:t>
            </w:r>
          </w:p>
        </w:tc>
        <w:tc>
          <w:tcPr>
            <w:tcW w:w="1137" w:type="dxa"/>
            <w:noWrap/>
            <w:vAlign w:val="center"/>
          </w:tcPr>
          <w:p w14:paraId="456AFCC8">
            <w:pPr>
              <w:pStyle w:val="33"/>
              <w:rPr>
                <w:color w:val="auto"/>
              </w:rPr>
            </w:pPr>
            <w:r>
              <w:rPr>
                <w:color w:val="auto"/>
              </w:rPr>
              <w:t>0~0.5m</w:t>
            </w:r>
          </w:p>
        </w:tc>
        <w:tc>
          <w:tcPr>
            <w:tcW w:w="850" w:type="dxa"/>
            <w:vAlign w:val="center"/>
          </w:tcPr>
          <w:p w14:paraId="34705C19">
            <w:pPr>
              <w:pStyle w:val="33"/>
              <w:rPr>
                <w:color w:val="auto"/>
              </w:rPr>
            </w:pPr>
          </w:p>
        </w:tc>
        <w:tc>
          <w:tcPr>
            <w:tcW w:w="865" w:type="dxa"/>
            <w:vAlign w:val="center"/>
          </w:tcPr>
          <w:p w14:paraId="558A03F2">
            <w:pPr>
              <w:pStyle w:val="33"/>
              <w:rPr>
                <w:color w:val="auto"/>
              </w:rPr>
            </w:pPr>
          </w:p>
        </w:tc>
        <w:tc>
          <w:tcPr>
            <w:tcW w:w="786" w:type="dxa"/>
            <w:vAlign w:val="center"/>
          </w:tcPr>
          <w:p w14:paraId="2AC64517">
            <w:pPr>
              <w:pStyle w:val="33"/>
              <w:rPr>
                <w:color w:val="auto"/>
              </w:rPr>
            </w:pPr>
          </w:p>
        </w:tc>
        <w:tc>
          <w:tcPr>
            <w:tcW w:w="788" w:type="dxa"/>
            <w:vAlign w:val="center"/>
          </w:tcPr>
          <w:p w14:paraId="13554598">
            <w:pPr>
              <w:pStyle w:val="33"/>
              <w:rPr>
                <w:color w:val="auto"/>
              </w:rPr>
            </w:pPr>
          </w:p>
        </w:tc>
        <w:tc>
          <w:tcPr>
            <w:tcW w:w="788" w:type="dxa"/>
            <w:vAlign w:val="center"/>
          </w:tcPr>
          <w:p w14:paraId="495BA193">
            <w:pPr>
              <w:pStyle w:val="33"/>
              <w:rPr>
                <w:color w:val="auto"/>
              </w:rPr>
            </w:pPr>
          </w:p>
        </w:tc>
        <w:tc>
          <w:tcPr>
            <w:tcW w:w="787" w:type="dxa"/>
            <w:vAlign w:val="center"/>
          </w:tcPr>
          <w:p w14:paraId="5B525792">
            <w:pPr>
              <w:pStyle w:val="33"/>
              <w:rPr>
                <w:color w:val="auto"/>
              </w:rPr>
            </w:pPr>
          </w:p>
        </w:tc>
        <w:tc>
          <w:tcPr>
            <w:tcW w:w="787" w:type="dxa"/>
            <w:vAlign w:val="center"/>
          </w:tcPr>
          <w:p w14:paraId="00F66DB6">
            <w:pPr>
              <w:pStyle w:val="33"/>
              <w:rPr>
                <w:color w:val="auto"/>
              </w:rPr>
            </w:pPr>
          </w:p>
        </w:tc>
        <w:tc>
          <w:tcPr>
            <w:tcW w:w="787" w:type="dxa"/>
            <w:vAlign w:val="center"/>
          </w:tcPr>
          <w:p w14:paraId="08DB814A">
            <w:pPr>
              <w:pStyle w:val="33"/>
              <w:rPr>
                <w:color w:val="auto"/>
              </w:rPr>
            </w:pPr>
          </w:p>
        </w:tc>
        <w:tc>
          <w:tcPr>
            <w:tcW w:w="787" w:type="dxa"/>
            <w:vAlign w:val="center"/>
          </w:tcPr>
          <w:p w14:paraId="67FBA0C4">
            <w:pPr>
              <w:pStyle w:val="33"/>
              <w:rPr>
                <w:color w:val="auto"/>
              </w:rPr>
            </w:pPr>
          </w:p>
        </w:tc>
        <w:tc>
          <w:tcPr>
            <w:tcW w:w="996" w:type="dxa"/>
            <w:vAlign w:val="center"/>
          </w:tcPr>
          <w:p w14:paraId="3B535CFA">
            <w:pPr>
              <w:pStyle w:val="33"/>
              <w:rPr>
                <w:color w:val="auto"/>
              </w:rPr>
            </w:pPr>
          </w:p>
        </w:tc>
        <w:tc>
          <w:tcPr>
            <w:tcW w:w="645" w:type="dxa"/>
            <w:vAlign w:val="center"/>
          </w:tcPr>
          <w:p w14:paraId="0822B5D8">
            <w:pPr>
              <w:pStyle w:val="33"/>
              <w:rPr>
                <w:color w:val="auto"/>
              </w:rPr>
            </w:pPr>
          </w:p>
        </w:tc>
        <w:tc>
          <w:tcPr>
            <w:tcW w:w="787" w:type="dxa"/>
            <w:vAlign w:val="center"/>
          </w:tcPr>
          <w:p w14:paraId="36A6DCD6">
            <w:pPr>
              <w:pStyle w:val="33"/>
              <w:rPr>
                <w:color w:val="auto"/>
              </w:rPr>
            </w:pPr>
          </w:p>
        </w:tc>
        <w:tc>
          <w:tcPr>
            <w:tcW w:w="787" w:type="dxa"/>
            <w:vAlign w:val="center"/>
          </w:tcPr>
          <w:p w14:paraId="3A72CE84">
            <w:pPr>
              <w:pStyle w:val="33"/>
              <w:rPr>
                <w:color w:val="auto"/>
              </w:rPr>
            </w:pPr>
          </w:p>
        </w:tc>
        <w:tc>
          <w:tcPr>
            <w:tcW w:w="787" w:type="dxa"/>
            <w:vAlign w:val="center"/>
          </w:tcPr>
          <w:p w14:paraId="61697073">
            <w:pPr>
              <w:pStyle w:val="33"/>
              <w:rPr>
                <w:color w:val="auto"/>
              </w:rPr>
            </w:pPr>
          </w:p>
        </w:tc>
        <w:tc>
          <w:tcPr>
            <w:tcW w:w="785" w:type="dxa"/>
            <w:vAlign w:val="center"/>
          </w:tcPr>
          <w:p w14:paraId="250BC518">
            <w:pPr>
              <w:pStyle w:val="33"/>
              <w:rPr>
                <w:color w:val="auto"/>
              </w:rPr>
            </w:pPr>
          </w:p>
        </w:tc>
      </w:tr>
      <w:tr w14:paraId="45C0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43" w:type="dxa"/>
            <w:vMerge w:val="continue"/>
            <w:vAlign w:val="center"/>
          </w:tcPr>
          <w:p w14:paraId="1FED76B2">
            <w:pPr>
              <w:pStyle w:val="33"/>
              <w:rPr>
                <w:color w:val="auto"/>
              </w:rPr>
            </w:pPr>
          </w:p>
        </w:tc>
        <w:tc>
          <w:tcPr>
            <w:tcW w:w="1137" w:type="dxa"/>
            <w:noWrap/>
            <w:vAlign w:val="center"/>
          </w:tcPr>
          <w:p w14:paraId="73EF5644">
            <w:pPr>
              <w:pStyle w:val="33"/>
              <w:rPr>
                <w:color w:val="auto"/>
              </w:rPr>
            </w:pPr>
            <w:r>
              <w:rPr>
                <w:color w:val="auto"/>
              </w:rPr>
              <w:t>0.5~1.5m</w:t>
            </w:r>
          </w:p>
        </w:tc>
        <w:tc>
          <w:tcPr>
            <w:tcW w:w="850" w:type="dxa"/>
            <w:vAlign w:val="center"/>
          </w:tcPr>
          <w:p w14:paraId="3FCD531B">
            <w:pPr>
              <w:pStyle w:val="33"/>
              <w:rPr>
                <w:color w:val="auto"/>
              </w:rPr>
            </w:pPr>
          </w:p>
        </w:tc>
        <w:tc>
          <w:tcPr>
            <w:tcW w:w="865" w:type="dxa"/>
            <w:vAlign w:val="center"/>
          </w:tcPr>
          <w:p w14:paraId="42FA1BEF">
            <w:pPr>
              <w:pStyle w:val="33"/>
              <w:rPr>
                <w:color w:val="auto"/>
              </w:rPr>
            </w:pPr>
          </w:p>
        </w:tc>
        <w:tc>
          <w:tcPr>
            <w:tcW w:w="786" w:type="dxa"/>
            <w:vAlign w:val="center"/>
          </w:tcPr>
          <w:p w14:paraId="100E7399">
            <w:pPr>
              <w:pStyle w:val="33"/>
              <w:rPr>
                <w:color w:val="auto"/>
              </w:rPr>
            </w:pPr>
          </w:p>
        </w:tc>
        <w:tc>
          <w:tcPr>
            <w:tcW w:w="788" w:type="dxa"/>
            <w:vAlign w:val="center"/>
          </w:tcPr>
          <w:p w14:paraId="15756AE8">
            <w:pPr>
              <w:pStyle w:val="33"/>
              <w:rPr>
                <w:color w:val="auto"/>
              </w:rPr>
            </w:pPr>
          </w:p>
        </w:tc>
        <w:tc>
          <w:tcPr>
            <w:tcW w:w="788" w:type="dxa"/>
            <w:vAlign w:val="center"/>
          </w:tcPr>
          <w:p w14:paraId="54931435">
            <w:pPr>
              <w:pStyle w:val="33"/>
              <w:rPr>
                <w:color w:val="auto"/>
              </w:rPr>
            </w:pPr>
          </w:p>
        </w:tc>
        <w:tc>
          <w:tcPr>
            <w:tcW w:w="787" w:type="dxa"/>
            <w:vAlign w:val="center"/>
          </w:tcPr>
          <w:p w14:paraId="297B0B80">
            <w:pPr>
              <w:pStyle w:val="33"/>
              <w:rPr>
                <w:color w:val="auto"/>
              </w:rPr>
            </w:pPr>
          </w:p>
        </w:tc>
        <w:tc>
          <w:tcPr>
            <w:tcW w:w="787" w:type="dxa"/>
            <w:vAlign w:val="center"/>
          </w:tcPr>
          <w:p w14:paraId="7074E398">
            <w:pPr>
              <w:pStyle w:val="33"/>
              <w:rPr>
                <w:color w:val="auto"/>
              </w:rPr>
            </w:pPr>
          </w:p>
        </w:tc>
        <w:tc>
          <w:tcPr>
            <w:tcW w:w="787" w:type="dxa"/>
            <w:vAlign w:val="center"/>
          </w:tcPr>
          <w:p w14:paraId="4F4C43F7">
            <w:pPr>
              <w:pStyle w:val="33"/>
              <w:rPr>
                <w:color w:val="auto"/>
              </w:rPr>
            </w:pPr>
          </w:p>
        </w:tc>
        <w:tc>
          <w:tcPr>
            <w:tcW w:w="787" w:type="dxa"/>
            <w:vAlign w:val="center"/>
          </w:tcPr>
          <w:p w14:paraId="3BD83D69">
            <w:pPr>
              <w:pStyle w:val="33"/>
              <w:rPr>
                <w:color w:val="auto"/>
              </w:rPr>
            </w:pPr>
          </w:p>
        </w:tc>
        <w:tc>
          <w:tcPr>
            <w:tcW w:w="996" w:type="dxa"/>
            <w:vAlign w:val="center"/>
          </w:tcPr>
          <w:p w14:paraId="71B8C773">
            <w:pPr>
              <w:pStyle w:val="33"/>
              <w:rPr>
                <w:color w:val="auto"/>
              </w:rPr>
            </w:pPr>
          </w:p>
        </w:tc>
        <w:tc>
          <w:tcPr>
            <w:tcW w:w="645" w:type="dxa"/>
            <w:vAlign w:val="center"/>
          </w:tcPr>
          <w:p w14:paraId="58C86C9B">
            <w:pPr>
              <w:pStyle w:val="33"/>
              <w:rPr>
                <w:color w:val="auto"/>
              </w:rPr>
            </w:pPr>
          </w:p>
        </w:tc>
        <w:tc>
          <w:tcPr>
            <w:tcW w:w="787" w:type="dxa"/>
            <w:vAlign w:val="center"/>
          </w:tcPr>
          <w:p w14:paraId="1BFB4A75">
            <w:pPr>
              <w:pStyle w:val="33"/>
              <w:rPr>
                <w:color w:val="auto"/>
              </w:rPr>
            </w:pPr>
          </w:p>
        </w:tc>
        <w:tc>
          <w:tcPr>
            <w:tcW w:w="787" w:type="dxa"/>
            <w:vAlign w:val="center"/>
          </w:tcPr>
          <w:p w14:paraId="12641D4F">
            <w:pPr>
              <w:pStyle w:val="33"/>
              <w:rPr>
                <w:color w:val="auto"/>
              </w:rPr>
            </w:pPr>
          </w:p>
        </w:tc>
        <w:tc>
          <w:tcPr>
            <w:tcW w:w="787" w:type="dxa"/>
            <w:vAlign w:val="center"/>
          </w:tcPr>
          <w:p w14:paraId="25C51905">
            <w:pPr>
              <w:pStyle w:val="33"/>
              <w:rPr>
                <w:color w:val="auto"/>
              </w:rPr>
            </w:pPr>
          </w:p>
        </w:tc>
        <w:tc>
          <w:tcPr>
            <w:tcW w:w="785" w:type="dxa"/>
            <w:vAlign w:val="center"/>
          </w:tcPr>
          <w:p w14:paraId="155DACEF">
            <w:pPr>
              <w:pStyle w:val="33"/>
              <w:rPr>
                <w:color w:val="auto"/>
              </w:rPr>
            </w:pPr>
          </w:p>
        </w:tc>
      </w:tr>
      <w:tr w14:paraId="508A8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843" w:type="dxa"/>
            <w:vMerge w:val="continue"/>
            <w:vAlign w:val="center"/>
          </w:tcPr>
          <w:p w14:paraId="7559334B">
            <w:pPr>
              <w:pStyle w:val="33"/>
              <w:rPr>
                <w:color w:val="auto"/>
              </w:rPr>
            </w:pPr>
          </w:p>
        </w:tc>
        <w:tc>
          <w:tcPr>
            <w:tcW w:w="1137" w:type="dxa"/>
            <w:noWrap/>
            <w:vAlign w:val="center"/>
          </w:tcPr>
          <w:p w14:paraId="7A11B037">
            <w:pPr>
              <w:pStyle w:val="33"/>
              <w:rPr>
                <w:color w:val="auto"/>
              </w:rPr>
            </w:pPr>
            <w:r>
              <w:rPr>
                <w:color w:val="auto"/>
              </w:rPr>
              <w:t>1.5~3.0m</w:t>
            </w:r>
          </w:p>
        </w:tc>
        <w:tc>
          <w:tcPr>
            <w:tcW w:w="850" w:type="dxa"/>
            <w:vAlign w:val="center"/>
          </w:tcPr>
          <w:p w14:paraId="13A22472">
            <w:pPr>
              <w:pStyle w:val="33"/>
              <w:rPr>
                <w:color w:val="auto"/>
              </w:rPr>
            </w:pPr>
          </w:p>
        </w:tc>
        <w:tc>
          <w:tcPr>
            <w:tcW w:w="865" w:type="dxa"/>
            <w:vAlign w:val="center"/>
          </w:tcPr>
          <w:p w14:paraId="4E5CE3A2">
            <w:pPr>
              <w:pStyle w:val="33"/>
              <w:rPr>
                <w:color w:val="auto"/>
              </w:rPr>
            </w:pPr>
          </w:p>
        </w:tc>
        <w:tc>
          <w:tcPr>
            <w:tcW w:w="786" w:type="dxa"/>
            <w:vAlign w:val="center"/>
          </w:tcPr>
          <w:p w14:paraId="5C959CDC">
            <w:pPr>
              <w:pStyle w:val="33"/>
              <w:rPr>
                <w:color w:val="auto"/>
              </w:rPr>
            </w:pPr>
          </w:p>
        </w:tc>
        <w:tc>
          <w:tcPr>
            <w:tcW w:w="788" w:type="dxa"/>
            <w:vAlign w:val="center"/>
          </w:tcPr>
          <w:p w14:paraId="72AF8A0C">
            <w:pPr>
              <w:pStyle w:val="33"/>
              <w:rPr>
                <w:color w:val="auto"/>
              </w:rPr>
            </w:pPr>
          </w:p>
        </w:tc>
        <w:tc>
          <w:tcPr>
            <w:tcW w:w="788" w:type="dxa"/>
            <w:vAlign w:val="center"/>
          </w:tcPr>
          <w:p w14:paraId="534FDE4D">
            <w:pPr>
              <w:pStyle w:val="33"/>
              <w:rPr>
                <w:color w:val="auto"/>
              </w:rPr>
            </w:pPr>
          </w:p>
        </w:tc>
        <w:tc>
          <w:tcPr>
            <w:tcW w:w="787" w:type="dxa"/>
            <w:vAlign w:val="center"/>
          </w:tcPr>
          <w:p w14:paraId="3A101833">
            <w:pPr>
              <w:pStyle w:val="33"/>
              <w:rPr>
                <w:color w:val="auto"/>
              </w:rPr>
            </w:pPr>
          </w:p>
        </w:tc>
        <w:tc>
          <w:tcPr>
            <w:tcW w:w="787" w:type="dxa"/>
            <w:vAlign w:val="center"/>
          </w:tcPr>
          <w:p w14:paraId="167D2968">
            <w:pPr>
              <w:pStyle w:val="33"/>
              <w:rPr>
                <w:color w:val="auto"/>
              </w:rPr>
            </w:pPr>
          </w:p>
        </w:tc>
        <w:tc>
          <w:tcPr>
            <w:tcW w:w="787" w:type="dxa"/>
            <w:vAlign w:val="center"/>
          </w:tcPr>
          <w:p w14:paraId="5AAA3C31">
            <w:pPr>
              <w:pStyle w:val="33"/>
              <w:rPr>
                <w:color w:val="auto"/>
              </w:rPr>
            </w:pPr>
          </w:p>
        </w:tc>
        <w:tc>
          <w:tcPr>
            <w:tcW w:w="787" w:type="dxa"/>
            <w:vAlign w:val="center"/>
          </w:tcPr>
          <w:p w14:paraId="4FD41398">
            <w:pPr>
              <w:pStyle w:val="33"/>
              <w:rPr>
                <w:color w:val="auto"/>
              </w:rPr>
            </w:pPr>
          </w:p>
        </w:tc>
        <w:tc>
          <w:tcPr>
            <w:tcW w:w="996" w:type="dxa"/>
            <w:vAlign w:val="center"/>
          </w:tcPr>
          <w:p w14:paraId="1600885C">
            <w:pPr>
              <w:pStyle w:val="33"/>
              <w:rPr>
                <w:color w:val="auto"/>
              </w:rPr>
            </w:pPr>
          </w:p>
        </w:tc>
        <w:tc>
          <w:tcPr>
            <w:tcW w:w="645" w:type="dxa"/>
            <w:vAlign w:val="center"/>
          </w:tcPr>
          <w:p w14:paraId="2D7BF89B">
            <w:pPr>
              <w:pStyle w:val="33"/>
              <w:rPr>
                <w:color w:val="auto"/>
              </w:rPr>
            </w:pPr>
          </w:p>
        </w:tc>
        <w:tc>
          <w:tcPr>
            <w:tcW w:w="787" w:type="dxa"/>
            <w:vAlign w:val="center"/>
          </w:tcPr>
          <w:p w14:paraId="07FD1B38">
            <w:pPr>
              <w:pStyle w:val="33"/>
              <w:rPr>
                <w:color w:val="auto"/>
              </w:rPr>
            </w:pPr>
          </w:p>
        </w:tc>
        <w:tc>
          <w:tcPr>
            <w:tcW w:w="787" w:type="dxa"/>
            <w:vAlign w:val="center"/>
          </w:tcPr>
          <w:p w14:paraId="1409DCB5">
            <w:pPr>
              <w:pStyle w:val="33"/>
              <w:rPr>
                <w:color w:val="auto"/>
              </w:rPr>
            </w:pPr>
          </w:p>
        </w:tc>
        <w:tc>
          <w:tcPr>
            <w:tcW w:w="787" w:type="dxa"/>
            <w:vAlign w:val="center"/>
          </w:tcPr>
          <w:p w14:paraId="5964C96B">
            <w:pPr>
              <w:pStyle w:val="33"/>
              <w:rPr>
                <w:color w:val="auto"/>
              </w:rPr>
            </w:pPr>
          </w:p>
        </w:tc>
        <w:tc>
          <w:tcPr>
            <w:tcW w:w="785" w:type="dxa"/>
            <w:vAlign w:val="center"/>
          </w:tcPr>
          <w:p w14:paraId="0A8FFA85">
            <w:pPr>
              <w:pStyle w:val="33"/>
              <w:rPr>
                <w:color w:val="auto"/>
              </w:rPr>
            </w:pPr>
          </w:p>
        </w:tc>
      </w:tr>
    </w:tbl>
    <w:p w14:paraId="6CB6AB54">
      <w:pPr>
        <w:pStyle w:val="7"/>
        <w:rPr>
          <w:color w:val="auto"/>
        </w:rPr>
      </w:pPr>
      <w:r>
        <w:rPr>
          <w:rFonts w:hint="eastAsia"/>
          <w:color w:val="auto"/>
        </w:rPr>
        <w:t>历史包气带监测结果</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941"/>
        <w:gridCol w:w="627"/>
        <w:gridCol w:w="831"/>
        <w:gridCol w:w="708"/>
        <w:gridCol w:w="627"/>
        <w:gridCol w:w="723"/>
        <w:gridCol w:w="874"/>
        <w:gridCol w:w="831"/>
        <w:gridCol w:w="819"/>
        <w:gridCol w:w="831"/>
        <w:gridCol w:w="831"/>
        <w:gridCol w:w="723"/>
        <w:gridCol w:w="927"/>
        <w:gridCol w:w="735"/>
        <w:gridCol w:w="735"/>
        <w:gridCol w:w="723"/>
        <w:gridCol w:w="831"/>
      </w:tblGrid>
      <w:tr w14:paraId="139C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675" w:type="dxa"/>
            <w:vAlign w:val="center"/>
          </w:tcPr>
          <w:p w14:paraId="36D7950D">
            <w:pPr>
              <w:pStyle w:val="33"/>
              <w:rPr>
                <w:color w:val="auto"/>
              </w:rPr>
            </w:pPr>
            <w:r>
              <w:rPr>
                <w:rFonts w:hint="eastAsia"/>
                <w:color w:val="auto"/>
              </w:rPr>
              <w:t>监测点位</w:t>
            </w:r>
          </w:p>
        </w:tc>
        <w:tc>
          <w:tcPr>
            <w:tcW w:w="941" w:type="dxa"/>
            <w:vAlign w:val="center"/>
          </w:tcPr>
          <w:p w14:paraId="077DDDFB">
            <w:pPr>
              <w:pStyle w:val="33"/>
              <w:rPr>
                <w:color w:val="auto"/>
              </w:rPr>
            </w:pPr>
            <w:r>
              <w:rPr>
                <w:rFonts w:hint="eastAsia"/>
                <w:color w:val="auto"/>
              </w:rPr>
              <w:t>采样深度（</w:t>
            </w:r>
            <w:r>
              <w:rPr>
                <w:color w:val="auto"/>
              </w:rPr>
              <w:t>m</w:t>
            </w:r>
            <w:r>
              <w:rPr>
                <w:rFonts w:hint="eastAsia"/>
                <w:color w:val="auto"/>
              </w:rPr>
              <w:t>）</w:t>
            </w:r>
          </w:p>
        </w:tc>
        <w:tc>
          <w:tcPr>
            <w:tcW w:w="627" w:type="dxa"/>
            <w:vAlign w:val="center"/>
          </w:tcPr>
          <w:p w14:paraId="02B999E3">
            <w:pPr>
              <w:pStyle w:val="33"/>
              <w:rPr>
                <w:color w:val="auto"/>
              </w:rPr>
            </w:pPr>
            <w:r>
              <w:rPr>
                <w:color w:val="auto"/>
              </w:rPr>
              <w:t>pH</w:t>
            </w:r>
            <w:r>
              <w:rPr>
                <w:rFonts w:hint="eastAsia"/>
                <w:color w:val="auto"/>
              </w:rPr>
              <w:t>值</w:t>
            </w:r>
          </w:p>
        </w:tc>
        <w:tc>
          <w:tcPr>
            <w:tcW w:w="831" w:type="dxa"/>
            <w:vAlign w:val="center"/>
          </w:tcPr>
          <w:p w14:paraId="255159AE">
            <w:pPr>
              <w:pStyle w:val="33"/>
              <w:rPr>
                <w:color w:val="auto"/>
              </w:rPr>
            </w:pPr>
            <w:r>
              <w:rPr>
                <w:rFonts w:hint="eastAsia"/>
                <w:color w:val="auto"/>
              </w:rPr>
              <w:t>氰化物（以</w:t>
            </w:r>
            <w:r>
              <w:rPr>
                <w:color w:val="auto"/>
              </w:rPr>
              <w:t>CN</w:t>
            </w:r>
            <w:r>
              <w:rPr>
                <w:color w:val="auto"/>
                <w:vertAlign w:val="superscript"/>
              </w:rPr>
              <w:t>-</w:t>
            </w:r>
            <w:r>
              <w:rPr>
                <w:rFonts w:hint="eastAsia"/>
                <w:color w:val="auto"/>
              </w:rPr>
              <w:t>计）</w:t>
            </w:r>
          </w:p>
        </w:tc>
        <w:tc>
          <w:tcPr>
            <w:tcW w:w="708" w:type="dxa"/>
            <w:vAlign w:val="center"/>
          </w:tcPr>
          <w:p w14:paraId="3CEA353D">
            <w:pPr>
              <w:pStyle w:val="33"/>
              <w:rPr>
                <w:color w:val="auto"/>
              </w:rPr>
            </w:pPr>
            <w:r>
              <w:rPr>
                <w:color w:val="auto"/>
              </w:rPr>
              <w:t>SO</w:t>
            </w:r>
            <w:r>
              <w:rPr>
                <w:color w:val="auto"/>
                <w:vertAlign w:val="subscript"/>
              </w:rPr>
              <w:t>4</w:t>
            </w:r>
            <w:r>
              <w:rPr>
                <w:color w:val="auto"/>
                <w:vertAlign w:val="superscript"/>
              </w:rPr>
              <w:t>2-</w:t>
            </w:r>
          </w:p>
        </w:tc>
        <w:tc>
          <w:tcPr>
            <w:tcW w:w="627" w:type="dxa"/>
            <w:vAlign w:val="center"/>
          </w:tcPr>
          <w:p w14:paraId="00094B84">
            <w:pPr>
              <w:pStyle w:val="33"/>
              <w:rPr>
                <w:color w:val="auto"/>
              </w:rPr>
            </w:pPr>
            <w:r>
              <w:rPr>
                <w:color w:val="auto"/>
              </w:rPr>
              <w:t>Cl</w:t>
            </w:r>
            <w:r>
              <w:rPr>
                <w:color w:val="auto"/>
                <w:vertAlign w:val="superscript"/>
              </w:rPr>
              <w:t>-</w:t>
            </w:r>
            <w:r>
              <w:rPr>
                <w:color w:val="auto"/>
              </w:rPr>
              <w:t xml:space="preserve"> </w:t>
            </w:r>
          </w:p>
        </w:tc>
        <w:tc>
          <w:tcPr>
            <w:tcW w:w="723" w:type="dxa"/>
            <w:vAlign w:val="center"/>
          </w:tcPr>
          <w:p w14:paraId="7FA2BF12">
            <w:pPr>
              <w:pStyle w:val="33"/>
              <w:rPr>
                <w:color w:val="auto"/>
              </w:rPr>
            </w:pPr>
            <w:r>
              <w:rPr>
                <w:color w:val="auto"/>
              </w:rPr>
              <w:t>F</w:t>
            </w:r>
            <w:r>
              <w:rPr>
                <w:color w:val="auto"/>
                <w:vertAlign w:val="superscript"/>
              </w:rPr>
              <w:t>-</w:t>
            </w:r>
            <w:r>
              <w:rPr>
                <w:color w:val="auto"/>
              </w:rPr>
              <w:t xml:space="preserve"> </w:t>
            </w:r>
          </w:p>
        </w:tc>
        <w:tc>
          <w:tcPr>
            <w:tcW w:w="874" w:type="dxa"/>
            <w:vAlign w:val="center"/>
          </w:tcPr>
          <w:p w14:paraId="2189179E">
            <w:pPr>
              <w:pStyle w:val="33"/>
              <w:rPr>
                <w:color w:val="auto"/>
              </w:rPr>
            </w:pPr>
            <w:r>
              <w:rPr>
                <w:color w:val="auto"/>
              </w:rPr>
              <w:t>COD</w:t>
            </w:r>
            <w:r>
              <w:rPr>
                <w:color w:val="auto"/>
                <w:vertAlign w:val="subscript"/>
              </w:rPr>
              <w:t>Mn</w:t>
            </w:r>
          </w:p>
        </w:tc>
        <w:tc>
          <w:tcPr>
            <w:tcW w:w="831" w:type="dxa"/>
            <w:vAlign w:val="center"/>
          </w:tcPr>
          <w:p w14:paraId="235BD640">
            <w:pPr>
              <w:pStyle w:val="33"/>
              <w:rPr>
                <w:color w:val="auto"/>
              </w:rPr>
            </w:pPr>
            <w:r>
              <w:rPr>
                <w:rFonts w:hint="eastAsia"/>
                <w:color w:val="auto"/>
              </w:rPr>
              <w:t>氨氮</w:t>
            </w:r>
          </w:p>
        </w:tc>
        <w:tc>
          <w:tcPr>
            <w:tcW w:w="819" w:type="dxa"/>
            <w:vAlign w:val="center"/>
          </w:tcPr>
          <w:p w14:paraId="15372487">
            <w:pPr>
              <w:pStyle w:val="33"/>
              <w:rPr>
                <w:color w:val="auto"/>
              </w:rPr>
            </w:pPr>
            <w:r>
              <w:rPr>
                <w:rFonts w:hint="eastAsia"/>
                <w:color w:val="auto"/>
              </w:rPr>
              <w:t>砷</w:t>
            </w:r>
          </w:p>
        </w:tc>
        <w:tc>
          <w:tcPr>
            <w:tcW w:w="831" w:type="dxa"/>
            <w:vAlign w:val="center"/>
          </w:tcPr>
          <w:p w14:paraId="7F810942">
            <w:pPr>
              <w:pStyle w:val="33"/>
              <w:rPr>
                <w:color w:val="auto"/>
              </w:rPr>
            </w:pPr>
            <w:r>
              <w:rPr>
                <w:rFonts w:hint="eastAsia"/>
                <w:color w:val="auto"/>
              </w:rPr>
              <w:t>镉</w:t>
            </w:r>
          </w:p>
        </w:tc>
        <w:tc>
          <w:tcPr>
            <w:tcW w:w="831" w:type="dxa"/>
            <w:vAlign w:val="center"/>
          </w:tcPr>
          <w:p w14:paraId="144D2E5A">
            <w:pPr>
              <w:pStyle w:val="33"/>
              <w:rPr>
                <w:color w:val="auto"/>
              </w:rPr>
            </w:pPr>
            <w:r>
              <w:rPr>
                <w:rFonts w:hint="eastAsia"/>
                <w:color w:val="auto"/>
              </w:rPr>
              <w:t>六价铬</w:t>
            </w:r>
          </w:p>
        </w:tc>
        <w:tc>
          <w:tcPr>
            <w:tcW w:w="723" w:type="dxa"/>
            <w:vAlign w:val="center"/>
          </w:tcPr>
          <w:p w14:paraId="6FF7F275">
            <w:pPr>
              <w:pStyle w:val="33"/>
              <w:rPr>
                <w:color w:val="auto"/>
              </w:rPr>
            </w:pPr>
            <w:r>
              <w:rPr>
                <w:rFonts w:hint="eastAsia"/>
                <w:color w:val="auto"/>
              </w:rPr>
              <w:t>铜</w:t>
            </w:r>
          </w:p>
        </w:tc>
        <w:tc>
          <w:tcPr>
            <w:tcW w:w="927" w:type="dxa"/>
            <w:vAlign w:val="center"/>
          </w:tcPr>
          <w:p w14:paraId="161D6273">
            <w:pPr>
              <w:pStyle w:val="33"/>
              <w:rPr>
                <w:color w:val="auto"/>
              </w:rPr>
            </w:pPr>
            <w:r>
              <w:rPr>
                <w:rFonts w:hint="eastAsia"/>
                <w:color w:val="auto"/>
              </w:rPr>
              <w:t>汞</w:t>
            </w:r>
          </w:p>
        </w:tc>
        <w:tc>
          <w:tcPr>
            <w:tcW w:w="735" w:type="dxa"/>
            <w:vAlign w:val="center"/>
          </w:tcPr>
          <w:p w14:paraId="005697A5">
            <w:pPr>
              <w:pStyle w:val="33"/>
              <w:rPr>
                <w:color w:val="auto"/>
              </w:rPr>
            </w:pPr>
            <w:r>
              <w:rPr>
                <w:rFonts w:hint="eastAsia"/>
                <w:color w:val="auto"/>
              </w:rPr>
              <w:t>铅</w:t>
            </w:r>
          </w:p>
        </w:tc>
        <w:tc>
          <w:tcPr>
            <w:tcW w:w="735" w:type="dxa"/>
            <w:vAlign w:val="center"/>
          </w:tcPr>
          <w:p w14:paraId="15043B75">
            <w:pPr>
              <w:pStyle w:val="33"/>
              <w:rPr>
                <w:color w:val="auto"/>
              </w:rPr>
            </w:pPr>
            <w:r>
              <w:rPr>
                <w:rFonts w:hint="eastAsia"/>
                <w:color w:val="auto"/>
              </w:rPr>
              <w:t>石油类</w:t>
            </w:r>
          </w:p>
        </w:tc>
        <w:tc>
          <w:tcPr>
            <w:tcW w:w="723" w:type="dxa"/>
            <w:vAlign w:val="center"/>
          </w:tcPr>
          <w:p w14:paraId="5E69B8EB">
            <w:pPr>
              <w:pStyle w:val="33"/>
              <w:rPr>
                <w:color w:val="auto"/>
              </w:rPr>
            </w:pPr>
            <w:r>
              <w:rPr>
                <w:rFonts w:hint="eastAsia"/>
                <w:color w:val="auto"/>
              </w:rPr>
              <w:t>硝酸盐</w:t>
            </w:r>
          </w:p>
        </w:tc>
        <w:tc>
          <w:tcPr>
            <w:tcW w:w="831" w:type="dxa"/>
            <w:vAlign w:val="center"/>
          </w:tcPr>
          <w:p w14:paraId="18E7E72C">
            <w:pPr>
              <w:pStyle w:val="33"/>
              <w:rPr>
                <w:color w:val="auto"/>
              </w:rPr>
            </w:pPr>
            <w:r>
              <w:rPr>
                <w:rFonts w:hint="eastAsia"/>
                <w:color w:val="auto"/>
              </w:rPr>
              <w:t>亚硝酸盐</w:t>
            </w:r>
          </w:p>
        </w:tc>
      </w:tr>
      <w:tr w14:paraId="28C53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75" w:type="dxa"/>
            <w:vAlign w:val="center"/>
          </w:tcPr>
          <w:p w14:paraId="6B6378B8">
            <w:pPr>
              <w:pStyle w:val="33"/>
              <w:rPr>
                <w:color w:val="auto"/>
              </w:rPr>
            </w:pPr>
            <w:r>
              <w:rPr>
                <w:color w:val="auto"/>
              </w:rPr>
              <w:t>JG1</w:t>
            </w:r>
            <w:r>
              <w:rPr>
                <w:rFonts w:hint="eastAsia"/>
                <w:color w:val="auto"/>
              </w:rPr>
              <w:t>煤堆场北</w:t>
            </w:r>
          </w:p>
        </w:tc>
        <w:tc>
          <w:tcPr>
            <w:tcW w:w="941" w:type="dxa"/>
            <w:vMerge w:val="restart"/>
            <w:vAlign w:val="center"/>
          </w:tcPr>
          <w:p w14:paraId="621B0A9A">
            <w:pPr>
              <w:pStyle w:val="33"/>
              <w:rPr>
                <w:color w:val="auto"/>
              </w:rPr>
            </w:pPr>
            <w:r>
              <w:rPr>
                <w:color w:val="auto"/>
              </w:rPr>
              <w:t>0~0.2m</w:t>
            </w:r>
          </w:p>
        </w:tc>
        <w:tc>
          <w:tcPr>
            <w:tcW w:w="627" w:type="dxa"/>
            <w:vAlign w:val="center"/>
          </w:tcPr>
          <w:p w14:paraId="4272952E">
            <w:pPr>
              <w:pStyle w:val="33"/>
              <w:rPr>
                <w:color w:val="auto"/>
              </w:rPr>
            </w:pPr>
          </w:p>
        </w:tc>
        <w:tc>
          <w:tcPr>
            <w:tcW w:w="831" w:type="dxa"/>
            <w:vAlign w:val="center"/>
          </w:tcPr>
          <w:p w14:paraId="40D1DA61">
            <w:pPr>
              <w:pStyle w:val="33"/>
              <w:rPr>
                <w:color w:val="auto"/>
              </w:rPr>
            </w:pPr>
          </w:p>
        </w:tc>
        <w:tc>
          <w:tcPr>
            <w:tcW w:w="708" w:type="dxa"/>
            <w:vAlign w:val="center"/>
          </w:tcPr>
          <w:p w14:paraId="4DB39ED1">
            <w:pPr>
              <w:pStyle w:val="33"/>
              <w:rPr>
                <w:color w:val="auto"/>
              </w:rPr>
            </w:pPr>
          </w:p>
        </w:tc>
        <w:tc>
          <w:tcPr>
            <w:tcW w:w="627" w:type="dxa"/>
            <w:vAlign w:val="center"/>
          </w:tcPr>
          <w:p w14:paraId="7EE0A11F">
            <w:pPr>
              <w:pStyle w:val="33"/>
              <w:rPr>
                <w:color w:val="auto"/>
              </w:rPr>
            </w:pPr>
          </w:p>
        </w:tc>
        <w:tc>
          <w:tcPr>
            <w:tcW w:w="723" w:type="dxa"/>
            <w:vAlign w:val="center"/>
          </w:tcPr>
          <w:p w14:paraId="0A92235E">
            <w:pPr>
              <w:pStyle w:val="33"/>
              <w:rPr>
                <w:color w:val="auto"/>
              </w:rPr>
            </w:pPr>
          </w:p>
        </w:tc>
        <w:tc>
          <w:tcPr>
            <w:tcW w:w="874" w:type="dxa"/>
            <w:vAlign w:val="center"/>
          </w:tcPr>
          <w:p w14:paraId="23637F6D">
            <w:pPr>
              <w:pStyle w:val="33"/>
              <w:rPr>
                <w:color w:val="auto"/>
              </w:rPr>
            </w:pPr>
          </w:p>
        </w:tc>
        <w:tc>
          <w:tcPr>
            <w:tcW w:w="831" w:type="dxa"/>
            <w:vAlign w:val="center"/>
          </w:tcPr>
          <w:p w14:paraId="3B1C4DDE">
            <w:pPr>
              <w:pStyle w:val="33"/>
              <w:rPr>
                <w:color w:val="auto"/>
              </w:rPr>
            </w:pPr>
          </w:p>
        </w:tc>
        <w:tc>
          <w:tcPr>
            <w:tcW w:w="819" w:type="dxa"/>
            <w:vAlign w:val="center"/>
          </w:tcPr>
          <w:p w14:paraId="47E40C40">
            <w:pPr>
              <w:pStyle w:val="33"/>
              <w:rPr>
                <w:color w:val="auto"/>
              </w:rPr>
            </w:pPr>
          </w:p>
        </w:tc>
        <w:tc>
          <w:tcPr>
            <w:tcW w:w="831" w:type="dxa"/>
            <w:vAlign w:val="center"/>
          </w:tcPr>
          <w:p w14:paraId="12B6BB7C">
            <w:pPr>
              <w:pStyle w:val="33"/>
              <w:rPr>
                <w:color w:val="auto"/>
              </w:rPr>
            </w:pPr>
          </w:p>
        </w:tc>
        <w:tc>
          <w:tcPr>
            <w:tcW w:w="831" w:type="dxa"/>
            <w:vAlign w:val="center"/>
          </w:tcPr>
          <w:p w14:paraId="07433B6C">
            <w:pPr>
              <w:pStyle w:val="33"/>
              <w:rPr>
                <w:color w:val="auto"/>
              </w:rPr>
            </w:pPr>
          </w:p>
        </w:tc>
        <w:tc>
          <w:tcPr>
            <w:tcW w:w="723" w:type="dxa"/>
            <w:vAlign w:val="center"/>
          </w:tcPr>
          <w:p w14:paraId="394B5AA1">
            <w:pPr>
              <w:pStyle w:val="33"/>
              <w:rPr>
                <w:color w:val="auto"/>
              </w:rPr>
            </w:pPr>
          </w:p>
        </w:tc>
        <w:tc>
          <w:tcPr>
            <w:tcW w:w="927" w:type="dxa"/>
            <w:vAlign w:val="center"/>
          </w:tcPr>
          <w:p w14:paraId="1AE09567">
            <w:pPr>
              <w:pStyle w:val="33"/>
              <w:rPr>
                <w:color w:val="auto"/>
              </w:rPr>
            </w:pPr>
          </w:p>
        </w:tc>
        <w:tc>
          <w:tcPr>
            <w:tcW w:w="735" w:type="dxa"/>
            <w:vAlign w:val="center"/>
          </w:tcPr>
          <w:p w14:paraId="34D04BC3">
            <w:pPr>
              <w:pStyle w:val="33"/>
              <w:rPr>
                <w:color w:val="auto"/>
              </w:rPr>
            </w:pPr>
          </w:p>
        </w:tc>
        <w:tc>
          <w:tcPr>
            <w:tcW w:w="735" w:type="dxa"/>
            <w:vAlign w:val="center"/>
          </w:tcPr>
          <w:p w14:paraId="35F74C49">
            <w:pPr>
              <w:pStyle w:val="33"/>
              <w:rPr>
                <w:color w:val="auto"/>
              </w:rPr>
            </w:pPr>
          </w:p>
        </w:tc>
        <w:tc>
          <w:tcPr>
            <w:tcW w:w="723" w:type="dxa"/>
            <w:vAlign w:val="center"/>
          </w:tcPr>
          <w:p w14:paraId="6B365B31">
            <w:pPr>
              <w:pStyle w:val="33"/>
              <w:rPr>
                <w:color w:val="auto"/>
              </w:rPr>
            </w:pPr>
          </w:p>
        </w:tc>
        <w:tc>
          <w:tcPr>
            <w:tcW w:w="831" w:type="dxa"/>
            <w:vAlign w:val="center"/>
          </w:tcPr>
          <w:p w14:paraId="1F555C5E">
            <w:pPr>
              <w:pStyle w:val="33"/>
              <w:rPr>
                <w:color w:val="auto"/>
              </w:rPr>
            </w:pPr>
          </w:p>
        </w:tc>
      </w:tr>
      <w:tr w14:paraId="4AC4F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675" w:type="dxa"/>
            <w:vAlign w:val="center"/>
          </w:tcPr>
          <w:p w14:paraId="30A14D0F">
            <w:pPr>
              <w:pStyle w:val="33"/>
              <w:rPr>
                <w:color w:val="auto"/>
              </w:rPr>
            </w:pPr>
            <w:r>
              <w:rPr>
                <w:color w:val="auto"/>
              </w:rPr>
              <w:t>JG2</w:t>
            </w:r>
            <w:r>
              <w:rPr>
                <w:rFonts w:hint="eastAsia"/>
                <w:color w:val="auto"/>
              </w:rPr>
              <w:t>机修车间</w:t>
            </w:r>
          </w:p>
        </w:tc>
        <w:tc>
          <w:tcPr>
            <w:tcW w:w="941" w:type="dxa"/>
            <w:vMerge w:val="continue"/>
            <w:vAlign w:val="center"/>
          </w:tcPr>
          <w:p w14:paraId="3715F3B8">
            <w:pPr>
              <w:pStyle w:val="33"/>
              <w:rPr>
                <w:color w:val="auto"/>
              </w:rPr>
            </w:pPr>
          </w:p>
        </w:tc>
        <w:tc>
          <w:tcPr>
            <w:tcW w:w="627" w:type="dxa"/>
            <w:vAlign w:val="center"/>
          </w:tcPr>
          <w:p w14:paraId="6033A751">
            <w:pPr>
              <w:pStyle w:val="33"/>
              <w:rPr>
                <w:color w:val="auto"/>
              </w:rPr>
            </w:pPr>
          </w:p>
        </w:tc>
        <w:tc>
          <w:tcPr>
            <w:tcW w:w="831" w:type="dxa"/>
            <w:vAlign w:val="center"/>
          </w:tcPr>
          <w:p w14:paraId="38A6C796">
            <w:pPr>
              <w:pStyle w:val="33"/>
              <w:rPr>
                <w:color w:val="auto"/>
              </w:rPr>
            </w:pPr>
          </w:p>
        </w:tc>
        <w:tc>
          <w:tcPr>
            <w:tcW w:w="708" w:type="dxa"/>
            <w:vAlign w:val="center"/>
          </w:tcPr>
          <w:p w14:paraId="71439450">
            <w:pPr>
              <w:pStyle w:val="33"/>
              <w:rPr>
                <w:color w:val="auto"/>
              </w:rPr>
            </w:pPr>
          </w:p>
        </w:tc>
        <w:tc>
          <w:tcPr>
            <w:tcW w:w="627" w:type="dxa"/>
            <w:vAlign w:val="center"/>
          </w:tcPr>
          <w:p w14:paraId="489DC490">
            <w:pPr>
              <w:pStyle w:val="33"/>
              <w:rPr>
                <w:color w:val="auto"/>
              </w:rPr>
            </w:pPr>
          </w:p>
        </w:tc>
        <w:tc>
          <w:tcPr>
            <w:tcW w:w="723" w:type="dxa"/>
            <w:vAlign w:val="center"/>
          </w:tcPr>
          <w:p w14:paraId="678A99C2">
            <w:pPr>
              <w:pStyle w:val="33"/>
              <w:rPr>
                <w:color w:val="auto"/>
              </w:rPr>
            </w:pPr>
          </w:p>
        </w:tc>
        <w:tc>
          <w:tcPr>
            <w:tcW w:w="874" w:type="dxa"/>
            <w:vAlign w:val="center"/>
          </w:tcPr>
          <w:p w14:paraId="4B399253">
            <w:pPr>
              <w:pStyle w:val="33"/>
              <w:rPr>
                <w:color w:val="auto"/>
              </w:rPr>
            </w:pPr>
          </w:p>
        </w:tc>
        <w:tc>
          <w:tcPr>
            <w:tcW w:w="831" w:type="dxa"/>
            <w:vAlign w:val="center"/>
          </w:tcPr>
          <w:p w14:paraId="7AAF54BD">
            <w:pPr>
              <w:pStyle w:val="33"/>
              <w:rPr>
                <w:color w:val="auto"/>
              </w:rPr>
            </w:pPr>
          </w:p>
        </w:tc>
        <w:tc>
          <w:tcPr>
            <w:tcW w:w="819" w:type="dxa"/>
            <w:vAlign w:val="center"/>
          </w:tcPr>
          <w:p w14:paraId="3352C7A7">
            <w:pPr>
              <w:pStyle w:val="33"/>
              <w:rPr>
                <w:color w:val="auto"/>
              </w:rPr>
            </w:pPr>
          </w:p>
        </w:tc>
        <w:tc>
          <w:tcPr>
            <w:tcW w:w="831" w:type="dxa"/>
            <w:vAlign w:val="center"/>
          </w:tcPr>
          <w:p w14:paraId="09C22837">
            <w:pPr>
              <w:pStyle w:val="33"/>
              <w:rPr>
                <w:color w:val="auto"/>
              </w:rPr>
            </w:pPr>
          </w:p>
        </w:tc>
        <w:tc>
          <w:tcPr>
            <w:tcW w:w="831" w:type="dxa"/>
            <w:vAlign w:val="center"/>
          </w:tcPr>
          <w:p w14:paraId="788D7196">
            <w:pPr>
              <w:pStyle w:val="33"/>
              <w:rPr>
                <w:color w:val="auto"/>
              </w:rPr>
            </w:pPr>
          </w:p>
        </w:tc>
        <w:tc>
          <w:tcPr>
            <w:tcW w:w="723" w:type="dxa"/>
            <w:vAlign w:val="center"/>
          </w:tcPr>
          <w:p w14:paraId="654B7CC1">
            <w:pPr>
              <w:pStyle w:val="33"/>
              <w:rPr>
                <w:color w:val="auto"/>
              </w:rPr>
            </w:pPr>
          </w:p>
        </w:tc>
        <w:tc>
          <w:tcPr>
            <w:tcW w:w="927" w:type="dxa"/>
            <w:vAlign w:val="center"/>
          </w:tcPr>
          <w:p w14:paraId="1BFDDC4C">
            <w:pPr>
              <w:pStyle w:val="33"/>
              <w:rPr>
                <w:color w:val="auto"/>
              </w:rPr>
            </w:pPr>
          </w:p>
        </w:tc>
        <w:tc>
          <w:tcPr>
            <w:tcW w:w="735" w:type="dxa"/>
            <w:vAlign w:val="center"/>
          </w:tcPr>
          <w:p w14:paraId="74F8FD76">
            <w:pPr>
              <w:pStyle w:val="33"/>
              <w:rPr>
                <w:color w:val="auto"/>
              </w:rPr>
            </w:pPr>
          </w:p>
        </w:tc>
        <w:tc>
          <w:tcPr>
            <w:tcW w:w="735" w:type="dxa"/>
            <w:vAlign w:val="center"/>
          </w:tcPr>
          <w:p w14:paraId="0F209E5E">
            <w:pPr>
              <w:pStyle w:val="33"/>
              <w:rPr>
                <w:color w:val="auto"/>
              </w:rPr>
            </w:pPr>
          </w:p>
        </w:tc>
        <w:tc>
          <w:tcPr>
            <w:tcW w:w="723" w:type="dxa"/>
            <w:vAlign w:val="center"/>
          </w:tcPr>
          <w:p w14:paraId="7168316B">
            <w:pPr>
              <w:pStyle w:val="33"/>
              <w:rPr>
                <w:color w:val="auto"/>
              </w:rPr>
            </w:pPr>
          </w:p>
        </w:tc>
        <w:tc>
          <w:tcPr>
            <w:tcW w:w="831" w:type="dxa"/>
            <w:vAlign w:val="center"/>
          </w:tcPr>
          <w:p w14:paraId="453CDBB1">
            <w:pPr>
              <w:pStyle w:val="33"/>
              <w:rPr>
                <w:color w:val="auto"/>
              </w:rPr>
            </w:pPr>
          </w:p>
        </w:tc>
      </w:tr>
      <w:tr w14:paraId="1543F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75" w:type="dxa"/>
            <w:vAlign w:val="center"/>
          </w:tcPr>
          <w:p w14:paraId="02786E56">
            <w:pPr>
              <w:pStyle w:val="33"/>
              <w:rPr>
                <w:color w:val="auto"/>
              </w:rPr>
            </w:pPr>
            <w:r>
              <w:rPr>
                <w:color w:val="auto"/>
              </w:rPr>
              <w:t>JG3</w:t>
            </w:r>
            <w:r>
              <w:rPr>
                <w:rFonts w:hint="eastAsia"/>
                <w:color w:val="auto"/>
              </w:rPr>
              <w:t>污水厂</w:t>
            </w:r>
          </w:p>
        </w:tc>
        <w:tc>
          <w:tcPr>
            <w:tcW w:w="941" w:type="dxa"/>
            <w:vMerge w:val="continue"/>
            <w:vAlign w:val="center"/>
          </w:tcPr>
          <w:p w14:paraId="612D94F5">
            <w:pPr>
              <w:pStyle w:val="33"/>
              <w:rPr>
                <w:color w:val="auto"/>
              </w:rPr>
            </w:pPr>
          </w:p>
        </w:tc>
        <w:tc>
          <w:tcPr>
            <w:tcW w:w="627" w:type="dxa"/>
            <w:vAlign w:val="center"/>
          </w:tcPr>
          <w:p w14:paraId="2CB8724B">
            <w:pPr>
              <w:pStyle w:val="33"/>
              <w:rPr>
                <w:color w:val="auto"/>
              </w:rPr>
            </w:pPr>
          </w:p>
        </w:tc>
        <w:tc>
          <w:tcPr>
            <w:tcW w:w="831" w:type="dxa"/>
            <w:vAlign w:val="center"/>
          </w:tcPr>
          <w:p w14:paraId="3B057852">
            <w:pPr>
              <w:pStyle w:val="33"/>
              <w:rPr>
                <w:color w:val="auto"/>
              </w:rPr>
            </w:pPr>
          </w:p>
        </w:tc>
        <w:tc>
          <w:tcPr>
            <w:tcW w:w="708" w:type="dxa"/>
            <w:vAlign w:val="center"/>
          </w:tcPr>
          <w:p w14:paraId="5BE5A9CB">
            <w:pPr>
              <w:pStyle w:val="33"/>
              <w:rPr>
                <w:color w:val="auto"/>
              </w:rPr>
            </w:pPr>
          </w:p>
        </w:tc>
        <w:tc>
          <w:tcPr>
            <w:tcW w:w="627" w:type="dxa"/>
            <w:vAlign w:val="center"/>
          </w:tcPr>
          <w:p w14:paraId="14AFBFF1">
            <w:pPr>
              <w:pStyle w:val="33"/>
              <w:rPr>
                <w:color w:val="auto"/>
              </w:rPr>
            </w:pPr>
          </w:p>
        </w:tc>
        <w:tc>
          <w:tcPr>
            <w:tcW w:w="723" w:type="dxa"/>
            <w:vAlign w:val="center"/>
          </w:tcPr>
          <w:p w14:paraId="3563494F">
            <w:pPr>
              <w:pStyle w:val="33"/>
              <w:rPr>
                <w:color w:val="auto"/>
              </w:rPr>
            </w:pPr>
          </w:p>
        </w:tc>
        <w:tc>
          <w:tcPr>
            <w:tcW w:w="874" w:type="dxa"/>
            <w:vAlign w:val="center"/>
          </w:tcPr>
          <w:p w14:paraId="3D001D7D">
            <w:pPr>
              <w:pStyle w:val="33"/>
              <w:rPr>
                <w:color w:val="auto"/>
              </w:rPr>
            </w:pPr>
          </w:p>
        </w:tc>
        <w:tc>
          <w:tcPr>
            <w:tcW w:w="831" w:type="dxa"/>
            <w:vAlign w:val="center"/>
          </w:tcPr>
          <w:p w14:paraId="48780A51">
            <w:pPr>
              <w:pStyle w:val="33"/>
              <w:rPr>
                <w:color w:val="auto"/>
              </w:rPr>
            </w:pPr>
          </w:p>
        </w:tc>
        <w:tc>
          <w:tcPr>
            <w:tcW w:w="819" w:type="dxa"/>
            <w:vAlign w:val="center"/>
          </w:tcPr>
          <w:p w14:paraId="4030B153">
            <w:pPr>
              <w:pStyle w:val="33"/>
              <w:rPr>
                <w:color w:val="auto"/>
              </w:rPr>
            </w:pPr>
          </w:p>
        </w:tc>
        <w:tc>
          <w:tcPr>
            <w:tcW w:w="831" w:type="dxa"/>
            <w:vAlign w:val="center"/>
          </w:tcPr>
          <w:p w14:paraId="270F8636">
            <w:pPr>
              <w:pStyle w:val="33"/>
              <w:rPr>
                <w:color w:val="auto"/>
              </w:rPr>
            </w:pPr>
          </w:p>
        </w:tc>
        <w:tc>
          <w:tcPr>
            <w:tcW w:w="831" w:type="dxa"/>
            <w:vAlign w:val="center"/>
          </w:tcPr>
          <w:p w14:paraId="199C7CEB">
            <w:pPr>
              <w:pStyle w:val="33"/>
              <w:rPr>
                <w:color w:val="auto"/>
              </w:rPr>
            </w:pPr>
          </w:p>
        </w:tc>
        <w:tc>
          <w:tcPr>
            <w:tcW w:w="723" w:type="dxa"/>
            <w:vAlign w:val="center"/>
          </w:tcPr>
          <w:p w14:paraId="2370F8CC">
            <w:pPr>
              <w:pStyle w:val="33"/>
              <w:rPr>
                <w:color w:val="auto"/>
              </w:rPr>
            </w:pPr>
          </w:p>
        </w:tc>
        <w:tc>
          <w:tcPr>
            <w:tcW w:w="927" w:type="dxa"/>
            <w:vAlign w:val="center"/>
          </w:tcPr>
          <w:p w14:paraId="40057124">
            <w:pPr>
              <w:pStyle w:val="33"/>
              <w:rPr>
                <w:color w:val="auto"/>
              </w:rPr>
            </w:pPr>
          </w:p>
        </w:tc>
        <w:tc>
          <w:tcPr>
            <w:tcW w:w="735" w:type="dxa"/>
            <w:vAlign w:val="center"/>
          </w:tcPr>
          <w:p w14:paraId="2BD25369">
            <w:pPr>
              <w:pStyle w:val="33"/>
              <w:rPr>
                <w:color w:val="auto"/>
              </w:rPr>
            </w:pPr>
          </w:p>
        </w:tc>
        <w:tc>
          <w:tcPr>
            <w:tcW w:w="735" w:type="dxa"/>
            <w:vAlign w:val="center"/>
          </w:tcPr>
          <w:p w14:paraId="3ED6BB1C">
            <w:pPr>
              <w:pStyle w:val="33"/>
              <w:rPr>
                <w:color w:val="auto"/>
              </w:rPr>
            </w:pPr>
          </w:p>
        </w:tc>
        <w:tc>
          <w:tcPr>
            <w:tcW w:w="723" w:type="dxa"/>
            <w:vAlign w:val="center"/>
          </w:tcPr>
          <w:p w14:paraId="4ED50474">
            <w:pPr>
              <w:pStyle w:val="33"/>
              <w:rPr>
                <w:color w:val="auto"/>
              </w:rPr>
            </w:pPr>
          </w:p>
        </w:tc>
        <w:tc>
          <w:tcPr>
            <w:tcW w:w="831" w:type="dxa"/>
            <w:vAlign w:val="center"/>
          </w:tcPr>
          <w:p w14:paraId="5D18A377">
            <w:pPr>
              <w:pStyle w:val="33"/>
              <w:rPr>
                <w:color w:val="auto"/>
              </w:rPr>
            </w:pPr>
          </w:p>
        </w:tc>
      </w:tr>
      <w:tr w14:paraId="47413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trPr>
        <w:tc>
          <w:tcPr>
            <w:tcW w:w="675" w:type="dxa"/>
            <w:vAlign w:val="center"/>
          </w:tcPr>
          <w:p w14:paraId="6B78F434">
            <w:pPr>
              <w:pStyle w:val="33"/>
              <w:rPr>
                <w:color w:val="auto"/>
              </w:rPr>
            </w:pPr>
            <w:r>
              <w:rPr>
                <w:color w:val="auto"/>
              </w:rPr>
              <w:t>JG4</w:t>
            </w:r>
            <w:r>
              <w:rPr>
                <w:rFonts w:hint="eastAsia"/>
                <w:color w:val="auto"/>
              </w:rPr>
              <w:t>鸡丁头（对照点）</w:t>
            </w:r>
          </w:p>
        </w:tc>
        <w:tc>
          <w:tcPr>
            <w:tcW w:w="941" w:type="dxa"/>
            <w:vMerge w:val="continue"/>
            <w:vAlign w:val="center"/>
          </w:tcPr>
          <w:p w14:paraId="1A3D71A5">
            <w:pPr>
              <w:pStyle w:val="33"/>
              <w:rPr>
                <w:color w:val="auto"/>
              </w:rPr>
            </w:pPr>
          </w:p>
        </w:tc>
        <w:tc>
          <w:tcPr>
            <w:tcW w:w="627" w:type="dxa"/>
            <w:vAlign w:val="center"/>
          </w:tcPr>
          <w:p w14:paraId="423D7912">
            <w:pPr>
              <w:pStyle w:val="33"/>
              <w:rPr>
                <w:color w:val="auto"/>
              </w:rPr>
            </w:pPr>
          </w:p>
        </w:tc>
        <w:tc>
          <w:tcPr>
            <w:tcW w:w="831" w:type="dxa"/>
            <w:vAlign w:val="center"/>
          </w:tcPr>
          <w:p w14:paraId="4B5A6EDF">
            <w:pPr>
              <w:pStyle w:val="33"/>
              <w:rPr>
                <w:color w:val="auto"/>
              </w:rPr>
            </w:pPr>
          </w:p>
        </w:tc>
        <w:tc>
          <w:tcPr>
            <w:tcW w:w="708" w:type="dxa"/>
            <w:vAlign w:val="center"/>
          </w:tcPr>
          <w:p w14:paraId="675C37DA">
            <w:pPr>
              <w:pStyle w:val="33"/>
              <w:rPr>
                <w:color w:val="auto"/>
              </w:rPr>
            </w:pPr>
          </w:p>
        </w:tc>
        <w:tc>
          <w:tcPr>
            <w:tcW w:w="627" w:type="dxa"/>
            <w:vAlign w:val="center"/>
          </w:tcPr>
          <w:p w14:paraId="57D7940A">
            <w:pPr>
              <w:pStyle w:val="33"/>
              <w:rPr>
                <w:color w:val="auto"/>
              </w:rPr>
            </w:pPr>
          </w:p>
        </w:tc>
        <w:tc>
          <w:tcPr>
            <w:tcW w:w="723" w:type="dxa"/>
            <w:vAlign w:val="center"/>
          </w:tcPr>
          <w:p w14:paraId="0457286A">
            <w:pPr>
              <w:pStyle w:val="33"/>
              <w:rPr>
                <w:color w:val="auto"/>
              </w:rPr>
            </w:pPr>
          </w:p>
        </w:tc>
        <w:tc>
          <w:tcPr>
            <w:tcW w:w="874" w:type="dxa"/>
            <w:vAlign w:val="center"/>
          </w:tcPr>
          <w:p w14:paraId="1EB629C0">
            <w:pPr>
              <w:pStyle w:val="33"/>
              <w:rPr>
                <w:color w:val="auto"/>
              </w:rPr>
            </w:pPr>
          </w:p>
        </w:tc>
        <w:tc>
          <w:tcPr>
            <w:tcW w:w="831" w:type="dxa"/>
            <w:vAlign w:val="center"/>
          </w:tcPr>
          <w:p w14:paraId="4D6C69EA">
            <w:pPr>
              <w:pStyle w:val="33"/>
              <w:rPr>
                <w:color w:val="auto"/>
              </w:rPr>
            </w:pPr>
          </w:p>
        </w:tc>
        <w:tc>
          <w:tcPr>
            <w:tcW w:w="819" w:type="dxa"/>
            <w:vAlign w:val="center"/>
          </w:tcPr>
          <w:p w14:paraId="53281491">
            <w:pPr>
              <w:pStyle w:val="33"/>
              <w:rPr>
                <w:color w:val="auto"/>
              </w:rPr>
            </w:pPr>
          </w:p>
        </w:tc>
        <w:tc>
          <w:tcPr>
            <w:tcW w:w="831" w:type="dxa"/>
            <w:vAlign w:val="center"/>
          </w:tcPr>
          <w:p w14:paraId="43A9E15B">
            <w:pPr>
              <w:pStyle w:val="33"/>
              <w:rPr>
                <w:color w:val="auto"/>
              </w:rPr>
            </w:pPr>
          </w:p>
        </w:tc>
        <w:tc>
          <w:tcPr>
            <w:tcW w:w="831" w:type="dxa"/>
            <w:vAlign w:val="center"/>
          </w:tcPr>
          <w:p w14:paraId="6737425D">
            <w:pPr>
              <w:pStyle w:val="33"/>
              <w:rPr>
                <w:color w:val="auto"/>
              </w:rPr>
            </w:pPr>
          </w:p>
        </w:tc>
        <w:tc>
          <w:tcPr>
            <w:tcW w:w="723" w:type="dxa"/>
            <w:vAlign w:val="center"/>
          </w:tcPr>
          <w:p w14:paraId="4DF9CF9D">
            <w:pPr>
              <w:pStyle w:val="33"/>
              <w:rPr>
                <w:color w:val="auto"/>
              </w:rPr>
            </w:pPr>
          </w:p>
        </w:tc>
        <w:tc>
          <w:tcPr>
            <w:tcW w:w="927" w:type="dxa"/>
            <w:vAlign w:val="center"/>
          </w:tcPr>
          <w:p w14:paraId="039E8E1C">
            <w:pPr>
              <w:pStyle w:val="33"/>
              <w:rPr>
                <w:color w:val="auto"/>
              </w:rPr>
            </w:pPr>
          </w:p>
        </w:tc>
        <w:tc>
          <w:tcPr>
            <w:tcW w:w="735" w:type="dxa"/>
            <w:vAlign w:val="center"/>
          </w:tcPr>
          <w:p w14:paraId="74BE7401">
            <w:pPr>
              <w:pStyle w:val="33"/>
              <w:rPr>
                <w:color w:val="auto"/>
              </w:rPr>
            </w:pPr>
          </w:p>
        </w:tc>
        <w:tc>
          <w:tcPr>
            <w:tcW w:w="735" w:type="dxa"/>
            <w:vAlign w:val="center"/>
          </w:tcPr>
          <w:p w14:paraId="49752E2B">
            <w:pPr>
              <w:pStyle w:val="33"/>
              <w:rPr>
                <w:color w:val="auto"/>
              </w:rPr>
            </w:pPr>
          </w:p>
        </w:tc>
        <w:tc>
          <w:tcPr>
            <w:tcW w:w="723" w:type="dxa"/>
            <w:vAlign w:val="center"/>
          </w:tcPr>
          <w:p w14:paraId="2F78FF5D">
            <w:pPr>
              <w:pStyle w:val="33"/>
              <w:rPr>
                <w:color w:val="auto"/>
              </w:rPr>
            </w:pPr>
          </w:p>
        </w:tc>
        <w:tc>
          <w:tcPr>
            <w:tcW w:w="831" w:type="dxa"/>
            <w:vAlign w:val="center"/>
          </w:tcPr>
          <w:p w14:paraId="4FE96129">
            <w:pPr>
              <w:pStyle w:val="33"/>
              <w:rPr>
                <w:color w:val="auto"/>
              </w:rPr>
            </w:pPr>
          </w:p>
        </w:tc>
      </w:tr>
    </w:tbl>
    <w:p w14:paraId="259BFEA6">
      <w:pPr>
        <w:ind w:firstLine="480"/>
        <w:rPr>
          <w:color w:val="auto"/>
          <w:szCs w:val="32"/>
        </w:rPr>
        <w:sectPr>
          <w:pgSz w:w="16838" w:h="11906" w:orient="landscape"/>
          <w:pgMar w:top="1418" w:right="1418" w:bottom="1418" w:left="1418" w:header="851" w:footer="850" w:gutter="0"/>
          <w:cols w:space="425" w:num="1"/>
          <w:docGrid w:type="lines" w:linePitch="326" w:charSpace="0"/>
        </w:sectPr>
      </w:pPr>
      <w:r>
        <w:rPr>
          <w:rFonts w:hint="eastAsia"/>
          <w:color w:val="auto"/>
        </w:rPr>
        <w:t>根据表</w:t>
      </w:r>
      <w:r>
        <w:rPr>
          <w:color w:val="auto"/>
        </w:rPr>
        <w:t>4.7-3</w:t>
      </w:r>
      <w:r>
        <w:rPr>
          <w:rFonts w:hint="eastAsia"/>
          <w:color w:val="auto"/>
        </w:rPr>
        <w:t>监测结果，各监测点位</w:t>
      </w:r>
      <w:r>
        <w:rPr>
          <w:color w:val="auto"/>
        </w:rPr>
        <w:t>pH</w:t>
      </w:r>
      <w:r>
        <w:rPr>
          <w:rFonts w:hint="eastAsia"/>
          <w:color w:val="auto"/>
        </w:rPr>
        <w:t>值范围为</w:t>
      </w:r>
      <w:r>
        <w:rPr>
          <w:color w:val="auto"/>
        </w:rPr>
        <w:t>5.1</w:t>
      </w:r>
      <w:r>
        <w:rPr>
          <w:rFonts w:hint="eastAsia"/>
          <w:color w:val="auto"/>
        </w:rPr>
        <w:t>～</w:t>
      </w:r>
      <w:r>
        <w:rPr>
          <w:color w:val="auto"/>
        </w:rPr>
        <w:t>8.1</w:t>
      </w:r>
      <w:r>
        <w:rPr>
          <w:rFonts w:hint="eastAsia"/>
          <w:color w:val="auto"/>
        </w:rPr>
        <w:t>，其中</w:t>
      </w:r>
      <w:r>
        <w:rPr>
          <w:color w:val="auto"/>
        </w:rPr>
        <w:t>2#</w:t>
      </w:r>
      <w:r>
        <w:rPr>
          <w:rFonts w:hint="eastAsia"/>
          <w:color w:val="auto"/>
        </w:rPr>
        <w:t>点位</w:t>
      </w:r>
      <w:r>
        <w:rPr>
          <w:color w:val="auto"/>
        </w:rPr>
        <w:t>pH</w:t>
      </w:r>
      <w:r>
        <w:rPr>
          <w:rFonts w:hint="eastAsia"/>
          <w:color w:val="auto"/>
        </w:rPr>
        <w:t>值分别为</w:t>
      </w:r>
      <w:r>
        <w:rPr>
          <w:color w:val="auto"/>
        </w:rPr>
        <w:t>5.9</w:t>
      </w:r>
      <w:r>
        <w:rPr>
          <w:rFonts w:hint="eastAsia"/>
          <w:color w:val="auto"/>
        </w:rPr>
        <w:t>、</w:t>
      </w:r>
      <w:r>
        <w:rPr>
          <w:color w:val="auto"/>
        </w:rPr>
        <w:t>5.1</w:t>
      </w:r>
      <w:r>
        <w:rPr>
          <w:rFonts w:hint="eastAsia"/>
          <w:color w:val="auto"/>
        </w:rPr>
        <w:t>、</w:t>
      </w:r>
      <w:r>
        <w:rPr>
          <w:color w:val="auto"/>
        </w:rPr>
        <w:t>5.3</w:t>
      </w:r>
      <w:r>
        <w:rPr>
          <w:rFonts w:hint="eastAsia"/>
          <w:color w:val="auto"/>
        </w:rPr>
        <w:t>，呈酸性。高锰酸盐指数在各点位浓度范围为</w:t>
      </w:r>
      <w:r>
        <w:rPr>
          <w:color w:val="auto"/>
        </w:rPr>
        <w:t>2.2</w:t>
      </w:r>
      <w:r>
        <w:rPr>
          <w:rFonts w:hint="eastAsia"/>
          <w:color w:val="auto"/>
        </w:rPr>
        <w:t>～</w:t>
      </w:r>
      <w:r>
        <w:rPr>
          <w:color w:val="auto"/>
        </w:rPr>
        <w:t>2.5 mg/L</w:t>
      </w:r>
      <w:r>
        <w:rPr>
          <w:rFonts w:hint="eastAsia"/>
          <w:color w:val="auto"/>
        </w:rPr>
        <w:t>，处于较低水平。其他监测因子如硫酸盐、氯化物、氟化物、硝酸盐、氨氮、砷、汞、六价铬、铜、铅、石油类等均未检出或处于较低水平。与历史监测数据（表</w:t>
      </w:r>
      <w:r>
        <w:rPr>
          <w:color w:val="auto"/>
        </w:rPr>
        <w:t>4.7-5</w:t>
      </w:r>
      <w:r>
        <w:rPr>
          <w:rFonts w:hint="eastAsia"/>
          <w:color w:val="auto"/>
        </w:rPr>
        <w:t>）相比，本次监测高锰酸盐指数（</w:t>
      </w:r>
      <w:r>
        <w:rPr>
          <w:color w:val="auto"/>
        </w:rPr>
        <w:t>2.2</w:t>
      </w:r>
      <w:r>
        <w:rPr>
          <w:rFonts w:hint="eastAsia"/>
          <w:color w:val="auto"/>
        </w:rPr>
        <w:t>～</w:t>
      </w:r>
      <w:r>
        <w:rPr>
          <w:color w:val="auto"/>
        </w:rPr>
        <w:t>2.5mg/L</w:t>
      </w:r>
      <w:r>
        <w:rPr>
          <w:rFonts w:hint="eastAsia"/>
          <w:color w:val="auto"/>
        </w:rPr>
        <w:t>）不高于历史数据（</w:t>
      </w:r>
      <w:r>
        <w:rPr>
          <w:color w:val="auto"/>
        </w:rPr>
        <w:t>9.26</w:t>
      </w:r>
      <w:r>
        <w:rPr>
          <w:rFonts w:hint="eastAsia"/>
          <w:color w:val="auto"/>
        </w:rPr>
        <w:t>～</w:t>
      </w:r>
      <w:r>
        <w:rPr>
          <w:color w:val="auto"/>
        </w:rPr>
        <w:t>12.3mg/L</w:t>
      </w:r>
      <w:r>
        <w:rPr>
          <w:rFonts w:hint="eastAsia"/>
          <w:color w:val="auto"/>
        </w:rPr>
        <w:t>），表明厂区生产未对包气带造成污染。部分点位</w:t>
      </w:r>
      <w:r>
        <w:rPr>
          <w:color w:val="auto"/>
        </w:rPr>
        <w:t>pH</w:t>
      </w:r>
      <w:r>
        <w:rPr>
          <w:rFonts w:hint="eastAsia"/>
          <w:color w:val="auto"/>
        </w:rPr>
        <w:t>值偏低，结合历史数据分析，可能与区域地质背景有关。</w:t>
      </w:r>
    </w:p>
    <w:p w14:paraId="51DD6BB3">
      <w:pPr>
        <w:pStyle w:val="3"/>
        <w:rPr>
          <w:color w:val="auto"/>
        </w:rPr>
      </w:pPr>
      <w:bookmarkStart w:id="383" w:name="_Toc225216760"/>
      <w:r>
        <w:rPr>
          <w:rFonts w:hint="eastAsia"/>
          <w:color w:val="auto"/>
        </w:rPr>
        <w:t>声环境质量现状调查与评价</w:t>
      </w:r>
      <w:bookmarkEnd w:id="383"/>
    </w:p>
    <w:p w14:paraId="355F7B9E">
      <w:pPr>
        <w:pStyle w:val="4"/>
        <w:rPr>
          <w:color w:val="auto"/>
        </w:rPr>
      </w:pPr>
      <w:bookmarkStart w:id="384" w:name="_Toc199190497"/>
      <w:bookmarkStart w:id="385" w:name="_Toc198390605"/>
      <w:bookmarkStart w:id="386" w:name="_Toc198391258"/>
      <w:bookmarkStart w:id="387" w:name="_Toc199168960"/>
      <w:bookmarkStart w:id="388" w:name="_Toc225216761"/>
      <w:r>
        <w:rPr>
          <w:rFonts w:hint="eastAsia"/>
          <w:color w:val="auto"/>
        </w:rPr>
        <w:t>监测点布设</w:t>
      </w:r>
      <w:bookmarkEnd w:id="384"/>
      <w:bookmarkEnd w:id="385"/>
      <w:bookmarkEnd w:id="386"/>
      <w:bookmarkEnd w:id="387"/>
      <w:bookmarkEnd w:id="388"/>
    </w:p>
    <w:p w14:paraId="2B161CEA">
      <w:pPr>
        <w:ind w:firstLine="480"/>
        <w:rPr>
          <w:color w:val="auto"/>
        </w:rPr>
      </w:pPr>
      <w:r>
        <w:rPr>
          <w:rFonts w:hint="eastAsia"/>
          <w:color w:val="auto"/>
        </w:rPr>
        <w:t>本项目声环境为三级评价，结合项目及周边敏感点分布情况，共布设8个声环境质量监测点，噪声监测情况详见</w:t>
      </w:r>
      <w:r>
        <w:rPr>
          <w:color w:val="auto"/>
        </w:rPr>
        <w:fldChar w:fldCharType="begin"/>
      </w:r>
      <w:r>
        <w:rPr>
          <w:color w:val="auto"/>
        </w:rPr>
        <w:instrText xml:space="preserve"> REF _Ref196926054 \r \h  \* MERGEFORMAT </w:instrText>
      </w:r>
      <w:r>
        <w:rPr>
          <w:color w:val="auto"/>
        </w:rPr>
        <w:fldChar w:fldCharType="separate"/>
      </w:r>
      <w:r>
        <w:rPr>
          <w:rFonts w:hint="eastAsia"/>
          <w:color w:val="auto"/>
        </w:rPr>
        <w:t>表</w:t>
      </w:r>
      <w:r>
        <w:rPr>
          <w:color w:val="auto"/>
        </w:rPr>
        <w:t>3.7-1</w:t>
      </w:r>
      <w:r>
        <w:rPr>
          <w:color w:val="auto"/>
        </w:rPr>
        <w:fldChar w:fldCharType="end"/>
      </w:r>
      <w:r>
        <w:rPr>
          <w:rFonts w:hint="eastAsia"/>
          <w:color w:val="auto"/>
        </w:rPr>
        <w:t>。</w:t>
      </w:r>
    </w:p>
    <w:p w14:paraId="0A5FFF8C">
      <w:pPr>
        <w:pStyle w:val="7"/>
        <w:rPr>
          <w:color w:val="auto"/>
        </w:rPr>
      </w:pPr>
      <w:bookmarkStart w:id="389" w:name="_Ref196926054"/>
      <w:r>
        <w:rPr>
          <w:rFonts w:hint="eastAsia"/>
          <w:color w:val="auto"/>
        </w:rPr>
        <w:t>噪声监测布点情况表</w:t>
      </w:r>
      <w:bookmarkEnd w:id="389"/>
    </w:p>
    <w:tbl>
      <w:tblPr>
        <w:tblStyle w:val="26"/>
        <w:tblW w:w="90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5"/>
        <w:gridCol w:w="2593"/>
        <w:gridCol w:w="2368"/>
        <w:gridCol w:w="2551"/>
      </w:tblGrid>
      <w:tr w14:paraId="355B2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1FDB5CBA">
            <w:pPr>
              <w:pStyle w:val="33"/>
              <w:rPr>
                <w:color w:val="auto"/>
              </w:rPr>
            </w:pPr>
            <w:r>
              <w:rPr>
                <w:rFonts w:hint="eastAsia"/>
                <w:color w:val="auto"/>
              </w:rPr>
              <w:t>编号</w:t>
            </w:r>
          </w:p>
        </w:tc>
        <w:tc>
          <w:tcPr>
            <w:tcW w:w="2593" w:type="dxa"/>
            <w:vAlign w:val="center"/>
          </w:tcPr>
          <w:p w14:paraId="3D810E42">
            <w:pPr>
              <w:pStyle w:val="33"/>
              <w:rPr>
                <w:color w:val="auto"/>
              </w:rPr>
            </w:pPr>
            <w:r>
              <w:rPr>
                <w:rFonts w:hint="eastAsia"/>
                <w:color w:val="auto"/>
              </w:rPr>
              <w:t>监测点名称</w:t>
            </w:r>
          </w:p>
        </w:tc>
        <w:tc>
          <w:tcPr>
            <w:tcW w:w="2368" w:type="dxa"/>
            <w:vAlign w:val="center"/>
          </w:tcPr>
          <w:p w14:paraId="1B0CC6C8">
            <w:pPr>
              <w:pStyle w:val="33"/>
              <w:rPr>
                <w:color w:val="auto"/>
              </w:rPr>
            </w:pPr>
            <w:r>
              <w:rPr>
                <w:rFonts w:hint="eastAsia"/>
                <w:color w:val="auto"/>
              </w:rPr>
              <w:t>噪声类别</w:t>
            </w:r>
          </w:p>
        </w:tc>
        <w:tc>
          <w:tcPr>
            <w:tcW w:w="2551" w:type="dxa"/>
            <w:vAlign w:val="center"/>
          </w:tcPr>
          <w:p w14:paraId="5432A119">
            <w:pPr>
              <w:pStyle w:val="33"/>
              <w:rPr>
                <w:color w:val="auto"/>
              </w:rPr>
            </w:pPr>
            <w:r>
              <w:rPr>
                <w:rFonts w:hint="eastAsia"/>
                <w:color w:val="auto"/>
              </w:rPr>
              <w:t>备注</w:t>
            </w:r>
          </w:p>
        </w:tc>
      </w:tr>
      <w:tr w14:paraId="64338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064D2368">
            <w:pPr>
              <w:pStyle w:val="33"/>
              <w:rPr>
                <w:color w:val="auto"/>
              </w:rPr>
            </w:pPr>
            <w:r>
              <w:rPr>
                <w:rFonts w:hint="eastAsia"/>
                <w:color w:val="auto"/>
              </w:rPr>
              <w:t>N</w:t>
            </w:r>
            <w:r>
              <w:rPr>
                <w:color w:val="auto"/>
              </w:rPr>
              <w:t>1</w:t>
            </w:r>
          </w:p>
        </w:tc>
        <w:tc>
          <w:tcPr>
            <w:tcW w:w="2593" w:type="dxa"/>
            <w:vAlign w:val="center"/>
          </w:tcPr>
          <w:p w14:paraId="5853F11F">
            <w:pPr>
              <w:pStyle w:val="33"/>
              <w:rPr>
                <w:color w:val="auto"/>
              </w:rPr>
            </w:pPr>
            <w:r>
              <w:rPr>
                <w:rFonts w:hint="eastAsia"/>
                <w:color w:val="auto"/>
              </w:rPr>
              <w:t>厂界东侧1m</w:t>
            </w:r>
          </w:p>
        </w:tc>
        <w:tc>
          <w:tcPr>
            <w:tcW w:w="2368" w:type="dxa"/>
            <w:vAlign w:val="center"/>
          </w:tcPr>
          <w:p w14:paraId="27560FC6">
            <w:pPr>
              <w:pStyle w:val="33"/>
              <w:rPr>
                <w:color w:val="auto"/>
              </w:rPr>
            </w:pPr>
            <w:r>
              <w:rPr>
                <w:rFonts w:hint="eastAsia"/>
                <w:color w:val="auto"/>
              </w:rPr>
              <w:t>厂界环境噪声</w:t>
            </w:r>
          </w:p>
        </w:tc>
        <w:tc>
          <w:tcPr>
            <w:tcW w:w="2551" w:type="dxa"/>
            <w:vMerge w:val="restart"/>
            <w:vAlign w:val="center"/>
          </w:tcPr>
          <w:p w14:paraId="2BA7ECC8">
            <w:pPr>
              <w:pStyle w:val="33"/>
              <w:rPr>
                <w:color w:val="auto"/>
              </w:rPr>
            </w:pPr>
            <w:r>
              <w:rPr>
                <w:rFonts w:hint="eastAsia"/>
                <w:color w:val="auto"/>
              </w:rPr>
              <w:t>厂界噪声监测点</w:t>
            </w:r>
          </w:p>
        </w:tc>
      </w:tr>
      <w:tr w14:paraId="36BB4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2759220C">
            <w:pPr>
              <w:pStyle w:val="33"/>
              <w:rPr>
                <w:color w:val="auto"/>
              </w:rPr>
            </w:pPr>
            <w:r>
              <w:rPr>
                <w:rFonts w:hint="eastAsia"/>
                <w:color w:val="auto"/>
              </w:rPr>
              <w:t>N</w:t>
            </w:r>
            <w:r>
              <w:rPr>
                <w:color w:val="auto"/>
              </w:rPr>
              <w:t>2</w:t>
            </w:r>
          </w:p>
        </w:tc>
        <w:tc>
          <w:tcPr>
            <w:tcW w:w="2593" w:type="dxa"/>
            <w:vAlign w:val="center"/>
          </w:tcPr>
          <w:p w14:paraId="217BDF02">
            <w:pPr>
              <w:pStyle w:val="33"/>
              <w:rPr>
                <w:color w:val="auto"/>
              </w:rPr>
            </w:pPr>
            <w:r>
              <w:rPr>
                <w:rFonts w:hint="eastAsia"/>
                <w:color w:val="auto"/>
              </w:rPr>
              <w:t>厂界南侧1m</w:t>
            </w:r>
          </w:p>
        </w:tc>
        <w:tc>
          <w:tcPr>
            <w:tcW w:w="2368" w:type="dxa"/>
            <w:vAlign w:val="center"/>
          </w:tcPr>
          <w:p w14:paraId="28270F7E">
            <w:pPr>
              <w:pStyle w:val="33"/>
              <w:rPr>
                <w:color w:val="auto"/>
              </w:rPr>
            </w:pPr>
            <w:r>
              <w:rPr>
                <w:rFonts w:hint="eastAsia"/>
                <w:color w:val="auto"/>
              </w:rPr>
              <w:t>厂界环境噪声</w:t>
            </w:r>
          </w:p>
        </w:tc>
        <w:tc>
          <w:tcPr>
            <w:tcW w:w="2551" w:type="dxa"/>
            <w:vMerge w:val="continue"/>
            <w:vAlign w:val="center"/>
          </w:tcPr>
          <w:p w14:paraId="7D8A1E59">
            <w:pPr>
              <w:pStyle w:val="33"/>
              <w:rPr>
                <w:color w:val="auto"/>
              </w:rPr>
            </w:pPr>
          </w:p>
        </w:tc>
      </w:tr>
      <w:tr w14:paraId="39CC1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4A304CF2">
            <w:pPr>
              <w:pStyle w:val="33"/>
              <w:rPr>
                <w:color w:val="auto"/>
              </w:rPr>
            </w:pPr>
            <w:r>
              <w:rPr>
                <w:rFonts w:hint="eastAsia"/>
                <w:color w:val="auto"/>
              </w:rPr>
              <w:t>N</w:t>
            </w:r>
            <w:r>
              <w:rPr>
                <w:color w:val="auto"/>
              </w:rPr>
              <w:t>3</w:t>
            </w:r>
          </w:p>
        </w:tc>
        <w:tc>
          <w:tcPr>
            <w:tcW w:w="2593" w:type="dxa"/>
            <w:vAlign w:val="center"/>
          </w:tcPr>
          <w:p w14:paraId="3A04B08A">
            <w:pPr>
              <w:pStyle w:val="33"/>
              <w:rPr>
                <w:color w:val="auto"/>
              </w:rPr>
            </w:pPr>
            <w:r>
              <w:rPr>
                <w:rFonts w:hint="eastAsia"/>
                <w:color w:val="auto"/>
              </w:rPr>
              <w:t>厂界西侧1m</w:t>
            </w:r>
          </w:p>
        </w:tc>
        <w:tc>
          <w:tcPr>
            <w:tcW w:w="2368" w:type="dxa"/>
            <w:vAlign w:val="center"/>
          </w:tcPr>
          <w:p w14:paraId="60F562B1">
            <w:pPr>
              <w:pStyle w:val="33"/>
              <w:rPr>
                <w:color w:val="auto"/>
              </w:rPr>
            </w:pPr>
            <w:r>
              <w:rPr>
                <w:rFonts w:hint="eastAsia"/>
                <w:color w:val="auto"/>
              </w:rPr>
              <w:t>厂界环境噪声</w:t>
            </w:r>
          </w:p>
        </w:tc>
        <w:tc>
          <w:tcPr>
            <w:tcW w:w="2551" w:type="dxa"/>
            <w:vMerge w:val="continue"/>
            <w:vAlign w:val="center"/>
          </w:tcPr>
          <w:p w14:paraId="40D801DC">
            <w:pPr>
              <w:pStyle w:val="33"/>
              <w:rPr>
                <w:color w:val="auto"/>
              </w:rPr>
            </w:pPr>
          </w:p>
        </w:tc>
      </w:tr>
      <w:tr w14:paraId="26350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664521E0">
            <w:pPr>
              <w:pStyle w:val="33"/>
              <w:rPr>
                <w:color w:val="auto"/>
              </w:rPr>
            </w:pPr>
            <w:r>
              <w:rPr>
                <w:rFonts w:hint="eastAsia"/>
                <w:color w:val="auto"/>
              </w:rPr>
              <w:t>N</w:t>
            </w:r>
            <w:r>
              <w:rPr>
                <w:color w:val="auto"/>
              </w:rPr>
              <w:t>4</w:t>
            </w:r>
          </w:p>
        </w:tc>
        <w:tc>
          <w:tcPr>
            <w:tcW w:w="2593" w:type="dxa"/>
            <w:vAlign w:val="center"/>
          </w:tcPr>
          <w:p w14:paraId="05318331">
            <w:pPr>
              <w:pStyle w:val="33"/>
              <w:rPr>
                <w:color w:val="auto"/>
              </w:rPr>
            </w:pPr>
            <w:r>
              <w:rPr>
                <w:rFonts w:hint="eastAsia"/>
                <w:color w:val="auto"/>
              </w:rPr>
              <w:t>厂界北侧1m</w:t>
            </w:r>
          </w:p>
        </w:tc>
        <w:tc>
          <w:tcPr>
            <w:tcW w:w="2368" w:type="dxa"/>
            <w:vAlign w:val="center"/>
          </w:tcPr>
          <w:p w14:paraId="5782A918">
            <w:pPr>
              <w:pStyle w:val="33"/>
              <w:rPr>
                <w:color w:val="auto"/>
              </w:rPr>
            </w:pPr>
            <w:r>
              <w:rPr>
                <w:rFonts w:hint="eastAsia"/>
                <w:color w:val="auto"/>
              </w:rPr>
              <w:t>厂界环境噪声</w:t>
            </w:r>
          </w:p>
        </w:tc>
        <w:tc>
          <w:tcPr>
            <w:tcW w:w="2551" w:type="dxa"/>
            <w:vMerge w:val="continue"/>
            <w:vAlign w:val="center"/>
          </w:tcPr>
          <w:p w14:paraId="4A9DE3B2">
            <w:pPr>
              <w:pStyle w:val="33"/>
              <w:rPr>
                <w:color w:val="auto"/>
              </w:rPr>
            </w:pPr>
          </w:p>
        </w:tc>
      </w:tr>
      <w:tr w14:paraId="08CDD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5B276170">
            <w:pPr>
              <w:pStyle w:val="33"/>
              <w:rPr>
                <w:color w:val="auto"/>
              </w:rPr>
            </w:pPr>
            <w:r>
              <w:rPr>
                <w:rFonts w:hint="eastAsia"/>
                <w:color w:val="auto"/>
              </w:rPr>
              <w:t>N</w:t>
            </w:r>
            <w:r>
              <w:rPr>
                <w:color w:val="auto"/>
              </w:rPr>
              <w:t>5</w:t>
            </w:r>
          </w:p>
        </w:tc>
        <w:tc>
          <w:tcPr>
            <w:tcW w:w="2593" w:type="dxa"/>
            <w:vAlign w:val="center"/>
          </w:tcPr>
          <w:p w14:paraId="10D1EA3F">
            <w:pPr>
              <w:pStyle w:val="33"/>
              <w:rPr>
                <w:color w:val="auto"/>
              </w:rPr>
            </w:pPr>
            <w:r>
              <w:rPr>
                <w:rFonts w:hint="eastAsia"/>
                <w:color w:val="auto"/>
              </w:rPr>
              <w:t>龙狗坑村</w:t>
            </w:r>
          </w:p>
        </w:tc>
        <w:tc>
          <w:tcPr>
            <w:tcW w:w="2368" w:type="dxa"/>
            <w:vAlign w:val="center"/>
          </w:tcPr>
          <w:p w14:paraId="60141D38">
            <w:pPr>
              <w:pStyle w:val="33"/>
              <w:rPr>
                <w:color w:val="auto"/>
              </w:rPr>
            </w:pPr>
            <w:r>
              <w:rPr>
                <w:rFonts w:hint="eastAsia"/>
                <w:color w:val="auto"/>
              </w:rPr>
              <w:t>敏感点噪声</w:t>
            </w:r>
          </w:p>
        </w:tc>
        <w:tc>
          <w:tcPr>
            <w:tcW w:w="2551" w:type="dxa"/>
            <w:vMerge w:val="restart"/>
            <w:vAlign w:val="center"/>
          </w:tcPr>
          <w:p w14:paraId="7EB1DF3B">
            <w:pPr>
              <w:pStyle w:val="33"/>
              <w:rPr>
                <w:color w:val="auto"/>
              </w:rPr>
            </w:pPr>
            <w:r>
              <w:rPr>
                <w:rFonts w:hint="eastAsia"/>
                <w:color w:val="auto"/>
              </w:rPr>
              <w:t>敏感点监测点</w:t>
            </w:r>
          </w:p>
        </w:tc>
      </w:tr>
      <w:tr w14:paraId="48167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5CD36AC1">
            <w:pPr>
              <w:pStyle w:val="33"/>
              <w:rPr>
                <w:color w:val="auto"/>
              </w:rPr>
            </w:pPr>
            <w:r>
              <w:rPr>
                <w:rFonts w:hint="eastAsia"/>
                <w:color w:val="auto"/>
              </w:rPr>
              <w:t>N</w:t>
            </w:r>
            <w:r>
              <w:rPr>
                <w:color w:val="auto"/>
              </w:rPr>
              <w:t>6</w:t>
            </w:r>
          </w:p>
        </w:tc>
        <w:tc>
          <w:tcPr>
            <w:tcW w:w="2593" w:type="dxa"/>
            <w:vAlign w:val="center"/>
          </w:tcPr>
          <w:p w14:paraId="35B3487A">
            <w:pPr>
              <w:pStyle w:val="33"/>
              <w:rPr>
                <w:color w:val="auto"/>
              </w:rPr>
            </w:pPr>
            <w:r>
              <w:rPr>
                <w:rFonts w:hint="eastAsia"/>
                <w:color w:val="auto"/>
              </w:rPr>
              <w:t>鹿耳环小学</w:t>
            </w:r>
          </w:p>
        </w:tc>
        <w:tc>
          <w:tcPr>
            <w:tcW w:w="2368" w:type="dxa"/>
            <w:vAlign w:val="center"/>
          </w:tcPr>
          <w:p w14:paraId="39F04C68">
            <w:pPr>
              <w:pStyle w:val="33"/>
              <w:rPr>
                <w:color w:val="auto"/>
              </w:rPr>
            </w:pPr>
            <w:r>
              <w:rPr>
                <w:rFonts w:hint="eastAsia"/>
                <w:color w:val="auto"/>
              </w:rPr>
              <w:t>敏感点噪声</w:t>
            </w:r>
          </w:p>
        </w:tc>
        <w:tc>
          <w:tcPr>
            <w:tcW w:w="2551" w:type="dxa"/>
            <w:vMerge w:val="continue"/>
            <w:vAlign w:val="center"/>
          </w:tcPr>
          <w:p w14:paraId="52B014B0">
            <w:pPr>
              <w:pStyle w:val="33"/>
              <w:rPr>
                <w:color w:val="auto"/>
              </w:rPr>
            </w:pPr>
          </w:p>
        </w:tc>
      </w:tr>
      <w:tr w14:paraId="32DF2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208B1C7C">
            <w:pPr>
              <w:pStyle w:val="33"/>
              <w:rPr>
                <w:color w:val="auto"/>
              </w:rPr>
            </w:pPr>
            <w:r>
              <w:rPr>
                <w:rFonts w:hint="eastAsia"/>
                <w:color w:val="auto"/>
              </w:rPr>
              <w:t>N</w:t>
            </w:r>
            <w:r>
              <w:rPr>
                <w:color w:val="auto"/>
              </w:rPr>
              <w:t>7</w:t>
            </w:r>
          </w:p>
        </w:tc>
        <w:tc>
          <w:tcPr>
            <w:tcW w:w="2593" w:type="dxa"/>
            <w:vAlign w:val="center"/>
          </w:tcPr>
          <w:p w14:paraId="13D0963E">
            <w:pPr>
              <w:pStyle w:val="33"/>
              <w:rPr>
                <w:color w:val="auto"/>
              </w:rPr>
            </w:pPr>
            <w:r>
              <w:rPr>
                <w:rFonts w:hint="eastAsia"/>
                <w:color w:val="auto"/>
              </w:rPr>
              <w:t>上硫磺山村东北侧</w:t>
            </w:r>
          </w:p>
        </w:tc>
        <w:tc>
          <w:tcPr>
            <w:tcW w:w="2368" w:type="dxa"/>
            <w:vAlign w:val="center"/>
          </w:tcPr>
          <w:p w14:paraId="44209028">
            <w:pPr>
              <w:pStyle w:val="33"/>
              <w:rPr>
                <w:color w:val="auto"/>
              </w:rPr>
            </w:pPr>
            <w:r>
              <w:rPr>
                <w:rFonts w:hint="eastAsia"/>
                <w:color w:val="auto"/>
              </w:rPr>
              <w:t>敏感点噪声</w:t>
            </w:r>
          </w:p>
        </w:tc>
        <w:tc>
          <w:tcPr>
            <w:tcW w:w="2551" w:type="dxa"/>
            <w:vMerge w:val="continue"/>
            <w:vAlign w:val="center"/>
          </w:tcPr>
          <w:p w14:paraId="30471AE2">
            <w:pPr>
              <w:pStyle w:val="33"/>
              <w:rPr>
                <w:color w:val="auto"/>
              </w:rPr>
            </w:pPr>
          </w:p>
        </w:tc>
      </w:tr>
      <w:tr w14:paraId="56570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55" w:type="dxa"/>
            <w:vAlign w:val="center"/>
          </w:tcPr>
          <w:p w14:paraId="36DFEE25">
            <w:pPr>
              <w:pStyle w:val="33"/>
              <w:rPr>
                <w:color w:val="auto"/>
              </w:rPr>
            </w:pPr>
            <w:r>
              <w:rPr>
                <w:color w:val="auto"/>
              </w:rPr>
              <w:t>N</w:t>
            </w:r>
            <w:r>
              <w:rPr>
                <w:rFonts w:hint="eastAsia"/>
                <w:color w:val="auto"/>
              </w:rPr>
              <w:t>8</w:t>
            </w:r>
          </w:p>
        </w:tc>
        <w:tc>
          <w:tcPr>
            <w:tcW w:w="2593" w:type="dxa"/>
            <w:vAlign w:val="center"/>
          </w:tcPr>
          <w:p w14:paraId="47BFD8F5">
            <w:pPr>
              <w:pStyle w:val="33"/>
              <w:rPr>
                <w:color w:val="auto"/>
              </w:rPr>
            </w:pPr>
            <w:r>
              <w:rPr>
                <w:rFonts w:hint="eastAsia"/>
                <w:color w:val="auto"/>
              </w:rPr>
              <w:t>厂界西南侧约45m滨海公路南侧散户</w:t>
            </w:r>
          </w:p>
        </w:tc>
        <w:tc>
          <w:tcPr>
            <w:tcW w:w="2368" w:type="dxa"/>
            <w:vAlign w:val="center"/>
          </w:tcPr>
          <w:p w14:paraId="25F30ED7">
            <w:pPr>
              <w:pStyle w:val="33"/>
              <w:rPr>
                <w:color w:val="auto"/>
              </w:rPr>
            </w:pPr>
            <w:r>
              <w:rPr>
                <w:rFonts w:hint="eastAsia"/>
                <w:color w:val="auto"/>
              </w:rPr>
              <w:t>敏感点噪声</w:t>
            </w:r>
          </w:p>
        </w:tc>
        <w:tc>
          <w:tcPr>
            <w:tcW w:w="2551" w:type="dxa"/>
            <w:vMerge w:val="continue"/>
            <w:vAlign w:val="center"/>
          </w:tcPr>
          <w:p w14:paraId="788D0DCB">
            <w:pPr>
              <w:pStyle w:val="33"/>
              <w:rPr>
                <w:color w:val="auto"/>
              </w:rPr>
            </w:pPr>
          </w:p>
        </w:tc>
      </w:tr>
    </w:tbl>
    <w:p w14:paraId="64B6381D">
      <w:pPr>
        <w:pStyle w:val="4"/>
        <w:rPr>
          <w:color w:val="auto"/>
        </w:rPr>
      </w:pPr>
      <w:bookmarkStart w:id="390" w:name="_Toc199190498"/>
      <w:bookmarkStart w:id="391" w:name="_Toc225216762"/>
      <w:bookmarkStart w:id="392" w:name="_Toc198390606"/>
      <w:bookmarkStart w:id="393" w:name="_Toc199168961"/>
      <w:bookmarkStart w:id="394" w:name="_Toc198391259"/>
      <w:r>
        <w:rPr>
          <w:rFonts w:hint="eastAsia"/>
          <w:color w:val="auto"/>
        </w:rPr>
        <w:t>监测因子</w:t>
      </w:r>
      <w:bookmarkEnd w:id="390"/>
      <w:bookmarkEnd w:id="391"/>
      <w:bookmarkEnd w:id="392"/>
      <w:bookmarkEnd w:id="393"/>
      <w:bookmarkEnd w:id="394"/>
    </w:p>
    <w:p w14:paraId="3D939C6F">
      <w:pPr>
        <w:ind w:firstLine="480"/>
        <w:rPr>
          <w:color w:val="auto"/>
        </w:rPr>
      </w:pPr>
      <w:r>
        <w:rPr>
          <w:rFonts w:hint="eastAsia"/>
          <w:color w:val="auto"/>
        </w:rPr>
        <w:t>等效连续A声级（L</w:t>
      </w:r>
      <w:r>
        <w:rPr>
          <w:rFonts w:hint="eastAsia"/>
          <w:color w:val="auto"/>
          <w:vertAlign w:val="subscript"/>
        </w:rPr>
        <w:t>eq</w:t>
      </w:r>
      <w:r>
        <w:rPr>
          <w:rFonts w:hint="eastAsia"/>
          <w:color w:val="auto"/>
        </w:rPr>
        <w:t>）。</w:t>
      </w:r>
    </w:p>
    <w:p w14:paraId="62E51761">
      <w:pPr>
        <w:pStyle w:val="4"/>
        <w:rPr>
          <w:color w:val="auto"/>
        </w:rPr>
      </w:pPr>
      <w:bookmarkStart w:id="395" w:name="_Toc198390607"/>
      <w:bookmarkStart w:id="396" w:name="_Toc198391260"/>
      <w:bookmarkStart w:id="397" w:name="_Toc199168962"/>
      <w:bookmarkStart w:id="398" w:name="_Toc225216763"/>
      <w:bookmarkStart w:id="399" w:name="_Toc199190499"/>
      <w:r>
        <w:rPr>
          <w:rFonts w:hint="eastAsia"/>
          <w:color w:val="auto"/>
        </w:rPr>
        <w:t>监测时间及频次</w:t>
      </w:r>
      <w:bookmarkEnd w:id="395"/>
      <w:bookmarkEnd w:id="396"/>
      <w:bookmarkEnd w:id="397"/>
      <w:bookmarkEnd w:id="398"/>
      <w:bookmarkEnd w:id="399"/>
    </w:p>
    <w:p w14:paraId="09BEC1E7">
      <w:pPr>
        <w:ind w:firstLine="480"/>
        <w:rPr>
          <w:color w:val="auto"/>
        </w:rPr>
      </w:pPr>
      <w:r>
        <w:rPr>
          <w:rFonts w:hint="eastAsia"/>
          <w:color w:val="auto"/>
        </w:rPr>
        <w:t>区域环境噪声监测2天，监测时间为2025</w:t>
      </w:r>
      <w:r>
        <w:rPr>
          <w:color w:val="auto"/>
        </w:rPr>
        <w:t>年</w:t>
      </w:r>
      <w:r>
        <w:rPr>
          <w:rFonts w:hint="eastAsia"/>
          <w:color w:val="auto"/>
        </w:rPr>
        <w:t>10</w:t>
      </w:r>
      <w:r>
        <w:rPr>
          <w:color w:val="auto"/>
        </w:rPr>
        <w:t>月</w:t>
      </w:r>
      <w:r>
        <w:rPr>
          <w:rFonts w:hint="eastAsia"/>
          <w:color w:val="auto"/>
        </w:rPr>
        <w:t>15日</w:t>
      </w:r>
      <w:r>
        <w:rPr>
          <w:color w:val="auto"/>
        </w:rPr>
        <w:t>~</w:t>
      </w:r>
      <w:r>
        <w:rPr>
          <w:rFonts w:hint="eastAsia"/>
          <w:color w:val="auto"/>
        </w:rPr>
        <w:t>10</w:t>
      </w:r>
      <w:r>
        <w:rPr>
          <w:color w:val="auto"/>
        </w:rPr>
        <w:t>月</w:t>
      </w:r>
      <w:r>
        <w:rPr>
          <w:rFonts w:hint="eastAsia"/>
          <w:color w:val="auto"/>
        </w:rPr>
        <w:t>16</w:t>
      </w:r>
      <w:r>
        <w:rPr>
          <w:color w:val="auto"/>
        </w:rPr>
        <w:t>日</w:t>
      </w:r>
      <w:r>
        <w:rPr>
          <w:rFonts w:hint="eastAsia"/>
          <w:color w:val="auto"/>
        </w:rPr>
        <w:t>；N8为补充监测，监测时间为2026年1月14日~1月15日，连续检测2天，每天昼间、夜间各检测1次。同时记录监测点位的照片和经纬度。</w:t>
      </w:r>
    </w:p>
    <w:p w14:paraId="76217057">
      <w:pPr>
        <w:pStyle w:val="4"/>
        <w:rPr>
          <w:color w:val="auto"/>
        </w:rPr>
      </w:pPr>
      <w:bookmarkStart w:id="400" w:name="_Toc198390608"/>
      <w:bookmarkStart w:id="401" w:name="_Toc199168963"/>
      <w:bookmarkStart w:id="402" w:name="_Toc198391261"/>
      <w:bookmarkStart w:id="403" w:name="_Toc225216764"/>
      <w:bookmarkStart w:id="404" w:name="_Toc199190500"/>
      <w:r>
        <w:rPr>
          <w:rFonts w:hint="eastAsia"/>
          <w:color w:val="auto"/>
        </w:rPr>
        <w:t>评价标准</w:t>
      </w:r>
      <w:bookmarkEnd w:id="400"/>
      <w:bookmarkEnd w:id="401"/>
      <w:bookmarkEnd w:id="402"/>
      <w:bookmarkEnd w:id="403"/>
      <w:bookmarkEnd w:id="404"/>
    </w:p>
    <w:p w14:paraId="7BDFA6FF">
      <w:pPr>
        <w:ind w:firstLine="480"/>
        <w:rPr>
          <w:color w:val="auto"/>
        </w:rPr>
      </w:pPr>
      <w:r>
        <w:rPr>
          <w:rFonts w:hint="eastAsia"/>
          <w:color w:val="auto"/>
        </w:rPr>
        <w:t>本项目所在区域声功能区划为3类区，执行《声环境质量标准》（GB3096-2008）中3类、2类和4a类标准。其中南侧厂界执行4a类标准，厂区周边执行3类标准，敏感目标执行2类标准。本项目监测点位声环境评价标准详见</w:t>
      </w:r>
      <w:r>
        <w:rPr>
          <w:color w:val="auto"/>
        </w:rPr>
        <w:fldChar w:fldCharType="begin"/>
      </w:r>
      <w:r>
        <w:rPr>
          <w:color w:val="auto"/>
        </w:rPr>
        <w:instrText xml:space="preserve"> REF _Ref196926081 \r \h  \* MERGEFORMAT </w:instrText>
      </w:r>
      <w:r>
        <w:rPr>
          <w:color w:val="auto"/>
        </w:rPr>
        <w:fldChar w:fldCharType="separate"/>
      </w:r>
      <w:r>
        <w:rPr>
          <w:rFonts w:hint="eastAsia"/>
          <w:color w:val="auto"/>
        </w:rPr>
        <w:t>表</w:t>
      </w:r>
      <w:r>
        <w:rPr>
          <w:color w:val="auto"/>
        </w:rPr>
        <w:t>3.7-2</w:t>
      </w:r>
      <w:r>
        <w:rPr>
          <w:color w:val="auto"/>
        </w:rPr>
        <w:fldChar w:fldCharType="end"/>
      </w:r>
      <w:r>
        <w:rPr>
          <w:rFonts w:hint="eastAsia"/>
          <w:color w:val="auto"/>
        </w:rPr>
        <w:t>。</w:t>
      </w:r>
    </w:p>
    <w:p w14:paraId="4E168C55">
      <w:pPr>
        <w:pStyle w:val="7"/>
        <w:rPr>
          <w:color w:val="auto"/>
        </w:rPr>
      </w:pPr>
      <w:bookmarkStart w:id="405" w:name="_Ref196926081"/>
      <w:r>
        <w:rPr>
          <w:rFonts w:hint="eastAsia"/>
          <w:color w:val="auto"/>
        </w:rPr>
        <w:t>声环境评价标准一览表</w:t>
      </w:r>
      <w:bookmarkEnd w:id="405"/>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984"/>
        <w:gridCol w:w="2835"/>
        <w:gridCol w:w="1583"/>
        <w:gridCol w:w="1812"/>
      </w:tblGrid>
      <w:tr w14:paraId="6177C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14:paraId="521270EB">
            <w:pPr>
              <w:pStyle w:val="33"/>
              <w:rPr>
                <w:color w:val="auto"/>
              </w:rPr>
            </w:pPr>
            <w:r>
              <w:rPr>
                <w:rFonts w:hint="eastAsia"/>
                <w:color w:val="auto"/>
              </w:rPr>
              <w:t>编号</w:t>
            </w:r>
          </w:p>
        </w:tc>
        <w:tc>
          <w:tcPr>
            <w:tcW w:w="1984" w:type="dxa"/>
            <w:vMerge w:val="restart"/>
            <w:vAlign w:val="center"/>
          </w:tcPr>
          <w:p w14:paraId="2882D19F">
            <w:pPr>
              <w:pStyle w:val="33"/>
              <w:rPr>
                <w:color w:val="auto"/>
              </w:rPr>
            </w:pPr>
            <w:r>
              <w:rPr>
                <w:rFonts w:hint="eastAsia"/>
                <w:color w:val="auto"/>
              </w:rPr>
              <w:t>点位名称</w:t>
            </w:r>
          </w:p>
        </w:tc>
        <w:tc>
          <w:tcPr>
            <w:tcW w:w="2835" w:type="dxa"/>
            <w:vMerge w:val="restart"/>
            <w:vAlign w:val="center"/>
          </w:tcPr>
          <w:p w14:paraId="3DB089F8">
            <w:pPr>
              <w:pStyle w:val="33"/>
              <w:rPr>
                <w:color w:val="auto"/>
              </w:rPr>
            </w:pPr>
            <w:r>
              <w:rPr>
                <w:rFonts w:hint="eastAsia"/>
                <w:color w:val="auto"/>
              </w:rPr>
              <w:t>评价标准</w:t>
            </w:r>
          </w:p>
        </w:tc>
        <w:tc>
          <w:tcPr>
            <w:tcW w:w="3395" w:type="dxa"/>
            <w:gridSpan w:val="2"/>
            <w:vAlign w:val="center"/>
          </w:tcPr>
          <w:p w14:paraId="38A9B454">
            <w:pPr>
              <w:pStyle w:val="33"/>
              <w:rPr>
                <w:color w:val="auto"/>
              </w:rPr>
            </w:pPr>
            <w:r>
              <w:rPr>
                <w:rFonts w:hint="eastAsia"/>
                <w:color w:val="auto"/>
              </w:rPr>
              <w:t>时段</w:t>
            </w:r>
          </w:p>
        </w:tc>
      </w:tr>
      <w:tr w14:paraId="0188A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continue"/>
            <w:vAlign w:val="center"/>
          </w:tcPr>
          <w:p w14:paraId="4C290398">
            <w:pPr>
              <w:pStyle w:val="33"/>
              <w:rPr>
                <w:color w:val="auto"/>
              </w:rPr>
            </w:pPr>
          </w:p>
        </w:tc>
        <w:tc>
          <w:tcPr>
            <w:tcW w:w="1984" w:type="dxa"/>
            <w:vMerge w:val="continue"/>
            <w:vAlign w:val="center"/>
          </w:tcPr>
          <w:p w14:paraId="5C7BB882">
            <w:pPr>
              <w:pStyle w:val="33"/>
              <w:rPr>
                <w:color w:val="auto"/>
              </w:rPr>
            </w:pPr>
          </w:p>
        </w:tc>
        <w:tc>
          <w:tcPr>
            <w:tcW w:w="2835" w:type="dxa"/>
            <w:vMerge w:val="continue"/>
            <w:vAlign w:val="center"/>
          </w:tcPr>
          <w:p w14:paraId="11622859">
            <w:pPr>
              <w:pStyle w:val="33"/>
              <w:rPr>
                <w:color w:val="auto"/>
              </w:rPr>
            </w:pPr>
          </w:p>
        </w:tc>
        <w:tc>
          <w:tcPr>
            <w:tcW w:w="1583" w:type="dxa"/>
            <w:vAlign w:val="center"/>
          </w:tcPr>
          <w:p w14:paraId="7DB29EFE">
            <w:pPr>
              <w:pStyle w:val="33"/>
              <w:rPr>
                <w:color w:val="auto"/>
              </w:rPr>
            </w:pPr>
            <w:r>
              <w:rPr>
                <w:rFonts w:hint="eastAsia"/>
                <w:color w:val="auto"/>
              </w:rPr>
              <w:t>昼间</w:t>
            </w:r>
          </w:p>
        </w:tc>
        <w:tc>
          <w:tcPr>
            <w:tcW w:w="1812" w:type="dxa"/>
            <w:vAlign w:val="center"/>
          </w:tcPr>
          <w:p w14:paraId="488A6D1C">
            <w:pPr>
              <w:pStyle w:val="33"/>
              <w:rPr>
                <w:color w:val="auto"/>
              </w:rPr>
            </w:pPr>
            <w:r>
              <w:rPr>
                <w:rFonts w:hint="eastAsia"/>
                <w:color w:val="auto"/>
              </w:rPr>
              <w:t>夜间</w:t>
            </w:r>
          </w:p>
        </w:tc>
      </w:tr>
      <w:tr w14:paraId="1D922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72ADB012">
            <w:pPr>
              <w:pStyle w:val="33"/>
              <w:rPr>
                <w:color w:val="auto"/>
              </w:rPr>
            </w:pPr>
            <w:r>
              <w:rPr>
                <w:rFonts w:hint="eastAsia"/>
                <w:color w:val="auto"/>
              </w:rPr>
              <w:t>N</w:t>
            </w:r>
            <w:r>
              <w:rPr>
                <w:color w:val="auto"/>
              </w:rPr>
              <w:t>1</w:t>
            </w:r>
          </w:p>
        </w:tc>
        <w:tc>
          <w:tcPr>
            <w:tcW w:w="1984" w:type="dxa"/>
            <w:vAlign w:val="center"/>
          </w:tcPr>
          <w:p w14:paraId="0C48866C">
            <w:pPr>
              <w:pStyle w:val="33"/>
              <w:rPr>
                <w:color w:val="auto"/>
              </w:rPr>
            </w:pPr>
            <w:r>
              <w:rPr>
                <w:rFonts w:hint="eastAsia"/>
                <w:color w:val="auto"/>
              </w:rPr>
              <w:t>厂界东侧1m</w:t>
            </w:r>
          </w:p>
        </w:tc>
        <w:tc>
          <w:tcPr>
            <w:tcW w:w="2835" w:type="dxa"/>
            <w:vAlign w:val="center"/>
          </w:tcPr>
          <w:p w14:paraId="5559A132">
            <w:pPr>
              <w:pStyle w:val="33"/>
              <w:rPr>
                <w:color w:val="auto"/>
              </w:rPr>
            </w:pPr>
            <w:r>
              <w:rPr>
                <w:rFonts w:hint="eastAsia"/>
                <w:color w:val="auto"/>
              </w:rPr>
              <w:t>《声环境质量标准》（GB3096-2008）3类标准</w:t>
            </w:r>
          </w:p>
        </w:tc>
        <w:tc>
          <w:tcPr>
            <w:tcW w:w="1583" w:type="dxa"/>
            <w:vAlign w:val="center"/>
          </w:tcPr>
          <w:p w14:paraId="6A89CB56">
            <w:pPr>
              <w:pStyle w:val="33"/>
              <w:rPr>
                <w:color w:val="auto"/>
              </w:rPr>
            </w:pPr>
            <w:r>
              <w:rPr>
                <w:rFonts w:hint="eastAsia"/>
                <w:color w:val="auto"/>
              </w:rPr>
              <w:t>65</w:t>
            </w:r>
          </w:p>
        </w:tc>
        <w:tc>
          <w:tcPr>
            <w:tcW w:w="1812" w:type="dxa"/>
            <w:vAlign w:val="center"/>
          </w:tcPr>
          <w:p w14:paraId="434A89B8">
            <w:pPr>
              <w:pStyle w:val="33"/>
              <w:rPr>
                <w:color w:val="auto"/>
              </w:rPr>
            </w:pPr>
            <w:r>
              <w:rPr>
                <w:rFonts w:hint="eastAsia"/>
                <w:color w:val="auto"/>
              </w:rPr>
              <w:t>55</w:t>
            </w:r>
          </w:p>
        </w:tc>
      </w:tr>
      <w:tr w14:paraId="0E423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0BA5C277">
            <w:pPr>
              <w:pStyle w:val="33"/>
              <w:rPr>
                <w:color w:val="auto"/>
              </w:rPr>
            </w:pPr>
            <w:r>
              <w:rPr>
                <w:rFonts w:hint="eastAsia"/>
                <w:color w:val="auto"/>
              </w:rPr>
              <w:t>N</w:t>
            </w:r>
            <w:r>
              <w:rPr>
                <w:color w:val="auto"/>
              </w:rPr>
              <w:t>2</w:t>
            </w:r>
          </w:p>
        </w:tc>
        <w:tc>
          <w:tcPr>
            <w:tcW w:w="1984" w:type="dxa"/>
            <w:vAlign w:val="center"/>
          </w:tcPr>
          <w:p w14:paraId="712214E9">
            <w:pPr>
              <w:pStyle w:val="33"/>
              <w:rPr>
                <w:color w:val="auto"/>
              </w:rPr>
            </w:pPr>
            <w:r>
              <w:rPr>
                <w:rFonts w:hint="eastAsia"/>
                <w:color w:val="auto"/>
              </w:rPr>
              <w:t>厂界南侧1m</w:t>
            </w:r>
          </w:p>
        </w:tc>
        <w:tc>
          <w:tcPr>
            <w:tcW w:w="2835" w:type="dxa"/>
            <w:vAlign w:val="center"/>
          </w:tcPr>
          <w:p w14:paraId="43892C00">
            <w:pPr>
              <w:pStyle w:val="33"/>
              <w:rPr>
                <w:color w:val="auto"/>
              </w:rPr>
            </w:pPr>
            <w:r>
              <w:rPr>
                <w:rFonts w:hint="eastAsia"/>
                <w:color w:val="auto"/>
              </w:rPr>
              <w:t>《声环境质量标准》（GB3096-2008）4a类标准</w:t>
            </w:r>
          </w:p>
        </w:tc>
        <w:tc>
          <w:tcPr>
            <w:tcW w:w="1583" w:type="dxa"/>
            <w:vAlign w:val="center"/>
          </w:tcPr>
          <w:p w14:paraId="0069D17F">
            <w:pPr>
              <w:pStyle w:val="33"/>
              <w:rPr>
                <w:color w:val="auto"/>
              </w:rPr>
            </w:pPr>
            <w:r>
              <w:rPr>
                <w:rFonts w:hint="eastAsia"/>
                <w:color w:val="auto"/>
              </w:rPr>
              <w:t>70</w:t>
            </w:r>
          </w:p>
        </w:tc>
        <w:tc>
          <w:tcPr>
            <w:tcW w:w="1812" w:type="dxa"/>
            <w:vAlign w:val="center"/>
          </w:tcPr>
          <w:p w14:paraId="7696B246">
            <w:pPr>
              <w:pStyle w:val="33"/>
              <w:rPr>
                <w:color w:val="auto"/>
              </w:rPr>
            </w:pPr>
            <w:r>
              <w:rPr>
                <w:rFonts w:hint="eastAsia"/>
                <w:color w:val="auto"/>
              </w:rPr>
              <w:t>55</w:t>
            </w:r>
          </w:p>
        </w:tc>
      </w:tr>
      <w:tr w14:paraId="6DD30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1C394381">
            <w:pPr>
              <w:pStyle w:val="33"/>
              <w:rPr>
                <w:color w:val="auto"/>
              </w:rPr>
            </w:pPr>
            <w:r>
              <w:rPr>
                <w:rFonts w:hint="eastAsia"/>
                <w:color w:val="auto"/>
              </w:rPr>
              <w:t>N</w:t>
            </w:r>
            <w:r>
              <w:rPr>
                <w:color w:val="auto"/>
              </w:rPr>
              <w:t>3</w:t>
            </w:r>
          </w:p>
        </w:tc>
        <w:tc>
          <w:tcPr>
            <w:tcW w:w="1984" w:type="dxa"/>
            <w:vAlign w:val="center"/>
          </w:tcPr>
          <w:p w14:paraId="5BDF5FDD">
            <w:pPr>
              <w:pStyle w:val="33"/>
              <w:rPr>
                <w:color w:val="auto"/>
              </w:rPr>
            </w:pPr>
            <w:r>
              <w:rPr>
                <w:rFonts w:hint="eastAsia"/>
                <w:color w:val="auto"/>
              </w:rPr>
              <w:t>厂界西侧1m</w:t>
            </w:r>
          </w:p>
        </w:tc>
        <w:tc>
          <w:tcPr>
            <w:tcW w:w="2835" w:type="dxa"/>
            <w:vAlign w:val="center"/>
          </w:tcPr>
          <w:p w14:paraId="236D7D60">
            <w:pPr>
              <w:pStyle w:val="33"/>
              <w:rPr>
                <w:color w:val="auto"/>
              </w:rPr>
            </w:pPr>
            <w:r>
              <w:rPr>
                <w:rFonts w:hint="eastAsia"/>
                <w:color w:val="auto"/>
              </w:rPr>
              <w:t>《声环境质量标准》（GB3096-2008）3类标准</w:t>
            </w:r>
          </w:p>
        </w:tc>
        <w:tc>
          <w:tcPr>
            <w:tcW w:w="1583" w:type="dxa"/>
            <w:vAlign w:val="center"/>
          </w:tcPr>
          <w:p w14:paraId="3A6F886B">
            <w:pPr>
              <w:pStyle w:val="33"/>
              <w:rPr>
                <w:color w:val="auto"/>
              </w:rPr>
            </w:pPr>
            <w:r>
              <w:rPr>
                <w:rFonts w:hint="eastAsia"/>
                <w:color w:val="auto"/>
              </w:rPr>
              <w:t>65</w:t>
            </w:r>
          </w:p>
        </w:tc>
        <w:tc>
          <w:tcPr>
            <w:tcW w:w="1812" w:type="dxa"/>
            <w:vAlign w:val="center"/>
          </w:tcPr>
          <w:p w14:paraId="63D141B8">
            <w:pPr>
              <w:pStyle w:val="33"/>
              <w:rPr>
                <w:color w:val="auto"/>
              </w:rPr>
            </w:pPr>
            <w:r>
              <w:rPr>
                <w:rFonts w:hint="eastAsia"/>
                <w:color w:val="auto"/>
              </w:rPr>
              <w:t>55</w:t>
            </w:r>
          </w:p>
        </w:tc>
      </w:tr>
      <w:tr w14:paraId="78742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5418F0E4">
            <w:pPr>
              <w:pStyle w:val="33"/>
              <w:rPr>
                <w:color w:val="auto"/>
              </w:rPr>
            </w:pPr>
            <w:r>
              <w:rPr>
                <w:rFonts w:hint="eastAsia"/>
                <w:color w:val="auto"/>
              </w:rPr>
              <w:t>N</w:t>
            </w:r>
            <w:r>
              <w:rPr>
                <w:color w:val="auto"/>
              </w:rPr>
              <w:t>4</w:t>
            </w:r>
          </w:p>
        </w:tc>
        <w:tc>
          <w:tcPr>
            <w:tcW w:w="1984" w:type="dxa"/>
            <w:vAlign w:val="center"/>
          </w:tcPr>
          <w:p w14:paraId="5BDE48E5">
            <w:pPr>
              <w:pStyle w:val="33"/>
              <w:rPr>
                <w:color w:val="auto"/>
              </w:rPr>
            </w:pPr>
            <w:r>
              <w:rPr>
                <w:rFonts w:hint="eastAsia"/>
                <w:color w:val="auto"/>
              </w:rPr>
              <w:t>厂界北侧1m</w:t>
            </w:r>
          </w:p>
        </w:tc>
        <w:tc>
          <w:tcPr>
            <w:tcW w:w="2835" w:type="dxa"/>
            <w:vAlign w:val="center"/>
          </w:tcPr>
          <w:p w14:paraId="799F72DF">
            <w:pPr>
              <w:pStyle w:val="33"/>
              <w:rPr>
                <w:color w:val="auto"/>
              </w:rPr>
            </w:pPr>
            <w:r>
              <w:rPr>
                <w:rFonts w:hint="eastAsia"/>
                <w:color w:val="auto"/>
              </w:rPr>
              <w:t>《声环境质量标准》（GB3096-2008）3类标准</w:t>
            </w:r>
          </w:p>
        </w:tc>
        <w:tc>
          <w:tcPr>
            <w:tcW w:w="1583" w:type="dxa"/>
            <w:vAlign w:val="center"/>
          </w:tcPr>
          <w:p w14:paraId="7506D49D">
            <w:pPr>
              <w:pStyle w:val="33"/>
              <w:rPr>
                <w:color w:val="auto"/>
              </w:rPr>
            </w:pPr>
            <w:r>
              <w:rPr>
                <w:rFonts w:hint="eastAsia"/>
                <w:color w:val="auto"/>
              </w:rPr>
              <w:t>65</w:t>
            </w:r>
          </w:p>
        </w:tc>
        <w:tc>
          <w:tcPr>
            <w:tcW w:w="1812" w:type="dxa"/>
            <w:vAlign w:val="center"/>
          </w:tcPr>
          <w:p w14:paraId="221771C4">
            <w:pPr>
              <w:pStyle w:val="33"/>
              <w:rPr>
                <w:color w:val="auto"/>
              </w:rPr>
            </w:pPr>
            <w:r>
              <w:rPr>
                <w:rFonts w:hint="eastAsia"/>
                <w:color w:val="auto"/>
              </w:rPr>
              <w:t>55</w:t>
            </w:r>
          </w:p>
        </w:tc>
      </w:tr>
      <w:tr w14:paraId="24DB3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1A1E25D1">
            <w:pPr>
              <w:pStyle w:val="33"/>
              <w:rPr>
                <w:color w:val="auto"/>
              </w:rPr>
            </w:pPr>
            <w:r>
              <w:rPr>
                <w:rFonts w:hint="eastAsia"/>
                <w:color w:val="auto"/>
              </w:rPr>
              <w:t>N</w:t>
            </w:r>
            <w:r>
              <w:rPr>
                <w:color w:val="auto"/>
              </w:rPr>
              <w:t>5</w:t>
            </w:r>
          </w:p>
        </w:tc>
        <w:tc>
          <w:tcPr>
            <w:tcW w:w="1984" w:type="dxa"/>
            <w:vAlign w:val="center"/>
          </w:tcPr>
          <w:p w14:paraId="119D80E5">
            <w:pPr>
              <w:pStyle w:val="33"/>
              <w:rPr>
                <w:color w:val="auto"/>
              </w:rPr>
            </w:pPr>
            <w:r>
              <w:rPr>
                <w:rFonts w:hint="eastAsia"/>
                <w:color w:val="auto"/>
              </w:rPr>
              <w:t>龙狗坑村</w:t>
            </w:r>
          </w:p>
        </w:tc>
        <w:tc>
          <w:tcPr>
            <w:tcW w:w="2835" w:type="dxa"/>
            <w:vAlign w:val="center"/>
          </w:tcPr>
          <w:p w14:paraId="62668CFB">
            <w:pPr>
              <w:pStyle w:val="33"/>
              <w:rPr>
                <w:color w:val="auto"/>
              </w:rPr>
            </w:pPr>
            <w:r>
              <w:rPr>
                <w:rFonts w:hint="eastAsia"/>
                <w:color w:val="auto"/>
              </w:rPr>
              <w:t>《声环境质量标准》（GB3096-2008）2类标准</w:t>
            </w:r>
          </w:p>
        </w:tc>
        <w:tc>
          <w:tcPr>
            <w:tcW w:w="1583" w:type="dxa"/>
            <w:vAlign w:val="center"/>
          </w:tcPr>
          <w:p w14:paraId="133B7771">
            <w:pPr>
              <w:pStyle w:val="33"/>
              <w:rPr>
                <w:color w:val="auto"/>
              </w:rPr>
            </w:pPr>
            <w:r>
              <w:rPr>
                <w:rFonts w:hint="eastAsia"/>
                <w:color w:val="auto"/>
              </w:rPr>
              <w:t>60</w:t>
            </w:r>
          </w:p>
        </w:tc>
        <w:tc>
          <w:tcPr>
            <w:tcW w:w="1812" w:type="dxa"/>
            <w:vAlign w:val="center"/>
          </w:tcPr>
          <w:p w14:paraId="6B61DFFF">
            <w:pPr>
              <w:pStyle w:val="33"/>
              <w:rPr>
                <w:color w:val="auto"/>
              </w:rPr>
            </w:pPr>
            <w:r>
              <w:rPr>
                <w:rFonts w:hint="eastAsia"/>
                <w:color w:val="auto"/>
              </w:rPr>
              <w:t>50</w:t>
            </w:r>
          </w:p>
        </w:tc>
      </w:tr>
      <w:tr w14:paraId="343F8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0804CD57">
            <w:pPr>
              <w:pStyle w:val="33"/>
              <w:rPr>
                <w:color w:val="auto"/>
              </w:rPr>
            </w:pPr>
            <w:r>
              <w:rPr>
                <w:rFonts w:hint="eastAsia"/>
                <w:color w:val="auto"/>
              </w:rPr>
              <w:t>N</w:t>
            </w:r>
            <w:r>
              <w:rPr>
                <w:color w:val="auto"/>
              </w:rPr>
              <w:t>6</w:t>
            </w:r>
          </w:p>
        </w:tc>
        <w:tc>
          <w:tcPr>
            <w:tcW w:w="1984" w:type="dxa"/>
            <w:vAlign w:val="center"/>
          </w:tcPr>
          <w:p w14:paraId="3B463DCD">
            <w:pPr>
              <w:pStyle w:val="33"/>
              <w:rPr>
                <w:color w:val="auto"/>
              </w:rPr>
            </w:pPr>
            <w:r>
              <w:rPr>
                <w:rFonts w:hint="eastAsia"/>
                <w:color w:val="auto"/>
              </w:rPr>
              <w:t>鹿耳环小学</w:t>
            </w:r>
          </w:p>
        </w:tc>
        <w:tc>
          <w:tcPr>
            <w:tcW w:w="2835" w:type="dxa"/>
            <w:vAlign w:val="center"/>
          </w:tcPr>
          <w:p w14:paraId="10BDA7FC">
            <w:pPr>
              <w:pStyle w:val="33"/>
              <w:rPr>
                <w:color w:val="auto"/>
              </w:rPr>
            </w:pPr>
            <w:r>
              <w:rPr>
                <w:rFonts w:hint="eastAsia"/>
                <w:color w:val="auto"/>
              </w:rPr>
              <w:t>《声环境质量标准》（GB3096-2008）2类标准</w:t>
            </w:r>
          </w:p>
        </w:tc>
        <w:tc>
          <w:tcPr>
            <w:tcW w:w="1583" w:type="dxa"/>
            <w:vAlign w:val="center"/>
          </w:tcPr>
          <w:p w14:paraId="56E21F19">
            <w:pPr>
              <w:pStyle w:val="33"/>
              <w:rPr>
                <w:color w:val="auto"/>
              </w:rPr>
            </w:pPr>
            <w:r>
              <w:rPr>
                <w:rFonts w:hint="eastAsia"/>
                <w:color w:val="auto"/>
              </w:rPr>
              <w:t>60</w:t>
            </w:r>
          </w:p>
        </w:tc>
        <w:tc>
          <w:tcPr>
            <w:tcW w:w="1812" w:type="dxa"/>
            <w:vAlign w:val="center"/>
          </w:tcPr>
          <w:p w14:paraId="3BCFF6E5">
            <w:pPr>
              <w:pStyle w:val="33"/>
              <w:rPr>
                <w:color w:val="auto"/>
              </w:rPr>
            </w:pPr>
            <w:r>
              <w:rPr>
                <w:rFonts w:hint="eastAsia"/>
                <w:color w:val="auto"/>
              </w:rPr>
              <w:t>50</w:t>
            </w:r>
          </w:p>
        </w:tc>
      </w:tr>
      <w:tr w14:paraId="36EBF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057E5DD0">
            <w:pPr>
              <w:pStyle w:val="33"/>
              <w:rPr>
                <w:color w:val="auto"/>
              </w:rPr>
            </w:pPr>
            <w:r>
              <w:rPr>
                <w:rFonts w:hint="eastAsia"/>
                <w:color w:val="auto"/>
              </w:rPr>
              <w:t>N</w:t>
            </w:r>
            <w:r>
              <w:rPr>
                <w:color w:val="auto"/>
              </w:rPr>
              <w:t>7</w:t>
            </w:r>
          </w:p>
        </w:tc>
        <w:tc>
          <w:tcPr>
            <w:tcW w:w="1984" w:type="dxa"/>
            <w:vAlign w:val="center"/>
          </w:tcPr>
          <w:p w14:paraId="5BE1B034">
            <w:pPr>
              <w:pStyle w:val="33"/>
              <w:rPr>
                <w:color w:val="auto"/>
              </w:rPr>
            </w:pPr>
            <w:r>
              <w:rPr>
                <w:rFonts w:hint="eastAsia"/>
                <w:color w:val="auto"/>
              </w:rPr>
              <w:t>上硫磺山村东北侧</w:t>
            </w:r>
          </w:p>
        </w:tc>
        <w:tc>
          <w:tcPr>
            <w:tcW w:w="2835" w:type="dxa"/>
            <w:vAlign w:val="center"/>
          </w:tcPr>
          <w:p w14:paraId="7C31AB34">
            <w:pPr>
              <w:pStyle w:val="33"/>
              <w:rPr>
                <w:color w:val="auto"/>
              </w:rPr>
            </w:pPr>
            <w:r>
              <w:rPr>
                <w:rFonts w:hint="eastAsia"/>
                <w:color w:val="auto"/>
              </w:rPr>
              <w:t>《声环境质量标准》（GB3096-2008）2类标准</w:t>
            </w:r>
          </w:p>
        </w:tc>
        <w:tc>
          <w:tcPr>
            <w:tcW w:w="1583" w:type="dxa"/>
            <w:vAlign w:val="center"/>
          </w:tcPr>
          <w:p w14:paraId="1881F4CF">
            <w:pPr>
              <w:pStyle w:val="33"/>
              <w:rPr>
                <w:color w:val="auto"/>
              </w:rPr>
            </w:pPr>
            <w:r>
              <w:rPr>
                <w:rFonts w:hint="eastAsia"/>
                <w:color w:val="auto"/>
              </w:rPr>
              <w:t>60</w:t>
            </w:r>
          </w:p>
        </w:tc>
        <w:tc>
          <w:tcPr>
            <w:tcW w:w="1812" w:type="dxa"/>
            <w:vAlign w:val="center"/>
          </w:tcPr>
          <w:p w14:paraId="4C997A0C">
            <w:pPr>
              <w:pStyle w:val="33"/>
              <w:rPr>
                <w:color w:val="auto"/>
              </w:rPr>
            </w:pPr>
            <w:r>
              <w:rPr>
                <w:rFonts w:hint="eastAsia"/>
                <w:color w:val="auto"/>
              </w:rPr>
              <w:t>50</w:t>
            </w:r>
          </w:p>
        </w:tc>
      </w:tr>
      <w:tr w14:paraId="719EF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Align w:val="center"/>
          </w:tcPr>
          <w:p w14:paraId="158F2ED9">
            <w:pPr>
              <w:pStyle w:val="33"/>
              <w:rPr>
                <w:color w:val="auto"/>
              </w:rPr>
            </w:pPr>
            <w:r>
              <w:rPr>
                <w:color w:val="auto"/>
              </w:rPr>
              <w:t>N</w:t>
            </w:r>
            <w:r>
              <w:rPr>
                <w:rFonts w:hint="eastAsia"/>
                <w:color w:val="auto"/>
              </w:rPr>
              <w:t>8</w:t>
            </w:r>
          </w:p>
        </w:tc>
        <w:tc>
          <w:tcPr>
            <w:tcW w:w="1984" w:type="dxa"/>
            <w:vAlign w:val="center"/>
          </w:tcPr>
          <w:p w14:paraId="31050277">
            <w:pPr>
              <w:pStyle w:val="33"/>
              <w:rPr>
                <w:color w:val="auto"/>
              </w:rPr>
            </w:pPr>
            <w:r>
              <w:rPr>
                <w:rFonts w:hint="eastAsia"/>
                <w:color w:val="auto"/>
              </w:rPr>
              <w:t>厂界西南侧</w:t>
            </w:r>
            <w:r>
              <w:rPr>
                <w:rFonts w:hint="eastAsia"/>
                <w:color w:val="auto"/>
                <w:szCs w:val="21"/>
              </w:rPr>
              <w:t>约45m滨海公路南侧散户</w:t>
            </w:r>
          </w:p>
        </w:tc>
        <w:tc>
          <w:tcPr>
            <w:tcW w:w="2835" w:type="dxa"/>
            <w:vAlign w:val="center"/>
          </w:tcPr>
          <w:p w14:paraId="283C5B96">
            <w:pPr>
              <w:pStyle w:val="33"/>
              <w:rPr>
                <w:color w:val="auto"/>
              </w:rPr>
            </w:pPr>
            <w:r>
              <w:rPr>
                <w:rFonts w:hint="eastAsia"/>
                <w:color w:val="auto"/>
              </w:rPr>
              <w:t>《声环境质量标准》（GB3096-2008）2类标准</w:t>
            </w:r>
          </w:p>
        </w:tc>
        <w:tc>
          <w:tcPr>
            <w:tcW w:w="1583" w:type="dxa"/>
            <w:vAlign w:val="center"/>
          </w:tcPr>
          <w:p w14:paraId="2E92407E">
            <w:pPr>
              <w:pStyle w:val="33"/>
              <w:rPr>
                <w:color w:val="auto"/>
              </w:rPr>
            </w:pPr>
            <w:r>
              <w:rPr>
                <w:rFonts w:hint="eastAsia"/>
                <w:color w:val="auto"/>
              </w:rPr>
              <w:t>60</w:t>
            </w:r>
          </w:p>
        </w:tc>
        <w:tc>
          <w:tcPr>
            <w:tcW w:w="1812" w:type="dxa"/>
            <w:vAlign w:val="center"/>
          </w:tcPr>
          <w:p w14:paraId="3BC0E1B0">
            <w:pPr>
              <w:pStyle w:val="33"/>
              <w:rPr>
                <w:color w:val="auto"/>
              </w:rPr>
            </w:pPr>
            <w:r>
              <w:rPr>
                <w:rFonts w:hint="eastAsia"/>
                <w:color w:val="auto"/>
              </w:rPr>
              <w:t>50</w:t>
            </w:r>
          </w:p>
        </w:tc>
      </w:tr>
    </w:tbl>
    <w:p w14:paraId="7A14E5F8">
      <w:pPr>
        <w:pStyle w:val="4"/>
        <w:rPr>
          <w:color w:val="auto"/>
        </w:rPr>
      </w:pPr>
      <w:bookmarkStart w:id="406" w:name="_Toc199190501"/>
      <w:bookmarkStart w:id="407" w:name="_Toc225216765"/>
      <w:bookmarkStart w:id="408" w:name="_Toc198390609"/>
      <w:bookmarkStart w:id="409" w:name="_Toc199168964"/>
      <w:bookmarkStart w:id="410" w:name="_Toc198391262"/>
      <w:r>
        <w:rPr>
          <w:rFonts w:hint="eastAsia"/>
          <w:color w:val="auto"/>
        </w:rPr>
        <w:t>监测结果及评价</w:t>
      </w:r>
      <w:bookmarkEnd w:id="406"/>
      <w:bookmarkEnd w:id="407"/>
      <w:bookmarkEnd w:id="408"/>
      <w:bookmarkEnd w:id="409"/>
      <w:bookmarkEnd w:id="410"/>
    </w:p>
    <w:p w14:paraId="0EC76796">
      <w:pPr>
        <w:ind w:firstLine="480"/>
        <w:rPr>
          <w:color w:val="auto"/>
        </w:rPr>
      </w:pPr>
      <w:r>
        <w:rPr>
          <w:rFonts w:hint="eastAsia"/>
          <w:color w:val="auto"/>
        </w:rPr>
        <w:t>本项目声环境质量监测结果及评价详见下表</w:t>
      </w:r>
      <w:r>
        <w:rPr>
          <w:color w:val="auto"/>
        </w:rPr>
        <w:fldChar w:fldCharType="begin"/>
      </w:r>
      <w:r>
        <w:rPr>
          <w:color w:val="auto"/>
        </w:rPr>
        <w:instrText xml:space="preserve"> </w:instrText>
      </w:r>
      <w:r>
        <w:rPr>
          <w:rFonts w:hint="eastAsia"/>
          <w:color w:val="auto"/>
        </w:rPr>
        <w:instrText xml:space="preserve">REF _Ref184719269 \r \h</w:instrText>
      </w:r>
      <w:r>
        <w:rPr>
          <w:color w:val="auto"/>
        </w:rPr>
        <w:instrText xml:space="preserve">  \* MERGEFORMAT </w:instrText>
      </w:r>
      <w:r>
        <w:rPr>
          <w:color w:val="auto"/>
        </w:rPr>
        <w:fldChar w:fldCharType="separate"/>
      </w:r>
      <w:r>
        <w:rPr>
          <w:color w:val="auto"/>
        </w:rPr>
        <w:fldChar w:fldCharType="end"/>
      </w:r>
      <w:r>
        <w:rPr>
          <w:rFonts w:hint="eastAsia"/>
          <w:color w:val="auto"/>
        </w:rPr>
        <w:t>。</w:t>
      </w:r>
    </w:p>
    <w:p w14:paraId="12DDAF26">
      <w:pPr>
        <w:pStyle w:val="7"/>
        <w:rPr>
          <w:color w:val="auto"/>
        </w:rPr>
      </w:pPr>
      <w:bookmarkStart w:id="411" w:name="_Ref196926100"/>
      <w:r>
        <w:rPr>
          <w:rFonts w:hint="eastAsia"/>
          <w:color w:val="auto"/>
        </w:rPr>
        <w:t xml:space="preserve">声环境质量监测结果一览表 </w:t>
      </w:r>
      <w:r>
        <w:rPr>
          <w:color w:val="auto"/>
        </w:rPr>
        <w:t xml:space="preserve"> </w:t>
      </w:r>
      <w:r>
        <w:rPr>
          <w:rFonts w:hint="eastAsia"/>
          <w:color w:val="auto"/>
        </w:rPr>
        <w:t>单位：d</w:t>
      </w:r>
      <w:r>
        <w:rPr>
          <w:color w:val="auto"/>
        </w:rPr>
        <w:t>B</w:t>
      </w:r>
      <w:r>
        <w:rPr>
          <w:rFonts w:hint="eastAsia"/>
          <w:color w:val="auto"/>
        </w:rPr>
        <w:t>（A）</w:t>
      </w:r>
      <w:bookmarkEnd w:id="411"/>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0"/>
        <w:gridCol w:w="1510"/>
        <w:gridCol w:w="1510"/>
        <w:gridCol w:w="1510"/>
        <w:gridCol w:w="1510"/>
        <w:gridCol w:w="1510"/>
      </w:tblGrid>
      <w:tr w14:paraId="46723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Align w:val="center"/>
          </w:tcPr>
          <w:p w14:paraId="5D950D7C">
            <w:pPr>
              <w:pStyle w:val="33"/>
              <w:rPr>
                <w:color w:val="auto"/>
              </w:rPr>
            </w:pPr>
            <w:r>
              <w:rPr>
                <w:rFonts w:hint="eastAsia"/>
                <w:color w:val="auto"/>
              </w:rPr>
              <w:t>监测点位编号</w:t>
            </w:r>
          </w:p>
        </w:tc>
        <w:tc>
          <w:tcPr>
            <w:tcW w:w="1510" w:type="dxa"/>
            <w:vAlign w:val="center"/>
          </w:tcPr>
          <w:p w14:paraId="3A332F3B">
            <w:pPr>
              <w:pStyle w:val="33"/>
              <w:rPr>
                <w:color w:val="auto"/>
              </w:rPr>
            </w:pPr>
            <w:r>
              <w:rPr>
                <w:rFonts w:hint="eastAsia"/>
                <w:color w:val="auto"/>
              </w:rPr>
              <w:t>监测日期</w:t>
            </w:r>
          </w:p>
        </w:tc>
        <w:tc>
          <w:tcPr>
            <w:tcW w:w="1510" w:type="dxa"/>
            <w:vAlign w:val="center"/>
          </w:tcPr>
          <w:p w14:paraId="58A7B476">
            <w:pPr>
              <w:pStyle w:val="33"/>
              <w:rPr>
                <w:color w:val="auto"/>
              </w:rPr>
            </w:pPr>
            <w:r>
              <w:rPr>
                <w:rFonts w:hint="eastAsia"/>
                <w:color w:val="auto"/>
              </w:rPr>
              <w:t>监测时段</w:t>
            </w:r>
          </w:p>
        </w:tc>
        <w:tc>
          <w:tcPr>
            <w:tcW w:w="1510" w:type="dxa"/>
            <w:vAlign w:val="center"/>
          </w:tcPr>
          <w:p w14:paraId="34C2FE64">
            <w:pPr>
              <w:pStyle w:val="33"/>
              <w:rPr>
                <w:color w:val="auto"/>
              </w:rPr>
            </w:pPr>
            <w:r>
              <w:rPr>
                <w:rFonts w:hint="eastAsia"/>
                <w:color w:val="auto"/>
              </w:rPr>
              <w:t>监测值</w:t>
            </w:r>
          </w:p>
        </w:tc>
        <w:tc>
          <w:tcPr>
            <w:tcW w:w="1510" w:type="dxa"/>
            <w:vAlign w:val="center"/>
          </w:tcPr>
          <w:p w14:paraId="37A60EE8">
            <w:pPr>
              <w:pStyle w:val="33"/>
              <w:rPr>
                <w:color w:val="auto"/>
              </w:rPr>
            </w:pPr>
            <w:r>
              <w:rPr>
                <w:rFonts w:hint="eastAsia"/>
                <w:color w:val="auto"/>
              </w:rPr>
              <w:t>标准值</w:t>
            </w:r>
          </w:p>
        </w:tc>
        <w:tc>
          <w:tcPr>
            <w:tcW w:w="1510" w:type="dxa"/>
            <w:vAlign w:val="center"/>
          </w:tcPr>
          <w:p w14:paraId="7896A62E">
            <w:pPr>
              <w:pStyle w:val="33"/>
              <w:rPr>
                <w:color w:val="auto"/>
              </w:rPr>
            </w:pPr>
            <w:r>
              <w:rPr>
                <w:rFonts w:hint="eastAsia"/>
                <w:color w:val="auto"/>
              </w:rPr>
              <w:t>是否达标</w:t>
            </w:r>
          </w:p>
        </w:tc>
      </w:tr>
      <w:tr w14:paraId="1C608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261AEC8D">
            <w:pPr>
              <w:pStyle w:val="33"/>
              <w:rPr>
                <w:color w:val="auto"/>
              </w:rPr>
            </w:pPr>
            <w:r>
              <w:rPr>
                <w:rFonts w:hint="eastAsia"/>
                <w:color w:val="auto"/>
              </w:rPr>
              <w:t>N</w:t>
            </w:r>
            <w:r>
              <w:rPr>
                <w:color w:val="auto"/>
              </w:rPr>
              <w:t>1</w:t>
            </w:r>
          </w:p>
        </w:tc>
        <w:tc>
          <w:tcPr>
            <w:tcW w:w="1510" w:type="dxa"/>
            <w:vMerge w:val="restart"/>
            <w:vAlign w:val="center"/>
          </w:tcPr>
          <w:p w14:paraId="71F1B27D">
            <w:pPr>
              <w:pStyle w:val="33"/>
              <w:rPr>
                <w:color w:val="auto"/>
              </w:rPr>
            </w:pPr>
            <w:r>
              <w:rPr>
                <w:rFonts w:hint="eastAsia"/>
                <w:color w:val="auto"/>
              </w:rPr>
              <w:t>10月15日</w:t>
            </w:r>
          </w:p>
        </w:tc>
        <w:tc>
          <w:tcPr>
            <w:tcW w:w="1510" w:type="dxa"/>
            <w:vAlign w:val="center"/>
          </w:tcPr>
          <w:p w14:paraId="60595A5F">
            <w:pPr>
              <w:pStyle w:val="33"/>
              <w:rPr>
                <w:color w:val="auto"/>
              </w:rPr>
            </w:pPr>
            <w:r>
              <w:rPr>
                <w:rFonts w:hint="eastAsia"/>
                <w:color w:val="auto"/>
              </w:rPr>
              <w:t>昼间</w:t>
            </w:r>
          </w:p>
        </w:tc>
        <w:tc>
          <w:tcPr>
            <w:tcW w:w="1510" w:type="dxa"/>
            <w:vAlign w:val="center"/>
          </w:tcPr>
          <w:p w14:paraId="5EECDD2E">
            <w:pPr>
              <w:pStyle w:val="33"/>
              <w:rPr>
                <w:color w:val="auto"/>
              </w:rPr>
            </w:pPr>
          </w:p>
        </w:tc>
        <w:tc>
          <w:tcPr>
            <w:tcW w:w="1510" w:type="dxa"/>
            <w:vAlign w:val="center"/>
          </w:tcPr>
          <w:p w14:paraId="3FEE126A">
            <w:pPr>
              <w:pStyle w:val="33"/>
              <w:rPr>
                <w:color w:val="auto"/>
              </w:rPr>
            </w:pPr>
            <w:r>
              <w:rPr>
                <w:rFonts w:hint="eastAsia"/>
                <w:color w:val="auto"/>
              </w:rPr>
              <w:t>65</w:t>
            </w:r>
          </w:p>
        </w:tc>
        <w:tc>
          <w:tcPr>
            <w:tcW w:w="1510" w:type="dxa"/>
            <w:vAlign w:val="center"/>
          </w:tcPr>
          <w:p w14:paraId="2B454B25">
            <w:pPr>
              <w:pStyle w:val="33"/>
              <w:rPr>
                <w:color w:val="auto"/>
              </w:rPr>
            </w:pPr>
            <w:r>
              <w:rPr>
                <w:rFonts w:hint="eastAsia"/>
                <w:color w:val="auto"/>
              </w:rPr>
              <w:t>达标</w:t>
            </w:r>
          </w:p>
        </w:tc>
      </w:tr>
      <w:tr w14:paraId="6B21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F29F6C1">
            <w:pPr>
              <w:pStyle w:val="33"/>
              <w:rPr>
                <w:color w:val="auto"/>
              </w:rPr>
            </w:pPr>
          </w:p>
        </w:tc>
        <w:tc>
          <w:tcPr>
            <w:tcW w:w="1510" w:type="dxa"/>
            <w:vMerge w:val="continue"/>
            <w:vAlign w:val="center"/>
          </w:tcPr>
          <w:p w14:paraId="47EC3051">
            <w:pPr>
              <w:pStyle w:val="33"/>
              <w:rPr>
                <w:color w:val="auto"/>
              </w:rPr>
            </w:pPr>
          </w:p>
        </w:tc>
        <w:tc>
          <w:tcPr>
            <w:tcW w:w="1510" w:type="dxa"/>
            <w:vAlign w:val="center"/>
          </w:tcPr>
          <w:p w14:paraId="4B0663F9">
            <w:pPr>
              <w:pStyle w:val="33"/>
              <w:rPr>
                <w:color w:val="auto"/>
              </w:rPr>
            </w:pPr>
            <w:r>
              <w:rPr>
                <w:rFonts w:hint="eastAsia"/>
                <w:color w:val="auto"/>
              </w:rPr>
              <w:t>夜间</w:t>
            </w:r>
          </w:p>
        </w:tc>
        <w:tc>
          <w:tcPr>
            <w:tcW w:w="1510" w:type="dxa"/>
            <w:vAlign w:val="center"/>
          </w:tcPr>
          <w:p w14:paraId="4F362B69">
            <w:pPr>
              <w:pStyle w:val="33"/>
              <w:rPr>
                <w:color w:val="auto"/>
              </w:rPr>
            </w:pPr>
          </w:p>
        </w:tc>
        <w:tc>
          <w:tcPr>
            <w:tcW w:w="1510" w:type="dxa"/>
            <w:vAlign w:val="center"/>
          </w:tcPr>
          <w:p w14:paraId="6C2C40D2">
            <w:pPr>
              <w:pStyle w:val="33"/>
              <w:rPr>
                <w:color w:val="auto"/>
              </w:rPr>
            </w:pPr>
            <w:r>
              <w:rPr>
                <w:rFonts w:hint="eastAsia"/>
                <w:color w:val="auto"/>
              </w:rPr>
              <w:t>55</w:t>
            </w:r>
          </w:p>
        </w:tc>
        <w:tc>
          <w:tcPr>
            <w:tcW w:w="1510" w:type="dxa"/>
            <w:vAlign w:val="center"/>
          </w:tcPr>
          <w:p w14:paraId="78BFA4C8">
            <w:pPr>
              <w:pStyle w:val="33"/>
              <w:rPr>
                <w:color w:val="auto"/>
              </w:rPr>
            </w:pPr>
            <w:r>
              <w:rPr>
                <w:rFonts w:hint="eastAsia"/>
                <w:color w:val="auto"/>
              </w:rPr>
              <w:t>达标</w:t>
            </w:r>
          </w:p>
        </w:tc>
      </w:tr>
      <w:tr w14:paraId="7E61B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013CA4A3">
            <w:pPr>
              <w:pStyle w:val="33"/>
              <w:rPr>
                <w:color w:val="auto"/>
              </w:rPr>
            </w:pPr>
          </w:p>
        </w:tc>
        <w:tc>
          <w:tcPr>
            <w:tcW w:w="1510" w:type="dxa"/>
            <w:vMerge w:val="restart"/>
            <w:vAlign w:val="center"/>
          </w:tcPr>
          <w:p w14:paraId="0E84C0AF">
            <w:pPr>
              <w:pStyle w:val="33"/>
              <w:rPr>
                <w:color w:val="auto"/>
              </w:rPr>
            </w:pPr>
            <w:r>
              <w:rPr>
                <w:rFonts w:hint="eastAsia"/>
                <w:color w:val="auto"/>
              </w:rPr>
              <w:t>10月16日</w:t>
            </w:r>
          </w:p>
        </w:tc>
        <w:tc>
          <w:tcPr>
            <w:tcW w:w="1510" w:type="dxa"/>
            <w:vAlign w:val="center"/>
          </w:tcPr>
          <w:p w14:paraId="15E0A749">
            <w:pPr>
              <w:pStyle w:val="33"/>
              <w:rPr>
                <w:color w:val="auto"/>
              </w:rPr>
            </w:pPr>
            <w:r>
              <w:rPr>
                <w:rFonts w:hint="eastAsia"/>
                <w:color w:val="auto"/>
              </w:rPr>
              <w:t>昼间</w:t>
            </w:r>
          </w:p>
        </w:tc>
        <w:tc>
          <w:tcPr>
            <w:tcW w:w="1510" w:type="dxa"/>
            <w:vAlign w:val="center"/>
          </w:tcPr>
          <w:p w14:paraId="667E52DA">
            <w:pPr>
              <w:pStyle w:val="33"/>
              <w:rPr>
                <w:color w:val="auto"/>
              </w:rPr>
            </w:pPr>
          </w:p>
        </w:tc>
        <w:tc>
          <w:tcPr>
            <w:tcW w:w="1510" w:type="dxa"/>
            <w:vAlign w:val="center"/>
          </w:tcPr>
          <w:p w14:paraId="173D67A7">
            <w:pPr>
              <w:pStyle w:val="33"/>
              <w:rPr>
                <w:color w:val="auto"/>
              </w:rPr>
            </w:pPr>
            <w:r>
              <w:rPr>
                <w:rFonts w:hint="eastAsia"/>
                <w:color w:val="auto"/>
              </w:rPr>
              <w:t>65</w:t>
            </w:r>
          </w:p>
        </w:tc>
        <w:tc>
          <w:tcPr>
            <w:tcW w:w="1510" w:type="dxa"/>
            <w:vAlign w:val="center"/>
          </w:tcPr>
          <w:p w14:paraId="29BE236C">
            <w:pPr>
              <w:pStyle w:val="33"/>
              <w:rPr>
                <w:color w:val="auto"/>
              </w:rPr>
            </w:pPr>
            <w:r>
              <w:rPr>
                <w:rFonts w:hint="eastAsia"/>
                <w:color w:val="auto"/>
              </w:rPr>
              <w:t>达标</w:t>
            </w:r>
          </w:p>
        </w:tc>
      </w:tr>
      <w:tr w14:paraId="63483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04D38471">
            <w:pPr>
              <w:pStyle w:val="33"/>
              <w:rPr>
                <w:color w:val="auto"/>
              </w:rPr>
            </w:pPr>
          </w:p>
        </w:tc>
        <w:tc>
          <w:tcPr>
            <w:tcW w:w="1510" w:type="dxa"/>
            <w:vMerge w:val="continue"/>
            <w:vAlign w:val="center"/>
          </w:tcPr>
          <w:p w14:paraId="418CA8CF">
            <w:pPr>
              <w:pStyle w:val="33"/>
              <w:rPr>
                <w:color w:val="auto"/>
              </w:rPr>
            </w:pPr>
          </w:p>
        </w:tc>
        <w:tc>
          <w:tcPr>
            <w:tcW w:w="1510" w:type="dxa"/>
            <w:vAlign w:val="center"/>
          </w:tcPr>
          <w:p w14:paraId="4C34EB29">
            <w:pPr>
              <w:pStyle w:val="33"/>
              <w:rPr>
                <w:color w:val="auto"/>
              </w:rPr>
            </w:pPr>
            <w:r>
              <w:rPr>
                <w:rFonts w:hint="eastAsia"/>
                <w:color w:val="auto"/>
              </w:rPr>
              <w:t>夜间</w:t>
            </w:r>
          </w:p>
        </w:tc>
        <w:tc>
          <w:tcPr>
            <w:tcW w:w="1510" w:type="dxa"/>
            <w:vAlign w:val="center"/>
          </w:tcPr>
          <w:p w14:paraId="252E5532">
            <w:pPr>
              <w:pStyle w:val="33"/>
              <w:rPr>
                <w:color w:val="auto"/>
              </w:rPr>
            </w:pPr>
          </w:p>
        </w:tc>
        <w:tc>
          <w:tcPr>
            <w:tcW w:w="1510" w:type="dxa"/>
            <w:vAlign w:val="center"/>
          </w:tcPr>
          <w:p w14:paraId="7D8715B5">
            <w:pPr>
              <w:pStyle w:val="33"/>
              <w:rPr>
                <w:color w:val="auto"/>
              </w:rPr>
            </w:pPr>
            <w:r>
              <w:rPr>
                <w:rFonts w:hint="eastAsia"/>
                <w:color w:val="auto"/>
              </w:rPr>
              <w:t>55</w:t>
            </w:r>
          </w:p>
        </w:tc>
        <w:tc>
          <w:tcPr>
            <w:tcW w:w="1510" w:type="dxa"/>
            <w:vAlign w:val="center"/>
          </w:tcPr>
          <w:p w14:paraId="4258C9F3">
            <w:pPr>
              <w:pStyle w:val="33"/>
              <w:rPr>
                <w:color w:val="auto"/>
              </w:rPr>
            </w:pPr>
            <w:r>
              <w:rPr>
                <w:rFonts w:hint="eastAsia"/>
                <w:color w:val="auto"/>
              </w:rPr>
              <w:t>达标</w:t>
            </w:r>
          </w:p>
        </w:tc>
      </w:tr>
      <w:tr w14:paraId="01733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64C870FC">
            <w:pPr>
              <w:pStyle w:val="33"/>
              <w:rPr>
                <w:color w:val="auto"/>
              </w:rPr>
            </w:pPr>
            <w:r>
              <w:rPr>
                <w:rFonts w:hint="eastAsia"/>
                <w:color w:val="auto"/>
              </w:rPr>
              <w:t>N</w:t>
            </w:r>
            <w:r>
              <w:rPr>
                <w:color w:val="auto"/>
              </w:rPr>
              <w:t>2</w:t>
            </w:r>
          </w:p>
        </w:tc>
        <w:tc>
          <w:tcPr>
            <w:tcW w:w="1510" w:type="dxa"/>
            <w:vMerge w:val="restart"/>
            <w:vAlign w:val="center"/>
          </w:tcPr>
          <w:p w14:paraId="78A36A9B">
            <w:pPr>
              <w:pStyle w:val="33"/>
              <w:rPr>
                <w:color w:val="auto"/>
              </w:rPr>
            </w:pPr>
            <w:r>
              <w:rPr>
                <w:rFonts w:hint="eastAsia"/>
                <w:color w:val="auto"/>
              </w:rPr>
              <w:t>10月15日</w:t>
            </w:r>
          </w:p>
        </w:tc>
        <w:tc>
          <w:tcPr>
            <w:tcW w:w="1510" w:type="dxa"/>
            <w:vAlign w:val="center"/>
          </w:tcPr>
          <w:p w14:paraId="303DAE33">
            <w:pPr>
              <w:pStyle w:val="33"/>
              <w:rPr>
                <w:color w:val="auto"/>
              </w:rPr>
            </w:pPr>
            <w:r>
              <w:rPr>
                <w:rFonts w:hint="eastAsia"/>
                <w:color w:val="auto"/>
              </w:rPr>
              <w:t>昼间</w:t>
            </w:r>
          </w:p>
        </w:tc>
        <w:tc>
          <w:tcPr>
            <w:tcW w:w="1510" w:type="dxa"/>
            <w:vAlign w:val="center"/>
          </w:tcPr>
          <w:p w14:paraId="4950B7F6">
            <w:pPr>
              <w:pStyle w:val="33"/>
              <w:rPr>
                <w:color w:val="auto"/>
              </w:rPr>
            </w:pPr>
          </w:p>
        </w:tc>
        <w:tc>
          <w:tcPr>
            <w:tcW w:w="1510" w:type="dxa"/>
          </w:tcPr>
          <w:p w14:paraId="38AE459D">
            <w:pPr>
              <w:pStyle w:val="33"/>
              <w:rPr>
                <w:color w:val="auto"/>
              </w:rPr>
            </w:pPr>
            <w:r>
              <w:rPr>
                <w:rFonts w:hint="eastAsia"/>
                <w:color w:val="auto"/>
              </w:rPr>
              <w:t>70</w:t>
            </w:r>
          </w:p>
        </w:tc>
        <w:tc>
          <w:tcPr>
            <w:tcW w:w="1510" w:type="dxa"/>
            <w:vAlign w:val="center"/>
          </w:tcPr>
          <w:p w14:paraId="10B16B6F">
            <w:pPr>
              <w:pStyle w:val="33"/>
              <w:rPr>
                <w:color w:val="auto"/>
              </w:rPr>
            </w:pPr>
            <w:r>
              <w:rPr>
                <w:rFonts w:hint="eastAsia"/>
                <w:color w:val="auto"/>
              </w:rPr>
              <w:t>达标</w:t>
            </w:r>
          </w:p>
        </w:tc>
      </w:tr>
      <w:tr w14:paraId="2383E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CB1C327">
            <w:pPr>
              <w:pStyle w:val="33"/>
              <w:rPr>
                <w:color w:val="auto"/>
              </w:rPr>
            </w:pPr>
          </w:p>
        </w:tc>
        <w:tc>
          <w:tcPr>
            <w:tcW w:w="1510" w:type="dxa"/>
            <w:vMerge w:val="continue"/>
            <w:vAlign w:val="center"/>
          </w:tcPr>
          <w:p w14:paraId="0A98838B">
            <w:pPr>
              <w:pStyle w:val="33"/>
              <w:rPr>
                <w:color w:val="auto"/>
              </w:rPr>
            </w:pPr>
          </w:p>
        </w:tc>
        <w:tc>
          <w:tcPr>
            <w:tcW w:w="1510" w:type="dxa"/>
            <w:vAlign w:val="center"/>
          </w:tcPr>
          <w:p w14:paraId="17FB184E">
            <w:pPr>
              <w:pStyle w:val="33"/>
              <w:rPr>
                <w:color w:val="auto"/>
              </w:rPr>
            </w:pPr>
            <w:r>
              <w:rPr>
                <w:rFonts w:hint="eastAsia"/>
                <w:color w:val="auto"/>
              </w:rPr>
              <w:t>夜间</w:t>
            </w:r>
          </w:p>
        </w:tc>
        <w:tc>
          <w:tcPr>
            <w:tcW w:w="1510" w:type="dxa"/>
            <w:vAlign w:val="center"/>
          </w:tcPr>
          <w:p w14:paraId="16E033A4">
            <w:pPr>
              <w:pStyle w:val="33"/>
              <w:rPr>
                <w:color w:val="auto"/>
              </w:rPr>
            </w:pPr>
          </w:p>
        </w:tc>
        <w:tc>
          <w:tcPr>
            <w:tcW w:w="1510" w:type="dxa"/>
          </w:tcPr>
          <w:p w14:paraId="3229E31C">
            <w:pPr>
              <w:pStyle w:val="33"/>
              <w:rPr>
                <w:color w:val="auto"/>
              </w:rPr>
            </w:pPr>
            <w:r>
              <w:rPr>
                <w:color w:val="auto"/>
              </w:rPr>
              <w:t>55</w:t>
            </w:r>
          </w:p>
        </w:tc>
        <w:tc>
          <w:tcPr>
            <w:tcW w:w="1510" w:type="dxa"/>
            <w:vAlign w:val="center"/>
          </w:tcPr>
          <w:p w14:paraId="0BFA7C6C">
            <w:pPr>
              <w:pStyle w:val="33"/>
              <w:rPr>
                <w:color w:val="auto"/>
              </w:rPr>
            </w:pPr>
            <w:r>
              <w:rPr>
                <w:rFonts w:hint="eastAsia"/>
                <w:color w:val="auto"/>
              </w:rPr>
              <w:t>达标</w:t>
            </w:r>
          </w:p>
        </w:tc>
      </w:tr>
      <w:tr w14:paraId="5E3DB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16473ADB">
            <w:pPr>
              <w:pStyle w:val="33"/>
              <w:rPr>
                <w:color w:val="auto"/>
              </w:rPr>
            </w:pPr>
          </w:p>
        </w:tc>
        <w:tc>
          <w:tcPr>
            <w:tcW w:w="1510" w:type="dxa"/>
            <w:vMerge w:val="restart"/>
            <w:vAlign w:val="center"/>
          </w:tcPr>
          <w:p w14:paraId="45A990D1">
            <w:pPr>
              <w:pStyle w:val="33"/>
              <w:rPr>
                <w:color w:val="auto"/>
              </w:rPr>
            </w:pPr>
            <w:r>
              <w:rPr>
                <w:rFonts w:hint="eastAsia"/>
                <w:color w:val="auto"/>
              </w:rPr>
              <w:t>10月16日</w:t>
            </w:r>
          </w:p>
        </w:tc>
        <w:tc>
          <w:tcPr>
            <w:tcW w:w="1510" w:type="dxa"/>
            <w:vAlign w:val="center"/>
          </w:tcPr>
          <w:p w14:paraId="152570AE">
            <w:pPr>
              <w:pStyle w:val="33"/>
              <w:rPr>
                <w:color w:val="auto"/>
              </w:rPr>
            </w:pPr>
            <w:r>
              <w:rPr>
                <w:rFonts w:hint="eastAsia"/>
                <w:color w:val="auto"/>
              </w:rPr>
              <w:t>昼间</w:t>
            </w:r>
          </w:p>
        </w:tc>
        <w:tc>
          <w:tcPr>
            <w:tcW w:w="1510" w:type="dxa"/>
            <w:vAlign w:val="center"/>
          </w:tcPr>
          <w:p w14:paraId="58607304">
            <w:pPr>
              <w:pStyle w:val="33"/>
              <w:rPr>
                <w:color w:val="auto"/>
              </w:rPr>
            </w:pPr>
          </w:p>
        </w:tc>
        <w:tc>
          <w:tcPr>
            <w:tcW w:w="1510" w:type="dxa"/>
          </w:tcPr>
          <w:p w14:paraId="072935F3">
            <w:pPr>
              <w:pStyle w:val="33"/>
              <w:rPr>
                <w:color w:val="auto"/>
              </w:rPr>
            </w:pPr>
            <w:r>
              <w:rPr>
                <w:rFonts w:hint="eastAsia"/>
                <w:color w:val="auto"/>
              </w:rPr>
              <w:t>70</w:t>
            </w:r>
          </w:p>
        </w:tc>
        <w:tc>
          <w:tcPr>
            <w:tcW w:w="1510" w:type="dxa"/>
            <w:vAlign w:val="center"/>
          </w:tcPr>
          <w:p w14:paraId="5307686B">
            <w:pPr>
              <w:pStyle w:val="33"/>
              <w:rPr>
                <w:color w:val="auto"/>
              </w:rPr>
            </w:pPr>
            <w:r>
              <w:rPr>
                <w:rFonts w:hint="eastAsia"/>
                <w:color w:val="auto"/>
              </w:rPr>
              <w:t>达标</w:t>
            </w:r>
          </w:p>
        </w:tc>
      </w:tr>
      <w:tr w14:paraId="6D9D1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000CCB4F">
            <w:pPr>
              <w:pStyle w:val="33"/>
              <w:rPr>
                <w:color w:val="auto"/>
                <w:szCs w:val="21"/>
              </w:rPr>
            </w:pPr>
          </w:p>
        </w:tc>
        <w:tc>
          <w:tcPr>
            <w:tcW w:w="1510" w:type="dxa"/>
            <w:vMerge w:val="continue"/>
            <w:vAlign w:val="center"/>
          </w:tcPr>
          <w:p w14:paraId="05E04788">
            <w:pPr>
              <w:pStyle w:val="33"/>
              <w:rPr>
                <w:color w:val="auto"/>
                <w:szCs w:val="21"/>
              </w:rPr>
            </w:pPr>
          </w:p>
        </w:tc>
        <w:tc>
          <w:tcPr>
            <w:tcW w:w="1510" w:type="dxa"/>
            <w:vAlign w:val="center"/>
          </w:tcPr>
          <w:p w14:paraId="0824D7DF">
            <w:pPr>
              <w:pStyle w:val="33"/>
              <w:rPr>
                <w:color w:val="auto"/>
                <w:szCs w:val="21"/>
              </w:rPr>
            </w:pPr>
            <w:r>
              <w:rPr>
                <w:rFonts w:hint="eastAsia"/>
                <w:color w:val="auto"/>
                <w:szCs w:val="21"/>
              </w:rPr>
              <w:t>夜间</w:t>
            </w:r>
          </w:p>
        </w:tc>
        <w:tc>
          <w:tcPr>
            <w:tcW w:w="1510" w:type="dxa"/>
            <w:vAlign w:val="center"/>
          </w:tcPr>
          <w:p w14:paraId="087A2E45">
            <w:pPr>
              <w:pStyle w:val="33"/>
              <w:rPr>
                <w:color w:val="auto"/>
                <w:szCs w:val="21"/>
              </w:rPr>
            </w:pPr>
          </w:p>
        </w:tc>
        <w:tc>
          <w:tcPr>
            <w:tcW w:w="1510" w:type="dxa"/>
          </w:tcPr>
          <w:p w14:paraId="524DCD73">
            <w:pPr>
              <w:pStyle w:val="33"/>
              <w:rPr>
                <w:color w:val="auto"/>
                <w:szCs w:val="21"/>
              </w:rPr>
            </w:pPr>
            <w:r>
              <w:rPr>
                <w:color w:val="auto"/>
              </w:rPr>
              <w:t>55</w:t>
            </w:r>
          </w:p>
        </w:tc>
        <w:tc>
          <w:tcPr>
            <w:tcW w:w="1510" w:type="dxa"/>
            <w:vAlign w:val="center"/>
          </w:tcPr>
          <w:p w14:paraId="0DCF87E5">
            <w:pPr>
              <w:pStyle w:val="33"/>
              <w:rPr>
                <w:color w:val="auto"/>
                <w:szCs w:val="21"/>
              </w:rPr>
            </w:pPr>
            <w:r>
              <w:rPr>
                <w:rFonts w:hint="eastAsia"/>
                <w:color w:val="auto"/>
                <w:szCs w:val="21"/>
              </w:rPr>
              <w:t>达标</w:t>
            </w:r>
          </w:p>
        </w:tc>
      </w:tr>
      <w:tr w14:paraId="484DD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3EC7D546">
            <w:pPr>
              <w:pStyle w:val="33"/>
              <w:rPr>
                <w:color w:val="auto"/>
                <w:szCs w:val="21"/>
              </w:rPr>
            </w:pPr>
            <w:r>
              <w:rPr>
                <w:rFonts w:hint="eastAsia"/>
                <w:color w:val="auto"/>
                <w:szCs w:val="21"/>
              </w:rPr>
              <w:t>N</w:t>
            </w:r>
            <w:r>
              <w:rPr>
                <w:color w:val="auto"/>
                <w:szCs w:val="21"/>
              </w:rPr>
              <w:t>3</w:t>
            </w:r>
          </w:p>
        </w:tc>
        <w:tc>
          <w:tcPr>
            <w:tcW w:w="1510" w:type="dxa"/>
            <w:vMerge w:val="restart"/>
            <w:vAlign w:val="center"/>
          </w:tcPr>
          <w:p w14:paraId="134DBC2B">
            <w:pPr>
              <w:pStyle w:val="33"/>
              <w:rPr>
                <w:color w:val="auto"/>
                <w:szCs w:val="21"/>
              </w:rPr>
            </w:pPr>
            <w:r>
              <w:rPr>
                <w:rFonts w:hint="eastAsia"/>
                <w:color w:val="auto"/>
                <w:szCs w:val="21"/>
              </w:rPr>
              <w:t>10月15日</w:t>
            </w:r>
          </w:p>
        </w:tc>
        <w:tc>
          <w:tcPr>
            <w:tcW w:w="1510" w:type="dxa"/>
            <w:vAlign w:val="center"/>
          </w:tcPr>
          <w:p w14:paraId="28387A04">
            <w:pPr>
              <w:pStyle w:val="33"/>
              <w:rPr>
                <w:color w:val="auto"/>
                <w:szCs w:val="21"/>
              </w:rPr>
            </w:pPr>
            <w:r>
              <w:rPr>
                <w:rFonts w:hint="eastAsia"/>
                <w:color w:val="auto"/>
                <w:szCs w:val="21"/>
              </w:rPr>
              <w:t>昼间</w:t>
            </w:r>
          </w:p>
        </w:tc>
        <w:tc>
          <w:tcPr>
            <w:tcW w:w="1510" w:type="dxa"/>
            <w:vAlign w:val="center"/>
          </w:tcPr>
          <w:p w14:paraId="19ADAE5E">
            <w:pPr>
              <w:pStyle w:val="33"/>
              <w:rPr>
                <w:color w:val="auto"/>
                <w:szCs w:val="21"/>
              </w:rPr>
            </w:pPr>
          </w:p>
        </w:tc>
        <w:tc>
          <w:tcPr>
            <w:tcW w:w="1510" w:type="dxa"/>
            <w:vAlign w:val="center"/>
          </w:tcPr>
          <w:p w14:paraId="3707077E">
            <w:pPr>
              <w:pStyle w:val="33"/>
              <w:rPr>
                <w:color w:val="auto"/>
                <w:szCs w:val="21"/>
              </w:rPr>
            </w:pPr>
            <w:r>
              <w:rPr>
                <w:rFonts w:hint="eastAsia"/>
                <w:color w:val="auto"/>
                <w:szCs w:val="21"/>
              </w:rPr>
              <w:t>65</w:t>
            </w:r>
          </w:p>
        </w:tc>
        <w:tc>
          <w:tcPr>
            <w:tcW w:w="1510" w:type="dxa"/>
            <w:vAlign w:val="center"/>
          </w:tcPr>
          <w:p w14:paraId="23B74138">
            <w:pPr>
              <w:pStyle w:val="33"/>
              <w:rPr>
                <w:color w:val="auto"/>
                <w:szCs w:val="21"/>
              </w:rPr>
            </w:pPr>
            <w:r>
              <w:rPr>
                <w:rFonts w:hint="eastAsia"/>
                <w:color w:val="auto"/>
                <w:szCs w:val="21"/>
              </w:rPr>
              <w:t>达标</w:t>
            </w:r>
          </w:p>
        </w:tc>
      </w:tr>
      <w:tr w14:paraId="40C92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6C321F03">
            <w:pPr>
              <w:pStyle w:val="33"/>
              <w:rPr>
                <w:color w:val="auto"/>
                <w:szCs w:val="21"/>
              </w:rPr>
            </w:pPr>
          </w:p>
        </w:tc>
        <w:tc>
          <w:tcPr>
            <w:tcW w:w="1510" w:type="dxa"/>
            <w:vMerge w:val="continue"/>
            <w:vAlign w:val="center"/>
          </w:tcPr>
          <w:p w14:paraId="59DCB611">
            <w:pPr>
              <w:pStyle w:val="33"/>
              <w:rPr>
                <w:color w:val="auto"/>
                <w:szCs w:val="21"/>
              </w:rPr>
            </w:pPr>
          </w:p>
        </w:tc>
        <w:tc>
          <w:tcPr>
            <w:tcW w:w="1510" w:type="dxa"/>
            <w:vAlign w:val="center"/>
          </w:tcPr>
          <w:p w14:paraId="03418D4F">
            <w:pPr>
              <w:pStyle w:val="33"/>
              <w:rPr>
                <w:color w:val="auto"/>
                <w:szCs w:val="21"/>
              </w:rPr>
            </w:pPr>
            <w:r>
              <w:rPr>
                <w:rFonts w:hint="eastAsia"/>
                <w:color w:val="auto"/>
                <w:szCs w:val="21"/>
              </w:rPr>
              <w:t>夜间</w:t>
            </w:r>
          </w:p>
        </w:tc>
        <w:tc>
          <w:tcPr>
            <w:tcW w:w="1510" w:type="dxa"/>
            <w:vAlign w:val="center"/>
          </w:tcPr>
          <w:p w14:paraId="04D6CF18">
            <w:pPr>
              <w:pStyle w:val="33"/>
              <w:rPr>
                <w:color w:val="auto"/>
                <w:szCs w:val="21"/>
              </w:rPr>
            </w:pPr>
          </w:p>
        </w:tc>
        <w:tc>
          <w:tcPr>
            <w:tcW w:w="1510" w:type="dxa"/>
            <w:vAlign w:val="center"/>
          </w:tcPr>
          <w:p w14:paraId="3FD37276">
            <w:pPr>
              <w:pStyle w:val="33"/>
              <w:rPr>
                <w:color w:val="auto"/>
                <w:szCs w:val="21"/>
              </w:rPr>
            </w:pPr>
            <w:r>
              <w:rPr>
                <w:rFonts w:hint="eastAsia"/>
                <w:color w:val="auto"/>
                <w:szCs w:val="21"/>
              </w:rPr>
              <w:t>55</w:t>
            </w:r>
          </w:p>
        </w:tc>
        <w:tc>
          <w:tcPr>
            <w:tcW w:w="1510" w:type="dxa"/>
            <w:vAlign w:val="center"/>
          </w:tcPr>
          <w:p w14:paraId="2DDADFD1">
            <w:pPr>
              <w:pStyle w:val="33"/>
              <w:rPr>
                <w:color w:val="auto"/>
                <w:szCs w:val="21"/>
              </w:rPr>
            </w:pPr>
            <w:r>
              <w:rPr>
                <w:rFonts w:hint="eastAsia"/>
                <w:color w:val="auto"/>
                <w:szCs w:val="21"/>
              </w:rPr>
              <w:t>达标</w:t>
            </w:r>
          </w:p>
        </w:tc>
      </w:tr>
      <w:tr w14:paraId="1F5F2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7EDDA059">
            <w:pPr>
              <w:pStyle w:val="33"/>
              <w:rPr>
                <w:color w:val="auto"/>
                <w:szCs w:val="21"/>
              </w:rPr>
            </w:pPr>
          </w:p>
        </w:tc>
        <w:tc>
          <w:tcPr>
            <w:tcW w:w="1510" w:type="dxa"/>
            <w:vMerge w:val="restart"/>
            <w:vAlign w:val="center"/>
          </w:tcPr>
          <w:p w14:paraId="175D7C4E">
            <w:pPr>
              <w:pStyle w:val="33"/>
              <w:rPr>
                <w:color w:val="auto"/>
                <w:szCs w:val="21"/>
              </w:rPr>
            </w:pPr>
            <w:r>
              <w:rPr>
                <w:rFonts w:hint="eastAsia"/>
                <w:color w:val="auto"/>
                <w:szCs w:val="21"/>
              </w:rPr>
              <w:t>10月16日</w:t>
            </w:r>
          </w:p>
        </w:tc>
        <w:tc>
          <w:tcPr>
            <w:tcW w:w="1510" w:type="dxa"/>
            <w:vAlign w:val="center"/>
          </w:tcPr>
          <w:p w14:paraId="78768D7B">
            <w:pPr>
              <w:pStyle w:val="33"/>
              <w:rPr>
                <w:color w:val="auto"/>
                <w:szCs w:val="21"/>
              </w:rPr>
            </w:pPr>
            <w:r>
              <w:rPr>
                <w:rFonts w:hint="eastAsia"/>
                <w:color w:val="auto"/>
                <w:szCs w:val="21"/>
              </w:rPr>
              <w:t>昼间</w:t>
            </w:r>
          </w:p>
        </w:tc>
        <w:tc>
          <w:tcPr>
            <w:tcW w:w="1510" w:type="dxa"/>
            <w:vAlign w:val="center"/>
          </w:tcPr>
          <w:p w14:paraId="771E9D05">
            <w:pPr>
              <w:pStyle w:val="33"/>
              <w:rPr>
                <w:color w:val="auto"/>
                <w:szCs w:val="21"/>
              </w:rPr>
            </w:pPr>
          </w:p>
        </w:tc>
        <w:tc>
          <w:tcPr>
            <w:tcW w:w="1510" w:type="dxa"/>
            <w:vAlign w:val="center"/>
          </w:tcPr>
          <w:p w14:paraId="6C7AB409">
            <w:pPr>
              <w:pStyle w:val="33"/>
              <w:rPr>
                <w:color w:val="auto"/>
                <w:szCs w:val="21"/>
              </w:rPr>
            </w:pPr>
            <w:r>
              <w:rPr>
                <w:rFonts w:hint="eastAsia"/>
                <w:color w:val="auto"/>
                <w:szCs w:val="21"/>
              </w:rPr>
              <w:t>65</w:t>
            </w:r>
          </w:p>
        </w:tc>
        <w:tc>
          <w:tcPr>
            <w:tcW w:w="1510" w:type="dxa"/>
            <w:vAlign w:val="center"/>
          </w:tcPr>
          <w:p w14:paraId="3A59BAC6">
            <w:pPr>
              <w:pStyle w:val="33"/>
              <w:rPr>
                <w:color w:val="auto"/>
                <w:szCs w:val="21"/>
              </w:rPr>
            </w:pPr>
            <w:r>
              <w:rPr>
                <w:rFonts w:hint="eastAsia"/>
                <w:color w:val="auto"/>
                <w:szCs w:val="21"/>
              </w:rPr>
              <w:t>达标</w:t>
            </w:r>
          </w:p>
        </w:tc>
      </w:tr>
      <w:tr w14:paraId="3C696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1F8FA1B0">
            <w:pPr>
              <w:pStyle w:val="33"/>
              <w:rPr>
                <w:color w:val="auto"/>
                <w:szCs w:val="21"/>
              </w:rPr>
            </w:pPr>
          </w:p>
        </w:tc>
        <w:tc>
          <w:tcPr>
            <w:tcW w:w="1510" w:type="dxa"/>
            <w:vMerge w:val="continue"/>
            <w:vAlign w:val="center"/>
          </w:tcPr>
          <w:p w14:paraId="643A998D">
            <w:pPr>
              <w:pStyle w:val="33"/>
              <w:rPr>
                <w:color w:val="auto"/>
                <w:szCs w:val="21"/>
              </w:rPr>
            </w:pPr>
          </w:p>
        </w:tc>
        <w:tc>
          <w:tcPr>
            <w:tcW w:w="1510" w:type="dxa"/>
            <w:vAlign w:val="center"/>
          </w:tcPr>
          <w:p w14:paraId="3721B467">
            <w:pPr>
              <w:pStyle w:val="33"/>
              <w:rPr>
                <w:color w:val="auto"/>
                <w:szCs w:val="21"/>
              </w:rPr>
            </w:pPr>
            <w:r>
              <w:rPr>
                <w:rFonts w:hint="eastAsia"/>
                <w:color w:val="auto"/>
                <w:szCs w:val="21"/>
              </w:rPr>
              <w:t>夜间</w:t>
            </w:r>
          </w:p>
        </w:tc>
        <w:tc>
          <w:tcPr>
            <w:tcW w:w="1510" w:type="dxa"/>
            <w:vAlign w:val="center"/>
          </w:tcPr>
          <w:p w14:paraId="2312A8C3">
            <w:pPr>
              <w:pStyle w:val="33"/>
              <w:rPr>
                <w:color w:val="auto"/>
                <w:szCs w:val="21"/>
              </w:rPr>
            </w:pPr>
          </w:p>
        </w:tc>
        <w:tc>
          <w:tcPr>
            <w:tcW w:w="1510" w:type="dxa"/>
            <w:vAlign w:val="center"/>
          </w:tcPr>
          <w:p w14:paraId="1DE11669">
            <w:pPr>
              <w:pStyle w:val="33"/>
              <w:rPr>
                <w:color w:val="auto"/>
                <w:szCs w:val="21"/>
              </w:rPr>
            </w:pPr>
            <w:r>
              <w:rPr>
                <w:rFonts w:hint="eastAsia"/>
                <w:color w:val="auto"/>
                <w:szCs w:val="21"/>
              </w:rPr>
              <w:t>55</w:t>
            </w:r>
          </w:p>
        </w:tc>
        <w:tc>
          <w:tcPr>
            <w:tcW w:w="1510" w:type="dxa"/>
            <w:vAlign w:val="center"/>
          </w:tcPr>
          <w:p w14:paraId="5F257E41">
            <w:pPr>
              <w:pStyle w:val="33"/>
              <w:rPr>
                <w:color w:val="auto"/>
                <w:szCs w:val="21"/>
              </w:rPr>
            </w:pPr>
            <w:r>
              <w:rPr>
                <w:rFonts w:hint="eastAsia"/>
                <w:color w:val="auto"/>
                <w:szCs w:val="21"/>
              </w:rPr>
              <w:t>达标</w:t>
            </w:r>
          </w:p>
        </w:tc>
      </w:tr>
      <w:tr w14:paraId="56E92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31D6D571">
            <w:pPr>
              <w:pStyle w:val="33"/>
              <w:rPr>
                <w:color w:val="auto"/>
                <w:szCs w:val="21"/>
              </w:rPr>
            </w:pPr>
            <w:r>
              <w:rPr>
                <w:rFonts w:hint="eastAsia"/>
                <w:color w:val="auto"/>
                <w:szCs w:val="21"/>
              </w:rPr>
              <w:t>N</w:t>
            </w:r>
            <w:r>
              <w:rPr>
                <w:color w:val="auto"/>
                <w:szCs w:val="21"/>
              </w:rPr>
              <w:t>4</w:t>
            </w:r>
          </w:p>
        </w:tc>
        <w:tc>
          <w:tcPr>
            <w:tcW w:w="1510" w:type="dxa"/>
            <w:vMerge w:val="restart"/>
            <w:vAlign w:val="center"/>
          </w:tcPr>
          <w:p w14:paraId="19C724B9">
            <w:pPr>
              <w:pStyle w:val="33"/>
              <w:rPr>
                <w:color w:val="auto"/>
                <w:szCs w:val="21"/>
              </w:rPr>
            </w:pPr>
            <w:r>
              <w:rPr>
                <w:rFonts w:hint="eastAsia"/>
                <w:color w:val="auto"/>
                <w:szCs w:val="21"/>
              </w:rPr>
              <w:t>10月15日</w:t>
            </w:r>
          </w:p>
        </w:tc>
        <w:tc>
          <w:tcPr>
            <w:tcW w:w="1510" w:type="dxa"/>
            <w:vAlign w:val="center"/>
          </w:tcPr>
          <w:p w14:paraId="07D88A6D">
            <w:pPr>
              <w:pStyle w:val="33"/>
              <w:rPr>
                <w:color w:val="auto"/>
                <w:szCs w:val="21"/>
              </w:rPr>
            </w:pPr>
            <w:r>
              <w:rPr>
                <w:rFonts w:hint="eastAsia"/>
                <w:color w:val="auto"/>
                <w:szCs w:val="21"/>
              </w:rPr>
              <w:t>昼间</w:t>
            </w:r>
          </w:p>
        </w:tc>
        <w:tc>
          <w:tcPr>
            <w:tcW w:w="1510" w:type="dxa"/>
            <w:vAlign w:val="center"/>
          </w:tcPr>
          <w:p w14:paraId="19433A70">
            <w:pPr>
              <w:pStyle w:val="33"/>
              <w:rPr>
                <w:color w:val="auto"/>
                <w:szCs w:val="21"/>
              </w:rPr>
            </w:pPr>
          </w:p>
        </w:tc>
        <w:tc>
          <w:tcPr>
            <w:tcW w:w="1510" w:type="dxa"/>
            <w:vAlign w:val="center"/>
          </w:tcPr>
          <w:p w14:paraId="43258F10">
            <w:pPr>
              <w:pStyle w:val="33"/>
              <w:rPr>
                <w:color w:val="auto"/>
                <w:szCs w:val="21"/>
              </w:rPr>
            </w:pPr>
            <w:r>
              <w:rPr>
                <w:rFonts w:hint="eastAsia"/>
                <w:color w:val="auto"/>
                <w:szCs w:val="21"/>
              </w:rPr>
              <w:t>65</w:t>
            </w:r>
          </w:p>
        </w:tc>
        <w:tc>
          <w:tcPr>
            <w:tcW w:w="1510" w:type="dxa"/>
            <w:vAlign w:val="center"/>
          </w:tcPr>
          <w:p w14:paraId="12EE3161">
            <w:pPr>
              <w:pStyle w:val="33"/>
              <w:rPr>
                <w:color w:val="auto"/>
                <w:szCs w:val="21"/>
              </w:rPr>
            </w:pPr>
            <w:r>
              <w:rPr>
                <w:rFonts w:hint="eastAsia"/>
                <w:color w:val="auto"/>
                <w:szCs w:val="21"/>
              </w:rPr>
              <w:t>达标</w:t>
            </w:r>
          </w:p>
        </w:tc>
      </w:tr>
      <w:tr w14:paraId="07794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492B94DA">
            <w:pPr>
              <w:pStyle w:val="33"/>
              <w:rPr>
                <w:color w:val="auto"/>
                <w:szCs w:val="21"/>
              </w:rPr>
            </w:pPr>
          </w:p>
        </w:tc>
        <w:tc>
          <w:tcPr>
            <w:tcW w:w="1510" w:type="dxa"/>
            <w:vMerge w:val="continue"/>
            <w:vAlign w:val="center"/>
          </w:tcPr>
          <w:p w14:paraId="27FA5D6B">
            <w:pPr>
              <w:pStyle w:val="33"/>
              <w:rPr>
                <w:color w:val="auto"/>
                <w:szCs w:val="21"/>
              </w:rPr>
            </w:pPr>
          </w:p>
        </w:tc>
        <w:tc>
          <w:tcPr>
            <w:tcW w:w="1510" w:type="dxa"/>
            <w:vAlign w:val="center"/>
          </w:tcPr>
          <w:p w14:paraId="4ADE8CC4">
            <w:pPr>
              <w:pStyle w:val="33"/>
              <w:rPr>
                <w:color w:val="auto"/>
                <w:szCs w:val="21"/>
              </w:rPr>
            </w:pPr>
            <w:r>
              <w:rPr>
                <w:rFonts w:hint="eastAsia"/>
                <w:color w:val="auto"/>
                <w:szCs w:val="21"/>
              </w:rPr>
              <w:t>夜间</w:t>
            </w:r>
          </w:p>
        </w:tc>
        <w:tc>
          <w:tcPr>
            <w:tcW w:w="1510" w:type="dxa"/>
            <w:vAlign w:val="center"/>
          </w:tcPr>
          <w:p w14:paraId="56CB0C33">
            <w:pPr>
              <w:pStyle w:val="33"/>
              <w:rPr>
                <w:color w:val="auto"/>
                <w:szCs w:val="21"/>
              </w:rPr>
            </w:pPr>
          </w:p>
        </w:tc>
        <w:tc>
          <w:tcPr>
            <w:tcW w:w="1510" w:type="dxa"/>
            <w:vAlign w:val="center"/>
          </w:tcPr>
          <w:p w14:paraId="469FE7EE">
            <w:pPr>
              <w:pStyle w:val="33"/>
              <w:rPr>
                <w:color w:val="auto"/>
                <w:szCs w:val="21"/>
              </w:rPr>
            </w:pPr>
            <w:r>
              <w:rPr>
                <w:rFonts w:hint="eastAsia"/>
                <w:color w:val="auto"/>
                <w:szCs w:val="21"/>
              </w:rPr>
              <w:t>55</w:t>
            </w:r>
          </w:p>
        </w:tc>
        <w:tc>
          <w:tcPr>
            <w:tcW w:w="1510" w:type="dxa"/>
            <w:vAlign w:val="center"/>
          </w:tcPr>
          <w:p w14:paraId="7F916269">
            <w:pPr>
              <w:pStyle w:val="33"/>
              <w:rPr>
                <w:color w:val="auto"/>
                <w:szCs w:val="21"/>
              </w:rPr>
            </w:pPr>
            <w:r>
              <w:rPr>
                <w:rFonts w:hint="eastAsia"/>
                <w:color w:val="auto"/>
                <w:szCs w:val="21"/>
              </w:rPr>
              <w:t>达标</w:t>
            </w:r>
          </w:p>
        </w:tc>
      </w:tr>
      <w:tr w14:paraId="7AEED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5254A449">
            <w:pPr>
              <w:pStyle w:val="33"/>
              <w:rPr>
                <w:color w:val="auto"/>
                <w:szCs w:val="21"/>
              </w:rPr>
            </w:pPr>
          </w:p>
        </w:tc>
        <w:tc>
          <w:tcPr>
            <w:tcW w:w="1510" w:type="dxa"/>
            <w:vMerge w:val="restart"/>
            <w:vAlign w:val="center"/>
          </w:tcPr>
          <w:p w14:paraId="142F6CF9">
            <w:pPr>
              <w:pStyle w:val="33"/>
              <w:rPr>
                <w:color w:val="auto"/>
                <w:szCs w:val="21"/>
              </w:rPr>
            </w:pPr>
            <w:r>
              <w:rPr>
                <w:rFonts w:hint="eastAsia"/>
                <w:color w:val="auto"/>
                <w:szCs w:val="21"/>
              </w:rPr>
              <w:t>10月16日</w:t>
            </w:r>
          </w:p>
        </w:tc>
        <w:tc>
          <w:tcPr>
            <w:tcW w:w="1510" w:type="dxa"/>
            <w:vAlign w:val="center"/>
          </w:tcPr>
          <w:p w14:paraId="7A7447DF">
            <w:pPr>
              <w:pStyle w:val="33"/>
              <w:rPr>
                <w:color w:val="auto"/>
                <w:szCs w:val="21"/>
              </w:rPr>
            </w:pPr>
            <w:r>
              <w:rPr>
                <w:rFonts w:hint="eastAsia"/>
                <w:color w:val="auto"/>
                <w:szCs w:val="21"/>
              </w:rPr>
              <w:t>昼间</w:t>
            </w:r>
          </w:p>
        </w:tc>
        <w:tc>
          <w:tcPr>
            <w:tcW w:w="1510" w:type="dxa"/>
            <w:vAlign w:val="center"/>
          </w:tcPr>
          <w:p w14:paraId="59F637C9">
            <w:pPr>
              <w:pStyle w:val="33"/>
              <w:rPr>
                <w:color w:val="auto"/>
                <w:szCs w:val="21"/>
              </w:rPr>
            </w:pPr>
          </w:p>
        </w:tc>
        <w:tc>
          <w:tcPr>
            <w:tcW w:w="1510" w:type="dxa"/>
            <w:vAlign w:val="center"/>
          </w:tcPr>
          <w:p w14:paraId="55C70AEF">
            <w:pPr>
              <w:pStyle w:val="33"/>
              <w:rPr>
                <w:color w:val="auto"/>
                <w:szCs w:val="21"/>
              </w:rPr>
            </w:pPr>
            <w:r>
              <w:rPr>
                <w:rFonts w:hint="eastAsia"/>
                <w:color w:val="auto"/>
                <w:szCs w:val="21"/>
              </w:rPr>
              <w:t>65</w:t>
            </w:r>
          </w:p>
        </w:tc>
        <w:tc>
          <w:tcPr>
            <w:tcW w:w="1510" w:type="dxa"/>
            <w:vAlign w:val="center"/>
          </w:tcPr>
          <w:p w14:paraId="4FFB68C3">
            <w:pPr>
              <w:pStyle w:val="33"/>
              <w:rPr>
                <w:color w:val="auto"/>
                <w:szCs w:val="21"/>
              </w:rPr>
            </w:pPr>
            <w:r>
              <w:rPr>
                <w:rFonts w:hint="eastAsia"/>
                <w:color w:val="auto"/>
                <w:szCs w:val="21"/>
              </w:rPr>
              <w:t>达标</w:t>
            </w:r>
          </w:p>
        </w:tc>
      </w:tr>
      <w:tr w14:paraId="30F40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7B85D5A">
            <w:pPr>
              <w:pStyle w:val="33"/>
              <w:rPr>
                <w:color w:val="auto"/>
                <w:szCs w:val="21"/>
              </w:rPr>
            </w:pPr>
          </w:p>
        </w:tc>
        <w:tc>
          <w:tcPr>
            <w:tcW w:w="1510" w:type="dxa"/>
            <w:vMerge w:val="continue"/>
            <w:vAlign w:val="center"/>
          </w:tcPr>
          <w:p w14:paraId="36E206F5">
            <w:pPr>
              <w:pStyle w:val="33"/>
              <w:rPr>
                <w:color w:val="auto"/>
                <w:szCs w:val="21"/>
              </w:rPr>
            </w:pPr>
          </w:p>
        </w:tc>
        <w:tc>
          <w:tcPr>
            <w:tcW w:w="1510" w:type="dxa"/>
            <w:vAlign w:val="center"/>
          </w:tcPr>
          <w:p w14:paraId="1831C6DD">
            <w:pPr>
              <w:pStyle w:val="33"/>
              <w:rPr>
                <w:color w:val="auto"/>
                <w:szCs w:val="21"/>
              </w:rPr>
            </w:pPr>
            <w:r>
              <w:rPr>
                <w:rFonts w:hint="eastAsia"/>
                <w:color w:val="auto"/>
                <w:szCs w:val="21"/>
              </w:rPr>
              <w:t>夜间</w:t>
            </w:r>
          </w:p>
        </w:tc>
        <w:tc>
          <w:tcPr>
            <w:tcW w:w="1510" w:type="dxa"/>
            <w:vAlign w:val="center"/>
          </w:tcPr>
          <w:p w14:paraId="48A6C84D">
            <w:pPr>
              <w:pStyle w:val="33"/>
              <w:rPr>
                <w:color w:val="auto"/>
                <w:szCs w:val="21"/>
              </w:rPr>
            </w:pPr>
          </w:p>
        </w:tc>
        <w:tc>
          <w:tcPr>
            <w:tcW w:w="1510" w:type="dxa"/>
            <w:vAlign w:val="center"/>
          </w:tcPr>
          <w:p w14:paraId="415F1EC5">
            <w:pPr>
              <w:pStyle w:val="33"/>
              <w:rPr>
                <w:color w:val="auto"/>
                <w:szCs w:val="21"/>
              </w:rPr>
            </w:pPr>
            <w:r>
              <w:rPr>
                <w:rFonts w:hint="eastAsia"/>
                <w:color w:val="auto"/>
                <w:szCs w:val="21"/>
              </w:rPr>
              <w:t>55</w:t>
            </w:r>
          </w:p>
        </w:tc>
        <w:tc>
          <w:tcPr>
            <w:tcW w:w="1510" w:type="dxa"/>
            <w:vAlign w:val="center"/>
          </w:tcPr>
          <w:p w14:paraId="792C3B83">
            <w:pPr>
              <w:pStyle w:val="33"/>
              <w:rPr>
                <w:color w:val="auto"/>
                <w:szCs w:val="21"/>
              </w:rPr>
            </w:pPr>
            <w:r>
              <w:rPr>
                <w:rFonts w:hint="eastAsia"/>
                <w:color w:val="auto"/>
                <w:szCs w:val="21"/>
              </w:rPr>
              <w:t>达标</w:t>
            </w:r>
          </w:p>
        </w:tc>
      </w:tr>
      <w:tr w14:paraId="1CDD2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1D1E3A1D">
            <w:pPr>
              <w:pStyle w:val="33"/>
              <w:rPr>
                <w:color w:val="auto"/>
                <w:szCs w:val="21"/>
              </w:rPr>
            </w:pPr>
            <w:r>
              <w:rPr>
                <w:rFonts w:hint="eastAsia"/>
                <w:color w:val="auto"/>
                <w:szCs w:val="21"/>
              </w:rPr>
              <w:t>N</w:t>
            </w:r>
            <w:r>
              <w:rPr>
                <w:color w:val="auto"/>
                <w:szCs w:val="21"/>
              </w:rPr>
              <w:t>5</w:t>
            </w:r>
          </w:p>
        </w:tc>
        <w:tc>
          <w:tcPr>
            <w:tcW w:w="1510" w:type="dxa"/>
            <w:vMerge w:val="restart"/>
            <w:vAlign w:val="center"/>
          </w:tcPr>
          <w:p w14:paraId="2BA83B9C">
            <w:pPr>
              <w:pStyle w:val="33"/>
              <w:rPr>
                <w:color w:val="auto"/>
                <w:szCs w:val="21"/>
              </w:rPr>
            </w:pPr>
            <w:r>
              <w:rPr>
                <w:rFonts w:hint="eastAsia"/>
                <w:color w:val="auto"/>
                <w:szCs w:val="21"/>
              </w:rPr>
              <w:t>10月15日</w:t>
            </w:r>
          </w:p>
        </w:tc>
        <w:tc>
          <w:tcPr>
            <w:tcW w:w="1510" w:type="dxa"/>
            <w:vAlign w:val="center"/>
          </w:tcPr>
          <w:p w14:paraId="700397AD">
            <w:pPr>
              <w:pStyle w:val="33"/>
              <w:rPr>
                <w:color w:val="auto"/>
                <w:szCs w:val="21"/>
              </w:rPr>
            </w:pPr>
            <w:r>
              <w:rPr>
                <w:rFonts w:hint="eastAsia"/>
                <w:color w:val="auto"/>
                <w:szCs w:val="21"/>
              </w:rPr>
              <w:t>昼间</w:t>
            </w:r>
          </w:p>
        </w:tc>
        <w:tc>
          <w:tcPr>
            <w:tcW w:w="1510" w:type="dxa"/>
            <w:vAlign w:val="center"/>
          </w:tcPr>
          <w:p w14:paraId="54DEB70A">
            <w:pPr>
              <w:pStyle w:val="33"/>
              <w:rPr>
                <w:color w:val="auto"/>
                <w:szCs w:val="21"/>
              </w:rPr>
            </w:pPr>
          </w:p>
        </w:tc>
        <w:tc>
          <w:tcPr>
            <w:tcW w:w="1510" w:type="dxa"/>
            <w:vAlign w:val="center"/>
          </w:tcPr>
          <w:p w14:paraId="7F20E9BF">
            <w:pPr>
              <w:pStyle w:val="33"/>
              <w:rPr>
                <w:color w:val="auto"/>
                <w:szCs w:val="21"/>
              </w:rPr>
            </w:pPr>
            <w:r>
              <w:rPr>
                <w:rFonts w:hint="eastAsia"/>
                <w:color w:val="auto"/>
                <w:szCs w:val="21"/>
              </w:rPr>
              <w:t>60</w:t>
            </w:r>
          </w:p>
        </w:tc>
        <w:tc>
          <w:tcPr>
            <w:tcW w:w="1510" w:type="dxa"/>
            <w:vAlign w:val="center"/>
          </w:tcPr>
          <w:p w14:paraId="2CB452E7">
            <w:pPr>
              <w:pStyle w:val="33"/>
              <w:rPr>
                <w:color w:val="auto"/>
                <w:szCs w:val="21"/>
              </w:rPr>
            </w:pPr>
            <w:r>
              <w:rPr>
                <w:rFonts w:hint="eastAsia"/>
                <w:color w:val="auto"/>
                <w:szCs w:val="21"/>
              </w:rPr>
              <w:t>达标</w:t>
            </w:r>
          </w:p>
        </w:tc>
      </w:tr>
      <w:tr w14:paraId="14244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6C39A34A">
            <w:pPr>
              <w:pStyle w:val="33"/>
              <w:rPr>
                <w:color w:val="auto"/>
                <w:szCs w:val="21"/>
              </w:rPr>
            </w:pPr>
          </w:p>
        </w:tc>
        <w:tc>
          <w:tcPr>
            <w:tcW w:w="1510" w:type="dxa"/>
            <w:vMerge w:val="continue"/>
            <w:vAlign w:val="center"/>
          </w:tcPr>
          <w:p w14:paraId="7A3A350E">
            <w:pPr>
              <w:pStyle w:val="33"/>
              <w:rPr>
                <w:color w:val="auto"/>
                <w:szCs w:val="21"/>
              </w:rPr>
            </w:pPr>
          </w:p>
        </w:tc>
        <w:tc>
          <w:tcPr>
            <w:tcW w:w="1510" w:type="dxa"/>
            <w:vAlign w:val="center"/>
          </w:tcPr>
          <w:p w14:paraId="26125EF0">
            <w:pPr>
              <w:pStyle w:val="33"/>
              <w:rPr>
                <w:color w:val="auto"/>
                <w:szCs w:val="21"/>
              </w:rPr>
            </w:pPr>
            <w:r>
              <w:rPr>
                <w:rFonts w:hint="eastAsia"/>
                <w:color w:val="auto"/>
                <w:szCs w:val="21"/>
              </w:rPr>
              <w:t>夜间</w:t>
            </w:r>
          </w:p>
        </w:tc>
        <w:tc>
          <w:tcPr>
            <w:tcW w:w="1510" w:type="dxa"/>
            <w:vAlign w:val="center"/>
          </w:tcPr>
          <w:p w14:paraId="29D0D29D">
            <w:pPr>
              <w:pStyle w:val="33"/>
              <w:rPr>
                <w:color w:val="auto"/>
                <w:szCs w:val="21"/>
              </w:rPr>
            </w:pPr>
          </w:p>
        </w:tc>
        <w:tc>
          <w:tcPr>
            <w:tcW w:w="1510" w:type="dxa"/>
            <w:vAlign w:val="center"/>
          </w:tcPr>
          <w:p w14:paraId="4B2C9811">
            <w:pPr>
              <w:pStyle w:val="33"/>
              <w:rPr>
                <w:color w:val="auto"/>
                <w:szCs w:val="21"/>
              </w:rPr>
            </w:pPr>
            <w:r>
              <w:rPr>
                <w:rFonts w:hint="eastAsia"/>
                <w:color w:val="auto"/>
                <w:szCs w:val="21"/>
              </w:rPr>
              <w:t>50</w:t>
            </w:r>
          </w:p>
        </w:tc>
        <w:tc>
          <w:tcPr>
            <w:tcW w:w="1510" w:type="dxa"/>
            <w:vAlign w:val="center"/>
          </w:tcPr>
          <w:p w14:paraId="08D2A583">
            <w:pPr>
              <w:pStyle w:val="33"/>
              <w:rPr>
                <w:color w:val="auto"/>
                <w:szCs w:val="21"/>
              </w:rPr>
            </w:pPr>
            <w:r>
              <w:rPr>
                <w:rFonts w:hint="eastAsia"/>
                <w:color w:val="auto"/>
                <w:szCs w:val="21"/>
              </w:rPr>
              <w:t>达标</w:t>
            </w:r>
          </w:p>
        </w:tc>
      </w:tr>
      <w:tr w14:paraId="1F814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4E58EF15">
            <w:pPr>
              <w:pStyle w:val="33"/>
              <w:rPr>
                <w:color w:val="auto"/>
                <w:szCs w:val="21"/>
              </w:rPr>
            </w:pPr>
          </w:p>
        </w:tc>
        <w:tc>
          <w:tcPr>
            <w:tcW w:w="1510" w:type="dxa"/>
            <w:vMerge w:val="restart"/>
            <w:vAlign w:val="center"/>
          </w:tcPr>
          <w:p w14:paraId="44D8C5F4">
            <w:pPr>
              <w:pStyle w:val="33"/>
              <w:rPr>
                <w:color w:val="auto"/>
                <w:szCs w:val="21"/>
              </w:rPr>
            </w:pPr>
            <w:r>
              <w:rPr>
                <w:rFonts w:hint="eastAsia"/>
                <w:color w:val="auto"/>
                <w:szCs w:val="21"/>
              </w:rPr>
              <w:t>10月16日</w:t>
            </w:r>
          </w:p>
        </w:tc>
        <w:tc>
          <w:tcPr>
            <w:tcW w:w="1510" w:type="dxa"/>
            <w:vAlign w:val="center"/>
          </w:tcPr>
          <w:p w14:paraId="4B2F0CDD">
            <w:pPr>
              <w:pStyle w:val="33"/>
              <w:rPr>
                <w:color w:val="auto"/>
                <w:szCs w:val="21"/>
              </w:rPr>
            </w:pPr>
            <w:r>
              <w:rPr>
                <w:rFonts w:hint="eastAsia"/>
                <w:color w:val="auto"/>
                <w:szCs w:val="21"/>
              </w:rPr>
              <w:t>昼间</w:t>
            </w:r>
          </w:p>
        </w:tc>
        <w:tc>
          <w:tcPr>
            <w:tcW w:w="1510" w:type="dxa"/>
            <w:vAlign w:val="center"/>
          </w:tcPr>
          <w:p w14:paraId="670D515A">
            <w:pPr>
              <w:pStyle w:val="33"/>
              <w:rPr>
                <w:color w:val="auto"/>
                <w:szCs w:val="21"/>
              </w:rPr>
            </w:pPr>
          </w:p>
        </w:tc>
        <w:tc>
          <w:tcPr>
            <w:tcW w:w="1510" w:type="dxa"/>
            <w:vAlign w:val="center"/>
          </w:tcPr>
          <w:p w14:paraId="04F6C616">
            <w:pPr>
              <w:pStyle w:val="33"/>
              <w:rPr>
                <w:color w:val="auto"/>
                <w:szCs w:val="21"/>
              </w:rPr>
            </w:pPr>
            <w:r>
              <w:rPr>
                <w:rFonts w:hint="eastAsia"/>
                <w:color w:val="auto"/>
                <w:szCs w:val="21"/>
              </w:rPr>
              <w:t>60</w:t>
            </w:r>
          </w:p>
        </w:tc>
        <w:tc>
          <w:tcPr>
            <w:tcW w:w="1510" w:type="dxa"/>
            <w:vAlign w:val="center"/>
          </w:tcPr>
          <w:p w14:paraId="0A19EC0C">
            <w:pPr>
              <w:pStyle w:val="33"/>
              <w:rPr>
                <w:color w:val="auto"/>
                <w:szCs w:val="21"/>
              </w:rPr>
            </w:pPr>
            <w:r>
              <w:rPr>
                <w:rFonts w:hint="eastAsia"/>
                <w:color w:val="auto"/>
                <w:szCs w:val="21"/>
              </w:rPr>
              <w:t>达标</w:t>
            </w:r>
          </w:p>
        </w:tc>
      </w:tr>
      <w:tr w14:paraId="5ECFB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DCFBC2C">
            <w:pPr>
              <w:pStyle w:val="33"/>
              <w:rPr>
                <w:color w:val="auto"/>
                <w:szCs w:val="21"/>
              </w:rPr>
            </w:pPr>
          </w:p>
        </w:tc>
        <w:tc>
          <w:tcPr>
            <w:tcW w:w="1510" w:type="dxa"/>
            <w:vMerge w:val="continue"/>
            <w:vAlign w:val="center"/>
          </w:tcPr>
          <w:p w14:paraId="6572AB17">
            <w:pPr>
              <w:pStyle w:val="33"/>
              <w:rPr>
                <w:color w:val="auto"/>
                <w:szCs w:val="21"/>
              </w:rPr>
            </w:pPr>
          </w:p>
        </w:tc>
        <w:tc>
          <w:tcPr>
            <w:tcW w:w="1510" w:type="dxa"/>
            <w:vAlign w:val="center"/>
          </w:tcPr>
          <w:p w14:paraId="7B1A79A7">
            <w:pPr>
              <w:pStyle w:val="33"/>
              <w:rPr>
                <w:color w:val="auto"/>
                <w:szCs w:val="21"/>
              </w:rPr>
            </w:pPr>
            <w:r>
              <w:rPr>
                <w:rFonts w:hint="eastAsia"/>
                <w:color w:val="auto"/>
                <w:szCs w:val="21"/>
              </w:rPr>
              <w:t>夜间</w:t>
            </w:r>
          </w:p>
        </w:tc>
        <w:tc>
          <w:tcPr>
            <w:tcW w:w="1510" w:type="dxa"/>
            <w:vAlign w:val="center"/>
          </w:tcPr>
          <w:p w14:paraId="41B9F5E0">
            <w:pPr>
              <w:pStyle w:val="33"/>
              <w:rPr>
                <w:color w:val="auto"/>
                <w:szCs w:val="21"/>
              </w:rPr>
            </w:pPr>
          </w:p>
        </w:tc>
        <w:tc>
          <w:tcPr>
            <w:tcW w:w="1510" w:type="dxa"/>
            <w:vAlign w:val="center"/>
          </w:tcPr>
          <w:p w14:paraId="161A761C">
            <w:pPr>
              <w:pStyle w:val="33"/>
              <w:rPr>
                <w:color w:val="auto"/>
                <w:szCs w:val="21"/>
              </w:rPr>
            </w:pPr>
            <w:r>
              <w:rPr>
                <w:rFonts w:hint="eastAsia"/>
                <w:color w:val="auto"/>
                <w:szCs w:val="21"/>
              </w:rPr>
              <w:t>50</w:t>
            </w:r>
          </w:p>
        </w:tc>
        <w:tc>
          <w:tcPr>
            <w:tcW w:w="1510" w:type="dxa"/>
            <w:vAlign w:val="center"/>
          </w:tcPr>
          <w:p w14:paraId="1031BA96">
            <w:pPr>
              <w:pStyle w:val="33"/>
              <w:rPr>
                <w:color w:val="auto"/>
                <w:szCs w:val="21"/>
              </w:rPr>
            </w:pPr>
            <w:r>
              <w:rPr>
                <w:rFonts w:hint="eastAsia"/>
                <w:color w:val="auto"/>
                <w:szCs w:val="21"/>
              </w:rPr>
              <w:t>达标</w:t>
            </w:r>
          </w:p>
        </w:tc>
      </w:tr>
      <w:tr w14:paraId="73A93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61EAAB70">
            <w:pPr>
              <w:pStyle w:val="33"/>
              <w:rPr>
                <w:color w:val="auto"/>
                <w:szCs w:val="21"/>
              </w:rPr>
            </w:pPr>
            <w:r>
              <w:rPr>
                <w:rFonts w:hint="eastAsia"/>
                <w:color w:val="auto"/>
                <w:szCs w:val="21"/>
              </w:rPr>
              <w:t>N</w:t>
            </w:r>
            <w:r>
              <w:rPr>
                <w:color w:val="auto"/>
                <w:szCs w:val="21"/>
              </w:rPr>
              <w:t>6</w:t>
            </w:r>
          </w:p>
        </w:tc>
        <w:tc>
          <w:tcPr>
            <w:tcW w:w="1510" w:type="dxa"/>
            <w:vMerge w:val="restart"/>
            <w:vAlign w:val="center"/>
          </w:tcPr>
          <w:p w14:paraId="02BFD550">
            <w:pPr>
              <w:pStyle w:val="33"/>
              <w:rPr>
                <w:color w:val="auto"/>
                <w:szCs w:val="21"/>
              </w:rPr>
            </w:pPr>
            <w:r>
              <w:rPr>
                <w:rFonts w:hint="eastAsia"/>
                <w:color w:val="auto"/>
                <w:szCs w:val="21"/>
              </w:rPr>
              <w:t>10月15日</w:t>
            </w:r>
          </w:p>
        </w:tc>
        <w:tc>
          <w:tcPr>
            <w:tcW w:w="1510" w:type="dxa"/>
            <w:vAlign w:val="center"/>
          </w:tcPr>
          <w:p w14:paraId="14670793">
            <w:pPr>
              <w:pStyle w:val="33"/>
              <w:rPr>
                <w:color w:val="auto"/>
                <w:szCs w:val="21"/>
              </w:rPr>
            </w:pPr>
            <w:r>
              <w:rPr>
                <w:rFonts w:hint="eastAsia"/>
                <w:color w:val="auto"/>
                <w:szCs w:val="21"/>
              </w:rPr>
              <w:t>昼间</w:t>
            </w:r>
          </w:p>
        </w:tc>
        <w:tc>
          <w:tcPr>
            <w:tcW w:w="1510" w:type="dxa"/>
            <w:vAlign w:val="center"/>
          </w:tcPr>
          <w:p w14:paraId="4F9A5E02">
            <w:pPr>
              <w:pStyle w:val="33"/>
              <w:rPr>
                <w:color w:val="auto"/>
                <w:szCs w:val="21"/>
              </w:rPr>
            </w:pPr>
          </w:p>
        </w:tc>
        <w:tc>
          <w:tcPr>
            <w:tcW w:w="1510" w:type="dxa"/>
            <w:vAlign w:val="center"/>
          </w:tcPr>
          <w:p w14:paraId="701547C4">
            <w:pPr>
              <w:pStyle w:val="33"/>
              <w:rPr>
                <w:color w:val="auto"/>
                <w:szCs w:val="21"/>
              </w:rPr>
            </w:pPr>
            <w:r>
              <w:rPr>
                <w:rFonts w:hint="eastAsia"/>
                <w:color w:val="auto"/>
                <w:szCs w:val="21"/>
              </w:rPr>
              <w:t>60</w:t>
            </w:r>
          </w:p>
        </w:tc>
        <w:tc>
          <w:tcPr>
            <w:tcW w:w="1510" w:type="dxa"/>
            <w:vAlign w:val="center"/>
          </w:tcPr>
          <w:p w14:paraId="7B6F309F">
            <w:pPr>
              <w:pStyle w:val="33"/>
              <w:rPr>
                <w:color w:val="auto"/>
                <w:szCs w:val="21"/>
              </w:rPr>
            </w:pPr>
            <w:r>
              <w:rPr>
                <w:rFonts w:hint="eastAsia"/>
                <w:color w:val="auto"/>
                <w:szCs w:val="21"/>
              </w:rPr>
              <w:t>达标</w:t>
            </w:r>
          </w:p>
        </w:tc>
      </w:tr>
      <w:tr w14:paraId="5EE65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EDDB546">
            <w:pPr>
              <w:pStyle w:val="33"/>
              <w:rPr>
                <w:color w:val="auto"/>
                <w:szCs w:val="21"/>
              </w:rPr>
            </w:pPr>
          </w:p>
        </w:tc>
        <w:tc>
          <w:tcPr>
            <w:tcW w:w="1510" w:type="dxa"/>
            <w:vMerge w:val="continue"/>
            <w:vAlign w:val="center"/>
          </w:tcPr>
          <w:p w14:paraId="5A800430">
            <w:pPr>
              <w:pStyle w:val="33"/>
              <w:rPr>
                <w:color w:val="auto"/>
                <w:szCs w:val="21"/>
              </w:rPr>
            </w:pPr>
          </w:p>
        </w:tc>
        <w:tc>
          <w:tcPr>
            <w:tcW w:w="1510" w:type="dxa"/>
            <w:vAlign w:val="center"/>
          </w:tcPr>
          <w:p w14:paraId="7C2D8365">
            <w:pPr>
              <w:pStyle w:val="33"/>
              <w:rPr>
                <w:color w:val="auto"/>
                <w:szCs w:val="21"/>
              </w:rPr>
            </w:pPr>
            <w:r>
              <w:rPr>
                <w:rFonts w:hint="eastAsia"/>
                <w:color w:val="auto"/>
                <w:szCs w:val="21"/>
              </w:rPr>
              <w:t>夜间</w:t>
            </w:r>
          </w:p>
        </w:tc>
        <w:tc>
          <w:tcPr>
            <w:tcW w:w="1510" w:type="dxa"/>
            <w:vAlign w:val="center"/>
          </w:tcPr>
          <w:p w14:paraId="7916B159">
            <w:pPr>
              <w:pStyle w:val="33"/>
              <w:rPr>
                <w:color w:val="auto"/>
                <w:szCs w:val="21"/>
              </w:rPr>
            </w:pPr>
          </w:p>
        </w:tc>
        <w:tc>
          <w:tcPr>
            <w:tcW w:w="1510" w:type="dxa"/>
            <w:vAlign w:val="center"/>
          </w:tcPr>
          <w:p w14:paraId="769EA6AE">
            <w:pPr>
              <w:pStyle w:val="33"/>
              <w:rPr>
                <w:color w:val="auto"/>
                <w:szCs w:val="21"/>
              </w:rPr>
            </w:pPr>
            <w:r>
              <w:rPr>
                <w:rFonts w:hint="eastAsia"/>
                <w:color w:val="auto"/>
                <w:szCs w:val="21"/>
              </w:rPr>
              <w:t>50</w:t>
            </w:r>
          </w:p>
        </w:tc>
        <w:tc>
          <w:tcPr>
            <w:tcW w:w="1510" w:type="dxa"/>
            <w:vAlign w:val="center"/>
          </w:tcPr>
          <w:p w14:paraId="3F6D4B16">
            <w:pPr>
              <w:pStyle w:val="33"/>
              <w:rPr>
                <w:color w:val="auto"/>
                <w:szCs w:val="21"/>
              </w:rPr>
            </w:pPr>
            <w:r>
              <w:rPr>
                <w:rFonts w:hint="eastAsia"/>
                <w:color w:val="auto"/>
                <w:szCs w:val="21"/>
              </w:rPr>
              <w:t>达标</w:t>
            </w:r>
          </w:p>
        </w:tc>
      </w:tr>
      <w:tr w14:paraId="3ECCA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45C2E78E">
            <w:pPr>
              <w:pStyle w:val="33"/>
              <w:rPr>
                <w:color w:val="auto"/>
                <w:szCs w:val="21"/>
              </w:rPr>
            </w:pPr>
          </w:p>
        </w:tc>
        <w:tc>
          <w:tcPr>
            <w:tcW w:w="1510" w:type="dxa"/>
            <w:vMerge w:val="restart"/>
            <w:vAlign w:val="center"/>
          </w:tcPr>
          <w:p w14:paraId="613A0023">
            <w:pPr>
              <w:pStyle w:val="33"/>
              <w:rPr>
                <w:color w:val="auto"/>
                <w:szCs w:val="21"/>
              </w:rPr>
            </w:pPr>
            <w:r>
              <w:rPr>
                <w:rFonts w:hint="eastAsia"/>
                <w:color w:val="auto"/>
                <w:szCs w:val="21"/>
              </w:rPr>
              <w:t>10月16日</w:t>
            </w:r>
          </w:p>
        </w:tc>
        <w:tc>
          <w:tcPr>
            <w:tcW w:w="1510" w:type="dxa"/>
            <w:vAlign w:val="center"/>
          </w:tcPr>
          <w:p w14:paraId="0924187C">
            <w:pPr>
              <w:pStyle w:val="33"/>
              <w:rPr>
                <w:color w:val="auto"/>
                <w:szCs w:val="21"/>
              </w:rPr>
            </w:pPr>
            <w:r>
              <w:rPr>
                <w:rFonts w:hint="eastAsia"/>
                <w:color w:val="auto"/>
                <w:szCs w:val="21"/>
              </w:rPr>
              <w:t>昼间</w:t>
            </w:r>
          </w:p>
        </w:tc>
        <w:tc>
          <w:tcPr>
            <w:tcW w:w="1510" w:type="dxa"/>
            <w:vAlign w:val="center"/>
          </w:tcPr>
          <w:p w14:paraId="48CBF163">
            <w:pPr>
              <w:pStyle w:val="33"/>
              <w:rPr>
                <w:color w:val="auto"/>
                <w:szCs w:val="21"/>
              </w:rPr>
            </w:pPr>
          </w:p>
        </w:tc>
        <w:tc>
          <w:tcPr>
            <w:tcW w:w="1510" w:type="dxa"/>
            <w:vAlign w:val="center"/>
          </w:tcPr>
          <w:p w14:paraId="52F84079">
            <w:pPr>
              <w:pStyle w:val="33"/>
              <w:rPr>
                <w:color w:val="auto"/>
                <w:szCs w:val="21"/>
              </w:rPr>
            </w:pPr>
            <w:r>
              <w:rPr>
                <w:rFonts w:hint="eastAsia"/>
                <w:color w:val="auto"/>
                <w:szCs w:val="21"/>
              </w:rPr>
              <w:t>60</w:t>
            </w:r>
          </w:p>
        </w:tc>
        <w:tc>
          <w:tcPr>
            <w:tcW w:w="1510" w:type="dxa"/>
            <w:vAlign w:val="center"/>
          </w:tcPr>
          <w:p w14:paraId="18CE562C">
            <w:pPr>
              <w:pStyle w:val="33"/>
              <w:rPr>
                <w:color w:val="auto"/>
                <w:szCs w:val="21"/>
              </w:rPr>
            </w:pPr>
            <w:r>
              <w:rPr>
                <w:rFonts w:hint="eastAsia"/>
                <w:color w:val="auto"/>
                <w:szCs w:val="21"/>
              </w:rPr>
              <w:t>达标</w:t>
            </w:r>
          </w:p>
        </w:tc>
      </w:tr>
      <w:tr w14:paraId="64674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4BECB58F">
            <w:pPr>
              <w:pStyle w:val="33"/>
              <w:rPr>
                <w:color w:val="auto"/>
                <w:szCs w:val="21"/>
              </w:rPr>
            </w:pPr>
          </w:p>
        </w:tc>
        <w:tc>
          <w:tcPr>
            <w:tcW w:w="1510" w:type="dxa"/>
            <w:vMerge w:val="continue"/>
            <w:vAlign w:val="center"/>
          </w:tcPr>
          <w:p w14:paraId="52FE0DF5">
            <w:pPr>
              <w:pStyle w:val="33"/>
              <w:rPr>
                <w:color w:val="auto"/>
                <w:szCs w:val="21"/>
              </w:rPr>
            </w:pPr>
          </w:p>
        </w:tc>
        <w:tc>
          <w:tcPr>
            <w:tcW w:w="1510" w:type="dxa"/>
            <w:vAlign w:val="center"/>
          </w:tcPr>
          <w:p w14:paraId="776A5621">
            <w:pPr>
              <w:pStyle w:val="33"/>
              <w:rPr>
                <w:color w:val="auto"/>
                <w:szCs w:val="21"/>
              </w:rPr>
            </w:pPr>
            <w:r>
              <w:rPr>
                <w:rFonts w:hint="eastAsia"/>
                <w:color w:val="auto"/>
                <w:szCs w:val="21"/>
              </w:rPr>
              <w:t>夜间</w:t>
            </w:r>
          </w:p>
        </w:tc>
        <w:tc>
          <w:tcPr>
            <w:tcW w:w="1510" w:type="dxa"/>
            <w:vAlign w:val="center"/>
          </w:tcPr>
          <w:p w14:paraId="45771FEE">
            <w:pPr>
              <w:pStyle w:val="33"/>
              <w:rPr>
                <w:color w:val="auto"/>
                <w:szCs w:val="21"/>
              </w:rPr>
            </w:pPr>
          </w:p>
        </w:tc>
        <w:tc>
          <w:tcPr>
            <w:tcW w:w="1510" w:type="dxa"/>
            <w:vAlign w:val="center"/>
          </w:tcPr>
          <w:p w14:paraId="0610D5B1">
            <w:pPr>
              <w:pStyle w:val="33"/>
              <w:rPr>
                <w:color w:val="auto"/>
                <w:szCs w:val="21"/>
              </w:rPr>
            </w:pPr>
            <w:r>
              <w:rPr>
                <w:rFonts w:hint="eastAsia"/>
                <w:color w:val="auto"/>
                <w:szCs w:val="21"/>
              </w:rPr>
              <w:t>50</w:t>
            </w:r>
          </w:p>
        </w:tc>
        <w:tc>
          <w:tcPr>
            <w:tcW w:w="1510" w:type="dxa"/>
            <w:vAlign w:val="center"/>
          </w:tcPr>
          <w:p w14:paraId="4EE28DD0">
            <w:pPr>
              <w:pStyle w:val="33"/>
              <w:rPr>
                <w:color w:val="auto"/>
                <w:szCs w:val="21"/>
              </w:rPr>
            </w:pPr>
            <w:r>
              <w:rPr>
                <w:rFonts w:hint="eastAsia"/>
                <w:color w:val="auto"/>
                <w:szCs w:val="21"/>
              </w:rPr>
              <w:t>达标</w:t>
            </w:r>
          </w:p>
        </w:tc>
      </w:tr>
      <w:tr w14:paraId="2E8DB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69E86F08">
            <w:pPr>
              <w:pStyle w:val="33"/>
              <w:rPr>
                <w:color w:val="auto"/>
                <w:szCs w:val="21"/>
              </w:rPr>
            </w:pPr>
            <w:r>
              <w:rPr>
                <w:rFonts w:hint="eastAsia"/>
                <w:color w:val="auto"/>
                <w:szCs w:val="21"/>
              </w:rPr>
              <w:t>N</w:t>
            </w:r>
            <w:r>
              <w:rPr>
                <w:color w:val="auto"/>
                <w:szCs w:val="21"/>
              </w:rPr>
              <w:t>7</w:t>
            </w:r>
          </w:p>
        </w:tc>
        <w:tc>
          <w:tcPr>
            <w:tcW w:w="1510" w:type="dxa"/>
            <w:vMerge w:val="restart"/>
            <w:vAlign w:val="center"/>
          </w:tcPr>
          <w:p w14:paraId="14F88669">
            <w:pPr>
              <w:pStyle w:val="33"/>
              <w:rPr>
                <w:color w:val="auto"/>
                <w:szCs w:val="21"/>
              </w:rPr>
            </w:pPr>
            <w:r>
              <w:rPr>
                <w:rFonts w:hint="eastAsia"/>
                <w:color w:val="auto"/>
                <w:szCs w:val="21"/>
              </w:rPr>
              <w:t>10月15日</w:t>
            </w:r>
          </w:p>
        </w:tc>
        <w:tc>
          <w:tcPr>
            <w:tcW w:w="1510" w:type="dxa"/>
            <w:vAlign w:val="center"/>
          </w:tcPr>
          <w:p w14:paraId="1D493154">
            <w:pPr>
              <w:pStyle w:val="33"/>
              <w:rPr>
                <w:color w:val="auto"/>
                <w:szCs w:val="21"/>
              </w:rPr>
            </w:pPr>
            <w:r>
              <w:rPr>
                <w:rFonts w:hint="eastAsia"/>
                <w:color w:val="auto"/>
                <w:szCs w:val="21"/>
              </w:rPr>
              <w:t>昼间</w:t>
            </w:r>
          </w:p>
        </w:tc>
        <w:tc>
          <w:tcPr>
            <w:tcW w:w="1510" w:type="dxa"/>
            <w:vAlign w:val="center"/>
          </w:tcPr>
          <w:p w14:paraId="1BF62C6C">
            <w:pPr>
              <w:pStyle w:val="33"/>
              <w:rPr>
                <w:color w:val="auto"/>
                <w:szCs w:val="21"/>
              </w:rPr>
            </w:pPr>
          </w:p>
        </w:tc>
        <w:tc>
          <w:tcPr>
            <w:tcW w:w="1510" w:type="dxa"/>
          </w:tcPr>
          <w:p w14:paraId="4E12FAF5">
            <w:pPr>
              <w:pStyle w:val="33"/>
              <w:rPr>
                <w:color w:val="auto"/>
                <w:szCs w:val="21"/>
              </w:rPr>
            </w:pPr>
            <w:r>
              <w:rPr>
                <w:color w:val="auto"/>
              </w:rPr>
              <w:t>60</w:t>
            </w:r>
          </w:p>
        </w:tc>
        <w:tc>
          <w:tcPr>
            <w:tcW w:w="1510" w:type="dxa"/>
            <w:vAlign w:val="center"/>
          </w:tcPr>
          <w:p w14:paraId="49326D08">
            <w:pPr>
              <w:pStyle w:val="33"/>
              <w:rPr>
                <w:color w:val="auto"/>
                <w:szCs w:val="21"/>
              </w:rPr>
            </w:pPr>
            <w:r>
              <w:rPr>
                <w:rFonts w:hint="eastAsia"/>
                <w:color w:val="auto"/>
                <w:szCs w:val="21"/>
              </w:rPr>
              <w:t>达标</w:t>
            </w:r>
          </w:p>
        </w:tc>
      </w:tr>
      <w:tr w14:paraId="73DF9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0DEDE19A">
            <w:pPr>
              <w:pStyle w:val="33"/>
              <w:rPr>
                <w:color w:val="auto"/>
                <w:szCs w:val="21"/>
              </w:rPr>
            </w:pPr>
          </w:p>
        </w:tc>
        <w:tc>
          <w:tcPr>
            <w:tcW w:w="1510" w:type="dxa"/>
            <w:vMerge w:val="continue"/>
            <w:vAlign w:val="center"/>
          </w:tcPr>
          <w:p w14:paraId="79F48564">
            <w:pPr>
              <w:pStyle w:val="33"/>
              <w:rPr>
                <w:color w:val="auto"/>
                <w:szCs w:val="21"/>
              </w:rPr>
            </w:pPr>
          </w:p>
        </w:tc>
        <w:tc>
          <w:tcPr>
            <w:tcW w:w="1510" w:type="dxa"/>
            <w:vAlign w:val="center"/>
          </w:tcPr>
          <w:p w14:paraId="34AE533A">
            <w:pPr>
              <w:pStyle w:val="33"/>
              <w:rPr>
                <w:color w:val="auto"/>
                <w:szCs w:val="21"/>
              </w:rPr>
            </w:pPr>
            <w:r>
              <w:rPr>
                <w:rFonts w:hint="eastAsia"/>
                <w:color w:val="auto"/>
                <w:szCs w:val="21"/>
              </w:rPr>
              <w:t>夜间</w:t>
            </w:r>
          </w:p>
        </w:tc>
        <w:tc>
          <w:tcPr>
            <w:tcW w:w="1510" w:type="dxa"/>
            <w:vAlign w:val="center"/>
          </w:tcPr>
          <w:p w14:paraId="1EBBA254">
            <w:pPr>
              <w:pStyle w:val="33"/>
              <w:rPr>
                <w:color w:val="auto"/>
                <w:szCs w:val="21"/>
              </w:rPr>
            </w:pPr>
          </w:p>
        </w:tc>
        <w:tc>
          <w:tcPr>
            <w:tcW w:w="1510" w:type="dxa"/>
          </w:tcPr>
          <w:p w14:paraId="1F4F2438">
            <w:pPr>
              <w:pStyle w:val="33"/>
              <w:rPr>
                <w:color w:val="auto"/>
                <w:szCs w:val="21"/>
              </w:rPr>
            </w:pPr>
            <w:r>
              <w:rPr>
                <w:color w:val="auto"/>
              </w:rPr>
              <w:t>50</w:t>
            </w:r>
          </w:p>
        </w:tc>
        <w:tc>
          <w:tcPr>
            <w:tcW w:w="1510" w:type="dxa"/>
            <w:vAlign w:val="center"/>
          </w:tcPr>
          <w:p w14:paraId="3A2D388F">
            <w:pPr>
              <w:pStyle w:val="33"/>
              <w:rPr>
                <w:color w:val="auto"/>
                <w:szCs w:val="21"/>
              </w:rPr>
            </w:pPr>
            <w:r>
              <w:rPr>
                <w:rFonts w:hint="eastAsia"/>
                <w:color w:val="auto"/>
                <w:szCs w:val="21"/>
              </w:rPr>
              <w:t>达标</w:t>
            </w:r>
          </w:p>
        </w:tc>
      </w:tr>
      <w:tr w14:paraId="41857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6316502B">
            <w:pPr>
              <w:pStyle w:val="33"/>
              <w:rPr>
                <w:color w:val="auto"/>
                <w:szCs w:val="21"/>
              </w:rPr>
            </w:pPr>
          </w:p>
        </w:tc>
        <w:tc>
          <w:tcPr>
            <w:tcW w:w="1510" w:type="dxa"/>
            <w:vMerge w:val="restart"/>
            <w:vAlign w:val="center"/>
          </w:tcPr>
          <w:p w14:paraId="6A0E693F">
            <w:pPr>
              <w:pStyle w:val="33"/>
              <w:rPr>
                <w:color w:val="auto"/>
                <w:szCs w:val="21"/>
              </w:rPr>
            </w:pPr>
            <w:r>
              <w:rPr>
                <w:rFonts w:hint="eastAsia"/>
                <w:color w:val="auto"/>
                <w:szCs w:val="21"/>
              </w:rPr>
              <w:t>10月16日</w:t>
            </w:r>
          </w:p>
        </w:tc>
        <w:tc>
          <w:tcPr>
            <w:tcW w:w="1510" w:type="dxa"/>
            <w:vAlign w:val="center"/>
          </w:tcPr>
          <w:p w14:paraId="45E877BE">
            <w:pPr>
              <w:pStyle w:val="33"/>
              <w:rPr>
                <w:color w:val="auto"/>
                <w:szCs w:val="21"/>
              </w:rPr>
            </w:pPr>
            <w:r>
              <w:rPr>
                <w:rFonts w:hint="eastAsia"/>
                <w:color w:val="auto"/>
                <w:szCs w:val="21"/>
              </w:rPr>
              <w:t>昼间</w:t>
            </w:r>
          </w:p>
        </w:tc>
        <w:tc>
          <w:tcPr>
            <w:tcW w:w="1510" w:type="dxa"/>
            <w:vAlign w:val="center"/>
          </w:tcPr>
          <w:p w14:paraId="02469669">
            <w:pPr>
              <w:pStyle w:val="33"/>
              <w:rPr>
                <w:color w:val="auto"/>
                <w:szCs w:val="21"/>
              </w:rPr>
            </w:pPr>
          </w:p>
        </w:tc>
        <w:tc>
          <w:tcPr>
            <w:tcW w:w="1510" w:type="dxa"/>
          </w:tcPr>
          <w:p w14:paraId="6904DA36">
            <w:pPr>
              <w:pStyle w:val="33"/>
              <w:rPr>
                <w:color w:val="auto"/>
                <w:szCs w:val="21"/>
              </w:rPr>
            </w:pPr>
            <w:r>
              <w:rPr>
                <w:color w:val="auto"/>
              </w:rPr>
              <w:t>60</w:t>
            </w:r>
          </w:p>
        </w:tc>
        <w:tc>
          <w:tcPr>
            <w:tcW w:w="1510" w:type="dxa"/>
            <w:vAlign w:val="center"/>
          </w:tcPr>
          <w:p w14:paraId="7A343FEE">
            <w:pPr>
              <w:pStyle w:val="33"/>
              <w:rPr>
                <w:color w:val="auto"/>
                <w:szCs w:val="21"/>
              </w:rPr>
            </w:pPr>
            <w:r>
              <w:rPr>
                <w:rFonts w:hint="eastAsia"/>
                <w:color w:val="auto"/>
                <w:szCs w:val="21"/>
              </w:rPr>
              <w:t>达标</w:t>
            </w:r>
          </w:p>
        </w:tc>
      </w:tr>
      <w:tr w14:paraId="6E330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38346B90">
            <w:pPr>
              <w:pStyle w:val="33"/>
              <w:rPr>
                <w:color w:val="auto"/>
                <w:szCs w:val="21"/>
              </w:rPr>
            </w:pPr>
          </w:p>
        </w:tc>
        <w:tc>
          <w:tcPr>
            <w:tcW w:w="1510" w:type="dxa"/>
            <w:vMerge w:val="continue"/>
            <w:vAlign w:val="center"/>
          </w:tcPr>
          <w:p w14:paraId="4E0F3E3E">
            <w:pPr>
              <w:pStyle w:val="33"/>
              <w:rPr>
                <w:color w:val="auto"/>
                <w:szCs w:val="21"/>
              </w:rPr>
            </w:pPr>
          </w:p>
        </w:tc>
        <w:tc>
          <w:tcPr>
            <w:tcW w:w="1510" w:type="dxa"/>
            <w:vAlign w:val="center"/>
          </w:tcPr>
          <w:p w14:paraId="39D39C94">
            <w:pPr>
              <w:pStyle w:val="33"/>
              <w:rPr>
                <w:color w:val="auto"/>
                <w:szCs w:val="21"/>
              </w:rPr>
            </w:pPr>
            <w:r>
              <w:rPr>
                <w:rFonts w:hint="eastAsia"/>
                <w:color w:val="auto"/>
                <w:szCs w:val="21"/>
              </w:rPr>
              <w:t>夜间</w:t>
            </w:r>
          </w:p>
        </w:tc>
        <w:tc>
          <w:tcPr>
            <w:tcW w:w="1510" w:type="dxa"/>
            <w:vAlign w:val="center"/>
          </w:tcPr>
          <w:p w14:paraId="062A9B42">
            <w:pPr>
              <w:pStyle w:val="33"/>
              <w:rPr>
                <w:color w:val="auto"/>
                <w:szCs w:val="21"/>
              </w:rPr>
            </w:pPr>
          </w:p>
        </w:tc>
        <w:tc>
          <w:tcPr>
            <w:tcW w:w="1510" w:type="dxa"/>
          </w:tcPr>
          <w:p w14:paraId="2B92DD03">
            <w:pPr>
              <w:pStyle w:val="33"/>
              <w:rPr>
                <w:color w:val="auto"/>
                <w:szCs w:val="21"/>
              </w:rPr>
            </w:pPr>
            <w:r>
              <w:rPr>
                <w:color w:val="auto"/>
              </w:rPr>
              <w:t>50</w:t>
            </w:r>
          </w:p>
        </w:tc>
        <w:tc>
          <w:tcPr>
            <w:tcW w:w="1510" w:type="dxa"/>
            <w:vAlign w:val="center"/>
          </w:tcPr>
          <w:p w14:paraId="3C35921C">
            <w:pPr>
              <w:pStyle w:val="33"/>
              <w:rPr>
                <w:color w:val="auto"/>
                <w:szCs w:val="21"/>
              </w:rPr>
            </w:pPr>
            <w:r>
              <w:rPr>
                <w:rFonts w:hint="eastAsia"/>
                <w:color w:val="auto"/>
                <w:szCs w:val="21"/>
              </w:rPr>
              <w:t>达标</w:t>
            </w:r>
          </w:p>
        </w:tc>
      </w:tr>
      <w:tr w14:paraId="30E03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restart"/>
            <w:vAlign w:val="center"/>
          </w:tcPr>
          <w:p w14:paraId="3622E251">
            <w:pPr>
              <w:pStyle w:val="33"/>
              <w:rPr>
                <w:color w:val="auto"/>
                <w:szCs w:val="21"/>
              </w:rPr>
            </w:pPr>
            <w:r>
              <w:rPr>
                <w:rFonts w:hint="eastAsia"/>
                <w:color w:val="auto"/>
                <w:szCs w:val="21"/>
              </w:rPr>
              <w:t>N8</w:t>
            </w:r>
          </w:p>
        </w:tc>
        <w:tc>
          <w:tcPr>
            <w:tcW w:w="1510" w:type="dxa"/>
            <w:vMerge w:val="restart"/>
            <w:vAlign w:val="center"/>
          </w:tcPr>
          <w:p w14:paraId="73511F0E">
            <w:pPr>
              <w:pStyle w:val="33"/>
              <w:rPr>
                <w:color w:val="auto"/>
                <w:szCs w:val="21"/>
              </w:rPr>
            </w:pPr>
            <w:r>
              <w:rPr>
                <w:rFonts w:hint="eastAsia"/>
                <w:color w:val="auto"/>
                <w:szCs w:val="21"/>
              </w:rPr>
              <w:t>1月14日</w:t>
            </w:r>
          </w:p>
        </w:tc>
        <w:tc>
          <w:tcPr>
            <w:tcW w:w="1510" w:type="dxa"/>
            <w:vAlign w:val="center"/>
          </w:tcPr>
          <w:p w14:paraId="0A214FEE">
            <w:pPr>
              <w:pStyle w:val="33"/>
              <w:rPr>
                <w:color w:val="auto"/>
                <w:szCs w:val="21"/>
              </w:rPr>
            </w:pPr>
            <w:r>
              <w:rPr>
                <w:rFonts w:hint="eastAsia"/>
                <w:color w:val="auto"/>
                <w:szCs w:val="21"/>
              </w:rPr>
              <w:t>昼间</w:t>
            </w:r>
          </w:p>
        </w:tc>
        <w:tc>
          <w:tcPr>
            <w:tcW w:w="1510" w:type="dxa"/>
            <w:vAlign w:val="center"/>
          </w:tcPr>
          <w:p w14:paraId="3B040A0B">
            <w:pPr>
              <w:pStyle w:val="33"/>
              <w:rPr>
                <w:rFonts w:eastAsia="等线" w:cs="Times New Roman"/>
                <w:color w:val="auto"/>
                <w:szCs w:val="21"/>
              </w:rPr>
            </w:pPr>
          </w:p>
        </w:tc>
        <w:tc>
          <w:tcPr>
            <w:tcW w:w="1510" w:type="dxa"/>
          </w:tcPr>
          <w:p w14:paraId="250224C2">
            <w:pPr>
              <w:pStyle w:val="33"/>
              <w:rPr>
                <w:color w:val="auto"/>
                <w:szCs w:val="21"/>
              </w:rPr>
            </w:pPr>
            <w:r>
              <w:rPr>
                <w:color w:val="auto"/>
              </w:rPr>
              <w:t>60</w:t>
            </w:r>
          </w:p>
        </w:tc>
        <w:tc>
          <w:tcPr>
            <w:tcW w:w="1510" w:type="dxa"/>
            <w:vAlign w:val="center"/>
          </w:tcPr>
          <w:p w14:paraId="5E48FB5E">
            <w:pPr>
              <w:pStyle w:val="33"/>
              <w:rPr>
                <w:color w:val="auto"/>
                <w:szCs w:val="21"/>
              </w:rPr>
            </w:pPr>
            <w:r>
              <w:rPr>
                <w:rFonts w:hint="eastAsia"/>
                <w:color w:val="auto"/>
                <w:szCs w:val="21"/>
              </w:rPr>
              <w:t>达标</w:t>
            </w:r>
          </w:p>
        </w:tc>
      </w:tr>
      <w:tr w14:paraId="78BA6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25A94CB1">
            <w:pPr>
              <w:pStyle w:val="33"/>
              <w:rPr>
                <w:color w:val="auto"/>
                <w:szCs w:val="21"/>
              </w:rPr>
            </w:pPr>
          </w:p>
        </w:tc>
        <w:tc>
          <w:tcPr>
            <w:tcW w:w="1510" w:type="dxa"/>
            <w:vMerge w:val="continue"/>
            <w:vAlign w:val="center"/>
          </w:tcPr>
          <w:p w14:paraId="6AEFD7CC">
            <w:pPr>
              <w:pStyle w:val="33"/>
              <w:rPr>
                <w:color w:val="auto"/>
                <w:szCs w:val="21"/>
              </w:rPr>
            </w:pPr>
          </w:p>
        </w:tc>
        <w:tc>
          <w:tcPr>
            <w:tcW w:w="1510" w:type="dxa"/>
            <w:vAlign w:val="center"/>
          </w:tcPr>
          <w:p w14:paraId="0E36A17A">
            <w:pPr>
              <w:pStyle w:val="33"/>
              <w:rPr>
                <w:color w:val="auto"/>
                <w:szCs w:val="21"/>
              </w:rPr>
            </w:pPr>
            <w:r>
              <w:rPr>
                <w:rFonts w:hint="eastAsia"/>
                <w:color w:val="auto"/>
                <w:szCs w:val="21"/>
              </w:rPr>
              <w:t>夜间</w:t>
            </w:r>
          </w:p>
        </w:tc>
        <w:tc>
          <w:tcPr>
            <w:tcW w:w="1510" w:type="dxa"/>
            <w:vAlign w:val="center"/>
          </w:tcPr>
          <w:p w14:paraId="60DD7C3E">
            <w:pPr>
              <w:pStyle w:val="33"/>
              <w:rPr>
                <w:rFonts w:eastAsia="等线" w:cs="Times New Roman"/>
                <w:color w:val="auto"/>
                <w:szCs w:val="21"/>
              </w:rPr>
            </w:pPr>
          </w:p>
        </w:tc>
        <w:tc>
          <w:tcPr>
            <w:tcW w:w="1510" w:type="dxa"/>
          </w:tcPr>
          <w:p w14:paraId="2BF435D5">
            <w:pPr>
              <w:pStyle w:val="33"/>
              <w:rPr>
                <w:color w:val="auto"/>
                <w:szCs w:val="21"/>
              </w:rPr>
            </w:pPr>
            <w:r>
              <w:rPr>
                <w:color w:val="auto"/>
              </w:rPr>
              <w:t>50</w:t>
            </w:r>
          </w:p>
        </w:tc>
        <w:tc>
          <w:tcPr>
            <w:tcW w:w="1510" w:type="dxa"/>
            <w:vAlign w:val="center"/>
          </w:tcPr>
          <w:p w14:paraId="52C20804">
            <w:pPr>
              <w:pStyle w:val="33"/>
              <w:rPr>
                <w:color w:val="auto"/>
                <w:szCs w:val="21"/>
              </w:rPr>
            </w:pPr>
            <w:r>
              <w:rPr>
                <w:rFonts w:hint="eastAsia"/>
                <w:color w:val="auto"/>
                <w:szCs w:val="21"/>
              </w:rPr>
              <w:t>达标</w:t>
            </w:r>
          </w:p>
        </w:tc>
      </w:tr>
      <w:tr w14:paraId="35563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2124B439">
            <w:pPr>
              <w:pStyle w:val="33"/>
              <w:rPr>
                <w:color w:val="auto"/>
                <w:szCs w:val="21"/>
              </w:rPr>
            </w:pPr>
          </w:p>
        </w:tc>
        <w:tc>
          <w:tcPr>
            <w:tcW w:w="1510" w:type="dxa"/>
            <w:vMerge w:val="restart"/>
            <w:vAlign w:val="center"/>
          </w:tcPr>
          <w:p w14:paraId="18229FA3">
            <w:pPr>
              <w:pStyle w:val="33"/>
              <w:rPr>
                <w:color w:val="auto"/>
                <w:szCs w:val="21"/>
              </w:rPr>
            </w:pPr>
            <w:r>
              <w:rPr>
                <w:rFonts w:hint="eastAsia"/>
                <w:color w:val="auto"/>
                <w:szCs w:val="21"/>
              </w:rPr>
              <w:t>1月15日</w:t>
            </w:r>
          </w:p>
        </w:tc>
        <w:tc>
          <w:tcPr>
            <w:tcW w:w="1510" w:type="dxa"/>
            <w:vAlign w:val="center"/>
          </w:tcPr>
          <w:p w14:paraId="0352FB26">
            <w:pPr>
              <w:pStyle w:val="33"/>
              <w:rPr>
                <w:color w:val="auto"/>
                <w:szCs w:val="21"/>
              </w:rPr>
            </w:pPr>
            <w:r>
              <w:rPr>
                <w:rFonts w:hint="eastAsia"/>
                <w:color w:val="auto"/>
                <w:szCs w:val="21"/>
              </w:rPr>
              <w:t>昼间</w:t>
            </w:r>
          </w:p>
        </w:tc>
        <w:tc>
          <w:tcPr>
            <w:tcW w:w="1510" w:type="dxa"/>
            <w:vAlign w:val="center"/>
          </w:tcPr>
          <w:p w14:paraId="2179867F">
            <w:pPr>
              <w:pStyle w:val="33"/>
              <w:rPr>
                <w:rFonts w:eastAsia="等线" w:cs="Times New Roman"/>
                <w:color w:val="auto"/>
                <w:szCs w:val="21"/>
              </w:rPr>
            </w:pPr>
          </w:p>
        </w:tc>
        <w:tc>
          <w:tcPr>
            <w:tcW w:w="1510" w:type="dxa"/>
          </w:tcPr>
          <w:p w14:paraId="4E2977A0">
            <w:pPr>
              <w:pStyle w:val="33"/>
              <w:rPr>
                <w:color w:val="auto"/>
                <w:szCs w:val="21"/>
              </w:rPr>
            </w:pPr>
            <w:r>
              <w:rPr>
                <w:color w:val="auto"/>
              </w:rPr>
              <w:t>60</w:t>
            </w:r>
          </w:p>
        </w:tc>
        <w:tc>
          <w:tcPr>
            <w:tcW w:w="1510" w:type="dxa"/>
            <w:vAlign w:val="center"/>
          </w:tcPr>
          <w:p w14:paraId="27DF1C87">
            <w:pPr>
              <w:pStyle w:val="33"/>
              <w:rPr>
                <w:color w:val="auto"/>
                <w:szCs w:val="21"/>
              </w:rPr>
            </w:pPr>
            <w:r>
              <w:rPr>
                <w:rFonts w:hint="eastAsia"/>
                <w:color w:val="auto"/>
                <w:szCs w:val="21"/>
              </w:rPr>
              <w:t>达标</w:t>
            </w:r>
          </w:p>
        </w:tc>
      </w:tr>
      <w:tr w14:paraId="0C810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10" w:type="dxa"/>
            <w:vMerge w:val="continue"/>
            <w:vAlign w:val="center"/>
          </w:tcPr>
          <w:p w14:paraId="47158604">
            <w:pPr>
              <w:pStyle w:val="33"/>
              <w:rPr>
                <w:color w:val="auto"/>
                <w:szCs w:val="21"/>
              </w:rPr>
            </w:pPr>
          </w:p>
        </w:tc>
        <w:tc>
          <w:tcPr>
            <w:tcW w:w="1510" w:type="dxa"/>
            <w:vMerge w:val="continue"/>
            <w:vAlign w:val="center"/>
          </w:tcPr>
          <w:p w14:paraId="1FC33321">
            <w:pPr>
              <w:pStyle w:val="33"/>
              <w:rPr>
                <w:color w:val="auto"/>
                <w:szCs w:val="21"/>
              </w:rPr>
            </w:pPr>
          </w:p>
        </w:tc>
        <w:tc>
          <w:tcPr>
            <w:tcW w:w="1510" w:type="dxa"/>
            <w:vAlign w:val="center"/>
          </w:tcPr>
          <w:p w14:paraId="1E8D2D24">
            <w:pPr>
              <w:pStyle w:val="33"/>
              <w:rPr>
                <w:color w:val="auto"/>
                <w:szCs w:val="21"/>
              </w:rPr>
            </w:pPr>
            <w:r>
              <w:rPr>
                <w:rFonts w:hint="eastAsia"/>
                <w:color w:val="auto"/>
                <w:szCs w:val="21"/>
              </w:rPr>
              <w:t>夜间</w:t>
            </w:r>
          </w:p>
        </w:tc>
        <w:tc>
          <w:tcPr>
            <w:tcW w:w="1510" w:type="dxa"/>
            <w:vAlign w:val="center"/>
          </w:tcPr>
          <w:p w14:paraId="290981BD">
            <w:pPr>
              <w:pStyle w:val="33"/>
              <w:rPr>
                <w:rFonts w:eastAsia="等线" w:cs="Times New Roman"/>
                <w:color w:val="auto"/>
                <w:szCs w:val="21"/>
              </w:rPr>
            </w:pPr>
          </w:p>
        </w:tc>
        <w:tc>
          <w:tcPr>
            <w:tcW w:w="1510" w:type="dxa"/>
          </w:tcPr>
          <w:p w14:paraId="6CC30A52">
            <w:pPr>
              <w:pStyle w:val="33"/>
              <w:rPr>
                <w:color w:val="auto"/>
                <w:szCs w:val="21"/>
              </w:rPr>
            </w:pPr>
            <w:r>
              <w:rPr>
                <w:color w:val="auto"/>
              </w:rPr>
              <w:t>50</w:t>
            </w:r>
          </w:p>
        </w:tc>
        <w:tc>
          <w:tcPr>
            <w:tcW w:w="1510" w:type="dxa"/>
            <w:vAlign w:val="center"/>
          </w:tcPr>
          <w:p w14:paraId="116FE3C1">
            <w:pPr>
              <w:pStyle w:val="33"/>
              <w:rPr>
                <w:color w:val="auto"/>
                <w:szCs w:val="21"/>
              </w:rPr>
            </w:pPr>
            <w:r>
              <w:rPr>
                <w:rFonts w:hint="eastAsia"/>
                <w:color w:val="auto"/>
                <w:szCs w:val="21"/>
              </w:rPr>
              <w:t>达标</w:t>
            </w:r>
          </w:p>
        </w:tc>
      </w:tr>
    </w:tbl>
    <w:p w14:paraId="4E32BD33">
      <w:pPr>
        <w:ind w:firstLine="480"/>
        <w:rPr>
          <w:color w:val="auto"/>
        </w:rPr>
      </w:pPr>
      <w:r>
        <w:rPr>
          <w:color w:val="auto"/>
        </w:rPr>
        <w:t>根据监测结果，</w:t>
      </w:r>
      <w:r>
        <w:rPr>
          <w:rFonts w:hint="eastAsia"/>
          <w:color w:val="auto"/>
        </w:rPr>
        <w:t>2025年10月15日~10月16日监测期间，N1、N3、N4的昼、夜声环境均能满足《声环境质量标准》（GB3096-2008）中3类区标准要求，N2的昼、夜声环境均能满足《声环境质量标准》（GB3096-2008）中4a类区标准要求，N5、N6、N7和N8的昼、夜声环境均能满足《声环境质量标准》（GB3096-2008）中2类区标准要求</w:t>
      </w:r>
      <w:r>
        <w:rPr>
          <w:color w:val="auto"/>
        </w:rPr>
        <w:t>。</w:t>
      </w:r>
    </w:p>
    <w:p w14:paraId="0B913B27">
      <w:pPr>
        <w:pStyle w:val="3"/>
        <w:rPr>
          <w:color w:val="auto"/>
        </w:rPr>
      </w:pPr>
      <w:bookmarkStart w:id="412" w:name="_Toc199168965"/>
      <w:bookmarkStart w:id="413" w:name="_Toc198390610"/>
      <w:bookmarkStart w:id="414" w:name="_Toc198391263"/>
      <w:bookmarkStart w:id="415" w:name="_Toc199190502"/>
      <w:bookmarkStart w:id="416" w:name="_Toc198390027"/>
      <w:bookmarkStart w:id="417" w:name="_Toc221355723"/>
      <w:bookmarkStart w:id="418" w:name="_Toc225216766"/>
      <w:r>
        <w:rPr>
          <w:rFonts w:hint="eastAsia"/>
          <w:color w:val="auto"/>
        </w:rPr>
        <w:t>土壤环境质量现状调查及评价</w:t>
      </w:r>
      <w:bookmarkEnd w:id="412"/>
      <w:bookmarkEnd w:id="413"/>
      <w:bookmarkEnd w:id="414"/>
      <w:bookmarkEnd w:id="415"/>
      <w:bookmarkEnd w:id="416"/>
      <w:bookmarkEnd w:id="417"/>
      <w:bookmarkEnd w:id="418"/>
    </w:p>
    <w:p w14:paraId="5D96F0AD">
      <w:pPr>
        <w:pStyle w:val="4"/>
        <w:rPr>
          <w:color w:val="auto"/>
        </w:rPr>
      </w:pPr>
      <w:bookmarkStart w:id="419" w:name="_Toc198391264"/>
      <w:bookmarkStart w:id="420" w:name="_Toc198390611"/>
      <w:bookmarkStart w:id="421" w:name="_Toc225216767"/>
      <w:bookmarkStart w:id="422" w:name="_Toc199168966"/>
      <w:bookmarkStart w:id="423" w:name="_Toc199190503"/>
      <w:r>
        <w:rPr>
          <w:rFonts w:hint="eastAsia"/>
          <w:color w:val="auto"/>
        </w:rPr>
        <w:t>监测布点及监测因子</w:t>
      </w:r>
      <w:bookmarkEnd w:id="419"/>
      <w:bookmarkEnd w:id="420"/>
      <w:bookmarkEnd w:id="421"/>
      <w:bookmarkEnd w:id="422"/>
      <w:bookmarkEnd w:id="423"/>
    </w:p>
    <w:p w14:paraId="029C0ED1">
      <w:pPr>
        <w:ind w:firstLine="480"/>
        <w:rPr>
          <w:color w:val="auto"/>
        </w:rPr>
      </w:pPr>
      <w:r>
        <w:rPr>
          <w:rFonts w:hint="eastAsia"/>
          <w:color w:val="auto"/>
        </w:rPr>
        <w:t>本项目土壤评价等级为二级，属于污染影响型。根据《环境影响评价技术导则 土壤环境（试行）》（HJ964-2018）要求，本项目占地范围内设置3个柱状样点，1个表层样点；占地范围外布设2个表层样点。监测布点情况详见下表</w:t>
      </w:r>
      <w:r>
        <w:rPr>
          <w:color w:val="auto"/>
        </w:rPr>
        <w:fldChar w:fldCharType="begin"/>
      </w:r>
      <w:r>
        <w:rPr>
          <w:color w:val="auto"/>
        </w:rPr>
        <w:instrText xml:space="preserve"> </w:instrText>
      </w:r>
      <w:r>
        <w:rPr>
          <w:rFonts w:hint="eastAsia"/>
          <w:color w:val="auto"/>
        </w:rPr>
        <w:instrText xml:space="preserve">REF _Ref184719322 \r \h</w:instrText>
      </w:r>
      <w:r>
        <w:rPr>
          <w:color w:val="auto"/>
        </w:rPr>
        <w:instrText xml:space="preserve">  \* MERGEFORMAT </w:instrText>
      </w:r>
      <w:r>
        <w:rPr>
          <w:color w:val="auto"/>
        </w:rPr>
        <w:fldChar w:fldCharType="separate"/>
      </w:r>
      <w:r>
        <w:rPr>
          <w:color w:val="auto"/>
        </w:rPr>
        <w:fldChar w:fldCharType="end"/>
      </w:r>
      <w:r>
        <w:rPr>
          <w:rFonts w:hint="eastAsia"/>
          <w:color w:val="auto"/>
        </w:rPr>
        <w:t>。</w:t>
      </w:r>
    </w:p>
    <w:p w14:paraId="37F125F8">
      <w:pPr>
        <w:pStyle w:val="7"/>
        <w:rPr>
          <w:color w:val="auto"/>
        </w:rPr>
      </w:pPr>
      <w:bookmarkStart w:id="424" w:name="_Ref196926185"/>
      <w:r>
        <w:rPr>
          <w:rFonts w:hint="eastAsia"/>
          <w:color w:val="auto"/>
        </w:rPr>
        <w:t>土壤环境监测布点一览表</w:t>
      </w:r>
      <w:bookmarkEnd w:id="424"/>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639"/>
        <w:gridCol w:w="1172"/>
        <w:gridCol w:w="746"/>
        <w:gridCol w:w="1549"/>
        <w:gridCol w:w="3891"/>
        <w:gridCol w:w="746"/>
      </w:tblGrid>
      <w:tr w14:paraId="6D34B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394A5DDC">
            <w:pPr>
              <w:pStyle w:val="33"/>
              <w:rPr>
                <w:color w:val="auto"/>
              </w:rPr>
            </w:pPr>
            <w:r>
              <w:rPr>
                <w:rFonts w:hint="eastAsia"/>
                <w:color w:val="auto"/>
              </w:rPr>
              <w:t>编号</w:t>
            </w:r>
          </w:p>
        </w:tc>
        <w:tc>
          <w:tcPr>
            <w:tcW w:w="0" w:type="auto"/>
            <w:vAlign w:val="center"/>
          </w:tcPr>
          <w:p w14:paraId="74FF8554">
            <w:pPr>
              <w:pStyle w:val="33"/>
              <w:rPr>
                <w:color w:val="auto"/>
              </w:rPr>
            </w:pPr>
            <w:r>
              <w:rPr>
                <w:rFonts w:hint="eastAsia"/>
                <w:color w:val="auto"/>
              </w:rPr>
              <w:t>位置</w:t>
            </w:r>
          </w:p>
        </w:tc>
        <w:tc>
          <w:tcPr>
            <w:tcW w:w="0" w:type="auto"/>
            <w:vAlign w:val="center"/>
          </w:tcPr>
          <w:p w14:paraId="09AAE181">
            <w:pPr>
              <w:pStyle w:val="33"/>
              <w:rPr>
                <w:color w:val="auto"/>
              </w:rPr>
            </w:pPr>
            <w:r>
              <w:rPr>
                <w:rFonts w:hint="eastAsia"/>
                <w:color w:val="auto"/>
              </w:rPr>
              <w:t>监测点位名称</w:t>
            </w:r>
          </w:p>
        </w:tc>
        <w:tc>
          <w:tcPr>
            <w:tcW w:w="0" w:type="auto"/>
            <w:vAlign w:val="center"/>
          </w:tcPr>
          <w:p w14:paraId="7B99BA3F">
            <w:pPr>
              <w:pStyle w:val="33"/>
              <w:rPr>
                <w:color w:val="auto"/>
              </w:rPr>
            </w:pPr>
            <w:r>
              <w:rPr>
                <w:rFonts w:hint="eastAsia"/>
                <w:color w:val="auto"/>
              </w:rPr>
              <w:t>土地类型</w:t>
            </w:r>
          </w:p>
        </w:tc>
        <w:tc>
          <w:tcPr>
            <w:tcW w:w="0" w:type="auto"/>
            <w:vAlign w:val="center"/>
          </w:tcPr>
          <w:p w14:paraId="538AFF6B">
            <w:pPr>
              <w:pStyle w:val="33"/>
              <w:rPr>
                <w:color w:val="auto"/>
              </w:rPr>
            </w:pPr>
            <w:r>
              <w:rPr>
                <w:rFonts w:hint="eastAsia"/>
                <w:color w:val="auto"/>
              </w:rPr>
              <w:t>布点类型</w:t>
            </w:r>
          </w:p>
        </w:tc>
        <w:tc>
          <w:tcPr>
            <w:tcW w:w="0" w:type="auto"/>
            <w:vAlign w:val="center"/>
          </w:tcPr>
          <w:p w14:paraId="16758184">
            <w:pPr>
              <w:pStyle w:val="33"/>
              <w:rPr>
                <w:color w:val="auto"/>
              </w:rPr>
            </w:pPr>
            <w:r>
              <w:rPr>
                <w:rFonts w:hint="eastAsia"/>
                <w:color w:val="auto"/>
              </w:rPr>
              <w:t>监测因子</w:t>
            </w:r>
          </w:p>
        </w:tc>
        <w:tc>
          <w:tcPr>
            <w:tcW w:w="0" w:type="auto"/>
            <w:vAlign w:val="center"/>
          </w:tcPr>
          <w:p w14:paraId="34F67008">
            <w:pPr>
              <w:pStyle w:val="33"/>
              <w:rPr>
                <w:color w:val="auto"/>
              </w:rPr>
            </w:pPr>
            <w:r>
              <w:rPr>
                <w:rFonts w:hint="eastAsia"/>
                <w:color w:val="auto"/>
              </w:rPr>
              <w:t>理化性质</w:t>
            </w:r>
          </w:p>
        </w:tc>
      </w:tr>
      <w:tr w14:paraId="37242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B3F7CCD">
            <w:pPr>
              <w:pStyle w:val="33"/>
              <w:rPr>
                <w:color w:val="auto"/>
              </w:rPr>
            </w:pPr>
            <w:r>
              <w:rPr>
                <w:rFonts w:hint="eastAsia"/>
                <w:color w:val="auto"/>
              </w:rPr>
              <w:t>T</w:t>
            </w:r>
            <w:r>
              <w:rPr>
                <w:color w:val="auto"/>
              </w:rPr>
              <w:t>1</w:t>
            </w:r>
          </w:p>
        </w:tc>
        <w:tc>
          <w:tcPr>
            <w:tcW w:w="0" w:type="auto"/>
            <w:vMerge w:val="restart"/>
            <w:vAlign w:val="center"/>
          </w:tcPr>
          <w:p w14:paraId="6DA3959E">
            <w:pPr>
              <w:pStyle w:val="33"/>
              <w:rPr>
                <w:color w:val="auto"/>
              </w:rPr>
            </w:pPr>
            <w:r>
              <w:rPr>
                <w:rFonts w:hint="eastAsia"/>
                <w:color w:val="auto"/>
              </w:rPr>
              <w:t>厂区内</w:t>
            </w:r>
          </w:p>
        </w:tc>
        <w:tc>
          <w:tcPr>
            <w:tcW w:w="0" w:type="auto"/>
            <w:vAlign w:val="center"/>
          </w:tcPr>
          <w:p w14:paraId="37AFC3BD">
            <w:pPr>
              <w:pStyle w:val="33"/>
              <w:rPr>
                <w:color w:val="auto"/>
              </w:rPr>
            </w:pPr>
            <w:r>
              <w:rPr>
                <w:rFonts w:hint="eastAsia"/>
                <w:color w:val="auto"/>
              </w:rPr>
              <w:t>2#污水处理站</w:t>
            </w:r>
          </w:p>
        </w:tc>
        <w:tc>
          <w:tcPr>
            <w:tcW w:w="0" w:type="auto"/>
            <w:vMerge w:val="restart"/>
            <w:vAlign w:val="center"/>
          </w:tcPr>
          <w:p w14:paraId="6CF4EE84">
            <w:pPr>
              <w:pStyle w:val="33"/>
              <w:rPr>
                <w:color w:val="auto"/>
              </w:rPr>
            </w:pPr>
            <w:r>
              <w:rPr>
                <w:rFonts w:hint="eastAsia"/>
                <w:color w:val="auto"/>
              </w:rPr>
              <w:t>建设用地</w:t>
            </w:r>
          </w:p>
        </w:tc>
        <w:tc>
          <w:tcPr>
            <w:tcW w:w="0" w:type="auto"/>
            <w:vMerge w:val="restart"/>
            <w:vAlign w:val="center"/>
          </w:tcPr>
          <w:p w14:paraId="0B6F3B63">
            <w:pPr>
              <w:pStyle w:val="33"/>
              <w:rPr>
                <w:color w:val="auto"/>
              </w:rPr>
            </w:pPr>
            <w:r>
              <w:rPr>
                <w:rFonts w:hint="eastAsia"/>
                <w:color w:val="auto"/>
              </w:rPr>
              <w:t>柱状样</w:t>
            </w:r>
          </w:p>
          <w:p w14:paraId="4545FB23">
            <w:pPr>
              <w:pStyle w:val="33"/>
              <w:rPr>
                <w:color w:val="auto"/>
              </w:rPr>
            </w:pPr>
            <w:r>
              <w:rPr>
                <w:color w:val="auto"/>
              </w:rPr>
              <w:t>0~0.5m</w:t>
            </w:r>
          </w:p>
          <w:p w14:paraId="28C05412">
            <w:pPr>
              <w:pStyle w:val="33"/>
              <w:rPr>
                <w:color w:val="auto"/>
              </w:rPr>
            </w:pPr>
            <w:r>
              <w:rPr>
                <w:color w:val="auto"/>
              </w:rPr>
              <w:t>0.5~1.5m</w:t>
            </w:r>
          </w:p>
          <w:p w14:paraId="7565EEA8">
            <w:pPr>
              <w:pStyle w:val="33"/>
              <w:rPr>
                <w:color w:val="auto"/>
              </w:rPr>
            </w:pPr>
            <w:r>
              <w:rPr>
                <w:color w:val="auto"/>
              </w:rPr>
              <w:t>1.5~3.0m</w:t>
            </w:r>
          </w:p>
        </w:tc>
        <w:tc>
          <w:tcPr>
            <w:tcW w:w="0" w:type="auto"/>
            <w:vAlign w:val="center"/>
          </w:tcPr>
          <w:p w14:paraId="6281A51B">
            <w:pPr>
              <w:pStyle w:val="33"/>
              <w:rPr>
                <w:color w:val="auto"/>
              </w:rPr>
            </w:pPr>
            <w:r>
              <w:rPr>
                <w:rFonts w:hint="eastAsia"/>
                <w:color w:val="auto"/>
              </w:rPr>
              <w:t>（1）p</w:t>
            </w:r>
            <w:r>
              <w:rPr>
                <w:color w:val="auto"/>
              </w:rPr>
              <w:t>H</w:t>
            </w:r>
            <w:r>
              <w:rPr>
                <w:rFonts w:hint="eastAsia"/>
                <w:color w:val="auto"/>
              </w:rPr>
              <w:t>值、4</w:t>
            </w:r>
            <w:r>
              <w:rPr>
                <w:color w:val="auto"/>
              </w:rPr>
              <w:t>5</w:t>
            </w:r>
            <w:r>
              <w:rPr>
                <w:rFonts w:hint="eastAsia"/>
                <w:color w:val="auto"/>
              </w:rPr>
              <w:t>项基本因子</w:t>
            </w:r>
            <w:r>
              <w:rPr>
                <w:rFonts w:hint="eastAsia" w:cs="Times New Roman"/>
                <w:color w:val="auto"/>
              </w:rPr>
              <w:t>、</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r>
              <w:rPr>
                <w:rFonts w:hint="eastAsia"/>
                <w:color w:val="auto"/>
              </w:rPr>
              <w:t>；</w:t>
            </w:r>
          </w:p>
          <w:p w14:paraId="22A7E33D">
            <w:pPr>
              <w:pStyle w:val="33"/>
              <w:rPr>
                <w:color w:val="auto"/>
              </w:rPr>
            </w:pPr>
            <w:r>
              <w:rPr>
                <w:rFonts w:hint="eastAsia"/>
                <w:color w:val="auto"/>
              </w:rPr>
              <w:t>（2）理化性质</w:t>
            </w:r>
          </w:p>
        </w:tc>
        <w:tc>
          <w:tcPr>
            <w:tcW w:w="0" w:type="auto"/>
            <w:vAlign w:val="center"/>
          </w:tcPr>
          <w:p w14:paraId="1DC55A41">
            <w:pPr>
              <w:pStyle w:val="33"/>
              <w:rPr>
                <w:color w:val="auto"/>
              </w:rPr>
            </w:pPr>
            <w:r>
              <w:rPr>
                <w:rFonts w:hint="eastAsia"/>
                <w:color w:val="auto"/>
              </w:rPr>
              <w:t>监测</w:t>
            </w:r>
          </w:p>
        </w:tc>
      </w:tr>
      <w:tr w14:paraId="7FF0F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000CBEE9">
            <w:pPr>
              <w:pStyle w:val="33"/>
              <w:rPr>
                <w:color w:val="auto"/>
              </w:rPr>
            </w:pPr>
            <w:r>
              <w:rPr>
                <w:rFonts w:hint="eastAsia"/>
                <w:color w:val="auto"/>
              </w:rPr>
              <w:t>T</w:t>
            </w:r>
            <w:r>
              <w:rPr>
                <w:color w:val="auto"/>
              </w:rPr>
              <w:t>2</w:t>
            </w:r>
          </w:p>
        </w:tc>
        <w:tc>
          <w:tcPr>
            <w:tcW w:w="0" w:type="auto"/>
            <w:vMerge w:val="continue"/>
            <w:vAlign w:val="center"/>
          </w:tcPr>
          <w:p w14:paraId="0404AC37">
            <w:pPr>
              <w:pStyle w:val="33"/>
              <w:rPr>
                <w:color w:val="auto"/>
              </w:rPr>
            </w:pPr>
          </w:p>
        </w:tc>
        <w:tc>
          <w:tcPr>
            <w:tcW w:w="0" w:type="auto"/>
            <w:vAlign w:val="center"/>
          </w:tcPr>
          <w:p w14:paraId="424F7CF8">
            <w:pPr>
              <w:pStyle w:val="33"/>
              <w:rPr>
                <w:color w:val="auto"/>
              </w:rPr>
            </w:pPr>
            <w:r>
              <w:rPr>
                <w:rFonts w:hint="eastAsia"/>
                <w:color w:val="auto"/>
              </w:rPr>
              <w:t>2</w:t>
            </w:r>
            <w:r>
              <w:rPr>
                <w:color w:val="auto"/>
              </w:rPr>
              <w:t>#</w:t>
            </w:r>
            <w:r>
              <w:rPr>
                <w:rFonts w:hint="eastAsia"/>
                <w:color w:val="auto"/>
              </w:rPr>
              <w:t>纸机西侧</w:t>
            </w:r>
          </w:p>
        </w:tc>
        <w:tc>
          <w:tcPr>
            <w:tcW w:w="0" w:type="auto"/>
            <w:vMerge w:val="continue"/>
            <w:vAlign w:val="center"/>
          </w:tcPr>
          <w:p w14:paraId="7E7A060F">
            <w:pPr>
              <w:pStyle w:val="33"/>
              <w:rPr>
                <w:color w:val="auto"/>
              </w:rPr>
            </w:pPr>
          </w:p>
        </w:tc>
        <w:tc>
          <w:tcPr>
            <w:tcW w:w="0" w:type="auto"/>
            <w:vMerge w:val="continue"/>
            <w:vAlign w:val="center"/>
          </w:tcPr>
          <w:p w14:paraId="2A475E85">
            <w:pPr>
              <w:pStyle w:val="33"/>
              <w:rPr>
                <w:color w:val="auto"/>
              </w:rPr>
            </w:pPr>
          </w:p>
        </w:tc>
        <w:tc>
          <w:tcPr>
            <w:tcW w:w="0" w:type="auto"/>
            <w:vAlign w:val="center"/>
          </w:tcPr>
          <w:p w14:paraId="0F01CB8B">
            <w:pPr>
              <w:pStyle w:val="33"/>
              <w:rPr>
                <w:color w:val="auto"/>
              </w:rPr>
            </w:pPr>
            <w:r>
              <w:rPr>
                <w:rFonts w:cs="Times New Roman"/>
                <w:color w:val="auto"/>
              </w:rPr>
              <w:t>pH、砷、镉、汞、铅、六价铬</w:t>
            </w:r>
            <w:r>
              <w:rPr>
                <w:rFonts w:hint="eastAsia" w:cs="Times New Roman"/>
                <w:color w:val="auto"/>
              </w:rPr>
              <w:t>、</w:t>
            </w:r>
            <w:r>
              <w:rPr>
                <w:color w:val="auto"/>
              </w:rPr>
              <w:t>铜、镍、</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p>
        </w:tc>
        <w:tc>
          <w:tcPr>
            <w:tcW w:w="0" w:type="auto"/>
            <w:vAlign w:val="center"/>
          </w:tcPr>
          <w:p w14:paraId="52EA41F3">
            <w:pPr>
              <w:pStyle w:val="33"/>
              <w:rPr>
                <w:rFonts w:cs="Times New Roman"/>
                <w:color w:val="auto"/>
              </w:rPr>
            </w:pPr>
            <w:r>
              <w:rPr>
                <w:rFonts w:hint="eastAsia" w:cs="Times New Roman"/>
                <w:color w:val="auto"/>
              </w:rPr>
              <w:t>/</w:t>
            </w:r>
          </w:p>
        </w:tc>
      </w:tr>
      <w:tr w14:paraId="10BCD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5A8564B4">
            <w:pPr>
              <w:pStyle w:val="33"/>
              <w:rPr>
                <w:color w:val="auto"/>
              </w:rPr>
            </w:pPr>
            <w:r>
              <w:rPr>
                <w:rFonts w:hint="eastAsia"/>
                <w:color w:val="auto"/>
              </w:rPr>
              <w:t>T</w:t>
            </w:r>
            <w:r>
              <w:rPr>
                <w:color w:val="auto"/>
              </w:rPr>
              <w:t>3</w:t>
            </w:r>
          </w:p>
        </w:tc>
        <w:tc>
          <w:tcPr>
            <w:tcW w:w="0" w:type="auto"/>
            <w:vMerge w:val="continue"/>
            <w:vAlign w:val="center"/>
          </w:tcPr>
          <w:p w14:paraId="4A752907">
            <w:pPr>
              <w:pStyle w:val="33"/>
              <w:rPr>
                <w:color w:val="auto"/>
              </w:rPr>
            </w:pPr>
          </w:p>
        </w:tc>
        <w:tc>
          <w:tcPr>
            <w:tcW w:w="0" w:type="auto"/>
            <w:vAlign w:val="center"/>
          </w:tcPr>
          <w:p w14:paraId="0BB3D101">
            <w:pPr>
              <w:pStyle w:val="33"/>
              <w:rPr>
                <w:color w:val="auto"/>
              </w:rPr>
            </w:pPr>
            <w:r>
              <w:rPr>
                <w:rFonts w:hint="eastAsia"/>
                <w:color w:val="auto"/>
              </w:rPr>
              <w:t>碱回收区域</w:t>
            </w:r>
          </w:p>
        </w:tc>
        <w:tc>
          <w:tcPr>
            <w:tcW w:w="0" w:type="auto"/>
            <w:vMerge w:val="continue"/>
            <w:vAlign w:val="center"/>
          </w:tcPr>
          <w:p w14:paraId="0C65D694">
            <w:pPr>
              <w:pStyle w:val="33"/>
              <w:rPr>
                <w:color w:val="auto"/>
              </w:rPr>
            </w:pPr>
          </w:p>
        </w:tc>
        <w:tc>
          <w:tcPr>
            <w:tcW w:w="0" w:type="auto"/>
            <w:vMerge w:val="continue"/>
            <w:vAlign w:val="center"/>
          </w:tcPr>
          <w:p w14:paraId="39E59C9F">
            <w:pPr>
              <w:pStyle w:val="33"/>
              <w:rPr>
                <w:color w:val="auto"/>
              </w:rPr>
            </w:pPr>
          </w:p>
        </w:tc>
        <w:tc>
          <w:tcPr>
            <w:tcW w:w="0" w:type="auto"/>
            <w:vAlign w:val="center"/>
          </w:tcPr>
          <w:p w14:paraId="38B643B9">
            <w:pPr>
              <w:pStyle w:val="33"/>
              <w:rPr>
                <w:color w:val="auto"/>
              </w:rPr>
            </w:pPr>
            <w:r>
              <w:rPr>
                <w:rFonts w:cs="Times New Roman"/>
                <w:color w:val="auto"/>
              </w:rPr>
              <w:t>pH、砷、镉、汞、铅、六价铬</w:t>
            </w:r>
            <w:r>
              <w:rPr>
                <w:rFonts w:hint="eastAsia" w:cs="Times New Roman"/>
                <w:color w:val="auto"/>
              </w:rPr>
              <w:t>、</w:t>
            </w:r>
            <w:r>
              <w:rPr>
                <w:color w:val="auto"/>
              </w:rPr>
              <w:t>铜、镍、</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p>
        </w:tc>
        <w:tc>
          <w:tcPr>
            <w:tcW w:w="0" w:type="auto"/>
            <w:vAlign w:val="center"/>
          </w:tcPr>
          <w:p w14:paraId="4350E061">
            <w:pPr>
              <w:pStyle w:val="33"/>
              <w:rPr>
                <w:rFonts w:cs="Times New Roman"/>
                <w:color w:val="auto"/>
              </w:rPr>
            </w:pPr>
            <w:r>
              <w:rPr>
                <w:rFonts w:hint="eastAsia" w:cs="Times New Roman"/>
                <w:color w:val="auto"/>
              </w:rPr>
              <w:t>/</w:t>
            </w:r>
          </w:p>
        </w:tc>
      </w:tr>
      <w:tr w14:paraId="4959B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369FD067">
            <w:pPr>
              <w:pStyle w:val="33"/>
              <w:rPr>
                <w:color w:val="auto"/>
              </w:rPr>
            </w:pPr>
            <w:r>
              <w:rPr>
                <w:rFonts w:hint="eastAsia"/>
                <w:color w:val="auto"/>
              </w:rPr>
              <w:t>T</w:t>
            </w:r>
            <w:r>
              <w:rPr>
                <w:color w:val="auto"/>
              </w:rPr>
              <w:t>4</w:t>
            </w:r>
          </w:p>
        </w:tc>
        <w:tc>
          <w:tcPr>
            <w:tcW w:w="0" w:type="auto"/>
            <w:vMerge w:val="continue"/>
            <w:vAlign w:val="center"/>
          </w:tcPr>
          <w:p w14:paraId="2C0AC3AE">
            <w:pPr>
              <w:pStyle w:val="33"/>
              <w:rPr>
                <w:color w:val="auto"/>
              </w:rPr>
            </w:pPr>
          </w:p>
        </w:tc>
        <w:tc>
          <w:tcPr>
            <w:tcW w:w="0" w:type="auto"/>
            <w:vAlign w:val="center"/>
          </w:tcPr>
          <w:p w14:paraId="3401AFE5">
            <w:pPr>
              <w:pStyle w:val="33"/>
              <w:rPr>
                <w:color w:val="auto"/>
              </w:rPr>
            </w:pPr>
            <w:r>
              <w:rPr>
                <w:rFonts w:hint="eastAsia"/>
                <w:color w:val="auto"/>
              </w:rPr>
              <w:t>原料堆场</w:t>
            </w:r>
          </w:p>
        </w:tc>
        <w:tc>
          <w:tcPr>
            <w:tcW w:w="0" w:type="auto"/>
            <w:vMerge w:val="continue"/>
            <w:vAlign w:val="center"/>
          </w:tcPr>
          <w:p w14:paraId="3FC5BB2F">
            <w:pPr>
              <w:pStyle w:val="33"/>
              <w:rPr>
                <w:color w:val="auto"/>
              </w:rPr>
            </w:pPr>
          </w:p>
        </w:tc>
        <w:tc>
          <w:tcPr>
            <w:tcW w:w="0" w:type="auto"/>
            <w:vMerge w:val="restart"/>
            <w:vAlign w:val="center"/>
          </w:tcPr>
          <w:p w14:paraId="1FAACF7F">
            <w:pPr>
              <w:pStyle w:val="33"/>
              <w:rPr>
                <w:color w:val="auto"/>
              </w:rPr>
            </w:pPr>
            <w:r>
              <w:rPr>
                <w:rFonts w:hint="eastAsia"/>
                <w:color w:val="auto"/>
              </w:rPr>
              <w:t>表层样（0~0.2m）</w:t>
            </w:r>
          </w:p>
        </w:tc>
        <w:tc>
          <w:tcPr>
            <w:tcW w:w="0" w:type="auto"/>
            <w:vAlign w:val="center"/>
          </w:tcPr>
          <w:p w14:paraId="76E6F14F">
            <w:pPr>
              <w:pStyle w:val="33"/>
              <w:rPr>
                <w:color w:val="auto"/>
              </w:rPr>
            </w:pPr>
            <w:r>
              <w:rPr>
                <w:rFonts w:cs="Times New Roman"/>
                <w:color w:val="auto"/>
              </w:rPr>
              <w:t>pH、砷、镉、汞、铅、六价铬</w:t>
            </w:r>
            <w:r>
              <w:rPr>
                <w:rFonts w:hint="eastAsia" w:cs="Times New Roman"/>
                <w:color w:val="auto"/>
              </w:rPr>
              <w:t>、</w:t>
            </w:r>
            <w:r>
              <w:rPr>
                <w:color w:val="auto"/>
              </w:rPr>
              <w:t>铜、镍、</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p>
        </w:tc>
        <w:tc>
          <w:tcPr>
            <w:tcW w:w="0" w:type="auto"/>
            <w:vAlign w:val="center"/>
          </w:tcPr>
          <w:p w14:paraId="14C44A0E">
            <w:pPr>
              <w:pStyle w:val="33"/>
              <w:rPr>
                <w:rFonts w:cs="Times New Roman"/>
                <w:color w:val="auto"/>
              </w:rPr>
            </w:pPr>
            <w:r>
              <w:rPr>
                <w:rFonts w:hint="eastAsia" w:cs="Times New Roman"/>
                <w:color w:val="auto"/>
              </w:rPr>
              <w:t>/</w:t>
            </w:r>
          </w:p>
        </w:tc>
      </w:tr>
      <w:tr w14:paraId="1FF79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114293B6">
            <w:pPr>
              <w:pStyle w:val="33"/>
              <w:rPr>
                <w:color w:val="auto"/>
              </w:rPr>
            </w:pPr>
            <w:r>
              <w:rPr>
                <w:rFonts w:hint="eastAsia"/>
                <w:color w:val="auto"/>
              </w:rPr>
              <w:t>T</w:t>
            </w:r>
            <w:r>
              <w:rPr>
                <w:color w:val="auto"/>
              </w:rPr>
              <w:t>5</w:t>
            </w:r>
          </w:p>
        </w:tc>
        <w:tc>
          <w:tcPr>
            <w:tcW w:w="0" w:type="auto"/>
            <w:vMerge w:val="restart"/>
            <w:vAlign w:val="center"/>
          </w:tcPr>
          <w:p w14:paraId="422964F0">
            <w:pPr>
              <w:pStyle w:val="33"/>
              <w:rPr>
                <w:color w:val="auto"/>
              </w:rPr>
            </w:pPr>
            <w:r>
              <w:rPr>
                <w:rFonts w:hint="eastAsia"/>
                <w:color w:val="auto"/>
              </w:rPr>
              <w:t>厂区外</w:t>
            </w:r>
          </w:p>
        </w:tc>
        <w:tc>
          <w:tcPr>
            <w:tcW w:w="0" w:type="auto"/>
            <w:vAlign w:val="center"/>
          </w:tcPr>
          <w:p w14:paraId="49123164">
            <w:pPr>
              <w:pStyle w:val="33"/>
              <w:rPr>
                <w:color w:val="auto"/>
              </w:rPr>
            </w:pPr>
            <w:r>
              <w:rPr>
                <w:rFonts w:hint="eastAsia"/>
                <w:color w:val="auto"/>
              </w:rPr>
              <w:t>厂区北侧农田</w:t>
            </w:r>
          </w:p>
        </w:tc>
        <w:tc>
          <w:tcPr>
            <w:tcW w:w="0" w:type="auto"/>
            <w:vMerge w:val="restart"/>
            <w:vAlign w:val="center"/>
          </w:tcPr>
          <w:p w14:paraId="59FD99E0">
            <w:pPr>
              <w:pStyle w:val="33"/>
              <w:rPr>
                <w:color w:val="auto"/>
              </w:rPr>
            </w:pPr>
            <w:r>
              <w:rPr>
                <w:rFonts w:hint="eastAsia"/>
                <w:color w:val="auto"/>
              </w:rPr>
              <w:t>农用地</w:t>
            </w:r>
          </w:p>
        </w:tc>
        <w:tc>
          <w:tcPr>
            <w:tcW w:w="0" w:type="auto"/>
            <w:vMerge w:val="continue"/>
            <w:vAlign w:val="center"/>
          </w:tcPr>
          <w:p w14:paraId="71050A54">
            <w:pPr>
              <w:pStyle w:val="33"/>
              <w:rPr>
                <w:color w:val="auto"/>
              </w:rPr>
            </w:pPr>
          </w:p>
        </w:tc>
        <w:tc>
          <w:tcPr>
            <w:tcW w:w="0" w:type="auto"/>
            <w:vAlign w:val="center"/>
          </w:tcPr>
          <w:p w14:paraId="696A1E31">
            <w:pPr>
              <w:pStyle w:val="33"/>
              <w:rPr>
                <w:rFonts w:cs="Times New Roman"/>
                <w:color w:val="auto"/>
              </w:rPr>
            </w:pPr>
            <w:r>
              <w:rPr>
                <w:rFonts w:hint="eastAsia" w:cs="Times New Roman"/>
                <w:color w:val="auto"/>
              </w:rPr>
              <w:t>（1）</w:t>
            </w:r>
            <w:r>
              <w:rPr>
                <w:rFonts w:cs="Times New Roman"/>
                <w:color w:val="auto"/>
              </w:rPr>
              <w:t>pH、砷、镉、汞、铅、铬</w:t>
            </w:r>
            <w:r>
              <w:rPr>
                <w:rFonts w:hint="eastAsia" w:cs="Times New Roman"/>
                <w:color w:val="auto"/>
              </w:rPr>
              <w:t>、</w:t>
            </w:r>
            <w:r>
              <w:rPr>
                <w:color w:val="auto"/>
              </w:rPr>
              <w:t>铜、镍、锌</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r>
              <w:rPr>
                <w:rFonts w:hint="eastAsia" w:cs="Times New Roman"/>
                <w:color w:val="auto"/>
              </w:rPr>
              <w:t>；</w:t>
            </w:r>
          </w:p>
          <w:p w14:paraId="27152A60">
            <w:pPr>
              <w:pStyle w:val="33"/>
              <w:rPr>
                <w:color w:val="auto"/>
              </w:rPr>
            </w:pPr>
            <w:r>
              <w:rPr>
                <w:rFonts w:hint="eastAsia" w:cs="Times New Roman"/>
                <w:color w:val="auto"/>
              </w:rPr>
              <w:t>（2）理化性质</w:t>
            </w:r>
          </w:p>
        </w:tc>
        <w:tc>
          <w:tcPr>
            <w:tcW w:w="0" w:type="auto"/>
            <w:vAlign w:val="center"/>
          </w:tcPr>
          <w:p w14:paraId="72075FEA">
            <w:pPr>
              <w:pStyle w:val="33"/>
              <w:rPr>
                <w:rFonts w:cs="Times New Roman"/>
                <w:color w:val="auto"/>
              </w:rPr>
            </w:pPr>
            <w:r>
              <w:rPr>
                <w:rFonts w:hint="eastAsia" w:cs="Times New Roman"/>
                <w:color w:val="auto"/>
              </w:rPr>
              <w:t>监测</w:t>
            </w:r>
          </w:p>
        </w:tc>
      </w:tr>
      <w:tr w14:paraId="531BC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0" w:type="auto"/>
            <w:vAlign w:val="center"/>
          </w:tcPr>
          <w:p w14:paraId="78C12491">
            <w:pPr>
              <w:pStyle w:val="33"/>
              <w:rPr>
                <w:color w:val="auto"/>
              </w:rPr>
            </w:pPr>
            <w:r>
              <w:rPr>
                <w:rFonts w:hint="eastAsia"/>
                <w:color w:val="auto"/>
              </w:rPr>
              <w:t>T</w:t>
            </w:r>
            <w:r>
              <w:rPr>
                <w:color w:val="auto"/>
              </w:rPr>
              <w:t>6</w:t>
            </w:r>
          </w:p>
        </w:tc>
        <w:tc>
          <w:tcPr>
            <w:tcW w:w="0" w:type="auto"/>
            <w:vMerge w:val="continue"/>
            <w:vAlign w:val="center"/>
          </w:tcPr>
          <w:p w14:paraId="24A4C9B6">
            <w:pPr>
              <w:pStyle w:val="33"/>
              <w:rPr>
                <w:color w:val="auto"/>
              </w:rPr>
            </w:pPr>
          </w:p>
        </w:tc>
        <w:tc>
          <w:tcPr>
            <w:tcW w:w="0" w:type="auto"/>
            <w:vAlign w:val="center"/>
          </w:tcPr>
          <w:p w14:paraId="60DB087B">
            <w:pPr>
              <w:pStyle w:val="33"/>
              <w:rPr>
                <w:color w:val="auto"/>
              </w:rPr>
            </w:pPr>
            <w:r>
              <w:rPr>
                <w:rFonts w:hint="eastAsia"/>
                <w:color w:val="auto"/>
              </w:rPr>
              <w:t>上硫磺山村东北侧</w:t>
            </w:r>
          </w:p>
        </w:tc>
        <w:tc>
          <w:tcPr>
            <w:tcW w:w="0" w:type="auto"/>
            <w:vMerge w:val="continue"/>
            <w:vAlign w:val="center"/>
          </w:tcPr>
          <w:p w14:paraId="4DE14DD2">
            <w:pPr>
              <w:pStyle w:val="33"/>
              <w:rPr>
                <w:color w:val="auto"/>
              </w:rPr>
            </w:pPr>
          </w:p>
        </w:tc>
        <w:tc>
          <w:tcPr>
            <w:tcW w:w="0" w:type="auto"/>
            <w:vMerge w:val="continue"/>
            <w:vAlign w:val="center"/>
          </w:tcPr>
          <w:p w14:paraId="577343C9">
            <w:pPr>
              <w:pStyle w:val="33"/>
              <w:rPr>
                <w:color w:val="auto"/>
              </w:rPr>
            </w:pPr>
          </w:p>
        </w:tc>
        <w:tc>
          <w:tcPr>
            <w:tcW w:w="0" w:type="auto"/>
            <w:vAlign w:val="center"/>
          </w:tcPr>
          <w:p w14:paraId="7BFC4F55">
            <w:pPr>
              <w:pStyle w:val="33"/>
              <w:rPr>
                <w:color w:val="auto"/>
              </w:rPr>
            </w:pPr>
            <w:r>
              <w:rPr>
                <w:rFonts w:cs="Times New Roman"/>
                <w:color w:val="auto"/>
              </w:rPr>
              <w:t>pH、砷、镉、汞、铅、铬</w:t>
            </w:r>
            <w:r>
              <w:rPr>
                <w:rFonts w:hint="eastAsia" w:cs="Times New Roman"/>
                <w:color w:val="auto"/>
              </w:rPr>
              <w:t>、</w:t>
            </w:r>
            <w:r>
              <w:rPr>
                <w:color w:val="auto"/>
              </w:rPr>
              <w:t>铜、镍、锌</w:t>
            </w:r>
            <w:r>
              <w:rPr>
                <w:rFonts w:hint="eastAsia"/>
                <w:color w:val="auto"/>
              </w:rPr>
              <w:t>、石油烃</w:t>
            </w:r>
            <w:r>
              <w:rPr>
                <w:rFonts w:cs="Times New Roman"/>
                <w:color w:val="auto"/>
              </w:rPr>
              <w:t>（C</w:t>
            </w:r>
            <w:r>
              <w:rPr>
                <w:rFonts w:cs="Times New Roman"/>
                <w:color w:val="auto"/>
                <w:vertAlign w:val="subscript"/>
              </w:rPr>
              <w:t>10</w:t>
            </w:r>
            <w:r>
              <w:rPr>
                <w:rFonts w:cs="Times New Roman"/>
                <w:color w:val="auto"/>
              </w:rPr>
              <w:t>-C</w:t>
            </w:r>
            <w:r>
              <w:rPr>
                <w:rFonts w:cs="Times New Roman"/>
                <w:color w:val="auto"/>
                <w:vertAlign w:val="subscript"/>
              </w:rPr>
              <w:t>40</w:t>
            </w:r>
            <w:r>
              <w:rPr>
                <w:rFonts w:cs="Times New Roman"/>
                <w:color w:val="auto"/>
              </w:rPr>
              <w:t>）</w:t>
            </w:r>
          </w:p>
        </w:tc>
        <w:tc>
          <w:tcPr>
            <w:tcW w:w="0" w:type="auto"/>
            <w:vAlign w:val="center"/>
          </w:tcPr>
          <w:p w14:paraId="197C5D80">
            <w:pPr>
              <w:pStyle w:val="33"/>
              <w:rPr>
                <w:rFonts w:cs="Times New Roman"/>
                <w:color w:val="auto"/>
              </w:rPr>
            </w:pPr>
            <w:r>
              <w:rPr>
                <w:rFonts w:hint="eastAsia" w:cs="Times New Roman"/>
                <w:color w:val="auto"/>
              </w:rPr>
              <w:t>/</w:t>
            </w:r>
          </w:p>
        </w:tc>
      </w:tr>
    </w:tbl>
    <w:p w14:paraId="6BBF5959">
      <w:pPr>
        <w:pStyle w:val="4"/>
        <w:rPr>
          <w:color w:val="auto"/>
        </w:rPr>
      </w:pPr>
      <w:bookmarkStart w:id="425" w:name="_Toc199190504"/>
      <w:bookmarkStart w:id="426" w:name="_Toc198390612"/>
      <w:bookmarkStart w:id="427" w:name="_Toc225216768"/>
      <w:bookmarkStart w:id="428" w:name="_Toc199168967"/>
      <w:bookmarkStart w:id="429" w:name="_Toc198391265"/>
      <w:r>
        <w:rPr>
          <w:rFonts w:hint="eastAsia"/>
          <w:color w:val="auto"/>
        </w:rPr>
        <w:t>监测时间及频次</w:t>
      </w:r>
      <w:bookmarkEnd w:id="425"/>
      <w:bookmarkEnd w:id="426"/>
      <w:bookmarkEnd w:id="427"/>
      <w:bookmarkEnd w:id="428"/>
      <w:bookmarkEnd w:id="429"/>
    </w:p>
    <w:p w14:paraId="26D38B9E">
      <w:pPr>
        <w:ind w:firstLine="480"/>
        <w:rPr>
          <w:color w:val="auto"/>
        </w:rPr>
      </w:pPr>
      <w:r>
        <w:rPr>
          <w:rFonts w:hint="eastAsia"/>
          <w:color w:val="auto"/>
        </w:rPr>
        <w:t>监测时间：2025年10月15日。每个点位采样一次。</w:t>
      </w:r>
    </w:p>
    <w:p w14:paraId="1C9FEF9D">
      <w:pPr>
        <w:pStyle w:val="4"/>
        <w:rPr>
          <w:color w:val="auto"/>
        </w:rPr>
      </w:pPr>
      <w:bookmarkStart w:id="430" w:name="_Toc225216769"/>
      <w:bookmarkStart w:id="431" w:name="_Toc198390613"/>
      <w:bookmarkStart w:id="432" w:name="_Toc198391266"/>
      <w:bookmarkStart w:id="433" w:name="_Toc199190505"/>
      <w:bookmarkStart w:id="434" w:name="_Toc199168968"/>
      <w:r>
        <w:rPr>
          <w:rFonts w:hint="eastAsia"/>
          <w:color w:val="auto"/>
        </w:rPr>
        <w:t>分析方法</w:t>
      </w:r>
      <w:bookmarkEnd w:id="430"/>
      <w:bookmarkEnd w:id="431"/>
      <w:bookmarkEnd w:id="432"/>
      <w:bookmarkEnd w:id="433"/>
      <w:bookmarkEnd w:id="434"/>
    </w:p>
    <w:p w14:paraId="3EB80AE4">
      <w:pPr>
        <w:ind w:firstLine="480"/>
        <w:rPr>
          <w:color w:val="auto"/>
        </w:rPr>
      </w:pPr>
      <w:r>
        <w:rPr>
          <w:rFonts w:hint="eastAsia"/>
          <w:color w:val="auto"/>
        </w:rPr>
        <w:t>各监测点位土壤监测因子的具体分析方法及最低检出限详见下表。</w:t>
      </w:r>
    </w:p>
    <w:p w14:paraId="358690CA">
      <w:pPr>
        <w:pStyle w:val="7"/>
        <w:rPr>
          <w:color w:val="auto"/>
        </w:rPr>
      </w:pPr>
      <w:bookmarkStart w:id="435" w:name="_Ref196926208"/>
      <w:r>
        <w:rPr>
          <w:rFonts w:hint="eastAsia"/>
          <w:color w:val="auto"/>
        </w:rPr>
        <w:t>土壤监测因子分析方法及最低检出限表</w:t>
      </w:r>
      <w:bookmarkEnd w:id="435"/>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3"/>
        <w:gridCol w:w="5952"/>
        <w:gridCol w:w="1451"/>
      </w:tblGrid>
      <w:tr w14:paraId="23BB8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066D658F">
            <w:pPr>
              <w:pStyle w:val="33"/>
              <w:rPr>
                <w:color w:val="auto"/>
              </w:rPr>
            </w:pPr>
            <w:r>
              <w:rPr>
                <w:color w:val="auto"/>
                <w:lang w:bidi="ar"/>
              </w:rPr>
              <w:t>分析项目</w:t>
            </w:r>
          </w:p>
        </w:tc>
        <w:tc>
          <w:tcPr>
            <w:tcW w:w="3205" w:type="pct"/>
            <w:vAlign w:val="center"/>
          </w:tcPr>
          <w:p w14:paraId="2DDDE010">
            <w:pPr>
              <w:pStyle w:val="33"/>
              <w:rPr>
                <w:color w:val="auto"/>
              </w:rPr>
            </w:pPr>
            <w:r>
              <w:rPr>
                <w:color w:val="auto"/>
              </w:rPr>
              <w:t>方法名称及标准号</w:t>
            </w:r>
          </w:p>
        </w:tc>
        <w:tc>
          <w:tcPr>
            <w:tcW w:w="781" w:type="pct"/>
            <w:vAlign w:val="center"/>
          </w:tcPr>
          <w:p w14:paraId="33E999BC">
            <w:pPr>
              <w:pStyle w:val="33"/>
              <w:rPr>
                <w:color w:val="auto"/>
              </w:rPr>
            </w:pPr>
            <w:r>
              <w:rPr>
                <w:color w:val="auto"/>
              </w:rPr>
              <w:t>检出限或最低检出浓度</w:t>
            </w:r>
          </w:p>
        </w:tc>
      </w:tr>
      <w:tr w14:paraId="10D9A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BFF84A1">
            <w:pPr>
              <w:pStyle w:val="33"/>
              <w:rPr>
                <w:color w:val="auto"/>
                <w:lang w:bidi="ar"/>
              </w:rPr>
            </w:pPr>
            <w:r>
              <w:rPr>
                <w:color w:val="auto"/>
              </w:rPr>
              <w:t>pH</w:t>
            </w:r>
          </w:p>
        </w:tc>
        <w:tc>
          <w:tcPr>
            <w:tcW w:w="3205" w:type="pct"/>
            <w:vAlign w:val="center"/>
          </w:tcPr>
          <w:p w14:paraId="449011D8">
            <w:pPr>
              <w:pStyle w:val="33"/>
              <w:rPr>
                <w:color w:val="auto"/>
                <w:lang w:bidi="ar"/>
              </w:rPr>
            </w:pPr>
            <w:r>
              <w:rPr>
                <w:color w:val="auto"/>
              </w:rPr>
              <w:t>土壤检测 第2部分：土壤pH的测定（NY/T 1121.2-2006)</w:t>
            </w:r>
          </w:p>
        </w:tc>
        <w:tc>
          <w:tcPr>
            <w:tcW w:w="781" w:type="pct"/>
            <w:vAlign w:val="center"/>
          </w:tcPr>
          <w:p w14:paraId="660960F6">
            <w:pPr>
              <w:pStyle w:val="33"/>
              <w:rPr>
                <w:color w:val="auto"/>
              </w:rPr>
            </w:pPr>
            <w:r>
              <w:rPr>
                <w:color w:val="auto"/>
              </w:rPr>
              <w:t>/</w:t>
            </w:r>
          </w:p>
        </w:tc>
      </w:tr>
      <w:tr w14:paraId="78659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07FD6D3F">
            <w:pPr>
              <w:pStyle w:val="33"/>
              <w:rPr>
                <w:color w:val="auto"/>
                <w:lang w:bidi="ar"/>
              </w:rPr>
            </w:pPr>
            <w:r>
              <w:rPr>
                <w:color w:val="auto"/>
              </w:rPr>
              <w:t>镉</w:t>
            </w:r>
          </w:p>
        </w:tc>
        <w:tc>
          <w:tcPr>
            <w:tcW w:w="3205" w:type="pct"/>
            <w:vAlign w:val="center"/>
          </w:tcPr>
          <w:p w14:paraId="2054C263">
            <w:pPr>
              <w:pStyle w:val="33"/>
              <w:rPr>
                <w:color w:val="auto"/>
              </w:rPr>
            </w:pPr>
            <w:r>
              <w:rPr>
                <w:color w:val="auto"/>
              </w:rPr>
              <w:t>土壤质量 铅、镉的测定 石墨炉原子吸收分光光度法</w:t>
            </w:r>
          </w:p>
          <w:p w14:paraId="6EB201CA">
            <w:pPr>
              <w:pStyle w:val="33"/>
              <w:rPr>
                <w:color w:val="auto"/>
                <w:lang w:bidi="ar"/>
              </w:rPr>
            </w:pPr>
            <w:r>
              <w:rPr>
                <w:color w:val="auto"/>
              </w:rPr>
              <w:t>（GB/T 17141-1997）</w:t>
            </w:r>
          </w:p>
        </w:tc>
        <w:tc>
          <w:tcPr>
            <w:tcW w:w="781" w:type="pct"/>
            <w:vAlign w:val="center"/>
          </w:tcPr>
          <w:p w14:paraId="3DFB9A91">
            <w:pPr>
              <w:pStyle w:val="33"/>
              <w:rPr>
                <w:color w:val="auto"/>
              </w:rPr>
            </w:pPr>
            <w:r>
              <w:rPr>
                <w:color w:val="auto"/>
              </w:rPr>
              <w:t>0.01mg/kg</w:t>
            </w:r>
          </w:p>
        </w:tc>
      </w:tr>
      <w:tr w14:paraId="3C7D5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BEBB058">
            <w:pPr>
              <w:pStyle w:val="33"/>
              <w:rPr>
                <w:color w:val="auto"/>
                <w:lang w:bidi="ar"/>
              </w:rPr>
            </w:pPr>
            <w:r>
              <w:rPr>
                <w:color w:val="auto"/>
              </w:rPr>
              <w:t>汞</w:t>
            </w:r>
          </w:p>
        </w:tc>
        <w:tc>
          <w:tcPr>
            <w:tcW w:w="3205" w:type="pct"/>
            <w:vMerge w:val="restart"/>
            <w:vAlign w:val="center"/>
          </w:tcPr>
          <w:p w14:paraId="4BD912FC">
            <w:pPr>
              <w:pStyle w:val="33"/>
              <w:rPr>
                <w:color w:val="auto"/>
                <w:lang w:bidi="ar"/>
              </w:rPr>
            </w:pPr>
            <w:r>
              <w:rPr>
                <w:color w:val="auto"/>
              </w:rPr>
              <w:t>土壤和沉积物 汞、砷、硒、铋、锑的测定 微波消解/原子荧光法（HJ 680-2013）</w:t>
            </w:r>
          </w:p>
        </w:tc>
        <w:tc>
          <w:tcPr>
            <w:tcW w:w="781" w:type="pct"/>
            <w:vAlign w:val="center"/>
          </w:tcPr>
          <w:p w14:paraId="61BA207E">
            <w:pPr>
              <w:pStyle w:val="33"/>
              <w:rPr>
                <w:color w:val="auto"/>
              </w:rPr>
            </w:pPr>
            <w:r>
              <w:rPr>
                <w:color w:val="auto"/>
              </w:rPr>
              <w:t>0.002mg/kg</w:t>
            </w:r>
          </w:p>
        </w:tc>
      </w:tr>
      <w:tr w14:paraId="6F291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30A082AA">
            <w:pPr>
              <w:pStyle w:val="33"/>
              <w:rPr>
                <w:color w:val="auto"/>
                <w:lang w:bidi="ar"/>
              </w:rPr>
            </w:pPr>
            <w:r>
              <w:rPr>
                <w:color w:val="auto"/>
              </w:rPr>
              <w:t>砷</w:t>
            </w:r>
          </w:p>
        </w:tc>
        <w:tc>
          <w:tcPr>
            <w:tcW w:w="3205" w:type="pct"/>
            <w:vMerge w:val="continue"/>
            <w:vAlign w:val="center"/>
          </w:tcPr>
          <w:p w14:paraId="18C185E2">
            <w:pPr>
              <w:pStyle w:val="33"/>
              <w:rPr>
                <w:color w:val="auto"/>
                <w:lang w:bidi="ar"/>
              </w:rPr>
            </w:pPr>
          </w:p>
        </w:tc>
        <w:tc>
          <w:tcPr>
            <w:tcW w:w="781" w:type="pct"/>
            <w:vAlign w:val="center"/>
          </w:tcPr>
          <w:p w14:paraId="5339E593">
            <w:pPr>
              <w:pStyle w:val="33"/>
              <w:rPr>
                <w:color w:val="auto"/>
              </w:rPr>
            </w:pPr>
            <w:r>
              <w:rPr>
                <w:color w:val="auto"/>
              </w:rPr>
              <w:t>0.01mg/kg</w:t>
            </w:r>
          </w:p>
        </w:tc>
      </w:tr>
      <w:tr w14:paraId="3F304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5FB42B5">
            <w:pPr>
              <w:pStyle w:val="33"/>
              <w:rPr>
                <w:color w:val="auto"/>
                <w:lang w:bidi="ar"/>
              </w:rPr>
            </w:pPr>
            <w:r>
              <w:rPr>
                <w:color w:val="auto"/>
              </w:rPr>
              <w:t>铅</w:t>
            </w:r>
          </w:p>
        </w:tc>
        <w:tc>
          <w:tcPr>
            <w:tcW w:w="3205" w:type="pct"/>
            <w:vMerge w:val="restart"/>
            <w:vAlign w:val="center"/>
          </w:tcPr>
          <w:p w14:paraId="633AD0AD">
            <w:pPr>
              <w:pStyle w:val="33"/>
              <w:rPr>
                <w:color w:val="auto"/>
                <w:lang w:bidi="ar"/>
              </w:rPr>
            </w:pPr>
            <w:r>
              <w:rPr>
                <w:color w:val="auto"/>
                <w:lang w:bidi="ar"/>
              </w:rPr>
              <w:t>土壤和沉积物 铜、锌、铅、镍、铬的测定 火焰原子吸收分光光度法（HJ 491-2019）</w:t>
            </w:r>
          </w:p>
        </w:tc>
        <w:tc>
          <w:tcPr>
            <w:tcW w:w="781" w:type="pct"/>
            <w:vAlign w:val="center"/>
          </w:tcPr>
          <w:p w14:paraId="62645C28">
            <w:pPr>
              <w:pStyle w:val="33"/>
              <w:rPr>
                <w:color w:val="auto"/>
              </w:rPr>
            </w:pPr>
            <w:r>
              <w:rPr>
                <w:color w:val="auto"/>
              </w:rPr>
              <w:t>10mg/kg</w:t>
            </w:r>
          </w:p>
        </w:tc>
      </w:tr>
      <w:tr w14:paraId="64B28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3A00BF15">
            <w:pPr>
              <w:pStyle w:val="33"/>
              <w:rPr>
                <w:color w:val="auto"/>
              </w:rPr>
            </w:pPr>
            <w:r>
              <w:rPr>
                <w:color w:val="auto"/>
              </w:rPr>
              <w:t>总铬</w:t>
            </w:r>
          </w:p>
        </w:tc>
        <w:tc>
          <w:tcPr>
            <w:tcW w:w="3205" w:type="pct"/>
            <w:vMerge w:val="continue"/>
            <w:vAlign w:val="center"/>
          </w:tcPr>
          <w:p w14:paraId="49AF4BD7">
            <w:pPr>
              <w:pStyle w:val="33"/>
              <w:rPr>
                <w:color w:val="auto"/>
                <w:lang w:bidi="ar"/>
              </w:rPr>
            </w:pPr>
          </w:p>
        </w:tc>
        <w:tc>
          <w:tcPr>
            <w:tcW w:w="781" w:type="pct"/>
            <w:vAlign w:val="center"/>
          </w:tcPr>
          <w:p w14:paraId="64FD4E52">
            <w:pPr>
              <w:pStyle w:val="33"/>
              <w:rPr>
                <w:color w:val="auto"/>
              </w:rPr>
            </w:pPr>
            <w:r>
              <w:rPr>
                <w:color w:val="auto"/>
                <w:lang w:bidi="ar"/>
              </w:rPr>
              <w:t>4mg/kg</w:t>
            </w:r>
          </w:p>
        </w:tc>
      </w:tr>
      <w:tr w14:paraId="73D27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30694AB6">
            <w:pPr>
              <w:pStyle w:val="33"/>
              <w:rPr>
                <w:color w:val="auto"/>
              </w:rPr>
            </w:pPr>
            <w:r>
              <w:rPr>
                <w:color w:val="auto"/>
              </w:rPr>
              <w:t>锌</w:t>
            </w:r>
          </w:p>
        </w:tc>
        <w:tc>
          <w:tcPr>
            <w:tcW w:w="3205" w:type="pct"/>
            <w:vMerge w:val="continue"/>
            <w:vAlign w:val="center"/>
          </w:tcPr>
          <w:p w14:paraId="5263E93B">
            <w:pPr>
              <w:pStyle w:val="33"/>
              <w:rPr>
                <w:color w:val="auto"/>
                <w:lang w:bidi="ar"/>
              </w:rPr>
            </w:pPr>
          </w:p>
        </w:tc>
        <w:tc>
          <w:tcPr>
            <w:tcW w:w="781" w:type="pct"/>
            <w:vAlign w:val="center"/>
          </w:tcPr>
          <w:p w14:paraId="5DF7505A">
            <w:pPr>
              <w:pStyle w:val="33"/>
              <w:rPr>
                <w:color w:val="auto"/>
              </w:rPr>
            </w:pPr>
            <w:r>
              <w:rPr>
                <w:color w:val="auto"/>
                <w:lang w:bidi="ar"/>
              </w:rPr>
              <w:t>1mg/kg</w:t>
            </w:r>
          </w:p>
        </w:tc>
      </w:tr>
      <w:tr w14:paraId="6D474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C384A78">
            <w:pPr>
              <w:pStyle w:val="33"/>
              <w:rPr>
                <w:color w:val="auto"/>
              </w:rPr>
            </w:pPr>
            <w:r>
              <w:rPr>
                <w:color w:val="auto"/>
              </w:rPr>
              <w:t>铜</w:t>
            </w:r>
          </w:p>
        </w:tc>
        <w:tc>
          <w:tcPr>
            <w:tcW w:w="3205" w:type="pct"/>
            <w:vMerge w:val="continue"/>
            <w:vAlign w:val="center"/>
          </w:tcPr>
          <w:p w14:paraId="468DDB19">
            <w:pPr>
              <w:pStyle w:val="33"/>
              <w:rPr>
                <w:color w:val="auto"/>
                <w:lang w:bidi="ar"/>
              </w:rPr>
            </w:pPr>
          </w:p>
        </w:tc>
        <w:tc>
          <w:tcPr>
            <w:tcW w:w="781" w:type="pct"/>
            <w:vAlign w:val="center"/>
          </w:tcPr>
          <w:p w14:paraId="4B1B3183">
            <w:pPr>
              <w:pStyle w:val="33"/>
              <w:rPr>
                <w:color w:val="auto"/>
              </w:rPr>
            </w:pPr>
            <w:r>
              <w:rPr>
                <w:color w:val="auto"/>
              </w:rPr>
              <w:t>1mg/kg</w:t>
            </w:r>
          </w:p>
        </w:tc>
      </w:tr>
      <w:tr w14:paraId="06A11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2E9132C">
            <w:pPr>
              <w:pStyle w:val="33"/>
              <w:rPr>
                <w:color w:val="auto"/>
              </w:rPr>
            </w:pPr>
            <w:r>
              <w:rPr>
                <w:color w:val="auto"/>
              </w:rPr>
              <w:t>镍</w:t>
            </w:r>
          </w:p>
        </w:tc>
        <w:tc>
          <w:tcPr>
            <w:tcW w:w="3205" w:type="pct"/>
            <w:vMerge w:val="continue"/>
            <w:vAlign w:val="center"/>
          </w:tcPr>
          <w:p w14:paraId="22917D3E">
            <w:pPr>
              <w:pStyle w:val="33"/>
              <w:rPr>
                <w:color w:val="auto"/>
                <w:lang w:bidi="ar"/>
              </w:rPr>
            </w:pPr>
          </w:p>
        </w:tc>
        <w:tc>
          <w:tcPr>
            <w:tcW w:w="781" w:type="pct"/>
            <w:vAlign w:val="center"/>
          </w:tcPr>
          <w:p w14:paraId="427E6979">
            <w:pPr>
              <w:pStyle w:val="33"/>
              <w:rPr>
                <w:color w:val="auto"/>
              </w:rPr>
            </w:pPr>
            <w:r>
              <w:rPr>
                <w:color w:val="auto"/>
              </w:rPr>
              <w:t>3mg/kg</w:t>
            </w:r>
          </w:p>
        </w:tc>
      </w:tr>
      <w:tr w14:paraId="1736C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D321243">
            <w:pPr>
              <w:pStyle w:val="33"/>
              <w:rPr>
                <w:color w:val="auto"/>
              </w:rPr>
            </w:pPr>
            <w:r>
              <w:rPr>
                <w:color w:val="auto"/>
              </w:rPr>
              <w:t>六价铬</w:t>
            </w:r>
          </w:p>
        </w:tc>
        <w:tc>
          <w:tcPr>
            <w:tcW w:w="3205" w:type="pct"/>
            <w:vAlign w:val="center"/>
          </w:tcPr>
          <w:p w14:paraId="34F3954B">
            <w:pPr>
              <w:pStyle w:val="33"/>
              <w:rPr>
                <w:color w:val="auto"/>
              </w:rPr>
            </w:pPr>
            <w:r>
              <w:rPr>
                <w:color w:val="auto"/>
              </w:rPr>
              <w:t>土壤和沉积物 六价铬的测定 碱溶液提取-火焰原子吸收分光光度法（HJ 1082-2019）</w:t>
            </w:r>
          </w:p>
        </w:tc>
        <w:tc>
          <w:tcPr>
            <w:tcW w:w="781" w:type="pct"/>
            <w:vAlign w:val="center"/>
          </w:tcPr>
          <w:p w14:paraId="7FB328F2">
            <w:pPr>
              <w:pStyle w:val="33"/>
              <w:rPr>
                <w:color w:val="auto"/>
              </w:rPr>
            </w:pPr>
            <w:r>
              <w:rPr>
                <w:color w:val="auto"/>
              </w:rPr>
              <w:t>0.5mg/kg</w:t>
            </w:r>
          </w:p>
        </w:tc>
      </w:tr>
      <w:tr w14:paraId="47BA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2CCE463C">
            <w:pPr>
              <w:pStyle w:val="33"/>
              <w:rPr>
                <w:color w:val="auto"/>
              </w:rPr>
            </w:pPr>
            <w:r>
              <w:rPr>
                <w:color w:val="auto"/>
              </w:rPr>
              <w:t>阳离子交换量</w:t>
            </w:r>
          </w:p>
        </w:tc>
        <w:tc>
          <w:tcPr>
            <w:tcW w:w="3205" w:type="pct"/>
            <w:vAlign w:val="center"/>
          </w:tcPr>
          <w:p w14:paraId="00693B13">
            <w:pPr>
              <w:pStyle w:val="33"/>
              <w:rPr>
                <w:color w:val="auto"/>
              </w:rPr>
            </w:pPr>
            <w:r>
              <w:rPr>
                <w:color w:val="auto"/>
              </w:rPr>
              <w:t>土壤 阳离子交换量的测定 三氯化六氨合钴浸提-分光光度法（HJ 889-2017）</w:t>
            </w:r>
          </w:p>
        </w:tc>
        <w:tc>
          <w:tcPr>
            <w:tcW w:w="781" w:type="pct"/>
            <w:vAlign w:val="center"/>
          </w:tcPr>
          <w:p w14:paraId="600C021F">
            <w:pPr>
              <w:pStyle w:val="33"/>
              <w:rPr>
                <w:color w:val="auto"/>
              </w:rPr>
            </w:pPr>
            <w:r>
              <w:rPr>
                <w:color w:val="auto"/>
              </w:rPr>
              <w:t>0.8cmol</w:t>
            </w:r>
            <w:r>
              <w:rPr>
                <w:color w:val="auto"/>
                <w:vertAlign w:val="superscript"/>
              </w:rPr>
              <w:t>+</w:t>
            </w:r>
            <w:r>
              <w:rPr>
                <w:color w:val="auto"/>
              </w:rPr>
              <w:t>/kg</w:t>
            </w:r>
          </w:p>
        </w:tc>
      </w:tr>
      <w:tr w14:paraId="7F2C9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EF3D194">
            <w:pPr>
              <w:pStyle w:val="33"/>
              <w:rPr>
                <w:color w:val="auto"/>
              </w:rPr>
            </w:pPr>
            <w:r>
              <w:rPr>
                <w:color w:val="auto"/>
              </w:rPr>
              <w:t>氧化还原电位</w:t>
            </w:r>
          </w:p>
        </w:tc>
        <w:tc>
          <w:tcPr>
            <w:tcW w:w="3205" w:type="pct"/>
            <w:vAlign w:val="center"/>
          </w:tcPr>
          <w:p w14:paraId="7ABC05E9">
            <w:pPr>
              <w:pStyle w:val="33"/>
              <w:rPr>
                <w:color w:val="auto"/>
              </w:rPr>
            </w:pPr>
            <w:r>
              <w:rPr>
                <w:color w:val="auto"/>
              </w:rPr>
              <w:t>土壤 氧化还原电位的测定 电位法（HJ 746-2015）</w:t>
            </w:r>
          </w:p>
        </w:tc>
        <w:tc>
          <w:tcPr>
            <w:tcW w:w="781" w:type="pct"/>
            <w:vAlign w:val="center"/>
          </w:tcPr>
          <w:p w14:paraId="1A3BB21C">
            <w:pPr>
              <w:pStyle w:val="33"/>
              <w:rPr>
                <w:color w:val="auto"/>
              </w:rPr>
            </w:pPr>
            <w:r>
              <w:rPr>
                <w:color w:val="auto"/>
              </w:rPr>
              <w:t>/</w:t>
            </w:r>
          </w:p>
        </w:tc>
      </w:tr>
      <w:tr w14:paraId="0DCFF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5" w:hRule="atLeast"/>
          <w:jc w:val="center"/>
        </w:trPr>
        <w:tc>
          <w:tcPr>
            <w:tcW w:w="1014" w:type="pct"/>
            <w:vAlign w:val="center"/>
          </w:tcPr>
          <w:p w14:paraId="6C925956">
            <w:pPr>
              <w:pStyle w:val="33"/>
              <w:rPr>
                <w:color w:val="auto"/>
              </w:rPr>
            </w:pPr>
            <w:r>
              <w:rPr>
                <w:color w:val="auto"/>
              </w:rPr>
              <w:t>饱和导水率</w:t>
            </w:r>
          </w:p>
        </w:tc>
        <w:tc>
          <w:tcPr>
            <w:tcW w:w="3205" w:type="pct"/>
            <w:vAlign w:val="center"/>
          </w:tcPr>
          <w:p w14:paraId="457A1E5F">
            <w:pPr>
              <w:pStyle w:val="33"/>
              <w:rPr>
                <w:color w:val="auto"/>
              </w:rPr>
            </w:pPr>
            <w:r>
              <w:rPr>
                <w:color w:val="auto"/>
              </w:rPr>
              <w:t>森林土壤渗滤率的测定（LY/T 1218-1999）</w:t>
            </w:r>
          </w:p>
        </w:tc>
        <w:tc>
          <w:tcPr>
            <w:tcW w:w="781" w:type="pct"/>
            <w:vAlign w:val="center"/>
          </w:tcPr>
          <w:p w14:paraId="78EBEC2A">
            <w:pPr>
              <w:pStyle w:val="33"/>
              <w:rPr>
                <w:color w:val="auto"/>
              </w:rPr>
            </w:pPr>
            <w:r>
              <w:rPr>
                <w:color w:val="auto"/>
              </w:rPr>
              <w:t>/</w:t>
            </w:r>
          </w:p>
        </w:tc>
      </w:tr>
      <w:tr w14:paraId="6CA89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7E28C94D">
            <w:pPr>
              <w:pStyle w:val="33"/>
              <w:rPr>
                <w:color w:val="auto"/>
              </w:rPr>
            </w:pPr>
            <w:r>
              <w:rPr>
                <w:color w:val="auto"/>
              </w:rPr>
              <w:t>土壤容重</w:t>
            </w:r>
          </w:p>
        </w:tc>
        <w:tc>
          <w:tcPr>
            <w:tcW w:w="3205" w:type="pct"/>
            <w:vAlign w:val="center"/>
          </w:tcPr>
          <w:p w14:paraId="7DBF8D4C">
            <w:pPr>
              <w:pStyle w:val="33"/>
              <w:rPr>
                <w:color w:val="auto"/>
              </w:rPr>
            </w:pPr>
            <w:r>
              <w:rPr>
                <w:color w:val="auto"/>
              </w:rPr>
              <w:t>土壤检测 第4部分：土壤容重的测定（NY/T 1121.4-2006）</w:t>
            </w:r>
          </w:p>
        </w:tc>
        <w:tc>
          <w:tcPr>
            <w:tcW w:w="781" w:type="pct"/>
            <w:vAlign w:val="center"/>
          </w:tcPr>
          <w:p w14:paraId="389CA667">
            <w:pPr>
              <w:pStyle w:val="33"/>
              <w:rPr>
                <w:color w:val="auto"/>
              </w:rPr>
            </w:pPr>
            <w:r>
              <w:rPr>
                <w:color w:val="auto"/>
              </w:rPr>
              <w:t>/</w:t>
            </w:r>
          </w:p>
        </w:tc>
      </w:tr>
      <w:tr w14:paraId="45310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AF90E11">
            <w:pPr>
              <w:pStyle w:val="33"/>
              <w:rPr>
                <w:color w:val="auto"/>
              </w:rPr>
            </w:pPr>
            <w:r>
              <w:rPr>
                <w:color w:val="auto"/>
              </w:rPr>
              <w:t>孔隙度</w:t>
            </w:r>
          </w:p>
        </w:tc>
        <w:tc>
          <w:tcPr>
            <w:tcW w:w="3205" w:type="pct"/>
            <w:vAlign w:val="center"/>
          </w:tcPr>
          <w:p w14:paraId="5F9D4FA8">
            <w:pPr>
              <w:pStyle w:val="33"/>
              <w:rPr>
                <w:color w:val="auto"/>
              </w:rPr>
            </w:pPr>
            <w:r>
              <w:rPr>
                <w:color w:val="auto"/>
              </w:rPr>
              <w:t>森林土壤水分-物理性质的测定（LY/T 1215-1999）</w:t>
            </w:r>
          </w:p>
        </w:tc>
        <w:tc>
          <w:tcPr>
            <w:tcW w:w="781" w:type="pct"/>
            <w:vAlign w:val="center"/>
          </w:tcPr>
          <w:p w14:paraId="3105C3B0">
            <w:pPr>
              <w:pStyle w:val="33"/>
              <w:rPr>
                <w:color w:val="auto"/>
              </w:rPr>
            </w:pPr>
            <w:r>
              <w:rPr>
                <w:color w:val="auto"/>
              </w:rPr>
              <w:t>/</w:t>
            </w:r>
          </w:p>
        </w:tc>
      </w:tr>
      <w:tr w14:paraId="5CE0B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03F64FA5">
            <w:pPr>
              <w:pStyle w:val="33"/>
              <w:rPr>
                <w:color w:val="auto"/>
              </w:rPr>
            </w:pPr>
            <w:r>
              <w:rPr>
                <w:rFonts w:hint="eastAsia"/>
                <w:color w:val="auto"/>
              </w:rPr>
              <w:t>四氯化碳</w:t>
            </w:r>
          </w:p>
        </w:tc>
        <w:tc>
          <w:tcPr>
            <w:tcW w:w="3205" w:type="pct"/>
            <w:vMerge w:val="restart"/>
            <w:vAlign w:val="center"/>
          </w:tcPr>
          <w:p w14:paraId="1B5A1F85">
            <w:pPr>
              <w:pStyle w:val="33"/>
              <w:rPr>
                <w:color w:val="auto"/>
              </w:rPr>
            </w:pPr>
            <w:r>
              <w:rPr>
                <w:rFonts w:hint="eastAsia"/>
                <w:color w:val="auto"/>
              </w:rPr>
              <w:t>土壤和沉积物 挥发性有机物的测定 吹扫捕集/气相色谱-质谱法</w:t>
            </w:r>
          </w:p>
          <w:p w14:paraId="6B77FC18">
            <w:pPr>
              <w:pStyle w:val="33"/>
              <w:rPr>
                <w:color w:val="auto"/>
              </w:rPr>
            </w:pPr>
            <w:r>
              <w:rPr>
                <w:color w:val="auto"/>
              </w:rPr>
              <w:t>HJ 605-2011</w:t>
            </w:r>
          </w:p>
        </w:tc>
        <w:tc>
          <w:tcPr>
            <w:tcW w:w="781" w:type="pct"/>
            <w:vAlign w:val="center"/>
          </w:tcPr>
          <w:p w14:paraId="750F0932">
            <w:pPr>
              <w:pStyle w:val="33"/>
              <w:rPr>
                <w:color w:val="auto"/>
              </w:rPr>
            </w:pPr>
            <w:r>
              <w:rPr>
                <w:rFonts w:hint="eastAsia"/>
                <w:color w:val="auto"/>
              </w:rPr>
              <w:t>1</w:t>
            </w:r>
            <w:r>
              <w:rPr>
                <w:color w:val="auto"/>
              </w:rPr>
              <w:t>.3</w:t>
            </w:r>
            <w:r>
              <w:rPr>
                <w:rFonts w:hint="eastAsia"/>
                <w:color w:val="auto"/>
              </w:rPr>
              <w:t>μ</w:t>
            </w:r>
            <w:r>
              <w:rPr>
                <w:color w:val="auto"/>
              </w:rPr>
              <w:t>g/kg</w:t>
            </w:r>
          </w:p>
        </w:tc>
      </w:tr>
      <w:tr w14:paraId="4606E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334C9A92">
            <w:pPr>
              <w:pStyle w:val="33"/>
              <w:rPr>
                <w:color w:val="auto"/>
              </w:rPr>
            </w:pPr>
            <w:r>
              <w:rPr>
                <w:rFonts w:hint="eastAsia"/>
                <w:color w:val="auto"/>
              </w:rPr>
              <w:t>氯仿</w:t>
            </w:r>
          </w:p>
        </w:tc>
        <w:tc>
          <w:tcPr>
            <w:tcW w:w="3205" w:type="pct"/>
            <w:vMerge w:val="continue"/>
            <w:vAlign w:val="center"/>
          </w:tcPr>
          <w:p w14:paraId="1CD2B2F3">
            <w:pPr>
              <w:pStyle w:val="33"/>
              <w:rPr>
                <w:color w:val="auto"/>
              </w:rPr>
            </w:pPr>
          </w:p>
        </w:tc>
        <w:tc>
          <w:tcPr>
            <w:tcW w:w="781" w:type="pct"/>
            <w:vAlign w:val="center"/>
          </w:tcPr>
          <w:p w14:paraId="5A27DAEF">
            <w:pPr>
              <w:pStyle w:val="33"/>
              <w:rPr>
                <w:color w:val="auto"/>
              </w:rPr>
            </w:pPr>
            <w:r>
              <w:rPr>
                <w:rFonts w:hint="eastAsia"/>
                <w:color w:val="auto"/>
              </w:rPr>
              <w:t>1</w:t>
            </w:r>
            <w:r>
              <w:rPr>
                <w:color w:val="auto"/>
              </w:rPr>
              <w:t>.1</w:t>
            </w:r>
            <w:r>
              <w:rPr>
                <w:rFonts w:hint="eastAsia"/>
                <w:color w:val="auto"/>
              </w:rPr>
              <w:t>μ</w:t>
            </w:r>
            <w:r>
              <w:rPr>
                <w:color w:val="auto"/>
              </w:rPr>
              <w:t>g/kg</w:t>
            </w:r>
          </w:p>
        </w:tc>
      </w:tr>
      <w:tr w14:paraId="37528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1F2C46C">
            <w:pPr>
              <w:pStyle w:val="33"/>
              <w:rPr>
                <w:color w:val="auto"/>
              </w:rPr>
            </w:pPr>
            <w:r>
              <w:rPr>
                <w:rFonts w:hint="eastAsia"/>
                <w:color w:val="auto"/>
              </w:rPr>
              <w:t>氯甲烷</w:t>
            </w:r>
          </w:p>
        </w:tc>
        <w:tc>
          <w:tcPr>
            <w:tcW w:w="3205" w:type="pct"/>
            <w:vMerge w:val="continue"/>
            <w:vAlign w:val="center"/>
          </w:tcPr>
          <w:p w14:paraId="29661E48">
            <w:pPr>
              <w:pStyle w:val="33"/>
              <w:rPr>
                <w:color w:val="auto"/>
              </w:rPr>
            </w:pPr>
          </w:p>
        </w:tc>
        <w:tc>
          <w:tcPr>
            <w:tcW w:w="781" w:type="pct"/>
            <w:vAlign w:val="center"/>
          </w:tcPr>
          <w:p w14:paraId="4DA468BA">
            <w:pPr>
              <w:pStyle w:val="33"/>
              <w:rPr>
                <w:color w:val="auto"/>
              </w:rPr>
            </w:pPr>
            <w:r>
              <w:rPr>
                <w:rFonts w:hint="eastAsia"/>
                <w:color w:val="auto"/>
              </w:rPr>
              <w:t>1μ</w:t>
            </w:r>
            <w:r>
              <w:rPr>
                <w:color w:val="auto"/>
              </w:rPr>
              <w:t>g/kg</w:t>
            </w:r>
          </w:p>
        </w:tc>
      </w:tr>
      <w:tr w14:paraId="0CFCE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740781A2">
            <w:pPr>
              <w:pStyle w:val="33"/>
              <w:rPr>
                <w:color w:val="auto"/>
              </w:rPr>
            </w:pPr>
            <w:r>
              <w:rPr>
                <w:rFonts w:eastAsia="等线"/>
                <w:color w:val="auto"/>
              </w:rPr>
              <w:t>1,1-</w:t>
            </w:r>
            <w:r>
              <w:rPr>
                <w:rFonts w:hint="eastAsia"/>
                <w:color w:val="auto"/>
              </w:rPr>
              <w:t>二氯乙烷</w:t>
            </w:r>
          </w:p>
        </w:tc>
        <w:tc>
          <w:tcPr>
            <w:tcW w:w="3205" w:type="pct"/>
            <w:vMerge w:val="continue"/>
            <w:vAlign w:val="center"/>
          </w:tcPr>
          <w:p w14:paraId="5F050B8D">
            <w:pPr>
              <w:pStyle w:val="33"/>
              <w:rPr>
                <w:color w:val="auto"/>
              </w:rPr>
            </w:pPr>
          </w:p>
        </w:tc>
        <w:tc>
          <w:tcPr>
            <w:tcW w:w="781" w:type="pct"/>
            <w:vAlign w:val="center"/>
          </w:tcPr>
          <w:p w14:paraId="5F99090C">
            <w:pPr>
              <w:pStyle w:val="33"/>
              <w:rPr>
                <w:color w:val="auto"/>
              </w:rPr>
            </w:pPr>
            <w:r>
              <w:rPr>
                <w:rFonts w:hint="eastAsia"/>
                <w:color w:val="auto"/>
              </w:rPr>
              <w:t>1</w:t>
            </w:r>
            <w:r>
              <w:rPr>
                <w:color w:val="auto"/>
              </w:rPr>
              <w:t>.2</w:t>
            </w:r>
            <w:r>
              <w:rPr>
                <w:rFonts w:hint="eastAsia"/>
                <w:color w:val="auto"/>
              </w:rPr>
              <w:t>μ</w:t>
            </w:r>
            <w:r>
              <w:rPr>
                <w:color w:val="auto"/>
              </w:rPr>
              <w:t>g/kg</w:t>
            </w:r>
          </w:p>
        </w:tc>
      </w:tr>
      <w:tr w14:paraId="4C637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E816D91">
            <w:pPr>
              <w:pStyle w:val="33"/>
              <w:rPr>
                <w:color w:val="auto"/>
              </w:rPr>
            </w:pPr>
            <w:r>
              <w:rPr>
                <w:rFonts w:eastAsia="等线"/>
                <w:color w:val="auto"/>
              </w:rPr>
              <w:t>1,2-</w:t>
            </w:r>
            <w:r>
              <w:rPr>
                <w:rFonts w:hint="eastAsia"/>
                <w:color w:val="auto"/>
              </w:rPr>
              <w:t>二氯乙烷</w:t>
            </w:r>
          </w:p>
        </w:tc>
        <w:tc>
          <w:tcPr>
            <w:tcW w:w="3205" w:type="pct"/>
            <w:vMerge w:val="continue"/>
            <w:vAlign w:val="center"/>
          </w:tcPr>
          <w:p w14:paraId="26554678">
            <w:pPr>
              <w:pStyle w:val="33"/>
              <w:rPr>
                <w:color w:val="auto"/>
              </w:rPr>
            </w:pPr>
          </w:p>
        </w:tc>
        <w:tc>
          <w:tcPr>
            <w:tcW w:w="781" w:type="pct"/>
            <w:vAlign w:val="center"/>
          </w:tcPr>
          <w:p w14:paraId="307D2790">
            <w:pPr>
              <w:pStyle w:val="33"/>
              <w:rPr>
                <w:color w:val="auto"/>
              </w:rPr>
            </w:pPr>
            <w:r>
              <w:rPr>
                <w:rFonts w:hint="eastAsia"/>
                <w:color w:val="auto"/>
              </w:rPr>
              <w:t>1</w:t>
            </w:r>
            <w:r>
              <w:rPr>
                <w:color w:val="auto"/>
              </w:rPr>
              <w:t>.3</w:t>
            </w:r>
            <w:r>
              <w:rPr>
                <w:rFonts w:hint="eastAsia"/>
                <w:color w:val="auto"/>
              </w:rPr>
              <w:t>μ</w:t>
            </w:r>
            <w:r>
              <w:rPr>
                <w:color w:val="auto"/>
              </w:rPr>
              <w:t>g/kg</w:t>
            </w:r>
          </w:p>
        </w:tc>
      </w:tr>
      <w:tr w14:paraId="0EB1A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F7692B4">
            <w:pPr>
              <w:pStyle w:val="33"/>
              <w:rPr>
                <w:color w:val="auto"/>
              </w:rPr>
            </w:pPr>
            <w:r>
              <w:rPr>
                <w:rFonts w:eastAsia="等线"/>
                <w:color w:val="auto"/>
              </w:rPr>
              <w:t>1,1-</w:t>
            </w:r>
            <w:r>
              <w:rPr>
                <w:rFonts w:hint="eastAsia"/>
                <w:color w:val="auto"/>
              </w:rPr>
              <w:t>二氯乙烯</w:t>
            </w:r>
          </w:p>
        </w:tc>
        <w:tc>
          <w:tcPr>
            <w:tcW w:w="3205" w:type="pct"/>
            <w:vMerge w:val="continue"/>
            <w:vAlign w:val="center"/>
          </w:tcPr>
          <w:p w14:paraId="22E6B957">
            <w:pPr>
              <w:pStyle w:val="33"/>
              <w:rPr>
                <w:color w:val="auto"/>
              </w:rPr>
            </w:pPr>
          </w:p>
        </w:tc>
        <w:tc>
          <w:tcPr>
            <w:tcW w:w="781" w:type="pct"/>
            <w:vAlign w:val="center"/>
          </w:tcPr>
          <w:p w14:paraId="0861100E">
            <w:pPr>
              <w:pStyle w:val="33"/>
              <w:rPr>
                <w:color w:val="auto"/>
              </w:rPr>
            </w:pPr>
            <w:r>
              <w:rPr>
                <w:rFonts w:hint="eastAsia"/>
                <w:color w:val="auto"/>
              </w:rPr>
              <w:t>1μ</w:t>
            </w:r>
            <w:r>
              <w:rPr>
                <w:color w:val="auto"/>
              </w:rPr>
              <w:t>g/kg</w:t>
            </w:r>
          </w:p>
        </w:tc>
      </w:tr>
      <w:tr w14:paraId="4FF20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15C94A0">
            <w:pPr>
              <w:pStyle w:val="33"/>
              <w:rPr>
                <w:color w:val="auto"/>
              </w:rPr>
            </w:pPr>
            <w:r>
              <w:rPr>
                <w:rFonts w:hint="eastAsia"/>
                <w:color w:val="auto"/>
              </w:rPr>
              <w:t>顺</w:t>
            </w:r>
            <w:r>
              <w:rPr>
                <w:color w:val="auto"/>
              </w:rPr>
              <w:t>-1,2-</w:t>
            </w:r>
            <w:r>
              <w:rPr>
                <w:rFonts w:hint="eastAsia"/>
                <w:color w:val="auto"/>
              </w:rPr>
              <w:t>二氯乙烯</w:t>
            </w:r>
          </w:p>
        </w:tc>
        <w:tc>
          <w:tcPr>
            <w:tcW w:w="3205" w:type="pct"/>
            <w:vMerge w:val="continue"/>
            <w:vAlign w:val="center"/>
          </w:tcPr>
          <w:p w14:paraId="67BEAF1D">
            <w:pPr>
              <w:pStyle w:val="33"/>
              <w:rPr>
                <w:color w:val="auto"/>
              </w:rPr>
            </w:pPr>
          </w:p>
        </w:tc>
        <w:tc>
          <w:tcPr>
            <w:tcW w:w="781" w:type="pct"/>
            <w:vAlign w:val="center"/>
          </w:tcPr>
          <w:p w14:paraId="1950E871">
            <w:pPr>
              <w:pStyle w:val="33"/>
              <w:rPr>
                <w:color w:val="auto"/>
              </w:rPr>
            </w:pPr>
            <w:r>
              <w:rPr>
                <w:rFonts w:hint="eastAsia"/>
                <w:color w:val="auto"/>
              </w:rPr>
              <w:t>1</w:t>
            </w:r>
            <w:r>
              <w:rPr>
                <w:color w:val="auto"/>
              </w:rPr>
              <w:t>.3</w:t>
            </w:r>
            <w:r>
              <w:rPr>
                <w:rFonts w:hint="eastAsia"/>
                <w:color w:val="auto"/>
              </w:rPr>
              <w:t>μ</w:t>
            </w:r>
            <w:r>
              <w:rPr>
                <w:color w:val="auto"/>
              </w:rPr>
              <w:t>g/kg</w:t>
            </w:r>
          </w:p>
        </w:tc>
      </w:tr>
      <w:tr w14:paraId="00477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350FA15">
            <w:pPr>
              <w:pStyle w:val="33"/>
              <w:rPr>
                <w:color w:val="auto"/>
              </w:rPr>
            </w:pPr>
            <w:r>
              <w:rPr>
                <w:rFonts w:hint="eastAsia"/>
                <w:color w:val="auto"/>
              </w:rPr>
              <w:t>反</w:t>
            </w:r>
            <w:r>
              <w:rPr>
                <w:color w:val="auto"/>
              </w:rPr>
              <w:t>-1,2-</w:t>
            </w:r>
            <w:r>
              <w:rPr>
                <w:rFonts w:hint="eastAsia"/>
                <w:color w:val="auto"/>
              </w:rPr>
              <w:t>二氯乙烯</w:t>
            </w:r>
          </w:p>
        </w:tc>
        <w:tc>
          <w:tcPr>
            <w:tcW w:w="3205" w:type="pct"/>
            <w:vMerge w:val="continue"/>
            <w:vAlign w:val="center"/>
          </w:tcPr>
          <w:p w14:paraId="2496B55F">
            <w:pPr>
              <w:pStyle w:val="33"/>
              <w:rPr>
                <w:color w:val="auto"/>
              </w:rPr>
            </w:pPr>
          </w:p>
        </w:tc>
        <w:tc>
          <w:tcPr>
            <w:tcW w:w="781" w:type="pct"/>
            <w:vAlign w:val="center"/>
          </w:tcPr>
          <w:p w14:paraId="44B8CAC3">
            <w:pPr>
              <w:pStyle w:val="33"/>
              <w:rPr>
                <w:color w:val="auto"/>
              </w:rPr>
            </w:pPr>
            <w:r>
              <w:rPr>
                <w:rFonts w:hint="eastAsia"/>
                <w:color w:val="auto"/>
              </w:rPr>
              <w:t>1</w:t>
            </w:r>
            <w:r>
              <w:rPr>
                <w:color w:val="auto"/>
              </w:rPr>
              <w:t>.4</w:t>
            </w:r>
            <w:r>
              <w:rPr>
                <w:rFonts w:hint="eastAsia"/>
                <w:color w:val="auto"/>
              </w:rPr>
              <w:t>μ</w:t>
            </w:r>
            <w:r>
              <w:rPr>
                <w:color w:val="auto"/>
              </w:rPr>
              <w:t>g/kg</w:t>
            </w:r>
          </w:p>
        </w:tc>
      </w:tr>
      <w:tr w14:paraId="72D96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1E396E8">
            <w:pPr>
              <w:pStyle w:val="33"/>
              <w:rPr>
                <w:color w:val="auto"/>
              </w:rPr>
            </w:pPr>
            <w:r>
              <w:rPr>
                <w:rFonts w:hint="eastAsia"/>
                <w:color w:val="auto"/>
              </w:rPr>
              <w:t>二氯甲烷</w:t>
            </w:r>
          </w:p>
        </w:tc>
        <w:tc>
          <w:tcPr>
            <w:tcW w:w="3205" w:type="pct"/>
            <w:vMerge w:val="continue"/>
            <w:vAlign w:val="center"/>
          </w:tcPr>
          <w:p w14:paraId="23211E4C">
            <w:pPr>
              <w:pStyle w:val="33"/>
              <w:rPr>
                <w:color w:val="auto"/>
              </w:rPr>
            </w:pPr>
          </w:p>
        </w:tc>
        <w:tc>
          <w:tcPr>
            <w:tcW w:w="781" w:type="pct"/>
            <w:vAlign w:val="center"/>
          </w:tcPr>
          <w:p w14:paraId="48940D92">
            <w:pPr>
              <w:pStyle w:val="33"/>
              <w:rPr>
                <w:color w:val="auto"/>
              </w:rPr>
            </w:pPr>
            <w:r>
              <w:rPr>
                <w:rFonts w:hint="eastAsia"/>
                <w:color w:val="auto"/>
              </w:rPr>
              <w:t>1</w:t>
            </w:r>
            <w:r>
              <w:rPr>
                <w:color w:val="auto"/>
              </w:rPr>
              <w:t>.5</w:t>
            </w:r>
            <w:r>
              <w:rPr>
                <w:rFonts w:hint="eastAsia"/>
                <w:color w:val="auto"/>
              </w:rPr>
              <w:t>μ</w:t>
            </w:r>
            <w:r>
              <w:rPr>
                <w:color w:val="auto"/>
              </w:rPr>
              <w:t>g/kg</w:t>
            </w:r>
          </w:p>
        </w:tc>
      </w:tr>
      <w:tr w14:paraId="7D555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9CC8119">
            <w:pPr>
              <w:pStyle w:val="33"/>
              <w:rPr>
                <w:color w:val="auto"/>
              </w:rPr>
            </w:pPr>
            <w:r>
              <w:rPr>
                <w:rFonts w:eastAsia="等线"/>
                <w:color w:val="auto"/>
              </w:rPr>
              <w:t>1,2-</w:t>
            </w:r>
            <w:r>
              <w:rPr>
                <w:rFonts w:hint="eastAsia"/>
                <w:color w:val="auto"/>
              </w:rPr>
              <w:t>二氯丙烷</w:t>
            </w:r>
          </w:p>
        </w:tc>
        <w:tc>
          <w:tcPr>
            <w:tcW w:w="3205" w:type="pct"/>
            <w:vMerge w:val="continue"/>
            <w:vAlign w:val="center"/>
          </w:tcPr>
          <w:p w14:paraId="558149B6">
            <w:pPr>
              <w:pStyle w:val="33"/>
              <w:rPr>
                <w:color w:val="auto"/>
              </w:rPr>
            </w:pPr>
          </w:p>
        </w:tc>
        <w:tc>
          <w:tcPr>
            <w:tcW w:w="781" w:type="pct"/>
            <w:vAlign w:val="center"/>
          </w:tcPr>
          <w:p w14:paraId="5BF5BCB5">
            <w:pPr>
              <w:pStyle w:val="33"/>
              <w:rPr>
                <w:color w:val="auto"/>
              </w:rPr>
            </w:pPr>
            <w:r>
              <w:rPr>
                <w:rFonts w:hint="eastAsia"/>
                <w:color w:val="auto"/>
              </w:rPr>
              <w:t>1</w:t>
            </w:r>
            <w:r>
              <w:rPr>
                <w:color w:val="auto"/>
              </w:rPr>
              <w:t>.1</w:t>
            </w:r>
            <w:r>
              <w:rPr>
                <w:rFonts w:hint="eastAsia"/>
                <w:color w:val="auto"/>
              </w:rPr>
              <w:t>μ</w:t>
            </w:r>
            <w:r>
              <w:rPr>
                <w:color w:val="auto"/>
              </w:rPr>
              <w:t>g/kg</w:t>
            </w:r>
          </w:p>
        </w:tc>
      </w:tr>
      <w:tr w14:paraId="3B9D4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D781194">
            <w:pPr>
              <w:pStyle w:val="33"/>
              <w:rPr>
                <w:color w:val="auto"/>
              </w:rPr>
            </w:pPr>
            <w:r>
              <w:rPr>
                <w:rFonts w:eastAsia="等线"/>
                <w:color w:val="auto"/>
              </w:rPr>
              <w:t>1,1,1,2-</w:t>
            </w:r>
            <w:r>
              <w:rPr>
                <w:rFonts w:hint="eastAsia"/>
                <w:color w:val="auto"/>
              </w:rPr>
              <w:t>四氯乙烷</w:t>
            </w:r>
          </w:p>
        </w:tc>
        <w:tc>
          <w:tcPr>
            <w:tcW w:w="3205" w:type="pct"/>
            <w:vMerge w:val="continue"/>
            <w:vAlign w:val="center"/>
          </w:tcPr>
          <w:p w14:paraId="12472CD1">
            <w:pPr>
              <w:pStyle w:val="33"/>
              <w:rPr>
                <w:color w:val="auto"/>
              </w:rPr>
            </w:pPr>
          </w:p>
        </w:tc>
        <w:tc>
          <w:tcPr>
            <w:tcW w:w="781" w:type="pct"/>
            <w:vAlign w:val="center"/>
          </w:tcPr>
          <w:p w14:paraId="4F8EFD6E">
            <w:pPr>
              <w:pStyle w:val="33"/>
              <w:rPr>
                <w:color w:val="auto"/>
              </w:rPr>
            </w:pPr>
            <w:r>
              <w:rPr>
                <w:rFonts w:hint="eastAsia"/>
                <w:color w:val="auto"/>
              </w:rPr>
              <w:t>1</w:t>
            </w:r>
            <w:r>
              <w:rPr>
                <w:color w:val="auto"/>
              </w:rPr>
              <w:t>.2</w:t>
            </w:r>
            <w:r>
              <w:rPr>
                <w:rFonts w:hint="eastAsia"/>
                <w:color w:val="auto"/>
              </w:rPr>
              <w:t>μ</w:t>
            </w:r>
            <w:r>
              <w:rPr>
                <w:color w:val="auto"/>
              </w:rPr>
              <w:t>g/kg</w:t>
            </w:r>
          </w:p>
        </w:tc>
      </w:tr>
      <w:tr w14:paraId="279E0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B6AC58B">
            <w:pPr>
              <w:pStyle w:val="33"/>
              <w:rPr>
                <w:color w:val="auto"/>
              </w:rPr>
            </w:pPr>
            <w:r>
              <w:rPr>
                <w:rFonts w:eastAsia="等线"/>
                <w:color w:val="auto"/>
              </w:rPr>
              <w:t>1,1,2,2-</w:t>
            </w:r>
            <w:r>
              <w:rPr>
                <w:rFonts w:hint="eastAsia"/>
                <w:color w:val="auto"/>
              </w:rPr>
              <w:t>四氯乙烷</w:t>
            </w:r>
          </w:p>
        </w:tc>
        <w:tc>
          <w:tcPr>
            <w:tcW w:w="3205" w:type="pct"/>
            <w:vMerge w:val="continue"/>
            <w:vAlign w:val="center"/>
          </w:tcPr>
          <w:p w14:paraId="6A291FDD">
            <w:pPr>
              <w:pStyle w:val="33"/>
              <w:rPr>
                <w:color w:val="auto"/>
              </w:rPr>
            </w:pPr>
          </w:p>
        </w:tc>
        <w:tc>
          <w:tcPr>
            <w:tcW w:w="781" w:type="pct"/>
            <w:vAlign w:val="center"/>
          </w:tcPr>
          <w:p w14:paraId="46B84E3B">
            <w:pPr>
              <w:pStyle w:val="33"/>
              <w:rPr>
                <w:color w:val="auto"/>
              </w:rPr>
            </w:pPr>
            <w:r>
              <w:rPr>
                <w:rFonts w:hint="eastAsia"/>
                <w:color w:val="auto"/>
              </w:rPr>
              <w:t>1</w:t>
            </w:r>
            <w:r>
              <w:rPr>
                <w:color w:val="auto"/>
              </w:rPr>
              <w:t>.2</w:t>
            </w:r>
            <w:r>
              <w:rPr>
                <w:rFonts w:hint="eastAsia"/>
                <w:color w:val="auto"/>
              </w:rPr>
              <w:t>μ</w:t>
            </w:r>
            <w:r>
              <w:rPr>
                <w:color w:val="auto"/>
              </w:rPr>
              <w:t>g/kg</w:t>
            </w:r>
          </w:p>
        </w:tc>
      </w:tr>
      <w:tr w14:paraId="0EF5B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7525131D">
            <w:pPr>
              <w:pStyle w:val="33"/>
              <w:rPr>
                <w:color w:val="auto"/>
              </w:rPr>
            </w:pPr>
            <w:r>
              <w:rPr>
                <w:rFonts w:hint="eastAsia"/>
                <w:color w:val="auto"/>
              </w:rPr>
              <w:t>四氯乙烯</w:t>
            </w:r>
          </w:p>
        </w:tc>
        <w:tc>
          <w:tcPr>
            <w:tcW w:w="3205" w:type="pct"/>
            <w:vMerge w:val="continue"/>
            <w:vAlign w:val="center"/>
          </w:tcPr>
          <w:p w14:paraId="2A5B46EF">
            <w:pPr>
              <w:pStyle w:val="33"/>
              <w:rPr>
                <w:color w:val="auto"/>
              </w:rPr>
            </w:pPr>
          </w:p>
        </w:tc>
        <w:tc>
          <w:tcPr>
            <w:tcW w:w="781" w:type="pct"/>
            <w:vAlign w:val="center"/>
          </w:tcPr>
          <w:p w14:paraId="0ABCFAFF">
            <w:pPr>
              <w:pStyle w:val="33"/>
              <w:rPr>
                <w:color w:val="auto"/>
              </w:rPr>
            </w:pPr>
            <w:r>
              <w:rPr>
                <w:rFonts w:hint="eastAsia"/>
                <w:color w:val="auto"/>
              </w:rPr>
              <w:t>1</w:t>
            </w:r>
            <w:r>
              <w:rPr>
                <w:color w:val="auto"/>
              </w:rPr>
              <w:t>.4</w:t>
            </w:r>
            <w:r>
              <w:rPr>
                <w:rFonts w:hint="eastAsia"/>
                <w:color w:val="auto"/>
              </w:rPr>
              <w:t>μ</w:t>
            </w:r>
            <w:r>
              <w:rPr>
                <w:color w:val="auto"/>
              </w:rPr>
              <w:t>g/kg</w:t>
            </w:r>
          </w:p>
        </w:tc>
      </w:tr>
      <w:tr w14:paraId="1BE52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036C9FA7">
            <w:pPr>
              <w:pStyle w:val="33"/>
              <w:rPr>
                <w:color w:val="auto"/>
              </w:rPr>
            </w:pPr>
            <w:r>
              <w:rPr>
                <w:rFonts w:eastAsia="等线"/>
                <w:color w:val="auto"/>
              </w:rPr>
              <w:t>1,1,1-</w:t>
            </w:r>
            <w:r>
              <w:rPr>
                <w:rFonts w:hint="eastAsia"/>
                <w:color w:val="auto"/>
              </w:rPr>
              <w:t>三氯乙烷</w:t>
            </w:r>
          </w:p>
        </w:tc>
        <w:tc>
          <w:tcPr>
            <w:tcW w:w="3205" w:type="pct"/>
            <w:vMerge w:val="continue"/>
            <w:vAlign w:val="center"/>
          </w:tcPr>
          <w:p w14:paraId="7935769F">
            <w:pPr>
              <w:pStyle w:val="33"/>
              <w:rPr>
                <w:color w:val="auto"/>
              </w:rPr>
            </w:pPr>
          </w:p>
        </w:tc>
        <w:tc>
          <w:tcPr>
            <w:tcW w:w="781" w:type="pct"/>
            <w:vAlign w:val="center"/>
          </w:tcPr>
          <w:p w14:paraId="1314B15E">
            <w:pPr>
              <w:pStyle w:val="33"/>
              <w:rPr>
                <w:color w:val="auto"/>
              </w:rPr>
            </w:pPr>
            <w:r>
              <w:rPr>
                <w:rFonts w:hint="eastAsia"/>
                <w:color w:val="auto"/>
              </w:rPr>
              <w:t>1</w:t>
            </w:r>
            <w:r>
              <w:rPr>
                <w:color w:val="auto"/>
              </w:rPr>
              <w:t>.3</w:t>
            </w:r>
            <w:r>
              <w:rPr>
                <w:rFonts w:hint="eastAsia"/>
                <w:color w:val="auto"/>
              </w:rPr>
              <w:t>μ</w:t>
            </w:r>
            <w:r>
              <w:rPr>
                <w:color w:val="auto"/>
              </w:rPr>
              <w:t>g/kg</w:t>
            </w:r>
          </w:p>
        </w:tc>
      </w:tr>
      <w:tr w14:paraId="2A86D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090338E">
            <w:pPr>
              <w:pStyle w:val="33"/>
              <w:rPr>
                <w:color w:val="auto"/>
              </w:rPr>
            </w:pPr>
            <w:r>
              <w:rPr>
                <w:rFonts w:eastAsia="等线"/>
                <w:color w:val="auto"/>
              </w:rPr>
              <w:t>1,1,2-</w:t>
            </w:r>
            <w:r>
              <w:rPr>
                <w:rFonts w:hint="eastAsia"/>
                <w:color w:val="auto"/>
              </w:rPr>
              <w:t>三氯乙烷</w:t>
            </w:r>
          </w:p>
        </w:tc>
        <w:tc>
          <w:tcPr>
            <w:tcW w:w="3205" w:type="pct"/>
            <w:vMerge w:val="continue"/>
            <w:vAlign w:val="center"/>
          </w:tcPr>
          <w:p w14:paraId="771695B1">
            <w:pPr>
              <w:pStyle w:val="33"/>
              <w:rPr>
                <w:color w:val="auto"/>
              </w:rPr>
            </w:pPr>
          </w:p>
        </w:tc>
        <w:tc>
          <w:tcPr>
            <w:tcW w:w="781" w:type="pct"/>
            <w:vAlign w:val="center"/>
          </w:tcPr>
          <w:p w14:paraId="38798F9A">
            <w:pPr>
              <w:pStyle w:val="33"/>
              <w:rPr>
                <w:color w:val="auto"/>
              </w:rPr>
            </w:pPr>
            <w:r>
              <w:rPr>
                <w:rFonts w:hint="eastAsia"/>
                <w:color w:val="auto"/>
              </w:rPr>
              <w:t>1</w:t>
            </w:r>
            <w:r>
              <w:rPr>
                <w:color w:val="auto"/>
              </w:rPr>
              <w:t>.2</w:t>
            </w:r>
            <w:r>
              <w:rPr>
                <w:rFonts w:hint="eastAsia"/>
                <w:color w:val="auto"/>
              </w:rPr>
              <w:t>μ</w:t>
            </w:r>
            <w:r>
              <w:rPr>
                <w:color w:val="auto"/>
              </w:rPr>
              <w:t>g/kg</w:t>
            </w:r>
          </w:p>
        </w:tc>
      </w:tr>
      <w:tr w14:paraId="603F6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2845B0A">
            <w:pPr>
              <w:pStyle w:val="33"/>
              <w:rPr>
                <w:color w:val="auto"/>
              </w:rPr>
            </w:pPr>
            <w:r>
              <w:rPr>
                <w:rFonts w:hint="eastAsia"/>
                <w:color w:val="auto"/>
              </w:rPr>
              <w:t>三氯乙烯</w:t>
            </w:r>
          </w:p>
        </w:tc>
        <w:tc>
          <w:tcPr>
            <w:tcW w:w="3205" w:type="pct"/>
            <w:vMerge w:val="continue"/>
            <w:vAlign w:val="center"/>
          </w:tcPr>
          <w:p w14:paraId="7AA5586F">
            <w:pPr>
              <w:pStyle w:val="33"/>
              <w:rPr>
                <w:color w:val="auto"/>
              </w:rPr>
            </w:pPr>
          </w:p>
        </w:tc>
        <w:tc>
          <w:tcPr>
            <w:tcW w:w="781" w:type="pct"/>
            <w:vAlign w:val="center"/>
          </w:tcPr>
          <w:p w14:paraId="343E974E">
            <w:pPr>
              <w:pStyle w:val="33"/>
              <w:rPr>
                <w:color w:val="auto"/>
              </w:rPr>
            </w:pPr>
            <w:r>
              <w:rPr>
                <w:rFonts w:hint="eastAsia"/>
                <w:color w:val="auto"/>
              </w:rPr>
              <w:t>1</w:t>
            </w:r>
            <w:r>
              <w:rPr>
                <w:color w:val="auto"/>
              </w:rPr>
              <w:t>.2</w:t>
            </w:r>
            <w:r>
              <w:rPr>
                <w:rFonts w:hint="eastAsia"/>
                <w:color w:val="auto"/>
              </w:rPr>
              <w:t>μ</w:t>
            </w:r>
            <w:r>
              <w:rPr>
                <w:color w:val="auto"/>
              </w:rPr>
              <w:t>g/kg</w:t>
            </w:r>
          </w:p>
        </w:tc>
      </w:tr>
      <w:tr w14:paraId="5A63C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7AF6C291">
            <w:pPr>
              <w:pStyle w:val="33"/>
              <w:rPr>
                <w:color w:val="auto"/>
              </w:rPr>
            </w:pPr>
            <w:r>
              <w:rPr>
                <w:rFonts w:eastAsia="等线"/>
                <w:color w:val="auto"/>
              </w:rPr>
              <w:t>1,2,3-</w:t>
            </w:r>
            <w:r>
              <w:rPr>
                <w:rFonts w:hint="eastAsia"/>
                <w:color w:val="auto"/>
              </w:rPr>
              <w:t>三氯丙烷</w:t>
            </w:r>
          </w:p>
        </w:tc>
        <w:tc>
          <w:tcPr>
            <w:tcW w:w="3205" w:type="pct"/>
            <w:vMerge w:val="continue"/>
            <w:vAlign w:val="center"/>
          </w:tcPr>
          <w:p w14:paraId="67933F84">
            <w:pPr>
              <w:pStyle w:val="33"/>
              <w:rPr>
                <w:color w:val="auto"/>
              </w:rPr>
            </w:pPr>
          </w:p>
        </w:tc>
        <w:tc>
          <w:tcPr>
            <w:tcW w:w="781" w:type="pct"/>
            <w:vAlign w:val="center"/>
          </w:tcPr>
          <w:p w14:paraId="16F89B20">
            <w:pPr>
              <w:pStyle w:val="33"/>
              <w:rPr>
                <w:color w:val="auto"/>
              </w:rPr>
            </w:pPr>
            <w:r>
              <w:rPr>
                <w:rFonts w:hint="eastAsia"/>
                <w:color w:val="auto"/>
              </w:rPr>
              <w:t>1</w:t>
            </w:r>
            <w:r>
              <w:rPr>
                <w:color w:val="auto"/>
              </w:rPr>
              <w:t>.2</w:t>
            </w:r>
            <w:r>
              <w:rPr>
                <w:rFonts w:hint="eastAsia"/>
                <w:color w:val="auto"/>
              </w:rPr>
              <w:t>μ</w:t>
            </w:r>
            <w:r>
              <w:rPr>
                <w:color w:val="auto"/>
              </w:rPr>
              <w:t>g/kg</w:t>
            </w:r>
          </w:p>
        </w:tc>
      </w:tr>
      <w:tr w14:paraId="36F7D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16AF2AE">
            <w:pPr>
              <w:pStyle w:val="33"/>
              <w:rPr>
                <w:color w:val="auto"/>
              </w:rPr>
            </w:pPr>
            <w:r>
              <w:rPr>
                <w:rFonts w:hint="eastAsia"/>
                <w:color w:val="auto"/>
              </w:rPr>
              <w:t>氯乙烯</w:t>
            </w:r>
          </w:p>
        </w:tc>
        <w:tc>
          <w:tcPr>
            <w:tcW w:w="3205" w:type="pct"/>
            <w:vMerge w:val="continue"/>
            <w:vAlign w:val="center"/>
          </w:tcPr>
          <w:p w14:paraId="3EECC7FD">
            <w:pPr>
              <w:pStyle w:val="33"/>
              <w:rPr>
                <w:color w:val="auto"/>
              </w:rPr>
            </w:pPr>
          </w:p>
        </w:tc>
        <w:tc>
          <w:tcPr>
            <w:tcW w:w="781" w:type="pct"/>
            <w:vAlign w:val="center"/>
          </w:tcPr>
          <w:p w14:paraId="1CC11964">
            <w:pPr>
              <w:pStyle w:val="33"/>
              <w:rPr>
                <w:color w:val="auto"/>
              </w:rPr>
            </w:pPr>
            <w:r>
              <w:rPr>
                <w:rFonts w:hint="eastAsia"/>
                <w:color w:val="auto"/>
              </w:rPr>
              <w:t>1μ</w:t>
            </w:r>
            <w:r>
              <w:rPr>
                <w:color w:val="auto"/>
              </w:rPr>
              <w:t>g/kg</w:t>
            </w:r>
          </w:p>
        </w:tc>
      </w:tr>
      <w:tr w14:paraId="3224B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D9B9E19">
            <w:pPr>
              <w:pStyle w:val="33"/>
              <w:rPr>
                <w:color w:val="auto"/>
              </w:rPr>
            </w:pPr>
            <w:r>
              <w:rPr>
                <w:rFonts w:hint="eastAsia"/>
                <w:color w:val="auto"/>
              </w:rPr>
              <w:t>苯</w:t>
            </w:r>
          </w:p>
        </w:tc>
        <w:tc>
          <w:tcPr>
            <w:tcW w:w="3205" w:type="pct"/>
            <w:vMerge w:val="continue"/>
            <w:vAlign w:val="center"/>
          </w:tcPr>
          <w:p w14:paraId="360D0225">
            <w:pPr>
              <w:pStyle w:val="33"/>
              <w:rPr>
                <w:color w:val="auto"/>
              </w:rPr>
            </w:pPr>
          </w:p>
        </w:tc>
        <w:tc>
          <w:tcPr>
            <w:tcW w:w="781" w:type="pct"/>
            <w:vAlign w:val="center"/>
          </w:tcPr>
          <w:p w14:paraId="2C180FD9">
            <w:pPr>
              <w:pStyle w:val="33"/>
              <w:rPr>
                <w:color w:val="auto"/>
              </w:rPr>
            </w:pPr>
            <w:r>
              <w:rPr>
                <w:rFonts w:hint="eastAsia"/>
                <w:color w:val="auto"/>
              </w:rPr>
              <w:t>1</w:t>
            </w:r>
            <w:r>
              <w:rPr>
                <w:color w:val="auto"/>
              </w:rPr>
              <w:t>.9</w:t>
            </w:r>
            <w:r>
              <w:rPr>
                <w:rFonts w:hint="eastAsia"/>
                <w:color w:val="auto"/>
              </w:rPr>
              <w:t>μ</w:t>
            </w:r>
            <w:r>
              <w:rPr>
                <w:color w:val="auto"/>
              </w:rPr>
              <w:t>g/kg</w:t>
            </w:r>
          </w:p>
        </w:tc>
      </w:tr>
      <w:tr w14:paraId="2F4FF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5EC0EEE">
            <w:pPr>
              <w:pStyle w:val="33"/>
              <w:rPr>
                <w:color w:val="auto"/>
              </w:rPr>
            </w:pPr>
            <w:r>
              <w:rPr>
                <w:rFonts w:hint="eastAsia"/>
                <w:color w:val="auto"/>
              </w:rPr>
              <w:t>氯苯</w:t>
            </w:r>
          </w:p>
        </w:tc>
        <w:tc>
          <w:tcPr>
            <w:tcW w:w="3205" w:type="pct"/>
            <w:vMerge w:val="continue"/>
            <w:vAlign w:val="center"/>
          </w:tcPr>
          <w:p w14:paraId="0C058E3D">
            <w:pPr>
              <w:pStyle w:val="33"/>
              <w:rPr>
                <w:color w:val="auto"/>
              </w:rPr>
            </w:pPr>
          </w:p>
        </w:tc>
        <w:tc>
          <w:tcPr>
            <w:tcW w:w="781" w:type="pct"/>
            <w:vAlign w:val="center"/>
          </w:tcPr>
          <w:p w14:paraId="4C2E8277">
            <w:pPr>
              <w:pStyle w:val="33"/>
              <w:rPr>
                <w:color w:val="auto"/>
              </w:rPr>
            </w:pPr>
            <w:r>
              <w:rPr>
                <w:rFonts w:hint="eastAsia"/>
                <w:color w:val="auto"/>
              </w:rPr>
              <w:t>1</w:t>
            </w:r>
            <w:r>
              <w:rPr>
                <w:color w:val="auto"/>
              </w:rPr>
              <w:t>.2</w:t>
            </w:r>
            <w:r>
              <w:rPr>
                <w:rFonts w:hint="eastAsia"/>
                <w:color w:val="auto"/>
              </w:rPr>
              <w:t>μ</w:t>
            </w:r>
            <w:r>
              <w:rPr>
                <w:color w:val="auto"/>
              </w:rPr>
              <w:t>g/kg</w:t>
            </w:r>
          </w:p>
        </w:tc>
      </w:tr>
      <w:tr w14:paraId="03B1D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294DF676">
            <w:pPr>
              <w:pStyle w:val="33"/>
              <w:rPr>
                <w:color w:val="auto"/>
              </w:rPr>
            </w:pPr>
            <w:r>
              <w:rPr>
                <w:rFonts w:eastAsia="等线"/>
                <w:color w:val="auto"/>
              </w:rPr>
              <w:t>1,2-</w:t>
            </w:r>
            <w:r>
              <w:rPr>
                <w:rFonts w:hint="eastAsia"/>
                <w:color w:val="auto"/>
              </w:rPr>
              <w:t>二氯苯</w:t>
            </w:r>
          </w:p>
        </w:tc>
        <w:tc>
          <w:tcPr>
            <w:tcW w:w="3205" w:type="pct"/>
            <w:vMerge w:val="continue"/>
            <w:vAlign w:val="center"/>
          </w:tcPr>
          <w:p w14:paraId="2EF4D027">
            <w:pPr>
              <w:pStyle w:val="33"/>
              <w:rPr>
                <w:color w:val="auto"/>
              </w:rPr>
            </w:pPr>
          </w:p>
        </w:tc>
        <w:tc>
          <w:tcPr>
            <w:tcW w:w="781" w:type="pct"/>
            <w:vAlign w:val="center"/>
          </w:tcPr>
          <w:p w14:paraId="00E2465B">
            <w:pPr>
              <w:pStyle w:val="33"/>
              <w:rPr>
                <w:color w:val="auto"/>
              </w:rPr>
            </w:pPr>
            <w:r>
              <w:rPr>
                <w:rFonts w:hint="eastAsia"/>
                <w:color w:val="auto"/>
              </w:rPr>
              <w:t>1</w:t>
            </w:r>
            <w:r>
              <w:rPr>
                <w:color w:val="auto"/>
              </w:rPr>
              <w:t>.5</w:t>
            </w:r>
            <w:r>
              <w:rPr>
                <w:rFonts w:hint="eastAsia"/>
                <w:color w:val="auto"/>
              </w:rPr>
              <w:t>μ</w:t>
            </w:r>
            <w:r>
              <w:rPr>
                <w:color w:val="auto"/>
              </w:rPr>
              <w:t>g/kg</w:t>
            </w:r>
          </w:p>
        </w:tc>
      </w:tr>
      <w:tr w14:paraId="3628A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7A7D81A">
            <w:pPr>
              <w:pStyle w:val="33"/>
              <w:rPr>
                <w:color w:val="auto"/>
              </w:rPr>
            </w:pPr>
            <w:r>
              <w:rPr>
                <w:rFonts w:eastAsia="等线"/>
                <w:color w:val="auto"/>
              </w:rPr>
              <w:t>1,4-</w:t>
            </w:r>
            <w:r>
              <w:rPr>
                <w:rFonts w:hint="eastAsia"/>
                <w:color w:val="auto"/>
              </w:rPr>
              <w:t>二氯苯</w:t>
            </w:r>
          </w:p>
        </w:tc>
        <w:tc>
          <w:tcPr>
            <w:tcW w:w="3205" w:type="pct"/>
            <w:vMerge w:val="continue"/>
            <w:vAlign w:val="center"/>
          </w:tcPr>
          <w:p w14:paraId="5D1A4CE5">
            <w:pPr>
              <w:pStyle w:val="33"/>
              <w:rPr>
                <w:color w:val="auto"/>
              </w:rPr>
            </w:pPr>
          </w:p>
        </w:tc>
        <w:tc>
          <w:tcPr>
            <w:tcW w:w="781" w:type="pct"/>
            <w:vAlign w:val="center"/>
          </w:tcPr>
          <w:p w14:paraId="5504D9E9">
            <w:pPr>
              <w:pStyle w:val="33"/>
              <w:rPr>
                <w:color w:val="auto"/>
              </w:rPr>
            </w:pPr>
            <w:r>
              <w:rPr>
                <w:rFonts w:hint="eastAsia"/>
                <w:color w:val="auto"/>
              </w:rPr>
              <w:t>1</w:t>
            </w:r>
            <w:r>
              <w:rPr>
                <w:color w:val="auto"/>
              </w:rPr>
              <w:t>.5</w:t>
            </w:r>
            <w:r>
              <w:rPr>
                <w:rFonts w:hint="eastAsia"/>
                <w:color w:val="auto"/>
              </w:rPr>
              <w:t>μ</w:t>
            </w:r>
            <w:r>
              <w:rPr>
                <w:color w:val="auto"/>
              </w:rPr>
              <w:t>g/kg</w:t>
            </w:r>
          </w:p>
        </w:tc>
      </w:tr>
      <w:tr w14:paraId="290BF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1CDF69A">
            <w:pPr>
              <w:pStyle w:val="33"/>
              <w:rPr>
                <w:color w:val="auto"/>
              </w:rPr>
            </w:pPr>
            <w:r>
              <w:rPr>
                <w:rFonts w:hint="eastAsia"/>
                <w:color w:val="auto"/>
              </w:rPr>
              <w:t>乙苯</w:t>
            </w:r>
          </w:p>
        </w:tc>
        <w:tc>
          <w:tcPr>
            <w:tcW w:w="3205" w:type="pct"/>
            <w:vMerge w:val="continue"/>
            <w:vAlign w:val="center"/>
          </w:tcPr>
          <w:p w14:paraId="657A51DA">
            <w:pPr>
              <w:pStyle w:val="33"/>
              <w:rPr>
                <w:color w:val="auto"/>
              </w:rPr>
            </w:pPr>
          </w:p>
        </w:tc>
        <w:tc>
          <w:tcPr>
            <w:tcW w:w="781" w:type="pct"/>
            <w:vAlign w:val="center"/>
          </w:tcPr>
          <w:p w14:paraId="20A30538">
            <w:pPr>
              <w:pStyle w:val="33"/>
              <w:rPr>
                <w:color w:val="auto"/>
              </w:rPr>
            </w:pPr>
            <w:r>
              <w:rPr>
                <w:rFonts w:hint="eastAsia"/>
                <w:color w:val="auto"/>
              </w:rPr>
              <w:t>1</w:t>
            </w:r>
            <w:r>
              <w:rPr>
                <w:color w:val="auto"/>
              </w:rPr>
              <w:t>.2</w:t>
            </w:r>
            <w:r>
              <w:rPr>
                <w:rFonts w:hint="eastAsia"/>
                <w:color w:val="auto"/>
              </w:rPr>
              <w:t>μ</w:t>
            </w:r>
            <w:r>
              <w:rPr>
                <w:color w:val="auto"/>
              </w:rPr>
              <w:t>g/kg</w:t>
            </w:r>
          </w:p>
        </w:tc>
      </w:tr>
      <w:tr w14:paraId="6F558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4A961EF3">
            <w:pPr>
              <w:pStyle w:val="33"/>
              <w:rPr>
                <w:color w:val="auto"/>
              </w:rPr>
            </w:pPr>
            <w:r>
              <w:rPr>
                <w:rFonts w:hint="eastAsia"/>
                <w:color w:val="auto"/>
              </w:rPr>
              <w:t>苯乙烯</w:t>
            </w:r>
          </w:p>
        </w:tc>
        <w:tc>
          <w:tcPr>
            <w:tcW w:w="3205" w:type="pct"/>
            <w:vMerge w:val="continue"/>
            <w:vAlign w:val="center"/>
          </w:tcPr>
          <w:p w14:paraId="7C2E31AE">
            <w:pPr>
              <w:pStyle w:val="33"/>
              <w:rPr>
                <w:color w:val="auto"/>
              </w:rPr>
            </w:pPr>
          </w:p>
        </w:tc>
        <w:tc>
          <w:tcPr>
            <w:tcW w:w="781" w:type="pct"/>
            <w:vAlign w:val="center"/>
          </w:tcPr>
          <w:p w14:paraId="1334E583">
            <w:pPr>
              <w:pStyle w:val="33"/>
              <w:rPr>
                <w:color w:val="auto"/>
              </w:rPr>
            </w:pPr>
            <w:r>
              <w:rPr>
                <w:rFonts w:hint="eastAsia"/>
                <w:color w:val="auto"/>
              </w:rPr>
              <w:t>1</w:t>
            </w:r>
            <w:r>
              <w:rPr>
                <w:color w:val="auto"/>
              </w:rPr>
              <w:t>.1</w:t>
            </w:r>
            <w:r>
              <w:rPr>
                <w:rFonts w:hint="eastAsia"/>
                <w:color w:val="auto"/>
              </w:rPr>
              <w:t>μ</w:t>
            </w:r>
            <w:r>
              <w:rPr>
                <w:color w:val="auto"/>
              </w:rPr>
              <w:t>g/kg</w:t>
            </w:r>
          </w:p>
        </w:tc>
      </w:tr>
      <w:tr w14:paraId="0A80F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3FD40289">
            <w:pPr>
              <w:pStyle w:val="33"/>
              <w:rPr>
                <w:color w:val="auto"/>
              </w:rPr>
            </w:pPr>
            <w:r>
              <w:rPr>
                <w:rFonts w:hint="eastAsia"/>
                <w:color w:val="auto"/>
              </w:rPr>
              <w:t>甲苯</w:t>
            </w:r>
          </w:p>
        </w:tc>
        <w:tc>
          <w:tcPr>
            <w:tcW w:w="3205" w:type="pct"/>
            <w:vMerge w:val="continue"/>
            <w:vAlign w:val="center"/>
          </w:tcPr>
          <w:p w14:paraId="43722580">
            <w:pPr>
              <w:pStyle w:val="33"/>
              <w:rPr>
                <w:color w:val="auto"/>
              </w:rPr>
            </w:pPr>
          </w:p>
        </w:tc>
        <w:tc>
          <w:tcPr>
            <w:tcW w:w="781" w:type="pct"/>
            <w:vAlign w:val="center"/>
          </w:tcPr>
          <w:p w14:paraId="0D157047">
            <w:pPr>
              <w:pStyle w:val="33"/>
              <w:rPr>
                <w:color w:val="auto"/>
              </w:rPr>
            </w:pPr>
            <w:r>
              <w:rPr>
                <w:rFonts w:hint="eastAsia"/>
                <w:color w:val="auto"/>
              </w:rPr>
              <w:t>1</w:t>
            </w:r>
            <w:r>
              <w:rPr>
                <w:color w:val="auto"/>
              </w:rPr>
              <w:t>.3</w:t>
            </w:r>
            <w:r>
              <w:rPr>
                <w:rFonts w:hint="eastAsia"/>
                <w:color w:val="auto"/>
              </w:rPr>
              <w:t>μ</w:t>
            </w:r>
            <w:r>
              <w:rPr>
                <w:color w:val="auto"/>
              </w:rPr>
              <w:t>g/kg</w:t>
            </w:r>
          </w:p>
        </w:tc>
      </w:tr>
      <w:tr w14:paraId="17258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1E7006A">
            <w:pPr>
              <w:pStyle w:val="33"/>
              <w:rPr>
                <w:color w:val="auto"/>
              </w:rPr>
            </w:pPr>
            <w:r>
              <w:rPr>
                <w:rFonts w:hint="eastAsia"/>
                <w:color w:val="auto"/>
              </w:rPr>
              <w:t>间,对-二甲苯</w:t>
            </w:r>
          </w:p>
        </w:tc>
        <w:tc>
          <w:tcPr>
            <w:tcW w:w="3205" w:type="pct"/>
            <w:vMerge w:val="continue"/>
            <w:vAlign w:val="center"/>
          </w:tcPr>
          <w:p w14:paraId="6607A9C3">
            <w:pPr>
              <w:pStyle w:val="33"/>
              <w:rPr>
                <w:color w:val="auto"/>
              </w:rPr>
            </w:pPr>
          </w:p>
        </w:tc>
        <w:tc>
          <w:tcPr>
            <w:tcW w:w="781" w:type="pct"/>
            <w:vAlign w:val="center"/>
          </w:tcPr>
          <w:p w14:paraId="4F089413">
            <w:pPr>
              <w:pStyle w:val="33"/>
              <w:rPr>
                <w:color w:val="auto"/>
              </w:rPr>
            </w:pPr>
            <w:r>
              <w:rPr>
                <w:rFonts w:hint="eastAsia"/>
                <w:color w:val="auto"/>
              </w:rPr>
              <w:t>1</w:t>
            </w:r>
            <w:r>
              <w:rPr>
                <w:color w:val="auto"/>
              </w:rPr>
              <w:t>.2</w:t>
            </w:r>
            <w:r>
              <w:rPr>
                <w:rFonts w:hint="eastAsia"/>
                <w:color w:val="auto"/>
              </w:rPr>
              <w:t>μ</w:t>
            </w:r>
            <w:r>
              <w:rPr>
                <w:color w:val="auto"/>
              </w:rPr>
              <w:t>g/kg</w:t>
            </w:r>
          </w:p>
        </w:tc>
      </w:tr>
      <w:tr w14:paraId="75BF9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6E6BF0E">
            <w:pPr>
              <w:pStyle w:val="33"/>
              <w:rPr>
                <w:color w:val="auto"/>
              </w:rPr>
            </w:pPr>
            <w:r>
              <w:rPr>
                <w:rFonts w:hint="eastAsia"/>
                <w:color w:val="auto"/>
              </w:rPr>
              <w:t>邻二甲苯</w:t>
            </w:r>
          </w:p>
        </w:tc>
        <w:tc>
          <w:tcPr>
            <w:tcW w:w="3205" w:type="pct"/>
            <w:vMerge w:val="continue"/>
            <w:vAlign w:val="center"/>
          </w:tcPr>
          <w:p w14:paraId="2D3C3ED9">
            <w:pPr>
              <w:pStyle w:val="33"/>
              <w:rPr>
                <w:color w:val="auto"/>
              </w:rPr>
            </w:pPr>
          </w:p>
        </w:tc>
        <w:tc>
          <w:tcPr>
            <w:tcW w:w="781" w:type="pct"/>
            <w:vAlign w:val="center"/>
          </w:tcPr>
          <w:p w14:paraId="7B43DE99">
            <w:pPr>
              <w:pStyle w:val="33"/>
              <w:rPr>
                <w:color w:val="auto"/>
              </w:rPr>
            </w:pPr>
            <w:r>
              <w:rPr>
                <w:rFonts w:hint="eastAsia"/>
                <w:color w:val="auto"/>
              </w:rPr>
              <w:t>1</w:t>
            </w:r>
            <w:r>
              <w:rPr>
                <w:color w:val="auto"/>
              </w:rPr>
              <w:t>.2</w:t>
            </w:r>
            <w:r>
              <w:rPr>
                <w:rFonts w:hint="eastAsia"/>
                <w:color w:val="auto"/>
              </w:rPr>
              <w:t>μ</w:t>
            </w:r>
            <w:r>
              <w:rPr>
                <w:color w:val="auto"/>
              </w:rPr>
              <w:t>g/kg</w:t>
            </w:r>
          </w:p>
        </w:tc>
      </w:tr>
      <w:tr w14:paraId="79448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20292DA">
            <w:pPr>
              <w:pStyle w:val="33"/>
              <w:rPr>
                <w:color w:val="auto"/>
              </w:rPr>
            </w:pPr>
            <w:r>
              <w:rPr>
                <w:color w:val="auto"/>
              </w:rPr>
              <w:t>硝基苯</w:t>
            </w:r>
          </w:p>
        </w:tc>
        <w:tc>
          <w:tcPr>
            <w:tcW w:w="3205" w:type="pct"/>
            <w:vMerge w:val="restart"/>
            <w:vAlign w:val="center"/>
          </w:tcPr>
          <w:p w14:paraId="47C8927B">
            <w:pPr>
              <w:pStyle w:val="33"/>
              <w:rPr>
                <w:color w:val="auto"/>
              </w:rPr>
            </w:pPr>
            <w:r>
              <w:rPr>
                <w:rFonts w:hint="eastAsia"/>
                <w:color w:val="auto"/>
              </w:rPr>
              <w:t>土壤和沉积物 半挥发性有机物的测定 气相色谱- 质谱法 HJ 834-2017</w:t>
            </w:r>
          </w:p>
        </w:tc>
        <w:tc>
          <w:tcPr>
            <w:tcW w:w="781" w:type="pct"/>
            <w:vAlign w:val="center"/>
          </w:tcPr>
          <w:p w14:paraId="74A857FD">
            <w:pPr>
              <w:pStyle w:val="33"/>
              <w:rPr>
                <w:color w:val="auto"/>
              </w:rPr>
            </w:pPr>
            <w:r>
              <w:rPr>
                <w:rFonts w:hint="eastAsia"/>
                <w:color w:val="auto"/>
              </w:rPr>
              <w:t>0</w:t>
            </w:r>
            <w:r>
              <w:rPr>
                <w:color w:val="auto"/>
              </w:rPr>
              <w:t>.09 mg/kg</w:t>
            </w:r>
          </w:p>
        </w:tc>
      </w:tr>
      <w:tr w14:paraId="2D9A9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4F8782D">
            <w:pPr>
              <w:pStyle w:val="33"/>
              <w:rPr>
                <w:color w:val="auto"/>
              </w:rPr>
            </w:pPr>
            <w:r>
              <w:rPr>
                <w:color w:val="auto"/>
              </w:rPr>
              <w:t>2-氯</w:t>
            </w:r>
            <w:r>
              <w:rPr>
                <w:rFonts w:hint="eastAsia"/>
                <w:color w:val="auto"/>
              </w:rPr>
              <w:t>苯</w:t>
            </w:r>
            <w:r>
              <w:rPr>
                <w:color w:val="auto"/>
              </w:rPr>
              <w:t>酚</w:t>
            </w:r>
          </w:p>
        </w:tc>
        <w:tc>
          <w:tcPr>
            <w:tcW w:w="3205" w:type="pct"/>
            <w:vMerge w:val="continue"/>
            <w:vAlign w:val="center"/>
          </w:tcPr>
          <w:p w14:paraId="5B2746F7">
            <w:pPr>
              <w:pStyle w:val="33"/>
              <w:rPr>
                <w:color w:val="auto"/>
              </w:rPr>
            </w:pPr>
          </w:p>
        </w:tc>
        <w:tc>
          <w:tcPr>
            <w:tcW w:w="781" w:type="pct"/>
            <w:vAlign w:val="center"/>
          </w:tcPr>
          <w:p w14:paraId="0CDA4BCC">
            <w:pPr>
              <w:pStyle w:val="33"/>
              <w:rPr>
                <w:color w:val="auto"/>
              </w:rPr>
            </w:pPr>
            <w:r>
              <w:rPr>
                <w:rFonts w:hint="eastAsia"/>
                <w:color w:val="auto"/>
              </w:rPr>
              <w:t>0</w:t>
            </w:r>
            <w:r>
              <w:rPr>
                <w:color w:val="auto"/>
              </w:rPr>
              <w:t>.06 mg/kg</w:t>
            </w:r>
          </w:p>
        </w:tc>
      </w:tr>
      <w:tr w14:paraId="5B61E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DC5EA2E">
            <w:pPr>
              <w:pStyle w:val="33"/>
              <w:rPr>
                <w:color w:val="auto"/>
              </w:rPr>
            </w:pPr>
            <w:r>
              <w:rPr>
                <w:color w:val="auto"/>
              </w:rPr>
              <w:t>苯并[a]蒽</w:t>
            </w:r>
          </w:p>
        </w:tc>
        <w:tc>
          <w:tcPr>
            <w:tcW w:w="3205" w:type="pct"/>
            <w:vMerge w:val="continue"/>
            <w:vAlign w:val="center"/>
          </w:tcPr>
          <w:p w14:paraId="4CB5B60F">
            <w:pPr>
              <w:pStyle w:val="33"/>
              <w:rPr>
                <w:color w:val="auto"/>
              </w:rPr>
            </w:pPr>
          </w:p>
        </w:tc>
        <w:tc>
          <w:tcPr>
            <w:tcW w:w="781" w:type="pct"/>
            <w:vAlign w:val="center"/>
          </w:tcPr>
          <w:p w14:paraId="721644FF">
            <w:pPr>
              <w:pStyle w:val="33"/>
              <w:rPr>
                <w:color w:val="auto"/>
              </w:rPr>
            </w:pPr>
            <w:r>
              <w:rPr>
                <w:rFonts w:hint="eastAsia"/>
                <w:color w:val="auto"/>
              </w:rPr>
              <w:t>0</w:t>
            </w:r>
            <w:r>
              <w:rPr>
                <w:color w:val="auto"/>
              </w:rPr>
              <w:t>.1 mg/kg</w:t>
            </w:r>
          </w:p>
        </w:tc>
      </w:tr>
      <w:tr w14:paraId="6F39A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6A34A0A">
            <w:pPr>
              <w:pStyle w:val="33"/>
              <w:rPr>
                <w:color w:val="auto"/>
              </w:rPr>
            </w:pPr>
            <w:r>
              <w:rPr>
                <w:color w:val="auto"/>
              </w:rPr>
              <w:t>苯并[a]芘</w:t>
            </w:r>
          </w:p>
        </w:tc>
        <w:tc>
          <w:tcPr>
            <w:tcW w:w="3205" w:type="pct"/>
            <w:vMerge w:val="continue"/>
            <w:vAlign w:val="center"/>
          </w:tcPr>
          <w:p w14:paraId="515C5506">
            <w:pPr>
              <w:pStyle w:val="33"/>
              <w:rPr>
                <w:color w:val="auto"/>
              </w:rPr>
            </w:pPr>
          </w:p>
        </w:tc>
        <w:tc>
          <w:tcPr>
            <w:tcW w:w="781" w:type="pct"/>
            <w:vAlign w:val="center"/>
          </w:tcPr>
          <w:p w14:paraId="5E369687">
            <w:pPr>
              <w:pStyle w:val="33"/>
              <w:rPr>
                <w:color w:val="auto"/>
              </w:rPr>
            </w:pPr>
            <w:r>
              <w:rPr>
                <w:rFonts w:hint="eastAsia"/>
                <w:color w:val="auto"/>
              </w:rPr>
              <w:t>0</w:t>
            </w:r>
            <w:r>
              <w:rPr>
                <w:color w:val="auto"/>
              </w:rPr>
              <w:t>.1 mg/kg</w:t>
            </w:r>
          </w:p>
        </w:tc>
      </w:tr>
      <w:tr w14:paraId="40EE8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0D2C21C">
            <w:pPr>
              <w:pStyle w:val="33"/>
              <w:rPr>
                <w:color w:val="auto"/>
              </w:rPr>
            </w:pPr>
            <w:r>
              <w:rPr>
                <w:color w:val="auto"/>
              </w:rPr>
              <w:t>苯并[b]荧蒽</w:t>
            </w:r>
          </w:p>
        </w:tc>
        <w:tc>
          <w:tcPr>
            <w:tcW w:w="3205" w:type="pct"/>
            <w:vMerge w:val="continue"/>
            <w:vAlign w:val="center"/>
          </w:tcPr>
          <w:p w14:paraId="006D6C64">
            <w:pPr>
              <w:pStyle w:val="33"/>
              <w:rPr>
                <w:color w:val="auto"/>
              </w:rPr>
            </w:pPr>
          </w:p>
        </w:tc>
        <w:tc>
          <w:tcPr>
            <w:tcW w:w="781" w:type="pct"/>
            <w:vAlign w:val="center"/>
          </w:tcPr>
          <w:p w14:paraId="00E3DEFF">
            <w:pPr>
              <w:pStyle w:val="33"/>
              <w:rPr>
                <w:color w:val="auto"/>
              </w:rPr>
            </w:pPr>
            <w:r>
              <w:rPr>
                <w:rFonts w:hint="eastAsia"/>
                <w:color w:val="auto"/>
              </w:rPr>
              <w:t>0</w:t>
            </w:r>
            <w:r>
              <w:rPr>
                <w:color w:val="auto"/>
              </w:rPr>
              <w:t>.2 mg/kg</w:t>
            </w:r>
          </w:p>
        </w:tc>
      </w:tr>
      <w:tr w14:paraId="7C322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198917D0">
            <w:pPr>
              <w:pStyle w:val="33"/>
              <w:rPr>
                <w:color w:val="auto"/>
              </w:rPr>
            </w:pPr>
            <w:r>
              <w:rPr>
                <w:color w:val="auto"/>
              </w:rPr>
              <w:t>苯并[k]荧蒽</w:t>
            </w:r>
          </w:p>
        </w:tc>
        <w:tc>
          <w:tcPr>
            <w:tcW w:w="3205" w:type="pct"/>
            <w:vMerge w:val="continue"/>
            <w:vAlign w:val="center"/>
          </w:tcPr>
          <w:p w14:paraId="3B635922">
            <w:pPr>
              <w:pStyle w:val="33"/>
              <w:rPr>
                <w:color w:val="auto"/>
              </w:rPr>
            </w:pPr>
          </w:p>
        </w:tc>
        <w:tc>
          <w:tcPr>
            <w:tcW w:w="781" w:type="pct"/>
            <w:vAlign w:val="center"/>
          </w:tcPr>
          <w:p w14:paraId="6D5F4DA2">
            <w:pPr>
              <w:pStyle w:val="33"/>
              <w:rPr>
                <w:color w:val="auto"/>
              </w:rPr>
            </w:pPr>
            <w:r>
              <w:rPr>
                <w:rFonts w:hint="eastAsia"/>
                <w:color w:val="auto"/>
              </w:rPr>
              <w:t>0</w:t>
            </w:r>
            <w:r>
              <w:rPr>
                <w:color w:val="auto"/>
              </w:rPr>
              <w:t>.1 mg/kg</w:t>
            </w:r>
          </w:p>
        </w:tc>
      </w:tr>
      <w:tr w14:paraId="2BC7B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2B6931F2">
            <w:pPr>
              <w:pStyle w:val="33"/>
              <w:rPr>
                <w:color w:val="auto"/>
              </w:rPr>
            </w:pPr>
            <w:r>
              <w:rPr>
                <w:color w:val="auto"/>
              </w:rPr>
              <w:t>䓛</w:t>
            </w:r>
          </w:p>
        </w:tc>
        <w:tc>
          <w:tcPr>
            <w:tcW w:w="3205" w:type="pct"/>
            <w:vMerge w:val="continue"/>
            <w:vAlign w:val="center"/>
          </w:tcPr>
          <w:p w14:paraId="7DADD911">
            <w:pPr>
              <w:pStyle w:val="33"/>
              <w:rPr>
                <w:color w:val="auto"/>
              </w:rPr>
            </w:pPr>
          </w:p>
        </w:tc>
        <w:tc>
          <w:tcPr>
            <w:tcW w:w="781" w:type="pct"/>
            <w:vAlign w:val="center"/>
          </w:tcPr>
          <w:p w14:paraId="116D5E4F">
            <w:pPr>
              <w:pStyle w:val="33"/>
              <w:rPr>
                <w:color w:val="auto"/>
              </w:rPr>
            </w:pPr>
            <w:r>
              <w:rPr>
                <w:rFonts w:hint="eastAsia"/>
                <w:color w:val="auto"/>
              </w:rPr>
              <w:t>0</w:t>
            </w:r>
            <w:r>
              <w:rPr>
                <w:color w:val="auto"/>
              </w:rPr>
              <w:t>.1 mg/kg</w:t>
            </w:r>
          </w:p>
        </w:tc>
      </w:tr>
      <w:tr w14:paraId="18F14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28B86943">
            <w:pPr>
              <w:pStyle w:val="33"/>
              <w:rPr>
                <w:color w:val="auto"/>
              </w:rPr>
            </w:pPr>
            <w:r>
              <w:rPr>
                <w:color w:val="auto"/>
              </w:rPr>
              <w:t>二苯并[a,h]蒽</w:t>
            </w:r>
          </w:p>
        </w:tc>
        <w:tc>
          <w:tcPr>
            <w:tcW w:w="3205" w:type="pct"/>
            <w:vMerge w:val="continue"/>
            <w:vAlign w:val="center"/>
          </w:tcPr>
          <w:p w14:paraId="45AAE5F6">
            <w:pPr>
              <w:pStyle w:val="33"/>
              <w:rPr>
                <w:color w:val="auto"/>
              </w:rPr>
            </w:pPr>
          </w:p>
        </w:tc>
        <w:tc>
          <w:tcPr>
            <w:tcW w:w="781" w:type="pct"/>
            <w:vAlign w:val="center"/>
          </w:tcPr>
          <w:p w14:paraId="4844F82A">
            <w:pPr>
              <w:pStyle w:val="33"/>
              <w:rPr>
                <w:color w:val="auto"/>
              </w:rPr>
            </w:pPr>
            <w:r>
              <w:rPr>
                <w:rFonts w:hint="eastAsia"/>
                <w:color w:val="auto"/>
              </w:rPr>
              <w:t>0</w:t>
            </w:r>
            <w:r>
              <w:rPr>
                <w:color w:val="auto"/>
              </w:rPr>
              <w:t>.1 mg/kg</w:t>
            </w:r>
          </w:p>
        </w:tc>
      </w:tr>
      <w:tr w14:paraId="65CC6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7C7F1A32">
            <w:pPr>
              <w:pStyle w:val="33"/>
              <w:rPr>
                <w:color w:val="auto"/>
              </w:rPr>
            </w:pPr>
            <w:r>
              <w:rPr>
                <w:color w:val="auto"/>
              </w:rPr>
              <w:t>茚并[1,2,3-cd]芘</w:t>
            </w:r>
          </w:p>
        </w:tc>
        <w:tc>
          <w:tcPr>
            <w:tcW w:w="3205" w:type="pct"/>
            <w:vMerge w:val="continue"/>
            <w:vAlign w:val="center"/>
          </w:tcPr>
          <w:p w14:paraId="331CE7D3">
            <w:pPr>
              <w:pStyle w:val="33"/>
              <w:rPr>
                <w:color w:val="auto"/>
              </w:rPr>
            </w:pPr>
          </w:p>
        </w:tc>
        <w:tc>
          <w:tcPr>
            <w:tcW w:w="781" w:type="pct"/>
            <w:vAlign w:val="center"/>
          </w:tcPr>
          <w:p w14:paraId="76F666A3">
            <w:pPr>
              <w:pStyle w:val="33"/>
              <w:rPr>
                <w:color w:val="auto"/>
              </w:rPr>
            </w:pPr>
            <w:r>
              <w:rPr>
                <w:rFonts w:hint="eastAsia"/>
                <w:color w:val="auto"/>
              </w:rPr>
              <w:t>0</w:t>
            </w:r>
            <w:r>
              <w:rPr>
                <w:color w:val="auto"/>
              </w:rPr>
              <w:t>.1 mg/kg</w:t>
            </w:r>
          </w:p>
        </w:tc>
      </w:tr>
      <w:tr w14:paraId="6EF75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6D4C1035">
            <w:pPr>
              <w:pStyle w:val="33"/>
              <w:rPr>
                <w:color w:val="auto"/>
              </w:rPr>
            </w:pPr>
            <w:r>
              <w:rPr>
                <w:color w:val="auto"/>
              </w:rPr>
              <w:t>萘</w:t>
            </w:r>
          </w:p>
        </w:tc>
        <w:tc>
          <w:tcPr>
            <w:tcW w:w="3205" w:type="pct"/>
            <w:vMerge w:val="continue"/>
            <w:vAlign w:val="center"/>
          </w:tcPr>
          <w:p w14:paraId="1A16C594">
            <w:pPr>
              <w:pStyle w:val="33"/>
              <w:rPr>
                <w:color w:val="auto"/>
              </w:rPr>
            </w:pPr>
          </w:p>
        </w:tc>
        <w:tc>
          <w:tcPr>
            <w:tcW w:w="781" w:type="pct"/>
            <w:vAlign w:val="center"/>
          </w:tcPr>
          <w:p w14:paraId="76A69036">
            <w:pPr>
              <w:pStyle w:val="33"/>
              <w:rPr>
                <w:color w:val="auto"/>
              </w:rPr>
            </w:pPr>
            <w:r>
              <w:rPr>
                <w:color w:val="auto"/>
              </w:rPr>
              <w:t>0.09mg/kg</w:t>
            </w:r>
          </w:p>
        </w:tc>
      </w:tr>
      <w:tr w14:paraId="2216C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212379F9">
            <w:pPr>
              <w:pStyle w:val="33"/>
              <w:rPr>
                <w:color w:val="auto"/>
              </w:rPr>
            </w:pPr>
            <w:r>
              <w:rPr>
                <w:rFonts w:hint="eastAsia"/>
                <w:color w:val="auto"/>
              </w:rPr>
              <w:t>苯胺</w:t>
            </w:r>
          </w:p>
        </w:tc>
        <w:tc>
          <w:tcPr>
            <w:tcW w:w="3205" w:type="pct"/>
            <w:vAlign w:val="center"/>
          </w:tcPr>
          <w:p w14:paraId="690AF7BB">
            <w:pPr>
              <w:pStyle w:val="33"/>
              <w:rPr>
                <w:color w:val="auto"/>
              </w:rPr>
            </w:pPr>
            <w:r>
              <w:rPr>
                <w:rFonts w:hint="eastAsia"/>
                <w:color w:val="auto"/>
              </w:rPr>
              <w:t>土壤、沉积物和固体废弃物中 半挥发性有机物含量的测定</w:t>
            </w:r>
          </w:p>
          <w:p w14:paraId="64CEBC90">
            <w:pPr>
              <w:pStyle w:val="33"/>
              <w:rPr>
                <w:color w:val="auto"/>
              </w:rPr>
            </w:pPr>
            <w:r>
              <w:rPr>
                <w:color w:val="auto"/>
              </w:rPr>
              <w:t>SZHY-SOP-17</w:t>
            </w:r>
          </w:p>
        </w:tc>
        <w:tc>
          <w:tcPr>
            <w:tcW w:w="781" w:type="pct"/>
            <w:vAlign w:val="center"/>
          </w:tcPr>
          <w:p w14:paraId="6A24D546">
            <w:pPr>
              <w:pStyle w:val="33"/>
              <w:rPr>
                <w:color w:val="auto"/>
              </w:rPr>
            </w:pPr>
            <w:r>
              <w:rPr>
                <w:color w:val="auto"/>
              </w:rPr>
              <w:t>0.1 mg/kg</w:t>
            </w:r>
          </w:p>
        </w:tc>
      </w:tr>
      <w:tr w14:paraId="682D8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014" w:type="pct"/>
            <w:vAlign w:val="center"/>
          </w:tcPr>
          <w:p w14:paraId="5FC43CEA">
            <w:pPr>
              <w:pStyle w:val="33"/>
              <w:rPr>
                <w:color w:val="auto"/>
              </w:rPr>
            </w:pPr>
            <w:r>
              <w:rPr>
                <w:rFonts w:hint="eastAsia"/>
                <w:color w:val="auto"/>
              </w:rPr>
              <w:t>石油烃（C10-C40）</w:t>
            </w:r>
          </w:p>
        </w:tc>
        <w:tc>
          <w:tcPr>
            <w:tcW w:w="3205" w:type="pct"/>
            <w:vAlign w:val="center"/>
          </w:tcPr>
          <w:p w14:paraId="0661BFC4">
            <w:pPr>
              <w:pStyle w:val="33"/>
              <w:rPr>
                <w:color w:val="auto"/>
              </w:rPr>
            </w:pPr>
            <w:r>
              <w:rPr>
                <w:rFonts w:hint="eastAsia"/>
                <w:color w:val="auto"/>
              </w:rPr>
              <w:t>土壤和沉积物 石油烃（C10-C40）的测定 气相色谱法 HJ 1021-2019</w:t>
            </w:r>
          </w:p>
        </w:tc>
        <w:tc>
          <w:tcPr>
            <w:tcW w:w="781" w:type="pct"/>
            <w:vAlign w:val="center"/>
          </w:tcPr>
          <w:p w14:paraId="6F06851D">
            <w:pPr>
              <w:pStyle w:val="33"/>
              <w:rPr>
                <w:color w:val="auto"/>
              </w:rPr>
            </w:pPr>
            <w:r>
              <w:rPr>
                <w:color w:val="auto"/>
              </w:rPr>
              <w:t>6 mg/kg</w:t>
            </w:r>
          </w:p>
        </w:tc>
      </w:tr>
    </w:tbl>
    <w:p w14:paraId="36439DF8">
      <w:pPr>
        <w:pStyle w:val="4"/>
        <w:rPr>
          <w:color w:val="auto"/>
        </w:rPr>
      </w:pPr>
      <w:bookmarkStart w:id="436" w:name="_Toc225216770"/>
      <w:r>
        <w:rPr>
          <w:rFonts w:hint="eastAsia"/>
          <w:color w:val="auto"/>
        </w:rPr>
        <w:t>评价标准</w:t>
      </w:r>
      <w:bookmarkEnd w:id="436"/>
    </w:p>
    <w:p w14:paraId="5B1001C4">
      <w:pPr>
        <w:ind w:firstLine="480"/>
        <w:rPr>
          <w:color w:val="auto"/>
        </w:rPr>
      </w:pPr>
      <w:r>
        <w:rPr>
          <w:rFonts w:hint="eastAsia"/>
          <w:color w:val="auto"/>
        </w:rPr>
        <w:t>项目周边农用地土壤执行《土壤环境质量 农用地土壤污染风险管控标准（试行）》（GB 15618-2018）风险筛选值，厂区内土壤执行《土壤环境质量 建设用地土壤污染风险管控标准（试行）》（GB36600-2018）第二类用地筛选值。</w:t>
      </w:r>
    </w:p>
    <w:p w14:paraId="1020B1C5">
      <w:pPr>
        <w:pStyle w:val="4"/>
        <w:rPr>
          <w:color w:val="auto"/>
        </w:rPr>
      </w:pPr>
      <w:bookmarkStart w:id="437" w:name="_Toc225216771"/>
      <w:bookmarkStart w:id="438" w:name="_Toc198390614"/>
      <w:bookmarkStart w:id="439" w:name="_Toc199168969"/>
      <w:bookmarkStart w:id="440" w:name="_Toc199190506"/>
      <w:bookmarkStart w:id="441" w:name="_Toc198391267"/>
      <w:r>
        <w:rPr>
          <w:rFonts w:hint="eastAsia"/>
          <w:color w:val="auto"/>
        </w:rPr>
        <w:t>评价方法</w:t>
      </w:r>
      <w:bookmarkEnd w:id="437"/>
      <w:bookmarkEnd w:id="438"/>
      <w:bookmarkEnd w:id="439"/>
      <w:bookmarkEnd w:id="440"/>
      <w:bookmarkEnd w:id="441"/>
    </w:p>
    <w:p w14:paraId="515085D1">
      <w:pPr>
        <w:ind w:firstLine="480"/>
        <w:rPr>
          <w:color w:val="auto"/>
        </w:rPr>
      </w:pPr>
      <w:r>
        <w:rPr>
          <w:rFonts w:hint="eastAsia"/>
          <w:color w:val="auto"/>
        </w:rPr>
        <w:t>参照《环境影响评价技术导则 土壤环境（试行）》（HJ964-2018），土壤环境质量现状评价采用标准指数法进行评价。标准指数计算公式如下：</w:t>
      </w:r>
    </w:p>
    <w:p w14:paraId="192A860F">
      <w:pPr>
        <w:ind w:firstLine="0" w:firstLineChars="0"/>
        <w:rPr>
          <w:iCs/>
          <w:color w:val="auto"/>
        </w:rPr>
      </w:pPr>
      <m:oMathPara>
        <m:oMath>
          <m:sSub>
            <m:sSubPr>
              <m:ctrlPr>
                <w:rPr>
                  <w:rFonts w:ascii="Cambria Math" w:hAnsi="Cambria Math"/>
                  <w:iCs/>
                  <w:color w:val="auto"/>
                </w:rPr>
              </m:ctrlPr>
            </m:sSubPr>
            <m:e>
              <m:r>
                <m:rPr>
                  <m:sty m:val="p"/>
                </m:rPr>
                <w:rPr>
                  <w:rFonts w:ascii="Cambria Math" w:hAnsi="Cambria Math"/>
                  <w:color w:val="auto"/>
                </w:rPr>
                <m:t>P</m:t>
              </m:r>
              <m:ctrlPr>
                <w:rPr>
                  <w:rFonts w:ascii="Cambria Math" w:hAnsi="Cambria Math"/>
                  <w:iCs/>
                  <w:color w:val="auto"/>
                </w:rPr>
              </m:ctrlPr>
            </m:e>
            <m:sub>
              <m:r>
                <m:rPr>
                  <m:sty m:val="p"/>
                </m:rPr>
                <w:rPr>
                  <w:rFonts w:hint="eastAsia" w:ascii="Cambria Math" w:hAnsi="Cambria Math"/>
                  <w:color w:val="auto"/>
                </w:rPr>
                <m:t>i</m:t>
              </m:r>
              <m:ctrlPr>
                <w:rPr>
                  <w:rFonts w:ascii="Cambria Math" w:hAnsi="Cambria Math"/>
                  <w:iCs/>
                  <w:color w:val="auto"/>
                </w:rPr>
              </m:ctrlPr>
            </m:sub>
          </m:sSub>
          <m:r>
            <m:rPr>
              <m:sty m:val="p"/>
            </m:rPr>
            <w:rPr>
              <w:rFonts w:ascii="Cambria Math" w:hAnsi="Cambria Math"/>
              <w:color w:val="auto"/>
            </w:rPr>
            <m:t>=</m:t>
          </m:r>
          <m:f>
            <m:fPr>
              <m:type m:val="lin"/>
              <m:ctrlPr>
                <w:rPr>
                  <w:rFonts w:ascii="Cambria Math" w:hAnsi="Cambria Math"/>
                  <w:iCs/>
                  <w:color w:val="auto"/>
                </w:rPr>
              </m:ctrlPr>
            </m:fPr>
            <m:num>
              <m:sSub>
                <m:sSubPr>
                  <m:ctrlPr>
                    <w:rPr>
                      <w:rFonts w:ascii="Cambria Math" w:hAnsi="Cambria Math"/>
                      <w:iCs/>
                      <w:color w:val="auto"/>
                    </w:rPr>
                  </m:ctrlPr>
                </m:sSubPr>
                <m:e>
                  <m:r>
                    <m:rPr>
                      <m:sty m:val="p"/>
                    </m:rPr>
                    <w:rPr>
                      <w:rFonts w:ascii="Cambria Math" w:hAnsi="Cambria Math"/>
                      <w:color w:val="auto"/>
                    </w:rPr>
                    <m:t>C</m:t>
                  </m:r>
                  <m:ctrlPr>
                    <w:rPr>
                      <w:rFonts w:ascii="Cambria Math" w:hAnsi="Cambria Math"/>
                      <w:iCs/>
                      <w:color w:val="auto"/>
                    </w:rPr>
                  </m:ctrlPr>
                </m:e>
                <m:sub>
                  <m:r>
                    <m:rPr>
                      <m:sty m:val="p"/>
                    </m:rPr>
                    <w:rPr>
                      <w:rFonts w:ascii="Cambria Math" w:hAnsi="Cambria Math"/>
                      <w:color w:val="auto"/>
                    </w:rPr>
                    <m:t>i</m:t>
                  </m:r>
                  <m:ctrlPr>
                    <w:rPr>
                      <w:rFonts w:ascii="Cambria Math" w:hAnsi="Cambria Math"/>
                      <w:iCs/>
                      <w:color w:val="auto"/>
                    </w:rPr>
                  </m:ctrlPr>
                </m:sub>
              </m:sSub>
              <m:ctrlPr>
                <w:rPr>
                  <w:rFonts w:ascii="Cambria Math" w:hAnsi="Cambria Math"/>
                  <w:iCs/>
                  <w:color w:val="auto"/>
                </w:rPr>
              </m:ctrlPr>
            </m:num>
            <m:den>
              <m:sSub>
                <m:sSubPr>
                  <m:ctrlPr>
                    <w:rPr>
                      <w:rFonts w:ascii="Cambria Math" w:hAnsi="Cambria Math"/>
                      <w:iCs/>
                      <w:color w:val="auto"/>
                    </w:rPr>
                  </m:ctrlPr>
                </m:sSubPr>
                <m:e>
                  <m:r>
                    <m:rPr>
                      <m:sty m:val="p"/>
                    </m:rPr>
                    <w:rPr>
                      <w:rFonts w:ascii="Cambria Math" w:hAnsi="Cambria Math"/>
                      <w:color w:val="auto"/>
                    </w:rPr>
                    <m:t>S</m:t>
                  </m:r>
                  <m:ctrlPr>
                    <w:rPr>
                      <w:rFonts w:ascii="Cambria Math" w:hAnsi="Cambria Math"/>
                      <w:iCs/>
                      <w:color w:val="auto"/>
                    </w:rPr>
                  </m:ctrlPr>
                </m:e>
                <m:sub>
                  <m:r>
                    <m:rPr>
                      <m:sty m:val="p"/>
                    </m:rPr>
                    <w:rPr>
                      <w:rFonts w:ascii="Cambria Math" w:hAnsi="Cambria Math"/>
                      <w:color w:val="auto"/>
                    </w:rPr>
                    <m:t>i</m:t>
                  </m:r>
                  <m:ctrlPr>
                    <w:rPr>
                      <w:rFonts w:ascii="Cambria Math" w:hAnsi="Cambria Math"/>
                      <w:iCs/>
                      <w:color w:val="auto"/>
                    </w:rPr>
                  </m:ctrlPr>
                </m:sub>
              </m:sSub>
              <m:ctrlPr>
                <w:rPr>
                  <w:rFonts w:ascii="Cambria Math" w:hAnsi="Cambria Math"/>
                  <w:iCs/>
                  <w:color w:val="auto"/>
                </w:rPr>
              </m:ctrlPr>
            </m:den>
          </m:f>
        </m:oMath>
      </m:oMathPara>
    </w:p>
    <w:p w14:paraId="0F65ACD8">
      <w:pPr>
        <w:ind w:firstLine="480"/>
        <w:rPr>
          <w:color w:val="auto"/>
        </w:rPr>
      </w:pPr>
      <w:r>
        <w:rPr>
          <w:rFonts w:hint="eastAsia"/>
          <w:color w:val="auto"/>
        </w:rPr>
        <w:t>式中：</w:t>
      </w:r>
    </w:p>
    <w:p w14:paraId="4AA48135">
      <w:pPr>
        <w:ind w:firstLine="480"/>
        <w:rPr>
          <w:color w:val="auto"/>
        </w:rPr>
      </w:pPr>
      <w:r>
        <w:rPr>
          <w:rFonts w:hint="eastAsia"/>
          <w:color w:val="auto"/>
        </w:rPr>
        <w:t>P</w:t>
      </w:r>
      <w:r>
        <w:rPr>
          <w:color w:val="auto"/>
          <w:vertAlign w:val="subscript"/>
        </w:rPr>
        <w:t>i</w:t>
      </w:r>
      <w:r>
        <w:rPr>
          <w:rFonts w:hint="eastAsia"/>
          <w:color w:val="auto"/>
        </w:rPr>
        <w:t>——土壤污染物的标准指数；</w:t>
      </w:r>
    </w:p>
    <w:p w14:paraId="23FDA493">
      <w:pPr>
        <w:ind w:firstLine="480"/>
        <w:rPr>
          <w:color w:val="auto"/>
          <w:lang w:val="fr-FR"/>
        </w:rPr>
      </w:pPr>
      <w:r>
        <w:rPr>
          <w:color w:val="auto"/>
          <w:lang w:val="fr-FR"/>
        </w:rPr>
        <w:t>C</w:t>
      </w:r>
      <w:r>
        <w:rPr>
          <w:color w:val="auto"/>
          <w:vertAlign w:val="subscript"/>
          <w:lang w:val="fr-FR"/>
        </w:rPr>
        <w:t>i</w:t>
      </w:r>
      <w:r>
        <w:rPr>
          <w:rFonts w:hint="eastAsia"/>
          <w:color w:val="auto"/>
          <w:lang w:val="fr-FR"/>
        </w:rPr>
        <w:t>——</w:t>
      </w:r>
      <w:r>
        <w:rPr>
          <w:rFonts w:hint="eastAsia"/>
          <w:color w:val="auto"/>
        </w:rPr>
        <w:t>土壤中污染物的含量</w:t>
      </w:r>
      <w:r>
        <w:rPr>
          <w:rFonts w:hint="eastAsia"/>
          <w:color w:val="auto"/>
          <w:lang w:val="fr-FR"/>
        </w:rPr>
        <w:t>；</w:t>
      </w:r>
    </w:p>
    <w:p w14:paraId="549F5878">
      <w:pPr>
        <w:ind w:firstLine="480"/>
        <w:rPr>
          <w:color w:val="auto"/>
        </w:rPr>
      </w:pPr>
      <w:r>
        <w:rPr>
          <w:rFonts w:hint="eastAsia"/>
          <w:color w:val="auto"/>
        </w:rPr>
        <w:t>S</w:t>
      </w:r>
      <w:r>
        <w:rPr>
          <w:color w:val="auto"/>
          <w:vertAlign w:val="subscript"/>
        </w:rPr>
        <w:t>i</w:t>
      </w:r>
      <w:r>
        <w:rPr>
          <w:rFonts w:hint="eastAsia"/>
          <w:color w:val="auto"/>
        </w:rPr>
        <w:t>——评价标准。</w:t>
      </w:r>
    </w:p>
    <w:p w14:paraId="0011CEDC">
      <w:pPr>
        <w:ind w:firstLine="480"/>
        <w:rPr>
          <w:color w:val="auto"/>
        </w:rPr>
      </w:pPr>
      <w:r>
        <w:rPr>
          <w:rFonts w:hint="eastAsia"/>
          <w:color w:val="auto"/>
        </w:rPr>
        <w:t>标准指数P</w:t>
      </w:r>
      <w:r>
        <w:rPr>
          <w:color w:val="auto"/>
          <w:vertAlign w:val="subscript"/>
        </w:rPr>
        <w:t>i</w:t>
      </w:r>
      <w:r>
        <w:rPr>
          <w:rFonts w:hint="eastAsia"/>
          <w:color w:val="auto"/>
        </w:rPr>
        <w:t>＞1时，表明土壤受到污染，指数值越高，污染越严重。</w:t>
      </w:r>
    </w:p>
    <w:p w14:paraId="46398A8A">
      <w:pPr>
        <w:pStyle w:val="4"/>
        <w:rPr>
          <w:color w:val="auto"/>
        </w:rPr>
      </w:pPr>
      <w:bookmarkStart w:id="442" w:name="_Toc199190507"/>
      <w:bookmarkStart w:id="443" w:name="_Toc198390615"/>
      <w:bookmarkStart w:id="444" w:name="_Toc198391268"/>
      <w:bookmarkStart w:id="445" w:name="_Toc199168970"/>
      <w:bookmarkStart w:id="446" w:name="_Toc225216772"/>
      <w:r>
        <w:rPr>
          <w:rFonts w:hint="eastAsia"/>
          <w:color w:val="auto"/>
        </w:rPr>
        <w:t>监测结果及评价</w:t>
      </w:r>
      <w:bookmarkEnd w:id="442"/>
      <w:bookmarkEnd w:id="443"/>
      <w:bookmarkEnd w:id="444"/>
      <w:bookmarkEnd w:id="445"/>
      <w:bookmarkEnd w:id="446"/>
    </w:p>
    <w:p w14:paraId="2884A7F4">
      <w:pPr>
        <w:ind w:firstLine="480"/>
        <w:rPr>
          <w:color w:val="auto"/>
        </w:rPr>
      </w:pPr>
      <w:r>
        <w:rPr>
          <w:rFonts w:hint="eastAsia"/>
          <w:color w:val="auto"/>
        </w:rPr>
        <w:t>土壤环境质量现状监测结果详见下表。</w:t>
      </w:r>
    </w:p>
    <w:p w14:paraId="2C4788A6">
      <w:pPr>
        <w:ind w:firstLine="480"/>
        <w:rPr>
          <w:color w:val="auto"/>
        </w:rPr>
        <w:sectPr>
          <w:pgSz w:w="11906" w:h="16838"/>
          <w:pgMar w:top="1418" w:right="1418" w:bottom="1418" w:left="1418" w:header="851" w:footer="850" w:gutter="0"/>
          <w:cols w:space="425" w:num="1"/>
          <w:docGrid w:type="lines" w:linePitch="326" w:charSpace="0"/>
        </w:sectPr>
      </w:pPr>
    </w:p>
    <w:p w14:paraId="25DFD3CB">
      <w:pPr>
        <w:pStyle w:val="7"/>
        <w:rPr>
          <w:color w:val="auto"/>
        </w:rPr>
      </w:pPr>
      <w:bookmarkStart w:id="447" w:name="_Ref186122222"/>
      <w:r>
        <w:rPr>
          <w:rFonts w:hint="eastAsia"/>
          <w:color w:val="auto"/>
        </w:rPr>
        <w:t>T</w:t>
      </w:r>
      <w:r>
        <w:rPr>
          <w:color w:val="auto"/>
        </w:rPr>
        <w:t>1~T4</w:t>
      </w:r>
      <w:r>
        <w:rPr>
          <w:rFonts w:hint="eastAsia"/>
          <w:color w:val="auto"/>
        </w:rPr>
        <w:t xml:space="preserve">土壤点位监测结果表 </w:t>
      </w:r>
      <w:r>
        <w:rPr>
          <w:color w:val="auto"/>
        </w:rPr>
        <w:t xml:space="preserve"> </w:t>
      </w:r>
      <w:r>
        <w:rPr>
          <w:rFonts w:hint="eastAsia"/>
          <w:color w:val="auto"/>
        </w:rPr>
        <w:t>单位：mg</w:t>
      </w:r>
      <w:r>
        <w:rPr>
          <w:color w:val="auto"/>
        </w:rPr>
        <w:t>/</w:t>
      </w:r>
      <w:r>
        <w:rPr>
          <w:rFonts w:hint="eastAsia"/>
          <w:color w:val="auto"/>
        </w:rPr>
        <w:t>kg，p</w:t>
      </w:r>
      <w:r>
        <w:rPr>
          <w:color w:val="auto"/>
        </w:rPr>
        <w:t>H</w:t>
      </w:r>
      <w:r>
        <w:rPr>
          <w:rFonts w:hint="eastAsia"/>
          <w:color w:val="auto"/>
        </w:rPr>
        <w:t>无量纲</w:t>
      </w:r>
      <w:bookmarkEnd w:id="447"/>
    </w:p>
    <w:tbl>
      <w:tblPr>
        <w:tblStyle w:val="26"/>
        <w:tblW w:w="1401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96"/>
        <w:gridCol w:w="948"/>
        <w:gridCol w:w="796"/>
        <w:gridCol w:w="851"/>
        <w:gridCol w:w="867"/>
        <w:gridCol w:w="692"/>
        <w:gridCol w:w="851"/>
        <w:gridCol w:w="850"/>
        <w:gridCol w:w="815"/>
        <w:gridCol w:w="860"/>
        <w:gridCol w:w="824"/>
        <w:gridCol w:w="761"/>
        <w:gridCol w:w="633"/>
        <w:gridCol w:w="634"/>
        <w:gridCol w:w="633"/>
        <w:gridCol w:w="634"/>
        <w:gridCol w:w="633"/>
        <w:gridCol w:w="634"/>
      </w:tblGrid>
      <w:tr w14:paraId="323CB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2044" w:type="dxa"/>
            <w:gridSpan w:val="2"/>
            <w:vMerge w:val="restart"/>
            <w:vAlign w:val="center"/>
          </w:tcPr>
          <w:p w14:paraId="16CCE818">
            <w:pPr>
              <w:pStyle w:val="33"/>
              <w:rPr>
                <w:color w:val="auto"/>
              </w:rPr>
            </w:pPr>
            <w:r>
              <w:rPr>
                <w:rFonts w:hint="eastAsia"/>
                <w:color w:val="auto"/>
              </w:rPr>
              <w:t>监测因子</w:t>
            </w:r>
          </w:p>
        </w:tc>
        <w:tc>
          <w:tcPr>
            <w:tcW w:w="2514" w:type="dxa"/>
            <w:gridSpan w:val="3"/>
            <w:vAlign w:val="center"/>
          </w:tcPr>
          <w:p w14:paraId="4DF08FEC">
            <w:pPr>
              <w:pStyle w:val="33"/>
              <w:rPr>
                <w:color w:val="auto"/>
              </w:rPr>
            </w:pPr>
            <w:r>
              <w:rPr>
                <w:color w:val="auto"/>
              </w:rPr>
              <w:t>T1</w:t>
            </w:r>
          </w:p>
        </w:tc>
        <w:tc>
          <w:tcPr>
            <w:tcW w:w="2393" w:type="dxa"/>
            <w:gridSpan w:val="3"/>
            <w:vAlign w:val="center"/>
          </w:tcPr>
          <w:p w14:paraId="20CE3B36">
            <w:pPr>
              <w:pStyle w:val="33"/>
              <w:rPr>
                <w:color w:val="auto"/>
              </w:rPr>
            </w:pPr>
            <w:r>
              <w:rPr>
                <w:color w:val="auto"/>
              </w:rPr>
              <w:t>T2</w:t>
            </w:r>
          </w:p>
        </w:tc>
        <w:tc>
          <w:tcPr>
            <w:tcW w:w="2499" w:type="dxa"/>
            <w:gridSpan w:val="3"/>
            <w:vAlign w:val="center"/>
          </w:tcPr>
          <w:p w14:paraId="22C23E5E">
            <w:pPr>
              <w:pStyle w:val="33"/>
              <w:rPr>
                <w:color w:val="auto"/>
              </w:rPr>
            </w:pPr>
            <w:r>
              <w:rPr>
                <w:color w:val="auto"/>
              </w:rPr>
              <w:t>T3</w:t>
            </w:r>
          </w:p>
        </w:tc>
        <w:tc>
          <w:tcPr>
            <w:tcW w:w="761" w:type="dxa"/>
            <w:vAlign w:val="center"/>
          </w:tcPr>
          <w:p w14:paraId="10DF5506">
            <w:pPr>
              <w:pStyle w:val="33"/>
              <w:rPr>
                <w:color w:val="auto"/>
              </w:rPr>
            </w:pPr>
            <w:r>
              <w:rPr>
                <w:color w:val="auto"/>
              </w:rPr>
              <w:t>T4</w:t>
            </w:r>
          </w:p>
        </w:tc>
        <w:tc>
          <w:tcPr>
            <w:tcW w:w="633" w:type="dxa"/>
            <w:vMerge w:val="restart"/>
            <w:vAlign w:val="center"/>
          </w:tcPr>
          <w:p w14:paraId="62CD757C">
            <w:pPr>
              <w:pStyle w:val="33"/>
              <w:rPr>
                <w:color w:val="auto"/>
              </w:rPr>
            </w:pPr>
            <w:r>
              <w:rPr>
                <w:rFonts w:hint="eastAsia"/>
                <w:color w:val="auto"/>
              </w:rPr>
              <w:t>最大值</w:t>
            </w:r>
          </w:p>
        </w:tc>
        <w:tc>
          <w:tcPr>
            <w:tcW w:w="634" w:type="dxa"/>
            <w:vMerge w:val="restart"/>
            <w:vAlign w:val="center"/>
          </w:tcPr>
          <w:p w14:paraId="7F20F99F">
            <w:pPr>
              <w:pStyle w:val="33"/>
              <w:rPr>
                <w:color w:val="auto"/>
              </w:rPr>
            </w:pPr>
            <w:r>
              <w:rPr>
                <w:rFonts w:hint="eastAsia"/>
                <w:color w:val="auto"/>
              </w:rPr>
              <w:t>最小值</w:t>
            </w:r>
          </w:p>
        </w:tc>
        <w:tc>
          <w:tcPr>
            <w:tcW w:w="633" w:type="dxa"/>
            <w:vMerge w:val="restart"/>
            <w:vAlign w:val="center"/>
          </w:tcPr>
          <w:p w14:paraId="2F155853">
            <w:pPr>
              <w:pStyle w:val="33"/>
              <w:rPr>
                <w:color w:val="auto"/>
              </w:rPr>
            </w:pPr>
            <w:r>
              <w:rPr>
                <w:rFonts w:hint="eastAsia"/>
                <w:color w:val="auto"/>
              </w:rPr>
              <w:t>均值</w:t>
            </w:r>
          </w:p>
        </w:tc>
        <w:tc>
          <w:tcPr>
            <w:tcW w:w="634" w:type="dxa"/>
            <w:vMerge w:val="restart"/>
            <w:vAlign w:val="center"/>
          </w:tcPr>
          <w:p w14:paraId="60EA42E4">
            <w:pPr>
              <w:pStyle w:val="33"/>
              <w:rPr>
                <w:color w:val="auto"/>
              </w:rPr>
            </w:pPr>
            <w:r>
              <w:rPr>
                <w:rFonts w:hint="eastAsia"/>
                <w:color w:val="auto"/>
              </w:rPr>
              <w:t>标准差</w:t>
            </w:r>
          </w:p>
        </w:tc>
        <w:tc>
          <w:tcPr>
            <w:tcW w:w="633" w:type="dxa"/>
            <w:vMerge w:val="restart"/>
            <w:vAlign w:val="center"/>
          </w:tcPr>
          <w:p w14:paraId="1614FD65">
            <w:pPr>
              <w:pStyle w:val="33"/>
              <w:rPr>
                <w:color w:val="auto"/>
              </w:rPr>
            </w:pPr>
            <w:r>
              <w:rPr>
                <w:rFonts w:hint="eastAsia"/>
                <w:color w:val="auto"/>
              </w:rPr>
              <w:t>检出率%</w:t>
            </w:r>
          </w:p>
        </w:tc>
        <w:tc>
          <w:tcPr>
            <w:tcW w:w="634" w:type="dxa"/>
            <w:vMerge w:val="restart"/>
            <w:vAlign w:val="center"/>
          </w:tcPr>
          <w:p w14:paraId="3E49D9FE">
            <w:pPr>
              <w:pStyle w:val="33"/>
              <w:rPr>
                <w:color w:val="auto"/>
              </w:rPr>
            </w:pPr>
            <w:r>
              <w:rPr>
                <w:rFonts w:hint="eastAsia"/>
                <w:color w:val="auto"/>
              </w:rPr>
              <w:t>超标率%</w:t>
            </w:r>
          </w:p>
        </w:tc>
      </w:tr>
      <w:tr w14:paraId="40124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2044" w:type="dxa"/>
            <w:gridSpan w:val="2"/>
            <w:vMerge w:val="continue"/>
            <w:vAlign w:val="center"/>
          </w:tcPr>
          <w:p w14:paraId="5E6B797E">
            <w:pPr>
              <w:pStyle w:val="33"/>
              <w:rPr>
                <w:color w:val="auto"/>
              </w:rPr>
            </w:pPr>
          </w:p>
        </w:tc>
        <w:tc>
          <w:tcPr>
            <w:tcW w:w="796" w:type="dxa"/>
            <w:vAlign w:val="center"/>
          </w:tcPr>
          <w:p w14:paraId="5C20B807">
            <w:pPr>
              <w:pStyle w:val="33"/>
              <w:rPr>
                <w:color w:val="auto"/>
              </w:rPr>
            </w:pPr>
            <w:r>
              <w:rPr>
                <w:color w:val="auto"/>
              </w:rPr>
              <w:t>0~0.5m</w:t>
            </w:r>
          </w:p>
        </w:tc>
        <w:tc>
          <w:tcPr>
            <w:tcW w:w="851" w:type="dxa"/>
            <w:vAlign w:val="center"/>
          </w:tcPr>
          <w:p w14:paraId="6E40DBE7">
            <w:pPr>
              <w:pStyle w:val="33"/>
              <w:rPr>
                <w:color w:val="auto"/>
              </w:rPr>
            </w:pPr>
            <w:r>
              <w:rPr>
                <w:color w:val="auto"/>
              </w:rPr>
              <w:t>0.5~1.5m</w:t>
            </w:r>
          </w:p>
        </w:tc>
        <w:tc>
          <w:tcPr>
            <w:tcW w:w="867" w:type="dxa"/>
            <w:vAlign w:val="center"/>
          </w:tcPr>
          <w:p w14:paraId="49411452">
            <w:pPr>
              <w:pStyle w:val="33"/>
              <w:rPr>
                <w:color w:val="auto"/>
              </w:rPr>
            </w:pPr>
            <w:r>
              <w:rPr>
                <w:color w:val="auto"/>
              </w:rPr>
              <w:t>1.5~3.0m</w:t>
            </w:r>
          </w:p>
        </w:tc>
        <w:tc>
          <w:tcPr>
            <w:tcW w:w="692" w:type="dxa"/>
            <w:vAlign w:val="center"/>
          </w:tcPr>
          <w:p w14:paraId="60B55ABD">
            <w:pPr>
              <w:pStyle w:val="33"/>
              <w:rPr>
                <w:color w:val="auto"/>
              </w:rPr>
            </w:pPr>
            <w:r>
              <w:rPr>
                <w:color w:val="auto"/>
              </w:rPr>
              <w:t>0~0.5m</w:t>
            </w:r>
          </w:p>
        </w:tc>
        <w:tc>
          <w:tcPr>
            <w:tcW w:w="851" w:type="dxa"/>
            <w:vAlign w:val="center"/>
          </w:tcPr>
          <w:p w14:paraId="2866F368">
            <w:pPr>
              <w:pStyle w:val="33"/>
              <w:rPr>
                <w:color w:val="auto"/>
              </w:rPr>
            </w:pPr>
            <w:r>
              <w:rPr>
                <w:color w:val="auto"/>
              </w:rPr>
              <w:t>0.5~1.5m</w:t>
            </w:r>
          </w:p>
        </w:tc>
        <w:tc>
          <w:tcPr>
            <w:tcW w:w="850" w:type="dxa"/>
            <w:vAlign w:val="center"/>
          </w:tcPr>
          <w:p w14:paraId="1094A218">
            <w:pPr>
              <w:pStyle w:val="33"/>
              <w:rPr>
                <w:color w:val="auto"/>
              </w:rPr>
            </w:pPr>
            <w:r>
              <w:rPr>
                <w:color w:val="auto"/>
              </w:rPr>
              <w:t>1.5~3.0m</w:t>
            </w:r>
          </w:p>
        </w:tc>
        <w:tc>
          <w:tcPr>
            <w:tcW w:w="815" w:type="dxa"/>
            <w:vAlign w:val="center"/>
          </w:tcPr>
          <w:p w14:paraId="311B26DF">
            <w:pPr>
              <w:pStyle w:val="33"/>
              <w:rPr>
                <w:color w:val="auto"/>
              </w:rPr>
            </w:pPr>
            <w:r>
              <w:rPr>
                <w:color w:val="auto"/>
              </w:rPr>
              <w:t>0~0.5m</w:t>
            </w:r>
          </w:p>
        </w:tc>
        <w:tc>
          <w:tcPr>
            <w:tcW w:w="860" w:type="dxa"/>
            <w:vAlign w:val="center"/>
          </w:tcPr>
          <w:p w14:paraId="79AEFCAB">
            <w:pPr>
              <w:pStyle w:val="33"/>
              <w:rPr>
                <w:color w:val="auto"/>
              </w:rPr>
            </w:pPr>
            <w:r>
              <w:rPr>
                <w:color w:val="auto"/>
              </w:rPr>
              <w:t>0.5~1.5m</w:t>
            </w:r>
          </w:p>
        </w:tc>
        <w:tc>
          <w:tcPr>
            <w:tcW w:w="824" w:type="dxa"/>
            <w:vAlign w:val="center"/>
          </w:tcPr>
          <w:p w14:paraId="49202D26">
            <w:pPr>
              <w:pStyle w:val="33"/>
              <w:rPr>
                <w:color w:val="auto"/>
              </w:rPr>
            </w:pPr>
            <w:r>
              <w:rPr>
                <w:color w:val="auto"/>
              </w:rPr>
              <w:t>1.5~3.0m</w:t>
            </w:r>
          </w:p>
        </w:tc>
        <w:tc>
          <w:tcPr>
            <w:tcW w:w="761" w:type="dxa"/>
            <w:vAlign w:val="center"/>
          </w:tcPr>
          <w:p w14:paraId="7270DC8C">
            <w:pPr>
              <w:pStyle w:val="33"/>
              <w:rPr>
                <w:color w:val="auto"/>
              </w:rPr>
            </w:pPr>
            <w:r>
              <w:rPr>
                <w:rFonts w:hint="eastAsia"/>
                <w:color w:val="auto"/>
              </w:rPr>
              <w:t>0~0.2m</w:t>
            </w:r>
          </w:p>
        </w:tc>
        <w:tc>
          <w:tcPr>
            <w:tcW w:w="633" w:type="dxa"/>
            <w:vMerge w:val="continue"/>
            <w:vAlign w:val="center"/>
          </w:tcPr>
          <w:p w14:paraId="6EC9ED94">
            <w:pPr>
              <w:pStyle w:val="33"/>
              <w:rPr>
                <w:color w:val="auto"/>
              </w:rPr>
            </w:pPr>
          </w:p>
        </w:tc>
        <w:tc>
          <w:tcPr>
            <w:tcW w:w="634" w:type="dxa"/>
            <w:vMerge w:val="continue"/>
            <w:vAlign w:val="center"/>
          </w:tcPr>
          <w:p w14:paraId="53AC3762">
            <w:pPr>
              <w:pStyle w:val="33"/>
              <w:rPr>
                <w:color w:val="auto"/>
              </w:rPr>
            </w:pPr>
          </w:p>
        </w:tc>
        <w:tc>
          <w:tcPr>
            <w:tcW w:w="633" w:type="dxa"/>
            <w:vMerge w:val="continue"/>
            <w:vAlign w:val="center"/>
          </w:tcPr>
          <w:p w14:paraId="10D584BE">
            <w:pPr>
              <w:pStyle w:val="33"/>
              <w:rPr>
                <w:color w:val="auto"/>
              </w:rPr>
            </w:pPr>
          </w:p>
        </w:tc>
        <w:tc>
          <w:tcPr>
            <w:tcW w:w="634" w:type="dxa"/>
            <w:vMerge w:val="continue"/>
            <w:vAlign w:val="center"/>
          </w:tcPr>
          <w:p w14:paraId="6A523434">
            <w:pPr>
              <w:pStyle w:val="33"/>
              <w:rPr>
                <w:color w:val="auto"/>
              </w:rPr>
            </w:pPr>
          </w:p>
        </w:tc>
        <w:tc>
          <w:tcPr>
            <w:tcW w:w="633" w:type="dxa"/>
            <w:vMerge w:val="continue"/>
            <w:vAlign w:val="center"/>
          </w:tcPr>
          <w:p w14:paraId="6EA99E28">
            <w:pPr>
              <w:pStyle w:val="33"/>
              <w:rPr>
                <w:color w:val="auto"/>
              </w:rPr>
            </w:pPr>
          </w:p>
        </w:tc>
        <w:tc>
          <w:tcPr>
            <w:tcW w:w="634" w:type="dxa"/>
            <w:vMerge w:val="continue"/>
            <w:vAlign w:val="center"/>
          </w:tcPr>
          <w:p w14:paraId="7C255A9D">
            <w:pPr>
              <w:pStyle w:val="33"/>
              <w:rPr>
                <w:color w:val="auto"/>
              </w:rPr>
            </w:pPr>
          </w:p>
        </w:tc>
      </w:tr>
      <w:tr w14:paraId="305ED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70" w:hRule="atLeast"/>
        </w:trPr>
        <w:tc>
          <w:tcPr>
            <w:tcW w:w="2044" w:type="dxa"/>
            <w:gridSpan w:val="2"/>
            <w:vAlign w:val="center"/>
          </w:tcPr>
          <w:p w14:paraId="17B19952">
            <w:pPr>
              <w:pStyle w:val="33"/>
              <w:rPr>
                <w:color w:val="auto"/>
              </w:rPr>
            </w:pPr>
            <w:r>
              <w:rPr>
                <w:rFonts w:hint="eastAsia"/>
                <w:color w:val="auto"/>
              </w:rPr>
              <w:t>土壤性状</w:t>
            </w:r>
          </w:p>
        </w:tc>
        <w:tc>
          <w:tcPr>
            <w:tcW w:w="2514" w:type="dxa"/>
            <w:gridSpan w:val="3"/>
            <w:vAlign w:val="center"/>
          </w:tcPr>
          <w:p w14:paraId="1353A7C6">
            <w:pPr>
              <w:pStyle w:val="33"/>
              <w:rPr>
                <w:color w:val="auto"/>
              </w:rPr>
            </w:pPr>
            <w:r>
              <w:rPr>
                <w:rFonts w:hint="eastAsia"/>
                <w:color w:val="auto"/>
              </w:rPr>
              <w:t>红棕色、轻壤土</w:t>
            </w:r>
          </w:p>
        </w:tc>
        <w:tc>
          <w:tcPr>
            <w:tcW w:w="2393" w:type="dxa"/>
            <w:gridSpan w:val="3"/>
            <w:vAlign w:val="center"/>
          </w:tcPr>
          <w:p w14:paraId="0B580743">
            <w:pPr>
              <w:pStyle w:val="33"/>
              <w:rPr>
                <w:color w:val="auto"/>
              </w:rPr>
            </w:pPr>
            <w:r>
              <w:rPr>
                <w:rFonts w:hint="eastAsia"/>
                <w:color w:val="auto"/>
              </w:rPr>
              <w:t>黄棕色、轻壤土</w:t>
            </w:r>
          </w:p>
        </w:tc>
        <w:tc>
          <w:tcPr>
            <w:tcW w:w="815" w:type="dxa"/>
            <w:vAlign w:val="center"/>
          </w:tcPr>
          <w:p w14:paraId="4B1B4EE2">
            <w:pPr>
              <w:pStyle w:val="33"/>
              <w:rPr>
                <w:color w:val="auto"/>
              </w:rPr>
            </w:pPr>
            <w:r>
              <w:rPr>
                <w:rFonts w:hint="eastAsia"/>
                <w:color w:val="auto"/>
              </w:rPr>
              <w:t>黄棕色、轻壤土</w:t>
            </w:r>
          </w:p>
        </w:tc>
        <w:tc>
          <w:tcPr>
            <w:tcW w:w="1684" w:type="dxa"/>
            <w:gridSpan w:val="2"/>
            <w:vAlign w:val="center"/>
          </w:tcPr>
          <w:p w14:paraId="71AE211F">
            <w:pPr>
              <w:pStyle w:val="33"/>
              <w:rPr>
                <w:color w:val="auto"/>
              </w:rPr>
            </w:pPr>
            <w:r>
              <w:rPr>
                <w:rFonts w:hint="eastAsia"/>
                <w:color w:val="auto"/>
              </w:rPr>
              <w:t>红棕色、轻壤土</w:t>
            </w:r>
          </w:p>
        </w:tc>
        <w:tc>
          <w:tcPr>
            <w:tcW w:w="761" w:type="dxa"/>
            <w:vAlign w:val="center"/>
          </w:tcPr>
          <w:p w14:paraId="4039871E">
            <w:pPr>
              <w:pStyle w:val="33"/>
              <w:rPr>
                <w:color w:val="auto"/>
              </w:rPr>
            </w:pPr>
            <w:r>
              <w:rPr>
                <w:rFonts w:hint="eastAsia"/>
                <w:color w:val="auto"/>
              </w:rPr>
              <w:t>红棕色、轻壤土</w:t>
            </w:r>
          </w:p>
        </w:tc>
        <w:tc>
          <w:tcPr>
            <w:tcW w:w="633" w:type="dxa"/>
            <w:vMerge w:val="continue"/>
            <w:vAlign w:val="center"/>
          </w:tcPr>
          <w:p w14:paraId="7A015041">
            <w:pPr>
              <w:pStyle w:val="33"/>
              <w:rPr>
                <w:color w:val="auto"/>
              </w:rPr>
            </w:pPr>
          </w:p>
        </w:tc>
        <w:tc>
          <w:tcPr>
            <w:tcW w:w="634" w:type="dxa"/>
            <w:vMerge w:val="continue"/>
            <w:vAlign w:val="center"/>
          </w:tcPr>
          <w:p w14:paraId="1F70BCF6">
            <w:pPr>
              <w:pStyle w:val="33"/>
              <w:rPr>
                <w:color w:val="auto"/>
              </w:rPr>
            </w:pPr>
          </w:p>
        </w:tc>
        <w:tc>
          <w:tcPr>
            <w:tcW w:w="633" w:type="dxa"/>
            <w:vMerge w:val="continue"/>
            <w:vAlign w:val="center"/>
          </w:tcPr>
          <w:p w14:paraId="430DD9D9">
            <w:pPr>
              <w:pStyle w:val="33"/>
              <w:rPr>
                <w:color w:val="auto"/>
              </w:rPr>
            </w:pPr>
          </w:p>
        </w:tc>
        <w:tc>
          <w:tcPr>
            <w:tcW w:w="634" w:type="dxa"/>
            <w:vMerge w:val="continue"/>
            <w:vAlign w:val="center"/>
          </w:tcPr>
          <w:p w14:paraId="056B2151">
            <w:pPr>
              <w:pStyle w:val="33"/>
              <w:rPr>
                <w:color w:val="auto"/>
              </w:rPr>
            </w:pPr>
          </w:p>
        </w:tc>
        <w:tc>
          <w:tcPr>
            <w:tcW w:w="633" w:type="dxa"/>
            <w:vMerge w:val="continue"/>
            <w:vAlign w:val="center"/>
          </w:tcPr>
          <w:p w14:paraId="79E9DED6">
            <w:pPr>
              <w:pStyle w:val="33"/>
              <w:rPr>
                <w:color w:val="auto"/>
              </w:rPr>
            </w:pPr>
          </w:p>
        </w:tc>
        <w:tc>
          <w:tcPr>
            <w:tcW w:w="634" w:type="dxa"/>
            <w:vMerge w:val="continue"/>
            <w:vAlign w:val="center"/>
          </w:tcPr>
          <w:p w14:paraId="1C16C3B6">
            <w:pPr>
              <w:pStyle w:val="33"/>
              <w:rPr>
                <w:color w:val="auto"/>
              </w:rPr>
            </w:pPr>
          </w:p>
        </w:tc>
      </w:tr>
      <w:tr w14:paraId="09747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Align w:val="center"/>
          </w:tcPr>
          <w:p w14:paraId="423594B7">
            <w:pPr>
              <w:pStyle w:val="33"/>
              <w:rPr>
                <w:color w:val="auto"/>
              </w:rPr>
            </w:pPr>
            <w:r>
              <w:rPr>
                <w:rFonts w:hint="eastAsia"/>
                <w:color w:val="auto"/>
              </w:rPr>
              <w:t>pH值</w:t>
            </w:r>
          </w:p>
        </w:tc>
        <w:tc>
          <w:tcPr>
            <w:tcW w:w="948" w:type="dxa"/>
            <w:vAlign w:val="center"/>
          </w:tcPr>
          <w:p w14:paraId="1C97132A">
            <w:pPr>
              <w:pStyle w:val="33"/>
              <w:rPr>
                <w:color w:val="auto"/>
              </w:rPr>
            </w:pPr>
            <w:r>
              <w:rPr>
                <w:rFonts w:hint="eastAsia"/>
                <w:color w:val="auto"/>
              </w:rPr>
              <w:t>监测值</w:t>
            </w:r>
          </w:p>
        </w:tc>
        <w:tc>
          <w:tcPr>
            <w:tcW w:w="796" w:type="dxa"/>
            <w:vAlign w:val="center"/>
          </w:tcPr>
          <w:p w14:paraId="6AC6EE33">
            <w:pPr>
              <w:pStyle w:val="33"/>
              <w:rPr>
                <w:rFonts w:eastAsia="等线" w:cs="Times New Roman"/>
                <w:color w:val="auto"/>
                <w:szCs w:val="21"/>
              </w:rPr>
            </w:pPr>
          </w:p>
        </w:tc>
        <w:tc>
          <w:tcPr>
            <w:tcW w:w="851" w:type="dxa"/>
            <w:vAlign w:val="center"/>
          </w:tcPr>
          <w:p w14:paraId="6CAD005A">
            <w:pPr>
              <w:pStyle w:val="33"/>
              <w:rPr>
                <w:rFonts w:eastAsia="等线" w:cs="Times New Roman"/>
                <w:color w:val="auto"/>
                <w:szCs w:val="21"/>
              </w:rPr>
            </w:pPr>
          </w:p>
        </w:tc>
        <w:tc>
          <w:tcPr>
            <w:tcW w:w="867" w:type="dxa"/>
            <w:vAlign w:val="center"/>
          </w:tcPr>
          <w:p w14:paraId="43F37734">
            <w:pPr>
              <w:pStyle w:val="33"/>
              <w:rPr>
                <w:rFonts w:eastAsia="等线" w:cs="Times New Roman"/>
                <w:color w:val="auto"/>
                <w:szCs w:val="21"/>
              </w:rPr>
            </w:pPr>
          </w:p>
        </w:tc>
        <w:tc>
          <w:tcPr>
            <w:tcW w:w="692" w:type="dxa"/>
            <w:vAlign w:val="center"/>
          </w:tcPr>
          <w:p w14:paraId="6E30DF21">
            <w:pPr>
              <w:pStyle w:val="33"/>
              <w:rPr>
                <w:rFonts w:eastAsia="等线" w:cs="Times New Roman"/>
                <w:color w:val="auto"/>
                <w:szCs w:val="21"/>
              </w:rPr>
            </w:pPr>
          </w:p>
        </w:tc>
        <w:tc>
          <w:tcPr>
            <w:tcW w:w="851" w:type="dxa"/>
            <w:vAlign w:val="center"/>
          </w:tcPr>
          <w:p w14:paraId="63ECDBA3">
            <w:pPr>
              <w:pStyle w:val="33"/>
              <w:rPr>
                <w:rFonts w:eastAsia="等线" w:cs="Times New Roman"/>
                <w:color w:val="auto"/>
                <w:szCs w:val="21"/>
              </w:rPr>
            </w:pPr>
          </w:p>
        </w:tc>
        <w:tc>
          <w:tcPr>
            <w:tcW w:w="850" w:type="dxa"/>
            <w:vAlign w:val="center"/>
          </w:tcPr>
          <w:p w14:paraId="10B2F6BA">
            <w:pPr>
              <w:pStyle w:val="33"/>
              <w:rPr>
                <w:rFonts w:eastAsia="等线" w:cs="Times New Roman"/>
                <w:color w:val="auto"/>
                <w:szCs w:val="21"/>
              </w:rPr>
            </w:pPr>
          </w:p>
        </w:tc>
        <w:tc>
          <w:tcPr>
            <w:tcW w:w="815" w:type="dxa"/>
            <w:vAlign w:val="center"/>
          </w:tcPr>
          <w:p w14:paraId="3CAFF05F">
            <w:pPr>
              <w:pStyle w:val="33"/>
              <w:rPr>
                <w:color w:val="auto"/>
              </w:rPr>
            </w:pPr>
          </w:p>
        </w:tc>
        <w:tc>
          <w:tcPr>
            <w:tcW w:w="860" w:type="dxa"/>
            <w:vAlign w:val="center"/>
          </w:tcPr>
          <w:p w14:paraId="44A54C32">
            <w:pPr>
              <w:pStyle w:val="33"/>
              <w:rPr>
                <w:color w:val="auto"/>
              </w:rPr>
            </w:pPr>
          </w:p>
        </w:tc>
        <w:tc>
          <w:tcPr>
            <w:tcW w:w="824" w:type="dxa"/>
            <w:vAlign w:val="center"/>
          </w:tcPr>
          <w:p w14:paraId="1468F248">
            <w:pPr>
              <w:pStyle w:val="33"/>
              <w:rPr>
                <w:color w:val="auto"/>
              </w:rPr>
            </w:pPr>
          </w:p>
        </w:tc>
        <w:tc>
          <w:tcPr>
            <w:tcW w:w="761" w:type="dxa"/>
            <w:vAlign w:val="center"/>
          </w:tcPr>
          <w:p w14:paraId="19237F03">
            <w:pPr>
              <w:pStyle w:val="33"/>
              <w:rPr>
                <w:color w:val="auto"/>
              </w:rPr>
            </w:pPr>
          </w:p>
        </w:tc>
        <w:tc>
          <w:tcPr>
            <w:tcW w:w="633" w:type="dxa"/>
            <w:vAlign w:val="center"/>
          </w:tcPr>
          <w:p w14:paraId="01CC5B2E">
            <w:pPr>
              <w:pStyle w:val="33"/>
              <w:rPr>
                <w:rFonts w:eastAsia="等线" w:cs="Times New Roman"/>
                <w:color w:val="auto"/>
                <w:szCs w:val="21"/>
              </w:rPr>
            </w:pPr>
          </w:p>
        </w:tc>
        <w:tc>
          <w:tcPr>
            <w:tcW w:w="634" w:type="dxa"/>
            <w:vAlign w:val="center"/>
          </w:tcPr>
          <w:p w14:paraId="17D292F5">
            <w:pPr>
              <w:pStyle w:val="33"/>
              <w:rPr>
                <w:rFonts w:eastAsia="等线" w:cs="Times New Roman"/>
                <w:color w:val="auto"/>
                <w:szCs w:val="21"/>
              </w:rPr>
            </w:pPr>
          </w:p>
        </w:tc>
        <w:tc>
          <w:tcPr>
            <w:tcW w:w="633" w:type="dxa"/>
            <w:vAlign w:val="center"/>
          </w:tcPr>
          <w:p w14:paraId="045C9109">
            <w:pPr>
              <w:pStyle w:val="33"/>
              <w:rPr>
                <w:rFonts w:eastAsia="等线" w:cs="Times New Roman"/>
                <w:color w:val="auto"/>
                <w:szCs w:val="21"/>
              </w:rPr>
            </w:pPr>
          </w:p>
        </w:tc>
        <w:tc>
          <w:tcPr>
            <w:tcW w:w="634" w:type="dxa"/>
            <w:vAlign w:val="center"/>
          </w:tcPr>
          <w:p w14:paraId="6E34AA15">
            <w:pPr>
              <w:pStyle w:val="33"/>
              <w:rPr>
                <w:rFonts w:eastAsia="等线" w:cs="Times New Roman"/>
                <w:color w:val="auto"/>
                <w:szCs w:val="21"/>
              </w:rPr>
            </w:pPr>
          </w:p>
        </w:tc>
        <w:tc>
          <w:tcPr>
            <w:tcW w:w="633" w:type="dxa"/>
            <w:vAlign w:val="center"/>
          </w:tcPr>
          <w:p w14:paraId="756DE116">
            <w:pPr>
              <w:pStyle w:val="33"/>
              <w:rPr>
                <w:rFonts w:eastAsia="等线" w:cs="Times New Roman"/>
                <w:color w:val="auto"/>
                <w:szCs w:val="21"/>
              </w:rPr>
            </w:pPr>
          </w:p>
        </w:tc>
        <w:tc>
          <w:tcPr>
            <w:tcW w:w="634" w:type="dxa"/>
            <w:vAlign w:val="center"/>
          </w:tcPr>
          <w:p w14:paraId="1360F3C5">
            <w:pPr>
              <w:pStyle w:val="33"/>
              <w:rPr>
                <w:rFonts w:eastAsia="等线" w:cs="Times New Roman"/>
                <w:color w:val="auto"/>
                <w:szCs w:val="21"/>
              </w:rPr>
            </w:pPr>
          </w:p>
        </w:tc>
      </w:tr>
      <w:tr w14:paraId="40805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54754246">
            <w:pPr>
              <w:pStyle w:val="33"/>
              <w:rPr>
                <w:color w:val="auto"/>
              </w:rPr>
            </w:pPr>
            <w:r>
              <w:rPr>
                <w:rFonts w:hint="eastAsia"/>
                <w:color w:val="auto"/>
              </w:rPr>
              <w:t>镉</w:t>
            </w:r>
          </w:p>
        </w:tc>
        <w:tc>
          <w:tcPr>
            <w:tcW w:w="948" w:type="dxa"/>
            <w:vAlign w:val="center"/>
          </w:tcPr>
          <w:p w14:paraId="317C497A">
            <w:pPr>
              <w:pStyle w:val="33"/>
              <w:rPr>
                <w:color w:val="auto"/>
              </w:rPr>
            </w:pPr>
            <w:r>
              <w:rPr>
                <w:rFonts w:hint="eastAsia"/>
                <w:color w:val="auto"/>
              </w:rPr>
              <w:t>监测值</w:t>
            </w:r>
          </w:p>
        </w:tc>
        <w:tc>
          <w:tcPr>
            <w:tcW w:w="796" w:type="dxa"/>
            <w:vAlign w:val="center"/>
          </w:tcPr>
          <w:p w14:paraId="081BA331">
            <w:pPr>
              <w:pStyle w:val="33"/>
              <w:rPr>
                <w:rFonts w:eastAsia="等线" w:cs="Times New Roman"/>
                <w:color w:val="auto"/>
                <w:szCs w:val="21"/>
              </w:rPr>
            </w:pPr>
          </w:p>
        </w:tc>
        <w:tc>
          <w:tcPr>
            <w:tcW w:w="851" w:type="dxa"/>
            <w:vAlign w:val="center"/>
          </w:tcPr>
          <w:p w14:paraId="2750486C">
            <w:pPr>
              <w:pStyle w:val="33"/>
              <w:rPr>
                <w:rFonts w:eastAsia="等线" w:cs="Times New Roman"/>
                <w:color w:val="auto"/>
                <w:szCs w:val="21"/>
              </w:rPr>
            </w:pPr>
          </w:p>
        </w:tc>
        <w:tc>
          <w:tcPr>
            <w:tcW w:w="867" w:type="dxa"/>
            <w:vAlign w:val="center"/>
          </w:tcPr>
          <w:p w14:paraId="4DF724DC">
            <w:pPr>
              <w:pStyle w:val="33"/>
              <w:rPr>
                <w:rFonts w:eastAsia="等线" w:cs="Times New Roman"/>
                <w:color w:val="auto"/>
                <w:szCs w:val="21"/>
              </w:rPr>
            </w:pPr>
          </w:p>
        </w:tc>
        <w:tc>
          <w:tcPr>
            <w:tcW w:w="692" w:type="dxa"/>
            <w:vAlign w:val="center"/>
          </w:tcPr>
          <w:p w14:paraId="1D4DECA8">
            <w:pPr>
              <w:pStyle w:val="33"/>
              <w:rPr>
                <w:rFonts w:eastAsia="等线" w:cs="Times New Roman"/>
                <w:color w:val="auto"/>
                <w:szCs w:val="21"/>
              </w:rPr>
            </w:pPr>
          </w:p>
        </w:tc>
        <w:tc>
          <w:tcPr>
            <w:tcW w:w="851" w:type="dxa"/>
            <w:vAlign w:val="center"/>
          </w:tcPr>
          <w:p w14:paraId="517CAF9D">
            <w:pPr>
              <w:pStyle w:val="33"/>
              <w:rPr>
                <w:rFonts w:eastAsia="等线" w:cs="Times New Roman"/>
                <w:color w:val="auto"/>
                <w:szCs w:val="21"/>
              </w:rPr>
            </w:pPr>
          </w:p>
        </w:tc>
        <w:tc>
          <w:tcPr>
            <w:tcW w:w="850" w:type="dxa"/>
            <w:vAlign w:val="center"/>
          </w:tcPr>
          <w:p w14:paraId="3769F7EC">
            <w:pPr>
              <w:pStyle w:val="33"/>
              <w:rPr>
                <w:rFonts w:eastAsia="等线" w:cs="Times New Roman"/>
                <w:color w:val="auto"/>
                <w:szCs w:val="21"/>
              </w:rPr>
            </w:pPr>
          </w:p>
        </w:tc>
        <w:tc>
          <w:tcPr>
            <w:tcW w:w="815" w:type="dxa"/>
            <w:vAlign w:val="center"/>
          </w:tcPr>
          <w:p w14:paraId="7758E30F">
            <w:pPr>
              <w:pStyle w:val="33"/>
              <w:rPr>
                <w:color w:val="auto"/>
              </w:rPr>
            </w:pPr>
          </w:p>
        </w:tc>
        <w:tc>
          <w:tcPr>
            <w:tcW w:w="860" w:type="dxa"/>
            <w:vAlign w:val="center"/>
          </w:tcPr>
          <w:p w14:paraId="280BBDD9">
            <w:pPr>
              <w:pStyle w:val="33"/>
              <w:rPr>
                <w:color w:val="auto"/>
              </w:rPr>
            </w:pPr>
          </w:p>
        </w:tc>
        <w:tc>
          <w:tcPr>
            <w:tcW w:w="824" w:type="dxa"/>
            <w:vAlign w:val="center"/>
          </w:tcPr>
          <w:p w14:paraId="657EE9FF">
            <w:pPr>
              <w:pStyle w:val="33"/>
              <w:rPr>
                <w:color w:val="auto"/>
              </w:rPr>
            </w:pPr>
          </w:p>
        </w:tc>
        <w:tc>
          <w:tcPr>
            <w:tcW w:w="761" w:type="dxa"/>
            <w:vAlign w:val="center"/>
          </w:tcPr>
          <w:p w14:paraId="50E3D65E">
            <w:pPr>
              <w:pStyle w:val="33"/>
              <w:rPr>
                <w:color w:val="auto"/>
              </w:rPr>
            </w:pPr>
          </w:p>
        </w:tc>
        <w:tc>
          <w:tcPr>
            <w:tcW w:w="633" w:type="dxa"/>
            <w:vMerge w:val="restart"/>
            <w:vAlign w:val="center"/>
          </w:tcPr>
          <w:p w14:paraId="4FA3C238">
            <w:pPr>
              <w:pStyle w:val="33"/>
              <w:rPr>
                <w:rFonts w:eastAsia="等线" w:cs="Times New Roman"/>
                <w:color w:val="auto"/>
                <w:szCs w:val="21"/>
              </w:rPr>
            </w:pPr>
          </w:p>
        </w:tc>
        <w:tc>
          <w:tcPr>
            <w:tcW w:w="634" w:type="dxa"/>
            <w:vMerge w:val="restart"/>
            <w:vAlign w:val="center"/>
          </w:tcPr>
          <w:p w14:paraId="585EB1AA">
            <w:pPr>
              <w:pStyle w:val="33"/>
              <w:rPr>
                <w:rFonts w:eastAsia="等线" w:cs="Times New Roman"/>
                <w:color w:val="auto"/>
                <w:szCs w:val="21"/>
              </w:rPr>
            </w:pPr>
          </w:p>
        </w:tc>
        <w:tc>
          <w:tcPr>
            <w:tcW w:w="633" w:type="dxa"/>
            <w:vMerge w:val="restart"/>
            <w:vAlign w:val="center"/>
          </w:tcPr>
          <w:p w14:paraId="43D29FFF">
            <w:pPr>
              <w:pStyle w:val="33"/>
              <w:rPr>
                <w:rFonts w:eastAsia="等线" w:cs="Times New Roman"/>
                <w:color w:val="auto"/>
                <w:szCs w:val="21"/>
              </w:rPr>
            </w:pPr>
          </w:p>
        </w:tc>
        <w:tc>
          <w:tcPr>
            <w:tcW w:w="634" w:type="dxa"/>
            <w:vMerge w:val="restart"/>
            <w:vAlign w:val="center"/>
          </w:tcPr>
          <w:p w14:paraId="0250E04B">
            <w:pPr>
              <w:pStyle w:val="33"/>
              <w:rPr>
                <w:rFonts w:eastAsia="等线" w:cs="Times New Roman"/>
                <w:color w:val="auto"/>
                <w:szCs w:val="21"/>
              </w:rPr>
            </w:pPr>
          </w:p>
        </w:tc>
        <w:tc>
          <w:tcPr>
            <w:tcW w:w="633" w:type="dxa"/>
            <w:vMerge w:val="restart"/>
            <w:vAlign w:val="center"/>
          </w:tcPr>
          <w:p w14:paraId="73B94AE0">
            <w:pPr>
              <w:pStyle w:val="33"/>
              <w:rPr>
                <w:rFonts w:eastAsia="等线" w:cs="Times New Roman"/>
                <w:color w:val="auto"/>
                <w:szCs w:val="21"/>
              </w:rPr>
            </w:pPr>
          </w:p>
        </w:tc>
        <w:tc>
          <w:tcPr>
            <w:tcW w:w="634" w:type="dxa"/>
            <w:vMerge w:val="restart"/>
            <w:vAlign w:val="center"/>
          </w:tcPr>
          <w:p w14:paraId="267A64F8">
            <w:pPr>
              <w:pStyle w:val="33"/>
              <w:rPr>
                <w:rFonts w:eastAsia="等线" w:cs="Times New Roman"/>
                <w:color w:val="auto"/>
                <w:szCs w:val="21"/>
              </w:rPr>
            </w:pPr>
          </w:p>
        </w:tc>
      </w:tr>
      <w:tr w14:paraId="2FB54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168C3F91">
            <w:pPr>
              <w:pStyle w:val="33"/>
              <w:rPr>
                <w:color w:val="auto"/>
              </w:rPr>
            </w:pPr>
          </w:p>
        </w:tc>
        <w:tc>
          <w:tcPr>
            <w:tcW w:w="948" w:type="dxa"/>
            <w:vAlign w:val="center"/>
          </w:tcPr>
          <w:p w14:paraId="1D6F6C47">
            <w:pPr>
              <w:pStyle w:val="33"/>
              <w:rPr>
                <w:color w:val="auto"/>
              </w:rPr>
            </w:pPr>
            <w:r>
              <w:rPr>
                <w:rFonts w:hint="eastAsia"/>
                <w:color w:val="auto"/>
              </w:rPr>
              <w:t>筛选值</w:t>
            </w:r>
          </w:p>
        </w:tc>
        <w:tc>
          <w:tcPr>
            <w:tcW w:w="796" w:type="dxa"/>
            <w:vAlign w:val="center"/>
          </w:tcPr>
          <w:p w14:paraId="5699A806">
            <w:pPr>
              <w:pStyle w:val="33"/>
              <w:rPr>
                <w:rFonts w:eastAsia="等线" w:cs="Times New Roman"/>
                <w:color w:val="auto"/>
                <w:szCs w:val="21"/>
              </w:rPr>
            </w:pPr>
          </w:p>
        </w:tc>
        <w:tc>
          <w:tcPr>
            <w:tcW w:w="851" w:type="dxa"/>
            <w:vAlign w:val="center"/>
          </w:tcPr>
          <w:p w14:paraId="5FCFCBEA">
            <w:pPr>
              <w:pStyle w:val="33"/>
              <w:rPr>
                <w:rFonts w:eastAsia="等线" w:cs="Times New Roman"/>
                <w:color w:val="auto"/>
                <w:szCs w:val="21"/>
              </w:rPr>
            </w:pPr>
          </w:p>
        </w:tc>
        <w:tc>
          <w:tcPr>
            <w:tcW w:w="867" w:type="dxa"/>
            <w:vAlign w:val="center"/>
          </w:tcPr>
          <w:p w14:paraId="41CEB2C3">
            <w:pPr>
              <w:pStyle w:val="33"/>
              <w:rPr>
                <w:rFonts w:eastAsia="等线" w:cs="Times New Roman"/>
                <w:color w:val="auto"/>
                <w:szCs w:val="21"/>
              </w:rPr>
            </w:pPr>
          </w:p>
        </w:tc>
        <w:tc>
          <w:tcPr>
            <w:tcW w:w="692" w:type="dxa"/>
            <w:vAlign w:val="center"/>
          </w:tcPr>
          <w:p w14:paraId="31ACCC1E">
            <w:pPr>
              <w:pStyle w:val="33"/>
              <w:rPr>
                <w:rFonts w:eastAsia="等线" w:cs="Times New Roman"/>
                <w:color w:val="auto"/>
                <w:szCs w:val="21"/>
              </w:rPr>
            </w:pPr>
          </w:p>
        </w:tc>
        <w:tc>
          <w:tcPr>
            <w:tcW w:w="851" w:type="dxa"/>
            <w:vAlign w:val="center"/>
          </w:tcPr>
          <w:p w14:paraId="4D1F563E">
            <w:pPr>
              <w:pStyle w:val="33"/>
              <w:rPr>
                <w:rFonts w:eastAsia="等线" w:cs="Times New Roman"/>
                <w:color w:val="auto"/>
                <w:szCs w:val="21"/>
              </w:rPr>
            </w:pPr>
          </w:p>
        </w:tc>
        <w:tc>
          <w:tcPr>
            <w:tcW w:w="850" w:type="dxa"/>
            <w:vAlign w:val="center"/>
          </w:tcPr>
          <w:p w14:paraId="463C5CF8">
            <w:pPr>
              <w:pStyle w:val="33"/>
              <w:rPr>
                <w:rFonts w:eastAsia="等线" w:cs="Times New Roman"/>
                <w:color w:val="auto"/>
                <w:szCs w:val="21"/>
              </w:rPr>
            </w:pPr>
          </w:p>
        </w:tc>
        <w:tc>
          <w:tcPr>
            <w:tcW w:w="815" w:type="dxa"/>
            <w:vAlign w:val="center"/>
          </w:tcPr>
          <w:p w14:paraId="14C764C5">
            <w:pPr>
              <w:pStyle w:val="33"/>
              <w:rPr>
                <w:color w:val="auto"/>
              </w:rPr>
            </w:pPr>
          </w:p>
        </w:tc>
        <w:tc>
          <w:tcPr>
            <w:tcW w:w="860" w:type="dxa"/>
            <w:vAlign w:val="center"/>
          </w:tcPr>
          <w:p w14:paraId="4071A8C4">
            <w:pPr>
              <w:pStyle w:val="33"/>
              <w:rPr>
                <w:color w:val="auto"/>
              </w:rPr>
            </w:pPr>
          </w:p>
        </w:tc>
        <w:tc>
          <w:tcPr>
            <w:tcW w:w="824" w:type="dxa"/>
            <w:vAlign w:val="center"/>
          </w:tcPr>
          <w:p w14:paraId="636440D1">
            <w:pPr>
              <w:pStyle w:val="33"/>
              <w:rPr>
                <w:color w:val="auto"/>
              </w:rPr>
            </w:pPr>
          </w:p>
        </w:tc>
        <w:tc>
          <w:tcPr>
            <w:tcW w:w="761" w:type="dxa"/>
            <w:vAlign w:val="center"/>
          </w:tcPr>
          <w:p w14:paraId="1817750F">
            <w:pPr>
              <w:pStyle w:val="33"/>
              <w:rPr>
                <w:color w:val="auto"/>
              </w:rPr>
            </w:pPr>
          </w:p>
        </w:tc>
        <w:tc>
          <w:tcPr>
            <w:tcW w:w="633" w:type="dxa"/>
            <w:vMerge w:val="continue"/>
            <w:vAlign w:val="center"/>
          </w:tcPr>
          <w:p w14:paraId="56F27FD6">
            <w:pPr>
              <w:pStyle w:val="33"/>
              <w:rPr>
                <w:rFonts w:eastAsia="等线" w:cs="Times New Roman"/>
                <w:color w:val="auto"/>
                <w:szCs w:val="21"/>
              </w:rPr>
            </w:pPr>
          </w:p>
        </w:tc>
        <w:tc>
          <w:tcPr>
            <w:tcW w:w="634" w:type="dxa"/>
            <w:vMerge w:val="continue"/>
            <w:vAlign w:val="center"/>
          </w:tcPr>
          <w:p w14:paraId="301F2835">
            <w:pPr>
              <w:pStyle w:val="33"/>
              <w:rPr>
                <w:rFonts w:eastAsia="等线" w:cs="Times New Roman"/>
                <w:color w:val="auto"/>
                <w:szCs w:val="21"/>
              </w:rPr>
            </w:pPr>
          </w:p>
        </w:tc>
        <w:tc>
          <w:tcPr>
            <w:tcW w:w="633" w:type="dxa"/>
            <w:vMerge w:val="continue"/>
            <w:vAlign w:val="center"/>
          </w:tcPr>
          <w:p w14:paraId="36564F92">
            <w:pPr>
              <w:pStyle w:val="33"/>
              <w:rPr>
                <w:rFonts w:eastAsia="等线" w:cs="Times New Roman"/>
                <w:color w:val="auto"/>
                <w:szCs w:val="21"/>
              </w:rPr>
            </w:pPr>
          </w:p>
        </w:tc>
        <w:tc>
          <w:tcPr>
            <w:tcW w:w="634" w:type="dxa"/>
            <w:vMerge w:val="continue"/>
            <w:vAlign w:val="center"/>
          </w:tcPr>
          <w:p w14:paraId="28377778">
            <w:pPr>
              <w:pStyle w:val="33"/>
              <w:rPr>
                <w:rFonts w:eastAsia="等线" w:cs="Times New Roman"/>
                <w:color w:val="auto"/>
                <w:szCs w:val="21"/>
              </w:rPr>
            </w:pPr>
          </w:p>
        </w:tc>
        <w:tc>
          <w:tcPr>
            <w:tcW w:w="633" w:type="dxa"/>
            <w:vMerge w:val="continue"/>
            <w:vAlign w:val="center"/>
          </w:tcPr>
          <w:p w14:paraId="72EF11DB">
            <w:pPr>
              <w:pStyle w:val="33"/>
              <w:rPr>
                <w:rFonts w:eastAsia="等线" w:cs="Times New Roman"/>
                <w:color w:val="auto"/>
                <w:szCs w:val="21"/>
              </w:rPr>
            </w:pPr>
          </w:p>
        </w:tc>
        <w:tc>
          <w:tcPr>
            <w:tcW w:w="634" w:type="dxa"/>
            <w:vMerge w:val="continue"/>
            <w:vAlign w:val="center"/>
          </w:tcPr>
          <w:p w14:paraId="588CE18A">
            <w:pPr>
              <w:pStyle w:val="33"/>
              <w:rPr>
                <w:rFonts w:eastAsia="等线" w:cs="Times New Roman"/>
                <w:color w:val="auto"/>
                <w:szCs w:val="21"/>
              </w:rPr>
            </w:pPr>
          </w:p>
        </w:tc>
      </w:tr>
      <w:tr w14:paraId="7BE33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7D9197D">
            <w:pPr>
              <w:pStyle w:val="33"/>
              <w:rPr>
                <w:color w:val="auto"/>
              </w:rPr>
            </w:pPr>
          </w:p>
        </w:tc>
        <w:tc>
          <w:tcPr>
            <w:tcW w:w="948" w:type="dxa"/>
            <w:vAlign w:val="center"/>
          </w:tcPr>
          <w:p w14:paraId="3EB3C839">
            <w:pPr>
              <w:pStyle w:val="33"/>
              <w:rPr>
                <w:color w:val="auto"/>
              </w:rPr>
            </w:pPr>
            <w:r>
              <w:rPr>
                <w:rFonts w:hint="eastAsia"/>
                <w:color w:val="auto"/>
              </w:rPr>
              <w:t>标准指数</w:t>
            </w:r>
          </w:p>
        </w:tc>
        <w:tc>
          <w:tcPr>
            <w:tcW w:w="796" w:type="dxa"/>
            <w:vAlign w:val="center"/>
          </w:tcPr>
          <w:p w14:paraId="1214F732">
            <w:pPr>
              <w:pStyle w:val="33"/>
              <w:rPr>
                <w:rFonts w:eastAsia="等线" w:cs="Times New Roman"/>
                <w:color w:val="auto"/>
                <w:szCs w:val="21"/>
              </w:rPr>
            </w:pPr>
          </w:p>
        </w:tc>
        <w:tc>
          <w:tcPr>
            <w:tcW w:w="851" w:type="dxa"/>
            <w:vAlign w:val="center"/>
          </w:tcPr>
          <w:p w14:paraId="495BED64">
            <w:pPr>
              <w:pStyle w:val="33"/>
              <w:rPr>
                <w:rFonts w:eastAsia="等线" w:cs="Times New Roman"/>
                <w:color w:val="auto"/>
                <w:szCs w:val="21"/>
              </w:rPr>
            </w:pPr>
          </w:p>
        </w:tc>
        <w:tc>
          <w:tcPr>
            <w:tcW w:w="867" w:type="dxa"/>
            <w:vAlign w:val="center"/>
          </w:tcPr>
          <w:p w14:paraId="66AEDFF4">
            <w:pPr>
              <w:pStyle w:val="33"/>
              <w:rPr>
                <w:rFonts w:eastAsia="等线" w:cs="Times New Roman"/>
                <w:color w:val="auto"/>
                <w:szCs w:val="21"/>
              </w:rPr>
            </w:pPr>
          </w:p>
        </w:tc>
        <w:tc>
          <w:tcPr>
            <w:tcW w:w="692" w:type="dxa"/>
            <w:vAlign w:val="center"/>
          </w:tcPr>
          <w:p w14:paraId="5DD2908B">
            <w:pPr>
              <w:pStyle w:val="33"/>
              <w:rPr>
                <w:rFonts w:eastAsia="等线" w:cs="Times New Roman"/>
                <w:color w:val="auto"/>
                <w:szCs w:val="21"/>
              </w:rPr>
            </w:pPr>
          </w:p>
        </w:tc>
        <w:tc>
          <w:tcPr>
            <w:tcW w:w="851" w:type="dxa"/>
            <w:vAlign w:val="center"/>
          </w:tcPr>
          <w:p w14:paraId="72001CD4">
            <w:pPr>
              <w:pStyle w:val="33"/>
              <w:rPr>
                <w:rFonts w:eastAsia="等线" w:cs="Times New Roman"/>
                <w:color w:val="auto"/>
                <w:szCs w:val="21"/>
              </w:rPr>
            </w:pPr>
          </w:p>
        </w:tc>
        <w:tc>
          <w:tcPr>
            <w:tcW w:w="850" w:type="dxa"/>
            <w:vAlign w:val="center"/>
          </w:tcPr>
          <w:p w14:paraId="095EE648">
            <w:pPr>
              <w:pStyle w:val="33"/>
              <w:rPr>
                <w:rFonts w:eastAsia="等线" w:cs="Times New Roman"/>
                <w:color w:val="auto"/>
                <w:szCs w:val="21"/>
              </w:rPr>
            </w:pPr>
          </w:p>
        </w:tc>
        <w:tc>
          <w:tcPr>
            <w:tcW w:w="815" w:type="dxa"/>
            <w:vAlign w:val="center"/>
          </w:tcPr>
          <w:p w14:paraId="18B515FA">
            <w:pPr>
              <w:pStyle w:val="33"/>
              <w:rPr>
                <w:color w:val="auto"/>
              </w:rPr>
            </w:pPr>
          </w:p>
        </w:tc>
        <w:tc>
          <w:tcPr>
            <w:tcW w:w="860" w:type="dxa"/>
            <w:vAlign w:val="center"/>
          </w:tcPr>
          <w:p w14:paraId="7618C5AC">
            <w:pPr>
              <w:pStyle w:val="33"/>
              <w:rPr>
                <w:color w:val="auto"/>
              </w:rPr>
            </w:pPr>
          </w:p>
        </w:tc>
        <w:tc>
          <w:tcPr>
            <w:tcW w:w="824" w:type="dxa"/>
            <w:vAlign w:val="center"/>
          </w:tcPr>
          <w:p w14:paraId="2F645DFB">
            <w:pPr>
              <w:pStyle w:val="33"/>
              <w:rPr>
                <w:color w:val="auto"/>
              </w:rPr>
            </w:pPr>
          </w:p>
        </w:tc>
        <w:tc>
          <w:tcPr>
            <w:tcW w:w="761" w:type="dxa"/>
            <w:vAlign w:val="center"/>
          </w:tcPr>
          <w:p w14:paraId="387641D2">
            <w:pPr>
              <w:pStyle w:val="33"/>
              <w:rPr>
                <w:color w:val="auto"/>
              </w:rPr>
            </w:pPr>
          </w:p>
        </w:tc>
        <w:tc>
          <w:tcPr>
            <w:tcW w:w="633" w:type="dxa"/>
            <w:vMerge w:val="continue"/>
            <w:vAlign w:val="center"/>
          </w:tcPr>
          <w:p w14:paraId="2BC7F4C0">
            <w:pPr>
              <w:pStyle w:val="33"/>
              <w:rPr>
                <w:rFonts w:eastAsia="等线" w:cs="Times New Roman"/>
                <w:color w:val="auto"/>
                <w:szCs w:val="21"/>
              </w:rPr>
            </w:pPr>
          </w:p>
        </w:tc>
        <w:tc>
          <w:tcPr>
            <w:tcW w:w="634" w:type="dxa"/>
            <w:vMerge w:val="continue"/>
            <w:vAlign w:val="center"/>
          </w:tcPr>
          <w:p w14:paraId="31052CF6">
            <w:pPr>
              <w:pStyle w:val="33"/>
              <w:rPr>
                <w:rFonts w:eastAsia="等线" w:cs="Times New Roman"/>
                <w:color w:val="auto"/>
                <w:szCs w:val="21"/>
              </w:rPr>
            </w:pPr>
          </w:p>
        </w:tc>
        <w:tc>
          <w:tcPr>
            <w:tcW w:w="633" w:type="dxa"/>
            <w:vMerge w:val="continue"/>
            <w:vAlign w:val="center"/>
          </w:tcPr>
          <w:p w14:paraId="2E9AB096">
            <w:pPr>
              <w:pStyle w:val="33"/>
              <w:rPr>
                <w:rFonts w:eastAsia="等线" w:cs="Times New Roman"/>
                <w:color w:val="auto"/>
                <w:szCs w:val="21"/>
              </w:rPr>
            </w:pPr>
          </w:p>
        </w:tc>
        <w:tc>
          <w:tcPr>
            <w:tcW w:w="634" w:type="dxa"/>
            <w:vMerge w:val="continue"/>
            <w:vAlign w:val="center"/>
          </w:tcPr>
          <w:p w14:paraId="7F752E73">
            <w:pPr>
              <w:pStyle w:val="33"/>
              <w:rPr>
                <w:rFonts w:eastAsia="等线" w:cs="Times New Roman"/>
                <w:color w:val="auto"/>
                <w:szCs w:val="21"/>
              </w:rPr>
            </w:pPr>
          </w:p>
        </w:tc>
        <w:tc>
          <w:tcPr>
            <w:tcW w:w="633" w:type="dxa"/>
            <w:vMerge w:val="continue"/>
            <w:vAlign w:val="center"/>
          </w:tcPr>
          <w:p w14:paraId="4D83E850">
            <w:pPr>
              <w:pStyle w:val="33"/>
              <w:rPr>
                <w:rFonts w:eastAsia="等线" w:cs="Times New Roman"/>
                <w:color w:val="auto"/>
                <w:szCs w:val="21"/>
              </w:rPr>
            </w:pPr>
          </w:p>
        </w:tc>
        <w:tc>
          <w:tcPr>
            <w:tcW w:w="634" w:type="dxa"/>
            <w:vMerge w:val="continue"/>
            <w:vAlign w:val="center"/>
          </w:tcPr>
          <w:p w14:paraId="58742CB0">
            <w:pPr>
              <w:pStyle w:val="33"/>
              <w:rPr>
                <w:rFonts w:eastAsia="等线" w:cs="Times New Roman"/>
                <w:color w:val="auto"/>
                <w:szCs w:val="21"/>
              </w:rPr>
            </w:pPr>
          </w:p>
        </w:tc>
      </w:tr>
      <w:tr w14:paraId="0B96E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7C67720">
            <w:pPr>
              <w:pStyle w:val="33"/>
              <w:rPr>
                <w:color w:val="auto"/>
              </w:rPr>
            </w:pPr>
          </w:p>
        </w:tc>
        <w:tc>
          <w:tcPr>
            <w:tcW w:w="948" w:type="dxa"/>
            <w:vAlign w:val="center"/>
          </w:tcPr>
          <w:p w14:paraId="73D4F37E">
            <w:pPr>
              <w:pStyle w:val="33"/>
              <w:rPr>
                <w:color w:val="auto"/>
              </w:rPr>
            </w:pPr>
            <w:r>
              <w:rPr>
                <w:rFonts w:hint="eastAsia"/>
                <w:color w:val="auto"/>
              </w:rPr>
              <w:t>超标倍数</w:t>
            </w:r>
          </w:p>
        </w:tc>
        <w:tc>
          <w:tcPr>
            <w:tcW w:w="796" w:type="dxa"/>
            <w:vAlign w:val="center"/>
          </w:tcPr>
          <w:p w14:paraId="4B8E260E">
            <w:pPr>
              <w:pStyle w:val="33"/>
              <w:rPr>
                <w:rFonts w:eastAsia="等线" w:cs="Times New Roman"/>
                <w:color w:val="auto"/>
                <w:szCs w:val="21"/>
              </w:rPr>
            </w:pPr>
          </w:p>
        </w:tc>
        <w:tc>
          <w:tcPr>
            <w:tcW w:w="851" w:type="dxa"/>
            <w:vAlign w:val="center"/>
          </w:tcPr>
          <w:p w14:paraId="2756B58A">
            <w:pPr>
              <w:pStyle w:val="33"/>
              <w:rPr>
                <w:rFonts w:eastAsia="等线" w:cs="Times New Roman"/>
                <w:color w:val="auto"/>
                <w:szCs w:val="21"/>
              </w:rPr>
            </w:pPr>
          </w:p>
        </w:tc>
        <w:tc>
          <w:tcPr>
            <w:tcW w:w="867" w:type="dxa"/>
            <w:vAlign w:val="center"/>
          </w:tcPr>
          <w:p w14:paraId="447F296D">
            <w:pPr>
              <w:pStyle w:val="33"/>
              <w:rPr>
                <w:rFonts w:eastAsia="等线" w:cs="Times New Roman"/>
                <w:color w:val="auto"/>
                <w:szCs w:val="21"/>
              </w:rPr>
            </w:pPr>
          </w:p>
        </w:tc>
        <w:tc>
          <w:tcPr>
            <w:tcW w:w="692" w:type="dxa"/>
            <w:vAlign w:val="center"/>
          </w:tcPr>
          <w:p w14:paraId="5D652093">
            <w:pPr>
              <w:pStyle w:val="33"/>
              <w:rPr>
                <w:rFonts w:eastAsia="等线" w:cs="Times New Roman"/>
                <w:color w:val="auto"/>
                <w:szCs w:val="21"/>
              </w:rPr>
            </w:pPr>
          </w:p>
        </w:tc>
        <w:tc>
          <w:tcPr>
            <w:tcW w:w="851" w:type="dxa"/>
            <w:vAlign w:val="center"/>
          </w:tcPr>
          <w:p w14:paraId="0B9F8969">
            <w:pPr>
              <w:pStyle w:val="33"/>
              <w:rPr>
                <w:rFonts w:eastAsia="等线" w:cs="Times New Roman"/>
                <w:color w:val="auto"/>
                <w:szCs w:val="21"/>
              </w:rPr>
            </w:pPr>
          </w:p>
        </w:tc>
        <w:tc>
          <w:tcPr>
            <w:tcW w:w="850" w:type="dxa"/>
            <w:vAlign w:val="center"/>
          </w:tcPr>
          <w:p w14:paraId="02674B1A">
            <w:pPr>
              <w:pStyle w:val="33"/>
              <w:rPr>
                <w:rFonts w:eastAsia="等线" w:cs="Times New Roman"/>
                <w:color w:val="auto"/>
                <w:szCs w:val="21"/>
              </w:rPr>
            </w:pPr>
          </w:p>
        </w:tc>
        <w:tc>
          <w:tcPr>
            <w:tcW w:w="815" w:type="dxa"/>
            <w:vAlign w:val="center"/>
          </w:tcPr>
          <w:p w14:paraId="4FB8E2A3">
            <w:pPr>
              <w:pStyle w:val="33"/>
              <w:rPr>
                <w:color w:val="auto"/>
              </w:rPr>
            </w:pPr>
          </w:p>
        </w:tc>
        <w:tc>
          <w:tcPr>
            <w:tcW w:w="860" w:type="dxa"/>
            <w:vAlign w:val="center"/>
          </w:tcPr>
          <w:p w14:paraId="02DB57EB">
            <w:pPr>
              <w:pStyle w:val="33"/>
              <w:rPr>
                <w:color w:val="auto"/>
              </w:rPr>
            </w:pPr>
          </w:p>
        </w:tc>
        <w:tc>
          <w:tcPr>
            <w:tcW w:w="824" w:type="dxa"/>
            <w:vAlign w:val="center"/>
          </w:tcPr>
          <w:p w14:paraId="33C88E8A">
            <w:pPr>
              <w:pStyle w:val="33"/>
              <w:rPr>
                <w:color w:val="auto"/>
              </w:rPr>
            </w:pPr>
          </w:p>
        </w:tc>
        <w:tc>
          <w:tcPr>
            <w:tcW w:w="761" w:type="dxa"/>
            <w:vAlign w:val="center"/>
          </w:tcPr>
          <w:p w14:paraId="30111881">
            <w:pPr>
              <w:pStyle w:val="33"/>
              <w:rPr>
                <w:color w:val="auto"/>
              </w:rPr>
            </w:pPr>
          </w:p>
        </w:tc>
        <w:tc>
          <w:tcPr>
            <w:tcW w:w="633" w:type="dxa"/>
            <w:vMerge w:val="continue"/>
            <w:vAlign w:val="center"/>
          </w:tcPr>
          <w:p w14:paraId="1AE5EB93">
            <w:pPr>
              <w:pStyle w:val="33"/>
              <w:rPr>
                <w:rFonts w:eastAsia="等线" w:cs="Times New Roman"/>
                <w:color w:val="auto"/>
                <w:szCs w:val="21"/>
              </w:rPr>
            </w:pPr>
          </w:p>
        </w:tc>
        <w:tc>
          <w:tcPr>
            <w:tcW w:w="634" w:type="dxa"/>
            <w:vMerge w:val="continue"/>
            <w:vAlign w:val="center"/>
          </w:tcPr>
          <w:p w14:paraId="018B30A9">
            <w:pPr>
              <w:pStyle w:val="33"/>
              <w:rPr>
                <w:rFonts w:eastAsia="等线" w:cs="Times New Roman"/>
                <w:color w:val="auto"/>
                <w:szCs w:val="21"/>
              </w:rPr>
            </w:pPr>
          </w:p>
        </w:tc>
        <w:tc>
          <w:tcPr>
            <w:tcW w:w="633" w:type="dxa"/>
            <w:vMerge w:val="continue"/>
            <w:vAlign w:val="center"/>
          </w:tcPr>
          <w:p w14:paraId="53D67718">
            <w:pPr>
              <w:pStyle w:val="33"/>
              <w:rPr>
                <w:rFonts w:eastAsia="等线" w:cs="Times New Roman"/>
                <w:color w:val="auto"/>
                <w:szCs w:val="21"/>
              </w:rPr>
            </w:pPr>
          </w:p>
        </w:tc>
        <w:tc>
          <w:tcPr>
            <w:tcW w:w="634" w:type="dxa"/>
            <w:vMerge w:val="continue"/>
            <w:vAlign w:val="center"/>
          </w:tcPr>
          <w:p w14:paraId="65A3BA4B">
            <w:pPr>
              <w:pStyle w:val="33"/>
              <w:rPr>
                <w:rFonts w:eastAsia="等线" w:cs="Times New Roman"/>
                <w:color w:val="auto"/>
                <w:szCs w:val="21"/>
              </w:rPr>
            </w:pPr>
          </w:p>
        </w:tc>
        <w:tc>
          <w:tcPr>
            <w:tcW w:w="633" w:type="dxa"/>
            <w:vMerge w:val="continue"/>
            <w:vAlign w:val="center"/>
          </w:tcPr>
          <w:p w14:paraId="552ECE19">
            <w:pPr>
              <w:pStyle w:val="33"/>
              <w:rPr>
                <w:rFonts w:eastAsia="等线" w:cs="Times New Roman"/>
                <w:color w:val="auto"/>
                <w:szCs w:val="21"/>
              </w:rPr>
            </w:pPr>
          </w:p>
        </w:tc>
        <w:tc>
          <w:tcPr>
            <w:tcW w:w="634" w:type="dxa"/>
            <w:vMerge w:val="continue"/>
            <w:vAlign w:val="center"/>
          </w:tcPr>
          <w:p w14:paraId="7FA582C6">
            <w:pPr>
              <w:pStyle w:val="33"/>
              <w:rPr>
                <w:rFonts w:eastAsia="等线" w:cs="Times New Roman"/>
                <w:color w:val="auto"/>
                <w:szCs w:val="21"/>
              </w:rPr>
            </w:pPr>
          </w:p>
        </w:tc>
      </w:tr>
      <w:tr w14:paraId="610B2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36947D46">
            <w:pPr>
              <w:pStyle w:val="33"/>
              <w:rPr>
                <w:color w:val="auto"/>
              </w:rPr>
            </w:pPr>
            <w:r>
              <w:rPr>
                <w:rFonts w:hint="eastAsia"/>
                <w:color w:val="auto"/>
              </w:rPr>
              <w:t>汞</w:t>
            </w:r>
          </w:p>
        </w:tc>
        <w:tc>
          <w:tcPr>
            <w:tcW w:w="948" w:type="dxa"/>
            <w:vAlign w:val="center"/>
          </w:tcPr>
          <w:p w14:paraId="7996ABCF">
            <w:pPr>
              <w:pStyle w:val="33"/>
              <w:rPr>
                <w:color w:val="auto"/>
              </w:rPr>
            </w:pPr>
            <w:r>
              <w:rPr>
                <w:rFonts w:hint="eastAsia"/>
                <w:color w:val="auto"/>
              </w:rPr>
              <w:t>监测值</w:t>
            </w:r>
          </w:p>
        </w:tc>
        <w:tc>
          <w:tcPr>
            <w:tcW w:w="796" w:type="dxa"/>
            <w:vAlign w:val="center"/>
          </w:tcPr>
          <w:p w14:paraId="244A2C0C">
            <w:pPr>
              <w:pStyle w:val="33"/>
              <w:rPr>
                <w:rFonts w:eastAsia="等线" w:cs="Times New Roman"/>
                <w:color w:val="auto"/>
                <w:szCs w:val="21"/>
              </w:rPr>
            </w:pPr>
          </w:p>
        </w:tc>
        <w:tc>
          <w:tcPr>
            <w:tcW w:w="851" w:type="dxa"/>
            <w:vAlign w:val="center"/>
          </w:tcPr>
          <w:p w14:paraId="4C8887F9">
            <w:pPr>
              <w:pStyle w:val="33"/>
              <w:rPr>
                <w:rFonts w:eastAsia="等线" w:cs="Times New Roman"/>
                <w:color w:val="auto"/>
                <w:szCs w:val="21"/>
              </w:rPr>
            </w:pPr>
          </w:p>
        </w:tc>
        <w:tc>
          <w:tcPr>
            <w:tcW w:w="867" w:type="dxa"/>
            <w:vAlign w:val="center"/>
          </w:tcPr>
          <w:p w14:paraId="2CD53D77">
            <w:pPr>
              <w:pStyle w:val="33"/>
              <w:rPr>
                <w:rFonts w:eastAsia="等线" w:cs="Times New Roman"/>
                <w:color w:val="auto"/>
                <w:szCs w:val="21"/>
              </w:rPr>
            </w:pPr>
          </w:p>
        </w:tc>
        <w:tc>
          <w:tcPr>
            <w:tcW w:w="692" w:type="dxa"/>
            <w:vAlign w:val="center"/>
          </w:tcPr>
          <w:p w14:paraId="0BA3C830">
            <w:pPr>
              <w:pStyle w:val="33"/>
              <w:rPr>
                <w:rFonts w:eastAsia="等线" w:cs="Times New Roman"/>
                <w:color w:val="auto"/>
                <w:szCs w:val="21"/>
              </w:rPr>
            </w:pPr>
          </w:p>
        </w:tc>
        <w:tc>
          <w:tcPr>
            <w:tcW w:w="851" w:type="dxa"/>
            <w:vAlign w:val="center"/>
          </w:tcPr>
          <w:p w14:paraId="254397A1">
            <w:pPr>
              <w:pStyle w:val="33"/>
              <w:rPr>
                <w:rFonts w:eastAsia="等线" w:cs="Times New Roman"/>
                <w:color w:val="auto"/>
                <w:szCs w:val="21"/>
              </w:rPr>
            </w:pPr>
          </w:p>
        </w:tc>
        <w:tc>
          <w:tcPr>
            <w:tcW w:w="850" w:type="dxa"/>
            <w:vAlign w:val="center"/>
          </w:tcPr>
          <w:p w14:paraId="2D1CCC30">
            <w:pPr>
              <w:pStyle w:val="33"/>
              <w:rPr>
                <w:rFonts w:eastAsia="等线" w:cs="Times New Roman"/>
                <w:color w:val="auto"/>
                <w:szCs w:val="21"/>
              </w:rPr>
            </w:pPr>
          </w:p>
        </w:tc>
        <w:tc>
          <w:tcPr>
            <w:tcW w:w="815" w:type="dxa"/>
            <w:vAlign w:val="center"/>
          </w:tcPr>
          <w:p w14:paraId="44D218F7">
            <w:pPr>
              <w:pStyle w:val="33"/>
              <w:rPr>
                <w:color w:val="auto"/>
              </w:rPr>
            </w:pPr>
          </w:p>
        </w:tc>
        <w:tc>
          <w:tcPr>
            <w:tcW w:w="860" w:type="dxa"/>
            <w:vAlign w:val="center"/>
          </w:tcPr>
          <w:p w14:paraId="4B14992A">
            <w:pPr>
              <w:pStyle w:val="33"/>
              <w:rPr>
                <w:color w:val="auto"/>
              </w:rPr>
            </w:pPr>
          </w:p>
        </w:tc>
        <w:tc>
          <w:tcPr>
            <w:tcW w:w="824" w:type="dxa"/>
            <w:vAlign w:val="center"/>
          </w:tcPr>
          <w:p w14:paraId="7044CD80">
            <w:pPr>
              <w:pStyle w:val="33"/>
              <w:rPr>
                <w:color w:val="auto"/>
              </w:rPr>
            </w:pPr>
          </w:p>
        </w:tc>
        <w:tc>
          <w:tcPr>
            <w:tcW w:w="761" w:type="dxa"/>
            <w:vAlign w:val="center"/>
          </w:tcPr>
          <w:p w14:paraId="1A8CA143">
            <w:pPr>
              <w:pStyle w:val="33"/>
              <w:rPr>
                <w:color w:val="auto"/>
              </w:rPr>
            </w:pPr>
          </w:p>
        </w:tc>
        <w:tc>
          <w:tcPr>
            <w:tcW w:w="633" w:type="dxa"/>
            <w:vMerge w:val="restart"/>
            <w:vAlign w:val="center"/>
          </w:tcPr>
          <w:p w14:paraId="20134143">
            <w:pPr>
              <w:pStyle w:val="33"/>
              <w:rPr>
                <w:rFonts w:eastAsia="等线" w:cs="Times New Roman"/>
                <w:color w:val="auto"/>
                <w:szCs w:val="21"/>
              </w:rPr>
            </w:pPr>
          </w:p>
        </w:tc>
        <w:tc>
          <w:tcPr>
            <w:tcW w:w="634" w:type="dxa"/>
            <w:vMerge w:val="restart"/>
            <w:vAlign w:val="center"/>
          </w:tcPr>
          <w:p w14:paraId="1DBB6A7A">
            <w:pPr>
              <w:pStyle w:val="33"/>
              <w:rPr>
                <w:rFonts w:eastAsia="等线" w:cs="Times New Roman"/>
                <w:color w:val="auto"/>
                <w:szCs w:val="21"/>
              </w:rPr>
            </w:pPr>
          </w:p>
        </w:tc>
        <w:tc>
          <w:tcPr>
            <w:tcW w:w="633" w:type="dxa"/>
            <w:vMerge w:val="restart"/>
            <w:vAlign w:val="center"/>
          </w:tcPr>
          <w:p w14:paraId="39F09A92">
            <w:pPr>
              <w:pStyle w:val="33"/>
              <w:rPr>
                <w:rFonts w:eastAsia="等线" w:cs="Times New Roman"/>
                <w:color w:val="auto"/>
                <w:szCs w:val="21"/>
              </w:rPr>
            </w:pPr>
          </w:p>
        </w:tc>
        <w:tc>
          <w:tcPr>
            <w:tcW w:w="634" w:type="dxa"/>
            <w:vMerge w:val="restart"/>
            <w:vAlign w:val="center"/>
          </w:tcPr>
          <w:p w14:paraId="5E669B1E">
            <w:pPr>
              <w:pStyle w:val="33"/>
              <w:rPr>
                <w:rFonts w:eastAsia="等线" w:cs="Times New Roman"/>
                <w:color w:val="auto"/>
                <w:szCs w:val="21"/>
              </w:rPr>
            </w:pPr>
          </w:p>
        </w:tc>
        <w:tc>
          <w:tcPr>
            <w:tcW w:w="633" w:type="dxa"/>
            <w:vMerge w:val="restart"/>
            <w:vAlign w:val="center"/>
          </w:tcPr>
          <w:p w14:paraId="2159C410">
            <w:pPr>
              <w:pStyle w:val="33"/>
              <w:rPr>
                <w:rFonts w:eastAsia="等线" w:cs="Times New Roman"/>
                <w:color w:val="auto"/>
                <w:szCs w:val="21"/>
              </w:rPr>
            </w:pPr>
          </w:p>
        </w:tc>
        <w:tc>
          <w:tcPr>
            <w:tcW w:w="634" w:type="dxa"/>
            <w:vMerge w:val="restart"/>
            <w:vAlign w:val="center"/>
          </w:tcPr>
          <w:p w14:paraId="0BC35E73">
            <w:pPr>
              <w:pStyle w:val="33"/>
              <w:rPr>
                <w:rFonts w:eastAsia="等线" w:cs="Times New Roman"/>
                <w:color w:val="auto"/>
                <w:szCs w:val="21"/>
              </w:rPr>
            </w:pPr>
          </w:p>
        </w:tc>
      </w:tr>
      <w:tr w14:paraId="13726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036E96F1">
            <w:pPr>
              <w:pStyle w:val="33"/>
              <w:rPr>
                <w:color w:val="auto"/>
              </w:rPr>
            </w:pPr>
          </w:p>
        </w:tc>
        <w:tc>
          <w:tcPr>
            <w:tcW w:w="948" w:type="dxa"/>
            <w:vAlign w:val="center"/>
          </w:tcPr>
          <w:p w14:paraId="44A14C7B">
            <w:pPr>
              <w:pStyle w:val="33"/>
              <w:rPr>
                <w:color w:val="auto"/>
              </w:rPr>
            </w:pPr>
            <w:r>
              <w:rPr>
                <w:rFonts w:hint="eastAsia"/>
                <w:color w:val="auto"/>
              </w:rPr>
              <w:t>筛选值</w:t>
            </w:r>
          </w:p>
        </w:tc>
        <w:tc>
          <w:tcPr>
            <w:tcW w:w="796" w:type="dxa"/>
            <w:vAlign w:val="center"/>
          </w:tcPr>
          <w:p w14:paraId="7AFFD59C">
            <w:pPr>
              <w:pStyle w:val="33"/>
              <w:rPr>
                <w:rFonts w:eastAsia="等线" w:cs="Times New Roman"/>
                <w:color w:val="auto"/>
                <w:szCs w:val="21"/>
              </w:rPr>
            </w:pPr>
          </w:p>
        </w:tc>
        <w:tc>
          <w:tcPr>
            <w:tcW w:w="851" w:type="dxa"/>
            <w:vAlign w:val="center"/>
          </w:tcPr>
          <w:p w14:paraId="43B2B416">
            <w:pPr>
              <w:pStyle w:val="33"/>
              <w:rPr>
                <w:rFonts w:eastAsia="等线" w:cs="Times New Roman"/>
                <w:color w:val="auto"/>
                <w:szCs w:val="21"/>
              </w:rPr>
            </w:pPr>
          </w:p>
        </w:tc>
        <w:tc>
          <w:tcPr>
            <w:tcW w:w="867" w:type="dxa"/>
            <w:vAlign w:val="center"/>
          </w:tcPr>
          <w:p w14:paraId="39B397EB">
            <w:pPr>
              <w:pStyle w:val="33"/>
              <w:rPr>
                <w:rFonts w:eastAsia="等线" w:cs="Times New Roman"/>
                <w:color w:val="auto"/>
                <w:szCs w:val="21"/>
              </w:rPr>
            </w:pPr>
          </w:p>
        </w:tc>
        <w:tc>
          <w:tcPr>
            <w:tcW w:w="692" w:type="dxa"/>
            <w:vAlign w:val="center"/>
          </w:tcPr>
          <w:p w14:paraId="39D7E9BD">
            <w:pPr>
              <w:pStyle w:val="33"/>
              <w:rPr>
                <w:rFonts w:eastAsia="等线" w:cs="Times New Roman"/>
                <w:color w:val="auto"/>
                <w:szCs w:val="21"/>
              </w:rPr>
            </w:pPr>
          </w:p>
        </w:tc>
        <w:tc>
          <w:tcPr>
            <w:tcW w:w="851" w:type="dxa"/>
            <w:vAlign w:val="center"/>
          </w:tcPr>
          <w:p w14:paraId="2B2EC98F">
            <w:pPr>
              <w:pStyle w:val="33"/>
              <w:rPr>
                <w:rFonts w:eastAsia="等线" w:cs="Times New Roman"/>
                <w:color w:val="auto"/>
                <w:szCs w:val="21"/>
              </w:rPr>
            </w:pPr>
          </w:p>
        </w:tc>
        <w:tc>
          <w:tcPr>
            <w:tcW w:w="850" w:type="dxa"/>
            <w:vAlign w:val="center"/>
          </w:tcPr>
          <w:p w14:paraId="3CF73AE2">
            <w:pPr>
              <w:pStyle w:val="33"/>
              <w:rPr>
                <w:rFonts w:eastAsia="等线" w:cs="Times New Roman"/>
                <w:color w:val="auto"/>
                <w:szCs w:val="21"/>
              </w:rPr>
            </w:pPr>
          </w:p>
        </w:tc>
        <w:tc>
          <w:tcPr>
            <w:tcW w:w="815" w:type="dxa"/>
            <w:vAlign w:val="center"/>
          </w:tcPr>
          <w:p w14:paraId="739AB1F6">
            <w:pPr>
              <w:pStyle w:val="33"/>
              <w:rPr>
                <w:color w:val="auto"/>
              </w:rPr>
            </w:pPr>
          </w:p>
        </w:tc>
        <w:tc>
          <w:tcPr>
            <w:tcW w:w="860" w:type="dxa"/>
            <w:vAlign w:val="center"/>
          </w:tcPr>
          <w:p w14:paraId="10AA1D9C">
            <w:pPr>
              <w:pStyle w:val="33"/>
              <w:rPr>
                <w:color w:val="auto"/>
              </w:rPr>
            </w:pPr>
          </w:p>
        </w:tc>
        <w:tc>
          <w:tcPr>
            <w:tcW w:w="824" w:type="dxa"/>
            <w:vAlign w:val="center"/>
          </w:tcPr>
          <w:p w14:paraId="693EAB3B">
            <w:pPr>
              <w:pStyle w:val="33"/>
              <w:rPr>
                <w:color w:val="auto"/>
              </w:rPr>
            </w:pPr>
          </w:p>
        </w:tc>
        <w:tc>
          <w:tcPr>
            <w:tcW w:w="761" w:type="dxa"/>
            <w:vAlign w:val="center"/>
          </w:tcPr>
          <w:p w14:paraId="243BF42A">
            <w:pPr>
              <w:pStyle w:val="33"/>
              <w:rPr>
                <w:color w:val="auto"/>
              </w:rPr>
            </w:pPr>
          </w:p>
        </w:tc>
        <w:tc>
          <w:tcPr>
            <w:tcW w:w="633" w:type="dxa"/>
            <w:vMerge w:val="continue"/>
            <w:vAlign w:val="center"/>
          </w:tcPr>
          <w:p w14:paraId="2B12C128">
            <w:pPr>
              <w:pStyle w:val="33"/>
              <w:rPr>
                <w:rFonts w:eastAsia="等线" w:cs="Times New Roman"/>
                <w:color w:val="auto"/>
                <w:szCs w:val="21"/>
              </w:rPr>
            </w:pPr>
          </w:p>
        </w:tc>
        <w:tc>
          <w:tcPr>
            <w:tcW w:w="634" w:type="dxa"/>
            <w:vMerge w:val="continue"/>
            <w:vAlign w:val="center"/>
          </w:tcPr>
          <w:p w14:paraId="0988E377">
            <w:pPr>
              <w:pStyle w:val="33"/>
              <w:rPr>
                <w:rFonts w:eastAsia="等线" w:cs="Times New Roman"/>
                <w:color w:val="auto"/>
                <w:szCs w:val="21"/>
              </w:rPr>
            </w:pPr>
          </w:p>
        </w:tc>
        <w:tc>
          <w:tcPr>
            <w:tcW w:w="633" w:type="dxa"/>
            <w:vMerge w:val="continue"/>
            <w:vAlign w:val="center"/>
          </w:tcPr>
          <w:p w14:paraId="638B0E17">
            <w:pPr>
              <w:pStyle w:val="33"/>
              <w:rPr>
                <w:rFonts w:eastAsia="等线" w:cs="Times New Roman"/>
                <w:color w:val="auto"/>
                <w:szCs w:val="21"/>
              </w:rPr>
            </w:pPr>
          </w:p>
        </w:tc>
        <w:tc>
          <w:tcPr>
            <w:tcW w:w="634" w:type="dxa"/>
            <w:vMerge w:val="continue"/>
            <w:vAlign w:val="center"/>
          </w:tcPr>
          <w:p w14:paraId="68A87B98">
            <w:pPr>
              <w:pStyle w:val="33"/>
              <w:rPr>
                <w:rFonts w:eastAsia="等线" w:cs="Times New Roman"/>
                <w:color w:val="auto"/>
                <w:szCs w:val="21"/>
              </w:rPr>
            </w:pPr>
          </w:p>
        </w:tc>
        <w:tc>
          <w:tcPr>
            <w:tcW w:w="633" w:type="dxa"/>
            <w:vMerge w:val="continue"/>
            <w:vAlign w:val="center"/>
          </w:tcPr>
          <w:p w14:paraId="229A5DFF">
            <w:pPr>
              <w:pStyle w:val="33"/>
              <w:rPr>
                <w:rFonts w:eastAsia="等线" w:cs="Times New Roman"/>
                <w:color w:val="auto"/>
                <w:szCs w:val="21"/>
              </w:rPr>
            </w:pPr>
          </w:p>
        </w:tc>
        <w:tc>
          <w:tcPr>
            <w:tcW w:w="634" w:type="dxa"/>
            <w:vMerge w:val="continue"/>
            <w:vAlign w:val="center"/>
          </w:tcPr>
          <w:p w14:paraId="1714C912">
            <w:pPr>
              <w:pStyle w:val="33"/>
              <w:rPr>
                <w:rFonts w:eastAsia="等线" w:cs="Times New Roman"/>
                <w:color w:val="auto"/>
                <w:szCs w:val="21"/>
              </w:rPr>
            </w:pPr>
          </w:p>
        </w:tc>
      </w:tr>
      <w:tr w14:paraId="5FA85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278BC99C">
            <w:pPr>
              <w:pStyle w:val="33"/>
              <w:rPr>
                <w:color w:val="auto"/>
              </w:rPr>
            </w:pPr>
          </w:p>
        </w:tc>
        <w:tc>
          <w:tcPr>
            <w:tcW w:w="948" w:type="dxa"/>
            <w:vAlign w:val="center"/>
          </w:tcPr>
          <w:p w14:paraId="38C22E94">
            <w:pPr>
              <w:pStyle w:val="33"/>
              <w:rPr>
                <w:color w:val="auto"/>
              </w:rPr>
            </w:pPr>
            <w:r>
              <w:rPr>
                <w:rFonts w:hint="eastAsia"/>
                <w:color w:val="auto"/>
              </w:rPr>
              <w:t>标准指数</w:t>
            </w:r>
          </w:p>
        </w:tc>
        <w:tc>
          <w:tcPr>
            <w:tcW w:w="796" w:type="dxa"/>
            <w:vAlign w:val="center"/>
          </w:tcPr>
          <w:p w14:paraId="0C81B37E">
            <w:pPr>
              <w:pStyle w:val="33"/>
              <w:rPr>
                <w:rFonts w:eastAsia="等线" w:cs="Times New Roman"/>
                <w:color w:val="auto"/>
                <w:szCs w:val="21"/>
              </w:rPr>
            </w:pPr>
          </w:p>
        </w:tc>
        <w:tc>
          <w:tcPr>
            <w:tcW w:w="851" w:type="dxa"/>
            <w:vAlign w:val="center"/>
          </w:tcPr>
          <w:p w14:paraId="66CFA670">
            <w:pPr>
              <w:pStyle w:val="33"/>
              <w:rPr>
                <w:rFonts w:eastAsia="等线" w:cs="Times New Roman"/>
                <w:color w:val="auto"/>
                <w:szCs w:val="21"/>
              </w:rPr>
            </w:pPr>
          </w:p>
        </w:tc>
        <w:tc>
          <w:tcPr>
            <w:tcW w:w="867" w:type="dxa"/>
            <w:vAlign w:val="center"/>
          </w:tcPr>
          <w:p w14:paraId="47310355">
            <w:pPr>
              <w:pStyle w:val="33"/>
              <w:rPr>
                <w:rFonts w:eastAsia="等线" w:cs="Times New Roman"/>
                <w:color w:val="auto"/>
                <w:szCs w:val="21"/>
              </w:rPr>
            </w:pPr>
          </w:p>
        </w:tc>
        <w:tc>
          <w:tcPr>
            <w:tcW w:w="692" w:type="dxa"/>
            <w:vAlign w:val="center"/>
          </w:tcPr>
          <w:p w14:paraId="3E59BC41">
            <w:pPr>
              <w:pStyle w:val="33"/>
              <w:rPr>
                <w:rFonts w:eastAsia="等线" w:cs="Times New Roman"/>
                <w:color w:val="auto"/>
                <w:szCs w:val="21"/>
              </w:rPr>
            </w:pPr>
          </w:p>
        </w:tc>
        <w:tc>
          <w:tcPr>
            <w:tcW w:w="851" w:type="dxa"/>
            <w:vAlign w:val="center"/>
          </w:tcPr>
          <w:p w14:paraId="1397E46E">
            <w:pPr>
              <w:pStyle w:val="33"/>
              <w:rPr>
                <w:rFonts w:eastAsia="等线" w:cs="Times New Roman"/>
                <w:color w:val="auto"/>
                <w:szCs w:val="21"/>
              </w:rPr>
            </w:pPr>
          </w:p>
        </w:tc>
        <w:tc>
          <w:tcPr>
            <w:tcW w:w="850" w:type="dxa"/>
            <w:vAlign w:val="center"/>
          </w:tcPr>
          <w:p w14:paraId="45230922">
            <w:pPr>
              <w:pStyle w:val="33"/>
              <w:rPr>
                <w:rFonts w:eastAsia="等线" w:cs="Times New Roman"/>
                <w:color w:val="auto"/>
                <w:szCs w:val="21"/>
              </w:rPr>
            </w:pPr>
          </w:p>
        </w:tc>
        <w:tc>
          <w:tcPr>
            <w:tcW w:w="815" w:type="dxa"/>
            <w:vAlign w:val="center"/>
          </w:tcPr>
          <w:p w14:paraId="6C222787">
            <w:pPr>
              <w:pStyle w:val="33"/>
              <w:rPr>
                <w:color w:val="auto"/>
              </w:rPr>
            </w:pPr>
          </w:p>
        </w:tc>
        <w:tc>
          <w:tcPr>
            <w:tcW w:w="860" w:type="dxa"/>
            <w:vAlign w:val="center"/>
          </w:tcPr>
          <w:p w14:paraId="75535F80">
            <w:pPr>
              <w:pStyle w:val="33"/>
              <w:rPr>
                <w:color w:val="auto"/>
              </w:rPr>
            </w:pPr>
          </w:p>
        </w:tc>
        <w:tc>
          <w:tcPr>
            <w:tcW w:w="824" w:type="dxa"/>
            <w:vAlign w:val="center"/>
          </w:tcPr>
          <w:p w14:paraId="1A839C47">
            <w:pPr>
              <w:pStyle w:val="33"/>
              <w:rPr>
                <w:color w:val="auto"/>
              </w:rPr>
            </w:pPr>
          </w:p>
        </w:tc>
        <w:tc>
          <w:tcPr>
            <w:tcW w:w="761" w:type="dxa"/>
            <w:vAlign w:val="center"/>
          </w:tcPr>
          <w:p w14:paraId="460EFD20">
            <w:pPr>
              <w:pStyle w:val="33"/>
              <w:rPr>
                <w:color w:val="auto"/>
              </w:rPr>
            </w:pPr>
          </w:p>
        </w:tc>
        <w:tc>
          <w:tcPr>
            <w:tcW w:w="633" w:type="dxa"/>
            <w:vMerge w:val="continue"/>
            <w:vAlign w:val="center"/>
          </w:tcPr>
          <w:p w14:paraId="48118A58">
            <w:pPr>
              <w:pStyle w:val="33"/>
              <w:rPr>
                <w:rFonts w:eastAsia="等线" w:cs="Times New Roman"/>
                <w:color w:val="auto"/>
                <w:szCs w:val="21"/>
              </w:rPr>
            </w:pPr>
          </w:p>
        </w:tc>
        <w:tc>
          <w:tcPr>
            <w:tcW w:w="634" w:type="dxa"/>
            <w:vMerge w:val="continue"/>
            <w:vAlign w:val="center"/>
          </w:tcPr>
          <w:p w14:paraId="63F52403">
            <w:pPr>
              <w:pStyle w:val="33"/>
              <w:rPr>
                <w:rFonts w:eastAsia="等线" w:cs="Times New Roman"/>
                <w:color w:val="auto"/>
                <w:szCs w:val="21"/>
              </w:rPr>
            </w:pPr>
          </w:p>
        </w:tc>
        <w:tc>
          <w:tcPr>
            <w:tcW w:w="633" w:type="dxa"/>
            <w:vMerge w:val="continue"/>
            <w:vAlign w:val="center"/>
          </w:tcPr>
          <w:p w14:paraId="4E738352">
            <w:pPr>
              <w:pStyle w:val="33"/>
              <w:rPr>
                <w:rFonts w:eastAsia="等线" w:cs="Times New Roman"/>
                <w:color w:val="auto"/>
                <w:szCs w:val="21"/>
              </w:rPr>
            </w:pPr>
          </w:p>
        </w:tc>
        <w:tc>
          <w:tcPr>
            <w:tcW w:w="634" w:type="dxa"/>
            <w:vMerge w:val="continue"/>
            <w:vAlign w:val="center"/>
          </w:tcPr>
          <w:p w14:paraId="4081C0C6">
            <w:pPr>
              <w:pStyle w:val="33"/>
              <w:rPr>
                <w:rFonts w:eastAsia="等线" w:cs="Times New Roman"/>
                <w:color w:val="auto"/>
                <w:szCs w:val="21"/>
              </w:rPr>
            </w:pPr>
          </w:p>
        </w:tc>
        <w:tc>
          <w:tcPr>
            <w:tcW w:w="633" w:type="dxa"/>
            <w:vMerge w:val="continue"/>
            <w:vAlign w:val="center"/>
          </w:tcPr>
          <w:p w14:paraId="4CCD398E">
            <w:pPr>
              <w:pStyle w:val="33"/>
              <w:rPr>
                <w:rFonts w:eastAsia="等线" w:cs="Times New Roman"/>
                <w:color w:val="auto"/>
                <w:szCs w:val="21"/>
              </w:rPr>
            </w:pPr>
          </w:p>
        </w:tc>
        <w:tc>
          <w:tcPr>
            <w:tcW w:w="634" w:type="dxa"/>
            <w:vMerge w:val="continue"/>
            <w:vAlign w:val="center"/>
          </w:tcPr>
          <w:p w14:paraId="7825DD51">
            <w:pPr>
              <w:pStyle w:val="33"/>
              <w:rPr>
                <w:rFonts w:eastAsia="等线" w:cs="Times New Roman"/>
                <w:color w:val="auto"/>
                <w:szCs w:val="21"/>
              </w:rPr>
            </w:pPr>
          </w:p>
        </w:tc>
      </w:tr>
      <w:tr w14:paraId="43791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8796F8C">
            <w:pPr>
              <w:pStyle w:val="33"/>
              <w:rPr>
                <w:color w:val="auto"/>
              </w:rPr>
            </w:pPr>
          </w:p>
        </w:tc>
        <w:tc>
          <w:tcPr>
            <w:tcW w:w="948" w:type="dxa"/>
            <w:vAlign w:val="center"/>
          </w:tcPr>
          <w:p w14:paraId="45B92620">
            <w:pPr>
              <w:pStyle w:val="33"/>
              <w:rPr>
                <w:color w:val="auto"/>
              </w:rPr>
            </w:pPr>
            <w:r>
              <w:rPr>
                <w:rFonts w:hint="eastAsia"/>
                <w:color w:val="auto"/>
              </w:rPr>
              <w:t>超标倍数</w:t>
            </w:r>
          </w:p>
        </w:tc>
        <w:tc>
          <w:tcPr>
            <w:tcW w:w="796" w:type="dxa"/>
            <w:vAlign w:val="center"/>
          </w:tcPr>
          <w:p w14:paraId="6AF8726A">
            <w:pPr>
              <w:pStyle w:val="33"/>
              <w:rPr>
                <w:rFonts w:eastAsia="等线" w:cs="Times New Roman"/>
                <w:color w:val="auto"/>
                <w:szCs w:val="21"/>
              </w:rPr>
            </w:pPr>
          </w:p>
        </w:tc>
        <w:tc>
          <w:tcPr>
            <w:tcW w:w="851" w:type="dxa"/>
            <w:vAlign w:val="center"/>
          </w:tcPr>
          <w:p w14:paraId="584A2FB6">
            <w:pPr>
              <w:pStyle w:val="33"/>
              <w:rPr>
                <w:rFonts w:eastAsia="等线" w:cs="Times New Roman"/>
                <w:color w:val="auto"/>
                <w:szCs w:val="21"/>
              </w:rPr>
            </w:pPr>
          </w:p>
        </w:tc>
        <w:tc>
          <w:tcPr>
            <w:tcW w:w="867" w:type="dxa"/>
            <w:vAlign w:val="center"/>
          </w:tcPr>
          <w:p w14:paraId="311545D7">
            <w:pPr>
              <w:pStyle w:val="33"/>
              <w:rPr>
                <w:rFonts w:eastAsia="等线" w:cs="Times New Roman"/>
                <w:color w:val="auto"/>
                <w:szCs w:val="21"/>
              </w:rPr>
            </w:pPr>
          </w:p>
        </w:tc>
        <w:tc>
          <w:tcPr>
            <w:tcW w:w="692" w:type="dxa"/>
            <w:vAlign w:val="center"/>
          </w:tcPr>
          <w:p w14:paraId="18251217">
            <w:pPr>
              <w:pStyle w:val="33"/>
              <w:rPr>
                <w:rFonts w:eastAsia="等线" w:cs="Times New Roman"/>
                <w:color w:val="auto"/>
                <w:szCs w:val="21"/>
              </w:rPr>
            </w:pPr>
          </w:p>
        </w:tc>
        <w:tc>
          <w:tcPr>
            <w:tcW w:w="851" w:type="dxa"/>
            <w:vAlign w:val="center"/>
          </w:tcPr>
          <w:p w14:paraId="6133ACAF">
            <w:pPr>
              <w:pStyle w:val="33"/>
              <w:rPr>
                <w:rFonts w:eastAsia="等线" w:cs="Times New Roman"/>
                <w:color w:val="auto"/>
                <w:szCs w:val="21"/>
              </w:rPr>
            </w:pPr>
          </w:p>
        </w:tc>
        <w:tc>
          <w:tcPr>
            <w:tcW w:w="850" w:type="dxa"/>
            <w:vAlign w:val="center"/>
          </w:tcPr>
          <w:p w14:paraId="1674957C">
            <w:pPr>
              <w:pStyle w:val="33"/>
              <w:rPr>
                <w:rFonts w:eastAsia="等线" w:cs="Times New Roman"/>
                <w:color w:val="auto"/>
                <w:szCs w:val="21"/>
              </w:rPr>
            </w:pPr>
          </w:p>
        </w:tc>
        <w:tc>
          <w:tcPr>
            <w:tcW w:w="815" w:type="dxa"/>
            <w:vAlign w:val="center"/>
          </w:tcPr>
          <w:p w14:paraId="11977CB5">
            <w:pPr>
              <w:pStyle w:val="33"/>
              <w:rPr>
                <w:color w:val="auto"/>
              </w:rPr>
            </w:pPr>
          </w:p>
        </w:tc>
        <w:tc>
          <w:tcPr>
            <w:tcW w:w="860" w:type="dxa"/>
            <w:vAlign w:val="center"/>
          </w:tcPr>
          <w:p w14:paraId="7B97EA3E">
            <w:pPr>
              <w:pStyle w:val="33"/>
              <w:rPr>
                <w:color w:val="auto"/>
              </w:rPr>
            </w:pPr>
          </w:p>
        </w:tc>
        <w:tc>
          <w:tcPr>
            <w:tcW w:w="824" w:type="dxa"/>
            <w:vAlign w:val="center"/>
          </w:tcPr>
          <w:p w14:paraId="0E023919">
            <w:pPr>
              <w:pStyle w:val="33"/>
              <w:rPr>
                <w:color w:val="auto"/>
              </w:rPr>
            </w:pPr>
          </w:p>
        </w:tc>
        <w:tc>
          <w:tcPr>
            <w:tcW w:w="761" w:type="dxa"/>
            <w:vAlign w:val="center"/>
          </w:tcPr>
          <w:p w14:paraId="06552F34">
            <w:pPr>
              <w:pStyle w:val="33"/>
              <w:rPr>
                <w:color w:val="auto"/>
              </w:rPr>
            </w:pPr>
          </w:p>
        </w:tc>
        <w:tc>
          <w:tcPr>
            <w:tcW w:w="633" w:type="dxa"/>
            <w:vMerge w:val="continue"/>
            <w:vAlign w:val="center"/>
          </w:tcPr>
          <w:p w14:paraId="0D009D6F">
            <w:pPr>
              <w:pStyle w:val="33"/>
              <w:rPr>
                <w:rFonts w:eastAsia="等线" w:cs="Times New Roman"/>
                <w:color w:val="auto"/>
                <w:szCs w:val="21"/>
              </w:rPr>
            </w:pPr>
          </w:p>
        </w:tc>
        <w:tc>
          <w:tcPr>
            <w:tcW w:w="634" w:type="dxa"/>
            <w:vMerge w:val="continue"/>
            <w:vAlign w:val="center"/>
          </w:tcPr>
          <w:p w14:paraId="6BA45FFF">
            <w:pPr>
              <w:pStyle w:val="33"/>
              <w:rPr>
                <w:rFonts w:eastAsia="等线" w:cs="Times New Roman"/>
                <w:color w:val="auto"/>
                <w:szCs w:val="21"/>
              </w:rPr>
            </w:pPr>
          </w:p>
        </w:tc>
        <w:tc>
          <w:tcPr>
            <w:tcW w:w="633" w:type="dxa"/>
            <w:vMerge w:val="continue"/>
            <w:vAlign w:val="center"/>
          </w:tcPr>
          <w:p w14:paraId="1C03AE14">
            <w:pPr>
              <w:pStyle w:val="33"/>
              <w:rPr>
                <w:rFonts w:eastAsia="等线" w:cs="Times New Roman"/>
                <w:color w:val="auto"/>
                <w:szCs w:val="21"/>
              </w:rPr>
            </w:pPr>
          </w:p>
        </w:tc>
        <w:tc>
          <w:tcPr>
            <w:tcW w:w="634" w:type="dxa"/>
            <w:vMerge w:val="continue"/>
            <w:vAlign w:val="center"/>
          </w:tcPr>
          <w:p w14:paraId="5439F33B">
            <w:pPr>
              <w:pStyle w:val="33"/>
              <w:rPr>
                <w:rFonts w:eastAsia="等线" w:cs="Times New Roman"/>
                <w:color w:val="auto"/>
                <w:szCs w:val="21"/>
              </w:rPr>
            </w:pPr>
          </w:p>
        </w:tc>
        <w:tc>
          <w:tcPr>
            <w:tcW w:w="633" w:type="dxa"/>
            <w:vMerge w:val="continue"/>
            <w:vAlign w:val="center"/>
          </w:tcPr>
          <w:p w14:paraId="4E350097">
            <w:pPr>
              <w:pStyle w:val="33"/>
              <w:rPr>
                <w:rFonts w:eastAsia="等线" w:cs="Times New Roman"/>
                <w:color w:val="auto"/>
                <w:szCs w:val="21"/>
              </w:rPr>
            </w:pPr>
          </w:p>
        </w:tc>
        <w:tc>
          <w:tcPr>
            <w:tcW w:w="634" w:type="dxa"/>
            <w:vMerge w:val="continue"/>
            <w:vAlign w:val="center"/>
          </w:tcPr>
          <w:p w14:paraId="626478BF">
            <w:pPr>
              <w:pStyle w:val="33"/>
              <w:rPr>
                <w:rFonts w:eastAsia="等线" w:cs="Times New Roman"/>
                <w:color w:val="auto"/>
                <w:szCs w:val="21"/>
              </w:rPr>
            </w:pPr>
          </w:p>
        </w:tc>
      </w:tr>
      <w:tr w14:paraId="0AA15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16F58B7A">
            <w:pPr>
              <w:pStyle w:val="33"/>
              <w:rPr>
                <w:color w:val="auto"/>
              </w:rPr>
            </w:pPr>
            <w:r>
              <w:rPr>
                <w:color w:val="auto"/>
                <w:szCs w:val="21"/>
              </w:rPr>
              <w:t>砷</w:t>
            </w:r>
          </w:p>
        </w:tc>
        <w:tc>
          <w:tcPr>
            <w:tcW w:w="948" w:type="dxa"/>
            <w:vAlign w:val="center"/>
          </w:tcPr>
          <w:p w14:paraId="64F48BCE">
            <w:pPr>
              <w:pStyle w:val="33"/>
              <w:rPr>
                <w:color w:val="auto"/>
              </w:rPr>
            </w:pPr>
            <w:r>
              <w:rPr>
                <w:rFonts w:hint="eastAsia"/>
                <w:color w:val="auto"/>
              </w:rPr>
              <w:t>监测值</w:t>
            </w:r>
          </w:p>
        </w:tc>
        <w:tc>
          <w:tcPr>
            <w:tcW w:w="796" w:type="dxa"/>
            <w:vAlign w:val="center"/>
          </w:tcPr>
          <w:p w14:paraId="14A4386D">
            <w:pPr>
              <w:pStyle w:val="33"/>
              <w:rPr>
                <w:rFonts w:eastAsia="等线" w:cs="Times New Roman"/>
                <w:color w:val="auto"/>
                <w:szCs w:val="21"/>
              </w:rPr>
            </w:pPr>
          </w:p>
        </w:tc>
        <w:tc>
          <w:tcPr>
            <w:tcW w:w="851" w:type="dxa"/>
            <w:vAlign w:val="center"/>
          </w:tcPr>
          <w:p w14:paraId="7B157839">
            <w:pPr>
              <w:pStyle w:val="33"/>
              <w:rPr>
                <w:rFonts w:eastAsia="等线" w:cs="Times New Roman"/>
                <w:color w:val="auto"/>
                <w:szCs w:val="21"/>
              </w:rPr>
            </w:pPr>
          </w:p>
        </w:tc>
        <w:tc>
          <w:tcPr>
            <w:tcW w:w="867" w:type="dxa"/>
            <w:vAlign w:val="center"/>
          </w:tcPr>
          <w:p w14:paraId="01B21F9E">
            <w:pPr>
              <w:pStyle w:val="33"/>
              <w:rPr>
                <w:rFonts w:eastAsia="等线" w:cs="Times New Roman"/>
                <w:color w:val="auto"/>
                <w:szCs w:val="21"/>
              </w:rPr>
            </w:pPr>
          </w:p>
        </w:tc>
        <w:tc>
          <w:tcPr>
            <w:tcW w:w="692" w:type="dxa"/>
            <w:vAlign w:val="center"/>
          </w:tcPr>
          <w:p w14:paraId="29739C15">
            <w:pPr>
              <w:pStyle w:val="33"/>
              <w:rPr>
                <w:rFonts w:eastAsia="等线" w:cs="Times New Roman"/>
                <w:color w:val="auto"/>
                <w:szCs w:val="21"/>
              </w:rPr>
            </w:pPr>
          </w:p>
        </w:tc>
        <w:tc>
          <w:tcPr>
            <w:tcW w:w="851" w:type="dxa"/>
            <w:vAlign w:val="center"/>
          </w:tcPr>
          <w:p w14:paraId="5337A780">
            <w:pPr>
              <w:pStyle w:val="33"/>
              <w:rPr>
                <w:rFonts w:eastAsia="等线" w:cs="Times New Roman"/>
                <w:color w:val="auto"/>
                <w:szCs w:val="21"/>
              </w:rPr>
            </w:pPr>
          </w:p>
        </w:tc>
        <w:tc>
          <w:tcPr>
            <w:tcW w:w="850" w:type="dxa"/>
            <w:vAlign w:val="center"/>
          </w:tcPr>
          <w:p w14:paraId="1921AA20">
            <w:pPr>
              <w:pStyle w:val="33"/>
              <w:rPr>
                <w:rFonts w:eastAsia="等线" w:cs="Times New Roman"/>
                <w:color w:val="auto"/>
                <w:szCs w:val="21"/>
              </w:rPr>
            </w:pPr>
          </w:p>
        </w:tc>
        <w:tc>
          <w:tcPr>
            <w:tcW w:w="815" w:type="dxa"/>
            <w:vAlign w:val="center"/>
          </w:tcPr>
          <w:p w14:paraId="3B88522F">
            <w:pPr>
              <w:pStyle w:val="33"/>
              <w:rPr>
                <w:color w:val="auto"/>
              </w:rPr>
            </w:pPr>
          </w:p>
        </w:tc>
        <w:tc>
          <w:tcPr>
            <w:tcW w:w="860" w:type="dxa"/>
            <w:vAlign w:val="center"/>
          </w:tcPr>
          <w:p w14:paraId="77C5B6A1">
            <w:pPr>
              <w:pStyle w:val="33"/>
              <w:rPr>
                <w:color w:val="auto"/>
              </w:rPr>
            </w:pPr>
          </w:p>
        </w:tc>
        <w:tc>
          <w:tcPr>
            <w:tcW w:w="824" w:type="dxa"/>
            <w:vAlign w:val="center"/>
          </w:tcPr>
          <w:p w14:paraId="76FC2B5B">
            <w:pPr>
              <w:pStyle w:val="33"/>
              <w:rPr>
                <w:color w:val="auto"/>
              </w:rPr>
            </w:pPr>
          </w:p>
        </w:tc>
        <w:tc>
          <w:tcPr>
            <w:tcW w:w="761" w:type="dxa"/>
            <w:vAlign w:val="center"/>
          </w:tcPr>
          <w:p w14:paraId="43183F6A">
            <w:pPr>
              <w:pStyle w:val="33"/>
              <w:rPr>
                <w:color w:val="auto"/>
              </w:rPr>
            </w:pPr>
          </w:p>
        </w:tc>
        <w:tc>
          <w:tcPr>
            <w:tcW w:w="633" w:type="dxa"/>
            <w:vMerge w:val="restart"/>
            <w:vAlign w:val="center"/>
          </w:tcPr>
          <w:p w14:paraId="14459B01">
            <w:pPr>
              <w:pStyle w:val="33"/>
              <w:rPr>
                <w:rFonts w:eastAsia="等线" w:cs="Times New Roman"/>
                <w:color w:val="auto"/>
                <w:szCs w:val="21"/>
              </w:rPr>
            </w:pPr>
          </w:p>
        </w:tc>
        <w:tc>
          <w:tcPr>
            <w:tcW w:w="634" w:type="dxa"/>
            <w:vMerge w:val="restart"/>
            <w:vAlign w:val="center"/>
          </w:tcPr>
          <w:p w14:paraId="4D583281">
            <w:pPr>
              <w:pStyle w:val="33"/>
              <w:rPr>
                <w:rFonts w:eastAsia="等线" w:cs="Times New Roman"/>
                <w:color w:val="auto"/>
                <w:szCs w:val="21"/>
              </w:rPr>
            </w:pPr>
          </w:p>
        </w:tc>
        <w:tc>
          <w:tcPr>
            <w:tcW w:w="633" w:type="dxa"/>
            <w:vMerge w:val="restart"/>
            <w:vAlign w:val="center"/>
          </w:tcPr>
          <w:p w14:paraId="4B966118">
            <w:pPr>
              <w:pStyle w:val="33"/>
              <w:rPr>
                <w:rFonts w:eastAsia="等线" w:cs="Times New Roman"/>
                <w:color w:val="auto"/>
                <w:szCs w:val="21"/>
              </w:rPr>
            </w:pPr>
          </w:p>
        </w:tc>
        <w:tc>
          <w:tcPr>
            <w:tcW w:w="634" w:type="dxa"/>
            <w:vMerge w:val="restart"/>
            <w:vAlign w:val="center"/>
          </w:tcPr>
          <w:p w14:paraId="6317B493">
            <w:pPr>
              <w:pStyle w:val="33"/>
              <w:rPr>
                <w:rFonts w:eastAsia="等线" w:cs="Times New Roman"/>
                <w:color w:val="auto"/>
                <w:szCs w:val="21"/>
              </w:rPr>
            </w:pPr>
          </w:p>
        </w:tc>
        <w:tc>
          <w:tcPr>
            <w:tcW w:w="633" w:type="dxa"/>
            <w:vMerge w:val="restart"/>
            <w:vAlign w:val="center"/>
          </w:tcPr>
          <w:p w14:paraId="1F7769F5">
            <w:pPr>
              <w:pStyle w:val="33"/>
              <w:rPr>
                <w:rFonts w:eastAsia="等线" w:cs="Times New Roman"/>
                <w:color w:val="auto"/>
                <w:szCs w:val="21"/>
              </w:rPr>
            </w:pPr>
          </w:p>
        </w:tc>
        <w:tc>
          <w:tcPr>
            <w:tcW w:w="634" w:type="dxa"/>
            <w:vMerge w:val="restart"/>
            <w:vAlign w:val="center"/>
          </w:tcPr>
          <w:p w14:paraId="4328ADD3">
            <w:pPr>
              <w:pStyle w:val="33"/>
              <w:rPr>
                <w:rFonts w:eastAsia="等线" w:cs="Times New Roman"/>
                <w:color w:val="auto"/>
                <w:szCs w:val="21"/>
              </w:rPr>
            </w:pPr>
          </w:p>
        </w:tc>
      </w:tr>
      <w:tr w14:paraId="75F1E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6BC5892A">
            <w:pPr>
              <w:pStyle w:val="33"/>
              <w:rPr>
                <w:color w:val="auto"/>
              </w:rPr>
            </w:pPr>
          </w:p>
        </w:tc>
        <w:tc>
          <w:tcPr>
            <w:tcW w:w="948" w:type="dxa"/>
            <w:vAlign w:val="center"/>
          </w:tcPr>
          <w:p w14:paraId="142C0320">
            <w:pPr>
              <w:pStyle w:val="33"/>
              <w:rPr>
                <w:color w:val="auto"/>
              </w:rPr>
            </w:pPr>
            <w:r>
              <w:rPr>
                <w:rFonts w:hint="eastAsia"/>
                <w:color w:val="auto"/>
              </w:rPr>
              <w:t>筛选值</w:t>
            </w:r>
          </w:p>
        </w:tc>
        <w:tc>
          <w:tcPr>
            <w:tcW w:w="796" w:type="dxa"/>
            <w:vAlign w:val="center"/>
          </w:tcPr>
          <w:p w14:paraId="7780A7A2">
            <w:pPr>
              <w:pStyle w:val="33"/>
              <w:rPr>
                <w:rFonts w:eastAsia="等线" w:cs="Times New Roman"/>
                <w:color w:val="auto"/>
                <w:szCs w:val="21"/>
              </w:rPr>
            </w:pPr>
          </w:p>
        </w:tc>
        <w:tc>
          <w:tcPr>
            <w:tcW w:w="851" w:type="dxa"/>
            <w:vAlign w:val="center"/>
          </w:tcPr>
          <w:p w14:paraId="1DABD6DB">
            <w:pPr>
              <w:pStyle w:val="33"/>
              <w:rPr>
                <w:rFonts w:eastAsia="等线" w:cs="Times New Roman"/>
                <w:color w:val="auto"/>
                <w:szCs w:val="21"/>
              </w:rPr>
            </w:pPr>
          </w:p>
        </w:tc>
        <w:tc>
          <w:tcPr>
            <w:tcW w:w="867" w:type="dxa"/>
            <w:vAlign w:val="center"/>
          </w:tcPr>
          <w:p w14:paraId="645E63B4">
            <w:pPr>
              <w:pStyle w:val="33"/>
              <w:rPr>
                <w:rFonts w:eastAsia="等线" w:cs="Times New Roman"/>
                <w:color w:val="auto"/>
                <w:szCs w:val="21"/>
              </w:rPr>
            </w:pPr>
          </w:p>
        </w:tc>
        <w:tc>
          <w:tcPr>
            <w:tcW w:w="692" w:type="dxa"/>
            <w:vAlign w:val="center"/>
          </w:tcPr>
          <w:p w14:paraId="1423C98F">
            <w:pPr>
              <w:pStyle w:val="33"/>
              <w:rPr>
                <w:rFonts w:eastAsia="等线" w:cs="Times New Roman"/>
                <w:color w:val="auto"/>
                <w:szCs w:val="21"/>
              </w:rPr>
            </w:pPr>
          </w:p>
        </w:tc>
        <w:tc>
          <w:tcPr>
            <w:tcW w:w="851" w:type="dxa"/>
            <w:vAlign w:val="center"/>
          </w:tcPr>
          <w:p w14:paraId="3BF82C45">
            <w:pPr>
              <w:pStyle w:val="33"/>
              <w:rPr>
                <w:rFonts w:eastAsia="等线" w:cs="Times New Roman"/>
                <w:color w:val="auto"/>
                <w:szCs w:val="21"/>
              </w:rPr>
            </w:pPr>
          </w:p>
        </w:tc>
        <w:tc>
          <w:tcPr>
            <w:tcW w:w="850" w:type="dxa"/>
            <w:vAlign w:val="center"/>
          </w:tcPr>
          <w:p w14:paraId="3AC72B2F">
            <w:pPr>
              <w:pStyle w:val="33"/>
              <w:rPr>
                <w:rFonts w:eastAsia="等线" w:cs="Times New Roman"/>
                <w:color w:val="auto"/>
                <w:szCs w:val="21"/>
              </w:rPr>
            </w:pPr>
          </w:p>
        </w:tc>
        <w:tc>
          <w:tcPr>
            <w:tcW w:w="815" w:type="dxa"/>
            <w:vAlign w:val="center"/>
          </w:tcPr>
          <w:p w14:paraId="05D074EE">
            <w:pPr>
              <w:pStyle w:val="33"/>
              <w:rPr>
                <w:color w:val="auto"/>
              </w:rPr>
            </w:pPr>
          </w:p>
        </w:tc>
        <w:tc>
          <w:tcPr>
            <w:tcW w:w="860" w:type="dxa"/>
            <w:vAlign w:val="center"/>
          </w:tcPr>
          <w:p w14:paraId="2922938C">
            <w:pPr>
              <w:pStyle w:val="33"/>
              <w:rPr>
                <w:color w:val="auto"/>
              </w:rPr>
            </w:pPr>
          </w:p>
        </w:tc>
        <w:tc>
          <w:tcPr>
            <w:tcW w:w="824" w:type="dxa"/>
            <w:vAlign w:val="center"/>
          </w:tcPr>
          <w:p w14:paraId="2E832778">
            <w:pPr>
              <w:pStyle w:val="33"/>
              <w:rPr>
                <w:color w:val="auto"/>
              </w:rPr>
            </w:pPr>
          </w:p>
        </w:tc>
        <w:tc>
          <w:tcPr>
            <w:tcW w:w="761" w:type="dxa"/>
            <w:vAlign w:val="center"/>
          </w:tcPr>
          <w:p w14:paraId="788DF69D">
            <w:pPr>
              <w:pStyle w:val="33"/>
              <w:rPr>
                <w:color w:val="auto"/>
              </w:rPr>
            </w:pPr>
          </w:p>
        </w:tc>
        <w:tc>
          <w:tcPr>
            <w:tcW w:w="633" w:type="dxa"/>
            <w:vMerge w:val="continue"/>
            <w:vAlign w:val="center"/>
          </w:tcPr>
          <w:p w14:paraId="793AE4EF">
            <w:pPr>
              <w:pStyle w:val="33"/>
              <w:rPr>
                <w:rFonts w:eastAsia="等线" w:cs="Times New Roman"/>
                <w:color w:val="auto"/>
                <w:szCs w:val="21"/>
              </w:rPr>
            </w:pPr>
          </w:p>
        </w:tc>
        <w:tc>
          <w:tcPr>
            <w:tcW w:w="634" w:type="dxa"/>
            <w:vMerge w:val="continue"/>
            <w:vAlign w:val="center"/>
          </w:tcPr>
          <w:p w14:paraId="636DA76C">
            <w:pPr>
              <w:pStyle w:val="33"/>
              <w:rPr>
                <w:rFonts w:eastAsia="等线" w:cs="Times New Roman"/>
                <w:color w:val="auto"/>
                <w:szCs w:val="21"/>
              </w:rPr>
            </w:pPr>
          </w:p>
        </w:tc>
        <w:tc>
          <w:tcPr>
            <w:tcW w:w="633" w:type="dxa"/>
            <w:vMerge w:val="continue"/>
            <w:vAlign w:val="center"/>
          </w:tcPr>
          <w:p w14:paraId="00BCCB28">
            <w:pPr>
              <w:pStyle w:val="33"/>
              <w:rPr>
                <w:rFonts w:eastAsia="等线" w:cs="Times New Roman"/>
                <w:color w:val="auto"/>
                <w:szCs w:val="21"/>
              </w:rPr>
            </w:pPr>
          </w:p>
        </w:tc>
        <w:tc>
          <w:tcPr>
            <w:tcW w:w="634" w:type="dxa"/>
            <w:vMerge w:val="continue"/>
            <w:vAlign w:val="center"/>
          </w:tcPr>
          <w:p w14:paraId="65CA66BD">
            <w:pPr>
              <w:pStyle w:val="33"/>
              <w:rPr>
                <w:rFonts w:eastAsia="等线" w:cs="Times New Roman"/>
                <w:color w:val="auto"/>
                <w:szCs w:val="21"/>
              </w:rPr>
            </w:pPr>
          </w:p>
        </w:tc>
        <w:tc>
          <w:tcPr>
            <w:tcW w:w="633" w:type="dxa"/>
            <w:vMerge w:val="continue"/>
            <w:vAlign w:val="center"/>
          </w:tcPr>
          <w:p w14:paraId="20D45D1F">
            <w:pPr>
              <w:pStyle w:val="33"/>
              <w:rPr>
                <w:rFonts w:eastAsia="等线" w:cs="Times New Roman"/>
                <w:color w:val="auto"/>
                <w:szCs w:val="21"/>
              </w:rPr>
            </w:pPr>
          </w:p>
        </w:tc>
        <w:tc>
          <w:tcPr>
            <w:tcW w:w="634" w:type="dxa"/>
            <w:vMerge w:val="continue"/>
            <w:vAlign w:val="center"/>
          </w:tcPr>
          <w:p w14:paraId="0E0521E4">
            <w:pPr>
              <w:pStyle w:val="33"/>
              <w:rPr>
                <w:rFonts w:eastAsia="等线" w:cs="Times New Roman"/>
                <w:color w:val="auto"/>
                <w:szCs w:val="21"/>
              </w:rPr>
            </w:pPr>
          </w:p>
        </w:tc>
      </w:tr>
      <w:tr w14:paraId="08E15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B54670C">
            <w:pPr>
              <w:pStyle w:val="33"/>
              <w:rPr>
                <w:color w:val="auto"/>
              </w:rPr>
            </w:pPr>
          </w:p>
        </w:tc>
        <w:tc>
          <w:tcPr>
            <w:tcW w:w="948" w:type="dxa"/>
            <w:vAlign w:val="center"/>
          </w:tcPr>
          <w:p w14:paraId="50022CC5">
            <w:pPr>
              <w:pStyle w:val="33"/>
              <w:rPr>
                <w:color w:val="auto"/>
              </w:rPr>
            </w:pPr>
            <w:r>
              <w:rPr>
                <w:rFonts w:hint="eastAsia"/>
                <w:color w:val="auto"/>
              </w:rPr>
              <w:t>标准指数</w:t>
            </w:r>
          </w:p>
        </w:tc>
        <w:tc>
          <w:tcPr>
            <w:tcW w:w="796" w:type="dxa"/>
            <w:vAlign w:val="center"/>
          </w:tcPr>
          <w:p w14:paraId="7E7C739B">
            <w:pPr>
              <w:pStyle w:val="33"/>
              <w:rPr>
                <w:rFonts w:eastAsia="等线" w:cs="Times New Roman"/>
                <w:color w:val="auto"/>
                <w:szCs w:val="21"/>
              </w:rPr>
            </w:pPr>
          </w:p>
        </w:tc>
        <w:tc>
          <w:tcPr>
            <w:tcW w:w="851" w:type="dxa"/>
            <w:vAlign w:val="center"/>
          </w:tcPr>
          <w:p w14:paraId="076BECAF">
            <w:pPr>
              <w:pStyle w:val="33"/>
              <w:rPr>
                <w:rFonts w:eastAsia="等线" w:cs="Times New Roman"/>
                <w:color w:val="auto"/>
                <w:szCs w:val="21"/>
              </w:rPr>
            </w:pPr>
          </w:p>
        </w:tc>
        <w:tc>
          <w:tcPr>
            <w:tcW w:w="867" w:type="dxa"/>
            <w:vAlign w:val="center"/>
          </w:tcPr>
          <w:p w14:paraId="5263B44A">
            <w:pPr>
              <w:pStyle w:val="33"/>
              <w:rPr>
                <w:rFonts w:eastAsia="等线" w:cs="Times New Roman"/>
                <w:color w:val="auto"/>
                <w:szCs w:val="21"/>
              </w:rPr>
            </w:pPr>
          </w:p>
        </w:tc>
        <w:tc>
          <w:tcPr>
            <w:tcW w:w="692" w:type="dxa"/>
            <w:vAlign w:val="center"/>
          </w:tcPr>
          <w:p w14:paraId="560855FF">
            <w:pPr>
              <w:pStyle w:val="33"/>
              <w:rPr>
                <w:rFonts w:eastAsia="等线" w:cs="Times New Roman"/>
                <w:color w:val="auto"/>
                <w:szCs w:val="21"/>
              </w:rPr>
            </w:pPr>
          </w:p>
        </w:tc>
        <w:tc>
          <w:tcPr>
            <w:tcW w:w="851" w:type="dxa"/>
            <w:vAlign w:val="center"/>
          </w:tcPr>
          <w:p w14:paraId="18D7ECAF">
            <w:pPr>
              <w:pStyle w:val="33"/>
              <w:rPr>
                <w:rFonts w:eastAsia="等线" w:cs="Times New Roman"/>
                <w:color w:val="auto"/>
                <w:szCs w:val="21"/>
              </w:rPr>
            </w:pPr>
          </w:p>
        </w:tc>
        <w:tc>
          <w:tcPr>
            <w:tcW w:w="850" w:type="dxa"/>
            <w:vAlign w:val="center"/>
          </w:tcPr>
          <w:p w14:paraId="2E9FAF45">
            <w:pPr>
              <w:pStyle w:val="33"/>
              <w:rPr>
                <w:rFonts w:eastAsia="等线" w:cs="Times New Roman"/>
                <w:color w:val="auto"/>
                <w:szCs w:val="21"/>
              </w:rPr>
            </w:pPr>
          </w:p>
        </w:tc>
        <w:tc>
          <w:tcPr>
            <w:tcW w:w="815" w:type="dxa"/>
            <w:vAlign w:val="center"/>
          </w:tcPr>
          <w:p w14:paraId="3F13BEA9">
            <w:pPr>
              <w:pStyle w:val="33"/>
              <w:rPr>
                <w:color w:val="auto"/>
              </w:rPr>
            </w:pPr>
          </w:p>
        </w:tc>
        <w:tc>
          <w:tcPr>
            <w:tcW w:w="860" w:type="dxa"/>
            <w:vAlign w:val="center"/>
          </w:tcPr>
          <w:p w14:paraId="73863601">
            <w:pPr>
              <w:pStyle w:val="33"/>
              <w:rPr>
                <w:color w:val="auto"/>
              </w:rPr>
            </w:pPr>
          </w:p>
        </w:tc>
        <w:tc>
          <w:tcPr>
            <w:tcW w:w="824" w:type="dxa"/>
            <w:vAlign w:val="center"/>
          </w:tcPr>
          <w:p w14:paraId="7ED2B1AE">
            <w:pPr>
              <w:pStyle w:val="33"/>
              <w:rPr>
                <w:color w:val="auto"/>
              </w:rPr>
            </w:pPr>
          </w:p>
        </w:tc>
        <w:tc>
          <w:tcPr>
            <w:tcW w:w="761" w:type="dxa"/>
            <w:vAlign w:val="center"/>
          </w:tcPr>
          <w:p w14:paraId="73F76103">
            <w:pPr>
              <w:pStyle w:val="33"/>
              <w:rPr>
                <w:color w:val="auto"/>
              </w:rPr>
            </w:pPr>
          </w:p>
        </w:tc>
        <w:tc>
          <w:tcPr>
            <w:tcW w:w="633" w:type="dxa"/>
            <w:vMerge w:val="continue"/>
            <w:vAlign w:val="center"/>
          </w:tcPr>
          <w:p w14:paraId="74519338">
            <w:pPr>
              <w:pStyle w:val="33"/>
              <w:rPr>
                <w:rFonts w:eastAsia="等线" w:cs="Times New Roman"/>
                <w:color w:val="auto"/>
                <w:szCs w:val="21"/>
              </w:rPr>
            </w:pPr>
          </w:p>
        </w:tc>
        <w:tc>
          <w:tcPr>
            <w:tcW w:w="634" w:type="dxa"/>
            <w:vMerge w:val="continue"/>
            <w:vAlign w:val="center"/>
          </w:tcPr>
          <w:p w14:paraId="7889B12B">
            <w:pPr>
              <w:pStyle w:val="33"/>
              <w:rPr>
                <w:rFonts w:eastAsia="等线" w:cs="Times New Roman"/>
                <w:color w:val="auto"/>
                <w:szCs w:val="21"/>
              </w:rPr>
            </w:pPr>
          </w:p>
        </w:tc>
        <w:tc>
          <w:tcPr>
            <w:tcW w:w="633" w:type="dxa"/>
            <w:vMerge w:val="continue"/>
            <w:vAlign w:val="center"/>
          </w:tcPr>
          <w:p w14:paraId="555EB921">
            <w:pPr>
              <w:pStyle w:val="33"/>
              <w:rPr>
                <w:rFonts w:eastAsia="等线" w:cs="Times New Roman"/>
                <w:color w:val="auto"/>
                <w:szCs w:val="21"/>
              </w:rPr>
            </w:pPr>
          </w:p>
        </w:tc>
        <w:tc>
          <w:tcPr>
            <w:tcW w:w="634" w:type="dxa"/>
            <w:vMerge w:val="continue"/>
            <w:vAlign w:val="center"/>
          </w:tcPr>
          <w:p w14:paraId="2DF1003B">
            <w:pPr>
              <w:pStyle w:val="33"/>
              <w:rPr>
                <w:rFonts w:eastAsia="等线" w:cs="Times New Roman"/>
                <w:color w:val="auto"/>
                <w:szCs w:val="21"/>
              </w:rPr>
            </w:pPr>
          </w:p>
        </w:tc>
        <w:tc>
          <w:tcPr>
            <w:tcW w:w="633" w:type="dxa"/>
            <w:vMerge w:val="continue"/>
            <w:vAlign w:val="center"/>
          </w:tcPr>
          <w:p w14:paraId="11A297BA">
            <w:pPr>
              <w:pStyle w:val="33"/>
              <w:rPr>
                <w:rFonts w:eastAsia="等线" w:cs="Times New Roman"/>
                <w:color w:val="auto"/>
                <w:szCs w:val="21"/>
              </w:rPr>
            </w:pPr>
          </w:p>
        </w:tc>
        <w:tc>
          <w:tcPr>
            <w:tcW w:w="634" w:type="dxa"/>
            <w:vMerge w:val="continue"/>
            <w:vAlign w:val="center"/>
          </w:tcPr>
          <w:p w14:paraId="25A36834">
            <w:pPr>
              <w:pStyle w:val="33"/>
              <w:rPr>
                <w:rFonts w:eastAsia="等线" w:cs="Times New Roman"/>
                <w:color w:val="auto"/>
                <w:szCs w:val="21"/>
              </w:rPr>
            </w:pPr>
          </w:p>
        </w:tc>
      </w:tr>
      <w:tr w14:paraId="707B3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48E48CD3">
            <w:pPr>
              <w:pStyle w:val="33"/>
              <w:rPr>
                <w:color w:val="auto"/>
              </w:rPr>
            </w:pPr>
          </w:p>
        </w:tc>
        <w:tc>
          <w:tcPr>
            <w:tcW w:w="948" w:type="dxa"/>
            <w:vAlign w:val="center"/>
          </w:tcPr>
          <w:p w14:paraId="02FB5206">
            <w:pPr>
              <w:pStyle w:val="33"/>
              <w:rPr>
                <w:color w:val="auto"/>
              </w:rPr>
            </w:pPr>
            <w:r>
              <w:rPr>
                <w:rFonts w:hint="eastAsia"/>
                <w:color w:val="auto"/>
              </w:rPr>
              <w:t>超标倍数</w:t>
            </w:r>
          </w:p>
        </w:tc>
        <w:tc>
          <w:tcPr>
            <w:tcW w:w="796" w:type="dxa"/>
            <w:vAlign w:val="center"/>
          </w:tcPr>
          <w:p w14:paraId="7E865BB6">
            <w:pPr>
              <w:pStyle w:val="33"/>
              <w:rPr>
                <w:rFonts w:eastAsia="等线" w:cs="Times New Roman"/>
                <w:color w:val="auto"/>
                <w:szCs w:val="21"/>
              </w:rPr>
            </w:pPr>
          </w:p>
        </w:tc>
        <w:tc>
          <w:tcPr>
            <w:tcW w:w="851" w:type="dxa"/>
            <w:vAlign w:val="center"/>
          </w:tcPr>
          <w:p w14:paraId="0379436B">
            <w:pPr>
              <w:pStyle w:val="33"/>
              <w:rPr>
                <w:rFonts w:eastAsia="等线" w:cs="Times New Roman"/>
                <w:color w:val="auto"/>
                <w:szCs w:val="21"/>
              </w:rPr>
            </w:pPr>
          </w:p>
        </w:tc>
        <w:tc>
          <w:tcPr>
            <w:tcW w:w="867" w:type="dxa"/>
            <w:vAlign w:val="center"/>
          </w:tcPr>
          <w:p w14:paraId="5E1C1272">
            <w:pPr>
              <w:pStyle w:val="33"/>
              <w:rPr>
                <w:rFonts w:eastAsia="等线" w:cs="Times New Roman"/>
                <w:color w:val="auto"/>
                <w:szCs w:val="21"/>
              </w:rPr>
            </w:pPr>
          </w:p>
        </w:tc>
        <w:tc>
          <w:tcPr>
            <w:tcW w:w="692" w:type="dxa"/>
            <w:vAlign w:val="center"/>
          </w:tcPr>
          <w:p w14:paraId="75FC908E">
            <w:pPr>
              <w:pStyle w:val="33"/>
              <w:rPr>
                <w:rFonts w:eastAsia="等线" w:cs="Times New Roman"/>
                <w:color w:val="auto"/>
                <w:szCs w:val="21"/>
              </w:rPr>
            </w:pPr>
          </w:p>
        </w:tc>
        <w:tc>
          <w:tcPr>
            <w:tcW w:w="851" w:type="dxa"/>
            <w:vAlign w:val="center"/>
          </w:tcPr>
          <w:p w14:paraId="75427C10">
            <w:pPr>
              <w:pStyle w:val="33"/>
              <w:rPr>
                <w:rFonts w:eastAsia="等线" w:cs="Times New Roman"/>
                <w:color w:val="auto"/>
                <w:szCs w:val="21"/>
              </w:rPr>
            </w:pPr>
          </w:p>
        </w:tc>
        <w:tc>
          <w:tcPr>
            <w:tcW w:w="850" w:type="dxa"/>
            <w:vAlign w:val="center"/>
          </w:tcPr>
          <w:p w14:paraId="129E61FC">
            <w:pPr>
              <w:pStyle w:val="33"/>
              <w:rPr>
                <w:rFonts w:eastAsia="等线" w:cs="Times New Roman"/>
                <w:color w:val="auto"/>
                <w:szCs w:val="21"/>
              </w:rPr>
            </w:pPr>
          </w:p>
        </w:tc>
        <w:tc>
          <w:tcPr>
            <w:tcW w:w="815" w:type="dxa"/>
            <w:vAlign w:val="center"/>
          </w:tcPr>
          <w:p w14:paraId="6121B0E0">
            <w:pPr>
              <w:pStyle w:val="33"/>
              <w:rPr>
                <w:color w:val="auto"/>
              </w:rPr>
            </w:pPr>
          </w:p>
        </w:tc>
        <w:tc>
          <w:tcPr>
            <w:tcW w:w="860" w:type="dxa"/>
            <w:vAlign w:val="center"/>
          </w:tcPr>
          <w:p w14:paraId="648B6148">
            <w:pPr>
              <w:pStyle w:val="33"/>
              <w:rPr>
                <w:color w:val="auto"/>
              </w:rPr>
            </w:pPr>
          </w:p>
        </w:tc>
        <w:tc>
          <w:tcPr>
            <w:tcW w:w="824" w:type="dxa"/>
            <w:vAlign w:val="center"/>
          </w:tcPr>
          <w:p w14:paraId="521FF42D">
            <w:pPr>
              <w:pStyle w:val="33"/>
              <w:rPr>
                <w:color w:val="auto"/>
              </w:rPr>
            </w:pPr>
          </w:p>
        </w:tc>
        <w:tc>
          <w:tcPr>
            <w:tcW w:w="761" w:type="dxa"/>
            <w:vAlign w:val="center"/>
          </w:tcPr>
          <w:p w14:paraId="2EE74734">
            <w:pPr>
              <w:pStyle w:val="33"/>
              <w:rPr>
                <w:color w:val="auto"/>
              </w:rPr>
            </w:pPr>
          </w:p>
        </w:tc>
        <w:tc>
          <w:tcPr>
            <w:tcW w:w="633" w:type="dxa"/>
            <w:vMerge w:val="continue"/>
            <w:vAlign w:val="center"/>
          </w:tcPr>
          <w:p w14:paraId="79A35C18">
            <w:pPr>
              <w:pStyle w:val="33"/>
              <w:rPr>
                <w:rFonts w:eastAsia="等线" w:cs="Times New Roman"/>
                <w:color w:val="auto"/>
                <w:szCs w:val="21"/>
              </w:rPr>
            </w:pPr>
          </w:p>
        </w:tc>
        <w:tc>
          <w:tcPr>
            <w:tcW w:w="634" w:type="dxa"/>
            <w:vMerge w:val="continue"/>
            <w:vAlign w:val="center"/>
          </w:tcPr>
          <w:p w14:paraId="0B110C7E">
            <w:pPr>
              <w:pStyle w:val="33"/>
              <w:rPr>
                <w:rFonts w:eastAsia="等线" w:cs="Times New Roman"/>
                <w:color w:val="auto"/>
                <w:szCs w:val="21"/>
              </w:rPr>
            </w:pPr>
          </w:p>
        </w:tc>
        <w:tc>
          <w:tcPr>
            <w:tcW w:w="633" w:type="dxa"/>
            <w:vMerge w:val="continue"/>
            <w:vAlign w:val="center"/>
          </w:tcPr>
          <w:p w14:paraId="2818F659">
            <w:pPr>
              <w:pStyle w:val="33"/>
              <w:rPr>
                <w:rFonts w:eastAsia="等线" w:cs="Times New Roman"/>
                <w:color w:val="auto"/>
                <w:szCs w:val="21"/>
              </w:rPr>
            </w:pPr>
          </w:p>
        </w:tc>
        <w:tc>
          <w:tcPr>
            <w:tcW w:w="634" w:type="dxa"/>
            <w:vMerge w:val="continue"/>
            <w:vAlign w:val="center"/>
          </w:tcPr>
          <w:p w14:paraId="60AF6D20">
            <w:pPr>
              <w:pStyle w:val="33"/>
              <w:rPr>
                <w:rFonts w:eastAsia="等线" w:cs="Times New Roman"/>
                <w:color w:val="auto"/>
                <w:szCs w:val="21"/>
              </w:rPr>
            </w:pPr>
          </w:p>
        </w:tc>
        <w:tc>
          <w:tcPr>
            <w:tcW w:w="633" w:type="dxa"/>
            <w:vMerge w:val="continue"/>
            <w:vAlign w:val="center"/>
          </w:tcPr>
          <w:p w14:paraId="44FA58B0">
            <w:pPr>
              <w:pStyle w:val="33"/>
              <w:rPr>
                <w:rFonts w:eastAsia="等线" w:cs="Times New Roman"/>
                <w:color w:val="auto"/>
                <w:szCs w:val="21"/>
              </w:rPr>
            </w:pPr>
          </w:p>
        </w:tc>
        <w:tc>
          <w:tcPr>
            <w:tcW w:w="634" w:type="dxa"/>
            <w:vMerge w:val="continue"/>
            <w:vAlign w:val="center"/>
          </w:tcPr>
          <w:p w14:paraId="53293FA3">
            <w:pPr>
              <w:pStyle w:val="33"/>
              <w:rPr>
                <w:rFonts w:eastAsia="等线" w:cs="Times New Roman"/>
                <w:color w:val="auto"/>
                <w:szCs w:val="21"/>
              </w:rPr>
            </w:pPr>
          </w:p>
        </w:tc>
      </w:tr>
      <w:tr w14:paraId="04181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424812E5">
            <w:pPr>
              <w:pStyle w:val="33"/>
              <w:rPr>
                <w:color w:val="auto"/>
              </w:rPr>
            </w:pPr>
            <w:r>
              <w:rPr>
                <w:color w:val="auto"/>
                <w:szCs w:val="21"/>
              </w:rPr>
              <w:t>铅</w:t>
            </w:r>
          </w:p>
        </w:tc>
        <w:tc>
          <w:tcPr>
            <w:tcW w:w="948" w:type="dxa"/>
            <w:vAlign w:val="center"/>
          </w:tcPr>
          <w:p w14:paraId="6209A226">
            <w:pPr>
              <w:pStyle w:val="33"/>
              <w:rPr>
                <w:color w:val="auto"/>
              </w:rPr>
            </w:pPr>
            <w:r>
              <w:rPr>
                <w:rFonts w:hint="eastAsia"/>
                <w:color w:val="auto"/>
              </w:rPr>
              <w:t>监测值</w:t>
            </w:r>
          </w:p>
        </w:tc>
        <w:tc>
          <w:tcPr>
            <w:tcW w:w="796" w:type="dxa"/>
            <w:vAlign w:val="center"/>
          </w:tcPr>
          <w:p w14:paraId="269E662C">
            <w:pPr>
              <w:pStyle w:val="33"/>
              <w:rPr>
                <w:rFonts w:eastAsia="等线" w:cs="Times New Roman"/>
                <w:color w:val="auto"/>
                <w:szCs w:val="21"/>
              </w:rPr>
            </w:pPr>
          </w:p>
        </w:tc>
        <w:tc>
          <w:tcPr>
            <w:tcW w:w="851" w:type="dxa"/>
            <w:vAlign w:val="center"/>
          </w:tcPr>
          <w:p w14:paraId="25C25BB6">
            <w:pPr>
              <w:pStyle w:val="33"/>
              <w:rPr>
                <w:rFonts w:eastAsia="等线" w:cs="Times New Roman"/>
                <w:color w:val="auto"/>
                <w:szCs w:val="21"/>
              </w:rPr>
            </w:pPr>
          </w:p>
        </w:tc>
        <w:tc>
          <w:tcPr>
            <w:tcW w:w="867" w:type="dxa"/>
            <w:vAlign w:val="center"/>
          </w:tcPr>
          <w:p w14:paraId="2C4511A9">
            <w:pPr>
              <w:pStyle w:val="33"/>
              <w:rPr>
                <w:rFonts w:eastAsia="等线" w:cs="Times New Roman"/>
                <w:color w:val="auto"/>
                <w:szCs w:val="21"/>
              </w:rPr>
            </w:pPr>
          </w:p>
        </w:tc>
        <w:tc>
          <w:tcPr>
            <w:tcW w:w="692" w:type="dxa"/>
            <w:vAlign w:val="center"/>
          </w:tcPr>
          <w:p w14:paraId="70C3513D">
            <w:pPr>
              <w:pStyle w:val="33"/>
              <w:rPr>
                <w:rFonts w:eastAsia="等线" w:cs="Times New Roman"/>
                <w:color w:val="auto"/>
                <w:szCs w:val="21"/>
              </w:rPr>
            </w:pPr>
          </w:p>
        </w:tc>
        <w:tc>
          <w:tcPr>
            <w:tcW w:w="851" w:type="dxa"/>
            <w:vAlign w:val="center"/>
          </w:tcPr>
          <w:p w14:paraId="101090FE">
            <w:pPr>
              <w:pStyle w:val="33"/>
              <w:rPr>
                <w:rFonts w:eastAsia="等线" w:cs="Times New Roman"/>
                <w:color w:val="auto"/>
                <w:szCs w:val="21"/>
              </w:rPr>
            </w:pPr>
          </w:p>
        </w:tc>
        <w:tc>
          <w:tcPr>
            <w:tcW w:w="850" w:type="dxa"/>
            <w:vAlign w:val="center"/>
          </w:tcPr>
          <w:p w14:paraId="66970F40">
            <w:pPr>
              <w:pStyle w:val="33"/>
              <w:rPr>
                <w:rFonts w:eastAsia="等线" w:cs="Times New Roman"/>
                <w:color w:val="auto"/>
                <w:szCs w:val="21"/>
              </w:rPr>
            </w:pPr>
          </w:p>
        </w:tc>
        <w:tc>
          <w:tcPr>
            <w:tcW w:w="815" w:type="dxa"/>
            <w:vAlign w:val="center"/>
          </w:tcPr>
          <w:p w14:paraId="4C31062E">
            <w:pPr>
              <w:pStyle w:val="33"/>
              <w:rPr>
                <w:color w:val="auto"/>
              </w:rPr>
            </w:pPr>
          </w:p>
        </w:tc>
        <w:tc>
          <w:tcPr>
            <w:tcW w:w="860" w:type="dxa"/>
            <w:vAlign w:val="center"/>
          </w:tcPr>
          <w:p w14:paraId="0FC6FD30">
            <w:pPr>
              <w:pStyle w:val="33"/>
              <w:rPr>
                <w:color w:val="auto"/>
              </w:rPr>
            </w:pPr>
          </w:p>
        </w:tc>
        <w:tc>
          <w:tcPr>
            <w:tcW w:w="824" w:type="dxa"/>
            <w:vAlign w:val="center"/>
          </w:tcPr>
          <w:p w14:paraId="5FEBD22F">
            <w:pPr>
              <w:pStyle w:val="33"/>
              <w:rPr>
                <w:color w:val="auto"/>
              </w:rPr>
            </w:pPr>
          </w:p>
        </w:tc>
        <w:tc>
          <w:tcPr>
            <w:tcW w:w="761" w:type="dxa"/>
            <w:vAlign w:val="center"/>
          </w:tcPr>
          <w:p w14:paraId="74EB344E">
            <w:pPr>
              <w:pStyle w:val="33"/>
              <w:rPr>
                <w:color w:val="auto"/>
              </w:rPr>
            </w:pPr>
          </w:p>
        </w:tc>
        <w:tc>
          <w:tcPr>
            <w:tcW w:w="633" w:type="dxa"/>
            <w:vMerge w:val="restart"/>
            <w:vAlign w:val="center"/>
          </w:tcPr>
          <w:p w14:paraId="7E428F5D">
            <w:pPr>
              <w:pStyle w:val="33"/>
              <w:rPr>
                <w:rFonts w:eastAsia="等线" w:cs="Times New Roman"/>
                <w:color w:val="auto"/>
                <w:szCs w:val="21"/>
              </w:rPr>
            </w:pPr>
          </w:p>
        </w:tc>
        <w:tc>
          <w:tcPr>
            <w:tcW w:w="634" w:type="dxa"/>
            <w:vMerge w:val="restart"/>
            <w:vAlign w:val="center"/>
          </w:tcPr>
          <w:p w14:paraId="5A82ECE0">
            <w:pPr>
              <w:pStyle w:val="33"/>
              <w:rPr>
                <w:rFonts w:eastAsia="等线" w:cs="Times New Roman"/>
                <w:color w:val="auto"/>
                <w:szCs w:val="21"/>
              </w:rPr>
            </w:pPr>
          </w:p>
        </w:tc>
        <w:tc>
          <w:tcPr>
            <w:tcW w:w="633" w:type="dxa"/>
            <w:vMerge w:val="restart"/>
            <w:vAlign w:val="center"/>
          </w:tcPr>
          <w:p w14:paraId="6BC64495">
            <w:pPr>
              <w:pStyle w:val="33"/>
              <w:rPr>
                <w:rFonts w:eastAsia="等线" w:cs="Times New Roman"/>
                <w:color w:val="auto"/>
                <w:szCs w:val="21"/>
              </w:rPr>
            </w:pPr>
          </w:p>
        </w:tc>
        <w:tc>
          <w:tcPr>
            <w:tcW w:w="634" w:type="dxa"/>
            <w:vMerge w:val="restart"/>
            <w:vAlign w:val="center"/>
          </w:tcPr>
          <w:p w14:paraId="304207F5">
            <w:pPr>
              <w:pStyle w:val="33"/>
              <w:rPr>
                <w:rFonts w:eastAsia="等线" w:cs="Times New Roman"/>
                <w:color w:val="auto"/>
                <w:szCs w:val="21"/>
              </w:rPr>
            </w:pPr>
          </w:p>
        </w:tc>
        <w:tc>
          <w:tcPr>
            <w:tcW w:w="633" w:type="dxa"/>
            <w:vMerge w:val="restart"/>
            <w:vAlign w:val="center"/>
          </w:tcPr>
          <w:p w14:paraId="70381758">
            <w:pPr>
              <w:pStyle w:val="33"/>
              <w:rPr>
                <w:rFonts w:eastAsia="等线" w:cs="Times New Roman"/>
                <w:color w:val="auto"/>
                <w:szCs w:val="21"/>
              </w:rPr>
            </w:pPr>
          </w:p>
        </w:tc>
        <w:tc>
          <w:tcPr>
            <w:tcW w:w="634" w:type="dxa"/>
            <w:vMerge w:val="restart"/>
            <w:vAlign w:val="center"/>
          </w:tcPr>
          <w:p w14:paraId="32E486E7">
            <w:pPr>
              <w:pStyle w:val="33"/>
              <w:rPr>
                <w:rFonts w:eastAsia="等线" w:cs="Times New Roman"/>
                <w:color w:val="auto"/>
                <w:szCs w:val="21"/>
              </w:rPr>
            </w:pPr>
          </w:p>
        </w:tc>
      </w:tr>
      <w:tr w14:paraId="7B2E6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2A317A65">
            <w:pPr>
              <w:pStyle w:val="33"/>
              <w:rPr>
                <w:color w:val="auto"/>
              </w:rPr>
            </w:pPr>
          </w:p>
        </w:tc>
        <w:tc>
          <w:tcPr>
            <w:tcW w:w="948" w:type="dxa"/>
            <w:vAlign w:val="center"/>
          </w:tcPr>
          <w:p w14:paraId="47314BAF">
            <w:pPr>
              <w:pStyle w:val="33"/>
              <w:rPr>
                <w:color w:val="auto"/>
              </w:rPr>
            </w:pPr>
            <w:r>
              <w:rPr>
                <w:rFonts w:hint="eastAsia"/>
                <w:color w:val="auto"/>
              </w:rPr>
              <w:t>筛选值</w:t>
            </w:r>
          </w:p>
        </w:tc>
        <w:tc>
          <w:tcPr>
            <w:tcW w:w="796" w:type="dxa"/>
            <w:vAlign w:val="center"/>
          </w:tcPr>
          <w:p w14:paraId="49314DFE">
            <w:pPr>
              <w:pStyle w:val="33"/>
              <w:rPr>
                <w:rFonts w:eastAsia="等线" w:cs="Times New Roman"/>
                <w:color w:val="auto"/>
                <w:szCs w:val="21"/>
              </w:rPr>
            </w:pPr>
          </w:p>
        </w:tc>
        <w:tc>
          <w:tcPr>
            <w:tcW w:w="851" w:type="dxa"/>
            <w:vAlign w:val="center"/>
          </w:tcPr>
          <w:p w14:paraId="0389E5D0">
            <w:pPr>
              <w:pStyle w:val="33"/>
              <w:rPr>
                <w:rFonts w:eastAsia="等线" w:cs="Times New Roman"/>
                <w:color w:val="auto"/>
                <w:szCs w:val="21"/>
              </w:rPr>
            </w:pPr>
          </w:p>
        </w:tc>
        <w:tc>
          <w:tcPr>
            <w:tcW w:w="867" w:type="dxa"/>
            <w:vAlign w:val="center"/>
          </w:tcPr>
          <w:p w14:paraId="5C421C8D">
            <w:pPr>
              <w:pStyle w:val="33"/>
              <w:rPr>
                <w:rFonts w:eastAsia="等线" w:cs="Times New Roman"/>
                <w:color w:val="auto"/>
                <w:szCs w:val="21"/>
              </w:rPr>
            </w:pPr>
          </w:p>
        </w:tc>
        <w:tc>
          <w:tcPr>
            <w:tcW w:w="692" w:type="dxa"/>
            <w:vAlign w:val="center"/>
          </w:tcPr>
          <w:p w14:paraId="6F4E2BB4">
            <w:pPr>
              <w:pStyle w:val="33"/>
              <w:rPr>
                <w:rFonts w:eastAsia="等线" w:cs="Times New Roman"/>
                <w:color w:val="auto"/>
                <w:szCs w:val="21"/>
              </w:rPr>
            </w:pPr>
          </w:p>
        </w:tc>
        <w:tc>
          <w:tcPr>
            <w:tcW w:w="851" w:type="dxa"/>
            <w:vAlign w:val="center"/>
          </w:tcPr>
          <w:p w14:paraId="24EF9A78">
            <w:pPr>
              <w:pStyle w:val="33"/>
              <w:rPr>
                <w:rFonts w:eastAsia="等线" w:cs="Times New Roman"/>
                <w:color w:val="auto"/>
                <w:szCs w:val="21"/>
              </w:rPr>
            </w:pPr>
          </w:p>
        </w:tc>
        <w:tc>
          <w:tcPr>
            <w:tcW w:w="850" w:type="dxa"/>
            <w:vAlign w:val="center"/>
          </w:tcPr>
          <w:p w14:paraId="1705ADA9">
            <w:pPr>
              <w:pStyle w:val="33"/>
              <w:rPr>
                <w:rFonts w:eastAsia="等线" w:cs="Times New Roman"/>
                <w:color w:val="auto"/>
                <w:szCs w:val="21"/>
              </w:rPr>
            </w:pPr>
          </w:p>
        </w:tc>
        <w:tc>
          <w:tcPr>
            <w:tcW w:w="815" w:type="dxa"/>
            <w:vAlign w:val="center"/>
          </w:tcPr>
          <w:p w14:paraId="4FE3EB7C">
            <w:pPr>
              <w:pStyle w:val="33"/>
              <w:rPr>
                <w:color w:val="auto"/>
              </w:rPr>
            </w:pPr>
          </w:p>
        </w:tc>
        <w:tc>
          <w:tcPr>
            <w:tcW w:w="860" w:type="dxa"/>
            <w:vAlign w:val="center"/>
          </w:tcPr>
          <w:p w14:paraId="75CDCBA3">
            <w:pPr>
              <w:pStyle w:val="33"/>
              <w:rPr>
                <w:color w:val="auto"/>
              </w:rPr>
            </w:pPr>
          </w:p>
        </w:tc>
        <w:tc>
          <w:tcPr>
            <w:tcW w:w="824" w:type="dxa"/>
            <w:vAlign w:val="center"/>
          </w:tcPr>
          <w:p w14:paraId="730A1303">
            <w:pPr>
              <w:pStyle w:val="33"/>
              <w:rPr>
                <w:color w:val="auto"/>
              </w:rPr>
            </w:pPr>
          </w:p>
        </w:tc>
        <w:tc>
          <w:tcPr>
            <w:tcW w:w="761" w:type="dxa"/>
            <w:vAlign w:val="center"/>
          </w:tcPr>
          <w:p w14:paraId="64886262">
            <w:pPr>
              <w:pStyle w:val="33"/>
              <w:rPr>
                <w:color w:val="auto"/>
              </w:rPr>
            </w:pPr>
          </w:p>
        </w:tc>
        <w:tc>
          <w:tcPr>
            <w:tcW w:w="633" w:type="dxa"/>
            <w:vMerge w:val="continue"/>
            <w:vAlign w:val="center"/>
          </w:tcPr>
          <w:p w14:paraId="5F333306">
            <w:pPr>
              <w:pStyle w:val="33"/>
              <w:rPr>
                <w:rFonts w:eastAsia="等线" w:cs="Times New Roman"/>
                <w:color w:val="auto"/>
                <w:szCs w:val="21"/>
              </w:rPr>
            </w:pPr>
          </w:p>
        </w:tc>
        <w:tc>
          <w:tcPr>
            <w:tcW w:w="634" w:type="dxa"/>
            <w:vMerge w:val="continue"/>
            <w:vAlign w:val="center"/>
          </w:tcPr>
          <w:p w14:paraId="4A395CD3">
            <w:pPr>
              <w:pStyle w:val="33"/>
              <w:rPr>
                <w:rFonts w:eastAsia="等线" w:cs="Times New Roman"/>
                <w:color w:val="auto"/>
                <w:szCs w:val="21"/>
              </w:rPr>
            </w:pPr>
          </w:p>
        </w:tc>
        <w:tc>
          <w:tcPr>
            <w:tcW w:w="633" w:type="dxa"/>
            <w:vMerge w:val="continue"/>
            <w:vAlign w:val="center"/>
          </w:tcPr>
          <w:p w14:paraId="15AAD6DB">
            <w:pPr>
              <w:pStyle w:val="33"/>
              <w:rPr>
                <w:rFonts w:eastAsia="等线" w:cs="Times New Roman"/>
                <w:color w:val="auto"/>
                <w:szCs w:val="21"/>
              </w:rPr>
            </w:pPr>
          </w:p>
        </w:tc>
        <w:tc>
          <w:tcPr>
            <w:tcW w:w="634" w:type="dxa"/>
            <w:vMerge w:val="continue"/>
            <w:vAlign w:val="center"/>
          </w:tcPr>
          <w:p w14:paraId="56015EFB">
            <w:pPr>
              <w:pStyle w:val="33"/>
              <w:rPr>
                <w:rFonts w:eastAsia="等线" w:cs="Times New Roman"/>
                <w:color w:val="auto"/>
                <w:szCs w:val="21"/>
              </w:rPr>
            </w:pPr>
          </w:p>
        </w:tc>
        <w:tc>
          <w:tcPr>
            <w:tcW w:w="633" w:type="dxa"/>
            <w:vMerge w:val="continue"/>
            <w:vAlign w:val="center"/>
          </w:tcPr>
          <w:p w14:paraId="0DA5B1B5">
            <w:pPr>
              <w:pStyle w:val="33"/>
              <w:rPr>
                <w:rFonts w:eastAsia="等线" w:cs="Times New Roman"/>
                <w:color w:val="auto"/>
                <w:szCs w:val="21"/>
              </w:rPr>
            </w:pPr>
          </w:p>
        </w:tc>
        <w:tc>
          <w:tcPr>
            <w:tcW w:w="634" w:type="dxa"/>
            <w:vMerge w:val="continue"/>
            <w:vAlign w:val="center"/>
          </w:tcPr>
          <w:p w14:paraId="289F1D29">
            <w:pPr>
              <w:pStyle w:val="33"/>
              <w:rPr>
                <w:rFonts w:eastAsia="等线" w:cs="Times New Roman"/>
                <w:color w:val="auto"/>
                <w:szCs w:val="21"/>
              </w:rPr>
            </w:pPr>
          </w:p>
        </w:tc>
      </w:tr>
      <w:tr w14:paraId="6D905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3F4E74AE">
            <w:pPr>
              <w:pStyle w:val="33"/>
              <w:rPr>
                <w:color w:val="auto"/>
              </w:rPr>
            </w:pPr>
          </w:p>
        </w:tc>
        <w:tc>
          <w:tcPr>
            <w:tcW w:w="948" w:type="dxa"/>
            <w:vAlign w:val="center"/>
          </w:tcPr>
          <w:p w14:paraId="3FDF1C70">
            <w:pPr>
              <w:pStyle w:val="33"/>
              <w:rPr>
                <w:color w:val="auto"/>
              </w:rPr>
            </w:pPr>
            <w:r>
              <w:rPr>
                <w:rFonts w:hint="eastAsia"/>
                <w:color w:val="auto"/>
              </w:rPr>
              <w:t>标准指数</w:t>
            </w:r>
          </w:p>
        </w:tc>
        <w:tc>
          <w:tcPr>
            <w:tcW w:w="796" w:type="dxa"/>
            <w:vAlign w:val="center"/>
          </w:tcPr>
          <w:p w14:paraId="6D52DDBC">
            <w:pPr>
              <w:pStyle w:val="33"/>
              <w:rPr>
                <w:rFonts w:eastAsia="等线" w:cs="Times New Roman"/>
                <w:color w:val="auto"/>
                <w:szCs w:val="21"/>
              </w:rPr>
            </w:pPr>
          </w:p>
        </w:tc>
        <w:tc>
          <w:tcPr>
            <w:tcW w:w="851" w:type="dxa"/>
            <w:vAlign w:val="center"/>
          </w:tcPr>
          <w:p w14:paraId="1F116877">
            <w:pPr>
              <w:pStyle w:val="33"/>
              <w:rPr>
                <w:rFonts w:eastAsia="等线" w:cs="Times New Roman"/>
                <w:color w:val="auto"/>
                <w:szCs w:val="21"/>
              </w:rPr>
            </w:pPr>
          </w:p>
        </w:tc>
        <w:tc>
          <w:tcPr>
            <w:tcW w:w="867" w:type="dxa"/>
            <w:vAlign w:val="center"/>
          </w:tcPr>
          <w:p w14:paraId="79E157BF">
            <w:pPr>
              <w:pStyle w:val="33"/>
              <w:rPr>
                <w:rFonts w:eastAsia="等线" w:cs="Times New Roman"/>
                <w:color w:val="auto"/>
                <w:szCs w:val="21"/>
              </w:rPr>
            </w:pPr>
          </w:p>
        </w:tc>
        <w:tc>
          <w:tcPr>
            <w:tcW w:w="692" w:type="dxa"/>
            <w:vAlign w:val="center"/>
          </w:tcPr>
          <w:p w14:paraId="54F03545">
            <w:pPr>
              <w:pStyle w:val="33"/>
              <w:rPr>
                <w:rFonts w:eastAsia="等线" w:cs="Times New Roman"/>
                <w:color w:val="auto"/>
                <w:szCs w:val="21"/>
              </w:rPr>
            </w:pPr>
          </w:p>
        </w:tc>
        <w:tc>
          <w:tcPr>
            <w:tcW w:w="851" w:type="dxa"/>
            <w:vAlign w:val="center"/>
          </w:tcPr>
          <w:p w14:paraId="1E386DB6">
            <w:pPr>
              <w:pStyle w:val="33"/>
              <w:rPr>
                <w:rFonts w:eastAsia="等线" w:cs="Times New Roman"/>
                <w:color w:val="auto"/>
                <w:szCs w:val="21"/>
              </w:rPr>
            </w:pPr>
          </w:p>
        </w:tc>
        <w:tc>
          <w:tcPr>
            <w:tcW w:w="850" w:type="dxa"/>
            <w:vAlign w:val="center"/>
          </w:tcPr>
          <w:p w14:paraId="75D5AA31">
            <w:pPr>
              <w:pStyle w:val="33"/>
              <w:rPr>
                <w:rFonts w:eastAsia="等线" w:cs="Times New Roman"/>
                <w:color w:val="auto"/>
                <w:szCs w:val="21"/>
              </w:rPr>
            </w:pPr>
          </w:p>
        </w:tc>
        <w:tc>
          <w:tcPr>
            <w:tcW w:w="815" w:type="dxa"/>
            <w:vAlign w:val="center"/>
          </w:tcPr>
          <w:p w14:paraId="20EF1A28">
            <w:pPr>
              <w:pStyle w:val="33"/>
              <w:rPr>
                <w:color w:val="auto"/>
              </w:rPr>
            </w:pPr>
          </w:p>
        </w:tc>
        <w:tc>
          <w:tcPr>
            <w:tcW w:w="860" w:type="dxa"/>
            <w:vAlign w:val="center"/>
          </w:tcPr>
          <w:p w14:paraId="0FCB29DB">
            <w:pPr>
              <w:pStyle w:val="33"/>
              <w:rPr>
                <w:color w:val="auto"/>
              </w:rPr>
            </w:pPr>
          </w:p>
        </w:tc>
        <w:tc>
          <w:tcPr>
            <w:tcW w:w="824" w:type="dxa"/>
            <w:vAlign w:val="center"/>
          </w:tcPr>
          <w:p w14:paraId="00116851">
            <w:pPr>
              <w:pStyle w:val="33"/>
              <w:rPr>
                <w:color w:val="auto"/>
              </w:rPr>
            </w:pPr>
          </w:p>
        </w:tc>
        <w:tc>
          <w:tcPr>
            <w:tcW w:w="761" w:type="dxa"/>
            <w:vAlign w:val="center"/>
          </w:tcPr>
          <w:p w14:paraId="36DB8FEB">
            <w:pPr>
              <w:pStyle w:val="33"/>
              <w:rPr>
                <w:color w:val="auto"/>
              </w:rPr>
            </w:pPr>
          </w:p>
        </w:tc>
        <w:tc>
          <w:tcPr>
            <w:tcW w:w="633" w:type="dxa"/>
            <w:vMerge w:val="continue"/>
            <w:vAlign w:val="center"/>
          </w:tcPr>
          <w:p w14:paraId="202CEF75">
            <w:pPr>
              <w:pStyle w:val="33"/>
              <w:rPr>
                <w:rFonts w:eastAsia="等线" w:cs="Times New Roman"/>
                <w:color w:val="auto"/>
                <w:szCs w:val="21"/>
              </w:rPr>
            </w:pPr>
          </w:p>
        </w:tc>
        <w:tc>
          <w:tcPr>
            <w:tcW w:w="634" w:type="dxa"/>
            <w:vMerge w:val="continue"/>
            <w:vAlign w:val="center"/>
          </w:tcPr>
          <w:p w14:paraId="76EB2EBF">
            <w:pPr>
              <w:pStyle w:val="33"/>
              <w:rPr>
                <w:rFonts w:eastAsia="等线" w:cs="Times New Roman"/>
                <w:color w:val="auto"/>
                <w:szCs w:val="21"/>
              </w:rPr>
            </w:pPr>
          </w:p>
        </w:tc>
        <w:tc>
          <w:tcPr>
            <w:tcW w:w="633" w:type="dxa"/>
            <w:vMerge w:val="continue"/>
            <w:vAlign w:val="center"/>
          </w:tcPr>
          <w:p w14:paraId="376D4E06">
            <w:pPr>
              <w:pStyle w:val="33"/>
              <w:rPr>
                <w:rFonts w:eastAsia="等线" w:cs="Times New Roman"/>
                <w:color w:val="auto"/>
                <w:szCs w:val="21"/>
              </w:rPr>
            </w:pPr>
          </w:p>
        </w:tc>
        <w:tc>
          <w:tcPr>
            <w:tcW w:w="634" w:type="dxa"/>
            <w:vMerge w:val="continue"/>
            <w:vAlign w:val="center"/>
          </w:tcPr>
          <w:p w14:paraId="775700BC">
            <w:pPr>
              <w:pStyle w:val="33"/>
              <w:rPr>
                <w:rFonts w:eastAsia="等线" w:cs="Times New Roman"/>
                <w:color w:val="auto"/>
                <w:szCs w:val="21"/>
              </w:rPr>
            </w:pPr>
          </w:p>
        </w:tc>
        <w:tc>
          <w:tcPr>
            <w:tcW w:w="633" w:type="dxa"/>
            <w:vMerge w:val="continue"/>
            <w:vAlign w:val="center"/>
          </w:tcPr>
          <w:p w14:paraId="5FC43437">
            <w:pPr>
              <w:pStyle w:val="33"/>
              <w:rPr>
                <w:rFonts w:eastAsia="等线" w:cs="Times New Roman"/>
                <w:color w:val="auto"/>
                <w:szCs w:val="21"/>
              </w:rPr>
            </w:pPr>
          </w:p>
        </w:tc>
        <w:tc>
          <w:tcPr>
            <w:tcW w:w="634" w:type="dxa"/>
            <w:vMerge w:val="continue"/>
            <w:vAlign w:val="center"/>
          </w:tcPr>
          <w:p w14:paraId="05140F01">
            <w:pPr>
              <w:pStyle w:val="33"/>
              <w:rPr>
                <w:rFonts w:eastAsia="等线" w:cs="Times New Roman"/>
                <w:color w:val="auto"/>
                <w:szCs w:val="21"/>
              </w:rPr>
            </w:pPr>
          </w:p>
        </w:tc>
      </w:tr>
      <w:tr w14:paraId="454A7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58732C4">
            <w:pPr>
              <w:pStyle w:val="33"/>
              <w:rPr>
                <w:color w:val="auto"/>
              </w:rPr>
            </w:pPr>
          </w:p>
        </w:tc>
        <w:tc>
          <w:tcPr>
            <w:tcW w:w="948" w:type="dxa"/>
            <w:vAlign w:val="center"/>
          </w:tcPr>
          <w:p w14:paraId="3EB36AAF">
            <w:pPr>
              <w:pStyle w:val="33"/>
              <w:rPr>
                <w:color w:val="auto"/>
              </w:rPr>
            </w:pPr>
            <w:r>
              <w:rPr>
                <w:rFonts w:hint="eastAsia"/>
                <w:color w:val="auto"/>
              </w:rPr>
              <w:t>超标倍数</w:t>
            </w:r>
          </w:p>
        </w:tc>
        <w:tc>
          <w:tcPr>
            <w:tcW w:w="796" w:type="dxa"/>
            <w:vAlign w:val="center"/>
          </w:tcPr>
          <w:p w14:paraId="0410A17B">
            <w:pPr>
              <w:pStyle w:val="33"/>
              <w:rPr>
                <w:rFonts w:eastAsia="等线" w:cs="Times New Roman"/>
                <w:color w:val="auto"/>
                <w:szCs w:val="21"/>
              </w:rPr>
            </w:pPr>
          </w:p>
        </w:tc>
        <w:tc>
          <w:tcPr>
            <w:tcW w:w="851" w:type="dxa"/>
            <w:vAlign w:val="center"/>
          </w:tcPr>
          <w:p w14:paraId="0D0FA05D">
            <w:pPr>
              <w:pStyle w:val="33"/>
              <w:rPr>
                <w:rFonts w:eastAsia="等线" w:cs="Times New Roman"/>
                <w:color w:val="auto"/>
                <w:szCs w:val="21"/>
              </w:rPr>
            </w:pPr>
          </w:p>
        </w:tc>
        <w:tc>
          <w:tcPr>
            <w:tcW w:w="867" w:type="dxa"/>
            <w:vAlign w:val="center"/>
          </w:tcPr>
          <w:p w14:paraId="2B87B780">
            <w:pPr>
              <w:pStyle w:val="33"/>
              <w:rPr>
                <w:rFonts w:eastAsia="等线" w:cs="Times New Roman"/>
                <w:color w:val="auto"/>
                <w:szCs w:val="21"/>
              </w:rPr>
            </w:pPr>
          </w:p>
        </w:tc>
        <w:tc>
          <w:tcPr>
            <w:tcW w:w="692" w:type="dxa"/>
            <w:vAlign w:val="center"/>
          </w:tcPr>
          <w:p w14:paraId="10976752">
            <w:pPr>
              <w:pStyle w:val="33"/>
              <w:rPr>
                <w:rFonts w:eastAsia="等线" w:cs="Times New Roman"/>
                <w:color w:val="auto"/>
                <w:szCs w:val="21"/>
              </w:rPr>
            </w:pPr>
          </w:p>
        </w:tc>
        <w:tc>
          <w:tcPr>
            <w:tcW w:w="851" w:type="dxa"/>
            <w:vAlign w:val="center"/>
          </w:tcPr>
          <w:p w14:paraId="1B6362A6">
            <w:pPr>
              <w:pStyle w:val="33"/>
              <w:rPr>
                <w:rFonts w:eastAsia="等线" w:cs="Times New Roman"/>
                <w:color w:val="auto"/>
                <w:szCs w:val="21"/>
              </w:rPr>
            </w:pPr>
          </w:p>
        </w:tc>
        <w:tc>
          <w:tcPr>
            <w:tcW w:w="850" w:type="dxa"/>
            <w:vAlign w:val="center"/>
          </w:tcPr>
          <w:p w14:paraId="4ECC3413">
            <w:pPr>
              <w:pStyle w:val="33"/>
              <w:rPr>
                <w:rFonts w:eastAsia="等线" w:cs="Times New Roman"/>
                <w:color w:val="auto"/>
                <w:szCs w:val="21"/>
              </w:rPr>
            </w:pPr>
          </w:p>
        </w:tc>
        <w:tc>
          <w:tcPr>
            <w:tcW w:w="815" w:type="dxa"/>
            <w:vAlign w:val="center"/>
          </w:tcPr>
          <w:p w14:paraId="0AF69878">
            <w:pPr>
              <w:pStyle w:val="33"/>
              <w:rPr>
                <w:color w:val="auto"/>
              </w:rPr>
            </w:pPr>
          </w:p>
        </w:tc>
        <w:tc>
          <w:tcPr>
            <w:tcW w:w="860" w:type="dxa"/>
            <w:vAlign w:val="center"/>
          </w:tcPr>
          <w:p w14:paraId="3143E5B9">
            <w:pPr>
              <w:pStyle w:val="33"/>
              <w:rPr>
                <w:color w:val="auto"/>
              </w:rPr>
            </w:pPr>
          </w:p>
        </w:tc>
        <w:tc>
          <w:tcPr>
            <w:tcW w:w="824" w:type="dxa"/>
            <w:vAlign w:val="center"/>
          </w:tcPr>
          <w:p w14:paraId="14D0B18B">
            <w:pPr>
              <w:pStyle w:val="33"/>
              <w:rPr>
                <w:color w:val="auto"/>
              </w:rPr>
            </w:pPr>
          </w:p>
        </w:tc>
        <w:tc>
          <w:tcPr>
            <w:tcW w:w="761" w:type="dxa"/>
            <w:vAlign w:val="center"/>
          </w:tcPr>
          <w:p w14:paraId="2537D1FA">
            <w:pPr>
              <w:pStyle w:val="33"/>
              <w:rPr>
                <w:color w:val="auto"/>
              </w:rPr>
            </w:pPr>
          </w:p>
        </w:tc>
        <w:tc>
          <w:tcPr>
            <w:tcW w:w="633" w:type="dxa"/>
            <w:vMerge w:val="continue"/>
            <w:vAlign w:val="center"/>
          </w:tcPr>
          <w:p w14:paraId="697F2B4D">
            <w:pPr>
              <w:pStyle w:val="33"/>
              <w:rPr>
                <w:rFonts w:eastAsia="等线" w:cs="Times New Roman"/>
                <w:color w:val="auto"/>
                <w:szCs w:val="21"/>
              </w:rPr>
            </w:pPr>
          </w:p>
        </w:tc>
        <w:tc>
          <w:tcPr>
            <w:tcW w:w="634" w:type="dxa"/>
            <w:vMerge w:val="continue"/>
            <w:vAlign w:val="center"/>
          </w:tcPr>
          <w:p w14:paraId="4EAD0DC0">
            <w:pPr>
              <w:pStyle w:val="33"/>
              <w:rPr>
                <w:rFonts w:eastAsia="等线" w:cs="Times New Roman"/>
                <w:color w:val="auto"/>
                <w:szCs w:val="21"/>
              </w:rPr>
            </w:pPr>
          </w:p>
        </w:tc>
        <w:tc>
          <w:tcPr>
            <w:tcW w:w="633" w:type="dxa"/>
            <w:vMerge w:val="continue"/>
            <w:vAlign w:val="center"/>
          </w:tcPr>
          <w:p w14:paraId="5FF5645A">
            <w:pPr>
              <w:pStyle w:val="33"/>
              <w:rPr>
                <w:rFonts w:eastAsia="等线" w:cs="Times New Roman"/>
                <w:color w:val="auto"/>
                <w:szCs w:val="21"/>
              </w:rPr>
            </w:pPr>
          </w:p>
        </w:tc>
        <w:tc>
          <w:tcPr>
            <w:tcW w:w="634" w:type="dxa"/>
            <w:vMerge w:val="continue"/>
            <w:vAlign w:val="center"/>
          </w:tcPr>
          <w:p w14:paraId="6417B639">
            <w:pPr>
              <w:pStyle w:val="33"/>
              <w:rPr>
                <w:rFonts w:eastAsia="等线" w:cs="Times New Roman"/>
                <w:color w:val="auto"/>
                <w:szCs w:val="21"/>
              </w:rPr>
            </w:pPr>
          </w:p>
        </w:tc>
        <w:tc>
          <w:tcPr>
            <w:tcW w:w="633" w:type="dxa"/>
            <w:vMerge w:val="continue"/>
            <w:vAlign w:val="center"/>
          </w:tcPr>
          <w:p w14:paraId="7CB68743">
            <w:pPr>
              <w:pStyle w:val="33"/>
              <w:rPr>
                <w:rFonts w:eastAsia="等线" w:cs="Times New Roman"/>
                <w:color w:val="auto"/>
                <w:szCs w:val="21"/>
              </w:rPr>
            </w:pPr>
          </w:p>
        </w:tc>
        <w:tc>
          <w:tcPr>
            <w:tcW w:w="634" w:type="dxa"/>
            <w:vMerge w:val="continue"/>
            <w:vAlign w:val="center"/>
          </w:tcPr>
          <w:p w14:paraId="01701E63">
            <w:pPr>
              <w:pStyle w:val="33"/>
              <w:rPr>
                <w:rFonts w:eastAsia="等线" w:cs="Times New Roman"/>
                <w:color w:val="auto"/>
                <w:szCs w:val="21"/>
              </w:rPr>
            </w:pPr>
          </w:p>
        </w:tc>
      </w:tr>
      <w:tr w14:paraId="45A8D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54E9C4FB">
            <w:pPr>
              <w:pStyle w:val="33"/>
              <w:rPr>
                <w:color w:val="auto"/>
              </w:rPr>
            </w:pPr>
            <w:r>
              <w:rPr>
                <w:color w:val="auto"/>
                <w:szCs w:val="21"/>
              </w:rPr>
              <w:t>镍</w:t>
            </w:r>
          </w:p>
        </w:tc>
        <w:tc>
          <w:tcPr>
            <w:tcW w:w="948" w:type="dxa"/>
            <w:vAlign w:val="center"/>
          </w:tcPr>
          <w:p w14:paraId="2736AC99">
            <w:pPr>
              <w:pStyle w:val="33"/>
              <w:rPr>
                <w:color w:val="auto"/>
              </w:rPr>
            </w:pPr>
            <w:r>
              <w:rPr>
                <w:rFonts w:hint="eastAsia"/>
                <w:color w:val="auto"/>
              </w:rPr>
              <w:t>监测值</w:t>
            </w:r>
          </w:p>
        </w:tc>
        <w:tc>
          <w:tcPr>
            <w:tcW w:w="796" w:type="dxa"/>
            <w:vAlign w:val="center"/>
          </w:tcPr>
          <w:p w14:paraId="77883422">
            <w:pPr>
              <w:pStyle w:val="33"/>
              <w:rPr>
                <w:rFonts w:eastAsia="等线" w:cs="Times New Roman"/>
                <w:color w:val="auto"/>
                <w:szCs w:val="21"/>
              </w:rPr>
            </w:pPr>
          </w:p>
        </w:tc>
        <w:tc>
          <w:tcPr>
            <w:tcW w:w="851" w:type="dxa"/>
            <w:vAlign w:val="center"/>
          </w:tcPr>
          <w:p w14:paraId="3F44F24A">
            <w:pPr>
              <w:pStyle w:val="33"/>
              <w:rPr>
                <w:rFonts w:eastAsia="等线" w:cs="Times New Roman"/>
                <w:color w:val="auto"/>
                <w:szCs w:val="21"/>
              </w:rPr>
            </w:pPr>
          </w:p>
        </w:tc>
        <w:tc>
          <w:tcPr>
            <w:tcW w:w="867" w:type="dxa"/>
            <w:vAlign w:val="center"/>
          </w:tcPr>
          <w:p w14:paraId="530FD720">
            <w:pPr>
              <w:pStyle w:val="33"/>
              <w:rPr>
                <w:rFonts w:eastAsia="等线" w:cs="Times New Roman"/>
                <w:color w:val="auto"/>
                <w:szCs w:val="21"/>
              </w:rPr>
            </w:pPr>
          </w:p>
        </w:tc>
        <w:tc>
          <w:tcPr>
            <w:tcW w:w="692" w:type="dxa"/>
            <w:vAlign w:val="center"/>
          </w:tcPr>
          <w:p w14:paraId="21BCC317">
            <w:pPr>
              <w:pStyle w:val="33"/>
              <w:rPr>
                <w:rFonts w:eastAsia="等线" w:cs="Times New Roman"/>
                <w:color w:val="auto"/>
                <w:szCs w:val="21"/>
              </w:rPr>
            </w:pPr>
          </w:p>
        </w:tc>
        <w:tc>
          <w:tcPr>
            <w:tcW w:w="851" w:type="dxa"/>
            <w:vAlign w:val="center"/>
          </w:tcPr>
          <w:p w14:paraId="61950260">
            <w:pPr>
              <w:pStyle w:val="33"/>
              <w:rPr>
                <w:rFonts w:eastAsia="等线" w:cs="Times New Roman"/>
                <w:color w:val="auto"/>
                <w:szCs w:val="21"/>
              </w:rPr>
            </w:pPr>
          </w:p>
        </w:tc>
        <w:tc>
          <w:tcPr>
            <w:tcW w:w="850" w:type="dxa"/>
            <w:vAlign w:val="center"/>
          </w:tcPr>
          <w:p w14:paraId="2C88FF7B">
            <w:pPr>
              <w:pStyle w:val="33"/>
              <w:rPr>
                <w:rFonts w:eastAsia="等线" w:cs="Times New Roman"/>
                <w:color w:val="auto"/>
                <w:szCs w:val="21"/>
              </w:rPr>
            </w:pPr>
          </w:p>
        </w:tc>
        <w:tc>
          <w:tcPr>
            <w:tcW w:w="815" w:type="dxa"/>
            <w:vAlign w:val="center"/>
          </w:tcPr>
          <w:p w14:paraId="1EBDED06">
            <w:pPr>
              <w:pStyle w:val="33"/>
              <w:rPr>
                <w:color w:val="auto"/>
              </w:rPr>
            </w:pPr>
          </w:p>
        </w:tc>
        <w:tc>
          <w:tcPr>
            <w:tcW w:w="860" w:type="dxa"/>
            <w:vAlign w:val="center"/>
          </w:tcPr>
          <w:p w14:paraId="773AC2C3">
            <w:pPr>
              <w:pStyle w:val="33"/>
              <w:rPr>
                <w:color w:val="auto"/>
              </w:rPr>
            </w:pPr>
          </w:p>
        </w:tc>
        <w:tc>
          <w:tcPr>
            <w:tcW w:w="824" w:type="dxa"/>
            <w:vAlign w:val="center"/>
          </w:tcPr>
          <w:p w14:paraId="244EACE6">
            <w:pPr>
              <w:pStyle w:val="33"/>
              <w:rPr>
                <w:color w:val="auto"/>
              </w:rPr>
            </w:pPr>
          </w:p>
        </w:tc>
        <w:tc>
          <w:tcPr>
            <w:tcW w:w="761" w:type="dxa"/>
            <w:vAlign w:val="center"/>
          </w:tcPr>
          <w:p w14:paraId="794BC958">
            <w:pPr>
              <w:pStyle w:val="33"/>
              <w:rPr>
                <w:color w:val="auto"/>
              </w:rPr>
            </w:pPr>
          </w:p>
        </w:tc>
        <w:tc>
          <w:tcPr>
            <w:tcW w:w="633" w:type="dxa"/>
            <w:vMerge w:val="restart"/>
            <w:vAlign w:val="center"/>
          </w:tcPr>
          <w:p w14:paraId="6B783458">
            <w:pPr>
              <w:pStyle w:val="33"/>
              <w:rPr>
                <w:rFonts w:eastAsia="等线" w:cs="Times New Roman"/>
                <w:color w:val="auto"/>
                <w:szCs w:val="21"/>
              </w:rPr>
            </w:pPr>
          </w:p>
        </w:tc>
        <w:tc>
          <w:tcPr>
            <w:tcW w:w="634" w:type="dxa"/>
            <w:vMerge w:val="restart"/>
            <w:vAlign w:val="center"/>
          </w:tcPr>
          <w:p w14:paraId="7D7D0C13">
            <w:pPr>
              <w:pStyle w:val="33"/>
              <w:rPr>
                <w:rFonts w:eastAsia="等线" w:cs="Times New Roman"/>
                <w:color w:val="auto"/>
                <w:szCs w:val="21"/>
              </w:rPr>
            </w:pPr>
          </w:p>
        </w:tc>
        <w:tc>
          <w:tcPr>
            <w:tcW w:w="633" w:type="dxa"/>
            <w:vMerge w:val="restart"/>
            <w:vAlign w:val="center"/>
          </w:tcPr>
          <w:p w14:paraId="41453BB3">
            <w:pPr>
              <w:pStyle w:val="33"/>
              <w:rPr>
                <w:rFonts w:eastAsia="等线" w:cs="Times New Roman"/>
                <w:color w:val="auto"/>
                <w:szCs w:val="21"/>
              </w:rPr>
            </w:pPr>
          </w:p>
        </w:tc>
        <w:tc>
          <w:tcPr>
            <w:tcW w:w="634" w:type="dxa"/>
            <w:vMerge w:val="restart"/>
            <w:vAlign w:val="center"/>
          </w:tcPr>
          <w:p w14:paraId="1810132D">
            <w:pPr>
              <w:pStyle w:val="33"/>
              <w:rPr>
                <w:rFonts w:eastAsia="等线" w:cs="Times New Roman"/>
                <w:color w:val="auto"/>
                <w:szCs w:val="21"/>
              </w:rPr>
            </w:pPr>
          </w:p>
        </w:tc>
        <w:tc>
          <w:tcPr>
            <w:tcW w:w="633" w:type="dxa"/>
            <w:vMerge w:val="restart"/>
            <w:vAlign w:val="center"/>
          </w:tcPr>
          <w:p w14:paraId="3BBC7453">
            <w:pPr>
              <w:pStyle w:val="33"/>
              <w:rPr>
                <w:rFonts w:eastAsia="等线" w:cs="Times New Roman"/>
                <w:color w:val="auto"/>
                <w:szCs w:val="21"/>
              </w:rPr>
            </w:pPr>
          </w:p>
        </w:tc>
        <w:tc>
          <w:tcPr>
            <w:tcW w:w="634" w:type="dxa"/>
            <w:vMerge w:val="restart"/>
            <w:vAlign w:val="center"/>
          </w:tcPr>
          <w:p w14:paraId="47C758DD">
            <w:pPr>
              <w:pStyle w:val="33"/>
              <w:rPr>
                <w:rFonts w:eastAsia="等线" w:cs="Times New Roman"/>
                <w:color w:val="auto"/>
                <w:szCs w:val="21"/>
              </w:rPr>
            </w:pPr>
          </w:p>
        </w:tc>
      </w:tr>
      <w:tr w14:paraId="0EFB1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A8FCA22">
            <w:pPr>
              <w:pStyle w:val="33"/>
              <w:rPr>
                <w:color w:val="auto"/>
              </w:rPr>
            </w:pPr>
          </w:p>
        </w:tc>
        <w:tc>
          <w:tcPr>
            <w:tcW w:w="948" w:type="dxa"/>
            <w:vAlign w:val="center"/>
          </w:tcPr>
          <w:p w14:paraId="794A7861">
            <w:pPr>
              <w:pStyle w:val="33"/>
              <w:rPr>
                <w:color w:val="auto"/>
              </w:rPr>
            </w:pPr>
            <w:r>
              <w:rPr>
                <w:rFonts w:hint="eastAsia"/>
                <w:color w:val="auto"/>
              </w:rPr>
              <w:t>筛选值</w:t>
            </w:r>
          </w:p>
        </w:tc>
        <w:tc>
          <w:tcPr>
            <w:tcW w:w="796" w:type="dxa"/>
            <w:vAlign w:val="center"/>
          </w:tcPr>
          <w:p w14:paraId="38F90F29">
            <w:pPr>
              <w:pStyle w:val="33"/>
              <w:rPr>
                <w:rFonts w:eastAsia="等线" w:cs="Times New Roman"/>
                <w:color w:val="auto"/>
                <w:szCs w:val="21"/>
              </w:rPr>
            </w:pPr>
          </w:p>
        </w:tc>
        <w:tc>
          <w:tcPr>
            <w:tcW w:w="851" w:type="dxa"/>
            <w:vAlign w:val="center"/>
          </w:tcPr>
          <w:p w14:paraId="45C75D5A">
            <w:pPr>
              <w:pStyle w:val="33"/>
              <w:rPr>
                <w:rFonts w:eastAsia="等线" w:cs="Times New Roman"/>
                <w:color w:val="auto"/>
                <w:szCs w:val="21"/>
              </w:rPr>
            </w:pPr>
          </w:p>
        </w:tc>
        <w:tc>
          <w:tcPr>
            <w:tcW w:w="867" w:type="dxa"/>
            <w:vAlign w:val="center"/>
          </w:tcPr>
          <w:p w14:paraId="0C552E26">
            <w:pPr>
              <w:pStyle w:val="33"/>
              <w:rPr>
                <w:rFonts w:eastAsia="等线" w:cs="Times New Roman"/>
                <w:color w:val="auto"/>
                <w:szCs w:val="21"/>
              </w:rPr>
            </w:pPr>
          </w:p>
        </w:tc>
        <w:tc>
          <w:tcPr>
            <w:tcW w:w="692" w:type="dxa"/>
            <w:vAlign w:val="center"/>
          </w:tcPr>
          <w:p w14:paraId="3AD82339">
            <w:pPr>
              <w:pStyle w:val="33"/>
              <w:rPr>
                <w:rFonts w:eastAsia="等线" w:cs="Times New Roman"/>
                <w:color w:val="auto"/>
                <w:szCs w:val="21"/>
              </w:rPr>
            </w:pPr>
          </w:p>
        </w:tc>
        <w:tc>
          <w:tcPr>
            <w:tcW w:w="851" w:type="dxa"/>
            <w:vAlign w:val="center"/>
          </w:tcPr>
          <w:p w14:paraId="10CC1D1F">
            <w:pPr>
              <w:pStyle w:val="33"/>
              <w:rPr>
                <w:rFonts w:eastAsia="等线" w:cs="Times New Roman"/>
                <w:color w:val="auto"/>
                <w:szCs w:val="21"/>
              </w:rPr>
            </w:pPr>
          </w:p>
        </w:tc>
        <w:tc>
          <w:tcPr>
            <w:tcW w:w="850" w:type="dxa"/>
            <w:vAlign w:val="center"/>
          </w:tcPr>
          <w:p w14:paraId="0185F8D2">
            <w:pPr>
              <w:pStyle w:val="33"/>
              <w:rPr>
                <w:rFonts w:eastAsia="等线" w:cs="Times New Roman"/>
                <w:color w:val="auto"/>
                <w:szCs w:val="21"/>
              </w:rPr>
            </w:pPr>
          </w:p>
        </w:tc>
        <w:tc>
          <w:tcPr>
            <w:tcW w:w="815" w:type="dxa"/>
            <w:vAlign w:val="center"/>
          </w:tcPr>
          <w:p w14:paraId="0BA73981">
            <w:pPr>
              <w:pStyle w:val="33"/>
              <w:rPr>
                <w:color w:val="auto"/>
              </w:rPr>
            </w:pPr>
          </w:p>
        </w:tc>
        <w:tc>
          <w:tcPr>
            <w:tcW w:w="860" w:type="dxa"/>
            <w:vAlign w:val="center"/>
          </w:tcPr>
          <w:p w14:paraId="2955B998">
            <w:pPr>
              <w:pStyle w:val="33"/>
              <w:rPr>
                <w:color w:val="auto"/>
              </w:rPr>
            </w:pPr>
          </w:p>
        </w:tc>
        <w:tc>
          <w:tcPr>
            <w:tcW w:w="824" w:type="dxa"/>
            <w:vAlign w:val="center"/>
          </w:tcPr>
          <w:p w14:paraId="58BDD63E">
            <w:pPr>
              <w:pStyle w:val="33"/>
              <w:rPr>
                <w:color w:val="auto"/>
              </w:rPr>
            </w:pPr>
          </w:p>
        </w:tc>
        <w:tc>
          <w:tcPr>
            <w:tcW w:w="761" w:type="dxa"/>
            <w:vAlign w:val="center"/>
          </w:tcPr>
          <w:p w14:paraId="05D0FECD">
            <w:pPr>
              <w:pStyle w:val="33"/>
              <w:rPr>
                <w:color w:val="auto"/>
              </w:rPr>
            </w:pPr>
          </w:p>
        </w:tc>
        <w:tc>
          <w:tcPr>
            <w:tcW w:w="633" w:type="dxa"/>
            <w:vMerge w:val="continue"/>
            <w:vAlign w:val="center"/>
          </w:tcPr>
          <w:p w14:paraId="3DCBBA6A">
            <w:pPr>
              <w:pStyle w:val="33"/>
              <w:rPr>
                <w:rFonts w:eastAsia="等线" w:cs="Times New Roman"/>
                <w:color w:val="auto"/>
                <w:szCs w:val="21"/>
              </w:rPr>
            </w:pPr>
          </w:p>
        </w:tc>
        <w:tc>
          <w:tcPr>
            <w:tcW w:w="634" w:type="dxa"/>
            <w:vMerge w:val="continue"/>
            <w:vAlign w:val="center"/>
          </w:tcPr>
          <w:p w14:paraId="4BBB5A56">
            <w:pPr>
              <w:pStyle w:val="33"/>
              <w:rPr>
                <w:rFonts w:eastAsia="等线" w:cs="Times New Roman"/>
                <w:color w:val="auto"/>
                <w:szCs w:val="21"/>
              </w:rPr>
            </w:pPr>
          </w:p>
        </w:tc>
        <w:tc>
          <w:tcPr>
            <w:tcW w:w="633" w:type="dxa"/>
            <w:vMerge w:val="continue"/>
            <w:vAlign w:val="center"/>
          </w:tcPr>
          <w:p w14:paraId="6D85694F">
            <w:pPr>
              <w:pStyle w:val="33"/>
              <w:rPr>
                <w:rFonts w:eastAsia="等线" w:cs="Times New Roman"/>
                <w:color w:val="auto"/>
                <w:szCs w:val="21"/>
              </w:rPr>
            </w:pPr>
          </w:p>
        </w:tc>
        <w:tc>
          <w:tcPr>
            <w:tcW w:w="634" w:type="dxa"/>
            <w:vMerge w:val="continue"/>
            <w:vAlign w:val="center"/>
          </w:tcPr>
          <w:p w14:paraId="3225F443">
            <w:pPr>
              <w:pStyle w:val="33"/>
              <w:rPr>
                <w:rFonts w:eastAsia="等线" w:cs="Times New Roman"/>
                <w:color w:val="auto"/>
                <w:szCs w:val="21"/>
              </w:rPr>
            </w:pPr>
          </w:p>
        </w:tc>
        <w:tc>
          <w:tcPr>
            <w:tcW w:w="633" w:type="dxa"/>
            <w:vMerge w:val="continue"/>
            <w:vAlign w:val="center"/>
          </w:tcPr>
          <w:p w14:paraId="75186BDA">
            <w:pPr>
              <w:pStyle w:val="33"/>
              <w:rPr>
                <w:rFonts w:eastAsia="等线" w:cs="Times New Roman"/>
                <w:color w:val="auto"/>
                <w:szCs w:val="21"/>
              </w:rPr>
            </w:pPr>
          </w:p>
        </w:tc>
        <w:tc>
          <w:tcPr>
            <w:tcW w:w="634" w:type="dxa"/>
            <w:vMerge w:val="continue"/>
            <w:vAlign w:val="center"/>
          </w:tcPr>
          <w:p w14:paraId="44EE8F45">
            <w:pPr>
              <w:pStyle w:val="33"/>
              <w:rPr>
                <w:rFonts w:eastAsia="等线" w:cs="Times New Roman"/>
                <w:color w:val="auto"/>
                <w:szCs w:val="21"/>
              </w:rPr>
            </w:pPr>
          </w:p>
        </w:tc>
      </w:tr>
      <w:tr w14:paraId="72318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514767DA">
            <w:pPr>
              <w:pStyle w:val="33"/>
              <w:rPr>
                <w:color w:val="auto"/>
              </w:rPr>
            </w:pPr>
          </w:p>
        </w:tc>
        <w:tc>
          <w:tcPr>
            <w:tcW w:w="948" w:type="dxa"/>
            <w:vAlign w:val="center"/>
          </w:tcPr>
          <w:p w14:paraId="3B67FCC6">
            <w:pPr>
              <w:pStyle w:val="33"/>
              <w:rPr>
                <w:color w:val="auto"/>
              </w:rPr>
            </w:pPr>
            <w:r>
              <w:rPr>
                <w:rFonts w:hint="eastAsia"/>
                <w:color w:val="auto"/>
              </w:rPr>
              <w:t>标准指数</w:t>
            </w:r>
          </w:p>
        </w:tc>
        <w:tc>
          <w:tcPr>
            <w:tcW w:w="796" w:type="dxa"/>
            <w:vAlign w:val="center"/>
          </w:tcPr>
          <w:p w14:paraId="1F5904F5">
            <w:pPr>
              <w:pStyle w:val="33"/>
              <w:rPr>
                <w:rFonts w:eastAsia="等线" w:cs="Times New Roman"/>
                <w:color w:val="auto"/>
                <w:szCs w:val="21"/>
              </w:rPr>
            </w:pPr>
          </w:p>
        </w:tc>
        <w:tc>
          <w:tcPr>
            <w:tcW w:w="851" w:type="dxa"/>
            <w:vAlign w:val="center"/>
          </w:tcPr>
          <w:p w14:paraId="351FFA5B">
            <w:pPr>
              <w:pStyle w:val="33"/>
              <w:rPr>
                <w:rFonts w:eastAsia="等线" w:cs="Times New Roman"/>
                <w:color w:val="auto"/>
                <w:szCs w:val="21"/>
              </w:rPr>
            </w:pPr>
          </w:p>
        </w:tc>
        <w:tc>
          <w:tcPr>
            <w:tcW w:w="867" w:type="dxa"/>
            <w:vAlign w:val="center"/>
          </w:tcPr>
          <w:p w14:paraId="26D43640">
            <w:pPr>
              <w:pStyle w:val="33"/>
              <w:rPr>
                <w:rFonts w:eastAsia="等线" w:cs="Times New Roman"/>
                <w:color w:val="auto"/>
                <w:szCs w:val="21"/>
              </w:rPr>
            </w:pPr>
          </w:p>
        </w:tc>
        <w:tc>
          <w:tcPr>
            <w:tcW w:w="692" w:type="dxa"/>
            <w:vAlign w:val="center"/>
          </w:tcPr>
          <w:p w14:paraId="3631E9C7">
            <w:pPr>
              <w:pStyle w:val="33"/>
              <w:rPr>
                <w:rFonts w:eastAsia="等线" w:cs="Times New Roman"/>
                <w:color w:val="auto"/>
                <w:szCs w:val="21"/>
              </w:rPr>
            </w:pPr>
          </w:p>
        </w:tc>
        <w:tc>
          <w:tcPr>
            <w:tcW w:w="851" w:type="dxa"/>
            <w:vAlign w:val="center"/>
          </w:tcPr>
          <w:p w14:paraId="33E2376F">
            <w:pPr>
              <w:pStyle w:val="33"/>
              <w:rPr>
                <w:rFonts w:eastAsia="等线" w:cs="Times New Roman"/>
                <w:color w:val="auto"/>
                <w:szCs w:val="21"/>
              </w:rPr>
            </w:pPr>
          </w:p>
        </w:tc>
        <w:tc>
          <w:tcPr>
            <w:tcW w:w="850" w:type="dxa"/>
            <w:vAlign w:val="center"/>
          </w:tcPr>
          <w:p w14:paraId="08756363">
            <w:pPr>
              <w:pStyle w:val="33"/>
              <w:rPr>
                <w:rFonts w:eastAsia="等线" w:cs="Times New Roman"/>
                <w:color w:val="auto"/>
                <w:szCs w:val="21"/>
              </w:rPr>
            </w:pPr>
          </w:p>
        </w:tc>
        <w:tc>
          <w:tcPr>
            <w:tcW w:w="815" w:type="dxa"/>
            <w:vAlign w:val="center"/>
          </w:tcPr>
          <w:p w14:paraId="1A727A13">
            <w:pPr>
              <w:pStyle w:val="33"/>
              <w:rPr>
                <w:color w:val="auto"/>
              </w:rPr>
            </w:pPr>
          </w:p>
        </w:tc>
        <w:tc>
          <w:tcPr>
            <w:tcW w:w="860" w:type="dxa"/>
            <w:vAlign w:val="center"/>
          </w:tcPr>
          <w:p w14:paraId="34C1EBB7">
            <w:pPr>
              <w:pStyle w:val="33"/>
              <w:rPr>
                <w:color w:val="auto"/>
              </w:rPr>
            </w:pPr>
          </w:p>
        </w:tc>
        <w:tc>
          <w:tcPr>
            <w:tcW w:w="824" w:type="dxa"/>
            <w:vAlign w:val="center"/>
          </w:tcPr>
          <w:p w14:paraId="0E7CA9E5">
            <w:pPr>
              <w:pStyle w:val="33"/>
              <w:rPr>
                <w:color w:val="auto"/>
              </w:rPr>
            </w:pPr>
          </w:p>
        </w:tc>
        <w:tc>
          <w:tcPr>
            <w:tcW w:w="761" w:type="dxa"/>
            <w:vAlign w:val="center"/>
          </w:tcPr>
          <w:p w14:paraId="5F8E6492">
            <w:pPr>
              <w:pStyle w:val="33"/>
              <w:rPr>
                <w:color w:val="auto"/>
              </w:rPr>
            </w:pPr>
          </w:p>
        </w:tc>
        <w:tc>
          <w:tcPr>
            <w:tcW w:w="633" w:type="dxa"/>
            <w:vMerge w:val="continue"/>
            <w:vAlign w:val="center"/>
          </w:tcPr>
          <w:p w14:paraId="74B51F96">
            <w:pPr>
              <w:pStyle w:val="33"/>
              <w:rPr>
                <w:rFonts w:eastAsia="等线" w:cs="Times New Roman"/>
                <w:color w:val="auto"/>
                <w:szCs w:val="21"/>
              </w:rPr>
            </w:pPr>
          </w:p>
        </w:tc>
        <w:tc>
          <w:tcPr>
            <w:tcW w:w="634" w:type="dxa"/>
            <w:vMerge w:val="continue"/>
            <w:vAlign w:val="center"/>
          </w:tcPr>
          <w:p w14:paraId="6389A292">
            <w:pPr>
              <w:pStyle w:val="33"/>
              <w:rPr>
                <w:rFonts w:eastAsia="等线" w:cs="Times New Roman"/>
                <w:color w:val="auto"/>
                <w:szCs w:val="21"/>
              </w:rPr>
            </w:pPr>
          </w:p>
        </w:tc>
        <w:tc>
          <w:tcPr>
            <w:tcW w:w="633" w:type="dxa"/>
            <w:vMerge w:val="continue"/>
            <w:vAlign w:val="center"/>
          </w:tcPr>
          <w:p w14:paraId="322E963A">
            <w:pPr>
              <w:pStyle w:val="33"/>
              <w:rPr>
                <w:rFonts w:eastAsia="等线" w:cs="Times New Roman"/>
                <w:color w:val="auto"/>
                <w:szCs w:val="21"/>
              </w:rPr>
            </w:pPr>
          </w:p>
        </w:tc>
        <w:tc>
          <w:tcPr>
            <w:tcW w:w="634" w:type="dxa"/>
            <w:vMerge w:val="continue"/>
            <w:vAlign w:val="center"/>
          </w:tcPr>
          <w:p w14:paraId="40460B15">
            <w:pPr>
              <w:pStyle w:val="33"/>
              <w:rPr>
                <w:rFonts w:eastAsia="等线" w:cs="Times New Roman"/>
                <w:color w:val="auto"/>
                <w:szCs w:val="21"/>
              </w:rPr>
            </w:pPr>
          </w:p>
        </w:tc>
        <w:tc>
          <w:tcPr>
            <w:tcW w:w="633" w:type="dxa"/>
            <w:vMerge w:val="continue"/>
            <w:vAlign w:val="center"/>
          </w:tcPr>
          <w:p w14:paraId="5A240091">
            <w:pPr>
              <w:pStyle w:val="33"/>
              <w:rPr>
                <w:rFonts w:eastAsia="等线" w:cs="Times New Roman"/>
                <w:color w:val="auto"/>
                <w:szCs w:val="21"/>
              </w:rPr>
            </w:pPr>
          </w:p>
        </w:tc>
        <w:tc>
          <w:tcPr>
            <w:tcW w:w="634" w:type="dxa"/>
            <w:vMerge w:val="continue"/>
            <w:vAlign w:val="center"/>
          </w:tcPr>
          <w:p w14:paraId="32368FA5">
            <w:pPr>
              <w:pStyle w:val="33"/>
              <w:rPr>
                <w:rFonts w:eastAsia="等线" w:cs="Times New Roman"/>
                <w:color w:val="auto"/>
                <w:szCs w:val="21"/>
              </w:rPr>
            </w:pPr>
          </w:p>
        </w:tc>
      </w:tr>
      <w:tr w14:paraId="1C4D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0EFB99E">
            <w:pPr>
              <w:pStyle w:val="33"/>
              <w:rPr>
                <w:color w:val="auto"/>
              </w:rPr>
            </w:pPr>
          </w:p>
        </w:tc>
        <w:tc>
          <w:tcPr>
            <w:tcW w:w="948" w:type="dxa"/>
            <w:vAlign w:val="center"/>
          </w:tcPr>
          <w:p w14:paraId="37B0E500">
            <w:pPr>
              <w:pStyle w:val="33"/>
              <w:rPr>
                <w:color w:val="auto"/>
              </w:rPr>
            </w:pPr>
            <w:r>
              <w:rPr>
                <w:rFonts w:hint="eastAsia"/>
                <w:color w:val="auto"/>
              </w:rPr>
              <w:t>超标倍数</w:t>
            </w:r>
          </w:p>
        </w:tc>
        <w:tc>
          <w:tcPr>
            <w:tcW w:w="796" w:type="dxa"/>
            <w:vAlign w:val="center"/>
          </w:tcPr>
          <w:p w14:paraId="184DFB8E">
            <w:pPr>
              <w:pStyle w:val="33"/>
              <w:rPr>
                <w:rFonts w:eastAsia="等线" w:cs="Times New Roman"/>
                <w:color w:val="auto"/>
                <w:szCs w:val="21"/>
              </w:rPr>
            </w:pPr>
          </w:p>
        </w:tc>
        <w:tc>
          <w:tcPr>
            <w:tcW w:w="851" w:type="dxa"/>
            <w:vAlign w:val="center"/>
          </w:tcPr>
          <w:p w14:paraId="02B8462A">
            <w:pPr>
              <w:pStyle w:val="33"/>
              <w:rPr>
                <w:rFonts w:eastAsia="等线" w:cs="Times New Roman"/>
                <w:color w:val="auto"/>
                <w:szCs w:val="21"/>
              </w:rPr>
            </w:pPr>
          </w:p>
        </w:tc>
        <w:tc>
          <w:tcPr>
            <w:tcW w:w="867" w:type="dxa"/>
            <w:vAlign w:val="center"/>
          </w:tcPr>
          <w:p w14:paraId="726868FC">
            <w:pPr>
              <w:pStyle w:val="33"/>
              <w:rPr>
                <w:rFonts w:eastAsia="等线" w:cs="Times New Roman"/>
                <w:color w:val="auto"/>
                <w:szCs w:val="21"/>
              </w:rPr>
            </w:pPr>
          </w:p>
        </w:tc>
        <w:tc>
          <w:tcPr>
            <w:tcW w:w="692" w:type="dxa"/>
            <w:vAlign w:val="center"/>
          </w:tcPr>
          <w:p w14:paraId="2A908070">
            <w:pPr>
              <w:pStyle w:val="33"/>
              <w:rPr>
                <w:rFonts w:eastAsia="等线" w:cs="Times New Roman"/>
                <w:color w:val="auto"/>
                <w:szCs w:val="21"/>
              </w:rPr>
            </w:pPr>
          </w:p>
        </w:tc>
        <w:tc>
          <w:tcPr>
            <w:tcW w:w="851" w:type="dxa"/>
            <w:vAlign w:val="center"/>
          </w:tcPr>
          <w:p w14:paraId="049C2108">
            <w:pPr>
              <w:pStyle w:val="33"/>
              <w:rPr>
                <w:rFonts w:eastAsia="等线" w:cs="Times New Roman"/>
                <w:color w:val="auto"/>
                <w:szCs w:val="21"/>
              </w:rPr>
            </w:pPr>
          </w:p>
        </w:tc>
        <w:tc>
          <w:tcPr>
            <w:tcW w:w="850" w:type="dxa"/>
            <w:vAlign w:val="center"/>
          </w:tcPr>
          <w:p w14:paraId="74ABE94C">
            <w:pPr>
              <w:pStyle w:val="33"/>
              <w:rPr>
                <w:rFonts w:eastAsia="等线" w:cs="Times New Roman"/>
                <w:color w:val="auto"/>
                <w:szCs w:val="21"/>
              </w:rPr>
            </w:pPr>
          </w:p>
        </w:tc>
        <w:tc>
          <w:tcPr>
            <w:tcW w:w="815" w:type="dxa"/>
            <w:vAlign w:val="center"/>
          </w:tcPr>
          <w:p w14:paraId="02220E10">
            <w:pPr>
              <w:pStyle w:val="33"/>
              <w:rPr>
                <w:color w:val="auto"/>
              </w:rPr>
            </w:pPr>
          </w:p>
        </w:tc>
        <w:tc>
          <w:tcPr>
            <w:tcW w:w="860" w:type="dxa"/>
            <w:vAlign w:val="center"/>
          </w:tcPr>
          <w:p w14:paraId="6F821C41">
            <w:pPr>
              <w:pStyle w:val="33"/>
              <w:rPr>
                <w:color w:val="auto"/>
              </w:rPr>
            </w:pPr>
          </w:p>
        </w:tc>
        <w:tc>
          <w:tcPr>
            <w:tcW w:w="824" w:type="dxa"/>
            <w:vAlign w:val="center"/>
          </w:tcPr>
          <w:p w14:paraId="6D82DC67">
            <w:pPr>
              <w:pStyle w:val="33"/>
              <w:rPr>
                <w:color w:val="auto"/>
              </w:rPr>
            </w:pPr>
          </w:p>
        </w:tc>
        <w:tc>
          <w:tcPr>
            <w:tcW w:w="761" w:type="dxa"/>
            <w:vAlign w:val="center"/>
          </w:tcPr>
          <w:p w14:paraId="504E56D3">
            <w:pPr>
              <w:pStyle w:val="33"/>
              <w:rPr>
                <w:color w:val="auto"/>
              </w:rPr>
            </w:pPr>
          </w:p>
        </w:tc>
        <w:tc>
          <w:tcPr>
            <w:tcW w:w="633" w:type="dxa"/>
            <w:vMerge w:val="continue"/>
            <w:vAlign w:val="center"/>
          </w:tcPr>
          <w:p w14:paraId="6865BCC8">
            <w:pPr>
              <w:pStyle w:val="33"/>
              <w:rPr>
                <w:rFonts w:eastAsia="等线" w:cs="Times New Roman"/>
                <w:color w:val="auto"/>
                <w:szCs w:val="21"/>
              </w:rPr>
            </w:pPr>
          </w:p>
        </w:tc>
        <w:tc>
          <w:tcPr>
            <w:tcW w:w="634" w:type="dxa"/>
            <w:vMerge w:val="continue"/>
            <w:vAlign w:val="center"/>
          </w:tcPr>
          <w:p w14:paraId="22084696">
            <w:pPr>
              <w:pStyle w:val="33"/>
              <w:rPr>
                <w:rFonts w:eastAsia="等线" w:cs="Times New Roman"/>
                <w:color w:val="auto"/>
                <w:szCs w:val="21"/>
              </w:rPr>
            </w:pPr>
          </w:p>
        </w:tc>
        <w:tc>
          <w:tcPr>
            <w:tcW w:w="633" w:type="dxa"/>
            <w:vMerge w:val="continue"/>
            <w:vAlign w:val="center"/>
          </w:tcPr>
          <w:p w14:paraId="32889A9F">
            <w:pPr>
              <w:pStyle w:val="33"/>
              <w:rPr>
                <w:rFonts w:eastAsia="等线" w:cs="Times New Roman"/>
                <w:color w:val="auto"/>
                <w:szCs w:val="21"/>
              </w:rPr>
            </w:pPr>
          </w:p>
        </w:tc>
        <w:tc>
          <w:tcPr>
            <w:tcW w:w="634" w:type="dxa"/>
            <w:vMerge w:val="continue"/>
            <w:vAlign w:val="center"/>
          </w:tcPr>
          <w:p w14:paraId="3DA08D18">
            <w:pPr>
              <w:pStyle w:val="33"/>
              <w:rPr>
                <w:rFonts w:eastAsia="等线" w:cs="Times New Roman"/>
                <w:color w:val="auto"/>
                <w:szCs w:val="21"/>
              </w:rPr>
            </w:pPr>
          </w:p>
        </w:tc>
        <w:tc>
          <w:tcPr>
            <w:tcW w:w="633" w:type="dxa"/>
            <w:vMerge w:val="continue"/>
            <w:vAlign w:val="center"/>
          </w:tcPr>
          <w:p w14:paraId="5351A88F">
            <w:pPr>
              <w:pStyle w:val="33"/>
              <w:rPr>
                <w:rFonts w:eastAsia="等线" w:cs="Times New Roman"/>
                <w:color w:val="auto"/>
                <w:szCs w:val="21"/>
              </w:rPr>
            </w:pPr>
          </w:p>
        </w:tc>
        <w:tc>
          <w:tcPr>
            <w:tcW w:w="634" w:type="dxa"/>
            <w:vMerge w:val="continue"/>
            <w:vAlign w:val="center"/>
          </w:tcPr>
          <w:p w14:paraId="7EBC63CA">
            <w:pPr>
              <w:pStyle w:val="33"/>
              <w:rPr>
                <w:rFonts w:eastAsia="等线" w:cs="Times New Roman"/>
                <w:color w:val="auto"/>
                <w:szCs w:val="21"/>
              </w:rPr>
            </w:pPr>
          </w:p>
        </w:tc>
      </w:tr>
      <w:tr w14:paraId="4C11C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5BBDC55B">
            <w:pPr>
              <w:pStyle w:val="33"/>
              <w:rPr>
                <w:color w:val="auto"/>
              </w:rPr>
            </w:pPr>
            <w:r>
              <w:rPr>
                <w:color w:val="auto"/>
                <w:szCs w:val="21"/>
              </w:rPr>
              <w:t>铜</w:t>
            </w:r>
          </w:p>
        </w:tc>
        <w:tc>
          <w:tcPr>
            <w:tcW w:w="948" w:type="dxa"/>
            <w:vAlign w:val="center"/>
          </w:tcPr>
          <w:p w14:paraId="1A49208F">
            <w:pPr>
              <w:pStyle w:val="33"/>
              <w:rPr>
                <w:color w:val="auto"/>
              </w:rPr>
            </w:pPr>
            <w:r>
              <w:rPr>
                <w:rFonts w:hint="eastAsia"/>
                <w:color w:val="auto"/>
              </w:rPr>
              <w:t>监测值</w:t>
            </w:r>
          </w:p>
        </w:tc>
        <w:tc>
          <w:tcPr>
            <w:tcW w:w="796" w:type="dxa"/>
            <w:vAlign w:val="center"/>
          </w:tcPr>
          <w:p w14:paraId="0272C207">
            <w:pPr>
              <w:pStyle w:val="33"/>
              <w:rPr>
                <w:rFonts w:eastAsia="等线" w:cs="Times New Roman"/>
                <w:color w:val="auto"/>
                <w:szCs w:val="21"/>
              </w:rPr>
            </w:pPr>
          </w:p>
        </w:tc>
        <w:tc>
          <w:tcPr>
            <w:tcW w:w="851" w:type="dxa"/>
            <w:vAlign w:val="center"/>
          </w:tcPr>
          <w:p w14:paraId="078A433D">
            <w:pPr>
              <w:pStyle w:val="33"/>
              <w:rPr>
                <w:rFonts w:eastAsia="等线" w:cs="Times New Roman"/>
                <w:color w:val="auto"/>
                <w:szCs w:val="21"/>
              </w:rPr>
            </w:pPr>
          </w:p>
        </w:tc>
        <w:tc>
          <w:tcPr>
            <w:tcW w:w="867" w:type="dxa"/>
            <w:vAlign w:val="center"/>
          </w:tcPr>
          <w:p w14:paraId="5E423395">
            <w:pPr>
              <w:pStyle w:val="33"/>
              <w:rPr>
                <w:rFonts w:eastAsia="等线" w:cs="Times New Roman"/>
                <w:color w:val="auto"/>
                <w:szCs w:val="21"/>
              </w:rPr>
            </w:pPr>
          </w:p>
        </w:tc>
        <w:tc>
          <w:tcPr>
            <w:tcW w:w="692" w:type="dxa"/>
            <w:vAlign w:val="center"/>
          </w:tcPr>
          <w:p w14:paraId="2CC1C359">
            <w:pPr>
              <w:pStyle w:val="33"/>
              <w:rPr>
                <w:rFonts w:eastAsia="等线" w:cs="Times New Roman"/>
                <w:color w:val="auto"/>
                <w:szCs w:val="21"/>
              </w:rPr>
            </w:pPr>
          </w:p>
        </w:tc>
        <w:tc>
          <w:tcPr>
            <w:tcW w:w="851" w:type="dxa"/>
            <w:vAlign w:val="center"/>
          </w:tcPr>
          <w:p w14:paraId="206FEAED">
            <w:pPr>
              <w:pStyle w:val="33"/>
              <w:rPr>
                <w:rFonts w:eastAsia="等线" w:cs="Times New Roman"/>
                <w:color w:val="auto"/>
                <w:szCs w:val="21"/>
              </w:rPr>
            </w:pPr>
          </w:p>
        </w:tc>
        <w:tc>
          <w:tcPr>
            <w:tcW w:w="850" w:type="dxa"/>
            <w:vAlign w:val="center"/>
          </w:tcPr>
          <w:p w14:paraId="0094456B">
            <w:pPr>
              <w:pStyle w:val="33"/>
              <w:rPr>
                <w:rFonts w:eastAsia="等线" w:cs="Times New Roman"/>
                <w:color w:val="auto"/>
                <w:szCs w:val="21"/>
              </w:rPr>
            </w:pPr>
          </w:p>
        </w:tc>
        <w:tc>
          <w:tcPr>
            <w:tcW w:w="815" w:type="dxa"/>
            <w:vAlign w:val="center"/>
          </w:tcPr>
          <w:p w14:paraId="5337B9A4">
            <w:pPr>
              <w:pStyle w:val="33"/>
              <w:rPr>
                <w:color w:val="auto"/>
              </w:rPr>
            </w:pPr>
          </w:p>
        </w:tc>
        <w:tc>
          <w:tcPr>
            <w:tcW w:w="860" w:type="dxa"/>
            <w:vAlign w:val="center"/>
          </w:tcPr>
          <w:p w14:paraId="1BD9A305">
            <w:pPr>
              <w:pStyle w:val="33"/>
              <w:rPr>
                <w:color w:val="auto"/>
              </w:rPr>
            </w:pPr>
          </w:p>
        </w:tc>
        <w:tc>
          <w:tcPr>
            <w:tcW w:w="824" w:type="dxa"/>
            <w:vAlign w:val="center"/>
          </w:tcPr>
          <w:p w14:paraId="074FBEFA">
            <w:pPr>
              <w:pStyle w:val="33"/>
              <w:rPr>
                <w:color w:val="auto"/>
              </w:rPr>
            </w:pPr>
          </w:p>
        </w:tc>
        <w:tc>
          <w:tcPr>
            <w:tcW w:w="761" w:type="dxa"/>
            <w:vAlign w:val="center"/>
          </w:tcPr>
          <w:p w14:paraId="195E2D3A">
            <w:pPr>
              <w:pStyle w:val="33"/>
              <w:rPr>
                <w:color w:val="auto"/>
              </w:rPr>
            </w:pPr>
          </w:p>
        </w:tc>
        <w:tc>
          <w:tcPr>
            <w:tcW w:w="633" w:type="dxa"/>
            <w:vMerge w:val="restart"/>
            <w:vAlign w:val="center"/>
          </w:tcPr>
          <w:p w14:paraId="4CF9CA95">
            <w:pPr>
              <w:pStyle w:val="33"/>
              <w:rPr>
                <w:rFonts w:eastAsia="等线" w:cs="Times New Roman"/>
                <w:color w:val="auto"/>
                <w:szCs w:val="21"/>
              </w:rPr>
            </w:pPr>
          </w:p>
        </w:tc>
        <w:tc>
          <w:tcPr>
            <w:tcW w:w="634" w:type="dxa"/>
            <w:vMerge w:val="restart"/>
            <w:vAlign w:val="center"/>
          </w:tcPr>
          <w:p w14:paraId="25DD9F08">
            <w:pPr>
              <w:pStyle w:val="33"/>
              <w:rPr>
                <w:rFonts w:eastAsia="等线" w:cs="Times New Roman"/>
                <w:color w:val="auto"/>
                <w:szCs w:val="21"/>
              </w:rPr>
            </w:pPr>
          </w:p>
        </w:tc>
        <w:tc>
          <w:tcPr>
            <w:tcW w:w="633" w:type="dxa"/>
            <w:vMerge w:val="restart"/>
            <w:vAlign w:val="center"/>
          </w:tcPr>
          <w:p w14:paraId="422AB4C5">
            <w:pPr>
              <w:pStyle w:val="33"/>
              <w:rPr>
                <w:rFonts w:eastAsia="等线" w:cs="Times New Roman"/>
                <w:color w:val="auto"/>
                <w:szCs w:val="21"/>
              </w:rPr>
            </w:pPr>
          </w:p>
        </w:tc>
        <w:tc>
          <w:tcPr>
            <w:tcW w:w="634" w:type="dxa"/>
            <w:vMerge w:val="restart"/>
            <w:vAlign w:val="center"/>
          </w:tcPr>
          <w:p w14:paraId="7B65D29D">
            <w:pPr>
              <w:pStyle w:val="33"/>
              <w:rPr>
                <w:rFonts w:eastAsia="等线" w:cs="Times New Roman"/>
                <w:color w:val="auto"/>
                <w:szCs w:val="21"/>
              </w:rPr>
            </w:pPr>
          </w:p>
        </w:tc>
        <w:tc>
          <w:tcPr>
            <w:tcW w:w="633" w:type="dxa"/>
            <w:vMerge w:val="restart"/>
            <w:vAlign w:val="center"/>
          </w:tcPr>
          <w:p w14:paraId="0C4DC434">
            <w:pPr>
              <w:pStyle w:val="33"/>
              <w:rPr>
                <w:rFonts w:eastAsia="等线" w:cs="Times New Roman"/>
                <w:color w:val="auto"/>
                <w:szCs w:val="21"/>
              </w:rPr>
            </w:pPr>
          </w:p>
        </w:tc>
        <w:tc>
          <w:tcPr>
            <w:tcW w:w="634" w:type="dxa"/>
            <w:vMerge w:val="restart"/>
            <w:vAlign w:val="center"/>
          </w:tcPr>
          <w:p w14:paraId="1E6CB969">
            <w:pPr>
              <w:pStyle w:val="33"/>
              <w:rPr>
                <w:rFonts w:eastAsia="等线" w:cs="Times New Roman"/>
                <w:color w:val="auto"/>
                <w:szCs w:val="21"/>
              </w:rPr>
            </w:pPr>
          </w:p>
        </w:tc>
      </w:tr>
      <w:tr w14:paraId="25EC7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60D8E066">
            <w:pPr>
              <w:pStyle w:val="33"/>
              <w:rPr>
                <w:color w:val="auto"/>
              </w:rPr>
            </w:pPr>
          </w:p>
        </w:tc>
        <w:tc>
          <w:tcPr>
            <w:tcW w:w="948" w:type="dxa"/>
            <w:vAlign w:val="center"/>
          </w:tcPr>
          <w:p w14:paraId="7B259A7E">
            <w:pPr>
              <w:pStyle w:val="33"/>
              <w:rPr>
                <w:color w:val="auto"/>
              </w:rPr>
            </w:pPr>
            <w:r>
              <w:rPr>
                <w:rFonts w:hint="eastAsia"/>
                <w:color w:val="auto"/>
              </w:rPr>
              <w:t>筛选值</w:t>
            </w:r>
          </w:p>
        </w:tc>
        <w:tc>
          <w:tcPr>
            <w:tcW w:w="796" w:type="dxa"/>
            <w:vAlign w:val="center"/>
          </w:tcPr>
          <w:p w14:paraId="6CA4D420">
            <w:pPr>
              <w:pStyle w:val="33"/>
              <w:rPr>
                <w:rFonts w:eastAsia="等线" w:cs="Times New Roman"/>
                <w:color w:val="auto"/>
                <w:szCs w:val="21"/>
              </w:rPr>
            </w:pPr>
          </w:p>
        </w:tc>
        <w:tc>
          <w:tcPr>
            <w:tcW w:w="851" w:type="dxa"/>
            <w:vAlign w:val="center"/>
          </w:tcPr>
          <w:p w14:paraId="0A6AAF50">
            <w:pPr>
              <w:pStyle w:val="33"/>
              <w:rPr>
                <w:rFonts w:eastAsia="等线" w:cs="Times New Roman"/>
                <w:color w:val="auto"/>
                <w:szCs w:val="21"/>
              </w:rPr>
            </w:pPr>
          </w:p>
        </w:tc>
        <w:tc>
          <w:tcPr>
            <w:tcW w:w="867" w:type="dxa"/>
            <w:vAlign w:val="center"/>
          </w:tcPr>
          <w:p w14:paraId="39D441E4">
            <w:pPr>
              <w:pStyle w:val="33"/>
              <w:rPr>
                <w:rFonts w:eastAsia="等线" w:cs="Times New Roman"/>
                <w:color w:val="auto"/>
                <w:szCs w:val="21"/>
              </w:rPr>
            </w:pPr>
          </w:p>
        </w:tc>
        <w:tc>
          <w:tcPr>
            <w:tcW w:w="692" w:type="dxa"/>
            <w:vAlign w:val="center"/>
          </w:tcPr>
          <w:p w14:paraId="1EF099A7">
            <w:pPr>
              <w:pStyle w:val="33"/>
              <w:rPr>
                <w:rFonts w:eastAsia="等线" w:cs="Times New Roman"/>
                <w:color w:val="auto"/>
                <w:szCs w:val="21"/>
              </w:rPr>
            </w:pPr>
          </w:p>
        </w:tc>
        <w:tc>
          <w:tcPr>
            <w:tcW w:w="851" w:type="dxa"/>
            <w:vAlign w:val="center"/>
          </w:tcPr>
          <w:p w14:paraId="0F435CA2">
            <w:pPr>
              <w:pStyle w:val="33"/>
              <w:rPr>
                <w:rFonts w:eastAsia="等线" w:cs="Times New Roman"/>
                <w:color w:val="auto"/>
                <w:szCs w:val="21"/>
              </w:rPr>
            </w:pPr>
          </w:p>
        </w:tc>
        <w:tc>
          <w:tcPr>
            <w:tcW w:w="850" w:type="dxa"/>
            <w:vAlign w:val="center"/>
          </w:tcPr>
          <w:p w14:paraId="264578D6">
            <w:pPr>
              <w:pStyle w:val="33"/>
              <w:rPr>
                <w:rFonts w:eastAsia="等线" w:cs="Times New Roman"/>
                <w:color w:val="auto"/>
                <w:szCs w:val="21"/>
              </w:rPr>
            </w:pPr>
          </w:p>
        </w:tc>
        <w:tc>
          <w:tcPr>
            <w:tcW w:w="815" w:type="dxa"/>
            <w:vAlign w:val="center"/>
          </w:tcPr>
          <w:p w14:paraId="5239763E">
            <w:pPr>
              <w:pStyle w:val="33"/>
              <w:rPr>
                <w:color w:val="auto"/>
              </w:rPr>
            </w:pPr>
          </w:p>
        </w:tc>
        <w:tc>
          <w:tcPr>
            <w:tcW w:w="860" w:type="dxa"/>
            <w:vAlign w:val="center"/>
          </w:tcPr>
          <w:p w14:paraId="017A13D3">
            <w:pPr>
              <w:pStyle w:val="33"/>
              <w:rPr>
                <w:color w:val="auto"/>
              </w:rPr>
            </w:pPr>
          </w:p>
        </w:tc>
        <w:tc>
          <w:tcPr>
            <w:tcW w:w="824" w:type="dxa"/>
            <w:vAlign w:val="center"/>
          </w:tcPr>
          <w:p w14:paraId="43573D53">
            <w:pPr>
              <w:pStyle w:val="33"/>
              <w:rPr>
                <w:color w:val="auto"/>
              </w:rPr>
            </w:pPr>
          </w:p>
        </w:tc>
        <w:tc>
          <w:tcPr>
            <w:tcW w:w="761" w:type="dxa"/>
            <w:vAlign w:val="center"/>
          </w:tcPr>
          <w:p w14:paraId="04D8716C">
            <w:pPr>
              <w:pStyle w:val="33"/>
              <w:rPr>
                <w:color w:val="auto"/>
              </w:rPr>
            </w:pPr>
          </w:p>
        </w:tc>
        <w:tc>
          <w:tcPr>
            <w:tcW w:w="633" w:type="dxa"/>
            <w:vMerge w:val="continue"/>
            <w:vAlign w:val="center"/>
          </w:tcPr>
          <w:p w14:paraId="7E83FA1F">
            <w:pPr>
              <w:pStyle w:val="33"/>
              <w:rPr>
                <w:rFonts w:eastAsia="等线" w:cs="Times New Roman"/>
                <w:color w:val="auto"/>
                <w:szCs w:val="21"/>
              </w:rPr>
            </w:pPr>
          </w:p>
        </w:tc>
        <w:tc>
          <w:tcPr>
            <w:tcW w:w="634" w:type="dxa"/>
            <w:vMerge w:val="continue"/>
            <w:vAlign w:val="center"/>
          </w:tcPr>
          <w:p w14:paraId="281F78D1">
            <w:pPr>
              <w:pStyle w:val="33"/>
              <w:rPr>
                <w:rFonts w:eastAsia="等线" w:cs="Times New Roman"/>
                <w:color w:val="auto"/>
                <w:szCs w:val="21"/>
              </w:rPr>
            </w:pPr>
          </w:p>
        </w:tc>
        <w:tc>
          <w:tcPr>
            <w:tcW w:w="633" w:type="dxa"/>
            <w:vMerge w:val="continue"/>
            <w:vAlign w:val="center"/>
          </w:tcPr>
          <w:p w14:paraId="5A6A9FA6">
            <w:pPr>
              <w:pStyle w:val="33"/>
              <w:rPr>
                <w:rFonts w:eastAsia="等线" w:cs="Times New Roman"/>
                <w:color w:val="auto"/>
                <w:szCs w:val="21"/>
              </w:rPr>
            </w:pPr>
          </w:p>
        </w:tc>
        <w:tc>
          <w:tcPr>
            <w:tcW w:w="634" w:type="dxa"/>
            <w:vMerge w:val="continue"/>
            <w:vAlign w:val="center"/>
          </w:tcPr>
          <w:p w14:paraId="477B8636">
            <w:pPr>
              <w:pStyle w:val="33"/>
              <w:rPr>
                <w:rFonts w:eastAsia="等线" w:cs="Times New Roman"/>
                <w:color w:val="auto"/>
                <w:szCs w:val="21"/>
              </w:rPr>
            </w:pPr>
          </w:p>
        </w:tc>
        <w:tc>
          <w:tcPr>
            <w:tcW w:w="633" w:type="dxa"/>
            <w:vMerge w:val="continue"/>
            <w:vAlign w:val="center"/>
          </w:tcPr>
          <w:p w14:paraId="68D89676">
            <w:pPr>
              <w:pStyle w:val="33"/>
              <w:rPr>
                <w:rFonts w:eastAsia="等线" w:cs="Times New Roman"/>
                <w:color w:val="auto"/>
                <w:szCs w:val="21"/>
              </w:rPr>
            </w:pPr>
          </w:p>
        </w:tc>
        <w:tc>
          <w:tcPr>
            <w:tcW w:w="634" w:type="dxa"/>
            <w:vMerge w:val="continue"/>
            <w:vAlign w:val="center"/>
          </w:tcPr>
          <w:p w14:paraId="58112CB2">
            <w:pPr>
              <w:pStyle w:val="33"/>
              <w:rPr>
                <w:rFonts w:eastAsia="等线" w:cs="Times New Roman"/>
                <w:color w:val="auto"/>
                <w:szCs w:val="21"/>
              </w:rPr>
            </w:pPr>
          </w:p>
        </w:tc>
      </w:tr>
      <w:tr w14:paraId="50702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CA5288D">
            <w:pPr>
              <w:pStyle w:val="33"/>
              <w:rPr>
                <w:color w:val="auto"/>
              </w:rPr>
            </w:pPr>
          </w:p>
        </w:tc>
        <w:tc>
          <w:tcPr>
            <w:tcW w:w="948" w:type="dxa"/>
            <w:vAlign w:val="center"/>
          </w:tcPr>
          <w:p w14:paraId="67119BF0">
            <w:pPr>
              <w:pStyle w:val="33"/>
              <w:rPr>
                <w:color w:val="auto"/>
              </w:rPr>
            </w:pPr>
            <w:r>
              <w:rPr>
                <w:rFonts w:hint="eastAsia"/>
                <w:color w:val="auto"/>
              </w:rPr>
              <w:t>标准指数</w:t>
            </w:r>
          </w:p>
        </w:tc>
        <w:tc>
          <w:tcPr>
            <w:tcW w:w="796" w:type="dxa"/>
            <w:vAlign w:val="center"/>
          </w:tcPr>
          <w:p w14:paraId="299823A0">
            <w:pPr>
              <w:pStyle w:val="33"/>
              <w:rPr>
                <w:rFonts w:eastAsia="等线" w:cs="Times New Roman"/>
                <w:color w:val="auto"/>
                <w:szCs w:val="21"/>
              </w:rPr>
            </w:pPr>
          </w:p>
        </w:tc>
        <w:tc>
          <w:tcPr>
            <w:tcW w:w="851" w:type="dxa"/>
            <w:vAlign w:val="center"/>
          </w:tcPr>
          <w:p w14:paraId="4C9B7802">
            <w:pPr>
              <w:pStyle w:val="33"/>
              <w:rPr>
                <w:rFonts w:eastAsia="等线" w:cs="Times New Roman"/>
                <w:color w:val="auto"/>
                <w:szCs w:val="21"/>
              </w:rPr>
            </w:pPr>
          </w:p>
        </w:tc>
        <w:tc>
          <w:tcPr>
            <w:tcW w:w="867" w:type="dxa"/>
            <w:vAlign w:val="center"/>
          </w:tcPr>
          <w:p w14:paraId="0357B820">
            <w:pPr>
              <w:pStyle w:val="33"/>
              <w:rPr>
                <w:rFonts w:eastAsia="等线" w:cs="Times New Roman"/>
                <w:color w:val="auto"/>
                <w:szCs w:val="21"/>
              </w:rPr>
            </w:pPr>
          </w:p>
        </w:tc>
        <w:tc>
          <w:tcPr>
            <w:tcW w:w="692" w:type="dxa"/>
            <w:vAlign w:val="center"/>
          </w:tcPr>
          <w:p w14:paraId="573F5D78">
            <w:pPr>
              <w:pStyle w:val="33"/>
              <w:rPr>
                <w:rFonts w:eastAsia="等线" w:cs="Times New Roman"/>
                <w:color w:val="auto"/>
                <w:szCs w:val="21"/>
              </w:rPr>
            </w:pPr>
          </w:p>
        </w:tc>
        <w:tc>
          <w:tcPr>
            <w:tcW w:w="851" w:type="dxa"/>
            <w:vAlign w:val="center"/>
          </w:tcPr>
          <w:p w14:paraId="34F1A720">
            <w:pPr>
              <w:pStyle w:val="33"/>
              <w:rPr>
                <w:rFonts w:eastAsia="等线" w:cs="Times New Roman"/>
                <w:color w:val="auto"/>
                <w:szCs w:val="21"/>
              </w:rPr>
            </w:pPr>
          </w:p>
        </w:tc>
        <w:tc>
          <w:tcPr>
            <w:tcW w:w="850" w:type="dxa"/>
            <w:vAlign w:val="center"/>
          </w:tcPr>
          <w:p w14:paraId="35A54AFF">
            <w:pPr>
              <w:pStyle w:val="33"/>
              <w:rPr>
                <w:rFonts w:eastAsia="等线" w:cs="Times New Roman"/>
                <w:color w:val="auto"/>
                <w:szCs w:val="21"/>
              </w:rPr>
            </w:pPr>
          </w:p>
        </w:tc>
        <w:tc>
          <w:tcPr>
            <w:tcW w:w="815" w:type="dxa"/>
            <w:vAlign w:val="center"/>
          </w:tcPr>
          <w:p w14:paraId="213AE058">
            <w:pPr>
              <w:pStyle w:val="33"/>
              <w:rPr>
                <w:color w:val="auto"/>
              </w:rPr>
            </w:pPr>
          </w:p>
        </w:tc>
        <w:tc>
          <w:tcPr>
            <w:tcW w:w="860" w:type="dxa"/>
            <w:vAlign w:val="center"/>
          </w:tcPr>
          <w:p w14:paraId="6ABD6349">
            <w:pPr>
              <w:pStyle w:val="33"/>
              <w:rPr>
                <w:color w:val="auto"/>
              </w:rPr>
            </w:pPr>
          </w:p>
        </w:tc>
        <w:tc>
          <w:tcPr>
            <w:tcW w:w="824" w:type="dxa"/>
            <w:vAlign w:val="center"/>
          </w:tcPr>
          <w:p w14:paraId="7E96E71E">
            <w:pPr>
              <w:pStyle w:val="33"/>
              <w:rPr>
                <w:color w:val="auto"/>
              </w:rPr>
            </w:pPr>
          </w:p>
        </w:tc>
        <w:tc>
          <w:tcPr>
            <w:tcW w:w="761" w:type="dxa"/>
            <w:vAlign w:val="center"/>
          </w:tcPr>
          <w:p w14:paraId="7E2D76E9">
            <w:pPr>
              <w:pStyle w:val="33"/>
              <w:rPr>
                <w:color w:val="auto"/>
              </w:rPr>
            </w:pPr>
          </w:p>
        </w:tc>
        <w:tc>
          <w:tcPr>
            <w:tcW w:w="633" w:type="dxa"/>
            <w:vMerge w:val="continue"/>
            <w:vAlign w:val="center"/>
          </w:tcPr>
          <w:p w14:paraId="3137C327">
            <w:pPr>
              <w:pStyle w:val="33"/>
              <w:rPr>
                <w:rFonts w:eastAsia="等线" w:cs="Times New Roman"/>
                <w:color w:val="auto"/>
                <w:szCs w:val="21"/>
              </w:rPr>
            </w:pPr>
          </w:p>
        </w:tc>
        <w:tc>
          <w:tcPr>
            <w:tcW w:w="634" w:type="dxa"/>
            <w:vMerge w:val="continue"/>
            <w:vAlign w:val="center"/>
          </w:tcPr>
          <w:p w14:paraId="43468868">
            <w:pPr>
              <w:pStyle w:val="33"/>
              <w:rPr>
                <w:rFonts w:eastAsia="等线" w:cs="Times New Roman"/>
                <w:color w:val="auto"/>
                <w:szCs w:val="21"/>
              </w:rPr>
            </w:pPr>
          </w:p>
        </w:tc>
        <w:tc>
          <w:tcPr>
            <w:tcW w:w="633" w:type="dxa"/>
            <w:vMerge w:val="continue"/>
            <w:vAlign w:val="center"/>
          </w:tcPr>
          <w:p w14:paraId="03EBE470">
            <w:pPr>
              <w:pStyle w:val="33"/>
              <w:rPr>
                <w:rFonts w:eastAsia="等线" w:cs="Times New Roman"/>
                <w:color w:val="auto"/>
                <w:szCs w:val="21"/>
              </w:rPr>
            </w:pPr>
          </w:p>
        </w:tc>
        <w:tc>
          <w:tcPr>
            <w:tcW w:w="634" w:type="dxa"/>
            <w:vMerge w:val="continue"/>
            <w:vAlign w:val="center"/>
          </w:tcPr>
          <w:p w14:paraId="0BA74A53">
            <w:pPr>
              <w:pStyle w:val="33"/>
              <w:rPr>
                <w:rFonts w:eastAsia="等线" w:cs="Times New Roman"/>
                <w:color w:val="auto"/>
                <w:szCs w:val="21"/>
              </w:rPr>
            </w:pPr>
          </w:p>
        </w:tc>
        <w:tc>
          <w:tcPr>
            <w:tcW w:w="633" w:type="dxa"/>
            <w:vMerge w:val="continue"/>
            <w:vAlign w:val="center"/>
          </w:tcPr>
          <w:p w14:paraId="2BDAF705">
            <w:pPr>
              <w:pStyle w:val="33"/>
              <w:rPr>
                <w:rFonts w:eastAsia="等线" w:cs="Times New Roman"/>
                <w:color w:val="auto"/>
                <w:szCs w:val="21"/>
              </w:rPr>
            </w:pPr>
          </w:p>
        </w:tc>
        <w:tc>
          <w:tcPr>
            <w:tcW w:w="634" w:type="dxa"/>
            <w:vMerge w:val="continue"/>
            <w:vAlign w:val="center"/>
          </w:tcPr>
          <w:p w14:paraId="0A433C62">
            <w:pPr>
              <w:pStyle w:val="33"/>
              <w:rPr>
                <w:rFonts w:eastAsia="等线" w:cs="Times New Roman"/>
                <w:color w:val="auto"/>
                <w:szCs w:val="21"/>
              </w:rPr>
            </w:pPr>
          </w:p>
        </w:tc>
      </w:tr>
      <w:tr w14:paraId="031D7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A6C0834">
            <w:pPr>
              <w:pStyle w:val="33"/>
              <w:rPr>
                <w:color w:val="auto"/>
              </w:rPr>
            </w:pPr>
          </w:p>
        </w:tc>
        <w:tc>
          <w:tcPr>
            <w:tcW w:w="948" w:type="dxa"/>
            <w:vAlign w:val="center"/>
          </w:tcPr>
          <w:p w14:paraId="1D83A130">
            <w:pPr>
              <w:pStyle w:val="33"/>
              <w:rPr>
                <w:color w:val="auto"/>
              </w:rPr>
            </w:pPr>
            <w:r>
              <w:rPr>
                <w:rFonts w:hint="eastAsia"/>
                <w:color w:val="auto"/>
              </w:rPr>
              <w:t>超标倍数</w:t>
            </w:r>
          </w:p>
        </w:tc>
        <w:tc>
          <w:tcPr>
            <w:tcW w:w="796" w:type="dxa"/>
            <w:vAlign w:val="center"/>
          </w:tcPr>
          <w:p w14:paraId="5DCB704C">
            <w:pPr>
              <w:pStyle w:val="33"/>
              <w:rPr>
                <w:rFonts w:eastAsia="等线" w:cs="Times New Roman"/>
                <w:color w:val="auto"/>
                <w:szCs w:val="21"/>
              </w:rPr>
            </w:pPr>
          </w:p>
        </w:tc>
        <w:tc>
          <w:tcPr>
            <w:tcW w:w="851" w:type="dxa"/>
            <w:vAlign w:val="center"/>
          </w:tcPr>
          <w:p w14:paraId="60A006D9">
            <w:pPr>
              <w:pStyle w:val="33"/>
              <w:rPr>
                <w:rFonts w:eastAsia="等线" w:cs="Times New Roman"/>
                <w:color w:val="auto"/>
                <w:szCs w:val="21"/>
              </w:rPr>
            </w:pPr>
          </w:p>
        </w:tc>
        <w:tc>
          <w:tcPr>
            <w:tcW w:w="867" w:type="dxa"/>
            <w:vAlign w:val="center"/>
          </w:tcPr>
          <w:p w14:paraId="76339A9B">
            <w:pPr>
              <w:pStyle w:val="33"/>
              <w:rPr>
                <w:rFonts w:eastAsia="等线" w:cs="Times New Roman"/>
                <w:color w:val="auto"/>
                <w:szCs w:val="21"/>
              </w:rPr>
            </w:pPr>
          </w:p>
        </w:tc>
        <w:tc>
          <w:tcPr>
            <w:tcW w:w="692" w:type="dxa"/>
            <w:vAlign w:val="center"/>
          </w:tcPr>
          <w:p w14:paraId="34BF1C1A">
            <w:pPr>
              <w:pStyle w:val="33"/>
              <w:rPr>
                <w:rFonts w:eastAsia="等线" w:cs="Times New Roman"/>
                <w:color w:val="auto"/>
                <w:szCs w:val="21"/>
              </w:rPr>
            </w:pPr>
          </w:p>
        </w:tc>
        <w:tc>
          <w:tcPr>
            <w:tcW w:w="851" w:type="dxa"/>
            <w:vAlign w:val="center"/>
          </w:tcPr>
          <w:p w14:paraId="22A5EB96">
            <w:pPr>
              <w:pStyle w:val="33"/>
              <w:rPr>
                <w:rFonts w:eastAsia="等线" w:cs="Times New Roman"/>
                <w:color w:val="auto"/>
                <w:szCs w:val="21"/>
              </w:rPr>
            </w:pPr>
          </w:p>
        </w:tc>
        <w:tc>
          <w:tcPr>
            <w:tcW w:w="850" w:type="dxa"/>
            <w:vAlign w:val="center"/>
          </w:tcPr>
          <w:p w14:paraId="524BA0AC">
            <w:pPr>
              <w:pStyle w:val="33"/>
              <w:rPr>
                <w:rFonts w:eastAsia="等线" w:cs="Times New Roman"/>
                <w:color w:val="auto"/>
                <w:szCs w:val="21"/>
              </w:rPr>
            </w:pPr>
          </w:p>
        </w:tc>
        <w:tc>
          <w:tcPr>
            <w:tcW w:w="815" w:type="dxa"/>
            <w:vAlign w:val="center"/>
          </w:tcPr>
          <w:p w14:paraId="3A5FD5C1">
            <w:pPr>
              <w:pStyle w:val="33"/>
              <w:rPr>
                <w:color w:val="auto"/>
              </w:rPr>
            </w:pPr>
          </w:p>
        </w:tc>
        <w:tc>
          <w:tcPr>
            <w:tcW w:w="860" w:type="dxa"/>
            <w:vAlign w:val="center"/>
          </w:tcPr>
          <w:p w14:paraId="09981CD7">
            <w:pPr>
              <w:pStyle w:val="33"/>
              <w:rPr>
                <w:color w:val="auto"/>
              </w:rPr>
            </w:pPr>
          </w:p>
        </w:tc>
        <w:tc>
          <w:tcPr>
            <w:tcW w:w="824" w:type="dxa"/>
            <w:vAlign w:val="center"/>
          </w:tcPr>
          <w:p w14:paraId="2B9721C6">
            <w:pPr>
              <w:pStyle w:val="33"/>
              <w:rPr>
                <w:color w:val="auto"/>
              </w:rPr>
            </w:pPr>
          </w:p>
        </w:tc>
        <w:tc>
          <w:tcPr>
            <w:tcW w:w="761" w:type="dxa"/>
            <w:vAlign w:val="center"/>
          </w:tcPr>
          <w:p w14:paraId="5FF76F36">
            <w:pPr>
              <w:pStyle w:val="33"/>
              <w:rPr>
                <w:color w:val="auto"/>
              </w:rPr>
            </w:pPr>
          </w:p>
        </w:tc>
        <w:tc>
          <w:tcPr>
            <w:tcW w:w="633" w:type="dxa"/>
            <w:vMerge w:val="continue"/>
            <w:vAlign w:val="center"/>
          </w:tcPr>
          <w:p w14:paraId="327252FE">
            <w:pPr>
              <w:pStyle w:val="33"/>
              <w:rPr>
                <w:rFonts w:eastAsia="等线" w:cs="Times New Roman"/>
                <w:color w:val="auto"/>
                <w:szCs w:val="21"/>
              </w:rPr>
            </w:pPr>
          </w:p>
        </w:tc>
        <w:tc>
          <w:tcPr>
            <w:tcW w:w="634" w:type="dxa"/>
            <w:vMerge w:val="continue"/>
            <w:vAlign w:val="center"/>
          </w:tcPr>
          <w:p w14:paraId="66E6B516">
            <w:pPr>
              <w:pStyle w:val="33"/>
              <w:rPr>
                <w:rFonts w:eastAsia="等线" w:cs="Times New Roman"/>
                <w:color w:val="auto"/>
                <w:szCs w:val="21"/>
              </w:rPr>
            </w:pPr>
          </w:p>
        </w:tc>
        <w:tc>
          <w:tcPr>
            <w:tcW w:w="633" w:type="dxa"/>
            <w:vMerge w:val="continue"/>
            <w:vAlign w:val="center"/>
          </w:tcPr>
          <w:p w14:paraId="3BBDEC87">
            <w:pPr>
              <w:pStyle w:val="33"/>
              <w:rPr>
                <w:rFonts w:eastAsia="等线" w:cs="Times New Roman"/>
                <w:color w:val="auto"/>
                <w:szCs w:val="21"/>
              </w:rPr>
            </w:pPr>
          </w:p>
        </w:tc>
        <w:tc>
          <w:tcPr>
            <w:tcW w:w="634" w:type="dxa"/>
            <w:vMerge w:val="continue"/>
            <w:vAlign w:val="center"/>
          </w:tcPr>
          <w:p w14:paraId="0027C13A">
            <w:pPr>
              <w:pStyle w:val="33"/>
              <w:rPr>
                <w:rFonts w:eastAsia="等线" w:cs="Times New Roman"/>
                <w:color w:val="auto"/>
                <w:szCs w:val="21"/>
              </w:rPr>
            </w:pPr>
          </w:p>
        </w:tc>
        <w:tc>
          <w:tcPr>
            <w:tcW w:w="633" w:type="dxa"/>
            <w:vMerge w:val="continue"/>
            <w:vAlign w:val="center"/>
          </w:tcPr>
          <w:p w14:paraId="102C7ACE">
            <w:pPr>
              <w:pStyle w:val="33"/>
              <w:rPr>
                <w:rFonts w:eastAsia="等线" w:cs="Times New Roman"/>
                <w:color w:val="auto"/>
                <w:szCs w:val="21"/>
              </w:rPr>
            </w:pPr>
          </w:p>
        </w:tc>
        <w:tc>
          <w:tcPr>
            <w:tcW w:w="634" w:type="dxa"/>
            <w:vMerge w:val="continue"/>
            <w:vAlign w:val="center"/>
          </w:tcPr>
          <w:p w14:paraId="156FF52D">
            <w:pPr>
              <w:pStyle w:val="33"/>
              <w:rPr>
                <w:rFonts w:eastAsia="等线" w:cs="Times New Roman"/>
                <w:color w:val="auto"/>
                <w:szCs w:val="21"/>
              </w:rPr>
            </w:pPr>
          </w:p>
        </w:tc>
      </w:tr>
      <w:tr w14:paraId="51AD7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1BF8204A">
            <w:pPr>
              <w:pStyle w:val="33"/>
              <w:rPr>
                <w:color w:val="auto"/>
              </w:rPr>
            </w:pPr>
            <w:r>
              <w:rPr>
                <w:rFonts w:hint="eastAsia" w:cs="Times New Roman"/>
                <w:color w:val="auto"/>
                <w:szCs w:val="21"/>
              </w:rPr>
              <w:t>六价铬</w:t>
            </w:r>
          </w:p>
        </w:tc>
        <w:tc>
          <w:tcPr>
            <w:tcW w:w="948" w:type="dxa"/>
            <w:vAlign w:val="center"/>
          </w:tcPr>
          <w:p w14:paraId="18FB7F53">
            <w:pPr>
              <w:pStyle w:val="33"/>
              <w:rPr>
                <w:color w:val="auto"/>
              </w:rPr>
            </w:pPr>
            <w:r>
              <w:rPr>
                <w:rFonts w:hint="eastAsia"/>
                <w:color w:val="auto"/>
              </w:rPr>
              <w:t>监测值</w:t>
            </w:r>
          </w:p>
        </w:tc>
        <w:tc>
          <w:tcPr>
            <w:tcW w:w="796" w:type="dxa"/>
            <w:vAlign w:val="center"/>
          </w:tcPr>
          <w:p w14:paraId="035057E7">
            <w:pPr>
              <w:pStyle w:val="33"/>
              <w:rPr>
                <w:rFonts w:eastAsia="等线" w:cs="Times New Roman"/>
                <w:color w:val="auto"/>
                <w:szCs w:val="21"/>
              </w:rPr>
            </w:pPr>
          </w:p>
        </w:tc>
        <w:tc>
          <w:tcPr>
            <w:tcW w:w="851" w:type="dxa"/>
            <w:vAlign w:val="center"/>
          </w:tcPr>
          <w:p w14:paraId="3C48F25A">
            <w:pPr>
              <w:pStyle w:val="33"/>
              <w:rPr>
                <w:rFonts w:eastAsia="等线" w:cs="Times New Roman"/>
                <w:color w:val="auto"/>
                <w:szCs w:val="21"/>
              </w:rPr>
            </w:pPr>
          </w:p>
        </w:tc>
        <w:tc>
          <w:tcPr>
            <w:tcW w:w="867" w:type="dxa"/>
            <w:vAlign w:val="center"/>
          </w:tcPr>
          <w:p w14:paraId="55863615">
            <w:pPr>
              <w:pStyle w:val="33"/>
              <w:rPr>
                <w:rFonts w:eastAsia="等线" w:cs="Times New Roman"/>
                <w:color w:val="auto"/>
                <w:szCs w:val="21"/>
              </w:rPr>
            </w:pPr>
          </w:p>
        </w:tc>
        <w:tc>
          <w:tcPr>
            <w:tcW w:w="692" w:type="dxa"/>
            <w:vAlign w:val="center"/>
          </w:tcPr>
          <w:p w14:paraId="18D5B273">
            <w:pPr>
              <w:pStyle w:val="33"/>
              <w:rPr>
                <w:rFonts w:eastAsia="等线" w:cs="Times New Roman"/>
                <w:color w:val="auto"/>
                <w:szCs w:val="21"/>
              </w:rPr>
            </w:pPr>
          </w:p>
        </w:tc>
        <w:tc>
          <w:tcPr>
            <w:tcW w:w="851" w:type="dxa"/>
            <w:vAlign w:val="center"/>
          </w:tcPr>
          <w:p w14:paraId="592BB20E">
            <w:pPr>
              <w:pStyle w:val="33"/>
              <w:rPr>
                <w:rFonts w:eastAsia="等线" w:cs="Times New Roman"/>
                <w:color w:val="auto"/>
                <w:szCs w:val="21"/>
              </w:rPr>
            </w:pPr>
          </w:p>
        </w:tc>
        <w:tc>
          <w:tcPr>
            <w:tcW w:w="850" w:type="dxa"/>
            <w:vAlign w:val="center"/>
          </w:tcPr>
          <w:p w14:paraId="7C5A997A">
            <w:pPr>
              <w:pStyle w:val="33"/>
              <w:rPr>
                <w:rFonts w:eastAsia="等线" w:cs="Times New Roman"/>
                <w:color w:val="auto"/>
                <w:szCs w:val="21"/>
              </w:rPr>
            </w:pPr>
          </w:p>
        </w:tc>
        <w:tc>
          <w:tcPr>
            <w:tcW w:w="815" w:type="dxa"/>
            <w:vAlign w:val="center"/>
          </w:tcPr>
          <w:p w14:paraId="3ABEC7B8">
            <w:pPr>
              <w:pStyle w:val="33"/>
              <w:rPr>
                <w:rFonts w:eastAsia="等线" w:cs="Times New Roman"/>
                <w:color w:val="auto"/>
                <w:szCs w:val="21"/>
              </w:rPr>
            </w:pPr>
          </w:p>
        </w:tc>
        <w:tc>
          <w:tcPr>
            <w:tcW w:w="860" w:type="dxa"/>
            <w:vAlign w:val="center"/>
          </w:tcPr>
          <w:p w14:paraId="4400B4FC">
            <w:pPr>
              <w:pStyle w:val="33"/>
              <w:rPr>
                <w:rFonts w:eastAsia="等线" w:cs="Times New Roman"/>
                <w:color w:val="auto"/>
                <w:szCs w:val="21"/>
              </w:rPr>
            </w:pPr>
          </w:p>
        </w:tc>
        <w:tc>
          <w:tcPr>
            <w:tcW w:w="824" w:type="dxa"/>
            <w:vAlign w:val="center"/>
          </w:tcPr>
          <w:p w14:paraId="6A2C0AE6">
            <w:pPr>
              <w:pStyle w:val="33"/>
              <w:rPr>
                <w:rFonts w:eastAsia="等线" w:cs="Times New Roman"/>
                <w:color w:val="auto"/>
                <w:szCs w:val="21"/>
              </w:rPr>
            </w:pPr>
          </w:p>
        </w:tc>
        <w:tc>
          <w:tcPr>
            <w:tcW w:w="761" w:type="dxa"/>
            <w:vAlign w:val="center"/>
          </w:tcPr>
          <w:p w14:paraId="36AB1437">
            <w:pPr>
              <w:pStyle w:val="33"/>
              <w:rPr>
                <w:rFonts w:eastAsia="等线" w:cs="Times New Roman"/>
                <w:color w:val="auto"/>
                <w:szCs w:val="21"/>
              </w:rPr>
            </w:pPr>
          </w:p>
        </w:tc>
        <w:tc>
          <w:tcPr>
            <w:tcW w:w="633" w:type="dxa"/>
            <w:vMerge w:val="restart"/>
            <w:vAlign w:val="center"/>
          </w:tcPr>
          <w:p w14:paraId="5C3342B8">
            <w:pPr>
              <w:pStyle w:val="33"/>
              <w:rPr>
                <w:rFonts w:eastAsia="等线" w:cs="Times New Roman"/>
                <w:color w:val="auto"/>
                <w:szCs w:val="21"/>
              </w:rPr>
            </w:pPr>
          </w:p>
        </w:tc>
        <w:tc>
          <w:tcPr>
            <w:tcW w:w="634" w:type="dxa"/>
            <w:vMerge w:val="restart"/>
            <w:vAlign w:val="center"/>
          </w:tcPr>
          <w:p w14:paraId="35936449">
            <w:pPr>
              <w:pStyle w:val="33"/>
              <w:rPr>
                <w:rFonts w:eastAsia="等线" w:cs="Times New Roman"/>
                <w:color w:val="auto"/>
                <w:szCs w:val="21"/>
              </w:rPr>
            </w:pPr>
          </w:p>
        </w:tc>
        <w:tc>
          <w:tcPr>
            <w:tcW w:w="633" w:type="dxa"/>
            <w:vMerge w:val="restart"/>
            <w:vAlign w:val="center"/>
          </w:tcPr>
          <w:p w14:paraId="727B1D62">
            <w:pPr>
              <w:pStyle w:val="33"/>
              <w:rPr>
                <w:rFonts w:eastAsia="等线" w:cs="Times New Roman"/>
                <w:color w:val="auto"/>
                <w:szCs w:val="21"/>
              </w:rPr>
            </w:pPr>
          </w:p>
        </w:tc>
        <w:tc>
          <w:tcPr>
            <w:tcW w:w="634" w:type="dxa"/>
            <w:vMerge w:val="restart"/>
            <w:vAlign w:val="center"/>
          </w:tcPr>
          <w:p w14:paraId="782322C6">
            <w:pPr>
              <w:pStyle w:val="33"/>
              <w:rPr>
                <w:rFonts w:eastAsia="等线" w:cs="Times New Roman"/>
                <w:color w:val="auto"/>
                <w:szCs w:val="21"/>
              </w:rPr>
            </w:pPr>
          </w:p>
        </w:tc>
        <w:tc>
          <w:tcPr>
            <w:tcW w:w="633" w:type="dxa"/>
            <w:vMerge w:val="restart"/>
            <w:vAlign w:val="center"/>
          </w:tcPr>
          <w:p w14:paraId="76F9EE9A">
            <w:pPr>
              <w:pStyle w:val="33"/>
              <w:rPr>
                <w:rFonts w:eastAsia="等线" w:cs="Times New Roman"/>
                <w:color w:val="auto"/>
                <w:szCs w:val="21"/>
              </w:rPr>
            </w:pPr>
          </w:p>
        </w:tc>
        <w:tc>
          <w:tcPr>
            <w:tcW w:w="634" w:type="dxa"/>
            <w:vMerge w:val="restart"/>
            <w:vAlign w:val="center"/>
          </w:tcPr>
          <w:p w14:paraId="6D4380B4">
            <w:pPr>
              <w:pStyle w:val="33"/>
              <w:rPr>
                <w:rFonts w:eastAsia="等线" w:cs="Times New Roman"/>
                <w:color w:val="auto"/>
                <w:szCs w:val="21"/>
              </w:rPr>
            </w:pPr>
          </w:p>
        </w:tc>
      </w:tr>
      <w:tr w14:paraId="6A7A6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068ED470">
            <w:pPr>
              <w:pStyle w:val="33"/>
              <w:rPr>
                <w:color w:val="auto"/>
              </w:rPr>
            </w:pPr>
          </w:p>
        </w:tc>
        <w:tc>
          <w:tcPr>
            <w:tcW w:w="948" w:type="dxa"/>
            <w:vAlign w:val="center"/>
          </w:tcPr>
          <w:p w14:paraId="30786E8E">
            <w:pPr>
              <w:pStyle w:val="33"/>
              <w:rPr>
                <w:color w:val="auto"/>
              </w:rPr>
            </w:pPr>
            <w:r>
              <w:rPr>
                <w:rFonts w:hint="eastAsia"/>
                <w:color w:val="auto"/>
              </w:rPr>
              <w:t>筛选值</w:t>
            </w:r>
          </w:p>
        </w:tc>
        <w:tc>
          <w:tcPr>
            <w:tcW w:w="796" w:type="dxa"/>
            <w:vAlign w:val="center"/>
          </w:tcPr>
          <w:p w14:paraId="17361B53">
            <w:pPr>
              <w:pStyle w:val="33"/>
              <w:rPr>
                <w:rFonts w:eastAsia="等线" w:cs="Times New Roman"/>
                <w:color w:val="auto"/>
                <w:szCs w:val="21"/>
              </w:rPr>
            </w:pPr>
          </w:p>
        </w:tc>
        <w:tc>
          <w:tcPr>
            <w:tcW w:w="851" w:type="dxa"/>
            <w:vAlign w:val="center"/>
          </w:tcPr>
          <w:p w14:paraId="11C2FB8C">
            <w:pPr>
              <w:pStyle w:val="33"/>
              <w:rPr>
                <w:rFonts w:eastAsia="等线" w:cs="Times New Roman"/>
                <w:color w:val="auto"/>
                <w:szCs w:val="21"/>
              </w:rPr>
            </w:pPr>
          </w:p>
        </w:tc>
        <w:tc>
          <w:tcPr>
            <w:tcW w:w="867" w:type="dxa"/>
            <w:vAlign w:val="center"/>
          </w:tcPr>
          <w:p w14:paraId="0038ECC6">
            <w:pPr>
              <w:pStyle w:val="33"/>
              <w:rPr>
                <w:rFonts w:eastAsia="等线" w:cs="Times New Roman"/>
                <w:color w:val="auto"/>
                <w:szCs w:val="21"/>
              </w:rPr>
            </w:pPr>
          </w:p>
        </w:tc>
        <w:tc>
          <w:tcPr>
            <w:tcW w:w="692" w:type="dxa"/>
            <w:vAlign w:val="center"/>
          </w:tcPr>
          <w:p w14:paraId="22E02346">
            <w:pPr>
              <w:pStyle w:val="33"/>
              <w:rPr>
                <w:rFonts w:eastAsia="等线" w:cs="Times New Roman"/>
                <w:color w:val="auto"/>
                <w:szCs w:val="21"/>
              </w:rPr>
            </w:pPr>
          </w:p>
        </w:tc>
        <w:tc>
          <w:tcPr>
            <w:tcW w:w="851" w:type="dxa"/>
            <w:vAlign w:val="center"/>
          </w:tcPr>
          <w:p w14:paraId="0BB608E1">
            <w:pPr>
              <w:pStyle w:val="33"/>
              <w:rPr>
                <w:rFonts w:eastAsia="等线" w:cs="Times New Roman"/>
                <w:color w:val="auto"/>
                <w:szCs w:val="21"/>
              </w:rPr>
            </w:pPr>
          </w:p>
        </w:tc>
        <w:tc>
          <w:tcPr>
            <w:tcW w:w="850" w:type="dxa"/>
            <w:vAlign w:val="center"/>
          </w:tcPr>
          <w:p w14:paraId="617F566F">
            <w:pPr>
              <w:pStyle w:val="33"/>
              <w:rPr>
                <w:rFonts w:eastAsia="等线" w:cs="Times New Roman"/>
                <w:color w:val="auto"/>
                <w:szCs w:val="21"/>
              </w:rPr>
            </w:pPr>
          </w:p>
        </w:tc>
        <w:tc>
          <w:tcPr>
            <w:tcW w:w="815" w:type="dxa"/>
            <w:vAlign w:val="center"/>
          </w:tcPr>
          <w:p w14:paraId="6D23D117">
            <w:pPr>
              <w:pStyle w:val="33"/>
              <w:rPr>
                <w:rFonts w:eastAsia="等线" w:cs="Times New Roman"/>
                <w:color w:val="auto"/>
                <w:szCs w:val="21"/>
              </w:rPr>
            </w:pPr>
          </w:p>
        </w:tc>
        <w:tc>
          <w:tcPr>
            <w:tcW w:w="860" w:type="dxa"/>
            <w:vAlign w:val="center"/>
          </w:tcPr>
          <w:p w14:paraId="1219475C">
            <w:pPr>
              <w:pStyle w:val="33"/>
              <w:rPr>
                <w:rFonts w:eastAsia="等线" w:cs="Times New Roman"/>
                <w:color w:val="auto"/>
                <w:szCs w:val="21"/>
              </w:rPr>
            </w:pPr>
          </w:p>
        </w:tc>
        <w:tc>
          <w:tcPr>
            <w:tcW w:w="824" w:type="dxa"/>
            <w:vAlign w:val="center"/>
          </w:tcPr>
          <w:p w14:paraId="6ED34C64">
            <w:pPr>
              <w:pStyle w:val="33"/>
              <w:rPr>
                <w:rFonts w:eastAsia="等线" w:cs="Times New Roman"/>
                <w:color w:val="auto"/>
                <w:szCs w:val="21"/>
              </w:rPr>
            </w:pPr>
          </w:p>
        </w:tc>
        <w:tc>
          <w:tcPr>
            <w:tcW w:w="761" w:type="dxa"/>
            <w:vAlign w:val="center"/>
          </w:tcPr>
          <w:p w14:paraId="3B268C78">
            <w:pPr>
              <w:pStyle w:val="33"/>
              <w:rPr>
                <w:rFonts w:eastAsia="等线" w:cs="Times New Roman"/>
                <w:color w:val="auto"/>
                <w:szCs w:val="21"/>
              </w:rPr>
            </w:pPr>
          </w:p>
        </w:tc>
        <w:tc>
          <w:tcPr>
            <w:tcW w:w="633" w:type="dxa"/>
            <w:vMerge w:val="continue"/>
            <w:vAlign w:val="center"/>
          </w:tcPr>
          <w:p w14:paraId="50E7A00C">
            <w:pPr>
              <w:pStyle w:val="33"/>
              <w:rPr>
                <w:color w:val="auto"/>
              </w:rPr>
            </w:pPr>
          </w:p>
        </w:tc>
        <w:tc>
          <w:tcPr>
            <w:tcW w:w="634" w:type="dxa"/>
            <w:vMerge w:val="continue"/>
            <w:vAlign w:val="center"/>
          </w:tcPr>
          <w:p w14:paraId="60F3DEFF">
            <w:pPr>
              <w:pStyle w:val="33"/>
              <w:rPr>
                <w:color w:val="auto"/>
              </w:rPr>
            </w:pPr>
          </w:p>
        </w:tc>
        <w:tc>
          <w:tcPr>
            <w:tcW w:w="633" w:type="dxa"/>
            <w:vMerge w:val="continue"/>
            <w:vAlign w:val="center"/>
          </w:tcPr>
          <w:p w14:paraId="06BED965">
            <w:pPr>
              <w:pStyle w:val="33"/>
              <w:rPr>
                <w:color w:val="auto"/>
              </w:rPr>
            </w:pPr>
          </w:p>
        </w:tc>
        <w:tc>
          <w:tcPr>
            <w:tcW w:w="634" w:type="dxa"/>
            <w:vMerge w:val="continue"/>
            <w:vAlign w:val="center"/>
          </w:tcPr>
          <w:p w14:paraId="62A6BBB9">
            <w:pPr>
              <w:pStyle w:val="33"/>
              <w:rPr>
                <w:color w:val="auto"/>
              </w:rPr>
            </w:pPr>
          </w:p>
        </w:tc>
        <w:tc>
          <w:tcPr>
            <w:tcW w:w="633" w:type="dxa"/>
            <w:vMerge w:val="continue"/>
            <w:vAlign w:val="center"/>
          </w:tcPr>
          <w:p w14:paraId="317CA5B7">
            <w:pPr>
              <w:pStyle w:val="33"/>
              <w:rPr>
                <w:color w:val="auto"/>
              </w:rPr>
            </w:pPr>
          </w:p>
        </w:tc>
        <w:tc>
          <w:tcPr>
            <w:tcW w:w="634" w:type="dxa"/>
            <w:vMerge w:val="continue"/>
            <w:vAlign w:val="center"/>
          </w:tcPr>
          <w:p w14:paraId="15EE1A7A">
            <w:pPr>
              <w:pStyle w:val="33"/>
              <w:rPr>
                <w:color w:val="auto"/>
              </w:rPr>
            </w:pPr>
          </w:p>
        </w:tc>
      </w:tr>
      <w:tr w14:paraId="77D0B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4FE4659">
            <w:pPr>
              <w:pStyle w:val="33"/>
              <w:rPr>
                <w:color w:val="auto"/>
              </w:rPr>
            </w:pPr>
          </w:p>
        </w:tc>
        <w:tc>
          <w:tcPr>
            <w:tcW w:w="948" w:type="dxa"/>
            <w:vAlign w:val="center"/>
          </w:tcPr>
          <w:p w14:paraId="59DDC223">
            <w:pPr>
              <w:pStyle w:val="33"/>
              <w:rPr>
                <w:color w:val="auto"/>
              </w:rPr>
            </w:pPr>
            <w:r>
              <w:rPr>
                <w:rFonts w:hint="eastAsia"/>
                <w:color w:val="auto"/>
              </w:rPr>
              <w:t>标准指数</w:t>
            </w:r>
          </w:p>
        </w:tc>
        <w:tc>
          <w:tcPr>
            <w:tcW w:w="796" w:type="dxa"/>
            <w:vAlign w:val="center"/>
          </w:tcPr>
          <w:p w14:paraId="2B6D91A8">
            <w:pPr>
              <w:pStyle w:val="33"/>
              <w:rPr>
                <w:rFonts w:eastAsia="等线" w:cs="Times New Roman"/>
                <w:color w:val="auto"/>
                <w:szCs w:val="21"/>
              </w:rPr>
            </w:pPr>
          </w:p>
        </w:tc>
        <w:tc>
          <w:tcPr>
            <w:tcW w:w="851" w:type="dxa"/>
            <w:vAlign w:val="center"/>
          </w:tcPr>
          <w:p w14:paraId="2579A4D0">
            <w:pPr>
              <w:pStyle w:val="33"/>
              <w:rPr>
                <w:rFonts w:eastAsia="等线" w:cs="Times New Roman"/>
                <w:color w:val="auto"/>
                <w:szCs w:val="21"/>
              </w:rPr>
            </w:pPr>
          </w:p>
        </w:tc>
        <w:tc>
          <w:tcPr>
            <w:tcW w:w="867" w:type="dxa"/>
            <w:vAlign w:val="center"/>
          </w:tcPr>
          <w:p w14:paraId="46B47DAE">
            <w:pPr>
              <w:pStyle w:val="33"/>
              <w:rPr>
                <w:rFonts w:eastAsia="等线" w:cs="Times New Roman"/>
                <w:color w:val="auto"/>
                <w:szCs w:val="21"/>
              </w:rPr>
            </w:pPr>
          </w:p>
        </w:tc>
        <w:tc>
          <w:tcPr>
            <w:tcW w:w="692" w:type="dxa"/>
            <w:vAlign w:val="center"/>
          </w:tcPr>
          <w:p w14:paraId="154645F1">
            <w:pPr>
              <w:pStyle w:val="33"/>
              <w:rPr>
                <w:rFonts w:eastAsia="等线" w:cs="Times New Roman"/>
                <w:color w:val="auto"/>
                <w:szCs w:val="21"/>
              </w:rPr>
            </w:pPr>
          </w:p>
        </w:tc>
        <w:tc>
          <w:tcPr>
            <w:tcW w:w="851" w:type="dxa"/>
            <w:vAlign w:val="center"/>
          </w:tcPr>
          <w:p w14:paraId="43F5FE33">
            <w:pPr>
              <w:pStyle w:val="33"/>
              <w:rPr>
                <w:rFonts w:eastAsia="等线" w:cs="Times New Roman"/>
                <w:color w:val="auto"/>
                <w:szCs w:val="21"/>
              </w:rPr>
            </w:pPr>
          </w:p>
        </w:tc>
        <w:tc>
          <w:tcPr>
            <w:tcW w:w="850" w:type="dxa"/>
            <w:vAlign w:val="center"/>
          </w:tcPr>
          <w:p w14:paraId="4F25C796">
            <w:pPr>
              <w:pStyle w:val="33"/>
              <w:rPr>
                <w:rFonts w:eastAsia="等线" w:cs="Times New Roman"/>
                <w:color w:val="auto"/>
                <w:szCs w:val="21"/>
              </w:rPr>
            </w:pPr>
          </w:p>
        </w:tc>
        <w:tc>
          <w:tcPr>
            <w:tcW w:w="815" w:type="dxa"/>
            <w:vAlign w:val="center"/>
          </w:tcPr>
          <w:p w14:paraId="7766B642">
            <w:pPr>
              <w:pStyle w:val="33"/>
              <w:rPr>
                <w:rFonts w:eastAsia="等线" w:cs="Times New Roman"/>
                <w:color w:val="auto"/>
                <w:szCs w:val="21"/>
              </w:rPr>
            </w:pPr>
          </w:p>
        </w:tc>
        <w:tc>
          <w:tcPr>
            <w:tcW w:w="860" w:type="dxa"/>
            <w:vAlign w:val="center"/>
          </w:tcPr>
          <w:p w14:paraId="3A6AE9FA">
            <w:pPr>
              <w:pStyle w:val="33"/>
              <w:rPr>
                <w:rFonts w:eastAsia="等线" w:cs="Times New Roman"/>
                <w:color w:val="auto"/>
                <w:szCs w:val="21"/>
              </w:rPr>
            </w:pPr>
          </w:p>
        </w:tc>
        <w:tc>
          <w:tcPr>
            <w:tcW w:w="824" w:type="dxa"/>
            <w:vAlign w:val="center"/>
          </w:tcPr>
          <w:p w14:paraId="329EFA28">
            <w:pPr>
              <w:pStyle w:val="33"/>
              <w:rPr>
                <w:rFonts w:eastAsia="等线" w:cs="Times New Roman"/>
                <w:color w:val="auto"/>
                <w:szCs w:val="21"/>
              </w:rPr>
            </w:pPr>
          </w:p>
        </w:tc>
        <w:tc>
          <w:tcPr>
            <w:tcW w:w="761" w:type="dxa"/>
            <w:vAlign w:val="center"/>
          </w:tcPr>
          <w:p w14:paraId="17EF9E4F">
            <w:pPr>
              <w:pStyle w:val="33"/>
              <w:rPr>
                <w:rFonts w:eastAsia="等线" w:cs="Times New Roman"/>
                <w:color w:val="auto"/>
                <w:szCs w:val="21"/>
              </w:rPr>
            </w:pPr>
          </w:p>
        </w:tc>
        <w:tc>
          <w:tcPr>
            <w:tcW w:w="633" w:type="dxa"/>
            <w:vMerge w:val="continue"/>
            <w:vAlign w:val="center"/>
          </w:tcPr>
          <w:p w14:paraId="5E990501">
            <w:pPr>
              <w:pStyle w:val="33"/>
              <w:rPr>
                <w:color w:val="auto"/>
              </w:rPr>
            </w:pPr>
          </w:p>
        </w:tc>
        <w:tc>
          <w:tcPr>
            <w:tcW w:w="634" w:type="dxa"/>
            <w:vMerge w:val="continue"/>
            <w:vAlign w:val="center"/>
          </w:tcPr>
          <w:p w14:paraId="2F61DC11">
            <w:pPr>
              <w:pStyle w:val="33"/>
              <w:rPr>
                <w:color w:val="auto"/>
              </w:rPr>
            </w:pPr>
          </w:p>
        </w:tc>
        <w:tc>
          <w:tcPr>
            <w:tcW w:w="633" w:type="dxa"/>
            <w:vMerge w:val="continue"/>
            <w:vAlign w:val="center"/>
          </w:tcPr>
          <w:p w14:paraId="584456CF">
            <w:pPr>
              <w:pStyle w:val="33"/>
              <w:rPr>
                <w:color w:val="auto"/>
              </w:rPr>
            </w:pPr>
          </w:p>
        </w:tc>
        <w:tc>
          <w:tcPr>
            <w:tcW w:w="634" w:type="dxa"/>
            <w:vMerge w:val="continue"/>
            <w:vAlign w:val="center"/>
          </w:tcPr>
          <w:p w14:paraId="50C32CD9">
            <w:pPr>
              <w:pStyle w:val="33"/>
              <w:rPr>
                <w:color w:val="auto"/>
              </w:rPr>
            </w:pPr>
          </w:p>
        </w:tc>
        <w:tc>
          <w:tcPr>
            <w:tcW w:w="633" w:type="dxa"/>
            <w:vMerge w:val="continue"/>
            <w:vAlign w:val="center"/>
          </w:tcPr>
          <w:p w14:paraId="6A9C5F04">
            <w:pPr>
              <w:pStyle w:val="33"/>
              <w:rPr>
                <w:color w:val="auto"/>
              </w:rPr>
            </w:pPr>
          </w:p>
        </w:tc>
        <w:tc>
          <w:tcPr>
            <w:tcW w:w="634" w:type="dxa"/>
            <w:vMerge w:val="continue"/>
            <w:vAlign w:val="center"/>
          </w:tcPr>
          <w:p w14:paraId="0BF602A9">
            <w:pPr>
              <w:pStyle w:val="33"/>
              <w:rPr>
                <w:color w:val="auto"/>
              </w:rPr>
            </w:pPr>
          </w:p>
        </w:tc>
      </w:tr>
      <w:tr w14:paraId="1F2BB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1D1F8CB9">
            <w:pPr>
              <w:pStyle w:val="33"/>
              <w:rPr>
                <w:color w:val="auto"/>
              </w:rPr>
            </w:pPr>
          </w:p>
        </w:tc>
        <w:tc>
          <w:tcPr>
            <w:tcW w:w="948" w:type="dxa"/>
            <w:vAlign w:val="center"/>
          </w:tcPr>
          <w:p w14:paraId="5E6654AB">
            <w:pPr>
              <w:pStyle w:val="33"/>
              <w:rPr>
                <w:color w:val="auto"/>
              </w:rPr>
            </w:pPr>
            <w:r>
              <w:rPr>
                <w:rFonts w:hint="eastAsia"/>
                <w:color w:val="auto"/>
              </w:rPr>
              <w:t>超标倍数</w:t>
            </w:r>
          </w:p>
        </w:tc>
        <w:tc>
          <w:tcPr>
            <w:tcW w:w="796" w:type="dxa"/>
            <w:vAlign w:val="center"/>
          </w:tcPr>
          <w:p w14:paraId="16CB1E8F">
            <w:pPr>
              <w:pStyle w:val="33"/>
              <w:rPr>
                <w:rFonts w:eastAsia="等线" w:cs="Times New Roman"/>
                <w:color w:val="auto"/>
                <w:szCs w:val="21"/>
              </w:rPr>
            </w:pPr>
          </w:p>
        </w:tc>
        <w:tc>
          <w:tcPr>
            <w:tcW w:w="851" w:type="dxa"/>
            <w:vAlign w:val="center"/>
          </w:tcPr>
          <w:p w14:paraId="095FFFC9">
            <w:pPr>
              <w:pStyle w:val="33"/>
              <w:rPr>
                <w:rFonts w:eastAsia="等线" w:cs="Times New Roman"/>
                <w:color w:val="auto"/>
                <w:szCs w:val="21"/>
              </w:rPr>
            </w:pPr>
          </w:p>
        </w:tc>
        <w:tc>
          <w:tcPr>
            <w:tcW w:w="867" w:type="dxa"/>
            <w:vAlign w:val="center"/>
          </w:tcPr>
          <w:p w14:paraId="42E47F76">
            <w:pPr>
              <w:pStyle w:val="33"/>
              <w:rPr>
                <w:rFonts w:eastAsia="等线" w:cs="Times New Roman"/>
                <w:color w:val="auto"/>
                <w:szCs w:val="21"/>
              </w:rPr>
            </w:pPr>
          </w:p>
        </w:tc>
        <w:tc>
          <w:tcPr>
            <w:tcW w:w="692" w:type="dxa"/>
            <w:vAlign w:val="center"/>
          </w:tcPr>
          <w:p w14:paraId="52FAA99B">
            <w:pPr>
              <w:pStyle w:val="33"/>
              <w:rPr>
                <w:rFonts w:eastAsia="等线" w:cs="Times New Roman"/>
                <w:color w:val="auto"/>
                <w:szCs w:val="21"/>
              </w:rPr>
            </w:pPr>
          </w:p>
        </w:tc>
        <w:tc>
          <w:tcPr>
            <w:tcW w:w="851" w:type="dxa"/>
            <w:vAlign w:val="center"/>
          </w:tcPr>
          <w:p w14:paraId="7549940B">
            <w:pPr>
              <w:pStyle w:val="33"/>
              <w:rPr>
                <w:rFonts w:eastAsia="等线" w:cs="Times New Roman"/>
                <w:color w:val="auto"/>
                <w:szCs w:val="21"/>
              </w:rPr>
            </w:pPr>
          </w:p>
        </w:tc>
        <w:tc>
          <w:tcPr>
            <w:tcW w:w="850" w:type="dxa"/>
            <w:vAlign w:val="center"/>
          </w:tcPr>
          <w:p w14:paraId="22C16A0D">
            <w:pPr>
              <w:pStyle w:val="33"/>
              <w:rPr>
                <w:rFonts w:eastAsia="等线" w:cs="Times New Roman"/>
                <w:color w:val="auto"/>
                <w:szCs w:val="21"/>
              </w:rPr>
            </w:pPr>
          </w:p>
        </w:tc>
        <w:tc>
          <w:tcPr>
            <w:tcW w:w="815" w:type="dxa"/>
            <w:vAlign w:val="center"/>
          </w:tcPr>
          <w:p w14:paraId="710E3888">
            <w:pPr>
              <w:pStyle w:val="33"/>
              <w:rPr>
                <w:rFonts w:eastAsia="等线" w:cs="Times New Roman"/>
                <w:color w:val="auto"/>
                <w:szCs w:val="21"/>
              </w:rPr>
            </w:pPr>
          </w:p>
        </w:tc>
        <w:tc>
          <w:tcPr>
            <w:tcW w:w="860" w:type="dxa"/>
            <w:vAlign w:val="center"/>
          </w:tcPr>
          <w:p w14:paraId="499BA202">
            <w:pPr>
              <w:pStyle w:val="33"/>
              <w:rPr>
                <w:rFonts w:eastAsia="等线" w:cs="Times New Roman"/>
                <w:color w:val="auto"/>
                <w:szCs w:val="21"/>
              </w:rPr>
            </w:pPr>
          </w:p>
        </w:tc>
        <w:tc>
          <w:tcPr>
            <w:tcW w:w="824" w:type="dxa"/>
            <w:vAlign w:val="center"/>
          </w:tcPr>
          <w:p w14:paraId="72A2F014">
            <w:pPr>
              <w:pStyle w:val="33"/>
              <w:rPr>
                <w:rFonts w:eastAsia="等线" w:cs="Times New Roman"/>
                <w:color w:val="auto"/>
                <w:szCs w:val="21"/>
              </w:rPr>
            </w:pPr>
          </w:p>
        </w:tc>
        <w:tc>
          <w:tcPr>
            <w:tcW w:w="761" w:type="dxa"/>
            <w:vAlign w:val="center"/>
          </w:tcPr>
          <w:p w14:paraId="6FE128CC">
            <w:pPr>
              <w:pStyle w:val="33"/>
              <w:rPr>
                <w:rFonts w:eastAsia="等线" w:cs="Times New Roman"/>
                <w:color w:val="auto"/>
                <w:szCs w:val="21"/>
              </w:rPr>
            </w:pPr>
          </w:p>
        </w:tc>
        <w:tc>
          <w:tcPr>
            <w:tcW w:w="633" w:type="dxa"/>
            <w:vMerge w:val="continue"/>
            <w:vAlign w:val="center"/>
          </w:tcPr>
          <w:p w14:paraId="2BE70BED">
            <w:pPr>
              <w:pStyle w:val="33"/>
              <w:rPr>
                <w:color w:val="auto"/>
              </w:rPr>
            </w:pPr>
          </w:p>
        </w:tc>
        <w:tc>
          <w:tcPr>
            <w:tcW w:w="634" w:type="dxa"/>
            <w:vMerge w:val="continue"/>
            <w:vAlign w:val="center"/>
          </w:tcPr>
          <w:p w14:paraId="59C159A3">
            <w:pPr>
              <w:pStyle w:val="33"/>
              <w:rPr>
                <w:color w:val="auto"/>
              </w:rPr>
            </w:pPr>
          </w:p>
        </w:tc>
        <w:tc>
          <w:tcPr>
            <w:tcW w:w="633" w:type="dxa"/>
            <w:vMerge w:val="continue"/>
            <w:vAlign w:val="center"/>
          </w:tcPr>
          <w:p w14:paraId="6998BA8C">
            <w:pPr>
              <w:pStyle w:val="33"/>
              <w:rPr>
                <w:color w:val="auto"/>
              </w:rPr>
            </w:pPr>
          </w:p>
        </w:tc>
        <w:tc>
          <w:tcPr>
            <w:tcW w:w="634" w:type="dxa"/>
            <w:vMerge w:val="continue"/>
            <w:vAlign w:val="center"/>
          </w:tcPr>
          <w:p w14:paraId="23398220">
            <w:pPr>
              <w:pStyle w:val="33"/>
              <w:rPr>
                <w:color w:val="auto"/>
              </w:rPr>
            </w:pPr>
          </w:p>
        </w:tc>
        <w:tc>
          <w:tcPr>
            <w:tcW w:w="633" w:type="dxa"/>
            <w:vMerge w:val="continue"/>
            <w:vAlign w:val="center"/>
          </w:tcPr>
          <w:p w14:paraId="7041C35D">
            <w:pPr>
              <w:pStyle w:val="33"/>
              <w:rPr>
                <w:color w:val="auto"/>
              </w:rPr>
            </w:pPr>
          </w:p>
        </w:tc>
        <w:tc>
          <w:tcPr>
            <w:tcW w:w="634" w:type="dxa"/>
            <w:vMerge w:val="continue"/>
            <w:vAlign w:val="center"/>
          </w:tcPr>
          <w:p w14:paraId="25F0BA67">
            <w:pPr>
              <w:pStyle w:val="33"/>
              <w:rPr>
                <w:color w:val="auto"/>
              </w:rPr>
            </w:pPr>
          </w:p>
        </w:tc>
      </w:tr>
      <w:tr w14:paraId="700B7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restart"/>
            <w:vAlign w:val="center"/>
          </w:tcPr>
          <w:p w14:paraId="6C59F4C1">
            <w:pPr>
              <w:pStyle w:val="33"/>
              <w:rPr>
                <w:color w:val="auto"/>
              </w:rPr>
            </w:pPr>
            <w:r>
              <w:rPr>
                <w:rFonts w:hint="eastAsia"/>
                <w:color w:val="auto"/>
              </w:rPr>
              <w:t>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w:t>
            </w:r>
          </w:p>
        </w:tc>
        <w:tc>
          <w:tcPr>
            <w:tcW w:w="948" w:type="dxa"/>
            <w:vAlign w:val="center"/>
          </w:tcPr>
          <w:p w14:paraId="520F8E5E">
            <w:pPr>
              <w:pStyle w:val="33"/>
              <w:rPr>
                <w:color w:val="auto"/>
              </w:rPr>
            </w:pPr>
            <w:r>
              <w:rPr>
                <w:rFonts w:hint="eastAsia"/>
                <w:color w:val="auto"/>
              </w:rPr>
              <w:t>监测值</w:t>
            </w:r>
          </w:p>
        </w:tc>
        <w:tc>
          <w:tcPr>
            <w:tcW w:w="796" w:type="dxa"/>
            <w:vAlign w:val="center"/>
          </w:tcPr>
          <w:p w14:paraId="39D58889">
            <w:pPr>
              <w:pStyle w:val="33"/>
              <w:rPr>
                <w:rFonts w:eastAsia="等线" w:cs="Times New Roman"/>
                <w:color w:val="auto"/>
                <w:szCs w:val="21"/>
              </w:rPr>
            </w:pPr>
          </w:p>
        </w:tc>
        <w:tc>
          <w:tcPr>
            <w:tcW w:w="851" w:type="dxa"/>
            <w:vAlign w:val="center"/>
          </w:tcPr>
          <w:p w14:paraId="4FE3C82F">
            <w:pPr>
              <w:pStyle w:val="33"/>
              <w:rPr>
                <w:rFonts w:eastAsia="等线" w:cs="Times New Roman"/>
                <w:color w:val="auto"/>
                <w:szCs w:val="21"/>
              </w:rPr>
            </w:pPr>
          </w:p>
        </w:tc>
        <w:tc>
          <w:tcPr>
            <w:tcW w:w="867" w:type="dxa"/>
            <w:vAlign w:val="center"/>
          </w:tcPr>
          <w:p w14:paraId="708399CC">
            <w:pPr>
              <w:pStyle w:val="33"/>
              <w:rPr>
                <w:rFonts w:eastAsia="等线" w:cs="Times New Roman"/>
                <w:color w:val="auto"/>
                <w:szCs w:val="21"/>
              </w:rPr>
            </w:pPr>
          </w:p>
        </w:tc>
        <w:tc>
          <w:tcPr>
            <w:tcW w:w="692" w:type="dxa"/>
            <w:vAlign w:val="center"/>
          </w:tcPr>
          <w:p w14:paraId="03B02871">
            <w:pPr>
              <w:pStyle w:val="33"/>
              <w:rPr>
                <w:rFonts w:eastAsia="等线" w:cs="Times New Roman"/>
                <w:color w:val="auto"/>
                <w:szCs w:val="21"/>
              </w:rPr>
            </w:pPr>
          </w:p>
        </w:tc>
        <w:tc>
          <w:tcPr>
            <w:tcW w:w="851" w:type="dxa"/>
            <w:vAlign w:val="center"/>
          </w:tcPr>
          <w:p w14:paraId="180C17F2">
            <w:pPr>
              <w:pStyle w:val="33"/>
              <w:rPr>
                <w:rFonts w:eastAsia="等线" w:cs="Times New Roman"/>
                <w:color w:val="auto"/>
                <w:szCs w:val="21"/>
              </w:rPr>
            </w:pPr>
          </w:p>
        </w:tc>
        <w:tc>
          <w:tcPr>
            <w:tcW w:w="850" w:type="dxa"/>
            <w:vAlign w:val="center"/>
          </w:tcPr>
          <w:p w14:paraId="22FF6ECA">
            <w:pPr>
              <w:pStyle w:val="33"/>
              <w:rPr>
                <w:rFonts w:eastAsia="等线" w:cs="Times New Roman"/>
                <w:color w:val="auto"/>
                <w:szCs w:val="21"/>
              </w:rPr>
            </w:pPr>
          </w:p>
        </w:tc>
        <w:tc>
          <w:tcPr>
            <w:tcW w:w="815" w:type="dxa"/>
            <w:vAlign w:val="center"/>
          </w:tcPr>
          <w:p w14:paraId="3C4A06FC">
            <w:pPr>
              <w:pStyle w:val="33"/>
              <w:rPr>
                <w:rFonts w:eastAsia="等线" w:cs="Times New Roman"/>
                <w:color w:val="auto"/>
                <w:szCs w:val="21"/>
              </w:rPr>
            </w:pPr>
          </w:p>
        </w:tc>
        <w:tc>
          <w:tcPr>
            <w:tcW w:w="860" w:type="dxa"/>
            <w:vAlign w:val="center"/>
          </w:tcPr>
          <w:p w14:paraId="7EFAD5F3">
            <w:pPr>
              <w:pStyle w:val="33"/>
              <w:rPr>
                <w:rFonts w:eastAsia="等线" w:cs="Times New Roman"/>
                <w:color w:val="auto"/>
                <w:szCs w:val="21"/>
              </w:rPr>
            </w:pPr>
          </w:p>
        </w:tc>
        <w:tc>
          <w:tcPr>
            <w:tcW w:w="824" w:type="dxa"/>
            <w:vAlign w:val="center"/>
          </w:tcPr>
          <w:p w14:paraId="77EEB466">
            <w:pPr>
              <w:pStyle w:val="33"/>
              <w:rPr>
                <w:rFonts w:eastAsia="等线" w:cs="Times New Roman"/>
                <w:color w:val="auto"/>
                <w:szCs w:val="21"/>
              </w:rPr>
            </w:pPr>
          </w:p>
        </w:tc>
        <w:tc>
          <w:tcPr>
            <w:tcW w:w="761" w:type="dxa"/>
            <w:vAlign w:val="center"/>
          </w:tcPr>
          <w:p w14:paraId="1B8BA744">
            <w:pPr>
              <w:pStyle w:val="33"/>
              <w:rPr>
                <w:rFonts w:eastAsia="等线" w:cs="Times New Roman"/>
                <w:color w:val="auto"/>
                <w:szCs w:val="21"/>
              </w:rPr>
            </w:pPr>
          </w:p>
        </w:tc>
        <w:tc>
          <w:tcPr>
            <w:tcW w:w="633" w:type="dxa"/>
            <w:vMerge w:val="restart"/>
            <w:vAlign w:val="center"/>
          </w:tcPr>
          <w:p w14:paraId="579C9911">
            <w:pPr>
              <w:pStyle w:val="33"/>
              <w:rPr>
                <w:rFonts w:eastAsia="等线" w:cs="Times New Roman"/>
                <w:color w:val="auto"/>
                <w:szCs w:val="21"/>
              </w:rPr>
            </w:pPr>
          </w:p>
        </w:tc>
        <w:tc>
          <w:tcPr>
            <w:tcW w:w="634" w:type="dxa"/>
            <w:vMerge w:val="restart"/>
            <w:vAlign w:val="center"/>
          </w:tcPr>
          <w:p w14:paraId="2DA91850">
            <w:pPr>
              <w:pStyle w:val="33"/>
              <w:rPr>
                <w:rFonts w:eastAsia="等线" w:cs="Times New Roman"/>
                <w:color w:val="auto"/>
                <w:szCs w:val="21"/>
              </w:rPr>
            </w:pPr>
          </w:p>
        </w:tc>
        <w:tc>
          <w:tcPr>
            <w:tcW w:w="633" w:type="dxa"/>
            <w:vMerge w:val="restart"/>
            <w:vAlign w:val="center"/>
          </w:tcPr>
          <w:p w14:paraId="4B16878F">
            <w:pPr>
              <w:pStyle w:val="33"/>
              <w:rPr>
                <w:rFonts w:eastAsia="等线" w:cs="Times New Roman"/>
                <w:color w:val="auto"/>
                <w:szCs w:val="21"/>
              </w:rPr>
            </w:pPr>
          </w:p>
        </w:tc>
        <w:tc>
          <w:tcPr>
            <w:tcW w:w="634" w:type="dxa"/>
            <w:vMerge w:val="restart"/>
            <w:vAlign w:val="center"/>
          </w:tcPr>
          <w:p w14:paraId="3A5B5244">
            <w:pPr>
              <w:pStyle w:val="33"/>
              <w:rPr>
                <w:rFonts w:eastAsia="等线" w:cs="Times New Roman"/>
                <w:color w:val="auto"/>
                <w:szCs w:val="21"/>
              </w:rPr>
            </w:pPr>
          </w:p>
        </w:tc>
        <w:tc>
          <w:tcPr>
            <w:tcW w:w="633" w:type="dxa"/>
            <w:vMerge w:val="restart"/>
            <w:vAlign w:val="center"/>
          </w:tcPr>
          <w:p w14:paraId="5C6FC1F5">
            <w:pPr>
              <w:pStyle w:val="33"/>
              <w:rPr>
                <w:rFonts w:eastAsia="等线" w:cs="Times New Roman"/>
                <w:color w:val="auto"/>
                <w:szCs w:val="21"/>
              </w:rPr>
            </w:pPr>
          </w:p>
        </w:tc>
        <w:tc>
          <w:tcPr>
            <w:tcW w:w="634" w:type="dxa"/>
            <w:vMerge w:val="restart"/>
            <w:vAlign w:val="center"/>
          </w:tcPr>
          <w:p w14:paraId="4670CA3E">
            <w:pPr>
              <w:pStyle w:val="33"/>
              <w:rPr>
                <w:rFonts w:eastAsia="等线" w:cs="Times New Roman"/>
                <w:color w:val="auto"/>
                <w:szCs w:val="21"/>
              </w:rPr>
            </w:pPr>
          </w:p>
        </w:tc>
      </w:tr>
      <w:tr w14:paraId="4CB94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030C4808">
            <w:pPr>
              <w:pStyle w:val="33"/>
              <w:rPr>
                <w:color w:val="auto"/>
              </w:rPr>
            </w:pPr>
          </w:p>
        </w:tc>
        <w:tc>
          <w:tcPr>
            <w:tcW w:w="948" w:type="dxa"/>
            <w:vAlign w:val="center"/>
          </w:tcPr>
          <w:p w14:paraId="09341DAC">
            <w:pPr>
              <w:pStyle w:val="33"/>
              <w:rPr>
                <w:color w:val="auto"/>
              </w:rPr>
            </w:pPr>
            <w:r>
              <w:rPr>
                <w:rFonts w:hint="eastAsia"/>
                <w:color w:val="auto"/>
              </w:rPr>
              <w:t>筛选值</w:t>
            </w:r>
          </w:p>
        </w:tc>
        <w:tc>
          <w:tcPr>
            <w:tcW w:w="796" w:type="dxa"/>
            <w:vAlign w:val="center"/>
          </w:tcPr>
          <w:p w14:paraId="2F62FCE5">
            <w:pPr>
              <w:pStyle w:val="33"/>
              <w:rPr>
                <w:rFonts w:eastAsia="等线" w:cs="Times New Roman"/>
                <w:color w:val="auto"/>
                <w:szCs w:val="21"/>
              </w:rPr>
            </w:pPr>
          </w:p>
        </w:tc>
        <w:tc>
          <w:tcPr>
            <w:tcW w:w="851" w:type="dxa"/>
            <w:vAlign w:val="center"/>
          </w:tcPr>
          <w:p w14:paraId="038CAA83">
            <w:pPr>
              <w:pStyle w:val="33"/>
              <w:rPr>
                <w:rFonts w:eastAsia="等线" w:cs="Times New Roman"/>
                <w:color w:val="auto"/>
                <w:szCs w:val="21"/>
              </w:rPr>
            </w:pPr>
          </w:p>
        </w:tc>
        <w:tc>
          <w:tcPr>
            <w:tcW w:w="867" w:type="dxa"/>
            <w:vAlign w:val="center"/>
          </w:tcPr>
          <w:p w14:paraId="46761933">
            <w:pPr>
              <w:pStyle w:val="33"/>
              <w:rPr>
                <w:rFonts w:eastAsia="等线" w:cs="Times New Roman"/>
                <w:color w:val="auto"/>
                <w:szCs w:val="21"/>
              </w:rPr>
            </w:pPr>
          </w:p>
        </w:tc>
        <w:tc>
          <w:tcPr>
            <w:tcW w:w="692" w:type="dxa"/>
            <w:vAlign w:val="center"/>
          </w:tcPr>
          <w:p w14:paraId="3BB1A52A">
            <w:pPr>
              <w:pStyle w:val="33"/>
              <w:rPr>
                <w:rFonts w:eastAsia="等线" w:cs="Times New Roman"/>
                <w:color w:val="auto"/>
                <w:szCs w:val="21"/>
              </w:rPr>
            </w:pPr>
          </w:p>
        </w:tc>
        <w:tc>
          <w:tcPr>
            <w:tcW w:w="851" w:type="dxa"/>
            <w:vAlign w:val="center"/>
          </w:tcPr>
          <w:p w14:paraId="291A0025">
            <w:pPr>
              <w:pStyle w:val="33"/>
              <w:rPr>
                <w:rFonts w:eastAsia="等线" w:cs="Times New Roman"/>
                <w:color w:val="auto"/>
                <w:szCs w:val="21"/>
              </w:rPr>
            </w:pPr>
          </w:p>
        </w:tc>
        <w:tc>
          <w:tcPr>
            <w:tcW w:w="850" w:type="dxa"/>
            <w:vAlign w:val="center"/>
          </w:tcPr>
          <w:p w14:paraId="658454A5">
            <w:pPr>
              <w:pStyle w:val="33"/>
              <w:rPr>
                <w:rFonts w:eastAsia="等线" w:cs="Times New Roman"/>
                <w:color w:val="auto"/>
                <w:szCs w:val="21"/>
              </w:rPr>
            </w:pPr>
          </w:p>
        </w:tc>
        <w:tc>
          <w:tcPr>
            <w:tcW w:w="815" w:type="dxa"/>
            <w:vAlign w:val="center"/>
          </w:tcPr>
          <w:p w14:paraId="20B0298A">
            <w:pPr>
              <w:pStyle w:val="33"/>
              <w:rPr>
                <w:rFonts w:eastAsia="等线" w:cs="Times New Roman"/>
                <w:color w:val="auto"/>
                <w:szCs w:val="21"/>
              </w:rPr>
            </w:pPr>
          </w:p>
        </w:tc>
        <w:tc>
          <w:tcPr>
            <w:tcW w:w="860" w:type="dxa"/>
            <w:vAlign w:val="center"/>
          </w:tcPr>
          <w:p w14:paraId="213666AE">
            <w:pPr>
              <w:pStyle w:val="33"/>
              <w:rPr>
                <w:rFonts w:eastAsia="等线" w:cs="Times New Roman"/>
                <w:color w:val="auto"/>
                <w:szCs w:val="21"/>
              </w:rPr>
            </w:pPr>
          </w:p>
        </w:tc>
        <w:tc>
          <w:tcPr>
            <w:tcW w:w="824" w:type="dxa"/>
            <w:vAlign w:val="center"/>
          </w:tcPr>
          <w:p w14:paraId="3F0DE8FE">
            <w:pPr>
              <w:pStyle w:val="33"/>
              <w:rPr>
                <w:rFonts w:eastAsia="等线" w:cs="Times New Roman"/>
                <w:color w:val="auto"/>
                <w:szCs w:val="21"/>
              </w:rPr>
            </w:pPr>
          </w:p>
        </w:tc>
        <w:tc>
          <w:tcPr>
            <w:tcW w:w="761" w:type="dxa"/>
            <w:vAlign w:val="center"/>
          </w:tcPr>
          <w:p w14:paraId="13B03291">
            <w:pPr>
              <w:pStyle w:val="33"/>
              <w:rPr>
                <w:rFonts w:eastAsia="等线" w:cs="Times New Roman"/>
                <w:color w:val="auto"/>
                <w:szCs w:val="21"/>
              </w:rPr>
            </w:pPr>
          </w:p>
        </w:tc>
        <w:tc>
          <w:tcPr>
            <w:tcW w:w="633" w:type="dxa"/>
            <w:vMerge w:val="continue"/>
            <w:vAlign w:val="center"/>
          </w:tcPr>
          <w:p w14:paraId="6990936E">
            <w:pPr>
              <w:pStyle w:val="33"/>
              <w:rPr>
                <w:color w:val="auto"/>
              </w:rPr>
            </w:pPr>
          </w:p>
        </w:tc>
        <w:tc>
          <w:tcPr>
            <w:tcW w:w="634" w:type="dxa"/>
            <w:vMerge w:val="continue"/>
            <w:vAlign w:val="center"/>
          </w:tcPr>
          <w:p w14:paraId="6A74C9FC">
            <w:pPr>
              <w:pStyle w:val="33"/>
              <w:rPr>
                <w:color w:val="auto"/>
              </w:rPr>
            </w:pPr>
          </w:p>
        </w:tc>
        <w:tc>
          <w:tcPr>
            <w:tcW w:w="633" w:type="dxa"/>
            <w:vMerge w:val="continue"/>
            <w:vAlign w:val="center"/>
          </w:tcPr>
          <w:p w14:paraId="1D75BF63">
            <w:pPr>
              <w:pStyle w:val="33"/>
              <w:rPr>
                <w:color w:val="auto"/>
              </w:rPr>
            </w:pPr>
          </w:p>
        </w:tc>
        <w:tc>
          <w:tcPr>
            <w:tcW w:w="634" w:type="dxa"/>
            <w:vMerge w:val="continue"/>
            <w:vAlign w:val="center"/>
          </w:tcPr>
          <w:p w14:paraId="493BEF96">
            <w:pPr>
              <w:pStyle w:val="33"/>
              <w:rPr>
                <w:color w:val="auto"/>
              </w:rPr>
            </w:pPr>
          </w:p>
        </w:tc>
        <w:tc>
          <w:tcPr>
            <w:tcW w:w="633" w:type="dxa"/>
            <w:vMerge w:val="continue"/>
            <w:vAlign w:val="center"/>
          </w:tcPr>
          <w:p w14:paraId="1B63374B">
            <w:pPr>
              <w:pStyle w:val="33"/>
              <w:rPr>
                <w:color w:val="auto"/>
              </w:rPr>
            </w:pPr>
          </w:p>
        </w:tc>
        <w:tc>
          <w:tcPr>
            <w:tcW w:w="634" w:type="dxa"/>
            <w:vMerge w:val="continue"/>
            <w:vAlign w:val="center"/>
          </w:tcPr>
          <w:p w14:paraId="484CFE01">
            <w:pPr>
              <w:pStyle w:val="33"/>
              <w:rPr>
                <w:color w:val="auto"/>
              </w:rPr>
            </w:pPr>
          </w:p>
        </w:tc>
      </w:tr>
      <w:tr w14:paraId="55F1F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7B652372">
            <w:pPr>
              <w:pStyle w:val="33"/>
              <w:rPr>
                <w:color w:val="auto"/>
              </w:rPr>
            </w:pPr>
          </w:p>
        </w:tc>
        <w:tc>
          <w:tcPr>
            <w:tcW w:w="948" w:type="dxa"/>
            <w:vAlign w:val="center"/>
          </w:tcPr>
          <w:p w14:paraId="720DCFB0">
            <w:pPr>
              <w:pStyle w:val="33"/>
              <w:rPr>
                <w:color w:val="auto"/>
              </w:rPr>
            </w:pPr>
            <w:r>
              <w:rPr>
                <w:rFonts w:hint="eastAsia"/>
                <w:color w:val="auto"/>
              </w:rPr>
              <w:t>标准指数</w:t>
            </w:r>
          </w:p>
        </w:tc>
        <w:tc>
          <w:tcPr>
            <w:tcW w:w="796" w:type="dxa"/>
            <w:vAlign w:val="center"/>
          </w:tcPr>
          <w:p w14:paraId="16E575C5">
            <w:pPr>
              <w:pStyle w:val="33"/>
              <w:rPr>
                <w:rFonts w:eastAsia="等线" w:cs="Times New Roman"/>
                <w:color w:val="auto"/>
                <w:szCs w:val="21"/>
              </w:rPr>
            </w:pPr>
          </w:p>
        </w:tc>
        <w:tc>
          <w:tcPr>
            <w:tcW w:w="851" w:type="dxa"/>
            <w:vAlign w:val="center"/>
          </w:tcPr>
          <w:p w14:paraId="7BE3D084">
            <w:pPr>
              <w:pStyle w:val="33"/>
              <w:rPr>
                <w:rFonts w:eastAsia="等线" w:cs="Times New Roman"/>
                <w:color w:val="auto"/>
                <w:szCs w:val="21"/>
              </w:rPr>
            </w:pPr>
          </w:p>
        </w:tc>
        <w:tc>
          <w:tcPr>
            <w:tcW w:w="867" w:type="dxa"/>
            <w:vAlign w:val="center"/>
          </w:tcPr>
          <w:p w14:paraId="6DC362DE">
            <w:pPr>
              <w:pStyle w:val="33"/>
              <w:rPr>
                <w:rFonts w:eastAsia="等线" w:cs="Times New Roman"/>
                <w:color w:val="auto"/>
                <w:szCs w:val="21"/>
              </w:rPr>
            </w:pPr>
          </w:p>
        </w:tc>
        <w:tc>
          <w:tcPr>
            <w:tcW w:w="692" w:type="dxa"/>
            <w:vAlign w:val="center"/>
          </w:tcPr>
          <w:p w14:paraId="7BB4D5DB">
            <w:pPr>
              <w:pStyle w:val="33"/>
              <w:rPr>
                <w:rFonts w:eastAsia="等线" w:cs="Times New Roman"/>
                <w:color w:val="auto"/>
                <w:szCs w:val="21"/>
              </w:rPr>
            </w:pPr>
          </w:p>
        </w:tc>
        <w:tc>
          <w:tcPr>
            <w:tcW w:w="851" w:type="dxa"/>
            <w:vAlign w:val="center"/>
          </w:tcPr>
          <w:p w14:paraId="637D3276">
            <w:pPr>
              <w:pStyle w:val="33"/>
              <w:rPr>
                <w:rFonts w:eastAsia="等线" w:cs="Times New Roman"/>
                <w:color w:val="auto"/>
                <w:szCs w:val="21"/>
              </w:rPr>
            </w:pPr>
          </w:p>
        </w:tc>
        <w:tc>
          <w:tcPr>
            <w:tcW w:w="850" w:type="dxa"/>
            <w:vAlign w:val="center"/>
          </w:tcPr>
          <w:p w14:paraId="5505B51A">
            <w:pPr>
              <w:pStyle w:val="33"/>
              <w:rPr>
                <w:rFonts w:eastAsia="等线" w:cs="Times New Roman"/>
                <w:color w:val="auto"/>
                <w:szCs w:val="21"/>
              </w:rPr>
            </w:pPr>
          </w:p>
        </w:tc>
        <w:tc>
          <w:tcPr>
            <w:tcW w:w="815" w:type="dxa"/>
            <w:vAlign w:val="center"/>
          </w:tcPr>
          <w:p w14:paraId="57019749">
            <w:pPr>
              <w:pStyle w:val="33"/>
              <w:rPr>
                <w:rFonts w:eastAsia="等线" w:cs="Times New Roman"/>
                <w:color w:val="auto"/>
                <w:szCs w:val="21"/>
              </w:rPr>
            </w:pPr>
          </w:p>
        </w:tc>
        <w:tc>
          <w:tcPr>
            <w:tcW w:w="860" w:type="dxa"/>
            <w:vAlign w:val="center"/>
          </w:tcPr>
          <w:p w14:paraId="7315BA7C">
            <w:pPr>
              <w:pStyle w:val="33"/>
              <w:rPr>
                <w:rFonts w:eastAsia="等线" w:cs="Times New Roman"/>
                <w:color w:val="auto"/>
                <w:szCs w:val="21"/>
              </w:rPr>
            </w:pPr>
          </w:p>
        </w:tc>
        <w:tc>
          <w:tcPr>
            <w:tcW w:w="824" w:type="dxa"/>
            <w:vAlign w:val="center"/>
          </w:tcPr>
          <w:p w14:paraId="23A027A0">
            <w:pPr>
              <w:pStyle w:val="33"/>
              <w:rPr>
                <w:rFonts w:eastAsia="等线" w:cs="Times New Roman"/>
                <w:color w:val="auto"/>
                <w:szCs w:val="21"/>
              </w:rPr>
            </w:pPr>
          </w:p>
        </w:tc>
        <w:tc>
          <w:tcPr>
            <w:tcW w:w="761" w:type="dxa"/>
            <w:vAlign w:val="center"/>
          </w:tcPr>
          <w:p w14:paraId="521CF346">
            <w:pPr>
              <w:pStyle w:val="33"/>
              <w:rPr>
                <w:rFonts w:eastAsia="等线" w:cs="Times New Roman"/>
                <w:color w:val="auto"/>
                <w:szCs w:val="21"/>
              </w:rPr>
            </w:pPr>
          </w:p>
        </w:tc>
        <w:tc>
          <w:tcPr>
            <w:tcW w:w="633" w:type="dxa"/>
            <w:vMerge w:val="continue"/>
            <w:vAlign w:val="center"/>
          </w:tcPr>
          <w:p w14:paraId="3BADAF94">
            <w:pPr>
              <w:pStyle w:val="33"/>
              <w:rPr>
                <w:color w:val="auto"/>
              </w:rPr>
            </w:pPr>
          </w:p>
        </w:tc>
        <w:tc>
          <w:tcPr>
            <w:tcW w:w="634" w:type="dxa"/>
            <w:vMerge w:val="continue"/>
            <w:vAlign w:val="center"/>
          </w:tcPr>
          <w:p w14:paraId="113590DE">
            <w:pPr>
              <w:pStyle w:val="33"/>
              <w:rPr>
                <w:color w:val="auto"/>
              </w:rPr>
            </w:pPr>
          </w:p>
        </w:tc>
        <w:tc>
          <w:tcPr>
            <w:tcW w:w="633" w:type="dxa"/>
            <w:vMerge w:val="continue"/>
            <w:vAlign w:val="center"/>
          </w:tcPr>
          <w:p w14:paraId="4F034ECB">
            <w:pPr>
              <w:pStyle w:val="33"/>
              <w:rPr>
                <w:color w:val="auto"/>
              </w:rPr>
            </w:pPr>
          </w:p>
        </w:tc>
        <w:tc>
          <w:tcPr>
            <w:tcW w:w="634" w:type="dxa"/>
            <w:vMerge w:val="continue"/>
            <w:vAlign w:val="center"/>
          </w:tcPr>
          <w:p w14:paraId="4CF299C9">
            <w:pPr>
              <w:pStyle w:val="33"/>
              <w:rPr>
                <w:color w:val="auto"/>
              </w:rPr>
            </w:pPr>
          </w:p>
        </w:tc>
        <w:tc>
          <w:tcPr>
            <w:tcW w:w="633" w:type="dxa"/>
            <w:vMerge w:val="continue"/>
            <w:vAlign w:val="center"/>
          </w:tcPr>
          <w:p w14:paraId="12029E45">
            <w:pPr>
              <w:pStyle w:val="33"/>
              <w:rPr>
                <w:color w:val="auto"/>
              </w:rPr>
            </w:pPr>
          </w:p>
        </w:tc>
        <w:tc>
          <w:tcPr>
            <w:tcW w:w="634" w:type="dxa"/>
            <w:vMerge w:val="continue"/>
            <w:vAlign w:val="center"/>
          </w:tcPr>
          <w:p w14:paraId="097E8646">
            <w:pPr>
              <w:pStyle w:val="33"/>
              <w:rPr>
                <w:color w:val="auto"/>
              </w:rPr>
            </w:pPr>
          </w:p>
        </w:tc>
      </w:tr>
      <w:tr w14:paraId="137F2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285" w:hRule="atLeast"/>
        </w:trPr>
        <w:tc>
          <w:tcPr>
            <w:tcW w:w="1096" w:type="dxa"/>
            <w:vMerge w:val="continue"/>
            <w:vAlign w:val="center"/>
          </w:tcPr>
          <w:p w14:paraId="3DAA7D4E">
            <w:pPr>
              <w:pStyle w:val="33"/>
              <w:rPr>
                <w:color w:val="auto"/>
              </w:rPr>
            </w:pPr>
          </w:p>
        </w:tc>
        <w:tc>
          <w:tcPr>
            <w:tcW w:w="948" w:type="dxa"/>
            <w:vAlign w:val="center"/>
          </w:tcPr>
          <w:p w14:paraId="5095E11E">
            <w:pPr>
              <w:pStyle w:val="33"/>
              <w:rPr>
                <w:color w:val="auto"/>
              </w:rPr>
            </w:pPr>
            <w:r>
              <w:rPr>
                <w:rFonts w:hint="eastAsia"/>
                <w:color w:val="auto"/>
              </w:rPr>
              <w:t>超标倍数</w:t>
            </w:r>
          </w:p>
        </w:tc>
        <w:tc>
          <w:tcPr>
            <w:tcW w:w="796" w:type="dxa"/>
            <w:vAlign w:val="center"/>
          </w:tcPr>
          <w:p w14:paraId="20EA1630">
            <w:pPr>
              <w:pStyle w:val="33"/>
              <w:rPr>
                <w:rFonts w:eastAsia="等线" w:cs="Times New Roman"/>
                <w:color w:val="auto"/>
                <w:szCs w:val="21"/>
              </w:rPr>
            </w:pPr>
          </w:p>
        </w:tc>
        <w:tc>
          <w:tcPr>
            <w:tcW w:w="851" w:type="dxa"/>
            <w:vAlign w:val="center"/>
          </w:tcPr>
          <w:p w14:paraId="4F62048E">
            <w:pPr>
              <w:pStyle w:val="33"/>
              <w:rPr>
                <w:rFonts w:eastAsia="等线" w:cs="Times New Roman"/>
                <w:color w:val="auto"/>
                <w:szCs w:val="21"/>
              </w:rPr>
            </w:pPr>
          </w:p>
        </w:tc>
        <w:tc>
          <w:tcPr>
            <w:tcW w:w="867" w:type="dxa"/>
            <w:vAlign w:val="center"/>
          </w:tcPr>
          <w:p w14:paraId="7E55A29C">
            <w:pPr>
              <w:pStyle w:val="33"/>
              <w:rPr>
                <w:rFonts w:eastAsia="等线" w:cs="Times New Roman"/>
                <w:color w:val="auto"/>
                <w:szCs w:val="21"/>
              </w:rPr>
            </w:pPr>
          </w:p>
        </w:tc>
        <w:tc>
          <w:tcPr>
            <w:tcW w:w="692" w:type="dxa"/>
            <w:vAlign w:val="center"/>
          </w:tcPr>
          <w:p w14:paraId="364C3182">
            <w:pPr>
              <w:pStyle w:val="33"/>
              <w:rPr>
                <w:rFonts w:eastAsia="等线" w:cs="Times New Roman"/>
                <w:color w:val="auto"/>
                <w:szCs w:val="21"/>
              </w:rPr>
            </w:pPr>
          </w:p>
        </w:tc>
        <w:tc>
          <w:tcPr>
            <w:tcW w:w="851" w:type="dxa"/>
            <w:vAlign w:val="center"/>
          </w:tcPr>
          <w:p w14:paraId="2414255D">
            <w:pPr>
              <w:pStyle w:val="33"/>
              <w:rPr>
                <w:rFonts w:eastAsia="等线" w:cs="Times New Roman"/>
                <w:color w:val="auto"/>
                <w:szCs w:val="21"/>
              </w:rPr>
            </w:pPr>
          </w:p>
        </w:tc>
        <w:tc>
          <w:tcPr>
            <w:tcW w:w="850" w:type="dxa"/>
            <w:vAlign w:val="center"/>
          </w:tcPr>
          <w:p w14:paraId="33EA3229">
            <w:pPr>
              <w:pStyle w:val="33"/>
              <w:rPr>
                <w:rFonts w:eastAsia="等线" w:cs="Times New Roman"/>
                <w:color w:val="auto"/>
                <w:szCs w:val="21"/>
              </w:rPr>
            </w:pPr>
          </w:p>
        </w:tc>
        <w:tc>
          <w:tcPr>
            <w:tcW w:w="815" w:type="dxa"/>
            <w:vAlign w:val="center"/>
          </w:tcPr>
          <w:p w14:paraId="3A930C69">
            <w:pPr>
              <w:pStyle w:val="33"/>
              <w:rPr>
                <w:rFonts w:eastAsia="等线" w:cs="Times New Roman"/>
                <w:color w:val="auto"/>
                <w:szCs w:val="21"/>
              </w:rPr>
            </w:pPr>
          </w:p>
        </w:tc>
        <w:tc>
          <w:tcPr>
            <w:tcW w:w="860" w:type="dxa"/>
            <w:vAlign w:val="center"/>
          </w:tcPr>
          <w:p w14:paraId="364FF6DB">
            <w:pPr>
              <w:pStyle w:val="33"/>
              <w:rPr>
                <w:rFonts w:eastAsia="等线" w:cs="Times New Roman"/>
                <w:color w:val="auto"/>
                <w:szCs w:val="21"/>
              </w:rPr>
            </w:pPr>
          </w:p>
        </w:tc>
        <w:tc>
          <w:tcPr>
            <w:tcW w:w="824" w:type="dxa"/>
            <w:vAlign w:val="center"/>
          </w:tcPr>
          <w:p w14:paraId="34BDF9D0">
            <w:pPr>
              <w:pStyle w:val="33"/>
              <w:rPr>
                <w:rFonts w:eastAsia="等线" w:cs="Times New Roman"/>
                <w:color w:val="auto"/>
                <w:szCs w:val="21"/>
              </w:rPr>
            </w:pPr>
          </w:p>
        </w:tc>
        <w:tc>
          <w:tcPr>
            <w:tcW w:w="761" w:type="dxa"/>
            <w:vAlign w:val="center"/>
          </w:tcPr>
          <w:p w14:paraId="77257AA0">
            <w:pPr>
              <w:pStyle w:val="33"/>
              <w:rPr>
                <w:rFonts w:eastAsia="等线" w:cs="Times New Roman"/>
                <w:color w:val="auto"/>
                <w:szCs w:val="21"/>
              </w:rPr>
            </w:pPr>
          </w:p>
        </w:tc>
        <w:tc>
          <w:tcPr>
            <w:tcW w:w="633" w:type="dxa"/>
            <w:vMerge w:val="continue"/>
            <w:vAlign w:val="center"/>
          </w:tcPr>
          <w:p w14:paraId="73DE32B3">
            <w:pPr>
              <w:pStyle w:val="33"/>
              <w:rPr>
                <w:color w:val="auto"/>
              </w:rPr>
            </w:pPr>
          </w:p>
        </w:tc>
        <w:tc>
          <w:tcPr>
            <w:tcW w:w="634" w:type="dxa"/>
            <w:vMerge w:val="continue"/>
            <w:vAlign w:val="center"/>
          </w:tcPr>
          <w:p w14:paraId="2E4BF07E">
            <w:pPr>
              <w:pStyle w:val="33"/>
              <w:rPr>
                <w:color w:val="auto"/>
              </w:rPr>
            </w:pPr>
          </w:p>
        </w:tc>
        <w:tc>
          <w:tcPr>
            <w:tcW w:w="633" w:type="dxa"/>
            <w:vMerge w:val="continue"/>
            <w:vAlign w:val="center"/>
          </w:tcPr>
          <w:p w14:paraId="3255E82B">
            <w:pPr>
              <w:pStyle w:val="33"/>
              <w:rPr>
                <w:color w:val="auto"/>
              </w:rPr>
            </w:pPr>
          </w:p>
        </w:tc>
        <w:tc>
          <w:tcPr>
            <w:tcW w:w="634" w:type="dxa"/>
            <w:vMerge w:val="continue"/>
            <w:vAlign w:val="center"/>
          </w:tcPr>
          <w:p w14:paraId="24B87DA8">
            <w:pPr>
              <w:pStyle w:val="33"/>
              <w:rPr>
                <w:color w:val="auto"/>
              </w:rPr>
            </w:pPr>
          </w:p>
        </w:tc>
        <w:tc>
          <w:tcPr>
            <w:tcW w:w="633" w:type="dxa"/>
            <w:vMerge w:val="continue"/>
            <w:vAlign w:val="center"/>
          </w:tcPr>
          <w:p w14:paraId="54B96D2C">
            <w:pPr>
              <w:pStyle w:val="33"/>
              <w:rPr>
                <w:color w:val="auto"/>
              </w:rPr>
            </w:pPr>
          </w:p>
        </w:tc>
        <w:tc>
          <w:tcPr>
            <w:tcW w:w="634" w:type="dxa"/>
            <w:vMerge w:val="continue"/>
            <w:vAlign w:val="center"/>
          </w:tcPr>
          <w:p w14:paraId="689E1456">
            <w:pPr>
              <w:pStyle w:val="33"/>
              <w:rPr>
                <w:color w:val="auto"/>
              </w:rPr>
            </w:pPr>
          </w:p>
        </w:tc>
      </w:tr>
    </w:tbl>
    <w:p w14:paraId="3705414B">
      <w:pPr>
        <w:ind w:firstLine="480"/>
        <w:rPr>
          <w:color w:val="auto"/>
        </w:rPr>
        <w:sectPr>
          <w:pgSz w:w="16838" w:h="11906" w:orient="landscape"/>
          <w:pgMar w:top="1418" w:right="1418" w:bottom="1418" w:left="1418" w:header="851" w:footer="850" w:gutter="0"/>
          <w:cols w:space="425" w:num="1"/>
          <w:docGrid w:type="lines" w:linePitch="326" w:charSpace="0"/>
        </w:sectPr>
      </w:pPr>
    </w:p>
    <w:p w14:paraId="4C7D1379">
      <w:pPr>
        <w:pStyle w:val="7"/>
        <w:rPr>
          <w:color w:val="auto"/>
        </w:rPr>
      </w:pPr>
      <w:r>
        <w:rPr>
          <w:rFonts w:hint="eastAsia"/>
          <w:color w:val="auto"/>
        </w:rPr>
        <w:t>T</w:t>
      </w:r>
      <w:r>
        <w:rPr>
          <w:color w:val="auto"/>
        </w:rPr>
        <w:t>1</w:t>
      </w:r>
      <w:r>
        <w:rPr>
          <w:rFonts w:hint="eastAsia"/>
          <w:color w:val="auto"/>
        </w:rPr>
        <w:t xml:space="preserve">土壤监测结果表（续表） </w:t>
      </w:r>
      <w:r>
        <w:rPr>
          <w:color w:val="auto"/>
        </w:rPr>
        <w:t xml:space="preserve"> </w:t>
      </w:r>
      <w:r>
        <w:rPr>
          <w:rFonts w:hint="eastAsia"/>
          <w:color w:val="auto"/>
        </w:rPr>
        <w:t>单位：mg</w:t>
      </w:r>
      <w:r>
        <w:rPr>
          <w:color w:val="auto"/>
        </w:rPr>
        <w:t>/</w:t>
      </w:r>
      <w:r>
        <w:rPr>
          <w:rFonts w:hint="eastAsia"/>
          <w:color w:val="auto"/>
        </w:rPr>
        <w:t>kg</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1"/>
        <w:gridCol w:w="1427"/>
        <w:gridCol w:w="1422"/>
        <w:gridCol w:w="1422"/>
        <w:gridCol w:w="1422"/>
        <w:gridCol w:w="1422"/>
        <w:gridCol w:w="1422"/>
        <w:gridCol w:w="1422"/>
        <w:gridCol w:w="1422"/>
        <w:gridCol w:w="1416"/>
      </w:tblGrid>
      <w:tr w14:paraId="67490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pct"/>
            <w:gridSpan w:val="2"/>
            <w:vMerge w:val="restart"/>
            <w:vAlign w:val="center"/>
          </w:tcPr>
          <w:p w14:paraId="7560E1D2">
            <w:pPr>
              <w:pStyle w:val="33"/>
              <w:rPr>
                <w:color w:val="auto"/>
              </w:rPr>
            </w:pPr>
            <w:r>
              <w:rPr>
                <w:color w:val="auto"/>
              </w:rPr>
              <w:t>监测因子</w:t>
            </w:r>
          </w:p>
        </w:tc>
        <w:tc>
          <w:tcPr>
            <w:tcW w:w="1500" w:type="pct"/>
            <w:gridSpan w:val="3"/>
          </w:tcPr>
          <w:p w14:paraId="20C41F77">
            <w:pPr>
              <w:pStyle w:val="33"/>
              <w:rPr>
                <w:color w:val="auto"/>
              </w:rPr>
            </w:pPr>
            <w:r>
              <w:rPr>
                <w:rFonts w:hint="eastAsia"/>
                <w:color w:val="auto"/>
              </w:rPr>
              <w:t>T</w:t>
            </w:r>
            <w:r>
              <w:rPr>
                <w:color w:val="auto"/>
              </w:rPr>
              <w:t>1</w:t>
            </w:r>
          </w:p>
        </w:tc>
        <w:tc>
          <w:tcPr>
            <w:tcW w:w="1000" w:type="pct"/>
            <w:gridSpan w:val="2"/>
            <w:vMerge w:val="restart"/>
            <w:vAlign w:val="center"/>
          </w:tcPr>
          <w:p w14:paraId="1EF7DA8B">
            <w:pPr>
              <w:pStyle w:val="33"/>
              <w:rPr>
                <w:color w:val="auto"/>
              </w:rPr>
            </w:pPr>
            <w:r>
              <w:rPr>
                <w:color w:val="auto"/>
              </w:rPr>
              <w:t>监测因子</w:t>
            </w:r>
          </w:p>
        </w:tc>
        <w:tc>
          <w:tcPr>
            <w:tcW w:w="1498" w:type="pct"/>
            <w:gridSpan w:val="3"/>
          </w:tcPr>
          <w:p w14:paraId="2587D6D2">
            <w:pPr>
              <w:pStyle w:val="33"/>
              <w:rPr>
                <w:color w:val="auto"/>
              </w:rPr>
            </w:pPr>
            <w:r>
              <w:rPr>
                <w:rFonts w:hint="eastAsia"/>
                <w:color w:val="auto"/>
              </w:rPr>
              <w:t>T</w:t>
            </w:r>
            <w:r>
              <w:rPr>
                <w:color w:val="auto"/>
              </w:rPr>
              <w:t>1</w:t>
            </w:r>
          </w:p>
        </w:tc>
      </w:tr>
      <w:tr w14:paraId="70FB8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pct"/>
            <w:gridSpan w:val="2"/>
            <w:vMerge w:val="continue"/>
            <w:vAlign w:val="center"/>
          </w:tcPr>
          <w:p w14:paraId="775EA648">
            <w:pPr>
              <w:pStyle w:val="33"/>
              <w:rPr>
                <w:color w:val="auto"/>
              </w:rPr>
            </w:pPr>
          </w:p>
        </w:tc>
        <w:tc>
          <w:tcPr>
            <w:tcW w:w="500" w:type="pct"/>
            <w:vAlign w:val="center"/>
          </w:tcPr>
          <w:p w14:paraId="051E0388">
            <w:pPr>
              <w:pStyle w:val="33"/>
              <w:rPr>
                <w:color w:val="auto"/>
              </w:rPr>
            </w:pPr>
            <w:r>
              <w:rPr>
                <w:rFonts w:eastAsia="等线"/>
                <w:color w:val="auto"/>
              </w:rPr>
              <w:t>0~0.5m</w:t>
            </w:r>
          </w:p>
        </w:tc>
        <w:tc>
          <w:tcPr>
            <w:tcW w:w="500" w:type="pct"/>
            <w:vAlign w:val="center"/>
          </w:tcPr>
          <w:p w14:paraId="6B7A371E">
            <w:pPr>
              <w:pStyle w:val="33"/>
              <w:rPr>
                <w:color w:val="auto"/>
              </w:rPr>
            </w:pPr>
            <w:r>
              <w:rPr>
                <w:rFonts w:eastAsia="等线"/>
                <w:color w:val="auto"/>
              </w:rPr>
              <w:t>0.5~1.5m</w:t>
            </w:r>
          </w:p>
        </w:tc>
        <w:tc>
          <w:tcPr>
            <w:tcW w:w="500" w:type="pct"/>
            <w:vAlign w:val="center"/>
          </w:tcPr>
          <w:p w14:paraId="4AA17B60">
            <w:pPr>
              <w:pStyle w:val="33"/>
              <w:rPr>
                <w:color w:val="auto"/>
              </w:rPr>
            </w:pPr>
            <w:r>
              <w:rPr>
                <w:rFonts w:eastAsia="等线"/>
                <w:color w:val="auto"/>
              </w:rPr>
              <w:t>1.5~3.0m</w:t>
            </w:r>
          </w:p>
        </w:tc>
        <w:tc>
          <w:tcPr>
            <w:tcW w:w="1000" w:type="pct"/>
            <w:gridSpan w:val="2"/>
            <w:vMerge w:val="continue"/>
            <w:vAlign w:val="center"/>
          </w:tcPr>
          <w:p w14:paraId="3006E6EB">
            <w:pPr>
              <w:pStyle w:val="33"/>
              <w:rPr>
                <w:color w:val="auto"/>
              </w:rPr>
            </w:pPr>
          </w:p>
        </w:tc>
        <w:tc>
          <w:tcPr>
            <w:tcW w:w="500" w:type="pct"/>
            <w:vAlign w:val="center"/>
          </w:tcPr>
          <w:p w14:paraId="13D5A56F">
            <w:pPr>
              <w:pStyle w:val="33"/>
              <w:rPr>
                <w:color w:val="auto"/>
              </w:rPr>
            </w:pPr>
            <w:r>
              <w:rPr>
                <w:rFonts w:eastAsia="等线"/>
                <w:color w:val="auto"/>
              </w:rPr>
              <w:t>0~0.5m</w:t>
            </w:r>
          </w:p>
        </w:tc>
        <w:tc>
          <w:tcPr>
            <w:tcW w:w="500" w:type="pct"/>
            <w:vAlign w:val="center"/>
          </w:tcPr>
          <w:p w14:paraId="0638418F">
            <w:pPr>
              <w:pStyle w:val="33"/>
              <w:rPr>
                <w:color w:val="auto"/>
              </w:rPr>
            </w:pPr>
            <w:r>
              <w:rPr>
                <w:rFonts w:eastAsia="等线"/>
                <w:color w:val="auto"/>
              </w:rPr>
              <w:t>0.5~1.5m</w:t>
            </w:r>
          </w:p>
        </w:tc>
        <w:tc>
          <w:tcPr>
            <w:tcW w:w="498" w:type="pct"/>
            <w:vAlign w:val="center"/>
          </w:tcPr>
          <w:p w14:paraId="3737C133">
            <w:pPr>
              <w:pStyle w:val="33"/>
              <w:rPr>
                <w:color w:val="auto"/>
              </w:rPr>
            </w:pPr>
            <w:r>
              <w:rPr>
                <w:rFonts w:eastAsia="等线"/>
                <w:color w:val="auto"/>
              </w:rPr>
              <w:t>1.5~3.0m</w:t>
            </w:r>
          </w:p>
        </w:tc>
      </w:tr>
      <w:tr w14:paraId="4766A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500" w:type="pct"/>
            <w:vMerge w:val="restart"/>
            <w:vAlign w:val="center"/>
          </w:tcPr>
          <w:p w14:paraId="7CAFD768">
            <w:pPr>
              <w:pStyle w:val="33"/>
              <w:rPr>
                <w:color w:val="auto"/>
              </w:rPr>
            </w:pPr>
            <w:r>
              <w:rPr>
                <w:color w:val="auto"/>
              </w:rPr>
              <w:t>氯甲烷</w:t>
            </w:r>
          </w:p>
        </w:tc>
        <w:tc>
          <w:tcPr>
            <w:tcW w:w="502" w:type="pct"/>
            <w:vAlign w:val="center"/>
          </w:tcPr>
          <w:p w14:paraId="00E7B363">
            <w:pPr>
              <w:pStyle w:val="33"/>
              <w:rPr>
                <w:color w:val="auto"/>
              </w:rPr>
            </w:pPr>
            <w:r>
              <w:rPr>
                <w:color w:val="auto"/>
              </w:rPr>
              <w:t>监测值</w:t>
            </w:r>
          </w:p>
        </w:tc>
        <w:tc>
          <w:tcPr>
            <w:tcW w:w="500" w:type="pct"/>
            <w:vAlign w:val="center"/>
          </w:tcPr>
          <w:p w14:paraId="53D98128">
            <w:pPr>
              <w:pStyle w:val="33"/>
              <w:rPr>
                <w:color w:val="auto"/>
              </w:rPr>
            </w:pPr>
          </w:p>
        </w:tc>
        <w:tc>
          <w:tcPr>
            <w:tcW w:w="500" w:type="pct"/>
            <w:vAlign w:val="center"/>
          </w:tcPr>
          <w:p w14:paraId="5A3CAB1B">
            <w:pPr>
              <w:pStyle w:val="33"/>
              <w:rPr>
                <w:color w:val="auto"/>
              </w:rPr>
            </w:pPr>
          </w:p>
        </w:tc>
        <w:tc>
          <w:tcPr>
            <w:tcW w:w="500" w:type="pct"/>
            <w:vAlign w:val="center"/>
          </w:tcPr>
          <w:p w14:paraId="647D0C5D">
            <w:pPr>
              <w:pStyle w:val="33"/>
              <w:rPr>
                <w:color w:val="auto"/>
              </w:rPr>
            </w:pPr>
          </w:p>
        </w:tc>
        <w:tc>
          <w:tcPr>
            <w:tcW w:w="500" w:type="pct"/>
            <w:vMerge w:val="restart"/>
            <w:vAlign w:val="center"/>
          </w:tcPr>
          <w:p w14:paraId="2C5038A8">
            <w:pPr>
              <w:pStyle w:val="33"/>
              <w:rPr>
                <w:color w:val="auto"/>
              </w:rPr>
            </w:pPr>
            <w:r>
              <w:rPr>
                <w:color w:val="auto"/>
              </w:rPr>
              <w:t>乙苯</w:t>
            </w:r>
          </w:p>
        </w:tc>
        <w:tc>
          <w:tcPr>
            <w:tcW w:w="500" w:type="pct"/>
            <w:vAlign w:val="center"/>
          </w:tcPr>
          <w:p w14:paraId="1C9A5BF3">
            <w:pPr>
              <w:pStyle w:val="33"/>
              <w:rPr>
                <w:color w:val="auto"/>
              </w:rPr>
            </w:pPr>
            <w:r>
              <w:rPr>
                <w:color w:val="auto"/>
              </w:rPr>
              <w:t>监测值</w:t>
            </w:r>
          </w:p>
        </w:tc>
        <w:tc>
          <w:tcPr>
            <w:tcW w:w="500" w:type="pct"/>
            <w:vAlign w:val="center"/>
          </w:tcPr>
          <w:p w14:paraId="68C647BA">
            <w:pPr>
              <w:pStyle w:val="33"/>
              <w:rPr>
                <w:color w:val="auto"/>
              </w:rPr>
            </w:pPr>
          </w:p>
        </w:tc>
        <w:tc>
          <w:tcPr>
            <w:tcW w:w="500" w:type="pct"/>
            <w:vAlign w:val="center"/>
          </w:tcPr>
          <w:p w14:paraId="19BA8B3B">
            <w:pPr>
              <w:pStyle w:val="33"/>
              <w:rPr>
                <w:color w:val="auto"/>
              </w:rPr>
            </w:pPr>
          </w:p>
        </w:tc>
        <w:tc>
          <w:tcPr>
            <w:tcW w:w="498" w:type="pct"/>
            <w:vAlign w:val="center"/>
          </w:tcPr>
          <w:p w14:paraId="247C160D">
            <w:pPr>
              <w:pStyle w:val="33"/>
              <w:rPr>
                <w:color w:val="auto"/>
              </w:rPr>
            </w:pPr>
          </w:p>
        </w:tc>
      </w:tr>
      <w:tr w14:paraId="55705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48EF5C1A">
            <w:pPr>
              <w:pStyle w:val="33"/>
              <w:rPr>
                <w:color w:val="auto"/>
              </w:rPr>
            </w:pPr>
          </w:p>
        </w:tc>
        <w:tc>
          <w:tcPr>
            <w:tcW w:w="502" w:type="pct"/>
            <w:vAlign w:val="center"/>
          </w:tcPr>
          <w:p w14:paraId="21AD3600">
            <w:pPr>
              <w:pStyle w:val="33"/>
              <w:rPr>
                <w:color w:val="auto"/>
              </w:rPr>
            </w:pPr>
            <w:r>
              <w:rPr>
                <w:color w:val="auto"/>
              </w:rPr>
              <w:t>筛选值</w:t>
            </w:r>
          </w:p>
        </w:tc>
        <w:tc>
          <w:tcPr>
            <w:tcW w:w="500" w:type="pct"/>
            <w:vAlign w:val="center"/>
          </w:tcPr>
          <w:p w14:paraId="0CFD6EB4">
            <w:pPr>
              <w:pStyle w:val="33"/>
              <w:rPr>
                <w:color w:val="auto"/>
              </w:rPr>
            </w:pPr>
          </w:p>
        </w:tc>
        <w:tc>
          <w:tcPr>
            <w:tcW w:w="500" w:type="pct"/>
            <w:vAlign w:val="center"/>
          </w:tcPr>
          <w:p w14:paraId="718C948D">
            <w:pPr>
              <w:pStyle w:val="33"/>
              <w:rPr>
                <w:color w:val="auto"/>
              </w:rPr>
            </w:pPr>
          </w:p>
        </w:tc>
        <w:tc>
          <w:tcPr>
            <w:tcW w:w="500" w:type="pct"/>
            <w:vAlign w:val="center"/>
          </w:tcPr>
          <w:p w14:paraId="392BE906">
            <w:pPr>
              <w:pStyle w:val="33"/>
              <w:rPr>
                <w:color w:val="auto"/>
              </w:rPr>
            </w:pPr>
          </w:p>
        </w:tc>
        <w:tc>
          <w:tcPr>
            <w:tcW w:w="500" w:type="pct"/>
            <w:vMerge w:val="continue"/>
            <w:vAlign w:val="center"/>
          </w:tcPr>
          <w:p w14:paraId="64975223">
            <w:pPr>
              <w:pStyle w:val="33"/>
              <w:rPr>
                <w:color w:val="auto"/>
              </w:rPr>
            </w:pPr>
          </w:p>
        </w:tc>
        <w:tc>
          <w:tcPr>
            <w:tcW w:w="500" w:type="pct"/>
            <w:vAlign w:val="center"/>
          </w:tcPr>
          <w:p w14:paraId="1C36E315">
            <w:pPr>
              <w:pStyle w:val="33"/>
              <w:rPr>
                <w:color w:val="auto"/>
              </w:rPr>
            </w:pPr>
            <w:r>
              <w:rPr>
                <w:color w:val="auto"/>
              </w:rPr>
              <w:t>筛选值</w:t>
            </w:r>
          </w:p>
        </w:tc>
        <w:tc>
          <w:tcPr>
            <w:tcW w:w="500" w:type="pct"/>
            <w:vAlign w:val="center"/>
          </w:tcPr>
          <w:p w14:paraId="00B2525B">
            <w:pPr>
              <w:pStyle w:val="33"/>
              <w:rPr>
                <w:color w:val="auto"/>
              </w:rPr>
            </w:pPr>
          </w:p>
        </w:tc>
        <w:tc>
          <w:tcPr>
            <w:tcW w:w="500" w:type="pct"/>
            <w:vAlign w:val="center"/>
          </w:tcPr>
          <w:p w14:paraId="540E299A">
            <w:pPr>
              <w:pStyle w:val="33"/>
              <w:rPr>
                <w:color w:val="auto"/>
              </w:rPr>
            </w:pPr>
          </w:p>
        </w:tc>
        <w:tc>
          <w:tcPr>
            <w:tcW w:w="498" w:type="pct"/>
            <w:vAlign w:val="center"/>
          </w:tcPr>
          <w:p w14:paraId="3E5EC9CB">
            <w:pPr>
              <w:pStyle w:val="33"/>
              <w:rPr>
                <w:color w:val="auto"/>
              </w:rPr>
            </w:pPr>
          </w:p>
        </w:tc>
      </w:tr>
      <w:tr w14:paraId="79F95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1939B06">
            <w:pPr>
              <w:pStyle w:val="33"/>
              <w:rPr>
                <w:color w:val="auto"/>
              </w:rPr>
            </w:pPr>
          </w:p>
        </w:tc>
        <w:tc>
          <w:tcPr>
            <w:tcW w:w="502" w:type="pct"/>
            <w:vAlign w:val="center"/>
          </w:tcPr>
          <w:p w14:paraId="26AF1278">
            <w:pPr>
              <w:pStyle w:val="33"/>
              <w:rPr>
                <w:color w:val="auto"/>
              </w:rPr>
            </w:pPr>
            <w:r>
              <w:rPr>
                <w:color w:val="auto"/>
              </w:rPr>
              <w:t>标准指数</w:t>
            </w:r>
          </w:p>
        </w:tc>
        <w:tc>
          <w:tcPr>
            <w:tcW w:w="500" w:type="pct"/>
            <w:vAlign w:val="center"/>
          </w:tcPr>
          <w:p w14:paraId="25643E8B">
            <w:pPr>
              <w:pStyle w:val="33"/>
              <w:rPr>
                <w:color w:val="auto"/>
              </w:rPr>
            </w:pPr>
          </w:p>
        </w:tc>
        <w:tc>
          <w:tcPr>
            <w:tcW w:w="500" w:type="pct"/>
            <w:vAlign w:val="center"/>
          </w:tcPr>
          <w:p w14:paraId="11C00FC6">
            <w:pPr>
              <w:pStyle w:val="33"/>
              <w:rPr>
                <w:color w:val="auto"/>
              </w:rPr>
            </w:pPr>
          </w:p>
        </w:tc>
        <w:tc>
          <w:tcPr>
            <w:tcW w:w="500" w:type="pct"/>
            <w:vAlign w:val="center"/>
          </w:tcPr>
          <w:p w14:paraId="1029D807">
            <w:pPr>
              <w:pStyle w:val="33"/>
              <w:rPr>
                <w:color w:val="auto"/>
              </w:rPr>
            </w:pPr>
          </w:p>
        </w:tc>
        <w:tc>
          <w:tcPr>
            <w:tcW w:w="500" w:type="pct"/>
            <w:vMerge w:val="continue"/>
            <w:vAlign w:val="center"/>
          </w:tcPr>
          <w:p w14:paraId="305147C1">
            <w:pPr>
              <w:pStyle w:val="33"/>
              <w:rPr>
                <w:color w:val="auto"/>
              </w:rPr>
            </w:pPr>
          </w:p>
        </w:tc>
        <w:tc>
          <w:tcPr>
            <w:tcW w:w="500" w:type="pct"/>
            <w:vAlign w:val="center"/>
          </w:tcPr>
          <w:p w14:paraId="393A8E55">
            <w:pPr>
              <w:pStyle w:val="33"/>
              <w:rPr>
                <w:color w:val="auto"/>
              </w:rPr>
            </w:pPr>
            <w:r>
              <w:rPr>
                <w:color w:val="auto"/>
              </w:rPr>
              <w:t>标准指数</w:t>
            </w:r>
          </w:p>
        </w:tc>
        <w:tc>
          <w:tcPr>
            <w:tcW w:w="500" w:type="pct"/>
            <w:vAlign w:val="center"/>
          </w:tcPr>
          <w:p w14:paraId="167316D7">
            <w:pPr>
              <w:pStyle w:val="33"/>
              <w:rPr>
                <w:color w:val="auto"/>
              </w:rPr>
            </w:pPr>
          </w:p>
        </w:tc>
        <w:tc>
          <w:tcPr>
            <w:tcW w:w="500" w:type="pct"/>
            <w:vAlign w:val="center"/>
          </w:tcPr>
          <w:p w14:paraId="58400647">
            <w:pPr>
              <w:pStyle w:val="33"/>
              <w:rPr>
                <w:color w:val="auto"/>
              </w:rPr>
            </w:pPr>
          </w:p>
        </w:tc>
        <w:tc>
          <w:tcPr>
            <w:tcW w:w="498" w:type="pct"/>
            <w:vAlign w:val="center"/>
          </w:tcPr>
          <w:p w14:paraId="2B3DB945">
            <w:pPr>
              <w:pStyle w:val="33"/>
              <w:rPr>
                <w:color w:val="auto"/>
              </w:rPr>
            </w:pPr>
          </w:p>
        </w:tc>
      </w:tr>
      <w:tr w14:paraId="6BE12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6EE4312B">
            <w:pPr>
              <w:pStyle w:val="33"/>
              <w:rPr>
                <w:color w:val="auto"/>
              </w:rPr>
            </w:pPr>
          </w:p>
        </w:tc>
        <w:tc>
          <w:tcPr>
            <w:tcW w:w="502" w:type="pct"/>
            <w:vAlign w:val="center"/>
          </w:tcPr>
          <w:p w14:paraId="433F2ABE">
            <w:pPr>
              <w:pStyle w:val="33"/>
              <w:rPr>
                <w:color w:val="auto"/>
              </w:rPr>
            </w:pPr>
            <w:r>
              <w:rPr>
                <w:color w:val="auto"/>
              </w:rPr>
              <w:t>超标倍数</w:t>
            </w:r>
          </w:p>
        </w:tc>
        <w:tc>
          <w:tcPr>
            <w:tcW w:w="500" w:type="pct"/>
            <w:vAlign w:val="center"/>
          </w:tcPr>
          <w:p w14:paraId="6957990E">
            <w:pPr>
              <w:pStyle w:val="33"/>
              <w:rPr>
                <w:color w:val="auto"/>
              </w:rPr>
            </w:pPr>
          </w:p>
        </w:tc>
        <w:tc>
          <w:tcPr>
            <w:tcW w:w="500" w:type="pct"/>
            <w:vAlign w:val="center"/>
          </w:tcPr>
          <w:p w14:paraId="6097ACB7">
            <w:pPr>
              <w:pStyle w:val="33"/>
              <w:rPr>
                <w:color w:val="auto"/>
              </w:rPr>
            </w:pPr>
          </w:p>
        </w:tc>
        <w:tc>
          <w:tcPr>
            <w:tcW w:w="500" w:type="pct"/>
            <w:vAlign w:val="center"/>
          </w:tcPr>
          <w:p w14:paraId="35C9C145">
            <w:pPr>
              <w:pStyle w:val="33"/>
              <w:rPr>
                <w:color w:val="auto"/>
              </w:rPr>
            </w:pPr>
          </w:p>
        </w:tc>
        <w:tc>
          <w:tcPr>
            <w:tcW w:w="500" w:type="pct"/>
            <w:vMerge w:val="continue"/>
            <w:vAlign w:val="center"/>
          </w:tcPr>
          <w:p w14:paraId="18085746">
            <w:pPr>
              <w:pStyle w:val="33"/>
              <w:rPr>
                <w:color w:val="auto"/>
              </w:rPr>
            </w:pPr>
          </w:p>
        </w:tc>
        <w:tc>
          <w:tcPr>
            <w:tcW w:w="500" w:type="pct"/>
            <w:vAlign w:val="center"/>
          </w:tcPr>
          <w:p w14:paraId="1308DECA">
            <w:pPr>
              <w:pStyle w:val="33"/>
              <w:rPr>
                <w:color w:val="auto"/>
              </w:rPr>
            </w:pPr>
            <w:r>
              <w:rPr>
                <w:color w:val="auto"/>
              </w:rPr>
              <w:t>超标倍数</w:t>
            </w:r>
          </w:p>
        </w:tc>
        <w:tc>
          <w:tcPr>
            <w:tcW w:w="500" w:type="pct"/>
            <w:vAlign w:val="center"/>
          </w:tcPr>
          <w:p w14:paraId="5657B45D">
            <w:pPr>
              <w:pStyle w:val="33"/>
              <w:rPr>
                <w:color w:val="auto"/>
              </w:rPr>
            </w:pPr>
          </w:p>
        </w:tc>
        <w:tc>
          <w:tcPr>
            <w:tcW w:w="500" w:type="pct"/>
            <w:vAlign w:val="center"/>
          </w:tcPr>
          <w:p w14:paraId="7DAF2A79">
            <w:pPr>
              <w:pStyle w:val="33"/>
              <w:rPr>
                <w:color w:val="auto"/>
              </w:rPr>
            </w:pPr>
          </w:p>
        </w:tc>
        <w:tc>
          <w:tcPr>
            <w:tcW w:w="498" w:type="pct"/>
            <w:vAlign w:val="center"/>
          </w:tcPr>
          <w:p w14:paraId="43FD6A3B">
            <w:pPr>
              <w:pStyle w:val="33"/>
              <w:rPr>
                <w:color w:val="auto"/>
              </w:rPr>
            </w:pPr>
          </w:p>
        </w:tc>
      </w:tr>
      <w:tr w14:paraId="2F735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restart"/>
            <w:vAlign w:val="center"/>
          </w:tcPr>
          <w:p w14:paraId="3698F736">
            <w:pPr>
              <w:pStyle w:val="33"/>
              <w:rPr>
                <w:color w:val="auto"/>
              </w:rPr>
            </w:pPr>
            <w:r>
              <w:rPr>
                <w:color w:val="auto"/>
              </w:rPr>
              <w:t>氯乙烯</w:t>
            </w:r>
          </w:p>
        </w:tc>
        <w:tc>
          <w:tcPr>
            <w:tcW w:w="502" w:type="pct"/>
            <w:vAlign w:val="center"/>
          </w:tcPr>
          <w:p w14:paraId="255098FA">
            <w:pPr>
              <w:pStyle w:val="33"/>
              <w:rPr>
                <w:color w:val="auto"/>
              </w:rPr>
            </w:pPr>
            <w:r>
              <w:rPr>
                <w:color w:val="auto"/>
              </w:rPr>
              <w:t>监测值</w:t>
            </w:r>
          </w:p>
        </w:tc>
        <w:tc>
          <w:tcPr>
            <w:tcW w:w="500" w:type="pct"/>
            <w:vAlign w:val="center"/>
          </w:tcPr>
          <w:p w14:paraId="200977CE">
            <w:pPr>
              <w:pStyle w:val="33"/>
              <w:rPr>
                <w:color w:val="auto"/>
              </w:rPr>
            </w:pPr>
          </w:p>
        </w:tc>
        <w:tc>
          <w:tcPr>
            <w:tcW w:w="500" w:type="pct"/>
            <w:vAlign w:val="center"/>
          </w:tcPr>
          <w:p w14:paraId="2645CA2B">
            <w:pPr>
              <w:pStyle w:val="33"/>
              <w:rPr>
                <w:color w:val="auto"/>
              </w:rPr>
            </w:pPr>
          </w:p>
        </w:tc>
        <w:tc>
          <w:tcPr>
            <w:tcW w:w="500" w:type="pct"/>
            <w:vAlign w:val="center"/>
          </w:tcPr>
          <w:p w14:paraId="5E698D2A">
            <w:pPr>
              <w:pStyle w:val="33"/>
              <w:rPr>
                <w:color w:val="auto"/>
              </w:rPr>
            </w:pPr>
          </w:p>
        </w:tc>
        <w:tc>
          <w:tcPr>
            <w:tcW w:w="500" w:type="pct"/>
            <w:vMerge w:val="restart"/>
            <w:vAlign w:val="center"/>
          </w:tcPr>
          <w:p w14:paraId="12597148">
            <w:pPr>
              <w:pStyle w:val="33"/>
              <w:rPr>
                <w:color w:val="auto"/>
              </w:rPr>
            </w:pPr>
            <w:r>
              <w:rPr>
                <w:color w:val="auto"/>
              </w:rPr>
              <w:t>间,对-二甲苯</w:t>
            </w:r>
          </w:p>
        </w:tc>
        <w:tc>
          <w:tcPr>
            <w:tcW w:w="500" w:type="pct"/>
            <w:vAlign w:val="center"/>
          </w:tcPr>
          <w:p w14:paraId="0C5B95A6">
            <w:pPr>
              <w:pStyle w:val="33"/>
              <w:rPr>
                <w:color w:val="auto"/>
              </w:rPr>
            </w:pPr>
            <w:r>
              <w:rPr>
                <w:color w:val="auto"/>
              </w:rPr>
              <w:t>监测值</w:t>
            </w:r>
          </w:p>
        </w:tc>
        <w:tc>
          <w:tcPr>
            <w:tcW w:w="500" w:type="pct"/>
            <w:vAlign w:val="center"/>
          </w:tcPr>
          <w:p w14:paraId="3088C784">
            <w:pPr>
              <w:pStyle w:val="33"/>
              <w:rPr>
                <w:color w:val="auto"/>
              </w:rPr>
            </w:pPr>
          </w:p>
        </w:tc>
        <w:tc>
          <w:tcPr>
            <w:tcW w:w="500" w:type="pct"/>
            <w:vAlign w:val="center"/>
          </w:tcPr>
          <w:p w14:paraId="0A5ACE00">
            <w:pPr>
              <w:pStyle w:val="33"/>
              <w:rPr>
                <w:color w:val="auto"/>
              </w:rPr>
            </w:pPr>
          </w:p>
        </w:tc>
        <w:tc>
          <w:tcPr>
            <w:tcW w:w="498" w:type="pct"/>
            <w:vAlign w:val="center"/>
          </w:tcPr>
          <w:p w14:paraId="589D8E92">
            <w:pPr>
              <w:pStyle w:val="33"/>
              <w:rPr>
                <w:color w:val="auto"/>
              </w:rPr>
            </w:pPr>
          </w:p>
        </w:tc>
      </w:tr>
      <w:tr w14:paraId="40B9A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76BEB03A">
            <w:pPr>
              <w:pStyle w:val="33"/>
              <w:rPr>
                <w:color w:val="auto"/>
              </w:rPr>
            </w:pPr>
          </w:p>
        </w:tc>
        <w:tc>
          <w:tcPr>
            <w:tcW w:w="502" w:type="pct"/>
            <w:vAlign w:val="center"/>
          </w:tcPr>
          <w:p w14:paraId="0C7B88C6">
            <w:pPr>
              <w:pStyle w:val="33"/>
              <w:rPr>
                <w:color w:val="auto"/>
              </w:rPr>
            </w:pPr>
            <w:r>
              <w:rPr>
                <w:color w:val="auto"/>
              </w:rPr>
              <w:t>筛选值</w:t>
            </w:r>
          </w:p>
        </w:tc>
        <w:tc>
          <w:tcPr>
            <w:tcW w:w="500" w:type="pct"/>
            <w:vAlign w:val="center"/>
          </w:tcPr>
          <w:p w14:paraId="7A3AD663">
            <w:pPr>
              <w:pStyle w:val="33"/>
              <w:rPr>
                <w:color w:val="auto"/>
              </w:rPr>
            </w:pPr>
          </w:p>
        </w:tc>
        <w:tc>
          <w:tcPr>
            <w:tcW w:w="500" w:type="pct"/>
            <w:vAlign w:val="center"/>
          </w:tcPr>
          <w:p w14:paraId="3E3F9897">
            <w:pPr>
              <w:pStyle w:val="33"/>
              <w:rPr>
                <w:color w:val="auto"/>
              </w:rPr>
            </w:pPr>
          </w:p>
        </w:tc>
        <w:tc>
          <w:tcPr>
            <w:tcW w:w="500" w:type="pct"/>
            <w:vAlign w:val="center"/>
          </w:tcPr>
          <w:p w14:paraId="28CD9FD0">
            <w:pPr>
              <w:pStyle w:val="33"/>
              <w:rPr>
                <w:color w:val="auto"/>
              </w:rPr>
            </w:pPr>
          </w:p>
        </w:tc>
        <w:tc>
          <w:tcPr>
            <w:tcW w:w="500" w:type="pct"/>
            <w:vMerge w:val="continue"/>
            <w:vAlign w:val="center"/>
          </w:tcPr>
          <w:p w14:paraId="7378C8EC">
            <w:pPr>
              <w:pStyle w:val="33"/>
              <w:rPr>
                <w:color w:val="auto"/>
              </w:rPr>
            </w:pPr>
          </w:p>
        </w:tc>
        <w:tc>
          <w:tcPr>
            <w:tcW w:w="500" w:type="pct"/>
            <w:vAlign w:val="center"/>
          </w:tcPr>
          <w:p w14:paraId="7BC1082E">
            <w:pPr>
              <w:pStyle w:val="33"/>
              <w:rPr>
                <w:color w:val="auto"/>
              </w:rPr>
            </w:pPr>
            <w:r>
              <w:rPr>
                <w:color w:val="auto"/>
              </w:rPr>
              <w:t>筛选值</w:t>
            </w:r>
          </w:p>
        </w:tc>
        <w:tc>
          <w:tcPr>
            <w:tcW w:w="500" w:type="pct"/>
            <w:vAlign w:val="center"/>
          </w:tcPr>
          <w:p w14:paraId="3763D60E">
            <w:pPr>
              <w:pStyle w:val="33"/>
              <w:rPr>
                <w:color w:val="auto"/>
              </w:rPr>
            </w:pPr>
          </w:p>
        </w:tc>
        <w:tc>
          <w:tcPr>
            <w:tcW w:w="500" w:type="pct"/>
            <w:vAlign w:val="center"/>
          </w:tcPr>
          <w:p w14:paraId="0C17AEFB">
            <w:pPr>
              <w:pStyle w:val="33"/>
              <w:rPr>
                <w:color w:val="auto"/>
              </w:rPr>
            </w:pPr>
          </w:p>
        </w:tc>
        <w:tc>
          <w:tcPr>
            <w:tcW w:w="498" w:type="pct"/>
            <w:vAlign w:val="center"/>
          </w:tcPr>
          <w:p w14:paraId="03A08923">
            <w:pPr>
              <w:pStyle w:val="33"/>
              <w:rPr>
                <w:color w:val="auto"/>
              </w:rPr>
            </w:pPr>
          </w:p>
        </w:tc>
      </w:tr>
      <w:tr w14:paraId="533B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E73B2F5">
            <w:pPr>
              <w:pStyle w:val="33"/>
              <w:rPr>
                <w:color w:val="auto"/>
              </w:rPr>
            </w:pPr>
          </w:p>
        </w:tc>
        <w:tc>
          <w:tcPr>
            <w:tcW w:w="502" w:type="pct"/>
            <w:vAlign w:val="center"/>
          </w:tcPr>
          <w:p w14:paraId="27A53B98">
            <w:pPr>
              <w:pStyle w:val="33"/>
              <w:rPr>
                <w:color w:val="auto"/>
              </w:rPr>
            </w:pPr>
            <w:r>
              <w:rPr>
                <w:color w:val="auto"/>
              </w:rPr>
              <w:t>标准指数</w:t>
            </w:r>
          </w:p>
        </w:tc>
        <w:tc>
          <w:tcPr>
            <w:tcW w:w="500" w:type="pct"/>
            <w:vAlign w:val="center"/>
          </w:tcPr>
          <w:p w14:paraId="08EC00DA">
            <w:pPr>
              <w:pStyle w:val="33"/>
              <w:rPr>
                <w:color w:val="auto"/>
              </w:rPr>
            </w:pPr>
          </w:p>
        </w:tc>
        <w:tc>
          <w:tcPr>
            <w:tcW w:w="500" w:type="pct"/>
            <w:vAlign w:val="center"/>
          </w:tcPr>
          <w:p w14:paraId="60E95B5F">
            <w:pPr>
              <w:pStyle w:val="33"/>
              <w:rPr>
                <w:color w:val="auto"/>
              </w:rPr>
            </w:pPr>
          </w:p>
        </w:tc>
        <w:tc>
          <w:tcPr>
            <w:tcW w:w="500" w:type="pct"/>
            <w:vAlign w:val="center"/>
          </w:tcPr>
          <w:p w14:paraId="736343D8">
            <w:pPr>
              <w:pStyle w:val="33"/>
              <w:rPr>
                <w:color w:val="auto"/>
              </w:rPr>
            </w:pPr>
          </w:p>
        </w:tc>
        <w:tc>
          <w:tcPr>
            <w:tcW w:w="500" w:type="pct"/>
            <w:vMerge w:val="continue"/>
            <w:vAlign w:val="center"/>
          </w:tcPr>
          <w:p w14:paraId="422EAABB">
            <w:pPr>
              <w:pStyle w:val="33"/>
              <w:rPr>
                <w:color w:val="auto"/>
              </w:rPr>
            </w:pPr>
          </w:p>
        </w:tc>
        <w:tc>
          <w:tcPr>
            <w:tcW w:w="500" w:type="pct"/>
            <w:vAlign w:val="center"/>
          </w:tcPr>
          <w:p w14:paraId="1358AC1E">
            <w:pPr>
              <w:pStyle w:val="33"/>
              <w:rPr>
                <w:color w:val="auto"/>
              </w:rPr>
            </w:pPr>
            <w:r>
              <w:rPr>
                <w:color w:val="auto"/>
              </w:rPr>
              <w:t>标准指数</w:t>
            </w:r>
          </w:p>
        </w:tc>
        <w:tc>
          <w:tcPr>
            <w:tcW w:w="500" w:type="pct"/>
            <w:vAlign w:val="center"/>
          </w:tcPr>
          <w:p w14:paraId="4BCFA8C1">
            <w:pPr>
              <w:pStyle w:val="33"/>
              <w:rPr>
                <w:color w:val="auto"/>
              </w:rPr>
            </w:pPr>
          </w:p>
        </w:tc>
        <w:tc>
          <w:tcPr>
            <w:tcW w:w="500" w:type="pct"/>
            <w:vAlign w:val="center"/>
          </w:tcPr>
          <w:p w14:paraId="7889D43E">
            <w:pPr>
              <w:pStyle w:val="33"/>
              <w:rPr>
                <w:color w:val="auto"/>
              </w:rPr>
            </w:pPr>
          </w:p>
        </w:tc>
        <w:tc>
          <w:tcPr>
            <w:tcW w:w="498" w:type="pct"/>
            <w:vAlign w:val="center"/>
          </w:tcPr>
          <w:p w14:paraId="5AA05073">
            <w:pPr>
              <w:pStyle w:val="33"/>
              <w:rPr>
                <w:color w:val="auto"/>
              </w:rPr>
            </w:pPr>
          </w:p>
        </w:tc>
      </w:tr>
      <w:tr w14:paraId="067B0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1EF0F224">
            <w:pPr>
              <w:pStyle w:val="33"/>
              <w:rPr>
                <w:color w:val="auto"/>
              </w:rPr>
            </w:pPr>
          </w:p>
        </w:tc>
        <w:tc>
          <w:tcPr>
            <w:tcW w:w="502" w:type="pct"/>
            <w:vAlign w:val="center"/>
          </w:tcPr>
          <w:p w14:paraId="1C861DAE">
            <w:pPr>
              <w:pStyle w:val="33"/>
              <w:rPr>
                <w:color w:val="auto"/>
              </w:rPr>
            </w:pPr>
            <w:r>
              <w:rPr>
                <w:color w:val="auto"/>
              </w:rPr>
              <w:t>超标倍数</w:t>
            </w:r>
          </w:p>
        </w:tc>
        <w:tc>
          <w:tcPr>
            <w:tcW w:w="500" w:type="pct"/>
            <w:vAlign w:val="center"/>
          </w:tcPr>
          <w:p w14:paraId="602D6471">
            <w:pPr>
              <w:pStyle w:val="33"/>
              <w:rPr>
                <w:color w:val="auto"/>
              </w:rPr>
            </w:pPr>
          </w:p>
        </w:tc>
        <w:tc>
          <w:tcPr>
            <w:tcW w:w="500" w:type="pct"/>
            <w:vAlign w:val="center"/>
          </w:tcPr>
          <w:p w14:paraId="487320C9">
            <w:pPr>
              <w:pStyle w:val="33"/>
              <w:rPr>
                <w:color w:val="auto"/>
              </w:rPr>
            </w:pPr>
          </w:p>
        </w:tc>
        <w:tc>
          <w:tcPr>
            <w:tcW w:w="500" w:type="pct"/>
            <w:vAlign w:val="center"/>
          </w:tcPr>
          <w:p w14:paraId="03BDA1C7">
            <w:pPr>
              <w:pStyle w:val="33"/>
              <w:rPr>
                <w:color w:val="auto"/>
              </w:rPr>
            </w:pPr>
          </w:p>
        </w:tc>
        <w:tc>
          <w:tcPr>
            <w:tcW w:w="500" w:type="pct"/>
            <w:vMerge w:val="continue"/>
            <w:vAlign w:val="center"/>
          </w:tcPr>
          <w:p w14:paraId="1CF41235">
            <w:pPr>
              <w:pStyle w:val="33"/>
              <w:rPr>
                <w:color w:val="auto"/>
              </w:rPr>
            </w:pPr>
          </w:p>
        </w:tc>
        <w:tc>
          <w:tcPr>
            <w:tcW w:w="500" w:type="pct"/>
            <w:vAlign w:val="center"/>
          </w:tcPr>
          <w:p w14:paraId="5A6B3699">
            <w:pPr>
              <w:pStyle w:val="33"/>
              <w:rPr>
                <w:color w:val="auto"/>
              </w:rPr>
            </w:pPr>
            <w:r>
              <w:rPr>
                <w:color w:val="auto"/>
              </w:rPr>
              <w:t>超标倍数</w:t>
            </w:r>
          </w:p>
        </w:tc>
        <w:tc>
          <w:tcPr>
            <w:tcW w:w="500" w:type="pct"/>
            <w:vAlign w:val="center"/>
          </w:tcPr>
          <w:p w14:paraId="5E1A6006">
            <w:pPr>
              <w:pStyle w:val="33"/>
              <w:rPr>
                <w:color w:val="auto"/>
              </w:rPr>
            </w:pPr>
          </w:p>
        </w:tc>
        <w:tc>
          <w:tcPr>
            <w:tcW w:w="500" w:type="pct"/>
            <w:vAlign w:val="center"/>
          </w:tcPr>
          <w:p w14:paraId="34E2BB38">
            <w:pPr>
              <w:pStyle w:val="33"/>
              <w:rPr>
                <w:color w:val="auto"/>
              </w:rPr>
            </w:pPr>
          </w:p>
        </w:tc>
        <w:tc>
          <w:tcPr>
            <w:tcW w:w="498" w:type="pct"/>
            <w:vAlign w:val="center"/>
          </w:tcPr>
          <w:p w14:paraId="7935228A">
            <w:pPr>
              <w:pStyle w:val="33"/>
              <w:rPr>
                <w:color w:val="auto"/>
              </w:rPr>
            </w:pPr>
          </w:p>
        </w:tc>
      </w:tr>
      <w:tr w14:paraId="598F5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restart"/>
            <w:vAlign w:val="center"/>
          </w:tcPr>
          <w:p w14:paraId="38F2FD4E">
            <w:pPr>
              <w:pStyle w:val="33"/>
              <w:rPr>
                <w:color w:val="auto"/>
              </w:rPr>
            </w:pPr>
            <w:r>
              <w:rPr>
                <w:color w:val="auto"/>
              </w:rPr>
              <w:t>1,1-二氯乙烯</w:t>
            </w:r>
          </w:p>
        </w:tc>
        <w:tc>
          <w:tcPr>
            <w:tcW w:w="502" w:type="pct"/>
            <w:vAlign w:val="center"/>
          </w:tcPr>
          <w:p w14:paraId="5CEC58B9">
            <w:pPr>
              <w:pStyle w:val="33"/>
              <w:rPr>
                <w:color w:val="auto"/>
              </w:rPr>
            </w:pPr>
            <w:r>
              <w:rPr>
                <w:color w:val="auto"/>
              </w:rPr>
              <w:t>监测值</w:t>
            </w:r>
          </w:p>
        </w:tc>
        <w:tc>
          <w:tcPr>
            <w:tcW w:w="500" w:type="pct"/>
            <w:vAlign w:val="center"/>
          </w:tcPr>
          <w:p w14:paraId="7214A4AB">
            <w:pPr>
              <w:pStyle w:val="33"/>
              <w:rPr>
                <w:color w:val="auto"/>
              </w:rPr>
            </w:pPr>
          </w:p>
        </w:tc>
        <w:tc>
          <w:tcPr>
            <w:tcW w:w="500" w:type="pct"/>
            <w:vAlign w:val="center"/>
          </w:tcPr>
          <w:p w14:paraId="1CFE30CE">
            <w:pPr>
              <w:pStyle w:val="33"/>
              <w:rPr>
                <w:color w:val="auto"/>
              </w:rPr>
            </w:pPr>
          </w:p>
        </w:tc>
        <w:tc>
          <w:tcPr>
            <w:tcW w:w="500" w:type="pct"/>
            <w:vAlign w:val="center"/>
          </w:tcPr>
          <w:p w14:paraId="5EA30BE7">
            <w:pPr>
              <w:pStyle w:val="33"/>
              <w:rPr>
                <w:color w:val="auto"/>
              </w:rPr>
            </w:pPr>
          </w:p>
        </w:tc>
        <w:tc>
          <w:tcPr>
            <w:tcW w:w="500" w:type="pct"/>
            <w:vMerge w:val="restart"/>
            <w:vAlign w:val="center"/>
          </w:tcPr>
          <w:p w14:paraId="300C782F">
            <w:pPr>
              <w:pStyle w:val="33"/>
              <w:rPr>
                <w:color w:val="auto"/>
              </w:rPr>
            </w:pPr>
            <w:r>
              <w:rPr>
                <w:color w:val="auto"/>
              </w:rPr>
              <w:t>邻二甲苯</w:t>
            </w:r>
          </w:p>
        </w:tc>
        <w:tc>
          <w:tcPr>
            <w:tcW w:w="500" w:type="pct"/>
            <w:vAlign w:val="center"/>
          </w:tcPr>
          <w:p w14:paraId="696B5FB0">
            <w:pPr>
              <w:pStyle w:val="33"/>
              <w:rPr>
                <w:color w:val="auto"/>
              </w:rPr>
            </w:pPr>
            <w:r>
              <w:rPr>
                <w:color w:val="auto"/>
              </w:rPr>
              <w:t>监测值</w:t>
            </w:r>
          </w:p>
        </w:tc>
        <w:tc>
          <w:tcPr>
            <w:tcW w:w="500" w:type="pct"/>
            <w:vAlign w:val="center"/>
          </w:tcPr>
          <w:p w14:paraId="5742E11E">
            <w:pPr>
              <w:pStyle w:val="33"/>
              <w:rPr>
                <w:color w:val="auto"/>
              </w:rPr>
            </w:pPr>
          </w:p>
        </w:tc>
        <w:tc>
          <w:tcPr>
            <w:tcW w:w="500" w:type="pct"/>
            <w:vAlign w:val="center"/>
          </w:tcPr>
          <w:p w14:paraId="3BC3113E">
            <w:pPr>
              <w:pStyle w:val="33"/>
              <w:rPr>
                <w:color w:val="auto"/>
              </w:rPr>
            </w:pPr>
          </w:p>
        </w:tc>
        <w:tc>
          <w:tcPr>
            <w:tcW w:w="498" w:type="pct"/>
            <w:vAlign w:val="center"/>
          </w:tcPr>
          <w:p w14:paraId="45794D17">
            <w:pPr>
              <w:pStyle w:val="33"/>
              <w:rPr>
                <w:color w:val="auto"/>
              </w:rPr>
            </w:pPr>
          </w:p>
        </w:tc>
      </w:tr>
      <w:tr w14:paraId="48445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6ADC8420">
            <w:pPr>
              <w:pStyle w:val="33"/>
              <w:rPr>
                <w:color w:val="auto"/>
              </w:rPr>
            </w:pPr>
          </w:p>
        </w:tc>
        <w:tc>
          <w:tcPr>
            <w:tcW w:w="502" w:type="pct"/>
            <w:vAlign w:val="center"/>
          </w:tcPr>
          <w:p w14:paraId="28C59EDC">
            <w:pPr>
              <w:pStyle w:val="33"/>
              <w:rPr>
                <w:color w:val="auto"/>
              </w:rPr>
            </w:pPr>
            <w:r>
              <w:rPr>
                <w:color w:val="auto"/>
              </w:rPr>
              <w:t>筛选值</w:t>
            </w:r>
          </w:p>
        </w:tc>
        <w:tc>
          <w:tcPr>
            <w:tcW w:w="500" w:type="pct"/>
            <w:vAlign w:val="center"/>
          </w:tcPr>
          <w:p w14:paraId="406C32AB">
            <w:pPr>
              <w:pStyle w:val="33"/>
              <w:rPr>
                <w:color w:val="auto"/>
              </w:rPr>
            </w:pPr>
          </w:p>
        </w:tc>
        <w:tc>
          <w:tcPr>
            <w:tcW w:w="500" w:type="pct"/>
            <w:vAlign w:val="center"/>
          </w:tcPr>
          <w:p w14:paraId="11E08E4F">
            <w:pPr>
              <w:pStyle w:val="33"/>
              <w:rPr>
                <w:color w:val="auto"/>
              </w:rPr>
            </w:pPr>
          </w:p>
        </w:tc>
        <w:tc>
          <w:tcPr>
            <w:tcW w:w="500" w:type="pct"/>
            <w:vAlign w:val="center"/>
          </w:tcPr>
          <w:p w14:paraId="6EC02B69">
            <w:pPr>
              <w:pStyle w:val="33"/>
              <w:rPr>
                <w:color w:val="auto"/>
              </w:rPr>
            </w:pPr>
          </w:p>
        </w:tc>
        <w:tc>
          <w:tcPr>
            <w:tcW w:w="500" w:type="pct"/>
            <w:vMerge w:val="continue"/>
            <w:vAlign w:val="center"/>
          </w:tcPr>
          <w:p w14:paraId="5D4E5C9F">
            <w:pPr>
              <w:pStyle w:val="33"/>
              <w:rPr>
                <w:color w:val="auto"/>
              </w:rPr>
            </w:pPr>
          </w:p>
        </w:tc>
        <w:tc>
          <w:tcPr>
            <w:tcW w:w="500" w:type="pct"/>
            <w:vAlign w:val="center"/>
          </w:tcPr>
          <w:p w14:paraId="224414CF">
            <w:pPr>
              <w:pStyle w:val="33"/>
              <w:rPr>
                <w:color w:val="auto"/>
              </w:rPr>
            </w:pPr>
            <w:r>
              <w:rPr>
                <w:color w:val="auto"/>
              </w:rPr>
              <w:t>筛选值</w:t>
            </w:r>
          </w:p>
        </w:tc>
        <w:tc>
          <w:tcPr>
            <w:tcW w:w="500" w:type="pct"/>
            <w:vAlign w:val="center"/>
          </w:tcPr>
          <w:p w14:paraId="28DF02E5">
            <w:pPr>
              <w:pStyle w:val="33"/>
              <w:rPr>
                <w:color w:val="auto"/>
              </w:rPr>
            </w:pPr>
          </w:p>
        </w:tc>
        <w:tc>
          <w:tcPr>
            <w:tcW w:w="500" w:type="pct"/>
            <w:vAlign w:val="center"/>
          </w:tcPr>
          <w:p w14:paraId="0E7EDFCA">
            <w:pPr>
              <w:pStyle w:val="33"/>
              <w:rPr>
                <w:color w:val="auto"/>
              </w:rPr>
            </w:pPr>
          </w:p>
        </w:tc>
        <w:tc>
          <w:tcPr>
            <w:tcW w:w="498" w:type="pct"/>
            <w:vAlign w:val="center"/>
          </w:tcPr>
          <w:p w14:paraId="345BFEA2">
            <w:pPr>
              <w:pStyle w:val="33"/>
              <w:rPr>
                <w:color w:val="auto"/>
              </w:rPr>
            </w:pPr>
          </w:p>
        </w:tc>
      </w:tr>
      <w:tr w14:paraId="468D5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0500691">
            <w:pPr>
              <w:pStyle w:val="33"/>
              <w:rPr>
                <w:color w:val="auto"/>
              </w:rPr>
            </w:pPr>
          </w:p>
        </w:tc>
        <w:tc>
          <w:tcPr>
            <w:tcW w:w="502" w:type="pct"/>
            <w:vAlign w:val="center"/>
          </w:tcPr>
          <w:p w14:paraId="19189E67">
            <w:pPr>
              <w:pStyle w:val="33"/>
              <w:rPr>
                <w:color w:val="auto"/>
              </w:rPr>
            </w:pPr>
            <w:r>
              <w:rPr>
                <w:color w:val="auto"/>
              </w:rPr>
              <w:t>标准指数</w:t>
            </w:r>
          </w:p>
        </w:tc>
        <w:tc>
          <w:tcPr>
            <w:tcW w:w="500" w:type="pct"/>
            <w:vAlign w:val="center"/>
          </w:tcPr>
          <w:p w14:paraId="608191F6">
            <w:pPr>
              <w:pStyle w:val="33"/>
              <w:rPr>
                <w:color w:val="auto"/>
              </w:rPr>
            </w:pPr>
          </w:p>
        </w:tc>
        <w:tc>
          <w:tcPr>
            <w:tcW w:w="500" w:type="pct"/>
            <w:vAlign w:val="center"/>
          </w:tcPr>
          <w:p w14:paraId="65C96995">
            <w:pPr>
              <w:pStyle w:val="33"/>
              <w:rPr>
                <w:color w:val="auto"/>
              </w:rPr>
            </w:pPr>
          </w:p>
        </w:tc>
        <w:tc>
          <w:tcPr>
            <w:tcW w:w="500" w:type="pct"/>
            <w:vAlign w:val="center"/>
          </w:tcPr>
          <w:p w14:paraId="7AE455A9">
            <w:pPr>
              <w:pStyle w:val="33"/>
              <w:rPr>
                <w:color w:val="auto"/>
              </w:rPr>
            </w:pPr>
          </w:p>
        </w:tc>
        <w:tc>
          <w:tcPr>
            <w:tcW w:w="500" w:type="pct"/>
            <w:vMerge w:val="continue"/>
            <w:vAlign w:val="center"/>
          </w:tcPr>
          <w:p w14:paraId="24B7411D">
            <w:pPr>
              <w:pStyle w:val="33"/>
              <w:rPr>
                <w:color w:val="auto"/>
              </w:rPr>
            </w:pPr>
          </w:p>
        </w:tc>
        <w:tc>
          <w:tcPr>
            <w:tcW w:w="500" w:type="pct"/>
            <w:vAlign w:val="center"/>
          </w:tcPr>
          <w:p w14:paraId="2549ADCF">
            <w:pPr>
              <w:pStyle w:val="33"/>
              <w:rPr>
                <w:color w:val="auto"/>
              </w:rPr>
            </w:pPr>
            <w:r>
              <w:rPr>
                <w:color w:val="auto"/>
              </w:rPr>
              <w:t>标准指数</w:t>
            </w:r>
          </w:p>
        </w:tc>
        <w:tc>
          <w:tcPr>
            <w:tcW w:w="500" w:type="pct"/>
            <w:vAlign w:val="center"/>
          </w:tcPr>
          <w:p w14:paraId="169DA17D">
            <w:pPr>
              <w:pStyle w:val="33"/>
              <w:rPr>
                <w:color w:val="auto"/>
              </w:rPr>
            </w:pPr>
          </w:p>
        </w:tc>
        <w:tc>
          <w:tcPr>
            <w:tcW w:w="500" w:type="pct"/>
            <w:vAlign w:val="center"/>
          </w:tcPr>
          <w:p w14:paraId="3848F03C">
            <w:pPr>
              <w:pStyle w:val="33"/>
              <w:rPr>
                <w:color w:val="auto"/>
              </w:rPr>
            </w:pPr>
          </w:p>
        </w:tc>
        <w:tc>
          <w:tcPr>
            <w:tcW w:w="498" w:type="pct"/>
            <w:vAlign w:val="center"/>
          </w:tcPr>
          <w:p w14:paraId="6134EDA2">
            <w:pPr>
              <w:pStyle w:val="33"/>
              <w:rPr>
                <w:color w:val="auto"/>
              </w:rPr>
            </w:pPr>
          </w:p>
        </w:tc>
      </w:tr>
      <w:tr w14:paraId="3C737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7465ACC">
            <w:pPr>
              <w:pStyle w:val="33"/>
              <w:rPr>
                <w:color w:val="auto"/>
              </w:rPr>
            </w:pPr>
          </w:p>
        </w:tc>
        <w:tc>
          <w:tcPr>
            <w:tcW w:w="502" w:type="pct"/>
            <w:vAlign w:val="center"/>
          </w:tcPr>
          <w:p w14:paraId="2116036D">
            <w:pPr>
              <w:pStyle w:val="33"/>
              <w:rPr>
                <w:color w:val="auto"/>
              </w:rPr>
            </w:pPr>
            <w:r>
              <w:rPr>
                <w:color w:val="auto"/>
              </w:rPr>
              <w:t>超标倍数</w:t>
            </w:r>
          </w:p>
        </w:tc>
        <w:tc>
          <w:tcPr>
            <w:tcW w:w="500" w:type="pct"/>
            <w:vAlign w:val="center"/>
          </w:tcPr>
          <w:p w14:paraId="648E32BB">
            <w:pPr>
              <w:pStyle w:val="33"/>
              <w:rPr>
                <w:color w:val="auto"/>
              </w:rPr>
            </w:pPr>
          </w:p>
        </w:tc>
        <w:tc>
          <w:tcPr>
            <w:tcW w:w="500" w:type="pct"/>
            <w:vAlign w:val="center"/>
          </w:tcPr>
          <w:p w14:paraId="3E3D0A5F">
            <w:pPr>
              <w:pStyle w:val="33"/>
              <w:rPr>
                <w:color w:val="auto"/>
              </w:rPr>
            </w:pPr>
          </w:p>
        </w:tc>
        <w:tc>
          <w:tcPr>
            <w:tcW w:w="500" w:type="pct"/>
            <w:vAlign w:val="center"/>
          </w:tcPr>
          <w:p w14:paraId="46C3C191">
            <w:pPr>
              <w:pStyle w:val="33"/>
              <w:rPr>
                <w:color w:val="auto"/>
              </w:rPr>
            </w:pPr>
          </w:p>
        </w:tc>
        <w:tc>
          <w:tcPr>
            <w:tcW w:w="500" w:type="pct"/>
            <w:vMerge w:val="continue"/>
            <w:vAlign w:val="center"/>
          </w:tcPr>
          <w:p w14:paraId="5EE5B675">
            <w:pPr>
              <w:pStyle w:val="33"/>
              <w:rPr>
                <w:color w:val="auto"/>
              </w:rPr>
            </w:pPr>
          </w:p>
        </w:tc>
        <w:tc>
          <w:tcPr>
            <w:tcW w:w="500" w:type="pct"/>
            <w:vAlign w:val="center"/>
          </w:tcPr>
          <w:p w14:paraId="2D959E17">
            <w:pPr>
              <w:pStyle w:val="33"/>
              <w:rPr>
                <w:color w:val="auto"/>
              </w:rPr>
            </w:pPr>
            <w:r>
              <w:rPr>
                <w:color w:val="auto"/>
              </w:rPr>
              <w:t>超标倍数</w:t>
            </w:r>
          </w:p>
        </w:tc>
        <w:tc>
          <w:tcPr>
            <w:tcW w:w="500" w:type="pct"/>
            <w:vAlign w:val="center"/>
          </w:tcPr>
          <w:p w14:paraId="5FDEAE4C">
            <w:pPr>
              <w:pStyle w:val="33"/>
              <w:rPr>
                <w:color w:val="auto"/>
              </w:rPr>
            </w:pPr>
          </w:p>
        </w:tc>
        <w:tc>
          <w:tcPr>
            <w:tcW w:w="500" w:type="pct"/>
            <w:vAlign w:val="center"/>
          </w:tcPr>
          <w:p w14:paraId="7CD1808F">
            <w:pPr>
              <w:pStyle w:val="33"/>
              <w:rPr>
                <w:color w:val="auto"/>
              </w:rPr>
            </w:pPr>
          </w:p>
        </w:tc>
        <w:tc>
          <w:tcPr>
            <w:tcW w:w="498" w:type="pct"/>
            <w:vAlign w:val="center"/>
          </w:tcPr>
          <w:p w14:paraId="0C3DDDD2">
            <w:pPr>
              <w:pStyle w:val="33"/>
              <w:rPr>
                <w:color w:val="auto"/>
              </w:rPr>
            </w:pPr>
          </w:p>
        </w:tc>
      </w:tr>
      <w:tr w14:paraId="4ED04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356D0834">
            <w:pPr>
              <w:pStyle w:val="33"/>
              <w:rPr>
                <w:color w:val="auto"/>
              </w:rPr>
            </w:pPr>
            <w:r>
              <w:rPr>
                <w:color w:val="auto"/>
              </w:rPr>
              <w:t>二氯甲烷</w:t>
            </w:r>
          </w:p>
        </w:tc>
        <w:tc>
          <w:tcPr>
            <w:tcW w:w="502" w:type="pct"/>
            <w:vAlign w:val="center"/>
          </w:tcPr>
          <w:p w14:paraId="32E0780D">
            <w:pPr>
              <w:pStyle w:val="33"/>
              <w:rPr>
                <w:color w:val="auto"/>
              </w:rPr>
            </w:pPr>
            <w:r>
              <w:rPr>
                <w:color w:val="auto"/>
              </w:rPr>
              <w:t>监测值</w:t>
            </w:r>
          </w:p>
        </w:tc>
        <w:tc>
          <w:tcPr>
            <w:tcW w:w="500" w:type="pct"/>
            <w:vAlign w:val="center"/>
          </w:tcPr>
          <w:p w14:paraId="686A574C">
            <w:pPr>
              <w:pStyle w:val="33"/>
              <w:rPr>
                <w:color w:val="auto"/>
              </w:rPr>
            </w:pPr>
          </w:p>
        </w:tc>
        <w:tc>
          <w:tcPr>
            <w:tcW w:w="500" w:type="pct"/>
            <w:vAlign w:val="center"/>
          </w:tcPr>
          <w:p w14:paraId="52A3F0E0">
            <w:pPr>
              <w:pStyle w:val="33"/>
              <w:rPr>
                <w:color w:val="auto"/>
              </w:rPr>
            </w:pPr>
          </w:p>
        </w:tc>
        <w:tc>
          <w:tcPr>
            <w:tcW w:w="500" w:type="pct"/>
            <w:vAlign w:val="center"/>
          </w:tcPr>
          <w:p w14:paraId="765C9B49">
            <w:pPr>
              <w:pStyle w:val="33"/>
              <w:rPr>
                <w:color w:val="auto"/>
              </w:rPr>
            </w:pPr>
          </w:p>
        </w:tc>
        <w:tc>
          <w:tcPr>
            <w:tcW w:w="500" w:type="pct"/>
            <w:vMerge w:val="restart"/>
            <w:vAlign w:val="center"/>
          </w:tcPr>
          <w:p w14:paraId="59BE3E86">
            <w:pPr>
              <w:pStyle w:val="33"/>
              <w:rPr>
                <w:color w:val="auto"/>
              </w:rPr>
            </w:pPr>
            <w:r>
              <w:rPr>
                <w:color w:val="auto"/>
              </w:rPr>
              <w:t>苯乙烯</w:t>
            </w:r>
          </w:p>
        </w:tc>
        <w:tc>
          <w:tcPr>
            <w:tcW w:w="500" w:type="pct"/>
            <w:vAlign w:val="center"/>
          </w:tcPr>
          <w:p w14:paraId="72717005">
            <w:pPr>
              <w:pStyle w:val="33"/>
              <w:rPr>
                <w:color w:val="auto"/>
              </w:rPr>
            </w:pPr>
            <w:r>
              <w:rPr>
                <w:color w:val="auto"/>
              </w:rPr>
              <w:t>监测值</w:t>
            </w:r>
          </w:p>
        </w:tc>
        <w:tc>
          <w:tcPr>
            <w:tcW w:w="500" w:type="pct"/>
            <w:vAlign w:val="center"/>
          </w:tcPr>
          <w:p w14:paraId="04E36BC0">
            <w:pPr>
              <w:pStyle w:val="33"/>
              <w:rPr>
                <w:color w:val="auto"/>
              </w:rPr>
            </w:pPr>
          </w:p>
        </w:tc>
        <w:tc>
          <w:tcPr>
            <w:tcW w:w="500" w:type="pct"/>
            <w:vAlign w:val="center"/>
          </w:tcPr>
          <w:p w14:paraId="23A96903">
            <w:pPr>
              <w:pStyle w:val="33"/>
              <w:rPr>
                <w:color w:val="auto"/>
              </w:rPr>
            </w:pPr>
          </w:p>
        </w:tc>
        <w:tc>
          <w:tcPr>
            <w:tcW w:w="498" w:type="pct"/>
            <w:vAlign w:val="center"/>
          </w:tcPr>
          <w:p w14:paraId="352E5DC6">
            <w:pPr>
              <w:pStyle w:val="33"/>
              <w:rPr>
                <w:color w:val="auto"/>
              </w:rPr>
            </w:pPr>
          </w:p>
        </w:tc>
      </w:tr>
      <w:tr w14:paraId="4E98F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7FD7228">
            <w:pPr>
              <w:pStyle w:val="33"/>
              <w:rPr>
                <w:color w:val="auto"/>
              </w:rPr>
            </w:pPr>
          </w:p>
        </w:tc>
        <w:tc>
          <w:tcPr>
            <w:tcW w:w="502" w:type="pct"/>
            <w:vAlign w:val="center"/>
          </w:tcPr>
          <w:p w14:paraId="41111EB4">
            <w:pPr>
              <w:pStyle w:val="33"/>
              <w:rPr>
                <w:color w:val="auto"/>
              </w:rPr>
            </w:pPr>
            <w:r>
              <w:rPr>
                <w:color w:val="auto"/>
              </w:rPr>
              <w:t>筛选值</w:t>
            </w:r>
          </w:p>
        </w:tc>
        <w:tc>
          <w:tcPr>
            <w:tcW w:w="500" w:type="pct"/>
            <w:vAlign w:val="center"/>
          </w:tcPr>
          <w:p w14:paraId="48D3C5BE">
            <w:pPr>
              <w:pStyle w:val="33"/>
              <w:rPr>
                <w:color w:val="auto"/>
              </w:rPr>
            </w:pPr>
          </w:p>
        </w:tc>
        <w:tc>
          <w:tcPr>
            <w:tcW w:w="500" w:type="pct"/>
            <w:vAlign w:val="center"/>
          </w:tcPr>
          <w:p w14:paraId="7F55E881">
            <w:pPr>
              <w:pStyle w:val="33"/>
              <w:rPr>
                <w:color w:val="auto"/>
              </w:rPr>
            </w:pPr>
          </w:p>
        </w:tc>
        <w:tc>
          <w:tcPr>
            <w:tcW w:w="500" w:type="pct"/>
            <w:vAlign w:val="center"/>
          </w:tcPr>
          <w:p w14:paraId="1DC59EF1">
            <w:pPr>
              <w:pStyle w:val="33"/>
              <w:rPr>
                <w:color w:val="auto"/>
              </w:rPr>
            </w:pPr>
          </w:p>
        </w:tc>
        <w:tc>
          <w:tcPr>
            <w:tcW w:w="500" w:type="pct"/>
            <w:vMerge w:val="continue"/>
            <w:vAlign w:val="center"/>
          </w:tcPr>
          <w:p w14:paraId="416F439D">
            <w:pPr>
              <w:pStyle w:val="33"/>
              <w:rPr>
                <w:color w:val="auto"/>
              </w:rPr>
            </w:pPr>
          </w:p>
        </w:tc>
        <w:tc>
          <w:tcPr>
            <w:tcW w:w="500" w:type="pct"/>
            <w:vAlign w:val="center"/>
          </w:tcPr>
          <w:p w14:paraId="6481C37C">
            <w:pPr>
              <w:pStyle w:val="33"/>
              <w:rPr>
                <w:color w:val="auto"/>
              </w:rPr>
            </w:pPr>
            <w:r>
              <w:rPr>
                <w:color w:val="auto"/>
              </w:rPr>
              <w:t>筛选值</w:t>
            </w:r>
          </w:p>
        </w:tc>
        <w:tc>
          <w:tcPr>
            <w:tcW w:w="500" w:type="pct"/>
            <w:vAlign w:val="center"/>
          </w:tcPr>
          <w:p w14:paraId="61356A00">
            <w:pPr>
              <w:pStyle w:val="33"/>
              <w:rPr>
                <w:color w:val="auto"/>
              </w:rPr>
            </w:pPr>
          </w:p>
        </w:tc>
        <w:tc>
          <w:tcPr>
            <w:tcW w:w="500" w:type="pct"/>
            <w:vAlign w:val="center"/>
          </w:tcPr>
          <w:p w14:paraId="593068CD">
            <w:pPr>
              <w:pStyle w:val="33"/>
              <w:rPr>
                <w:color w:val="auto"/>
              </w:rPr>
            </w:pPr>
          </w:p>
        </w:tc>
        <w:tc>
          <w:tcPr>
            <w:tcW w:w="498" w:type="pct"/>
            <w:vAlign w:val="center"/>
          </w:tcPr>
          <w:p w14:paraId="31316268">
            <w:pPr>
              <w:pStyle w:val="33"/>
              <w:rPr>
                <w:color w:val="auto"/>
              </w:rPr>
            </w:pPr>
          </w:p>
        </w:tc>
      </w:tr>
      <w:tr w14:paraId="58599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CA631E0">
            <w:pPr>
              <w:pStyle w:val="33"/>
              <w:rPr>
                <w:color w:val="auto"/>
              </w:rPr>
            </w:pPr>
          </w:p>
        </w:tc>
        <w:tc>
          <w:tcPr>
            <w:tcW w:w="502" w:type="pct"/>
            <w:vAlign w:val="center"/>
          </w:tcPr>
          <w:p w14:paraId="6ED4550F">
            <w:pPr>
              <w:pStyle w:val="33"/>
              <w:rPr>
                <w:color w:val="auto"/>
              </w:rPr>
            </w:pPr>
            <w:r>
              <w:rPr>
                <w:color w:val="auto"/>
              </w:rPr>
              <w:t>标准指数</w:t>
            </w:r>
          </w:p>
        </w:tc>
        <w:tc>
          <w:tcPr>
            <w:tcW w:w="500" w:type="pct"/>
            <w:vAlign w:val="center"/>
          </w:tcPr>
          <w:p w14:paraId="62D015DC">
            <w:pPr>
              <w:pStyle w:val="33"/>
              <w:rPr>
                <w:color w:val="auto"/>
              </w:rPr>
            </w:pPr>
          </w:p>
        </w:tc>
        <w:tc>
          <w:tcPr>
            <w:tcW w:w="500" w:type="pct"/>
            <w:vAlign w:val="center"/>
          </w:tcPr>
          <w:p w14:paraId="63E38B09">
            <w:pPr>
              <w:pStyle w:val="33"/>
              <w:rPr>
                <w:color w:val="auto"/>
              </w:rPr>
            </w:pPr>
          </w:p>
        </w:tc>
        <w:tc>
          <w:tcPr>
            <w:tcW w:w="500" w:type="pct"/>
            <w:vAlign w:val="center"/>
          </w:tcPr>
          <w:p w14:paraId="2B59CA9D">
            <w:pPr>
              <w:pStyle w:val="33"/>
              <w:rPr>
                <w:color w:val="auto"/>
              </w:rPr>
            </w:pPr>
          </w:p>
        </w:tc>
        <w:tc>
          <w:tcPr>
            <w:tcW w:w="500" w:type="pct"/>
            <w:vMerge w:val="continue"/>
            <w:vAlign w:val="center"/>
          </w:tcPr>
          <w:p w14:paraId="2EBEA38E">
            <w:pPr>
              <w:pStyle w:val="33"/>
              <w:rPr>
                <w:color w:val="auto"/>
              </w:rPr>
            </w:pPr>
          </w:p>
        </w:tc>
        <w:tc>
          <w:tcPr>
            <w:tcW w:w="500" w:type="pct"/>
            <w:vAlign w:val="center"/>
          </w:tcPr>
          <w:p w14:paraId="6295531A">
            <w:pPr>
              <w:pStyle w:val="33"/>
              <w:rPr>
                <w:color w:val="auto"/>
              </w:rPr>
            </w:pPr>
            <w:r>
              <w:rPr>
                <w:color w:val="auto"/>
              </w:rPr>
              <w:t>标准指数</w:t>
            </w:r>
          </w:p>
        </w:tc>
        <w:tc>
          <w:tcPr>
            <w:tcW w:w="500" w:type="pct"/>
            <w:vAlign w:val="center"/>
          </w:tcPr>
          <w:p w14:paraId="15A20874">
            <w:pPr>
              <w:pStyle w:val="33"/>
              <w:rPr>
                <w:color w:val="auto"/>
              </w:rPr>
            </w:pPr>
          </w:p>
        </w:tc>
        <w:tc>
          <w:tcPr>
            <w:tcW w:w="500" w:type="pct"/>
            <w:vAlign w:val="center"/>
          </w:tcPr>
          <w:p w14:paraId="042B1539">
            <w:pPr>
              <w:pStyle w:val="33"/>
              <w:rPr>
                <w:color w:val="auto"/>
              </w:rPr>
            </w:pPr>
          </w:p>
        </w:tc>
        <w:tc>
          <w:tcPr>
            <w:tcW w:w="498" w:type="pct"/>
            <w:vAlign w:val="center"/>
          </w:tcPr>
          <w:p w14:paraId="03D9DF56">
            <w:pPr>
              <w:pStyle w:val="33"/>
              <w:rPr>
                <w:color w:val="auto"/>
              </w:rPr>
            </w:pPr>
          </w:p>
        </w:tc>
      </w:tr>
      <w:tr w14:paraId="54CF1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1484F90">
            <w:pPr>
              <w:pStyle w:val="33"/>
              <w:rPr>
                <w:color w:val="auto"/>
              </w:rPr>
            </w:pPr>
          </w:p>
        </w:tc>
        <w:tc>
          <w:tcPr>
            <w:tcW w:w="502" w:type="pct"/>
            <w:vAlign w:val="center"/>
          </w:tcPr>
          <w:p w14:paraId="4E20EFEC">
            <w:pPr>
              <w:pStyle w:val="33"/>
              <w:rPr>
                <w:color w:val="auto"/>
              </w:rPr>
            </w:pPr>
            <w:r>
              <w:rPr>
                <w:color w:val="auto"/>
              </w:rPr>
              <w:t>超标倍数</w:t>
            </w:r>
          </w:p>
        </w:tc>
        <w:tc>
          <w:tcPr>
            <w:tcW w:w="500" w:type="pct"/>
            <w:vAlign w:val="center"/>
          </w:tcPr>
          <w:p w14:paraId="60A11BCE">
            <w:pPr>
              <w:pStyle w:val="33"/>
              <w:rPr>
                <w:color w:val="auto"/>
              </w:rPr>
            </w:pPr>
          </w:p>
        </w:tc>
        <w:tc>
          <w:tcPr>
            <w:tcW w:w="500" w:type="pct"/>
            <w:vAlign w:val="center"/>
          </w:tcPr>
          <w:p w14:paraId="1FB4A8CC">
            <w:pPr>
              <w:pStyle w:val="33"/>
              <w:rPr>
                <w:color w:val="auto"/>
              </w:rPr>
            </w:pPr>
          </w:p>
        </w:tc>
        <w:tc>
          <w:tcPr>
            <w:tcW w:w="500" w:type="pct"/>
            <w:vAlign w:val="center"/>
          </w:tcPr>
          <w:p w14:paraId="70BC505B">
            <w:pPr>
              <w:pStyle w:val="33"/>
              <w:rPr>
                <w:color w:val="auto"/>
              </w:rPr>
            </w:pPr>
          </w:p>
        </w:tc>
        <w:tc>
          <w:tcPr>
            <w:tcW w:w="500" w:type="pct"/>
            <w:vMerge w:val="continue"/>
            <w:vAlign w:val="center"/>
          </w:tcPr>
          <w:p w14:paraId="0363A062">
            <w:pPr>
              <w:pStyle w:val="33"/>
              <w:rPr>
                <w:color w:val="auto"/>
              </w:rPr>
            </w:pPr>
          </w:p>
        </w:tc>
        <w:tc>
          <w:tcPr>
            <w:tcW w:w="500" w:type="pct"/>
            <w:vAlign w:val="center"/>
          </w:tcPr>
          <w:p w14:paraId="200C83AE">
            <w:pPr>
              <w:pStyle w:val="33"/>
              <w:rPr>
                <w:color w:val="auto"/>
              </w:rPr>
            </w:pPr>
            <w:r>
              <w:rPr>
                <w:color w:val="auto"/>
              </w:rPr>
              <w:t>超标倍数</w:t>
            </w:r>
          </w:p>
        </w:tc>
        <w:tc>
          <w:tcPr>
            <w:tcW w:w="500" w:type="pct"/>
            <w:vAlign w:val="center"/>
          </w:tcPr>
          <w:p w14:paraId="1B2466E8">
            <w:pPr>
              <w:pStyle w:val="33"/>
              <w:rPr>
                <w:color w:val="auto"/>
              </w:rPr>
            </w:pPr>
          </w:p>
        </w:tc>
        <w:tc>
          <w:tcPr>
            <w:tcW w:w="500" w:type="pct"/>
            <w:vAlign w:val="center"/>
          </w:tcPr>
          <w:p w14:paraId="5E8C8AB3">
            <w:pPr>
              <w:pStyle w:val="33"/>
              <w:rPr>
                <w:color w:val="auto"/>
              </w:rPr>
            </w:pPr>
          </w:p>
        </w:tc>
        <w:tc>
          <w:tcPr>
            <w:tcW w:w="498" w:type="pct"/>
            <w:vAlign w:val="center"/>
          </w:tcPr>
          <w:p w14:paraId="50B1EC9D">
            <w:pPr>
              <w:pStyle w:val="33"/>
              <w:rPr>
                <w:color w:val="auto"/>
              </w:rPr>
            </w:pPr>
          </w:p>
        </w:tc>
      </w:tr>
      <w:tr w14:paraId="2093D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27FE15C6">
            <w:pPr>
              <w:pStyle w:val="33"/>
              <w:rPr>
                <w:color w:val="auto"/>
              </w:rPr>
            </w:pPr>
            <w:r>
              <w:rPr>
                <w:color w:val="auto"/>
              </w:rPr>
              <w:t>反式-1,2-二氯乙烯</w:t>
            </w:r>
          </w:p>
        </w:tc>
        <w:tc>
          <w:tcPr>
            <w:tcW w:w="502" w:type="pct"/>
            <w:vAlign w:val="center"/>
          </w:tcPr>
          <w:p w14:paraId="5996166F">
            <w:pPr>
              <w:pStyle w:val="33"/>
              <w:rPr>
                <w:color w:val="auto"/>
              </w:rPr>
            </w:pPr>
            <w:r>
              <w:rPr>
                <w:color w:val="auto"/>
              </w:rPr>
              <w:t>监测值</w:t>
            </w:r>
          </w:p>
        </w:tc>
        <w:tc>
          <w:tcPr>
            <w:tcW w:w="500" w:type="pct"/>
            <w:vAlign w:val="center"/>
          </w:tcPr>
          <w:p w14:paraId="6DE7816E">
            <w:pPr>
              <w:pStyle w:val="33"/>
              <w:rPr>
                <w:color w:val="auto"/>
              </w:rPr>
            </w:pPr>
          </w:p>
        </w:tc>
        <w:tc>
          <w:tcPr>
            <w:tcW w:w="500" w:type="pct"/>
            <w:vAlign w:val="center"/>
          </w:tcPr>
          <w:p w14:paraId="655D4262">
            <w:pPr>
              <w:pStyle w:val="33"/>
              <w:rPr>
                <w:color w:val="auto"/>
              </w:rPr>
            </w:pPr>
          </w:p>
        </w:tc>
        <w:tc>
          <w:tcPr>
            <w:tcW w:w="500" w:type="pct"/>
            <w:vAlign w:val="center"/>
          </w:tcPr>
          <w:p w14:paraId="45C89952">
            <w:pPr>
              <w:pStyle w:val="33"/>
              <w:rPr>
                <w:color w:val="auto"/>
              </w:rPr>
            </w:pPr>
          </w:p>
        </w:tc>
        <w:tc>
          <w:tcPr>
            <w:tcW w:w="500" w:type="pct"/>
            <w:vMerge w:val="restart"/>
            <w:vAlign w:val="center"/>
          </w:tcPr>
          <w:p w14:paraId="3BAEB1F6">
            <w:pPr>
              <w:pStyle w:val="33"/>
              <w:rPr>
                <w:color w:val="auto"/>
              </w:rPr>
            </w:pPr>
            <w:r>
              <w:rPr>
                <w:color w:val="auto"/>
              </w:rPr>
              <w:t>1,1,2,2-四氯乙烷</w:t>
            </w:r>
          </w:p>
        </w:tc>
        <w:tc>
          <w:tcPr>
            <w:tcW w:w="500" w:type="pct"/>
            <w:vAlign w:val="center"/>
          </w:tcPr>
          <w:p w14:paraId="37EDF5AC">
            <w:pPr>
              <w:pStyle w:val="33"/>
              <w:rPr>
                <w:color w:val="auto"/>
              </w:rPr>
            </w:pPr>
            <w:r>
              <w:rPr>
                <w:color w:val="auto"/>
              </w:rPr>
              <w:t>监测值</w:t>
            </w:r>
          </w:p>
        </w:tc>
        <w:tc>
          <w:tcPr>
            <w:tcW w:w="500" w:type="pct"/>
            <w:vAlign w:val="center"/>
          </w:tcPr>
          <w:p w14:paraId="3EF69004">
            <w:pPr>
              <w:pStyle w:val="33"/>
              <w:rPr>
                <w:color w:val="auto"/>
              </w:rPr>
            </w:pPr>
          </w:p>
        </w:tc>
        <w:tc>
          <w:tcPr>
            <w:tcW w:w="500" w:type="pct"/>
            <w:vAlign w:val="center"/>
          </w:tcPr>
          <w:p w14:paraId="13FFBCB4">
            <w:pPr>
              <w:pStyle w:val="33"/>
              <w:rPr>
                <w:color w:val="auto"/>
              </w:rPr>
            </w:pPr>
          </w:p>
        </w:tc>
        <w:tc>
          <w:tcPr>
            <w:tcW w:w="498" w:type="pct"/>
            <w:vAlign w:val="center"/>
          </w:tcPr>
          <w:p w14:paraId="54F6F14C">
            <w:pPr>
              <w:pStyle w:val="33"/>
              <w:rPr>
                <w:color w:val="auto"/>
              </w:rPr>
            </w:pPr>
          </w:p>
        </w:tc>
      </w:tr>
      <w:tr w14:paraId="01C6B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63541238">
            <w:pPr>
              <w:pStyle w:val="33"/>
              <w:rPr>
                <w:color w:val="auto"/>
              </w:rPr>
            </w:pPr>
          </w:p>
        </w:tc>
        <w:tc>
          <w:tcPr>
            <w:tcW w:w="502" w:type="pct"/>
            <w:vAlign w:val="center"/>
          </w:tcPr>
          <w:p w14:paraId="2B4BE375">
            <w:pPr>
              <w:pStyle w:val="33"/>
              <w:rPr>
                <w:color w:val="auto"/>
              </w:rPr>
            </w:pPr>
            <w:r>
              <w:rPr>
                <w:color w:val="auto"/>
              </w:rPr>
              <w:t>筛选值</w:t>
            </w:r>
          </w:p>
        </w:tc>
        <w:tc>
          <w:tcPr>
            <w:tcW w:w="500" w:type="pct"/>
            <w:vAlign w:val="center"/>
          </w:tcPr>
          <w:p w14:paraId="1961D5AD">
            <w:pPr>
              <w:pStyle w:val="33"/>
              <w:rPr>
                <w:color w:val="auto"/>
              </w:rPr>
            </w:pPr>
          </w:p>
        </w:tc>
        <w:tc>
          <w:tcPr>
            <w:tcW w:w="500" w:type="pct"/>
            <w:vAlign w:val="center"/>
          </w:tcPr>
          <w:p w14:paraId="594EFCFA">
            <w:pPr>
              <w:pStyle w:val="33"/>
              <w:rPr>
                <w:color w:val="auto"/>
              </w:rPr>
            </w:pPr>
          </w:p>
        </w:tc>
        <w:tc>
          <w:tcPr>
            <w:tcW w:w="500" w:type="pct"/>
            <w:vAlign w:val="center"/>
          </w:tcPr>
          <w:p w14:paraId="464BE653">
            <w:pPr>
              <w:pStyle w:val="33"/>
              <w:rPr>
                <w:color w:val="auto"/>
              </w:rPr>
            </w:pPr>
          </w:p>
        </w:tc>
        <w:tc>
          <w:tcPr>
            <w:tcW w:w="500" w:type="pct"/>
            <w:vMerge w:val="continue"/>
            <w:vAlign w:val="center"/>
          </w:tcPr>
          <w:p w14:paraId="68CFE062">
            <w:pPr>
              <w:pStyle w:val="33"/>
              <w:rPr>
                <w:color w:val="auto"/>
              </w:rPr>
            </w:pPr>
          </w:p>
        </w:tc>
        <w:tc>
          <w:tcPr>
            <w:tcW w:w="500" w:type="pct"/>
            <w:vAlign w:val="center"/>
          </w:tcPr>
          <w:p w14:paraId="09DFEE77">
            <w:pPr>
              <w:pStyle w:val="33"/>
              <w:rPr>
                <w:color w:val="auto"/>
              </w:rPr>
            </w:pPr>
            <w:r>
              <w:rPr>
                <w:color w:val="auto"/>
              </w:rPr>
              <w:t>筛选值</w:t>
            </w:r>
          </w:p>
        </w:tc>
        <w:tc>
          <w:tcPr>
            <w:tcW w:w="500" w:type="pct"/>
            <w:vAlign w:val="center"/>
          </w:tcPr>
          <w:p w14:paraId="6ECBFD0E">
            <w:pPr>
              <w:pStyle w:val="33"/>
              <w:rPr>
                <w:color w:val="auto"/>
              </w:rPr>
            </w:pPr>
          </w:p>
        </w:tc>
        <w:tc>
          <w:tcPr>
            <w:tcW w:w="500" w:type="pct"/>
            <w:vAlign w:val="center"/>
          </w:tcPr>
          <w:p w14:paraId="22B7FA46">
            <w:pPr>
              <w:pStyle w:val="33"/>
              <w:rPr>
                <w:color w:val="auto"/>
              </w:rPr>
            </w:pPr>
          </w:p>
        </w:tc>
        <w:tc>
          <w:tcPr>
            <w:tcW w:w="498" w:type="pct"/>
            <w:vAlign w:val="center"/>
          </w:tcPr>
          <w:p w14:paraId="07091065">
            <w:pPr>
              <w:pStyle w:val="33"/>
              <w:rPr>
                <w:color w:val="auto"/>
              </w:rPr>
            </w:pPr>
          </w:p>
        </w:tc>
      </w:tr>
      <w:tr w14:paraId="12382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FA7915A">
            <w:pPr>
              <w:pStyle w:val="33"/>
              <w:rPr>
                <w:color w:val="auto"/>
              </w:rPr>
            </w:pPr>
          </w:p>
        </w:tc>
        <w:tc>
          <w:tcPr>
            <w:tcW w:w="502" w:type="pct"/>
            <w:vAlign w:val="center"/>
          </w:tcPr>
          <w:p w14:paraId="1A7FEEA2">
            <w:pPr>
              <w:pStyle w:val="33"/>
              <w:rPr>
                <w:color w:val="auto"/>
              </w:rPr>
            </w:pPr>
            <w:r>
              <w:rPr>
                <w:color w:val="auto"/>
              </w:rPr>
              <w:t>标准指数</w:t>
            </w:r>
          </w:p>
        </w:tc>
        <w:tc>
          <w:tcPr>
            <w:tcW w:w="500" w:type="pct"/>
            <w:vAlign w:val="center"/>
          </w:tcPr>
          <w:p w14:paraId="38F28B87">
            <w:pPr>
              <w:pStyle w:val="33"/>
              <w:rPr>
                <w:color w:val="auto"/>
              </w:rPr>
            </w:pPr>
          </w:p>
        </w:tc>
        <w:tc>
          <w:tcPr>
            <w:tcW w:w="500" w:type="pct"/>
            <w:vAlign w:val="center"/>
          </w:tcPr>
          <w:p w14:paraId="4BDF893E">
            <w:pPr>
              <w:pStyle w:val="33"/>
              <w:rPr>
                <w:color w:val="auto"/>
              </w:rPr>
            </w:pPr>
          </w:p>
        </w:tc>
        <w:tc>
          <w:tcPr>
            <w:tcW w:w="500" w:type="pct"/>
            <w:vAlign w:val="center"/>
          </w:tcPr>
          <w:p w14:paraId="59A0E923">
            <w:pPr>
              <w:pStyle w:val="33"/>
              <w:rPr>
                <w:color w:val="auto"/>
              </w:rPr>
            </w:pPr>
          </w:p>
        </w:tc>
        <w:tc>
          <w:tcPr>
            <w:tcW w:w="500" w:type="pct"/>
            <w:vMerge w:val="continue"/>
            <w:vAlign w:val="center"/>
          </w:tcPr>
          <w:p w14:paraId="0D1CC6D9">
            <w:pPr>
              <w:pStyle w:val="33"/>
              <w:rPr>
                <w:color w:val="auto"/>
              </w:rPr>
            </w:pPr>
          </w:p>
        </w:tc>
        <w:tc>
          <w:tcPr>
            <w:tcW w:w="500" w:type="pct"/>
            <w:vAlign w:val="center"/>
          </w:tcPr>
          <w:p w14:paraId="24053239">
            <w:pPr>
              <w:pStyle w:val="33"/>
              <w:rPr>
                <w:color w:val="auto"/>
              </w:rPr>
            </w:pPr>
            <w:r>
              <w:rPr>
                <w:color w:val="auto"/>
              </w:rPr>
              <w:t>标准指数</w:t>
            </w:r>
          </w:p>
        </w:tc>
        <w:tc>
          <w:tcPr>
            <w:tcW w:w="500" w:type="pct"/>
            <w:vAlign w:val="center"/>
          </w:tcPr>
          <w:p w14:paraId="766481CE">
            <w:pPr>
              <w:pStyle w:val="33"/>
              <w:rPr>
                <w:color w:val="auto"/>
              </w:rPr>
            </w:pPr>
          </w:p>
        </w:tc>
        <w:tc>
          <w:tcPr>
            <w:tcW w:w="500" w:type="pct"/>
            <w:vAlign w:val="center"/>
          </w:tcPr>
          <w:p w14:paraId="08D4B885">
            <w:pPr>
              <w:pStyle w:val="33"/>
              <w:rPr>
                <w:color w:val="auto"/>
              </w:rPr>
            </w:pPr>
          </w:p>
        </w:tc>
        <w:tc>
          <w:tcPr>
            <w:tcW w:w="498" w:type="pct"/>
            <w:vAlign w:val="center"/>
          </w:tcPr>
          <w:p w14:paraId="63B78362">
            <w:pPr>
              <w:pStyle w:val="33"/>
              <w:rPr>
                <w:color w:val="auto"/>
              </w:rPr>
            </w:pPr>
          </w:p>
        </w:tc>
      </w:tr>
      <w:tr w14:paraId="0B68A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E77FE45">
            <w:pPr>
              <w:pStyle w:val="33"/>
              <w:rPr>
                <w:color w:val="auto"/>
              </w:rPr>
            </w:pPr>
          </w:p>
        </w:tc>
        <w:tc>
          <w:tcPr>
            <w:tcW w:w="502" w:type="pct"/>
            <w:vAlign w:val="center"/>
          </w:tcPr>
          <w:p w14:paraId="2C624E85">
            <w:pPr>
              <w:pStyle w:val="33"/>
              <w:rPr>
                <w:color w:val="auto"/>
              </w:rPr>
            </w:pPr>
            <w:r>
              <w:rPr>
                <w:color w:val="auto"/>
              </w:rPr>
              <w:t>超标倍数</w:t>
            </w:r>
          </w:p>
        </w:tc>
        <w:tc>
          <w:tcPr>
            <w:tcW w:w="500" w:type="pct"/>
            <w:vAlign w:val="center"/>
          </w:tcPr>
          <w:p w14:paraId="526B19A9">
            <w:pPr>
              <w:pStyle w:val="33"/>
              <w:rPr>
                <w:color w:val="auto"/>
              </w:rPr>
            </w:pPr>
          </w:p>
        </w:tc>
        <w:tc>
          <w:tcPr>
            <w:tcW w:w="500" w:type="pct"/>
            <w:vAlign w:val="center"/>
          </w:tcPr>
          <w:p w14:paraId="71C43DF6">
            <w:pPr>
              <w:pStyle w:val="33"/>
              <w:rPr>
                <w:color w:val="auto"/>
              </w:rPr>
            </w:pPr>
          </w:p>
        </w:tc>
        <w:tc>
          <w:tcPr>
            <w:tcW w:w="500" w:type="pct"/>
            <w:vAlign w:val="center"/>
          </w:tcPr>
          <w:p w14:paraId="1089F0D8">
            <w:pPr>
              <w:pStyle w:val="33"/>
              <w:rPr>
                <w:color w:val="auto"/>
              </w:rPr>
            </w:pPr>
          </w:p>
        </w:tc>
        <w:tc>
          <w:tcPr>
            <w:tcW w:w="500" w:type="pct"/>
            <w:vMerge w:val="continue"/>
            <w:vAlign w:val="center"/>
          </w:tcPr>
          <w:p w14:paraId="16E9464B">
            <w:pPr>
              <w:pStyle w:val="33"/>
              <w:rPr>
                <w:color w:val="auto"/>
              </w:rPr>
            </w:pPr>
          </w:p>
        </w:tc>
        <w:tc>
          <w:tcPr>
            <w:tcW w:w="500" w:type="pct"/>
            <w:vAlign w:val="center"/>
          </w:tcPr>
          <w:p w14:paraId="0E3A6B17">
            <w:pPr>
              <w:pStyle w:val="33"/>
              <w:rPr>
                <w:color w:val="auto"/>
              </w:rPr>
            </w:pPr>
            <w:r>
              <w:rPr>
                <w:color w:val="auto"/>
              </w:rPr>
              <w:t>超标倍数</w:t>
            </w:r>
          </w:p>
        </w:tc>
        <w:tc>
          <w:tcPr>
            <w:tcW w:w="500" w:type="pct"/>
            <w:vAlign w:val="center"/>
          </w:tcPr>
          <w:p w14:paraId="722AFB8A">
            <w:pPr>
              <w:pStyle w:val="33"/>
              <w:rPr>
                <w:color w:val="auto"/>
              </w:rPr>
            </w:pPr>
          </w:p>
        </w:tc>
        <w:tc>
          <w:tcPr>
            <w:tcW w:w="500" w:type="pct"/>
            <w:vAlign w:val="center"/>
          </w:tcPr>
          <w:p w14:paraId="7600C116">
            <w:pPr>
              <w:pStyle w:val="33"/>
              <w:rPr>
                <w:color w:val="auto"/>
              </w:rPr>
            </w:pPr>
          </w:p>
        </w:tc>
        <w:tc>
          <w:tcPr>
            <w:tcW w:w="498" w:type="pct"/>
            <w:vAlign w:val="center"/>
          </w:tcPr>
          <w:p w14:paraId="15FC4ED3">
            <w:pPr>
              <w:pStyle w:val="33"/>
              <w:rPr>
                <w:color w:val="auto"/>
              </w:rPr>
            </w:pPr>
          </w:p>
        </w:tc>
      </w:tr>
      <w:tr w14:paraId="66611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82C557D">
            <w:pPr>
              <w:pStyle w:val="33"/>
              <w:rPr>
                <w:color w:val="auto"/>
              </w:rPr>
            </w:pPr>
            <w:r>
              <w:rPr>
                <w:color w:val="auto"/>
              </w:rPr>
              <w:t>1,1-二氯乙烷</w:t>
            </w:r>
          </w:p>
        </w:tc>
        <w:tc>
          <w:tcPr>
            <w:tcW w:w="502" w:type="pct"/>
            <w:vAlign w:val="center"/>
          </w:tcPr>
          <w:p w14:paraId="67D87C17">
            <w:pPr>
              <w:pStyle w:val="33"/>
              <w:rPr>
                <w:color w:val="auto"/>
              </w:rPr>
            </w:pPr>
            <w:r>
              <w:rPr>
                <w:color w:val="auto"/>
              </w:rPr>
              <w:t>监测值</w:t>
            </w:r>
          </w:p>
        </w:tc>
        <w:tc>
          <w:tcPr>
            <w:tcW w:w="500" w:type="pct"/>
            <w:vAlign w:val="center"/>
          </w:tcPr>
          <w:p w14:paraId="771D7CD5">
            <w:pPr>
              <w:pStyle w:val="33"/>
              <w:rPr>
                <w:color w:val="auto"/>
              </w:rPr>
            </w:pPr>
          </w:p>
        </w:tc>
        <w:tc>
          <w:tcPr>
            <w:tcW w:w="500" w:type="pct"/>
            <w:vAlign w:val="center"/>
          </w:tcPr>
          <w:p w14:paraId="414AE899">
            <w:pPr>
              <w:pStyle w:val="33"/>
              <w:rPr>
                <w:color w:val="auto"/>
              </w:rPr>
            </w:pPr>
          </w:p>
        </w:tc>
        <w:tc>
          <w:tcPr>
            <w:tcW w:w="500" w:type="pct"/>
            <w:vAlign w:val="center"/>
          </w:tcPr>
          <w:p w14:paraId="71C9FABD">
            <w:pPr>
              <w:pStyle w:val="33"/>
              <w:rPr>
                <w:color w:val="auto"/>
              </w:rPr>
            </w:pPr>
          </w:p>
        </w:tc>
        <w:tc>
          <w:tcPr>
            <w:tcW w:w="500" w:type="pct"/>
            <w:vMerge w:val="restart"/>
            <w:vAlign w:val="center"/>
          </w:tcPr>
          <w:p w14:paraId="6CA51799">
            <w:pPr>
              <w:pStyle w:val="33"/>
              <w:rPr>
                <w:color w:val="auto"/>
              </w:rPr>
            </w:pPr>
            <w:r>
              <w:rPr>
                <w:color w:val="auto"/>
              </w:rPr>
              <w:t>1,2,3-三氯丙烷</w:t>
            </w:r>
          </w:p>
        </w:tc>
        <w:tc>
          <w:tcPr>
            <w:tcW w:w="500" w:type="pct"/>
            <w:vAlign w:val="center"/>
          </w:tcPr>
          <w:p w14:paraId="14873B00">
            <w:pPr>
              <w:pStyle w:val="33"/>
              <w:rPr>
                <w:color w:val="auto"/>
              </w:rPr>
            </w:pPr>
            <w:r>
              <w:rPr>
                <w:color w:val="auto"/>
              </w:rPr>
              <w:t>监测值</w:t>
            </w:r>
          </w:p>
        </w:tc>
        <w:tc>
          <w:tcPr>
            <w:tcW w:w="500" w:type="pct"/>
            <w:vAlign w:val="center"/>
          </w:tcPr>
          <w:p w14:paraId="22EF3090">
            <w:pPr>
              <w:pStyle w:val="33"/>
              <w:rPr>
                <w:color w:val="auto"/>
              </w:rPr>
            </w:pPr>
          </w:p>
        </w:tc>
        <w:tc>
          <w:tcPr>
            <w:tcW w:w="500" w:type="pct"/>
            <w:vAlign w:val="center"/>
          </w:tcPr>
          <w:p w14:paraId="4D26DBAE">
            <w:pPr>
              <w:pStyle w:val="33"/>
              <w:rPr>
                <w:color w:val="auto"/>
              </w:rPr>
            </w:pPr>
          </w:p>
        </w:tc>
        <w:tc>
          <w:tcPr>
            <w:tcW w:w="498" w:type="pct"/>
            <w:vAlign w:val="center"/>
          </w:tcPr>
          <w:p w14:paraId="66C6741B">
            <w:pPr>
              <w:pStyle w:val="33"/>
              <w:rPr>
                <w:color w:val="auto"/>
              </w:rPr>
            </w:pPr>
          </w:p>
        </w:tc>
      </w:tr>
      <w:tr w14:paraId="50522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6CCB3AC">
            <w:pPr>
              <w:pStyle w:val="33"/>
              <w:rPr>
                <w:color w:val="auto"/>
              </w:rPr>
            </w:pPr>
          </w:p>
        </w:tc>
        <w:tc>
          <w:tcPr>
            <w:tcW w:w="502" w:type="pct"/>
            <w:vAlign w:val="center"/>
          </w:tcPr>
          <w:p w14:paraId="66159A5C">
            <w:pPr>
              <w:pStyle w:val="33"/>
              <w:rPr>
                <w:color w:val="auto"/>
              </w:rPr>
            </w:pPr>
            <w:r>
              <w:rPr>
                <w:color w:val="auto"/>
              </w:rPr>
              <w:t>筛选值</w:t>
            </w:r>
          </w:p>
        </w:tc>
        <w:tc>
          <w:tcPr>
            <w:tcW w:w="500" w:type="pct"/>
            <w:vAlign w:val="center"/>
          </w:tcPr>
          <w:p w14:paraId="65CFA332">
            <w:pPr>
              <w:pStyle w:val="33"/>
              <w:rPr>
                <w:color w:val="auto"/>
              </w:rPr>
            </w:pPr>
          </w:p>
        </w:tc>
        <w:tc>
          <w:tcPr>
            <w:tcW w:w="500" w:type="pct"/>
            <w:vAlign w:val="center"/>
          </w:tcPr>
          <w:p w14:paraId="69B4A4F4">
            <w:pPr>
              <w:pStyle w:val="33"/>
              <w:rPr>
                <w:color w:val="auto"/>
              </w:rPr>
            </w:pPr>
          </w:p>
        </w:tc>
        <w:tc>
          <w:tcPr>
            <w:tcW w:w="500" w:type="pct"/>
            <w:vAlign w:val="center"/>
          </w:tcPr>
          <w:p w14:paraId="52292524">
            <w:pPr>
              <w:pStyle w:val="33"/>
              <w:rPr>
                <w:color w:val="auto"/>
              </w:rPr>
            </w:pPr>
          </w:p>
        </w:tc>
        <w:tc>
          <w:tcPr>
            <w:tcW w:w="500" w:type="pct"/>
            <w:vMerge w:val="continue"/>
            <w:vAlign w:val="center"/>
          </w:tcPr>
          <w:p w14:paraId="0F82C3A0">
            <w:pPr>
              <w:pStyle w:val="33"/>
              <w:rPr>
                <w:color w:val="auto"/>
              </w:rPr>
            </w:pPr>
          </w:p>
        </w:tc>
        <w:tc>
          <w:tcPr>
            <w:tcW w:w="500" w:type="pct"/>
            <w:vAlign w:val="center"/>
          </w:tcPr>
          <w:p w14:paraId="26979A08">
            <w:pPr>
              <w:pStyle w:val="33"/>
              <w:rPr>
                <w:color w:val="auto"/>
              </w:rPr>
            </w:pPr>
            <w:r>
              <w:rPr>
                <w:color w:val="auto"/>
              </w:rPr>
              <w:t>筛选值</w:t>
            </w:r>
          </w:p>
        </w:tc>
        <w:tc>
          <w:tcPr>
            <w:tcW w:w="500" w:type="pct"/>
            <w:vAlign w:val="center"/>
          </w:tcPr>
          <w:p w14:paraId="20FCF4A2">
            <w:pPr>
              <w:pStyle w:val="33"/>
              <w:rPr>
                <w:color w:val="auto"/>
              </w:rPr>
            </w:pPr>
          </w:p>
        </w:tc>
        <w:tc>
          <w:tcPr>
            <w:tcW w:w="500" w:type="pct"/>
            <w:vAlign w:val="center"/>
          </w:tcPr>
          <w:p w14:paraId="2341A885">
            <w:pPr>
              <w:pStyle w:val="33"/>
              <w:rPr>
                <w:color w:val="auto"/>
              </w:rPr>
            </w:pPr>
          </w:p>
        </w:tc>
        <w:tc>
          <w:tcPr>
            <w:tcW w:w="498" w:type="pct"/>
            <w:vAlign w:val="center"/>
          </w:tcPr>
          <w:p w14:paraId="28EABC9A">
            <w:pPr>
              <w:pStyle w:val="33"/>
              <w:rPr>
                <w:color w:val="auto"/>
              </w:rPr>
            </w:pPr>
          </w:p>
        </w:tc>
      </w:tr>
      <w:tr w14:paraId="0C720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79ED8ED0">
            <w:pPr>
              <w:pStyle w:val="33"/>
              <w:rPr>
                <w:color w:val="auto"/>
              </w:rPr>
            </w:pPr>
          </w:p>
        </w:tc>
        <w:tc>
          <w:tcPr>
            <w:tcW w:w="502" w:type="pct"/>
            <w:vAlign w:val="center"/>
          </w:tcPr>
          <w:p w14:paraId="298CC776">
            <w:pPr>
              <w:pStyle w:val="33"/>
              <w:rPr>
                <w:color w:val="auto"/>
              </w:rPr>
            </w:pPr>
            <w:r>
              <w:rPr>
                <w:color w:val="auto"/>
              </w:rPr>
              <w:t>标准指数</w:t>
            </w:r>
          </w:p>
        </w:tc>
        <w:tc>
          <w:tcPr>
            <w:tcW w:w="500" w:type="pct"/>
            <w:vAlign w:val="center"/>
          </w:tcPr>
          <w:p w14:paraId="18CCC420">
            <w:pPr>
              <w:pStyle w:val="33"/>
              <w:rPr>
                <w:color w:val="auto"/>
              </w:rPr>
            </w:pPr>
          </w:p>
        </w:tc>
        <w:tc>
          <w:tcPr>
            <w:tcW w:w="500" w:type="pct"/>
            <w:vAlign w:val="center"/>
          </w:tcPr>
          <w:p w14:paraId="028CB354">
            <w:pPr>
              <w:pStyle w:val="33"/>
              <w:rPr>
                <w:color w:val="auto"/>
              </w:rPr>
            </w:pPr>
          </w:p>
        </w:tc>
        <w:tc>
          <w:tcPr>
            <w:tcW w:w="500" w:type="pct"/>
            <w:vAlign w:val="center"/>
          </w:tcPr>
          <w:p w14:paraId="6AC85DBA">
            <w:pPr>
              <w:pStyle w:val="33"/>
              <w:rPr>
                <w:color w:val="auto"/>
              </w:rPr>
            </w:pPr>
          </w:p>
        </w:tc>
        <w:tc>
          <w:tcPr>
            <w:tcW w:w="500" w:type="pct"/>
            <w:vMerge w:val="continue"/>
            <w:vAlign w:val="center"/>
          </w:tcPr>
          <w:p w14:paraId="23C09BF7">
            <w:pPr>
              <w:pStyle w:val="33"/>
              <w:rPr>
                <w:color w:val="auto"/>
              </w:rPr>
            </w:pPr>
          </w:p>
        </w:tc>
        <w:tc>
          <w:tcPr>
            <w:tcW w:w="500" w:type="pct"/>
            <w:vAlign w:val="center"/>
          </w:tcPr>
          <w:p w14:paraId="2F2C12CC">
            <w:pPr>
              <w:pStyle w:val="33"/>
              <w:rPr>
                <w:color w:val="auto"/>
              </w:rPr>
            </w:pPr>
            <w:r>
              <w:rPr>
                <w:color w:val="auto"/>
              </w:rPr>
              <w:t>标准指数</w:t>
            </w:r>
          </w:p>
        </w:tc>
        <w:tc>
          <w:tcPr>
            <w:tcW w:w="500" w:type="pct"/>
            <w:vAlign w:val="center"/>
          </w:tcPr>
          <w:p w14:paraId="48D9DB33">
            <w:pPr>
              <w:pStyle w:val="33"/>
              <w:rPr>
                <w:color w:val="auto"/>
              </w:rPr>
            </w:pPr>
          </w:p>
        </w:tc>
        <w:tc>
          <w:tcPr>
            <w:tcW w:w="500" w:type="pct"/>
            <w:vAlign w:val="center"/>
          </w:tcPr>
          <w:p w14:paraId="68BB0B1E">
            <w:pPr>
              <w:pStyle w:val="33"/>
              <w:rPr>
                <w:color w:val="auto"/>
              </w:rPr>
            </w:pPr>
          </w:p>
        </w:tc>
        <w:tc>
          <w:tcPr>
            <w:tcW w:w="498" w:type="pct"/>
            <w:vAlign w:val="center"/>
          </w:tcPr>
          <w:p w14:paraId="6AA664B3">
            <w:pPr>
              <w:pStyle w:val="33"/>
              <w:rPr>
                <w:color w:val="auto"/>
              </w:rPr>
            </w:pPr>
          </w:p>
        </w:tc>
      </w:tr>
      <w:tr w14:paraId="5DCCD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DCE885B">
            <w:pPr>
              <w:pStyle w:val="33"/>
              <w:rPr>
                <w:color w:val="auto"/>
              </w:rPr>
            </w:pPr>
          </w:p>
        </w:tc>
        <w:tc>
          <w:tcPr>
            <w:tcW w:w="502" w:type="pct"/>
            <w:vAlign w:val="center"/>
          </w:tcPr>
          <w:p w14:paraId="4751CD5F">
            <w:pPr>
              <w:pStyle w:val="33"/>
              <w:rPr>
                <w:color w:val="auto"/>
              </w:rPr>
            </w:pPr>
            <w:r>
              <w:rPr>
                <w:color w:val="auto"/>
              </w:rPr>
              <w:t>超标倍数</w:t>
            </w:r>
          </w:p>
        </w:tc>
        <w:tc>
          <w:tcPr>
            <w:tcW w:w="500" w:type="pct"/>
            <w:vAlign w:val="center"/>
          </w:tcPr>
          <w:p w14:paraId="284085D6">
            <w:pPr>
              <w:pStyle w:val="33"/>
              <w:rPr>
                <w:color w:val="auto"/>
              </w:rPr>
            </w:pPr>
          </w:p>
        </w:tc>
        <w:tc>
          <w:tcPr>
            <w:tcW w:w="500" w:type="pct"/>
            <w:vAlign w:val="center"/>
          </w:tcPr>
          <w:p w14:paraId="4E5B31CA">
            <w:pPr>
              <w:pStyle w:val="33"/>
              <w:rPr>
                <w:color w:val="auto"/>
              </w:rPr>
            </w:pPr>
          </w:p>
        </w:tc>
        <w:tc>
          <w:tcPr>
            <w:tcW w:w="500" w:type="pct"/>
            <w:vAlign w:val="center"/>
          </w:tcPr>
          <w:p w14:paraId="1B92046D">
            <w:pPr>
              <w:pStyle w:val="33"/>
              <w:rPr>
                <w:color w:val="auto"/>
              </w:rPr>
            </w:pPr>
          </w:p>
        </w:tc>
        <w:tc>
          <w:tcPr>
            <w:tcW w:w="500" w:type="pct"/>
            <w:vMerge w:val="continue"/>
            <w:vAlign w:val="center"/>
          </w:tcPr>
          <w:p w14:paraId="4BC08E9B">
            <w:pPr>
              <w:pStyle w:val="33"/>
              <w:rPr>
                <w:color w:val="auto"/>
              </w:rPr>
            </w:pPr>
          </w:p>
        </w:tc>
        <w:tc>
          <w:tcPr>
            <w:tcW w:w="500" w:type="pct"/>
            <w:vAlign w:val="center"/>
          </w:tcPr>
          <w:p w14:paraId="352BB550">
            <w:pPr>
              <w:pStyle w:val="33"/>
              <w:rPr>
                <w:color w:val="auto"/>
              </w:rPr>
            </w:pPr>
            <w:r>
              <w:rPr>
                <w:color w:val="auto"/>
              </w:rPr>
              <w:t>超标倍数</w:t>
            </w:r>
          </w:p>
        </w:tc>
        <w:tc>
          <w:tcPr>
            <w:tcW w:w="500" w:type="pct"/>
            <w:vAlign w:val="center"/>
          </w:tcPr>
          <w:p w14:paraId="68D79234">
            <w:pPr>
              <w:pStyle w:val="33"/>
              <w:rPr>
                <w:color w:val="auto"/>
              </w:rPr>
            </w:pPr>
          </w:p>
        </w:tc>
        <w:tc>
          <w:tcPr>
            <w:tcW w:w="500" w:type="pct"/>
            <w:vAlign w:val="center"/>
          </w:tcPr>
          <w:p w14:paraId="3110D46B">
            <w:pPr>
              <w:pStyle w:val="33"/>
              <w:rPr>
                <w:color w:val="auto"/>
              </w:rPr>
            </w:pPr>
          </w:p>
        </w:tc>
        <w:tc>
          <w:tcPr>
            <w:tcW w:w="498" w:type="pct"/>
            <w:vAlign w:val="center"/>
          </w:tcPr>
          <w:p w14:paraId="6DB1EC8D">
            <w:pPr>
              <w:pStyle w:val="33"/>
              <w:rPr>
                <w:color w:val="auto"/>
              </w:rPr>
            </w:pPr>
          </w:p>
        </w:tc>
      </w:tr>
      <w:tr w14:paraId="00910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restart"/>
            <w:vAlign w:val="center"/>
          </w:tcPr>
          <w:p w14:paraId="1715533F">
            <w:pPr>
              <w:pStyle w:val="33"/>
              <w:rPr>
                <w:color w:val="auto"/>
              </w:rPr>
            </w:pPr>
            <w:r>
              <w:rPr>
                <w:color w:val="auto"/>
              </w:rPr>
              <w:t>顺式-1,2-二氯乙烯</w:t>
            </w:r>
          </w:p>
        </w:tc>
        <w:tc>
          <w:tcPr>
            <w:tcW w:w="502" w:type="pct"/>
            <w:vAlign w:val="center"/>
          </w:tcPr>
          <w:p w14:paraId="28275CF9">
            <w:pPr>
              <w:pStyle w:val="33"/>
              <w:rPr>
                <w:color w:val="auto"/>
              </w:rPr>
            </w:pPr>
            <w:r>
              <w:rPr>
                <w:color w:val="auto"/>
              </w:rPr>
              <w:t>监测值</w:t>
            </w:r>
          </w:p>
        </w:tc>
        <w:tc>
          <w:tcPr>
            <w:tcW w:w="500" w:type="pct"/>
            <w:vAlign w:val="center"/>
          </w:tcPr>
          <w:p w14:paraId="09268212">
            <w:pPr>
              <w:pStyle w:val="33"/>
              <w:rPr>
                <w:color w:val="auto"/>
              </w:rPr>
            </w:pPr>
          </w:p>
        </w:tc>
        <w:tc>
          <w:tcPr>
            <w:tcW w:w="500" w:type="pct"/>
            <w:vAlign w:val="center"/>
          </w:tcPr>
          <w:p w14:paraId="25589633">
            <w:pPr>
              <w:pStyle w:val="33"/>
              <w:rPr>
                <w:color w:val="auto"/>
              </w:rPr>
            </w:pPr>
          </w:p>
        </w:tc>
        <w:tc>
          <w:tcPr>
            <w:tcW w:w="500" w:type="pct"/>
            <w:vAlign w:val="center"/>
          </w:tcPr>
          <w:p w14:paraId="5286FC11">
            <w:pPr>
              <w:pStyle w:val="33"/>
              <w:rPr>
                <w:color w:val="auto"/>
              </w:rPr>
            </w:pPr>
          </w:p>
        </w:tc>
        <w:tc>
          <w:tcPr>
            <w:tcW w:w="500" w:type="pct"/>
            <w:vMerge w:val="restart"/>
            <w:vAlign w:val="center"/>
          </w:tcPr>
          <w:p w14:paraId="1F80F457">
            <w:pPr>
              <w:pStyle w:val="33"/>
              <w:rPr>
                <w:color w:val="auto"/>
              </w:rPr>
            </w:pPr>
            <w:r>
              <w:rPr>
                <w:color w:val="auto"/>
              </w:rPr>
              <w:t>1,4-二氯苯</w:t>
            </w:r>
          </w:p>
        </w:tc>
        <w:tc>
          <w:tcPr>
            <w:tcW w:w="500" w:type="pct"/>
            <w:vAlign w:val="center"/>
          </w:tcPr>
          <w:p w14:paraId="312A711E">
            <w:pPr>
              <w:pStyle w:val="33"/>
              <w:rPr>
                <w:color w:val="auto"/>
              </w:rPr>
            </w:pPr>
            <w:r>
              <w:rPr>
                <w:color w:val="auto"/>
              </w:rPr>
              <w:t>监测值</w:t>
            </w:r>
          </w:p>
        </w:tc>
        <w:tc>
          <w:tcPr>
            <w:tcW w:w="500" w:type="pct"/>
            <w:vAlign w:val="center"/>
          </w:tcPr>
          <w:p w14:paraId="444258A0">
            <w:pPr>
              <w:pStyle w:val="33"/>
              <w:rPr>
                <w:color w:val="auto"/>
              </w:rPr>
            </w:pPr>
          </w:p>
        </w:tc>
        <w:tc>
          <w:tcPr>
            <w:tcW w:w="500" w:type="pct"/>
            <w:vAlign w:val="center"/>
          </w:tcPr>
          <w:p w14:paraId="404ECBF7">
            <w:pPr>
              <w:pStyle w:val="33"/>
              <w:rPr>
                <w:color w:val="auto"/>
              </w:rPr>
            </w:pPr>
          </w:p>
        </w:tc>
        <w:tc>
          <w:tcPr>
            <w:tcW w:w="498" w:type="pct"/>
            <w:vAlign w:val="center"/>
          </w:tcPr>
          <w:p w14:paraId="29F39467">
            <w:pPr>
              <w:pStyle w:val="33"/>
              <w:rPr>
                <w:color w:val="auto"/>
              </w:rPr>
            </w:pPr>
          </w:p>
        </w:tc>
      </w:tr>
      <w:tr w14:paraId="78E6D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7A52F6C">
            <w:pPr>
              <w:pStyle w:val="33"/>
              <w:rPr>
                <w:color w:val="auto"/>
              </w:rPr>
            </w:pPr>
          </w:p>
        </w:tc>
        <w:tc>
          <w:tcPr>
            <w:tcW w:w="502" w:type="pct"/>
            <w:vAlign w:val="center"/>
          </w:tcPr>
          <w:p w14:paraId="77193459">
            <w:pPr>
              <w:pStyle w:val="33"/>
              <w:rPr>
                <w:color w:val="auto"/>
              </w:rPr>
            </w:pPr>
            <w:r>
              <w:rPr>
                <w:color w:val="auto"/>
              </w:rPr>
              <w:t>筛选值</w:t>
            </w:r>
          </w:p>
        </w:tc>
        <w:tc>
          <w:tcPr>
            <w:tcW w:w="500" w:type="pct"/>
            <w:vAlign w:val="center"/>
          </w:tcPr>
          <w:p w14:paraId="1CFA3824">
            <w:pPr>
              <w:pStyle w:val="33"/>
              <w:rPr>
                <w:color w:val="auto"/>
              </w:rPr>
            </w:pPr>
          </w:p>
        </w:tc>
        <w:tc>
          <w:tcPr>
            <w:tcW w:w="500" w:type="pct"/>
            <w:vAlign w:val="center"/>
          </w:tcPr>
          <w:p w14:paraId="46486FA8">
            <w:pPr>
              <w:pStyle w:val="33"/>
              <w:rPr>
                <w:color w:val="auto"/>
              </w:rPr>
            </w:pPr>
          </w:p>
        </w:tc>
        <w:tc>
          <w:tcPr>
            <w:tcW w:w="500" w:type="pct"/>
            <w:vAlign w:val="center"/>
          </w:tcPr>
          <w:p w14:paraId="63F04ACF">
            <w:pPr>
              <w:pStyle w:val="33"/>
              <w:rPr>
                <w:color w:val="auto"/>
              </w:rPr>
            </w:pPr>
          </w:p>
        </w:tc>
        <w:tc>
          <w:tcPr>
            <w:tcW w:w="500" w:type="pct"/>
            <w:vMerge w:val="continue"/>
            <w:vAlign w:val="center"/>
          </w:tcPr>
          <w:p w14:paraId="1472CBAE">
            <w:pPr>
              <w:pStyle w:val="33"/>
              <w:rPr>
                <w:color w:val="auto"/>
              </w:rPr>
            </w:pPr>
          </w:p>
        </w:tc>
        <w:tc>
          <w:tcPr>
            <w:tcW w:w="500" w:type="pct"/>
            <w:vAlign w:val="center"/>
          </w:tcPr>
          <w:p w14:paraId="12FC9BF2">
            <w:pPr>
              <w:pStyle w:val="33"/>
              <w:rPr>
                <w:color w:val="auto"/>
              </w:rPr>
            </w:pPr>
            <w:r>
              <w:rPr>
                <w:color w:val="auto"/>
              </w:rPr>
              <w:t>筛选值</w:t>
            </w:r>
          </w:p>
        </w:tc>
        <w:tc>
          <w:tcPr>
            <w:tcW w:w="500" w:type="pct"/>
            <w:vAlign w:val="center"/>
          </w:tcPr>
          <w:p w14:paraId="7FF73C32">
            <w:pPr>
              <w:pStyle w:val="33"/>
              <w:rPr>
                <w:color w:val="auto"/>
              </w:rPr>
            </w:pPr>
          </w:p>
        </w:tc>
        <w:tc>
          <w:tcPr>
            <w:tcW w:w="500" w:type="pct"/>
            <w:vAlign w:val="center"/>
          </w:tcPr>
          <w:p w14:paraId="4ACD4D97">
            <w:pPr>
              <w:pStyle w:val="33"/>
              <w:rPr>
                <w:color w:val="auto"/>
              </w:rPr>
            </w:pPr>
          </w:p>
        </w:tc>
        <w:tc>
          <w:tcPr>
            <w:tcW w:w="498" w:type="pct"/>
            <w:vAlign w:val="center"/>
          </w:tcPr>
          <w:p w14:paraId="41266469">
            <w:pPr>
              <w:pStyle w:val="33"/>
              <w:rPr>
                <w:color w:val="auto"/>
              </w:rPr>
            </w:pPr>
          </w:p>
        </w:tc>
      </w:tr>
      <w:tr w14:paraId="06F3B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C216BF0">
            <w:pPr>
              <w:pStyle w:val="33"/>
              <w:rPr>
                <w:color w:val="auto"/>
              </w:rPr>
            </w:pPr>
          </w:p>
        </w:tc>
        <w:tc>
          <w:tcPr>
            <w:tcW w:w="502" w:type="pct"/>
            <w:vAlign w:val="center"/>
          </w:tcPr>
          <w:p w14:paraId="3936A4CA">
            <w:pPr>
              <w:pStyle w:val="33"/>
              <w:rPr>
                <w:color w:val="auto"/>
              </w:rPr>
            </w:pPr>
            <w:r>
              <w:rPr>
                <w:color w:val="auto"/>
              </w:rPr>
              <w:t>标准指数</w:t>
            </w:r>
          </w:p>
        </w:tc>
        <w:tc>
          <w:tcPr>
            <w:tcW w:w="500" w:type="pct"/>
            <w:vAlign w:val="center"/>
          </w:tcPr>
          <w:p w14:paraId="005CA19E">
            <w:pPr>
              <w:pStyle w:val="33"/>
              <w:rPr>
                <w:color w:val="auto"/>
              </w:rPr>
            </w:pPr>
          </w:p>
        </w:tc>
        <w:tc>
          <w:tcPr>
            <w:tcW w:w="500" w:type="pct"/>
            <w:vAlign w:val="center"/>
          </w:tcPr>
          <w:p w14:paraId="7CB0E1C4">
            <w:pPr>
              <w:pStyle w:val="33"/>
              <w:rPr>
                <w:color w:val="auto"/>
              </w:rPr>
            </w:pPr>
          </w:p>
        </w:tc>
        <w:tc>
          <w:tcPr>
            <w:tcW w:w="500" w:type="pct"/>
            <w:vAlign w:val="center"/>
          </w:tcPr>
          <w:p w14:paraId="28D22553">
            <w:pPr>
              <w:pStyle w:val="33"/>
              <w:rPr>
                <w:color w:val="auto"/>
              </w:rPr>
            </w:pPr>
          </w:p>
        </w:tc>
        <w:tc>
          <w:tcPr>
            <w:tcW w:w="500" w:type="pct"/>
            <w:vMerge w:val="continue"/>
            <w:vAlign w:val="center"/>
          </w:tcPr>
          <w:p w14:paraId="20EEB274">
            <w:pPr>
              <w:pStyle w:val="33"/>
              <w:rPr>
                <w:color w:val="auto"/>
              </w:rPr>
            </w:pPr>
          </w:p>
        </w:tc>
        <w:tc>
          <w:tcPr>
            <w:tcW w:w="500" w:type="pct"/>
            <w:vAlign w:val="center"/>
          </w:tcPr>
          <w:p w14:paraId="0040C2B1">
            <w:pPr>
              <w:pStyle w:val="33"/>
              <w:rPr>
                <w:color w:val="auto"/>
              </w:rPr>
            </w:pPr>
            <w:r>
              <w:rPr>
                <w:color w:val="auto"/>
              </w:rPr>
              <w:t>标准指数</w:t>
            </w:r>
          </w:p>
        </w:tc>
        <w:tc>
          <w:tcPr>
            <w:tcW w:w="500" w:type="pct"/>
            <w:vAlign w:val="center"/>
          </w:tcPr>
          <w:p w14:paraId="4F79BCC4">
            <w:pPr>
              <w:pStyle w:val="33"/>
              <w:rPr>
                <w:color w:val="auto"/>
              </w:rPr>
            </w:pPr>
          </w:p>
        </w:tc>
        <w:tc>
          <w:tcPr>
            <w:tcW w:w="500" w:type="pct"/>
            <w:vAlign w:val="center"/>
          </w:tcPr>
          <w:p w14:paraId="0C4B9B73">
            <w:pPr>
              <w:pStyle w:val="33"/>
              <w:rPr>
                <w:color w:val="auto"/>
              </w:rPr>
            </w:pPr>
          </w:p>
        </w:tc>
        <w:tc>
          <w:tcPr>
            <w:tcW w:w="498" w:type="pct"/>
            <w:vAlign w:val="center"/>
          </w:tcPr>
          <w:p w14:paraId="4B975063">
            <w:pPr>
              <w:pStyle w:val="33"/>
              <w:rPr>
                <w:color w:val="auto"/>
              </w:rPr>
            </w:pPr>
          </w:p>
        </w:tc>
      </w:tr>
      <w:tr w14:paraId="0DF4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E998473">
            <w:pPr>
              <w:pStyle w:val="33"/>
              <w:rPr>
                <w:color w:val="auto"/>
              </w:rPr>
            </w:pPr>
          </w:p>
        </w:tc>
        <w:tc>
          <w:tcPr>
            <w:tcW w:w="502" w:type="pct"/>
            <w:vAlign w:val="center"/>
          </w:tcPr>
          <w:p w14:paraId="727B0BF0">
            <w:pPr>
              <w:pStyle w:val="33"/>
              <w:rPr>
                <w:color w:val="auto"/>
              </w:rPr>
            </w:pPr>
            <w:r>
              <w:rPr>
                <w:color w:val="auto"/>
              </w:rPr>
              <w:t>超标倍数</w:t>
            </w:r>
          </w:p>
        </w:tc>
        <w:tc>
          <w:tcPr>
            <w:tcW w:w="500" w:type="pct"/>
            <w:vAlign w:val="center"/>
          </w:tcPr>
          <w:p w14:paraId="7585E00F">
            <w:pPr>
              <w:pStyle w:val="33"/>
              <w:rPr>
                <w:color w:val="auto"/>
              </w:rPr>
            </w:pPr>
          </w:p>
        </w:tc>
        <w:tc>
          <w:tcPr>
            <w:tcW w:w="500" w:type="pct"/>
            <w:vAlign w:val="center"/>
          </w:tcPr>
          <w:p w14:paraId="2BF1929E">
            <w:pPr>
              <w:pStyle w:val="33"/>
              <w:rPr>
                <w:color w:val="auto"/>
              </w:rPr>
            </w:pPr>
          </w:p>
        </w:tc>
        <w:tc>
          <w:tcPr>
            <w:tcW w:w="500" w:type="pct"/>
            <w:vAlign w:val="center"/>
          </w:tcPr>
          <w:p w14:paraId="6D9271EA">
            <w:pPr>
              <w:pStyle w:val="33"/>
              <w:rPr>
                <w:color w:val="auto"/>
              </w:rPr>
            </w:pPr>
          </w:p>
        </w:tc>
        <w:tc>
          <w:tcPr>
            <w:tcW w:w="500" w:type="pct"/>
            <w:vMerge w:val="continue"/>
            <w:vAlign w:val="center"/>
          </w:tcPr>
          <w:p w14:paraId="262918E4">
            <w:pPr>
              <w:pStyle w:val="33"/>
              <w:rPr>
                <w:color w:val="auto"/>
              </w:rPr>
            </w:pPr>
          </w:p>
        </w:tc>
        <w:tc>
          <w:tcPr>
            <w:tcW w:w="500" w:type="pct"/>
            <w:vAlign w:val="center"/>
          </w:tcPr>
          <w:p w14:paraId="11ACB879">
            <w:pPr>
              <w:pStyle w:val="33"/>
              <w:rPr>
                <w:color w:val="auto"/>
              </w:rPr>
            </w:pPr>
            <w:r>
              <w:rPr>
                <w:color w:val="auto"/>
              </w:rPr>
              <w:t>超标倍数</w:t>
            </w:r>
          </w:p>
        </w:tc>
        <w:tc>
          <w:tcPr>
            <w:tcW w:w="500" w:type="pct"/>
            <w:vAlign w:val="center"/>
          </w:tcPr>
          <w:p w14:paraId="2A2DC509">
            <w:pPr>
              <w:pStyle w:val="33"/>
              <w:rPr>
                <w:color w:val="auto"/>
              </w:rPr>
            </w:pPr>
          </w:p>
        </w:tc>
        <w:tc>
          <w:tcPr>
            <w:tcW w:w="500" w:type="pct"/>
            <w:vAlign w:val="center"/>
          </w:tcPr>
          <w:p w14:paraId="38ECC442">
            <w:pPr>
              <w:pStyle w:val="33"/>
              <w:rPr>
                <w:color w:val="auto"/>
              </w:rPr>
            </w:pPr>
          </w:p>
        </w:tc>
        <w:tc>
          <w:tcPr>
            <w:tcW w:w="498" w:type="pct"/>
            <w:vAlign w:val="center"/>
          </w:tcPr>
          <w:p w14:paraId="6E31F795">
            <w:pPr>
              <w:pStyle w:val="33"/>
              <w:rPr>
                <w:color w:val="auto"/>
              </w:rPr>
            </w:pPr>
          </w:p>
        </w:tc>
      </w:tr>
      <w:tr w14:paraId="79D6A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65AF90A0">
            <w:pPr>
              <w:pStyle w:val="33"/>
              <w:rPr>
                <w:color w:val="auto"/>
              </w:rPr>
            </w:pPr>
            <w:r>
              <w:rPr>
                <w:color w:val="auto"/>
              </w:rPr>
              <w:t>氯仿</w:t>
            </w:r>
          </w:p>
        </w:tc>
        <w:tc>
          <w:tcPr>
            <w:tcW w:w="502" w:type="pct"/>
            <w:vAlign w:val="center"/>
          </w:tcPr>
          <w:p w14:paraId="1B4C3C2B">
            <w:pPr>
              <w:pStyle w:val="33"/>
              <w:rPr>
                <w:color w:val="auto"/>
              </w:rPr>
            </w:pPr>
            <w:r>
              <w:rPr>
                <w:color w:val="auto"/>
              </w:rPr>
              <w:t>监测值</w:t>
            </w:r>
          </w:p>
        </w:tc>
        <w:tc>
          <w:tcPr>
            <w:tcW w:w="500" w:type="pct"/>
            <w:vAlign w:val="center"/>
          </w:tcPr>
          <w:p w14:paraId="56AD02A1">
            <w:pPr>
              <w:pStyle w:val="33"/>
              <w:rPr>
                <w:color w:val="auto"/>
              </w:rPr>
            </w:pPr>
          </w:p>
        </w:tc>
        <w:tc>
          <w:tcPr>
            <w:tcW w:w="500" w:type="pct"/>
            <w:vAlign w:val="center"/>
          </w:tcPr>
          <w:p w14:paraId="464ABF7E">
            <w:pPr>
              <w:pStyle w:val="33"/>
              <w:rPr>
                <w:color w:val="auto"/>
              </w:rPr>
            </w:pPr>
          </w:p>
        </w:tc>
        <w:tc>
          <w:tcPr>
            <w:tcW w:w="500" w:type="pct"/>
            <w:vAlign w:val="center"/>
          </w:tcPr>
          <w:p w14:paraId="3CA118EB">
            <w:pPr>
              <w:pStyle w:val="33"/>
              <w:rPr>
                <w:color w:val="auto"/>
              </w:rPr>
            </w:pPr>
          </w:p>
        </w:tc>
        <w:tc>
          <w:tcPr>
            <w:tcW w:w="500" w:type="pct"/>
            <w:vMerge w:val="restart"/>
            <w:vAlign w:val="center"/>
          </w:tcPr>
          <w:p w14:paraId="0B45C88A">
            <w:pPr>
              <w:pStyle w:val="33"/>
              <w:rPr>
                <w:color w:val="auto"/>
              </w:rPr>
            </w:pPr>
            <w:r>
              <w:rPr>
                <w:color w:val="auto"/>
              </w:rPr>
              <w:t>1.2-二氯苯</w:t>
            </w:r>
          </w:p>
        </w:tc>
        <w:tc>
          <w:tcPr>
            <w:tcW w:w="500" w:type="pct"/>
            <w:vAlign w:val="center"/>
          </w:tcPr>
          <w:p w14:paraId="0F2B0F75">
            <w:pPr>
              <w:pStyle w:val="33"/>
              <w:rPr>
                <w:color w:val="auto"/>
              </w:rPr>
            </w:pPr>
            <w:r>
              <w:rPr>
                <w:color w:val="auto"/>
              </w:rPr>
              <w:t>监测值</w:t>
            </w:r>
          </w:p>
        </w:tc>
        <w:tc>
          <w:tcPr>
            <w:tcW w:w="500" w:type="pct"/>
            <w:vAlign w:val="center"/>
          </w:tcPr>
          <w:p w14:paraId="01FCAD43">
            <w:pPr>
              <w:pStyle w:val="33"/>
              <w:rPr>
                <w:color w:val="auto"/>
              </w:rPr>
            </w:pPr>
          </w:p>
        </w:tc>
        <w:tc>
          <w:tcPr>
            <w:tcW w:w="500" w:type="pct"/>
            <w:vAlign w:val="center"/>
          </w:tcPr>
          <w:p w14:paraId="558F87D4">
            <w:pPr>
              <w:pStyle w:val="33"/>
              <w:rPr>
                <w:color w:val="auto"/>
              </w:rPr>
            </w:pPr>
          </w:p>
        </w:tc>
        <w:tc>
          <w:tcPr>
            <w:tcW w:w="498" w:type="pct"/>
            <w:vAlign w:val="center"/>
          </w:tcPr>
          <w:p w14:paraId="7E5ABB76">
            <w:pPr>
              <w:pStyle w:val="33"/>
              <w:rPr>
                <w:color w:val="auto"/>
              </w:rPr>
            </w:pPr>
          </w:p>
        </w:tc>
      </w:tr>
      <w:tr w14:paraId="3ED46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9E5456D">
            <w:pPr>
              <w:pStyle w:val="33"/>
              <w:rPr>
                <w:color w:val="auto"/>
              </w:rPr>
            </w:pPr>
          </w:p>
        </w:tc>
        <w:tc>
          <w:tcPr>
            <w:tcW w:w="502" w:type="pct"/>
            <w:vAlign w:val="center"/>
          </w:tcPr>
          <w:p w14:paraId="2BA5410A">
            <w:pPr>
              <w:pStyle w:val="33"/>
              <w:rPr>
                <w:color w:val="auto"/>
              </w:rPr>
            </w:pPr>
            <w:r>
              <w:rPr>
                <w:color w:val="auto"/>
              </w:rPr>
              <w:t>筛选值</w:t>
            </w:r>
          </w:p>
        </w:tc>
        <w:tc>
          <w:tcPr>
            <w:tcW w:w="500" w:type="pct"/>
            <w:vAlign w:val="center"/>
          </w:tcPr>
          <w:p w14:paraId="7DBCD952">
            <w:pPr>
              <w:pStyle w:val="33"/>
              <w:rPr>
                <w:color w:val="auto"/>
              </w:rPr>
            </w:pPr>
          </w:p>
        </w:tc>
        <w:tc>
          <w:tcPr>
            <w:tcW w:w="500" w:type="pct"/>
            <w:vAlign w:val="center"/>
          </w:tcPr>
          <w:p w14:paraId="50EA23F0">
            <w:pPr>
              <w:pStyle w:val="33"/>
              <w:rPr>
                <w:color w:val="auto"/>
              </w:rPr>
            </w:pPr>
          </w:p>
        </w:tc>
        <w:tc>
          <w:tcPr>
            <w:tcW w:w="500" w:type="pct"/>
            <w:vAlign w:val="center"/>
          </w:tcPr>
          <w:p w14:paraId="41717F7C">
            <w:pPr>
              <w:pStyle w:val="33"/>
              <w:rPr>
                <w:color w:val="auto"/>
              </w:rPr>
            </w:pPr>
          </w:p>
        </w:tc>
        <w:tc>
          <w:tcPr>
            <w:tcW w:w="500" w:type="pct"/>
            <w:vMerge w:val="continue"/>
            <w:vAlign w:val="center"/>
          </w:tcPr>
          <w:p w14:paraId="3A3494F5">
            <w:pPr>
              <w:pStyle w:val="33"/>
              <w:rPr>
                <w:color w:val="auto"/>
              </w:rPr>
            </w:pPr>
          </w:p>
        </w:tc>
        <w:tc>
          <w:tcPr>
            <w:tcW w:w="500" w:type="pct"/>
            <w:vAlign w:val="center"/>
          </w:tcPr>
          <w:p w14:paraId="0E435DD6">
            <w:pPr>
              <w:pStyle w:val="33"/>
              <w:rPr>
                <w:color w:val="auto"/>
              </w:rPr>
            </w:pPr>
            <w:r>
              <w:rPr>
                <w:color w:val="auto"/>
              </w:rPr>
              <w:t>筛选值</w:t>
            </w:r>
          </w:p>
        </w:tc>
        <w:tc>
          <w:tcPr>
            <w:tcW w:w="500" w:type="pct"/>
            <w:vAlign w:val="center"/>
          </w:tcPr>
          <w:p w14:paraId="4973A49F">
            <w:pPr>
              <w:pStyle w:val="33"/>
              <w:rPr>
                <w:color w:val="auto"/>
              </w:rPr>
            </w:pPr>
          </w:p>
        </w:tc>
        <w:tc>
          <w:tcPr>
            <w:tcW w:w="500" w:type="pct"/>
            <w:vAlign w:val="center"/>
          </w:tcPr>
          <w:p w14:paraId="747F4558">
            <w:pPr>
              <w:pStyle w:val="33"/>
              <w:rPr>
                <w:color w:val="auto"/>
              </w:rPr>
            </w:pPr>
          </w:p>
        </w:tc>
        <w:tc>
          <w:tcPr>
            <w:tcW w:w="498" w:type="pct"/>
            <w:vAlign w:val="center"/>
          </w:tcPr>
          <w:p w14:paraId="51943C26">
            <w:pPr>
              <w:pStyle w:val="33"/>
              <w:rPr>
                <w:color w:val="auto"/>
              </w:rPr>
            </w:pPr>
          </w:p>
        </w:tc>
      </w:tr>
      <w:tr w14:paraId="79C8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76BF7DBE">
            <w:pPr>
              <w:pStyle w:val="33"/>
              <w:rPr>
                <w:color w:val="auto"/>
              </w:rPr>
            </w:pPr>
          </w:p>
        </w:tc>
        <w:tc>
          <w:tcPr>
            <w:tcW w:w="502" w:type="pct"/>
            <w:vAlign w:val="center"/>
          </w:tcPr>
          <w:p w14:paraId="2B47E3E0">
            <w:pPr>
              <w:pStyle w:val="33"/>
              <w:rPr>
                <w:color w:val="auto"/>
              </w:rPr>
            </w:pPr>
            <w:r>
              <w:rPr>
                <w:color w:val="auto"/>
              </w:rPr>
              <w:t>标准指数</w:t>
            </w:r>
          </w:p>
        </w:tc>
        <w:tc>
          <w:tcPr>
            <w:tcW w:w="500" w:type="pct"/>
            <w:vAlign w:val="center"/>
          </w:tcPr>
          <w:p w14:paraId="7FFDD9F8">
            <w:pPr>
              <w:pStyle w:val="33"/>
              <w:rPr>
                <w:color w:val="auto"/>
              </w:rPr>
            </w:pPr>
          </w:p>
        </w:tc>
        <w:tc>
          <w:tcPr>
            <w:tcW w:w="500" w:type="pct"/>
            <w:vAlign w:val="center"/>
          </w:tcPr>
          <w:p w14:paraId="489FF7E1">
            <w:pPr>
              <w:pStyle w:val="33"/>
              <w:rPr>
                <w:color w:val="auto"/>
              </w:rPr>
            </w:pPr>
          </w:p>
        </w:tc>
        <w:tc>
          <w:tcPr>
            <w:tcW w:w="500" w:type="pct"/>
            <w:vAlign w:val="center"/>
          </w:tcPr>
          <w:p w14:paraId="3BF54516">
            <w:pPr>
              <w:pStyle w:val="33"/>
              <w:rPr>
                <w:color w:val="auto"/>
              </w:rPr>
            </w:pPr>
          </w:p>
        </w:tc>
        <w:tc>
          <w:tcPr>
            <w:tcW w:w="500" w:type="pct"/>
            <w:vMerge w:val="continue"/>
            <w:vAlign w:val="center"/>
          </w:tcPr>
          <w:p w14:paraId="4B68285F">
            <w:pPr>
              <w:pStyle w:val="33"/>
              <w:rPr>
                <w:color w:val="auto"/>
              </w:rPr>
            </w:pPr>
          </w:p>
        </w:tc>
        <w:tc>
          <w:tcPr>
            <w:tcW w:w="500" w:type="pct"/>
            <w:vAlign w:val="center"/>
          </w:tcPr>
          <w:p w14:paraId="75E19402">
            <w:pPr>
              <w:pStyle w:val="33"/>
              <w:rPr>
                <w:color w:val="auto"/>
              </w:rPr>
            </w:pPr>
            <w:r>
              <w:rPr>
                <w:color w:val="auto"/>
              </w:rPr>
              <w:t>标准指数</w:t>
            </w:r>
          </w:p>
        </w:tc>
        <w:tc>
          <w:tcPr>
            <w:tcW w:w="500" w:type="pct"/>
            <w:vAlign w:val="center"/>
          </w:tcPr>
          <w:p w14:paraId="69F80636">
            <w:pPr>
              <w:pStyle w:val="33"/>
              <w:rPr>
                <w:color w:val="auto"/>
              </w:rPr>
            </w:pPr>
          </w:p>
        </w:tc>
        <w:tc>
          <w:tcPr>
            <w:tcW w:w="500" w:type="pct"/>
            <w:vAlign w:val="center"/>
          </w:tcPr>
          <w:p w14:paraId="6B133EA0">
            <w:pPr>
              <w:pStyle w:val="33"/>
              <w:rPr>
                <w:color w:val="auto"/>
              </w:rPr>
            </w:pPr>
          </w:p>
        </w:tc>
        <w:tc>
          <w:tcPr>
            <w:tcW w:w="498" w:type="pct"/>
            <w:vAlign w:val="center"/>
          </w:tcPr>
          <w:p w14:paraId="5C566760">
            <w:pPr>
              <w:pStyle w:val="33"/>
              <w:rPr>
                <w:color w:val="auto"/>
              </w:rPr>
            </w:pPr>
          </w:p>
        </w:tc>
      </w:tr>
      <w:tr w14:paraId="6F8BB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39754FB">
            <w:pPr>
              <w:pStyle w:val="33"/>
              <w:rPr>
                <w:color w:val="auto"/>
              </w:rPr>
            </w:pPr>
          </w:p>
        </w:tc>
        <w:tc>
          <w:tcPr>
            <w:tcW w:w="502" w:type="pct"/>
            <w:vAlign w:val="center"/>
          </w:tcPr>
          <w:p w14:paraId="7FA3DDA6">
            <w:pPr>
              <w:pStyle w:val="33"/>
              <w:rPr>
                <w:color w:val="auto"/>
              </w:rPr>
            </w:pPr>
            <w:r>
              <w:rPr>
                <w:color w:val="auto"/>
              </w:rPr>
              <w:t>超标倍数</w:t>
            </w:r>
          </w:p>
        </w:tc>
        <w:tc>
          <w:tcPr>
            <w:tcW w:w="500" w:type="pct"/>
            <w:vAlign w:val="center"/>
          </w:tcPr>
          <w:p w14:paraId="4C7B198C">
            <w:pPr>
              <w:pStyle w:val="33"/>
              <w:rPr>
                <w:color w:val="auto"/>
              </w:rPr>
            </w:pPr>
          </w:p>
        </w:tc>
        <w:tc>
          <w:tcPr>
            <w:tcW w:w="500" w:type="pct"/>
            <w:vAlign w:val="center"/>
          </w:tcPr>
          <w:p w14:paraId="298FED99">
            <w:pPr>
              <w:pStyle w:val="33"/>
              <w:rPr>
                <w:color w:val="auto"/>
              </w:rPr>
            </w:pPr>
          </w:p>
        </w:tc>
        <w:tc>
          <w:tcPr>
            <w:tcW w:w="500" w:type="pct"/>
            <w:vAlign w:val="center"/>
          </w:tcPr>
          <w:p w14:paraId="119AC2FA">
            <w:pPr>
              <w:pStyle w:val="33"/>
              <w:rPr>
                <w:color w:val="auto"/>
              </w:rPr>
            </w:pPr>
          </w:p>
        </w:tc>
        <w:tc>
          <w:tcPr>
            <w:tcW w:w="500" w:type="pct"/>
            <w:vMerge w:val="continue"/>
            <w:vAlign w:val="center"/>
          </w:tcPr>
          <w:p w14:paraId="7936B3BA">
            <w:pPr>
              <w:pStyle w:val="33"/>
              <w:rPr>
                <w:color w:val="auto"/>
              </w:rPr>
            </w:pPr>
          </w:p>
        </w:tc>
        <w:tc>
          <w:tcPr>
            <w:tcW w:w="500" w:type="pct"/>
            <w:vAlign w:val="center"/>
          </w:tcPr>
          <w:p w14:paraId="4299EEA4">
            <w:pPr>
              <w:pStyle w:val="33"/>
              <w:rPr>
                <w:color w:val="auto"/>
              </w:rPr>
            </w:pPr>
            <w:r>
              <w:rPr>
                <w:color w:val="auto"/>
              </w:rPr>
              <w:t>超标倍数</w:t>
            </w:r>
          </w:p>
        </w:tc>
        <w:tc>
          <w:tcPr>
            <w:tcW w:w="500" w:type="pct"/>
            <w:vAlign w:val="center"/>
          </w:tcPr>
          <w:p w14:paraId="2664DE06">
            <w:pPr>
              <w:pStyle w:val="33"/>
              <w:rPr>
                <w:color w:val="auto"/>
              </w:rPr>
            </w:pPr>
          </w:p>
        </w:tc>
        <w:tc>
          <w:tcPr>
            <w:tcW w:w="500" w:type="pct"/>
            <w:vAlign w:val="center"/>
          </w:tcPr>
          <w:p w14:paraId="06A65ADC">
            <w:pPr>
              <w:pStyle w:val="33"/>
              <w:rPr>
                <w:color w:val="auto"/>
              </w:rPr>
            </w:pPr>
          </w:p>
        </w:tc>
        <w:tc>
          <w:tcPr>
            <w:tcW w:w="498" w:type="pct"/>
            <w:vAlign w:val="center"/>
          </w:tcPr>
          <w:p w14:paraId="36F852C2">
            <w:pPr>
              <w:pStyle w:val="33"/>
              <w:rPr>
                <w:color w:val="auto"/>
              </w:rPr>
            </w:pPr>
          </w:p>
        </w:tc>
      </w:tr>
      <w:tr w14:paraId="5FFCD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5DD5737C">
            <w:pPr>
              <w:pStyle w:val="33"/>
              <w:rPr>
                <w:color w:val="auto"/>
              </w:rPr>
            </w:pPr>
            <w:r>
              <w:rPr>
                <w:color w:val="auto"/>
              </w:rPr>
              <w:t>1,1,1-三氯乙烷</w:t>
            </w:r>
          </w:p>
        </w:tc>
        <w:tc>
          <w:tcPr>
            <w:tcW w:w="502" w:type="pct"/>
            <w:vAlign w:val="center"/>
          </w:tcPr>
          <w:p w14:paraId="60BC41DF">
            <w:pPr>
              <w:pStyle w:val="33"/>
              <w:rPr>
                <w:color w:val="auto"/>
              </w:rPr>
            </w:pPr>
            <w:r>
              <w:rPr>
                <w:color w:val="auto"/>
              </w:rPr>
              <w:t>监测值</w:t>
            </w:r>
          </w:p>
        </w:tc>
        <w:tc>
          <w:tcPr>
            <w:tcW w:w="500" w:type="pct"/>
            <w:vAlign w:val="center"/>
          </w:tcPr>
          <w:p w14:paraId="31380272">
            <w:pPr>
              <w:pStyle w:val="33"/>
              <w:rPr>
                <w:color w:val="auto"/>
              </w:rPr>
            </w:pPr>
          </w:p>
        </w:tc>
        <w:tc>
          <w:tcPr>
            <w:tcW w:w="500" w:type="pct"/>
            <w:vAlign w:val="center"/>
          </w:tcPr>
          <w:p w14:paraId="4CC2A19C">
            <w:pPr>
              <w:pStyle w:val="33"/>
              <w:rPr>
                <w:color w:val="auto"/>
              </w:rPr>
            </w:pPr>
          </w:p>
        </w:tc>
        <w:tc>
          <w:tcPr>
            <w:tcW w:w="500" w:type="pct"/>
            <w:vAlign w:val="center"/>
          </w:tcPr>
          <w:p w14:paraId="61BEC17A">
            <w:pPr>
              <w:pStyle w:val="33"/>
              <w:rPr>
                <w:color w:val="auto"/>
              </w:rPr>
            </w:pPr>
          </w:p>
        </w:tc>
        <w:tc>
          <w:tcPr>
            <w:tcW w:w="500" w:type="pct"/>
            <w:vMerge w:val="restart"/>
            <w:vAlign w:val="center"/>
          </w:tcPr>
          <w:p w14:paraId="6E113D0F">
            <w:pPr>
              <w:pStyle w:val="33"/>
              <w:rPr>
                <w:color w:val="auto"/>
              </w:rPr>
            </w:pPr>
            <w:r>
              <w:rPr>
                <w:color w:val="auto"/>
              </w:rPr>
              <w:t>2-氯苯酚</w:t>
            </w:r>
          </w:p>
        </w:tc>
        <w:tc>
          <w:tcPr>
            <w:tcW w:w="500" w:type="pct"/>
            <w:vAlign w:val="center"/>
          </w:tcPr>
          <w:p w14:paraId="26605D30">
            <w:pPr>
              <w:pStyle w:val="33"/>
              <w:rPr>
                <w:color w:val="auto"/>
              </w:rPr>
            </w:pPr>
            <w:r>
              <w:rPr>
                <w:color w:val="auto"/>
              </w:rPr>
              <w:t>监测值</w:t>
            </w:r>
          </w:p>
        </w:tc>
        <w:tc>
          <w:tcPr>
            <w:tcW w:w="500" w:type="pct"/>
            <w:vAlign w:val="center"/>
          </w:tcPr>
          <w:p w14:paraId="59E3D446">
            <w:pPr>
              <w:pStyle w:val="33"/>
              <w:rPr>
                <w:color w:val="auto"/>
              </w:rPr>
            </w:pPr>
          </w:p>
        </w:tc>
        <w:tc>
          <w:tcPr>
            <w:tcW w:w="500" w:type="pct"/>
            <w:vAlign w:val="center"/>
          </w:tcPr>
          <w:p w14:paraId="14537978">
            <w:pPr>
              <w:pStyle w:val="33"/>
              <w:rPr>
                <w:color w:val="auto"/>
              </w:rPr>
            </w:pPr>
          </w:p>
        </w:tc>
        <w:tc>
          <w:tcPr>
            <w:tcW w:w="498" w:type="pct"/>
            <w:vAlign w:val="center"/>
          </w:tcPr>
          <w:p w14:paraId="6167A39E">
            <w:pPr>
              <w:pStyle w:val="33"/>
              <w:rPr>
                <w:color w:val="auto"/>
              </w:rPr>
            </w:pPr>
          </w:p>
        </w:tc>
      </w:tr>
      <w:tr w14:paraId="6983E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021D2DAB">
            <w:pPr>
              <w:pStyle w:val="33"/>
              <w:rPr>
                <w:color w:val="auto"/>
              </w:rPr>
            </w:pPr>
          </w:p>
        </w:tc>
        <w:tc>
          <w:tcPr>
            <w:tcW w:w="502" w:type="pct"/>
            <w:vAlign w:val="center"/>
          </w:tcPr>
          <w:p w14:paraId="346D9EBC">
            <w:pPr>
              <w:pStyle w:val="33"/>
              <w:rPr>
                <w:color w:val="auto"/>
              </w:rPr>
            </w:pPr>
            <w:r>
              <w:rPr>
                <w:color w:val="auto"/>
              </w:rPr>
              <w:t>筛选值</w:t>
            </w:r>
          </w:p>
        </w:tc>
        <w:tc>
          <w:tcPr>
            <w:tcW w:w="500" w:type="pct"/>
            <w:vAlign w:val="center"/>
          </w:tcPr>
          <w:p w14:paraId="6C6F732E">
            <w:pPr>
              <w:pStyle w:val="33"/>
              <w:rPr>
                <w:color w:val="auto"/>
              </w:rPr>
            </w:pPr>
          </w:p>
        </w:tc>
        <w:tc>
          <w:tcPr>
            <w:tcW w:w="500" w:type="pct"/>
            <w:vAlign w:val="center"/>
          </w:tcPr>
          <w:p w14:paraId="0AA2973D">
            <w:pPr>
              <w:pStyle w:val="33"/>
              <w:rPr>
                <w:color w:val="auto"/>
              </w:rPr>
            </w:pPr>
          </w:p>
        </w:tc>
        <w:tc>
          <w:tcPr>
            <w:tcW w:w="500" w:type="pct"/>
            <w:vAlign w:val="center"/>
          </w:tcPr>
          <w:p w14:paraId="1A90A573">
            <w:pPr>
              <w:pStyle w:val="33"/>
              <w:rPr>
                <w:color w:val="auto"/>
              </w:rPr>
            </w:pPr>
          </w:p>
        </w:tc>
        <w:tc>
          <w:tcPr>
            <w:tcW w:w="500" w:type="pct"/>
            <w:vMerge w:val="continue"/>
            <w:vAlign w:val="center"/>
          </w:tcPr>
          <w:p w14:paraId="3A27FFA6">
            <w:pPr>
              <w:pStyle w:val="33"/>
              <w:rPr>
                <w:color w:val="auto"/>
              </w:rPr>
            </w:pPr>
          </w:p>
        </w:tc>
        <w:tc>
          <w:tcPr>
            <w:tcW w:w="500" w:type="pct"/>
            <w:vAlign w:val="center"/>
          </w:tcPr>
          <w:p w14:paraId="2B875919">
            <w:pPr>
              <w:pStyle w:val="33"/>
              <w:rPr>
                <w:color w:val="auto"/>
              </w:rPr>
            </w:pPr>
            <w:r>
              <w:rPr>
                <w:color w:val="auto"/>
              </w:rPr>
              <w:t>筛选值</w:t>
            </w:r>
          </w:p>
        </w:tc>
        <w:tc>
          <w:tcPr>
            <w:tcW w:w="500" w:type="pct"/>
            <w:vAlign w:val="center"/>
          </w:tcPr>
          <w:p w14:paraId="0271ED1A">
            <w:pPr>
              <w:pStyle w:val="33"/>
              <w:rPr>
                <w:color w:val="auto"/>
              </w:rPr>
            </w:pPr>
          </w:p>
        </w:tc>
        <w:tc>
          <w:tcPr>
            <w:tcW w:w="500" w:type="pct"/>
            <w:vAlign w:val="center"/>
          </w:tcPr>
          <w:p w14:paraId="67A1A9D4">
            <w:pPr>
              <w:pStyle w:val="33"/>
              <w:rPr>
                <w:color w:val="auto"/>
              </w:rPr>
            </w:pPr>
          </w:p>
        </w:tc>
        <w:tc>
          <w:tcPr>
            <w:tcW w:w="498" w:type="pct"/>
            <w:vAlign w:val="center"/>
          </w:tcPr>
          <w:p w14:paraId="3FFD0A60">
            <w:pPr>
              <w:pStyle w:val="33"/>
              <w:rPr>
                <w:color w:val="auto"/>
              </w:rPr>
            </w:pPr>
          </w:p>
        </w:tc>
      </w:tr>
      <w:tr w14:paraId="4058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041AB79D">
            <w:pPr>
              <w:pStyle w:val="33"/>
              <w:rPr>
                <w:color w:val="auto"/>
              </w:rPr>
            </w:pPr>
          </w:p>
        </w:tc>
        <w:tc>
          <w:tcPr>
            <w:tcW w:w="502" w:type="pct"/>
            <w:vAlign w:val="center"/>
          </w:tcPr>
          <w:p w14:paraId="1002A4F4">
            <w:pPr>
              <w:pStyle w:val="33"/>
              <w:rPr>
                <w:color w:val="auto"/>
              </w:rPr>
            </w:pPr>
            <w:r>
              <w:rPr>
                <w:color w:val="auto"/>
              </w:rPr>
              <w:t>标准指数</w:t>
            </w:r>
          </w:p>
        </w:tc>
        <w:tc>
          <w:tcPr>
            <w:tcW w:w="500" w:type="pct"/>
            <w:vAlign w:val="center"/>
          </w:tcPr>
          <w:p w14:paraId="507EF0D8">
            <w:pPr>
              <w:pStyle w:val="33"/>
              <w:rPr>
                <w:color w:val="auto"/>
              </w:rPr>
            </w:pPr>
          </w:p>
        </w:tc>
        <w:tc>
          <w:tcPr>
            <w:tcW w:w="500" w:type="pct"/>
            <w:vAlign w:val="center"/>
          </w:tcPr>
          <w:p w14:paraId="30EA5DE5">
            <w:pPr>
              <w:pStyle w:val="33"/>
              <w:rPr>
                <w:color w:val="auto"/>
              </w:rPr>
            </w:pPr>
          </w:p>
        </w:tc>
        <w:tc>
          <w:tcPr>
            <w:tcW w:w="500" w:type="pct"/>
            <w:vAlign w:val="center"/>
          </w:tcPr>
          <w:p w14:paraId="2A20E259">
            <w:pPr>
              <w:pStyle w:val="33"/>
              <w:rPr>
                <w:color w:val="auto"/>
              </w:rPr>
            </w:pPr>
          </w:p>
        </w:tc>
        <w:tc>
          <w:tcPr>
            <w:tcW w:w="500" w:type="pct"/>
            <w:vMerge w:val="continue"/>
            <w:vAlign w:val="center"/>
          </w:tcPr>
          <w:p w14:paraId="4A984719">
            <w:pPr>
              <w:pStyle w:val="33"/>
              <w:rPr>
                <w:color w:val="auto"/>
              </w:rPr>
            </w:pPr>
          </w:p>
        </w:tc>
        <w:tc>
          <w:tcPr>
            <w:tcW w:w="500" w:type="pct"/>
            <w:vAlign w:val="center"/>
          </w:tcPr>
          <w:p w14:paraId="4EEC70F5">
            <w:pPr>
              <w:pStyle w:val="33"/>
              <w:rPr>
                <w:color w:val="auto"/>
              </w:rPr>
            </w:pPr>
            <w:r>
              <w:rPr>
                <w:color w:val="auto"/>
              </w:rPr>
              <w:t>标准指数</w:t>
            </w:r>
          </w:p>
        </w:tc>
        <w:tc>
          <w:tcPr>
            <w:tcW w:w="500" w:type="pct"/>
            <w:vAlign w:val="center"/>
          </w:tcPr>
          <w:p w14:paraId="5FB64FE7">
            <w:pPr>
              <w:pStyle w:val="33"/>
              <w:rPr>
                <w:color w:val="auto"/>
              </w:rPr>
            </w:pPr>
          </w:p>
        </w:tc>
        <w:tc>
          <w:tcPr>
            <w:tcW w:w="500" w:type="pct"/>
            <w:vAlign w:val="center"/>
          </w:tcPr>
          <w:p w14:paraId="70243625">
            <w:pPr>
              <w:pStyle w:val="33"/>
              <w:rPr>
                <w:color w:val="auto"/>
              </w:rPr>
            </w:pPr>
          </w:p>
        </w:tc>
        <w:tc>
          <w:tcPr>
            <w:tcW w:w="498" w:type="pct"/>
            <w:vAlign w:val="center"/>
          </w:tcPr>
          <w:p w14:paraId="383E127E">
            <w:pPr>
              <w:pStyle w:val="33"/>
              <w:rPr>
                <w:color w:val="auto"/>
              </w:rPr>
            </w:pPr>
          </w:p>
        </w:tc>
      </w:tr>
      <w:tr w14:paraId="76269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1384FFF4">
            <w:pPr>
              <w:pStyle w:val="33"/>
              <w:rPr>
                <w:color w:val="auto"/>
              </w:rPr>
            </w:pPr>
          </w:p>
        </w:tc>
        <w:tc>
          <w:tcPr>
            <w:tcW w:w="502" w:type="pct"/>
            <w:vAlign w:val="center"/>
          </w:tcPr>
          <w:p w14:paraId="705BF8F2">
            <w:pPr>
              <w:pStyle w:val="33"/>
              <w:rPr>
                <w:color w:val="auto"/>
              </w:rPr>
            </w:pPr>
            <w:r>
              <w:rPr>
                <w:color w:val="auto"/>
              </w:rPr>
              <w:t>超标倍数</w:t>
            </w:r>
          </w:p>
        </w:tc>
        <w:tc>
          <w:tcPr>
            <w:tcW w:w="500" w:type="pct"/>
            <w:vAlign w:val="center"/>
          </w:tcPr>
          <w:p w14:paraId="136A5CCB">
            <w:pPr>
              <w:pStyle w:val="33"/>
              <w:rPr>
                <w:color w:val="auto"/>
              </w:rPr>
            </w:pPr>
          </w:p>
        </w:tc>
        <w:tc>
          <w:tcPr>
            <w:tcW w:w="500" w:type="pct"/>
            <w:vAlign w:val="center"/>
          </w:tcPr>
          <w:p w14:paraId="72769B67">
            <w:pPr>
              <w:pStyle w:val="33"/>
              <w:rPr>
                <w:color w:val="auto"/>
              </w:rPr>
            </w:pPr>
          </w:p>
        </w:tc>
        <w:tc>
          <w:tcPr>
            <w:tcW w:w="500" w:type="pct"/>
            <w:vAlign w:val="center"/>
          </w:tcPr>
          <w:p w14:paraId="4B34BF72">
            <w:pPr>
              <w:pStyle w:val="33"/>
              <w:rPr>
                <w:color w:val="auto"/>
              </w:rPr>
            </w:pPr>
          </w:p>
        </w:tc>
        <w:tc>
          <w:tcPr>
            <w:tcW w:w="500" w:type="pct"/>
            <w:vMerge w:val="continue"/>
            <w:vAlign w:val="center"/>
          </w:tcPr>
          <w:p w14:paraId="41A14A29">
            <w:pPr>
              <w:pStyle w:val="33"/>
              <w:rPr>
                <w:color w:val="auto"/>
              </w:rPr>
            </w:pPr>
          </w:p>
        </w:tc>
        <w:tc>
          <w:tcPr>
            <w:tcW w:w="500" w:type="pct"/>
            <w:vAlign w:val="center"/>
          </w:tcPr>
          <w:p w14:paraId="63A6E740">
            <w:pPr>
              <w:pStyle w:val="33"/>
              <w:rPr>
                <w:color w:val="auto"/>
              </w:rPr>
            </w:pPr>
            <w:r>
              <w:rPr>
                <w:color w:val="auto"/>
              </w:rPr>
              <w:t>超标倍数</w:t>
            </w:r>
          </w:p>
        </w:tc>
        <w:tc>
          <w:tcPr>
            <w:tcW w:w="500" w:type="pct"/>
            <w:vAlign w:val="center"/>
          </w:tcPr>
          <w:p w14:paraId="150272B8">
            <w:pPr>
              <w:pStyle w:val="33"/>
              <w:rPr>
                <w:color w:val="auto"/>
              </w:rPr>
            </w:pPr>
          </w:p>
        </w:tc>
        <w:tc>
          <w:tcPr>
            <w:tcW w:w="500" w:type="pct"/>
            <w:vAlign w:val="center"/>
          </w:tcPr>
          <w:p w14:paraId="19F7C8F9">
            <w:pPr>
              <w:pStyle w:val="33"/>
              <w:rPr>
                <w:color w:val="auto"/>
              </w:rPr>
            </w:pPr>
          </w:p>
        </w:tc>
        <w:tc>
          <w:tcPr>
            <w:tcW w:w="498" w:type="pct"/>
            <w:vAlign w:val="center"/>
          </w:tcPr>
          <w:p w14:paraId="51E5C0E9">
            <w:pPr>
              <w:pStyle w:val="33"/>
              <w:rPr>
                <w:color w:val="auto"/>
              </w:rPr>
            </w:pPr>
          </w:p>
        </w:tc>
      </w:tr>
      <w:tr w14:paraId="3005E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26CCFE9">
            <w:pPr>
              <w:pStyle w:val="33"/>
              <w:rPr>
                <w:color w:val="auto"/>
              </w:rPr>
            </w:pPr>
            <w:r>
              <w:rPr>
                <w:color w:val="auto"/>
              </w:rPr>
              <w:t>四氯化碳</w:t>
            </w:r>
          </w:p>
        </w:tc>
        <w:tc>
          <w:tcPr>
            <w:tcW w:w="502" w:type="pct"/>
            <w:vAlign w:val="center"/>
          </w:tcPr>
          <w:p w14:paraId="6371081E">
            <w:pPr>
              <w:pStyle w:val="33"/>
              <w:rPr>
                <w:color w:val="auto"/>
              </w:rPr>
            </w:pPr>
            <w:r>
              <w:rPr>
                <w:color w:val="auto"/>
              </w:rPr>
              <w:t>监测值</w:t>
            </w:r>
          </w:p>
        </w:tc>
        <w:tc>
          <w:tcPr>
            <w:tcW w:w="500" w:type="pct"/>
            <w:vAlign w:val="center"/>
          </w:tcPr>
          <w:p w14:paraId="02514503">
            <w:pPr>
              <w:pStyle w:val="33"/>
              <w:rPr>
                <w:color w:val="auto"/>
              </w:rPr>
            </w:pPr>
          </w:p>
        </w:tc>
        <w:tc>
          <w:tcPr>
            <w:tcW w:w="500" w:type="pct"/>
            <w:vAlign w:val="center"/>
          </w:tcPr>
          <w:p w14:paraId="02D13CF7">
            <w:pPr>
              <w:pStyle w:val="33"/>
              <w:rPr>
                <w:color w:val="auto"/>
              </w:rPr>
            </w:pPr>
          </w:p>
        </w:tc>
        <w:tc>
          <w:tcPr>
            <w:tcW w:w="500" w:type="pct"/>
            <w:vAlign w:val="center"/>
          </w:tcPr>
          <w:p w14:paraId="301C7E0A">
            <w:pPr>
              <w:pStyle w:val="33"/>
              <w:rPr>
                <w:color w:val="auto"/>
              </w:rPr>
            </w:pPr>
          </w:p>
        </w:tc>
        <w:tc>
          <w:tcPr>
            <w:tcW w:w="500" w:type="pct"/>
            <w:vMerge w:val="restart"/>
            <w:vAlign w:val="center"/>
          </w:tcPr>
          <w:p w14:paraId="501C19D9">
            <w:pPr>
              <w:pStyle w:val="33"/>
              <w:rPr>
                <w:color w:val="auto"/>
              </w:rPr>
            </w:pPr>
            <w:r>
              <w:rPr>
                <w:color w:val="auto"/>
              </w:rPr>
              <w:t>硝基苯</w:t>
            </w:r>
          </w:p>
        </w:tc>
        <w:tc>
          <w:tcPr>
            <w:tcW w:w="500" w:type="pct"/>
            <w:vAlign w:val="center"/>
          </w:tcPr>
          <w:p w14:paraId="61187252">
            <w:pPr>
              <w:pStyle w:val="33"/>
              <w:rPr>
                <w:color w:val="auto"/>
              </w:rPr>
            </w:pPr>
            <w:r>
              <w:rPr>
                <w:color w:val="auto"/>
              </w:rPr>
              <w:t>监测值</w:t>
            </w:r>
          </w:p>
        </w:tc>
        <w:tc>
          <w:tcPr>
            <w:tcW w:w="500" w:type="pct"/>
            <w:vAlign w:val="center"/>
          </w:tcPr>
          <w:p w14:paraId="01E6A17D">
            <w:pPr>
              <w:pStyle w:val="33"/>
              <w:rPr>
                <w:color w:val="auto"/>
              </w:rPr>
            </w:pPr>
          </w:p>
        </w:tc>
        <w:tc>
          <w:tcPr>
            <w:tcW w:w="500" w:type="pct"/>
            <w:vAlign w:val="center"/>
          </w:tcPr>
          <w:p w14:paraId="07CDE8E4">
            <w:pPr>
              <w:pStyle w:val="33"/>
              <w:rPr>
                <w:color w:val="auto"/>
              </w:rPr>
            </w:pPr>
          </w:p>
        </w:tc>
        <w:tc>
          <w:tcPr>
            <w:tcW w:w="498" w:type="pct"/>
            <w:vAlign w:val="center"/>
          </w:tcPr>
          <w:p w14:paraId="016C3A51">
            <w:pPr>
              <w:pStyle w:val="33"/>
              <w:rPr>
                <w:color w:val="auto"/>
              </w:rPr>
            </w:pPr>
          </w:p>
        </w:tc>
      </w:tr>
      <w:tr w14:paraId="60959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6D1AC33C">
            <w:pPr>
              <w:pStyle w:val="33"/>
              <w:rPr>
                <w:color w:val="auto"/>
              </w:rPr>
            </w:pPr>
          </w:p>
        </w:tc>
        <w:tc>
          <w:tcPr>
            <w:tcW w:w="502" w:type="pct"/>
            <w:vAlign w:val="center"/>
          </w:tcPr>
          <w:p w14:paraId="36C0CBF9">
            <w:pPr>
              <w:pStyle w:val="33"/>
              <w:rPr>
                <w:color w:val="auto"/>
              </w:rPr>
            </w:pPr>
            <w:r>
              <w:rPr>
                <w:color w:val="auto"/>
              </w:rPr>
              <w:t>筛选值</w:t>
            </w:r>
          </w:p>
        </w:tc>
        <w:tc>
          <w:tcPr>
            <w:tcW w:w="500" w:type="pct"/>
            <w:vAlign w:val="center"/>
          </w:tcPr>
          <w:p w14:paraId="1D5DD25F">
            <w:pPr>
              <w:pStyle w:val="33"/>
              <w:rPr>
                <w:color w:val="auto"/>
              </w:rPr>
            </w:pPr>
          </w:p>
        </w:tc>
        <w:tc>
          <w:tcPr>
            <w:tcW w:w="500" w:type="pct"/>
            <w:vAlign w:val="center"/>
          </w:tcPr>
          <w:p w14:paraId="335C41DB">
            <w:pPr>
              <w:pStyle w:val="33"/>
              <w:rPr>
                <w:color w:val="auto"/>
              </w:rPr>
            </w:pPr>
          </w:p>
        </w:tc>
        <w:tc>
          <w:tcPr>
            <w:tcW w:w="500" w:type="pct"/>
            <w:vAlign w:val="center"/>
          </w:tcPr>
          <w:p w14:paraId="75574300">
            <w:pPr>
              <w:pStyle w:val="33"/>
              <w:rPr>
                <w:color w:val="auto"/>
              </w:rPr>
            </w:pPr>
          </w:p>
        </w:tc>
        <w:tc>
          <w:tcPr>
            <w:tcW w:w="500" w:type="pct"/>
            <w:vMerge w:val="continue"/>
            <w:vAlign w:val="center"/>
          </w:tcPr>
          <w:p w14:paraId="2FB24C0A">
            <w:pPr>
              <w:pStyle w:val="33"/>
              <w:rPr>
                <w:color w:val="auto"/>
              </w:rPr>
            </w:pPr>
          </w:p>
        </w:tc>
        <w:tc>
          <w:tcPr>
            <w:tcW w:w="500" w:type="pct"/>
            <w:vAlign w:val="center"/>
          </w:tcPr>
          <w:p w14:paraId="661BEAFB">
            <w:pPr>
              <w:pStyle w:val="33"/>
              <w:rPr>
                <w:color w:val="auto"/>
              </w:rPr>
            </w:pPr>
            <w:r>
              <w:rPr>
                <w:color w:val="auto"/>
              </w:rPr>
              <w:t>筛选值</w:t>
            </w:r>
          </w:p>
        </w:tc>
        <w:tc>
          <w:tcPr>
            <w:tcW w:w="500" w:type="pct"/>
            <w:vAlign w:val="center"/>
          </w:tcPr>
          <w:p w14:paraId="581286BC">
            <w:pPr>
              <w:pStyle w:val="33"/>
              <w:rPr>
                <w:color w:val="auto"/>
              </w:rPr>
            </w:pPr>
          </w:p>
        </w:tc>
        <w:tc>
          <w:tcPr>
            <w:tcW w:w="500" w:type="pct"/>
            <w:vAlign w:val="center"/>
          </w:tcPr>
          <w:p w14:paraId="59C7B52F">
            <w:pPr>
              <w:pStyle w:val="33"/>
              <w:rPr>
                <w:color w:val="auto"/>
              </w:rPr>
            </w:pPr>
          </w:p>
        </w:tc>
        <w:tc>
          <w:tcPr>
            <w:tcW w:w="498" w:type="pct"/>
            <w:vAlign w:val="center"/>
          </w:tcPr>
          <w:p w14:paraId="5D7EB293">
            <w:pPr>
              <w:pStyle w:val="33"/>
              <w:rPr>
                <w:color w:val="auto"/>
              </w:rPr>
            </w:pPr>
          </w:p>
        </w:tc>
      </w:tr>
      <w:tr w14:paraId="13979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66D47B1F">
            <w:pPr>
              <w:pStyle w:val="33"/>
              <w:rPr>
                <w:color w:val="auto"/>
              </w:rPr>
            </w:pPr>
          </w:p>
        </w:tc>
        <w:tc>
          <w:tcPr>
            <w:tcW w:w="502" w:type="pct"/>
            <w:vAlign w:val="center"/>
          </w:tcPr>
          <w:p w14:paraId="00843B71">
            <w:pPr>
              <w:pStyle w:val="33"/>
              <w:rPr>
                <w:color w:val="auto"/>
              </w:rPr>
            </w:pPr>
            <w:r>
              <w:rPr>
                <w:color w:val="auto"/>
              </w:rPr>
              <w:t>标准指数</w:t>
            </w:r>
          </w:p>
        </w:tc>
        <w:tc>
          <w:tcPr>
            <w:tcW w:w="500" w:type="pct"/>
            <w:vAlign w:val="center"/>
          </w:tcPr>
          <w:p w14:paraId="6BE91618">
            <w:pPr>
              <w:pStyle w:val="33"/>
              <w:rPr>
                <w:color w:val="auto"/>
              </w:rPr>
            </w:pPr>
          </w:p>
        </w:tc>
        <w:tc>
          <w:tcPr>
            <w:tcW w:w="500" w:type="pct"/>
            <w:vAlign w:val="center"/>
          </w:tcPr>
          <w:p w14:paraId="680191D3">
            <w:pPr>
              <w:pStyle w:val="33"/>
              <w:rPr>
                <w:color w:val="auto"/>
              </w:rPr>
            </w:pPr>
          </w:p>
        </w:tc>
        <w:tc>
          <w:tcPr>
            <w:tcW w:w="500" w:type="pct"/>
            <w:vAlign w:val="center"/>
          </w:tcPr>
          <w:p w14:paraId="1F4441D1">
            <w:pPr>
              <w:pStyle w:val="33"/>
              <w:rPr>
                <w:color w:val="auto"/>
              </w:rPr>
            </w:pPr>
          </w:p>
        </w:tc>
        <w:tc>
          <w:tcPr>
            <w:tcW w:w="500" w:type="pct"/>
            <w:vMerge w:val="continue"/>
            <w:vAlign w:val="center"/>
          </w:tcPr>
          <w:p w14:paraId="189DB390">
            <w:pPr>
              <w:pStyle w:val="33"/>
              <w:rPr>
                <w:color w:val="auto"/>
              </w:rPr>
            </w:pPr>
          </w:p>
        </w:tc>
        <w:tc>
          <w:tcPr>
            <w:tcW w:w="500" w:type="pct"/>
            <w:vAlign w:val="center"/>
          </w:tcPr>
          <w:p w14:paraId="74FE5D79">
            <w:pPr>
              <w:pStyle w:val="33"/>
              <w:rPr>
                <w:color w:val="auto"/>
              </w:rPr>
            </w:pPr>
            <w:r>
              <w:rPr>
                <w:color w:val="auto"/>
              </w:rPr>
              <w:t>标准指数</w:t>
            </w:r>
          </w:p>
        </w:tc>
        <w:tc>
          <w:tcPr>
            <w:tcW w:w="500" w:type="pct"/>
            <w:vAlign w:val="center"/>
          </w:tcPr>
          <w:p w14:paraId="5D54D3B5">
            <w:pPr>
              <w:pStyle w:val="33"/>
              <w:rPr>
                <w:color w:val="auto"/>
              </w:rPr>
            </w:pPr>
          </w:p>
        </w:tc>
        <w:tc>
          <w:tcPr>
            <w:tcW w:w="500" w:type="pct"/>
            <w:vAlign w:val="center"/>
          </w:tcPr>
          <w:p w14:paraId="1A4A9E33">
            <w:pPr>
              <w:pStyle w:val="33"/>
              <w:rPr>
                <w:color w:val="auto"/>
              </w:rPr>
            </w:pPr>
          </w:p>
        </w:tc>
        <w:tc>
          <w:tcPr>
            <w:tcW w:w="498" w:type="pct"/>
            <w:vAlign w:val="center"/>
          </w:tcPr>
          <w:p w14:paraId="3BA3BD08">
            <w:pPr>
              <w:pStyle w:val="33"/>
              <w:rPr>
                <w:color w:val="auto"/>
              </w:rPr>
            </w:pPr>
          </w:p>
        </w:tc>
      </w:tr>
      <w:tr w14:paraId="6DE27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3AD71815">
            <w:pPr>
              <w:pStyle w:val="33"/>
              <w:rPr>
                <w:color w:val="auto"/>
              </w:rPr>
            </w:pPr>
          </w:p>
        </w:tc>
        <w:tc>
          <w:tcPr>
            <w:tcW w:w="502" w:type="pct"/>
            <w:vAlign w:val="center"/>
          </w:tcPr>
          <w:p w14:paraId="68C3A6FB">
            <w:pPr>
              <w:pStyle w:val="33"/>
              <w:rPr>
                <w:color w:val="auto"/>
              </w:rPr>
            </w:pPr>
            <w:r>
              <w:rPr>
                <w:color w:val="auto"/>
              </w:rPr>
              <w:t>超标倍数</w:t>
            </w:r>
          </w:p>
        </w:tc>
        <w:tc>
          <w:tcPr>
            <w:tcW w:w="500" w:type="pct"/>
            <w:vAlign w:val="center"/>
          </w:tcPr>
          <w:p w14:paraId="34E9E4B8">
            <w:pPr>
              <w:pStyle w:val="33"/>
              <w:rPr>
                <w:color w:val="auto"/>
              </w:rPr>
            </w:pPr>
          </w:p>
        </w:tc>
        <w:tc>
          <w:tcPr>
            <w:tcW w:w="500" w:type="pct"/>
            <w:vAlign w:val="center"/>
          </w:tcPr>
          <w:p w14:paraId="0BF83226">
            <w:pPr>
              <w:pStyle w:val="33"/>
              <w:rPr>
                <w:color w:val="auto"/>
              </w:rPr>
            </w:pPr>
          </w:p>
        </w:tc>
        <w:tc>
          <w:tcPr>
            <w:tcW w:w="500" w:type="pct"/>
            <w:vAlign w:val="center"/>
          </w:tcPr>
          <w:p w14:paraId="4BA8A456">
            <w:pPr>
              <w:pStyle w:val="33"/>
              <w:rPr>
                <w:color w:val="auto"/>
              </w:rPr>
            </w:pPr>
          </w:p>
        </w:tc>
        <w:tc>
          <w:tcPr>
            <w:tcW w:w="500" w:type="pct"/>
            <w:vMerge w:val="continue"/>
            <w:vAlign w:val="center"/>
          </w:tcPr>
          <w:p w14:paraId="1FB54A7D">
            <w:pPr>
              <w:pStyle w:val="33"/>
              <w:rPr>
                <w:color w:val="auto"/>
              </w:rPr>
            </w:pPr>
          </w:p>
        </w:tc>
        <w:tc>
          <w:tcPr>
            <w:tcW w:w="500" w:type="pct"/>
            <w:vAlign w:val="center"/>
          </w:tcPr>
          <w:p w14:paraId="08F76FAF">
            <w:pPr>
              <w:pStyle w:val="33"/>
              <w:rPr>
                <w:color w:val="auto"/>
              </w:rPr>
            </w:pPr>
            <w:r>
              <w:rPr>
                <w:color w:val="auto"/>
              </w:rPr>
              <w:t>超标倍数</w:t>
            </w:r>
          </w:p>
        </w:tc>
        <w:tc>
          <w:tcPr>
            <w:tcW w:w="500" w:type="pct"/>
            <w:vAlign w:val="center"/>
          </w:tcPr>
          <w:p w14:paraId="178450FD">
            <w:pPr>
              <w:pStyle w:val="33"/>
              <w:rPr>
                <w:color w:val="auto"/>
              </w:rPr>
            </w:pPr>
          </w:p>
        </w:tc>
        <w:tc>
          <w:tcPr>
            <w:tcW w:w="500" w:type="pct"/>
            <w:vAlign w:val="center"/>
          </w:tcPr>
          <w:p w14:paraId="4A23A72B">
            <w:pPr>
              <w:pStyle w:val="33"/>
              <w:rPr>
                <w:color w:val="auto"/>
              </w:rPr>
            </w:pPr>
          </w:p>
        </w:tc>
        <w:tc>
          <w:tcPr>
            <w:tcW w:w="498" w:type="pct"/>
            <w:vAlign w:val="center"/>
          </w:tcPr>
          <w:p w14:paraId="54D0EB5F">
            <w:pPr>
              <w:pStyle w:val="33"/>
              <w:rPr>
                <w:color w:val="auto"/>
              </w:rPr>
            </w:pPr>
          </w:p>
        </w:tc>
      </w:tr>
      <w:tr w14:paraId="510C1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232FF5B5">
            <w:pPr>
              <w:pStyle w:val="33"/>
              <w:rPr>
                <w:color w:val="auto"/>
              </w:rPr>
            </w:pPr>
            <w:r>
              <w:rPr>
                <w:color w:val="auto"/>
              </w:rPr>
              <w:t>苯</w:t>
            </w:r>
          </w:p>
        </w:tc>
        <w:tc>
          <w:tcPr>
            <w:tcW w:w="502" w:type="pct"/>
            <w:vAlign w:val="center"/>
          </w:tcPr>
          <w:p w14:paraId="01F1DDF9">
            <w:pPr>
              <w:pStyle w:val="33"/>
              <w:rPr>
                <w:color w:val="auto"/>
              </w:rPr>
            </w:pPr>
            <w:r>
              <w:rPr>
                <w:color w:val="auto"/>
              </w:rPr>
              <w:t>监测值</w:t>
            </w:r>
          </w:p>
        </w:tc>
        <w:tc>
          <w:tcPr>
            <w:tcW w:w="500" w:type="pct"/>
            <w:vAlign w:val="center"/>
          </w:tcPr>
          <w:p w14:paraId="36DD5C4B">
            <w:pPr>
              <w:pStyle w:val="33"/>
              <w:rPr>
                <w:color w:val="auto"/>
              </w:rPr>
            </w:pPr>
          </w:p>
        </w:tc>
        <w:tc>
          <w:tcPr>
            <w:tcW w:w="500" w:type="pct"/>
            <w:vAlign w:val="center"/>
          </w:tcPr>
          <w:p w14:paraId="652A83FC">
            <w:pPr>
              <w:pStyle w:val="33"/>
              <w:rPr>
                <w:color w:val="auto"/>
              </w:rPr>
            </w:pPr>
          </w:p>
        </w:tc>
        <w:tc>
          <w:tcPr>
            <w:tcW w:w="500" w:type="pct"/>
            <w:vAlign w:val="center"/>
          </w:tcPr>
          <w:p w14:paraId="2B164A1E">
            <w:pPr>
              <w:pStyle w:val="33"/>
              <w:rPr>
                <w:color w:val="auto"/>
              </w:rPr>
            </w:pPr>
          </w:p>
        </w:tc>
        <w:tc>
          <w:tcPr>
            <w:tcW w:w="500" w:type="pct"/>
            <w:vMerge w:val="restart"/>
            <w:vAlign w:val="center"/>
          </w:tcPr>
          <w:p w14:paraId="11262623">
            <w:pPr>
              <w:pStyle w:val="33"/>
              <w:rPr>
                <w:color w:val="auto"/>
              </w:rPr>
            </w:pPr>
            <w:r>
              <w:rPr>
                <w:color w:val="auto"/>
              </w:rPr>
              <w:t>萘</w:t>
            </w:r>
          </w:p>
        </w:tc>
        <w:tc>
          <w:tcPr>
            <w:tcW w:w="500" w:type="pct"/>
            <w:vAlign w:val="center"/>
          </w:tcPr>
          <w:p w14:paraId="7F91B9E5">
            <w:pPr>
              <w:pStyle w:val="33"/>
              <w:rPr>
                <w:color w:val="auto"/>
              </w:rPr>
            </w:pPr>
            <w:r>
              <w:rPr>
                <w:color w:val="auto"/>
              </w:rPr>
              <w:t>监测值</w:t>
            </w:r>
          </w:p>
        </w:tc>
        <w:tc>
          <w:tcPr>
            <w:tcW w:w="500" w:type="pct"/>
            <w:vAlign w:val="center"/>
          </w:tcPr>
          <w:p w14:paraId="14957457">
            <w:pPr>
              <w:pStyle w:val="33"/>
              <w:rPr>
                <w:color w:val="auto"/>
              </w:rPr>
            </w:pPr>
          </w:p>
        </w:tc>
        <w:tc>
          <w:tcPr>
            <w:tcW w:w="500" w:type="pct"/>
            <w:vAlign w:val="center"/>
          </w:tcPr>
          <w:p w14:paraId="449CE1AE">
            <w:pPr>
              <w:pStyle w:val="33"/>
              <w:rPr>
                <w:color w:val="auto"/>
              </w:rPr>
            </w:pPr>
          </w:p>
        </w:tc>
        <w:tc>
          <w:tcPr>
            <w:tcW w:w="498" w:type="pct"/>
            <w:vAlign w:val="center"/>
          </w:tcPr>
          <w:p w14:paraId="518AB344">
            <w:pPr>
              <w:pStyle w:val="33"/>
              <w:rPr>
                <w:color w:val="auto"/>
              </w:rPr>
            </w:pPr>
          </w:p>
        </w:tc>
      </w:tr>
      <w:tr w14:paraId="7F6A8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7C78AA2">
            <w:pPr>
              <w:pStyle w:val="33"/>
              <w:rPr>
                <w:color w:val="auto"/>
              </w:rPr>
            </w:pPr>
          </w:p>
        </w:tc>
        <w:tc>
          <w:tcPr>
            <w:tcW w:w="502" w:type="pct"/>
            <w:vAlign w:val="center"/>
          </w:tcPr>
          <w:p w14:paraId="1D1E3ECC">
            <w:pPr>
              <w:pStyle w:val="33"/>
              <w:rPr>
                <w:color w:val="auto"/>
              </w:rPr>
            </w:pPr>
            <w:r>
              <w:rPr>
                <w:color w:val="auto"/>
              </w:rPr>
              <w:t>筛选值</w:t>
            </w:r>
          </w:p>
        </w:tc>
        <w:tc>
          <w:tcPr>
            <w:tcW w:w="500" w:type="pct"/>
            <w:vAlign w:val="center"/>
          </w:tcPr>
          <w:p w14:paraId="2C5BD8B3">
            <w:pPr>
              <w:pStyle w:val="33"/>
              <w:rPr>
                <w:color w:val="auto"/>
              </w:rPr>
            </w:pPr>
          </w:p>
        </w:tc>
        <w:tc>
          <w:tcPr>
            <w:tcW w:w="500" w:type="pct"/>
            <w:vAlign w:val="center"/>
          </w:tcPr>
          <w:p w14:paraId="5A951488">
            <w:pPr>
              <w:pStyle w:val="33"/>
              <w:rPr>
                <w:color w:val="auto"/>
              </w:rPr>
            </w:pPr>
          </w:p>
        </w:tc>
        <w:tc>
          <w:tcPr>
            <w:tcW w:w="500" w:type="pct"/>
            <w:vAlign w:val="center"/>
          </w:tcPr>
          <w:p w14:paraId="24418684">
            <w:pPr>
              <w:pStyle w:val="33"/>
              <w:rPr>
                <w:color w:val="auto"/>
              </w:rPr>
            </w:pPr>
          </w:p>
        </w:tc>
        <w:tc>
          <w:tcPr>
            <w:tcW w:w="500" w:type="pct"/>
            <w:vMerge w:val="continue"/>
            <w:vAlign w:val="center"/>
          </w:tcPr>
          <w:p w14:paraId="00D23905">
            <w:pPr>
              <w:pStyle w:val="33"/>
              <w:rPr>
                <w:color w:val="auto"/>
              </w:rPr>
            </w:pPr>
          </w:p>
        </w:tc>
        <w:tc>
          <w:tcPr>
            <w:tcW w:w="500" w:type="pct"/>
            <w:vAlign w:val="center"/>
          </w:tcPr>
          <w:p w14:paraId="1BE217BC">
            <w:pPr>
              <w:pStyle w:val="33"/>
              <w:rPr>
                <w:color w:val="auto"/>
              </w:rPr>
            </w:pPr>
            <w:r>
              <w:rPr>
                <w:color w:val="auto"/>
              </w:rPr>
              <w:t>筛选值</w:t>
            </w:r>
          </w:p>
        </w:tc>
        <w:tc>
          <w:tcPr>
            <w:tcW w:w="500" w:type="pct"/>
            <w:vAlign w:val="center"/>
          </w:tcPr>
          <w:p w14:paraId="4BB55380">
            <w:pPr>
              <w:pStyle w:val="33"/>
              <w:rPr>
                <w:color w:val="auto"/>
              </w:rPr>
            </w:pPr>
          </w:p>
        </w:tc>
        <w:tc>
          <w:tcPr>
            <w:tcW w:w="500" w:type="pct"/>
            <w:vAlign w:val="center"/>
          </w:tcPr>
          <w:p w14:paraId="0651306E">
            <w:pPr>
              <w:pStyle w:val="33"/>
              <w:rPr>
                <w:color w:val="auto"/>
              </w:rPr>
            </w:pPr>
          </w:p>
        </w:tc>
        <w:tc>
          <w:tcPr>
            <w:tcW w:w="498" w:type="pct"/>
            <w:vAlign w:val="center"/>
          </w:tcPr>
          <w:p w14:paraId="73BB9C5D">
            <w:pPr>
              <w:pStyle w:val="33"/>
              <w:rPr>
                <w:color w:val="auto"/>
              </w:rPr>
            </w:pPr>
          </w:p>
        </w:tc>
      </w:tr>
      <w:tr w14:paraId="2CF32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423765F">
            <w:pPr>
              <w:pStyle w:val="33"/>
              <w:rPr>
                <w:color w:val="auto"/>
              </w:rPr>
            </w:pPr>
          </w:p>
        </w:tc>
        <w:tc>
          <w:tcPr>
            <w:tcW w:w="502" w:type="pct"/>
            <w:vAlign w:val="center"/>
          </w:tcPr>
          <w:p w14:paraId="4F80E06B">
            <w:pPr>
              <w:pStyle w:val="33"/>
              <w:rPr>
                <w:color w:val="auto"/>
              </w:rPr>
            </w:pPr>
            <w:r>
              <w:rPr>
                <w:color w:val="auto"/>
              </w:rPr>
              <w:t>标准指数</w:t>
            </w:r>
          </w:p>
        </w:tc>
        <w:tc>
          <w:tcPr>
            <w:tcW w:w="500" w:type="pct"/>
            <w:vAlign w:val="center"/>
          </w:tcPr>
          <w:p w14:paraId="1E2E54C5">
            <w:pPr>
              <w:pStyle w:val="33"/>
              <w:rPr>
                <w:color w:val="auto"/>
              </w:rPr>
            </w:pPr>
          </w:p>
        </w:tc>
        <w:tc>
          <w:tcPr>
            <w:tcW w:w="500" w:type="pct"/>
            <w:vAlign w:val="center"/>
          </w:tcPr>
          <w:p w14:paraId="7276D29E">
            <w:pPr>
              <w:pStyle w:val="33"/>
              <w:rPr>
                <w:color w:val="auto"/>
              </w:rPr>
            </w:pPr>
          </w:p>
        </w:tc>
        <w:tc>
          <w:tcPr>
            <w:tcW w:w="500" w:type="pct"/>
            <w:vAlign w:val="center"/>
          </w:tcPr>
          <w:p w14:paraId="537AFB6C">
            <w:pPr>
              <w:pStyle w:val="33"/>
              <w:rPr>
                <w:color w:val="auto"/>
              </w:rPr>
            </w:pPr>
          </w:p>
        </w:tc>
        <w:tc>
          <w:tcPr>
            <w:tcW w:w="500" w:type="pct"/>
            <w:vMerge w:val="continue"/>
            <w:vAlign w:val="center"/>
          </w:tcPr>
          <w:p w14:paraId="300C3A2C">
            <w:pPr>
              <w:pStyle w:val="33"/>
              <w:rPr>
                <w:color w:val="auto"/>
              </w:rPr>
            </w:pPr>
          </w:p>
        </w:tc>
        <w:tc>
          <w:tcPr>
            <w:tcW w:w="500" w:type="pct"/>
            <w:vAlign w:val="center"/>
          </w:tcPr>
          <w:p w14:paraId="60207EF4">
            <w:pPr>
              <w:pStyle w:val="33"/>
              <w:rPr>
                <w:color w:val="auto"/>
              </w:rPr>
            </w:pPr>
            <w:r>
              <w:rPr>
                <w:color w:val="auto"/>
              </w:rPr>
              <w:t>标准指数</w:t>
            </w:r>
          </w:p>
        </w:tc>
        <w:tc>
          <w:tcPr>
            <w:tcW w:w="500" w:type="pct"/>
            <w:vAlign w:val="center"/>
          </w:tcPr>
          <w:p w14:paraId="59B32FBB">
            <w:pPr>
              <w:pStyle w:val="33"/>
              <w:rPr>
                <w:color w:val="auto"/>
              </w:rPr>
            </w:pPr>
          </w:p>
        </w:tc>
        <w:tc>
          <w:tcPr>
            <w:tcW w:w="500" w:type="pct"/>
            <w:vAlign w:val="center"/>
          </w:tcPr>
          <w:p w14:paraId="4A3AF1A6">
            <w:pPr>
              <w:pStyle w:val="33"/>
              <w:rPr>
                <w:color w:val="auto"/>
              </w:rPr>
            </w:pPr>
          </w:p>
        </w:tc>
        <w:tc>
          <w:tcPr>
            <w:tcW w:w="498" w:type="pct"/>
            <w:vAlign w:val="center"/>
          </w:tcPr>
          <w:p w14:paraId="5255498A">
            <w:pPr>
              <w:pStyle w:val="33"/>
              <w:rPr>
                <w:color w:val="auto"/>
              </w:rPr>
            </w:pPr>
          </w:p>
        </w:tc>
      </w:tr>
      <w:tr w14:paraId="66C36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6B7F66E">
            <w:pPr>
              <w:pStyle w:val="33"/>
              <w:rPr>
                <w:color w:val="auto"/>
              </w:rPr>
            </w:pPr>
          </w:p>
        </w:tc>
        <w:tc>
          <w:tcPr>
            <w:tcW w:w="502" w:type="pct"/>
            <w:vAlign w:val="center"/>
          </w:tcPr>
          <w:p w14:paraId="5A758DCF">
            <w:pPr>
              <w:pStyle w:val="33"/>
              <w:rPr>
                <w:color w:val="auto"/>
              </w:rPr>
            </w:pPr>
            <w:r>
              <w:rPr>
                <w:color w:val="auto"/>
              </w:rPr>
              <w:t>超标倍数</w:t>
            </w:r>
          </w:p>
        </w:tc>
        <w:tc>
          <w:tcPr>
            <w:tcW w:w="500" w:type="pct"/>
            <w:vAlign w:val="center"/>
          </w:tcPr>
          <w:p w14:paraId="6ACE32B6">
            <w:pPr>
              <w:pStyle w:val="33"/>
              <w:rPr>
                <w:color w:val="auto"/>
              </w:rPr>
            </w:pPr>
          </w:p>
        </w:tc>
        <w:tc>
          <w:tcPr>
            <w:tcW w:w="500" w:type="pct"/>
            <w:vAlign w:val="center"/>
          </w:tcPr>
          <w:p w14:paraId="037C5B45">
            <w:pPr>
              <w:pStyle w:val="33"/>
              <w:rPr>
                <w:color w:val="auto"/>
              </w:rPr>
            </w:pPr>
          </w:p>
        </w:tc>
        <w:tc>
          <w:tcPr>
            <w:tcW w:w="500" w:type="pct"/>
            <w:vAlign w:val="center"/>
          </w:tcPr>
          <w:p w14:paraId="54C60FF3">
            <w:pPr>
              <w:pStyle w:val="33"/>
              <w:rPr>
                <w:color w:val="auto"/>
              </w:rPr>
            </w:pPr>
          </w:p>
        </w:tc>
        <w:tc>
          <w:tcPr>
            <w:tcW w:w="500" w:type="pct"/>
            <w:vMerge w:val="continue"/>
            <w:vAlign w:val="center"/>
          </w:tcPr>
          <w:p w14:paraId="4D5ECBB9">
            <w:pPr>
              <w:pStyle w:val="33"/>
              <w:rPr>
                <w:color w:val="auto"/>
              </w:rPr>
            </w:pPr>
          </w:p>
        </w:tc>
        <w:tc>
          <w:tcPr>
            <w:tcW w:w="500" w:type="pct"/>
            <w:vAlign w:val="center"/>
          </w:tcPr>
          <w:p w14:paraId="48BA4801">
            <w:pPr>
              <w:pStyle w:val="33"/>
              <w:rPr>
                <w:color w:val="auto"/>
              </w:rPr>
            </w:pPr>
            <w:r>
              <w:rPr>
                <w:color w:val="auto"/>
              </w:rPr>
              <w:t>超标倍数</w:t>
            </w:r>
          </w:p>
        </w:tc>
        <w:tc>
          <w:tcPr>
            <w:tcW w:w="500" w:type="pct"/>
            <w:vAlign w:val="center"/>
          </w:tcPr>
          <w:p w14:paraId="2D69395D">
            <w:pPr>
              <w:pStyle w:val="33"/>
              <w:rPr>
                <w:color w:val="auto"/>
              </w:rPr>
            </w:pPr>
          </w:p>
        </w:tc>
        <w:tc>
          <w:tcPr>
            <w:tcW w:w="500" w:type="pct"/>
            <w:vAlign w:val="center"/>
          </w:tcPr>
          <w:p w14:paraId="38CA66F3">
            <w:pPr>
              <w:pStyle w:val="33"/>
              <w:rPr>
                <w:color w:val="auto"/>
              </w:rPr>
            </w:pPr>
          </w:p>
        </w:tc>
        <w:tc>
          <w:tcPr>
            <w:tcW w:w="498" w:type="pct"/>
            <w:vAlign w:val="center"/>
          </w:tcPr>
          <w:p w14:paraId="47DC3AAA">
            <w:pPr>
              <w:pStyle w:val="33"/>
              <w:rPr>
                <w:color w:val="auto"/>
              </w:rPr>
            </w:pPr>
          </w:p>
        </w:tc>
      </w:tr>
      <w:tr w14:paraId="475F5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70BBB4A6">
            <w:pPr>
              <w:pStyle w:val="33"/>
              <w:rPr>
                <w:color w:val="auto"/>
              </w:rPr>
            </w:pPr>
            <w:r>
              <w:rPr>
                <w:color w:val="auto"/>
              </w:rPr>
              <w:t>1,2-二氯乙烷</w:t>
            </w:r>
          </w:p>
        </w:tc>
        <w:tc>
          <w:tcPr>
            <w:tcW w:w="502" w:type="pct"/>
            <w:vAlign w:val="center"/>
          </w:tcPr>
          <w:p w14:paraId="6C0E36B8">
            <w:pPr>
              <w:pStyle w:val="33"/>
              <w:rPr>
                <w:color w:val="auto"/>
              </w:rPr>
            </w:pPr>
            <w:r>
              <w:rPr>
                <w:color w:val="auto"/>
              </w:rPr>
              <w:t>监测值</w:t>
            </w:r>
          </w:p>
        </w:tc>
        <w:tc>
          <w:tcPr>
            <w:tcW w:w="500" w:type="pct"/>
            <w:vAlign w:val="center"/>
          </w:tcPr>
          <w:p w14:paraId="785618C4">
            <w:pPr>
              <w:pStyle w:val="33"/>
              <w:rPr>
                <w:color w:val="auto"/>
              </w:rPr>
            </w:pPr>
          </w:p>
        </w:tc>
        <w:tc>
          <w:tcPr>
            <w:tcW w:w="500" w:type="pct"/>
            <w:vAlign w:val="center"/>
          </w:tcPr>
          <w:p w14:paraId="1A011503">
            <w:pPr>
              <w:pStyle w:val="33"/>
              <w:rPr>
                <w:color w:val="auto"/>
              </w:rPr>
            </w:pPr>
          </w:p>
        </w:tc>
        <w:tc>
          <w:tcPr>
            <w:tcW w:w="500" w:type="pct"/>
            <w:vAlign w:val="center"/>
          </w:tcPr>
          <w:p w14:paraId="368FC6AB">
            <w:pPr>
              <w:pStyle w:val="33"/>
              <w:rPr>
                <w:color w:val="auto"/>
              </w:rPr>
            </w:pPr>
          </w:p>
        </w:tc>
        <w:tc>
          <w:tcPr>
            <w:tcW w:w="500" w:type="pct"/>
            <w:vMerge w:val="restart"/>
            <w:vAlign w:val="center"/>
          </w:tcPr>
          <w:p w14:paraId="44C558E6">
            <w:pPr>
              <w:pStyle w:val="33"/>
              <w:rPr>
                <w:color w:val="auto"/>
              </w:rPr>
            </w:pPr>
            <w:r>
              <w:rPr>
                <w:color w:val="auto"/>
              </w:rPr>
              <w:t>苯并[a]蒽</w:t>
            </w:r>
          </w:p>
        </w:tc>
        <w:tc>
          <w:tcPr>
            <w:tcW w:w="500" w:type="pct"/>
            <w:vAlign w:val="center"/>
          </w:tcPr>
          <w:p w14:paraId="61F05408">
            <w:pPr>
              <w:pStyle w:val="33"/>
              <w:rPr>
                <w:color w:val="auto"/>
              </w:rPr>
            </w:pPr>
            <w:r>
              <w:rPr>
                <w:color w:val="auto"/>
              </w:rPr>
              <w:t>监测值</w:t>
            </w:r>
          </w:p>
        </w:tc>
        <w:tc>
          <w:tcPr>
            <w:tcW w:w="500" w:type="pct"/>
            <w:vAlign w:val="center"/>
          </w:tcPr>
          <w:p w14:paraId="5BD4A6FF">
            <w:pPr>
              <w:pStyle w:val="33"/>
              <w:rPr>
                <w:color w:val="auto"/>
              </w:rPr>
            </w:pPr>
          </w:p>
        </w:tc>
        <w:tc>
          <w:tcPr>
            <w:tcW w:w="500" w:type="pct"/>
            <w:vAlign w:val="center"/>
          </w:tcPr>
          <w:p w14:paraId="08177AA7">
            <w:pPr>
              <w:pStyle w:val="33"/>
              <w:rPr>
                <w:color w:val="auto"/>
              </w:rPr>
            </w:pPr>
          </w:p>
        </w:tc>
        <w:tc>
          <w:tcPr>
            <w:tcW w:w="498" w:type="pct"/>
            <w:vAlign w:val="center"/>
          </w:tcPr>
          <w:p w14:paraId="07C90F5F">
            <w:pPr>
              <w:pStyle w:val="33"/>
              <w:rPr>
                <w:color w:val="auto"/>
              </w:rPr>
            </w:pPr>
          </w:p>
        </w:tc>
      </w:tr>
      <w:tr w14:paraId="560C2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2F153039">
            <w:pPr>
              <w:pStyle w:val="33"/>
              <w:rPr>
                <w:color w:val="auto"/>
              </w:rPr>
            </w:pPr>
          </w:p>
        </w:tc>
        <w:tc>
          <w:tcPr>
            <w:tcW w:w="502" w:type="pct"/>
            <w:vAlign w:val="center"/>
          </w:tcPr>
          <w:p w14:paraId="5AE7D90A">
            <w:pPr>
              <w:pStyle w:val="33"/>
              <w:rPr>
                <w:color w:val="auto"/>
              </w:rPr>
            </w:pPr>
            <w:r>
              <w:rPr>
                <w:color w:val="auto"/>
              </w:rPr>
              <w:t>筛选值</w:t>
            </w:r>
          </w:p>
        </w:tc>
        <w:tc>
          <w:tcPr>
            <w:tcW w:w="500" w:type="pct"/>
            <w:vAlign w:val="center"/>
          </w:tcPr>
          <w:p w14:paraId="0B7E48C6">
            <w:pPr>
              <w:pStyle w:val="33"/>
              <w:rPr>
                <w:color w:val="auto"/>
              </w:rPr>
            </w:pPr>
          </w:p>
        </w:tc>
        <w:tc>
          <w:tcPr>
            <w:tcW w:w="500" w:type="pct"/>
            <w:vAlign w:val="center"/>
          </w:tcPr>
          <w:p w14:paraId="06BA9C3D">
            <w:pPr>
              <w:pStyle w:val="33"/>
              <w:rPr>
                <w:color w:val="auto"/>
              </w:rPr>
            </w:pPr>
          </w:p>
        </w:tc>
        <w:tc>
          <w:tcPr>
            <w:tcW w:w="500" w:type="pct"/>
            <w:vAlign w:val="center"/>
          </w:tcPr>
          <w:p w14:paraId="40088E80">
            <w:pPr>
              <w:pStyle w:val="33"/>
              <w:rPr>
                <w:color w:val="auto"/>
              </w:rPr>
            </w:pPr>
          </w:p>
        </w:tc>
        <w:tc>
          <w:tcPr>
            <w:tcW w:w="500" w:type="pct"/>
            <w:vMerge w:val="continue"/>
            <w:vAlign w:val="center"/>
          </w:tcPr>
          <w:p w14:paraId="234FA323">
            <w:pPr>
              <w:pStyle w:val="33"/>
              <w:rPr>
                <w:color w:val="auto"/>
              </w:rPr>
            </w:pPr>
          </w:p>
        </w:tc>
        <w:tc>
          <w:tcPr>
            <w:tcW w:w="500" w:type="pct"/>
            <w:vAlign w:val="center"/>
          </w:tcPr>
          <w:p w14:paraId="41323900">
            <w:pPr>
              <w:pStyle w:val="33"/>
              <w:rPr>
                <w:color w:val="auto"/>
              </w:rPr>
            </w:pPr>
            <w:r>
              <w:rPr>
                <w:color w:val="auto"/>
              </w:rPr>
              <w:t>筛选值</w:t>
            </w:r>
          </w:p>
        </w:tc>
        <w:tc>
          <w:tcPr>
            <w:tcW w:w="500" w:type="pct"/>
            <w:vAlign w:val="center"/>
          </w:tcPr>
          <w:p w14:paraId="3EC1932F">
            <w:pPr>
              <w:pStyle w:val="33"/>
              <w:rPr>
                <w:color w:val="auto"/>
              </w:rPr>
            </w:pPr>
          </w:p>
        </w:tc>
        <w:tc>
          <w:tcPr>
            <w:tcW w:w="500" w:type="pct"/>
            <w:vAlign w:val="center"/>
          </w:tcPr>
          <w:p w14:paraId="23385847">
            <w:pPr>
              <w:pStyle w:val="33"/>
              <w:rPr>
                <w:color w:val="auto"/>
              </w:rPr>
            </w:pPr>
          </w:p>
        </w:tc>
        <w:tc>
          <w:tcPr>
            <w:tcW w:w="498" w:type="pct"/>
            <w:vAlign w:val="center"/>
          </w:tcPr>
          <w:p w14:paraId="439F6C57">
            <w:pPr>
              <w:pStyle w:val="33"/>
              <w:rPr>
                <w:color w:val="auto"/>
              </w:rPr>
            </w:pPr>
          </w:p>
        </w:tc>
      </w:tr>
      <w:tr w14:paraId="17918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BA338A1">
            <w:pPr>
              <w:pStyle w:val="33"/>
              <w:rPr>
                <w:color w:val="auto"/>
              </w:rPr>
            </w:pPr>
          </w:p>
        </w:tc>
        <w:tc>
          <w:tcPr>
            <w:tcW w:w="502" w:type="pct"/>
            <w:vAlign w:val="center"/>
          </w:tcPr>
          <w:p w14:paraId="2FC03E9F">
            <w:pPr>
              <w:pStyle w:val="33"/>
              <w:rPr>
                <w:color w:val="auto"/>
              </w:rPr>
            </w:pPr>
            <w:r>
              <w:rPr>
                <w:color w:val="auto"/>
              </w:rPr>
              <w:t>标准指数</w:t>
            </w:r>
          </w:p>
        </w:tc>
        <w:tc>
          <w:tcPr>
            <w:tcW w:w="500" w:type="pct"/>
            <w:vAlign w:val="center"/>
          </w:tcPr>
          <w:p w14:paraId="7D2F3432">
            <w:pPr>
              <w:pStyle w:val="33"/>
              <w:rPr>
                <w:color w:val="auto"/>
              </w:rPr>
            </w:pPr>
          </w:p>
        </w:tc>
        <w:tc>
          <w:tcPr>
            <w:tcW w:w="500" w:type="pct"/>
            <w:vAlign w:val="center"/>
          </w:tcPr>
          <w:p w14:paraId="16F26B96">
            <w:pPr>
              <w:pStyle w:val="33"/>
              <w:rPr>
                <w:color w:val="auto"/>
              </w:rPr>
            </w:pPr>
          </w:p>
        </w:tc>
        <w:tc>
          <w:tcPr>
            <w:tcW w:w="500" w:type="pct"/>
            <w:vAlign w:val="center"/>
          </w:tcPr>
          <w:p w14:paraId="6D161210">
            <w:pPr>
              <w:pStyle w:val="33"/>
              <w:rPr>
                <w:color w:val="auto"/>
              </w:rPr>
            </w:pPr>
          </w:p>
        </w:tc>
        <w:tc>
          <w:tcPr>
            <w:tcW w:w="500" w:type="pct"/>
            <w:vMerge w:val="continue"/>
            <w:vAlign w:val="center"/>
          </w:tcPr>
          <w:p w14:paraId="02BFCEFA">
            <w:pPr>
              <w:pStyle w:val="33"/>
              <w:rPr>
                <w:color w:val="auto"/>
              </w:rPr>
            </w:pPr>
          </w:p>
        </w:tc>
        <w:tc>
          <w:tcPr>
            <w:tcW w:w="500" w:type="pct"/>
            <w:vAlign w:val="center"/>
          </w:tcPr>
          <w:p w14:paraId="1373F450">
            <w:pPr>
              <w:pStyle w:val="33"/>
              <w:rPr>
                <w:color w:val="auto"/>
              </w:rPr>
            </w:pPr>
            <w:r>
              <w:rPr>
                <w:color w:val="auto"/>
              </w:rPr>
              <w:t>标准指数</w:t>
            </w:r>
          </w:p>
        </w:tc>
        <w:tc>
          <w:tcPr>
            <w:tcW w:w="500" w:type="pct"/>
            <w:vAlign w:val="center"/>
          </w:tcPr>
          <w:p w14:paraId="627049F9">
            <w:pPr>
              <w:pStyle w:val="33"/>
              <w:rPr>
                <w:color w:val="auto"/>
              </w:rPr>
            </w:pPr>
          </w:p>
        </w:tc>
        <w:tc>
          <w:tcPr>
            <w:tcW w:w="500" w:type="pct"/>
            <w:vAlign w:val="center"/>
          </w:tcPr>
          <w:p w14:paraId="08D2CD0C">
            <w:pPr>
              <w:pStyle w:val="33"/>
              <w:rPr>
                <w:color w:val="auto"/>
              </w:rPr>
            </w:pPr>
          </w:p>
        </w:tc>
        <w:tc>
          <w:tcPr>
            <w:tcW w:w="498" w:type="pct"/>
            <w:vAlign w:val="center"/>
          </w:tcPr>
          <w:p w14:paraId="1A10F4F1">
            <w:pPr>
              <w:pStyle w:val="33"/>
              <w:rPr>
                <w:color w:val="auto"/>
              </w:rPr>
            </w:pPr>
          </w:p>
        </w:tc>
      </w:tr>
      <w:tr w14:paraId="365DA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443A6895">
            <w:pPr>
              <w:pStyle w:val="33"/>
              <w:rPr>
                <w:color w:val="auto"/>
              </w:rPr>
            </w:pPr>
          </w:p>
        </w:tc>
        <w:tc>
          <w:tcPr>
            <w:tcW w:w="502" w:type="pct"/>
            <w:vAlign w:val="center"/>
          </w:tcPr>
          <w:p w14:paraId="0FCAFD3D">
            <w:pPr>
              <w:pStyle w:val="33"/>
              <w:rPr>
                <w:color w:val="auto"/>
              </w:rPr>
            </w:pPr>
            <w:r>
              <w:rPr>
                <w:color w:val="auto"/>
              </w:rPr>
              <w:t>超标倍数</w:t>
            </w:r>
          </w:p>
        </w:tc>
        <w:tc>
          <w:tcPr>
            <w:tcW w:w="500" w:type="pct"/>
            <w:vAlign w:val="center"/>
          </w:tcPr>
          <w:p w14:paraId="7961D038">
            <w:pPr>
              <w:pStyle w:val="33"/>
              <w:rPr>
                <w:color w:val="auto"/>
              </w:rPr>
            </w:pPr>
          </w:p>
        </w:tc>
        <w:tc>
          <w:tcPr>
            <w:tcW w:w="500" w:type="pct"/>
            <w:vAlign w:val="center"/>
          </w:tcPr>
          <w:p w14:paraId="387DE3FD">
            <w:pPr>
              <w:pStyle w:val="33"/>
              <w:rPr>
                <w:color w:val="auto"/>
              </w:rPr>
            </w:pPr>
          </w:p>
        </w:tc>
        <w:tc>
          <w:tcPr>
            <w:tcW w:w="500" w:type="pct"/>
            <w:vAlign w:val="center"/>
          </w:tcPr>
          <w:p w14:paraId="50A02D43">
            <w:pPr>
              <w:pStyle w:val="33"/>
              <w:rPr>
                <w:color w:val="auto"/>
              </w:rPr>
            </w:pPr>
          </w:p>
        </w:tc>
        <w:tc>
          <w:tcPr>
            <w:tcW w:w="500" w:type="pct"/>
            <w:vMerge w:val="continue"/>
            <w:vAlign w:val="center"/>
          </w:tcPr>
          <w:p w14:paraId="2BF540B4">
            <w:pPr>
              <w:pStyle w:val="33"/>
              <w:rPr>
                <w:color w:val="auto"/>
              </w:rPr>
            </w:pPr>
          </w:p>
        </w:tc>
        <w:tc>
          <w:tcPr>
            <w:tcW w:w="500" w:type="pct"/>
            <w:vAlign w:val="center"/>
          </w:tcPr>
          <w:p w14:paraId="7ABFF94D">
            <w:pPr>
              <w:pStyle w:val="33"/>
              <w:rPr>
                <w:color w:val="auto"/>
              </w:rPr>
            </w:pPr>
            <w:r>
              <w:rPr>
                <w:color w:val="auto"/>
              </w:rPr>
              <w:t>超标倍数</w:t>
            </w:r>
          </w:p>
        </w:tc>
        <w:tc>
          <w:tcPr>
            <w:tcW w:w="500" w:type="pct"/>
            <w:vAlign w:val="center"/>
          </w:tcPr>
          <w:p w14:paraId="31CBFCDA">
            <w:pPr>
              <w:pStyle w:val="33"/>
              <w:rPr>
                <w:color w:val="auto"/>
              </w:rPr>
            </w:pPr>
          </w:p>
        </w:tc>
        <w:tc>
          <w:tcPr>
            <w:tcW w:w="500" w:type="pct"/>
            <w:vAlign w:val="center"/>
          </w:tcPr>
          <w:p w14:paraId="79B01707">
            <w:pPr>
              <w:pStyle w:val="33"/>
              <w:rPr>
                <w:color w:val="auto"/>
              </w:rPr>
            </w:pPr>
          </w:p>
        </w:tc>
        <w:tc>
          <w:tcPr>
            <w:tcW w:w="498" w:type="pct"/>
            <w:vAlign w:val="center"/>
          </w:tcPr>
          <w:p w14:paraId="73704D98">
            <w:pPr>
              <w:pStyle w:val="33"/>
              <w:rPr>
                <w:color w:val="auto"/>
              </w:rPr>
            </w:pPr>
          </w:p>
        </w:tc>
      </w:tr>
      <w:tr w14:paraId="34016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23668D0">
            <w:pPr>
              <w:pStyle w:val="33"/>
              <w:rPr>
                <w:color w:val="auto"/>
              </w:rPr>
            </w:pPr>
            <w:r>
              <w:rPr>
                <w:color w:val="auto"/>
              </w:rPr>
              <w:t>三氯乙烯</w:t>
            </w:r>
          </w:p>
        </w:tc>
        <w:tc>
          <w:tcPr>
            <w:tcW w:w="502" w:type="pct"/>
            <w:vAlign w:val="center"/>
          </w:tcPr>
          <w:p w14:paraId="3C5FD738">
            <w:pPr>
              <w:pStyle w:val="33"/>
              <w:rPr>
                <w:color w:val="auto"/>
              </w:rPr>
            </w:pPr>
            <w:r>
              <w:rPr>
                <w:color w:val="auto"/>
              </w:rPr>
              <w:t>监测值</w:t>
            </w:r>
          </w:p>
        </w:tc>
        <w:tc>
          <w:tcPr>
            <w:tcW w:w="500" w:type="pct"/>
            <w:vAlign w:val="center"/>
          </w:tcPr>
          <w:p w14:paraId="43D04926">
            <w:pPr>
              <w:pStyle w:val="33"/>
              <w:rPr>
                <w:color w:val="auto"/>
              </w:rPr>
            </w:pPr>
          </w:p>
        </w:tc>
        <w:tc>
          <w:tcPr>
            <w:tcW w:w="500" w:type="pct"/>
            <w:vAlign w:val="center"/>
          </w:tcPr>
          <w:p w14:paraId="28930D6C">
            <w:pPr>
              <w:pStyle w:val="33"/>
              <w:rPr>
                <w:color w:val="auto"/>
              </w:rPr>
            </w:pPr>
          </w:p>
        </w:tc>
        <w:tc>
          <w:tcPr>
            <w:tcW w:w="500" w:type="pct"/>
            <w:vAlign w:val="center"/>
          </w:tcPr>
          <w:p w14:paraId="2C76C12D">
            <w:pPr>
              <w:pStyle w:val="33"/>
              <w:rPr>
                <w:color w:val="auto"/>
              </w:rPr>
            </w:pPr>
          </w:p>
        </w:tc>
        <w:tc>
          <w:tcPr>
            <w:tcW w:w="500" w:type="pct"/>
            <w:vMerge w:val="restart"/>
            <w:vAlign w:val="center"/>
          </w:tcPr>
          <w:p w14:paraId="62DDA620">
            <w:pPr>
              <w:pStyle w:val="33"/>
              <w:rPr>
                <w:color w:val="auto"/>
              </w:rPr>
            </w:pPr>
            <w:r>
              <w:rPr>
                <w:color w:val="auto"/>
              </w:rPr>
              <w:t>䓛</w:t>
            </w:r>
          </w:p>
        </w:tc>
        <w:tc>
          <w:tcPr>
            <w:tcW w:w="500" w:type="pct"/>
            <w:vAlign w:val="center"/>
          </w:tcPr>
          <w:p w14:paraId="6C3AFE1A">
            <w:pPr>
              <w:pStyle w:val="33"/>
              <w:rPr>
                <w:color w:val="auto"/>
              </w:rPr>
            </w:pPr>
            <w:r>
              <w:rPr>
                <w:color w:val="auto"/>
              </w:rPr>
              <w:t>监测值</w:t>
            </w:r>
          </w:p>
        </w:tc>
        <w:tc>
          <w:tcPr>
            <w:tcW w:w="500" w:type="pct"/>
            <w:vAlign w:val="center"/>
          </w:tcPr>
          <w:p w14:paraId="2E331B8A">
            <w:pPr>
              <w:pStyle w:val="33"/>
              <w:rPr>
                <w:color w:val="auto"/>
              </w:rPr>
            </w:pPr>
          </w:p>
        </w:tc>
        <w:tc>
          <w:tcPr>
            <w:tcW w:w="500" w:type="pct"/>
            <w:vAlign w:val="center"/>
          </w:tcPr>
          <w:p w14:paraId="79B44CC7">
            <w:pPr>
              <w:pStyle w:val="33"/>
              <w:rPr>
                <w:color w:val="auto"/>
              </w:rPr>
            </w:pPr>
          </w:p>
        </w:tc>
        <w:tc>
          <w:tcPr>
            <w:tcW w:w="498" w:type="pct"/>
            <w:vAlign w:val="center"/>
          </w:tcPr>
          <w:p w14:paraId="14F271B8">
            <w:pPr>
              <w:pStyle w:val="33"/>
              <w:rPr>
                <w:color w:val="auto"/>
              </w:rPr>
            </w:pPr>
          </w:p>
        </w:tc>
      </w:tr>
      <w:tr w14:paraId="5D426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55B9AA1">
            <w:pPr>
              <w:pStyle w:val="33"/>
              <w:rPr>
                <w:color w:val="auto"/>
              </w:rPr>
            </w:pPr>
          </w:p>
        </w:tc>
        <w:tc>
          <w:tcPr>
            <w:tcW w:w="502" w:type="pct"/>
            <w:vAlign w:val="center"/>
          </w:tcPr>
          <w:p w14:paraId="1647E895">
            <w:pPr>
              <w:pStyle w:val="33"/>
              <w:rPr>
                <w:color w:val="auto"/>
              </w:rPr>
            </w:pPr>
            <w:r>
              <w:rPr>
                <w:color w:val="auto"/>
              </w:rPr>
              <w:t>筛选值</w:t>
            </w:r>
          </w:p>
        </w:tc>
        <w:tc>
          <w:tcPr>
            <w:tcW w:w="500" w:type="pct"/>
            <w:vAlign w:val="center"/>
          </w:tcPr>
          <w:p w14:paraId="5FB26AA7">
            <w:pPr>
              <w:pStyle w:val="33"/>
              <w:rPr>
                <w:color w:val="auto"/>
              </w:rPr>
            </w:pPr>
          </w:p>
        </w:tc>
        <w:tc>
          <w:tcPr>
            <w:tcW w:w="500" w:type="pct"/>
            <w:vAlign w:val="center"/>
          </w:tcPr>
          <w:p w14:paraId="5AB2704B">
            <w:pPr>
              <w:pStyle w:val="33"/>
              <w:rPr>
                <w:color w:val="auto"/>
              </w:rPr>
            </w:pPr>
          </w:p>
        </w:tc>
        <w:tc>
          <w:tcPr>
            <w:tcW w:w="500" w:type="pct"/>
            <w:vAlign w:val="center"/>
          </w:tcPr>
          <w:p w14:paraId="0A8ACF1B">
            <w:pPr>
              <w:pStyle w:val="33"/>
              <w:rPr>
                <w:color w:val="auto"/>
              </w:rPr>
            </w:pPr>
          </w:p>
        </w:tc>
        <w:tc>
          <w:tcPr>
            <w:tcW w:w="500" w:type="pct"/>
            <w:vMerge w:val="continue"/>
            <w:vAlign w:val="center"/>
          </w:tcPr>
          <w:p w14:paraId="0A37FAD4">
            <w:pPr>
              <w:pStyle w:val="33"/>
              <w:rPr>
                <w:color w:val="auto"/>
              </w:rPr>
            </w:pPr>
          </w:p>
        </w:tc>
        <w:tc>
          <w:tcPr>
            <w:tcW w:w="500" w:type="pct"/>
            <w:vAlign w:val="center"/>
          </w:tcPr>
          <w:p w14:paraId="209E5D73">
            <w:pPr>
              <w:pStyle w:val="33"/>
              <w:rPr>
                <w:color w:val="auto"/>
              </w:rPr>
            </w:pPr>
            <w:r>
              <w:rPr>
                <w:color w:val="auto"/>
              </w:rPr>
              <w:t>筛选值</w:t>
            </w:r>
          </w:p>
        </w:tc>
        <w:tc>
          <w:tcPr>
            <w:tcW w:w="500" w:type="pct"/>
            <w:vAlign w:val="center"/>
          </w:tcPr>
          <w:p w14:paraId="7673D4B9">
            <w:pPr>
              <w:pStyle w:val="33"/>
              <w:rPr>
                <w:color w:val="auto"/>
              </w:rPr>
            </w:pPr>
          </w:p>
        </w:tc>
        <w:tc>
          <w:tcPr>
            <w:tcW w:w="500" w:type="pct"/>
            <w:vAlign w:val="center"/>
          </w:tcPr>
          <w:p w14:paraId="54B4B624">
            <w:pPr>
              <w:pStyle w:val="33"/>
              <w:rPr>
                <w:color w:val="auto"/>
              </w:rPr>
            </w:pPr>
          </w:p>
        </w:tc>
        <w:tc>
          <w:tcPr>
            <w:tcW w:w="498" w:type="pct"/>
            <w:vAlign w:val="center"/>
          </w:tcPr>
          <w:p w14:paraId="33BC6383">
            <w:pPr>
              <w:pStyle w:val="33"/>
              <w:rPr>
                <w:color w:val="auto"/>
              </w:rPr>
            </w:pPr>
          </w:p>
        </w:tc>
      </w:tr>
      <w:tr w14:paraId="34A53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7DC66C3">
            <w:pPr>
              <w:pStyle w:val="33"/>
              <w:rPr>
                <w:color w:val="auto"/>
              </w:rPr>
            </w:pPr>
          </w:p>
        </w:tc>
        <w:tc>
          <w:tcPr>
            <w:tcW w:w="502" w:type="pct"/>
            <w:vAlign w:val="center"/>
          </w:tcPr>
          <w:p w14:paraId="3D5F3609">
            <w:pPr>
              <w:pStyle w:val="33"/>
              <w:rPr>
                <w:color w:val="auto"/>
              </w:rPr>
            </w:pPr>
            <w:r>
              <w:rPr>
                <w:color w:val="auto"/>
              </w:rPr>
              <w:t>标准指数</w:t>
            </w:r>
          </w:p>
        </w:tc>
        <w:tc>
          <w:tcPr>
            <w:tcW w:w="500" w:type="pct"/>
            <w:vAlign w:val="center"/>
          </w:tcPr>
          <w:p w14:paraId="08A8C007">
            <w:pPr>
              <w:pStyle w:val="33"/>
              <w:rPr>
                <w:color w:val="auto"/>
              </w:rPr>
            </w:pPr>
          </w:p>
        </w:tc>
        <w:tc>
          <w:tcPr>
            <w:tcW w:w="500" w:type="pct"/>
            <w:vAlign w:val="center"/>
          </w:tcPr>
          <w:p w14:paraId="4CDB8E54">
            <w:pPr>
              <w:pStyle w:val="33"/>
              <w:rPr>
                <w:color w:val="auto"/>
              </w:rPr>
            </w:pPr>
          </w:p>
        </w:tc>
        <w:tc>
          <w:tcPr>
            <w:tcW w:w="500" w:type="pct"/>
            <w:vAlign w:val="center"/>
          </w:tcPr>
          <w:p w14:paraId="1DF018CA">
            <w:pPr>
              <w:pStyle w:val="33"/>
              <w:rPr>
                <w:color w:val="auto"/>
              </w:rPr>
            </w:pPr>
          </w:p>
        </w:tc>
        <w:tc>
          <w:tcPr>
            <w:tcW w:w="500" w:type="pct"/>
            <w:vMerge w:val="continue"/>
            <w:vAlign w:val="center"/>
          </w:tcPr>
          <w:p w14:paraId="1EF3C2EB">
            <w:pPr>
              <w:pStyle w:val="33"/>
              <w:rPr>
                <w:color w:val="auto"/>
              </w:rPr>
            </w:pPr>
          </w:p>
        </w:tc>
        <w:tc>
          <w:tcPr>
            <w:tcW w:w="500" w:type="pct"/>
            <w:vAlign w:val="center"/>
          </w:tcPr>
          <w:p w14:paraId="08897A6E">
            <w:pPr>
              <w:pStyle w:val="33"/>
              <w:rPr>
                <w:color w:val="auto"/>
              </w:rPr>
            </w:pPr>
            <w:r>
              <w:rPr>
                <w:color w:val="auto"/>
              </w:rPr>
              <w:t>标准指数</w:t>
            </w:r>
          </w:p>
        </w:tc>
        <w:tc>
          <w:tcPr>
            <w:tcW w:w="500" w:type="pct"/>
            <w:vAlign w:val="center"/>
          </w:tcPr>
          <w:p w14:paraId="1D2A8543">
            <w:pPr>
              <w:pStyle w:val="33"/>
              <w:rPr>
                <w:color w:val="auto"/>
              </w:rPr>
            </w:pPr>
          </w:p>
        </w:tc>
        <w:tc>
          <w:tcPr>
            <w:tcW w:w="500" w:type="pct"/>
            <w:vAlign w:val="center"/>
          </w:tcPr>
          <w:p w14:paraId="034710C5">
            <w:pPr>
              <w:pStyle w:val="33"/>
              <w:rPr>
                <w:color w:val="auto"/>
              </w:rPr>
            </w:pPr>
          </w:p>
        </w:tc>
        <w:tc>
          <w:tcPr>
            <w:tcW w:w="498" w:type="pct"/>
            <w:vAlign w:val="center"/>
          </w:tcPr>
          <w:p w14:paraId="585AF63C">
            <w:pPr>
              <w:pStyle w:val="33"/>
              <w:rPr>
                <w:color w:val="auto"/>
              </w:rPr>
            </w:pPr>
          </w:p>
        </w:tc>
      </w:tr>
      <w:tr w14:paraId="69FD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22709F5">
            <w:pPr>
              <w:pStyle w:val="33"/>
              <w:rPr>
                <w:color w:val="auto"/>
              </w:rPr>
            </w:pPr>
          </w:p>
        </w:tc>
        <w:tc>
          <w:tcPr>
            <w:tcW w:w="502" w:type="pct"/>
            <w:vAlign w:val="center"/>
          </w:tcPr>
          <w:p w14:paraId="6EB5D637">
            <w:pPr>
              <w:pStyle w:val="33"/>
              <w:rPr>
                <w:color w:val="auto"/>
              </w:rPr>
            </w:pPr>
            <w:r>
              <w:rPr>
                <w:color w:val="auto"/>
              </w:rPr>
              <w:t>超标倍数</w:t>
            </w:r>
          </w:p>
        </w:tc>
        <w:tc>
          <w:tcPr>
            <w:tcW w:w="500" w:type="pct"/>
            <w:vAlign w:val="center"/>
          </w:tcPr>
          <w:p w14:paraId="50E7F07E">
            <w:pPr>
              <w:pStyle w:val="33"/>
              <w:rPr>
                <w:color w:val="auto"/>
              </w:rPr>
            </w:pPr>
          </w:p>
        </w:tc>
        <w:tc>
          <w:tcPr>
            <w:tcW w:w="500" w:type="pct"/>
            <w:vAlign w:val="center"/>
          </w:tcPr>
          <w:p w14:paraId="6D01FCFE">
            <w:pPr>
              <w:pStyle w:val="33"/>
              <w:rPr>
                <w:color w:val="auto"/>
              </w:rPr>
            </w:pPr>
          </w:p>
        </w:tc>
        <w:tc>
          <w:tcPr>
            <w:tcW w:w="500" w:type="pct"/>
            <w:vAlign w:val="center"/>
          </w:tcPr>
          <w:p w14:paraId="005399B5">
            <w:pPr>
              <w:pStyle w:val="33"/>
              <w:rPr>
                <w:color w:val="auto"/>
              </w:rPr>
            </w:pPr>
          </w:p>
        </w:tc>
        <w:tc>
          <w:tcPr>
            <w:tcW w:w="500" w:type="pct"/>
            <w:vMerge w:val="continue"/>
            <w:vAlign w:val="center"/>
          </w:tcPr>
          <w:p w14:paraId="223C6AEE">
            <w:pPr>
              <w:pStyle w:val="33"/>
              <w:rPr>
                <w:color w:val="auto"/>
              </w:rPr>
            </w:pPr>
          </w:p>
        </w:tc>
        <w:tc>
          <w:tcPr>
            <w:tcW w:w="500" w:type="pct"/>
            <w:vAlign w:val="center"/>
          </w:tcPr>
          <w:p w14:paraId="02DEEC75">
            <w:pPr>
              <w:pStyle w:val="33"/>
              <w:rPr>
                <w:color w:val="auto"/>
              </w:rPr>
            </w:pPr>
            <w:r>
              <w:rPr>
                <w:color w:val="auto"/>
              </w:rPr>
              <w:t>超标倍数</w:t>
            </w:r>
          </w:p>
        </w:tc>
        <w:tc>
          <w:tcPr>
            <w:tcW w:w="500" w:type="pct"/>
            <w:vAlign w:val="center"/>
          </w:tcPr>
          <w:p w14:paraId="3D21E4A6">
            <w:pPr>
              <w:pStyle w:val="33"/>
              <w:rPr>
                <w:color w:val="auto"/>
              </w:rPr>
            </w:pPr>
          </w:p>
        </w:tc>
        <w:tc>
          <w:tcPr>
            <w:tcW w:w="500" w:type="pct"/>
            <w:vAlign w:val="center"/>
          </w:tcPr>
          <w:p w14:paraId="584D8B39">
            <w:pPr>
              <w:pStyle w:val="33"/>
              <w:rPr>
                <w:color w:val="auto"/>
              </w:rPr>
            </w:pPr>
          </w:p>
        </w:tc>
        <w:tc>
          <w:tcPr>
            <w:tcW w:w="498" w:type="pct"/>
            <w:vAlign w:val="center"/>
          </w:tcPr>
          <w:p w14:paraId="31E2EF29">
            <w:pPr>
              <w:pStyle w:val="33"/>
              <w:rPr>
                <w:color w:val="auto"/>
              </w:rPr>
            </w:pPr>
          </w:p>
        </w:tc>
      </w:tr>
      <w:tr w14:paraId="7D01E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90DAED9">
            <w:pPr>
              <w:pStyle w:val="33"/>
              <w:rPr>
                <w:color w:val="auto"/>
              </w:rPr>
            </w:pPr>
            <w:r>
              <w:rPr>
                <w:color w:val="auto"/>
              </w:rPr>
              <w:t>1,2-二氯丙烷</w:t>
            </w:r>
          </w:p>
        </w:tc>
        <w:tc>
          <w:tcPr>
            <w:tcW w:w="502" w:type="pct"/>
            <w:vAlign w:val="center"/>
          </w:tcPr>
          <w:p w14:paraId="2CF99CC4">
            <w:pPr>
              <w:pStyle w:val="33"/>
              <w:rPr>
                <w:color w:val="auto"/>
              </w:rPr>
            </w:pPr>
            <w:r>
              <w:rPr>
                <w:color w:val="auto"/>
              </w:rPr>
              <w:t>监测值</w:t>
            </w:r>
          </w:p>
        </w:tc>
        <w:tc>
          <w:tcPr>
            <w:tcW w:w="500" w:type="pct"/>
            <w:vAlign w:val="center"/>
          </w:tcPr>
          <w:p w14:paraId="7EFFCE2F">
            <w:pPr>
              <w:pStyle w:val="33"/>
              <w:rPr>
                <w:color w:val="auto"/>
              </w:rPr>
            </w:pPr>
          </w:p>
        </w:tc>
        <w:tc>
          <w:tcPr>
            <w:tcW w:w="500" w:type="pct"/>
            <w:vAlign w:val="center"/>
          </w:tcPr>
          <w:p w14:paraId="3695F01D">
            <w:pPr>
              <w:pStyle w:val="33"/>
              <w:rPr>
                <w:color w:val="auto"/>
              </w:rPr>
            </w:pPr>
          </w:p>
        </w:tc>
        <w:tc>
          <w:tcPr>
            <w:tcW w:w="500" w:type="pct"/>
            <w:vAlign w:val="center"/>
          </w:tcPr>
          <w:p w14:paraId="312958EF">
            <w:pPr>
              <w:pStyle w:val="33"/>
              <w:rPr>
                <w:color w:val="auto"/>
              </w:rPr>
            </w:pPr>
          </w:p>
        </w:tc>
        <w:tc>
          <w:tcPr>
            <w:tcW w:w="500" w:type="pct"/>
            <w:vMerge w:val="restart"/>
            <w:vAlign w:val="center"/>
          </w:tcPr>
          <w:p w14:paraId="1A459ED8">
            <w:pPr>
              <w:pStyle w:val="33"/>
              <w:rPr>
                <w:color w:val="auto"/>
              </w:rPr>
            </w:pPr>
            <w:r>
              <w:rPr>
                <w:color w:val="auto"/>
              </w:rPr>
              <w:t>苯并[b]荧蒽</w:t>
            </w:r>
          </w:p>
        </w:tc>
        <w:tc>
          <w:tcPr>
            <w:tcW w:w="500" w:type="pct"/>
            <w:vAlign w:val="center"/>
          </w:tcPr>
          <w:p w14:paraId="7BEB8C06">
            <w:pPr>
              <w:pStyle w:val="33"/>
              <w:rPr>
                <w:color w:val="auto"/>
              </w:rPr>
            </w:pPr>
            <w:r>
              <w:rPr>
                <w:color w:val="auto"/>
              </w:rPr>
              <w:t>监测值</w:t>
            </w:r>
          </w:p>
        </w:tc>
        <w:tc>
          <w:tcPr>
            <w:tcW w:w="500" w:type="pct"/>
            <w:vAlign w:val="center"/>
          </w:tcPr>
          <w:p w14:paraId="1667ADEE">
            <w:pPr>
              <w:pStyle w:val="33"/>
              <w:rPr>
                <w:color w:val="auto"/>
              </w:rPr>
            </w:pPr>
          </w:p>
        </w:tc>
        <w:tc>
          <w:tcPr>
            <w:tcW w:w="500" w:type="pct"/>
            <w:vAlign w:val="center"/>
          </w:tcPr>
          <w:p w14:paraId="22883EBB">
            <w:pPr>
              <w:pStyle w:val="33"/>
              <w:rPr>
                <w:color w:val="auto"/>
              </w:rPr>
            </w:pPr>
          </w:p>
        </w:tc>
        <w:tc>
          <w:tcPr>
            <w:tcW w:w="498" w:type="pct"/>
            <w:vAlign w:val="center"/>
          </w:tcPr>
          <w:p w14:paraId="5FDB5968">
            <w:pPr>
              <w:pStyle w:val="33"/>
              <w:rPr>
                <w:color w:val="auto"/>
              </w:rPr>
            </w:pPr>
          </w:p>
        </w:tc>
      </w:tr>
      <w:tr w14:paraId="3B448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4C926360">
            <w:pPr>
              <w:pStyle w:val="33"/>
              <w:rPr>
                <w:color w:val="auto"/>
              </w:rPr>
            </w:pPr>
          </w:p>
        </w:tc>
        <w:tc>
          <w:tcPr>
            <w:tcW w:w="502" w:type="pct"/>
            <w:vAlign w:val="center"/>
          </w:tcPr>
          <w:p w14:paraId="26FB3703">
            <w:pPr>
              <w:pStyle w:val="33"/>
              <w:rPr>
                <w:color w:val="auto"/>
              </w:rPr>
            </w:pPr>
            <w:r>
              <w:rPr>
                <w:color w:val="auto"/>
              </w:rPr>
              <w:t>筛选值</w:t>
            </w:r>
          </w:p>
        </w:tc>
        <w:tc>
          <w:tcPr>
            <w:tcW w:w="500" w:type="pct"/>
            <w:vAlign w:val="center"/>
          </w:tcPr>
          <w:p w14:paraId="0E7A3F77">
            <w:pPr>
              <w:pStyle w:val="33"/>
              <w:rPr>
                <w:color w:val="auto"/>
              </w:rPr>
            </w:pPr>
          </w:p>
        </w:tc>
        <w:tc>
          <w:tcPr>
            <w:tcW w:w="500" w:type="pct"/>
            <w:vAlign w:val="center"/>
          </w:tcPr>
          <w:p w14:paraId="02E175C0">
            <w:pPr>
              <w:pStyle w:val="33"/>
              <w:rPr>
                <w:color w:val="auto"/>
              </w:rPr>
            </w:pPr>
          </w:p>
        </w:tc>
        <w:tc>
          <w:tcPr>
            <w:tcW w:w="500" w:type="pct"/>
            <w:vAlign w:val="center"/>
          </w:tcPr>
          <w:p w14:paraId="1E6EFF19">
            <w:pPr>
              <w:pStyle w:val="33"/>
              <w:rPr>
                <w:color w:val="auto"/>
              </w:rPr>
            </w:pPr>
          </w:p>
        </w:tc>
        <w:tc>
          <w:tcPr>
            <w:tcW w:w="500" w:type="pct"/>
            <w:vMerge w:val="continue"/>
            <w:vAlign w:val="center"/>
          </w:tcPr>
          <w:p w14:paraId="233D2C57">
            <w:pPr>
              <w:pStyle w:val="33"/>
              <w:rPr>
                <w:color w:val="auto"/>
              </w:rPr>
            </w:pPr>
          </w:p>
        </w:tc>
        <w:tc>
          <w:tcPr>
            <w:tcW w:w="500" w:type="pct"/>
            <w:vAlign w:val="center"/>
          </w:tcPr>
          <w:p w14:paraId="7CDAD04E">
            <w:pPr>
              <w:pStyle w:val="33"/>
              <w:rPr>
                <w:color w:val="auto"/>
              </w:rPr>
            </w:pPr>
            <w:r>
              <w:rPr>
                <w:color w:val="auto"/>
              </w:rPr>
              <w:t>筛选值</w:t>
            </w:r>
          </w:p>
        </w:tc>
        <w:tc>
          <w:tcPr>
            <w:tcW w:w="500" w:type="pct"/>
            <w:vAlign w:val="center"/>
          </w:tcPr>
          <w:p w14:paraId="71764435">
            <w:pPr>
              <w:pStyle w:val="33"/>
              <w:rPr>
                <w:color w:val="auto"/>
              </w:rPr>
            </w:pPr>
          </w:p>
        </w:tc>
        <w:tc>
          <w:tcPr>
            <w:tcW w:w="500" w:type="pct"/>
            <w:vAlign w:val="center"/>
          </w:tcPr>
          <w:p w14:paraId="61239977">
            <w:pPr>
              <w:pStyle w:val="33"/>
              <w:rPr>
                <w:color w:val="auto"/>
              </w:rPr>
            </w:pPr>
          </w:p>
        </w:tc>
        <w:tc>
          <w:tcPr>
            <w:tcW w:w="498" w:type="pct"/>
            <w:vAlign w:val="center"/>
          </w:tcPr>
          <w:p w14:paraId="2DC35FF2">
            <w:pPr>
              <w:pStyle w:val="33"/>
              <w:rPr>
                <w:color w:val="auto"/>
              </w:rPr>
            </w:pPr>
          </w:p>
        </w:tc>
      </w:tr>
      <w:tr w14:paraId="31BA9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F262855">
            <w:pPr>
              <w:pStyle w:val="33"/>
              <w:rPr>
                <w:color w:val="auto"/>
              </w:rPr>
            </w:pPr>
          </w:p>
        </w:tc>
        <w:tc>
          <w:tcPr>
            <w:tcW w:w="502" w:type="pct"/>
            <w:vAlign w:val="center"/>
          </w:tcPr>
          <w:p w14:paraId="05E62B62">
            <w:pPr>
              <w:pStyle w:val="33"/>
              <w:rPr>
                <w:color w:val="auto"/>
              </w:rPr>
            </w:pPr>
            <w:r>
              <w:rPr>
                <w:color w:val="auto"/>
              </w:rPr>
              <w:t>标准指数</w:t>
            </w:r>
          </w:p>
        </w:tc>
        <w:tc>
          <w:tcPr>
            <w:tcW w:w="500" w:type="pct"/>
            <w:vAlign w:val="center"/>
          </w:tcPr>
          <w:p w14:paraId="6A1B14A8">
            <w:pPr>
              <w:pStyle w:val="33"/>
              <w:rPr>
                <w:color w:val="auto"/>
              </w:rPr>
            </w:pPr>
          </w:p>
        </w:tc>
        <w:tc>
          <w:tcPr>
            <w:tcW w:w="500" w:type="pct"/>
            <w:vAlign w:val="center"/>
          </w:tcPr>
          <w:p w14:paraId="2BF46ADE">
            <w:pPr>
              <w:pStyle w:val="33"/>
              <w:rPr>
                <w:color w:val="auto"/>
              </w:rPr>
            </w:pPr>
          </w:p>
        </w:tc>
        <w:tc>
          <w:tcPr>
            <w:tcW w:w="500" w:type="pct"/>
            <w:vAlign w:val="center"/>
          </w:tcPr>
          <w:p w14:paraId="5AB48776">
            <w:pPr>
              <w:pStyle w:val="33"/>
              <w:rPr>
                <w:color w:val="auto"/>
              </w:rPr>
            </w:pPr>
          </w:p>
        </w:tc>
        <w:tc>
          <w:tcPr>
            <w:tcW w:w="500" w:type="pct"/>
            <w:vMerge w:val="continue"/>
            <w:vAlign w:val="center"/>
          </w:tcPr>
          <w:p w14:paraId="5ABD9847">
            <w:pPr>
              <w:pStyle w:val="33"/>
              <w:rPr>
                <w:color w:val="auto"/>
              </w:rPr>
            </w:pPr>
          </w:p>
        </w:tc>
        <w:tc>
          <w:tcPr>
            <w:tcW w:w="500" w:type="pct"/>
            <w:vAlign w:val="center"/>
          </w:tcPr>
          <w:p w14:paraId="3687B08A">
            <w:pPr>
              <w:pStyle w:val="33"/>
              <w:rPr>
                <w:color w:val="auto"/>
              </w:rPr>
            </w:pPr>
            <w:r>
              <w:rPr>
                <w:color w:val="auto"/>
              </w:rPr>
              <w:t>标准指数</w:t>
            </w:r>
          </w:p>
        </w:tc>
        <w:tc>
          <w:tcPr>
            <w:tcW w:w="500" w:type="pct"/>
            <w:vAlign w:val="center"/>
          </w:tcPr>
          <w:p w14:paraId="0E8C6252">
            <w:pPr>
              <w:pStyle w:val="33"/>
              <w:rPr>
                <w:color w:val="auto"/>
              </w:rPr>
            </w:pPr>
          </w:p>
        </w:tc>
        <w:tc>
          <w:tcPr>
            <w:tcW w:w="500" w:type="pct"/>
            <w:vAlign w:val="center"/>
          </w:tcPr>
          <w:p w14:paraId="3AA4A281">
            <w:pPr>
              <w:pStyle w:val="33"/>
              <w:rPr>
                <w:color w:val="auto"/>
              </w:rPr>
            </w:pPr>
          </w:p>
        </w:tc>
        <w:tc>
          <w:tcPr>
            <w:tcW w:w="498" w:type="pct"/>
            <w:vAlign w:val="center"/>
          </w:tcPr>
          <w:p w14:paraId="58FB09FA">
            <w:pPr>
              <w:pStyle w:val="33"/>
              <w:rPr>
                <w:color w:val="auto"/>
              </w:rPr>
            </w:pPr>
          </w:p>
        </w:tc>
      </w:tr>
      <w:tr w14:paraId="13F1F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5D544E57">
            <w:pPr>
              <w:pStyle w:val="33"/>
              <w:rPr>
                <w:color w:val="auto"/>
              </w:rPr>
            </w:pPr>
          </w:p>
        </w:tc>
        <w:tc>
          <w:tcPr>
            <w:tcW w:w="502" w:type="pct"/>
            <w:vAlign w:val="center"/>
          </w:tcPr>
          <w:p w14:paraId="064E5A91">
            <w:pPr>
              <w:pStyle w:val="33"/>
              <w:rPr>
                <w:color w:val="auto"/>
              </w:rPr>
            </w:pPr>
            <w:r>
              <w:rPr>
                <w:color w:val="auto"/>
              </w:rPr>
              <w:t>超标倍数</w:t>
            </w:r>
          </w:p>
        </w:tc>
        <w:tc>
          <w:tcPr>
            <w:tcW w:w="500" w:type="pct"/>
            <w:vAlign w:val="center"/>
          </w:tcPr>
          <w:p w14:paraId="06F522ED">
            <w:pPr>
              <w:pStyle w:val="33"/>
              <w:rPr>
                <w:color w:val="auto"/>
              </w:rPr>
            </w:pPr>
          </w:p>
        </w:tc>
        <w:tc>
          <w:tcPr>
            <w:tcW w:w="500" w:type="pct"/>
            <w:vAlign w:val="center"/>
          </w:tcPr>
          <w:p w14:paraId="0549A50F">
            <w:pPr>
              <w:pStyle w:val="33"/>
              <w:rPr>
                <w:color w:val="auto"/>
              </w:rPr>
            </w:pPr>
          </w:p>
        </w:tc>
        <w:tc>
          <w:tcPr>
            <w:tcW w:w="500" w:type="pct"/>
            <w:vAlign w:val="center"/>
          </w:tcPr>
          <w:p w14:paraId="754DE472">
            <w:pPr>
              <w:pStyle w:val="33"/>
              <w:rPr>
                <w:color w:val="auto"/>
              </w:rPr>
            </w:pPr>
          </w:p>
        </w:tc>
        <w:tc>
          <w:tcPr>
            <w:tcW w:w="500" w:type="pct"/>
            <w:vMerge w:val="continue"/>
            <w:vAlign w:val="center"/>
          </w:tcPr>
          <w:p w14:paraId="4841EBDD">
            <w:pPr>
              <w:pStyle w:val="33"/>
              <w:rPr>
                <w:color w:val="auto"/>
              </w:rPr>
            </w:pPr>
          </w:p>
        </w:tc>
        <w:tc>
          <w:tcPr>
            <w:tcW w:w="500" w:type="pct"/>
            <w:vAlign w:val="center"/>
          </w:tcPr>
          <w:p w14:paraId="24026044">
            <w:pPr>
              <w:pStyle w:val="33"/>
              <w:rPr>
                <w:color w:val="auto"/>
              </w:rPr>
            </w:pPr>
            <w:r>
              <w:rPr>
                <w:color w:val="auto"/>
              </w:rPr>
              <w:t>超标倍数</w:t>
            </w:r>
          </w:p>
        </w:tc>
        <w:tc>
          <w:tcPr>
            <w:tcW w:w="500" w:type="pct"/>
            <w:vAlign w:val="center"/>
          </w:tcPr>
          <w:p w14:paraId="0A33E886">
            <w:pPr>
              <w:pStyle w:val="33"/>
              <w:rPr>
                <w:color w:val="auto"/>
              </w:rPr>
            </w:pPr>
          </w:p>
        </w:tc>
        <w:tc>
          <w:tcPr>
            <w:tcW w:w="500" w:type="pct"/>
            <w:vAlign w:val="center"/>
          </w:tcPr>
          <w:p w14:paraId="046C0BAA">
            <w:pPr>
              <w:pStyle w:val="33"/>
              <w:rPr>
                <w:color w:val="auto"/>
              </w:rPr>
            </w:pPr>
          </w:p>
        </w:tc>
        <w:tc>
          <w:tcPr>
            <w:tcW w:w="498" w:type="pct"/>
            <w:vAlign w:val="center"/>
          </w:tcPr>
          <w:p w14:paraId="400827F7">
            <w:pPr>
              <w:pStyle w:val="33"/>
              <w:rPr>
                <w:color w:val="auto"/>
              </w:rPr>
            </w:pPr>
          </w:p>
        </w:tc>
      </w:tr>
      <w:tr w14:paraId="4D394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43FE0037">
            <w:pPr>
              <w:pStyle w:val="33"/>
              <w:rPr>
                <w:color w:val="auto"/>
              </w:rPr>
            </w:pPr>
            <w:r>
              <w:rPr>
                <w:color w:val="auto"/>
              </w:rPr>
              <w:t>甲苯</w:t>
            </w:r>
          </w:p>
        </w:tc>
        <w:tc>
          <w:tcPr>
            <w:tcW w:w="502" w:type="pct"/>
            <w:vAlign w:val="center"/>
          </w:tcPr>
          <w:p w14:paraId="025B1D38">
            <w:pPr>
              <w:pStyle w:val="33"/>
              <w:rPr>
                <w:color w:val="auto"/>
              </w:rPr>
            </w:pPr>
            <w:r>
              <w:rPr>
                <w:color w:val="auto"/>
              </w:rPr>
              <w:t>监测值</w:t>
            </w:r>
          </w:p>
        </w:tc>
        <w:tc>
          <w:tcPr>
            <w:tcW w:w="500" w:type="pct"/>
            <w:vAlign w:val="center"/>
          </w:tcPr>
          <w:p w14:paraId="7C7C9BA5">
            <w:pPr>
              <w:pStyle w:val="33"/>
              <w:rPr>
                <w:color w:val="auto"/>
              </w:rPr>
            </w:pPr>
          </w:p>
        </w:tc>
        <w:tc>
          <w:tcPr>
            <w:tcW w:w="500" w:type="pct"/>
            <w:vAlign w:val="center"/>
          </w:tcPr>
          <w:p w14:paraId="536C12E3">
            <w:pPr>
              <w:pStyle w:val="33"/>
              <w:rPr>
                <w:color w:val="auto"/>
              </w:rPr>
            </w:pPr>
          </w:p>
        </w:tc>
        <w:tc>
          <w:tcPr>
            <w:tcW w:w="500" w:type="pct"/>
            <w:vAlign w:val="center"/>
          </w:tcPr>
          <w:p w14:paraId="741D684D">
            <w:pPr>
              <w:pStyle w:val="33"/>
              <w:rPr>
                <w:color w:val="auto"/>
              </w:rPr>
            </w:pPr>
          </w:p>
        </w:tc>
        <w:tc>
          <w:tcPr>
            <w:tcW w:w="500" w:type="pct"/>
            <w:vMerge w:val="restart"/>
            <w:vAlign w:val="center"/>
          </w:tcPr>
          <w:p w14:paraId="27374A02">
            <w:pPr>
              <w:pStyle w:val="33"/>
              <w:rPr>
                <w:color w:val="auto"/>
              </w:rPr>
            </w:pPr>
            <w:r>
              <w:rPr>
                <w:color w:val="auto"/>
              </w:rPr>
              <w:t>苯并[k]荧蒽</w:t>
            </w:r>
          </w:p>
        </w:tc>
        <w:tc>
          <w:tcPr>
            <w:tcW w:w="500" w:type="pct"/>
            <w:vAlign w:val="center"/>
          </w:tcPr>
          <w:p w14:paraId="0F1F0845">
            <w:pPr>
              <w:pStyle w:val="33"/>
              <w:rPr>
                <w:color w:val="auto"/>
              </w:rPr>
            </w:pPr>
            <w:r>
              <w:rPr>
                <w:color w:val="auto"/>
              </w:rPr>
              <w:t>监测值</w:t>
            </w:r>
          </w:p>
        </w:tc>
        <w:tc>
          <w:tcPr>
            <w:tcW w:w="500" w:type="pct"/>
            <w:vAlign w:val="center"/>
          </w:tcPr>
          <w:p w14:paraId="348CF4DE">
            <w:pPr>
              <w:pStyle w:val="33"/>
              <w:rPr>
                <w:color w:val="auto"/>
              </w:rPr>
            </w:pPr>
          </w:p>
        </w:tc>
        <w:tc>
          <w:tcPr>
            <w:tcW w:w="500" w:type="pct"/>
            <w:vAlign w:val="center"/>
          </w:tcPr>
          <w:p w14:paraId="1E9AAC29">
            <w:pPr>
              <w:pStyle w:val="33"/>
              <w:rPr>
                <w:color w:val="auto"/>
              </w:rPr>
            </w:pPr>
          </w:p>
        </w:tc>
        <w:tc>
          <w:tcPr>
            <w:tcW w:w="498" w:type="pct"/>
            <w:vAlign w:val="center"/>
          </w:tcPr>
          <w:p w14:paraId="2ECB6D9F">
            <w:pPr>
              <w:pStyle w:val="33"/>
              <w:rPr>
                <w:color w:val="auto"/>
              </w:rPr>
            </w:pPr>
          </w:p>
        </w:tc>
      </w:tr>
      <w:tr w14:paraId="08E03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956539E">
            <w:pPr>
              <w:pStyle w:val="33"/>
              <w:rPr>
                <w:color w:val="auto"/>
              </w:rPr>
            </w:pPr>
          </w:p>
        </w:tc>
        <w:tc>
          <w:tcPr>
            <w:tcW w:w="502" w:type="pct"/>
            <w:vAlign w:val="center"/>
          </w:tcPr>
          <w:p w14:paraId="6FD2ADC9">
            <w:pPr>
              <w:pStyle w:val="33"/>
              <w:rPr>
                <w:color w:val="auto"/>
              </w:rPr>
            </w:pPr>
            <w:r>
              <w:rPr>
                <w:color w:val="auto"/>
              </w:rPr>
              <w:t>筛选值</w:t>
            </w:r>
          </w:p>
        </w:tc>
        <w:tc>
          <w:tcPr>
            <w:tcW w:w="500" w:type="pct"/>
            <w:vAlign w:val="center"/>
          </w:tcPr>
          <w:p w14:paraId="0061EC9D">
            <w:pPr>
              <w:pStyle w:val="33"/>
              <w:rPr>
                <w:color w:val="auto"/>
              </w:rPr>
            </w:pPr>
          </w:p>
        </w:tc>
        <w:tc>
          <w:tcPr>
            <w:tcW w:w="500" w:type="pct"/>
            <w:vAlign w:val="center"/>
          </w:tcPr>
          <w:p w14:paraId="47BEE86D">
            <w:pPr>
              <w:pStyle w:val="33"/>
              <w:rPr>
                <w:color w:val="auto"/>
              </w:rPr>
            </w:pPr>
          </w:p>
        </w:tc>
        <w:tc>
          <w:tcPr>
            <w:tcW w:w="500" w:type="pct"/>
            <w:vAlign w:val="center"/>
          </w:tcPr>
          <w:p w14:paraId="01E76995">
            <w:pPr>
              <w:pStyle w:val="33"/>
              <w:rPr>
                <w:color w:val="auto"/>
              </w:rPr>
            </w:pPr>
          </w:p>
        </w:tc>
        <w:tc>
          <w:tcPr>
            <w:tcW w:w="500" w:type="pct"/>
            <w:vMerge w:val="continue"/>
            <w:vAlign w:val="center"/>
          </w:tcPr>
          <w:p w14:paraId="25CA1BAC">
            <w:pPr>
              <w:pStyle w:val="33"/>
              <w:rPr>
                <w:color w:val="auto"/>
              </w:rPr>
            </w:pPr>
          </w:p>
        </w:tc>
        <w:tc>
          <w:tcPr>
            <w:tcW w:w="500" w:type="pct"/>
            <w:vAlign w:val="center"/>
          </w:tcPr>
          <w:p w14:paraId="55946536">
            <w:pPr>
              <w:pStyle w:val="33"/>
              <w:rPr>
                <w:color w:val="auto"/>
              </w:rPr>
            </w:pPr>
            <w:r>
              <w:rPr>
                <w:color w:val="auto"/>
              </w:rPr>
              <w:t>筛选值</w:t>
            </w:r>
          </w:p>
        </w:tc>
        <w:tc>
          <w:tcPr>
            <w:tcW w:w="500" w:type="pct"/>
            <w:vAlign w:val="center"/>
          </w:tcPr>
          <w:p w14:paraId="38FB9D49">
            <w:pPr>
              <w:pStyle w:val="33"/>
              <w:rPr>
                <w:color w:val="auto"/>
              </w:rPr>
            </w:pPr>
          </w:p>
        </w:tc>
        <w:tc>
          <w:tcPr>
            <w:tcW w:w="500" w:type="pct"/>
            <w:vAlign w:val="center"/>
          </w:tcPr>
          <w:p w14:paraId="27CDDD1A">
            <w:pPr>
              <w:pStyle w:val="33"/>
              <w:rPr>
                <w:color w:val="auto"/>
              </w:rPr>
            </w:pPr>
          </w:p>
        </w:tc>
        <w:tc>
          <w:tcPr>
            <w:tcW w:w="498" w:type="pct"/>
            <w:vAlign w:val="center"/>
          </w:tcPr>
          <w:p w14:paraId="1FA7F149">
            <w:pPr>
              <w:pStyle w:val="33"/>
              <w:rPr>
                <w:color w:val="auto"/>
              </w:rPr>
            </w:pPr>
          </w:p>
        </w:tc>
      </w:tr>
      <w:tr w14:paraId="6E25B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1BE6F6C2">
            <w:pPr>
              <w:pStyle w:val="33"/>
              <w:rPr>
                <w:color w:val="auto"/>
              </w:rPr>
            </w:pPr>
          </w:p>
        </w:tc>
        <w:tc>
          <w:tcPr>
            <w:tcW w:w="502" w:type="pct"/>
            <w:vAlign w:val="center"/>
          </w:tcPr>
          <w:p w14:paraId="06953EC8">
            <w:pPr>
              <w:pStyle w:val="33"/>
              <w:rPr>
                <w:color w:val="auto"/>
              </w:rPr>
            </w:pPr>
            <w:r>
              <w:rPr>
                <w:color w:val="auto"/>
              </w:rPr>
              <w:t>标准指数</w:t>
            </w:r>
          </w:p>
        </w:tc>
        <w:tc>
          <w:tcPr>
            <w:tcW w:w="500" w:type="pct"/>
            <w:vAlign w:val="center"/>
          </w:tcPr>
          <w:p w14:paraId="26962B04">
            <w:pPr>
              <w:pStyle w:val="33"/>
              <w:rPr>
                <w:color w:val="auto"/>
              </w:rPr>
            </w:pPr>
          </w:p>
        </w:tc>
        <w:tc>
          <w:tcPr>
            <w:tcW w:w="500" w:type="pct"/>
            <w:vAlign w:val="center"/>
          </w:tcPr>
          <w:p w14:paraId="69FD004F">
            <w:pPr>
              <w:pStyle w:val="33"/>
              <w:rPr>
                <w:color w:val="auto"/>
              </w:rPr>
            </w:pPr>
          </w:p>
        </w:tc>
        <w:tc>
          <w:tcPr>
            <w:tcW w:w="500" w:type="pct"/>
            <w:vAlign w:val="center"/>
          </w:tcPr>
          <w:p w14:paraId="2A01B7F5">
            <w:pPr>
              <w:pStyle w:val="33"/>
              <w:rPr>
                <w:color w:val="auto"/>
              </w:rPr>
            </w:pPr>
          </w:p>
        </w:tc>
        <w:tc>
          <w:tcPr>
            <w:tcW w:w="500" w:type="pct"/>
            <w:vMerge w:val="continue"/>
            <w:vAlign w:val="center"/>
          </w:tcPr>
          <w:p w14:paraId="1EFB0301">
            <w:pPr>
              <w:pStyle w:val="33"/>
              <w:rPr>
                <w:color w:val="auto"/>
              </w:rPr>
            </w:pPr>
          </w:p>
        </w:tc>
        <w:tc>
          <w:tcPr>
            <w:tcW w:w="500" w:type="pct"/>
            <w:vAlign w:val="center"/>
          </w:tcPr>
          <w:p w14:paraId="1EAEFE67">
            <w:pPr>
              <w:pStyle w:val="33"/>
              <w:rPr>
                <w:color w:val="auto"/>
              </w:rPr>
            </w:pPr>
            <w:r>
              <w:rPr>
                <w:color w:val="auto"/>
              </w:rPr>
              <w:t>标准指数</w:t>
            </w:r>
          </w:p>
        </w:tc>
        <w:tc>
          <w:tcPr>
            <w:tcW w:w="500" w:type="pct"/>
            <w:vAlign w:val="center"/>
          </w:tcPr>
          <w:p w14:paraId="3A62825F">
            <w:pPr>
              <w:pStyle w:val="33"/>
              <w:rPr>
                <w:color w:val="auto"/>
              </w:rPr>
            </w:pPr>
          </w:p>
        </w:tc>
        <w:tc>
          <w:tcPr>
            <w:tcW w:w="500" w:type="pct"/>
            <w:vAlign w:val="center"/>
          </w:tcPr>
          <w:p w14:paraId="70303EE4">
            <w:pPr>
              <w:pStyle w:val="33"/>
              <w:rPr>
                <w:color w:val="auto"/>
              </w:rPr>
            </w:pPr>
          </w:p>
        </w:tc>
        <w:tc>
          <w:tcPr>
            <w:tcW w:w="498" w:type="pct"/>
            <w:vAlign w:val="center"/>
          </w:tcPr>
          <w:p w14:paraId="05E99C81">
            <w:pPr>
              <w:pStyle w:val="33"/>
              <w:rPr>
                <w:color w:val="auto"/>
              </w:rPr>
            </w:pPr>
          </w:p>
        </w:tc>
      </w:tr>
      <w:tr w14:paraId="0B309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7A0FDFC">
            <w:pPr>
              <w:pStyle w:val="33"/>
              <w:rPr>
                <w:color w:val="auto"/>
              </w:rPr>
            </w:pPr>
          </w:p>
        </w:tc>
        <w:tc>
          <w:tcPr>
            <w:tcW w:w="502" w:type="pct"/>
            <w:vAlign w:val="center"/>
          </w:tcPr>
          <w:p w14:paraId="363C8317">
            <w:pPr>
              <w:pStyle w:val="33"/>
              <w:rPr>
                <w:color w:val="auto"/>
              </w:rPr>
            </w:pPr>
            <w:r>
              <w:rPr>
                <w:color w:val="auto"/>
              </w:rPr>
              <w:t>超标倍数</w:t>
            </w:r>
          </w:p>
        </w:tc>
        <w:tc>
          <w:tcPr>
            <w:tcW w:w="500" w:type="pct"/>
            <w:vAlign w:val="center"/>
          </w:tcPr>
          <w:p w14:paraId="4A7DDB54">
            <w:pPr>
              <w:pStyle w:val="33"/>
              <w:rPr>
                <w:color w:val="auto"/>
              </w:rPr>
            </w:pPr>
          </w:p>
        </w:tc>
        <w:tc>
          <w:tcPr>
            <w:tcW w:w="500" w:type="pct"/>
            <w:vAlign w:val="center"/>
          </w:tcPr>
          <w:p w14:paraId="5953F46A">
            <w:pPr>
              <w:pStyle w:val="33"/>
              <w:rPr>
                <w:color w:val="auto"/>
              </w:rPr>
            </w:pPr>
          </w:p>
        </w:tc>
        <w:tc>
          <w:tcPr>
            <w:tcW w:w="500" w:type="pct"/>
            <w:vAlign w:val="center"/>
          </w:tcPr>
          <w:p w14:paraId="04D46A9E">
            <w:pPr>
              <w:pStyle w:val="33"/>
              <w:rPr>
                <w:color w:val="auto"/>
              </w:rPr>
            </w:pPr>
          </w:p>
        </w:tc>
        <w:tc>
          <w:tcPr>
            <w:tcW w:w="500" w:type="pct"/>
            <w:vMerge w:val="continue"/>
            <w:vAlign w:val="center"/>
          </w:tcPr>
          <w:p w14:paraId="640AD649">
            <w:pPr>
              <w:pStyle w:val="33"/>
              <w:rPr>
                <w:color w:val="auto"/>
              </w:rPr>
            </w:pPr>
          </w:p>
        </w:tc>
        <w:tc>
          <w:tcPr>
            <w:tcW w:w="500" w:type="pct"/>
            <w:vAlign w:val="center"/>
          </w:tcPr>
          <w:p w14:paraId="0ECB92C7">
            <w:pPr>
              <w:pStyle w:val="33"/>
              <w:rPr>
                <w:color w:val="auto"/>
              </w:rPr>
            </w:pPr>
            <w:r>
              <w:rPr>
                <w:color w:val="auto"/>
              </w:rPr>
              <w:t>超标倍数</w:t>
            </w:r>
          </w:p>
        </w:tc>
        <w:tc>
          <w:tcPr>
            <w:tcW w:w="500" w:type="pct"/>
            <w:vAlign w:val="center"/>
          </w:tcPr>
          <w:p w14:paraId="32CA911E">
            <w:pPr>
              <w:pStyle w:val="33"/>
              <w:rPr>
                <w:color w:val="auto"/>
              </w:rPr>
            </w:pPr>
          </w:p>
        </w:tc>
        <w:tc>
          <w:tcPr>
            <w:tcW w:w="500" w:type="pct"/>
            <w:vAlign w:val="center"/>
          </w:tcPr>
          <w:p w14:paraId="202E07EA">
            <w:pPr>
              <w:pStyle w:val="33"/>
              <w:rPr>
                <w:color w:val="auto"/>
              </w:rPr>
            </w:pPr>
          </w:p>
        </w:tc>
        <w:tc>
          <w:tcPr>
            <w:tcW w:w="498" w:type="pct"/>
            <w:vAlign w:val="center"/>
          </w:tcPr>
          <w:p w14:paraId="20F25195">
            <w:pPr>
              <w:pStyle w:val="33"/>
              <w:rPr>
                <w:color w:val="auto"/>
              </w:rPr>
            </w:pPr>
          </w:p>
        </w:tc>
      </w:tr>
      <w:tr w14:paraId="64D65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restart"/>
            <w:vAlign w:val="center"/>
          </w:tcPr>
          <w:p w14:paraId="61FB162C">
            <w:pPr>
              <w:pStyle w:val="33"/>
              <w:rPr>
                <w:color w:val="auto"/>
              </w:rPr>
            </w:pPr>
            <w:r>
              <w:rPr>
                <w:color w:val="auto"/>
              </w:rPr>
              <w:t>1,1,2-三氯乙烷</w:t>
            </w:r>
          </w:p>
        </w:tc>
        <w:tc>
          <w:tcPr>
            <w:tcW w:w="502" w:type="pct"/>
            <w:vAlign w:val="center"/>
          </w:tcPr>
          <w:p w14:paraId="788E6EB2">
            <w:pPr>
              <w:pStyle w:val="33"/>
              <w:rPr>
                <w:color w:val="auto"/>
              </w:rPr>
            </w:pPr>
            <w:r>
              <w:rPr>
                <w:color w:val="auto"/>
              </w:rPr>
              <w:t>监测值</w:t>
            </w:r>
          </w:p>
        </w:tc>
        <w:tc>
          <w:tcPr>
            <w:tcW w:w="500" w:type="pct"/>
            <w:vAlign w:val="center"/>
          </w:tcPr>
          <w:p w14:paraId="0B39A545">
            <w:pPr>
              <w:pStyle w:val="33"/>
              <w:rPr>
                <w:color w:val="auto"/>
              </w:rPr>
            </w:pPr>
          </w:p>
        </w:tc>
        <w:tc>
          <w:tcPr>
            <w:tcW w:w="500" w:type="pct"/>
            <w:vAlign w:val="center"/>
          </w:tcPr>
          <w:p w14:paraId="3D85EC42">
            <w:pPr>
              <w:pStyle w:val="33"/>
              <w:rPr>
                <w:color w:val="auto"/>
              </w:rPr>
            </w:pPr>
          </w:p>
        </w:tc>
        <w:tc>
          <w:tcPr>
            <w:tcW w:w="500" w:type="pct"/>
            <w:vAlign w:val="center"/>
          </w:tcPr>
          <w:p w14:paraId="55C56F8D">
            <w:pPr>
              <w:pStyle w:val="33"/>
              <w:rPr>
                <w:color w:val="auto"/>
              </w:rPr>
            </w:pPr>
          </w:p>
        </w:tc>
        <w:tc>
          <w:tcPr>
            <w:tcW w:w="500" w:type="pct"/>
            <w:vMerge w:val="restart"/>
            <w:vAlign w:val="center"/>
          </w:tcPr>
          <w:p w14:paraId="12554A52">
            <w:pPr>
              <w:pStyle w:val="33"/>
              <w:rPr>
                <w:color w:val="auto"/>
              </w:rPr>
            </w:pPr>
            <w:r>
              <w:rPr>
                <w:color w:val="auto"/>
              </w:rPr>
              <w:t>苯并[a]芘</w:t>
            </w:r>
          </w:p>
        </w:tc>
        <w:tc>
          <w:tcPr>
            <w:tcW w:w="500" w:type="pct"/>
            <w:vAlign w:val="center"/>
          </w:tcPr>
          <w:p w14:paraId="6D10D3F3">
            <w:pPr>
              <w:pStyle w:val="33"/>
              <w:rPr>
                <w:color w:val="auto"/>
              </w:rPr>
            </w:pPr>
            <w:r>
              <w:rPr>
                <w:color w:val="auto"/>
              </w:rPr>
              <w:t>监测值</w:t>
            </w:r>
          </w:p>
        </w:tc>
        <w:tc>
          <w:tcPr>
            <w:tcW w:w="500" w:type="pct"/>
            <w:vAlign w:val="center"/>
          </w:tcPr>
          <w:p w14:paraId="399FF8E7">
            <w:pPr>
              <w:pStyle w:val="33"/>
              <w:rPr>
                <w:color w:val="auto"/>
              </w:rPr>
            </w:pPr>
          </w:p>
        </w:tc>
        <w:tc>
          <w:tcPr>
            <w:tcW w:w="500" w:type="pct"/>
            <w:vAlign w:val="center"/>
          </w:tcPr>
          <w:p w14:paraId="491C97D9">
            <w:pPr>
              <w:pStyle w:val="33"/>
              <w:rPr>
                <w:color w:val="auto"/>
              </w:rPr>
            </w:pPr>
          </w:p>
        </w:tc>
        <w:tc>
          <w:tcPr>
            <w:tcW w:w="498" w:type="pct"/>
            <w:vAlign w:val="center"/>
          </w:tcPr>
          <w:p w14:paraId="68FA492E">
            <w:pPr>
              <w:pStyle w:val="33"/>
              <w:rPr>
                <w:color w:val="auto"/>
              </w:rPr>
            </w:pPr>
          </w:p>
        </w:tc>
      </w:tr>
      <w:tr w14:paraId="0EA5A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D23704B">
            <w:pPr>
              <w:pStyle w:val="33"/>
              <w:rPr>
                <w:color w:val="auto"/>
              </w:rPr>
            </w:pPr>
          </w:p>
        </w:tc>
        <w:tc>
          <w:tcPr>
            <w:tcW w:w="502" w:type="pct"/>
            <w:vAlign w:val="center"/>
          </w:tcPr>
          <w:p w14:paraId="239795EF">
            <w:pPr>
              <w:pStyle w:val="33"/>
              <w:rPr>
                <w:color w:val="auto"/>
              </w:rPr>
            </w:pPr>
            <w:r>
              <w:rPr>
                <w:color w:val="auto"/>
              </w:rPr>
              <w:t>筛选值</w:t>
            </w:r>
          </w:p>
        </w:tc>
        <w:tc>
          <w:tcPr>
            <w:tcW w:w="500" w:type="pct"/>
            <w:vAlign w:val="center"/>
          </w:tcPr>
          <w:p w14:paraId="095FBD81">
            <w:pPr>
              <w:pStyle w:val="33"/>
              <w:rPr>
                <w:color w:val="auto"/>
              </w:rPr>
            </w:pPr>
          </w:p>
        </w:tc>
        <w:tc>
          <w:tcPr>
            <w:tcW w:w="500" w:type="pct"/>
            <w:vAlign w:val="center"/>
          </w:tcPr>
          <w:p w14:paraId="38F5C2DF">
            <w:pPr>
              <w:pStyle w:val="33"/>
              <w:rPr>
                <w:color w:val="auto"/>
              </w:rPr>
            </w:pPr>
          </w:p>
        </w:tc>
        <w:tc>
          <w:tcPr>
            <w:tcW w:w="500" w:type="pct"/>
            <w:vAlign w:val="center"/>
          </w:tcPr>
          <w:p w14:paraId="4741CA04">
            <w:pPr>
              <w:pStyle w:val="33"/>
              <w:rPr>
                <w:color w:val="auto"/>
              </w:rPr>
            </w:pPr>
          </w:p>
        </w:tc>
        <w:tc>
          <w:tcPr>
            <w:tcW w:w="500" w:type="pct"/>
            <w:vMerge w:val="continue"/>
            <w:vAlign w:val="center"/>
          </w:tcPr>
          <w:p w14:paraId="41EFCF99">
            <w:pPr>
              <w:pStyle w:val="33"/>
              <w:rPr>
                <w:color w:val="auto"/>
              </w:rPr>
            </w:pPr>
          </w:p>
        </w:tc>
        <w:tc>
          <w:tcPr>
            <w:tcW w:w="500" w:type="pct"/>
            <w:vAlign w:val="center"/>
          </w:tcPr>
          <w:p w14:paraId="27FBF9C0">
            <w:pPr>
              <w:pStyle w:val="33"/>
              <w:rPr>
                <w:color w:val="auto"/>
              </w:rPr>
            </w:pPr>
            <w:r>
              <w:rPr>
                <w:color w:val="auto"/>
              </w:rPr>
              <w:t>筛选值</w:t>
            </w:r>
          </w:p>
        </w:tc>
        <w:tc>
          <w:tcPr>
            <w:tcW w:w="500" w:type="pct"/>
            <w:vAlign w:val="center"/>
          </w:tcPr>
          <w:p w14:paraId="08A8F413">
            <w:pPr>
              <w:pStyle w:val="33"/>
              <w:rPr>
                <w:color w:val="auto"/>
              </w:rPr>
            </w:pPr>
          </w:p>
        </w:tc>
        <w:tc>
          <w:tcPr>
            <w:tcW w:w="500" w:type="pct"/>
            <w:vAlign w:val="center"/>
          </w:tcPr>
          <w:p w14:paraId="54A82EA7">
            <w:pPr>
              <w:pStyle w:val="33"/>
              <w:rPr>
                <w:color w:val="auto"/>
              </w:rPr>
            </w:pPr>
          </w:p>
        </w:tc>
        <w:tc>
          <w:tcPr>
            <w:tcW w:w="498" w:type="pct"/>
            <w:vAlign w:val="center"/>
          </w:tcPr>
          <w:p w14:paraId="5312ADE2">
            <w:pPr>
              <w:pStyle w:val="33"/>
              <w:rPr>
                <w:color w:val="auto"/>
              </w:rPr>
            </w:pPr>
          </w:p>
        </w:tc>
      </w:tr>
      <w:tr w14:paraId="63784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0359C0D6">
            <w:pPr>
              <w:pStyle w:val="33"/>
              <w:rPr>
                <w:color w:val="auto"/>
              </w:rPr>
            </w:pPr>
          </w:p>
        </w:tc>
        <w:tc>
          <w:tcPr>
            <w:tcW w:w="502" w:type="pct"/>
            <w:vAlign w:val="center"/>
          </w:tcPr>
          <w:p w14:paraId="25477B67">
            <w:pPr>
              <w:pStyle w:val="33"/>
              <w:rPr>
                <w:color w:val="auto"/>
              </w:rPr>
            </w:pPr>
            <w:r>
              <w:rPr>
                <w:color w:val="auto"/>
              </w:rPr>
              <w:t>标准指数</w:t>
            </w:r>
          </w:p>
        </w:tc>
        <w:tc>
          <w:tcPr>
            <w:tcW w:w="500" w:type="pct"/>
            <w:vAlign w:val="center"/>
          </w:tcPr>
          <w:p w14:paraId="4255F7F5">
            <w:pPr>
              <w:pStyle w:val="33"/>
              <w:rPr>
                <w:color w:val="auto"/>
              </w:rPr>
            </w:pPr>
          </w:p>
        </w:tc>
        <w:tc>
          <w:tcPr>
            <w:tcW w:w="500" w:type="pct"/>
            <w:vAlign w:val="center"/>
          </w:tcPr>
          <w:p w14:paraId="77164E2A">
            <w:pPr>
              <w:pStyle w:val="33"/>
              <w:rPr>
                <w:color w:val="auto"/>
              </w:rPr>
            </w:pPr>
          </w:p>
        </w:tc>
        <w:tc>
          <w:tcPr>
            <w:tcW w:w="500" w:type="pct"/>
            <w:vAlign w:val="center"/>
          </w:tcPr>
          <w:p w14:paraId="2DC18B22">
            <w:pPr>
              <w:pStyle w:val="33"/>
              <w:rPr>
                <w:color w:val="auto"/>
              </w:rPr>
            </w:pPr>
          </w:p>
        </w:tc>
        <w:tc>
          <w:tcPr>
            <w:tcW w:w="500" w:type="pct"/>
            <w:vMerge w:val="continue"/>
            <w:vAlign w:val="center"/>
          </w:tcPr>
          <w:p w14:paraId="75036426">
            <w:pPr>
              <w:pStyle w:val="33"/>
              <w:rPr>
                <w:color w:val="auto"/>
              </w:rPr>
            </w:pPr>
          </w:p>
        </w:tc>
        <w:tc>
          <w:tcPr>
            <w:tcW w:w="500" w:type="pct"/>
            <w:vAlign w:val="center"/>
          </w:tcPr>
          <w:p w14:paraId="1E260CFA">
            <w:pPr>
              <w:pStyle w:val="33"/>
              <w:rPr>
                <w:color w:val="auto"/>
              </w:rPr>
            </w:pPr>
            <w:r>
              <w:rPr>
                <w:color w:val="auto"/>
              </w:rPr>
              <w:t>标准指数</w:t>
            </w:r>
          </w:p>
        </w:tc>
        <w:tc>
          <w:tcPr>
            <w:tcW w:w="500" w:type="pct"/>
            <w:vAlign w:val="center"/>
          </w:tcPr>
          <w:p w14:paraId="34CCA05F">
            <w:pPr>
              <w:pStyle w:val="33"/>
              <w:rPr>
                <w:color w:val="auto"/>
              </w:rPr>
            </w:pPr>
          </w:p>
        </w:tc>
        <w:tc>
          <w:tcPr>
            <w:tcW w:w="500" w:type="pct"/>
            <w:vAlign w:val="center"/>
          </w:tcPr>
          <w:p w14:paraId="29313647">
            <w:pPr>
              <w:pStyle w:val="33"/>
              <w:rPr>
                <w:color w:val="auto"/>
              </w:rPr>
            </w:pPr>
          </w:p>
        </w:tc>
        <w:tc>
          <w:tcPr>
            <w:tcW w:w="498" w:type="pct"/>
            <w:vAlign w:val="center"/>
          </w:tcPr>
          <w:p w14:paraId="5FFC0C7F">
            <w:pPr>
              <w:pStyle w:val="33"/>
              <w:rPr>
                <w:color w:val="auto"/>
              </w:rPr>
            </w:pPr>
          </w:p>
        </w:tc>
      </w:tr>
      <w:tr w14:paraId="14809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177B4B28">
            <w:pPr>
              <w:pStyle w:val="33"/>
              <w:rPr>
                <w:color w:val="auto"/>
              </w:rPr>
            </w:pPr>
          </w:p>
        </w:tc>
        <w:tc>
          <w:tcPr>
            <w:tcW w:w="502" w:type="pct"/>
            <w:vAlign w:val="center"/>
          </w:tcPr>
          <w:p w14:paraId="6FFF0CCE">
            <w:pPr>
              <w:pStyle w:val="33"/>
              <w:rPr>
                <w:color w:val="auto"/>
              </w:rPr>
            </w:pPr>
            <w:r>
              <w:rPr>
                <w:color w:val="auto"/>
              </w:rPr>
              <w:t>超标倍数</w:t>
            </w:r>
          </w:p>
        </w:tc>
        <w:tc>
          <w:tcPr>
            <w:tcW w:w="500" w:type="pct"/>
            <w:vAlign w:val="center"/>
          </w:tcPr>
          <w:p w14:paraId="269B1B6C">
            <w:pPr>
              <w:pStyle w:val="33"/>
              <w:rPr>
                <w:color w:val="auto"/>
              </w:rPr>
            </w:pPr>
          </w:p>
        </w:tc>
        <w:tc>
          <w:tcPr>
            <w:tcW w:w="500" w:type="pct"/>
            <w:vAlign w:val="center"/>
          </w:tcPr>
          <w:p w14:paraId="2777B6F5">
            <w:pPr>
              <w:pStyle w:val="33"/>
              <w:rPr>
                <w:color w:val="auto"/>
              </w:rPr>
            </w:pPr>
          </w:p>
        </w:tc>
        <w:tc>
          <w:tcPr>
            <w:tcW w:w="500" w:type="pct"/>
            <w:vAlign w:val="center"/>
          </w:tcPr>
          <w:p w14:paraId="36B29BBD">
            <w:pPr>
              <w:pStyle w:val="33"/>
              <w:rPr>
                <w:color w:val="auto"/>
              </w:rPr>
            </w:pPr>
          </w:p>
        </w:tc>
        <w:tc>
          <w:tcPr>
            <w:tcW w:w="500" w:type="pct"/>
            <w:vMerge w:val="continue"/>
            <w:vAlign w:val="center"/>
          </w:tcPr>
          <w:p w14:paraId="7D0D671E">
            <w:pPr>
              <w:pStyle w:val="33"/>
              <w:rPr>
                <w:color w:val="auto"/>
              </w:rPr>
            </w:pPr>
          </w:p>
        </w:tc>
        <w:tc>
          <w:tcPr>
            <w:tcW w:w="500" w:type="pct"/>
            <w:vAlign w:val="center"/>
          </w:tcPr>
          <w:p w14:paraId="0639D25A">
            <w:pPr>
              <w:pStyle w:val="33"/>
              <w:rPr>
                <w:color w:val="auto"/>
              </w:rPr>
            </w:pPr>
            <w:r>
              <w:rPr>
                <w:color w:val="auto"/>
              </w:rPr>
              <w:t>超标倍数</w:t>
            </w:r>
          </w:p>
        </w:tc>
        <w:tc>
          <w:tcPr>
            <w:tcW w:w="500" w:type="pct"/>
            <w:vAlign w:val="center"/>
          </w:tcPr>
          <w:p w14:paraId="73478243">
            <w:pPr>
              <w:pStyle w:val="33"/>
              <w:rPr>
                <w:color w:val="auto"/>
              </w:rPr>
            </w:pPr>
          </w:p>
        </w:tc>
        <w:tc>
          <w:tcPr>
            <w:tcW w:w="500" w:type="pct"/>
            <w:vAlign w:val="center"/>
          </w:tcPr>
          <w:p w14:paraId="195D2DB1">
            <w:pPr>
              <w:pStyle w:val="33"/>
              <w:rPr>
                <w:color w:val="auto"/>
              </w:rPr>
            </w:pPr>
          </w:p>
        </w:tc>
        <w:tc>
          <w:tcPr>
            <w:tcW w:w="498" w:type="pct"/>
            <w:vAlign w:val="center"/>
          </w:tcPr>
          <w:p w14:paraId="26AEA1C4">
            <w:pPr>
              <w:pStyle w:val="33"/>
              <w:rPr>
                <w:color w:val="auto"/>
              </w:rPr>
            </w:pPr>
          </w:p>
        </w:tc>
      </w:tr>
      <w:tr w14:paraId="19CDF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23BE7041">
            <w:pPr>
              <w:pStyle w:val="33"/>
              <w:rPr>
                <w:color w:val="auto"/>
              </w:rPr>
            </w:pPr>
            <w:r>
              <w:rPr>
                <w:color w:val="auto"/>
              </w:rPr>
              <w:t>四氯乙烯</w:t>
            </w:r>
          </w:p>
        </w:tc>
        <w:tc>
          <w:tcPr>
            <w:tcW w:w="502" w:type="pct"/>
            <w:vAlign w:val="center"/>
          </w:tcPr>
          <w:p w14:paraId="5BE53A0A">
            <w:pPr>
              <w:pStyle w:val="33"/>
              <w:rPr>
                <w:color w:val="auto"/>
              </w:rPr>
            </w:pPr>
            <w:r>
              <w:rPr>
                <w:color w:val="auto"/>
              </w:rPr>
              <w:t>监测值</w:t>
            </w:r>
          </w:p>
        </w:tc>
        <w:tc>
          <w:tcPr>
            <w:tcW w:w="500" w:type="pct"/>
            <w:vAlign w:val="center"/>
          </w:tcPr>
          <w:p w14:paraId="03F075F7">
            <w:pPr>
              <w:pStyle w:val="33"/>
              <w:rPr>
                <w:color w:val="auto"/>
              </w:rPr>
            </w:pPr>
          </w:p>
        </w:tc>
        <w:tc>
          <w:tcPr>
            <w:tcW w:w="500" w:type="pct"/>
            <w:vAlign w:val="center"/>
          </w:tcPr>
          <w:p w14:paraId="3AEA4086">
            <w:pPr>
              <w:pStyle w:val="33"/>
              <w:rPr>
                <w:color w:val="auto"/>
              </w:rPr>
            </w:pPr>
          </w:p>
        </w:tc>
        <w:tc>
          <w:tcPr>
            <w:tcW w:w="500" w:type="pct"/>
            <w:vAlign w:val="center"/>
          </w:tcPr>
          <w:p w14:paraId="47BA2C92">
            <w:pPr>
              <w:pStyle w:val="33"/>
              <w:rPr>
                <w:color w:val="auto"/>
              </w:rPr>
            </w:pPr>
          </w:p>
        </w:tc>
        <w:tc>
          <w:tcPr>
            <w:tcW w:w="500" w:type="pct"/>
            <w:vMerge w:val="restart"/>
            <w:vAlign w:val="center"/>
          </w:tcPr>
          <w:p w14:paraId="4C4CB95A">
            <w:pPr>
              <w:pStyle w:val="33"/>
              <w:rPr>
                <w:color w:val="auto"/>
              </w:rPr>
            </w:pPr>
            <w:r>
              <w:rPr>
                <w:color w:val="auto"/>
              </w:rPr>
              <w:t>茚并[1,2,3-c,d]芘</w:t>
            </w:r>
          </w:p>
        </w:tc>
        <w:tc>
          <w:tcPr>
            <w:tcW w:w="500" w:type="pct"/>
            <w:vAlign w:val="center"/>
          </w:tcPr>
          <w:p w14:paraId="366F8325">
            <w:pPr>
              <w:pStyle w:val="33"/>
              <w:rPr>
                <w:color w:val="auto"/>
              </w:rPr>
            </w:pPr>
            <w:r>
              <w:rPr>
                <w:color w:val="auto"/>
              </w:rPr>
              <w:t>监测值</w:t>
            </w:r>
          </w:p>
        </w:tc>
        <w:tc>
          <w:tcPr>
            <w:tcW w:w="500" w:type="pct"/>
            <w:vAlign w:val="center"/>
          </w:tcPr>
          <w:p w14:paraId="6F06E6EC">
            <w:pPr>
              <w:pStyle w:val="33"/>
              <w:rPr>
                <w:color w:val="auto"/>
              </w:rPr>
            </w:pPr>
          </w:p>
        </w:tc>
        <w:tc>
          <w:tcPr>
            <w:tcW w:w="500" w:type="pct"/>
            <w:vAlign w:val="center"/>
          </w:tcPr>
          <w:p w14:paraId="76D5ECAF">
            <w:pPr>
              <w:pStyle w:val="33"/>
              <w:rPr>
                <w:color w:val="auto"/>
              </w:rPr>
            </w:pPr>
          </w:p>
        </w:tc>
        <w:tc>
          <w:tcPr>
            <w:tcW w:w="498" w:type="pct"/>
            <w:vAlign w:val="center"/>
          </w:tcPr>
          <w:p w14:paraId="07E5E6A5">
            <w:pPr>
              <w:pStyle w:val="33"/>
              <w:rPr>
                <w:color w:val="auto"/>
              </w:rPr>
            </w:pPr>
          </w:p>
        </w:tc>
      </w:tr>
      <w:tr w14:paraId="40776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0EC2C314">
            <w:pPr>
              <w:pStyle w:val="33"/>
              <w:rPr>
                <w:color w:val="auto"/>
              </w:rPr>
            </w:pPr>
          </w:p>
        </w:tc>
        <w:tc>
          <w:tcPr>
            <w:tcW w:w="502" w:type="pct"/>
            <w:vAlign w:val="center"/>
          </w:tcPr>
          <w:p w14:paraId="60C2A16B">
            <w:pPr>
              <w:pStyle w:val="33"/>
              <w:rPr>
                <w:color w:val="auto"/>
              </w:rPr>
            </w:pPr>
            <w:r>
              <w:rPr>
                <w:color w:val="auto"/>
              </w:rPr>
              <w:t>筛选值</w:t>
            </w:r>
          </w:p>
        </w:tc>
        <w:tc>
          <w:tcPr>
            <w:tcW w:w="500" w:type="pct"/>
            <w:vAlign w:val="center"/>
          </w:tcPr>
          <w:p w14:paraId="25B766D5">
            <w:pPr>
              <w:pStyle w:val="33"/>
              <w:rPr>
                <w:color w:val="auto"/>
              </w:rPr>
            </w:pPr>
          </w:p>
        </w:tc>
        <w:tc>
          <w:tcPr>
            <w:tcW w:w="500" w:type="pct"/>
            <w:vAlign w:val="center"/>
          </w:tcPr>
          <w:p w14:paraId="07F0AE82">
            <w:pPr>
              <w:pStyle w:val="33"/>
              <w:rPr>
                <w:color w:val="auto"/>
              </w:rPr>
            </w:pPr>
          </w:p>
        </w:tc>
        <w:tc>
          <w:tcPr>
            <w:tcW w:w="500" w:type="pct"/>
            <w:vAlign w:val="center"/>
          </w:tcPr>
          <w:p w14:paraId="37635C63">
            <w:pPr>
              <w:pStyle w:val="33"/>
              <w:rPr>
                <w:color w:val="auto"/>
              </w:rPr>
            </w:pPr>
          </w:p>
        </w:tc>
        <w:tc>
          <w:tcPr>
            <w:tcW w:w="500" w:type="pct"/>
            <w:vMerge w:val="continue"/>
            <w:vAlign w:val="center"/>
          </w:tcPr>
          <w:p w14:paraId="79DC0D6A">
            <w:pPr>
              <w:pStyle w:val="33"/>
              <w:rPr>
                <w:color w:val="auto"/>
              </w:rPr>
            </w:pPr>
          </w:p>
        </w:tc>
        <w:tc>
          <w:tcPr>
            <w:tcW w:w="500" w:type="pct"/>
            <w:vAlign w:val="center"/>
          </w:tcPr>
          <w:p w14:paraId="09FB9858">
            <w:pPr>
              <w:pStyle w:val="33"/>
              <w:rPr>
                <w:color w:val="auto"/>
              </w:rPr>
            </w:pPr>
            <w:r>
              <w:rPr>
                <w:color w:val="auto"/>
              </w:rPr>
              <w:t>筛选值</w:t>
            </w:r>
          </w:p>
        </w:tc>
        <w:tc>
          <w:tcPr>
            <w:tcW w:w="500" w:type="pct"/>
            <w:vAlign w:val="center"/>
          </w:tcPr>
          <w:p w14:paraId="14100CC3">
            <w:pPr>
              <w:pStyle w:val="33"/>
              <w:rPr>
                <w:color w:val="auto"/>
              </w:rPr>
            </w:pPr>
          </w:p>
        </w:tc>
        <w:tc>
          <w:tcPr>
            <w:tcW w:w="500" w:type="pct"/>
            <w:vAlign w:val="center"/>
          </w:tcPr>
          <w:p w14:paraId="46C64F6F">
            <w:pPr>
              <w:pStyle w:val="33"/>
              <w:rPr>
                <w:color w:val="auto"/>
              </w:rPr>
            </w:pPr>
          </w:p>
        </w:tc>
        <w:tc>
          <w:tcPr>
            <w:tcW w:w="498" w:type="pct"/>
            <w:vAlign w:val="center"/>
          </w:tcPr>
          <w:p w14:paraId="40E230D0">
            <w:pPr>
              <w:pStyle w:val="33"/>
              <w:rPr>
                <w:color w:val="auto"/>
              </w:rPr>
            </w:pPr>
          </w:p>
        </w:tc>
      </w:tr>
      <w:tr w14:paraId="69BAA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0A0B072">
            <w:pPr>
              <w:pStyle w:val="33"/>
              <w:rPr>
                <w:color w:val="auto"/>
              </w:rPr>
            </w:pPr>
          </w:p>
        </w:tc>
        <w:tc>
          <w:tcPr>
            <w:tcW w:w="502" w:type="pct"/>
            <w:vAlign w:val="center"/>
          </w:tcPr>
          <w:p w14:paraId="6F9DDBE1">
            <w:pPr>
              <w:pStyle w:val="33"/>
              <w:rPr>
                <w:color w:val="auto"/>
              </w:rPr>
            </w:pPr>
            <w:r>
              <w:rPr>
                <w:color w:val="auto"/>
              </w:rPr>
              <w:t>标准指数</w:t>
            </w:r>
          </w:p>
        </w:tc>
        <w:tc>
          <w:tcPr>
            <w:tcW w:w="500" w:type="pct"/>
            <w:vAlign w:val="center"/>
          </w:tcPr>
          <w:p w14:paraId="1609381C">
            <w:pPr>
              <w:pStyle w:val="33"/>
              <w:rPr>
                <w:color w:val="auto"/>
              </w:rPr>
            </w:pPr>
          </w:p>
        </w:tc>
        <w:tc>
          <w:tcPr>
            <w:tcW w:w="500" w:type="pct"/>
            <w:vAlign w:val="center"/>
          </w:tcPr>
          <w:p w14:paraId="7ABA36E7">
            <w:pPr>
              <w:pStyle w:val="33"/>
              <w:rPr>
                <w:color w:val="auto"/>
              </w:rPr>
            </w:pPr>
          </w:p>
        </w:tc>
        <w:tc>
          <w:tcPr>
            <w:tcW w:w="500" w:type="pct"/>
            <w:vAlign w:val="center"/>
          </w:tcPr>
          <w:p w14:paraId="54D9269D">
            <w:pPr>
              <w:pStyle w:val="33"/>
              <w:rPr>
                <w:color w:val="auto"/>
              </w:rPr>
            </w:pPr>
          </w:p>
        </w:tc>
        <w:tc>
          <w:tcPr>
            <w:tcW w:w="500" w:type="pct"/>
            <w:vMerge w:val="continue"/>
            <w:vAlign w:val="center"/>
          </w:tcPr>
          <w:p w14:paraId="29AB480D">
            <w:pPr>
              <w:pStyle w:val="33"/>
              <w:rPr>
                <w:color w:val="auto"/>
              </w:rPr>
            </w:pPr>
          </w:p>
        </w:tc>
        <w:tc>
          <w:tcPr>
            <w:tcW w:w="500" w:type="pct"/>
            <w:vAlign w:val="center"/>
          </w:tcPr>
          <w:p w14:paraId="2AF7ED98">
            <w:pPr>
              <w:pStyle w:val="33"/>
              <w:rPr>
                <w:color w:val="auto"/>
              </w:rPr>
            </w:pPr>
            <w:r>
              <w:rPr>
                <w:color w:val="auto"/>
              </w:rPr>
              <w:t>标准指数</w:t>
            </w:r>
          </w:p>
        </w:tc>
        <w:tc>
          <w:tcPr>
            <w:tcW w:w="500" w:type="pct"/>
            <w:vAlign w:val="center"/>
          </w:tcPr>
          <w:p w14:paraId="0462B604">
            <w:pPr>
              <w:pStyle w:val="33"/>
              <w:rPr>
                <w:color w:val="auto"/>
              </w:rPr>
            </w:pPr>
          </w:p>
        </w:tc>
        <w:tc>
          <w:tcPr>
            <w:tcW w:w="500" w:type="pct"/>
            <w:vAlign w:val="center"/>
          </w:tcPr>
          <w:p w14:paraId="59ED6A1A">
            <w:pPr>
              <w:pStyle w:val="33"/>
              <w:rPr>
                <w:color w:val="auto"/>
              </w:rPr>
            </w:pPr>
          </w:p>
        </w:tc>
        <w:tc>
          <w:tcPr>
            <w:tcW w:w="498" w:type="pct"/>
            <w:vAlign w:val="center"/>
          </w:tcPr>
          <w:p w14:paraId="040C5F8F">
            <w:pPr>
              <w:pStyle w:val="33"/>
              <w:rPr>
                <w:color w:val="auto"/>
              </w:rPr>
            </w:pPr>
          </w:p>
        </w:tc>
      </w:tr>
      <w:tr w14:paraId="0E9CA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393CD005">
            <w:pPr>
              <w:pStyle w:val="33"/>
              <w:rPr>
                <w:color w:val="auto"/>
              </w:rPr>
            </w:pPr>
          </w:p>
        </w:tc>
        <w:tc>
          <w:tcPr>
            <w:tcW w:w="502" w:type="pct"/>
            <w:vAlign w:val="center"/>
          </w:tcPr>
          <w:p w14:paraId="6D051BF1">
            <w:pPr>
              <w:pStyle w:val="33"/>
              <w:rPr>
                <w:color w:val="auto"/>
              </w:rPr>
            </w:pPr>
            <w:r>
              <w:rPr>
                <w:color w:val="auto"/>
              </w:rPr>
              <w:t>超标倍数</w:t>
            </w:r>
          </w:p>
        </w:tc>
        <w:tc>
          <w:tcPr>
            <w:tcW w:w="500" w:type="pct"/>
            <w:vAlign w:val="center"/>
          </w:tcPr>
          <w:p w14:paraId="780DDB5E">
            <w:pPr>
              <w:pStyle w:val="33"/>
              <w:rPr>
                <w:color w:val="auto"/>
              </w:rPr>
            </w:pPr>
          </w:p>
        </w:tc>
        <w:tc>
          <w:tcPr>
            <w:tcW w:w="500" w:type="pct"/>
            <w:vAlign w:val="center"/>
          </w:tcPr>
          <w:p w14:paraId="46A597DD">
            <w:pPr>
              <w:pStyle w:val="33"/>
              <w:rPr>
                <w:color w:val="auto"/>
              </w:rPr>
            </w:pPr>
          </w:p>
        </w:tc>
        <w:tc>
          <w:tcPr>
            <w:tcW w:w="500" w:type="pct"/>
            <w:vAlign w:val="center"/>
          </w:tcPr>
          <w:p w14:paraId="59BFD6B8">
            <w:pPr>
              <w:pStyle w:val="33"/>
              <w:rPr>
                <w:color w:val="auto"/>
              </w:rPr>
            </w:pPr>
          </w:p>
        </w:tc>
        <w:tc>
          <w:tcPr>
            <w:tcW w:w="500" w:type="pct"/>
            <w:vMerge w:val="continue"/>
            <w:vAlign w:val="center"/>
          </w:tcPr>
          <w:p w14:paraId="2F9D3E17">
            <w:pPr>
              <w:pStyle w:val="33"/>
              <w:rPr>
                <w:color w:val="auto"/>
              </w:rPr>
            </w:pPr>
          </w:p>
        </w:tc>
        <w:tc>
          <w:tcPr>
            <w:tcW w:w="500" w:type="pct"/>
            <w:vAlign w:val="center"/>
          </w:tcPr>
          <w:p w14:paraId="3E63CBC0">
            <w:pPr>
              <w:pStyle w:val="33"/>
              <w:rPr>
                <w:color w:val="auto"/>
              </w:rPr>
            </w:pPr>
            <w:r>
              <w:rPr>
                <w:color w:val="auto"/>
              </w:rPr>
              <w:t>超标倍数</w:t>
            </w:r>
          </w:p>
        </w:tc>
        <w:tc>
          <w:tcPr>
            <w:tcW w:w="500" w:type="pct"/>
            <w:vAlign w:val="center"/>
          </w:tcPr>
          <w:p w14:paraId="158C64F6">
            <w:pPr>
              <w:pStyle w:val="33"/>
              <w:rPr>
                <w:color w:val="auto"/>
              </w:rPr>
            </w:pPr>
          </w:p>
        </w:tc>
        <w:tc>
          <w:tcPr>
            <w:tcW w:w="500" w:type="pct"/>
            <w:vAlign w:val="center"/>
          </w:tcPr>
          <w:p w14:paraId="4609ED89">
            <w:pPr>
              <w:pStyle w:val="33"/>
              <w:rPr>
                <w:color w:val="auto"/>
              </w:rPr>
            </w:pPr>
          </w:p>
        </w:tc>
        <w:tc>
          <w:tcPr>
            <w:tcW w:w="498" w:type="pct"/>
            <w:vAlign w:val="center"/>
          </w:tcPr>
          <w:p w14:paraId="05EA7525">
            <w:pPr>
              <w:pStyle w:val="33"/>
              <w:rPr>
                <w:color w:val="auto"/>
              </w:rPr>
            </w:pPr>
          </w:p>
        </w:tc>
      </w:tr>
      <w:tr w14:paraId="3C54F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2BC3CB57">
            <w:pPr>
              <w:pStyle w:val="33"/>
              <w:rPr>
                <w:color w:val="auto"/>
              </w:rPr>
            </w:pPr>
            <w:r>
              <w:rPr>
                <w:color w:val="auto"/>
              </w:rPr>
              <w:t>氯苯</w:t>
            </w:r>
          </w:p>
        </w:tc>
        <w:tc>
          <w:tcPr>
            <w:tcW w:w="502" w:type="pct"/>
            <w:vAlign w:val="center"/>
          </w:tcPr>
          <w:p w14:paraId="115CA1D9">
            <w:pPr>
              <w:pStyle w:val="33"/>
              <w:rPr>
                <w:color w:val="auto"/>
              </w:rPr>
            </w:pPr>
            <w:r>
              <w:rPr>
                <w:color w:val="auto"/>
              </w:rPr>
              <w:t>监测值</w:t>
            </w:r>
          </w:p>
        </w:tc>
        <w:tc>
          <w:tcPr>
            <w:tcW w:w="500" w:type="pct"/>
            <w:vAlign w:val="center"/>
          </w:tcPr>
          <w:p w14:paraId="29B9C21F">
            <w:pPr>
              <w:pStyle w:val="33"/>
              <w:rPr>
                <w:color w:val="auto"/>
              </w:rPr>
            </w:pPr>
          </w:p>
        </w:tc>
        <w:tc>
          <w:tcPr>
            <w:tcW w:w="500" w:type="pct"/>
            <w:vAlign w:val="center"/>
          </w:tcPr>
          <w:p w14:paraId="5658F341">
            <w:pPr>
              <w:pStyle w:val="33"/>
              <w:rPr>
                <w:color w:val="auto"/>
              </w:rPr>
            </w:pPr>
          </w:p>
        </w:tc>
        <w:tc>
          <w:tcPr>
            <w:tcW w:w="500" w:type="pct"/>
            <w:vAlign w:val="center"/>
          </w:tcPr>
          <w:p w14:paraId="2D78F635">
            <w:pPr>
              <w:pStyle w:val="33"/>
              <w:rPr>
                <w:color w:val="auto"/>
              </w:rPr>
            </w:pPr>
          </w:p>
        </w:tc>
        <w:tc>
          <w:tcPr>
            <w:tcW w:w="500" w:type="pct"/>
            <w:vMerge w:val="restart"/>
            <w:vAlign w:val="center"/>
          </w:tcPr>
          <w:p w14:paraId="148A10D2">
            <w:pPr>
              <w:pStyle w:val="33"/>
              <w:rPr>
                <w:color w:val="auto"/>
              </w:rPr>
            </w:pPr>
            <w:r>
              <w:rPr>
                <w:color w:val="auto"/>
              </w:rPr>
              <w:t>二苯并[a,h]蒽</w:t>
            </w:r>
          </w:p>
        </w:tc>
        <w:tc>
          <w:tcPr>
            <w:tcW w:w="500" w:type="pct"/>
            <w:vAlign w:val="center"/>
          </w:tcPr>
          <w:p w14:paraId="0FB3F94C">
            <w:pPr>
              <w:pStyle w:val="33"/>
              <w:rPr>
                <w:color w:val="auto"/>
              </w:rPr>
            </w:pPr>
            <w:r>
              <w:rPr>
                <w:color w:val="auto"/>
              </w:rPr>
              <w:t>监测值</w:t>
            </w:r>
          </w:p>
        </w:tc>
        <w:tc>
          <w:tcPr>
            <w:tcW w:w="500" w:type="pct"/>
            <w:vAlign w:val="center"/>
          </w:tcPr>
          <w:p w14:paraId="066F8426">
            <w:pPr>
              <w:pStyle w:val="33"/>
              <w:rPr>
                <w:color w:val="auto"/>
              </w:rPr>
            </w:pPr>
          </w:p>
        </w:tc>
        <w:tc>
          <w:tcPr>
            <w:tcW w:w="500" w:type="pct"/>
            <w:vAlign w:val="center"/>
          </w:tcPr>
          <w:p w14:paraId="7F2D475E">
            <w:pPr>
              <w:pStyle w:val="33"/>
              <w:rPr>
                <w:color w:val="auto"/>
              </w:rPr>
            </w:pPr>
          </w:p>
        </w:tc>
        <w:tc>
          <w:tcPr>
            <w:tcW w:w="498" w:type="pct"/>
            <w:vAlign w:val="center"/>
          </w:tcPr>
          <w:p w14:paraId="0717EFBE">
            <w:pPr>
              <w:pStyle w:val="33"/>
              <w:rPr>
                <w:color w:val="auto"/>
              </w:rPr>
            </w:pPr>
          </w:p>
        </w:tc>
      </w:tr>
      <w:tr w14:paraId="78E49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1EC396B">
            <w:pPr>
              <w:pStyle w:val="33"/>
              <w:rPr>
                <w:color w:val="auto"/>
              </w:rPr>
            </w:pPr>
          </w:p>
        </w:tc>
        <w:tc>
          <w:tcPr>
            <w:tcW w:w="502" w:type="pct"/>
            <w:vAlign w:val="center"/>
          </w:tcPr>
          <w:p w14:paraId="7E63832D">
            <w:pPr>
              <w:pStyle w:val="33"/>
              <w:rPr>
                <w:color w:val="auto"/>
              </w:rPr>
            </w:pPr>
            <w:r>
              <w:rPr>
                <w:color w:val="auto"/>
              </w:rPr>
              <w:t>筛选值</w:t>
            </w:r>
          </w:p>
        </w:tc>
        <w:tc>
          <w:tcPr>
            <w:tcW w:w="500" w:type="pct"/>
            <w:vAlign w:val="center"/>
          </w:tcPr>
          <w:p w14:paraId="4AAC5639">
            <w:pPr>
              <w:pStyle w:val="33"/>
              <w:rPr>
                <w:color w:val="auto"/>
              </w:rPr>
            </w:pPr>
          </w:p>
        </w:tc>
        <w:tc>
          <w:tcPr>
            <w:tcW w:w="500" w:type="pct"/>
            <w:vAlign w:val="center"/>
          </w:tcPr>
          <w:p w14:paraId="5074B2BB">
            <w:pPr>
              <w:pStyle w:val="33"/>
              <w:rPr>
                <w:color w:val="auto"/>
              </w:rPr>
            </w:pPr>
          </w:p>
        </w:tc>
        <w:tc>
          <w:tcPr>
            <w:tcW w:w="500" w:type="pct"/>
            <w:vAlign w:val="center"/>
          </w:tcPr>
          <w:p w14:paraId="27F98A99">
            <w:pPr>
              <w:pStyle w:val="33"/>
              <w:rPr>
                <w:color w:val="auto"/>
              </w:rPr>
            </w:pPr>
          </w:p>
        </w:tc>
        <w:tc>
          <w:tcPr>
            <w:tcW w:w="500" w:type="pct"/>
            <w:vMerge w:val="continue"/>
            <w:vAlign w:val="center"/>
          </w:tcPr>
          <w:p w14:paraId="2B46E12E">
            <w:pPr>
              <w:pStyle w:val="33"/>
              <w:rPr>
                <w:color w:val="auto"/>
              </w:rPr>
            </w:pPr>
          </w:p>
        </w:tc>
        <w:tc>
          <w:tcPr>
            <w:tcW w:w="500" w:type="pct"/>
            <w:vAlign w:val="center"/>
          </w:tcPr>
          <w:p w14:paraId="59397421">
            <w:pPr>
              <w:pStyle w:val="33"/>
              <w:rPr>
                <w:color w:val="auto"/>
              </w:rPr>
            </w:pPr>
            <w:r>
              <w:rPr>
                <w:color w:val="auto"/>
              </w:rPr>
              <w:t>筛选值</w:t>
            </w:r>
          </w:p>
        </w:tc>
        <w:tc>
          <w:tcPr>
            <w:tcW w:w="500" w:type="pct"/>
            <w:vAlign w:val="center"/>
          </w:tcPr>
          <w:p w14:paraId="0C290EB4">
            <w:pPr>
              <w:pStyle w:val="33"/>
              <w:rPr>
                <w:color w:val="auto"/>
              </w:rPr>
            </w:pPr>
          </w:p>
        </w:tc>
        <w:tc>
          <w:tcPr>
            <w:tcW w:w="500" w:type="pct"/>
            <w:vAlign w:val="center"/>
          </w:tcPr>
          <w:p w14:paraId="1E25B468">
            <w:pPr>
              <w:pStyle w:val="33"/>
              <w:rPr>
                <w:color w:val="auto"/>
              </w:rPr>
            </w:pPr>
          </w:p>
        </w:tc>
        <w:tc>
          <w:tcPr>
            <w:tcW w:w="498" w:type="pct"/>
            <w:vAlign w:val="center"/>
          </w:tcPr>
          <w:p w14:paraId="2786C948">
            <w:pPr>
              <w:pStyle w:val="33"/>
              <w:rPr>
                <w:color w:val="auto"/>
              </w:rPr>
            </w:pPr>
          </w:p>
        </w:tc>
      </w:tr>
      <w:tr w14:paraId="1E44C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759902CD">
            <w:pPr>
              <w:pStyle w:val="33"/>
              <w:rPr>
                <w:color w:val="auto"/>
              </w:rPr>
            </w:pPr>
          </w:p>
        </w:tc>
        <w:tc>
          <w:tcPr>
            <w:tcW w:w="502" w:type="pct"/>
            <w:vAlign w:val="center"/>
          </w:tcPr>
          <w:p w14:paraId="0A0D59CD">
            <w:pPr>
              <w:pStyle w:val="33"/>
              <w:rPr>
                <w:color w:val="auto"/>
              </w:rPr>
            </w:pPr>
            <w:r>
              <w:rPr>
                <w:color w:val="auto"/>
              </w:rPr>
              <w:t>标准指数</w:t>
            </w:r>
          </w:p>
        </w:tc>
        <w:tc>
          <w:tcPr>
            <w:tcW w:w="500" w:type="pct"/>
            <w:vAlign w:val="center"/>
          </w:tcPr>
          <w:p w14:paraId="3D3AD388">
            <w:pPr>
              <w:pStyle w:val="33"/>
              <w:rPr>
                <w:color w:val="auto"/>
              </w:rPr>
            </w:pPr>
          </w:p>
        </w:tc>
        <w:tc>
          <w:tcPr>
            <w:tcW w:w="500" w:type="pct"/>
            <w:vAlign w:val="center"/>
          </w:tcPr>
          <w:p w14:paraId="14D1DBE1">
            <w:pPr>
              <w:pStyle w:val="33"/>
              <w:rPr>
                <w:color w:val="auto"/>
              </w:rPr>
            </w:pPr>
          </w:p>
        </w:tc>
        <w:tc>
          <w:tcPr>
            <w:tcW w:w="500" w:type="pct"/>
            <w:vAlign w:val="center"/>
          </w:tcPr>
          <w:p w14:paraId="51ED078D">
            <w:pPr>
              <w:pStyle w:val="33"/>
              <w:rPr>
                <w:color w:val="auto"/>
              </w:rPr>
            </w:pPr>
          </w:p>
        </w:tc>
        <w:tc>
          <w:tcPr>
            <w:tcW w:w="500" w:type="pct"/>
            <w:vMerge w:val="continue"/>
            <w:vAlign w:val="center"/>
          </w:tcPr>
          <w:p w14:paraId="0D478AA3">
            <w:pPr>
              <w:pStyle w:val="33"/>
              <w:rPr>
                <w:color w:val="auto"/>
              </w:rPr>
            </w:pPr>
          </w:p>
        </w:tc>
        <w:tc>
          <w:tcPr>
            <w:tcW w:w="500" w:type="pct"/>
            <w:vAlign w:val="center"/>
          </w:tcPr>
          <w:p w14:paraId="0C9E3D99">
            <w:pPr>
              <w:pStyle w:val="33"/>
              <w:rPr>
                <w:color w:val="auto"/>
              </w:rPr>
            </w:pPr>
            <w:r>
              <w:rPr>
                <w:color w:val="auto"/>
              </w:rPr>
              <w:t>标准指数</w:t>
            </w:r>
          </w:p>
        </w:tc>
        <w:tc>
          <w:tcPr>
            <w:tcW w:w="500" w:type="pct"/>
            <w:vAlign w:val="center"/>
          </w:tcPr>
          <w:p w14:paraId="2DADDAC5">
            <w:pPr>
              <w:pStyle w:val="33"/>
              <w:rPr>
                <w:color w:val="auto"/>
              </w:rPr>
            </w:pPr>
          </w:p>
        </w:tc>
        <w:tc>
          <w:tcPr>
            <w:tcW w:w="500" w:type="pct"/>
            <w:vAlign w:val="center"/>
          </w:tcPr>
          <w:p w14:paraId="01AE7649">
            <w:pPr>
              <w:pStyle w:val="33"/>
              <w:rPr>
                <w:color w:val="auto"/>
              </w:rPr>
            </w:pPr>
          </w:p>
        </w:tc>
        <w:tc>
          <w:tcPr>
            <w:tcW w:w="498" w:type="pct"/>
            <w:vAlign w:val="center"/>
          </w:tcPr>
          <w:p w14:paraId="1CFC8346">
            <w:pPr>
              <w:pStyle w:val="33"/>
              <w:rPr>
                <w:color w:val="auto"/>
              </w:rPr>
            </w:pPr>
          </w:p>
        </w:tc>
      </w:tr>
      <w:tr w14:paraId="1E403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4EFE003B">
            <w:pPr>
              <w:pStyle w:val="33"/>
              <w:rPr>
                <w:color w:val="auto"/>
              </w:rPr>
            </w:pPr>
          </w:p>
        </w:tc>
        <w:tc>
          <w:tcPr>
            <w:tcW w:w="502" w:type="pct"/>
            <w:vAlign w:val="center"/>
          </w:tcPr>
          <w:p w14:paraId="015BC954">
            <w:pPr>
              <w:pStyle w:val="33"/>
              <w:rPr>
                <w:color w:val="auto"/>
              </w:rPr>
            </w:pPr>
            <w:r>
              <w:rPr>
                <w:color w:val="auto"/>
              </w:rPr>
              <w:t>超标倍数</w:t>
            </w:r>
          </w:p>
        </w:tc>
        <w:tc>
          <w:tcPr>
            <w:tcW w:w="500" w:type="pct"/>
            <w:vAlign w:val="center"/>
          </w:tcPr>
          <w:p w14:paraId="39475297">
            <w:pPr>
              <w:pStyle w:val="33"/>
              <w:rPr>
                <w:color w:val="auto"/>
              </w:rPr>
            </w:pPr>
          </w:p>
        </w:tc>
        <w:tc>
          <w:tcPr>
            <w:tcW w:w="500" w:type="pct"/>
            <w:vAlign w:val="center"/>
          </w:tcPr>
          <w:p w14:paraId="003831BE">
            <w:pPr>
              <w:pStyle w:val="33"/>
              <w:rPr>
                <w:color w:val="auto"/>
              </w:rPr>
            </w:pPr>
          </w:p>
        </w:tc>
        <w:tc>
          <w:tcPr>
            <w:tcW w:w="500" w:type="pct"/>
            <w:vAlign w:val="center"/>
          </w:tcPr>
          <w:p w14:paraId="06D8FE86">
            <w:pPr>
              <w:pStyle w:val="33"/>
              <w:rPr>
                <w:color w:val="auto"/>
              </w:rPr>
            </w:pPr>
          </w:p>
        </w:tc>
        <w:tc>
          <w:tcPr>
            <w:tcW w:w="500" w:type="pct"/>
            <w:vMerge w:val="continue"/>
            <w:vAlign w:val="center"/>
          </w:tcPr>
          <w:p w14:paraId="4DA90C82">
            <w:pPr>
              <w:pStyle w:val="33"/>
              <w:rPr>
                <w:color w:val="auto"/>
              </w:rPr>
            </w:pPr>
          </w:p>
        </w:tc>
        <w:tc>
          <w:tcPr>
            <w:tcW w:w="500" w:type="pct"/>
            <w:vAlign w:val="center"/>
          </w:tcPr>
          <w:p w14:paraId="6951B76C">
            <w:pPr>
              <w:pStyle w:val="33"/>
              <w:rPr>
                <w:color w:val="auto"/>
              </w:rPr>
            </w:pPr>
            <w:r>
              <w:rPr>
                <w:color w:val="auto"/>
              </w:rPr>
              <w:t>超标倍数</w:t>
            </w:r>
          </w:p>
        </w:tc>
        <w:tc>
          <w:tcPr>
            <w:tcW w:w="500" w:type="pct"/>
            <w:vAlign w:val="center"/>
          </w:tcPr>
          <w:p w14:paraId="7EF6A3D7">
            <w:pPr>
              <w:pStyle w:val="33"/>
              <w:rPr>
                <w:color w:val="auto"/>
              </w:rPr>
            </w:pPr>
          </w:p>
        </w:tc>
        <w:tc>
          <w:tcPr>
            <w:tcW w:w="500" w:type="pct"/>
            <w:vAlign w:val="center"/>
          </w:tcPr>
          <w:p w14:paraId="56F867BD">
            <w:pPr>
              <w:pStyle w:val="33"/>
              <w:rPr>
                <w:color w:val="auto"/>
              </w:rPr>
            </w:pPr>
          </w:p>
        </w:tc>
        <w:tc>
          <w:tcPr>
            <w:tcW w:w="498" w:type="pct"/>
            <w:vAlign w:val="center"/>
          </w:tcPr>
          <w:p w14:paraId="12B0A896">
            <w:pPr>
              <w:pStyle w:val="33"/>
              <w:rPr>
                <w:color w:val="auto"/>
              </w:rPr>
            </w:pPr>
          </w:p>
        </w:tc>
      </w:tr>
      <w:tr w14:paraId="1E09A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restart"/>
            <w:vAlign w:val="center"/>
          </w:tcPr>
          <w:p w14:paraId="218B4F72">
            <w:pPr>
              <w:pStyle w:val="33"/>
              <w:rPr>
                <w:color w:val="auto"/>
              </w:rPr>
            </w:pPr>
            <w:r>
              <w:rPr>
                <w:color w:val="auto"/>
              </w:rPr>
              <w:t>1,1,1,2-四氯乙烷</w:t>
            </w:r>
          </w:p>
        </w:tc>
        <w:tc>
          <w:tcPr>
            <w:tcW w:w="502" w:type="pct"/>
            <w:vAlign w:val="center"/>
          </w:tcPr>
          <w:p w14:paraId="78739F54">
            <w:pPr>
              <w:pStyle w:val="33"/>
              <w:rPr>
                <w:color w:val="auto"/>
              </w:rPr>
            </w:pPr>
            <w:r>
              <w:rPr>
                <w:color w:val="auto"/>
              </w:rPr>
              <w:t>监测值</w:t>
            </w:r>
          </w:p>
        </w:tc>
        <w:tc>
          <w:tcPr>
            <w:tcW w:w="500" w:type="pct"/>
            <w:vAlign w:val="center"/>
          </w:tcPr>
          <w:p w14:paraId="06B44E55">
            <w:pPr>
              <w:pStyle w:val="33"/>
              <w:rPr>
                <w:color w:val="auto"/>
              </w:rPr>
            </w:pPr>
          </w:p>
        </w:tc>
        <w:tc>
          <w:tcPr>
            <w:tcW w:w="500" w:type="pct"/>
            <w:vAlign w:val="center"/>
          </w:tcPr>
          <w:p w14:paraId="4E2DCD3F">
            <w:pPr>
              <w:pStyle w:val="33"/>
              <w:rPr>
                <w:color w:val="auto"/>
              </w:rPr>
            </w:pPr>
          </w:p>
        </w:tc>
        <w:tc>
          <w:tcPr>
            <w:tcW w:w="500" w:type="pct"/>
            <w:vAlign w:val="center"/>
          </w:tcPr>
          <w:p w14:paraId="4E27D6D5">
            <w:pPr>
              <w:pStyle w:val="33"/>
              <w:rPr>
                <w:color w:val="auto"/>
              </w:rPr>
            </w:pPr>
          </w:p>
        </w:tc>
        <w:tc>
          <w:tcPr>
            <w:tcW w:w="500" w:type="pct"/>
            <w:vMerge w:val="restart"/>
            <w:vAlign w:val="center"/>
          </w:tcPr>
          <w:p w14:paraId="69698743">
            <w:pPr>
              <w:pStyle w:val="33"/>
              <w:rPr>
                <w:color w:val="auto"/>
              </w:rPr>
            </w:pPr>
            <w:r>
              <w:rPr>
                <w:rFonts w:hint="eastAsia"/>
                <w:color w:val="auto"/>
              </w:rPr>
              <w:t>苯胺</w:t>
            </w:r>
          </w:p>
        </w:tc>
        <w:tc>
          <w:tcPr>
            <w:tcW w:w="500" w:type="pct"/>
            <w:vAlign w:val="center"/>
          </w:tcPr>
          <w:p w14:paraId="10770609">
            <w:pPr>
              <w:pStyle w:val="33"/>
              <w:rPr>
                <w:color w:val="auto"/>
              </w:rPr>
            </w:pPr>
            <w:r>
              <w:rPr>
                <w:color w:val="auto"/>
              </w:rPr>
              <w:t>监测值</w:t>
            </w:r>
          </w:p>
        </w:tc>
        <w:tc>
          <w:tcPr>
            <w:tcW w:w="500" w:type="pct"/>
            <w:vAlign w:val="center"/>
          </w:tcPr>
          <w:p w14:paraId="412F41F0">
            <w:pPr>
              <w:pStyle w:val="33"/>
              <w:rPr>
                <w:color w:val="auto"/>
              </w:rPr>
            </w:pPr>
          </w:p>
        </w:tc>
        <w:tc>
          <w:tcPr>
            <w:tcW w:w="500" w:type="pct"/>
            <w:vAlign w:val="center"/>
          </w:tcPr>
          <w:p w14:paraId="4D0176A5">
            <w:pPr>
              <w:pStyle w:val="33"/>
              <w:rPr>
                <w:color w:val="auto"/>
              </w:rPr>
            </w:pPr>
          </w:p>
        </w:tc>
        <w:tc>
          <w:tcPr>
            <w:tcW w:w="498" w:type="pct"/>
            <w:vAlign w:val="center"/>
          </w:tcPr>
          <w:p w14:paraId="4C316558">
            <w:pPr>
              <w:pStyle w:val="33"/>
              <w:rPr>
                <w:color w:val="auto"/>
              </w:rPr>
            </w:pPr>
          </w:p>
        </w:tc>
      </w:tr>
      <w:tr w14:paraId="77F19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7436E10D">
            <w:pPr>
              <w:pStyle w:val="33"/>
              <w:rPr>
                <w:color w:val="auto"/>
              </w:rPr>
            </w:pPr>
          </w:p>
        </w:tc>
        <w:tc>
          <w:tcPr>
            <w:tcW w:w="502" w:type="pct"/>
            <w:vAlign w:val="center"/>
          </w:tcPr>
          <w:p w14:paraId="7864B2D8">
            <w:pPr>
              <w:pStyle w:val="33"/>
              <w:rPr>
                <w:color w:val="auto"/>
              </w:rPr>
            </w:pPr>
            <w:r>
              <w:rPr>
                <w:color w:val="auto"/>
              </w:rPr>
              <w:t>筛选值</w:t>
            </w:r>
          </w:p>
        </w:tc>
        <w:tc>
          <w:tcPr>
            <w:tcW w:w="500" w:type="pct"/>
            <w:vAlign w:val="center"/>
          </w:tcPr>
          <w:p w14:paraId="4A2E03E0">
            <w:pPr>
              <w:pStyle w:val="33"/>
              <w:rPr>
                <w:color w:val="auto"/>
              </w:rPr>
            </w:pPr>
          </w:p>
        </w:tc>
        <w:tc>
          <w:tcPr>
            <w:tcW w:w="500" w:type="pct"/>
            <w:vAlign w:val="center"/>
          </w:tcPr>
          <w:p w14:paraId="62578882">
            <w:pPr>
              <w:pStyle w:val="33"/>
              <w:rPr>
                <w:color w:val="auto"/>
              </w:rPr>
            </w:pPr>
          </w:p>
        </w:tc>
        <w:tc>
          <w:tcPr>
            <w:tcW w:w="500" w:type="pct"/>
            <w:vAlign w:val="center"/>
          </w:tcPr>
          <w:p w14:paraId="531CBECA">
            <w:pPr>
              <w:pStyle w:val="33"/>
              <w:rPr>
                <w:color w:val="auto"/>
              </w:rPr>
            </w:pPr>
          </w:p>
        </w:tc>
        <w:tc>
          <w:tcPr>
            <w:tcW w:w="500" w:type="pct"/>
            <w:vMerge w:val="continue"/>
            <w:vAlign w:val="center"/>
          </w:tcPr>
          <w:p w14:paraId="10D023E0">
            <w:pPr>
              <w:pStyle w:val="33"/>
              <w:rPr>
                <w:color w:val="auto"/>
              </w:rPr>
            </w:pPr>
          </w:p>
        </w:tc>
        <w:tc>
          <w:tcPr>
            <w:tcW w:w="500" w:type="pct"/>
            <w:vAlign w:val="center"/>
          </w:tcPr>
          <w:p w14:paraId="1BFD0FB6">
            <w:pPr>
              <w:pStyle w:val="33"/>
              <w:rPr>
                <w:color w:val="auto"/>
              </w:rPr>
            </w:pPr>
            <w:r>
              <w:rPr>
                <w:color w:val="auto"/>
              </w:rPr>
              <w:t>筛选值</w:t>
            </w:r>
          </w:p>
        </w:tc>
        <w:tc>
          <w:tcPr>
            <w:tcW w:w="500" w:type="pct"/>
            <w:vAlign w:val="center"/>
          </w:tcPr>
          <w:p w14:paraId="56506998">
            <w:pPr>
              <w:pStyle w:val="33"/>
              <w:rPr>
                <w:color w:val="auto"/>
              </w:rPr>
            </w:pPr>
          </w:p>
        </w:tc>
        <w:tc>
          <w:tcPr>
            <w:tcW w:w="500" w:type="pct"/>
            <w:vAlign w:val="center"/>
          </w:tcPr>
          <w:p w14:paraId="65EFDA10">
            <w:pPr>
              <w:pStyle w:val="33"/>
              <w:rPr>
                <w:color w:val="auto"/>
              </w:rPr>
            </w:pPr>
          </w:p>
        </w:tc>
        <w:tc>
          <w:tcPr>
            <w:tcW w:w="498" w:type="pct"/>
            <w:vAlign w:val="center"/>
          </w:tcPr>
          <w:p w14:paraId="3D8D7C97">
            <w:pPr>
              <w:pStyle w:val="33"/>
              <w:rPr>
                <w:color w:val="auto"/>
              </w:rPr>
            </w:pPr>
          </w:p>
        </w:tc>
      </w:tr>
      <w:tr w14:paraId="72399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00" w:type="pct"/>
            <w:vMerge w:val="continue"/>
            <w:vAlign w:val="center"/>
          </w:tcPr>
          <w:p w14:paraId="098C7809">
            <w:pPr>
              <w:pStyle w:val="33"/>
              <w:rPr>
                <w:color w:val="auto"/>
              </w:rPr>
            </w:pPr>
          </w:p>
        </w:tc>
        <w:tc>
          <w:tcPr>
            <w:tcW w:w="502" w:type="pct"/>
            <w:vAlign w:val="center"/>
          </w:tcPr>
          <w:p w14:paraId="6CE5A98A">
            <w:pPr>
              <w:pStyle w:val="33"/>
              <w:rPr>
                <w:color w:val="auto"/>
              </w:rPr>
            </w:pPr>
            <w:r>
              <w:rPr>
                <w:color w:val="auto"/>
              </w:rPr>
              <w:t>标准指数</w:t>
            </w:r>
          </w:p>
        </w:tc>
        <w:tc>
          <w:tcPr>
            <w:tcW w:w="500" w:type="pct"/>
            <w:vAlign w:val="center"/>
          </w:tcPr>
          <w:p w14:paraId="41A5FCC8">
            <w:pPr>
              <w:pStyle w:val="33"/>
              <w:rPr>
                <w:color w:val="auto"/>
              </w:rPr>
            </w:pPr>
          </w:p>
        </w:tc>
        <w:tc>
          <w:tcPr>
            <w:tcW w:w="500" w:type="pct"/>
            <w:vAlign w:val="center"/>
          </w:tcPr>
          <w:p w14:paraId="17DF62FE">
            <w:pPr>
              <w:pStyle w:val="33"/>
              <w:rPr>
                <w:color w:val="auto"/>
              </w:rPr>
            </w:pPr>
          </w:p>
        </w:tc>
        <w:tc>
          <w:tcPr>
            <w:tcW w:w="500" w:type="pct"/>
            <w:vAlign w:val="center"/>
          </w:tcPr>
          <w:p w14:paraId="6FE5780C">
            <w:pPr>
              <w:pStyle w:val="33"/>
              <w:rPr>
                <w:color w:val="auto"/>
              </w:rPr>
            </w:pPr>
          </w:p>
        </w:tc>
        <w:tc>
          <w:tcPr>
            <w:tcW w:w="500" w:type="pct"/>
            <w:vMerge w:val="continue"/>
            <w:vAlign w:val="center"/>
          </w:tcPr>
          <w:p w14:paraId="513B5307">
            <w:pPr>
              <w:pStyle w:val="33"/>
              <w:rPr>
                <w:color w:val="auto"/>
              </w:rPr>
            </w:pPr>
          </w:p>
        </w:tc>
        <w:tc>
          <w:tcPr>
            <w:tcW w:w="500" w:type="pct"/>
            <w:vAlign w:val="center"/>
          </w:tcPr>
          <w:p w14:paraId="6BED1852">
            <w:pPr>
              <w:pStyle w:val="33"/>
              <w:rPr>
                <w:color w:val="auto"/>
              </w:rPr>
            </w:pPr>
            <w:r>
              <w:rPr>
                <w:color w:val="auto"/>
              </w:rPr>
              <w:t>标准指数</w:t>
            </w:r>
          </w:p>
        </w:tc>
        <w:tc>
          <w:tcPr>
            <w:tcW w:w="500" w:type="pct"/>
            <w:vAlign w:val="center"/>
          </w:tcPr>
          <w:p w14:paraId="01CAE765">
            <w:pPr>
              <w:pStyle w:val="33"/>
              <w:rPr>
                <w:color w:val="auto"/>
              </w:rPr>
            </w:pPr>
          </w:p>
        </w:tc>
        <w:tc>
          <w:tcPr>
            <w:tcW w:w="500" w:type="pct"/>
            <w:vAlign w:val="center"/>
          </w:tcPr>
          <w:p w14:paraId="601BCCDB">
            <w:pPr>
              <w:pStyle w:val="33"/>
              <w:rPr>
                <w:color w:val="auto"/>
              </w:rPr>
            </w:pPr>
          </w:p>
        </w:tc>
        <w:tc>
          <w:tcPr>
            <w:tcW w:w="498" w:type="pct"/>
            <w:vAlign w:val="center"/>
          </w:tcPr>
          <w:p w14:paraId="258ECC1F">
            <w:pPr>
              <w:pStyle w:val="33"/>
              <w:rPr>
                <w:color w:val="auto"/>
              </w:rPr>
            </w:pPr>
          </w:p>
        </w:tc>
      </w:tr>
      <w:tr w14:paraId="4BF05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 w:type="pct"/>
            <w:vMerge w:val="continue"/>
            <w:vAlign w:val="center"/>
          </w:tcPr>
          <w:p w14:paraId="2605F15F">
            <w:pPr>
              <w:pStyle w:val="33"/>
              <w:rPr>
                <w:color w:val="auto"/>
              </w:rPr>
            </w:pPr>
          </w:p>
        </w:tc>
        <w:tc>
          <w:tcPr>
            <w:tcW w:w="502" w:type="pct"/>
            <w:vAlign w:val="center"/>
          </w:tcPr>
          <w:p w14:paraId="4D0989E0">
            <w:pPr>
              <w:pStyle w:val="33"/>
              <w:rPr>
                <w:color w:val="auto"/>
              </w:rPr>
            </w:pPr>
            <w:r>
              <w:rPr>
                <w:color w:val="auto"/>
              </w:rPr>
              <w:t>超标倍数</w:t>
            </w:r>
          </w:p>
        </w:tc>
        <w:tc>
          <w:tcPr>
            <w:tcW w:w="500" w:type="pct"/>
            <w:vAlign w:val="center"/>
          </w:tcPr>
          <w:p w14:paraId="01FB3158">
            <w:pPr>
              <w:pStyle w:val="33"/>
              <w:rPr>
                <w:color w:val="auto"/>
              </w:rPr>
            </w:pPr>
          </w:p>
        </w:tc>
        <w:tc>
          <w:tcPr>
            <w:tcW w:w="500" w:type="pct"/>
            <w:vAlign w:val="center"/>
          </w:tcPr>
          <w:p w14:paraId="1CA09DB7">
            <w:pPr>
              <w:pStyle w:val="33"/>
              <w:rPr>
                <w:color w:val="auto"/>
              </w:rPr>
            </w:pPr>
          </w:p>
        </w:tc>
        <w:tc>
          <w:tcPr>
            <w:tcW w:w="500" w:type="pct"/>
            <w:vAlign w:val="center"/>
          </w:tcPr>
          <w:p w14:paraId="58CF376B">
            <w:pPr>
              <w:pStyle w:val="33"/>
              <w:rPr>
                <w:color w:val="auto"/>
              </w:rPr>
            </w:pPr>
          </w:p>
        </w:tc>
        <w:tc>
          <w:tcPr>
            <w:tcW w:w="500" w:type="pct"/>
            <w:vMerge w:val="continue"/>
            <w:vAlign w:val="center"/>
          </w:tcPr>
          <w:p w14:paraId="208DEEB9">
            <w:pPr>
              <w:pStyle w:val="33"/>
              <w:rPr>
                <w:color w:val="auto"/>
              </w:rPr>
            </w:pPr>
          </w:p>
        </w:tc>
        <w:tc>
          <w:tcPr>
            <w:tcW w:w="500" w:type="pct"/>
            <w:vAlign w:val="center"/>
          </w:tcPr>
          <w:p w14:paraId="000BE370">
            <w:pPr>
              <w:pStyle w:val="33"/>
              <w:rPr>
                <w:color w:val="auto"/>
              </w:rPr>
            </w:pPr>
            <w:r>
              <w:rPr>
                <w:color w:val="auto"/>
              </w:rPr>
              <w:t>超标倍数</w:t>
            </w:r>
          </w:p>
        </w:tc>
        <w:tc>
          <w:tcPr>
            <w:tcW w:w="500" w:type="pct"/>
            <w:vAlign w:val="center"/>
          </w:tcPr>
          <w:p w14:paraId="6320E3F3">
            <w:pPr>
              <w:pStyle w:val="33"/>
              <w:rPr>
                <w:color w:val="auto"/>
              </w:rPr>
            </w:pPr>
          </w:p>
        </w:tc>
        <w:tc>
          <w:tcPr>
            <w:tcW w:w="500" w:type="pct"/>
            <w:vAlign w:val="center"/>
          </w:tcPr>
          <w:p w14:paraId="7FD5DE2E">
            <w:pPr>
              <w:pStyle w:val="33"/>
              <w:rPr>
                <w:color w:val="auto"/>
              </w:rPr>
            </w:pPr>
          </w:p>
        </w:tc>
        <w:tc>
          <w:tcPr>
            <w:tcW w:w="498" w:type="pct"/>
            <w:vAlign w:val="center"/>
          </w:tcPr>
          <w:p w14:paraId="4AB990AF">
            <w:pPr>
              <w:pStyle w:val="33"/>
              <w:rPr>
                <w:color w:val="auto"/>
              </w:rPr>
            </w:pPr>
          </w:p>
        </w:tc>
      </w:tr>
    </w:tbl>
    <w:p w14:paraId="5ED53A2E">
      <w:pPr>
        <w:ind w:firstLine="0" w:firstLineChars="0"/>
        <w:rPr>
          <w:color w:val="auto"/>
        </w:rPr>
      </w:pPr>
    </w:p>
    <w:p w14:paraId="4D7DDC85">
      <w:pPr>
        <w:ind w:firstLine="480"/>
        <w:rPr>
          <w:color w:val="auto"/>
        </w:rPr>
        <w:sectPr>
          <w:pgSz w:w="16838" w:h="11906" w:orient="landscape"/>
          <w:pgMar w:top="1418" w:right="1418" w:bottom="1135" w:left="1418" w:header="851" w:footer="850" w:gutter="0"/>
          <w:cols w:space="425" w:num="1"/>
          <w:docGrid w:type="lines" w:linePitch="326" w:charSpace="0"/>
        </w:sectPr>
      </w:pPr>
    </w:p>
    <w:p w14:paraId="0953A527">
      <w:pPr>
        <w:pStyle w:val="7"/>
        <w:rPr>
          <w:color w:val="auto"/>
        </w:rPr>
      </w:pPr>
      <w:bookmarkStart w:id="448" w:name="_Ref186122223"/>
      <w:r>
        <w:rPr>
          <w:color w:val="auto"/>
        </w:rPr>
        <w:t>T5</w:t>
      </w:r>
      <w:r>
        <w:rPr>
          <w:rFonts w:hint="eastAsia"/>
          <w:color w:val="auto"/>
        </w:rPr>
        <w:t>、</w:t>
      </w:r>
      <w:r>
        <w:rPr>
          <w:color w:val="auto"/>
        </w:rPr>
        <w:t>T6</w:t>
      </w:r>
      <w:r>
        <w:rPr>
          <w:rFonts w:hint="eastAsia"/>
          <w:color w:val="auto"/>
        </w:rPr>
        <w:t>土壤监测结果表</w:t>
      </w:r>
      <w:bookmarkEnd w:id="448"/>
      <w:r>
        <w:rPr>
          <w:rFonts w:hint="eastAsia"/>
          <w:color w:val="auto"/>
        </w:rPr>
        <w:t xml:space="preserve"> </w:t>
      </w:r>
      <w:r>
        <w:rPr>
          <w:color w:val="auto"/>
        </w:rPr>
        <w:t xml:space="preserve"> </w:t>
      </w:r>
      <w:r>
        <w:rPr>
          <w:rFonts w:hint="eastAsia"/>
          <w:color w:val="auto"/>
        </w:rPr>
        <w:t>单位：mg</w:t>
      </w:r>
      <w:r>
        <w:rPr>
          <w:color w:val="auto"/>
        </w:rPr>
        <w:t>/</w:t>
      </w:r>
      <w:r>
        <w:rPr>
          <w:rFonts w:hint="eastAsia"/>
          <w:color w:val="auto"/>
        </w:rPr>
        <w:t>kg</w:t>
      </w:r>
    </w:p>
    <w:tbl>
      <w:tblPr>
        <w:tblStyle w:val="2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1487"/>
        <w:gridCol w:w="1325"/>
        <w:gridCol w:w="1925"/>
        <w:gridCol w:w="1063"/>
        <w:gridCol w:w="1140"/>
        <w:gridCol w:w="637"/>
        <w:gridCol w:w="637"/>
      </w:tblGrid>
      <w:tr w14:paraId="7FF80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559" w:type="dxa"/>
            <w:gridSpan w:val="2"/>
            <w:vAlign w:val="center"/>
          </w:tcPr>
          <w:p w14:paraId="68F3876E">
            <w:pPr>
              <w:pStyle w:val="33"/>
              <w:rPr>
                <w:color w:val="auto"/>
              </w:rPr>
            </w:pPr>
            <w:r>
              <w:rPr>
                <w:rFonts w:hint="eastAsia"/>
                <w:color w:val="auto"/>
              </w:rPr>
              <w:t>监测因子</w:t>
            </w:r>
          </w:p>
        </w:tc>
        <w:tc>
          <w:tcPr>
            <w:tcW w:w="1325" w:type="dxa"/>
            <w:noWrap/>
            <w:vAlign w:val="center"/>
          </w:tcPr>
          <w:p w14:paraId="619F84FD">
            <w:pPr>
              <w:pStyle w:val="33"/>
              <w:rPr>
                <w:color w:val="auto"/>
              </w:rPr>
            </w:pPr>
            <w:r>
              <w:rPr>
                <w:color w:val="auto"/>
              </w:rPr>
              <w:t>T5</w:t>
            </w:r>
          </w:p>
        </w:tc>
        <w:tc>
          <w:tcPr>
            <w:tcW w:w="1925" w:type="dxa"/>
            <w:noWrap/>
            <w:vAlign w:val="center"/>
          </w:tcPr>
          <w:p w14:paraId="3FBDCBAE">
            <w:pPr>
              <w:pStyle w:val="33"/>
              <w:rPr>
                <w:color w:val="auto"/>
              </w:rPr>
            </w:pPr>
            <w:r>
              <w:rPr>
                <w:color w:val="auto"/>
              </w:rPr>
              <w:t>T6</w:t>
            </w:r>
          </w:p>
        </w:tc>
        <w:tc>
          <w:tcPr>
            <w:tcW w:w="1063" w:type="dxa"/>
            <w:vMerge w:val="restart"/>
            <w:vAlign w:val="center"/>
          </w:tcPr>
          <w:p w14:paraId="6F3BB005">
            <w:pPr>
              <w:pStyle w:val="33"/>
              <w:rPr>
                <w:color w:val="auto"/>
              </w:rPr>
            </w:pPr>
            <w:r>
              <w:rPr>
                <w:rFonts w:hint="eastAsia"/>
                <w:color w:val="auto"/>
              </w:rPr>
              <w:t>均值</w:t>
            </w:r>
          </w:p>
        </w:tc>
        <w:tc>
          <w:tcPr>
            <w:tcW w:w="1140" w:type="dxa"/>
            <w:vMerge w:val="restart"/>
            <w:vAlign w:val="center"/>
          </w:tcPr>
          <w:p w14:paraId="5FDC998A">
            <w:pPr>
              <w:pStyle w:val="33"/>
              <w:rPr>
                <w:color w:val="auto"/>
              </w:rPr>
            </w:pPr>
            <w:r>
              <w:rPr>
                <w:rFonts w:hint="eastAsia"/>
                <w:color w:val="auto"/>
              </w:rPr>
              <w:t>标准差</w:t>
            </w:r>
          </w:p>
        </w:tc>
        <w:tc>
          <w:tcPr>
            <w:tcW w:w="637" w:type="dxa"/>
            <w:vMerge w:val="restart"/>
            <w:vAlign w:val="center"/>
          </w:tcPr>
          <w:p w14:paraId="2CFB285D">
            <w:pPr>
              <w:pStyle w:val="33"/>
              <w:rPr>
                <w:color w:val="auto"/>
              </w:rPr>
            </w:pPr>
            <w:r>
              <w:rPr>
                <w:rFonts w:hint="eastAsia"/>
                <w:color w:val="auto"/>
              </w:rPr>
              <w:t>检出率%</w:t>
            </w:r>
          </w:p>
        </w:tc>
        <w:tc>
          <w:tcPr>
            <w:tcW w:w="637" w:type="dxa"/>
            <w:vMerge w:val="restart"/>
            <w:vAlign w:val="center"/>
          </w:tcPr>
          <w:p w14:paraId="3A483A79">
            <w:pPr>
              <w:pStyle w:val="33"/>
              <w:rPr>
                <w:color w:val="auto"/>
              </w:rPr>
            </w:pPr>
            <w:r>
              <w:rPr>
                <w:rFonts w:hint="eastAsia"/>
                <w:color w:val="auto"/>
              </w:rPr>
              <w:t>超标率%</w:t>
            </w:r>
          </w:p>
        </w:tc>
      </w:tr>
      <w:tr w14:paraId="257A4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2559" w:type="dxa"/>
            <w:gridSpan w:val="2"/>
            <w:vAlign w:val="center"/>
          </w:tcPr>
          <w:p w14:paraId="6841F348">
            <w:pPr>
              <w:pStyle w:val="33"/>
              <w:rPr>
                <w:color w:val="auto"/>
              </w:rPr>
            </w:pPr>
            <w:r>
              <w:rPr>
                <w:rFonts w:hint="eastAsia"/>
                <w:color w:val="auto"/>
              </w:rPr>
              <w:t>土壤性状</w:t>
            </w:r>
          </w:p>
        </w:tc>
        <w:tc>
          <w:tcPr>
            <w:tcW w:w="1325" w:type="dxa"/>
            <w:vAlign w:val="center"/>
          </w:tcPr>
          <w:p w14:paraId="451F0512">
            <w:pPr>
              <w:pStyle w:val="33"/>
              <w:rPr>
                <w:color w:val="auto"/>
              </w:rPr>
            </w:pPr>
            <w:r>
              <w:rPr>
                <w:rFonts w:hint="eastAsia"/>
                <w:color w:val="auto"/>
                <w:szCs w:val="21"/>
              </w:rPr>
              <w:t>棕色、轻壤土</w:t>
            </w:r>
          </w:p>
        </w:tc>
        <w:tc>
          <w:tcPr>
            <w:tcW w:w="1925" w:type="dxa"/>
            <w:vAlign w:val="center"/>
          </w:tcPr>
          <w:p w14:paraId="52125D4D">
            <w:pPr>
              <w:pStyle w:val="33"/>
              <w:rPr>
                <w:color w:val="auto"/>
              </w:rPr>
            </w:pPr>
            <w:r>
              <w:rPr>
                <w:rFonts w:hint="eastAsia"/>
                <w:color w:val="auto"/>
                <w:szCs w:val="21"/>
              </w:rPr>
              <w:t>棕色、轻壤土</w:t>
            </w:r>
          </w:p>
        </w:tc>
        <w:tc>
          <w:tcPr>
            <w:tcW w:w="1063" w:type="dxa"/>
            <w:vMerge w:val="continue"/>
            <w:vAlign w:val="center"/>
          </w:tcPr>
          <w:p w14:paraId="2592440B">
            <w:pPr>
              <w:pStyle w:val="33"/>
              <w:rPr>
                <w:color w:val="auto"/>
              </w:rPr>
            </w:pPr>
          </w:p>
        </w:tc>
        <w:tc>
          <w:tcPr>
            <w:tcW w:w="1140" w:type="dxa"/>
            <w:vMerge w:val="continue"/>
            <w:vAlign w:val="center"/>
          </w:tcPr>
          <w:p w14:paraId="77491124">
            <w:pPr>
              <w:pStyle w:val="33"/>
              <w:rPr>
                <w:color w:val="auto"/>
              </w:rPr>
            </w:pPr>
          </w:p>
        </w:tc>
        <w:tc>
          <w:tcPr>
            <w:tcW w:w="637" w:type="dxa"/>
            <w:vMerge w:val="continue"/>
            <w:vAlign w:val="center"/>
          </w:tcPr>
          <w:p w14:paraId="4923864B">
            <w:pPr>
              <w:pStyle w:val="33"/>
              <w:rPr>
                <w:color w:val="auto"/>
              </w:rPr>
            </w:pPr>
          </w:p>
        </w:tc>
        <w:tc>
          <w:tcPr>
            <w:tcW w:w="637" w:type="dxa"/>
            <w:vMerge w:val="continue"/>
            <w:vAlign w:val="center"/>
          </w:tcPr>
          <w:p w14:paraId="72E3BA98">
            <w:pPr>
              <w:pStyle w:val="33"/>
              <w:rPr>
                <w:color w:val="auto"/>
              </w:rPr>
            </w:pPr>
          </w:p>
        </w:tc>
      </w:tr>
      <w:tr w14:paraId="33247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Align w:val="center"/>
          </w:tcPr>
          <w:p w14:paraId="5E13A09A">
            <w:pPr>
              <w:pStyle w:val="33"/>
              <w:rPr>
                <w:color w:val="auto"/>
              </w:rPr>
            </w:pPr>
            <w:r>
              <w:rPr>
                <w:rFonts w:hint="eastAsia"/>
                <w:color w:val="auto"/>
              </w:rPr>
              <w:t>pH值</w:t>
            </w:r>
          </w:p>
        </w:tc>
        <w:tc>
          <w:tcPr>
            <w:tcW w:w="1487" w:type="dxa"/>
            <w:vAlign w:val="center"/>
          </w:tcPr>
          <w:p w14:paraId="32052863">
            <w:pPr>
              <w:pStyle w:val="33"/>
              <w:rPr>
                <w:color w:val="auto"/>
              </w:rPr>
            </w:pPr>
            <w:r>
              <w:rPr>
                <w:rFonts w:hint="eastAsia"/>
                <w:color w:val="auto"/>
              </w:rPr>
              <w:t>监测值</w:t>
            </w:r>
          </w:p>
        </w:tc>
        <w:tc>
          <w:tcPr>
            <w:tcW w:w="1325" w:type="dxa"/>
            <w:vAlign w:val="center"/>
          </w:tcPr>
          <w:p w14:paraId="0AEB1BC9">
            <w:pPr>
              <w:pStyle w:val="33"/>
              <w:rPr>
                <w:rFonts w:eastAsia="等线" w:cs="Times New Roman"/>
                <w:color w:val="auto"/>
                <w:szCs w:val="21"/>
              </w:rPr>
            </w:pPr>
          </w:p>
        </w:tc>
        <w:tc>
          <w:tcPr>
            <w:tcW w:w="1925" w:type="dxa"/>
            <w:vAlign w:val="center"/>
          </w:tcPr>
          <w:p w14:paraId="78959BDF">
            <w:pPr>
              <w:pStyle w:val="33"/>
              <w:rPr>
                <w:rFonts w:eastAsia="等线" w:cs="Times New Roman"/>
                <w:color w:val="auto"/>
                <w:szCs w:val="21"/>
              </w:rPr>
            </w:pPr>
          </w:p>
        </w:tc>
        <w:tc>
          <w:tcPr>
            <w:tcW w:w="1063" w:type="dxa"/>
            <w:vAlign w:val="center"/>
          </w:tcPr>
          <w:p w14:paraId="1E89C083">
            <w:pPr>
              <w:pStyle w:val="33"/>
              <w:rPr>
                <w:rFonts w:eastAsia="等线" w:cs="Times New Roman"/>
                <w:color w:val="auto"/>
                <w:szCs w:val="21"/>
              </w:rPr>
            </w:pPr>
          </w:p>
        </w:tc>
        <w:tc>
          <w:tcPr>
            <w:tcW w:w="1140" w:type="dxa"/>
            <w:vAlign w:val="center"/>
          </w:tcPr>
          <w:p w14:paraId="25AB16DE">
            <w:pPr>
              <w:pStyle w:val="33"/>
              <w:rPr>
                <w:rFonts w:eastAsia="等线" w:cs="Times New Roman"/>
                <w:color w:val="auto"/>
                <w:szCs w:val="21"/>
              </w:rPr>
            </w:pPr>
          </w:p>
        </w:tc>
        <w:tc>
          <w:tcPr>
            <w:tcW w:w="637" w:type="dxa"/>
            <w:vAlign w:val="center"/>
          </w:tcPr>
          <w:p w14:paraId="2F98FBBF">
            <w:pPr>
              <w:pStyle w:val="33"/>
              <w:rPr>
                <w:rFonts w:eastAsia="等线" w:cs="Times New Roman"/>
                <w:color w:val="auto"/>
                <w:szCs w:val="21"/>
              </w:rPr>
            </w:pPr>
          </w:p>
        </w:tc>
        <w:tc>
          <w:tcPr>
            <w:tcW w:w="637" w:type="dxa"/>
            <w:vAlign w:val="center"/>
          </w:tcPr>
          <w:p w14:paraId="1AFE919A">
            <w:pPr>
              <w:pStyle w:val="33"/>
              <w:rPr>
                <w:rFonts w:eastAsia="等线" w:cs="Times New Roman"/>
                <w:color w:val="auto"/>
                <w:szCs w:val="21"/>
              </w:rPr>
            </w:pPr>
          </w:p>
        </w:tc>
      </w:tr>
      <w:tr w14:paraId="42A26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182E896F">
            <w:pPr>
              <w:pStyle w:val="33"/>
              <w:rPr>
                <w:color w:val="auto"/>
              </w:rPr>
            </w:pPr>
            <w:r>
              <w:rPr>
                <w:rFonts w:hint="eastAsia"/>
                <w:color w:val="auto"/>
              </w:rPr>
              <w:t>镉</w:t>
            </w:r>
          </w:p>
        </w:tc>
        <w:tc>
          <w:tcPr>
            <w:tcW w:w="1487" w:type="dxa"/>
            <w:vAlign w:val="center"/>
          </w:tcPr>
          <w:p w14:paraId="4C5B377F">
            <w:pPr>
              <w:pStyle w:val="33"/>
              <w:rPr>
                <w:color w:val="auto"/>
              </w:rPr>
            </w:pPr>
            <w:r>
              <w:rPr>
                <w:rFonts w:hint="eastAsia"/>
                <w:color w:val="auto"/>
              </w:rPr>
              <w:t>监测值</w:t>
            </w:r>
          </w:p>
        </w:tc>
        <w:tc>
          <w:tcPr>
            <w:tcW w:w="1325" w:type="dxa"/>
            <w:vAlign w:val="center"/>
          </w:tcPr>
          <w:p w14:paraId="626CEA9C">
            <w:pPr>
              <w:pStyle w:val="33"/>
              <w:rPr>
                <w:rFonts w:eastAsia="等线" w:cs="Times New Roman"/>
                <w:color w:val="auto"/>
                <w:szCs w:val="21"/>
              </w:rPr>
            </w:pPr>
          </w:p>
        </w:tc>
        <w:tc>
          <w:tcPr>
            <w:tcW w:w="1925" w:type="dxa"/>
            <w:vAlign w:val="center"/>
          </w:tcPr>
          <w:p w14:paraId="07715CF5">
            <w:pPr>
              <w:pStyle w:val="33"/>
              <w:rPr>
                <w:rFonts w:eastAsia="等线" w:cs="Times New Roman"/>
                <w:color w:val="auto"/>
                <w:szCs w:val="21"/>
              </w:rPr>
            </w:pPr>
          </w:p>
        </w:tc>
        <w:tc>
          <w:tcPr>
            <w:tcW w:w="1063" w:type="dxa"/>
            <w:vMerge w:val="restart"/>
            <w:vAlign w:val="center"/>
          </w:tcPr>
          <w:p w14:paraId="2307E744">
            <w:pPr>
              <w:pStyle w:val="33"/>
              <w:rPr>
                <w:rFonts w:eastAsia="等线" w:cs="Times New Roman"/>
                <w:color w:val="auto"/>
                <w:szCs w:val="21"/>
              </w:rPr>
            </w:pPr>
          </w:p>
        </w:tc>
        <w:tc>
          <w:tcPr>
            <w:tcW w:w="1140" w:type="dxa"/>
            <w:vMerge w:val="restart"/>
            <w:vAlign w:val="center"/>
          </w:tcPr>
          <w:p w14:paraId="013FE164">
            <w:pPr>
              <w:pStyle w:val="33"/>
              <w:rPr>
                <w:rFonts w:eastAsia="等线" w:cs="Times New Roman"/>
                <w:color w:val="auto"/>
                <w:szCs w:val="21"/>
              </w:rPr>
            </w:pPr>
          </w:p>
        </w:tc>
        <w:tc>
          <w:tcPr>
            <w:tcW w:w="637" w:type="dxa"/>
            <w:vMerge w:val="restart"/>
            <w:vAlign w:val="center"/>
          </w:tcPr>
          <w:p w14:paraId="0AB669F6">
            <w:pPr>
              <w:pStyle w:val="33"/>
              <w:rPr>
                <w:rFonts w:eastAsia="等线" w:cs="Times New Roman"/>
                <w:color w:val="auto"/>
                <w:szCs w:val="21"/>
              </w:rPr>
            </w:pPr>
          </w:p>
        </w:tc>
        <w:tc>
          <w:tcPr>
            <w:tcW w:w="637" w:type="dxa"/>
            <w:vMerge w:val="restart"/>
            <w:vAlign w:val="center"/>
          </w:tcPr>
          <w:p w14:paraId="130BB16D">
            <w:pPr>
              <w:pStyle w:val="33"/>
              <w:rPr>
                <w:rFonts w:eastAsia="等线" w:cs="Times New Roman"/>
                <w:color w:val="auto"/>
                <w:szCs w:val="21"/>
              </w:rPr>
            </w:pPr>
          </w:p>
        </w:tc>
      </w:tr>
      <w:tr w14:paraId="7FA5D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1072" w:type="dxa"/>
            <w:vMerge w:val="continue"/>
            <w:vAlign w:val="center"/>
          </w:tcPr>
          <w:p w14:paraId="6AEDA011">
            <w:pPr>
              <w:pStyle w:val="33"/>
              <w:rPr>
                <w:color w:val="auto"/>
              </w:rPr>
            </w:pPr>
          </w:p>
        </w:tc>
        <w:tc>
          <w:tcPr>
            <w:tcW w:w="1487" w:type="dxa"/>
            <w:vAlign w:val="center"/>
          </w:tcPr>
          <w:p w14:paraId="39228B09">
            <w:pPr>
              <w:pStyle w:val="33"/>
              <w:rPr>
                <w:color w:val="auto"/>
              </w:rPr>
            </w:pPr>
            <w:r>
              <w:rPr>
                <w:rFonts w:hint="eastAsia"/>
                <w:color w:val="auto"/>
              </w:rPr>
              <w:t>筛选值</w:t>
            </w:r>
          </w:p>
        </w:tc>
        <w:tc>
          <w:tcPr>
            <w:tcW w:w="1325" w:type="dxa"/>
            <w:vAlign w:val="center"/>
          </w:tcPr>
          <w:p w14:paraId="7D3CB09B">
            <w:pPr>
              <w:pStyle w:val="33"/>
              <w:rPr>
                <w:rFonts w:eastAsia="等线" w:cs="Times New Roman"/>
                <w:color w:val="auto"/>
                <w:szCs w:val="21"/>
              </w:rPr>
            </w:pPr>
          </w:p>
        </w:tc>
        <w:tc>
          <w:tcPr>
            <w:tcW w:w="1925" w:type="dxa"/>
            <w:vAlign w:val="center"/>
          </w:tcPr>
          <w:p w14:paraId="1C50306F">
            <w:pPr>
              <w:pStyle w:val="33"/>
              <w:rPr>
                <w:rFonts w:eastAsia="等线" w:cs="Times New Roman"/>
                <w:color w:val="auto"/>
                <w:szCs w:val="21"/>
              </w:rPr>
            </w:pPr>
          </w:p>
        </w:tc>
        <w:tc>
          <w:tcPr>
            <w:tcW w:w="1063" w:type="dxa"/>
            <w:vMerge w:val="continue"/>
            <w:vAlign w:val="center"/>
          </w:tcPr>
          <w:p w14:paraId="4B5ECB32">
            <w:pPr>
              <w:pStyle w:val="33"/>
              <w:rPr>
                <w:rFonts w:eastAsia="等线" w:cs="Times New Roman"/>
                <w:color w:val="auto"/>
                <w:szCs w:val="21"/>
              </w:rPr>
            </w:pPr>
          </w:p>
        </w:tc>
        <w:tc>
          <w:tcPr>
            <w:tcW w:w="1140" w:type="dxa"/>
            <w:vMerge w:val="continue"/>
            <w:vAlign w:val="center"/>
          </w:tcPr>
          <w:p w14:paraId="0EA611D6">
            <w:pPr>
              <w:pStyle w:val="33"/>
              <w:rPr>
                <w:rFonts w:eastAsia="等线" w:cs="Times New Roman"/>
                <w:color w:val="auto"/>
                <w:szCs w:val="21"/>
              </w:rPr>
            </w:pPr>
          </w:p>
        </w:tc>
        <w:tc>
          <w:tcPr>
            <w:tcW w:w="637" w:type="dxa"/>
            <w:vMerge w:val="continue"/>
            <w:vAlign w:val="center"/>
          </w:tcPr>
          <w:p w14:paraId="1406FBF6">
            <w:pPr>
              <w:pStyle w:val="33"/>
              <w:rPr>
                <w:rFonts w:eastAsia="等线" w:cs="Times New Roman"/>
                <w:color w:val="auto"/>
                <w:szCs w:val="21"/>
              </w:rPr>
            </w:pPr>
          </w:p>
        </w:tc>
        <w:tc>
          <w:tcPr>
            <w:tcW w:w="637" w:type="dxa"/>
            <w:vMerge w:val="continue"/>
            <w:vAlign w:val="center"/>
          </w:tcPr>
          <w:p w14:paraId="6AFCCF33">
            <w:pPr>
              <w:pStyle w:val="33"/>
              <w:rPr>
                <w:rFonts w:eastAsia="等线" w:cs="Times New Roman"/>
                <w:color w:val="auto"/>
                <w:szCs w:val="21"/>
              </w:rPr>
            </w:pPr>
          </w:p>
        </w:tc>
      </w:tr>
      <w:tr w14:paraId="4032D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8747122">
            <w:pPr>
              <w:pStyle w:val="33"/>
              <w:rPr>
                <w:color w:val="auto"/>
              </w:rPr>
            </w:pPr>
          </w:p>
        </w:tc>
        <w:tc>
          <w:tcPr>
            <w:tcW w:w="1487" w:type="dxa"/>
            <w:vAlign w:val="center"/>
          </w:tcPr>
          <w:p w14:paraId="4624D455">
            <w:pPr>
              <w:pStyle w:val="33"/>
              <w:rPr>
                <w:color w:val="auto"/>
              </w:rPr>
            </w:pPr>
            <w:r>
              <w:rPr>
                <w:rFonts w:hint="eastAsia"/>
                <w:color w:val="auto"/>
              </w:rPr>
              <w:t>标准指数</w:t>
            </w:r>
          </w:p>
        </w:tc>
        <w:tc>
          <w:tcPr>
            <w:tcW w:w="1325" w:type="dxa"/>
            <w:vAlign w:val="center"/>
          </w:tcPr>
          <w:p w14:paraId="0DF29673">
            <w:pPr>
              <w:pStyle w:val="33"/>
              <w:rPr>
                <w:rFonts w:eastAsia="等线" w:cs="Times New Roman"/>
                <w:color w:val="auto"/>
                <w:szCs w:val="21"/>
              </w:rPr>
            </w:pPr>
          </w:p>
        </w:tc>
        <w:tc>
          <w:tcPr>
            <w:tcW w:w="1925" w:type="dxa"/>
            <w:vAlign w:val="center"/>
          </w:tcPr>
          <w:p w14:paraId="2E827DE3">
            <w:pPr>
              <w:pStyle w:val="33"/>
              <w:rPr>
                <w:rFonts w:eastAsia="等线" w:cs="Times New Roman"/>
                <w:color w:val="auto"/>
                <w:szCs w:val="21"/>
              </w:rPr>
            </w:pPr>
          </w:p>
        </w:tc>
        <w:tc>
          <w:tcPr>
            <w:tcW w:w="1063" w:type="dxa"/>
            <w:vMerge w:val="continue"/>
            <w:vAlign w:val="center"/>
          </w:tcPr>
          <w:p w14:paraId="5F244B93">
            <w:pPr>
              <w:pStyle w:val="33"/>
              <w:rPr>
                <w:rFonts w:eastAsia="等线" w:cs="Times New Roman"/>
                <w:color w:val="auto"/>
                <w:szCs w:val="21"/>
              </w:rPr>
            </w:pPr>
          </w:p>
        </w:tc>
        <w:tc>
          <w:tcPr>
            <w:tcW w:w="1140" w:type="dxa"/>
            <w:vMerge w:val="continue"/>
            <w:vAlign w:val="center"/>
          </w:tcPr>
          <w:p w14:paraId="0E7425A4">
            <w:pPr>
              <w:pStyle w:val="33"/>
              <w:rPr>
                <w:rFonts w:eastAsia="等线" w:cs="Times New Roman"/>
                <w:color w:val="auto"/>
                <w:szCs w:val="21"/>
              </w:rPr>
            </w:pPr>
          </w:p>
        </w:tc>
        <w:tc>
          <w:tcPr>
            <w:tcW w:w="637" w:type="dxa"/>
            <w:vMerge w:val="continue"/>
            <w:vAlign w:val="center"/>
          </w:tcPr>
          <w:p w14:paraId="18D4B2E3">
            <w:pPr>
              <w:pStyle w:val="33"/>
              <w:rPr>
                <w:rFonts w:eastAsia="等线" w:cs="Times New Roman"/>
                <w:color w:val="auto"/>
                <w:szCs w:val="21"/>
              </w:rPr>
            </w:pPr>
          </w:p>
        </w:tc>
        <w:tc>
          <w:tcPr>
            <w:tcW w:w="637" w:type="dxa"/>
            <w:vMerge w:val="continue"/>
            <w:vAlign w:val="center"/>
          </w:tcPr>
          <w:p w14:paraId="32DF6BAF">
            <w:pPr>
              <w:pStyle w:val="33"/>
              <w:rPr>
                <w:rFonts w:eastAsia="等线" w:cs="Times New Roman"/>
                <w:color w:val="auto"/>
                <w:szCs w:val="21"/>
              </w:rPr>
            </w:pPr>
          </w:p>
        </w:tc>
      </w:tr>
      <w:tr w14:paraId="108EE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7A1825E1">
            <w:pPr>
              <w:pStyle w:val="33"/>
              <w:rPr>
                <w:color w:val="auto"/>
              </w:rPr>
            </w:pPr>
          </w:p>
        </w:tc>
        <w:tc>
          <w:tcPr>
            <w:tcW w:w="1487" w:type="dxa"/>
            <w:vAlign w:val="center"/>
          </w:tcPr>
          <w:p w14:paraId="0B7227AC">
            <w:pPr>
              <w:pStyle w:val="33"/>
              <w:rPr>
                <w:color w:val="auto"/>
              </w:rPr>
            </w:pPr>
            <w:r>
              <w:rPr>
                <w:rFonts w:hint="eastAsia"/>
                <w:color w:val="auto"/>
              </w:rPr>
              <w:t>超标倍数</w:t>
            </w:r>
          </w:p>
        </w:tc>
        <w:tc>
          <w:tcPr>
            <w:tcW w:w="1325" w:type="dxa"/>
            <w:vAlign w:val="center"/>
          </w:tcPr>
          <w:p w14:paraId="35689992">
            <w:pPr>
              <w:pStyle w:val="33"/>
              <w:rPr>
                <w:rFonts w:eastAsia="等线" w:cs="Times New Roman"/>
                <w:color w:val="auto"/>
                <w:szCs w:val="21"/>
              </w:rPr>
            </w:pPr>
          </w:p>
        </w:tc>
        <w:tc>
          <w:tcPr>
            <w:tcW w:w="1925" w:type="dxa"/>
            <w:vAlign w:val="center"/>
          </w:tcPr>
          <w:p w14:paraId="08D856B3">
            <w:pPr>
              <w:pStyle w:val="33"/>
              <w:rPr>
                <w:rFonts w:eastAsia="等线" w:cs="Times New Roman"/>
                <w:color w:val="auto"/>
                <w:szCs w:val="21"/>
              </w:rPr>
            </w:pPr>
          </w:p>
        </w:tc>
        <w:tc>
          <w:tcPr>
            <w:tcW w:w="1063" w:type="dxa"/>
            <w:vMerge w:val="continue"/>
            <w:vAlign w:val="center"/>
          </w:tcPr>
          <w:p w14:paraId="6E82D0A4">
            <w:pPr>
              <w:pStyle w:val="33"/>
              <w:rPr>
                <w:rFonts w:eastAsia="等线" w:cs="Times New Roman"/>
                <w:color w:val="auto"/>
                <w:szCs w:val="21"/>
              </w:rPr>
            </w:pPr>
          </w:p>
        </w:tc>
        <w:tc>
          <w:tcPr>
            <w:tcW w:w="1140" w:type="dxa"/>
            <w:vMerge w:val="continue"/>
            <w:vAlign w:val="center"/>
          </w:tcPr>
          <w:p w14:paraId="2B8B0596">
            <w:pPr>
              <w:pStyle w:val="33"/>
              <w:rPr>
                <w:rFonts w:eastAsia="等线" w:cs="Times New Roman"/>
                <w:color w:val="auto"/>
                <w:szCs w:val="21"/>
              </w:rPr>
            </w:pPr>
          </w:p>
        </w:tc>
        <w:tc>
          <w:tcPr>
            <w:tcW w:w="637" w:type="dxa"/>
            <w:vMerge w:val="continue"/>
            <w:vAlign w:val="center"/>
          </w:tcPr>
          <w:p w14:paraId="0F621573">
            <w:pPr>
              <w:pStyle w:val="33"/>
              <w:rPr>
                <w:rFonts w:eastAsia="等线" w:cs="Times New Roman"/>
                <w:color w:val="auto"/>
                <w:szCs w:val="21"/>
              </w:rPr>
            </w:pPr>
          </w:p>
        </w:tc>
        <w:tc>
          <w:tcPr>
            <w:tcW w:w="637" w:type="dxa"/>
            <w:vMerge w:val="continue"/>
            <w:vAlign w:val="center"/>
          </w:tcPr>
          <w:p w14:paraId="40DD9AF8">
            <w:pPr>
              <w:pStyle w:val="33"/>
              <w:rPr>
                <w:rFonts w:eastAsia="等线" w:cs="Times New Roman"/>
                <w:color w:val="auto"/>
                <w:szCs w:val="21"/>
              </w:rPr>
            </w:pPr>
          </w:p>
        </w:tc>
      </w:tr>
      <w:tr w14:paraId="5B846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561EF346">
            <w:pPr>
              <w:pStyle w:val="33"/>
              <w:rPr>
                <w:color w:val="auto"/>
              </w:rPr>
            </w:pPr>
            <w:r>
              <w:rPr>
                <w:rFonts w:hint="eastAsia"/>
                <w:color w:val="auto"/>
              </w:rPr>
              <w:t>汞</w:t>
            </w:r>
          </w:p>
        </w:tc>
        <w:tc>
          <w:tcPr>
            <w:tcW w:w="1487" w:type="dxa"/>
            <w:vAlign w:val="center"/>
          </w:tcPr>
          <w:p w14:paraId="7C67A1DD">
            <w:pPr>
              <w:pStyle w:val="33"/>
              <w:rPr>
                <w:color w:val="auto"/>
              </w:rPr>
            </w:pPr>
            <w:r>
              <w:rPr>
                <w:rFonts w:hint="eastAsia"/>
                <w:color w:val="auto"/>
              </w:rPr>
              <w:t>监测值</w:t>
            </w:r>
          </w:p>
        </w:tc>
        <w:tc>
          <w:tcPr>
            <w:tcW w:w="1325" w:type="dxa"/>
            <w:vAlign w:val="center"/>
          </w:tcPr>
          <w:p w14:paraId="2EB98888">
            <w:pPr>
              <w:pStyle w:val="33"/>
              <w:rPr>
                <w:rFonts w:eastAsia="等线" w:cs="Times New Roman"/>
                <w:color w:val="auto"/>
                <w:szCs w:val="21"/>
              </w:rPr>
            </w:pPr>
          </w:p>
        </w:tc>
        <w:tc>
          <w:tcPr>
            <w:tcW w:w="1925" w:type="dxa"/>
            <w:vAlign w:val="center"/>
          </w:tcPr>
          <w:p w14:paraId="1EB79CF4">
            <w:pPr>
              <w:pStyle w:val="33"/>
              <w:rPr>
                <w:rFonts w:eastAsia="等线" w:cs="Times New Roman"/>
                <w:color w:val="auto"/>
                <w:szCs w:val="21"/>
              </w:rPr>
            </w:pPr>
          </w:p>
        </w:tc>
        <w:tc>
          <w:tcPr>
            <w:tcW w:w="1063" w:type="dxa"/>
            <w:vMerge w:val="restart"/>
            <w:vAlign w:val="center"/>
          </w:tcPr>
          <w:p w14:paraId="050D046D">
            <w:pPr>
              <w:pStyle w:val="33"/>
              <w:rPr>
                <w:rFonts w:eastAsia="等线" w:cs="Times New Roman"/>
                <w:color w:val="auto"/>
                <w:szCs w:val="21"/>
              </w:rPr>
            </w:pPr>
          </w:p>
        </w:tc>
        <w:tc>
          <w:tcPr>
            <w:tcW w:w="1140" w:type="dxa"/>
            <w:vMerge w:val="restart"/>
            <w:vAlign w:val="center"/>
          </w:tcPr>
          <w:p w14:paraId="5F6F7D85">
            <w:pPr>
              <w:pStyle w:val="33"/>
              <w:rPr>
                <w:rFonts w:eastAsia="等线" w:cs="Times New Roman"/>
                <w:color w:val="auto"/>
                <w:szCs w:val="21"/>
              </w:rPr>
            </w:pPr>
          </w:p>
        </w:tc>
        <w:tc>
          <w:tcPr>
            <w:tcW w:w="637" w:type="dxa"/>
            <w:vMerge w:val="restart"/>
            <w:vAlign w:val="center"/>
          </w:tcPr>
          <w:p w14:paraId="532F52CC">
            <w:pPr>
              <w:pStyle w:val="33"/>
              <w:rPr>
                <w:rFonts w:eastAsia="等线" w:cs="Times New Roman"/>
                <w:color w:val="auto"/>
                <w:szCs w:val="21"/>
              </w:rPr>
            </w:pPr>
          </w:p>
        </w:tc>
        <w:tc>
          <w:tcPr>
            <w:tcW w:w="637" w:type="dxa"/>
            <w:vMerge w:val="restart"/>
            <w:vAlign w:val="center"/>
          </w:tcPr>
          <w:p w14:paraId="59884322">
            <w:pPr>
              <w:pStyle w:val="33"/>
              <w:rPr>
                <w:rFonts w:eastAsia="等线" w:cs="Times New Roman"/>
                <w:color w:val="auto"/>
                <w:szCs w:val="21"/>
              </w:rPr>
            </w:pPr>
          </w:p>
        </w:tc>
      </w:tr>
      <w:tr w14:paraId="3F8FD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01511C6D">
            <w:pPr>
              <w:pStyle w:val="33"/>
              <w:rPr>
                <w:color w:val="auto"/>
              </w:rPr>
            </w:pPr>
          </w:p>
        </w:tc>
        <w:tc>
          <w:tcPr>
            <w:tcW w:w="1487" w:type="dxa"/>
            <w:vAlign w:val="center"/>
          </w:tcPr>
          <w:p w14:paraId="1FBC4509">
            <w:pPr>
              <w:pStyle w:val="33"/>
              <w:rPr>
                <w:color w:val="auto"/>
              </w:rPr>
            </w:pPr>
            <w:r>
              <w:rPr>
                <w:rFonts w:hint="eastAsia"/>
                <w:color w:val="auto"/>
              </w:rPr>
              <w:t>筛选值</w:t>
            </w:r>
          </w:p>
        </w:tc>
        <w:tc>
          <w:tcPr>
            <w:tcW w:w="1325" w:type="dxa"/>
            <w:vAlign w:val="center"/>
          </w:tcPr>
          <w:p w14:paraId="14B13008">
            <w:pPr>
              <w:pStyle w:val="33"/>
              <w:rPr>
                <w:rFonts w:eastAsia="等线" w:cs="Times New Roman"/>
                <w:color w:val="auto"/>
                <w:szCs w:val="21"/>
              </w:rPr>
            </w:pPr>
          </w:p>
        </w:tc>
        <w:tc>
          <w:tcPr>
            <w:tcW w:w="1925" w:type="dxa"/>
            <w:vAlign w:val="center"/>
          </w:tcPr>
          <w:p w14:paraId="6C8C6601">
            <w:pPr>
              <w:pStyle w:val="33"/>
              <w:rPr>
                <w:rFonts w:eastAsia="等线" w:cs="Times New Roman"/>
                <w:color w:val="auto"/>
                <w:szCs w:val="21"/>
              </w:rPr>
            </w:pPr>
          </w:p>
        </w:tc>
        <w:tc>
          <w:tcPr>
            <w:tcW w:w="1063" w:type="dxa"/>
            <w:vMerge w:val="continue"/>
            <w:vAlign w:val="center"/>
          </w:tcPr>
          <w:p w14:paraId="6132144F">
            <w:pPr>
              <w:pStyle w:val="33"/>
              <w:rPr>
                <w:rFonts w:eastAsia="等线" w:cs="Times New Roman"/>
                <w:color w:val="auto"/>
                <w:szCs w:val="21"/>
              </w:rPr>
            </w:pPr>
          </w:p>
        </w:tc>
        <w:tc>
          <w:tcPr>
            <w:tcW w:w="1140" w:type="dxa"/>
            <w:vMerge w:val="continue"/>
            <w:vAlign w:val="center"/>
          </w:tcPr>
          <w:p w14:paraId="5941F822">
            <w:pPr>
              <w:pStyle w:val="33"/>
              <w:rPr>
                <w:rFonts w:eastAsia="等线" w:cs="Times New Roman"/>
                <w:color w:val="auto"/>
                <w:szCs w:val="21"/>
              </w:rPr>
            </w:pPr>
          </w:p>
        </w:tc>
        <w:tc>
          <w:tcPr>
            <w:tcW w:w="637" w:type="dxa"/>
            <w:vMerge w:val="continue"/>
            <w:vAlign w:val="center"/>
          </w:tcPr>
          <w:p w14:paraId="52D91D99">
            <w:pPr>
              <w:pStyle w:val="33"/>
              <w:rPr>
                <w:rFonts w:eastAsia="等线" w:cs="Times New Roman"/>
                <w:color w:val="auto"/>
                <w:szCs w:val="21"/>
              </w:rPr>
            </w:pPr>
          </w:p>
        </w:tc>
        <w:tc>
          <w:tcPr>
            <w:tcW w:w="637" w:type="dxa"/>
            <w:vMerge w:val="continue"/>
            <w:vAlign w:val="center"/>
          </w:tcPr>
          <w:p w14:paraId="6E5149FA">
            <w:pPr>
              <w:pStyle w:val="33"/>
              <w:rPr>
                <w:rFonts w:eastAsia="等线" w:cs="Times New Roman"/>
                <w:color w:val="auto"/>
                <w:szCs w:val="21"/>
              </w:rPr>
            </w:pPr>
          </w:p>
        </w:tc>
      </w:tr>
      <w:tr w14:paraId="1AF2A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0CF8DB14">
            <w:pPr>
              <w:pStyle w:val="33"/>
              <w:rPr>
                <w:color w:val="auto"/>
              </w:rPr>
            </w:pPr>
          </w:p>
        </w:tc>
        <w:tc>
          <w:tcPr>
            <w:tcW w:w="1487" w:type="dxa"/>
            <w:vAlign w:val="center"/>
          </w:tcPr>
          <w:p w14:paraId="41F93C46">
            <w:pPr>
              <w:pStyle w:val="33"/>
              <w:rPr>
                <w:color w:val="auto"/>
              </w:rPr>
            </w:pPr>
            <w:r>
              <w:rPr>
                <w:rFonts w:hint="eastAsia"/>
                <w:color w:val="auto"/>
              </w:rPr>
              <w:t>标准指数</w:t>
            </w:r>
          </w:p>
        </w:tc>
        <w:tc>
          <w:tcPr>
            <w:tcW w:w="1325" w:type="dxa"/>
            <w:vAlign w:val="center"/>
          </w:tcPr>
          <w:p w14:paraId="118A1124">
            <w:pPr>
              <w:pStyle w:val="33"/>
              <w:rPr>
                <w:rFonts w:eastAsia="等线" w:cs="Times New Roman"/>
                <w:color w:val="auto"/>
                <w:szCs w:val="21"/>
              </w:rPr>
            </w:pPr>
          </w:p>
        </w:tc>
        <w:tc>
          <w:tcPr>
            <w:tcW w:w="1925" w:type="dxa"/>
            <w:vAlign w:val="center"/>
          </w:tcPr>
          <w:p w14:paraId="78C03F08">
            <w:pPr>
              <w:pStyle w:val="33"/>
              <w:rPr>
                <w:rFonts w:eastAsia="等线" w:cs="Times New Roman"/>
                <w:color w:val="auto"/>
                <w:szCs w:val="21"/>
              </w:rPr>
            </w:pPr>
          </w:p>
        </w:tc>
        <w:tc>
          <w:tcPr>
            <w:tcW w:w="1063" w:type="dxa"/>
            <w:vMerge w:val="continue"/>
            <w:vAlign w:val="center"/>
          </w:tcPr>
          <w:p w14:paraId="023F1583">
            <w:pPr>
              <w:pStyle w:val="33"/>
              <w:rPr>
                <w:rFonts w:eastAsia="等线" w:cs="Times New Roman"/>
                <w:color w:val="auto"/>
                <w:szCs w:val="21"/>
              </w:rPr>
            </w:pPr>
          </w:p>
        </w:tc>
        <w:tc>
          <w:tcPr>
            <w:tcW w:w="1140" w:type="dxa"/>
            <w:vMerge w:val="continue"/>
            <w:vAlign w:val="center"/>
          </w:tcPr>
          <w:p w14:paraId="492902F4">
            <w:pPr>
              <w:pStyle w:val="33"/>
              <w:rPr>
                <w:rFonts w:eastAsia="等线" w:cs="Times New Roman"/>
                <w:color w:val="auto"/>
                <w:szCs w:val="21"/>
              </w:rPr>
            </w:pPr>
          </w:p>
        </w:tc>
        <w:tc>
          <w:tcPr>
            <w:tcW w:w="637" w:type="dxa"/>
            <w:vMerge w:val="continue"/>
            <w:vAlign w:val="center"/>
          </w:tcPr>
          <w:p w14:paraId="4563259B">
            <w:pPr>
              <w:pStyle w:val="33"/>
              <w:rPr>
                <w:rFonts w:eastAsia="等线" w:cs="Times New Roman"/>
                <w:color w:val="auto"/>
                <w:szCs w:val="21"/>
              </w:rPr>
            </w:pPr>
          </w:p>
        </w:tc>
        <w:tc>
          <w:tcPr>
            <w:tcW w:w="637" w:type="dxa"/>
            <w:vMerge w:val="continue"/>
            <w:vAlign w:val="center"/>
          </w:tcPr>
          <w:p w14:paraId="07A6896C">
            <w:pPr>
              <w:pStyle w:val="33"/>
              <w:rPr>
                <w:rFonts w:eastAsia="等线" w:cs="Times New Roman"/>
                <w:color w:val="auto"/>
                <w:szCs w:val="21"/>
              </w:rPr>
            </w:pPr>
          </w:p>
        </w:tc>
      </w:tr>
      <w:tr w14:paraId="1A2E0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6AE7B97A">
            <w:pPr>
              <w:pStyle w:val="33"/>
              <w:rPr>
                <w:color w:val="auto"/>
              </w:rPr>
            </w:pPr>
          </w:p>
        </w:tc>
        <w:tc>
          <w:tcPr>
            <w:tcW w:w="1487" w:type="dxa"/>
            <w:vAlign w:val="center"/>
          </w:tcPr>
          <w:p w14:paraId="56C360E6">
            <w:pPr>
              <w:pStyle w:val="33"/>
              <w:rPr>
                <w:color w:val="auto"/>
              </w:rPr>
            </w:pPr>
            <w:r>
              <w:rPr>
                <w:rFonts w:hint="eastAsia"/>
                <w:color w:val="auto"/>
              </w:rPr>
              <w:t>超标倍数</w:t>
            </w:r>
          </w:p>
        </w:tc>
        <w:tc>
          <w:tcPr>
            <w:tcW w:w="1325" w:type="dxa"/>
            <w:vAlign w:val="center"/>
          </w:tcPr>
          <w:p w14:paraId="206940D5">
            <w:pPr>
              <w:pStyle w:val="33"/>
              <w:rPr>
                <w:rFonts w:eastAsia="等线" w:cs="Times New Roman"/>
                <w:color w:val="auto"/>
                <w:szCs w:val="21"/>
              </w:rPr>
            </w:pPr>
          </w:p>
        </w:tc>
        <w:tc>
          <w:tcPr>
            <w:tcW w:w="1925" w:type="dxa"/>
            <w:vAlign w:val="center"/>
          </w:tcPr>
          <w:p w14:paraId="00E8E6BA">
            <w:pPr>
              <w:pStyle w:val="33"/>
              <w:rPr>
                <w:rFonts w:eastAsia="等线" w:cs="Times New Roman"/>
                <w:color w:val="auto"/>
                <w:szCs w:val="21"/>
              </w:rPr>
            </w:pPr>
          </w:p>
        </w:tc>
        <w:tc>
          <w:tcPr>
            <w:tcW w:w="1063" w:type="dxa"/>
            <w:vMerge w:val="continue"/>
            <w:vAlign w:val="center"/>
          </w:tcPr>
          <w:p w14:paraId="01E81BA8">
            <w:pPr>
              <w:pStyle w:val="33"/>
              <w:rPr>
                <w:rFonts w:eastAsia="等线" w:cs="Times New Roman"/>
                <w:color w:val="auto"/>
                <w:szCs w:val="21"/>
              </w:rPr>
            </w:pPr>
          </w:p>
        </w:tc>
        <w:tc>
          <w:tcPr>
            <w:tcW w:w="1140" w:type="dxa"/>
            <w:vMerge w:val="continue"/>
            <w:vAlign w:val="center"/>
          </w:tcPr>
          <w:p w14:paraId="4079A458">
            <w:pPr>
              <w:pStyle w:val="33"/>
              <w:rPr>
                <w:rFonts w:eastAsia="等线" w:cs="Times New Roman"/>
                <w:color w:val="auto"/>
                <w:szCs w:val="21"/>
              </w:rPr>
            </w:pPr>
          </w:p>
        </w:tc>
        <w:tc>
          <w:tcPr>
            <w:tcW w:w="637" w:type="dxa"/>
            <w:vMerge w:val="continue"/>
            <w:vAlign w:val="center"/>
          </w:tcPr>
          <w:p w14:paraId="15A29EAC">
            <w:pPr>
              <w:pStyle w:val="33"/>
              <w:rPr>
                <w:rFonts w:eastAsia="等线" w:cs="Times New Roman"/>
                <w:color w:val="auto"/>
                <w:szCs w:val="21"/>
              </w:rPr>
            </w:pPr>
          </w:p>
        </w:tc>
        <w:tc>
          <w:tcPr>
            <w:tcW w:w="637" w:type="dxa"/>
            <w:vMerge w:val="continue"/>
            <w:vAlign w:val="center"/>
          </w:tcPr>
          <w:p w14:paraId="1AADD76C">
            <w:pPr>
              <w:pStyle w:val="33"/>
              <w:rPr>
                <w:rFonts w:eastAsia="等线" w:cs="Times New Roman"/>
                <w:color w:val="auto"/>
                <w:szCs w:val="21"/>
              </w:rPr>
            </w:pPr>
          </w:p>
        </w:tc>
      </w:tr>
      <w:tr w14:paraId="18B50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71E0DB7C">
            <w:pPr>
              <w:pStyle w:val="33"/>
              <w:rPr>
                <w:color w:val="auto"/>
              </w:rPr>
            </w:pPr>
            <w:r>
              <w:rPr>
                <w:rFonts w:hint="eastAsia"/>
                <w:color w:val="auto"/>
              </w:rPr>
              <w:t>砷</w:t>
            </w:r>
          </w:p>
        </w:tc>
        <w:tc>
          <w:tcPr>
            <w:tcW w:w="1487" w:type="dxa"/>
            <w:vAlign w:val="center"/>
          </w:tcPr>
          <w:p w14:paraId="5A51144A">
            <w:pPr>
              <w:pStyle w:val="33"/>
              <w:rPr>
                <w:color w:val="auto"/>
              </w:rPr>
            </w:pPr>
            <w:r>
              <w:rPr>
                <w:rFonts w:hint="eastAsia"/>
                <w:color w:val="auto"/>
              </w:rPr>
              <w:t>监测值</w:t>
            </w:r>
          </w:p>
        </w:tc>
        <w:tc>
          <w:tcPr>
            <w:tcW w:w="1325" w:type="dxa"/>
            <w:vAlign w:val="center"/>
          </w:tcPr>
          <w:p w14:paraId="7384389E">
            <w:pPr>
              <w:pStyle w:val="33"/>
              <w:rPr>
                <w:rFonts w:eastAsia="等线" w:cs="Times New Roman"/>
                <w:color w:val="auto"/>
                <w:szCs w:val="21"/>
              </w:rPr>
            </w:pPr>
          </w:p>
        </w:tc>
        <w:tc>
          <w:tcPr>
            <w:tcW w:w="1925" w:type="dxa"/>
            <w:vAlign w:val="center"/>
          </w:tcPr>
          <w:p w14:paraId="327CE828">
            <w:pPr>
              <w:pStyle w:val="33"/>
              <w:rPr>
                <w:rFonts w:eastAsia="等线" w:cs="Times New Roman"/>
                <w:color w:val="auto"/>
                <w:szCs w:val="21"/>
              </w:rPr>
            </w:pPr>
          </w:p>
        </w:tc>
        <w:tc>
          <w:tcPr>
            <w:tcW w:w="1063" w:type="dxa"/>
            <w:vMerge w:val="restart"/>
            <w:vAlign w:val="center"/>
          </w:tcPr>
          <w:p w14:paraId="7CE30997">
            <w:pPr>
              <w:pStyle w:val="33"/>
              <w:rPr>
                <w:rFonts w:eastAsia="等线" w:cs="Times New Roman"/>
                <w:color w:val="auto"/>
                <w:szCs w:val="21"/>
              </w:rPr>
            </w:pPr>
          </w:p>
        </w:tc>
        <w:tc>
          <w:tcPr>
            <w:tcW w:w="1140" w:type="dxa"/>
            <w:vMerge w:val="restart"/>
            <w:vAlign w:val="center"/>
          </w:tcPr>
          <w:p w14:paraId="2CF3D580">
            <w:pPr>
              <w:pStyle w:val="33"/>
              <w:rPr>
                <w:rFonts w:eastAsia="等线" w:cs="Times New Roman"/>
                <w:color w:val="auto"/>
                <w:szCs w:val="21"/>
              </w:rPr>
            </w:pPr>
          </w:p>
        </w:tc>
        <w:tc>
          <w:tcPr>
            <w:tcW w:w="637" w:type="dxa"/>
            <w:vMerge w:val="restart"/>
            <w:vAlign w:val="center"/>
          </w:tcPr>
          <w:p w14:paraId="21525BDB">
            <w:pPr>
              <w:pStyle w:val="33"/>
              <w:rPr>
                <w:rFonts w:eastAsia="等线" w:cs="Times New Roman"/>
                <w:color w:val="auto"/>
                <w:szCs w:val="21"/>
              </w:rPr>
            </w:pPr>
          </w:p>
        </w:tc>
        <w:tc>
          <w:tcPr>
            <w:tcW w:w="637" w:type="dxa"/>
            <w:vMerge w:val="restart"/>
            <w:vAlign w:val="center"/>
          </w:tcPr>
          <w:p w14:paraId="6F9A978E">
            <w:pPr>
              <w:pStyle w:val="33"/>
              <w:rPr>
                <w:rFonts w:eastAsia="等线" w:cs="Times New Roman"/>
                <w:color w:val="auto"/>
                <w:szCs w:val="21"/>
              </w:rPr>
            </w:pPr>
          </w:p>
        </w:tc>
      </w:tr>
      <w:tr w14:paraId="09F27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7421DDE0">
            <w:pPr>
              <w:pStyle w:val="33"/>
              <w:rPr>
                <w:color w:val="auto"/>
              </w:rPr>
            </w:pPr>
          </w:p>
        </w:tc>
        <w:tc>
          <w:tcPr>
            <w:tcW w:w="1487" w:type="dxa"/>
            <w:vAlign w:val="center"/>
          </w:tcPr>
          <w:p w14:paraId="5249C12D">
            <w:pPr>
              <w:pStyle w:val="33"/>
              <w:rPr>
                <w:color w:val="auto"/>
              </w:rPr>
            </w:pPr>
            <w:r>
              <w:rPr>
                <w:rFonts w:hint="eastAsia"/>
                <w:color w:val="auto"/>
              </w:rPr>
              <w:t>筛选值</w:t>
            </w:r>
          </w:p>
        </w:tc>
        <w:tc>
          <w:tcPr>
            <w:tcW w:w="1325" w:type="dxa"/>
            <w:vAlign w:val="center"/>
          </w:tcPr>
          <w:p w14:paraId="7284BD47">
            <w:pPr>
              <w:pStyle w:val="33"/>
              <w:rPr>
                <w:rFonts w:eastAsia="等线" w:cs="Times New Roman"/>
                <w:color w:val="auto"/>
                <w:szCs w:val="21"/>
              </w:rPr>
            </w:pPr>
          </w:p>
        </w:tc>
        <w:tc>
          <w:tcPr>
            <w:tcW w:w="1925" w:type="dxa"/>
            <w:vAlign w:val="center"/>
          </w:tcPr>
          <w:p w14:paraId="695E3624">
            <w:pPr>
              <w:pStyle w:val="33"/>
              <w:rPr>
                <w:rFonts w:eastAsia="等线" w:cs="Times New Roman"/>
                <w:color w:val="auto"/>
                <w:szCs w:val="21"/>
              </w:rPr>
            </w:pPr>
          </w:p>
        </w:tc>
        <w:tc>
          <w:tcPr>
            <w:tcW w:w="1063" w:type="dxa"/>
            <w:vMerge w:val="continue"/>
            <w:vAlign w:val="center"/>
          </w:tcPr>
          <w:p w14:paraId="5E4FEBE7">
            <w:pPr>
              <w:pStyle w:val="33"/>
              <w:rPr>
                <w:rFonts w:eastAsia="等线" w:cs="Times New Roman"/>
                <w:color w:val="auto"/>
                <w:szCs w:val="21"/>
              </w:rPr>
            </w:pPr>
          </w:p>
        </w:tc>
        <w:tc>
          <w:tcPr>
            <w:tcW w:w="1140" w:type="dxa"/>
            <w:vMerge w:val="continue"/>
            <w:vAlign w:val="center"/>
          </w:tcPr>
          <w:p w14:paraId="3B19DB2E">
            <w:pPr>
              <w:pStyle w:val="33"/>
              <w:rPr>
                <w:rFonts w:eastAsia="等线" w:cs="Times New Roman"/>
                <w:color w:val="auto"/>
                <w:szCs w:val="21"/>
              </w:rPr>
            </w:pPr>
          </w:p>
        </w:tc>
        <w:tc>
          <w:tcPr>
            <w:tcW w:w="637" w:type="dxa"/>
            <w:vMerge w:val="continue"/>
            <w:vAlign w:val="center"/>
          </w:tcPr>
          <w:p w14:paraId="69FA3A84">
            <w:pPr>
              <w:pStyle w:val="33"/>
              <w:rPr>
                <w:rFonts w:eastAsia="等线" w:cs="Times New Roman"/>
                <w:color w:val="auto"/>
                <w:szCs w:val="21"/>
              </w:rPr>
            </w:pPr>
          </w:p>
        </w:tc>
        <w:tc>
          <w:tcPr>
            <w:tcW w:w="637" w:type="dxa"/>
            <w:vMerge w:val="continue"/>
            <w:vAlign w:val="center"/>
          </w:tcPr>
          <w:p w14:paraId="3FA3CCBE">
            <w:pPr>
              <w:pStyle w:val="33"/>
              <w:rPr>
                <w:rFonts w:eastAsia="等线" w:cs="Times New Roman"/>
                <w:color w:val="auto"/>
                <w:szCs w:val="21"/>
              </w:rPr>
            </w:pPr>
          </w:p>
        </w:tc>
      </w:tr>
      <w:tr w14:paraId="3FB1A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362653DA">
            <w:pPr>
              <w:pStyle w:val="33"/>
              <w:rPr>
                <w:color w:val="auto"/>
              </w:rPr>
            </w:pPr>
          </w:p>
        </w:tc>
        <w:tc>
          <w:tcPr>
            <w:tcW w:w="1487" w:type="dxa"/>
            <w:vAlign w:val="center"/>
          </w:tcPr>
          <w:p w14:paraId="776BAA15">
            <w:pPr>
              <w:pStyle w:val="33"/>
              <w:rPr>
                <w:color w:val="auto"/>
              </w:rPr>
            </w:pPr>
            <w:r>
              <w:rPr>
                <w:rFonts w:hint="eastAsia"/>
                <w:color w:val="auto"/>
              </w:rPr>
              <w:t>标准指数</w:t>
            </w:r>
          </w:p>
        </w:tc>
        <w:tc>
          <w:tcPr>
            <w:tcW w:w="1325" w:type="dxa"/>
            <w:vAlign w:val="center"/>
          </w:tcPr>
          <w:p w14:paraId="7868EA4D">
            <w:pPr>
              <w:pStyle w:val="33"/>
              <w:rPr>
                <w:rFonts w:eastAsia="等线" w:cs="Times New Roman"/>
                <w:color w:val="auto"/>
                <w:szCs w:val="21"/>
              </w:rPr>
            </w:pPr>
          </w:p>
        </w:tc>
        <w:tc>
          <w:tcPr>
            <w:tcW w:w="1925" w:type="dxa"/>
            <w:vAlign w:val="center"/>
          </w:tcPr>
          <w:p w14:paraId="6BF183C8">
            <w:pPr>
              <w:pStyle w:val="33"/>
              <w:rPr>
                <w:rFonts w:eastAsia="等线" w:cs="Times New Roman"/>
                <w:color w:val="auto"/>
                <w:szCs w:val="21"/>
              </w:rPr>
            </w:pPr>
          </w:p>
        </w:tc>
        <w:tc>
          <w:tcPr>
            <w:tcW w:w="1063" w:type="dxa"/>
            <w:vMerge w:val="continue"/>
            <w:vAlign w:val="center"/>
          </w:tcPr>
          <w:p w14:paraId="2B597A95">
            <w:pPr>
              <w:pStyle w:val="33"/>
              <w:rPr>
                <w:rFonts w:eastAsia="等线" w:cs="Times New Roman"/>
                <w:color w:val="auto"/>
                <w:szCs w:val="21"/>
              </w:rPr>
            </w:pPr>
          </w:p>
        </w:tc>
        <w:tc>
          <w:tcPr>
            <w:tcW w:w="1140" w:type="dxa"/>
            <w:vMerge w:val="continue"/>
            <w:vAlign w:val="center"/>
          </w:tcPr>
          <w:p w14:paraId="22C06166">
            <w:pPr>
              <w:pStyle w:val="33"/>
              <w:rPr>
                <w:rFonts w:eastAsia="等线" w:cs="Times New Roman"/>
                <w:color w:val="auto"/>
                <w:szCs w:val="21"/>
              </w:rPr>
            </w:pPr>
          </w:p>
        </w:tc>
        <w:tc>
          <w:tcPr>
            <w:tcW w:w="637" w:type="dxa"/>
            <w:vMerge w:val="continue"/>
            <w:vAlign w:val="center"/>
          </w:tcPr>
          <w:p w14:paraId="49655388">
            <w:pPr>
              <w:pStyle w:val="33"/>
              <w:rPr>
                <w:rFonts w:eastAsia="等线" w:cs="Times New Roman"/>
                <w:color w:val="auto"/>
                <w:szCs w:val="21"/>
              </w:rPr>
            </w:pPr>
          </w:p>
        </w:tc>
        <w:tc>
          <w:tcPr>
            <w:tcW w:w="637" w:type="dxa"/>
            <w:vMerge w:val="continue"/>
            <w:vAlign w:val="center"/>
          </w:tcPr>
          <w:p w14:paraId="4F425B34">
            <w:pPr>
              <w:pStyle w:val="33"/>
              <w:rPr>
                <w:rFonts w:eastAsia="等线" w:cs="Times New Roman"/>
                <w:color w:val="auto"/>
                <w:szCs w:val="21"/>
              </w:rPr>
            </w:pPr>
          </w:p>
        </w:tc>
      </w:tr>
      <w:tr w14:paraId="2AB6A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DA2519E">
            <w:pPr>
              <w:pStyle w:val="33"/>
              <w:rPr>
                <w:color w:val="auto"/>
              </w:rPr>
            </w:pPr>
          </w:p>
        </w:tc>
        <w:tc>
          <w:tcPr>
            <w:tcW w:w="1487" w:type="dxa"/>
            <w:vAlign w:val="center"/>
          </w:tcPr>
          <w:p w14:paraId="7721EBC4">
            <w:pPr>
              <w:pStyle w:val="33"/>
              <w:rPr>
                <w:color w:val="auto"/>
              </w:rPr>
            </w:pPr>
            <w:r>
              <w:rPr>
                <w:rFonts w:hint="eastAsia"/>
                <w:color w:val="auto"/>
              </w:rPr>
              <w:t>超标倍数</w:t>
            </w:r>
          </w:p>
        </w:tc>
        <w:tc>
          <w:tcPr>
            <w:tcW w:w="1325" w:type="dxa"/>
            <w:vAlign w:val="center"/>
          </w:tcPr>
          <w:p w14:paraId="6B5EC872">
            <w:pPr>
              <w:pStyle w:val="33"/>
              <w:rPr>
                <w:rFonts w:eastAsia="等线" w:cs="Times New Roman"/>
                <w:color w:val="auto"/>
                <w:szCs w:val="21"/>
              </w:rPr>
            </w:pPr>
          </w:p>
        </w:tc>
        <w:tc>
          <w:tcPr>
            <w:tcW w:w="1925" w:type="dxa"/>
            <w:vAlign w:val="center"/>
          </w:tcPr>
          <w:p w14:paraId="2E3C9C33">
            <w:pPr>
              <w:pStyle w:val="33"/>
              <w:rPr>
                <w:rFonts w:eastAsia="等线" w:cs="Times New Roman"/>
                <w:color w:val="auto"/>
                <w:szCs w:val="21"/>
              </w:rPr>
            </w:pPr>
          </w:p>
        </w:tc>
        <w:tc>
          <w:tcPr>
            <w:tcW w:w="1063" w:type="dxa"/>
            <w:vMerge w:val="continue"/>
            <w:vAlign w:val="center"/>
          </w:tcPr>
          <w:p w14:paraId="664121D3">
            <w:pPr>
              <w:pStyle w:val="33"/>
              <w:rPr>
                <w:rFonts w:eastAsia="等线" w:cs="Times New Roman"/>
                <w:color w:val="auto"/>
                <w:szCs w:val="21"/>
              </w:rPr>
            </w:pPr>
          </w:p>
        </w:tc>
        <w:tc>
          <w:tcPr>
            <w:tcW w:w="1140" w:type="dxa"/>
            <w:vMerge w:val="continue"/>
            <w:vAlign w:val="center"/>
          </w:tcPr>
          <w:p w14:paraId="6BBB7890">
            <w:pPr>
              <w:pStyle w:val="33"/>
              <w:rPr>
                <w:rFonts w:eastAsia="等线" w:cs="Times New Roman"/>
                <w:color w:val="auto"/>
                <w:szCs w:val="21"/>
              </w:rPr>
            </w:pPr>
          </w:p>
        </w:tc>
        <w:tc>
          <w:tcPr>
            <w:tcW w:w="637" w:type="dxa"/>
            <w:vMerge w:val="continue"/>
            <w:vAlign w:val="center"/>
          </w:tcPr>
          <w:p w14:paraId="120D0F25">
            <w:pPr>
              <w:pStyle w:val="33"/>
              <w:rPr>
                <w:rFonts w:eastAsia="等线" w:cs="Times New Roman"/>
                <w:color w:val="auto"/>
                <w:szCs w:val="21"/>
              </w:rPr>
            </w:pPr>
          </w:p>
        </w:tc>
        <w:tc>
          <w:tcPr>
            <w:tcW w:w="637" w:type="dxa"/>
            <w:vMerge w:val="continue"/>
            <w:vAlign w:val="center"/>
          </w:tcPr>
          <w:p w14:paraId="1A0AC866">
            <w:pPr>
              <w:pStyle w:val="33"/>
              <w:rPr>
                <w:rFonts w:eastAsia="等线" w:cs="Times New Roman"/>
                <w:color w:val="auto"/>
                <w:szCs w:val="21"/>
              </w:rPr>
            </w:pPr>
          </w:p>
        </w:tc>
      </w:tr>
      <w:tr w14:paraId="429CA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3D6DD496">
            <w:pPr>
              <w:pStyle w:val="33"/>
              <w:rPr>
                <w:color w:val="auto"/>
              </w:rPr>
            </w:pPr>
            <w:r>
              <w:rPr>
                <w:rFonts w:hint="eastAsia"/>
                <w:color w:val="auto"/>
              </w:rPr>
              <w:t>铅</w:t>
            </w:r>
          </w:p>
        </w:tc>
        <w:tc>
          <w:tcPr>
            <w:tcW w:w="1487" w:type="dxa"/>
            <w:vAlign w:val="center"/>
          </w:tcPr>
          <w:p w14:paraId="39814A05">
            <w:pPr>
              <w:pStyle w:val="33"/>
              <w:rPr>
                <w:color w:val="auto"/>
              </w:rPr>
            </w:pPr>
            <w:r>
              <w:rPr>
                <w:rFonts w:hint="eastAsia"/>
                <w:color w:val="auto"/>
              </w:rPr>
              <w:t>监测值</w:t>
            </w:r>
          </w:p>
        </w:tc>
        <w:tc>
          <w:tcPr>
            <w:tcW w:w="1325" w:type="dxa"/>
            <w:vAlign w:val="center"/>
          </w:tcPr>
          <w:p w14:paraId="30017F41">
            <w:pPr>
              <w:pStyle w:val="33"/>
              <w:rPr>
                <w:rFonts w:eastAsia="等线" w:cs="Times New Roman"/>
                <w:color w:val="auto"/>
                <w:szCs w:val="21"/>
              </w:rPr>
            </w:pPr>
          </w:p>
        </w:tc>
        <w:tc>
          <w:tcPr>
            <w:tcW w:w="1925" w:type="dxa"/>
            <w:vAlign w:val="center"/>
          </w:tcPr>
          <w:p w14:paraId="447BA77F">
            <w:pPr>
              <w:pStyle w:val="33"/>
              <w:rPr>
                <w:rFonts w:eastAsia="等线" w:cs="Times New Roman"/>
                <w:color w:val="auto"/>
                <w:szCs w:val="21"/>
              </w:rPr>
            </w:pPr>
          </w:p>
        </w:tc>
        <w:tc>
          <w:tcPr>
            <w:tcW w:w="1063" w:type="dxa"/>
            <w:vMerge w:val="restart"/>
            <w:vAlign w:val="center"/>
          </w:tcPr>
          <w:p w14:paraId="56D58688">
            <w:pPr>
              <w:pStyle w:val="33"/>
              <w:rPr>
                <w:rFonts w:eastAsia="等线" w:cs="Times New Roman"/>
                <w:color w:val="auto"/>
                <w:szCs w:val="21"/>
              </w:rPr>
            </w:pPr>
          </w:p>
        </w:tc>
        <w:tc>
          <w:tcPr>
            <w:tcW w:w="1140" w:type="dxa"/>
            <w:vMerge w:val="restart"/>
            <w:vAlign w:val="center"/>
          </w:tcPr>
          <w:p w14:paraId="5896EF9D">
            <w:pPr>
              <w:pStyle w:val="33"/>
              <w:rPr>
                <w:rFonts w:eastAsia="等线" w:cs="Times New Roman"/>
                <w:color w:val="auto"/>
                <w:szCs w:val="21"/>
              </w:rPr>
            </w:pPr>
          </w:p>
        </w:tc>
        <w:tc>
          <w:tcPr>
            <w:tcW w:w="637" w:type="dxa"/>
            <w:vMerge w:val="restart"/>
            <w:vAlign w:val="center"/>
          </w:tcPr>
          <w:p w14:paraId="31733C91">
            <w:pPr>
              <w:pStyle w:val="33"/>
              <w:rPr>
                <w:rFonts w:eastAsia="等线" w:cs="Times New Roman"/>
                <w:color w:val="auto"/>
                <w:szCs w:val="21"/>
              </w:rPr>
            </w:pPr>
          </w:p>
        </w:tc>
        <w:tc>
          <w:tcPr>
            <w:tcW w:w="637" w:type="dxa"/>
            <w:vMerge w:val="restart"/>
            <w:vAlign w:val="center"/>
          </w:tcPr>
          <w:p w14:paraId="2CE75B0C">
            <w:pPr>
              <w:pStyle w:val="33"/>
              <w:rPr>
                <w:rFonts w:eastAsia="等线" w:cs="Times New Roman"/>
                <w:color w:val="auto"/>
                <w:szCs w:val="21"/>
              </w:rPr>
            </w:pPr>
          </w:p>
        </w:tc>
      </w:tr>
      <w:tr w14:paraId="64E88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0E289680">
            <w:pPr>
              <w:pStyle w:val="33"/>
              <w:rPr>
                <w:color w:val="auto"/>
              </w:rPr>
            </w:pPr>
          </w:p>
        </w:tc>
        <w:tc>
          <w:tcPr>
            <w:tcW w:w="1487" w:type="dxa"/>
            <w:vAlign w:val="center"/>
          </w:tcPr>
          <w:p w14:paraId="46225F60">
            <w:pPr>
              <w:pStyle w:val="33"/>
              <w:rPr>
                <w:color w:val="auto"/>
              </w:rPr>
            </w:pPr>
            <w:r>
              <w:rPr>
                <w:rFonts w:hint="eastAsia"/>
                <w:color w:val="auto"/>
              </w:rPr>
              <w:t>筛选值</w:t>
            </w:r>
          </w:p>
        </w:tc>
        <w:tc>
          <w:tcPr>
            <w:tcW w:w="1325" w:type="dxa"/>
            <w:vAlign w:val="center"/>
          </w:tcPr>
          <w:p w14:paraId="2FB1CC87">
            <w:pPr>
              <w:pStyle w:val="33"/>
              <w:rPr>
                <w:rFonts w:eastAsia="等线" w:cs="Times New Roman"/>
                <w:color w:val="auto"/>
                <w:szCs w:val="21"/>
              </w:rPr>
            </w:pPr>
          </w:p>
        </w:tc>
        <w:tc>
          <w:tcPr>
            <w:tcW w:w="1925" w:type="dxa"/>
            <w:vAlign w:val="center"/>
          </w:tcPr>
          <w:p w14:paraId="53002B09">
            <w:pPr>
              <w:pStyle w:val="33"/>
              <w:rPr>
                <w:rFonts w:eastAsia="等线" w:cs="Times New Roman"/>
                <w:color w:val="auto"/>
                <w:szCs w:val="21"/>
              </w:rPr>
            </w:pPr>
          </w:p>
        </w:tc>
        <w:tc>
          <w:tcPr>
            <w:tcW w:w="1063" w:type="dxa"/>
            <w:vMerge w:val="continue"/>
            <w:vAlign w:val="center"/>
          </w:tcPr>
          <w:p w14:paraId="487FE9DC">
            <w:pPr>
              <w:pStyle w:val="33"/>
              <w:rPr>
                <w:rFonts w:eastAsia="等线" w:cs="Times New Roman"/>
                <w:color w:val="auto"/>
                <w:szCs w:val="21"/>
              </w:rPr>
            </w:pPr>
          </w:p>
        </w:tc>
        <w:tc>
          <w:tcPr>
            <w:tcW w:w="1140" w:type="dxa"/>
            <w:vMerge w:val="continue"/>
            <w:vAlign w:val="center"/>
          </w:tcPr>
          <w:p w14:paraId="6E3B84D8">
            <w:pPr>
              <w:pStyle w:val="33"/>
              <w:rPr>
                <w:rFonts w:eastAsia="等线" w:cs="Times New Roman"/>
                <w:color w:val="auto"/>
                <w:szCs w:val="21"/>
              </w:rPr>
            </w:pPr>
          </w:p>
        </w:tc>
        <w:tc>
          <w:tcPr>
            <w:tcW w:w="637" w:type="dxa"/>
            <w:vMerge w:val="continue"/>
            <w:vAlign w:val="center"/>
          </w:tcPr>
          <w:p w14:paraId="7C645032">
            <w:pPr>
              <w:pStyle w:val="33"/>
              <w:rPr>
                <w:rFonts w:eastAsia="等线" w:cs="Times New Roman"/>
                <w:color w:val="auto"/>
                <w:szCs w:val="21"/>
              </w:rPr>
            </w:pPr>
          </w:p>
        </w:tc>
        <w:tc>
          <w:tcPr>
            <w:tcW w:w="637" w:type="dxa"/>
            <w:vMerge w:val="continue"/>
            <w:vAlign w:val="center"/>
          </w:tcPr>
          <w:p w14:paraId="2F658693">
            <w:pPr>
              <w:pStyle w:val="33"/>
              <w:rPr>
                <w:rFonts w:eastAsia="等线" w:cs="Times New Roman"/>
                <w:color w:val="auto"/>
                <w:szCs w:val="21"/>
              </w:rPr>
            </w:pPr>
          </w:p>
        </w:tc>
      </w:tr>
      <w:tr w14:paraId="1283F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483695EC">
            <w:pPr>
              <w:pStyle w:val="33"/>
              <w:rPr>
                <w:color w:val="auto"/>
              </w:rPr>
            </w:pPr>
          </w:p>
        </w:tc>
        <w:tc>
          <w:tcPr>
            <w:tcW w:w="1487" w:type="dxa"/>
            <w:vAlign w:val="center"/>
          </w:tcPr>
          <w:p w14:paraId="7122483D">
            <w:pPr>
              <w:pStyle w:val="33"/>
              <w:rPr>
                <w:color w:val="auto"/>
              </w:rPr>
            </w:pPr>
            <w:r>
              <w:rPr>
                <w:rFonts w:hint="eastAsia"/>
                <w:color w:val="auto"/>
              </w:rPr>
              <w:t>标准指数</w:t>
            </w:r>
          </w:p>
        </w:tc>
        <w:tc>
          <w:tcPr>
            <w:tcW w:w="1325" w:type="dxa"/>
            <w:vAlign w:val="center"/>
          </w:tcPr>
          <w:p w14:paraId="4B3A2D44">
            <w:pPr>
              <w:pStyle w:val="33"/>
              <w:rPr>
                <w:rFonts w:eastAsia="等线" w:cs="Times New Roman"/>
                <w:color w:val="auto"/>
                <w:szCs w:val="21"/>
              </w:rPr>
            </w:pPr>
          </w:p>
        </w:tc>
        <w:tc>
          <w:tcPr>
            <w:tcW w:w="1925" w:type="dxa"/>
            <w:vAlign w:val="center"/>
          </w:tcPr>
          <w:p w14:paraId="11E77321">
            <w:pPr>
              <w:pStyle w:val="33"/>
              <w:rPr>
                <w:rFonts w:eastAsia="等线" w:cs="Times New Roman"/>
                <w:color w:val="auto"/>
                <w:szCs w:val="21"/>
              </w:rPr>
            </w:pPr>
          </w:p>
        </w:tc>
        <w:tc>
          <w:tcPr>
            <w:tcW w:w="1063" w:type="dxa"/>
            <w:vMerge w:val="continue"/>
            <w:vAlign w:val="center"/>
          </w:tcPr>
          <w:p w14:paraId="77388244">
            <w:pPr>
              <w:pStyle w:val="33"/>
              <w:rPr>
                <w:rFonts w:eastAsia="等线" w:cs="Times New Roman"/>
                <w:color w:val="auto"/>
                <w:szCs w:val="21"/>
              </w:rPr>
            </w:pPr>
          </w:p>
        </w:tc>
        <w:tc>
          <w:tcPr>
            <w:tcW w:w="1140" w:type="dxa"/>
            <w:vMerge w:val="continue"/>
            <w:vAlign w:val="center"/>
          </w:tcPr>
          <w:p w14:paraId="4DEA5D45">
            <w:pPr>
              <w:pStyle w:val="33"/>
              <w:rPr>
                <w:rFonts w:eastAsia="等线" w:cs="Times New Roman"/>
                <w:color w:val="auto"/>
                <w:szCs w:val="21"/>
              </w:rPr>
            </w:pPr>
          </w:p>
        </w:tc>
        <w:tc>
          <w:tcPr>
            <w:tcW w:w="637" w:type="dxa"/>
            <w:vMerge w:val="continue"/>
            <w:vAlign w:val="center"/>
          </w:tcPr>
          <w:p w14:paraId="3308EF91">
            <w:pPr>
              <w:pStyle w:val="33"/>
              <w:rPr>
                <w:rFonts w:eastAsia="等线" w:cs="Times New Roman"/>
                <w:color w:val="auto"/>
                <w:szCs w:val="21"/>
              </w:rPr>
            </w:pPr>
          </w:p>
        </w:tc>
        <w:tc>
          <w:tcPr>
            <w:tcW w:w="637" w:type="dxa"/>
            <w:vMerge w:val="continue"/>
            <w:vAlign w:val="center"/>
          </w:tcPr>
          <w:p w14:paraId="78DB5CCC">
            <w:pPr>
              <w:pStyle w:val="33"/>
              <w:rPr>
                <w:rFonts w:eastAsia="等线" w:cs="Times New Roman"/>
                <w:color w:val="auto"/>
                <w:szCs w:val="21"/>
              </w:rPr>
            </w:pPr>
          </w:p>
        </w:tc>
      </w:tr>
      <w:tr w14:paraId="2D1AB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6BAC2139">
            <w:pPr>
              <w:pStyle w:val="33"/>
              <w:rPr>
                <w:color w:val="auto"/>
              </w:rPr>
            </w:pPr>
          </w:p>
        </w:tc>
        <w:tc>
          <w:tcPr>
            <w:tcW w:w="1487" w:type="dxa"/>
            <w:vAlign w:val="center"/>
          </w:tcPr>
          <w:p w14:paraId="4583740E">
            <w:pPr>
              <w:pStyle w:val="33"/>
              <w:rPr>
                <w:color w:val="auto"/>
              </w:rPr>
            </w:pPr>
            <w:r>
              <w:rPr>
                <w:rFonts w:hint="eastAsia"/>
                <w:color w:val="auto"/>
              </w:rPr>
              <w:t>超标倍数</w:t>
            </w:r>
          </w:p>
        </w:tc>
        <w:tc>
          <w:tcPr>
            <w:tcW w:w="1325" w:type="dxa"/>
            <w:vAlign w:val="center"/>
          </w:tcPr>
          <w:p w14:paraId="5F0809BC">
            <w:pPr>
              <w:pStyle w:val="33"/>
              <w:rPr>
                <w:rFonts w:eastAsia="等线" w:cs="Times New Roman"/>
                <w:color w:val="auto"/>
                <w:szCs w:val="21"/>
              </w:rPr>
            </w:pPr>
          </w:p>
        </w:tc>
        <w:tc>
          <w:tcPr>
            <w:tcW w:w="1925" w:type="dxa"/>
            <w:vAlign w:val="center"/>
          </w:tcPr>
          <w:p w14:paraId="526A6A88">
            <w:pPr>
              <w:pStyle w:val="33"/>
              <w:rPr>
                <w:rFonts w:eastAsia="等线" w:cs="Times New Roman"/>
                <w:color w:val="auto"/>
                <w:szCs w:val="21"/>
              </w:rPr>
            </w:pPr>
          </w:p>
        </w:tc>
        <w:tc>
          <w:tcPr>
            <w:tcW w:w="1063" w:type="dxa"/>
            <w:vMerge w:val="continue"/>
            <w:vAlign w:val="center"/>
          </w:tcPr>
          <w:p w14:paraId="5785B933">
            <w:pPr>
              <w:pStyle w:val="33"/>
              <w:rPr>
                <w:rFonts w:eastAsia="等线" w:cs="Times New Roman"/>
                <w:color w:val="auto"/>
                <w:szCs w:val="21"/>
              </w:rPr>
            </w:pPr>
          </w:p>
        </w:tc>
        <w:tc>
          <w:tcPr>
            <w:tcW w:w="1140" w:type="dxa"/>
            <w:vMerge w:val="continue"/>
            <w:vAlign w:val="center"/>
          </w:tcPr>
          <w:p w14:paraId="401EB28B">
            <w:pPr>
              <w:pStyle w:val="33"/>
              <w:rPr>
                <w:rFonts w:eastAsia="等线" w:cs="Times New Roman"/>
                <w:color w:val="auto"/>
                <w:szCs w:val="21"/>
              </w:rPr>
            </w:pPr>
          </w:p>
        </w:tc>
        <w:tc>
          <w:tcPr>
            <w:tcW w:w="637" w:type="dxa"/>
            <w:vMerge w:val="continue"/>
            <w:vAlign w:val="center"/>
          </w:tcPr>
          <w:p w14:paraId="74B4503D">
            <w:pPr>
              <w:pStyle w:val="33"/>
              <w:rPr>
                <w:rFonts w:eastAsia="等线" w:cs="Times New Roman"/>
                <w:color w:val="auto"/>
                <w:szCs w:val="21"/>
              </w:rPr>
            </w:pPr>
          </w:p>
        </w:tc>
        <w:tc>
          <w:tcPr>
            <w:tcW w:w="637" w:type="dxa"/>
            <w:vMerge w:val="continue"/>
            <w:vAlign w:val="center"/>
          </w:tcPr>
          <w:p w14:paraId="44773AE2">
            <w:pPr>
              <w:pStyle w:val="33"/>
              <w:rPr>
                <w:rFonts w:eastAsia="等线" w:cs="Times New Roman"/>
                <w:color w:val="auto"/>
                <w:szCs w:val="21"/>
              </w:rPr>
            </w:pPr>
          </w:p>
        </w:tc>
      </w:tr>
      <w:tr w14:paraId="3FB3A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756C0F1F">
            <w:pPr>
              <w:pStyle w:val="33"/>
              <w:rPr>
                <w:color w:val="auto"/>
              </w:rPr>
            </w:pPr>
            <w:r>
              <w:rPr>
                <w:rFonts w:hint="eastAsia"/>
                <w:color w:val="auto"/>
              </w:rPr>
              <w:t>镍</w:t>
            </w:r>
          </w:p>
        </w:tc>
        <w:tc>
          <w:tcPr>
            <w:tcW w:w="1487" w:type="dxa"/>
            <w:vAlign w:val="center"/>
          </w:tcPr>
          <w:p w14:paraId="4D8CFED7">
            <w:pPr>
              <w:pStyle w:val="33"/>
              <w:rPr>
                <w:color w:val="auto"/>
              </w:rPr>
            </w:pPr>
            <w:r>
              <w:rPr>
                <w:rFonts w:hint="eastAsia"/>
                <w:color w:val="auto"/>
              </w:rPr>
              <w:t>监测值</w:t>
            </w:r>
          </w:p>
        </w:tc>
        <w:tc>
          <w:tcPr>
            <w:tcW w:w="1325" w:type="dxa"/>
            <w:vAlign w:val="center"/>
          </w:tcPr>
          <w:p w14:paraId="35194B35">
            <w:pPr>
              <w:pStyle w:val="33"/>
              <w:rPr>
                <w:rFonts w:eastAsia="等线" w:cs="Times New Roman"/>
                <w:color w:val="auto"/>
                <w:szCs w:val="21"/>
              </w:rPr>
            </w:pPr>
          </w:p>
        </w:tc>
        <w:tc>
          <w:tcPr>
            <w:tcW w:w="1925" w:type="dxa"/>
            <w:vAlign w:val="center"/>
          </w:tcPr>
          <w:p w14:paraId="26670693">
            <w:pPr>
              <w:pStyle w:val="33"/>
              <w:rPr>
                <w:rFonts w:eastAsia="等线" w:cs="Times New Roman"/>
                <w:color w:val="auto"/>
                <w:szCs w:val="21"/>
              </w:rPr>
            </w:pPr>
          </w:p>
        </w:tc>
        <w:tc>
          <w:tcPr>
            <w:tcW w:w="1063" w:type="dxa"/>
            <w:vMerge w:val="restart"/>
            <w:vAlign w:val="center"/>
          </w:tcPr>
          <w:p w14:paraId="5973F278">
            <w:pPr>
              <w:pStyle w:val="33"/>
              <w:rPr>
                <w:rFonts w:eastAsia="等线" w:cs="Times New Roman"/>
                <w:color w:val="auto"/>
                <w:szCs w:val="21"/>
              </w:rPr>
            </w:pPr>
          </w:p>
        </w:tc>
        <w:tc>
          <w:tcPr>
            <w:tcW w:w="1140" w:type="dxa"/>
            <w:vMerge w:val="restart"/>
            <w:vAlign w:val="center"/>
          </w:tcPr>
          <w:p w14:paraId="5029C0DB">
            <w:pPr>
              <w:pStyle w:val="33"/>
              <w:rPr>
                <w:rFonts w:eastAsia="等线" w:cs="Times New Roman"/>
                <w:color w:val="auto"/>
                <w:szCs w:val="21"/>
              </w:rPr>
            </w:pPr>
          </w:p>
        </w:tc>
        <w:tc>
          <w:tcPr>
            <w:tcW w:w="637" w:type="dxa"/>
            <w:vMerge w:val="restart"/>
            <w:vAlign w:val="center"/>
          </w:tcPr>
          <w:p w14:paraId="6CD87489">
            <w:pPr>
              <w:pStyle w:val="33"/>
              <w:rPr>
                <w:rFonts w:eastAsia="等线" w:cs="Times New Roman"/>
                <w:color w:val="auto"/>
                <w:szCs w:val="21"/>
              </w:rPr>
            </w:pPr>
          </w:p>
        </w:tc>
        <w:tc>
          <w:tcPr>
            <w:tcW w:w="637" w:type="dxa"/>
            <w:vMerge w:val="restart"/>
            <w:vAlign w:val="center"/>
          </w:tcPr>
          <w:p w14:paraId="46FBA9F3">
            <w:pPr>
              <w:pStyle w:val="33"/>
              <w:rPr>
                <w:rFonts w:eastAsia="等线" w:cs="Times New Roman"/>
                <w:color w:val="auto"/>
                <w:szCs w:val="21"/>
              </w:rPr>
            </w:pPr>
          </w:p>
        </w:tc>
      </w:tr>
      <w:tr w14:paraId="5D28A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69BF3D54">
            <w:pPr>
              <w:pStyle w:val="33"/>
              <w:rPr>
                <w:color w:val="auto"/>
              </w:rPr>
            </w:pPr>
          </w:p>
        </w:tc>
        <w:tc>
          <w:tcPr>
            <w:tcW w:w="1487" w:type="dxa"/>
            <w:vAlign w:val="center"/>
          </w:tcPr>
          <w:p w14:paraId="68A0A9FD">
            <w:pPr>
              <w:pStyle w:val="33"/>
              <w:rPr>
                <w:color w:val="auto"/>
              </w:rPr>
            </w:pPr>
            <w:r>
              <w:rPr>
                <w:rFonts w:hint="eastAsia"/>
                <w:color w:val="auto"/>
              </w:rPr>
              <w:t>筛选值</w:t>
            </w:r>
          </w:p>
        </w:tc>
        <w:tc>
          <w:tcPr>
            <w:tcW w:w="1325" w:type="dxa"/>
            <w:vAlign w:val="center"/>
          </w:tcPr>
          <w:p w14:paraId="76A62D04">
            <w:pPr>
              <w:pStyle w:val="33"/>
              <w:rPr>
                <w:rFonts w:eastAsia="等线" w:cs="Times New Roman"/>
                <w:color w:val="auto"/>
                <w:szCs w:val="21"/>
              </w:rPr>
            </w:pPr>
          </w:p>
        </w:tc>
        <w:tc>
          <w:tcPr>
            <w:tcW w:w="1925" w:type="dxa"/>
            <w:vAlign w:val="center"/>
          </w:tcPr>
          <w:p w14:paraId="6019F80C">
            <w:pPr>
              <w:pStyle w:val="33"/>
              <w:rPr>
                <w:rFonts w:eastAsia="等线" w:cs="Times New Roman"/>
                <w:color w:val="auto"/>
                <w:szCs w:val="21"/>
              </w:rPr>
            </w:pPr>
          </w:p>
        </w:tc>
        <w:tc>
          <w:tcPr>
            <w:tcW w:w="1063" w:type="dxa"/>
            <w:vMerge w:val="continue"/>
            <w:vAlign w:val="center"/>
          </w:tcPr>
          <w:p w14:paraId="5F4DDF77">
            <w:pPr>
              <w:pStyle w:val="33"/>
              <w:rPr>
                <w:rFonts w:eastAsia="等线" w:cs="Times New Roman"/>
                <w:color w:val="auto"/>
                <w:szCs w:val="21"/>
              </w:rPr>
            </w:pPr>
          </w:p>
        </w:tc>
        <w:tc>
          <w:tcPr>
            <w:tcW w:w="1140" w:type="dxa"/>
            <w:vMerge w:val="continue"/>
            <w:vAlign w:val="center"/>
          </w:tcPr>
          <w:p w14:paraId="4982C2C7">
            <w:pPr>
              <w:pStyle w:val="33"/>
              <w:rPr>
                <w:rFonts w:eastAsia="等线" w:cs="Times New Roman"/>
                <w:color w:val="auto"/>
                <w:szCs w:val="21"/>
              </w:rPr>
            </w:pPr>
          </w:p>
        </w:tc>
        <w:tc>
          <w:tcPr>
            <w:tcW w:w="637" w:type="dxa"/>
            <w:vMerge w:val="continue"/>
            <w:vAlign w:val="center"/>
          </w:tcPr>
          <w:p w14:paraId="3877315F">
            <w:pPr>
              <w:pStyle w:val="33"/>
              <w:rPr>
                <w:rFonts w:eastAsia="等线" w:cs="Times New Roman"/>
                <w:color w:val="auto"/>
                <w:szCs w:val="21"/>
              </w:rPr>
            </w:pPr>
          </w:p>
        </w:tc>
        <w:tc>
          <w:tcPr>
            <w:tcW w:w="637" w:type="dxa"/>
            <w:vMerge w:val="continue"/>
            <w:vAlign w:val="center"/>
          </w:tcPr>
          <w:p w14:paraId="4FADE4A0">
            <w:pPr>
              <w:pStyle w:val="33"/>
              <w:rPr>
                <w:rFonts w:eastAsia="等线" w:cs="Times New Roman"/>
                <w:color w:val="auto"/>
                <w:szCs w:val="21"/>
              </w:rPr>
            </w:pPr>
          </w:p>
        </w:tc>
      </w:tr>
      <w:tr w14:paraId="02B1A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7B0888AD">
            <w:pPr>
              <w:pStyle w:val="33"/>
              <w:rPr>
                <w:color w:val="auto"/>
              </w:rPr>
            </w:pPr>
          </w:p>
        </w:tc>
        <w:tc>
          <w:tcPr>
            <w:tcW w:w="1487" w:type="dxa"/>
            <w:vAlign w:val="center"/>
          </w:tcPr>
          <w:p w14:paraId="11704FCF">
            <w:pPr>
              <w:pStyle w:val="33"/>
              <w:rPr>
                <w:color w:val="auto"/>
              </w:rPr>
            </w:pPr>
            <w:r>
              <w:rPr>
                <w:rFonts w:hint="eastAsia"/>
                <w:color w:val="auto"/>
              </w:rPr>
              <w:t>标准指数</w:t>
            </w:r>
          </w:p>
        </w:tc>
        <w:tc>
          <w:tcPr>
            <w:tcW w:w="1325" w:type="dxa"/>
            <w:vAlign w:val="center"/>
          </w:tcPr>
          <w:p w14:paraId="1CB26E86">
            <w:pPr>
              <w:pStyle w:val="33"/>
              <w:rPr>
                <w:rFonts w:eastAsia="等线" w:cs="Times New Roman"/>
                <w:color w:val="auto"/>
                <w:szCs w:val="21"/>
              </w:rPr>
            </w:pPr>
          </w:p>
        </w:tc>
        <w:tc>
          <w:tcPr>
            <w:tcW w:w="1925" w:type="dxa"/>
            <w:vAlign w:val="center"/>
          </w:tcPr>
          <w:p w14:paraId="0446D89C">
            <w:pPr>
              <w:pStyle w:val="33"/>
              <w:rPr>
                <w:rFonts w:eastAsia="等线" w:cs="Times New Roman"/>
                <w:color w:val="auto"/>
                <w:szCs w:val="21"/>
              </w:rPr>
            </w:pPr>
          </w:p>
        </w:tc>
        <w:tc>
          <w:tcPr>
            <w:tcW w:w="1063" w:type="dxa"/>
            <w:vMerge w:val="continue"/>
            <w:vAlign w:val="center"/>
          </w:tcPr>
          <w:p w14:paraId="2CF0888D">
            <w:pPr>
              <w:pStyle w:val="33"/>
              <w:rPr>
                <w:rFonts w:eastAsia="等线" w:cs="Times New Roman"/>
                <w:color w:val="auto"/>
                <w:szCs w:val="21"/>
              </w:rPr>
            </w:pPr>
          </w:p>
        </w:tc>
        <w:tc>
          <w:tcPr>
            <w:tcW w:w="1140" w:type="dxa"/>
            <w:vMerge w:val="continue"/>
            <w:vAlign w:val="center"/>
          </w:tcPr>
          <w:p w14:paraId="22B365B0">
            <w:pPr>
              <w:pStyle w:val="33"/>
              <w:rPr>
                <w:rFonts w:eastAsia="等线" w:cs="Times New Roman"/>
                <w:color w:val="auto"/>
                <w:szCs w:val="21"/>
              </w:rPr>
            </w:pPr>
          </w:p>
        </w:tc>
        <w:tc>
          <w:tcPr>
            <w:tcW w:w="637" w:type="dxa"/>
            <w:vMerge w:val="continue"/>
            <w:vAlign w:val="center"/>
          </w:tcPr>
          <w:p w14:paraId="5750C9F5">
            <w:pPr>
              <w:pStyle w:val="33"/>
              <w:rPr>
                <w:rFonts w:eastAsia="等线" w:cs="Times New Roman"/>
                <w:color w:val="auto"/>
                <w:szCs w:val="21"/>
              </w:rPr>
            </w:pPr>
          </w:p>
        </w:tc>
        <w:tc>
          <w:tcPr>
            <w:tcW w:w="637" w:type="dxa"/>
            <w:vMerge w:val="continue"/>
            <w:vAlign w:val="center"/>
          </w:tcPr>
          <w:p w14:paraId="51609E9C">
            <w:pPr>
              <w:pStyle w:val="33"/>
              <w:rPr>
                <w:rFonts w:eastAsia="等线" w:cs="Times New Roman"/>
                <w:color w:val="auto"/>
                <w:szCs w:val="21"/>
              </w:rPr>
            </w:pPr>
          </w:p>
        </w:tc>
      </w:tr>
      <w:tr w14:paraId="53633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73A110AC">
            <w:pPr>
              <w:pStyle w:val="33"/>
              <w:rPr>
                <w:color w:val="auto"/>
              </w:rPr>
            </w:pPr>
          </w:p>
        </w:tc>
        <w:tc>
          <w:tcPr>
            <w:tcW w:w="1487" w:type="dxa"/>
            <w:vAlign w:val="center"/>
          </w:tcPr>
          <w:p w14:paraId="0509908C">
            <w:pPr>
              <w:pStyle w:val="33"/>
              <w:rPr>
                <w:color w:val="auto"/>
              </w:rPr>
            </w:pPr>
            <w:r>
              <w:rPr>
                <w:rFonts w:hint="eastAsia"/>
                <w:color w:val="auto"/>
              </w:rPr>
              <w:t>超标倍数</w:t>
            </w:r>
          </w:p>
        </w:tc>
        <w:tc>
          <w:tcPr>
            <w:tcW w:w="1325" w:type="dxa"/>
            <w:vAlign w:val="center"/>
          </w:tcPr>
          <w:p w14:paraId="5AFB1137">
            <w:pPr>
              <w:pStyle w:val="33"/>
              <w:rPr>
                <w:rFonts w:eastAsia="等线" w:cs="Times New Roman"/>
                <w:color w:val="auto"/>
                <w:szCs w:val="21"/>
              </w:rPr>
            </w:pPr>
          </w:p>
        </w:tc>
        <w:tc>
          <w:tcPr>
            <w:tcW w:w="1925" w:type="dxa"/>
            <w:vAlign w:val="center"/>
          </w:tcPr>
          <w:p w14:paraId="6CD05A52">
            <w:pPr>
              <w:pStyle w:val="33"/>
              <w:rPr>
                <w:rFonts w:eastAsia="等线" w:cs="Times New Roman"/>
                <w:color w:val="auto"/>
                <w:szCs w:val="21"/>
              </w:rPr>
            </w:pPr>
          </w:p>
        </w:tc>
        <w:tc>
          <w:tcPr>
            <w:tcW w:w="1063" w:type="dxa"/>
            <w:vMerge w:val="continue"/>
            <w:vAlign w:val="center"/>
          </w:tcPr>
          <w:p w14:paraId="1025F8D9">
            <w:pPr>
              <w:pStyle w:val="33"/>
              <w:rPr>
                <w:rFonts w:eastAsia="等线" w:cs="Times New Roman"/>
                <w:color w:val="auto"/>
                <w:szCs w:val="21"/>
              </w:rPr>
            </w:pPr>
          </w:p>
        </w:tc>
        <w:tc>
          <w:tcPr>
            <w:tcW w:w="1140" w:type="dxa"/>
            <w:vMerge w:val="continue"/>
            <w:vAlign w:val="center"/>
          </w:tcPr>
          <w:p w14:paraId="1BC85674">
            <w:pPr>
              <w:pStyle w:val="33"/>
              <w:rPr>
                <w:rFonts w:eastAsia="等线" w:cs="Times New Roman"/>
                <w:color w:val="auto"/>
                <w:szCs w:val="21"/>
              </w:rPr>
            </w:pPr>
          </w:p>
        </w:tc>
        <w:tc>
          <w:tcPr>
            <w:tcW w:w="637" w:type="dxa"/>
            <w:vMerge w:val="continue"/>
            <w:vAlign w:val="center"/>
          </w:tcPr>
          <w:p w14:paraId="6FA96DC4">
            <w:pPr>
              <w:pStyle w:val="33"/>
              <w:rPr>
                <w:rFonts w:eastAsia="等线" w:cs="Times New Roman"/>
                <w:color w:val="auto"/>
                <w:szCs w:val="21"/>
              </w:rPr>
            </w:pPr>
          </w:p>
        </w:tc>
        <w:tc>
          <w:tcPr>
            <w:tcW w:w="637" w:type="dxa"/>
            <w:vMerge w:val="continue"/>
            <w:vAlign w:val="center"/>
          </w:tcPr>
          <w:p w14:paraId="51E4D8EF">
            <w:pPr>
              <w:pStyle w:val="33"/>
              <w:rPr>
                <w:rFonts w:eastAsia="等线" w:cs="Times New Roman"/>
                <w:color w:val="auto"/>
                <w:szCs w:val="21"/>
              </w:rPr>
            </w:pPr>
          </w:p>
        </w:tc>
      </w:tr>
      <w:tr w14:paraId="62FEF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20158453">
            <w:pPr>
              <w:pStyle w:val="33"/>
              <w:rPr>
                <w:color w:val="auto"/>
              </w:rPr>
            </w:pPr>
            <w:r>
              <w:rPr>
                <w:rFonts w:hint="eastAsia"/>
                <w:color w:val="auto"/>
              </w:rPr>
              <w:t>铜</w:t>
            </w:r>
          </w:p>
        </w:tc>
        <w:tc>
          <w:tcPr>
            <w:tcW w:w="1487" w:type="dxa"/>
            <w:vAlign w:val="center"/>
          </w:tcPr>
          <w:p w14:paraId="74822A5B">
            <w:pPr>
              <w:pStyle w:val="33"/>
              <w:rPr>
                <w:color w:val="auto"/>
              </w:rPr>
            </w:pPr>
            <w:r>
              <w:rPr>
                <w:rFonts w:hint="eastAsia"/>
                <w:color w:val="auto"/>
              </w:rPr>
              <w:t>监测值</w:t>
            </w:r>
          </w:p>
        </w:tc>
        <w:tc>
          <w:tcPr>
            <w:tcW w:w="1325" w:type="dxa"/>
            <w:vAlign w:val="center"/>
          </w:tcPr>
          <w:p w14:paraId="409FECD4">
            <w:pPr>
              <w:pStyle w:val="33"/>
              <w:rPr>
                <w:rFonts w:eastAsia="等线" w:cs="Times New Roman"/>
                <w:color w:val="auto"/>
                <w:szCs w:val="21"/>
              </w:rPr>
            </w:pPr>
          </w:p>
        </w:tc>
        <w:tc>
          <w:tcPr>
            <w:tcW w:w="1925" w:type="dxa"/>
            <w:vAlign w:val="center"/>
          </w:tcPr>
          <w:p w14:paraId="524D5FF3">
            <w:pPr>
              <w:pStyle w:val="33"/>
              <w:rPr>
                <w:rFonts w:eastAsia="等线" w:cs="Times New Roman"/>
                <w:color w:val="auto"/>
                <w:szCs w:val="21"/>
              </w:rPr>
            </w:pPr>
          </w:p>
        </w:tc>
        <w:tc>
          <w:tcPr>
            <w:tcW w:w="1063" w:type="dxa"/>
            <w:vMerge w:val="restart"/>
            <w:vAlign w:val="center"/>
          </w:tcPr>
          <w:p w14:paraId="7D66CC6F">
            <w:pPr>
              <w:pStyle w:val="33"/>
              <w:rPr>
                <w:rFonts w:eastAsia="等线" w:cs="Times New Roman"/>
                <w:color w:val="auto"/>
                <w:szCs w:val="21"/>
              </w:rPr>
            </w:pPr>
          </w:p>
        </w:tc>
        <w:tc>
          <w:tcPr>
            <w:tcW w:w="1140" w:type="dxa"/>
            <w:vMerge w:val="restart"/>
            <w:vAlign w:val="center"/>
          </w:tcPr>
          <w:p w14:paraId="6BBDB263">
            <w:pPr>
              <w:pStyle w:val="33"/>
              <w:rPr>
                <w:rFonts w:eastAsia="等线" w:cs="Times New Roman"/>
                <w:color w:val="auto"/>
                <w:szCs w:val="21"/>
              </w:rPr>
            </w:pPr>
          </w:p>
        </w:tc>
        <w:tc>
          <w:tcPr>
            <w:tcW w:w="637" w:type="dxa"/>
            <w:vMerge w:val="restart"/>
            <w:vAlign w:val="center"/>
          </w:tcPr>
          <w:p w14:paraId="677167BD">
            <w:pPr>
              <w:pStyle w:val="33"/>
              <w:rPr>
                <w:rFonts w:eastAsia="等线" w:cs="Times New Roman"/>
                <w:color w:val="auto"/>
                <w:szCs w:val="21"/>
              </w:rPr>
            </w:pPr>
          </w:p>
        </w:tc>
        <w:tc>
          <w:tcPr>
            <w:tcW w:w="637" w:type="dxa"/>
            <w:vMerge w:val="restart"/>
            <w:vAlign w:val="center"/>
          </w:tcPr>
          <w:p w14:paraId="04A5AD88">
            <w:pPr>
              <w:pStyle w:val="33"/>
              <w:rPr>
                <w:rFonts w:eastAsia="等线" w:cs="Times New Roman"/>
                <w:color w:val="auto"/>
                <w:szCs w:val="21"/>
              </w:rPr>
            </w:pPr>
          </w:p>
        </w:tc>
      </w:tr>
      <w:tr w14:paraId="34BB6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6A0F9C3A">
            <w:pPr>
              <w:pStyle w:val="33"/>
              <w:rPr>
                <w:color w:val="auto"/>
              </w:rPr>
            </w:pPr>
          </w:p>
        </w:tc>
        <w:tc>
          <w:tcPr>
            <w:tcW w:w="1487" w:type="dxa"/>
            <w:vAlign w:val="center"/>
          </w:tcPr>
          <w:p w14:paraId="73E94CB6">
            <w:pPr>
              <w:pStyle w:val="33"/>
              <w:rPr>
                <w:color w:val="auto"/>
              </w:rPr>
            </w:pPr>
            <w:r>
              <w:rPr>
                <w:rFonts w:hint="eastAsia"/>
                <w:color w:val="auto"/>
              </w:rPr>
              <w:t>筛选值</w:t>
            </w:r>
          </w:p>
        </w:tc>
        <w:tc>
          <w:tcPr>
            <w:tcW w:w="1325" w:type="dxa"/>
            <w:vAlign w:val="center"/>
          </w:tcPr>
          <w:p w14:paraId="5830D4AE">
            <w:pPr>
              <w:pStyle w:val="33"/>
              <w:rPr>
                <w:rFonts w:eastAsia="等线" w:cs="Times New Roman"/>
                <w:color w:val="auto"/>
                <w:szCs w:val="21"/>
              </w:rPr>
            </w:pPr>
          </w:p>
        </w:tc>
        <w:tc>
          <w:tcPr>
            <w:tcW w:w="1925" w:type="dxa"/>
            <w:vAlign w:val="center"/>
          </w:tcPr>
          <w:p w14:paraId="645C0D12">
            <w:pPr>
              <w:pStyle w:val="33"/>
              <w:rPr>
                <w:rFonts w:eastAsia="等线" w:cs="Times New Roman"/>
                <w:color w:val="auto"/>
                <w:szCs w:val="21"/>
              </w:rPr>
            </w:pPr>
          </w:p>
        </w:tc>
        <w:tc>
          <w:tcPr>
            <w:tcW w:w="1063" w:type="dxa"/>
            <w:vMerge w:val="continue"/>
            <w:vAlign w:val="center"/>
          </w:tcPr>
          <w:p w14:paraId="3A6E6107">
            <w:pPr>
              <w:pStyle w:val="33"/>
              <w:rPr>
                <w:rFonts w:eastAsia="等线" w:cs="Times New Roman"/>
                <w:color w:val="auto"/>
                <w:szCs w:val="21"/>
              </w:rPr>
            </w:pPr>
          </w:p>
        </w:tc>
        <w:tc>
          <w:tcPr>
            <w:tcW w:w="1140" w:type="dxa"/>
            <w:vMerge w:val="continue"/>
            <w:vAlign w:val="center"/>
          </w:tcPr>
          <w:p w14:paraId="378D1C31">
            <w:pPr>
              <w:pStyle w:val="33"/>
              <w:rPr>
                <w:rFonts w:eastAsia="等线" w:cs="Times New Roman"/>
                <w:color w:val="auto"/>
                <w:szCs w:val="21"/>
              </w:rPr>
            </w:pPr>
          </w:p>
        </w:tc>
        <w:tc>
          <w:tcPr>
            <w:tcW w:w="637" w:type="dxa"/>
            <w:vMerge w:val="continue"/>
            <w:vAlign w:val="center"/>
          </w:tcPr>
          <w:p w14:paraId="3B7F44B0">
            <w:pPr>
              <w:pStyle w:val="33"/>
              <w:rPr>
                <w:rFonts w:eastAsia="等线" w:cs="Times New Roman"/>
                <w:color w:val="auto"/>
                <w:szCs w:val="21"/>
              </w:rPr>
            </w:pPr>
          </w:p>
        </w:tc>
        <w:tc>
          <w:tcPr>
            <w:tcW w:w="637" w:type="dxa"/>
            <w:vMerge w:val="continue"/>
            <w:vAlign w:val="center"/>
          </w:tcPr>
          <w:p w14:paraId="1C7AF951">
            <w:pPr>
              <w:pStyle w:val="33"/>
              <w:rPr>
                <w:rFonts w:eastAsia="等线" w:cs="Times New Roman"/>
                <w:color w:val="auto"/>
                <w:szCs w:val="21"/>
              </w:rPr>
            </w:pPr>
          </w:p>
        </w:tc>
      </w:tr>
      <w:tr w14:paraId="1B5B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5" w:hRule="atLeast"/>
        </w:trPr>
        <w:tc>
          <w:tcPr>
            <w:tcW w:w="1072" w:type="dxa"/>
            <w:vMerge w:val="continue"/>
            <w:vAlign w:val="center"/>
          </w:tcPr>
          <w:p w14:paraId="14B9DC49">
            <w:pPr>
              <w:pStyle w:val="33"/>
              <w:rPr>
                <w:color w:val="auto"/>
              </w:rPr>
            </w:pPr>
          </w:p>
        </w:tc>
        <w:tc>
          <w:tcPr>
            <w:tcW w:w="1487" w:type="dxa"/>
            <w:vAlign w:val="center"/>
          </w:tcPr>
          <w:p w14:paraId="394497B7">
            <w:pPr>
              <w:pStyle w:val="33"/>
              <w:rPr>
                <w:color w:val="auto"/>
              </w:rPr>
            </w:pPr>
            <w:r>
              <w:rPr>
                <w:rFonts w:hint="eastAsia"/>
                <w:color w:val="auto"/>
              </w:rPr>
              <w:t>标准指数</w:t>
            </w:r>
          </w:p>
        </w:tc>
        <w:tc>
          <w:tcPr>
            <w:tcW w:w="1325" w:type="dxa"/>
            <w:vAlign w:val="center"/>
          </w:tcPr>
          <w:p w14:paraId="177D0DFE">
            <w:pPr>
              <w:pStyle w:val="33"/>
              <w:rPr>
                <w:rFonts w:eastAsia="等线" w:cs="Times New Roman"/>
                <w:color w:val="auto"/>
                <w:szCs w:val="21"/>
              </w:rPr>
            </w:pPr>
          </w:p>
        </w:tc>
        <w:tc>
          <w:tcPr>
            <w:tcW w:w="1925" w:type="dxa"/>
            <w:vAlign w:val="center"/>
          </w:tcPr>
          <w:p w14:paraId="338E79D4">
            <w:pPr>
              <w:pStyle w:val="33"/>
              <w:rPr>
                <w:rFonts w:eastAsia="等线" w:cs="Times New Roman"/>
                <w:color w:val="auto"/>
                <w:szCs w:val="21"/>
              </w:rPr>
            </w:pPr>
          </w:p>
        </w:tc>
        <w:tc>
          <w:tcPr>
            <w:tcW w:w="1063" w:type="dxa"/>
            <w:vMerge w:val="continue"/>
            <w:vAlign w:val="center"/>
          </w:tcPr>
          <w:p w14:paraId="7BE48876">
            <w:pPr>
              <w:pStyle w:val="33"/>
              <w:rPr>
                <w:rFonts w:eastAsia="等线" w:cs="Times New Roman"/>
                <w:color w:val="auto"/>
                <w:szCs w:val="21"/>
              </w:rPr>
            </w:pPr>
          </w:p>
        </w:tc>
        <w:tc>
          <w:tcPr>
            <w:tcW w:w="1140" w:type="dxa"/>
            <w:vMerge w:val="continue"/>
            <w:vAlign w:val="center"/>
          </w:tcPr>
          <w:p w14:paraId="09541DE4">
            <w:pPr>
              <w:pStyle w:val="33"/>
              <w:rPr>
                <w:rFonts w:eastAsia="等线" w:cs="Times New Roman"/>
                <w:color w:val="auto"/>
                <w:szCs w:val="21"/>
              </w:rPr>
            </w:pPr>
          </w:p>
        </w:tc>
        <w:tc>
          <w:tcPr>
            <w:tcW w:w="637" w:type="dxa"/>
            <w:vMerge w:val="continue"/>
            <w:vAlign w:val="center"/>
          </w:tcPr>
          <w:p w14:paraId="7B0B7397">
            <w:pPr>
              <w:pStyle w:val="33"/>
              <w:rPr>
                <w:rFonts w:eastAsia="等线" w:cs="Times New Roman"/>
                <w:color w:val="auto"/>
                <w:szCs w:val="21"/>
              </w:rPr>
            </w:pPr>
          </w:p>
        </w:tc>
        <w:tc>
          <w:tcPr>
            <w:tcW w:w="637" w:type="dxa"/>
            <w:vMerge w:val="continue"/>
            <w:vAlign w:val="center"/>
          </w:tcPr>
          <w:p w14:paraId="015E57CD">
            <w:pPr>
              <w:pStyle w:val="33"/>
              <w:rPr>
                <w:rFonts w:eastAsia="等线" w:cs="Times New Roman"/>
                <w:color w:val="auto"/>
                <w:szCs w:val="21"/>
              </w:rPr>
            </w:pPr>
          </w:p>
        </w:tc>
      </w:tr>
      <w:tr w14:paraId="75083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04E511F">
            <w:pPr>
              <w:pStyle w:val="33"/>
              <w:rPr>
                <w:color w:val="auto"/>
              </w:rPr>
            </w:pPr>
          </w:p>
        </w:tc>
        <w:tc>
          <w:tcPr>
            <w:tcW w:w="1487" w:type="dxa"/>
            <w:vAlign w:val="center"/>
          </w:tcPr>
          <w:p w14:paraId="278ADF2D">
            <w:pPr>
              <w:pStyle w:val="33"/>
              <w:rPr>
                <w:color w:val="auto"/>
              </w:rPr>
            </w:pPr>
            <w:r>
              <w:rPr>
                <w:rFonts w:hint="eastAsia"/>
                <w:color w:val="auto"/>
              </w:rPr>
              <w:t>超标倍数</w:t>
            </w:r>
          </w:p>
        </w:tc>
        <w:tc>
          <w:tcPr>
            <w:tcW w:w="1325" w:type="dxa"/>
            <w:vAlign w:val="center"/>
          </w:tcPr>
          <w:p w14:paraId="15A0996E">
            <w:pPr>
              <w:pStyle w:val="33"/>
              <w:rPr>
                <w:rFonts w:eastAsia="等线" w:cs="Times New Roman"/>
                <w:color w:val="auto"/>
                <w:szCs w:val="21"/>
              </w:rPr>
            </w:pPr>
          </w:p>
        </w:tc>
        <w:tc>
          <w:tcPr>
            <w:tcW w:w="1925" w:type="dxa"/>
            <w:vAlign w:val="center"/>
          </w:tcPr>
          <w:p w14:paraId="4D2AC526">
            <w:pPr>
              <w:pStyle w:val="33"/>
              <w:rPr>
                <w:rFonts w:eastAsia="等线" w:cs="Times New Roman"/>
                <w:color w:val="auto"/>
                <w:szCs w:val="21"/>
              </w:rPr>
            </w:pPr>
          </w:p>
        </w:tc>
        <w:tc>
          <w:tcPr>
            <w:tcW w:w="1063" w:type="dxa"/>
            <w:vMerge w:val="continue"/>
            <w:vAlign w:val="center"/>
          </w:tcPr>
          <w:p w14:paraId="7CDA1D21">
            <w:pPr>
              <w:pStyle w:val="33"/>
              <w:rPr>
                <w:rFonts w:eastAsia="等线" w:cs="Times New Roman"/>
                <w:color w:val="auto"/>
                <w:szCs w:val="21"/>
              </w:rPr>
            </w:pPr>
          </w:p>
        </w:tc>
        <w:tc>
          <w:tcPr>
            <w:tcW w:w="1140" w:type="dxa"/>
            <w:vMerge w:val="continue"/>
            <w:vAlign w:val="center"/>
          </w:tcPr>
          <w:p w14:paraId="569C66BC">
            <w:pPr>
              <w:pStyle w:val="33"/>
              <w:rPr>
                <w:rFonts w:eastAsia="等线" w:cs="Times New Roman"/>
                <w:color w:val="auto"/>
                <w:szCs w:val="21"/>
              </w:rPr>
            </w:pPr>
          </w:p>
        </w:tc>
        <w:tc>
          <w:tcPr>
            <w:tcW w:w="637" w:type="dxa"/>
            <w:vMerge w:val="continue"/>
            <w:vAlign w:val="center"/>
          </w:tcPr>
          <w:p w14:paraId="491E1BEE">
            <w:pPr>
              <w:pStyle w:val="33"/>
              <w:rPr>
                <w:rFonts w:eastAsia="等线" w:cs="Times New Roman"/>
                <w:color w:val="auto"/>
                <w:szCs w:val="21"/>
              </w:rPr>
            </w:pPr>
          </w:p>
        </w:tc>
        <w:tc>
          <w:tcPr>
            <w:tcW w:w="637" w:type="dxa"/>
            <w:vMerge w:val="continue"/>
            <w:vAlign w:val="center"/>
          </w:tcPr>
          <w:p w14:paraId="232246F0">
            <w:pPr>
              <w:pStyle w:val="33"/>
              <w:rPr>
                <w:rFonts w:eastAsia="等线" w:cs="Times New Roman"/>
                <w:color w:val="auto"/>
                <w:szCs w:val="21"/>
              </w:rPr>
            </w:pPr>
          </w:p>
        </w:tc>
      </w:tr>
      <w:tr w14:paraId="2835B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57588D5F">
            <w:pPr>
              <w:pStyle w:val="33"/>
              <w:rPr>
                <w:color w:val="auto"/>
              </w:rPr>
            </w:pPr>
            <w:r>
              <w:rPr>
                <w:rFonts w:hint="eastAsia"/>
                <w:color w:val="auto"/>
              </w:rPr>
              <w:t>铬</w:t>
            </w:r>
          </w:p>
        </w:tc>
        <w:tc>
          <w:tcPr>
            <w:tcW w:w="1487" w:type="dxa"/>
            <w:vAlign w:val="center"/>
          </w:tcPr>
          <w:p w14:paraId="7B3452A5">
            <w:pPr>
              <w:pStyle w:val="33"/>
              <w:rPr>
                <w:color w:val="auto"/>
              </w:rPr>
            </w:pPr>
            <w:r>
              <w:rPr>
                <w:rFonts w:hint="eastAsia"/>
                <w:color w:val="auto"/>
              </w:rPr>
              <w:t>监测值</w:t>
            </w:r>
          </w:p>
        </w:tc>
        <w:tc>
          <w:tcPr>
            <w:tcW w:w="1325" w:type="dxa"/>
            <w:vAlign w:val="center"/>
          </w:tcPr>
          <w:p w14:paraId="21537BAE">
            <w:pPr>
              <w:pStyle w:val="33"/>
              <w:rPr>
                <w:rFonts w:eastAsia="等线" w:cs="Times New Roman"/>
                <w:color w:val="auto"/>
                <w:szCs w:val="21"/>
              </w:rPr>
            </w:pPr>
          </w:p>
        </w:tc>
        <w:tc>
          <w:tcPr>
            <w:tcW w:w="1925" w:type="dxa"/>
            <w:vAlign w:val="center"/>
          </w:tcPr>
          <w:p w14:paraId="1ABC7FE1">
            <w:pPr>
              <w:pStyle w:val="33"/>
              <w:rPr>
                <w:rFonts w:eastAsia="等线" w:cs="Times New Roman"/>
                <w:color w:val="auto"/>
                <w:szCs w:val="21"/>
              </w:rPr>
            </w:pPr>
          </w:p>
        </w:tc>
        <w:tc>
          <w:tcPr>
            <w:tcW w:w="1063" w:type="dxa"/>
            <w:vMerge w:val="restart"/>
            <w:vAlign w:val="center"/>
          </w:tcPr>
          <w:p w14:paraId="4C82A105">
            <w:pPr>
              <w:pStyle w:val="33"/>
              <w:rPr>
                <w:rFonts w:eastAsia="等线" w:cs="Times New Roman"/>
                <w:color w:val="auto"/>
                <w:szCs w:val="21"/>
              </w:rPr>
            </w:pPr>
          </w:p>
        </w:tc>
        <w:tc>
          <w:tcPr>
            <w:tcW w:w="1140" w:type="dxa"/>
            <w:vMerge w:val="restart"/>
            <w:vAlign w:val="center"/>
          </w:tcPr>
          <w:p w14:paraId="4A682531">
            <w:pPr>
              <w:pStyle w:val="33"/>
              <w:rPr>
                <w:rFonts w:eastAsia="等线" w:cs="Times New Roman"/>
                <w:color w:val="auto"/>
                <w:szCs w:val="21"/>
              </w:rPr>
            </w:pPr>
          </w:p>
        </w:tc>
        <w:tc>
          <w:tcPr>
            <w:tcW w:w="637" w:type="dxa"/>
            <w:vMerge w:val="restart"/>
            <w:vAlign w:val="center"/>
          </w:tcPr>
          <w:p w14:paraId="1867A39E">
            <w:pPr>
              <w:pStyle w:val="33"/>
              <w:rPr>
                <w:rFonts w:eastAsia="等线" w:cs="Times New Roman"/>
                <w:color w:val="auto"/>
                <w:szCs w:val="21"/>
              </w:rPr>
            </w:pPr>
          </w:p>
        </w:tc>
        <w:tc>
          <w:tcPr>
            <w:tcW w:w="637" w:type="dxa"/>
            <w:vMerge w:val="restart"/>
            <w:vAlign w:val="center"/>
          </w:tcPr>
          <w:p w14:paraId="5AFC9D91">
            <w:pPr>
              <w:pStyle w:val="33"/>
              <w:rPr>
                <w:rFonts w:eastAsia="等线" w:cs="Times New Roman"/>
                <w:color w:val="auto"/>
                <w:szCs w:val="21"/>
              </w:rPr>
            </w:pPr>
          </w:p>
        </w:tc>
      </w:tr>
      <w:tr w14:paraId="6FE75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2F4F9B71">
            <w:pPr>
              <w:pStyle w:val="33"/>
              <w:rPr>
                <w:color w:val="auto"/>
              </w:rPr>
            </w:pPr>
          </w:p>
        </w:tc>
        <w:tc>
          <w:tcPr>
            <w:tcW w:w="1487" w:type="dxa"/>
            <w:vAlign w:val="center"/>
          </w:tcPr>
          <w:p w14:paraId="1C0B0263">
            <w:pPr>
              <w:pStyle w:val="33"/>
              <w:rPr>
                <w:color w:val="auto"/>
              </w:rPr>
            </w:pPr>
            <w:r>
              <w:rPr>
                <w:rFonts w:hint="eastAsia"/>
                <w:color w:val="auto"/>
              </w:rPr>
              <w:t>筛选值</w:t>
            </w:r>
          </w:p>
        </w:tc>
        <w:tc>
          <w:tcPr>
            <w:tcW w:w="1325" w:type="dxa"/>
            <w:vAlign w:val="center"/>
          </w:tcPr>
          <w:p w14:paraId="6D675C9D">
            <w:pPr>
              <w:pStyle w:val="33"/>
              <w:rPr>
                <w:rFonts w:eastAsia="等线" w:cs="Times New Roman"/>
                <w:color w:val="auto"/>
                <w:szCs w:val="21"/>
              </w:rPr>
            </w:pPr>
          </w:p>
        </w:tc>
        <w:tc>
          <w:tcPr>
            <w:tcW w:w="1925" w:type="dxa"/>
            <w:vAlign w:val="center"/>
          </w:tcPr>
          <w:p w14:paraId="3158EC45">
            <w:pPr>
              <w:pStyle w:val="33"/>
              <w:rPr>
                <w:rFonts w:eastAsia="等线" w:cs="Times New Roman"/>
                <w:color w:val="auto"/>
                <w:szCs w:val="21"/>
              </w:rPr>
            </w:pPr>
          </w:p>
        </w:tc>
        <w:tc>
          <w:tcPr>
            <w:tcW w:w="1063" w:type="dxa"/>
            <w:vMerge w:val="continue"/>
            <w:vAlign w:val="center"/>
          </w:tcPr>
          <w:p w14:paraId="3B6CE902">
            <w:pPr>
              <w:pStyle w:val="33"/>
              <w:rPr>
                <w:rFonts w:eastAsia="等线" w:cs="Times New Roman"/>
                <w:color w:val="auto"/>
                <w:szCs w:val="21"/>
              </w:rPr>
            </w:pPr>
          </w:p>
        </w:tc>
        <w:tc>
          <w:tcPr>
            <w:tcW w:w="1140" w:type="dxa"/>
            <w:vMerge w:val="continue"/>
            <w:vAlign w:val="center"/>
          </w:tcPr>
          <w:p w14:paraId="5C33D8AD">
            <w:pPr>
              <w:pStyle w:val="33"/>
              <w:rPr>
                <w:rFonts w:eastAsia="等线" w:cs="Times New Roman"/>
                <w:color w:val="auto"/>
                <w:szCs w:val="21"/>
              </w:rPr>
            </w:pPr>
          </w:p>
        </w:tc>
        <w:tc>
          <w:tcPr>
            <w:tcW w:w="637" w:type="dxa"/>
            <w:vMerge w:val="continue"/>
            <w:vAlign w:val="center"/>
          </w:tcPr>
          <w:p w14:paraId="4C0C54B7">
            <w:pPr>
              <w:pStyle w:val="33"/>
              <w:rPr>
                <w:rFonts w:eastAsia="等线" w:cs="Times New Roman"/>
                <w:color w:val="auto"/>
                <w:szCs w:val="21"/>
              </w:rPr>
            </w:pPr>
          </w:p>
        </w:tc>
        <w:tc>
          <w:tcPr>
            <w:tcW w:w="637" w:type="dxa"/>
            <w:vMerge w:val="continue"/>
            <w:vAlign w:val="center"/>
          </w:tcPr>
          <w:p w14:paraId="101AD197">
            <w:pPr>
              <w:pStyle w:val="33"/>
              <w:rPr>
                <w:rFonts w:eastAsia="等线" w:cs="Times New Roman"/>
                <w:color w:val="auto"/>
                <w:szCs w:val="21"/>
              </w:rPr>
            </w:pPr>
          </w:p>
        </w:tc>
      </w:tr>
      <w:tr w14:paraId="25BCB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81810A7">
            <w:pPr>
              <w:pStyle w:val="33"/>
              <w:rPr>
                <w:color w:val="auto"/>
              </w:rPr>
            </w:pPr>
          </w:p>
        </w:tc>
        <w:tc>
          <w:tcPr>
            <w:tcW w:w="1487" w:type="dxa"/>
            <w:vAlign w:val="center"/>
          </w:tcPr>
          <w:p w14:paraId="6E43A304">
            <w:pPr>
              <w:pStyle w:val="33"/>
              <w:rPr>
                <w:color w:val="auto"/>
              </w:rPr>
            </w:pPr>
            <w:r>
              <w:rPr>
                <w:rFonts w:hint="eastAsia"/>
                <w:color w:val="auto"/>
              </w:rPr>
              <w:t>标准指数</w:t>
            </w:r>
          </w:p>
        </w:tc>
        <w:tc>
          <w:tcPr>
            <w:tcW w:w="1325" w:type="dxa"/>
            <w:vAlign w:val="center"/>
          </w:tcPr>
          <w:p w14:paraId="33D1D42E">
            <w:pPr>
              <w:pStyle w:val="33"/>
              <w:rPr>
                <w:rFonts w:eastAsia="等线" w:cs="Times New Roman"/>
                <w:color w:val="auto"/>
                <w:szCs w:val="21"/>
              </w:rPr>
            </w:pPr>
          </w:p>
        </w:tc>
        <w:tc>
          <w:tcPr>
            <w:tcW w:w="1925" w:type="dxa"/>
            <w:vAlign w:val="center"/>
          </w:tcPr>
          <w:p w14:paraId="13C5A8C7">
            <w:pPr>
              <w:pStyle w:val="33"/>
              <w:rPr>
                <w:rFonts w:eastAsia="等线" w:cs="Times New Roman"/>
                <w:color w:val="auto"/>
                <w:szCs w:val="21"/>
              </w:rPr>
            </w:pPr>
          </w:p>
        </w:tc>
        <w:tc>
          <w:tcPr>
            <w:tcW w:w="1063" w:type="dxa"/>
            <w:vMerge w:val="continue"/>
            <w:vAlign w:val="center"/>
          </w:tcPr>
          <w:p w14:paraId="20E89963">
            <w:pPr>
              <w:pStyle w:val="33"/>
              <w:rPr>
                <w:rFonts w:eastAsia="等线" w:cs="Times New Roman"/>
                <w:color w:val="auto"/>
                <w:szCs w:val="21"/>
              </w:rPr>
            </w:pPr>
          </w:p>
        </w:tc>
        <w:tc>
          <w:tcPr>
            <w:tcW w:w="1140" w:type="dxa"/>
            <w:vMerge w:val="continue"/>
            <w:vAlign w:val="center"/>
          </w:tcPr>
          <w:p w14:paraId="16511C32">
            <w:pPr>
              <w:pStyle w:val="33"/>
              <w:rPr>
                <w:rFonts w:eastAsia="等线" w:cs="Times New Roman"/>
                <w:color w:val="auto"/>
                <w:szCs w:val="21"/>
              </w:rPr>
            </w:pPr>
          </w:p>
        </w:tc>
        <w:tc>
          <w:tcPr>
            <w:tcW w:w="637" w:type="dxa"/>
            <w:vMerge w:val="continue"/>
            <w:vAlign w:val="center"/>
          </w:tcPr>
          <w:p w14:paraId="40B36A9A">
            <w:pPr>
              <w:pStyle w:val="33"/>
              <w:rPr>
                <w:rFonts w:eastAsia="等线" w:cs="Times New Roman"/>
                <w:color w:val="auto"/>
                <w:szCs w:val="21"/>
              </w:rPr>
            </w:pPr>
          </w:p>
        </w:tc>
        <w:tc>
          <w:tcPr>
            <w:tcW w:w="637" w:type="dxa"/>
            <w:vMerge w:val="continue"/>
            <w:vAlign w:val="center"/>
          </w:tcPr>
          <w:p w14:paraId="3E0D77E1">
            <w:pPr>
              <w:pStyle w:val="33"/>
              <w:rPr>
                <w:rFonts w:eastAsia="等线" w:cs="Times New Roman"/>
                <w:color w:val="auto"/>
                <w:szCs w:val="21"/>
              </w:rPr>
            </w:pPr>
          </w:p>
        </w:tc>
      </w:tr>
      <w:tr w14:paraId="71A9B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539462E2">
            <w:pPr>
              <w:pStyle w:val="33"/>
              <w:rPr>
                <w:color w:val="auto"/>
              </w:rPr>
            </w:pPr>
          </w:p>
        </w:tc>
        <w:tc>
          <w:tcPr>
            <w:tcW w:w="1487" w:type="dxa"/>
            <w:vAlign w:val="center"/>
          </w:tcPr>
          <w:p w14:paraId="7EA2486C">
            <w:pPr>
              <w:pStyle w:val="33"/>
              <w:rPr>
                <w:color w:val="auto"/>
              </w:rPr>
            </w:pPr>
            <w:r>
              <w:rPr>
                <w:rFonts w:hint="eastAsia"/>
                <w:color w:val="auto"/>
              </w:rPr>
              <w:t>超标倍数</w:t>
            </w:r>
          </w:p>
        </w:tc>
        <w:tc>
          <w:tcPr>
            <w:tcW w:w="1325" w:type="dxa"/>
            <w:vAlign w:val="center"/>
          </w:tcPr>
          <w:p w14:paraId="32C14CA6">
            <w:pPr>
              <w:pStyle w:val="33"/>
              <w:rPr>
                <w:rFonts w:eastAsia="等线" w:cs="Times New Roman"/>
                <w:color w:val="auto"/>
                <w:szCs w:val="21"/>
              </w:rPr>
            </w:pPr>
          </w:p>
        </w:tc>
        <w:tc>
          <w:tcPr>
            <w:tcW w:w="1925" w:type="dxa"/>
            <w:vAlign w:val="center"/>
          </w:tcPr>
          <w:p w14:paraId="3CA6480F">
            <w:pPr>
              <w:pStyle w:val="33"/>
              <w:rPr>
                <w:rFonts w:eastAsia="等线" w:cs="Times New Roman"/>
                <w:color w:val="auto"/>
                <w:szCs w:val="21"/>
              </w:rPr>
            </w:pPr>
          </w:p>
        </w:tc>
        <w:tc>
          <w:tcPr>
            <w:tcW w:w="1063" w:type="dxa"/>
            <w:vMerge w:val="continue"/>
            <w:vAlign w:val="center"/>
          </w:tcPr>
          <w:p w14:paraId="5227336D">
            <w:pPr>
              <w:pStyle w:val="33"/>
              <w:rPr>
                <w:rFonts w:eastAsia="等线" w:cs="Times New Roman"/>
                <w:color w:val="auto"/>
                <w:szCs w:val="21"/>
              </w:rPr>
            </w:pPr>
          </w:p>
        </w:tc>
        <w:tc>
          <w:tcPr>
            <w:tcW w:w="1140" w:type="dxa"/>
            <w:vMerge w:val="continue"/>
            <w:vAlign w:val="center"/>
          </w:tcPr>
          <w:p w14:paraId="44ECBD7B">
            <w:pPr>
              <w:pStyle w:val="33"/>
              <w:rPr>
                <w:rFonts w:eastAsia="等线" w:cs="Times New Roman"/>
                <w:color w:val="auto"/>
                <w:szCs w:val="21"/>
              </w:rPr>
            </w:pPr>
          </w:p>
        </w:tc>
        <w:tc>
          <w:tcPr>
            <w:tcW w:w="637" w:type="dxa"/>
            <w:vMerge w:val="continue"/>
            <w:vAlign w:val="center"/>
          </w:tcPr>
          <w:p w14:paraId="492DEC34">
            <w:pPr>
              <w:pStyle w:val="33"/>
              <w:rPr>
                <w:rFonts w:eastAsia="等线" w:cs="Times New Roman"/>
                <w:color w:val="auto"/>
                <w:szCs w:val="21"/>
              </w:rPr>
            </w:pPr>
          </w:p>
        </w:tc>
        <w:tc>
          <w:tcPr>
            <w:tcW w:w="637" w:type="dxa"/>
            <w:vMerge w:val="continue"/>
            <w:vAlign w:val="center"/>
          </w:tcPr>
          <w:p w14:paraId="01CB5C8A">
            <w:pPr>
              <w:pStyle w:val="33"/>
              <w:rPr>
                <w:rFonts w:eastAsia="等线" w:cs="Times New Roman"/>
                <w:color w:val="auto"/>
                <w:szCs w:val="21"/>
              </w:rPr>
            </w:pPr>
          </w:p>
        </w:tc>
      </w:tr>
      <w:tr w14:paraId="39193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restart"/>
            <w:vAlign w:val="center"/>
          </w:tcPr>
          <w:p w14:paraId="180B64D3">
            <w:pPr>
              <w:pStyle w:val="33"/>
              <w:rPr>
                <w:color w:val="auto"/>
              </w:rPr>
            </w:pPr>
            <w:r>
              <w:rPr>
                <w:rFonts w:hint="eastAsia"/>
                <w:color w:val="auto"/>
              </w:rPr>
              <w:t>锌</w:t>
            </w:r>
          </w:p>
        </w:tc>
        <w:tc>
          <w:tcPr>
            <w:tcW w:w="1487" w:type="dxa"/>
            <w:vAlign w:val="center"/>
          </w:tcPr>
          <w:p w14:paraId="0827C2E7">
            <w:pPr>
              <w:pStyle w:val="33"/>
              <w:rPr>
                <w:color w:val="auto"/>
              </w:rPr>
            </w:pPr>
            <w:r>
              <w:rPr>
                <w:rFonts w:hint="eastAsia"/>
                <w:color w:val="auto"/>
              </w:rPr>
              <w:t>监测值</w:t>
            </w:r>
          </w:p>
        </w:tc>
        <w:tc>
          <w:tcPr>
            <w:tcW w:w="1325" w:type="dxa"/>
            <w:vAlign w:val="center"/>
          </w:tcPr>
          <w:p w14:paraId="786CDFFF">
            <w:pPr>
              <w:pStyle w:val="33"/>
              <w:rPr>
                <w:rFonts w:eastAsia="等线" w:cs="Times New Roman"/>
                <w:color w:val="auto"/>
                <w:szCs w:val="21"/>
              </w:rPr>
            </w:pPr>
          </w:p>
        </w:tc>
        <w:tc>
          <w:tcPr>
            <w:tcW w:w="1925" w:type="dxa"/>
            <w:vAlign w:val="center"/>
          </w:tcPr>
          <w:p w14:paraId="03DA2FCD">
            <w:pPr>
              <w:pStyle w:val="33"/>
              <w:rPr>
                <w:rFonts w:eastAsia="等线" w:cs="Times New Roman"/>
                <w:color w:val="auto"/>
                <w:szCs w:val="21"/>
              </w:rPr>
            </w:pPr>
          </w:p>
        </w:tc>
        <w:tc>
          <w:tcPr>
            <w:tcW w:w="1063" w:type="dxa"/>
            <w:vMerge w:val="restart"/>
            <w:vAlign w:val="center"/>
          </w:tcPr>
          <w:p w14:paraId="6468902E">
            <w:pPr>
              <w:pStyle w:val="33"/>
              <w:rPr>
                <w:rFonts w:eastAsia="等线" w:cs="Times New Roman"/>
                <w:color w:val="auto"/>
                <w:szCs w:val="21"/>
              </w:rPr>
            </w:pPr>
          </w:p>
        </w:tc>
        <w:tc>
          <w:tcPr>
            <w:tcW w:w="1140" w:type="dxa"/>
            <w:vMerge w:val="restart"/>
            <w:vAlign w:val="center"/>
          </w:tcPr>
          <w:p w14:paraId="1A702435">
            <w:pPr>
              <w:pStyle w:val="33"/>
              <w:rPr>
                <w:rFonts w:eastAsia="等线" w:cs="Times New Roman"/>
                <w:color w:val="auto"/>
                <w:szCs w:val="21"/>
              </w:rPr>
            </w:pPr>
          </w:p>
        </w:tc>
        <w:tc>
          <w:tcPr>
            <w:tcW w:w="637" w:type="dxa"/>
            <w:vMerge w:val="restart"/>
            <w:vAlign w:val="center"/>
          </w:tcPr>
          <w:p w14:paraId="5B29C385">
            <w:pPr>
              <w:pStyle w:val="33"/>
              <w:rPr>
                <w:rFonts w:eastAsia="等线" w:cs="Times New Roman"/>
                <w:color w:val="auto"/>
                <w:szCs w:val="21"/>
              </w:rPr>
            </w:pPr>
          </w:p>
        </w:tc>
        <w:tc>
          <w:tcPr>
            <w:tcW w:w="637" w:type="dxa"/>
            <w:vMerge w:val="restart"/>
            <w:vAlign w:val="center"/>
          </w:tcPr>
          <w:p w14:paraId="6C3E9CFB">
            <w:pPr>
              <w:pStyle w:val="33"/>
              <w:rPr>
                <w:rFonts w:eastAsia="等线" w:cs="Times New Roman"/>
                <w:color w:val="auto"/>
                <w:szCs w:val="21"/>
              </w:rPr>
            </w:pPr>
          </w:p>
        </w:tc>
      </w:tr>
      <w:tr w14:paraId="72B15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75E0C87">
            <w:pPr>
              <w:pStyle w:val="33"/>
              <w:rPr>
                <w:color w:val="auto"/>
              </w:rPr>
            </w:pPr>
          </w:p>
        </w:tc>
        <w:tc>
          <w:tcPr>
            <w:tcW w:w="1487" w:type="dxa"/>
            <w:vAlign w:val="center"/>
          </w:tcPr>
          <w:p w14:paraId="0E136160">
            <w:pPr>
              <w:pStyle w:val="33"/>
              <w:rPr>
                <w:color w:val="auto"/>
              </w:rPr>
            </w:pPr>
            <w:r>
              <w:rPr>
                <w:rFonts w:hint="eastAsia"/>
                <w:color w:val="auto"/>
              </w:rPr>
              <w:t>筛选值</w:t>
            </w:r>
          </w:p>
        </w:tc>
        <w:tc>
          <w:tcPr>
            <w:tcW w:w="1325" w:type="dxa"/>
            <w:vAlign w:val="center"/>
          </w:tcPr>
          <w:p w14:paraId="188B5A8C">
            <w:pPr>
              <w:pStyle w:val="33"/>
              <w:rPr>
                <w:rFonts w:eastAsia="等线" w:cs="Times New Roman"/>
                <w:color w:val="auto"/>
                <w:szCs w:val="21"/>
              </w:rPr>
            </w:pPr>
          </w:p>
        </w:tc>
        <w:tc>
          <w:tcPr>
            <w:tcW w:w="1925" w:type="dxa"/>
            <w:vAlign w:val="center"/>
          </w:tcPr>
          <w:p w14:paraId="351D68F4">
            <w:pPr>
              <w:pStyle w:val="33"/>
              <w:rPr>
                <w:rFonts w:eastAsia="等线" w:cs="Times New Roman"/>
                <w:color w:val="auto"/>
                <w:szCs w:val="21"/>
              </w:rPr>
            </w:pPr>
          </w:p>
        </w:tc>
        <w:tc>
          <w:tcPr>
            <w:tcW w:w="1063" w:type="dxa"/>
            <w:vMerge w:val="continue"/>
            <w:vAlign w:val="center"/>
          </w:tcPr>
          <w:p w14:paraId="4450260B">
            <w:pPr>
              <w:pStyle w:val="33"/>
              <w:rPr>
                <w:rFonts w:eastAsia="等线" w:cs="Times New Roman"/>
                <w:color w:val="auto"/>
                <w:szCs w:val="21"/>
              </w:rPr>
            </w:pPr>
          </w:p>
        </w:tc>
        <w:tc>
          <w:tcPr>
            <w:tcW w:w="1140" w:type="dxa"/>
            <w:vMerge w:val="continue"/>
            <w:vAlign w:val="center"/>
          </w:tcPr>
          <w:p w14:paraId="51D03FD3">
            <w:pPr>
              <w:pStyle w:val="33"/>
              <w:rPr>
                <w:rFonts w:eastAsia="等线" w:cs="Times New Roman"/>
                <w:color w:val="auto"/>
                <w:szCs w:val="21"/>
              </w:rPr>
            </w:pPr>
          </w:p>
        </w:tc>
        <w:tc>
          <w:tcPr>
            <w:tcW w:w="637" w:type="dxa"/>
            <w:vMerge w:val="continue"/>
            <w:vAlign w:val="center"/>
          </w:tcPr>
          <w:p w14:paraId="3D2D5499">
            <w:pPr>
              <w:pStyle w:val="33"/>
              <w:rPr>
                <w:rFonts w:eastAsia="等线" w:cs="Times New Roman"/>
                <w:color w:val="auto"/>
                <w:szCs w:val="21"/>
              </w:rPr>
            </w:pPr>
          </w:p>
        </w:tc>
        <w:tc>
          <w:tcPr>
            <w:tcW w:w="637" w:type="dxa"/>
            <w:vMerge w:val="continue"/>
            <w:vAlign w:val="center"/>
          </w:tcPr>
          <w:p w14:paraId="0F134E59">
            <w:pPr>
              <w:pStyle w:val="33"/>
              <w:rPr>
                <w:rFonts w:eastAsia="等线" w:cs="Times New Roman"/>
                <w:color w:val="auto"/>
                <w:szCs w:val="21"/>
              </w:rPr>
            </w:pPr>
          </w:p>
        </w:tc>
      </w:tr>
      <w:tr w14:paraId="6884A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18F7A269">
            <w:pPr>
              <w:pStyle w:val="33"/>
              <w:rPr>
                <w:color w:val="auto"/>
              </w:rPr>
            </w:pPr>
          </w:p>
        </w:tc>
        <w:tc>
          <w:tcPr>
            <w:tcW w:w="1487" w:type="dxa"/>
            <w:vAlign w:val="center"/>
          </w:tcPr>
          <w:p w14:paraId="6F1E4C9D">
            <w:pPr>
              <w:pStyle w:val="33"/>
              <w:rPr>
                <w:color w:val="auto"/>
              </w:rPr>
            </w:pPr>
            <w:r>
              <w:rPr>
                <w:rFonts w:hint="eastAsia"/>
                <w:color w:val="auto"/>
              </w:rPr>
              <w:t>标准指数</w:t>
            </w:r>
          </w:p>
        </w:tc>
        <w:tc>
          <w:tcPr>
            <w:tcW w:w="1325" w:type="dxa"/>
            <w:vAlign w:val="center"/>
          </w:tcPr>
          <w:p w14:paraId="786E2542">
            <w:pPr>
              <w:pStyle w:val="33"/>
              <w:rPr>
                <w:rFonts w:eastAsia="等线" w:cs="Times New Roman"/>
                <w:color w:val="auto"/>
                <w:szCs w:val="21"/>
              </w:rPr>
            </w:pPr>
          </w:p>
        </w:tc>
        <w:tc>
          <w:tcPr>
            <w:tcW w:w="1925" w:type="dxa"/>
            <w:vAlign w:val="center"/>
          </w:tcPr>
          <w:p w14:paraId="3498497E">
            <w:pPr>
              <w:pStyle w:val="33"/>
              <w:rPr>
                <w:rFonts w:eastAsia="等线" w:cs="Times New Roman"/>
                <w:color w:val="auto"/>
                <w:szCs w:val="21"/>
              </w:rPr>
            </w:pPr>
          </w:p>
        </w:tc>
        <w:tc>
          <w:tcPr>
            <w:tcW w:w="1063" w:type="dxa"/>
            <w:vMerge w:val="continue"/>
            <w:vAlign w:val="center"/>
          </w:tcPr>
          <w:p w14:paraId="51482BA2">
            <w:pPr>
              <w:pStyle w:val="33"/>
              <w:rPr>
                <w:rFonts w:eastAsia="等线" w:cs="Times New Roman"/>
                <w:color w:val="auto"/>
                <w:szCs w:val="21"/>
              </w:rPr>
            </w:pPr>
          </w:p>
        </w:tc>
        <w:tc>
          <w:tcPr>
            <w:tcW w:w="1140" w:type="dxa"/>
            <w:vMerge w:val="continue"/>
            <w:vAlign w:val="center"/>
          </w:tcPr>
          <w:p w14:paraId="58BEBCEB">
            <w:pPr>
              <w:pStyle w:val="33"/>
              <w:rPr>
                <w:rFonts w:eastAsia="等线" w:cs="Times New Roman"/>
                <w:color w:val="auto"/>
                <w:szCs w:val="21"/>
              </w:rPr>
            </w:pPr>
          </w:p>
        </w:tc>
        <w:tc>
          <w:tcPr>
            <w:tcW w:w="637" w:type="dxa"/>
            <w:vMerge w:val="continue"/>
            <w:vAlign w:val="center"/>
          </w:tcPr>
          <w:p w14:paraId="28625FC2">
            <w:pPr>
              <w:pStyle w:val="33"/>
              <w:rPr>
                <w:rFonts w:eastAsia="等线" w:cs="Times New Roman"/>
                <w:color w:val="auto"/>
                <w:szCs w:val="21"/>
              </w:rPr>
            </w:pPr>
          </w:p>
        </w:tc>
        <w:tc>
          <w:tcPr>
            <w:tcW w:w="637" w:type="dxa"/>
            <w:vMerge w:val="continue"/>
            <w:vAlign w:val="center"/>
          </w:tcPr>
          <w:p w14:paraId="61006DE4">
            <w:pPr>
              <w:pStyle w:val="33"/>
              <w:rPr>
                <w:rFonts w:eastAsia="等线" w:cs="Times New Roman"/>
                <w:color w:val="auto"/>
                <w:szCs w:val="21"/>
              </w:rPr>
            </w:pPr>
          </w:p>
        </w:tc>
      </w:tr>
      <w:tr w14:paraId="25C34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072" w:type="dxa"/>
            <w:vMerge w:val="continue"/>
            <w:vAlign w:val="center"/>
          </w:tcPr>
          <w:p w14:paraId="448FE48D">
            <w:pPr>
              <w:pStyle w:val="33"/>
              <w:rPr>
                <w:color w:val="auto"/>
              </w:rPr>
            </w:pPr>
          </w:p>
        </w:tc>
        <w:tc>
          <w:tcPr>
            <w:tcW w:w="1487" w:type="dxa"/>
            <w:vAlign w:val="center"/>
          </w:tcPr>
          <w:p w14:paraId="5F3FBC54">
            <w:pPr>
              <w:pStyle w:val="33"/>
              <w:rPr>
                <w:color w:val="auto"/>
              </w:rPr>
            </w:pPr>
            <w:r>
              <w:rPr>
                <w:rFonts w:hint="eastAsia"/>
                <w:color w:val="auto"/>
              </w:rPr>
              <w:t>超标倍数</w:t>
            </w:r>
          </w:p>
        </w:tc>
        <w:tc>
          <w:tcPr>
            <w:tcW w:w="1325" w:type="dxa"/>
            <w:vAlign w:val="center"/>
          </w:tcPr>
          <w:p w14:paraId="2B28CAD1">
            <w:pPr>
              <w:pStyle w:val="33"/>
              <w:rPr>
                <w:rFonts w:eastAsia="等线" w:cs="Times New Roman"/>
                <w:color w:val="auto"/>
                <w:szCs w:val="21"/>
              </w:rPr>
            </w:pPr>
          </w:p>
        </w:tc>
        <w:tc>
          <w:tcPr>
            <w:tcW w:w="1925" w:type="dxa"/>
            <w:vAlign w:val="center"/>
          </w:tcPr>
          <w:p w14:paraId="56F987C5">
            <w:pPr>
              <w:pStyle w:val="33"/>
              <w:rPr>
                <w:rFonts w:eastAsia="等线" w:cs="Times New Roman"/>
                <w:color w:val="auto"/>
                <w:szCs w:val="21"/>
              </w:rPr>
            </w:pPr>
          </w:p>
        </w:tc>
        <w:tc>
          <w:tcPr>
            <w:tcW w:w="1063" w:type="dxa"/>
            <w:vMerge w:val="continue"/>
            <w:vAlign w:val="center"/>
          </w:tcPr>
          <w:p w14:paraId="3DDA7439">
            <w:pPr>
              <w:pStyle w:val="33"/>
              <w:rPr>
                <w:rFonts w:eastAsia="等线" w:cs="Times New Roman"/>
                <w:color w:val="auto"/>
                <w:szCs w:val="21"/>
              </w:rPr>
            </w:pPr>
          </w:p>
        </w:tc>
        <w:tc>
          <w:tcPr>
            <w:tcW w:w="1140" w:type="dxa"/>
            <w:vMerge w:val="continue"/>
            <w:vAlign w:val="center"/>
          </w:tcPr>
          <w:p w14:paraId="00A97884">
            <w:pPr>
              <w:pStyle w:val="33"/>
              <w:rPr>
                <w:rFonts w:eastAsia="等线" w:cs="Times New Roman"/>
                <w:color w:val="auto"/>
                <w:szCs w:val="21"/>
              </w:rPr>
            </w:pPr>
          </w:p>
        </w:tc>
        <w:tc>
          <w:tcPr>
            <w:tcW w:w="637" w:type="dxa"/>
            <w:vMerge w:val="continue"/>
            <w:vAlign w:val="center"/>
          </w:tcPr>
          <w:p w14:paraId="00811036">
            <w:pPr>
              <w:pStyle w:val="33"/>
              <w:rPr>
                <w:rFonts w:eastAsia="等线" w:cs="Times New Roman"/>
                <w:color w:val="auto"/>
                <w:szCs w:val="21"/>
              </w:rPr>
            </w:pPr>
          </w:p>
        </w:tc>
        <w:tc>
          <w:tcPr>
            <w:tcW w:w="637" w:type="dxa"/>
            <w:vMerge w:val="continue"/>
            <w:vAlign w:val="center"/>
          </w:tcPr>
          <w:p w14:paraId="72579A31">
            <w:pPr>
              <w:pStyle w:val="33"/>
              <w:rPr>
                <w:rFonts w:eastAsia="等线" w:cs="Times New Roman"/>
                <w:color w:val="auto"/>
                <w:szCs w:val="21"/>
              </w:rPr>
            </w:pPr>
          </w:p>
        </w:tc>
      </w:tr>
      <w:tr w14:paraId="36BFF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72" w:type="dxa"/>
            <w:vMerge w:val="restart"/>
            <w:vAlign w:val="center"/>
          </w:tcPr>
          <w:p w14:paraId="4F723949">
            <w:pPr>
              <w:pStyle w:val="33"/>
              <w:rPr>
                <w:color w:val="auto"/>
              </w:rPr>
            </w:pPr>
            <w:r>
              <w:rPr>
                <w:rFonts w:hint="eastAsia"/>
                <w:color w:val="auto"/>
              </w:rPr>
              <w:t>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w:t>
            </w:r>
          </w:p>
        </w:tc>
        <w:tc>
          <w:tcPr>
            <w:tcW w:w="1487" w:type="dxa"/>
            <w:vAlign w:val="center"/>
          </w:tcPr>
          <w:p w14:paraId="6C0C965C">
            <w:pPr>
              <w:pStyle w:val="33"/>
              <w:rPr>
                <w:color w:val="auto"/>
              </w:rPr>
            </w:pPr>
            <w:r>
              <w:rPr>
                <w:rFonts w:hint="eastAsia"/>
                <w:color w:val="auto"/>
              </w:rPr>
              <w:t>监测值</w:t>
            </w:r>
          </w:p>
        </w:tc>
        <w:tc>
          <w:tcPr>
            <w:tcW w:w="1325" w:type="dxa"/>
            <w:vAlign w:val="center"/>
          </w:tcPr>
          <w:p w14:paraId="39F13664">
            <w:pPr>
              <w:pStyle w:val="33"/>
              <w:rPr>
                <w:rFonts w:eastAsia="等线" w:cs="Times New Roman"/>
                <w:color w:val="auto"/>
                <w:szCs w:val="21"/>
              </w:rPr>
            </w:pPr>
          </w:p>
        </w:tc>
        <w:tc>
          <w:tcPr>
            <w:tcW w:w="1925" w:type="dxa"/>
            <w:vAlign w:val="center"/>
          </w:tcPr>
          <w:p w14:paraId="75C0749D">
            <w:pPr>
              <w:pStyle w:val="33"/>
              <w:rPr>
                <w:rFonts w:eastAsia="等线" w:cs="Times New Roman"/>
                <w:color w:val="auto"/>
                <w:szCs w:val="21"/>
              </w:rPr>
            </w:pPr>
          </w:p>
        </w:tc>
        <w:tc>
          <w:tcPr>
            <w:tcW w:w="1063" w:type="dxa"/>
            <w:vMerge w:val="restart"/>
            <w:vAlign w:val="center"/>
          </w:tcPr>
          <w:p w14:paraId="7346A684">
            <w:pPr>
              <w:pStyle w:val="33"/>
              <w:rPr>
                <w:rFonts w:eastAsia="等线" w:cs="Times New Roman"/>
                <w:color w:val="auto"/>
                <w:szCs w:val="21"/>
              </w:rPr>
            </w:pPr>
          </w:p>
        </w:tc>
        <w:tc>
          <w:tcPr>
            <w:tcW w:w="1140" w:type="dxa"/>
            <w:vMerge w:val="restart"/>
            <w:vAlign w:val="center"/>
          </w:tcPr>
          <w:p w14:paraId="786EFCFA">
            <w:pPr>
              <w:pStyle w:val="33"/>
              <w:rPr>
                <w:rFonts w:eastAsia="等线" w:cs="Times New Roman"/>
                <w:color w:val="auto"/>
                <w:szCs w:val="21"/>
              </w:rPr>
            </w:pPr>
          </w:p>
        </w:tc>
        <w:tc>
          <w:tcPr>
            <w:tcW w:w="637" w:type="dxa"/>
            <w:vMerge w:val="restart"/>
            <w:vAlign w:val="center"/>
          </w:tcPr>
          <w:p w14:paraId="54EBF9BB">
            <w:pPr>
              <w:pStyle w:val="33"/>
              <w:rPr>
                <w:rFonts w:eastAsia="等线" w:cs="Times New Roman"/>
                <w:color w:val="auto"/>
                <w:szCs w:val="21"/>
              </w:rPr>
            </w:pPr>
          </w:p>
        </w:tc>
        <w:tc>
          <w:tcPr>
            <w:tcW w:w="637" w:type="dxa"/>
            <w:vMerge w:val="restart"/>
            <w:vAlign w:val="center"/>
          </w:tcPr>
          <w:p w14:paraId="7BD85EF6">
            <w:pPr>
              <w:pStyle w:val="33"/>
              <w:rPr>
                <w:rFonts w:eastAsia="等线" w:cs="Times New Roman"/>
                <w:color w:val="auto"/>
                <w:szCs w:val="21"/>
              </w:rPr>
            </w:pPr>
          </w:p>
        </w:tc>
      </w:tr>
      <w:tr w14:paraId="5A909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072" w:type="dxa"/>
            <w:vMerge w:val="continue"/>
            <w:vAlign w:val="center"/>
          </w:tcPr>
          <w:p w14:paraId="7C678B9D">
            <w:pPr>
              <w:pStyle w:val="33"/>
              <w:rPr>
                <w:color w:val="auto"/>
              </w:rPr>
            </w:pPr>
          </w:p>
        </w:tc>
        <w:tc>
          <w:tcPr>
            <w:tcW w:w="1487" w:type="dxa"/>
            <w:vAlign w:val="center"/>
          </w:tcPr>
          <w:p w14:paraId="2B63EEC9">
            <w:pPr>
              <w:pStyle w:val="33"/>
              <w:rPr>
                <w:color w:val="auto"/>
              </w:rPr>
            </w:pPr>
            <w:r>
              <w:rPr>
                <w:rFonts w:hint="eastAsia"/>
                <w:color w:val="auto"/>
              </w:rPr>
              <w:t>筛选值</w:t>
            </w:r>
          </w:p>
        </w:tc>
        <w:tc>
          <w:tcPr>
            <w:tcW w:w="1325" w:type="dxa"/>
            <w:vAlign w:val="center"/>
          </w:tcPr>
          <w:p w14:paraId="33CC6C76">
            <w:pPr>
              <w:pStyle w:val="33"/>
              <w:rPr>
                <w:rFonts w:eastAsia="等线" w:cs="Times New Roman"/>
                <w:color w:val="auto"/>
                <w:szCs w:val="21"/>
              </w:rPr>
            </w:pPr>
          </w:p>
        </w:tc>
        <w:tc>
          <w:tcPr>
            <w:tcW w:w="1925" w:type="dxa"/>
            <w:vAlign w:val="center"/>
          </w:tcPr>
          <w:p w14:paraId="4469C3BB">
            <w:pPr>
              <w:pStyle w:val="33"/>
              <w:rPr>
                <w:rFonts w:eastAsia="等线" w:cs="Times New Roman"/>
                <w:color w:val="auto"/>
                <w:szCs w:val="21"/>
              </w:rPr>
            </w:pPr>
          </w:p>
        </w:tc>
        <w:tc>
          <w:tcPr>
            <w:tcW w:w="1063" w:type="dxa"/>
            <w:vMerge w:val="continue"/>
            <w:vAlign w:val="center"/>
          </w:tcPr>
          <w:p w14:paraId="2886C71C">
            <w:pPr>
              <w:pStyle w:val="33"/>
              <w:rPr>
                <w:color w:val="auto"/>
              </w:rPr>
            </w:pPr>
          </w:p>
        </w:tc>
        <w:tc>
          <w:tcPr>
            <w:tcW w:w="1140" w:type="dxa"/>
            <w:vMerge w:val="continue"/>
            <w:vAlign w:val="center"/>
          </w:tcPr>
          <w:p w14:paraId="55913F68">
            <w:pPr>
              <w:pStyle w:val="33"/>
              <w:rPr>
                <w:color w:val="auto"/>
              </w:rPr>
            </w:pPr>
          </w:p>
        </w:tc>
        <w:tc>
          <w:tcPr>
            <w:tcW w:w="637" w:type="dxa"/>
            <w:vMerge w:val="continue"/>
            <w:vAlign w:val="center"/>
          </w:tcPr>
          <w:p w14:paraId="403A6880">
            <w:pPr>
              <w:pStyle w:val="33"/>
              <w:rPr>
                <w:color w:val="auto"/>
              </w:rPr>
            </w:pPr>
          </w:p>
        </w:tc>
        <w:tc>
          <w:tcPr>
            <w:tcW w:w="637" w:type="dxa"/>
            <w:vMerge w:val="continue"/>
            <w:vAlign w:val="center"/>
          </w:tcPr>
          <w:p w14:paraId="1BC7C9AC">
            <w:pPr>
              <w:pStyle w:val="33"/>
              <w:rPr>
                <w:color w:val="auto"/>
              </w:rPr>
            </w:pPr>
          </w:p>
        </w:tc>
      </w:tr>
      <w:tr w14:paraId="2B3D2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072" w:type="dxa"/>
            <w:vMerge w:val="continue"/>
            <w:vAlign w:val="center"/>
          </w:tcPr>
          <w:p w14:paraId="77F58BE9">
            <w:pPr>
              <w:pStyle w:val="33"/>
              <w:rPr>
                <w:color w:val="auto"/>
              </w:rPr>
            </w:pPr>
          </w:p>
        </w:tc>
        <w:tc>
          <w:tcPr>
            <w:tcW w:w="1487" w:type="dxa"/>
            <w:vAlign w:val="center"/>
          </w:tcPr>
          <w:p w14:paraId="22056341">
            <w:pPr>
              <w:pStyle w:val="33"/>
              <w:rPr>
                <w:color w:val="auto"/>
              </w:rPr>
            </w:pPr>
            <w:r>
              <w:rPr>
                <w:rFonts w:hint="eastAsia"/>
                <w:color w:val="auto"/>
              </w:rPr>
              <w:t>标准指数</w:t>
            </w:r>
          </w:p>
        </w:tc>
        <w:tc>
          <w:tcPr>
            <w:tcW w:w="1325" w:type="dxa"/>
            <w:vAlign w:val="center"/>
          </w:tcPr>
          <w:p w14:paraId="43BD86F6">
            <w:pPr>
              <w:pStyle w:val="33"/>
              <w:rPr>
                <w:rFonts w:eastAsia="等线" w:cs="Times New Roman"/>
                <w:color w:val="auto"/>
                <w:szCs w:val="21"/>
              </w:rPr>
            </w:pPr>
          </w:p>
        </w:tc>
        <w:tc>
          <w:tcPr>
            <w:tcW w:w="1925" w:type="dxa"/>
            <w:vAlign w:val="center"/>
          </w:tcPr>
          <w:p w14:paraId="58EF56BE">
            <w:pPr>
              <w:pStyle w:val="33"/>
              <w:rPr>
                <w:rFonts w:eastAsia="等线" w:cs="Times New Roman"/>
                <w:color w:val="auto"/>
                <w:szCs w:val="21"/>
              </w:rPr>
            </w:pPr>
          </w:p>
        </w:tc>
        <w:tc>
          <w:tcPr>
            <w:tcW w:w="1063" w:type="dxa"/>
            <w:vMerge w:val="continue"/>
            <w:vAlign w:val="center"/>
          </w:tcPr>
          <w:p w14:paraId="70DFACE2">
            <w:pPr>
              <w:pStyle w:val="33"/>
              <w:rPr>
                <w:color w:val="auto"/>
              </w:rPr>
            </w:pPr>
          </w:p>
        </w:tc>
        <w:tc>
          <w:tcPr>
            <w:tcW w:w="1140" w:type="dxa"/>
            <w:vMerge w:val="continue"/>
            <w:vAlign w:val="center"/>
          </w:tcPr>
          <w:p w14:paraId="4FF84F97">
            <w:pPr>
              <w:pStyle w:val="33"/>
              <w:rPr>
                <w:color w:val="auto"/>
              </w:rPr>
            </w:pPr>
          </w:p>
        </w:tc>
        <w:tc>
          <w:tcPr>
            <w:tcW w:w="637" w:type="dxa"/>
            <w:vMerge w:val="continue"/>
            <w:vAlign w:val="center"/>
          </w:tcPr>
          <w:p w14:paraId="04122681">
            <w:pPr>
              <w:pStyle w:val="33"/>
              <w:rPr>
                <w:color w:val="auto"/>
              </w:rPr>
            </w:pPr>
          </w:p>
        </w:tc>
        <w:tc>
          <w:tcPr>
            <w:tcW w:w="637" w:type="dxa"/>
            <w:vMerge w:val="continue"/>
            <w:vAlign w:val="center"/>
          </w:tcPr>
          <w:p w14:paraId="475BE3C0">
            <w:pPr>
              <w:pStyle w:val="33"/>
              <w:rPr>
                <w:color w:val="auto"/>
              </w:rPr>
            </w:pPr>
          </w:p>
        </w:tc>
      </w:tr>
      <w:tr w14:paraId="2D0B4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5" w:hRule="atLeast"/>
        </w:trPr>
        <w:tc>
          <w:tcPr>
            <w:tcW w:w="1072" w:type="dxa"/>
            <w:vMerge w:val="continue"/>
            <w:vAlign w:val="center"/>
          </w:tcPr>
          <w:p w14:paraId="63531C9C">
            <w:pPr>
              <w:pStyle w:val="33"/>
              <w:rPr>
                <w:color w:val="auto"/>
              </w:rPr>
            </w:pPr>
          </w:p>
        </w:tc>
        <w:tc>
          <w:tcPr>
            <w:tcW w:w="1487" w:type="dxa"/>
            <w:vAlign w:val="center"/>
          </w:tcPr>
          <w:p w14:paraId="067D7799">
            <w:pPr>
              <w:pStyle w:val="33"/>
              <w:rPr>
                <w:color w:val="auto"/>
              </w:rPr>
            </w:pPr>
            <w:r>
              <w:rPr>
                <w:rFonts w:hint="eastAsia"/>
                <w:color w:val="auto"/>
              </w:rPr>
              <w:t>超标倍数</w:t>
            </w:r>
          </w:p>
        </w:tc>
        <w:tc>
          <w:tcPr>
            <w:tcW w:w="1325" w:type="dxa"/>
            <w:vAlign w:val="center"/>
          </w:tcPr>
          <w:p w14:paraId="1661E3C7">
            <w:pPr>
              <w:pStyle w:val="33"/>
              <w:rPr>
                <w:rFonts w:eastAsia="等线" w:cs="Times New Roman"/>
                <w:color w:val="auto"/>
                <w:szCs w:val="21"/>
              </w:rPr>
            </w:pPr>
          </w:p>
        </w:tc>
        <w:tc>
          <w:tcPr>
            <w:tcW w:w="1925" w:type="dxa"/>
            <w:vAlign w:val="center"/>
          </w:tcPr>
          <w:p w14:paraId="446C0FCD">
            <w:pPr>
              <w:pStyle w:val="33"/>
              <w:rPr>
                <w:rFonts w:eastAsia="等线" w:cs="Times New Roman"/>
                <w:color w:val="auto"/>
                <w:szCs w:val="21"/>
              </w:rPr>
            </w:pPr>
          </w:p>
        </w:tc>
        <w:tc>
          <w:tcPr>
            <w:tcW w:w="1063" w:type="dxa"/>
            <w:vMerge w:val="continue"/>
            <w:vAlign w:val="center"/>
          </w:tcPr>
          <w:p w14:paraId="00A70265">
            <w:pPr>
              <w:pStyle w:val="33"/>
              <w:rPr>
                <w:color w:val="auto"/>
              </w:rPr>
            </w:pPr>
          </w:p>
        </w:tc>
        <w:tc>
          <w:tcPr>
            <w:tcW w:w="1140" w:type="dxa"/>
            <w:vMerge w:val="continue"/>
            <w:vAlign w:val="center"/>
          </w:tcPr>
          <w:p w14:paraId="221384C8">
            <w:pPr>
              <w:pStyle w:val="33"/>
              <w:rPr>
                <w:color w:val="auto"/>
              </w:rPr>
            </w:pPr>
          </w:p>
        </w:tc>
        <w:tc>
          <w:tcPr>
            <w:tcW w:w="637" w:type="dxa"/>
            <w:vMerge w:val="continue"/>
            <w:vAlign w:val="center"/>
          </w:tcPr>
          <w:p w14:paraId="61D9A6F3">
            <w:pPr>
              <w:pStyle w:val="33"/>
              <w:rPr>
                <w:color w:val="auto"/>
              </w:rPr>
            </w:pPr>
          </w:p>
        </w:tc>
        <w:tc>
          <w:tcPr>
            <w:tcW w:w="637" w:type="dxa"/>
            <w:vMerge w:val="continue"/>
            <w:vAlign w:val="center"/>
          </w:tcPr>
          <w:p w14:paraId="75E6A9C1">
            <w:pPr>
              <w:pStyle w:val="33"/>
              <w:rPr>
                <w:color w:val="auto"/>
              </w:rPr>
            </w:pPr>
          </w:p>
        </w:tc>
      </w:tr>
    </w:tbl>
    <w:p w14:paraId="23E85CDF">
      <w:pPr>
        <w:ind w:firstLine="480"/>
        <w:rPr>
          <w:color w:val="auto"/>
        </w:rPr>
      </w:pPr>
      <w:r>
        <w:rPr>
          <w:rFonts w:hint="eastAsia"/>
          <w:color w:val="auto"/>
        </w:rPr>
        <w:t>由监测结果统计可知，本项目评价范围厂区内T</w:t>
      </w:r>
      <w:r>
        <w:rPr>
          <w:color w:val="auto"/>
        </w:rPr>
        <w:t>1~T4</w:t>
      </w:r>
      <w:r>
        <w:rPr>
          <w:rFonts w:hint="eastAsia"/>
          <w:color w:val="auto"/>
        </w:rPr>
        <w:t>各监测点位满足《土壤环境质量 建设用地土壤污染风险管控标准（试行）》（GB36600-2018）第二类用地筛选值要求。厂区外</w:t>
      </w:r>
      <w:r>
        <w:rPr>
          <w:color w:val="auto"/>
        </w:rPr>
        <w:t>T5</w:t>
      </w:r>
      <w:r>
        <w:rPr>
          <w:rFonts w:hint="eastAsia"/>
          <w:color w:val="auto"/>
        </w:rPr>
        <w:t>、</w:t>
      </w:r>
      <w:r>
        <w:rPr>
          <w:color w:val="auto"/>
        </w:rPr>
        <w:t>T6</w:t>
      </w:r>
      <w:r>
        <w:rPr>
          <w:rFonts w:hint="eastAsia"/>
          <w:color w:val="auto"/>
        </w:rPr>
        <w:t>各监测点位满足《土壤环境质量 农用地土壤污染风险管控标准（试行）》（GB 15618-2018）风险筛选值要求。</w:t>
      </w:r>
    </w:p>
    <w:p w14:paraId="243F931B">
      <w:pPr>
        <w:pStyle w:val="4"/>
        <w:rPr>
          <w:color w:val="auto"/>
        </w:rPr>
      </w:pPr>
      <w:bookmarkStart w:id="449" w:name="_Toc225216773"/>
      <w:bookmarkStart w:id="450" w:name="_Toc199168971"/>
      <w:bookmarkStart w:id="451" w:name="_Toc199190508"/>
      <w:bookmarkStart w:id="452" w:name="_Toc198391269"/>
      <w:bookmarkStart w:id="453" w:name="_Toc198390616"/>
      <w:r>
        <w:rPr>
          <w:rFonts w:hint="eastAsia"/>
          <w:color w:val="auto"/>
        </w:rPr>
        <w:t>土壤的理化性质</w:t>
      </w:r>
      <w:bookmarkEnd w:id="449"/>
      <w:bookmarkEnd w:id="450"/>
      <w:bookmarkEnd w:id="451"/>
      <w:bookmarkEnd w:id="452"/>
      <w:bookmarkEnd w:id="453"/>
    </w:p>
    <w:p w14:paraId="35FB4036">
      <w:pPr>
        <w:ind w:firstLine="480"/>
        <w:rPr>
          <w:color w:val="auto"/>
        </w:rPr>
      </w:pPr>
      <w:r>
        <w:rPr>
          <w:rFonts w:hint="eastAsia"/>
          <w:color w:val="auto"/>
        </w:rPr>
        <w:t>本项目土壤理化性质调查见下表。</w:t>
      </w:r>
    </w:p>
    <w:p w14:paraId="02DB2373">
      <w:pPr>
        <w:pStyle w:val="7"/>
        <w:rPr>
          <w:color w:val="auto"/>
        </w:rPr>
      </w:pPr>
      <w:bookmarkStart w:id="454" w:name="_Ref196928419"/>
      <w:r>
        <w:rPr>
          <w:rFonts w:hint="eastAsia"/>
          <w:color w:val="auto"/>
        </w:rPr>
        <w:t>土壤理化特性调查表</w:t>
      </w:r>
      <w:bookmarkEnd w:id="454"/>
      <w:r>
        <w:rPr>
          <w:rFonts w:hint="eastAsia"/>
          <w:color w:val="auto"/>
        </w:rPr>
        <w:t>（T</w:t>
      </w:r>
      <w:r>
        <w:rPr>
          <w:color w:val="auto"/>
        </w:rPr>
        <w:t>1</w:t>
      </w:r>
      <w:r>
        <w:rPr>
          <w:rFonts w:hint="eastAsia"/>
          <w:color w:val="auto"/>
        </w:rPr>
        <w:t>）</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00"/>
        <w:gridCol w:w="2765"/>
        <w:gridCol w:w="143"/>
        <w:gridCol w:w="1746"/>
        <w:gridCol w:w="1014"/>
        <w:gridCol w:w="585"/>
        <w:gridCol w:w="1733"/>
      </w:tblGrid>
      <w:tr w14:paraId="28DEC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700" w:type="pct"/>
            <w:vAlign w:val="center"/>
          </w:tcPr>
          <w:p w14:paraId="2BEB9F5C">
            <w:pPr>
              <w:pStyle w:val="33"/>
              <w:rPr>
                <w:color w:val="auto"/>
              </w:rPr>
            </w:pPr>
            <w:r>
              <w:rPr>
                <w:rFonts w:hint="eastAsia"/>
                <w:color w:val="auto"/>
              </w:rPr>
              <w:t>检测点位</w:t>
            </w:r>
          </w:p>
        </w:tc>
        <w:tc>
          <w:tcPr>
            <w:tcW w:w="1566" w:type="pct"/>
            <w:gridSpan w:val="2"/>
            <w:vAlign w:val="center"/>
          </w:tcPr>
          <w:p w14:paraId="094D6930">
            <w:pPr>
              <w:pStyle w:val="33"/>
              <w:rPr>
                <w:color w:val="auto"/>
                <w:szCs w:val="21"/>
              </w:rPr>
            </w:pPr>
            <w:r>
              <w:rPr>
                <w:rFonts w:hint="eastAsia"/>
                <w:color w:val="auto"/>
              </w:rPr>
              <w:t>T</w:t>
            </w:r>
            <w:r>
              <w:rPr>
                <w:color w:val="auto"/>
              </w:rPr>
              <w:t>1</w:t>
            </w:r>
            <w:r>
              <w:rPr>
                <w:rFonts w:hint="eastAsia"/>
                <w:color w:val="auto"/>
              </w:rPr>
              <w:t xml:space="preserve"> 2#污水处理站</w:t>
            </w:r>
          </w:p>
        </w:tc>
        <w:tc>
          <w:tcPr>
            <w:tcW w:w="1486" w:type="pct"/>
            <w:gridSpan w:val="2"/>
            <w:vAlign w:val="center"/>
          </w:tcPr>
          <w:p w14:paraId="79C91BF8">
            <w:pPr>
              <w:pStyle w:val="33"/>
              <w:rPr>
                <w:color w:val="auto"/>
              </w:rPr>
            </w:pPr>
            <w:r>
              <w:rPr>
                <w:rFonts w:hint="eastAsia"/>
                <w:color w:val="auto"/>
              </w:rPr>
              <w:t>采样日期</w:t>
            </w:r>
          </w:p>
        </w:tc>
        <w:tc>
          <w:tcPr>
            <w:tcW w:w="1248" w:type="pct"/>
            <w:gridSpan w:val="2"/>
            <w:vAlign w:val="center"/>
          </w:tcPr>
          <w:p w14:paraId="3342E883">
            <w:pPr>
              <w:pStyle w:val="33"/>
              <w:rPr>
                <w:color w:val="auto"/>
              </w:rPr>
            </w:pPr>
            <w:r>
              <w:rPr>
                <w:rFonts w:hint="eastAsia"/>
                <w:color w:val="auto"/>
              </w:rPr>
              <w:t>2025年10月15日</w:t>
            </w:r>
          </w:p>
        </w:tc>
      </w:tr>
      <w:tr w14:paraId="42A54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700" w:type="pct"/>
            <w:vAlign w:val="center"/>
          </w:tcPr>
          <w:p w14:paraId="05919DE9">
            <w:pPr>
              <w:pStyle w:val="33"/>
              <w:rPr>
                <w:color w:val="auto"/>
              </w:rPr>
            </w:pPr>
            <w:r>
              <w:rPr>
                <w:rFonts w:hint="eastAsia"/>
                <w:color w:val="auto"/>
              </w:rPr>
              <w:t>经度</w:t>
            </w:r>
          </w:p>
        </w:tc>
        <w:tc>
          <w:tcPr>
            <w:tcW w:w="1566" w:type="pct"/>
            <w:gridSpan w:val="2"/>
            <w:vAlign w:val="center"/>
          </w:tcPr>
          <w:p w14:paraId="3E63B68E">
            <w:pPr>
              <w:pStyle w:val="33"/>
              <w:rPr>
                <w:color w:val="auto"/>
              </w:rPr>
            </w:pPr>
            <w:r>
              <w:rPr>
                <w:color w:val="auto"/>
                <w:szCs w:val="21"/>
                <w:shd w:val="clear" w:color="auto" w:fill="FFFFFF"/>
              </w:rPr>
              <w:t>108°41′0.26″</w:t>
            </w:r>
          </w:p>
        </w:tc>
        <w:tc>
          <w:tcPr>
            <w:tcW w:w="1486" w:type="pct"/>
            <w:gridSpan w:val="2"/>
            <w:vAlign w:val="center"/>
          </w:tcPr>
          <w:p w14:paraId="125F474C">
            <w:pPr>
              <w:pStyle w:val="33"/>
              <w:rPr>
                <w:color w:val="auto"/>
              </w:rPr>
            </w:pPr>
            <w:r>
              <w:rPr>
                <w:color w:val="auto"/>
              </w:rPr>
              <w:t>纬度</w:t>
            </w:r>
          </w:p>
        </w:tc>
        <w:tc>
          <w:tcPr>
            <w:tcW w:w="1248" w:type="pct"/>
            <w:gridSpan w:val="2"/>
            <w:vAlign w:val="center"/>
          </w:tcPr>
          <w:p w14:paraId="6C3EDCB0">
            <w:pPr>
              <w:pStyle w:val="33"/>
              <w:rPr>
                <w:color w:val="auto"/>
                <w:szCs w:val="21"/>
                <w:shd w:val="clear" w:color="auto" w:fill="FFFFFF"/>
              </w:rPr>
            </w:pPr>
            <w:r>
              <w:rPr>
                <w:color w:val="auto"/>
                <w:szCs w:val="21"/>
                <w:shd w:val="clear" w:color="auto" w:fill="FFFFFF"/>
              </w:rPr>
              <w:t>21°42′45.02″</w:t>
            </w:r>
          </w:p>
        </w:tc>
      </w:tr>
      <w:tr w14:paraId="4282A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 w:hRule="atLeast"/>
          <w:jc w:val="center"/>
        </w:trPr>
        <w:tc>
          <w:tcPr>
            <w:tcW w:w="2189" w:type="pct"/>
            <w:gridSpan w:val="2"/>
            <w:vAlign w:val="center"/>
          </w:tcPr>
          <w:p w14:paraId="58BA862B">
            <w:pPr>
              <w:pStyle w:val="33"/>
              <w:rPr>
                <w:color w:val="auto"/>
              </w:rPr>
            </w:pPr>
            <w:r>
              <w:rPr>
                <w:rFonts w:hint="eastAsia"/>
                <w:color w:val="auto"/>
              </w:rPr>
              <w:t>层次</w:t>
            </w:r>
          </w:p>
        </w:tc>
        <w:tc>
          <w:tcPr>
            <w:tcW w:w="1017" w:type="pct"/>
            <w:gridSpan w:val="2"/>
            <w:vAlign w:val="center"/>
          </w:tcPr>
          <w:p w14:paraId="06BA072D">
            <w:pPr>
              <w:pStyle w:val="33"/>
              <w:rPr>
                <w:color w:val="auto"/>
              </w:rPr>
            </w:pPr>
            <w:r>
              <w:rPr>
                <w:color w:val="auto"/>
              </w:rPr>
              <w:t>0~0.5m</w:t>
            </w:r>
          </w:p>
        </w:tc>
        <w:tc>
          <w:tcPr>
            <w:tcW w:w="861" w:type="pct"/>
            <w:gridSpan w:val="2"/>
            <w:vAlign w:val="center"/>
          </w:tcPr>
          <w:p w14:paraId="29B1FDE0">
            <w:pPr>
              <w:pStyle w:val="33"/>
              <w:rPr>
                <w:color w:val="auto"/>
              </w:rPr>
            </w:pPr>
            <w:r>
              <w:rPr>
                <w:rFonts w:hint="eastAsia"/>
                <w:color w:val="auto"/>
              </w:rPr>
              <w:t>0.5~1.5m</w:t>
            </w:r>
          </w:p>
        </w:tc>
        <w:tc>
          <w:tcPr>
            <w:tcW w:w="933" w:type="pct"/>
            <w:vAlign w:val="center"/>
          </w:tcPr>
          <w:p w14:paraId="2C653A84">
            <w:pPr>
              <w:pStyle w:val="33"/>
              <w:rPr>
                <w:rFonts w:cs="Times New Roman"/>
                <w:color w:val="auto"/>
              </w:rPr>
            </w:pPr>
            <w:r>
              <w:rPr>
                <w:rFonts w:hint="eastAsia" w:cs="Times New Roman"/>
                <w:color w:val="auto"/>
              </w:rPr>
              <w:t>1.5~3.0m</w:t>
            </w:r>
          </w:p>
        </w:tc>
      </w:tr>
      <w:tr w14:paraId="1BBC5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700" w:type="pct"/>
            <w:vMerge w:val="restart"/>
            <w:vAlign w:val="center"/>
          </w:tcPr>
          <w:p w14:paraId="28416690">
            <w:pPr>
              <w:pStyle w:val="33"/>
              <w:rPr>
                <w:color w:val="auto"/>
              </w:rPr>
            </w:pPr>
            <w:r>
              <w:rPr>
                <w:rFonts w:hint="eastAsia"/>
                <w:color w:val="auto"/>
              </w:rPr>
              <w:t>现场记录</w:t>
            </w:r>
          </w:p>
        </w:tc>
        <w:tc>
          <w:tcPr>
            <w:tcW w:w="1489" w:type="pct"/>
            <w:vAlign w:val="center"/>
          </w:tcPr>
          <w:p w14:paraId="7008631F">
            <w:pPr>
              <w:pStyle w:val="33"/>
              <w:rPr>
                <w:color w:val="auto"/>
              </w:rPr>
            </w:pPr>
            <w:r>
              <w:rPr>
                <w:rFonts w:hint="eastAsia"/>
                <w:color w:val="auto"/>
              </w:rPr>
              <w:t>颜色</w:t>
            </w:r>
          </w:p>
        </w:tc>
        <w:tc>
          <w:tcPr>
            <w:tcW w:w="1017" w:type="pct"/>
            <w:gridSpan w:val="2"/>
            <w:vAlign w:val="center"/>
          </w:tcPr>
          <w:p w14:paraId="0CCFA10A">
            <w:pPr>
              <w:pStyle w:val="33"/>
              <w:rPr>
                <w:color w:val="auto"/>
              </w:rPr>
            </w:pPr>
          </w:p>
        </w:tc>
        <w:tc>
          <w:tcPr>
            <w:tcW w:w="861" w:type="pct"/>
            <w:gridSpan w:val="2"/>
            <w:vAlign w:val="center"/>
          </w:tcPr>
          <w:p w14:paraId="1461AB04">
            <w:pPr>
              <w:pStyle w:val="33"/>
              <w:rPr>
                <w:rFonts w:cs="Times New Roman"/>
                <w:color w:val="auto"/>
              </w:rPr>
            </w:pPr>
          </w:p>
        </w:tc>
        <w:tc>
          <w:tcPr>
            <w:tcW w:w="933" w:type="pct"/>
            <w:vAlign w:val="center"/>
          </w:tcPr>
          <w:p w14:paraId="01EA7CA4">
            <w:pPr>
              <w:pStyle w:val="33"/>
              <w:rPr>
                <w:rFonts w:cs="Times New Roman"/>
                <w:color w:val="auto"/>
              </w:rPr>
            </w:pPr>
          </w:p>
        </w:tc>
      </w:tr>
      <w:tr w14:paraId="45BC9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 w:hRule="atLeast"/>
          <w:jc w:val="center"/>
        </w:trPr>
        <w:tc>
          <w:tcPr>
            <w:tcW w:w="700" w:type="pct"/>
            <w:vMerge w:val="continue"/>
            <w:vAlign w:val="center"/>
          </w:tcPr>
          <w:p w14:paraId="247A3E5D">
            <w:pPr>
              <w:pStyle w:val="33"/>
              <w:rPr>
                <w:color w:val="auto"/>
              </w:rPr>
            </w:pPr>
          </w:p>
        </w:tc>
        <w:tc>
          <w:tcPr>
            <w:tcW w:w="1489" w:type="pct"/>
            <w:vAlign w:val="center"/>
          </w:tcPr>
          <w:p w14:paraId="00B73B79">
            <w:pPr>
              <w:pStyle w:val="33"/>
              <w:rPr>
                <w:color w:val="auto"/>
              </w:rPr>
            </w:pPr>
            <w:r>
              <w:rPr>
                <w:rFonts w:hint="eastAsia"/>
                <w:color w:val="auto"/>
              </w:rPr>
              <w:t>结构</w:t>
            </w:r>
          </w:p>
        </w:tc>
        <w:tc>
          <w:tcPr>
            <w:tcW w:w="1017" w:type="pct"/>
            <w:gridSpan w:val="2"/>
            <w:vAlign w:val="center"/>
          </w:tcPr>
          <w:p w14:paraId="10714197">
            <w:pPr>
              <w:pStyle w:val="33"/>
              <w:rPr>
                <w:color w:val="auto"/>
              </w:rPr>
            </w:pPr>
          </w:p>
        </w:tc>
        <w:tc>
          <w:tcPr>
            <w:tcW w:w="861" w:type="pct"/>
            <w:gridSpan w:val="2"/>
            <w:vAlign w:val="center"/>
          </w:tcPr>
          <w:p w14:paraId="63EDECE9">
            <w:pPr>
              <w:pStyle w:val="33"/>
              <w:rPr>
                <w:color w:val="auto"/>
              </w:rPr>
            </w:pPr>
          </w:p>
        </w:tc>
        <w:tc>
          <w:tcPr>
            <w:tcW w:w="933" w:type="pct"/>
            <w:vAlign w:val="center"/>
          </w:tcPr>
          <w:p w14:paraId="39A68EAF">
            <w:pPr>
              <w:pStyle w:val="33"/>
              <w:rPr>
                <w:color w:val="auto"/>
              </w:rPr>
            </w:pPr>
          </w:p>
        </w:tc>
      </w:tr>
      <w:tr w14:paraId="1DE3D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700FCC72">
            <w:pPr>
              <w:pStyle w:val="33"/>
              <w:rPr>
                <w:color w:val="auto"/>
              </w:rPr>
            </w:pPr>
          </w:p>
        </w:tc>
        <w:tc>
          <w:tcPr>
            <w:tcW w:w="1489" w:type="pct"/>
            <w:vAlign w:val="center"/>
          </w:tcPr>
          <w:p w14:paraId="29233165">
            <w:pPr>
              <w:pStyle w:val="33"/>
              <w:rPr>
                <w:color w:val="auto"/>
              </w:rPr>
            </w:pPr>
            <w:r>
              <w:rPr>
                <w:rFonts w:hint="eastAsia"/>
                <w:color w:val="auto"/>
              </w:rPr>
              <w:t>质地</w:t>
            </w:r>
          </w:p>
        </w:tc>
        <w:tc>
          <w:tcPr>
            <w:tcW w:w="1017" w:type="pct"/>
            <w:gridSpan w:val="2"/>
            <w:vAlign w:val="center"/>
          </w:tcPr>
          <w:p w14:paraId="462AAC75">
            <w:pPr>
              <w:pStyle w:val="33"/>
              <w:rPr>
                <w:color w:val="auto"/>
              </w:rPr>
            </w:pPr>
          </w:p>
        </w:tc>
        <w:tc>
          <w:tcPr>
            <w:tcW w:w="861" w:type="pct"/>
            <w:gridSpan w:val="2"/>
            <w:vAlign w:val="center"/>
          </w:tcPr>
          <w:p w14:paraId="6E26EA41">
            <w:pPr>
              <w:pStyle w:val="33"/>
              <w:rPr>
                <w:color w:val="auto"/>
              </w:rPr>
            </w:pPr>
          </w:p>
        </w:tc>
        <w:tc>
          <w:tcPr>
            <w:tcW w:w="933" w:type="pct"/>
            <w:vAlign w:val="center"/>
          </w:tcPr>
          <w:p w14:paraId="65F5B313">
            <w:pPr>
              <w:pStyle w:val="33"/>
              <w:rPr>
                <w:color w:val="auto"/>
              </w:rPr>
            </w:pPr>
          </w:p>
        </w:tc>
      </w:tr>
      <w:tr w14:paraId="6E032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4995036E">
            <w:pPr>
              <w:pStyle w:val="33"/>
              <w:rPr>
                <w:color w:val="auto"/>
              </w:rPr>
            </w:pPr>
          </w:p>
        </w:tc>
        <w:tc>
          <w:tcPr>
            <w:tcW w:w="1489" w:type="pct"/>
            <w:vAlign w:val="center"/>
          </w:tcPr>
          <w:p w14:paraId="74B16A1A">
            <w:pPr>
              <w:pStyle w:val="33"/>
              <w:rPr>
                <w:color w:val="auto"/>
              </w:rPr>
            </w:pPr>
            <w:r>
              <w:rPr>
                <w:rFonts w:hint="eastAsia"/>
                <w:color w:val="auto"/>
              </w:rPr>
              <w:t>砂砾含量</w:t>
            </w:r>
          </w:p>
        </w:tc>
        <w:tc>
          <w:tcPr>
            <w:tcW w:w="1017" w:type="pct"/>
            <w:gridSpan w:val="2"/>
            <w:vAlign w:val="center"/>
          </w:tcPr>
          <w:p w14:paraId="55404ACD">
            <w:pPr>
              <w:pStyle w:val="33"/>
              <w:rPr>
                <w:color w:val="auto"/>
              </w:rPr>
            </w:pPr>
          </w:p>
        </w:tc>
        <w:tc>
          <w:tcPr>
            <w:tcW w:w="861" w:type="pct"/>
            <w:gridSpan w:val="2"/>
            <w:vAlign w:val="center"/>
          </w:tcPr>
          <w:p w14:paraId="1E826EEB">
            <w:pPr>
              <w:pStyle w:val="33"/>
              <w:rPr>
                <w:rFonts w:cs="Times New Roman"/>
                <w:color w:val="auto"/>
              </w:rPr>
            </w:pPr>
          </w:p>
        </w:tc>
        <w:tc>
          <w:tcPr>
            <w:tcW w:w="933" w:type="pct"/>
            <w:vAlign w:val="center"/>
          </w:tcPr>
          <w:p w14:paraId="0CE5FC0D">
            <w:pPr>
              <w:pStyle w:val="33"/>
              <w:rPr>
                <w:rFonts w:cs="Times New Roman"/>
                <w:color w:val="auto"/>
              </w:rPr>
            </w:pPr>
          </w:p>
        </w:tc>
      </w:tr>
      <w:tr w14:paraId="75EBA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0A117291">
            <w:pPr>
              <w:pStyle w:val="33"/>
              <w:rPr>
                <w:color w:val="auto"/>
              </w:rPr>
            </w:pPr>
          </w:p>
        </w:tc>
        <w:tc>
          <w:tcPr>
            <w:tcW w:w="1489" w:type="pct"/>
            <w:vAlign w:val="center"/>
          </w:tcPr>
          <w:p w14:paraId="5A64E171">
            <w:pPr>
              <w:pStyle w:val="33"/>
              <w:rPr>
                <w:color w:val="auto"/>
              </w:rPr>
            </w:pPr>
            <w:r>
              <w:rPr>
                <w:rFonts w:hint="eastAsia"/>
                <w:color w:val="auto"/>
              </w:rPr>
              <w:t>其他异物</w:t>
            </w:r>
          </w:p>
        </w:tc>
        <w:tc>
          <w:tcPr>
            <w:tcW w:w="1017" w:type="pct"/>
            <w:gridSpan w:val="2"/>
            <w:vAlign w:val="center"/>
          </w:tcPr>
          <w:p w14:paraId="6B2991CD">
            <w:pPr>
              <w:pStyle w:val="33"/>
              <w:rPr>
                <w:color w:val="auto"/>
              </w:rPr>
            </w:pPr>
          </w:p>
        </w:tc>
        <w:tc>
          <w:tcPr>
            <w:tcW w:w="861" w:type="pct"/>
            <w:gridSpan w:val="2"/>
            <w:vAlign w:val="center"/>
          </w:tcPr>
          <w:p w14:paraId="34CB58F0">
            <w:pPr>
              <w:pStyle w:val="33"/>
              <w:rPr>
                <w:color w:val="auto"/>
              </w:rPr>
            </w:pPr>
          </w:p>
        </w:tc>
        <w:tc>
          <w:tcPr>
            <w:tcW w:w="933" w:type="pct"/>
            <w:vAlign w:val="center"/>
          </w:tcPr>
          <w:p w14:paraId="781FC594">
            <w:pPr>
              <w:pStyle w:val="33"/>
              <w:rPr>
                <w:color w:val="auto"/>
              </w:rPr>
            </w:pPr>
          </w:p>
        </w:tc>
      </w:tr>
      <w:tr w14:paraId="21775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restart"/>
            <w:vAlign w:val="center"/>
          </w:tcPr>
          <w:p w14:paraId="6CC58766">
            <w:pPr>
              <w:pStyle w:val="33"/>
              <w:rPr>
                <w:color w:val="auto"/>
              </w:rPr>
            </w:pPr>
            <w:r>
              <w:rPr>
                <w:rFonts w:hint="eastAsia"/>
                <w:color w:val="auto"/>
              </w:rPr>
              <w:t>实验室测定</w:t>
            </w:r>
          </w:p>
        </w:tc>
        <w:tc>
          <w:tcPr>
            <w:tcW w:w="1489" w:type="pct"/>
            <w:vAlign w:val="center"/>
          </w:tcPr>
          <w:p w14:paraId="70E8377B">
            <w:pPr>
              <w:pStyle w:val="33"/>
              <w:rPr>
                <w:color w:val="auto"/>
              </w:rPr>
            </w:pPr>
            <w:r>
              <w:rPr>
                <w:color w:val="auto"/>
              </w:rPr>
              <w:t>阳离子交换量</w:t>
            </w:r>
            <w:r>
              <w:rPr>
                <w:rFonts w:hint="eastAsia"/>
                <w:color w:val="auto"/>
              </w:rPr>
              <w:t>（</w:t>
            </w:r>
            <w:r>
              <w:rPr>
                <w:rFonts w:hint="eastAsia" w:hAnsi="宋体"/>
                <w:color w:val="auto"/>
                <w:szCs w:val="21"/>
              </w:rPr>
              <w:t>cmol</w:t>
            </w:r>
            <w:r>
              <w:rPr>
                <w:rFonts w:hint="eastAsia" w:hAnsi="宋体"/>
                <w:color w:val="auto"/>
                <w:szCs w:val="21"/>
                <w:vertAlign w:val="superscript"/>
              </w:rPr>
              <w:t>+</w:t>
            </w:r>
            <w:r>
              <w:rPr>
                <w:rFonts w:hint="eastAsia" w:hAnsi="宋体"/>
                <w:color w:val="auto"/>
                <w:szCs w:val="21"/>
              </w:rPr>
              <w:t>/kg</w:t>
            </w:r>
            <w:r>
              <w:rPr>
                <w:rFonts w:hint="eastAsia"/>
                <w:color w:val="auto"/>
              </w:rPr>
              <w:t>）</w:t>
            </w:r>
          </w:p>
        </w:tc>
        <w:tc>
          <w:tcPr>
            <w:tcW w:w="1017" w:type="pct"/>
            <w:gridSpan w:val="2"/>
            <w:vAlign w:val="center"/>
          </w:tcPr>
          <w:p w14:paraId="17A56B63">
            <w:pPr>
              <w:pStyle w:val="33"/>
              <w:rPr>
                <w:color w:val="auto"/>
              </w:rPr>
            </w:pPr>
          </w:p>
        </w:tc>
        <w:tc>
          <w:tcPr>
            <w:tcW w:w="861" w:type="pct"/>
            <w:gridSpan w:val="2"/>
            <w:vAlign w:val="center"/>
          </w:tcPr>
          <w:p w14:paraId="401578A0">
            <w:pPr>
              <w:pStyle w:val="33"/>
              <w:rPr>
                <w:color w:val="auto"/>
              </w:rPr>
            </w:pPr>
          </w:p>
        </w:tc>
        <w:tc>
          <w:tcPr>
            <w:tcW w:w="933" w:type="pct"/>
            <w:vAlign w:val="center"/>
          </w:tcPr>
          <w:p w14:paraId="12C16CCB">
            <w:pPr>
              <w:pStyle w:val="33"/>
              <w:rPr>
                <w:color w:val="auto"/>
              </w:rPr>
            </w:pPr>
          </w:p>
        </w:tc>
      </w:tr>
      <w:tr w14:paraId="5B980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79B7399A">
            <w:pPr>
              <w:pStyle w:val="33"/>
              <w:rPr>
                <w:color w:val="auto"/>
              </w:rPr>
            </w:pPr>
          </w:p>
        </w:tc>
        <w:tc>
          <w:tcPr>
            <w:tcW w:w="1489" w:type="pct"/>
            <w:vAlign w:val="center"/>
          </w:tcPr>
          <w:p w14:paraId="0529C1A9">
            <w:pPr>
              <w:pStyle w:val="33"/>
              <w:rPr>
                <w:color w:val="auto"/>
              </w:rPr>
            </w:pPr>
            <w:r>
              <w:rPr>
                <w:color w:val="auto"/>
              </w:rPr>
              <w:t>氧化还原电位</w:t>
            </w:r>
            <w:r>
              <w:rPr>
                <w:rFonts w:hint="eastAsia"/>
                <w:color w:val="auto"/>
              </w:rPr>
              <w:t>（mV）</w:t>
            </w:r>
          </w:p>
        </w:tc>
        <w:tc>
          <w:tcPr>
            <w:tcW w:w="1017" w:type="pct"/>
            <w:gridSpan w:val="2"/>
            <w:vAlign w:val="center"/>
          </w:tcPr>
          <w:p w14:paraId="2DF7157C">
            <w:pPr>
              <w:pStyle w:val="33"/>
              <w:rPr>
                <w:color w:val="auto"/>
              </w:rPr>
            </w:pPr>
          </w:p>
        </w:tc>
        <w:tc>
          <w:tcPr>
            <w:tcW w:w="861" w:type="pct"/>
            <w:gridSpan w:val="2"/>
            <w:vAlign w:val="center"/>
          </w:tcPr>
          <w:p w14:paraId="7B000C83">
            <w:pPr>
              <w:pStyle w:val="33"/>
              <w:rPr>
                <w:color w:val="auto"/>
              </w:rPr>
            </w:pPr>
          </w:p>
        </w:tc>
        <w:tc>
          <w:tcPr>
            <w:tcW w:w="933" w:type="pct"/>
            <w:vAlign w:val="center"/>
          </w:tcPr>
          <w:p w14:paraId="4BECEEF5">
            <w:pPr>
              <w:pStyle w:val="33"/>
              <w:rPr>
                <w:color w:val="auto"/>
              </w:rPr>
            </w:pPr>
          </w:p>
        </w:tc>
      </w:tr>
      <w:tr w14:paraId="0F740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7148A9C7">
            <w:pPr>
              <w:pStyle w:val="33"/>
              <w:rPr>
                <w:color w:val="auto"/>
              </w:rPr>
            </w:pPr>
          </w:p>
        </w:tc>
        <w:tc>
          <w:tcPr>
            <w:tcW w:w="1489" w:type="pct"/>
            <w:vAlign w:val="center"/>
          </w:tcPr>
          <w:p w14:paraId="0BA62A50">
            <w:pPr>
              <w:pStyle w:val="33"/>
              <w:rPr>
                <w:color w:val="auto"/>
              </w:rPr>
            </w:pPr>
            <w:r>
              <w:rPr>
                <w:rFonts w:hint="eastAsia"/>
                <w:color w:val="auto"/>
              </w:rPr>
              <w:t>饱和导水率（</w:t>
            </w:r>
            <w:r>
              <w:rPr>
                <w:color w:val="auto"/>
              </w:rPr>
              <w:t>mm/min</w:t>
            </w:r>
            <w:r>
              <w:rPr>
                <w:rFonts w:hint="eastAsia"/>
                <w:color w:val="auto"/>
              </w:rPr>
              <w:t>）</w:t>
            </w:r>
          </w:p>
        </w:tc>
        <w:tc>
          <w:tcPr>
            <w:tcW w:w="1017" w:type="pct"/>
            <w:gridSpan w:val="2"/>
            <w:vAlign w:val="center"/>
          </w:tcPr>
          <w:p w14:paraId="00B1EBA6">
            <w:pPr>
              <w:pStyle w:val="33"/>
              <w:rPr>
                <w:color w:val="auto"/>
              </w:rPr>
            </w:pPr>
          </w:p>
        </w:tc>
        <w:tc>
          <w:tcPr>
            <w:tcW w:w="861" w:type="pct"/>
            <w:gridSpan w:val="2"/>
            <w:vAlign w:val="center"/>
          </w:tcPr>
          <w:p w14:paraId="44A9F5B4">
            <w:pPr>
              <w:pStyle w:val="33"/>
              <w:rPr>
                <w:color w:val="auto"/>
              </w:rPr>
            </w:pPr>
          </w:p>
        </w:tc>
        <w:tc>
          <w:tcPr>
            <w:tcW w:w="933" w:type="pct"/>
            <w:vAlign w:val="center"/>
          </w:tcPr>
          <w:p w14:paraId="4743CF49">
            <w:pPr>
              <w:pStyle w:val="33"/>
              <w:rPr>
                <w:color w:val="auto"/>
              </w:rPr>
            </w:pPr>
          </w:p>
        </w:tc>
      </w:tr>
      <w:tr w14:paraId="586DC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705B3DA0">
            <w:pPr>
              <w:pStyle w:val="33"/>
              <w:rPr>
                <w:color w:val="auto"/>
              </w:rPr>
            </w:pPr>
          </w:p>
        </w:tc>
        <w:tc>
          <w:tcPr>
            <w:tcW w:w="1489" w:type="pct"/>
            <w:vAlign w:val="center"/>
          </w:tcPr>
          <w:p w14:paraId="775814A3">
            <w:pPr>
              <w:pStyle w:val="33"/>
              <w:rPr>
                <w:color w:val="auto"/>
              </w:rPr>
            </w:pPr>
            <w:r>
              <w:rPr>
                <w:rFonts w:hint="eastAsia"/>
                <w:color w:val="auto"/>
              </w:rPr>
              <w:t>土壤容重（g/cm</w:t>
            </w:r>
            <w:r>
              <w:rPr>
                <w:rFonts w:hint="eastAsia"/>
                <w:color w:val="auto"/>
                <w:vertAlign w:val="superscript"/>
              </w:rPr>
              <w:t>3</w:t>
            </w:r>
            <w:r>
              <w:rPr>
                <w:rFonts w:hint="eastAsia"/>
                <w:color w:val="auto"/>
              </w:rPr>
              <w:t>）</w:t>
            </w:r>
          </w:p>
        </w:tc>
        <w:tc>
          <w:tcPr>
            <w:tcW w:w="1017" w:type="pct"/>
            <w:gridSpan w:val="2"/>
            <w:vAlign w:val="center"/>
          </w:tcPr>
          <w:p w14:paraId="091CB89D">
            <w:pPr>
              <w:pStyle w:val="33"/>
              <w:rPr>
                <w:color w:val="auto"/>
              </w:rPr>
            </w:pPr>
          </w:p>
        </w:tc>
        <w:tc>
          <w:tcPr>
            <w:tcW w:w="861" w:type="pct"/>
            <w:gridSpan w:val="2"/>
            <w:vAlign w:val="center"/>
          </w:tcPr>
          <w:p w14:paraId="2DE31B34">
            <w:pPr>
              <w:pStyle w:val="33"/>
              <w:rPr>
                <w:color w:val="auto"/>
              </w:rPr>
            </w:pPr>
          </w:p>
        </w:tc>
        <w:tc>
          <w:tcPr>
            <w:tcW w:w="933" w:type="pct"/>
            <w:vAlign w:val="center"/>
          </w:tcPr>
          <w:p w14:paraId="7C976E42">
            <w:pPr>
              <w:pStyle w:val="33"/>
              <w:rPr>
                <w:color w:val="auto"/>
              </w:rPr>
            </w:pPr>
          </w:p>
        </w:tc>
      </w:tr>
      <w:tr w14:paraId="008154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700" w:type="pct"/>
            <w:vMerge w:val="continue"/>
            <w:vAlign w:val="center"/>
          </w:tcPr>
          <w:p w14:paraId="06A047C2">
            <w:pPr>
              <w:pStyle w:val="33"/>
              <w:rPr>
                <w:color w:val="auto"/>
              </w:rPr>
            </w:pPr>
          </w:p>
        </w:tc>
        <w:tc>
          <w:tcPr>
            <w:tcW w:w="1489" w:type="pct"/>
            <w:vAlign w:val="center"/>
          </w:tcPr>
          <w:p w14:paraId="4DED9752">
            <w:pPr>
              <w:pStyle w:val="33"/>
              <w:rPr>
                <w:color w:val="auto"/>
              </w:rPr>
            </w:pPr>
            <w:r>
              <w:rPr>
                <w:rFonts w:hint="eastAsia"/>
                <w:color w:val="auto"/>
              </w:rPr>
              <w:t>孔隙度（%）</w:t>
            </w:r>
          </w:p>
        </w:tc>
        <w:tc>
          <w:tcPr>
            <w:tcW w:w="1017" w:type="pct"/>
            <w:gridSpan w:val="2"/>
            <w:vAlign w:val="center"/>
          </w:tcPr>
          <w:p w14:paraId="2ED30752">
            <w:pPr>
              <w:pStyle w:val="33"/>
              <w:rPr>
                <w:color w:val="auto"/>
              </w:rPr>
            </w:pPr>
          </w:p>
        </w:tc>
        <w:tc>
          <w:tcPr>
            <w:tcW w:w="861" w:type="pct"/>
            <w:gridSpan w:val="2"/>
            <w:vAlign w:val="center"/>
          </w:tcPr>
          <w:p w14:paraId="70CCA928">
            <w:pPr>
              <w:pStyle w:val="33"/>
              <w:rPr>
                <w:color w:val="auto"/>
              </w:rPr>
            </w:pPr>
          </w:p>
        </w:tc>
        <w:tc>
          <w:tcPr>
            <w:tcW w:w="933" w:type="pct"/>
            <w:vAlign w:val="center"/>
          </w:tcPr>
          <w:p w14:paraId="76825199">
            <w:pPr>
              <w:pStyle w:val="33"/>
              <w:rPr>
                <w:color w:val="auto"/>
              </w:rPr>
            </w:pPr>
          </w:p>
        </w:tc>
      </w:tr>
      <w:tr w14:paraId="7614E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5" w:hRule="atLeast"/>
          <w:jc w:val="center"/>
        </w:trPr>
        <w:tc>
          <w:tcPr>
            <w:tcW w:w="2189" w:type="pct"/>
            <w:gridSpan w:val="2"/>
            <w:vAlign w:val="center"/>
          </w:tcPr>
          <w:p w14:paraId="7C8D6DE3">
            <w:pPr>
              <w:pStyle w:val="33"/>
              <w:rPr>
                <w:color w:val="auto"/>
              </w:rPr>
            </w:pPr>
            <w:r>
              <w:rPr>
                <w:rFonts w:hint="eastAsia"/>
                <w:color w:val="auto"/>
              </w:rPr>
              <w:t>景观照片</w:t>
            </w:r>
          </w:p>
        </w:tc>
        <w:tc>
          <w:tcPr>
            <w:tcW w:w="1878" w:type="pct"/>
            <w:gridSpan w:val="4"/>
            <w:vAlign w:val="center"/>
          </w:tcPr>
          <w:p w14:paraId="58BD86F7">
            <w:pPr>
              <w:pStyle w:val="33"/>
              <w:rPr>
                <w:color w:val="auto"/>
              </w:rPr>
            </w:pPr>
            <w:r>
              <w:rPr>
                <w:rFonts w:hint="eastAsia"/>
                <w:color w:val="auto"/>
              </w:rPr>
              <w:t>土壤剖面</w:t>
            </w:r>
          </w:p>
        </w:tc>
        <w:tc>
          <w:tcPr>
            <w:tcW w:w="933" w:type="pct"/>
            <w:vAlign w:val="center"/>
          </w:tcPr>
          <w:p w14:paraId="79EF8D84">
            <w:pPr>
              <w:pStyle w:val="33"/>
              <w:rPr>
                <w:color w:val="auto"/>
              </w:rPr>
            </w:pPr>
            <w:r>
              <w:rPr>
                <w:rFonts w:hint="eastAsia"/>
                <w:color w:val="auto"/>
              </w:rPr>
              <w:t>层次</w:t>
            </w:r>
          </w:p>
        </w:tc>
      </w:tr>
      <w:tr w14:paraId="62849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2189" w:type="pct"/>
            <w:gridSpan w:val="2"/>
            <w:vMerge w:val="restart"/>
            <w:vAlign w:val="center"/>
          </w:tcPr>
          <w:p w14:paraId="1C08ADAB">
            <w:pPr>
              <w:pStyle w:val="33"/>
              <w:rPr>
                <w:color w:val="auto"/>
              </w:rPr>
            </w:pPr>
            <w:r>
              <w:rPr>
                <w:rFonts w:hint="eastAsia"/>
                <w:color w:val="auto"/>
              </w:rPr>
              <w:drawing>
                <wp:inline distT="0" distB="0" distL="0" distR="0">
                  <wp:extent cx="1615440" cy="1663700"/>
                  <wp:effectExtent l="0" t="0" r="3810" b="0"/>
                  <wp:docPr id="3" name="图片 3" descr="草地上的植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草地上的植物&#10;&#10;AI 生成的内容可能不正确。"/>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54503" cy="1704203"/>
                          </a:xfrm>
                          <a:prstGeom prst="rect">
                            <a:avLst/>
                          </a:prstGeom>
                        </pic:spPr>
                      </pic:pic>
                    </a:graphicData>
                  </a:graphic>
                </wp:inline>
              </w:drawing>
            </w:r>
          </w:p>
        </w:tc>
        <w:tc>
          <w:tcPr>
            <w:tcW w:w="1878" w:type="pct"/>
            <w:gridSpan w:val="4"/>
            <w:vMerge w:val="restart"/>
            <w:vAlign w:val="center"/>
          </w:tcPr>
          <w:p w14:paraId="13FB2ACD">
            <w:pPr>
              <w:pStyle w:val="33"/>
              <w:rPr>
                <w:color w:val="auto"/>
              </w:rPr>
            </w:pPr>
            <w:r>
              <w:rPr>
                <w:rFonts w:hint="eastAsia"/>
                <w:color w:val="auto"/>
              </w:rPr>
              <w:drawing>
                <wp:inline distT="0" distB="0" distL="0" distR="0">
                  <wp:extent cx="975995" cy="1839595"/>
                  <wp:effectExtent l="0" t="0" r="0" b="8255"/>
                  <wp:docPr id="4" name="图片 4" descr="图片包含 户外, 草, 污渍, 标志&#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包含 户外, 草, 污渍, 标志&#10;&#10;AI 生成的内容可能不正确。"/>
                          <pic:cNvPicPr>
                            <a:picLocks noChangeAspect="1"/>
                          </pic:cNvPicPr>
                        </pic:nvPicPr>
                        <pic:blipFill>
                          <a:blip r:embed="rId90" cstate="print">
                            <a:extLst>
                              <a:ext uri="{28A0092B-C50C-407E-A947-70E740481C1C}">
                                <a14:useLocalDpi xmlns:a14="http://schemas.microsoft.com/office/drawing/2010/main" val="0"/>
                              </a:ext>
                            </a:extLst>
                          </a:blip>
                          <a:srcRect b="11730"/>
                          <a:stretch>
                            <a:fillRect/>
                          </a:stretch>
                        </pic:blipFill>
                        <pic:spPr>
                          <a:xfrm>
                            <a:off x="0" y="0"/>
                            <a:ext cx="996295" cy="1878291"/>
                          </a:xfrm>
                          <a:prstGeom prst="rect">
                            <a:avLst/>
                          </a:prstGeom>
                          <a:ln>
                            <a:noFill/>
                          </a:ln>
                        </pic:spPr>
                      </pic:pic>
                    </a:graphicData>
                  </a:graphic>
                </wp:inline>
              </w:drawing>
            </w:r>
          </w:p>
        </w:tc>
        <w:tc>
          <w:tcPr>
            <w:tcW w:w="933" w:type="pct"/>
            <w:vAlign w:val="center"/>
          </w:tcPr>
          <w:p w14:paraId="25A5BE5C">
            <w:pPr>
              <w:pStyle w:val="33"/>
              <w:rPr>
                <w:color w:val="auto"/>
              </w:rPr>
            </w:pPr>
            <w:r>
              <w:rPr>
                <w:color w:val="auto"/>
              </w:rPr>
              <w:t>0~0.5m</w:t>
            </w:r>
          </w:p>
        </w:tc>
      </w:tr>
      <w:tr w14:paraId="4121A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3" w:hRule="atLeast"/>
          <w:jc w:val="center"/>
        </w:trPr>
        <w:tc>
          <w:tcPr>
            <w:tcW w:w="2189" w:type="pct"/>
            <w:gridSpan w:val="2"/>
            <w:vMerge w:val="continue"/>
            <w:vAlign w:val="center"/>
          </w:tcPr>
          <w:p w14:paraId="13E01DBA">
            <w:pPr>
              <w:pStyle w:val="33"/>
              <w:rPr>
                <w:color w:val="auto"/>
              </w:rPr>
            </w:pPr>
          </w:p>
        </w:tc>
        <w:tc>
          <w:tcPr>
            <w:tcW w:w="1878" w:type="pct"/>
            <w:gridSpan w:val="4"/>
            <w:vMerge w:val="continue"/>
            <w:vAlign w:val="center"/>
          </w:tcPr>
          <w:p w14:paraId="17E115C1">
            <w:pPr>
              <w:pStyle w:val="33"/>
              <w:rPr>
                <w:color w:val="auto"/>
              </w:rPr>
            </w:pPr>
          </w:p>
        </w:tc>
        <w:tc>
          <w:tcPr>
            <w:tcW w:w="933" w:type="pct"/>
            <w:vAlign w:val="center"/>
          </w:tcPr>
          <w:p w14:paraId="310C54E5">
            <w:pPr>
              <w:pStyle w:val="33"/>
              <w:rPr>
                <w:color w:val="auto"/>
              </w:rPr>
            </w:pPr>
            <w:r>
              <w:rPr>
                <w:rFonts w:hint="eastAsia"/>
                <w:color w:val="auto"/>
              </w:rPr>
              <w:t>0.5~1.5m</w:t>
            </w:r>
          </w:p>
        </w:tc>
      </w:tr>
      <w:tr w14:paraId="27057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2189" w:type="pct"/>
            <w:gridSpan w:val="2"/>
            <w:vMerge w:val="continue"/>
            <w:vAlign w:val="center"/>
          </w:tcPr>
          <w:p w14:paraId="4455D6CD">
            <w:pPr>
              <w:pStyle w:val="33"/>
              <w:rPr>
                <w:color w:val="auto"/>
              </w:rPr>
            </w:pPr>
          </w:p>
        </w:tc>
        <w:tc>
          <w:tcPr>
            <w:tcW w:w="1878" w:type="pct"/>
            <w:gridSpan w:val="4"/>
            <w:vMerge w:val="continue"/>
            <w:vAlign w:val="center"/>
          </w:tcPr>
          <w:p w14:paraId="2C1E5D80">
            <w:pPr>
              <w:pStyle w:val="33"/>
              <w:rPr>
                <w:color w:val="auto"/>
              </w:rPr>
            </w:pPr>
          </w:p>
        </w:tc>
        <w:tc>
          <w:tcPr>
            <w:tcW w:w="933" w:type="pct"/>
            <w:vAlign w:val="center"/>
          </w:tcPr>
          <w:p w14:paraId="23F5C7FA">
            <w:pPr>
              <w:pStyle w:val="33"/>
              <w:rPr>
                <w:color w:val="auto"/>
              </w:rPr>
            </w:pPr>
            <w:r>
              <w:rPr>
                <w:rFonts w:hint="eastAsia"/>
                <w:color w:val="auto"/>
              </w:rPr>
              <w:t>1.5~3.0m</w:t>
            </w:r>
          </w:p>
        </w:tc>
      </w:tr>
    </w:tbl>
    <w:p w14:paraId="17EA70DA">
      <w:pPr>
        <w:pStyle w:val="7"/>
        <w:rPr>
          <w:color w:val="auto"/>
        </w:rPr>
      </w:pPr>
      <w:r>
        <w:rPr>
          <w:rFonts w:hint="eastAsia"/>
          <w:color w:val="auto"/>
        </w:rPr>
        <w:t>土壤理化特性调查表（T</w:t>
      </w:r>
      <w:r>
        <w:rPr>
          <w:color w:val="auto"/>
        </w:rPr>
        <w:t>5</w:t>
      </w:r>
      <w:r>
        <w:rPr>
          <w:rFonts w:hint="eastAsia"/>
          <w:color w:val="auto"/>
        </w:rPr>
        <w:t>）</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8"/>
        <w:gridCol w:w="2433"/>
        <w:gridCol w:w="175"/>
        <w:gridCol w:w="2595"/>
        <w:gridCol w:w="1153"/>
        <w:gridCol w:w="1592"/>
      </w:tblGrid>
      <w:tr w14:paraId="1C8CC3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1" w:type="pct"/>
            <w:vAlign w:val="center"/>
          </w:tcPr>
          <w:p w14:paraId="17F820F5">
            <w:pPr>
              <w:pStyle w:val="33"/>
              <w:rPr>
                <w:color w:val="auto"/>
              </w:rPr>
            </w:pPr>
            <w:r>
              <w:rPr>
                <w:rFonts w:hint="eastAsia"/>
                <w:color w:val="auto"/>
              </w:rPr>
              <w:t>检测点位</w:t>
            </w:r>
          </w:p>
        </w:tc>
        <w:tc>
          <w:tcPr>
            <w:tcW w:w="1404" w:type="pct"/>
            <w:gridSpan w:val="2"/>
            <w:vAlign w:val="center"/>
          </w:tcPr>
          <w:p w14:paraId="25150E9A">
            <w:pPr>
              <w:pStyle w:val="33"/>
              <w:rPr>
                <w:color w:val="auto"/>
              </w:rPr>
            </w:pPr>
            <w:r>
              <w:rPr>
                <w:rFonts w:hint="eastAsia"/>
                <w:color w:val="auto"/>
              </w:rPr>
              <w:t>T</w:t>
            </w:r>
            <w:r>
              <w:rPr>
                <w:color w:val="auto"/>
              </w:rPr>
              <w:t>5</w:t>
            </w:r>
            <w:r>
              <w:rPr>
                <w:rFonts w:hint="eastAsia"/>
                <w:color w:val="auto"/>
              </w:rPr>
              <w:t>厂区北侧农田（0~0.2m）</w:t>
            </w:r>
          </w:p>
        </w:tc>
        <w:tc>
          <w:tcPr>
            <w:tcW w:w="1397" w:type="pct"/>
            <w:vAlign w:val="center"/>
          </w:tcPr>
          <w:p w14:paraId="33DDFB3E">
            <w:pPr>
              <w:pStyle w:val="33"/>
              <w:rPr>
                <w:color w:val="auto"/>
              </w:rPr>
            </w:pPr>
            <w:r>
              <w:rPr>
                <w:rFonts w:hint="eastAsia"/>
                <w:color w:val="auto"/>
              </w:rPr>
              <w:t>采样日期</w:t>
            </w:r>
          </w:p>
        </w:tc>
        <w:tc>
          <w:tcPr>
            <w:tcW w:w="1478" w:type="pct"/>
            <w:gridSpan w:val="2"/>
            <w:vAlign w:val="center"/>
          </w:tcPr>
          <w:p w14:paraId="65FC566F">
            <w:pPr>
              <w:pStyle w:val="33"/>
              <w:rPr>
                <w:color w:val="auto"/>
              </w:rPr>
            </w:pPr>
            <w:r>
              <w:rPr>
                <w:rFonts w:hint="eastAsia"/>
                <w:color w:val="auto"/>
              </w:rPr>
              <w:t>2025年10月16日</w:t>
            </w:r>
          </w:p>
        </w:tc>
      </w:tr>
      <w:tr w14:paraId="46D68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721" w:type="pct"/>
            <w:vAlign w:val="center"/>
          </w:tcPr>
          <w:p w14:paraId="5F279F69">
            <w:pPr>
              <w:pStyle w:val="33"/>
              <w:rPr>
                <w:color w:val="auto"/>
              </w:rPr>
            </w:pPr>
            <w:r>
              <w:rPr>
                <w:rFonts w:hint="eastAsia"/>
                <w:color w:val="auto"/>
              </w:rPr>
              <w:t>经度</w:t>
            </w:r>
          </w:p>
        </w:tc>
        <w:tc>
          <w:tcPr>
            <w:tcW w:w="1404" w:type="pct"/>
            <w:gridSpan w:val="2"/>
            <w:vAlign w:val="center"/>
          </w:tcPr>
          <w:p w14:paraId="0E1B5CBC">
            <w:pPr>
              <w:pStyle w:val="33"/>
              <w:rPr>
                <w:color w:val="auto"/>
              </w:rPr>
            </w:pPr>
            <w:r>
              <w:rPr>
                <w:color w:val="auto"/>
              </w:rPr>
              <w:t>E：</w:t>
            </w:r>
            <w:r>
              <w:rPr>
                <w:color w:val="auto"/>
                <w:shd w:val="clear" w:color="auto" w:fill="FFFFFF"/>
              </w:rPr>
              <w:t>108°41′46.69″</w:t>
            </w:r>
          </w:p>
        </w:tc>
        <w:tc>
          <w:tcPr>
            <w:tcW w:w="1397" w:type="pct"/>
            <w:vAlign w:val="center"/>
          </w:tcPr>
          <w:p w14:paraId="4AC146C1">
            <w:pPr>
              <w:pStyle w:val="33"/>
              <w:rPr>
                <w:color w:val="auto"/>
              </w:rPr>
            </w:pPr>
            <w:r>
              <w:rPr>
                <w:color w:val="auto"/>
              </w:rPr>
              <w:t>纬度</w:t>
            </w:r>
          </w:p>
        </w:tc>
        <w:tc>
          <w:tcPr>
            <w:tcW w:w="1478" w:type="pct"/>
            <w:gridSpan w:val="2"/>
            <w:vAlign w:val="center"/>
          </w:tcPr>
          <w:p w14:paraId="73C42543">
            <w:pPr>
              <w:pStyle w:val="33"/>
              <w:rPr>
                <w:color w:val="auto"/>
              </w:rPr>
            </w:pPr>
            <w:r>
              <w:rPr>
                <w:color w:val="auto"/>
              </w:rPr>
              <w:t>N：</w:t>
            </w:r>
            <w:r>
              <w:rPr>
                <w:color w:val="auto"/>
                <w:shd w:val="clear" w:color="auto" w:fill="FFFFFF"/>
              </w:rPr>
              <w:t>21°43′46.73″</w:t>
            </w:r>
          </w:p>
        </w:tc>
      </w:tr>
      <w:tr w14:paraId="3651D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2125" w:type="pct"/>
            <w:gridSpan w:val="3"/>
            <w:vAlign w:val="center"/>
          </w:tcPr>
          <w:p w14:paraId="2E5F6909">
            <w:pPr>
              <w:pStyle w:val="33"/>
              <w:rPr>
                <w:color w:val="auto"/>
              </w:rPr>
            </w:pPr>
            <w:r>
              <w:rPr>
                <w:rFonts w:hint="eastAsia"/>
                <w:color w:val="auto"/>
              </w:rPr>
              <w:t>层次</w:t>
            </w:r>
          </w:p>
        </w:tc>
        <w:tc>
          <w:tcPr>
            <w:tcW w:w="2875" w:type="pct"/>
            <w:gridSpan w:val="3"/>
            <w:vAlign w:val="center"/>
          </w:tcPr>
          <w:p w14:paraId="1D4D375E">
            <w:pPr>
              <w:pStyle w:val="33"/>
              <w:rPr>
                <w:color w:val="auto"/>
              </w:rPr>
            </w:pPr>
          </w:p>
        </w:tc>
      </w:tr>
      <w:tr w14:paraId="3325C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721" w:type="pct"/>
            <w:vMerge w:val="restart"/>
            <w:vAlign w:val="center"/>
          </w:tcPr>
          <w:p w14:paraId="7C4CA4A3">
            <w:pPr>
              <w:pStyle w:val="33"/>
              <w:rPr>
                <w:color w:val="auto"/>
              </w:rPr>
            </w:pPr>
            <w:r>
              <w:rPr>
                <w:rFonts w:hint="eastAsia"/>
                <w:color w:val="auto"/>
              </w:rPr>
              <w:t>现场记录</w:t>
            </w:r>
          </w:p>
        </w:tc>
        <w:tc>
          <w:tcPr>
            <w:tcW w:w="1404" w:type="pct"/>
            <w:gridSpan w:val="2"/>
            <w:vAlign w:val="center"/>
          </w:tcPr>
          <w:p w14:paraId="2354EB8A">
            <w:pPr>
              <w:pStyle w:val="33"/>
              <w:rPr>
                <w:color w:val="auto"/>
              </w:rPr>
            </w:pPr>
            <w:r>
              <w:rPr>
                <w:rFonts w:hint="eastAsia"/>
                <w:color w:val="auto"/>
              </w:rPr>
              <w:t>颜色</w:t>
            </w:r>
          </w:p>
        </w:tc>
        <w:tc>
          <w:tcPr>
            <w:tcW w:w="2875" w:type="pct"/>
            <w:gridSpan w:val="3"/>
            <w:vAlign w:val="center"/>
          </w:tcPr>
          <w:p w14:paraId="0BDCDD62">
            <w:pPr>
              <w:pStyle w:val="33"/>
              <w:rPr>
                <w:color w:val="auto"/>
              </w:rPr>
            </w:pPr>
          </w:p>
        </w:tc>
      </w:tr>
      <w:tr w14:paraId="15993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721" w:type="pct"/>
            <w:vMerge w:val="continue"/>
            <w:vAlign w:val="center"/>
          </w:tcPr>
          <w:p w14:paraId="4A5DC95F">
            <w:pPr>
              <w:pStyle w:val="33"/>
              <w:rPr>
                <w:color w:val="auto"/>
              </w:rPr>
            </w:pPr>
          </w:p>
        </w:tc>
        <w:tc>
          <w:tcPr>
            <w:tcW w:w="1404" w:type="pct"/>
            <w:gridSpan w:val="2"/>
            <w:vAlign w:val="center"/>
          </w:tcPr>
          <w:p w14:paraId="0B032C83">
            <w:pPr>
              <w:pStyle w:val="33"/>
              <w:rPr>
                <w:color w:val="auto"/>
              </w:rPr>
            </w:pPr>
            <w:r>
              <w:rPr>
                <w:rFonts w:hint="eastAsia"/>
                <w:color w:val="auto"/>
              </w:rPr>
              <w:t>结构</w:t>
            </w:r>
          </w:p>
        </w:tc>
        <w:tc>
          <w:tcPr>
            <w:tcW w:w="2875" w:type="pct"/>
            <w:gridSpan w:val="3"/>
            <w:vAlign w:val="center"/>
          </w:tcPr>
          <w:p w14:paraId="13CF5FC1">
            <w:pPr>
              <w:pStyle w:val="33"/>
              <w:rPr>
                <w:color w:val="auto"/>
              </w:rPr>
            </w:pPr>
          </w:p>
        </w:tc>
      </w:tr>
      <w:tr w14:paraId="4CABB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721" w:type="pct"/>
            <w:vMerge w:val="continue"/>
            <w:vAlign w:val="center"/>
          </w:tcPr>
          <w:p w14:paraId="310CD2CB">
            <w:pPr>
              <w:pStyle w:val="33"/>
              <w:rPr>
                <w:color w:val="auto"/>
              </w:rPr>
            </w:pPr>
          </w:p>
        </w:tc>
        <w:tc>
          <w:tcPr>
            <w:tcW w:w="1404" w:type="pct"/>
            <w:gridSpan w:val="2"/>
            <w:vAlign w:val="center"/>
          </w:tcPr>
          <w:p w14:paraId="53FF80AC">
            <w:pPr>
              <w:pStyle w:val="33"/>
              <w:rPr>
                <w:color w:val="auto"/>
              </w:rPr>
            </w:pPr>
            <w:r>
              <w:rPr>
                <w:rFonts w:hint="eastAsia"/>
                <w:color w:val="auto"/>
              </w:rPr>
              <w:t>质地</w:t>
            </w:r>
          </w:p>
        </w:tc>
        <w:tc>
          <w:tcPr>
            <w:tcW w:w="2875" w:type="pct"/>
            <w:gridSpan w:val="3"/>
            <w:vAlign w:val="center"/>
          </w:tcPr>
          <w:p w14:paraId="0BF838E7">
            <w:pPr>
              <w:pStyle w:val="33"/>
              <w:rPr>
                <w:color w:val="auto"/>
              </w:rPr>
            </w:pPr>
          </w:p>
        </w:tc>
      </w:tr>
      <w:tr w14:paraId="783E8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21" w:type="pct"/>
            <w:vMerge w:val="continue"/>
            <w:vAlign w:val="center"/>
          </w:tcPr>
          <w:p w14:paraId="72A7E12D">
            <w:pPr>
              <w:pStyle w:val="33"/>
              <w:rPr>
                <w:color w:val="auto"/>
              </w:rPr>
            </w:pPr>
          </w:p>
        </w:tc>
        <w:tc>
          <w:tcPr>
            <w:tcW w:w="1404" w:type="pct"/>
            <w:gridSpan w:val="2"/>
            <w:vAlign w:val="center"/>
          </w:tcPr>
          <w:p w14:paraId="2D7677BB">
            <w:pPr>
              <w:pStyle w:val="33"/>
              <w:rPr>
                <w:color w:val="auto"/>
              </w:rPr>
            </w:pPr>
            <w:r>
              <w:rPr>
                <w:rFonts w:hint="eastAsia"/>
                <w:color w:val="auto"/>
              </w:rPr>
              <w:t>砂砾含量</w:t>
            </w:r>
          </w:p>
        </w:tc>
        <w:tc>
          <w:tcPr>
            <w:tcW w:w="2875" w:type="pct"/>
            <w:gridSpan w:val="3"/>
            <w:vAlign w:val="center"/>
          </w:tcPr>
          <w:p w14:paraId="34DC087E">
            <w:pPr>
              <w:pStyle w:val="33"/>
              <w:rPr>
                <w:color w:val="auto"/>
              </w:rPr>
            </w:pPr>
          </w:p>
        </w:tc>
      </w:tr>
      <w:tr w14:paraId="562CC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721" w:type="pct"/>
            <w:vMerge w:val="continue"/>
            <w:vAlign w:val="center"/>
          </w:tcPr>
          <w:p w14:paraId="1306D304">
            <w:pPr>
              <w:pStyle w:val="33"/>
              <w:rPr>
                <w:color w:val="auto"/>
              </w:rPr>
            </w:pPr>
          </w:p>
        </w:tc>
        <w:tc>
          <w:tcPr>
            <w:tcW w:w="1404" w:type="pct"/>
            <w:gridSpan w:val="2"/>
            <w:vAlign w:val="center"/>
          </w:tcPr>
          <w:p w14:paraId="07DA0012">
            <w:pPr>
              <w:pStyle w:val="33"/>
              <w:rPr>
                <w:color w:val="auto"/>
              </w:rPr>
            </w:pPr>
            <w:r>
              <w:rPr>
                <w:rFonts w:hint="eastAsia"/>
                <w:color w:val="auto"/>
              </w:rPr>
              <w:t>其他异物</w:t>
            </w:r>
          </w:p>
        </w:tc>
        <w:tc>
          <w:tcPr>
            <w:tcW w:w="2875" w:type="pct"/>
            <w:gridSpan w:val="3"/>
            <w:vAlign w:val="center"/>
          </w:tcPr>
          <w:p w14:paraId="51416E2E">
            <w:pPr>
              <w:pStyle w:val="33"/>
              <w:rPr>
                <w:color w:val="auto"/>
              </w:rPr>
            </w:pPr>
          </w:p>
        </w:tc>
      </w:tr>
      <w:tr w14:paraId="56030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721" w:type="pct"/>
            <w:vMerge w:val="restart"/>
            <w:vAlign w:val="center"/>
          </w:tcPr>
          <w:p w14:paraId="0F75B01A">
            <w:pPr>
              <w:pStyle w:val="33"/>
              <w:rPr>
                <w:color w:val="auto"/>
              </w:rPr>
            </w:pPr>
            <w:r>
              <w:rPr>
                <w:rFonts w:hint="eastAsia"/>
                <w:color w:val="auto"/>
              </w:rPr>
              <w:t>实验室</w:t>
            </w:r>
          </w:p>
          <w:p w14:paraId="30F17FC8">
            <w:pPr>
              <w:pStyle w:val="33"/>
              <w:rPr>
                <w:color w:val="auto"/>
              </w:rPr>
            </w:pPr>
            <w:r>
              <w:rPr>
                <w:rFonts w:hint="eastAsia"/>
                <w:color w:val="auto"/>
              </w:rPr>
              <w:t>测定</w:t>
            </w:r>
          </w:p>
        </w:tc>
        <w:tc>
          <w:tcPr>
            <w:tcW w:w="1404" w:type="pct"/>
            <w:gridSpan w:val="2"/>
            <w:vAlign w:val="center"/>
          </w:tcPr>
          <w:p w14:paraId="3BBFE72F">
            <w:pPr>
              <w:pStyle w:val="33"/>
              <w:rPr>
                <w:color w:val="auto"/>
              </w:rPr>
            </w:pPr>
            <w:r>
              <w:rPr>
                <w:color w:val="auto"/>
              </w:rPr>
              <w:t>阳离子交换量</w:t>
            </w:r>
            <w:r>
              <w:rPr>
                <w:rFonts w:hint="eastAsia"/>
                <w:color w:val="auto"/>
              </w:rPr>
              <w:t>（</w:t>
            </w:r>
            <w:r>
              <w:rPr>
                <w:rFonts w:hint="eastAsia" w:hAnsi="宋体"/>
                <w:color w:val="auto"/>
              </w:rPr>
              <w:t>cmol</w:t>
            </w:r>
            <w:r>
              <w:rPr>
                <w:rFonts w:hint="eastAsia" w:hAnsi="宋体"/>
                <w:color w:val="auto"/>
                <w:vertAlign w:val="superscript"/>
              </w:rPr>
              <w:t>+</w:t>
            </w:r>
            <w:r>
              <w:rPr>
                <w:rFonts w:hint="eastAsia" w:hAnsi="宋体"/>
                <w:color w:val="auto"/>
              </w:rPr>
              <w:t>/kg</w:t>
            </w:r>
            <w:r>
              <w:rPr>
                <w:rFonts w:hint="eastAsia"/>
                <w:color w:val="auto"/>
              </w:rPr>
              <w:t>）</w:t>
            </w:r>
          </w:p>
        </w:tc>
        <w:tc>
          <w:tcPr>
            <w:tcW w:w="2875" w:type="pct"/>
            <w:gridSpan w:val="3"/>
            <w:vAlign w:val="center"/>
          </w:tcPr>
          <w:p w14:paraId="4C14D382">
            <w:pPr>
              <w:pStyle w:val="33"/>
              <w:rPr>
                <w:color w:val="auto"/>
              </w:rPr>
            </w:pPr>
          </w:p>
        </w:tc>
      </w:tr>
      <w:tr w14:paraId="6388D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21" w:type="pct"/>
            <w:vMerge w:val="continue"/>
            <w:vAlign w:val="center"/>
          </w:tcPr>
          <w:p w14:paraId="4E75685A">
            <w:pPr>
              <w:pStyle w:val="33"/>
              <w:rPr>
                <w:color w:val="auto"/>
              </w:rPr>
            </w:pPr>
          </w:p>
        </w:tc>
        <w:tc>
          <w:tcPr>
            <w:tcW w:w="1404" w:type="pct"/>
            <w:gridSpan w:val="2"/>
            <w:vAlign w:val="center"/>
          </w:tcPr>
          <w:p w14:paraId="093124E8">
            <w:pPr>
              <w:pStyle w:val="33"/>
              <w:rPr>
                <w:color w:val="auto"/>
              </w:rPr>
            </w:pPr>
            <w:r>
              <w:rPr>
                <w:color w:val="auto"/>
              </w:rPr>
              <w:t>氧化还原电位</w:t>
            </w:r>
            <w:r>
              <w:rPr>
                <w:rFonts w:hint="eastAsia"/>
                <w:color w:val="auto"/>
              </w:rPr>
              <w:t>（mV）</w:t>
            </w:r>
          </w:p>
        </w:tc>
        <w:tc>
          <w:tcPr>
            <w:tcW w:w="2875" w:type="pct"/>
            <w:gridSpan w:val="3"/>
            <w:vAlign w:val="center"/>
          </w:tcPr>
          <w:p w14:paraId="3D619473">
            <w:pPr>
              <w:pStyle w:val="33"/>
              <w:rPr>
                <w:color w:val="auto"/>
              </w:rPr>
            </w:pPr>
          </w:p>
        </w:tc>
      </w:tr>
      <w:tr w14:paraId="617F2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21" w:type="pct"/>
            <w:vMerge w:val="continue"/>
            <w:vAlign w:val="center"/>
          </w:tcPr>
          <w:p w14:paraId="133F7D84">
            <w:pPr>
              <w:pStyle w:val="33"/>
              <w:rPr>
                <w:color w:val="auto"/>
              </w:rPr>
            </w:pPr>
          </w:p>
        </w:tc>
        <w:tc>
          <w:tcPr>
            <w:tcW w:w="1404" w:type="pct"/>
            <w:gridSpan w:val="2"/>
            <w:vAlign w:val="center"/>
          </w:tcPr>
          <w:p w14:paraId="05BEDDEA">
            <w:pPr>
              <w:pStyle w:val="33"/>
              <w:rPr>
                <w:color w:val="auto"/>
              </w:rPr>
            </w:pPr>
            <w:r>
              <w:rPr>
                <w:rFonts w:hint="eastAsia"/>
                <w:color w:val="auto"/>
              </w:rPr>
              <w:t>饱和导水率（</w:t>
            </w:r>
            <w:r>
              <w:rPr>
                <w:color w:val="auto"/>
              </w:rPr>
              <w:t>mm/min</w:t>
            </w:r>
            <w:r>
              <w:rPr>
                <w:rFonts w:hint="eastAsia"/>
                <w:color w:val="auto"/>
              </w:rPr>
              <w:t>）</w:t>
            </w:r>
          </w:p>
        </w:tc>
        <w:tc>
          <w:tcPr>
            <w:tcW w:w="2875" w:type="pct"/>
            <w:gridSpan w:val="3"/>
            <w:vAlign w:val="center"/>
          </w:tcPr>
          <w:p w14:paraId="06540CE3">
            <w:pPr>
              <w:pStyle w:val="33"/>
              <w:rPr>
                <w:color w:val="auto"/>
              </w:rPr>
            </w:pPr>
          </w:p>
        </w:tc>
      </w:tr>
      <w:tr w14:paraId="56296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721" w:type="pct"/>
            <w:vMerge w:val="continue"/>
            <w:vAlign w:val="center"/>
          </w:tcPr>
          <w:p w14:paraId="6518601B">
            <w:pPr>
              <w:pStyle w:val="33"/>
              <w:rPr>
                <w:color w:val="auto"/>
              </w:rPr>
            </w:pPr>
          </w:p>
        </w:tc>
        <w:tc>
          <w:tcPr>
            <w:tcW w:w="1404" w:type="pct"/>
            <w:gridSpan w:val="2"/>
            <w:vAlign w:val="center"/>
          </w:tcPr>
          <w:p w14:paraId="732BDD66">
            <w:pPr>
              <w:pStyle w:val="33"/>
              <w:rPr>
                <w:color w:val="auto"/>
              </w:rPr>
            </w:pPr>
            <w:r>
              <w:rPr>
                <w:rFonts w:hint="eastAsia"/>
                <w:color w:val="auto"/>
              </w:rPr>
              <w:t>土壤容重（g/cm</w:t>
            </w:r>
            <w:r>
              <w:rPr>
                <w:rFonts w:hint="eastAsia"/>
                <w:color w:val="auto"/>
                <w:vertAlign w:val="superscript"/>
              </w:rPr>
              <w:t>3</w:t>
            </w:r>
            <w:r>
              <w:rPr>
                <w:rFonts w:hint="eastAsia"/>
                <w:color w:val="auto"/>
              </w:rPr>
              <w:t>）</w:t>
            </w:r>
          </w:p>
        </w:tc>
        <w:tc>
          <w:tcPr>
            <w:tcW w:w="2875" w:type="pct"/>
            <w:gridSpan w:val="3"/>
            <w:vAlign w:val="center"/>
          </w:tcPr>
          <w:p w14:paraId="74D979FA">
            <w:pPr>
              <w:pStyle w:val="33"/>
              <w:rPr>
                <w:color w:val="auto"/>
              </w:rPr>
            </w:pPr>
          </w:p>
        </w:tc>
      </w:tr>
      <w:tr w14:paraId="658D4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721" w:type="pct"/>
            <w:vMerge w:val="continue"/>
            <w:vAlign w:val="center"/>
          </w:tcPr>
          <w:p w14:paraId="0DC5F811">
            <w:pPr>
              <w:pStyle w:val="33"/>
              <w:rPr>
                <w:color w:val="auto"/>
              </w:rPr>
            </w:pPr>
          </w:p>
        </w:tc>
        <w:tc>
          <w:tcPr>
            <w:tcW w:w="1404" w:type="pct"/>
            <w:gridSpan w:val="2"/>
            <w:vAlign w:val="center"/>
          </w:tcPr>
          <w:p w14:paraId="7ECA6EF3">
            <w:pPr>
              <w:pStyle w:val="33"/>
              <w:rPr>
                <w:color w:val="auto"/>
              </w:rPr>
            </w:pPr>
            <w:r>
              <w:rPr>
                <w:rFonts w:hint="eastAsia"/>
                <w:color w:val="auto"/>
              </w:rPr>
              <w:t>孔隙度（%）</w:t>
            </w:r>
          </w:p>
        </w:tc>
        <w:tc>
          <w:tcPr>
            <w:tcW w:w="2875" w:type="pct"/>
            <w:gridSpan w:val="3"/>
            <w:vAlign w:val="center"/>
          </w:tcPr>
          <w:p w14:paraId="370F6B1F">
            <w:pPr>
              <w:pStyle w:val="33"/>
              <w:rPr>
                <w:color w:val="auto"/>
              </w:rPr>
            </w:pPr>
          </w:p>
        </w:tc>
      </w:tr>
      <w:tr w14:paraId="1F696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031" w:type="pct"/>
            <w:gridSpan w:val="2"/>
            <w:vAlign w:val="center"/>
          </w:tcPr>
          <w:p w14:paraId="78F8B8CA">
            <w:pPr>
              <w:pStyle w:val="33"/>
              <w:rPr>
                <w:color w:val="auto"/>
              </w:rPr>
            </w:pPr>
            <w:r>
              <w:rPr>
                <w:rFonts w:hint="eastAsia"/>
                <w:color w:val="auto"/>
              </w:rPr>
              <w:t>景观照片</w:t>
            </w:r>
          </w:p>
        </w:tc>
        <w:tc>
          <w:tcPr>
            <w:tcW w:w="2112" w:type="pct"/>
            <w:gridSpan w:val="3"/>
            <w:vAlign w:val="center"/>
          </w:tcPr>
          <w:p w14:paraId="78D61CAF">
            <w:pPr>
              <w:pStyle w:val="33"/>
              <w:rPr>
                <w:color w:val="auto"/>
              </w:rPr>
            </w:pPr>
            <w:r>
              <w:rPr>
                <w:rFonts w:hint="eastAsia"/>
                <w:color w:val="auto"/>
              </w:rPr>
              <w:t>采样照片</w:t>
            </w:r>
          </w:p>
        </w:tc>
        <w:tc>
          <w:tcPr>
            <w:tcW w:w="857" w:type="pct"/>
            <w:vAlign w:val="center"/>
          </w:tcPr>
          <w:p w14:paraId="491756CA">
            <w:pPr>
              <w:pStyle w:val="33"/>
              <w:rPr>
                <w:color w:val="auto"/>
              </w:rPr>
            </w:pPr>
            <w:r>
              <w:rPr>
                <w:rFonts w:hint="eastAsia"/>
                <w:color w:val="auto"/>
              </w:rPr>
              <w:t>层次</w:t>
            </w:r>
          </w:p>
        </w:tc>
      </w:tr>
      <w:tr w14:paraId="61C1E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2031" w:type="pct"/>
            <w:gridSpan w:val="2"/>
            <w:vAlign w:val="center"/>
          </w:tcPr>
          <w:p w14:paraId="2AD086DC">
            <w:pPr>
              <w:pStyle w:val="33"/>
              <w:rPr>
                <w:color w:val="auto"/>
              </w:rPr>
            </w:pPr>
            <w:r>
              <w:rPr>
                <w:color w:val="auto"/>
              </w:rPr>
              <w:drawing>
                <wp:inline distT="0" distB="0" distL="0" distR="0">
                  <wp:extent cx="1385570" cy="1950085"/>
                  <wp:effectExtent l="0" t="0" r="5080" b="0"/>
                  <wp:docPr id="7" name="图片 7" descr="地上的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地上的草&#10;&#10;AI 生成的内容可能不正确。"/>
                          <pic:cNvPicPr>
                            <a:picLocks noChangeAspect="1"/>
                          </pic:cNvPicPr>
                        </pic:nvPicPr>
                        <pic:blipFill>
                          <a:blip r:embed="rId91" cstate="print">
                            <a:extLst>
                              <a:ext uri="{28A0092B-C50C-407E-A947-70E740481C1C}">
                                <a14:useLocalDpi xmlns:a14="http://schemas.microsoft.com/office/drawing/2010/main" val="0"/>
                              </a:ext>
                            </a:extLst>
                          </a:blip>
                          <a:srcRect t="9386" b="11437"/>
                          <a:stretch>
                            <a:fillRect/>
                          </a:stretch>
                        </pic:blipFill>
                        <pic:spPr>
                          <a:xfrm>
                            <a:off x="0" y="0"/>
                            <a:ext cx="1392313" cy="1959859"/>
                          </a:xfrm>
                          <a:prstGeom prst="rect">
                            <a:avLst/>
                          </a:prstGeom>
                          <a:ln>
                            <a:noFill/>
                          </a:ln>
                        </pic:spPr>
                      </pic:pic>
                    </a:graphicData>
                  </a:graphic>
                </wp:inline>
              </w:drawing>
            </w:r>
          </w:p>
        </w:tc>
        <w:tc>
          <w:tcPr>
            <w:tcW w:w="2112" w:type="pct"/>
            <w:gridSpan w:val="3"/>
            <w:vAlign w:val="center"/>
          </w:tcPr>
          <w:p w14:paraId="1CD271D4">
            <w:pPr>
              <w:pStyle w:val="33"/>
              <w:rPr>
                <w:color w:val="auto"/>
              </w:rPr>
            </w:pPr>
            <w:r>
              <w:rPr>
                <w:rFonts w:hint="eastAsia"/>
                <w:color w:val="auto"/>
              </w:rPr>
              <w:drawing>
                <wp:inline distT="0" distB="0" distL="0" distR="0">
                  <wp:extent cx="1256030" cy="1918335"/>
                  <wp:effectExtent l="0" t="0" r="1270" b="5715"/>
                  <wp:docPr id="8" name="图片 8" descr="地上的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地上的草&#10;&#10;AI 生成的内容可能不正确。"/>
                          <pic:cNvPicPr>
                            <a:picLocks noChangeAspect="1"/>
                          </pic:cNvPicPr>
                        </pic:nvPicPr>
                        <pic:blipFill>
                          <a:blip r:embed="rId92" cstate="print">
                            <a:extLst>
                              <a:ext uri="{28A0092B-C50C-407E-A947-70E740481C1C}">
                                <a14:useLocalDpi xmlns:a14="http://schemas.microsoft.com/office/drawing/2010/main" val="0"/>
                              </a:ext>
                            </a:extLst>
                          </a:blip>
                          <a:srcRect t="12657" b="16962"/>
                          <a:stretch>
                            <a:fillRect/>
                          </a:stretch>
                        </pic:blipFill>
                        <pic:spPr>
                          <a:xfrm>
                            <a:off x="0" y="0"/>
                            <a:ext cx="1260446" cy="1924582"/>
                          </a:xfrm>
                          <a:prstGeom prst="rect">
                            <a:avLst/>
                          </a:prstGeom>
                          <a:ln>
                            <a:noFill/>
                          </a:ln>
                        </pic:spPr>
                      </pic:pic>
                    </a:graphicData>
                  </a:graphic>
                </wp:inline>
              </w:drawing>
            </w:r>
          </w:p>
        </w:tc>
        <w:tc>
          <w:tcPr>
            <w:tcW w:w="857" w:type="pct"/>
            <w:vAlign w:val="center"/>
          </w:tcPr>
          <w:p w14:paraId="50658591">
            <w:pPr>
              <w:pStyle w:val="33"/>
              <w:rPr>
                <w:color w:val="auto"/>
              </w:rPr>
            </w:pPr>
            <w:r>
              <w:rPr>
                <w:rFonts w:hint="eastAsia"/>
                <w:color w:val="auto"/>
              </w:rPr>
              <w:t>0~0.2m</w:t>
            </w:r>
          </w:p>
        </w:tc>
      </w:tr>
    </w:tbl>
    <w:p w14:paraId="6660CCB1">
      <w:pPr>
        <w:pStyle w:val="3"/>
        <w:rPr>
          <w:color w:val="auto"/>
        </w:rPr>
      </w:pPr>
      <w:bookmarkStart w:id="455" w:name="_Toc221355724"/>
      <w:bookmarkStart w:id="456" w:name="_Toc225216774"/>
      <w:r>
        <w:rPr>
          <w:rFonts w:hint="eastAsia"/>
          <w:color w:val="auto"/>
        </w:rPr>
        <w:t>生态环境现状调查与评价</w:t>
      </w:r>
      <w:bookmarkEnd w:id="455"/>
      <w:bookmarkEnd w:id="456"/>
    </w:p>
    <w:p w14:paraId="2A999744">
      <w:pPr>
        <w:ind w:firstLine="480"/>
        <w:rPr>
          <w:color w:val="auto"/>
        </w:rPr>
      </w:pPr>
      <w:r>
        <w:rPr>
          <w:rFonts w:hint="eastAsia"/>
          <w:color w:val="auto"/>
        </w:rPr>
        <w:t>项目属污染影响类建设项目，全厂地块位于广西钦州港金光工业园，产业园规划环评均已批准，项目符合这产业园区规划环评的要求，不涉及生态敏感区。根据《环境影响评价技术导则 生态影响》（HJ19-2022）6.1.8，项目可不确定评价等级，直接进行生态影响简单分析。</w:t>
      </w:r>
    </w:p>
    <w:p w14:paraId="614CD3EF">
      <w:pPr>
        <w:pStyle w:val="4"/>
        <w:rPr>
          <w:color w:val="auto"/>
        </w:rPr>
      </w:pPr>
      <w:bookmarkStart w:id="457" w:name="_Toc225216775"/>
      <w:r>
        <w:rPr>
          <w:rFonts w:hint="eastAsia"/>
          <w:color w:val="auto"/>
        </w:rPr>
        <w:t>土地利用现状</w:t>
      </w:r>
      <w:bookmarkEnd w:id="457"/>
    </w:p>
    <w:p w14:paraId="5B6B558F">
      <w:pPr>
        <w:ind w:firstLine="480"/>
        <w:rPr>
          <w:color w:val="auto"/>
        </w:rPr>
      </w:pPr>
      <w:r>
        <w:rPr>
          <w:rFonts w:hint="eastAsia"/>
          <w:color w:val="auto"/>
        </w:rPr>
        <w:t>本项目在现有厂区内建设，用地性质为第三类工业用地，用地现状为第三类工业用地，用地现状为工业用地。</w:t>
      </w:r>
    </w:p>
    <w:p w14:paraId="3FBE31B4">
      <w:pPr>
        <w:pStyle w:val="4"/>
        <w:rPr>
          <w:color w:val="auto"/>
        </w:rPr>
      </w:pPr>
      <w:bookmarkStart w:id="458" w:name="_Toc225216776"/>
      <w:r>
        <w:rPr>
          <w:rFonts w:hint="eastAsia"/>
          <w:color w:val="auto"/>
        </w:rPr>
        <w:t>野生动物及动物生境调查</w:t>
      </w:r>
      <w:bookmarkEnd w:id="458"/>
    </w:p>
    <w:p w14:paraId="7E85AFA9">
      <w:pPr>
        <w:ind w:firstLine="480"/>
        <w:rPr>
          <w:color w:val="auto"/>
        </w:rPr>
      </w:pPr>
      <w:r>
        <w:rPr>
          <w:rFonts w:hint="eastAsia"/>
          <w:color w:val="auto"/>
        </w:rPr>
        <w:t>根据有关文献资料，评价范围内陆域野生动物资源目前数量及种类较少，现存的野生动物多为常见的广布种。主要有小型啮齿类及翼手类，如各种鼠类、蝙蝠等；棕背伯劳、大山雀、麻雀、鹩哥、燕子、画眉等鸟类；南草蜥、蛇等爬行类；蜜蜂、蝴蝶、蜻蜓、地老虎、蜘蛛、黑蜂等昆虫类。</w:t>
      </w:r>
    </w:p>
    <w:p w14:paraId="69B0EE76">
      <w:pPr>
        <w:ind w:firstLine="480"/>
        <w:rPr>
          <w:color w:val="auto"/>
        </w:rPr>
      </w:pPr>
      <w:r>
        <w:rPr>
          <w:rFonts w:hint="eastAsia"/>
          <w:color w:val="auto"/>
        </w:rPr>
        <w:t>根据实地调查发现，动物资源的多样性对生境有较大依赖，根据现场实地走访调查，本次生态评价范围受人为干扰影响严重，沿线环境体现出明显的人工属性，生物多样性低。由于评价范围内生态环境质量不高，不适宜大型动物以及对环境要求高的动物生存，本次评价生态现场调查期间，未发现有珍稀保护动物及其踪迹，仅在调查沿途周边偶见蜜蜂、昆虫、普通翠鸟及白鹭鸟，未发现有大型哺乳动物。</w:t>
      </w:r>
    </w:p>
    <w:p w14:paraId="43B91FAD">
      <w:pPr>
        <w:pStyle w:val="4"/>
        <w:rPr>
          <w:color w:val="auto"/>
        </w:rPr>
      </w:pPr>
      <w:bookmarkStart w:id="459" w:name="_Toc225216777"/>
      <w:r>
        <w:rPr>
          <w:rFonts w:hint="eastAsia"/>
          <w:color w:val="auto"/>
        </w:rPr>
        <w:t>植物种类及类型</w:t>
      </w:r>
      <w:bookmarkEnd w:id="459"/>
    </w:p>
    <w:p w14:paraId="3000FE86">
      <w:pPr>
        <w:ind w:firstLine="480"/>
        <w:rPr>
          <w:color w:val="auto"/>
        </w:rPr>
      </w:pPr>
      <w:r>
        <w:rPr>
          <w:rFonts w:hint="eastAsia"/>
          <w:color w:val="auto"/>
        </w:rPr>
        <w:t>本次生态现状调查中，项目位于广西壮族自治区南部沿海中段，属于热带海洋性季风气候特征，地带性原生植被类型为南亚热带季风常绿阔叶林，共记录维管束植物21科27属29种。由于长期进行林分改造和人工造林，评价范围内原生性森林植被基本没有保留，多为次生性阔叶林和大面积的人工林，受人为干扰强度较大，总体上可分为2个植被型以及3种群落类型，总体上看优势树种为桉树，植物多样性一般，整体植被群落结构不稳定，在受到外界干扰的情况下容易被破坏，在受到破坏后也易于恢复。</w:t>
      </w:r>
    </w:p>
    <w:p w14:paraId="313129E1">
      <w:pPr>
        <w:ind w:firstLine="480"/>
        <w:rPr>
          <w:color w:val="auto"/>
        </w:rPr>
      </w:pPr>
      <w:r>
        <w:rPr>
          <w:rFonts w:hint="eastAsia"/>
          <w:color w:val="auto"/>
        </w:rPr>
        <w:t>本次植物现状调查发现评价范围内植物中多为地区常见种，主要为马尾松、芒萁和海榄雌，调查期间未发现重点保护古树名木及国家保护植物。</w:t>
      </w:r>
    </w:p>
    <w:p w14:paraId="4620765A">
      <w:pPr>
        <w:pStyle w:val="4"/>
        <w:rPr>
          <w:color w:val="auto"/>
        </w:rPr>
      </w:pPr>
      <w:bookmarkStart w:id="460" w:name="_Toc225216778"/>
      <w:r>
        <w:rPr>
          <w:rFonts w:hint="eastAsia"/>
          <w:color w:val="auto"/>
        </w:rPr>
        <w:t>生态环境现状评价结论</w:t>
      </w:r>
      <w:bookmarkEnd w:id="460"/>
    </w:p>
    <w:p w14:paraId="66693DD3">
      <w:pPr>
        <w:ind w:firstLine="480"/>
        <w:rPr>
          <w:color w:val="auto"/>
        </w:rPr>
      </w:pPr>
      <w:r>
        <w:rPr>
          <w:rFonts w:hint="eastAsia"/>
          <w:color w:val="auto"/>
        </w:rPr>
        <w:t>综上，评价区位于城镇边缘，为人类活动干扰频繁区，陆生植被以人工植被为主，植被类型单一，结构简单，生态系统的生态功能不强。评价区域无国家重点保护的珍稀濒危动、植物种类。评价区域生态环境质量一般。</w:t>
      </w:r>
    </w:p>
    <w:p w14:paraId="6ECCFC7B">
      <w:pPr>
        <w:ind w:firstLine="480"/>
        <w:rPr>
          <w:color w:val="auto"/>
        </w:rPr>
      </w:pPr>
    </w:p>
    <w:p w14:paraId="2C49079A">
      <w:pPr>
        <w:ind w:firstLine="480"/>
        <w:rPr>
          <w:color w:val="auto"/>
        </w:rPr>
        <w:sectPr>
          <w:headerReference r:id="rId33" w:type="default"/>
          <w:pgSz w:w="11906" w:h="16838"/>
          <w:pgMar w:top="1418" w:right="1418" w:bottom="1418" w:left="1418" w:header="851" w:footer="992" w:gutter="0"/>
          <w:cols w:space="425" w:num="1"/>
          <w:docGrid w:type="lines" w:linePitch="312" w:charSpace="0"/>
        </w:sectPr>
      </w:pPr>
    </w:p>
    <w:p w14:paraId="2B28C890">
      <w:pPr>
        <w:pStyle w:val="2"/>
        <w:rPr>
          <w:color w:val="auto"/>
          <w:lang w:val="zh-CN"/>
        </w:rPr>
      </w:pPr>
      <w:bookmarkStart w:id="461" w:name="_Toc221355725"/>
      <w:bookmarkStart w:id="462" w:name="_Toc225216779"/>
      <w:r>
        <w:rPr>
          <w:rFonts w:hint="eastAsia"/>
          <w:color w:val="auto"/>
          <w:lang w:val="zh-CN"/>
        </w:rPr>
        <w:t>环境影响预测与评价</w:t>
      </w:r>
      <w:bookmarkEnd w:id="461"/>
      <w:bookmarkEnd w:id="462"/>
    </w:p>
    <w:p w14:paraId="56A30D9C">
      <w:pPr>
        <w:pStyle w:val="3"/>
        <w:rPr>
          <w:color w:val="auto"/>
        </w:rPr>
      </w:pPr>
      <w:bookmarkStart w:id="463" w:name="_Toc221355726"/>
      <w:bookmarkStart w:id="464" w:name="_Toc225216780"/>
      <w:r>
        <w:rPr>
          <w:rFonts w:hint="eastAsia"/>
          <w:color w:val="auto"/>
        </w:rPr>
        <w:t>施工期环境影响分析</w:t>
      </w:r>
      <w:bookmarkEnd w:id="463"/>
      <w:bookmarkEnd w:id="464"/>
    </w:p>
    <w:p w14:paraId="40EA8BCB">
      <w:pPr>
        <w:ind w:firstLine="480"/>
        <w:rPr>
          <w:color w:val="auto"/>
        </w:rPr>
      </w:pPr>
      <w:r>
        <w:rPr>
          <w:rFonts w:hint="eastAsia"/>
          <w:color w:val="auto"/>
        </w:rPr>
        <w:t>本项目生产线改造不涉及建筑物建设，施工期影响主要为污水处理站设施的构筑物建设、设备的安装及管道施工，主要包括场地平整、基础开挖、主体工程及设备安装。除工程构筑物永久性占地为持续性影响外，其余影响只在施工期内存在，影响范围较小，时间较短，预计本项目土建工程约18个月。</w:t>
      </w:r>
    </w:p>
    <w:p w14:paraId="0101AF4F">
      <w:pPr>
        <w:ind w:firstLine="480"/>
        <w:rPr>
          <w:color w:val="auto"/>
        </w:rPr>
      </w:pPr>
      <w:r>
        <w:rPr>
          <w:rFonts w:hint="eastAsia"/>
          <w:color w:val="auto"/>
        </w:rPr>
        <w:t>在整个施工过程均会产生废气、废水、噪声及固体废物。废气主要为扬尘及燃油机械废气；废水主要分为施工废水及施工人员生活污水；机械运行及车辆行驶产生噪声；主要固体废物包括建筑垃圾、弃土及施工人员生活垃圾。</w:t>
      </w:r>
    </w:p>
    <w:p w14:paraId="38AF24E5">
      <w:pPr>
        <w:pStyle w:val="4"/>
        <w:rPr>
          <w:color w:val="auto"/>
        </w:rPr>
      </w:pPr>
      <w:bookmarkStart w:id="465" w:name="_Toc225216781"/>
      <w:r>
        <w:rPr>
          <w:rFonts w:hint="eastAsia"/>
          <w:color w:val="auto"/>
        </w:rPr>
        <w:t>施工期大气环境影响分析</w:t>
      </w:r>
      <w:bookmarkEnd w:id="465"/>
    </w:p>
    <w:p w14:paraId="32272BB4">
      <w:pPr>
        <w:ind w:firstLine="480"/>
        <w:rPr>
          <w:color w:val="auto"/>
        </w:rPr>
      </w:pPr>
      <w:r>
        <w:rPr>
          <w:color w:val="auto"/>
        </w:rPr>
        <w:t>施工过程大气污染的主要来源有：新建构（</w:t>
      </w:r>
      <w:r>
        <w:rPr>
          <w:rFonts w:hint="eastAsia"/>
          <w:color w:val="auto"/>
        </w:rPr>
        <w:t>建</w:t>
      </w:r>
      <w:r>
        <w:rPr>
          <w:color w:val="auto"/>
        </w:rPr>
        <w:t>）筑物施工地基开挖、临时混凝土搅拌站运行、运输车辆、施工机械所带来的扬尘，施工建筑材料（水泥、石灰、砂石料）的装卸、堆砌过程以及开挖弃土的堆砌、运输过程中造成扬起和洒落；各类施工机械和运输车辆所排放的废气。</w:t>
      </w:r>
    </w:p>
    <w:p w14:paraId="23C45469">
      <w:pPr>
        <w:ind w:firstLine="480"/>
        <w:rPr>
          <w:color w:val="auto"/>
        </w:rPr>
      </w:pPr>
      <w:r>
        <w:rPr>
          <w:rFonts w:hint="eastAsia"/>
          <w:color w:val="auto"/>
        </w:rPr>
        <w:t>1、</w:t>
      </w:r>
      <w:r>
        <w:rPr>
          <w:color w:val="auto"/>
        </w:rPr>
        <w:t>施工扬尘</w:t>
      </w:r>
    </w:p>
    <w:p w14:paraId="3DE70694">
      <w:pPr>
        <w:ind w:firstLine="480"/>
        <w:rPr>
          <w:color w:val="auto"/>
        </w:rPr>
      </w:pPr>
      <w:r>
        <w:rPr>
          <w:color w:val="auto"/>
        </w:rPr>
        <w:t>施工期对大气环境的污染主要是扬尘，污染因子为TSP。由于平整场地、开挖地基、挖土和填土</w:t>
      </w:r>
      <w:r>
        <w:rPr>
          <w:rFonts w:hint="eastAsia"/>
          <w:color w:val="auto"/>
        </w:rPr>
        <w:t>、建筑材料装卸等</w:t>
      </w:r>
      <w:r>
        <w:rPr>
          <w:color w:val="auto"/>
        </w:rPr>
        <w:t>操作过程中产生的</w:t>
      </w:r>
      <w:r>
        <w:rPr>
          <w:rFonts w:hint="eastAsia"/>
          <w:color w:val="auto"/>
        </w:rPr>
        <w:t>扬尘</w:t>
      </w:r>
      <w:r>
        <w:rPr>
          <w:color w:val="auto"/>
        </w:rPr>
        <w:t>，会在短期内对周边环境空气产生一定的影响。建筑施工粉尘排放量随施工作业的活动水平、</w:t>
      </w:r>
      <w:r>
        <w:rPr>
          <w:rFonts w:hint="eastAsia"/>
          <w:color w:val="auto"/>
        </w:rPr>
        <w:t>施工面积、</w:t>
      </w:r>
      <w:r>
        <w:rPr>
          <w:color w:val="auto"/>
        </w:rPr>
        <w:t>特定操作和主导天气而变化。根据相关工程的现场类比资料调查，施工现场的扬尘（TSP）日均浓度可达2.7mg/m</w:t>
      </w:r>
      <w:r>
        <w:rPr>
          <w:color w:val="auto"/>
          <w:vertAlign w:val="superscript"/>
        </w:rPr>
        <w:t>3</w:t>
      </w:r>
      <w:r>
        <w:rPr>
          <w:color w:val="auto"/>
        </w:rPr>
        <w:t>，超过国家空气环境质量标准8倍，影响范围大约在距施工中心50m的范围内。在距平整土地和混凝土拌合场地50m处，产生的扬尘TSP可降至1.0mg/m</w:t>
      </w:r>
      <w:r>
        <w:rPr>
          <w:color w:val="auto"/>
          <w:vertAlign w:val="superscript"/>
        </w:rPr>
        <w:t>3</w:t>
      </w:r>
      <w:r>
        <w:rPr>
          <w:color w:val="auto"/>
        </w:rPr>
        <w:t>，水泥储料站扬尘影响范围在距其150m处TSP浓度即可降为1.0mg/m</w:t>
      </w:r>
      <w:r>
        <w:rPr>
          <w:color w:val="auto"/>
          <w:vertAlign w:val="superscript"/>
        </w:rPr>
        <w:t>3</w:t>
      </w:r>
      <w:r>
        <w:rPr>
          <w:color w:val="auto"/>
        </w:rPr>
        <w:t>以下。有关试验表明，在施工场地每天洒水抑尘作业4~5次，其扬尘造成的TSP污染距离可缩小到20~50m范围。</w:t>
      </w:r>
    </w:p>
    <w:p w14:paraId="62F42BB6">
      <w:pPr>
        <w:ind w:firstLine="480"/>
        <w:rPr>
          <w:color w:val="auto"/>
        </w:rPr>
      </w:pPr>
      <w:r>
        <w:rPr>
          <w:color w:val="auto"/>
        </w:rPr>
        <w:t>施工期车辆运输过程产生的扬尘约占扬尘总量的60%，施工场地、施工道路在自然风作用下产生的扬尘所影响的范围在100m以内。如果在施工期间对车辆行驶的路面实施洒水抑尘，每天洒水4~5次，可使扬尘减少70%左右，将有效控制施工扬尘对周围农户的影响。</w:t>
      </w:r>
    </w:p>
    <w:p w14:paraId="4C3DDE0D">
      <w:pPr>
        <w:ind w:firstLine="480"/>
        <w:rPr>
          <w:color w:val="auto"/>
        </w:rPr>
      </w:pPr>
      <w:r>
        <w:rPr>
          <w:rFonts w:hint="eastAsia"/>
          <w:color w:val="auto"/>
        </w:rPr>
        <w:t>2、</w:t>
      </w:r>
      <w:r>
        <w:rPr>
          <w:color w:val="auto"/>
        </w:rPr>
        <w:t>运输车辆、施工机械燃料废气</w:t>
      </w:r>
    </w:p>
    <w:p w14:paraId="7C7C7901">
      <w:pPr>
        <w:ind w:firstLine="480"/>
        <w:rPr>
          <w:color w:val="auto"/>
        </w:rPr>
      </w:pPr>
      <w:r>
        <w:rPr>
          <w:color w:val="auto"/>
        </w:rPr>
        <w:t>施工中将使用各类大、中、小施工机械，主要以汽油、柴油等燃烧为动力，排放的尾气、烟气对区域环境空气有一定的影响。燃料废气中主要含CO、CO</w:t>
      </w:r>
      <w:r>
        <w:rPr>
          <w:color w:val="auto"/>
          <w:vertAlign w:val="subscript"/>
        </w:rPr>
        <w:t>2</w:t>
      </w:r>
      <w:r>
        <w:rPr>
          <w:color w:val="auto"/>
        </w:rPr>
        <w:t>、NO</w:t>
      </w:r>
      <w:r>
        <w:rPr>
          <w:color w:val="auto"/>
          <w:vertAlign w:val="subscript"/>
        </w:rPr>
        <w:t>X</w:t>
      </w:r>
      <w:r>
        <w:rPr>
          <w:color w:val="auto"/>
        </w:rPr>
        <w:t>、HC、烟尘等。在施工过程中必须选用高性能、低污染的施工机械，减轻燃料废气对区域环境空气的影响。施工机械燃料废气污染随着工程的结束而结束</w:t>
      </w:r>
      <w:r>
        <w:rPr>
          <w:rFonts w:hint="eastAsia"/>
          <w:color w:val="auto"/>
        </w:rPr>
        <w:t>。</w:t>
      </w:r>
    </w:p>
    <w:p w14:paraId="4E3B04DD">
      <w:pPr>
        <w:pStyle w:val="4"/>
        <w:rPr>
          <w:color w:val="auto"/>
        </w:rPr>
      </w:pPr>
      <w:bookmarkStart w:id="466" w:name="_Toc225216782"/>
      <w:r>
        <w:rPr>
          <w:rFonts w:hint="eastAsia"/>
          <w:color w:val="auto"/>
        </w:rPr>
        <w:t>施工期废水环境影响分析</w:t>
      </w:r>
      <w:bookmarkEnd w:id="466"/>
    </w:p>
    <w:p w14:paraId="49366288">
      <w:pPr>
        <w:ind w:firstLine="480"/>
        <w:rPr>
          <w:color w:val="auto"/>
          <w:szCs w:val="28"/>
        </w:rPr>
      </w:pPr>
      <w:r>
        <w:rPr>
          <w:color w:val="auto"/>
          <w:szCs w:val="28"/>
        </w:rPr>
        <w:t>施工期废水主要为施工人员生活污水、施工作业废水。</w:t>
      </w:r>
    </w:p>
    <w:p w14:paraId="466EE9DA">
      <w:pPr>
        <w:ind w:firstLine="480"/>
        <w:rPr>
          <w:color w:val="auto"/>
          <w:szCs w:val="28"/>
        </w:rPr>
      </w:pPr>
      <w:r>
        <w:rPr>
          <w:rFonts w:hint="eastAsia"/>
          <w:color w:val="auto"/>
          <w:szCs w:val="28"/>
        </w:rPr>
        <w:t>1、</w:t>
      </w:r>
      <w:r>
        <w:rPr>
          <w:color w:val="auto"/>
          <w:szCs w:val="28"/>
        </w:rPr>
        <w:t>生活污水</w:t>
      </w:r>
    </w:p>
    <w:p w14:paraId="280E1FFF">
      <w:pPr>
        <w:ind w:firstLine="480"/>
        <w:rPr>
          <w:color w:val="auto"/>
          <w:szCs w:val="28"/>
        </w:rPr>
      </w:pPr>
      <w:r>
        <w:rPr>
          <w:color w:val="auto"/>
          <w:szCs w:val="28"/>
        </w:rPr>
        <w:t>建筑施工所排放的污水主要是施工人员所排放的生活污水。</w:t>
      </w:r>
      <w:r>
        <w:rPr>
          <w:rFonts w:hint="eastAsia"/>
          <w:color w:val="auto"/>
        </w:rPr>
        <w:t>项目施工高峰期人数约10人，生活污水排放量按1</w:t>
      </w:r>
      <w:r>
        <w:rPr>
          <w:color w:val="auto"/>
        </w:rPr>
        <w:t>5</w:t>
      </w:r>
      <w:r>
        <w:rPr>
          <w:rFonts w:hint="eastAsia"/>
          <w:color w:val="auto"/>
        </w:rPr>
        <w:t>0L/人•d计，则生活污水排放量为1.5m</w:t>
      </w:r>
      <w:r>
        <w:rPr>
          <w:rFonts w:hint="eastAsia"/>
          <w:color w:val="auto"/>
          <w:vertAlign w:val="superscript"/>
        </w:rPr>
        <w:t>3</w:t>
      </w:r>
      <w:r>
        <w:rPr>
          <w:rFonts w:hint="eastAsia"/>
          <w:color w:val="auto"/>
        </w:rPr>
        <w:t>/d，</w:t>
      </w:r>
      <w:r>
        <w:rPr>
          <w:color w:val="auto"/>
        </w:rPr>
        <w:t>主要污染物为COD和NH</w:t>
      </w:r>
      <w:r>
        <w:rPr>
          <w:color w:val="auto"/>
          <w:vertAlign w:val="subscript"/>
        </w:rPr>
        <w:t>3</w:t>
      </w:r>
      <w:r>
        <w:rPr>
          <w:color w:val="auto"/>
        </w:rPr>
        <w:t>-N等</w:t>
      </w:r>
      <w:r>
        <w:rPr>
          <w:rFonts w:hint="eastAsia"/>
          <w:color w:val="auto"/>
        </w:rPr>
        <w:t>，依托厂区内现有化粪池处理，</w:t>
      </w:r>
      <w:r>
        <w:rPr>
          <w:color w:val="auto"/>
        </w:rPr>
        <w:t>对环境影响不大</w:t>
      </w:r>
      <w:r>
        <w:rPr>
          <w:color w:val="auto"/>
          <w:szCs w:val="28"/>
        </w:rPr>
        <w:t>。</w:t>
      </w:r>
    </w:p>
    <w:p w14:paraId="40EE3E45">
      <w:pPr>
        <w:ind w:firstLine="480"/>
        <w:rPr>
          <w:color w:val="auto"/>
        </w:rPr>
      </w:pPr>
      <w:r>
        <w:rPr>
          <w:rFonts w:hint="eastAsia"/>
          <w:color w:val="auto"/>
        </w:rPr>
        <w:t>2、</w:t>
      </w:r>
      <w:r>
        <w:rPr>
          <w:color w:val="auto"/>
        </w:rPr>
        <w:t>施工</w:t>
      </w:r>
      <w:r>
        <w:rPr>
          <w:rFonts w:hint="eastAsia"/>
          <w:color w:val="auto"/>
        </w:rPr>
        <w:t>作业废</w:t>
      </w:r>
      <w:r>
        <w:rPr>
          <w:color w:val="auto"/>
        </w:rPr>
        <w:t>水</w:t>
      </w:r>
    </w:p>
    <w:p w14:paraId="0ED7C598">
      <w:pPr>
        <w:ind w:firstLine="480"/>
        <w:rPr>
          <w:color w:val="auto"/>
          <w:szCs w:val="28"/>
        </w:rPr>
      </w:pPr>
      <w:r>
        <w:rPr>
          <w:color w:val="auto"/>
          <w:szCs w:val="28"/>
        </w:rPr>
        <w:t>工程土石方施工将投入一定数量的机械设备和运输车辆，机械设备和运输车辆在维修养护时将产生冲洗废水。该类废水中含有较高的泥沙和少量油污，直接外排将对周边环境造成影响。因此，建议施工单位</w:t>
      </w:r>
      <w:r>
        <w:rPr>
          <w:rFonts w:hint="eastAsia"/>
          <w:color w:val="auto"/>
          <w:szCs w:val="28"/>
        </w:rPr>
        <w:t>应</w:t>
      </w:r>
      <w:r>
        <w:rPr>
          <w:color w:val="auto"/>
          <w:szCs w:val="28"/>
        </w:rPr>
        <w:t>设置固定的施工机械、车辆冲洗维修点，对冲洗</w:t>
      </w:r>
      <w:r>
        <w:rPr>
          <w:rFonts w:hint="eastAsia"/>
          <w:color w:val="auto"/>
          <w:szCs w:val="28"/>
        </w:rPr>
        <w:t>废</w:t>
      </w:r>
      <w:r>
        <w:rPr>
          <w:color w:val="auto"/>
          <w:szCs w:val="28"/>
        </w:rPr>
        <w:t>水实行统一收集、</w:t>
      </w:r>
      <w:r>
        <w:rPr>
          <w:rFonts w:hint="eastAsia"/>
          <w:color w:val="auto"/>
          <w:szCs w:val="28"/>
        </w:rPr>
        <w:t>处</w:t>
      </w:r>
      <w:r>
        <w:rPr>
          <w:color w:val="auto"/>
          <w:szCs w:val="28"/>
        </w:rPr>
        <w:t>理，经沉淀、隔油后，回用于路面洒水或绿化。</w:t>
      </w:r>
    </w:p>
    <w:p w14:paraId="06C41A9C">
      <w:pPr>
        <w:ind w:firstLine="480"/>
        <w:rPr>
          <w:color w:val="auto"/>
        </w:rPr>
      </w:pPr>
      <w:r>
        <w:rPr>
          <w:color w:val="auto"/>
        </w:rPr>
        <w:t>在搅拌混凝土的生产过程及制作预制构件时会有废水产生，以混凝土转筒和料罐的冲洗废水为主。混凝土搅拌排放的废水具有悬浮物浓度高、水量小、间歇集中排放、易于沉淀等特点。据有关数据资料显示，混凝土转筒和料罐每次冲洗产生的污水量约0.5m</w:t>
      </w:r>
      <w:r>
        <w:rPr>
          <w:color w:val="auto"/>
          <w:vertAlign w:val="superscript"/>
        </w:rPr>
        <w:t>3</w:t>
      </w:r>
      <w:r>
        <w:rPr>
          <w:color w:val="auto"/>
        </w:rPr>
        <w:t>，SS浓度约5000mg/L，pH值在12左右，废水污染物浓度远远超出了《污水综合排放标准》（GB8978-1996）一级排放标准污染物限值要求。</w:t>
      </w:r>
      <w:r>
        <w:rPr>
          <w:rFonts w:hint="eastAsia"/>
          <w:color w:val="auto"/>
        </w:rPr>
        <w:t>因此，</w:t>
      </w:r>
      <w:r>
        <w:rPr>
          <w:color w:val="auto"/>
        </w:rPr>
        <w:t>混凝土搅拌废水</w:t>
      </w:r>
      <w:r>
        <w:rPr>
          <w:rFonts w:hint="eastAsia"/>
          <w:color w:val="auto"/>
        </w:rPr>
        <w:t>应</w:t>
      </w:r>
      <w:r>
        <w:rPr>
          <w:color w:val="auto"/>
        </w:rPr>
        <w:t>收集</w:t>
      </w:r>
      <w:r>
        <w:rPr>
          <w:rFonts w:hint="eastAsia"/>
          <w:color w:val="auto"/>
        </w:rPr>
        <w:t>后</w:t>
      </w:r>
      <w:r>
        <w:rPr>
          <w:color w:val="auto"/>
        </w:rPr>
        <w:t>沉淀，可用于道路洒水，在加强施工期间相关管理的前提下，混凝土搅拌废水不会对环境造成不利影响。</w:t>
      </w:r>
    </w:p>
    <w:p w14:paraId="2C3D839A">
      <w:pPr>
        <w:ind w:firstLine="480"/>
        <w:rPr>
          <w:color w:val="auto"/>
        </w:rPr>
      </w:pPr>
      <w:r>
        <w:rPr>
          <w:color w:val="auto"/>
        </w:rPr>
        <w:t>施工单位必须加强对施工人员的教育和管理，生活污水和施工废水严禁未经处理随地泼洒、排放，做好施工期环境监理工作，施工期污水禁止直接排入拟建场址周围地表水体</w:t>
      </w:r>
      <w:r>
        <w:rPr>
          <w:rFonts w:hint="eastAsia"/>
          <w:color w:val="auto"/>
        </w:rPr>
        <w:t>。</w:t>
      </w:r>
    </w:p>
    <w:p w14:paraId="4EEE75DF">
      <w:pPr>
        <w:pStyle w:val="4"/>
        <w:rPr>
          <w:color w:val="auto"/>
        </w:rPr>
      </w:pPr>
      <w:bookmarkStart w:id="467" w:name="_Toc225216783"/>
      <w:r>
        <w:rPr>
          <w:rFonts w:hint="eastAsia"/>
          <w:color w:val="auto"/>
        </w:rPr>
        <w:t>施工期噪声环境影响分析</w:t>
      </w:r>
      <w:bookmarkEnd w:id="467"/>
    </w:p>
    <w:p w14:paraId="2D2CDE6E">
      <w:pPr>
        <w:ind w:firstLine="480"/>
        <w:rPr>
          <w:color w:val="auto"/>
        </w:rPr>
      </w:pPr>
      <w:r>
        <w:rPr>
          <w:color w:val="auto"/>
        </w:rPr>
        <w:t>施工期噪声主要来源于施工</w:t>
      </w:r>
      <w:r>
        <w:rPr>
          <w:rFonts w:hint="eastAsia"/>
          <w:color w:val="auto"/>
        </w:rPr>
        <w:t>机械</w:t>
      </w:r>
      <w:r>
        <w:rPr>
          <w:color w:val="auto"/>
        </w:rPr>
        <w:t>噪声</w:t>
      </w:r>
      <w:r>
        <w:rPr>
          <w:rFonts w:hint="eastAsia"/>
          <w:color w:val="auto"/>
        </w:rPr>
        <w:t>和物流交通噪声。</w:t>
      </w:r>
    </w:p>
    <w:p w14:paraId="2D5DE373">
      <w:pPr>
        <w:ind w:firstLine="480"/>
        <w:rPr>
          <w:color w:val="auto"/>
        </w:rPr>
      </w:pPr>
      <w:r>
        <w:rPr>
          <w:color w:val="auto"/>
        </w:rPr>
        <w:t>1</w:t>
      </w:r>
      <w:r>
        <w:rPr>
          <w:rFonts w:hint="eastAsia"/>
          <w:color w:val="auto"/>
        </w:rPr>
        <w:t>、</w:t>
      </w:r>
      <w:r>
        <w:rPr>
          <w:color w:val="auto"/>
        </w:rPr>
        <w:t>施工</w:t>
      </w:r>
      <w:r>
        <w:rPr>
          <w:rFonts w:hint="eastAsia"/>
          <w:color w:val="auto"/>
        </w:rPr>
        <w:t>机械</w:t>
      </w:r>
      <w:r>
        <w:rPr>
          <w:color w:val="auto"/>
        </w:rPr>
        <w:t>噪声</w:t>
      </w:r>
    </w:p>
    <w:p w14:paraId="05EB832E">
      <w:pPr>
        <w:ind w:firstLine="480"/>
        <w:rPr>
          <w:color w:val="auto"/>
        </w:rPr>
      </w:pPr>
      <w:r>
        <w:rPr>
          <w:rFonts w:hint="eastAsia"/>
          <w:color w:val="auto"/>
        </w:rPr>
        <w:t>施工过程</w:t>
      </w:r>
      <w:r>
        <w:rPr>
          <w:color w:val="auto"/>
        </w:rPr>
        <w:t>使用的机械主要有钻孔机、塔吊、空压机、挖掘机、工程自卸车、推土机、铲土机、搅拌机、振动机、电锯、电焊机、电钻等，运行噪声在90～105dB(A)之间。根据声源衰减公式，施工机械噪声随距离衰减的预测结果如表4.1-1所示。</w:t>
      </w:r>
    </w:p>
    <w:p w14:paraId="37142B5E">
      <w:pPr>
        <w:spacing w:before="156" w:beforeLines="50" w:after="156" w:afterLines="50" w:line="276" w:lineRule="auto"/>
        <w:ind w:firstLine="480"/>
        <w:jc w:val="center"/>
        <w:rPr>
          <w:color w:val="auto"/>
        </w:rPr>
      </w:pPr>
      <w:r>
        <w:rPr>
          <w:color w:val="auto"/>
        </w:rPr>
        <w:t>L</w:t>
      </w:r>
      <w:r>
        <w:rPr>
          <w:color w:val="auto"/>
          <w:vertAlign w:val="subscript"/>
        </w:rPr>
        <w:t>2</w:t>
      </w:r>
      <w:r>
        <w:rPr>
          <w:color w:val="auto"/>
        </w:rPr>
        <w:t>=L</w:t>
      </w:r>
      <w:r>
        <w:rPr>
          <w:color w:val="auto"/>
          <w:vertAlign w:val="subscript"/>
        </w:rPr>
        <w:t>1</w:t>
      </w:r>
      <w:r>
        <w:rPr>
          <w:color w:val="auto"/>
        </w:rPr>
        <w:t>-20lg(r</w:t>
      </w:r>
      <w:r>
        <w:rPr>
          <w:color w:val="auto"/>
          <w:vertAlign w:val="subscript"/>
        </w:rPr>
        <w:t>2</w:t>
      </w:r>
      <w:r>
        <w:rPr>
          <w:color w:val="auto"/>
        </w:rPr>
        <w:t>/r</w:t>
      </w:r>
      <w:r>
        <w:rPr>
          <w:color w:val="auto"/>
          <w:vertAlign w:val="subscript"/>
        </w:rPr>
        <w:t>2</w:t>
      </w:r>
      <w:r>
        <w:rPr>
          <w:color w:val="auto"/>
        </w:rPr>
        <w:t>)-</w:t>
      </w:r>
      <w:r>
        <w:rPr>
          <w:rFonts w:hint="eastAsia" w:ascii="宋体" w:hAnsi="宋体" w:cs="宋体"/>
          <w:color w:val="auto"/>
        </w:rPr>
        <w:t>△</w:t>
      </w:r>
      <w:r>
        <w:rPr>
          <w:color w:val="auto"/>
        </w:rPr>
        <w:t>L</w:t>
      </w:r>
    </w:p>
    <w:p w14:paraId="1BD07CB5">
      <w:pPr>
        <w:spacing w:before="156" w:beforeLines="50" w:after="156" w:afterLines="50" w:line="276" w:lineRule="auto"/>
        <w:ind w:firstLine="480"/>
        <w:rPr>
          <w:color w:val="auto"/>
        </w:rPr>
      </w:pPr>
      <w:r>
        <w:rPr>
          <w:color w:val="auto"/>
        </w:rPr>
        <w:t>式中：r</w:t>
      </w:r>
      <w:r>
        <w:rPr>
          <w:color w:val="auto"/>
          <w:vertAlign w:val="subscript"/>
        </w:rPr>
        <w:t>1</w:t>
      </w:r>
      <w:r>
        <w:rPr>
          <w:color w:val="auto"/>
        </w:rPr>
        <w:t>、r</w:t>
      </w:r>
      <w:r>
        <w:rPr>
          <w:color w:val="auto"/>
          <w:vertAlign w:val="subscript"/>
        </w:rPr>
        <w:t>2</w:t>
      </w:r>
      <w:r>
        <w:rPr>
          <w:color w:val="auto"/>
        </w:rPr>
        <w:t>——-距声源的距离，m</w:t>
      </w:r>
    </w:p>
    <w:p w14:paraId="284CF124">
      <w:pPr>
        <w:spacing w:before="156" w:beforeLines="50" w:after="156" w:afterLines="50" w:line="276" w:lineRule="auto"/>
        <w:ind w:firstLine="720" w:firstLineChars="300"/>
        <w:rPr>
          <w:color w:val="auto"/>
        </w:rPr>
      </w:pPr>
      <w:r>
        <w:rPr>
          <w:color w:val="auto"/>
        </w:rPr>
        <w:t>L</w:t>
      </w:r>
      <w:r>
        <w:rPr>
          <w:color w:val="auto"/>
          <w:vertAlign w:val="subscript"/>
        </w:rPr>
        <w:t>1</w:t>
      </w:r>
      <w:r>
        <w:rPr>
          <w:color w:val="auto"/>
        </w:rPr>
        <w:t>、L</w:t>
      </w:r>
      <w:r>
        <w:rPr>
          <w:color w:val="auto"/>
          <w:vertAlign w:val="subscript"/>
        </w:rPr>
        <w:t>2</w:t>
      </w:r>
      <w:r>
        <w:rPr>
          <w:color w:val="auto"/>
        </w:rPr>
        <w:t>——L</w:t>
      </w:r>
      <w:r>
        <w:rPr>
          <w:color w:val="auto"/>
          <w:vertAlign w:val="subscript"/>
        </w:rPr>
        <w:t>1</w:t>
      </w:r>
      <w:r>
        <w:rPr>
          <w:color w:val="auto"/>
        </w:rPr>
        <w:t>、L</w:t>
      </w:r>
      <w:r>
        <w:rPr>
          <w:color w:val="auto"/>
          <w:vertAlign w:val="subscript"/>
        </w:rPr>
        <w:t>2</w:t>
      </w:r>
      <w:r>
        <w:rPr>
          <w:color w:val="auto"/>
        </w:rPr>
        <w:t>处的噪声值， dB(A)</w:t>
      </w:r>
    </w:p>
    <w:p w14:paraId="2ACBAD33">
      <w:pPr>
        <w:ind w:firstLine="720" w:firstLineChars="300"/>
        <w:rPr>
          <w:color w:val="auto"/>
        </w:rPr>
      </w:pPr>
      <w:r>
        <w:rPr>
          <w:rFonts w:hint="eastAsia" w:ascii="宋体" w:hAnsi="宋体" w:cs="宋体"/>
          <w:color w:val="auto"/>
        </w:rPr>
        <w:t>△</w:t>
      </w:r>
      <w:r>
        <w:rPr>
          <w:color w:val="auto"/>
        </w:rPr>
        <w:t>L——周边高大建筑物对噪声阻挡影响值，dB(A)。</w:t>
      </w:r>
    </w:p>
    <w:p w14:paraId="62C03D11">
      <w:pPr>
        <w:pStyle w:val="7"/>
        <w:rPr>
          <w:color w:val="auto"/>
        </w:rPr>
      </w:pPr>
      <w:r>
        <w:rPr>
          <w:rFonts w:hint="eastAsia"/>
          <w:color w:val="auto"/>
        </w:rPr>
        <w:t>施工期噪声预测结果</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2"/>
        <w:gridCol w:w="1008"/>
        <w:gridCol w:w="735"/>
        <w:gridCol w:w="726"/>
        <w:gridCol w:w="726"/>
        <w:gridCol w:w="726"/>
        <w:gridCol w:w="713"/>
        <w:gridCol w:w="1008"/>
        <w:gridCol w:w="1009"/>
        <w:gridCol w:w="993"/>
      </w:tblGrid>
      <w:tr w14:paraId="2E459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03F39038">
            <w:pPr>
              <w:pStyle w:val="33"/>
              <w:rPr>
                <w:color w:val="auto"/>
              </w:rPr>
            </w:pPr>
            <w:r>
              <w:rPr>
                <w:color w:val="auto"/>
              </w:rPr>
              <w:t>设备名称</w:t>
            </w:r>
          </w:p>
        </w:tc>
        <w:tc>
          <w:tcPr>
            <w:tcW w:w="543" w:type="pct"/>
            <w:vAlign w:val="center"/>
          </w:tcPr>
          <w:p w14:paraId="31F05C0F">
            <w:pPr>
              <w:pStyle w:val="33"/>
              <w:rPr>
                <w:color w:val="auto"/>
              </w:rPr>
            </w:pPr>
            <w:r>
              <w:rPr>
                <w:color w:val="auto"/>
              </w:rPr>
              <w:t>5m</w:t>
            </w:r>
          </w:p>
        </w:tc>
        <w:tc>
          <w:tcPr>
            <w:tcW w:w="396" w:type="pct"/>
            <w:vAlign w:val="center"/>
          </w:tcPr>
          <w:p w14:paraId="6D086943">
            <w:pPr>
              <w:pStyle w:val="33"/>
              <w:rPr>
                <w:color w:val="auto"/>
              </w:rPr>
            </w:pPr>
            <w:r>
              <w:rPr>
                <w:color w:val="auto"/>
              </w:rPr>
              <w:t>50m</w:t>
            </w:r>
          </w:p>
        </w:tc>
        <w:tc>
          <w:tcPr>
            <w:tcW w:w="391" w:type="pct"/>
            <w:vAlign w:val="center"/>
          </w:tcPr>
          <w:p w14:paraId="76BB29EB">
            <w:pPr>
              <w:pStyle w:val="33"/>
              <w:rPr>
                <w:color w:val="auto"/>
              </w:rPr>
            </w:pPr>
            <w:r>
              <w:rPr>
                <w:color w:val="auto"/>
              </w:rPr>
              <w:t>100m</w:t>
            </w:r>
          </w:p>
        </w:tc>
        <w:tc>
          <w:tcPr>
            <w:tcW w:w="391" w:type="pct"/>
            <w:vAlign w:val="center"/>
          </w:tcPr>
          <w:p w14:paraId="054422DF">
            <w:pPr>
              <w:pStyle w:val="33"/>
              <w:rPr>
                <w:color w:val="auto"/>
              </w:rPr>
            </w:pPr>
            <w:r>
              <w:rPr>
                <w:color w:val="auto"/>
              </w:rPr>
              <w:t>150m</w:t>
            </w:r>
          </w:p>
        </w:tc>
        <w:tc>
          <w:tcPr>
            <w:tcW w:w="391" w:type="pct"/>
            <w:vAlign w:val="center"/>
          </w:tcPr>
          <w:p w14:paraId="21FA7A4A">
            <w:pPr>
              <w:pStyle w:val="33"/>
              <w:rPr>
                <w:color w:val="auto"/>
              </w:rPr>
            </w:pPr>
            <w:r>
              <w:rPr>
                <w:color w:val="auto"/>
              </w:rPr>
              <w:t>200m</w:t>
            </w:r>
          </w:p>
        </w:tc>
        <w:tc>
          <w:tcPr>
            <w:tcW w:w="384" w:type="pct"/>
            <w:vAlign w:val="center"/>
          </w:tcPr>
          <w:p w14:paraId="213221FB">
            <w:pPr>
              <w:pStyle w:val="33"/>
              <w:rPr>
                <w:color w:val="auto"/>
              </w:rPr>
            </w:pPr>
            <w:r>
              <w:rPr>
                <w:color w:val="auto"/>
              </w:rPr>
              <w:t>300m</w:t>
            </w:r>
          </w:p>
        </w:tc>
        <w:tc>
          <w:tcPr>
            <w:tcW w:w="543" w:type="pct"/>
            <w:vAlign w:val="center"/>
          </w:tcPr>
          <w:p w14:paraId="1B4E5D66">
            <w:pPr>
              <w:pStyle w:val="33"/>
              <w:rPr>
                <w:color w:val="auto"/>
              </w:rPr>
            </w:pPr>
            <w:r>
              <w:rPr>
                <w:color w:val="auto"/>
              </w:rPr>
              <w:t>400m</w:t>
            </w:r>
          </w:p>
        </w:tc>
        <w:tc>
          <w:tcPr>
            <w:tcW w:w="543" w:type="pct"/>
            <w:vAlign w:val="center"/>
          </w:tcPr>
          <w:p w14:paraId="2861C2E9">
            <w:pPr>
              <w:pStyle w:val="33"/>
              <w:rPr>
                <w:color w:val="auto"/>
              </w:rPr>
            </w:pPr>
            <w:r>
              <w:rPr>
                <w:color w:val="auto"/>
              </w:rPr>
              <w:t>500m</w:t>
            </w:r>
          </w:p>
        </w:tc>
        <w:tc>
          <w:tcPr>
            <w:tcW w:w="536" w:type="pct"/>
            <w:vAlign w:val="center"/>
          </w:tcPr>
          <w:p w14:paraId="497F289B">
            <w:pPr>
              <w:pStyle w:val="33"/>
              <w:rPr>
                <w:color w:val="auto"/>
              </w:rPr>
            </w:pPr>
            <w:r>
              <w:rPr>
                <w:color w:val="auto"/>
              </w:rPr>
              <w:t>600m</w:t>
            </w:r>
          </w:p>
        </w:tc>
      </w:tr>
      <w:tr w14:paraId="614E1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3E116029">
            <w:pPr>
              <w:pStyle w:val="33"/>
              <w:rPr>
                <w:color w:val="auto"/>
              </w:rPr>
            </w:pPr>
            <w:r>
              <w:rPr>
                <w:color w:val="auto"/>
              </w:rPr>
              <w:t>轮式装载机</w:t>
            </w:r>
          </w:p>
        </w:tc>
        <w:tc>
          <w:tcPr>
            <w:tcW w:w="543" w:type="pct"/>
            <w:vAlign w:val="center"/>
          </w:tcPr>
          <w:p w14:paraId="3BA2D8D1">
            <w:pPr>
              <w:pStyle w:val="33"/>
              <w:rPr>
                <w:color w:val="auto"/>
              </w:rPr>
            </w:pPr>
            <w:r>
              <w:rPr>
                <w:color w:val="auto"/>
              </w:rPr>
              <w:t>90</w:t>
            </w:r>
          </w:p>
        </w:tc>
        <w:tc>
          <w:tcPr>
            <w:tcW w:w="396" w:type="pct"/>
            <w:vAlign w:val="center"/>
          </w:tcPr>
          <w:p w14:paraId="71648E2F">
            <w:pPr>
              <w:pStyle w:val="33"/>
              <w:rPr>
                <w:color w:val="auto"/>
              </w:rPr>
            </w:pPr>
            <w:r>
              <w:rPr>
                <w:color w:val="auto"/>
              </w:rPr>
              <w:t>70</w:t>
            </w:r>
          </w:p>
        </w:tc>
        <w:tc>
          <w:tcPr>
            <w:tcW w:w="391" w:type="pct"/>
            <w:vAlign w:val="center"/>
          </w:tcPr>
          <w:p w14:paraId="39AF8D1F">
            <w:pPr>
              <w:pStyle w:val="33"/>
              <w:rPr>
                <w:color w:val="auto"/>
              </w:rPr>
            </w:pPr>
            <w:r>
              <w:rPr>
                <w:color w:val="auto"/>
              </w:rPr>
              <w:t>64</w:t>
            </w:r>
          </w:p>
        </w:tc>
        <w:tc>
          <w:tcPr>
            <w:tcW w:w="391" w:type="pct"/>
            <w:vAlign w:val="center"/>
          </w:tcPr>
          <w:p w14:paraId="1EC5B568">
            <w:pPr>
              <w:pStyle w:val="33"/>
              <w:rPr>
                <w:color w:val="auto"/>
              </w:rPr>
            </w:pPr>
            <w:r>
              <w:rPr>
                <w:color w:val="auto"/>
              </w:rPr>
              <w:t>60</w:t>
            </w:r>
          </w:p>
        </w:tc>
        <w:tc>
          <w:tcPr>
            <w:tcW w:w="391" w:type="pct"/>
            <w:vAlign w:val="center"/>
          </w:tcPr>
          <w:p w14:paraId="21CD13C6">
            <w:pPr>
              <w:pStyle w:val="33"/>
              <w:rPr>
                <w:color w:val="auto"/>
              </w:rPr>
            </w:pPr>
            <w:r>
              <w:rPr>
                <w:color w:val="auto"/>
              </w:rPr>
              <w:t>58</w:t>
            </w:r>
          </w:p>
        </w:tc>
        <w:tc>
          <w:tcPr>
            <w:tcW w:w="384" w:type="pct"/>
            <w:vAlign w:val="center"/>
          </w:tcPr>
          <w:p w14:paraId="537C6739">
            <w:pPr>
              <w:pStyle w:val="33"/>
              <w:rPr>
                <w:color w:val="auto"/>
              </w:rPr>
            </w:pPr>
            <w:r>
              <w:rPr>
                <w:color w:val="auto"/>
              </w:rPr>
              <w:t>54</w:t>
            </w:r>
          </w:p>
        </w:tc>
        <w:tc>
          <w:tcPr>
            <w:tcW w:w="543" w:type="pct"/>
            <w:vAlign w:val="center"/>
          </w:tcPr>
          <w:p w14:paraId="6690DCCE">
            <w:pPr>
              <w:pStyle w:val="33"/>
              <w:rPr>
                <w:color w:val="auto"/>
              </w:rPr>
            </w:pPr>
            <w:r>
              <w:rPr>
                <w:color w:val="auto"/>
              </w:rPr>
              <w:t>52</w:t>
            </w:r>
          </w:p>
        </w:tc>
        <w:tc>
          <w:tcPr>
            <w:tcW w:w="543" w:type="pct"/>
            <w:vAlign w:val="center"/>
          </w:tcPr>
          <w:p w14:paraId="5E73C8A4">
            <w:pPr>
              <w:pStyle w:val="33"/>
              <w:rPr>
                <w:color w:val="auto"/>
              </w:rPr>
            </w:pPr>
            <w:r>
              <w:rPr>
                <w:color w:val="auto"/>
              </w:rPr>
              <w:t>50</w:t>
            </w:r>
          </w:p>
        </w:tc>
        <w:tc>
          <w:tcPr>
            <w:tcW w:w="536" w:type="pct"/>
            <w:vAlign w:val="center"/>
          </w:tcPr>
          <w:p w14:paraId="1AE51472">
            <w:pPr>
              <w:pStyle w:val="33"/>
              <w:rPr>
                <w:color w:val="auto"/>
              </w:rPr>
            </w:pPr>
            <w:r>
              <w:rPr>
                <w:color w:val="auto"/>
              </w:rPr>
              <w:t>48</w:t>
            </w:r>
          </w:p>
        </w:tc>
      </w:tr>
      <w:tr w14:paraId="5D1F1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0CC3FC4F">
            <w:pPr>
              <w:pStyle w:val="33"/>
              <w:rPr>
                <w:color w:val="auto"/>
              </w:rPr>
            </w:pPr>
            <w:r>
              <w:rPr>
                <w:color w:val="auto"/>
              </w:rPr>
              <w:t>推土机</w:t>
            </w:r>
          </w:p>
        </w:tc>
        <w:tc>
          <w:tcPr>
            <w:tcW w:w="543" w:type="pct"/>
            <w:vAlign w:val="center"/>
          </w:tcPr>
          <w:p w14:paraId="55B32C0E">
            <w:pPr>
              <w:pStyle w:val="33"/>
              <w:rPr>
                <w:color w:val="auto"/>
              </w:rPr>
            </w:pPr>
            <w:r>
              <w:rPr>
                <w:color w:val="auto"/>
              </w:rPr>
              <w:t>86</w:t>
            </w:r>
          </w:p>
        </w:tc>
        <w:tc>
          <w:tcPr>
            <w:tcW w:w="396" w:type="pct"/>
            <w:vAlign w:val="center"/>
          </w:tcPr>
          <w:p w14:paraId="55ADE841">
            <w:pPr>
              <w:pStyle w:val="33"/>
              <w:rPr>
                <w:color w:val="auto"/>
              </w:rPr>
            </w:pPr>
            <w:r>
              <w:rPr>
                <w:color w:val="auto"/>
              </w:rPr>
              <w:t>66</w:t>
            </w:r>
          </w:p>
        </w:tc>
        <w:tc>
          <w:tcPr>
            <w:tcW w:w="391" w:type="pct"/>
            <w:vAlign w:val="center"/>
          </w:tcPr>
          <w:p w14:paraId="0BB3F748">
            <w:pPr>
              <w:pStyle w:val="33"/>
              <w:rPr>
                <w:color w:val="auto"/>
              </w:rPr>
            </w:pPr>
            <w:r>
              <w:rPr>
                <w:color w:val="auto"/>
              </w:rPr>
              <w:t>60</w:t>
            </w:r>
          </w:p>
        </w:tc>
        <w:tc>
          <w:tcPr>
            <w:tcW w:w="391" w:type="pct"/>
            <w:vAlign w:val="center"/>
          </w:tcPr>
          <w:p w14:paraId="12224DB1">
            <w:pPr>
              <w:pStyle w:val="33"/>
              <w:rPr>
                <w:color w:val="auto"/>
              </w:rPr>
            </w:pPr>
            <w:r>
              <w:rPr>
                <w:color w:val="auto"/>
              </w:rPr>
              <w:t>56</w:t>
            </w:r>
          </w:p>
        </w:tc>
        <w:tc>
          <w:tcPr>
            <w:tcW w:w="391" w:type="pct"/>
            <w:vAlign w:val="center"/>
          </w:tcPr>
          <w:p w14:paraId="490B2C2F">
            <w:pPr>
              <w:pStyle w:val="33"/>
              <w:rPr>
                <w:color w:val="auto"/>
              </w:rPr>
            </w:pPr>
            <w:r>
              <w:rPr>
                <w:color w:val="auto"/>
              </w:rPr>
              <w:t>54</w:t>
            </w:r>
          </w:p>
        </w:tc>
        <w:tc>
          <w:tcPr>
            <w:tcW w:w="384" w:type="pct"/>
            <w:vAlign w:val="center"/>
          </w:tcPr>
          <w:p w14:paraId="4CAAD958">
            <w:pPr>
              <w:pStyle w:val="33"/>
              <w:rPr>
                <w:color w:val="auto"/>
              </w:rPr>
            </w:pPr>
            <w:r>
              <w:rPr>
                <w:color w:val="auto"/>
              </w:rPr>
              <w:t>50</w:t>
            </w:r>
          </w:p>
        </w:tc>
        <w:tc>
          <w:tcPr>
            <w:tcW w:w="543" w:type="pct"/>
            <w:vAlign w:val="center"/>
          </w:tcPr>
          <w:p w14:paraId="5160EFBE">
            <w:pPr>
              <w:pStyle w:val="33"/>
              <w:rPr>
                <w:color w:val="auto"/>
              </w:rPr>
            </w:pPr>
            <w:r>
              <w:rPr>
                <w:color w:val="auto"/>
              </w:rPr>
              <w:t>48</w:t>
            </w:r>
          </w:p>
        </w:tc>
        <w:tc>
          <w:tcPr>
            <w:tcW w:w="543" w:type="pct"/>
            <w:vAlign w:val="center"/>
          </w:tcPr>
          <w:p w14:paraId="0EDA1FA6">
            <w:pPr>
              <w:pStyle w:val="33"/>
              <w:rPr>
                <w:color w:val="auto"/>
              </w:rPr>
            </w:pPr>
            <w:r>
              <w:rPr>
                <w:color w:val="auto"/>
              </w:rPr>
              <w:t>46</w:t>
            </w:r>
          </w:p>
        </w:tc>
        <w:tc>
          <w:tcPr>
            <w:tcW w:w="536" w:type="pct"/>
            <w:vAlign w:val="center"/>
          </w:tcPr>
          <w:p w14:paraId="60FCCBB0">
            <w:pPr>
              <w:pStyle w:val="33"/>
              <w:rPr>
                <w:color w:val="auto"/>
              </w:rPr>
            </w:pPr>
            <w:r>
              <w:rPr>
                <w:color w:val="auto"/>
              </w:rPr>
              <w:t>44</w:t>
            </w:r>
          </w:p>
        </w:tc>
      </w:tr>
      <w:tr w14:paraId="0AF6E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0D6DA017">
            <w:pPr>
              <w:pStyle w:val="33"/>
              <w:rPr>
                <w:color w:val="auto"/>
              </w:rPr>
            </w:pPr>
            <w:r>
              <w:rPr>
                <w:color w:val="auto"/>
              </w:rPr>
              <w:t>液压挖掘机</w:t>
            </w:r>
          </w:p>
        </w:tc>
        <w:tc>
          <w:tcPr>
            <w:tcW w:w="543" w:type="pct"/>
            <w:vAlign w:val="center"/>
          </w:tcPr>
          <w:p w14:paraId="41A34F7F">
            <w:pPr>
              <w:pStyle w:val="33"/>
              <w:rPr>
                <w:color w:val="auto"/>
              </w:rPr>
            </w:pPr>
            <w:r>
              <w:rPr>
                <w:color w:val="auto"/>
              </w:rPr>
              <w:t>84</w:t>
            </w:r>
          </w:p>
        </w:tc>
        <w:tc>
          <w:tcPr>
            <w:tcW w:w="396" w:type="pct"/>
            <w:vAlign w:val="center"/>
          </w:tcPr>
          <w:p w14:paraId="312D9D5E">
            <w:pPr>
              <w:pStyle w:val="33"/>
              <w:rPr>
                <w:color w:val="auto"/>
              </w:rPr>
            </w:pPr>
            <w:r>
              <w:rPr>
                <w:color w:val="auto"/>
              </w:rPr>
              <w:t>64</w:t>
            </w:r>
          </w:p>
        </w:tc>
        <w:tc>
          <w:tcPr>
            <w:tcW w:w="391" w:type="pct"/>
            <w:vAlign w:val="center"/>
          </w:tcPr>
          <w:p w14:paraId="3DFAFE02">
            <w:pPr>
              <w:pStyle w:val="33"/>
              <w:rPr>
                <w:color w:val="auto"/>
              </w:rPr>
            </w:pPr>
            <w:r>
              <w:rPr>
                <w:color w:val="auto"/>
              </w:rPr>
              <w:t>58</w:t>
            </w:r>
          </w:p>
        </w:tc>
        <w:tc>
          <w:tcPr>
            <w:tcW w:w="391" w:type="pct"/>
            <w:vAlign w:val="center"/>
          </w:tcPr>
          <w:p w14:paraId="60EF6AEA">
            <w:pPr>
              <w:pStyle w:val="33"/>
              <w:rPr>
                <w:color w:val="auto"/>
              </w:rPr>
            </w:pPr>
            <w:r>
              <w:rPr>
                <w:color w:val="auto"/>
              </w:rPr>
              <w:t>54</w:t>
            </w:r>
          </w:p>
        </w:tc>
        <w:tc>
          <w:tcPr>
            <w:tcW w:w="391" w:type="pct"/>
            <w:vAlign w:val="center"/>
          </w:tcPr>
          <w:p w14:paraId="5BE58B31">
            <w:pPr>
              <w:pStyle w:val="33"/>
              <w:rPr>
                <w:color w:val="auto"/>
              </w:rPr>
            </w:pPr>
            <w:r>
              <w:rPr>
                <w:color w:val="auto"/>
              </w:rPr>
              <w:t>52</w:t>
            </w:r>
          </w:p>
        </w:tc>
        <w:tc>
          <w:tcPr>
            <w:tcW w:w="384" w:type="pct"/>
            <w:vAlign w:val="center"/>
          </w:tcPr>
          <w:p w14:paraId="1019BE21">
            <w:pPr>
              <w:pStyle w:val="33"/>
              <w:rPr>
                <w:color w:val="auto"/>
              </w:rPr>
            </w:pPr>
            <w:r>
              <w:rPr>
                <w:color w:val="auto"/>
              </w:rPr>
              <w:t>48</w:t>
            </w:r>
          </w:p>
        </w:tc>
        <w:tc>
          <w:tcPr>
            <w:tcW w:w="543" w:type="pct"/>
            <w:vAlign w:val="center"/>
          </w:tcPr>
          <w:p w14:paraId="469FBDF9">
            <w:pPr>
              <w:pStyle w:val="33"/>
              <w:rPr>
                <w:color w:val="auto"/>
              </w:rPr>
            </w:pPr>
            <w:r>
              <w:rPr>
                <w:color w:val="auto"/>
              </w:rPr>
              <w:t>46</w:t>
            </w:r>
          </w:p>
        </w:tc>
        <w:tc>
          <w:tcPr>
            <w:tcW w:w="543" w:type="pct"/>
            <w:vAlign w:val="center"/>
          </w:tcPr>
          <w:p w14:paraId="7947C5F5">
            <w:pPr>
              <w:pStyle w:val="33"/>
              <w:rPr>
                <w:color w:val="auto"/>
              </w:rPr>
            </w:pPr>
            <w:r>
              <w:rPr>
                <w:color w:val="auto"/>
              </w:rPr>
              <w:t>44</w:t>
            </w:r>
          </w:p>
        </w:tc>
        <w:tc>
          <w:tcPr>
            <w:tcW w:w="536" w:type="pct"/>
            <w:vAlign w:val="center"/>
          </w:tcPr>
          <w:p w14:paraId="5182334D">
            <w:pPr>
              <w:pStyle w:val="33"/>
              <w:rPr>
                <w:color w:val="auto"/>
              </w:rPr>
            </w:pPr>
            <w:r>
              <w:rPr>
                <w:color w:val="auto"/>
              </w:rPr>
              <w:t>42</w:t>
            </w:r>
          </w:p>
        </w:tc>
      </w:tr>
      <w:tr w14:paraId="6A17B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3E3BF7FE">
            <w:pPr>
              <w:pStyle w:val="33"/>
              <w:rPr>
                <w:color w:val="auto"/>
              </w:rPr>
            </w:pPr>
            <w:r>
              <w:rPr>
                <w:color w:val="auto"/>
              </w:rPr>
              <w:t>冲击式钻井机</w:t>
            </w:r>
          </w:p>
        </w:tc>
        <w:tc>
          <w:tcPr>
            <w:tcW w:w="543" w:type="pct"/>
            <w:vAlign w:val="center"/>
          </w:tcPr>
          <w:p w14:paraId="1DA5A411">
            <w:pPr>
              <w:pStyle w:val="33"/>
              <w:rPr>
                <w:color w:val="auto"/>
              </w:rPr>
            </w:pPr>
            <w:r>
              <w:rPr>
                <w:color w:val="auto"/>
              </w:rPr>
              <w:t>87</w:t>
            </w:r>
          </w:p>
        </w:tc>
        <w:tc>
          <w:tcPr>
            <w:tcW w:w="396" w:type="pct"/>
            <w:vAlign w:val="center"/>
          </w:tcPr>
          <w:p w14:paraId="7693DD04">
            <w:pPr>
              <w:pStyle w:val="33"/>
              <w:rPr>
                <w:color w:val="auto"/>
              </w:rPr>
            </w:pPr>
            <w:r>
              <w:rPr>
                <w:color w:val="auto"/>
              </w:rPr>
              <w:t>67</w:t>
            </w:r>
          </w:p>
        </w:tc>
        <w:tc>
          <w:tcPr>
            <w:tcW w:w="391" w:type="pct"/>
            <w:vAlign w:val="center"/>
          </w:tcPr>
          <w:p w14:paraId="2192CF2D">
            <w:pPr>
              <w:pStyle w:val="33"/>
              <w:rPr>
                <w:color w:val="auto"/>
              </w:rPr>
            </w:pPr>
            <w:r>
              <w:rPr>
                <w:color w:val="auto"/>
              </w:rPr>
              <w:t>61</w:t>
            </w:r>
          </w:p>
        </w:tc>
        <w:tc>
          <w:tcPr>
            <w:tcW w:w="391" w:type="pct"/>
            <w:vAlign w:val="center"/>
          </w:tcPr>
          <w:p w14:paraId="1822BA68">
            <w:pPr>
              <w:pStyle w:val="33"/>
              <w:rPr>
                <w:color w:val="auto"/>
              </w:rPr>
            </w:pPr>
            <w:r>
              <w:rPr>
                <w:color w:val="auto"/>
              </w:rPr>
              <w:t>57</w:t>
            </w:r>
          </w:p>
        </w:tc>
        <w:tc>
          <w:tcPr>
            <w:tcW w:w="391" w:type="pct"/>
            <w:vAlign w:val="center"/>
          </w:tcPr>
          <w:p w14:paraId="0755DF15">
            <w:pPr>
              <w:pStyle w:val="33"/>
              <w:rPr>
                <w:color w:val="auto"/>
              </w:rPr>
            </w:pPr>
            <w:r>
              <w:rPr>
                <w:color w:val="auto"/>
              </w:rPr>
              <w:t>55</w:t>
            </w:r>
          </w:p>
        </w:tc>
        <w:tc>
          <w:tcPr>
            <w:tcW w:w="384" w:type="pct"/>
            <w:vAlign w:val="center"/>
          </w:tcPr>
          <w:p w14:paraId="045BDE0F">
            <w:pPr>
              <w:pStyle w:val="33"/>
              <w:rPr>
                <w:color w:val="auto"/>
              </w:rPr>
            </w:pPr>
            <w:r>
              <w:rPr>
                <w:color w:val="auto"/>
              </w:rPr>
              <w:t>51</w:t>
            </w:r>
          </w:p>
        </w:tc>
        <w:tc>
          <w:tcPr>
            <w:tcW w:w="543" w:type="pct"/>
            <w:vAlign w:val="center"/>
          </w:tcPr>
          <w:p w14:paraId="5362861E">
            <w:pPr>
              <w:pStyle w:val="33"/>
              <w:rPr>
                <w:color w:val="auto"/>
              </w:rPr>
            </w:pPr>
            <w:r>
              <w:rPr>
                <w:color w:val="auto"/>
              </w:rPr>
              <w:t>49</w:t>
            </w:r>
          </w:p>
        </w:tc>
        <w:tc>
          <w:tcPr>
            <w:tcW w:w="543" w:type="pct"/>
            <w:vAlign w:val="center"/>
          </w:tcPr>
          <w:p w14:paraId="05C00E3C">
            <w:pPr>
              <w:pStyle w:val="33"/>
              <w:rPr>
                <w:color w:val="auto"/>
              </w:rPr>
            </w:pPr>
            <w:r>
              <w:rPr>
                <w:color w:val="auto"/>
              </w:rPr>
              <w:t>47</w:t>
            </w:r>
          </w:p>
        </w:tc>
        <w:tc>
          <w:tcPr>
            <w:tcW w:w="536" w:type="pct"/>
            <w:vAlign w:val="center"/>
          </w:tcPr>
          <w:p w14:paraId="33EEC567">
            <w:pPr>
              <w:pStyle w:val="33"/>
              <w:rPr>
                <w:color w:val="auto"/>
              </w:rPr>
            </w:pPr>
            <w:r>
              <w:rPr>
                <w:color w:val="auto"/>
              </w:rPr>
              <w:t>45</w:t>
            </w:r>
          </w:p>
        </w:tc>
      </w:tr>
      <w:tr w14:paraId="129172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2BC75992">
            <w:pPr>
              <w:pStyle w:val="33"/>
              <w:rPr>
                <w:color w:val="auto"/>
              </w:rPr>
            </w:pPr>
            <w:r>
              <w:rPr>
                <w:color w:val="auto"/>
              </w:rPr>
              <w:t>冲击式打桩机</w:t>
            </w:r>
          </w:p>
        </w:tc>
        <w:tc>
          <w:tcPr>
            <w:tcW w:w="543" w:type="pct"/>
            <w:vAlign w:val="center"/>
          </w:tcPr>
          <w:p w14:paraId="19C3FAE7">
            <w:pPr>
              <w:pStyle w:val="33"/>
              <w:rPr>
                <w:color w:val="auto"/>
              </w:rPr>
            </w:pPr>
            <w:r>
              <w:rPr>
                <w:color w:val="auto"/>
              </w:rPr>
              <w:t>109</w:t>
            </w:r>
          </w:p>
        </w:tc>
        <w:tc>
          <w:tcPr>
            <w:tcW w:w="396" w:type="pct"/>
            <w:vAlign w:val="center"/>
          </w:tcPr>
          <w:p w14:paraId="0E7D20A0">
            <w:pPr>
              <w:pStyle w:val="33"/>
              <w:rPr>
                <w:color w:val="auto"/>
              </w:rPr>
            </w:pPr>
            <w:r>
              <w:rPr>
                <w:color w:val="auto"/>
              </w:rPr>
              <w:t>89</w:t>
            </w:r>
          </w:p>
        </w:tc>
        <w:tc>
          <w:tcPr>
            <w:tcW w:w="391" w:type="pct"/>
            <w:vAlign w:val="center"/>
          </w:tcPr>
          <w:p w14:paraId="71595025">
            <w:pPr>
              <w:pStyle w:val="33"/>
              <w:rPr>
                <w:color w:val="auto"/>
              </w:rPr>
            </w:pPr>
            <w:r>
              <w:rPr>
                <w:color w:val="auto"/>
              </w:rPr>
              <w:t>83</w:t>
            </w:r>
          </w:p>
        </w:tc>
        <w:tc>
          <w:tcPr>
            <w:tcW w:w="391" w:type="pct"/>
            <w:vAlign w:val="center"/>
          </w:tcPr>
          <w:p w14:paraId="0A649A39">
            <w:pPr>
              <w:pStyle w:val="33"/>
              <w:rPr>
                <w:color w:val="auto"/>
              </w:rPr>
            </w:pPr>
            <w:r>
              <w:rPr>
                <w:color w:val="auto"/>
              </w:rPr>
              <w:t>79</w:t>
            </w:r>
          </w:p>
        </w:tc>
        <w:tc>
          <w:tcPr>
            <w:tcW w:w="391" w:type="pct"/>
            <w:vAlign w:val="center"/>
          </w:tcPr>
          <w:p w14:paraId="507D3D12">
            <w:pPr>
              <w:pStyle w:val="33"/>
              <w:rPr>
                <w:color w:val="auto"/>
              </w:rPr>
            </w:pPr>
            <w:r>
              <w:rPr>
                <w:color w:val="auto"/>
              </w:rPr>
              <w:t>77</w:t>
            </w:r>
          </w:p>
        </w:tc>
        <w:tc>
          <w:tcPr>
            <w:tcW w:w="384" w:type="pct"/>
            <w:vAlign w:val="center"/>
          </w:tcPr>
          <w:p w14:paraId="6F9CB680">
            <w:pPr>
              <w:pStyle w:val="33"/>
              <w:rPr>
                <w:color w:val="auto"/>
              </w:rPr>
            </w:pPr>
            <w:r>
              <w:rPr>
                <w:color w:val="auto"/>
              </w:rPr>
              <w:t>73</w:t>
            </w:r>
          </w:p>
        </w:tc>
        <w:tc>
          <w:tcPr>
            <w:tcW w:w="543" w:type="pct"/>
            <w:vAlign w:val="center"/>
          </w:tcPr>
          <w:p w14:paraId="6A1239F8">
            <w:pPr>
              <w:pStyle w:val="33"/>
              <w:rPr>
                <w:color w:val="auto"/>
              </w:rPr>
            </w:pPr>
            <w:r>
              <w:rPr>
                <w:color w:val="auto"/>
              </w:rPr>
              <w:t>71</w:t>
            </w:r>
          </w:p>
        </w:tc>
        <w:tc>
          <w:tcPr>
            <w:tcW w:w="543" w:type="pct"/>
            <w:vAlign w:val="center"/>
          </w:tcPr>
          <w:p w14:paraId="5846C778">
            <w:pPr>
              <w:pStyle w:val="33"/>
              <w:rPr>
                <w:color w:val="auto"/>
              </w:rPr>
            </w:pPr>
            <w:r>
              <w:rPr>
                <w:color w:val="auto"/>
              </w:rPr>
              <w:t>69</w:t>
            </w:r>
          </w:p>
        </w:tc>
        <w:tc>
          <w:tcPr>
            <w:tcW w:w="536" w:type="pct"/>
            <w:vAlign w:val="center"/>
          </w:tcPr>
          <w:p w14:paraId="2E5F2169">
            <w:pPr>
              <w:pStyle w:val="33"/>
              <w:rPr>
                <w:color w:val="auto"/>
              </w:rPr>
            </w:pPr>
            <w:r>
              <w:rPr>
                <w:color w:val="auto"/>
              </w:rPr>
              <w:t>67</w:t>
            </w:r>
          </w:p>
        </w:tc>
      </w:tr>
      <w:tr w14:paraId="7AB91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70DB579A">
            <w:pPr>
              <w:pStyle w:val="33"/>
              <w:rPr>
                <w:color w:val="auto"/>
              </w:rPr>
            </w:pPr>
            <w:r>
              <w:rPr>
                <w:color w:val="auto"/>
              </w:rPr>
              <w:t>混凝土搅拌机</w:t>
            </w:r>
          </w:p>
        </w:tc>
        <w:tc>
          <w:tcPr>
            <w:tcW w:w="543" w:type="pct"/>
            <w:vAlign w:val="center"/>
          </w:tcPr>
          <w:p w14:paraId="29BCA868">
            <w:pPr>
              <w:pStyle w:val="33"/>
              <w:rPr>
                <w:color w:val="auto"/>
              </w:rPr>
            </w:pPr>
            <w:r>
              <w:rPr>
                <w:color w:val="auto"/>
              </w:rPr>
              <w:t>91</w:t>
            </w:r>
          </w:p>
        </w:tc>
        <w:tc>
          <w:tcPr>
            <w:tcW w:w="396" w:type="pct"/>
            <w:vAlign w:val="center"/>
          </w:tcPr>
          <w:p w14:paraId="45956231">
            <w:pPr>
              <w:pStyle w:val="33"/>
              <w:rPr>
                <w:color w:val="auto"/>
              </w:rPr>
            </w:pPr>
            <w:r>
              <w:rPr>
                <w:color w:val="auto"/>
              </w:rPr>
              <w:t>71</w:t>
            </w:r>
          </w:p>
        </w:tc>
        <w:tc>
          <w:tcPr>
            <w:tcW w:w="391" w:type="pct"/>
            <w:vAlign w:val="center"/>
          </w:tcPr>
          <w:p w14:paraId="0EE4C56D">
            <w:pPr>
              <w:pStyle w:val="33"/>
              <w:rPr>
                <w:color w:val="auto"/>
              </w:rPr>
            </w:pPr>
            <w:r>
              <w:rPr>
                <w:color w:val="auto"/>
              </w:rPr>
              <w:t>65</w:t>
            </w:r>
          </w:p>
        </w:tc>
        <w:tc>
          <w:tcPr>
            <w:tcW w:w="391" w:type="pct"/>
            <w:vAlign w:val="center"/>
          </w:tcPr>
          <w:p w14:paraId="79768EFB">
            <w:pPr>
              <w:pStyle w:val="33"/>
              <w:rPr>
                <w:color w:val="auto"/>
              </w:rPr>
            </w:pPr>
            <w:r>
              <w:rPr>
                <w:color w:val="auto"/>
              </w:rPr>
              <w:t>61</w:t>
            </w:r>
          </w:p>
        </w:tc>
        <w:tc>
          <w:tcPr>
            <w:tcW w:w="391" w:type="pct"/>
            <w:vAlign w:val="center"/>
          </w:tcPr>
          <w:p w14:paraId="54582FB7">
            <w:pPr>
              <w:pStyle w:val="33"/>
              <w:rPr>
                <w:color w:val="auto"/>
              </w:rPr>
            </w:pPr>
            <w:r>
              <w:rPr>
                <w:color w:val="auto"/>
              </w:rPr>
              <w:t>59</w:t>
            </w:r>
          </w:p>
        </w:tc>
        <w:tc>
          <w:tcPr>
            <w:tcW w:w="384" w:type="pct"/>
            <w:vAlign w:val="center"/>
          </w:tcPr>
          <w:p w14:paraId="562B551F">
            <w:pPr>
              <w:pStyle w:val="33"/>
              <w:rPr>
                <w:color w:val="auto"/>
              </w:rPr>
            </w:pPr>
            <w:r>
              <w:rPr>
                <w:color w:val="auto"/>
              </w:rPr>
              <w:t>55</w:t>
            </w:r>
          </w:p>
        </w:tc>
        <w:tc>
          <w:tcPr>
            <w:tcW w:w="543" w:type="pct"/>
            <w:vAlign w:val="center"/>
          </w:tcPr>
          <w:p w14:paraId="576D77B4">
            <w:pPr>
              <w:pStyle w:val="33"/>
              <w:rPr>
                <w:color w:val="auto"/>
              </w:rPr>
            </w:pPr>
            <w:r>
              <w:rPr>
                <w:color w:val="auto"/>
              </w:rPr>
              <w:t>53</w:t>
            </w:r>
          </w:p>
        </w:tc>
        <w:tc>
          <w:tcPr>
            <w:tcW w:w="543" w:type="pct"/>
            <w:vAlign w:val="center"/>
          </w:tcPr>
          <w:p w14:paraId="1D960E62">
            <w:pPr>
              <w:pStyle w:val="33"/>
              <w:rPr>
                <w:color w:val="auto"/>
              </w:rPr>
            </w:pPr>
            <w:r>
              <w:rPr>
                <w:color w:val="auto"/>
              </w:rPr>
              <w:t>51</w:t>
            </w:r>
          </w:p>
        </w:tc>
        <w:tc>
          <w:tcPr>
            <w:tcW w:w="536" w:type="pct"/>
            <w:vAlign w:val="center"/>
          </w:tcPr>
          <w:p w14:paraId="20B27ED9">
            <w:pPr>
              <w:pStyle w:val="33"/>
              <w:rPr>
                <w:color w:val="auto"/>
              </w:rPr>
            </w:pPr>
            <w:r>
              <w:rPr>
                <w:color w:val="auto"/>
              </w:rPr>
              <w:t>49</w:t>
            </w:r>
          </w:p>
        </w:tc>
      </w:tr>
      <w:tr w14:paraId="1773E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2A733B29">
            <w:pPr>
              <w:pStyle w:val="33"/>
              <w:rPr>
                <w:color w:val="auto"/>
              </w:rPr>
            </w:pPr>
            <w:r>
              <w:rPr>
                <w:color w:val="auto"/>
              </w:rPr>
              <w:t>混凝土泵</w:t>
            </w:r>
          </w:p>
        </w:tc>
        <w:tc>
          <w:tcPr>
            <w:tcW w:w="543" w:type="pct"/>
            <w:vAlign w:val="center"/>
          </w:tcPr>
          <w:p w14:paraId="21B158C1">
            <w:pPr>
              <w:pStyle w:val="33"/>
              <w:rPr>
                <w:color w:val="auto"/>
              </w:rPr>
            </w:pPr>
            <w:r>
              <w:rPr>
                <w:color w:val="auto"/>
              </w:rPr>
              <w:t>85</w:t>
            </w:r>
          </w:p>
        </w:tc>
        <w:tc>
          <w:tcPr>
            <w:tcW w:w="396" w:type="pct"/>
            <w:vAlign w:val="center"/>
          </w:tcPr>
          <w:p w14:paraId="2BA6BB2E">
            <w:pPr>
              <w:pStyle w:val="33"/>
              <w:rPr>
                <w:color w:val="auto"/>
              </w:rPr>
            </w:pPr>
            <w:r>
              <w:rPr>
                <w:color w:val="auto"/>
              </w:rPr>
              <w:t>65</w:t>
            </w:r>
          </w:p>
        </w:tc>
        <w:tc>
          <w:tcPr>
            <w:tcW w:w="391" w:type="pct"/>
            <w:vAlign w:val="center"/>
          </w:tcPr>
          <w:p w14:paraId="3667B019">
            <w:pPr>
              <w:pStyle w:val="33"/>
              <w:rPr>
                <w:color w:val="auto"/>
              </w:rPr>
            </w:pPr>
            <w:r>
              <w:rPr>
                <w:color w:val="auto"/>
              </w:rPr>
              <w:t>59</w:t>
            </w:r>
          </w:p>
        </w:tc>
        <w:tc>
          <w:tcPr>
            <w:tcW w:w="391" w:type="pct"/>
            <w:vAlign w:val="center"/>
          </w:tcPr>
          <w:p w14:paraId="42DB877F">
            <w:pPr>
              <w:pStyle w:val="33"/>
              <w:rPr>
                <w:color w:val="auto"/>
              </w:rPr>
            </w:pPr>
            <w:r>
              <w:rPr>
                <w:color w:val="auto"/>
              </w:rPr>
              <w:t>55</w:t>
            </w:r>
          </w:p>
        </w:tc>
        <w:tc>
          <w:tcPr>
            <w:tcW w:w="391" w:type="pct"/>
            <w:vAlign w:val="center"/>
          </w:tcPr>
          <w:p w14:paraId="7AE9F9DC">
            <w:pPr>
              <w:pStyle w:val="33"/>
              <w:rPr>
                <w:color w:val="auto"/>
              </w:rPr>
            </w:pPr>
            <w:r>
              <w:rPr>
                <w:color w:val="auto"/>
              </w:rPr>
              <w:t>53</w:t>
            </w:r>
          </w:p>
        </w:tc>
        <w:tc>
          <w:tcPr>
            <w:tcW w:w="384" w:type="pct"/>
            <w:vAlign w:val="center"/>
          </w:tcPr>
          <w:p w14:paraId="7D236E3F">
            <w:pPr>
              <w:pStyle w:val="33"/>
              <w:rPr>
                <w:color w:val="auto"/>
              </w:rPr>
            </w:pPr>
            <w:r>
              <w:rPr>
                <w:color w:val="auto"/>
              </w:rPr>
              <w:t>49</w:t>
            </w:r>
          </w:p>
        </w:tc>
        <w:tc>
          <w:tcPr>
            <w:tcW w:w="543" w:type="pct"/>
            <w:vAlign w:val="center"/>
          </w:tcPr>
          <w:p w14:paraId="53495482">
            <w:pPr>
              <w:pStyle w:val="33"/>
              <w:rPr>
                <w:color w:val="auto"/>
              </w:rPr>
            </w:pPr>
            <w:r>
              <w:rPr>
                <w:color w:val="auto"/>
              </w:rPr>
              <w:t>47</w:t>
            </w:r>
          </w:p>
        </w:tc>
        <w:tc>
          <w:tcPr>
            <w:tcW w:w="543" w:type="pct"/>
            <w:vAlign w:val="center"/>
          </w:tcPr>
          <w:p w14:paraId="3F3BCF2D">
            <w:pPr>
              <w:pStyle w:val="33"/>
              <w:rPr>
                <w:color w:val="auto"/>
              </w:rPr>
            </w:pPr>
            <w:r>
              <w:rPr>
                <w:color w:val="auto"/>
              </w:rPr>
              <w:t>45</w:t>
            </w:r>
          </w:p>
        </w:tc>
        <w:tc>
          <w:tcPr>
            <w:tcW w:w="536" w:type="pct"/>
            <w:vAlign w:val="center"/>
          </w:tcPr>
          <w:p w14:paraId="7487C3EA">
            <w:pPr>
              <w:pStyle w:val="33"/>
              <w:rPr>
                <w:color w:val="auto"/>
              </w:rPr>
            </w:pPr>
            <w:r>
              <w:rPr>
                <w:color w:val="auto"/>
              </w:rPr>
              <w:t>43</w:t>
            </w:r>
          </w:p>
        </w:tc>
      </w:tr>
      <w:tr w14:paraId="03B4E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5597663E">
            <w:pPr>
              <w:pStyle w:val="33"/>
              <w:rPr>
                <w:color w:val="auto"/>
              </w:rPr>
            </w:pPr>
            <w:r>
              <w:rPr>
                <w:color w:val="auto"/>
              </w:rPr>
              <w:t>混凝土振捣机</w:t>
            </w:r>
          </w:p>
        </w:tc>
        <w:tc>
          <w:tcPr>
            <w:tcW w:w="543" w:type="pct"/>
            <w:vAlign w:val="center"/>
          </w:tcPr>
          <w:p w14:paraId="2C3A2FBE">
            <w:pPr>
              <w:pStyle w:val="33"/>
              <w:rPr>
                <w:color w:val="auto"/>
              </w:rPr>
            </w:pPr>
            <w:r>
              <w:rPr>
                <w:color w:val="auto"/>
              </w:rPr>
              <w:t>84</w:t>
            </w:r>
          </w:p>
        </w:tc>
        <w:tc>
          <w:tcPr>
            <w:tcW w:w="396" w:type="pct"/>
            <w:vAlign w:val="center"/>
          </w:tcPr>
          <w:p w14:paraId="4F464FFC">
            <w:pPr>
              <w:pStyle w:val="33"/>
              <w:rPr>
                <w:color w:val="auto"/>
              </w:rPr>
            </w:pPr>
            <w:r>
              <w:rPr>
                <w:color w:val="auto"/>
              </w:rPr>
              <w:t>64</w:t>
            </w:r>
          </w:p>
        </w:tc>
        <w:tc>
          <w:tcPr>
            <w:tcW w:w="391" w:type="pct"/>
            <w:vAlign w:val="center"/>
          </w:tcPr>
          <w:p w14:paraId="577746B8">
            <w:pPr>
              <w:pStyle w:val="33"/>
              <w:rPr>
                <w:color w:val="auto"/>
              </w:rPr>
            </w:pPr>
            <w:r>
              <w:rPr>
                <w:color w:val="auto"/>
              </w:rPr>
              <w:t>58</w:t>
            </w:r>
          </w:p>
        </w:tc>
        <w:tc>
          <w:tcPr>
            <w:tcW w:w="391" w:type="pct"/>
            <w:vAlign w:val="center"/>
          </w:tcPr>
          <w:p w14:paraId="15E0E853">
            <w:pPr>
              <w:pStyle w:val="33"/>
              <w:rPr>
                <w:color w:val="auto"/>
              </w:rPr>
            </w:pPr>
            <w:r>
              <w:rPr>
                <w:color w:val="auto"/>
              </w:rPr>
              <w:t>54</w:t>
            </w:r>
          </w:p>
        </w:tc>
        <w:tc>
          <w:tcPr>
            <w:tcW w:w="391" w:type="pct"/>
            <w:vAlign w:val="center"/>
          </w:tcPr>
          <w:p w14:paraId="703D65B5">
            <w:pPr>
              <w:pStyle w:val="33"/>
              <w:rPr>
                <w:color w:val="auto"/>
              </w:rPr>
            </w:pPr>
            <w:r>
              <w:rPr>
                <w:color w:val="auto"/>
              </w:rPr>
              <w:t>52</w:t>
            </w:r>
          </w:p>
        </w:tc>
        <w:tc>
          <w:tcPr>
            <w:tcW w:w="384" w:type="pct"/>
            <w:vAlign w:val="center"/>
          </w:tcPr>
          <w:p w14:paraId="7E73BB60">
            <w:pPr>
              <w:pStyle w:val="33"/>
              <w:rPr>
                <w:color w:val="auto"/>
              </w:rPr>
            </w:pPr>
            <w:r>
              <w:rPr>
                <w:color w:val="auto"/>
              </w:rPr>
              <w:t>48</w:t>
            </w:r>
          </w:p>
        </w:tc>
        <w:tc>
          <w:tcPr>
            <w:tcW w:w="543" w:type="pct"/>
            <w:vAlign w:val="center"/>
          </w:tcPr>
          <w:p w14:paraId="38E83DFF">
            <w:pPr>
              <w:pStyle w:val="33"/>
              <w:rPr>
                <w:color w:val="auto"/>
              </w:rPr>
            </w:pPr>
            <w:r>
              <w:rPr>
                <w:color w:val="auto"/>
              </w:rPr>
              <w:t>46</w:t>
            </w:r>
          </w:p>
        </w:tc>
        <w:tc>
          <w:tcPr>
            <w:tcW w:w="543" w:type="pct"/>
            <w:vAlign w:val="center"/>
          </w:tcPr>
          <w:p w14:paraId="409F3DAC">
            <w:pPr>
              <w:pStyle w:val="33"/>
              <w:rPr>
                <w:color w:val="auto"/>
              </w:rPr>
            </w:pPr>
            <w:r>
              <w:rPr>
                <w:color w:val="auto"/>
              </w:rPr>
              <w:t>44</w:t>
            </w:r>
          </w:p>
        </w:tc>
        <w:tc>
          <w:tcPr>
            <w:tcW w:w="536" w:type="pct"/>
            <w:vAlign w:val="center"/>
          </w:tcPr>
          <w:p w14:paraId="380DC7C0">
            <w:pPr>
              <w:pStyle w:val="33"/>
              <w:rPr>
                <w:color w:val="auto"/>
              </w:rPr>
            </w:pPr>
            <w:r>
              <w:rPr>
                <w:color w:val="auto"/>
              </w:rPr>
              <w:t>42</w:t>
            </w:r>
          </w:p>
        </w:tc>
      </w:tr>
      <w:tr w14:paraId="6262F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pct"/>
            <w:vAlign w:val="center"/>
          </w:tcPr>
          <w:p w14:paraId="4E703656">
            <w:pPr>
              <w:pStyle w:val="33"/>
              <w:rPr>
                <w:color w:val="auto"/>
              </w:rPr>
            </w:pPr>
            <w:r>
              <w:rPr>
                <w:color w:val="auto"/>
              </w:rPr>
              <w:t>气动扳手</w:t>
            </w:r>
          </w:p>
        </w:tc>
        <w:tc>
          <w:tcPr>
            <w:tcW w:w="543" w:type="pct"/>
            <w:vAlign w:val="center"/>
          </w:tcPr>
          <w:p w14:paraId="41E16DF7">
            <w:pPr>
              <w:pStyle w:val="33"/>
              <w:rPr>
                <w:color w:val="auto"/>
              </w:rPr>
            </w:pPr>
            <w:r>
              <w:rPr>
                <w:color w:val="auto"/>
              </w:rPr>
              <w:t>95</w:t>
            </w:r>
          </w:p>
        </w:tc>
        <w:tc>
          <w:tcPr>
            <w:tcW w:w="396" w:type="pct"/>
            <w:vAlign w:val="center"/>
          </w:tcPr>
          <w:p w14:paraId="004465B7">
            <w:pPr>
              <w:pStyle w:val="33"/>
              <w:rPr>
                <w:color w:val="auto"/>
              </w:rPr>
            </w:pPr>
            <w:r>
              <w:rPr>
                <w:color w:val="auto"/>
              </w:rPr>
              <w:t>75</w:t>
            </w:r>
          </w:p>
        </w:tc>
        <w:tc>
          <w:tcPr>
            <w:tcW w:w="391" w:type="pct"/>
            <w:vAlign w:val="center"/>
          </w:tcPr>
          <w:p w14:paraId="5AFECDCF">
            <w:pPr>
              <w:pStyle w:val="33"/>
              <w:rPr>
                <w:color w:val="auto"/>
              </w:rPr>
            </w:pPr>
            <w:r>
              <w:rPr>
                <w:color w:val="auto"/>
              </w:rPr>
              <w:t>69</w:t>
            </w:r>
          </w:p>
        </w:tc>
        <w:tc>
          <w:tcPr>
            <w:tcW w:w="391" w:type="pct"/>
            <w:vAlign w:val="center"/>
          </w:tcPr>
          <w:p w14:paraId="7C2A5E1B">
            <w:pPr>
              <w:pStyle w:val="33"/>
              <w:rPr>
                <w:color w:val="auto"/>
              </w:rPr>
            </w:pPr>
            <w:r>
              <w:rPr>
                <w:color w:val="auto"/>
              </w:rPr>
              <w:t>65</w:t>
            </w:r>
          </w:p>
        </w:tc>
        <w:tc>
          <w:tcPr>
            <w:tcW w:w="391" w:type="pct"/>
            <w:vAlign w:val="center"/>
          </w:tcPr>
          <w:p w14:paraId="00692D38">
            <w:pPr>
              <w:pStyle w:val="33"/>
              <w:rPr>
                <w:color w:val="auto"/>
              </w:rPr>
            </w:pPr>
            <w:r>
              <w:rPr>
                <w:color w:val="auto"/>
              </w:rPr>
              <w:t>63</w:t>
            </w:r>
          </w:p>
        </w:tc>
        <w:tc>
          <w:tcPr>
            <w:tcW w:w="384" w:type="pct"/>
            <w:vAlign w:val="center"/>
          </w:tcPr>
          <w:p w14:paraId="5DF8771D">
            <w:pPr>
              <w:pStyle w:val="33"/>
              <w:rPr>
                <w:color w:val="auto"/>
              </w:rPr>
            </w:pPr>
            <w:r>
              <w:rPr>
                <w:color w:val="auto"/>
              </w:rPr>
              <w:t>59</w:t>
            </w:r>
          </w:p>
        </w:tc>
        <w:tc>
          <w:tcPr>
            <w:tcW w:w="543" w:type="pct"/>
            <w:vAlign w:val="center"/>
          </w:tcPr>
          <w:p w14:paraId="1FFE6F1A">
            <w:pPr>
              <w:pStyle w:val="33"/>
              <w:rPr>
                <w:color w:val="auto"/>
              </w:rPr>
            </w:pPr>
            <w:r>
              <w:rPr>
                <w:color w:val="auto"/>
              </w:rPr>
              <w:t>57</w:t>
            </w:r>
          </w:p>
        </w:tc>
        <w:tc>
          <w:tcPr>
            <w:tcW w:w="543" w:type="pct"/>
            <w:vAlign w:val="center"/>
          </w:tcPr>
          <w:p w14:paraId="7EF8F8F4">
            <w:pPr>
              <w:pStyle w:val="33"/>
              <w:rPr>
                <w:color w:val="auto"/>
              </w:rPr>
            </w:pPr>
            <w:r>
              <w:rPr>
                <w:color w:val="auto"/>
              </w:rPr>
              <w:t>55</w:t>
            </w:r>
          </w:p>
        </w:tc>
        <w:tc>
          <w:tcPr>
            <w:tcW w:w="536" w:type="pct"/>
            <w:vAlign w:val="center"/>
          </w:tcPr>
          <w:p w14:paraId="3073B7E8">
            <w:pPr>
              <w:pStyle w:val="33"/>
              <w:rPr>
                <w:color w:val="auto"/>
              </w:rPr>
            </w:pPr>
            <w:r>
              <w:rPr>
                <w:color w:val="auto"/>
              </w:rPr>
              <w:t>53</w:t>
            </w:r>
          </w:p>
        </w:tc>
      </w:tr>
    </w:tbl>
    <w:p w14:paraId="0ABCBA7F">
      <w:pPr>
        <w:ind w:firstLine="480"/>
        <w:rPr>
          <w:color w:val="auto"/>
        </w:rPr>
      </w:pPr>
      <w:r>
        <w:rPr>
          <w:color w:val="auto"/>
        </w:rPr>
        <w:t>项目所在区域执行《声环境质量标准》（GB3096-2008）中的3类区标准限值，即昼间65dB(A)、夜间55dB(A)。由表4.1-1预测结果可知，除打桩机外，企业施工机械作业时在200m范围外均能满足3类区昼间标准限值，打桩机的影响范围将扩大至600m范围。施工期间将对</w:t>
      </w:r>
      <w:r>
        <w:rPr>
          <w:rFonts w:hint="eastAsia"/>
          <w:color w:val="auto"/>
        </w:rPr>
        <w:t>周边</w:t>
      </w:r>
      <w:r>
        <w:rPr>
          <w:color w:val="auto"/>
        </w:rPr>
        <w:t>其产生一定的噪声影响</w:t>
      </w:r>
      <w:r>
        <w:rPr>
          <w:rFonts w:hint="eastAsia"/>
          <w:color w:val="auto"/>
        </w:rPr>
        <w:t>，</w:t>
      </w:r>
      <w:r>
        <w:rPr>
          <w:color w:val="auto"/>
        </w:rPr>
        <w:t>项目应尽可能集中噪声强度较大的机械进行突击作业，缩短施工噪声的污染时间，尽量避免夜间施工，缩小施工噪声的影响范围，同时对</w:t>
      </w:r>
      <w:r>
        <w:rPr>
          <w:rFonts w:hint="eastAsia"/>
          <w:color w:val="auto"/>
        </w:rPr>
        <w:t>场地周围</w:t>
      </w:r>
      <w:r>
        <w:rPr>
          <w:color w:val="auto"/>
        </w:rPr>
        <w:t>采取隔声防护措施。</w:t>
      </w:r>
    </w:p>
    <w:p w14:paraId="054B4094">
      <w:pPr>
        <w:ind w:firstLine="480"/>
        <w:rPr>
          <w:color w:val="auto"/>
        </w:rPr>
      </w:pPr>
      <w:r>
        <w:rPr>
          <w:rFonts w:hint="eastAsia"/>
          <w:color w:val="auto"/>
        </w:rPr>
        <w:t>2、物流交通噪声</w:t>
      </w:r>
    </w:p>
    <w:p w14:paraId="32F92836">
      <w:pPr>
        <w:ind w:firstLine="480"/>
        <w:rPr>
          <w:color w:val="auto"/>
        </w:rPr>
      </w:pPr>
      <w:r>
        <w:rPr>
          <w:rFonts w:hint="eastAsia"/>
          <w:color w:val="auto"/>
        </w:rPr>
        <w:t>施工期间</w:t>
      </w:r>
      <w:r>
        <w:rPr>
          <w:color w:val="auto"/>
        </w:rPr>
        <w:t>来往于施工场地的运输车辆多为大中型运输车，在加速行驶时，以大型柴油货车的定置噪声限值最高，其噪声值＞100dB（A），会对运输线路两侧居民的生活造成影响。因此，施工期应对建筑材料及废物的运输严格控制，</w:t>
      </w:r>
      <w:r>
        <w:rPr>
          <w:rFonts w:hint="eastAsia"/>
          <w:color w:val="auto"/>
        </w:rPr>
        <w:t>经过敏感点区域应减速慢行，</w:t>
      </w:r>
      <w:r>
        <w:rPr>
          <w:color w:val="auto"/>
        </w:rPr>
        <w:t>尽量避开居民的休息时间，减少影响范围。</w:t>
      </w:r>
    </w:p>
    <w:p w14:paraId="1B886D2C">
      <w:pPr>
        <w:pStyle w:val="4"/>
        <w:rPr>
          <w:color w:val="auto"/>
        </w:rPr>
      </w:pPr>
      <w:bookmarkStart w:id="468" w:name="_Toc225216784"/>
      <w:r>
        <w:rPr>
          <w:rFonts w:hint="eastAsia"/>
          <w:color w:val="auto"/>
        </w:rPr>
        <w:t>施工期固体废物环境影响分析</w:t>
      </w:r>
      <w:bookmarkEnd w:id="468"/>
    </w:p>
    <w:p w14:paraId="5BD0E462">
      <w:pPr>
        <w:ind w:firstLine="480"/>
        <w:rPr>
          <w:color w:val="auto"/>
        </w:rPr>
      </w:pPr>
      <w:r>
        <w:rPr>
          <w:color w:val="auto"/>
        </w:rPr>
        <w:t>施工</w:t>
      </w:r>
      <w:r>
        <w:rPr>
          <w:rFonts w:hint="eastAsia"/>
          <w:color w:val="auto"/>
        </w:rPr>
        <w:t>固体废物</w:t>
      </w:r>
      <w:r>
        <w:rPr>
          <w:color w:val="auto"/>
        </w:rPr>
        <w:t>主要来自施工场所产生的建筑垃圾（主要指地面挖掘、道路修筑、管道敷设、材料运输、基础工程等工程产生的废弃的建筑材料，如砂石、石灰、混凝土、木材和土石方等）</w:t>
      </w:r>
      <w:r>
        <w:rPr>
          <w:rFonts w:hint="eastAsia"/>
          <w:color w:val="auto"/>
        </w:rPr>
        <w:t>、场地平整产生的土方、</w:t>
      </w:r>
      <w:r>
        <w:rPr>
          <w:color w:val="auto"/>
        </w:rPr>
        <w:t>以及施工人员活动产生的生活垃圾等。</w:t>
      </w:r>
    </w:p>
    <w:p w14:paraId="77D674AA">
      <w:pPr>
        <w:ind w:firstLine="480"/>
        <w:rPr>
          <w:color w:val="auto"/>
        </w:rPr>
      </w:pPr>
      <w:r>
        <w:rPr>
          <w:rFonts w:hint="eastAsia"/>
          <w:color w:val="auto"/>
        </w:rPr>
        <w:t>施工过程中产生的建筑垃圾主要包括地表开挖的泥土、渣土、施工剩余废物料等。</w:t>
      </w:r>
      <w:r>
        <w:rPr>
          <w:color w:val="auto"/>
        </w:rPr>
        <w:t>施工期间产生的建筑垃圾如不及时处理会影响环境景观，而且在遇大风干燥天气时，将产生扬尘。</w:t>
      </w:r>
      <w:r>
        <w:rPr>
          <w:rFonts w:hint="eastAsia"/>
          <w:color w:val="auto"/>
        </w:rPr>
        <w:t>施工废弃建材应分类回收，集中收集，及时清运</w:t>
      </w:r>
      <w:r>
        <w:rPr>
          <w:color w:val="auto"/>
        </w:rPr>
        <w:t>，由</w:t>
      </w:r>
      <w:r>
        <w:rPr>
          <w:rFonts w:hint="eastAsia"/>
          <w:color w:val="auto"/>
        </w:rPr>
        <w:t>管理</w:t>
      </w:r>
      <w:r>
        <w:rPr>
          <w:color w:val="auto"/>
        </w:rPr>
        <w:t>部门统一处理后，</w:t>
      </w:r>
      <w:r>
        <w:rPr>
          <w:rFonts w:hint="eastAsia"/>
          <w:color w:val="auto"/>
        </w:rPr>
        <w:t>对环境</w:t>
      </w:r>
      <w:r>
        <w:rPr>
          <w:color w:val="auto"/>
        </w:rPr>
        <w:t>影响较小。</w:t>
      </w:r>
      <w:r>
        <w:rPr>
          <w:rFonts w:hint="eastAsia"/>
          <w:color w:val="auto"/>
        </w:rPr>
        <w:t>施工人员产生的生活垃圾伴随整个施工期的全过程，其成分是有机物较多。施工高峰期预计进场工人10人，人均生活垃圾产生量按1kg/人·d计算，施工期垃圾日产生量为</w:t>
      </w:r>
      <w:r>
        <w:rPr>
          <w:color w:val="auto"/>
        </w:rPr>
        <w:t>0.</w:t>
      </w:r>
      <w:r>
        <w:rPr>
          <w:rFonts w:hint="eastAsia"/>
          <w:color w:val="auto"/>
        </w:rPr>
        <w:t>01t。</w:t>
      </w:r>
      <w:r>
        <w:rPr>
          <w:color w:val="auto"/>
        </w:rPr>
        <w:t>生活垃圾如不及时处理，在气温适宜的条件下则会滋生蚊虫、产生恶臭并传播疾病，对周围环境产生不利影响。</w:t>
      </w:r>
      <w:r>
        <w:rPr>
          <w:rFonts w:hint="eastAsia"/>
          <w:color w:val="auto"/>
        </w:rPr>
        <w:t>施工期产生的生活垃圾每日由专人收集处置，场地</w:t>
      </w:r>
      <w:r>
        <w:rPr>
          <w:color w:val="auto"/>
        </w:rPr>
        <w:t>临时储存后送到市政垃圾处理系统处置。</w:t>
      </w:r>
    </w:p>
    <w:p w14:paraId="7946A1A1">
      <w:pPr>
        <w:pStyle w:val="4"/>
        <w:rPr>
          <w:color w:val="auto"/>
        </w:rPr>
      </w:pPr>
      <w:bookmarkStart w:id="469" w:name="_Toc225216785"/>
      <w:r>
        <w:rPr>
          <w:rFonts w:hint="eastAsia"/>
          <w:color w:val="auto"/>
        </w:rPr>
        <w:t>施工期生态环境影响分析</w:t>
      </w:r>
      <w:bookmarkEnd w:id="469"/>
    </w:p>
    <w:p w14:paraId="25B391B4">
      <w:pPr>
        <w:ind w:firstLine="480"/>
        <w:rPr>
          <w:color w:val="auto"/>
        </w:rPr>
      </w:pPr>
      <w:r>
        <w:rPr>
          <w:rFonts w:hint="eastAsia"/>
          <w:color w:val="auto"/>
        </w:rPr>
        <w:t xml:space="preserve">工程占用的土地需对地表进行开挖，并形成基坑，原地貌被完全破坏是无法恢复的、永久的，该区域植被生物量减少是项目工程产生的主要负面影响之一。工程施工将破坏原有土壤和植被，使区域内地表裸露增加，风力、水力作用的敏感性增强，较易发生水土流失，稳定性下降，引起局部区域植被覆盖率下降，从而导致其环境功能的下降。后期建筑物及道路硬化会加剧了这一过程，使得地形地貌和原有植被再也难以恢复，工程主要从景观设计及绿化方式在一定程度上补偿原有植被，生态环境会逐步转变成了城市生态环境。这是园区发展的必然过程。 </w:t>
      </w:r>
    </w:p>
    <w:p w14:paraId="74E975BD">
      <w:pPr>
        <w:ind w:firstLine="480"/>
        <w:rPr>
          <w:color w:val="auto"/>
        </w:rPr>
      </w:pPr>
      <w:r>
        <w:rPr>
          <w:rFonts w:hint="eastAsia"/>
          <w:color w:val="auto"/>
        </w:rPr>
        <w:t>根据相关资料及现场调查，项目拟选场址附近没有国家和地方重点保护的植物种类和珍稀物种。工程在竣工后通过绿化措施，对项目厂区内可以绿化地段进行植被覆盖，植被能得到一定程度的恢复，同时也起到减轻水土流失、净化空气和美化环境等作用，使项目区域生态功能得到改善。项目建设对生态环境影响较小。</w:t>
      </w:r>
    </w:p>
    <w:p w14:paraId="1AE21FAB">
      <w:pPr>
        <w:pStyle w:val="3"/>
        <w:rPr>
          <w:color w:val="auto"/>
        </w:rPr>
      </w:pPr>
      <w:bookmarkStart w:id="470" w:name="_Toc225216786"/>
      <w:bookmarkStart w:id="471" w:name="_Toc221355727"/>
      <w:r>
        <w:rPr>
          <w:rFonts w:hint="eastAsia"/>
          <w:color w:val="auto"/>
        </w:rPr>
        <w:t>运营期大气环境影响预测与评价</w:t>
      </w:r>
      <w:bookmarkEnd w:id="470"/>
      <w:bookmarkEnd w:id="471"/>
    </w:p>
    <w:p w14:paraId="3BEDDECC">
      <w:pPr>
        <w:ind w:firstLine="480"/>
        <w:rPr>
          <w:color w:val="auto"/>
        </w:rPr>
      </w:pPr>
      <w:r>
        <w:rPr>
          <w:color w:val="auto"/>
        </w:rPr>
        <w:t>本项目大气评价等级为二级，根据《环境影响评价技术导则大气环境》（HJ2.2-2018）8.1.2“二级评价项目不进行进一步预测与评价，只对污染物排放量进行核算”，因此</w:t>
      </w:r>
      <w:bookmarkStart w:id="472" w:name="_Hlk115287329"/>
      <w:r>
        <w:rPr>
          <w:color w:val="auto"/>
        </w:rPr>
        <w:t>本报告不再进行进一步预测与评价</w:t>
      </w:r>
      <w:bookmarkEnd w:id="472"/>
      <w:r>
        <w:rPr>
          <w:color w:val="auto"/>
        </w:rPr>
        <w:t>。</w:t>
      </w:r>
    </w:p>
    <w:p w14:paraId="466B3A42">
      <w:pPr>
        <w:pStyle w:val="4"/>
        <w:rPr>
          <w:color w:val="auto"/>
        </w:rPr>
      </w:pPr>
      <w:bookmarkStart w:id="473" w:name="_Toc225216787"/>
      <w:r>
        <w:rPr>
          <w:rFonts w:hint="eastAsia"/>
          <w:color w:val="auto"/>
        </w:rPr>
        <w:t>污染源分布</w:t>
      </w:r>
      <w:bookmarkEnd w:id="473"/>
    </w:p>
    <w:p w14:paraId="02B6E048">
      <w:pPr>
        <w:widowControl/>
        <w:adjustRightInd w:val="0"/>
        <w:snapToGrid w:val="0"/>
        <w:spacing w:line="440" w:lineRule="exact"/>
        <w:ind w:firstLine="480"/>
        <w:rPr>
          <w:color w:val="auto"/>
        </w:rPr>
      </w:pPr>
      <w:r>
        <w:rPr>
          <w:color w:val="auto"/>
        </w:rPr>
        <w:t>正常工况下本项目污染源强见下表。</w:t>
      </w:r>
    </w:p>
    <w:p w14:paraId="32C31EF6">
      <w:pPr>
        <w:widowControl/>
        <w:adjustRightInd w:val="0"/>
        <w:snapToGrid w:val="0"/>
        <w:spacing w:line="440" w:lineRule="exact"/>
        <w:ind w:firstLine="480"/>
        <w:rPr>
          <w:color w:val="auto"/>
        </w:rPr>
        <w:sectPr>
          <w:pgSz w:w="11906" w:h="16838"/>
          <w:pgMar w:top="1418" w:right="1418" w:bottom="1418" w:left="1418" w:header="851" w:footer="992" w:gutter="0"/>
          <w:cols w:space="425" w:num="1"/>
          <w:docGrid w:type="lines" w:linePitch="312" w:charSpace="0"/>
        </w:sectPr>
      </w:pPr>
    </w:p>
    <w:p w14:paraId="1346AE5D">
      <w:pPr>
        <w:pStyle w:val="7"/>
        <w:rPr>
          <w:color w:val="auto"/>
        </w:rPr>
      </w:pPr>
      <w:r>
        <w:rPr>
          <w:color w:val="auto"/>
        </w:rPr>
        <w:t>大气污染物</w:t>
      </w:r>
      <w:r>
        <w:rPr>
          <w:rFonts w:hint="eastAsia"/>
          <w:color w:val="auto"/>
        </w:rPr>
        <w:t>有组织</w:t>
      </w:r>
      <w:r>
        <w:rPr>
          <w:color w:val="auto"/>
        </w:rPr>
        <w:t>排放清单</w:t>
      </w:r>
    </w:p>
    <w:tbl>
      <w:tblPr>
        <w:tblStyle w:val="26"/>
        <w:tblW w:w="140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276"/>
        <w:gridCol w:w="851"/>
        <w:gridCol w:w="708"/>
        <w:gridCol w:w="851"/>
        <w:gridCol w:w="709"/>
        <w:gridCol w:w="850"/>
        <w:gridCol w:w="851"/>
        <w:gridCol w:w="708"/>
        <w:gridCol w:w="851"/>
        <w:gridCol w:w="709"/>
        <w:gridCol w:w="708"/>
        <w:gridCol w:w="709"/>
        <w:gridCol w:w="851"/>
        <w:gridCol w:w="850"/>
        <w:gridCol w:w="992"/>
        <w:gridCol w:w="993"/>
      </w:tblGrid>
      <w:tr w14:paraId="2CA07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8" w:hRule="atLeast"/>
        </w:trPr>
        <w:tc>
          <w:tcPr>
            <w:tcW w:w="562" w:type="dxa"/>
            <w:vMerge w:val="restart"/>
            <w:shd w:val="clear" w:color="000000" w:fill="FFFFFF"/>
            <w:vAlign w:val="center"/>
          </w:tcPr>
          <w:p w14:paraId="1553862A">
            <w:pPr>
              <w:pStyle w:val="33"/>
              <w:rPr>
                <w:color w:val="auto"/>
              </w:rPr>
            </w:pPr>
            <w:r>
              <w:rPr>
                <w:rFonts w:hint="eastAsia"/>
                <w:color w:val="auto"/>
              </w:rPr>
              <w:t>编号</w:t>
            </w:r>
          </w:p>
        </w:tc>
        <w:tc>
          <w:tcPr>
            <w:tcW w:w="1276" w:type="dxa"/>
            <w:vMerge w:val="restart"/>
            <w:shd w:val="clear" w:color="000000" w:fill="FFFFFF"/>
            <w:vAlign w:val="center"/>
          </w:tcPr>
          <w:p w14:paraId="404EBA25">
            <w:pPr>
              <w:pStyle w:val="33"/>
              <w:rPr>
                <w:color w:val="auto"/>
              </w:rPr>
            </w:pPr>
            <w:r>
              <w:rPr>
                <w:rFonts w:hint="eastAsia"/>
                <w:color w:val="auto"/>
              </w:rPr>
              <w:t>名称</w:t>
            </w:r>
          </w:p>
        </w:tc>
        <w:tc>
          <w:tcPr>
            <w:tcW w:w="1559" w:type="dxa"/>
            <w:gridSpan w:val="2"/>
            <w:shd w:val="clear" w:color="000000" w:fill="FFFFFF"/>
            <w:vAlign w:val="center"/>
          </w:tcPr>
          <w:p w14:paraId="274802D2">
            <w:pPr>
              <w:pStyle w:val="33"/>
              <w:rPr>
                <w:color w:val="auto"/>
              </w:rPr>
            </w:pPr>
            <w:r>
              <w:rPr>
                <w:rFonts w:hint="eastAsia"/>
                <w:color w:val="auto"/>
              </w:rPr>
              <w:t>排气筒底部中心坐标（</w:t>
            </w:r>
            <w:r>
              <w:rPr>
                <w:rFonts w:cs="Times New Roman"/>
                <w:color w:val="auto"/>
              </w:rPr>
              <w:t>m</w:t>
            </w:r>
            <w:r>
              <w:rPr>
                <w:rFonts w:hint="eastAsia"/>
                <w:color w:val="auto"/>
              </w:rPr>
              <w:t>）</w:t>
            </w:r>
          </w:p>
        </w:tc>
        <w:tc>
          <w:tcPr>
            <w:tcW w:w="851" w:type="dxa"/>
            <w:vMerge w:val="restart"/>
            <w:shd w:val="clear" w:color="000000" w:fill="FFFFFF"/>
            <w:vAlign w:val="center"/>
          </w:tcPr>
          <w:p w14:paraId="10A102EA">
            <w:pPr>
              <w:pStyle w:val="33"/>
              <w:rPr>
                <w:color w:val="auto"/>
              </w:rPr>
            </w:pPr>
            <w:r>
              <w:rPr>
                <w:rFonts w:hint="eastAsia"/>
                <w:color w:val="auto"/>
              </w:rPr>
              <w:t>排气筒底部海拔高度</w:t>
            </w:r>
            <w:r>
              <w:rPr>
                <w:rFonts w:cs="Times New Roman"/>
                <w:color w:val="auto"/>
              </w:rPr>
              <w:t>/m</w:t>
            </w:r>
          </w:p>
        </w:tc>
        <w:tc>
          <w:tcPr>
            <w:tcW w:w="709" w:type="dxa"/>
            <w:vMerge w:val="restart"/>
            <w:shd w:val="clear" w:color="000000" w:fill="FFFFFF"/>
            <w:vAlign w:val="center"/>
          </w:tcPr>
          <w:p w14:paraId="0BF98F92">
            <w:pPr>
              <w:pStyle w:val="33"/>
              <w:rPr>
                <w:color w:val="auto"/>
              </w:rPr>
            </w:pPr>
            <w:r>
              <w:rPr>
                <w:rFonts w:hint="eastAsia"/>
                <w:color w:val="auto"/>
              </w:rPr>
              <w:t>排气筒高度</w:t>
            </w:r>
            <w:r>
              <w:rPr>
                <w:rFonts w:cs="Times New Roman"/>
                <w:color w:val="auto"/>
              </w:rPr>
              <w:t>/m</w:t>
            </w:r>
          </w:p>
        </w:tc>
        <w:tc>
          <w:tcPr>
            <w:tcW w:w="850" w:type="dxa"/>
            <w:vMerge w:val="restart"/>
            <w:shd w:val="clear" w:color="000000" w:fill="FFFFFF"/>
            <w:vAlign w:val="center"/>
          </w:tcPr>
          <w:p w14:paraId="00058F3D">
            <w:pPr>
              <w:pStyle w:val="33"/>
              <w:rPr>
                <w:color w:val="auto"/>
              </w:rPr>
            </w:pPr>
            <w:r>
              <w:rPr>
                <w:rFonts w:hint="eastAsia"/>
                <w:color w:val="auto"/>
              </w:rPr>
              <w:t>排气筒出口内径</w:t>
            </w:r>
            <w:r>
              <w:rPr>
                <w:rFonts w:cs="Times New Roman"/>
                <w:color w:val="auto"/>
              </w:rPr>
              <w:t>/m</w:t>
            </w:r>
          </w:p>
        </w:tc>
        <w:tc>
          <w:tcPr>
            <w:tcW w:w="851" w:type="dxa"/>
            <w:vMerge w:val="restart"/>
            <w:shd w:val="clear" w:color="000000" w:fill="FFFFFF"/>
            <w:vAlign w:val="center"/>
          </w:tcPr>
          <w:p w14:paraId="7054B74D">
            <w:pPr>
              <w:pStyle w:val="33"/>
              <w:rPr>
                <w:color w:val="auto"/>
              </w:rPr>
            </w:pPr>
            <w:r>
              <w:rPr>
                <w:rFonts w:hint="eastAsia"/>
                <w:color w:val="auto"/>
              </w:rPr>
              <w:t>烟气流速</w:t>
            </w:r>
            <w:r>
              <w:rPr>
                <w:rFonts w:cs="Times New Roman"/>
                <w:color w:val="auto"/>
              </w:rPr>
              <w:t>/</w:t>
            </w:r>
            <w:r>
              <w:rPr>
                <w:rFonts w:hint="eastAsia"/>
                <w:color w:val="auto"/>
              </w:rPr>
              <w:t>（</w:t>
            </w:r>
            <w:r>
              <w:rPr>
                <w:rFonts w:cs="Times New Roman"/>
                <w:color w:val="auto"/>
              </w:rPr>
              <w:t>m/s</w:t>
            </w:r>
            <w:r>
              <w:rPr>
                <w:rFonts w:hint="eastAsia"/>
                <w:color w:val="auto"/>
              </w:rPr>
              <w:t>）</w:t>
            </w:r>
          </w:p>
        </w:tc>
        <w:tc>
          <w:tcPr>
            <w:tcW w:w="708" w:type="dxa"/>
            <w:vMerge w:val="restart"/>
            <w:shd w:val="clear" w:color="000000" w:fill="FFFFFF"/>
            <w:vAlign w:val="center"/>
          </w:tcPr>
          <w:p w14:paraId="7D090240">
            <w:pPr>
              <w:pStyle w:val="33"/>
              <w:rPr>
                <w:color w:val="auto"/>
              </w:rPr>
            </w:pPr>
            <w:r>
              <w:rPr>
                <w:rFonts w:hint="eastAsia"/>
                <w:color w:val="auto"/>
              </w:rPr>
              <w:t>烟气温度</w:t>
            </w:r>
            <w:r>
              <w:rPr>
                <w:rFonts w:cs="Times New Roman"/>
                <w:color w:val="auto"/>
              </w:rPr>
              <w:t>/</w:t>
            </w:r>
            <w:r>
              <w:rPr>
                <w:rFonts w:hint="eastAsia"/>
                <w:color w:val="auto"/>
              </w:rPr>
              <w:t>℃</w:t>
            </w:r>
          </w:p>
        </w:tc>
        <w:tc>
          <w:tcPr>
            <w:tcW w:w="851" w:type="dxa"/>
            <w:vMerge w:val="restart"/>
            <w:shd w:val="clear" w:color="000000" w:fill="FFFFFF"/>
            <w:vAlign w:val="center"/>
          </w:tcPr>
          <w:p w14:paraId="5DA85400">
            <w:pPr>
              <w:pStyle w:val="33"/>
              <w:rPr>
                <w:color w:val="auto"/>
              </w:rPr>
            </w:pPr>
            <w:r>
              <w:rPr>
                <w:rFonts w:hint="eastAsia"/>
                <w:color w:val="auto"/>
              </w:rPr>
              <w:t>年排放小时数</w:t>
            </w:r>
            <w:r>
              <w:rPr>
                <w:rFonts w:cs="Times New Roman"/>
                <w:color w:val="auto"/>
              </w:rPr>
              <w:t>/h</w:t>
            </w:r>
          </w:p>
        </w:tc>
        <w:tc>
          <w:tcPr>
            <w:tcW w:w="5812" w:type="dxa"/>
            <w:gridSpan w:val="7"/>
            <w:shd w:val="clear" w:color="000000" w:fill="FFFFFF"/>
            <w:vAlign w:val="center"/>
          </w:tcPr>
          <w:p w14:paraId="3B0E3F55">
            <w:pPr>
              <w:pStyle w:val="33"/>
              <w:rPr>
                <w:rFonts w:eastAsia="Times New Roman" w:cs="Times New Roman"/>
                <w:color w:val="auto"/>
                <w:sz w:val="20"/>
                <w:szCs w:val="20"/>
              </w:rPr>
            </w:pPr>
            <w:r>
              <w:rPr>
                <w:rFonts w:hint="eastAsia"/>
                <w:color w:val="auto"/>
              </w:rPr>
              <w:t>污染物排放速率</w:t>
            </w:r>
            <w:r>
              <w:rPr>
                <w:rFonts w:cs="Times New Roman"/>
                <w:color w:val="auto"/>
              </w:rPr>
              <w:t>/(kg/h)</w:t>
            </w:r>
          </w:p>
        </w:tc>
      </w:tr>
      <w:tr w14:paraId="796D9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562" w:type="dxa"/>
            <w:vMerge w:val="continue"/>
            <w:vAlign w:val="center"/>
          </w:tcPr>
          <w:p w14:paraId="153037B4">
            <w:pPr>
              <w:pStyle w:val="33"/>
              <w:rPr>
                <w:color w:val="auto"/>
              </w:rPr>
            </w:pPr>
          </w:p>
        </w:tc>
        <w:tc>
          <w:tcPr>
            <w:tcW w:w="1276" w:type="dxa"/>
            <w:vMerge w:val="continue"/>
            <w:vAlign w:val="center"/>
          </w:tcPr>
          <w:p w14:paraId="75D5ABFC">
            <w:pPr>
              <w:pStyle w:val="33"/>
              <w:rPr>
                <w:color w:val="auto"/>
              </w:rPr>
            </w:pPr>
          </w:p>
        </w:tc>
        <w:tc>
          <w:tcPr>
            <w:tcW w:w="851" w:type="dxa"/>
            <w:shd w:val="clear" w:color="000000" w:fill="FFFFFF"/>
            <w:vAlign w:val="center"/>
          </w:tcPr>
          <w:p w14:paraId="2133DA36">
            <w:pPr>
              <w:pStyle w:val="33"/>
              <w:rPr>
                <w:rFonts w:cs="Times New Roman"/>
                <w:i/>
                <w:iCs/>
                <w:color w:val="auto"/>
              </w:rPr>
            </w:pPr>
            <w:r>
              <w:rPr>
                <w:rFonts w:cs="Times New Roman"/>
                <w:i/>
                <w:iCs/>
                <w:color w:val="auto"/>
              </w:rPr>
              <w:t>X</w:t>
            </w:r>
          </w:p>
        </w:tc>
        <w:tc>
          <w:tcPr>
            <w:tcW w:w="708" w:type="dxa"/>
            <w:shd w:val="clear" w:color="000000" w:fill="FFFFFF"/>
            <w:vAlign w:val="center"/>
          </w:tcPr>
          <w:p w14:paraId="5D47003D">
            <w:pPr>
              <w:pStyle w:val="33"/>
              <w:rPr>
                <w:rFonts w:cs="Times New Roman"/>
                <w:i/>
                <w:iCs/>
                <w:color w:val="auto"/>
              </w:rPr>
            </w:pPr>
            <w:r>
              <w:rPr>
                <w:rFonts w:cs="Times New Roman"/>
                <w:i/>
                <w:iCs/>
                <w:color w:val="auto"/>
              </w:rPr>
              <w:t>Y</w:t>
            </w:r>
          </w:p>
        </w:tc>
        <w:tc>
          <w:tcPr>
            <w:tcW w:w="851" w:type="dxa"/>
            <w:vMerge w:val="continue"/>
            <w:vAlign w:val="center"/>
          </w:tcPr>
          <w:p w14:paraId="07E10DF6">
            <w:pPr>
              <w:pStyle w:val="33"/>
              <w:rPr>
                <w:color w:val="auto"/>
              </w:rPr>
            </w:pPr>
          </w:p>
        </w:tc>
        <w:tc>
          <w:tcPr>
            <w:tcW w:w="709" w:type="dxa"/>
            <w:vMerge w:val="continue"/>
            <w:vAlign w:val="center"/>
          </w:tcPr>
          <w:p w14:paraId="5FE15C20">
            <w:pPr>
              <w:pStyle w:val="33"/>
              <w:rPr>
                <w:color w:val="auto"/>
              </w:rPr>
            </w:pPr>
          </w:p>
        </w:tc>
        <w:tc>
          <w:tcPr>
            <w:tcW w:w="850" w:type="dxa"/>
            <w:vMerge w:val="continue"/>
            <w:vAlign w:val="center"/>
          </w:tcPr>
          <w:p w14:paraId="63981595">
            <w:pPr>
              <w:pStyle w:val="33"/>
              <w:rPr>
                <w:color w:val="auto"/>
              </w:rPr>
            </w:pPr>
          </w:p>
        </w:tc>
        <w:tc>
          <w:tcPr>
            <w:tcW w:w="851" w:type="dxa"/>
            <w:vMerge w:val="continue"/>
            <w:vAlign w:val="center"/>
          </w:tcPr>
          <w:p w14:paraId="5C80ECCA">
            <w:pPr>
              <w:pStyle w:val="33"/>
              <w:rPr>
                <w:color w:val="auto"/>
              </w:rPr>
            </w:pPr>
          </w:p>
        </w:tc>
        <w:tc>
          <w:tcPr>
            <w:tcW w:w="708" w:type="dxa"/>
            <w:vMerge w:val="continue"/>
            <w:vAlign w:val="center"/>
          </w:tcPr>
          <w:p w14:paraId="5908DE4B">
            <w:pPr>
              <w:pStyle w:val="33"/>
              <w:rPr>
                <w:color w:val="auto"/>
              </w:rPr>
            </w:pPr>
          </w:p>
        </w:tc>
        <w:tc>
          <w:tcPr>
            <w:tcW w:w="851" w:type="dxa"/>
            <w:vMerge w:val="continue"/>
            <w:vAlign w:val="center"/>
          </w:tcPr>
          <w:p w14:paraId="4444C614">
            <w:pPr>
              <w:pStyle w:val="33"/>
              <w:rPr>
                <w:color w:val="auto"/>
              </w:rPr>
            </w:pPr>
          </w:p>
        </w:tc>
        <w:tc>
          <w:tcPr>
            <w:tcW w:w="709" w:type="dxa"/>
            <w:shd w:val="clear" w:color="000000" w:fill="FFFFFF"/>
            <w:vAlign w:val="center"/>
          </w:tcPr>
          <w:p w14:paraId="61D1E406">
            <w:pPr>
              <w:pStyle w:val="33"/>
              <w:rPr>
                <w:color w:val="auto"/>
              </w:rPr>
            </w:pPr>
            <w:r>
              <w:rPr>
                <w:rFonts w:hint="eastAsia"/>
                <w:color w:val="auto"/>
              </w:rPr>
              <w:t>SO</w:t>
            </w:r>
            <w:r>
              <w:rPr>
                <w:rFonts w:hint="eastAsia"/>
                <w:color w:val="auto"/>
                <w:vertAlign w:val="subscript"/>
              </w:rPr>
              <w:t>2</w:t>
            </w:r>
          </w:p>
        </w:tc>
        <w:tc>
          <w:tcPr>
            <w:tcW w:w="708" w:type="dxa"/>
            <w:shd w:val="clear" w:color="000000" w:fill="FFFFFF"/>
            <w:vAlign w:val="center"/>
          </w:tcPr>
          <w:p w14:paraId="4C25B55D">
            <w:pPr>
              <w:pStyle w:val="33"/>
              <w:rPr>
                <w:color w:val="auto"/>
              </w:rPr>
            </w:pPr>
            <w:r>
              <w:rPr>
                <w:rFonts w:hint="eastAsia"/>
                <w:color w:val="auto"/>
              </w:rPr>
              <w:t>NO</w:t>
            </w:r>
            <w:r>
              <w:rPr>
                <w:rFonts w:hint="eastAsia"/>
                <w:color w:val="auto"/>
                <w:vertAlign w:val="subscript"/>
              </w:rPr>
              <w:t>2</w:t>
            </w:r>
          </w:p>
        </w:tc>
        <w:tc>
          <w:tcPr>
            <w:tcW w:w="709" w:type="dxa"/>
            <w:noWrap/>
            <w:vAlign w:val="center"/>
          </w:tcPr>
          <w:p w14:paraId="5DAB7BF0">
            <w:pPr>
              <w:pStyle w:val="33"/>
              <w:rPr>
                <w:color w:val="auto"/>
              </w:rPr>
            </w:pPr>
            <w:r>
              <w:rPr>
                <w:rFonts w:hint="eastAsia"/>
                <w:color w:val="auto"/>
              </w:rPr>
              <w:t>PM</w:t>
            </w:r>
            <w:r>
              <w:rPr>
                <w:rFonts w:hint="eastAsia"/>
                <w:color w:val="auto"/>
                <w:vertAlign w:val="subscript"/>
              </w:rPr>
              <w:t>10</w:t>
            </w:r>
          </w:p>
        </w:tc>
        <w:tc>
          <w:tcPr>
            <w:tcW w:w="851" w:type="dxa"/>
            <w:noWrap/>
            <w:vAlign w:val="center"/>
          </w:tcPr>
          <w:p w14:paraId="16BE8726">
            <w:pPr>
              <w:pStyle w:val="33"/>
              <w:rPr>
                <w:color w:val="auto"/>
              </w:rPr>
            </w:pPr>
            <w:r>
              <w:rPr>
                <w:rFonts w:hint="eastAsia"/>
                <w:color w:val="auto"/>
              </w:rPr>
              <w:t>PM</w:t>
            </w:r>
            <w:r>
              <w:rPr>
                <w:rFonts w:hint="eastAsia"/>
                <w:color w:val="auto"/>
                <w:vertAlign w:val="subscript"/>
              </w:rPr>
              <w:t>2.5</w:t>
            </w:r>
          </w:p>
        </w:tc>
        <w:tc>
          <w:tcPr>
            <w:tcW w:w="850" w:type="dxa"/>
            <w:noWrap/>
            <w:vAlign w:val="center"/>
          </w:tcPr>
          <w:p w14:paraId="265371EE">
            <w:pPr>
              <w:pStyle w:val="33"/>
              <w:rPr>
                <w:color w:val="auto"/>
              </w:rPr>
            </w:pPr>
            <w:r>
              <w:rPr>
                <w:rFonts w:hint="eastAsia"/>
                <w:color w:val="auto"/>
              </w:rPr>
              <w:t>非甲烷总烃</w:t>
            </w:r>
          </w:p>
        </w:tc>
        <w:tc>
          <w:tcPr>
            <w:tcW w:w="992" w:type="dxa"/>
            <w:noWrap/>
            <w:vAlign w:val="center"/>
          </w:tcPr>
          <w:p w14:paraId="6A4688FB">
            <w:pPr>
              <w:pStyle w:val="33"/>
              <w:rPr>
                <w:color w:val="auto"/>
              </w:rPr>
            </w:pPr>
            <w:r>
              <w:rPr>
                <w:rFonts w:hint="eastAsia"/>
                <w:color w:val="auto"/>
              </w:rPr>
              <w:t>氨</w:t>
            </w:r>
          </w:p>
        </w:tc>
        <w:tc>
          <w:tcPr>
            <w:tcW w:w="993" w:type="dxa"/>
            <w:noWrap/>
            <w:vAlign w:val="center"/>
          </w:tcPr>
          <w:p w14:paraId="2F01F700">
            <w:pPr>
              <w:pStyle w:val="33"/>
              <w:rPr>
                <w:color w:val="auto"/>
              </w:rPr>
            </w:pPr>
            <w:r>
              <w:rPr>
                <w:rFonts w:hint="eastAsia"/>
                <w:color w:val="auto"/>
              </w:rPr>
              <w:t>硫化氢</w:t>
            </w:r>
          </w:p>
        </w:tc>
      </w:tr>
      <w:tr w14:paraId="57845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7B727398">
            <w:pPr>
              <w:pStyle w:val="33"/>
              <w:rPr>
                <w:color w:val="auto"/>
              </w:rPr>
            </w:pPr>
            <w:r>
              <w:rPr>
                <w:rFonts w:hint="eastAsia"/>
                <w:color w:val="auto"/>
              </w:rPr>
              <w:t>P1</w:t>
            </w:r>
          </w:p>
        </w:tc>
        <w:tc>
          <w:tcPr>
            <w:tcW w:w="1276" w:type="dxa"/>
            <w:vMerge w:val="restart"/>
            <w:noWrap/>
            <w:vAlign w:val="center"/>
          </w:tcPr>
          <w:p w14:paraId="70C987AD">
            <w:pPr>
              <w:pStyle w:val="33"/>
              <w:rPr>
                <w:color w:val="auto"/>
              </w:rPr>
            </w:pPr>
            <w:r>
              <w:rPr>
                <w:rFonts w:hint="eastAsia"/>
                <w:color w:val="auto"/>
              </w:rPr>
              <w:t>1#造纸车间烘干废气</w:t>
            </w:r>
          </w:p>
        </w:tc>
        <w:tc>
          <w:tcPr>
            <w:tcW w:w="851" w:type="dxa"/>
            <w:noWrap/>
            <w:vAlign w:val="center"/>
          </w:tcPr>
          <w:p w14:paraId="7E66E29E">
            <w:pPr>
              <w:pStyle w:val="33"/>
              <w:rPr>
                <w:color w:val="auto"/>
              </w:rPr>
            </w:pPr>
            <w:r>
              <w:rPr>
                <w:rFonts w:hint="eastAsia"/>
                <w:color w:val="auto"/>
              </w:rPr>
              <w:t>608</w:t>
            </w:r>
          </w:p>
        </w:tc>
        <w:tc>
          <w:tcPr>
            <w:tcW w:w="708" w:type="dxa"/>
            <w:noWrap/>
            <w:vAlign w:val="center"/>
          </w:tcPr>
          <w:p w14:paraId="4C10C175">
            <w:pPr>
              <w:pStyle w:val="33"/>
              <w:rPr>
                <w:color w:val="auto"/>
              </w:rPr>
            </w:pPr>
            <w:r>
              <w:rPr>
                <w:rFonts w:hint="eastAsia"/>
                <w:color w:val="auto"/>
              </w:rPr>
              <w:t>806</w:t>
            </w:r>
          </w:p>
        </w:tc>
        <w:tc>
          <w:tcPr>
            <w:tcW w:w="851" w:type="dxa"/>
            <w:noWrap/>
            <w:vAlign w:val="center"/>
          </w:tcPr>
          <w:p w14:paraId="39DA7B4C">
            <w:pPr>
              <w:pStyle w:val="33"/>
              <w:rPr>
                <w:color w:val="auto"/>
              </w:rPr>
            </w:pPr>
            <w:r>
              <w:rPr>
                <w:rFonts w:hint="eastAsia"/>
                <w:color w:val="auto"/>
              </w:rPr>
              <w:t>16</w:t>
            </w:r>
          </w:p>
        </w:tc>
        <w:tc>
          <w:tcPr>
            <w:tcW w:w="709" w:type="dxa"/>
            <w:noWrap/>
            <w:vAlign w:val="center"/>
          </w:tcPr>
          <w:p w14:paraId="0DB8EBA1">
            <w:pPr>
              <w:pStyle w:val="33"/>
              <w:rPr>
                <w:color w:val="auto"/>
              </w:rPr>
            </w:pPr>
            <w:r>
              <w:rPr>
                <w:rFonts w:hint="eastAsia"/>
                <w:color w:val="auto"/>
              </w:rPr>
              <w:t>30</w:t>
            </w:r>
          </w:p>
        </w:tc>
        <w:tc>
          <w:tcPr>
            <w:tcW w:w="850" w:type="dxa"/>
            <w:noWrap/>
            <w:vAlign w:val="center"/>
          </w:tcPr>
          <w:p w14:paraId="0A342AE0">
            <w:pPr>
              <w:pStyle w:val="33"/>
              <w:rPr>
                <w:color w:val="auto"/>
              </w:rPr>
            </w:pPr>
            <w:r>
              <w:rPr>
                <w:color w:val="auto"/>
              </w:rPr>
              <w:t>0.815</w:t>
            </w:r>
          </w:p>
        </w:tc>
        <w:tc>
          <w:tcPr>
            <w:tcW w:w="851" w:type="dxa"/>
            <w:noWrap/>
          </w:tcPr>
          <w:p w14:paraId="0E5D8D5F">
            <w:pPr>
              <w:pStyle w:val="33"/>
              <w:rPr>
                <w:color w:val="auto"/>
              </w:rPr>
            </w:pPr>
            <w:r>
              <w:rPr>
                <w:color w:val="auto"/>
              </w:rPr>
              <w:t>3.56</w:t>
            </w:r>
          </w:p>
        </w:tc>
        <w:tc>
          <w:tcPr>
            <w:tcW w:w="708" w:type="dxa"/>
            <w:noWrap/>
            <w:vAlign w:val="center"/>
          </w:tcPr>
          <w:p w14:paraId="36053F9E">
            <w:pPr>
              <w:pStyle w:val="33"/>
              <w:rPr>
                <w:color w:val="auto"/>
              </w:rPr>
            </w:pPr>
            <w:r>
              <w:rPr>
                <w:rFonts w:hint="eastAsia"/>
                <w:color w:val="auto"/>
              </w:rPr>
              <w:t>80</w:t>
            </w:r>
          </w:p>
        </w:tc>
        <w:tc>
          <w:tcPr>
            <w:tcW w:w="851" w:type="dxa"/>
            <w:noWrap/>
            <w:vAlign w:val="center"/>
          </w:tcPr>
          <w:p w14:paraId="02665C88">
            <w:pPr>
              <w:pStyle w:val="33"/>
              <w:rPr>
                <w:color w:val="auto"/>
              </w:rPr>
            </w:pPr>
            <w:r>
              <w:rPr>
                <w:rFonts w:hint="eastAsia"/>
                <w:color w:val="auto"/>
              </w:rPr>
              <w:t>8160</w:t>
            </w:r>
          </w:p>
        </w:tc>
        <w:tc>
          <w:tcPr>
            <w:tcW w:w="709" w:type="dxa"/>
            <w:noWrap/>
            <w:vAlign w:val="center"/>
          </w:tcPr>
          <w:p w14:paraId="74DA4DC7">
            <w:pPr>
              <w:pStyle w:val="33"/>
              <w:rPr>
                <w:color w:val="auto"/>
              </w:rPr>
            </w:pPr>
            <w:r>
              <w:rPr>
                <w:rFonts w:hint="eastAsia"/>
                <w:color w:val="auto"/>
              </w:rPr>
              <w:t>0.04</w:t>
            </w:r>
          </w:p>
        </w:tc>
        <w:tc>
          <w:tcPr>
            <w:tcW w:w="708" w:type="dxa"/>
            <w:noWrap/>
            <w:vAlign w:val="center"/>
          </w:tcPr>
          <w:p w14:paraId="75E6B8AF">
            <w:pPr>
              <w:pStyle w:val="33"/>
              <w:rPr>
                <w:color w:val="auto"/>
              </w:rPr>
            </w:pPr>
            <w:r>
              <w:rPr>
                <w:rFonts w:hint="eastAsia"/>
                <w:color w:val="auto"/>
              </w:rPr>
              <w:t>0.22</w:t>
            </w:r>
          </w:p>
        </w:tc>
        <w:tc>
          <w:tcPr>
            <w:tcW w:w="709" w:type="dxa"/>
            <w:noWrap/>
            <w:vAlign w:val="center"/>
          </w:tcPr>
          <w:p w14:paraId="2F481945">
            <w:pPr>
              <w:pStyle w:val="33"/>
              <w:rPr>
                <w:color w:val="auto"/>
              </w:rPr>
            </w:pPr>
            <w:r>
              <w:rPr>
                <w:rFonts w:hint="eastAsia"/>
                <w:color w:val="auto"/>
              </w:rPr>
              <w:t>0.022</w:t>
            </w:r>
          </w:p>
        </w:tc>
        <w:tc>
          <w:tcPr>
            <w:tcW w:w="851" w:type="dxa"/>
            <w:noWrap/>
            <w:vAlign w:val="center"/>
          </w:tcPr>
          <w:p w14:paraId="7BFE441B">
            <w:pPr>
              <w:pStyle w:val="33"/>
              <w:rPr>
                <w:color w:val="auto"/>
              </w:rPr>
            </w:pPr>
            <w:r>
              <w:rPr>
                <w:rFonts w:hint="eastAsia"/>
                <w:color w:val="auto"/>
              </w:rPr>
              <w:t>0.011</w:t>
            </w:r>
          </w:p>
        </w:tc>
        <w:tc>
          <w:tcPr>
            <w:tcW w:w="850" w:type="dxa"/>
            <w:noWrap/>
            <w:vAlign w:val="center"/>
          </w:tcPr>
          <w:p w14:paraId="6487AA0E">
            <w:pPr>
              <w:pStyle w:val="33"/>
              <w:rPr>
                <w:color w:val="auto"/>
              </w:rPr>
            </w:pPr>
            <w:r>
              <w:rPr>
                <w:rFonts w:hint="eastAsia"/>
                <w:color w:val="auto"/>
              </w:rPr>
              <w:t>0</w:t>
            </w:r>
          </w:p>
        </w:tc>
        <w:tc>
          <w:tcPr>
            <w:tcW w:w="992" w:type="dxa"/>
            <w:noWrap/>
            <w:vAlign w:val="center"/>
          </w:tcPr>
          <w:p w14:paraId="4393CACE">
            <w:pPr>
              <w:pStyle w:val="33"/>
              <w:rPr>
                <w:color w:val="auto"/>
              </w:rPr>
            </w:pPr>
            <w:r>
              <w:rPr>
                <w:rFonts w:hint="eastAsia"/>
                <w:color w:val="auto"/>
              </w:rPr>
              <w:t>0</w:t>
            </w:r>
          </w:p>
        </w:tc>
        <w:tc>
          <w:tcPr>
            <w:tcW w:w="993" w:type="dxa"/>
            <w:noWrap/>
            <w:vAlign w:val="center"/>
          </w:tcPr>
          <w:p w14:paraId="17D81402">
            <w:pPr>
              <w:pStyle w:val="33"/>
              <w:rPr>
                <w:color w:val="auto"/>
              </w:rPr>
            </w:pPr>
            <w:r>
              <w:rPr>
                <w:rFonts w:hint="eastAsia"/>
                <w:color w:val="auto"/>
              </w:rPr>
              <w:t>0</w:t>
            </w:r>
          </w:p>
        </w:tc>
      </w:tr>
      <w:tr w14:paraId="503FC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16CDC9FB">
            <w:pPr>
              <w:pStyle w:val="33"/>
              <w:rPr>
                <w:color w:val="auto"/>
              </w:rPr>
            </w:pPr>
            <w:r>
              <w:rPr>
                <w:rFonts w:hint="eastAsia"/>
                <w:color w:val="auto"/>
              </w:rPr>
              <w:t>P2</w:t>
            </w:r>
          </w:p>
        </w:tc>
        <w:tc>
          <w:tcPr>
            <w:tcW w:w="1276" w:type="dxa"/>
            <w:vMerge w:val="continue"/>
            <w:noWrap/>
            <w:vAlign w:val="center"/>
          </w:tcPr>
          <w:p w14:paraId="6FCA7128">
            <w:pPr>
              <w:pStyle w:val="33"/>
              <w:rPr>
                <w:color w:val="auto"/>
              </w:rPr>
            </w:pPr>
          </w:p>
        </w:tc>
        <w:tc>
          <w:tcPr>
            <w:tcW w:w="851" w:type="dxa"/>
            <w:noWrap/>
          </w:tcPr>
          <w:p w14:paraId="4463F69B">
            <w:pPr>
              <w:pStyle w:val="33"/>
              <w:rPr>
                <w:color w:val="auto"/>
              </w:rPr>
            </w:pPr>
            <w:r>
              <w:rPr>
                <w:rFonts w:hint="eastAsia"/>
                <w:color w:val="auto"/>
              </w:rPr>
              <w:t>608</w:t>
            </w:r>
          </w:p>
        </w:tc>
        <w:tc>
          <w:tcPr>
            <w:tcW w:w="708" w:type="dxa"/>
            <w:noWrap/>
            <w:vAlign w:val="center"/>
          </w:tcPr>
          <w:p w14:paraId="49F86183">
            <w:pPr>
              <w:pStyle w:val="33"/>
              <w:rPr>
                <w:color w:val="auto"/>
              </w:rPr>
            </w:pPr>
            <w:r>
              <w:rPr>
                <w:rFonts w:hint="eastAsia"/>
                <w:color w:val="auto"/>
              </w:rPr>
              <w:t>811</w:t>
            </w:r>
          </w:p>
        </w:tc>
        <w:tc>
          <w:tcPr>
            <w:tcW w:w="851" w:type="dxa"/>
            <w:noWrap/>
            <w:vAlign w:val="center"/>
          </w:tcPr>
          <w:p w14:paraId="58C1CA30">
            <w:pPr>
              <w:pStyle w:val="33"/>
              <w:rPr>
                <w:color w:val="auto"/>
              </w:rPr>
            </w:pPr>
            <w:r>
              <w:rPr>
                <w:rFonts w:hint="eastAsia"/>
                <w:color w:val="auto"/>
              </w:rPr>
              <w:t>16</w:t>
            </w:r>
          </w:p>
        </w:tc>
        <w:tc>
          <w:tcPr>
            <w:tcW w:w="709" w:type="dxa"/>
            <w:noWrap/>
            <w:vAlign w:val="center"/>
          </w:tcPr>
          <w:p w14:paraId="1D7666FC">
            <w:pPr>
              <w:pStyle w:val="33"/>
              <w:rPr>
                <w:color w:val="auto"/>
              </w:rPr>
            </w:pPr>
            <w:r>
              <w:rPr>
                <w:rFonts w:hint="eastAsia"/>
                <w:color w:val="auto"/>
              </w:rPr>
              <w:t>30</w:t>
            </w:r>
          </w:p>
        </w:tc>
        <w:tc>
          <w:tcPr>
            <w:tcW w:w="850" w:type="dxa"/>
            <w:noWrap/>
          </w:tcPr>
          <w:p w14:paraId="62599954">
            <w:pPr>
              <w:pStyle w:val="33"/>
              <w:rPr>
                <w:color w:val="auto"/>
              </w:rPr>
            </w:pPr>
            <w:r>
              <w:rPr>
                <w:color w:val="auto"/>
              </w:rPr>
              <w:t>0.815</w:t>
            </w:r>
          </w:p>
        </w:tc>
        <w:tc>
          <w:tcPr>
            <w:tcW w:w="851" w:type="dxa"/>
            <w:noWrap/>
          </w:tcPr>
          <w:p w14:paraId="225C05CE">
            <w:pPr>
              <w:pStyle w:val="33"/>
              <w:rPr>
                <w:color w:val="auto"/>
              </w:rPr>
            </w:pPr>
            <w:r>
              <w:rPr>
                <w:color w:val="auto"/>
              </w:rPr>
              <w:t>3.56</w:t>
            </w:r>
          </w:p>
        </w:tc>
        <w:tc>
          <w:tcPr>
            <w:tcW w:w="708" w:type="dxa"/>
            <w:noWrap/>
            <w:vAlign w:val="center"/>
          </w:tcPr>
          <w:p w14:paraId="3F5784F4">
            <w:pPr>
              <w:pStyle w:val="33"/>
              <w:rPr>
                <w:color w:val="auto"/>
              </w:rPr>
            </w:pPr>
            <w:r>
              <w:rPr>
                <w:rFonts w:hint="eastAsia"/>
                <w:color w:val="auto"/>
              </w:rPr>
              <w:t>80</w:t>
            </w:r>
          </w:p>
        </w:tc>
        <w:tc>
          <w:tcPr>
            <w:tcW w:w="851" w:type="dxa"/>
            <w:noWrap/>
            <w:vAlign w:val="center"/>
          </w:tcPr>
          <w:p w14:paraId="1B946BAB">
            <w:pPr>
              <w:pStyle w:val="33"/>
              <w:rPr>
                <w:color w:val="auto"/>
              </w:rPr>
            </w:pPr>
            <w:r>
              <w:rPr>
                <w:rFonts w:hint="eastAsia"/>
                <w:color w:val="auto"/>
              </w:rPr>
              <w:t>8160</w:t>
            </w:r>
          </w:p>
        </w:tc>
        <w:tc>
          <w:tcPr>
            <w:tcW w:w="709" w:type="dxa"/>
            <w:noWrap/>
            <w:vAlign w:val="center"/>
          </w:tcPr>
          <w:p w14:paraId="27F34F99">
            <w:pPr>
              <w:pStyle w:val="33"/>
              <w:rPr>
                <w:color w:val="auto"/>
              </w:rPr>
            </w:pPr>
            <w:r>
              <w:rPr>
                <w:rFonts w:hint="eastAsia"/>
                <w:color w:val="auto"/>
              </w:rPr>
              <w:t>0.04</w:t>
            </w:r>
          </w:p>
        </w:tc>
        <w:tc>
          <w:tcPr>
            <w:tcW w:w="708" w:type="dxa"/>
            <w:noWrap/>
            <w:vAlign w:val="center"/>
          </w:tcPr>
          <w:p w14:paraId="3C415735">
            <w:pPr>
              <w:pStyle w:val="33"/>
              <w:rPr>
                <w:color w:val="auto"/>
              </w:rPr>
            </w:pPr>
            <w:r>
              <w:rPr>
                <w:rFonts w:hint="eastAsia"/>
                <w:color w:val="auto"/>
              </w:rPr>
              <w:t>0.22</w:t>
            </w:r>
          </w:p>
        </w:tc>
        <w:tc>
          <w:tcPr>
            <w:tcW w:w="709" w:type="dxa"/>
            <w:noWrap/>
            <w:vAlign w:val="center"/>
          </w:tcPr>
          <w:p w14:paraId="31BB4FB1">
            <w:pPr>
              <w:pStyle w:val="33"/>
              <w:rPr>
                <w:color w:val="auto"/>
              </w:rPr>
            </w:pPr>
            <w:r>
              <w:rPr>
                <w:rFonts w:hint="eastAsia"/>
                <w:color w:val="auto"/>
              </w:rPr>
              <w:t>0.022</w:t>
            </w:r>
          </w:p>
        </w:tc>
        <w:tc>
          <w:tcPr>
            <w:tcW w:w="851" w:type="dxa"/>
            <w:noWrap/>
            <w:vAlign w:val="center"/>
          </w:tcPr>
          <w:p w14:paraId="79ECFF0E">
            <w:pPr>
              <w:pStyle w:val="33"/>
              <w:rPr>
                <w:color w:val="auto"/>
              </w:rPr>
            </w:pPr>
            <w:r>
              <w:rPr>
                <w:rFonts w:hint="eastAsia"/>
                <w:color w:val="auto"/>
              </w:rPr>
              <w:t>0.011</w:t>
            </w:r>
          </w:p>
        </w:tc>
        <w:tc>
          <w:tcPr>
            <w:tcW w:w="850" w:type="dxa"/>
            <w:noWrap/>
            <w:vAlign w:val="center"/>
          </w:tcPr>
          <w:p w14:paraId="1401C06A">
            <w:pPr>
              <w:pStyle w:val="33"/>
              <w:rPr>
                <w:color w:val="auto"/>
              </w:rPr>
            </w:pPr>
            <w:r>
              <w:rPr>
                <w:rFonts w:hint="eastAsia"/>
                <w:color w:val="auto"/>
              </w:rPr>
              <w:t>0</w:t>
            </w:r>
          </w:p>
        </w:tc>
        <w:tc>
          <w:tcPr>
            <w:tcW w:w="992" w:type="dxa"/>
            <w:noWrap/>
            <w:vAlign w:val="center"/>
          </w:tcPr>
          <w:p w14:paraId="223F4D98">
            <w:pPr>
              <w:pStyle w:val="33"/>
              <w:rPr>
                <w:color w:val="auto"/>
              </w:rPr>
            </w:pPr>
            <w:r>
              <w:rPr>
                <w:rFonts w:hint="eastAsia"/>
                <w:color w:val="auto"/>
              </w:rPr>
              <w:t>0</w:t>
            </w:r>
          </w:p>
        </w:tc>
        <w:tc>
          <w:tcPr>
            <w:tcW w:w="993" w:type="dxa"/>
            <w:noWrap/>
            <w:vAlign w:val="center"/>
          </w:tcPr>
          <w:p w14:paraId="719084B3">
            <w:pPr>
              <w:pStyle w:val="33"/>
              <w:rPr>
                <w:color w:val="auto"/>
              </w:rPr>
            </w:pPr>
            <w:r>
              <w:rPr>
                <w:rFonts w:hint="eastAsia"/>
                <w:color w:val="auto"/>
              </w:rPr>
              <w:t>0</w:t>
            </w:r>
          </w:p>
        </w:tc>
      </w:tr>
      <w:tr w14:paraId="19819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2DB66004">
            <w:pPr>
              <w:pStyle w:val="33"/>
              <w:rPr>
                <w:color w:val="auto"/>
              </w:rPr>
            </w:pPr>
            <w:r>
              <w:rPr>
                <w:rFonts w:hint="eastAsia"/>
                <w:color w:val="auto"/>
              </w:rPr>
              <w:t>P3</w:t>
            </w:r>
          </w:p>
        </w:tc>
        <w:tc>
          <w:tcPr>
            <w:tcW w:w="1276" w:type="dxa"/>
            <w:vMerge w:val="continue"/>
            <w:noWrap/>
            <w:vAlign w:val="center"/>
          </w:tcPr>
          <w:p w14:paraId="488E4162">
            <w:pPr>
              <w:pStyle w:val="33"/>
              <w:rPr>
                <w:color w:val="auto"/>
              </w:rPr>
            </w:pPr>
          </w:p>
        </w:tc>
        <w:tc>
          <w:tcPr>
            <w:tcW w:w="851" w:type="dxa"/>
            <w:noWrap/>
          </w:tcPr>
          <w:p w14:paraId="146F34D4">
            <w:pPr>
              <w:pStyle w:val="33"/>
              <w:rPr>
                <w:color w:val="auto"/>
              </w:rPr>
            </w:pPr>
            <w:r>
              <w:rPr>
                <w:rFonts w:hint="eastAsia"/>
                <w:color w:val="auto"/>
              </w:rPr>
              <w:t>608</w:t>
            </w:r>
          </w:p>
        </w:tc>
        <w:tc>
          <w:tcPr>
            <w:tcW w:w="708" w:type="dxa"/>
            <w:noWrap/>
            <w:vAlign w:val="center"/>
          </w:tcPr>
          <w:p w14:paraId="094A75E5">
            <w:pPr>
              <w:pStyle w:val="33"/>
              <w:rPr>
                <w:color w:val="auto"/>
              </w:rPr>
            </w:pPr>
            <w:r>
              <w:rPr>
                <w:rFonts w:hint="eastAsia"/>
                <w:color w:val="auto"/>
              </w:rPr>
              <w:t>816</w:t>
            </w:r>
          </w:p>
        </w:tc>
        <w:tc>
          <w:tcPr>
            <w:tcW w:w="851" w:type="dxa"/>
            <w:noWrap/>
            <w:vAlign w:val="center"/>
          </w:tcPr>
          <w:p w14:paraId="0899939C">
            <w:pPr>
              <w:pStyle w:val="33"/>
              <w:rPr>
                <w:color w:val="auto"/>
              </w:rPr>
            </w:pPr>
            <w:r>
              <w:rPr>
                <w:rFonts w:hint="eastAsia"/>
                <w:color w:val="auto"/>
              </w:rPr>
              <w:t>16</w:t>
            </w:r>
          </w:p>
        </w:tc>
        <w:tc>
          <w:tcPr>
            <w:tcW w:w="709" w:type="dxa"/>
            <w:noWrap/>
            <w:vAlign w:val="center"/>
          </w:tcPr>
          <w:p w14:paraId="06C06ABE">
            <w:pPr>
              <w:pStyle w:val="33"/>
              <w:rPr>
                <w:color w:val="auto"/>
              </w:rPr>
            </w:pPr>
            <w:r>
              <w:rPr>
                <w:rFonts w:hint="eastAsia"/>
                <w:color w:val="auto"/>
              </w:rPr>
              <w:t>30</w:t>
            </w:r>
          </w:p>
        </w:tc>
        <w:tc>
          <w:tcPr>
            <w:tcW w:w="850" w:type="dxa"/>
            <w:noWrap/>
          </w:tcPr>
          <w:p w14:paraId="1ECBAECD">
            <w:pPr>
              <w:pStyle w:val="33"/>
              <w:rPr>
                <w:color w:val="auto"/>
              </w:rPr>
            </w:pPr>
            <w:r>
              <w:rPr>
                <w:color w:val="auto"/>
              </w:rPr>
              <w:t>0.815</w:t>
            </w:r>
          </w:p>
        </w:tc>
        <w:tc>
          <w:tcPr>
            <w:tcW w:w="851" w:type="dxa"/>
            <w:noWrap/>
          </w:tcPr>
          <w:p w14:paraId="06FDB5A9">
            <w:pPr>
              <w:pStyle w:val="33"/>
              <w:rPr>
                <w:color w:val="auto"/>
              </w:rPr>
            </w:pPr>
            <w:r>
              <w:rPr>
                <w:color w:val="auto"/>
              </w:rPr>
              <w:t>3.56</w:t>
            </w:r>
          </w:p>
        </w:tc>
        <w:tc>
          <w:tcPr>
            <w:tcW w:w="708" w:type="dxa"/>
            <w:noWrap/>
            <w:vAlign w:val="center"/>
          </w:tcPr>
          <w:p w14:paraId="4E2EB6F0">
            <w:pPr>
              <w:pStyle w:val="33"/>
              <w:rPr>
                <w:color w:val="auto"/>
              </w:rPr>
            </w:pPr>
            <w:r>
              <w:rPr>
                <w:rFonts w:hint="eastAsia"/>
                <w:color w:val="auto"/>
              </w:rPr>
              <w:t>80</w:t>
            </w:r>
          </w:p>
        </w:tc>
        <w:tc>
          <w:tcPr>
            <w:tcW w:w="851" w:type="dxa"/>
            <w:noWrap/>
            <w:vAlign w:val="center"/>
          </w:tcPr>
          <w:p w14:paraId="712CE4E9">
            <w:pPr>
              <w:pStyle w:val="33"/>
              <w:rPr>
                <w:color w:val="auto"/>
              </w:rPr>
            </w:pPr>
            <w:r>
              <w:rPr>
                <w:rFonts w:hint="eastAsia"/>
                <w:color w:val="auto"/>
              </w:rPr>
              <w:t>8160</w:t>
            </w:r>
          </w:p>
        </w:tc>
        <w:tc>
          <w:tcPr>
            <w:tcW w:w="709" w:type="dxa"/>
            <w:noWrap/>
            <w:vAlign w:val="center"/>
          </w:tcPr>
          <w:p w14:paraId="6256A2AC">
            <w:pPr>
              <w:pStyle w:val="33"/>
              <w:rPr>
                <w:color w:val="auto"/>
              </w:rPr>
            </w:pPr>
            <w:r>
              <w:rPr>
                <w:rFonts w:hint="eastAsia"/>
                <w:color w:val="auto"/>
              </w:rPr>
              <w:t>0.04</w:t>
            </w:r>
          </w:p>
        </w:tc>
        <w:tc>
          <w:tcPr>
            <w:tcW w:w="708" w:type="dxa"/>
            <w:noWrap/>
            <w:vAlign w:val="center"/>
          </w:tcPr>
          <w:p w14:paraId="30AB8D35">
            <w:pPr>
              <w:pStyle w:val="33"/>
              <w:rPr>
                <w:color w:val="auto"/>
              </w:rPr>
            </w:pPr>
            <w:r>
              <w:rPr>
                <w:rFonts w:hint="eastAsia"/>
                <w:color w:val="auto"/>
              </w:rPr>
              <w:t>0.22</w:t>
            </w:r>
          </w:p>
        </w:tc>
        <w:tc>
          <w:tcPr>
            <w:tcW w:w="709" w:type="dxa"/>
            <w:noWrap/>
            <w:vAlign w:val="center"/>
          </w:tcPr>
          <w:p w14:paraId="4054F33C">
            <w:pPr>
              <w:pStyle w:val="33"/>
              <w:rPr>
                <w:color w:val="auto"/>
              </w:rPr>
            </w:pPr>
            <w:r>
              <w:rPr>
                <w:rFonts w:hint="eastAsia"/>
                <w:color w:val="auto"/>
              </w:rPr>
              <w:t>0.022</w:t>
            </w:r>
          </w:p>
        </w:tc>
        <w:tc>
          <w:tcPr>
            <w:tcW w:w="851" w:type="dxa"/>
            <w:noWrap/>
            <w:vAlign w:val="center"/>
          </w:tcPr>
          <w:p w14:paraId="16041B7E">
            <w:pPr>
              <w:pStyle w:val="33"/>
              <w:rPr>
                <w:color w:val="auto"/>
              </w:rPr>
            </w:pPr>
            <w:r>
              <w:rPr>
                <w:rFonts w:hint="eastAsia"/>
                <w:color w:val="auto"/>
              </w:rPr>
              <w:t>0.011</w:t>
            </w:r>
          </w:p>
        </w:tc>
        <w:tc>
          <w:tcPr>
            <w:tcW w:w="850" w:type="dxa"/>
            <w:noWrap/>
            <w:vAlign w:val="center"/>
          </w:tcPr>
          <w:p w14:paraId="369F6A52">
            <w:pPr>
              <w:pStyle w:val="33"/>
              <w:rPr>
                <w:color w:val="auto"/>
              </w:rPr>
            </w:pPr>
            <w:r>
              <w:rPr>
                <w:rFonts w:hint="eastAsia"/>
                <w:color w:val="auto"/>
              </w:rPr>
              <w:t>0</w:t>
            </w:r>
          </w:p>
        </w:tc>
        <w:tc>
          <w:tcPr>
            <w:tcW w:w="992" w:type="dxa"/>
            <w:noWrap/>
            <w:vAlign w:val="center"/>
          </w:tcPr>
          <w:p w14:paraId="1CBE9273">
            <w:pPr>
              <w:pStyle w:val="33"/>
              <w:rPr>
                <w:color w:val="auto"/>
              </w:rPr>
            </w:pPr>
            <w:r>
              <w:rPr>
                <w:rFonts w:hint="eastAsia"/>
                <w:color w:val="auto"/>
              </w:rPr>
              <w:t>0</w:t>
            </w:r>
          </w:p>
        </w:tc>
        <w:tc>
          <w:tcPr>
            <w:tcW w:w="993" w:type="dxa"/>
            <w:noWrap/>
            <w:vAlign w:val="center"/>
          </w:tcPr>
          <w:p w14:paraId="56050444">
            <w:pPr>
              <w:pStyle w:val="33"/>
              <w:rPr>
                <w:color w:val="auto"/>
              </w:rPr>
            </w:pPr>
            <w:r>
              <w:rPr>
                <w:rFonts w:hint="eastAsia"/>
                <w:color w:val="auto"/>
              </w:rPr>
              <w:t>0</w:t>
            </w:r>
          </w:p>
        </w:tc>
      </w:tr>
      <w:tr w14:paraId="12A69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0A1B3F45">
            <w:pPr>
              <w:pStyle w:val="33"/>
              <w:rPr>
                <w:color w:val="auto"/>
              </w:rPr>
            </w:pPr>
            <w:r>
              <w:rPr>
                <w:rFonts w:hint="eastAsia"/>
                <w:color w:val="auto"/>
              </w:rPr>
              <w:t>P4</w:t>
            </w:r>
          </w:p>
        </w:tc>
        <w:tc>
          <w:tcPr>
            <w:tcW w:w="1276" w:type="dxa"/>
            <w:vMerge w:val="continue"/>
            <w:noWrap/>
            <w:vAlign w:val="center"/>
          </w:tcPr>
          <w:p w14:paraId="52570179">
            <w:pPr>
              <w:pStyle w:val="33"/>
              <w:rPr>
                <w:color w:val="auto"/>
              </w:rPr>
            </w:pPr>
          </w:p>
        </w:tc>
        <w:tc>
          <w:tcPr>
            <w:tcW w:w="851" w:type="dxa"/>
            <w:noWrap/>
          </w:tcPr>
          <w:p w14:paraId="6EE05CC4">
            <w:pPr>
              <w:pStyle w:val="33"/>
              <w:rPr>
                <w:color w:val="auto"/>
              </w:rPr>
            </w:pPr>
            <w:r>
              <w:rPr>
                <w:rFonts w:hint="eastAsia"/>
                <w:color w:val="auto"/>
              </w:rPr>
              <w:t>608</w:t>
            </w:r>
          </w:p>
        </w:tc>
        <w:tc>
          <w:tcPr>
            <w:tcW w:w="708" w:type="dxa"/>
            <w:noWrap/>
            <w:vAlign w:val="center"/>
          </w:tcPr>
          <w:p w14:paraId="3053B4EE">
            <w:pPr>
              <w:pStyle w:val="33"/>
              <w:rPr>
                <w:color w:val="auto"/>
              </w:rPr>
            </w:pPr>
            <w:r>
              <w:rPr>
                <w:rFonts w:hint="eastAsia"/>
                <w:color w:val="auto"/>
              </w:rPr>
              <w:t>821</w:t>
            </w:r>
          </w:p>
        </w:tc>
        <w:tc>
          <w:tcPr>
            <w:tcW w:w="851" w:type="dxa"/>
            <w:noWrap/>
            <w:vAlign w:val="center"/>
          </w:tcPr>
          <w:p w14:paraId="1650CD54">
            <w:pPr>
              <w:pStyle w:val="33"/>
              <w:rPr>
                <w:color w:val="auto"/>
              </w:rPr>
            </w:pPr>
            <w:r>
              <w:rPr>
                <w:rFonts w:hint="eastAsia"/>
                <w:color w:val="auto"/>
              </w:rPr>
              <w:t>16</w:t>
            </w:r>
          </w:p>
        </w:tc>
        <w:tc>
          <w:tcPr>
            <w:tcW w:w="709" w:type="dxa"/>
            <w:noWrap/>
            <w:vAlign w:val="center"/>
          </w:tcPr>
          <w:p w14:paraId="34E1D234">
            <w:pPr>
              <w:pStyle w:val="33"/>
              <w:rPr>
                <w:color w:val="auto"/>
              </w:rPr>
            </w:pPr>
            <w:r>
              <w:rPr>
                <w:rFonts w:hint="eastAsia"/>
                <w:color w:val="auto"/>
              </w:rPr>
              <w:t>30</w:t>
            </w:r>
          </w:p>
        </w:tc>
        <w:tc>
          <w:tcPr>
            <w:tcW w:w="850" w:type="dxa"/>
            <w:noWrap/>
          </w:tcPr>
          <w:p w14:paraId="5649E1B1">
            <w:pPr>
              <w:pStyle w:val="33"/>
              <w:rPr>
                <w:color w:val="auto"/>
              </w:rPr>
            </w:pPr>
            <w:r>
              <w:rPr>
                <w:color w:val="auto"/>
              </w:rPr>
              <w:t>0.815</w:t>
            </w:r>
          </w:p>
        </w:tc>
        <w:tc>
          <w:tcPr>
            <w:tcW w:w="851" w:type="dxa"/>
            <w:noWrap/>
          </w:tcPr>
          <w:p w14:paraId="6B64241B">
            <w:pPr>
              <w:pStyle w:val="33"/>
              <w:rPr>
                <w:color w:val="auto"/>
              </w:rPr>
            </w:pPr>
            <w:r>
              <w:rPr>
                <w:color w:val="auto"/>
              </w:rPr>
              <w:t>3.56</w:t>
            </w:r>
          </w:p>
        </w:tc>
        <w:tc>
          <w:tcPr>
            <w:tcW w:w="708" w:type="dxa"/>
            <w:noWrap/>
            <w:vAlign w:val="center"/>
          </w:tcPr>
          <w:p w14:paraId="7BCA13B8">
            <w:pPr>
              <w:pStyle w:val="33"/>
              <w:rPr>
                <w:color w:val="auto"/>
              </w:rPr>
            </w:pPr>
            <w:r>
              <w:rPr>
                <w:rFonts w:hint="eastAsia"/>
                <w:color w:val="auto"/>
              </w:rPr>
              <w:t>80</w:t>
            </w:r>
          </w:p>
        </w:tc>
        <w:tc>
          <w:tcPr>
            <w:tcW w:w="851" w:type="dxa"/>
            <w:noWrap/>
            <w:vAlign w:val="center"/>
          </w:tcPr>
          <w:p w14:paraId="12637A0D">
            <w:pPr>
              <w:pStyle w:val="33"/>
              <w:rPr>
                <w:color w:val="auto"/>
              </w:rPr>
            </w:pPr>
            <w:r>
              <w:rPr>
                <w:rFonts w:hint="eastAsia"/>
                <w:color w:val="auto"/>
              </w:rPr>
              <w:t>8160</w:t>
            </w:r>
          </w:p>
        </w:tc>
        <w:tc>
          <w:tcPr>
            <w:tcW w:w="709" w:type="dxa"/>
            <w:noWrap/>
            <w:vAlign w:val="center"/>
          </w:tcPr>
          <w:p w14:paraId="0D4DF01C">
            <w:pPr>
              <w:pStyle w:val="33"/>
              <w:rPr>
                <w:color w:val="auto"/>
              </w:rPr>
            </w:pPr>
            <w:r>
              <w:rPr>
                <w:rFonts w:hint="eastAsia"/>
                <w:color w:val="auto"/>
              </w:rPr>
              <w:t>0.04</w:t>
            </w:r>
          </w:p>
        </w:tc>
        <w:tc>
          <w:tcPr>
            <w:tcW w:w="708" w:type="dxa"/>
            <w:noWrap/>
            <w:vAlign w:val="center"/>
          </w:tcPr>
          <w:p w14:paraId="02011C2C">
            <w:pPr>
              <w:pStyle w:val="33"/>
              <w:rPr>
                <w:color w:val="auto"/>
              </w:rPr>
            </w:pPr>
            <w:r>
              <w:rPr>
                <w:rFonts w:hint="eastAsia"/>
                <w:color w:val="auto"/>
              </w:rPr>
              <w:t>0.22</w:t>
            </w:r>
          </w:p>
        </w:tc>
        <w:tc>
          <w:tcPr>
            <w:tcW w:w="709" w:type="dxa"/>
            <w:noWrap/>
            <w:vAlign w:val="center"/>
          </w:tcPr>
          <w:p w14:paraId="7FA267B9">
            <w:pPr>
              <w:pStyle w:val="33"/>
              <w:rPr>
                <w:color w:val="auto"/>
              </w:rPr>
            </w:pPr>
            <w:r>
              <w:rPr>
                <w:rFonts w:hint="eastAsia"/>
                <w:color w:val="auto"/>
              </w:rPr>
              <w:t>0.022</w:t>
            </w:r>
          </w:p>
        </w:tc>
        <w:tc>
          <w:tcPr>
            <w:tcW w:w="851" w:type="dxa"/>
            <w:noWrap/>
            <w:vAlign w:val="center"/>
          </w:tcPr>
          <w:p w14:paraId="147216B4">
            <w:pPr>
              <w:pStyle w:val="33"/>
              <w:rPr>
                <w:color w:val="auto"/>
              </w:rPr>
            </w:pPr>
            <w:r>
              <w:rPr>
                <w:rFonts w:hint="eastAsia"/>
                <w:color w:val="auto"/>
              </w:rPr>
              <w:t>0.011</w:t>
            </w:r>
          </w:p>
        </w:tc>
        <w:tc>
          <w:tcPr>
            <w:tcW w:w="850" w:type="dxa"/>
            <w:noWrap/>
            <w:vAlign w:val="center"/>
          </w:tcPr>
          <w:p w14:paraId="77DDB08F">
            <w:pPr>
              <w:pStyle w:val="33"/>
              <w:rPr>
                <w:color w:val="auto"/>
              </w:rPr>
            </w:pPr>
            <w:r>
              <w:rPr>
                <w:rFonts w:hint="eastAsia"/>
                <w:color w:val="auto"/>
              </w:rPr>
              <w:t>0</w:t>
            </w:r>
          </w:p>
        </w:tc>
        <w:tc>
          <w:tcPr>
            <w:tcW w:w="992" w:type="dxa"/>
            <w:noWrap/>
            <w:vAlign w:val="center"/>
          </w:tcPr>
          <w:p w14:paraId="0ECB4E7F">
            <w:pPr>
              <w:pStyle w:val="33"/>
              <w:rPr>
                <w:color w:val="auto"/>
              </w:rPr>
            </w:pPr>
            <w:r>
              <w:rPr>
                <w:rFonts w:hint="eastAsia"/>
                <w:color w:val="auto"/>
              </w:rPr>
              <w:t>0</w:t>
            </w:r>
          </w:p>
        </w:tc>
        <w:tc>
          <w:tcPr>
            <w:tcW w:w="993" w:type="dxa"/>
            <w:noWrap/>
            <w:vAlign w:val="center"/>
          </w:tcPr>
          <w:p w14:paraId="288F0B05">
            <w:pPr>
              <w:pStyle w:val="33"/>
              <w:rPr>
                <w:color w:val="auto"/>
              </w:rPr>
            </w:pPr>
            <w:r>
              <w:rPr>
                <w:rFonts w:hint="eastAsia"/>
                <w:color w:val="auto"/>
              </w:rPr>
              <w:t>0</w:t>
            </w:r>
          </w:p>
        </w:tc>
      </w:tr>
      <w:tr w14:paraId="4DD69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5ECCD241">
            <w:pPr>
              <w:pStyle w:val="33"/>
              <w:rPr>
                <w:color w:val="auto"/>
              </w:rPr>
            </w:pPr>
            <w:r>
              <w:rPr>
                <w:rFonts w:hint="eastAsia"/>
                <w:color w:val="auto"/>
              </w:rPr>
              <w:t>P5</w:t>
            </w:r>
          </w:p>
        </w:tc>
        <w:tc>
          <w:tcPr>
            <w:tcW w:w="1276" w:type="dxa"/>
            <w:vMerge w:val="continue"/>
            <w:noWrap/>
            <w:vAlign w:val="center"/>
          </w:tcPr>
          <w:p w14:paraId="72AAF202">
            <w:pPr>
              <w:pStyle w:val="33"/>
              <w:rPr>
                <w:color w:val="auto"/>
              </w:rPr>
            </w:pPr>
          </w:p>
        </w:tc>
        <w:tc>
          <w:tcPr>
            <w:tcW w:w="851" w:type="dxa"/>
            <w:noWrap/>
          </w:tcPr>
          <w:p w14:paraId="2313343C">
            <w:pPr>
              <w:pStyle w:val="33"/>
              <w:rPr>
                <w:color w:val="auto"/>
              </w:rPr>
            </w:pPr>
            <w:r>
              <w:rPr>
                <w:rFonts w:hint="eastAsia"/>
                <w:color w:val="auto"/>
              </w:rPr>
              <w:t>608</w:t>
            </w:r>
          </w:p>
        </w:tc>
        <w:tc>
          <w:tcPr>
            <w:tcW w:w="708" w:type="dxa"/>
            <w:noWrap/>
            <w:vAlign w:val="center"/>
          </w:tcPr>
          <w:p w14:paraId="32C79EDD">
            <w:pPr>
              <w:pStyle w:val="33"/>
              <w:rPr>
                <w:color w:val="auto"/>
              </w:rPr>
            </w:pPr>
            <w:r>
              <w:rPr>
                <w:rFonts w:hint="eastAsia"/>
                <w:color w:val="auto"/>
              </w:rPr>
              <w:t>826</w:t>
            </w:r>
          </w:p>
        </w:tc>
        <w:tc>
          <w:tcPr>
            <w:tcW w:w="851" w:type="dxa"/>
            <w:noWrap/>
            <w:vAlign w:val="center"/>
          </w:tcPr>
          <w:p w14:paraId="2F265F8D">
            <w:pPr>
              <w:pStyle w:val="33"/>
              <w:rPr>
                <w:color w:val="auto"/>
              </w:rPr>
            </w:pPr>
            <w:r>
              <w:rPr>
                <w:rFonts w:hint="eastAsia"/>
                <w:color w:val="auto"/>
              </w:rPr>
              <w:t>16</w:t>
            </w:r>
          </w:p>
        </w:tc>
        <w:tc>
          <w:tcPr>
            <w:tcW w:w="709" w:type="dxa"/>
            <w:noWrap/>
            <w:vAlign w:val="center"/>
          </w:tcPr>
          <w:p w14:paraId="6E2C60D6">
            <w:pPr>
              <w:pStyle w:val="33"/>
              <w:rPr>
                <w:color w:val="auto"/>
              </w:rPr>
            </w:pPr>
            <w:r>
              <w:rPr>
                <w:rFonts w:hint="eastAsia"/>
                <w:color w:val="auto"/>
              </w:rPr>
              <w:t>30</w:t>
            </w:r>
          </w:p>
        </w:tc>
        <w:tc>
          <w:tcPr>
            <w:tcW w:w="850" w:type="dxa"/>
            <w:noWrap/>
          </w:tcPr>
          <w:p w14:paraId="378BEFEC">
            <w:pPr>
              <w:pStyle w:val="33"/>
              <w:rPr>
                <w:color w:val="auto"/>
              </w:rPr>
            </w:pPr>
            <w:r>
              <w:rPr>
                <w:color w:val="auto"/>
              </w:rPr>
              <w:t>0.815</w:t>
            </w:r>
          </w:p>
        </w:tc>
        <w:tc>
          <w:tcPr>
            <w:tcW w:w="851" w:type="dxa"/>
            <w:noWrap/>
          </w:tcPr>
          <w:p w14:paraId="0E800615">
            <w:pPr>
              <w:pStyle w:val="33"/>
              <w:rPr>
                <w:color w:val="auto"/>
              </w:rPr>
            </w:pPr>
            <w:r>
              <w:rPr>
                <w:color w:val="auto"/>
              </w:rPr>
              <w:t>3.56</w:t>
            </w:r>
          </w:p>
        </w:tc>
        <w:tc>
          <w:tcPr>
            <w:tcW w:w="708" w:type="dxa"/>
            <w:noWrap/>
            <w:vAlign w:val="center"/>
          </w:tcPr>
          <w:p w14:paraId="607602D5">
            <w:pPr>
              <w:pStyle w:val="33"/>
              <w:rPr>
                <w:color w:val="auto"/>
              </w:rPr>
            </w:pPr>
            <w:r>
              <w:rPr>
                <w:rFonts w:hint="eastAsia"/>
                <w:color w:val="auto"/>
              </w:rPr>
              <w:t>80</w:t>
            </w:r>
          </w:p>
        </w:tc>
        <w:tc>
          <w:tcPr>
            <w:tcW w:w="851" w:type="dxa"/>
            <w:noWrap/>
            <w:vAlign w:val="center"/>
          </w:tcPr>
          <w:p w14:paraId="2A578FDB">
            <w:pPr>
              <w:pStyle w:val="33"/>
              <w:rPr>
                <w:color w:val="auto"/>
              </w:rPr>
            </w:pPr>
            <w:r>
              <w:rPr>
                <w:rFonts w:hint="eastAsia"/>
                <w:color w:val="auto"/>
              </w:rPr>
              <w:t>8160</w:t>
            </w:r>
          </w:p>
        </w:tc>
        <w:tc>
          <w:tcPr>
            <w:tcW w:w="709" w:type="dxa"/>
            <w:noWrap/>
            <w:vAlign w:val="center"/>
          </w:tcPr>
          <w:p w14:paraId="7C367C4D">
            <w:pPr>
              <w:pStyle w:val="33"/>
              <w:rPr>
                <w:color w:val="auto"/>
              </w:rPr>
            </w:pPr>
            <w:r>
              <w:rPr>
                <w:rFonts w:hint="eastAsia"/>
                <w:color w:val="auto"/>
              </w:rPr>
              <w:t>0.04</w:t>
            </w:r>
          </w:p>
        </w:tc>
        <w:tc>
          <w:tcPr>
            <w:tcW w:w="708" w:type="dxa"/>
            <w:noWrap/>
            <w:vAlign w:val="center"/>
          </w:tcPr>
          <w:p w14:paraId="514B9B92">
            <w:pPr>
              <w:pStyle w:val="33"/>
              <w:rPr>
                <w:color w:val="auto"/>
              </w:rPr>
            </w:pPr>
            <w:r>
              <w:rPr>
                <w:rFonts w:hint="eastAsia"/>
                <w:color w:val="auto"/>
              </w:rPr>
              <w:t>0.22</w:t>
            </w:r>
          </w:p>
        </w:tc>
        <w:tc>
          <w:tcPr>
            <w:tcW w:w="709" w:type="dxa"/>
            <w:noWrap/>
            <w:vAlign w:val="center"/>
          </w:tcPr>
          <w:p w14:paraId="5C9C04C8">
            <w:pPr>
              <w:pStyle w:val="33"/>
              <w:rPr>
                <w:color w:val="auto"/>
              </w:rPr>
            </w:pPr>
            <w:r>
              <w:rPr>
                <w:rFonts w:hint="eastAsia"/>
                <w:color w:val="auto"/>
              </w:rPr>
              <w:t>0.022</w:t>
            </w:r>
          </w:p>
        </w:tc>
        <w:tc>
          <w:tcPr>
            <w:tcW w:w="851" w:type="dxa"/>
            <w:noWrap/>
            <w:vAlign w:val="center"/>
          </w:tcPr>
          <w:p w14:paraId="68705734">
            <w:pPr>
              <w:pStyle w:val="33"/>
              <w:rPr>
                <w:color w:val="auto"/>
              </w:rPr>
            </w:pPr>
            <w:r>
              <w:rPr>
                <w:rFonts w:hint="eastAsia"/>
                <w:color w:val="auto"/>
              </w:rPr>
              <w:t>0.011</w:t>
            </w:r>
          </w:p>
        </w:tc>
        <w:tc>
          <w:tcPr>
            <w:tcW w:w="850" w:type="dxa"/>
            <w:noWrap/>
            <w:vAlign w:val="center"/>
          </w:tcPr>
          <w:p w14:paraId="38CE4AF8">
            <w:pPr>
              <w:pStyle w:val="33"/>
              <w:rPr>
                <w:color w:val="auto"/>
              </w:rPr>
            </w:pPr>
            <w:r>
              <w:rPr>
                <w:rFonts w:hint="eastAsia"/>
                <w:color w:val="auto"/>
              </w:rPr>
              <w:t>0</w:t>
            </w:r>
          </w:p>
        </w:tc>
        <w:tc>
          <w:tcPr>
            <w:tcW w:w="992" w:type="dxa"/>
            <w:noWrap/>
            <w:vAlign w:val="center"/>
          </w:tcPr>
          <w:p w14:paraId="5D1EE735">
            <w:pPr>
              <w:pStyle w:val="33"/>
              <w:rPr>
                <w:color w:val="auto"/>
              </w:rPr>
            </w:pPr>
            <w:r>
              <w:rPr>
                <w:rFonts w:hint="eastAsia"/>
                <w:color w:val="auto"/>
              </w:rPr>
              <w:t>0</w:t>
            </w:r>
          </w:p>
        </w:tc>
        <w:tc>
          <w:tcPr>
            <w:tcW w:w="993" w:type="dxa"/>
            <w:noWrap/>
            <w:vAlign w:val="center"/>
          </w:tcPr>
          <w:p w14:paraId="0598B14D">
            <w:pPr>
              <w:pStyle w:val="33"/>
              <w:rPr>
                <w:color w:val="auto"/>
              </w:rPr>
            </w:pPr>
            <w:r>
              <w:rPr>
                <w:rFonts w:hint="eastAsia"/>
                <w:color w:val="auto"/>
              </w:rPr>
              <w:t>0</w:t>
            </w:r>
          </w:p>
        </w:tc>
      </w:tr>
      <w:tr w14:paraId="15A77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0BCB6771">
            <w:pPr>
              <w:pStyle w:val="33"/>
              <w:rPr>
                <w:color w:val="auto"/>
              </w:rPr>
            </w:pPr>
            <w:r>
              <w:rPr>
                <w:rFonts w:hint="eastAsia"/>
                <w:color w:val="auto"/>
              </w:rPr>
              <w:t>P6</w:t>
            </w:r>
          </w:p>
        </w:tc>
        <w:tc>
          <w:tcPr>
            <w:tcW w:w="1276" w:type="dxa"/>
            <w:vMerge w:val="restart"/>
            <w:noWrap/>
            <w:vAlign w:val="center"/>
          </w:tcPr>
          <w:p w14:paraId="154C06F0">
            <w:pPr>
              <w:pStyle w:val="33"/>
              <w:rPr>
                <w:color w:val="auto"/>
              </w:rPr>
            </w:pPr>
            <w:r>
              <w:rPr>
                <w:rFonts w:hint="eastAsia"/>
                <w:color w:val="auto"/>
              </w:rPr>
              <w:t>2#造纸车间烘干废气</w:t>
            </w:r>
          </w:p>
        </w:tc>
        <w:tc>
          <w:tcPr>
            <w:tcW w:w="851" w:type="dxa"/>
            <w:noWrap/>
            <w:vAlign w:val="center"/>
          </w:tcPr>
          <w:p w14:paraId="20B2D119">
            <w:pPr>
              <w:pStyle w:val="33"/>
              <w:rPr>
                <w:color w:val="auto"/>
              </w:rPr>
            </w:pPr>
            <w:r>
              <w:rPr>
                <w:rFonts w:hint="eastAsia"/>
                <w:color w:val="auto"/>
              </w:rPr>
              <w:t>680</w:t>
            </w:r>
          </w:p>
        </w:tc>
        <w:tc>
          <w:tcPr>
            <w:tcW w:w="708" w:type="dxa"/>
            <w:noWrap/>
            <w:vAlign w:val="center"/>
          </w:tcPr>
          <w:p w14:paraId="070C707F">
            <w:pPr>
              <w:pStyle w:val="33"/>
              <w:rPr>
                <w:color w:val="auto"/>
              </w:rPr>
            </w:pPr>
            <w:r>
              <w:rPr>
                <w:rFonts w:hint="eastAsia"/>
                <w:color w:val="auto"/>
              </w:rPr>
              <w:t>757</w:t>
            </w:r>
          </w:p>
        </w:tc>
        <w:tc>
          <w:tcPr>
            <w:tcW w:w="851" w:type="dxa"/>
            <w:noWrap/>
            <w:vAlign w:val="center"/>
          </w:tcPr>
          <w:p w14:paraId="03446566">
            <w:pPr>
              <w:pStyle w:val="33"/>
              <w:rPr>
                <w:color w:val="auto"/>
              </w:rPr>
            </w:pPr>
            <w:r>
              <w:rPr>
                <w:rFonts w:hint="eastAsia"/>
                <w:color w:val="auto"/>
              </w:rPr>
              <w:t>16</w:t>
            </w:r>
          </w:p>
        </w:tc>
        <w:tc>
          <w:tcPr>
            <w:tcW w:w="709" w:type="dxa"/>
            <w:noWrap/>
            <w:vAlign w:val="center"/>
          </w:tcPr>
          <w:p w14:paraId="71F2A270">
            <w:pPr>
              <w:pStyle w:val="33"/>
              <w:rPr>
                <w:color w:val="auto"/>
              </w:rPr>
            </w:pPr>
            <w:r>
              <w:rPr>
                <w:rFonts w:hint="eastAsia"/>
                <w:color w:val="auto"/>
              </w:rPr>
              <w:t>24</w:t>
            </w:r>
          </w:p>
        </w:tc>
        <w:tc>
          <w:tcPr>
            <w:tcW w:w="850" w:type="dxa"/>
            <w:noWrap/>
            <w:vAlign w:val="center"/>
          </w:tcPr>
          <w:p w14:paraId="044E9F3A">
            <w:pPr>
              <w:pStyle w:val="33"/>
              <w:rPr>
                <w:color w:val="auto"/>
              </w:rPr>
            </w:pPr>
            <w:r>
              <w:rPr>
                <w:color w:val="auto"/>
              </w:rPr>
              <w:t>0.6</w:t>
            </w:r>
          </w:p>
        </w:tc>
        <w:tc>
          <w:tcPr>
            <w:tcW w:w="851" w:type="dxa"/>
            <w:noWrap/>
          </w:tcPr>
          <w:p w14:paraId="573F13EA">
            <w:pPr>
              <w:pStyle w:val="33"/>
              <w:rPr>
                <w:color w:val="auto"/>
              </w:rPr>
            </w:pPr>
            <w:r>
              <w:rPr>
                <w:color w:val="auto"/>
              </w:rPr>
              <w:t>8.41</w:t>
            </w:r>
          </w:p>
        </w:tc>
        <w:tc>
          <w:tcPr>
            <w:tcW w:w="708" w:type="dxa"/>
            <w:noWrap/>
            <w:vAlign w:val="center"/>
          </w:tcPr>
          <w:p w14:paraId="29EBD96B">
            <w:pPr>
              <w:pStyle w:val="33"/>
              <w:rPr>
                <w:color w:val="auto"/>
              </w:rPr>
            </w:pPr>
            <w:r>
              <w:rPr>
                <w:rFonts w:hint="eastAsia"/>
                <w:color w:val="auto"/>
              </w:rPr>
              <w:t>80</w:t>
            </w:r>
          </w:p>
        </w:tc>
        <w:tc>
          <w:tcPr>
            <w:tcW w:w="851" w:type="dxa"/>
            <w:noWrap/>
            <w:vAlign w:val="center"/>
          </w:tcPr>
          <w:p w14:paraId="58009671">
            <w:pPr>
              <w:pStyle w:val="33"/>
              <w:rPr>
                <w:color w:val="auto"/>
              </w:rPr>
            </w:pPr>
            <w:r>
              <w:rPr>
                <w:rFonts w:hint="eastAsia"/>
                <w:color w:val="auto"/>
              </w:rPr>
              <w:t>8160</w:t>
            </w:r>
          </w:p>
        </w:tc>
        <w:tc>
          <w:tcPr>
            <w:tcW w:w="709" w:type="dxa"/>
            <w:noWrap/>
            <w:vAlign w:val="center"/>
          </w:tcPr>
          <w:p w14:paraId="52B08151">
            <w:pPr>
              <w:pStyle w:val="33"/>
              <w:rPr>
                <w:color w:val="auto"/>
              </w:rPr>
            </w:pPr>
            <w:r>
              <w:rPr>
                <w:rFonts w:hint="eastAsia"/>
                <w:color w:val="auto"/>
              </w:rPr>
              <w:t>0.05</w:t>
            </w:r>
          </w:p>
        </w:tc>
        <w:tc>
          <w:tcPr>
            <w:tcW w:w="708" w:type="dxa"/>
            <w:noWrap/>
            <w:vAlign w:val="center"/>
          </w:tcPr>
          <w:p w14:paraId="585DE820">
            <w:pPr>
              <w:pStyle w:val="33"/>
              <w:rPr>
                <w:color w:val="auto"/>
              </w:rPr>
            </w:pPr>
            <w:r>
              <w:rPr>
                <w:rFonts w:hint="eastAsia"/>
                <w:color w:val="auto"/>
              </w:rPr>
              <w:t>0.29</w:t>
            </w:r>
          </w:p>
        </w:tc>
        <w:tc>
          <w:tcPr>
            <w:tcW w:w="709" w:type="dxa"/>
            <w:noWrap/>
            <w:vAlign w:val="center"/>
          </w:tcPr>
          <w:p w14:paraId="259EFC74">
            <w:pPr>
              <w:pStyle w:val="33"/>
              <w:rPr>
                <w:color w:val="auto"/>
              </w:rPr>
            </w:pPr>
            <w:r>
              <w:rPr>
                <w:rFonts w:hint="eastAsia"/>
                <w:color w:val="auto"/>
              </w:rPr>
              <w:t>0.028</w:t>
            </w:r>
          </w:p>
        </w:tc>
        <w:tc>
          <w:tcPr>
            <w:tcW w:w="851" w:type="dxa"/>
            <w:noWrap/>
            <w:vAlign w:val="center"/>
          </w:tcPr>
          <w:p w14:paraId="5F47A609">
            <w:pPr>
              <w:pStyle w:val="33"/>
              <w:rPr>
                <w:color w:val="auto"/>
              </w:rPr>
            </w:pPr>
            <w:r>
              <w:rPr>
                <w:rFonts w:hint="eastAsia"/>
                <w:color w:val="auto"/>
              </w:rPr>
              <w:t>0.014</w:t>
            </w:r>
          </w:p>
        </w:tc>
        <w:tc>
          <w:tcPr>
            <w:tcW w:w="850" w:type="dxa"/>
            <w:noWrap/>
            <w:vAlign w:val="center"/>
          </w:tcPr>
          <w:p w14:paraId="5AB99470">
            <w:pPr>
              <w:pStyle w:val="33"/>
              <w:rPr>
                <w:color w:val="auto"/>
              </w:rPr>
            </w:pPr>
            <w:r>
              <w:rPr>
                <w:rFonts w:hint="eastAsia"/>
                <w:color w:val="auto"/>
              </w:rPr>
              <w:t>0</w:t>
            </w:r>
          </w:p>
        </w:tc>
        <w:tc>
          <w:tcPr>
            <w:tcW w:w="992" w:type="dxa"/>
            <w:noWrap/>
            <w:vAlign w:val="center"/>
          </w:tcPr>
          <w:p w14:paraId="1C807F7B">
            <w:pPr>
              <w:pStyle w:val="33"/>
              <w:rPr>
                <w:color w:val="auto"/>
              </w:rPr>
            </w:pPr>
            <w:r>
              <w:rPr>
                <w:rFonts w:hint="eastAsia"/>
                <w:color w:val="auto"/>
              </w:rPr>
              <w:t>0</w:t>
            </w:r>
          </w:p>
        </w:tc>
        <w:tc>
          <w:tcPr>
            <w:tcW w:w="993" w:type="dxa"/>
            <w:noWrap/>
            <w:vAlign w:val="center"/>
          </w:tcPr>
          <w:p w14:paraId="08A74FA7">
            <w:pPr>
              <w:pStyle w:val="33"/>
              <w:rPr>
                <w:color w:val="auto"/>
              </w:rPr>
            </w:pPr>
            <w:r>
              <w:rPr>
                <w:rFonts w:hint="eastAsia"/>
                <w:color w:val="auto"/>
              </w:rPr>
              <w:t>0</w:t>
            </w:r>
          </w:p>
        </w:tc>
      </w:tr>
      <w:tr w14:paraId="4E348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3F0DE335">
            <w:pPr>
              <w:pStyle w:val="33"/>
              <w:rPr>
                <w:color w:val="auto"/>
              </w:rPr>
            </w:pPr>
            <w:r>
              <w:rPr>
                <w:rFonts w:hint="eastAsia"/>
                <w:color w:val="auto"/>
              </w:rPr>
              <w:t>P7</w:t>
            </w:r>
          </w:p>
        </w:tc>
        <w:tc>
          <w:tcPr>
            <w:tcW w:w="1276" w:type="dxa"/>
            <w:vMerge w:val="continue"/>
            <w:noWrap/>
            <w:vAlign w:val="center"/>
          </w:tcPr>
          <w:p w14:paraId="12D22F5D">
            <w:pPr>
              <w:pStyle w:val="33"/>
              <w:rPr>
                <w:color w:val="auto"/>
              </w:rPr>
            </w:pPr>
          </w:p>
        </w:tc>
        <w:tc>
          <w:tcPr>
            <w:tcW w:w="851" w:type="dxa"/>
            <w:noWrap/>
          </w:tcPr>
          <w:p w14:paraId="246FC4B9">
            <w:pPr>
              <w:pStyle w:val="33"/>
              <w:rPr>
                <w:color w:val="auto"/>
              </w:rPr>
            </w:pPr>
            <w:r>
              <w:rPr>
                <w:rFonts w:hint="eastAsia"/>
                <w:color w:val="auto"/>
              </w:rPr>
              <w:t>680</w:t>
            </w:r>
          </w:p>
        </w:tc>
        <w:tc>
          <w:tcPr>
            <w:tcW w:w="708" w:type="dxa"/>
            <w:noWrap/>
            <w:vAlign w:val="center"/>
          </w:tcPr>
          <w:p w14:paraId="6EDAC10D">
            <w:pPr>
              <w:pStyle w:val="33"/>
              <w:rPr>
                <w:color w:val="auto"/>
              </w:rPr>
            </w:pPr>
            <w:r>
              <w:rPr>
                <w:rFonts w:hint="eastAsia"/>
                <w:color w:val="auto"/>
              </w:rPr>
              <w:t>762</w:t>
            </w:r>
          </w:p>
        </w:tc>
        <w:tc>
          <w:tcPr>
            <w:tcW w:w="851" w:type="dxa"/>
            <w:noWrap/>
            <w:vAlign w:val="center"/>
          </w:tcPr>
          <w:p w14:paraId="592CF360">
            <w:pPr>
              <w:pStyle w:val="33"/>
              <w:rPr>
                <w:color w:val="auto"/>
              </w:rPr>
            </w:pPr>
            <w:r>
              <w:rPr>
                <w:rFonts w:hint="eastAsia"/>
                <w:color w:val="auto"/>
              </w:rPr>
              <w:t>16</w:t>
            </w:r>
          </w:p>
        </w:tc>
        <w:tc>
          <w:tcPr>
            <w:tcW w:w="709" w:type="dxa"/>
            <w:noWrap/>
          </w:tcPr>
          <w:p w14:paraId="2C819A32">
            <w:pPr>
              <w:pStyle w:val="33"/>
              <w:rPr>
                <w:color w:val="auto"/>
              </w:rPr>
            </w:pPr>
            <w:r>
              <w:rPr>
                <w:rFonts w:hint="eastAsia"/>
                <w:color w:val="auto"/>
              </w:rPr>
              <w:t>24</w:t>
            </w:r>
          </w:p>
        </w:tc>
        <w:tc>
          <w:tcPr>
            <w:tcW w:w="850" w:type="dxa"/>
            <w:noWrap/>
          </w:tcPr>
          <w:p w14:paraId="03052E5C">
            <w:pPr>
              <w:pStyle w:val="33"/>
              <w:rPr>
                <w:color w:val="auto"/>
              </w:rPr>
            </w:pPr>
            <w:r>
              <w:rPr>
                <w:color w:val="auto"/>
              </w:rPr>
              <w:t>0.6</w:t>
            </w:r>
          </w:p>
        </w:tc>
        <w:tc>
          <w:tcPr>
            <w:tcW w:w="851" w:type="dxa"/>
            <w:noWrap/>
          </w:tcPr>
          <w:p w14:paraId="78D029C1">
            <w:pPr>
              <w:pStyle w:val="33"/>
              <w:rPr>
                <w:color w:val="auto"/>
              </w:rPr>
            </w:pPr>
            <w:r>
              <w:rPr>
                <w:color w:val="auto"/>
              </w:rPr>
              <w:t>8.41</w:t>
            </w:r>
          </w:p>
        </w:tc>
        <w:tc>
          <w:tcPr>
            <w:tcW w:w="708" w:type="dxa"/>
            <w:noWrap/>
            <w:vAlign w:val="center"/>
          </w:tcPr>
          <w:p w14:paraId="64DEC301">
            <w:pPr>
              <w:pStyle w:val="33"/>
              <w:rPr>
                <w:color w:val="auto"/>
              </w:rPr>
            </w:pPr>
            <w:r>
              <w:rPr>
                <w:rFonts w:hint="eastAsia"/>
                <w:color w:val="auto"/>
              </w:rPr>
              <w:t>80</w:t>
            </w:r>
          </w:p>
        </w:tc>
        <w:tc>
          <w:tcPr>
            <w:tcW w:w="851" w:type="dxa"/>
            <w:noWrap/>
            <w:vAlign w:val="center"/>
          </w:tcPr>
          <w:p w14:paraId="50EBF1E0">
            <w:pPr>
              <w:pStyle w:val="33"/>
              <w:rPr>
                <w:color w:val="auto"/>
              </w:rPr>
            </w:pPr>
            <w:r>
              <w:rPr>
                <w:rFonts w:hint="eastAsia"/>
                <w:color w:val="auto"/>
              </w:rPr>
              <w:t>8160</w:t>
            </w:r>
          </w:p>
        </w:tc>
        <w:tc>
          <w:tcPr>
            <w:tcW w:w="709" w:type="dxa"/>
            <w:noWrap/>
            <w:vAlign w:val="center"/>
          </w:tcPr>
          <w:p w14:paraId="06AB0987">
            <w:pPr>
              <w:pStyle w:val="33"/>
              <w:rPr>
                <w:color w:val="auto"/>
              </w:rPr>
            </w:pPr>
            <w:r>
              <w:rPr>
                <w:rFonts w:hint="eastAsia"/>
                <w:color w:val="auto"/>
              </w:rPr>
              <w:t>0.05</w:t>
            </w:r>
          </w:p>
        </w:tc>
        <w:tc>
          <w:tcPr>
            <w:tcW w:w="708" w:type="dxa"/>
            <w:noWrap/>
            <w:vAlign w:val="center"/>
          </w:tcPr>
          <w:p w14:paraId="6A9929C7">
            <w:pPr>
              <w:pStyle w:val="33"/>
              <w:rPr>
                <w:color w:val="auto"/>
              </w:rPr>
            </w:pPr>
            <w:r>
              <w:rPr>
                <w:rFonts w:hint="eastAsia"/>
                <w:color w:val="auto"/>
              </w:rPr>
              <w:t>0.29</w:t>
            </w:r>
          </w:p>
        </w:tc>
        <w:tc>
          <w:tcPr>
            <w:tcW w:w="709" w:type="dxa"/>
            <w:noWrap/>
            <w:vAlign w:val="center"/>
          </w:tcPr>
          <w:p w14:paraId="10E497CE">
            <w:pPr>
              <w:pStyle w:val="33"/>
              <w:rPr>
                <w:color w:val="auto"/>
              </w:rPr>
            </w:pPr>
            <w:r>
              <w:rPr>
                <w:rFonts w:hint="eastAsia"/>
                <w:color w:val="auto"/>
              </w:rPr>
              <w:t>0.028</w:t>
            </w:r>
          </w:p>
        </w:tc>
        <w:tc>
          <w:tcPr>
            <w:tcW w:w="851" w:type="dxa"/>
            <w:noWrap/>
            <w:vAlign w:val="center"/>
          </w:tcPr>
          <w:p w14:paraId="2CA06B84">
            <w:pPr>
              <w:pStyle w:val="33"/>
              <w:rPr>
                <w:color w:val="auto"/>
              </w:rPr>
            </w:pPr>
            <w:r>
              <w:rPr>
                <w:rFonts w:hint="eastAsia"/>
                <w:color w:val="auto"/>
              </w:rPr>
              <w:t>0.014</w:t>
            </w:r>
          </w:p>
        </w:tc>
        <w:tc>
          <w:tcPr>
            <w:tcW w:w="850" w:type="dxa"/>
            <w:noWrap/>
            <w:vAlign w:val="center"/>
          </w:tcPr>
          <w:p w14:paraId="21496AD7">
            <w:pPr>
              <w:pStyle w:val="33"/>
              <w:rPr>
                <w:color w:val="auto"/>
              </w:rPr>
            </w:pPr>
            <w:r>
              <w:rPr>
                <w:rFonts w:hint="eastAsia"/>
                <w:color w:val="auto"/>
              </w:rPr>
              <w:t>0</w:t>
            </w:r>
          </w:p>
        </w:tc>
        <w:tc>
          <w:tcPr>
            <w:tcW w:w="992" w:type="dxa"/>
            <w:noWrap/>
            <w:vAlign w:val="center"/>
          </w:tcPr>
          <w:p w14:paraId="18948350">
            <w:pPr>
              <w:pStyle w:val="33"/>
              <w:rPr>
                <w:color w:val="auto"/>
              </w:rPr>
            </w:pPr>
            <w:r>
              <w:rPr>
                <w:rFonts w:hint="eastAsia"/>
                <w:color w:val="auto"/>
              </w:rPr>
              <w:t>0</w:t>
            </w:r>
          </w:p>
        </w:tc>
        <w:tc>
          <w:tcPr>
            <w:tcW w:w="993" w:type="dxa"/>
            <w:noWrap/>
            <w:vAlign w:val="center"/>
          </w:tcPr>
          <w:p w14:paraId="147E594D">
            <w:pPr>
              <w:pStyle w:val="33"/>
              <w:rPr>
                <w:color w:val="auto"/>
              </w:rPr>
            </w:pPr>
            <w:r>
              <w:rPr>
                <w:rFonts w:hint="eastAsia"/>
                <w:color w:val="auto"/>
              </w:rPr>
              <w:t>0</w:t>
            </w:r>
          </w:p>
        </w:tc>
      </w:tr>
      <w:tr w14:paraId="21410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6AAA9413">
            <w:pPr>
              <w:pStyle w:val="33"/>
              <w:rPr>
                <w:color w:val="auto"/>
              </w:rPr>
            </w:pPr>
            <w:r>
              <w:rPr>
                <w:rFonts w:hint="eastAsia"/>
                <w:color w:val="auto"/>
              </w:rPr>
              <w:t>P8</w:t>
            </w:r>
          </w:p>
        </w:tc>
        <w:tc>
          <w:tcPr>
            <w:tcW w:w="1276" w:type="dxa"/>
            <w:vMerge w:val="continue"/>
            <w:noWrap/>
            <w:vAlign w:val="center"/>
          </w:tcPr>
          <w:p w14:paraId="2CFF8940">
            <w:pPr>
              <w:pStyle w:val="33"/>
              <w:rPr>
                <w:color w:val="auto"/>
              </w:rPr>
            </w:pPr>
          </w:p>
        </w:tc>
        <w:tc>
          <w:tcPr>
            <w:tcW w:w="851" w:type="dxa"/>
            <w:noWrap/>
          </w:tcPr>
          <w:p w14:paraId="624128C0">
            <w:pPr>
              <w:pStyle w:val="33"/>
              <w:rPr>
                <w:color w:val="auto"/>
              </w:rPr>
            </w:pPr>
            <w:r>
              <w:rPr>
                <w:rFonts w:hint="eastAsia"/>
                <w:color w:val="auto"/>
              </w:rPr>
              <w:t>680</w:t>
            </w:r>
          </w:p>
        </w:tc>
        <w:tc>
          <w:tcPr>
            <w:tcW w:w="708" w:type="dxa"/>
            <w:noWrap/>
            <w:vAlign w:val="center"/>
          </w:tcPr>
          <w:p w14:paraId="78C5390B">
            <w:pPr>
              <w:pStyle w:val="33"/>
              <w:rPr>
                <w:color w:val="auto"/>
              </w:rPr>
            </w:pPr>
            <w:r>
              <w:rPr>
                <w:rFonts w:hint="eastAsia"/>
                <w:color w:val="auto"/>
              </w:rPr>
              <w:t>767</w:t>
            </w:r>
          </w:p>
        </w:tc>
        <w:tc>
          <w:tcPr>
            <w:tcW w:w="851" w:type="dxa"/>
            <w:noWrap/>
            <w:vAlign w:val="center"/>
          </w:tcPr>
          <w:p w14:paraId="412A5F65">
            <w:pPr>
              <w:pStyle w:val="33"/>
              <w:rPr>
                <w:color w:val="auto"/>
              </w:rPr>
            </w:pPr>
            <w:r>
              <w:rPr>
                <w:rFonts w:hint="eastAsia"/>
                <w:color w:val="auto"/>
              </w:rPr>
              <w:t>16</w:t>
            </w:r>
          </w:p>
        </w:tc>
        <w:tc>
          <w:tcPr>
            <w:tcW w:w="709" w:type="dxa"/>
            <w:noWrap/>
          </w:tcPr>
          <w:p w14:paraId="119A7E09">
            <w:pPr>
              <w:pStyle w:val="33"/>
              <w:rPr>
                <w:color w:val="auto"/>
              </w:rPr>
            </w:pPr>
            <w:r>
              <w:rPr>
                <w:rFonts w:hint="eastAsia"/>
                <w:color w:val="auto"/>
              </w:rPr>
              <w:t>24</w:t>
            </w:r>
          </w:p>
        </w:tc>
        <w:tc>
          <w:tcPr>
            <w:tcW w:w="850" w:type="dxa"/>
            <w:noWrap/>
          </w:tcPr>
          <w:p w14:paraId="6EE1D8A9">
            <w:pPr>
              <w:pStyle w:val="33"/>
              <w:rPr>
                <w:color w:val="auto"/>
              </w:rPr>
            </w:pPr>
            <w:r>
              <w:rPr>
                <w:color w:val="auto"/>
              </w:rPr>
              <w:t>0.6</w:t>
            </w:r>
          </w:p>
        </w:tc>
        <w:tc>
          <w:tcPr>
            <w:tcW w:w="851" w:type="dxa"/>
            <w:noWrap/>
          </w:tcPr>
          <w:p w14:paraId="6941D0D7">
            <w:pPr>
              <w:pStyle w:val="33"/>
              <w:rPr>
                <w:color w:val="auto"/>
              </w:rPr>
            </w:pPr>
            <w:r>
              <w:rPr>
                <w:color w:val="auto"/>
              </w:rPr>
              <w:t>8.41</w:t>
            </w:r>
          </w:p>
        </w:tc>
        <w:tc>
          <w:tcPr>
            <w:tcW w:w="708" w:type="dxa"/>
            <w:noWrap/>
            <w:vAlign w:val="center"/>
          </w:tcPr>
          <w:p w14:paraId="1CF5B547">
            <w:pPr>
              <w:pStyle w:val="33"/>
              <w:rPr>
                <w:color w:val="auto"/>
              </w:rPr>
            </w:pPr>
            <w:r>
              <w:rPr>
                <w:rFonts w:hint="eastAsia"/>
                <w:color w:val="auto"/>
              </w:rPr>
              <w:t>80</w:t>
            </w:r>
          </w:p>
        </w:tc>
        <w:tc>
          <w:tcPr>
            <w:tcW w:w="851" w:type="dxa"/>
            <w:noWrap/>
            <w:vAlign w:val="center"/>
          </w:tcPr>
          <w:p w14:paraId="19383139">
            <w:pPr>
              <w:pStyle w:val="33"/>
              <w:rPr>
                <w:color w:val="auto"/>
              </w:rPr>
            </w:pPr>
            <w:r>
              <w:rPr>
                <w:rFonts w:hint="eastAsia"/>
                <w:color w:val="auto"/>
              </w:rPr>
              <w:t>8160</w:t>
            </w:r>
          </w:p>
        </w:tc>
        <w:tc>
          <w:tcPr>
            <w:tcW w:w="709" w:type="dxa"/>
            <w:noWrap/>
            <w:vAlign w:val="center"/>
          </w:tcPr>
          <w:p w14:paraId="1BC515AD">
            <w:pPr>
              <w:pStyle w:val="33"/>
              <w:rPr>
                <w:color w:val="auto"/>
              </w:rPr>
            </w:pPr>
            <w:r>
              <w:rPr>
                <w:rFonts w:hint="eastAsia"/>
                <w:color w:val="auto"/>
              </w:rPr>
              <w:t>0.05</w:t>
            </w:r>
          </w:p>
        </w:tc>
        <w:tc>
          <w:tcPr>
            <w:tcW w:w="708" w:type="dxa"/>
            <w:noWrap/>
            <w:vAlign w:val="center"/>
          </w:tcPr>
          <w:p w14:paraId="72DD49A3">
            <w:pPr>
              <w:pStyle w:val="33"/>
              <w:rPr>
                <w:color w:val="auto"/>
              </w:rPr>
            </w:pPr>
            <w:r>
              <w:rPr>
                <w:rFonts w:hint="eastAsia"/>
                <w:color w:val="auto"/>
              </w:rPr>
              <w:t>0.29</w:t>
            </w:r>
          </w:p>
        </w:tc>
        <w:tc>
          <w:tcPr>
            <w:tcW w:w="709" w:type="dxa"/>
            <w:noWrap/>
            <w:vAlign w:val="center"/>
          </w:tcPr>
          <w:p w14:paraId="2E5EF078">
            <w:pPr>
              <w:pStyle w:val="33"/>
              <w:rPr>
                <w:color w:val="auto"/>
              </w:rPr>
            </w:pPr>
            <w:r>
              <w:rPr>
                <w:rFonts w:hint="eastAsia"/>
                <w:color w:val="auto"/>
              </w:rPr>
              <w:t>0.028</w:t>
            </w:r>
          </w:p>
        </w:tc>
        <w:tc>
          <w:tcPr>
            <w:tcW w:w="851" w:type="dxa"/>
            <w:noWrap/>
            <w:vAlign w:val="center"/>
          </w:tcPr>
          <w:p w14:paraId="0B3C07FC">
            <w:pPr>
              <w:pStyle w:val="33"/>
              <w:rPr>
                <w:color w:val="auto"/>
              </w:rPr>
            </w:pPr>
            <w:r>
              <w:rPr>
                <w:rFonts w:hint="eastAsia"/>
                <w:color w:val="auto"/>
              </w:rPr>
              <w:t>0.014</w:t>
            </w:r>
          </w:p>
        </w:tc>
        <w:tc>
          <w:tcPr>
            <w:tcW w:w="850" w:type="dxa"/>
            <w:noWrap/>
            <w:vAlign w:val="center"/>
          </w:tcPr>
          <w:p w14:paraId="190B009A">
            <w:pPr>
              <w:pStyle w:val="33"/>
              <w:rPr>
                <w:color w:val="auto"/>
              </w:rPr>
            </w:pPr>
            <w:r>
              <w:rPr>
                <w:rFonts w:hint="eastAsia"/>
                <w:color w:val="auto"/>
              </w:rPr>
              <w:t>0</w:t>
            </w:r>
          </w:p>
        </w:tc>
        <w:tc>
          <w:tcPr>
            <w:tcW w:w="992" w:type="dxa"/>
            <w:noWrap/>
            <w:vAlign w:val="center"/>
          </w:tcPr>
          <w:p w14:paraId="5622D44F">
            <w:pPr>
              <w:pStyle w:val="33"/>
              <w:rPr>
                <w:color w:val="auto"/>
              </w:rPr>
            </w:pPr>
            <w:r>
              <w:rPr>
                <w:rFonts w:hint="eastAsia"/>
                <w:color w:val="auto"/>
              </w:rPr>
              <w:t>0</w:t>
            </w:r>
          </w:p>
        </w:tc>
        <w:tc>
          <w:tcPr>
            <w:tcW w:w="993" w:type="dxa"/>
            <w:noWrap/>
            <w:vAlign w:val="center"/>
          </w:tcPr>
          <w:p w14:paraId="1137B5AA">
            <w:pPr>
              <w:pStyle w:val="33"/>
              <w:rPr>
                <w:color w:val="auto"/>
              </w:rPr>
            </w:pPr>
            <w:r>
              <w:rPr>
                <w:rFonts w:hint="eastAsia"/>
                <w:color w:val="auto"/>
              </w:rPr>
              <w:t>0</w:t>
            </w:r>
          </w:p>
        </w:tc>
      </w:tr>
      <w:tr w14:paraId="35788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40AA5EA6">
            <w:pPr>
              <w:pStyle w:val="33"/>
              <w:rPr>
                <w:color w:val="auto"/>
              </w:rPr>
            </w:pPr>
            <w:r>
              <w:rPr>
                <w:rFonts w:hint="eastAsia"/>
                <w:color w:val="auto"/>
              </w:rPr>
              <w:t>P9</w:t>
            </w:r>
          </w:p>
        </w:tc>
        <w:tc>
          <w:tcPr>
            <w:tcW w:w="1276" w:type="dxa"/>
            <w:vMerge w:val="continue"/>
            <w:noWrap/>
            <w:vAlign w:val="center"/>
          </w:tcPr>
          <w:p w14:paraId="62FDCBE9">
            <w:pPr>
              <w:pStyle w:val="33"/>
              <w:rPr>
                <w:color w:val="auto"/>
              </w:rPr>
            </w:pPr>
          </w:p>
        </w:tc>
        <w:tc>
          <w:tcPr>
            <w:tcW w:w="851" w:type="dxa"/>
            <w:noWrap/>
          </w:tcPr>
          <w:p w14:paraId="3D84A008">
            <w:pPr>
              <w:pStyle w:val="33"/>
              <w:rPr>
                <w:color w:val="auto"/>
              </w:rPr>
            </w:pPr>
            <w:r>
              <w:rPr>
                <w:rFonts w:hint="eastAsia"/>
                <w:color w:val="auto"/>
              </w:rPr>
              <w:t>680</w:t>
            </w:r>
          </w:p>
        </w:tc>
        <w:tc>
          <w:tcPr>
            <w:tcW w:w="708" w:type="dxa"/>
            <w:noWrap/>
            <w:vAlign w:val="center"/>
          </w:tcPr>
          <w:p w14:paraId="23FC2C73">
            <w:pPr>
              <w:pStyle w:val="33"/>
              <w:rPr>
                <w:color w:val="auto"/>
              </w:rPr>
            </w:pPr>
            <w:r>
              <w:rPr>
                <w:rFonts w:hint="eastAsia"/>
                <w:color w:val="auto"/>
              </w:rPr>
              <w:t>772</w:t>
            </w:r>
          </w:p>
        </w:tc>
        <w:tc>
          <w:tcPr>
            <w:tcW w:w="851" w:type="dxa"/>
            <w:noWrap/>
            <w:vAlign w:val="center"/>
          </w:tcPr>
          <w:p w14:paraId="1C41ED94">
            <w:pPr>
              <w:pStyle w:val="33"/>
              <w:rPr>
                <w:color w:val="auto"/>
              </w:rPr>
            </w:pPr>
            <w:r>
              <w:rPr>
                <w:rFonts w:hint="eastAsia"/>
                <w:color w:val="auto"/>
              </w:rPr>
              <w:t>16</w:t>
            </w:r>
          </w:p>
        </w:tc>
        <w:tc>
          <w:tcPr>
            <w:tcW w:w="709" w:type="dxa"/>
            <w:noWrap/>
          </w:tcPr>
          <w:p w14:paraId="28440A47">
            <w:pPr>
              <w:pStyle w:val="33"/>
              <w:rPr>
                <w:color w:val="auto"/>
              </w:rPr>
            </w:pPr>
            <w:r>
              <w:rPr>
                <w:rFonts w:hint="eastAsia"/>
                <w:color w:val="auto"/>
              </w:rPr>
              <w:t>24</w:t>
            </w:r>
          </w:p>
        </w:tc>
        <w:tc>
          <w:tcPr>
            <w:tcW w:w="850" w:type="dxa"/>
            <w:noWrap/>
          </w:tcPr>
          <w:p w14:paraId="554B1285">
            <w:pPr>
              <w:pStyle w:val="33"/>
              <w:rPr>
                <w:color w:val="auto"/>
              </w:rPr>
            </w:pPr>
            <w:r>
              <w:rPr>
                <w:color w:val="auto"/>
              </w:rPr>
              <w:t>0.6</w:t>
            </w:r>
          </w:p>
        </w:tc>
        <w:tc>
          <w:tcPr>
            <w:tcW w:w="851" w:type="dxa"/>
            <w:noWrap/>
          </w:tcPr>
          <w:p w14:paraId="3C125228">
            <w:pPr>
              <w:pStyle w:val="33"/>
              <w:rPr>
                <w:color w:val="auto"/>
              </w:rPr>
            </w:pPr>
            <w:r>
              <w:rPr>
                <w:color w:val="auto"/>
              </w:rPr>
              <w:t>8.41</w:t>
            </w:r>
          </w:p>
        </w:tc>
        <w:tc>
          <w:tcPr>
            <w:tcW w:w="708" w:type="dxa"/>
            <w:noWrap/>
            <w:vAlign w:val="center"/>
          </w:tcPr>
          <w:p w14:paraId="25E69A34">
            <w:pPr>
              <w:pStyle w:val="33"/>
              <w:rPr>
                <w:color w:val="auto"/>
              </w:rPr>
            </w:pPr>
            <w:r>
              <w:rPr>
                <w:rFonts w:hint="eastAsia"/>
                <w:color w:val="auto"/>
              </w:rPr>
              <w:t>80</w:t>
            </w:r>
          </w:p>
        </w:tc>
        <w:tc>
          <w:tcPr>
            <w:tcW w:w="851" w:type="dxa"/>
            <w:noWrap/>
            <w:vAlign w:val="center"/>
          </w:tcPr>
          <w:p w14:paraId="1AB69648">
            <w:pPr>
              <w:pStyle w:val="33"/>
              <w:rPr>
                <w:color w:val="auto"/>
              </w:rPr>
            </w:pPr>
            <w:r>
              <w:rPr>
                <w:rFonts w:hint="eastAsia"/>
                <w:color w:val="auto"/>
              </w:rPr>
              <w:t>8160</w:t>
            </w:r>
          </w:p>
        </w:tc>
        <w:tc>
          <w:tcPr>
            <w:tcW w:w="709" w:type="dxa"/>
            <w:noWrap/>
            <w:vAlign w:val="center"/>
          </w:tcPr>
          <w:p w14:paraId="69B01661">
            <w:pPr>
              <w:pStyle w:val="33"/>
              <w:rPr>
                <w:color w:val="auto"/>
              </w:rPr>
            </w:pPr>
            <w:r>
              <w:rPr>
                <w:rFonts w:hint="eastAsia"/>
                <w:color w:val="auto"/>
              </w:rPr>
              <w:t>0.05</w:t>
            </w:r>
          </w:p>
        </w:tc>
        <w:tc>
          <w:tcPr>
            <w:tcW w:w="708" w:type="dxa"/>
            <w:noWrap/>
            <w:vAlign w:val="center"/>
          </w:tcPr>
          <w:p w14:paraId="2357795B">
            <w:pPr>
              <w:pStyle w:val="33"/>
              <w:rPr>
                <w:color w:val="auto"/>
              </w:rPr>
            </w:pPr>
            <w:r>
              <w:rPr>
                <w:rFonts w:hint="eastAsia"/>
                <w:color w:val="auto"/>
              </w:rPr>
              <w:t>0.29</w:t>
            </w:r>
          </w:p>
        </w:tc>
        <w:tc>
          <w:tcPr>
            <w:tcW w:w="709" w:type="dxa"/>
            <w:noWrap/>
            <w:vAlign w:val="center"/>
          </w:tcPr>
          <w:p w14:paraId="6DD76409">
            <w:pPr>
              <w:pStyle w:val="33"/>
              <w:rPr>
                <w:color w:val="auto"/>
              </w:rPr>
            </w:pPr>
            <w:r>
              <w:rPr>
                <w:rFonts w:hint="eastAsia"/>
                <w:color w:val="auto"/>
              </w:rPr>
              <w:t>0.028</w:t>
            </w:r>
          </w:p>
        </w:tc>
        <w:tc>
          <w:tcPr>
            <w:tcW w:w="851" w:type="dxa"/>
            <w:noWrap/>
            <w:vAlign w:val="center"/>
          </w:tcPr>
          <w:p w14:paraId="7B258E26">
            <w:pPr>
              <w:pStyle w:val="33"/>
              <w:rPr>
                <w:color w:val="auto"/>
              </w:rPr>
            </w:pPr>
            <w:r>
              <w:rPr>
                <w:rFonts w:hint="eastAsia"/>
                <w:color w:val="auto"/>
              </w:rPr>
              <w:t>0.014</w:t>
            </w:r>
          </w:p>
        </w:tc>
        <w:tc>
          <w:tcPr>
            <w:tcW w:w="850" w:type="dxa"/>
            <w:noWrap/>
            <w:vAlign w:val="center"/>
          </w:tcPr>
          <w:p w14:paraId="6ACB42C2">
            <w:pPr>
              <w:pStyle w:val="33"/>
              <w:rPr>
                <w:color w:val="auto"/>
              </w:rPr>
            </w:pPr>
            <w:r>
              <w:rPr>
                <w:rFonts w:hint="eastAsia"/>
                <w:color w:val="auto"/>
              </w:rPr>
              <w:t>0</w:t>
            </w:r>
          </w:p>
        </w:tc>
        <w:tc>
          <w:tcPr>
            <w:tcW w:w="992" w:type="dxa"/>
            <w:noWrap/>
            <w:vAlign w:val="center"/>
          </w:tcPr>
          <w:p w14:paraId="12CD0F87">
            <w:pPr>
              <w:pStyle w:val="33"/>
              <w:rPr>
                <w:color w:val="auto"/>
              </w:rPr>
            </w:pPr>
            <w:r>
              <w:rPr>
                <w:rFonts w:hint="eastAsia"/>
                <w:color w:val="auto"/>
              </w:rPr>
              <w:t>0</w:t>
            </w:r>
          </w:p>
        </w:tc>
        <w:tc>
          <w:tcPr>
            <w:tcW w:w="993" w:type="dxa"/>
            <w:noWrap/>
            <w:vAlign w:val="center"/>
          </w:tcPr>
          <w:p w14:paraId="5FD97C0B">
            <w:pPr>
              <w:pStyle w:val="33"/>
              <w:rPr>
                <w:color w:val="auto"/>
              </w:rPr>
            </w:pPr>
            <w:r>
              <w:rPr>
                <w:rFonts w:hint="eastAsia"/>
                <w:color w:val="auto"/>
              </w:rPr>
              <w:t>0</w:t>
            </w:r>
          </w:p>
        </w:tc>
      </w:tr>
      <w:tr w14:paraId="010F2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2E423004">
            <w:pPr>
              <w:pStyle w:val="33"/>
              <w:rPr>
                <w:color w:val="auto"/>
              </w:rPr>
            </w:pPr>
            <w:r>
              <w:rPr>
                <w:rFonts w:hint="eastAsia"/>
                <w:color w:val="auto"/>
              </w:rPr>
              <w:t>P10</w:t>
            </w:r>
          </w:p>
        </w:tc>
        <w:tc>
          <w:tcPr>
            <w:tcW w:w="1276" w:type="dxa"/>
            <w:vMerge w:val="continue"/>
            <w:noWrap/>
            <w:vAlign w:val="center"/>
          </w:tcPr>
          <w:p w14:paraId="3C38D8BA">
            <w:pPr>
              <w:pStyle w:val="33"/>
              <w:rPr>
                <w:color w:val="auto"/>
              </w:rPr>
            </w:pPr>
          </w:p>
        </w:tc>
        <w:tc>
          <w:tcPr>
            <w:tcW w:w="851" w:type="dxa"/>
            <w:noWrap/>
          </w:tcPr>
          <w:p w14:paraId="6BDF3827">
            <w:pPr>
              <w:pStyle w:val="33"/>
              <w:rPr>
                <w:color w:val="auto"/>
              </w:rPr>
            </w:pPr>
            <w:r>
              <w:rPr>
                <w:rFonts w:hint="eastAsia"/>
                <w:color w:val="auto"/>
              </w:rPr>
              <w:t>680</w:t>
            </w:r>
          </w:p>
        </w:tc>
        <w:tc>
          <w:tcPr>
            <w:tcW w:w="708" w:type="dxa"/>
            <w:noWrap/>
            <w:vAlign w:val="center"/>
          </w:tcPr>
          <w:p w14:paraId="6D7A0F2D">
            <w:pPr>
              <w:pStyle w:val="33"/>
              <w:rPr>
                <w:color w:val="auto"/>
              </w:rPr>
            </w:pPr>
            <w:r>
              <w:rPr>
                <w:rFonts w:hint="eastAsia"/>
                <w:color w:val="auto"/>
              </w:rPr>
              <w:t>777</w:t>
            </w:r>
          </w:p>
        </w:tc>
        <w:tc>
          <w:tcPr>
            <w:tcW w:w="851" w:type="dxa"/>
            <w:noWrap/>
            <w:vAlign w:val="center"/>
          </w:tcPr>
          <w:p w14:paraId="7EA51779">
            <w:pPr>
              <w:pStyle w:val="33"/>
              <w:rPr>
                <w:color w:val="auto"/>
              </w:rPr>
            </w:pPr>
            <w:r>
              <w:rPr>
                <w:rFonts w:hint="eastAsia"/>
                <w:color w:val="auto"/>
              </w:rPr>
              <w:t>16</w:t>
            </w:r>
          </w:p>
        </w:tc>
        <w:tc>
          <w:tcPr>
            <w:tcW w:w="709" w:type="dxa"/>
            <w:noWrap/>
            <w:vAlign w:val="center"/>
          </w:tcPr>
          <w:p w14:paraId="1E826CFA">
            <w:pPr>
              <w:pStyle w:val="33"/>
              <w:rPr>
                <w:color w:val="auto"/>
              </w:rPr>
            </w:pPr>
            <w:r>
              <w:rPr>
                <w:rFonts w:hint="eastAsia"/>
                <w:color w:val="auto"/>
              </w:rPr>
              <w:t>26</w:t>
            </w:r>
          </w:p>
        </w:tc>
        <w:tc>
          <w:tcPr>
            <w:tcW w:w="850" w:type="dxa"/>
            <w:noWrap/>
          </w:tcPr>
          <w:p w14:paraId="0C9B7B94">
            <w:pPr>
              <w:pStyle w:val="33"/>
              <w:rPr>
                <w:color w:val="auto"/>
              </w:rPr>
            </w:pPr>
            <w:r>
              <w:rPr>
                <w:color w:val="auto"/>
              </w:rPr>
              <w:t>0.8</w:t>
            </w:r>
          </w:p>
        </w:tc>
        <w:tc>
          <w:tcPr>
            <w:tcW w:w="851" w:type="dxa"/>
            <w:noWrap/>
          </w:tcPr>
          <w:p w14:paraId="43E09E8E">
            <w:pPr>
              <w:pStyle w:val="33"/>
              <w:rPr>
                <w:color w:val="auto"/>
              </w:rPr>
            </w:pPr>
            <w:r>
              <w:rPr>
                <w:color w:val="auto"/>
              </w:rPr>
              <w:t>4.73</w:t>
            </w:r>
          </w:p>
        </w:tc>
        <w:tc>
          <w:tcPr>
            <w:tcW w:w="708" w:type="dxa"/>
            <w:noWrap/>
            <w:vAlign w:val="center"/>
          </w:tcPr>
          <w:p w14:paraId="1B2F737F">
            <w:pPr>
              <w:pStyle w:val="33"/>
              <w:rPr>
                <w:color w:val="auto"/>
              </w:rPr>
            </w:pPr>
            <w:r>
              <w:rPr>
                <w:rFonts w:hint="eastAsia"/>
                <w:color w:val="auto"/>
              </w:rPr>
              <w:t>80</w:t>
            </w:r>
          </w:p>
        </w:tc>
        <w:tc>
          <w:tcPr>
            <w:tcW w:w="851" w:type="dxa"/>
            <w:noWrap/>
            <w:vAlign w:val="center"/>
          </w:tcPr>
          <w:p w14:paraId="066E94AD">
            <w:pPr>
              <w:pStyle w:val="33"/>
              <w:rPr>
                <w:color w:val="auto"/>
              </w:rPr>
            </w:pPr>
            <w:r>
              <w:rPr>
                <w:rFonts w:hint="eastAsia"/>
                <w:color w:val="auto"/>
              </w:rPr>
              <w:t>8160</w:t>
            </w:r>
          </w:p>
        </w:tc>
        <w:tc>
          <w:tcPr>
            <w:tcW w:w="709" w:type="dxa"/>
            <w:noWrap/>
            <w:vAlign w:val="center"/>
          </w:tcPr>
          <w:p w14:paraId="5B4A538A">
            <w:pPr>
              <w:pStyle w:val="33"/>
              <w:rPr>
                <w:color w:val="auto"/>
              </w:rPr>
            </w:pPr>
            <w:r>
              <w:rPr>
                <w:rFonts w:hint="eastAsia"/>
                <w:color w:val="auto"/>
              </w:rPr>
              <w:t>0.05</w:t>
            </w:r>
          </w:p>
        </w:tc>
        <w:tc>
          <w:tcPr>
            <w:tcW w:w="708" w:type="dxa"/>
            <w:noWrap/>
            <w:vAlign w:val="center"/>
          </w:tcPr>
          <w:p w14:paraId="4D73B2CB">
            <w:pPr>
              <w:pStyle w:val="33"/>
              <w:rPr>
                <w:color w:val="auto"/>
              </w:rPr>
            </w:pPr>
            <w:r>
              <w:rPr>
                <w:rFonts w:hint="eastAsia"/>
                <w:color w:val="auto"/>
              </w:rPr>
              <w:t>0.29</w:t>
            </w:r>
          </w:p>
        </w:tc>
        <w:tc>
          <w:tcPr>
            <w:tcW w:w="709" w:type="dxa"/>
            <w:noWrap/>
            <w:vAlign w:val="center"/>
          </w:tcPr>
          <w:p w14:paraId="6A9EF188">
            <w:pPr>
              <w:pStyle w:val="33"/>
              <w:rPr>
                <w:color w:val="auto"/>
              </w:rPr>
            </w:pPr>
            <w:r>
              <w:rPr>
                <w:rFonts w:hint="eastAsia"/>
                <w:color w:val="auto"/>
              </w:rPr>
              <w:t>0.028</w:t>
            </w:r>
          </w:p>
        </w:tc>
        <w:tc>
          <w:tcPr>
            <w:tcW w:w="851" w:type="dxa"/>
            <w:noWrap/>
            <w:vAlign w:val="center"/>
          </w:tcPr>
          <w:p w14:paraId="6EA4DBCD">
            <w:pPr>
              <w:pStyle w:val="33"/>
              <w:rPr>
                <w:color w:val="auto"/>
              </w:rPr>
            </w:pPr>
            <w:r>
              <w:rPr>
                <w:rFonts w:hint="eastAsia"/>
                <w:color w:val="auto"/>
              </w:rPr>
              <w:t>0.014</w:t>
            </w:r>
          </w:p>
        </w:tc>
        <w:tc>
          <w:tcPr>
            <w:tcW w:w="850" w:type="dxa"/>
            <w:noWrap/>
            <w:vAlign w:val="center"/>
          </w:tcPr>
          <w:p w14:paraId="459128CE">
            <w:pPr>
              <w:pStyle w:val="33"/>
              <w:rPr>
                <w:color w:val="auto"/>
              </w:rPr>
            </w:pPr>
            <w:r>
              <w:rPr>
                <w:rFonts w:hint="eastAsia"/>
                <w:color w:val="auto"/>
              </w:rPr>
              <w:t>0</w:t>
            </w:r>
          </w:p>
        </w:tc>
        <w:tc>
          <w:tcPr>
            <w:tcW w:w="992" w:type="dxa"/>
            <w:noWrap/>
            <w:vAlign w:val="center"/>
          </w:tcPr>
          <w:p w14:paraId="6CD73EE0">
            <w:pPr>
              <w:pStyle w:val="33"/>
              <w:rPr>
                <w:color w:val="auto"/>
              </w:rPr>
            </w:pPr>
            <w:r>
              <w:rPr>
                <w:rFonts w:hint="eastAsia"/>
                <w:color w:val="auto"/>
              </w:rPr>
              <w:t>0</w:t>
            </w:r>
          </w:p>
        </w:tc>
        <w:tc>
          <w:tcPr>
            <w:tcW w:w="993" w:type="dxa"/>
            <w:noWrap/>
            <w:vAlign w:val="center"/>
          </w:tcPr>
          <w:p w14:paraId="189401A0">
            <w:pPr>
              <w:pStyle w:val="33"/>
              <w:rPr>
                <w:color w:val="auto"/>
              </w:rPr>
            </w:pPr>
            <w:r>
              <w:rPr>
                <w:rFonts w:hint="eastAsia"/>
                <w:color w:val="auto"/>
              </w:rPr>
              <w:t>0</w:t>
            </w:r>
          </w:p>
        </w:tc>
      </w:tr>
      <w:tr w14:paraId="1B6DF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02B16D62">
            <w:pPr>
              <w:pStyle w:val="33"/>
              <w:rPr>
                <w:color w:val="auto"/>
              </w:rPr>
            </w:pPr>
            <w:r>
              <w:rPr>
                <w:rFonts w:hint="eastAsia"/>
                <w:color w:val="auto"/>
              </w:rPr>
              <w:t>P11</w:t>
            </w:r>
          </w:p>
        </w:tc>
        <w:tc>
          <w:tcPr>
            <w:tcW w:w="1276" w:type="dxa"/>
            <w:vMerge w:val="restart"/>
            <w:noWrap/>
            <w:vAlign w:val="center"/>
          </w:tcPr>
          <w:p w14:paraId="6BBDFD6C">
            <w:pPr>
              <w:pStyle w:val="33"/>
              <w:rPr>
                <w:color w:val="auto"/>
              </w:rPr>
            </w:pPr>
            <w:r>
              <w:rPr>
                <w:rFonts w:hint="eastAsia"/>
                <w:color w:val="auto"/>
              </w:rPr>
              <w:t>1#造纸车间加热废气</w:t>
            </w:r>
          </w:p>
        </w:tc>
        <w:tc>
          <w:tcPr>
            <w:tcW w:w="851" w:type="dxa"/>
            <w:noWrap/>
          </w:tcPr>
          <w:p w14:paraId="72B01A9C">
            <w:pPr>
              <w:pStyle w:val="33"/>
              <w:rPr>
                <w:color w:val="auto"/>
              </w:rPr>
            </w:pPr>
            <w:r>
              <w:rPr>
                <w:rFonts w:hint="eastAsia"/>
                <w:color w:val="auto"/>
              </w:rPr>
              <w:t>608</w:t>
            </w:r>
          </w:p>
        </w:tc>
        <w:tc>
          <w:tcPr>
            <w:tcW w:w="708" w:type="dxa"/>
            <w:noWrap/>
            <w:vAlign w:val="center"/>
          </w:tcPr>
          <w:p w14:paraId="68F9C5AF">
            <w:pPr>
              <w:pStyle w:val="33"/>
              <w:rPr>
                <w:color w:val="auto"/>
              </w:rPr>
            </w:pPr>
            <w:r>
              <w:rPr>
                <w:rFonts w:hint="eastAsia"/>
                <w:color w:val="auto"/>
              </w:rPr>
              <w:t>831</w:t>
            </w:r>
          </w:p>
        </w:tc>
        <w:tc>
          <w:tcPr>
            <w:tcW w:w="851" w:type="dxa"/>
            <w:noWrap/>
            <w:vAlign w:val="center"/>
          </w:tcPr>
          <w:p w14:paraId="5121C3E2">
            <w:pPr>
              <w:pStyle w:val="33"/>
              <w:rPr>
                <w:color w:val="auto"/>
              </w:rPr>
            </w:pPr>
            <w:r>
              <w:rPr>
                <w:rFonts w:hint="eastAsia"/>
                <w:color w:val="auto"/>
              </w:rPr>
              <w:t>16</w:t>
            </w:r>
          </w:p>
        </w:tc>
        <w:tc>
          <w:tcPr>
            <w:tcW w:w="709" w:type="dxa"/>
            <w:noWrap/>
            <w:vAlign w:val="center"/>
          </w:tcPr>
          <w:p w14:paraId="176491DE">
            <w:pPr>
              <w:pStyle w:val="33"/>
              <w:rPr>
                <w:color w:val="auto"/>
              </w:rPr>
            </w:pPr>
            <w:r>
              <w:rPr>
                <w:rFonts w:hint="eastAsia"/>
                <w:color w:val="auto"/>
              </w:rPr>
              <w:t>20</w:t>
            </w:r>
          </w:p>
        </w:tc>
        <w:tc>
          <w:tcPr>
            <w:tcW w:w="850" w:type="dxa"/>
            <w:noWrap/>
            <w:vAlign w:val="center"/>
          </w:tcPr>
          <w:p w14:paraId="083CA02F">
            <w:pPr>
              <w:pStyle w:val="33"/>
              <w:rPr>
                <w:color w:val="auto"/>
              </w:rPr>
            </w:pPr>
            <w:r>
              <w:rPr>
                <w:color w:val="auto"/>
              </w:rPr>
              <w:t>0.3</w:t>
            </w:r>
          </w:p>
        </w:tc>
        <w:tc>
          <w:tcPr>
            <w:tcW w:w="851" w:type="dxa"/>
            <w:noWrap/>
          </w:tcPr>
          <w:p w14:paraId="18D9D6D6">
            <w:pPr>
              <w:pStyle w:val="33"/>
              <w:rPr>
                <w:color w:val="auto"/>
              </w:rPr>
            </w:pPr>
            <w:r>
              <w:rPr>
                <w:color w:val="auto"/>
              </w:rPr>
              <w:t>2.43</w:t>
            </w:r>
          </w:p>
        </w:tc>
        <w:tc>
          <w:tcPr>
            <w:tcW w:w="708" w:type="dxa"/>
            <w:noWrap/>
            <w:vAlign w:val="center"/>
          </w:tcPr>
          <w:p w14:paraId="78138636">
            <w:pPr>
              <w:pStyle w:val="33"/>
              <w:rPr>
                <w:color w:val="auto"/>
              </w:rPr>
            </w:pPr>
            <w:r>
              <w:rPr>
                <w:rFonts w:hint="eastAsia"/>
                <w:color w:val="auto"/>
              </w:rPr>
              <w:t>60</w:t>
            </w:r>
          </w:p>
        </w:tc>
        <w:tc>
          <w:tcPr>
            <w:tcW w:w="851" w:type="dxa"/>
            <w:noWrap/>
            <w:vAlign w:val="center"/>
          </w:tcPr>
          <w:p w14:paraId="2010C7D8">
            <w:pPr>
              <w:pStyle w:val="33"/>
              <w:rPr>
                <w:color w:val="auto"/>
              </w:rPr>
            </w:pPr>
            <w:r>
              <w:rPr>
                <w:color w:val="auto"/>
              </w:rPr>
              <w:t>1360</w:t>
            </w:r>
          </w:p>
        </w:tc>
        <w:tc>
          <w:tcPr>
            <w:tcW w:w="709" w:type="dxa"/>
            <w:noWrap/>
            <w:vAlign w:val="center"/>
          </w:tcPr>
          <w:p w14:paraId="3ECF779F">
            <w:pPr>
              <w:pStyle w:val="33"/>
              <w:rPr>
                <w:color w:val="auto"/>
              </w:rPr>
            </w:pPr>
            <w:r>
              <w:rPr>
                <w:color w:val="auto"/>
              </w:rPr>
              <w:t>0.</w:t>
            </w:r>
            <w:r>
              <w:rPr>
                <w:rFonts w:hint="eastAsia"/>
                <w:color w:val="auto"/>
              </w:rPr>
              <w:t>07</w:t>
            </w:r>
          </w:p>
        </w:tc>
        <w:tc>
          <w:tcPr>
            <w:tcW w:w="708" w:type="dxa"/>
            <w:noWrap/>
            <w:vAlign w:val="center"/>
          </w:tcPr>
          <w:p w14:paraId="382CD38C">
            <w:pPr>
              <w:pStyle w:val="33"/>
              <w:rPr>
                <w:color w:val="auto"/>
              </w:rPr>
            </w:pPr>
            <w:r>
              <w:rPr>
                <w:color w:val="auto"/>
              </w:rPr>
              <w:t>0</w:t>
            </w:r>
            <w:r>
              <w:rPr>
                <w:rFonts w:hint="eastAsia"/>
                <w:color w:val="auto"/>
              </w:rPr>
              <w:t>.37</w:t>
            </w:r>
          </w:p>
        </w:tc>
        <w:tc>
          <w:tcPr>
            <w:tcW w:w="709" w:type="dxa"/>
            <w:noWrap/>
            <w:vAlign w:val="center"/>
          </w:tcPr>
          <w:p w14:paraId="2ABC71F6">
            <w:pPr>
              <w:pStyle w:val="33"/>
              <w:rPr>
                <w:color w:val="auto"/>
              </w:rPr>
            </w:pPr>
            <w:r>
              <w:rPr>
                <w:color w:val="auto"/>
              </w:rPr>
              <w:t>0.0</w:t>
            </w:r>
            <w:r>
              <w:rPr>
                <w:rFonts w:hint="eastAsia"/>
                <w:color w:val="auto"/>
              </w:rPr>
              <w:t>37</w:t>
            </w:r>
          </w:p>
        </w:tc>
        <w:tc>
          <w:tcPr>
            <w:tcW w:w="851" w:type="dxa"/>
            <w:noWrap/>
            <w:vAlign w:val="center"/>
          </w:tcPr>
          <w:p w14:paraId="1A6CA484">
            <w:pPr>
              <w:pStyle w:val="33"/>
              <w:rPr>
                <w:color w:val="auto"/>
              </w:rPr>
            </w:pPr>
            <w:r>
              <w:rPr>
                <w:color w:val="auto"/>
              </w:rPr>
              <w:t>0.0</w:t>
            </w:r>
            <w:r>
              <w:rPr>
                <w:rFonts w:hint="eastAsia"/>
                <w:color w:val="auto"/>
              </w:rPr>
              <w:t>19</w:t>
            </w:r>
          </w:p>
        </w:tc>
        <w:tc>
          <w:tcPr>
            <w:tcW w:w="850" w:type="dxa"/>
            <w:noWrap/>
            <w:vAlign w:val="center"/>
          </w:tcPr>
          <w:p w14:paraId="54F00DA1">
            <w:pPr>
              <w:pStyle w:val="33"/>
              <w:rPr>
                <w:color w:val="auto"/>
              </w:rPr>
            </w:pPr>
            <w:r>
              <w:rPr>
                <w:rFonts w:hint="eastAsia"/>
                <w:color w:val="auto"/>
              </w:rPr>
              <w:t>0</w:t>
            </w:r>
          </w:p>
        </w:tc>
        <w:tc>
          <w:tcPr>
            <w:tcW w:w="992" w:type="dxa"/>
            <w:noWrap/>
            <w:vAlign w:val="center"/>
          </w:tcPr>
          <w:p w14:paraId="1847C3BD">
            <w:pPr>
              <w:pStyle w:val="33"/>
              <w:rPr>
                <w:color w:val="auto"/>
              </w:rPr>
            </w:pPr>
            <w:r>
              <w:rPr>
                <w:rFonts w:hint="eastAsia"/>
                <w:color w:val="auto"/>
              </w:rPr>
              <w:t>0</w:t>
            </w:r>
          </w:p>
        </w:tc>
        <w:tc>
          <w:tcPr>
            <w:tcW w:w="993" w:type="dxa"/>
            <w:noWrap/>
            <w:vAlign w:val="center"/>
          </w:tcPr>
          <w:p w14:paraId="142CF2DE">
            <w:pPr>
              <w:pStyle w:val="33"/>
              <w:rPr>
                <w:color w:val="auto"/>
              </w:rPr>
            </w:pPr>
            <w:r>
              <w:rPr>
                <w:rFonts w:hint="eastAsia"/>
                <w:color w:val="auto"/>
              </w:rPr>
              <w:t>0</w:t>
            </w:r>
          </w:p>
        </w:tc>
      </w:tr>
      <w:tr w14:paraId="39388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491C89D6">
            <w:pPr>
              <w:pStyle w:val="33"/>
              <w:rPr>
                <w:color w:val="auto"/>
              </w:rPr>
            </w:pPr>
            <w:r>
              <w:rPr>
                <w:rFonts w:hint="eastAsia"/>
                <w:color w:val="auto"/>
              </w:rPr>
              <w:t>P12</w:t>
            </w:r>
          </w:p>
        </w:tc>
        <w:tc>
          <w:tcPr>
            <w:tcW w:w="1276" w:type="dxa"/>
            <w:vMerge w:val="continue"/>
            <w:noWrap/>
            <w:vAlign w:val="center"/>
          </w:tcPr>
          <w:p w14:paraId="66E0AD48">
            <w:pPr>
              <w:pStyle w:val="33"/>
              <w:rPr>
                <w:color w:val="auto"/>
              </w:rPr>
            </w:pPr>
          </w:p>
        </w:tc>
        <w:tc>
          <w:tcPr>
            <w:tcW w:w="851" w:type="dxa"/>
            <w:noWrap/>
          </w:tcPr>
          <w:p w14:paraId="54649B7D">
            <w:pPr>
              <w:pStyle w:val="33"/>
              <w:rPr>
                <w:color w:val="auto"/>
              </w:rPr>
            </w:pPr>
            <w:r>
              <w:rPr>
                <w:rFonts w:hint="eastAsia"/>
                <w:color w:val="auto"/>
              </w:rPr>
              <w:t>608</w:t>
            </w:r>
          </w:p>
        </w:tc>
        <w:tc>
          <w:tcPr>
            <w:tcW w:w="708" w:type="dxa"/>
            <w:noWrap/>
            <w:vAlign w:val="center"/>
          </w:tcPr>
          <w:p w14:paraId="32ADFFAD">
            <w:pPr>
              <w:pStyle w:val="33"/>
              <w:rPr>
                <w:color w:val="auto"/>
              </w:rPr>
            </w:pPr>
            <w:r>
              <w:rPr>
                <w:rFonts w:hint="eastAsia"/>
                <w:color w:val="auto"/>
              </w:rPr>
              <w:t>836</w:t>
            </w:r>
          </w:p>
        </w:tc>
        <w:tc>
          <w:tcPr>
            <w:tcW w:w="851" w:type="dxa"/>
            <w:noWrap/>
            <w:vAlign w:val="center"/>
          </w:tcPr>
          <w:p w14:paraId="58364D96">
            <w:pPr>
              <w:pStyle w:val="33"/>
              <w:rPr>
                <w:color w:val="auto"/>
              </w:rPr>
            </w:pPr>
            <w:r>
              <w:rPr>
                <w:rFonts w:hint="eastAsia"/>
                <w:color w:val="auto"/>
              </w:rPr>
              <w:t>16</w:t>
            </w:r>
          </w:p>
        </w:tc>
        <w:tc>
          <w:tcPr>
            <w:tcW w:w="709" w:type="dxa"/>
            <w:noWrap/>
            <w:vAlign w:val="center"/>
          </w:tcPr>
          <w:p w14:paraId="364B671C">
            <w:pPr>
              <w:pStyle w:val="33"/>
              <w:rPr>
                <w:color w:val="auto"/>
              </w:rPr>
            </w:pPr>
            <w:r>
              <w:rPr>
                <w:rFonts w:hint="eastAsia"/>
                <w:color w:val="auto"/>
              </w:rPr>
              <w:t>20</w:t>
            </w:r>
          </w:p>
        </w:tc>
        <w:tc>
          <w:tcPr>
            <w:tcW w:w="850" w:type="dxa"/>
            <w:noWrap/>
          </w:tcPr>
          <w:p w14:paraId="05BF5B11">
            <w:pPr>
              <w:pStyle w:val="33"/>
              <w:rPr>
                <w:color w:val="auto"/>
              </w:rPr>
            </w:pPr>
            <w:r>
              <w:rPr>
                <w:color w:val="auto"/>
              </w:rPr>
              <w:t>0.3</w:t>
            </w:r>
          </w:p>
        </w:tc>
        <w:tc>
          <w:tcPr>
            <w:tcW w:w="851" w:type="dxa"/>
            <w:noWrap/>
          </w:tcPr>
          <w:p w14:paraId="19155001">
            <w:pPr>
              <w:pStyle w:val="33"/>
              <w:rPr>
                <w:color w:val="auto"/>
              </w:rPr>
            </w:pPr>
            <w:r>
              <w:rPr>
                <w:color w:val="auto"/>
              </w:rPr>
              <w:t>2.43</w:t>
            </w:r>
          </w:p>
        </w:tc>
        <w:tc>
          <w:tcPr>
            <w:tcW w:w="708" w:type="dxa"/>
            <w:noWrap/>
            <w:vAlign w:val="center"/>
          </w:tcPr>
          <w:p w14:paraId="61AAEC03">
            <w:pPr>
              <w:pStyle w:val="33"/>
              <w:rPr>
                <w:color w:val="auto"/>
              </w:rPr>
            </w:pPr>
            <w:r>
              <w:rPr>
                <w:rFonts w:hint="eastAsia"/>
                <w:color w:val="auto"/>
              </w:rPr>
              <w:t>60</w:t>
            </w:r>
          </w:p>
        </w:tc>
        <w:tc>
          <w:tcPr>
            <w:tcW w:w="851" w:type="dxa"/>
            <w:noWrap/>
          </w:tcPr>
          <w:p w14:paraId="752D0B06">
            <w:pPr>
              <w:pStyle w:val="33"/>
              <w:rPr>
                <w:color w:val="auto"/>
              </w:rPr>
            </w:pPr>
            <w:r>
              <w:rPr>
                <w:color w:val="auto"/>
              </w:rPr>
              <w:t>1360</w:t>
            </w:r>
          </w:p>
        </w:tc>
        <w:tc>
          <w:tcPr>
            <w:tcW w:w="709" w:type="dxa"/>
            <w:noWrap/>
            <w:vAlign w:val="center"/>
          </w:tcPr>
          <w:p w14:paraId="5C0CE083">
            <w:pPr>
              <w:pStyle w:val="33"/>
              <w:rPr>
                <w:color w:val="auto"/>
              </w:rPr>
            </w:pPr>
            <w:r>
              <w:rPr>
                <w:rFonts w:hint="eastAsia"/>
                <w:color w:val="auto"/>
              </w:rPr>
              <w:t>0.07</w:t>
            </w:r>
          </w:p>
        </w:tc>
        <w:tc>
          <w:tcPr>
            <w:tcW w:w="708" w:type="dxa"/>
            <w:noWrap/>
            <w:vAlign w:val="center"/>
          </w:tcPr>
          <w:p w14:paraId="750DDAD4">
            <w:pPr>
              <w:pStyle w:val="33"/>
              <w:rPr>
                <w:color w:val="auto"/>
              </w:rPr>
            </w:pPr>
            <w:r>
              <w:rPr>
                <w:rFonts w:hint="eastAsia"/>
                <w:color w:val="auto"/>
              </w:rPr>
              <w:t>0.37</w:t>
            </w:r>
          </w:p>
        </w:tc>
        <w:tc>
          <w:tcPr>
            <w:tcW w:w="709" w:type="dxa"/>
            <w:noWrap/>
            <w:vAlign w:val="center"/>
          </w:tcPr>
          <w:p w14:paraId="2F90DDAB">
            <w:pPr>
              <w:pStyle w:val="33"/>
              <w:rPr>
                <w:color w:val="auto"/>
              </w:rPr>
            </w:pPr>
            <w:r>
              <w:rPr>
                <w:rFonts w:hint="eastAsia"/>
                <w:color w:val="auto"/>
              </w:rPr>
              <w:t>0.037</w:t>
            </w:r>
          </w:p>
        </w:tc>
        <w:tc>
          <w:tcPr>
            <w:tcW w:w="851" w:type="dxa"/>
            <w:noWrap/>
            <w:vAlign w:val="center"/>
          </w:tcPr>
          <w:p w14:paraId="6394BD44">
            <w:pPr>
              <w:pStyle w:val="33"/>
              <w:rPr>
                <w:color w:val="auto"/>
              </w:rPr>
            </w:pPr>
            <w:r>
              <w:rPr>
                <w:rFonts w:hint="eastAsia"/>
                <w:color w:val="auto"/>
              </w:rPr>
              <w:t>0.019</w:t>
            </w:r>
          </w:p>
        </w:tc>
        <w:tc>
          <w:tcPr>
            <w:tcW w:w="850" w:type="dxa"/>
            <w:noWrap/>
            <w:vAlign w:val="center"/>
          </w:tcPr>
          <w:p w14:paraId="5C2DB2DE">
            <w:pPr>
              <w:pStyle w:val="33"/>
              <w:rPr>
                <w:color w:val="auto"/>
              </w:rPr>
            </w:pPr>
            <w:r>
              <w:rPr>
                <w:rFonts w:hint="eastAsia"/>
                <w:color w:val="auto"/>
              </w:rPr>
              <w:t>0</w:t>
            </w:r>
          </w:p>
        </w:tc>
        <w:tc>
          <w:tcPr>
            <w:tcW w:w="992" w:type="dxa"/>
            <w:noWrap/>
            <w:vAlign w:val="center"/>
          </w:tcPr>
          <w:p w14:paraId="6033CE55">
            <w:pPr>
              <w:pStyle w:val="33"/>
              <w:rPr>
                <w:color w:val="auto"/>
              </w:rPr>
            </w:pPr>
            <w:r>
              <w:rPr>
                <w:rFonts w:hint="eastAsia"/>
                <w:color w:val="auto"/>
              </w:rPr>
              <w:t>0</w:t>
            </w:r>
          </w:p>
        </w:tc>
        <w:tc>
          <w:tcPr>
            <w:tcW w:w="993" w:type="dxa"/>
            <w:noWrap/>
            <w:vAlign w:val="center"/>
          </w:tcPr>
          <w:p w14:paraId="3E7F6AFF">
            <w:pPr>
              <w:pStyle w:val="33"/>
              <w:rPr>
                <w:color w:val="auto"/>
              </w:rPr>
            </w:pPr>
            <w:r>
              <w:rPr>
                <w:rFonts w:hint="eastAsia"/>
                <w:color w:val="auto"/>
              </w:rPr>
              <w:t>0</w:t>
            </w:r>
          </w:p>
        </w:tc>
      </w:tr>
      <w:tr w14:paraId="7B1F5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4FBE388D">
            <w:pPr>
              <w:pStyle w:val="33"/>
              <w:rPr>
                <w:color w:val="auto"/>
              </w:rPr>
            </w:pPr>
            <w:r>
              <w:rPr>
                <w:rFonts w:hint="eastAsia"/>
                <w:color w:val="auto"/>
              </w:rPr>
              <w:t>P13</w:t>
            </w:r>
          </w:p>
        </w:tc>
        <w:tc>
          <w:tcPr>
            <w:tcW w:w="1276" w:type="dxa"/>
            <w:vMerge w:val="restart"/>
            <w:noWrap/>
            <w:vAlign w:val="center"/>
          </w:tcPr>
          <w:p w14:paraId="4F8C487F">
            <w:pPr>
              <w:pStyle w:val="33"/>
              <w:rPr>
                <w:color w:val="auto"/>
              </w:rPr>
            </w:pPr>
            <w:r>
              <w:rPr>
                <w:rFonts w:hint="eastAsia"/>
                <w:color w:val="auto"/>
              </w:rPr>
              <w:t>2#造纸车间加热废气</w:t>
            </w:r>
          </w:p>
        </w:tc>
        <w:tc>
          <w:tcPr>
            <w:tcW w:w="851" w:type="dxa"/>
            <w:noWrap/>
          </w:tcPr>
          <w:p w14:paraId="53C610B8">
            <w:pPr>
              <w:pStyle w:val="33"/>
              <w:rPr>
                <w:color w:val="auto"/>
              </w:rPr>
            </w:pPr>
            <w:r>
              <w:rPr>
                <w:rFonts w:hint="eastAsia"/>
                <w:color w:val="auto"/>
              </w:rPr>
              <w:t>680</w:t>
            </w:r>
          </w:p>
        </w:tc>
        <w:tc>
          <w:tcPr>
            <w:tcW w:w="708" w:type="dxa"/>
            <w:noWrap/>
            <w:vAlign w:val="center"/>
          </w:tcPr>
          <w:p w14:paraId="707C41DA">
            <w:pPr>
              <w:pStyle w:val="33"/>
              <w:rPr>
                <w:color w:val="auto"/>
              </w:rPr>
            </w:pPr>
            <w:r>
              <w:rPr>
                <w:rFonts w:hint="eastAsia"/>
                <w:color w:val="auto"/>
              </w:rPr>
              <w:t>782</w:t>
            </w:r>
          </w:p>
        </w:tc>
        <w:tc>
          <w:tcPr>
            <w:tcW w:w="851" w:type="dxa"/>
            <w:noWrap/>
            <w:vAlign w:val="center"/>
          </w:tcPr>
          <w:p w14:paraId="69F72E52">
            <w:pPr>
              <w:pStyle w:val="33"/>
              <w:rPr>
                <w:color w:val="auto"/>
              </w:rPr>
            </w:pPr>
            <w:r>
              <w:rPr>
                <w:rFonts w:hint="eastAsia"/>
                <w:color w:val="auto"/>
              </w:rPr>
              <w:t>16</w:t>
            </w:r>
          </w:p>
        </w:tc>
        <w:tc>
          <w:tcPr>
            <w:tcW w:w="709" w:type="dxa"/>
            <w:noWrap/>
            <w:vAlign w:val="center"/>
          </w:tcPr>
          <w:p w14:paraId="4AB8EFCE">
            <w:pPr>
              <w:pStyle w:val="33"/>
              <w:rPr>
                <w:color w:val="auto"/>
              </w:rPr>
            </w:pPr>
            <w:r>
              <w:rPr>
                <w:rFonts w:hint="eastAsia"/>
                <w:color w:val="auto"/>
              </w:rPr>
              <w:t>16</w:t>
            </w:r>
          </w:p>
        </w:tc>
        <w:tc>
          <w:tcPr>
            <w:tcW w:w="850" w:type="dxa"/>
            <w:noWrap/>
          </w:tcPr>
          <w:p w14:paraId="33D4A0E1">
            <w:pPr>
              <w:pStyle w:val="33"/>
              <w:rPr>
                <w:color w:val="auto"/>
              </w:rPr>
            </w:pPr>
            <w:r>
              <w:rPr>
                <w:color w:val="auto"/>
              </w:rPr>
              <w:t>0.3</w:t>
            </w:r>
          </w:p>
        </w:tc>
        <w:tc>
          <w:tcPr>
            <w:tcW w:w="851" w:type="dxa"/>
            <w:noWrap/>
          </w:tcPr>
          <w:p w14:paraId="7F2CB8EB">
            <w:pPr>
              <w:pStyle w:val="33"/>
              <w:rPr>
                <w:color w:val="auto"/>
              </w:rPr>
            </w:pPr>
            <w:r>
              <w:rPr>
                <w:color w:val="auto"/>
              </w:rPr>
              <w:t>3.12</w:t>
            </w:r>
          </w:p>
        </w:tc>
        <w:tc>
          <w:tcPr>
            <w:tcW w:w="708" w:type="dxa"/>
            <w:noWrap/>
            <w:vAlign w:val="center"/>
          </w:tcPr>
          <w:p w14:paraId="71BEFFC3">
            <w:pPr>
              <w:pStyle w:val="33"/>
              <w:rPr>
                <w:color w:val="auto"/>
              </w:rPr>
            </w:pPr>
            <w:r>
              <w:rPr>
                <w:rFonts w:hint="eastAsia"/>
                <w:color w:val="auto"/>
              </w:rPr>
              <w:t>60</w:t>
            </w:r>
          </w:p>
        </w:tc>
        <w:tc>
          <w:tcPr>
            <w:tcW w:w="851" w:type="dxa"/>
            <w:noWrap/>
          </w:tcPr>
          <w:p w14:paraId="4766C75D">
            <w:pPr>
              <w:pStyle w:val="33"/>
              <w:rPr>
                <w:color w:val="auto"/>
              </w:rPr>
            </w:pPr>
            <w:r>
              <w:rPr>
                <w:color w:val="auto"/>
              </w:rPr>
              <w:t>1360</w:t>
            </w:r>
          </w:p>
        </w:tc>
        <w:tc>
          <w:tcPr>
            <w:tcW w:w="709" w:type="dxa"/>
            <w:noWrap/>
            <w:vAlign w:val="center"/>
          </w:tcPr>
          <w:p w14:paraId="4CFB0770">
            <w:pPr>
              <w:pStyle w:val="33"/>
              <w:rPr>
                <w:color w:val="auto"/>
              </w:rPr>
            </w:pPr>
            <w:r>
              <w:rPr>
                <w:color w:val="auto"/>
              </w:rPr>
              <w:t>0.</w:t>
            </w:r>
            <w:r>
              <w:rPr>
                <w:rFonts w:hint="eastAsia"/>
                <w:color w:val="auto"/>
              </w:rPr>
              <w:t>088</w:t>
            </w:r>
          </w:p>
        </w:tc>
        <w:tc>
          <w:tcPr>
            <w:tcW w:w="708" w:type="dxa"/>
            <w:noWrap/>
            <w:vAlign w:val="center"/>
          </w:tcPr>
          <w:p w14:paraId="5559268F">
            <w:pPr>
              <w:pStyle w:val="33"/>
              <w:rPr>
                <w:color w:val="auto"/>
              </w:rPr>
            </w:pPr>
            <w:r>
              <w:rPr>
                <w:rFonts w:hint="eastAsia"/>
                <w:color w:val="auto"/>
              </w:rPr>
              <w:t>0.48</w:t>
            </w:r>
          </w:p>
        </w:tc>
        <w:tc>
          <w:tcPr>
            <w:tcW w:w="709" w:type="dxa"/>
            <w:noWrap/>
            <w:vAlign w:val="center"/>
          </w:tcPr>
          <w:p w14:paraId="582911BE">
            <w:pPr>
              <w:pStyle w:val="33"/>
              <w:rPr>
                <w:color w:val="auto"/>
              </w:rPr>
            </w:pPr>
            <w:r>
              <w:rPr>
                <w:color w:val="auto"/>
              </w:rPr>
              <w:t>0.0</w:t>
            </w:r>
            <w:r>
              <w:rPr>
                <w:rFonts w:hint="eastAsia"/>
                <w:color w:val="auto"/>
              </w:rPr>
              <w:t>48</w:t>
            </w:r>
          </w:p>
        </w:tc>
        <w:tc>
          <w:tcPr>
            <w:tcW w:w="851" w:type="dxa"/>
            <w:noWrap/>
            <w:vAlign w:val="center"/>
          </w:tcPr>
          <w:p w14:paraId="3A9A7F0A">
            <w:pPr>
              <w:pStyle w:val="33"/>
              <w:rPr>
                <w:color w:val="auto"/>
              </w:rPr>
            </w:pPr>
            <w:r>
              <w:rPr>
                <w:color w:val="auto"/>
              </w:rPr>
              <w:t>0.0</w:t>
            </w:r>
            <w:r>
              <w:rPr>
                <w:rFonts w:hint="eastAsia"/>
                <w:color w:val="auto"/>
              </w:rPr>
              <w:t>24</w:t>
            </w:r>
          </w:p>
        </w:tc>
        <w:tc>
          <w:tcPr>
            <w:tcW w:w="850" w:type="dxa"/>
            <w:noWrap/>
            <w:vAlign w:val="center"/>
          </w:tcPr>
          <w:p w14:paraId="54087461">
            <w:pPr>
              <w:pStyle w:val="33"/>
              <w:rPr>
                <w:color w:val="auto"/>
              </w:rPr>
            </w:pPr>
            <w:r>
              <w:rPr>
                <w:rFonts w:hint="eastAsia"/>
                <w:color w:val="auto"/>
              </w:rPr>
              <w:t>0</w:t>
            </w:r>
          </w:p>
        </w:tc>
        <w:tc>
          <w:tcPr>
            <w:tcW w:w="992" w:type="dxa"/>
            <w:noWrap/>
            <w:vAlign w:val="center"/>
          </w:tcPr>
          <w:p w14:paraId="63658D98">
            <w:pPr>
              <w:pStyle w:val="33"/>
              <w:rPr>
                <w:color w:val="auto"/>
              </w:rPr>
            </w:pPr>
            <w:r>
              <w:rPr>
                <w:rFonts w:hint="eastAsia"/>
                <w:color w:val="auto"/>
              </w:rPr>
              <w:t>0</w:t>
            </w:r>
          </w:p>
        </w:tc>
        <w:tc>
          <w:tcPr>
            <w:tcW w:w="993" w:type="dxa"/>
            <w:noWrap/>
            <w:vAlign w:val="center"/>
          </w:tcPr>
          <w:p w14:paraId="49F5F0B0">
            <w:pPr>
              <w:pStyle w:val="33"/>
              <w:rPr>
                <w:color w:val="auto"/>
              </w:rPr>
            </w:pPr>
            <w:r>
              <w:rPr>
                <w:rFonts w:hint="eastAsia"/>
                <w:color w:val="auto"/>
              </w:rPr>
              <w:t>0</w:t>
            </w:r>
          </w:p>
        </w:tc>
      </w:tr>
      <w:tr w14:paraId="63A9E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3756E616">
            <w:pPr>
              <w:pStyle w:val="33"/>
              <w:rPr>
                <w:color w:val="auto"/>
              </w:rPr>
            </w:pPr>
            <w:r>
              <w:rPr>
                <w:rFonts w:hint="eastAsia"/>
                <w:color w:val="auto"/>
              </w:rPr>
              <w:t>P14</w:t>
            </w:r>
          </w:p>
        </w:tc>
        <w:tc>
          <w:tcPr>
            <w:tcW w:w="1276" w:type="dxa"/>
            <w:vMerge w:val="continue"/>
            <w:noWrap/>
            <w:vAlign w:val="center"/>
          </w:tcPr>
          <w:p w14:paraId="1BC5A7B2">
            <w:pPr>
              <w:pStyle w:val="33"/>
              <w:rPr>
                <w:color w:val="auto"/>
              </w:rPr>
            </w:pPr>
          </w:p>
        </w:tc>
        <w:tc>
          <w:tcPr>
            <w:tcW w:w="851" w:type="dxa"/>
            <w:noWrap/>
          </w:tcPr>
          <w:p w14:paraId="08BF1901">
            <w:pPr>
              <w:pStyle w:val="33"/>
              <w:rPr>
                <w:color w:val="auto"/>
              </w:rPr>
            </w:pPr>
            <w:r>
              <w:rPr>
                <w:rFonts w:hint="eastAsia"/>
                <w:color w:val="auto"/>
              </w:rPr>
              <w:t>680</w:t>
            </w:r>
          </w:p>
        </w:tc>
        <w:tc>
          <w:tcPr>
            <w:tcW w:w="708" w:type="dxa"/>
            <w:noWrap/>
            <w:vAlign w:val="center"/>
          </w:tcPr>
          <w:p w14:paraId="262EFDD4">
            <w:pPr>
              <w:pStyle w:val="33"/>
              <w:rPr>
                <w:color w:val="auto"/>
              </w:rPr>
            </w:pPr>
            <w:r>
              <w:rPr>
                <w:rFonts w:hint="eastAsia"/>
                <w:color w:val="auto"/>
              </w:rPr>
              <w:t>787</w:t>
            </w:r>
          </w:p>
        </w:tc>
        <w:tc>
          <w:tcPr>
            <w:tcW w:w="851" w:type="dxa"/>
            <w:noWrap/>
            <w:vAlign w:val="center"/>
          </w:tcPr>
          <w:p w14:paraId="73CC65E9">
            <w:pPr>
              <w:pStyle w:val="33"/>
              <w:rPr>
                <w:color w:val="auto"/>
              </w:rPr>
            </w:pPr>
            <w:r>
              <w:rPr>
                <w:rFonts w:hint="eastAsia"/>
                <w:color w:val="auto"/>
              </w:rPr>
              <w:t>16</w:t>
            </w:r>
          </w:p>
        </w:tc>
        <w:tc>
          <w:tcPr>
            <w:tcW w:w="709" w:type="dxa"/>
            <w:noWrap/>
            <w:vAlign w:val="center"/>
          </w:tcPr>
          <w:p w14:paraId="036E88D2">
            <w:pPr>
              <w:pStyle w:val="33"/>
              <w:rPr>
                <w:color w:val="auto"/>
              </w:rPr>
            </w:pPr>
            <w:r>
              <w:rPr>
                <w:rFonts w:hint="eastAsia"/>
                <w:color w:val="auto"/>
              </w:rPr>
              <w:t>16</w:t>
            </w:r>
          </w:p>
        </w:tc>
        <w:tc>
          <w:tcPr>
            <w:tcW w:w="850" w:type="dxa"/>
            <w:noWrap/>
          </w:tcPr>
          <w:p w14:paraId="4283866E">
            <w:pPr>
              <w:pStyle w:val="33"/>
              <w:rPr>
                <w:color w:val="auto"/>
              </w:rPr>
            </w:pPr>
            <w:r>
              <w:rPr>
                <w:color w:val="auto"/>
              </w:rPr>
              <w:t>0.3</w:t>
            </w:r>
          </w:p>
        </w:tc>
        <w:tc>
          <w:tcPr>
            <w:tcW w:w="851" w:type="dxa"/>
            <w:noWrap/>
          </w:tcPr>
          <w:p w14:paraId="4AC8EEE5">
            <w:pPr>
              <w:pStyle w:val="33"/>
              <w:rPr>
                <w:color w:val="auto"/>
              </w:rPr>
            </w:pPr>
            <w:r>
              <w:rPr>
                <w:color w:val="auto"/>
              </w:rPr>
              <w:t>3.12</w:t>
            </w:r>
          </w:p>
        </w:tc>
        <w:tc>
          <w:tcPr>
            <w:tcW w:w="708" w:type="dxa"/>
            <w:noWrap/>
            <w:vAlign w:val="center"/>
          </w:tcPr>
          <w:p w14:paraId="1981A53B">
            <w:pPr>
              <w:pStyle w:val="33"/>
              <w:rPr>
                <w:color w:val="auto"/>
              </w:rPr>
            </w:pPr>
            <w:r>
              <w:rPr>
                <w:rFonts w:hint="eastAsia"/>
                <w:color w:val="auto"/>
              </w:rPr>
              <w:t>60</w:t>
            </w:r>
          </w:p>
        </w:tc>
        <w:tc>
          <w:tcPr>
            <w:tcW w:w="851" w:type="dxa"/>
            <w:noWrap/>
          </w:tcPr>
          <w:p w14:paraId="1DAC7A57">
            <w:pPr>
              <w:pStyle w:val="33"/>
              <w:rPr>
                <w:color w:val="auto"/>
              </w:rPr>
            </w:pPr>
            <w:r>
              <w:rPr>
                <w:color w:val="auto"/>
              </w:rPr>
              <w:t>1360</w:t>
            </w:r>
          </w:p>
        </w:tc>
        <w:tc>
          <w:tcPr>
            <w:tcW w:w="709" w:type="dxa"/>
            <w:noWrap/>
            <w:vAlign w:val="center"/>
          </w:tcPr>
          <w:p w14:paraId="7CDE0E07">
            <w:pPr>
              <w:pStyle w:val="33"/>
              <w:rPr>
                <w:color w:val="auto"/>
              </w:rPr>
            </w:pPr>
            <w:r>
              <w:rPr>
                <w:rFonts w:hint="eastAsia"/>
                <w:color w:val="auto"/>
              </w:rPr>
              <w:t>0.088</w:t>
            </w:r>
          </w:p>
        </w:tc>
        <w:tc>
          <w:tcPr>
            <w:tcW w:w="708" w:type="dxa"/>
            <w:noWrap/>
            <w:vAlign w:val="center"/>
          </w:tcPr>
          <w:p w14:paraId="6DCD2C1C">
            <w:pPr>
              <w:pStyle w:val="33"/>
              <w:rPr>
                <w:color w:val="auto"/>
              </w:rPr>
            </w:pPr>
            <w:r>
              <w:rPr>
                <w:rFonts w:hint="eastAsia"/>
                <w:color w:val="auto"/>
              </w:rPr>
              <w:t>0.48</w:t>
            </w:r>
          </w:p>
        </w:tc>
        <w:tc>
          <w:tcPr>
            <w:tcW w:w="709" w:type="dxa"/>
            <w:noWrap/>
            <w:vAlign w:val="center"/>
          </w:tcPr>
          <w:p w14:paraId="73221AE4">
            <w:pPr>
              <w:pStyle w:val="33"/>
              <w:rPr>
                <w:color w:val="auto"/>
              </w:rPr>
            </w:pPr>
            <w:r>
              <w:rPr>
                <w:rFonts w:hint="eastAsia"/>
                <w:color w:val="auto"/>
              </w:rPr>
              <w:t>0.048</w:t>
            </w:r>
          </w:p>
        </w:tc>
        <w:tc>
          <w:tcPr>
            <w:tcW w:w="851" w:type="dxa"/>
            <w:noWrap/>
            <w:vAlign w:val="center"/>
          </w:tcPr>
          <w:p w14:paraId="7E6E8C3E">
            <w:pPr>
              <w:pStyle w:val="33"/>
              <w:rPr>
                <w:color w:val="auto"/>
              </w:rPr>
            </w:pPr>
            <w:r>
              <w:rPr>
                <w:rFonts w:hint="eastAsia"/>
                <w:color w:val="auto"/>
              </w:rPr>
              <w:t>0.024</w:t>
            </w:r>
          </w:p>
        </w:tc>
        <w:tc>
          <w:tcPr>
            <w:tcW w:w="850" w:type="dxa"/>
            <w:noWrap/>
            <w:vAlign w:val="center"/>
          </w:tcPr>
          <w:p w14:paraId="72072A9F">
            <w:pPr>
              <w:pStyle w:val="33"/>
              <w:rPr>
                <w:color w:val="auto"/>
              </w:rPr>
            </w:pPr>
            <w:r>
              <w:rPr>
                <w:rFonts w:hint="eastAsia"/>
                <w:color w:val="auto"/>
              </w:rPr>
              <w:t>0</w:t>
            </w:r>
          </w:p>
        </w:tc>
        <w:tc>
          <w:tcPr>
            <w:tcW w:w="992" w:type="dxa"/>
            <w:noWrap/>
            <w:vAlign w:val="center"/>
          </w:tcPr>
          <w:p w14:paraId="17FAF898">
            <w:pPr>
              <w:pStyle w:val="33"/>
              <w:rPr>
                <w:color w:val="auto"/>
              </w:rPr>
            </w:pPr>
            <w:r>
              <w:rPr>
                <w:rFonts w:hint="eastAsia"/>
                <w:color w:val="auto"/>
              </w:rPr>
              <w:t>0</w:t>
            </w:r>
          </w:p>
        </w:tc>
        <w:tc>
          <w:tcPr>
            <w:tcW w:w="993" w:type="dxa"/>
            <w:noWrap/>
            <w:vAlign w:val="center"/>
          </w:tcPr>
          <w:p w14:paraId="121FA92D">
            <w:pPr>
              <w:pStyle w:val="33"/>
              <w:rPr>
                <w:color w:val="auto"/>
              </w:rPr>
            </w:pPr>
            <w:r>
              <w:rPr>
                <w:rFonts w:hint="eastAsia"/>
                <w:color w:val="auto"/>
              </w:rPr>
              <w:t>0</w:t>
            </w:r>
          </w:p>
        </w:tc>
      </w:tr>
      <w:tr w14:paraId="6358E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545207C2">
            <w:pPr>
              <w:pStyle w:val="33"/>
              <w:rPr>
                <w:color w:val="auto"/>
              </w:rPr>
            </w:pPr>
            <w:r>
              <w:rPr>
                <w:rFonts w:hint="eastAsia"/>
                <w:color w:val="auto"/>
              </w:rPr>
              <w:t>P15</w:t>
            </w:r>
          </w:p>
        </w:tc>
        <w:tc>
          <w:tcPr>
            <w:tcW w:w="1276" w:type="dxa"/>
            <w:noWrap/>
            <w:vAlign w:val="center"/>
          </w:tcPr>
          <w:p w14:paraId="6A0079C9">
            <w:pPr>
              <w:pStyle w:val="33"/>
              <w:rPr>
                <w:color w:val="auto"/>
              </w:rPr>
            </w:pPr>
            <w:r>
              <w:rPr>
                <w:rFonts w:hint="eastAsia"/>
                <w:color w:val="auto"/>
              </w:rPr>
              <w:t>淋膜纸</w:t>
            </w:r>
          </w:p>
        </w:tc>
        <w:tc>
          <w:tcPr>
            <w:tcW w:w="851" w:type="dxa"/>
            <w:noWrap/>
            <w:vAlign w:val="center"/>
          </w:tcPr>
          <w:p w14:paraId="2F4D0BD5">
            <w:pPr>
              <w:pStyle w:val="33"/>
              <w:rPr>
                <w:color w:val="auto"/>
              </w:rPr>
            </w:pPr>
            <w:r>
              <w:rPr>
                <w:rFonts w:hint="eastAsia"/>
                <w:color w:val="auto"/>
              </w:rPr>
              <w:t>680</w:t>
            </w:r>
          </w:p>
        </w:tc>
        <w:tc>
          <w:tcPr>
            <w:tcW w:w="708" w:type="dxa"/>
            <w:noWrap/>
            <w:vAlign w:val="center"/>
          </w:tcPr>
          <w:p w14:paraId="39CBAEDD">
            <w:pPr>
              <w:pStyle w:val="33"/>
              <w:rPr>
                <w:color w:val="auto"/>
              </w:rPr>
            </w:pPr>
            <w:r>
              <w:rPr>
                <w:rFonts w:hint="eastAsia"/>
                <w:color w:val="auto"/>
              </w:rPr>
              <w:t>248</w:t>
            </w:r>
          </w:p>
        </w:tc>
        <w:tc>
          <w:tcPr>
            <w:tcW w:w="851" w:type="dxa"/>
            <w:noWrap/>
            <w:vAlign w:val="center"/>
          </w:tcPr>
          <w:p w14:paraId="56002EDF">
            <w:pPr>
              <w:pStyle w:val="33"/>
              <w:rPr>
                <w:color w:val="auto"/>
              </w:rPr>
            </w:pPr>
            <w:r>
              <w:rPr>
                <w:rFonts w:hint="eastAsia"/>
                <w:color w:val="auto"/>
              </w:rPr>
              <w:t>1</w:t>
            </w:r>
          </w:p>
        </w:tc>
        <w:tc>
          <w:tcPr>
            <w:tcW w:w="709" w:type="dxa"/>
            <w:noWrap/>
            <w:vAlign w:val="center"/>
          </w:tcPr>
          <w:p w14:paraId="60131200">
            <w:pPr>
              <w:pStyle w:val="33"/>
              <w:rPr>
                <w:color w:val="auto"/>
              </w:rPr>
            </w:pPr>
            <w:r>
              <w:rPr>
                <w:rFonts w:hint="eastAsia"/>
                <w:color w:val="auto"/>
              </w:rPr>
              <w:t>18</w:t>
            </w:r>
          </w:p>
        </w:tc>
        <w:tc>
          <w:tcPr>
            <w:tcW w:w="850" w:type="dxa"/>
            <w:noWrap/>
            <w:vAlign w:val="center"/>
          </w:tcPr>
          <w:p w14:paraId="56A686E8">
            <w:pPr>
              <w:pStyle w:val="33"/>
              <w:rPr>
                <w:color w:val="auto"/>
              </w:rPr>
            </w:pPr>
            <w:r>
              <w:rPr>
                <w:rFonts w:hint="eastAsia"/>
                <w:color w:val="auto"/>
              </w:rPr>
              <w:t>0.8</w:t>
            </w:r>
          </w:p>
        </w:tc>
        <w:tc>
          <w:tcPr>
            <w:tcW w:w="851" w:type="dxa"/>
            <w:noWrap/>
            <w:vAlign w:val="center"/>
          </w:tcPr>
          <w:p w14:paraId="4D924441">
            <w:pPr>
              <w:pStyle w:val="33"/>
              <w:rPr>
                <w:color w:val="auto"/>
              </w:rPr>
            </w:pPr>
            <w:r>
              <w:rPr>
                <w:rFonts w:hint="eastAsia"/>
                <w:color w:val="auto"/>
              </w:rPr>
              <w:t>9.44</w:t>
            </w:r>
          </w:p>
        </w:tc>
        <w:tc>
          <w:tcPr>
            <w:tcW w:w="708" w:type="dxa"/>
            <w:noWrap/>
            <w:vAlign w:val="center"/>
          </w:tcPr>
          <w:p w14:paraId="7F514082">
            <w:pPr>
              <w:pStyle w:val="33"/>
              <w:rPr>
                <w:color w:val="auto"/>
              </w:rPr>
            </w:pPr>
            <w:r>
              <w:rPr>
                <w:rFonts w:hint="eastAsia"/>
                <w:color w:val="auto"/>
              </w:rPr>
              <w:t>25</w:t>
            </w:r>
          </w:p>
        </w:tc>
        <w:tc>
          <w:tcPr>
            <w:tcW w:w="851" w:type="dxa"/>
            <w:noWrap/>
          </w:tcPr>
          <w:p w14:paraId="6B24C5B1">
            <w:pPr>
              <w:pStyle w:val="33"/>
              <w:rPr>
                <w:color w:val="auto"/>
              </w:rPr>
            </w:pPr>
            <w:r>
              <w:rPr>
                <w:rFonts w:hint="eastAsia"/>
                <w:color w:val="auto"/>
              </w:rPr>
              <w:t>8160</w:t>
            </w:r>
          </w:p>
        </w:tc>
        <w:tc>
          <w:tcPr>
            <w:tcW w:w="709" w:type="dxa"/>
            <w:noWrap/>
            <w:vAlign w:val="center"/>
          </w:tcPr>
          <w:p w14:paraId="14CC9757">
            <w:pPr>
              <w:pStyle w:val="33"/>
              <w:rPr>
                <w:color w:val="auto"/>
              </w:rPr>
            </w:pPr>
            <w:r>
              <w:rPr>
                <w:rFonts w:hint="eastAsia"/>
                <w:color w:val="auto"/>
              </w:rPr>
              <w:t>0</w:t>
            </w:r>
          </w:p>
        </w:tc>
        <w:tc>
          <w:tcPr>
            <w:tcW w:w="708" w:type="dxa"/>
            <w:noWrap/>
            <w:vAlign w:val="center"/>
          </w:tcPr>
          <w:p w14:paraId="07D6A07A">
            <w:pPr>
              <w:pStyle w:val="33"/>
              <w:rPr>
                <w:color w:val="auto"/>
              </w:rPr>
            </w:pPr>
            <w:r>
              <w:rPr>
                <w:rFonts w:hint="eastAsia"/>
                <w:color w:val="auto"/>
              </w:rPr>
              <w:t>0</w:t>
            </w:r>
          </w:p>
        </w:tc>
        <w:tc>
          <w:tcPr>
            <w:tcW w:w="709" w:type="dxa"/>
            <w:noWrap/>
            <w:vAlign w:val="center"/>
          </w:tcPr>
          <w:p w14:paraId="4FD720D1">
            <w:pPr>
              <w:pStyle w:val="33"/>
              <w:rPr>
                <w:color w:val="auto"/>
              </w:rPr>
            </w:pPr>
            <w:r>
              <w:rPr>
                <w:rFonts w:hint="eastAsia"/>
                <w:color w:val="auto"/>
              </w:rPr>
              <w:t>0</w:t>
            </w:r>
          </w:p>
        </w:tc>
        <w:tc>
          <w:tcPr>
            <w:tcW w:w="851" w:type="dxa"/>
            <w:noWrap/>
            <w:vAlign w:val="center"/>
          </w:tcPr>
          <w:p w14:paraId="0B12CA1F">
            <w:pPr>
              <w:pStyle w:val="33"/>
              <w:rPr>
                <w:color w:val="auto"/>
              </w:rPr>
            </w:pPr>
            <w:r>
              <w:rPr>
                <w:rFonts w:hint="eastAsia"/>
                <w:color w:val="auto"/>
              </w:rPr>
              <w:t>0</w:t>
            </w:r>
          </w:p>
        </w:tc>
        <w:tc>
          <w:tcPr>
            <w:tcW w:w="850" w:type="dxa"/>
            <w:noWrap/>
            <w:vAlign w:val="center"/>
          </w:tcPr>
          <w:p w14:paraId="6AE0B2B8">
            <w:pPr>
              <w:pStyle w:val="33"/>
              <w:rPr>
                <w:color w:val="auto"/>
              </w:rPr>
            </w:pPr>
            <w:r>
              <w:rPr>
                <w:rFonts w:hint="eastAsia"/>
                <w:color w:val="auto"/>
              </w:rPr>
              <w:t>0.06</w:t>
            </w:r>
          </w:p>
        </w:tc>
        <w:tc>
          <w:tcPr>
            <w:tcW w:w="992" w:type="dxa"/>
            <w:noWrap/>
            <w:vAlign w:val="center"/>
          </w:tcPr>
          <w:p w14:paraId="4935242B">
            <w:pPr>
              <w:pStyle w:val="33"/>
              <w:rPr>
                <w:color w:val="auto"/>
              </w:rPr>
            </w:pPr>
            <w:r>
              <w:rPr>
                <w:rFonts w:hint="eastAsia"/>
                <w:color w:val="auto"/>
              </w:rPr>
              <w:t>0</w:t>
            </w:r>
          </w:p>
        </w:tc>
        <w:tc>
          <w:tcPr>
            <w:tcW w:w="993" w:type="dxa"/>
            <w:noWrap/>
            <w:vAlign w:val="center"/>
          </w:tcPr>
          <w:p w14:paraId="16B9720C">
            <w:pPr>
              <w:pStyle w:val="33"/>
              <w:rPr>
                <w:color w:val="auto"/>
              </w:rPr>
            </w:pPr>
            <w:r>
              <w:rPr>
                <w:rFonts w:hint="eastAsia"/>
                <w:color w:val="auto"/>
              </w:rPr>
              <w:t>0</w:t>
            </w:r>
          </w:p>
        </w:tc>
      </w:tr>
      <w:tr w14:paraId="21A63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62" w:type="dxa"/>
            <w:noWrap/>
            <w:vAlign w:val="center"/>
          </w:tcPr>
          <w:p w14:paraId="641B3368">
            <w:pPr>
              <w:pStyle w:val="33"/>
              <w:rPr>
                <w:color w:val="auto"/>
              </w:rPr>
            </w:pPr>
            <w:r>
              <w:rPr>
                <w:rFonts w:hint="eastAsia"/>
                <w:color w:val="auto"/>
              </w:rPr>
              <w:t>P16</w:t>
            </w:r>
          </w:p>
        </w:tc>
        <w:tc>
          <w:tcPr>
            <w:tcW w:w="1276" w:type="dxa"/>
            <w:noWrap/>
            <w:vAlign w:val="center"/>
          </w:tcPr>
          <w:p w14:paraId="028FFB32">
            <w:pPr>
              <w:pStyle w:val="33"/>
              <w:rPr>
                <w:color w:val="auto"/>
              </w:rPr>
            </w:pPr>
            <w:r>
              <w:rPr>
                <w:rFonts w:hint="eastAsia"/>
                <w:color w:val="auto"/>
              </w:rPr>
              <w:t>污水处理</w:t>
            </w:r>
          </w:p>
        </w:tc>
        <w:tc>
          <w:tcPr>
            <w:tcW w:w="851" w:type="dxa"/>
            <w:noWrap/>
            <w:vAlign w:val="center"/>
          </w:tcPr>
          <w:p w14:paraId="68A45B8B">
            <w:pPr>
              <w:pStyle w:val="33"/>
              <w:rPr>
                <w:color w:val="auto"/>
              </w:rPr>
            </w:pPr>
            <w:r>
              <w:rPr>
                <w:rFonts w:hint="eastAsia"/>
                <w:color w:val="auto"/>
              </w:rPr>
              <w:t>99</w:t>
            </w:r>
          </w:p>
        </w:tc>
        <w:tc>
          <w:tcPr>
            <w:tcW w:w="708" w:type="dxa"/>
            <w:noWrap/>
            <w:vAlign w:val="center"/>
          </w:tcPr>
          <w:p w14:paraId="0458CE0D">
            <w:pPr>
              <w:pStyle w:val="33"/>
              <w:rPr>
                <w:color w:val="auto"/>
              </w:rPr>
            </w:pPr>
            <w:r>
              <w:rPr>
                <w:rFonts w:hint="eastAsia"/>
                <w:color w:val="auto"/>
              </w:rPr>
              <w:t>-179</w:t>
            </w:r>
          </w:p>
        </w:tc>
        <w:tc>
          <w:tcPr>
            <w:tcW w:w="851" w:type="dxa"/>
            <w:noWrap/>
            <w:vAlign w:val="center"/>
          </w:tcPr>
          <w:p w14:paraId="5DE57813">
            <w:pPr>
              <w:pStyle w:val="33"/>
              <w:rPr>
                <w:color w:val="auto"/>
              </w:rPr>
            </w:pPr>
            <w:r>
              <w:rPr>
                <w:rFonts w:hint="eastAsia"/>
                <w:color w:val="auto"/>
              </w:rPr>
              <w:t>1</w:t>
            </w:r>
          </w:p>
        </w:tc>
        <w:tc>
          <w:tcPr>
            <w:tcW w:w="709" w:type="dxa"/>
            <w:noWrap/>
            <w:vAlign w:val="center"/>
          </w:tcPr>
          <w:p w14:paraId="473C6950">
            <w:pPr>
              <w:pStyle w:val="33"/>
              <w:rPr>
                <w:color w:val="auto"/>
              </w:rPr>
            </w:pPr>
            <w:r>
              <w:rPr>
                <w:rFonts w:hint="eastAsia"/>
                <w:color w:val="auto"/>
              </w:rPr>
              <w:t>15</w:t>
            </w:r>
          </w:p>
        </w:tc>
        <w:tc>
          <w:tcPr>
            <w:tcW w:w="850" w:type="dxa"/>
            <w:noWrap/>
            <w:vAlign w:val="center"/>
          </w:tcPr>
          <w:p w14:paraId="73A0F7ED">
            <w:pPr>
              <w:pStyle w:val="33"/>
              <w:rPr>
                <w:color w:val="auto"/>
              </w:rPr>
            </w:pPr>
            <w:r>
              <w:rPr>
                <w:rFonts w:hint="eastAsia"/>
                <w:color w:val="auto"/>
              </w:rPr>
              <w:t>0.8</w:t>
            </w:r>
          </w:p>
        </w:tc>
        <w:tc>
          <w:tcPr>
            <w:tcW w:w="851" w:type="dxa"/>
            <w:noWrap/>
            <w:vAlign w:val="center"/>
          </w:tcPr>
          <w:p w14:paraId="01544573">
            <w:pPr>
              <w:pStyle w:val="33"/>
              <w:rPr>
                <w:color w:val="auto"/>
              </w:rPr>
            </w:pPr>
            <w:r>
              <w:rPr>
                <w:rFonts w:hint="eastAsia"/>
                <w:color w:val="auto"/>
              </w:rPr>
              <w:t>13.82</w:t>
            </w:r>
          </w:p>
        </w:tc>
        <w:tc>
          <w:tcPr>
            <w:tcW w:w="708" w:type="dxa"/>
            <w:noWrap/>
            <w:vAlign w:val="center"/>
          </w:tcPr>
          <w:p w14:paraId="18F8F41E">
            <w:pPr>
              <w:pStyle w:val="33"/>
              <w:rPr>
                <w:color w:val="auto"/>
              </w:rPr>
            </w:pPr>
            <w:r>
              <w:rPr>
                <w:rFonts w:hint="eastAsia"/>
                <w:color w:val="auto"/>
              </w:rPr>
              <w:t>25</w:t>
            </w:r>
          </w:p>
        </w:tc>
        <w:tc>
          <w:tcPr>
            <w:tcW w:w="851" w:type="dxa"/>
            <w:noWrap/>
          </w:tcPr>
          <w:p w14:paraId="21B9E43D">
            <w:pPr>
              <w:pStyle w:val="33"/>
              <w:rPr>
                <w:color w:val="auto"/>
              </w:rPr>
            </w:pPr>
            <w:r>
              <w:rPr>
                <w:rFonts w:hint="eastAsia"/>
                <w:color w:val="auto"/>
              </w:rPr>
              <w:t>8160</w:t>
            </w:r>
          </w:p>
        </w:tc>
        <w:tc>
          <w:tcPr>
            <w:tcW w:w="709" w:type="dxa"/>
            <w:noWrap/>
            <w:vAlign w:val="center"/>
          </w:tcPr>
          <w:p w14:paraId="083E802C">
            <w:pPr>
              <w:pStyle w:val="33"/>
              <w:rPr>
                <w:color w:val="auto"/>
              </w:rPr>
            </w:pPr>
            <w:r>
              <w:rPr>
                <w:rFonts w:hint="eastAsia"/>
                <w:color w:val="auto"/>
              </w:rPr>
              <w:t>0</w:t>
            </w:r>
          </w:p>
        </w:tc>
        <w:tc>
          <w:tcPr>
            <w:tcW w:w="708" w:type="dxa"/>
            <w:noWrap/>
            <w:vAlign w:val="center"/>
          </w:tcPr>
          <w:p w14:paraId="60C7DF3D">
            <w:pPr>
              <w:pStyle w:val="33"/>
              <w:rPr>
                <w:color w:val="auto"/>
              </w:rPr>
            </w:pPr>
            <w:r>
              <w:rPr>
                <w:rFonts w:hint="eastAsia"/>
                <w:color w:val="auto"/>
              </w:rPr>
              <w:t>0</w:t>
            </w:r>
          </w:p>
        </w:tc>
        <w:tc>
          <w:tcPr>
            <w:tcW w:w="709" w:type="dxa"/>
            <w:noWrap/>
            <w:vAlign w:val="center"/>
          </w:tcPr>
          <w:p w14:paraId="6ECC1D65">
            <w:pPr>
              <w:pStyle w:val="33"/>
              <w:rPr>
                <w:color w:val="auto"/>
              </w:rPr>
            </w:pPr>
            <w:r>
              <w:rPr>
                <w:rFonts w:hint="eastAsia"/>
                <w:color w:val="auto"/>
              </w:rPr>
              <w:t>0</w:t>
            </w:r>
          </w:p>
        </w:tc>
        <w:tc>
          <w:tcPr>
            <w:tcW w:w="851" w:type="dxa"/>
            <w:noWrap/>
            <w:vAlign w:val="center"/>
          </w:tcPr>
          <w:p w14:paraId="27909DA9">
            <w:pPr>
              <w:pStyle w:val="33"/>
              <w:rPr>
                <w:color w:val="auto"/>
              </w:rPr>
            </w:pPr>
            <w:r>
              <w:rPr>
                <w:rFonts w:hint="eastAsia"/>
                <w:color w:val="auto"/>
              </w:rPr>
              <w:t>0</w:t>
            </w:r>
          </w:p>
        </w:tc>
        <w:tc>
          <w:tcPr>
            <w:tcW w:w="850" w:type="dxa"/>
            <w:noWrap/>
            <w:vAlign w:val="center"/>
          </w:tcPr>
          <w:p w14:paraId="71FD1A82">
            <w:pPr>
              <w:pStyle w:val="33"/>
              <w:rPr>
                <w:color w:val="auto"/>
              </w:rPr>
            </w:pPr>
            <w:r>
              <w:rPr>
                <w:rFonts w:hint="eastAsia"/>
                <w:color w:val="auto"/>
              </w:rPr>
              <w:t>0</w:t>
            </w:r>
          </w:p>
        </w:tc>
        <w:tc>
          <w:tcPr>
            <w:tcW w:w="992" w:type="dxa"/>
            <w:noWrap/>
            <w:vAlign w:val="center"/>
          </w:tcPr>
          <w:p w14:paraId="15EEDD52">
            <w:pPr>
              <w:pStyle w:val="33"/>
              <w:rPr>
                <w:color w:val="auto"/>
              </w:rPr>
            </w:pPr>
            <w:r>
              <w:rPr>
                <w:rFonts w:hint="eastAsia"/>
                <w:color w:val="auto"/>
              </w:rPr>
              <w:t>0.0032</w:t>
            </w:r>
          </w:p>
        </w:tc>
        <w:tc>
          <w:tcPr>
            <w:tcW w:w="993" w:type="dxa"/>
            <w:noWrap/>
            <w:vAlign w:val="center"/>
          </w:tcPr>
          <w:p w14:paraId="07AD6271">
            <w:pPr>
              <w:pStyle w:val="33"/>
              <w:rPr>
                <w:color w:val="auto"/>
              </w:rPr>
            </w:pPr>
            <w:r>
              <w:rPr>
                <w:rFonts w:hint="eastAsia"/>
                <w:color w:val="auto"/>
              </w:rPr>
              <w:t>0.0015</w:t>
            </w:r>
          </w:p>
        </w:tc>
      </w:tr>
    </w:tbl>
    <w:p w14:paraId="2B389D65">
      <w:pPr>
        <w:ind w:firstLine="0" w:firstLineChars="0"/>
        <w:rPr>
          <w:color w:val="auto"/>
        </w:rPr>
      </w:pPr>
    </w:p>
    <w:p w14:paraId="357827D5">
      <w:pPr>
        <w:pStyle w:val="7"/>
        <w:rPr>
          <w:color w:val="auto"/>
        </w:rPr>
      </w:pPr>
      <w:r>
        <w:rPr>
          <w:color w:val="auto"/>
        </w:rPr>
        <w:t>大气污染物</w:t>
      </w:r>
      <w:r>
        <w:rPr>
          <w:rFonts w:hint="eastAsia"/>
          <w:color w:val="auto"/>
        </w:rPr>
        <w:t>无组织</w:t>
      </w:r>
      <w:r>
        <w:rPr>
          <w:color w:val="auto"/>
        </w:rPr>
        <w:t>排放清单</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3"/>
        <w:gridCol w:w="1722"/>
        <w:gridCol w:w="851"/>
        <w:gridCol w:w="708"/>
        <w:gridCol w:w="851"/>
        <w:gridCol w:w="850"/>
        <w:gridCol w:w="709"/>
        <w:gridCol w:w="851"/>
        <w:gridCol w:w="992"/>
        <w:gridCol w:w="992"/>
        <w:gridCol w:w="851"/>
        <w:gridCol w:w="1275"/>
        <w:gridCol w:w="1032"/>
        <w:gridCol w:w="936"/>
      </w:tblGrid>
      <w:tr w14:paraId="3EA25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trPr>
        <w:tc>
          <w:tcPr>
            <w:tcW w:w="683" w:type="dxa"/>
            <w:vMerge w:val="restart"/>
            <w:shd w:val="clear" w:color="000000" w:fill="FFFFFF"/>
            <w:vAlign w:val="center"/>
          </w:tcPr>
          <w:p w14:paraId="018DA470">
            <w:pPr>
              <w:pStyle w:val="33"/>
              <w:rPr>
                <w:color w:val="auto"/>
              </w:rPr>
            </w:pPr>
            <w:r>
              <w:rPr>
                <w:rFonts w:hint="eastAsia"/>
                <w:color w:val="auto"/>
              </w:rPr>
              <w:t>编号</w:t>
            </w:r>
          </w:p>
        </w:tc>
        <w:tc>
          <w:tcPr>
            <w:tcW w:w="1722" w:type="dxa"/>
            <w:vMerge w:val="restart"/>
            <w:shd w:val="clear" w:color="000000" w:fill="FFFFFF"/>
            <w:vAlign w:val="center"/>
          </w:tcPr>
          <w:p w14:paraId="31EA0F0A">
            <w:pPr>
              <w:pStyle w:val="33"/>
              <w:rPr>
                <w:color w:val="auto"/>
              </w:rPr>
            </w:pPr>
            <w:r>
              <w:rPr>
                <w:rFonts w:hint="eastAsia"/>
                <w:color w:val="auto"/>
              </w:rPr>
              <w:t>名称</w:t>
            </w:r>
          </w:p>
        </w:tc>
        <w:tc>
          <w:tcPr>
            <w:tcW w:w="1559" w:type="dxa"/>
            <w:gridSpan w:val="2"/>
            <w:vMerge w:val="restart"/>
            <w:shd w:val="clear" w:color="000000" w:fill="FFFFFF"/>
            <w:vAlign w:val="center"/>
          </w:tcPr>
          <w:p w14:paraId="7B4FCEDE">
            <w:pPr>
              <w:pStyle w:val="33"/>
              <w:rPr>
                <w:color w:val="auto"/>
              </w:rPr>
            </w:pPr>
            <w:r>
              <w:rPr>
                <w:rFonts w:hint="eastAsia"/>
                <w:color w:val="auto"/>
              </w:rPr>
              <w:t>面源起点坐标</w:t>
            </w:r>
            <w:r>
              <w:rPr>
                <w:rFonts w:cs="Times New Roman"/>
                <w:color w:val="auto"/>
              </w:rPr>
              <w:t>/m</w:t>
            </w:r>
          </w:p>
        </w:tc>
        <w:tc>
          <w:tcPr>
            <w:tcW w:w="851" w:type="dxa"/>
            <w:vMerge w:val="restart"/>
            <w:shd w:val="clear" w:color="000000" w:fill="FFFFFF"/>
            <w:vAlign w:val="center"/>
          </w:tcPr>
          <w:p w14:paraId="3FC016FE">
            <w:pPr>
              <w:pStyle w:val="33"/>
              <w:rPr>
                <w:color w:val="auto"/>
              </w:rPr>
            </w:pPr>
            <w:r>
              <w:rPr>
                <w:rFonts w:hint="eastAsia"/>
                <w:color w:val="auto"/>
              </w:rPr>
              <w:t>面源海拔高度</w:t>
            </w:r>
            <w:r>
              <w:rPr>
                <w:rFonts w:cs="Times New Roman"/>
                <w:color w:val="auto"/>
              </w:rPr>
              <w:t>/m</w:t>
            </w:r>
          </w:p>
        </w:tc>
        <w:tc>
          <w:tcPr>
            <w:tcW w:w="850" w:type="dxa"/>
            <w:vMerge w:val="restart"/>
            <w:shd w:val="clear" w:color="000000" w:fill="FFFFFF"/>
            <w:vAlign w:val="center"/>
          </w:tcPr>
          <w:p w14:paraId="473EE591">
            <w:pPr>
              <w:pStyle w:val="33"/>
              <w:rPr>
                <w:color w:val="auto"/>
              </w:rPr>
            </w:pPr>
            <w:r>
              <w:rPr>
                <w:rFonts w:hint="eastAsia"/>
                <w:color w:val="auto"/>
              </w:rPr>
              <w:t>面源长度</w:t>
            </w:r>
            <w:r>
              <w:rPr>
                <w:rFonts w:cs="Times New Roman"/>
                <w:color w:val="auto"/>
              </w:rPr>
              <w:t>/m</w:t>
            </w:r>
          </w:p>
        </w:tc>
        <w:tc>
          <w:tcPr>
            <w:tcW w:w="709" w:type="dxa"/>
            <w:vMerge w:val="restart"/>
            <w:shd w:val="clear" w:color="000000" w:fill="FFFFFF"/>
            <w:vAlign w:val="center"/>
          </w:tcPr>
          <w:p w14:paraId="52F9B69A">
            <w:pPr>
              <w:pStyle w:val="33"/>
              <w:rPr>
                <w:color w:val="auto"/>
              </w:rPr>
            </w:pPr>
            <w:r>
              <w:rPr>
                <w:rFonts w:hint="eastAsia"/>
                <w:color w:val="auto"/>
              </w:rPr>
              <w:t>面源宽度</w:t>
            </w:r>
            <w:r>
              <w:rPr>
                <w:rFonts w:cs="Times New Roman"/>
                <w:color w:val="auto"/>
              </w:rPr>
              <w:t>/m</w:t>
            </w:r>
          </w:p>
        </w:tc>
        <w:tc>
          <w:tcPr>
            <w:tcW w:w="851" w:type="dxa"/>
            <w:vMerge w:val="restart"/>
            <w:shd w:val="clear" w:color="000000" w:fill="FFFFFF"/>
            <w:vAlign w:val="center"/>
          </w:tcPr>
          <w:p w14:paraId="50DF245C">
            <w:pPr>
              <w:pStyle w:val="33"/>
              <w:rPr>
                <w:color w:val="auto"/>
              </w:rPr>
            </w:pPr>
            <w:r>
              <w:rPr>
                <w:rFonts w:hint="eastAsia"/>
                <w:color w:val="auto"/>
              </w:rPr>
              <w:t>与正北向夹角</w:t>
            </w:r>
            <w:r>
              <w:rPr>
                <w:rFonts w:cs="Times New Roman"/>
                <w:color w:val="auto"/>
              </w:rPr>
              <w:t>/°</w:t>
            </w:r>
          </w:p>
        </w:tc>
        <w:tc>
          <w:tcPr>
            <w:tcW w:w="992" w:type="dxa"/>
            <w:vMerge w:val="restart"/>
            <w:shd w:val="clear" w:color="000000" w:fill="FFFFFF"/>
            <w:vAlign w:val="center"/>
          </w:tcPr>
          <w:p w14:paraId="1B82C546">
            <w:pPr>
              <w:pStyle w:val="33"/>
              <w:rPr>
                <w:color w:val="auto"/>
              </w:rPr>
            </w:pPr>
            <w:r>
              <w:rPr>
                <w:rFonts w:hint="eastAsia"/>
                <w:color w:val="auto"/>
              </w:rPr>
              <w:t>面源有效排放高度</w:t>
            </w:r>
            <w:r>
              <w:rPr>
                <w:rFonts w:cs="Times New Roman"/>
                <w:color w:val="auto"/>
              </w:rPr>
              <w:t>/m</w:t>
            </w:r>
          </w:p>
        </w:tc>
        <w:tc>
          <w:tcPr>
            <w:tcW w:w="992" w:type="dxa"/>
            <w:vMerge w:val="restart"/>
            <w:shd w:val="clear" w:color="000000" w:fill="FFFFFF"/>
            <w:vAlign w:val="center"/>
          </w:tcPr>
          <w:p w14:paraId="02D6DED5">
            <w:pPr>
              <w:pStyle w:val="33"/>
              <w:rPr>
                <w:color w:val="auto"/>
              </w:rPr>
            </w:pPr>
            <w:r>
              <w:rPr>
                <w:rFonts w:hint="eastAsia"/>
                <w:color w:val="auto"/>
              </w:rPr>
              <w:t>年排放小时数</w:t>
            </w:r>
            <w:r>
              <w:rPr>
                <w:rFonts w:cs="Times New Roman"/>
                <w:color w:val="auto"/>
              </w:rPr>
              <w:t>/h</w:t>
            </w:r>
          </w:p>
        </w:tc>
        <w:tc>
          <w:tcPr>
            <w:tcW w:w="4094" w:type="dxa"/>
            <w:gridSpan w:val="4"/>
            <w:shd w:val="clear" w:color="000000" w:fill="FFFFFF"/>
            <w:vAlign w:val="center"/>
          </w:tcPr>
          <w:p w14:paraId="550F14EB">
            <w:pPr>
              <w:pStyle w:val="33"/>
              <w:rPr>
                <w:rFonts w:eastAsia="Times New Roman" w:cs="Times New Roman"/>
                <w:color w:val="auto"/>
                <w:sz w:val="20"/>
                <w:szCs w:val="20"/>
              </w:rPr>
            </w:pPr>
            <w:r>
              <w:rPr>
                <w:rFonts w:hint="eastAsia"/>
                <w:color w:val="auto"/>
              </w:rPr>
              <w:t>污染物排放速率</w:t>
            </w:r>
            <w:r>
              <w:rPr>
                <w:rFonts w:cs="Times New Roman"/>
                <w:color w:val="auto"/>
              </w:rPr>
              <w:t>/</w:t>
            </w:r>
            <w:r>
              <w:rPr>
                <w:rFonts w:hint="eastAsia"/>
                <w:color w:val="auto"/>
              </w:rPr>
              <w:t>（</w:t>
            </w:r>
            <w:r>
              <w:rPr>
                <w:rFonts w:cs="Times New Roman"/>
                <w:color w:val="auto"/>
              </w:rPr>
              <w:t>kg/h</w:t>
            </w:r>
            <w:r>
              <w:rPr>
                <w:rFonts w:hint="eastAsia"/>
                <w:color w:val="auto"/>
              </w:rPr>
              <w:t>）</w:t>
            </w:r>
          </w:p>
        </w:tc>
      </w:tr>
      <w:tr w14:paraId="59ECF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683" w:type="dxa"/>
            <w:vMerge w:val="continue"/>
            <w:vAlign w:val="center"/>
          </w:tcPr>
          <w:p w14:paraId="68499DEA">
            <w:pPr>
              <w:pStyle w:val="33"/>
              <w:rPr>
                <w:color w:val="auto"/>
              </w:rPr>
            </w:pPr>
          </w:p>
        </w:tc>
        <w:tc>
          <w:tcPr>
            <w:tcW w:w="1722" w:type="dxa"/>
            <w:vMerge w:val="continue"/>
            <w:vAlign w:val="center"/>
          </w:tcPr>
          <w:p w14:paraId="6B3C09B9">
            <w:pPr>
              <w:pStyle w:val="33"/>
              <w:rPr>
                <w:color w:val="auto"/>
              </w:rPr>
            </w:pPr>
          </w:p>
        </w:tc>
        <w:tc>
          <w:tcPr>
            <w:tcW w:w="1559" w:type="dxa"/>
            <w:gridSpan w:val="2"/>
            <w:vMerge w:val="continue"/>
            <w:vAlign w:val="center"/>
          </w:tcPr>
          <w:p w14:paraId="794DF7BD">
            <w:pPr>
              <w:pStyle w:val="33"/>
              <w:rPr>
                <w:color w:val="auto"/>
              </w:rPr>
            </w:pPr>
          </w:p>
        </w:tc>
        <w:tc>
          <w:tcPr>
            <w:tcW w:w="851" w:type="dxa"/>
            <w:vMerge w:val="continue"/>
            <w:vAlign w:val="center"/>
          </w:tcPr>
          <w:p w14:paraId="3F25FF7A">
            <w:pPr>
              <w:pStyle w:val="33"/>
              <w:rPr>
                <w:color w:val="auto"/>
              </w:rPr>
            </w:pPr>
          </w:p>
        </w:tc>
        <w:tc>
          <w:tcPr>
            <w:tcW w:w="850" w:type="dxa"/>
            <w:vMerge w:val="continue"/>
            <w:vAlign w:val="center"/>
          </w:tcPr>
          <w:p w14:paraId="2FC6C1DD">
            <w:pPr>
              <w:pStyle w:val="33"/>
              <w:rPr>
                <w:color w:val="auto"/>
              </w:rPr>
            </w:pPr>
          </w:p>
        </w:tc>
        <w:tc>
          <w:tcPr>
            <w:tcW w:w="709" w:type="dxa"/>
            <w:vMerge w:val="continue"/>
            <w:vAlign w:val="center"/>
          </w:tcPr>
          <w:p w14:paraId="77080D41">
            <w:pPr>
              <w:pStyle w:val="33"/>
              <w:rPr>
                <w:color w:val="auto"/>
              </w:rPr>
            </w:pPr>
          </w:p>
        </w:tc>
        <w:tc>
          <w:tcPr>
            <w:tcW w:w="851" w:type="dxa"/>
            <w:vMerge w:val="continue"/>
            <w:vAlign w:val="center"/>
          </w:tcPr>
          <w:p w14:paraId="0AF16BE1">
            <w:pPr>
              <w:pStyle w:val="33"/>
              <w:rPr>
                <w:color w:val="auto"/>
              </w:rPr>
            </w:pPr>
          </w:p>
        </w:tc>
        <w:tc>
          <w:tcPr>
            <w:tcW w:w="992" w:type="dxa"/>
            <w:vMerge w:val="continue"/>
            <w:vAlign w:val="center"/>
          </w:tcPr>
          <w:p w14:paraId="6AC4548D">
            <w:pPr>
              <w:pStyle w:val="33"/>
              <w:rPr>
                <w:color w:val="auto"/>
              </w:rPr>
            </w:pPr>
          </w:p>
        </w:tc>
        <w:tc>
          <w:tcPr>
            <w:tcW w:w="992" w:type="dxa"/>
            <w:vMerge w:val="continue"/>
            <w:vAlign w:val="center"/>
          </w:tcPr>
          <w:p w14:paraId="08EC9FCF">
            <w:pPr>
              <w:pStyle w:val="33"/>
              <w:rPr>
                <w:color w:val="auto"/>
              </w:rPr>
            </w:pPr>
          </w:p>
        </w:tc>
        <w:tc>
          <w:tcPr>
            <w:tcW w:w="851" w:type="dxa"/>
            <w:vMerge w:val="restart"/>
            <w:shd w:val="clear" w:color="000000" w:fill="FFFFFF"/>
            <w:vAlign w:val="center"/>
          </w:tcPr>
          <w:p w14:paraId="4C75E2A8">
            <w:pPr>
              <w:pStyle w:val="33"/>
              <w:rPr>
                <w:color w:val="auto"/>
              </w:rPr>
            </w:pPr>
            <w:r>
              <w:rPr>
                <w:rFonts w:cs="Times New Roman"/>
                <w:color w:val="auto"/>
              </w:rPr>
              <w:t>TSP</w:t>
            </w:r>
          </w:p>
        </w:tc>
        <w:tc>
          <w:tcPr>
            <w:tcW w:w="1275" w:type="dxa"/>
            <w:vMerge w:val="restart"/>
            <w:shd w:val="clear" w:color="000000" w:fill="FFFFFF"/>
            <w:vAlign w:val="center"/>
          </w:tcPr>
          <w:p w14:paraId="61851FAB">
            <w:pPr>
              <w:pStyle w:val="33"/>
              <w:rPr>
                <w:color w:val="auto"/>
              </w:rPr>
            </w:pPr>
            <w:r>
              <w:rPr>
                <w:rFonts w:hint="eastAsia"/>
                <w:color w:val="auto"/>
              </w:rPr>
              <w:t>非甲烷总烃</w:t>
            </w:r>
          </w:p>
        </w:tc>
        <w:tc>
          <w:tcPr>
            <w:tcW w:w="1032" w:type="dxa"/>
            <w:vMerge w:val="restart"/>
            <w:vAlign w:val="center"/>
          </w:tcPr>
          <w:p w14:paraId="167D14B7">
            <w:pPr>
              <w:pStyle w:val="33"/>
              <w:rPr>
                <w:color w:val="auto"/>
              </w:rPr>
            </w:pPr>
            <w:r>
              <w:rPr>
                <w:rFonts w:hint="eastAsia"/>
                <w:color w:val="auto"/>
              </w:rPr>
              <w:t>氨</w:t>
            </w:r>
          </w:p>
        </w:tc>
        <w:tc>
          <w:tcPr>
            <w:tcW w:w="936" w:type="dxa"/>
            <w:vMerge w:val="restart"/>
            <w:noWrap/>
            <w:vAlign w:val="center"/>
          </w:tcPr>
          <w:p w14:paraId="579067DA">
            <w:pPr>
              <w:pStyle w:val="33"/>
              <w:rPr>
                <w:color w:val="auto"/>
              </w:rPr>
            </w:pPr>
            <w:r>
              <w:rPr>
                <w:rFonts w:hint="eastAsia"/>
                <w:color w:val="auto"/>
              </w:rPr>
              <w:t>硫化氢</w:t>
            </w:r>
          </w:p>
        </w:tc>
      </w:tr>
      <w:tr w14:paraId="10816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683" w:type="dxa"/>
            <w:vMerge w:val="continue"/>
            <w:vAlign w:val="center"/>
          </w:tcPr>
          <w:p w14:paraId="73176B8C">
            <w:pPr>
              <w:pStyle w:val="33"/>
              <w:rPr>
                <w:color w:val="auto"/>
              </w:rPr>
            </w:pPr>
          </w:p>
        </w:tc>
        <w:tc>
          <w:tcPr>
            <w:tcW w:w="1722" w:type="dxa"/>
            <w:vMerge w:val="continue"/>
            <w:vAlign w:val="center"/>
          </w:tcPr>
          <w:p w14:paraId="6485E1ED">
            <w:pPr>
              <w:pStyle w:val="33"/>
              <w:rPr>
                <w:color w:val="auto"/>
              </w:rPr>
            </w:pPr>
          </w:p>
        </w:tc>
        <w:tc>
          <w:tcPr>
            <w:tcW w:w="851" w:type="dxa"/>
            <w:shd w:val="clear" w:color="000000" w:fill="FFFFFF"/>
            <w:vAlign w:val="center"/>
          </w:tcPr>
          <w:p w14:paraId="7F393BE7">
            <w:pPr>
              <w:pStyle w:val="33"/>
              <w:rPr>
                <w:rFonts w:cs="Times New Roman"/>
                <w:i/>
                <w:iCs/>
                <w:color w:val="auto"/>
              </w:rPr>
            </w:pPr>
            <w:r>
              <w:rPr>
                <w:rFonts w:cs="Times New Roman"/>
                <w:i/>
                <w:iCs/>
                <w:color w:val="auto"/>
              </w:rPr>
              <w:t>X</w:t>
            </w:r>
          </w:p>
        </w:tc>
        <w:tc>
          <w:tcPr>
            <w:tcW w:w="708" w:type="dxa"/>
            <w:shd w:val="clear" w:color="000000" w:fill="FFFFFF"/>
            <w:vAlign w:val="center"/>
          </w:tcPr>
          <w:p w14:paraId="51BC01F5">
            <w:pPr>
              <w:pStyle w:val="33"/>
              <w:rPr>
                <w:rFonts w:cs="Times New Roman"/>
                <w:i/>
                <w:iCs/>
                <w:color w:val="auto"/>
              </w:rPr>
            </w:pPr>
            <w:r>
              <w:rPr>
                <w:rFonts w:cs="Times New Roman"/>
                <w:i/>
                <w:iCs/>
                <w:color w:val="auto"/>
              </w:rPr>
              <w:t>Y</w:t>
            </w:r>
          </w:p>
        </w:tc>
        <w:tc>
          <w:tcPr>
            <w:tcW w:w="851" w:type="dxa"/>
            <w:vMerge w:val="continue"/>
            <w:vAlign w:val="center"/>
          </w:tcPr>
          <w:p w14:paraId="34A3E35B">
            <w:pPr>
              <w:pStyle w:val="33"/>
              <w:rPr>
                <w:color w:val="auto"/>
              </w:rPr>
            </w:pPr>
          </w:p>
        </w:tc>
        <w:tc>
          <w:tcPr>
            <w:tcW w:w="850" w:type="dxa"/>
            <w:vMerge w:val="continue"/>
            <w:vAlign w:val="center"/>
          </w:tcPr>
          <w:p w14:paraId="0E55DB40">
            <w:pPr>
              <w:pStyle w:val="33"/>
              <w:rPr>
                <w:color w:val="auto"/>
              </w:rPr>
            </w:pPr>
          </w:p>
        </w:tc>
        <w:tc>
          <w:tcPr>
            <w:tcW w:w="709" w:type="dxa"/>
            <w:vMerge w:val="continue"/>
            <w:vAlign w:val="center"/>
          </w:tcPr>
          <w:p w14:paraId="0EC8DAC7">
            <w:pPr>
              <w:pStyle w:val="33"/>
              <w:rPr>
                <w:color w:val="auto"/>
              </w:rPr>
            </w:pPr>
          </w:p>
        </w:tc>
        <w:tc>
          <w:tcPr>
            <w:tcW w:w="851" w:type="dxa"/>
            <w:vMerge w:val="continue"/>
            <w:vAlign w:val="center"/>
          </w:tcPr>
          <w:p w14:paraId="4A7DC46E">
            <w:pPr>
              <w:pStyle w:val="33"/>
              <w:rPr>
                <w:color w:val="auto"/>
              </w:rPr>
            </w:pPr>
          </w:p>
        </w:tc>
        <w:tc>
          <w:tcPr>
            <w:tcW w:w="992" w:type="dxa"/>
            <w:vMerge w:val="continue"/>
            <w:vAlign w:val="center"/>
          </w:tcPr>
          <w:p w14:paraId="55E59C62">
            <w:pPr>
              <w:pStyle w:val="33"/>
              <w:rPr>
                <w:color w:val="auto"/>
              </w:rPr>
            </w:pPr>
          </w:p>
        </w:tc>
        <w:tc>
          <w:tcPr>
            <w:tcW w:w="992" w:type="dxa"/>
            <w:vMerge w:val="continue"/>
            <w:vAlign w:val="center"/>
          </w:tcPr>
          <w:p w14:paraId="64AD2F12">
            <w:pPr>
              <w:pStyle w:val="33"/>
              <w:rPr>
                <w:color w:val="auto"/>
              </w:rPr>
            </w:pPr>
          </w:p>
        </w:tc>
        <w:tc>
          <w:tcPr>
            <w:tcW w:w="851" w:type="dxa"/>
            <w:vMerge w:val="continue"/>
            <w:vAlign w:val="center"/>
          </w:tcPr>
          <w:p w14:paraId="3935C6E4">
            <w:pPr>
              <w:pStyle w:val="33"/>
              <w:rPr>
                <w:color w:val="auto"/>
              </w:rPr>
            </w:pPr>
          </w:p>
        </w:tc>
        <w:tc>
          <w:tcPr>
            <w:tcW w:w="1275" w:type="dxa"/>
            <w:vMerge w:val="continue"/>
            <w:vAlign w:val="center"/>
          </w:tcPr>
          <w:p w14:paraId="5F1BED92">
            <w:pPr>
              <w:pStyle w:val="33"/>
              <w:rPr>
                <w:color w:val="auto"/>
              </w:rPr>
            </w:pPr>
          </w:p>
        </w:tc>
        <w:tc>
          <w:tcPr>
            <w:tcW w:w="1032" w:type="dxa"/>
            <w:vMerge w:val="continue"/>
            <w:vAlign w:val="center"/>
          </w:tcPr>
          <w:p w14:paraId="2DFA4327">
            <w:pPr>
              <w:pStyle w:val="33"/>
              <w:rPr>
                <w:rFonts w:eastAsia="Times New Roman" w:cs="Times New Roman"/>
                <w:color w:val="auto"/>
                <w:sz w:val="20"/>
                <w:szCs w:val="20"/>
              </w:rPr>
            </w:pPr>
          </w:p>
        </w:tc>
        <w:tc>
          <w:tcPr>
            <w:tcW w:w="936" w:type="dxa"/>
            <w:vMerge w:val="continue"/>
            <w:noWrap/>
            <w:vAlign w:val="center"/>
          </w:tcPr>
          <w:p w14:paraId="74EF0435">
            <w:pPr>
              <w:pStyle w:val="33"/>
              <w:rPr>
                <w:rFonts w:eastAsia="Times New Roman" w:cs="Times New Roman"/>
                <w:color w:val="auto"/>
                <w:sz w:val="20"/>
                <w:szCs w:val="20"/>
              </w:rPr>
            </w:pPr>
          </w:p>
        </w:tc>
      </w:tr>
      <w:tr w14:paraId="4E772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3" w:type="dxa"/>
            <w:noWrap/>
            <w:vAlign w:val="center"/>
          </w:tcPr>
          <w:p w14:paraId="500CA097">
            <w:pPr>
              <w:pStyle w:val="33"/>
              <w:rPr>
                <w:color w:val="auto"/>
              </w:rPr>
            </w:pPr>
            <w:r>
              <w:rPr>
                <w:rFonts w:hint="eastAsia"/>
                <w:color w:val="auto"/>
              </w:rPr>
              <w:t>A1</w:t>
            </w:r>
          </w:p>
        </w:tc>
        <w:tc>
          <w:tcPr>
            <w:tcW w:w="1722" w:type="dxa"/>
            <w:noWrap/>
            <w:vAlign w:val="center"/>
          </w:tcPr>
          <w:p w14:paraId="0F79AB68">
            <w:pPr>
              <w:pStyle w:val="33"/>
              <w:rPr>
                <w:color w:val="auto"/>
              </w:rPr>
            </w:pPr>
            <w:r>
              <w:rPr>
                <w:rFonts w:hint="eastAsia"/>
                <w:color w:val="auto"/>
              </w:rPr>
              <w:t>1#GCC间</w:t>
            </w:r>
          </w:p>
        </w:tc>
        <w:tc>
          <w:tcPr>
            <w:tcW w:w="851" w:type="dxa"/>
            <w:noWrap/>
            <w:vAlign w:val="center"/>
          </w:tcPr>
          <w:p w14:paraId="49B1737F">
            <w:pPr>
              <w:pStyle w:val="33"/>
              <w:rPr>
                <w:color w:val="auto"/>
              </w:rPr>
            </w:pPr>
            <w:r>
              <w:rPr>
                <w:rFonts w:hint="eastAsia"/>
                <w:color w:val="auto"/>
              </w:rPr>
              <w:t>868</w:t>
            </w:r>
          </w:p>
        </w:tc>
        <w:tc>
          <w:tcPr>
            <w:tcW w:w="708" w:type="dxa"/>
            <w:noWrap/>
            <w:vAlign w:val="center"/>
          </w:tcPr>
          <w:p w14:paraId="37A8AA40">
            <w:pPr>
              <w:pStyle w:val="33"/>
              <w:rPr>
                <w:color w:val="auto"/>
              </w:rPr>
            </w:pPr>
            <w:r>
              <w:rPr>
                <w:rFonts w:hint="eastAsia"/>
                <w:color w:val="auto"/>
              </w:rPr>
              <w:t>814</w:t>
            </w:r>
          </w:p>
        </w:tc>
        <w:tc>
          <w:tcPr>
            <w:tcW w:w="851" w:type="dxa"/>
            <w:noWrap/>
            <w:vAlign w:val="center"/>
          </w:tcPr>
          <w:p w14:paraId="5C982E4B">
            <w:pPr>
              <w:pStyle w:val="33"/>
              <w:rPr>
                <w:color w:val="auto"/>
              </w:rPr>
            </w:pPr>
            <w:r>
              <w:rPr>
                <w:rFonts w:hint="eastAsia"/>
                <w:color w:val="auto"/>
              </w:rPr>
              <w:t>12</w:t>
            </w:r>
          </w:p>
        </w:tc>
        <w:tc>
          <w:tcPr>
            <w:tcW w:w="850" w:type="dxa"/>
            <w:noWrap/>
            <w:vAlign w:val="center"/>
          </w:tcPr>
          <w:p w14:paraId="5534D34E">
            <w:pPr>
              <w:pStyle w:val="33"/>
              <w:rPr>
                <w:color w:val="auto"/>
              </w:rPr>
            </w:pPr>
            <w:r>
              <w:rPr>
                <w:rFonts w:hint="eastAsia"/>
                <w:color w:val="auto"/>
              </w:rPr>
              <w:t>51</w:t>
            </w:r>
          </w:p>
        </w:tc>
        <w:tc>
          <w:tcPr>
            <w:tcW w:w="709" w:type="dxa"/>
            <w:noWrap/>
            <w:vAlign w:val="center"/>
          </w:tcPr>
          <w:p w14:paraId="669B2BEE">
            <w:pPr>
              <w:pStyle w:val="33"/>
              <w:rPr>
                <w:color w:val="auto"/>
              </w:rPr>
            </w:pPr>
            <w:r>
              <w:rPr>
                <w:rFonts w:hint="eastAsia"/>
                <w:color w:val="auto"/>
              </w:rPr>
              <w:t>100</w:t>
            </w:r>
          </w:p>
        </w:tc>
        <w:tc>
          <w:tcPr>
            <w:tcW w:w="851" w:type="dxa"/>
            <w:noWrap/>
            <w:vAlign w:val="center"/>
          </w:tcPr>
          <w:p w14:paraId="69F12612">
            <w:pPr>
              <w:pStyle w:val="33"/>
              <w:rPr>
                <w:color w:val="auto"/>
              </w:rPr>
            </w:pPr>
            <w:r>
              <w:rPr>
                <w:rFonts w:hint="eastAsia"/>
                <w:color w:val="auto"/>
              </w:rPr>
              <w:t>7</w:t>
            </w:r>
          </w:p>
        </w:tc>
        <w:tc>
          <w:tcPr>
            <w:tcW w:w="992" w:type="dxa"/>
            <w:noWrap/>
            <w:vAlign w:val="center"/>
          </w:tcPr>
          <w:p w14:paraId="634E6DDC">
            <w:pPr>
              <w:pStyle w:val="33"/>
              <w:rPr>
                <w:color w:val="auto"/>
              </w:rPr>
            </w:pPr>
            <w:r>
              <w:rPr>
                <w:rFonts w:hint="eastAsia"/>
                <w:color w:val="auto"/>
              </w:rPr>
              <w:t>23</w:t>
            </w:r>
          </w:p>
        </w:tc>
        <w:tc>
          <w:tcPr>
            <w:tcW w:w="992" w:type="dxa"/>
            <w:noWrap/>
            <w:vAlign w:val="center"/>
          </w:tcPr>
          <w:p w14:paraId="52D96B49">
            <w:pPr>
              <w:pStyle w:val="33"/>
              <w:rPr>
                <w:color w:val="auto"/>
              </w:rPr>
            </w:pPr>
            <w:r>
              <w:rPr>
                <w:rFonts w:hint="eastAsia"/>
                <w:color w:val="auto"/>
              </w:rPr>
              <w:t>8160</w:t>
            </w:r>
          </w:p>
        </w:tc>
        <w:tc>
          <w:tcPr>
            <w:tcW w:w="851" w:type="dxa"/>
            <w:noWrap/>
            <w:vAlign w:val="center"/>
          </w:tcPr>
          <w:p w14:paraId="60C53C36">
            <w:pPr>
              <w:pStyle w:val="33"/>
              <w:rPr>
                <w:color w:val="auto"/>
              </w:rPr>
            </w:pPr>
            <w:r>
              <w:rPr>
                <w:rFonts w:cs="Times New Roman"/>
                <w:color w:val="auto"/>
              </w:rPr>
              <w:t>0.56</w:t>
            </w:r>
          </w:p>
        </w:tc>
        <w:tc>
          <w:tcPr>
            <w:tcW w:w="1275" w:type="dxa"/>
            <w:noWrap/>
            <w:vAlign w:val="center"/>
          </w:tcPr>
          <w:p w14:paraId="09A3DAD5">
            <w:pPr>
              <w:pStyle w:val="33"/>
              <w:rPr>
                <w:color w:val="auto"/>
              </w:rPr>
            </w:pPr>
            <w:r>
              <w:rPr>
                <w:rFonts w:hint="eastAsia"/>
                <w:color w:val="auto"/>
              </w:rPr>
              <w:t>0</w:t>
            </w:r>
          </w:p>
        </w:tc>
        <w:tc>
          <w:tcPr>
            <w:tcW w:w="1032" w:type="dxa"/>
            <w:vAlign w:val="center"/>
          </w:tcPr>
          <w:p w14:paraId="22AD2672">
            <w:pPr>
              <w:pStyle w:val="33"/>
              <w:rPr>
                <w:color w:val="auto"/>
              </w:rPr>
            </w:pPr>
            <w:r>
              <w:rPr>
                <w:rFonts w:hint="eastAsia"/>
                <w:color w:val="auto"/>
              </w:rPr>
              <w:t>0</w:t>
            </w:r>
          </w:p>
        </w:tc>
        <w:tc>
          <w:tcPr>
            <w:tcW w:w="936" w:type="dxa"/>
            <w:noWrap/>
            <w:vAlign w:val="center"/>
          </w:tcPr>
          <w:p w14:paraId="67A8B6BB">
            <w:pPr>
              <w:pStyle w:val="33"/>
              <w:rPr>
                <w:color w:val="auto"/>
              </w:rPr>
            </w:pPr>
            <w:r>
              <w:rPr>
                <w:rFonts w:hint="eastAsia"/>
                <w:color w:val="auto"/>
              </w:rPr>
              <w:t>0</w:t>
            </w:r>
          </w:p>
        </w:tc>
      </w:tr>
      <w:tr w14:paraId="134F14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3" w:type="dxa"/>
            <w:noWrap/>
            <w:vAlign w:val="center"/>
          </w:tcPr>
          <w:p w14:paraId="4B9B256C">
            <w:pPr>
              <w:pStyle w:val="33"/>
              <w:rPr>
                <w:color w:val="auto"/>
              </w:rPr>
            </w:pPr>
            <w:r>
              <w:rPr>
                <w:rFonts w:hint="eastAsia"/>
                <w:color w:val="auto"/>
              </w:rPr>
              <w:t>A2</w:t>
            </w:r>
          </w:p>
        </w:tc>
        <w:tc>
          <w:tcPr>
            <w:tcW w:w="1722" w:type="dxa"/>
            <w:noWrap/>
            <w:vAlign w:val="center"/>
          </w:tcPr>
          <w:p w14:paraId="19F7743B">
            <w:pPr>
              <w:pStyle w:val="33"/>
              <w:rPr>
                <w:color w:val="auto"/>
              </w:rPr>
            </w:pPr>
            <w:r>
              <w:rPr>
                <w:rFonts w:hint="eastAsia"/>
                <w:color w:val="auto"/>
              </w:rPr>
              <w:t>2#GCC间</w:t>
            </w:r>
          </w:p>
        </w:tc>
        <w:tc>
          <w:tcPr>
            <w:tcW w:w="851" w:type="dxa"/>
            <w:noWrap/>
            <w:vAlign w:val="center"/>
          </w:tcPr>
          <w:p w14:paraId="4532C6A9">
            <w:pPr>
              <w:pStyle w:val="33"/>
              <w:rPr>
                <w:color w:val="auto"/>
              </w:rPr>
            </w:pPr>
            <w:r>
              <w:rPr>
                <w:rFonts w:hint="eastAsia"/>
                <w:color w:val="auto"/>
              </w:rPr>
              <w:t>799</w:t>
            </w:r>
          </w:p>
        </w:tc>
        <w:tc>
          <w:tcPr>
            <w:tcW w:w="708" w:type="dxa"/>
            <w:noWrap/>
            <w:vAlign w:val="center"/>
          </w:tcPr>
          <w:p w14:paraId="47FC2952">
            <w:pPr>
              <w:pStyle w:val="33"/>
              <w:rPr>
                <w:color w:val="auto"/>
              </w:rPr>
            </w:pPr>
            <w:r>
              <w:rPr>
                <w:rFonts w:hint="eastAsia"/>
                <w:color w:val="auto"/>
              </w:rPr>
              <w:t>722</w:t>
            </w:r>
          </w:p>
        </w:tc>
        <w:tc>
          <w:tcPr>
            <w:tcW w:w="851" w:type="dxa"/>
            <w:noWrap/>
            <w:vAlign w:val="center"/>
          </w:tcPr>
          <w:p w14:paraId="2FCA0628">
            <w:pPr>
              <w:pStyle w:val="33"/>
              <w:rPr>
                <w:color w:val="auto"/>
              </w:rPr>
            </w:pPr>
            <w:r>
              <w:rPr>
                <w:rFonts w:hint="eastAsia"/>
                <w:color w:val="auto"/>
              </w:rPr>
              <w:t>13</w:t>
            </w:r>
          </w:p>
        </w:tc>
        <w:tc>
          <w:tcPr>
            <w:tcW w:w="850" w:type="dxa"/>
            <w:noWrap/>
            <w:vAlign w:val="center"/>
          </w:tcPr>
          <w:p w14:paraId="745AFE6D">
            <w:pPr>
              <w:pStyle w:val="33"/>
              <w:rPr>
                <w:color w:val="auto"/>
              </w:rPr>
            </w:pPr>
            <w:r>
              <w:rPr>
                <w:rFonts w:hint="eastAsia"/>
                <w:color w:val="auto"/>
              </w:rPr>
              <w:t>100</w:t>
            </w:r>
          </w:p>
        </w:tc>
        <w:tc>
          <w:tcPr>
            <w:tcW w:w="709" w:type="dxa"/>
            <w:noWrap/>
            <w:vAlign w:val="center"/>
          </w:tcPr>
          <w:p w14:paraId="61DF89E4">
            <w:pPr>
              <w:pStyle w:val="33"/>
              <w:rPr>
                <w:color w:val="auto"/>
              </w:rPr>
            </w:pPr>
            <w:r>
              <w:rPr>
                <w:rFonts w:hint="eastAsia"/>
                <w:color w:val="auto"/>
              </w:rPr>
              <w:t>220</w:t>
            </w:r>
          </w:p>
        </w:tc>
        <w:tc>
          <w:tcPr>
            <w:tcW w:w="851" w:type="dxa"/>
            <w:noWrap/>
            <w:vAlign w:val="center"/>
          </w:tcPr>
          <w:p w14:paraId="57B9D80D">
            <w:pPr>
              <w:pStyle w:val="33"/>
              <w:rPr>
                <w:color w:val="auto"/>
              </w:rPr>
            </w:pPr>
            <w:r>
              <w:rPr>
                <w:rFonts w:hint="eastAsia"/>
                <w:color w:val="auto"/>
              </w:rPr>
              <w:t>7</w:t>
            </w:r>
          </w:p>
        </w:tc>
        <w:tc>
          <w:tcPr>
            <w:tcW w:w="992" w:type="dxa"/>
            <w:noWrap/>
            <w:vAlign w:val="center"/>
          </w:tcPr>
          <w:p w14:paraId="0FA25DF7">
            <w:pPr>
              <w:pStyle w:val="33"/>
              <w:rPr>
                <w:color w:val="auto"/>
              </w:rPr>
            </w:pPr>
            <w:r>
              <w:rPr>
                <w:rFonts w:hint="eastAsia"/>
                <w:color w:val="auto"/>
              </w:rPr>
              <w:t>23</w:t>
            </w:r>
          </w:p>
        </w:tc>
        <w:tc>
          <w:tcPr>
            <w:tcW w:w="992" w:type="dxa"/>
            <w:noWrap/>
          </w:tcPr>
          <w:p w14:paraId="62FB8E24">
            <w:pPr>
              <w:pStyle w:val="33"/>
              <w:rPr>
                <w:color w:val="auto"/>
              </w:rPr>
            </w:pPr>
            <w:r>
              <w:rPr>
                <w:rFonts w:hint="eastAsia"/>
                <w:color w:val="auto"/>
              </w:rPr>
              <w:t>8160</w:t>
            </w:r>
          </w:p>
        </w:tc>
        <w:tc>
          <w:tcPr>
            <w:tcW w:w="851" w:type="dxa"/>
            <w:noWrap/>
            <w:vAlign w:val="center"/>
          </w:tcPr>
          <w:p w14:paraId="0AA74727">
            <w:pPr>
              <w:pStyle w:val="33"/>
              <w:rPr>
                <w:color w:val="auto"/>
              </w:rPr>
            </w:pPr>
            <w:r>
              <w:rPr>
                <w:rFonts w:cs="Times New Roman"/>
                <w:color w:val="auto"/>
              </w:rPr>
              <w:t>1.37</w:t>
            </w:r>
          </w:p>
        </w:tc>
        <w:tc>
          <w:tcPr>
            <w:tcW w:w="1275" w:type="dxa"/>
            <w:noWrap/>
            <w:vAlign w:val="center"/>
          </w:tcPr>
          <w:p w14:paraId="4E616A59">
            <w:pPr>
              <w:pStyle w:val="33"/>
              <w:rPr>
                <w:color w:val="auto"/>
              </w:rPr>
            </w:pPr>
            <w:r>
              <w:rPr>
                <w:rFonts w:hint="eastAsia"/>
                <w:color w:val="auto"/>
              </w:rPr>
              <w:t>0</w:t>
            </w:r>
          </w:p>
        </w:tc>
        <w:tc>
          <w:tcPr>
            <w:tcW w:w="1032" w:type="dxa"/>
            <w:vAlign w:val="center"/>
          </w:tcPr>
          <w:p w14:paraId="732A3A26">
            <w:pPr>
              <w:pStyle w:val="33"/>
              <w:rPr>
                <w:color w:val="auto"/>
              </w:rPr>
            </w:pPr>
            <w:r>
              <w:rPr>
                <w:rFonts w:hint="eastAsia"/>
                <w:color w:val="auto"/>
              </w:rPr>
              <w:t>0</w:t>
            </w:r>
          </w:p>
        </w:tc>
        <w:tc>
          <w:tcPr>
            <w:tcW w:w="936" w:type="dxa"/>
            <w:noWrap/>
            <w:vAlign w:val="center"/>
          </w:tcPr>
          <w:p w14:paraId="3605B074">
            <w:pPr>
              <w:pStyle w:val="33"/>
              <w:rPr>
                <w:color w:val="auto"/>
              </w:rPr>
            </w:pPr>
            <w:r>
              <w:rPr>
                <w:rFonts w:hint="eastAsia"/>
                <w:color w:val="auto"/>
              </w:rPr>
              <w:t>0</w:t>
            </w:r>
          </w:p>
        </w:tc>
      </w:tr>
      <w:tr w14:paraId="2ECC7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3" w:type="dxa"/>
            <w:noWrap/>
            <w:vAlign w:val="center"/>
          </w:tcPr>
          <w:p w14:paraId="5BCAB6B9">
            <w:pPr>
              <w:pStyle w:val="33"/>
              <w:rPr>
                <w:color w:val="auto"/>
              </w:rPr>
            </w:pPr>
            <w:r>
              <w:rPr>
                <w:rFonts w:hint="eastAsia"/>
                <w:color w:val="auto"/>
              </w:rPr>
              <w:t>A3</w:t>
            </w:r>
          </w:p>
        </w:tc>
        <w:tc>
          <w:tcPr>
            <w:tcW w:w="1722" w:type="dxa"/>
            <w:noWrap/>
            <w:vAlign w:val="center"/>
          </w:tcPr>
          <w:p w14:paraId="0AD0AE81">
            <w:pPr>
              <w:pStyle w:val="33"/>
              <w:rPr>
                <w:color w:val="auto"/>
              </w:rPr>
            </w:pPr>
            <w:r>
              <w:rPr>
                <w:rFonts w:hint="eastAsia"/>
                <w:color w:val="auto"/>
              </w:rPr>
              <w:t>淋膜纸无组织</w:t>
            </w:r>
          </w:p>
        </w:tc>
        <w:tc>
          <w:tcPr>
            <w:tcW w:w="851" w:type="dxa"/>
            <w:noWrap/>
            <w:vAlign w:val="center"/>
          </w:tcPr>
          <w:p w14:paraId="02C32F6F">
            <w:pPr>
              <w:pStyle w:val="33"/>
              <w:rPr>
                <w:color w:val="auto"/>
              </w:rPr>
            </w:pPr>
            <w:r>
              <w:rPr>
                <w:rFonts w:hint="eastAsia"/>
                <w:color w:val="auto"/>
              </w:rPr>
              <w:t>536</w:t>
            </w:r>
          </w:p>
        </w:tc>
        <w:tc>
          <w:tcPr>
            <w:tcW w:w="708" w:type="dxa"/>
            <w:noWrap/>
            <w:vAlign w:val="center"/>
          </w:tcPr>
          <w:p w14:paraId="14FF5B04">
            <w:pPr>
              <w:pStyle w:val="33"/>
              <w:rPr>
                <w:color w:val="auto"/>
              </w:rPr>
            </w:pPr>
            <w:r>
              <w:rPr>
                <w:rFonts w:hint="eastAsia"/>
                <w:color w:val="auto"/>
              </w:rPr>
              <w:t>337</w:t>
            </w:r>
          </w:p>
        </w:tc>
        <w:tc>
          <w:tcPr>
            <w:tcW w:w="851" w:type="dxa"/>
            <w:noWrap/>
            <w:vAlign w:val="center"/>
          </w:tcPr>
          <w:p w14:paraId="235369F2">
            <w:pPr>
              <w:pStyle w:val="33"/>
              <w:rPr>
                <w:color w:val="auto"/>
              </w:rPr>
            </w:pPr>
            <w:r>
              <w:rPr>
                <w:rFonts w:hint="eastAsia"/>
                <w:color w:val="auto"/>
              </w:rPr>
              <w:t>0</w:t>
            </w:r>
          </w:p>
        </w:tc>
        <w:tc>
          <w:tcPr>
            <w:tcW w:w="850" w:type="dxa"/>
            <w:noWrap/>
            <w:vAlign w:val="center"/>
          </w:tcPr>
          <w:p w14:paraId="521429F3">
            <w:pPr>
              <w:pStyle w:val="33"/>
              <w:rPr>
                <w:color w:val="auto"/>
              </w:rPr>
            </w:pPr>
            <w:r>
              <w:rPr>
                <w:rFonts w:hint="eastAsia"/>
                <w:color w:val="auto"/>
              </w:rPr>
              <w:t>100</w:t>
            </w:r>
          </w:p>
        </w:tc>
        <w:tc>
          <w:tcPr>
            <w:tcW w:w="709" w:type="dxa"/>
            <w:noWrap/>
            <w:vAlign w:val="center"/>
          </w:tcPr>
          <w:p w14:paraId="6A9A4297">
            <w:pPr>
              <w:pStyle w:val="33"/>
              <w:rPr>
                <w:color w:val="auto"/>
              </w:rPr>
            </w:pPr>
            <w:r>
              <w:rPr>
                <w:rFonts w:hint="eastAsia"/>
                <w:color w:val="auto"/>
              </w:rPr>
              <w:t>100</w:t>
            </w:r>
          </w:p>
        </w:tc>
        <w:tc>
          <w:tcPr>
            <w:tcW w:w="851" w:type="dxa"/>
            <w:noWrap/>
            <w:vAlign w:val="center"/>
          </w:tcPr>
          <w:p w14:paraId="3AF9899A">
            <w:pPr>
              <w:pStyle w:val="33"/>
              <w:rPr>
                <w:color w:val="auto"/>
              </w:rPr>
            </w:pPr>
            <w:r>
              <w:rPr>
                <w:rFonts w:hint="eastAsia"/>
                <w:color w:val="auto"/>
              </w:rPr>
              <w:t>7</w:t>
            </w:r>
          </w:p>
        </w:tc>
        <w:tc>
          <w:tcPr>
            <w:tcW w:w="992" w:type="dxa"/>
            <w:noWrap/>
            <w:vAlign w:val="center"/>
          </w:tcPr>
          <w:p w14:paraId="12209E42">
            <w:pPr>
              <w:pStyle w:val="33"/>
              <w:rPr>
                <w:color w:val="auto"/>
              </w:rPr>
            </w:pPr>
            <w:r>
              <w:rPr>
                <w:rFonts w:hint="eastAsia"/>
                <w:color w:val="auto"/>
              </w:rPr>
              <w:t>13</w:t>
            </w:r>
          </w:p>
        </w:tc>
        <w:tc>
          <w:tcPr>
            <w:tcW w:w="992" w:type="dxa"/>
            <w:noWrap/>
          </w:tcPr>
          <w:p w14:paraId="0863FE21">
            <w:pPr>
              <w:pStyle w:val="33"/>
              <w:rPr>
                <w:color w:val="auto"/>
              </w:rPr>
            </w:pPr>
            <w:r>
              <w:rPr>
                <w:rFonts w:hint="eastAsia"/>
                <w:color w:val="auto"/>
              </w:rPr>
              <w:t>8160</w:t>
            </w:r>
          </w:p>
        </w:tc>
        <w:tc>
          <w:tcPr>
            <w:tcW w:w="851" w:type="dxa"/>
            <w:noWrap/>
            <w:vAlign w:val="center"/>
          </w:tcPr>
          <w:p w14:paraId="7C7AE9F7">
            <w:pPr>
              <w:pStyle w:val="33"/>
              <w:rPr>
                <w:color w:val="auto"/>
              </w:rPr>
            </w:pPr>
            <w:r>
              <w:rPr>
                <w:rFonts w:hint="eastAsia"/>
                <w:color w:val="auto"/>
              </w:rPr>
              <w:t>0</w:t>
            </w:r>
          </w:p>
        </w:tc>
        <w:tc>
          <w:tcPr>
            <w:tcW w:w="1275" w:type="dxa"/>
            <w:noWrap/>
            <w:vAlign w:val="center"/>
          </w:tcPr>
          <w:p w14:paraId="126EA0D8">
            <w:pPr>
              <w:pStyle w:val="33"/>
              <w:rPr>
                <w:color w:val="auto"/>
              </w:rPr>
            </w:pPr>
            <w:r>
              <w:rPr>
                <w:rFonts w:hint="eastAsia"/>
                <w:color w:val="auto"/>
              </w:rPr>
              <w:t>0.012</w:t>
            </w:r>
          </w:p>
        </w:tc>
        <w:tc>
          <w:tcPr>
            <w:tcW w:w="1032" w:type="dxa"/>
            <w:noWrap/>
            <w:vAlign w:val="center"/>
          </w:tcPr>
          <w:p w14:paraId="2162D443">
            <w:pPr>
              <w:pStyle w:val="33"/>
              <w:rPr>
                <w:color w:val="auto"/>
              </w:rPr>
            </w:pPr>
            <w:r>
              <w:rPr>
                <w:rFonts w:hint="eastAsia"/>
                <w:color w:val="auto"/>
              </w:rPr>
              <w:t>0</w:t>
            </w:r>
          </w:p>
        </w:tc>
        <w:tc>
          <w:tcPr>
            <w:tcW w:w="936" w:type="dxa"/>
            <w:noWrap/>
            <w:vAlign w:val="center"/>
          </w:tcPr>
          <w:p w14:paraId="6775D72B">
            <w:pPr>
              <w:pStyle w:val="33"/>
              <w:rPr>
                <w:color w:val="auto"/>
              </w:rPr>
            </w:pPr>
            <w:r>
              <w:rPr>
                <w:rFonts w:hint="eastAsia"/>
                <w:color w:val="auto"/>
              </w:rPr>
              <w:t>0</w:t>
            </w:r>
          </w:p>
        </w:tc>
      </w:tr>
      <w:tr w14:paraId="7B0BD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83" w:type="dxa"/>
            <w:noWrap/>
            <w:vAlign w:val="center"/>
          </w:tcPr>
          <w:p w14:paraId="688FEC01">
            <w:pPr>
              <w:pStyle w:val="33"/>
              <w:rPr>
                <w:color w:val="auto"/>
              </w:rPr>
            </w:pPr>
            <w:r>
              <w:rPr>
                <w:rFonts w:hint="eastAsia"/>
                <w:color w:val="auto"/>
              </w:rPr>
              <w:t>A4</w:t>
            </w:r>
          </w:p>
        </w:tc>
        <w:tc>
          <w:tcPr>
            <w:tcW w:w="1722" w:type="dxa"/>
            <w:noWrap/>
            <w:vAlign w:val="center"/>
          </w:tcPr>
          <w:p w14:paraId="745DC80A">
            <w:pPr>
              <w:pStyle w:val="33"/>
              <w:rPr>
                <w:color w:val="auto"/>
              </w:rPr>
            </w:pPr>
            <w:r>
              <w:rPr>
                <w:rFonts w:hint="eastAsia"/>
                <w:color w:val="auto"/>
              </w:rPr>
              <w:t>污水处理无组织</w:t>
            </w:r>
          </w:p>
        </w:tc>
        <w:tc>
          <w:tcPr>
            <w:tcW w:w="851" w:type="dxa"/>
            <w:noWrap/>
            <w:vAlign w:val="center"/>
          </w:tcPr>
          <w:p w14:paraId="4CD01421">
            <w:pPr>
              <w:pStyle w:val="33"/>
              <w:rPr>
                <w:color w:val="auto"/>
              </w:rPr>
            </w:pPr>
            <w:r>
              <w:rPr>
                <w:rFonts w:hint="eastAsia"/>
                <w:color w:val="auto"/>
              </w:rPr>
              <w:t>97</w:t>
            </w:r>
          </w:p>
        </w:tc>
        <w:tc>
          <w:tcPr>
            <w:tcW w:w="708" w:type="dxa"/>
            <w:noWrap/>
            <w:vAlign w:val="center"/>
          </w:tcPr>
          <w:p w14:paraId="65A1106D">
            <w:pPr>
              <w:pStyle w:val="33"/>
              <w:rPr>
                <w:color w:val="auto"/>
              </w:rPr>
            </w:pPr>
            <w:r>
              <w:rPr>
                <w:rFonts w:hint="eastAsia"/>
                <w:color w:val="auto"/>
              </w:rPr>
              <w:t>-82</w:t>
            </w:r>
          </w:p>
        </w:tc>
        <w:tc>
          <w:tcPr>
            <w:tcW w:w="851" w:type="dxa"/>
            <w:noWrap/>
            <w:vAlign w:val="center"/>
          </w:tcPr>
          <w:p w14:paraId="6F0008A6">
            <w:pPr>
              <w:pStyle w:val="33"/>
              <w:rPr>
                <w:color w:val="auto"/>
              </w:rPr>
            </w:pPr>
            <w:r>
              <w:rPr>
                <w:rFonts w:hint="eastAsia"/>
                <w:color w:val="auto"/>
              </w:rPr>
              <w:t>1</w:t>
            </w:r>
          </w:p>
        </w:tc>
        <w:tc>
          <w:tcPr>
            <w:tcW w:w="850" w:type="dxa"/>
            <w:noWrap/>
            <w:vAlign w:val="center"/>
          </w:tcPr>
          <w:p w14:paraId="6F58CD73">
            <w:pPr>
              <w:pStyle w:val="33"/>
              <w:rPr>
                <w:color w:val="auto"/>
              </w:rPr>
            </w:pPr>
            <w:r>
              <w:rPr>
                <w:rFonts w:hint="eastAsia"/>
                <w:color w:val="auto"/>
              </w:rPr>
              <w:t>106</w:t>
            </w:r>
          </w:p>
        </w:tc>
        <w:tc>
          <w:tcPr>
            <w:tcW w:w="709" w:type="dxa"/>
            <w:noWrap/>
            <w:vAlign w:val="center"/>
          </w:tcPr>
          <w:p w14:paraId="3CCEAC70">
            <w:pPr>
              <w:pStyle w:val="33"/>
              <w:rPr>
                <w:color w:val="auto"/>
              </w:rPr>
            </w:pPr>
            <w:r>
              <w:rPr>
                <w:rFonts w:hint="eastAsia"/>
                <w:color w:val="auto"/>
              </w:rPr>
              <w:t>218</w:t>
            </w:r>
          </w:p>
        </w:tc>
        <w:tc>
          <w:tcPr>
            <w:tcW w:w="851" w:type="dxa"/>
            <w:noWrap/>
            <w:vAlign w:val="center"/>
          </w:tcPr>
          <w:p w14:paraId="5FBA21AC">
            <w:pPr>
              <w:pStyle w:val="33"/>
              <w:rPr>
                <w:color w:val="auto"/>
              </w:rPr>
            </w:pPr>
            <w:r>
              <w:rPr>
                <w:rFonts w:hint="eastAsia"/>
                <w:color w:val="auto"/>
              </w:rPr>
              <w:t>7</w:t>
            </w:r>
          </w:p>
        </w:tc>
        <w:tc>
          <w:tcPr>
            <w:tcW w:w="992" w:type="dxa"/>
            <w:noWrap/>
            <w:vAlign w:val="center"/>
          </w:tcPr>
          <w:p w14:paraId="02AAAD4A">
            <w:pPr>
              <w:pStyle w:val="33"/>
              <w:rPr>
                <w:color w:val="auto"/>
              </w:rPr>
            </w:pPr>
            <w:r>
              <w:rPr>
                <w:rFonts w:hint="eastAsia"/>
                <w:color w:val="auto"/>
              </w:rPr>
              <w:t>1</w:t>
            </w:r>
          </w:p>
        </w:tc>
        <w:tc>
          <w:tcPr>
            <w:tcW w:w="992" w:type="dxa"/>
            <w:noWrap/>
          </w:tcPr>
          <w:p w14:paraId="68C68F47">
            <w:pPr>
              <w:pStyle w:val="33"/>
              <w:rPr>
                <w:color w:val="auto"/>
              </w:rPr>
            </w:pPr>
            <w:r>
              <w:rPr>
                <w:rFonts w:hint="eastAsia"/>
                <w:color w:val="auto"/>
              </w:rPr>
              <w:t>8160</w:t>
            </w:r>
          </w:p>
        </w:tc>
        <w:tc>
          <w:tcPr>
            <w:tcW w:w="851" w:type="dxa"/>
            <w:noWrap/>
            <w:vAlign w:val="center"/>
          </w:tcPr>
          <w:p w14:paraId="7C52F869">
            <w:pPr>
              <w:pStyle w:val="33"/>
              <w:rPr>
                <w:color w:val="auto"/>
              </w:rPr>
            </w:pPr>
            <w:r>
              <w:rPr>
                <w:rFonts w:hint="eastAsia"/>
                <w:color w:val="auto"/>
              </w:rPr>
              <w:t>0</w:t>
            </w:r>
          </w:p>
        </w:tc>
        <w:tc>
          <w:tcPr>
            <w:tcW w:w="1275" w:type="dxa"/>
            <w:noWrap/>
            <w:vAlign w:val="center"/>
          </w:tcPr>
          <w:p w14:paraId="1610CE5B">
            <w:pPr>
              <w:pStyle w:val="33"/>
              <w:rPr>
                <w:color w:val="auto"/>
              </w:rPr>
            </w:pPr>
            <w:r>
              <w:rPr>
                <w:rFonts w:hint="eastAsia"/>
                <w:color w:val="auto"/>
              </w:rPr>
              <w:t>0</w:t>
            </w:r>
          </w:p>
        </w:tc>
        <w:tc>
          <w:tcPr>
            <w:tcW w:w="1032" w:type="dxa"/>
            <w:noWrap/>
            <w:vAlign w:val="center"/>
          </w:tcPr>
          <w:p w14:paraId="022F4303">
            <w:pPr>
              <w:pStyle w:val="33"/>
              <w:rPr>
                <w:color w:val="auto"/>
              </w:rPr>
            </w:pPr>
            <w:r>
              <w:rPr>
                <w:rFonts w:hint="eastAsia"/>
                <w:color w:val="auto"/>
              </w:rPr>
              <w:t>0.00352</w:t>
            </w:r>
          </w:p>
        </w:tc>
        <w:tc>
          <w:tcPr>
            <w:tcW w:w="936" w:type="dxa"/>
            <w:noWrap/>
            <w:vAlign w:val="center"/>
          </w:tcPr>
          <w:p w14:paraId="6A2A7D0A">
            <w:pPr>
              <w:pStyle w:val="33"/>
              <w:rPr>
                <w:color w:val="auto"/>
              </w:rPr>
            </w:pPr>
            <w:r>
              <w:rPr>
                <w:rFonts w:hint="eastAsia"/>
                <w:color w:val="auto"/>
              </w:rPr>
              <w:t>0.00324</w:t>
            </w:r>
          </w:p>
        </w:tc>
      </w:tr>
    </w:tbl>
    <w:p w14:paraId="36CA464E">
      <w:pPr>
        <w:ind w:firstLine="0" w:firstLineChars="0"/>
        <w:rPr>
          <w:color w:val="auto"/>
        </w:rPr>
        <w:sectPr>
          <w:pgSz w:w="16838" w:h="11906" w:orient="landscape"/>
          <w:pgMar w:top="1418" w:right="1418" w:bottom="1418" w:left="1418" w:header="851" w:footer="992" w:gutter="0"/>
          <w:cols w:space="425" w:num="1"/>
          <w:docGrid w:type="lines" w:linePitch="326" w:charSpace="0"/>
        </w:sectPr>
      </w:pPr>
    </w:p>
    <w:p w14:paraId="462E622D">
      <w:pPr>
        <w:pStyle w:val="4"/>
        <w:rPr>
          <w:color w:val="auto"/>
        </w:rPr>
      </w:pPr>
      <w:bookmarkStart w:id="474" w:name="_Toc225216788"/>
      <w:r>
        <w:rPr>
          <w:color w:val="auto"/>
        </w:rPr>
        <w:t>污染源估算结果</w:t>
      </w:r>
      <w:bookmarkEnd w:id="474"/>
    </w:p>
    <w:p w14:paraId="51DD3DB8">
      <w:pPr>
        <w:ind w:firstLine="480"/>
        <w:rPr>
          <w:color w:val="auto"/>
        </w:rPr>
      </w:pPr>
      <w:r>
        <w:rPr>
          <w:color w:val="auto"/>
        </w:rPr>
        <w:t>采用AERSCREEN模型估算结果见</w:t>
      </w:r>
      <w:r>
        <w:rPr>
          <w:rFonts w:hint="eastAsia"/>
          <w:color w:val="auto"/>
        </w:rPr>
        <w:t>下方各</w:t>
      </w:r>
      <w:r>
        <w:rPr>
          <w:color w:val="auto"/>
        </w:rPr>
        <w:t>表。</w:t>
      </w:r>
    </w:p>
    <w:p w14:paraId="23A8065A">
      <w:pPr>
        <w:pStyle w:val="7"/>
        <w:rPr>
          <w:color w:val="auto"/>
        </w:rPr>
      </w:pPr>
      <w:r>
        <w:rPr>
          <w:rFonts w:hint="eastAsia"/>
          <w:color w:val="auto"/>
        </w:rPr>
        <w:t>污染源估算模型计算结果表</w:t>
      </w:r>
    </w:p>
    <w:tbl>
      <w:tblPr>
        <w:tblStyle w:val="26"/>
        <w:tblW w:w="92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99"/>
        <w:gridCol w:w="1417"/>
        <w:gridCol w:w="1560"/>
        <w:gridCol w:w="992"/>
        <w:gridCol w:w="1977"/>
      </w:tblGrid>
      <w:tr w14:paraId="2F78B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tblHeader/>
        </w:trPr>
        <w:tc>
          <w:tcPr>
            <w:tcW w:w="3299" w:type="dxa"/>
            <w:tcMar>
              <w:top w:w="15" w:type="dxa"/>
              <w:left w:w="15" w:type="dxa"/>
              <w:bottom w:w="0" w:type="dxa"/>
              <w:right w:w="15" w:type="dxa"/>
            </w:tcMar>
            <w:vAlign w:val="center"/>
          </w:tcPr>
          <w:p w14:paraId="05143C8A">
            <w:pPr>
              <w:pStyle w:val="33"/>
              <w:rPr>
                <w:color w:val="auto"/>
              </w:rPr>
            </w:pPr>
            <w:r>
              <w:rPr>
                <w:color w:val="auto"/>
              </w:rPr>
              <w:t>污染源</w:t>
            </w:r>
          </w:p>
        </w:tc>
        <w:tc>
          <w:tcPr>
            <w:tcW w:w="1417" w:type="dxa"/>
            <w:tcMar>
              <w:top w:w="15" w:type="dxa"/>
              <w:left w:w="15" w:type="dxa"/>
              <w:bottom w:w="0" w:type="dxa"/>
              <w:right w:w="15" w:type="dxa"/>
            </w:tcMar>
            <w:vAlign w:val="center"/>
          </w:tcPr>
          <w:p w14:paraId="74633AA5">
            <w:pPr>
              <w:pStyle w:val="33"/>
              <w:rPr>
                <w:color w:val="auto"/>
              </w:rPr>
            </w:pPr>
            <w:r>
              <w:rPr>
                <w:color w:val="auto"/>
              </w:rPr>
              <w:t>污染因子</w:t>
            </w:r>
          </w:p>
        </w:tc>
        <w:tc>
          <w:tcPr>
            <w:tcW w:w="1560" w:type="dxa"/>
            <w:tcMar>
              <w:top w:w="15" w:type="dxa"/>
              <w:left w:w="15" w:type="dxa"/>
              <w:bottom w:w="0" w:type="dxa"/>
              <w:right w:w="15" w:type="dxa"/>
            </w:tcMar>
            <w:vAlign w:val="center"/>
          </w:tcPr>
          <w:p w14:paraId="1DCDB4D8">
            <w:pPr>
              <w:pStyle w:val="33"/>
              <w:rPr>
                <w:color w:val="auto"/>
              </w:rPr>
            </w:pPr>
            <w:r>
              <w:rPr>
                <w:color w:val="auto"/>
              </w:rPr>
              <w:t>下风向最大质量浓度/（μg/m</w:t>
            </w:r>
            <w:r>
              <w:rPr>
                <w:color w:val="auto"/>
                <w:vertAlign w:val="superscript"/>
              </w:rPr>
              <w:t>3</w:t>
            </w:r>
            <w:r>
              <w:rPr>
                <w:color w:val="auto"/>
              </w:rPr>
              <w:t>）</w:t>
            </w:r>
          </w:p>
        </w:tc>
        <w:tc>
          <w:tcPr>
            <w:tcW w:w="992" w:type="dxa"/>
            <w:tcMar>
              <w:top w:w="15" w:type="dxa"/>
              <w:left w:w="15" w:type="dxa"/>
              <w:bottom w:w="0" w:type="dxa"/>
              <w:right w:w="15" w:type="dxa"/>
            </w:tcMar>
            <w:vAlign w:val="center"/>
          </w:tcPr>
          <w:p w14:paraId="779F8155">
            <w:pPr>
              <w:pStyle w:val="33"/>
              <w:rPr>
                <w:color w:val="auto"/>
              </w:rPr>
            </w:pPr>
            <w:r>
              <w:rPr>
                <w:color w:val="auto"/>
              </w:rPr>
              <w:t>最大浓度占标率/%</w:t>
            </w:r>
          </w:p>
        </w:tc>
        <w:tc>
          <w:tcPr>
            <w:tcW w:w="1977" w:type="dxa"/>
            <w:tcMar>
              <w:top w:w="15" w:type="dxa"/>
              <w:left w:w="15" w:type="dxa"/>
              <w:bottom w:w="0" w:type="dxa"/>
              <w:right w:w="15" w:type="dxa"/>
            </w:tcMar>
            <w:vAlign w:val="center"/>
          </w:tcPr>
          <w:p w14:paraId="3D3182EE">
            <w:pPr>
              <w:pStyle w:val="33"/>
              <w:rPr>
                <w:color w:val="auto"/>
              </w:rPr>
            </w:pPr>
            <w:r>
              <w:rPr>
                <w:color w:val="auto"/>
              </w:rPr>
              <w:t>占标准10%对应D10%/m</w:t>
            </w:r>
          </w:p>
        </w:tc>
      </w:tr>
      <w:tr w14:paraId="714C1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443AF7E3">
            <w:pPr>
              <w:pStyle w:val="33"/>
              <w:rPr>
                <w:color w:val="auto"/>
              </w:rPr>
            </w:pPr>
            <w:r>
              <w:rPr>
                <w:rFonts w:hint="eastAsia"/>
                <w:color w:val="auto"/>
              </w:rPr>
              <w:t>1#造纸车间烘干</w:t>
            </w:r>
            <w:r>
              <w:rPr>
                <w:color w:val="auto"/>
              </w:rPr>
              <w:t>废气</w:t>
            </w:r>
          </w:p>
        </w:tc>
        <w:tc>
          <w:tcPr>
            <w:tcW w:w="1417" w:type="dxa"/>
            <w:noWrap/>
            <w:tcMar>
              <w:top w:w="15" w:type="dxa"/>
              <w:left w:w="15" w:type="dxa"/>
              <w:bottom w:w="0" w:type="dxa"/>
              <w:right w:w="15" w:type="dxa"/>
            </w:tcMar>
            <w:vAlign w:val="center"/>
          </w:tcPr>
          <w:p w14:paraId="2544AB24">
            <w:pPr>
              <w:pStyle w:val="33"/>
              <w:rPr>
                <w:color w:val="auto"/>
                <w:vertAlign w:val="subscript"/>
              </w:rPr>
            </w:pPr>
            <w:r>
              <w:rPr>
                <w:color w:val="auto"/>
              </w:rPr>
              <w:t>SO</w:t>
            </w:r>
            <w:r>
              <w:rPr>
                <w:color w:val="auto"/>
                <w:vertAlign w:val="subscript"/>
              </w:rPr>
              <w:t>2</w:t>
            </w:r>
          </w:p>
        </w:tc>
        <w:tc>
          <w:tcPr>
            <w:tcW w:w="1560" w:type="dxa"/>
            <w:noWrap/>
            <w:tcMar>
              <w:top w:w="15" w:type="dxa"/>
              <w:left w:w="15" w:type="dxa"/>
              <w:bottom w:w="0" w:type="dxa"/>
              <w:right w:w="15" w:type="dxa"/>
            </w:tcMar>
          </w:tcPr>
          <w:p w14:paraId="5666383A">
            <w:pPr>
              <w:pStyle w:val="33"/>
              <w:rPr>
                <w:color w:val="auto"/>
              </w:rPr>
            </w:pPr>
            <w:r>
              <w:rPr>
                <w:color w:val="auto"/>
              </w:rPr>
              <w:t>1.2533</w:t>
            </w:r>
          </w:p>
        </w:tc>
        <w:tc>
          <w:tcPr>
            <w:tcW w:w="992" w:type="dxa"/>
            <w:noWrap/>
            <w:tcMar>
              <w:top w:w="15" w:type="dxa"/>
              <w:left w:w="15" w:type="dxa"/>
              <w:bottom w:w="0" w:type="dxa"/>
              <w:right w:w="15" w:type="dxa"/>
            </w:tcMar>
          </w:tcPr>
          <w:p w14:paraId="2A87F318">
            <w:pPr>
              <w:pStyle w:val="33"/>
              <w:rPr>
                <w:color w:val="auto"/>
              </w:rPr>
            </w:pPr>
            <w:r>
              <w:rPr>
                <w:color w:val="auto"/>
              </w:rPr>
              <w:t>0.05</w:t>
            </w:r>
          </w:p>
        </w:tc>
        <w:tc>
          <w:tcPr>
            <w:tcW w:w="1977" w:type="dxa"/>
            <w:noWrap/>
            <w:tcMar>
              <w:top w:w="15" w:type="dxa"/>
              <w:left w:w="15" w:type="dxa"/>
              <w:bottom w:w="0" w:type="dxa"/>
              <w:right w:w="15" w:type="dxa"/>
            </w:tcMar>
            <w:vAlign w:val="center"/>
          </w:tcPr>
          <w:p w14:paraId="3C85BA62">
            <w:pPr>
              <w:pStyle w:val="33"/>
              <w:rPr>
                <w:color w:val="auto"/>
              </w:rPr>
            </w:pPr>
            <w:r>
              <w:rPr>
                <w:rFonts w:hint="eastAsia"/>
                <w:color w:val="auto"/>
              </w:rPr>
              <w:t>0</w:t>
            </w:r>
          </w:p>
        </w:tc>
      </w:tr>
      <w:tr w14:paraId="7D580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0E895DF4">
            <w:pPr>
              <w:pStyle w:val="33"/>
              <w:rPr>
                <w:color w:val="auto"/>
              </w:rPr>
            </w:pPr>
          </w:p>
        </w:tc>
        <w:tc>
          <w:tcPr>
            <w:tcW w:w="1417" w:type="dxa"/>
            <w:noWrap/>
            <w:tcMar>
              <w:top w:w="15" w:type="dxa"/>
              <w:left w:w="15" w:type="dxa"/>
              <w:bottom w:w="0" w:type="dxa"/>
              <w:right w:w="15" w:type="dxa"/>
            </w:tcMar>
            <w:vAlign w:val="center"/>
          </w:tcPr>
          <w:p w14:paraId="46E605A0">
            <w:pPr>
              <w:pStyle w:val="33"/>
              <w:rPr>
                <w:color w:val="auto"/>
                <w:vertAlign w:val="subscript"/>
              </w:rPr>
            </w:pPr>
            <w:r>
              <w:rPr>
                <w:color w:val="auto"/>
              </w:rPr>
              <w:t>NO</w:t>
            </w:r>
            <w:r>
              <w:rPr>
                <w:color w:val="auto"/>
                <w:vertAlign w:val="subscript"/>
              </w:rPr>
              <w:t>2</w:t>
            </w:r>
          </w:p>
        </w:tc>
        <w:tc>
          <w:tcPr>
            <w:tcW w:w="1560" w:type="dxa"/>
            <w:noWrap/>
            <w:tcMar>
              <w:top w:w="15" w:type="dxa"/>
              <w:left w:w="15" w:type="dxa"/>
              <w:bottom w:w="0" w:type="dxa"/>
              <w:right w:w="15" w:type="dxa"/>
            </w:tcMar>
          </w:tcPr>
          <w:p w14:paraId="01729682">
            <w:pPr>
              <w:pStyle w:val="33"/>
              <w:rPr>
                <w:color w:val="auto"/>
              </w:rPr>
            </w:pPr>
            <w:r>
              <w:rPr>
                <w:color w:val="auto"/>
              </w:rPr>
              <w:t>6.7567</w:t>
            </w:r>
          </w:p>
        </w:tc>
        <w:tc>
          <w:tcPr>
            <w:tcW w:w="992" w:type="dxa"/>
            <w:noWrap/>
            <w:tcMar>
              <w:top w:w="15" w:type="dxa"/>
              <w:left w:w="15" w:type="dxa"/>
              <w:bottom w:w="0" w:type="dxa"/>
              <w:right w:w="15" w:type="dxa"/>
            </w:tcMar>
          </w:tcPr>
          <w:p w14:paraId="2404A25D">
            <w:pPr>
              <w:pStyle w:val="33"/>
              <w:rPr>
                <w:color w:val="auto"/>
              </w:rPr>
            </w:pPr>
            <w:r>
              <w:rPr>
                <w:color w:val="auto"/>
              </w:rPr>
              <w:t>0.68</w:t>
            </w:r>
          </w:p>
        </w:tc>
        <w:tc>
          <w:tcPr>
            <w:tcW w:w="1977" w:type="dxa"/>
            <w:noWrap/>
            <w:tcMar>
              <w:top w:w="15" w:type="dxa"/>
              <w:left w:w="15" w:type="dxa"/>
              <w:bottom w:w="0" w:type="dxa"/>
              <w:right w:w="15" w:type="dxa"/>
            </w:tcMar>
          </w:tcPr>
          <w:p w14:paraId="60D598E9">
            <w:pPr>
              <w:pStyle w:val="33"/>
              <w:rPr>
                <w:color w:val="auto"/>
              </w:rPr>
            </w:pPr>
            <w:r>
              <w:rPr>
                <w:rFonts w:hint="eastAsia"/>
                <w:color w:val="auto"/>
              </w:rPr>
              <w:t>0</w:t>
            </w:r>
          </w:p>
        </w:tc>
      </w:tr>
      <w:tr w14:paraId="39996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34233B52">
            <w:pPr>
              <w:pStyle w:val="33"/>
              <w:rPr>
                <w:color w:val="auto"/>
              </w:rPr>
            </w:pPr>
          </w:p>
        </w:tc>
        <w:tc>
          <w:tcPr>
            <w:tcW w:w="1417" w:type="dxa"/>
            <w:noWrap/>
            <w:tcMar>
              <w:top w:w="15" w:type="dxa"/>
              <w:left w:w="15" w:type="dxa"/>
              <w:bottom w:w="0" w:type="dxa"/>
              <w:right w:w="15" w:type="dxa"/>
            </w:tcMar>
            <w:vAlign w:val="center"/>
          </w:tcPr>
          <w:p w14:paraId="46A78F08">
            <w:pPr>
              <w:pStyle w:val="33"/>
              <w:rPr>
                <w:color w:val="auto"/>
                <w:vertAlign w:val="subscript"/>
              </w:rPr>
            </w:pPr>
            <w:r>
              <w:rPr>
                <w:color w:val="auto"/>
              </w:rPr>
              <w:t>PM</w:t>
            </w:r>
            <w:r>
              <w:rPr>
                <w:color w:val="auto"/>
                <w:vertAlign w:val="subscript"/>
              </w:rPr>
              <w:t>10</w:t>
            </w:r>
          </w:p>
        </w:tc>
        <w:tc>
          <w:tcPr>
            <w:tcW w:w="1560" w:type="dxa"/>
            <w:noWrap/>
            <w:tcMar>
              <w:top w:w="15" w:type="dxa"/>
              <w:left w:w="15" w:type="dxa"/>
              <w:bottom w:w="0" w:type="dxa"/>
              <w:right w:w="15" w:type="dxa"/>
            </w:tcMar>
          </w:tcPr>
          <w:p w14:paraId="2527025F">
            <w:pPr>
              <w:pStyle w:val="33"/>
              <w:rPr>
                <w:color w:val="auto"/>
              </w:rPr>
            </w:pPr>
            <w:r>
              <w:rPr>
                <w:color w:val="auto"/>
              </w:rPr>
              <w:t>0.6539</w:t>
            </w:r>
          </w:p>
        </w:tc>
        <w:tc>
          <w:tcPr>
            <w:tcW w:w="992" w:type="dxa"/>
            <w:noWrap/>
            <w:tcMar>
              <w:top w:w="15" w:type="dxa"/>
              <w:left w:w="15" w:type="dxa"/>
              <w:bottom w:w="0" w:type="dxa"/>
              <w:right w:w="15" w:type="dxa"/>
            </w:tcMar>
          </w:tcPr>
          <w:p w14:paraId="6492AF88">
            <w:pPr>
              <w:pStyle w:val="33"/>
              <w:rPr>
                <w:color w:val="auto"/>
              </w:rPr>
            </w:pPr>
            <w:r>
              <w:rPr>
                <w:color w:val="auto"/>
              </w:rPr>
              <w:t>0.04</w:t>
            </w:r>
          </w:p>
        </w:tc>
        <w:tc>
          <w:tcPr>
            <w:tcW w:w="1977" w:type="dxa"/>
            <w:noWrap/>
            <w:tcMar>
              <w:top w:w="15" w:type="dxa"/>
              <w:left w:w="15" w:type="dxa"/>
              <w:bottom w:w="0" w:type="dxa"/>
              <w:right w:w="15" w:type="dxa"/>
            </w:tcMar>
          </w:tcPr>
          <w:p w14:paraId="6A64D702">
            <w:pPr>
              <w:pStyle w:val="33"/>
              <w:rPr>
                <w:color w:val="auto"/>
              </w:rPr>
            </w:pPr>
            <w:r>
              <w:rPr>
                <w:rFonts w:hint="eastAsia"/>
                <w:color w:val="auto"/>
              </w:rPr>
              <w:t>0</w:t>
            </w:r>
          </w:p>
        </w:tc>
      </w:tr>
      <w:tr w14:paraId="34849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4D6E648C">
            <w:pPr>
              <w:pStyle w:val="33"/>
              <w:rPr>
                <w:color w:val="auto"/>
              </w:rPr>
            </w:pPr>
          </w:p>
        </w:tc>
        <w:tc>
          <w:tcPr>
            <w:tcW w:w="1417" w:type="dxa"/>
            <w:noWrap/>
            <w:tcMar>
              <w:top w:w="15" w:type="dxa"/>
              <w:left w:w="15" w:type="dxa"/>
              <w:bottom w:w="0" w:type="dxa"/>
              <w:right w:w="15" w:type="dxa"/>
            </w:tcMar>
            <w:vAlign w:val="center"/>
          </w:tcPr>
          <w:p w14:paraId="1F14228E">
            <w:pPr>
              <w:pStyle w:val="33"/>
              <w:rPr>
                <w:color w:val="auto"/>
                <w:vertAlign w:val="subscript"/>
              </w:rPr>
            </w:pPr>
            <w:r>
              <w:rPr>
                <w:color w:val="auto"/>
              </w:rPr>
              <w:t>PM</w:t>
            </w:r>
            <w:r>
              <w:rPr>
                <w:color w:val="auto"/>
                <w:vertAlign w:val="subscript"/>
              </w:rPr>
              <w:t>2.5</w:t>
            </w:r>
          </w:p>
        </w:tc>
        <w:tc>
          <w:tcPr>
            <w:tcW w:w="1560" w:type="dxa"/>
            <w:noWrap/>
            <w:tcMar>
              <w:top w:w="15" w:type="dxa"/>
              <w:left w:w="15" w:type="dxa"/>
              <w:bottom w:w="0" w:type="dxa"/>
              <w:right w:w="15" w:type="dxa"/>
            </w:tcMar>
          </w:tcPr>
          <w:p w14:paraId="627E774D">
            <w:pPr>
              <w:pStyle w:val="33"/>
              <w:rPr>
                <w:color w:val="auto"/>
              </w:rPr>
            </w:pPr>
            <w:r>
              <w:rPr>
                <w:color w:val="auto"/>
              </w:rPr>
              <w:t>0.3270</w:t>
            </w:r>
          </w:p>
        </w:tc>
        <w:tc>
          <w:tcPr>
            <w:tcW w:w="992" w:type="dxa"/>
            <w:noWrap/>
            <w:tcMar>
              <w:top w:w="15" w:type="dxa"/>
              <w:left w:w="15" w:type="dxa"/>
              <w:bottom w:w="0" w:type="dxa"/>
              <w:right w:w="15" w:type="dxa"/>
            </w:tcMar>
          </w:tcPr>
          <w:p w14:paraId="28B3BD62">
            <w:pPr>
              <w:pStyle w:val="33"/>
              <w:rPr>
                <w:color w:val="auto"/>
              </w:rPr>
            </w:pPr>
            <w:r>
              <w:rPr>
                <w:color w:val="auto"/>
              </w:rPr>
              <w:t>0.04</w:t>
            </w:r>
          </w:p>
        </w:tc>
        <w:tc>
          <w:tcPr>
            <w:tcW w:w="1977" w:type="dxa"/>
            <w:noWrap/>
            <w:tcMar>
              <w:top w:w="15" w:type="dxa"/>
              <w:left w:w="15" w:type="dxa"/>
              <w:bottom w:w="0" w:type="dxa"/>
              <w:right w:w="15" w:type="dxa"/>
            </w:tcMar>
          </w:tcPr>
          <w:p w14:paraId="12752E79">
            <w:pPr>
              <w:pStyle w:val="33"/>
              <w:rPr>
                <w:color w:val="auto"/>
              </w:rPr>
            </w:pPr>
            <w:r>
              <w:rPr>
                <w:rFonts w:hint="eastAsia"/>
                <w:color w:val="auto"/>
              </w:rPr>
              <w:t>0</w:t>
            </w:r>
          </w:p>
        </w:tc>
      </w:tr>
      <w:tr w14:paraId="2BEC3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5CD1A864">
            <w:pPr>
              <w:pStyle w:val="33"/>
              <w:rPr>
                <w:color w:val="auto"/>
              </w:rPr>
            </w:pPr>
            <w:r>
              <w:rPr>
                <w:rFonts w:hint="eastAsia"/>
                <w:color w:val="auto"/>
              </w:rPr>
              <w:t>2#造纸车间烘干</w:t>
            </w:r>
            <w:r>
              <w:rPr>
                <w:color w:val="auto"/>
              </w:rPr>
              <w:t>废气</w:t>
            </w:r>
          </w:p>
        </w:tc>
        <w:tc>
          <w:tcPr>
            <w:tcW w:w="1417" w:type="dxa"/>
            <w:noWrap/>
            <w:tcMar>
              <w:top w:w="15" w:type="dxa"/>
              <w:left w:w="15" w:type="dxa"/>
              <w:bottom w:w="0" w:type="dxa"/>
              <w:right w:w="15" w:type="dxa"/>
            </w:tcMar>
            <w:vAlign w:val="center"/>
          </w:tcPr>
          <w:p w14:paraId="7235E50F">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18A15D66">
            <w:pPr>
              <w:pStyle w:val="33"/>
              <w:rPr>
                <w:color w:val="auto"/>
              </w:rPr>
            </w:pPr>
            <w:r>
              <w:rPr>
                <w:color w:val="auto"/>
              </w:rPr>
              <w:t>1.3528</w:t>
            </w:r>
          </w:p>
        </w:tc>
        <w:tc>
          <w:tcPr>
            <w:tcW w:w="992" w:type="dxa"/>
            <w:noWrap/>
            <w:tcMar>
              <w:top w:w="15" w:type="dxa"/>
              <w:left w:w="15" w:type="dxa"/>
              <w:bottom w:w="0" w:type="dxa"/>
              <w:right w:w="15" w:type="dxa"/>
            </w:tcMar>
          </w:tcPr>
          <w:p w14:paraId="0188C9BB">
            <w:pPr>
              <w:pStyle w:val="33"/>
              <w:rPr>
                <w:color w:val="auto"/>
              </w:rPr>
            </w:pPr>
            <w:r>
              <w:rPr>
                <w:color w:val="auto"/>
              </w:rPr>
              <w:t>0.05</w:t>
            </w:r>
          </w:p>
        </w:tc>
        <w:tc>
          <w:tcPr>
            <w:tcW w:w="1977" w:type="dxa"/>
            <w:noWrap/>
            <w:tcMar>
              <w:top w:w="15" w:type="dxa"/>
              <w:left w:w="15" w:type="dxa"/>
              <w:bottom w:w="0" w:type="dxa"/>
              <w:right w:w="15" w:type="dxa"/>
            </w:tcMar>
          </w:tcPr>
          <w:p w14:paraId="77AFBCD5">
            <w:pPr>
              <w:pStyle w:val="33"/>
              <w:rPr>
                <w:color w:val="auto"/>
              </w:rPr>
            </w:pPr>
            <w:r>
              <w:rPr>
                <w:rFonts w:hint="eastAsia"/>
                <w:color w:val="auto"/>
              </w:rPr>
              <w:t>0</w:t>
            </w:r>
          </w:p>
        </w:tc>
      </w:tr>
      <w:tr w14:paraId="1A3E8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1FF4EE3A">
            <w:pPr>
              <w:pStyle w:val="33"/>
              <w:rPr>
                <w:color w:val="auto"/>
              </w:rPr>
            </w:pPr>
          </w:p>
        </w:tc>
        <w:tc>
          <w:tcPr>
            <w:tcW w:w="1417" w:type="dxa"/>
            <w:noWrap/>
            <w:tcMar>
              <w:top w:w="15" w:type="dxa"/>
              <w:left w:w="15" w:type="dxa"/>
              <w:bottom w:w="0" w:type="dxa"/>
              <w:right w:w="15" w:type="dxa"/>
            </w:tcMar>
            <w:vAlign w:val="center"/>
          </w:tcPr>
          <w:p w14:paraId="1263F35A">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1F7B73BA">
            <w:pPr>
              <w:pStyle w:val="33"/>
              <w:rPr>
                <w:color w:val="auto"/>
              </w:rPr>
            </w:pPr>
            <w:r>
              <w:rPr>
                <w:color w:val="auto"/>
              </w:rPr>
              <w:t>7.3704</w:t>
            </w:r>
          </w:p>
        </w:tc>
        <w:tc>
          <w:tcPr>
            <w:tcW w:w="992" w:type="dxa"/>
            <w:noWrap/>
            <w:tcMar>
              <w:top w:w="15" w:type="dxa"/>
              <w:left w:w="15" w:type="dxa"/>
              <w:bottom w:w="0" w:type="dxa"/>
              <w:right w:w="15" w:type="dxa"/>
            </w:tcMar>
          </w:tcPr>
          <w:p w14:paraId="5E136A9B">
            <w:pPr>
              <w:pStyle w:val="33"/>
              <w:rPr>
                <w:color w:val="auto"/>
              </w:rPr>
            </w:pPr>
            <w:r>
              <w:rPr>
                <w:color w:val="auto"/>
              </w:rPr>
              <w:t>0.74</w:t>
            </w:r>
          </w:p>
        </w:tc>
        <w:tc>
          <w:tcPr>
            <w:tcW w:w="1977" w:type="dxa"/>
            <w:noWrap/>
            <w:tcMar>
              <w:top w:w="15" w:type="dxa"/>
              <w:left w:w="15" w:type="dxa"/>
              <w:bottom w:w="0" w:type="dxa"/>
              <w:right w:w="15" w:type="dxa"/>
            </w:tcMar>
          </w:tcPr>
          <w:p w14:paraId="29ED9374">
            <w:pPr>
              <w:pStyle w:val="33"/>
              <w:rPr>
                <w:color w:val="auto"/>
              </w:rPr>
            </w:pPr>
            <w:r>
              <w:rPr>
                <w:rFonts w:hint="eastAsia"/>
                <w:color w:val="auto"/>
              </w:rPr>
              <w:t>0</w:t>
            </w:r>
          </w:p>
        </w:tc>
      </w:tr>
      <w:tr w14:paraId="3694A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6BAC9AA5">
            <w:pPr>
              <w:pStyle w:val="33"/>
              <w:rPr>
                <w:color w:val="auto"/>
              </w:rPr>
            </w:pPr>
          </w:p>
        </w:tc>
        <w:tc>
          <w:tcPr>
            <w:tcW w:w="1417" w:type="dxa"/>
            <w:noWrap/>
            <w:tcMar>
              <w:top w:w="15" w:type="dxa"/>
              <w:left w:w="15" w:type="dxa"/>
              <w:bottom w:w="0" w:type="dxa"/>
              <w:right w:w="15" w:type="dxa"/>
            </w:tcMar>
            <w:vAlign w:val="center"/>
          </w:tcPr>
          <w:p w14:paraId="57B5930B">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6BD6E46F">
            <w:pPr>
              <w:pStyle w:val="33"/>
              <w:rPr>
                <w:color w:val="auto"/>
              </w:rPr>
            </w:pPr>
            <w:r>
              <w:rPr>
                <w:color w:val="auto"/>
              </w:rPr>
              <w:t>0.7464</w:t>
            </w:r>
          </w:p>
        </w:tc>
        <w:tc>
          <w:tcPr>
            <w:tcW w:w="992" w:type="dxa"/>
            <w:noWrap/>
            <w:tcMar>
              <w:top w:w="15" w:type="dxa"/>
              <w:left w:w="15" w:type="dxa"/>
              <w:bottom w:w="0" w:type="dxa"/>
              <w:right w:w="15" w:type="dxa"/>
            </w:tcMar>
          </w:tcPr>
          <w:p w14:paraId="2E06758E">
            <w:pPr>
              <w:pStyle w:val="33"/>
              <w:rPr>
                <w:color w:val="auto"/>
              </w:rPr>
            </w:pPr>
            <w:r>
              <w:rPr>
                <w:color w:val="auto"/>
              </w:rPr>
              <w:t>0.04</w:t>
            </w:r>
          </w:p>
        </w:tc>
        <w:tc>
          <w:tcPr>
            <w:tcW w:w="1977" w:type="dxa"/>
            <w:noWrap/>
            <w:tcMar>
              <w:top w:w="15" w:type="dxa"/>
              <w:left w:w="15" w:type="dxa"/>
              <w:bottom w:w="0" w:type="dxa"/>
              <w:right w:w="15" w:type="dxa"/>
            </w:tcMar>
          </w:tcPr>
          <w:p w14:paraId="48D88C8C">
            <w:pPr>
              <w:pStyle w:val="33"/>
              <w:rPr>
                <w:color w:val="auto"/>
              </w:rPr>
            </w:pPr>
            <w:r>
              <w:rPr>
                <w:rFonts w:hint="eastAsia"/>
                <w:color w:val="auto"/>
              </w:rPr>
              <w:t>0</w:t>
            </w:r>
          </w:p>
        </w:tc>
      </w:tr>
      <w:tr w14:paraId="3B79A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7FD8C561">
            <w:pPr>
              <w:pStyle w:val="33"/>
              <w:rPr>
                <w:color w:val="auto"/>
              </w:rPr>
            </w:pPr>
          </w:p>
        </w:tc>
        <w:tc>
          <w:tcPr>
            <w:tcW w:w="1417" w:type="dxa"/>
            <w:noWrap/>
            <w:tcMar>
              <w:top w:w="15" w:type="dxa"/>
              <w:left w:w="15" w:type="dxa"/>
              <w:bottom w:w="0" w:type="dxa"/>
              <w:right w:w="15" w:type="dxa"/>
            </w:tcMar>
            <w:vAlign w:val="center"/>
          </w:tcPr>
          <w:p w14:paraId="3A191486">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6F351CF0">
            <w:pPr>
              <w:pStyle w:val="33"/>
              <w:rPr>
                <w:color w:val="auto"/>
              </w:rPr>
            </w:pPr>
            <w:r>
              <w:rPr>
                <w:color w:val="auto"/>
              </w:rPr>
              <w:t>0.3731</w:t>
            </w:r>
          </w:p>
        </w:tc>
        <w:tc>
          <w:tcPr>
            <w:tcW w:w="992" w:type="dxa"/>
            <w:noWrap/>
            <w:tcMar>
              <w:top w:w="15" w:type="dxa"/>
              <w:left w:w="15" w:type="dxa"/>
              <w:bottom w:w="0" w:type="dxa"/>
              <w:right w:w="15" w:type="dxa"/>
            </w:tcMar>
          </w:tcPr>
          <w:p w14:paraId="63A40F3B">
            <w:pPr>
              <w:pStyle w:val="33"/>
              <w:rPr>
                <w:color w:val="auto"/>
              </w:rPr>
            </w:pPr>
            <w:r>
              <w:rPr>
                <w:color w:val="auto"/>
              </w:rPr>
              <w:t>0.04</w:t>
            </w:r>
          </w:p>
        </w:tc>
        <w:tc>
          <w:tcPr>
            <w:tcW w:w="1977" w:type="dxa"/>
            <w:noWrap/>
            <w:tcMar>
              <w:top w:w="15" w:type="dxa"/>
              <w:left w:w="15" w:type="dxa"/>
              <w:bottom w:w="0" w:type="dxa"/>
              <w:right w:w="15" w:type="dxa"/>
            </w:tcMar>
          </w:tcPr>
          <w:p w14:paraId="27E947F1">
            <w:pPr>
              <w:pStyle w:val="33"/>
              <w:rPr>
                <w:color w:val="auto"/>
              </w:rPr>
            </w:pPr>
            <w:r>
              <w:rPr>
                <w:rFonts w:hint="eastAsia"/>
                <w:color w:val="auto"/>
              </w:rPr>
              <w:t>0</w:t>
            </w:r>
          </w:p>
        </w:tc>
      </w:tr>
      <w:tr w14:paraId="7C674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44D099CA">
            <w:pPr>
              <w:pStyle w:val="33"/>
              <w:rPr>
                <w:color w:val="auto"/>
              </w:rPr>
            </w:pPr>
            <w:r>
              <w:rPr>
                <w:rFonts w:hint="eastAsia"/>
                <w:color w:val="auto"/>
              </w:rPr>
              <w:t>1#造纸车间导热排气筒</w:t>
            </w:r>
          </w:p>
        </w:tc>
        <w:tc>
          <w:tcPr>
            <w:tcW w:w="1417" w:type="dxa"/>
            <w:noWrap/>
            <w:tcMar>
              <w:top w:w="15" w:type="dxa"/>
              <w:left w:w="15" w:type="dxa"/>
              <w:bottom w:w="0" w:type="dxa"/>
              <w:right w:w="15" w:type="dxa"/>
            </w:tcMar>
            <w:vAlign w:val="center"/>
          </w:tcPr>
          <w:p w14:paraId="11A8C17D">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1213897E">
            <w:pPr>
              <w:pStyle w:val="33"/>
              <w:rPr>
                <w:color w:val="auto"/>
              </w:rPr>
            </w:pPr>
            <w:r>
              <w:rPr>
                <w:color w:val="auto"/>
              </w:rPr>
              <w:t>0.8358</w:t>
            </w:r>
          </w:p>
        </w:tc>
        <w:tc>
          <w:tcPr>
            <w:tcW w:w="992" w:type="dxa"/>
            <w:noWrap/>
            <w:tcMar>
              <w:top w:w="15" w:type="dxa"/>
              <w:left w:w="15" w:type="dxa"/>
              <w:bottom w:w="0" w:type="dxa"/>
              <w:right w:w="15" w:type="dxa"/>
            </w:tcMar>
          </w:tcPr>
          <w:p w14:paraId="128E5947">
            <w:pPr>
              <w:pStyle w:val="33"/>
              <w:rPr>
                <w:color w:val="auto"/>
              </w:rPr>
            </w:pPr>
            <w:r>
              <w:rPr>
                <w:color w:val="auto"/>
              </w:rPr>
              <w:t>0.06</w:t>
            </w:r>
          </w:p>
        </w:tc>
        <w:tc>
          <w:tcPr>
            <w:tcW w:w="1977" w:type="dxa"/>
            <w:noWrap/>
            <w:tcMar>
              <w:top w:w="15" w:type="dxa"/>
              <w:left w:w="15" w:type="dxa"/>
              <w:bottom w:w="0" w:type="dxa"/>
              <w:right w:w="15" w:type="dxa"/>
            </w:tcMar>
            <w:vAlign w:val="center"/>
          </w:tcPr>
          <w:p w14:paraId="7A03BC9A">
            <w:pPr>
              <w:pStyle w:val="33"/>
              <w:rPr>
                <w:color w:val="auto"/>
              </w:rPr>
            </w:pPr>
            <w:r>
              <w:rPr>
                <w:rFonts w:hint="eastAsia"/>
                <w:color w:val="auto"/>
              </w:rPr>
              <w:t>0</w:t>
            </w:r>
          </w:p>
        </w:tc>
      </w:tr>
      <w:tr w14:paraId="1FE39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156EC37">
            <w:pPr>
              <w:pStyle w:val="33"/>
              <w:rPr>
                <w:color w:val="auto"/>
              </w:rPr>
            </w:pPr>
          </w:p>
        </w:tc>
        <w:tc>
          <w:tcPr>
            <w:tcW w:w="1417" w:type="dxa"/>
            <w:noWrap/>
            <w:tcMar>
              <w:top w:w="15" w:type="dxa"/>
              <w:left w:w="15" w:type="dxa"/>
              <w:bottom w:w="0" w:type="dxa"/>
              <w:right w:w="15" w:type="dxa"/>
            </w:tcMar>
            <w:vAlign w:val="center"/>
          </w:tcPr>
          <w:p w14:paraId="1EB0CD3A">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7FBDFC57">
            <w:pPr>
              <w:pStyle w:val="33"/>
              <w:rPr>
                <w:color w:val="auto"/>
              </w:rPr>
            </w:pPr>
            <w:r>
              <w:rPr>
                <w:color w:val="auto"/>
              </w:rPr>
              <w:t>4.5042</w:t>
            </w:r>
          </w:p>
        </w:tc>
        <w:tc>
          <w:tcPr>
            <w:tcW w:w="992" w:type="dxa"/>
            <w:noWrap/>
            <w:tcMar>
              <w:top w:w="15" w:type="dxa"/>
              <w:left w:w="15" w:type="dxa"/>
              <w:bottom w:w="0" w:type="dxa"/>
              <w:right w:w="15" w:type="dxa"/>
            </w:tcMar>
          </w:tcPr>
          <w:p w14:paraId="36868061">
            <w:pPr>
              <w:pStyle w:val="33"/>
              <w:rPr>
                <w:color w:val="auto"/>
              </w:rPr>
            </w:pPr>
            <w:r>
              <w:rPr>
                <w:color w:val="auto"/>
              </w:rPr>
              <w:t>1.14</w:t>
            </w:r>
          </w:p>
        </w:tc>
        <w:tc>
          <w:tcPr>
            <w:tcW w:w="1977" w:type="dxa"/>
            <w:noWrap/>
            <w:tcMar>
              <w:top w:w="15" w:type="dxa"/>
              <w:left w:w="15" w:type="dxa"/>
              <w:bottom w:w="0" w:type="dxa"/>
              <w:right w:w="15" w:type="dxa"/>
            </w:tcMar>
          </w:tcPr>
          <w:p w14:paraId="60F7DCEE">
            <w:pPr>
              <w:pStyle w:val="33"/>
              <w:rPr>
                <w:color w:val="auto"/>
              </w:rPr>
            </w:pPr>
            <w:r>
              <w:rPr>
                <w:rFonts w:hint="eastAsia"/>
                <w:color w:val="auto"/>
              </w:rPr>
              <w:t>0</w:t>
            </w:r>
          </w:p>
        </w:tc>
      </w:tr>
      <w:tr w14:paraId="7532A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7879B08A">
            <w:pPr>
              <w:pStyle w:val="33"/>
              <w:rPr>
                <w:color w:val="auto"/>
              </w:rPr>
            </w:pPr>
          </w:p>
        </w:tc>
        <w:tc>
          <w:tcPr>
            <w:tcW w:w="1417" w:type="dxa"/>
            <w:noWrap/>
            <w:tcMar>
              <w:top w:w="15" w:type="dxa"/>
              <w:left w:w="15" w:type="dxa"/>
              <w:bottom w:w="0" w:type="dxa"/>
              <w:right w:w="15" w:type="dxa"/>
            </w:tcMar>
            <w:vAlign w:val="center"/>
          </w:tcPr>
          <w:p w14:paraId="6F769A5D">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340CC1EB">
            <w:pPr>
              <w:pStyle w:val="33"/>
              <w:rPr>
                <w:color w:val="auto"/>
              </w:rPr>
            </w:pPr>
            <w:r>
              <w:rPr>
                <w:color w:val="auto"/>
              </w:rPr>
              <w:t>0.4362</w:t>
            </w:r>
          </w:p>
        </w:tc>
        <w:tc>
          <w:tcPr>
            <w:tcW w:w="992" w:type="dxa"/>
            <w:noWrap/>
            <w:tcMar>
              <w:top w:w="15" w:type="dxa"/>
              <w:left w:w="15" w:type="dxa"/>
              <w:bottom w:w="0" w:type="dxa"/>
              <w:right w:w="15" w:type="dxa"/>
            </w:tcMar>
          </w:tcPr>
          <w:p w14:paraId="68783002">
            <w:pPr>
              <w:pStyle w:val="33"/>
              <w:rPr>
                <w:color w:val="auto"/>
              </w:rPr>
            </w:pPr>
            <w:r>
              <w:rPr>
                <w:color w:val="auto"/>
              </w:rPr>
              <w:t>0.06</w:t>
            </w:r>
          </w:p>
        </w:tc>
        <w:tc>
          <w:tcPr>
            <w:tcW w:w="1977" w:type="dxa"/>
            <w:noWrap/>
            <w:tcMar>
              <w:top w:w="15" w:type="dxa"/>
              <w:left w:w="15" w:type="dxa"/>
              <w:bottom w:w="0" w:type="dxa"/>
              <w:right w:w="15" w:type="dxa"/>
            </w:tcMar>
          </w:tcPr>
          <w:p w14:paraId="65D69C2F">
            <w:pPr>
              <w:pStyle w:val="33"/>
              <w:rPr>
                <w:color w:val="auto"/>
              </w:rPr>
            </w:pPr>
            <w:r>
              <w:rPr>
                <w:rFonts w:hint="eastAsia"/>
                <w:color w:val="auto"/>
              </w:rPr>
              <w:t>0</w:t>
            </w:r>
          </w:p>
        </w:tc>
      </w:tr>
      <w:tr w14:paraId="6C18E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3249D786">
            <w:pPr>
              <w:pStyle w:val="33"/>
              <w:rPr>
                <w:color w:val="auto"/>
              </w:rPr>
            </w:pPr>
          </w:p>
        </w:tc>
        <w:tc>
          <w:tcPr>
            <w:tcW w:w="1417" w:type="dxa"/>
            <w:noWrap/>
            <w:tcMar>
              <w:top w:w="15" w:type="dxa"/>
              <w:left w:w="15" w:type="dxa"/>
              <w:bottom w:w="0" w:type="dxa"/>
              <w:right w:w="15" w:type="dxa"/>
            </w:tcMar>
            <w:vAlign w:val="center"/>
          </w:tcPr>
          <w:p w14:paraId="55DDF3A3">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3ED8AAC0">
            <w:pPr>
              <w:pStyle w:val="33"/>
              <w:rPr>
                <w:color w:val="auto"/>
              </w:rPr>
            </w:pPr>
            <w:r>
              <w:rPr>
                <w:color w:val="auto"/>
              </w:rPr>
              <w:t>0.2178</w:t>
            </w:r>
          </w:p>
        </w:tc>
        <w:tc>
          <w:tcPr>
            <w:tcW w:w="992" w:type="dxa"/>
            <w:noWrap/>
            <w:tcMar>
              <w:top w:w="15" w:type="dxa"/>
              <w:left w:w="15" w:type="dxa"/>
              <w:bottom w:w="0" w:type="dxa"/>
              <w:right w:w="15" w:type="dxa"/>
            </w:tcMar>
          </w:tcPr>
          <w:p w14:paraId="191B6F3B">
            <w:pPr>
              <w:pStyle w:val="33"/>
              <w:rPr>
                <w:color w:val="auto"/>
              </w:rPr>
            </w:pPr>
            <w:r>
              <w:rPr>
                <w:color w:val="auto"/>
              </w:rPr>
              <w:t>0.06</w:t>
            </w:r>
          </w:p>
        </w:tc>
        <w:tc>
          <w:tcPr>
            <w:tcW w:w="1977" w:type="dxa"/>
            <w:noWrap/>
            <w:tcMar>
              <w:top w:w="15" w:type="dxa"/>
              <w:left w:w="15" w:type="dxa"/>
              <w:bottom w:w="0" w:type="dxa"/>
              <w:right w:w="15" w:type="dxa"/>
            </w:tcMar>
          </w:tcPr>
          <w:p w14:paraId="4C86D7FD">
            <w:pPr>
              <w:pStyle w:val="33"/>
              <w:rPr>
                <w:color w:val="auto"/>
              </w:rPr>
            </w:pPr>
            <w:r>
              <w:rPr>
                <w:rFonts w:hint="eastAsia"/>
                <w:color w:val="auto"/>
              </w:rPr>
              <w:t>0</w:t>
            </w:r>
          </w:p>
        </w:tc>
      </w:tr>
      <w:tr w14:paraId="6A1E6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13AA2075">
            <w:pPr>
              <w:pStyle w:val="33"/>
              <w:rPr>
                <w:color w:val="auto"/>
              </w:rPr>
            </w:pPr>
            <w:r>
              <w:rPr>
                <w:rFonts w:hint="eastAsia"/>
                <w:color w:val="auto"/>
              </w:rPr>
              <w:t>2#造纸车间导热排气筒</w:t>
            </w:r>
          </w:p>
        </w:tc>
        <w:tc>
          <w:tcPr>
            <w:tcW w:w="1417" w:type="dxa"/>
            <w:noWrap/>
            <w:tcMar>
              <w:top w:w="15" w:type="dxa"/>
              <w:left w:w="15" w:type="dxa"/>
              <w:bottom w:w="0" w:type="dxa"/>
              <w:right w:w="15" w:type="dxa"/>
            </w:tcMar>
            <w:vAlign w:val="center"/>
          </w:tcPr>
          <w:p w14:paraId="00ABD949">
            <w:pPr>
              <w:pStyle w:val="33"/>
              <w:rPr>
                <w:color w:val="auto"/>
              </w:rPr>
            </w:pPr>
            <w:r>
              <w:rPr>
                <w:color w:val="auto"/>
              </w:rPr>
              <w:t>SO</w:t>
            </w:r>
            <w:r>
              <w:rPr>
                <w:color w:val="auto"/>
                <w:vertAlign w:val="subscript"/>
              </w:rPr>
              <w:t>2</w:t>
            </w:r>
          </w:p>
        </w:tc>
        <w:tc>
          <w:tcPr>
            <w:tcW w:w="1560" w:type="dxa"/>
            <w:noWrap/>
            <w:tcMar>
              <w:top w:w="15" w:type="dxa"/>
              <w:left w:w="15" w:type="dxa"/>
              <w:bottom w:w="0" w:type="dxa"/>
              <w:right w:w="15" w:type="dxa"/>
            </w:tcMar>
          </w:tcPr>
          <w:p w14:paraId="5BBB8283">
            <w:pPr>
              <w:pStyle w:val="33"/>
              <w:rPr>
                <w:color w:val="auto"/>
              </w:rPr>
            </w:pPr>
            <w:r>
              <w:rPr>
                <w:color w:val="auto"/>
              </w:rPr>
              <w:t>0.9018</w:t>
            </w:r>
          </w:p>
        </w:tc>
        <w:tc>
          <w:tcPr>
            <w:tcW w:w="992" w:type="dxa"/>
            <w:noWrap/>
            <w:tcMar>
              <w:top w:w="15" w:type="dxa"/>
              <w:left w:w="15" w:type="dxa"/>
              <w:bottom w:w="0" w:type="dxa"/>
              <w:right w:w="15" w:type="dxa"/>
            </w:tcMar>
          </w:tcPr>
          <w:p w14:paraId="438AAFE3">
            <w:pPr>
              <w:pStyle w:val="33"/>
              <w:rPr>
                <w:color w:val="auto"/>
              </w:rPr>
            </w:pPr>
            <w:r>
              <w:rPr>
                <w:color w:val="auto"/>
              </w:rPr>
              <w:t>0.12</w:t>
            </w:r>
          </w:p>
        </w:tc>
        <w:tc>
          <w:tcPr>
            <w:tcW w:w="1977" w:type="dxa"/>
            <w:noWrap/>
            <w:tcMar>
              <w:top w:w="15" w:type="dxa"/>
              <w:left w:w="15" w:type="dxa"/>
              <w:bottom w:w="0" w:type="dxa"/>
              <w:right w:w="15" w:type="dxa"/>
            </w:tcMar>
          </w:tcPr>
          <w:p w14:paraId="3A8A63AB">
            <w:pPr>
              <w:pStyle w:val="33"/>
              <w:rPr>
                <w:color w:val="auto"/>
              </w:rPr>
            </w:pPr>
            <w:r>
              <w:rPr>
                <w:rFonts w:hint="eastAsia"/>
                <w:color w:val="auto"/>
              </w:rPr>
              <w:t>0</w:t>
            </w:r>
          </w:p>
        </w:tc>
      </w:tr>
      <w:tr w14:paraId="281D9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B50D104">
            <w:pPr>
              <w:pStyle w:val="33"/>
              <w:rPr>
                <w:color w:val="auto"/>
              </w:rPr>
            </w:pPr>
          </w:p>
        </w:tc>
        <w:tc>
          <w:tcPr>
            <w:tcW w:w="1417" w:type="dxa"/>
            <w:noWrap/>
            <w:tcMar>
              <w:top w:w="15" w:type="dxa"/>
              <w:left w:w="15" w:type="dxa"/>
              <w:bottom w:w="0" w:type="dxa"/>
              <w:right w:w="15" w:type="dxa"/>
            </w:tcMar>
            <w:vAlign w:val="center"/>
          </w:tcPr>
          <w:p w14:paraId="566F5D38">
            <w:pPr>
              <w:pStyle w:val="33"/>
              <w:rPr>
                <w:color w:val="auto"/>
              </w:rPr>
            </w:pPr>
            <w:r>
              <w:rPr>
                <w:color w:val="auto"/>
              </w:rPr>
              <w:t>NO</w:t>
            </w:r>
            <w:r>
              <w:rPr>
                <w:color w:val="auto"/>
                <w:vertAlign w:val="subscript"/>
              </w:rPr>
              <w:t>2</w:t>
            </w:r>
          </w:p>
        </w:tc>
        <w:tc>
          <w:tcPr>
            <w:tcW w:w="1560" w:type="dxa"/>
            <w:noWrap/>
            <w:tcMar>
              <w:top w:w="15" w:type="dxa"/>
              <w:left w:w="15" w:type="dxa"/>
              <w:bottom w:w="0" w:type="dxa"/>
              <w:right w:w="15" w:type="dxa"/>
            </w:tcMar>
          </w:tcPr>
          <w:p w14:paraId="09581439">
            <w:pPr>
              <w:pStyle w:val="33"/>
              <w:rPr>
                <w:color w:val="auto"/>
              </w:rPr>
            </w:pPr>
            <w:r>
              <w:rPr>
                <w:color w:val="auto"/>
              </w:rPr>
              <w:t>4.9134</w:t>
            </w:r>
          </w:p>
        </w:tc>
        <w:tc>
          <w:tcPr>
            <w:tcW w:w="992" w:type="dxa"/>
            <w:noWrap/>
            <w:tcMar>
              <w:top w:w="15" w:type="dxa"/>
              <w:left w:w="15" w:type="dxa"/>
              <w:bottom w:w="0" w:type="dxa"/>
              <w:right w:w="15" w:type="dxa"/>
            </w:tcMar>
          </w:tcPr>
          <w:p w14:paraId="130C913F">
            <w:pPr>
              <w:pStyle w:val="33"/>
              <w:rPr>
                <w:color w:val="auto"/>
              </w:rPr>
            </w:pPr>
            <w:r>
              <w:rPr>
                <w:color w:val="auto"/>
              </w:rPr>
              <w:t>1.2</w:t>
            </w:r>
          </w:p>
        </w:tc>
        <w:tc>
          <w:tcPr>
            <w:tcW w:w="1977" w:type="dxa"/>
            <w:noWrap/>
            <w:tcMar>
              <w:top w:w="15" w:type="dxa"/>
              <w:left w:w="15" w:type="dxa"/>
              <w:bottom w:w="0" w:type="dxa"/>
              <w:right w:w="15" w:type="dxa"/>
            </w:tcMar>
          </w:tcPr>
          <w:p w14:paraId="642CDCC0">
            <w:pPr>
              <w:pStyle w:val="33"/>
              <w:rPr>
                <w:color w:val="auto"/>
              </w:rPr>
            </w:pPr>
            <w:r>
              <w:rPr>
                <w:rFonts w:hint="eastAsia"/>
                <w:color w:val="auto"/>
              </w:rPr>
              <w:t>0</w:t>
            </w:r>
          </w:p>
        </w:tc>
      </w:tr>
      <w:tr w14:paraId="0B0D7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12C87747">
            <w:pPr>
              <w:pStyle w:val="33"/>
              <w:rPr>
                <w:color w:val="auto"/>
              </w:rPr>
            </w:pPr>
          </w:p>
        </w:tc>
        <w:tc>
          <w:tcPr>
            <w:tcW w:w="1417" w:type="dxa"/>
            <w:noWrap/>
            <w:tcMar>
              <w:top w:w="15" w:type="dxa"/>
              <w:left w:w="15" w:type="dxa"/>
              <w:bottom w:w="0" w:type="dxa"/>
              <w:right w:w="15" w:type="dxa"/>
            </w:tcMar>
            <w:vAlign w:val="center"/>
          </w:tcPr>
          <w:p w14:paraId="2F94993D">
            <w:pPr>
              <w:pStyle w:val="33"/>
              <w:rPr>
                <w:color w:val="auto"/>
              </w:rPr>
            </w:pPr>
            <w:r>
              <w:rPr>
                <w:color w:val="auto"/>
              </w:rPr>
              <w:t>PM</w:t>
            </w:r>
            <w:r>
              <w:rPr>
                <w:color w:val="auto"/>
                <w:vertAlign w:val="subscript"/>
              </w:rPr>
              <w:t>10</w:t>
            </w:r>
          </w:p>
        </w:tc>
        <w:tc>
          <w:tcPr>
            <w:tcW w:w="1560" w:type="dxa"/>
            <w:noWrap/>
            <w:tcMar>
              <w:top w:w="15" w:type="dxa"/>
              <w:left w:w="15" w:type="dxa"/>
              <w:bottom w:w="0" w:type="dxa"/>
              <w:right w:w="15" w:type="dxa"/>
            </w:tcMar>
          </w:tcPr>
          <w:p w14:paraId="72C786B5">
            <w:pPr>
              <w:pStyle w:val="33"/>
              <w:rPr>
                <w:color w:val="auto"/>
              </w:rPr>
            </w:pPr>
            <w:r>
              <w:rPr>
                <w:color w:val="auto"/>
              </w:rPr>
              <w:t>0.4974</w:t>
            </w:r>
          </w:p>
        </w:tc>
        <w:tc>
          <w:tcPr>
            <w:tcW w:w="992" w:type="dxa"/>
            <w:noWrap/>
            <w:tcMar>
              <w:top w:w="15" w:type="dxa"/>
              <w:left w:w="15" w:type="dxa"/>
              <w:bottom w:w="0" w:type="dxa"/>
              <w:right w:w="15" w:type="dxa"/>
            </w:tcMar>
          </w:tcPr>
          <w:p w14:paraId="6B87CDE1">
            <w:pPr>
              <w:pStyle w:val="33"/>
              <w:rPr>
                <w:color w:val="auto"/>
              </w:rPr>
            </w:pPr>
            <w:r>
              <w:rPr>
                <w:color w:val="auto"/>
              </w:rPr>
              <w:t>0.06</w:t>
            </w:r>
          </w:p>
        </w:tc>
        <w:tc>
          <w:tcPr>
            <w:tcW w:w="1977" w:type="dxa"/>
            <w:noWrap/>
            <w:tcMar>
              <w:top w:w="15" w:type="dxa"/>
              <w:left w:w="15" w:type="dxa"/>
              <w:bottom w:w="0" w:type="dxa"/>
              <w:right w:w="15" w:type="dxa"/>
            </w:tcMar>
          </w:tcPr>
          <w:p w14:paraId="53F221F4">
            <w:pPr>
              <w:pStyle w:val="33"/>
              <w:rPr>
                <w:color w:val="auto"/>
              </w:rPr>
            </w:pPr>
            <w:r>
              <w:rPr>
                <w:rFonts w:hint="eastAsia"/>
                <w:color w:val="auto"/>
              </w:rPr>
              <w:t>0</w:t>
            </w:r>
          </w:p>
        </w:tc>
      </w:tr>
      <w:tr w14:paraId="623E3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1EEE0CD6">
            <w:pPr>
              <w:pStyle w:val="33"/>
              <w:rPr>
                <w:color w:val="auto"/>
              </w:rPr>
            </w:pPr>
          </w:p>
        </w:tc>
        <w:tc>
          <w:tcPr>
            <w:tcW w:w="1417" w:type="dxa"/>
            <w:noWrap/>
            <w:tcMar>
              <w:top w:w="15" w:type="dxa"/>
              <w:left w:w="15" w:type="dxa"/>
              <w:bottom w:w="0" w:type="dxa"/>
              <w:right w:w="15" w:type="dxa"/>
            </w:tcMar>
            <w:vAlign w:val="center"/>
          </w:tcPr>
          <w:p w14:paraId="2D6F39A5">
            <w:pPr>
              <w:pStyle w:val="33"/>
              <w:rPr>
                <w:color w:val="auto"/>
              </w:rPr>
            </w:pPr>
            <w:r>
              <w:rPr>
                <w:color w:val="auto"/>
              </w:rPr>
              <w:t>PM</w:t>
            </w:r>
            <w:r>
              <w:rPr>
                <w:color w:val="auto"/>
                <w:vertAlign w:val="subscript"/>
              </w:rPr>
              <w:t>2.5</w:t>
            </w:r>
          </w:p>
        </w:tc>
        <w:tc>
          <w:tcPr>
            <w:tcW w:w="1560" w:type="dxa"/>
            <w:noWrap/>
            <w:tcMar>
              <w:top w:w="15" w:type="dxa"/>
              <w:left w:w="15" w:type="dxa"/>
              <w:bottom w:w="0" w:type="dxa"/>
              <w:right w:w="15" w:type="dxa"/>
            </w:tcMar>
          </w:tcPr>
          <w:p w14:paraId="1F0348DC">
            <w:pPr>
              <w:pStyle w:val="33"/>
              <w:rPr>
                <w:color w:val="auto"/>
              </w:rPr>
            </w:pPr>
            <w:r>
              <w:rPr>
                <w:color w:val="auto"/>
              </w:rPr>
              <w:t>0.249</w:t>
            </w:r>
          </w:p>
        </w:tc>
        <w:tc>
          <w:tcPr>
            <w:tcW w:w="992" w:type="dxa"/>
            <w:noWrap/>
            <w:tcMar>
              <w:top w:w="15" w:type="dxa"/>
              <w:left w:w="15" w:type="dxa"/>
              <w:bottom w:w="0" w:type="dxa"/>
              <w:right w:w="15" w:type="dxa"/>
            </w:tcMar>
          </w:tcPr>
          <w:p w14:paraId="5C0ED233">
            <w:pPr>
              <w:pStyle w:val="33"/>
              <w:rPr>
                <w:color w:val="auto"/>
              </w:rPr>
            </w:pPr>
            <w:r>
              <w:rPr>
                <w:color w:val="auto"/>
              </w:rPr>
              <w:t>0.06</w:t>
            </w:r>
          </w:p>
        </w:tc>
        <w:tc>
          <w:tcPr>
            <w:tcW w:w="1977" w:type="dxa"/>
            <w:noWrap/>
            <w:tcMar>
              <w:top w:w="15" w:type="dxa"/>
              <w:left w:w="15" w:type="dxa"/>
              <w:bottom w:w="0" w:type="dxa"/>
              <w:right w:w="15" w:type="dxa"/>
            </w:tcMar>
          </w:tcPr>
          <w:p w14:paraId="3FA2C3CC">
            <w:pPr>
              <w:pStyle w:val="33"/>
              <w:rPr>
                <w:color w:val="auto"/>
              </w:rPr>
            </w:pPr>
            <w:r>
              <w:rPr>
                <w:rFonts w:hint="eastAsia"/>
                <w:color w:val="auto"/>
              </w:rPr>
              <w:t>0</w:t>
            </w:r>
          </w:p>
        </w:tc>
      </w:tr>
      <w:tr w14:paraId="28636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07EC095A">
            <w:pPr>
              <w:pStyle w:val="33"/>
              <w:rPr>
                <w:color w:val="auto"/>
              </w:rPr>
            </w:pPr>
            <w:r>
              <w:rPr>
                <w:rFonts w:hint="eastAsia"/>
                <w:color w:val="auto"/>
              </w:rPr>
              <w:t>淋膜纸车间废气</w:t>
            </w:r>
          </w:p>
        </w:tc>
        <w:tc>
          <w:tcPr>
            <w:tcW w:w="1417" w:type="dxa"/>
            <w:noWrap/>
            <w:tcMar>
              <w:top w:w="15" w:type="dxa"/>
              <w:left w:w="15" w:type="dxa"/>
              <w:bottom w:w="0" w:type="dxa"/>
              <w:right w:w="15" w:type="dxa"/>
            </w:tcMar>
            <w:vAlign w:val="center"/>
          </w:tcPr>
          <w:p w14:paraId="052F7912">
            <w:pPr>
              <w:pStyle w:val="33"/>
              <w:rPr>
                <w:color w:val="auto"/>
              </w:rPr>
            </w:pPr>
            <w:r>
              <w:rPr>
                <w:color w:val="auto"/>
              </w:rPr>
              <w:t>非甲烷总烃</w:t>
            </w:r>
          </w:p>
        </w:tc>
        <w:tc>
          <w:tcPr>
            <w:tcW w:w="1560" w:type="dxa"/>
            <w:noWrap/>
            <w:tcMar>
              <w:top w:w="15" w:type="dxa"/>
              <w:left w:w="15" w:type="dxa"/>
              <w:bottom w:w="0" w:type="dxa"/>
              <w:right w:w="15" w:type="dxa"/>
            </w:tcMar>
            <w:vAlign w:val="center"/>
          </w:tcPr>
          <w:p w14:paraId="094463EF">
            <w:pPr>
              <w:pStyle w:val="33"/>
              <w:rPr>
                <w:color w:val="auto"/>
              </w:rPr>
            </w:pPr>
            <w:r>
              <w:rPr>
                <w:rFonts w:hint="eastAsia"/>
                <w:color w:val="auto"/>
              </w:rPr>
              <w:t>1.6809</w:t>
            </w:r>
          </w:p>
        </w:tc>
        <w:tc>
          <w:tcPr>
            <w:tcW w:w="992" w:type="dxa"/>
            <w:noWrap/>
            <w:tcMar>
              <w:top w:w="15" w:type="dxa"/>
              <w:left w:w="15" w:type="dxa"/>
              <w:bottom w:w="0" w:type="dxa"/>
              <w:right w:w="15" w:type="dxa"/>
            </w:tcMar>
            <w:vAlign w:val="center"/>
          </w:tcPr>
          <w:p w14:paraId="1FBA8ABD">
            <w:pPr>
              <w:pStyle w:val="33"/>
              <w:rPr>
                <w:color w:val="auto"/>
              </w:rPr>
            </w:pPr>
            <w:r>
              <w:rPr>
                <w:rFonts w:hint="eastAsia"/>
                <w:color w:val="auto"/>
              </w:rPr>
              <w:t>0.08</w:t>
            </w:r>
          </w:p>
        </w:tc>
        <w:tc>
          <w:tcPr>
            <w:tcW w:w="1977" w:type="dxa"/>
            <w:noWrap/>
            <w:tcMar>
              <w:top w:w="15" w:type="dxa"/>
              <w:left w:w="15" w:type="dxa"/>
              <w:bottom w:w="0" w:type="dxa"/>
              <w:right w:w="15" w:type="dxa"/>
            </w:tcMar>
            <w:vAlign w:val="center"/>
          </w:tcPr>
          <w:p w14:paraId="52693001">
            <w:pPr>
              <w:pStyle w:val="33"/>
              <w:rPr>
                <w:color w:val="auto"/>
              </w:rPr>
            </w:pPr>
            <w:r>
              <w:rPr>
                <w:color w:val="auto"/>
              </w:rPr>
              <w:t>0</w:t>
            </w:r>
          </w:p>
        </w:tc>
      </w:tr>
      <w:tr w14:paraId="05E13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090555E1">
            <w:pPr>
              <w:pStyle w:val="33"/>
              <w:rPr>
                <w:color w:val="auto"/>
              </w:rPr>
            </w:pPr>
            <w:r>
              <w:rPr>
                <w:rFonts w:hint="eastAsia"/>
                <w:color w:val="auto"/>
              </w:rPr>
              <w:t>废水处理站废气</w:t>
            </w:r>
          </w:p>
        </w:tc>
        <w:tc>
          <w:tcPr>
            <w:tcW w:w="1417" w:type="dxa"/>
            <w:noWrap/>
            <w:tcMar>
              <w:top w:w="15" w:type="dxa"/>
              <w:left w:w="15" w:type="dxa"/>
              <w:bottom w:w="0" w:type="dxa"/>
              <w:right w:w="15" w:type="dxa"/>
            </w:tcMar>
            <w:vAlign w:val="center"/>
          </w:tcPr>
          <w:p w14:paraId="2CBC4193">
            <w:pPr>
              <w:pStyle w:val="33"/>
              <w:rPr>
                <w:color w:val="auto"/>
              </w:rPr>
            </w:pPr>
            <w:r>
              <w:rPr>
                <w:color w:val="auto"/>
              </w:rPr>
              <w:t>H</w:t>
            </w:r>
            <w:r>
              <w:rPr>
                <w:color w:val="auto"/>
                <w:vertAlign w:val="subscript"/>
              </w:rPr>
              <w:t>2</w:t>
            </w:r>
            <w:r>
              <w:rPr>
                <w:color w:val="auto"/>
              </w:rPr>
              <w:t>S</w:t>
            </w:r>
          </w:p>
        </w:tc>
        <w:tc>
          <w:tcPr>
            <w:tcW w:w="1560" w:type="dxa"/>
            <w:noWrap/>
            <w:tcMar>
              <w:top w:w="15" w:type="dxa"/>
              <w:left w:w="15" w:type="dxa"/>
              <w:bottom w:w="0" w:type="dxa"/>
              <w:right w:w="15" w:type="dxa"/>
            </w:tcMar>
            <w:vAlign w:val="center"/>
          </w:tcPr>
          <w:p w14:paraId="4D2C7E04">
            <w:pPr>
              <w:pStyle w:val="33"/>
              <w:rPr>
                <w:color w:val="auto"/>
              </w:rPr>
            </w:pPr>
            <w:r>
              <w:rPr>
                <w:rFonts w:hint="eastAsia"/>
                <w:color w:val="auto"/>
              </w:rPr>
              <w:t>0.0420</w:t>
            </w:r>
          </w:p>
        </w:tc>
        <w:tc>
          <w:tcPr>
            <w:tcW w:w="992" w:type="dxa"/>
            <w:noWrap/>
            <w:tcMar>
              <w:top w:w="15" w:type="dxa"/>
              <w:left w:w="15" w:type="dxa"/>
              <w:bottom w:w="0" w:type="dxa"/>
              <w:right w:w="15" w:type="dxa"/>
            </w:tcMar>
            <w:vAlign w:val="center"/>
          </w:tcPr>
          <w:p w14:paraId="3EEB4295">
            <w:pPr>
              <w:pStyle w:val="33"/>
              <w:rPr>
                <w:color w:val="auto"/>
              </w:rPr>
            </w:pPr>
            <w:r>
              <w:rPr>
                <w:rFonts w:hint="eastAsia"/>
                <w:color w:val="auto"/>
              </w:rPr>
              <w:t>0.42</w:t>
            </w:r>
          </w:p>
        </w:tc>
        <w:tc>
          <w:tcPr>
            <w:tcW w:w="1977" w:type="dxa"/>
            <w:noWrap/>
            <w:tcMar>
              <w:top w:w="15" w:type="dxa"/>
              <w:left w:w="15" w:type="dxa"/>
              <w:bottom w:w="0" w:type="dxa"/>
              <w:right w:w="15" w:type="dxa"/>
            </w:tcMar>
            <w:vAlign w:val="center"/>
          </w:tcPr>
          <w:p w14:paraId="626633E1">
            <w:pPr>
              <w:pStyle w:val="33"/>
              <w:rPr>
                <w:color w:val="auto"/>
              </w:rPr>
            </w:pPr>
            <w:r>
              <w:rPr>
                <w:color w:val="auto"/>
              </w:rPr>
              <w:t>0</w:t>
            </w:r>
          </w:p>
        </w:tc>
      </w:tr>
      <w:tr w14:paraId="45636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2B4FCB36">
            <w:pPr>
              <w:pStyle w:val="33"/>
              <w:rPr>
                <w:color w:val="auto"/>
              </w:rPr>
            </w:pPr>
          </w:p>
        </w:tc>
        <w:tc>
          <w:tcPr>
            <w:tcW w:w="1417" w:type="dxa"/>
            <w:noWrap/>
            <w:tcMar>
              <w:top w:w="15" w:type="dxa"/>
              <w:left w:w="15" w:type="dxa"/>
              <w:bottom w:w="0" w:type="dxa"/>
              <w:right w:w="15" w:type="dxa"/>
            </w:tcMar>
            <w:vAlign w:val="center"/>
          </w:tcPr>
          <w:p w14:paraId="2F3393AF">
            <w:pPr>
              <w:pStyle w:val="33"/>
              <w:rPr>
                <w:color w:val="auto"/>
              </w:rPr>
            </w:pPr>
            <w:r>
              <w:rPr>
                <w:color w:val="auto"/>
              </w:rPr>
              <w:t>NH</w:t>
            </w:r>
            <w:r>
              <w:rPr>
                <w:color w:val="auto"/>
                <w:vertAlign w:val="subscript"/>
              </w:rPr>
              <w:t>3</w:t>
            </w:r>
          </w:p>
        </w:tc>
        <w:tc>
          <w:tcPr>
            <w:tcW w:w="1560" w:type="dxa"/>
            <w:noWrap/>
            <w:tcMar>
              <w:top w:w="15" w:type="dxa"/>
              <w:left w:w="15" w:type="dxa"/>
              <w:bottom w:w="0" w:type="dxa"/>
              <w:right w:w="15" w:type="dxa"/>
            </w:tcMar>
            <w:vAlign w:val="center"/>
          </w:tcPr>
          <w:p w14:paraId="68B57BD6">
            <w:pPr>
              <w:pStyle w:val="33"/>
              <w:rPr>
                <w:color w:val="auto"/>
              </w:rPr>
            </w:pPr>
            <w:r>
              <w:rPr>
                <w:rFonts w:hint="eastAsia"/>
                <w:color w:val="auto"/>
              </w:rPr>
              <w:t>0.8963</w:t>
            </w:r>
          </w:p>
        </w:tc>
        <w:tc>
          <w:tcPr>
            <w:tcW w:w="992" w:type="dxa"/>
            <w:noWrap/>
            <w:tcMar>
              <w:top w:w="15" w:type="dxa"/>
              <w:left w:w="15" w:type="dxa"/>
              <w:bottom w:w="0" w:type="dxa"/>
              <w:right w:w="15" w:type="dxa"/>
            </w:tcMar>
            <w:vAlign w:val="center"/>
          </w:tcPr>
          <w:p w14:paraId="155CA3BA">
            <w:pPr>
              <w:pStyle w:val="33"/>
              <w:rPr>
                <w:color w:val="auto"/>
              </w:rPr>
            </w:pPr>
            <w:r>
              <w:rPr>
                <w:rFonts w:hint="eastAsia"/>
                <w:color w:val="auto"/>
              </w:rPr>
              <w:t>0.04</w:t>
            </w:r>
          </w:p>
        </w:tc>
        <w:tc>
          <w:tcPr>
            <w:tcW w:w="1977" w:type="dxa"/>
            <w:noWrap/>
            <w:tcMar>
              <w:top w:w="15" w:type="dxa"/>
              <w:left w:w="15" w:type="dxa"/>
              <w:bottom w:w="0" w:type="dxa"/>
              <w:right w:w="15" w:type="dxa"/>
            </w:tcMar>
            <w:vAlign w:val="center"/>
          </w:tcPr>
          <w:p w14:paraId="1E01C806">
            <w:pPr>
              <w:pStyle w:val="33"/>
              <w:rPr>
                <w:color w:val="auto"/>
              </w:rPr>
            </w:pPr>
            <w:r>
              <w:rPr>
                <w:color w:val="auto"/>
              </w:rPr>
              <w:t>0</w:t>
            </w:r>
          </w:p>
        </w:tc>
      </w:tr>
      <w:tr w14:paraId="64C83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restart"/>
            <w:noWrap/>
            <w:tcMar>
              <w:top w:w="15" w:type="dxa"/>
              <w:left w:w="15" w:type="dxa"/>
              <w:bottom w:w="0" w:type="dxa"/>
              <w:right w:w="15" w:type="dxa"/>
            </w:tcMar>
            <w:vAlign w:val="center"/>
          </w:tcPr>
          <w:p w14:paraId="10EDE140">
            <w:pPr>
              <w:pStyle w:val="33"/>
              <w:rPr>
                <w:color w:val="auto"/>
              </w:rPr>
            </w:pPr>
            <w:r>
              <w:rPr>
                <w:rFonts w:hint="eastAsia"/>
                <w:color w:val="auto"/>
              </w:rPr>
              <w:t>废水处理站无组织废气</w:t>
            </w:r>
          </w:p>
        </w:tc>
        <w:tc>
          <w:tcPr>
            <w:tcW w:w="1417" w:type="dxa"/>
            <w:noWrap/>
            <w:tcMar>
              <w:top w:w="15" w:type="dxa"/>
              <w:left w:w="15" w:type="dxa"/>
              <w:bottom w:w="0" w:type="dxa"/>
              <w:right w:w="15" w:type="dxa"/>
            </w:tcMar>
            <w:vAlign w:val="center"/>
          </w:tcPr>
          <w:p w14:paraId="10E7185D">
            <w:pPr>
              <w:pStyle w:val="33"/>
              <w:rPr>
                <w:color w:val="auto"/>
              </w:rPr>
            </w:pPr>
            <w:r>
              <w:rPr>
                <w:color w:val="auto"/>
              </w:rPr>
              <w:t>H</w:t>
            </w:r>
            <w:r>
              <w:rPr>
                <w:color w:val="auto"/>
                <w:vertAlign w:val="subscript"/>
              </w:rPr>
              <w:t>2</w:t>
            </w:r>
            <w:r>
              <w:rPr>
                <w:color w:val="auto"/>
              </w:rPr>
              <w:t>S</w:t>
            </w:r>
          </w:p>
        </w:tc>
        <w:tc>
          <w:tcPr>
            <w:tcW w:w="1560" w:type="dxa"/>
            <w:noWrap/>
            <w:tcMar>
              <w:top w:w="15" w:type="dxa"/>
              <w:left w:w="15" w:type="dxa"/>
              <w:bottom w:w="0" w:type="dxa"/>
              <w:right w:w="15" w:type="dxa"/>
            </w:tcMar>
            <w:vAlign w:val="center"/>
          </w:tcPr>
          <w:p w14:paraId="0C9E5F89">
            <w:pPr>
              <w:pStyle w:val="33"/>
              <w:rPr>
                <w:color w:val="auto"/>
              </w:rPr>
            </w:pPr>
            <w:r>
              <w:rPr>
                <w:rFonts w:hint="eastAsia"/>
                <w:color w:val="auto"/>
              </w:rPr>
              <w:t>0.7010</w:t>
            </w:r>
          </w:p>
        </w:tc>
        <w:tc>
          <w:tcPr>
            <w:tcW w:w="992" w:type="dxa"/>
            <w:noWrap/>
            <w:tcMar>
              <w:top w:w="15" w:type="dxa"/>
              <w:left w:w="15" w:type="dxa"/>
              <w:bottom w:w="0" w:type="dxa"/>
              <w:right w:w="15" w:type="dxa"/>
            </w:tcMar>
            <w:vAlign w:val="center"/>
          </w:tcPr>
          <w:p w14:paraId="32C3C3A4">
            <w:pPr>
              <w:pStyle w:val="33"/>
              <w:rPr>
                <w:color w:val="auto"/>
              </w:rPr>
            </w:pPr>
            <w:r>
              <w:rPr>
                <w:rFonts w:hint="eastAsia"/>
                <w:color w:val="auto"/>
              </w:rPr>
              <w:t>7.01</w:t>
            </w:r>
          </w:p>
        </w:tc>
        <w:tc>
          <w:tcPr>
            <w:tcW w:w="1977" w:type="dxa"/>
            <w:noWrap/>
            <w:tcMar>
              <w:top w:w="15" w:type="dxa"/>
              <w:left w:w="15" w:type="dxa"/>
              <w:bottom w:w="0" w:type="dxa"/>
              <w:right w:w="15" w:type="dxa"/>
            </w:tcMar>
            <w:vAlign w:val="center"/>
          </w:tcPr>
          <w:p w14:paraId="1B353F40">
            <w:pPr>
              <w:pStyle w:val="33"/>
              <w:rPr>
                <w:color w:val="auto"/>
              </w:rPr>
            </w:pPr>
            <w:r>
              <w:rPr>
                <w:color w:val="auto"/>
              </w:rPr>
              <w:t>0</w:t>
            </w:r>
          </w:p>
        </w:tc>
      </w:tr>
      <w:tr w14:paraId="2826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vMerge w:val="continue"/>
            <w:noWrap/>
            <w:tcMar>
              <w:top w:w="15" w:type="dxa"/>
              <w:left w:w="15" w:type="dxa"/>
              <w:bottom w:w="0" w:type="dxa"/>
              <w:right w:w="15" w:type="dxa"/>
            </w:tcMar>
            <w:vAlign w:val="center"/>
          </w:tcPr>
          <w:p w14:paraId="7004B96D">
            <w:pPr>
              <w:pStyle w:val="33"/>
              <w:rPr>
                <w:color w:val="auto"/>
              </w:rPr>
            </w:pPr>
          </w:p>
        </w:tc>
        <w:tc>
          <w:tcPr>
            <w:tcW w:w="1417" w:type="dxa"/>
            <w:noWrap/>
            <w:tcMar>
              <w:top w:w="15" w:type="dxa"/>
              <w:left w:w="15" w:type="dxa"/>
              <w:bottom w:w="0" w:type="dxa"/>
              <w:right w:w="15" w:type="dxa"/>
            </w:tcMar>
            <w:vAlign w:val="center"/>
          </w:tcPr>
          <w:p w14:paraId="004A8BB4">
            <w:pPr>
              <w:pStyle w:val="33"/>
              <w:rPr>
                <w:color w:val="auto"/>
              </w:rPr>
            </w:pPr>
            <w:r>
              <w:rPr>
                <w:color w:val="auto"/>
              </w:rPr>
              <w:t>NH</w:t>
            </w:r>
            <w:r>
              <w:rPr>
                <w:color w:val="auto"/>
                <w:vertAlign w:val="subscript"/>
              </w:rPr>
              <w:t>3</w:t>
            </w:r>
          </w:p>
        </w:tc>
        <w:tc>
          <w:tcPr>
            <w:tcW w:w="1560" w:type="dxa"/>
            <w:noWrap/>
            <w:tcMar>
              <w:top w:w="15" w:type="dxa"/>
              <w:left w:w="15" w:type="dxa"/>
              <w:bottom w:w="0" w:type="dxa"/>
              <w:right w:w="15" w:type="dxa"/>
            </w:tcMar>
            <w:vAlign w:val="center"/>
          </w:tcPr>
          <w:p w14:paraId="46DE2AAB">
            <w:pPr>
              <w:pStyle w:val="33"/>
              <w:rPr>
                <w:color w:val="auto"/>
              </w:rPr>
            </w:pPr>
            <w:r>
              <w:rPr>
                <w:rFonts w:hint="eastAsia"/>
                <w:color w:val="auto"/>
              </w:rPr>
              <w:t>0.7615</w:t>
            </w:r>
          </w:p>
        </w:tc>
        <w:tc>
          <w:tcPr>
            <w:tcW w:w="992" w:type="dxa"/>
            <w:noWrap/>
            <w:tcMar>
              <w:top w:w="15" w:type="dxa"/>
              <w:left w:w="15" w:type="dxa"/>
              <w:bottom w:w="0" w:type="dxa"/>
              <w:right w:w="15" w:type="dxa"/>
            </w:tcMar>
            <w:vAlign w:val="center"/>
          </w:tcPr>
          <w:p w14:paraId="5417B764">
            <w:pPr>
              <w:pStyle w:val="33"/>
              <w:rPr>
                <w:color w:val="auto"/>
              </w:rPr>
            </w:pPr>
            <w:r>
              <w:rPr>
                <w:rFonts w:hint="eastAsia"/>
                <w:color w:val="auto"/>
              </w:rPr>
              <w:t>0.38</w:t>
            </w:r>
          </w:p>
        </w:tc>
        <w:tc>
          <w:tcPr>
            <w:tcW w:w="1977" w:type="dxa"/>
            <w:noWrap/>
            <w:tcMar>
              <w:top w:w="15" w:type="dxa"/>
              <w:left w:w="15" w:type="dxa"/>
              <w:bottom w:w="0" w:type="dxa"/>
              <w:right w:w="15" w:type="dxa"/>
            </w:tcMar>
            <w:vAlign w:val="center"/>
          </w:tcPr>
          <w:p w14:paraId="2CE35451">
            <w:pPr>
              <w:pStyle w:val="33"/>
              <w:rPr>
                <w:color w:val="auto"/>
              </w:rPr>
            </w:pPr>
            <w:r>
              <w:rPr>
                <w:rFonts w:hint="eastAsia"/>
                <w:color w:val="auto"/>
              </w:rPr>
              <w:t>0</w:t>
            </w:r>
          </w:p>
        </w:tc>
      </w:tr>
      <w:tr w14:paraId="77B47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64DE660B">
            <w:pPr>
              <w:pStyle w:val="33"/>
              <w:rPr>
                <w:color w:val="auto"/>
              </w:rPr>
            </w:pPr>
            <w:r>
              <w:rPr>
                <w:rFonts w:hint="eastAsia"/>
                <w:color w:val="auto"/>
              </w:rPr>
              <w:t>淋膜纸车间无组织废气</w:t>
            </w:r>
          </w:p>
        </w:tc>
        <w:tc>
          <w:tcPr>
            <w:tcW w:w="1417" w:type="dxa"/>
            <w:noWrap/>
            <w:tcMar>
              <w:top w:w="15" w:type="dxa"/>
              <w:left w:w="15" w:type="dxa"/>
              <w:bottom w:w="0" w:type="dxa"/>
              <w:right w:w="15" w:type="dxa"/>
            </w:tcMar>
            <w:vAlign w:val="center"/>
          </w:tcPr>
          <w:p w14:paraId="42FD91F5">
            <w:pPr>
              <w:pStyle w:val="33"/>
              <w:rPr>
                <w:color w:val="auto"/>
              </w:rPr>
            </w:pPr>
            <w:r>
              <w:rPr>
                <w:color w:val="auto"/>
              </w:rPr>
              <w:t>非甲烷总烃</w:t>
            </w:r>
          </w:p>
        </w:tc>
        <w:tc>
          <w:tcPr>
            <w:tcW w:w="1560" w:type="dxa"/>
            <w:noWrap/>
            <w:tcMar>
              <w:top w:w="15" w:type="dxa"/>
              <w:left w:w="15" w:type="dxa"/>
              <w:bottom w:w="0" w:type="dxa"/>
              <w:right w:w="15" w:type="dxa"/>
            </w:tcMar>
            <w:vAlign w:val="center"/>
          </w:tcPr>
          <w:p w14:paraId="14D5354E">
            <w:pPr>
              <w:pStyle w:val="33"/>
              <w:rPr>
                <w:color w:val="auto"/>
              </w:rPr>
            </w:pPr>
            <w:r>
              <w:rPr>
                <w:rFonts w:hint="eastAsia"/>
                <w:color w:val="auto"/>
              </w:rPr>
              <w:t>8.8053</w:t>
            </w:r>
          </w:p>
        </w:tc>
        <w:tc>
          <w:tcPr>
            <w:tcW w:w="992" w:type="dxa"/>
            <w:noWrap/>
            <w:tcMar>
              <w:top w:w="15" w:type="dxa"/>
              <w:left w:w="15" w:type="dxa"/>
              <w:bottom w:w="0" w:type="dxa"/>
              <w:right w:w="15" w:type="dxa"/>
            </w:tcMar>
            <w:vAlign w:val="center"/>
          </w:tcPr>
          <w:p w14:paraId="526AA7E2">
            <w:pPr>
              <w:pStyle w:val="33"/>
              <w:rPr>
                <w:color w:val="auto"/>
              </w:rPr>
            </w:pPr>
            <w:r>
              <w:rPr>
                <w:rFonts w:hint="eastAsia"/>
                <w:color w:val="auto"/>
              </w:rPr>
              <w:t>0.44</w:t>
            </w:r>
          </w:p>
        </w:tc>
        <w:tc>
          <w:tcPr>
            <w:tcW w:w="1977" w:type="dxa"/>
            <w:noWrap/>
            <w:tcMar>
              <w:top w:w="15" w:type="dxa"/>
              <w:left w:w="15" w:type="dxa"/>
              <w:bottom w:w="0" w:type="dxa"/>
              <w:right w:w="15" w:type="dxa"/>
            </w:tcMar>
            <w:vAlign w:val="center"/>
          </w:tcPr>
          <w:p w14:paraId="60B76BEE">
            <w:pPr>
              <w:pStyle w:val="33"/>
              <w:rPr>
                <w:color w:val="auto"/>
              </w:rPr>
            </w:pPr>
            <w:r>
              <w:rPr>
                <w:color w:val="auto"/>
              </w:rPr>
              <w:t>0</w:t>
            </w:r>
          </w:p>
        </w:tc>
      </w:tr>
      <w:tr w14:paraId="27FD9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61ADCBF9">
            <w:pPr>
              <w:pStyle w:val="33"/>
              <w:rPr>
                <w:color w:val="auto"/>
              </w:rPr>
            </w:pPr>
            <w:r>
              <w:rPr>
                <w:rFonts w:hint="eastAsia"/>
                <w:color w:val="auto"/>
              </w:rPr>
              <w:t>1#GCC（研磨碳酸钙）车间</w:t>
            </w:r>
          </w:p>
        </w:tc>
        <w:tc>
          <w:tcPr>
            <w:tcW w:w="1417" w:type="dxa"/>
            <w:noWrap/>
            <w:tcMar>
              <w:top w:w="15" w:type="dxa"/>
              <w:left w:w="15" w:type="dxa"/>
              <w:bottom w:w="0" w:type="dxa"/>
              <w:right w:w="15" w:type="dxa"/>
            </w:tcMar>
            <w:vAlign w:val="center"/>
          </w:tcPr>
          <w:p w14:paraId="63770AB6">
            <w:pPr>
              <w:pStyle w:val="33"/>
              <w:rPr>
                <w:color w:val="auto"/>
              </w:rPr>
            </w:pPr>
            <w:r>
              <w:rPr>
                <w:color w:val="auto"/>
              </w:rPr>
              <w:t>TSP</w:t>
            </w:r>
          </w:p>
        </w:tc>
        <w:tc>
          <w:tcPr>
            <w:tcW w:w="1560" w:type="dxa"/>
            <w:noWrap/>
            <w:tcMar>
              <w:top w:w="15" w:type="dxa"/>
              <w:left w:w="15" w:type="dxa"/>
              <w:bottom w:w="0" w:type="dxa"/>
              <w:right w:w="15" w:type="dxa"/>
            </w:tcMar>
            <w:vAlign w:val="center"/>
          </w:tcPr>
          <w:p w14:paraId="68E2E09A">
            <w:pPr>
              <w:pStyle w:val="33"/>
              <w:rPr>
                <w:color w:val="auto"/>
              </w:rPr>
            </w:pPr>
            <w:r>
              <w:rPr>
                <w:rFonts w:hint="eastAsia"/>
                <w:color w:val="auto"/>
              </w:rPr>
              <w:t>26.287</w:t>
            </w:r>
          </w:p>
        </w:tc>
        <w:tc>
          <w:tcPr>
            <w:tcW w:w="992" w:type="dxa"/>
            <w:noWrap/>
            <w:tcMar>
              <w:top w:w="15" w:type="dxa"/>
              <w:left w:w="15" w:type="dxa"/>
              <w:bottom w:w="0" w:type="dxa"/>
              <w:right w:w="15" w:type="dxa"/>
            </w:tcMar>
            <w:vAlign w:val="center"/>
          </w:tcPr>
          <w:p w14:paraId="62CF50C8">
            <w:pPr>
              <w:pStyle w:val="33"/>
              <w:rPr>
                <w:color w:val="auto"/>
              </w:rPr>
            </w:pPr>
            <w:r>
              <w:rPr>
                <w:rFonts w:hint="eastAsia"/>
                <w:color w:val="auto"/>
              </w:rPr>
              <w:t>2.92</w:t>
            </w:r>
          </w:p>
        </w:tc>
        <w:tc>
          <w:tcPr>
            <w:tcW w:w="1977" w:type="dxa"/>
            <w:noWrap/>
            <w:tcMar>
              <w:top w:w="15" w:type="dxa"/>
              <w:left w:w="15" w:type="dxa"/>
              <w:bottom w:w="0" w:type="dxa"/>
              <w:right w:w="15" w:type="dxa"/>
            </w:tcMar>
            <w:vAlign w:val="center"/>
          </w:tcPr>
          <w:p w14:paraId="465AE485">
            <w:pPr>
              <w:pStyle w:val="33"/>
              <w:rPr>
                <w:color w:val="auto"/>
              </w:rPr>
            </w:pPr>
            <w:r>
              <w:rPr>
                <w:color w:val="auto"/>
              </w:rPr>
              <w:t>0</w:t>
            </w:r>
          </w:p>
        </w:tc>
      </w:tr>
      <w:tr w14:paraId="2C712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3299" w:type="dxa"/>
            <w:noWrap/>
            <w:tcMar>
              <w:top w:w="15" w:type="dxa"/>
              <w:left w:w="15" w:type="dxa"/>
              <w:bottom w:w="0" w:type="dxa"/>
              <w:right w:w="15" w:type="dxa"/>
            </w:tcMar>
            <w:vAlign w:val="center"/>
          </w:tcPr>
          <w:p w14:paraId="459650A3">
            <w:pPr>
              <w:pStyle w:val="33"/>
              <w:rPr>
                <w:color w:val="auto"/>
              </w:rPr>
            </w:pPr>
            <w:r>
              <w:rPr>
                <w:rFonts w:hint="eastAsia"/>
                <w:color w:val="auto"/>
              </w:rPr>
              <w:t>2#GCC（研磨碳酸钙）车间</w:t>
            </w:r>
          </w:p>
        </w:tc>
        <w:tc>
          <w:tcPr>
            <w:tcW w:w="1417" w:type="dxa"/>
            <w:noWrap/>
            <w:tcMar>
              <w:top w:w="15" w:type="dxa"/>
              <w:left w:w="15" w:type="dxa"/>
              <w:bottom w:w="0" w:type="dxa"/>
              <w:right w:w="15" w:type="dxa"/>
            </w:tcMar>
            <w:vAlign w:val="center"/>
          </w:tcPr>
          <w:p w14:paraId="32A0558E">
            <w:pPr>
              <w:pStyle w:val="33"/>
              <w:rPr>
                <w:color w:val="auto"/>
              </w:rPr>
            </w:pPr>
            <w:r>
              <w:rPr>
                <w:color w:val="auto"/>
              </w:rPr>
              <w:t>TSP</w:t>
            </w:r>
          </w:p>
        </w:tc>
        <w:tc>
          <w:tcPr>
            <w:tcW w:w="1560" w:type="dxa"/>
            <w:noWrap/>
            <w:tcMar>
              <w:top w:w="15" w:type="dxa"/>
              <w:left w:w="15" w:type="dxa"/>
              <w:bottom w:w="0" w:type="dxa"/>
              <w:right w:w="15" w:type="dxa"/>
            </w:tcMar>
            <w:vAlign w:val="center"/>
          </w:tcPr>
          <w:p w14:paraId="4BFF0858">
            <w:pPr>
              <w:pStyle w:val="33"/>
              <w:rPr>
                <w:color w:val="auto"/>
              </w:rPr>
            </w:pPr>
            <w:r>
              <w:rPr>
                <w:rFonts w:hint="eastAsia"/>
                <w:color w:val="auto"/>
              </w:rPr>
              <w:t>53.014</w:t>
            </w:r>
          </w:p>
        </w:tc>
        <w:tc>
          <w:tcPr>
            <w:tcW w:w="992" w:type="dxa"/>
            <w:noWrap/>
            <w:tcMar>
              <w:top w:w="15" w:type="dxa"/>
              <w:left w:w="15" w:type="dxa"/>
              <w:bottom w:w="0" w:type="dxa"/>
              <w:right w:w="15" w:type="dxa"/>
            </w:tcMar>
            <w:vAlign w:val="center"/>
          </w:tcPr>
          <w:p w14:paraId="11EFF70E">
            <w:pPr>
              <w:pStyle w:val="33"/>
              <w:rPr>
                <w:color w:val="auto"/>
              </w:rPr>
            </w:pPr>
            <w:r>
              <w:rPr>
                <w:rFonts w:hint="eastAsia"/>
                <w:color w:val="auto"/>
              </w:rPr>
              <w:t>5.89</w:t>
            </w:r>
          </w:p>
        </w:tc>
        <w:tc>
          <w:tcPr>
            <w:tcW w:w="1977" w:type="dxa"/>
            <w:noWrap/>
            <w:tcMar>
              <w:top w:w="15" w:type="dxa"/>
              <w:left w:w="15" w:type="dxa"/>
              <w:bottom w:w="0" w:type="dxa"/>
              <w:right w:w="15" w:type="dxa"/>
            </w:tcMar>
            <w:vAlign w:val="center"/>
          </w:tcPr>
          <w:p w14:paraId="3DE59AD2">
            <w:pPr>
              <w:pStyle w:val="33"/>
              <w:rPr>
                <w:color w:val="auto"/>
              </w:rPr>
            </w:pPr>
            <w:r>
              <w:rPr>
                <w:color w:val="auto"/>
              </w:rPr>
              <w:t>0</w:t>
            </w:r>
          </w:p>
        </w:tc>
      </w:tr>
    </w:tbl>
    <w:p w14:paraId="01B84BFB">
      <w:pPr>
        <w:ind w:firstLine="480"/>
        <w:rPr>
          <w:color w:val="auto"/>
        </w:rPr>
      </w:pPr>
      <w:r>
        <w:rPr>
          <w:color w:val="auto"/>
        </w:rPr>
        <w:t>使用AERSCREEN模型对各污染源排放的污染物进行计算。根据运算结果，在所有污染源排放的污染物中，</w:t>
      </w:r>
      <w:r>
        <w:rPr>
          <w:rFonts w:hint="eastAsia" w:cs="Times New Roman"/>
          <w:color w:val="auto"/>
        </w:rPr>
        <w:t>最大占标率P</w:t>
      </w:r>
      <w:r>
        <w:rPr>
          <w:rFonts w:hint="eastAsia" w:cs="Times New Roman"/>
          <w:color w:val="auto"/>
          <w:vertAlign w:val="subscript"/>
        </w:rPr>
        <w:t>max</w:t>
      </w:r>
      <w:r>
        <w:rPr>
          <w:rFonts w:hint="eastAsia" w:cs="Times New Roman"/>
          <w:color w:val="auto"/>
        </w:rPr>
        <w:t>为7.01%</w:t>
      </w:r>
      <w:r>
        <w:rPr>
          <w:color w:val="auto"/>
        </w:rPr>
        <w:t>，</w:t>
      </w:r>
      <w:r>
        <w:rPr>
          <w:rFonts w:hint="eastAsia"/>
          <w:color w:val="auto"/>
        </w:rPr>
        <w:t>大于1%且</w:t>
      </w:r>
      <w:r>
        <w:rPr>
          <w:color w:val="auto"/>
        </w:rPr>
        <w:t>小于10%。因此本次大气环境影响评价等级为二级，不进行进一步预测。</w:t>
      </w:r>
    </w:p>
    <w:p w14:paraId="466EB2E8">
      <w:pPr>
        <w:pStyle w:val="4"/>
        <w:rPr>
          <w:color w:val="auto"/>
        </w:rPr>
      </w:pPr>
      <w:bookmarkStart w:id="475" w:name="_Toc225216789"/>
      <w:r>
        <w:rPr>
          <w:color w:val="auto"/>
        </w:rPr>
        <w:t>污染物排放量核算</w:t>
      </w:r>
      <w:bookmarkEnd w:id="475"/>
    </w:p>
    <w:p w14:paraId="7B0B252B">
      <w:pPr>
        <w:ind w:firstLine="480"/>
        <w:rPr>
          <w:color w:val="auto"/>
        </w:rPr>
      </w:pPr>
      <w:r>
        <w:rPr>
          <w:rFonts w:hint="eastAsia"/>
          <w:color w:val="auto"/>
        </w:rPr>
        <w:t>（1）有组织排放量核算</w:t>
      </w:r>
    </w:p>
    <w:p w14:paraId="5A1AF923">
      <w:pPr>
        <w:ind w:firstLine="480"/>
        <w:rPr>
          <w:color w:val="auto"/>
        </w:rPr>
      </w:pPr>
      <w:r>
        <w:rPr>
          <w:rFonts w:hint="eastAsia"/>
          <w:color w:val="auto"/>
        </w:rPr>
        <w:t>大气污染物有组织排放量核算表详见下表。</w:t>
      </w:r>
    </w:p>
    <w:p w14:paraId="618985DB">
      <w:pPr>
        <w:pStyle w:val="7"/>
        <w:rPr>
          <w:color w:val="auto"/>
        </w:rPr>
      </w:pPr>
      <w:r>
        <w:rPr>
          <w:color w:val="auto"/>
        </w:rPr>
        <w:t>大气污染物有组织排放量核算表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2361"/>
        <w:gridCol w:w="1748"/>
        <w:gridCol w:w="1545"/>
        <w:gridCol w:w="1547"/>
        <w:gridCol w:w="1545"/>
      </w:tblGrid>
      <w:tr w14:paraId="41275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291" w:type="pct"/>
            <w:vAlign w:val="center"/>
          </w:tcPr>
          <w:p w14:paraId="42EFDD48">
            <w:pPr>
              <w:pStyle w:val="33"/>
              <w:rPr>
                <w:color w:val="auto"/>
                <w:highlight w:val="none"/>
              </w:rPr>
            </w:pPr>
            <w:r>
              <w:rPr>
                <w:rFonts w:hint="eastAsia"/>
                <w:color w:val="auto"/>
                <w:highlight w:val="none"/>
              </w:rPr>
              <w:t>序号</w:t>
            </w:r>
          </w:p>
        </w:tc>
        <w:tc>
          <w:tcPr>
            <w:tcW w:w="1271" w:type="pct"/>
            <w:vAlign w:val="center"/>
          </w:tcPr>
          <w:p w14:paraId="0708FBFC">
            <w:pPr>
              <w:pStyle w:val="33"/>
              <w:rPr>
                <w:color w:val="auto"/>
                <w:highlight w:val="none"/>
              </w:rPr>
            </w:pPr>
            <w:r>
              <w:rPr>
                <w:rFonts w:hint="eastAsia"/>
                <w:color w:val="auto"/>
                <w:highlight w:val="none"/>
              </w:rPr>
              <w:t>排放口</w:t>
            </w:r>
          </w:p>
        </w:tc>
        <w:tc>
          <w:tcPr>
            <w:tcW w:w="941" w:type="pct"/>
            <w:vAlign w:val="center"/>
          </w:tcPr>
          <w:p w14:paraId="7EB7AA71">
            <w:pPr>
              <w:pStyle w:val="33"/>
              <w:rPr>
                <w:color w:val="auto"/>
                <w:highlight w:val="none"/>
              </w:rPr>
            </w:pPr>
            <w:r>
              <w:rPr>
                <w:rFonts w:hint="eastAsia"/>
                <w:color w:val="auto"/>
                <w:highlight w:val="none"/>
              </w:rPr>
              <w:t>污染物</w:t>
            </w:r>
          </w:p>
        </w:tc>
        <w:tc>
          <w:tcPr>
            <w:tcW w:w="832" w:type="pct"/>
            <w:vAlign w:val="center"/>
          </w:tcPr>
          <w:p w14:paraId="67129E38">
            <w:pPr>
              <w:pStyle w:val="33"/>
              <w:rPr>
                <w:color w:val="auto"/>
                <w:highlight w:val="none"/>
              </w:rPr>
            </w:pPr>
            <w:r>
              <w:rPr>
                <w:rFonts w:hint="eastAsia"/>
                <w:color w:val="auto"/>
                <w:highlight w:val="none"/>
              </w:rPr>
              <w:t>核算排放浓度（</w:t>
            </w:r>
            <w:r>
              <w:rPr>
                <w:color w:val="auto"/>
                <w:highlight w:val="none"/>
              </w:rPr>
              <w:t>mg/m</w:t>
            </w:r>
            <w:r>
              <w:rPr>
                <w:color w:val="auto"/>
                <w:highlight w:val="none"/>
                <w:vertAlign w:val="superscript"/>
              </w:rPr>
              <w:t>3</w:t>
            </w:r>
            <w:r>
              <w:rPr>
                <w:rFonts w:hint="eastAsia"/>
                <w:color w:val="auto"/>
                <w:highlight w:val="none"/>
              </w:rPr>
              <w:t>）</w:t>
            </w:r>
          </w:p>
        </w:tc>
        <w:tc>
          <w:tcPr>
            <w:tcW w:w="833" w:type="pct"/>
            <w:vAlign w:val="center"/>
          </w:tcPr>
          <w:p w14:paraId="504CBD35">
            <w:pPr>
              <w:pStyle w:val="33"/>
              <w:rPr>
                <w:color w:val="auto"/>
                <w:highlight w:val="none"/>
              </w:rPr>
            </w:pPr>
            <w:r>
              <w:rPr>
                <w:rFonts w:hint="eastAsia"/>
                <w:color w:val="auto"/>
                <w:highlight w:val="none"/>
              </w:rPr>
              <w:t>核算排放速率（</w:t>
            </w:r>
            <w:r>
              <w:rPr>
                <w:color w:val="auto"/>
                <w:highlight w:val="none"/>
              </w:rPr>
              <w:t>kg/h</w:t>
            </w:r>
            <w:r>
              <w:rPr>
                <w:rFonts w:hint="eastAsia"/>
                <w:color w:val="auto"/>
                <w:highlight w:val="none"/>
              </w:rPr>
              <w:t>）</w:t>
            </w:r>
          </w:p>
        </w:tc>
        <w:tc>
          <w:tcPr>
            <w:tcW w:w="832" w:type="pct"/>
            <w:vAlign w:val="center"/>
          </w:tcPr>
          <w:p w14:paraId="2B03858E">
            <w:pPr>
              <w:pStyle w:val="33"/>
              <w:rPr>
                <w:color w:val="auto"/>
                <w:highlight w:val="none"/>
              </w:rPr>
            </w:pPr>
            <w:r>
              <w:rPr>
                <w:rFonts w:hint="eastAsia"/>
                <w:color w:val="auto"/>
                <w:highlight w:val="none"/>
              </w:rPr>
              <w:t>核算年排放量（</w:t>
            </w:r>
            <w:r>
              <w:rPr>
                <w:color w:val="auto"/>
                <w:highlight w:val="none"/>
              </w:rPr>
              <w:t>t/a</w:t>
            </w:r>
            <w:r>
              <w:rPr>
                <w:rFonts w:hint="eastAsia"/>
                <w:color w:val="auto"/>
                <w:highlight w:val="none"/>
              </w:rPr>
              <w:t>）</w:t>
            </w:r>
          </w:p>
        </w:tc>
      </w:tr>
      <w:tr w14:paraId="12DD8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restart"/>
            <w:vAlign w:val="center"/>
          </w:tcPr>
          <w:p w14:paraId="793FC344">
            <w:pPr>
              <w:pStyle w:val="33"/>
              <w:rPr>
                <w:color w:val="auto"/>
                <w:highlight w:val="none"/>
              </w:rPr>
            </w:pPr>
            <w:r>
              <w:rPr>
                <w:color w:val="auto"/>
                <w:highlight w:val="none"/>
              </w:rPr>
              <w:t>1</w:t>
            </w:r>
          </w:p>
        </w:tc>
        <w:tc>
          <w:tcPr>
            <w:tcW w:w="1271" w:type="pct"/>
            <w:vMerge w:val="restart"/>
            <w:vAlign w:val="center"/>
          </w:tcPr>
          <w:p w14:paraId="1E32F46D">
            <w:pPr>
              <w:pStyle w:val="33"/>
              <w:rPr>
                <w:color w:val="auto"/>
                <w:highlight w:val="none"/>
              </w:rPr>
            </w:pPr>
            <w:r>
              <w:rPr>
                <w:color w:val="auto"/>
                <w:highlight w:val="none"/>
              </w:rPr>
              <w:t>1#</w:t>
            </w:r>
            <w:r>
              <w:rPr>
                <w:rFonts w:hint="eastAsia"/>
                <w:color w:val="auto"/>
                <w:highlight w:val="none"/>
              </w:rPr>
              <w:t>造纸车间</w:t>
            </w:r>
          </w:p>
        </w:tc>
        <w:tc>
          <w:tcPr>
            <w:tcW w:w="941" w:type="pct"/>
            <w:vAlign w:val="center"/>
          </w:tcPr>
          <w:p w14:paraId="23D7C2A8">
            <w:pPr>
              <w:pStyle w:val="33"/>
              <w:rPr>
                <w:color w:val="auto"/>
                <w:highlight w:val="none"/>
              </w:rPr>
            </w:pPr>
            <w:r>
              <w:rPr>
                <w:rFonts w:hint="eastAsia"/>
                <w:color w:val="auto"/>
                <w:highlight w:val="none"/>
              </w:rPr>
              <w:t>二氧化硫</w:t>
            </w:r>
          </w:p>
        </w:tc>
        <w:tc>
          <w:tcPr>
            <w:tcW w:w="832" w:type="pct"/>
            <w:vAlign w:val="center"/>
          </w:tcPr>
          <w:p w14:paraId="27535E55">
            <w:pPr>
              <w:pStyle w:val="33"/>
              <w:rPr>
                <w:color w:val="auto"/>
                <w:highlight w:val="none"/>
              </w:rPr>
            </w:pPr>
            <w:r>
              <w:rPr>
                <w:color w:val="auto"/>
                <w:highlight w:val="none"/>
              </w:rPr>
              <w:t>6.19</w:t>
            </w:r>
          </w:p>
        </w:tc>
        <w:tc>
          <w:tcPr>
            <w:tcW w:w="833" w:type="pct"/>
            <w:vAlign w:val="center"/>
          </w:tcPr>
          <w:p w14:paraId="4456984E">
            <w:pPr>
              <w:pStyle w:val="33"/>
              <w:rPr>
                <w:color w:val="auto"/>
                <w:highlight w:val="none"/>
              </w:rPr>
            </w:pPr>
            <w:r>
              <w:rPr>
                <w:color w:val="auto"/>
                <w:highlight w:val="none"/>
              </w:rPr>
              <w:t>0.23</w:t>
            </w:r>
          </w:p>
        </w:tc>
        <w:tc>
          <w:tcPr>
            <w:tcW w:w="832" w:type="pct"/>
            <w:vAlign w:val="center"/>
          </w:tcPr>
          <w:p w14:paraId="491DAF5E">
            <w:pPr>
              <w:pStyle w:val="33"/>
              <w:rPr>
                <w:color w:val="auto"/>
                <w:highlight w:val="none"/>
              </w:rPr>
            </w:pPr>
            <w:r>
              <w:rPr>
                <w:color w:val="auto"/>
                <w:highlight w:val="none"/>
              </w:rPr>
              <w:t>1.875</w:t>
            </w:r>
          </w:p>
        </w:tc>
      </w:tr>
      <w:tr w14:paraId="34271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continue"/>
            <w:vAlign w:val="center"/>
          </w:tcPr>
          <w:p w14:paraId="73BB7EF8">
            <w:pPr>
              <w:pStyle w:val="33"/>
              <w:rPr>
                <w:color w:val="auto"/>
                <w:highlight w:val="none"/>
              </w:rPr>
            </w:pPr>
          </w:p>
        </w:tc>
        <w:tc>
          <w:tcPr>
            <w:tcW w:w="1271" w:type="pct"/>
            <w:vMerge w:val="continue"/>
            <w:vAlign w:val="center"/>
          </w:tcPr>
          <w:p w14:paraId="7B02F11E">
            <w:pPr>
              <w:pStyle w:val="33"/>
              <w:rPr>
                <w:color w:val="auto"/>
                <w:highlight w:val="none"/>
              </w:rPr>
            </w:pPr>
          </w:p>
        </w:tc>
        <w:tc>
          <w:tcPr>
            <w:tcW w:w="941" w:type="pct"/>
            <w:vAlign w:val="center"/>
          </w:tcPr>
          <w:p w14:paraId="3AE90402">
            <w:pPr>
              <w:pStyle w:val="33"/>
              <w:rPr>
                <w:color w:val="auto"/>
                <w:highlight w:val="none"/>
              </w:rPr>
            </w:pPr>
            <w:r>
              <w:rPr>
                <w:rFonts w:hint="eastAsia"/>
                <w:color w:val="auto"/>
                <w:highlight w:val="none"/>
              </w:rPr>
              <w:t>氮氧化物</w:t>
            </w:r>
          </w:p>
        </w:tc>
        <w:tc>
          <w:tcPr>
            <w:tcW w:w="832" w:type="pct"/>
            <w:vAlign w:val="center"/>
          </w:tcPr>
          <w:p w14:paraId="184BA129">
            <w:pPr>
              <w:pStyle w:val="33"/>
              <w:rPr>
                <w:color w:val="auto"/>
                <w:highlight w:val="none"/>
              </w:rPr>
            </w:pPr>
            <w:r>
              <w:rPr>
                <w:color w:val="auto"/>
                <w:highlight w:val="none"/>
              </w:rPr>
              <w:t>33.3</w:t>
            </w:r>
          </w:p>
        </w:tc>
        <w:tc>
          <w:tcPr>
            <w:tcW w:w="833" w:type="pct"/>
            <w:vAlign w:val="center"/>
          </w:tcPr>
          <w:p w14:paraId="287272F8">
            <w:pPr>
              <w:pStyle w:val="33"/>
              <w:rPr>
                <w:color w:val="auto"/>
                <w:highlight w:val="none"/>
              </w:rPr>
            </w:pPr>
            <w:r>
              <w:rPr>
                <w:color w:val="auto"/>
                <w:highlight w:val="none"/>
              </w:rPr>
              <w:t>1.24</w:t>
            </w:r>
          </w:p>
        </w:tc>
        <w:tc>
          <w:tcPr>
            <w:tcW w:w="832" w:type="pct"/>
            <w:vAlign w:val="center"/>
          </w:tcPr>
          <w:p w14:paraId="49B15C19">
            <w:pPr>
              <w:pStyle w:val="33"/>
              <w:rPr>
                <w:color w:val="auto"/>
                <w:highlight w:val="none"/>
              </w:rPr>
            </w:pPr>
            <w:r>
              <w:rPr>
                <w:color w:val="auto"/>
                <w:highlight w:val="none"/>
              </w:rPr>
              <w:t>10.102</w:t>
            </w:r>
          </w:p>
        </w:tc>
      </w:tr>
      <w:tr w14:paraId="652EA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continue"/>
            <w:vAlign w:val="center"/>
          </w:tcPr>
          <w:p w14:paraId="21637BF4">
            <w:pPr>
              <w:pStyle w:val="33"/>
              <w:rPr>
                <w:color w:val="auto"/>
                <w:highlight w:val="none"/>
              </w:rPr>
            </w:pPr>
          </w:p>
        </w:tc>
        <w:tc>
          <w:tcPr>
            <w:tcW w:w="1271" w:type="pct"/>
            <w:vMerge w:val="continue"/>
            <w:vAlign w:val="center"/>
          </w:tcPr>
          <w:p w14:paraId="00970913">
            <w:pPr>
              <w:pStyle w:val="33"/>
              <w:rPr>
                <w:color w:val="auto"/>
                <w:highlight w:val="none"/>
              </w:rPr>
            </w:pPr>
          </w:p>
        </w:tc>
        <w:tc>
          <w:tcPr>
            <w:tcW w:w="941" w:type="pct"/>
            <w:vAlign w:val="center"/>
          </w:tcPr>
          <w:p w14:paraId="3D43D1AE">
            <w:pPr>
              <w:pStyle w:val="33"/>
              <w:rPr>
                <w:color w:val="auto"/>
                <w:highlight w:val="none"/>
              </w:rPr>
            </w:pPr>
            <w:r>
              <w:rPr>
                <w:rFonts w:hint="eastAsia"/>
                <w:color w:val="auto"/>
                <w:highlight w:val="none"/>
              </w:rPr>
              <w:t>颗粒物</w:t>
            </w:r>
          </w:p>
        </w:tc>
        <w:tc>
          <w:tcPr>
            <w:tcW w:w="832" w:type="pct"/>
            <w:vAlign w:val="center"/>
          </w:tcPr>
          <w:p w14:paraId="6DCFC764">
            <w:pPr>
              <w:pStyle w:val="33"/>
              <w:rPr>
                <w:color w:val="auto"/>
                <w:highlight w:val="none"/>
              </w:rPr>
            </w:pPr>
            <w:r>
              <w:rPr>
                <w:color w:val="auto"/>
                <w:highlight w:val="none"/>
              </w:rPr>
              <w:t>3.33</w:t>
            </w:r>
          </w:p>
        </w:tc>
        <w:tc>
          <w:tcPr>
            <w:tcW w:w="833" w:type="pct"/>
            <w:vAlign w:val="center"/>
          </w:tcPr>
          <w:p w14:paraId="5721420F">
            <w:pPr>
              <w:pStyle w:val="33"/>
              <w:rPr>
                <w:color w:val="auto"/>
                <w:highlight w:val="none"/>
              </w:rPr>
            </w:pPr>
            <w:r>
              <w:rPr>
                <w:color w:val="auto"/>
                <w:highlight w:val="none"/>
              </w:rPr>
              <w:t>0.12</w:t>
            </w:r>
          </w:p>
        </w:tc>
        <w:tc>
          <w:tcPr>
            <w:tcW w:w="832" w:type="pct"/>
            <w:vAlign w:val="center"/>
          </w:tcPr>
          <w:p w14:paraId="31F027AB">
            <w:pPr>
              <w:pStyle w:val="33"/>
              <w:rPr>
                <w:color w:val="auto"/>
                <w:highlight w:val="none"/>
              </w:rPr>
            </w:pPr>
            <w:r>
              <w:rPr>
                <w:color w:val="auto"/>
                <w:highlight w:val="none"/>
              </w:rPr>
              <w:t>1.01</w:t>
            </w:r>
          </w:p>
        </w:tc>
      </w:tr>
      <w:tr w14:paraId="1F886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restart"/>
            <w:vAlign w:val="center"/>
          </w:tcPr>
          <w:p w14:paraId="5F2CC6D1">
            <w:pPr>
              <w:pStyle w:val="33"/>
              <w:rPr>
                <w:color w:val="auto"/>
                <w:highlight w:val="none"/>
              </w:rPr>
            </w:pPr>
            <w:r>
              <w:rPr>
                <w:color w:val="auto"/>
                <w:highlight w:val="none"/>
              </w:rPr>
              <w:t>2</w:t>
            </w:r>
          </w:p>
        </w:tc>
        <w:tc>
          <w:tcPr>
            <w:tcW w:w="1271" w:type="pct"/>
            <w:vMerge w:val="restart"/>
            <w:vAlign w:val="center"/>
          </w:tcPr>
          <w:p w14:paraId="53D42B26">
            <w:pPr>
              <w:pStyle w:val="33"/>
              <w:rPr>
                <w:color w:val="auto"/>
                <w:highlight w:val="none"/>
              </w:rPr>
            </w:pPr>
            <w:r>
              <w:rPr>
                <w:color w:val="auto"/>
                <w:highlight w:val="none"/>
              </w:rPr>
              <w:t>2#</w:t>
            </w:r>
            <w:r>
              <w:rPr>
                <w:rFonts w:hint="eastAsia"/>
                <w:color w:val="auto"/>
                <w:highlight w:val="none"/>
              </w:rPr>
              <w:t>造纸车间</w:t>
            </w:r>
          </w:p>
        </w:tc>
        <w:tc>
          <w:tcPr>
            <w:tcW w:w="941" w:type="pct"/>
            <w:vAlign w:val="center"/>
          </w:tcPr>
          <w:p w14:paraId="0D8827E0">
            <w:pPr>
              <w:pStyle w:val="33"/>
              <w:rPr>
                <w:color w:val="auto"/>
                <w:highlight w:val="none"/>
              </w:rPr>
            </w:pPr>
            <w:r>
              <w:rPr>
                <w:rFonts w:hint="eastAsia"/>
                <w:color w:val="auto"/>
                <w:highlight w:val="none"/>
              </w:rPr>
              <w:t>二氧化硫</w:t>
            </w:r>
          </w:p>
        </w:tc>
        <w:tc>
          <w:tcPr>
            <w:tcW w:w="832" w:type="pct"/>
            <w:vAlign w:val="center"/>
          </w:tcPr>
          <w:p w14:paraId="3B6E7266">
            <w:pPr>
              <w:pStyle w:val="33"/>
              <w:rPr>
                <w:color w:val="auto"/>
                <w:highlight w:val="none"/>
              </w:rPr>
            </w:pPr>
            <w:r>
              <w:rPr>
                <w:color w:val="auto"/>
                <w:highlight w:val="none"/>
              </w:rPr>
              <w:t>6.19</w:t>
            </w:r>
          </w:p>
        </w:tc>
        <w:tc>
          <w:tcPr>
            <w:tcW w:w="833" w:type="pct"/>
            <w:vAlign w:val="center"/>
          </w:tcPr>
          <w:p w14:paraId="17278B79">
            <w:pPr>
              <w:pStyle w:val="33"/>
              <w:rPr>
                <w:color w:val="auto"/>
                <w:highlight w:val="none"/>
              </w:rPr>
            </w:pPr>
            <w:r>
              <w:rPr>
                <w:color w:val="auto"/>
                <w:highlight w:val="none"/>
              </w:rPr>
              <w:t>0.29</w:t>
            </w:r>
          </w:p>
        </w:tc>
        <w:tc>
          <w:tcPr>
            <w:tcW w:w="832" w:type="pct"/>
            <w:vAlign w:val="center"/>
          </w:tcPr>
          <w:p w14:paraId="631E6152">
            <w:pPr>
              <w:pStyle w:val="33"/>
              <w:rPr>
                <w:color w:val="auto"/>
                <w:highlight w:val="none"/>
              </w:rPr>
            </w:pPr>
            <w:r>
              <w:rPr>
                <w:color w:val="auto"/>
                <w:highlight w:val="none"/>
              </w:rPr>
              <w:t>2.4</w:t>
            </w:r>
          </w:p>
        </w:tc>
      </w:tr>
      <w:tr w14:paraId="14D68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continue"/>
            <w:vAlign w:val="center"/>
          </w:tcPr>
          <w:p w14:paraId="2D0DAA59">
            <w:pPr>
              <w:pStyle w:val="33"/>
              <w:rPr>
                <w:color w:val="auto"/>
                <w:highlight w:val="none"/>
              </w:rPr>
            </w:pPr>
          </w:p>
        </w:tc>
        <w:tc>
          <w:tcPr>
            <w:tcW w:w="1271" w:type="pct"/>
            <w:vMerge w:val="continue"/>
            <w:vAlign w:val="center"/>
          </w:tcPr>
          <w:p w14:paraId="004CE85C">
            <w:pPr>
              <w:pStyle w:val="33"/>
              <w:rPr>
                <w:color w:val="auto"/>
                <w:highlight w:val="none"/>
              </w:rPr>
            </w:pPr>
          </w:p>
        </w:tc>
        <w:tc>
          <w:tcPr>
            <w:tcW w:w="941" w:type="pct"/>
            <w:vAlign w:val="center"/>
          </w:tcPr>
          <w:p w14:paraId="217AC49A">
            <w:pPr>
              <w:pStyle w:val="33"/>
              <w:rPr>
                <w:color w:val="auto"/>
                <w:highlight w:val="none"/>
              </w:rPr>
            </w:pPr>
            <w:r>
              <w:rPr>
                <w:rFonts w:hint="eastAsia"/>
                <w:color w:val="auto"/>
                <w:highlight w:val="none"/>
              </w:rPr>
              <w:t>氮氧化物</w:t>
            </w:r>
          </w:p>
        </w:tc>
        <w:tc>
          <w:tcPr>
            <w:tcW w:w="832" w:type="pct"/>
            <w:vAlign w:val="center"/>
          </w:tcPr>
          <w:p w14:paraId="7DD4FDBE">
            <w:pPr>
              <w:pStyle w:val="33"/>
              <w:rPr>
                <w:color w:val="auto"/>
                <w:highlight w:val="none"/>
              </w:rPr>
            </w:pPr>
            <w:r>
              <w:rPr>
                <w:color w:val="auto"/>
                <w:highlight w:val="none"/>
              </w:rPr>
              <w:t>33.3</w:t>
            </w:r>
          </w:p>
        </w:tc>
        <w:tc>
          <w:tcPr>
            <w:tcW w:w="833" w:type="pct"/>
            <w:vAlign w:val="center"/>
          </w:tcPr>
          <w:p w14:paraId="6F175A48">
            <w:pPr>
              <w:pStyle w:val="33"/>
              <w:rPr>
                <w:color w:val="auto"/>
                <w:highlight w:val="none"/>
              </w:rPr>
            </w:pPr>
            <w:r>
              <w:rPr>
                <w:color w:val="auto"/>
                <w:highlight w:val="none"/>
              </w:rPr>
              <w:t>1.58</w:t>
            </w:r>
          </w:p>
        </w:tc>
        <w:tc>
          <w:tcPr>
            <w:tcW w:w="832" w:type="pct"/>
            <w:vAlign w:val="center"/>
          </w:tcPr>
          <w:p w14:paraId="6DEF6A86">
            <w:pPr>
              <w:pStyle w:val="33"/>
              <w:rPr>
                <w:color w:val="auto"/>
                <w:highlight w:val="none"/>
              </w:rPr>
            </w:pPr>
            <w:r>
              <w:rPr>
                <w:color w:val="auto"/>
                <w:highlight w:val="none"/>
              </w:rPr>
              <w:t>12.93</w:t>
            </w:r>
          </w:p>
        </w:tc>
      </w:tr>
      <w:tr w14:paraId="73E73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continue"/>
            <w:vAlign w:val="center"/>
          </w:tcPr>
          <w:p w14:paraId="2258637B">
            <w:pPr>
              <w:pStyle w:val="33"/>
              <w:rPr>
                <w:color w:val="auto"/>
                <w:highlight w:val="none"/>
              </w:rPr>
            </w:pPr>
          </w:p>
        </w:tc>
        <w:tc>
          <w:tcPr>
            <w:tcW w:w="1271" w:type="pct"/>
            <w:vMerge w:val="continue"/>
            <w:vAlign w:val="center"/>
          </w:tcPr>
          <w:p w14:paraId="33ED272C">
            <w:pPr>
              <w:pStyle w:val="33"/>
              <w:rPr>
                <w:color w:val="auto"/>
                <w:highlight w:val="none"/>
              </w:rPr>
            </w:pPr>
          </w:p>
        </w:tc>
        <w:tc>
          <w:tcPr>
            <w:tcW w:w="941" w:type="pct"/>
            <w:vAlign w:val="center"/>
          </w:tcPr>
          <w:p w14:paraId="2C049362">
            <w:pPr>
              <w:pStyle w:val="33"/>
              <w:rPr>
                <w:color w:val="auto"/>
                <w:highlight w:val="none"/>
              </w:rPr>
            </w:pPr>
            <w:r>
              <w:rPr>
                <w:rFonts w:hint="eastAsia"/>
                <w:color w:val="auto"/>
                <w:highlight w:val="none"/>
              </w:rPr>
              <w:t>颗粒物</w:t>
            </w:r>
          </w:p>
        </w:tc>
        <w:tc>
          <w:tcPr>
            <w:tcW w:w="832" w:type="pct"/>
            <w:vAlign w:val="center"/>
          </w:tcPr>
          <w:p w14:paraId="4696EC9F">
            <w:pPr>
              <w:pStyle w:val="33"/>
              <w:rPr>
                <w:color w:val="auto"/>
                <w:highlight w:val="none"/>
              </w:rPr>
            </w:pPr>
            <w:r>
              <w:rPr>
                <w:color w:val="auto"/>
                <w:highlight w:val="none"/>
              </w:rPr>
              <w:t>3.33</w:t>
            </w:r>
          </w:p>
        </w:tc>
        <w:tc>
          <w:tcPr>
            <w:tcW w:w="833" w:type="pct"/>
            <w:vAlign w:val="center"/>
          </w:tcPr>
          <w:p w14:paraId="27005752">
            <w:pPr>
              <w:pStyle w:val="33"/>
              <w:rPr>
                <w:color w:val="auto"/>
                <w:highlight w:val="none"/>
              </w:rPr>
            </w:pPr>
            <w:r>
              <w:rPr>
                <w:color w:val="auto"/>
                <w:highlight w:val="none"/>
              </w:rPr>
              <w:t>0.16</w:t>
            </w:r>
          </w:p>
        </w:tc>
        <w:tc>
          <w:tcPr>
            <w:tcW w:w="832" w:type="pct"/>
            <w:vAlign w:val="center"/>
          </w:tcPr>
          <w:p w14:paraId="5322AA2C">
            <w:pPr>
              <w:pStyle w:val="33"/>
              <w:rPr>
                <w:color w:val="auto"/>
                <w:highlight w:val="none"/>
              </w:rPr>
            </w:pPr>
            <w:r>
              <w:rPr>
                <w:color w:val="auto"/>
                <w:highlight w:val="none"/>
              </w:rPr>
              <w:t>1.293</w:t>
            </w:r>
          </w:p>
        </w:tc>
      </w:tr>
      <w:tr w14:paraId="08A93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Align w:val="center"/>
          </w:tcPr>
          <w:p w14:paraId="4E1AF038">
            <w:pPr>
              <w:pStyle w:val="33"/>
              <w:rPr>
                <w:color w:val="auto"/>
                <w:highlight w:val="none"/>
              </w:rPr>
            </w:pPr>
            <w:r>
              <w:rPr>
                <w:color w:val="auto"/>
                <w:highlight w:val="none"/>
              </w:rPr>
              <w:t>3</w:t>
            </w:r>
          </w:p>
        </w:tc>
        <w:tc>
          <w:tcPr>
            <w:tcW w:w="1271" w:type="pct"/>
            <w:vAlign w:val="center"/>
          </w:tcPr>
          <w:p w14:paraId="7A7E7CA4">
            <w:pPr>
              <w:pStyle w:val="33"/>
              <w:rPr>
                <w:color w:val="auto"/>
                <w:highlight w:val="none"/>
              </w:rPr>
            </w:pPr>
            <w:r>
              <w:rPr>
                <w:rFonts w:hint="eastAsia"/>
                <w:color w:val="auto"/>
                <w:highlight w:val="none"/>
              </w:rPr>
              <w:t>淋膜纸生产</w:t>
            </w:r>
          </w:p>
        </w:tc>
        <w:tc>
          <w:tcPr>
            <w:tcW w:w="941" w:type="pct"/>
            <w:vAlign w:val="center"/>
          </w:tcPr>
          <w:p w14:paraId="618099C9">
            <w:pPr>
              <w:pStyle w:val="33"/>
              <w:rPr>
                <w:color w:val="auto"/>
                <w:highlight w:val="none"/>
              </w:rPr>
            </w:pPr>
            <w:r>
              <w:rPr>
                <w:rFonts w:hint="eastAsia"/>
                <w:color w:val="auto"/>
                <w:highlight w:val="none"/>
              </w:rPr>
              <w:t>非甲烷总烃</w:t>
            </w:r>
          </w:p>
        </w:tc>
        <w:tc>
          <w:tcPr>
            <w:tcW w:w="832" w:type="pct"/>
            <w:vAlign w:val="center"/>
          </w:tcPr>
          <w:p w14:paraId="1D9897C0">
            <w:pPr>
              <w:pStyle w:val="33"/>
              <w:rPr>
                <w:color w:val="auto"/>
                <w:highlight w:val="none"/>
              </w:rPr>
            </w:pPr>
            <w:r>
              <w:rPr>
                <w:color w:val="auto"/>
                <w:highlight w:val="none"/>
              </w:rPr>
              <w:t>3.22</w:t>
            </w:r>
          </w:p>
        </w:tc>
        <w:tc>
          <w:tcPr>
            <w:tcW w:w="833" w:type="pct"/>
            <w:vAlign w:val="center"/>
          </w:tcPr>
          <w:p w14:paraId="02027187">
            <w:pPr>
              <w:pStyle w:val="33"/>
              <w:rPr>
                <w:color w:val="auto"/>
                <w:highlight w:val="none"/>
              </w:rPr>
            </w:pPr>
            <w:r>
              <w:rPr>
                <w:color w:val="auto"/>
                <w:highlight w:val="none"/>
              </w:rPr>
              <w:t>0.06</w:t>
            </w:r>
          </w:p>
        </w:tc>
        <w:tc>
          <w:tcPr>
            <w:tcW w:w="832" w:type="pct"/>
            <w:vAlign w:val="center"/>
          </w:tcPr>
          <w:p w14:paraId="32C9F42D">
            <w:pPr>
              <w:pStyle w:val="33"/>
              <w:rPr>
                <w:color w:val="auto"/>
                <w:highlight w:val="none"/>
              </w:rPr>
            </w:pPr>
            <w:r>
              <w:rPr>
                <w:color w:val="auto"/>
                <w:highlight w:val="none"/>
              </w:rPr>
              <w:t>0.449</w:t>
            </w:r>
          </w:p>
        </w:tc>
      </w:tr>
      <w:tr w14:paraId="1111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restart"/>
            <w:vAlign w:val="center"/>
          </w:tcPr>
          <w:p w14:paraId="429F89D4">
            <w:pPr>
              <w:pStyle w:val="33"/>
              <w:rPr>
                <w:color w:val="auto"/>
                <w:highlight w:val="none"/>
              </w:rPr>
            </w:pPr>
            <w:r>
              <w:rPr>
                <w:color w:val="auto"/>
                <w:highlight w:val="none"/>
              </w:rPr>
              <w:t>4</w:t>
            </w:r>
          </w:p>
        </w:tc>
        <w:tc>
          <w:tcPr>
            <w:tcW w:w="1271" w:type="pct"/>
            <w:vMerge w:val="restart"/>
            <w:vAlign w:val="center"/>
          </w:tcPr>
          <w:p w14:paraId="7D77638D">
            <w:pPr>
              <w:pStyle w:val="33"/>
              <w:rPr>
                <w:color w:val="auto"/>
                <w:highlight w:val="none"/>
              </w:rPr>
            </w:pPr>
            <w:r>
              <w:rPr>
                <w:rFonts w:hint="eastAsia"/>
                <w:color w:val="auto"/>
                <w:highlight w:val="none"/>
              </w:rPr>
              <w:t>污水处理站</w:t>
            </w:r>
          </w:p>
        </w:tc>
        <w:tc>
          <w:tcPr>
            <w:tcW w:w="941" w:type="pct"/>
            <w:vAlign w:val="center"/>
          </w:tcPr>
          <w:p w14:paraId="68331ABF">
            <w:pPr>
              <w:pStyle w:val="33"/>
              <w:rPr>
                <w:color w:val="auto"/>
                <w:highlight w:val="none"/>
              </w:rPr>
            </w:pPr>
            <w:r>
              <w:rPr>
                <w:color w:val="auto"/>
                <w:highlight w:val="none"/>
              </w:rPr>
              <w:t>NH</w:t>
            </w:r>
            <w:r>
              <w:rPr>
                <w:color w:val="auto"/>
                <w:highlight w:val="none"/>
                <w:vertAlign w:val="subscript"/>
              </w:rPr>
              <w:t>3</w:t>
            </w:r>
          </w:p>
        </w:tc>
        <w:tc>
          <w:tcPr>
            <w:tcW w:w="832" w:type="pct"/>
            <w:vAlign w:val="center"/>
          </w:tcPr>
          <w:p w14:paraId="0B95FB6A">
            <w:pPr>
              <w:pStyle w:val="33"/>
              <w:rPr>
                <w:color w:val="auto"/>
                <w:highlight w:val="none"/>
              </w:rPr>
            </w:pPr>
            <w:r>
              <w:rPr>
                <w:rFonts w:eastAsia="等线" w:cs="Times New Roman"/>
                <w:color w:val="auto"/>
                <w:sz w:val="20"/>
                <w:szCs w:val="20"/>
                <w:highlight w:val="none"/>
              </w:rPr>
              <w:t>0.1266</w:t>
            </w:r>
          </w:p>
        </w:tc>
        <w:tc>
          <w:tcPr>
            <w:tcW w:w="833" w:type="pct"/>
            <w:vAlign w:val="center"/>
          </w:tcPr>
          <w:p w14:paraId="13DAC5D0">
            <w:pPr>
              <w:pStyle w:val="33"/>
              <w:rPr>
                <w:color w:val="auto"/>
                <w:highlight w:val="none"/>
              </w:rPr>
            </w:pPr>
            <w:r>
              <w:rPr>
                <w:rFonts w:eastAsia="等线" w:cs="Times New Roman"/>
                <w:color w:val="auto"/>
                <w:sz w:val="20"/>
                <w:szCs w:val="20"/>
                <w:highlight w:val="none"/>
              </w:rPr>
              <w:t>0.0032</w:t>
            </w:r>
          </w:p>
        </w:tc>
        <w:tc>
          <w:tcPr>
            <w:tcW w:w="832" w:type="pct"/>
            <w:vAlign w:val="center"/>
          </w:tcPr>
          <w:p w14:paraId="4AE367CC">
            <w:pPr>
              <w:pStyle w:val="33"/>
              <w:rPr>
                <w:color w:val="auto"/>
                <w:highlight w:val="none"/>
              </w:rPr>
            </w:pPr>
            <w:r>
              <w:rPr>
                <w:rFonts w:eastAsia="等线" w:cs="Times New Roman"/>
                <w:color w:val="auto"/>
                <w:sz w:val="20"/>
                <w:szCs w:val="20"/>
                <w:highlight w:val="none"/>
              </w:rPr>
              <w:t>0.0277</w:t>
            </w:r>
          </w:p>
        </w:tc>
      </w:tr>
      <w:tr w14:paraId="4B367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291" w:type="pct"/>
            <w:vMerge w:val="continue"/>
            <w:vAlign w:val="center"/>
          </w:tcPr>
          <w:p w14:paraId="2C6D9BB1">
            <w:pPr>
              <w:pStyle w:val="33"/>
              <w:rPr>
                <w:color w:val="auto"/>
                <w:highlight w:val="none"/>
              </w:rPr>
            </w:pPr>
          </w:p>
        </w:tc>
        <w:tc>
          <w:tcPr>
            <w:tcW w:w="1271" w:type="pct"/>
            <w:vMerge w:val="continue"/>
            <w:vAlign w:val="center"/>
          </w:tcPr>
          <w:p w14:paraId="03FAA315">
            <w:pPr>
              <w:pStyle w:val="33"/>
              <w:rPr>
                <w:color w:val="auto"/>
                <w:highlight w:val="none"/>
              </w:rPr>
            </w:pPr>
          </w:p>
        </w:tc>
        <w:tc>
          <w:tcPr>
            <w:tcW w:w="941" w:type="pct"/>
            <w:vAlign w:val="center"/>
          </w:tcPr>
          <w:p w14:paraId="414EFE92">
            <w:pPr>
              <w:pStyle w:val="33"/>
              <w:rPr>
                <w:color w:val="auto"/>
                <w:highlight w:val="none"/>
              </w:rPr>
            </w:pPr>
            <w:r>
              <w:rPr>
                <w:color w:val="auto"/>
                <w:highlight w:val="none"/>
              </w:rPr>
              <w:t>H</w:t>
            </w:r>
            <w:r>
              <w:rPr>
                <w:color w:val="auto"/>
                <w:highlight w:val="none"/>
                <w:vertAlign w:val="subscript"/>
              </w:rPr>
              <w:t>2</w:t>
            </w:r>
            <w:r>
              <w:rPr>
                <w:color w:val="auto"/>
                <w:highlight w:val="none"/>
              </w:rPr>
              <w:t>S</w:t>
            </w:r>
          </w:p>
        </w:tc>
        <w:tc>
          <w:tcPr>
            <w:tcW w:w="832" w:type="pct"/>
            <w:vAlign w:val="center"/>
          </w:tcPr>
          <w:p w14:paraId="0E890BBF">
            <w:pPr>
              <w:pStyle w:val="33"/>
              <w:rPr>
                <w:color w:val="auto"/>
                <w:highlight w:val="none"/>
              </w:rPr>
            </w:pPr>
            <w:r>
              <w:rPr>
                <w:rFonts w:eastAsia="等线" w:cs="Times New Roman"/>
                <w:color w:val="auto"/>
                <w:sz w:val="20"/>
                <w:szCs w:val="20"/>
                <w:highlight w:val="none"/>
              </w:rPr>
              <w:t>0.0583</w:t>
            </w:r>
          </w:p>
        </w:tc>
        <w:tc>
          <w:tcPr>
            <w:tcW w:w="833" w:type="pct"/>
            <w:vAlign w:val="center"/>
          </w:tcPr>
          <w:p w14:paraId="3A9456A9">
            <w:pPr>
              <w:pStyle w:val="33"/>
              <w:rPr>
                <w:color w:val="auto"/>
                <w:highlight w:val="none"/>
              </w:rPr>
            </w:pPr>
            <w:r>
              <w:rPr>
                <w:rFonts w:eastAsia="等线" w:cs="Times New Roman"/>
                <w:color w:val="auto"/>
                <w:sz w:val="20"/>
                <w:szCs w:val="20"/>
                <w:highlight w:val="none"/>
              </w:rPr>
              <w:t>0.0015</w:t>
            </w:r>
          </w:p>
        </w:tc>
        <w:tc>
          <w:tcPr>
            <w:tcW w:w="832" w:type="pct"/>
            <w:vAlign w:val="center"/>
          </w:tcPr>
          <w:p w14:paraId="67CD54AE">
            <w:pPr>
              <w:pStyle w:val="33"/>
              <w:rPr>
                <w:color w:val="auto"/>
                <w:highlight w:val="none"/>
              </w:rPr>
            </w:pPr>
            <w:r>
              <w:rPr>
                <w:rFonts w:eastAsia="等线" w:cs="Times New Roman"/>
                <w:color w:val="auto"/>
                <w:sz w:val="20"/>
                <w:szCs w:val="20"/>
                <w:highlight w:val="none"/>
              </w:rPr>
              <w:t>0.0128</w:t>
            </w:r>
          </w:p>
        </w:tc>
      </w:tr>
      <w:tr w14:paraId="6B79D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000" w:type="pct"/>
            <w:gridSpan w:val="6"/>
            <w:vAlign w:val="center"/>
          </w:tcPr>
          <w:p w14:paraId="5F62C704">
            <w:pPr>
              <w:pStyle w:val="33"/>
              <w:rPr>
                <w:color w:val="auto"/>
                <w:highlight w:val="none"/>
              </w:rPr>
            </w:pPr>
            <w:r>
              <w:rPr>
                <w:rFonts w:hint="eastAsia"/>
                <w:color w:val="auto"/>
                <w:highlight w:val="none"/>
              </w:rPr>
              <w:t>有组织排放合计</w:t>
            </w:r>
          </w:p>
        </w:tc>
      </w:tr>
      <w:tr w14:paraId="7F41E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2" w:type="pct"/>
            <w:gridSpan w:val="2"/>
            <w:vMerge w:val="restart"/>
            <w:vAlign w:val="center"/>
          </w:tcPr>
          <w:p w14:paraId="3B6BB38D">
            <w:pPr>
              <w:pStyle w:val="33"/>
              <w:rPr>
                <w:color w:val="auto"/>
                <w:highlight w:val="none"/>
              </w:rPr>
            </w:pPr>
            <w:r>
              <w:rPr>
                <w:rFonts w:hint="eastAsia"/>
                <w:color w:val="auto"/>
                <w:highlight w:val="none"/>
              </w:rPr>
              <w:t>有组织排放总计</w:t>
            </w:r>
          </w:p>
        </w:tc>
        <w:tc>
          <w:tcPr>
            <w:tcW w:w="2606" w:type="pct"/>
            <w:gridSpan w:val="3"/>
            <w:vAlign w:val="center"/>
          </w:tcPr>
          <w:p w14:paraId="2DD40C8E">
            <w:pPr>
              <w:pStyle w:val="33"/>
              <w:rPr>
                <w:color w:val="auto"/>
                <w:highlight w:val="none"/>
              </w:rPr>
            </w:pPr>
            <w:r>
              <w:rPr>
                <w:rFonts w:hint="eastAsia"/>
                <w:color w:val="auto"/>
                <w:highlight w:val="none"/>
              </w:rPr>
              <w:t>二氧化硫</w:t>
            </w:r>
          </w:p>
        </w:tc>
        <w:tc>
          <w:tcPr>
            <w:tcW w:w="832" w:type="pct"/>
            <w:vAlign w:val="center"/>
          </w:tcPr>
          <w:p w14:paraId="3AF25F61">
            <w:pPr>
              <w:pStyle w:val="33"/>
              <w:rPr>
                <w:color w:val="auto"/>
                <w:highlight w:val="none"/>
              </w:rPr>
            </w:pPr>
            <w:r>
              <w:rPr>
                <w:rFonts w:eastAsia="等线" w:cs="Times New Roman"/>
                <w:color w:val="auto"/>
                <w:sz w:val="20"/>
                <w:szCs w:val="20"/>
                <w:highlight w:val="none"/>
              </w:rPr>
              <w:t>4.275</w:t>
            </w:r>
          </w:p>
        </w:tc>
      </w:tr>
      <w:tr w14:paraId="22F53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62" w:type="pct"/>
            <w:gridSpan w:val="2"/>
            <w:vMerge w:val="continue"/>
            <w:vAlign w:val="center"/>
          </w:tcPr>
          <w:p w14:paraId="359854CF">
            <w:pPr>
              <w:pStyle w:val="33"/>
              <w:rPr>
                <w:color w:val="auto"/>
                <w:highlight w:val="none"/>
              </w:rPr>
            </w:pPr>
          </w:p>
        </w:tc>
        <w:tc>
          <w:tcPr>
            <w:tcW w:w="2606" w:type="pct"/>
            <w:gridSpan w:val="3"/>
            <w:vAlign w:val="center"/>
          </w:tcPr>
          <w:p w14:paraId="2FFA473E">
            <w:pPr>
              <w:pStyle w:val="33"/>
              <w:rPr>
                <w:color w:val="auto"/>
                <w:highlight w:val="none"/>
              </w:rPr>
            </w:pPr>
            <w:r>
              <w:rPr>
                <w:rFonts w:hint="eastAsia"/>
                <w:color w:val="auto"/>
                <w:highlight w:val="none"/>
              </w:rPr>
              <w:t>氮氧化物</w:t>
            </w:r>
          </w:p>
        </w:tc>
        <w:tc>
          <w:tcPr>
            <w:tcW w:w="832" w:type="pct"/>
            <w:vAlign w:val="center"/>
          </w:tcPr>
          <w:p w14:paraId="2F8BD849">
            <w:pPr>
              <w:pStyle w:val="33"/>
              <w:rPr>
                <w:color w:val="auto"/>
                <w:highlight w:val="none"/>
              </w:rPr>
            </w:pPr>
            <w:r>
              <w:rPr>
                <w:rFonts w:eastAsia="等线" w:cs="Times New Roman"/>
                <w:color w:val="auto"/>
                <w:sz w:val="20"/>
                <w:szCs w:val="20"/>
                <w:highlight w:val="none"/>
              </w:rPr>
              <w:t>23.032</w:t>
            </w:r>
          </w:p>
        </w:tc>
      </w:tr>
      <w:tr w14:paraId="70E9D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62" w:type="pct"/>
            <w:gridSpan w:val="2"/>
            <w:vMerge w:val="continue"/>
            <w:vAlign w:val="center"/>
          </w:tcPr>
          <w:p w14:paraId="5234ACB9">
            <w:pPr>
              <w:pStyle w:val="33"/>
              <w:rPr>
                <w:color w:val="auto"/>
                <w:highlight w:val="none"/>
              </w:rPr>
            </w:pPr>
          </w:p>
        </w:tc>
        <w:tc>
          <w:tcPr>
            <w:tcW w:w="2606" w:type="pct"/>
            <w:gridSpan w:val="3"/>
            <w:vAlign w:val="center"/>
          </w:tcPr>
          <w:p w14:paraId="49D318F0">
            <w:pPr>
              <w:pStyle w:val="33"/>
              <w:rPr>
                <w:color w:val="auto"/>
                <w:highlight w:val="none"/>
              </w:rPr>
            </w:pPr>
            <w:r>
              <w:rPr>
                <w:rFonts w:hint="eastAsia"/>
                <w:color w:val="auto"/>
                <w:highlight w:val="none"/>
              </w:rPr>
              <w:t>颗粒物</w:t>
            </w:r>
          </w:p>
        </w:tc>
        <w:tc>
          <w:tcPr>
            <w:tcW w:w="832" w:type="pct"/>
            <w:vAlign w:val="center"/>
          </w:tcPr>
          <w:p w14:paraId="42707FF6">
            <w:pPr>
              <w:pStyle w:val="33"/>
              <w:rPr>
                <w:color w:val="auto"/>
                <w:highlight w:val="none"/>
              </w:rPr>
            </w:pPr>
            <w:r>
              <w:rPr>
                <w:rFonts w:eastAsia="等线" w:cs="Times New Roman"/>
                <w:color w:val="auto"/>
                <w:sz w:val="20"/>
                <w:szCs w:val="20"/>
                <w:highlight w:val="none"/>
              </w:rPr>
              <w:t>2.303</w:t>
            </w:r>
          </w:p>
        </w:tc>
      </w:tr>
      <w:tr w14:paraId="5D2A83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62" w:type="pct"/>
            <w:gridSpan w:val="2"/>
            <w:vMerge w:val="continue"/>
            <w:vAlign w:val="center"/>
          </w:tcPr>
          <w:p w14:paraId="2DEA2ACB">
            <w:pPr>
              <w:pStyle w:val="33"/>
              <w:rPr>
                <w:color w:val="auto"/>
                <w:highlight w:val="none"/>
              </w:rPr>
            </w:pPr>
          </w:p>
        </w:tc>
        <w:tc>
          <w:tcPr>
            <w:tcW w:w="2606" w:type="pct"/>
            <w:gridSpan w:val="3"/>
            <w:vAlign w:val="center"/>
          </w:tcPr>
          <w:p w14:paraId="0B7874B5">
            <w:pPr>
              <w:pStyle w:val="33"/>
              <w:rPr>
                <w:color w:val="auto"/>
                <w:highlight w:val="none"/>
              </w:rPr>
            </w:pPr>
            <w:r>
              <w:rPr>
                <w:rFonts w:hint="eastAsia"/>
                <w:color w:val="auto"/>
                <w:highlight w:val="none"/>
              </w:rPr>
              <w:t>非甲烷总烃</w:t>
            </w:r>
          </w:p>
        </w:tc>
        <w:tc>
          <w:tcPr>
            <w:tcW w:w="832" w:type="pct"/>
            <w:vAlign w:val="center"/>
          </w:tcPr>
          <w:p w14:paraId="2721F7C2">
            <w:pPr>
              <w:pStyle w:val="33"/>
              <w:rPr>
                <w:color w:val="auto"/>
                <w:highlight w:val="none"/>
              </w:rPr>
            </w:pPr>
            <w:r>
              <w:rPr>
                <w:rFonts w:eastAsia="等线" w:cs="Times New Roman"/>
                <w:color w:val="auto"/>
                <w:sz w:val="20"/>
                <w:szCs w:val="20"/>
                <w:highlight w:val="none"/>
              </w:rPr>
              <w:t>0.449</w:t>
            </w:r>
          </w:p>
        </w:tc>
      </w:tr>
      <w:tr w14:paraId="4AF8C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62" w:type="pct"/>
            <w:gridSpan w:val="2"/>
            <w:vMerge w:val="continue"/>
            <w:vAlign w:val="center"/>
          </w:tcPr>
          <w:p w14:paraId="2C548070">
            <w:pPr>
              <w:pStyle w:val="33"/>
              <w:rPr>
                <w:color w:val="auto"/>
                <w:highlight w:val="none"/>
              </w:rPr>
            </w:pPr>
          </w:p>
        </w:tc>
        <w:tc>
          <w:tcPr>
            <w:tcW w:w="2606" w:type="pct"/>
            <w:gridSpan w:val="3"/>
            <w:vAlign w:val="center"/>
          </w:tcPr>
          <w:p w14:paraId="40D00CDF">
            <w:pPr>
              <w:pStyle w:val="33"/>
              <w:rPr>
                <w:color w:val="auto"/>
                <w:highlight w:val="none"/>
              </w:rPr>
            </w:pPr>
            <w:r>
              <w:rPr>
                <w:color w:val="auto"/>
                <w:highlight w:val="none"/>
              </w:rPr>
              <w:t>NH</w:t>
            </w:r>
            <w:r>
              <w:rPr>
                <w:color w:val="auto"/>
                <w:highlight w:val="none"/>
                <w:vertAlign w:val="subscript"/>
              </w:rPr>
              <w:t>3</w:t>
            </w:r>
          </w:p>
        </w:tc>
        <w:tc>
          <w:tcPr>
            <w:tcW w:w="832" w:type="pct"/>
            <w:vAlign w:val="center"/>
          </w:tcPr>
          <w:p w14:paraId="088AAC18">
            <w:pPr>
              <w:pStyle w:val="33"/>
              <w:rPr>
                <w:color w:val="auto"/>
                <w:highlight w:val="none"/>
              </w:rPr>
            </w:pPr>
            <w:r>
              <w:rPr>
                <w:rFonts w:eastAsia="等线" w:cs="Times New Roman"/>
                <w:color w:val="auto"/>
                <w:sz w:val="20"/>
                <w:szCs w:val="20"/>
                <w:highlight w:val="none"/>
              </w:rPr>
              <w:t>0.0277</w:t>
            </w:r>
          </w:p>
        </w:tc>
      </w:tr>
      <w:tr w14:paraId="04E47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562" w:type="pct"/>
            <w:gridSpan w:val="2"/>
            <w:vMerge w:val="continue"/>
            <w:vAlign w:val="center"/>
          </w:tcPr>
          <w:p w14:paraId="5EE9CC53">
            <w:pPr>
              <w:pStyle w:val="33"/>
              <w:rPr>
                <w:color w:val="auto"/>
                <w:highlight w:val="none"/>
              </w:rPr>
            </w:pPr>
          </w:p>
        </w:tc>
        <w:tc>
          <w:tcPr>
            <w:tcW w:w="2606" w:type="pct"/>
            <w:gridSpan w:val="3"/>
            <w:vAlign w:val="center"/>
          </w:tcPr>
          <w:p w14:paraId="4A506D1C">
            <w:pPr>
              <w:pStyle w:val="33"/>
              <w:rPr>
                <w:color w:val="auto"/>
                <w:highlight w:val="none"/>
              </w:rPr>
            </w:pPr>
            <w:r>
              <w:rPr>
                <w:color w:val="auto"/>
                <w:highlight w:val="none"/>
              </w:rPr>
              <w:t>H</w:t>
            </w:r>
            <w:r>
              <w:rPr>
                <w:color w:val="auto"/>
                <w:highlight w:val="none"/>
                <w:vertAlign w:val="subscript"/>
              </w:rPr>
              <w:t>2</w:t>
            </w:r>
            <w:r>
              <w:rPr>
                <w:color w:val="auto"/>
                <w:highlight w:val="none"/>
              </w:rPr>
              <w:t>S</w:t>
            </w:r>
          </w:p>
        </w:tc>
        <w:tc>
          <w:tcPr>
            <w:tcW w:w="832" w:type="pct"/>
            <w:vAlign w:val="center"/>
          </w:tcPr>
          <w:p w14:paraId="0A76A6AA">
            <w:pPr>
              <w:pStyle w:val="33"/>
              <w:rPr>
                <w:color w:val="auto"/>
                <w:highlight w:val="none"/>
              </w:rPr>
            </w:pPr>
            <w:r>
              <w:rPr>
                <w:rFonts w:eastAsia="等线" w:cs="Times New Roman"/>
                <w:color w:val="auto"/>
                <w:sz w:val="20"/>
                <w:szCs w:val="20"/>
                <w:highlight w:val="none"/>
              </w:rPr>
              <w:t>0.0128</w:t>
            </w:r>
          </w:p>
        </w:tc>
      </w:tr>
    </w:tbl>
    <w:p w14:paraId="6A109432">
      <w:pPr>
        <w:ind w:firstLine="480"/>
        <w:rPr>
          <w:color w:val="auto"/>
          <w:highlight w:val="none"/>
        </w:rPr>
      </w:pPr>
    </w:p>
    <w:p w14:paraId="18E172AC">
      <w:pPr>
        <w:ind w:firstLine="480"/>
        <w:rPr>
          <w:color w:val="auto"/>
        </w:rPr>
      </w:pPr>
      <w:r>
        <w:rPr>
          <w:rFonts w:hint="eastAsia"/>
          <w:color w:val="auto"/>
        </w:rPr>
        <w:t>（</w:t>
      </w:r>
      <w:r>
        <w:rPr>
          <w:color w:val="auto"/>
        </w:rPr>
        <w:t>2</w:t>
      </w:r>
      <w:r>
        <w:rPr>
          <w:rFonts w:hint="eastAsia"/>
          <w:color w:val="auto"/>
        </w:rPr>
        <w:t>）</w:t>
      </w:r>
      <w:r>
        <w:rPr>
          <w:color w:val="auto"/>
        </w:rPr>
        <w:t>无组织排放量核算</w:t>
      </w:r>
    </w:p>
    <w:p w14:paraId="1BF8E4A3">
      <w:pPr>
        <w:ind w:firstLine="480"/>
        <w:rPr>
          <w:color w:val="auto"/>
        </w:rPr>
      </w:pPr>
      <w:r>
        <w:rPr>
          <w:color w:val="auto"/>
        </w:rPr>
        <w:t>大气污染物无组织排放量核算表详见</w:t>
      </w:r>
      <w:r>
        <w:rPr>
          <w:rFonts w:hint="eastAsia"/>
          <w:color w:val="auto"/>
        </w:rPr>
        <w:t>下</w:t>
      </w:r>
      <w:r>
        <w:rPr>
          <w:color w:val="auto"/>
        </w:rPr>
        <w:t>表。</w:t>
      </w:r>
    </w:p>
    <w:p w14:paraId="366804E0">
      <w:pPr>
        <w:pStyle w:val="7"/>
        <w:rPr>
          <w:color w:val="auto"/>
        </w:rPr>
      </w:pPr>
      <w:r>
        <w:rPr>
          <w:color w:val="auto"/>
        </w:rPr>
        <w:t>大气污染物无组织排放量核算表</w:t>
      </w:r>
    </w:p>
    <w:tbl>
      <w:tblPr>
        <w:tblStyle w:val="26"/>
        <w:tblW w:w="484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
        <w:gridCol w:w="1538"/>
        <w:gridCol w:w="1298"/>
        <w:gridCol w:w="1192"/>
        <w:gridCol w:w="2087"/>
        <w:gridCol w:w="1120"/>
        <w:gridCol w:w="1007"/>
      </w:tblGrid>
      <w:tr w14:paraId="6BB98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3" w:type="pct"/>
            <w:vMerge w:val="restart"/>
            <w:vAlign w:val="center"/>
          </w:tcPr>
          <w:p w14:paraId="4F8FE00A">
            <w:pPr>
              <w:pStyle w:val="33"/>
              <w:rPr>
                <w:color w:val="auto"/>
              </w:rPr>
            </w:pPr>
            <w:r>
              <w:rPr>
                <w:color w:val="auto"/>
              </w:rPr>
              <w:t>序号</w:t>
            </w:r>
          </w:p>
        </w:tc>
        <w:tc>
          <w:tcPr>
            <w:tcW w:w="854" w:type="pct"/>
            <w:vMerge w:val="restart"/>
            <w:vAlign w:val="center"/>
          </w:tcPr>
          <w:p w14:paraId="5D92B13A">
            <w:pPr>
              <w:pStyle w:val="33"/>
              <w:rPr>
                <w:color w:val="auto"/>
              </w:rPr>
            </w:pPr>
            <w:r>
              <w:rPr>
                <w:color w:val="auto"/>
              </w:rPr>
              <w:t>产污环节</w:t>
            </w:r>
          </w:p>
        </w:tc>
        <w:tc>
          <w:tcPr>
            <w:tcW w:w="721" w:type="pct"/>
            <w:vMerge w:val="restart"/>
            <w:vAlign w:val="center"/>
          </w:tcPr>
          <w:p w14:paraId="5FA5F6DA">
            <w:pPr>
              <w:pStyle w:val="33"/>
              <w:rPr>
                <w:color w:val="auto"/>
              </w:rPr>
            </w:pPr>
            <w:r>
              <w:rPr>
                <w:color w:val="auto"/>
              </w:rPr>
              <w:t>污染物</w:t>
            </w:r>
          </w:p>
        </w:tc>
        <w:tc>
          <w:tcPr>
            <w:tcW w:w="662" w:type="pct"/>
            <w:vMerge w:val="restart"/>
            <w:vAlign w:val="center"/>
          </w:tcPr>
          <w:p w14:paraId="7CFC01E7">
            <w:pPr>
              <w:pStyle w:val="33"/>
              <w:rPr>
                <w:color w:val="auto"/>
              </w:rPr>
            </w:pPr>
            <w:r>
              <w:rPr>
                <w:color w:val="auto"/>
              </w:rPr>
              <w:t>主要污染防治措施</w:t>
            </w:r>
          </w:p>
        </w:tc>
        <w:tc>
          <w:tcPr>
            <w:tcW w:w="1781" w:type="pct"/>
            <w:gridSpan w:val="2"/>
            <w:vAlign w:val="center"/>
          </w:tcPr>
          <w:p w14:paraId="6AE1ECA8">
            <w:pPr>
              <w:pStyle w:val="33"/>
              <w:rPr>
                <w:color w:val="auto"/>
              </w:rPr>
            </w:pPr>
            <w:r>
              <w:rPr>
                <w:color w:val="auto"/>
              </w:rPr>
              <w:t>国家或地方排放标准</w:t>
            </w:r>
          </w:p>
        </w:tc>
        <w:tc>
          <w:tcPr>
            <w:tcW w:w="559" w:type="pct"/>
            <w:vMerge w:val="restart"/>
            <w:vAlign w:val="center"/>
          </w:tcPr>
          <w:p w14:paraId="7840DF0A">
            <w:pPr>
              <w:pStyle w:val="33"/>
              <w:rPr>
                <w:color w:val="auto"/>
              </w:rPr>
            </w:pPr>
            <w:r>
              <w:rPr>
                <w:color w:val="auto"/>
              </w:rPr>
              <w:t>年排放量（t/a）</w:t>
            </w:r>
          </w:p>
        </w:tc>
      </w:tr>
      <w:tr w14:paraId="109C8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423" w:type="pct"/>
            <w:vMerge w:val="continue"/>
            <w:vAlign w:val="center"/>
          </w:tcPr>
          <w:p w14:paraId="475B97CC">
            <w:pPr>
              <w:pStyle w:val="33"/>
              <w:rPr>
                <w:color w:val="auto"/>
              </w:rPr>
            </w:pPr>
          </w:p>
        </w:tc>
        <w:tc>
          <w:tcPr>
            <w:tcW w:w="854" w:type="pct"/>
            <w:vMerge w:val="continue"/>
            <w:vAlign w:val="center"/>
          </w:tcPr>
          <w:p w14:paraId="1FDB5809">
            <w:pPr>
              <w:pStyle w:val="33"/>
              <w:rPr>
                <w:color w:val="auto"/>
              </w:rPr>
            </w:pPr>
          </w:p>
        </w:tc>
        <w:tc>
          <w:tcPr>
            <w:tcW w:w="721" w:type="pct"/>
            <w:vMerge w:val="continue"/>
            <w:vAlign w:val="center"/>
          </w:tcPr>
          <w:p w14:paraId="3CCD0C77">
            <w:pPr>
              <w:pStyle w:val="33"/>
              <w:rPr>
                <w:color w:val="auto"/>
              </w:rPr>
            </w:pPr>
          </w:p>
        </w:tc>
        <w:tc>
          <w:tcPr>
            <w:tcW w:w="662" w:type="pct"/>
            <w:vMerge w:val="continue"/>
            <w:vAlign w:val="center"/>
          </w:tcPr>
          <w:p w14:paraId="2163F7BD">
            <w:pPr>
              <w:pStyle w:val="33"/>
              <w:rPr>
                <w:color w:val="auto"/>
              </w:rPr>
            </w:pPr>
          </w:p>
        </w:tc>
        <w:tc>
          <w:tcPr>
            <w:tcW w:w="1159" w:type="pct"/>
            <w:vAlign w:val="center"/>
          </w:tcPr>
          <w:p w14:paraId="1323E494">
            <w:pPr>
              <w:pStyle w:val="33"/>
              <w:rPr>
                <w:color w:val="auto"/>
              </w:rPr>
            </w:pPr>
            <w:r>
              <w:rPr>
                <w:color w:val="auto"/>
              </w:rPr>
              <w:t>标准名称</w:t>
            </w:r>
          </w:p>
        </w:tc>
        <w:tc>
          <w:tcPr>
            <w:tcW w:w="622" w:type="pct"/>
            <w:vAlign w:val="center"/>
          </w:tcPr>
          <w:p w14:paraId="6304D037">
            <w:pPr>
              <w:pStyle w:val="33"/>
              <w:rPr>
                <w:color w:val="auto"/>
              </w:rPr>
            </w:pPr>
            <w:r>
              <w:rPr>
                <w:color w:val="auto"/>
              </w:rPr>
              <w:t>浓度限值（mg/m</w:t>
            </w:r>
            <w:r>
              <w:rPr>
                <w:color w:val="auto"/>
                <w:vertAlign w:val="superscript"/>
              </w:rPr>
              <w:t>3</w:t>
            </w:r>
            <w:r>
              <w:rPr>
                <w:color w:val="auto"/>
              </w:rPr>
              <w:t>）</w:t>
            </w:r>
          </w:p>
        </w:tc>
        <w:tc>
          <w:tcPr>
            <w:tcW w:w="559" w:type="pct"/>
            <w:vMerge w:val="continue"/>
            <w:vAlign w:val="center"/>
          </w:tcPr>
          <w:p w14:paraId="4AB4AEA3">
            <w:pPr>
              <w:pStyle w:val="33"/>
              <w:rPr>
                <w:color w:val="auto"/>
              </w:rPr>
            </w:pPr>
          </w:p>
        </w:tc>
      </w:tr>
      <w:tr w14:paraId="00A0A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423" w:type="pct"/>
            <w:vAlign w:val="center"/>
          </w:tcPr>
          <w:p w14:paraId="6047FECE">
            <w:pPr>
              <w:pStyle w:val="33"/>
              <w:rPr>
                <w:color w:val="auto"/>
              </w:rPr>
            </w:pPr>
            <w:r>
              <w:rPr>
                <w:color w:val="auto"/>
              </w:rPr>
              <w:t>1</w:t>
            </w:r>
          </w:p>
        </w:tc>
        <w:tc>
          <w:tcPr>
            <w:tcW w:w="854" w:type="pct"/>
            <w:vAlign w:val="center"/>
          </w:tcPr>
          <w:p w14:paraId="45071527">
            <w:pPr>
              <w:pStyle w:val="33"/>
              <w:rPr>
                <w:color w:val="auto"/>
              </w:rPr>
            </w:pPr>
            <w:r>
              <w:rPr>
                <w:rFonts w:hint="eastAsia"/>
                <w:color w:val="auto"/>
              </w:rPr>
              <w:t>1#GCC车间</w:t>
            </w:r>
          </w:p>
        </w:tc>
        <w:tc>
          <w:tcPr>
            <w:tcW w:w="721" w:type="pct"/>
            <w:vAlign w:val="center"/>
          </w:tcPr>
          <w:p w14:paraId="3BC35DB9">
            <w:pPr>
              <w:pStyle w:val="33"/>
              <w:rPr>
                <w:color w:val="auto"/>
              </w:rPr>
            </w:pPr>
            <w:r>
              <w:rPr>
                <w:rFonts w:hint="eastAsia"/>
                <w:color w:val="auto"/>
              </w:rPr>
              <w:t>颗粒物</w:t>
            </w:r>
          </w:p>
        </w:tc>
        <w:tc>
          <w:tcPr>
            <w:tcW w:w="662" w:type="pct"/>
            <w:vMerge w:val="restart"/>
            <w:vAlign w:val="center"/>
          </w:tcPr>
          <w:p w14:paraId="50EF52E7">
            <w:pPr>
              <w:pStyle w:val="33"/>
              <w:rPr>
                <w:color w:val="auto"/>
              </w:rPr>
            </w:pPr>
            <w:r>
              <w:rPr>
                <w:color w:val="auto"/>
              </w:rPr>
              <w:t>自</w:t>
            </w:r>
            <w:r>
              <w:rPr>
                <w:rFonts w:hint="eastAsia"/>
                <w:color w:val="auto"/>
              </w:rPr>
              <w:t>喷淋及布袋除尘器</w:t>
            </w:r>
          </w:p>
        </w:tc>
        <w:tc>
          <w:tcPr>
            <w:tcW w:w="1159" w:type="pct"/>
            <w:vMerge w:val="restart"/>
            <w:vAlign w:val="center"/>
          </w:tcPr>
          <w:p w14:paraId="084C59D0">
            <w:pPr>
              <w:pStyle w:val="33"/>
              <w:rPr>
                <w:color w:val="auto"/>
              </w:rPr>
            </w:pPr>
            <w:r>
              <w:rPr>
                <w:rFonts w:hint="eastAsia"/>
                <w:color w:val="auto"/>
              </w:rPr>
              <w:t>《大气污染物综合排放标准》（GB16297-1996）</w:t>
            </w:r>
          </w:p>
        </w:tc>
        <w:tc>
          <w:tcPr>
            <w:tcW w:w="622" w:type="pct"/>
            <w:vMerge w:val="restart"/>
            <w:vAlign w:val="center"/>
          </w:tcPr>
          <w:p w14:paraId="741E37A2">
            <w:pPr>
              <w:pStyle w:val="33"/>
              <w:rPr>
                <w:color w:val="auto"/>
              </w:rPr>
            </w:pPr>
            <w:r>
              <w:rPr>
                <w:rFonts w:hint="eastAsia"/>
                <w:color w:val="auto"/>
              </w:rPr>
              <w:t>1.0</w:t>
            </w:r>
          </w:p>
        </w:tc>
        <w:tc>
          <w:tcPr>
            <w:tcW w:w="559" w:type="pct"/>
            <w:vAlign w:val="center"/>
          </w:tcPr>
          <w:p w14:paraId="46492F19">
            <w:pPr>
              <w:pStyle w:val="33"/>
              <w:rPr>
                <w:color w:val="auto"/>
              </w:rPr>
            </w:pPr>
            <w:r>
              <w:rPr>
                <w:rFonts w:hint="eastAsia"/>
                <w:color w:val="auto"/>
              </w:rPr>
              <w:t>13.65</w:t>
            </w:r>
          </w:p>
        </w:tc>
      </w:tr>
      <w:tr w14:paraId="2807B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423" w:type="pct"/>
            <w:vAlign w:val="center"/>
          </w:tcPr>
          <w:p w14:paraId="2DFED945">
            <w:pPr>
              <w:pStyle w:val="33"/>
              <w:rPr>
                <w:color w:val="auto"/>
              </w:rPr>
            </w:pPr>
            <w:r>
              <w:rPr>
                <w:rFonts w:hint="eastAsia"/>
                <w:color w:val="auto"/>
              </w:rPr>
              <w:t>2</w:t>
            </w:r>
          </w:p>
        </w:tc>
        <w:tc>
          <w:tcPr>
            <w:tcW w:w="854" w:type="pct"/>
            <w:vAlign w:val="center"/>
          </w:tcPr>
          <w:p w14:paraId="24E2065C">
            <w:pPr>
              <w:pStyle w:val="33"/>
              <w:rPr>
                <w:color w:val="auto"/>
              </w:rPr>
            </w:pPr>
            <w:r>
              <w:rPr>
                <w:rFonts w:hint="eastAsia"/>
                <w:color w:val="auto"/>
              </w:rPr>
              <w:t>2#GCC车间</w:t>
            </w:r>
          </w:p>
        </w:tc>
        <w:tc>
          <w:tcPr>
            <w:tcW w:w="721" w:type="pct"/>
            <w:vAlign w:val="center"/>
          </w:tcPr>
          <w:p w14:paraId="0E1AB1AF">
            <w:pPr>
              <w:pStyle w:val="33"/>
              <w:rPr>
                <w:color w:val="auto"/>
              </w:rPr>
            </w:pPr>
            <w:r>
              <w:rPr>
                <w:rFonts w:hint="eastAsia"/>
                <w:color w:val="auto"/>
              </w:rPr>
              <w:t>颗粒物</w:t>
            </w:r>
          </w:p>
        </w:tc>
        <w:tc>
          <w:tcPr>
            <w:tcW w:w="662" w:type="pct"/>
            <w:vMerge w:val="continue"/>
            <w:vAlign w:val="center"/>
          </w:tcPr>
          <w:p w14:paraId="311F2F86">
            <w:pPr>
              <w:pStyle w:val="33"/>
              <w:rPr>
                <w:color w:val="auto"/>
              </w:rPr>
            </w:pPr>
          </w:p>
        </w:tc>
        <w:tc>
          <w:tcPr>
            <w:tcW w:w="1159" w:type="pct"/>
            <w:vMerge w:val="continue"/>
            <w:vAlign w:val="center"/>
          </w:tcPr>
          <w:p w14:paraId="146EF891">
            <w:pPr>
              <w:pStyle w:val="33"/>
              <w:rPr>
                <w:color w:val="auto"/>
              </w:rPr>
            </w:pPr>
          </w:p>
        </w:tc>
        <w:tc>
          <w:tcPr>
            <w:tcW w:w="622" w:type="pct"/>
            <w:vMerge w:val="continue"/>
            <w:vAlign w:val="center"/>
          </w:tcPr>
          <w:p w14:paraId="00429C72">
            <w:pPr>
              <w:pStyle w:val="33"/>
              <w:rPr>
                <w:color w:val="auto"/>
              </w:rPr>
            </w:pPr>
          </w:p>
        </w:tc>
        <w:tc>
          <w:tcPr>
            <w:tcW w:w="559" w:type="pct"/>
            <w:vAlign w:val="center"/>
          </w:tcPr>
          <w:p w14:paraId="1678815E">
            <w:pPr>
              <w:pStyle w:val="33"/>
              <w:rPr>
                <w:color w:val="auto"/>
              </w:rPr>
            </w:pPr>
            <w:r>
              <w:rPr>
                <w:rFonts w:hint="eastAsia"/>
                <w:color w:val="auto"/>
              </w:rPr>
              <w:t>19.35</w:t>
            </w:r>
          </w:p>
        </w:tc>
      </w:tr>
      <w:tr w14:paraId="6DCFD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23" w:type="pct"/>
            <w:vAlign w:val="center"/>
          </w:tcPr>
          <w:p w14:paraId="4B9C950D">
            <w:pPr>
              <w:pStyle w:val="33"/>
              <w:rPr>
                <w:color w:val="auto"/>
              </w:rPr>
            </w:pPr>
            <w:r>
              <w:rPr>
                <w:color w:val="auto"/>
              </w:rPr>
              <w:t>3</w:t>
            </w:r>
          </w:p>
        </w:tc>
        <w:tc>
          <w:tcPr>
            <w:tcW w:w="854" w:type="pct"/>
            <w:vAlign w:val="center"/>
          </w:tcPr>
          <w:p w14:paraId="510EFCFF">
            <w:pPr>
              <w:pStyle w:val="33"/>
              <w:rPr>
                <w:color w:val="auto"/>
              </w:rPr>
            </w:pPr>
            <w:r>
              <w:rPr>
                <w:rFonts w:hint="eastAsia"/>
                <w:color w:val="auto"/>
              </w:rPr>
              <w:t>淋膜纸生产</w:t>
            </w:r>
          </w:p>
        </w:tc>
        <w:tc>
          <w:tcPr>
            <w:tcW w:w="721" w:type="pct"/>
            <w:vAlign w:val="center"/>
          </w:tcPr>
          <w:p w14:paraId="470CA458">
            <w:pPr>
              <w:pStyle w:val="33"/>
              <w:rPr>
                <w:color w:val="auto"/>
              </w:rPr>
            </w:pPr>
            <w:r>
              <w:rPr>
                <w:rFonts w:hint="eastAsia"/>
                <w:color w:val="auto"/>
              </w:rPr>
              <w:t>非甲烷总烃</w:t>
            </w:r>
          </w:p>
        </w:tc>
        <w:tc>
          <w:tcPr>
            <w:tcW w:w="662" w:type="pct"/>
            <w:vAlign w:val="center"/>
          </w:tcPr>
          <w:p w14:paraId="4B09986A">
            <w:pPr>
              <w:pStyle w:val="33"/>
              <w:rPr>
                <w:color w:val="auto"/>
              </w:rPr>
            </w:pPr>
            <w:r>
              <w:rPr>
                <w:rFonts w:hint="eastAsia"/>
                <w:color w:val="auto"/>
              </w:rPr>
              <w:t>自然通风</w:t>
            </w:r>
          </w:p>
        </w:tc>
        <w:tc>
          <w:tcPr>
            <w:tcW w:w="1159" w:type="pct"/>
            <w:vAlign w:val="center"/>
          </w:tcPr>
          <w:p w14:paraId="4A28E92F">
            <w:pPr>
              <w:pStyle w:val="33"/>
              <w:rPr>
                <w:color w:val="auto"/>
              </w:rPr>
            </w:pPr>
            <w:r>
              <w:rPr>
                <w:rFonts w:hint="eastAsia"/>
                <w:color w:val="auto"/>
              </w:rPr>
              <w:t>《大气污染物综合排放标准》（GB16297-1996）</w:t>
            </w:r>
          </w:p>
        </w:tc>
        <w:tc>
          <w:tcPr>
            <w:tcW w:w="622" w:type="pct"/>
            <w:vAlign w:val="center"/>
          </w:tcPr>
          <w:p w14:paraId="1E867F47">
            <w:pPr>
              <w:pStyle w:val="33"/>
              <w:rPr>
                <w:color w:val="auto"/>
              </w:rPr>
            </w:pPr>
            <w:r>
              <w:rPr>
                <w:rFonts w:hint="eastAsia"/>
                <w:color w:val="auto"/>
              </w:rPr>
              <w:t>2.0</w:t>
            </w:r>
          </w:p>
        </w:tc>
        <w:tc>
          <w:tcPr>
            <w:tcW w:w="559" w:type="pct"/>
            <w:vAlign w:val="center"/>
          </w:tcPr>
          <w:p w14:paraId="28CD7A0C">
            <w:pPr>
              <w:pStyle w:val="33"/>
              <w:rPr>
                <w:color w:val="auto"/>
              </w:rPr>
            </w:pPr>
            <w:r>
              <w:rPr>
                <w:rFonts w:hint="eastAsia"/>
                <w:color w:val="auto"/>
              </w:rPr>
              <w:t>0.012</w:t>
            </w:r>
          </w:p>
        </w:tc>
      </w:tr>
      <w:tr w14:paraId="7AA56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23" w:type="pct"/>
            <w:vMerge w:val="restart"/>
            <w:vAlign w:val="center"/>
          </w:tcPr>
          <w:p w14:paraId="5A164060">
            <w:pPr>
              <w:pStyle w:val="33"/>
              <w:rPr>
                <w:color w:val="auto"/>
              </w:rPr>
            </w:pPr>
            <w:r>
              <w:rPr>
                <w:rFonts w:hint="eastAsia"/>
                <w:color w:val="auto"/>
              </w:rPr>
              <w:t>4</w:t>
            </w:r>
          </w:p>
        </w:tc>
        <w:tc>
          <w:tcPr>
            <w:tcW w:w="854" w:type="pct"/>
            <w:vMerge w:val="restart"/>
            <w:vAlign w:val="center"/>
          </w:tcPr>
          <w:p w14:paraId="22B0967E">
            <w:pPr>
              <w:pStyle w:val="33"/>
              <w:rPr>
                <w:color w:val="auto"/>
              </w:rPr>
            </w:pPr>
            <w:r>
              <w:rPr>
                <w:rFonts w:hint="eastAsia"/>
                <w:color w:val="auto"/>
              </w:rPr>
              <w:t>污水处理站</w:t>
            </w:r>
          </w:p>
        </w:tc>
        <w:tc>
          <w:tcPr>
            <w:tcW w:w="721" w:type="pct"/>
            <w:vAlign w:val="center"/>
          </w:tcPr>
          <w:p w14:paraId="6B8A1DA9">
            <w:pPr>
              <w:pStyle w:val="33"/>
              <w:rPr>
                <w:color w:val="auto"/>
              </w:rPr>
            </w:pPr>
            <w:r>
              <w:rPr>
                <w:color w:val="auto"/>
              </w:rPr>
              <w:t>NH</w:t>
            </w:r>
            <w:r>
              <w:rPr>
                <w:color w:val="auto"/>
                <w:vertAlign w:val="subscript"/>
              </w:rPr>
              <w:t>3</w:t>
            </w:r>
          </w:p>
        </w:tc>
        <w:tc>
          <w:tcPr>
            <w:tcW w:w="662" w:type="pct"/>
            <w:vMerge w:val="restart"/>
            <w:vAlign w:val="center"/>
          </w:tcPr>
          <w:p w14:paraId="2CA0DDF2">
            <w:pPr>
              <w:pStyle w:val="33"/>
              <w:rPr>
                <w:color w:val="auto"/>
              </w:rPr>
            </w:pPr>
            <w:r>
              <w:rPr>
                <w:rFonts w:hint="eastAsia"/>
                <w:color w:val="auto"/>
              </w:rPr>
              <w:t>自然通风</w:t>
            </w:r>
          </w:p>
        </w:tc>
        <w:tc>
          <w:tcPr>
            <w:tcW w:w="1159" w:type="pct"/>
            <w:vMerge w:val="restart"/>
            <w:vAlign w:val="center"/>
          </w:tcPr>
          <w:p w14:paraId="326F6901">
            <w:pPr>
              <w:pStyle w:val="33"/>
              <w:rPr>
                <w:color w:val="auto"/>
              </w:rPr>
            </w:pPr>
            <w:r>
              <w:rPr>
                <w:rFonts w:hint="eastAsia"/>
                <w:color w:val="auto"/>
              </w:rPr>
              <w:t>《恶臭污染物排放标准》（GB14554-93）表2限值</w:t>
            </w:r>
          </w:p>
        </w:tc>
        <w:tc>
          <w:tcPr>
            <w:tcW w:w="622" w:type="pct"/>
            <w:vAlign w:val="center"/>
          </w:tcPr>
          <w:p w14:paraId="771C07E7">
            <w:pPr>
              <w:pStyle w:val="33"/>
              <w:rPr>
                <w:color w:val="auto"/>
              </w:rPr>
            </w:pPr>
            <w:r>
              <w:rPr>
                <w:rFonts w:hint="eastAsia"/>
                <w:color w:val="auto"/>
              </w:rPr>
              <w:t>0.06</w:t>
            </w:r>
          </w:p>
        </w:tc>
        <w:tc>
          <w:tcPr>
            <w:tcW w:w="559" w:type="pct"/>
          </w:tcPr>
          <w:p w14:paraId="09682022">
            <w:pPr>
              <w:pStyle w:val="33"/>
              <w:rPr>
                <w:color w:val="auto"/>
              </w:rPr>
            </w:pPr>
            <w:r>
              <w:rPr>
                <w:color w:val="auto"/>
              </w:rPr>
              <w:t xml:space="preserve">0.00352 </w:t>
            </w:r>
          </w:p>
        </w:tc>
      </w:tr>
      <w:tr w14:paraId="212A9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trPr>
        <w:tc>
          <w:tcPr>
            <w:tcW w:w="423" w:type="pct"/>
            <w:vMerge w:val="continue"/>
            <w:vAlign w:val="center"/>
          </w:tcPr>
          <w:p w14:paraId="1EDD4210">
            <w:pPr>
              <w:pStyle w:val="33"/>
              <w:rPr>
                <w:color w:val="auto"/>
              </w:rPr>
            </w:pPr>
          </w:p>
        </w:tc>
        <w:tc>
          <w:tcPr>
            <w:tcW w:w="854" w:type="pct"/>
            <w:vMerge w:val="continue"/>
            <w:vAlign w:val="center"/>
          </w:tcPr>
          <w:p w14:paraId="293C1B88">
            <w:pPr>
              <w:pStyle w:val="33"/>
              <w:rPr>
                <w:color w:val="auto"/>
              </w:rPr>
            </w:pPr>
          </w:p>
        </w:tc>
        <w:tc>
          <w:tcPr>
            <w:tcW w:w="721" w:type="pct"/>
            <w:vAlign w:val="center"/>
          </w:tcPr>
          <w:p w14:paraId="01F90155">
            <w:pPr>
              <w:pStyle w:val="33"/>
              <w:rPr>
                <w:color w:val="auto"/>
              </w:rPr>
            </w:pPr>
            <w:r>
              <w:rPr>
                <w:color w:val="auto"/>
              </w:rPr>
              <w:t>H</w:t>
            </w:r>
            <w:r>
              <w:rPr>
                <w:color w:val="auto"/>
                <w:vertAlign w:val="subscript"/>
              </w:rPr>
              <w:t>2</w:t>
            </w:r>
            <w:r>
              <w:rPr>
                <w:color w:val="auto"/>
              </w:rPr>
              <w:t>S</w:t>
            </w:r>
          </w:p>
        </w:tc>
        <w:tc>
          <w:tcPr>
            <w:tcW w:w="662" w:type="pct"/>
            <w:vMerge w:val="continue"/>
            <w:vAlign w:val="center"/>
          </w:tcPr>
          <w:p w14:paraId="48B4D3F3">
            <w:pPr>
              <w:pStyle w:val="33"/>
              <w:rPr>
                <w:color w:val="auto"/>
              </w:rPr>
            </w:pPr>
          </w:p>
        </w:tc>
        <w:tc>
          <w:tcPr>
            <w:tcW w:w="1159" w:type="pct"/>
            <w:vMerge w:val="continue"/>
            <w:vAlign w:val="center"/>
          </w:tcPr>
          <w:p w14:paraId="5C33E25A">
            <w:pPr>
              <w:pStyle w:val="33"/>
              <w:rPr>
                <w:color w:val="auto"/>
              </w:rPr>
            </w:pPr>
          </w:p>
        </w:tc>
        <w:tc>
          <w:tcPr>
            <w:tcW w:w="622" w:type="pct"/>
            <w:vAlign w:val="center"/>
          </w:tcPr>
          <w:p w14:paraId="4D7F75B4">
            <w:pPr>
              <w:pStyle w:val="33"/>
              <w:rPr>
                <w:color w:val="auto"/>
              </w:rPr>
            </w:pPr>
            <w:r>
              <w:rPr>
                <w:rFonts w:hint="eastAsia"/>
                <w:color w:val="auto"/>
              </w:rPr>
              <w:t>1.5</w:t>
            </w:r>
          </w:p>
        </w:tc>
        <w:tc>
          <w:tcPr>
            <w:tcW w:w="559" w:type="pct"/>
          </w:tcPr>
          <w:p w14:paraId="2DD36085">
            <w:pPr>
              <w:pStyle w:val="33"/>
              <w:rPr>
                <w:color w:val="auto"/>
              </w:rPr>
            </w:pPr>
            <w:r>
              <w:rPr>
                <w:color w:val="auto"/>
              </w:rPr>
              <w:t xml:space="preserve">0.00324 </w:t>
            </w:r>
          </w:p>
        </w:tc>
      </w:tr>
      <w:tr w14:paraId="27E8F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000" w:type="pct"/>
            <w:gridSpan w:val="7"/>
            <w:vAlign w:val="center"/>
          </w:tcPr>
          <w:p w14:paraId="28322CAF">
            <w:pPr>
              <w:pStyle w:val="33"/>
              <w:rPr>
                <w:color w:val="auto"/>
              </w:rPr>
            </w:pPr>
            <w:r>
              <w:rPr>
                <w:rFonts w:hint="eastAsia"/>
                <w:color w:val="auto"/>
              </w:rPr>
              <w:t>无</w:t>
            </w:r>
            <w:r>
              <w:rPr>
                <w:color w:val="auto"/>
              </w:rPr>
              <w:t>织排放合计</w:t>
            </w:r>
          </w:p>
        </w:tc>
      </w:tr>
      <w:tr w14:paraId="60785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7" w:type="pct"/>
            <w:gridSpan w:val="2"/>
            <w:vMerge w:val="restart"/>
            <w:vAlign w:val="center"/>
          </w:tcPr>
          <w:p w14:paraId="66C80D0C">
            <w:pPr>
              <w:pStyle w:val="33"/>
              <w:rPr>
                <w:color w:val="auto"/>
              </w:rPr>
            </w:pPr>
            <w:r>
              <w:rPr>
                <w:color w:val="auto"/>
              </w:rPr>
              <w:t>无组织排放总计</w:t>
            </w:r>
          </w:p>
        </w:tc>
        <w:tc>
          <w:tcPr>
            <w:tcW w:w="3164" w:type="pct"/>
            <w:gridSpan w:val="4"/>
            <w:vAlign w:val="center"/>
          </w:tcPr>
          <w:p w14:paraId="23A97E12">
            <w:pPr>
              <w:pStyle w:val="33"/>
              <w:rPr>
                <w:color w:val="auto"/>
              </w:rPr>
            </w:pPr>
            <w:r>
              <w:rPr>
                <w:rFonts w:hint="eastAsia"/>
                <w:color w:val="auto"/>
              </w:rPr>
              <w:t>颗粒物</w:t>
            </w:r>
          </w:p>
        </w:tc>
        <w:tc>
          <w:tcPr>
            <w:tcW w:w="559" w:type="pct"/>
            <w:vAlign w:val="center"/>
          </w:tcPr>
          <w:p w14:paraId="385643EB">
            <w:pPr>
              <w:pStyle w:val="33"/>
              <w:rPr>
                <w:color w:val="auto"/>
              </w:rPr>
            </w:pPr>
            <w:r>
              <w:rPr>
                <w:rFonts w:hint="eastAsia"/>
                <w:color w:val="auto"/>
              </w:rPr>
              <w:t>33.00</w:t>
            </w:r>
          </w:p>
        </w:tc>
      </w:tr>
      <w:tr w14:paraId="7EDE9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7" w:type="pct"/>
            <w:gridSpan w:val="2"/>
            <w:vMerge w:val="continue"/>
            <w:vAlign w:val="center"/>
          </w:tcPr>
          <w:p w14:paraId="1BBF80DD">
            <w:pPr>
              <w:pStyle w:val="33"/>
              <w:rPr>
                <w:color w:val="auto"/>
              </w:rPr>
            </w:pPr>
          </w:p>
        </w:tc>
        <w:tc>
          <w:tcPr>
            <w:tcW w:w="3164" w:type="pct"/>
            <w:gridSpan w:val="4"/>
            <w:vAlign w:val="center"/>
          </w:tcPr>
          <w:p w14:paraId="1CBF4DF1">
            <w:pPr>
              <w:pStyle w:val="33"/>
              <w:rPr>
                <w:color w:val="auto"/>
              </w:rPr>
            </w:pPr>
            <w:r>
              <w:rPr>
                <w:rFonts w:hint="eastAsia"/>
                <w:color w:val="auto"/>
              </w:rPr>
              <w:t>非甲烷总烃</w:t>
            </w:r>
          </w:p>
        </w:tc>
        <w:tc>
          <w:tcPr>
            <w:tcW w:w="559" w:type="pct"/>
            <w:vAlign w:val="center"/>
          </w:tcPr>
          <w:p w14:paraId="721DDE1B">
            <w:pPr>
              <w:pStyle w:val="33"/>
              <w:rPr>
                <w:color w:val="auto"/>
              </w:rPr>
            </w:pPr>
            <w:r>
              <w:rPr>
                <w:rFonts w:hint="eastAsia"/>
                <w:color w:val="auto"/>
              </w:rPr>
              <w:t>0.012</w:t>
            </w:r>
          </w:p>
        </w:tc>
      </w:tr>
      <w:tr w14:paraId="2CA3F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7" w:type="pct"/>
            <w:gridSpan w:val="2"/>
            <w:vMerge w:val="continue"/>
            <w:vAlign w:val="center"/>
          </w:tcPr>
          <w:p w14:paraId="3AFC36B5">
            <w:pPr>
              <w:pStyle w:val="33"/>
              <w:rPr>
                <w:color w:val="auto"/>
              </w:rPr>
            </w:pPr>
          </w:p>
        </w:tc>
        <w:tc>
          <w:tcPr>
            <w:tcW w:w="3164" w:type="pct"/>
            <w:gridSpan w:val="4"/>
            <w:vAlign w:val="center"/>
          </w:tcPr>
          <w:p w14:paraId="78CB9B43">
            <w:pPr>
              <w:pStyle w:val="33"/>
              <w:rPr>
                <w:color w:val="auto"/>
              </w:rPr>
            </w:pPr>
            <w:r>
              <w:rPr>
                <w:color w:val="auto"/>
              </w:rPr>
              <w:t>NH</w:t>
            </w:r>
            <w:r>
              <w:rPr>
                <w:color w:val="auto"/>
                <w:vertAlign w:val="subscript"/>
              </w:rPr>
              <w:t>3</w:t>
            </w:r>
          </w:p>
        </w:tc>
        <w:tc>
          <w:tcPr>
            <w:tcW w:w="559" w:type="pct"/>
          </w:tcPr>
          <w:p w14:paraId="36105BF1">
            <w:pPr>
              <w:pStyle w:val="33"/>
              <w:rPr>
                <w:color w:val="auto"/>
              </w:rPr>
            </w:pPr>
            <w:r>
              <w:rPr>
                <w:color w:val="auto"/>
              </w:rPr>
              <w:t xml:space="preserve">0.00352 </w:t>
            </w:r>
          </w:p>
        </w:tc>
      </w:tr>
      <w:tr w14:paraId="71F88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277" w:type="pct"/>
            <w:gridSpan w:val="2"/>
            <w:vMerge w:val="continue"/>
            <w:vAlign w:val="center"/>
          </w:tcPr>
          <w:p w14:paraId="0AD42751">
            <w:pPr>
              <w:pStyle w:val="33"/>
              <w:rPr>
                <w:color w:val="auto"/>
              </w:rPr>
            </w:pPr>
          </w:p>
        </w:tc>
        <w:tc>
          <w:tcPr>
            <w:tcW w:w="3164" w:type="pct"/>
            <w:gridSpan w:val="4"/>
            <w:vAlign w:val="center"/>
          </w:tcPr>
          <w:p w14:paraId="07F4F9BD">
            <w:pPr>
              <w:pStyle w:val="33"/>
              <w:rPr>
                <w:color w:val="auto"/>
              </w:rPr>
            </w:pPr>
            <w:r>
              <w:rPr>
                <w:color w:val="auto"/>
              </w:rPr>
              <w:t>H</w:t>
            </w:r>
            <w:r>
              <w:rPr>
                <w:color w:val="auto"/>
                <w:vertAlign w:val="subscript"/>
              </w:rPr>
              <w:t>2</w:t>
            </w:r>
            <w:r>
              <w:rPr>
                <w:color w:val="auto"/>
              </w:rPr>
              <w:t>S</w:t>
            </w:r>
          </w:p>
        </w:tc>
        <w:tc>
          <w:tcPr>
            <w:tcW w:w="559" w:type="pct"/>
          </w:tcPr>
          <w:p w14:paraId="5C1D7AAF">
            <w:pPr>
              <w:pStyle w:val="33"/>
              <w:rPr>
                <w:color w:val="auto"/>
              </w:rPr>
            </w:pPr>
            <w:r>
              <w:rPr>
                <w:color w:val="auto"/>
              </w:rPr>
              <w:t xml:space="preserve">0.00324 </w:t>
            </w:r>
          </w:p>
        </w:tc>
      </w:tr>
    </w:tbl>
    <w:p w14:paraId="6C0A6782">
      <w:pPr>
        <w:ind w:firstLine="480"/>
        <w:rPr>
          <w:color w:val="auto"/>
        </w:rPr>
      </w:pPr>
    </w:p>
    <w:p w14:paraId="334D6FDA">
      <w:pPr>
        <w:pStyle w:val="4"/>
        <w:rPr>
          <w:color w:val="auto"/>
        </w:rPr>
      </w:pPr>
      <w:bookmarkStart w:id="476" w:name="_Toc225216790"/>
      <w:r>
        <w:rPr>
          <w:rFonts w:hint="eastAsia"/>
          <w:color w:val="auto"/>
        </w:rPr>
        <w:t>大气防护距离</w:t>
      </w:r>
      <w:bookmarkEnd w:id="476"/>
    </w:p>
    <w:p w14:paraId="7E54371D">
      <w:pPr>
        <w:ind w:firstLine="480"/>
        <w:rPr>
          <w:color w:val="auto"/>
        </w:rPr>
      </w:pPr>
      <w:r>
        <w:rPr>
          <w:rFonts w:hint="eastAsia"/>
          <w:color w:val="auto"/>
        </w:rPr>
        <w:t>根据《环境影响评价技术导则大气环境》（</w:t>
      </w:r>
      <w:r>
        <w:rPr>
          <w:color w:val="auto"/>
        </w:rPr>
        <w:t>HJ2.2-2018</w:t>
      </w:r>
      <w:r>
        <w:rPr>
          <w:rFonts w:hint="eastAsia"/>
          <w:color w:val="auto"/>
        </w:rPr>
        <w:t>）</w:t>
      </w:r>
      <w:r>
        <w:rPr>
          <w:color w:val="auto"/>
        </w:rPr>
        <w:t>8.7.5.1</w:t>
      </w:r>
      <w:r>
        <w:rPr>
          <w:rFonts w:hint="eastAsia"/>
          <w:color w:val="auto"/>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根据预测结果，项目厂界浓度满足《大气污染物综合排放标准》（</w:t>
      </w:r>
      <w:r>
        <w:rPr>
          <w:color w:val="auto"/>
        </w:rPr>
        <w:t>GB16297-1996</w:t>
      </w:r>
      <w:r>
        <w:rPr>
          <w:rFonts w:hint="eastAsia"/>
          <w:color w:val="auto"/>
        </w:rPr>
        <w:t>）及《恶臭污染物排放标准》（</w:t>
      </w:r>
      <w:r>
        <w:rPr>
          <w:color w:val="auto"/>
        </w:rPr>
        <w:t>GB14554-93</w:t>
      </w:r>
      <w:r>
        <w:rPr>
          <w:rFonts w:hint="eastAsia"/>
          <w:color w:val="auto"/>
        </w:rPr>
        <w:t>），厂界外大气污染物短期贡献浓度满足《环境空气质量标准》（</w:t>
      </w:r>
      <w:r>
        <w:rPr>
          <w:color w:val="auto"/>
        </w:rPr>
        <w:t>GB3095-2012</w:t>
      </w:r>
      <w:r>
        <w:rPr>
          <w:rFonts w:hint="eastAsia"/>
          <w:color w:val="auto"/>
        </w:rPr>
        <w:t>）二级标准要求、《环境影响评价技术导则大气环境》（</w:t>
      </w:r>
      <w:r>
        <w:rPr>
          <w:color w:val="auto"/>
        </w:rPr>
        <w:t>HJ2.2-2018</w:t>
      </w:r>
      <w:r>
        <w:rPr>
          <w:rFonts w:hint="eastAsia"/>
          <w:color w:val="auto"/>
        </w:rPr>
        <w:t>）附录</w:t>
      </w:r>
      <w:r>
        <w:rPr>
          <w:color w:val="auto"/>
        </w:rPr>
        <w:t>D</w:t>
      </w:r>
      <w:r>
        <w:rPr>
          <w:rFonts w:hint="eastAsia"/>
          <w:color w:val="auto"/>
        </w:rPr>
        <w:t>其他污染物空气质量浓度参考限值要求及《大气污染物综合排放标准详解》标准要求，本项目无需设置大气环境防护距离。</w:t>
      </w:r>
    </w:p>
    <w:p w14:paraId="0746A1A7">
      <w:pPr>
        <w:pStyle w:val="4"/>
        <w:rPr>
          <w:color w:val="auto"/>
        </w:rPr>
      </w:pPr>
      <w:bookmarkStart w:id="477" w:name="_Toc225216791"/>
      <w:r>
        <w:rPr>
          <w:rFonts w:hint="eastAsia"/>
          <w:color w:val="auto"/>
        </w:rPr>
        <w:t>卫生防护距离</w:t>
      </w:r>
      <w:bookmarkEnd w:id="477"/>
    </w:p>
    <w:p w14:paraId="0006CDC0">
      <w:pPr>
        <w:ind w:firstLine="480"/>
        <w:rPr>
          <w:color w:val="auto"/>
        </w:rPr>
      </w:pPr>
      <w:r>
        <w:rPr>
          <w:rFonts w:hint="eastAsia"/>
          <w:color w:val="auto"/>
        </w:rPr>
        <w:t>本次评价参照《大气有害物质无组织排放卫生防护距离推导技术导则》（</w:t>
      </w:r>
      <w:r>
        <w:rPr>
          <w:color w:val="auto"/>
        </w:rPr>
        <w:t>GB/T39499-2020</w:t>
      </w:r>
      <w:r>
        <w:rPr>
          <w:rFonts w:hint="eastAsia"/>
          <w:color w:val="auto"/>
        </w:rPr>
        <w:t>）中的相关规定，按各无组织排放源强核定本项目的卫生防护距离。</w:t>
      </w:r>
    </w:p>
    <w:p w14:paraId="200FEF61">
      <w:pPr>
        <w:ind w:firstLine="480"/>
        <w:rPr>
          <w:color w:val="auto"/>
        </w:rPr>
      </w:pPr>
      <w:r>
        <w:rPr>
          <w:rFonts w:hint="eastAsia"/>
          <w:color w:val="auto"/>
        </w:rPr>
        <w:t>在选取特征大气有害物质时，应首先考虑其对人体健康损害毒性特点，并根据目标行业企业的产品产量及其原辅材料、工艺特征中间产物、产排污特点等具体情况，确定单个大气有害物质的无组织排放量及等标排放量（</w:t>
      </w:r>
      <w:r>
        <w:rPr>
          <w:color w:val="auto"/>
        </w:rPr>
        <w:t>Qc/Cm</w:t>
      </w:r>
      <w:r>
        <w:rPr>
          <w:rFonts w:hint="eastAsia"/>
          <w:color w:val="auto"/>
        </w:rPr>
        <w:t>），最终确定卫生防护距离相关的主要特征大气有害物质</w:t>
      </w:r>
      <w:r>
        <w:rPr>
          <w:color w:val="auto"/>
        </w:rPr>
        <w:t>1</w:t>
      </w:r>
      <w:r>
        <w:rPr>
          <w:rFonts w:hint="eastAsia"/>
          <w:color w:val="auto"/>
        </w:rPr>
        <w:t>种</w:t>
      </w:r>
      <w:r>
        <w:rPr>
          <w:color w:val="auto"/>
        </w:rPr>
        <w:t>~2</w:t>
      </w:r>
      <w:r>
        <w:rPr>
          <w:rFonts w:hint="eastAsia"/>
          <w:color w:val="auto"/>
        </w:rPr>
        <w:t>种。当目标企业无组织排放存在多种有毒有害污染物时，基于单个污染物的等标排放量计算结果，优先选择等标排放量最大的污染物为企业无组织排放的主要特征大气有害物质。当前两种污染物的等标排放量相差在</w:t>
      </w:r>
      <w:r>
        <w:rPr>
          <w:color w:val="auto"/>
        </w:rPr>
        <w:t>10%</w:t>
      </w:r>
      <w:r>
        <w:rPr>
          <w:rFonts w:hint="eastAsia"/>
          <w:color w:val="auto"/>
        </w:rPr>
        <w:t>以内时，需要同时选择这两种特征大气有害物质分别计算卫生防护距离初值。</w:t>
      </w:r>
    </w:p>
    <w:p w14:paraId="1B9C7E43">
      <w:pPr>
        <w:ind w:firstLine="480"/>
        <w:rPr>
          <w:color w:val="auto"/>
        </w:rPr>
      </w:pPr>
      <w:r>
        <w:rPr>
          <w:rFonts w:hint="eastAsia"/>
          <w:color w:val="auto"/>
        </w:rPr>
        <w:t>根据项目生产工艺、产排污特点和无组织排放源强，选择等标排放量最大的氨、硫化氢为企业无组织排放的主要特征大气有害物质计算卫生防护距离初值。</w:t>
      </w:r>
    </w:p>
    <w:p w14:paraId="6C77B4A7">
      <w:pPr>
        <w:ind w:firstLine="480"/>
        <w:rPr>
          <w:rFonts w:cs="Times New Roman"/>
          <w:color w:val="auto"/>
        </w:rPr>
      </w:pPr>
      <w:r>
        <w:rPr>
          <w:rFonts w:hint="eastAsia" w:cs="Times New Roman"/>
          <w:color w:val="auto"/>
        </w:rPr>
        <w:t>本项目选择对甲类车间和储罐区排放的氨计算卫生防护距离初值，卫生防护距离的计算公式为：</w:t>
      </w:r>
    </w:p>
    <w:p w14:paraId="475A610E">
      <w:pPr>
        <w:ind w:firstLine="480"/>
        <w:jc w:val="center"/>
        <w:rPr>
          <w:rFonts w:cs="Times New Roman"/>
          <w:color w:val="auto"/>
        </w:rPr>
      </w:pPr>
      <w:r>
        <w:rPr>
          <w:rFonts w:cs="Times New Roman"/>
          <w:bCs/>
          <w:color w:val="auto"/>
        </w:rPr>
        <w:object>
          <v:shape id="_x0000_i1040" o:spt="75" type="#_x0000_t75" style="height:28.5pt;width:137.5pt;" o:ole="t" filled="f" o:preferrelative="t" stroked="f" coordsize="21600,21600">
            <v:path/>
            <v:fill on="f" focussize="0,0"/>
            <v:stroke on="f" joinstyle="miter"/>
            <v:imagedata r:id="rId94" o:title=""/>
            <o:lock v:ext="edit" aspectratio="t"/>
            <w10:wrap type="none"/>
            <w10:anchorlock/>
          </v:shape>
          <o:OLEObject Type="Embed" ProgID="Visio.Drawing.11" ShapeID="_x0000_i1040" DrawAspect="Content" ObjectID="_1468075735" r:id="rId93">
            <o:LockedField>false</o:LockedField>
          </o:OLEObject>
        </w:object>
      </w:r>
    </w:p>
    <w:p w14:paraId="714A2F9F">
      <w:pPr>
        <w:ind w:firstLine="480"/>
        <w:rPr>
          <w:rFonts w:cs="Times New Roman"/>
          <w:color w:val="auto"/>
        </w:rPr>
      </w:pPr>
      <w:r>
        <w:rPr>
          <w:rFonts w:hint="eastAsia" w:cs="Times New Roman"/>
          <w:color w:val="auto"/>
        </w:rPr>
        <w:t>式中：</w:t>
      </w:r>
      <w:r>
        <w:rPr>
          <w:rFonts w:cs="Times New Roman"/>
          <w:color w:val="auto"/>
        </w:rPr>
        <w:t>Qc—</w:t>
      </w:r>
      <w:r>
        <w:rPr>
          <w:rFonts w:hint="eastAsia" w:cs="Times New Roman"/>
          <w:color w:val="auto"/>
        </w:rPr>
        <w:t>工业企业有害气体无组织排放量可以达到的控制水平，</w:t>
      </w:r>
      <w:r>
        <w:rPr>
          <w:rFonts w:cs="Times New Roman"/>
          <w:color w:val="auto"/>
        </w:rPr>
        <w:t>kg/h</w:t>
      </w:r>
      <w:r>
        <w:rPr>
          <w:rFonts w:hint="eastAsia" w:cs="Times New Roman"/>
          <w:color w:val="auto"/>
        </w:rPr>
        <w:t>；</w:t>
      </w:r>
    </w:p>
    <w:p w14:paraId="4611E949">
      <w:pPr>
        <w:ind w:firstLine="480"/>
        <w:rPr>
          <w:rFonts w:cs="Times New Roman"/>
          <w:color w:val="auto"/>
        </w:rPr>
      </w:pPr>
      <w:r>
        <w:rPr>
          <w:rFonts w:cs="Times New Roman"/>
          <w:color w:val="auto"/>
        </w:rPr>
        <w:t>C</w:t>
      </w:r>
      <w:r>
        <w:rPr>
          <w:rFonts w:cs="Times New Roman"/>
          <w:color w:val="auto"/>
          <w:vertAlign w:val="subscript"/>
        </w:rPr>
        <w:t>m</w:t>
      </w:r>
      <w:r>
        <w:rPr>
          <w:rFonts w:cs="Times New Roman"/>
          <w:color w:val="auto"/>
        </w:rPr>
        <w:t>—</w:t>
      </w:r>
      <w:r>
        <w:rPr>
          <w:rFonts w:hint="eastAsia" w:cs="Times New Roman"/>
          <w:color w:val="auto"/>
        </w:rPr>
        <w:t>标准浓度限值，</w:t>
      </w:r>
      <w:r>
        <w:rPr>
          <w:rFonts w:cs="Times New Roman"/>
          <w:color w:val="auto"/>
        </w:rPr>
        <w:t>mg/m</w:t>
      </w:r>
      <w:r>
        <w:rPr>
          <w:rFonts w:cs="Times New Roman"/>
          <w:color w:val="auto"/>
          <w:vertAlign w:val="superscript"/>
        </w:rPr>
        <w:t>3</w:t>
      </w:r>
      <w:r>
        <w:rPr>
          <w:rFonts w:hint="eastAsia" w:cs="Times New Roman"/>
          <w:color w:val="auto"/>
        </w:rPr>
        <w:t>；</w:t>
      </w:r>
    </w:p>
    <w:p w14:paraId="382F7F8B">
      <w:pPr>
        <w:ind w:firstLine="1200" w:firstLineChars="500"/>
        <w:rPr>
          <w:rFonts w:cs="Times New Roman"/>
          <w:color w:val="auto"/>
        </w:rPr>
      </w:pPr>
      <w:r>
        <w:rPr>
          <w:rFonts w:cs="Times New Roman"/>
          <w:color w:val="auto"/>
        </w:rPr>
        <w:t>L—</w:t>
      </w:r>
      <w:r>
        <w:rPr>
          <w:rFonts w:hint="eastAsia" w:cs="Times New Roman"/>
          <w:color w:val="auto"/>
        </w:rPr>
        <w:t>工业企业所需卫生防护距离，</w:t>
      </w:r>
      <w:r>
        <w:rPr>
          <w:rFonts w:cs="Times New Roman"/>
          <w:color w:val="auto"/>
        </w:rPr>
        <w:t>m</w:t>
      </w:r>
      <w:r>
        <w:rPr>
          <w:rFonts w:hint="eastAsia" w:cs="Times New Roman"/>
          <w:color w:val="auto"/>
        </w:rPr>
        <w:t>；</w:t>
      </w:r>
    </w:p>
    <w:p w14:paraId="113CD22A">
      <w:pPr>
        <w:ind w:firstLine="1200" w:firstLineChars="500"/>
        <w:rPr>
          <w:rFonts w:cs="Times New Roman"/>
          <w:color w:val="auto"/>
        </w:rPr>
      </w:pPr>
      <w:r>
        <w:rPr>
          <w:rFonts w:cs="Times New Roman"/>
          <w:color w:val="auto"/>
        </w:rPr>
        <w:t>r—</w:t>
      </w:r>
      <w:r>
        <w:rPr>
          <w:rFonts w:hint="eastAsia" w:cs="Times New Roman"/>
          <w:color w:val="auto"/>
        </w:rPr>
        <w:t>有害气体无组织排放源所在生产单元的等效半径，</w:t>
      </w:r>
      <w:r>
        <w:rPr>
          <w:rFonts w:cs="Times New Roman"/>
          <w:color w:val="auto"/>
        </w:rPr>
        <w:t>m</w:t>
      </w:r>
      <w:r>
        <w:rPr>
          <w:rFonts w:hint="eastAsia" w:cs="Times New Roman"/>
          <w:color w:val="auto"/>
        </w:rPr>
        <w:t>；</w:t>
      </w:r>
    </w:p>
    <w:p w14:paraId="6557407D">
      <w:pPr>
        <w:ind w:firstLine="1200" w:firstLineChars="500"/>
        <w:rPr>
          <w:rFonts w:cs="Times New Roman"/>
          <w:color w:val="auto"/>
        </w:rPr>
      </w:pPr>
      <w:r>
        <w:rPr>
          <w:rFonts w:cs="Times New Roman"/>
          <w:color w:val="auto"/>
        </w:rPr>
        <w:t>A</w:t>
      </w:r>
      <w:r>
        <w:rPr>
          <w:rFonts w:hint="eastAsia" w:cs="Times New Roman"/>
          <w:color w:val="auto"/>
        </w:rPr>
        <w:t>、</w:t>
      </w:r>
      <w:r>
        <w:rPr>
          <w:rFonts w:cs="Times New Roman"/>
          <w:color w:val="auto"/>
        </w:rPr>
        <w:t>B</w:t>
      </w:r>
      <w:r>
        <w:rPr>
          <w:rFonts w:hint="eastAsia" w:cs="Times New Roman"/>
          <w:color w:val="auto"/>
        </w:rPr>
        <w:t>、</w:t>
      </w:r>
      <w:r>
        <w:rPr>
          <w:rFonts w:cs="Times New Roman"/>
          <w:color w:val="auto"/>
        </w:rPr>
        <w:t>C</w:t>
      </w:r>
      <w:r>
        <w:rPr>
          <w:rFonts w:hint="eastAsia" w:cs="Times New Roman"/>
          <w:color w:val="auto"/>
        </w:rPr>
        <w:t>、</w:t>
      </w:r>
      <w:r>
        <w:rPr>
          <w:rFonts w:cs="Times New Roman"/>
          <w:color w:val="auto"/>
        </w:rPr>
        <w:t>D—</w:t>
      </w:r>
      <w:r>
        <w:rPr>
          <w:rFonts w:hint="eastAsia" w:cs="Times New Roman"/>
          <w:color w:val="auto"/>
        </w:rPr>
        <w:t>卫生防护距离计算参数，无因次。</w:t>
      </w:r>
    </w:p>
    <w:p w14:paraId="5F51F431">
      <w:pPr>
        <w:keepNext/>
        <w:keepLines/>
        <w:ind w:left="200" w:firstLine="422"/>
        <w:jc w:val="center"/>
        <w:outlineLvl w:val="5"/>
        <w:rPr>
          <w:rFonts w:cs="Times New Roman"/>
          <w:b/>
          <w:bCs/>
          <w:color w:val="auto"/>
          <w:sz w:val="21"/>
        </w:rPr>
      </w:pPr>
      <w:r>
        <w:rPr>
          <w:rFonts w:hint="eastAsia" w:cs="Times New Roman"/>
          <w:b/>
          <w:bCs/>
          <w:color w:val="auto"/>
          <w:sz w:val="21"/>
        </w:rPr>
        <w:t>表</w:t>
      </w:r>
      <w:r>
        <w:rPr>
          <w:rFonts w:cs="Times New Roman"/>
          <w:b/>
          <w:bCs/>
          <w:color w:val="auto"/>
          <w:sz w:val="21"/>
        </w:rPr>
        <w:t>4.2-34</w:t>
      </w:r>
      <w:r>
        <w:rPr>
          <w:rFonts w:hint="eastAsia" w:cs="Times New Roman"/>
          <w:b/>
          <w:bCs/>
          <w:color w:val="auto"/>
          <w:sz w:val="21"/>
        </w:rPr>
        <w:t>卫生防护距离计算结果</w:t>
      </w:r>
    </w:p>
    <w:tbl>
      <w:tblPr>
        <w:tblStyle w:val="26"/>
        <w:tblW w:w="88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0"/>
        <w:gridCol w:w="1276"/>
        <w:gridCol w:w="992"/>
        <w:gridCol w:w="1417"/>
        <w:gridCol w:w="1560"/>
        <w:gridCol w:w="779"/>
        <w:gridCol w:w="780"/>
      </w:tblGrid>
      <w:tr w14:paraId="64BF64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blHeader/>
          <w:jc w:val="center"/>
        </w:trPr>
        <w:tc>
          <w:tcPr>
            <w:tcW w:w="2010" w:type="dxa"/>
            <w:tcBorders>
              <w:top w:val="single" w:color="auto" w:sz="4" w:space="0"/>
              <w:left w:val="single" w:color="auto" w:sz="4" w:space="0"/>
              <w:bottom w:val="single" w:color="auto" w:sz="4" w:space="0"/>
              <w:right w:val="single" w:color="auto" w:sz="4" w:space="0"/>
            </w:tcBorders>
            <w:vAlign w:val="center"/>
          </w:tcPr>
          <w:p w14:paraId="6611F482">
            <w:pPr>
              <w:pStyle w:val="33"/>
              <w:rPr>
                <w:color w:val="auto"/>
              </w:rPr>
            </w:pPr>
            <w:r>
              <w:rPr>
                <w:rFonts w:hint="eastAsia"/>
                <w:color w:val="auto"/>
              </w:rPr>
              <w:t>污染源</w:t>
            </w:r>
          </w:p>
        </w:tc>
        <w:tc>
          <w:tcPr>
            <w:tcW w:w="1276" w:type="dxa"/>
            <w:tcBorders>
              <w:top w:val="single" w:color="auto" w:sz="4" w:space="0"/>
              <w:left w:val="single" w:color="auto" w:sz="4" w:space="0"/>
              <w:bottom w:val="single" w:color="auto" w:sz="4" w:space="0"/>
              <w:right w:val="single" w:color="auto" w:sz="4" w:space="0"/>
            </w:tcBorders>
            <w:vAlign w:val="center"/>
          </w:tcPr>
          <w:p w14:paraId="59DE10F7">
            <w:pPr>
              <w:pStyle w:val="33"/>
              <w:rPr>
                <w:color w:val="auto"/>
              </w:rPr>
            </w:pPr>
            <w:r>
              <w:rPr>
                <w:rFonts w:hint="eastAsia"/>
                <w:color w:val="auto"/>
              </w:rPr>
              <w:t>污染物类型</w:t>
            </w:r>
          </w:p>
        </w:tc>
        <w:tc>
          <w:tcPr>
            <w:tcW w:w="992" w:type="dxa"/>
            <w:tcBorders>
              <w:top w:val="single" w:color="auto" w:sz="4" w:space="0"/>
              <w:left w:val="single" w:color="auto" w:sz="4" w:space="0"/>
              <w:bottom w:val="single" w:color="auto" w:sz="4" w:space="0"/>
              <w:right w:val="single" w:color="auto" w:sz="4" w:space="0"/>
            </w:tcBorders>
            <w:vAlign w:val="center"/>
          </w:tcPr>
          <w:p w14:paraId="373DC998">
            <w:pPr>
              <w:pStyle w:val="33"/>
              <w:rPr>
                <w:color w:val="auto"/>
              </w:rPr>
            </w:pPr>
            <w:r>
              <w:rPr>
                <w:rFonts w:hint="eastAsia"/>
                <w:color w:val="auto"/>
              </w:rPr>
              <w:t>源强（</w:t>
            </w:r>
            <w:r>
              <w:rPr>
                <w:color w:val="auto"/>
              </w:rPr>
              <w:t>kg/h</w:t>
            </w:r>
            <w:r>
              <w:rPr>
                <w:rFonts w:hint="eastAsia"/>
                <w:color w:val="auto"/>
              </w:rPr>
              <w:t>）</w:t>
            </w:r>
          </w:p>
        </w:tc>
        <w:tc>
          <w:tcPr>
            <w:tcW w:w="1417" w:type="dxa"/>
            <w:tcBorders>
              <w:top w:val="single" w:color="auto" w:sz="4" w:space="0"/>
              <w:left w:val="single" w:color="auto" w:sz="4" w:space="0"/>
              <w:bottom w:val="single" w:color="auto" w:sz="4" w:space="0"/>
              <w:right w:val="single" w:color="auto" w:sz="4" w:space="0"/>
            </w:tcBorders>
            <w:vAlign w:val="center"/>
          </w:tcPr>
          <w:p w14:paraId="586B9B58">
            <w:pPr>
              <w:pStyle w:val="33"/>
              <w:rPr>
                <w:color w:val="auto"/>
              </w:rPr>
            </w:pPr>
            <w:r>
              <w:rPr>
                <w:rFonts w:hint="eastAsia"/>
                <w:color w:val="auto"/>
              </w:rPr>
              <w:t>排放源面积（</w:t>
            </w:r>
            <w:r>
              <w:rPr>
                <w:color w:val="auto"/>
              </w:rPr>
              <w:t>m</w:t>
            </w:r>
            <w:r>
              <w:rPr>
                <w:color w:val="auto"/>
                <w:vertAlign w:val="superscript"/>
              </w:rPr>
              <w:t>2</w:t>
            </w:r>
            <w:r>
              <w:rPr>
                <w:rFonts w:hint="eastAsia"/>
                <w:color w:val="auto"/>
              </w:rPr>
              <w:t>）</w:t>
            </w:r>
          </w:p>
        </w:tc>
        <w:tc>
          <w:tcPr>
            <w:tcW w:w="1560" w:type="dxa"/>
            <w:tcBorders>
              <w:top w:val="single" w:color="auto" w:sz="4" w:space="0"/>
              <w:left w:val="single" w:color="auto" w:sz="4" w:space="0"/>
              <w:bottom w:val="single" w:color="auto" w:sz="4" w:space="0"/>
              <w:right w:val="single" w:color="auto" w:sz="4" w:space="0"/>
            </w:tcBorders>
            <w:vAlign w:val="center"/>
          </w:tcPr>
          <w:p w14:paraId="3333519E">
            <w:pPr>
              <w:pStyle w:val="33"/>
              <w:rPr>
                <w:color w:val="auto"/>
              </w:rPr>
            </w:pPr>
            <w:r>
              <w:rPr>
                <w:rFonts w:hint="eastAsia"/>
                <w:color w:val="auto"/>
              </w:rPr>
              <w:t>卫生防护距离初值（</w:t>
            </w:r>
            <w:r>
              <w:rPr>
                <w:color w:val="auto"/>
              </w:rPr>
              <w:t>m</w:t>
            </w:r>
            <w:r>
              <w:rPr>
                <w:rFonts w:hint="eastAsia"/>
                <w:color w:val="auto"/>
              </w:rPr>
              <w:t>）</w:t>
            </w:r>
          </w:p>
        </w:tc>
        <w:tc>
          <w:tcPr>
            <w:tcW w:w="1559" w:type="dxa"/>
            <w:gridSpan w:val="2"/>
            <w:tcBorders>
              <w:top w:val="single" w:color="auto" w:sz="4" w:space="0"/>
              <w:left w:val="single" w:color="auto" w:sz="4" w:space="0"/>
              <w:bottom w:val="single" w:color="auto" w:sz="4" w:space="0"/>
              <w:right w:val="single" w:color="auto" w:sz="4" w:space="0"/>
            </w:tcBorders>
            <w:vAlign w:val="center"/>
          </w:tcPr>
          <w:p w14:paraId="52CEDB49">
            <w:pPr>
              <w:pStyle w:val="33"/>
              <w:rPr>
                <w:color w:val="auto"/>
              </w:rPr>
            </w:pPr>
            <w:r>
              <w:rPr>
                <w:rFonts w:hint="eastAsia"/>
                <w:color w:val="auto"/>
              </w:rPr>
              <w:t>卫生防护距离终值（</w:t>
            </w:r>
            <w:r>
              <w:rPr>
                <w:color w:val="auto"/>
              </w:rPr>
              <w:t>m</w:t>
            </w:r>
            <w:r>
              <w:rPr>
                <w:rFonts w:hint="eastAsia"/>
                <w:color w:val="auto"/>
              </w:rPr>
              <w:t>）</w:t>
            </w:r>
          </w:p>
        </w:tc>
      </w:tr>
      <w:tr w14:paraId="3141A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blHeader/>
          <w:jc w:val="center"/>
        </w:trPr>
        <w:tc>
          <w:tcPr>
            <w:tcW w:w="2010" w:type="dxa"/>
            <w:vMerge w:val="restart"/>
            <w:tcBorders>
              <w:top w:val="single" w:color="auto" w:sz="4" w:space="0"/>
              <w:left w:val="single" w:color="auto" w:sz="4" w:space="0"/>
              <w:right w:val="single" w:color="auto" w:sz="4" w:space="0"/>
            </w:tcBorders>
            <w:vAlign w:val="center"/>
          </w:tcPr>
          <w:p w14:paraId="0F2A0267">
            <w:pPr>
              <w:pStyle w:val="33"/>
              <w:rPr>
                <w:color w:val="auto"/>
              </w:rPr>
            </w:pPr>
            <w:r>
              <w:rPr>
                <w:rFonts w:hint="eastAsia"/>
                <w:color w:val="auto"/>
              </w:rPr>
              <w:t>污水处理站</w:t>
            </w:r>
          </w:p>
        </w:tc>
        <w:tc>
          <w:tcPr>
            <w:tcW w:w="1276" w:type="dxa"/>
            <w:vAlign w:val="center"/>
          </w:tcPr>
          <w:p w14:paraId="59AADE17">
            <w:pPr>
              <w:pStyle w:val="33"/>
              <w:rPr>
                <w:color w:val="auto"/>
                <w:sz w:val="20"/>
                <w:szCs w:val="20"/>
                <w:lang w:bidi="ar"/>
              </w:rPr>
            </w:pPr>
            <w:r>
              <w:rPr>
                <w:color w:val="auto"/>
                <w:sz w:val="20"/>
                <w:szCs w:val="20"/>
                <w:lang w:bidi="ar"/>
              </w:rPr>
              <w:t>NH</w:t>
            </w:r>
            <w:r>
              <w:rPr>
                <w:color w:val="auto"/>
                <w:sz w:val="20"/>
                <w:szCs w:val="20"/>
                <w:vertAlign w:val="subscript"/>
                <w:lang w:bidi="ar"/>
              </w:rPr>
              <w:t>3</w:t>
            </w:r>
          </w:p>
        </w:tc>
        <w:tc>
          <w:tcPr>
            <w:tcW w:w="992" w:type="dxa"/>
            <w:vAlign w:val="center"/>
          </w:tcPr>
          <w:p w14:paraId="0B170CCC">
            <w:pPr>
              <w:pStyle w:val="33"/>
              <w:rPr>
                <w:color w:val="auto"/>
                <w:sz w:val="20"/>
                <w:szCs w:val="20"/>
                <w:lang w:bidi="ar"/>
              </w:rPr>
            </w:pPr>
            <w:r>
              <w:rPr>
                <w:color w:val="auto"/>
                <w:sz w:val="20"/>
                <w:szCs w:val="20"/>
                <w:lang w:bidi="ar"/>
              </w:rPr>
              <w:t>0.0032</w:t>
            </w:r>
          </w:p>
        </w:tc>
        <w:tc>
          <w:tcPr>
            <w:tcW w:w="1417" w:type="dxa"/>
            <w:vMerge w:val="restart"/>
            <w:tcBorders>
              <w:top w:val="single" w:color="auto" w:sz="4" w:space="0"/>
              <w:left w:val="single" w:color="auto" w:sz="4" w:space="0"/>
              <w:right w:val="single" w:color="auto" w:sz="4" w:space="0"/>
            </w:tcBorders>
            <w:vAlign w:val="center"/>
          </w:tcPr>
          <w:p w14:paraId="0E52ABEE">
            <w:pPr>
              <w:pStyle w:val="33"/>
              <w:rPr>
                <w:color w:val="auto"/>
              </w:rPr>
            </w:pPr>
            <w:r>
              <w:rPr>
                <w:color w:val="auto"/>
              </w:rPr>
              <w:t>3000</w:t>
            </w:r>
          </w:p>
        </w:tc>
        <w:tc>
          <w:tcPr>
            <w:tcW w:w="1560" w:type="dxa"/>
            <w:tcBorders>
              <w:top w:val="single" w:color="auto" w:sz="4" w:space="0"/>
              <w:left w:val="single" w:color="auto" w:sz="4" w:space="0"/>
              <w:bottom w:val="single" w:color="auto" w:sz="4" w:space="0"/>
              <w:right w:val="single" w:color="auto" w:sz="4" w:space="0"/>
            </w:tcBorders>
            <w:vAlign w:val="center"/>
          </w:tcPr>
          <w:p w14:paraId="149A7752">
            <w:pPr>
              <w:pStyle w:val="33"/>
              <w:rPr>
                <w:color w:val="auto"/>
              </w:rPr>
            </w:pPr>
            <w:r>
              <w:rPr>
                <w:color w:val="auto"/>
              </w:rPr>
              <w:t>0.685</w:t>
            </w:r>
          </w:p>
        </w:tc>
        <w:tc>
          <w:tcPr>
            <w:tcW w:w="779" w:type="dxa"/>
            <w:tcBorders>
              <w:top w:val="single" w:color="auto" w:sz="4" w:space="0"/>
              <w:left w:val="single" w:color="auto" w:sz="4" w:space="0"/>
              <w:right w:val="single" w:color="auto" w:sz="4" w:space="0"/>
            </w:tcBorders>
            <w:vAlign w:val="center"/>
          </w:tcPr>
          <w:p w14:paraId="04E03E90">
            <w:pPr>
              <w:pStyle w:val="33"/>
              <w:rPr>
                <w:color w:val="auto"/>
              </w:rPr>
            </w:pPr>
            <w:r>
              <w:rPr>
                <w:color w:val="auto"/>
              </w:rPr>
              <w:t>50</w:t>
            </w:r>
          </w:p>
        </w:tc>
        <w:tc>
          <w:tcPr>
            <w:tcW w:w="780" w:type="dxa"/>
            <w:vMerge w:val="restart"/>
            <w:tcBorders>
              <w:top w:val="single" w:color="auto" w:sz="4" w:space="0"/>
              <w:left w:val="single" w:color="auto" w:sz="4" w:space="0"/>
              <w:right w:val="single" w:color="auto" w:sz="4" w:space="0"/>
            </w:tcBorders>
            <w:vAlign w:val="center"/>
          </w:tcPr>
          <w:p w14:paraId="29CCCF83">
            <w:pPr>
              <w:pStyle w:val="33"/>
              <w:rPr>
                <w:color w:val="auto"/>
              </w:rPr>
            </w:pPr>
            <w:r>
              <w:rPr>
                <w:color w:val="auto"/>
              </w:rPr>
              <w:t>100</w:t>
            </w:r>
          </w:p>
        </w:tc>
      </w:tr>
      <w:tr w14:paraId="133C1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blHeader/>
          <w:jc w:val="center"/>
        </w:trPr>
        <w:tc>
          <w:tcPr>
            <w:tcW w:w="2010" w:type="dxa"/>
            <w:vMerge w:val="continue"/>
            <w:tcBorders>
              <w:left w:val="single" w:color="auto" w:sz="4" w:space="0"/>
              <w:right w:val="single" w:color="auto" w:sz="4" w:space="0"/>
            </w:tcBorders>
          </w:tcPr>
          <w:p w14:paraId="3F99C5F6">
            <w:pPr>
              <w:pStyle w:val="33"/>
              <w:rPr>
                <w:color w:val="auto"/>
              </w:rPr>
            </w:pPr>
          </w:p>
        </w:tc>
        <w:tc>
          <w:tcPr>
            <w:tcW w:w="1276" w:type="dxa"/>
            <w:vAlign w:val="center"/>
          </w:tcPr>
          <w:p w14:paraId="094C4536">
            <w:pPr>
              <w:pStyle w:val="33"/>
              <w:rPr>
                <w:color w:val="auto"/>
                <w:sz w:val="20"/>
                <w:szCs w:val="20"/>
                <w:lang w:bidi="ar"/>
              </w:rPr>
            </w:pPr>
            <w:r>
              <w:rPr>
                <w:color w:val="auto"/>
                <w:sz w:val="20"/>
                <w:szCs w:val="20"/>
                <w:lang w:bidi="ar"/>
              </w:rPr>
              <w:t>H</w:t>
            </w:r>
            <w:r>
              <w:rPr>
                <w:color w:val="auto"/>
                <w:sz w:val="20"/>
                <w:szCs w:val="20"/>
                <w:vertAlign w:val="subscript"/>
                <w:lang w:bidi="ar"/>
              </w:rPr>
              <w:t>2</w:t>
            </w:r>
            <w:r>
              <w:rPr>
                <w:color w:val="auto"/>
                <w:sz w:val="20"/>
                <w:szCs w:val="20"/>
                <w:lang w:bidi="ar"/>
              </w:rPr>
              <w:t>S</w:t>
            </w:r>
          </w:p>
        </w:tc>
        <w:tc>
          <w:tcPr>
            <w:tcW w:w="992" w:type="dxa"/>
            <w:vAlign w:val="center"/>
          </w:tcPr>
          <w:p w14:paraId="4E07F019">
            <w:pPr>
              <w:pStyle w:val="33"/>
              <w:rPr>
                <w:color w:val="auto"/>
                <w:sz w:val="20"/>
                <w:szCs w:val="20"/>
                <w:lang w:bidi="ar"/>
              </w:rPr>
            </w:pPr>
            <w:r>
              <w:rPr>
                <w:color w:val="auto"/>
                <w:sz w:val="20"/>
                <w:szCs w:val="20"/>
                <w:lang w:bidi="ar"/>
              </w:rPr>
              <w:t>0.0015</w:t>
            </w:r>
          </w:p>
        </w:tc>
        <w:tc>
          <w:tcPr>
            <w:tcW w:w="1417" w:type="dxa"/>
            <w:vMerge w:val="continue"/>
            <w:tcBorders>
              <w:left w:val="single" w:color="auto" w:sz="4" w:space="0"/>
              <w:right w:val="single" w:color="auto" w:sz="4" w:space="0"/>
            </w:tcBorders>
          </w:tcPr>
          <w:p w14:paraId="2192D3DD">
            <w:pPr>
              <w:pStyle w:val="33"/>
              <w:rPr>
                <w:color w:val="auto"/>
              </w:rPr>
            </w:pPr>
          </w:p>
        </w:tc>
        <w:tc>
          <w:tcPr>
            <w:tcW w:w="1560" w:type="dxa"/>
          </w:tcPr>
          <w:p w14:paraId="18D68487">
            <w:pPr>
              <w:pStyle w:val="33"/>
              <w:rPr>
                <w:color w:val="auto"/>
              </w:rPr>
            </w:pPr>
            <w:r>
              <w:rPr>
                <w:color w:val="auto"/>
              </w:rPr>
              <w:t>0.580</w:t>
            </w:r>
          </w:p>
        </w:tc>
        <w:tc>
          <w:tcPr>
            <w:tcW w:w="779" w:type="dxa"/>
            <w:tcBorders>
              <w:left w:val="single" w:color="auto" w:sz="4" w:space="0"/>
              <w:right w:val="single" w:color="auto" w:sz="4" w:space="0"/>
            </w:tcBorders>
          </w:tcPr>
          <w:p w14:paraId="78A6EE34">
            <w:pPr>
              <w:pStyle w:val="33"/>
              <w:rPr>
                <w:color w:val="auto"/>
              </w:rPr>
            </w:pPr>
            <w:r>
              <w:rPr>
                <w:color w:val="auto"/>
              </w:rPr>
              <w:t>50</w:t>
            </w:r>
          </w:p>
        </w:tc>
        <w:tc>
          <w:tcPr>
            <w:tcW w:w="780" w:type="dxa"/>
            <w:vMerge w:val="continue"/>
            <w:tcBorders>
              <w:left w:val="single" w:color="auto" w:sz="4" w:space="0"/>
              <w:right w:val="single" w:color="auto" w:sz="4" w:space="0"/>
            </w:tcBorders>
          </w:tcPr>
          <w:p w14:paraId="370D45D0">
            <w:pPr>
              <w:pStyle w:val="33"/>
              <w:rPr>
                <w:color w:val="auto"/>
              </w:rPr>
            </w:pPr>
          </w:p>
        </w:tc>
      </w:tr>
    </w:tbl>
    <w:p w14:paraId="048D2F93">
      <w:pPr>
        <w:topLinePunct/>
        <w:adjustRightInd w:val="0"/>
        <w:ind w:firstLine="420"/>
        <w:jc w:val="center"/>
        <w:rPr>
          <w:rFonts w:cs="Times New Roman"/>
          <w:color w:val="auto"/>
          <w:sz w:val="21"/>
        </w:rPr>
      </w:pPr>
    </w:p>
    <w:p w14:paraId="3766D1A0">
      <w:pPr>
        <w:ind w:firstLine="480"/>
        <w:rPr>
          <w:rFonts w:cs="Times New Roman"/>
          <w:color w:val="auto"/>
        </w:rPr>
      </w:pPr>
      <w:r>
        <w:rPr>
          <w:rFonts w:hint="eastAsia" w:cs="Times New Roman"/>
          <w:color w:val="auto"/>
        </w:rPr>
        <w:t>根据《大气有害物质无组织排放卫生防护距离推导技术导则》（</w:t>
      </w:r>
      <w:r>
        <w:rPr>
          <w:rFonts w:cs="Times New Roman"/>
          <w:color w:val="auto"/>
        </w:rPr>
        <w:t>GB/T39499-2020</w:t>
      </w:r>
      <w:r>
        <w:rPr>
          <w:rFonts w:hint="eastAsia" w:cs="Times New Roman"/>
          <w:color w:val="auto"/>
        </w:rPr>
        <w:t>），本次评价建议项目在污水处理站外设置</w:t>
      </w:r>
      <w:r>
        <w:rPr>
          <w:rFonts w:cs="Times New Roman"/>
          <w:color w:val="auto"/>
        </w:rPr>
        <w:t>100m</w:t>
      </w:r>
      <w:r>
        <w:rPr>
          <w:rFonts w:hint="eastAsia" w:cs="Times New Roman"/>
          <w:color w:val="auto"/>
        </w:rPr>
        <w:t>卫生防护距离，并根据企业现有卫生防护距离的划定，设置企业卫生防护距离。该防护距离内严禁规划新建居民区、学校等敏感目标。根据现状调查，企业拟设卫生防护距离外无居民分布。</w:t>
      </w:r>
    </w:p>
    <w:p w14:paraId="0BD7954C">
      <w:pPr>
        <w:ind w:firstLine="480"/>
        <w:rPr>
          <w:color w:val="auto"/>
        </w:rPr>
      </w:pPr>
      <w:r>
        <w:rPr>
          <w:color w:val="auto"/>
        </w:rPr>
        <w:drawing>
          <wp:inline distT="0" distB="0" distL="0" distR="0">
            <wp:extent cx="5759450" cy="3905885"/>
            <wp:effectExtent l="0" t="0" r="0" b="0"/>
            <wp:docPr id="10014905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0515" name="图片 5"/>
                    <pic:cNvPicPr>
                      <a:picLocks noChangeAspect="1" noChangeArrowheads="1"/>
                    </pic:cNvPicPr>
                  </pic:nvPicPr>
                  <pic:blipFill>
                    <a:blip r:embed="rId95" cstate="print">
                      <a:extLst>
                        <a:ext uri="{28A0092B-C50C-407E-A947-70E740481C1C}">
                          <a14:useLocalDpi xmlns:a14="http://schemas.microsoft.com/office/drawing/2010/main" val="0"/>
                        </a:ext>
                      </a:extLst>
                    </a:blip>
                    <a:srcRect b="4147"/>
                    <a:stretch>
                      <a:fillRect/>
                    </a:stretch>
                  </pic:blipFill>
                  <pic:spPr>
                    <a:xfrm>
                      <a:off x="0" y="0"/>
                      <a:ext cx="5759450" cy="3906456"/>
                    </a:xfrm>
                    <a:prstGeom prst="rect">
                      <a:avLst/>
                    </a:prstGeom>
                    <a:noFill/>
                    <a:ln>
                      <a:noFill/>
                    </a:ln>
                  </pic:spPr>
                </pic:pic>
              </a:graphicData>
            </a:graphic>
          </wp:inline>
        </w:drawing>
      </w:r>
    </w:p>
    <w:p w14:paraId="29DAEEFF">
      <w:pPr>
        <w:pStyle w:val="8"/>
        <w:rPr>
          <w:color w:val="auto"/>
        </w:rPr>
      </w:pPr>
      <w:r>
        <w:rPr>
          <w:rFonts w:hint="eastAsia"/>
          <w:color w:val="auto"/>
        </w:rPr>
        <w:t>企业卫生防护距离图</w:t>
      </w:r>
    </w:p>
    <w:p w14:paraId="603B9149">
      <w:pPr>
        <w:pStyle w:val="3"/>
        <w:rPr>
          <w:color w:val="auto"/>
        </w:rPr>
      </w:pPr>
      <w:bookmarkStart w:id="478" w:name="_Toc221355728"/>
      <w:bookmarkStart w:id="479" w:name="_Toc225216792"/>
      <w:r>
        <w:rPr>
          <w:rFonts w:hint="eastAsia"/>
          <w:color w:val="auto"/>
        </w:rPr>
        <w:t>运营期</w:t>
      </w:r>
      <w:r>
        <w:rPr>
          <w:color w:val="auto"/>
        </w:rPr>
        <w:t>地表水环境影响分析</w:t>
      </w:r>
      <w:bookmarkEnd w:id="478"/>
      <w:bookmarkEnd w:id="479"/>
    </w:p>
    <w:p w14:paraId="61DCC58B">
      <w:pPr>
        <w:pStyle w:val="4"/>
        <w:rPr>
          <w:color w:val="auto"/>
        </w:rPr>
      </w:pPr>
      <w:bookmarkStart w:id="480" w:name="_Toc225216793"/>
      <w:r>
        <w:rPr>
          <w:rFonts w:hint="eastAsia"/>
          <w:color w:val="auto"/>
        </w:rPr>
        <w:t>项目废水产排放情况</w:t>
      </w:r>
      <w:bookmarkEnd w:id="480"/>
    </w:p>
    <w:p w14:paraId="1F2E2F7D">
      <w:pPr>
        <w:ind w:firstLine="480"/>
        <w:rPr>
          <w:rFonts w:cs="Times New Roman"/>
          <w:color w:val="auto"/>
        </w:rPr>
      </w:pPr>
      <w:r>
        <w:rPr>
          <w:rFonts w:hint="eastAsia" w:cs="Times New Roman"/>
          <w:color w:val="auto"/>
        </w:rPr>
        <w:t>本项目建成后，排水情况主要变化情况为：1.造纸车间单位产能排水量下降，改造完成后造纸车间（包括已批未建3#纸机）废水排放量为61196.76m</w:t>
      </w:r>
      <w:r>
        <w:rPr>
          <w:rFonts w:hint="eastAsia" w:cs="Times New Roman"/>
          <w:color w:val="auto"/>
          <w:vertAlign w:val="superscript"/>
        </w:rPr>
        <w:t>3</w:t>
      </w:r>
      <w:r>
        <w:rPr>
          <w:rFonts w:hint="eastAsia" w:cs="Times New Roman"/>
          <w:color w:val="auto"/>
        </w:rPr>
        <w:t>/d。2.食品白卡纸质量要求较高，对使用的原料浆品质要求相应提高，原来回用于化机浆车间的碱回收车间冷凝水难以满足生产要求，这部分水不再回用生产。1#碱回收车间排水量由4785m</w:t>
      </w:r>
      <w:r>
        <w:rPr>
          <w:rFonts w:hint="eastAsia" w:cs="Times New Roman"/>
          <w:color w:val="auto"/>
          <w:vertAlign w:val="superscript"/>
        </w:rPr>
        <w:t>3</w:t>
      </w:r>
      <w:r>
        <w:rPr>
          <w:rFonts w:hint="eastAsia" w:cs="Times New Roman"/>
          <w:color w:val="auto"/>
        </w:rPr>
        <w:t>/d变为14542m</w:t>
      </w:r>
      <w:r>
        <w:rPr>
          <w:rFonts w:hint="eastAsia" w:cs="Times New Roman"/>
          <w:color w:val="auto"/>
          <w:vertAlign w:val="superscript"/>
        </w:rPr>
        <w:t>3</w:t>
      </w:r>
      <w:r>
        <w:rPr>
          <w:rFonts w:hint="eastAsia" w:cs="Times New Roman"/>
          <w:color w:val="auto"/>
        </w:rPr>
        <w:t>/d，1#碱回收车间废水依托现有1#污水处理站处理。项目新增排水3677.77m</w:t>
      </w:r>
      <w:r>
        <w:rPr>
          <w:rFonts w:hint="eastAsia" w:cs="Times New Roman"/>
          <w:color w:val="auto"/>
          <w:vertAlign w:val="superscript"/>
        </w:rPr>
        <w:t>3</w:t>
      </w:r>
      <w:r>
        <w:rPr>
          <w:rFonts w:hint="eastAsia" w:cs="Times New Roman"/>
          <w:color w:val="auto"/>
        </w:rPr>
        <w:t>/d，新增1座中水回用系统，并新增回用水3677.77m</w:t>
      </w:r>
      <w:r>
        <w:rPr>
          <w:rFonts w:hint="eastAsia" w:cs="Times New Roman"/>
          <w:color w:val="auto"/>
          <w:vertAlign w:val="superscript"/>
        </w:rPr>
        <w:t>3</w:t>
      </w:r>
      <w:r>
        <w:rPr>
          <w:rFonts w:hint="eastAsia" w:cs="Times New Roman"/>
          <w:color w:val="auto"/>
        </w:rPr>
        <w:t>/d。中水回用系统处理规模5000m</w:t>
      </w:r>
      <w:r>
        <w:rPr>
          <w:rFonts w:hint="eastAsia" w:cs="Times New Roman"/>
          <w:color w:val="auto"/>
          <w:vertAlign w:val="superscript"/>
        </w:rPr>
        <w:t>3</w:t>
      </w:r>
      <w:r>
        <w:rPr>
          <w:rFonts w:hint="eastAsia" w:cs="Times New Roman"/>
          <w:color w:val="auto"/>
        </w:rPr>
        <w:t>/d。</w:t>
      </w:r>
    </w:p>
    <w:p w14:paraId="698A92FD">
      <w:pPr>
        <w:ind w:firstLine="480"/>
        <w:rPr>
          <w:color w:val="auto"/>
        </w:rPr>
      </w:pPr>
      <w:r>
        <w:rPr>
          <w:rFonts w:hint="eastAsia"/>
          <w:color w:val="auto"/>
        </w:rPr>
        <w:t>项目投产后全厂的废水污染物排放情况见下表。项目投产后，对比现有工程不新增废水排放，也不新增废水污染物排放。</w:t>
      </w:r>
    </w:p>
    <w:p w14:paraId="0435E535">
      <w:pPr>
        <w:pStyle w:val="7"/>
        <w:rPr>
          <w:color w:val="auto"/>
        </w:rPr>
      </w:pPr>
      <w:r>
        <w:rPr>
          <w:rFonts w:hint="eastAsia"/>
          <w:color w:val="auto"/>
        </w:rPr>
        <w:t>改造项目完成后全厂废水污染物排放情况</w:t>
      </w:r>
    </w:p>
    <w:tbl>
      <w:tblPr>
        <w:tblStyle w:val="26"/>
        <w:tblW w:w="4998" w:type="pct"/>
        <w:tblInd w:w="0" w:type="dxa"/>
        <w:tblLayout w:type="autofit"/>
        <w:tblCellMar>
          <w:top w:w="0" w:type="dxa"/>
          <w:left w:w="108" w:type="dxa"/>
          <w:bottom w:w="0" w:type="dxa"/>
          <w:right w:w="108" w:type="dxa"/>
        </w:tblCellMar>
      </w:tblPr>
      <w:tblGrid>
        <w:gridCol w:w="1851"/>
        <w:gridCol w:w="1855"/>
        <w:gridCol w:w="1860"/>
        <w:gridCol w:w="1860"/>
        <w:gridCol w:w="1856"/>
      </w:tblGrid>
      <w:tr w14:paraId="1BA57A3C">
        <w:tblPrEx>
          <w:tblCellMar>
            <w:top w:w="0" w:type="dxa"/>
            <w:left w:w="108" w:type="dxa"/>
            <w:bottom w:w="0" w:type="dxa"/>
            <w:right w:w="108" w:type="dxa"/>
          </w:tblCellMar>
        </w:tblPrEx>
        <w:trPr>
          <w:trHeight w:val="90" w:hRule="atLeast"/>
        </w:trPr>
        <w:tc>
          <w:tcPr>
            <w:tcW w:w="997" w:type="pct"/>
            <w:tcBorders>
              <w:top w:val="single" w:color="000000" w:sz="8" w:space="0"/>
              <w:left w:val="single" w:color="000000" w:sz="8" w:space="0"/>
              <w:bottom w:val="single" w:color="000000" w:sz="8" w:space="0"/>
              <w:right w:val="single" w:color="000000" w:sz="8" w:space="0"/>
            </w:tcBorders>
            <w:vAlign w:val="center"/>
          </w:tcPr>
          <w:p w14:paraId="22A6C7F2">
            <w:pPr>
              <w:pStyle w:val="33"/>
              <w:rPr>
                <w:color w:val="auto"/>
              </w:rPr>
            </w:pPr>
            <w:r>
              <w:rPr>
                <w:rFonts w:hint="eastAsia"/>
                <w:color w:val="auto"/>
              </w:rPr>
              <w:t>序号</w:t>
            </w:r>
          </w:p>
        </w:tc>
        <w:tc>
          <w:tcPr>
            <w:tcW w:w="999" w:type="pct"/>
            <w:tcBorders>
              <w:top w:val="single" w:color="000000" w:sz="8" w:space="0"/>
              <w:left w:val="single" w:color="000000" w:sz="8" w:space="0"/>
              <w:bottom w:val="single" w:color="000000" w:sz="8" w:space="0"/>
              <w:right w:val="single" w:color="000000" w:sz="8" w:space="0"/>
            </w:tcBorders>
            <w:vAlign w:val="center"/>
          </w:tcPr>
          <w:p w14:paraId="73515066">
            <w:pPr>
              <w:pStyle w:val="33"/>
              <w:rPr>
                <w:color w:val="auto"/>
              </w:rPr>
            </w:pPr>
            <w:r>
              <w:rPr>
                <w:rFonts w:hint="eastAsia"/>
                <w:color w:val="auto"/>
              </w:rPr>
              <w:t>类别</w:t>
            </w:r>
          </w:p>
        </w:tc>
        <w:tc>
          <w:tcPr>
            <w:tcW w:w="1002" w:type="pct"/>
            <w:tcBorders>
              <w:top w:val="single" w:color="000000" w:sz="8" w:space="0"/>
              <w:left w:val="single" w:color="000000" w:sz="8" w:space="0"/>
              <w:bottom w:val="single" w:color="000000" w:sz="8" w:space="0"/>
              <w:right w:val="single" w:color="000000" w:sz="8" w:space="0"/>
            </w:tcBorders>
            <w:vAlign w:val="center"/>
          </w:tcPr>
          <w:p w14:paraId="11864FD2">
            <w:pPr>
              <w:pStyle w:val="33"/>
              <w:rPr>
                <w:color w:val="auto"/>
              </w:rPr>
            </w:pPr>
            <w:r>
              <w:rPr>
                <w:rFonts w:hint="eastAsia"/>
                <w:color w:val="auto"/>
              </w:rPr>
              <w:t>项目</w:t>
            </w:r>
          </w:p>
        </w:tc>
        <w:tc>
          <w:tcPr>
            <w:tcW w:w="1002" w:type="pct"/>
            <w:tcBorders>
              <w:top w:val="single" w:color="000000" w:sz="8" w:space="0"/>
              <w:left w:val="single" w:color="000000" w:sz="8" w:space="0"/>
              <w:bottom w:val="single" w:color="000000" w:sz="8" w:space="0"/>
              <w:right w:val="single" w:color="000000" w:sz="8" w:space="0"/>
            </w:tcBorders>
            <w:vAlign w:val="center"/>
          </w:tcPr>
          <w:p w14:paraId="68B0DB04">
            <w:pPr>
              <w:pStyle w:val="33"/>
              <w:rPr>
                <w:color w:val="auto"/>
              </w:rPr>
            </w:pPr>
            <w:r>
              <w:rPr>
                <w:rFonts w:hint="eastAsia"/>
                <w:color w:val="auto"/>
              </w:rPr>
              <w:t>现有工程排放量</w:t>
            </w:r>
          </w:p>
        </w:tc>
        <w:tc>
          <w:tcPr>
            <w:tcW w:w="1001" w:type="pct"/>
            <w:tcBorders>
              <w:top w:val="single" w:color="000000" w:sz="8" w:space="0"/>
              <w:left w:val="single" w:color="000000" w:sz="8" w:space="0"/>
              <w:bottom w:val="single" w:color="000000" w:sz="8" w:space="0"/>
              <w:right w:val="single" w:color="000000" w:sz="8" w:space="0"/>
            </w:tcBorders>
            <w:vAlign w:val="center"/>
          </w:tcPr>
          <w:p w14:paraId="63CF1D57">
            <w:pPr>
              <w:pStyle w:val="33"/>
              <w:rPr>
                <w:color w:val="auto"/>
              </w:rPr>
            </w:pPr>
            <w:r>
              <w:rPr>
                <w:rFonts w:hint="eastAsia"/>
                <w:color w:val="auto"/>
              </w:rPr>
              <w:t>本项目完工后</w:t>
            </w:r>
          </w:p>
        </w:tc>
      </w:tr>
      <w:tr w14:paraId="6D3B5BF2">
        <w:tblPrEx>
          <w:tblCellMar>
            <w:top w:w="0" w:type="dxa"/>
            <w:left w:w="108" w:type="dxa"/>
            <w:bottom w:w="0" w:type="dxa"/>
            <w:right w:w="108" w:type="dxa"/>
          </w:tblCellMar>
        </w:tblPrEx>
        <w:trPr>
          <w:trHeight w:val="630" w:hRule="atLeast"/>
        </w:trPr>
        <w:tc>
          <w:tcPr>
            <w:tcW w:w="997" w:type="pct"/>
            <w:tcBorders>
              <w:top w:val="nil"/>
              <w:left w:val="single" w:color="000000" w:sz="8" w:space="0"/>
              <w:bottom w:val="single" w:color="000000" w:sz="8" w:space="0"/>
              <w:right w:val="single" w:color="000000" w:sz="8" w:space="0"/>
            </w:tcBorders>
            <w:vAlign w:val="center"/>
          </w:tcPr>
          <w:p w14:paraId="364F0B4A">
            <w:pPr>
              <w:pStyle w:val="33"/>
              <w:rPr>
                <w:color w:val="auto"/>
              </w:rPr>
            </w:pPr>
            <w:r>
              <w:rPr>
                <w:color w:val="auto"/>
              </w:rPr>
              <w:t>1</w:t>
            </w:r>
          </w:p>
        </w:tc>
        <w:tc>
          <w:tcPr>
            <w:tcW w:w="999" w:type="pct"/>
            <w:vMerge w:val="restart"/>
            <w:tcBorders>
              <w:left w:val="single" w:color="000000" w:sz="8" w:space="0"/>
              <w:right w:val="single" w:color="000000" w:sz="8" w:space="0"/>
            </w:tcBorders>
            <w:vAlign w:val="center"/>
          </w:tcPr>
          <w:p w14:paraId="1170F844">
            <w:pPr>
              <w:pStyle w:val="33"/>
              <w:rPr>
                <w:color w:val="auto"/>
              </w:rPr>
            </w:pPr>
            <w:r>
              <w:rPr>
                <w:rFonts w:hint="eastAsia"/>
                <w:color w:val="auto"/>
              </w:rPr>
              <w:t>废水</w:t>
            </w:r>
          </w:p>
        </w:tc>
        <w:tc>
          <w:tcPr>
            <w:tcW w:w="1002" w:type="pct"/>
            <w:tcBorders>
              <w:top w:val="nil"/>
              <w:left w:val="single" w:color="000000" w:sz="8" w:space="0"/>
              <w:bottom w:val="single" w:color="000000" w:sz="8" w:space="0"/>
              <w:right w:val="single" w:color="000000" w:sz="8" w:space="0"/>
            </w:tcBorders>
            <w:vAlign w:val="center"/>
          </w:tcPr>
          <w:p w14:paraId="35F10F23">
            <w:pPr>
              <w:pStyle w:val="33"/>
              <w:rPr>
                <w:color w:val="auto"/>
              </w:rPr>
            </w:pPr>
            <w:r>
              <w:rPr>
                <w:rFonts w:hint="eastAsia"/>
                <w:color w:val="auto"/>
              </w:rPr>
              <w:t>排放量（</w:t>
            </w:r>
            <w:r>
              <w:rPr>
                <w:color w:val="auto"/>
              </w:rPr>
              <w:t>m</w:t>
            </w:r>
            <w:r>
              <w:rPr>
                <w:color w:val="auto"/>
                <w:vertAlign w:val="superscript"/>
              </w:rPr>
              <w:t>3</w:t>
            </w:r>
            <w:r>
              <w:rPr>
                <w:color w:val="auto"/>
              </w:rPr>
              <w:t>/d</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7BDE81A9">
            <w:pPr>
              <w:pStyle w:val="33"/>
              <w:rPr>
                <w:color w:val="auto"/>
                <w:highlight w:val="none"/>
              </w:rPr>
            </w:pPr>
            <w:r>
              <w:rPr>
                <w:rFonts w:hint="eastAsia"/>
                <w:color w:val="auto"/>
                <w:highlight w:val="none"/>
              </w:rPr>
              <w:t>89528.31</w:t>
            </w:r>
          </w:p>
        </w:tc>
        <w:tc>
          <w:tcPr>
            <w:tcW w:w="1001" w:type="pct"/>
            <w:tcBorders>
              <w:top w:val="nil"/>
              <w:left w:val="single" w:color="000000" w:sz="8" w:space="0"/>
              <w:bottom w:val="single" w:color="000000" w:sz="8" w:space="0"/>
              <w:right w:val="single" w:color="000000" w:sz="8" w:space="0"/>
            </w:tcBorders>
            <w:vAlign w:val="center"/>
          </w:tcPr>
          <w:p w14:paraId="22212955">
            <w:pPr>
              <w:pStyle w:val="33"/>
              <w:rPr>
                <w:color w:val="auto"/>
                <w:highlight w:val="none"/>
              </w:rPr>
            </w:pPr>
            <w:r>
              <w:rPr>
                <w:rFonts w:hint="eastAsia"/>
                <w:color w:val="auto"/>
                <w:highlight w:val="none"/>
              </w:rPr>
              <w:t>89528.31</w:t>
            </w:r>
          </w:p>
        </w:tc>
      </w:tr>
      <w:tr w14:paraId="44A30A76">
        <w:tblPrEx>
          <w:tblCellMar>
            <w:top w:w="0" w:type="dxa"/>
            <w:left w:w="108" w:type="dxa"/>
            <w:bottom w:w="0" w:type="dxa"/>
            <w:right w:w="108" w:type="dxa"/>
          </w:tblCellMar>
        </w:tblPrEx>
        <w:trPr>
          <w:trHeight w:val="630" w:hRule="atLeast"/>
        </w:trPr>
        <w:tc>
          <w:tcPr>
            <w:tcW w:w="997" w:type="pct"/>
            <w:tcBorders>
              <w:top w:val="nil"/>
              <w:left w:val="single" w:color="000000" w:sz="8" w:space="0"/>
              <w:bottom w:val="single" w:color="000000" w:sz="8" w:space="0"/>
              <w:right w:val="single" w:color="000000" w:sz="8" w:space="0"/>
            </w:tcBorders>
            <w:vAlign w:val="center"/>
          </w:tcPr>
          <w:p w14:paraId="19434A5A">
            <w:pPr>
              <w:pStyle w:val="33"/>
              <w:rPr>
                <w:color w:val="auto"/>
              </w:rPr>
            </w:pPr>
            <w:r>
              <w:rPr>
                <w:color w:val="auto"/>
              </w:rPr>
              <w:t>2</w:t>
            </w:r>
          </w:p>
        </w:tc>
        <w:tc>
          <w:tcPr>
            <w:tcW w:w="999" w:type="pct"/>
            <w:vMerge w:val="continue"/>
            <w:tcBorders>
              <w:left w:val="single" w:color="000000" w:sz="8" w:space="0"/>
              <w:right w:val="single" w:color="000000" w:sz="8" w:space="0"/>
            </w:tcBorders>
            <w:vAlign w:val="center"/>
          </w:tcPr>
          <w:p w14:paraId="458826DA">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13474FF7">
            <w:pPr>
              <w:pStyle w:val="33"/>
              <w:rPr>
                <w:color w:val="auto"/>
              </w:rPr>
            </w:pPr>
            <w:r>
              <w:rPr>
                <w:color w:val="auto"/>
              </w:rPr>
              <w:t>COD</w:t>
            </w:r>
            <w:r>
              <w:rPr>
                <w:color w:val="auto"/>
                <w:vertAlign w:val="subscript"/>
              </w:rPr>
              <w:t>Cr</w:t>
            </w:r>
            <w:r>
              <w:rPr>
                <w:rFonts w:hint="eastAsia"/>
                <w:color w:val="auto"/>
              </w:rPr>
              <w:t>（</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31D3773F">
            <w:pPr>
              <w:pStyle w:val="33"/>
              <w:rPr>
                <w:color w:val="auto"/>
                <w:highlight w:val="none"/>
              </w:rPr>
            </w:pPr>
            <w:r>
              <w:rPr>
                <w:color w:val="auto"/>
                <w:highlight w:val="none"/>
              </w:rPr>
              <w:t>1388.15</w:t>
            </w:r>
          </w:p>
        </w:tc>
        <w:tc>
          <w:tcPr>
            <w:tcW w:w="1001" w:type="pct"/>
            <w:tcBorders>
              <w:top w:val="nil"/>
              <w:left w:val="single" w:color="000000" w:sz="8" w:space="0"/>
              <w:bottom w:val="single" w:color="000000" w:sz="8" w:space="0"/>
              <w:right w:val="single" w:color="000000" w:sz="8" w:space="0"/>
            </w:tcBorders>
            <w:vAlign w:val="center"/>
          </w:tcPr>
          <w:p w14:paraId="18926E6D">
            <w:pPr>
              <w:pStyle w:val="33"/>
              <w:rPr>
                <w:color w:val="auto"/>
                <w:highlight w:val="none"/>
              </w:rPr>
            </w:pPr>
            <w:r>
              <w:rPr>
                <w:color w:val="auto"/>
                <w:highlight w:val="none"/>
              </w:rPr>
              <w:t>1388.15</w:t>
            </w:r>
          </w:p>
        </w:tc>
      </w:tr>
      <w:tr w14:paraId="0C2E7895">
        <w:tblPrEx>
          <w:tblCellMar>
            <w:top w:w="0" w:type="dxa"/>
            <w:left w:w="108" w:type="dxa"/>
            <w:bottom w:w="0" w:type="dxa"/>
            <w:right w:w="108" w:type="dxa"/>
          </w:tblCellMar>
        </w:tblPrEx>
        <w:trPr>
          <w:trHeight w:val="630" w:hRule="atLeast"/>
        </w:trPr>
        <w:tc>
          <w:tcPr>
            <w:tcW w:w="997" w:type="pct"/>
            <w:tcBorders>
              <w:top w:val="nil"/>
              <w:left w:val="single" w:color="000000" w:sz="8" w:space="0"/>
              <w:bottom w:val="single" w:color="000000" w:sz="8" w:space="0"/>
              <w:right w:val="single" w:color="000000" w:sz="8" w:space="0"/>
            </w:tcBorders>
            <w:vAlign w:val="center"/>
          </w:tcPr>
          <w:p w14:paraId="3DD539EB">
            <w:pPr>
              <w:pStyle w:val="33"/>
              <w:rPr>
                <w:color w:val="auto"/>
              </w:rPr>
            </w:pPr>
            <w:r>
              <w:rPr>
                <w:color w:val="auto"/>
              </w:rPr>
              <w:t>3</w:t>
            </w:r>
          </w:p>
        </w:tc>
        <w:tc>
          <w:tcPr>
            <w:tcW w:w="999" w:type="pct"/>
            <w:vMerge w:val="continue"/>
            <w:tcBorders>
              <w:left w:val="single" w:color="000000" w:sz="8" w:space="0"/>
              <w:right w:val="single" w:color="000000" w:sz="8" w:space="0"/>
            </w:tcBorders>
            <w:vAlign w:val="center"/>
          </w:tcPr>
          <w:p w14:paraId="381BB92C">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1A9BADCB">
            <w:pPr>
              <w:pStyle w:val="33"/>
              <w:rPr>
                <w:color w:val="auto"/>
              </w:rPr>
            </w:pPr>
            <w:r>
              <w:rPr>
                <w:color w:val="auto"/>
              </w:rPr>
              <w:t>BOD</w:t>
            </w:r>
            <w:r>
              <w:rPr>
                <w:color w:val="auto"/>
                <w:vertAlign w:val="subscript"/>
              </w:rPr>
              <w:t>5</w:t>
            </w:r>
            <w:r>
              <w:rPr>
                <w:rFonts w:hint="eastAsia"/>
                <w:color w:val="auto"/>
              </w:rPr>
              <w:t>（</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6167124C">
            <w:pPr>
              <w:pStyle w:val="33"/>
              <w:rPr>
                <w:color w:val="auto"/>
                <w:highlight w:val="none"/>
              </w:rPr>
            </w:pPr>
            <w:r>
              <w:rPr>
                <w:color w:val="auto"/>
                <w:highlight w:val="none"/>
              </w:rPr>
              <w:t>133.42</w:t>
            </w:r>
          </w:p>
        </w:tc>
        <w:tc>
          <w:tcPr>
            <w:tcW w:w="1001" w:type="pct"/>
            <w:tcBorders>
              <w:top w:val="nil"/>
              <w:left w:val="single" w:color="000000" w:sz="8" w:space="0"/>
              <w:bottom w:val="single" w:color="000000" w:sz="8" w:space="0"/>
              <w:right w:val="single" w:color="000000" w:sz="8" w:space="0"/>
            </w:tcBorders>
            <w:vAlign w:val="center"/>
          </w:tcPr>
          <w:p w14:paraId="4A35C760">
            <w:pPr>
              <w:pStyle w:val="33"/>
              <w:rPr>
                <w:color w:val="auto"/>
                <w:highlight w:val="none"/>
              </w:rPr>
            </w:pPr>
            <w:r>
              <w:rPr>
                <w:color w:val="auto"/>
                <w:highlight w:val="none"/>
              </w:rPr>
              <w:t>133.42</w:t>
            </w:r>
          </w:p>
        </w:tc>
      </w:tr>
      <w:tr w14:paraId="65A2AA1E">
        <w:tblPrEx>
          <w:tblCellMar>
            <w:top w:w="0" w:type="dxa"/>
            <w:left w:w="108" w:type="dxa"/>
            <w:bottom w:w="0" w:type="dxa"/>
            <w:right w:w="108" w:type="dxa"/>
          </w:tblCellMar>
        </w:tblPrEx>
        <w:trPr>
          <w:trHeight w:val="285" w:hRule="atLeast"/>
        </w:trPr>
        <w:tc>
          <w:tcPr>
            <w:tcW w:w="997" w:type="pct"/>
            <w:tcBorders>
              <w:top w:val="nil"/>
              <w:left w:val="single" w:color="000000" w:sz="8" w:space="0"/>
              <w:bottom w:val="single" w:color="000000" w:sz="8" w:space="0"/>
              <w:right w:val="single" w:color="000000" w:sz="8" w:space="0"/>
            </w:tcBorders>
            <w:vAlign w:val="center"/>
          </w:tcPr>
          <w:p w14:paraId="6DD4A346">
            <w:pPr>
              <w:pStyle w:val="33"/>
              <w:rPr>
                <w:color w:val="auto"/>
              </w:rPr>
            </w:pPr>
            <w:r>
              <w:rPr>
                <w:color w:val="auto"/>
              </w:rPr>
              <w:t>4</w:t>
            </w:r>
          </w:p>
        </w:tc>
        <w:tc>
          <w:tcPr>
            <w:tcW w:w="999" w:type="pct"/>
            <w:vMerge w:val="continue"/>
            <w:tcBorders>
              <w:left w:val="single" w:color="000000" w:sz="8" w:space="0"/>
              <w:right w:val="single" w:color="000000" w:sz="8" w:space="0"/>
            </w:tcBorders>
            <w:vAlign w:val="center"/>
          </w:tcPr>
          <w:p w14:paraId="1188A8A6">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42BA914A">
            <w:pPr>
              <w:pStyle w:val="33"/>
              <w:rPr>
                <w:color w:val="auto"/>
              </w:rPr>
            </w:pPr>
            <w:r>
              <w:rPr>
                <w:color w:val="auto"/>
              </w:rPr>
              <w:t>SS</w:t>
            </w:r>
            <w:r>
              <w:rPr>
                <w:rFonts w:hint="eastAsia"/>
                <w:color w:val="auto"/>
              </w:rPr>
              <w:t>（</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0A64AB70">
            <w:pPr>
              <w:pStyle w:val="33"/>
              <w:rPr>
                <w:color w:val="auto"/>
                <w:highlight w:val="none"/>
              </w:rPr>
            </w:pPr>
            <w:r>
              <w:rPr>
                <w:color w:val="auto"/>
                <w:highlight w:val="none"/>
              </w:rPr>
              <w:t>145.46</w:t>
            </w:r>
          </w:p>
        </w:tc>
        <w:tc>
          <w:tcPr>
            <w:tcW w:w="1001" w:type="pct"/>
            <w:tcBorders>
              <w:top w:val="nil"/>
              <w:left w:val="single" w:color="000000" w:sz="8" w:space="0"/>
              <w:bottom w:val="single" w:color="000000" w:sz="8" w:space="0"/>
              <w:right w:val="single" w:color="000000" w:sz="8" w:space="0"/>
            </w:tcBorders>
            <w:vAlign w:val="center"/>
          </w:tcPr>
          <w:p w14:paraId="53119C36">
            <w:pPr>
              <w:pStyle w:val="33"/>
              <w:rPr>
                <w:color w:val="auto"/>
                <w:highlight w:val="none"/>
              </w:rPr>
            </w:pPr>
            <w:r>
              <w:rPr>
                <w:color w:val="auto"/>
                <w:highlight w:val="none"/>
              </w:rPr>
              <w:t>145.46</w:t>
            </w:r>
          </w:p>
        </w:tc>
      </w:tr>
      <w:tr w14:paraId="031F52C7">
        <w:tblPrEx>
          <w:tblCellMar>
            <w:top w:w="0" w:type="dxa"/>
            <w:left w:w="108" w:type="dxa"/>
            <w:bottom w:w="0" w:type="dxa"/>
            <w:right w:w="108" w:type="dxa"/>
          </w:tblCellMar>
        </w:tblPrEx>
        <w:trPr>
          <w:trHeight w:val="540" w:hRule="atLeast"/>
        </w:trPr>
        <w:tc>
          <w:tcPr>
            <w:tcW w:w="997" w:type="pct"/>
            <w:tcBorders>
              <w:top w:val="nil"/>
              <w:left w:val="single" w:color="000000" w:sz="8" w:space="0"/>
              <w:bottom w:val="single" w:color="000000" w:sz="8" w:space="0"/>
              <w:right w:val="single" w:color="000000" w:sz="8" w:space="0"/>
            </w:tcBorders>
            <w:vAlign w:val="center"/>
          </w:tcPr>
          <w:p w14:paraId="2C652D52">
            <w:pPr>
              <w:pStyle w:val="33"/>
              <w:rPr>
                <w:color w:val="auto"/>
              </w:rPr>
            </w:pPr>
            <w:r>
              <w:rPr>
                <w:color w:val="auto"/>
              </w:rPr>
              <w:t>5</w:t>
            </w:r>
          </w:p>
        </w:tc>
        <w:tc>
          <w:tcPr>
            <w:tcW w:w="999" w:type="pct"/>
            <w:vMerge w:val="continue"/>
            <w:tcBorders>
              <w:left w:val="single" w:color="000000" w:sz="8" w:space="0"/>
              <w:right w:val="single" w:color="000000" w:sz="8" w:space="0"/>
            </w:tcBorders>
            <w:vAlign w:val="center"/>
          </w:tcPr>
          <w:p w14:paraId="40887642">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4E2DA927">
            <w:pPr>
              <w:pStyle w:val="33"/>
              <w:rPr>
                <w:color w:val="auto"/>
              </w:rPr>
            </w:pPr>
            <w:r>
              <w:rPr>
                <w:rFonts w:hint="eastAsia"/>
                <w:color w:val="auto"/>
              </w:rPr>
              <w:t>氨氮（</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48BF1B94">
            <w:pPr>
              <w:pStyle w:val="33"/>
              <w:rPr>
                <w:color w:val="auto"/>
                <w:highlight w:val="none"/>
              </w:rPr>
            </w:pPr>
            <w:r>
              <w:rPr>
                <w:color w:val="auto"/>
                <w:highlight w:val="none"/>
              </w:rPr>
              <w:t>42.12</w:t>
            </w:r>
          </w:p>
        </w:tc>
        <w:tc>
          <w:tcPr>
            <w:tcW w:w="1001" w:type="pct"/>
            <w:tcBorders>
              <w:top w:val="nil"/>
              <w:left w:val="single" w:color="000000" w:sz="8" w:space="0"/>
              <w:bottom w:val="single" w:color="000000" w:sz="8" w:space="0"/>
              <w:right w:val="single" w:color="000000" w:sz="8" w:space="0"/>
            </w:tcBorders>
            <w:vAlign w:val="center"/>
          </w:tcPr>
          <w:p w14:paraId="6691D182">
            <w:pPr>
              <w:pStyle w:val="33"/>
              <w:rPr>
                <w:color w:val="auto"/>
                <w:highlight w:val="none"/>
              </w:rPr>
            </w:pPr>
            <w:r>
              <w:rPr>
                <w:color w:val="auto"/>
                <w:highlight w:val="none"/>
              </w:rPr>
              <w:t>42.12</w:t>
            </w:r>
          </w:p>
        </w:tc>
      </w:tr>
      <w:tr w14:paraId="69FDBC8B">
        <w:tblPrEx>
          <w:tblCellMar>
            <w:top w:w="0" w:type="dxa"/>
            <w:left w:w="108" w:type="dxa"/>
            <w:bottom w:w="0" w:type="dxa"/>
            <w:right w:w="108" w:type="dxa"/>
          </w:tblCellMar>
        </w:tblPrEx>
        <w:trPr>
          <w:trHeight w:val="540" w:hRule="atLeast"/>
        </w:trPr>
        <w:tc>
          <w:tcPr>
            <w:tcW w:w="997" w:type="pct"/>
            <w:tcBorders>
              <w:top w:val="nil"/>
              <w:left w:val="single" w:color="000000" w:sz="8" w:space="0"/>
              <w:bottom w:val="single" w:color="000000" w:sz="8" w:space="0"/>
              <w:right w:val="single" w:color="000000" w:sz="8" w:space="0"/>
            </w:tcBorders>
            <w:vAlign w:val="center"/>
          </w:tcPr>
          <w:p w14:paraId="63B75B02">
            <w:pPr>
              <w:pStyle w:val="33"/>
              <w:rPr>
                <w:color w:val="auto"/>
              </w:rPr>
            </w:pPr>
            <w:r>
              <w:rPr>
                <w:color w:val="auto"/>
              </w:rPr>
              <w:t>6</w:t>
            </w:r>
          </w:p>
        </w:tc>
        <w:tc>
          <w:tcPr>
            <w:tcW w:w="999" w:type="pct"/>
            <w:vMerge w:val="continue"/>
            <w:tcBorders>
              <w:left w:val="single" w:color="000000" w:sz="8" w:space="0"/>
              <w:right w:val="single" w:color="000000" w:sz="8" w:space="0"/>
            </w:tcBorders>
            <w:vAlign w:val="center"/>
          </w:tcPr>
          <w:p w14:paraId="0C2B36D8">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70E3C226">
            <w:pPr>
              <w:pStyle w:val="33"/>
              <w:rPr>
                <w:color w:val="auto"/>
              </w:rPr>
            </w:pPr>
            <w:r>
              <w:rPr>
                <w:rFonts w:hint="eastAsia"/>
                <w:color w:val="auto"/>
              </w:rPr>
              <w:t>总氮（</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6C9C2928">
            <w:pPr>
              <w:pStyle w:val="33"/>
              <w:rPr>
                <w:color w:val="auto"/>
                <w:highlight w:val="none"/>
              </w:rPr>
            </w:pPr>
            <w:r>
              <w:rPr>
                <w:color w:val="auto"/>
                <w:highlight w:val="none"/>
              </w:rPr>
              <w:t>103.15</w:t>
            </w:r>
          </w:p>
        </w:tc>
        <w:tc>
          <w:tcPr>
            <w:tcW w:w="1001" w:type="pct"/>
            <w:tcBorders>
              <w:top w:val="nil"/>
              <w:left w:val="single" w:color="000000" w:sz="8" w:space="0"/>
              <w:bottom w:val="single" w:color="000000" w:sz="8" w:space="0"/>
              <w:right w:val="single" w:color="000000" w:sz="8" w:space="0"/>
            </w:tcBorders>
            <w:vAlign w:val="center"/>
          </w:tcPr>
          <w:p w14:paraId="3DE3DF63">
            <w:pPr>
              <w:pStyle w:val="33"/>
              <w:rPr>
                <w:color w:val="auto"/>
                <w:highlight w:val="none"/>
              </w:rPr>
            </w:pPr>
            <w:r>
              <w:rPr>
                <w:color w:val="auto"/>
                <w:highlight w:val="none"/>
              </w:rPr>
              <w:t>103.15</w:t>
            </w:r>
          </w:p>
        </w:tc>
      </w:tr>
      <w:tr w14:paraId="34707271">
        <w:tblPrEx>
          <w:tblCellMar>
            <w:top w:w="0" w:type="dxa"/>
            <w:left w:w="108" w:type="dxa"/>
            <w:bottom w:w="0" w:type="dxa"/>
            <w:right w:w="108" w:type="dxa"/>
          </w:tblCellMar>
        </w:tblPrEx>
        <w:trPr>
          <w:trHeight w:val="540" w:hRule="atLeast"/>
        </w:trPr>
        <w:tc>
          <w:tcPr>
            <w:tcW w:w="997" w:type="pct"/>
            <w:tcBorders>
              <w:top w:val="nil"/>
              <w:left w:val="single" w:color="000000" w:sz="8" w:space="0"/>
              <w:bottom w:val="single" w:color="000000" w:sz="8" w:space="0"/>
              <w:right w:val="single" w:color="000000" w:sz="8" w:space="0"/>
            </w:tcBorders>
            <w:vAlign w:val="center"/>
          </w:tcPr>
          <w:p w14:paraId="463709B2">
            <w:pPr>
              <w:pStyle w:val="33"/>
              <w:rPr>
                <w:color w:val="auto"/>
              </w:rPr>
            </w:pPr>
            <w:r>
              <w:rPr>
                <w:color w:val="auto"/>
              </w:rPr>
              <w:t>7</w:t>
            </w:r>
          </w:p>
        </w:tc>
        <w:tc>
          <w:tcPr>
            <w:tcW w:w="999" w:type="pct"/>
            <w:vMerge w:val="continue"/>
            <w:tcBorders>
              <w:left w:val="single" w:color="000000" w:sz="8" w:space="0"/>
              <w:bottom w:val="single" w:color="000000" w:sz="8" w:space="0"/>
              <w:right w:val="single" w:color="000000" w:sz="8" w:space="0"/>
            </w:tcBorders>
            <w:vAlign w:val="center"/>
          </w:tcPr>
          <w:p w14:paraId="487BCC67">
            <w:pPr>
              <w:pStyle w:val="33"/>
              <w:rPr>
                <w:color w:val="auto"/>
              </w:rPr>
            </w:pPr>
          </w:p>
        </w:tc>
        <w:tc>
          <w:tcPr>
            <w:tcW w:w="1002" w:type="pct"/>
            <w:tcBorders>
              <w:top w:val="nil"/>
              <w:left w:val="single" w:color="000000" w:sz="8" w:space="0"/>
              <w:bottom w:val="single" w:color="000000" w:sz="8" w:space="0"/>
              <w:right w:val="single" w:color="000000" w:sz="8" w:space="0"/>
            </w:tcBorders>
            <w:vAlign w:val="center"/>
          </w:tcPr>
          <w:p w14:paraId="505D63FC">
            <w:pPr>
              <w:pStyle w:val="33"/>
              <w:rPr>
                <w:color w:val="auto"/>
              </w:rPr>
            </w:pPr>
            <w:r>
              <w:rPr>
                <w:rFonts w:hint="eastAsia"/>
                <w:color w:val="auto"/>
              </w:rPr>
              <w:t>总磷（</w:t>
            </w:r>
            <w:r>
              <w:rPr>
                <w:color w:val="auto"/>
              </w:rPr>
              <w:t>t/a</w:t>
            </w:r>
            <w:r>
              <w:rPr>
                <w:rFonts w:hint="eastAsia"/>
                <w:color w:val="auto"/>
              </w:rPr>
              <w:t>）</w:t>
            </w:r>
          </w:p>
        </w:tc>
        <w:tc>
          <w:tcPr>
            <w:tcW w:w="1002" w:type="pct"/>
            <w:tcBorders>
              <w:top w:val="nil"/>
              <w:left w:val="single" w:color="000000" w:sz="8" w:space="0"/>
              <w:bottom w:val="single" w:color="000000" w:sz="8" w:space="0"/>
              <w:right w:val="single" w:color="000000" w:sz="8" w:space="0"/>
            </w:tcBorders>
            <w:vAlign w:val="center"/>
          </w:tcPr>
          <w:p w14:paraId="29D188D9">
            <w:pPr>
              <w:pStyle w:val="33"/>
              <w:rPr>
                <w:color w:val="auto"/>
                <w:highlight w:val="none"/>
              </w:rPr>
            </w:pPr>
            <w:r>
              <w:rPr>
                <w:color w:val="auto"/>
                <w:highlight w:val="none"/>
              </w:rPr>
              <w:t>1.77</w:t>
            </w:r>
          </w:p>
        </w:tc>
        <w:tc>
          <w:tcPr>
            <w:tcW w:w="1001" w:type="pct"/>
            <w:tcBorders>
              <w:top w:val="nil"/>
              <w:left w:val="single" w:color="000000" w:sz="8" w:space="0"/>
              <w:bottom w:val="single" w:color="000000" w:sz="8" w:space="0"/>
              <w:right w:val="single" w:color="000000" w:sz="8" w:space="0"/>
            </w:tcBorders>
            <w:vAlign w:val="center"/>
          </w:tcPr>
          <w:p w14:paraId="667BBF8D">
            <w:pPr>
              <w:pStyle w:val="33"/>
              <w:rPr>
                <w:color w:val="auto"/>
                <w:highlight w:val="none"/>
              </w:rPr>
            </w:pPr>
            <w:r>
              <w:rPr>
                <w:color w:val="auto"/>
                <w:highlight w:val="none"/>
              </w:rPr>
              <w:t>1.77</w:t>
            </w:r>
          </w:p>
        </w:tc>
      </w:tr>
    </w:tbl>
    <w:p w14:paraId="0EB70554">
      <w:pPr>
        <w:pStyle w:val="4"/>
        <w:rPr>
          <w:color w:val="auto"/>
        </w:rPr>
      </w:pPr>
      <w:bookmarkStart w:id="481" w:name="_Toc225216794"/>
      <w:r>
        <w:rPr>
          <w:rFonts w:hint="eastAsia"/>
          <w:color w:val="auto"/>
        </w:rPr>
        <w:t>项目污水依托处理可行性分析</w:t>
      </w:r>
      <w:bookmarkEnd w:id="481"/>
    </w:p>
    <w:p w14:paraId="776985D3">
      <w:pPr>
        <w:ind w:firstLine="480"/>
        <w:rPr>
          <w:color w:val="auto"/>
        </w:rPr>
      </w:pPr>
      <w:r>
        <w:rPr>
          <w:rFonts w:hint="eastAsia"/>
          <w:color w:val="auto"/>
        </w:rPr>
        <w:t>项目目前建设有1#污水处理站、2#污水处理站、过氧化氢车间污水处理设施，1#污水处理站目前正在进行技改升级，将新建1套污水处理系统。项目目前1#污水处理站已连续运行15年，气浮池设备锈蚀、SBR曝气管道老化，拟建的该项目与在建的年产180万吨高档纸板扩建项目第二条造纸生产线和75万吨化机浆扩建项目投产后，可能导致1#污水处理站出水水质波动，因此广西金桂浆纸业有限公司决定新建3#污水处理站及配套1套中水回用设施。具体工艺与处理规模见下表所示。</w:t>
      </w:r>
    </w:p>
    <w:p w14:paraId="1BB352EA">
      <w:pPr>
        <w:pStyle w:val="7"/>
        <w:rPr>
          <w:color w:val="auto"/>
        </w:rPr>
      </w:pPr>
      <w:r>
        <w:rPr>
          <w:rFonts w:hint="eastAsia"/>
          <w:color w:val="auto"/>
        </w:rPr>
        <w:t>项目配套污水处理设施基本信息表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1"/>
        <w:gridCol w:w="1547"/>
        <w:gridCol w:w="4678"/>
        <w:gridCol w:w="840"/>
      </w:tblGrid>
      <w:tr w14:paraId="50A82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980936E">
            <w:pPr>
              <w:pStyle w:val="33"/>
              <w:rPr>
                <w:color w:val="auto"/>
              </w:rPr>
            </w:pPr>
            <w:r>
              <w:rPr>
                <w:rFonts w:hint="eastAsia"/>
                <w:color w:val="auto"/>
              </w:rPr>
              <w:t>名称</w:t>
            </w:r>
          </w:p>
        </w:tc>
        <w:tc>
          <w:tcPr>
            <w:tcW w:w="0" w:type="auto"/>
            <w:vAlign w:val="center"/>
          </w:tcPr>
          <w:p w14:paraId="64A4B42E">
            <w:pPr>
              <w:pStyle w:val="33"/>
              <w:rPr>
                <w:color w:val="auto"/>
              </w:rPr>
            </w:pPr>
            <w:r>
              <w:rPr>
                <w:rFonts w:hint="eastAsia"/>
                <w:color w:val="auto"/>
              </w:rPr>
              <w:t>处理规模（m</w:t>
            </w:r>
            <w:r>
              <w:rPr>
                <w:rFonts w:hint="eastAsia"/>
                <w:color w:val="auto"/>
                <w:vertAlign w:val="superscript"/>
              </w:rPr>
              <w:t>3</w:t>
            </w:r>
            <w:r>
              <w:rPr>
                <w:rFonts w:hint="eastAsia"/>
                <w:color w:val="auto"/>
              </w:rPr>
              <w:t>/d）</w:t>
            </w:r>
          </w:p>
        </w:tc>
        <w:tc>
          <w:tcPr>
            <w:tcW w:w="0" w:type="auto"/>
            <w:vAlign w:val="center"/>
          </w:tcPr>
          <w:p w14:paraId="1DA14505">
            <w:pPr>
              <w:pStyle w:val="33"/>
              <w:rPr>
                <w:color w:val="auto"/>
              </w:rPr>
            </w:pPr>
            <w:r>
              <w:rPr>
                <w:rFonts w:hint="eastAsia"/>
                <w:color w:val="auto"/>
              </w:rPr>
              <w:t>工艺</w:t>
            </w:r>
          </w:p>
        </w:tc>
        <w:tc>
          <w:tcPr>
            <w:tcW w:w="0" w:type="auto"/>
            <w:vAlign w:val="center"/>
          </w:tcPr>
          <w:p w14:paraId="3E940C49">
            <w:pPr>
              <w:pStyle w:val="33"/>
              <w:rPr>
                <w:color w:val="auto"/>
              </w:rPr>
            </w:pPr>
            <w:r>
              <w:rPr>
                <w:rFonts w:hint="eastAsia"/>
                <w:color w:val="auto"/>
              </w:rPr>
              <w:t>建成情况</w:t>
            </w:r>
          </w:p>
        </w:tc>
      </w:tr>
      <w:tr w14:paraId="0DCD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5EEB3C8C">
            <w:pPr>
              <w:pStyle w:val="33"/>
              <w:rPr>
                <w:color w:val="auto"/>
              </w:rPr>
            </w:pPr>
            <w:r>
              <w:rPr>
                <w:rFonts w:hint="eastAsia"/>
                <w:color w:val="auto"/>
              </w:rPr>
              <w:t>1#污水处理站</w:t>
            </w:r>
          </w:p>
        </w:tc>
        <w:tc>
          <w:tcPr>
            <w:tcW w:w="0" w:type="auto"/>
            <w:vAlign w:val="center"/>
          </w:tcPr>
          <w:p w14:paraId="017EB682">
            <w:pPr>
              <w:pStyle w:val="33"/>
              <w:rPr>
                <w:color w:val="auto"/>
              </w:rPr>
            </w:pPr>
            <w:r>
              <w:rPr>
                <w:rFonts w:hint="eastAsia"/>
                <w:color w:val="auto"/>
              </w:rPr>
              <w:t>60000</w:t>
            </w:r>
          </w:p>
        </w:tc>
        <w:tc>
          <w:tcPr>
            <w:tcW w:w="0" w:type="auto"/>
            <w:vAlign w:val="center"/>
          </w:tcPr>
          <w:p w14:paraId="752C3F10">
            <w:pPr>
              <w:pStyle w:val="33"/>
              <w:rPr>
                <w:color w:val="auto"/>
              </w:rPr>
            </w:pPr>
            <w:r>
              <w:rPr>
                <w:rFonts w:hint="eastAsia"/>
                <w:color w:val="auto"/>
              </w:rPr>
              <w:t>现有1套“格栅+絮凝沉淀</w:t>
            </w:r>
            <w:r>
              <w:rPr>
                <w:color w:val="auto"/>
              </w:rPr>
              <w:t>+</w:t>
            </w:r>
            <w:r>
              <w:rPr>
                <w:rFonts w:hint="eastAsia"/>
                <w:color w:val="auto"/>
              </w:rPr>
              <w:t>SBR</w:t>
            </w:r>
            <w:r>
              <w:rPr>
                <w:color w:val="auto"/>
              </w:rPr>
              <w:t>+</w:t>
            </w:r>
            <w:r>
              <w:rPr>
                <w:rFonts w:hint="eastAsia"/>
                <w:color w:val="auto"/>
              </w:rPr>
              <w:t>Fenton氧化/</w:t>
            </w:r>
            <w:r>
              <w:rPr>
                <w:color w:val="auto"/>
              </w:rPr>
              <w:t>高效浅层气浮</w:t>
            </w:r>
            <w:r>
              <w:rPr>
                <w:rFonts w:hint="eastAsia"/>
                <w:color w:val="auto"/>
              </w:rPr>
              <w:t>”</w:t>
            </w:r>
          </w:p>
        </w:tc>
        <w:tc>
          <w:tcPr>
            <w:tcW w:w="0" w:type="auto"/>
            <w:vAlign w:val="center"/>
          </w:tcPr>
          <w:p w14:paraId="627A6DA3">
            <w:pPr>
              <w:pStyle w:val="33"/>
              <w:rPr>
                <w:color w:val="auto"/>
              </w:rPr>
            </w:pPr>
            <w:r>
              <w:rPr>
                <w:rFonts w:hint="eastAsia"/>
                <w:color w:val="auto"/>
              </w:rPr>
              <w:t>已建</w:t>
            </w:r>
          </w:p>
        </w:tc>
      </w:tr>
      <w:tr w14:paraId="1CC58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1103B530">
            <w:pPr>
              <w:pStyle w:val="33"/>
              <w:rPr>
                <w:color w:val="auto"/>
              </w:rPr>
            </w:pPr>
          </w:p>
        </w:tc>
        <w:tc>
          <w:tcPr>
            <w:tcW w:w="0" w:type="auto"/>
            <w:vAlign w:val="center"/>
          </w:tcPr>
          <w:p w14:paraId="564AB7AC">
            <w:pPr>
              <w:pStyle w:val="33"/>
              <w:rPr>
                <w:color w:val="auto"/>
              </w:rPr>
            </w:pPr>
            <w:r>
              <w:rPr>
                <w:rFonts w:hint="eastAsia"/>
                <w:color w:val="auto"/>
              </w:rPr>
              <w:t>21000</w:t>
            </w:r>
          </w:p>
        </w:tc>
        <w:tc>
          <w:tcPr>
            <w:tcW w:w="0" w:type="auto"/>
            <w:vAlign w:val="center"/>
          </w:tcPr>
          <w:p w14:paraId="0B751508">
            <w:pPr>
              <w:pStyle w:val="33"/>
              <w:rPr>
                <w:color w:val="auto"/>
              </w:rPr>
            </w:pPr>
            <w:r>
              <w:rPr>
                <w:rFonts w:hint="eastAsia"/>
                <w:color w:val="auto"/>
              </w:rPr>
              <w:t>“格栅+气浮+絮凝沉淀+UMAR厌氧反应器+二级AO+Fenton氧化”</w:t>
            </w:r>
          </w:p>
        </w:tc>
        <w:tc>
          <w:tcPr>
            <w:tcW w:w="0" w:type="auto"/>
            <w:vAlign w:val="center"/>
          </w:tcPr>
          <w:p w14:paraId="25B49BB1">
            <w:pPr>
              <w:pStyle w:val="33"/>
              <w:rPr>
                <w:color w:val="auto"/>
              </w:rPr>
            </w:pPr>
            <w:r>
              <w:rPr>
                <w:rFonts w:hint="eastAsia"/>
                <w:color w:val="auto"/>
              </w:rPr>
              <w:t>已批在建</w:t>
            </w:r>
          </w:p>
        </w:tc>
      </w:tr>
      <w:tr w14:paraId="42315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0CDDEFA9">
            <w:pPr>
              <w:pStyle w:val="33"/>
              <w:rPr>
                <w:color w:val="auto"/>
              </w:rPr>
            </w:pPr>
            <w:r>
              <w:rPr>
                <w:rFonts w:hint="eastAsia"/>
                <w:color w:val="auto"/>
              </w:rPr>
              <w:t>2#污水处理站</w:t>
            </w:r>
          </w:p>
        </w:tc>
        <w:tc>
          <w:tcPr>
            <w:tcW w:w="0" w:type="auto"/>
            <w:vAlign w:val="center"/>
          </w:tcPr>
          <w:p w14:paraId="393FD5E6">
            <w:pPr>
              <w:pStyle w:val="33"/>
              <w:rPr>
                <w:color w:val="auto"/>
              </w:rPr>
            </w:pPr>
            <w:r>
              <w:rPr>
                <w:rFonts w:hint="eastAsia"/>
                <w:color w:val="auto"/>
              </w:rPr>
              <w:t>45000</w:t>
            </w:r>
          </w:p>
        </w:tc>
        <w:tc>
          <w:tcPr>
            <w:tcW w:w="0" w:type="auto"/>
            <w:vAlign w:val="center"/>
          </w:tcPr>
          <w:p w14:paraId="60FDB889">
            <w:pPr>
              <w:pStyle w:val="33"/>
              <w:rPr>
                <w:color w:val="auto"/>
              </w:rPr>
            </w:pPr>
            <w:r>
              <w:rPr>
                <w:rFonts w:hint="eastAsia"/>
                <w:color w:val="auto"/>
              </w:rPr>
              <w:t>“絮凝沉淀+A/O+混凝沉淀/芬顿工艺”</w:t>
            </w:r>
          </w:p>
        </w:tc>
        <w:tc>
          <w:tcPr>
            <w:tcW w:w="0" w:type="auto"/>
            <w:vAlign w:val="center"/>
          </w:tcPr>
          <w:p w14:paraId="2EA31A36">
            <w:pPr>
              <w:pStyle w:val="33"/>
              <w:rPr>
                <w:color w:val="auto"/>
              </w:rPr>
            </w:pPr>
            <w:r>
              <w:rPr>
                <w:rFonts w:hint="eastAsia"/>
                <w:color w:val="auto"/>
              </w:rPr>
              <w:t>已建</w:t>
            </w:r>
          </w:p>
        </w:tc>
      </w:tr>
      <w:tr w14:paraId="08103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8DE9DE9">
            <w:pPr>
              <w:pStyle w:val="33"/>
              <w:rPr>
                <w:color w:val="auto"/>
              </w:rPr>
            </w:pPr>
            <w:r>
              <w:rPr>
                <w:rFonts w:hint="eastAsia"/>
                <w:color w:val="auto"/>
              </w:rPr>
              <w:t>过氧化氢地埋式废水预处理设施</w:t>
            </w:r>
          </w:p>
        </w:tc>
        <w:tc>
          <w:tcPr>
            <w:tcW w:w="0" w:type="auto"/>
            <w:vAlign w:val="center"/>
          </w:tcPr>
          <w:p w14:paraId="0F5CF307">
            <w:pPr>
              <w:pStyle w:val="33"/>
              <w:rPr>
                <w:color w:val="auto"/>
              </w:rPr>
            </w:pPr>
            <w:r>
              <w:rPr>
                <w:rFonts w:hint="eastAsia"/>
                <w:color w:val="auto"/>
              </w:rPr>
              <w:t>200</w:t>
            </w:r>
          </w:p>
        </w:tc>
        <w:tc>
          <w:tcPr>
            <w:tcW w:w="0" w:type="auto"/>
            <w:vAlign w:val="center"/>
          </w:tcPr>
          <w:p w14:paraId="7BE3FEEC">
            <w:pPr>
              <w:pStyle w:val="33"/>
              <w:rPr>
                <w:color w:val="auto"/>
              </w:rPr>
            </w:pPr>
            <w:r>
              <w:rPr>
                <w:color w:val="auto"/>
                <w:spacing w:val="-1"/>
                <w:szCs w:val="21"/>
              </w:rPr>
              <w:t>“隔油</w:t>
            </w:r>
            <w:r>
              <w:rPr>
                <w:rFonts w:eastAsia="Times New Roman"/>
                <w:color w:val="auto"/>
                <w:spacing w:val="-1"/>
                <w:szCs w:val="21"/>
              </w:rPr>
              <w:t>+</w:t>
            </w:r>
            <w:r>
              <w:rPr>
                <w:color w:val="auto"/>
                <w:spacing w:val="-1"/>
                <w:szCs w:val="21"/>
              </w:rPr>
              <w:t>芬顿</w:t>
            </w:r>
            <w:r>
              <w:rPr>
                <w:rFonts w:eastAsia="Times New Roman"/>
                <w:color w:val="auto"/>
                <w:spacing w:val="-1"/>
                <w:szCs w:val="21"/>
              </w:rPr>
              <w:t>+</w:t>
            </w:r>
            <w:r>
              <w:rPr>
                <w:color w:val="auto"/>
                <w:spacing w:val="-1"/>
                <w:szCs w:val="21"/>
              </w:rPr>
              <w:t>絮凝沉淀”</w:t>
            </w:r>
          </w:p>
        </w:tc>
        <w:tc>
          <w:tcPr>
            <w:tcW w:w="0" w:type="auto"/>
            <w:vAlign w:val="center"/>
          </w:tcPr>
          <w:p w14:paraId="451314C2">
            <w:pPr>
              <w:pStyle w:val="33"/>
              <w:rPr>
                <w:color w:val="auto"/>
              </w:rPr>
            </w:pPr>
            <w:r>
              <w:rPr>
                <w:rFonts w:hint="eastAsia"/>
                <w:color w:val="auto"/>
              </w:rPr>
              <w:t>已建</w:t>
            </w:r>
          </w:p>
        </w:tc>
      </w:tr>
      <w:tr w14:paraId="20A44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7025E494">
            <w:pPr>
              <w:pStyle w:val="33"/>
              <w:rPr>
                <w:color w:val="auto"/>
              </w:rPr>
            </w:pPr>
            <w:r>
              <w:rPr>
                <w:rFonts w:hint="eastAsia"/>
                <w:color w:val="auto"/>
              </w:rPr>
              <w:t>3#污水处理站</w:t>
            </w:r>
          </w:p>
        </w:tc>
        <w:tc>
          <w:tcPr>
            <w:tcW w:w="0" w:type="auto"/>
            <w:vAlign w:val="center"/>
          </w:tcPr>
          <w:p w14:paraId="78BEF108">
            <w:pPr>
              <w:pStyle w:val="33"/>
              <w:rPr>
                <w:color w:val="auto"/>
              </w:rPr>
            </w:pPr>
            <w:r>
              <w:rPr>
                <w:rFonts w:hint="eastAsia"/>
                <w:color w:val="auto"/>
              </w:rPr>
              <w:t>20000</w:t>
            </w:r>
          </w:p>
        </w:tc>
        <w:tc>
          <w:tcPr>
            <w:tcW w:w="0" w:type="auto"/>
            <w:vAlign w:val="center"/>
          </w:tcPr>
          <w:p w14:paraId="5031B611">
            <w:pPr>
              <w:pStyle w:val="33"/>
              <w:rPr>
                <w:color w:val="auto"/>
              </w:rPr>
            </w:pPr>
            <w:r>
              <w:rPr>
                <w:rFonts w:hint="eastAsia"/>
                <w:color w:val="auto"/>
              </w:rPr>
              <w:t>“混凝沉淀+A/O+混凝沉淀”</w:t>
            </w:r>
          </w:p>
        </w:tc>
        <w:tc>
          <w:tcPr>
            <w:tcW w:w="0" w:type="auto"/>
            <w:vAlign w:val="center"/>
          </w:tcPr>
          <w:p w14:paraId="2FC48162">
            <w:pPr>
              <w:pStyle w:val="33"/>
              <w:rPr>
                <w:color w:val="auto"/>
              </w:rPr>
            </w:pPr>
            <w:r>
              <w:rPr>
                <w:rFonts w:hint="eastAsia"/>
                <w:color w:val="auto"/>
              </w:rPr>
              <w:t>新建</w:t>
            </w:r>
          </w:p>
        </w:tc>
      </w:tr>
      <w:tr w14:paraId="45FDA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59D8FE50">
            <w:pPr>
              <w:pStyle w:val="33"/>
              <w:rPr>
                <w:color w:val="auto"/>
              </w:rPr>
            </w:pPr>
            <w:r>
              <w:rPr>
                <w:rFonts w:hint="eastAsia"/>
                <w:color w:val="auto"/>
              </w:rPr>
              <w:t>中水回用系统</w:t>
            </w:r>
          </w:p>
        </w:tc>
        <w:tc>
          <w:tcPr>
            <w:tcW w:w="0" w:type="auto"/>
            <w:vAlign w:val="center"/>
          </w:tcPr>
          <w:p w14:paraId="74A130D4">
            <w:pPr>
              <w:pStyle w:val="33"/>
              <w:rPr>
                <w:color w:val="auto"/>
              </w:rPr>
            </w:pPr>
            <w:r>
              <w:rPr>
                <w:rFonts w:hint="eastAsia"/>
                <w:color w:val="auto"/>
              </w:rPr>
              <w:t>5000</w:t>
            </w:r>
          </w:p>
        </w:tc>
        <w:tc>
          <w:tcPr>
            <w:tcW w:w="0" w:type="auto"/>
            <w:vAlign w:val="center"/>
          </w:tcPr>
          <w:p w14:paraId="66DB3930">
            <w:pPr>
              <w:pStyle w:val="33"/>
              <w:rPr>
                <w:color w:val="auto"/>
              </w:rPr>
            </w:pPr>
            <w:r>
              <w:rPr>
                <w:rFonts w:hint="eastAsia"/>
                <w:color w:val="auto"/>
                <w:spacing w:val="-2"/>
                <w:szCs w:val="21"/>
              </w:rPr>
              <w:t>“</w:t>
            </w:r>
            <w:r>
              <w:rPr>
                <w:color w:val="auto"/>
                <w:spacing w:val="-2"/>
                <w:szCs w:val="21"/>
              </w:rPr>
              <w:t>高密度澄清池</w:t>
            </w:r>
            <w:r>
              <w:rPr>
                <w:rFonts w:hint="eastAsia"/>
                <w:color w:val="auto"/>
                <w:spacing w:val="-2"/>
                <w:szCs w:val="21"/>
              </w:rPr>
              <w:t>+</w:t>
            </w:r>
            <w:r>
              <w:rPr>
                <w:color w:val="auto"/>
                <w:spacing w:val="-2"/>
                <w:szCs w:val="21"/>
              </w:rPr>
              <w:t>多介质过滤</w:t>
            </w:r>
            <w:r>
              <w:rPr>
                <w:rFonts w:hint="eastAsia"/>
                <w:color w:val="auto"/>
                <w:spacing w:val="-2"/>
                <w:szCs w:val="21"/>
              </w:rPr>
              <w:t>”</w:t>
            </w:r>
          </w:p>
        </w:tc>
        <w:tc>
          <w:tcPr>
            <w:tcW w:w="0" w:type="auto"/>
            <w:vAlign w:val="center"/>
          </w:tcPr>
          <w:p w14:paraId="0F979A0D">
            <w:pPr>
              <w:pStyle w:val="33"/>
              <w:rPr>
                <w:color w:val="auto"/>
              </w:rPr>
            </w:pPr>
            <w:r>
              <w:rPr>
                <w:rFonts w:hint="eastAsia"/>
                <w:color w:val="auto"/>
              </w:rPr>
              <w:t>新建</w:t>
            </w:r>
          </w:p>
        </w:tc>
      </w:tr>
      <w:tr w14:paraId="0FD4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436D295D">
            <w:pPr>
              <w:pStyle w:val="33"/>
              <w:rPr>
                <w:color w:val="auto"/>
              </w:rPr>
            </w:pPr>
            <w:r>
              <w:rPr>
                <w:rFonts w:hint="eastAsia"/>
                <w:color w:val="auto"/>
              </w:rPr>
              <w:t>丁苯乳胶生产线污水处理站</w:t>
            </w:r>
          </w:p>
        </w:tc>
        <w:tc>
          <w:tcPr>
            <w:tcW w:w="0" w:type="auto"/>
            <w:vAlign w:val="center"/>
          </w:tcPr>
          <w:p w14:paraId="4DD8A5DB">
            <w:pPr>
              <w:pStyle w:val="33"/>
              <w:rPr>
                <w:color w:val="auto"/>
              </w:rPr>
            </w:pPr>
            <w:r>
              <w:rPr>
                <w:rFonts w:hint="eastAsia"/>
                <w:color w:val="auto"/>
              </w:rPr>
              <w:t>600</w:t>
            </w:r>
          </w:p>
        </w:tc>
        <w:tc>
          <w:tcPr>
            <w:tcW w:w="0" w:type="auto"/>
            <w:vAlign w:val="center"/>
          </w:tcPr>
          <w:p w14:paraId="0B5FB0EE">
            <w:pPr>
              <w:pStyle w:val="33"/>
              <w:rPr>
                <w:color w:val="auto"/>
                <w:spacing w:val="-2"/>
                <w:szCs w:val="21"/>
              </w:rPr>
            </w:pPr>
            <w:r>
              <w:rPr>
                <w:rFonts w:hint="eastAsia"/>
                <w:color w:val="auto"/>
                <w:spacing w:val="-2"/>
                <w:szCs w:val="21"/>
              </w:rPr>
              <w:t>“调节+芬顿+厌氧+好氧+好氧生化+沉淀”</w:t>
            </w:r>
          </w:p>
        </w:tc>
        <w:tc>
          <w:tcPr>
            <w:tcW w:w="0" w:type="auto"/>
            <w:vAlign w:val="center"/>
          </w:tcPr>
          <w:p w14:paraId="7113634A">
            <w:pPr>
              <w:pStyle w:val="33"/>
              <w:rPr>
                <w:color w:val="auto"/>
              </w:rPr>
            </w:pPr>
            <w:r>
              <w:rPr>
                <w:rFonts w:hint="eastAsia"/>
                <w:color w:val="auto"/>
              </w:rPr>
              <w:t>在建</w:t>
            </w:r>
          </w:p>
        </w:tc>
      </w:tr>
    </w:tbl>
    <w:p w14:paraId="3DE065AA">
      <w:pPr>
        <w:ind w:firstLine="480"/>
        <w:rPr>
          <w:color w:val="auto"/>
        </w:rPr>
      </w:pPr>
      <w:r>
        <w:rPr>
          <w:rFonts w:hint="eastAsia"/>
          <w:color w:val="auto"/>
        </w:rPr>
        <w:t>（1）回用水量可行性分析</w:t>
      </w:r>
    </w:p>
    <w:p w14:paraId="64A8F8AE">
      <w:pPr>
        <w:ind w:firstLine="480"/>
        <w:rPr>
          <w:color w:val="auto"/>
        </w:rPr>
      </w:pPr>
      <w:r>
        <w:rPr>
          <w:rFonts w:hint="eastAsia"/>
          <w:color w:val="auto"/>
        </w:rPr>
        <w:t>项目完工后，全厂废水排放量89528.36m</w:t>
      </w:r>
      <w:r>
        <w:rPr>
          <w:rFonts w:hint="eastAsia"/>
          <w:color w:val="auto"/>
          <w:vertAlign w:val="superscript"/>
        </w:rPr>
        <w:t>3</w:t>
      </w:r>
      <w:r>
        <w:rPr>
          <w:rFonts w:hint="eastAsia"/>
          <w:color w:val="auto"/>
        </w:rPr>
        <w:t>/d，新增排水3677.77m</w:t>
      </w:r>
      <w:r>
        <w:rPr>
          <w:rFonts w:hint="eastAsia"/>
          <w:color w:val="auto"/>
          <w:vertAlign w:val="superscript"/>
        </w:rPr>
        <w:t>3</w:t>
      </w:r>
      <w:r>
        <w:rPr>
          <w:rFonts w:hint="eastAsia"/>
          <w:color w:val="auto"/>
        </w:rPr>
        <w:t>/d，新增回用水3677.77m</w:t>
      </w:r>
      <w:r>
        <w:rPr>
          <w:rFonts w:hint="eastAsia"/>
          <w:color w:val="auto"/>
          <w:vertAlign w:val="superscript"/>
        </w:rPr>
        <w:t>3</w:t>
      </w:r>
      <w:r>
        <w:rPr>
          <w:rFonts w:hint="eastAsia"/>
          <w:color w:val="auto"/>
        </w:rPr>
        <w:t>/d。3#污水处理站完工后企业污水处理站的处理规模可达到146000m</w:t>
      </w:r>
      <w:r>
        <w:rPr>
          <w:rFonts w:hint="eastAsia"/>
          <w:color w:val="auto"/>
          <w:vertAlign w:val="superscript"/>
        </w:rPr>
        <w:t>3</w:t>
      </w:r>
      <w:r>
        <w:rPr>
          <w:rFonts w:hint="eastAsia"/>
          <w:color w:val="auto"/>
        </w:rPr>
        <w:t>/d，处理规模满足企业需求。</w:t>
      </w:r>
    </w:p>
    <w:p w14:paraId="415927D1">
      <w:pPr>
        <w:ind w:firstLine="480"/>
        <w:rPr>
          <w:color w:val="auto"/>
        </w:rPr>
      </w:pPr>
      <w:r>
        <w:rPr>
          <w:rFonts w:hint="eastAsia"/>
          <w:color w:val="auto"/>
        </w:rPr>
        <w:t>（2）依托处理工艺可行性分析</w:t>
      </w:r>
    </w:p>
    <w:p w14:paraId="64962C97">
      <w:pPr>
        <w:numPr>
          <w:ilvl w:val="255"/>
          <w:numId w:val="0"/>
        </w:numPr>
        <w:adjustRightInd w:val="0"/>
        <w:snapToGrid w:val="0"/>
        <w:ind w:firstLine="480" w:firstLineChars="200"/>
        <w:rPr>
          <w:color w:val="auto"/>
        </w:rPr>
      </w:pPr>
      <w:r>
        <w:rPr>
          <w:color w:val="auto"/>
        </w:rPr>
        <w:t xml:space="preserve">1. </w:t>
      </w:r>
      <w:r>
        <w:rPr>
          <w:rFonts w:hint="eastAsia"/>
          <w:color w:val="auto"/>
        </w:rPr>
        <w:t>现有工程</w:t>
      </w:r>
      <w:r>
        <w:rPr>
          <w:bCs/>
          <w:color w:val="auto"/>
        </w:rPr>
        <w:t>1#</w:t>
      </w:r>
      <w:r>
        <w:rPr>
          <w:rFonts w:hint="eastAsia"/>
          <w:bCs/>
          <w:color w:val="auto"/>
        </w:rPr>
        <w:t>污水处理站工艺流程</w:t>
      </w:r>
    </w:p>
    <w:p w14:paraId="7039859A">
      <w:pPr>
        <w:numPr>
          <w:ilvl w:val="255"/>
          <w:numId w:val="0"/>
        </w:numPr>
        <w:adjustRightInd w:val="0"/>
        <w:snapToGrid w:val="0"/>
        <w:ind w:firstLine="480" w:firstLineChars="200"/>
        <w:rPr>
          <w:bCs/>
          <w:color w:val="auto"/>
        </w:rPr>
      </w:pPr>
      <w:r>
        <w:rPr>
          <w:bCs/>
          <w:color w:val="auto"/>
        </w:rPr>
        <w:t>1#</w:t>
      </w:r>
      <w:r>
        <w:rPr>
          <w:rFonts w:hint="eastAsia"/>
          <w:bCs/>
          <w:color w:val="auto"/>
        </w:rPr>
        <w:t>污水处理站设计处理规模现有</w:t>
      </w:r>
      <w:r>
        <w:rPr>
          <w:bCs/>
          <w:color w:val="auto"/>
        </w:rPr>
        <w:t>1</w:t>
      </w:r>
      <w:r>
        <w:rPr>
          <w:rFonts w:hint="eastAsia"/>
          <w:bCs/>
          <w:color w:val="auto"/>
        </w:rPr>
        <w:t>套污水处理设备，采用工艺为“</w:t>
      </w:r>
      <w:r>
        <w:rPr>
          <w:rFonts w:hint="eastAsia"/>
          <w:color w:val="auto"/>
          <w:kern w:val="0"/>
          <w:lang w:bidi="ar"/>
        </w:rPr>
        <w:t>预处理（格栅</w:t>
      </w:r>
      <w:r>
        <w:rPr>
          <w:color w:val="auto"/>
          <w:kern w:val="0"/>
          <w:lang w:bidi="ar"/>
        </w:rPr>
        <w:t>+</w:t>
      </w:r>
      <w:r>
        <w:rPr>
          <w:rFonts w:hint="eastAsia"/>
          <w:color w:val="auto"/>
          <w:kern w:val="0"/>
          <w:lang w:bidi="ar"/>
        </w:rPr>
        <w:t>絮凝沉淀）</w:t>
      </w:r>
      <w:r>
        <w:rPr>
          <w:color w:val="auto"/>
          <w:kern w:val="0"/>
          <w:lang w:bidi="ar"/>
        </w:rPr>
        <w:t>+</w:t>
      </w:r>
      <w:r>
        <w:rPr>
          <w:rFonts w:hint="eastAsia"/>
          <w:color w:val="auto"/>
          <w:kern w:val="0"/>
          <w:lang w:bidi="ar"/>
        </w:rPr>
        <w:t>好氧处理（</w:t>
      </w:r>
      <w:r>
        <w:rPr>
          <w:rFonts w:hint="eastAsia"/>
          <w:color w:val="auto"/>
        </w:rPr>
        <w:t>序批式活性污泥法</w:t>
      </w:r>
      <w:r>
        <w:rPr>
          <w:rFonts w:hint="eastAsia"/>
          <w:color w:val="auto"/>
          <w:kern w:val="0"/>
          <w:lang w:bidi="ar"/>
        </w:rPr>
        <w:t>工艺（</w:t>
      </w:r>
      <w:r>
        <w:rPr>
          <w:color w:val="auto"/>
          <w:kern w:val="0"/>
          <w:lang w:bidi="ar"/>
        </w:rPr>
        <w:t>SBR</w:t>
      </w:r>
      <w:r>
        <w:rPr>
          <w:rFonts w:hint="eastAsia"/>
          <w:color w:val="auto"/>
          <w:kern w:val="0"/>
          <w:lang w:bidi="ar"/>
        </w:rPr>
        <w:t>））</w:t>
      </w:r>
      <w:r>
        <w:rPr>
          <w:color w:val="auto"/>
          <w:kern w:val="0"/>
          <w:lang w:bidi="ar"/>
        </w:rPr>
        <w:t>+</w:t>
      </w:r>
      <w:r>
        <w:rPr>
          <w:rFonts w:hint="eastAsia"/>
          <w:color w:val="auto"/>
          <w:kern w:val="0"/>
          <w:lang w:bidi="ar"/>
        </w:rPr>
        <w:t>深度处理（</w:t>
      </w:r>
      <w:r>
        <w:rPr>
          <w:color w:val="auto"/>
          <w:kern w:val="0"/>
          <w:lang w:bidi="ar"/>
        </w:rPr>
        <w:t>Fenton</w:t>
      </w:r>
      <w:r>
        <w:rPr>
          <w:rFonts w:hint="eastAsia"/>
          <w:color w:val="auto"/>
          <w:kern w:val="0"/>
          <w:lang w:bidi="ar"/>
        </w:rPr>
        <w:t>氧化）</w:t>
      </w:r>
      <w:r>
        <w:rPr>
          <w:color w:val="auto"/>
          <w:kern w:val="0"/>
          <w:lang w:bidi="ar"/>
        </w:rPr>
        <w:t>/</w:t>
      </w:r>
      <w:r>
        <w:rPr>
          <w:rFonts w:hint="eastAsia"/>
          <w:color w:val="auto"/>
          <w:kern w:val="0"/>
          <w:lang w:bidi="ar"/>
        </w:rPr>
        <w:t>高效浅层气浮</w:t>
      </w:r>
      <w:r>
        <w:rPr>
          <w:rFonts w:hint="eastAsia"/>
          <w:bCs/>
          <w:color w:val="auto"/>
        </w:rPr>
        <w:t>”。</w:t>
      </w:r>
    </w:p>
    <w:p w14:paraId="69C76299">
      <w:pPr>
        <w:ind w:firstLine="480"/>
        <w:rPr>
          <w:color w:val="auto"/>
        </w:rPr>
      </w:pPr>
      <w:r>
        <w:rPr>
          <w:rFonts w:hint="eastAsia"/>
          <w:color w:val="auto"/>
        </w:rPr>
        <w:t>①一级预处理系统</w:t>
      </w:r>
    </w:p>
    <w:p w14:paraId="211E78F3">
      <w:pPr>
        <w:ind w:firstLine="480"/>
        <w:rPr>
          <w:color w:val="auto"/>
        </w:rPr>
      </w:pPr>
      <w:r>
        <w:rPr>
          <w:rFonts w:hint="eastAsia"/>
          <w:color w:val="auto"/>
        </w:rPr>
        <w:t>生产污水经过格栅去除大颗粒悬浮物，然后自流进入集水调节池均化水质，经污水泵提升至高速过滤机后进入絮凝池进一步将污水中的悬浮物絮凝沉淀，随后流入初沉池，并在初沉池完成固液分离。初沉池出水经冷却塔进水泵提升至冷却塔，污水降温后进入</w:t>
      </w:r>
      <w:r>
        <w:rPr>
          <w:color w:val="auto"/>
        </w:rPr>
        <w:t>SBR</w:t>
      </w:r>
      <w:r>
        <w:rPr>
          <w:rFonts w:hint="eastAsia"/>
          <w:color w:val="auto"/>
        </w:rPr>
        <w:t>反应池。</w:t>
      </w:r>
    </w:p>
    <w:p w14:paraId="2912D54D">
      <w:pPr>
        <w:numPr>
          <w:ilvl w:val="255"/>
          <w:numId w:val="0"/>
        </w:numPr>
        <w:ind w:firstLine="480" w:firstLineChars="200"/>
        <w:rPr>
          <w:color w:val="auto"/>
        </w:rPr>
      </w:pPr>
      <w:r>
        <w:rPr>
          <w:rFonts w:hint="eastAsia"/>
          <w:color w:val="auto"/>
        </w:rPr>
        <w:t>②二级生化处理系统</w:t>
      </w:r>
    </w:p>
    <w:p w14:paraId="528DA857">
      <w:pPr>
        <w:numPr>
          <w:ilvl w:val="255"/>
          <w:numId w:val="0"/>
        </w:numPr>
        <w:ind w:firstLine="480" w:firstLineChars="200"/>
        <w:rPr>
          <w:color w:val="auto"/>
        </w:rPr>
      </w:pPr>
      <w:r>
        <w:rPr>
          <w:rFonts w:hint="eastAsia"/>
          <w:color w:val="auto"/>
        </w:rPr>
        <w:t>二级生化处理系统采用</w:t>
      </w:r>
      <w:r>
        <w:rPr>
          <w:color w:val="auto"/>
        </w:rPr>
        <w:t>SBR</w:t>
      </w:r>
      <w:r>
        <w:rPr>
          <w:rFonts w:hint="eastAsia"/>
          <w:color w:val="auto"/>
        </w:rPr>
        <w:t>法，称为间歇式活性污泥法，在</w:t>
      </w:r>
      <w:r>
        <w:rPr>
          <w:color w:val="auto"/>
        </w:rPr>
        <w:t>SBR</w:t>
      </w:r>
      <w:r>
        <w:rPr>
          <w:rFonts w:hint="eastAsia"/>
          <w:color w:val="auto"/>
        </w:rPr>
        <w:t>池完成进水、曝气反应、沉淀、排水、排泥等过程。</w:t>
      </w:r>
      <w:r>
        <w:rPr>
          <w:color w:val="auto"/>
        </w:rPr>
        <w:t>SBR</w:t>
      </w:r>
      <w:r>
        <w:rPr>
          <w:rFonts w:hint="eastAsia"/>
          <w:color w:val="auto"/>
        </w:rPr>
        <w:t>池出水后进入二沉池。</w:t>
      </w:r>
    </w:p>
    <w:p w14:paraId="1F7FE261">
      <w:pPr>
        <w:numPr>
          <w:ilvl w:val="255"/>
          <w:numId w:val="0"/>
        </w:numPr>
        <w:ind w:firstLine="480" w:firstLineChars="200"/>
        <w:rPr>
          <w:color w:val="auto"/>
        </w:rPr>
      </w:pPr>
      <w:r>
        <w:rPr>
          <w:rFonts w:hint="eastAsia"/>
          <w:color w:val="auto"/>
        </w:rPr>
        <w:t>③深度处理系统</w:t>
      </w:r>
    </w:p>
    <w:p w14:paraId="081C75BD">
      <w:pPr>
        <w:ind w:firstLine="480"/>
        <w:rPr>
          <w:color w:val="auto"/>
        </w:rPr>
      </w:pPr>
      <w:r>
        <w:rPr>
          <w:color w:val="auto"/>
        </w:rPr>
        <w:t>1#</w:t>
      </w:r>
      <w:r>
        <w:rPr>
          <w:rFonts w:hint="eastAsia"/>
          <w:color w:val="auto"/>
        </w:rPr>
        <w:t>污水处理站采用两套深度处理工艺，当</w:t>
      </w:r>
      <w:r>
        <w:rPr>
          <w:color w:val="auto"/>
        </w:rPr>
        <w:t>SBR</w:t>
      </w:r>
      <w:r>
        <w:rPr>
          <w:rFonts w:hint="eastAsia"/>
          <w:color w:val="auto"/>
        </w:rPr>
        <w:t>出水池</w:t>
      </w:r>
      <w:r>
        <w:rPr>
          <w:color w:val="auto"/>
        </w:rPr>
        <w:t>COD</w:t>
      </w:r>
      <w:r>
        <w:rPr>
          <w:rFonts w:hint="eastAsia"/>
          <w:color w:val="auto"/>
        </w:rPr>
        <w:t>＜</w:t>
      </w:r>
      <w:r>
        <w:rPr>
          <w:color w:val="auto"/>
        </w:rPr>
        <w:t>100mg/L</w:t>
      </w:r>
      <w:r>
        <w:rPr>
          <w:rFonts w:hint="eastAsia"/>
          <w:color w:val="auto"/>
        </w:rPr>
        <w:t>时，进入三级反应池，在三级反应池内进行混凝沉淀后，再进入三级深度处理工段，深度处理工艺采用高效浅层气浮法。当</w:t>
      </w:r>
      <w:r>
        <w:rPr>
          <w:color w:val="auto"/>
        </w:rPr>
        <w:t>SBR</w:t>
      </w:r>
      <w:r>
        <w:rPr>
          <w:rFonts w:hint="eastAsia"/>
          <w:color w:val="auto"/>
        </w:rPr>
        <w:t>出水池</w:t>
      </w:r>
      <w:r>
        <w:rPr>
          <w:color w:val="auto"/>
        </w:rPr>
        <w:t>COD</w:t>
      </w:r>
      <w:r>
        <w:rPr>
          <w:rFonts w:hint="eastAsia"/>
          <w:color w:val="auto"/>
        </w:rPr>
        <w:t>＞</w:t>
      </w:r>
      <w:r>
        <w:rPr>
          <w:color w:val="auto"/>
        </w:rPr>
        <w:t>100mg/L</w:t>
      </w:r>
      <w:r>
        <w:rPr>
          <w:rFonts w:hint="eastAsia"/>
          <w:color w:val="auto"/>
        </w:rPr>
        <w:t>时，则进入</w:t>
      </w:r>
      <w:r>
        <w:rPr>
          <w:color w:val="auto"/>
        </w:rPr>
        <w:t>2#</w:t>
      </w:r>
      <w:r>
        <w:rPr>
          <w:rFonts w:hint="eastAsia"/>
          <w:color w:val="auto"/>
        </w:rPr>
        <w:t>污水处理站内现有芬顿处理系统配套中间水池，之后进入现有工程芬顿反应系统处理，经过芬顿系统处理的污水回到高效浅层气浮系统处理完后达标排放。</w:t>
      </w:r>
    </w:p>
    <w:p w14:paraId="46DD869C">
      <w:pPr>
        <w:ind w:firstLine="480"/>
        <w:rPr>
          <w:color w:val="auto"/>
        </w:rPr>
      </w:pPr>
      <w:r>
        <w:rPr>
          <w:rFonts w:hint="eastAsia"/>
          <w:color w:val="auto"/>
        </w:rPr>
        <w:t>④污泥处置系统</w:t>
      </w:r>
    </w:p>
    <w:p w14:paraId="3B81FC4B">
      <w:pPr>
        <w:widowControl/>
        <w:ind w:firstLine="480"/>
        <w:jc w:val="left"/>
        <w:rPr>
          <w:color w:val="auto"/>
        </w:rPr>
      </w:pPr>
      <w:r>
        <w:rPr>
          <w:rFonts w:hint="eastAsia"/>
          <w:color w:val="auto"/>
        </w:rPr>
        <w:t>初沉池浮渣和</w:t>
      </w:r>
      <w:r>
        <w:rPr>
          <w:color w:val="auto"/>
        </w:rPr>
        <w:t>SBR</w:t>
      </w:r>
      <w:r>
        <w:rPr>
          <w:rFonts w:hint="eastAsia"/>
          <w:color w:val="auto"/>
        </w:rPr>
        <w:t>生物污泥经重力浓缩后，由泵提升到污泥混合池，浓缩池上清液回流至调节池；滤渣、初沉池污泥、气浮浮渣直接进入污泥混合池，经混合后的污泥由污泥进料泵提升至污泥脱水机脱水，污泥脱水间产生的压滤液回流至调节池，干泥送热电站锅炉做燃料，</w:t>
      </w:r>
      <w:r>
        <w:rPr>
          <w:rFonts w:hint="eastAsia"/>
          <w:color w:val="auto"/>
          <w:kern w:val="0"/>
          <w:lang w:bidi="ar"/>
        </w:rPr>
        <w:t>剩余部分外售广西田东力源宝科技有限公司用作生态肥料</w:t>
      </w:r>
      <w:r>
        <w:rPr>
          <w:rFonts w:hint="eastAsia"/>
          <w:color w:val="auto"/>
        </w:rPr>
        <w:t>。</w:t>
      </w:r>
    </w:p>
    <w:p w14:paraId="04B89920">
      <w:pPr>
        <w:widowControl/>
        <w:ind w:firstLine="480"/>
        <w:jc w:val="left"/>
        <w:rPr>
          <w:color w:val="auto"/>
        </w:rPr>
      </w:pPr>
      <w:r>
        <w:rPr>
          <w:rFonts w:hint="eastAsia"/>
          <w:color w:val="auto"/>
        </w:rPr>
        <w:t>⑤臭气处理系统</w:t>
      </w:r>
    </w:p>
    <w:p w14:paraId="38D705DD">
      <w:pPr>
        <w:widowControl/>
        <w:ind w:firstLine="480"/>
        <w:jc w:val="left"/>
        <w:rPr>
          <w:color w:val="auto"/>
          <w:kern w:val="0"/>
          <w:lang w:bidi="ar"/>
        </w:rPr>
      </w:pPr>
      <w:r>
        <w:rPr>
          <w:color w:val="auto"/>
          <w:kern w:val="0"/>
          <w:lang w:bidi="ar"/>
        </w:rPr>
        <w:t>1#</w:t>
      </w:r>
      <w:r>
        <w:rPr>
          <w:rFonts w:hint="eastAsia"/>
          <w:color w:val="auto"/>
          <w:kern w:val="0"/>
          <w:lang w:bidi="ar"/>
        </w:rPr>
        <w:t>污水处理站对污泥处理工序产生的恶臭进行了收集处理并采用碱洗工艺对收集的臭气进行处理，处理后的臭气通过</w:t>
      </w:r>
      <w:r>
        <w:rPr>
          <w:color w:val="auto"/>
          <w:kern w:val="0"/>
          <w:lang w:bidi="ar"/>
        </w:rPr>
        <w:t>1</w:t>
      </w:r>
      <w:r>
        <w:rPr>
          <w:rFonts w:hint="eastAsia"/>
          <w:color w:val="auto"/>
          <w:kern w:val="0"/>
          <w:lang w:bidi="ar"/>
        </w:rPr>
        <w:t>根</w:t>
      </w:r>
      <w:r>
        <w:rPr>
          <w:color w:val="auto"/>
          <w:kern w:val="0"/>
          <w:lang w:bidi="ar"/>
        </w:rPr>
        <w:t>15m</w:t>
      </w:r>
      <w:r>
        <w:rPr>
          <w:rFonts w:hint="eastAsia"/>
          <w:color w:val="auto"/>
          <w:kern w:val="0"/>
          <w:lang w:bidi="ar"/>
        </w:rPr>
        <w:t>高排气筒排放，设计风量</w:t>
      </w:r>
      <w:r>
        <w:rPr>
          <w:color w:val="auto"/>
          <w:szCs w:val="24"/>
        </w:rPr>
        <w:t>40000m</w:t>
      </w:r>
      <w:r>
        <w:rPr>
          <w:color w:val="auto"/>
          <w:szCs w:val="24"/>
          <w:vertAlign w:val="superscript"/>
        </w:rPr>
        <w:t>3</w:t>
      </w:r>
      <w:r>
        <w:rPr>
          <w:color w:val="auto"/>
          <w:szCs w:val="24"/>
        </w:rPr>
        <w:t>/h</w:t>
      </w:r>
      <w:r>
        <w:rPr>
          <w:rFonts w:hint="eastAsia"/>
          <w:color w:val="auto"/>
          <w:kern w:val="0"/>
          <w:lang w:bidi="ar"/>
        </w:rPr>
        <w:t>。</w:t>
      </w:r>
    </w:p>
    <w:p w14:paraId="2C08D3B1">
      <w:pPr>
        <w:widowControl/>
        <w:ind w:firstLine="480"/>
        <w:jc w:val="center"/>
        <w:rPr>
          <w:color w:val="auto"/>
          <w:kern w:val="0"/>
          <w:lang w:bidi="ar"/>
        </w:rPr>
      </w:pPr>
      <w:r>
        <w:rPr>
          <w:color w:val="auto"/>
          <w:kern w:val="0"/>
          <w:lang w:bidi="ar"/>
        </w:rPr>
        <w:object>
          <v:shape id="_x0000_i1041" o:spt="75" type="#_x0000_t75" style="height:583.5pt;width:421.5pt;" o:ole="t" filled="f" o:preferrelative="t" stroked="f" coordsize="21600,21600">
            <v:path/>
            <v:fill on="f" focussize="0,0"/>
            <v:stroke on="f" joinstyle="miter"/>
            <v:imagedata r:id="rId97" o:title=""/>
            <o:lock v:ext="edit" aspectratio="f"/>
            <w10:wrap type="none"/>
            <w10:anchorlock/>
          </v:shape>
          <o:OLEObject Type="Embed" ProgID="Visio.Drawing.15" ShapeID="_x0000_i1041" DrawAspect="Content" ObjectID="_1468075736" r:id="rId96">
            <o:LockedField>false</o:LockedField>
          </o:OLEObject>
        </w:object>
      </w:r>
    </w:p>
    <w:p w14:paraId="69ADF00F">
      <w:pPr>
        <w:pStyle w:val="8"/>
        <w:rPr>
          <w:color w:val="auto"/>
        </w:rPr>
      </w:pPr>
      <w:r>
        <w:rPr>
          <w:rFonts w:hint="eastAsia"/>
          <w:color w:val="auto"/>
        </w:rPr>
        <w:t>现有工程</w:t>
      </w:r>
      <w:r>
        <w:rPr>
          <w:color w:val="auto"/>
        </w:rPr>
        <w:t>1#</w:t>
      </w:r>
      <w:r>
        <w:rPr>
          <w:rFonts w:hint="eastAsia"/>
          <w:color w:val="auto"/>
        </w:rPr>
        <w:t>污水处理站工艺流程</w:t>
      </w:r>
    </w:p>
    <w:p w14:paraId="50DF6995">
      <w:pPr>
        <w:numPr>
          <w:ilvl w:val="0"/>
          <w:numId w:val="8"/>
        </w:numPr>
        <w:ind w:firstLine="480"/>
        <w:rPr>
          <w:color w:val="auto"/>
        </w:rPr>
      </w:pPr>
      <w:r>
        <w:rPr>
          <w:rFonts w:hint="eastAsia"/>
          <w:color w:val="auto"/>
        </w:rPr>
        <w:t>已批在建</w:t>
      </w:r>
      <w:r>
        <w:rPr>
          <w:color w:val="auto"/>
        </w:rPr>
        <w:t>1#</w:t>
      </w:r>
      <w:r>
        <w:rPr>
          <w:rFonts w:hint="eastAsia"/>
          <w:color w:val="auto"/>
        </w:rPr>
        <w:t>污水处理站技改升级新增工艺流程</w:t>
      </w:r>
    </w:p>
    <w:p w14:paraId="25E255D1">
      <w:pPr>
        <w:ind w:firstLine="480"/>
        <w:rPr>
          <w:color w:val="auto"/>
        </w:rPr>
      </w:pPr>
      <w:r>
        <w:rPr>
          <w:rFonts w:hint="eastAsia"/>
          <w:color w:val="auto"/>
        </w:rPr>
        <w:t>现有工程</w:t>
      </w:r>
      <w:r>
        <w:rPr>
          <w:color w:val="auto"/>
        </w:rPr>
        <w:t>1#</w:t>
      </w:r>
      <w:r>
        <w:rPr>
          <w:rFonts w:hint="eastAsia"/>
          <w:color w:val="auto"/>
        </w:rPr>
        <w:t>污水处理站目前正在进行升级改造，采用“格栅</w:t>
      </w:r>
      <w:r>
        <w:rPr>
          <w:color w:val="auto"/>
        </w:rPr>
        <w:t>+</w:t>
      </w:r>
      <w:r>
        <w:rPr>
          <w:rFonts w:hint="eastAsia"/>
          <w:color w:val="auto"/>
        </w:rPr>
        <w:t>气浮</w:t>
      </w:r>
      <w:r>
        <w:rPr>
          <w:color w:val="auto"/>
        </w:rPr>
        <w:t>+</w:t>
      </w:r>
      <w:r>
        <w:rPr>
          <w:rFonts w:hint="eastAsia"/>
          <w:color w:val="auto"/>
        </w:rPr>
        <w:t>絮凝沉淀</w:t>
      </w:r>
      <w:r>
        <w:rPr>
          <w:color w:val="auto"/>
        </w:rPr>
        <w:t>+UMAR</w:t>
      </w:r>
      <w:r>
        <w:rPr>
          <w:rFonts w:hint="eastAsia"/>
          <w:color w:val="auto"/>
        </w:rPr>
        <w:t>厌氧反应器</w:t>
      </w:r>
      <w:r>
        <w:rPr>
          <w:color w:val="auto"/>
        </w:rPr>
        <w:t>+</w:t>
      </w:r>
      <w:r>
        <w:rPr>
          <w:rFonts w:hint="eastAsia"/>
          <w:color w:val="auto"/>
        </w:rPr>
        <w:t>二级</w:t>
      </w:r>
      <w:r>
        <w:rPr>
          <w:color w:val="auto"/>
        </w:rPr>
        <w:t>A/O+Fenton</w:t>
      </w:r>
      <w:r>
        <w:rPr>
          <w:rFonts w:hint="eastAsia"/>
          <w:color w:val="auto"/>
        </w:rPr>
        <w:t>氧化”</w:t>
      </w:r>
    </w:p>
    <w:p w14:paraId="770300D9">
      <w:pPr>
        <w:ind w:firstLine="480"/>
        <w:rPr>
          <w:color w:val="auto"/>
        </w:rPr>
      </w:pPr>
      <w:r>
        <w:rPr>
          <w:rFonts w:hint="eastAsia"/>
          <w:color w:val="auto"/>
        </w:rPr>
        <w:t>①一级预处理系统</w:t>
      </w:r>
    </w:p>
    <w:p w14:paraId="49448170">
      <w:pPr>
        <w:ind w:firstLine="480"/>
        <w:rPr>
          <w:color w:val="auto"/>
        </w:rPr>
      </w:pPr>
      <w:r>
        <w:rPr>
          <w:rFonts w:hint="eastAsia"/>
          <w:color w:val="auto"/>
        </w:rPr>
        <w:t>采用“卧筒格栅机</w:t>
      </w:r>
      <w:r>
        <w:rPr>
          <w:color w:val="auto"/>
        </w:rPr>
        <w:t>+</w:t>
      </w:r>
      <w:r>
        <w:rPr>
          <w:rFonts w:hint="eastAsia"/>
          <w:color w:val="auto"/>
        </w:rPr>
        <w:t>斜板气浮</w:t>
      </w:r>
      <w:r>
        <w:rPr>
          <w:color w:val="auto"/>
        </w:rPr>
        <w:t>+</w:t>
      </w:r>
      <w:r>
        <w:rPr>
          <w:rFonts w:hint="eastAsia"/>
          <w:color w:val="auto"/>
        </w:rPr>
        <w:t>絮凝”的工艺进行预处理。废水进入格栅机去除较大的颗粒物后进入调匀池对污水进行调节，经冷却后自流至斜板气浮，随后经过絮凝与沉淀后进入二级生化处理系统。</w:t>
      </w:r>
    </w:p>
    <w:p w14:paraId="64268239">
      <w:pPr>
        <w:numPr>
          <w:ilvl w:val="255"/>
          <w:numId w:val="0"/>
        </w:numPr>
        <w:ind w:firstLine="480" w:firstLineChars="200"/>
        <w:rPr>
          <w:color w:val="auto"/>
        </w:rPr>
      </w:pPr>
      <w:r>
        <w:rPr>
          <w:rFonts w:hint="eastAsia"/>
          <w:color w:val="auto"/>
        </w:rPr>
        <w:t>②二级生化处理系统</w:t>
      </w:r>
    </w:p>
    <w:p w14:paraId="345EAB0F">
      <w:pPr>
        <w:ind w:firstLine="480"/>
        <w:rPr>
          <w:color w:val="auto"/>
        </w:rPr>
      </w:pPr>
      <w:r>
        <w:rPr>
          <w:rFonts w:hint="eastAsia"/>
          <w:color w:val="auto"/>
        </w:rPr>
        <w:t>预处理系统出水进入水解酸化池，在水解酸化池中投加厌氧反应所需的</w:t>
      </w:r>
      <w:r>
        <w:rPr>
          <w:color w:val="auto"/>
        </w:rPr>
        <w:t>N/P</w:t>
      </w:r>
      <w:r>
        <w:rPr>
          <w:rFonts w:hint="eastAsia"/>
          <w:color w:val="auto"/>
        </w:rPr>
        <w:t>营养盐，以满足厌氧反应的反应条件。水解酸化池给废水创造了一定的兼氧环境进行水解酸化，发生厌氧处理的酸化过程，将难降解的物质分解成容易降解的有机底物。在该池中设置拌器，以使废水预酸化反应均匀、充分。随后进入厌氧</w:t>
      </w:r>
      <w:r>
        <w:rPr>
          <w:color w:val="auto"/>
        </w:rPr>
        <w:t>UMAR</w:t>
      </w:r>
      <w:r>
        <w:rPr>
          <w:rFonts w:hint="eastAsia"/>
          <w:color w:val="auto"/>
        </w:rPr>
        <w:t>反应器。</w:t>
      </w:r>
    </w:p>
    <w:p w14:paraId="2ED53CEF">
      <w:pPr>
        <w:ind w:firstLine="480"/>
        <w:rPr>
          <w:color w:val="auto"/>
        </w:rPr>
      </w:pPr>
      <w:r>
        <w:rPr>
          <w:color w:val="auto"/>
        </w:rPr>
        <w:t>UMAR</w:t>
      </w:r>
      <w:r>
        <w:rPr>
          <w:rFonts w:hint="eastAsia"/>
          <w:color w:val="auto"/>
        </w:rPr>
        <w:t>反应器由布水系统、多级反应区、三项分离器、内循环系统与出水系统组成，是新一代高效厌氧反应器，污水经水流与混合、厌氧降解、气提与内循环、分级处理后自流至二级</w:t>
      </w:r>
      <w:r>
        <w:rPr>
          <w:color w:val="auto"/>
        </w:rPr>
        <w:t>A/O</w:t>
      </w:r>
      <w:r>
        <w:rPr>
          <w:rFonts w:hint="eastAsia"/>
          <w:color w:val="auto"/>
        </w:rPr>
        <w:t>处理工段。污水在缺氧环境与好氧处理后，出水自流至二沉池。</w:t>
      </w:r>
    </w:p>
    <w:p w14:paraId="458F7889">
      <w:pPr>
        <w:numPr>
          <w:ilvl w:val="255"/>
          <w:numId w:val="0"/>
        </w:numPr>
        <w:ind w:firstLine="480" w:firstLineChars="200"/>
        <w:rPr>
          <w:color w:val="auto"/>
        </w:rPr>
      </w:pPr>
      <w:r>
        <w:rPr>
          <w:rFonts w:hint="eastAsia"/>
          <w:color w:val="auto"/>
        </w:rPr>
        <w:t>③深度处理系统</w:t>
      </w:r>
    </w:p>
    <w:p w14:paraId="2C100633">
      <w:pPr>
        <w:ind w:firstLine="480"/>
        <w:rPr>
          <w:color w:val="auto"/>
        </w:rPr>
      </w:pPr>
      <w:r>
        <w:rPr>
          <w:rFonts w:hint="eastAsia"/>
          <w:color w:val="auto"/>
        </w:rPr>
        <w:t>现有工程</w:t>
      </w:r>
      <w:r>
        <w:rPr>
          <w:color w:val="auto"/>
        </w:rPr>
        <w:t>2#</w:t>
      </w:r>
      <w:r>
        <w:rPr>
          <w:rFonts w:hint="eastAsia"/>
          <w:color w:val="auto"/>
        </w:rPr>
        <w:t>污水处理站内设置有中间水池</w:t>
      </w:r>
      <w:r>
        <w:rPr>
          <w:color w:val="auto"/>
        </w:rPr>
        <w:t>1</w:t>
      </w:r>
      <w:r>
        <w:rPr>
          <w:rFonts w:hint="eastAsia"/>
          <w:color w:val="auto"/>
        </w:rPr>
        <w:t>座、芬顿反应塔</w:t>
      </w:r>
      <w:r>
        <w:rPr>
          <w:color w:val="auto"/>
        </w:rPr>
        <w:t>3</w:t>
      </w:r>
      <w:r>
        <w:rPr>
          <w:rFonts w:hint="eastAsia"/>
          <w:color w:val="auto"/>
        </w:rPr>
        <w:t>座，项目废水经过三级反应池处理后先进入终沉池静置，随后进入中转水池，通过中转水池设置的污水提升泵泵入芬顿处理系统配套中间水池中，随后中间水池设置的污水提升泵将污水泵入芬顿塔进行处理。</w:t>
      </w:r>
    </w:p>
    <w:p w14:paraId="7DCA919D">
      <w:pPr>
        <w:ind w:firstLine="480"/>
        <w:rPr>
          <w:color w:val="auto"/>
        </w:rPr>
      </w:pPr>
      <w:r>
        <w:rPr>
          <w:rFonts w:hint="eastAsia"/>
          <w:color w:val="auto"/>
        </w:rPr>
        <w:t>④污泥处置系统</w:t>
      </w:r>
    </w:p>
    <w:p w14:paraId="5F4131FD">
      <w:pPr>
        <w:ind w:firstLine="480"/>
        <w:rPr>
          <w:color w:val="auto"/>
        </w:rPr>
      </w:pPr>
      <w:r>
        <w:rPr>
          <w:rFonts w:hint="eastAsia"/>
          <w:color w:val="auto"/>
        </w:rPr>
        <w:t>厌氧反应器产生的颗粒污泥送至厌氧污泥罐后回流使用。二级</w:t>
      </w:r>
      <w:r>
        <w:rPr>
          <w:color w:val="auto"/>
        </w:rPr>
        <w:t>AO</w:t>
      </w:r>
      <w:r>
        <w:rPr>
          <w:rFonts w:hint="eastAsia"/>
          <w:color w:val="auto"/>
        </w:rPr>
        <w:t>工段中好氧池产生的污泥回流至</w:t>
      </w:r>
      <w:r>
        <w:rPr>
          <w:color w:val="auto"/>
        </w:rPr>
        <w:t>1#</w:t>
      </w:r>
      <w:r>
        <w:rPr>
          <w:rFonts w:hint="eastAsia"/>
          <w:color w:val="auto"/>
        </w:rPr>
        <w:t>缺氧池。二沉池污泥部分回流至缺氧池补充污泥浓度，剩余部分污泥泵送至污泥浓缩池。初沉污泥、终沉污泥、剩余污泥等泵送至污泥浓缩池，经过初步浓缩后经泵送至污泥调理池，在污泥调理池中投加污泥</w:t>
      </w:r>
      <w:r>
        <w:rPr>
          <w:color w:val="auto"/>
        </w:rPr>
        <w:t>PAM</w:t>
      </w:r>
      <w:r>
        <w:rPr>
          <w:rFonts w:hint="eastAsia"/>
          <w:color w:val="auto"/>
        </w:rPr>
        <w:t>、</w:t>
      </w:r>
      <w:r>
        <w:rPr>
          <w:color w:val="auto"/>
        </w:rPr>
        <w:t>PAC</w:t>
      </w:r>
      <w:r>
        <w:rPr>
          <w:rFonts w:hint="eastAsia"/>
          <w:color w:val="auto"/>
        </w:rPr>
        <w:t>等，将污泥絮凝后送至污泥脱水机进行污泥脱水。污泥浓缩池上清液及板框压滤液收集至滤液水池，在通过泵送至好氧生化系统进行后续处理。气浮污泥进入气浮污泥储池后进行处理。</w:t>
      </w:r>
    </w:p>
    <w:p w14:paraId="63279DC9">
      <w:pPr>
        <w:widowControl/>
        <w:ind w:firstLine="480"/>
        <w:jc w:val="left"/>
        <w:rPr>
          <w:color w:val="auto"/>
        </w:rPr>
      </w:pPr>
      <w:r>
        <w:rPr>
          <w:rFonts w:hint="eastAsia"/>
          <w:color w:val="auto"/>
        </w:rPr>
        <w:t>⑤臭气处理系统</w:t>
      </w:r>
    </w:p>
    <w:p w14:paraId="01DD10EC">
      <w:pPr>
        <w:ind w:firstLine="480"/>
        <w:rPr>
          <w:color w:val="auto"/>
        </w:rPr>
      </w:pPr>
      <w:r>
        <w:rPr>
          <w:rFonts w:hint="eastAsia"/>
          <w:color w:val="auto"/>
        </w:rPr>
        <w:t>污水脱水间除臭系统采用二级碱洗法对臭气进行去除，原理同污水处理配套除臭系统中碱洗工艺。将生化污泥浓池、化学污泥浓缩池、污泥调理池、滤液收集池、板框间和污泥堆场的臭气收集后接入二级碱洗系统进行臭气处理。</w:t>
      </w:r>
    </w:p>
    <w:p w14:paraId="18DEEC9A">
      <w:pPr>
        <w:ind w:firstLine="480"/>
        <w:rPr>
          <w:color w:val="auto"/>
        </w:rPr>
      </w:pPr>
      <w:r>
        <w:rPr>
          <w:rFonts w:hint="eastAsia"/>
          <w:color w:val="auto"/>
        </w:rPr>
        <w:t>此外，碱洗除臭系统需要置换一部分污水，置换使用的是处理达标的尾水，污水预处理除臭系统碱洗塔产生的废水进入新建预酸化池进行处理，后进入厌氧反应系统处理。污泥处理除臭系统两级碱洗塔产生的废水进入污泥滤液收集池，随后回流至三级反应池进行处理。</w:t>
      </w:r>
    </w:p>
    <w:p w14:paraId="3B2792A2">
      <w:pPr>
        <w:ind w:firstLine="480"/>
        <w:rPr>
          <w:color w:val="auto"/>
        </w:rPr>
      </w:pPr>
      <w:r>
        <w:rPr>
          <w:rFonts w:hint="eastAsia"/>
          <w:color w:val="auto"/>
        </w:rPr>
        <w:t>具体工艺流程图见下图。</w:t>
      </w:r>
    </w:p>
    <w:p w14:paraId="783134A7">
      <w:pPr>
        <w:ind w:firstLine="0" w:firstLineChars="0"/>
        <w:rPr>
          <w:color w:val="auto"/>
        </w:rPr>
      </w:pPr>
      <w:r>
        <w:rPr>
          <w:color w:val="auto"/>
        </w:rPr>
        <w:object>
          <v:shape id="_x0000_i1042" o:spt="75" type="#_x0000_t75" style="height:548pt;width:424.5pt;" o:ole="t" filled="f" o:preferrelative="t" stroked="f" coordsize="21600,21600">
            <v:path/>
            <v:fill on="f" focussize="0,0"/>
            <v:stroke on="f" joinstyle="miter"/>
            <v:imagedata r:id="rId99" o:title=""/>
            <o:lock v:ext="edit" aspectratio="f"/>
            <w10:wrap type="none"/>
            <w10:anchorlock/>
          </v:shape>
          <o:OLEObject Type="Embed" ProgID="Visio.Drawing.15" ShapeID="_x0000_i1042" DrawAspect="Content" ObjectID="_1468075737" r:id="rId98">
            <o:LockedField>false</o:LockedField>
          </o:OLEObject>
        </w:object>
      </w:r>
    </w:p>
    <w:p w14:paraId="12BDE8C6">
      <w:pPr>
        <w:pStyle w:val="8"/>
        <w:rPr>
          <w:color w:val="auto"/>
        </w:rPr>
      </w:pPr>
      <w:r>
        <w:rPr>
          <w:rFonts w:hint="eastAsia"/>
          <w:color w:val="auto"/>
        </w:rPr>
        <w:t>已批在建</w:t>
      </w:r>
      <w:r>
        <w:rPr>
          <w:color w:val="auto"/>
        </w:rPr>
        <w:t>1#</w:t>
      </w:r>
      <w:r>
        <w:rPr>
          <w:rFonts w:hint="eastAsia"/>
          <w:color w:val="auto"/>
        </w:rPr>
        <w:t>污水处理站工艺流程图</w:t>
      </w:r>
    </w:p>
    <w:p w14:paraId="1A97C262">
      <w:pPr>
        <w:numPr>
          <w:ilvl w:val="0"/>
          <w:numId w:val="8"/>
        </w:numPr>
        <w:ind w:firstLine="480"/>
        <w:rPr>
          <w:color w:val="auto"/>
        </w:rPr>
      </w:pPr>
      <w:r>
        <w:rPr>
          <w:rFonts w:hint="eastAsia"/>
          <w:color w:val="auto"/>
        </w:rPr>
        <w:t>现有工程</w:t>
      </w:r>
      <w:r>
        <w:rPr>
          <w:color w:val="auto"/>
        </w:rPr>
        <w:t>2#</w:t>
      </w:r>
      <w:r>
        <w:rPr>
          <w:rFonts w:hint="eastAsia"/>
          <w:color w:val="auto"/>
        </w:rPr>
        <w:t>污水处理站工艺流程</w:t>
      </w:r>
    </w:p>
    <w:p w14:paraId="4B08E3E5">
      <w:pPr>
        <w:widowControl/>
        <w:ind w:firstLine="480"/>
        <w:jc w:val="left"/>
        <w:rPr>
          <w:color w:val="auto"/>
          <w:kern w:val="0"/>
          <w:lang w:bidi="ar"/>
        </w:rPr>
      </w:pPr>
      <w:r>
        <w:rPr>
          <w:color w:val="auto"/>
          <w:kern w:val="0"/>
          <w:lang w:bidi="ar"/>
        </w:rPr>
        <w:t>2#</w:t>
      </w:r>
      <w:r>
        <w:rPr>
          <w:rFonts w:hint="eastAsia"/>
          <w:color w:val="auto"/>
          <w:kern w:val="0"/>
          <w:lang w:bidi="ar"/>
        </w:rPr>
        <w:t>污水处理站设计处理规模</w:t>
      </w:r>
      <w:r>
        <w:rPr>
          <w:color w:val="auto"/>
          <w:kern w:val="0"/>
          <w:lang w:bidi="ar"/>
        </w:rPr>
        <w:t>45000m</w:t>
      </w:r>
      <w:r>
        <w:rPr>
          <w:color w:val="auto"/>
          <w:kern w:val="0"/>
          <w:vertAlign w:val="superscript"/>
          <w:lang w:bidi="ar"/>
        </w:rPr>
        <w:t>3</w:t>
      </w:r>
      <w:r>
        <w:rPr>
          <w:color w:val="auto"/>
          <w:kern w:val="0"/>
          <w:lang w:bidi="ar"/>
        </w:rPr>
        <w:t>/d</w:t>
      </w:r>
      <w:r>
        <w:rPr>
          <w:rFonts w:hint="eastAsia"/>
          <w:color w:val="auto"/>
          <w:kern w:val="0"/>
          <w:lang w:bidi="ar"/>
        </w:rPr>
        <w:t>，工艺为“絮凝沉淀</w:t>
      </w:r>
      <w:r>
        <w:rPr>
          <w:color w:val="auto"/>
          <w:kern w:val="0"/>
          <w:lang w:bidi="ar"/>
        </w:rPr>
        <w:t>+A/O+</w:t>
      </w:r>
      <w:r>
        <w:rPr>
          <w:rFonts w:hint="eastAsia"/>
          <w:color w:val="auto"/>
          <w:kern w:val="0"/>
          <w:lang w:bidi="ar"/>
        </w:rPr>
        <w:t>混凝沉淀</w:t>
      </w:r>
      <w:r>
        <w:rPr>
          <w:color w:val="auto"/>
          <w:kern w:val="0"/>
          <w:lang w:bidi="ar"/>
        </w:rPr>
        <w:t>/</w:t>
      </w:r>
      <w:r>
        <w:rPr>
          <w:rFonts w:hint="eastAsia"/>
          <w:color w:val="auto"/>
          <w:kern w:val="0"/>
          <w:lang w:bidi="ar"/>
        </w:rPr>
        <w:t>芬顿工艺”。</w:t>
      </w:r>
    </w:p>
    <w:p w14:paraId="2F1BAE2C">
      <w:pPr>
        <w:ind w:firstLine="480"/>
        <w:rPr>
          <w:color w:val="auto"/>
        </w:rPr>
      </w:pPr>
      <w:r>
        <w:rPr>
          <w:rFonts w:hint="eastAsia"/>
          <w:color w:val="auto"/>
        </w:rPr>
        <w:t>①一级预处理系统</w:t>
      </w:r>
    </w:p>
    <w:p w14:paraId="53F589A0">
      <w:pPr>
        <w:ind w:firstLine="480"/>
        <w:rPr>
          <w:color w:val="auto"/>
        </w:rPr>
      </w:pPr>
      <w:r>
        <w:rPr>
          <w:color w:val="auto"/>
        </w:rPr>
        <w:t>2#</w:t>
      </w:r>
      <w:r>
        <w:rPr>
          <w:rFonts w:hint="eastAsia"/>
          <w:color w:val="auto"/>
        </w:rPr>
        <w:t>污水处理站预处理系统工艺与</w:t>
      </w:r>
      <w:r>
        <w:rPr>
          <w:color w:val="auto"/>
        </w:rPr>
        <w:t>1#</w:t>
      </w:r>
      <w:r>
        <w:rPr>
          <w:rFonts w:hint="eastAsia"/>
          <w:color w:val="auto"/>
        </w:rPr>
        <w:t>污水处理站污水预处理系统工艺类似，生产污水首先经格栅去除大的悬浮物及漂浮物，然后自流进入集水调节池，经均化水质、调节水量与</w:t>
      </w:r>
      <w:r>
        <w:rPr>
          <w:color w:val="auto"/>
        </w:rPr>
        <w:t>PH</w:t>
      </w:r>
      <w:r>
        <w:rPr>
          <w:rFonts w:hint="eastAsia"/>
          <w:color w:val="auto"/>
        </w:rPr>
        <w:t>，调节池出水经污水泵提升到高速过滤机回收部分纸浆后进入絮凝池，后自流进入沉淀池完成固液分离。初沉池出水经冷却塔进水泵提升至冷却塔，污水降温后进入</w:t>
      </w:r>
      <w:r>
        <w:rPr>
          <w:color w:val="auto"/>
        </w:rPr>
        <w:t>SBR</w:t>
      </w:r>
      <w:r>
        <w:rPr>
          <w:rFonts w:hint="eastAsia"/>
          <w:color w:val="auto"/>
        </w:rPr>
        <w:t>反应池。</w:t>
      </w:r>
    </w:p>
    <w:p w14:paraId="0DADAF72">
      <w:pPr>
        <w:ind w:firstLine="480"/>
        <w:rPr>
          <w:color w:val="auto"/>
        </w:rPr>
      </w:pPr>
      <w:r>
        <w:rPr>
          <w:rFonts w:hint="eastAsia"/>
          <w:color w:val="auto"/>
        </w:rPr>
        <w:t>②二级生化处理系统</w:t>
      </w:r>
    </w:p>
    <w:p w14:paraId="5B30669A">
      <w:pPr>
        <w:ind w:firstLine="480"/>
        <w:rPr>
          <w:color w:val="auto"/>
        </w:rPr>
      </w:pPr>
      <w:r>
        <w:rPr>
          <w:color w:val="auto"/>
        </w:rPr>
        <w:t>2#</w:t>
      </w:r>
      <w:r>
        <w:rPr>
          <w:rFonts w:hint="eastAsia"/>
          <w:color w:val="auto"/>
        </w:rPr>
        <w:t>污水处理站生化处理工艺与</w:t>
      </w:r>
      <w:r>
        <w:rPr>
          <w:color w:val="auto"/>
        </w:rPr>
        <w:t>1#</w:t>
      </w:r>
      <w:r>
        <w:rPr>
          <w:rFonts w:hint="eastAsia"/>
          <w:color w:val="auto"/>
        </w:rPr>
        <w:t>污水处理站生化处理工艺类似，二级生化处理系统采用</w:t>
      </w:r>
      <w:r>
        <w:rPr>
          <w:color w:val="auto"/>
        </w:rPr>
        <w:t>SBR</w:t>
      </w:r>
      <w:r>
        <w:rPr>
          <w:rFonts w:hint="eastAsia"/>
          <w:color w:val="auto"/>
        </w:rPr>
        <w:t>法，由进水、反应、沉淀、排水及排泥、待机等五个工序所组成，五个工序在同一构筑物（</w:t>
      </w:r>
      <w:r>
        <w:rPr>
          <w:color w:val="auto"/>
        </w:rPr>
        <w:t>SBR</w:t>
      </w:r>
      <w:r>
        <w:rPr>
          <w:rFonts w:hint="eastAsia"/>
          <w:color w:val="auto"/>
        </w:rPr>
        <w:t>池）内进行。每个</w:t>
      </w:r>
      <w:r>
        <w:rPr>
          <w:color w:val="auto"/>
        </w:rPr>
        <w:t>SBR</w:t>
      </w:r>
      <w:r>
        <w:rPr>
          <w:rFonts w:hint="eastAsia"/>
          <w:color w:val="auto"/>
        </w:rPr>
        <w:t>池每天运行</w:t>
      </w:r>
      <w:r>
        <w:rPr>
          <w:color w:val="auto"/>
        </w:rPr>
        <w:t>4</w:t>
      </w:r>
      <w:r>
        <w:rPr>
          <w:rFonts w:hint="eastAsia"/>
          <w:color w:val="auto"/>
        </w:rPr>
        <w:t>个周期，每个周期</w:t>
      </w:r>
      <w:r>
        <w:rPr>
          <w:color w:val="auto"/>
        </w:rPr>
        <w:t>6</w:t>
      </w:r>
      <w:r>
        <w:rPr>
          <w:rFonts w:hint="eastAsia"/>
          <w:color w:val="auto"/>
        </w:rPr>
        <w:t>个小时，其中进水</w:t>
      </w:r>
      <w:r>
        <w:rPr>
          <w:color w:val="auto"/>
        </w:rPr>
        <w:t>1.5</w:t>
      </w:r>
      <w:r>
        <w:rPr>
          <w:rFonts w:hint="eastAsia"/>
          <w:color w:val="auto"/>
        </w:rPr>
        <w:t>小时，曝气</w:t>
      </w:r>
      <w:r>
        <w:rPr>
          <w:color w:val="auto"/>
        </w:rPr>
        <w:t>3</w:t>
      </w:r>
      <w:r>
        <w:rPr>
          <w:rFonts w:hint="eastAsia"/>
          <w:color w:val="auto"/>
        </w:rPr>
        <w:t>小时（进水</w:t>
      </w:r>
      <w:r>
        <w:rPr>
          <w:color w:val="auto"/>
        </w:rPr>
        <w:t>0.5</w:t>
      </w:r>
      <w:r>
        <w:rPr>
          <w:rFonts w:hint="eastAsia"/>
          <w:color w:val="auto"/>
        </w:rPr>
        <w:t>小时后开始曝气），沉淀</w:t>
      </w:r>
      <w:r>
        <w:rPr>
          <w:color w:val="auto"/>
        </w:rPr>
        <w:t>1.5</w:t>
      </w:r>
      <w:r>
        <w:rPr>
          <w:rFonts w:hint="eastAsia"/>
          <w:color w:val="auto"/>
        </w:rPr>
        <w:t>小时，排水及排泥</w:t>
      </w:r>
      <w:r>
        <w:rPr>
          <w:color w:val="auto"/>
        </w:rPr>
        <w:t>1</w:t>
      </w:r>
      <w:r>
        <w:rPr>
          <w:rFonts w:hint="eastAsia"/>
          <w:color w:val="auto"/>
        </w:rPr>
        <w:t>小时。</w:t>
      </w:r>
    </w:p>
    <w:p w14:paraId="6ADD1901">
      <w:pPr>
        <w:ind w:firstLine="480"/>
        <w:rPr>
          <w:color w:val="auto"/>
        </w:rPr>
      </w:pPr>
      <w:r>
        <w:rPr>
          <w:rFonts w:hint="eastAsia"/>
          <w:color w:val="auto"/>
        </w:rPr>
        <w:t>③三级深度处理系统</w:t>
      </w:r>
    </w:p>
    <w:p w14:paraId="3F152D41">
      <w:pPr>
        <w:ind w:firstLine="480"/>
        <w:rPr>
          <w:color w:val="auto"/>
        </w:rPr>
      </w:pPr>
      <w:r>
        <w:rPr>
          <w:color w:val="auto"/>
        </w:rPr>
        <w:t>2#</w:t>
      </w:r>
      <w:r>
        <w:rPr>
          <w:rFonts w:hint="eastAsia"/>
          <w:color w:val="auto"/>
        </w:rPr>
        <w:t>污水处理站三级深度处理采用混凝沉淀</w:t>
      </w:r>
      <w:r>
        <w:rPr>
          <w:color w:val="auto"/>
        </w:rPr>
        <w:t>/</w:t>
      </w:r>
      <w:r>
        <w:rPr>
          <w:rFonts w:hint="eastAsia"/>
          <w:color w:val="auto"/>
        </w:rPr>
        <w:t>芬顿氧化工艺，芬顿反应系统为</w:t>
      </w:r>
      <w:r>
        <w:rPr>
          <w:color w:val="auto"/>
        </w:rPr>
        <w:t>2#</w:t>
      </w:r>
      <w:r>
        <w:rPr>
          <w:rFonts w:hint="eastAsia"/>
          <w:color w:val="auto"/>
        </w:rPr>
        <w:t>污水处理站内现有芬顿反应系统。</w:t>
      </w:r>
      <w:r>
        <w:rPr>
          <w:rFonts w:hint="eastAsia"/>
          <w:color w:val="auto"/>
          <w:kern w:val="0"/>
          <w:lang w:bidi="ar"/>
        </w:rPr>
        <w:t>三级混凝沉淀系统、芬顿系统并联运行，</w:t>
      </w:r>
      <w:r>
        <w:rPr>
          <w:color w:val="auto"/>
          <w:kern w:val="0"/>
          <w:lang w:bidi="ar"/>
        </w:rPr>
        <w:t>A/O</w:t>
      </w:r>
      <w:r>
        <w:rPr>
          <w:rFonts w:hint="eastAsia"/>
          <w:color w:val="auto"/>
          <w:kern w:val="0"/>
          <w:lang w:bidi="ar"/>
        </w:rPr>
        <w:t>工段出水进入二沉池后，若污水</w:t>
      </w:r>
      <w:r>
        <w:rPr>
          <w:color w:val="auto"/>
          <w:kern w:val="0"/>
          <w:lang w:bidi="ar"/>
        </w:rPr>
        <w:t>CODcr</w:t>
      </w:r>
      <w:r>
        <w:rPr>
          <w:rFonts w:hint="eastAsia"/>
          <w:color w:val="auto"/>
          <w:kern w:val="0"/>
          <w:lang w:bidi="ar"/>
        </w:rPr>
        <w:t>浓度大于</w:t>
      </w:r>
      <w:r>
        <w:rPr>
          <w:color w:val="auto"/>
          <w:kern w:val="0"/>
          <w:lang w:bidi="ar"/>
        </w:rPr>
        <w:t>100mg/L</w:t>
      </w:r>
      <w:r>
        <w:rPr>
          <w:rFonts w:hint="eastAsia"/>
          <w:color w:val="auto"/>
          <w:kern w:val="0"/>
          <w:lang w:bidi="ar"/>
        </w:rPr>
        <w:t>则进入中间水池，从中间水池泵入芬顿塔进行处理，现有工程设置有芬顿塔三座，单座处理能力为</w:t>
      </w:r>
      <w:r>
        <w:rPr>
          <w:color w:val="auto"/>
          <w:kern w:val="0"/>
          <w:lang w:bidi="ar"/>
        </w:rPr>
        <w:t>15000m</w:t>
      </w:r>
      <w:r>
        <w:rPr>
          <w:color w:val="auto"/>
          <w:kern w:val="0"/>
          <w:vertAlign w:val="superscript"/>
          <w:lang w:bidi="ar"/>
        </w:rPr>
        <w:t>3</w:t>
      </w:r>
      <w:r>
        <w:rPr>
          <w:color w:val="auto"/>
          <w:kern w:val="0"/>
          <w:lang w:bidi="ar"/>
        </w:rPr>
        <w:t>/d</w:t>
      </w:r>
      <w:r>
        <w:rPr>
          <w:rFonts w:hint="eastAsia"/>
          <w:color w:val="auto"/>
          <w:kern w:val="0"/>
          <w:lang w:bidi="ar"/>
        </w:rPr>
        <w:t>；反之则进入三级混凝沉淀系统进行处理，随后进入三沉池进行沉淀，三沉池出水流入回用水池，部分水进行回用，剩余排放至</w:t>
      </w:r>
      <w:r>
        <w:rPr>
          <w:color w:val="auto"/>
          <w:kern w:val="0"/>
          <w:lang w:bidi="ar"/>
        </w:rPr>
        <w:t>A2</w:t>
      </w:r>
      <w:r>
        <w:rPr>
          <w:rFonts w:hint="eastAsia"/>
          <w:color w:val="auto"/>
          <w:kern w:val="0"/>
          <w:lang w:bidi="ar"/>
        </w:rPr>
        <w:t>排污口。</w:t>
      </w:r>
    </w:p>
    <w:p w14:paraId="2A75F40D">
      <w:pPr>
        <w:ind w:firstLine="480"/>
        <w:rPr>
          <w:color w:val="auto"/>
        </w:rPr>
      </w:pPr>
      <w:r>
        <w:rPr>
          <w:rFonts w:hint="eastAsia"/>
          <w:color w:val="auto"/>
        </w:rPr>
        <w:t>④污泥处置系统</w:t>
      </w:r>
    </w:p>
    <w:p w14:paraId="0A205D9C">
      <w:pPr>
        <w:widowControl/>
        <w:ind w:firstLine="480"/>
        <w:jc w:val="left"/>
        <w:rPr>
          <w:color w:val="auto"/>
        </w:rPr>
      </w:pPr>
      <w:r>
        <w:rPr>
          <w:rFonts w:hint="eastAsia"/>
          <w:color w:val="auto"/>
        </w:rPr>
        <w:t>初沉池浮渣经重力浓缩后，由泵提升到污泥混合池，初沉池污泥直接进入污泥混合池，二沉池、三沉池污泥先经污泥浓缩池浓缩后再进入污泥混合池。混合后的污泥由污泥进料泵提升至污泥脱水机脱水，干泥送热电站锅炉做燃料。污泥浓缩池上清液及污泥脱水机压滤液回流至集水调节池进行处理。</w:t>
      </w:r>
    </w:p>
    <w:p w14:paraId="16B3D6B5">
      <w:pPr>
        <w:widowControl/>
        <w:ind w:firstLine="480"/>
        <w:jc w:val="left"/>
        <w:rPr>
          <w:color w:val="auto"/>
        </w:rPr>
      </w:pPr>
      <w:r>
        <w:rPr>
          <w:rFonts w:hint="eastAsia"/>
          <w:color w:val="auto"/>
        </w:rPr>
        <w:t>⑤臭气处理系统</w:t>
      </w:r>
    </w:p>
    <w:p w14:paraId="0C40979A">
      <w:pPr>
        <w:widowControl/>
        <w:ind w:firstLine="480"/>
        <w:jc w:val="left"/>
        <w:rPr>
          <w:color w:val="auto"/>
        </w:rPr>
      </w:pPr>
      <w:r>
        <w:rPr>
          <w:color w:val="auto"/>
          <w:kern w:val="0"/>
          <w:lang w:bidi="ar"/>
        </w:rPr>
        <w:t>2#</w:t>
      </w:r>
      <w:r>
        <w:rPr>
          <w:rFonts w:hint="eastAsia"/>
          <w:color w:val="auto"/>
          <w:kern w:val="0"/>
          <w:lang w:bidi="ar"/>
        </w:rPr>
        <w:t>污水处理站对</w:t>
      </w:r>
      <w:r>
        <w:rPr>
          <w:rFonts w:hint="eastAsia"/>
          <w:color w:val="auto"/>
        </w:rPr>
        <w:t>污水预处理工段构筑物及缺氧池产生的恶臭和污泥处理工序产生的恶臭均进行加盖</w:t>
      </w:r>
      <w:r>
        <w:rPr>
          <w:color w:val="auto"/>
        </w:rPr>
        <w:t>/</w:t>
      </w:r>
      <w:r>
        <w:rPr>
          <w:rFonts w:hint="eastAsia"/>
          <w:color w:val="auto"/>
        </w:rPr>
        <w:t>密闭收集，并采取碱洗的除臭措施对收集的臭气进行处理，处理后的臭气通过</w:t>
      </w:r>
      <w:r>
        <w:rPr>
          <w:color w:val="auto"/>
        </w:rPr>
        <w:t>1</w:t>
      </w:r>
      <w:r>
        <w:rPr>
          <w:rFonts w:hint="eastAsia"/>
          <w:color w:val="auto"/>
        </w:rPr>
        <w:t>根</w:t>
      </w:r>
      <w:r>
        <w:rPr>
          <w:color w:val="auto"/>
        </w:rPr>
        <w:t>15m</w:t>
      </w:r>
      <w:r>
        <w:rPr>
          <w:rFonts w:hint="eastAsia"/>
          <w:color w:val="auto"/>
        </w:rPr>
        <w:t>高的排气筒排放，设计风量</w:t>
      </w:r>
      <w:r>
        <w:rPr>
          <w:color w:val="auto"/>
        </w:rPr>
        <w:t>40000m</w:t>
      </w:r>
      <w:r>
        <w:rPr>
          <w:color w:val="auto"/>
          <w:vertAlign w:val="superscript"/>
        </w:rPr>
        <w:t>3</w:t>
      </w:r>
      <w:r>
        <w:rPr>
          <w:color w:val="auto"/>
        </w:rPr>
        <w:t>/h</w:t>
      </w:r>
      <w:r>
        <w:rPr>
          <w:rFonts w:hint="eastAsia"/>
          <w:color w:val="auto"/>
        </w:rPr>
        <w:t>。</w:t>
      </w:r>
    </w:p>
    <w:p w14:paraId="2504AB1D">
      <w:pPr>
        <w:ind w:firstLine="0" w:firstLineChars="0"/>
        <w:rPr>
          <w:color w:val="auto"/>
        </w:rPr>
      </w:pPr>
      <w:r>
        <w:rPr>
          <w:rFonts w:hint="eastAsia"/>
          <w:color w:val="auto"/>
        </w:rPr>
        <w:drawing>
          <wp:inline distT="0" distB="0" distL="114300" distR="114300">
            <wp:extent cx="5871210" cy="7126605"/>
            <wp:effectExtent l="0" t="0" r="15240" b="17145"/>
            <wp:docPr id="9" name="图片 9" descr="2fec75d6f4c2fc428dfc47a277ce0d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fec75d6f4c2fc428dfc47a277ce0dfd"/>
                    <pic:cNvPicPr>
                      <a:picLocks noChangeAspect="1"/>
                    </pic:cNvPicPr>
                  </pic:nvPicPr>
                  <pic:blipFill>
                    <a:blip r:embed="rId100"/>
                    <a:stretch>
                      <a:fillRect/>
                    </a:stretch>
                  </pic:blipFill>
                  <pic:spPr>
                    <a:xfrm>
                      <a:off x="0" y="0"/>
                      <a:ext cx="5871210" cy="7126605"/>
                    </a:xfrm>
                    <a:prstGeom prst="rect">
                      <a:avLst/>
                    </a:prstGeom>
                  </pic:spPr>
                </pic:pic>
              </a:graphicData>
            </a:graphic>
          </wp:inline>
        </w:drawing>
      </w:r>
    </w:p>
    <w:p w14:paraId="3F254BE8">
      <w:pPr>
        <w:ind w:firstLine="422"/>
        <w:jc w:val="center"/>
        <w:rPr>
          <w:b/>
          <w:bCs/>
          <w:color w:val="auto"/>
          <w:sz w:val="21"/>
          <w:szCs w:val="21"/>
        </w:rPr>
      </w:pPr>
      <w:r>
        <w:rPr>
          <w:rFonts w:hint="eastAsia"/>
          <w:b/>
          <w:bCs/>
          <w:color w:val="auto"/>
          <w:sz w:val="21"/>
          <w:szCs w:val="21"/>
        </w:rPr>
        <w:t xml:space="preserve">图2-2 </w:t>
      </w:r>
      <w:r>
        <w:rPr>
          <w:b/>
          <w:bCs/>
          <w:color w:val="auto"/>
          <w:sz w:val="21"/>
          <w:szCs w:val="21"/>
        </w:rPr>
        <w:t>2#</w:t>
      </w:r>
      <w:r>
        <w:rPr>
          <w:rFonts w:hint="eastAsia"/>
          <w:b/>
          <w:bCs/>
          <w:color w:val="auto"/>
          <w:sz w:val="21"/>
          <w:szCs w:val="21"/>
        </w:rPr>
        <w:t>污水处理站工艺流程图</w:t>
      </w:r>
    </w:p>
    <w:p w14:paraId="14DDCAFE">
      <w:pPr>
        <w:numPr>
          <w:ilvl w:val="0"/>
          <w:numId w:val="8"/>
        </w:numPr>
        <w:ind w:firstLine="480"/>
        <w:rPr>
          <w:color w:val="auto"/>
        </w:rPr>
      </w:pPr>
      <w:r>
        <w:rPr>
          <w:rFonts w:hint="eastAsia"/>
          <w:color w:val="auto"/>
        </w:rPr>
        <w:t>丁苯乳胶生产线污水处理站</w:t>
      </w:r>
    </w:p>
    <w:p w14:paraId="1BC11F3C">
      <w:pPr>
        <w:ind w:firstLine="480"/>
        <w:rPr>
          <w:color w:val="auto"/>
        </w:rPr>
      </w:pPr>
      <w:r>
        <w:rPr>
          <w:color w:val="auto"/>
        </w:rPr>
        <w:t xml:space="preserve">   </w:t>
      </w:r>
      <w:r>
        <w:rPr>
          <w:rFonts w:hint="eastAsia"/>
          <w:color w:val="auto"/>
        </w:rPr>
        <w:t>丁苯乳胶生产线主要生产废水为气提冷凝水、循环排污水、分析化验废水等。丁苯乳胶生产线采用“调节</w:t>
      </w:r>
      <w:r>
        <w:rPr>
          <w:color w:val="auto"/>
        </w:rPr>
        <w:t>+</w:t>
      </w:r>
      <w:r>
        <w:rPr>
          <w:rFonts w:hint="eastAsia"/>
          <w:color w:val="auto"/>
        </w:rPr>
        <w:t>芬顿</w:t>
      </w:r>
      <w:r>
        <w:rPr>
          <w:color w:val="auto"/>
        </w:rPr>
        <w:t>+</w:t>
      </w:r>
      <w:r>
        <w:rPr>
          <w:rFonts w:hint="eastAsia"/>
          <w:color w:val="auto"/>
        </w:rPr>
        <w:t>厌氧</w:t>
      </w:r>
      <w:r>
        <w:rPr>
          <w:color w:val="auto"/>
        </w:rPr>
        <w:t>+</w:t>
      </w:r>
      <w:r>
        <w:rPr>
          <w:rFonts w:hint="eastAsia"/>
          <w:color w:val="auto"/>
        </w:rPr>
        <w:t>缺氧</w:t>
      </w:r>
      <w:r>
        <w:rPr>
          <w:color w:val="auto"/>
        </w:rPr>
        <w:t>+</w:t>
      </w:r>
      <w:r>
        <w:rPr>
          <w:rFonts w:hint="eastAsia"/>
          <w:color w:val="auto"/>
        </w:rPr>
        <w:t>沉淀”的处理工艺。</w:t>
      </w:r>
    </w:p>
    <w:p w14:paraId="5AD7F3AC">
      <w:pPr>
        <w:ind w:firstLine="480"/>
        <w:rPr>
          <w:color w:val="auto"/>
        </w:rPr>
      </w:pPr>
      <w:r>
        <w:rPr>
          <w:rFonts w:hint="eastAsia"/>
          <w:color w:val="auto"/>
        </w:rPr>
        <w:t>①预处理</w:t>
      </w:r>
    </w:p>
    <w:p w14:paraId="29ABF423">
      <w:pPr>
        <w:ind w:firstLine="480"/>
        <w:rPr>
          <w:color w:val="auto"/>
        </w:rPr>
      </w:pPr>
      <w:r>
        <w:rPr>
          <w:rFonts w:hint="eastAsia"/>
          <w:color w:val="auto"/>
        </w:rPr>
        <w:t>丁苯乳胶生产线产生的生产废水经过格栅去除漂浮物后，进入调节池进行水质的均匀混合、水量的调节。随后进入混凝沉淀工序，沉淀后出水进入芬顿反应池。</w:t>
      </w:r>
    </w:p>
    <w:p w14:paraId="44C1B6B6">
      <w:pPr>
        <w:ind w:firstLine="480"/>
        <w:rPr>
          <w:color w:val="auto"/>
        </w:rPr>
      </w:pPr>
      <w:r>
        <w:rPr>
          <w:rFonts w:hint="eastAsia"/>
          <w:color w:val="auto"/>
        </w:rPr>
        <w:t>②芬顿反应</w:t>
      </w:r>
    </w:p>
    <w:p w14:paraId="568B2F58">
      <w:pPr>
        <w:ind w:firstLine="480"/>
        <w:rPr>
          <w:color w:val="auto"/>
        </w:rPr>
      </w:pPr>
      <w:r>
        <w:rPr>
          <w:rFonts w:hint="eastAsia"/>
          <w:color w:val="auto"/>
        </w:rPr>
        <w:t>丁苯乳胶生产线污水处理站配套</w:t>
      </w:r>
      <w:r>
        <w:rPr>
          <w:color w:val="auto"/>
        </w:rPr>
        <w:t>1</w:t>
      </w:r>
      <w:r>
        <w:rPr>
          <w:rFonts w:hint="eastAsia"/>
          <w:color w:val="auto"/>
        </w:rPr>
        <w:t>座芬顿反应池，将废水中的非溶解性有机物转变为溶解性有机物，提高废水的可生化性。芬顿氧化处理工程工艺主要包括调酸、催化剂混合、氧化反应、中和、固液分离。</w:t>
      </w:r>
    </w:p>
    <w:p w14:paraId="34A42AE5">
      <w:pPr>
        <w:ind w:firstLine="480"/>
        <w:rPr>
          <w:color w:val="auto"/>
        </w:rPr>
      </w:pPr>
      <w:r>
        <w:rPr>
          <w:rFonts w:hint="eastAsia"/>
          <w:color w:val="auto"/>
        </w:rPr>
        <w:t>③生化处理</w:t>
      </w:r>
    </w:p>
    <w:p w14:paraId="190E6A8F">
      <w:pPr>
        <w:ind w:firstLine="480"/>
        <w:rPr>
          <w:color w:val="auto"/>
        </w:rPr>
      </w:pPr>
      <w:r>
        <w:rPr>
          <w:rFonts w:hint="eastAsia"/>
          <w:color w:val="auto"/>
        </w:rPr>
        <w:t>芬顿反应出水后进入生化反应工序，丁苯乳胶生产线污水处理站采用三段式生化处理，含二级厌氧处理及一级好氧处理。生化池进行少量曝气，保持低溶解氧状态。随后经过沉淀池处理后深海排放。</w:t>
      </w:r>
    </w:p>
    <w:p w14:paraId="591AC1D8">
      <w:pPr>
        <w:ind w:firstLine="480" w:firstLineChars="0"/>
        <w:rPr>
          <w:color w:val="auto"/>
        </w:rPr>
      </w:pPr>
      <w:r>
        <w:rPr>
          <w:rFonts w:hint="eastAsia"/>
          <w:color w:val="auto"/>
        </w:rPr>
        <w:t>丁苯乳胶生产线污水处理站工艺流程图见下图所示。</w:t>
      </w:r>
    </w:p>
    <w:p w14:paraId="728B69C3">
      <w:pPr>
        <w:ind w:firstLine="480" w:firstLineChars="0"/>
        <w:jc w:val="center"/>
        <w:rPr>
          <w:color w:val="auto"/>
        </w:rPr>
      </w:pPr>
      <w:r>
        <w:rPr>
          <w:color w:val="auto"/>
        </w:rPr>
        <w:object>
          <v:shape id="_x0000_i1043" o:spt="75" type="#_x0000_t75" style="height:302.5pt;width:246pt;" o:ole="t" filled="f" o:preferrelative="t" stroked="f" coordsize="21600,21600">
            <v:path/>
            <v:fill on="f" focussize="0,0"/>
            <v:stroke on="f" joinstyle="miter"/>
            <v:imagedata r:id="rId102" o:title=""/>
            <o:lock v:ext="edit" aspectratio="f"/>
            <w10:wrap type="none"/>
            <w10:anchorlock/>
          </v:shape>
          <o:OLEObject Type="Embed" ProgID="Visio.Drawing.15" ShapeID="_x0000_i1043" DrawAspect="Content" ObjectID="_1468075738" r:id="rId101">
            <o:LockedField>false</o:LockedField>
          </o:OLEObject>
        </w:object>
      </w:r>
    </w:p>
    <w:p w14:paraId="69654610">
      <w:pPr>
        <w:pStyle w:val="8"/>
        <w:rPr>
          <w:color w:val="auto"/>
        </w:rPr>
      </w:pPr>
      <w:r>
        <w:rPr>
          <w:rFonts w:hint="eastAsia"/>
          <w:color w:val="auto"/>
        </w:rPr>
        <w:t>丁苯乳胶污水处理站工艺流程图</w:t>
      </w:r>
    </w:p>
    <w:p w14:paraId="6D3DC720">
      <w:pPr>
        <w:numPr>
          <w:ilvl w:val="0"/>
          <w:numId w:val="8"/>
        </w:numPr>
        <w:ind w:firstLine="480"/>
        <w:rPr>
          <w:color w:val="auto"/>
        </w:rPr>
      </w:pPr>
      <w:r>
        <w:rPr>
          <w:rFonts w:hint="eastAsia"/>
          <w:color w:val="auto"/>
        </w:rPr>
        <w:t>依托污水处理站工艺可行性分析</w:t>
      </w:r>
    </w:p>
    <w:p w14:paraId="760D055E">
      <w:pPr>
        <w:ind w:firstLine="480"/>
        <w:rPr>
          <w:color w:val="auto"/>
        </w:rPr>
      </w:pPr>
      <w:r>
        <w:rPr>
          <w:rFonts w:hint="eastAsia"/>
          <w:color w:val="auto"/>
        </w:rPr>
        <w:t>项目依托污水处理站各处理工艺与《制浆造纸工业污染防治可行性技术指南》（</w:t>
      </w:r>
      <w:r>
        <w:rPr>
          <w:color w:val="auto"/>
        </w:rPr>
        <w:t>HJ2302-2018</w:t>
      </w:r>
      <w:r>
        <w:rPr>
          <w:rFonts w:hint="eastAsia"/>
          <w:color w:val="auto"/>
        </w:rPr>
        <w:t>）附录</w:t>
      </w:r>
      <w:r>
        <w:rPr>
          <w:color w:val="auto"/>
        </w:rPr>
        <w:t>B</w:t>
      </w:r>
      <w:r>
        <w:rPr>
          <w:rFonts w:hint="eastAsia"/>
          <w:color w:val="auto"/>
        </w:rPr>
        <w:t>、《制浆造纸废水治理工程技术规范》中推荐的相符性分析见下表所示。</w:t>
      </w:r>
    </w:p>
    <w:p w14:paraId="6C93D2F8">
      <w:pPr>
        <w:pStyle w:val="7"/>
        <w:rPr>
          <w:color w:val="auto"/>
        </w:rPr>
      </w:pPr>
      <w:r>
        <w:rPr>
          <w:rFonts w:hint="eastAsia"/>
          <w:color w:val="auto"/>
        </w:rPr>
        <w:t>依托污水处理设施与《制浆造纸工业污染防治可行性技术指南》相符性分析一览表</w:t>
      </w:r>
    </w:p>
    <w:tbl>
      <w:tblPr>
        <w:tblStyle w:val="26"/>
        <w:tblW w:w="5000" w:type="pct"/>
        <w:tblInd w:w="0" w:type="dxa"/>
        <w:tblLayout w:type="fixed"/>
        <w:tblCellMar>
          <w:top w:w="0" w:type="dxa"/>
          <w:left w:w="108" w:type="dxa"/>
          <w:bottom w:w="0" w:type="dxa"/>
          <w:right w:w="108" w:type="dxa"/>
        </w:tblCellMar>
      </w:tblPr>
      <w:tblGrid>
        <w:gridCol w:w="706"/>
        <w:gridCol w:w="1194"/>
        <w:gridCol w:w="1516"/>
        <w:gridCol w:w="1750"/>
        <w:gridCol w:w="1855"/>
        <w:gridCol w:w="1510"/>
        <w:gridCol w:w="755"/>
      </w:tblGrid>
      <w:tr w14:paraId="0A375D57">
        <w:tblPrEx>
          <w:tblCellMar>
            <w:top w:w="0" w:type="dxa"/>
            <w:left w:w="108" w:type="dxa"/>
            <w:bottom w:w="0" w:type="dxa"/>
            <w:right w:w="108" w:type="dxa"/>
          </w:tblCellMar>
        </w:tblPrEx>
        <w:trPr>
          <w:trHeight w:val="841" w:hRule="atLeast"/>
        </w:trPr>
        <w:tc>
          <w:tcPr>
            <w:tcW w:w="381" w:type="pct"/>
            <w:tcBorders>
              <w:top w:val="single" w:color="000000" w:sz="4" w:space="0"/>
              <w:left w:val="single" w:color="000000" w:sz="4" w:space="0"/>
              <w:bottom w:val="single" w:color="000000" w:sz="4" w:space="0"/>
              <w:right w:val="single" w:color="000000" w:sz="4" w:space="0"/>
            </w:tcBorders>
            <w:noWrap/>
            <w:vAlign w:val="center"/>
          </w:tcPr>
          <w:p w14:paraId="7E115C9E">
            <w:pPr>
              <w:pStyle w:val="33"/>
              <w:rPr>
                <w:color w:val="auto"/>
              </w:rPr>
            </w:pPr>
            <w:r>
              <w:rPr>
                <w:rFonts w:hint="eastAsia"/>
                <w:color w:val="auto"/>
              </w:rPr>
              <w:t>处理工段</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7B1B0238">
            <w:pPr>
              <w:pStyle w:val="33"/>
              <w:rPr>
                <w:color w:val="auto"/>
              </w:rPr>
            </w:pPr>
            <w:r>
              <w:rPr>
                <w:rFonts w:hint="eastAsia"/>
                <w:color w:val="auto"/>
              </w:rPr>
              <w:t>技术指南</w:t>
            </w:r>
          </w:p>
        </w:tc>
        <w:tc>
          <w:tcPr>
            <w:tcW w:w="1756" w:type="pct"/>
            <w:gridSpan w:val="2"/>
            <w:tcBorders>
              <w:top w:val="single" w:color="000000" w:sz="4" w:space="0"/>
              <w:left w:val="single" w:color="000000" w:sz="4" w:space="0"/>
              <w:bottom w:val="single" w:color="000000" w:sz="4" w:space="0"/>
              <w:right w:val="single" w:color="000000" w:sz="4" w:space="0"/>
            </w:tcBorders>
            <w:noWrap/>
            <w:vAlign w:val="center"/>
          </w:tcPr>
          <w:p w14:paraId="5631230A">
            <w:pPr>
              <w:pStyle w:val="33"/>
              <w:rPr>
                <w:color w:val="auto"/>
              </w:rPr>
            </w:pPr>
            <w:r>
              <w:rPr>
                <w:color w:val="auto"/>
              </w:rPr>
              <w:t>1#</w:t>
            </w:r>
            <w:r>
              <w:rPr>
                <w:rFonts w:hint="eastAsia"/>
                <w:color w:val="auto"/>
              </w:rPr>
              <w:t>污水处理站处理工艺</w:t>
            </w:r>
          </w:p>
        </w:tc>
        <w:tc>
          <w:tcPr>
            <w:tcW w:w="998" w:type="pct"/>
            <w:tcBorders>
              <w:top w:val="single" w:color="000000" w:sz="4" w:space="0"/>
              <w:left w:val="single" w:color="000000" w:sz="4" w:space="0"/>
              <w:right w:val="single" w:color="000000" w:sz="4" w:space="0"/>
            </w:tcBorders>
            <w:vAlign w:val="center"/>
          </w:tcPr>
          <w:p w14:paraId="361A2AD9">
            <w:pPr>
              <w:pStyle w:val="33"/>
              <w:rPr>
                <w:color w:val="auto"/>
              </w:rPr>
            </w:pPr>
            <w:r>
              <w:rPr>
                <w:color w:val="auto"/>
              </w:rPr>
              <w:t>2#</w:t>
            </w:r>
            <w:r>
              <w:rPr>
                <w:rFonts w:hint="eastAsia"/>
                <w:color w:val="auto"/>
              </w:rPr>
              <w:t>污水处理站</w:t>
            </w:r>
          </w:p>
        </w:tc>
        <w:tc>
          <w:tcPr>
            <w:tcW w:w="812" w:type="pct"/>
            <w:tcBorders>
              <w:top w:val="single" w:color="000000" w:sz="4" w:space="0"/>
              <w:left w:val="single" w:color="000000" w:sz="4" w:space="0"/>
              <w:bottom w:val="single" w:color="000000" w:sz="4" w:space="0"/>
              <w:right w:val="single" w:color="000000" w:sz="4" w:space="0"/>
            </w:tcBorders>
            <w:vAlign w:val="center"/>
          </w:tcPr>
          <w:p w14:paraId="24EA961C">
            <w:pPr>
              <w:pStyle w:val="33"/>
              <w:rPr>
                <w:color w:val="auto"/>
              </w:rPr>
            </w:pPr>
            <w:r>
              <w:rPr>
                <w:rFonts w:hint="eastAsia"/>
                <w:color w:val="auto"/>
              </w:rPr>
              <w:t>丁苯乳胶</w:t>
            </w:r>
          </w:p>
        </w:tc>
        <w:tc>
          <w:tcPr>
            <w:tcW w:w="407" w:type="pct"/>
            <w:tcBorders>
              <w:top w:val="single" w:color="000000" w:sz="4" w:space="0"/>
              <w:left w:val="single" w:color="000000" w:sz="4" w:space="0"/>
              <w:bottom w:val="single" w:color="000000" w:sz="4" w:space="0"/>
              <w:right w:val="single" w:color="000000" w:sz="4" w:space="0"/>
            </w:tcBorders>
            <w:vAlign w:val="center"/>
          </w:tcPr>
          <w:p w14:paraId="568D6A64">
            <w:pPr>
              <w:pStyle w:val="33"/>
              <w:rPr>
                <w:color w:val="auto"/>
              </w:rPr>
            </w:pPr>
            <w:r>
              <w:rPr>
                <w:rFonts w:hint="eastAsia"/>
                <w:color w:val="auto"/>
              </w:rPr>
              <w:t>技术</w:t>
            </w:r>
            <w:r>
              <w:rPr>
                <w:color w:val="auto"/>
              </w:rPr>
              <w:br w:type="textWrapping"/>
            </w:r>
            <w:r>
              <w:rPr>
                <w:rFonts w:hint="eastAsia"/>
                <w:color w:val="auto"/>
              </w:rPr>
              <w:t>可行性</w:t>
            </w:r>
          </w:p>
        </w:tc>
      </w:tr>
      <w:tr w14:paraId="7A3A6F84">
        <w:tblPrEx>
          <w:tblCellMar>
            <w:top w:w="0" w:type="dxa"/>
            <w:left w:w="108" w:type="dxa"/>
            <w:bottom w:w="0" w:type="dxa"/>
            <w:right w:w="108" w:type="dxa"/>
          </w:tblCellMar>
        </w:tblPrEx>
        <w:trPr>
          <w:trHeight w:val="161" w:hRule="atLeast"/>
        </w:trPr>
        <w:tc>
          <w:tcPr>
            <w:tcW w:w="381" w:type="pct"/>
            <w:vMerge w:val="restart"/>
            <w:tcBorders>
              <w:top w:val="single" w:color="000000" w:sz="4" w:space="0"/>
              <w:left w:val="single" w:color="000000" w:sz="4" w:space="0"/>
              <w:bottom w:val="single" w:color="000000" w:sz="4" w:space="0"/>
              <w:right w:val="single" w:color="000000" w:sz="4" w:space="0"/>
            </w:tcBorders>
            <w:noWrap/>
            <w:vAlign w:val="center"/>
          </w:tcPr>
          <w:p w14:paraId="09049260">
            <w:pPr>
              <w:pStyle w:val="33"/>
              <w:rPr>
                <w:color w:val="auto"/>
              </w:rPr>
            </w:pPr>
            <w:r>
              <w:rPr>
                <w:rFonts w:hint="eastAsia"/>
                <w:color w:val="auto"/>
              </w:rPr>
              <w:t>预处理</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0F701018">
            <w:pPr>
              <w:pStyle w:val="33"/>
              <w:rPr>
                <w:color w:val="auto"/>
              </w:rPr>
            </w:pPr>
            <w:r>
              <w:rPr>
                <w:rFonts w:hint="eastAsia"/>
                <w:color w:val="auto"/>
              </w:rPr>
              <w:t>过滤</w:t>
            </w:r>
          </w:p>
        </w:tc>
        <w:tc>
          <w:tcPr>
            <w:tcW w:w="815" w:type="pct"/>
            <w:vMerge w:val="restart"/>
            <w:tcBorders>
              <w:top w:val="single" w:color="000000" w:sz="4" w:space="0"/>
              <w:left w:val="single" w:color="000000" w:sz="4" w:space="0"/>
              <w:bottom w:val="single" w:color="000000" w:sz="4" w:space="0"/>
              <w:right w:val="single" w:color="000000" w:sz="4" w:space="0"/>
            </w:tcBorders>
            <w:vAlign w:val="center"/>
          </w:tcPr>
          <w:p w14:paraId="59262A6E">
            <w:pPr>
              <w:pStyle w:val="33"/>
              <w:rPr>
                <w:color w:val="auto"/>
              </w:rPr>
            </w:pPr>
            <w:r>
              <w:rPr>
                <w:rFonts w:hint="eastAsia"/>
                <w:color w:val="auto"/>
              </w:rPr>
              <w:t>格栅</w:t>
            </w:r>
            <w:r>
              <w:rPr>
                <w:color w:val="auto"/>
              </w:rPr>
              <w:t>+</w:t>
            </w:r>
            <w:r>
              <w:rPr>
                <w:rFonts w:hint="eastAsia"/>
                <w:color w:val="auto"/>
              </w:rPr>
              <w:t>絮凝沉淀</w:t>
            </w:r>
          </w:p>
        </w:tc>
        <w:tc>
          <w:tcPr>
            <w:tcW w:w="940" w:type="pct"/>
            <w:vMerge w:val="restart"/>
            <w:tcBorders>
              <w:top w:val="single" w:color="000000" w:sz="4" w:space="0"/>
              <w:left w:val="single" w:color="000000" w:sz="4" w:space="0"/>
              <w:right w:val="single" w:color="000000" w:sz="4" w:space="0"/>
            </w:tcBorders>
            <w:noWrap/>
            <w:vAlign w:val="center"/>
          </w:tcPr>
          <w:p w14:paraId="2836A344">
            <w:pPr>
              <w:pStyle w:val="33"/>
              <w:rPr>
                <w:color w:val="auto"/>
              </w:rPr>
            </w:pPr>
            <w:r>
              <w:rPr>
                <w:rFonts w:hint="eastAsia"/>
                <w:color w:val="auto"/>
              </w:rPr>
              <w:t>格栅过滤</w:t>
            </w:r>
            <w:r>
              <w:rPr>
                <w:color w:val="auto"/>
              </w:rPr>
              <w:t>+</w:t>
            </w:r>
            <w:r>
              <w:rPr>
                <w:rFonts w:hint="eastAsia"/>
                <w:color w:val="auto"/>
              </w:rPr>
              <w:t>絮凝沉淀</w:t>
            </w:r>
            <w:r>
              <w:rPr>
                <w:color w:val="auto"/>
              </w:rPr>
              <w:t>+</w:t>
            </w:r>
            <w:r>
              <w:rPr>
                <w:rFonts w:hint="eastAsia"/>
                <w:color w:val="auto"/>
              </w:rPr>
              <w:t>气浮</w:t>
            </w:r>
          </w:p>
        </w:tc>
        <w:tc>
          <w:tcPr>
            <w:tcW w:w="998" w:type="pct"/>
            <w:vMerge w:val="restart"/>
            <w:tcBorders>
              <w:top w:val="single" w:color="000000" w:sz="4" w:space="0"/>
              <w:left w:val="single" w:color="000000" w:sz="4" w:space="0"/>
              <w:right w:val="single" w:color="000000" w:sz="4" w:space="0"/>
            </w:tcBorders>
            <w:noWrap/>
            <w:vAlign w:val="center"/>
          </w:tcPr>
          <w:p w14:paraId="5322315B">
            <w:pPr>
              <w:pStyle w:val="33"/>
              <w:rPr>
                <w:color w:val="auto"/>
              </w:rPr>
            </w:pPr>
            <w:r>
              <w:rPr>
                <w:rFonts w:hint="eastAsia"/>
                <w:color w:val="auto"/>
              </w:rPr>
              <w:t>格栅</w:t>
            </w:r>
            <w:r>
              <w:rPr>
                <w:color w:val="auto"/>
              </w:rPr>
              <w:t>+</w:t>
            </w:r>
            <w:r>
              <w:rPr>
                <w:rFonts w:hint="eastAsia"/>
                <w:color w:val="auto"/>
              </w:rPr>
              <w:t>絮凝沉淀</w:t>
            </w:r>
          </w:p>
        </w:tc>
        <w:tc>
          <w:tcPr>
            <w:tcW w:w="812" w:type="pct"/>
            <w:vMerge w:val="restart"/>
            <w:tcBorders>
              <w:top w:val="single" w:color="000000" w:sz="4" w:space="0"/>
              <w:left w:val="single" w:color="000000" w:sz="4" w:space="0"/>
              <w:right w:val="single" w:color="000000" w:sz="4" w:space="0"/>
            </w:tcBorders>
            <w:noWrap/>
            <w:vAlign w:val="center"/>
          </w:tcPr>
          <w:p w14:paraId="61CC5F1A">
            <w:pPr>
              <w:pStyle w:val="33"/>
              <w:rPr>
                <w:color w:val="auto"/>
              </w:rPr>
            </w:pPr>
            <w:r>
              <w:rPr>
                <w:rFonts w:hint="eastAsia"/>
                <w:color w:val="auto"/>
              </w:rPr>
              <w:t>格栅</w:t>
            </w:r>
            <w:r>
              <w:rPr>
                <w:color w:val="auto"/>
              </w:rPr>
              <w:t>+</w:t>
            </w:r>
            <w:r>
              <w:rPr>
                <w:rFonts w:hint="eastAsia"/>
                <w:color w:val="auto"/>
              </w:rPr>
              <w:t>絮凝沉淀</w:t>
            </w:r>
            <w:r>
              <w:rPr>
                <w:color w:val="auto"/>
              </w:rPr>
              <w:t>+</w:t>
            </w:r>
            <w:r>
              <w:rPr>
                <w:rFonts w:hint="eastAsia"/>
                <w:color w:val="auto"/>
              </w:rPr>
              <w:t>高级氧化（</w:t>
            </w:r>
            <w:r>
              <w:rPr>
                <w:color w:val="auto"/>
              </w:rPr>
              <w:t>Fenton</w:t>
            </w:r>
            <w:r>
              <w:rPr>
                <w:rFonts w:hint="eastAsia"/>
                <w:color w:val="auto"/>
              </w:rPr>
              <w:t>氧化）</w:t>
            </w:r>
          </w:p>
        </w:tc>
        <w:tc>
          <w:tcPr>
            <w:tcW w:w="407" w:type="pct"/>
            <w:vMerge w:val="restart"/>
            <w:tcBorders>
              <w:top w:val="single" w:color="000000" w:sz="4" w:space="0"/>
              <w:left w:val="single" w:color="000000" w:sz="4" w:space="0"/>
              <w:bottom w:val="single" w:color="000000" w:sz="4" w:space="0"/>
              <w:right w:val="single" w:color="000000" w:sz="4" w:space="0"/>
            </w:tcBorders>
            <w:noWrap/>
            <w:vAlign w:val="center"/>
          </w:tcPr>
          <w:p w14:paraId="786949A0">
            <w:pPr>
              <w:pStyle w:val="33"/>
              <w:rPr>
                <w:color w:val="auto"/>
              </w:rPr>
            </w:pPr>
            <w:r>
              <w:rPr>
                <w:rFonts w:hint="eastAsia"/>
                <w:color w:val="auto"/>
              </w:rPr>
              <w:t>可行</w:t>
            </w:r>
          </w:p>
        </w:tc>
      </w:tr>
      <w:tr w14:paraId="7EFB1110">
        <w:tblPrEx>
          <w:tblCellMar>
            <w:top w:w="0" w:type="dxa"/>
            <w:left w:w="108" w:type="dxa"/>
            <w:bottom w:w="0" w:type="dxa"/>
            <w:right w:w="108" w:type="dxa"/>
          </w:tblCellMar>
        </w:tblPrEx>
        <w:trPr>
          <w:trHeight w:val="25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2ED5067A">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3D6642F9">
            <w:pPr>
              <w:pStyle w:val="33"/>
              <w:rPr>
                <w:color w:val="auto"/>
              </w:rPr>
            </w:pPr>
            <w:r>
              <w:rPr>
                <w:rFonts w:hint="eastAsia"/>
                <w:color w:val="auto"/>
              </w:rPr>
              <w:t>沉淀</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17241D55">
            <w:pPr>
              <w:pStyle w:val="33"/>
              <w:rPr>
                <w:color w:val="auto"/>
              </w:rPr>
            </w:pPr>
          </w:p>
        </w:tc>
        <w:tc>
          <w:tcPr>
            <w:tcW w:w="940" w:type="pct"/>
            <w:vMerge w:val="continue"/>
            <w:tcBorders>
              <w:left w:val="single" w:color="000000" w:sz="4" w:space="0"/>
              <w:right w:val="single" w:color="000000" w:sz="4" w:space="0"/>
            </w:tcBorders>
            <w:noWrap/>
            <w:vAlign w:val="center"/>
          </w:tcPr>
          <w:p w14:paraId="5F85F54F">
            <w:pPr>
              <w:pStyle w:val="33"/>
              <w:rPr>
                <w:color w:val="auto"/>
              </w:rPr>
            </w:pPr>
          </w:p>
        </w:tc>
        <w:tc>
          <w:tcPr>
            <w:tcW w:w="998" w:type="pct"/>
            <w:vMerge w:val="continue"/>
            <w:tcBorders>
              <w:left w:val="single" w:color="000000" w:sz="4" w:space="0"/>
              <w:right w:val="single" w:color="000000" w:sz="4" w:space="0"/>
            </w:tcBorders>
            <w:noWrap/>
            <w:vAlign w:val="center"/>
          </w:tcPr>
          <w:p w14:paraId="3120B0B7">
            <w:pPr>
              <w:pStyle w:val="33"/>
              <w:rPr>
                <w:color w:val="auto"/>
              </w:rPr>
            </w:pPr>
          </w:p>
        </w:tc>
        <w:tc>
          <w:tcPr>
            <w:tcW w:w="812" w:type="pct"/>
            <w:vMerge w:val="continue"/>
            <w:tcBorders>
              <w:left w:val="single" w:color="000000" w:sz="4" w:space="0"/>
              <w:right w:val="single" w:color="000000" w:sz="4" w:space="0"/>
            </w:tcBorders>
            <w:noWrap/>
            <w:vAlign w:val="center"/>
          </w:tcPr>
          <w:p w14:paraId="4E282E3A">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7682476D">
            <w:pPr>
              <w:pStyle w:val="33"/>
              <w:rPr>
                <w:color w:val="auto"/>
              </w:rPr>
            </w:pPr>
          </w:p>
        </w:tc>
      </w:tr>
      <w:tr w14:paraId="2E9DD7B6">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00CA8562">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746BA9BC">
            <w:pPr>
              <w:pStyle w:val="33"/>
              <w:rPr>
                <w:color w:val="auto"/>
              </w:rPr>
            </w:pPr>
            <w:r>
              <w:rPr>
                <w:rFonts w:hint="eastAsia"/>
                <w:color w:val="auto"/>
              </w:rPr>
              <w:t>混凝</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615B86C9">
            <w:pPr>
              <w:pStyle w:val="33"/>
              <w:rPr>
                <w:color w:val="auto"/>
              </w:rPr>
            </w:pPr>
          </w:p>
        </w:tc>
        <w:tc>
          <w:tcPr>
            <w:tcW w:w="940" w:type="pct"/>
            <w:vMerge w:val="continue"/>
            <w:tcBorders>
              <w:left w:val="single" w:color="000000" w:sz="4" w:space="0"/>
              <w:bottom w:val="single" w:color="000000" w:sz="4" w:space="0"/>
              <w:right w:val="single" w:color="000000" w:sz="4" w:space="0"/>
            </w:tcBorders>
            <w:noWrap/>
            <w:vAlign w:val="center"/>
          </w:tcPr>
          <w:p w14:paraId="0F4EAB35">
            <w:pPr>
              <w:pStyle w:val="33"/>
              <w:rPr>
                <w:color w:val="auto"/>
              </w:rPr>
            </w:pPr>
          </w:p>
        </w:tc>
        <w:tc>
          <w:tcPr>
            <w:tcW w:w="998" w:type="pct"/>
            <w:vMerge w:val="continue"/>
            <w:tcBorders>
              <w:left w:val="single" w:color="000000" w:sz="4" w:space="0"/>
              <w:bottom w:val="single" w:color="000000" w:sz="4" w:space="0"/>
              <w:right w:val="single" w:color="000000" w:sz="4" w:space="0"/>
            </w:tcBorders>
            <w:noWrap/>
            <w:vAlign w:val="center"/>
          </w:tcPr>
          <w:p w14:paraId="580AD017">
            <w:pPr>
              <w:pStyle w:val="33"/>
              <w:rPr>
                <w:color w:val="auto"/>
              </w:rPr>
            </w:pPr>
          </w:p>
        </w:tc>
        <w:tc>
          <w:tcPr>
            <w:tcW w:w="812" w:type="pct"/>
            <w:vMerge w:val="continue"/>
            <w:tcBorders>
              <w:left w:val="single" w:color="000000" w:sz="4" w:space="0"/>
              <w:bottom w:val="single" w:color="000000" w:sz="4" w:space="0"/>
              <w:right w:val="single" w:color="000000" w:sz="4" w:space="0"/>
            </w:tcBorders>
            <w:noWrap/>
            <w:vAlign w:val="center"/>
          </w:tcPr>
          <w:p w14:paraId="31DDF945">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2BB089A9">
            <w:pPr>
              <w:pStyle w:val="33"/>
              <w:rPr>
                <w:color w:val="auto"/>
              </w:rPr>
            </w:pPr>
          </w:p>
        </w:tc>
      </w:tr>
      <w:tr w14:paraId="1D301201">
        <w:tblPrEx>
          <w:tblCellMar>
            <w:top w:w="0" w:type="dxa"/>
            <w:left w:w="108" w:type="dxa"/>
            <w:bottom w:w="0" w:type="dxa"/>
            <w:right w:w="108" w:type="dxa"/>
          </w:tblCellMar>
        </w:tblPrEx>
        <w:trPr>
          <w:trHeight w:val="249" w:hRule="atLeast"/>
        </w:trPr>
        <w:tc>
          <w:tcPr>
            <w:tcW w:w="381" w:type="pct"/>
            <w:vMerge w:val="restart"/>
            <w:tcBorders>
              <w:top w:val="single" w:color="000000" w:sz="4" w:space="0"/>
              <w:left w:val="single" w:color="000000" w:sz="4" w:space="0"/>
              <w:bottom w:val="single" w:color="000000" w:sz="4" w:space="0"/>
              <w:right w:val="single" w:color="000000" w:sz="4" w:space="0"/>
            </w:tcBorders>
            <w:noWrap/>
            <w:vAlign w:val="center"/>
          </w:tcPr>
          <w:p w14:paraId="7869273F">
            <w:pPr>
              <w:pStyle w:val="33"/>
              <w:rPr>
                <w:color w:val="auto"/>
              </w:rPr>
            </w:pPr>
            <w:r>
              <w:rPr>
                <w:rFonts w:hint="eastAsia"/>
                <w:color w:val="auto"/>
              </w:rPr>
              <w:t>厌氧处理</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75139CAF">
            <w:pPr>
              <w:pStyle w:val="33"/>
              <w:rPr>
                <w:color w:val="auto"/>
              </w:rPr>
            </w:pPr>
            <w:r>
              <w:rPr>
                <w:rFonts w:hint="eastAsia"/>
                <w:color w:val="auto"/>
              </w:rPr>
              <w:t>水解酸化</w:t>
            </w:r>
          </w:p>
        </w:tc>
        <w:tc>
          <w:tcPr>
            <w:tcW w:w="815" w:type="pct"/>
            <w:vMerge w:val="restart"/>
            <w:tcBorders>
              <w:top w:val="single" w:color="000000" w:sz="4" w:space="0"/>
              <w:left w:val="single" w:color="000000" w:sz="4" w:space="0"/>
              <w:bottom w:val="single" w:color="000000" w:sz="4" w:space="0"/>
              <w:right w:val="single" w:color="000000" w:sz="4" w:space="0"/>
            </w:tcBorders>
            <w:vAlign w:val="center"/>
          </w:tcPr>
          <w:p w14:paraId="0C6EEF12">
            <w:pPr>
              <w:pStyle w:val="33"/>
              <w:rPr>
                <w:color w:val="auto"/>
              </w:rPr>
            </w:pPr>
            <w:r>
              <w:rPr>
                <w:color w:val="auto"/>
              </w:rPr>
              <w:t>/</w:t>
            </w:r>
          </w:p>
        </w:tc>
        <w:tc>
          <w:tcPr>
            <w:tcW w:w="940" w:type="pct"/>
            <w:vMerge w:val="restart"/>
            <w:tcBorders>
              <w:top w:val="single" w:color="000000" w:sz="4" w:space="0"/>
              <w:left w:val="single" w:color="000000" w:sz="4" w:space="0"/>
              <w:right w:val="single" w:color="000000" w:sz="4" w:space="0"/>
            </w:tcBorders>
            <w:noWrap/>
            <w:vAlign w:val="center"/>
          </w:tcPr>
          <w:p w14:paraId="16D64502">
            <w:pPr>
              <w:pStyle w:val="33"/>
              <w:rPr>
                <w:color w:val="auto"/>
              </w:rPr>
            </w:pPr>
            <w:r>
              <w:rPr>
                <w:rFonts w:hint="eastAsia"/>
                <w:color w:val="auto"/>
              </w:rPr>
              <w:t>水解酸化</w:t>
            </w:r>
            <w:r>
              <w:rPr>
                <w:color w:val="auto"/>
              </w:rPr>
              <w:t>+</w:t>
            </w:r>
            <w:r>
              <w:rPr>
                <w:color w:val="auto"/>
              </w:rPr>
              <w:br w:type="textWrapping"/>
            </w:r>
            <w:r>
              <w:rPr>
                <w:color w:val="auto"/>
              </w:rPr>
              <w:t>UMAR</w:t>
            </w:r>
            <w:r>
              <w:rPr>
                <w:rFonts w:hint="eastAsia"/>
                <w:color w:val="auto"/>
              </w:rPr>
              <w:t>（升流式多级内循环厌氧反应器，一种新型的高效厌氧反应器）</w:t>
            </w:r>
          </w:p>
        </w:tc>
        <w:tc>
          <w:tcPr>
            <w:tcW w:w="998" w:type="pct"/>
            <w:vMerge w:val="restart"/>
            <w:tcBorders>
              <w:top w:val="single" w:color="000000" w:sz="4" w:space="0"/>
              <w:left w:val="single" w:color="000000" w:sz="4" w:space="0"/>
              <w:right w:val="single" w:color="000000" w:sz="4" w:space="0"/>
            </w:tcBorders>
            <w:noWrap/>
            <w:vAlign w:val="center"/>
          </w:tcPr>
          <w:p w14:paraId="35220B6F">
            <w:pPr>
              <w:pStyle w:val="33"/>
              <w:rPr>
                <w:color w:val="auto"/>
              </w:rPr>
            </w:pPr>
            <w:r>
              <w:rPr>
                <w:color w:val="auto"/>
              </w:rPr>
              <w:t>/</w:t>
            </w:r>
          </w:p>
        </w:tc>
        <w:tc>
          <w:tcPr>
            <w:tcW w:w="812" w:type="pct"/>
            <w:vMerge w:val="restart"/>
            <w:tcBorders>
              <w:top w:val="single" w:color="000000" w:sz="4" w:space="0"/>
              <w:left w:val="single" w:color="000000" w:sz="4" w:space="0"/>
              <w:right w:val="single" w:color="000000" w:sz="4" w:space="0"/>
            </w:tcBorders>
            <w:noWrap/>
            <w:vAlign w:val="center"/>
          </w:tcPr>
          <w:p w14:paraId="761D7385">
            <w:pPr>
              <w:pStyle w:val="33"/>
              <w:rPr>
                <w:color w:val="auto"/>
              </w:rPr>
            </w:pPr>
            <w:r>
              <w:rPr>
                <w:rFonts w:hint="eastAsia"/>
                <w:color w:val="auto"/>
              </w:rPr>
              <w:t>厌氧反应池</w:t>
            </w:r>
          </w:p>
        </w:tc>
        <w:tc>
          <w:tcPr>
            <w:tcW w:w="407" w:type="pct"/>
            <w:vMerge w:val="restart"/>
            <w:tcBorders>
              <w:top w:val="single" w:color="000000" w:sz="4" w:space="0"/>
              <w:left w:val="single" w:color="000000" w:sz="4" w:space="0"/>
              <w:bottom w:val="single" w:color="000000" w:sz="4" w:space="0"/>
              <w:right w:val="single" w:color="000000" w:sz="4" w:space="0"/>
            </w:tcBorders>
            <w:noWrap/>
            <w:vAlign w:val="center"/>
          </w:tcPr>
          <w:p w14:paraId="62E5991E">
            <w:pPr>
              <w:pStyle w:val="33"/>
              <w:rPr>
                <w:color w:val="auto"/>
              </w:rPr>
            </w:pPr>
            <w:r>
              <w:rPr>
                <w:rFonts w:hint="eastAsia"/>
                <w:color w:val="auto"/>
              </w:rPr>
              <w:t>可行</w:t>
            </w:r>
          </w:p>
        </w:tc>
      </w:tr>
      <w:tr w14:paraId="531E3670">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582F7EBD">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311DF25A">
            <w:pPr>
              <w:pStyle w:val="33"/>
              <w:rPr>
                <w:color w:val="auto"/>
              </w:rPr>
            </w:pPr>
            <w:r>
              <w:rPr>
                <w:color w:val="auto"/>
              </w:rPr>
              <w:t>UASB</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64E72A6E">
            <w:pPr>
              <w:pStyle w:val="33"/>
              <w:rPr>
                <w:color w:val="auto"/>
              </w:rPr>
            </w:pPr>
          </w:p>
        </w:tc>
        <w:tc>
          <w:tcPr>
            <w:tcW w:w="940" w:type="pct"/>
            <w:vMerge w:val="continue"/>
            <w:tcBorders>
              <w:left w:val="single" w:color="000000" w:sz="4" w:space="0"/>
              <w:right w:val="single" w:color="000000" w:sz="4" w:space="0"/>
            </w:tcBorders>
            <w:noWrap/>
            <w:vAlign w:val="center"/>
          </w:tcPr>
          <w:p w14:paraId="13539F98">
            <w:pPr>
              <w:pStyle w:val="33"/>
              <w:rPr>
                <w:color w:val="auto"/>
              </w:rPr>
            </w:pPr>
          </w:p>
        </w:tc>
        <w:tc>
          <w:tcPr>
            <w:tcW w:w="998" w:type="pct"/>
            <w:vMerge w:val="continue"/>
            <w:tcBorders>
              <w:left w:val="single" w:color="000000" w:sz="4" w:space="0"/>
              <w:right w:val="single" w:color="000000" w:sz="4" w:space="0"/>
            </w:tcBorders>
            <w:noWrap/>
            <w:vAlign w:val="center"/>
          </w:tcPr>
          <w:p w14:paraId="0A1E57B3">
            <w:pPr>
              <w:pStyle w:val="33"/>
              <w:rPr>
                <w:color w:val="auto"/>
              </w:rPr>
            </w:pPr>
          </w:p>
        </w:tc>
        <w:tc>
          <w:tcPr>
            <w:tcW w:w="812" w:type="pct"/>
            <w:vMerge w:val="continue"/>
            <w:tcBorders>
              <w:left w:val="single" w:color="000000" w:sz="4" w:space="0"/>
              <w:right w:val="single" w:color="000000" w:sz="4" w:space="0"/>
            </w:tcBorders>
            <w:noWrap/>
            <w:vAlign w:val="center"/>
          </w:tcPr>
          <w:p w14:paraId="49171A76">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165EEFB2">
            <w:pPr>
              <w:pStyle w:val="33"/>
              <w:rPr>
                <w:color w:val="auto"/>
              </w:rPr>
            </w:pPr>
          </w:p>
        </w:tc>
      </w:tr>
      <w:tr w14:paraId="05F71D60">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491B380F">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34427B54">
            <w:pPr>
              <w:pStyle w:val="33"/>
              <w:rPr>
                <w:color w:val="auto"/>
              </w:rPr>
            </w:pPr>
            <w:r>
              <w:rPr>
                <w:color w:val="auto"/>
              </w:rPr>
              <w:t>EGSB</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75822439">
            <w:pPr>
              <w:pStyle w:val="33"/>
              <w:rPr>
                <w:color w:val="auto"/>
              </w:rPr>
            </w:pPr>
          </w:p>
        </w:tc>
        <w:tc>
          <w:tcPr>
            <w:tcW w:w="940" w:type="pct"/>
            <w:vMerge w:val="continue"/>
            <w:tcBorders>
              <w:left w:val="single" w:color="000000" w:sz="4" w:space="0"/>
              <w:bottom w:val="single" w:color="000000" w:sz="4" w:space="0"/>
              <w:right w:val="single" w:color="000000" w:sz="4" w:space="0"/>
            </w:tcBorders>
            <w:noWrap/>
            <w:vAlign w:val="center"/>
          </w:tcPr>
          <w:p w14:paraId="1CB48F54">
            <w:pPr>
              <w:pStyle w:val="33"/>
              <w:rPr>
                <w:color w:val="auto"/>
              </w:rPr>
            </w:pPr>
          </w:p>
        </w:tc>
        <w:tc>
          <w:tcPr>
            <w:tcW w:w="998" w:type="pct"/>
            <w:vMerge w:val="continue"/>
            <w:tcBorders>
              <w:left w:val="single" w:color="000000" w:sz="4" w:space="0"/>
              <w:bottom w:val="single" w:color="000000" w:sz="4" w:space="0"/>
              <w:right w:val="single" w:color="000000" w:sz="4" w:space="0"/>
            </w:tcBorders>
            <w:noWrap/>
            <w:vAlign w:val="center"/>
          </w:tcPr>
          <w:p w14:paraId="55EB3D4A">
            <w:pPr>
              <w:pStyle w:val="33"/>
              <w:rPr>
                <w:color w:val="auto"/>
              </w:rPr>
            </w:pPr>
          </w:p>
        </w:tc>
        <w:tc>
          <w:tcPr>
            <w:tcW w:w="812" w:type="pct"/>
            <w:vMerge w:val="continue"/>
            <w:tcBorders>
              <w:left w:val="single" w:color="000000" w:sz="4" w:space="0"/>
              <w:bottom w:val="single" w:color="000000" w:sz="4" w:space="0"/>
              <w:right w:val="single" w:color="000000" w:sz="4" w:space="0"/>
            </w:tcBorders>
            <w:noWrap/>
            <w:vAlign w:val="center"/>
          </w:tcPr>
          <w:p w14:paraId="3C9B2D6E">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282A9DDE">
            <w:pPr>
              <w:pStyle w:val="33"/>
              <w:rPr>
                <w:color w:val="auto"/>
              </w:rPr>
            </w:pPr>
          </w:p>
        </w:tc>
      </w:tr>
      <w:tr w14:paraId="4D106925">
        <w:tblPrEx>
          <w:tblCellMar>
            <w:top w:w="0" w:type="dxa"/>
            <w:left w:w="108" w:type="dxa"/>
            <w:bottom w:w="0" w:type="dxa"/>
            <w:right w:w="108" w:type="dxa"/>
          </w:tblCellMar>
        </w:tblPrEx>
        <w:trPr>
          <w:trHeight w:val="90" w:hRule="atLeast"/>
        </w:trPr>
        <w:tc>
          <w:tcPr>
            <w:tcW w:w="381" w:type="pct"/>
            <w:vMerge w:val="restart"/>
            <w:tcBorders>
              <w:top w:val="single" w:color="000000" w:sz="4" w:space="0"/>
              <w:left w:val="single" w:color="000000" w:sz="4" w:space="0"/>
              <w:bottom w:val="single" w:color="000000" w:sz="4" w:space="0"/>
              <w:right w:val="single" w:color="000000" w:sz="4" w:space="0"/>
            </w:tcBorders>
            <w:noWrap/>
            <w:vAlign w:val="center"/>
          </w:tcPr>
          <w:p w14:paraId="742EA98A">
            <w:pPr>
              <w:pStyle w:val="33"/>
              <w:rPr>
                <w:color w:val="auto"/>
              </w:rPr>
            </w:pPr>
            <w:r>
              <w:rPr>
                <w:rFonts w:hint="eastAsia"/>
                <w:color w:val="auto"/>
              </w:rPr>
              <w:t>好氧技术</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3D2AFFC8">
            <w:pPr>
              <w:pStyle w:val="33"/>
              <w:rPr>
                <w:color w:val="auto"/>
              </w:rPr>
            </w:pPr>
            <w:r>
              <w:rPr>
                <w:rFonts w:hint="eastAsia"/>
                <w:color w:val="auto"/>
              </w:rPr>
              <w:t>完全混合活性污泥法</w:t>
            </w:r>
          </w:p>
        </w:tc>
        <w:tc>
          <w:tcPr>
            <w:tcW w:w="815" w:type="pct"/>
            <w:vMerge w:val="restart"/>
            <w:tcBorders>
              <w:top w:val="single" w:color="000000" w:sz="4" w:space="0"/>
              <w:left w:val="single" w:color="000000" w:sz="4" w:space="0"/>
              <w:bottom w:val="single" w:color="000000" w:sz="4" w:space="0"/>
              <w:right w:val="single" w:color="000000" w:sz="4" w:space="0"/>
            </w:tcBorders>
            <w:noWrap/>
            <w:vAlign w:val="center"/>
          </w:tcPr>
          <w:p w14:paraId="35A35DD2">
            <w:pPr>
              <w:pStyle w:val="33"/>
              <w:rPr>
                <w:color w:val="auto"/>
              </w:rPr>
            </w:pPr>
            <w:r>
              <w:rPr>
                <w:color w:val="auto"/>
              </w:rPr>
              <w:t>SBR</w:t>
            </w:r>
          </w:p>
        </w:tc>
        <w:tc>
          <w:tcPr>
            <w:tcW w:w="940" w:type="pct"/>
            <w:vMerge w:val="restart"/>
            <w:tcBorders>
              <w:top w:val="single" w:color="000000" w:sz="4" w:space="0"/>
              <w:left w:val="single" w:color="000000" w:sz="4" w:space="0"/>
              <w:right w:val="single" w:color="000000" w:sz="4" w:space="0"/>
            </w:tcBorders>
            <w:noWrap/>
            <w:vAlign w:val="center"/>
          </w:tcPr>
          <w:p w14:paraId="575303AD">
            <w:pPr>
              <w:pStyle w:val="33"/>
              <w:rPr>
                <w:color w:val="auto"/>
              </w:rPr>
            </w:pPr>
            <w:r>
              <w:rPr>
                <w:rFonts w:hint="eastAsia"/>
                <w:color w:val="auto"/>
              </w:rPr>
              <w:t>二级</w:t>
            </w:r>
            <w:r>
              <w:rPr>
                <w:color w:val="auto"/>
              </w:rPr>
              <w:t>A/O</w:t>
            </w:r>
            <w:r>
              <w:rPr>
                <w:rFonts w:hint="eastAsia"/>
                <w:color w:val="auto"/>
              </w:rPr>
              <w:t>工艺</w:t>
            </w:r>
          </w:p>
        </w:tc>
        <w:tc>
          <w:tcPr>
            <w:tcW w:w="998" w:type="pct"/>
            <w:vMerge w:val="restart"/>
            <w:tcBorders>
              <w:top w:val="single" w:color="000000" w:sz="4" w:space="0"/>
              <w:left w:val="single" w:color="000000" w:sz="4" w:space="0"/>
              <w:right w:val="single" w:color="000000" w:sz="4" w:space="0"/>
            </w:tcBorders>
            <w:noWrap/>
            <w:vAlign w:val="center"/>
          </w:tcPr>
          <w:p w14:paraId="26C0DB24">
            <w:pPr>
              <w:pStyle w:val="33"/>
              <w:rPr>
                <w:color w:val="auto"/>
              </w:rPr>
            </w:pPr>
            <w:r>
              <w:rPr>
                <w:color w:val="auto"/>
              </w:rPr>
              <w:t>SBR</w:t>
            </w:r>
          </w:p>
        </w:tc>
        <w:tc>
          <w:tcPr>
            <w:tcW w:w="812" w:type="pct"/>
            <w:vMerge w:val="restart"/>
            <w:tcBorders>
              <w:top w:val="single" w:color="000000" w:sz="4" w:space="0"/>
              <w:left w:val="single" w:color="000000" w:sz="4" w:space="0"/>
              <w:right w:val="single" w:color="000000" w:sz="4" w:space="0"/>
            </w:tcBorders>
            <w:noWrap/>
            <w:vAlign w:val="center"/>
          </w:tcPr>
          <w:p w14:paraId="4FA3BF01">
            <w:pPr>
              <w:pStyle w:val="33"/>
              <w:rPr>
                <w:color w:val="auto"/>
              </w:rPr>
            </w:pPr>
            <w:r>
              <w:rPr>
                <w:color w:val="auto"/>
              </w:rPr>
              <w:t>A/O</w:t>
            </w:r>
          </w:p>
        </w:tc>
        <w:tc>
          <w:tcPr>
            <w:tcW w:w="407" w:type="pct"/>
            <w:vMerge w:val="restart"/>
            <w:tcBorders>
              <w:top w:val="single" w:color="000000" w:sz="4" w:space="0"/>
              <w:left w:val="single" w:color="000000" w:sz="4" w:space="0"/>
              <w:bottom w:val="single" w:color="000000" w:sz="4" w:space="0"/>
              <w:right w:val="single" w:color="000000" w:sz="4" w:space="0"/>
            </w:tcBorders>
            <w:noWrap/>
            <w:vAlign w:val="center"/>
          </w:tcPr>
          <w:p w14:paraId="57E37BC7">
            <w:pPr>
              <w:pStyle w:val="33"/>
              <w:rPr>
                <w:color w:val="auto"/>
              </w:rPr>
            </w:pPr>
            <w:r>
              <w:rPr>
                <w:rFonts w:hint="eastAsia"/>
                <w:color w:val="auto"/>
              </w:rPr>
              <w:t>可行</w:t>
            </w:r>
          </w:p>
        </w:tc>
      </w:tr>
      <w:tr w14:paraId="4AE6A100">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099E80D8">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20C18E20">
            <w:pPr>
              <w:pStyle w:val="33"/>
              <w:rPr>
                <w:color w:val="auto"/>
              </w:rPr>
            </w:pPr>
            <w:r>
              <w:rPr>
                <w:rFonts w:hint="eastAsia"/>
                <w:color w:val="auto"/>
              </w:rPr>
              <w:t>氧化沟</w:t>
            </w:r>
          </w:p>
        </w:tc>
        <w:tc>
          <w:tcPr>
            <w:tcW w:w="815" w:type="pct"/>
            <w:vMerge w:val="continue"/>
            <w:tcBorders>
              <w:top w:val="single" w:color="000000" w:sz="4" w:space="0"/>
              <w:left w:val="single" w:color="000000" w:sz="4" w:space="0"/>
              <w:bottom w:val="single" w:color="000000" w:sz="4" w:space="0"/>
              <w:right w:val="single" w:color="000000" w:sz="4" w:space="0"/>
            </w:tcBorders>
            <w:noWrap/>
            <w:vAlign w:val="center"/>
          </w:tcPr>
          <w:p w14:paraId="3C76292F">
            <w:pPr>
              <w:pStyle w:val="33"/>
              <w:rPr>
                <w:color w:val="auto"/>
              </w:rPr>
            </w:pPr>
          </w:p>
        </w:tc>
        <w:tc>
          <w:tcPr>
            <w:tcW w:w="940" w:type="pct"/>
            <w:vMerge w:val="continue"/>
            <w:tcBorders>
              <w:left w:val="single" w:color="000000" w:sz="4" w:space="0"/>
              <w:right w:val="single" w:color="000000" w:sz="4" w:space="0"/>
            </w:tcBorders>
            <w:noWrap/>
            <w:vAlign w:val="center"/>
          </w:tcPr>
          <w:p w14:paraId="1C16B576">
            <w:pPr>
              <w:pStyle w:val="33"/>
              <w:rPr>
                <w:color w:val="auto"/>
              </w:rPr>
            </w:pPr>
          </w:p>
        </w:tc>
        <w:tc>
          <w:tcPr>
            <w:tcW w:w="998" w:type="pct"/>
            <w:vMerge w:val="continue"/>
            <w:tcBorders>
              <w:left w:val="single" w:color="000000" w:sz="4" w:space="0"/>
              <w:right w:val="single" w:color="000000" w:sz="4" w:space="0"/>
            </w:tcBorders>
            <w:noWrap/>
            <w:vAlign w:val="center"/>
          </w:tcPr>
          <w:p w14:paraId="2E3C2AFD">
            <w:pPr>
              <w:pStyle w:val="33"/>
              <w:rPr>
                <w:color w:val="auto"/>
              </w:rPr>
            </w:pPr>
          </w:p>
        </w:tc>
        <w:tc>
          <w:tcPr>
            <w:tcW w:w="812" w:type="pct"/>
            <w:vMerge w:val="continue"/>
            <w:tcBorders>
              <w:left w:val="single" w:color="000000" w:sz="4" w:space="0"/>
              <w:right w:val="single" w:color="000000" w:sz="4" w:space="0"/>
            </w:tcBorders>
            <w:noWrap/>
            <w:vAlign w:val="center"/>
          </w:tcPr>
          <w:p w14:paraId="5549EB73">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0FDA75D2">
            <w:pPr>
              <w:pStyle w:val="33"/>
              <w:rPr>
                <w:color w:val="auto"/>
              </w:rPr>
            </w:pPr>
          </w:p>
        </w:tc>
      </w:tr>
      <w:tr w14:paraId="060DDD6F">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0CBB612F">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0B8BF5EF">
            <w:pPr>
              <w:pStyle w:val="33"/>
              <w:rPr>
                <w:color w:val="auto"/>
              </w:rPr>
            </w:pPr>
            <w:r>
              <w:rPr>
                <w:color w:val="auto"/>
              </w:rPr>
              <w:t>A/O</w:t>
            </w:r>
          </w:p>
        </w:tc>
        <w:tc>
          <w:tcPr>
            <w:tcW w:w="815" w:type="pct"/>
            <w:vMerge w:val="continue"/>
            <w:tcBorders>
              <w:top w:val="single" w:color="000000" w:sz="4" w:space="0"/>
              <w:left w:val="single" w:color="000000" w:sz="4" w:space="0"/>
              <w:bottom w:val="single" w:color="000000" w:sz="4" w:space="0"/>
              <w:right w:val="single" w:color="000000" w:sz="4" w:space="0"/>
            </w:tcBorders>
            <w:noWrap/>
            <w:vAlign w:val="center"/>
          </w:tcPr>
          <w:p w14:paraId="13668B99">
            <w:pPr>
              <w:pStyle w:val="33"/>
              <w:rPr>
                <w:color w:val="auto"/>
              </w:rPr>
            </w:pPr>
          </w:p>
        </w:tc>
        <w:tc>
          <w:tcPr>
            <w:tcW w:w="940" w:type="pct"/>
            <w:vMerge w:val="continue"/>
            <w:tcBorders>
              <w:left w:val="single" w:color="000000" w:sz="4" w:space="0"/>
              <w:right w:val="single" w:color="000000" w:sz="4" w:space="0"/>
            </w:tcBorders>
            <w:noWrap/>
            <w:vAlign w:val="center"/>
          </w:tcPr>
          <w:p w14:paraId="600621C8">
            <w:pPr>
              <w:pStyle w:val="33"/>
              <w:rPr>
                <w:color w:val="auto"/>
              </w:rPr>
            </w:pPr>
          </w:p>
        </w:tc>
        <w:tc>
          <w:tcPr>
            <w:tcW w:w="998" w:type="pct"/>
            <w:vMerge w:val="continue"/>
            <w:tcBorders>
              <w:left w:val="single" w:color="000000" w:sz="4" w:space="0"/>
              <w:right w:val="single" w:color="000000" w:sz="4" w:space="0"/>
            </w:tcBorders>
            <w:noWrap/>
            <w:vAlign w:val="center"/>
          </w:tcPr>
          <w:p w14:paraId="664ACE25">
            <w:pPr>
              <w:pStyle w:val="33"/>
              <w:rPr>
                <w:color w:val="auto"/>
              </w:rPr>
            </w:pPr>
          </w:p>
        </w:tc>
        <w:tc>
          <w:tcPr>
            <w:tcW w:w="812" w:type="pct"/>
            <w:vMerge w:val="continue"/>
            <w:tcBorders>
              <w:left w:val="single" w:color="000000" w:sz="4" w:space="0"/>
              <w:right w:val="single" w:color="000000" w:sz="4" w:space="0"/>
            </w:tcBorders>
            <w:noWrap/>
            <w:vAlign w:val="center"/>
          </w:tcPr>
          <w:p w14:paraId="5ED34F23">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6B8FC88E">
            <w:pPr>
              <w:pStyle w:val="33"/>
              <w:rPr>
                <w:color w:val="auto"/>
              </w:rPr>
            </w:pPr>
          </w:p>
        </w:tc>
      </w:tr>
      <w:tr w14:paraId="17926FD8">
        <w:tblPrEx>
          <w:tblCellMar>
            <w:top w:w="0" w:type="dxa"/>
            <w:left w:w="108" w:type="dxa"/>
            <w:bottom w:w="0" w:type="dxa"/>
            <w:right w:w="108" w:type="dxa"/>
          </w:tblCellMar>
        </w:tblPrEx>
        <w:trPr>
          <w:trHeight w:val="9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5CF4A9E3">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31265D01">
            <w:pPr>
              <w:pStyle w:val="33"/>
              <w:rPr>
                <w:color w:val="auto"/>
              </w:rPr>
            </w:pPr>
            <w:r>
              <w:rPr>
                <w:color w:val="auto"/>
              </w:rPr>
              <w:t>SBR</w:t>
            </w:r>
          </w:p>
        </w:tc>
        <w:tc>
          <w:tcPr>
            <w:tcW w:w="815" w:type="pct"/>
            <w:vMerge w:val="continue"/>
            <w:tcBorders>
              <w:top w:val="single" w:color="000000" w:sz="4" w:space="0"/>
              <w:left w:val="single" w:color="000000" w:sz="4" w:space="0"/>
              <w:bottom w:val="single" w:color="000000" w:sz="4" w:space="0"/>
              <w:right w:val="single" w:color="000000" w:sz="4" w:space="0"/>
            </w:tcBorders>
            <w:noWrap/>
            <w:vAlign w:val="center"/>
          </w:tcPr>
          <w:p w14:paraId="27CACCA7">
            <w:pPr>
              <w:pStyle w:val="33"/>
              <w:rPr>
                <w:color w:val="auto"/>
              </w:rPr>
            </w:pPr>
          </w:p>
        </w:tc>
        <w:tc>
          <w:tcPr>
            <w:tcW w:w="940" w:type="pct"/>
            <w:vMerge w:val="continue"/>
            <w:tcBorders>
              <w:left w:val="single" w:color="000000" w:sz="4" w:space="0"/>
              <w:bottom w:val="single" w:color="000000" w:sz="4" w:space="0"/>
              <w:right w:val="single" w:color="000000" w:sz="4" w:space="0"/>
            </w:tcBorders>
            <w:noWrap/>
            <w:vAlign w:val="center"/>
          </w:tcPr>
          <w:p w14:paraId="2A19DB9D">
            <w:pPr>
              <w:pStyle w:val="33"/>
              <w:rPr>
                <w:color w:val="auto"/>
              </w:rPr>
            </w:pPr>
          </w:p>
        </w:tc>
        <w:tc>
          <w:tcPr>
            <w:tcW w:w="998" w:type="pct"/>
            <w:vMerge w:val="continue"/>
            <w:tcBorders>
              <w:left w:val="single" w:color="000000" w:sz="4" w:space="0"/>
              <w:bottom w:val="single" w:color="000000" w:sz="4" w:space="0"/>
              <w:right w:val="single" w:color="000000" w:sz="4" w:space="0"/>
            </w:tcBorders>
            <w:noWrap/>
            <w:vAlign w:val="center"/>
          </w:tcPr>
          <w:p w14:paraId="3D0AF1AC">
            <w:pPr>
              <w:pStyle w:val="33"/>
              <w:rPr>
                <w:color w:val="auto"/>
              </w:rPr>
            </w:pPr>
          </w:p>
        </w:tc>
        <w:tc>
          <w:tcPr>
            <w:tcW w:w="812" w:type="pct"/>
            <w:vMerge w:val="continue"/>
            <w:tcBorders>
              <w:left w:val="single" w:color="000000" w:sz="4" w:space="0"/>
              <w:bottom w:val="single" w:color="000000" w:sz="4" w:space="0"/>
              <w:right w:val="single" w:color="000000" w:sz="4" w:space="0"/>
            </w:tcBorders>
            <w:noWrap/>
            <w:vAlign w:val="center"/>
          </w:tcPr>
          <w:p w14:paraId="67E632F1">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053D3121">
            <w:pPr>
              <w:pStyle w:val="33"/>
              <w:rPr>
                <w:color w:val="auto"/>
              </w:rPr>
            </w:pPr>
          </w:p>
        </w:tc>
      </w:tr>
      <w:tr w14:paraId="3164BE6B">
        <w:trPr>
          <w:trHeight w:val="270" w:hRule="atLeast"/>
        </w:trPr>
        <w:tc>
          <w:tcPr>
            <w:tcW w:w="381" w:type="pct"/>
            <w:vMerge w:val="restart"/>
            <w:tcBorders>
              <w:top w:val="single" w:color="000000" w:sz="4" w:space="0"/>
              <w:left w:val="single" w:color="000000" w:sz="4" w:space="0"/>
              <w:bottom w:val="single" w:color="000000" w:sz="4" w:space="0"/>
              <w:right w:val="single" w:color="000000" w:sz="4" w:space="0"/>
            </w:tcBorders>
            <w:noWrap/>
            <w:vAlign w:val="center"/>
          </w:tcPr>
          <w:p w14:paraId="67D9756D">
            <w:pPr>
              <w:pStyle w:val="33"/>
              <w:rPr>
                <w:color w:val="auto"/>
              </w:rPr>
            </w:pPr>
            <w:r>
              <w:rPr>
                <w:rFonts w:hint="eastAsia"/>
                <w:color w:val="auto"/>
              </w:rPr>
              <w:t>三级处理</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1C7ACD23">
            <w:pPr>
              <w:pStyle w:val="33"/>
              <w:rPr>
                <w:color w:val="auto"/>
              </w:rPr>
            </w:pPr>
            <w:r>
              <w:rPr>
                <w:rFonts w:hint="eastAsia"/>
                <w:color w:val="auto"/>
              </w:rPr>
              <w:t>混凝沉淀</w:t>
            </w:r>
          </w:p>
        </w:tc>
        <w:tc>
          <w:tcPr>
            <w:tcW w:w="815" w:type="pct"/>
            <w:vMerge w:val="restart"/>
            <w:tcBorders>
              <w:top w:val="single" w:color="000000" w:sz="4" w:space="0"/>
              <w:left w:val="single" w:color="000000" w:sz="4" w:space="0"/>
              <w:bottom w:val="single" w:color="000000" w:sz="4" w:space="0"/>
              <w:right w:val="single" w:color="000000" w:sz="4" w:space="0"/>
            </w:tcBorders>
            <w:vAlign w:val="center"/>
          </w:tcPr>
          <w:p w14:paraId="2E1C78D4">
            <w:pPr>
              <w:pStyle w:val="33"/>
              <w:rPr>
                <w:color w:val="auto"/>
              </w:rPr>
            </w:pPr>
            <w:r>
              <w:rPr>
                <w:rFonts w:hint="eastAsia"/>
                <w:color w:val="auto"/>
              </w:rPr>
              <w:t>高级氧化技术（</w:t>
            </w:r>
            <w:r>
              <w:rPr>
                <w:color w:val="auto"/>
              </w:rPr>
              <w:t>Fenton</w:t>
            </w:r>
            <w:r>
              <w:rPr>
                <w:rFonts w:hint="eastAsia"/>
                <w:color w:val="auto"/>
              </w:rPr>
              <w:t>氧化）或气浮</w:t>
            </w:r>
          </w:p>
        </w:tc>
        <w:tc>
          <w:tcPr>
            <w:tcW w:w="940" w:type="pct"/>
            <w:vMerge w:val="restart"/>
            <w:tcBorders>
              <w:top w:val="single" w:color="000000" w:sz="4" w:space="0"/>
              <w:left w:val="single" w:color="000000" w:sz="4" w:space="0"/>
              <w:right w:val="single" w:color="000000" w:sz="4" w:space="0"/>
            </w:tcBorders>
            <w:noWrap/>
            <w:vAlign w:val="center"/>
          </w:tcPr>
          <w:p w14:paraId="155430F0">
            <w:pPr>
              <w:pStyle w:val="33"/>
              <w:rPr>
                <w:color w:val="auto"/>
              </w:rPr>
            </w:pPr>
            <w:r>
              <w:rPr>
                <w:rFonts w:hint="eastAsia"/>
                <w:color w:val="auto"/>
              </w:rPr>
              <w:t>高级氧化技术（</w:t>
            </w:r>
            <w:r>
              <w:rPr>
                <w:color w:val="auto"/>
              </w:rPr>
              <w:t>Fenton</w:t>
            </w:r>
            <w:r>
              <w:rPr>
                <w:rFonts w:hint="eastAsia"/>
                <w:color w:val="auto"/>
              </w:rPr>
              <w:t>氧化）</w:t>
            </w:r>
          </w:p>
        </w:tc>
        <w:tc>
          <w:tcPr>
            <w:tcW w:w="998" w:type="pct"/>
            <w:vMerge w:val="restart"/>
            <w:tcBorders>
              <w:top w:val="single" w:color="000000" w:sz="4" w:space="0"/>
              <w:left w:val="single" w:color="000000" w:sz="4" w:space="0"/>
              <w:right w:val="single" w:color="000000" w:sz="4" w:space="0"/>
            </w:tcBorders>
            <w:noWrap/>
            <w:vAlign w:val="center"/>
          </w:tcPr>
          <w:p w14:paraId="59E62B72">
            <w:pPr>
              <w:pStyle w:val="33"/>
              <w:rPr>
                <w:color w:val="auto"/>
              </w:rPr>
            </w:pPr>
            <w:r>
              <w:rPr>
                <w:rFonts w:hint="eastAsia"/>
                <w:color w:val="auto"/>
              </w:rPr>
              <w:t>高级氧化技术（</w:t>
            </w:r>
            <w:r>
              <w:rPr>
                <w:color w:val="auto"/>
              </w:rPr>
              <w:t>Fenton</w:t>
            </w:r>
            <w:r>
              <w:rPr>
                <w:rFonts w:hint="eastAsia"/>
                <w:color w:val="auto"/>
              </w:rPr>
              <w:t>氧化）或混凝沉淀</w:t>
            </w:r>
          </w:p>
        </w:tc>
        <w:tc>
          <w:tcPr>
            <w:tcW w:w="812" w:type="pct"/>
            <w:vMerge w:val="restart"/>
            <w:tcBorders>
              <w:top w:val="single" w:color="000000" w:sz="4" w:space="0"/>
              <w:left w:val="single" w:color="000000" w:sz="4" w:space="0"/>
              <w:right w:val="single" w:color="000000" w:sz="4" w:space="0"/>
            </w:tcBorders>
            <w:noWrap/>
            <w:vAlign w:val="center"/>
          </w:tcPr>
          <w:p w14:paraId="6E1DA075">
            <w:pPr>
              <w:pStyle w:val="33"/>
              <w:rPr>
                <w:color w:val="auto"/>
              </w:rPr>
            </w:pPr>
            <w:r>
              <w:rPr>
                <w:rFonts w:hint="eastAsia"/>
                <w:color w:val="auto"/>
              </w:rPr>
              <w:t>沉淀</w:t>
            </w:r>
          </w:p>
        </w:tc>
        <w:tc>
          <w:tcPr>
            <w:tcW w:w="407" w:type="pct"/>
            <w:vMerge w:val="restart"/>
            <w:tcBorders>
              <w:top w:val="single" w:color="000000" w:sz="4" w:space="0"/>
              <w:left w:val="single" w:color="000000" w:sz="4" w:space="0"/>
              <w:bottom w:val="single" w:color="000000" w:sz="4" w:space="0"/>
              <w:right w:val="single" w:color="000000" w:sz="4" w:space="0"/>
            </w:tcBorders>
            <w:noWrap/>
            <w:vAlign w:val="center"/>
          </w:tcPr>
          <w:p w14:paraId="01A1A5DD">
            <w:pPr>
              <w:pStyle w:val="33"/>
              <w:rPr>
                <w:color w:val="auto"/>
              </w:rPr>
            </w:pPr>
            <w:r>
              <w:rPr>
                <w:rFonts w:hint="eastAsia"/>
                <w:color w:val="auto"/>
              </w:rPr>
              <w:t>可行</w:t>
            </w:r>
          </w:p>
        </w:tc>
      </w:tr>
      <w:tr w14:paraId="16DF13A4">
        <w:tblPrEx>
          <w:tblCellMar>
            <w:top w:w="0" w:type="dxa"/>
            <w:left w:w="108" w:type="dxa"/>
            <w:bottom w:w="0" w:type="dxa"/>
            <w:right w:w="108" w:type="dxa"/>
          </w:tblCellMar>
        </w:tblPrEx>
        <w:trPr>
          <w:trHeight w:val="27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00E9CC05">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24447CD3">
            <w:pPr>
              <w:pStyle w:val="33"/>
              <w:rPr>
                <w:color w:val="auto"/>
              </w:rPr>
            </w:pPr>
            <w:r>
              <w:rPr>
                <w:rFonts w:hint="eastAsia"/>
                <w:color w:val="auto"/>
              </w:rPr>
              <w:t>气浮</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727571CC">
            <w:pPr>
              <w:pStyle w:val="33"/>
              <w:rPr>
                <w:color w:val="auto"/>
              </w:rPr>
            </w:pPr>
          </w:p>
        </w:tc>
        <w:tc>
          <w:tcPr>
            <w:tcW w:w="940" w:type="pct"/>
            <w:vMerge w:val="continue"/>
            <w:tcBorders>
              <w:left w:val="single" w:color="000000" w:sz="4" w:space="0"/>
              <w:right w:val="single" w:color="000000" w:sz="4" w:space="0"/>
            </w:tcBorders>
            <w:noWrap/>
            <w:vAlign w:val="center"/>
          </w:tcPr>
          <w:p w14:paraId="1E9B8337">
            <w:pPr>
              <w:pStyle w:val="33"/>
              <w:rPr>
                <w:color w:val="auto"/>
              </w:rPr>
            </w:pPr>
          </w:p>
        </w:tc>
        <w:tc>
          <w:tcPr>
            <w:tcW w:w="998" w:type="pct"/>
            <w:vMerge w:val="continue"/>
            <w:tcBorders>
              <w:left w:val="single" w:color="000000" w:sz="4" w:space="0"/>
              <w:right w:val="single" w:color="000000" w:sz="4" w:space="0"/>
            </w:tcBorders>
            <w:noWrap/>
            <w:vAlign w:val="center"/>
          </w:tcPr>
          <w:p w14:paraId="4F05A23B">
            <w:pPr>
              <w:pStyle w:val="33"/>
              <w:rPr>
                <w:color w:val="auto"/>
              </w:rPr>
            </w:pPr>
          </w:p>
        </w:tc>
        <w:tc>
          <w:tcPr>
            <w:tcW w:w="812" w:type="pct"/>
            <w:vMerge w:val="continue"/>
            <w:tcBorders>
              <w:left w:val="single" w:color="000000" w:sz="4" w:space="0"/>
              <w:right w:val="single" w:color="000000" w:sz="4" w:space="0"/>
            </w:tcBorders>
            <w:noWrap/>
            <w:vAlign w:val="center"/>
          </w:tcPr>
          <w:p w14:paraId="262D95B1">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3DD45C20">
            <w:pPr>
              <w:pStyle w:val="33"/>
              <w:rPr>
                <w:color w:val="auto"/>
              </w:rPr>
            </w:pPr>
          </w:p>
        </w:tc>
      </w:tr>
      <w:tr w14:paraId="44F6307A">
        <w:tblPrEx>
          <w:tblCellMar>
            <w:top w:w="0" w:type="dxa"/>
            <w:left w:w="108" w:type="dxa"/>
            <w:bottom w:w="0" w:type="dxa"/>
            <w:right w:w="108" w:type="dxa"/>
          </w:tblCellMar>
        </w:tblPrEx>
        <w:trPr>
          <w:trHeight w:val="540" w:hRule="atLeast"/>
        </w:trPr>
        <w:tc>
          <w:tcPr>
            <w:tcW w:w="381" w:type="pct"/>
            <w:vMerge w:val="continue"/>
            <w:tcBorders>
              <w:top w:val="single" w:color="000000" w:sz="4" w:space="0"/>
              <w:left w:val="single" w:color="000000" w:sz="4" w:space="0"/>
              <w:bottom w:val="single" w:color="000000" w:sz="4" w:space="0"/>
              <w:right w:val="single" w:color="000000" w:sz="4" w:space="0"/>
            </w:tcBorders>
            <w:noWrap/>
            <w:vAlign w:val="center"/>
          </w:tcPr>
          <w:p w14:paraId="07013028">
            <w:pPr>
              <w:pStyle w:val="33"/>
              <w:rPr>
                <w:color w:val="auto"/>
              </w:rPr>
            </w:pPr>
          </w:p>
        </w:tc>
        <w:tc>
          <w:tcPr>
            <w:tcW w:w="642" w:type="pct"/>
            <w:tcBorders>
              <w:top w:val="single" w:color="000000" w:sz="4" w:space="0"/>
              <w:left w:val="single" w:color="000000" w:sz="4" w:space="0"/>
              <w:bottom w:val="single" w:color="000000" w:sz="4" w:space="0"/>
              <w:right w:val="single" w:color="000000" w:sz="4" w:space="0"/>
            </w:tcBorders>
            <w:vAlign w:val="center"/>
          </w:tcPr>
          <w:p w14:paraId="53A11D23">
            <w:pPr>
              <w:pStyle w:val="33"/>
              <w:rPr>
                <w:color w:val="auto"/>
              </w:rPr>
            </w:pPr>
            <w:r>
              <w:rPr>
                <w:rFonts w:hint="eastAsia"/>
                <w:color w:val="auto"/>
              </w:rPr>
              <w:t>高级氧化技术（</w:t>
            </w:r>
            <w:r>
              <w:rPr>
                <w:color w:val="auto"/>
              </w:rPr>
              <w:t>Fenton</w:t>
            </w:r>
            <w:r>
              <w:rPr>
                <w:rFonts w:hint="eastAsia"/>
                <w:color w:val="auto"/>
              </w:rPr>
              <w:t>氧化）</w:t>
            </w:r>
          </w:p>
        </w:tc>
        <w:tc>
          <w:tcPr>
            <w:tcW w:w="815" w:type="pct"/>
            <w:vMerge w:val="continue"/>
            <w:tcBorders>
              <w:top w:val="single" w:color="000000" w:sz="4" w:space="0"/>
              <w:left w:val="single" w:color="000000" w:sz="4" w:space="0"/>
              <w:bottom w:val="single" w:color="000000" w:sz="4" w:space="0"/>
              <w:right w:val="single" w:color="000000" w:sz="4" w:space="0"/>
            </w:tcBorders>
            <w:vAlign w:val="center"/>
          </w:tcPr>
          <w:p w14:paraId="66E7A0CD">
            <w:pPr>
              <w:pStyle w:val="33"/>
              <w:rPr>
                <w:color w:val="auto"/>
              </w:rPr>
            </w:pPr>
          </w:p>
        </w:tc>
        <w:tc>
          <w:tcPr>
            <w:tcW w:w="940" w:type="pct"/>
            <w:vMerge w:val="continue"/>
            <w:tcBorders>
              <w:left w:val="single" w:color="000000" w:sz="4" w:space="0"/>
              <w:bottom w:val="single" w:color="000000" w:sz="4" w:space="0"/>
              <w:right w:val="single" w:color="000000" w:sz="4" w:space="0"/>
            </w:tcBorders>
            <w:noWrap/>
            <w:vAlign w:val="center"/>
          </w:tcPr>
          <w:p w14:paraId="5F10D78D">
            <w:pPr>
              <w:pStyle w:val="33"/>
              <w:rPr>
                <w:color w:val="auto"/>
              </w:rPr>
            </w:pPr>
          </w:p>
        </w:tc>
        <w:tc>
          <w:tcPr>
            <w:tcW w:w="998" w:type="pct"/>
            <w:vMerge w:val="continue"/>
            <w:tcBorders>
              <w:left w:val="single" w:color="000000" w:sz="4" w:space="0"/>
              <w:bottom w:val="single" w:color="000000" w:sz="4" w:space="0"/>
              <w:right w:val="single" w:color="000000" w:sz="4" w:space="0"/>
            </w:tcBorders>
            <w:noWrap/>
            <w:vAlign w:val="center"/>
          </w:tcPr>
          <w:p w14:paraId="242A1876">
            <w:pPr>
              <w:pStyle w:val="33"/>
              <w:rPr>
                <w:color w:val="auto"/>
              </w:rPr>
            </w:pPr>
          </w:p>
        </w:tc>
        <w:tc>
          <w:tcPr>
            <w:tcW w:w="812" w:type="pct"/>
            <w:vMerge w:val="continue"/>
            <w:tcBorders>
              <w:left w:val="single" w:color="000000" w:sz="4" w:space="0"/>
              <w:bottom w:val="single" w:color="000000" w:sz="4" w:space="0"/>
              <w:right w:val="single" w:color="000000" w:sz="4" w:space="0"/>
            </w:tcBorders>
            <w:noWrap/>
            <w:vAlign w:val="center"/>
          </w:tcPr>
          <w:p w14:paraId="7DF93158">
            <w:pPr>
              <w:pStyle w:val="33"/>
              <w:rPr>
                <w:color w:val="auto"/>
              </w:rPr>
            </w:pPr>
          </w:p>
        </w:tc>
        <w:tc>
          <w:tcPr>
            <w:tcW w:w="407" w:type="pct"/>
            <w:vMerge w:val="continue"/>
            <w:tcBorders>
              <w:top w:val="single" w:color="000000" w:sz="4" w:space="0"/>
              <w:left w:val="single" w:color="000000" w:sz="4" w:space="0"/>
              <w:bottom w:val="single" w:color="000000" w:sz="4" w:space="0"/>
              <w:right w:val="single" w:color="000000" w:sz="4" w:space="0"/>
            </w:tcBorders>
            <w:noWrap/>
            <w:vAlign w:val="center"/>
          </w:tcPr>
          <w:p w14:paraId="5BE6EBF0">
            <w:pPr>
              <w:pStyle w:val="33"/>
              <w:rPr>
                <w:color w:val="auto"/>
              </w:rPr>
            </w:pPr>
          </w:p>
        </w:tc>
      </w:tr>
    </w:tbl>
    <w:p w14:paraId="33AE8D71">
      <w:pPr>
        <w:pStyle w:val="7"/>
        <w:rPr>
          <w:color w:val="auto"/>
        </w:rPr>
      </w:pPr>
      <w:r>
        <w:rPr>
          <w:rFonts w:hint="eastAsia"/>
          <w:color w:val="auto"/>
        </w:rPr>
        <w:t>依托污水处理设施与《制浆造纸废水治理工程技术规范》相符性分析一览表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812"/>
        <w:gridCol w:w="1414"/>
        <w:gridCol w:w="1307"/>
        <w:gridCol w:w="1780"/>
        <w:gridCol w:w="1370"/>
        <w:gridCol w:w="1093"/>
        <w:gridCol w:w="835"/>
      </w:tblGrid>
      <w:tr w14:paraId="3871F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14:paraId="4A74E8B7">
            <w:pPr>
              <w:pStyle w:val="33"/>
              <w:rPr>
                <w:color w:val="auto"/>
              </w:rPr>
            </w:pPr>
            <w:r>
              <w:rPr>
                <w:rFonts w:hint="eastAsia"/>
                <w:color w:val="auto"/>
              </w:rPr>
              <w:t>处理级别</w:t>
            </w:r>
          </w:p>
        </w:tc>
        <w:tc>
          <w:tcPr>
            <w:tcW w:w="812" w:type="dxa"/>
            <w:vAlign w:val="center"/>
          </w:tcPr>
          <w:p w14:paraId="021084F5">
            <w:pPr>
              <w:pStyle w:val="33"/>
              <w:rPr>
                <w:color w:val="auto"/>
              </w:rPr>
            </w:pPr>
            <w:r>
              <w:rPr>
                <w:rFonts w:hint="eastAsia"/>
                <w:color w:val="auto"/>
              </w:rPr>
              <w:t>处理工艺</w:t>
            </w:r>
          </w:p>
        </w:tc>
        <w:tc>
          <w:tcPr>
            <w:tcW w:w="0" w:type="auto"/>
            <w:vAlign w:val="center"/>
          </w:tcPr>
          <w:p w14:paraId="4EC961A0">
            <w:pPr>
              <w:pStyle w:val="33"/>
              <w:rPr>
                <w:color w:val="auto"/>
              </w:rPr>
            </w:pPr>
            <w:r>
              <w:rPr>
                <w:rFonts w:hint="eastAsia"/>
                <w:color w:val="auto"/>
              </w:rPr>
              <w:t>主要构筑物</w:t>
            </w:r>
          </w:p>
        </w:tc>
        <w:tc>
          <w:tcPr>
            <w:tcW w:w="0" w:type="auto"/>
            <w:vAlign w:val="center"/>
          </w:tcPr>
          <w:p w14:paraId="1EB320EE">
            <w:pPr>
              <w:pStyle w:val="33"/>
              <w:rPr>
                <w:color w:val="auto"/>
              </w:rPr>
            </w:pPr>
            <w:r>
              <w:rPr>
                <w:color w:val="auto"/>
              </w:rPr>
              <w:t>1#</w:t>
            </w:r>
            <w:r>
              <w:rPr>
                <w:rFonts w:hint="eastAsia"/>
                <w:color w:val="auto"/>
              </w:rPr>
              <w:t>污水处理站工艺</w:t>
            </w:r>
          </w:p>
        </w:tc>
        <w:tc>
          <w:tcPr>
            <w:tcW w:w="0" w:type="auto"/>
            <w:vAlign w:val="center"/>
          </w:tcPr>
          <w:p w14:paraId="590300DC">
            <w:pPr>
              <w:pStyle w:val="33"/>
              <w:rPr>
                <w:color w:val="auto"/>
              </w:rPr>
            </w:pPr>
            <w:r>
              <w:rPr>
                <w:color w:val="auto"/>
              </w:rPr>
              <w:t>1#</w:t>
            </w:r>
            <w:r>
              <w:rPr>
                <w:rFonts w:hint="eastAsia"/>
                <w:color w:val="auto"/>
              </w:rPr>
              <w:t>污水处理站工艺</w:t>
            </w:r>
          </w:p>
        </w:tc>
        <w:tc>
          <w:tcPr>
            <w:tcW w:w="0" w:type="auto"/>
            <w:vAlign w:val="center"/>
          </w:tcPr>
          <w:p w14:paraId="6344CCD0">
            <w:pPr>
              <w:pStyle w:val="33"/>
              <w:rPr>
                <w:color w:val="auto"/>
              </w:rPr>
            </w:pPr>
            <w:r>
              <w:rPr>
                <w:color w:val="auto"/>
              </w:rPr>
              <w:t>2#</w:t>
            </w:r>
            <w:r>
              <w:rPr>
                <w:rFonts w:hint="eastAsia"/>
                <w:color w:val="auto"/>
              </w:rPr>
              <w:t>污水处理站工艺</w:t>
            </w:r>
          </w:p>
        </w:tc>
        <w:tc>
          <w:tcPr>
            <w:tcW w:w="1093" w:type="dxa"/>
            <w:vAlign w:val="center"/>
          </w:tcPr>
          <w:p w14:paraId="6172400C">
            <w:pPr>
              <w:pStyle w:val="33"/>
              <w:rPr>
                <w:color w:val="auto"/>
              </w:rPr>
            </w:pPr>
            <w:r>
              <w:rPr>
                <w:rFonts w:hint="eastAsia"/>
                <w:color w:val="auto"/>
              </w:rPr>
              <w:t>丁苯乳胶污水处理站工艺</w:t>
            </w:r>
          </w:p>
        </w:tc>
        <w:tc>
          <w:tcPr>
            <w:tcW w:w="835" w:type="dxa"/>
            <w:vAlign w:val="center"/>
          </w:tcPr>
          <w:p w14:paraId="770FE931">
            <w:pPr>
              <w:pStyle w:val="33"/>
              <w:rPr>
                <w:color w:val="auto"/>
              </w:rPr>
            </w:pPr>
            <w:r>
              <w:rPr>
                <w:rFonts w:hint="eastAsia"/>
                <w:color w:val="auto"/>
              </w:rPr>
              <w:t>技术可行性</w:t>
            </w:r>
          </w:p>
        </w:tc>
      </w:tr>
      <w:tr w14:paraId="3DB2D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14:paraId="08517DB2">
            <w:pPr>
              <w:pStyle w:val="33"/>
              <w:rPr>
                <w:color w:val="auto"/>
              </w:rPr>
            </w:pPr>
            <w:r>
              <w:rPr>
                <w:rFonts w:hint="eastAsia"/>
                <w:color w:val="auto"/>
              </w:rPr>
              <w:t>一级</w:t>
            </w:r>
          </w:p>
        </w:tc>
        <w:tc>
          <w:tcPr>
            <w:tcW w:w="812" w:type="dxa"/>
            <w:vAlign w:val="center"/>
          </w:tcPr>
          <w:p w14:paraId="394FDA73">
            <w:pPr>
              <w:pStyle w:val="33"/>
              <w:rPr>
                <w:color w:val="auto"/>
              </w:rPr>
            </w:pPr>
            <w:r>
              <w:rPr>
                <w:rFonts w:hint="eastAsia"/>
                <w:color w:val="auto"/>
              </w:rPr>
              <w:t>混凝沉淀</w:t>
            </w:r>
          </w:p>
        </w:tc>
        <w:tc>
          <w:tcPr>
            <w:tcW w:w="0" w:type="auto"/>
            <w:vAlign w:val="center"/>
          </w:tcPr>
          <w:p w14:paraId="477C3DE0">
            <w:pPr>
              <w:pStyle w:val="33"/>
              <w:rPr>
                <w:color w:val="auto"/>
              </w:rPr>
            </w:pPr>
            <w:r>
              <w:rPr>
                <w:rFonts w:hint="eastAsia"/>
                <w:color w:val="auto"/>
              </w:rPr>
              <w:t>格栅、滤筛、混凝沉淀</w:t>
            </w:r>
          </w:p>
        </w:tc>
        <w:tc>
          <w:tcPr>
            <w:tcW w:w="0" w:type="auto"/>
            <w:vMerge w:val="restart"/>
            <w:vAlign w:val="center"/>
          </w:tcPr>
          <w:p w14:paraId="045E9AE3">
            <w:pPr>
              <w:pStyle w:val="33"/>
              <w:rPr>
                <w:color w:val="auto"/>
              </w:rPr>
            </w:pPr>
            <w:r>
              <w:rPr>
                <w:rFonts w:hint="eastAsia"/>
                <w:color w:val="auto"/>
              </w:rPr>
              <w:t>格栅</w:t>
            </w:r>
            <w:r>
              <w:rPr>
                <w:color w:val="auto"/>
              </w:rPr>
              <w:t>+</w:t>
            </w:r>
            <w:r>
              <w:rPr>
                <w:rFonts w:hint="eastAsia"/>
                <w:color w:val="auto"/>
              </w:rPr>
              <w:t>絮凝沉淀</w:t>
            </w:r>
          </w:p>
        </w:tc>
        <w:tc>
          <w:tcPr>
            <w:tcW w:w="0" w:type="auto"/>
            <w:vMerge w:val="restart"/>
            <w:vAlign w:val="center"/>
          </w:tcPr>
          <w:p w14:paraId="3C68A825">
            <w:pPr>
              <w:pStyle w:val="33"/>
              <w:rPr>
                <w:color w:val="auto"/>
              </w:rPr>
            </w:pPr>
            <w:r>
              <w:rPr>
                <w:rFonts w:hint="eastAsia"/>
                <w:color w:val="auto"/>
              </w:rPr>
              <w:t>格栅过滤</w:t>
            </w:r>
            <w:r>
              <w:rPr>
                <w:color w:val="auto"/>
              </w:rPr>
              <w:t>+</w:t>
            </w:r>
            <w:r>
              <w:rPr>
                <w:rFonts w:hint="eastAsia"/>
                <w:color w:val="auto"/>
              </w:rPr>
              <w:t>絮凝沉淀</w:t>
            </w:r>
            <w:r>
              <w:rPr>
                <w:color w:val="auto"/>
              </w:rPr>
              <w:t>+</w:t>
            </w:r>
            <w:r>
              <w:rPr>
                <w:rFonts w:hint="eastAsia"/>
                <w:color w:val="auto"/>
              </w:rPr>
              <w:t>气浮</w:t>
            </w:r>
          </w:p>
        </w:tc>
        <w:tc>
          <w:tcPr>
            <w:tcW w:w="0" w:type="auto"/>
            <w:vMerge w:val="restart"/>
            <w:vAlign w:val="center"/>
          </w:tcPr>
          <w:p w14:paraId="16075754">
            <w:pPr>
              <w:pStyle w:val="33"/>
              <w:rPr>
                <w:color w:val="auto"/>
              </w:rPr>
            </w:pPr>
            <w:r>
              <w:rPr>
                <w:rFonts w:hint="eastAsia"/>
                <w:color w:val="auto"/>
              </w:rPr>
              <w:t>格栅</w:t>
            </w:r>
            <w:r>
              <w:rPr>
                <w:color w:val="auto"/>
              </w:rPr>
              <w:t>+</w:t>
            </w:r>
            <w:r>
              <w:rPr>
                <w:rFonts w:hint="eastAsia"/>
                <w:color w:val="auto"/>
              </w:rPr>
              <w:t>絮凝沉淀</w:t>
            </w:r>
          </w:p>
        </w:tc>
        <w:tc>
          <w:tcPr>
            <w:tcW w:w="1093" w:type="dxa"/>
            <w:vMerge w:val="restart"/>
            <w:vAlign w:val="center"/>
          </w:tcPr>
          <w:p w14:paraId="32ADFAB9">
            <w:pPr>
              <w:pStyle w:val="33"/>
              <w:rPr>
                <w:color w:val="auto"/>
              </w:rPr>
            </w:pPr>
            <w:r>
              <w:rPr>
                <w:rFonts w:hint="eastAsia"/>
                <w:color w:val="auto"/>
              </w:rPr>
              <w:t>格栅</w:t>
            </w:r>
            <w:r>
              <w:rPr>
                <w:color w:val="auto"/>
              </w:rPr>
              <w:t>+</w:t>
            </w:r>
            <w:r>
              <w:rPr>
                <w:rFonts w:hint="eastAsia"/>
                <w:color w:val="auto"/>
              </w:rPr>
              <w:t>絮凝沉淀</w:t>
            </w:r>
            <w:r>
              <w:rPr>
                <w:color w:val="auto"/>
              </w:rPr>
              <w:t>+</w:t>
            </w:r>
            <w:r>
              <w:rPr>
                <w:rFonts w:hint="eastAsia"/>
                <w:color w:val="auto"/>
              </w:rPr>
              <w:t>高级氧化（</w:t>
            </w:r>
            <w:r>
              <w:rPr>
                <w:color w:val="auto"/>
              </w:rPr>
              <w:t>Fenton</w:t>
            </w:r>
            <w:r>
              <w:rPr>
                <w:rFonts w:hint="eastAsia"/>
                <w:color w:val="auto"/>
              </w:rPr>
              <w:t>氧化）</w:t>
            </w:r>
          </w:p>
        </w:tc>
        <w:tc>
          <w:tcPr>
            <w:tcW w:w="835" w:type="dxa"/>
            <w:vMerge w:val="restart"/>
            <w:vAlign w:val="center"/>
          </w:tcPr>
          <w:p w14:paraId="57785071">
            <w:pPr>
              <w:pStyle w:val="33"/>
              <w:rPr>
                <w:color w:val="auto"/>
              </w:rPr>
            </w:pPr>
            <w:r>
              <w:rPr>
                <w:rFonts w:hint="eastAsia"/>
                <w:color w:val="auto"/>
              </w:rPr>
              <w:t>可行</w:t>
            </w:r>
          </w:p>
        </w:tc>
      </w:tr>
      <w:tr w14:paraId="7BE68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14:paraId="1045FF5E">
            <w:pPr>
              <w:pStyle w:val="33"/>
              <w:rPr>
                <w:color w:val="auto"/>
              </w:rPr>
            </w:pPr>
          </w:p>
        </w:tc>
        <w:tc>
          <w:tcPr>
            <w:tcW w:w="812" w:type="dxa"/>
            <w:vAlign w:val="center"/>
          </w:tcPr>
          <w:p w14:paraId="68626D12">
            <w:pPr>
              <w:pStyle w:val="33"/>
              <w:rPr>
                <w:color w:val="auto"/>
              </w:rPr>
            </w:pPr>
            <w:r>
              <w:rPr>
                <w:rFonts w:hint="eastAsia"/>
                <w:color w:val="auto"/>
              </w:rPr>
              <w:t>沉淀</w:t>
            </w:r>
          </w:p>
        </w:tc>
        <w:tc>
          <w:tcPr>
            <w:tcW w:w="0" w:type="auto"/>
            <w:vAlign w:val="center"/>
          </w:tcPr>
          <w:p w14:paraId="22FF4706">
            <w:pPr>
              <w:pStyle w:val="33"/>
              <w:rPr>
                <w:color w:val="auto"/>
              </w:rPr>
            </w:pPr>
            <w:r>
              <w:rPr>
                <w:rFonts w:hint="eastAsia"/>
                <w:color w:val="auto"/>
              </w:rPr>
              <w:t>格栅、滤筛、初沉池</w:t>
            </w:r>
          </w:p>
        </w:tc>
        <w:tc>
          <w:tcPr>
            <w:tcW w:w="0" w:type="auto"/>
            <w:vMerge w:val="continue"/>
            <w:vAlign w:val="center"/>
          </w:tcPr>
          <w:p w14:paraId="365471D8">
            <w:pPr>
              <w:pStyle w:val="33"/>
              <w:rPr>
                <w:color w:val="auto"/>
              </w:rPr>
            </w:pPr>
          </w:p>
        </w:tc>
        <w:tc>
          <w:tcPr>
            <w:tcW w:w="0" w:type="auto"/>
            <w:vMerge w:val="continue"/>
            <w:vAlign w:val="center"/>
          </w:tcPr>
          <w:p w14:paraId="60A03BF1">
            <w:pPr>
              <w:pStyle w:val="33"/>
              <w:rPr>
                <w:color w:val="auto"/>
              </w:rPr>
            </w:pPr>
          </w:p>
        </w:tc>
        <w:tc>
          <w:tcPr>
            <w:tcW w:w="0" w:type="auto"/>
            <w:vMerge w:val="continue"/>
            <w:vAlign w:val="center"/>
          </w:tcPr>
          <w:p w14:paraId="7E286989">
            <w:pPr>
              <w:pStyle w:val="33"/>
              <w:rPr>
                <w:color w:val="auto"/>
              </w:rPr>
            </w:pPr>
          </w:p>
        </w:tc>
        <w:tc>
          <w:tcPr>
            <w:tcW w:w="1093" w:type="dxa"/>
            <w:vMerge w:val="continue"/>
            <w:vAlign w:val="center"/>
          </w:tcPr>
          <w:p w14:paraId="6F659691">
            <w:pPr>
              <w:pStyle w:val="33"/>
              <w:rPr>
                <w:color w:val="auto"/>
              </w:rPr>
            </w:pPr>
          </w:p>
        </w:tc>
        <w:tc>
          <w:tcPr>
            <w:tcW w:w="835" w:type="dxa"/>
            <w:vMerge w:val="continue"/>
            <w:vAlign w:val="center"/>
          </w:tcPr>
          <w:p w14:paraId="274E24CD">
            <w:pPr>
              <w:pStyle w:val="33"/>
              <w:rPr>
                <w:color w:val="auto"/>
              </w:rPr>
            </w:pPr>
          </w:p>
        </w:tc>
      </w:tr>
      <w:tr w14:paraId="08882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14:paraId="556857B5">
            <w:pPr>
              <w:pStyle w:val="33"/>
              <w:rPr>
                <w:color w:val="auto"/>
              </w:rPr>
            </w:pPr>
            <w:r>
              <w:rPr>
                <w:rFonts w:hint="eastAsia"/>
                <w:color w:val="auto"/>
              </w:rPr>
              <w:t>二级</w:t>
            </w:r>
          </w:p>
        </w:tc>
        <w:tc>
          <w:tcPr>
            <w:tcW w:w="812" w:type="dxa"/>
            <w:vAlign w:val="center"/>
          </w:tcPr>
          <w:p w14:paraId="1EF993B2">
            <w:pPr>
              <w:pStyle w:val="33"/>
              <w:rPr>
                <w:color w:val="auto"/>
              </w:rPr>
            </w:pPr>
            <w:r>
              <w:rPr>
                <w:rFonts w:hint="eastAsia"/>
                <w:color w:val="auto"/>
              </w:rPr>
              <w:t>厌氧</w:t>
            </w:r>
            <w:r>
              <w:rPr>
                <w:color w:val="auto"/>
              </w:rPr>
              <w:t>-</w:t>
            </w:r>
            <w:r>
              <w:rPr>
                <w:rFonts w:hint="eastAsia"/>
                <w:color w:val="auto"/>
              </w:rPr>
              <w:t>好氧生化</w:t>
            </w:r>
          </w:p>
        </w:tc>
        <w:tc>
          <w:tcPr>
            <w:tcW w:w="0" w:type="auto"/>
            <w:vAlign w:val="center"/>
          </w:tcPr>
          <w:p w14:paraId="67A3DE71">
            <w:pPr>
              <w:pStyle w:val="33"/>
              <w:rPr>
                <w:color w:val="auto"/>
              </w:rPr>
            </w:pPr>
            <w:r>
              <w:rPr>
                <w:rFonts w:hint="eastAsia"/>
                <w:color w:val="auto"/>
              </w:rPr>
              <w:t>厌氧池、（中间沉淀池）、好氧生物池、二沉池</w:t>
            </w:r>
          </w:p>
        </w:tc>
        <w:tc>
          <w:tcPr>
            <w:tcW w:w="0" w:type="auto"/>
            <w:vAlign w:val="center"/>
          </w:tcPr>
          <w:p w14:paraId="14997988">
            <w:pPr>
              <w:pStyle w:val="33"/>
              <w:rPr>
                <w:color w:val="auto"/>
              </w:rPr>
            </w:pPr>
            <w:r>
              <w:rPr>
                <w:color w:val="auto"/>
              </w:rPr>
              <w:t>/</w:t>
            </w:r>
          </w:p>
        </w:tc>
        <w:tc>
          <w:tcPr>
            <w:tcW w:w="0" w:type="auto"/>
            <w:vAlign w:val="center"/>
          </w:tcPr>
          <w:p w14:paraId="5ED82022">
            <w:pPr>
              <w:pStyle w:val="33"/>
              <w:rPr>
                <w:color w:val="auto"/>
              </w:rPr>
            </w:pPr>
            <w:r>
              <w:rPr>
                <w:rFonts w:hint="eastAsia"/>
                <w:color w:val="auto"/>
              </w:rPr>
              <w:t>水解酸化</w:t>
            </w:r>
            <w:r>
              <w:rPr>
                <w:color w:val="auto"/>
              </w:rPr>
              <w:t>+</w:t>
            </w:r>
            <w:r>
              <w:rPr>
                <w:color w:val="auto"/>
              </w:rPr>
              <w:br w:type="textWrapping"/>
            </w:r>
            <w:r>
              <w:rPr>
                <w:color w:val="auto"/>
              </w:rPr>
              <w:t>UMAR</w:t>
            </w:r>
            <w:r>
              <w:rPr>
                <w:rFonts w:hint="eastAsia"/>
                <w:color w:val="auto"/>
              </w:rPr>
              <w:t>（升流式多级内循环厌氧反应器，一种新型的高效厌氧反应器）</w:t>
            </w:r>
          </w:p>
        </w:tc>
        <w:tc>
          <w:tcPr>
            <w:tcW w:w="0" w:type="auto"/>
            <w:vAlign w:val="center"/>
          </w:tcPr>
          <w:p w14:paraId="2455AE5E">
            <w:pPr>
              <w:pStyle w:val="33"/>
              <w:rPr>
                <w:color w:val="auto"/>
              </w:rPr>
            </w:pPr>
            <w:r>
              <w:rPr>
                <w:color w:val="auto"/>
              </w:rPr>
              <w:t>/</w:t>
            </w:r>
          </w:p>
        </w:tc>
        <w:tc>
          <w:tcPr>
            <w:tcW w:w="1093" w:type="dxa"/>
            <w:vAlign w:val="center"/>
          </w:tcPr>
          <w:p w14:paraId="060F02DA">
            <w:pPr>
              <w:pStyle w:val="33"/>
              <w:rPr>
                <w:color w:val="auto"/>
              </w:rPr>
            </w:pPr>
            <w:r>
              <w:rPr>
                <w:rFonts w:hint="eastAsia"/>
                <w:color w:val="auto"/>
              </w:rPr>
              <w:t>厌氧反应池</w:t>
            </w:r>
          </w:p>
        </w:tc>
        <w:tc>
          <w:tcPr>
            <w:tcW w:w="835" w:type="dxa"/>
            <w:vMerge w:val="restart"/>
            <w:vAlign w:val="center"/>
          </w:tcPr>
          <w:p w14:paraId="08ED093D">
            <w:pPr>
              <w:pStyle w:val="33"/>
              <w:rPr>
                <w:color w:val="auto"/>
              </w:rPr>
            </w:pPr>
            <w:r>
              <w:rPr>
                <w:rFonts w:hint="eastAsia"/>
                <w:color w:val="auto"/>
              </w:rPr>
              <w:t>可行</w:t>
            </w:r>
          </w:p>
        </w:tc>
      </w:tr>
      <w:tr w14:paraId="68447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14:paraId="6ADEB271">
            <w:pPr>
              <w:pStyle w:val="33"/>
              <w:rPr>
                <w:color w:val="auto"/>
              </w:rPr>
            </w:pPr>
          </w:p>
        </w:tc>
        <w:tc>
          <w:tcPr>
            <w:tcW w:w="812" w:type="dxa"/>
            <w:vAlign w:val="center"/>
          </w:tcPr>
          <w:p w14:paraId="7C708D30">
            <w:pPr>
              <w:pStyle w:val="33"/>
              <w:rPr>
                <w:color w:val="auto"/>
              </w:rPr>
            </w:pPr>
            <w:r>
              <w:rPr>
                <w:rFonts w:hint="eastAsia"/>
                <w:color w:val="auto"/>
              </w:rPr>
              <w:t>好氧生化</w:t>
            </w:r>
          </w:p>
        </w:tc>
        <w:tc>
          <w:tcPr>
            <w:tcW w:w="0" w:type="auto"/>
            <w:vAlign w:val="center"/>
          </w:tcPr>
          <w:p w14:paraId="04E55943">
            <w:pPr>
              <w:pStyle w:val="33"/>
              <w:rPr>
                <w:color w:val="auto"/>
              </w:rPr>
            </w:pPr>
            <w:r>
              <w:rPr>
                <w:rFonts w:hint="eastAsia"/>
                <w:color w:val="auto"/>
              </w:rPr>
              <w:t>好氧生物反应池、二沉池</w:t>
            </w:r>
          </w:p>
        </w:tc>
        <w:tc>
          <w:tcPr>
            <w:tcW w:w="0" w:type="auto"/>
            <w:vAlign w:val="center"/>
          </w:tcPr>
          <w:p w14:paraId="6D9E0553">
            <w:pPr>
              <w:pStyle w:val="33"/>
              <w:rPr>
                <w:color w:val="auto"/>
              </w:rPr>
            </w:pPr>
            <w:r>
              <w:rPr>
                <w:color w:val="auto"/>
              </w:rPr>
              <w:t>SBR</w:t>
            </w:r>
          </w:p>
        </w:tc>
        <w:tc>
          <w:tcPr>
            <w:tcW w:w="0" w:type="auto"/>
            <w:vAlign w:val="center"/>
          </w:tcPr>
          <w:p w14:paraId="623F44E0">
            <w:pPr>
              <w:pStyle w:val="33"/>
              <w:rPr>
                <w:color w:val="auto"/>
              </w:rPr>
            </w:pPr>
            <w:r>
              <w:rPr>
                <w:rFonts w:hint="eastAsia"/>
                <w:color w:val="auto"/>
              </w:rPr>
              <w:t>二级</w:t>
            </w:r>
            <w:r>
              <w:rPr>
                <w:color w:val="auto"/>
              </w:rPr>
              <w:t>A/O</w:t>
            </w:r>
            <w:r>
              <w:rPr>
                <w:rFonts w:hint="eastAsia"/>
                <w:color w:val="auto"/>
              </w:rPr>
              <w:t>工艺</w:t>
            </w:r>
          </w:p>
        </w:tc>
        <w:tc>
          <w:tcPr>
            <w:tcW w:w="0" w:type="auto"/>
            <w:vAlign w:val="center"/>
          </w:tcPr>
          <w:p w14:paraId="30422BCE">
            <w:pPr>
              <w:pStyle w:val="33"/>
              <w:rPr>
                <w:color w:val="auto"/>
              </w:rPr>
            </w:pPr>
            <w:r>
              <w:rPr>
                <w:color w:val="auto"/>
              </w:rPr>
              <w:t>SBR</w:t>
            </w:r>
          </w:p>
        </w:tc>
        <w:tc>
          <w:tcPr>
            <w:tcW w:w="1093" w:type="dxa"/>
            <w:vAlign w:val="center"/>
          </w:tcPr>
          <w:p w14:paraId="75973CEC">
            <w:pPr>
              <w:pStyle w:val="33"/>
              <w:rPr>
                <w:color w:val="auto"/>
              </w:rPr>
            </w:pPr>
            <w:r>
              <w:rPr>
                <w:color w:val="auto"/>
              </w:rPr>
              <w:t>A/O</w:t>
            </w:r>
          </w:p>
        </w:tc>
        <w:tc>
          <w:tcPr>
            <w:tcW w:w="835" w:type="dxa"/>
            <w:vMerge w:val="continue"/>
            <w:vAlign w:val="center"/>
          </w:tcPr>
          <w:p w14:paraId="460927B0">
            <w:pPr>
              <w:pStyle w:val="33"/>
              <w:rPr>
                <w:color w:val="auto"/>
              </w:rPr>
            </w:pPr>
          </w:p>
        </w:tc>
      </w:tr>
      <w:tr w14:paraId="522C8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restart"/>
            <w:vAlign w:val="center"/>
          </w:tcPr>
          <w:p w14:paraId="24CF2177">
            <w:pPr>
              <w:pStyle w:val="33"/>
              <w:rPr>
                <w:color w:val="auto"/>
              </w:rPr>
            </w:pPr>
            <w:r>
              <w:rPr>
                <w:rFonts w:hint="eastAsia"/>
                <w:color w:val="auto"/>
              </w:rPr>
              <w:t>三级</w:t>
            </w:r>
          </w:p>
        </w:tc>
        <w:tc>
          <w:tcPr>
            <w:tcW w:w="812" w:type="dxa"/>
            <w:vAlign w:val="center"/>
          </w:tcPr>
          <w:p w14:paraId="39439119">
            <w:pPr>
              <w:pStyle w:val="33"/>
              <w:rPr>
                <w:color w:val="auto"/>
              </w:rPr>
            </w:pPr>
            <w:r>
              <w:rPr>
                <w:rFonts w:hint="eastAsia"/>
                <w:color w:val="auto"/>
              </w:rPr>
              <w:t>混凝沉淀（气浮）</w:t>
            </w:r>
          </w:p>
        </w:tc>
        <w:tc>
          <w:tcPr>
            <w:tcW w:w="0" w:type="auto"/>
            <w:vAlign w:val="center"/>
          </w:tcPr>
          <w:p w14:paraId="70222EC4">
            <w:pPr>
              <w:pStyle w:val="33"/>
              <w:rPr>
                <w:color w:val="auto"/>
              </w:rPr>
            </w:pPr>
            <w:r>
              <w:rPr>
                <w:rFonts w:hint="eastAsia"/>
                <w:color w:val="auto"/>
              </w:rPr>
              <w:t>混凝沉淀（气浮）、（过滤）</w:t>
            </w:r>
          </w:p>
        </w:tc>
        <w:tc>
          <w:tcPr>
            <w:tcW w:w="0" w:type="auto"/>
            <w:vMerge w:val="restart"/>
            <w:vAlign w:val="center"/>
          </w:tcPr>
          <w:p w14:paraId="6A69085E">
            <w:pPr>
              <w:pStyle w:val="33"/>
              <w:rPr>
                <w:color w:val="auto"/>
              </w:rPr>
            </w:pPr>
            <w:r>
              <w:rPr>
                <w:rFonts w:hint="eastAsia"/>
                <w:color w:val="auto"/>
              </w:rPr>
              <w:t>高级氧化技术（</w:t>
            </w:r>
            <w:r>
              <w:rPr>
                <w:color w:val="auto"/>
              </w:rPr>
              <w:t>Fenton</w:t>
            </w:r>
            <w:r>
              <w:rPr>
                <w:rFonts w:hint="eastAsia"/>
                <w:color w:val="auto"/>
              </w:rPr>
              <w:t>氧化）或气浮</w:t>
            </w:r>
          </w:p>
        </w:tc>
        <w:tc>
          <w:tcPr>
            <w:tcW w:w="0" w:type="auto"/>
            <w:vMerge w:val="restart"/>
            <w:vAlign w:val="center"/>
          </w:tcPr>
          <w:p w14:paraId="5A72DF08">
            <w:pPr>
              <w:pStyle w:val="33"/>
              <w:rPr>
                <w:color w:val="auto"/>
              </w:rPr>
            </w:pPr>
            <w:r>
              <w:rPr>
                <w:rFonts w:hint="eastAsia"/>
                <w:color w:val="auto"/>
              </w:rPr>
              <w:t>高级氧化技术</w:t>
            </w:r>
            <w:r>
              <w:rPr>
                <w:color w:val="auto"/>
              </w:rPr>
              <w:br w:type="textWrapping"/>
            </w:r>
            <w:r>
              <w:rPr>
                <w:rFonts w:hint="eastAsia"/>
                <w:color w:val="auto"/>
              </w:rPr>
              <w:t>（</w:t>
            </w:r>
            <w:r>
              <w:rPr>
                <w:color w:val="auto"/>
              </w:rPr>
              <w:t>Fenton</w:t>
            </w:r>
            <w:r>
              <w:rPr>
                <w:rFonts w:hint="eastAsia"/>
                <w:color w:val="auto"/>
              </w:rPr>
              <w:t>氧化）</w:t>
            </w:r>
          </w:p>
        </w:tc>
        <w:tc>
          <w:tcPr>
            <w:tcW w:w="0" w:type="auto"/>
            <w:vMerge w:val="restart"/>
            <w:vAlign w:val="center"/>
          </w:tcPr>
          <w:p w14:paraId="03E30A6E">
            <w:pPr>
              <w:pStyle w:val="33"/>
              <w:rPr>
                <w:color w:val="auto"/>
              </w:rPr>
            </w:pPr>
            <w:r>
              <w:rPr>
                <w:rFonts w:hint="eastAsia"/>
                <w:color w:val="auto"/>
              </w:rPr>
              <w:t>高级氧化技术（</w:t>
            </w:r>
            <w:r>
              <w:rPr>
                <w:color w:val="auto"/>
              </w:rPr>
              <w:t>Fenton</w:t>
            </w:r>
            <w:r>
              <w:rPr>
                <w:rFonts w:hint="eastAsia"/>
                <w:color w:val="auto"/>
              </w:rPr>
              <w:t>氧化）或混凝沉淀</w:t>
            </w:r>
          </w:p>
        </w:tc>
        <w:tc>
          <w:tcPr>
            <w:tcW w:w="1093" w:type="dxa"/>
            <w:vMerge w:val="restart"/>
            <w:vAlign w:val="center"/>
          </w:tcPr>
          <w:p w14:paraId="3813CD3E">
            <w:pPr>
              <w:pStyle w:val="33"/>
              <w:rPr>
                <w:color w:val="auto"/>
              </w:rPr>
            </w:pPr>
            <w:r>
              <w:rPr>
                <w:rFonts w:hint="eastAsia"/>
                <w:color w:val="auto"/>
              </w:rPr>
              <w:t>沉淀</w:t>
            </w:r>
          </w:p>
        </w:tc>
        <w:tc>
          <w:tcPr>
            <w:tcW w:w="835" w:type="dxa"/>
            <w:vMerge w:val="restart"/>
            <w:vAlign w:val="center"/>
          </w:tcPr>
          <w:p w14:paraId="6AB58E99">
            <w:pPr>
              <w:pStyle w:val="33"/>
              <w:rPr>
                <w:color w:val="auto"/>
              </w:rPr>
            </w:pPr>
            <w:r>
              <w:rPr>
                <w:rFonts w:hint="eastAsia"/>
                <w:color w:val="auto"/>
              </w:rPr>
              <w:t>可行</w:t>
            </w:r>
          </w:p>
        </w:tc>
      </w:tr>
      <w:tr w14:paraId="453A5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5" w:type="dxa"/>
            <w:vMerge w:val="continue"/>
            <w:vAlign w:val="center"/>
          </w:tcPr>
          <w:p w14:paraId="10CE4770">
            <w:pPr>
              <w:pStyle w:val="33"/>
              <w:rPr>
                <w:color w:val="auto"/>
              </w:rPr>
            </w:pPr>
          </w:p>
        </w:tc>
        <w:tc>
          <w:tcPr>
            <w:tcW w:w="812" w:type="dxa"/>
            <w:vAlign w:val="center"/>
          </w:tcPr>
          <w:p w14:paraId="54973E78">
            <w:pPr>
              <w:pStyle w:val="33"/>
              <w:rPr>
                <w:color w:val="auto"/>
              </w:rPr>
            </w:pPr>
            <w:r>
              <w:rPr>
                <w:color w:val="auto"/>
              </w:rPr>
              <w:t>Fenton</w:t>
            </w:r>
            <w:r>
              <w:rPr>
                <w:rFonts w:hint="eastAsia"/>
                <w:color w:val="auto"/>
              </w:rPr>
              <w:t>氧化</w:t>
            </w:r>
          </w:p>
        </w:tc>
        <w:tc>
          <w:tcPr>
            <w:tcW w:w="0" w:type="auto"/>
            <w:vAlign w:val="center"/>
          </w:tcPr>
          <w:p w14:paraId="494476EE">
            <w:pPr>
              <w:pStyle w:val="33"/>
              <w:rPr>
                <w:color w:val="auto"/>
              </w:rPr>
            </w:pPr>
            <w:r>
              <w:rPr>
                <w:rFonts w:hint="eastAsia"/>
                <w:color w:val="auto"/>
              </w:rPr>
              <w:t>高级氧化、混凝沉淀</w:t>
            </w:r>
          </w:p>
        </w:tc>
        <w:tc>
          <w:tcPr>
            <w:tcW w:w="0" w:type="auto"/>
            <w:vMerge w:val="continue"/>
            <w:vAlign w:val="center"/>
          </w:tcPr>
          <w:p w14:paraId="62937388">
            <w:pPr>
              <w:pStyle w:val="33"/>
              <w:rPr>
                <w:color w:val="auto"/>
              </w:rPr>
            </w:pPr>
          </w:p>
        </w:tc>
        <w:tc>
          <w:tcPr>
            <w:tcW w:w="0" w:type="auto"/>
            <w:vMerge w:val="continue"/>
            <w:vAlign w:val="center"/>
          </w:tcPr>
          <w:p w14:paraId="4DC417E6">
            <w:pPr>
              <w:pStyle w:val="33"/>
              <w:rPr>
                <w:color w:val="auto"/>
              </w:rPr>
            </w:pPr>
          </w:p>
        </w:tc>
        <w:tc>
          <w:tcPr>
            <w:tcW w:w="0" w:type="auto"/>
            <w:vMerge w:val="continue"/>
            <w:vAlign w:val="center"/>
          </w:tcPr>
          <w:p w14:paraId="76D5B72E">
            <w:pPr>
              <w:pStyle w:val="33"/>
              <w:rPr>
                <w:color w:val="auto"/>
              </w:rPr>
            </w:pPr>
          </w:p>
        </w:tc>
        <w:tc>
          <w:tcPr>
            <w:tcW w:w="1093" w:type="dxa"/>
            <w:vMerge w:val="continue"/>
            <w:vAlign w:val="center"/>
          </w:tcPr>
          <w:p w14:paraId="7FE15DBD">
            <w:pPr>
              <w:pStyle w:val="33"/>
              <w:rPr>
                <w:color w:val="auto"/>
              </w:rPr>
            </w:pPr>
          </w:p>
        </w:tc>
        <w:tc>
          <w:tcPr>
            <w:tcW w:w="835" w:type="dxa"/>
            <w:vMerge w:val="continue"/>
            <w:vAlign w:val="center"/>
          </w:tcPr>
          <w:p w14:paraId="03D60995">
            <w:pPr>
              <w:pStyle w:val="33"/>
              <w:rPr>
                <w:color w:val="auto"/>
              </w:rPr>
            </w:pPr>
          </w:p>
        </w:tc>
      </w:tr>
    </w:tbl>
    <w:p w14:paraId="6B4B88F1">
      <w:pPr>
        <w:ind w:firstLine="480"/>
        <w:rPr>
          <w:color w:val="auto"/>
        </w:rPr>
      </w:pPr>
      <w:r>
        <w:rPr>
          <w:rFonts w:hint="eastAsia"/>
          <w:color w:val="auto"/>
        </w:rPr>
        <w:t>采用的污水处理措施均满足《制浆造纸工业污染防治可行性技术指南》（</w:t>
      </w:r>
      <w:r>
        <w:rPr>
          <w:color w:val="auto"/>
        </w:rPr>
        <w:t>HJ2302-2018</w:t>
      </w:r>
      <w:r>
        <w:rPr>
          <w:rFonts w:hint="eastAsia"/>
          <w:color w:val="auto"/>
        </w:rPr>
        <w:t>）附录</w:t>
      </w:r>
      <w:r>
        <w:rPr>
          <w:color w:val="auto"/>
        </w:rPr>
        <w:t>B</w:t>
      </w:r>
      <w:r>
        <w:rPr>
          <w:rFonts w:hint="eastAsia"/>
          <w:color w:val="auto"/>
        </w:rPr>
        <w:t>、《制浆造纸废水治理工程技术规范》中的要求。</w:t>
      </w:r>
    </w:p>
    <w:p w14:paraId="42C70A59">
      <w:pPr>
        <w:ind w:firstLine="480"/>
        <w:rPr>
          <w:color w:val="auto"/>
        </w:rPr>
      </w:pPr>
      <w:r>
        <w:rPr>
          <w:rFonts w:hint="eastAsia"/>
          <w:color w:val="auto"/>
        </w:rPr>
        <w:t>（3）依托排污管可行性分析</w:t>
      </w:r>
    </w:p>
    <w:p w14:paraId="524D7F55">
      <w:pPr>
        <w:ind w:firstLine="480"/>
        <w:rPr>
          <w:color w:val="auto"/>
          <w:szCs w:val="24"/>
        </w:rPr>
      </w:pPr>
      <w:r>
        <w:rPr>
          <w:rFonts w:hint="eastAsia"/>
          <w:color w:val="auto"/>
        </w:rPr>
        <w:t>运营期项目处理废水依托大榄坪污水处理厂现有</w:t>
      </w:r>
      <w:r>
        <w:rPr>
          <w:color w:val="auto"/>
        </w:rPr>
        <w:t>A2</w:t>
      </w:r>
      <w:r>
        <w:rPr>
          <w:rFonts w:hint="eastAsia"/>
          <w:color w:val="auto"/>
        </w:rPr>
        <w:t>排污口排放，位于钦州港大榄坪排放混合区（</w:t>
      </w:r>
      <w:r>
        <w:rPr>
          <w:color w:val="auto"/>
        </w:rPr>
        <w:t>GX057DIV</w:t>
      </w:r>
      <w:r>
        <w:rPr>
          <w:rFonts w:hint="eastAsia"/>
          <w:color w:val="auto"/>
        </w:rPr>
        <w:t>）：位置是以</w:t>
      </w:r>
      <w:r>
        <w:rPr>
          <w:color w:val="auto"/>
        </w:rPr>
        <w:t>E108˚39</w:t>
      </w:r>
      <w:r>
        <w:rPr>
          <w:rFonts w:hint="eastAsia"/>
          <w:color w:val="auto"/>
        </w:rPr>
        <w:t>′</w:t>
      </w:r>
      <w:r>
        <w:rPr>
          <w:color w:val="auto"/>
        </w:rPr>
        <w:t>12.0</w:t>
      </w:r>
      <w:r>
        <w:rPr>
          <w:rFonts w:hint="eastAsia"/>
          <w:color w:val="auto"/>
        </w:rPr>
        <w:t>″、</w:t>
      </w:r>
      <w:r>
        <w:rPr>
          <w:color w:val="auto"/>
        </w:rPr>
        <w:t>N21˚39</w:t>
      </w:r>
      <w:r>
        <w:rPr>
          <w:rFonts w:hint="eastAsia"/>
          <w:color w:val="auto"/>
        </w:rPr>
        <w:t>′</w:t>
      </w:r>
      <w:r>
        <w:rPr>
          <w:color w:val="auto"/>
        </w:rPr>
        <w:t>15.0</w:t>
      </w:r>
      <w:r>
        <w:rPr>
          <w:rFonts w:hint="eastAsia"/>
          <w:color w:val="auto"/>
        </w:rPr>
        <w:t>″为中心，半径</w:t>
      </w:r>
      <w:r>
        <w:rPr>
          <w:color w:val="auto"/>
        </w:rPr>
        <w:t>1km</w:t>
      </w:r>
      <w:r>
        <w:rPr>
          <w:rFonts w:hint="eastAsia"/>
          <w:color w:val="auto"/>
        </w:rPr>
        <w:t>的海域，周围设</w:t>
      </w:r>
      <w:r>
        <w:rPr>
          <w:color w:val="auto"/>
        </w:rPr>
        <w:t>0.5km</w:t>
      </w:r>
      <w:r>
        <w:rPr>
          <w:rFonts w:hint="eastAsia"/>
          <w:color w:val="auto"/>
        </w:rPr>
        <w:t>水质过渡带。项目不新增废水排放，所以现有</w:t>
      </w:r>
      <w:r>
        <w:rPr>
          <w:color w:val="auto"/>
        </w:rPr>
        <w:t>A2</w:t>
      </w:r>
      <w:r>
        <w:rPr>
          <w:rFonts w:hint="eastAsia"/>
          <w:color w:val="auto"/>
        </w:rPr>
        <w:t>排污口能满足项目排污要求</w:t>
      </w:r>
      <w:r>
        <w:rPr>
          <w:rFonts w:hint="eastAsia"/>
          <w:color w:val="auto"/>
          <w:szCs w:val="24"/>
        </w:rPr>
        <w:t>。</w:t>
      </w:r>
    </w:p>
    <w:p w14:paraId="27E158B9">
      <w:pPr>
        <w:ind w:firstLine="480"/>
        <w:rPr>
          <w:color w:val="auto"/>
          <w:szCs w:val="24"/>
        </w:rPr>
      </w:pPr>
      <w:r>
        <w:rPr>
          <w:rFonts w:hint="eastAsia"/>
          <w:color w:val="auto"/>
          <w:szCs w:val="24"/>
        </w:rPr>
        <w:t>根据规划，区域拟建中国（广西）自由贸易试验区钦州港大榄坪及三墩作业区深海排水管道工程。该工程入海排污口采用A4+A17外海双排口排放模式，具体位置分别为A4：21.5167N、108.6519E，A17：21.5159N、108.7099E。A4、A17分别位于钦州港A4排污混合区（GX062DⅣ）和钦州港A17排污混合区（GX063DⅣ）范围内，该排污口符合《广西壮族自治区近岸海域环境功能区划调整方案》（桂环发〔2023〕85号），已完成排污口选划论证，并经钦州市生态环境局备案（钦环函〔2024〕20号）。排海管道已取得中国（广西）自由贸易试验区钦州港片区自然资源和建设局选址意见；目前陆域段管道的初步设计已取得批复且已开始建设。根据该排污口选划论证报告，A4、A17排污口容量分别为32万m</w:t>
      </w:r>
      <w:r>
        <w:rPr>
          <w:rFonts w:hint="eastAsia"/>
          <w:color w:val="auto"/>
          <w:szCs w:val="24"/>
          <w:vertAlign w:val="superscript"/>
        </w:rPr>
        <w:t>3</w:t>
      </w:r>
      <w:r>
        <w:rPr>
          <w:rFonts w:hint="eastAsia"/>
          <w:color w:val="auto"/>
          <w:szCs w:val="24"/>
        </w:rPr>
        <w:t>/d、24万m</w:t>
      </w:r>
      <w:r>
        <w:rPr>
          <w:rFonts w:hint="eastAsia"/>
          <w:color w:val="auto"/>
          <w:szCs w:val="24"/>
          <w:vertAlign w:val="superscript"/>
        </w:rPr>
        <w:t>3</w:t>
      </w:r>
      <w:r>
        <w:rPr>
          <w:rFonts w:hint="eastAsia"/>
          <w:color w:val="auto"/>
          <w:szCs w:val="24"/>
        </w:rPr>
        <w:t>/d，合计为56万m</w:t>
      </w:r>
      <w:r>
        <w:rPr>
          <w:rFonts w:hint="eastAsia"/>
          <w:color w:val="auto"/>
          <w:szCs w:val="24"/>
          <w:vertAlign w:val="superscript"/>
        </w:rPr>
        <w:t>3</w:t>
      </w:r>
      <w:r>
        <w:rPr>
          <w:rFonts w:hint="eastAsia"/>
          <w:color w:val="auto"/>
          <w:szCs w:val="24"/>
        </w:rPr>
        <w:t>/d。为进一步降低对近岸海域的影响，根据当地相关部门的要求，企业计划在A17排污口及排海管道设施建成运行后，设置1年过渡期，过渡期内现有及在建工程废水仍在A2排污口排放，过渡期结束后，现有及在建工程全部废水与拟建项目废水一并经A17排污口排放。金桂浆纸全厂废水排放量完全在A17排污口承载能力范围内。</w:t>
      </w:r>
    </w:p>
    <w:p w14:paraId="021ACE41">
      <w:pPr>
        <w:pStyle w:val="4"/>
        <w:rPr>
          <w:color w:val="auto"/>
        </w:rPr>
      </w:pPr>
      <w:bookmarkStart w:id="482" w:name="_Toc225216795"/>
      <w:r>
        <w:rPr>
          <w:rFonts w:hint="eastAsia"/>
          <w:color w:val="auto"/>
        </w:rPr>
        <w:t>地表水与海洋预测分析与结论</w:t>
      </w:r>
      <w:bookmarkEnd w:id="482"/>
    </w:p>
    <w:p w14:paraId="7D799A60">
      <w:pPr>
        <w:ind w:firstLine="480"/>
        <w:rPr>
          <w:color w:val="auto"/>
        </w:rPr>
      </w:pPr>
      <w:r>
        <w:rPr>
          <w:rFonts w:hint="eastAsia"/>
          <w:color w:val="auto"/>
        </w:rPr>
        <w:t>改造完成后全厂废水排放量89528.36m</w:t>
      </w:r>
      <w:r>
        <w:rPr>
          <w:rFonts w:hint="eastAsia"/>
          <w:color w:val="auto"/>
          <w:vertAlign w:val="superscript"/>
        </w:rPr>
        <w:t>3</w:t>
      </w:r>
      <w:r>
        <w:rPr>
          <w:rFonts w:hint="eastAsia"/>
          <w:color w:val="auto"/>
        </w:rPr>
        <w:t>/d，造纸车间（含已批未建3#纸机）废水排放量由67276m</w:t>
      </w:r>
      <w:r>
        <w:rPr>
          <w:rFonts w:hint="eastAsia"/>
          <w:color w:val="auto"/>
          <w:vertAlign w:val="superscript"/>
        </w:rPr>
        <w:t>3</w:t>
      </w:r>
      <w:r>
        <w:rPr>
          <w:rFonts w:hint="eastAsia"/>
          <w:color w:val="auto"/>
        </w:rPr>
        <w:t>/d削减为61196.76m</w:t>
      </w:r>
      <w:r>
        <w:rPr>
          <w:rFonts w:hint="eastAsia"/>
          <w:color w:val="auto"/>
          <w:vertAlign w:val="superscript"/>
        </w:rPr>
        <w:t>3</w:t>
      </w:r>
      <w:r>
        <w:rPr>
          <w:rFonts w:hint="eastAsia"/>
          <w:color w:val="auto"/>
        </w:rPr>
        <w:t>/d，消减量为6079.24m</w:t>
      </w:r>
      <w:r>
        <w:rPr>
          <w:rFonts w:hint="eastAsia"/>
          <w:color w:val="auto"/>
          <w:vertAlign w:val="superscript"/>
        </w:rPr>
        <w:t>3</w:t>
      </w:r>
      <w:r>
        <w:rPr>
          <w:rFonts w:hint="eastAsia"/>
          <w:color w:val="auto"/>
        </w:rPr>
        <w:t>/d。1#碱回收车间排水量由4785m</w:t>
      </w:r>
      <w:r>
        <w:rPr>
          <w:rFonts w:hint="eastAsia"/>
          <w:color w:val="auto"/>
          <w:vertAlign w:val="superscript"/>
        </w:rPr>
        <w:t>3</w:t>
      </w:r>
      <w:r>
        <w:rPr>
          <w:rFonts w:hint="eastAsia"/>
          <w:color w:val="auto"/>
        </w:rPr>
        <w:t>/d增大为14542m</w:t>
      </w:r>
      <w:r>
        <w:rPr>
          <w:rFonts w:hint="eastAsia"/>
          <w:color w:val="auto"/>
          <w:vertAlign w:val="superscript"/>
        </w:rPr>
        <w:t>3</w:t>
      </w:r>
      <w:r>
        <w:rPr>
          <w:rFonts w:hint="eastAsia"/>
          <w:color w:val="auto"/>
        </w:rPr>
        <w:t>/d，新增量为9757m</w:t>
      </w:r>
      <w:r>
        <w:rPr>
          <w:rFonts w:hint="eastAsia"/>
          <w:color w:val="auto"/>
          <w:vertAlign w:val="superscript"/>
        </w:rPr>
        <w:t>3</w:t>
      </w:r>
      <w:r>
        <w:rPr>
          <w:rFonts w:hint="eastAsia"/>
          <w:color w:val="auto"/>
        </w:rPr>
        <w:t>/d，因此项目新增排水3677.77m</w:t>
      </w:r>
      <w:r>
        <w:rPr>
          <w:rFonts w:hint="eastAsia"/>
          <w:color w:val="auto"/>
          <w:vertAlign w:val="superscript"/>
        </w:rPr>
        <w:t>3</w:t>
      </w:r>
      <w:r>
        <w:rPr>
          <w:rFonts w:hint="eastAsia"/>
          <w:color w:val="auto"/>
        </w:rPr>
        <w:t>/d，新增回用水3677.77m</w:t>
      </w:r>
      <w:r>
        <w:rPr>
          <w:rFonts w:hint="eastAsia"/>
          <w:color w:val="auto"/>
          <w:vertAlign w:val="superscript"/>
        </w:rPr>
        <w:t>3</w:t>
      </w:r>
      <w:r>
        <w:rPr>
          <w:rFonts w:hint="eastAsia"/>
          <w:color w:val="auto"/>
        </w:rPr>
        <w:t>/d。项目新增1座污水处理站与1套中水回用系统，新增3#污水处理站用于处理项目产生的综合废水，在新增3#污水处理站末端新增1套中水回用系统。生产废水经过3#污水处理站处理后，可容纳5000m</w:t>
      </w:r>
      <w:r>
        <w:rPr>
          <w:rFonts w:hint="eastAsia"/>
          <w:color w:val="auto"/>
          <w:vertAlign w:val="superscript"/>
        </w:rPr>
        <w:t>3</w:t>
      </w:r>
      <w:r>
        <w:rPr>
          <w:rFonts w:hint="eastAsia"/>
          <w:color w:val="auto"/>
        </w:rPr>
        <w:t>/d排水进入中水回用进一步处理后用于冷却。因此项目不新增废水排放排放量和水污染物排放量。</w:t>
      </w:r>
    </w:p>
    <w:p w14:paraId="01161434">
      <w:pPr>
        <w:ind w:firstLine="480"/>
        <w:rPr>
          <w:rFonts w:cs="Times New Roman"/>
          <w:color w:val="auto"/>
        </w:rPr>
      </w:pPr>
      <w:r>
        <w:rPr>
          <w:rFonts w:cs="Times New Roman"/>
          <w:color w:val="auto"/>
        </w:rPr>
        <w:t>根据《环境影响评价技术导则－地表水环境》（HJ2.3-2018），本项目无新增生产废水外排，生活污水经处理后排入大榄坪污水处理厂处理，属于间接排放，因此本项目地表水环境影响评价等级为三级B，可不进行水环境影响预测。根据</w:t>
      </w:r>
      <w:r>
        <w:rPr>
          <w:rFonts w:hint="eastAsia" w:cs="Times New Roman"/>
          <w:color w:val="auto"/>
        </w:rPr>
        <w:t>建设单位提供的2023年、2024年、2025年废水总排口在线监测与自行监测数据。厂区生产废水总排口的各项因子均满足排污许可证规定限制。</w:t>
      </w:r>
    </w:p>
    <w:p w14:paraId="42106D8A">
      <w:pPr>
        <w:pStyle w:val="7"/>
        <w:rPr>
          <w:color w:val="auto"/>
        </w:rPr>
      </w:pPr>
      <w:r>
        <w:rPr>
          <w:rFonts w:hint="eastAsia"/>
          <w:color w:val="auto"/>
        </w:rPr>
        <w:t>现有工程废水总排放口2023年在线监测、自行监测结果mg/L</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709"/>
        <w:gridCol w:w="992"/>
        <w:gridCol w:w="993"/>
        <w:gridCol w:w="992"/>
        <w:gridCol w:w="992"/>
        <w:gridCol w:w="1134"/>
        <w:gridCol w:w="1134"/>
        <w:gridCol w:w="985"/>
      </w:tblGrid>
      <w:tr w14:paraId="536AF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129" w:type="dxa"/>
            <w:vAlign w:val="center"/>
          </w:tcPr>
          <w:p w14:paraId="09DD34F2">
            <w:pPr>
              <w:pStyle w:val="33"/>
              <w:rPr>
                <w:color w:val="auto"/>
              </w:rPr>
            </w:pPr>
            <w:r>
              <w:rPr>
                <w:color w:val="auto"/>
              </w:rPr>
              <w:t>项目</w:t>
            </w:r>
          </w:p>
        </w:tc>
        <w:tc>
          <w:tcPr>
            <w:tcW w:w="709" w:type="dxa"/>
            <w:vAlign w:val="center"/>
          </w:tcPr>
          <w:p w14:paraId="0644E296">
            <w:pPr>
              <w:pStyle w:val="33"/>
              <w:rPr>
                <w:color w:val="auto"/>
              </w:rPr>
            </w:pPr>
            <w:r>
              <w:rPr>
                <w:color w:val="auto"/>
              </w:rPr>
              <w:t>pH</w:t>
            </w:r>
          </w:p>
        </w:tc>
        <w:tc>
          <w:tcPr>
            <w:tcW w:w="992" w:type="dxa"/>
            <w:vAlign w:val="center"/>
          </w:tcPr>
          <w:p w14:paraId="1BB55096">
            <w:pPr>
              <w:pStyle w:val="33"/>
              <w:rPr>
                <w:color w:val="auto"/>
              </w:rPr>
            </w:pPr>
            <w:r>
              <w:rPr>
                <w:color w:val="auto"/>
              </w:rPr>
              <w:t>色度</w:t>
            </w:r>
          </w:p>
        </w:tc>
        <w:tc>
          <w:tcPr>
            <w:tcW w:w="993" w:type="dxa"/>
            <w:vAlign w:val="center"/>
          </w:tcPr>
          <w:p w14:paraId="15E157E5">
            <w:pPr>
              <w:pStyle w:val="33"/>
              <w:rPr>
                <w:color w:val="auto"/>
              </w:rPr>
            </w:pPr>
            <w:r>
              <w:rPr>
                <w:color w:val="auto"/>
              </w:rPr>
              <w:t>BOD</w:t>
            </w:r>
            <w:r>
              <w:rPr>
                <w:color w:val="auto"/>
                <w:vertAlign w:val="subscript"/>
              </w:rPr>
              <w:t>5</w:t>
            </w:r>
          </w:p>
        </w:tc>
        <w:tc>
          <w:tcPr>
            <w:tcW w:w="992" w:type="dxa"/>
            <w:vAlign w:val="center"/>
          </w:tcPr>
          <w:p w14:paraId="00F5B806">
            <w:pPr>
              <w:pStyle w:val="33"/>
              <w:rPr>
                <w:color w:val="auto"/>
              </w:rPr>
            </w:pPr>
            <w:r>
              <w:rPr>
                <w:color w:val="auto"/>
              </w:rPr>
              <w:t>COD</w:t>
            </w:r>
            <w:r>
              <w:rPr>
                <w:color w:val="auto"/>
                <w:vertAlign w:val="subscript"/>
              </w:rPr>
              <w:t>cr</w:t>
            </w:r>
          </w:p>
        </w:tc>
        <w:tc>
          <w:tcPr>
            <w:tcW w:w="992" w:type="dxa"/>
            <w:vAlign w:val="center"/>
          </w:tcPr>
          <w:p w14:paraId="6DA16AC2">
            <w:pPr>
              <w:pStyle w:val="33"/>
              <w:rPr>
                <w:color w:val="auto"/>
              </w:rPr>
            </w:pPr>
            <w:r>
              <w:rPr>
                <w:color w:val="auto"/>
              </w:rPr>
              <w:t>SS</w:t>
            </w:r>
          </w:p>
        </w:tc>
        <w:tc>
          <w:tcPr>
            <w:tcW w:w="1134" w:type="dxa"/>
            <w:vAlign w:val="center"/>
          </w:tcPr>
          <w:p w14:paraId="6489979A">
            <w:pPr>
              <w:pStyle w:val="33"/>
              <w:rPr>
                <w:color w:val="auto"/>
              </w:rPr>
            </w:pPr>
            <w:r>
              <w:rPr>
                <w:color w:val="auto"/>
              </w:rPr>
              <w:t>氨氮</w:t>
            </w:r>
          </w:p>
        </w:tc>
        <w:tc>
          <w:tcPr>
            <w:tcW w:w="1134" w:type="dxa"/>
            <w:vAlign w:val="center"/>
          </w:tcPr>
          <w:p w14:paraId="0D89CF62">
            <w:pPr>
              <w:pStyle w:val="33"/>
              <w:rPr>
                <w:color w:val="auto"/>
              </w:rPr>
            </w:pPr>
            <w:r>
              <w:rPr>
                <w:color w:val="auto"/>
              </w:rPr>
              <w:t>总氮</w:t>
            </w:r>
          </w:p>
        </w:tc>
        <w:tc>
          <w:tcPr>
            <w:tcW w:w="985" w:type="dxa"/>
            <w:vAlign w:val="center"/>
          </w:tcPr>
          <w:p w14:paraId="7AE58D4F">
            <w:pPr>
              <w:pStyle w:val="33"/>
              <w:rPr>
                <w:color w:val="auto"/>
              </w:rPr>
            </w:pPr>
            <w:r>
              <w:rPr>
                <w:color w:val="auto"/>
              </w:rPr>
              <w:t>总磷</w:t>
            </w:r>
          </w:p>
        </w:tc>
      </w:tr>
      <w:tr w14:paraId="7A140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4AA1C172">
            <w:pPr>
              <w:pStyle w:val="33"/>
              <w:rPr>
                <w:color w:val="auto"/>
              </w:rPr>
            </w:pPr>
            <w:r>
              <w:rPr>
                <w:color w:val="auto"/>
              </w:rPr>
              <w:t>在线监测</w:t>
            </w:r>
          </w:p>
        </w:tc>
        <w:tc>
          <w:tcPr>
            <w:tcW w:w="709" w:type="dxa"/>
            <w:vAlign w:val="center"/>
          </w:tcPr>
          <w:p w14:paraId="3A870223">
            <w:pPr>
              <w:pStyle w:val="33"/>
              <w:rPr>
                <w:color w:val="auto"/>
              </w:rPr>
            </w:pPr>
            <w:r>
              <w:rPr>
                <w:color w:val="auto"/>
              </w:rPr>
              <w:t>6.51~7.36</w:t>
            </w:r>
          </w:p>
        </w:tc>
        <w:tc>
          <w:tcPr>
            <w:tcW w:w="992" w:type="dxa"/>
            <w:vAlign w:val="center"/>
          </w:tcPr>
          <w:p w14:paraId="6869DCBE">
            <w:pPr>
              <w:pStyle w:val="33"/>
              <w:rPr>
                <w:color w:val="auto"/>
              </w:rPr>
            </w:pPr>
            <w:r>
              <w:rPr>
                <w:color w:val="auto"/>
              </w:rPr>
              <w:t>/</w:t>
            </w:r>
          </w:p>
        </w:tc>
        <w:tc>
          <w:tcPr>
            <w:tcW w:w="993" w:type="dxa"/>
            <w:vAlign w:val="center"/>
          </w:tcPr>
          <w:p w14:paraId="404651AB">
            <w:pPr>
              <w:pStyle w:val="33"/>
              <w:rPr>
                <w:color w:val="auto"/>
              </w:rPr>
            </w:pPr>
            <w:r>
              <w:rPr>
                <w:color w:val="auto"/>
              </w:rPr>
              <w:t>/</w:t>
            </w:r>
          </w:p>
        </w:tc>
        <w:tc>
          <w:tcPr>
            <w:tcW w:w="992" w:type="dxa"/>
            <w:vAlign w:val="center"/>
          </w:tcPr>
          <w:p w14:paraId="64B7F57F">
            <w:pPr>
              <w:pStyle w:val="33"/>
              <w:rPr>
                <w:color w:val="auto"/>
              </w:rPr>
            </w:pPr>
            <w:r>
              <w:rPr>
                <w:color w:val="auto"/>
              </w:rPr>
              <w:t>12.56~73.72</w:t>
            </w:r>
          </w:p>
        </w:tc>
        <w:tc>
          <w:tcPr>
            <w:tcW w:w="992" w:type="dxa"/>
            <w:vAlign w:val="center"/>
          </w:tcPr>
          <w:p w14:paraId="0051E3F4">
            <w:pPr>
              <w:pStyle w:val="33"/>
              <w:rPr>
                <w:color w:val="auto"/>
              </w:rPr>
            </w:pPr>
            <w:r>
              <w:rPr>
                <w:color w:val="auto"/>
              </w:rPr>
              <w:t>/</w:t>
            </w:r>
          </w:p>
        </w:tc>
        <w:tc>
          <w:tcPr>
            <w:tcW w:w="1134" w:type="dxa"/>
            <w:vAlign w:val="center"/>
          </w:tcPr>
          <w:p w14:paraId="60A2C0CF">
            <w:pPr>
              <w:pStyle w:val="33"/>
              <w:rPr>
                <w:color w:val="auto"/>
              </w:rPr>
            </w:pPr>
            <w:r>
              <w:rPr>
                <w:color w:val="auto"/>
              </w:rPr>
              <w:t>0.012~3.762</w:t>
            </w:r>
          </w:p>
        </w:tc>
        <w:tc>
          <w:tcPr>
            <w:tcW w:w="1134" w:type="dxa"/>
            <w:vAlign w:val="center"/>
          </w:tcPr>
          <w:p w14:paraId="5ECBB5BE">
            <w:pPr>
              <w:pStyle w:val="33"/>
              <w:rPr>
                <w:color w:val="auto"/>
              </w:rPr>
            </w:pPr>
            <w:r>
              <w:rPr>
                <w:color w:val="auto"/>
              </w:rPr>
              <w:t>0.248~8.481</w:t>
            </w:r>
          </w:p>
        </w:tc>
        <w:tc>
          <w:tcPr>
            <w:tcW w:w="985" w:type="dxa"/>
            <w:vAlign w:val="center"/>
          </w:tcPr>
          <w:p w14:paraId="48081B81">
            <w:pPr>
              <w:pStyle w:val="33"/>
              <w:rPr>
                <w:color w:val="auto"/>
              </w:rPr>
            </w:pPr>
            <w:r>
              <w:rPr>
                <w:color w:val="auto"/>
              </w:rPr>
              <w:t>0.002~0.379</w:t>
            </w:r>
          </w:p>
        </w:tc>
      </w:tr>
      <w:tr w14:paraId="530C4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6DC77F3D">
            <w:pPr>
              <w:pStyle w:val="33"/>
              <w:rPr>
                <w:color w:val="auto"/>
              </w:rPr>
            </w:pPr>
            <w:r>
              <w:rPr>
                <w:color w:val="auto"/>
              </w:rPr>
              <w:t>自行监测</w:t>
            </w:r>
          </w:p>
        </w:tc>
        <w:tc>
          <w:tcPr>
            <w:tcW w:w="709" w:type="dxa"/>
            <w:vAlign w:val="center"/>
          </w:tcPr>
          <w:p w14:paraId="19693BAD">
            <w:pPr>
              <w:pStyle w:val="33"/>
              <w:rPr>
                <w:color w:val="auto"/>
              </w:rPr>
            </w:pPr>
            <w:r>
              <w:rPr>
                <w:color w:val="auto"/>
              </w:rPr>
              <w:t>/</w:t>
            </w:r>
          </w:p>
        </w:tc>
        <w:tc>
          <w:tcPr>
            <w:tcW w:w="992" w:type="dxa"/>
            <w:vAlign w:val="center"/>
          </w:tcPr>
          <w:p w14:paraId="752320B4">
            <w:pPr>
              <w:pStyle w:val="33"/>
              <w:rPr>
                <w:color w:val="auto"/>
              </w:rPr>
            </w:pPr>
            <w:r>
              <w:rPr>
                <w:color w:val="auto"/>
              </w:rPr>
              <w:t>2~10</w:t>
            </w:r>
          </w:p>
        </w:tc>
        <w:tc>
          <w:tcPr>
            <w:tcW w:w="993" w:type="dxa"/>
            <w:vAlign w:val="center"/>
          </w:tcPr>
          <w:p w14:paraId="5FAA96D2">
            <w:pPr>
              <w:pStyle w:val="33"/>
              <w:rPr>
                <w:color w:val="auto"/>
              </w:rPr>
            </w:pPr>
            <w:r>
              <w:rPr>
                <w:color w:val="auto"/>
              </w:rPr>
              <w:t>0.8~13.1</w:t>
            </w:r>
          </w:p>
        </w:tc>
        <w:tc>
          <w:tcPr>
            <w:tcW w:w="992" w:type="dxa"/>
            <w:vAlign w:val="center"/>
          </w:tcPr>
          <w:p w14:paraId="2E68D2D4">
            <w:pPr>
              <w:pStyle w:val="33"/>
              <w:rPr>
                <w:color w:val="auto"/>
              </w:rPr>
            </w:pPr>
            <w:r>
              <w:rPr>
                <w:color w:val="auto"/>
              </w:rPr>
              <w:t>/</w:t>
            </w:r>
          </w:p>
        </w:tc>
        <w:tc>
          <w:tcPr>
            <w:tcW w:w="992" w:type="dxa"/>
            <w:vAlign w:val="center"/>
          </w:tcPr>
          <w:p w14:paraId="066CCF02">
            <w:pPr>
              <w:pStyle w:val="33"/>
              <w:rPr>
                <w:color w:val="auto"/>
              </w:rPr>
            </w:pPr>
            <w:r>
              <w:rPr>
                <w:color w:val="auto"/>
              </w:rPr>
              <w:t>ND~22</w:t>
            </w:r>
          </w:p>
        </w:tc>
        <w:tc>
          <w:tcPr>
            <w:tcW w:w="1134" w:type="dxa"/>
            <w:vAlign w:val="center"/>
          </w:tcPr>
          <w:p w14:paraId="174E37DA">
            <w:pPr>
              <w:pStyle w:val="33"/>
              <w:rPr>
                <w:color w:val="auto"/>
              </w:rPr>
            </w:pPr>
            <w:r>
              <w:rPr>
                <w:color w:val="auto"/>
              </w:rPr>
              <w:t>/</w:t>
            </w:r>
          </w:p>
        </w:tc>
        <w:tc>
          <w:tcPr>
            <w:tcW w:w="1134" w:type="dxa"/>
            <w:vAlign w:val="center"/>
          </w:tcPr>
          <w:p w14:paraId="2EC15B8C">
            <w:pPr>
              <w:pStyle w:val="33"/>
              <w:rPr>
                <w:color w:val="auto"/>
              </w:rPr>
            </w:pPr>
            <w:r>
              <w:rPr>
                <w:color w:val="auto"/>
              </w:rPr>
              <w:t>/</w:t>
            </w:r>
          </w:p>
        </w:tc>
        <w:tc>
          <w:tcPr>
            <w:tcW w:w="985" w:type="dxa"/>
            <w:vAlign w:val="center"/>
          </w:tcPr>
          <w:p w14:paraId="4AE1C9EC">
            <w:pPr>
              <w:pStyle w:val="33"/>
              <w:rPr>
                <w:color w:val="auto"/>
              </w:rPr>
            </w:pPr>
            <w:r>
              <w:rPr>
                <w:color w:val="auto"/>
              </w:rPr>
              <w:t>/</w:t>
            </w:r>
          </w:p>
        </w:tc>
      </w:tr>
      <w:tr w14:paraId="43EBD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93A3108">
            <w:pPr>
              <w:pStyle w:val="33"/>
              <w:rPr>
                <w:color w:val="auto"/>
              </w:rPr>
            </w:pPr>
            <w:r>
              <w:rPr>
                <w:color w:val="auto"/>
              </w:rPr>
              <w:t>标准</w:t>
            </w:r>
          </w:p>
        </w:tc>
        <w:tc>
          <w:tcPr>
            <w:tcW w:w="709" w:type="dxa"/>
            <w:vAlign w:val="center"/>
          </w:tcPr>
          <w:p w14:paraId="6877C058">
            <w:pPr>
              <w:pStyle w:val="33"/>
              <w:rPr>
                <w:color w:val="auto"/>
              </w:rPr>
            </w:pPr>
            <w:r>
              <w:rPr>
                <w:color w:val="auto"/>
              </w:rPr>
              <w:t>6~9</w:t>
            </w:r>
          </w:p>
        </w:tc>
        <w:tc>
          <w:tcPr>
            <w:tcW w:w="992" w:type="dxa"/>
            <w:vAlign w:val="center"/>
          </w:tcPr>
          <w:p w14:paraId="551AD1E6">
            <w:pPr>
              <w:pStyle w:val="33"/>
              <w:rPr>
                <w:color w:val="auto"/>
              </w:rPr>
            </w:pPr>
            <w:r>
              <w:rPr>
                <w:color w:val="auto"/>
              </w:rPr>
              <w:t>50</w:t>
            </w:r>
          </w:p>
        </w:tc>
        <w:tc>
          <w:tcPr>
            <w:tcW w:w="993" w:type="dxa"/>
            <w:vAlign w:val="center"/>
          </w:tcPr>
          <w:p w14:paraId="00F34DE8">
            <w:pPr>
              <w:pStyle w:val="33"/>
              <w:rPr>
                <w:color w:val="auto"/>
              </w:rPr>
            </w:pPr>
            <w:r>
              <w:rPr>
                <w:color w:val="auto"/>
              </w:rPr>
              <w:t>20</w:t>
            </w:r>
          </w:p>
        </w:tc>
        <w:tc>
          <w:tcPr>
            <w:tcW w:w="992" w:type="dxa"/>
            <w:vAlign w:val="center"/>
          </w:tcPr>
          <w:p w14:paraId="11007F99">
            <w:pPr>
              <w:pStyle w:val="33"/>
              <w:rPr>
                <w:color w:val="auto"/>
              </w:rPr>
            </w:pPr>
            <w:r>
              <w:rPr>
                <w:color w:val="auto"/>
              </w:rPr>
              <w:t>90</w:t>
            </w:r>
          </w:p>
        </w:tc>
        <w:tc>
          <w:tcPr>
            <w:tcW w:w="992" w:type="dxa"/>
            <w:vAlign w:val="center"/>
          </w:tcPr>
          <w:p w14:paraId="5B2BBA8B">
            <w:pPr>
              <w:pStyle w:val="33"/>
              <w:rPr>
                <w:color w:val="auto"/>
              </w:rPr>
            </w:pPr>
            <w:r>
              <w:rPr>
                <w:color w:val="auto"/>
              </w:rPr>
              <w:t>30</w:t>
            </w:r>
          </w:p>
        </w:tc>
        <w:tc>
          <w:tcPr>
            <w:tcW w:w="1134" w:type="dxa"/>
            <w:vAlign w:val="center"/>
          </w:tcPr>
          <w:p w14:paraId="37A0410C">
            <w:pPr>
              <w:pStyle w:val="33"/>
              <w:rPr>
                <w:color w:val="auto"/>
              </w:rPr>
            </w:pPr>
            <w:r>
              <w:rPr>
                <w:color w:val="auto"/>
              </w:rPr>
              <w:t>8</w:t>
            </w:r>
          </w:p>
        </w:tc>
        <w:tc>
          <w:tcPr>
            <w:tcW w:w="1134" w:type="dxa"/>
            <w:vAlign w:val="center"/>
          </w:tcPr>
          <w:p w14:paraId="19EC43BA">
            <w:pPr>
              <w:pStyle w:val="33"/>
              <w:rPr>
                <w:color w:val="auto"/>
              </w:rPr>
            </w:pPr>
            <w:r>
              <w:rPr>
                <w:color w:val="auto"/>
              </w:rPr>
              <w:t>12</w:t>
            </w:r>
          </w:p>
        </w:tc>
        <w:tc>
          <w:tcPr>
            <w:tcW w:w="985" w:type="dxa"/>
            <w:vAlign w:val="center"/>
          </w:tcPr>
          <w:p w14:paraId="17EEEC4C">
            <w:pPr>
              <w:pStyle w:val="33"/>
              <w:rPr>
                <w:color w:val="auto"/>
              </w:rPr>
            </w:pPr>
            <w:r>
              <w:rPr>
                <w:color w:val="auto"/>
              </w:rPr>
              <w:t>1.8</w:t>
            </w:r>
          </w:p>
        </w:tc>
      </w:tr>
      <w:tr w14:paraId="280FD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29" w:type="dxa"/>
            <w:vAlign w:val="center"/>
          </w:tcPr>
          <w:p w14:paraId="4A699504">
            <w:pPr>
              <w:pStyle w:val="33"/>
              <w:rPr>
                <w:color w:val="auto"/>
              </w:rPr>
            </w:pPr>
            <w:r>
              <w:rPr>
                <w:color w:val="auto"/>
              </w:rPr>
              <w:t>达标情况</w:t>
            </w:r>
          </w:p>
        </w:tc>
        <w:tc>
          <w:tcPr>
            <w:tcW w:w="709" w:type="dxa"/>
            <w:vAlign w:val="center"/>
          </w:tcPr>
          <w:p w14:paraId="4F8693EB">
            <w:pPr>
              <w:pStyle w:val="33"/>
              <w:rPr>
                <w:color w:val="auto"/>
              </w:rPr>
            </w:pPr>
            <w:r>
              <w:rPr>
                <w:color w:val="auto"/>
              </w:rPr>
              <w:t>达标</w:t>
            </w:r>
          </w:p>
        </w:tc>
        <w:tc>
          <w:tcPr>
            <w:tcW w:w="992" w:type="dxa"/>
            <w:vAlign w:val="center"/>
          </w:tcPr>
          <w:p w14:paraId="78E57390">
            <w:pPr>
              <w:pStyle w:val="33"/>
              <w:rPr>
                <w:color w:val="auto"/>
              </w:rPr>
            </w:pPr>
            <w:r>
              <w:rPr>
                <w:color w:val="auto"/>
              </w:rPr>
              <w:t>达标</w:t>
            </w:r>
          </w:p>
        </w:tc>
        <w:tc>
          <w:tcPr>
            <w:tcW w:w="993" w:type="dxa"/>
            <w:vAlign w:val="center"/>
          </w:tcPr>
          <w:p w14:paraId="158F494F">
            <w:pPr>
              <w:pStyle w:val="33"/>
              <w:rPr>
                <w:color w:val="auto"/>
              </w:rPr>
            </w:pPr>
            <w:r>
              <w:rPr>
                <w:color w:val="auto"/>
              </w:rPr>
              <w:t>达标</w:t>
            </w:r>
          </w:p>
        </w:tc>
        <w:tc>
          <w:tcPr>
            <w:tcW w:w="992" w:type="dxa"/>
            <w:vAlign w:val="center"/>
          </w:tcPr>
          <w:p w14:paraId="34FC280D">
            <w:pPr>
              <w:pStyle w:val="33"/>
              <w:rPr>
                <w:color w:val="auto"/>
              </w:rPr>
            </w:pPr>
            <w:r>
              <w:rPr>
                <w:color w:val="auto"/>
              </w:rPr>
              <w:t>达标</w:t>
            </w:r>
          </w:p>
        </w:tc>
        <w:tc>
          <w:tcPr>
            <w:tcW w:w="992" w:type="dxa"/>
            <w:vAlign w:val="center"/>
          </w:tcPr>
          <w:p w14:paraId="48995815">
            <w:pPr>
              <w:pStyle w:val="33"/>
              <w:rPr>
                <w:color w:val="auto"/>
              </w:rPr>
            </w:pPr>
            <w:r>
              <w:rPr>
                <w:color w:val="auto"/>
              </w:rPr>
              <w:t>达标</w:t>
            </w:r>
          </w:p>
        </w:tc>
        <w:tc>
          <w:tcPr>
            <w:tcW w:w="1134" w:type="dxa"/>
            <w:vAlign w:val="center"/>
          </w:tcPr>
          <w:p w14:paraId="3DD503E8">
            <w:pPr>
              <w:pStyle w:val="33"/>
              <w:rPr>
                <w:color w:val="auto"/>
              </w:rPr>
            </w:pPr>
            <w:r>
              <w:rPr>
                <w:color w:val="auto"/>
              </w:rPr>
              <w:t>达标</w:t>
            </w:r>
          </w:p>
        </w:tc>
        <w:tc>
          <w:tcPr>
            <w:tcW w:w="1134" w:type="dxa"/>
            <w:vAlign w:val="center"/>
          </w:tcPr>
          <w:p w14:paraId="3003B2CC">
            <w:pPr>
              <w:pStyle w:val="33"/>
              <w:rPr>
                <w:color w:val="auto"/>
              </w:rPr>
            </w:pPr>
            <w:r>
              <w:rPr>
                <w:color w:val="auto"/>
              </w:rPr>
              <w:t>达标</w:t>
            </w:r>
          </w:p>
        </w:tc>
        <w:tc>
          <w:tcPr>
            <w:tcW w:w="985" w:type="dxa"/>
            <w:vAlign w:val="center"/>
          </w:tcPr>
          <w:p w14:paraId="18EF1BF2">
            <w:pPr>
              <w:pStyle w:val="33"/>
              <w:rPr>
                <w:color w:val="auto"/>
              </w:rPr>
            </w:pPr>
            <w:r>
              <w:rPr>
                <w:color w:val="auto"/>
              </w:rPr>
              <w:t>达标</w:t>
            </w:r>
          </w:p>
        </w:tc>
      </w:tr>
    </w:tbl>
    <w:p w14:paraId="7152A051">
      <w:pPr>
        <w:pStyle w:val="7"/>
        <w:rPr>
          <w:color w:val="auto"/>
        </w:rPr>
      </w:pPr>
      <w:r>
        <w:rPr>
          <w:rFonts w:hint="eastAsia"/>
          <w:color w:val="auto"/>
        </w:rPr>
        <w:t>现有工程废水总排放口2024年在线监测、自行监测结果mg/L</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993"/>
        <w:gridCol w:w="850"/>
        <w:gridCol w:w="851"/>
        <w:gridCol w:w="992"/>
        <w:gridCol w:w="992"/>
        <w:gridCol w:w="1134"/>
        <w:gridCol w:w="1134"/>
        <w:gridCol w:w="985"/>
      </w:tblGrid>
      <w:tr w14:paraId="3143B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129" w:type="dxa"/>
            <w:vAlign w:val="center"/>
          </w:tcPr>
          <w:p w14:paraId="6A36F38C">
            <w:pPr>
              <w:pStyle w:val="33"/>
              <w:rPr>
                <w:color w:val="auto"/>
              </w:rPr>
            </w:pPr>
            <w:r>
              <w:rPr>
                <w:color w:val="auto"/>
              </w:rPr>
              <w:t>项目</w:t>
            </w:r>
          </w:p>
        </w:tc>
        <w:tc>
          <w:tcPr>
            <w:tcW w:w="993" w:type="dxa"/>
            <w:vAlign w:val="center"/>
          </w:tcPr>
          <w:p w14:paraId="592A2118">
            <w:pPr>
              <w:pStyle w:val="33"/>
              <w:rPr>
                <w:color w:val="auto"/>
              </w:rPr>
            </w:pPr>
            <w:r>
              <w:rPr>
                <w:color w:val="auto"/>
              </w:rPr>
              <w:t>pH</w:t>
            </w:r>
          </w:p>
        </w:tc>
        <w:tc>
          <w:tcPr>
            <w:tcW w:w="850" w:type="dxa"/>
            <w:vAlign w:val="center"/>
          </w:tcPr>
          <w:p w14:paraId="40446A63">
            <w:pPr>
              <w:pStyle w:val="33"/>
              <w:rPr>
                <w:color w:val="auto"/>
              </w:rPr>
            </w:pPr>
            <w:r>
              <w:rPr>
                <w:color w:val="auto"/>
              </w:rPr>
              <w:t>色度</w:t>
            </w:r>
          </w:p>
        </w:tc>
        <w:tc>
          <w:tcPr>
            <w:tcW w:w="851" w:type="dxa"/>
            <w:vAlign w:val="center"/>
          </w:tcPr>
          <w:p w14:paraId="1BB23B8C">
            <w:pPr>
              <w:pStyle w:val="33"/>
              <w:rPr>
                <w:color w:val="auto"/>
              </w:rPr>
            </w:pPr>
            <w:r>
              <w:rPr>
                <w:color w:val="auto"/>
              </w:rPr>
              <w:t>BOD</w:t>
            </w:r>
            <w:r>
              <w:rPr>
                <w:color w:val="auto"/>
                <w:vertAlign w:val="subscript"/>
              </w:rPr>
              <w:t>5</w:t>
            </w:r>
          </w:p>
        </w:tc>
        <w:tc>
          <w:tcPr>
            <w:tcW w:w="992" w:type="dxa"/>
            <w:vAlign w:val="center"/>
          </w:tcPr>
          <w:p w14:paraId="1FA32CB3">
            <w:pPr>
              <w:pStyle w:val="33"/>
              <w:rPr>
                <w:color w:val="auto"/>
              </w:rPr>
            </w:pPr>
            <w:r>
              <w:rPr>
                <w:color w:val="auto"/>
              </w:rPr>
              <w:t>COD</w:t>
            </w:r>
            <w:r>
              <w:rPr>
                <w:color w:val="auto"/>
                <w:vertAlign w:val="subscript"/>
              </w:rPr>
              <w:t>cr</w:t>
            </w:r>
          </w:p>
        </w:tc>
        <w:tc>
          <w:tcPr>
            <w:tcW w:w="992" w:type="dxa"/>
            <w:vAlign w:val="center"/>
          </w:tcPr>
          <w:p w14:paraId="51F68367">
            <w:pPr>
              <w:pStyle w:val="33"/>
              <w:rPr>
                <w:color w:val="auto"/>
              </w:rPr>
            </w:pPr>
            <w:r>
              <w:rPr>
                <w:color w:val="auto"/>
              </w:rPr>
              <w:t>SS</w:t>
            </w:r>
          </w:p>
        </w:tc>
        <w:tc>
          <w:tcPr>
            <w:tcW w:w="1134" w:type="dxa"/>
            <w:vAlign w:val="center"/>
          </w:tcPr>
          <w:p w14:paraId="791BDEFB">
            <w:pPr>
              <w:pStyle w:val="33"/>
              <w:rPr>
                <w:color w:val="auto"/>
              </w:rPr>
            </w:pPr>
            <w:r>
              <w:rPr>
                <w:color w:val="auto"/>
              </w:rPr>
              <w:t>氨氮</w:t>
            </w:r>
          </w:p>
        </w:tc>
        <w:tc>
          <w:tcPr>
            <w:tcW w:w="1134" w:type="dxa"/>
            <w:vAlign w:val="center"/>
          </w:tcPr>
          <w:p w14:paraId="3D4637D9">
            <w:pPr>
              <w:pStyle w:val="33"/>
              <w:rPr>
                <w:color w:val="auto"/>
              </w:rPr>
            </w:pPr>
            <w:r>
              <w:rPr>
                <w:color w:val="auto"/>
              </w:rPr>
              <w:t>总氮</w:t>
            </w:r>
          </w:p>
        </w:tc>
        <w:tc>
          <w:tcPr>
            <w:tcW w:w="985" w:type="dxa"/>
            <w:vAlign w:val="center"/>
          </w:tcPr>
          <w:p w14:paraId="49D952A1">
            <w:pPr>
              <w:pStyle w:val="33"/>
              <w:rPr>
                <w:color w:val="auto"/>
              </w:rPr>
            </w:pPr>
            <w:r>
              <w:rPr>
                <w:color w:val="auto"/>
              </w:rPr>
              <w:t>总磷</w:t>
            </w:r>
          </w:p>
        </w:tc>
      </w:tr>
      <w:tr w14:paraId="06C71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E290F34">
            <w:pPr>
              <w:pStyle w:val="33"/>
              <w:rPr>
                <w:color w:val="auto"/>
              </w:rPr>
            </w:pPr>
            <w:r>
              <w:rPr>
                <w:color w:val="auto"/>
              </w:rPr>
              <w:t>在线监测</w:t>
            </w:r>
          </w:p>
        </w:tc>
        <w:tc>
          <w:tcPr>
            <w:tcW w:w="993" w:type="dxa"/>
            <w:vAlign w:val="center"/>
          </w:tcPr>
          <w:p w14:paraId="5838E8E6">
            <w:pPr>
              <w:pStyle w:val="33"/>
              <w:rPr>
                <w:color w:val="auto"/>
              </w:rPr>
            </w:pPr>
            <w:r>
              <w:rPr>
                <w:color w:val="auto"/>
              </w:rPr>
              <w:t>6.62~7.49</w:t>
            </w:r>
          </w:p>
        </w:tc>
        <w:tc>
          <w:tcPr>
            <w:tcW w:w="850" w:type="dxa"/>
            <w:vAlign w:val="center"/>
          </w:tcPr>
          <w:p w14:paraId="1A4BA370">
            <w:pPr>
              <w:pStyle w:val="33"/>
              <w:rPr>
                <w:color w:val="auto"/>
              </w:rPr>
            </w:pPr>
            <w:r>
              <w:rPr>
                <w:color w:val="auto"/>
              </w:rPr>
              <w:t>/</w:t>
            </w:r>
          </w:p>
        </w:tc>
        <w:tc>
          <w:tcPr>
            <w:tcW w:w="851" w:type="dxa"/>
            <w:vAlign w:val="center"/>
          </w:tcPr>
          <w:p w14:paraId="62C9B808">
            <w:pPr>
              <w:pStyle w:val="33"/>
              <w:rPr>
                <w:color w:val="auto"/>
              </w:rPr>
            </w:pPr>
            <w:r>
              <w:rPr>
                <w:color w:val="auto"/>
              </w:rPr>
              <w:t>/</w:t>
            </w:r>
          </w:p>
        </w:tc>
        <w:tc>
          <w:tcPr>
            <w:tcW w:w="992" w:type="dxa"/>
            <w:vAlign w:val="center"/>
          </w:tcPr>
          <w:p w14:paraId="6FA5FB85">
            <w:pPr>
              <w:pStyle w:val="33"/>
              <w:rPr>
                <w:color w:val="auto"/>
              </w:rPr>
            </w:pPr>
            <w:r>
              <w:rPr>
                <w:color w:val="auto"/>
              </w:rPr>
              <w:t>29.36~40.20</w:t>
            </w:r>
          </w:p>
        </w:tc>
        <w:tc>
          <w:tcPr>
            <w:tcW w:w="992" w:type="dxa"/>
            <w:vAlign w:val="center"/>
          </w:tcPr>
          <w:p w14:paraId="4DAF1DBE">
            <w:pPr>
              <w:pStyle w:val="33"/>
              <w:rPr>
                <w:color w:val="auto"/>
              </w:rPr>
            </w:pPr>
            <w:r>
              <w:rPr>
                <w:color w:val="auto"/>
              </w:rPr>
              <w:t>/</w:t>
            </w:r>
          </w:p>
        </w:tc>
        <w:tc>
          <w:tcPr>
            <w:tcW w:w="1134" w:type="dxa"/>
            <w:vAlign w:val="center"/>
          </w:tcPr>
          <w:p w14:paraId="5214E8C0">
            <w:pPr>
              <w:pStyle w:val="33"/>
              <w:rPr>
                <w:color w:val="auto"/>
              </w:rPr>
            </w:pPr>
            <w:r>
              <w:rPr>
                <w:color w:val="auto"/>
              </w:rPr>
              <w:t>0.2~1.032</w:t>
            </w:r>
          </w:p>
        </w:tc>
        <w:tc>
          <w:tcPr>
            <w:tcW w:w="1134" w:type="dxa"/>
            <w:vAlign w:val="center"/>
          </w:tcPr>
          <w:p w14:paraId="0731E8B7">
            <w:pPr>
              <w:pStyle w:val="33"/>
              <w:rPr>
                <w:color w:val="auto"/>
              </w:rPr>
            </w:pPr>
            <w:r>
              <w:rPr>
                <w:color w:val="auto"/>
              </w:rPr>
              <w:t>2.25~3.97</w:t>
            </w:r>
          </w:p>
        </w:tc>
        <w:tc>
          <w:tcPr>
            <w:tcW w:w="985" w:type="dxa"/>
            <w:vAlign w:val="center"/>
          </w:tcPr>
          <w:p w14:paraId="20B97B97">
            <w:pPr>
              <w:pStyle w:val="33"/>
              <w:rPr>
                <w:color w:val="auto"/>
              </w:rPr>
            </w:pPr>
            <w:r>
              <w:rPr>
                <w:color w:val="auto"/>
              </w:rPr>
              <w:t>0.011~0.026</w:t>
            </w:r>
          </w:p>
        </w:tc>
      </w:tr>
      <w:tr w14:paraId="579B7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E026C98">
            <w:pPr>
              <w:pStyle w:val="33"/>
              <w:rPr>
                <w:color w:val="auto"/>
              </w:rPr>
            </w:pPr>
            <w:r>
              <w:rPr>
                <w:color w:val="auto"/>
              </w:rPr>
              <w:t>自行监测</w:t>
            </w:r>
          </w:p>
        </w:tc>
        <w:tc>
          <w:tcPr>
            <w:tcW w:w="993" w:type="dxa"/>
            <w:vAlign w:val="center"/>
          </w:tcPr>
          <w:p w14:paraId="5E0CC082">
            <w:pPr>
              <w:pStyle w:val="33"/>
              <w:rPr>
                <w:color w:val="auto"/>
              </w:rPr>
            </w:pPr>
            <w:r>
              <w:rPr>
                <w:color w:val="auto"/>
              </w:rPr>
              <w:t>/</w:t>
            </w:r>
          </w:p>
        </w:tc>
        <w:tc>
          <w:tcPr>
            <w:tcW w:w="850" w:type="dxa"/>
            <w:vAlign w:val="center"/>
          </w:tcPr>
          <w:p w14:paraId="2A422B65">
            <w:pPr>
              <w:pStyle w:val="33"/>
              <w:rPr>
                <w:color w:val="auto"/>
              </w:rPr>
            </w:pPr>
            <w:r>
              <w:rPr>
                <w:color w:val="auto"/>
              </w:rPr>
              <w:t>2~3</w:t>
            </w:r>
          </w:p>
        </w:tc>
        <w:tc>
          <w:tcPr>
            <w:tcW w:w="851" w:type="dxa"/>
            <w:vAlign w:val="center"/>
          </w:tcPr>
          <w:p w14:paraId="4787984F">
            <w:pPr>
              <w:pStyle w:val="33"/>
              <w:rPr>
                <w:color w:val="auto"/>
              </w:rPr>
            </w:pPr>
            <w:r>
              <w:rPr>
                <w:color w:val="auto"/>
              </w:rPr>
              <w:t>3.9~7.9</w:t>
            </w:r>
          </w:p>
        </w:tc>
        <w:tc>
          <w:tcPr>
            <w:tcW w:w="992" w:type="dxa"/>
            <w:vAlign w:val="center"/>
          </w:tcPr>
          <w:p w14:paraId="37EAE7A4">
            <w:pPr>
              <w:pStyle w:val="33"/>
              <w:rPr>
                <w:color w:val="auto"/>
              </w:rPr>
            </w:pPr>
            <w:r>
              <w:rPr>
                <w:color w:val="auto"/>
              </w:rPr>
              <w:t>/</w:t>
            </w:r>
          </w:p>
        </w:tc>
        <w:tc>
          <w:tcPr>
            <w:tcW w:w="992" w:type="dxa"/>
            <w:vAlign w:val="center"/>
          </w:tcPr>
          <w:p w14:paraId="49C5495B">
            <w:pPr>
              <w:pStyle w:val="33"/>
              <w:rPr>
                <w:color w:val="auto"/>
              </w:rPr>
            </w:pPr>
            <w:r>
              <w:rPr>
                <w:color w:val="auto"/>
              </w:rPr>
              <w:t>13</w:t>
            </w:r>
          </w:p>
        </w:tc>
        <w:tc>
          <w:tcPr>
            <w:tcW w:w="1134" w:type="dxa"/>
            <w:vAlign w:val="center"/>
          </w:tcPr>
          <w:p w14:paraId="309C0C8A">
            <w:pPr>
              <w:pStyle w:val="33"/>
              <w:rPr>
                <w:color w:val="auto"/>
              </w:rPr>
            </w:pPr>
            <w:r>
              <w:rPr>
                <w:color w:val="auto"/>
              </w:rPr>
              <w:t>/</w:t>
            </w:r>
          </w:p>
        </w:tc>
        <w:tc>
          <w:tcPr>
            <w:tcW w:w="1134" w:type="dxa"/>
            <w:vAlign w:val="center"/>
          </w:tcPr>
          <w:p w14:paraId="6D99D3DC">
            <w:pPr>
              <w:pStyle w:val="33"/>
              <w:rPr>
                <w:color w:val="auto"/>
              </w:rPr>
            </w:pPr>
            <w:r>
              <w:rPr>
                <w:color w:val="auto"/>
              </w:rPr>
              <w:t>/</w:t>
            </w:r>
          </w:p>
        </w:tc>
        <w:tc>
          <w:tcPr>
            <w:tcW w:w="985" w:type="dxa"/>
            <w:vAlign w:val="center"/>
          </w:tcPr>
          <w:p w14:paraId="416194EF">
            <w:pPr>
              <w:pStyle w:val="33"/>
              <w:rPr>
                <w:color w:val="auto"/>
              </w:rPr>
            </w:pPr>
            <w:r>
              <w:rPr>
                <w:color w:val="auto"/>
              </w:rPr>
              <w:t>/</w:t>
            </w:r>
          </w:p>
        </w:tc>
      </w:tr>
      <w:tr w14:paraId="668C17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16FBBBE">
            <w:pPr>
              <w:pStyle w:val="33"/>
              <w:rPr>
                <w:color w:val="auto"/>
              </w:rPr>
            </w:pPr>
            <w:r>
              <w:rPr>
                <w:color w:val="auto"/>
              </w:rPr>
              <w:t>标准</w:t>
            </w:r>
          </w:p>
        </w:tc>
        <w:tc>
          <w:tcPr>
            <w:tcW w:w="993" w:type="dxa"/>
            <w:vAlign w:val="center"/>
          </w:tcPr>
          <w:p w14:paraId="3682258A">
            <w:pPr>
              <w:pStyle w:val="33"/>
              <w:rPr>
                <w:color w:val="auto"/>
              </w:rPr>
            </w:pPr>
            <w:r>
              <w:rPr>
                <w:color w:val="auto"/>
              </w:rPr>
              <w:t>6~9</w:t>
            </w:r>
          </w:p>
        </w:tc>
        <w:tc>
          <w:tcPr>
            <w:tcW w:w="850" w:type="dxa"/>
            <w:vAlign w:val="center"/>
          </w:tcPr>
          <w:p w14:paraId="39E6FDD8">
            <w:pPr>
              <w:pStyle w:val="33"/>
              <w:rPr>
                <w:color w:val="auto"/>
              </w:rPr>
            </w:pPr>
            <w:r>
              <w:rPr>
                <w:color w:val="auto"/>
              </w:rPr>
              <w:t>50</w:t>
            </w:r>
          </w:p>
        </w:tc>
        <w:tc>
          <w:tcPr>
            <w:tcW w:w="851" w:type="dxa"/>
            <w:vAlign w:val="center"/>
          </w:tcPr>
          <w:p w14:paraId="6DA51D2F">
            <w:pPr>
              <w:pStyle w:val="33"/>
              <w:rPr>
                <w:color w:val="auto"/>
              </w:rPr>
            </w:pPr>
            <w:r>
              <w:rPr>
                <w:color w:val="auto"/>
              </w:rPr>
              <w:t>20</w:t>
            </w:r>
          </w:p>
        </w:tc>
        <w:tc>
          <w:tcPr>
            <w:tcW w:w="992" w:type="dxa"/>
            <w:vAlign w:val="center"/>
          </w:tcPr>
          <w:p w14:paraId="725D8C7B">
            <w:pPr>
              <w:pStyle w:val="33"/>
              <w:rPr>
                <w:color w:val="auto"/>
              </w:rPr>
            </w:pPr>
            <w:r>
              <w:rPr>
                <w:color w:val="auto"/>
              </w:rPr>
              <w:t>90</w:t>
            </w:r>
          </w:p>
        </w:tc>
        <w:tc>
          <w:tcPr>
            <w:tcW w:w="992" w:type="dxa"/>
            <w:vAlign w:val="center"/>
          </w:tcPr>
          <w:p w14:paraId="09E346FE">
            <w:pPr>
              <w:pStyle w:val="33"/>
              <w:rPr>
                <w:color w:val="auto"/>
              </w:rPr>
            </w:pPr>
            <w:r>
              <w:rPr>
                <w:color w:val="auto"/>
              </w:rPr>
              <w:t>30</w:t>
            </w:r>
          </w:p>
        </w:tc>
        <w:tc>
          <w:tcPr>
            <w:tcW w:w="1134" w:type="dxa"/>
            <w:vAlign w:val="center"/>
          </w:tcPr>
          <w:p w14:paraId="6F273EEF">
            <w:pPr>
              <w:pStyle w:val="33"/>
              <w:rPr>
                <w:color w:val="auto"/>
              </w:rPr>
            </w:pPr>
            <w:r>
              <w:rPr>
                <w:color w:val="auto"/>
              </w:rPr>
              <w:t>8</w:t>
            </w:r>
          </w:p>
        </w:tc>
        <w:tc>
          <w:tcPr>
            <w:tcW w:w="1134" w:type="dxa"/>
            <w:vAlign w:val="center"/>
          </w:tcPr>
          <w:p w14:paraId="4FA64DA9">
            <w:pPr>
              <w:pStyle w:val="33"/>
              <w:rPr>
                <w:color w:val="auto"/>
              </w:rPr>
            </w:pPr>
            <w:r>
              <w:rPr>
                <w:color w:val="auto"/>
              </w:rPr>
              <w:t>12</w:t>
            </w:r>
          </w:p>
        </w:tc>
        <w:tc>
          <w:tcPr>
            <w:tcW w:w="985" w:type="dxa"/>
            <w:vAlign w:val="center"/>
          </w:tcPr>
          <w:p w14:paraId="39FE2988">
            <w:pPr>
              <w:pStyle w:val="33"/>
              <w:rPr>
                <w:color w:val="auto"/>
              </w:rPr>
            </w:pPr>
            <w:r>
              <w:rPr>
                <w:color w:val="auto"/>
              </w:rPr>
              <w:t>1.8</w:t>
            </w:r>
          </w:p>
        </w:tc>
      </w:tr>
      <w:tr w14:paraId="4F760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29" w:type="dxa"/>
            <w:vAlign w:val="center"/>
          </w:tcPr>
          <w:p w14:paraId="2779112D">
            <w:pPr>
              <w:pStyle w:val="33"/>
              <w:rPr>
                <w:color w:val="auto"/>
              </w:rPr>
            </w:pPr>
            <w:r>
              <w:rPr>
                <w:color w:val="auto"/>
              </w:rPr>
              <w:t>达标情况</w:t>
            </w:r>
          </w:p>
        </w:tc>
        <w:tc>
          <w:tcPr>
            <w:tcW w:w="993" w:type="dxa"/>
            <w:vAlign w:val="center"/>
          </w:tcPr>
          <w:p w14:paraId="6A94A3B1">
            <w:pPr>
              <w:pStyle w:val="33"/>
              <w:rPr>
                <w:color w:val="auto"/>
              </w:rPr>
            </w:pPr>
            <w:r>
              <w:rPr>
                <w:color w:val="auto"/>
              </w:rPr>
              <w:t>达标</w:t>
            </w:r>
          </w:p>
        </w:tc>
        <w:tc>
          <w:tcPr>
            <w:tcW w:w="850" w:type="dxa"/>
            <w:vAlign w:val="center"/>
          </w:tcPr>
          <w:p w14:paraId="6358ADEB">
            <w:pPr>
              <w:pStyle w:val="33"/>
              <w:rPr>
                <w:color w:val="auto"/>
              </w:rPr>
            </w:pPr>
            <w:r>
              <w:rPr>
                <w:color w:val="auto"/>
              </w:rPr>
              <w:t>达标</w:t>
            </w:r>
          </w:p>
        </w:tc>
        <w:tc>
          <w:tcPr>
            <w:tcW w:w="851" w:type="dxa"/>
            <w:vAlign w:val="center"/>
          </w:tcPr>
          <w:p w14:paraId="5C14EA6F">
            <w:pPr>
              <w:pStyle w:val="33"/>
              <w:rPr>
                <w:color w:val="auto"/>
              </w:rPr>
            </w:pPr>
            <w:r>
              <w:rPr>
                <w:color w:val="auto"/>
              </w:rPr>
              <w:t>达标</w:t>
            </w:r>
          </w:p>
        </w:tc>
        <w:tc>
          <w:tcPr>
            <w:tcW w:w="992" w:type="dxa"/>
            <w:vAlign w:val="center"/>
          </w:tcPr>
          <w:p w14:paraId="29728AE7">
            <w:pPr>
              <w:pStyle w:val="33"/>
              <w:rPr>
                <w:color w:val="auto"/>
              </w:rPr>
            </w:pPr>
            <w:r>
              <w:rPr>
                <w:color w:val="auto"/>
              </w:rPr>
              <w:t>达标</w:t>
            </w:r>
          </w:p>
        </w:tc>
        <w:tc>
          <w:tcPr>
            <w:tcW w:w="992" w:type="dxa"/>
            <w:vAlign w:val="center"/>
          </w:tcPr>
          <w:p w14:paraId="2A478CF2">
            <w:pPr>
              <w:pStyle w:val="33"/>
              <w:rPr>
                <w:color w:val="auto"/>
              </w:rPr>
            </w:pPr>
            <w:r>
              <w:rPr>
                <w:color w:val="auto"/>
              </w:rPr>
              <w:t>达标</w:t>
            </w:r>
          </w:p>
        </w:tc>
        <w:tc>
          <w:tcPr>
            <w:tcW w:w="1134" w:type="dxa"/>
            <w:vAlign w:val="center"/>
          </w:tcPr>
          <w:p w14:paraId="15F6EF44">
            <w:pPr>
              <w:pStyle w:val="33"/>
              <w:rPr>
                <w:color w:val="auto"/>
              </w:rPr>
            </w:pPr>
            <w:r>
              <w:rPr>
                <w:color w:val="auto"/>
              </w:rPr>
              <w:t>达标</w:t>
            </w:r>
          </w:p>
        </w:tc>
        <w:tc>
          <w:tcPr>
            <w:tcW w:w="1134" w:type="dxa"/>
            <w:vAlign w:val="center"/>
          </w:tcPr>
          <w:p w14:paraId="3D45C4E4">
            <w:pPr>
              <w:pStyle w:val="33"/>
              <w:rPr>
                <w:color w:val="auto"/>
              </w:rPr>
            </w:pPr>
            <w:r>
              <w:rPr>
                <w:color w:val="auto"/>
              </w:rPr>
              <w:t>达标</w:t>
            </w:r>
          </w:p>
        </w:tc>
        <w:tc>
          <w:tcPr>
            <w:tcW w:w="985" w:type="dxa"/>
            <w:vAlign w:val="center"/>
          </w:tcPr>
          <w:p w14:paraId="389F39B8">
            <w:pPr>
              <w:pStyle w:val="33"/>
              <w:rPr>
                <w:color w:val="auto"/>
              </w:rPr>
            </w:pPr>
            <w:r>
              <w:rPr>
                <w:color w:val="auto"/>
              </w:rPr>
              <w:t>达标</w:t>
            </w:r>
          </w:p>
        </w:tc>
      </w:tr>
    </w:tbl>
    <w:p w14:paraId="24E0D788">
      <w:pPr>
        <w:pStyle w:val="7"/>
        <w:rPr>
          <w:color w:val="auto"/>
        </w:rPr>
      </w:pPr>
      <w:r>
        <w:rPr>
          <w:rFonts w:hint="eastAsia"/>
          <w:color w:val="auto"/>
        </w:rPr>
        <w:t>现有工程废水总排放口2025年在线监测、自行监测结果mg/L</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993"/>
        <w:gridCol w:w="850"/>
        <w:gridCol w:w="851"/>
        <w:gridCol w:w="992"/>
        <w:gridCol w:w="992"/>
        <w:gridCol w:w="1134"/>
        <w:gridCol w:w="1134"/>
        <w:gridCol w:w="985"/>
      </w:tblGrid>
      <w:tr w14:paraId="2BD49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1129" w:type="dxa"/>
            <w:vAlign w:val="center"/>
          </w:tcPr>
          <w:p w14:paraId="60B9429D">
            <w:pPr>
              <w:pStyle w:val="33"/>
              <w:rPr>
                <w:color w:val="auto"/>
              </w:rPr>
            </w:pPr>
            <w:r>
              <w:rPr>
                <w:color w:val="auto"/>
              </w:rPr>
              <w:t>项目</w:t>
            </w:r>
          </w:p>
        </w:tc>
        <w:tc>
          <w:tcPr>
            <w:tcW w:w="993" w:type="dxa"/>
            <w:vAlign w:val="center"/>
          </w:tcPr>
          <w:p w14:paraId="3E3D6271">
            <w:pPr>
              <w:pStyle w:val="33"/>
              <w:rPr>
                <w:color w:val="auto"/>
              </w:rPr>
            </w:pPr>
            <w:r>
              <w:rPr>
                <w:color w:val="auto"/>
              </w:rPr>
              <w:t>pH</w:t>
            </w:r>
          </w:p>
        </w:tc>
        <w:tc>
          <w:tcPr>
            <w:tcW w:w="850" w:type="dxa"/>
            <w:vAlign w:val="center"/>
          </w:tcPr>
          <w:p w14:paraId="53F667FC">
            <w:pPr>
              <w:pStyle w:val="33"/>
              <w:rPr>
                <w:color w:val="auto"/>
              </w:rPr>
            </w:pPr>
            <w:r>
              <w:rPr>
                <w:color w:val="auto"/>
              </w:rPr>
              <w:t>色度</w:t>
            </w:r>
          </w:p>
        </w:tc>
        <w:tc>
          <w:tcPr>
            <w:tcW w:w="851" w:type="dxa"/>
            <w:vAlign w:val="center"/>
          </w:tcPr>
          <w:p w14:paraId="2F000DB5">
            <w:pPr>
              <w:pStyle w:val="33"/>
              <w:rPr>
                <w:color w:val="auto"/>
              </w:rPr>
            </w:pPr>
            <w:r>
              <w:rPr>
                <w:color w:val="auto"/>
              </w:rPr>
              <w:t>BOD</w:t>
            </w:r>
            <w:r>
              <w:rPr>
                <w:color w:val="auto"/>
                <w:vertAlign w:val="subscript"/>
              </w:rPr>
              <w:t>5</w:t>
            </w:r>
          </w:p>
        </w:tc>
        <w:tc>
          <w:tcPr>
            <w:tcW w:w="992" w:type="dxa"/>
            <w:vAlign w:val="center"/>
          </w:tcPr>
          <w:p w14:paraId="301AA675">
            <w:pPr>
              <w:pStyle w:val="33"/>
              <w:rPr>
                <w:color w:val="auto"/>
              </w:rPr>
            </w:pPr>
            <w:r>
              <w:rPr>
                <w:color w:val="auto"/>
              </w:rPr>
              <w:t>COD</w:t>
            </w:r>
            <w:r>
              <w:rPr>
                <w:color w:val="auto"/>
                <w:vertAlign w:val="subscript"/>
              </w:rPr>
              <w:t>cr</w:t>
            </w:r>
          </w:p>
        </w:tc>
        <w:tc>
          <w:tcPr>
            <w:tcW w:w="992" w:type="dxa"/>
            <w:vAlign w:val="center"/>
          </w:tcPr>
          <w:p w14:paraId="097097D8">
            <w:pPr>
              <w:pStyle w:val="33"/>
              <w:rPr>
                <w:color w:val="auto"/>
              </w:rPr>
            </w:pPr>
            <w:r>
              <w:rPr>
                <w:color w:val="auto"/>
              </w:rPr>
              <w:t>SS</w:t>
            </w:r>
          </w:p>
        </w:tc>
        <w:tc>
          <w:tcPr>
            <w:tcW w:w="1134" w:type="dxa"/>
            <w:vAlign w:val="center"/>
          </w:tcPr>
          <w:p w14:paraId="3F7DFBEE">
            <w:pPr>
              <w:pStyle w:val="33"/>
              <w:rPr>
                <w:color w:val="auto"/>
              </w:rPr>
            </w:pPr>
            <w:r>
              <w:rPr>
                <w:color w:val="auto"/>
              </w:rPr>
              <w:t>氨氮</w:t>
            </w:r>
          </w:p>
        </w:tc>
        <w:tc>
          <w:tcPr>
            <w:tcW w:w="1134" w:type="dxa"/>
            <w:vAlign w:val="center"/>
          </w:tcPr>
          <w:p w14:paraId="5F36B7B8">
            <w:pPr>
              <w:pStyle w:val="33"/>
              <w:rPr>
                <w:color w:val="auto"/>
              </w:rPr>
            </w:pPr>
            <w:r>
              <w:rPr>
                <w:color w:val="auto"/>
              </w:rPr>
              <w:t>总氮</w:t>
            </w:r>
          </w:p>
        </w:tc>
        <w:tc>
          <w:tcPr>
            <w:tcW w:w="985" w:type="dxa"/>
            <w:vAlign w:val="center"/>
          </w:tcPr>
          <w:p w14:paraId="5132FB03">
            <w:pPr>
              <w:pStyle w:val="33"/>
              <w:rPr>
                <w:color w:val="auto"/>
              </w:rPr>
            </w:pPr>
            <w:r>
              <w:rPr>
                <w:color w:val="auto"/>
              </w:rPr>
              <w:t>总磷</w:t>
            </w:r>
          </w:p>
        </w:tc>
      </w:tr>
      <w:tr w14:paraId="3D87D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5606012">
            <w:pPr>
              <w:pStyle w:val="33"/>
              <w:rPr>
                <w:color w:val="auto"/>
              </w:rPr>
            </w:pPr>
            <w:r>
              <w:rPr>
                <w:color w:val="auto"/>
              </w:rPr>
              <w:t>在线监测</w:t>
            </w:r>
          </w:p>
        </w:tc>
        <w:tc>
          <w:tcPr>
            <w:tcW w:w="993" w:type="dxa"/>
            <w:vAlign w:val="center"/>
          </w:tcPr>
          <w:p w14:paraId="2D524E55">
            <w:pPr>
              <w:pStyle w:val="33"/>
              <w:rPr>
                <w:color w:val="auto"/>
              </w:rPr>
            </w:pPr>
            <w:r>
              <w:rPr>
                <w:color w:val="auto"/>
              </w:rPr>
              <w:t>6.</w:t>
            </w:r>
            <w:r>
              <w:rPr>
                <w:rFonts w:hint="eastAsia"/>
                <w:color w:val="auto"/>
              </w:rPr>
              <w:t>69</w:t>
            </w:r>
            <w:r>
              <w:rPr>
                <w:color w:val="auto"/>
              </w:rPr>
              <w:t>~7.</w:t>
            </w:r>
            <w:r>
              <w:rPr>
                <w:rFonts w:hint="eastAsia"/>
                <w:color w:val="auto"/>
              </w:rPr>
              <w:t>05</w:t>
            </w:r>
          </w:p>
        </w:tc>
        <w:tc>
          <w:tcPr>
            <w:tcW w:w="850" w:type="dxa"/>
            <w:vAlign w:val="center"/>
          </w:tcPr>
          <w:p w14:paraId="4993EAC5">
            <w:pPr>
              <w:pStyle w:val="33"/>
              <w:rPr>
                <w:color w:val="auto"/>
              </w:rPr>
            </w:pPr>
            <w:r>
              <w:rPr>
                <w:color w:val="auto"/>
              </w:rPr>
              <w:t>/</w:t>
            </w:r>
          </w:p>
        </w:tc>
        <w:tc>
          <w:tcPr>
            <w:tcW w:w="851" w:type="dxa"/>
            <w:vAlign w:val="center"/>
          </w:tcPr>
          <w:p w14:paraId="4AA263E1">
            <w:pPr>
              <w:pStyle w:val="33"/>
              <w:rPr>
                <w:color w:val="auto"/>
              </w:rPr>
            </w:pPr>
            <w:r>
              <w:rPr>
                <w:color w:val="auto"/>
              </w:rPr>
              <w:t>/</w:t>
            </w:r>
          </w:p>
        </w:tc>
        <w:tc>
          <w:tcPr>
            <w:tcW w:w="992" w:type="dxa"/>
            <w:vAlign w:val="center"/>
          </w:tcPr>
          <w:p w14:paraId="52DE802F">
            <w:pPr>
              <w:pStyle w:val="33"/>
              <w:rPr>
                <w:color w:val="auto"/>
              </w:rPr>
            </w:pPr>
            <w:r>
              <w:rPr>
                <w:rFonts w:hint="eastAsia"/>
                <w:color w:val="auto"/>
              </w:rPr>
              <w:t>31.83</w:t>
            </w:r>
            <w:r>
              <w:rPr>
                <w:color w:val="auto"/>
              </w:rPr>
              <w:t>~</w:t>
            </w:r>
            <w:r>
              <w:rPr>
                <w:rFonts w:hint="eastAsia"/>
                <w:color w:val="auto"/>
              </w:rPr>
              <w:t>41.37</w:t>
            </w:r>
          </w:p>
        </w:tc>
        <w:tc>
          <w:tcPr>
            <w:tcW w:w="992" w:type="dxa"/>
            <w:vAlign w:val="center"/>
          </w:tcPr>
          <w:p w14:paraId="3CE875EC">
            <w:pPr>
              <w:pStyle w:val="33"/>
              <w:rPr>
                <w:color w:val="auto"/>
              </w:rPr>
            </w:pPr>
            <w:r>
              <w:rPr>
                <w:color w:val="auto"/>
              </w:rPr>
              <w:t>/</w:t>
            </w:r>
          </w:p>
        </w:tc>
        <w:tc>
          <w:tcPr>
            <w:tcW w:w="1134" w:type="dxa"/>
            <w:vAlign w:val="center"/>
          </w:tcPr>
          <w:p w14:paraId="3D00B953">
            <w:pPr>
              <w:pStyle w:val="33"/>
              <w:rPr>
                <w:color w:val="auto"/>
              </w:rPr>
            </w:pPr>
            <w:r>
              <w:rPr>
                <w:rFonts w:hint="eastAsia"/>
                <w:color w:val="auto"/>
              </w:rPr>
              <w:t>0.54</w:t>
            </w:r>
            <w:r>
              <w:rPr>
                <w:color w:val="auto"/>
              </w:rPr>
              <w:t>~</w:t>
            </w:r>
            <w:r>
              <w:rPr>
                <w:rFonts w:hint="eastAsia"/>
                <w:color w:val="auto"/>
              </w:rPr>
              <w:t>2.69</w:t>
            </w:r>
          </w:p>
        </w:tc>
        <w:tc>
          <w:tcPr>
            <w:tcW w:w="1134" w:type="dxa"/>
            <w:vAlign w:val="center"/>
          </w:tcPr>
          <w:p w14:paraId="5FD26FC8">
            <w:pPr>
              <w:pStyle w:val="33"/>
              <w:rPr>
                <w:color w:val="auto"/>
              </w:rPr>
            </w:pPr>
            <w:r>
              <w:rPr>
                <w:rFonts w:hint="eastAsia"/>
                <w:color w:val="auto"/>
              </w:rPr>
              <w:t>2.71</w:t>
            </w:r>
            <w:r>
              <w:rPr>
                <w:color w:val="auto"/>
              </w:rPr>
              <w:t>~</w:t>
            </w:r>
            <w:r>
              <w:rPr>
                <w:rFonts w:hint="eastAsia"/>
                <w:color w:val="auto"/>
              </w:rPr>
              <w:t>5.16</w:t>
            </w:r>
          </w:p>
        </w:tc>
        <w:tc>
          <w:tcPr>
            <w:tcW w:w="985" w:type="dxa"/>
            <w:vAlign w:val="center"/>
          </w:tcPr>
          <w:p w14:paraId="27172233">
            <w:pPr>
              <w:pStyle w:val="33"/>
              <w:rPr>
                <w:color w:val="auto"/>
              </w:rPr>
            </w:pPr>
            <w:r>
              <w:rPr>
                <w:rFonts w:hint="eastAsia"/>
                <w:color w:val="auto"/>
              </w:rPr>
              <w:t>0.015</w:t>
            </w:r>
            <w:r>
              <w:rPr>
                <w:color w:val="auto"/>
              </w:rPr>
              <w:t>~0.02</w:t>
            </w:r>
            <w:r>
              <w:rPr>
                <w:rFonts w:hint="eastAsia"/>
                <w:color w:val="auto"/>
              </w:rPr>
              <w:t>9</w:t>
            </w:r>
          </w:p>
        </w:tc>
      </w:tr>
      <w:tr w14:paraId="1C91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E568D67">
            <w:pPr>
              <w:pStyle w:val="33"/>
              <w:rPr>
                <w:color w:val="auto"/>
              </w:rPr>
            </w:pPr>
            <w:r>
              <w:rPr>
                <w:color w:val="auto"/>
              </w:rPr>
              <w:t>自行监测</w:t>
            </w:r>
          </w:p>
        </w:tc>
        <w:tc>
          <w:tcPr>
            <w:tcW w:w="993" w:type="dxa"/>
            <w:vAlign w:val="center"/>
          </w:tcPr>
          <w:p w14:paraId="797B6628">
            <w:pPr>
              <w:pStyle w:val="33"/>
              <w:rPr>
                <w:color w:val="auto"/>
              </w:rPr>
            </w:pPr>
            <w:r>
              <w:rPr>
                <w:color w:val="auto"/>
              </w:rPr>
              <w:t>/</w:t>
            </w:r>
          </w:p>
        </w:tc>
        <w:tc>
          <w:tcPr>
            <w:tcW w:w="850" w:type="dxa"/>
            <w:vAlign w:val="center"/>
          </w:tcPr>
          <w:p w14:paraId="0E0B0026">
            <w:pPr>
              <w:pStyle w:val="33"/>
              <w:rPr>
                <w:color w:val="auto"/>
              </w:rPr>
            </w:pPr>
            <w:r>
              <w:rPr>
                <w:rFonts w:hint="eastAsia"/>
                <w:color w:val="auto"/>
              </w:rPr>
              <w:t>2~5</w:t>
            </w:r>
          </w:p>
        </w:tc>
        <w:tc>
          <w:tcPr>
            <w:tcW w:w="851" w:type="dxa"/>
            <w:vAlign w:val="center"/>
          </w:tcPr>
          <w:p w14:paraId="57116FC5">
            <w:pPr>
              <w:pStyle w:val="33"/>
              <w:rPr>
                <w:color w:val="auto"/>
              </w:rPr>
            </w:pPr>
            <w:r>
              <w:rPr>
                <w:rFonts w:hint="eastAsia"/>
                <w:color w:val="auto"/>
              </w:rPr>
              <w:t>1.5~7.8</w:t>
            </w:r>
          </w:p>
        </w:tc>
        <w:tc>
          <w:tcPr>
            <w:tcW w:w="992" w:type="dxa"/>
            <w:vAlign w:val="center"/>
          </w:tcPr>
          <w:p w14:paraId="52F9BAB9">
            <w:pPr>
              <w:pStyle w:val="33"/>
              <w:rPr>
                <w:color w:val="auto"/>
              </w:rPr>
            </w:pPr>
            <w:r>
              <w:rPr>
                <w:color w:val="auto"/>
              </w:rPr>
              <w:t>/</w:t>
            </w:r>
          </w:p>
        </w:tc>
        <w:tc>
          <w:tcPr>
            <w:tcW w:w="992" w:type="dxa"/>
            <w:vAlign w:val="center"/>
          </w:tcPr>
          <w:p w14:paraId="517D2319">
            <w:pPr>
              <w:pStyle w:val="33"/>
              <w:rPr>
                <w:color w:val="auto"/>
              </w:rPr>
            </w:pPr>
            <w:r>
              <w:rPr>
                <w:rFonts w:hint="eastAsia"/>
                <w:color w:val="auto"/>
              </w:rPr>
              <w:t>ND~6</w:t>
            </w:r>
          </w:p>
        </w:tc>
        <w:tc>
          <w:tcPr>
            <w:tcW w:w="1134" w:type="dxa"/>
            <w:vAlign w:val="center"/>
          </w:tcPr>
          <w:p w14:paraId="48B85265">
            <w:pPr>
              <w:pStyle w:val="33"/>
              <w:rPr>
                <w:color w:val="auto"/>
              </w:rPr>
            </w:pPr>
            <w:r>
              <w:rPr>
                <w:color w:val="auto"/>
              </w:rPr>
              <w:t>/</w:t>
            </w:r>
          </w:p>
        </w:tc>
        <w:tc>
          <w:tcPr>
            <w:tcW w:w="1134" w:type="dxa"/>
            <w:vAlign w:val="center"/>
          </w:tcPr>
          <w:p w14:paraId="623DBE23">
            <w:pPr>
              <w:pStyle w:val="33"/>
              <w:rPr>
                <w:color w:val="auto"/>
              </w:rPr>
            </w:pPr>
            <w:r>
              <w:rPr>
                <w:color w:val="auto"/>
              </w:rPr>
              <w:t>/</w:t>
            </w:r>
          </w:p>
        </w:tc>
        <w:tc>
          <w:tcPr>
            <w:tcW w:w="985" w:type="dxa"/>
            <w:vAlign w:val="center"/>
          </w:tcPr>
          <w:p w14:paraId="75B42F8F">
            <w:pPr>
              <w:pStyle w:val="33"/>
              <w:rPr>
                <w:color w:val="auto"/>
              </w:rPr>
            </w:pPr>
            <w:r>
              <w:rPr>
                <w:color w:val="auto"/>
              </w:rPr>
              <w:t>/</w:t>
            </w:r>
          </w:p>
        </w:tc>
      </w:tr>
      <w:tr w14:paraId="5C34F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153145A0">
            <w:pPr>
              <w:pStyle w:val="33"/>
              <w:rPr>
                <w:color w:val="auto"/>
              </w:rPr>
            </w:pPr>
            <w:r>
              <w:rPr>
                <w:color w:val="auto"/>
              </w:rPr>
              <w:t>标准</w:t>
            </w:r>
          </w:p>
        </w:tc>
        <w:tc>
          <w:tcPr>
            <w:tcW w:w="993" w:type="dxa"/>
            <w:vAlign w:val="center"/>
          </w:tcPr>
          <w:p w14:paraId="1E48C246">
            <w:pPr>
              <w:pStyle w:val="33"/>
              <w:rPr>
                <w:color w:val="auto"/>
              </w:rPr>
            </w:pPr>
            <w:r>
              <w:rPr>
                <w:color w:val="auto"/>
              </w:rPr>
              <w:t>6~9</w:t>
            </w:r>
          </w:p>
        </w:tc>
        <w:tc>
          <w:tcPr>
            <w:tcW w:w="850" w:type="dxa"/>
            <w:vAlign w:val="center"/>
          </w:tcPr>
          <w:p w14:paraId="6851C547">
            <w:pPr>
              <w:pStyle w:val="33"/>
              <w:rPr>
                <w:color w:val="auto"/>
              </w:rPr>
            </w:pPr>
            <w:r>
              <w:rPr>
                <w:color w:val="auto"/>
              </w:rPr>
              <w:t>50</w:t>
            </w:r>
          </w:p>
        </w:tc>
        <w:tc>
          <w:tcPr>
            <w:tcW w:w="851" w:type="dxa"/>
            <w:vAlign w:val="center"/>
          </w:tcPr>
          <w:p w14:paraId="240A2A6F">
            <w:pPr>
              <w:pStyle w:val="33"/>
              <w:rPr>
                <w:color w:val="auto"/>
              </w:rPr>
            </w:pPr>
            <w:r>
              <w:rPr>
                <w:color w:val="auto"/>
              </w:rPr>
              <w:t>20</w:t>
            </w:r>
          </w:p>
        </w:tc>
        <w:tc>
          <w:tcPr>
            <w:tcW w:w="992" w:type="dxa"/>
            <w:vAlign w:val="center"/>
          </w:tcPr>
          <w:p w14:paraId="350A9E8B">
            <w:pPr>
              <w:pStyle w:val="33"/>
              <w:rPr>
                <w:color w:val="auto"/>
              </w:rPr>
            </w:pPr>
            <w:r>
              <w:rPr>
                <w:color w:val="auto"/>
              </w:rPr>
              <w:t>90</w:t>
            </w:r>
          </w:p>
        </w:tc>
        <w:tc>
          <w:tcPr>
            <w:tcW w:w="992" w:type="dxa"/>
            <w:vAlign w:val="center"/>
          </w:tcPr>
          <w:p w14:paraId="73711981">
            <w:pPr>
              <w:pStyle w:val="33"/>
              <w:rPr>
                <w:color w:val="auto"/>
              </w:rPr>
            </w:pPr>
            <w:r>
              <w:rPr>
                <w:color w:val="auto"/>
              </w:rPr>
              <w:t>30</w:t>
            </w:r>
          </w:p>
        </w:tc>
        <w:tc>
          <w:tcPr>
            <w:tcW w:w="1134" w:type="dxa"/>
            <w:vAlign w:val="center"/>
          </w:tcPr>
          <w:p w14:paraId="54EC4FFD">
            <w:pPr>
              <w:pStyle w:val="33"/>
              <w:rPr>
                <w:color w:val="auto"/>
              </w:rPr>
            </w:pPr>
            <w:r>
              <w:rPr>
                <w:color w:val="auto"/>
              </w:rPr>
              <w:t>8</w:t>
            </w:r>
          </w:p>
        </w:tc>
        <w:tc>
          <w:tcPr>
            <w:tcW w:w="1134" w:type="dxa"/>
            <w:vAlign w:val="center"/>
          </w:tcPr>
          <w:p w14:paraId="08C58CEF">
            <w:pPr>
              <w:pStyle w:val="33"/>
              <w:rPr>
                <w:color w:val="auto"/>
              </w:rPr>
            </w:pPr>
            <w:r>
              <w:rPr>
                <w:color w:val="auto"/>
              </w:rPr>
              <w:t>12</w:t>
            </w:r>
          </w:p>
        </w:tc>
        <w:tc>
          <w:tcPr>
            <w:tcW w:w="985" w:type="dxa"/>
            <w:vAlign w:val="center"/>
          </w:tcPr>
          <w:p w14:paraId="1DBC4F25">
            <w:pPr>
              <w:pStyle w:val="33"/>
              <w:rPr>
                <w:color w:val="auto"/>
              </w:rPr>
            </w:pPr>
            <w:r>
              <w:rPr>
                <w:color w:val="auto"/>
              </w:rPr>
              <w:t>1.8</w:t>
            </w:r>
          </w:p>
        </w:tc>
      </w:tr>
      <w:tr w14:paraId="63DD2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29" w:type="dxa"/>
            <w:vAlign w:val="center"/>
          </w:tcPr>
          <w:p w14:paraId="774B495E">
            <w:pPr>
              <w:pStyle w:val="33"/>
              <w:rPr>
                <w:color w:val="auto"/>
              </w:rPr>
            </w:pPr>
            <w:r>
              <w:rPr>
                <w:color w:val="auto"/>
              </w:rPr>
              <w:t>达标情况</w:t>
            </w:r>
          </w:p>
        </w:tc>
        <w:tc>
          <w:tcPr>
            <w:tcW w:w="993" w:type="dxa"/>
            <w:vAlign w:val="center"/>
          </w:tcPr>
          <w:p w14:paraId="1E4A86AC">
            <w:pPr>
              <w:pStyle w:val="33"/>
              <w:rPr>
                <w:color w:val="auto"/>
              </w:rPr>
            </w:pPr>
            <w:r>
              <w:rPr>
                <w:color w:val="auto"/>
              </w:rPr>
              <w:t>达标</w:t>
            </w:r>
          </w:p>
        </w:tc>
        <w:tc>
          <w:tcPr>
            <w:tcW w:w="850" w:type="dxa"/>
            <w:vAlign w:val="center"/>
          </w:tcPr>
          <w:p w14:paraId="2C1D4123">
            <w:pPr>
              <w:pStyle w:val="33"/>
              <w:rPr>
                <w:color w:val="auto"/>
              </w:rPr>
            </w:pPr>
            <w:r>
              <w:rPr>
                <w:color w:val="auto"/>
              </w:rPr>
              <w:t>达标</w:t>
            </w:r>
          </w:p>
        </w:tc>
        <w:tc>
          <w:tcPr>
            <w:tcW w:w="851" w:type="dxa"/>
            <w:vAlign w:val="center"/>
          </w:tcPr>
          <w:p w14:paraId="7958AE95">
            <w:pPr>
              <w:pStyle w:val="33"/>
              <w:rPr>
                <w:color w:val="auto"/>
              </w:rPr>
            </w:pPr>
            <w:r>
              <w:rPr>
                <w:color w:val="auto"/>
              </w:rPr>
              <w:t>达标</w:t>
            </w:r>
          </w:p>
        </w:tc>
        <w:tc>
          <w:tcPr>
            <w:tcW w:w="992" w:type="dxa"/>
            <w:vAlign w:val="center"/>
          </w:tcPr>
          <w:p w14:paraId="5A2E8649">
            <w:pPr>
              <w:pStyle w:val="33"/>
              <w:rPr>
                <w:color w:val="auto"/>
              </w:rPr>
            </w:pPr>
            <w:r>
              <w:rPr>
                <w:color w:val="auto"/>
              </w:rPr>
              <w:t>达标</w:t>
            </w:r>
          </w:p>
        </w:tc>
        <w:tc>
          <w:tcPr>
            <w:tcW w:w="992" w:type="dxa"/>
            <w:vAlign w:val="center"/>
          </w:tcPr>
          <w:p w14:paraId="45E2779C">
            <w:pPr>
              <w:pStyle w:val="33"/>
              <w:rPr>
                <w:color w:val="auto"/>
              </w:rPr>
            </w:pPr>
            <w:r>
              <w:rPr>
                <w:color w:val="auto"/>
              </w:rPr>
              <w:t>达标</w:t>
            </w:r>
          </w:p>
        </w:tc>
        <w:tc>
          <w:tcPr>
            <w:tcW w:w="1134" w:type="dxa"/>
            <w:vAlign w:val="center"/>
          </w:tcPr>
          <w:p w14:paraId="1C137464">
            <w:pPr>
              <w:pStyle w:val="33"/>
              <w:rPr>
                <w:color w:val="auto"/>
              </w:rPr>
            </w:pPr>
            <w:r>
              <w:rPr>
                <w:color w:val="auto"/>
              </w:rPr>
              <w:t>达标</w:t>
            </w:r>
          </w:p>
        </w:tc>
        <w:tc>
          <w:tcPr>
            <w:tcW w:w="1134" w:type="dxa"/>
            <w:vAlign w:val="center"/>
          </w:tcPr>
          <w:p w14:paraId="3164D634">
            <w:pPr>
              <w:pStyle w:val="33"/>
              <w:rPr>
                <w:color w:val="auto"/>
              </w:rPr>
            </w:pPr>
            <w:r>
              <w:rPr>
                <w:color w:val="auto"/>
              </w:rPr>
              <w:t>达标</w:t>
            </w:r>
          </w:p>
        </w:tc>
        <w:tc>
          <w:tcPr>
            <w:tcW w:w="985" w:type="dxa"/>
            <w:vAlign w:val="center"/>
          </w:tcPr>
          <w:p w14:paraId="047A5360">
            <w:pPr>
              <w:pStyle w:val="33"/>
              <w:rPr>
                <w:color w:val="auto"/>
              </w:rPr>
            </w:pPr>
            <w:r>
              <w:rPr>
                <w:color w:val="auto"/>
              </w:rPr>
              <w:t>达标</w:t>
            </w:r>
          </w:p>
        </w:tc>
      </w:tr>
    </w:tbl>
    <w:p w14:paraId="0DEB1CEF">
      <w:pPr>
        <w:ind w:firstLine="480"/>
        <w:rPr>
          <w:color w:val="auto"/>
        </w:rPr>
      </w:pPr>
      <w:r>
        <w:rPr>
          <w:rFonts w:hint="eastAsia" w:cs="Times New Roman"/>
          <w:color w:val="auto"/>
        </w:rPr>
        <w:t>项目完工后，全厂排放的污染物负荷</w:t>
      </w:r>
      <w:r>
        <w:rPr>
          <w:rFonts w:hint="eastAsia" w:cs="Times New Roman"/>
          <w:color w:val="auto"/>
          <w:highlight w:val="yellow"/>
        </w:rPr>
        <w:t>低于</w:t>
      </w:r>
      <w:r>
        <w:rPr>
          <w:rFonts w:cs="Times New Roman"/>
          <w:color w:val="auto"/>
        </w:rPr>
        <w:t>75</w:t>
      </w:r>
      <w:r>
        <w:rPr>
          <w:rFonts w:hint="eastAsia" w:cs="Times New Roman"/>
          <w:color w:val="auto"/>
        </w:rPr>
        <w:t>万吨化机浆项目海洋预测使用的污染负荷数据，因此项目产生的海洋环境影响较</w:t>
      </w:r>
      <w:r>
        <w:rPr>
          <w:rFonts w:cs="Times New Roman"/>
          <w:color w:val="auto"/>
        </w:rPr>
        <w:t>75</w:t>
      </w:r>
      <w:r>
        <w:rPr>
          <w:rFonts w:hint="eastAsia" w:cs="Times New Roman"/>
          <w:color w:val="auto"/>
        </w:rPr>
        <w:t>万吨化机浆项目应该更低。</w:t>
      </w:r>
    </w:p>
    <w:p w14:paraId="3674209F">
      <w:pPr>
        <w:ind w:firstLine="480"/>
        <w:rPr>
          <w:rFonts w:cs="Times New Roman"/>
          <w:color w:val="auto"/>
        </w:rPr>
      </w:pPr>
      <w:r>
        <w:rPr>
          <w:rFonts w:hint="eastAsia" w:cs="Times New Roman"/>
          <w:color w:val="auto"/>
        </w:rPr>
        <w:t>根据建设单位提供的2023年、2024年、2025年废水总排口在线监测与自行监测数据，厂区生产废水总排口的各项因子排放浓度均满足</w:t>
      </w:r>
      <w:r>
        <w:rPr>
          <w:rFonts w:hint="eastAsia"/>
          <w:color w:val="auto"/>
        </w:rPr>
        <w:t>《制浆造纸工业水污染物排放标准》（GB3544-2008）要求</w:t>
      </w:r>
      <w:r>
        <w:rPr>
          <w:color w:val="auto"/>
        </w:rPr>
        <w:t>，</w:t>
      </w:r>
      <w:r>
        <w:rPr>
          <w:rFonts w:hint="eastAsia"/>
          <w:color w:val="auto"/>
        </w:rPr>
        <w:t>且项目完工后排放的海洋污染物负荷均较</w:t>
      </w:r>
      <w:r>
        <w:rPr>
          <w:color w:val="auto"/>
        </w:rPr>
        <w:t>75</w:t>
      </w:r>
      <w:r>
        <w:rPr>
          <w:rFonts w:hint="eastAsia"/>
          <w:color w:val="auto"/>
        </w:rPr>
        <w:t>万吨化机浆项目降低。</w:t>
      </w:r>
    </w:p>
    <w:p w14:paraId="67928C62">
      <w:pPr>
        <w:ind w:firstLine="480"/>
        <w:rPr>
          <w:rFonts w:cs="Times New Roman"/>
          <w:color w:val="auto"/>
        </w:rPr>
      </w:pPr>
      <w:r>
        <w:rPr>
          <w:rFonts w:hint="eastAsia" w:cs="Times New Roman"/>
          <w:color w:val="auto"/>
        </w:rPr>
        <w:t>因此本次评价引用《广西金桂浆纸业有限公司年产75万吨化机浆扩建项目环境影响评价报告书》中关于海洋环境影响预测与评价的结论：</w:t>
      </w:r>
    </w:p>
    <w:p w14:paraId="7C208AC0">
      <w:pPr>
        <w:ind w:firstLine="480"/>
        <w:rPr>
          <w:rFonts w:cs="Times New Roman"/>
          <w:color w:val="auto"/>
        </w:rPr>
      </w:pPr>
      <w:r>
        <w:rPr>
          <w:rFonts w:hint="eastAsia" w:cs="Times New Roman"/>
          <w:color w:val="auto"/>
        </w:rPr>
        <w:t>①广西金桂浆纸业有限公司年产75万吨化机浆扩建项目一期、二期建成后，污染水量较广西金桂浆纸业有限公司年产180万吨高档纸板扩建项目完成后全厂废水排放量减少，污染负荷COD减少。因此，75万吨化机浆项目建成后对海洋水质与生态环境的影响较已批在建的180万吨扩建项目环评报告预测相比影响更小。</w:t>
      </w:r>
    </w:p>
    <w:p w14:paraId="0777F152">
      <w:pPr>
        <w:ind w:firstLine="480"/>
        <w:rPr>
          <w:rFonts w:cs="Times New Roman"/>
          <w:color w:val="auto"/>
        </w:rPr>
      </w:pPr>
      <w:r>
        <w:rPr>
          <w:rFonts w:hint="eastAsia" w:cs="Times New Roman"/>
          <w:color w:val="auto"/>
        </w:rPr>
        <w:t>②根据《广西金桂浆纸业有限公司年产180万吨高档纸板扩建项目环境影响报告书》海洋环境影响预测结果，分析本项目一期、二期建成后：COD最大浓度符合二类海水水质标准，无机氮最大浓度符合二类海水水质标准，磷酸盐最大浓度符合二类海水水质标准；COD、无机氮对海洋生物的影响都将有所降低。</w:t>
      </w:r>
    </w:p>
    <w:p w14:paraId="1F719D26">
      <w:pPr>
        <w:ind w:firstLine="480"/>
        <w:rPr>
          <w:rFonts w:cs="Times New Roman"/>
          <w:color w:val="auto"/>
        </w:rPr>
      </w:pPr>
      <w:r>
        <w:rPr>
          <w:rFonts w:hint="eastAsia" w:cs="Times New Roman"/>
          <w:color w:val="auto"/>
        </w:rPr>
        <w:t>③根据《钦州港总体规划（2019-2035）》，未来将继续实施三墩港区围填海工程，围填海工程势必引起钦州湾岸形变化，引起内湾及湾口区水动力分布变化，污染物通过动力迁移扩散的特性也会相应变化。根据《钦州港总体规划（2019-2035年）环境影响报告书》预测结果，就围填海工程而言，对钦州湾海域尤其是茅尾海水质变化的影响很小，导致茅尾海COD、无机氮及活性磷酸盐平均浓度值较现状升高的幅度不超过3%。因此，围填海工程造成的钦州湾岸形变化，基本不会对本项目排污口附近海域海水水质产生较大影响。根据《钦州湾海域污染整治及排污控制目标方案》，未来将在三墩港区围填海工程近期规划的西侧突堤修建钦州港外迁污水总排放口，并修建钦州湾污水外迁管道，将钦州湾现有污水处理厂尾水引至外迁污水总排放口排放，污水外迁管道与三墩二期扩区填海工程同步实施。因此，未来金桂公司排污口位置发生变化，需由公司或公司协助相关部门对海洋环境影响另行分析。</w:t>
      </w:r>
    </w:p>
    <w:p w14:paraId="3F085FFA">
      <w:pPr>
        <w:pStyle w:val="3"/>
        <w:rPr>
          <w:color w:val="auto"/>
        </w:rPr>
      </w:pPr>
      <w:bookmarkStart w:id="483" w:name="_Toc221355729"/>
      <w:bookmarkStart w:id="484" w:name="_Toc225216796"/>
      <w:r>
        <w:rPr>
          <w:rFonts w:hint="eastAsia"/>
          <w:color w:val="auto"/>
        </w:rPr>
        <w:t>运营期</w:t>
      </w:r>
      <w:r>
        <w:rPr>
          <w:color w:val="auto"/>
        </w:rPr>
        <w:t>地下水环境影响预测与评价</w:t>
      </w:r>
      <w:bookmarkEnd w:id="483"/>
      <w:bookmarkEnd w:id="484"/>
    </w:p>
    <w:p w14:paraId="1FFB9DEF">
      <w:pPr>
        <w:pStyle w:val="4"/>
        <w:rPr>
          <w:color w:val="auto"/>
        </w:rPr>
      </w:pPr>
      <w:bookmarkStart w:id="485" w:name="_Toc225216797"/>
      <w:r>
        <w:rPr>
          <w:rFonts w:hint="eastAsia"/>
          <w:color w:val="auto"/>
        </w:rPr>
        <w:t>水文地质</w:t>
      </w:r>
      <w:bookmarkStart w:id="486" w:name="_Toc28353"/>
      <w:r>
        <w:rPr>
          <w:rFonts w:hint="eastAsia"/>
          <w:color w:val="auto"/>
        </w:rPr>
        <w:t>条件概述</w:t>
      </w:r>
      <w:bookmarkEnd w:id="485"/>
    </w:p>
    <w:bookmarkEnd w:id="486"/>
    <w:p w14:paraId="12E699E4">
      <w:pPr>
        <w:tabs>
          <w:tab w:val="left" w:pos="0"/>
        </w:tabs>
        <w:ind w:firstLine="480"/>
        <w:rPr>
          <w:rFonts w:cs="Times New Roman"/>
          <w:color w:val="auto"/>
          <w:szCs w:val="24"/>
        </w:rPr>
      </w:pPr>
      <w:r>
        <w:rPr>
          <w:rFonts w:hint="eastAsia" w:cs="Times New Roman"/>
          <w:color w:val="auto"/>
          <w:szCs w:val="24"/>
        </w:rPr>
        <w:t>建设项目场地位于香炉墩水文地质单元I</w:t>
      </w:r>
      <w:r>
        <w:rPr>
          <w:rFonts w:hint="eastAsia" w:cs="Times New Roman"/>
          <w:color w:val="auto"/>
          <w:szCs w:val="24"/>
          <w:vertAlign w:val="subscript"/>
        </w:rPr>
        <w:t>2</w:t>
      </w:r>
      <w:r>
        <w:rPr>
          <w:rFonts w:hint="eastAsia" w:cs="Times New Roman"/>
          <w:color w:val="auto"/>
          <w:szCs w:val="24"/>
        </w:rPr>
        <w:t>，该水文地质单元范围为：北边以淡水湾—鸡墩头—红沙环—硫磺山一带分水岭为边界，西边以金鼓江为排泄边界、东边以鹿耳环江为排泄边界，南边以钦州湾为最终排泄边界。该水文地质单元地下水类型区域南部为松散岩类孔隙水，北部为碎屑岩类裂隙孔隙水，地下水呈放射状流向金鼓江、鹿耳环江、钦州湾，金鼓江、鹿耳环江最终汇入钦州湾，地下水补给、径流、排泄系统独立完整。</w:t>
      </w:r>
    </w:p>
    <w:p w14:paraId="33AA7EEB">
      <w:pPr>
        <w:pStyle w:val="4"/>
        <w:rPr>
          <w:color w:val="auto"/>
        </w:rPr>
      </w:pPr>
      <w:bookmarkStart w:id="487" w:name="_Toc225216798"/>
      <w:r>
        <w:rPr>
          <w:rFonts w:hint="eastAsia"/>
          <w:color w:val="auto"/>
        </w:rPr>
        <w:t>评价范围</w:t>
      </w:r>
      <w:bookmarkEnd w:id="487"/>
    </w:p>
    <w:p w14:paraId="2ED3D4F7">
      <w:pPr>
        <w:ind w:firstLine="480"/>
        <w:rPr>
          <w:rFonts w:cs="Times New Roman"/>
          <w:color w:val="auto"/>
          <w:szCs w:val="24"/>
        </w:rPr>
      </w:pPr>
      <w:r>
        <w:rPr>
          <w:rFonts w:hint="eastAsia" w:cs="Times New Roman"/>
          <w:color w:val="auto"/>
          <w:szCs w:val="24"/>
        </w:rPr>
        <w:t>评价范围采用自定义法，根据场地所在的水文地质单元确定评价范围，北侧、东侧、西侧以分水岭为边界，南侧以边界</w:t>
      </w:r>
      <w:r>
        <w:rPr>
          <w:color w:val="auto"/>
        </w:rPr>
        <w:t>侏罗系</w:t>
      </w:r>
      <w:r>
        <w:rPr>
          <w:rFonts w:hint="eastAsia"/>
          <w:color w:val="auto"/>
        </w:rPr>
        <w:t>地层与填海区地层分界线和地表溪流为界</w:t>
      </w:r>
      <w:r>
        <w:rPr>
          <w:rFonts w:hint="eastAsia" w:cs="Times New Roman"/>
          <w:color w:val="auto"/>
          <w:szCs w:val="24"/>
        </w:rPr>
        <w:t>，评价面积约7km</w:t>
      </w:r>
      <w:r>
        <w:rPr>
          <w:rFonts w:hint="eastAsia" w:cs="Times New Roman"/>
          <w:color w:val="auto"/>
          <w:szCs w:val="24"/>
          <w:vertAlign w:val="superscript"/>
        </w:rPr>
        <w:t>2</w:t>
      </w:r>
      <w:r>
        <w:rPr>
          <w:rFonts w:hint="eastAsia" w:cs="Times New Roman"/>
          <w:color w:val="auto"/>
          <w:szCs w:val="24"/>
        </w:rPr>
        <w:t>。</w:t>
      </w:r>
      <w:r>
        <w:rPr>
          <w:rFonts w:cs="Times New Roman"/>
          <w:color w:val="auto"/>
          <w:szCs w:val="24"/>
        </w:rPr>
        <w:t xml:space="preserve"> </w:t>
      </w:r>
    </w:p>
    <w:p w14:paraId="7CEB06E5">
      <w:pPr>
        <w:ind w:firstLine="480"/>
        <w:rPr>
          <w:rFonts w:cs="Times New Roman"/>
          <w:color w:val="auto"/>
          <w:szCs w:val="24"/>
        </w:rPr>
      </w:pPr>
      <w:r>
        <w:rPr>
          <w:rFonts w:hint="eastAsia" w:ascii="Calibri" w:hAnsi="Calibri" w:cs="Times New Roman"/>
          <w:color w:val="auto"/>
          <w:szCs w:val="24"/>
        </w:rPr>
        <w:drawing>
          <wp:inline distT="0" distB="0" distL="0" distR="0">
            <wp:extent cx="4217670" cy="3477260"/>
            <wp:effectExtent l="0" t="0" r="0" b="8890"/>
            <wp:docPr id="3510930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93053" name="图片 2"/>
                    <pic:cNvPicPr>
                      <a:picLocks noChangeAspect="1" noChangeArrowheads="1"/>
                    </pic:cNvPicPr>
                  </pic:nvPicPr>
                  <pic:blipFill>
                    <a:blip r:embed="rId103" cstate="print">
                      <a:extLst>
                        <a:ext uri="{28A0092B-C50C-407E-A947-70E740481C1C}">
                          <a14:useLocalDpi xmlns:a14="http://schemas.microsoft.com/office/drawing/2010/main" val="0"/>
                        </a:ext>
                      </a:extLst>
                    </a:blip>
                    <a:srcRect l="13400" t="9217" r="13347" b="5357"/>
                    <a:stretch>
                      <a:fillRect/>
                    </a:stretch>
                  </pic:blipFill>
                  <pic:spPr>
                    <a:xfrm>
                      <a:off x="0" y="0"/>
                      <a:ext cx="4219031" cy="3478219"/>
                    </a:xfrm>
                    <a:prstGeom prst="rect">
                      <a:avLst/>
                    </a:prstGeom>
                    <a:noFill/>
                    <a:ln>
                      <a:noFill/>
                    </a:ln>
                  </pic:spPr>
                </pic:pic>
              </a:graphicData>
            </a:graphic>
          </wp:inline>
        </w:drawing>
      </w:r>
    </w:p>
    <w:p w14:paraId="4DDF0E2C">
      <w:pPr>
        <w:pStyle w:val="8"/>
        <w:rPr>
          <w:rFonts w:cs="Times New Roman"/>
          <w:color w:val="auto"/>
        </w:rPr>
      </w:pPr>
      <w:r>
        <w:rPr>
          <w:rFonts w:hint="eastAsia"/>
          <w:color w:val="auto"/>
        </w:rPr>
        <w:t>地下预测评价范围图</w:t>
      </w:r>
    </w:p>
    <w:p w14:paraId="4A3E02CE">
      <w:pPr>
        <w:pStyle w:val="4"/>
        <w:rPr>
          <w:color w:val="auto"/>
        </w:rPr>
      </w:pPr>
      <w:bookmarkStart w:id="488" w:name="_Toc225216799"/>
      <w:r>
        <w:rPr>
          <w:rFonts w:hint="eastAsia" w:cs="Times New Roman"/>
          <w:color w:val="auto"/>
          <w:szCs w:val="24"/>
        </w:rPr>
        <w:t>预测模型及参数</w:t>
      </w:r>
      <w:bookmarkEnd w:id="488"/>
    </w:p>
    <w:p w14:paraId="47FE67E3">
      <w:pPr>
        <w:ind w:firstLine="480"/>
        <w:rPr>
          <w:color w:val="auto"/>
        </w:rPr>
      </w:pPr>
      <w:bookmarkStart w:id="489" w:name="_Hlk168649540"/>
      <w:r>
        <w:rPr>
          <w:rFonts w:hint="eastAsia"/>
          <w:color w:val="auto"/>
        </w:rPr>
        <w:t>（1）预测模型</w:t>
      </w:r>
    </w:p>
    <w:p w14:paraId="05E43B25">
      <w:pPr>
        <w:ind w:firstLine="480"/>
        <w:jc w:val="left"/>
        <w:rPr>
          <w:rFonts w:cs="Times New Roman"/>
          <w:color w:val="auto"/>
          <w:szCs w:val="24"/>
        </w:rPr>
      </w:pPr>
      <w:r>
        <w:rPr>
          <w:rFonts w:cs="Times New Roman"/>
          <w:color w:val="auto"/>
          <w:szCs w:val="24"/>
        </w:rPr>
        <w:t>本次预测不考虑横向弥散，只考虑纵向弥散，</w:t>
      </w:r>
      <w:r>
        <w:rPr>
          <w:rFonts w:hint="eastAsia" w:cs="Times New Roman"/>
          <w:color w:val="auto"/>
          <w:szCs w:val="24"/>
        </w:rPr>
        <w:t>泄</w:t>
      </w:r>
      <w:r>
        <w:rPr>
          <w:rFonts w:cs="Times New Roman"/>
          <w:color w:val="auto"/>
          <w:szCs w:val="24"/>
        </w:rPr>
        <w:t>漏点渗漏的污水作为连续污染源，连续注入含水层。因此本次预测将污染物在地下水中的运移模型概化为一维水动力一维弥散问题，解析法预测模型选择“一维半无限长多孔介质柱体，一端为定浓度边界”模型。</w:t>
      </w:r>
    </w:p>
    <w:p w14:paraId="1FBDBF74">
      <w:pPr>
        <w:autoSpaceDE w:val="0"/>
        <w:autoSpaceDN w:val="0"/>
        <w:ind w:firstLine="480"/>
        <w:jc w:val="center"/>
        <w:rPr>
          <w:rFonts w:cs="Times New Roman"/>
          <w:color w:val="auto"/>
          <w:szCs w:val="24"/>
        </w:rPr>
      </w:pPr>
      <w:r>
        <w:rPr>
          <w:rFonts w:cs="Times New Roman"/>
          <w:color w:val="auto"/>
          <w:position w:val="-34"/>
          <w:szCs w:val="24"/>
        </w:rPr>
        <w:object>
          <v:shape id="_x0000_i1044" o:spt="75" type="#_x0000_t75" style="height:41.5pt;width:211.5pt;" o:ole="t" filled="f" o:preferrelative="t" stroked="f" coordsize="21600,21600">
            <v:path/>
            <v:fill on="f" focussize="0,0"/>
            <v:stroke on="f" joinstyle="miter"/>
            <v:imagedata r:id="rId105" o:title=""/>
            <o:lock v:ext="edit" aspectratio="t"/>
            <w10:wrap type="none"/>
            <w10:anchorlock/>
          </v:shape>
          <o:OLEObject Type="Embed" ProgID="Equation.3" ShapeID="_x0000_i1044" DrawAspect="Content" ObjectID="_1468075739" r:id="rId104">
            <o:LockedField>false</o:LockedField>
          </o:OLEObject>
        </w:object>
      </w:r>
    </w:p>
    <w:p w14:paraId="4D6683C8">
      <w:pPr>
        <w:autoSpaceDE w:val="0"/>
        <w:autoSpaceDN w:val="0"/>
        <w:ind w:firstLine="480"/>
        <w:rPr>
          <w:rFonts w:cs="Times New Roman"/>
          <w:color w:val="auto"/>
          <w:szCs w:val="24"/>
        </w:rPr>
      </w:pPr>
      <w:r>
        <w:rPr>
          <w:rFonts w:cs="Times New Roman"/>
          <w:color w:val="auto"/>
          <w:szCs w:val="24"/>
        </w:rPr>
        <w:t>式中：</w:t>
      </w:r>
    </w:p>
    <w:p w14:paraId="70DA63CC">
      <w:pPr>
        <w:autoSpaceDE w:val="0"/>
        <w:autoSpaceDN w:val="0"/>
        <w:ind w:firstLine="480"/>
        <w:rPr>
          <w:rFonts w:cs="Times New Roman"/>
          <w:color w:val="auto"/>
          <w:szCs w:val="24"/>
        </w:rPr>
      </w:pPr>
      <w:r>
        <w:rPr>
          <w:rFonts w:cs="Times New Roman"/>
          <w:color w:val="auto"/>
          <w:szCs w:val="24"/>
        </w:rPr>
        <w:t>x—距注入点的距离（m）；</w:t>
      </w:r>
    </w:p>
    <w:p w14:paraId="053388A4">
      <w:pPr>
        <w:autoSpaceDE w:val="0"/>
        <w:autoSpaceDN w:val="0"/>
        <w:ind w:firstLine="480"/>
        <w:rPr>
          <w:rFonts w:cs="Times New Roman"/>
          <w:color w:val="auto"/>
          <w:szCs w:val="24"/>
        </w:rPr>
      </w:pPr>
      <w:r>
        <w:rPr>
          <w:rFonts w:cs="Times New Roman"/>
          <w:color w:val="auto"/>
          <w:szCs w:val="24"/>
        </w:rPr>
        <w:t>t—时间（d）；</w:t>
      </w:r>
    </w:p>
    <w:p w14:paraId="250DB50D">
      <w:pPr>
        <w:autoSpaceDE w:val="0"/>
        <w:autoSpaceDN w:val="0"/>
        <w:ind w:firstLine="480"/>
        <w:rPr>
          <w:rFonts w:cs="Times New Roman"/>
          <w:color w:val="auto"/>
          <w:szCs w:val="24"/>
        </w:rPr>
      </w:pPr>
      <w:r>
        <w:rPr>
          <w:rFonts w:cs="Times New Roman"/>
          <w:color w:val="auto"/>
          <w:szCs w:val="24"/>
        </w:rPr>
        <w:t>C（x，t）—t时刻x处的示踪剂浓度（g/L）；</w:t>
      </w:r>
    </w:p>
    <w:p w14:paraId="19E7736A">
      <w:pPr>
        <w:autoSpaceDE w:val="0"/>
        <w:autoSpaceDN w:val="0"/>
        <w:ind w:firstLine="480"/>
        <w:rPr>
          <w:rFonts w:cs="Times New Roman"/>
          <w:color w:val="auto"/>
          <w:szCs w:val="24"/>
        </w:rPr>
      </w:pPr>
      <w:r>
        <w:rPr>
          <w:rFonts w:cs="Times New Roman"/>
          <w:color w:val="auto"/>
          <w:szCs w:val="24"/>
        </w:rPr>
        <w:t>C</w:t>
      </w:r>
      <w:r>
        <w:rPr>
          <w:rFonts w:cs="Times New Roman"/>
          <w:color w:val="auto"/>
          <w:szCs w:val="24"/>
          <w:vertAlign w:val="subscript"/>
        </w:rPr>
        <w:t>o</w:t>
      </w:r>
      <w:r>
        <w:rPr>
          <w:rFonts w:cs="Times New Roman"/>
          <w:color w:val="auto"/>
          <w:szCs w:val="24"/>
        </w:rPr>
        <w:t>—注入的示踪剂浓度（g/L）；</w:t>
      </w:r>
    </w:p>
    <w:p w14:paraId="5F436C1E">
      <w:pPr>
        <w:autoSpaceDE w:val="0"/>
        <w:autoSpaceDN w:val="0"/>
        <w:ind w:firstLine="480"/>
        <w:rPr>
          <w:rFonts w:cs="Times New Roman"/>
          <w:color w:val="auto"/>
          <w:szCs w:val="24"/>
        </w:rPr>
      </w:pPr>
      <w:r>
        <w:rPr>
          <w:rFonts w:cs="Times New Roman"/>
          <w:color w:val="auto"/>
          <w:szCs w:val="24"/>
        </w:rPr>
        <w:t>u—水流速度（m/d）；</w:t>
      </w:r>
    </w:p>
    <w:p w14:paraId="3897A718">
      <w:pPr>
        <w:autoSpaceDE w:val="0"/>
        <w:autoSpaceDN w:val="0"/>
        <w:ind w:firstLine="480"/>
        <w:rPr>
          <w:rFonts w:cs="Times New Roman"/>
          <w:color w:val="auto"/>
          <w:szCs w:val="24"/>
        </w:rPr>
      </w:pPr>
      <w:r>
        <w:rPr>
          <w:rFonts w:cs="Times New Roman"/>
          <w:color w:val="auto"/>
          <w:szCs w:val="24"/>
        </w:rPr>
        <w:t>D</w:t>
      </w:r>
      <w:r>
        <w:rPr>
          <w:rFonts w:cs="Times New Roman"/>
          <w:color w:val="auto"/>
          <w:szCs w:val="24"/>
          <w:vertAlign w:val="subscript"/>
        </w:rPr>
        <w:t>L</w:t>
      </w:r>
      <w:r>
        <w:rPr>
          <w:rFonts w:cs="Times New Roman"/>
          <w:color w:val="auto"/>
          <w:szCs w:val="24"/>
        </w:rPr>
        <w:t>—纵向弥散系数（m</w:t>
      </w:r>
      <w:r>
        <w:rPr>
          <w:rFonts w:cs="Times New Roman"/>
          <w:color w:val="auto"/>
          <w:szCs w:val="24"/>
          <w:vertAlign w:val="superscript"/>
        </w:rPr>
        <w:t>2</w:t>
      </w:r>
      <w:r>
        <w:rPr>
          <w:rFonts w:cs="Times New Roman"/>
          <w:color w:val="auto"/>
          <w:szCs w:val="24"/>
        </w:rPr>
        <w:t>/d）；</w:t>
      </w:r>
    </w:p>
    <w:p w14:paraId="2CF228A6">
      <w:pPr>
        <w:ind w:firstLine="480"/>
        <w:rPr>
          <w:rFonts w:cs="Times New Roman"/>
          <w:color w:val="auto"/>
          <w:szCs w:val="24"/>
        </w:rPr>
      </w:pPr>
      <w:r>
        <w:rPr>
          <w:rFonts w:cs="Times New Roman"/>
          <w:color w:val="auto"/>
          <w:szCs w:val="24"/>
        </w:rPr>
        <w:t>erfc（）—余误差函数（可查《水文地质手册》获得）</w:t>
      </w:r>
    </w:p>
    <w:p w14:paraId="610E357B">
      <w:pPr>
        <w:ind w:firstLine="480"/>
        <w:rPr>
          <w:rFonts w:cs="Times New Roman"/>
          <w:color w:val="auto"/>
          <w:szCs w:val="24"/>
        </w:rPr>
      </w:pPr>
      <w:r>
        <w:rPr>
          <w:rFonts w:cs="Times New Roman"/>
          <w:color w:val="auto"/>
          <w:szCs w:val="24"/>
        </w:rPr>
        <w:t>初始注入条件为：</w:t>
      </w:r>
    </w:p>
    <w:p w14:paraId="79268CF7">
      <w:pPr>
        <w:spacing w:line="240" w:lineRule="auto"/>
        <w:ind w:firstLine="480"/>
        <w:jc w:val="center"/>
        <w:rPr>
          <w:rFonts w:cs="Times New Roman"/>
          <w:color w:val="auto"/>
          <w:kern w:val="0"/>
          <w:szCs w:val="24"/>
        </w:rPr>
      </w:pPr>
      <w:r>
        <w:rPr>
          <w:rFonts w:cs="Times New Roman"/>
          <w:color w:val="auto"/>
          <w:kern w:val="0"/>
          <w:szCs w:val="24"/>
        </w:rPr>
        <w:drawing>
          <wp:inline distT="0" distB="0" distL="0" distR="0">
            <wp:extent cx="2060575" cy="600710"/>
            <wp:effectExtent l="0" t="0" r="0" b="8890"/>
            <wp:docPr id="1172708745" name="图片 20" descr="C:\Users\Administrator\AppData\Roaming\Tencent\Users\931227792\QQ\WinTemp\RichOle\_Q6ZLOBL8AS~7WI9~T@3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08745" name="图片 20" descr="C:\Users\Administrator\AppData\Roaming\Tencent\Users\931227792\QQ\WinTemp\RichOle\_Q6ZLOBL8AS~7WI9~T@3P}1.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a:xfrm>
                      <a:off x="0" y="0"/>
                      <a:ext cx="2060575" cy="600710"/>
                    </a:xfrm>
                    <a:prstGeom prst="rect">
                      <a:avLst/>
                    </a:prstGeom>
                    <a:noFill/>
                    <a:ln>
                      <a:noFill/>
                    </a:ln>
                  </pic:spPr>
                </pic:pic>
              </a:graphicData>
            </a:graphic>
          </wp:inline>
        </w:drawing>
      </w:r>
    </w:p>
    <w:p w14:paraId="56FAE567">
      <w:pPr>
        <w:ind w:firstLine="480"/>
        <w:rPr>
          <w:rFonts w:cs="Times New Roman"/>
          <w:color w:val="auto"/>
          <w:szCs w:val="24"/>
        </w:rPr>
      </w:pPr>
      <w:r>
        <w:rPr>
          <w:rFonts w:cs="Times New Roman"/>
          <w:color w:val="auto"/>
          <w:szCs w:val="24"/>
        </w:rPr>
        <w:t>其中：t</w:t>
      </w:r>
      <w:r>
        <w:rPr>
          <w:rFonts w:cs="Times New Roman"/>
          <w:color w:val="auto"/>
          <w:szCs w:val="24"/>
          <w:vertAlign w:val="subscript"/>
        </w:rPr>
        <w:t>0</w:t>
      </w:r>
      <w:r>
        <w:rPr>
          <w:rFonts w:cs="Times New Roman"/>
          <w:color w:val="auto"/>
          <w:szCs w:val="24"/>
        </w:rPr>
        <w:t>—连续泄</w:t>
      </w:r>
      <w:r>
        <w:rPr>
          <w:rFonts w:hint="eastAsia" w:cs="Times New Roman"/>
          <w:color w:val="auto"/>
          <w:szCs w:val="24"/>
        </w:rPr>
        <w:t>漏</w:t>
      </w:r>
      <w:r>
        <w:rPr>
          <w:rFonts w:cs="Times New Roman"/>
          <w:color w:val="auto"/>
          <w:szCs w:val="24"/>
        </w:rPr>
        <w:t>时间，d；</w:t>
      </w:r>
    </w:p>
    <w:p w14:paraId="723F7C0D">
      <w:pPr>
        <w:ind w:firstLine="480"/>
        <w:rPr>
          <w:color w:val="auto"/>
        </w:rPr>
      </w:pPr>
      <w:r>
        <w:rPr>
          <w:rFonts w:hint="eastAsia"/>
          <w:color w:val="auto"/>
        </w:rPr>
        <w:t>（2）水文地质参数</w:t>
      </w:r>
    </w:p>
    <w:p w14:paraId="6BBF1476">
      <w:pPr>
        <w:pStyle w:val="7"/>
        <w:rPr>
          <w:color w:val="auto"/>
        </w:rPr>
      </w:pPr>
      <w:r>
        <w:rPr>
          <w:rFonts w:hint="eastAsia"/>
          <w:color w:val="auto"/>
        </w:rPr>
        <w:t>水文地质参数取值</w:t>
      </w:r>
    </w:p>
    <w:tbl>
      <w:tblPr>
        <w:tblStyle w:val="26"/>
        <w:tblW w:w="4885"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7"/>
        <w:gridCol w:w="853"/>
        <w:gridCol w:w="1417"/>
        <w:gridCol w:w="1276"/>
        <w:gridCol w:w="3829"/>
      </w:tblGrid>
      <w:tr w14:paraId="08956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1C80E848">
            <w:pPr>
              <w:tabs>
                <w:tab w:val="left" w:pos="0"/>
              </w:tabs>
              <w:spacing w:line="240" w:lineRule="auto"/>
              <w:ind w:firstLine="0" w:firstLineChars="0"/>
              <w:jc w:val="center"/>
              <w:rPr>
                <w:rFonts w:cs="Times New Roman"/>
                <w:color w:val="auto"/>
                <w:sz w:val="21"/>
                <w:szCs w:val="21"/>
              </w:rPr>
            </w:pPr>
            <w:r>
              <w:rPr>
                <w:rFonts w:cs="Times New Roman"/>
                <w:b/>
                <w:color w:val="auto"/>
                <w:sz w:val="21"/>
                <w:szCs w:val="21"/>
              </w:rPr>
              <w:t>水文地质参数</w:t>
            </w:r>
          </w:p>
        </w:tc>
        <w:tc>
          <w:tcPr>
            <w:tcW w:w="470" w:type="pct"/>
          </w:tcPr>
          <w:p w14:paraId="185BDDE9">
            <w:pPr>
              <w:tabs>
                <w:tab w:val="left" w:pos="0"/>
              </w:tabs>
              <w:spacing w:line="240" w:lineRule="auto"/>
              <w:ind w:firstLine="0" w:firstLineChars="0"/>
              <w:jc w:val="center"/>
              <w:rPr>
                <w:rFonts w:cs="Times New Roman"/>
                <w:b/>
                <w:color w:val="auto"/>
                <w:sz w:val="21"/>
                <w:szCs w:val="21"/>
              </w:rPr>
            </w:pPr>
            <w:r>
              <w:rPr>
                <w:rFonts w:cs="Times New Roman"/>
                <w:b/>
                <w:color w:val="auto"/>
                <w:sz w:val="21"/>
                <w:szCs w:val="21"/>
              </w:rPr>
              <w:t>符号</w:t>
            </w:r>
          </w:p>
        </w:tc>
        <w:tc>
          <w:tcPr>
            <w:tcW w:w="781" w:type="pct"/>
            <w:vAlign w:val="center"/>
          </w:tcPr>
          <w:p w14:paraId="175CFFA0">
            <w:pPr>
              <w:tabs>
                <w:tab w:val="left" w:pos="0"/>
              </w:tabs>
              <w:spacing w:line="240" w:lineRule="auto"/>
              <w:ind w:firstLine="0" w:firstLineChars="0"/>
              <w:jc w:val="center"/>
              <w:rPr>
                <w:rFonts w:cs="Times New Roman"/>
                <w:color w:val="auto"/>
                <w:sz w:val="21"/>
                <w:szCs w:val="21"/>
              </w:rPr>
            </w:pPr>
            <w:r>
              <w:rPr>
                <w:rFonts w:cs="Times New Roman"/>
                <w:b/>
                <w:color w:val="auto"/>
                <w:sz w:val="21"/>
                <w:szCs w:val="21"/>
              </w:rPr>
              <w:t>取值</w:t>
            </w:r>
          </w:p>
        </w:tc>
        <w:tc>
          <w:tcPr>
            <w:tcW w:w="703" w:type="pct"/>
            <w:vAlign w:val="center"/>
          </w:tcPr>
          <w:p w14:paraId="65C757A4">
            <w:pPr>
              <w:tabs>
                <w:tab w:val="left" w:pos="0"/>
              </w:tabs>
              <w:spacing w:line="240" w:lineRule="auto"/>
              <w:ind w:firstLine="0" w:firstLineChars="0"/>
              <w:jc w:val="center"/>
              <w:rPr>
                <w:rFonts w:cs="Times New Roman"/>
                <w:color w:val="auto"/>
                <w:sz w:val="21"/>
                <w:szCs w:val="21"/>
              </w:rPr>
            </w:pPr>
            <w:r>
              <w:rPr>
                <w:rFonts w:cs="Times New Roman"/>
                <w:b/>
                <w:color w:val="auto"/>
                <w:sz w:val="21"/>
                <w:szCs w:val="21"/>
              </w:rPr>
              <w:t>单位</w:t>
            </w:r>
          </w:p>
        </w:tc>
        <w:tc>
          <w:tcPr>
            <w:tcW w:w="2110" w:type="pct"/>
            <w:vAlign w:val="center"/>
          </w:tcPr>
          <w:p w14:paraId="2B7A2976">
            <w:pPr>
              <w:tabs>
                <w:tab w:val="left" w:pos="0"/>
              </w:tabs>
              <w:spacing w:line="240" w:lineRule="auto"/>
              <w:ind w:firstLine="0" w:firstLineChars="0"/>
              <w:jc w:val="center"/>
              <w:rPr>
                <w:rFonts w:cs="Times New Roman"/>
                <w:color w:val="auto"/>
                <w:sz w:val="21"/>
                <w:szCs w:val="21"/>
              </w:rPr>
            </w:pPr>
            <w:r>
              <w:rPr>
                <w:rFonts w:cs="Times New Roman"/>
                <w:b/>
                <w:color w:val="auto"/>
                <w:sz w:val="21"/>
                <w:szCs w:val="21"/>
              </w:rPr>
              <w:t>备注</w:t>
            </w:r>
          </w:p>
        </w:tc>
      </w:tr>
      <w:tr w14:paraId="3A0FA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66FD91AA">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渗透系数</w:t>
            </w:r>
          </w:p>
        </w:tc>
        <w:tc>
          <w:tcPr>
            <w:tcW w:w="470" w:type="pct"/>
            <w:vAlign w:val="center"/>
          </w:tcPr>
          <w:p w14:paraId="28CA271D">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K</w:t>
            </w:r>
          </w:p>
        </w:tc>
        <w:tc>
          <w:tcPr>
            <w:tcW w:w="781" w:type="pct"/>
            <w:vAlign w:val="center"/>
          </w:tcPr>
          <w:p w14:paraId="6E4B3CC7">
            <w:pPr>
              <w:tabs>
                <w:tab w:val="left" w:pos="0"/>
              </w:tabs>
              <w:spacing w:line="240" w:lineRule="auto"/>
              <w:ind w:firstLine="0" w:firstLineChars="0"/>
              <w:jc w:val="center"/>
              <w:rPr>
                <w:rFonts w:cs="Times New Roman"/>
                <w:color w:val="auto"/>
                <w:sz w:val="21"/>
                <w:szCs w:val="21"/>
              </w:rPr>
            </w:pPr>
            <w:r>
              <w:rPr>
                <w:rFonts w:hint="eastAsia" w:cs="Times New Roman"/>
                <w:color w:val="auto"/>
                <w:sz w:val="21"/>
                <w:szCs w:val="21"/>
              </w:rPr>
              <w:t>0.32</w:t>
            </w:r>
          </w:p>
        </w:tc>
        <w:tc>
          <w:tcPr>
            <w:tcW w:w="703" w:type="pct"/>
            <w:vAlign w:val="center"/>
          </w:tcPr>
          <w:p w14:paraId="576795CD">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m/d</w:t>
            </w:r>
          </w:p>
        </w:tc>
        <w:tc>
          <w:tcPr>
            <w:tcW w:w="2110" w:type="pct"/>
            <w:vMerge w:val="restart"/>
            <w:vAlign w:val="center"/>
          </w:tcPr>
          <w:p w14:paraId="3BEACEE3">
            <w:pPr>
              <w:tabs>
                <w:tab w:val="left" w:pos="0"/>
              </w:tabs>
              <w:spacing w:line="240" w:lineRule="auto"/>
              <w:ind w:firstLine="0" w:firstLineChars="0"/>
              <w:rPr>
                <w:rFonts w:cs="Times New Roman"/>
                <w:color w:val="auto"/>
                <w:sz w:val="21"/>
                <w:szCs w:val="21"/>
              </w:rPr>
            </w:pPr>
            <w:r>
              <w:rPr>
                <w:rFonts w:hint="eastAsia" w:cs="Times New Roman"/>
                <w:color w:val="auto"/>
                <w:sz w:val="21"/>
                <w:szCs w:val="21"/>
              </w:rPr>
              <w:t>取值</w:t>
            </w:r>
            <w:r>
              <w:rPr>
                <w:rFonts w:cs="Times New Roman"/>
                <w:color w:val="auto"/>
                <w:sz w:val="21"/>
                <w:szCs w:val="21"/>
              </w:rPr>
              <w:t>参考《</w:t>
            </w:r>
            <w:r>
              <w:rPr>
                <w:rFonts w:hint="eastAsia" w:cs="Times New Roman"/>
                <w:color w:val="auto"/>
                <w:sz w:val="21"/>
                <w:szCs w:val="21"/>
              </w:rPr>
              <w:t>广西金桂浆纸业有限公司三期工程年产300万吨林浆纸一体化项目环境影响报告书</w:t>
            </w:r>
            <w:r>
              <w:rPr>
                <w:rFonts w:cs="Times New Roman"/>
                <w:color w:val="auto"/>
                <w:sz w:val="21"/>
                <w:szCs w:val="21"/>
              </w:rPr>
              <w:t>》，</w:t>
            </w:r>
            <w:r>
              <w:rPr>
                <w:rFonts w:hint="eastAsia" w:cs="Times New Roman"/>
                <w:color w:val="auto"/>
                <w:sz w:val="21"/>
                <w:szCs w:val="21"/>
              </w:rPr>
              <w:t>本项目与报告项目</w:t>
            </w:r>
            <w:r>
              <w:rPr>
                <w:rFonts w:cs="Times New Roman"/>
                <w:color w:val="auto"/>
                <w:sz w:val="21"/>
                <w:szCs w:val="21"/>
              </w:rPr>
              <w:t>位于同一厂区，地层地貌相同，取值合理。</w:t>
            </w:r>
          </w:p>
        </w:tc>
      </w:tr>
      <w:tr w14:paraId="100F2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05659E74">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有效孔隙度</w:t>
            </w:r>
          </w:p>
        </w:tc>
        <w:tc>
          <w:tcPr>
            <w:tcW w:w="470" w:type="pct"/>
            <w:vAlign w:val="center"/>
          </w:tcPr>
          <w:p w14:paraId="267C86C8">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ne</w:t>
            </w:r>
          </w:p>
        </w:tc>
        <w:tc>
          <w:tcPr>
            <w:tcW w:w="781" w:type="pct"/>
            <w:vAlign w:val="center"/>
          </w:tcPr>
          <w:p w14:paraId="124B7ACE">
            <w:pPr>
              <w:tabs>
                <w:tab w:val="left" w:pos="0"/>
              </w:tabs>
              <w:spacing w:line="240" w:lineRule="auto"/>
              <w:ind w:firstLine="0" w:firstLineChars="0"/>
              <w:jc w:val="center"/>
              <w:rPr>
                <w:rFonts w:cs="Times New Roman"/>
                <w:color w:val="auto"/>
                <w:sz w:val="21"/>
                <w:szCs w:val="21"/>
              </w:rPr>
            </w:pPr>
            <w:r>
              <w:rPr>
                <w:rFonts w:hint="eastAsia" w:cs="Times New Roman"/>
                <w:color w:val="auto"/>
                <w:sz w:val="21"/>
                <w:szCs w:val="21"/>
              </w:rPr>
              <w:t>0.03</w:t>
            </w:r>
          </w:p>
        </w:tc>
        <w:tc>
          <w:tcPr>
            <w:tcW w:w="703" w:type="pct"/>
            <w:vAlign w:val="center"/>
          </w:tcPr>
          <w:p w14:paraId="74B2E3A2">
            <w:pPr>
              <w:tabs>
                <w:tab w:val="left" w:pos="0"/>
              </w:tabs>
              <w:spacing w:line="240" w:lineRule="auto"/>
              <w:ind w:firstLine="0" w:firstLineChars="0"/>
              <w:jc w:val="center"/>
              <w:rPr>
                <w:rFonts w:cs="Times New Roman"/>
                <w:color w:val="auto"/>
                <w:sz w:val="21"/>
                <w:szCs w:val="21"/>
              </w:rPr>
            </w:pPr>
          </w:p>
        </w:tc>
        <w:tc>
          <w:tcPr>
            <w:tcW w:w="2110" w:type="pct"/>
            <w:vMerge w:val="continue"/>
            <w:vAlign w:val="center"/>
          </w:tcPr>
          <w:p w14:paraId="0DD3C3E7">
            <w:pPr>
              <w:tabs>
                <w:tab w:val="left" w:pos="0"/>
              </w:tabs>
              <w:spacing w:line="240" w:lineRule="auto"/>
              <w:ind w:firstLine="0" w:firstLineChars="0"/>
              <w:rPr>
                <w:rFonts w:cs="Times New Roman"/>
                <w:color w:val="auto"/>
                <w:sz w:val="21"/>
                <w:szCs w:val="21"/>
              </w:rPr>
            </w:pPr>
          </w:p>
        </w:tc>
      </w:tr>
      <w:tr w14:paraId="72D08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304E3F36">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纵向弥散系数</w:t>
            </w:r>
          </w:p>
        </w:tc>
        <w:tc>
          <w:tcPr>
            <w:tcW w:w="470" w:type="pct"/>
            <w:vAlign w:val="center"/>
          </w:tcPr>
          <w:p w14:paraId="44DBBB94">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DL</w:t>
            </w:r>
          </w:p>
        </w:tc>
        <w:tc>
          <w:tcPr>
            <w:tcW w:w="781" w:type="pct"/>
            <w:vAlign w:val="center"/>
          </w:tcPr>
          <w:p w14:paraId="3CB8091D">
            <w:pPr>
              <w:tabs>
                <w:tab w:val="left" w:pos="0"/>
              </w:tabs>
              <w:spacing w:line="240" w:lineRule="auto"/>
              <w:ind w:firstLine="0" w:firstLineChars="0"/>
              <w:jc w:val="center"/>
              <w:rPr>
                <w:rFonts w:cs="Times New Roman"/>
                <w:color w:val="auto"/>
                <w:sz w:val="21"/>
                <w:szCs w:val="21"/>
              </w:rPr>
            </w:pPr>
            <w:r>
              <w:rPr>
                <w:rFonts w:hint="eastAsia" w:cs="Times New Roman"/>
                <w:color w:val="auto"/>
                <w:sz w:val="21"/>
                <w:szCs w:val="21"/>
              </w:rPr>
              <w:t>0.987</w:t>
            </w:r>
          </w:p>
        </w:tc>
        <w:tc>
          <w:tcPr>
            <w:tcW w:w="703" w:type="pct"/>
            <w:vAlign w:val="center"/>
          </w:tcPr>
          <w:p w14:paraId="7B426A09">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m</w:t>
            </w:r>
            <w:r>
              <w:rPr>
                <w:rFonts w:cs="Times New Roman"/>
                <w:color w:val="auto"/>
                <w:sz w:val="21"/>
                <w:szCs w:val="21"/>
                <w:vertAlign w:val="superscript"/>
              </w:rPr>
              <w:t>2</w:t>
            </w:r>
            <w:r>
              <w:rPr>
                <w:rFonts w:cs="Times New Roman"/>
                <w:color w:val="auto"/>
                <w:sz w:val="21"/>
                <w:szCs w:val="21"/>
              </w:rPr>
              <w:t>/d</w:t>
            </w:r>
          </w:p>
        </w:tc>
        <w:tc>
          <w:tcPr>
            <w:tcW w:w="2110" w:type="pct"/>
            <w:vMerge w:val="continue"/>
            <w:vAlign w:val="center"/>
          </w:tcPr>
          <w:p w14:paraId="3DEAC691">
            <w:pPr>
              <w:tabs>
                <w:tab w:val="left" w:pos="0"/>
              </w:tabs>
              <w:spacing w:line="240" w:lineRule="auto"/>
              <w:ind w:firstLine="0" w:firstLineChars="0"/>
              <w:rPr>
                <w:rFonts w:cs="Times New Roman"/>
                <w:color w:val="auto"/>
                <w:sz w:val="21"/>
                <w:szCs w:val="21"/>
              </w:rPr>
            </w:pPr>
          </w:p>
        </w:tc>
      </w:tr>
      <w:tr w14:paraId="212A7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44CCCC62">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平均水力坡度</w:t>
            </w:r>
          </w:p>
        </w:tc>
        <w:tc>
          <w:tcPr>
            <w:tcW w:w="470" w:type="pct"/>
            <w:vAlign w:val="center"/>
          </w:tcPr>
          <w:p w14:paraId="7FC9A48A">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I</w:t>
            </w:r>
          </w:p>
        </w:tc>
        <w:tc>
          <w:tcPr>
            <w:tcW w:w="781" w:type="pct"/>
            <w:vAlign w:val="center"/>
          </w:tcPr>
          <w:p w14:paraId="75BA3346">
            <w:pPr>
              <w:tabs>
                <w:tab w:val="left" w:pos="0"/>
              </w:tabs>
              <w:spacing w:line="240" w:lineRule="auto"/>
              <w:ind w:firstLine="0" w:firstLineChars="0"/>
              <w:jc w:val="center"/>
              <w:rPr>
                <w:rFonts w:cs="Times New Roman"/>
                <w:color w:val="auto"/>
                <w:sz w:val="21"/>
                <w:szCs w:val="21"/>
              </w:rPr>
            </w:pPr>
            <w:r>
              <w:rPr>
                <w:rFonts w:hint="eastAsia" w:cs="Times New Roman"/>
                <w:color w:val="auto"/>
                <w:sz w:val="21"/>
                <w:szCs w:val="21"/>
              </w:rPr>
              <w:t>3</w:t>
            </w:r>
          </w:p>
        </w:tc>
        <w:tc>
          <w:tcPr>
            <w:tcW w:w="703" w:type="pct"/>
            <w:vAlign w:val="center"/>
          </w:tcPr>
          <w:p w14:paraId="034DE910">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w:t>
            </w:r>
          </w:p>
        </w:tc>
        <w:tc>
          <w:tcPr>
            <w:tcW w:w="2110" w:type="pct"/>
            <w:vAlign w:val="center"/>
          </w:tcPr>
          <w:p w14:paraId="5EF2BC30">
            <w:pPr>
              <w:tabs>
                <w:tab w:val="left" w:pos="0"/>
              </w:tabs>
              <w:spacing w:line="240" w:lineRule="auto"/>
              <w:ind w:firstLine="0" w:firstLineChars="0"/>
              <w:rPr>
                <w:rFonts w:cs="Times New Roman"/>
                <w:color w:val="auto"/>
                <w:sz w:val="21"/>
                <w:szCs w:val="21"/>
              </w:rPr>
            </w:pPr>
            <w:r>
              <w:rPr>
                <w:rFonts w:cs="Times New Roman"/>
                <w:color w:val="auto"/>
                <w:sz w:val="21"/>
                <w:szCs w:val="21"/>
              </w:rPr>
              <w:t>根据U1</w:t>
            </w:r>
            <w:r>
              <w:rPr>
                <w:rFonts w:hint="eastAsia" w:cs="Times New Roman"/>
                <w:color w:val="auto"/>
                <w:sz w:val="21"/>
                <w:szCs w:val="21"/>
              </w:rPr>
              <w:t>和</w:t>
            </w:r>
            <w:r>
              <w:rPr>
                <w:rFonts w:cs="Times New Roman"/>
                <w:color w:val="auto"/>
                <w:sz w:val="21"/>
                <w:szCs w:val="21"/>
              </w:rPr>
              <w:t xml:space="preserve">U5计算所得 </w:t>
            </w:r>
          </w:p>
        </w:tc>
      </w:tr>
      <w:tr w14:paraId="2BCA4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 w:type="pct"/>
            <w:vAlign w:val="center"/>
          </w:tcPr>
          <w:p w14:paraId="746B1909">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地下水实际流速</w:t>
            </w:r>
          </w:p>
        </w:tc>
        <w:tc>
          <w:tcPr>
            <w:tcW w:w="470" w:type="pct"/>
            <w:vAlign w:val="center"/>
          </w:tcPr>
          <w:p w14:paraId="4BAC75AA">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u</w:t>
            </w:r>
          </w:p>
        </w:tc>
        <w:tc>
          <w:tcPr>
            <w:tcW w:w="781" w:type="pct"/>
            <w:vAlign w:val="center"/>
          </w:tcPr>
          <w:p w14:paraId="322ADD4A">
            <w:pPr>
              <w:tabs>
                <w:tab w:val="left" w:pos="0"/>
              </w:tabs>
              <w:spacing w:line="240" w:lineRule="auto"/>
              <w:ind w:firstLine="0" w:firstLineChars="0"/>
              <w:jc w:val="center"/>
              <w:rPr>
                <w:rFonts w:cs="Times New Roman"/>
                <w:color w:val="auto"/>
                <w:sz w:val="21"/>
                <w:szCs w:val="21"/>
              </w:rPr>
            </w:pPr>
            <w:r>
              <w:rPr>
                <w:rFonts w:hint="eastAsia" w:cs="Times New Roman"/>
                <w:color w:val="auto"/>
                <w:sz w:val="21"/>
                <w:szCs w:val="21"/>
              </w:rPr>
              <w:t>0.032</w:t>
            </w:r>
          </w:p>
        </w:tc>
        <w:tc>
          <w:tcPr>
            <w:tcW w:w="703" w:type="pct"/>
            <w:vAlign w:val="center"/>
          </w:tcPr>
          <w:p w14:paraId="31783441">
            <w:pPr>
              <w:tabs>
                <w:tab w:val="left" w:pos="0"/>
              </w:tabs>
              <w:spacing w:line="240" w:lineRule="auto"/>
              <w:ind w:firstLine="0" w:firstLineChars="0"/>
              <w:jc w:val="center"/>
              <w:rPr>
                <w:rFonts w:cs="Times New Roman"/>
                <w:color w:val="auto"/>
                <w:sz w:val="21"/>
                <w:szCs w:val="21"/>
              </w:rPr>
            </w:pPr>
            <w:r>
              <w:rPr>
                <w:rFonts w:cs="Times New Roman"/>
                <w:color w:val="auto"/>
                <w:sz w:val="21"/>
                <w:szCs w:val="21"/>
              </w:rPr>
              <w:t>m/d</w:t>
            </w:r>
          </w:p>
        </w:tc>
        <w:tc>
          <w:tcPr>
            <w:tcW w:w="2110" w:type="pct"/>
            <w:vAlign w:val="center"/>
          </w:tcPr>
          <w:p w14:paraId="6B796951">
            <w:pPr>
              <w:tabs>
                <w:tab w:val="left" w:pos="0"/>
              </w:tabs>
              <w:spacing w:line="240" w:lineRule="auto"/>
              <w:ind w:firstLine="0" w:firstLineChars="0"/>
              <w:rPr>
                <w:rFonts w:cs="Times New Roman"/>
                <w:color w:val="auto"/>
                <w:sz w:val="21"/>
                <w:szCs w:val="21"/>
              </w:rPr>
            </w:pPr>
            <w:r>
              <w:rPr>
                <w:rFonts w:cs="Times New Roman"/>
                <w:color w:val="auto"/>
                <w:sz w:val="21"/>
                <w:szCs w:val="21"/>
              </w:rPr>
              <w:t>根据渗透系数、有效孔隙度、平均水力坡度计算所得。</w:t>
            </w:r>
          </w:p>
        </w:tc>
      </w:tr>
      <w:bookmarkEnd w:id="489"/>
    </w:tbl>
    <w:p w14:paraId="1C28F3B8">
      <w:pPr>
        <w:pStyle w:val="4"/>
        <w:rPr>
          <w:color w:val="auto"/>
        </w:rPr>
      </w:pPr>
      <w:bookmarkStart w:id="490" w:name="_Toc225216800"/>
      <w:r>
        <w:rPr>
          <w:rFonts w:hint="eastAsia"/>
          <w:color w:val="auto"/>
        </w:rPr>
        <w:t>地下水污染途径及污染范围分析</w:t>
      </w:r>
      <w:bookmarkEnd w:id="490"/>
    </w:p>
    <w:p w14:paraId="5E2A10D8">
      <w:pPr>
        <w:ind w:firstLine="480"/>
        <w:rPr>
          <w:rFonts w:cs="Times New Roman"/>
          <w:color w:val="auto"/>
          <w:szCs w:val="24"/>
        </w:rPr>
      </w:pPr>
      <w:r>
        <w:rPr>
          <w:rFonts w:hint="eastAsia" w:cs="Times New Roman"/>
          <w:color w:val="auto"/>
          <w:szCs w:val="24"/>
        </w:rPr>
        <w:t>地下水的污染途径主要为：当项目污水储存的构筑物破损、同时防渗层开裂或破损，污水沿包气带垂直下渗，后进入地下水含水层。由于地下水埋藏较浅，污染物较易进入碎屑岩裂隙孔隙水含水层中，造成地下水环境的污染。</w:t>
      </w:r>
    </w:p>
    <w:p w14:paraId="6A1A98DB">
      <w:pPr>
        <w:ind w:firstLine="480"/>
        <w:rPr>
          <w:rFonts w:cs="Times New Roman"/>
          <w:color w:val="auto"/>
          <w:szCs w:val="24"/>
        </w:rPr>
      </w:pPr>
      <w:r>
        <w:rPr>
          <w:rFonts w:hint="eastAsia"/>
          <w:color w:val="auto"/>
        </w:rPr>
        <w:t>污染范围：</w:t>
      </w:r>
      <w:r>
        <w:rPr>
          <w:rFonts w:hint="eastAsia" w:cs="Times New Roman"/>
          <w:color w:val="auto"/>
          <w:szCs w:val="24"/>
        </w:rPr>
        <w:t>场地地下水总体朝南、南西侧径流，最终排泄于鹿耳环江，因此，污染范围主要是场地范围外到鹿耳环江之间范围。</w:t>
      </w:r>
    </w:p>
    <w:p w14:paraId="1967008C">
      <w:pPr>
        <w:pStyle w:val="4"/>
        <w:rPr>
          <w:color w:val="auto"/>
        </w:rPr>
      </w:pPr>
      <w:bookmarkStart w:id="491" w:name="_Toc225216801"/>
      <w:r>
        <w:rPr>
          <w:rFonts w:hint="eastAsia"/>
          <w:color w:val="auto"/>
        </w:rPr>
        <w:t>预测情景设定</w:t>
      </w:r>
      <w:bookmarkEnd w:id="491"/>
    </w:p>
    <w:p w14:paraId="1F8CBF6C">
      <w:pPr>
        <w:tabs>
          <w:tab w:val="left" w:pos="0"/>
        </w:tabs>
        <w:ind w:firstLine="480"/>
        <w:rPr>
          <w:color w:val="auto"/>
          <w:szCs w:val="24"/>
        </w:rPr>
      </w:pPr>
      <w:r>
        <w:rPr>
          <w:color w:val="auto"/>
          <w:szCs w:val="24"/>
        </w:rPr>
        <w:t>（1）运营期正常工况</w:t>
      </w:r>
    </w:p>
    <w:p w14:paraId="75984D6D">
      <w:pPr>
        <w:tabs>
          <w:tab w:val="left" w:pos="0"/>
        </w:tabs>
        <w:ind w:firstLine="480"/>
        <w:rPr>
          <w:color w:val="auto"/>
          <w:szCs w:val="24"/>
        </w:rPr>
      </w:pPr>
      <w:r>
        <w:rPr>
          <w:color w:val="auto"/>
        </w:rPr>
        <w:t>正常工况下，严格按照现行的国家规范要求采取防渗措施，通过分区防渗，各防渗区均具有一定防渗能力，结合包气带防污性能、含水层易污染特征、地下水环境敏感程度分析，在防渗措施工况良好的情况下，</w:t>
      </w:r>
      <w:r>
        <w:rPr>
          <w:bCs/>
          <w:color w:val="auto"/>
        </w:rPr>
        <w:t>正常工况下的渗漏量较小或可忽略不计</w:t>
      </w:r>
      <w:r>
        <w:rPr>
          <w:color w:val="auto"/>
        </w:rPr>
        <w:t>，项目正常运营对项目厂区外径流排泄区的地下水环境影响较小，污染程度小。因此本次不进行正常工况情境下的预测</w:t>
      </w:r>
      <w:r>
        <w:rPr>
          <w:color w:val="auto"/>
          <w:szCs w:val="24"/>
        </w:rPr>
        <w:t>。</w:t>
      </w:r>
    </w:p>
    <w:p w14:paraId="6EDF3B77">
      <w:pPr>
        <w:tabs>
          <w:tab w:val="left" w:pos="0"/>
        </w:tabs>
        <w:ind w:firstLine="480"/>
        <w:rPr>
          <w:color w:val="auto"/>
          <w:szCs w:val="24"/>
        </w:rPr>
      </w:pPr>
      <w:r>
        <w:rPr>
          <w:color w:val="auto"/>
          <w:szCs w:val="24"/>
        </w:rPr>
        <w:t>（2）运营期非正常工况污染情景</w:t>
      </w:r>
    </w:p>
    <w:p w14:paraId="04F94197">
      <w:pPr>
        <w:tabs>
          <w:tab w:val="left" w:pos="0"/>
        </w:tabs>
        <w:ind w:firstLine="480"/>
        <w:rPr>
          <w:color w:val="auto"/>
          <w:szCs w:val="24"/>
        </w:rPr>
      </w:pPr>
      <w:r>
        <w:rPr>
          <w:color w:val="auto"/>
          <w:szCs w:val="24"/>
        </w:rPr>
        <w:t>项目非正常工况是指在项目运营期在生产废水收集、储存、输送及处理过程中，可能存在的废水持续泄漏或突发性泄漏污染地下水等情况。为定性、定量评价可能的地下水污染影响，选取影响程度最大的泄漏场景及污染源强进行预测评价。考虑到发生泄漏事故情景不易发现，将设置以下情景：</w:t>
      </w:r>
    </w:p>
    <w:p w14:paraId="13D28D7A">
      <w:pPr>
        <w:tabs>
          <w:tab w:val="left" w:pos="0"/>
        </w:tabs>
        <w:ind w:firstLine="480"/>
        <w:rPr>
          <w:color w:val="auto"/>
          <w:szCs w:val="24"/>
        </w:rPr>
      </w:pPr>
      <w:r>
        <w:rPr>
          <w:color w:val="auto"/>
          <w:szCs w:val="24"/>
        </w:rPr>
        <w:t>本次预测根据工程分析，从风险最大化考虑，假设</w:t>
      </w:r>
      <w:r>
        <w:rPr>
          <w:rFonts w:hint="eastAsia"/>
          <w:color w:val="auto"/>
          <w:szCs w:val="24"/>
        </w:rPr>
        <w:t>污水处理站集水池</w:t>
      </w:r>
      <w:r>
        <w:rPr>
          <w:color w:val="auto"/>
          <w:szCs w:val="24"/>
        </w:rPr>
        <w:t>由于地面不均匀沉降防渗层出现破裂导致</w:t>
      </w:r>
      <w:r>
        <w:rPr>
          <w:rFonts w:hint="eastAsia"/>
          <w:color w:val="auto"/>
          <w:szCs w:val="24"/>
        </w:rPr>
        <w:t>废水</w:t>
      </w:r>
      <w:r>
        <w:rPr>
          <w:color w:val="auto"/>
          <w:szCs w:val="24"/>
        </w:rPr>
        <w:t>泄漏，造成</w:t>
      </w:r>
      <w:r>
        <w:rPr>
          <w:rFonts w:hint="eastAsia"/>
          <w:color w:val="auto"/>
          <w:szCs w:val="24"/>
        </w:rPr>
        <w:t>厂区外</w:t>
      </w:r>
      <w:r>
        <w:rPr>
          <w:color w:val="auto"/>
          <w:szCs w:val="24"/>
        </w:rPr>
        <w:t>地下水污染，</w:t>
      </w:r>
      <w:r>
        <w:rPr>
          <w:rFonts w:hint="eastAsia"/>
          <w:color w:val="auto"/>
          <w:szCs w:val="24"/>
        </w:rPr>
        <w:t>风险最大化考虑，持续性泄漏</w:t>
      </w:r>
      <w:r>
        <w:rPr>
          <w:color w:val="auto"/>
          <w:szCs w:val="24"/>
        </w:rPr>
        <w:t>。</w:t>
      </w:r>
    </w:p>
    <w:p w14:paraId="2071630E">
      <w:pPr>
        <w:tabs>
          <w:tab w:val="left" w:pos="0"/>
        </w:tabs>
        <w:ind w:firstLine="480"/>
        <w:rPr>
          <w:color w:val="auto"/>
          <w:szCs w:val="24"/>
        </w:rPr>
      </w:pPr>
      <w:r>
        <w:rPr>
          <w:color w:val="auto"/>
          <w:szCs w:val="24"/>
        </w:rPr>
        <w:t>（3）源强及预测因子</w:t>
      </w:r>
    </w:p>
    <w:p w14:paraId="38F1CBF4">
      <w:pPr>
        <w:ind w:firstLine="480"/>
        <w:jc w:val="left"/>
        <w:rPr>
          <w:color w:val="auto"/>
        </w:rPr>
      </w:pPr>
      <w:r>
        <w:rPr>
          <w:color w:val="auto"/>
          <w:szCs w:val="24"/>
        </w:rPr>
        <w:t>根据工程分析，从风险最大考虑，取</w:t>
      </w:r>
      <w:r>
        <w:rPr>
          <w:rFonts w:hint="eastAsia"/>
          <w:color w:val="auto"/>
          <w:szCs w:val="24"/>
        </w:rPr>
        <w:t>废水处理站进水</w:t>
      </w:r>
      <w:r>
        <w:rPr>
          <w:color w:val="auto"/>
          <w:szCs w:val="24"/>
        </w:rPr>
        <w:t>浓度。</w:t>
      </w:r>
    </w:p>
    <w:p w14:paraId="2F2A2E80">
      <w:pPr>
        <w:pStyle w:val="7"/>
        <w:rPr>
          <w:color w:val="auto"/>
        </w:rPr>
      </w:pPr>
      <w:r>
        <w:rPr>
          <w:rFonts w:hint="eastAsia"/>
          <w:color w:val="auto"/>
        </w:rPr>
        <w:t>染因子及源强表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4"/>
        <w:gridCol w:w="2067"/>
        <w:gridCol w:w="1733"/>
        <w:gridCol w:w="2021"/>
        <w:gridCol w:w="2021"/>
      </w:tblGrid>
      <w:tr w14:paraId="04C9B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8" w:type="pct"/>
            <w:tcBorders>
              <w:top w:val="single" w:color="auto" w:sz="4" w:space="0"/>
              <w:left w:val="single" w:color="auto" w:sz="4" w:space="0"/>
              <w:bottom w:val="single" w:color="auto" w:sz="4" w:space="0"/>
              <w:right w:val="single" w:color="auto" w:sz="4" w:space="0"/>
            </w:tcBorders>
          </w:tcPr>
          <w:p w14:paraId="0046BCB2">
            <w:pPr>
              <w:widowControl/>
              <w:tabs>
                <w:tab w:val="left" w:pos="-280"/>
                <w:tab w:val="left" w:pos="4480"/>
              </w:tabs>
              <w:spacing w:line="240" w:lineRule="auto"/>
              <w:ind w:firstLine="0" w:firstLineChars="0"/>
              <w:jc w:val="center"/>
              <w:outlineLvl w:val="7"/>
              <w:rPr>
                <w:color w:val="auto"/>
                <w:kern w:val="0"/>
                <w:sz w:val="21"/>
                <w:szCs w:val="21"/>
              </w:rPr>
            </w:pPr>
            <w:r>
              <w:rPr>
                <w:rFonts w:hint="eastAsia"/>
                <w:color w:val="auto"/>
                <w:kern w:val="0"/>
                <w:sz w:val="21"/>
                <w:szCs w:val="21"/>
              </w:rPr>
              <w:t>污染因子</w:t>
            </w:r>
          </w:p>
        </w:tc>
        <w:tc>
          <w:tcPr>
            <w:tcW w:w="1113" w:type="pct"/>
            <w:tcBorders>
              <w:top w:val="single" w:color="auto" w:sz="4" w:space="0"/>
              <w:left w:val="single" w:color="auto" w:sz="4" w:space="0"/>
              <w:bottom w:val="single" w:color="auto" w:sz="4" w:space="0"/>
              <w:right w:val="single" w:color="auto" w:sz="4" w:space="0"/>
            </w:tcBorders>
          </w:tcPr>
          <w:p w14:paraId="34C1A420">
            <w:pPr>
              <w:widowControl/>
              <w:tabs>
                <w:tab w:val="left" w:pos="-280"/>
                <w:tab w:val="left" w:pos="4480"/>
              </w:tabs>
              <w:spacing w:line="240" w:lineRule="auto"/>
              <w:ind w:firstLine="0" w:firstLineChars="0"/>
              <w:jc w:val="center"/>
              <w:outlineLvl w:val="7"/>
              <w:rPr>
                <w:color w:val="auto"/>
                <w:kern w:val="0"/>
                <w:sz w:val="21"/>
                <w:szCs w:val="21"/>
              </w:rPr>
            </w:pPr>
            <w:r>
              <w:rPr>
                <w:rFonts w:hint="eastAsia"/>
                <w:color w:val="auto"/>
                <w:kern w:val="0"/>
                <w:sz w:val="21"/>
                <w:szCs w:val="21"/>
              </w:rPr>
              <w:t>浓度（</w:t>
            </w:r>
            <w:r>
              <w:rPr>
                <w:color w:val="auto"/>
                <w:kern w:val="0"/>
                <w:sz w:val="21"/>
                <w:szCs w:val="21"/>
              </w:rPr>
              <w:t>mg/L</w:t>
            </w:r>
            <w:r>
              <w:rPr>
                <w:rFonts w:hint="eastAsia"/>
                <w:color w:val="auto"/>
                <w:kern w:val="0"/>
                <w:sz w:val="21"/>
                <w:szCs w:val="21"/>
              </w:rPr>
              <w:t>）</w:t>
            </w:r>
          </w:p>
        </w:tc>
        <w:tc>
          <w:tcPr>
            <w:tcW w:w="933" w:type="pct"/>
            <w:tcBorders>
              <w:top w:val="single" w:color="auto" w:sz="4" w:space="0"/>
              <w:left w:val="single" w:color="auto" w:sz="4" w:space="0"/>
              <w:bottom w:val="single" w:color="auto" w:sz="4" w:space="0"/>
              <w:right w:val="single" w:color="auto" w:sz="4" w:space="0"/>
            </w:tcBorders>
          </w:tcPr>
          <w:p w14:paraId="03C22098">
            <w:pPr>
              <w:widowControl/>
              <w:tabs>
                <w:tab w:val="left" w:pos="-280"/>
                <w:tab w:val="left" w:pos="4480"/>
              </w:tabs>
              <w:spacing w:line="240" w:lineRule="auto"/>
              <w:ind w:firstLine="0" w:firstLineChars="0"/>
              <w:jc w:val="center"/>
              <w:outlineLvl w:val="7"/>
              <w:rPr>
                <w:color w:val="auto"/>
                <w:kern w:val="0"/>
                <w:sz w:val="21"/>
                <w:szCs w:val="21"/>
              </w:rPr>
            </w:pPr>
            <w:r>
              <w:rPr>
                <w:rFonts w:hint="eastAsia"/>
                <w:color w:val="auto"/>
                <w:kern w:val="0"/>
                <w:sz w:val="21"/>
                <w:szCs w:val="21"/>
              </w:rPr>
              <w:t>Ⅲ类水标准</w:t>
            </w:r>
          </w:p>
        </w:tc>
        <w:tc>
          <w:tcPr>
            <w:tcW w:w="1088" w:type="pct"/>
            <w:tcBorders>
              <w:top w:val="single" w:color="auto" w:sz="4" w:space="0"/>
              <w:left w:val="single" w:color="auto" w:sz="4" w:space="0"/>
              <w:bottom w:val="single" w:color="auto" w:sz="4" w:space="0"/>
              <w:right w:val="single" w:color="auto" w:sz="4" w:space="0"/>
            </w:tcBorders>
          </w:tcPr>
          <w:p w14:paraId="49691539">
            <w:pPr>
              <w:widowControl/>
              <w:tabs>
                <w:tab w:val="left" w:pos="-280"/>
                <w:tab w:val="left" w:pos="4480"/>
              </w:tabs>
              <w:spacing w:line="240" w:lineRule="auto"/>
              <w:ind w:firstLine="0" w:firstLineChars="0"/>
              <w:jc w:val="center"/>
              <w:outlineLvl w:val="7"/>
              <w:rPr>
                <w:color w:val="auto"/>
                <w:kern w:val="0"/>
                <w:sz w:val="21"/>
                <w:szCs w:val="21"/>
              </w:rPr>
            </w:pPr>
            <w:r>
              <w:rPr>
                <w:rFonts w:hint="eastAsia"/>
                <w:color w:val="auto"/>
                <w:kern w:val="0"/>
                <w:sz w:val="21"/>
                <w:szCs w:val="21"/>
              </w:rPr>
              <w:t>超标倍数</w:t>
            </w:r>
          </w:p>
        </w:tc>
        <w:tc>
          <w:tcPr>
            <w:tcW w:w="1088" w:type="pct"/>
            <w:tcBorders>
              <w:top w:val="single" w:color="auto" w:sz="4" w:space="0"/>
              <w:left w:val="single" w:color="auto" w:sz="4" w:space="0"/>
              <w:bottom w:val="single" w:color="auto" w:sz="4" w:space="0"/>
              <w:right w:val="single" w:color="auto" w:sz="4" w:space="0"/>
            </w:tcBorders>
          </w:tcPr>
          <w:p w14:paraId="5F6019C6">
            <w:pPr>
              <w:widowControl/>
              <w:tabs>
                <w:tab w:val="left" w:pos="-280"/>
                <w:tab w:val="left" w:pos="4480"/>
              </w:tabs>
              <w:spacing w:line="240" w:lineRule="auto"/>
              <w:ind w:firstLine="0" w:firstLineChars="0"/>
              <w:jc w:val="center"/>
              <w:outlineLvl w:val="7"/>
              <w:rPr>
                <w:color w:val="auto"/>
                <w:kern w:val="0"/>
                <w:sz w:val="21"/>
                <w:szCs w:val="21"/>
              </w:rPr>
            </w:pPr>
            <w:r>
              <w:rPr>
                <w:rFonts w:hint="eastAsia"/>
                <w:color w:val="auto"/>
                <w:kern w:val="0"/>
                <w:sz w:val="21"/>
                <w:szCs w:val="21"/>
              </w:rPr>
              <w:t>背景值（</w:t>
            </w:r>
            <w:r>
              <w:rPr>
                <w:color w:val="auto"/>
                <w:kern w:val="0"/>
                <w:sz w:val="21"/>
                <w:szCs w:val="21"/>
              </w:rPr>
              <w:t>mg/L</w:t>
            </w:r>
            <w:r>
              <w:rPr>
                <w:rFonts w:hint="eastAsia"/>
                <w:color w:val="auto"/>
                <w:kern w:val="0"/>
                <w:sz w:val="21"/>
                <w:szCs w:val="21"/>
              </w:rPr>
              <w:t>）</w:t>
            </w:r>
          </w:p>
        </w:tc>
      </w:tr>
      <w:tr w14:paraId="2B0F3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778" w:type="pct"/>
            <w:tcBorders>
              <w:top w:val="single" w:color="auto" w:sz="4" w:space="0"/>
              <w:left w:val="single" w:color="auto" w:sz="4" w:space="0"/>
              <w:bottom w:val="single" w:color="auto" w:sz="4" w:space="0"/>
              <w:right w:val="single" w:color="auto" w:sz="4" w:space="0"/>
            </w:tcBorders>
            <w:vAlign w:val="center"/>
          </w:tcPr>
          <w:p w14:paraId="4A08F246">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COD</w:t>
            </w:r>
          </w:p>
        </w:tc>
        <w:tc>
          <w:tcPr>
            <w:tcW w:w="1113" w:type="pct"/>
            <w:tcBorders>
              <w:top w:val="single" w:color="auto" w:sz="4" w:space="0"/>
              <w:left w:val="single" w:color="auto" w:sz="4" w:space="0"/>
              <w:bottom w:val="single" w:color="auto" w:sz="4" w:space="0"/>
              <w:right w:val="single" w:color="auto" w:sz="4" w:space="0"/>
            </w:tcBorders>
            <w:vAlign w:val="center"/>
          </w:tcPr>
          <w:p w14:paraId="54434E15">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2700</w:t>
            </w:r>
          </w:p>
        </w:tc>
        <w:tc>
          <w:tcPr>
            <w:tcW w:w="933" w:type="pct"/>
            <w:tcBorders>
              <w:top w:val="single" w:color="auto" w:sz="4" w:space="0"/>
              <w:left w:val="single" w:color="auto" w:sz="4" w:space="0"/>
              <w:bottom w:val="single" w:color="auto" w:sz="4" w:space="0"/>
              <w:right w:val="single" w:color="auto" w:sz="4" w:space="0"/>
            </w:tcBorders>
            <w:vAlign w:val="center"/>
          </w:tcPr>
          <w:p w14:paraId="35174FA0">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3</w:t>
            </w:r>
          </w:p>
        </w:tc>
        <w:tc>
          <w:tcPr>
            <w:tcW w:w="1088" w:type="pct"/>
            <w:tcBorders>
              <w:top w:val="single" w:color="auto" w:sz="4" w:space="0"/>
              <w:left w:val="single" w:color="auto" w:sz="4" w:space="0"/>
              <w:bottom w:val="single" w:color="auto" w:sz="4" w:space="0"/>
              <w:right w:val="single" w:color="auto" w:sz="4" w:space="0"/>
            </w:tcBorders>
          </w:tcPr>
          <w:p w14:paraId="5A56785A">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900</w:t>
            </w:r>
          </w:p>
        </w:tc>
        <w:tc>
          <w:tcPr>
            <w:tcW w:w="1088" w:type="pct"/>
            <w:tcBorders>
              <w:top w:val="single" w:color="auto" w:sz="4" w:space="0"/>
              <w:left w:val="single" w:color="auto" w:sz="4" w:space="0"/>
              <w:bottom w:val="single" w:color="auto" w:sz="4" w:space="0"/>
              <w:right w:val="single" w:color="auto" w:sz="4" w:space="0"/>
            </w:tcBorders>
            <w:vAlign w:val="center"/>
          </w:tcPr>
          <w:p w14:paraId="4253FC9F">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0.82</w:t>
            </w:r>
          </w:p>
        </w:tc>
      </w:tr>
      <w:tr w14:paraId="44E2F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778" w:type="pct"/>
            <w:tcBorders>
              <w:top w:val="single" w:color="auto" w:sz="4" w:space="0"/>
              <w:left w:val="single" w:color="auto" w:sz="4" w:space="0"/>
              <w:bottom w:val="single" w:color="auto" w:sz="4" w:space="0"/>
              <w:right w:val="single" w:color="auto" w:sz="4" w:space="0"/>
            </w:tcBorders>
            <w:vAlign w:val="center"/>
          </w:tcPr>
          <w:p w14:paraId="01C2BEE4">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NH</w:t>
            </w:r>
            <w:r>
              <w:rPr>
                <w:color w:val="auto"/>
                <w:kern w:val="0"/>
                <w:sz w:val="21"/>
                <w:szCs w:val="21"/>
                <w:vertAlign w:val="subscript"/>
              </w:rPr>
              <w:t>3</w:t>
            </w:r>
            <w:r>
              <w:rPr>
                <w:color w:val="auto"/>
                <w:kern w:val="0"/>
                <w:sz w:val="21"/>
                <w:szCs w:val="21"/>
              </w:rPr>
              <w:t>-N</w:t>
            </w:r>
          </w:p>
        </w:tc>
        <w:tc>
          <w:tcPr>
            <w:tcW w:w="1113" w:type="pct"/>
            <w:tcBorders>
              <w:top w:val="single" w:color="auto" w:sz="4" w:space="0"/>
              <w:left w:val="single" w:color="auto" w:sz="4" w:space="0"/>
              <w:bottom w:val="single" w:color="auto" w:sz="4" w:space="0"/>
              <w:right w:val="single" w:color="auto" w:sz="4" w:space="0"/>
            </w:tcBorders>
            <w:vAlign w:val="center"/>
          </w:tcPr>
          <w:p w14:paraId="2721D266">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4</w:t>
            </w:r>
          </w:p>
        </w:tc>
        <w:tc>
          <w:tcPr>
            <w:tcW w:w="933" w:type="pct"/>
            <w:tcBorders>
              <w:top w:val="single" w:color="auto" w:sz="4" w:space="0"/>
              <w:left w:val="single" w:color="auto" w:sz="4" w:space="0"/>
              <w:bottom w:val="single" w:color="auto" w:sz="4" w:space="0"/>
              <w:right w:val="single" w:color="auto" w:sz="4" w:space="0"/>
            </w:tcBorders>
            <w:vAlign w:val="center"/>
          </w:tcPr>
          <w:p w14:paraId="579154EB">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0.5</w:t>
            </w:r>
          </w:p>
        </w:tc>
        <w:tc>
          <w:tcPr>
            <w:tcW w:w="1088" w:type="pct"/>
            <w:tcBorders>
              <w:top w:val="single" w:color="auto" w:sz="4" w:space="0"/>
              <w:left w:val="single" w:color="auto" w:sz="4" w:space="0"/>
              <w:bottom w:val="single" w:color="auto" w:sz="4" w:space="0"/>
              <w:right w:val="single" w:color="auto" w:sz="4" w:space="0"/>
            </w:tcBorders>
          </w:tcPr>
          <w:p w14:paraId="7D739F3F">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8</w:t>
            </w:r>
          </w:p>
        </w:tc>
        <w:tc>
          <w:tcPr>
            <w:tcW w:w="1088" w:type="pct"/>
            <w:tcBorders>
              <w:top w:val="single" w:color="auto" w:sz="4" w:space="0"/>
              <w:left w:val="single" w:color="auto" w:sz="4" w:space="0"/>
              <w:bottom w:val="single" w:color="auto" w:sz="4" w:space="0"/>
              <w:right w:val="single" w:color="auto" w:sz="4" w:space="0"/>
            </w:tcBorders>
            <w:vAlign w:val="center"/>
          </w:tcPr>
          <w:p w14:paraId="57B138F5">
            <w:pPr>
              <w:widowControl/>
              <w:tabs>
                <w:tab w:val="left" w:pos="-280"/>
                <w:tab w:val="left" w:pos="4480"/>
              </w:tabs>
              <w:spacing w:line="240" w:lineRule="auto"/>
              <w:ind w:firstLine="0" w:firstLineChars="0"/>
              <w:jc w:val="center"/>
              <w:outlineLvl w:val="7"/>
              <w:rPr>
                <w:color w:val="auto"/>
                <w:kern w:val="0"/>
                <w:sz w:val="21"/>
                <w:szCs w:val="21"/>
              </w:rPr>
            </w:pPr>
            <w:r>
              <w:rPr>
                <w:color w:val="auto"/>
                <w:kern w:val="0"/>
                <w:sz w:val="21"/>
                <w:szCs w:val="21"/>
              </w:rPr>
              <w:t>0.276</w:t>
            </w:r>
          </w:p>
        </w:tc>
      </w:tr>
    </w:tbl>
    <w:p w14:paraId="537550D3">
      <w:pPr>
        <w:pStyle w:val="4"/>
        <w:rPr>
          <w:color w:val="auto"/>
        </w:rPr>
      </w:pPr>
      <w:bookmarkStart w:id="492" w:name="_Toc225216802"/>
      <w:r>
        <w:rPr>
          <w:rFonts w:hint="eastAsia"/>
          <w:color w:val="auto"/>
        </w:rPr>
        <w:t>地下水预测结果</w:t>
      </w:r>
      <w:bookmarkEnd w:id="492"/>
    </w:p>
    <w:p w14:paraId="56AA953A">
      <w:pPr>
        <w:pStyle w:val="5"/>
        <w:rPr>
          <w:color w:val="auto"/>
        </w:rPr>
      </w:pPr>
      <w:r>
        <w:rPr>
          <w:rFonts w:hint="eastAsia"/>
          <w:color w:val="auto"/>
        </w:rPr>
        <w:t>预测结果</w:t>
      </w:r>
    </w:p>
    <w:p w14:paraId="3CBC6CCD">
      <w:pPr>
        <w:ind w:firstLine="480"/>
        <w:rPr>
          <w:rFonts w:cs="Times New Roman"/>
          <w:color w:val="auto"/>
          <w:szCs w:val="24"/>
        </w:rPr>
      </w:pPr>
      <w:r>
        <w:rPr>
          <w:rFonts w:hint="eastAsia" w:cs="Times New Roman"/>
          <w:color w:val="auto"/>
          <w:szCs w:val="24"/>
        </w:rPr>
        <w:t>（</w:t>
      </w:r>
      <w:r>
        <w:rPr>
          <w:rFonts w:cs="Times New Roman"/>
          <w:color w:val="auto"/>
          <w:szCs w:val="24"/>
        </w:rPr>
        <w:t>1）</w:t>
      </w:r>
      <w:r>
        <w:rPr>
          <w:rFonts w:hint="eastAsia" w:cs="Times New Roman"/>
          <w:color w:val="auto"/>
          <w:szCs w:val="24"/>
        </w:rPr>
        <w:t>C</w:t>
      </w:r>
      <w:r>
        <w:rPr>
          <w:rFonts w:cs="Times New Roman"/>
          <w:color w:val="auto"/>
          <w:szCs w:val="24"/>
        </w:rPr>
        <w:t>OD预测结果</w:t>
      </w:r>
    </w:p>
    <w:p w14:paraId="23A6D0F0">
      <w:pPr>
        <w:ind w:firstLine="480"/>
        <w:rPr>
          <w:rFonts w:cs="Times New Roman"/>
          <w:color w:val="auto"/>
          <w:szCs w:val="24"/>
        </w:rPr>
      </w:pPr>
      <w:r>
        <w:rPr>
          <w:rFonts w:hint="eastAsia" w:cs="Times New Roman"/>
          <w:color w:val="auto"/>
          <w:szCs w:val="24"/>
        </w:rPr>
        <w:t>①泄漏</w:t>
      </w:r>
      <w:r>
        <w:rPr>
          <w:rFonts w:cs="Times New Roman"/>
          <w:color w:val="auto"/>
          <w:szCs w:val="24"/>
        </w:rPr>
        <w:t>100天时预测结果</w:t>
      </w:r>
    </w:p>
    <w:p w14:paraId="51AA5736">
      <w:pPr>
        <w:ind w:firstLine="480"/>
        <w:rPr>
          <w:rFonts w:cs="Times New Roman"/>
          <w:color w:val="auto"/>
          <w:szCs w:val="24"/>
        </w:rPr>
      </w:pPr>
      <w:r>
        <w:rPr>
          <w:rFonts w:cs="Times New Roman"/>
          <w:color w:val="auto"/>
          <w:szCs w:val="24"/>
        </w:rPr>
        <w:t>污染物在泄</w:t>
      </w:r>
      <w:r>
        <w:rPr>
          <w:rFonts w:hint="eastAsia" w:cs="Times New Roman"/>
          <w:color w:val="auto"/>
          <w:szCs w:val="24"/>
        </w:rPr>
        <w:t>漏</w:t>
      </w:r>
      <w:r>
        <w:rPr>
          <w:rFonts w:cs="Times New Roman"/>
          <w:color w:val="auto"/>
          <w:szCs w:val="24"/>
        </w:rPr>
        <w:t>后主要以纵向弥散为主，污染羽将沿地下水流向往</w:t>
      </w:r>
      <w:r>
        <w:rPr>
          <w:rFonts w:hint="eastAsia" w:cs="Times New Roman"/>
          <w:color w:val="auto"/>
          <w:szCs w:val="24"/>
        </w:rPr>
        <w:t>南、南西</w:t>
      </w:r>
      <w:r>
        <w:rPr>
          <w:rFonts w:cs="Times New Roman"/>
          <w:color w:val="auto"/>
          <w:szCs w:val="24"/>
        </w:rPr>
        <w:t>径流。设置的泄漏点与</w:t>
      </w:r>
      <w:r>
        <w:rPr>
          <w:rFonts w:hint="eastAsia" w:cs="Times New Roman"/>
          <w:color w:val="auto"/>
          <w:szCs w:val="24"/>
        </w:rPr>
        <w:t>南</w:t>
      </w:r>
      <w:r>
        <w:rPr>
          <w:rFonts w:cs="Times New Roman"/>
          <w:color w:val="auto"/>
          <w:szCs w:val="24"/>
        </w:rPr>
        <w:t>侧厂界距离约为</w:t>
      </w:r>
      <w:r>
        <w:rPr>
          <w:rFonts w:hint="eastAsia" w:cs="Times New Roman"/>
          <w:color w:val="auto"/>
          <w:szCs w:val="24"/>
        </w:rPr>
        <w:t>230</w:t>
      </w:r>
      <w:r>
        <w:rPr>
          <w:rFonts w:cs="Times New Roman"/>
          <w:color w:val="auto"/>
          <w:szCs w:val="24"/>
        </w:rPr>
        <w:t>m。预测结果表明，</w:t>
      </w:r>
      <w:r>
        <w:rPr>
          <w:rFonts w:hint="eastAsia" w:cs="Times New Roman"/>
          <w:color w:val="auto"/>
          <w:szCs w:val="24"/>
        </w:rPr>
        <w:t>泄漏</w:t>
      </w:r>
      <w:r>
        <w:rPr>
          <w:rFonts w:cs="Times New Roman"/>
          <w:color w:val="auto"/>
          <w:szCs w:val="24"/>
        </w:rPr>
        <w:t>事故后第100天时</w:t>
      </w:r>
      <w:r>
        <w:rPr>
          <w:rFonts w:hint="eastAsia" w:cs="Times New Roman"/>
          <w:color w:val="auto"/>
          <w:szCs w:val="24"/>
        </w:rPr>
        <w:t>COD</w:t>
      </w:r>
      <w:r>
        <w:rPr>
          <w:rFonts w:cs="Times New Roman"/>
          <w:color w:val="auto"/>
          <w:szCs w:val="24"/>
        </w:rPr>
        <w:t>对下游方向场地造成超标的最远影响距离为</w:t>
      </w:r>
      <w:r>
        <w:rPr>
          <w:rFonts w:hint="eastAsia" w:cs="Times New Roman"/>
          <w:color w:val="auto"/>
          <w:szCs w:val="24"/>
        </w:rPr>
        <w:t>50</w:t>
      </w:r>
      <w:r>
        <w:rPr>
          <w:rFonts w:cs="Times New Roman"/>
          <w:color w:val="auto"/>
          <w:szCs w:val="24"/>
        </w:rPr>
        <w:t>m处，在此范围内超标污染羽的浓度值范围为</w:t>
      </w:r>
      <w:r>
        <w:rPr>
          <w:rFonts w:hint="eastAsia" w:cs="Times New Roman"/>
          <w:color w:val="auto"/>
          <w:szCs w:val="24"/>
        </w:rPr>
        <w:t>3</w:t>
      </w:r>
      <w:r>
        <w:rPr>
          <w:rFonts w:cs="Times New Roman"/>
          <w:color w:val="auto"/>
          <w:szCs w:val="24"/>
        </w:rPr>
        <w:t>mg/L~</w:t>
      </w:r>
      <w:r>
        <w:rPr>
          <w:rFonts w:hint="eastAsia" w:cs="Times New Roman"/>
          <w:color w:val="auto"/>
          <w:szCs w:val="24"/>
        </w:rPr>
        <w:t>2700.82</w:t>
      </w:r>
      <w:r>
        <w:rPr>
          <w:rFonts w:cs="Times New Roman"/>
          <w:color w:val="auto"/>
          <w:szCs w:val="24"/>
        </w:rPr>
        <w:t>mg/L，污染羽</w:t>
      </w:r>
      <w:r>
        <w:rPr>
          <w:rFonts w:hint="eastAsia" w:cs="Times New Roman"/>
          <w:color w:val="auto"/>
          <w:szCs w:val="24"/>
        </w:rPr>
        <w:t>未</w:t>
      </w:r>
      <w:r>
        <w:rPr>
          <w:rFonts w:cs="Times New Roman"/>
          <w:color w:val="auto"/>
          <w:szCs w:val="24"/>
        </w:rPr>
        <w:t>超出项目</w:t>
      </w:r>
      <w:r>
        <w:rPr>
          <w:rFonts w:hint="eastAsia" w:cs="Times New Roman"/>
          <w:color w:val="auto"/>
          <w:szCs w:val="24"/>
        </w:rPr>
        <w:t>厂界</w:t>
      </w:r>
      <w:r>
        <w:rPr>
          <w:rFonts w:cs="Times New Roman"/>
          <w:color w:val="auto"/>
          <w:szCs w:val="24"/>
        </w:rPr>
        <w:t>范围。</w:t>
      </w:r>
    </w:p>
    <w:p w14:paraId="0EE08C29">
      <w:pPr>
        <w:ind w:firstLine="480"/>
        <w:jc w:val="center"/>
        <w:rPr>
          <w:rFonts w:cs="Times New Roman"/>
          <w:color w:val="auto"/>
          <w:szCs w:val="24"/>
        </w:rPr>
      </w:pPr>
      <w:r>
        <w:rPr>
          <w:rFonts w:cs="Times New Roman"/>
          <w:color w:val="auto"/>
          <w:szCs w:val="24"/>
        </w:rPr>
        <w:drawing>
          <wp:inline distT="0" distB="0" distL="0" distR="0">
            <wp:extent cx="3778250" cy="2895600"/>
            <wp:effectExtent l="0" t="0" r="0" b="0"/>
            <wp:docPr id="1228341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341985" name="图片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3778250" cy="2895600"/>
                    </a:xfrm>
                    <a:prstGeom prst="rect">
                      <a:avLst/>
                    </a:prstGeom>
                    <a:noFill/>
                    <a:ln>
                      <a:noFill/>
                    </a:ln>
                  </pic:spPr>
                </pic:pic>
              </a:graphicData>
            </a:graphic>
          </wp:inline>
        </w:drawing>
      </w:r>
    </w:p>
    <w:p w14:paraId="576DB6B1">
      <w:pPr>
        <w:numPr>
          <w:ilvl w:val="6"/>
          <w:numId w:val="1"/>
        </w:numPr>
        <w:spacing w:line="240" w:lineRule="auto"/>
        <w:ind w:firstLineChars="0"/>
        <w:jc w:val="center"/>
        <w:outlineLvl w:val="6"/>
        <w:rPr>
          <w:rFonts w:eastAsiaTheme="minorEastAsia"/>
          <w:b/>
          <w:bCs/>
          <w:color w:val="auto"/>
          <w:sz w:val="21"/>
          <w:szCs w:val="24"/>
        </w:rPr>
      </w:pPr>
      <w:r>
        <w:rPr>
          <w:rFonts w:eastAsiaTheme="minorEastAsia"/>
          <w:b/>
          <w:bCs/>
          <w:color w:val="auto"/>
          <w:sz w:val="21"/>
          <w:szCs w:val="24"/>
        </w:rPr>
        <w:t>泄</w:t>
      </w:r>
      <w:r>
        <w:rPr>
          <w:rFonts w:hint="eastAsia" w:eastAsiaTheme="minorEastAsia"/>
          <w:b/>
          <w:bCs/>
          <w:color w:val="auto"/>
          <w:sz w:val="21"/>
          <w:szCs w:val="24"/>
        </w:rPr>
        <w:t>漏</w:t>
      </w:r>
      <w:r>
        <w:rPr>
          <w:rFonts w:eastAsiaTheme="minorEastAsia"/>
          <w:b/>
          <w:bCs/>
          <w:color w:val="auto"/>
          <w:sz w:val="21"/>
          <w:szCs w:val="24"/>
        </w:rPr>
        <w:t>事故后100天时COD在下游的迁移距离及浓度关系</w:t>
      </w:r>
    </w:p>
    <w:p w14:paraId="27068E2D">
      <w:pPr>
        <w:ind w:firstLine="480"/>
        <w:rPr>
          <w:rFonts w:cs="Times New Roman"/>
          <w:color w:val="auto"/>
          <w:szCs w:val="24"/>
        </w:rPr>
      </w:pPr>
      <w:r>
        <w:rPr>
          <w:rFonts w:hint="eastAsia" w:cs="Times New Roman"/>
          <w:color w:val="auto"/>
          <w:szCs w:val="24"/>
        </w:rPr>
        <w:t>②泄漏1000天时预测结果</w:t>
      </w:r>
    </w:p>
    <w:p w14:paraId="41892113">
      <w:pPr>
        <w:ind w:firstLine="480"/>
        <w:rPr>
          <w:rFonts w:cs="Times New Roman"/>
          <w:color w:val="auto"/>
          <w:szCs w:val="24"/>
        </w:rPr>
      </w:pPr>
      <w:r>
        <w:rPr>
          <w:rFonts w:cs="Times New Roman"/>
          <w:color w:val="auto"/>
          <w:szCs w:val="24"/>
        </w:rPr>
        <w:t>污染物在泄</w:t>
      </w:r>
      <w:r>
        <w:rPr>
          <w:rFonts w:hint="eastAsia" w:cs="Times New Roman"/>
          <w:color w:val="auto"/>
          <w:szCs w:val="24"/>
        </w:rPr>
        <w:t>漏</w:t>
      </w:r>
      <w:r>
        <w:rPr>
          <w:rFonts w:cs="Times New Roman"/>
          <w:color w:val="auto"/>
          <w:szCs w:val="24"/>
        </w:rPr>
        <w:t>后主要以纵向弥散为主，污染羽将沿地下水流向往</w:t>
      </w:r>
      <w:r>
        <w:rPr>
          <w:rFonts w:hint="eastAsia" w:cs="Times New Roman"/>
          <w:color w:val="auto"/>
          <w:szCs w:val="24"/>
        </w:rPr>
        <w:t>南、南西</w:t>
      </w:r>
      <w:r>
        <w:rPr>
          <w:rFonts w:cs="Times New Roman"/>
          <w:color w:val="auto"/>
          <w:szCs w:val="24"/>
        </w:rPr>
        <w:t>径流。设置的泄漏点与</w:t>
      </w:r>
      <w:r>
        <w:rPr>
          <w:rFonts w:hint="eastAsia" w:cs="Times New Roman"/>
          <w:color w:val="auto"/>
          <w:szCs w:val="24"/>
        </w:rPr>
        <w:t>南</w:t>
      </w:r>
      <w:r>
        <w:rPr>
          <w:rFonts w:cs="Times New Roman"/>
          <w:color w:val="auto"/>
          <w:szCs w:val="24"/>
        </w:rPr>
        <w:t>侧厂界距离约为</w:t>
      </w:r>
      <w:r>
        <w:rPr>
          <w:rFonts w:hint="eastAsia" w:cs="Times New Roman"/>
          <w:color w:val="auto"/>
          <w:szCs w:val="24"/>
        </w:rPr>
        <w:t>230</w:t>
      </w:r>
      <w:r>
        <w:rPr>
          <w:rFonts w:cs="Times New Roman"/>
          <w:color w:val="auto"/>
          <w:szCs w:val="24"/>
        </w:rPr>
        <w:t>m。预测结果表明，</w:t>
      </w:r>
      <w:r>
        <w:rPr>
          <w:rFonts w:hint="eastAsia" w:cs="Times New Roman"/>
          <w:color w:val="auto"/>
          <w:szCs w:val="24"/>
        </w:rPr>
        <w:t>泄漏</w:t>
      </w:r>
      <w:r>
        <w:rPr>
          <w:rFonts w:cs="Times New Roman"/>
          <w:color w:val="auto"/>
          <w:szCs w:val="24"/>
        </w:rPr>
        <w:t>事故后第100</w:t>
      </w:r>
      <w:r>
        <w:rPr>
          <w:rFonts w:hint="eastAsia" w:cs="Times New Roman"/>
          <w:color w:val="auto"/>
          <w:szCs w:val="24"/>
        </w:rPr>
        <w:t>0</w:t>
      </w:r>
      <w:r>
        <w:rPr>
          <w:rFonts w:cs="Times New Roman"/>
          <w:color w:val="auto"/>
          <w:szCs w:val="24"/>
        </w:rPr>
        <w:t>天时</w:t>
      </w:r>
      <w:r>
        <w:rPr>
          <w:rFonts w:hint="eastAsia" w:cs="Times New Roman"/>
          <w:color w:val="auto"/>
          <w:szCs w:val="24"/>
        </w:rPr>
        <w:t>COD</w:t>
      </w:r>
      <w:r>
        <w:rPr>
          <w:rFonts w:cs="Times New Roman"/>
          <w:color w:val="auto"/>
          <w:szCs w:val="24"/>
        </w:rPr>
        <w:t>对下游方向场地造成超标的最远影响距离为</w:t>
      </w:r>
      <w:r>
        <w:rPr>
          <w:rFonts w:hint="eastAsia" w:cs="Times New Roman"/>
          <w:color w:val="auto"/>
          <w:szCs w:val="24"/>
        </w:rPr>
        <w:t>179</w:t>
      </w:r>
      <w:r>
        <w:rPr>
          <w:rFonts w:cs="Times New Roman"/>
          <w:color w:val="auto"/>
          <w:szCs w:val="24"/>
        </w:rPr>
        <w:t>m处，在此范围内超标污染羽的浓度值范围为</w:t>
      </w:r>
      <w:r>
        <w:rPr>
          <w:rFonts w:hint="eastAsia" w:cs="Times New Roman"/>
          <w:color w:val="auto"/>
          <w:szCs w:val="24"/>
        </w:rPr>
        <w:t>3</w:t>
      </w:r>
      <w:r>
        <w:rPr>
          <w:rFonts w:cs="Times New Roman"/>
          <w:color w:val="auto"/>
          <w:szCs w:val="24"/>
        </w:rPr>
        <w:t>mg/L~2700.82mg/L，污染羽</w:t>
      </w:r>
      <w:r>
        <w:rPr>
          <w:rFonts w:hint="eastAsia" w:cs="Times New Roman"/>
          <w:color w:val="auto"/>
          <w:szCs w:val="24"/>
        </w:rPr>
        <w:t>未</w:t>
      </w:r>
      <w:r>
        <w:rPr>
          <w:rFonts w:cs="Times New Roman"/>
          <w:color w:val="auto"/>
          <w:szCs w:val="24"/>
        </w:rPr>
        <w:t>超出项目</w:t>
      </w:r>
      <w:r>
        <w:rPr>
          <w:rFonts w:hint="eastAsia" w:cs="Times New Roman"/>
          <w:color w:val="auto"/>
          <w:szCs w:val="24"/>
        </w:rPr>
        <w:t>厂界</w:t>
      </w:r>
      <w:r>
        <w:rPr>
          <w:rFonts w:cs="Times New Roman"/>
          <w:color w:val="auto"/>
          <w:szCs w:val="24"/>
        </w:rPr>
        <w:t>范围。</w:t>
      </w:r>
    </w:p>
    <w:p w14:paraId="44C6AFBE">
      <w:pPr>
        <w:ind w:firstLine="480"/>
        <w:jc w:val="center"/>
        <w:rPr>
          <w:rFonts w:cs="Times New Roman"/>
          <w:color w:val="auto"/>
          <w:szCs w:val="24"/>
        </w:rPr>
      </w:pPr>
      <w:r>
        <w:rPr>
          <w:rFonts w:cs="Times New Roman"/>
          <w:color w:val="auto"/>
          <w:szCs w:val="24"/>
        </w:rPr>
        <w:drawing>
          <wp:inline distT="0" distB="0" distL="0" distR="0">
            <wp:extent cx="3778250" cy="2895600"/>
            <wp:effectExtent l="0" t="0" r="0" b="0"/>
            <wp:docPr id="19162734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73421" name="图片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3778250" cy="2895600"/>
                    </a:xfrm>
                    <a:prstGeom prst="rect">
                      <a:avLst/>
                    </a:prstGeom>
                    <a:noFill/>
                    <a:ln>
                      <a:noFill/>
                    </a:ln>
                  </pic:spPr>
                </pic:pic>
              </a:graphicData>
            </a:graphic>
          </wp:inline>
        </w:drawing>
      </w:r>
    </w:p>
    <w:p w14:paraId="1550DDB3">
      <w:pPr>
        <w:numPr>
          <w:ilvl w:val="6"/>
          <w:numId w:val="1"/>
        </w:numPr>
        <w:spacing w:line="240" w:lineRule="auto"/>
        <w:ind w:firstLineChars="0"/>
        <w:jc w:val="center"/>
        <w:outlineLvl w:val="6"/>
        <w:rPr>
          <w:rFonts w:eastAsiaTheme="minorEastAsia"/>
          <w:b/>
          <w:bCs/>
          <w:color w:val="auto"/>
          <w:sz w:val="21"/>
          <w:szCs w:val="24"/>
        </w:rPr>
      </w:pPr>
      <w:r>
        <w:rPr>
          <w:rFonts w:eastAsiaTheme="minorEastAsia"/>
          <w:b/>
          <w:bCs/>
          <w:color w:val="auto"/>
          <w:sz w:val="21"/>
          <w:szCs w:val="24"/>
        </w:rPr>
        <w:t>泄</w:t>
      </w:r>
      <w:r>
        <w:rPr>
          <w:rFonts w:hint="eastAsia" w:eastAsiaTheme="minorEastAsia"/>
          <w:b/>
          <w:bCs/>
          <w:color w:val="auto"/>
          <w:sz w:val="21"/>
          <w:szCs w:val="24"/>
        </w:rPr>
        <w:t>漏</w:t>
      </w:r>
      <w:r>
        <w:rPr>
          <w:rFonts w:eastAsiaTheme="minorEastAsia"/>
          <w:b/>
          <w:bCs/>
          <w:color w:val="auto"/>
          <w:sz w:val="21"/>
          <w:szCs w:val="24"/>
        </w:rPr>
        <w:t>事故后10</w:t>
      </w:r>
      <w:r>
        <w:rPr>
          <w:rFonts w:hint="eastAsia" w:eastAsiaTheme="minorEastAsia"/>
          <w:b/>
          <w:bCs/>
          <w:color w:val="auto"/>
          <w:sz w:val="21"/>
          <w:szCs w:val="24"/>
        </w:rPr>
        <w:t>0</w:t>
      </w:r>
      <w:r>
        <w:rPr>
          <w:rFonts w:eastAsiaTheme="minorEastAsia"/>
          <w:b/>
          <w:bCs/>
          <w:color w:val="auto"/>
          <w:sz w:val="21"/>
          <w:szCs w:val="24"/>
        </w:rPr>
        <w:t>0天时COD在下游的迁移距离及浓度关系</w:t>
      </w:r>
    </w:p>
    <w:p w14:paraId="5A55CF0D">
      <w:pPr>
        <w:ind w:firstLine="480"/>
        <w:rPr>
          <w:rFonts w:cs="Times New Roman"/>
          <w:color w:val="auto"/>
          <w:szCs w:val="24"/>
        </w:rPr>
      </w:pPr>
      <w:r>
        <w:rPr>
          <w:rFonts w:hint="eastAsia" w:cs="Times New Roman"/>
          <w:color w:val="auto"/>
          <w:szCs w:val="24"/>
        </w:rPr>
        <w:t>（2</w:t>
      </w:r>
      <w:r>
        <w:rPr>
          <w:rFonts w:cs="Times New Roman"/>
          <w:color w:val="auto"/>
          <w:szCs w:val="24"/>
        </w:rPr>
        <w:t>）</w:t>
      </w:r>
      <w:r>
        <w:rPr>
          <w:rFonts w:hint="eastAsia" w:cs="Times New Roman"/>
          <w:color w:val="auto"/>
          <w:szCs w:val="24"/>
        </w:rPr>
        <w:t>NH</w:t>
      </w:r>
      <w:r>
        <w:rPr>
          <w:rFonts w:hint="eastAsia" w:cs="Times New Roman"/>
          <w:color w:val="auto"/>
          <w:szCs w:val="24"/>
          <w:vertAlign w:val="subscript"/>
        </w:rPr>
        <w:t>3</w:t>
      </w:r>
      <w:r>
        <w:rPr>
          <w:rFonts w:hint="eastAsia" w:cs="Times New Roman"/>
          <w:color w:val="auto"/>
          <w:szCs w:val="24"/>
        </w:rPr>
        <w:t>-N</w:t>
      </w:r>
      <w:r>
        <w:rPr>
          <w:rFonts w:cs="Times New Roman"/>
          <w:color w:val="auto"/>
          <w:szCs w:val="24"/>
        </w:rPr>
        <w:t>预测结果</w:t>
      </w:r>
    </w:p>
    <w:p w14:paraId="28F51A50">
      <w:pPr>
        <w:ind w:firstLine="480"/>
        <w:rPr>
          <w:rFonts w:cs="Times New Roman"/>
          <w:color w:val="auto"/>
          <w:szCs w:val="24"/>
        </w:rPr>
      </w:pPr>
      <w:r>
        <w:rPr>
          <w:rFonts w:hint="eastAsia" w:cs="Times New Roman"/>
          <w:color w:val="auto"/>
          <w:szCs w:val="24"/>
        </w:rPr>
        <w:t>①泄漏</w:t>
      </w:r>
      <w:r>
        <w:rPr>
          <w:rFonts w:cs="Times New Roman"/>
          <w:color w:val="auto"/>
          <w:szCs w:val="24"/>
        </w:rPr>
        <w:t>100天时预测结果</w:t>
      </w:r>
    </w:p>
    <w:p w14:paraId="5DFF3AD0">
      <w:pPr>
        <w:ind w:firstLine="480"/>
        <w:rPr>
          <w:rFonts w:cs="Times New Roman"/>
          <w:color w:val="auto"/>
          <w:szCs w:val="24"/>
        </w:rPr>
      </w:pPr>
      <w:r>
        <w:rPr>
          <w:rFonts w:cs="Times New Roman"/>
          <w:color w:val="auto"/>
          <w:szCs w:val="24"/>
        </w:rPr>
        <w:t>污染物在泄</w:t>
      </w:r>
      <w:r>
        <w:rPr>
          <w:rFonts w:hint="eastAsia" w:cs="Times New Roman"/>
          <w:color w:val="auto"/>
          <w:szCs w:val="24"/>
        </w:rPr>
        <w:t>漏</w:t>
      </w:r>
      <w:r>
        <w:rPr>
          <w:rFonts w:cs="Times New Roman"/>
          <w:color w:val="auto"/>
          <w:szCs w:val="24"/>
        </w:rPr>
        <w:t>后主要以纵向弥散为主，污染羽将沿地下水流向往</w:t>
      </w:r>
      <w:r>
        <w:rPr>
          <w:rFonts w:hint="eastAsia" w:cs="Times New Roman"/>
          <w:color w:val="auto"/>
          <w:szCs w:val="24"/>
        </w:rPr>
        <w:t>南、南西</w:t>
      </w:r>
      <w:r>
        <w:rPr>
          <w:rFonts w:cs="Times New Roman"/>
          <w:color w:val="auto"/>
          <w:szCs w:val="24"/>
        </w:rPr>
        <w:t>径流。设置的泄漏点与</w:t>
      </w:r>
      <w:r>
        <w:rPr>
          <w:rFonts w:hint="eastAsia" w:cs="Times New Roman"/>
          <w:color w:val="auto"/>
          <w:szCs w:val="24"/>
        </w:rPr>
        <w:t>南</w:t>
      </w:r>
      <w:r>
        <w:rPr>
          <w:rFonts w:cs="Times New Roman"/>
          <w:color w:val="auto"/>
          <w:szCs w:val="24"/>
        </w:rPr>
        <w:t>侧厂界距离约为</w:t>
      </w:r>
      <w:r>
        <w:rPr>
          <w:rFonts w:hint="eastAsia" w:cs="Times New Roman"/>
          <w:color w:val="auto"/>
          <w:szCs w:val="24"/>
        </w:rPr>
        <w:t>230</w:t>
      </w:r>
      <w:r>
        <w:rPr>
          <w:rFonts w:cs="Times New Roman"/>
          <w:color w:val="auto"/>
          <w:szCs w:val="24"/>
        </w:rPr>
        <w:t>m。预测结果表明，</w:t>
      </w:r>
      <w:r>
        <w:rPr>
          <w:rFonts w:hint="eastAsia" w:cs="Times New Roman"/>
          <w:color w:val="auto"/>
          <w:szCs w:val="24"/>
        </w:rPr>
        <w:t>泄漏</w:t>
      </w:r>
      <w:r>
        <w:rPr>
          <w:rFonts w:cs="Times New Roman"/>
          <w:color w:val="auto"/>
          <w:szCs w:val="24"/>
        </w:rPr>
        <w:t>事故后第100天时</w:t>
      </w:r>
      <w:r>
        <w:rPr>
          <w:rFonts w:hint="eastAsia" w:cs="Times New Roman"/>
          <w:color w:val="auto"/>
          <w:szCs w:val="24"/>
        </w:rPr>
        <w:t>NH</w:t>
      </w:r>
      <w:r>
        <w:rPr>
          <w:rFonts w:hint="eastAsia" w:cs="Times New Roman"/>
          <w:color w:val="auto"/>
          <w:szCs w:val="24"/>
          <w:vertAlign w:val="subscript"/>
        </w:rPr>
        <w:t>3</w:t>
      </w:r>
      <w:r>
        <w:rPr>
          <w:rFonts w:hint="eastAsia" w:cs="Times New Roman"/>
          <w:color w:val="auto"/>
          <w:szCs w:val="24"/>
        </w:rPr>
        <w:t>-N</w:t>
      </w:r>
      <w:r>
        <w:rPr>
          <w:rFonts w:cs="Times New Roman"/>
          <w:color w:val="auto"/>
          <w:szCs w:val="24"/>
        </w:rPr>
        <w:t>对下游方向场地造成超标的最远影响距离为</w:t>
      </w:r>
      <w:r>
        <w:rPr>
          <w:rFonts w:hint="eastAsia" w:cs="Times New Roman"/>
          <w:color w:val="auto"/>
          <w:szCs w:val="24"/>
        </w:rPr>
        <w:t>29</w:t>
      </w:r>
      <w:r>
        <w:rPr>
          <w:rFonts w:cs="Times New Roman"/>
          <w:color w:val="auto"/>
          <w:szCs w:val="24"/>
        </w:rPr>
        <w:t>m处，在此范围内超标污染羽的浓度值范围为</w:t>
      </w:r>
      <w:r>
        <w:rPr>
          <w:rFonts w:hint="eastAsia" w:cs="Times New Roman"/>
          <w:color w:val="auto"/>
          <w:szCs w:val="24"/>
        </w:rPr>
        <w:t>0.5</w:t>
      </w:r>
      <w:r>
        <w:rPr>
          <w:rFonts w:cs="Times New Roman"/>
          <w:color w:val="auto"/>
          <w:szCs w:val="24"/>
        </w:rPr>
        <w:t xml:space="preserve">mg/L~ </w:t>
      </w:r>
      <w:r>
        <w:rPr>
          <w:rFonts w:hint="eastAsia" w:cs="Times New Roman"/>
          <w:color w:val="auto"/>
          <w:szCs w:val="24"/>
        </w:rPr>
        <w:t>4.276</w:t>
      </w:r>
      <w:r>
        <w:rPr>
          <w:rFonts w:cs="Times New Roman"/>
          <w:color w:val="auto"/>
          <w:szCs w:val="24"/>
        </w:rPr>
        <w:t>mg/L，污染羽</w:t>
      </w:r>
      <w:r>
        <w:rPr>
          <w:rFonts w:hint="eastAsia" w:cs="Times New Roman"/>
          <w:color w:val="auto"/>
          <w:szCs w:val="24"/>
        </w:rPr>
        <w:t>未</w:t>
      </w:r>
      <w:r>
        <w:rPr>
          <w:rFonts w:cs="Times New Roman"/>
          <w:color w:val="auto"/>
          <w:szCs w:val="24"/>
        </w:rPr>
        <w:t>超出项目</w:t>
      </w:r>
      <w:r>
        <w:rPr>
          <w:rFonts w:hint="eastAsia" w:cs="Times New Roman"/>
          <w:color w:val="auto"/>
          <w:szCs w:val="24"/>
        </w:rPr>
        <w:t>厂界</w:t>
      </w:r>
      <w:r>
        <w:rPr>
          <w:rFonts w:cs="Times New Roman"/>
          <w:color w:val="auto"/>
          <w:szCs w:val="24"/>
        </w:rPr>
        <w:t>范围。</w:t>
      </w:r>
    </w:p>
    <w:p w14:paraId="23802FE8">
      <w:pPr>
        <w:ind w:firstLine="480"/>
        <w:jc w:val="center"/>
        <w:rPr>
          <w:rFonts w:cs="Times New Roman"/>
          <w:color w:val="auto"/>
          <w:szCs w:val="24"/>
        </w:rPr>
      </w:pPr>
      <w:r>
        <w:rPr>
          <w:rFonts w:cs="Times New Roman"/>
          <w:color w:val="auto"/>
          <w:szCs w:val="24"/>
        </w:rPr>
        <w:drawing>
          <wp:inline distT="0" distB="0" distL="0" distR="0">
            <wp:extent cx="3778250" cy="2895600"/>
            <wp:effectExtent l="0" t="0" r="0" b="0"/>
            <wp:docPr id="16866172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17202" name="图片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3778250" cy="2895600"/>
                    </a:xfrm>
                    <a:prstGeom prst="rect">
                      <a:avLst/>
                    </a:prstGeom>
                    <a:noFill/>
                    <a:ln>
                      <a:noFill/>
                    </a:ln>
                  </pic:spPr>
                </pic:pic>
              </a:graphicData>
            </a:graphic>
          </wp:inline>
        </w:drawing>
      </w:r>
    </w:p>
    <w:p w14:paraId="07BA91CE">
      <w:pPr>
        <w:numPr>
          <w:ilvl w:val="6"/>
          <w:numId w:val="1"/>
        </w:numPr>
        <w:spacing w:line="240" w:lineRule="auto"/>
        <w:ind w:firstLineChars="0"/>
        <w:jc w:val="center"/>
        <w:outlineLvl w:val="6"/>
        <w:rPr>
          <w:rFonts w:eastAsiaTheme="minorEastAsia"/>
          <w:b/>
          <w:bCs/>
          <w:color w:val="auto"/>
          <w:sz w:val="21"/>
          <w:szCs w:val="24"/>
        </w:rPr>
      </w:pPr>
      <w:r>
        <w:rPr>
          <w:rFonts w:eastAsiaTheme="minorEastAsia"/>
          <w:b/>
          <w:bCs/>
          <w:color w:val="auto"/>
          <w:sz w:val="21"/>
          <w:szCs w:val="24"/>
        </w:rPr>
        <w:t>泄</w:t>
      </w:r>
      <w:r>
        <w:rPr>
          <w:rFonts w:hint="eastAsia" w:eastAsiaTheme="minorEastAsia"/>
          <w:b/>
          <w:bCs/>
          <w:color w:val="auto"/>
          <w:sz w:val="21"/>
          <w:szCs w:val="24"/>
        </w:rPr>
        <w:t>漏</w:t>
      </w:r>
      <w:r>
        <w:rPr>
          <w:rFonts w:eastAsiaTheme="minorEastAsia"/>
          <w:b/>
          <w:bCs/>
          <w:color w:val="auto"/>
          <w:sz w:val="21"/>
          <w:szCs w:val="24"/>
        </w:rPr>
        <w:t>事故后100天时</w:t>
      </w:r>
      <w:r>
        <w:rPr>
          <w:rFonts w:hint="eastAsia" w:cs="Times New Roman" w:eastAsiaTheme="minorEastAsia"/>
          <w:b/>
          <w:bCs/>
          <w:color w:val="auto"/>
          <w:sz w:val="21"/>
          <w:szCs w:val="24"/>
        </w:rPr>
        <w:t>NH</w:t>
      </w:r>
      <w:r>
        <w:rPr>
          <w:rFonts w:hint="eastAsia" w:cs="Times New Roman" w:eastAsiaTheme="minorEastAsia"/>
          <w:b/>
          <w:bCs/>
          <w:color w:val="auto"/>
          <w:sz w:val="21"/>
          <w:szCs w:val="24"/>
          <w:vertAlign w:val="subscript"/>
        </w:rPr>
        <w:t>3</w:t>
      </w:r>
      <w:r>
        <w:rPr>
          <w:rFonts w:hint="eastAsia" w:cs="Times New Roman" w:eastAsiaTheme="minorEastAsia"/>
          <w:b/>
          <w:bCs/>
          <w:color w:val="auto"/>
          <w:sz w:val="21"/>
          <w:szCs w:val="24"/>
        </w:rPr>
        <w:t>-N</w:t>
      </w:r>
      <w:r>
        <w:rPr>
          <w:rFonts w:eastAsiaTheme="minorEastAsia"/>
          <w:b/>
          <w:bCs/>
          <w:color w:val="auto"/>
          <w:sz w:val="21"/>
          <w:szCs w:val="24"/>
        </w:rPr>
        <w:t>在下游的迁移距离及浓度关系</w:t>
      </w:r>
    </w:p>
    <w:p w14:paraId="1B7839FF">
      <w:pPr>
        <w:ind w:firstLine="480"/>
        <w:rPr>
          <w:rFonts w:cs="Times New Roman"/>
          <w:color w:val="auto"/>
          <w:szCs w:val="24"/>
        </w:rPr>
      </w:pPr>
      <w:r>
        <w:rPr>
          <w:rFonts w:hint="eastAsia" w:cs="Times New Roman"/>
          <w:color w:val="auto"/>
          <w:szCs w:val="24"/>
        </w:rPr>
        <w:t>②泄漏1000天时预测结果</w:t>
      </w:r>
    </w:p>
    <w:p w14:paraId="6E559AEA">
      <w:pPr>
        <w:ind w:firstLine="480"/>
        <w:rPr>
          <w:rFonts w:cs="Times New Roman"/>
          <w:color w:val="auto"/>
          <w:szCs w:val="24"/>
        </w:rPr>
      </w:pPr>
      <w:r>
        <w:rPr>
          <w:rFonts w:cs="Times New Roman"/>
          <w:color w:val="auto"/>
          <w:szCs w:val="24"/>
        </w:rPr>
        <w:t>污染物在泄</w:t>
      </w:r>
      <w:r>
        <w:rPr>
          <w:rFonts w:hint="eastAsia" w:cs="Times New Roman"/>
          <w:color w:val="auto"/>
          <w:szCs w:val="24"/>
        </w:rPr>
        <w:t>漏</w:t>
      </w:r>
      <w:r>
        <w:rPr>
          <w:rFonts w:cs="Times New Roman"/>
          <w:color w:val="auto"/>
          <w:szCs w:val="24"/>
        </w:rPr>
        <w:t>后主要以纵向弥散为主，污染羽将沿地下水流向往</w:t>
      </w:r>
      <w:r>
        <w:rPr>
          <w:rFonts w:hint="eastAsia" w:cs="Times New Roman"/>
          <w:color w:val="auto"/>
          <w:szCs w:val="24"/>
        </w:rPr>
        <w:t>南、南西</w:t>
      </w:r>
      <w:r>
        <w:rPr>
          <w:rFonts w:cs="Times New Roman"/>
          <w:color w:val="auto"/>
          <w:szCs w:val="24"/>
        </w:rPr>
        <w:t>径流。设置的泄漏点与</w:t>
      </w:r>
      <w:r>
        <w:rPr>
          <w:rFonts w:hint="eastAsia" w:cs="Times New Roman"/>
          <w:color w:val="auto"/>
          <w:szCs w:val="24"/>
        </w:rPr>
        <w:t>南</w:t>
      </w:r>
      <w:r>
        <w:rPr>
          <w:rFonts w:cs="Times New Roman"/>
          <w:color w:val="auto"/>
          <w:szCs w:val="24"/>
        </w:rPr>
        <w:t>侧厂界距离约为</w:t>
      </w:r>
      <w:r>
        <w:rPr>
          <w:rFonts w:hint="eastAsia" w:cs="Times New Roman"/>
          <w:color w:val="auto"/>
          <w:szCs w:val="24"/>
        </w:rPr>
        <w:t>230</w:t>
      </w:r>
      <w:r>
        <w:rPr>
          <w:rFonts w:cs="Times New Roman"/>
          <w:color w:val="auto"/>
          <w:szCs w:val="24"/>
        </w:rPr>
        <w:t>m。预测结果表明，</w:t>
      </w:r>
      <w:r>
        <w:rPr>
          <w:rFonts w:hint="eastAsia" w:cs="Times New Roman"/>
          <w:color w:val="auto"/>
          <w:szCs w:val="24"/>
        </w:rPr>
        <w:t>泄漏</w:t>
      </w:r>
      <w:r>
        <w:rPr>
          <w:rFonts w:cs="Times New Roman"/>
          <w:color w:val="auto"/>
          <w:szCs w:val="24"/>
        </w:rPr>
        <w:t>事故后第10</w:t>
      </w:r>
      <w:r>
        <w:rPr>
          <w:rFonts w:hint="eastAsia" w:cs="Times New Roman"/>
          <w:color w:val="auto"/>
          <w:szCs w:val="24"/>
        </w:rPr>
        <w:t>0</w:t>
      </w:r>
      <w:r>
        <w:rPr>
          <w:rFonts w:cs="Times New Roman"/>
          <w:color w:val="auto"/>
          <w:szCs w:val="24"/>
        </w:rPr>
        <w:t>0天时</w:t>
      </w:r>
      <w:r>
        <w:rPr>
          <w:rFonts w:hint="eastAsia" w:cs="Times New Roman"/>
          <w:color w:val="auto"/>
          <w:szCs w:val="24"/>
        </w:rPr>
        <w:t>NH</w:t>
      </w:r>
      <w:r>
        <w:rPr>
          <w:rFonts w:hint="eastAsia" w:cs="Times New Roman"/>
          <w:color w:val="auto"/>
          <w:szCs w:val="24"/>
          <w:vertAlign w:val="subscript"/>
        </w:rPr>
        <w:t>3</w:t>
      </w:r>
      <w:r>
        <w:rPr>
          <w:rFonts w:hint="eastAsia" w:cs="Times New Roman"/>
          <w:color w:val="auto"/>
          <w:szCs w:val="24"/>
        </w:rPr>
        <w:t>-N</w:t>
      </w:r>
      <w:r>
        <w:rPr>
          <w:rFonts w:cs="Times New Roman"/>
          <w:color w:val="auto"/>
          <w:szCs w:val="24"/>
        </w:rPr>
        <w:t>对下游方向场地造成超标的最远影响距离为</w:t>
      </w:r>
      <w:r>
        <w:rPr>
          <w:rFonts w:hint="eastAsia" w:cs="Times New Roman"/>
          <w:color w:val="auto"/>
          <w:szCs w:val="24"/>
        </w:rPr>
        <w:t>112</w:t>
      </w:r>
      <w:r>
        <w:rPr>
          <w:rFonts w:cs="Times New Roman"/>
          <w:color w:val="auto"/>
          <w:szCs w:val="24"/>
        </w:rPr>
        <w:t>m处，在此范围内超标污染羽的浓度值范围为</w:t>
      </w:r>
      <w:r>
        <w:rPr>
          <w:rFonts w:hint="eastAsia" w:cs="Times New Roman"/>
          <w:color w:val="auto"/>
          <w:szCs w:val="24"/>
        </w:rPr>
        <w:t>0.5</w:t>
      </w:r>
      <w:r>
        <w:rPr>
          <w:rFonts w:cs="Times New Roman"/>
          <w:color w:val="auto"/>
          <w:szCs w:val="24"/>
        </w:rPr>
        <w:t>mg/L~4.276mg/L，污染羽</w:t>
      </w:r>
      <w:r>
        <w:rPr>
          <w:rFonts w:hint="eastAsia" w:cs="Times New Roman"/>
          <w:color w:val="auto"/>
          <w:szCs w:val="24"/>
        </w:rPr>
        <w:t>未</w:t>
      </w:r>
      <w:r>
        <w:rPr>
          <w:rFonts w:cs="Times New Roman"/>
          <w:color w:val="auto"/>
          <w:szCs w:val="24"/>
        </w:rPr>
        <w:t>超出项目</w:t>
      </w:r>
      <w:r>
        <w:rPr>
          <w:rFonts w:hint="eastAsia" w:cs="Times New Roman"/>
          <w:color w:val="auto"/>
          <w:szCs w:val="24"/>
        </w:rPr>
        <w:t>厂界</w:t>
      </w:r>
      <w:r>
        <w:rPr>
          <w:rFonts w:cs="Times New Roman"/>
          <w:color w:val="auto"/>
          <w:szCs w:val="24"/>
        </w:rPr>
        <w:t>范围。</w:t>
      </w:r>
    </w:p>
    <w:p w14:paraId="6524F473">
      <w:pPr>
        <w:ind w:firstLine="480"/>
        <w:jc w:val="center"/>
        <w:rPr>
          <w:rFonts w:cs="Times New Roman"/>
          <w:color w:val="auto"/>
          <w:szCs w:val="24"/>
        </w:rPr>
      </w:pPr>
      <w:r>
        <w:rPr>
          <w:rFonts w:cs="Times New Roman"/>
          <w:color w:val="auto"/>
          <w:szCs w:val="24"/>
        </w:rPr>
        <w:drawing>
          <wp:inline distT="0" distB="0" distL="0" distR="0">
            <wp:extent cx="3778250" cy="2895600"/>
            <wp:effectExtent l="0" t="0" r="0" b="0"/>
            <wp:docPr id="13708525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852523" name="图片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3778250" cy="2895600"/>
                    </a:xfrm>
                    <a:prstGeom prst="rect">
                      <a:avLst/>
                    </a:prstGeom>
                    <a:noFill/>
                    <a:ln>
                      <a:noFill/>
                    </a:ln>
                  </pic:spPr>
                </pic:pic>
              </a:graphicData>
            </a:graphic>
          </wp:inline>
        </w:drawing>
      </w:r>
    </w:p>
    <w:p w14:paraId="55C2B9EA">
      <w:pPr>
        <w:numPr>
          <w:ilvl w:val="6"/>
          <w:numId w:val="1"/>
        </w:numPr>
        <w:spacing w:line="240" w:lineRule="auto"/>
        <w:ind w:firstLineChars="0"/>
        <w:jc w:val="center"/>
        <w:outlineLvl w:val="6"/>
        <w:rPr>
          <w:rFonts w:eastAsiaTheme="minorEastAsia"/>
          <w:b/>
          <w:bCs/>
          <w:color w:val="auto"/>
          <w:sz w:val="21"/>
          <w:szCs w:val="24"/>
        </w:rPr>
      </w:pPr>
      <w:r>
        <w:rPr>
          <w:rFonts w:eastAsiaTheme="minorEastAsia"/>
          <w:b/>
          <w:bCs/>
          <w:color w:val="auto"/>
          <w:sz w:val="21"/>
          <w:szCs w:val="24"/>
        </w:rPr>
        <w:t>泄</w:t>
      </w:r>
      <w:r>
        <w:rPr>
          <w:rFonts w:hint="eastAsia" w:eastAsiaTheme="minorEastAsia"/>
          <w:b/>
          <w:bCs/>
          <w:color w:val="auto"/>
          <w:sz w:val="21"/>
          <w:szCs w:val="24"/>
        </w:rPr>
        <w:t>漏</w:t>
      </w:r>
      <w:r>
        <w:rPr>
          <w:rFonts w:eastAsiaTheme="minorEastAsia"/>
          <w:b/>
          <w:bCs/>
          <w:color w:val="auto"/>
          <w:sz w:val="21"/>
          <w:szCs w:val="24"/>
        </w:rPr>
        <w:t>事故后100</w:t>
      </w:r>
      <w:r>
        <w:rPr>
          <w:rFonts w:hint="eastAsia" w:eastAsiaTheme="minorEastAsia"/>
          <w:b/>
          <w:bCs/>
          <w:color w:val="auto"/>
          <w:sz w:val="21"/>
          <w:szCs w:val="24"/>
        </w:rPr>
        <w:t>0</w:t>
      </w:r>
      <w:r>
        <w:rPr>
          <w:rFonts w:eastAsiaTheme="minorEastAsia"/>
          <w:b/>
          <w:bCs/>
          <w:color w:val="auto"/>
          <w:sz w:val="21"/>
          <w:szCs w:val="24"/>
        </w:rPr>
        <w:t>天时</w:t>
      </w:r>
      <w:r>
        <w:rPr>
          <w:rFonts w:hint="eastAsia" w:cs="Times New Roman" w:eastAsiaTheme="minorEastAsia"/>
          <w:b/>
          <w:bCs/>
          <w:color w:val="auto"/>
          <w:sz w:val="21"/>
          <w:szCs w:val="24"/>
        </w:rPr>
        <w:t>NH</w:t>
      </w:r>
      <w:r>
        <w:rPr>
          <w:rFonts w:hint="eastAsia" w:cs="Times New Roman" w:eastAsiaTheme="minorEastAsia"/>
          <w:b/>
          <w:bCs/>
          <w:color w:val="auto"/>
          <w:sz w:val="21"/>
          <w:szCs w:val="24"/>
          <w:vertAlign w:val="subscript"/>
        </w:rPr>
        <w:t>3</w:t>
      </w:r>
      <w:r>
        <w:rPr>
          <w:rFonts w:hint="eastAsia" w:cs="Times New Roman" w:eastAsiaTheme="minorEastAsia"/>
          <w:b/>
          <w:bCs/>
          <w:color w:val="auto"/>
          <w:sz w:val="21"/>
          <w:szCs w:val="24"/>
        </w:rPr>
        <w:t>-N</w:t>
      </w:r>
      <w:r>
        <w:rPr>
          <w:rFonts w:eastAsiaTheme="minorEastAsia"/>
          <w:b/>
          <w:bCs/>
          <w:color w:val="auto"/>
          <w:sz w:val="21"/>
          <w:szCs w:val="24"/>
        </w:rPr>
        <w:t>在下游的迁移距离及浓度关系</w:t>
      </w:r>
    </w:p>
    <w:p w14:paraId="2A63338E">
      <w:pPr>
        <w:tabs>
          <w:tab w:val="left" w:pos="0"/>
        </w:tabs>
        <w:ind w:firstLine="480"/>
        <w:rPr>
          <w:color w:val="auto"/>
          <w:kern w:val="0"/>
          <w:szCs w:val="20"/>
        </w:rPr>
      </w:pPr>
      <w:r>
        <w:rPr>
          <w:rFonts w:hint="eastAsia"/>
          <w:color w:val="auto"/>
          <w:kern w:val="0"/>
          <w:szCs w:val="20"/>
        </w:rPr>
        <w:t>（3）厂界超标时间</w:t>
      </w:r>
    </w:p>
    <w:p w14:paraId="3ABD977E">
      <w:pPr>
        <w:tabs>
          <w:tab w:val="left" w:pos="0"/>
        </w:tabs>
        <w:ind w:firstLine="480"/>
        <w:rPr>
          <w:rFonts w:cs="Times New Roman"/>
          <w:color w:val="auto"/>
          <w:kern w:val="0"/>
          <w:szCs w:val="24"/>
        </w:rPr>
      </w:pPr>
      <w:r>
        <w:rPr>
          <w:rFonts w:cs="Times New Roman"/>
          <w:color w:val="auto"/>
          <w:kern w:val="0"/>
          <w:szCs w:val="24"/>
        </w:rPr>
        <w:t>泄漏点沿水流方向距离厂界距离约</w:t>
      </w:r>
      <w:r>
        <w:rPr>
          <w:rFonts w:hint="eastAsia" w:cs="Times New Roman"/>
          <w:color w:val="auto"/>
          <w:kern w:val="0"/>
          <w:szCs w:val="24"/>
        </w:rPr>
        <w:t>230</w:t>
      </w:r>
      <w:r>
        <w:rPr>
          <w:rFonts w:cs="Times New Roman"/>
          <w:color w:val="auto"/>
          <w:kern w:val="0"/>
          <w:szCs w:val="24"/>
        </w:rPr>
        <w:t>m。</w:t>
      </w:r>
      <w:r>
        <w:rPr>
          <w:rFonts w:hint="eastAsia" w:cs="Times New Roman"/>
          <w:color w:val="auto"/>
          <w:kern w:val="0"/>
          <w:szCs w:val="24"/>
        </w:rPr>
        <w:t>厂界处COD的超标时间为第1526天，厂界处NH</w:t>
      </w:r>
      <w:r>
        <w:rPr>
          <w:rFonts w:hint="eastAsia" w:cs="Times New Roman"/>
          <w:color w:val="auto"/>
          <w:kern w:val="0"/>
          <w:szCs w:val="24"/>
          <w:vertAlign w:val="subscript"/>
        </w:rPr>
        <w:t>3</w:t>
      </w:r>
      <w:r>
        <w:rPr>
          <w:rFonts w:hint="eastAsia" w:cs="Times New Roman"/>
          <w:color w:val="auto"/>
          <w:kern w:val="0"/>
          <w:szCs w:val="24"/>
        </w:rPr>
        <w:t>-N的超标时间为第2948天。NH</w:t>
      </w:r>
      <w:r>
        <w:rPr>
          <w:rFonts w:hint="eastAsia" w:cs="Times New Roman"/>
          <w:color w:val="auto"/>
          <w:kern w:val="0"/>
          <w:szCs w:val="24"/>
          <w:vertAlign w:val="subscript"/>
        </w:rPr>
        <w:t>3</w:t>
      </w:r>
      <w:r>
        <w:rPr>
          <w:rFonts w:hint="eastAsia" w:cs="Times New Roman"/>
          <w:color w:val="auto"/>
          <w:kern w:val="0"/>
          <w:szCs w:val="24"/>
        </w:rPr>
        <w:t>-N到达厂界最大浓度0.18 mg，NH</w:t>
      </w:r>
      <w:r>
        <w:rPr>
          <w:rFonts w:hint="eastAsia" w:cs="Times New Roman"/>
          <w:color w:val="auto"/>
          <w:kern w:val="0"/>
          <w:szCs w:val="24"/>
          <w:vertAlign w:val="subscript"/>
        </w:rPr>
        <w:t>3</w:t>
      </w:r>
      <w:r>
        <w:rPr>
          <w:rFonts w:hint="eastAsia" w:cs="Times New Roman"/>
          <w:color w:val="auto"/>
          <w:kern w:val="0"/>
          <w:szCs w:val="24"/>
        </w:rPr>
        <w:t>-N浓度均小于</w:t>
      </w:r>
      <w:r>
        <w:rPr>
          <w:color w:val="auto"/>
          <w:kern w:val="0"/>
          <w:szCs w:val="24"/>
        </w:rPr>
        <w:t>Ⅲ</w:t>
      </w:r>
      <w:r>
        <w:rPr>
          <w:rFonts w:hint="eastAsia"/>
          <w:color w:val="auto"/>
          <w:kern w:val="0"/>
          <w:szCs w:val="24"/>
        </w:rPr>
        <w:t>类</w:t>
      </w:r>
      <w:r>
        <w:rPr>
          <w:rFonts w:hint="eastAsia" w:cs="Times New Roman"/>
          <w:color w:val="auto"/>
          <w:kern w:val="0"/>
          <w:szCs w:val="24"/>
        </w:rPr>
        <w:t>水标准值。</w:t>
      </w:r>
    </w:p>
    <w:p w14:paraId="16698C80">
      <w:pPr>
        <w:pStyle w:val="7"/>
        <w:keepNext w:val="0"/>
        <w:keepLines w:val="0"/>
        <w:numPr>
          <w:ilvl w:val="5"/>
          <w:numId w:val="1"/>
        </w:numPr>
        <w:rPr>
          <w:rFonts w:eastAsia="Times New Roman" w:cs="Times New Roman"/>
          <w:color w:val="auto"/>
        </w:rPr>
      </w:pPr>
      <w:r>
        <w:rPr>
          <w:rFonts w:hint="eastAsia"/>
          <w:color w:val="auto"/>
        </w:rPr>
        <w:t>厂界超标时间</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20"/>
        <w:gridCol w:w="3020"/>
        <w:gridCol w:w="3020"/>
      </w:tblGrid>
      <w:tr w14:paraId="436FD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0" w:type="dxa"/>
            <w:vAlign w:val="center"/>
          </w:tcPr>
          <w:p w14:paraId="6A3FC82A">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类别</w:t>
            </w:r>
          </w:p>
        </w:tc>
        <w:tc>
          <w:tcPr>
            <w:tcW w:w="3020" w:type="dxa"/>
            <w:vAlign w:val="center"/>
          </w:tcPr>
          <w:p w14:paraId="2BEEDFE8">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到达时间（d）</w:t>
            </w:r>
          </w:p>
        </w:tc>
        <w:tc>
          <w:tcPr>
            <w:tcW w:w="3020" w:type="dxa"/>
            <w:vAlign w:val="center"/>
          </w:tcPr>
          <w:p w14:paraId="0610894C">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浓度（mg/L）</w:t>
            </w:r>
          </w:p>
        </w:tc>
      </w:tr>
      <w:tr w14:paraId="241E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0" w:type="dxa"/>
            <w:vAlign w:val="center"/>
          </w:tcPr>
          <w:p w14:paraId="358067FC">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COD</w:t>
            </w:r>
          </w:p>
        </w:tc>
        <w:tc>
          <w:tcPr>
            <w:tcW w:w="3020" w:type="dxa"/>
            <w:vAlign w:val="center"/>
          </w:tcPr>
          <w:p w14:paraId="1A21F8BB">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1526</w:t>
            </w:r>
          </w:p>
        </w:tc>
        <w:tc>
          <w:tcPr>
            <w:tcW w:w="3020" w:type="dxa"/>
            <w:vAlign w:val="center"/>
          </w:tcPr>
          <w:p w14:paraId="244FCAAB">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3</w:t>
            </w:r>
          </w:p>
        </w:tc>
      </w:tr>
      <w:tr w14:paraId="23746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20" w:type="dxa"/>
            <w:vAlign w:val="center"/>
          </w:tcPr>
          <w:p w14:paraId="4BB04328">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NH</w:t>
            </w:r>
            <w:r>
              <w:rPr>
                <w:rFonts w:hint="eastAsia" w:cs="Times New Roman"/>
                <w:color w:val="auto"/>
                <w:kern w:val="0"/>
                <w:sz w:val="20"/>
                <w:szCs w:val="24"/>
                <w:vertAlign w:val="subscript"/>
              </w:rPr>
              <w:t>3</w:t>
            </w:r>
            <w:r>
              <w:rPr>
                <w:rFonts w:hint="eastAsia" w:cs="Times New Roman"/>
                <w:color w:val="auto"/>
                <w:kern w:val="0"/>
                <w:sz w:val="20"/>
                <w:szCs w:val="24"/>
              </w:rPr>
              <w:t>-N</w:t>
            </w:r>
          </w:p>
        </w:tc>
        <w:tc>
          <w:tcPr>
            <w:tcW w:w="3020" w:type="dxa"/>
            <w:vAlign w:val="center"/>
          </w:tcPr>
          <w:p w14:paraId="440D2867">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2948</w:t>
            </w:r>
          </w:p>
        </w:tc>
        <w:tc>
          <w:tcPr>
            <w:tcW w:w="3020" w:type="dxa"/>
            <w:vAlign w:val="center"/>
          </w:tcPr>
          <w:p w14:paraId="47D3CD36">
            <w:pPr>
              <w:spacing w:line="240" w:lineRule="auto"/>
              <w:ind w:firstLine="480" w:firstLineChars="0"/>
              <w:jc w:val="center"/>
              <w:rPr>
                <w:rFonts w:cs="Times New Roman"/>
                <w:color w:val="auto"/>
                <w:kern w:val="0"/>
                <w:sz w:val="20"/>
                <w:szCs w:val="24"/>
              </w:rPr>
            </w:pPr>
            <w:r>
              <w:rPr>
                <w:rFonts w:hint="eastAsia" w:cs="Times New Roman"/>
                <w:color w:val="auto"/>
                <w:kern w:val="0"/>
                <w:sz w:val="20"/>
                <w:szCs w:val="24"/>
              </w:rPr>
              <w:t>0.5</w:t>
            </w:r>
          </w:p>
        </w:tc>
      </w:tr>
    </w:tbl>
    <w:p w14:paraId="44053D99">
      <w:pPr>
        <w:pStyle w:val="4"/>
        <w:rPr>
          <w:color w:val="auto"/>
        </w:rPr>
      </w:pPr>
      <w:bookmarkStart w:id="493" w:name="_Toc225216803"/>
      <w:r>
        <w:rPr>
          <w:rFonts w:hint="eastAsia"/>
          <w:color w:val="auto"/>
        </w:rPr>
        <w:t>对周边敏感点影响分析</w:t>
      </w:r>
      <w:bookmarkEnd w:id="493"/>
    </w:p>
    <w:p w14:paraId="1818F6F1">
      <w:pPr>
        <w:ind w:firstLine="480"/>
        <w:rPr>
          <w:rFonts w:cs="Times New Roman"/>
          <w:color w:val="auto"/>
        </w:rPr>
      </w:pPr>
      <w:r>
        <w:rPr>
          <w:rFonts w:hint="eastAsia" w:cs="Times New Roman"/>
          <w:color w:val="auto"/>
        </w:rPr>
        <w:t>根据水文地质调查，厂区周边的分散式饮用水水源处于厂区的侧上游（U7）和侧游（U2、U9），从目前流场分析，不在场地主要径流排泄区，当发生泄漏对上游、侧游民井产生影响较小，大部朝南、南西方向扩散，在低洼处排泄于地表水体，后汇入鹿耳环江。</w:t>
      </w:r>
      <w:r>
        <w:rPr>
          <w:rFonts w:cs="Times New Roman"/>
          <w:color w:val="auto"/>
        </w:rPr>
        <w:t xml:space="preserve"> </w:t>
      </w:r>
    </w:p>
    <w:p w14:paraId="10C645A8">
      <w:pPr>
        <w:ind w:firstLine="480"/>
        <w:rPr>
          <w:rFonts w:cs="Times New Roman"/>
          <w:color w:val="auto"/>
        </w:rPr>
      </w:pPr>
      <w:r>
        <w:rPr>
          <w:rFonts w:hint="eastAsia" w:cs="Times New Roman"/>
          <w:color w:val="auto"/>
        </w:rPr>
        <w:t>预测结果表明，根据水文地质调查，根据地下水流场分析，场地处于径流排泄区，预测结果表明，COD在1000天时污染物超标迁移距离为171m，</w:t>
      </w:r>
      <w:r>
        <w:rPr>
          <w:rFonts w:hint="eastAsia"/>
          <w:color w:val="auto"/>
        </w:rPr>
        <w:t>NH</w:t>
      </w:r>
      <w:r>
        <w:rPr>
          <w:rFonts w:hint="eastAsia"/>
          <w:color w:val="auto"/>
          <w:vertAlign w:val="subscript"/>
        </w:rPr>
        <w:t>3</w:t>
      </w:r>
      <w:r>
        <w:rPr>
          <w:rFonts w:hint="eastAsia"/>
          <w:color w:val="auto"/>
        </w:rPr>
        <w:t>-N</w:t>
      </w:r>
      <w:r>
        <w:rPr>
          <w:rFonts w:hint="eastAsia" w:cs="Times New Roman"/>
          <w:color w:val="auto"/>
        </w:rPr>
        <w:t>在1000天时污染物超标迁移距离为112m，根据水文地质流场，厂界超标时间为1526天，根据监测计划1次/年，当发生泄漏事故时，及时发现，</w:t>
      </w:r>
      <w:r>
        <w:rPr>
          <w:rFonts w:hint="eastAsia"/>
          <w:color w:val="auto"/>
        </w:rPr>
        <w:t>启动事故应急预案和及</w:t>
      </w:r>
      <w:r>
        <w:rPr>
          <w:rFonts w:hint="eastAsia" w:cs="Times New Roman"/>
          <w:color w:val="auto"/>
        </w:rPr>
        <w:t>时治理，可以有效控制污染物的扩散，综上，建设项目对地下水的影响在可接受范围内。</w:t>
      </w:r>
    </w:p>
    <w:p w14:paraId="216B0A29">
      <w:pPr>
        <w:pStyle w:val="4"/>
        <w:rPr>
          <w:color w:val="auto"/>
        </w:rPr>
      </w:pPr>
      <w:bookmarkStart w:id="494" w:name="_Toc225216804"/>
      <w:r>
        <w:rPr>
          <w:rFonts w:hint="eastAsia"/>
          <w:color w:val="auto"/>
        </w:rPr>
        <w:t>小结</w:t>
      </w:r>
      <w:bookmarkEnd w:id="494"/>
    </w:p>
    <w:p w14:paraId="22718F5A">
      <w:pPr>
        <w:ind w:firstLine="480"/>
        <w:rPr>
          <w:color w:val="auto"/>
        </w:rPr>
      </w:pPr>
      <w:r>
        <w:rPr>
          <w:rFonts w:hint="eastAsia"/>
          <w:color w:val="auto"/>
        </w:rPr>
        <w:t>（1）正常工况下，严格按照现行的国家规范要求采取防渗措施，通过分区防渗，各防渗区均具有一定防渗能力，正常工况下污水构筑物的防渗措施工况良好，防渗层未发生破损，污水构筑物渗漏量较小或可忽略不计，建设项目对地下水环境影响在可接受范围。</w:t>
      </w:r>
    </w:p>
    <w:p w14:paraId="79953BF8">
      <w:pPr>
        <w:ind w:firstLine="480"/>
        <w:rPr>
          <w:rFonts w:cs="Times New Roman"/>
          <w:color w:val="auto"/>
          <w:szCs w:val="24"/>
        </w:rPr>
      </w:pPr>
      <w:r>
        <w:rPr>
          <w:rFonts w:hint="eastAsia" w:cs="Times New Roman"/>
          <w:color w:val="auto"/>
          <w:szCs w:val="24"/>
        </w:rPr>
        <w:t>（2）</w:t>
      </w:r>
      <w:r>
        <w:rPr>
          <w:rFonts w:hint="eastAsia"/>
          <w:color w:val="auto"/>
        </w:rPr>
        <w:t>非正常工况下，</w:t>
      </w:r>
      <w:r>
        <w:rPr>
          <w:rFonts w:hint="eastAsia" w:cs="Times New Roman"/>
          <w:color w:val="auto"/>
          <w:szCs w:val="24"/>
        </w:rPr>
        <w:t>厂区的污水处理站集水池发生泄漏，污染物在</w:t>
      </w:r>
      <w:r>
        <w:rPr>
          <w:rFonts w:hint="eastAsia" w:cs="Times New Roman"/>
          <w:color w:val="auto"/>
        </w:rPr>
        <w:t>厂界超标时间为1526天。敏感点位于上游、侧游，不在场地主要径流排泄区，发生泄漏事故对敏感点的影响较小，且</w:t>
      </w:r>
      <w:r>
        <w:rPr>
          <w:rFonts w:hint="eastAsia" w:cs="Times New Roman"/>
          <w:color w:val="auto"/>
          <w:szCs w:val="24"/>
        </w:rPr>
        <w:t>在南西侧厂界设置跟踪监测点（U5），监测频率1次/年，若发生泄漏事故可及时发现，并检查和修复泄漏源和防渗层，及时启动应急预案，控制污染范围，防止污染继续扩散。在此前提下，建设项目对地下水环境影响在可接受范围。</w:t>
      </w:r>
    </w:p>
    <w:p w14:paraId="765E8B29">
      <w:pPr>
        <w:ind w:firstLine="480"/>
        <w:rPr>
          <w:color w:val="auto"/>
        </w:rPr>
      </w:pPr>
      <w:r>
        <w:rPr>
          <w:rFonts w:hint="eastAsia"/>
          <w:color w:val="auto"/>
        </w:rPr>
        <w:t>综上，建设单位仍需要对生产装置、液体储罐、污水构筑物定期检查，并落实本环评提出的环境跟踪监测计划，严格执行本次评价所提出的分区防渗、监测管理、制定事故应急预案等措施，防止泄漏事故持续发生对地下水环境造成污染，在此前提下，建设项目对地下水影响可接受。</w:t>
      </w:r>
    </w:p>
    <w:p w14:paraId="0139699D">
      <w:pPr>
        <w:pStyle w:val="3"/>
        <w:rPr>
          <w:color w:val="auto"/>
        </w:rPr>
      </w:pPr>
      <w:bookmarkStart w:id="495" w:name="_Toc221355730"/>
      <w:bookmarkStart w:id="496" w:name="_Toc225216805"/>
      <w:r>
        <w:rPr>
          <w:color w:val="auto"/>
        </w:rPr>
        <w:t>运营期声环境影响预测与评价</w:t>
      </w:r>
      <w:bookmarkEnd w:id="495"/>
      <w:bookmarkEnd w:id="496"/>
    </w:p>
    <w:p w14:paraId="2CD89334">
      <w:pPr>
        <w:pStyle w:val="4"/>
        <w:rPr>
          <w:color w:val="auto"/>
        </w:rPr>
      </w:pPr>
      <w:bookmarkStart w:id="497" w:name="_Toc225216806"/>
      <w:r>
        <w:rPr>
          <w:rFonts w:hint="eastAsia"/>
          <w:color w:val="auto"/>
        </w:rPr>
        <w:t>噪声源强</w:t>
      </w:r>
      <w:bookmarkEnd w:id="497"/>
    </w:p>
    <w:p w14:paraId="0B94024B">
      <w:pPr>
        <w:ind w:firstLine="480"/>
        <w:rPr>
          <w:color w:val="auto"/>
        </w:rPr>
      </w:pPr>
      <w:r>
        <w:rPr>
          <w:rFonts w:hint="eastAsia"/>
          <w:color w:val="auto"/>
        </w:rPr>
        <w:t>本项目主要噪声源为新增造纸生产工段生产设备运行噪声、水泵、浆泵噪声。根据《污染源源强核算技术指南 制浆造纸》（HJ887-2018），工程噪声污染源采用类比法，参考企业以往项目给出的同类型设备噪声源强，其噪声级在85~108dB（A）之间。具体源强见表4.2-1所示。</w:t>
      </w:r>
    </w:p>
    <w:p w14:paraId="4828A6E6">
      <w:pPr>
        <w:pStyle w:val="4"/>
        <w:rPr>
          <w:color w:val="auto"/>
        </w:rPr>
      </w:pPr>
      <w:bookmarkStart w:id="498" w:name="_Toc225216807"/>
      <w:r>
        <w:rPr>
          <w:rFonts w:hint="eastAsia"/>
          <w:color w:val="auto"/>
        </w:rPr>
        <w:t>评价标准</w:t>
      </w:r>
      <w:bookmarkEnd w:id="498"/>
    </w:p>
    <w:p w14:paraId="63098539">
      <w:pPr>
        <w:ind w:firstLine="480"/>
        <w:rPr>
          <w:color w:val="auto"/>
        </w:rPr>
        <w:sectPr>
          <w:headerReference r:id="rId36" w:type="first"/>
          <w:footerReference r:id="rId38" w:type="first"/>
          <w:headerReference r:id="rId34" w:type="default"/>
          <w:headerReference r:id="rId35" w:type="even"/>
          <w:footerReference r:id="rId37" w:type="even"/>
          <w:pgSz w:w="11906" w:h="16838"/>
          <w:pgMar w:top="1417" w:right="1418" w:bottom="1417" w:left="1418" w:header="851" w:footer="992" w:gutter="0"/>
          <w:cols w:space="425" w:num="1"/>
          <w:docGrid w:type="lines" w:linePitch="312" w:charSpace="0"/>
        </w:sectPr>
      </w:pPr>
      <w:r>
        <w:rPr>
          <w:rFonts w:hint="eastAsia"/>
          <w:color w:val="auto"/>
        </w:rPr>
        <w:t>厂界东侧、西侧、北侧昼夜间噪声执行《工业企业厂界环境噪声排放标准》（GB12348-2008）中3类标准，厂界南侧执行《工业企业厂界环境噪声排放标准》（GB12348-2008）中4类标准。其他环境敏感点昼夜间噪声满足《声环境质量标准》中2类标准。</w:t>
      </w:r>
    </w:p>
    <w:p w14:paraId="08CD14B5">
      <w:pPr>
        <w:pStyle w:val="7"/>
        <w:rPr>
          <w:color w:val="auto"/>
        </w:rPr>
      </w:pPr>
      <w:r>
        <w:rPr>
          <w:rFonts w:hint="eastAsia"/>
          <w:color w:val="auto"/>
        </w:rPr>
        <w:t>项目新增噪声源强一览表</w:t>
      </w:r>
    </w:p>
    <w:tbl>
      <w:tblPr>
        <w:tblStyle w:val="26"/>
        <w:tblW w:w="0" w:type="auto"/>
        <w:tblInd w:w="0" w:type="dxa"/>
        <w:tblLayout w:type="fixed"/>
        <w:tblCellMar>
          <w:top w:w="0" w:type="dxa"/>
          <w:left w:w="108" w:type="dxa"/>
          <w:bottom w:w="0" w:type="dxa"/>
          <w:right w:w="108" w:type="dxa"/>
        </w:tblCellMar>
      </w:tblPr>
      <w:tblGrid>
        <w:gridCol w:w="635"/>
        <w:gridCol w:w="1686"/>
        <w:gridCol w:w="3486"/>
        <w:gridCol w:w="1134"/>
        <w:gridCol w:w="1276"/>
        <w:gridCol w:w="850"/>
        <w:gridCol w:w="851"/>
        <w:gridCol w:w="1134"/>
        <w:gridCol w:w="1701"/>
        <w:gridCol w:w="1241"/>
      </w:tblGrid>
      <w:tr w14:paraId="75641D71">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3EA01EDF">
            <w:pPr>
              <w:pStyle w:val="33"/>
              <w:rPr>
                <w:color w:val="auto"/>
              </w:rPr>
            </w:pPr>
            <w:r>
              <w:rPr>
                <w:rFonts w:hint="eastAsia"/>
                <w:color w:val="auto"/>
              </w:rPr>
              <w:t>序号</w:t>
            </w:r>
          </w:p>
        </w:tc>
        <w:tc>
          <w:tcPr>
            <w:tcW w:w="1686" w:type="dxa"/>
            <w:tcBorders>
              <w:top w:val="single" w:color="000000" w:sz="4" w:space="0"/>
              <w:left w:val="single" w:color="000000" w:sz="4" w:space="0"/>
              <w:bottom w:val="single" w:color="000000" w:sz="4" w:space="0"/>
              <w:right w:val="single" w:color="000000" w:sz="4" w:space="0"/>
            </w:tcBorders>
            <w:vAlign w:val="center"/>
          </w:tcPr>
          <w:p w14:paraId="1FCD36EB">
            <w:pPr>
              <w:pStyle w:val="33"/>
              <w:rPr>
                <w:color w:val="auto"/>
              </w:rPr>
            </w:pPr>
            <w:r>
              <w:rPr>
                <w:rFonts w:hint="eastAsia"/>
                <w:color w:val="auto"/>
              </w:rPr>
              <w:t>构筑物名称</w:t>
            </w:r>
          </w:p>
        </w:tc>
        <w:tc>
          <w:tcPr>
            <w:tcW w:w="3486" w:type="dxa"/>
            <w:tcBorders>
              <w:top w:val="single" w:color="000000" w:sz="4" w:space="0"/>
              <w:left w:val="single" w:color="000000" w:sz="4" w:space="0"/>
              <w:bottom w:val="single" w:color="000000" w:sz="4" w:space="0"/>
              <w:right w:val="single" w:color="000000" w:sz="4" w:space="0"/>
            </w:tcBorders>
            <w:vAlign w:val="center"/>
          </w:tcPr>
          <w:p w14:paraId="1EC08A0C">
            <w:pPr>
              <w:pStyle w:val="33"/>
              <w:rPr>
                <w:color w:val="auto"/>
              </w:rPr>
            </w:pPr>
            <w:r>
              <w:rPr>
                <w:rFonts w:hint="eastAsia"/>
                <w:color w:val="auto"/>
              </w:rPr>
              <w:t>设备名称</w:t>
            </w:r>
          </w:p>
        </w:tc>
        <w:tc>
          <w:tcPr>
            <w:tcW w:w="1134" w:type="dxa"/>
            <w:tcBorders>
              <w:top w:val="single" w:color="000000" w:sz="4" w:space="0"/>
              <w:left w:val="single" w:color="000000" w:sz="4" w:space="0"/>
              <w:bottom w:val="single" w:color="000000" w:sz="4" w:space="0"/>
              <w:right w:val="single" w:color="000000" w:sz="4" w:space="0"/>
            </w:tcBorders>
            <w:vAlign w:val="center"/>
          </w:tcPr>
          <w:p w14:paraId="5B7CBC6F">
            <w:pPr>
              <w:pStyle w:val="33"/>
              <w:rPr>
                <w:color w:val="auto"/>
              </w:rPr>
            </w:pPr>
            <w:r>
              <w:rPr>
                <w:rFonts w:hint="eastAsia"/>
                <w:color w:val="auto"/>
              </w:rPr>
              <w:t>X</w:t>
            </w:r>
          </w:p>
        </w:tc>
        <w:tc>
          <w:tcPr>
            <w:tcW w:w="1276" w:type="dxa"/>
            <w:tcBorders>
              <w:top w:val="single" w:color="000000" w:sz="4" w:space="0"/>
              <w:left w:val="single" w:color="000000" w:sz="4" w:space="0"/>
              <w:bottom w:val="single" w:color="000000" w:sz="4" w:space="0"/>
              <w:right w:val="single" w:color="000000" w:sz="4" w:space="0"/>
            </w:tcBorders>
            <w:vAlign w:val="center"/>
          </w:tcPr>
          <w:p w14:paraId="5B55D281">
            <w:pPr>
              <w:pStyle w:val="33"/>
              <w:rPr>
                <w:color w:val="auto"/>
              </w:rPr>
            </w:pPr>
            <w:r>
              <w:rPr>
                <w:rFonts w:hint="eastAsia"/>
                <w:color w:val="auto"/>
              </w:rPr>
              <w:t>Y</w:t>
            </w:r>
          </w:p>
        </w:tc>
        <w:tc>
          <w:tcPr>
            <w:tcW w:w="850" w:type="dxa"/>
            <w:tcBorders>
              <w:top w:val="single" w:color="000000" w:sz="4" w:space="0"/>
              <w:left w:val="single" w:color="000000" w:sz="4" w:space="0"/>
              <w:bottom w:val="single" w:color="000000" w:sz="4" w:space="0"/>
              <w:right w:val="single" w:color="000000" w:sz="4" w:space="0"/>
            </w:tcBorders>
            <w:vAlign w:val="center"/>
          </w:tcPr>
          <w:p w14:paraId="06797316">
            <w:pPr>
              <w:pStyle w:val="33"/>
              <w:rPr>
                <w:color w:val="auto"/>
              </w:rPr>
            </w:pPr>
            <w:r>
              <w:rPr>
                <w:rFonts w:hint="eastAsia"/>
                <w:color w:val="auto"/>
              </w:rPr>
              <w:t>Z</w:t>
            </w:r>
          </w:p>
        </w:tc>
        <w:tc>
          <w:tcPr>
            <w:tcW w:w="851" w:type="dxa"/>
            <w:tcBorders>
              <w:top w:val="single" w:color="000000" w:sz="4" w:space="0"/>
              <w:left w:val="single" w:color="000000" w:sz="4" w:space="0"/>
              <w:bottom w:val="single" w:color="000000" w:sz="4" w:space="0"/>
              <w:right w:val="single" w:color="000000" w:sz="4" w:space="0"/>
            </w:tcBorders>
            <w:vAlign w:val="center"/>
          </w:tcPr>
          <w:p w14:paraId="7C40CCC2">
            <w:pPr>
              <w:pStyle w:val="33"/>
              <w:rPr>
                <w:color w:val="auto"/>
              </w:rPr>
            </w:pPr>
            <w:r>
              <w:rPr>
                <w:rFonts w:hint="eastAsia"/>
                <w:color w:val="auto"/>
              </w:rPr>
              <w:t>数量</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CFC3067">
            <w:pPr>
              <w:pStyle w:val="33"/>
              <w:rPr>
                <w:color w:val="auto"/>
              </w:rPr>
            </w:pPr>
            <w:r>
              <w:rPr>
                <w:rFonts w:hint="eastAsia"/>
                <w:color w:val="auto"/>
              </w:rPr>
              <w:t>噪声源强</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51D9B80F">
            <w:pPr>
              <w:pStyle w:val="33"/>
              <w:rPr>
                <w:color w:val="auto"/>
              </w:rPr>
            </w:pPr>
            <w:r>
              <w:rPr>
                <w:rFonts w:hint="eastAsia"/>
                <w:color w:val="auto"/>
              </w:rPr>
              <w:t>治理措施</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876ECB8">
            <w:pPr>
              <w:pStyle w:val="33"/>
              <w:rPr>
                <w:color w:val="auto"/>
              </w:rPr>
            </w:pPr>
            <w:r>
              <w:rPr>
                <w:rFonts w:hint="eastAsia"/>
                <w:color w:val="auto"/>
              </w:rPr>
              <w:t>采取措施后的源强</w:t>
            </w:r>
          </w:p>
        </w:tc>
      </w:tr>
      <w:tr w14:paraId="43E23C76">
        <w:tblPrEx>
          <w:tblCellMar>
            <w:top w:w="0" w:type="dxa"/>
            <w:left w:w="108" w:type="dxa"/>
            <w:bottom w:w="0" w:type="dxa"/>
            <w:right w:w="108" w:type="dxa"/>
          </w:tblCellMar>
        </w:tblPrEx>
        <w:trPr>
          <w:trHeight w:val="525"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1CCA66A6">
            <w:pPr>
              <w:pStyle w:val="33"/>
              <w:rPr>
                <w:color w:val="auto"/>
              </w:rPr>
            </w:pPr>
            <w:r>
              <w:rPr>
                <w:rFonts w:hint="eastAsia"/>
                <w:color w:val="auto"/>
              </w:rPr>
              <w:t>1</w:t>
            </w:r>
          </w:p>
        </w:tc>
        <w:tc>
          <w:tcPr>
            <w:tcW w:w="1686" w:type="dxa"/>
            <w:vMerge w:val="restart"/>
            <w:tcBorders>
              <w:top w:val="single" w:color="000000" w:sz="4" w:space="0"/>
              <w:left w:val="single" w:color="000000" w:sz="4" w:space="0"/>
              <w:bottom w:val="nil"/>
              <w:right w:val="single" w:color="000000" w:sz="4" w:space="0"/>
            </w:tcBorders>
            <w:noWrap/>
            <w:vAlign w:val="center"/>
          </w:tcPr>
          <w:p w14:paraId="1BD0A5AE">
            <w:pPr>
              <w:pStyle w:val="33"/>
              <w:rPr>
                <w:color w:val="auto"/>
              </w:rPr>
            </w:pPr>
            <w:r>
              <w:rPr>
                <w:color w:val="auto"/>
              </w:rPr>
              <w:t>1#白卡纸生产线</w:t>
            </w: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2E70C09B">
            <w:pPr>
              <w:pStyle w:val="33"/>
              <w:rPr>
                <w:color w:val="auto"/>
              </w:rPr>
            </w:pPr>
            <w:r>
              <w:rPr>
                <w:rFonts w:hint="eastAsia"/>
                <w:color w:val="auto"/>
              </w:rPr>
              <w:t>前干气罩通风技改新增风机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3699BD38">
            <w:pPr>
              <w:pStyle w:val="33"/>
              <w:rPr>
                <w:color w:val="auto"/>
              </w:rPr>
            </w:pPr>
            <w:r>
              <w:rPr>
                <w:rFonts w:hint="eastAsia"/>
                <w:color w:val="auto"/>
              </w:rPr>
              <w:t>-249.87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42FCEF0D">
            <w:pPr>
              <w:pStyle w:val="33"/>
              <w:rPr>
                <w:color w:val="auto"/>
              </w:rPr>
            </w:pPr>
            <w:r>
              <w:rPr>
                <w:rFonts w:hint="eastAsia"/>
                <w:color w:val="auto"/>
              </w:rPr>
              <w:t>70.74</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7C6B9A2A">
            <w:pPr>
              <w:pStyle w:val="33"/>
              <w:rPr>
                <w:color w:val="auto"/>
              </w:rPr>
            </w:pPr>
            <w:r>
              <w:rPr>
                <w:rFonts w:hint="eastAsia"/>
                <w:color w:val="auto"/>
              </w:rPr>
              <w:t>3</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4706324C">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3C45CF5">
            <w:pPr>
              <w:pStyle w:val="33"/>
              <w:rPr>
                <w:color w:val="auto"/>
              </w:rPr>
            </w:pPr>
            <w:r>
              <w:rPr>
                <w:rFonts w:hint="eastAsia"/>
                <w:color w:val="auto"/>
              </w:rPr>
              <w:t>90</w:t>
            </w:r>
          </w:p>
        </w:tc>
        <w:tc>
          <w:tcPr>
            <w:tcW w:w="1701" w:type="dxa"/>
            <w:vMerge w:val="restart"/>
            <w:tcBorders>
              <w:top w:val="single" w:color="000000" w:sz="4" w:space="0"/>
              <w:left w:val="single" w:color="000000" w:sz="4" w:space="0"/>
              <w:right w:val="single" w:color="000000" w:sz="4" w:space="0"/>
            </w:tcBorders>
            <w:noWrap/>
            <w:vAlign w:val="center"/>
          </w:tcPr>
          <w:p w14:paraId="2F2F0A8E">
            <w:pPr>
              <w:pStyle w:val="33"/>
              <w:rPr>
                <w:color w:val="auto"/>
              </w:rPr>
            </w:pPr>
            <w:r>
              <w:rPr>
                <w:color w:val="auto"/>
              </w:rPr>
              <w:t>选用低噪声设备，基础减震</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AB4C479">
            <w:pPr>
              <w:pStyle w:val="33"/>
              <w:rPr>
                <w:color w:val="auto"/>
              </w:rPr>
            </w:pPr>
            <w:r>
              <w:rPr>
                <w:rFonts w:hint="eastAsia"/>
                <w:color w:val="auto"/>
              </w:rPr>
              <w:t>75</w:t>
            </w:r>
          </w:p>
        </w:tc>
      </w:tr>
      <w:tr w14:paraId="1DC290F4">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593640ED">
            <w:pPr>
              <w:pStyle w:val="33"/>
              <w:rPr>
                <w:color w:val="auto"/>
              </w:rPr>
            </w:pPr>
            <w:r>
              <w:rPr>
                <w:rFonts w:hint="eastAsia"/>
                <w:color w:val="auto"/>
              </w:rPr>
              <w:t>2</w:t>
            </w:r>
          </w:p>
        </w:tc>
        <w:tc>
          <w:tcPr>
            <w:tcW w:w="1686" w:type="dxa"/>
            <w:vMerge w:val="continue"/>
            <w:tcBorders>
              <w:top w:val="single" w:color="000000" w:sz="4" w:space="0"/>
              <w:left w:val="single" w:color="000000" w:sz="4" w:space="0"/>
              <w:bottom w:val="nil"/>
              <w:right w:val="single" w:color="000000" w:sz="4" w:space="0"/>
            </w:tcBorders>
            <w:noWrap/>
            <w:vAlign w:val="center"/>
          </w:tcPr>
          <w:p w14:paraId="11659792">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1747CDB">
            <w:pPr>
              <w:pStyle w:val="33"/>
              <w:rPr>
                <w:color w:val="auto"/>
              </w:rPr>
            </w:pPr>
            <w:r>
              <w:rPr>
                <w:rFonts w:hint="eastAsia"/>
                <w:color w:val="auto"/>
              </w:rPr>
              <w:t>前干proreaLeas真空技改新增风机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CE6959A">
            <w:pPr>
              <w:pStyle w:val="33"/>
              <w:rPr>
                <w:color w:val="auto"/>
              </w:rPr>
            </w:pPr>
            <w:r>
              <w:rPr>
                <w:rFonts w:hint="eastAsia"/>
                <w:color w:val="auto"/>
              </w:rPr>
              <w:t>-245.55</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6506300D">
            <w:pPr>
              <w:pStyle w:val="33"/>
              <w:rPr>
                <w:color w:val="auto"/>
              </w:rPr>
            </w:pPr>
            <w:r>
              <w:rPr>
                <w:rFonts w:hint="eastAsia"/>
                <w:color w:val="auto"/>
              </w:rPr>
              <w:t>95.57</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396E58E3">
            <w:pPr>
              <w:pStyle w:val="33"/>
              <w:rPr>
                <w:color w:val="auto"/>
              </w:rPr>
            </w:pPr>
            <w:r>
              <w:rPr>
                <w:rFonts w:hint="eastAsia"/>
                <w:color w:val="auto"/>
              </w:rPr>
              <w:t>3</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5954C119">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380C49C">
            <w:pPr>
              <w:pStyle w:val="33"/>
              <w:rPr>
                <w:color w:val="auto"/>
              </w:rPr>
            </w:pPr>
            <w:r>
              <w:rPr>
                <w:rFonts w:hint="eastAsia"/>
                <w:color w:val="auto"/>
              </w:rPr>
              <w:t>90</w:t>
            </w:r>
          </w:p>
        </w:tc>
        <w:tc>
          <w:tcPr>
            <w:tcW w:w="1701" w:type="dxa"/>
            <w:vMerge w:val="continue"/>
            <w:tcBorders>
              <w:left w:val="single" w:color="000000" w:sz="4" w:space="0"/>
              <w:right w:val="single" w:color="000000" w:sz="4" w:space="0"/>
            </w:tcBorders>
            <w:noWrap/>
            <w:vAlign w:val="center"/>
          </w:tcPr>
          <w:p w14:paraId="1E035710">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012FB1BF">
            <w:pPr>
              <w:pStyle w:val="33"/>
              <w:rPr>
                <w:color w:val="auto"/>
              </w:rPr>
            </w:pPr>
            <w:r>
              <w:rPr>
                <w:rFonts w:hint="eastAsia"/>
                <w:color w:val="auto"/>
              </w:rPr>
              <w:t>75</w:t>
            </w:r>
          </w:p>
        </w:tc>
      </w:tr>
      <w:tr w14:paraId="4E0BF6F9">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4C3FACB2">
            <w:pPr>
              <w:pStyle w:val="33"/>
              <w:rPr>
                <w:color w:val="auto"/>
              </w:rPr>
            </w:pPr>
            <w:r>
              <w:rPr>
                <w:rFonts w:hint="eastAsia"/>
                <w:color w:val="auto"/>
              </w:rPr>
              <w:t>3</w:t>
            </w:r>
          </w:p>
        </w:tc>
        <w:tc>
          <w:tcPr>
            <w:tcW w:w="1686" w:type="dxa"/>
            <w:vMerge w:val="continue"/>
            <w:tcBorders>
              <w:top w:val="single" w:color="000000" w:sz="4" w:space="0"/>
              <w:left w:val="single" w:color="000000" w:sz="4" w:space="0"/>
              <w:bottom w:val="nil"/>
              <w:right w:val="single" w:color="000000" w:sz="4" w:space="0"/>
            </w:tcBorders>
            <w:noWrap/>
            <w:vAlign w:val="center"/>
          </w:tcPr>
          <w:p w14:paraId="41D0F5A7">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86CE6AE">
            <w:pPr>
              <w:pStyle w:val="33"/>
              <w:rPr>
                <w:color w:val="auto"/>
              </w:rPr>
            </w:pPr>
            <w:r>
              <w:rPr>
                <w:rFonts w:hint="eastAsia"/>
                <w:color w:val="auto"/>
              </w:rPr>
              <w:t>前干燥气罩排风新增风机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4DA60F9">
            <w:pPr>
              <w:pStyle w:val="33"/>
              <w:rPr>
                <w:color w:val="auto"/>
              </w:rPr>
            </w:pPr>
            <w:r>
              <w:rPr>
                <w:rFonts w:hint="eastAsia"/>
                <w:color w:val="auto"/>
              </w:rPr>
              <w:t>-235.88</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58C72066">
            <w:pPr>
              <w:pStyle w:val="33"/>
              <w:rPr>
                <w:color w:val="auto"/>
              </w:rPr>
            </w:pPr>
            <w:r>
              <w:rPr>
                <w:rFonts w:hint="eastAsia"/>
                <w:color w:val="auto"/>
              </w:rPr>
              <w:t>113.54</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6A32D121">
            <w:pPr>
              <w:pStyle w:val="33"/>
              <w:rPr>
                <w:color w:val="auto"/>
              </w:rPr>
            </w:pPr>
            <w:r>
              <w:rPr>
                <w:rFonts w:hint="eastAsia"/>
                <w:color w:val="auto"/>
              </w:rPr>
              <w:t>3</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3A8DC44B">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BB03AE6">
            <w:pPr>
              <w:pStyle w:val="33"/>
              <w:rPr>
                <w:color w:val="auto"/>
              </w:rPr>
            </w:pPr>
            <w:r>
              <w:rPr>
                <w:rFonts w:hint="eastAsia"/>
                <w:color w:val="auto"/>
              </w:rPr>
              <w:t>90</w:t>
            </w:r>
          </w:p>
        </w:tc>
        <w:tc>
          <w:tcPr>
            <w:tcW w:w="1701" w:type="dxa"/>
            <w:vMerge w:val="continue"/>
            <w:tcBorders>
              <w:left w:val="single" w:color="000000" w:sz="4" w:space="0"/>
              <w:right w:val="single" w:color="000000" w:sz="4" w:space="0"/>
            </w:tcBorders>
            <w:noWrap/>
            <w:vAlign w:val="center"/>
          </w:tcPr>
          <w:p w14:paraId="62D07899">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72AF66E9">
            <w:pPr>
              <w:pStyle w:val="33"/>
              <w:rPr>
                <w:color w:val="auto"/>
              </w:rPr>
            </w:pPr>
            <w:r>
              <w:rPr>
                <w:rFonts w:hint="eastAsia"/>
                <w:color w:val="auto"/>
              </w:rPr>
              <w:t>75</w:t>
            </w:r>
          </w:p>
        </w:tc>
      </w:tr>
      <w:tr w14:paraId="24C5D6CC">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3C0E91E3">
            <w:pPr>
              <w:pStyle w:val="33"/>
              <w:rPr>
                <w:color w:val="auto"/>
              </w:rPr>
            </w:pPr>
            <w:r>
              <w:rPr>
                <w:rFonts w:hint="eastAsia"/>
                <w:color w:val="auto"/>
              </w:rPr>
              <w:t>4</w:t>
            </w:r>
          </w:p>
        </w:tc>
        <w:tc>
          <w:tcPr>
            <w:tcW w:w="1686" w:type="dxa"/>
            <w:vMerge w:val="continue"/>
            <w:tcBorders>
              <w:top w:val="single" w:color="000000" w:sz="4" w:space="0"/>
              <w:left w:val="single" w:color="000000" w:sz="4" w:space="0"/>
              <w:bottom w:val="nil"/>
              <w:right w:val="single" w:color="000000" w:sz="4" w:space="0"/>
            </w:tcBorders>
            <w:noWrap/>
            <w:vAlign w:val="center"/>
          </w:tcPr>
          <w:p w14:paraId="15FF8CBB">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7C69E8E">
            <w:pPr>
              <w:pStyle w:val="33"/>
              <w:rPr>
                <w:color w:val="auto"/>
              </w:rPr>
            </w:pPr>
            <w:r>
              <w:rPr>
                <w:rFonts w:hint="eastAsia"/>
                <w:color w:val="auto"/>
              </w:rPr>
              <w:t>水汽分离器克负泵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9BD5F09">
            <w:pPr>
              <w:pStyle w:val="33"/>
              <w:rPr>
                <w:color w:val="auto"/>
              </w:rPr>
            </w:pPr>
            <w:r>
              <w:rPr>
                <w:rFonts w:hint="eastAsia"/>
                <w:color w:val="auto"/>
              </w:rPr>
              <w:t>-177.82</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20F3D7FA">
            <w:pPr>
              <w:pStyle w:val="33"/>
              <w:rPr>
                <w:color w:val="auto"/>
              </w:rPr>
            </w:pPr>
            <w:r>
              <w:rPr>
                <w:rFonts w:hint="eastAsia"/>
                <w:color w:val="auto"/>
              </w:rPr>
              <w:t>193.72</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45B16763">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41D82B70">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D0745CD">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3B0D8258">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104E3EA4">
            <w:pPr>
              <w:pStyle w:val="33"/>
              <w:rPr>
                <w:color w:val="auto"/>
              </w:rPr>
            </w:pPr>
            <w:r>
              <w:rPr>
                <w:rFonts w:hint="eastAsia"/>
                <w:color w:val="auto"/>
              </w:rPr>
              <w:t>70</w:t>
            </w:r>
          </w:p>
        </w:tc>
      </w:tr>
      <w:tr w14:paraId="7748C38F">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54CE12F2">
            <w:pPr>
              <w:pStyle w:val="33"/>
              <w:rPr>
                <w:color w:val="auto"/>
              </w:rPr>
            </w:pPr>
            <w:r>
              <w:rPr>
                <w:rFonts w:hint="eastAsia"/>
                <w:color w:val="auto"/>
              </w:rPr>
              <w:t>5</w:t>
            </w:r>
          </w:p>
        </w:tc>
        <w:tc>
          <w:tcPr>
            <w:tcW w:w="1686" w:type="dxa"/>
            <w:vMerge w:val="continue"/>
            <w:tcBorders>
              <w:top w:val="single" w:color="000000" w:sz="4" w:space="0"/>
              <w:left w:val="single" w:color="000000" w:sz="4" w:space="0"/>
              <w:bottom w:val="nil"/>
              <w:right w:val="single" w:color="000000" w:sz="4" w:space="0"/>
            </w:tcBorders>
            <w:noWrap/>
            <w:vAlign w:val="center"/>
          </w:tcPr>
          <w:p w14:paraId="00B9A8A8">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6D87E73B">
            <w:pPr>
              <w:pStyle w:val="33"/>
              <w:rPr>
                <w:color w:val="auto"/>
              </w:rPr>
            </w:pPr>
            <w:r>
              <w:rPr>
                <w:rFonts w:hint="eastAsia"/>
                <w:color w:val="auto"/>
              </w:rPr>
              <w:t>转子泵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1BEB71A">
            <w:pPr>
              <w:pStyle w:val="33"/>
              <w:rPr>
                <w:color w:val="auto"/>
              </w:rPr>
            </w:pPr>
            <w:r>
              <w:rPr>
                <w:rFonts w:hint="eastAsia"/>
                <w:color w:val="auto"/>
              </w:rPr>
              <w:t>-158.47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5C83186A">
            <w:pPr>
              <w:pStyle w:val="33"/>
              <w:rPr>
                <w:color w:val="auto"/>
              </w:rPr>
            </w:pPr>
            <w:r>
              <w:rPr>
                <w:rFonts w:hint="eastAsia"/>
                <w:color w:val="auto"/>
              </w:rPr>
              <w:t>224.13</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2C4C8EA6">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10093E9D">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4DB3CB60">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058E0083">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3B664E0">
            <w:pPr>
              <w:pStyle w:val="33"/>
              <w:rPr>
                <w:color w:val="auto"/>
              </w:rPr>
            </w:pPr>
            <w:r>
              <w:rPr>
                <w:rFonts w:hint="eastAsia"/>
                <w:color w:val="auto"/>
              </w:rPr>
              <w:t>70</w:t>
            </w:r>
          </w:p>
        </w:tc>
      </w:tr>
      <w:tr w14:paraId="4790AE5F">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3D832B27">
            <w:pPr>
              <w:pStyle w:val="33"/>
              <w:rPr>
                <w:color w:val="auto"/>
              </w:rPr>
            </w:pPr>
            <w:r>
              <w:rPr>
                <w:rFonts w:hint="eastAsia"/>
                <w:color w:val="auto"/>
              </w:rPr>
              <w:t>6</w:t>
            </w:r>
          </w:p>
        </w:tc>
        <w:tc>
          <w:tcPr>
            <w:tcW w:w="1686" w:type="dxa"/>
            <w:vMerge w:val="continue"/>
            <w:tcBorders>
              <w:top w:val="single" w:color="000000" w:sz="4" w:space="0"/>
              <w:left w:val="single" w:color="000000" w:sz="4" w:space="0"/>
              <w:bottom w:val="nil"/>
              <w:right w:val="single" w:color="000000" w:sz="4" w:space="0"/>
            </w:tcBorders>
            <w:noWrap/>
            <w:vAlign w:val="center"/>
          </w:tcPr>
          <w:p w14:paraId="6C1B47B7">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6D9B1B6F">
            <w:pPr>
              <w:pStyle w:val="33"/>
              <w:rPr>
                <w:color w:val="auto"/>
              </w:rPr>
            </w:pPr>
            <w:r>
              <w:rPr>
                <w:rFonts w:hint="eastAsia"/>
                <w:color w:val="auto"/>
              </w:rPr>
              <w:t>涂布螺杆泵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72785726">
            <w:pPr>
              <w:pStyle w:val="33"/>
              <w:rPr>
                <w:color w:val="auto"/>
              </w:rPr>
            </w:pPr>
            <w:r>
              <w:rPr>
                <w:rFonts w:hint="eastAsia"/>
                <w:color w:val="auto"/>
              </w:rPr>
              <w:t>-123.91</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0DB44751">
            <w:pPr>
              <w:pStyle w:val="33"/>
              <w:rPr>
                <w:color w:val="auto"/>
              </w:rPr>
            </w:pPr>
            <w:r>
              <w:rPr>
                <w:rFonts w:hint="eastAsia"/>
                <w:color w:val="auto"/>
              </w:rPr>
              <w:t>276.65</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5820A14D">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76D8ED9F">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7B20E71E">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384F5B91">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57789248">
            <w:pPr>
              <w:pStyle w:val="33"/>
              <w:rPr>
                <w:color w:val="auto"/>
              </w:rPr>
            </w:pPr>
            <w:r>
              <w:rPr>
                <w:rFonts w:hint="eastAsia"/>
                <w:color w:val="auto"/>
              </w:rPr>
              <w:t>70</w:t>
            </w:r>
          </w:p>
        </w:tc>
      </w:tr>
      <w:tr w14:paraId="6F0FCCF1">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147E40AA">
            <w:pPr>
              <w:pStyle w:val="33"/>
              <w:rPr>
                <w:color w:val="auto"/>
              </w:rPr>
            </w:pPr>
            <w:r>
              <w:rPr>
                <w:rFonts w:hint="eastAsia"/>
                <w:color w:val="auto"/>
              </w:rPr>
              <w:t>7</w:t>
            </w:r>
          </w:p>
        </w:tc>
        <w:tc>
          <w:tcPr>
            <w:tcW w:w="1686" w:type="dxa"/>
            <w:vMerge w:val="continue"/>
            <w:tcBorders>
              <w:top w:val="single" w:color="000000" w:sz="4" w:space="0"/>
              <w:left w:val="single" w:color="000000" w:sz="4" w:space="0"/>
              <w:bottom w:val="nil"/>
              <w:right w:val="single" w:color="000000" w:sz="4" w:space="0"/>
            </w:tcBorders>
            <w:noWrap/>
            <w:vAlign w:val="center"/>
          </w:tcPr>
          <w:p w14:paraId="4A837E8B">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319A6A98">
            <w:pPr>
              <w:pStyle w:val="33"/>
              <w:rPr>
                <w:color w:val="auto"/>
              </w:rPr>
            </w:pPr>
            <w:r>
              <w:rPr>
                <w:rFonts w:hint="eastAsia"/>
                <w:color w:val="auto"/>
              </w:rPr>
              <w:t>振动筛</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0BF829BB">
            <w:pPr>
              <w:pStyle w:val="33"/>
              <w:rPr>
                <w:color w:val="auto"/>
              </w:rPr>
            </w:pPr>
            <w:r>
              <w:rPr>
                <w:rFonts w:hint="eastAsia"/>
                <w:color w:val="auto"/>
              </w:rPr>
              <w:t>-86.58</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4A659C9C">
            <w:pPr>
              <w:pStyle w:val="33"/>
              <w:rPr>
                <w:color w:val="auto"/>
              </w:rPr>
            </w:pPr>
            <w:r>
              <w:rPr>
                <w:rFonts w:hint="eastAsia"/>
                <w:color w:val="auto"/>
              </w:rPr>
              <w:t>340.24</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3735F6EC">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2C4E84F1">
            <w:pPr>
              <w:pStyle w:val="33"/>
              <w:rPr>
                <w:color w:val="auto"/>
              </w:rPr>
            </w:pPr>
            <w:r>
              <w:rPr>
                <w:rFonts w:hint="eastAsia"/>
                <w:color w:val="auto"/>
              </w:rPr>
              <w:t>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B4ED6C8">
            <w:pPr>
              <w:pStyle w:val="33"/>
              <w:rPr>
                <w:color w:val="auto"/>
              </w:rPr>
            </w:pPr>
            <w:r>
              <w:rPr>
                <w:rFonts w:hint="eastAsia"/>
                <w:color w:val="auto"/>
              </w:rPr>
              <w:t>90</w:t>
            </w:r>
          </w:p>
        </w:tc>
        <w:tc>
          <w:tcPr>
            <w:tcW w:w="1701" w:type="dxa"/>
            <w:vMerge w:val="continue"/>
            <w:tcBorders>
              <w:left w:val="single" w:color="000000" w:sz="4" w:space="0"/>
              <w:right w:val="single" w:color="000000" w:sz="4" w:space="0"/>
            </w:tcBorders>
            <w:noWrap/>
            <w:vAlign w:val="center"/>
          </w:tcPr>
          <w:p w14:paraId="7A92B090">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88C7274">
            <w:pPr>
              <w:pStyle w:val="33"/>
              <w:rPr>
                <w:color w:val="auto"/>
              </w:rPr>
            </w:pPr>
            <w:r>
              <w:rPr>
                <w:rFonts w:hint="eastAsia"/>
                <w:color w:val="auto"/>
              </w:rPr>
              <w:t>75</w:t>
            </w:r>
          </w:p>
        </w:tc>
      </w:tr>
      <w:tr w14:paraId="08B5D85A">
        <w:tblPrEx>
          <w:tblCellMar>
            <w:top w:w="0" w:type="dxa"/>
            <w:left w:w="108" w:type="dxa"/>
            <w:bottom w:w="0" w:type="dxa"/>
            <w:right w:w="108" w:type="dxa"/>
          </w:tblCellMar>
        </w:tblPrEx>
        <w:trPr>
          <w:trHeight w:val="3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4C361C9B">
            <w:pPr>
              <w:pStyle w:val="33"/>
              <w:rPr>
                <w:color w:val="auto"/>
              </w:rPr>
            </w:pPr>
            <w:r>
              <w:rPr>
                <w:rFonts w:hint="eastAsia"/>
                <w:color w:val="auto"/>
              </w:rPr>
              <w:t>8</w:t>
            </w:r>
          </w:p>
        </w:tc>
        <w:tc>
          <w:tcPr>
            <w:tcW w:w="1686" w:type="dxa"/>
            <w:vMerge w:val="continue"/>
            <w:tcBorders>
              <w:top w:val="single" w:color="000000" w:sz="4" w:space="0"/>
              <w:left w:val="single" w:color="000000" w:sz="4" w:space="0"/>
              <w:bottom w:val="nil"/>
              <w:right w:val="single" w:color="000000" w:sz="4" w:space="0"/>
            </w:tcBorders>
            <w:noWrap/>
            <w:vAlign w:val="center"/>
          </w:tcPr>
          <w:p w14:paraId="52F4453E">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0113AB0">
            <w:pPr>
              <w:pStyle w:val="33"/>
              <w:rPr>
                <w:color w:val="auto"/>
              </w:rPr>
            </w:pPr>
            <w:r>
              <w:rPr>
                <w:rFonts w:hint="eastAsia"/>
                <w:color w:val="auto"/>
              </w:rPr>
              <w:t>表胶上下辊分开供料供料泵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30051947">
            <w:pPr>
              <w:pStyle w:val="33"/>
              <w:rPr>
                <w:color w:val="auto"/>
              </w:rPr>
            </w:pPr>
            <w:r>
              <w:rPr>
                <w:rFonts w:hint="eastAsia"/>
                <w:color w:val="auto"/>
              </w:rPr>
              <w:t>-29.91</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4EA77A22">
            <w:pPr>
              <w:pStyle w:val="33"/>
              <w:rPr>
                <w:color w:val="auto"/>
              </w:rPr>
            </w:pPr>
            <w:r>
              <w:rPr>
                <w:rFonts w:hint="eastAsia"/>
                <w:color w:val="auto"/>
              </w:rPr>
              <w:t>403.83</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0A053A74">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05A02E4A">
            <w:pPr>
              <w:pStyle w:val="33"/>
              <w:rPr>
                <w:color w:val="auto"/>
              </w:rPr>
            </w:pPr>
            <w:r>
              <w:rPr>
                <w:rFonts w:hint="eastAsia"/>
                <w:color w:val="auto"/>
              </w:rPr>
              <w:t>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D1C7E8F">
            <w:pPr>
              <w:pStyle w:val="33"/>
              <w:rPr>
                <w:color w:val="auto"/>
              </w:rPr>
            </w:pPr>
            <w:r>
              <w:rPr>
                <w:rFonts w:hint="eastAsia"/>
                <w:color w:val="auto"/>
              </w:rPr>
              <w:t>85</w:t>
            </w:r>
          </w:p>
        </w:tc>
        <w:tc>
          <w:tcPr>
            <w:tcW w:w="1701" w:type="dxa"/>
            <w:vMerge w:val="continue"/>
            <w:tcBorders>
              <w:left w:val="single" w:color="000000" w:sz="4" w:space="0"/>
              <w:bottom w:val="single" w:color="000000" w:sz="4" w:space="0"/>
              <w:right w:val="single" w:color="000000" w:sz="4" w:space="0"/>
            </w:tcBorders>
            <w:noWrap/>
            <w:vAlign w:val="center"/>
          </w:tcPr>
          <w:p w14:paraId="79301E32">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460353E2">
            <w:pPr>
              <w:pStyle w:val="33"/>
              <w:rPr>
                <w:color w:val="auto"/>
              </w:rPr>
            </w:pPr>
            <w:r>
              <w:rPr>
                <w:rFonts w:hint="eastAsia"/>
                <w:color w:val="auto"/>
              </w:rPr>
              <w:t>70</w:t>
            </w:r>
          </w:p>
        </w:tc>
      </w:tr>
      <w:tr w14:paraId="2FFADB45">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4339A09A">
            <w:pPr>
              <w:pStyle w:val="33"/>
              <w:rPr>
                <w:color w:val="auto"/>
              </w:rPr>
            </w:pPr>
            <w:r>
              <w:rPr>
                <w:rFonts w:hint="eastAsia"/>
                <w:color w:val="auto"/>
              </w:rPr>
              <w:t>9</w:t>
            </w:r>
          </w:p>
        </w:tc>
        <w:tc>
          <w:tcPr>
            <w:tcW w:w="1686" w:type="dxa"/>
            <w:tcBorders>
              <w:top w:val="single" w:color="000000" w:sz="4" w:space="0"/>
              <w:left w:val="single" w:color="000000" w:sz="4" w:space="0"/>
              <w:bottom w:val="single" w:color="000000" w:sz="4" w:space="0"/>
              <w:right w:val="single" w:color="000000" w:sz="4" w:space="0"/>
            </w:tcBorders>
            <w:noWrap/>
            <w:vAlign w:val="center"/>
          </w:tcPr>
          <w:p w14:paraId="14D31EB9">
            <w:pPr>
              <w:pStyle w:val="33"/>
              <w:rPr>
                <w:color w:val="auto"/>
              </w:rPr>
            </w:pPr>
            <w:r>
              <w:rPr>
                <w:rFonts w:hint="eastAsia"/>
                <w:color w:val="auto"/>
              </w:rPr>
              <w:t>2#</w:t>
            </w:r>
            <w:r>
              <w:rPr>
                <w:color w:val="auto"/>
              </w:rPr>
              <w:t>白卡纸生产线</w:t>
            </w: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24E4C78">
            <w:pPr>
              <w:pStyle w:val="33"/>
              <w:rPr>
                <w:color w:val="auto"/>
              </w:rPr>
            </w:pPr>
            <w:r>
              <w:rPr>
                <w:rFonts w:hint="eastAsia"/>
                <w:color w:val="auto"/>
              </w:rPr>
              <w:t>螺杆泵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0D83FFC">
            <w:pPr>
              <w:pStyle w:val="33"/>
              <w:rPr>
                <w:color w:val="auto"/>
              </w:rPr>
            </w:pPr>
            <w:r>
              <w:rPr>
                <w:rFonts w:hint="eastAsia"/>
                <w:color w:val="auto"/>
              </w:rPr>
              <w:t>-79.67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531B565A">
            <w:pPr>
              <w:pStyle w:val="33"/>
              <w:rPr>
                <w:color w:val="auto"/>
              </w:rPr>
            </w:pPr>
            <w:r>
              <w:rPr>
                <w:rFonts w:hint="eastAsia"/>
                <w:color w:val="auto"/>
              </w:rPr>
              <w:t>482.62</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5ACCA731">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7836DD3C">
            <w:pPr>
              <w:pStyle w:val="33"/>
              <w:rPr>
                <w:color w:val="auto"/>
              </w:rPr>
            </w:pPr>
            <w:r>
              <w:rPr>
                <w:rFonts w:hint="eastAsia"/>
                <w:color w:val="auto"/>
              </w:rPr>
              <w:t>3</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BD25037">
            <w:pPr>
              <w:pStyle w:val="33"/>
              <w:rPr>
                <w:color w:val="auto"/>
              </w:rPr>
            </w:pPr>
            <w:r>
              <w:rPr>
                <w:rFonts w:hint="eastAsia"/>
                <w:color w:val="auto"/>
              </w:rPr>
              <w:t>85</w:t>
            </w:r>
          </w:p>
        </w:tc>
        <w:tc>
          <w:tcPr>
            <w:tcW w:w="1701" w:type="dxa"/>
            <w:tcBorders>
              <w:top w:val="single" w:color="000000" w:sz="4" w:space="0"/>
              <w:left w:val="single" w:color="000000" w:sz="4" w:space="0"/>
              <w:bottom w:val="single" w:color="000000" w:sz="4" w:space="0"/>
              <w:right w:val="single" w:color="000000" w:sz="4" w:space="0"/>
            </w:tcBorders>
            <w:noWrap/>
            <w:vAlign w:val="center"/>
          </w:tcPr>
          <w:p w14:paraId="7E5C2CE9">
            <w:pPr>
              <w:pStyle w:val="33"/>
              <w:rPr>
                <w:color w:val="auto"/>
              </w:rPr>
            </w:pPr>
            <w:r>
              <w:rPr>
                <w:color w:val="auto"/>
              </w:rPr>
              <w:t>选用低噪声设备，基础减震</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133EC3E">
            <w:pPr>
              <w:pStyle w:val="33"/>
              <w:rPr>
                <w:color w:val="auto"/>
              </w:rPr>
            </w:pPr>
            <w:r>
              <w:rPr>
                <w:rFonts w:hint="eastAsia"/>
                <w:color w:val="auto"/>
              </w:rPr>
              <w:t>70</w:t>
            </w:r>
          </w:p>
        </w:tc>
      </w:tr>
      <w:tr w14:paraId="53FA4408">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45BAAA40">
            <w:pPr>
              <w:pStyle w:val="33"/>
              <w:rPr>
                <w:color w:val="auto"/>
              </w:rPr>
            </w:pPr>
            <w:r>
              <w:rPr>
                <w:rFonts w:hint="eastAsia"/>
                <w:color w:val="auto"/>
              </w:rPr>
              <w:t>10</w:t>
            </w:r>
          </w:p>
        </w:tc>
        <w:tc>
          <w:tcPr>
            <w:tcW w:w="1686" w:type="dxa"/>
            <w:vMerge w:val="restart"/>
            <w:tcBorders>
              <w:top w:val="single" w:color="000000" w:sz="4" w:space="0"/>
              <w:left w:val="single" w:color="000000" w:sz="4" w:space="0"/>
              <w:bottom w:val="single" w:color="000000" w:sz="4" w:space="0"/>
              <w:right w:val="single" w:color="000000" w:sz="4" w:space="0"/>
            </w:tcBorders>
            <w:noWrap/>
            <w:vAlign w:val="center"/>
          </w:tcPr>
          <w:p w14:paraId="25223E55">
            <w:pPr>
              <w:pStyle w:val="33"/>
              <w:rPr>
                <w:color w:val="auto"/>
              </w:rPr>
            </w:pPr>
            <w:r>
              <w:rPr>
                <w:rFonts w:hint="eastAsia"/>
                <w:color w:val="auto"/>
              </w:rPr>
              <w:t>整理车间</w:t>
            </w: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2DBDF7A1">
            <w:pPr>
              <w:pStyle w:val="33"/>
              <w:rPr>
                <w:color w:val="auto"/>
              </w:rPr>
            </w:pPr>
            <w:r>
              <w:rPr>
                <w:rFonts w:hint="eastAsia"/>
                <w:color w:val="auto"/>
              </w:rPr>
              <w:t>卷筒包装机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BD1B088">
            <w:pPr>
              <w:pStyle w:val="33"/>
              <w:rPr>
                <w:color w:val="auto"/>
              </w:rPr>
            </w:pPr>
            <w:r>
              <w:rPr>
                <w:rFonts w:hint="eastAsia"/>
                <w:color w:val="auto"/>
              </w:rPr>
              <w:t>-313.68</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666E3176">
            <w:pPr>
              <w:pStyle w:val="33"/>
              <w:rPr>
                <w:color w:val="auto"/>
              </w:rPr>
            </w:pPr>
            <w:r>
              <w:rPr>
                <w:rFonts w:hint="eastAsia"/>
                <w:color w:val="auto"/>
              </w:rPr>
              <w:t>-84.51</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2C6C76FA">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581D1901">
            <w:pPr>
              <w:pStyle w:val="33"/>
              <w:rPr>
                <w:color w:val="auto"/>
              </w:rPr>
            </w:pPr>
            <w:r>
              <w:rPr>
                <w:rFonts w:hint="eastAsia"/>
                <w:color w:val="auto"/>
              </w:rPr>
              <w:t>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F552070">
            <w:pPr>
              <w:pStyle w:val="33"/>
              <w:rPr>
                <w:color w:val="auto"/>
              </w:rPr>
            </w:pPr>
            <w:r>
              <w:rPr>
                <w:rFonts w:hint="eastAsia"/>
                <w:color w:val="auto"/>
              </w:rPr>
              <w:t>70</w:t>
            </w:r>
          </w:p>
        </w:tc>
        <w:tc>
          <w:tcPr>
            <w:tcW w:w="1701" w:type="dxa"/>
            <w:vMerge w:val="restart"/>
            <w:tcBorders>
              <w:top w:val="single" w:color="000000" w:sz="4" w:space="0"/>
              <w:left w:val="single" w:color="000000" w:sz="4" w:space="0"/>
              <w:right w:val="single" w:color="000000" w:sz="4" w:space="0"/>
            </w:tcBorders>
            <w:noWrap/>
            <w:vAlign w:val="center"/>
          </w:tcPr>
          <w:p w14:paraId="2FCA6A2A">
            <w:pPr>
              <w:pStyle w:val="33"/>
              <w:rPr>
                <w:color w:val="auto"/>
              </w:rPr>
            </w:pPr>
            <w:r>
              <w:rPr>
                <w:color w:val="auto"/>
              </w:rPr>
              <w:t>选用低噪声设备，基础减震</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0357A24E">
            <w:pPr>
              <w:pStyle w:val="33"/>
              <w:rPr>
                <w:color w:val="auto"/>
              </w:rPr>
            </w:pPr>
            <w:r>
              <w:rPr>
                <w:rFonts w:hint="eastAsia"/>
                <w:color w:val="auto"/>
              </w:rPr>
              <w:t>50</w:t>
            </w:r>
          </w:p>
        </w:tc>
      </w:tr>
      <w:tr w14:paraId="52EABC69">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4310BB80">
            <w:pPr>
              <w:pStyle w:val="33"/>
              <w:rPr>
                <w:color w:val="auto"/>
              </w:rPr>
            </w:pPr>
            <w:r>
              <w:rPr>
                <w:rFonts w:hint="eastAsia"/>
                <w:color w:val="auto"/>
              </w:rPr>
              <w:t>11</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73F5FA1C">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3E88F17E">
            <w:pPr>
              <w:pStyle w:val="33"/>
              <w:rPr>
                <w:color w:val="auto"/>
              </w:rPr>
            </w:pPr>
            <w:r>
              <w:rPr>
                <w:rFonts w:hint="eastAsia"/>
                <w:color w:val="auto"/>
              </w:rPr>
              <w:t>小复卷机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6A54937">
            <w:pPr>
              <w:pStyle w:val="33"/>
              <w:rPr>
                <w:color w:val="auto"/>
              </w:rPr>
            </w:pPr>
            <w:r>
              <w:rPr>
                <w:rFonts w:hint="eastAsia"/>
                <w:color w:val="auto"/>
              </w:rPr>
              <w:t>-339.42</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2DF67FAC">
            <w:pPr>
              <w:pStyle w:val="33"/>
              <w:rPr>
                <w:color w:val="auto"/>
              </w:rPr>
            </w:pPr>
            <w:r>
              <w:rPr>
                <w:rFonts w:hint="eastAsia"/>
                <w:color w:val="auto"/>
              </w:rPr>
              <w:t>-127.41</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648CC844">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07EBD04B">
            <w:pPr>
              <w:pStyle w:val="33"/>
              <w:rPr>
                <w:color w:val="auto"/>
              </w:rPr>
            </w:pPr>
            <w:r>
              <w:rPr>
                <w:rFonts w:hint="eastAsia"/>
                <w:color w:val="auto"/>
              </w:rPr>
              <w:t>2</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7CA27CD2">
            <w:pPr>
              <w:pStyle w:val="33"/>
              <w:rPr>
                <w:color w:val="auto"/>
              </w:rPr>
            </w:pPr>
            <w:r>
              <w:rPr>
                <w:rFonts w:hint="eastAsia"/>
                <w:color w:val="auto"/>
              </w:rPr>
              <w:t>70</w:t>
            </w:r>
          </w:p>
        </w:tc>
        <w:tc>
          <w:tcPr>
            <w:tcW w:w="1701" w:type="dxa"/>
            <w:vMerge w:val="continue"/>
            <w:tcBorders>
              <w:left w:val="single" w:color="000000" w:sz="4" w:space="0"/>
              <w:right w:val="single" w:color="000000" w:sz="4" w:space="0"/>
            </w:tcBorders>
            <w:noWrap/>
            <w:vAlign w:val="center"/>
          </w:tcPr>
          <w:p w14:paraId="009B919C">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B2DB0F6">
            <w:pPr>
              <w:pStyle w:val="33"/>
              <w:rPr>
                <w:color w:val="auto"/>
              </w:rPr>
            </w:pPr>
            <w:r>
              <w:rPr>
                <w:rFonts w:hint="eastAsia"/>
                <w:color w:val="auto"/>
              </w:rPr>
              <w:t>50</w:t>
            </w:r>
          </w:p>
        </w:tc>
      </w:tr>
      <w:tr w14:paraId="5A07CCBE">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124AF4DE">
            <w:pPr>
              <w:pStyle w:val="33"/>
              <w:rPr>
                <w:color w:val="auto"/>
              </w:rPr>
            </w:pPr>
            <w:r>
              <w:rPr>
                <w:rFonts w:hint="eastAsia"/>
                <w:color w:val="auto"/>
              </w:rPr>
              <w:t>12</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60A0B1A0">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FCB442F">
            <w:pPr>
              <w:pStyle w:val="33"/>
              <w:rPr>
                <w:color w:val="auto"/>
              </w:rPr>
            </w:pPr>
            <w:r>
              <w:rPr>
                <w:rFonts w:hint="eastAsia"/>
                <w:color w:val="auto"/>
              </w:rPr>
              <w:t>令包机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040378A0">
            <w:pPr>
              <w:pStyle w:val="33"/>
              <w:rPr>
                <w:color w:val="auto"/>
              </w:rPr>
            </w:pPr>
            <w:r>
              <w:rPr>
                <w:rFonts w:hint="eastAsia"/>
                <w:color w:val="auto"/>
              </w:rPr>
              <w:t>-169.26</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1437326C">
            <w:pPr>
              <w:pStyle w:val="33"/>
              <w:rPr>
                <w:color w:val="auto"/>
              </w:rPr>
            </w:pPr>
            <w:r>
              <w:rPr>
                <w:rFonts w:hint="eastAsia"/>
                <w:color w:val="auto"/>
              </w:rPr>
              <w:t>-164.59</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249617BA">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2D1900C8">
            <w:pPr>
              <w:pStyle w:val="33"/>
              <w:rPr>
                <w:color w:val="auto"/>
              </w:rPr>
            </w:pPr>
            <w:r>
              <w:rPr>
                <w:rFonts w:hint="eastAsia"/>
                <w:color w:val="auto"/>
              </w:rPr>
              <w:t>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333FB3B3">
            <w:pPr>
              <w:pStyle w:val="33"/>
              <w:rPr>
                <w:color w:val="auto"/>
              </w:rPr>
            </w:pPr>
            <w:r>
              <w:rPr>
                <w:rFonts w:hint="eastAsia"/>
                <w:color w:val="auto"/>
              </w:rPr>
              <w:t>70</w:t>
            </w:r>
          </w:p>
        </w:tc>
        <w:tc>
          <w:tcPr>
            <w:tcW w:w="1701" w:type="dxa"/>
            <w:vMerge w:val="continue"/>
            <w:tcBorders>
              <w:left w:val="single" w:color="000000" w:sz="4" w:space="0"/>
              <w:bottom w:val="single" w:color="000000" w:sz="4" w:space="0"/>
              <w:right w:val="single" w:color="000000" w:sz="4" w:space="0"/>
            </w:tcBorders>
            <w:noWrap/>
            <w:vAlign w:val="center"/>
          </w:tcPr>
          <w:p w14:paraId="2DDDB8F7">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E0D9487">
            <w:pPr>
              <w:pStyle w:val="33"/>
              <w:rPr>
                <w:color w:val="auto"/>
              </w:rPr>
            </w:pPr>
            <w:r>
              <w:rPr>
                <w:rFonts w:hint="eastAsia"/>
                <w:color w:val="auto"/>
              </w:rPr>
              <w:t>50</w:t>
            </w:r>
          </w:p>
        </w:tc>
      </w:tr>
      <w:tr w14:paraId="3D9C42E0">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78467CB9">
            <w:pPr>
              <w:pStyle w:val="33"/>
              <w:rPr>
                <w:color w:val="auto"/>
              </w:rPr>
            </w:pPr>
            <w:r>
              <w:rPr>
                <w:rFonts w:hint="eastAsia"/>
                <w:color w:val="auto"/>
              </w:rPr>
              <w:t>13</w:t>
            </w:r>
          </w:p>
        </w:tc>
        <w:tc>
          <w:tcPr>
            <w:tcW w:w="1686" w:type="dxa"/>
            <w:vMerge w:val="restart"/>
            <w:tcBorders>
              <w:top w:val="single" w:color="000000" w:sz="4" w:space="0"/>
              <w:left w:val="single" w:color="000000" w:sz="4" w:space="0"/>
              <w:bottom w:val="single" w:color="000000" w:sz="4" w:space="0"/>
              <w:right w:val="single" w:color="000000" w:sz="4" w:space="0"/>
            </w:tcBorders>
            <w:noWrap/>
            <w:vAlign w:val="center"/>
          </w:tcPr>
          <w:p w14:paraId="432BAE08">
            <w:pPr>
              <w:pStyle w:val="33"/>
              <w:rPr>
                <w:color w:val="auto"/>
              </w:rPr>
            </w:pPr>
            <w:r>
              <w:rPr>
                <w:rFonts w:hint="eastAsia"/>
                <w:color w:val="auto"/>
              </w:rPr>
              <w:t>3#污水处理站</w:t>
            </w: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7DC0473D">
            <w:pPr>
              <w:pStyle w:val="33"/>
              <w:rPr>
                <w:color w:val="auto"/>
              </w:rPr>
            </w:pPr>
            <w:r>
              <w:rPr>
                <w:rFonts w:hint="eastAsia"/>
                <w:color w:val="auto"/>
              </w:rPr>
              <w:t>污泥泵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479E34C">
            <w:pPr>
              <w:pStyle w:val="33"/>
              <w:rPr>
                <w:color w:val="auto"/>
              </w:rPr>
            </w:pPr>
            <w:r>
              <w:rPr>
                <w:rFonts w:hint="eastAsia"/>
                <w:color w:val="auto"/>
              </w:rPr>
              <w:t>-680.96</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6311C96D">
            <w:pPr>
              <w:pStyle w:val="33"/>
              <w:rPr>
                <w:color w:val="auto"/>
              </w:rPr>
            </w:pPr>
            <w:r>
              <w:rPr>
                <w:rFonts w:hint="eastAsia"/>
                <w:color w:val="auto"/>
              </w:rPr>
              <w:t>-627.3</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3C694D3D">
            <w:pPr>
              <w:pStyle w:val="33"/>
              <w:rPr>
                <w:color w:val="auto"/>
              </w:rPr>
            </w:pPr>
            <w:r>
              <w:rPr>
                <w:rFonts w:hint="eastAsia"/>
                <w:color w:val="auto"/>
              </w:rPr>
              <w:t>-5</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2EC4F38E">
            <w:pPr>
              <w:pStyle w:val="33"/>
              <w:rPr>
                <w:color w:val="auto"/>
              </w:rPr>
            </w:pPr>
            <w:r>
              <w:rPr>
                <w:rFonts w:hint="eastAsia"/>
                <w:color w:val="auto"/>
              </w:rPr>
              <w:t>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4C0529F">
            <w:pPr>
              <w:pStyle w:val="33"/>
              <w:rPr>
                <w:color w:val="auto"/>
              </w:rPr>
            </w:pPr>
            <w:r>
              <w:rPr>
                <w:rFonts w:hint="eastAsia"/>
                <w:color w:val="auto"/>
              </w:rPr>
              <w:t>85</w:t>
            </w:r>
          </w:p>
        </w:tc>
        <w:tc>
          <w:tcPr>
            <w:tcW w:w="1701" w:type="dxa"/>
            <w:vMerge w:val="restart"/>
            <w:tcBorders>
              <w:top w:val="single" w:color="000000" w:sz="4" w:space="0"/>
              <w:left w:val="single" w:color="000000" w:sz="4" w:space="0"/>
              <w:right w:val="single" w:color="000000" w:sz="4" w:space="0"/>
            </w:tcBorders>
            <w:noWrap/>
            <w:vAlign w:val="center"/>
          </w:tcPr>
          <w:p w14:paraId="712E74E7">
            <w:pPr>
              <w:pStyle w:val="33"/>
              <w:rPr>
                <w:color w:val="auto"/>
              </w:rPr>
            </w:pPr>
            <w:r>
              <w:rPr>
                <w:color w:val="auto"/>
              </w:rPr>
              <w:t>选用低噪声设备，基础减震</w:t>
            </w: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1E47A546">
            <w:pPr>
              <w:pStyle w:val="33"/>
              <w:rPr>
                <w:color w:val="auto"/>
              </w:rPr>
            </w:pPr>
            <w:r>
              <w:rPr>
                <w:rFonts w:hint="eastAsia"/>
                <w:color w:val="auto"/>
              </w:rPr>
              <w:t>70</w:t>
            </w:r>
          </w:p>
        </w:tc>
      </w:tr>
      <w:tr w14:paraId="2E3571C2">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2EBE5A0D">
            <w:pPr>
              <w:pStyle w:val="33"/>
              <w:rPr>
                <w:color w:val="auto"/>
              </w:rPr>
            </w:pPr>
            <w:r>
              <w:rPr>
                <w:rFonts w:hint="eastAsia"/>
                <w:color w:val="auto"/>
              </w:rPr>
              <w:t>14</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579173EC">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218FE5A">
            <w:pPr>
              <w:pStyle w:val="33"/>
              <w:rPr>
                <w:color w:val="auto"/>
              </w:rPr>
            </w:pPr>
            <w:r>
              <w:rPr>
                <w:rFonts w:hint="eastAsia"/>
                <w:color w:val="auto"/>
              </w:rPr>
              <w:t>周边转动刮泥机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3E27F77">
            <w:pPr>
              <w:pStyle w:val="33"/>
              <w:rPr>
                <w:color w:val="auto"/>
              </w:rPr>
            </w:pPr>
            <w:r>
              <w:rPr>
                <w:rFonts w:hint="eastAsia"/>
                <w:color w:val="auto"/>
              </w:rPr>
              <w:t>-649.63</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7340B79F">
            <w:pPr>
              <w:pStyle w:val="33"/>
              <w:rPr>
                <w:color w:val="auto"/>
              </w:rPr>
            </w:pPr>
            <w:r>
              <w:rPr>
                <w:rFonts w:hint="eastAsia"/>
                <w:color w:val="auto"/>
              </w:rPr>
              <w:t>-645.78</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14D132DE">
            <w:pPr>
              <w:pStyle w:val="33"/>
              <w:rPr>
                <w:color w:val="auto"/>
              </w:rPr>
            </w:pPr>
            <w:r>
              <w:rPr>
                <w:rFonts w:hint="eastAsia"/>
                <w:color w:val="auto"/>
              </w:rPr>
              <w:t>3</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38993BE6">
            <w:pPr>
              <w:pStyle w:val="33"/>
              <w:rPr>
                <w:color w:val="auto"/>
              </w:rPr>
            </w:pPr>
            <w:r>
              <w:rPr>
                <w:rFonts w:hint="eastAsia"/>
                <w:color w:val="auto"/>
              </w:rPr>
              <w:t>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99BCACE">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18C04264">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2BFABFB">
            <w:pPr>
              <w:pStyle w:val="33"/>
              <w:rPr>
                <w:color w:val="auto"/>
              </w:rPr>
            </w:pPr>
            <w:r>
              <w:rPr>
                <w:rFonts w:hint="eastAsia"/>
                <w:color w:val="auto"/>
              </w:rPr>
              <w:t>70</w:t>
            </w:r>
          </w:p>
        </w:tc>
      </w:tr>
      <w:tr w14:paraId="6F40D6A8">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5359F472">
            <w:pPr>
              <w:pStyle w:val="33"/>
              <w:rPr>
                <w:color w:val="auto"/>
              </w:rPr>
            </w:pPr>
            <w:r>
              <w:rPr>
                <w:rFonts w:hint="eastAsia"/>
                <w:color w:val="auto"/>
              </w:rPr>
              <w:t>15</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3D039281">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4D183794">
            <w:pPr>
              <w:pStyle w:val="33"/>
              <w:rPr>
                <w:color w:val="auto"/>
              </w:rPr>
            </w:pPr>
            <w:r>
              <w:rPr>
                <w:rFonts w:hint="eastAsia"/>
                <w:color w:val="auto"/>
              </w:rPr>
              <w:t>二沉池刮泥机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35190501">
            <w:pPr>
              <w:pStyle w:val="33"/>
              <w:rPr>
                <w:color w:val="auto"/>
              </w:rPr>
            </w:pPr>
            <w:r>
              <w:rPr>
                <w:rFonts w:hint="eastAsia"/>
                <w:color w:val="auto"/>
              </w:rPr>
              <w:t>-709.77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1BE1C1D8">
            <w:pPr>
              <w:pStyle w:val="33"/>
              <w:rPr>
                <w:color w:val="auto"/>
              </w:rPr>
            </w:pPr>
            <w:r>
              <w:rPr>
                <w:rFonts w:hint="eastAsia"/>
                <w:color w:val="auto"/>
              </w:rPr>
              <w:t>-741.36</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3ED64413">
            <w:pPr>
              <w:pStyle w:val="33"/>
              <w:rPr>
                <w:color w:val="auto"/>
              </w:rPr>
            </w:pPr>
            <w:r>
              <w:rPr>
                <w:rFonts w:hint="eastAsia"/>
                <w:color w:val="auto"/>
              </w:rPr>
              <w:t>3</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3CFE671E">
            <w:pPr>
              <w:pStyle w:val="33"/>
              <w:rPr>
                <w:color w:val="auto"/>
              </w:rPr>
            </w:pPr>
            <w:r>
              <w:rPr>
                <w:rFonts w:hint="eastAsia"/>
                <w:color w:val="auto"/>
              </w:rPr>
              <w:t>1</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06C6B80D">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108F8F83">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6E813E53">
            <w:pPr>
              <w:pStyle w:val="33"/>
              <w:rPr>
                <w:color w:val="auto"/>
              </w:rPr>
            </w:pPr>
            <w:r>
              <w:rPr>
                <w:rFonts w:hint="eastAsia"/>
                <w:color w:val="auto"/>
              </w:rPr>
              <w:t>70</w:t>
            </w:r>
          </w:p>
        </w:tc>
      </w:tr>
      <w:tr w14:paraId="11B06E01">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2577E970">
            <w:pPr>
              <w:pStyle w:val="33"/>
              <w:rPr>
                <w:color w:val="auto"/>
              </w:rPr>
            </w:pPr>
            <w:r>
              <w:rPr>
                <w:rFonts w:hint="eastAsia"/>
                <w:color w:val="auto"/>
              </w:rPr>
              <w:t>16</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044331A7">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20D47D7B">
            <w:pPr>
              <w:pStyle w:val="33"/>
              <w:rPr>
                <w:color w:val="auto"/>
              </w:rPr>
            </w:pPr>
            <w:r>
              <w:rPr>
                <w:rFonts w:hint="eastAsia"/>
                <w:color w:val="auto"/>
              </w:rPr>
              <w:t>鼓风机</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2DE98CD">
            <w:pPr>
              <w:pStyle w:val="33"/>
              <w:rPr>
                <w:color w:val="auto"/>
              </w:rPr>
            </w:pPr>
            <w:r>
              <w:rPr>
                <w:rFonts w:hint="eastAsia"/>
                <w:color w:val="auto"/>
              </w:rPr>
              <w:t>-679.7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00989E09">
            <w:pPr>
              <w:pStyle w:val="33"/>
              <w:rPr>
                <w:color w:val="auto"/>
              </w:rPr>
            </w:pPr>
            <w:r>
              <w:rPr>
                <w:rFonts w:hint="eastAsia"/>
                <w:color w:val="auto"/>
              </w:rPr>
              <w:t>-694.11</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79F35D2A">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084A004F">
            <w:pPr>
              <w:pStyle w:val="33"/>
              <w:rPr>
                <w:color w:val="auto"/>
              </w:rPr>
            </w:pPr>
            <w:r>
              <w:rPr>
                <w:rFonts w:hint="eastAsia"/>
                <w:color w:val="auto"/>
              </w:rPr>
              <w:t>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9FA92DF">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3CE12305">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24093E86">
            <w:pPr>
              <w:pStyle w:val="33"/>
              <w:rPr>
                <w:color w:val="auto"/>
              </w:rPr>
            </w:pPr>
            <w:r>
              <w:rPr>
                <w:rFonts w:hint="eastAsia"/>
                <w:color w:val="auto"/>
              </w:rPr>
              <w:t>70</w:t>
            </w:r>
          </w:p>
        </w:tc>
      </w:tr>
      <w:tr w14:paraId="15D3272D">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3878CF3E">
            <w:pPr>
              <w:pStyle w:val="33"/>
              <w:rPr>
                <w:color w:val="auto"/>
              </w:rPr>
            </w:pPr>
            <w:r>
              <w:rPr>
                <w:rFonts w:hint="eastAsia"/>
                <w:color w:val="auto"/>
              </w:rPr>
              <w:t>17</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0DB33DD1">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3057288F">
            <w:pPr>
              <w:pStyle w:val="33"/>
              <w:rPr>
                <w:color w:val="auto"/>
              </w:rPr>
            </w:pPr>
            <w:r>
              <w:rPr>
                <w:rFonts w:hint="eastAsia"/>
                <w:color w:val="auto"/>
              </w:rPr>
              <w:t>回流污泥泵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ABBC12E">
            <w:pPr>
              <w:pStyle w:val="33"/>
              <w:rPr>
                <w:color w:val="auto"/>
              </w:rPr>
            </w:pPr>
            <w:r>
              <w:rPr>
                <w:rFonts w:hint="eastAsia"/>
                <w:color w:val="auto"/>
              </w:rPr>
              <w:t>-706.02</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2FEEC346">
            <w:pPr>
              <w:pStyle w:val="33"/>
              <w:rPr>
                <w:color w:val="auto"/>
              </w:rPr>
            </w:pPr>
            <w:r>
              <w:rPr>
                <w:rFonts w:hint="eastAsia"/>
                <w:color w:val="auto"/>
              </w:rPr>
              <w:t>-743.7</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75C62BCB">
            <w:pPr>
              <w:pStyle w:val="33"/>
              <w:rPr>
                <w:color w:val="auto"/>
              </w:rPr>
            </w:pPr>
            <w:r>
              <w:rPr>
                <w:rFonts w:hint="eastAsia"/>
                <w:color w:val="auto"/>
              </w:rPr>
              <w:t>-5</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4E8B0301">
            <w:pPr>
              <w:pStyle w:val="33"/>
              <w:rPr>
                <w:color w:val="auto"/>
              </w:rPr>
            </w:pPr>
            <w:r>
              <w:rPr>
                <w:rFonts w:hint="eastAsia"/>
                <w:color w:val="auto"/>
              </w:rPr>
              <w:t>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45FF2BBC">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693D9420">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7A687EBE">
            <w:pPr>
              <w:pStyle w:val="33"/>
              <w:rPr>
                <w:color w:val="auto"/>
              </w:rPr>
            </w:pPr>
            <w:r>
              <w:rPr>
                <w:rFonts w:hint="eastAsia"/>
                <w:color w:val="auto"/>
              </w:rPr>
              <w:t>70</w:t>
            </w:r>
          </w:p>
        </w:tc>
      </w:tr>
      <w:tr w14:paraId="5AB7CCD3">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6092AF67">
            <w:pPr>
              <w:pStyle w:val="33"/>
              <w:rPr>
                <w:color w:val="auto"/>
              </w:rPr>
            </w:pPr>
            <w:r>
              <w:rPr>
                <w:rFonts w:hint="eastAsia"/>
                <w:color w:val="auto"/>
              </w:rPr>
              <w:t>18</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765FFC40">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5B5D0A6D">
            <w:pPr>
              <w:pStyle w:val="33"/>
              <w:rPr>
                <w:color w:val="auto"/>
              </w:rPr>
            </w:pPr>
            <w:r>
              <w:rPr>
                <w:rFonts w:hint="eastAsia"/>
                <w:color w:val="auto"/>
              </w:rPr>
              <w:t>剩余污泥泵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1B65D616">
            <w:pPr>
              <w:pStyle w:val="33"/>
              <w:rPr>
                <w:color w:val="auto"/>
              </w:rPr>
            </w:pPr>
            <w:r>
              <w:rPr>
                <w:rFonts w:hint="eastAsia"/>
                <w:color w:val="auto"/>
              </w:rPr>
              <w:t>-746.01</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2CD2BF58">
            <w:pPr>
              <w:pStyle w:val="33"/>
              <w:rPr>
                <w:color w:val="auto"/>
              </w:rPr>
            </w:pPr>
            <w:r>
              <w:rPr>
                <w:rFonts w:hint="eastAsia"/>
                <w:color w:val="auto"/>
              </w:rPr>
              <w:t>-759.12</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2C035309">
            <w:pPr>
              <w:pStyle w:val="33"/>
              <w:rPr>
                <w:color w:val="auto"/>
              </w:rPr>
            </w:pPr>
            <w:r>
              <w:rPr>
                <w:rFonts w:hint="eastAsia"/>
                <w:color w:val="auto"/>
              </w:rPr>
              <w:t>-5</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16953F5D">
            <w:pPr>
              <w:pStyle w:val="33"/>
              <w:rPr>
                <w:color w:val="auto"/>
              </w:rPr>
            </w:pPr>
            <w:r>
              <w:rPr>
                <w:rFonts w:hint="eastAsia"/>
                <w:color w:val="auto"/>
              </w:rPr>
              <w:t>3</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76AC8403">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53514DE4">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712605C2">
            <w:pPr>
              <w:pStyle w:val="33"/>
              <w:rPr>
                <w:color w:val="auto"/>
              </w:rPr>
            </w:pPr>
            <w:r>
              <w:rPr>
                <w:rFonts w:hint="eastAsia"/>
                <w:color w:val="auto"/>
              </w:rPr>
              <w:t>70</w:t>
            </w:r>
          </w:p>
        </w:tc>
      </w:tr>
      <w:tr w14:paraId="598898BA">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5839A37A">
            <w:pPr>
              <w:pStyle w:val="33"/>
              <w:rPr>
                <w:color w:val="auto"/>
              </w:rPr>
            </w:pPr>
            <w:r>
              <w:rPr>
                <w:rFonts w:hint="eastAsia"/>
                <w:color w:val="auto"/>
              </w:rPr>
              <w:t>19</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36415D95">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04AFE3F1">
            <w:pPr>
              <w:pStyle w:val="33"/>
              <w:rPr>
                <w:color w:val="auto"/>
              </w:rPr>
            </w:pPr>
            <w:r>
              <w:rPr>
                <w:rFonts w:hint="eastAsia"/>
                <w:color w:val="auto"/>
              </w:rPr>
              <w:t>过滤提升泵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AC83A9D">
            <w:pPr>
              <w:pStyle w:val="33"/>
              <w:rPr>
                <w:color w:val="auto"/>
              </w:rPr>
            </w:pPr>
            <w:r>
              <w:rPr>
                <w:rFonts w:hint="eastAsia"/>
                <w:color w:val="auto"/>
              </w:rPr>
              <w:t>-718.27</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1E7D7D5E">
            <w:pPr>
              <w:pStyle w:val="33"/>
              <w:rPr>
                <w:color w:val="auto"/>
              </w:rPr>
            </w:pPr>
            <w:r>
              <w:rPr>
                <w:rFonts w:hint="eastAsia"/>
                <w:color w:val="auto"/>
              </w:rPr>
              <w:t>-758.53</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4F3F3B04">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47C7E750">
            <w:pPr>
              <w:pStyle w:val="33"/>
              <w:rPr>
                <w:color w:val="auto"/>
              </w:rPr>
            </w:pPr>
            <w:r>
              <w:rPr>
                <w:rFonts w:hint="eastAsia"/>
                <w:color w:val="auto"/>
              </w:rPr>
              <w:t>4</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5B01C040">
            <w:pPr>
              <w:pStyle w:val="33"/>
              <w:rPr>
                <w:color w:val="auto"/>
              </w:rPr>
            </w:pPr>
            <w:r>
              <w:rPr>
                <w:rFonts w:hint="eastAsia"/>
                <w:color w:val="auto"/>
              </w:rPr>
              <w:t>85</w:t>
            </w:r>
          </w:p>
        </w:tc>
        <w:tc>
          <w:tcPr>
            <w:tcW w:w="1701" w:type="dxa"/>
            <w:vMerge w:val="continue"/>
            <w:tcBorders>
              <w:left w:val="single" w:color="000000" w:sz="4" w:space="0"/>
              <w:right w:val="single" w:color="000000" w:sz="4" w:space="0"/>
            </w:tcBorders>
            <w:noWrap/>
            <w:vAlign w:val="center"/>
          </w:tcPr>
          <w:p w14:paraId="6D394F6F">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4AA93CA6">
            <w:pPr>
              <w:pStyle w:val="33"/>
              <w:rPr>
                <w:color w:val="auto"/>
              </w:rPr>
            </w:pPr>
            <w:r>
              <w:rPr>
                <w:rFonts w:hint="eastAsia"/>
                <w:color w:val="auto"/>
              </w:rPr>
              <w:t>70</w:t>
            </w:r>
          </w:p>
        </w:tc>
      </w:tr>
      <w:tr w14:paraId="04276C63">
        <w:tblPrEx>
          <w:tblCellMar>
            <w:top w:w="0" w:type="dxa"/>
            <w:left w:w="108" w:type="dxa"/>
            <w:bottom w:w="0" w:type="dxa"/>
            <w:right w:w="108" w:type="dxa"/>
          </w:tblCellMar>
        </w:tblPrEx>
        <w:trPr>
          <w:trHeight w:val="270" w:hRule="atLeast"/>
        </w:trPr>
        <w:tc>
          <w:tcPr>
            <w:tcW w:w="635" w:type="dxa"/>
            <w:tcBorders>
              <w:top w:val="single" w:color="000000" w:sz="4" w:space="0"/>
              <w:left w:val="single" w:color="000000" w:sz="4" w:space="0"/>
              <w:bottom w:val="single" w:color="000000" w:sz="4" w:space="0"/>
              <w:right w:val="single" w:color="000000" w:sz="4" w:space="0"/>
            </w:tcBorders>
            <w:noWrap/>
            <w:vAlign w:val="center"/>
          </w:tcPr>
          <w:p w14:paraId="6857EB0A">
            <w:pPr>
              <w:pStyle w:val="33"/>
              <w:rPr>
                <w:color w:val="auto"/>
              </w:rPr>
            </w:pPr>
            <w:r>
              <w:rPr>
                <w:rFonts w:hint="eastAsia"/>
                <w:color w:val="auto"/>
              </w:rPr>
              <w:t>20</w:t>
            </w:r>
          </w:p>
        </w:tc>
        <w:tc>
          <w:tcPr>
            <w:tcW w:w="1686" w:type="dxa"/>
            <w:vMerge w:val="continue"/>
            <w:tcBorders>
              <w:top w:val="single" w:color="000000" w:sz="4" w:space="0"/>
              <w:left w:val="single" w:color="000000" w:sz="4" w:space="0"/>
              <w:bottom w:val="single" w:color="000000" w:sz="4" w:space="0"/>
              <w:right w:val="single" w:color="000000" w:sz="4" w:space="0"/>
            </w:tcBorders>
            <w:noWrap/>
            <w:vAlign w:val="center"/>
          </w:tcPr>
          <w:p w14:paraId="0FE0C5D0">
            <w:pPr>
              <w:pStyle w:val="33"/>
              <w:rPr>
                <w:color w:val="auto"/>
              </w:rPr>
            </w:pPr>
          </w:p>
        </w:tc>
        <w:tc>
          <w:tcPr>
            <w:tcW w:w="3486" w:type="dxa"/>
            <w:tcBorders>
              <w:top w:val="single" w:color="000000" w:sz="4" w:space="0"/>
              <w:left w:val="single" w:color="000000" w:sz="4" w:space="0"/>
              <w:bottom w:val="single" w:color="000000" w:sz="4" w:space="0"/>
              <w:right w:val="single" w:color="000000" w:sz="4" w:space="0"/>
            </w:tcBorders>
            <w:noWrap/>
            <w:vAlign w:val="center"/>
          </w:tcPr>
          <w:p w14:paraId="3D11749C">
            <w:pPr>
              <w:pStyle w:val="33"/>
              <w:rPr>
                <w:color w:val="auto"/>
              </w:rPr>
            </w:pPr>
            <w:r>
              <w:rPr>
                <w:rFonts w:hint="eastAsia"/>
                <w:color w:val="auto"/>
              </w:rPr>
              <w:t>回用水泵</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61B3596A">
            <w:pPr>
              <w:pStyle w:val="33"/>
              <w:rPr>
                <w:color w:val="auto"/>
              </w:rPr>
            </w:pPr>
            <w:r>
              <w:rPr>
                <w:rFonts w:hint="eastAsia"/>
                <w:color w:val="auto"/>
              </w:rPr>
              <w:t>-690.52</w:t>
            </w:r>
          </w:p>
        </w:tc>
        <w:tc>
          <w:tcPr>
            <w:tcW w:w="1276" w:type="dxa"/>
            <w:tcBorders>
              <w:top w:val="single" w:color="000000" w:sz="4" w:space="0"/>
              <w:left w:val="single" w:color="000000" w:sz="4" w:space="0"/>
              <w:bottom w:val="single" w:color="000000" w:sz="4" w:space="0"/>
              <w:right w:val="single" w:color="000000" w:sz="4" w:space="0"/>
            </w:tcBorders>
            <w:noWrap/>
            <w:vAlign w:val="center"/>
          </w:tcPr>
          <w:p w14:paraId="387A220E">
            <w:pPr>
              <w:pStyle w:val="33"/>
              <w:rPr>
                <w:color w:val="auto"/>
              </w:rPr>
            </w:pPr>
            <w:r>
              <w:rPr>
                <w:rFonts w:hint="eastAsia"/>
                <w:color w:val="auto"/>
              </w:rPr>
              <w:t>-711.9</w:t>
            </w:r>
          </w:p>
        </w:tc>
        <w:tc>
          <w:tcPr>
            <w:tcW w:w="850" w:type="dxa"/>
            <w:tcBorders>
              <w:top w:val="single" w:color="000000" w:sz="4" w:space="0"/>
              <w:left w:val="single" w:color="000000" w:sz="4" w:space="0"/>
              <w:bottom w:val="single" w:color="000000" w:sz="4" w:space="0"/>
              <w:right w:val="single" w:color="000000" w:sz="4" w:space="0"/>
            </w:tcBorders>
            <w:noWrap/>
            <w:vAlign w:val="center"/>
          </w:tcPr>
          <w:p w14:paraId="4079582A">
            <w:pPr>
              <w:pStyle w:val="33"/>
              <w:rPr>
                <w:color w:val="auto"/>
              </w:rPr>
            </w:pPr>
            <w:r>
              <w:rPr>
                <w:rFonts w:hint="eastAsia"/>
                <w:color w:val="auto"/>
              </w:rPr>
              <w:t>1.2</w:t>
            </w:r>
          </w:p>
        </w:tc>
        <w:tc>
          <w:tcPr>
            <w:tcW w:w="851" w:type="dxa"/>
            <w:tcBorders>
              <w:top w:val="single" w:color="000000" w:sz="4" w:space="0"/>
              <w:left w:val="single" w:color="000000" w:sz="4" w:space="0"/>
              <w:bottom w:val="single" w:color="000000" w:sz="4" w:space="0"/>
              <w:right w:val="single" w:color="000000" w:sz="4" w:space="0"/>
            </w:tcBorders>
            <w:noWrap/>
            <w:vAlign w:val="center"/>
          </w:tcPr>
          <w:p w14:paraId="0A381E60">
            <w:pPr>
              <w:pStyle w:val="33"/>
              <w:rPr>
                <w:color w:val="auto"/>
              </w:rPr>
            </w:pPr>
            <w:r>
              <w:rPr>
                <w:rFonts w:hint="eastAsia"/>
                <w:color w:val="auto"/>
              </w:rPr>
              <w:t>3</w:t>
            </w:r>
          </w:p>
        </w:tc>
        <w:tc>
          <w:tcPr>
            <w:tcW w:w="1134" w:type="dxa"/>
            <w:tcBorders>
              <w:top w:val="single" w:color="000000" w:sz="4" w:space="0"/>
              <w:left w:val="single" w:color="000000" w:sz="4" w:space="0"/>
              <w:bottom w:val="single" w:color="000000" w:sz="4" w:space="0"/>
              <w:right w:val="single" w:color="000000" w:sz="4" w:space="0"/>
            </w:tcBorders>
            <w:noWrap/>
            <w:vAlign w:val="center"/>
          </w:tcPr>
          <w:p w14:paraId="25F1F78F">
            <w:pPr>
              <w:pStyle w:val="33"/>
              <w:rPr>
                <w:color w:val="auto"/>
              </w:rPr>
            </w:pPr>
            <w:r>
              <w:rPr>
                <w:rFonts w:hint="eastAsia"/>
                <w:color w:val="auto"/>
              </w:rPr>
              <w:t>85</w:t>
            </w:r>
          </w:p>
        </w:tc>
        <w:tc>
          <w:tcPr>
            <w:tcW w:w="1701" w:type="dxa"/>
            <w:vMerge w:val="continue"/>
            <w:tcBorders>
              <w:left w:val="single" w:color="000000" w:sz="4" w:space="0"/>
              <w:bottom w:val="single" w:color="000000" w:sz="4" w:space="0"/>
              <w:right w:val="single" w:color="000000" w:sz="4" w:space="0"/>
            </w:tcBorders>
            <w:noWrap/>
            <w:vAlign w:val="center"/>
          </w:tcPr>
          <w:p w14:paraId="4EB2E2A5">
            <w:pPr>
              <w:pStyle w:val="33"/>
              <w:rPr>
                <w:color w:val="auto"/>
              </w:rPr>
            </w:pPr>
          </w:p>
        </w:tc>
        <w:tc>
          <w:tcPr>
            <w:tcW w:w="1241" w:type="dxa"/>
            <w:tcBorders>
              <w:top w:val="single" w:color="000000" w:sz="4" w:space="0"/>
              <w:left w:val="single" w:color="000000" w:sz="4" w:space="0"/>
              <w:bottom w:val="single" w:color="000000" w:sz="4" w:space="0"/>
              <w:right w:val="single" w:color="000000" w:sz="4" w:space="0"/>
            </w:tcBorders>
            <w:noWrap/>
            <w:vAlign w:val="center"/>
          </w:tcPr>
          <w:p w14:paraId="3FADA889">
            <w:pPr>
              <w:pStyle w:val="33"/>
              <w:rPr>
                <w:color w:val="auto"/>
              </w:rPr>
            </w:pPr>
            <w:r>
              <w:rPr>
                <w:rFonts w:hint="eastAsia"/>
                <w:color w:val="auto"/>
              </w:rPr>
              <w:t>70</w:t>
            </w:r>
          </w:p>
        </w:tc>
      </w:tr>
    </w:tbl>
    <w:p w14:paraId="23602BDE">
      <w:pPr>
        <w:ind w:firstLine="480"/>
        <w:rPr>
          <w:color w:val="auto"/>
        </w:rPr>
        <w:sectPr>
          <w:pgSz w:w="16838" w:h="11906" w:orient="landscape"/>
          <w:pgMar w:top="1418" w:right="1417" w:bottom="1418" w:left="1417" w:header="851" w:footer="992" w:gutter="0"/>
          <w:cols w:space="425" w:num="1"/>
          <w:docGrid w:type="lines" w:linePitch="312" w:charSpace="0"/>
        </w:sectPr>
      </w:pPr>
      <w:r>
        <w:rPr>
          <w:color w:val="auto"/>
          <w:szCs w:val="21"/>
        </w:rPr>
        <w:t>注：本预测</w:t>
      </w:r>
      <w:r>
        <w:rPr>
          <w:rFonts w:hint="eastAsia"/>
          <w:color w:val="auto"/>
          <w:szCs w:val="21"/>
        </w:rPr>
        <w:t>以厂区</w:t>
      </w:r>
      <w:r>
        <w:rPr>
          <w:color w:val="auto"/>
          <w:szCs w:val="21"/>
        </w:rPr>
        <w:t>中心点为零点（0，0），正东方向为X轴，正北方向为Y轴。</w:t>
      </w:r>
    </w:p>
    <w:p w14:paraId="794FF24F">
      <w:pPr>
        <w:pStyle w:val="4"/>
        <w:rPr>
          <w:color w:val="auto"/>
        </w:rPr>
      </w:pPr>
      <w:bookmarkStart w:id="499" w:name="_Toc225216808"/>
      <w:r>
        <w:rPr>
          <w:rFonts w:hint="eastAsia"/>
          <w:color w:val="auto"/>
        </w:rPr>
        <w:t>预测方法</w:t>
      </w:r>
      <w:bookmarkEnd w:id="499"/>
    </w:p>
    <w:p w14:paraId="0B0FC34E">
      <w:pPr>
        <w:ind w:firstLine="480"/>
        <w:rPr>
          <w:color w:val="auto"/>
        </w:rPr>
      </w:pPr>
      <w:r>
        <w:rPr>
          <w:color w:val="auto"/>
        </w:rPr>
        <w:t>根据项目建设内容及《环境影响评价技术导则声环境》（HJ2.4-2021）的要求，项目环评采用的模型为《环境影响评价技术导则声环境》（HJ2.4-2021）附录A（规范性附录）户外声传播的衰减和附录B（规范性附录）中“B.1工业噪声预测计算模型”。</w:t>
      </w:r>
    </w:p>
    <w:p w14:paraId="76C42B86">
      <w:pPr>
        <w:ind w:firstLine="480"/>
        <w:rPr>
          <w:color w:val="auto"/>
        </w:rPr>
      </w:pPr>
      <w:r>
        <w:rPr>
          <w:color w:val="auto"/>
        </w:rPr>
        <w:t>（1）单个室外点声源在预测点的倍频带声压级</w:t>
      </w:r>
    </w:p>
    <w:p w14:paraId="5EC6A99E">
      <w:pPr>
        <w:ind w:firstLine="480"/>
        <w:rPr>
          <w:color w:val="auto"/>
        </w:rPr>
      </w:pPr>
      <w:r>
        <w:rPr>
          <w:color w:val="auto"/>
        </w:rPr>
        <w:t>在只考虑几何发散衰减时，计算预测点的声级公式如下：</w:t>
      </w:r>
    </w:p>
    <w:p w14:paraId="0665E8A5">
      <w:pPr>
        <w:ind w:firstLine="480"/>
        <w:jc w:val="center"/>
        <w:rPr>
          <w:color w:val="auto"/>
          <w:lang w:val="fr-FR"/>
        </w:rPr>
      </w:pPr>
      <w:r>
        <w:rPr>
          <w:color w:val="auto"/>
          <w:lang w:val="fr-FR"/>
        </w:rPr>
        <w:t>L</w:t>
      </w:r>
      <w:r>
        <w:rPr>
          <w:color w:val="auto"/>
          <w:vertAlign w:val="subscript"/>
          <w:lang w:val="fr-FR"/>
        </w:rPr>
        <w:t>A</w:t>
      </w:r>
      <w:r>
        <w:rPr>
          <w:color w:val="auto"/>
          <w:lang w:val="fr-FR"/>
        </w:rPr>
        <w:t>(r)＝L</w:t>
      </w:r>
      <w:r>
        <w:rPr>
          <w:color w:val="auto"/>
          <w:vertAlign w:val="subscript"/>
          <w:lang w:val="fr-FR"/>
        </w:rPr>
        <w:t>A</w:t>
      </w:r>
      <w:r>
        <w:rPr>
          <w:color w:val="auto"/>
          <w:lang w:val="fr-FR"/>
        </w:rPr>
        <w:t>(r</w:t>
      </w:r>
      <w:r>
        <w:rPr>
          <w:color w:val="auto"/>
          <w:vertAlign w:val="subscript"/>
          <w:lang w:val="fr-FR"/>
        </w:rPr>
        <w:t>0</w:t>
      </w:r>
      <w:r>
        <w:rPr>
          <w:color w:val="auto"/>
          <w:lang w:val="fr-FR"/>
        </w:rPr>
        <w:t>)－Adiv</w:t>
      </w:r>
    </w:p>
    <w:p w14:paraId="0E9AB80B">
      <w:pPr>
        <w:ind w:firstLine="480"/>
        <w:rPr>
          <w:color w:val="auto"/>
        </w:rPr>
      </w:pPr>
      <w:r>
        <w:rPr>
          <w:color w:val="auto"/>
        </w:rPr>
        <w:t>式中：L</w:t>
      </w:r>
      <w:r>
        <w:rPr>
          <w:color w:val="auto"/>
          <w:vertAlign w:val="subscript"/>
        </w:rPr>
        <w:t>A</w:t>
      </w:r>
      <w:r>
        <w:rPr>
          <w:color w:val="auto"/>
        </w:rPr>
        <w:t>(r)—距声源r处的A声压级，dB(A)；</w:t>
      </w:r>
    </w:p>
    <w:p w14:paraId="60933704">
      <w:pPr>
        <w:ind w:firstLine="1200" w:firstLineChars="500"/>
        <w:rPr>
          <w:color w:val="auto"/>
        </w:rPr>
      </w:pPr>
      <w:r>
        <w:rPr>
          <w:color w:val="auto"/>
        </w:rPr>
        <w:t>L</w:t>
      </w:r>
      <w:r>
        <w:rPr>
          <w:color w:val="auto"/>
          <w:vertAlign w:val="subscript"/>
        </w:rPr>
        <w:t>A</w:t>
      </w:r>
      <w:r>
        <w:rPr>
          <w:color w:val="auto"/>
        </w:rPr>
        <w:t>(r</w:t>
      </w:r>
      <w:r>
        <w:rPr>
          <w:color w:val="auto"/>
          <w:vertAlign w:val="subscript"/>
        </w:rPr>
        <w:t>0</w:t>
      </w:r>
      <w:r>
        <w:rPr>
          <w:color w:val="auto"/>
        </w:rPr>
        <w:t>)—参考位置r</w:t>
      </w:r>
      <w:r>
        <w:rPr>
          <w:color w:val="auto"/>
          <w:vertAlign w:val="subscript"/>
        </w:rPr>
        <w:t>0</w:t>
      </w:r>
      <w:r>
        <w:rPr>
          <w:color w:val="auto"/>
        </w:rPr>
        <w:t>处的A声级，dB(A)；</w:t>
      </w:r>
    </w:p>
    <w:p w14:paraId="0AB27710">
      <w:pPr>
        <w:ind w:firstLine="1200" w:firstLineChars="500"/>
        <w:rPr>
          <w:color w:val="auto"/>
        </w:rPr>
      </w:pPr>
      <w:r>
        <w:rPr>
          <w:color w:val="auto"/>
        </w:rPr>
        <w:t>Adiv—几何发散引起的衰减，dB。</w:t>
      </w:r>
    </w:p>
    <w:p w14:paraId="7B8E55C9">
      <w:pPr>
        <w:ind w:firstLine="480"/>
        <w:rPr>
          <w:color w:val="auto"/>
        </w:rPr>
      </w:pPr>
      <w:r>
        <w:rPr>
          <w:color w:val="auto"/>
        </w:rPr>
        <w:t>无指向性点声源几何发散衰减Adiv＝20lg(r/r0)。</w:t>
      </w:r>
    </w:p>
    <w:p w14:paraId="1E7DE9F8">
      <w:pPr>
        <w:ind w:firstLine="480"/>
        <w:rPr>
          <w:color w:val="auto"/>
        </w:rPr>
      </w:pPr>
      <w:r>
        <w:rPr>
          <w:color w:val="auto"/>
        </w:rPr>
        <w:t>（2）室内声源等效室外声源声功率级计算方法</w:t>
      </w:r>
    </w:p>
    <w:p w14:paraId="5F85A2F0">
      <w:pPr>
        <w:ind w:firstLine="480"/>
        <w:rPr>
          <w:color w:val="auto"/>
        </w:rPr>
      </w:pPr>
      <w:r>
        <w:rPr>
          <w:color w:val="auto"/>
        </w:rPr>
        <w:t>声源位于室内，室内声源可采用等效室外声源声功率级法进行计算。设靠近开口处（或窗户）室内、室外某倍频带的声压级或A声级分别为L</w:t>
      </w:r>
      <w:r>
        <w:rPr>
          <w:color w:val="auto"/>
          <w:vertAlign w:val="subscript"/>
        </w:rPr>
        <w:t>p1</w:t>
      </w:r>
      <w:r>
        <w:rPr>
          <w:color w:val="auto"/>
        </w:rPr>
        <w:t>和L</w:t>
      </w:r>
      <w:r>
        <w:rPr>
          <w:color w:val="auto"/>
          <w:vertAlign w:val="subscript"/>
        </w:rPr>
        <w:t>p2</w:t>
      </w:r>
      <w:r>
        <w:rPr>
          <w:color w:val="auto"/>
        </w:rPr>
        <w:t>。若声源所在室内声场为近似扩散声场，则室外的倍频带声压级可按式（B.1）近似求出：</w:t>
      </w:r>
    </w:p>
    <w:p w14:paraId="24C8B4D8">
      <w:pPr>
        <w:ind w:firstLine="480"/>
        <w:jc w:val="center"/>
        <w:rPr>
          <w:color w:val="auto"/>
        </w:rPr>
      </w:pPr>
      <w:r>
        <w:rPr>
          <w:color w:val="auto"/>
        </w:rPr>
        <w:t>L</w:t>
      </w:r>
      <w:r>
        <w:rPr>
          <w:color w:val="auto"/>
          <w:vertAlign w:val="subscript"/>
        </w:rPr>
        <w:t>p2</w:t>
      </w:r>
      <w:r>
        <w:rPr>
          <w:color w:val="auto"/>
        </w:rPr>
        <w:t>=L</w:t>
      </w:r>
      <w:r>
        <w:rPr>
          <w:color w:val="auto"/>
          <w:vertAlign w:val="subscript"/>
        </w:rPr>
        <w:t>p1</w:t>
      </w:r>
      <w:r>
        <w:rPr>
          <w:color w:val="auto"/>
        </w:rPr>
        <w:t>-(TL+6)</w:t>
      </w:r>
    </w:p>
    <w:p w14:paraId="42CE8C46">
      <w:pPr>
        <w:ind w:firstLine="480"/>
        <w:rPr>
          <w:color w:val="auto"/>
        </w:rPr>
      </w:pPr>
      <w:r>
        <w:rPr>
          <w:color w:val="auto"/>
        </w:rPr>
        <w:t>式中：L</w:t>
      </w:r>
      <w:r>
        <w:rPr>
          <w:color w:val="auto"/>
          <w:vertAlign w:val="subscript"/>
        </w:rPr>
        <w:t>p1</w:t>
      </w:r>
      <w:r>
        <w:rPr>
          <w:color w:val="auto"/>
        </w:rPr>
        <w:t>——靠近开口处（或窗户）室内某倍频带的声压级或A声级，dB；</w:t>
      </w:r>
    </w:p>
    <w:p w14:paraId="08E8300D">
      <w:pPr>
        <w:ind w:firstLine="1080" w:firstLineChars="450"/>
        <w:rPr>
          <w:color w:val="auto"/>
        </w:rPr>
      </w:pPr>
      <w:r>
        <w:rPr>
          <w:color w:val="auto"/>
        </w:rPr>
        <w:t>L</w:t>
      </w:r>
      <w:r>
        <w:rPr>
          <w:color w:val="auto"/>
          <w:vertAlign w:val="subscript"/>
        </w:rPr>
        <w:t>p2</w:t>
      </w:r>
      <w:r>
        <w:rPr>
          <w:color w:val="auto"/>
        </w:rPr>
        <w:t>——靠近开口处（或窗户）室外某倍频带的声压级或A声级，dB；</w:t>
      </w:r>
    </w:p>
    <w:p w14:paraId="4E88154C">
      <w:pPr>
        <w:ind w:firstLine="1080" w:firstLineChars="450"/>
        <w:rPr>
          <w:color w:val="auto"/>
        </w:rPr>
      </w:pPr>
      <w:r>
        <w:rPr>
          <w:color w:val="auto"/>
        </w:rPr>
        <w:t>TL——隔墙（或窗户）倍频带或A声级的隔声量，dB。</w:t>
      </w:r>
    </w:p>
    <w:p w14:paraId="55A5F5C0">
      <w:pPr>
        <w:ind w:firstLine="480"/>
        <w:rPr>
          <w:color w:val="auto"/>
        </w:rPr>
      </w:pPr>
      <w:r>
        <w:rPr>
          <w:color w:val="auto"/>
        </w:rPr>
        <w:t>然后按式（B.3）计算出所有室内声源在围护结构处产生的i倍频带叠加声压级：</w:t>
      </w:r>
    </w:p>
    <w:p w14:paraId="5AD1AB3A">
      <w:pPr>
        <w:ind w:firstLine="480"/>
        <w:rPr>
          <w:color w:val="auto"/>
        </w:rPr>
      </w:pPr>
      <m:oMathPara>
        <m:oMath>
          <m:sSub>
            <m:sSubPr>
              <m:ctrlPr>
                <w:rPr>
                  <w:rFonts w:ascii="Cambria Math" w:hAnsi="Cambria Math"/>
                  <w:color w:val="auto"/>
                </w:rPr>
              </m:ctrlPr>
            </m:sSubPr>
            <m:e>
              <m:r>
                <m:rPr>
                  <m:nor/>
                  <m:sty m:val="p"/>
                </m:rPr>
                <w:rPr>
                  <w:b w:val="0"/>
                  <w:i w:val="0"/>
                  <w:color w:val="auto"/>
                </w:rPr>
                <m:t>L</m:t>
              </m:r>
              <m:ctrlPr>
                <w:rPr>
                  <w:rFonts w:ascii="Cambria Math" w:hAnsi="Cambria Math"/>
                  <w:color w:val="auto"/>
                </w:rPr>
              </m:ctrlPr>
            </m:e>
            <m:sub>
              <m:r>
                <m:rPr>
                  <m:nor/>
                  <m:sty m:val="p"/>
                </m:rPr>
                <w:rPr>
                  <w:b w:val="0"/>
                  <w:i w:val="0"/>
                  <w:color w:val="auto"/>
                </w:rPr>
                <m:t>p1i</m:t>
              </m:r>
              <m:ctrlPr>
                <w:rPr>
                  <w:rFonts w:ascii="Cambria Math" w:hAnsi="Cambria Math"/>
                  <w:color w:val="auto"/>
                </w:rPr>
              </m:ctrlPr>
            </m:sub>
          </m:sSub>
          <m:r>
            <m:rPr>
              <m:nor/>
              <m:sty m:val="p"/>
            </m:rPr>
            <w:rPr>
              <w:b w:val="0"/>
              <w:i w:val="0"/>
              <w:color w:val="auto"/>
            </w:rPr>
            <m:t>(T)=10lg</m:t>
          </m:r>
          <m:d>
            <m:dPr>
              <m:ctrlPr>
                <w:rPr>
                  <w:rFonts w:ascii="Cambria Math" w:hAnsi="Cambria Math"/>
                  <w:color w:val="auto"/>
                </w:rPr>
              </m:ctrlPr>
            </m:dPr>
            <m:e>
              <m:nary>
                <m:naryPr>
                  <m:chr m:val="∑"/>
                  <m:limLoc m:val="undOvr"/>
                  <m:ctrlPr>
                    <w:rPr>
                      <w:rFonts w:ascii="Cambria Math" w:hAnsi="Cambria Math"/>
                      <w:color w:val="auto"/>
                    </w:rPr>
                  </m:ctrlPr>
                </m:naryPr>
                <m:sub>
                  <m:r>
                    <m:rPr>
                      <m:nor/>
                      <m:sty m:val="p"/>
                    </m:rPr>
                    <w:rPr>
                      <w:b w:val="0"/>
                      <w:i w:val="0"/>
                      <w:color w:val="auto"/>
                    </w:rPr>
                    <m:t>j=1</m:t>
                  </m:r>
                  <m:ctrlPr>
                    <w:rPr>
                      <w:rFonts w:ascii="Cambria Math" w:hAnsi="Cambria Math"/>
                      <w:color w:val="auto"/>
                    </w:rPr>
                  </m:ctrlPr>
                </m:sub>
                <m:sup>
                  <m:r>
                    <m:rPr>
                      <m:nor/>
                      <m:sty m:val="p"/>
                    </m:rPr>
                    <w:rPr>
                      <w:b w:val="0"/>
                      <w:i w:val="0"/>
                      <w:color w:val="auto"/>
                    </w:rPr>
                    <m:t>N</m:t>
                  </m:r>
                  <m:ctrlPr>
                    <w:rPr>
                      <w:rFonts w:ascii="Cambria Math" w:hAnsi="Cambria Math"/>
                      <w:color w:val="auto"/>
                    </w:rPr>
                  </m:ctrlPr>
                </m:sup>
                <m:e>
                  <m:sSup>
                    <m:sSupPr>
                      <m:ctrlPr>
                        <w:rPr>
                          <w:rFonts w:ascii="Cambria Math" w:hAnsi="Cambria Math"/>
                          <w:color w:val="auto"/>
                        </w:rPr>
                      </m:ctrlPr>
                    </m:sSupPr>
                    <m:e>
                      <m:r>
                        <m:rPr>
                          <m:nor/>
                          <m:sty m:val="p"/>
                        </m:rPr>
                        <w:rPr>
                          <w:b w:val="0"/>
                          <w:i w:val="0"/>
                          <w:color w:val="auto"/>
                        </w:rPr>
                        <m:t>10</m:t>
                      </m:r>
                      <m:ctrlPr>
                        <w:rPr>
                          <w:rFonts w:ascii="Cambria Math" w:hAnsi="Cambria Math"/>
                          <w:color w:val="auto"/>
                        </w:rPr>
                      </m:ctrlPr>
                    </m:e>
                    <m:sup>
                      <m:r>
                        <m:rPr>
                          <m:nor/>
                          <m:sty m:val="p"/>
                        </m:rPr>
                        <w:rPr>
                          <w:b w:val="0"/>
                          <w:i w:val="0"/>
                          <w:color w:val="auto"/>
                        </w:rPr>
                        <m:t>0.1</m:t>
                      </m:r>
                      <m:sSub>
                        <m:sSubPr>
                          <m:ctrlPr>
                            <w:rPr>
                              <w:rFonts w:ascii="Cambria Math" w:hAnsi="Cambria Math"/>
                              <w:color w:val="auto"/>
                            </w:rPr>
                          </m:ctrlPr>
                        </m:sSubPr>
                        <m:e>
                          <m:r>
                            <m:rPr>
                              <m:nor/>
                              <m:sty m:val="p"/>
                            </m:rPr>
                            <w:rPr>
                              <w:b w:val="0"/>
                              <w:i w:val="0"/>
                              <w:color w:val="auto"/>
                            </w:rPr>
                            <m:t>L</m:t>
                          </m:r>
                          <m:ctrlPr>
                            <w:rPr>
                              <w:rFonts w:ascii="Cambria Math" w:hAnsi="Cambria Math"/>
                              <w:color w:val="auto"/>
                            </w:rPr>
                          </m:ctrlPr>
                        </m:e>
                        <m:sub>
                          <m:r>
                            <m:rPr>
                              <m:nor/>
                              <m:sty m:val="p"/>
                            </m:rPr>
                            <w:rPr>
                              <w:b w:val="0"/>
                              <w:i w:val="0"/>
                              <w:color w:val="auto"/>
                            </w:rPr>
                            <m:t>p1ij</m:t>
                          </m:r>
                          <m:ctrlPr>
                            <w:rPr>
                              <w:rFonts w:ascii="Cambria Math" w:hAnsi="Cambria Math"/>
                              <w:color w:val="auto"/>
                            </w:rPr>
                          </m:ctrlPr>
                        </m:sub>
                      </m:sSub>
                      <m:ctrlPr>
                        <w:rPr>
                          <w:rFonts w:ascii="Cambria Math" w:hAnsi="Cambria Math"/>
                          <w:color w:val="auto"/>
                        </w:rPr>
                      </m:ctrlPr>
                    </m:sup>
                  </m:sSup>
                  <m:ctrlPr>
                    <w:rPr>
                      <w:rFonts w:ascii="Cambria Math" w:hAnsi="Cambria Math"/>
                      <w:color w:val="auto"/>
                    </w:rPr>
                  </m:ctrlPr>
                </m:e>
              </m:nary>
              <m:ctrlPr>
                <w:rPr>
                  <w:rFonts w:ascii="Cambria Math" w:hAnsi="Cambria Math"/>
                  <w:color w:val="auto"/>
                </w:rPr>
              </m:ctrlPr>
            </m:e>
          </m:d>
        </m:oMath>
      </m:oMathPara>
    </w:p>
    <w:p w14:paraId="38A2C02A">
      <w:pPr>
        <w:ind w:firstLine="480"/>
        <w:rPr>
          <w:color w:val="auto"/>
        </w:rPr>
      </w:pPr>
      <w:r>
        <w:rPr>
          <w:color w:val="auto"/>
        </w:rPr>
        <w:t>式中：L</w:t>
      </w:r>
      <w:r>
        <w:rPr>
          <w:color w:val="auto"/>
          <w:vertAlign w:val="subscript"/>
        </w:rPr>
        <w:t>p1i</w:t>
      </w:r>
      <w:r>
        <w:rPr>
          <w:color w:val="auto"/>
        </w:rPr>
        <w:t>(T)——靠近围护结构处室内N个声源i倍频带的叠加声压级，dB；</w:t>
      </w:r>
    </w:p>
    <w:p w14:paraId="56B2DAE8">
      <w:pPr>
        <w:ind w:firstLine="1080" w:firstLineChars="450"/>
        <w:rPr>
          <w:color w:val="auto"/>
        </w:rPr>
      </w:pPr>
      <w:r>
        <w:rPr>
          <w:color w:val="auto"/>
        </w:rPr>
        <w:t>L</w:t>
      </w:r>
      <w:r>
        <w:rPr>
          <w:color w:val="auto"/>
          <w:vertAlign w:val="subscript"/>
        </w:rPr>
        <w:t>pij</w:t>
      </w:r>
      <w:r>
        <w:rPr>
          <w:color w:val="auto"/>
        </w:rPr>
        <w:t>——室内j声源i倍频带的声压级，dB；</w:t>
      </w:r>
    </w:p>
    <w:p w14:paraId="2684D358">
      <w:pPr>
        <w:ind w:firstLine="1080" w:firstLineChars="450"/>
        <w:rPr>
          <w:color w:val="auto"/>
        </w:rPr>
      </w:pPr>
      <w:r>
        <w:rPr>
          <w:color w:val="auto"/>
        </w:rPr>
        <w:t>N——室内声源总数。</w:t>
      </w:r>
    </w:p>
    <w:p w14:paraId="50ACA15F">
      <w:pPr>
        <w:ind w:firstLine="480"/>
        <w:rPr>
          <w:color w:val="auto"/>
        </w:rPr>
      </w:pPr>
      <w:r>
        <w:rPr>
          <w:color w:val="auto"/>
        </w:rPr>
        <w:t>（3）噪声贡献值计算</w:t>
      </w:r>
    </w:p>
    <w:p w14:paraId="09B7A184">
      <w:pPr>
        <w:ind w:firstLine="480"/>
        <w:rPr>
          <w:color w:val="auto"/>
        </w:rPr>
      </w:pPr>
      <w:r>
        <w:rPr>
          <w:color w:val="auto"/>
        </w:rPr>
        <w:t>设第i个室外声源在预测点产生的A声级为L</w:t>
      </w:r>
      <w:r>
        <w:rPr>
          <w:color w:val="auto"/>
          <w:vertAlign w:val="subscript"/>
        </w:rPr>
        <w:t>Ai</w:t>
      </w:r>
      <w:r>
        <w:rPr>
          <w:color w:val="auto"/>
        </w:rPr>
        <w:t>，在T时间内该声源工作时间为ti；第j个等效室外声源在预测点产生的A声级为L</w:t>
      </w:r>
      <w:r>
        <w:rPr>
          <w:color w:val="auto"/>
          <w:vertAlign w:val="subscript"/>
        </w:rPr>
        <w:t>Aj</w:t>
      </w:r>
      <w:r>
        <w:rPr>
          <w:color w:val="auto"/>
        </w:rPr>
        <w:t>，在T时间内该声源工作时间为jt，则项目声源对预测点产生的贡献值（Leqg）为：</w:t>
      </w:r>
    </w:p>
    <w:p w14:paraId="64BBFCEC">
      <w:pPr>
        <w:ind w:firstLine="480"/>
        <w:rPr>
          <w:color w:val="auto"/>
        </w:rPr>
      </w:pPr>
      <m:oMathPara>
        <m:oMath>
          <m:sSub>
            <m:sSubPr>
              <m:ctrlPr>
                <w:rPr>
                  <w:rFonts w:ascii="Cambria Math" w:hAnsi="Cambria Math"/>
                  <w:color w:val="auto"/>
                </w:rPr>
              </m:ctrlPr>
            </m:sSubPr>
            <m:e>
              <m:r>
                <m:rPr>
                  <m:nor/>
                  <m:sty m:val="p"/>
                </m:rPr>
                <w:rPr>
                  <w:b w:val="0"/>
                  <w:i w:val="0"/>
                  <w:color w:val="auto"/>
                </w:rPr>
                <m:t>L</m:t>
              </m:r>
              <m:ctrlPr>
                <w:rPr>
                  <w:rFonts w:ascii="Cambria Math" w:hAnsi="Cambria Math"/>
                  <w:color w:val="auto"/>
                </w:rPr>
              </m:ctrlPr>
            </m:e>
            <m:sub>
              <m:r>
                <m:rPr>
                  <m:nor/>
                  <m:sty m:val="p"/>
                </m:rPr>
                <w:rPr>
                  <w:b w:val="0"/>
                  <w:i w:val="0"/>
                  <w:color w:val="auto"/>
                </w:rPr>
                <m:t>eqg</m:t>
              </m:r>
              <m:ctrlPr>
                <w:rPr>
                  <w:rFonts w:ascii="Cambria Math" w:hAnsi="Cambria Math"/>
                  <w:color w:val="auto"/>
                </w:rPr>
              </m:ctrlPr>
            </m:sub>
          </m:sSub>
          <m:r>
            <m:rPr>
              <m:nor/>
              <m:sty m:val="p"/>
            </m:rPr>
            <w:rPr>
              <w:b w:val="0"/>
              <w:i w:val="0"/>
              <w:color w:val="auto"/>
            </w:rPr>
            <m:t>=10lg</m:t>
          </m:r>
          <m:d>
            <m:dPr>
              <m:begChr m:val="["/>
              <m:endChr m:val="]"/>
              <m:ctrlPr>
                <w:rPr>
                  <w:rFonts w:ascii="Cambria Math" w:hAnsi="Cambria Math"/>
                  <w:color w:val="auto"/>
                </w:rPr>
              </m:ctrlPr>
            </m:dPr>
            <m:e>
              <m:f>
                <m:fPr>
                  <m:ctrlPr>
                    <w:rPr>
                      <w:rFonts w:ascii="Cambria Math" w:hAnsi="Cambria Math"/>
                      <w:color w:val="auto"/>
                    </w:rPr>
                  </m:ctrlPr>
                </m:fPr>
                <m:num>
                  <m:r>
                    <m:rPr>
                      <m:nor/>
                      <m:sty m:val="p"/>
                    </m:rPr>
                    <w:rPr>
                      <w:b w:val="0"/>
                      <w:i w:val="0"/>
                      <w:color w:val="auto"/>
                    </w:rPr>
                    <m:t>1</m:t>
                  </m:r>
                  <m:ctrlPr>
                    <w:rPr>
                      <w:rFonts w:ascii="Cambria Math" w:hAnsi="Cambria Math"/>
                      <w:color w:val="auto"/>
                    </w:rPr>
                  </m:ctrlPr>
                </m:num>
                <m:den>
                  <m:r>
                    <m:rPr>
                      <m:nor/>
                      <m:sty m:val="p"/>
                    </m:rPr>
                    <w:rPr>
                      <w:b w:val="0"/>
                      <w:i w:val="0"/>
                      <w:color w:val="auto"/>
                    </w:rPr>
                    <m:t>T</m:t>
                  </m:r>
                  <m:ctrlPr>
                    <w:rPr>
                      <w:rFonts w:ascii="Cambria Math" w:hAnsi="Cambria Math"/>
                      <w:color w:val="auto"/>
                    </w:rPr>
                  </m:ctrlPr>
                </m:den>
              </m:f>
              <m:d>
                <m:dPr>
                  <m:ctrlPr>
                    <w:rPr>
                      <w:rFonts w:ascii="Cambria Math" w:hAnsi="Cambria Math"/>
                      <w:color w:val="auto"/>
                    </w:rPr>
                  </m:ctrlPr>
                </m:dPr>
                <m:e>
                  <m:nary>
                    <m:naryPr>
                      <m:chr m:val="∑"/>
                      <m:limLoc m:val="undOvr"/>
                      <m:ctrlPr>
                        <w:rPr>
                          <w:rFonts w:ascii="Cambria Math" w:hAnsi="Cambria Math"/>
                          <w:color w:val="auto"/>
                        </w:rPr>
                      </m:ctrlPr>
                    </m:naryPr>
                    <m:sub>
                      <m:r>
                        <m:rPr>
                          <m:nor/>
                          <m:sty m:val="p"/>
                        </m:rPr>
                        <w:rPr>
                          <w:b w:val="0"/>
                          <w:i w:val="0"/>
                          <w:color w:val="auto"/>
                        </w:rPr>
                        <m:t>i=1</m:t>
                      </m:r>
                      <m:ctrlPr>
                        <w:rPr>
                          <w:rFonts w:ascii="Cambria Math" w:hAnsi="Cambria Math"/>
                          <w:color w:val="auto"/>
                        </w:rPr>
                      </m:ctrlPr>
                    </m:sub>
                    <m:sup>
                      <m:r>
                        <m:rPr>
                          <m:nor/>
                          <m:sty m:val="p"/>
                        </m:rPr>
                        <w:rPr>
                          <w:b w:val="0"/>
                          <w:i w:val="0"/>
                          <w:color w:val="auto"/>
                        </w:rPr>
                        <m:t>N</m:t>
                      </m:r>
                      <m:ctrlPr>
                        <w:rPr>
                          <w:rFonts w:ascii="Cambria Math" w:hAnsi="Cambria Math"/>
                          <w:color w:val="auto"/>
                        </w:rPr>
                      </m:ctrlPr>
                    </m:sup>
                    <m:e>
                      <m:sSub>
                        <m:sSubPr>
                          <m:ctrlPr>
                            <w:rPr>
                              <w:rFonts w:ascii="Cambria Math" w:hAnsi="Cambria Math"/>
                              <w:color w:val="auto"/>
                            </w:rPr>
                          </m:ctrlPr>
                        </m:sSubPr>
                        <m:e>
                          <m:r>
                            <m:rPr>
                              <m:nor/>
                              <m:sty m:val="p"/>
                            </m:rPr>
                            <w:rPr>
                              <w:b w:val="0"/>
                              <w:i w:val="0"/>
                              <w:color w:val="auto"/>
                            </w:rPr>
                            <m:t>t</m:t>
                          </m:r>
                          <m:ctrlPr>
                            <w:rPr>
                              <w:rFonts w:ascii="Cambria Math" w:hAnsi="Cambria Math"/>
                              <w:color w:val="auto"/>
                            </w:rPr>
                          </m:ctrlPr>
                        </m:e>
                        <m:sub>
                          <m:r>
                            <m:rPr>
                              <m:nor/>
                              <m:sty m:val="p"/>
                            </m:rPr>
                            <w:rPr>
                              <w:b w:val="0"/>
                              <w:i w:val="0"/>
                              <w:color w:val="auto"/>
                            </w:rPr>
                            <m:t>i</m:t>
                          </m:r>
                          <m:ctrlPr>
                            <w:rPr>
                              <w:rFonts w:ascii="Cambria Math" w:hAnsi="Cambria Math"/>
                              <w:color w:val="auto"/>
                            </w:rPr>
                          </m:ctrlPr>
                        </m:sub>
                      </m:sSub>
                      <m:sSup>
                        <m:sSupPr>
                          <m:ctrlPr>
                            <w:rPr>
                              <w:rFonts w:ascii="Cambria Math" w:hAnsi="Cambria Math"/>
                              <w:color w:val="auto"/>
                            </w:rPr>
                          </m:ctrlPr>
                        </m:sSupPr>
                        <m:e>
                          <m:r>
                            <m:rPr>
                              <m:nor/>
                              <m:sty m:val="p"/>
                            </m:rPr>
                            <w:rPr>
                              <w:b w:val="0"/>
                              <w:i w:val="0"/>
                              <w:color w:val="auto"/>
                            </w:rPr>
                            <m:t>10</m:t>
                          </m:r>
                          <m:ctrlPr>
                            <w:rPr>
                              <w:rFonts w:ascii="Cambria Math" w:hAnsi="Cambria Math"/>
                              <w:color w:val="auto"/>
                            </w:rPr>
                          </m:ctrlPr>
                        </m:e>
                        <m:sup>
                          <m:r>
                            <m:rPr>
                              <m:nor/>
                              <m:sty m:val="p"/>
                            </m:rPr>
                            <w:rPr>
                              <w:b w:val="0"/>
                              <w:i w:val="0"/>
                              <w:color w:val="auto"/>
                            </w:rPr>
                            <m:t>0.1</m:t>
                          </m:r>
                          <m:sSub>
                            <m:sSubPr>
                              <m:ctrlPr>
                                <w:rPr>
                                  <w:rFonts w:ascii="Cambria Math" w:hAnsi="Cambria Math"/>
                                  <w:color w:val="auto"/>
                                </w:rPr>
                              </m:ctrlPr>
                            </m:sSubPr>
                            <m:e>
                              <m:r>
                                <m:rPr>
                                  <m:nor/>
                                  <m:sty m:val="p"/>
                                </m:rPr>
                                <w:rPr>
                                  <w:b w:val="0"/>
                                  <w:i w:val="0"/>
                                  <w:color w:val="auto"/>
                                </w:rPr>
                                <m:t>L</m:t>
                              </m:r>
                              <m:ctrlPr>
                                <w:rPr>
                                  <w:rFonts w:ascii="Cambria Math" w:hAnsi="Cambria Math"/>
                                  <w:color w:val="auto"/>
                                </w:rPr>
                              </m:ctrlPr>
                            </m:e>
                            <m:sub>
                              <m:r>
                                <m:rPr>
                                  <m:nor/>
                                  <m:sty m:val="p"/>
                                </m:rPr>
                                <w:rPr>
                                  <w:b w:val="0"/>
                                  <w:i w:val="0"/>
                                  <w:color w:val="auto"/>
                                </w:rPr>
                                <m:t>Ai</m:t>
                              </m:r>
                              <m:ctrlPr>
                                <w:rPr>
                                  <w:rFonts w:ascii="Cambria Math" w:hAnsi="Cambria Math"/>
                                  <w:color w:val="auto"/>
                                </w:rPr>
                              </m:ctrlPr>
                            </m:sub>
                          </m:sSub>
                          <m:ctrlPr>
                            <w:rPr>
                              <w:rFonts w:ascii="Cambria Math" w:hAnsi="Cambria Math"/>
                              <w:color w:val="auto"/>
                            </w:rPr>
                          </m:ctrlPr>
                        </m:sup>
                      </m:sSup>
                      <m:ctrlPr>
                        <w:rPr>
                          <w:rFonts w:ascii="Cambria Math" w:hAnsi="Cambria Math"/>
                          <w:color w:val="auto"/>
                        </w:rPr>
                      </m:ctrlPr>
                    </m:e>
                  </m:nary>
                  <m:r>
                    <m:rPr>
                      <m:nor/>
                      <m:sty m:val="p"/>
                    </m:rPr>
                    <w:rPr>
                      <w:b w:val="0"/>
                      <w:i w:val="0"/>
                      <w:color w:val="auto"/>
                    </w:rPr>
                    <m:t>+</m:t>
                  </m:r>
                  <m:nary>
                    <m:naryPr>
                      <m:chr m:val="∑"/>
                      <m:limLoc m:val="undOvr"/>
                      <m:ctrlPr>
                        <w:rPr>
                          <w:rFonts w:ascii="Cambria Math" w:hAnsi="Cambria Math"/>
                          <w:color w:val="auto"/>
                        </w:rPr>
                      </m:ctrlPr>
                    </m:naryPr>
                    <m:sub>
                      <m:r>
                        <m:rPr>
                          <m:nor/>
                          <m:sty m:val="p"/>
                        </m:rPr>
                        <w:rPr>
                          <w:b w:val="0"/>
                          <w:i w:val="0"/>
                          <w:color w:val="auto"/>
                        </w:rPr>
                        <m:t>j=1</m:t>
                      </m:r>
                      <m:ctrlPr>
                        <w:rPr>
                          <w:rFonts w:ascii="Cambria Math" w:hAnsi="Cambria Math"/>
                          <w:color w:val="auto"/>
                        </w:rPr>
                      </m:ctrlPr>
                    </m:sub>
                    <m:sup>
                      <m:r>
                        <m:rPr>
                          <m:nor/>
                          <m:sty m:val="p"/>
                        </m:rPr>
                        <w:rPr>
                          <w:b w:val="0"/>
                          <w:i w:val="0"/>
                          <w:color w:val="auto"/>
                        </w:rPr>
                        <m:t>M</m:t>
                      </m:r>
                      <m:ctrlPr>
                        <w:rPr>
                          <w:rFonts w:ascii="Cambria Math" w:hAnsi="Cambria Math"/>
                          <w:color w:val="auto"/>
                        </w:rPr>
                      </m:ctrlPr>
                    </m:sup>
                    <m:e>
                      <m:sSub>
                        <m:sSubPr>
                          <m:ctrlPr>
                            <w:rPr>
                              <w:rFonts w:ascii="Cambria Math" w:hAnsi="Cambria Math"/>
                              <w:color w:val="auto"/>
                            </w:rPr>
                          </m:ctrlPr>
                        </m:sSubPr>
                        <m:e>
                          <m:r>
                            <m:rPr>
                              <m:nor/>
                              <m:sty m:val="p"/>
                            </m:rPr>
                            <w:rPr>
                              <w:b w:val="0"/>
                              <w:i w:val="0"/>
                              <w:color w:val="auto"/>
                            </w:rPr>
                            <m:t>t</m:t>
                          </m:r>
                          <m:ctrlPr>
                            <w:rPr>
                              <w:rFonts w:ascii="Cambria Math" w:hAnsi="Cambria Math"/>
                              <w:color w:val="auto"/>
                            </w:rPr>
                          </m:ctrlPr>
                        </m:e>
                        <m:sub>
                          <m:r>
                            <m:rPr>
                              <m:nor/>
                              <m:sty m:val="p"/>
                            </m:rPr>
                            <w:rPr>
                              <w:b w:val="0"/>
                              <w:i w:val="0"/>
                              <w:color w:val="auto"/>
                            </w:rPr>
                            <m:t>i</m:t>
                          </m:r>
                          <m:ctrlPr>
                            <w:rPr>
                              <w:rFonts w:ascii="Cambria Math" w:hAnsi="Cambria Math"/>
                              <w:color w:val="auto"/>
                            </w:rPr>
                          </m:ctrlPr>
                        </m:sub>
                      </m:sSub>
                      <m:sSup>
                        <m:sSupPr>
                          <m:ctrlPr>
                            <w:rPr>
                              <w:rFonts w:ascii="Cambria Math" w:hAnsi="Cambria Math"/>
                              <w:color w:val="auto"/>
                            </w:rPr>
                          </m:ctrlPr>
                        </m:sSupPr>
                        <m:e>
                          <m:r>
                            <m:rPr>
                              <m:nor/>
                              <m:sty m:val="p"/>
                            </m:rPr>
                            <w:rPr>
                              <w:b w:val="0"/>
                              <w:i w:val="0"/>
                              <w:color w:val="auto"/>
                            </w:rPr>
                            <m:t>10</m:t>
                          </m:r>
                          <m:ctrlPr>
                            <w:rPr>
                              <w:rFonts w:ascii="Cambria Math" w:hAnsi="Cambria Math"/>
                              <w:color w:val="auto"/>
                            </w:rPr>
                          </m:ctrlPr>
                        </m:e>
                        <m:sup>
                          <m:r>
                            <m:rPr>
                              <m:nor/>
                              <m:sty m:val="p"/>
                            </m:rPr>
                            <w:rPr>
                              <w:b w:val="0"/>
                              <w:i w:val="0"/>
                              <w:color w:val="auto"/>
                            </w:rPr>
                            <m:t>0.1</m:t>
                          </m:r>
                          <m:sSub>
                            <m:sSubPr>
                              <m:ctrlPr>
                                <w:rPr>
                                  <w:rFonts w:ascii="Cambria Math" w:hAnsi="Cambria Math"/>
                                  <w:color w:val="auto"/>
                                </w:rPr>
                              </m:ctrlPr>
                            </m:sSubPr>
                            <m:e>
                              <m:r>
                                <m:rPr>
                                  <m:nor/>
                                  <m:sty m:val="p"/>
                                </m:rPr>
                                <w:rPr>
                                  <w:b w:val="0"/>
                                  <w:i w:val="0"/>
                                  <w:color w:val="auto"/>
                                </w:rPr>
                                <m:t>L</m:t>
                              </m:r>
                              <m:ctrlPr>
                                <w:rPr>
                                  <w:rFonts w:ascii="Cambria Math" w:hAnsi="Cambria Math"/>
                                  <w:color w:val="auto"/>
                                </w:rPr>
                              </m:ctrlPr>
                            </m:e>
                            <m:sub>
                              <m:r>
                                <m:rPr>
                                  <m:nor/>
                                  <m:sty m:val="p"/>
                                </m:rPr>
                                <w:rPr>
                                  <w:b w:val="0"/>
                                  <w:i w:val="0"/>
                                  <w:color w:val="auto"/>
                                </w:rPr>
                                <m:t>Aj</m:t>
                              </m:r>
                              <m:ctrlPr>
                                <w:rPr>
                                  <w:rFonts w:ascii="Cambria Math" w:hAnsi="Cambria Math"/>
                                  <w:color w:val="auto"/>
                                </w:rPr>
                              </m:ctrlPr>
                            </m:sub>
                          </m:sSub>
                          <m:ctrlPr>
                            <w:rPr>
                              <w:rFonts w:ascii="Cambria Math" w:hAnsi="Cambria Math"/>
                              <w:color w:val="auto"/>
                            </w:rPr>
                          </m:ctrlPr>
                        </m:sup>
                      </m:sSup>
                      <m:ctrlPr>
                        <w:rPr>
                          <w:rFonts w:ascii="Cambria Math" w:hAnsi="Cambria Math"/>
                          <w:color w:val="auto"/>
                        </w:rPr>
                      </m:ctrlPr>
                    </m:e>
                  </m:nary>
                  <m:ctrlPr>
                    <w:rPr>
                      <w:rFonts w:ascii="Cambria Math" w:hAnsi="Cambria Math"/>
                      <w:color w:val="auto"/>
                    </w:rPr>
                  </m:ctrlPr>
                </m:e>
              </m:d>
              <m:ctrlPr>
                <w:rPr>
                  <w:rFonts w:ascii="Cambria Math" w:hAnsi="Cambria Math"/>
                  <w:color w:val="auto"/>
                </w:rPr>
              </m:ctrlPr>
            </m:e>
          </m:d>
        </m:oMath>
      </m:oMathPara>
    </w:p>
    <w:p w14:paraId="1AE2DDE0">
      <w:pPr>
        <w:ind w:firstLine="480"/>
        <w:rPr>
          <w:color w:val="auto"/>
        </w:rPr>
      </w:pPr>
      <w:r>
        <w:rPr>
          <w:color w:val="auto"/>
        </w:rPr>
        <w:t>式中：L</w:t>
      </w:r>
      <w:r>
        <w:rPr>
          <w:color w:val="auto"/>
          <w:vertAlign w:val="subscript"/>
        </w:rPr>
        <w:t>eqg</w:t>
      </w:r>
      <w:r>
        <w:rPr>
          <w:color w:val="auto"/>
        </w:rPr>
        <w:t>—建设项目声源在预测点产生的噪声贡献值，dB；</w:t>
      </w:r>
    </w:p>
    <w:p w14:paraId="0C66A2AF">
      <w:pPr>
        <w:ind w:firstLine="1080" w:firstLineChars="450"/>
        <w:rPr>
          <w:color w:val="auto"/>
        </w:rPr>
      </w:pPr>
      <w:r>
        <w:rPr>
          <w:color w:val="auto"/>
        </w:rPr>
        <w:t>T—用于计算等效声级的时间，s；</w:t>
      </w:r>
    </w:p>
    <w:p w14:paraId="587BD1EA">
      <w:pPr>
        <w:ind w:firstLine="1080" w:firstLineChars="450"/>
        <w:rPr>
          <w:color w:val="auto"/>
        </w:rPr>
      </w:pPr>
      <w:r>
        <w:rPr>
          <w:color w:val="auto"/>
        </w:rPr>
        <w:t>N—室外声源个数；</w:t>
      </w:r>
    </w:p>
    <w:p w14:paraId="2130DCA5">
      <w:pPr>
        <w:ind w:firstLine="1080" w:firstLineChars="450"/>
        <w:rPr>
          <w:color w:val="auto"/>
        </w:rPr>
      </w:pPr>
      <w:r>
        <w:rPr>
          <w:color w:val="auto"/>
        </w:rPr>
        <w:t>ti—在T时间内i声源工作时间，s；</w:t>
      </w:r>
    </w:p>
    <w:p w14:paraId="6A8D693A">
      <w:pPr>
        <w:ind w:firstLine="1080" w:firstLineChars="450"/>
        <w:rPr>
          <w:color w:val="auto"/>
        </w:rPr>
      </w:pPr>
      <w:r>
        <w:rPr>
          <w:color w:val="auto"/>
        </w:rPr>
        <w:t>M—等效室外声源个数；</w:t>
      </w:r>
    </w:p>
    <w:p w14:paraId="4E0AB441">
      <w:pPr>
        <w:ind w:firstLine="1080" w:firstLineChars="450"/>
        <w:rPr>
          <w:color w:val="auto"/>
        </w:rPr>
      </w:pPr>
      <w:r>
        <w:rPr>
          <w:color w:val="auto"/>
        </w:rPr>
        <w:t>tj—在T时间内j声源工作时间，s。</w:t>
      </w:r>
    </w:p>
    <w:p w14:paraId="0BB207D2">
      <w:pPr>
        <w:pStyle w:val="4"/>
        <w:rPr>
          <w:color w:val="auto"/>
        </w:rPr>
      </w:pPr>
      <w:bookmarkStart w:id="500" w:name="_Toc225216809"/>
      <w:r>
        <w:rPr>
          <w:rFonts w:hint="eastAsia"/>
          <w:color w:val="auto"/>
        </w:rPr>
        <w:t>预测结果</w:t>
      </w:r>
      <w:bookmarkEnd w:id="500"/>
    </w:p>
    <w:p w14:paraId="47E2AD79">
      <w:pPr>
        <w:ind w:firstLine="480"/>
        <w:rPr>
          <w:color w:val="auto"/>
        </w:rPr>
      </w:pPr>
      <w:r>
        <w:rPr>
          <w:color w:val="auto"/>
        </w:rPr>
        <w:t>金桂浆纸厂区边界噪声值见</w:t>
      </w:r>
      <w:r>
        <w:rPr>
          <w:rFonts w:hint="eastAsia"/>
          <w:color w:val="auto"/>
        </w:rPr>
        <w:t>下表</w:t>
      </w:r>
    </w:p>
    <w:p w14:paraId="5E25DEE9">
      <w:pPr>
        <w:pStyle w:val="7"/>
        <w:rPr>
          <w:color w:val="auto"/>
        </w:rPr>
      </w:pPr>
      <w:r>
        <w:rPr>
          <w:color w:val="auto"/>
        </w:rPr>
        <w:t>噪声预测结果</w:t>
      </w:r>
      <w:r>
        <w:rPr>
          <w:rFonts w:hint="eastAsia"/>
          <w:color w:val="auto"/>
        </w:rPr>
        <w:t xml:space="preserve"> 单位：dB(A)</w:t>
      </w:r>
    </w:p>
    <w:tbl>
      <w:tblPr>
        <w:tblStyle w:val="26"/>
        <w:tblW w:w="8521" w:type="dxa"/>
        <w:jc w:val="center"/>
        <w:tblLayout w:type="autofit"/>
        <w:tblCellMar>
          <w:top w:w="0" w:type="dxa"/>
          <w:left w:w="108" w:type="dxa"/>
          <w:bottom w:w="0" w:type="dxa"/>
          <w:right w:w="108" w:type="dxa"/>
        </w:tblCellMar>
      </w:tblPr>
      <w:tblGrid>
        <w:gridCol w:w="2054"/>
        <w:gridCol w:w="912"/>
        <w:gridCol w:w="1109"/>
        <w:gridCol w:w="1682"/>
        <w:gridCol w:w="1109"/>
        <w:gridCol w:w="828"/>
        <w:gridCol w:w="827"/>
      </w:tblGrid>
      <w:tr w14:paraId="1DE94794">
        <w:tblPrEx>
          <w:tblCellMar>
            <w:top w:w="0" w:type="dxa"/>
            <w:left w:w="108" w:type="dxa"/>
            <w:bottom w:w="0" w:type="dxa"/>
            <w:right w:w="108" w:type="dxa"/>
          </w:tblCellMar>
        </w:tblPrEx>
        <w:trPr>
          <w:trHeight w:val="272" w:hRule="atLeast"/>
          <w:jc w:val="center"/>
        </w:trPr>
        <w:tc>
          <w:tcPr>
            <w:tcW w:w="1205" w:type="pct"/>
            <w:tcBorders>
              <w:top w:val="single" w:color="000000" w:sz="4" w:space="0"/>
              <w:left w:val="single" w:color="000000" w:sz="4" w:space="0"/>
              <w:bottom w:val="single" w:color="auto" w:sz="4" w:space="0"/>
              <w:right w:val="single" w:color="000000" w:sz="4" w:space="0"/>
            </w:tcBorders>
            <w:vAlign w:val="center"/>
          </w:tcPr>
          <w:p w14:paraId="6DE57652">
            <w:pPr>
              <w:pStyle w:val="33"/>
              <w:rPr>
                <w:color w:val="auto"/>
              </w:rPr>
            </w:pPr>
            <w:r>
              <w:rPr>
                <w:color w:val="auto"/>
              </w:rPr>
              <w:t>厂界位置</w:t>
            </w:r>
          </w:p>
        </w:tc>
        <w:tc>
          <w:tcPr>
            <w:tcW w:w="535" w:type="pct"/>
            <w:tcBorders>
              <w:top w:val="single" w:color="000000" w:sz="4" w:space="0"/>
              <w:left w:val="single" w:color="000000" w:sz="4" w:space="0"/>
              <w:bottom w:val="single" w:color="auto" w:sz="4" w:space="0"/>
              <w:right w:val="single" w:color="000000" w:sz="4" w:space="0"/>
            </w:tcBorders>
            <w:vAlign w:val="center"/>
          </w:tcPr>
          <w:p w14:paraId="16F9144A">
            <w:pPr>
              <w:pStyle w:val="33"/>
              <w:rPr>
                <w:color w:val="auto"/>
              </w:rPr>
            </w:pPr>
            <w:r>
              <w:rPr>
                <w:color w:val="auto"/>
              </w:rPr>
              <w:t>类型</w:t>
            </w:r>
          </w:p>
        </w:tc>
        <w:tc>
          <w:tcPr>
            <w:tcW w:w="651" w:type="pct"/>
            <w:tcBorders>
              <w:top w:val="single" w:color="000000" w:sz="4" w:space="0"/>
              <w:left w:val="single" w:color="000000" w:sz="4" w:space="0"/>
              <w:bottom w:val="single" w:color="auto" w:sz="4" w:space="0"/>
              <w:right w:val="single" w:color="000000" w:sz="4" w:space="0"/>
            </w:tcBorders>
            <w:noWrap/>
            <w:vAlign w:val="center"/>
          </w:tcPr>
          <w:p w14:paraId="6C8C0EF5">
            <w:pPr>
              <w:pStyle w:val="33"/>
              <w:rPr>
                <w:color w:val="auto"/>
              </w:rPr>
            </w:pPr>
            <w:r>
              <w:rPr>
                <w:color w:val="auto"/>
              </w:rPr>
              <w:t>贡献值</w:t>
            </w:r>
          </w:p>
        </w:tc>
        <w:tc>
          <w:tcPr>
            <w:tcW w:w="987" w:type="pct"/>
            <w:tcBorders>
              <w:top w:val="single" w:color="000000" w:sz="4" w:space="0"/>
              <w:left w:val="single" w:color="000000" w:sz="4" w:space="0"/>
              <w:bottom w:val="single" w:color="auto" w:sz="4" w:space="0"/>
              <w:right w:val="single" w:color="000000" w:sz="4" w:space="0"/>
            </w:tcBorders>
            <w:noWrap/>
            <w:vAlign w:val="center"/>
          </w:tcPr>
          <w:p w14:paraId="5426B00F">
            <w:pPr>
              <w:pStyle w:val="33"/>
              <w:rPr>
                <w:color w:val="auto"/>
              </w:rPr>
            </w:pPr>
            <w:r>
              <w:rPr>
                <w:color w:val="auto"/>
              </w:rPr>
              <w:t>现状监测值</w:t>
            </w:r>
          </w:p>
        </w:tc>
        <w:tc>
          <w:tcPr>
            <w:tcW w:w="651" w:type="pct"/>
            <w:tcBorders>
              <w:top w:val="single" w:color="000000" w:sz="4" w:space="0"/>
              <w:left w:val="single" w:color="000000" w:sz="4" w:space="0"/>
              <w:bottom w:val="single" w:color="auto" w:sz="4" w:space="0"/>
              <w:right w:val="single" w:color="000000" w:sz="4" w:space="0"/>
            </w:tcBorders>
            <w:noWrap/>
            <w:vAlign w:val="center"/>
          </w:tcPr>
          <w:p w14:paraId="6B3D0E62">
            <w:pPr>
              <w:pStyle w:val="33"/>
              <w:rPr>
                <w:color w:val="auto"/>
              </w:rPr>
            </w:pPr>
            <w:r>
              <w:rPr>
                <w:color w:val="auto"/>
              </w:rPr>
              <w:t>预测值</w:t>
            </w:r>
          </w:p>
        </w:tc>
        <w:tc>
          <w:tcPr>
            <w:tcW w:w="486" w:type="pct"/>
            <w:tcBorders>
              <w:top w:val="single" w:color="000000" w:sz="4" w:space="0"/>
              <w:left w:val="single" w:color="000000" w:sz="4" w:space="0"/>
              <w:bottom w:val="single" w:color="auto" w:sz="4" w:space="0"/>
              <w:right w:val="single" w:color="000000" w:sz="4" w:space="0"/>
            </w:tcBorders>
            <w:vAlign w:val="center"/>
          </w:tcPr>
          <w:p w14:paraId="205DA4C3">
            <w:pPr>
              <w:pStyle w:val="33"/>
              <w:rPr>
                <w:color w:val="auto"/>
              </w:rPr>
            </w:pPr>
            <w:r>
              <w:rPr>
                <w:color w:val="auto"/>
              </w:rPr>
              <w:t>执行标准</w:t>
            </w:r>
          </w:p>
        </w:tc>
        <w:tc>
          <w:tcPr>
            <w:tcW w:w="486" w:type="pct"/>
            <w:tcBorders>
              <w:top w:val="single" w:color="000000" w:sz="4" w:space="0"/>
              <w:left w:val="single" w:color="000000" w:sz="4" w:space="0"/>
              <w:bottom w:val="single" w:color="auto" w:sz="4" w:space="0"/>
              <w:right w:val="single" w:color="000000" w:sz="4" w:space="0"/>
            </w:tcBorders>
            <w:vAlign w:val="center"/>
          </w:tcPr>
          <w:p w14:paraId="43869AB1">
            <w:pPr>
              <w:pStyle w:val="33"/>
              <w:rPr>
                <w:color w:val="auto"/>
              </w:rPr>
            </w:pPr>
            <w:r>
              <w:rPr>
                <w:color w:val="auto"/>
              </w:rPr>
              <w:t>达标情况</w:t>
            </w:r>
          </w:p>
        </w:tc>
      </w:tr>
      <w:tr w14:paraId="08B88556">
        <w:tblPrEx>
          <w:tblCellMar>
            <w:top w:w="0" w:type="dxa"/>
            <w:left w:w="108" w:type="dxa"/>
            <w:bottom w:w="0" w:type="dxa"/>
            <w:right w:w="108" w:type="dxa"/>
          </w:tblCellMar>
        </w:tblPrEx>
        <w:trPr>
          <w:trHeight w:val="90" w:hRule="atLeast"/>
          <w:jc w:val="center"/>
        </w:trPr>
        <w:tc>
          <w:tcPr>
            <w:tcW w:w="1205" w:type="pct"/>
            <w:vMerge w:val="restart"/>
            <w:tcBorders>
              <w:top w:val="single" w:color="auto" w:sz="4" w:space="0"/>
              <w:left w:val="single" w:color="auto" w:sz="4" w:space="0"/>
              <w:bottom w:val="single" w:color="auto" w:sz="4" w:space="0"/>
              <w:right w:val="single" w:color="auto" w:sz="4" w:space="0"/>
            </w:tcBorders>
            <w:vAlign w:val="center"/>
          </w:tcPr>
          <w:p w14:paraId="196BB2FD">
            <w:pPr>
              <w:pStyle w:val="33"/>
              <w:rPr>
                <w:color w:val="auto"/>
              </w:rPr>
            </w:pPr>
            <w:r>
              <w:rPr>
                <w:color w:val="auto"/>
              </w:rPr>
              <w:t>金桂浆纸厂界南面（临时安置房）</w:t>
            </w:r>
          </w:p>
        </w:tc>
        <w:tc>
          <w:tcPr>
            <w:tcW w:w="535" w:type="pct"/>
            <w:tcBorders>
              <w:top w:val="single" w:color="auto" w:sz="4" w:space="0"/>
              <w:left w:val="single" w:color="auto" w:sz="4" w:space="0"/>
              <w:bottom w:val="single" w:color="auto" w:sz="4" w:space="0"/>
              <w:right w:val="single" w:color="auto" w:sz="4" w:space="0"/>
            </w:tcBorders>
            <w:vAlign w:val="center"/>
          </w:tcPr>
          <w:p w14:paraId="53BE4C8E">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468BC9B7">
            <w:pPr>
              <w:pStyle w:val="33"/>
              <w:rPr>
                <w:color w:val="auto"/>
              </w:rPr>
            </w:pPr>
            <w:r>
              <w:rPr>
                <w:rFonts w:hint="eastAsia"/>
                <w:color w:val="auto"/>
              </w:rPr>
              <w:t>15.15</w:t>
            </w:r>
          </w:p>
        </w:tc>
        <w:tc>
          <w:tcPr>
            <w:tcW w:w="987" w:type="pct"/>
            <w:tcBorders>
              <w:top w:val="single" w:color="auto" w:sz="4" w:space="0"/>
              <w:left w:val="single" w:color="auto" w:sz="4" w:space="0"/>
              <w:bottom w:val="single" w:color="auto" w:sz="4" w:space="0"/>
              <w:right w:val="single" w:color="auto" w:sz="4" w:space="0"/>
            </w:tcBorders>
            <w:vAlign w:val="center"/>
          </w:tcPr>
          <w:p w14:paraId="7BC63B0F">
            <w:pPr>
              <w:pStyle w:val="33"/>
              <w:rPr>
                <w:color w:val="auto"/>
              </w:rPr>
            </w:pPr>
            <w:r>
              <w:rPr>
                <w:color w:val="auto"/>
              </w:rPr>
              <w:t>58.1</w:t>
            </w:r>
          </w:p>
        </w:tc>
        <w:tc>
          <w:tcPr>
            <w:tcW w:w="651" w:type="pct"/>
            <w:tcBorders>
              <w:top w:val="single" w:color="auto" w:sz="4" w:space="0"/>
              <w:left w:val="single" w:color="auto" w:sz="4" w:space="0"/>
              <w:bottom w:val="single" w:color="auto" w:sz="4" w:space="0"/>
              <w:right w:val="single" w:color="auto" w:sz="4" w:space="0"/>
            </w:tcBorders>
            <w:vAlign w:val="center"/>
          </w:tcPr>
          <w:p w14:paraId="7ED49685">
            <w:pPr>
              <w:pStyle w:val="33"/>
              <w:rPr>
                <w:color w:val="auto"/>
              </w:rPr>
            </w:pPr>
            <w:r>
              <w:rPr>
                <w:rFonts w:hint="eastAsia"/>
                <w:color w:val="auto"/>
              </w:rPr>
              <w:t>55.91</w:t>
            </w:r>
          </w:p>
        </w:tc>
        <w:tc>
          <w:tcPr>
            <w:tcW w:w="486" w:type="pct"/>
            <w:tcBorders>
              <w:top w:val="single" w:color="auto" w:sz="4" w:space="0"/>
              <w:left w:val="single" w:color="auto" w:sz="4" w:space="0"/>
              <w:bottom w:val="single" w:color="auto" w:sz="4" w:space="0"/>
              <w:right w:val="single" w:color="auto" w:sz="4" w:space="0"/>
            </w:tcBorders>
            <w:vAlign w:val="center"/>
          </w:tcPr>
          <w:p w14:paraId="3C9F780F">
            <w:pPr>
              <w:pStyle w:val="33"/>
              <w:rPr>
                <w:color w:val="auto"/>
              </w:rPr>
            </w:pPr>
            <w:r>
              <w:rPr>
                <w:color w:val="auto"/>
              </w:rPr>
              <w:t>70</w:t>
            </w:r>
          </w:p>
        </w:tc>
        <w:tc>
          <w:tcPr>
            <w:tcW w:w="486" w:type="pct"/>
            <w:tcBorders>
              <w:top w:val="single" w:color="auto" w:sz="4" w:space="0"/>
              <w:left w:val="single" w:color="auto" w:sz="4" w:space="0"/>
              <w:bottom w:val="single" w:color="auto" w:sz="4" w:space="0"/>
              <w:right w:val="single" w:color="auto" w:sz="4" w:space="0"/>
            </w:tcBorders>
            <w:vAlign w:val="center"/>
          </w:tcPr>
          <w:p w14:paraId="4CCDA826">
            <w:pPr>
              <w:pStyle w:val="33"/>
              <w:rPr>
                <w:color w:val="auto"/>
              </w:rPr>
            </w:pPr>
            <w:r>
              <w:rPr>
                <w:color w:val="auto"/>
              </w:rPr>
              <w:t>达标</w:t>
            </w:r>
          </w:p>
        </w:tc>
      </w:tr>
      <w:tr w14:paraId="48C063CF">
        <w:tblPrEx>
          <w:tblCellMar>
            <w:top w:w="0" w:type="dxa"/>
            <w:left w:w="108" w:type="dxa"/>
            <w:bottom w:w="0" w:type="dxa"/>
            <w:right w:w="108" w:type="dxa"/>
          </w:tblCellMar>
        </w:tblPrEx>
        <w:trPr>
          <w:trHeight w:val="272" w:hRule="atLeast"/>
          <w:jc w:val="center"/>
        </w:trPr>
        <w:tc>
          <w:tcPr>
            <w:tcW w:w="1205" w:type="pct"/>
            <w:vMerge w:val="continue"/>
            <w:tcBorders>
              <w:top w:val="single" w:color="auto" w:sz="4" w:space="0"/>
              <w:left w:val="single" w:color="auto" w:sz="4" w:space="0"/>
              <w:bottom w:val="single" w:color="auto" w:sz="4" w:space="0"/>
              <w:right w:val="single" w:color="auto" w:sz="4" w:space="0"/>
            </w:tcBorders>
            <w:vAlign w:val="center"/>
          </w:tcPr>
          <w:p w14:paraId="29DFEB51">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0E534950">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2C302F19">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4F8B8BED">
            <w:pPr>
              <w:pStyle w:val="33"/>
              <w:rPr>
                <w:color w:val="auto"/>
              </w:rPr>
            </w:pPr>
            <w:r>
              <w:rPr>
                <w:color w:val="auto"/>
              </w:rPr>
              <w:t>53.2</w:t>
            </w:r>
          </w:p>
        </w:tc>
        <w:tc>
          <w:tcPr>
            <w:tcW w:w="651" w:type="pct"/>
            <w:tcBorders>
              <w:top w:val="single" w:color="auto" w:sz="4" w:space="0"/>
              <w:left w:val="single" w:color="auto" w:sz="4" w:space="0"/>
              <w:bottom w:val="single" w:color="auto" w:sz="4" w:space="0"/>
              <w:right w:val="single" w:color="auto" w:sz="4" w:space="0"/>
            </w:tcBorders>
            <w:vAlign w:val="center"/>
          </w:tcPr>
          <w:p w14:paraId="3783E5A1">
            <w:pPr>
              <w:pStyle w:val="33"/>
              <w:rPr>
                <w:color w:val="auto"/>
              </w:rPr>
            </w:pPr>
            <w:r>
              <w:rPr>
                <w:rFonts w:hint="eastAsia"/>
                <w:color w:val="auto"/>
              </w:rPr>
              <w:t>51.37</w:t>
            </w:r>
          </w:p>
        </w:tc>
        <w:tc>
          <w:tcPr>
            <w:tcW w:w="486" w:type="pct"/>
            <w:tcBorders>
              <w:top w:val="single" w:color="auto" w:sz="4" w:space="0"/>
              <w:left w:val="single" w:color="auto" w:sz="4" w:space="0"/>
              <w:bottom w:val="single" w:color="auto" w:sz="4" w:space="0"/>
              <w:right w:val="single" w:color="auto" w:sz="4" w:space="0"/>
            </w:tcBorders>
            <w:vAlign w:val="center"/>
          </w:tcPr>
          <w:p w14:paraId="5A0D25DB">
            <w:pPr>
              <w:pStyle w:val="33"/>
              <w:rPr>
                <w:color w:val="auto"/>
              </w:rPr>
            </w:pPr>
            <w:r>
              <w:rPr>
                <w:color w:val="auto"/>
              </w:rPr>
              <w:t>55</w:t>
            </w:r>
          </w:p>
        </w:tc>
        <w:tc>
          <w:tcPr>
            <w:tcW w:w="486" w:type="pct"/>
            <w:tcBorders>
              <w:top w:val="single" w:color="auto" w:sz="4" w:space="0"/>
              <w:left w:val="single" w:color="auto" w:sz="4" w:space="0"/>
              <w:bottom w:val="single" w:color="auto" w:sz="4" w:space="0"/>
              <w:right w:val="single" w:color="auto" w:sz="4" w:space="0"/>
            </w:tcBorders>
            <w:vAlign w:val="center"/>
          </w:tcPr>
          <w:p w14:paraId="457230A1">
            <w:pPr>
              <w:pStyle w:val="33"/>
              <w:rPr>
                <w:color w:val="auto"/>
              </w:rPr>
            </w:pPr>
            <w:r>
              <w:rPr>
                <w:color w:val="auto"/>
              </w:rPr>
              <w:t>达标</w:t>
            </w:r>
          </w:p>
        </w:tc>
      </w:tr>
      <w:tr w14:paraId="08810F1E">
        <w:tblPrEx>
          <w:tblCellMar>
            <w:top w:w="0" w:type="dxa"/>
            <w:left w:w="108" w:type="dxa"/>
            <w:bottom w:w="0" w:type="dxa"/>
            <w:right w:w="108" w:type="dxa"/>
          </w:tblCellMar>
        </w:tblPrEx>
        <w:trPr>
          <w:trHeight w:val="272" w:hRule="atLeast"/>
          <w:jc w:val="center"/>
        </w:trPr>
        <w:tc>
          <w:tcPr>
            <w:tcW w:w="1205" w:type="pct"/>
            <w:vMerge w:val="restart"/>
            <w:tcBorders>
              <w:top w:val="single" w:color="auto" w:sz="4" w:space="0"/>
              <w:left w:val="single" w:color="auto" w:sz="4" w:space="0"/>
              <w:bottom w:val="single" w:color="auto" w:sz="4" w:space="0"/>
              <w:right w:val="single" w:color="auto" w:sz="4" w:space="0"/>
            </w:tcBorders>
            <w:vAlign w:val="center"/>
          </w:tcPr>
          <w:p w14:paraId="17C1D571">
            <w:pPr>
              <w:pStyle w:val="33"/>
              <w:rPr>
                <w:color w:val="auto"/>
              </w:rPr>
            </w:pPr>
            <w:r>
              <w:rPr>
                <w:color w:val="auto"/>
              </w:rPr>
              <w:t>金桂浆纸厂界东面</w:t>
            </w:r>
          </w:p>
        </w:tc>
        <w:tc>
          <w:tcPr>
            <w:tcW w:w="535" w:type="pct"/>
            <w:tcBorders>
              <w:top w:val="single" w:color="auto" w:sz="4" w:space="0"/>
              <w:left w:val="single" w:color="auto" w:sz="4" w:space="0"/>
              <w:bottom w:val="single" w:color="auto" w:sz="4" w:space="0"/>
              <w:right w:val="single" w:color="auto" w:sz="4" w:space="0"/>
            </w:tcBorders>
            <w:vAlign w:val="center"/>
          </w:tcPr>
          <w:p w14:paraId="02261058">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094DAD9B">
            <w:pPr>
              <w:pStyle w:val="33"/>
              <w:rPr>
                <w:color w:val="auto"/>
              </w:rPr>
            </w:pPr>
            <w:r>
              <w:rPr>
                <w:rFonts w:hint="eastAsia"/>
                <w:color w:val="auto"/>
              </w:rPr>
              <w:t>14.35</w:t>
            </w:r>
          </w:p>
        </w:tc>
        <w:tc>
          <w:tcPr>
            <w:tcW w:w="987" w:type="pct"/>
            <w:tcBorders>
              <w:top w:val="single" w:color="auto" w:sz="4" w:space="0"/>
              <w:left w:val="single" w:color="auto" w:sz="4" w:space="0"/>
              <w:bottom w:val="single" w:color="auto" w:sz="4" w:space="0"/>
              <w:right w:val="single" w:color="auto" w:sz="4" w:space="0"/>
            </w:tcBorders>
            <w:vAlign w:val="center"/>
          </w:tcPr>
          <w:p w14:paraId="0409B82E">
            <w:pPr>
              <w:pStyle w:val="33"/>
              <w:rPr>
                <w:color w:val="auto"/>
              </w:rPr>
            </w:pPr>
            <w:r>
              <w:rPr>
                <w:color w:val="auto"/>
              </w:rPr>
              <w:t>55.7</w:t>
            </w:r>
          </w:p>
        </w:tc>
        <w:tc>
          <w:tcPr>
            <w:tcW w:w="651" w:type="pct"/>
            <w:tcBorders>
              <w:top w:val="single" w:color="auto" w:sz="4" w:space="0"/>
              <w:left w:val="single" w:color="auto" w:sz="4" w:space="0"/>
              <w:bottom w:val="single" w:color="auto" w:sz="4" w:space="0"/>
              <w:right w:val="single" w:color="auto" w:sz="4" w:space="0"/>
            </w:tcBorders>
            <w:vAlign w:val="center"/>
          </w:tcPr>
          <w:p w14:paraId="03EB6EE8">
            <w:pPr>
              <w:pStyle w:val="33"/>
              <w:rPr>
                <w:color w:val="auto"/>
              </w:rPr>
            </w:pPr>
            <w:r>
              <w:rPr>
                <w:rFonts w:hint="eastAsia"/>
                <w:color w:val="auto"/>
              </w:rPr>
              <w:t>58.10</w:t>
            </w:r>
          </w:p>
        </w:tc>
        <w:tc>
          <w:tcPr>
            <w:tcW w:w="486" w:type="pct"/>
            <w:tcBorders>
              <w:top w:val="single" w:color="auto" w:sz="4" w:space="0"/>
              <w:left w:val="single" w:color="auto" w:sz="4" w:space="0"/>
              <w:bottom w:val="single" w:color="auto" w:sz="4" w:space="0"/>
              <w:right w:val="single" w:color="auto" w:sz="4" w:space="0"/>
            </w:tcBorders>
            <w:vAlign w:val="center"/>
          </w:tcPr>
          <w:p w14:paraId="7A0A7952">
            <w:pPr>
              <w:pStyle w:val="33"/>
              <w:rPr>
                <w:color w:val="auto"/>
              </w:rPr>
            </w:pPr>
            <w:r>
              <w:rPr>
                <w:color w:val="auto"/>
              </w:rPr>
              <w:t>65</w:t>
            </w:r>
          </w:p>
        </w:tc>
        <w:tc>
          <w:tcPr>
            <w:tcW w:w="486" w:type="pct"/>
            <w:tcBorders>
              <w:top w:val="single" w:color="auto" w:sz="4" w:space="0"/>
              <w:left w:val="single" w:color="auto" w:sz="4" w:space="0"/>
              <w:bottom w:val="single" w:color="auto" w:sz="4" w:space="0"/>
              <w:right w:val="single" w:color="auto" w:sz="4" w:space="0"/>
            </w:tcBorders>
            <w:vAlign w:val="center"/>
          </w:tcPr>
          <w:p w14:paraId="7EDD3D2E">
            <w:pPr>
              <w:pStyle w:val="33"/>
              <w:rPr>
                <w:color w:val="auto"/>
              </w:rPr>
            </w:pPr>
            <w:r>
              <w:rPr>
                <w:color w:val="auto"/>
              </w:rPr>
              <w:t>达标</w:t>
            </w:r>
          </w:p>
        </w:tc>
      </w:tr>
      <w:tr w14:paraId="282FBE05">
        <w:tblPrEx>
          <w:tblCellMar>
            <w:top w:w="0" w:type="dxa"/>
            <w:left w:w="108" w:type="dxa"/>
            <w:bottom w:w="0" w:type="dxa"/>
            <w:right w:w="108" w:type="dxa"/>
          </w:tblCellMar>
        </w:tblPrEx>
        <w:trPr>
          <w:trHeight w:val="274" w:hRule="atLeast"/>
          <w:jc w:val="center"/>
        </w:trPr>
        <w:tc>
          <w:tcPr>
            <w:tcW w:w="1205" w:type="pct"/>
            <w:vMerge w:val="continue"/>
            <w:tcBorders>
              <w:top w:val="single" w:color="auto" w:sz="4" w:space="0"/>
              <w:left w:val="single" w:color="auto" w:sz="4" w:space="0"/>
              <w:bottom w:val="single" w:color="auto" w:sz="4" w:space="0"/>
              <w:right w:val="single" w:color="auto" w:sz="4" w:space="0"/>
            </w:tcBorders>
            <w:vAlign w:val="center"/>
          </w:tcPr>
          <w:p w14:paraId="5A2D99AF">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226DB9B9">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667ABE4E">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0DE396D9">
            <w:pPr>
              <w:pStyle w:val="33"/>
              <w:rPr>
                <w:color w:val="auto"/>
              </w:rPr>
            </w:pPr>
            <w:r>
              <w:rPr>
                <w:color w:val="auto"/>
              </w:rPr>
              <w:t>51.9</w:t>
            </w:r>
          </w:p>
        </w:tc>
        <w:tc>
          <w:tcPr>
            <w:tcW w:w="651" w:type="pct"/>
            <w:tcBorders>
              <w:top w:val="single" w:color="auto" w:sz="4" w:space="0"/>
              <w:left w:val="single" w:color="auto" w:sz="4" w:space="0"/>
              <w:bottom w:val="single" w:color="auto" w:sz="4" w:space="0"/>
              <w:right w:val="single" w:color="auto" w:sz="4" w:space="0"/>
            </w:tcBorders>
            <w:vAlign w:val="center"/>
          </w:tcPr>
          <w:p w14:paraId="6F1EB482">
            <w:pPr>
              <w:pStyle w:val="33"/>
              <w:rPr>
                <w:color w:val="auto"/>
              </w:rPr>
            </w:pPr>
            <w:r>
              <w:rPr>
                <w:rFonts w:hint="eastAsia"/>
                <w:color w:val="auto"/>
              </w:rPr>
              <w:t>53.20</w:t>
            </w:r>
          </w:p>
        </w:tc>
        <w:tc>
          <w:tcPr>
            <w:tcW w:w="486" w:type="pct"/>
            <w:tcBorders>
              <w:top w:val="single" w:color="auto" w:sz="4" w:space="0"/>
              <w:left w:val="single" w:color="auto" w:sz="4" w:space="0"/>
              <w:bottom w:val="single" w:color="auto" w:sz="4" w:space="0"/>
              <w:right w:val="single" w:color="auto" w:sz="4" w:space="0"/>
            </w:tcBorders>
            <w:vAlign w:val="center"/>
          </w:tcPr>
          <w:p w14:paraId="07FFC97B">
            <w:pPr>
              <w:pStyle w:val="33"/>
              <w:rPr>
                <w:color w:val="auto"/>
              </w:rPr>
            </w:pPr>
            <w:r>
              <w:rPr>
                <w:color w:val="auto"/>
              </w:rPr>
              <w:t>55</w:t>
            </w:r>
          </w:p>
        </w:tc>
        <w:tc>
          <w:tcPr>
            <w:tcW w:w="486" w:type="pct"/>
            <w:tcBorders>
              <w:top w:val="single" w:color="auto" w:sz="4" w:space="0"/>
              <w:left w:val="single" w:color="auto" w:sz="4" w:space="0"/>
              <w:bottom w:val="single" w:color="auto" w:sz="4" w:space="0"/>
              <w:right w:val="single" w:color="auto" w:sz="4" w:space="0"/>
            </w:tcBorders>
            <w:vAlign w:val="center"/>
          </w:tcPr>
          <w:p w14:paraId="7AE116AC">
            <w:pPr>
              <w:pStyle w:val="33"/>
              <w:rPr>
                <w:color w:val="auto"/>
              </w:rPr>
            </w:pPr>
            <w:r>
              <w:rPr>
                <w:color w:val="auto"/>
              </w:rPr>
              <w:t>达标</w:t>
            </w:r>
          </w:p>
        </w:tc>
      </w:tr>
      <w:tr w14:paraId="41EA132C">
        <w:tblPrEx>
          <w:tblCellMar>
            <w:top w:w="0" w:type="dxa"/>
            <w:left w:w="108" w:type="dxa"/>
            <w:bottom w:w="0" w:type="dxa"/>
            <w:right w:w="108" w:type="dxa"/>
          </w:tblCellMar>
        </w:tblPrEx>
        <w:trPr>
          <w:trHeight w:val="272" w:hRule="atLeast"/>
          <w:jc w:val="center"/>
        </w:trPr>
        <w:tc>
          <w:tcPr>
            <w:tcW w:w="1205" w:type="pct"/>
            <w:vMerge w:val="restart"/>
            <w:tcBorders>
              <w:top w:val="single" w:color="auto" w:sz="4" w:space="0"/>
              <w:left w:val="single" w:color="auto" w:sz="4" w:space="0"/>
              <w:bottom w:val="single" w:color="auto" w:sz="4" w:space="0"/>
              <w:right w:val="single" w:color="auto" w:sz="4" w:space="0"/>
            </w:tcBorders>
            <w:vAlign w:val="center"/>
          </w:tcPr>
          <w:p w14:paraId="4A999145">
            <w:pPr>
              <w:pStyle w:val="33"/>
              <w:rPr>
                <w:color w:val="auto"/>
              </w:rPr>
            </w:pPr>
            <w:r>
              <w:rPr>
                <w:color w:val="auto"/>
              </w:rPr>
              <w:t>金桂浆纸厂界西面</w:t>
            </w:r>
          </w:p>
        </w:tc>
        <w:tc>
          <w:tcPr>
            <w:tcW w:w="535" w:type="pct"/>
            <w:tcBorders>
              <w:top w:val="single" w:color="auto" w:sz="4" w:space="0"/>
              <w:left w:val="single" w:color="auto" w:sz="4" w:space="0"/>
              <w:bottom w:val="single" w:color="auto" w:sz="4" w:space="0"/>
              <w:right w:val="single" w:color="auto" w:sz="4" w:space="0"/>
            </w:tcBorders>
            <w:vAlign w:val="center"/>
          </w:tcPr>
          <w:p w14:paraId="0066DA8A">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04DA84C7">
            <w:pPr>
              <w:pStyle w:val="33"/>
              <w:rPr>
                <w:color w:val="auto"/>
              </w:rPr>
            </w:pPr>
            <w:r>
              <w:rPr>
                <w:rFonts w:hint="eastAsia"/>
                <w:color w:val="auto"/>
              </w:rPr>
              <w:t>21.36</w:t>
            </w:r>
          </w:p>
        </w:tc>
        <w:tc>
          <w:tcPr>
            <w:tcW w:w="987" w:type="pct"/>
            <w:tcBorders>
              <w:top w:val="single" w:color="auto" w:sz="4" w:space="0"/>
              <w:left w:val="single" w:color="auto" w:sz="4" w:space="0"/>
              <w:bottom w:val="single" w:color="auto" w:sz="4" w:space="0"/>
              <w:right w:val="single" w:color="auto" w:sz="4" w:space="0"/>
            </w:tcBorders>
            <w:vAlign w:val="center"/>
          </w:tcPr>
          <w:p w14:paraId="4E2472F3">
            <w:pPr>
              <w:pStyle w:val="33"/>
              <w:rPr>
                <w:color w:val="auto"/>
              </w:rPr>
            </w:pPr>
            <w:r>
              <w:rPr>
                <w:color w:val="auto"/>
              </w:rPr>
              <w:t>52.4</w:t>
            </w:r>
          </w:p>
        </w:tc>
        <w:tc>
          <w:tcPr>
            <w:tcW w:w="651" w:type="pct"/>
            <w:tcBorders>
              <w:top w:val="single" w:color="auto" w:sz="4" w:space="0"/>
              <w:left w:val="single" w:color="auto" w:sz="4" w:space="0"/>
              <w:bottom w:val="single" w:color="auto" w:sz="4" w:space="0"/>
              <w:right w:val="single" w:color="auto" w:sz="4" w:space="0"/>
            </w:tcBorders>
            <w:vAlign w:val="center"/>
          </w:tcPr>
          <w:p w14:paraId="675AC661">
            <w:pPr>
              <w:pStyle w:val="33"/>
              <w:rPr>
                <w:color w:val="auto"/>
              </w:rPr>
            </w:pPr>
            <w:r>
              <w:rPr>
                <w:rFonts w:hint="eastAsia"/>
                <w:color w:val="auto"/>
              </w:rPr>
              <w:t>52.40</w:t>
            </w:r>
          </w:p>
        </w:tc>
        <w:tc>
          <w:tcPr>
            <w:tcW w:w="486" w:type="pct"/>
            <w:tcBorders>
              <w:top w:val="single" w:color="auto" w:sz="4" w:space="0"/>
              <w:left w:val="single" w:color="auto" w:sz="4" w:space="0"/>
              <w:bottom w:val="single" w:color="auto" w:sz="4" w:space="0"/>
              <w:right w:val="single" w:color="auto" w:sz="4" w:space="0"/>
            </w:tcBorders>
            <w:vAlign w:val="center"/>
          </w:tcPr>
          <w:p w14:paraId="207952BA">
            <w:pPr>
              <w:pStyle w:val="33"/>
              <w:rPr>
                <w:color w:val="auto"/>
              </w:rPr>
            </w:pPr>
            <w:r>
              <w:rPr>
                <w:color w:val="auto"/>
              </w:rPr>
              <w:t>65</w:t>
            </w:r>
          </w:p>
        </w:tc>
        <w:tc>
          <w:tcPr>
            <w:tcW w:w="486" w:type="pct"/>
            <w:tcBorders>
              <w:top w:val="single" w:color="auto" w:sz="4" w:space="0"/>
              <w:left w:val="single" w:color="auto" w:sz="4" w:space="0"/>
              <w:bottom w:val="single" w:color="auto" w:sz="4" w:space="0"/>
              <w:right w:val="single" w:color="auto" w:sz="4" w:space="0"/>
            </w:tcBorders>
            <w:vAlign w:val="center"/>
          </w:tcPr>
          <w:p w14:paraId="69677B17">
            <w:pPr>
              <w:pStyle w:val="33"/>
              <w:rPr>
                <w:color w:val="auto"/>
              </w:rPr>
            </w:pPr>
            <w:r>
              <w:rPr>
                <w:color w:val="auto"/>
              </w:rPr>
              <w:t>达标</w:t>
            </w:r>
          </w:p>
        </w:tc>
      </w:tr>
      <w:tr w14:paraId="27F17E61">
        <w:tblPrEx>
          <w:tblCellMar>
            <w:top w:w="0" w:type="dxa"/>
            <w:left w:w="108" w:type="dxa"/>
            <w:bottom w:w="0" w:type="dxa"/>
            <w:right w:w="108" w:type="dxa"/>
          </w:tblCellMar>
        </w:tblPrEx>
        <w:trPr>
          <w:trHeight w:val="272" w:hRule="atLeast"/>
          <w:jc w:val="center"/>
        </w:trPr>
        <w:tc>
          <w:tcPr>
            <w:tcW w:w="1205" w:type="pct"/>
            <w:vMerge w:val="continue"/>
            <w:tcBorders>
              <w:top w:val="single" w:color="auto" w:sz="4" w:space="0"/>
              <w:left w:val="single" w:color="auto" w:sz="4" w:space="0"/>
              <w:bottom w:val="single" w:color="auto" w:sz="4" w:space="0"/>
              <w:right w:val="single" w:color="auto" w:sz="4" w:space="0"/>
            </w:tcBorders>
            <w:vAlign w:val="center"/>
          </w:tcPr>
          <w:p w14:paraId="4BEE5574">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11510E26">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6D987476">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0CB8B69A">
            <w:pPr>
              <w:pStyle w:val="33"/>
              <w:rPr>
                <w:color w:val="auto"/>
              </w:rPr>
            </w:pPr>
            <w:r>
              <w:rPr>
                <w:color w:val="auto"/>
              </w:rPr>
              <w:t>48</w:t>
            </w:r>
          </w:p>
        </w:tc>
        <w:tc>
          <w:tcPr>
            <w:tcW w:w="651" w:type="pct"/>
            <w:tcBorders>
              <w:top w:val="single" w:color="auto" w:sz="4" w:space="0"/>
              <w:left w:val="single" w:color="auto" w:sz="4" w:space="0"/>
              <w:bottom w:val="single" w:color="auto" w:sz="4" w:space="0"/>
              <w:right w:val="single" w:color="auto" w:sz="4" w:space="0"/>
            </w:tcBorders>
            <w:vAlign w:val="center"/>
          </w:tcPr>
          <w:p w14:paraId="2541DC6E">
            <w:pPr>
              <w:pStyle w:val="33"/>
              <w:rPr>
                <w:color w:val="auto"/>
              </w:rPr>
            </w:pPr>
            <w:r>
              <w:rPr>
                <w:rFonts w:hint="eastAsia"/>
                <w:color w:val="auto"/>
              </w:rPr>
              <w:t>48.01</w:t>
            </w:r>
          </w:p>
        </w:tc>
        <w:tc>
          <w:tcPr>
            <w:tcW w:w="486" w:type="pct"/>
            <w:tcBorders>
              <w:top w:val="single" w:color="auto" w:sz="4" w:space="0"/>
              <w:left w:val="single" w:color="auto" w:sz="4" w:space="0"/>
              <w:bottom w:val="single" w:color="auto" w:sz="4" w:space="0"/>
              <w:right w:val="single" w:color="auto" w:sz="4" w:space="0"/>
            </w:tcBorders>
            <w:vAlign w:val="center"/>
          </w:tcPr>
          <w:p w14:paraId="6AB2416C">
            <w:pPr>
              <w:pStyle w:val="33"/>
              <w:rPr>
                <w:color w:val="auto"/>
              </w:rPr>
            </w:pPr>
            <w:r>
              <w:rPr>
                <w:color w:val="auto"/>
              </w:rPr>
              <w:t>55</w:t>
            </w:r>
          </w:p>
        </w:tc>
        <w:tc>
          <w:tcPr>
            <w:tcW w:w="486" w:type="pct"/>
            <w:tcBorders>
              <w:top w:val="single" w:color="auto" w:sz="4" w:space="0"/>
              <w:left w:val="single" w:color="auto" w:sz="4" w:space="0"/>
              <w:bottom w:val="single" w:color="auto" w:sz="4" w:space="0"/>
              <w:right w:val="single" w:color="auto" w:sz="4" w:space="0"/>
            </w:tcBorders>
            <w:vAlign w:val="center"/>
          </w:tcPr>
          <w:p w14:paraId="5384C7CA">
            <w:pPr>
              <w:pStyle w:val="33"/>
              <w:rPr>
                <w:color w:val="auto"/>
              </w:rPr>
            </w:pPr>
            <w:r>
              <w:rPr>
                <w:color w:val="auto"/>
              </w:rPr>
              <w:t>达标</w:t>
            </w:r>
          </w:p>
        </w:tc>
      </w:tr>
      <w:tr w14:paraId="3DB9A7B4">
        <w:tblPrEx>
          <w:tblCellMar>
            <w:top w:w="0" w:type="dxa"/>
            <w:left w:w="108" w:type="dxa"/>
            <w:bottom w:w="0" w:type="dxa"/>
            <w:right w:w="108" w:type="dxa"/>
          </w:tblCellMar>
        </w:tblPrEx>
        <w:trPr>
          <w:trHeight w:val="272" w:hRule="atLeast"/>
          <w:jc w:val="center"/>
        </w:trPr>
        <w:tc>
          <w:tcPr>
            <w:tcW w:w="1205" w:type="pct"/>
            <w:vMerge w:val="restart"/>
            <w:tcBorders>
              <w:top w:val="single" w:color="auto" w:sz="4" w:space="0"/>
              <w:left w:val="single" w:color="auto" w:sz="4" w:space="0"/>
              <w:bottom w:val="single" w:color="auto" w:sz="4" w:space="0"/>
              <w:right w:val="single" w:color="auto" w:sz="4" w:space="0"/>
            </w:tcBorders>
            <w:vAlign w:val="center"/>
          </w:tcPr>
          <w:p w14:paraId="768A1B96">
            <w:pPr>
              <w:pStyle w:val="33"/>
              <w:rPr>
                <w:color w:val="auto"/>
              </w:rPr>
            </w:pPr>
            <w:r>
              <w:rPr>
                <w:color w:val="auto"/>
              </w:rPr>
              <w:t>金桂浆纸厂界北面</w:t>
            </w:r>
          </w:p>
        </w:tc>
        <w:tc>
          <w:tcPr>
            <w:tcW w:w="535" w:type="pct"/>
            <w:tcBorders>
              <w:top w:val="single" w:color="auto" w:sz="4" w:space="0"/>
              <w:left w:val="single" w:color="auto" w:sz="4" w:space="0"/>
              <w:bottom w:val="single" w:color="auto" w:sz="4" w:space="0"/>
              <w:right w:val="single" w:color="auto" w:sz="4" w:space="0"/>
            </w:tcBorders>
            <w:vAlign w:val="center"/>
          </w:tcPr>
          <w:p w14:paraId="2B514D38">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690C1D68">
            <w:pPr>
              <w:pStyle w:val="33"/>
              <w:rPr>
                <w:color w:val="auto"/>
              </w:rPr>
            </w:pPr>
            <w:r>
              <w:rPr>
                <w:rFonts w:hint="eastAsia"/>
                <w:color w:val="auto"/>
              </w:rPr>
              <w:t>9.74</w:t>
            </w:r>
          </w:p>
        </w:tc>
        <w:tc>
          <w:tcPr>
            <w:tcW w:w="987" w:type="pct"/>
            <w:tcBorders>
              <w:top w:val="single" w:color="auto" w:sz="4" w:space="0"/>
              <w:left w:val="single" w:color="auto" w:sz="4" w:space="0"/>
              <w:bottom w:val="single" w:color="auto" w:sz="4" w:space="0"/>
              <w:right w:val="single" w:color="auto" w:sz="4" w:space="0"/>
            </w:tcBorders>
            <w:vAlign w:val="center"/>
          </w:tcPr>
          <w:p w14:paraId="10D1043D">
            <w:pPr>
              <w:pStyle w:val="33"/>
              <w:rPr>
                <w:color w:val="auto"/>
              </w:rPr>
            </w:pPr>
            <w:r>
              <w:rPr>
                <w:color w:val="auto"/>
              </w:rPr>
              <w:t>55.8</w:t>
            </w:r>
          </w:p>
        </w:tc>
        <w:tc>
          <w:tcPr>
            <w:tcW w:w="651" w:type="pct"/>
            <w:tcBorders>
              <w:top w:val="single" w:color="auto" w:sz="4" w:space="0"/>
              <w:left w:val="single" w:color="auto" w:sz="4" w:space="0"/>
              <w:bottom w:val="single" w:color="auto" w:sz="4" w:space="0"/>
              <w:right w:val="single" w:color="auto" w:sz="4" w:space="0"/>
            </w:tcBorders>
            <w:vAlign w:val="center"/>
          </w:tcPr>
          <w:p w14:paraId="3D9C4963">
            <w:pPr>
              <w:pStyle w:val="33"/>
              <w:rPr>
                <w:color w:val="auto"/>
              </w:rPr>
            </w:pPr>
            <w:r>
              <w:rPr>
                <w:rFonts w:hint="eastAsia"/>
                <w:color w:val="auto"/>
              </w:rPr>
              <w:t>55.80</w:t>
            </w:r>
          </w:p>
        </w:tc>
        <w:tc>
          <w:tcPr>
            <w:tcW w:w="486" w:type="pct"/>
            <w:tcBorders>
              <w:top w:val="single" w:color="auto" w:sz="4" w:space="0"/>
              <w:left w:val="single" w:color="auto" w:sz="4" w:space="0"/>
              <w:bottom w:val="single" w:color="auto" w:sz="4" w:space="0"/>
              <w:right w:val="single" w:color="auto" w:sz="4" w:space="0"/>
            </w:tcBorders>
            <w:vAlign w:val="center"/>
          </w:tcPr>
          <w:p w14:paraId="2FB841C5">
            <w:pPr>
              <w:pStyle w:val="33"/>
              <w:rPr>
                <w:color w:val="auto"/>
              </w:rPr>
            </w:pPr>
            <w:r>
              <w:rPr>
                <w:color w:val="auto"/>
              </w:rPr>
              <w:t>65</w:t>
            </w:r>
          </w:p>
        </w:tc>
        <w:tc>
          <w:tcPr>
            <w:tcW w:w="486" w:type="pct"/>
            <w:tcBorders>
              <w:top w:val="single" w:color="auto" w:sz="4" w:space="0"/>
              <w:left w:val="single" w:color="auto" w:sz="4" w:space="0"/>
              <w:bottom w:val="single" w:color="auto" w:sz="4" w:space="0"/>
              <w:right w:val="single" w:color="auto" w:sz="4" w:space="0"/>
            </w:tcBorders>
            <w:vAlign w:val="center"/>
          </w:tcPr>
          <w:p w14:paraId="4ABFDE22">
            <w:pPr>
              <w:pStyle w:val="33"/>
              <w:rPr>
                <w:color w:val="auto"/>
              </w:rPr>
            </w:pPr>
            <w:r>
              <w:rPr>
                <w:color w:val="auto"/>
              </w:rPr>
              <w:t>达标</w:t>
            </w:r>
          </w:p>
        </w:tc>
      </w:tr>
      <w:tr w14:paraId="6D40CAF6">
        <w:tblPrEx>
          <w:tblCellMar>
            <w:top w:w="0" w:type="dxa"/>
            <w:left w:w="108" w:type="dxa"/>
            <w:bottom w:w="0" w:type="dxa"/>
            <w:right w:w="108" w:type="dxa"/>
          </w:tblCellMar>
        </w:tblPrEx>
        <w:trPr>
          <w:trHeight w:val="272" w:hRule="atLeast"/>
          <w:jc w:val="center"/>
        </w:trPr>
        <w:tc>
          <w:tcPr>
            <w:tcW w:w="1205" w:type="pct"/>
            <w:vMerge w:val="continue"/>
            <w:tcBorders>
              <w:top w:val="single" w:color="auto" w:sz="4" w:space="0"/>
              <w:left w:val="single" w:color="auto" w:sz="4" w:space="0"/>
              <w:bottom w:val="single" w:color="auto" w:sz="4" w:space="0"/>
              <w:right w:val="single" w:color="auto" w:sz="4" w:space="0"/>
            </w:tcBorders>
            <w:vAlign w:val="center"/>
          </w:tcPr>
          <w:p w14:paraId="166366B4">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7E67D7B6">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70CB5687">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43C36B29">
            <w:pPr>
              <w:pStyle w:val="33"/>
              <w:rPr>
                <w:color w:val="auto"/>
              </w:rPr>
            </w:pPr>
            <w:r>
              <w:rPr>
                <w:color w:val="auto"/>
              </w:rPr>
              <w:t>52.3</w:t>
            </w:r>
          </w:p>
        </w:tc>
        <w:tc>
          <w:tcPr>
            <w:tcW w:w="651" w:type="pct"/>
            <w:tcBorders>
              <w:top w:val="single" w:color="auto" w:sz="4" w:space="0"/>
              <w:left w:val="single" w:color="auto" w:sz="4" w:space="0"/>
              <w:bottom w:val="single" w:color="auto" w:sz="4" w:space="0"/>
              <w:right w:val="single" w:color="auto" w:sz="4" w:space="0"/>
            </w:tcBorders>
            <w:vAlign w:val="center"/>
          </w:tcPr>
          <w:p w14:paraId="3AF2CFF3">
            <w:pPr>
              <w:pStyle w:val="33"/>
              <w:rPr>
                <w:color w:val="auto"/>
              </w:rPr>
            </w:pPr>
            <w:r>
              <w:rPr>
                <w:rFonts w:hint="eastAsia"/>
                <w:color w:val="auto"/>
              </w:rPr>
              <w:t>52.30</w:t>
            </w:r>
          </w:p>
        </w:tc>
        <w:tc>
          <w:tcPr>
            <w:tcW w:w="486" w:type="pct"/>
            <w:tcBorders>
              <w:top w:val="single" w:color="auto" w:sz="4" w:space="0"/>
              <w:left w:val="single" w:color="auto" w:sz="4" w:space="0"/>
              <w:bottom w:val="single" w:color="auto" w:sz="4" w:space="0"/>
              <w:right w:val="single" w:color="auto" w:sz="4" w:space="0"/>
            </w:tcBorders>
            <w:vAlign w:val="center"/>
          </w:tcPr>
          <w:p w14:paraId="10205EC5">
            <w:pPr>
              <w:pStyle w:val="33"/>
              <w:rPr>
                <w:color w:val="auto"/>
              </w:rPr>
            </w:pPr>
            <w:r>
              <w:rPr>
                <w:color w:val="auto"/>
              </w:rPr>
              <w:t>55</w:t>
            </w:r>
          </w:p>
        </w:tc>
        <w:tc>
          <w:tcPr>
            <w:tcW w:w="486" w:type="pct"/>
            <w:tcBorders>
              <w:top w:val="single" w:color="auto" w:sz="4" w:space="0"/>
              <w:left w:val="single" w:color="auto" w:sz="4" w:space="0"/>
              <w:bottom w:val="single" w:color="auto" w:sz="4" w:space="0"/>
              <w:right w:val="single" w:color="auto" w:sz="4" w:space="0"/>
            </w:tcBorders>
            <w:vAlign w:val="center"/>
          </w:tcPr>
          <w:p w14:paraId="44E0559A">
            <w:pPr>
              <w:pStyle w:val="33"/>
              <w:rPr>
                <w:color w:val="auto"/>
              </w:rPr>
            </w:pPr>
            <w:r>
              <w:rPr>
                <w:color w:val="auto"/>
              </w:rPr>
              <w:t>达标</w:t>
            </w:r>
          </w:p>
        </w:tc>
      </w:tr>
      <w:tr w14:paraId="2DBA614D">
        <w:tblPrEx>
          <w:tblCellMar>
            <w:top w:w="0" w:type="dxa"/>
            <w:left w:w="108" w:type="dxa"/>
            <w:bottom w:w="0" w:type="dxa"/>
            <w:right w:w="108" w:type="dxa"/>
          </w:tblCellMar>
        </w:tblPrEx>
        <w:trPr>
          <w:trHeight w:val="272" w:hRule="atLeast"/>
          <w:jc w:val="center"/>
        </w:trPr>
        <w:tc>
          <w:tcPr>
            <w:tcW w:w="1205" w:type="pct"/>
            <w:vMerge w:val="restart"/>
            <w:tcBorders>
              <w:top w:val="single" w:color="auto" w:sz="4" w:space="0"/>
              <w:left w:val="single" w:color="auto" w:sz="4" w:space="0"/>
              <w:right w:val="single" w:color="auto" w:sz="4" w:space="0"/>
            </w:tcBorders>
            <w:vAlign w:val="center"/>
          </w:tcPr>
          <w:p w14:paraId="69B72D49">
            <w:pPr>
              <w:pStyle w:val="33"/>
              <w:rPr>
                <w:color w:val="auto"/>
              </w:rPr>
            </w:pPr>
            <w:r>
              <w:rPr>
                <w:color w:val="auto"/>
              </w:rPr>
              <w:t>龙狗坑</w:t>
            </w:r>
            <w:r>
              <w:rPr>
                <w:rFonts w:hint="eastAsia"/>
                <w:color w:val="auto"/>
              </w:rPr>
              <w:t>村</w:t>
            </w:r>
          </w:p>
        </w:tc>
        <w:tc>
          <w:tcPr>
            <w:tcW w:w="535" w:type="pct"/>
            <w:tcBorders>
              <w:top w:val="single" w:color="auto" w:sz="4" w:space="0"/>
              <w:left w:val="single" w:color="auto" w:sz="4" w:space="0"/>
              <w:bottom w:val="single" w:color="auto" w:sz="4" w:space="0"/>
              <w:right w:val="single" w:color="auto" w:sz="4" w:space="0"/>
            </w:tcBorders>
            <w:vAlign w:val="center"/>
          </w:tcPr>
          <w:p w14:paraId="33513558">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4D78330E">
            <w:pPr>
              <w:pStyle w:val="33"/>
              <w:rPr>
                <w:color w:val="auto"/>
              </w:rPr>
            </w:pPr>
            <w:r>
              <w:rPr>
                <w:rFonts w:hint="eastAsia"/>
                <w:color w:val="auto"/>
              </w:rPr>
              <w:t>17.3</w:t>
            </w:r>
          </w:p>
        </w:tc>
        <w:tc>
          <w:tcPr>
            <w:tcW w:w="987" w:type="pct"/>
            <w:tcBorders>
              <w:top w:val="single" w:color="auto" w:sz="4" w:space="0"/>
              <w:left w:val="single" w:color="auto" w:sz="4" w:space="0"/>
              <w:bottom w:val="single" w:color="auto" w:sz="4" w:space="0"/>
              <w:right w:val="single" w:color="auto" w:sz="4" w:space="0"/>
            </w:tcBorders>
            <w:vAlign w:val="center"/>
          </w:tcPr>
          <w:p w14:paraId="174B81DF">
            <w:pPr>
              <w:pStyle w:val="33"/>
              <w:rPr>
                <w:color w:val="auto"/>
              </w:rPr>
            </w:pPr>
            <w:r>
              <w:rPr>
                <w:color w:val="auto"/>
              </w:rPr>
              <w:t>52.4</w:t>
            </w:r>
          </w:p>
        </w:tc>
        <w:tc>
          <w:tcPr>
            <w:tcW w:w="651" w:type="pct"/>
            <w:tcBorders>
              <w:top w:val="single" w:color="auto" w:sz="4" w:space="0"/>
              <w:left w:val="single" w:color="auto" w:sz="4" w:space="0"/>
              <w:bottom w:val="single" w:color="auto" w:sz="4" w:space="0"/>
              <w:right w:val="single" w:color="auto" w:sz="4" w:space="0"/>
            </w:tcBorders>
            <w:vAlign w:val="center"/>
          </w:tcPr>
          <w:p w14:paraId="46C1FD10">
            <w:pPr>
              <w:pStyle w:val="33"/>
              <w:rPr>
                <w:color w:val="auto"/>
              </w:rPr>
            </w:pPr>
            <w:r>
              <w:rPr>
                <w:rFonts w:hint="eastAsia"/>
                <w:color w:val="auto"/>
              </w:rPr>
              <w:t>53.03</w:t>
            </w:r>
          </w:p>
        </w:tc>
        <w:tc>
          <w:tcPr>
            <w:tcW w:w="486" w:type="pct"/>
            <w:tcBorders>
              <w:top w:val="single" w:color="auto" w:sz="4" w:space="0"/>
              <w:left w:val="single" w:color="auto" w:sz="4" w:space="0"/>
              <w:bottom w:val="single" w:color="auto" w:sz="4" w:space="0"/>
              <w:right w:val="single" w:color="auto" w:sz="4" w:space="0"/>
            </w:tcBorders>
            <w:vAlign w:val="center"/>
          </w:tcPr>
          <w:p w14:paraId="1B16195E">
            <w:pPr>
              <w:pStyle w:val="33"/>
              <w:rPr>
                <w:color w:val="auto"/>
              </w:rPr>
            </w:pPr>
            <w:r>
              <w:rPr>
                <w:color w:val="auto"/>
              </w:rPr>
              <w:t>60</w:t>
            </w:r>
          </w:p>
        </w:tc>
        <w:tc>
          <w:tcPr>
            <w:tcW w:w="486" w:type="pct"/>
            <w:tcBorders>
              <w:top w:val="single" w:color="auto" w:sz="4" w:space="0"/>
              <w:left w:val="single" w:color="auto" w:sz="4" w:space="0"/>
              <w:bottom w:val="single" w:color="auto" w:sz="4" w:space="0"/>
              <w:right w:val="single" w:color="auto" w:sz="4" w:space="0"/>
            </w:tcBorders>
            <w:vAlign w:val="center"/>
          </w:tcPr>
          <w:p w14:paraId="39D7FAB9">
            <w:pPr>
              <w:pStyle w:val="33"/>
              <w:rPr>
                <w:color w:val="auto"/>
              </w:rPr>
            </w:pPr>
            <w:r>
              <w:rPr>
                <w:color w:val="auto"/>
              </w:rPr>
              <w:t>达标</w:t>
            </w:r>
          </w:p>
        </w:tc>
      </w:tr>
      <w:tr w14:paraId="325C11C0">
        <w:tblPrEx>
          <w:tblCellMar>
            <w:top w:w="0" w:type="dxa"/>
            <w:left w:w="108" w:type="dxa"/>
            <w:bottom w:w="0" w:type="dxa"/>
            <w:right w:w="108" w:type="dxa"/>
          </w:tblCellMar>
        </w:tblPrEx>
        <w:trPr>
          <w:trHeight w:val="272" w:hRule="atLeast"/>
          <w:jc w:val="center"/>
        </w:trPr>
        <w:tc>
          <w:tcPr>
            <w:tcW w:w="1205" w:type="pct"/>
            <w:vMerge w:val="continue"/>
            <w:tcBorders>
              <w:left w:val="single" w:color="auto" w:sz="4" w:space="0"/>
              <w:bottom w:val="single" w:color="auto" w:sz="4" w:space="0"/>
              <w:right w:val="single" w:color="auto" w:sz="4" w:space="0"/>
            </w:tcBorders>
            <w:vAlign w:val="center"/>
          </w:tcPr>
          <w:p w14:paraId="6233957F">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6FFB10C3">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0DBEEAB3">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703E9131">
            <w:pPr>
              <w:pStyle w:val="33"/>
              <w:rPr>
                <w:color w:val="auto"/>
              </w:rPr>
            </w:pPr>
            <w:r>
              <w:rPr>
                <w:color w:val="auto"/>
              </w:rPr>
              <w:t>42.3</w:t>
            </w:r>
          </w:p>
        </w:tc>
        <w:tc>
          <w:tcPr>
            <w:tcW w:w="651" w:type="pct"/>
            <w:tcBorders>
              <w:top w:val="single" w:color="auto" w:sz="4" w:space="0"/>
              <w:left w:val="single" w:color="auto" w:sz="4" w:space="0"/>
              <w:bottom w:val="single" w:color="auto" w:sz="4" w:space="0"/>
              <w:right w:val="single" w:color="auto" w:sz="4" w:space="0"/>
            </w:tcBorders>
            <w:vAlign w:val="center"/>
          </w:tcPr>
          <w:p w14:paraId="2B54FF89">
            <w:pPr>
              <w:pStyle w:val="33"/>
              <w:rPr>
                <w:color w:val="auto"/>
              </w:rPr>
            </w:pPr>
            <w:r>
              <w:rPr>
                <w:rFonts w:hint="eastAsia"/>
                <w:color w:val="auto"/>
              </w:rPr>
              <w:t>48.67</w:t>
            </w:r>
          </w:p>
        </w:tc>
        <w:tc>
          <w:tcPr>
            <w:tcW w:w="486" w:type="pct"/>
            <w:tcBorders>
              <w:top w:val="single" w:color="auto" w:sz="4" w:space="0"/>
              <w:left w:val="single" w:color="auto" w:sz="4" w:space="0"/>
              <w:bottom w:val="single" w:color="auto" w:sz="4" w:space="0"/>
              <w:right w:val="single" w:color="auto" w:sz="4" w:space="0"/>
            </w:tcBorders>
            <w:vAlign w:val="center"/>
          </w:tcPr>
          <w:p w14:paraId="76DBF29F">
            <w:pPr>
              <w:pStyle w:val="33"/>
              <w:rPr>
                <w:color w:val="auto"/>
              </w:rPr>
            </w:pPr>
            <w:r>
              <w:rPr>
                <w:color w:val="auto"/>
              </w:rPr>
              <w:t>50</w:t>
            </w:r>
          </w:p>
        </w:tc>
        <w:tc>
          <w:tcPr>
            <w:tcW w:w="486" w:type="pct"/>
            <w:tcBorders>
              <w:top w:val="single" w:color="auto" w:sz="4" w:space="0"/>
              <w:left w:val="single" w:color="auto" w:sz="4" w:space="0"/>
              <w:bottom w:val="single" w:color="auto" w:sz="4" w:space="0"/>
              <w:right w:val="single" w:color="auto" w:sz="4" w:space="0"/>
            </w:tcBorders>
            <w:vAlign w:val="center"/>
          </w:tcPr>
          <w:p w14:paraId="6EF7C561">
            <w:pPr>
              <w:pStyle w:val="33"/>
              <w:rPr>
                <w:color w:val="auto"/>
              </w:rPr>
            </w:pPr>
            <w:r>
              <w:rPr>
                <w:color w:val="auto"/>
              </w:rPr>
              <w:t>达标</w:t>
            </w:r>
          </w:p>
        </w:tc>
      </w:tr>
      <w:tr w14:paraId="5FCDCAC2">
        <w:tblPrEx>
          <w:tblCellMar>
            <w:top w:w="0" w:type="dxa"/>
            <w:left w:w="108" w:type="dxa"/>
            <w:bottom w:w="0" w:type="dxa"/>
            <w:right w:w="108" w:type="dxa"/>
          </w:tblCellMar>
        </w:tblPrEx>
        <w:trPr>
          <w:trHeight w:val="272" w:hRule="atLeast"/>
          <w:jc w:val="center"/>
        </w:trPr>
        <w:tc>
          <w:tcPr>
            <w:tcW w:w="1205" w:type="pct"/>
            <w:vMerge w:val="restart"/>
            <w:tcBorders>
              <w:top w:val="single" w:color="auto" w:sz="4" w:space="0"/>
              <w:left w:val="single" w:color="auto" w:sz="4" w:space="0"/>
              <w:right w:val="single" w:color="auto" w:sz="4" w:space="0"/>
            </w:tcBorders>
            <w:vAlign w:val="center"/>
          </w:tcPr>
          <w:p w14:paraId="1121C1CD">
            <w:pPr>
              <w:pStyle w:val="33"/>
              <w:rPr>
                <w:color w:val="auto"/>
              </w:rPr>
            </w:pPr>
            <w:r>
              <w:rPr>
                <w:rFonts w:hint="eastAsia"/>
                <w:color w:val="auto"/>
              </w:rPr>
              <w:t>钦州港开发区第六小学（鹿耳环小学））</w:t>
            </w:r>
          </w:p>
        </w:tc>
        <w:tc>
          <w:tcPr>
            <w:tcW w:w="535" w:type="pct"/>
            <w:tcBorders>
              <w:top w:val="single" w:color="auto" w:sz="4" w:space="0"/>
              <w:left w:val="single" w:color="auto" w:sz="4" w:space="0"/>
              <w:bottom w:val="single" w:color="auto" w:sz="4" w:space="0"/>
              <w:right w:val="single" w:color="auto" w:sz="4" w:space="0"/>
            </w:tcBorders>
            <w:vAlign w:val="center"/>
          </w:tcPr>
          <w:p w14:paraId="5714A126">
            <w:pPr>
              <w:pStyle w:val="33"/>
              <w:rPr>
                <w:color w:val="auto"/>
              </w:rPr>
            </w:pPr>
            <w:r>
              <w:rPr>
                <w:color w:val="auto"/>
              </w:rPr>
              <w:t>昼间</w:t>
            </w:r>
          </w:p>
        </w:tc>
        <w:tc>
          <w:tcPr>
            <w:tcW w:w="651" w:type="pct"/>
            <w:vMerge w:val="restart"/>
            <w:tcBorders>
              <w:top w:val="single" w:color="auto" w:sz="4" w:space="0"/>
              <w:left w:val="single" w:color="auto" w:sz="4" w:space="0"/>
              <w:right w:val="single" w:color="auto" w:sz="4" w:space="0"/>
            </w:tcBorders>
            <w:noWrap/>
            <w:vAlign w:val="center"/>
          </w:tcPr>
          <w:p w14:paraId="4D771A2D">
            <w:pPr>
              <w:pStyle w:val="33"/>
              <w:rPr>
                <w:color w:val="auto"/>
              </w:rPr>
            </w:pPr>
            <w:r>
              <w:rPr>
                <w:rFonts w:hint="eastAsia"/>
                <w:color w:val="auto"/>
              </w:rPr>
              <w:t>7.1</w:t>
            </w:r>
          </w:p>
        </w:tc>
        <w:tc>
          <w:tcPr>
            <w:tcW w:w="987" w:type="pct"/>
            <w:tcBorders>
              <w:top w:val="single" w:color="auto" w:sz="4" w:space="0"/>
              <w:left w:val="single" w:color="auto" w:sz="4" w:space="0"/>
              <w:bottom w:val="single" w:color="auto" w:sz="4" w:space="0"/>
              <w:right w:val="single" w:color="auto" w:sz="4" w:space="0"/>
            </w:tcBorders>
            <w:vAlign w:val="center"/>
          </w:tcPr>
          <w:p w14:paraId="6D341559">
            <w:pPr>
              <w:pStyle w:val="33"/>
              <w:rPr>
                <w:color w:val="auto"/>
              </w:rPr>
            </w:pPr>
            <w:r>
              <w:rPr>
                <w:color w:val="auto"/>
              </w:rPr>
              <w:t>53.5</w:t>
            </w:r>
          </w:p>
        </w:tc>
        <w:tc>
          <w:tcPr>
            <w:tcW w:w="651" w:type="pct"/>
            <w:tcBorders>
              <w:top w:val="single" w:color="auto" w:sz="4" w:space="0"/>
              <w:left w:val="single" w:color="auto" w:sz="4" w:space="0"/>
              <w:bottom w:val="single" w:color="auto" w:sz="4" w:space="0"/>
              <w:right w:val="single" w:color="auto" w:sz="4" w:space="0"/>
            </w:tcBorders>
            <w:vAlign w:val="center"/>
          </w:tcPr>
          <w:p w14:paraId="0223F1D8">
            <w:pPr>
              <w:pStyle w:val="33"/>
              <w:rPr>
                <w:color w:val="auto"/>
              </w:rPr>
            </w:pPr>
            <w:r>
              <w:rPr>
                <w:rFonts w:hint="eastAsia"/>
                <w:color w:val="auto"/>
              </w:rPr>
              <w:t>56.47</w:t>
            </w:r>
          </w:p>
        </w:tc>
        <w:tc>
          <w:tcPr>
            <w:tcW w:w="486" w:type="pct"/>
            <w:tcBorders>
              <w:top w:val="single" w:color="auto" w:sz="4" w:space="0"/>
              <w:left w:val="single" w:color="auto" w:sz="4" w:space="0"/>
              <w:bottom w:val="single" w:color="auto" w:sz="4" w:space="0"/>
              <w:right w:val="single" w:color="auto" w:sz="4" w:space="0"/>
            </w:tcBorders>
            <w:vAlign w:val="center"/>
          </w:tcPr>
          <w:p w14:paraId="38019E59">
            <w:pPr>
              <w:pStyle w:val="33"/>
              <w:rPr>
                <w:color w:val="auto"/>
              </w:rPr>
            </w:pPr>
            <w:r>
              <w:rPr>
                <w:color w:val="auto"/>
              </w:rPr>
              <w:t>60</w:t>
            </w:r>
          </w:p>
        </w:tc>
        <w:tc>
          <w:tcPr>
            <w:tcW w:w="486" w:type="pct"/>
            <w:tcBorders>
              <w:top w:val="single" w:color="auto" w:sz="4" w:space="0"/>
              <w:left w:val="single" w:color="auto" w:sz="4" w:space="0"/>
              <w:bottom w:val="single" w:color="auto" w:sz="4" w:space="0"/>
              <w:right w:val="single" w:color="auto" w:sz="4" w:space="0"/>
            </w:tcBorders>
            <w:vAlign w:val="center"/>
          </w:tcPr>
          <w:p w14:paraId="31247CA0">
            <w:pPr>
              <w:pStyle w:val="33"/>
              <w:rPr>
                <w:color w:val="auto"/>
              </w:rPr>
            </w:pPr>
            <w:r>
              <w:rPr>
                <w:color w:val="auto"/>
              </w:rPr>
              <w:t>达标</w:t>
            </w:r>
          </w:p>
        </w:tc>
      </w:tr>
      <w:tr w14:paraId="39BCEDAF">
        <w:tblPrEx>
          <w:tblCellMar>
            <w:top w:w="0" w:type="dxa"/>
            <w:left w:w="108" w:type="dxa"/>
            <w:bottom w:w="0" w:type="dxa"/>
            <w:right w:w="108" w:type="dxa"/>
          </w:tblCellMar>
        </w:tblPrEx>
        <w:trPr>
          <w:trHeight w:val="272" w:hRule="atLeast"/>
          <w:jc w:val="center"/>
        </w:trPr>
        <w:tc>
          <w:tcPr>
            <w:tcW w:w="1205" w:type="pct"/>
            <w:vMerge w:val="continue"/>
            <w:tcBorders>
              <w:left w:val="single" w:color="auto" w:sz="4" w:space="0"/>
              <w:bottom w:val="single" w:color="auto" w:sz="4" w:space="0"/>
              <w:right w:val="single" w:color="auto" w:sz="4" w:space="0"/>
            </w:tcBorders>
            <w:vAlign w:val="center"/>
          </w:tcPr>
          <w:p w14:paraId="74E85D00">
            <w:pPr>
              <w:pStyle w:val="33"/>
              <w:rPr>
                <w:color w:val="auto"/>
              </w:rPr>
            </w:pPr>
          </w:p>
        </w:tc>
        <w:tc>
          <w:tcPr>
            <w:tcW w:w="535" w:type="pct"/>
            <w:tcBorders>
              <w:top w:val="single" w:color="auto" w:sz="4" w:space="0"/>
              <w:left w:val="single" w:color="auto" w:sz="4" w:space="0"/>
              <w:bottom w:val="single" w:color="auto" w:sz="4" w:space="0"/>
              <w:right w:val="single" w:color="auto" w:sz="4" w:space="0"/>
            </w:tcBorders>
            <w:vAlign w:val="center"/>
          </w:tcPr>
          <w:p w14:paraId="1144B1C1">
            <w:pPr>
              <w:pStyle w:val="33"/>
              <w:rPr>
                <w:color w:val="auto"/>
              </w:rPr>
            </w:pPr>
            <w:r>
              <w:rPr>
                <w:color w:val="auto"/>
              </w:rPr>
              <w:t>夜间</w:t>
            </w:r>
          </w:p>
        </w:tc>
        <w:tc>
          <w:tcPr>
            <w:tcW w:w="651" w:type="pct"/>
            <w:vMerge w:val="continue"/>
            <w:tcBorders>
              <w:left w:val="single" w:color="auto" w:sz="4" w:space="0"/>
              <w:bottom w:val="single" w:color="auto" w:sz="4" w:space="0"/>
              <w:right w:val="single" w:color="auto" w:sz="4" w:space="0"/>
            </w:tcBorders>
            <w:noWrap/>
            <w:vAlign w:val="center"/>
          </w:tcPr>
          <w:p w14:paraId="1363EA32">
            <w:pPr>
              <w:pStyle w:val="33"/>
              <w:rPr>
                <w:color w:val="auto"/>
              </w:rPr>
            </w:pPr>
          </w:p>
        </w:tc>
        <w:tc>
          <w:tcPr>
            <w:tcW w:w="987" w:type="pct"/>
            <w:tcBorders>
              <w:top w:val="single" w:color="auto" w:sz="4" w:space="0"/>
              <w:left w:val="single" w:color="auto" w:sz="4" w:space="0"/>
              <w:bottom w:val="single" w:color="auto" w:sz="4" w:space="0"/>
              <w:right w:val="single" w:color="auto" w:sz="4" w:space="0"/>
            </w:tcBorders>
            <w:vAlign w:val="center"/>
          </w:tcPr>
          <w:p w14:paraId="7B1C32AA">
            <w:pPr>
              <w:pStyle w:val="33"/>
              <w:rPr>
                <w:color w:val="auto"/>
              </w:rPr>
            </w:pPr>
            <w:r>
              <w:rPr>
                <w:color w:val="auto"/>
              </w:rPr>
              <w:t>41.4</w:t>
            </w:r>
          </w:p>
        </w:tc>
        <w:tc>
          <w:tcPr>
            <w:tcW w:w="651" w:type="pct"/>
            <w:tcBorders>
              <w:top w:val="single" w:color="auto" w:sz="4" w:space="0"/>
              <w:left w:val="single" w:color="auto" w:sz="4" w:space="0"/>
              <w:bottom w:val="single" w:color="auto" w:sz="4" w:space="0"/>
              <w:right w:val="single" w:color="auto" w:sz="4" w:space="0"/>
            </w:tcBorders>
            <w:vAlign w:val="center"/>
          </w:tcPr>
          <w:p w14:paraId="03D08DEF">
            <w:pPr>
              <w:pStyle w:val="33"/>
              <w:rPr>
                <w:color w:val="auto"/>
              </w:rPr>
            </w:pPr>
            <w:r>
              <w:rPr>
                <w:rFonts w:hint="eastAsia"/>
                <w:color w:val="auto"/>
              </w:rPr>
              <w:t>52.18</w:t>
            </w:r>
          </w:p>
        </w:tc>
        <w:tc>
          <w:tcPr>
            <w:tcW w:w="486" w:type="pct"/>
            <w:tcBorders>
              <w:top w:val="single" w:color="auto" w:sz="4" w:space="0"/>
              <w:left w:val="single" w:color="auto" w:sz="4" w:space="0"/>
              <w:bottom w:val="single" w:color="auto" w:sz="4" w:space="0"/>
              <w:right w:val="single" w:color="auto" w:sz="4" w:space="0"/>
            </w:tcBorders>
            <w:vAlign w:val="center"/>
          </w:tcPr>
          <w:p w14:paraId="72E1CC22">
            <w:pPr>
              <w:pStyle w:val="33"/>
              <w:rPr>
                <w:color w:val="auto"/>
              </w:rPr>
            </w:pPr>
            <w:r>
              <w:rPr>
                <w:color w:val="auto"/>
              </w:rPr>
              <w:t>50</w:t>
            </w:r>
          </w:p>
        </w:tc>
        <w:tc>
          <w:tcPr>
            <w:tcW w:w="486" w:type="pct"/>
            <w:tcBorders>
              <w:top w:val="single" w:color="auto" w:sz="4" w:space="0"/>
              <w:left w:val="single" w:color="auto" w:sz="4" w:space="0"/>
              <w:bottom w:val="single" w:color="auto" w:sz="4" w:space="0"/>
              <w:right w:val="single" w:color="auto" w:sz="4" w:space="0"/>
            </w:tcBorders>
            <w:vAlign w:val="center"/>
          </w:tcPr>
          <w:p w14:paraId="5B612B09">
            <w:pPr>
              <w:pStyle w:val="33"/>
              <w:rPr>
                <w:color w:val="auto"/>
              </w:rPr>
            </w:pPr>
            <w:r>
              <w:rPr>
                <w:color w:val="auto"/>
              </w:rPr>
              <w:t>达标</w:t>
            </w:r>
          </w:p>
        </w:tc>
      </w:tr>
    </w:tbl>
    <w:p w14:paraId="2EED90E1">
      <w:pPr>
        <w:ind w:firstLine="199" w:firstLineChars="83"/>
        <w:rPr>
          <w:color w:val="auto"/>
        </w:rPr>
      </w:pPr>
      <w:r>
        <w:rPr>
          <w:rFonts w:hint="eastAsia"/>
          <w:color w:val="auto"/>
        </w:rPr>
        <w:drawing>
          <wp:inline distT="0" distB="0" distL="114300" distR="114300">
            <wp:extent cx="5753100" cy="3147060"/>
            <wp:effectExtent l="0" t="0" r="0" b="15240"/>
            <wp:docPr id="2" name="图片 2" descr="企业微信截图_1770364717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企业微信截图_17703647177875"/>
                    <pic:cNvPicPr>
                      <a:picLocks noChangeAspect="1"/>
                    </pic:cNvPicPr>
                  </pic:nvPicPr>
                  <pic:blipFill>
                    <a:blip r:embed="rId111"/>
                    <a:stretch>
                      <a:fillRect/>
                    </a:stretch>
                  </pic:blipFill>
                  <pic:spPr>
                    <a:xfrm>
                      <a:off x="0" y="0"/>
                      <a:ext cx="5753100" cy="3147060"/>
                    </a:xfrm>
                    <a:prstGeom prst="rect">
                      <a:avLst/>
                    </a:prstGeom>
                  </pic:spPr>
                </pic:pic>
              </a:graphicData>
            </a:graphic>
          </wp:inline>
        </w:drawing>
      </w:r>
    </w:p>
    <w:p w14:paraId="669956A2">
      <w:pPr>
        <w:pStyle w:val="8"/>
        <w:rPr>
          <w:color w:val="auto"/>
        </w:rPr>
      </w:pPr>
      <w:r>
        <w:rPr>
          <w:rFonts w:hint="eastAsia"/>
          <w:color w:val="auto"/>
        </w:rPr>
        <w:t>噪声源贡献值情况图 单位：dB（A）</w:t>
      </w:r>
    </w:p>
    <w:p w14:paraId="1FF71E41">
      <w:pPr>
        <w:pStyle w:val="4"/>
        <w:rPr>
          <w:color w:val="auto"/>
        </w:rPr>
      </w:pPr>
      <w:bookmarkStart w:id="501" w:name="_Toc225216810"/>
      <w:r>
        <w:rPr>
          <w:rFonts w:hint="eastAsia"/>
          <w:color w:val="auto"/>
        </w:rPr>
        <w:t>噪声预测结论</w:t>
      </w:r>
      <w:bookmarkEnd w:id="501"/>
    </w:p>
    <w:p w14:paraId="586A88FB">
      <w:pPr>
        <w:ind w:firstLine="480"/>
        <w:rPr>
          <w:color w:val="auto"/>
        </w:rPr>
      </w:pPr>
      <w:r>
        <w:rPr>
          <w:color w:val="auto"/>
        </w:rPr>
        <w:t>根据结果可知，上述设备经距离衰减、减震等因素，项目南侧厂界昼夜间噪声预测值满足《工业企业厂界环境噪声排放标准》(GB12348-2008)4类标准，其他厂界满足3类标准，周边敏感点满足2类标准。运营期噪声对周围环境影响不大，为最大程度减少运营期噪声对周围环境的影响，建设单位应该采取相应的隔声降噪措施，减少运营期噪声对环境的不利影响</w:t>
      </w:r>
      <w:r>
        <w:rPr>
          <w:rFonts w:hint="eastAsia"/>
          <w:color w:val="auto"/>
        </w:rPr>
        <w:t>。</w:t>
      </w:r>
    </w:p>
    <w:p w14:paraId="1E35EB6E">
      <w:pPr>
        <w:pStyle w:val="3"/>
        <w:rPr>
          <w:color w:val="auto"/>
        </w:rPr>
      </w:pPr>
      <w:bookmarkStart w:id="502" w:name="_Toc221355731"/>
      <w:bookmarkStart w:id="503" w:name="_Toc225216811"/>
      <w:r>
        <w:rPr>
          <w:rFonts w:hint="eastAsia"/>
          <w:color w:val="auto"/>
        </w:rPr>
        <w:t>运营期土壤环境影响分析</w:t>
      </w:r>
      <w:bookmarkEnd w:id="502"/>
      <w:bookmarkEnd w:id="503"/>
    </w:p>
    <w:p w14:paraId="7D3D9931">
      <w:pPr>
        <w:pStyle w:val="4"/>
        <w:keepNext w:val="0"/>
        <w:keepLines w:val="0"/>
        <w:rPr>
          <w:color w:val="auto"/>
        </w:rPr>
      </w:pPr>
      <w:bookmarkStart w:id="504" w:name="_Toc225216812"/>
      <w:r>
        <w:rPr>
          <w:rFonts w:hint="eastAsia"/>
          <w:color w:val="auto"/>
        </w:rPr>
        <w:t>土壤环境影响识别</w:t>
      </w:r>
      <w:bookmarkEnd w:id="504"/>
    </w:p>
    <w:p w14:paraId="3F2AF9D1">
      <w:pPr>
        <w:ind w:firstLine="480"/>
        <w:rPr>
          <w:color w:val="auto"/>
        </w:rPr>
      </w:pPr>
      <w:r>
        <w:rPr>
          <w:rFonts w:hint="eastAsia"/>
          <w:color w:val="auto"/>
        </w:rPr>
        <w:t>根据《环境影响评价技术导则 土壤环境》（HJ610-2018）附录A，本项目属于污染影响型。根据项目工程分析结果，项目对土壤环境的影响途径判别见下表。</w:t>
      </w:r>
    </w:p>
    <w:p w14:paraId="6EBE9B11">
      <w:pPr>
        <w:pStyle w:val="7"/>
        <w:rPr>
          <w:color w:val="auto"/>
        </w:rPr>
      </w:pPr>
      <w:r>
        <w:rPr>
          <w:color w:val="auto"/>
        </w:rPr>
        <w:t>建设项目土壤环境影响类型与影响途径表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48"/>
        <w:gridCol w:w="1161"/>
        <w:gridCol w:w="1163"/>
        <w:gridCol w:w="1307"/>
        <w:gridCol w:w="871"/>
        <w:gridCol w:w="873"/>
        <w:gridCol w:w="871"/>
        <w:gridCol w:w="875"/>
        <w:gridCol w:w="717"/>
      </w:tblGrid>
      <w:tr w14:paraId="7BF14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vMerge w:val="restart"/>
            <w:vAlign w:val="center"/>
          </w:tcPr>
          <w:p w14:paraId="214FDAB5">
            <w:pPr>
              <w:pStyle w:val="33"/>
              <w:rPr>
                <w:color w:val="auto"/>
              </w:rPr>
            </w:pPr>
            <w:r>
              <w:rPr>
                <w:color w:val="auto"/>
              </w:rPr>
              <w:t>不同时段</w:t>
            </w:r>
          </w:p>
        </w:tc>
        <w:tc>
          <w:tcPr>
            <w:tcW w:w="2424" w:type="pct"/>
            <w:gridSpan w:val="4"/>
            <w:vAlign w:val="center"/>
          </w:tcPr>
          <w:p w14:paraId="0F860B3A">
            <w:pPr>
              <w:pStyle w:val="33"/>
              <w:rPr>
                <w:color w:val="auto"/>
              </w:rPr>
            </w:pPr>
            <w:r>
              <w:rPr>
                <w:color w:val="auto"/>
              </w:rPr>
              <w:t>污染影响型</w:t>
            </w:r>
          </w:p>
        </w:tc>
        <w:tc>
          <w:tcPr>
            <w:tcW w:w="1796" w:type="pct"/>
            <w:gridSpan w:val="4"/>
            <w:vAlign w:val="center"/>
          </w:tcPr>
          <w:p w14:paraId="24696FC3">
            <w:pPr>
              <w:pStyle w:val="33"/>
              <w:rPr>
                <w:color w:val="auto"/>
              </w:rPr>
            </w:pPr>
            <w:r>
              <w:rPr>
                <w:color w:val="auto"/>
              </w:rPr>
              <w:t>生态影响型</w:t>
            </w:r>
          </w:p>
        </w:tc>
      </w:tr>
      <w:tr w14:paraId="6A5C0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vMerge w:val="continue"/>
            <w:vAlign w:val="center"/>
          </w:tcPr>
          <w:p w14:paraId="735B7DF9">
            <w:pPr>
              <w:pStyle w:val="33"/>
              <w:rPr>
                <w:color w:val="auto"/>
              </w:rPr>
            </w:pPr>
          </w:p>
        </w:tc>
        <w:tc>
          <w:tcPr>
            <w:tcW w:w="625" w:type="pct"/>
            <w:vAlign w:val="center"/>
          </w:tcPr>
          <w:p w14:paraId="17FC9E63">
            <w:pPr>
              <w:pStyle w:val="33"/>
              <w:rPr>
                <w:color w:val="auto"/>
              </w:rPr>
            </w:pPr>
            <w:r>
              <w:rPr>
                <w:color w:val="auto"/>
              </w:rPr>
              <w:t>大气沉降</w:t>
            </w:r>
          </w:p>
        </w:tc>
        <w:tc>
          <w:tcPr>
            <w:tcW w:w="626" w:type="pct"/>
            <w:vAlign w:val="center"/>
          </w:tcPr>
          <w:p w14:paraId="51550937">
            <w:pPr>
              <w:pStyle w:val="33"/>
              <w:rPr>
                <w:color w:val="auto"/>
              </w:rPr>
            </w:pPr>
            <w:r>
              <w:rPr>
                <w:color w:val="auto"/>
              </w:rPr>
              <w:t>地面漫流</w:t>
            </w:r>
          </w:p>
        </w:tc>
        <w:tc>
          <w:tcPr>
            <w:tcW w:w="704" w:type="pct"/>
            <w:vAlign w:val="center"/>
          </w:tcPr>
          <w:p w14:paraId="464F673C">
            <w:pPr>
              <w:pStyle w:val="33"/>
              <w:rPr>
                <w:color w:val="auto"/>
              </w:rPr>
            </w:pPr>
            <w:r>
              <w:rPr>
                <w:color w:val="auto"/>
              </w:rPr>
              <w:t>垂直入渗</w:t>
            </w:r>
          </w:p>
        </w:tc>
        <w:tc>
          <w:tcPr>
            <w:tcW w:w="469" w:type="pct"/>
            <w:vAlign w:val="center"/>
          </w:tcPr>
          <w:p w14:paraId="6F3843FB">
            <w:pPr>
              <w:pStyle w:val="33"/>
              <w:rPr>
                <w:color w:val="auto"/>
              </w:rPr>
            </w:pPr>
            <w:r>
              <w:rPr>
                <w:color w:val="auto"/>
              </w:rPr>
              <w:t>其他</w:t>
            </w:r>
          </w:p>
        </w:tc>
        <w:tc>
          <w:tcPr>
            <w:tcW w:w="470" w:type="pct"/>
            <w:vAlign w:val="center"/>
          </w:tcPr>
          <w:p w14:paraId="5C94F68F">
            <w:pPr>
              <w:pStyle w:val="33"/>
              <w:rPr>
                <w:color w:val="auto"/>
              </w:rPr>
            </w:pPr>
            <w:r>
              <w:rPr>
                <w:color w:val="auto"/>
              </w:rPr>
              <w:t>盐化</w:t>
            </w:r>
          </w:p>
        </w:tc>
        <w:tc>
          <w:tcPr>
            <w:tcW w:w="469" w:type="pct"/>
            <w:vAlign w:val="center"/>
          </w:tcPr>
          <w:p w14:paraId="59C3A7E3">
            <w:pPr>
              <w:pStyle w:val="33"/>
              <w:rPr>
                <w:color w:val="auto"/>
              </w:rPr>
            </w:pPr>
            <w:r>
              <w:rPr>
                <w:color w:val="auto"/>
              </w:rPr>
              <w:t>碱化</w:t>
            </w:r>
          </w:p>
        </w:tc>
        <w:tc>
          <w:tcPr>
            <w:tcW w:w="471" w:type="pct"/>
            <w:vAlign w:val="center"/>
          </w:tcPr>
          <w:p w14:paraId="420C846F">
            <w:pPr>
              <w:pStyle w:val="33"/>
              <w:rPr>
                <w:color w:val="auto"/>
              </w:rPr>
            </w:pPr>
            <w:r>
              <w:rPr>
                <w:color w:val="auto"/>
              </w:rPr>
              <w:t>酸化</w:t>
            </w:r>
          </w:p>
        </w:tc>
        <w:tc>
          <w:tcPr>
            <w:tcW w:w="386" w:type="pct"/>
            <w:vAlign w:val="center"/>
          </w:tcPr>
          <w:p w14:paraId="75416F69">
            <w:pPr>
              <w:pStyle w:val="33"/>
              <w:rPr>
                <w:color w:val="auto"/>
              </w:rPr>
            </w:pPr>
            <w:r>
              <w:rPr>
                <w:color w:val="auto"/>
              </w:rPr>
              <w:t>其他</w:t>
            </w:r>
          </w:p>
        </w:tc>
      </w:tr>
      <w:tr w14:paraId="4ECCD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vAlign w:val="center"/>
          </w:tcPr>
          <w:p w14:paraId="689A7CF1">
            <w:pPr>
              <w:pStyle w:val="33"/>
              <w:rPr>
                <w:color w:val="auto"/>
              </w:rPr>
            </w:pPr>
            <w:r>
              <w:rPr>
                <w:color w:val="auto"/>
              </w:rPr>
              <w:t>建设期</w:t>
            </w:r>
          </w:p>
        </w:tc>
        <w:tc>
          <w:tcPr>
            <w:tcW w:w="625" w:type="pct"/>
            <w:vAlign w:val="center"/>
          </w:tcPr>
          <w:p w14:paraId="09B81A65">
            <w:pPr>
              <w:pStyle w:val="33"/>
              <w:rPr>
                <w:color w:val="auto"/>
              </w:rPr>
            </w:pPr>
            <w:r>
              <w:rPr>
                <w:color w:val="auto"/>
              </w:rPr>
              <w:t>/</w:t>
            </w:r>
          </w:p>
        </w:tc>
        <w:tc>
          <w:tcPr>
            <w:tcW w:w="626" w:type="pct"/>
            <w:vAlign w:val="center"/>
          </w:tcPr>
          <w:p w14:paraId="76D95D4B">
            <w:pPr>
              <w:pStyle w:val="33"/>
              <w:rPr>
                <w:color w:val="auto"/>
              </w:rPr>
            </w:pPr>
            <w:r>
              <w:rPr>
                <w:color w:val="auto"/>
              </w:rPr>
              <w:t>/</w:t>
            </w:r>
          </w:p>
        </w:tc>
        <w:tc>
          <w:tcPr>
            <w:tcW w:w="704" w:type="pct"/>
            <w:vAlign w:val="center"/>
          </w:tcPr>
          <w:p w14:paraId="0BDD06D4">
            <w:pPr>
              <w:pStyle w:val="33"/>
              <w:rPr>
                <w:color w:val="auto"/>
              </w:rPr>
            </w:pPr>
            <w:r>
              <w:rPr>
                <w:color w:val="auto"/>
              </w:rPr>
              <w:t>/</w:t>
            </w:r>
          </w:p>
        </w:tc>
        <w:tc>
          <w:tcPr>
            <w:tcW w:w="469" w:type="pct"/>
          </w:tcPr>
          <w:p w14:paraId="395B9ACE">
            <w:pPr>
              <w:pStyle w:val="33"/>
              <w:rPr>
                <w:color w:val="auto"/>
              </w:rPr>
            </w:pPr>
            <w:r>
              <w:rPr>
                <w:color w:val="auto"/>
              </w:rPr>
              <w:t>/</w:t>
            </w:r>
          </w:p>
        </w:tc>
        <w:tc>
          <w:tcPr>
            <w:tcW w:w="470" w:type="pct"/>
            <w:vAlign w:val="center"/>
          </w:tcPr>
          <w:p w14:paraId="0A4E95A0">
            <w:pPr>
              <w:pStyle w:val="33"/>
              <w:rPr>
                <w:color w:val="auto"/>
              </w:rPr>
            </w:pPr>
            <w:r>
              <w:rPr>
                <w:color w:val="auto"/>
              </w:rPr>
              <w:t>/</w:t>
            </w:r>
          </w:p>
        </w:tc>
        <w:tc>
          <w:tcPr>
            <w:tcW w:w="469" w:type="pct"/>
          </w:tcPr>
          <w:p w14:paraId="03CEC4DD">
            <w:pPr>
              <w:pStyle w:val="33"/>
              <w:rPr>
                <w:color w:val="auto"/>
              </w:rPr>
            </w:pPr>
            <w:r>
              <w:rPr>
                <w:color w:val="auto"/>
              </w:rPr>
              <w:t>/</w:t>
            </w:r>
          </w:p>
        </w:tc>
        <w:tc>
          <w:tcPr>
            <w:tcW w:w="471" w:type="pct"/>
          </w:tcPr>
          <w:p w14:paraId="2E630C6E">
            <w:pPr>
              <w:pStyle w:val="33"/>
              <w:rPr>
                <w:color w:val="auto"/>
              </w:rPr>
            </w:pPr>
            <w:r>
              <w:rPr>
                <w:color w:val="auto"/>
              </w:rPr>
              <w:t>/</w:t>
            </w:r>
          </w:p>
        </w:tc>
        <w:tc>
          <w:tcPr>
            <w:tcW w:w="386" w:type="pct"/>
          </w:tcPr>
          <w:p w14:paraId="28E0B001">
            <w:pPr>
              <w:pStyle w:val="33"/>
              <w:rPr>
                <w:color w:val="auto"/>
              </w:rPr>
            </w:pPr>
            <w:r>
              <w:rPr>
                <w:color w:val="auto"/>
              </w:rPr>
              <w:t>/</w:t>
            </w:r>
          </w:p>
        </w:tc>
      </w:tr>
      <w:tr w14:paraId="23CE4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pct"/>
            <w:vAlign w:val="center"/>
          </w:tcPr>
          <w:p w14:paraId="23DD9275">
            <w:pPr>
              <w:pStyle w:val="33"/>
              <w:rPr>
                <w:color w:val="auto"/>
              </w:rPr>
            </w:pPr>
            <w:r>
              <w:rPr>
                <w:color w:val="auto"/>
              </w:rPr>
              <w:t>运营期</w:t>
            </w:r>
          </w:p>
        </w:tc>
        <w:tc>
          <w:tcPr>
            <w:tcW w:w="625" w:type="pct"/>
            <w:vAlign w:val="center"/>
          </w:tcPr>
          <w:p w14:paraId="064857BE">
            <w:pPr>
              <w:pStyle w:val="33"/>
              <w:rPr>
                <w:color w:val="auto"/>
              </w:rPr>
            </w:pPr>
            <w:r>
              <w:rPr>
                <w:color w:val="auto"/>
              </w:rPr>
              <w:t>/</w:t>
            </w:r>
          </w:p>
        </w:tc>
        <w:tc>
          <w:tcPr>
            <w:tcW w:w="626" w:type="pct"/>
            <w:vAlign w:val="center"/>
          </w:tcPr>
          <w:p w14:paraId="205AC135">
            <w:pPr>
              <w:pStyle w:val="33"/>
              <w:rPr>
                <w:color w:val="auto"/>
              </w:rPr>
            </w:pPr>
            <w:r>
              <w:rPr>
                <w:color w:val="auto"/>
              </w:rPr>
              <w:t>/</w:t>
            </w:r>
          </w:p>
        </w:tc>
        <w:tc>
          <w:tcPr>
            <w:tcW w:w="704" w:type="pct"/>
            <w:vAlign w:val="center"/>
          </w:tcPr>
          <w:p w14:paraId="54B2D609">
            <w:pPr>
              <w:pStyle w:val="33"/>
              <w:rPr>
                <w:color w:val="auto"/>
              </w:rPr>
            </w:pPr>
            <w:r>
              <w:rPr>
                <w:color w:val="auto"/>
              </w:rPr>
              <w:t>√</w:t>
            </w:r>
          </w:p>
        </w:tc>
        <w:tc>
          <w:tcPr>
            <w:tcW w:w="469" w:type="pct"/>
          </w:tcPr>
          <w:p w14:paraId="6BC9F18E">
            <w:pPr>
              <w:pStyle w:val="33"/>
              <w:rPr>
                <w:color w:val="auto"/>
              </w:rPr>
            </w:pPr>
            <w:r>
              <w:rPr>
                <w:color w:val="auto"/>
              </w:rPr>
              <w:t>/</w:t>
            </w:r>
          </w:p>
        </w:tc>
        <w:tc>
          <w:tcPr>
            <w:tcW w:w="470" w:type="pct"/>
          </w:tcPr>
          <w:p w14:paraId="3D44D011">
            <w:pPr>
              <w:pStyle w:val="33"/>
              <w:rPr>
                <w:color w:val="auto"/>
              </w:rPr>
            </w:pPr>
            <w:r>
              <w:rPr>
                <w:color w:val="auto"/>
              </w:rPr>
              <w:t>/</w:t>
            </w:r>
          </w:p>
        </w:tc>
        <w:tc>
          <w:tcPr>
            <w:tcW w:w="469" w:type="pct"/>
          </w:tcPr>
          <w:p w14:paraId="13EF0335">
            <w:pPr>
              <w:pStyle w:val="33"/>
              <w:rPr>
                <w:color w:val="auto"/>
              </w:rPr>
            </w:pPr>
            <w:r>
              <w:rPr>
                <w:color w:val="auto"/>
              </w:rPr>
              <w:t>/</w:t>
            </w:r>
          </w:p>
        </w:tc>
        <w:tc>
          <w:tcPr>
            <w:tcW w:w="471" w:type="pct"/>
          </w:tcPr>
          <w:p w14:paraId="535AB25D">
            <w:pPr>
              <w:pStyle w:val="33"/>
              <w:rPr>
                <w:color w:val="auto"/>
              </w:rPr>
            </w:pPr>
            <w:r>
              <w:rPr>
                <w:color w:val="auto"/>
              </w:rPr>
              <w:t>/</w:t>
            </w:r>
          </w:p>
        </w:tc>
        <w:tc>
          <w:tcPr>
            <w:tcW w:w="386" w:type="pct"/>
          </w:tcPr>
          <w:p w14:paraId="597976C5">
            <w:pPr>
              <w:pStyle w:val="33"/>
              <w:rPr>
                <w:color w:val="auto"/>
              </w:rPr>
            </w:pPr>
            <w:r>
              <w:rPr>
                <w:color w:val="auto"/>
              </w:rPr>
              <w:t>/</w:t>
            </w:r>
          </w:p>
        </w:tc>
      </w:tr>
      <w:tr w14:paraId="1F2AE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780" w:type="pct"/>
            <w:vAlign w:val="center"/>
          </w:tcPr>
          <w:p w14:paraId="3C7AD4E8">
            <w:pPr>
              <w:pStyle w:val="33"/>
              <w:rPr>
                <w:color w:val="auto"/>
              </w:rPr>
            </w:pPr>
            <w:r>
              <w:rPr>
                <w:color w:val="auto"/>
              </w:rPr>
              <w:t>服务期满后</w:t>
            </w:r>
          </w:p>
        </w:tc>
        <w:tc>
          <w:tcPr>
            <w:tcW w:w="625" w:type="pct"/>
            <w:vAlign w:val="center"/>
          </w:tcPr>
          <w:p w14:paraId="4F46A63E">
            <w:pPr>
              <w:pStyle w:val="33"/>
              <w:rPr>
                <w:color w:val="auto"/>
              </w:rPr>
            </w:pPr>
            <w:r>
              <w:rPr>
                <w:color w:val="auto"/>
              </w:rPr>
              <w:t>/</w:t>
            </w:r>
          </w:p>
        </w:tc>
        <w:tc>
          <w:tcPr>
            <w:tcW w:w="626" w:type="pct"/>
            <w:vAlign w:val="center"/>
          </w:tcPr>
          <w:p w14:paraId="646469D2">
            <w:pPr>
              <w:pStyle w:val="33"/>
              <w:rPr>
                <w:color w:val="auto"/>
              </w:rPr>
            </w:pPr>
            <w:r>
              <w:rPr>
                <w:color w:val="auto"/>
              </w:rPr>
              <w:t>/</w:t>
            </w:r>
          </w:p>
        </w:tc>
        <w:tc>
          <w:tcPr>
            <w:tcW w:w="704" w:type="pct"/>
            <w:vAlign w:val="center"/>
          </w:tcPr>
          <w:p w14:paraId="7B3C7A32">
            <w:pPr>
              <w:pStyle w:val="33"/>
              <w:rPr>
                <w:color w:val="auto"/>
              </w:rPr>
            </w:pPr>
            <w:r>
              <w:rPr>
                <w:color w:val="auto"/>
              </w:rPr>
              <w:t>/</w:t>
            </w:r>
          </w:p>
        </w:tc>
        <w:tc>
          <w:tcPr>
            <w:tcW w:w="469" w:type="pct"/>
          </w:tcPr>
          <w:p w14:paraId="5A28D95B">
            <w:pPr>
              <w:pStyle w:val="33"/>
              <w:rPr>
                <w:color w:val="auto"/>
              </w:rPr>
            </w:pPr>
            <w:r>
              <w:rPr>
                <w:color w:val="auto"/>
              </w:rPr>
              <w:t>/</w:t>
            </w:r>
          </w:p>
        </w:tc>
        <w:tc>
          <w:tcPr>
            <w:tcW w:w="470" w:type="pct"/>
          </w:tcPr>
          <w:p w14:paraId="6C276860">
            <w:pPr>
              <w:pStyle w:val="33"/>
              <w:rPr>
                <w:color w:val="auto"/>
              </w:rPr>
            </w:pPr>
            <w:r>
              <w:rPr>
                <w:color w:val="auto"/>
              </w:rPr>
              <w:t>/</w:t>
            </w:r>
          </w:p>
        </w:tc>
        <w:tc>
          <w:tcPr>
            <w:tcW w:w="469" w:type="pct"/>
          </w:tcPr>
          <w:p w14:paraId="3EDC0F6E">
            <w:pPr>
              <w:pStyle w:val="33"/>
              <w:rPr>
                <w:color w:val="auto"/>
              </w:rPr>
            </w:pPr>
            <w:r>
              <w:rPr>
                <w:color w:val="auto"/>
              </w:rPr>
              <w:t>/</w:t>
            </w:r>
          </w:p>
        </w:tc>
        <w:tc>
          <w:tcPr>
            <w:tcW w:w="471" w:type="pct"/>
          </w:tcPr>
          <w:p w14:paraId="1B48BFD0">
            <w:pPr>
              <w:pStyle w:val="33"/>
              <w:rPr>
                <w:color w:val="auto"/>
              </w:rPr>
            </w:pPr>
            <w:r>
              <w:rPr>
                <w:color w:val="auto"/>
              </w:rPr>
              <w:t>/</w:t>
            </w:r>
          </w:p>
        </w:tc>
        <w:tc>
          <w:tcPr>
            <w:tcW w:w="386" w:type="pct"/>
          </w:tcPr>
          <w:p w14:paraId="50F341AA">
            <w:pPr>
              <w:pStyle w:val="33"/>
              <w:rPr>
                <w:color w:val="auto"/>
              </w:rPr>
            </w:pPr>
            <w:r>
              <w:rPr>
                <w:color w:val="auto"/>
              </w:rPr>
              <w:t>/</w:t>
            </w:r>
          </w:p>
        </w:tc>
      </w:tr>
      <w:tr w14:paraId="4C45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 w:hRule="atLeast"/>
        </w:trPr>
        <w:tc>
          <w:tcPr>
            <w:tcW w:w="5000" w:type="pct"/>
            <w:gridSpan w:val="9"/>
            <w:vAlign w:val="center"/>
          </w:tcPr>
          <w:p w14:paraId="4CAAB746">
            <w:pPr>
              <w:pStyle w:val="33"/>
              <w:rPr>
                <w:color w:val="auto"/>
              </w:rPr>
            </w:pPr>
            <w:r>
              <w:rPr>
                <w:color w:val="auto"/>
              </w:rPr>
              <w:t>注：在可能产生的土壤环境影响类型处打“√”，列表未涵盖的可自行设计</w:t>
            </w:r>
          </w:p>
        </w:tc>
      </w:tr>
    </w:tbl>
    <w:p w14:paraId="2B9B0A05">
      <w:pPr>
        <w:tabs>
          <w:tab w:val="left" w:pos="0"/>
        </w:tabs>
        <w:ind w:firstLine="0" w:firstLineChars="0"/>
        <w:rPr>
          <w:rFonts w:cs="Times New Roman"/>
          <w:color w:val="auto"/>
        </w:rPr>
      </w:pPr>
      <w:r>
        <w:rPr>
          <w:rFonts w:cs="Times New Roman"/>
          <w:color w:val="auto"/>
        </w:rPr>
        <w:t>项目各产污节点污染途径及污染特征因子识别见下表。</w:t>
      </w:r>
    </w:p>
    <w:p w14:paraId="75DC21BA">
      <w:pPr>
        <w:pStyle w:val="7"/>
        <w:rPr>
          <w:color w:val="auto"/>
        </w:rPr>
      </w:pPr>
      <w:r>
        <w:rPr>
          <w:rFonts w:hint="eastAsia"/>
          <w:color w:val="auto"/>
        </w:rPr>
        <w:t>污染影响型建设项目土壤环境影响源及影响因子识别表</w:t>
      </w:r>
    </w:p>
    <w:tbl>
      <w:tblPr>
        <w:tblStyle w:val="26"/>
        <w:tblW w:w="9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8"/>
        <w:gridCol w:w="1559"/>
        <w:gridCol w:w="1134"/>
        <w:gridCol w:w="2268"/>
        <w:gridCol w:w="2268"/>
        <w:gridCol w:w="1079"/>
      </w:tblGrid>
      <w:tr w14:paraId="443A3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blHeader/>
        </w:trPr>
        <w:tc>
          <w:tcPr>
            <w:tcW w:w="988" w:type="dxa"/>
            <w:tcBorders>
              <w:top w:val="single" w:color="auto" w:sz="4" w:space="0"/>
              <w:left w:val="single" w:color="auto" w:sz="4" w:space="0"/>
              <w:bottom w:val="single" w:color="auto" w:sz="4" w:space="0"/>
              <w:right w:val="single" w:color="auto" w:sz="4" w:space="0"/>
            </w:tcBorders>
            <w:vAlign w:val="center"/>
          </w:tcPr>
          <w:p w14:paraId="1906DA74">
            <w:pPr>
              <w:pStyle w:val="33"/>
              <w:rPr>
                <w:color w:val="auto"/>
              </w:rPr>
            </w:pPr>
            <w:r>
              <w:rPr>
                <w:color w:val="auto"/>
              </w:rPr>
              <w:t>污染源</w:t>
            </w:r>
          </w:p>
        </w:tc>
        <w:tc>
          <w:tcPr>
            <w:tcW w:w="1559" w:type="dxa"/>
            <w:tcBorders>
              <w:top w:val="single" w:color="auto" w:sz="4" w:space="0"/>
              <w:left w:val="single" w:color="auto" w:sz="4" w:space="0"/>
              <w:bottom w:val="single" w:color="auto" w:sz="4" w:space="0"/>
              <w:right w:val="single" w:color="auto" w:sz="4" w:space="0"/>
            </w:tcBorders>
            <w:vAlign w:val="center"/>
          </w:tcPr>
          <w:p w14:paraId="36F74D9D">
            <w:pPr>
              <w:pStyle w:val="33"/>
              <w:rPr>
                <w:color w:val="auto"/>
              </w:rPr>
            </w:pPr>
            <w:r>
              <w:rPr>
                <w:color w:val="auto"/>
              </w:rPr>
              <w:t>工艺流程/节点</w:t>
            </w:r>
          </w:p>
        </w:tc>
        <w:tc>
          <w:tcPr>
            <w:tcW w:w="1134" w:type="dxa"/>
            <w:tcBorders>
              <w:top w:val="single" w:color="auto" w:sz="4" w:space="0"/>
              <w:left w:val="single" w:color="auto" w:sz="4" w:space="0"/>
              <w:bottom w:val="single" w:color="auto" w:sz="4" w:space="0"/>
              <w:right w:val="single" w:color="auto" w:sz="4" w:space="0"/>
            </w:tcBorders>
            <w:vAlign w:val="center"/>
          </w:tcPr>
          <w:p w14:paraId="48693FB9">
            <w:pPr>
              <w:pStyle w:val="33"/>
              <w:rPr>
                <w:color w:val="auto"/>
              </w:rPr>
            </w:pPr>
            <w:r>
              <w:rPr>
                <w:color w:val="auto"/>
              </w:rPr>
              <w:t>污染途径</w:t>
            </w:r>
          </w:p>
        </w:tc>
        <w:tc>
          <w:tcPr>
            <w:tcW w:w="2268" w:type="dxa"/>
            <w:tcBorders>
              <w:top w:val="single" w:color="auto" w:sz="4" w:space="0"/>
              <w:left w:val="single" w:color="auto" w:sz="4" w:space="0"/>
              <w:bottom w:val="single" w:color="auto" w:sz="4" w:space="0"/>
              <w:right w:val="single" w:color="auto" w:sz="4" w:space="0"/>
            </w:tcBorders>
            <w:vAlign w:val="center"/>
          </w:tcPr>
          <w:p w14:paraId="08BE852F">
            <w:pPr>
              <w:pStyle w:val="33"/>
              <w:rPr>
                <w:color w:val="auto"/>
              </w:rPr>
            </w:pPr>
            <w:r>
              <w:rPr>
                <w:color w:val="auto"/>
              </w:rPr>
              <w:t>全部污染物指标</w:t>
            </w:r>
          </w:p>
        </w:tc>
        <w:tc>
          <w:tcPr>
            <w:tcW w:w="2268" w:type="dxa"/>
            <w:tcBorders>
              <w:top w:val="single" w:color="auto" w:sz="4" w:space="0"/>
              <w:left w:val="single" w:color="auto" w:sz="4" w:space="0"/>
              <w:bottom w:val="single" w:color="auto" w:sz="4" w:space="0"/>
              <w:right w:val="single" w:color="auto" w:sz="4" w:space="0"/>
            </w:tcBorders>
            <w:vAlign w:val="center"/>
          </w:tcPr>
          <w:p w14:paraId="100821E9">
            <w:pPr>
              <w:pStyle w:val="33"/>
              <w:rPr>
                <w:color w:val="auto"/>
              </w:rPr>
            </w:pPr>
            <w:r>
              <w:rPr>
                <w:color w:val="auto"/>
              </w:rPr>
              <w:t>特征因子</w:t>
            </w:r>
          </w:p>
        </w:tc>
        <w:tc>
          <w:tcPr>
            <w:tcW w:w="1079" w:type="dxa"/>
            <w:tcBorders>
              <w:top w:val="single" w:color="auto" w:sz="4" w:space="0"/>
              <w:left w:val="single" w:color="auto" w:sz="4" w:space="0"/>
              <w:bottom w:val="single" w:color="auto" w:sz="4" w:space="0"/>
              <w:right w:val="single" w:color="auto" w:sz="4" w:space="0"/>
            </w:tcBorders>
            <w:vAlign w:val="center"/>
          </w:tcPr>
          <w:p w14:paraId="2309A636">
            <w:pPr>
              <w:pStyle w:val="33"/>
              <w:rPr>
                <w:color w:val="auto"/>
              </w:rPr>
            </w:pPr>
            <w:r>
              <w:rPr>
                <w:color w:val="auto"/>
              </w:rPr>
              <w:t>备注</w:t>
            </w:r>
          </w:p>
        </w:tc>
      </w:tr>
      <w:tr w14:paraId="56735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restart"/>
            <w:tcBorders>
              <w:top w:val="single" w:color="auto" w:sz="4" w:space="0"/>
              <w:left w:val="single" w:color="auto" w:sz="4" w:space="0"/>
              <w:right w:val="single" w:color="auto" w:sz="4" w:space="0"/>
            </w:tcBorders>
            <w:vAlign w:val="center"/>
          </w:tcPr>
          <w:p w14:paraId="07BB7309">
            <w:pPr>
              <w:pStyle w:val="33"/>
              <w:rPr>
                <w:color w:val="auto"/>
              </w:rPr>
            </w:pPr>
            <w:r>
              <w:rPr>
                <w:color w:val="auto"/>
              </w:rPr>
              <w:t>废水污染源</w:t>
            </w:r>
          </w:p>
        </w:tc>
        <w:tc>
          <w:tcPr>
            <w:tcW w:w="1559" w:type="dxa"/>
            <w:vMerge w:val="restart"/>
            <w:tcBorders>
              <w:top w:val="single" w:color="auto" w:sz="4" w:space="0"/>
              <w:left w:val="single" w:color="auto" w:sz="4" w:space="0"/>
              <w:right w:val="single" w:color="auto" w:sz="4" w:space="0"/>
            </w:tcBorders>
            <w:vAlign w:val="center"/>
          </w:tcPr>
          <w:p w14:paraId="3D38D937">
            <w:pPr>
              <w:pStyle w:val="33"/>
              <w:rPr>
                <w:color w:val="auto"/>
              </w:rPr>
            </w:pPr>
            <w:r>
              <w:rPr>
                <w:color w:val="auto"/>
              </w:rPr>
              <w:t>生产车间废水</w:t>
            </w:r>
          </w:p>
        </w:tc>
        <w:tc>
          <w:tcPr>
            <w:tcW w:w="1134" w:type="dxa"/>
            <w:tcBorders>
              <w:top w:val="single" w:color="auto" w:sz="4" w:space="0"/>
              <w:left w:val="single" w:color="auto" w:sz="4" w:space="0"/>
              <w:bottom w:val="single" w:color="auto" w:sz="4" w:space="0"/>
              <w:right w:val="single" w:color="auto" w:sz="4" w:space="0"/>
            </w:tcBorders>
            <w:vAlign w:val="center"/>
          </w:tcPr>
          <w:p w14:paraId="48F1EE9E">
            <w:pPr>
              <w:pStyle w:val="33"/>
              <w:rPr>
                <w:color w:val="auto"/>
              </w:rPr>
            </w:pPr>
            <w:r>
              <w:rPr>
                <w:color w:val="auto"/>
              </w:rPr>
              <w:t>大气沉降</w:t>
            </w:r>
          </w:p>
        </w:tc>
        <w:tc>
          <w:tcPr>
            <w:tcW w:w="2268" w:type="dxa"/>
            <w:tcBorders>
              <w:top w:val="single" w:color="auto" w:sz="4" w:space="0"/>
              <w:left w:val="single" w:color="auto" w:sz="4" w:space="0"/>
              <w:bottom w:val="single" w:color="auto" w:sz="4" w:space="0"/>
              <w:right w:val="single" w:color="auto" w:sz="4" w:space="0"/>
            </w:tcBorders>
            <w:vAlign w:val="center"/>
          </w:tcPr>
          <w:p w14:paraId="045C02DC">
            <w:pPr>
              <w:pStyle w:val="33"/>
              <w:rPr>
                <w:color w:val="auto"/>
              </w:rPr>
            </w:pPr>
            <w:r>
              <w:rPr>
                <w:color w:val="auto"/>
              </w:rPr>
              <w:t>/</w:t>
            </w:r>
          </w:p>
        </w:tc>
        <w:tc>
          <w:tcPr>
            <w:tcW w:w="2268" w:type="dxa"/>
            <w:tcBorders>
              <w:top w:val="single" w:color="auto" w:sz="4" w:space="0"/>
              <w:left w:val="single" w:color="auto" w:sz="4" w:space="0"/>
              <w:bottom w:val="single" w:color="auto" w:sz="4" w:space="0"/>
              <w:right w:val="single" w:color="auto" w:sz="4" w:space="0"/>
            </w:tcBorders>
          </w:tcPr>
          <w:p w14:paraId="58E67522">
            <w:pPr>
              <w:pStyle w:val="33"/>
              <w:rPr>
                <w:color w:val="auto"/>
              </w:rPr>
            </w:pPr>
            <w:r>
              <w:rPr>
                <w:color w:val="auto"/>
              </w:rPr>
              <w:t>/</w:t>
            </w:r>
          </w:p>
        </w:tc>
        <w:tc>
          <w:tcPr>
            <w:tcW w:w="1079" w:type="dxa"/>
            <w:vMerge w:val="restart"/>
            <w:tcBorders>
              <w:top w:val="single" w:color="auto" w:sz="4" w:space="0"/>
              <w:left w:val="single" w:color="auto" w:sz="4" w:space="0"/>
              <w:right w:val="single" w:color="auto" w:sz="4" w:space="0"/>
            </w:tcBorders>
            <w:vAlign w:val="center"/>
          </w:tcPr>
          <w:p w14:paraId="1C287092">
            <w:pPr>
              <w:pStyle w:val="33"/>
              <w:rPr>
                <w:color w:val="auto"/>
              </w:rPr>
            </w:pPr>
            <w:r>
              <w:rPr>
                <w:color w:val="auto"/>
              </w:rPr>
              <w:t>池底防渗措施失效</w:t>
            </w:r>
            <w:r>
              <w:rPr>
                <w:rFonts w:hint="eastAsia"/>
                <w:color w:val="auto"/>
              </w:rPr>
              <w:t>或罐体损坏</w:t>
            </w:r>
            <w:r>
              <w:rPr>
                <w:color w:val="auto"/>
              </w:rPr>
              <w:t>时存在垂直入渗污染土壤风险</w:t>
            </w:r>
          </w:p>
        </w:tc>
      </w:tr>
      <w:tr w14:paraId="6B07E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tcBorders>
              <w:left w:val="single" w:color="auto" w:sz="4" w:space="0"/>
              <w:right w:val="single" w:color="auto" w:sz="4" w:space="0"/>
            </w:tcBorders>
            <w:vAlign w:val="center"/>
          </w:tcPr>
          <w:p w14:paraId="2190B12D">
            <w:pPr>
              <w:pStyle w:val="33"/>
              <w:rPr>
                <w:color w:val="auto"/>
              </w:rPr>
            </w:pPr>
          </w:p>
        </w:tc>
        <w:tc>
          <w:tcPr>
            <w:tcW w:w="1559" w:type="dxa"/>
            <w:vMerge w:val="continue"/>
            <w:tcBorders>
              <w:left w:val="single" w:color="auto" w:sz="4" w:space="0"/>
              <w:right w:val="single" w:color="auto" w:sz="4" w:space="0"/>
            </w:tcBorders>
            <w:vAlign w:val="center"/>
          </w:tcPr>
          <w:p w14:paraId="46E9CC76">
            <w:pPr>
              <w:pStyle w:val="33"/>
              <w:rPr>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14:paraId="12559ECA">
            <w:pPr>
              <w:pStyle w:val="33"/>
              <w:rPr>
                <w:color w:val="auto"/>
              </w:rPr>
            </w:pPr>
            <w:r>
              <w:rPr>
                <w:color w:val="auto"/>
              </w:rPr>
              <w:t>地面漫流</w:t>
            </w:r>
          </w:p>
        </w:tc>
        <w:tc>
          <w:tcPr>
            <w:tcW w:w="2268" w:type="dxa"/>
            <w:tcBorders>
              <w:top w:val="single" w:color="auto" w:sz="4" w:space="0"/>
              <w:left w:val="single" w:color="auto" w:sz="4" w:space="0"/>
              <w:bottom w:val="single" w:color="auto" w:sz="4" w:space="0"/>
              <w:right w:val="single" w:color="auto" w:sz="4" w:space="0"/>
            </w:tcBorders>
            <w:vAlign w:val="center"/>
          </w:tcPr>
          <w:p w14:paraId="79B96FA4">
            <w:pPr>
              <w:pStyle w:val="33"/>
              <w:rPr>
                <w:color w:val="auto"/>
              </w:rPr>
            </w:pPr>
            <w:r>
              <w:rPr>
                <w:color w:val="auto"/>
              </w:rPr>
              <w:t>/</w:t>
            </w:r>
          </w:p>
        </w:tc>
        <w:tc>
          <w:tcPr>
            <w:tcW w:w="2268" w:type="dxa"/>
            <w:tcBorders>
              <w:top w:val="single" w:color="auto" w:sz="4" w:space="0"/>
              <w:left w:val="single" w:color="auto" w:sz="4" w:space="0"/>
              <w:bottom w:val="single" w:color="auto" w:sz="4" w:space="0"/>
              <w:right w:val="single" w:color="auto" w:sz="4" w:space="0"/>
            </w:tcBorders>
          </w:tcPr>
          <w:p w14:paraId="59FCD2A0">
            <w:pPr>
              <w:pStyle w:val="33"/>
              <w:rPr>
                <w:color w:val="auto"/>
              </w:rPr>
            </w:pPr>
            <w:r>
              <w:rPr>
                <w:color w:val="auto"/>
              </w:rPr>
              <w:t>/</w:t>
            </w:r>
          </w:p>
        </w:tc>
        <w:tc>
          <w:tcPr>
            <w:tcW w:w="1079" w:type="dxa"/>
            <w:vMerge w:val="continue"/>
            <w:tcBorders>
              <w:left w:val="single" w:color="auto" w:sz="4" w:space="0"/>
              <w:right w:val="single" w:color="auto" w:sz="4" w:space="0"/>
            </w:tcBorders>
            <w:vAlign w:val="center"/>
          </w:tcPr>
          <w:p w14:paraId="53291B44">
            <w:pPr>
              <w:pStyle w:val="33"/>
              <w:rPr>
                <w:color w:val="auto"/>
              </w:rPr>
            </w:pPr>
          </w:p>
        </w:tc>
      </w:tr>
      <w:tr w14:paraId="1B63F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tcBorders>
              <w:left w:val="single" w:color="auto" w:sz="4" w:space="0"/>
              <w:right w:val="single" w:color="auto" w:sz="4" w:space="0"/>
            </w:tcBorders>
            <w:vAlign w:val="center"/>
          </w:tcPr>
          <w:p w14:paraId="289E8ABF">
            <w:pPr>
              <w:pStyle w:val="33"/>
              <w:rPr>
                <w:color w:val="auto"/>
              </w:rPr>
            </w:pPr>
          </w:p>
        </w:tc>
        <w:tc>
          <w:tcPr>
            <w:tcW w:w="1559" w:type="dxa"/>
            <w:vMerge w:val="continue"/>
            <w:tcBorders>
              <w:left w:val="single" w:color="auto" w:sz="4" w:space="0"/>
              <w:right w:val="single" w:color="auto" w:sz="4" w:space="0"/>
            </w:tcBorders>
            <w:vAlign w:val="center"/>
          </w:tcPr>
          <w:p w14:paraId="653D8233">
            <w:pPr>
              <w:pStyle w:val="33"/>
              <w:rPr>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14:paraId="03B8BCF1">
            <w:pPr>
              <w:pStyle w:val="33"/>
              <w:rPr>
                <w:color w:val="auto"/>
              </w:rPr>
            </w:pPr>
            <w:r>
              <w:rPr>
                <w:color w:val="auto"/>
              </w:rPr>
              <w:t>垂直入渗</w:t>
            </w:r>
          </w:p>
        </w:tc>
        <w:tc>
          <w:tcPr>
            <w:tcW w:w="2268" w:type="dxa"/>
            <w:tcBorders>
              <w:top w:val="single" w:color="auto" w:sz="4" w:space="0"/>
              <w:left w:val="single" w:color="auto" w:sz="4" w:space="0"/>
              <w:bottom w:val="single" w:color="auto" w:sz="4" w:space="0"/>
              <w:right w:val="single" w:color="auto" w:sz="4" w:space="0"/>
            </w:tcBorders>
            <w:vAlign w:val="center"/>
          </w:tcPr>
          <w:p w14:paraId="613517EE">
            <w:pPr>
              <w:pStyle w:val="33"/>
              <w:rPr>
                <w:color w:val="auto"/>
              </w:rPr>
            </w:pPr>
            <w:r>
              <w:rPr>
                <w:color w:val="auto"/>
              </w:rPr>
              <w:t>pH</w:t>
            </w:r>
            <w:r>
              <w:rPr>
                <w:rFonts w:hint="eastAsia"/>
                <w:color w:val="auto"/>
              </w:rPr>
              <w:t>、</w:t>
            </w:r>
            <w:r>
              <w:rPr>
                <w:color w:val="auto"/>
              </w:rPr>
              <w:t>BOD5</w:t>
            </w:r>
            <w:r>
              <w:rPr>
                <w:rFonts w:hint="eastAsia"/>
                <w:color w:val="auto"/>
              </w:rPr>
              <w:t>、</w:t>
            </w:r>
            <w:r>
              <w:rPr>
                <w:color w:val="auto"/>
              </w:rPr>
              <w:t>COD</w:t>
            </w:r>
            <w:r>
              <w:rPr>
                <w:color w:val="auto"/>
                <w:vertAlign w:val="subscript"/>
              </w:rPr>
              <w:t>Cr</w:t>
            </w:r>
            <w:r>
              <w:rPr>
                <w:color w:val="auto"/>
              </w:rPr>
              <w:t>SS</w:t>
            </w:r>
            <w:r>
              <w:rPr>
                <w:rFonts w:hint="eastAsia"/>
                <w:color w:val="auto"/>
              </w:rPr>
              <w:t>、</w:t>
            </w:r>
            <w:r>
              <w:rPr>
                <w:color w:val="auto"/>
              </w:rPr>
              <w:t>氨氮</w:t>
            </w:r>
            <w:r>
              <w:rPr>
                <w:rFonts w:hint="eastAsia"/>
                <w:color w:val="auto"/>
              </w:rPr>
              <w:t>、</w:t>
            </w:r>
            <w:r>
              <w:rPr>
                <w:color w:val="auto"/>
              </w:rPr>
              <w:t>总氮</w:t>
            </w:r>
            <w:r>
              <w:rPr>
                <w:rFonts w:hint="eastAsia"/>
                <w:color w:val="auto"/>
              </w:rPr>
              <w:t>、</w:t>
            </w:r>
            <w:r>
              <w:rPr>
                <w:color w:val="auto"/>
              </w:rPr>
              <w:t>总磷</w:t>
            </w:r>
          </w:p>
        </w:tc>
        <w:tc>
          <w:tcPr>
            <w:tcW w:w="2268" w:type="dxa"/>
            <w:tcBorders>
              <w:top w:val="single" w:color="auto" w:sz="4" w:space="0"/>
              <w:left w:val="single" w:color="auto" w:sz="4" w:space="0"/>
              <w:bottom w:val="single" w:color="auto" w:sz="4" w:space="0"/>
              <w:right w:val="single" w:color="auto" w:sz="4" w:space="0"/>
            </w:tcBorders>
            <w:vAlign w:val="center"/>
          </w:tcPr>
          <w:p w14:paraId="4CE3F002">
            <w:pPr>
              <w:pStyle w:val="33"/>
              <w:rPr>
                <w:color w:val="auto"/>
              </w:rPr>
            </w:pPr>
            <w:r>
              <w:rPr>
                <w:color w:val="auto"/>
              </w:rPr>
              <w:t>COD</w:t>
            </w:r>
            <w:r>
              <w:rPr>
                <w:color w:val="auto"/>
                <w:vertAlign w:val="subscript"/>
              </w:rPr>
              <w:t>Cr</w:t>
            </w:r>
            <w:r>
              <w:rPr>
                <w:rFonts w:hint="eastAsia"/>
                <w:color w:val="auto"/>
              </w:rPr>
              <w:t>、</w:t>
            </w:r>
            <w:r>
              <w:rPr>
                <w:color w:val="auto"/>
              </w:rPr>
              <w:t>氨氮</w:t>
            </w:r>
          </w:p>
        </w:tc>
        <w:tc>
          <w:tcPr>
            <w:tcW w:w="1079" w:type="dxa"/>
            <w:vMerge w:val="continue"/>
            <w:tcBorders>
              <w:left w:val="single" w:color="auto" w:sz="4" w:space="0"/>
              <w:right w:val="single" w:color="auto" w:sz="4" w:space="0"/>
            </w:tcBorders>
            <w:vAlign w:val="center"/>
          </w:tcPr>
          <w:p w14:paraId="5F7B61CE">
            <w:pPr>
              <w:pStyle w:val="33"/>
              <w:rPr>
                <w:color w:val="auto"/>
              </w:rPr>
            </w:pPr>
          </w:p>
        </w:tc>
      </w:tr>
      <w:tr w14:paraId="797E3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8" w:type="dxa"/>
            <w:vMerge w:val="continue"/>
            <w:tcBorders>
              <w:left w:val="single" w:color="auto" w:sz="4" w:space="0"/>
              <w:right w:val="single" w:color="auto" w:sz="4" w:space="0"/>
            </w:tcBorders>
            <w:vAlign w:val="center"/>
          </w:tcPr>
          <w:p w14:paraId="65059D52">
            <w:pPr>
              <w:pStyle w:val="33"/>
              <w:rPr>
                <w:color w:val="auto"/>
              </w:rPr>
            </w:pPr>
          </w:p>
        </w:tc>
        <w:tc>
          <w:tcPr>
            <w:tcW w:w="1559" w:type="dxa"/>
            <w:vMerge w:val="continue"/>
            <w:tcBorders>
              <w:left w:val="single" w:color="auto" w:sz="4" w:space="0"/>
              <w:bottom w:val="single" w:color="auto" w:sz="4" w:space="0"/>
              <w:right w:val="single" w:color="auto" w:sz="4" w:space="0"/>
            </w:tcBorders>
            <w:vAlign w:val="center"/>
          </w:tcPr>
          <w:p w14:paraId="237132D9">
            <w:pPr>
              <w:pStyle w:val="33"/>
              <w:rPr>
                <w:color w:val="auto"/>
              </w:rPr>
            </w:pPr>
          </w:p>
        </w:tc>
        <w:tc>
          <w:tcPr>
            <w:tcW w:w="1134" w:type="dxa"/>
            <w:tcBorders>
              <w:top w:val="single" w:color="auto" w:sz="4" w:space="0"/>
              <w:left w:val="single" w:color="auto" w:sz="4" w:space="0"/>
              <w:bottom w:val="single" w:color="auto" w:sz="4" w:space="0"/>
              <w:right w:val="single" w:color="auto" w:sz="4" w:space="0"/>
            </w:tcBorders>
            <w:vAlign w:val="center"/>
          </w:tcPr>
          <w:p w14:paraId="48B8836D">
            <w:pPr>
              <w:pStyle w:val="33"/>
              <w:rPr>
                <w:color w:val="auto"/>
              </w:rPr>
            </w:pPr>
            <w:r>
              <w:rPr>
                <w:color w:val="auto"/>
              </w:rPr>
              <w:t>其他</w:t>
            </w:r>
          </w:p>
        </w:tc>
        <w:tc>
          <w:tcPr>
            <w:tcW w:w="2268" w:type="dxa"/>
            <w:tcBorders>
              <w:top w:val="single" w:color="auto" w:sz="4" w:space="0"/>
              <w:left w:val="single" w:color="auto" w:sz="4" w:space="0"/>
              <w:bottom w:val="single" w:color="auto" w:sz="4" w:space="0"/>
              <w:right w:val="single" w:color="auto" w:sz="4" w:space="0"/>
            </w:tcBorders>
            <w:vAlign w:val="center"/>
          </w:tcPr>
          <w:p w14:paraId="6996C935">
            <w:pPr>
              <w:pStyle w:val="33"/>
              <w:rPr>
                <w:color w:val="auto"/>
              </w:rPr>
            </w:pPr>
            <w:r>
              <w:rPr>
                <w:color w:val="auto"/>
              </w:rPr>
              <w:t>/</w:t>
            </w:r>
          </w:p>
        </w:tc>
        <w:tc>
          <w:tcPr>
            <w:tcW w:w="2268" w:type="dxa"/>
            <w:tcBorders>
              <w:top w:val="single" w:color="auto" w:sz="4" w:space="0"/>
              <w:left w:val="single" w:color="auto" w:sz="4" w:space="0"/>
              <w:bottom w:val="single" w:color="auto" w:sz="4" w:space="0"/>
              <w:right w:val="single" w:color="auto" w:sz="4" w:space="0"/>
            </w:tcBorders>
            <w:vAlign w:val="center"/>
          </w:tcPr>
          <w:p w14:paraId="58B1E393">
            <w:pPr>
              <w:pStyle w:val="33"/>
              <w:rPr>
                <w:color w:val="auto"/>
              </w:rPr>
            </w:pPr>
            <w:r>
              <w:rPr>
                <w:color w:val="auto"/>
              </w:rPr>
              <w:t>/</w:t>
            </w:r>
          </w:p>
        </w:tc>
        <w:tc>
          <w:tcPr>
            <w:tcW w:w="1079" w:type="dxa"/>
            <w:vMerge w:val="continue"/>
            <w:tcBorders>
              <w:left w:val="single" w:color="auto" w:sz="4" w:space="0"/>
              <w:right w:val="single" w:color="auto" w:sz="4" w:space="0"/>
            </w:tcBorders>
            <w:vAlign w:val="center"/>
          </w:tcPr>
          <w:p w14:paraId="3B7458C4">
            <w:pPr>
              <w:pStyle w:val="33"/>
              <w:rPr>
                <w:color w:val="auto"/>
              </w:rPr>
            </w:pPr>
          </w:p>
        </w:tc>
      </w:tr>
    </w:tbl>
    <w:p w14:paraId="3349CBF0">
      <w:pPr>
        <w:pStyle w:val="4"/>
        <w:rPr>
          <w:color w:val="auto"/>
        </w:rPr>
      </w:pPr>
      <w:bookmarkStart w:id="505" w:name="_Toc225216813"/>
      <w:r>
        <w:rPr>
          <w:rFonts w:hint="eastAsia"/>
          <w:color w:val="auto"/>
        </w:rPr>
        <w:t>情景设置</w:t>
      </w:r>
      <w:bookmarkEnd w:id="505"/>
    </w:p>
    <w:p w14:paraId="5EFEF10E">
      <w:pPr>
        <w:ind w:firstLine="480"/>
        <w:rPr>
          <w:color w:val="auto"/>
        </w:rPr>
      </w:pPr>
      <w:r>
        <w:rPr>
          <w:rFonts w:hint="eastAsia"/>
          <w:color w:val="auto"/>
        </w:rPr>
        <w:t>正常工况下，污水构筑物的防渗层良好，未发生破损，项目废水对土壤环境的影响不大。事故工况情景，</w:t>
      </w:r>
      <w:r>
        <w:rPr>
          <w:rFonts w:hint="eastAsia" w:cs="Times New Roman"/>
          <w:color w:val="auto"/>
        </w:rPr>
        <w:t>污水站集水池发生破损</w:t>
      </w:r>
      <w:r>
        <w:rPr>
          <w:color w:val="auto"/>
        </w:rPr>
        <w:t>，</w:t>
      </w:r>
      <w:r>
        <w:rPr>
          <w:rFonts w:hint="eastAsia"/>
          <w:color w:val="auto"/>
        </w:rPr>
        <w:t>废水渗入土壤中，</w:t>
      </w:r>
      <w:r>
        <w:rPr>
          <w:color w:val="auto"/>
        </w:rPr>
        <w:t>将会对土壤环境造成影响。</w:t>
      </w:r>
    </w:p>
    <w:p w14:paraId="30B186FC">
      <w:pPr>
        <w:pStyle w:val="4"/>
        <w:rPr>
          <w:color w:val="auto"/>
        </w:rPr>
      </w:pPr>
      <w:bookmarkStart w:id="506" w:name="_Toc225216814"/>
      <w:r>
        <w:rPr>
          <w:rFonts w:hint="eastAsia"/>
          <w:color w:val="auto"/>
        </w:rPr>
        <w:t>预测范围</w:t>
      </w:r>
      <w:bookmarkEnd w:id="506"/>
    </w:p>
    <w:p w14:paraId="25943296">
      <w:pPr>
        <w:ind w:firstLine="480"/>
        <w:rPr>
          <w:rFonts w:cs="Times New Roman"/>
          <w:color w:val="auto"/>
        </w:rPr>
      </w:pPr>
      <w:r>
        <w:rPr>
          <w:rFonts w:cs="Times New Roman"/>
          <w:color w:val="auto"/>
        </w:rPr>
        <w:t>以</w:t>
      </w:r>
      <w:r>
        <w:rPr>
          <w:rFonts w:hint="eastAsia" w:cs="Times New Roman"/>
          <w:color w:val="auto"/>
        </w:rPr>
        <w:t>污水站集水池</w:t>
      </w:r>
      <w:r>
        <w:rPr>
          <w:rFonts w:cs="Times New Roman"/>
          <w:color w:val="auto"/>
        </w:rPr>
        <w:t>破损处为起点（0m），预测污染物在垂直范围内的影响深度，根据场地条件，场地整平以后，包气带厚度范围约在</w:t>
      </w:r>
      <w:r>
        <w:rPr>
          <w:rFonts w:hint="eastAsia" w:cs="Times New Roman"/>
          <w:color w:val="auto"/>
        </w:rPr>
        <w:t>2.4</w:t>
      </w:r>
      <w:r>
        <w:rPr>
          <w:rFonts w:cs="Times New Roman"/>
          <w:color w:val="auto"/>
        </w:rPr>
        <w:t>~</w:t>
      </w:r>
      <w:r>
        <w:rPr>
          <w:rFonts w:hint="eastAsia" w:cs="Times New Roman"/>
          <w:color w:val="auto"/>
        </w:rPr>
        <w:t>3.7</w:t>
      </w:r>
      <w:r>
        <w:rPr>
          <w:rFonts w:cs="Times New Roman"/>
          <w:color w:val="auto"/>
        </w:rPr>
        <w:t>m，将预测终点设定为地下水水位埋深（潜水面）</w:t>
      </w:r>
      <w:r>
        <w:rPr>
          <w:rFonts w:hint="eastAsia" w:cs="Times New Roman"/>
          <w:color w:val="auto"/>
        </w:rPr>
        <w:t>2.4</w:t>
      </w:r>
      <w:r>
        <w:rPr>
          <w:rFonts w:cs="Times New Roman"/>
          <w:color w:val="auto"/>
        </w:rPr>
        <w:t>m处。模拟泄漏事故泄漏的污染物在0m~</w:t>
      </w:r>
      <w:r>
        <w:rPr>
          <w:rFonts w:hint="eastAsia" w:cs="Times New Roman"/>
          <w:color w:val="auto"/>
        </w:rPr>
        <w:t>-2.4</w:t>
      </w:r>
      <w:r>
        <w:rPr>
          <w:rFonts w:cs="Times New Roman"/>
          <w:color w:val="auto"/>
        </w:rPr>
        <w:t>m范围内的浓度分布情况。</w:t>
      </w:r>
    </w:p>
    <w:p w14:paraId="6BBDEACB">
      <w:pPr>
        <w:pStyle w:val="4"/>
        <w:rPr>
          <w:color w:val="auto"/>
        </w:rPr>
      </w:pPr>
      <w:bookmarkStart w:id="507" w:name="_Toc225216815"/>
      <w:r>
        <w:rPr>
          <w:rFonts w:hint="eastAsia"/>
          <w:color w:val="auto"/>
        </w:rPr>
        <w:t>预测时间</w:t>
      </w:r>
      <w:bookmarkEnd w:id="507"/>
    </w:p>
    <w:p w14:paraId="6FE5596A">
      <w:pPr>
        <w:ind w:firstLine="480"/>
        <w:rPr>
          <w:color w:val="auto"/>
        </w:rPr>
      </w:pPr>
      <w:r>
        <w:rPr>
          <w:rFonts w:hint="eastAsia" w:cs="Times New Roman"/>
          <w:color w:val="auto"/>
        </w:rPr>
        <w:t>污水站集水池发生泄漏事故</w:t>
      </w:r>
      <w:r>
        <w:rPr>
          <w:rFonts w:hint="eastAsia"/>
          <w:color w:val="auto"/>
        </w:rPr>
        <w:t>，排水速率变化异常天内发现并修复，泄漏事故时长为365天。模拟污水于包气带土壤中运移的过程。</w:t>
      </w:r>
    </w:p>
    <w:p w14:paraId="5316D192">
      <w:pPr>
        <w:pStyle w:val="4"/>
        <w:rPr>
          <w:color w:val="auto"/>
        </w:rPr>
      </w:pPr>
      <w:bookmarkStart w:id="508" w:name="_Toc225216816"/>
      <w:r>
        <w:rPr>
          <w:rFonts w:hint="eastAsia"/>
          <w:color w:val="auto"/>
        </w:rPr>
        <w:t>预测因子及源强</w:t>
      </w:r>
      <w:bookmarkEnd w:id="508"/>
    </w:p>
    <w:p w14:paraId="2D72AB8D">
      <w:pPr>
        <w:ind w:firstLine="480"/>
        <w:rPr>
          <w:color w:val="auto"/>
        </w:rPr>
      </w:pPr>
      <w:r>
        <w:rPr>
          <w:rFonts w:hint="eastAsia"/>
          <w:color w:val="auto"/>
        </w:rPr>
        <w:t>根据《环境影响评价技术导则 土壤环境（试行）》（HJ964-2018），污染影响型项目应根据环境影响识别出的特征因子选取关键预测因子。项目源强见下表。</w:t>
      </w:r>
    </w:p>
    <w:p w14:paraId="232C0E13">
      <w:pPr>
        <w:ind w:firstLine="480"/>
        <w:rPr>
          <w:color w:val="auto"/>
        </w:rPr>
      </w:pPr>
      <w:r>
        <w:rPr>
          <w:rFonts w:hint="eastAsia"/>
          <w:color w:val="auto"/>
        </w:rPr>
        <w:t>废水污染物垂直入渗影响分析的评价因子选取COD和NH</w:t>
      </w:r>
      <w:r>
        <w:rPr>
          <w:rFonts w:hint="eastAsia"/>
          <w:color w:val="auto"/>
          <w:vertAlign w:val="subscript"/>
        </w:rPr>
        <w:t>3</w:t>
      </w:r>
      <w:r>
        <w:rPr>
          <w:rFonts w:hint="eastAsia"/>
          <w:color w:val="auto"/>
        </w:rPr>
        <w:t>-N。</w:t>
      </w:r>
    </w:p>
    <w:p w14:paraId="6C24BE2D">
      <w:pPr>
        <w:pStyle w:val="7"/>
        <w:rPr>
          <w:color w:val="auto"/>
        </w:rPr>
      </w:pPr>
      <w:r>
        <w:rPr>
          <w:color w:val="auto"/>
        </w:rPr>
        <w:t>土壤预测因子及源强表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3"/>
        <w:gridCol w:w="4643"/>
      </w:tblGrid>
      <w:tr w14:paraId="3B4E4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blHeader/>
        </w:trPr>
        <w:tc>
          <w:tcPr>
            <w:tcW w:w="2500" w:type="pct"/>
            <w:vAlign w:val="center"/>
          </w:tcPr>
          <w:p w14:paraId="58A0A4EE">
            <w:pPr>
              <w:pStyle w:val="33"/>
              <w:rPr>
                <w:rFonts w:cs="Times New Roman"/>
                <w:caps/>
                <w:color w:val="auto"/>
              </w:rPr>
            </w:pPr>
            <w:r>
              <w:rPr>
                <w:color w:val="auto"/>
              </w:rPr>
              <w:t>因子</w:t>
            </w:r>
          </w:p>
        </w:tc>
        <w:tc>
          <w:tcPr>
            <w:tcW w:w="2500" w:type="pct"/>
            <w:vAlign w:val="center"/>
          </w:tcPr>
          <w:p w14:paraId="25E41D8C">
            <w:pPr>
              <w:pStyle w:val="33"/>
              <w:rPr>
                <w:rFonts w:cs="Times New Roman"/>
                <w:caps/>
                <w:color w:val="auto"/>
              </w:rPr>
            </w:pPr>
            <w:r>
              <w:rPr>
                <w:color w:val="auto"/>
              </w:rPr>
              <w:t>源强</w:t>
            </w:r>
          </w:p>
        </w:tc>
      </w:tr>
      <w:tr w14:paraId="0D6E0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45906EAD">
            <w:pPr>
              <w:pStyle w:val="33"/>
              <w:rPr>
                <w:rFonts w:cs="Times New Roman"/>
                <w:caps/>
                <w:color w:val="auto"/>
              </w:rPr>
            </w:pPr>
            <w:r>
              <w:rPr>
                <w:rFonts w:hint="eastAsia" w:cs="Times New Roman"/>
                <w:caps/>
                <w:color w:val="auto"/>
              </w:rPr>
              <w:t>COD</w:t>
            </w:r>
          </w:p>
        </w:tc>
        <w:tc>
          <w:tcPr>
            <w:tcW w:w="2500" w:type="pct"/>
          </w:tcPr>
          <w:p w14:paraId="50F2CB4C">
            <w:pPr>
              <w:pStyle w:val="33"/>
              <w:rPr>
                <w:rFonts w:cs="Times New Roman"/>
                <w:caps/>
                <w:color w:val="auto"/>
              </w:rPr>
            </w:pPr>
            <w:r>
              <w:rPr>
                <w:rFonts w:hint="eastAsia"/>
                <w:color w:val="auto"/>
              </w:rPr>
              <w:t>2700mg/L</w:t>
            </w:r>
          </w:p>
        </w:tc>
      </w:tr>
      <w:tr w14:paraId="5AEF3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50AB4BBD">
            <w:pPr>
              <w:pStyle w:val="33"/>
              <w:rPr>
                <w:rFonts w:cs="Times New Roman"/>
                <w:caps/>
                <w:color w:val="auto"/>
              </w:rPr>
            </w:pPr>
            <w:r>
              <w:rPr>
                <w:rFonts w:hint="eastAsia" w:cs="Times New Roman"/>
                <w:caps/>
                <w:color w:val="auto"/>
              </w:rPr>
              <w:t>NH</w:t>
            </w:r>
            <w:r>
              <w:rPr>
                <w:rFonts w:hint="eastAsia" w:cs="Times New Roman"/>
                <w:caps/>
                <w:color w:val="auto"/>
                <w:vertAlign w:val="subscript"/>
              </w:rPr>
              <w:t>3</w:t>
            </w:r>
            <w:r>
              <w:rPr>
                <w:rFonts w:hint="eastAsia" w:cs="Times New Roman"/>
                <w:caps/>
                <w:color w:val="auto"/>
              </w:rPr>
              <w:t>-N</w:t>
            </w:r>
          </w:p>
        </w:tc>
        <w:tc>
          <w:tcPr>
            <w:tcW w:w="2500" w:type="pct"/>
          </w:tcPr>
          <w:p w14:paraId="56858293">
            <w:pPr>
              <w:pStyle w:val="33"/>
              <w:rPr>
                <w:rFonts w:cs="Times New Roman"/>
                <w:caps/>
                <w:color w:val="auto"/>
              </w:rPr>
            </w:pPr>
            <w:r>
              <w:rPr>
                <w:rFonts w:hint="eastAsia"/>
                <w:color w:val="auto"/>
              </w:rPr>
              <w:t>4 mg/L</w:t>
            </w:r>
          </w:p>
        </w:tc>
      </w:tr>
    </w:tbl>
    <w:p w14:paraId="2DC6EC88">
      <w:pPr>
        <w:pStyle w:val="4"/>
        <w:rPr>
          <w:color w:val="auto"/>
        </w:rPr>
      </w:pPr>
      <w:bookmarkStart w:id="509" w:name="_Toc225216817"/>
      <w:r>
        <w:rPr>
          <w:rFonts w:hint="eastAsia"/>
          <w:color w:val="auto"/>
        </w:rPr>
        <w:t>评价标准</w:t>
      </w:r>
      <w:bookmarkEnd w:id="509"/>
    </w:p>
    <w:p w14:paraId="436CE21E">
      <w:pPr>
        <w:ind w:firstLine="480"/>
        <w:rPr>
          <w:color w:val="auto"/>
        </w:rPr>
      </w:pPr>
      <w:r>
        <w:rPr>
          <w:color w:val="auto"/>
        </w:rPr>
        <w:t>COD</w:t>
      </w:r>
      <w:r>
        <w:rPr>
          <w:rFonts w:hint="eastAsia"/>
          <w:color w:val="auto"/>
        </w:rPr>
        <w:t>、</w:t>
      </w:r>
      <w:r>
        <w:rPr>
          <w:color w:val="auto"/>
        </w:rPr>
        <w:t>NH</w:t>
      </w:r>
      <w:r>
        <w:rPr>
          <w:color w:val="auto"/>
          <w:vertAlign w:val="subscript"/>
        </w:rPr>
        <w:t>3</w:t>
      </w:r>
      <w:r>
        <w:rPr>
          <w:color w:val="auto"/>
        </w:rPr>
        <w:t>-N</w:t>
      </w:r>
      <w:r>
        <w:rPr>
          <w:rFonts w:hint="eastAsia"/>
          <w:color w:val="auto"/>
        </w:rPr>
        <w:t>无相应土壤环境质量标准，因此仅对评价因子进行影响程度分析。</w:t>
      </w:r>
    </w:p>
    <w:p w14:paraId="432B6207">
      <w:pPr>
        <w:pStyle w:val="4"/>
        <w:rPr>
          <w:color w:val="auto"/>
        </w:rPr>
      </w:pPr>
      <w:bookmarkStart w:id="510" w:name="_Toc225216818"/>
      <w:r>
        <w:rPr>
          <w:rFonts w:hint="eastAsia"/>
          <w:color w:val="auto"/>
        </w:rPr>
        <w:t>预测方法</w:t>
      </w:r>
      <w:bookmarkEnd w:id="510"/>
    </w:p>
    <w:p w14:paraId="6353EEA6">
      <w:pPr>
        <w:ind w:firstLine="480"/>
        <w:rPr>
          <w:rFonts w:cs="Times New Roman"/>
          <w:color w:val="auto"/>
        </w:rPr>
      </w:pPr>
      <w:r>
        <w:rPr>
          <w:rFonts w:cs="Times New Roman"/>
          <w:color w:val="auto"/>
        </w:rPr>
        <w:t>垂直入渗型采用《环境影响评价技术导则 土壤环境（试行）》（HJ 964-2018）中附录E推荐使用的预测方法。</w:t>
      </w:r>
    </w:p>
    <w:p w14:paraId="25F7443A">
      <w:pPr>
        <w:ind w:firstLine="480"/>
        <w:rPr>
          <w:rFonts w:cs="Times New Roman"/>
          <w:color w:val="auto"/>
        </w:rPr>
      </w:pPr>
      <w:r>
        <w:rPr>
          <w:rFonts w:cs="Times New Roman"/>
          <w:color w:val="auto"/>
        </w:rPr>
        <w:t>一维非饱和溶质垂向运移控制方程：</w:t>
      </w:r>
    </w:p>
    <w:p w14:paraId="1A012A75">
      <w:pPr>
        <w:ind w:firstLine="480"/>
        <w:rPr>
          <w:rFonts w:cs="Times New Roman"/>
          <w:color w:val="auto"/>
        </w:rPr>
      </w:pPr>
      <w:r>
        <w:rPr>
          <w:rFonts w:cs="Times New Roman"/>
          <w:color w:val="auto"/>
        </w:rPr>
        <w:drawing>
          <wp:inline distT="0" distB="0" distL="0" distR="0">
            <wp:extent cx="2495550" cy="581025"/>
            <wp:effectExtent l="0" t="0" r="3810" b="13335"/>
            <wp:docPr id="51168970" name="图片 51168970" descr="C:\Users\ADMINI~1\AppData\Local\Temp\156534486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68970" name="图片 51168970" descr="C:\Users\ADMINI~1\AppData\Local\Temp\1565344865(1).png"/>
                    <pic:cNvPicPr>
                      <a:picLocks noChangeAspect="1" noChangeArrowheads="1"/>
                    </pic:cNvPicPr>
                  </pic:nvPicPr>
                  <pic:blipFill>
                    <a:blip r:embed="rId112" cstate="print"/>
                    <a:srcRect/>
                    <a:stretch>
                      <a:fillRect/>
                    </a:stretch>
                  </pic:blipFill>
                  <pic:spPr>
                    <a:xfrm>
                      <a:off x="0" y="0"/>
                      <a:ext cx="2495550" cy="581025"/>
                    </a:xfrm>
                    <a:prstGeom prst="rect">
                      <a:avLst/>
                    </a:prstGeom>
                    <a:noFill/>
                    <a:ln>
                      <a:noFill/>
                    </a:ln>
                  </pic:spPr>
                </pic:pic>
              </a:graphicData>
            </a:graphic>
          </wp:inline>
        </w:drawing>
      </w:r>
    </w:p>
    <w:p w14:paraId="39C6859F">
      <w:pPr>
        <w:ind w:firstLine="480"/>
        <w:rPr>
          <w:rFonts w:cs="Times New Roman"/>
          <w:color w:val="auto"/>
        </w:rPr>
      </w:pPr>
      <w:r>
        <w:rPr>
          <w:rFonts w:cs="Times New Roman"/>
          <w:color w:val="auto"/>
        </w:rPr>
        <w:t>式中：c——污染物介质中的浓度，mg/L；</w:t>
      </w:r>
    </w:p>
    <w:p w14:paraId="10010AAB">
      <w:pPr>
        <w:ind w:left="720" w:leftChars="300" w:firstLine="480"/>
        <w:rPr>
          <w:rFonts w:cs="Times New Roman"/>
          <w:color w:val="auto"/>
        </w:rPr>
      </w:pPr>
      <w:r>
        <w:rPr>
          <w:rFonts w:cs="Times New Roman"/>
          <w:color w:val="auto"/>
        </w:rPr>
        <w:t>D</w:t>
      </w:r>
      <w:r>
        <w:rPr>
          <w:rFonts w:cs="Times New Roman"/>
          <w:color w:val="auto"/>
          <w:vertAlign w:val="subscript"/>
        </w:rPr>
        <w:t xml:space="preserve"> </w:t>
      </w:r>
      <w:r>
        <w:rPr>
          <w:rFonts w:cs="Times New Roman"/>
          <w:color w:val="auto"/>
        </w:rPr>
        <w:t>——弥散系数，m</w:t>
      </w:r>
      <w:r>
        <w:rPr>
          <w:rFonts w:cs="Times New Roman"/>
          <w:color w:val="auto"/>
          <w:vertAlign w:val="superscript"/>
        </w:rPr>
        <w:t>2</w:t>
      </w:r>
      <w:r>
        <w:rPr>
          <w:rFonts w:cs="Times New Roman"/>
          <w:color w:val="auto"/>
        </w:rPr>
        <w:t>/d；</w:t>
      </w:r>
    </w:p>
    <w:p w14:paraId="1302F6CC">
      <w:pPr>
        <w:ind w:left="720" w:leftChars="300" w:firstLine="480"/>
        <w:rPr>
          <w:rFonts w:cs="Times New Roman"/>
          <w:color w:val="auto"/>
        </w:rPr>
      </w:pPr>
      <w:r>
        <w:rPr>
          <w:rFonts w:cs="Times New Roman"/>
          <w:color w:val="auto"/>
        </w:rPr>
        <w:t>q——渗流速率，m/d；</w:t>
      </w:r>
    </w:p>
    <w:p w14:paraId="73C2BE2F">
      <w:pPr>
        <w:ind w:left="720" w:leftChars="300" w:firstLine="480"/>
        <w:rPr>
          <w:rFonts w:cs="Times New Roman"/>
          <w:color w:val="auto"/>
        </w:rPr>
      </w:pPr>
      <w:r>
        <w:rPr>
          <w:rFonts w:cs="Times New Roman"/>
          <w:color w:val="auto"/>
        </w:rPr>
        <w:t>z——沿z轴的距离，m；</w:t>
      </w:r>
    </w:p>
    <w:p w14:paraId="1106F542">
      <w:pPr>
        <w:ind w:left="720" w:leftChars="300" w:firstLine="480"/>
        <w:rPr>
          <w:rFonts w:cs="Times New Roman"/>
          <w:color w:val="auto"/>
        </w:rPr>
      </w:pPr>
      <w:r>
        <w:rPr>
          <w:rFonts w:cs="Times New Roman"/>
          <w:color w:val="auto"/>
        </w:rPr>
        <w:t>t——时间变量，d；</w:t>
      </w:r>
    </w:p>
    <w:p w14:paraId="52FB92E8">
      <w:pPr>
        <w:ind w:left="720" w:leftChars="300" w:firstLine="480"/>
        <w:rPr>
          <w:rFonts w:cs="Times New Roman"/>
          <w:color w:val="auto"/>
        </w:rPr>
      </w:pPr>
      <w:r>
        <w:rPr>
          <w:rFonts w:cs="Times New Roman"/>
          <w:color w:val="auto"/>
        </w:rPr>
        <w:t>θ——土壤含水率，%；</w:t>
      </w:r>
    </w:p>
    <w:p w14:paraId="183FB563">
      <w:pPr>
        <w:ind w:firstLine="480"/>
        <w:rPr>
          <w:rFonts w:cs="Times New Roman"/>
          <w:color w:val="auto"/>
        </w:rPr>
      </w:pPr>
      <w:r>
        <w:rPr>
          <w:rFonts w:cs="Times New Roman"/>
          <w:color w:val="auto"/>
        </w:rPr>
        <w:t>b）初始条件</w:t>
      </w:r>
    </w:p>
    <w:p w14:paraId="5F1E480B">
      <w:pPr>
        <w:ind w:firstLine="480"/>
        <w:jc w:val="center"/>
        <w:rPr>
          <w:rFonts w:cs="Times New Roman"/>
          <w:color w:val="auto"/>
        </w:rPr>
      </w:pPr>
      <w:r>
        <w:rPr>
          <w:rFonts w:cs="Times New Roman"/>
          <w:color w:val="auto"/>
        </w:rPr>
        <w:object>
          <v:shape id="_x0000_i1045" o:spt="75" type="#_x0000_t75" style="height:5pt;width:5pt;" o:ole="t" filled="f" o:preferrelative="t" stroked="f" coordsize="21600,21600">
            <v:path/>
            <v:fill on="f" focussize="0,0"/>
            <v:stroke on="f" joinstyle="miter"/>
            <v:imagedata r:id="rId114" o:title=""/>
            <o:lock v:ext="edit" aspectratio="t"/>
            <w10:wrap type="none"/>
            <w10:anchorlock/>
          </v:shape>
          <o:OLEObject Type="Embed" ProgID="Equation.3" ShapeID="_x0000_i1045" DrawAspect="Content" ObjectID="_1468075740" r:id="rId113">
            <o:LockedField>false</o:LockedField>
          </o:OLEObject>
        </w:object>
      </w:r>
      <w:r>
        <w:rPr>
          <w:rFonts w:cs="Times New Roman"/>
          <w:color w:val="auto"/>
        </w:rPr>
        <w:t>（</w:t>
      </w:r>
      <w:r>
        <w:rPr>
          <w:rFonts w:cs="Times New Roman"/>
          <w:color w:val="auto"/>
        </w:rPr>
        <w:object>
          <v:shape id="_x0000_i1046" o:spt="75" type="#_x0000_t75" style="height:5pt;width:5pt;" o:ole="t" filled="f" o:preferrelative="t" stroked="f" coordsize="21600,21600">
            <v:path/>
            <v:fill on="f" focussize="0,0"/>
            <v:stroke on="f" joinstyle="miter"/>
            <v:imagedata r:id="rId116" o:title=""/>
            <o:lock v:ext="edit" aspectratio="t"/>
            <w10:wrap type="none"/>
            <w10:anchorlock/>
          </v:shape>
          <o:OLEObject Type="Embed" ProgID="Equation.3" ShapeID="_x0000_i1046" DrawAspect="Content" ObjectID="_1468075741" r:id="rId115">
            <o:LockedField>false</o:LockedField>
          </o:OLEObject>
        </w:object>
      </w:r>
      <w:r>
        <w:rPr>
          <w:rFonts w:cs="Times New Roman"/>
          <w:color w:val="auto"/>
        </w:rPr>
        <w:t>，</w:t>
      </w:r>
      <w:r>
        <w:rPr>
          <w:rFonts w:cs="Times New Roman"/>
          <w:color w:val="auto"/>
        </w:rPr>
        <w:object>
          <v:shape id="_x0000_i1047" o:spt="75" type="#_x0000_t75" style="height:15.5pt;width:5pt;" o:ole="t" filled="f" o:preferrelative="t" stroked="f" coordsize="21600,21600">
            <v:path/>
            <v:fill on="f" focussize="0,0"/>
            <v:stroke on="f" joinstyle="miter"/>
            <v:imagedata r:id="rId118" o:title=""/>
            <o:lock v:ext="edit" aspectratio="t"/>
            <w10:wrap type="none"/>
            <w10:anchorlock/>
          </v:shape>
          <o:OLEObject Type="Embed" ProgID="Equation.3" ShapeID="_x0000_i1047" DrawAspect="Content" ObjectID="_1468075742" r:id="rId117">
            <o:LockedField>false</o:LockedField>
          </o:OLEObject>
        </w:object>
      </w:r>
      <w:r>
        <w:rPr>
          <w:rFonts w:cs="Times New Roman"/>
          <w:color w:val="auto"/>
        </w:rPr>
        <w:t>）=0    t=0，L≤</w:t>
      </w:r>
      <w:r>
        <w:rPr>
          <w:rFonts w:cs="Times New Roman"/>
          <w:color w:val="auto"/>
        </w:rPr>
        <w:object>
          <v:shape id="_x0000_i1048" o:spt="75" type="#_x0000_t75" style="height:5pt;width:5pt;" o:ole="t" filled="f" o:preferrelative="t" stroked="f" coordsize="21600,21600">
            <v:path/>
            <v:fill on="f" focussize="0,0"/>
            <v:stroke on="f" joinstyle="miter"/>
            <v:imagedata r:id="rId116" o:title=""/>
            <o:lock v:ext="edit" aspectratio="t"/>
            <w10:wrap type="none"/>
            <w10:anchorlock/>
          </v:shape>
          <o:OLEObject Type="Embed" ProgID="Equation.3" ShapeID="_x0000_i1048" DrawAspect="Content" ObjectID="_1468075743" r:id="rId119">
            <o:LockedField>false</o:LockedField>
          </o:OLEObject>
        </w:object>
      </w:r>
      <w:r>
        <w:rPr>
          <w:rFonts w:cs="Times New Roman"/>
          <w:color w:val="auto"/>
        </w:rPr>
        <w:t>＜0</w:t>
      </w:r>
    </w:p>
    <w:p w14:paraId="27BEA6DD">
      <w:pPr>
        <w:ind w:firstLine="480"/>
        <w:rPr>
          <w:rFonts w:cs="Times New Roman"/>
          <w:color w:val="auto"/>
        </w:rPr>
      </w:pPr>
      <w:r>
        <w:rPr>
          <w:rFonts w:cs="Times New Roman"/>
          <w:color w:val="auto"/>
        </w:rPr>
        <w:t>c）边界条件</w:t>
      </w:r>
    </w:p>
    <w:p w14:paraId="58143018">
      <w:pPr>
        <w:ind w:firstLine="480"/>
        <w:rPr>
          <w:rFonts w:cs="Times New Roman"/>
          <w:color w:val="auto"/>
        </w:rPr>
      </w:pPr>
      <w:r>
        <w:rPr>
          <w:rFonts w:cs="Times New Roman"/>
          <w:color w:val="auto"/>
        </w:rPr>
        <w:t>第一类Dirichlet边界条件：</w:t>
      </w:r>
    </w:p>
    <w:p w14:paraId="1985F152">
      <w:pPr>
        <w:ind w:firstLine="480"/>
        <w:jc w:val="center"/>
        <w:rPr>
          <w:rFonts w:cs="Times New Roman"/>
          <w:color w:val="auto"/>
        </w:rPr>
      </w:pPr>
      <w:r>
        <w:rPr>
          <w:rFonts w:cs="Times New Roman"/>
          <w:color w:val="auto"/>
        </w:rPr>
        <w:object>
          <v:shape id="_x0000_i1049" o:spt="75" type="#_x0000_t75" style="height:5pt;width:5pt;" o:ole="t" filled="f" o:preferrelative="t" stroked="f" coordsize="21600,21600">
            <v:path/>
            <v:fill on="f" focussize="0,0"/>
            <v:stroke on="f" joinstyle="miter"/>
            <v:imagedata r:id="rId114" o:title=""/>
            <o:lock v:ext="edit" aspectratio="t"/>
            <w10:wrap type="none"/>
            <w10:anchorlock/>
          </v:shape>
          <o:OLEObject Type="Embed" ProgID="Equation.3" ShapeID="_x0000_i1049" DrawAspect="Content" ObjectID="_1468075744" r:id="rId120">
            <o:LockedField>false</o:LockedField>
          </o:OLEObject>
        </w:object>
      </w:r>
      <w:r>
        <w:rPr>
          <w:rFonts w:cs="Times New Roman"/>
          <w:color w:val="auto"/>
        </w:rPr>
        <w:t>（</w:t>
      </w:r>
      <w:r>
        <w:rPr>
          <w:rFonts w:cs="Times New Roman"/>
          <w:color w:val="auto"/>
        </w:rPr>
        <w:object>
          <v:shape id="_x0000_i1050" o:spt="75" type="#_x0000_t75" style="height:5pt;width:5pt;" o:ole="t" filled="f" o:preferrelative="t" stroked="f" coordsize="21600,21600">
            <v:path/>
            <v:fill on="f" focussize="0,0"/>
            <v:stroke on="f" joinstyle="miter"/>
            <v:imagedata r:id="rId116" o:title=""/>
            <o:lock v:ext="edit" aspectratio="t"/>
            <w10:wrap type="none"/>
            <w10:anchorlock/>
          </v:shape>
          <o:OLEObject Type="Embed" ProgID="Equation.3" ShapeID="_x0000_i1050" DrawAspect="Content" ObjectID="_1468075745" r:id="rId121">
            <o:LockedField>false</o:LockedField>
          </o:OLEObject>
        </w:object>
      </w:r>
      <w:r>
        <w:rPr>
          <w:rFonts w:cs="Times New Roman"/>
          <w:color w:val="auto"/>
        </w:rPr>
        <w:t>，</w:t>
      </w:r>
      <w:r>
        <w:rPr>
          <w:rFonts w:cs="Times New Roman"/>
          <w:color w:val="auto"/>
        </w:rPr>
        <w:object>
          <v:shape id="_x0000_i1051" o:spt="75" type="#_x0000_t75" style="height:15.5pt;width:5pt;" o:ole="t" filled="f" o:preferrelative="t" stroked="f" coordsize="21600,21600">
            <v:path/>
            <v:fill on="f" focussize="0,0"/>
            <v:stroke on="f" joinstyle="miter"/>
            <v:imagedata r:id="rId118" o:title=""/>
            <o:lock v:ext="edit" aspectratio="t"/>
            <w10:wrap type="none"/>
            <w10:anchorlock/>
          </v:shape>
          <o:OLEObject Type="Embed" ProgID="Equation.3" ShapeID="_x0000_i1051" DrawAspect="Content" ObjectID="_1468075746" r:id="rId122">
            <o:LockedField>false</o:LockedField>
          </o:OLEObject>
        </w:object>
      </w:r>
      <w:r>
        <w:rPr>
          <w:rFonts w:cs="Times New Roman"/>
          <w:color w:val="auto"/>
        </w:rPr>
        <w:t>）=</w:t>
      </w:r>
      <w:r>
        <w:rPr>
          <w:rFonts w:cs="Times New Roman"/>
          <w:color w:val="auto"/>
        </w:rPr>
        <w:object>
          <v:shape id="_x0000_i1052" o:spt="75" type="#_x0000_t75" style="height:5pt;width:5pt;" o:ole="t" filled="f" o:preferrelative="t" stroked="f" coordsize="21600,21600">
            <v:path/>
            <v:fill on="f" focussize="0,0"/>
            <v:stroke on="f" joinstyle="miter"/>
            <v:imagedata r:id="rId114" o:title=""/>
            <o:lock v:ext="edit" aspectratio="t"/>
            <w10:wrap type="none"/>
            <w10:anchorlock/>
          </v:shape>
          <o:OLEObject Type="Embed" ProgID="Equation.3" ShapeID="_x0000_i1052" DrawAspect="Content" ObjectID="_1468075747" r:id="rId123">
            <o:LockedField>false</o:LockedField>
          </o:OLEObject>
        </w:object>
      </w:r>
      <w:r>
        <w:rPr>
          <w:rFonts w:cs="Times New Roman"/>
          <w:color w:val="auto"/>
          <w:vertAlign w:val="subscript"/>
        </w:rPr>
        <w:t xml:space="preserve">0           </w:t>
      </w:r>
      <w:r>
        <w:rPr>
          <w:rFonts w:cs="Times New Roman"/>
          <w:color w:val="auto"/>
        </w:rPr>
        <w:t>t＞0，</w:t>
      </w:r>
      <w:r>
        <w:rPr>
          <w:rFonts w:cs="Times New Roman"/>
          <w:color w:val="auto"/>
        </w:rPr>
        <w:object>
          <v:shape id="_x0000_i1053" o:spt="75" type="#_x0000_t75" style="height:5pt;width:5pt;" o:ole="t" filled="f" o:preferrelative="t" stroked="f" coordsize="21600,21600">
            <v:path/>
            <v:fill on="f" focussize="0,0"/>
            <v:stroke on="f" joinstyle="miter"/>
            <v:imagedata r:id="rId116" o:title=""/>
            <o:lock v:ext="edit" aspectratio="t"/>
            <w10:wrap type="none"/>
            <w10:anchorlock/>
          </v:shape>
          <o:OLEObject Type="Embed" ProgID="Equation.3" ShapeID="_x0000_i1053" DrawAspect="Content" ObjectID="_1468075748" r:id="rId124">
            <o:LockedField>false</o:LockedField>
          </o:OLEObject>
        </w:object>
      </w:r>
      <w:r>
        <w:rPr>
          <w:rFonts w:cs="Times New Roman"/>
          <w:color w:val="auto"/>
        </w:rPr>
        <w:t>=0</w:t>
      </w:r>
    </w:p>
    <w:p w14:paraId="4287A025">
      <w:pPr>
        <w:ind w:firstLine="480"/>
        <w:rPr>
          <w:rFonts w:cs="Times New Roman"/>
          <w:color w:val="auto"/>
        </w:rPr>
      </w:pPr>
      <w:r>
        <w:rPr>
          <w:rFonts w:cs="Times New Roman"/>
          <w:color w:val="auto"/>
        </w:rPr>
        <w:t>第二类Neumann零梯度边界：</w:t>
      </w:r>
    </w:p>
    <w:p w14:paraId="68177E9C">
      <w:pPr>
        <w:ind w:firstLine="480"/>
        <w:jc w:val="center"/>
        <w:rPr>
          <w:rFonts w:cs="Times New Roman"/>
          <w:color w:val="auto"/>
        </w:rPr>
      </w:pPr>
      <w:r>
        <w:rPr>
          <w:rFonts w:cs="Times New Roman"/>
          <w:color w:val="auto"/>
        </w:rPr>
        <w:object>
          <v:shape id="_x0000_i1054" o:spt="75" type="#_x0000_t75" style="height:30.5pt;width:72pt;" o:ole="t" filled="f" o:preferrelative="t" stroked="f" coordsize="21600,21600">
            <v:path/>
            <v:fill on="f" focussize="0,0"/>
            <v:stroke on="f" joinstyle="miter"/>
            <v:imagedata r:id="rId126" o:title=""/>
            <o:lock v:ext="edit" aspectratio="t"/>
            <w10:wrap type="none"/>
            <w10:anchorlock/>
          </v:shape>
          <o:OLEObject Type="Embed" ProgID="Equation.3" ShapeID="_x0000_i1054" DrawAspect="Content" ObjectID="_1468075749" r:id="rId125">
            <o:LockedField>false</o:LockedField>
          </o:OLEObject>
        </w:object>
      </w:r>
      <w:r>
        <w:rPr>
          <w:rFonts w:cs="Times New Roman"/>
          <w:color w:val="auto"/>
        </w:rPr>
        <w:t xml:space="preserve">       t＞0，</w:t>
      </w:r>
      <w:r>
        <w:rPr>
          <w:rFonts w:cs="Times New Roman"/>
          <w:color w:val="auto"/>
          <w:position w:val="-4"/>
        </w:rPr>
        <w:object>
          <v:shape id="_x0000_i1055" o:spt="75" type="#_x0000_t75" style="height:5pt;width:5pt;" o:ole="t" filled="f" o:preferrelative="t" stroked="f" coordsize="21600,21600">
            <v:path/>
            <v:fill on="f" focussize="0,0"/>
            <v:stroke on="f" joinstyle="miter"/>
            <v:imagedata r:id="rId116" o:title=""/>
            <o:lock v:ext="edit" aspectratio="t"/>
            <w10:wrap type="none"/>
            <w10:anchorlock/>
          </v:shape>
          <o:OLEObject Type="Embed" ProgID="Equation.3" ShapeID="_x0000_i1055" DrawAspect="Content" ObjectID="_1468075750" r:id="rId127">
            <o:LockedField>false</o:LockedField>
          </o:OLEObject>
        </w:object>
      </w:r>
      <w:r>
        <w:rPr>
          <w:rFonts w:cs="Times New Roman"/>
          <w:color w:val="auto"/>
        </w:rPr>
        <w:t>=L</w:t>
      </w:r>
    </w:p>
    <w:p w14:paraId="68611856">
      <w:pPr>
        <w:pStyle w:val="7"/>
        <w:rPr>
          <w:color w:val="auto"/>
        </w:rPr>
      </w:pPr>
      <w:r>
        <w:rPr>
          <w:color w:val="auto"/>
        </w:rPr>
        <w:t>垂直入渗预测过程参数</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15"/>
        <w:gridCol w:w="1599"/>
        <w:gridCol w:w="1279"/>
        <w:gridCol w:w="1121"/>
        <w:gridCol w:w="1248"/>
        <w:gridCol w:w="2764"/>
      </w:tblGrid>
      <w:tr w14:paraId="59A74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11" w:type="pct"/>
            <w:vMerge w:val="restart"/>
            <w:vAlign w:val="center"/>
          </w:tcPr>
          <w:p w14:paraId="6FEF8A22">
            <w:pPr>
              <w:pStyle w:val="33"/>
              <w:rPr>
                <w:color w:val="auto"/>
              </w:rPr>
            </w:pPr>
            <w:r>
              <w:rPr>
                <w:color w:val="auto"/>
              </w:rPr>
              <w:t>包气</w:t>
            </w:r>
            <w:r>
              <w:rPr>
                <w:rFonts w:hint="eastAsia"/>
                <w:color w:val="auto"/>
              </w:rPr>
              <w:t>带</w:t>
            </w:r>
          </w:p>
        </w:tc>
        <w:tc>
          <w:tcPr>
            <w:tcW w:w="876" w:type="pct"/>
            <w:vAlign w:val="center"/>
          </w:tcPr>
          <w:p w14:paraId="539333F6">
            <w:pPr>
              <w:pStyle w:val="33"/>
              <w:rPr>
                <w:color w:val="auto"/>
              </w:rPr>
            </w:pPr>
            <w:r>
              <w:rPr>
                <w:color w:val="auto"/>
              </w:rPr>
              <w:t>垂向弥散</w:t>
            </w:r>
            <w:r>
              <w:rPr>
                <w:rFonts w:hint="eastAsia"/>
                <w:color w:val="auto"/>
              </w:rPr>
              <w:t>系数</w:t>
            </w:r>
          </w:p>
        </w:tc>
        <w:tc>
          <w:tcPr>
            <w:tcW w:w="701" w:type="pct"/>
            <w:vAlign w:val="center"/>
          </w:tcPr>
          <w:p w14:paraId="513D36B6">
            <w:pPr>
              <w:pStyle w:val="33"/>
              <w:rPr>
                <w:color w:val="auto"/>
              </w:rPr>
            </w:pPr>
            <w:r>
              <w:rPr>
                <w:color w:val="auto"/>
              </w:rPr>
              <w:t>渗流速率</w:t>
            </w:r>
          </w:p>
        </w:tc>
        <w:tc>
          <w:tcPr>
            <w:tcW w:w="614" w:type="pct"/>
            <w:vAlign w:val="center"/>
          </w:tcPr>
          <w:p w14:paraId="3468D5DC">
            <w:pPr>
              <w:pStyle w:val="33"/>
              <w:rPr>
                <w:color w:val="auto"/>
              </w:rPr>
            </w:pPr>
            <w:r>
              <w:rPr>
                <w:color w:val="auto"/>
              </w:rPr>
              <w:t>预测深度</w:t>
            </w:r>
          </w:p>
        </w:tc>
        <w:tc>
          <w:tcPr>
            <w:tcW w:w="684" w:type="pct"/>
            <w:vAlign w:val="center"/>
          </w:tcPr>
          <w:p w14:paraId="34E1286C">
            <w:pPr>
              <w:pStyle w:val="33"/>
              <w:rPr>
                <w:color w:val="auto"/>
              </w:rPr>
            </w:pPr>
            <w:r>
              <w:rPr>
                <w:color w:val="auto"/>
              </w:rPr>
              <w:t>土壤含水率</w:t>
            </w:r>
          </w:p>
        </w:tc>
        <w:tc>
          <w:tcPr>
            <w:tcW w:w="1514" w:type="pct"/>
            <w:vMerge w:val="restart"/>
            <w:vAlign w:val="center"/>
          </w:tcPr>
          <w:p w14:paraId="3CD8865C">
            <w:pPr>
              <w:pStyle w:val="33"/>
              <w:rPr>
                <w:color w:val="auto"/>
              </w:rPr>
            </w:pPr>
            <w:r>
              <w:rPr>
                <w:color w:val="auto"/>
              </w:rPr>
              <w:t>备注</w:t>
            </w:r>
          </w:p>
        </w:tc>
      </w:tr>
      <w:tr w14:paraId="01E0D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11" w:type="pct"/>
            <w:vMerge w:val="continue"/>
            <w:vAlign w:val="center"/>
          </w:tcPr>
          <w:p w14:paraId="01D1556E">
            <w:pPr>
              <w:pStyle w:val="33"/>
              <w:rPr>
                <w:color w:val="auto"/>
              </w:rPr>
            </w:pPr>
          </w:p>
        </w:tc>
        <w:tc>
          <w:tcPr>
            <w:tcW w:w="876" w:type="pct"/>
            <w:vAlign w:val="center"/>
          </w:tcPr>
          <w:p w14:paraId="56C71BF9">
            <w:pPr>
              <w:pStyle w:val="33"/>
              <w:rPr>
                <w:color w:val="auto"/>
              </w:rPr>
            </w:pPr>
            <w:r>
              <w:rPr>
                <w:color w:val="auto"/>
              </w:rPr>
              <w:t>m</w:t>
            </w:r>
            <w:r>
              <w:rPr>
                <w:color w:val="auto"/>
                <w:vertAlign w:val="superscript"/>
              </w:rPr>
              <w:t>2</w:t>
            </w:r>
            <w:r>
              <w:rPr>
                <w:color w:val="auto"/>
              </w:rPr>
              <w:t>/d</w:t>
            </w:r>
          </w:p>
        </w:tc>
        <w:tc>
          <w:tcPr>
            <w:tcW w:w="701" w:type="pct"/>
            <w:vAlign w:val="center"/>
          </w:tcPr>
          <w:p w14:paraId="2F891672">
            <w:pPr>
              <w:pStyle w:val="33"/>
              <w:rPr>
                <w:color w:val="auto"/>
              </w:rPr>
            </w:pPr>
            <w:r>
              <w:rPr>
                <w:color w:val="auto"/>
              </w:rPr>
              <w:t>m/d</w:t>
            </w:r>
          </w:p>
        </w:tc>
        <w:tc>
          <w:tcPr>
            <w:tcW w:w="614" w:type="pct"/>
            <w:vAlign w:val="center"/>
          </w:tcPr>
          <w:p w14:paraId="392EEEFA">
            <w:pPr>
              <w:pStyle w:val="33"/>
              <w:rPr>
                <w:color w:val="auto"/>
              </w:rPr>
            </w:pPr>
            <w:r>
              <w:rPr>
                <w:color w:val="auto"/>
              </w:rPr>
              <w:t>m</w:t>
            </w:r>
          </w:p>
        </w:tc>
        <w:tc>
          <w:tcPr>
            <w:tcW w:w="684" w:type="pct"/>
            <w:vAlign w:val="center"/>
          </w:tcPr>
          <w:p w14:paraId="5892C54F">
            <w:pPr>
              <w:pStyle w:val="33"/>
              <w:rPr>
                <w:color w:val="auto"/>
              </w:rPr>
            </w:pPr>
            <w:r>
              <w:rPr>
                <w:color w:val="auto"/>
              </w:rPr>
              <w:t>%</w:t>
            </w:r>
          </w:p>
        </w:tc>
        <w:tc>
          <w:tcPr>
            <w:tcW w:w="1514" w:type="pct"/>
            <w:vMerge w:val="continue"/>
            <w:vAlign w:val="center"/>
          </w:tcPr>
          <w:p w14:paraId="11A85566">
            <w:pPr>
              <w:pStyle w:val="33"/>
              <w:rPr>
                <w:color w:val="auto"/>
              </w:rPr>
            </w:pPr>
          </w:p>
        </w:tc>
      </w:tr>
      <w:tr w14:paraId="06BB6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611" w:type="pct"/>
            <w:vAlign w:val="center"/>
          </w:tcPr>
          <w:p w14:paraId="2A2C8141">
            <w:pPr>
              <w:pStyle w:val="33"/>
              <w:rPr>
                <w:color w:val="auto"/>
              </w:rPr>
            </w:pPr>
            <w:r>
              <w:rPr>
                <w:color w:val="auto"/>
              </w:rPr>
              <w:t>第四系覆盖层</w:t>
            </w:r>
          </w:p>
        </w:tc>
        <w:tc>
          <w:tcPr>
            <w:tcW w:w="876" w:type="pct"/>
            <w:vAlign w:val="center"/>
          </w:tcPr>
          <w:p w14:paraId="08675909">
            <w:pPr>
              <w:pStyle w:val="33"/>
              <w:rPr>
                <w:color w:val="auto"/>
              </w:rPr>
            </w:pPr>
            <w:r>
              <w:rPr>
                <w:rFonts w:hint="eastAsia"/>
                <w:color w:val="auto"/>
              </w:rPr>
              <w:t>0.00987</w:t>
            </w:r>
          </w:p>
        </w:tc>
        <w:tc>
          <w:tcPr>
            <w:tcW w:w="701" w:type="pct"/>
            <w:vAlign w:val="center"/>
          </w:tcPr>
          <w:p w14:paraId="7FCF5E25">
            <w:pPr>
              <w:pStyle w:val="33"/>
              <w:rPr>
                <w:color w:val="auto"/>
              </w:rPr>
            </w:pPr>
            <w:r>
              <w:rPr>
                <w:rFonts w:hint="eastAsia"/>
                <w:color w:val="auto"/>
              </w:rPr>
              <w:t>0.144</w:t>
            </w:r>
          </w:p>
        </w:tc>
        <w:tc>
          <w:tcPr>
            <w:tcW w:w="614" w:type="pct"/>
            <w:vAlign w:val="center"/>
          </w:tcPr>
          <w:p w14:paraId="515BB444">
            <w:pPr>
              <w:pStyle w:val="33"/>
              <w:rPr>
                <w:color w:val="auto"/>
              </w:rPr>
            </w:pPr>
            <w:r>
              <w:rPr>
                <w:rFonts w:hint="eastAsia"/>
                <w:color w:val="auto"/>
              </w:rPr>
              <w:t>2.4</w:t>
            </w:r>
          </w:p>
        </w:tc>
        <w:tc>
          <w:tcPr>
            <w:tcW w:w="684" w:type="pct"/>
            <w:vAlign w:val="center"/>
          </w:tcPr>
          <w:p w14:paraId="461F743D">
            <w:pPr>
              <w:pStyle w:val="33"/>
              <w:rPr>
                <w:color w:val="auto"/>
              </w:rPr>
            </w:pPr>
            <w:r>
              <w:rPr>
                <w:rFonts w:hint="eastAsia"/>
                <w:color w:val="auto"/>
              </w:rPr>
              <w:t>24</w:t>
            </w:r>
          </w:p>
        </w:tc>
        <w:tc>
          <w:tcPr>
            <w:tcW w:w="1514" w:type="pct"/>
            <w:vAlign w:val="center"/>
          </w:tcPr>
          <w:p w14:paraId="3FBB1257">
            <w:pPr>
              <w:pStyle w:val="33"/>
              <w:rPr>
                <w:color w:val="auto"/>
              </w:rPr>
            </w:pPr>
            <w:r>
              <w:rPr>
                <w:color w:val="auto"/>
              </w:rPr>
              <w:t>土壤含水率</w:t>
            </w:r>
            <w:r>
              <w:rPr>
                <w:rFonts w:hint="eastAsia"/>
                <w:color w:val="auto"/>
              </w:rPr>
              <w:t>和垂向弥散系数</w:t>
            </w:r>
            <w:r>
              <w:rPr>
                <w:color w:val="auto"/>
              </w:rPr>
              <w:t>查找经验值获得</w:t>
            </w:r>
          </w:p>
        </w:tc>
      </w:tr>
    </w:tbl>
    <w:p w14:paraId="3E5DB9BB">
      <w:pPr>
        <w:pStyle w:val="4"/>
        <w:rPr>
          <w:color w:val="auto"/>
        </w:rPr>
      </w:pPr>
      <w:bookmarkStart w:id="511" w:name="_Toc225216819"/>
      <w:r>
        <w:rPr>
          <w:rFonts w:hint="eastAsia"/>
          <w:color w:val="auto"/>
        </w:rPr>
        <w:t>预测结果</w:t>
      </w:r>
      <w:bookmarkEnd w:id="511"/>
    </w:p>
    <w:p w14:paraId="3B73B427">
      <w:pPr>
        <w:ind w:firstLine="480"/>
        <w:rPr>
          <w:color w:val="auto"/>
        </w:rPr>
      </w:pPr>
      <w:r>
        <w:rPr>
          <w:rFonts w:hint="eastAsia"/>
          <w:color w:val="auto"/>
        </w:rPr>
        <w:t>根据情景假设，纸浆车间污水管道</w:t>
      </w:r>
      <w:r>
        <w:rPr>
          <w:color w:val="auto"/>
        </w:rPr>
        <w:t>破损，</w:t>
      </w:r>
      <w:r>
        <w:rPr>
          <w:rFonts w:hint="eastAsia"/>
          <w:color w:val="auto"/>
        </w:rPr>
        <w:t>废水渗入土壤中，根据预测表明，对土壤影响随着时间增加，污染物积累也相应增加，</w:t>
      </w:r>
      <w:r>
        <w:rPr>
          <w:color w:val="auto"/>
        </w:rPr>
        <w:t>将会对土壤环境造成影响</w:t>
      </w:r>
      <w:r>
        <w:rPr>
          <w:rFonts w:hint="eastAsia"/>
          <w:color w:val="auto"/>
        </w:rPr>
        <w:t>。</w:t>
      </w:r>
      <w:r>
        <w:rPr>
          <w:color w:val="auto"/>
        </w:rPr>
        <w:t>COD</w:t>
      </w:r>
      <w:r>
        <w:rPr>
          <w:rFonts w:hint="eastAsia"/>
          <w:color w:val="auto"/>
        </w:rPr>
        <w:t>、</w:t>
      </w:r>
      <w:r>
        <w:rPr>
          <w:color w:val="auto"/>
        </w:rPr>
        <w:t>NH</w:t>
      </w:r>
      <w:r>
        <w:rPr>
          <w:color w:val="auto"/>
          <w:vertAlign w:val="subscript"/>
        </w:rPr>
        <w:t>3</w:t>
      </w:r>
      <w:r>
        <w:rPr>
          <w:color w:val="auto"/>
        </w:rPr>
        <w:t>-N</w:t>
      </w:r>
      <w:r>
        <w:rPr>
          <w:rFonts w:hint="eastAsia"/>
          <w:color w:val="auto"/>
        </w:rPr>
        <w:t>无相应土壤环境质量标准，仅做参考值。</w:t>
      </w:r>
    </w:p>
    <w:p w14:paraId="344F18A0">
      <w:pPr>
        <w:ind w:firstLine="480"/>
        <w:rPr>
          <w:color w:val="auto"/>
        </w:rPr>
      </w:pPr>
      <w:r>
        <w:rPr>
          <w:rFonts w:hint="eastAsia"/>
          <w:color w:val="auto"/>
        </w:rPr>
        <w:t>1）COD预测结果</w:t>
      </w:r>
    </w:p>
    <w:tbl>
      <w:tblPr>
        <w:tblStyle w:val="26"/>
        <w:tblW w:w="0" w:type="auto"/>
        <w:tblInd w:w="0" w:type="dxa"/>
        <w:tblLayout w:type="autofit"/>
        <w:tblCellMar>
          <w:top w:w="0" w:type="dxa"/>
          <w:left w:w="108" w:type="dxa"/>
          <w:bottom w:w="0" w:type="dxa"/>
          <w:right w:w="108" w:type="dxa"/>
        </w:tblCellMar>
      </w:tblPr>
      <w:tblGrid>
        <w:gridCol w:w="9286"/>
      </w:tblGrid>
      <w:tr w14:paraId="4BFBA851">
        <w:tblPrEx>
          <w:tblCellMar>
            <w:top w:w="0" w:type="dxa"/>
            <w:left w:w="108" w:type="dxa"/>
            <w:bottom w:w="0" w:type="dxa"/>
            <w:right w:w="108" w:type="dxa"/>
          </w:tblCellMar>
        </w:tblPrEx>
        <w:tc>
          <w:tcPr>
            <w:tcW w:w="9286" w:type="dxa"/>
          </w:tcPr>
          <w:p w14:paraId="5970806D">
            <w:pPr>
              <w:ind w:firstLine="0" w:firstLineChars="0"/>
              <w:jc w:val="center"/>
              <w:rPr>
                <w:color w:val="auto"/>
              </w:rPr>
            </w:pPr>
            <w:r>
              <w:rPr>
                <w:color w:val="auto"/>
              </w:rPr>
              <w:drawing>
                <wp:inline distT="0" distB="0" distL="0" distR="0">
                  <wp:extent cx="5409565" cy="2228850"/>
                  <wp:effectExtent l="0" t="0" r="635" b="0"/>
                  <wp:docPr id="13071882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188213" name="图片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a:xfrm>
                            <a:off x="0" y="0"/>
                            <a:ext cx="5419460" cy="2232692"/>
                          </a:xfrm>
                          <a:prstGeom prst="rect">
                            <a:avLst/>
                          </a:prstGeom>
                          <a:noFill/>
                        </pic:spPr>
                      </pic:pic>
                    </a:graphicData>
                  </a:graphic>
                </wp:inline>
              </w:drawing>
            </w:r>
          </w:p>
        </w:tc>
      </w:tr>
      <w:tr w14:paraId="7765B032">
        <w:tblPrEx>
          <w:tblCellMar>
            <w:top w:w="0" w:type="dxa"/>
            <w:left w:w="108" w:type="dxa"/>
            <w:bottom w:w="0" w:type="dxa"/>
            <w:right w:w="108" w:type="dxa"/>
          </w:tblCellMar>
        </w:tblPrEx>
        <w:tc>
          <w:tcPr>
            <w:tcW w:w="9286" w:type="dxa"/>
          </w:tcPr>
          <w:p w14:paraId="107519A6">
            <w:pPr>
              <w:pStyle w:val="8"/>
              <w:keepNext w:val="0"/>
              <w:keepLines w:val="0"/>
              <w:rPr>
                <w:color w:val="auto"/>
              </w:rPr>
            </w:pPr>
            <w:r>
              <w:rPr>
                <w:rFonts w:hint="eastAsia"/>
                <w:color w:val="auto"/>
              </w:rPr>
              <w:t>不同深度的污染物浓度随随时间变化情况</w:t>
            </w:r>
          </w:p>
        </w:tc>
      </w:tr>
    </w:tbl>
    <w:p w14:paraId="13256587">
      <w:pPr>
        <w:ind w:firstLine="480"/>
        <w:rPr>
          <w:color w:val="auto"/>
        </w:rPr>
      </w:pPr>
      <w:r>
        <w:rPr>
          <w:rFonts w:hint="eastAsia"/>
          <w:color w:val="auto"/>
        </w:rPr>
        <w:t>2）NH</w:t>
      </w:r>
      <w:r>
        <w:rPr>
          <w:rFonts w:hint="eastAsia"/>
          <w:color w:val="auto"/>
          <w:vertAlign w:val="subscript"/>
        </w:rPr>
        <w:t>3</w:t>
      </w:r>
      <w:r>
        <w:rPr>
          <w:rFonts w:hint="eastAsia"/>
          <w:color w:val="auto"/>
        </w:rPr>
        <w:t>-N预测结果</w:t>
      </w:r>
    </w:p>
    <w:tbl>
      <w:tblPr>
        <w:tblStyle w:val="26"/>
        <w:tblW w:w="0" w:type="auto"/>
        <w:tblInd w:w="0" w:type="dxa"/>
        <w:tblLayout w:type="autofit"/>
        <w:tblCellMar>
          <w:top w:w="0" w:type="dxa"/>
          <w:left w:w="108" w:type="dxa"/>
          <w:bottom w:w="0" w:type="dxa"/>
          <w:right w:w="108" w:type="dxa"/>
        </w:tblCellMar>
      </w:tblPr>
      <w:tblGrid>
        <w:gridCol w:w="9286"/>
      </w:tblGrid>
      <w:tr w14:paraId="5A63AB73">
        <w:tblPrEx>
          <w:tblCellMar>
            <w:top w:w="0" w:type="dxa"/>
            <w:left w:w="108" w:type="dxa"/>
            <w:bottom w:w="0" w:type="dxa"/>
            <w:right w:w="108" w:type="dxa"/>
          </w:tblCellMar>
        </w:tblPrEx>
        <w:tc>
          <w:tcPr>
            <w:tcW w:w="9286" w:type="dxa"/>
          </w:tcPr>
          <w:p w14:paraId="1CB4AD28">
            <w:pPr>
              <w:ind w:firstLine="0" w:firstLineChars="0"/>
              <w:jc w:val="center"/>
              <w:rPr>
                <w:color w:val="auto"/>
              </w:rPr>
            </w:pPr>
            <w:r>
              <w:rPr>
                <w:color w:val="auto"/>
              </w:rPr>
              <w:drawing>
                <wp:inline distT="0" distB="0" distL="0" distR="0">
                  <wp:extent cx="5184775" cy="2099945"/>
                  <wp:effectExtent l="0" t="0" r="0" b="0"/>
                  <wp:docPr id="17952322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32236" name="图片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a:xfrm>
                            <a:off x="0" y="0"/>
                            <a:ext cx="5192263" cy="2103451"/>
                          </a:xfrm>
                          <a:prstGeom prst="rect">
                            <a:avLst/>
                          </a:prstGeom>
                          <a:noFill/>
                        </pic:spPr>
                      </pic:pic>
                    </a:graphicData>
                  </a:graphic>
                </wp:inline>
              </w:drawing>
            </w:r>
          </w:p>
        </w:tc>
      </w:tr>
      <w:tr w14:paraId="1134461B">
        <w:tblPrEx>
          <w:tblCellMar>
            <w:top w:w="0" w:type="dxa"/>
            <w:left w:w="108" w:type="dxa"/>
            <w:bottom w:w="0" w:type="dxa"/>
            <w:right w:w="108" w:type="dxa"/>
          </w:tblCellMar>
        </w:tblPrEx>
        <w:tc>
          <w:tcPr>
            <w:tcW w:w="9286" w:type="dxa"/>
          </w:tcPr>
          <w:p w14:paraId="3CB54567">
            <w:pPr>
              <w:pStyle w:val="8"/>
              <w:keepNext w:val="0"/>
              <w:keepLines w:val="0"/>
              <w:rPr>
                <w:color w:val="auto"/>
              </w:rPr>
            </w:pPr>
            <w:r>
              <w:rPr>
                <w:rFonts w:hint="eastAsia"/>
                <w:color w:val="auto"/>
              </w:rPr>
              <w:t>不同深度的污染物浓度随随时间变化情况</w:t>
            </w:r>
          </w:p>
        </w:tc>
      </w:tr>
    </w:tbl>
    <w:p w14:paraId="53B7490E">
      <w:pPr>
        <w:pStyle w:val="4"/>
        <w:keepNext w:val="0"/>
        <w:keepLines w:val="0"/>
        <w:rPr>
          <w:color w:val="auto"/>
        </w:rPr>
      </w:pPr>
      <w:bookmarkStart w:id="512" w:name="_Toc225216820"/>
      <w:r>
        <w:rPr>
          <w:rFonts w:hint="eastAsia"/>
          <w:color w:val="auto"/>
        </w:rPr>
        <w:t>小结</w:t>
      </w:r>
      <w:bookmarkEnd w:id="512"/>
    </w:p>
    <w:p w14:paraId="397A7933">
      <w:pPr>
        <w:ind w:firstLine="480"/>
        <w:rPr>
          <w:color w:val="auto"/>
        </w:rPr>
      </w:pPr>
      <w:r>
        <w:rPr>
          <w:rFonts w:hint="eastAsia"/>
          <w:color w:val="auto"/>
        </w:rPr>
        <w:t>根据情景假设，污水站集水池防渗层发生破损</w:t>
      </w:r>
      <w:r>
        <w:rPr>
          <w:color w:val="auto"/>
        </w:rPr>
        <w:t>，</w:t>
      </w:r>
      <w:r>
        <w:rPr>
          <w:rFonts w:hint="eastAsia"/>
          <w:color w:val="auto"/>
        </w:rPr>
        <w:t>废水渗入土壤中，根据预测表明，对土壤影响随着时间增加，污染物积累也相应增加，</w:t>
      </w:r>
      <w:r>
        <w:rPr>
          <w:color w:val="auto"/>
        </w:rPr>
        <w:t>将会对土壤环境造成影响</w:t>
      </w:r>
      <w:r>
        <w:rPr>
          <w:rFonts w:hint="eastAsia"/>
          <w:color w:val="auto"/>
        </w:rPr>
        <w:t>。</w:t>
      </w:r>
      <w:r>
        <w:rPr>
          <w:color w:val="auto"/>
        </w:rPr>
        <w:t>COD</w:t>
      </w:r>
      <w:r>
        <w:rPr>
          <w:rFonts w:hint="eastAsia"/>
          <w:color w:val="auto"/>
        </w:rPr>
        <w:t>、</w:t>
      </w:r>
      <w:r>
        <w:rPr>
          <w:color w:val="auto"/>
        </w:rPr>
        <w:t>NH</w:t>
      </w:r>
      <w:r>
        <w:rPr>
          <w:color w:val="auto"/>
          <w:vertAlign w:val="subscript"/>
        </w:rPr>
        <w:t>3</w:t>
      </w:r>
      <w:r>
        <w:rPr>
          <w:color w:val="auto"/>
        </w:rPr>
        <w:t>-N</w:t>
      </w:r>
      <w:r>
        <w:rPr>
          <w:rFonts w:hint="eastAsia"/>
          <w:color w:val="auto"/>
        </w:rPr>
        <w:t>无相应土壤环境质量标准，仅做参考值。</w:t>
      </w:r>
    </w:p>
    <w:p w14:paraId="18F7E2F8">
      <w:pPr>
        <w:ind w:firstLine="480"/>
        <w:rPr>
          <w:color w:val="auto"/>
        </w:rPr>
      </w:pPr>
      <w:r>
        <w:rPr>
          <w:color w:val="auto"/>
        </w:rPr>
        <w:t>项目所在厂区现有工程和已批在建工程可能对项目区土壤环境带来不利影响的是各类油罐区油品、锅炉脱硫废水等一旦泄漏后以垂直入渗的污染途径污染土壤。本项目实施后， 柴油、汽油、重油等油品储存的位置及储量均没有新增，锅炉脱硫废水的存在位置及产生量也不会新增，项目现有工程及已批在建项目环评手续健全，已按现有工程和已批在建项目环评要求采取了相应防渗等土壤环境污染防范措施，项目实施后全厂的土壤环境影响可以接受。</w:t>
      </w:r>
    </w:p>
    <w:p w14:paraId="6B5C37D5">
      <w:pPr>
        <w:pStyle w:val="3"/>
        <w:rPr>
          <w:color w:val="auto"/>
        </w:rPr>
      </w:pPr>
      <w:bookmarkStart w:id="513" w:name="_Toc221355732"/>
      <w:bookmarkStart w:id="514" w:name="_Toc225216821"/>
      <w:r>
        <w:rPr>
          <w:rFonts w:hint="eastAsia"/>
          <w:color w:val="auto"/>
        </w:rPr>
        <w:t>运营期固体废物影响分析</w:t>
      </w:r>
      <w:bookmarkEnd w:id="513"/>
      <w:bookmarkEnd w:id="514"/>
    </w:p>
    <w:p w14:paraId="180EE6F2">
      <w:pPr>
        <w:ind w:firstLine="480"/>
        <w:rPr>
          <w:rFonts w:hint="eastAsia" w:ascii="宋体" w:hAnsi="宋体" w:cs="宋体"/>
          <w:color w:val="auto"/>
          <w:spacing w:val="-2"/>
          <w:szCs w:val="24"/>
        </w:rPr>
      </w:pPr>
      <w:r>
        <w:rPr>
          <w:color w:val="auto"/>
        </w:rPr>
        <w:t>根据工程分析，拟建项目新增固体废物主要包括：制浆造纸生产线浆渣、</w:t>
      </w:r>
      <w:r>
        <w:rPr>
          <w:rFonts w:hint="eastAsia"/>
          <w:color w:val="auto"/>
        </w:rPr>
        <w:t>损纸、废铁丝、废矿物油、</w:t>
      </w:r>
      <w:r>
        <w:rPr>
          <w:rFonts w:hint="eastAsia" w:cs="Times New Roman"/>
          <w:color w:val="auto"/>
        </w:rPr>
        <w:t>化学品包装容器、废毛布、</w:t>
      </w:r>
      <w:r>
        <w:rPr>
          <w:rFonts w:hint="eastAsia"/>
          <w:color w:val="auto"/>
        </w:rPr>
        <w:t>废聚酯网</w:t>
      </w:r>
      <w:r>
        <w:rPr>
          <w:color w:val="auto"/>
        </w:rPr>
        <w:t>等，以及员工日常产生的生活垃圾等</w:t>
      </w:r>
      <w:r>
        <w:rPr>
          <w:rFonts w:ascii="宋体" w:hAnsi="宋体" w:cs="宋体"/>
          <w:color w:val="auto"/>
          <w:spacing w:val="-2"/>
          <w:szCs w:val="24"/>
        </w:rPr>
        <w:t>。</w:t>
      </w:r>
    </w:p>
    <w:p w14:paraId="3F88AE0F">
      <w:pPr>
        <w:pStyle w:val="5"/>
        <w:rPr>
          <w:color w:val="auto"/>
        </w:rPr>
      </w:pPr>
      <w:r>
        <w:rPr>
          <w:rFonts w:hint="eastAsia"/>
          <w:color w:val="auto"/>
        </w:rPr>
        <w:t>白卡纸生产线</w:t>
      </w:r>
    </w:p>
    <w:p w14:paraId="798A4C10">
      <w:pPr>
        <w:ind w:firstLine="480"/>
        <w:rPr>
          <w:color w:val="auto"/>
        </w:rPr>
      </w:pPr>
      <w:r>
        <w:rPr>
          <w:rFonts w:hint="eastAsia"/>
          <w:color w:val="auto"/>
        </w:rPr>
        <w:t>白卡纸生产线主要固体废物包括铁丝、废聚酯网与除砂器杂质。外购商品浆板包装用铁丝产生量为277.3t/a，纸机废聚酯网产生量为3.6t/a，均暂存于现有可回收资源堆场，废铁丝与废聚酯网外委进行综合利用，</w:t>
      </w:r>
      <w:r>
        <w:rPr>
          <w:rFonts w:hint="eastAsia" w:cs="Times New Roman"/>
          <w:color w:val="auto"/>
        </w:rPr>
        <w:t>随车间排水进入污水处理系统，最终进入污水处理厂污泥中</w:t>
      </w:r>
      <w:r>
        <w:rPr>
          <w:rFonts w:hint="eastAsia"/>
          <w:color w:val="auto"/>
        </w:rPr>
        <w:t>，对周围环境影响较小。</w:t>
      </w:r>
    </w:p>
    <w:p w14:paraId="3D5882FF">
      <w:pPr>
        <w:pStyle w:val="5"/>
        <w:rPr>
          <w:color w:val="auto"/>
        </w:rPr>
      </w:pPr>
      <w:r>
        <w:rPr>
          <w:rFonts w:hint="eastAsia"/>
          <w:color w:val="auto"/>
        </w:rPr>
        <w:t>污水处理站污泥</w:t>
      </w:r>
    </w:p>
    <w:p w14:paraId="1A3E42EF">
      <w:pPr>
        <w:ind w:firstLine="480"/>
        <w:rPr>
          <w:color w:val="auto"/>
        </w:rPr>
      </w:pPr>
      <w:r>
        <w:rPr>
          <w:rFonts w:hint="eastAsia"/>
          <w:color w:val="auto"/>
        </w:rPr>
        <w:t>项目新建污水处理站处理的废水中主要污染因子为CODcr、氨氮，不含有重金属污染物。因此，项目产生污泥为一般固体废物。</w:t>
      </w:r>
    </w:p>
    <w:p w14:paraId="1A957245">
      <w:pPr>
        <w:ind w:firstLine="480"/>
        <w:rPr>
          <w:color w:val="auto"/>
        </w:rPr>
      </w:pPr>
      <w:r>
        <w:rPr>
          <w:rFonts w:hint="eastAsia"/>
          <w:color w:val="auto"/>
        </w:rPr>
        <w:t>本项目新建一套由污泥浓缩池、污泥混合池、污泥调理池、板框压滤机组成的污泥处理设施，污泥处理设施对污水处理站产生污水污泥进行调理、浓缩。浓缩池污泥经板框压滤机+污泥干化系统处理后部分送入热电站锅炉焚烧回收热量，剩余部分外售至广西田东力源宝科技有限公司用作生态肥料。因此项目产生的污泥均可以得到有效处置，对周围环境影响较小。</w:t>
      </w:r>
    </w:p>
    <w:p w14:paraId="21876391">
      <w:pPr>
        <w:pStyle w:val="5"/>
        <w:rPr>
          <w:color w:val="auto"/>
        </w:rPr>
      </w:pPr>
      <w:r>
        <w:rPr>
          <w:rFonts w:hint="eastAsia"/>
          <w:color w:val="auto"/>
        </w:rPr>
        <w:t>危险废物</w:t>
      </w:r>
    </w:p>
    <w:p w14:paraId="1A4DB40A">
      <w:pPr>
        <w:ind w:firstLine="480"/>
        <w:rPr>
          <w:color w:val="auto"/>
        </w:rPr>
      </w:pPr>
      <w:r>
        <w:rPr>
          <w:rFonts w:hint="eastAsia"/>
          <w:color w:val="auto"/>
        </w:rPr>
        <w:t>项目使用活性炭对淋膜纸生产线产生的废气进行吸附处理，根据《国家危险废物名录（2025年版）》，废活性炭属于HW49其他废物，废物代码900-039-49，更换后暂存在危废暂存库内，定期委托有危险废物处理资质的单位处置。</w:t>
      </w:r>
    </w:p>
    <w:p w14:paraId="1335E5C1">
      <w:pPr>
        <w:ind w:firstLine="480"/>
        <w:rPr>
          <w:color w:val="auto"/>
        </w:rPr>
      </w:pPr>
      <w:r>
        <w:rPr>
          <w:rFonts w:cs="Times New Roman"/>
          <w:color w:val="auto"/>
          <w:szCs w:val="24"/>
        </w:rPr>
        <w:t>项目</w:t>
      </w:r>
      <w:r>
        <w:rPr>
          <w:rFonts w:hint="eastAsia" w:cs="Times New Roman"/>
          <w:color w:val="auto"/>
          <w:szCs w:val="24"/>
        </w:rPr>
        <w:t>新增</w:t>
      </w:r>
      <w:r>
        <w:rPr>
          <w:rFonts w:cs="Times New Roman"/>
          <w:color w:val="auto"/>
          <w:szCs w:val="24"/>
        </w:rPr>
        <w:t>设备维护维修过程会产生少量废矿物油</w:t>
      </w:r>
      <w:r>
        <w:rPr>
          <w:rFonts w:hint="eastAsia" w:cs="Times New Roman"/>
          <w:color w:val="auto"/>
          <w:szCs w:val="24"/>
        </w:rPr>
        <w:t>，</w:t>
      </w:r>
      <w:r>
        <w:rPr>
          <w:rFonts w:cs="Times New Roman"/>
          <w:color w:val="auto"/>
        </w:rPr>
        <w:t>废</w:t>
      </w:r>
      <w:r>
        <w:rPr>
          <w:rFonts w:hint="eastAsia" w:cs="Times New Roman"/>
          <w:color w:val="auto"/>
        </w:rPr>
        <w:t>机油</w:t>
      </w:r>
      <w:r>
        <w:rPr>
          <w:rFonts w:hint="eastAsia" w:cs="Times New Roman"/>
          <w:color w:val="auto"/>
          <w:szCs w:val="24"/>
        </w:rPr>
        <w:t>属于废矿物油，</w:t>
      </w:r>
      <w:r>
        <w:rPr>
          <w:rFonts w:hint="eastAsia"/>
          <w:color w:val="auto"/>
        </w:rPr>
        <w:t>根据《国家危险废物名录（2025年版）》，废机油属于HW08废矿物油与含矿物油废物，废物代码900-214-49，更换后暂存在危废暂存库内，定期委托有危险废物处理资质的单位处置。</w:t>
      </w:r>
    </w:p>
    <w:p w14:paraId="2FFBCC15">
      <w:pPr>
        <w:ind w:firstLine="480"/>
        <w:rPr>
          <w:color w:val="auto"/>
        </w:rPr>
      </w:pPr>
      <w:r>
        <w:rPr>
          <w:rFonts w:hint="eastAsia"/>
          <w:color w:val="auto"/>
        </w:rPr>
        <w:t>目前项目设置有危废暂存间，位于金桂浆纸业北部。因此项目产生的危险废物均能得到有效处置，对周围环境影响较小。</w:t>
      </w:r>
    </w:p>
    <w:p w14:paraId="3D1BFF63">
      <w:pPr>
        <w:ind w:firstLine="480"/>
        <w:rPr>
          <w:color w:val="auto"/>
        </w:rPr>
      </w:pPr>
    </w:p>
    <w:p w14:paraId="4995011E">
      <w:pPr>
        <w:pStyle w:val="5"/>
        <w:rPr>
          <w:color w:val="auto"/>
        </w:rPr>
      </w:pPr>
      <w:r>
        <w:rPr>
          <w:rFonts w:hint="eastAsia"/>
          <w:color w:val="auto"/>
        </w:rPr>
        <w:t>危险废物贮存场所环境影响分析</w:t>
      </w:r>
    </w:p>
    <w:p w14:paraId="7458A6C0">
      <w:pPr>
        <w:ind w:firstLine="480"/>
        <w:rPr>
          <w:color w:val="auto"/>
        </w:rPr>
      </w:pPr>
      <w:r>
        <w:rPr>
          <w:rFonts w:hint="eastAsia"/>
          <w:color w:val="auto"/>
        </w:rPr>
        <w:t>危废暂存间按照《危险废物贮存污染控制标准》（GB18597- 2023）相关要求，进行防风、防雨、防晒、防渗漏处理，设置电子监控系统；同时，应根据危险废物的类别、数量、形态、物理化学性质和污染防治等要求，设置贮存分区，不同分区之间采用矮墙等进行隔离，避免不相容的危险废物接触、混合；暂存间内地面、墙面裙脚、堵截泄漏的围堰、接触危险废物的隔板和墙体等应采用坚固的材料建造，表面无裂缝。暂存间地面进行防渗，确保渗透系数不大于10</w:t>
      </w:r>
      <w:r>
        <w:rPr>
          <w:rFonts w:hint="eastAsia"/>
          <w:color w:val="auto"/>
          <w:vertAlign w:val="superscript"/>
        </w:rPr>
        <w:t>-10</w:t>
      </w:r>
      <w:r>
        <w:rPr>
          <w:rFonts w:hint="eastAsia"/>
          <w:color w:val="auto"/>
        </w:rPr>
        <w:t>cm/s；暂存间地面应设导流沟、渗滤液收集池， 导流沟及收集池进行防渗处理，渗滤液收集池的废液应妥善处理。暂存间各分区及危废包装物上应张贴规范的标识牌，暂存间由专人管理，进行危险废物台账记录，制度上墙。在企业严格按照上述要求建设危废暂存间、存放危险废物的情况下，项目危险废物暂存对环境造成的影响不大。</w:t>
      </w:r>
    </w:p>
    <w:p w14:paraId="0801FF33">
      <w:pPr>
        <w:pStyle w:val="3"/>
        <w:rPr>
          <w:color w:val="auto"/>
        </w:rPr>
      </w:pPr>
      <w:bookmarkStart w:id="515" w:name="_Toc221355733"/>
      <w:bookmarkStart w:id="516" w:name="_Toc225216822"/>
      <w:r>
        <w:rPr>
          <w:rFonts w:hint="eastAsia"/>
          <w:color w:val="auto"/>
        </w:rPr>
        <w:t>运营期生态环境影响分析</w:t>
      </w:r>
      <w:bookmarkEnd w:id="515"/>
      <w:bookmarkEnd w:id="516"/>
    </w:p>
    <w:p w14:paraId="4FA80D49">
      <w:pPr>
        <w:ind w:firstLine="480"/>
        <w:rPr>
          <w:color w:val="auto"/>
        </w:rPr>
      </w:pPr>
      <w:r>
        <w:rPr>
          <w:color w:val="auto"/>
        </w:rPr>
        <w:t>依据《环境影响评价技术导则 生态影响》（HJ19-2022），位于已批准规划环评的产业园区内且符合规划环评要求、不涉及生态敏感区的污染影响类建设项目，可不确定评价等级，直接进行生态影响简单分析。</w:t>
      </w:r>
      <w:r>
        <w:rPr>
          <w:rFonts w:hint="eastAsia"/>
          <w:color w:val="auto"/>
        </w:rPr>
        <w:t>本</w:t>
      </w:r>
      <w:r>
        <w:rPr>
          <w:color w:val="auto"/>
        </w:rPr>
        <w:t>项目位于《钦州港经济技术开发区总体规划（2014-2030）》（钦州港经济技术开发区编号G451186）中的现代产业带中的造纸产业园；位于《广西钦州林浆纸产业园发展规划（2024-2035年）》工业用地内，符合相关规划要求，因此，</w:t>
      </w:r>
      <w:r>
        <w:rPr>
          <w:rFonts w:hint="eastAsia"/>
          <w:color w:val="auto"/>
        </w:rPr>
        <w:t>本</w:t>
      </w:r>
      <w:r>
        <w:rPr>
          <w:color w:val="auto"/>
        </w:rPr>
        <w:t>项目可做生态影响分析</w:t>
      </w:r>
      <w:r>
        <w:rPr>
          <w:rFonts w:hint="eastAsia"/>
          <w:color w:val="auto"/>
        </w:rPr>
        <w:t>。</w:t>
      </w:r>
    </w:p>
    <w:p w14:paraId="7D12877A">
      <w:pPr>
        <w:pStyle w:val="4"/>
        <w:rPr>
          <w:color w:val="auto"/>
        </w:rPr>
      </w:pPr>
      <w:bookmarkStart w:id="517" w:name="_Toc225216823"/>
      <w:r>
        <w:rPr>
          <w:rFonts w:hint="eastAsia"/>
          <w:color w:val="auto"/>
        </w:rPr>
        <w:t>陆生生态环境影响分析</w:t>
      </w:r>
      <w:bookmarkEnd w:id="517"/>
    </w:p>
    <w:p w14:paraId="4AE44AFB">
      <w:pPr>
        <w:ind w:firstLine="480"/>
        <w:rPr>
          <w:color w:val="auto"/>
        </w:rPr>
      </w:pPr>
      <w:r>
        <w:rPr>
          <w:rFonts w:hint="eastAsia"/>
          <w:color w:val="auto"/>
        </w:rPr>
        <w:t>根据现场调查及查阅相关资料，评价区位于城镇边缘，为人类活动干扰频繁区，陆生植被以人工植被为主，植被类型单一，结构简单，生态系统的生态功能不强。</w:t>
      </w:r>
    </w:p>
    <w:p w14:paraId="331D5C2C">
      <w:pPr>
        <w:pStyle w:val="5"/>
        <w:rPr>
          <w:color w:val="auto"/>
        </w:rPr>
      </w:pPr>
      <w:r>
        <w:rPr>
          <w:rFonts w:hint="eastAsia"/>
          <w:color w:val="auto"/>
        </w:rPr>
        <w:t>废气排放影响</w:t>
      </w:r>
    </w:p>
    <w:p w14:paraId="0865C76C">
      <w:pPr>
        <w:ind w:firstLine="480"/>
        <w:rPr>
          <w:color w:val="auto"/>
        </w:rPr>
      </w:pPr>
      <w:r>
        <w:rPr>
          <w:rFonts w:hint="eastAsia"/>
          <w:color w:val="auto"/>
        </w:rPr>
        <w:t>本项目对陆生生态的环境影响主要体现在废气排放方面。项目废气主要污染物包括NO</w:t>
      </w:r>
      <w:r>
        <w:rPr>
          <w:rFonts w:hint="eastAsia"/>
          <w:color w:val="auto"/>
          <w:vertAlign w:val="subscript"/>
        </w:rPr>
        <w:t>2</w:t>
      </w:r>
      <w:r>
        <w:rPr>
          <w:rFonts w:hint="eastAsia"/>
          <w:color w:val="auto"/>
        </w:rPr>
        <w:t>、PM</w:t>
      </w:r>
      <w:r>
        <w:rPr>
          <w:rFonts w:hint="eastAsia"/>
          <w:color w:val="auto"/>
          <w:vertAlign w:val="subscript"/>
        </w:rPr>
        <w:t>10</w:t>
      </w:r>
      <w:r>
        <w:rPr>
          <w:rFonts w:hint="eastAsia"/>
          <w:color w:val="auto"/>
        </w:rPr>
        <w:t>、PM</w:t>
      </w:r>
      <w:r>
        <w:rPr>
          <w:rFonts w:hint="eastAsia"/>
          <w:color w:val="auto"/>
          <w:vertAlign w:val="subscript"/>
        </w:rPr>
        <w:t>2.5</w:t>
      </w:r>
      <w:r>
        <w:rPr>
          <w:rFonts w:hint="eastAsia"/>
          <w:color w:val="auto"/>
        </w:rPr>
        <w:t>、非甲烷总烃、苯乙烯、丙烯腈、丁二烯等，废气经RTO焚烧后主要污染物为氮氧化物。</w:t>
      </w:r>
    </w:p>
    <w:p w14:paraId="43A03FFE">
      <w:pPr>
        <w:ind w:firstLine="480"/>
        <w:rPr>
          <w:color w:val="auto"/>
        </w:rPr>
      </w:pPr>
      <w:r>
        <w:rPr>
          <w:rFonts w:hint="eastAsia"/>
          <w:color w:val="auto"/>
        </w:rPr>
        <w:t>NOx对植物的伤害没有SO</w:t>
      </w:r>
      <w:r>
        <w:rPr>
          <w:rFonts w:hint="eastAsia"/>
          <w:color w:val="auto"/>
          <w:vertAlign w:val="subscript"/>
        </w:rPr>
        <w:t>2</w:t>
      </w:r>
      <w:r>
        <w:rPr>
          <w:rFonts w:hint="eastAsia"/>
          <w:color w:val="auto"/>
        </w:rPr>
        <w:t>对植物的伤害严重。大多数由NOx引起的对田间植物伤害和危害事件与某些工业生产过程中发生的事故性排放（如偶然释放或泄漏）有关。工厂的日常生产由于消耗矿物燃料也产生一些NOx，但由于排放量不大，通常对植物的影响很小。据报道，一般来说对植物生长和代谢影响的NOx阈值剂量为1.32mg/m</w:t>
      </w:r>
      <w:r>
        <w:rPr>
          <w:rFonts w:hint="eastAsia"/>
          <w:color w:val="auto"/>
          <w:vertAlign w:val="superscript"/>
        </w:rPr>
        <w:t>3</w:t>
      </w:r>
      <w:r>
        <w:rPr>
          <w:rFonts w:cs="Times New Roman"/>
          <w:color w:val="auto"/>
        </w:rPr>
        <w:t>·</w:t>
      </w:r>
      <w:r>
        <w:rPr>
          <w:rFonts w:hint="eastAsia"/>
          <w:color w:val="auto"/>
        </w:rPr>
        <w:t>h，叶子受伤害的阈值剂量为5.64mg/m</w:t>
      </w:r>
      <w:r>
        <w:rPr>
          <w:rFonts w:hint="eastAsia"/>
          <w:color w:val="auto"/>
          <w:vertAlign w:val="superscript"/>
        </w:rPr>
        <w:t>3</w:t>
      </w:r>
      <w:r>
        <w:rPr>
          <w:rFonts w:cs="Times New Roman"/>
          <w:color w:val="auto"/>
        </w:rPr>
        <w:t>·</w:t>
      </w:r>
      <w:r>
        <w:rPr>
          <w:rFonts w:hint="eastAsia"/>
          <w:color w:val="auto"/>
        </w:rPr>
        <w:t>h，同时也有报道认为，低浓度的NOx可能会促进植物的生长。</w:t>
      </w:r>
    </w:p>
    <w:p w14:paraId="75C3D13B">
      <w:pPr>
        <w:ind w:firstLine="480"/>
        <w:rPr>
          <w:color w:val="auto"/>
        </w:rPr>
      </w:pPr>
      <w:r>
        <w:rPr>
          <w:rFonts w:hint="eastAsia"/>
          <w:color w:val="auto"/>
        </w:rPr>
        <w:t>本项目大气预测结果表明，排放的NOx小时浓度低于上述研究的伤害阈值，因此本项目排放的NOx不会对项目周边区域植被及红树林产生危害影响。</w:t>
      </w:r>
    </w:p>
    <w:p w14:paraId="743EBC17">
      <w:pPr>
        <w:pStyle w:val="5"/>
        <w:rPr>
          <w:color w:val="auto"/>
        </w:rPr>
      </w:pPr>
      <w:r>
        <w:rPr>
          <w:rFonts w:hint="eastAsia"/>
          <w:color w:val="auto"/>
        </w:rPr>
        <w:t>对野生动物的影响</w:t>
      </w:r>
    </w:p>
    <w:p w14:paraId="25C2C1B5">
      <w:pPr>
        <w:ind w:firstLine="480"/>
        <w:rPr>
          <w:color w:val="auto"/>
        </w:rPr>
      </w:pPr>
      <w:r>
        <w:rPr>
          <w:rFonts w:hint="eastAsia"/>
          <w:color w:val="auto"/>
        </w:rPr>
        <w:t>项目评价区人类活动较为频繁，因受长期人类活动的影响，基本无大型野生动物出现，现有的野生动物主要是一些昆虫类、蛇类、鸟类等小型动物，其数量也较少，拟建项目施工过程，对地表植被破坏，并占用了该区域原有野生动物栖息地，减少了它们的生存空间，迫使野生动物进行迁徙，施工期产生的噪声和施工工人生产活动都对野生动物的起到驱赶作用，可见建设施工对该区域野生动物有一定的影响。</w:t>
      </w:r>
    </w:p>
    <w:p w14:paraId="3B8E0044">
      <w:pPr>
        <w:pStyle w:val="4"/>
        <w:rPr>
          <w:color w:val="auto"/>
        </w:rPr>
      </w:pPr>
      <w:bookmarkStart w:id="518" w:name="_Toc225216824"/>
      <w:r>
        <w:rPr>
          <w:rFonts w:hint="eastAsia"/>
          <w:color w:val="auto"/>
        </w:rPr>
        <w:t>海洋生态环境影响分析</w:t>
      </w:r>
      <w:bookmarkEnd w:id="518"/>
    </w:p>
    <w:p w14:paraId="51ACFD6E">
      <w:pPr>
        <w:ind w:firstLine="480"/>
        <w:rPr>
          <w:color w:val="auto"/>
        </w:rPr>
      </w:pPr>
      <w:r>
        <w:rPr>
          <w:rFonts w:hint="eastAsia"/>
          <w:color w:val="auto"/>
        </w:rPr>
        <w:t>项目主要水污染因子为COD、SS、氨氮等。根据工程分析，项目污（废）水处理达标后至深海排放。根据现有工程海洋环境影响预测结果，金桂公司全厂运行后，深海排放的COD最大浓度符合二类海水水质标准，无机氮最大浓度符合二类海水水质标准，磷酸盐最大浓度符合二类海水水质标准；COD、无机氮对海洋生物的影响都将有所降低。本项目废水不直接排海，对本项目东侧鹿耳环红树林区内红树林基本无影响。</w:t>
      </w:r>
    </w:p>
    <w:p w14:paraId="74833ECC">
      <w:pPr>
        <w:ind w:firstLine="480"/>
        <w:rPr>
          <w:color w:val="auto"/>
        </w:rPr>
      </w:pPr>
      <w:r>
        <w:rPr>
          <w:rFonts w:hint="eastAsia"/>
          <w:color w:val="auto"/>
        </w:rPr>
        <w:t>项目清净雨水通过厂区南边界排入市政管网，再排往南海，项目采用清污分流原则设计收集雨水收集系统，全厂设置有清净雨水监控设施。正常情况下，雨水经监测合格后排到园区雨水管网，监测不合格送污水处理站处理，因此清净雨水中 CODCr、BOD5、SS很低，排放浓度对近岸海域水质影响不大。</w:t>
      </w:r>
    </w:p>
    <w:p w14:paraId="2A9CE271">
      <w:pPr>
        <w:pStyle w:val="3"/>
        <w:rPr>
          <w:color w:val="auto"/>
        </w:rPr>
      </w:pPr>
      <w:bookmarkStart w:id="519" w:name="_Toc225216825"/>
      <w:bookmarkStart w:id="520" w:name="_Toc221355734"/>
      <w:r>
        <w:rPr>
          <w:rFonts w:hint="eastAsia"/>
          <w:color w:val="auto"/>
        </w:rPr>
        <w:t>运营期碳排放评价</w:t>
      </w:r>
      <w:bookmarkEnd w:id="519"/>
      <w:bookmarkEnd w:id="520"/>
    </w:p>
    <w:p w14:paraId="7B7E7DE4">
      <w:pPr>
        <w:pStyle w:val="4"/>
        <w:rPr>
          <w:color w:val="auto"/>
        </w:rPr>
      </w:pPr>
      <w:bookmarkStart w:id="521" w:name="_Toc225216826"/>
      <w:r>
        <w:rPr>
          <w:rFonts w:hint="eastAsia"/>
          <w:color w:val="auto"/>
        </w:rPr>
        <w:t>核算边界</w:t>
      </w:r>
      <w:bookmarkEnd w:id="521"/>
    </w:p>
    <w:p w14:paraId="3EB0874B">
      <w:pPr>
        <w:ind w:firstLine="480"/>
        <w:rPr>
          <w:color w:val="auto"/>
        </w:rPr>
      </w:pPr>
      <w:r>
        <w:rPr>
          <w:rFonts w:hint="eastAsia"/>
          <w:color w:val="auto"/>
        </w:rPr>
        <w:t>根据《造纸和纸制品生产企业温室气体排放核算方法与报告指南（试行）》，造纸和纸制品生产企业以企业法人独立核算单位为边界，核算和报告其生产系统产生的温室气体排放。生产系统包括主要生产系统、辅助生产系统、以及直接为生产服务的附属生产系统，其中辅助生产系统包括动力、供电、供水、化验、机修、库房、运输等，附属生产系统包括生产指挥系统（厂部）和厂区内为生产服务的部门和单位（如职工食堂、车间浴室、保健站等）。企业厂界内生活能耗导致的排放原则上不在核算范围内。</w:t>
      </w:r>
    </w:p>
    <w:p w14:paraId="4C389AE7">
      <w:pPr>
        <w:pStyle w:val="4"/>
        <w:rPr>
          <w:color w:val="auto"/>
        </w:rPr>
      </w:pPr>
      <w:bookmarkStart w:id="522" w:name="_Toc225216827"/>
      <w:r>
        <w:rPr>
          <w:rFonts w:hint="eastAsia"/>
          <w:color w:val="auto"/>
        </w:rPr>
        <w:t>排放源</w:t>
      </w:r>
      <w:bookmarkEnd w:id="522"/>
    </w:p>
    <w:p w14:paraId="3163CCE3">
      <w:pPr>
        <w:ind w:firstLine="480"/>
        <w:rPr>
          <w:color w:val="auto"/>
        </w:rPr>
      </w:pPr>
      <w:r>
        <w:rPr>
          <w:rFonts w:hint="eastAsia"/>
          <w:color w:val="auto"/>
        </w:rPr>
        <w:t>根据项目核算边界内相关生产设施和场所产生的碳排放情况，项目从化石燃料燃烧排放、过程排放、净购入电力产生的排放、净购入热力产生的排放和废水厌氧处理的甲烷排放分析项目碳排放源。</w:t>
      </w:r>
    </w:p>
    <w:p w14:paraId="5CB7FFEC">
      <w:pPr>
        <w:ind w:firstLine="480"/>
        <w:rPr>
          <w:color w:val="auto"/>
        </w:rPr>
      </w:pPr>
      <w:r>
        <w:rPr>
          <w:rFonts w:hint="eastAsia"/>
          <w:color w:val="auto"/>
        </w:rPr>
        <w:t>（1）化石燃料燃烧排放</w:t>
      </w:r>
    </w:p>
    <w:p w14:paraId="19E1EA50">
      <w:pPr>
        <w:ind w:firstLine="480"/>
        <w:rPr>
          <w:color w:val="auto"/>
        </w:rPr>
      </w:pPr>
      <w:r>
        <w:rPr>
          <w:rFonts w:hint="eastAsia"/>
          <w:color w:val="auto"/>
        </w:rPr>
        <w:t>项目涉及的燃料与氧气充分燃烧产生的二氧化碳排放。本项目主要包括燃料所用天然气。</w:t>
      </w:r>
    </w:p>
    <w:p w14:paraId="0AE6AFEB">
      <w:pPr>
        <w:ind w:firstLine="480"/>
        <w:rPr>
          <w:color w:val="auto"/>
        </w:rPr>
      </w:pPr>
      <w:r>
        <w:rPr>
          <w:rFonts w:hint="eastAsia"/>
          <w:color w:val="auto"/>
        </w:rPr>
        <w:t>（2）过程排放</w:t>
      </w:r>
    </w:p>
    <w:p w14:paraId="4EF78E55">
      <w:pPr>
        <w:ind w:firstLine="480"/>
        <w:rPr>
          <w:color w:val="auto"/>
        </w:rPr>
      </w:pPr>
      <w:r>
        <w:rPr>
          <w:rFonts w:hint="eastAsia"/>
          <w:color w:val="auto"/>
        </w:rPr>
        <w:t>本项目不涉及。</w:t>
      </w:r>
    </w:p>
    <w:p w14:paraId="0A1C230E">
      <w:pPr>
        <w:ind w:firstLine="480"/>
        <w:rPr>
          <w:color w:val="auto"/>
        </w:rPr>
      </w:pPr>
      <w:r>
        <w:rPr>
          <w:rFonts w:hint="eastAsia"/>
          <w:color w:val="auto"/>
        </w:rPr>
        <w:t>（3）净购入电力产生的排放</w:t>
      </w:r>
    </w:p>
    <w:p w14:paraId="74799132">
      <w:pPr>
        <w:ind w:firstLine="480"/>
        <w:rPr>
          <w:color w:val="auto"/>
        </w:rPr>
      </w:pPr>
      <w:r>
        <w:rPr>
          <w:rFonts w:hint="eastAsia"/>
          <w:color w:val="auto"/>
        </w:rPr>
        <w:t>企业消费的购入电力所对应的二氧化碳排放。该部分排放实际发生在电力生产企业。</w:t>
      </w:r>
    </w:p>
    <w:p w14:paraId="76C42572">
      <w:pPr>
        <w:ind w:firstLine="480"/>
        <w:rPr>
          <w:color w:val="auto"/>
        </w:rPr>
      </w:pPr>
      <w:r>
        <w:rPr>
          <w:rFonts w:hint="eastAsia"/>
          <w:color w:val="auto"/>
        </w:rPr>
        <w:t>（4）净购入热力产生的排放</w:t>
      </w:r>
    </w:p>
    <w:p w14:paraId="5DDD7109">
      <w:pPr>
        <w:ind w:firstLine="480"/>
        <w:rPr>
          <w:color w:val="auto"/>
        </w:rPr>
      </w:pPr>
      <w:r>
        <w:rPr>
          <w:rFonts w:hint="eastAsia"/>
          <w:color w:val="auto"/>
        </w:rPr>
        <w:t>企业消费的购入热力（蒸汽、热水）所对应的二氧化碳排放。该部分排放实际发生在热力生产企业。</w:t>
      </w:r>
    </w:p>
    <w:p w14:paraId="13465265">
      <w:pPr>
        <w:ind w:firstLine="480"/>
        <w:rPr>
          <w:color w:val="auto"/>
        </w:rPr>
      </w:pPr>
      <w:r>
        <w:rPr>
          <w:rFonts w:hint="eastAsia"/>
          <w:color w:val="auto"/>
        </w:rPr>
        <w:t>（5）废水厌氧处理的甲烷排放</w:t>
      </w:r>
    </w:p>
    <w:p w14:paraId="0BD3A44B">
      <w:pPr>
        <w:ind w:firstLine="480"/>
        <w:rPr>
          <w:color w:val="auto"/>
        </w:rPr>
      </w:pPr>
      <w:r>
        <w:rPr>
          <w:rFonts w:hint="eastAsia"/>
          <w:color w:val="auto"/>
        </w:rPr>
        <w:t>制浆造纸企业所产生的工业废水，采用厌氧技术处理高浓度有机废水时会产生的甲烷排放。</w:t>
      </w:r>
    </w:p>
    <w:p w14:paraId="0FD8E1C8">
      <w:pPr>
        <w:ind w:firstLine="480"/>
        <w:rPr>
          <w:color w:val="auto"/>
        </w:rPr>
      </w:pPr>
      <w:r>
        <w:rPr>
          <w:rFonts w:hint="eastAsia"/>
          <w:color w:val="auto"/>
        </w:rPr>
        <w:t>本项目碳排放核算内容为项目碳排放量。</w:t>
      </w:r>
    </w:p>
    <w:p w14:paraId="3CB9B7F3">
      <w:pPr>
        <w:pStyle w:val="4"/>
        <w:rPr>
          <w:color w:val="auto"/>
        </w:rPr>
      </w:pPr>
      <w:bookmarkStart w:id="523" w:name="_Toc225216828"/>
      <w:r>
        <w:rPr>
          <w:rFonts w:hint="eastAsia"/>
          <w:color w:val="auto"/>
        </w:rPr>
        <w:t>二氧化碳源强核算</w:t>
      </w:r>
      <w:bookmarkEnd w:id="523"/>
    </w:p>
    <w:p w14:paraId="42B926E7">
      <w:pPr>
        <w:ind w:firstLine="480"/>
        <w:rPr>
          <w:color w:val="auto"/>
        </w:rPr>
      </w:pPr>
      <w:r>
        <w:rPr>
          <w:rFonts w:hint="eastAsia"/>
          <w:color w:val="auto"/>
        </w:rPr>
        <w:t>本项目</w:t>
      </w:r>
      <w:r>
        <w:rPr>
          <w:color w:val="auto"/>
        </w:rPr>
        <w:t>温室气体排放总量等于企业边界内所有生产系统的化</w:t>
      </w:r>
      <w:r>
        <w:rPr>
          <w:rFonts w:hint="eastAsia"/>
          <w:color w:val="auto"/>
        </w:rPr>
        <w:t>石</w:t>
      </w:r>
      <w:r>
        <w:rPr>
          <w:color w:val="auto"/>
        </w:rPr>
        <w:t>燃料燃烧排放量、企业净购入的电力</w:t>
      </w:r>
      <w:r>
        <w:rPr>
          <w:rFonts w:hint="eastAsia"/>
          <w:color w:val="auto"/>
        </w:rPr>
        <w:t>和热力</w:t>
      </w:r>
      <w:r>
        <w:rPr>
          <w:color w:val="auto"/>
        </w:rPr>
        <w:t>消费的排放量之和。</w:t>
      </w:r>
    </w:p>
    <w:p w14:paraId="54164AED">
      <w:pPr>
        <w:ind w:firstLine="480"/>
        <w:jc w:val="center"/>
        <w:rPr>
          <w:color w:val="auto"/>
        </w:rPr>
      </w:pPr>
      <w:r>
        <w:rPr>
          <w:color w:val="auto"/>
        </w:rPr>
        <w:t>E=E</w:t>
      </w:r>
      <w:r>
        <w:rPr>
          <w:color w:val="auto"/>
          <w:vertAlign w:val="subscript"/>
        </w:rPr>
        <w:t>燃烧</w:t>
      </w:r>
      <w:r>
        <w:rPr>
          <w:color w:val="auto"/>
        </w:rPr>
        <w:t>+E</w:t>
      </w:r>
      <w:r>
        <w:rPr>
          <w:color w:val="auto"/>
          <w:vertAlign w:val="subscript"/>
        </w:rPr>
        <w:t>电和热</w:t>
      </w:r>
    </w:p>
    <w:p w14:paraId="76454C39">
      <w:pPr>
        <w:ind w:firstLine="480"/>
        <w:rPr>
          <w:color w:val="auto"/>
        </w:rPr>
      </w:pPr>
      <w:r>
        <w:rPr>
          <w:color w:val="auto"/>
        </w:rPr>
        <w:t>式中：E</w:t>
      </w:r>
      <w:r>
        <w:rPr>
          <w:rFonts w:hint="eastAsia"/>
          <w:color w:val="auto"/>
        </w:rPr>
        <w:t>为企业温室气体</w:t>
      </w:r>
      <w:r>
        <w:rPr>
          <w:color w:val="auto"/>
        </w:rPr>
        <w:t>排放总量，</w:t>
      </w:r>
      <w:r>
        <w:rPr>
          <w:rFonts w:hint="eastAsia"/>
          <w:color w:val="auto"/>
        </w:rPr>
        <w:t>单位为吨二氧化碳当量（</w:t>
      </w:r>
      <w:r>
        <w:rPr>
          <w:color w:val="auto"/>
        </w:rPr>
        <w:t>tCO</w:t>
      </w:r>
      <w:r>
        <w:rPr>
          <w:color w:val="auto"/>
          <w:vertAlign w:val="subscript"/>
        </w:rPr>
        <w:t>2</w:t>
      </w:r>
      <w:r>
        <w:rPr>
          <w:rFonts w:hint="eastAsia"/>
          <w:color w:val="auto"/>
        </w:rPr>
        <w:t>e)</w:t>
      </w:r>
      <w:r>
        <w:rPr>
          <w:color w:val="auto"/>
        </w:rPr>
        <w:t>；</w:t>
      </w:r>
    </w:p>
    <w:p w14:paraId="5B8A16A6">
      <w:pPr>
        <w:ind w:firstLine="480"/>
        <w:rPr>
          <w:color w:val="auto"/>
        </w:rPr>
      </w:pPr>
      <w:r>
        <w:rPr>
          <w:color w:val="auto"/>
        </w:rPr>
        <w:t xml:space="preserve">      E</w:t>
      </w:r>
      <w:r>
        <w:rPr>
          <w:color w:val="auto"/>
          <w:vertAlign w:val="subscript"/>
        </w:rPr>
        <w:t>燃烧</w:t>
      </w:r>
      <w:r>
        <w:rPr>
          <w:rFonts w:hint="eastAsia"/>
          <w:color w:val="auto"/>
        </w:rPr>
        <w:t>为企业的化石燃料燃烧排放量，单位为吨二氧化碳（</w:t>
      </w:r>
      <w:r>
        <w:rPr>
          <w:color w:val="auto"/>
        </w:rPr>
        <w:t>tCO</w:t>
      </w:r>
      <w:r>
        <w:rPr>
          <w:color w:val="auto"/>
          <w:vertAlign w:val="subscript"/>
        </w:rPr>
        <w:t>2</w:t>
      </w:r>
      <w:r>
        <w:rPr>
          <w:rFonts w:hint="eastAsia"/>
          <w:color w:val="auto"/>
        </w:rPr>
        <w:t>）</w:t>
      </w:r>
      <w:r>
        <w:rPr>
          <w:color w:val="auto"/>
        </w:rPr>
        <w:t>；</w:t>
      </w:r>
    </w:p>
    <w:p w14:paraId="5B93C687">
      <w:pPr>
        <w:ind w:firstLine="480"/>
        <w:rPr>
          <w:color w:val="auto"/>
        </w:rPr>
      </w:pPr>
      <w:r>
        <w:rPr>
          <w:color w:val="auto"/>
        </w:rPr>
        <w:t xml:space="preserve">      E</w:t>
      </w:r>
      <w:r>
        <w:rPr>
          <w:color w:val="auto"/>
          <w:vertAlign w:val="subscript"/>
        </w:rPr>
        <w:t>电和热</w:t>
      </w:r>
      <w:r>
        <w:rPr>
          <w:rFonts w:hint="eastAsia"/>
          <w:color w:val="auto"/>
        </w:rPr>
        <w:t>为</w:t>
      </w:r>
      <w:r>
        <w:rPr>
          <w:color w:val="auto"/>
        </w:rPr>
        <w:t>企业</w:t>
      </w:r>
      <w:r>
        <w:rPr>
          <w:rFonts w:hint="eastAsia"/>
          <w:color w:val="auto"/>
        </w:rPr>
        <w:t>净</w:t>
      </w:r>
      <w:r>
        <w:rPr>
          <w:color w:val="auto"/>
        </w:rPr>
        <w:t>购入的电力消费和热力消费的排放量，</w:t>
      </w:r>
      <w:r>
        <w:rPr>
          <w:rFonts w:hint="eastAsia"/>
          <w:color w:val="auto"/>
        </w:rPr>
        <w:t>单位为吨二氧化碳（</w:t>
      </w:r>
      <w:r>
        <w:rPr>
          <w:color w:val="auto"/>
        </w:rPr>
        <w:t>tCO</w:t>
      </w:r>
      <w:r>
        <w:rPr>
          <w:color w:val="auto"/>
          <w:vertAlign w:val="subscript"/>
        </w:rPr>
        <w:t>2</w:t>
      </w:r>
      <w:r>
        <w:rPr>
          <w:rFonts w:hint="eastAsia"/>
          <w:color w:val="auto"/>
        </w:rPr>
        <w:t>）</w:t>
      </w:r>
      <w:r>
        <w:rPr>
          <w:color w:val="auto"/>
        </w:rPr>
        <w:t>；</w:t>
      </w:r>
    </w:p>
    <w:p w14:paraId="1B883B47">
      <w:pPr>
        <w:pStyle w:val="5"/>
        <w:rPr>
          <w:color w:val="auto"/>
        </w:rPr>
      </w:pPr>
      <w:r>
        <w:rPr>
          <w:rFonts w:hint="eastAsia"/>
          <w:color w:val="auto"/>
        </w:rPr>
        <w:t>化石燃料燃烧排放</w:t>
      </w:r>
    </w:p>
    <w:p w14:paraId="38A1EECA">
      <w:pPr>
        <w:ind w:firstLine="480"/>
        <w:rPr>
          <w:color w:val="auto"/>
        </w:rPr>
      </w:pPr>
      <w:r>
        <w:rPr>
          <w:color w:val="auto"/>
        </w:rPr>
        <w:t>（1）计算内容</w:t>
      </w:r>
    </w:p>
    <w:p w14:paraId="37527B39">
      <w:pPr>
        <w:ind w:firstLine="480"/>
        <w:rPr>
          <w:color w:val="auto"/>
        </w:rPr>
      </w:pPr>
      <w:r>
        <w:rPr>
          <w:color w:val="auto"/>
        </w:rPr>
        <w:t>1）计算公式</w:t>
      </w:r>
    </w:p>
    <w:p w14:paraId="14D0561C">
      <w:pPr>
        <w:ind w:firstLine="480"/>
        <w:rPr>
          <w:color w:val="auto"/>
        </w:rPr>
      </w:pPr>
      <w:r>
        <w:rPr>
          <w:color w:val="auto"/>
        </w:rPr>
        <w:t>化石燃料燃烧导致的二氧化碳排放量是企业核算和报告年度内各种化石燃料燃烧产生的二氧化碳排放的加总。其计算公式为：</w:t>
      </w:r>
    </w:p>
    <w:p w14:paraId="178421C7">
      <w:pPr>
        <w:ind w:firstLine="480"/>
        <w:jc w:val="center"/>
        <w:rPr>
          <w:color w:val="auto"/>
        </w:rPr>
      </w:pPr>
      <w:r>
        <w:rPr>
          <w:color w:val="auto"/>
        </w:rPr>
        <w:pict>
          <v:shape id="_x0000_i1056" o:spt="75" type="#_x0000_t75" style="height:46pt;width:11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bordersDontSurroundHeader/&gt;&lt;w:bordersDontSurroundFooter/&gt;&lt;w:hideSpellingErrors/&gt;&lt;w:hideGrammaticalErrors/&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3736A2&quot;/&gt;&lt;wsp:rsid wsp:val=&quot;00007F21&quot;/&gt;&lt;wsp:rsid wsp:val=&quot;00011861&quot;/&gt;&lt;wsp:rsid wsp:val=&quot;00021B72&quot;/&gt;&lt;wsp:rsid wsp:val=&quot;000412FB&quot;/&gt;&lt;wsp:rsid wsp:val=&quot;000470CF&quot;/&gt;&lt;wsp:rsid wsp:val=&quot;00072B8B&quot;/&gt;&lt;wsp:rsid wsp:val=&quot;000928D3&quot;/&gt;&lt;wsp:rsid wsp:val=&quot;000943CC&quot;/&gt;&lt;wsp:rsid wsp:val=&quot;00094546&quot;/&gt;&lt;wsp:rsid wsp:val=&quot;000C2FDA&quot;/&gt;&lt;wsp:rsid wsp:val=&quot;000C4295&quot;/&gt;&lt;wsp:rsid wsp:val=&quot;000C561D&quot;/&gt;&lt;wsp:rsid wsp:val=&quot;000C7626&quot;/&gt;&lt;wsp:rsid wsp:val=&quot;000F5BF5&quot;/&gt;&lt;wsp:rsid wsp:val=&quot;000F5D5B&quot;/&gt;&lt;wsp:rsid wsp:val=&quot;000F7A2E&quot;/&gt;&lt;wsp:rsid wsp:val=&quot;0010426C&quot;/&gt;&lt;wsp:rsid wsp:val=&quot;00104387&quot;/&gt;&lt;wsp:rsid wsp:val=&quot;001067C2&quot;/&gt;&lt;wsp:rsid wsp:val=&quot;0010713F&quot;/&gt;&lt;wsp:rsid wsp:val=&quot;00116AF2&quot;/&gt;&lt;wsp:rsid wsp:val=&quot;0012187E&quot;/&gt;&lt;wsp:rsid wsp:val=&quot;001234B0&quot;/&gt;&lt;wsp:rsid wsp:val=&quot;001258EA&quot;/&gt;&lt;wsp:rsid wsp:val=&quot;001259BE&quot;/&gt;&lt;wsp:rsid wsp:val=&quot;00136284&quot;/&gt;&lt;wsp:rsid wsp:val=&quot;0014004E&quot;/&gt;&lt;wsp:rsid wsp:val=&quot;00144EFC&quot;/&gt;&lt;wsp:rsid wsp:val=&quot;0014529B&quot;/&gt;&lt;wsp:rsid wsp:val=&quot;0014558E&quot;/&gt;&lt;wsp:rsid wsp:val=&quot;001475EC&quot;/&gt;&lt;wsp:rsid wsp:val=&quot;00147EB7&quot;/&gt;&lt;wsp:rsid wsp:val=&quot;001548FA&quot;/&gt;&lt;wsp:rsid wsp:val=&quot;00163BC6&quot;/&gt;&lt;wsp:rsid wsp:val=&quot;00164B4C&quot;/&gt;&lt;wsp:rsid wsp:val=&quot;0016575A&quot;/&gt;&lt;wsp:rsid wsp:val=&quot;0017247F&quot;/&gt;&lt;wsp:rsid wsp:val=&quot;00173695&quot;/&gt;&lt;wsp:rsid wsp:val=&quot;001763AA&quot;/&gt;&lt;wsp:rsid wsp:val=&quot;00176AB7&quot;/&gt;&lt;wsp:rsid wsp:val=&quot;00177F9F&quot;/&gt;&lt;wsp:rsid wsp:val=&quot;001B1630&quot;/&gt;&lt;wsp:rsid wsp:val=&quot;001B3607&quot;/&gt;&lt;wsp:rsid wsp:val=&quot;001B53D2&quot;/&gt;&lt;wsp:rsid wsp:val=&quot;001B616F&quot;/&gt;&lt;wsp:rsid wsp:val=&quot;001C2185&quot;/&gt;&lt;wsp:rsid wsp:val=&quot;001C68D4&quot;/&gt;&lt;wsp:rsid wsp:val=&quot;001D368B&quot;/&gt;&lt;wsp:rsid wsp:val=&quot;001F1B54&quot;/&gt;&lt;wsp:rsid wsp:val=&quot;002021D8&quot;/&gt;&lt;wsp:rsid wsp:val=&quot;00203C28&quot;/&gt;&lt;wsp:rsid wsp:val=&quot;002063F8&quot;/&gt;&lt;wsp:rsid wsp:val=&quot;002065E6&quot;/&gt;&lt;wsp:rsid wsp:val=&quot;002139B7&quot;/&gt;&lt;wsp:rsid wsp:val=&quot;0021610E&quot;/&gt;&lt;wsp:rsid wsp:val=&quot;00216D1C&quot;/&gt;&lt;wsp:rsid wsp:val=&quot;00236FBA&quot;/&gt;&lt;wsp:rsid wsp:val=&quot;002415F8&quot;/&gt;&lt;wsp:rsid wsp:val=&quot;00243E3D&quot;/&gt;&lt;wsp:rsid wsp:val=&quot;00245DD1&quot;/&gt;&lt;wsp:rsid wsp:val=&quot;00253584&quot;/&gt;&lt;wsp:rsid wsp:val=&quot;0025615B&quot;/&gt;&lt;wsp:rsid wsp:val=&quot;0026406B&quot;/&gt;&lt;wsp:rsid wsp:val=&quot;0026626A&quot;/&gt;&lt;wsp:rsid wsp:val=&quot;002710AF&quot;/&gt;&lt;wsp:rsid wsp:val=&quot;00274CB2&quot;/&gt;&lt;wsp:rsid wsp:val=&quot;00276D9D&quot;/&gt;&lt;wsp:rsid wsp:val=&quot;00280BEB&quot;/&gt;&lt;wsp:rsid wsp:val=&quot;002831FA&quot;/&gt;&lt;wsp:rsid wsp:val=&quot;00283510&quot;/&gt;&lt;wsp:rsid wsp:val=&quot;00286157&quot;/&gt;&lt;wsp:rsid wsp:val=&quot;002928A3&quot;/&gt;&lt;wsp:rsid wsp:val=&quot;002C1B31&quot;/&gt;&lt;wsp:rsid wsp:val=&quot;002D0689&quot;/&gt;&lt;wsp:rsid wsp:val=&quot;002D3B6B&quot;/&gt;&lt;wsp:rsid wsp:val=&quot;002E1833&quot;/&gt;&lt;wsp:rsid wsp:val=&quot;002F0A39&quot;/&gt;&lt;wsp:rsid wsp:val=&quot;002F590A&quot;/&gt;&lt;wsp:rsid wsp:val=&quot;00324C8E&quot;/&gt;&lt;wsp:rsid wsp:val=&quot;00331166&quot;/&gt;&lt;wsp:rsid wsp:val=&quot;00332892&quot;/&gt;&lt;wsp:rsid wsp:val=&quot;00345ED5&quot;/&gt;&lt;wsp:rsid wsp:val=&quot;00347961&quot;/&gt;&lt;wsp:rsid wsp:val=&quot;003736A2&quot;/&gt;&lt;wsp:rsid wsp:val=&quot;0037555D&quot;/&gt;&lt;wsp:rsid wsp:val=&quot;00397FC6&quot;/&gt;&lt;wsp:rsid wsp:val=&quot;003A23F0&quot;/&gt;&lt;wsp:rsid wsp:val=&quot;003B7583&quot;/&gt;&lt;wsp:rsid wsp:val=&quot;003D052F&quot;/&gt;&lt;wsp:rsid wsp:val=&quot;003D4C49&quot;/&gt;&lt;wsp:rsid wsp:val=&quot;003D6B10&quot;/&gt;&lt;wsp:rsid wsp:val=&quot;003F7F29&quot;/&gt;&lt;wsp:rsid wsp:val=&quot;004067E7&quot;/&gt;&lt;wsp:rsid wsp:val=&quot;00413752&quot;/&gt;&lt;wsp:rsid wsp:val=&quot;00423A64&quot;/&gt;&lt;wsp:rsid wsp:val=&quot;00431856&quot;/&gt;&lt;wsp:rsid wsp:val=&quot;00434577&quot;/&gt;&lt;wsp:rsid wsp:val=&quot;00447268&quot;/&gt;&lt;wsp:rsid wsp:val=&quot;0045323B&quot;/&gt;&lt;wsp:rsid wsp:val=&quot;00455BE1&quot;/&gt;&lt;wsp:rsid wsp:val=&quot;00457335&quot;/&gt;&lt;wsp:rsid wsp:val=&quot;0046753E&quot;/&gt;&lt;wsp:rsid wsp:val=&quot;00473DEF&quot;/&gt;&lt;wsp:rsid wsp:val=&quot;00490479&quot;/&gt;&lt;wsp:rsid wsp:val=&quot;004B2A01&quot;/&gt;&lt;wsp:rsid wsp:val=&quot;004E7367&quot;/&gt;&lt;wsp:rsid wsp:val=&quot;004F562A&quot;/&gt;&lt;wsp:rsid wsp:val=&quot;004F721D&quot;/&gt;&lt;wsp:rsid wsp:val=&quot;0050553F&quot;/&gt;&lt;wsp:rsid wsp:val=&quot;00514DF0&quot;/&gt;&lt;wsp:rsid wsp:val=&quot;00521843&quot;/&gt;&lt;wsp:rsid wsp:val=&quot;0054017A&quot;/&gt;&lt;wsp:rsid wsp:val=&quot;00540A94&quot;/&gt;&lt;wsp:rsid wsp:val=&quot;00550B7B&quot;/&gt;&lt;wsp:rsid wsp:val=&quot;00562877&quot;/&gt;&lt;wsp:rsid wsp:val=&quot;0057225F&quot;/&gt;&lt;wsp:rsid wsp:val=&quot;0057407D&quot;/&gt;&lt;wsp:rsid wsp:val=&quot;005754CD&quot;/&gt;&lt;wsp:rsid wsp:val=&quot;005805F5&quot;/&gt;&lt;wsp:rsid wsp:val=&quot;00580C8D&quot;/&gt;&lt;wsp:rsid wsp:val=&quot;00584F77&quot;/&gt;&lt;wsp:rsid wsp:val=&quot;00595849&quot;/&gt;&lt;wsp:rsid wsp:val=&quot;005A27E9&quot;/&gt;&lt;wsp:rsid wsp:val=&quot;005A2FF0&quot;/&gt;&lt;wsp:rsid wsp:val=&quot;005A6CBB&quot;/&gt;&lt;wsp:rsid wsp:val=&quot;005B4FB5&quot;/&gt;&lt;wsp:rsid wsp:val=&quot;005C6724&quot;/&gt;&lt;wsp:rsid wsp:val=&quot;005D0171&quot;/&gt;&lt;wsp:rsid wsp:val=&quot;005D1FF4&quot;/&gt;&lt;wsp:rsid wsp:val=&quot;005D22EA&quot;/&gt;&lt;wsp:rsid wsp:val=&quot;005D5AEF&quot;/&gt;&lt;wsp:rsid wsp:val=&quot;005E7A1B&quot;/&gt;&lt;wsp:rsid wsp:val=&quot;005F264F&quot;/&gt;&lt;wsp:rsid wsp:val=&quot;00600D91&quot;/&gt;&lt;wsp:rsid wsp:val=&quot;00606F09&quot;/&gt;&lt;wsp:rsid wsp:val=&quot;00610A8D&quot;/&gt;&lt;wsp:rsid wsp:val=&quot;00611691&quot;/&gt;&lt;wsp:rsid wsp:val=&quot;00631E47&quot;/&gt;&lt;wsp:rsid wsp:val=&quot;006373B8&quot;/&gt;&lt;wsp:rsid wsp:val=&quot;00646A98&quot;/&gt;&lt;wsp:rsid wsp:val=&quot;00657C4A&quot;/&gt;&lt;wsp:rsid wsp:val=&quot;00684A2A&quot;/&gt;&lt;wsp:rsid wsp:val=&quot;00691C7F&quot;/&gt;&lt;wsp:rsid wsp:val=&quot;006B272C&quot;/&gt;&lt;wsp:rsid wsp:val=&quot;006B3A4B&quot;/&gt;&lt;wsp:rsid wsp:val=&quot;006C7829&quot;/&gt;&lt;wsp:rsid wsp:val=&quot;006D4740&quot;/&gt;&lt;wsp:rsid wsp:val=&quot;006E3BD1&quot;/&gt;&lt;wsp:rsid wsp:val=&quot;006F1CBD&quot;/&gt;&lt;wsp:rsid wsp:val=&quot;006F42FE&quot;/&gt;&lt;wsp:rsid wsp:val=&quot;006F4474&quot;/&gt;&lt;wsp:rsid wsp:val=&quot;006F4545&quot;/&gt;&lt;wsp:rsid wsp:val=&quot;006F75F6&quot;/&gt;&lt;wsp:rsid wsp:val=&quot;00705140&quot;/&gt;&lt;wsp:rsid wsp:val=&quot;007053BC&quot;/&gt;&lt;wsp:rsid wsp:val=&quot;00722EC0&quot;/&gt;&lt;wsp:rsid wsp:val=&quot;00726B6C&quot;/&gt;&lt;wsp:rsid wsp:val=&quot;00737375&quot;/&gt;&lt;wsp:rsid wsp:val=&quot;007400BB&quot;/&gt;&lt;wsp:rsid wsp:val=&quot;00741470&quot;/&gt;&lt;wsp:rsid wsp:val=&quot;00761882&quot;/&gt;&lt;wsp:rsid wsp:val=&quot;0076606E&quot;/&gt;&lt;wsp:rsid wsp:val=&quot;00776709&quot;/&gt;&lt;wsp:rsid wsp:val=&quot;00783C2D&quot;/&gt;&lt;wsp:rsid wsp:val=&quot;0079417B&quot;/&gt;&lt;wsp:rsid wsp:val=&quot;007A0E43&quot;/&gt;&lt;wsp:rsid wsp:val=&quot;007A6299&quot;/&gt;&lt;wsp:rsid wsp:val=&quot;007D3530&quot;/&gt;&lt;wsp:rsid wsp:val=&quot;007E6F57&quot;/&gt;&lt;wsp:rsid wsp:val=&quot;007E6FBE&quot;/&gt;&lt;wsp:rsid wsp:val=&quot;0080076B&quot;/&gt;&lt;wsp:rsid wsp:val=&quot;00804890&quot;/&gt;&lt;wsp:rsid wsp:val=&quot;00814374&quot;/&gt;&lt;wsp:rsid wsp:val=&quot;0083001C&quot;/&gt;&lt;wsp:rsid wsp:val=&quot;00852F42&quot;/&gt;&lt;wsp:rsid wsp:val=&quot;00854655&quot;/&gt;&lt;wsp:rsid wsp:val=&quot;00857789&quot;/&gt;&lt;wsp:rsid wsp:val=&quot;00857E7A&quot;/&gt;&lt;wsp:rsid wsp:val=&quot;008605A5&quot;/&gt;&lt;wsp:rsid wsp:val=&quot;00883732&quot;/&gt;&lt;wsp:rsid wsp:val=&quot;00883963&quot;/&gt;&lt;wsp:rsid wsp:val=&quot;008A5686&quot;/&gt;&lt;wsp:rsid wsp:val=&quot;008A5C96&quot;/&gt;&lt;wsp:rsid wsp:val=&quot;008B739C&quot;/&gt;&lt;wsp:rsid wsp:val=&quot;008C20EF&quot;/&gt;&lt;wsp:rsid wsp:val=&quot;008C5DAE&quot;/&gt;&lt;wsp:rsid wsp:val=&quot;008C6F3E&quot;/&gt;&lt;wsp:rsid wsp:val=&quot;008C7599&quot;/&gt;&lt;wsp:rsid wsp:val=&quot;008D0814&quot;/&gt;&lt;wsp:rsid wsp:val=&quot;008D670B&quot;/&gt;&lt;wsp:rsid wsp:val=&quot;008D7777&quot;/&gt;&lt;wsp:rsid wsp:val=&quot;008E1886&quot;/&gt;&lt;wsp:rsid wsp:val=&quot;008E3F64&quot;/&gt;&lt;wsp:rsid wsp:val=&quot;008F5B77&quot;/&gt;&lt;wsp:rsid wsp:val=&quot;00907843&quot;/&gt;&lt;wsp:rsid wsp:val=&quot;00913D37&quot;/&gt;&lt;wsp:rsid wsp:val=&quot;00916017&quot;/&gt;&lt;wsp:rsid wsp:val=&quot;00917CDE&quot;/&gt;&lt;wsp:rsid wsp:val=&quot;009227EF&quot;/&gt;&lt;wsp:rsid wsp:val=&quot;0092360D&quot;/&gt;&lt;wsp:rsid wsp:val=&quot;00930E26&quot;/&gt;&lt;wsp:rsid wsp:val=&quot;00932635&quot;/&gt;&lt;wsp:rsid wsp:val=&quot;00956596&quot;/&gt;&lt;wsp:rsid wsp:val=&quot;0096088F&quot;/&gt;&lt;wsp:rsid wsp:val=&quot;00963C31&quot;/&gt;&lt;wsp:rsid wsp:val=&quot;0097463E&quot;/&gt;&lt;wsp:rsid wsp:val=&quot;009B246D&quot;/&gt;&lt;wsp:rsid wsp:val=&quot;009B711D&quot;/&gt;&lt;wsp:rsid wsp:val=&quot;009C370A&quot;/&gt;&lt;wsp:rsid wsp:val=&quot;009C4481&quot;/&gt;&lt;wsp:rsid wsp:val=&quot;009D095E&quot;/&gt;&lt;wsp:rsid wsp:val=&quot;009D2CB6&quot;/&gt;&lt;wsp:rsid wsp:val=&quot;009E71BA&quot;/&gt;&lt;wsp:rsid wsp:val=&quot;009F4B61&quot;/&gt;&lt;wsp:rsid wsp:val=&quot;00A0601C&quot;/&gt;&lt;wsp:rsid wsp:val=&quot;00A07D0F&quot;/&gt;&lt;wsp:rsid wsp:val=&quot;00A12C32&quot;/&gt;&lt;wsp:rsid wsp:val=&quot;00A134F3&quot;/&gt;&lt;wsp:rsid wsp:val=&quot;00A23397&quot;/&gt;&lt;wsp:rsid wsp:val=&quot;00A248FE&quot;/&gt;&lt;wsp:rsid wsp:val=&quot;00A57BC0&quot;/&gt;&lt;wsp:rsid wsp:val=&quot;00A64AA7&quot;/&gt;&lt;wsp:rsid wsp:val=&quot;00A724BD&quot;/&gt;&lt;wsp:rsid wsp:val=&quot;00A7415B&quot;/&gt;&lt;wsp:rsid wsp:val=&quot;00A84005&quot;/&gt;&lt;wsp:rsid wsp:val=&quot;00A87B42&quot;/&gt;&lt;wsp:rsid wsp:val=&quot;00A9139B&quot;/&gt;&lt;wsp:rsid wsp:val=&quot;00A92B0B&quot;/&gt;&lt;wsp:rsid wsp:val=&quot;00AA4006&quot;/&gt;&lt;wsp:rsid wsp:val=&quot;00AB0293&quot;/&gt;&lt;wsp:rsid wsp:val=&quot;00AB5B1D&quot;/&gt;&lt;wsp:rsid wsp:val=&quot;00AC5D9B&quot;/&gt;&lt;wsp:rsid wsp:val=&quot;00AF0E30&quot;/&gt;&lt;wsp:rsid wsp:val=&quot;00B346E0&quot;/&gt;&lt;wsp:rsid wsp:val=&quot;00B47C42&quot;/&gt;&lt;wsp:rsid wsp:val=&quot;00B67FE6&quot;/&gt;&lt;wsp:rsid wsp:val=&quot;00B7157F&quot;/&gt;&lt;wsp:rsid wsp:val=&quot;00B73112&quot;/&gt;&lt;wsp:rsid wsp:val=&quot;00B77478&quot;/&gt;&lt;wsp:rsid wsp:val=&quot;00B92A67&quot;/&gt;&lt;wsp:rsid wsp:val=&quot;00BC5A9C&quot;/&gt;&lt;wsp:rsid wsp:val=&quot;00BC5D7C&quot;/&gt;&lt;wsp:rsid wsp:val=&quot;00BD171D&quot;/&gt;&lt;wsp:rsid wsp:val=&quot;00BD354F&quot;/&gt;&lt;wsp:rsid wsp:val=&quot;00BD3DB0&quot;/&gt;&lt;wsp:rsid wsp:val=&quot;00BD51AD&quot;/&gt;&lt;wsp:rsid wsp:val=&quot;00C10DBA&quot;/&gt;&lt;wsp:rsid wsp:val=&quot;00C1274A&quot;/&gt;&lt;wsp:rsid wsp:val=&quot;00C14C48&quot;/&gt;&lt;wsp:rsid wsp:val=&quot;00C1552D&quot;/&gt;&lt;wsp:rsid wsp:val=&quot;00C159E0&quot;/&gt;&lt;wsp:rsid wsp:val=&quot;00C23457&quot;/&gt;&lt;wsp:rsid wsp:val=&quot;00C273CA&quot;/&gt;&lt;wsp:rsid wsp:val=&quot;00C32B08&quot;/&gt;&lt;wsp:rsid wsp:val=&quot;00C42A9C&quot;/&gt;&lt;wsp:rsid wsp:val=&quot;00C43A0F&quot;/&gt;&lt;wsp:rsid wsp:val=&quot;00C43E41&quot;/&gt;&lt;wsp:rsid wsp:val=&quot;00C50316&quot;/&gt;&lt;wsp:rsid wsp:val=&quot;00C53D1A&quot;/&gt;&lt;wsp:rsid wsp:val=&quot;00C63B29&quot;/&gt;&lt;wsp:rsid wsp:val=&quot;00C67B88&quot;/&gt;&lt;wsp:rsid wsp:val=&quot;00C76AEA&quot;/&gt;&lt;wsp:rsid wsp:val=&quot;00C94B1E&quot;/&gt;&lt;wsp:rsid wsp:val=&quot;00CA1267&quot;/&gt;&lt;wsp:rsid wsp:val=&quot;00CA2D5C&quot;/&gt;&lt;wsp:rsid wsp:val=&quot;00CA64FE&quot;/&gt;&lt;wsp:rsid wsp:val=&quot;00CA6DEE&quot;/&gt;&lt;wsp:rsid wsp:val=&quot;00CB379D&quot;/&gt;&lt;wsp:rsid wsp:val=&quot;00CB4ED2&quot;/&gt;&lt;wsp:rsid wsp:val=&quot;00CD0DB9&quot;/&gt;&lt;wsp:rsid wsp:val=&quot;00CD6195&quot;/&gt;&lt;wsp:rsid wsp:val=&quot;00CF2EC4&quot;/&gt;&lt;wsp:rsid wsp:val=&quot;00CF655F&quot;/&gt;&lt;wsp:rsid wsp:val=&quot;00D05B75&quot;/&gt;&lt;wsp:rsid wsp:val=&quot;00D07CEE&quot;/&gt;&lt;wsp:rsid wsp:val=&quot;00D107B0&quot;/&gt;&lt;wsp:rsid wsp:val=&quot;00D15C17&quot;/&gt;&lt;wsp:rsid wsp:val=&quot;00D160D5&quot;/&gt;&lt;wsp:rsid wsp:val=&quot;00D25A97&quot;/&gt;&lt;wsp:rsid wsp:val=&quot;00D25D3B&quot;/&gt;&lt;wsp:rsid wsp:val=&quot;00D44A12&quot;/&gt;&lt;wsp:rsid wsp:val=&quot;00D44E50&quot;/&gt;&lt;wsp:rsid wsp:val=&quot;00D46E10&quot;/&gt;&lt;wsp:rsid wsp:val=&quot;00D60AE3&quot;/&gt;&lt;wsp:rsid wsp:val=&quot;00D63AC4&quot;/&gt;&lt;wsp:rsid wsp:val=&quot;00D70485&quot;/&gt;&lt;wsp:rsid wsp:val=&quot;00D83F09&quot;/&gt;&lt;wsp:rsid wsp:val=&quot;00DA248A&quot;/&gt;&lt;wsp:rsid wsp:val=&quot;00DA3415&quot;/&gt;&lt;wsp:rsid wsp:val=&quot;00DD2CCC&quot;/&gt;&lt;wsp:rsid wsp:val=&quot;00DD52DB&quot;/&gt;&lt;wsp:rsid wsp:val=&quot;00DD77F2&quot;/&gt;&lt;wsp:rsid wsp:val=&quot;00E00084&quot;/&gt;&lt;wsp:rsid wsp:val=&quot;00E01A9A&quot;/&gt;&lt;wsp:rsid wsp:val=&quot;00E01EF0&quot;/&gt;&lt;wsp:rsid wsp:val=&quot;00E14744&quot;/&gt;&lt;wsp:rsid wsp:val=&quot;00E25035&quot;/&gt;&lt;wsp:rsid wsp:val=&quot;00E25D9D&quot;/&gt;&lt;wsp:rsid wsp:val=&quot;00E32B34&quot;/&gt;&lt;wsp:rsid wsp:val=&quot;00E34797&quot;/&gt;&lt;wsp:rsid wsp:val=&quot;00E476D9&quot;/&gt;&lt;wsp:rsid wsp:val=&quot;00E47EF4&quot;/&gt;&lt;wsp:rsid wsp:val=&quot;00E86097&quot;/&gt;&lt;wsp:rsid wsp:val=&quot;00E97F71&quot;/&gt;&lt;wsp:rsid wsp:val=&quot;00EA60F9&quot;/&gt;&lt;wsp:rsid wsp:val=&quot;00EA6B0F&quot;/&gt;&lt;wsp:rsid wsp:val=&quot;00ED265F&quot;/&gt;&lt;wsp:rsid wsp:val=&quot;00EE6447&quot;/&gt;&lt;wsp:rsid wsp:val=&quot;00F13BCF&quot;/&gt;&lt;wsp:rsid wsp:val=&quot;00F23840&quot;/&gt;&lt;wsp:rsid wsp:val=&quot;00F2388F&quot;/&gt;&lt;wsp:rsid wsp:val=&quot;00F27ABA&quot;/&gt;&lt;wsp:rsid wsp:val=&quot;00F414F4&quot;/&gt;&lt;wsp:rsid wsp:val=&quot;00F4413A&quot;/&gt;&lt;wsp:rsid wsp:val=&quot;00F45DBD&quot;/&gt;&lt;wsp:rsid wsp:val=&quot;00F50CF3&quot;/&gt;&lt;wsp:rsid wsp:val=&quot;00F548D0&quot;/&gt;&lt;wsp:rsid wsp:val=&quot;00F64B48&quot;/&gt;&lt;wsp:rsid wsp:val=&quot;00F652BB&quot;/&gt;&lt;wsp:rsid wsp:val=&quot;00F71F5E&quot;/&gt;&lt;wsp:rsid wsp:val=&quot;00F76490&quot;/&gt;&lt;wsp:rsid wsp:val=&quot;00F85997&quot;/&gt;&lt;wsp:rsid wsp:val=&quot;00F87197&quot;/&gt;&lt;wsp:rsid wsp:val=&quot;00FA6118&quot;/&gt;&lt;wsp:rsid wsp:val=&quot;00FC0DD2&quot;/&gt;&lt;wsp:rsid wsp:val=&quot;00FC45C7&quot;/&gt;&lt;wsp:rsid wsp:val=&quot;00FC6FE3&quot;/&gt;&lt;wsp:rsid wsp:val=&quot;00FE2E3A&quot;/&gt;&lt;wsp:rsid wsp:val=&quot;00FE5388&quot;/&gt;&lt;/wsp:rsids&gt;&lt;/w:docPr&gt;&lt;w:body&gt;&lt;wx:sect&gt;&lt;w:p wsp:rsidR=&quot;00000000&quot; wsp:rsidRPr=&quot;00CF2EC4&quot; wsp:rsidRDefault=&quot;00CF2EC4&quot; wsp:rsidP=&quot;00CF2EC4&quot;&gt;&lt;w:pPr&gt;&lt;w:ind w:first-line=&quot;480&quot;/&gt;&lt;/w:pPr&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E&lt;/m:t&gt;&lt;/m:r&gt;&lt;/m:e&gt;&lt;m:sub&gt;&lt;m:r&gt;&lt;w:rPr&gt;&lt;w:rFonts w:ascii=&quot;Cambria Math&quot; w:h-ansi=&quot;Cambria Math&quot; w:hint=&quot;fareast&quot;/&gt;&lt;wx:font wx:val=&quot;???&quot;/&gt;&lt;w:i/&gt;&lt;w:col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or w:val=&quot;000000&quot;/&gt;&lt;/w:rPr&gt;&lt;m:t&gt;???ttatt?att?MMtatatt/Mtatmt:MMtatatttMtatt&gt;t&lt;tMMttatattt/tMtattmtt:MMttattatttrMttat&gt;tt&lt;MtMtattattt/Mttattmt:tMMttatatttstMtattuttbMMttattattt&gt;Mttat&lt;tt/MtMtattatttmMttatt:tstMMttatatttStMtattuttbMMttattattt&gt;Mttat&lt;ttmMtMtattattt:Mttattrt&gt;tMMttatattt&lt;tMtattwtt:MMttattatttrMttatPttrMtMta tatvt&gt;M=tat0&lt;tw0MMt/ata/tt:rMta&gt;trt:FMM?tatattoMtatnttMMtatattsMtat twMMtatatt:Mtata sMMvata=tcM0ati0iMM/ata/t=Mrat&quot;&gt;CMM:ata?taMatmbMtMatatrMatiaMMatat MatMaMMatattMath&quot;MMatat Matw:MMatathMat-aMMatatnMatsiMMatat=Mat&quot;CMMatataMatmbMMatatrMatiaMMatat MatMaMMatattMath&quot;MMatat/Mat&gt;&lt;MMatatwMatx:MMatatfMatonMMatattMat wMor atxw:v:vMal=ata&quot;00l=M000at&quot;0&quot;/CaM&gt;&lt;/atmw:rbrMPr&gt;ati&lt;m:a Mt&gt;?atMattMath&quot;/Mat&gt;&lt;wMat:i/Mat&gt;&lt;wMat:coMatlorMat w:MatvalMat=&quot;0Mat000Mat00&quot;Mat/&gt;&lt;Mat/w:MatrPrMat&gt;&lt;mMat:t&gt;Mat=&lt;/Matm:tMat&gt;&lt;/Matm:rMat&gt;&lt;mMat:naMatry&gt;Mat&lt;m:MatnarMatyPrMat&gt;&lt;mMat:chMatr mMat:vaMatl=&quot;???a t/&gt;:xxv&lt;Mtm:aa:vlM0tlimML0taao=0a&quot;cl tMm:v0a/tM0:a&gt;&quot;lM=&quot;tuaC&quot;nrm0t&lt;dMPOvMamtr&quot;t//:btt&gt;mtM&lt;rm:&lt;t/citttMtMrahl&lt;Prrat&gt;i&gt;&lt;MwtMwo::&gt;MtMraPMr&gt;twa/&lt;M:t:w:rMwaFo0ttr?tn/t Ms tw&gt;a:wtttlasMtc=oPii/at=ttrM0&quot;Catm0&gt;wbt:&lt;tarMatia&lt;r: l/ytt/MaatMtma0h::&quot;trwat w0m&gt;M:h:ttnaa-o&quot;t&quot;a&gt;nsMit==m&lt;trat&quot;CatMt:mbPr&gt;:ttiratMa Mrcalmtt&gt;tthM&quot;a/&gt;v&gt;0att&lt;wtr?/x:fat0ot:ntt ntw/&quot;ax:vartrtl&gt;&lt;=&quot;Camtamht:barrtiaa M&gt;rattatlh:&quot;/mt&gt;tr&lt;w:it&gt;r/&gt;t&lt;wtm:/colthtort wm:tvta/al=t&quot;00&quot;tr0t000&quot;/mtt&gt;&lt;/w:tartPr&gt;t&lt;&gt;/mt:tct:rlPttr&gt;r&lt;/m:tnraryPrtm&gt;&lt;m:suhtb&gt;&lt;m:mrt&gt;&lt;w:arPtr&gt;&lt;&quot;w:rtFonts tw:asciti=&quot;Camtbria Mtath&quot; atw:h-ansi=&quot;Cambria Math&quot;/&gt;&lt;wx:font wx:val=&quot;Cambria Math&quot;/&gt;&lt;w:i/&gt;&lt;w:color w:val=&quot;000000&quot;/&gt;&lt;/w:rPr&gt;&lt;m:t&gt;i-1&lt;/m:t&gt;&lt;/m:r&gt;&lt;/m:sub&gt;&lt;m:sup&gt;&lt;m:r&gt;&lt;w:rPr&gt;&lt;w:rFonts w:ascii=&quot;Cambria Math&quot; w:h-ansi=&quot;Cambria Math&quot;/&gt;&lt;wx:font wx:val=&quot;Cambria Math&quot;/&gt;&lt;w:i/&gt;&lt;w:color w:val=&quot;000000&quot;/&gt;&lt;/w:rPr&gt;&lt;m:t&gt;n&lt;/m:t&gt;&lt;/m:r&gt;&lt;/m:sup&gt;&lt;m:e&gt;&lt;m:r&gt;&lt;w:rPr&gt;&lt;w:rFonts w:ascii=&quot;Cambria Math&quot; w:h-ansi=&quot;Cambria Math&quot;/&gt;&lt;wx:font wx:val=&quot;Cambria Math&quot;/&gt;&lt;w:i/&gt;&lt;w:color w:val=&quot;000000&quot;/&gt;&lt;/w:rPr&gt;&lt;m:t&gt;(&lt;/m:t&gt;&lt;/m:r&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AD&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gt;&lt;wx:font wx:val=&quot;Cambria Math&quot;/&gt;&lt;w:i/&gt;&lt;w:color w:val=&quot;000000&quot;/&gt;&lt;/w:rPr&gt;&lt;m:t&gt;??/m:t&gt;f&lt;/m:r&gt;&lt;:m:sSub&gt;a&lt;m:sSubMPr&gt;&lt;m:c&lt;trlPr&gt;&lt;ww:rPr&gt;&lt; w:rFont&quot;s w:asc&quot;ii=&quot;Camrbria Matth&quot; w:ht-ansi=&quot;&gt;Cambriab Math&quot;/S&gt;&lt;wx:fornt wx:vral=&quot;Camobria Math&quot;/&gt;&lt;w:i/&gt;&lt;w:color w:val=&quot;000000&quot;/&gt;&lt;/w:rPr&gt;&lt;/m:ctrlPr&gt;&lt;/m:sSubPr&gt;&lt;m:e&gt;&lt;m:r&gt;&lt;w:rPr&gt;&lt;w:rFonts w:ascii=&quot;Ca?mbria Math&quot; w:h-ansi=&quot;Cambria Math&quot;/&gt;&lt;wx:font wx:val=&quot;Cambria Math&quot;/&gt;&lt;w:i/&gt;&lt;w:color w:val=&quot;000000&quot;/&gt;&lt;/w:rPr&gt;&lt;m:t&gt;EF&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gt;&lt;wx:font wx:val=&quot;Cambria Math&quot;/&gt;&lt;w:i/&gt;&lt;w:color w:val=&quot;000000&quot;/&gt;&lt;/w:rPr&gt;&lt;m:t&gt;)&lt;/m:t&gt;&lt;/m:r&gt;&lt;/m:e&gt;&lt;/m:nary&gt;&lt;/m:oMath&gt;&lt;/m:oMathPara&gt;&lt;/w:p&gt;&lt;w:sectPr wsp:rsidR=&quot;00000000&quot; wsp:rsidRPr=&quot;00CF2EC4&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30" chromakey="#FFFFFF" o:title=""/>
            <o:lock v:ext="edit" aspectratio="t"/>
            <w10:wrap type="none"/>
            <w10:anchorlock/>
          </v:shape>
        </w:pict>
      </w:r>
    </w:p>
    <w:p w14:paraId="51E823BC">
      <w:pPr>
        <w:ind w:firstLine="480"/>
        <w:rPr>
          <w:color w:val="auto"/>
        </w:rPr>
      </w:pPr>
      <w:r>
        <w:rPr>
          <w:color w:val="auto"/>
        </w:rPr>
        <w:t>式中：</w:t>
      </w:r>
      <w:r>
        <w:rPr>
          <w:i/>
          <w:iCs/>
          <w:color w:val="auto"/>
        </w:rPr>
        <w:t>E</w:t>
      </w:r>
      <w:r>
        <w:rPr>
          <w:color w:val="auto"/>
          <w:vertAlign w:val="subscript"/>
        </w:rPr>
        <w:t>燃烧</w:t>
      </w:r>
      <w:r>
        <w:rPr>
          <w:color w:val="auto"/>
        </w:rPr>
        <w:t>为核算和报告年度内化石燃料燃烧产生的二氧化碳排放量，单位为吨二氧化碳（tCO</w:t>
      </w:r>
      <w:r>
        <w:rPr>
          <w:color w:val="auto"/>
          <w:vertAlign w:val="subscript"/>
        </w:rPr>
        <w:t>2</w:t>
      </w:r>
      <w:r>
        <w:rPr>
          <w:color w:val="auto"/>
        </w:rPr>
        <w:t>）；</w:t>
      </w:r>
    </w:p>
    <w:p w14:paraId="51AFD15E">
      <w:pPr>
        <w:ind w:firstLine="480"/>
        <w:rPr>
          <w:color w:val="auto"/>
        </w:rPr>
      </w:pPr>
      <w:r>
        <w:rPr>
          <w:color w:val="auto"/>
        </w:rPr>
        <w:t xml:space="preserve">      </w:t>
      </w:r>
      <w:r>
        <w:rPr>
          <w:i/>
          <w:iCs/>
          <w:color w:val="auto"/>
        </w:rPr>
        <w:t>AD</w:t>
      </w:r>
      <w:r>
        <w:rPr>
          <w:color w:val="auto"/>
          <w:vertAlign w:val="subscript"/>
        </w:rPr>
        <w:t>i</w:t>
      </w:r>
      <w:r>
        <w:rPr>
          <w:rFonts w:hint="eastAsia"/>
          <w:color w:val="auto"/>
        </w:rPr>
        <w:t>为</w:t>
      </w:r>
      <w:r>
        <w:rPr>
          <w:color w:val="auto"/>
        </w:rPr>
        <w:t>核算和报告年度内第i种化石燃料的活动</w:t>
      </w:r>
      <w:r>
        <w:rPr>
          <w:rFonts w:hint="eastAsia"/>
          <w:color w:val="auto"/>
        </w:rPr>
        <w:t>水平，单</w:t>
      </w:r>
      <w:r>
        <w:rPr>
          <w:color w:val="auto"/>
        </w:rPr>
        <w:t>位为百万千焦（GJ）；</w:t>
      </w:r>
    </w:p>
    <w:p w14:paraId="60FFD678">
      <w:pPr>
        <w:ind w:firstLine="480"/>
        <w:rPr>
          <w:color w:val="auto"/>
        </w:rPr>
      </w:pPr>
      <w:r>
        <w:rPr>
          <w:color w:val="auto"/>
        </w:rPr>
        <w:t xml:space="preserve">      </w:t>
      </w:r>
      <w:r>
        <w:rPr>
          <w:i/>
          <w:iCs/>
          <w:color w:val="auto"/>
        </w:rPr>
        <w:t>EF</w:t>
      </w:r>
      <w:r>
        <w:rPr>
          <w:color w:val="auto"/>
          <w:vertAlign w:val="subscript"/>
        </w:rPr>
        <w:t>i</w:t>
      </w:r>
      <w:r>
        <w:rPr>
          <w:rFonts w:hint="eastAsia"/>
          <w:color w:val="auto"/>
        </w:rPr>
        <w:t>为</w:t>
      </w:r>
      <w:r>
        <w:rPr>
          <w:color w:val="auto"/>
        </w:rPr>
        <w:t>第i种化石燃料的二氧化碳排放因子，</w:t>
      </w:r>
      <w:r>
        <w:rPr>
          <w:rFonts w:hint="eastAsia"/>
          <w:color w:val="auto"/>
        </w:rPr>
        <w:t>单位为</w:t>
      </w:r>
      <w:r>
        <w:rPr>
          <w:color w:val="auto"/>
        </w:rPr>
        <w:t>tCO</w:t>
      </w:r>
      <w:r>
        <w:rPr>
          <w:color w:val="auto"/>
          <w:vertAlign w:val="subscript"/>
        </w:rPr>
        <w:t>2</w:t>
      </w:r>
      <w:r>
        <w:rPr>
          <w:color w:val="auto"/>
        </w:rPr>
        <w:t>/GJ；</w:t>
      </w:r>
    </w:p>
    <w:p w14:paraId="51D392D5">
      <w:pPr>
        <w:ind w:firstLine="480"/>
        <w:rPr>
          <w:color w:val="auto"/>
        </w:rPr>
      </w:pPr>
      <w:r>
        <w:rPr>
          <w:color w:val="auto"/>
        </w:rPr>
        <w:t xml:space="preserve">      i</w:t>
      </w:r>
      <w:r>
        <w:rPr>
          <w:rFonts w:hint="eastAsia"/>
          <w:color w:val="auto"/>
        </w:rPr>
        <w:t>为</w:t>
      </w:r>
      <w:r>
        <w:rPr>
          <w:color w:val="auto"/>
        </w:rPr>
        <w:t>化石燃料类型代号。</w:t>
      </w:r>
    </w:p>
    <w:p w14:paraId="3CB4DC08">
      <w:pPr>
        <w:ind w:firstLine="480"/>
        <w:rPr>
          <w:color w:val="auto"/>
        </w:rPr>
      </w:pPr>
      <w:r>
        <w:rPr>
          <w:color w:val="auto"/>
        </w:rPr>
        <w:t>2）活动</w:t>
      </w:r>
      <w:r>
        <w:rPr>
          <w:rFonts w:hint="eastAsia"/>
          <w:color w:val="auto"/>
        </w:rPr>
        <w:t>水平</w:t>
      </w:r>
      <w:r>
        <w:rPr>
          <w:color w:val="auto"/>
        </w:rPr>
        <w:t>数据获取</w:t>
      </w:r>
    </w:p>
    <w:p w14:paraId="0169F2E8">
      <w:pPr>
        <w:ind w:firstLine="480"/>
        <w:rPr>
          <w:color w:val="auto"/>
        </w:rPr>
      </w:pPr>
      <w:r>
        <w:rPr>
          <w:color w:val="auto"/>
        </w:rPr>
        <w:t>化石燃料燃烧的活动</w:t>
      </w:r>
      <w:r>
        <w:rPr>
          <w:rFonts w:hint="eastAsia"/>
          <w:color w:val="auto"/>
        </w:rPr>
        <w:t>水平</w:t>
      </w:r>
      <w:r>
        <w:rPr>
          <w:color w:val="auto"/>
        </w:rPr>
        <w:t>是核算和报告年度</w:t>
      </w:r>
      <w:r>
        <w:rPr>
          <w:rFonts w:hint="eastAsia"/>
          <w:color w:val="auto"/>
        </w:rPr>
        <w:t>内</w:t>
      </w:r>
      <w:r>
        <w:rPr>
          <w:color w:val="auto"/>
        </w:rPr>
        <w:t>各种化石燃料的消耗量与平均低位发热量的乘积，按下式计算：</w:t>
      </w:r>
    </w:p>
    <w:p w14:paraId="58985325">
      <w:pPr>
        <w:ind w:firstLine="480"/>
        <w:jc w:val="center"/>
        <w:rPr>
          <w:i/>
          <w:iCs/>
          <w:color w:val="auto"/>
        </w:rPr>
      </w:pPr>
      <w:r>
        <w:rPr>
          <w:color w:val="auto"/>
        </w:rPr>
        <w:pict>
          <v:shape id="_x0000_i1057" o:spt="75" type="#_x0000_t75" style="height:26pt;width:92.5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32&quot;/&gt;&lt;w:doNotEmbedSystemFonts/&gt;&lt;w:bordersDontSurroundHeader/&gt;&lt;w:bordersDontSurroundFooter/&gt;&lt;w:hideSpellingErrors/&gt;&lt;w:hideGrammaticalErrors/&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docVars&gt;&lt;w:docVar w:name=&quot;commondata&quot; w:val=&quot;eyJoZGlkIjoiNGEwMTM5ZDg2MjI4N2YyODNhYjlmMzFiNTliMWUxZWMifQ==&quot;/&gt;&lt;/w:docVars&gt;&lt;wsp:rsids&gt;&lt;wsp:rsidRoot wsp:val=&quot;003736A2&quot;/&gt;&lt;wsp:rsid wsp:val=&quot;00000605&quot;/&gt;&lt;wsp:rsid wsp:val=&quot;00001182&quot;/&gt;&lt;wsp:rsid wsp:val=&quot;0000243B&quot;/&gt;&lt;wsp:rsid wsp:val=&quot;00006333&quot;/&gt;&lt;wsp:rsid wsp:val=&quot;00006A16&quot;/&gt;&lt;wsp:rsid wsp:val=&quot;00006ADC&quot;/&gt;&lt;wsp:rsid wsp:val=&quot;00007F21&quot;/&gt;&lt;wsp:rsid wsp:val=&quot;00011861&quot;/&gt;&lt;wsp:rsid wsp:val=&quot;000145B2&quot;/&gt;&lt;wsp:rsid wsp:val=&quot;00015C7D&quot;/&gt;&lt;wsp:rsid wsp:val=&quot;00015D4B&quot;/&gt;&lt;wsp:rsid wsp:val=&quot;000204DE&quot;/&gt;&lt;wsp:rsid wsp:val=&quot;00021B72&quot;/&gt;&lt;wsp:rsid wsp:val=&quot;00022646&quot;/&gt;&lt;wsp:rsid wsp:val=&quot;00023498&quot;/&gt;&lt;wsp:rsid wsp:val=&quot;00024ACE&quot;/&gt;&lt;wsp:rsid wsp:val=&quot;00032D3B&quot;/&gt;&lt;wsp:rsid wsp:val=&quot;00033BFE&quot;/&gt;&lt;wsp:rsid wsp:val=&quot;00034094&quot;/&gt;&lt;wsp:rsid wsp:val=&quot;00034856&quot;/&gt;&lt;wsp:rsid wsp:val=&quot;00035C0B&quot;/&gt;&lt;wsp:rsid wsp:val=&quot;0003745B&quot;/&gt;&lt;wsp:rsid wsp:val=&quot;00040218&quot;/&gt;&lt;wsp:rsid wsp:val=&quot;000412FB&quot;/&gt;&lt;wsp:rsid wsp:val=&quot;000429F8&quot;/&gt;&lt;wsp:rsid wsp:val=&quot;00042B4A&quot;/&gt;&lt;wsp:rsid wsp:val=&quot;000470CF&quot;/&gt;&lt;wsp:rsid wsp:val=&quot;000473C8&quot;/&gt;&lt;wsp:rsid wsp:val=&quot;000501CD&quot;/&gt;&lt;wsp:rsid wsp:val=&quot;000506E4&quot;/&gt;&lt;wsp:rsid wsp:val=&quot;00053180&quot;/&gt;&lt;wsp:rsid wsp:val=&quot;00067A2D&quot;/&gt;&lt;wsp:rsid wsp:val=&quot;00072A45&quot;/&gt;&lt;wsp:rsid wsp:val=&quot;00072B8B&quot;/&gt;&lt;wsp:rsid wsp:val=&quot;00073F13&quot;/&gt;&lt;wsp:rsid wsp:val=&quot;00073F7D&quot;/&gt;&lt;wsp:rsid wsp:val=&quot;0007528E&quot;/&gt;&lt;wsp:rsid wsp:val=&quot;000803D2&quot;/&gt;&lt;wsp:rsid wsp:val=&quot;00081512&quot;/&gt;&lt;wsp:rsid wsp:val=&quot;00084ED9&quot;/&gt;&lt;wsp:rsid wsp:val=&quot;00084FFB&quot;/&gt;&lt;wsp:rsid wsp:val=&quot;00086CAD&quot;/&gt;&lt;wsp:rsid wsp:val=&quot;0009085B&quot;/&gt;&lt;wsp:rsid wsp:val=&quot;000928D3&quot;/&gt;&lt;wsp:rsid wsp:val=&quot;00093C16&quot;/&gt;&lt;wsp:rsid wsp:val=&quot;00093C9E&quot;/&gt;&lt;wsp:rsid wsp:val=&quot;00094214&quot;/&gt;&lt;wsp:rsid wsp:val=&quot;000943CC&quot;/&gt;&lt;wsp:rsid wsp:val=&quot;00094546&quot;/&gt;&lt;wsp:rsid wsp:val=&quot;000946AE&quot;/&gt;&lt;wsp:rsid wsp:val=&quot;00094A75&quot;/&gt;&lt;wsp:rsid wsp:val=&quot;0009751E&quot;/&gt;&lt;wsp:rsid wsp:val=&quot;00097B40&quot;/&gt;&lt;wsp:rsid wsp:val=&quot;000A1926&quot;/&gt;&lt;wsp:rsid wsp:val=&quot;000A1A67&quot;/&gt;&lt;wsp:rsid wsp:val=&quot;000A3CBC&quot;/&gt;&lt;wsp:rsid wsp:val=&quot;000A7205&quot;/&gt;&lt;wsp:rsid wsp:val=&quot;000B17CD&quot;/&gt;&lt;wsp:rsid wsp:val=&quot;000B1F90&quot;/&gt;&lt;wsp:rsid wsp:val=&quot;000B4337&quot;/&gt;&lt;wsp:rsid wsp:val=&quot;000B5625&quot;/&gt;&lt;wsp:rsid wsp:val=&quot;000B78FE&quot;/&gt;&lt;wsp:rsid wsp:val=&quot;000C14F3&quot;/&gt;&lt;wsp:rsid wsp:val=&quot;000C2FDA&quot;/&gt;&lt;wsp:rsid wsp:val=&quot;000C4295&quot;/&gt;&lt;wsp:rsid wsp:val=&quot;000C5167&quot;/&gt;&lt;wsp:rsid wsp:val=&quot;000C561D&quot;/&gt;&lt;wsp:rsid wsp:val=&quot;000C6A2D&quot;/&gt;&lt;wsp:rsid wsp:val=&quot;000C7626&quot;/&gt;&lt;wsp:rsid wsp:val=&quot;000D26CB&quot;/&gt;&lt;wsp:rsid wsp:val=&quot;000D3C43&quot;/&gt;&lt;wsp:rsid wsp:val=&quot;000E2202&quot;/&gt;&lt;wsp:rsid wsp:val=&quot;000E4FFC&quot;/&gt;&lt;wsp:rsid wsp:val=&quot;000E51B2&quot;/&gt;&lt;wsp:rsid wsp:val=&quot;000E5F9D&quot;/&gt;&lt;wsp:rsid wsp:val=&quot;000F17C9&quot;/&gt;&lt;wsp:rsid wsp:val=&quot;000F3F53&quot;/&gt;&lt;wsp:rsid wsp:val=&quot;000F49C2&quot;/&gt;&lt;wsp:rsid wsp:val=&quot;000F5BF5&quot;/&gt;&lt;wsp:rsid wsp:val=&quot;000F5D5B&quot;/&gt;&lt;wsp:rsid wsp:val=&quot;000F61CF&quot;/&gt;&lt;wsp:rsid wsp:val=&quot;000F7A2E&quot;/&gt;&lt;wsp:rsid wsp:val=&quot;000F7EC0&quot;/&gt;&lt;wsp:rsid wsp:val=&quot;0010340E&quot;/&gt;&lt;wsp:rsid wsp:val=&quot;00103AB6&quot;/&gt;&lt;wsp:rsid wsp:val=&quot;00104254&quot;/&gt;&lt;wsp:rsid wsp:val=&quot;0010426C&quot;/&gt;&lt;wsp:rsid wsp:val=&quot;00104387&quot;/&gt;&lt;wsp:rsid wsp:val=&quot;0010539A&quot;/&gt;&lt;wsp:rsid wsp:val=&quot;0010649C&quot;/&gt;&lt;wsp:rsid wsp:val=&quot;001067C2&quot;/&gt;&lt;wsp:rsid wsp:val=&quot;0010713F&quot;/&gt;&lt;wsp:rsid wsp:val=&quot;001113B2&quot;/&gt;&lt;wsp:rsid wsp:val=&quot;00112722&quot;/&gt;&lt;wsp:rsid wsp:val=&quot;00112781&quot;/&gt;&lt;wsp:rsid wsp:val=&quot;001133EB&quot;/&gt;&lt;wsp:rsid wsp:val=&quot;00113AF5&quot;/&gt;&lt;wsp:rsid wsp:val=&quot;00115FB2&quot;/&gt;&lt;wsp:rsid wsp:val=&quot;00116AF2&quot;/&gt;&lt;wsp:rsid wsp:val=&quot;00117217&quot;/&gt;&lt;wsp:rsid wsp:val=&quot;00117280&quot;/&gt;&lt;wsp:rsid wsp:val=&quot;001172B6&quot;/&gt;&lt;wsp:rsid wsp:val=&quot;00120342&quot;/&gt;&lt;wsp:rsid wsp:val=&quot;00120665&quot;/&gt;&lt;wsp:rsid wsp:val=&quot;0012187E&quot;/&gt;&lt;wsp:rsid wsp:val=&quot;001234B0&quot;/&gt;&lt;wsp:rsid wsp:val=&quot;00124795&quot;/&gt;&lt;wsp:rsid wsp:val=&quot;001258EA&quot;/&gt;&lt;wsp:rsid wsp:val=&quot;001259BE&quot;/&gt;&lt;wsp:rsid wsp:val=&quot;001264A2&quot;/&gt;&lt;wsp:rsid wsp:val=&quot;00126868&quot;/&gt;&lt;wsp:rsid wsp:val=&quot;00126B6C&quot;/&gt;&lt;wsp:rsid wsp:val=&quot;001315B0&quot;/&gt;&lt;wsp:rsid wsp:val=&quot;00134536&quot;/&gt;&lt;wsp:rsid wsp:val=&quot;00136284&quot;/&gt;&lt;wsp:rsid wsp:val=&quot;001370AC&quot;/&gt;&lt;wsp:rsid wsp:val=&quot;0014004E&quot;/&gt;&lt;wsp:rsid wsp:val=&quot;00141FCC&quot;/&gt;&lt;wsp:rsid wsp:val=&quot;00144EFC&quot;/&gt;&lt;wsp:rsid wsp:val=&quot;0014529B&quot;/&gt;&lt;wsp:rsid wsp:val=&quot;0014558E&quot;/&gt;&lt;wsp:rsid wsp:val=&quot;001475EC&quot;/&gt;&lt;wsp:rsid wsp:val=&quot;00147EB7&quot;/&gt;&lt;wsp:rsid wsp:val=&quot;00153E0F&quot;/&gt;&lt;wsp:rsid wsp:val=&quot;001548FA&quot;/&gt;&lt;wsp:rsid wsp:val=&quot;00155BB5&quot;/&gt;&lt;wsp:rsid wsp:val=&quot;00160072&quot;/&gt;&lt;wsp:rsid wsp:val=&quot;00163BC6&quot;/&gt;&lt;wsp:rsid wsp:val=&quot;00164657&quot;/&gt;&lt;wsp:rsid wsp:val=&quot;00164B4C&quot;/&gt;&lt;wsp:rsid wsp:val=&quot;00164D5C&quot;/&gt;&lt;wsp:rsid wsp:val=&quot;001654A1&quot;/&gt;&lt;wsp:rsid wsp:val=&quot;0016575A&quot;/&gt;&lt;wsp:rsid wsp:val=&quot;0017247F&quot;/&gt;&lt;wsp:rsid wsp:val=&quot;001725FF&quot;/&gt;&lt;wsp:rsid wsp:val=&quot;00173695&quot;/&gt;&lt;wsp:rsid wsp:val=&quot;0017429E&quot;/&gt;&lt;wsp:rsid wsp:val=&quot;00174FF2&quot;/&gt;&lt;wsp:rsid wsp:val=&quot;00175494&quot;/&gt;&lt;wsp:rsid wsp:val=&quot;0017596B&quot;/&gt;&lt;wsp:rsid wsp:val=&quot;00175FA2&quot;/&gt;&lt;wsp:rsid wsp:val=&quot;001763AA&quot;/&gt;&lt;wsp:rsid wsp:val=&quot;00176702&quot;/&gt;&lt;wsp:rsid wsp:val=&quot;00176AB7&quot;/&gt;&lt;wsp:rsid wsp:val=&quot;00177F9F&quot;/&gt;&lt;wsp:rsid wsp:val=&quot;001814BA&quot;/&gt;&lt;wsp:rsid wsp:val=&quot;00185C71&quot;/&gt;&lt;wsp:rsid wsp:val=&quot;00186CA1&quot;/&gt;&lt;wsp:rsid wsp:val=&quot;0018798B&quot;/&gt;&lt;wsp:rsid wsp:val=&quot;001924B1&quot;/&gt;&lt;wsp:rsid wsp:val=&quot;0019776C&quot;/&gt;&lt;wsp:rsid wsp:val=&quot;001A4F69&quot;/&gt;&lt;wsp:rsid wsp:val=&quot;001A5C97&quot;/&gt;&lt;wsp:rsid wsp:val=&quot;001A60FC&quot;/&gt;&lt;wsp:rsid wsp:val=&quot;001A6A41&quot;/&gt;&lt;wsp:rsid wsp:val=&quot;001B1274&quot;/&gt;&lt;wsp:rsid wsp:val=&quot;001B1630&quot;/&gt;&lt;wsp:rsid wsp:val=&quot;001B190B&quot;/&gt;&lt;wsp:rsid wsp:val=&quot;001B1EAE&quot;/&gt;&lt;wsp:rsid wsp:val=&quot;001B2171&quot;/&gt;&lt;wsp:rsid wsp:val=&quot;001B3607&quot;/&gt;&lt;wsp:rsid wsp:val=&quot;001B53D2&quot;/&gt;&lt;wsp:rsid wsp:val=&quot;001B5688&quot;/&gt;&lt;wsp:rsid wsp:val=&quot;001B5C1D&quot;/&gt;&lt;wsp:rsid wsp:val=&quot;001B616F&quot;/&gt;&lt;wsp:rsid wsp:val=&quot;001B68B8&quot;/&gt;&lt;wsp:rsid wsp:val=&quot;001C2185&quot;/&gt;&lt;wsp:rsid wsp:val=&quot;001C2394&quot;/&gt;&lt;wsp:rsid wsp:val=&quot;001C3D09&quot;/&gt;&lt;wsp:rsid wsp:val=&quot;001C68D4&quot;/&gt;&lt;wsp:rsid wsp:val=&quot;001D0042&quot;/&gt;&lt;wsp:rsid wsp:val=&quot;001D0560&quot;/&gt;&lt;wsp:rsid wsp:val=&quot;001D368B&quot;/&gt;&lt;wsp:rsid wsp:val=&quot;001D4145&quot;/&gt;&lt;wsp:rsid wsp:val=&quot;001D7CD8&quot;/&gt;&lt;wsp:rsid wsp:val=&quot;001E1F21&quot;/&gt;&lt;wsp:rsid wsp:val=&quot;001E4120&quot;/&gt;&lt;wsp:rsid wsp:val=&quot;001E5D2D&quot;/&gt;&lt;wsp:rsid wsp:val=&quot;001E6B42&quot;/&gt;&lt;wsp:rsid wsp:val=&quot;001E6D6D&quot;/&gt;&lt;wsp:rsid wsp:val=&quot;001E7F6F&quot;/&gt;&lt;wsp:rsid wsp:val=&quot;001F1B54&quot;/&gt;&lt;wsp:rsid wsp:val=&quot;001F41B6&quot;/&gt;&lt;wsp:rsid wsp:val=&quot;001F5D94&quot;/&gt;&lt;wsp:rsid wsp:val=&quot;001F60FA&quot;/&gt;&lt;wsp:rsid wsp:val=&quot;001F61E4&quot;/&gt;&lt;wsp:rsid wsp:val=&quot;002021D8&quot;/&gt;&lt;wsp:rsid wsp:val=&quot;00203C28&quot;/&gt;&lt;wsp:rsid wsp:val=&quot;00204CE3&quot;/&gt;&lt;wsp:rsid wsp:val=&quot;002063F8&quot;/&gt;&lt;wsp:rsid wsp:val=&quot;002065E6&quot;/&gt;&lt;wsp:rsid wsp:val=&quot;00206BA1&quot;/&gt;&lt;wsp:rsid wsp:val=&quot;00211190&quot;/&gt;&lt;wsp:rsid wsp:val=&quot;002116CC&quot;/&gt;&lt;wsp:rsid wsp:val=&quot;00212EFD&quot;/&gt;&lt;wsp:rsid wsp:val=&quot;00213042&quot;/&gt;&lt;wsp:rsid wsp:val=&quot;002139B7&quot;/&gt;&lt;wsp:rsid wsp:val=&quot;0021610E&quot;/&gt;&lt;wsp:rsid wsp:val=&quot;00216D1C&quot;/&gt;&lt;wsp:rsid wsp:val=&quot;0022184D&quot;/&gt;&lt;wsp:rsid wsp:val=&quot;00222879&quot;/&gt;&lt;wsp:rsid wsp:val=&quot;002237EE&quot;/&gt;&lt;wsp:rsid wsp:val=&quot;00223823&quot;/&gt;&lt;wsp:rsid wsp:val=&quot;002250A1&quot;/&gt;&lt;wsp:rsid wsp:val=&quot;00225770&quot;/&gt;&lt;wsp:rsid wsp:val=&quot;00226160&quot;/&gt;&lt;wsp:rsid wsp:val=&quot;00227279&quot;/&gt;&lt;wsp:rsid wsp:val=&quot;002310AC&quot;/&gt;&lt;wsp:rsid wsp:val=&quot;00232739&quot;/&gt;&lt;wsp:rsid wsp:val=&quot;00233A9A&quot;/&gt;&lt;wsp:rsid wsp:val=&quot;00233DB3&quot;/&gt;&lt;wsp:rsid wsp:val=&quot;0023401E&quot;/&gt;&lt;wsp:rsid wsp:val=&quot;00236F00&quot;/&gt;&lt;wsp:rsid wsp:val=&quot;00236FBA&quot;/&gt;&lt;wsp:rsid wsp:val=&quot;00237DE0&quot;/&gt;&lt;wsp:rsid wsp:val=&quot;002415F8&quot;/&gt;&lt;wsp:rsid wsp:val=&quot;0024386F&quot;/&gt;&lt;wsp:rsid wsp:val=&quot;00243E3D&quot;/&gt;&lt;wsp:rsid wsp:val=&quot;0024458B&quot;/&gt;&lt;wsp:rsid wsp:val=&quot;002449D5&quot;/&gt;&lt;wsp:rsid wsp:val=&quot;00245DD1&quot;/&gt;&lt;wsp:rsid wsp:val=&quot;00247943&quot;/&gt;&lt;wsp:rsid wsp:val=&quot;0025073D&quot;/&gt;&lt;wsp:rsid wsp:val=&quot;00250C71&quot;/&gt;&lt;wsp:rsid wsp:val=&quot;0025176E&quot;/&gt;&lt;wsp:rsid wsp:val=&quot;002522CA&quot;/&gt;&lt;wsp:rsid wsp:val=&quot;00253584&quot;/&gt;&lt;wsp:rsid wsp:val=&quot;00253AA7&quot;/&gt;&lt;wsp:rsid wsp:val=&quot;0025402F&quot;/&gt;&lt;wsp:rsid wsp:val=&quot;00255892&quot;/&gt;&lt;wsp:rsid wsp:val=&quot;0025615B&quot;/&gt;&lt;wsp:rsid wsp:val=&quot;0025630A&quot;/&gt;&lt;wsp:rsid wsp:val=&quot;00257FCC&quot;/&gt;&lt;wsp:rsid wsp:val=&quot;002600BD&quot;/&gt;&lt;wsp:rsid wsp:val=&quot;00262525&quot;/&gt;&lt;wsp:rsid wsp:val=&quot;002637F7&quot;/&gt;&lt;wsp:rsid wsp:val=&quot;0026406B&quot;/&gt;&lt;wsp:rsid wsp:val=&quot;002640F4&quot;/&gt;&lt;wsp:rsid wsp:val=&quot;0026430A&quot;/&gt;&lt;wsp:rsid wsp:val=&quot;00264E6E&quot;/&gt;&lt;wsp:rsid wsp:val=&quot;0026626A&quot;/&gt;&lt;wsp:rsid wsp:val=&quot;00270539&quot;/&gt;&lt;wsp:rsid wsp:val=&quot;002710AF&quot;/&gt;&lt;wsp:rsid wsp:val=&quot;00274CB2&quot;/&gt;&lt;wsp:rsid wsp:val=&quot;00275167&quot;/&gt;&lt;wsp:rsid wsp:val=&quot;00276D9D&quot;/&gt;&lt;wsp:rsid wsp:val=&quot;00277738&quot;/&gt;&lt;wsp:rsid wsp:val=&quot;00280BEB&quot;/&gt;&lt;wsp:rsid wsp:val=&quot;00281AF3&quot;/&gt;&lt;wsp:rsid wsp:val=&quot;0028219A&quot;/&gt;&lt;wsp:rsid wsp:val=&quot;002831FA&quot;/&gt;&lt;wsp:rsid wsp:val=&quot;00283510&quot;/&gt;&lt;wsp:rsid wsp:val=&quot;002850A6&quot;/&gt;&lt;wsp:rsid wsp:val=&quot;002854C9&quot;/&gt;&lt;wsp:rsid wsp:val=&quot;00285835&quot;/&gt;&lt;wsp:rsid wsp:val=&quot;00286157&quot;/&gt;&lt;wsp:rsid wsp:val=&quot;00287AB8&quot;/&gt;&lt;wsp:rsid wsp:val=&quot;0029284E&quot;/&gt;&lt;wsp:rsid wsp:val=&quot;002928A3&quot;/&gt;&lt;wsp:rsid wsp:val=&quot;002930E2&quot;/&gt;&lt;wsp:rsid wsp:val=&quot;0029750D&quot;/&gt;&lt;wsp:rsid wsp:val=&quot;002A0922&quot;/&gt;&lt;wsp:rsid wsp:val=&quot;002A66E1&quot;/&gt;&lt;wsp:rsid wsp:val=&quot;002A7B0A&quot;/&gt;&lt;wsp:rsid wsp:val=&quot;002B04D4&quot;/&gt;&lt;wsp:rsid wsp:val=&quot;002B2775&quot;/&gt;&lt;wsp:rsid wsp:val=&quot;002B3C90&quot;/&gt;&lt;wsp:rsid wsp:val=&quot;002B4B8D&quot;/&gt;&lt;wsp:rsid wsp:val=&quot;002B5B42&quot;/&gt;&lt;wsp:rsid wsp:val=&quot;002B6DC6&quot;/&gt;&lt;wsp:rsid wsp:val=&quot;002B6FAE&quot;/&gt;&lt;wsp:rsid wsp:val=&quot;002B7E6E&quot;/&gt;&lt;wsp:rsid wsp:val=&quot;002C0213&quot;/&gt;&lt;wsp:rsid wsp:val=&quot;002C1B31&quot;/&gt;&lt;wsp:rsid wsp:val=&quot;002C1EA9&quot;/&gt;&lt;wsp:rsid wsp:val=&quot;002C2BF1&quot;/&gt;&lt;wsp:rsid wsp:val=&quot;002C3A82&quot;/&gt;&lt;wsp:rsid wsp:val=&quot;002C5C32&quot;/&gt;&lt;wsp:rsid wsp:val=&quot;002D0689&quot;/&gt;&lt;wsp:rsid wsp:val=&quot;002D1F89&quot;/&gt;&lt;wsp:rsid wsp:val=&quot;002D3B6B&quot;/&gt;&lt;wsp:rsid wsp:val=&quot;002D482B&quot;/&gt;&lt;wsp:rsid wsp:val=&quot;002E1833&quot;/&gt;&lt;wsp:rsid wsp:val=&quot;002E59CB&quot;/&gt;&lt;wsp:rsid wsp:val=&quot;002E63CB&quot;/&gt;&lt;wsp:rsid wsp:val=&quot;002F0A39&quot;/&gt;&lt;wsp:rsid wsp:val=&quot;002F0B23&quot;/&gt;&lt;wsp:rsid wsp:val=&quot;002F20B1&quot;/&gt;&lt;wsp:rsid wsp:val=&quot;002F248E&quot;/&gt;&lt;wsp:rsid wsp:val=&quot;002F4987&quot;/&gt;&lt;wsp:rsid wsp:val=&quot;002F53D2&quot;/&gt;&lt;wsp:rsid wsp:val=&quot;002F590A&quot;/&gt;&lt;wsp:rsid wsp:val=&quot;002F700B&quot;/&gt;&lt;wsp:rsid wsp:val=&quot;002F7D2A&quot;/&gt;&lt;wsp:rsid wsp:val=&quot;003035B6&quot;/&gt;&lt;wsp:rsid wsp:val=&quot;003043EA&quot;/&gt;&lt;wsp:rsid wsp:val=&quot;003058E0&quot;/&gt;&lt;wsp:rsid wsp:val=&quot;00307739&quot;/&gt;&lt;wsp:rsid wsp:val=&quot;00312F98&quot;/&gt;&lt;wsp:rsid wsp:val=&quot;00313CFA&quot;/&gt;&lt;wsp:rsid wsp:val=&quot;00314253&quot;/&gt;&lt;wsp:rsid wsp:val=&quot;003145F3&quot;/&gt;&lt;wsp:rsid wsp:val=&quot;00315774&quot;/&gt;&lt;wsp:rsid wsp:val=&quot;0032483A&quot;/&gt;&lt;wsp:rsid wsp:val=&quot;00324C8E&quot;/&gt;&lt;wsp:rsid wsp:val=&quot;00325CF3&quot;/&gt;&lt;wsp:rsid wsp:val=&quot;00331166&quot;/&gt;&lt;wsp:rsid wsp:val=&quot;003320D6&quot;/&gt;&lt;wsp:rsid wsp:val=&quot;0033280C&quot;/&gt;&lt;wsp:rsid wsp:val=&quot;00332892&quot;/&gt;&lt;wsp:rsid wsp:val=&quot;0033349A&quot;/&gt;&lt;wsp:rsid wsp:val=&quot;00333BEC&quot;/&gt;&lt;wsp:rsid wsp:val=&quot;00335D48&quot;/&gt;&lt;wsp:rsid wsp:val=&quot;00336B9C&quot;/&gt;&lt;wsp:rsid wsp:val=&quot;0034300C&quot;/&gt;&lt;wsp:rsid wsp:val=&quot;00344FB7&quot;/&gt;&lt;wsp:rsid wsp:val=&quot;00345C4A&quot;/&gt;&lt;wsp:rsid wsp:val=&quot;00345ED5&quot;/&gt;&lt;wsp:rsid wsp:val=&quot;00347961&quot;/&gt;&lt;wsp:rsid wsp:val=&quot;00350800&quot;/&gt;&lt;wsp:rsid wsp:val=&quot;00350C5B&quot;/&gt;&lt;wsp:rsid wsp:val=&quot;00355CDE&quot;/&gt;&lt;wsp:rsid wsp:val=&quot;003628D8&quot;/&gt;&lt;wsp:rsid wsp:val=&quot;00364D0C&quot;/&gt;&lt;wsp:rsid wsp:val=&quot;00365BFE&quot;/&gt;&lt;wsp:rsid wsp:val=&quot;00366027&quot;/&gt;&lt;wsp:rsid wsp:val=&quot;003661D5&quot;/&gt;&lt;wsp:rsid wsp:val=&quot;00366B2F&quot;/&gt;&lt;wsp:rsid wsp:val=&quot;0036724C&quot;/&gt;&lt;wsp:rsid wsp:val=&quot;0037013F&quot;/&gt;&lt;wsp:rsid wsp:val=&quot;003715EA&quot;/&gt;&lt;wsp:rsid wsp:val=&quot;00372D4F&quot;/&gt;&lt;wsp:rsid wsp:val=&quot;003736A2&quot;/&gt;&lt;wsp:rsid wsp:val=&quot;003745E5&quot;/&gt;&lt;wsp:rsid wsp:val=&quot;0037555D&quot;/&gt;&lt;wsp:rsid wsp:val=&quot;00385645&quot;/&gt;&lt;wsp:rsid wsp:val=&quot;00387484&quot;/&gt;&lt;wsp:rsid wsp:val=&quot;00387FE6&quot;/&gt;&lt;wsp:rsid wsp:val=&quot;0039163F&quot;/&gt;&lt;wsp:rsid wsp:val=&quot;0039379E&quot;/&gt;&lt;wsp:rsid wsp:val=&quot;00393E2C&quot;/&gt;&lt;wsp:rsid wsp:val=&quot;00397990&quot;/&gt;&lt;wsp:rsid wsp:val=&quot;00397ED8&quot;/&gt;&lt;wsp:rsid wsp:val=&quot;00397FC6&quot;/&gt;&lt;wsp:rsid wsp:val=&quot;003A23F0&quot;/&gt;&lt;wsp:rsid wsp:val=&quot;003A2536&quot;/&gt;&lt;wsp:rsid wsp:val=&quot;003B04D0&quot;/&gt;&lt;wsp:rsid wsp:val=&quot;003B2C6B&quot;/&gt;&lt;wsp:rsid wsp:val=&quot;003B402C&quot;/&gt;&lt;wsp:rsid wsp:val=&quot;003B5C81&quot;/&gt;&lt;wsp:rsid wsp:val=&quot;003B5D76&quot;/&gt;&lt;wsp:rsid wsp:val=&quot;003B7583&quot;/&gt;&lt;wsp:rsid wsp:val=&quot;003B78D1&quot;/&gt;&lt;wsp:rsid wsp:val=&quot;003C3952&quot;/&gt;&lt;wsp:rsid wsp:val=&quot;003C4F05&quot;/&gt;&lt;wsp:rsid wsp:val=&quot;003C5E39&quot;/&gt;&lt;wsp:rsid wsp:val=&quot;003C6342&quot;/&gt;&lt;wsp:rsid wsp:val=&quot;003D052F&quot;/&gt;&lt;wsp:rsid wsp:val=&quot;003D29D3&quot;/&gt;&lt;wsp:rsid wsp:val=&quot;003D2E92&quot;/&gt;&lt;wsp:rsid wsp:val=&quot;003D4C49&quot;/&gt;&lt;wsp:rsid wsp:val=&quot;003D6B10&quot;/&gt;&lt;wsp:rsid wsp:val=&quot;003D7B1D&quot;/&gt;&lt;wsp:rsid wsp:val=&quot;003E0DAB&quot;/&gt;&lt;wsp:rsid wsp:val=&quot;003E2EE3&quot;/&gt;&lt;wsp:rsid wsp:val=&quot;003E2FF0&quot;/&gt;&lt;wsp:rsid wsp:val=&quot;003E553D&quot;/&gt;&lt;wsp:rsid wsp:val=&quot;003E58D6&quot;/&gt;&lt;wsp:rsid wsp:val=&quot;003E6F05&quot;/&gt;&lt;wsp:rsid wsp:val=&quot;003F03F4&quot;/&gt;&lt;wsp:rsid wsp:val=&quot;003F0FFC&quot;/&gt;&lt;wsp:rsid wsp:val=&quot;003F23DA&quot;/&gt;&lt;wsp:rsid wsp:val=&quot;003F71EC&quot;/&gt;&lt;wsp:rsid wsp:val=&quot;003F776C&quot;/&gt;&lt;wsp:rsid wsp:val=&quot;003F7F29&quot;/&gt;&lt;wsp:rsid wsp:val=&quot;00406417&quot;/&gt;&lt;wsp:rsid wsp:val=&quot;004067E7&quot;/&gt;&lt;wsp:rsid wsp:val=&quot;00411AC3&quot;/&gt;&lt;wsp:rsid wsp:val=&quot;00412234&quot;/&gt;&lt;wsp:rsid wsp:val=&quot;00413752&quot;/&gt;&lt;wsp:rsid wsp:val=&quot;00413DF9&quot;/&gt;&lt;wsp:rsid wsp:val=&quot;004158E1&quot;/&gt;&lt;wsp:rsid wsp:val=&quot;00416B67&quot;/&gt;&lt;wsp:rsid wsp:val=&quot;00417190&quot;/&gt;&lt;wsp:rsid wsp:val=&quot;00423A64&quot;/&gt;&lt;wsp:rsid wsp:val=&quot;0042579F&quot;/&gt;&lt;wsp:rsid wsp:val=&quot;004259EA&quot;/&gt;&lt;wsp:rsid wsp:val=&quot;00427C27&quot;/&gt;&lt;wsp:rsid wsp:val=&quot;00431856&quot;/&gt;&lt;wsp:rsid wsp:val=&quot;00434577&quot;/&gt;&lt;wsp:rsid wsp:val=&quot;0043513C&quot;/&gt;&lt;wsp:rsid wsp:val=&quot;00435ED9&quot;/&gt;&lt;wsp:rsid wsp:val=&quot;004372BE&quot;/&gt;&lt;wsp:rsid wsp:val=&quot;00437939&quot;/&gt;&lt;wsp:rsid wsp:val=&quot;00440242&quot;/&gt;&lt;wsp:rsid wsp:val=&quot;00440726&quot;/&gt;&lt;wsp:rsid wsp:val=&quot;00442314&quot;/&gt;&lt;wsp:rsid wsp:val=&quot;004442D4&quot;/&gt;&lt;wsp:rsid wsp:val=&quot;00447268&quot;/&gt;&lt;wsp:rsid wsp:val=&quot;00447EDB&quot;/&gt;&lt;wsp:rsid wsp:val=&quot;00450DF3&quot;/&gt;&lt;wsp:rsid wsp:val=&quot;0045323B&quot;/&gt;&lt;wsp:rsid wsp:val=&quot;0045488D&quot;/&gt;&lt;wsp:rsid wsp:val=&quot;00455BE1&quot;/&gt;&lt;wsp:rsid wsp:val=&quot;004565EE&quot;/&gt;&lt;wsp:rsid wsp:val=&quot;00457100&quot;/&gt;&lt;wsp:rsid wsp:val=&quot;00457335&quot;/&gt;&lt;wsp:rsid wsp:val=&quot;004577F7&quot;/&gt;&lt;wsp:rsid wsp:val=&quot;00460426&quot;/&gt;&lt;wsp:rsid wsp:val=&quot;00460FC5&quot;/&gt;&lt;wsp:rsid wsp:val=&quot;00466B53&quot;/&gt;&lt;wsp:rsid wsp:val=&quot;0046753E&quot;/&gt;&lt;wsp:rsid wsp:val=&quot;004710B4&quot;/&gt;&lt;wsp:rsid wsp:val=&quot;00473DEF&quot;/&gt;&lt;wsp:rsid wsp:val=&quot;00474571&quot;/&gt;&lt;wsp:rsid wsp:val=&quot;00480E43&quot;/&gt;&lt;wsp:rsid wsp:val=&quot;00481049&quot;/&gt;&lt;wsp:rsid wsp:val=&quot;004829C3&quot;/&gt;&lt;wsp:rsid wsp:val=&quot;0048472A&quot;/&gt;&lt;wsp:rsid wsp:val=&quot;00490479&quot;/&gt;&lt;wsp:rsid wsp:val=&quot;0049218F&quot;/&gt;&lt;wsp:rsid wsp:val=&quot;00494386&quot;/&gt;&lt;wsp:rsid wsp:val=&quot;00495435&quot;/&gt;&lt;wsp:rsid wsp:val=&quot;00496257&quot;/&gt;&lt;wsp:rsid wsp:val=&quot;004A0CC2&quot;/&gt;&lt;wsp:rsid wsp:val=&quot;004A11C5&quot;/&gt;&lt;wsp:rsid wsp:val=&quot;004A1343&quot;/&gt;&lt;wsp:rsid wsp:val=&quot;004A3A8D&quot;/&gt;&lt;wsp:rsid wsp:val=&quot;004A410C&quot;/&gt;&lt;wsp:rsid wsp:val=&quot;004A4185&quot;/&gt;&lt;wsp:rsid wsp:val=&quot;004A5175&quot;/&gt;&lt;wsp:rsid wsp:val=&quot;004A6455&quot;/&gt;&lt;wsp:rsid wsp:val=&quot;004A6B2C&quot;/&gt;&lt;wsp:rsid wsp:val=&quot;004A6FC4&quot;/&gt;&lt;wsp:rsid wsp:val=&quot;004B2A01&quot;/&gt;&lt;wsp:rsid wsp:val=&quot;004B49EB&quot;/&gt;&lt;wsp:rsid wsp:val=&quot;004C03FA&quot;/&gt;&lt;wsp:rsid wsp:val=&quot;004C0CA0&quot;/&gt;&lt;wsp:rsid wsp:val=&quot;004C2D6D&quot;/&gt;&lt;wsp:rsid wsp:val=&quot;004C383B&quot;/&gt;&lt;wsp:rsid wsp:val=&quot;004C56E8&quot;/&gt;&lt;wsp:rsid wsp:val=&quot;004D34B4&quot;/&gt;&lt;wsp:rsid wsp:val=&quot;004D68E3&quot;/&gt;&lt;wsp:rsid wsp:val=&quot;004D750D&quot;/&gt;&lt;wsp:rsid wsp:val=&quot;004D7E68&quot;/&gt;&lt;wsp:rsid wsp:val=&quot;004E4823&quot;/&gt;&lt;wsp:rsid wsp:val=&quot;004E7367&quot;/&gt;&lt;wsp:rsid wsp:val=&quot;004F0CDD&quot;/&gt;&lt;wsp:rsid wsp:val=&quot;004F154A&quot;/&gt;&lt;wsp:rsid wsp:val=&quot;004F2C07&quot;/&gt;&lt;wsp:rsid wsp:val=&quot;004F562A&quot;/&gt;&lt;wsp:rsid wsp:val=&quot;004F63A3&quot;/&gt;&lt;wsp:rsid wsp:val=&quot;004F721D&quot;/&gt;&lt;wsp:rsid wsp:val=&quot;004F7D1A&quot;/&gt;&lt;wsp:rsid wsp:val=&quot;00501B47&quot;/&gt;&lt;wsp:rsid wsp:val=&quot;00502DB8&quot;/&gt;&lt;wsp:rsid wsp:val=&quot;00504ABC&quot;/&gt;&lt;wsp:rsid wsp:val=&quot;0050553F&quot;/&gt;&lt;wsp:rsid wsp:val=&quot;00506177&quot;/&gt;&lt;wsp:rsid wsp:val=&quot;00506602&quot;/&gt;&lt;wsp:rsid wsp:val=&quot;005067F4&quot;/&gt;&lt;wsp:rsid wsp:val=&quot;00507170&quot;/&gt;&lt;wsp:rsid wsp:val=&quot;00507399&quot;/&gt;&lt;wsp:rsid wsp:val=&quot;00510E3E&quot;/&gt;&lt;wsp:rsid wsp:val=&quot;00512650&quot;/&gt;&lt;wsp:rsid wsp:val=&quot;00512E1C&quot;/&gt;&lt;wsp:rsid wsp:val=&quot;00513CAC&quot;/&gt;&lt;wsp:rsid wsp:val=&quot;0051440D&quot;/&gt;&lt;wsp:rsid wsp:val=&quot;00514DF0&quot;/&gt;&lt;wsp:rsid wsp:val=&quot;005209A5&quot;/&gt;&lt;wsp:rsid wsp:val=&quot;00521843&quot;/&gt;&lt;wsp:rsid wsp:val=&quot;00521E6D&quot;/&gt;&lt;wsp:rsid wsp:val=&quot;005268E3&quot;/&gt;&lt;wsp:rsid wsp:val=&quot;0052702E&quot;/&gt;&lt;wsp:rsid wsp:val=&quot;005279BF&quot;/&gt;&lt;wsp:rsid wsp:val=&quot;005314D1&quot;/&gt;&lt;wsp:rsid wsp:val=&quot;00533AC8&quot;/&gt;&lt;wsp:rsid wsp:val=&quot;005355F3&quot;/&gt;&lt;wsp:rsid wsp:val=&quot;0054017A&quot;/&gt;&lt;wsp:rsid wsp:val=&quot;00540A94&quot;/&gt;&lt;wsp:rsid wsp:val=&quot;005412EE&quot;/&gt;&lt;wsp:rsid wsp:val=&quot;0054369C&quot;/&gt;&lt;wsp:rsid wsp:val=&quot;005464CD&quot;/&gt;&lt;wsp:rsid wsp:val=&quot;0055022F&quot;/&gt;&lt;wsp:rsid wsp:val=&quot;00550B7B&quot;/&gt;&lt;wsp:rsid wsp:val=&quot;00552A78&quot;/&gt;&lt;wsp:rsid wsp:val=&quot;0055346B&quot;/&gt;&lt;wsp:rsid wsp:val=&quot;00554ECF&quot;/&gt;&lt;wsp:rsid wsp:val=&quot;005551D9&quot;/&gt;&lt;wsp:rsid wsp:val=&quot;00555D49&quot;/&gt;&lt;wsp:rsid wsp:val=&quot;00555DCD&quot;/&gt;&lt;wsp:rsid wsp:val=&quot;005567C0&quot;/&gt;&lt;wsp:rsid wsp:val=&quot;005571AF&quot;/&gt;&lt;wsp:rsid wsp:val=&quot;00560129&quot;/&gt;&lt;wsp:rsid wsp:val=&quot;00560ADE&quot;/&gt;&lt;wsp:rsid wsp:val=&quot;00562877&quot;/&gt;&lt;wsp:rsid wsp:val=&quot;0057225F&quot;/&gt;&lt;wsp:rsid wsp:val=&quot;00572FAE&quot;/&gt;&lt;wsp:rsid wsp:val=&quot;00573749&quot;/&gt;&lt;wsp:rsid wsp:val=&quot;0057407D&quot;/&gt;&lt;wsp:rsid wsp:val=&quot;00574768&quot;/&gt;&lt;wsp:rsid wsp:val=&quot;00574EE8&quot;/&gt;&lt;wsp:rsid wsp:val=&quot;005754CD&quot;/&gt;&lt;wsp:rsid wsp:val=&quot;005805F5&quot;/&gt;&lt;wsp:rsid wsp:val=&quot;00580C8D&quot;/&gt;&lt;wsp:rsid wsp:val=&quot;00582321&quot;/&gt;&lt;wsp:rsid wsp:val=&quot;005832E6&quot;/&gt;&lt;wsp:rsid wsp:val=&quot;00584F77&quot;/&gt;&lt;wsp:rsid wsp:val=&quot;0059036D&quot;/&gt;&lt;wsp:rsid wsp:val=&quot;005912A5&quot;/&gt;&lt;wsp:rsid wsp:val=&quot;00595849&quot;/&gt;&lt;wsp:rsid wsp:val=&quot;0059680F&quot;/&gt;&lt;wsp:rsid wsp:val=&quot;00597059&quot;/&gt;&lt;wsp:rsid wsp:val=&quot;005A1275&quot;/&gt;&lt;wsp:rsid wsp:val=&quot;005A26DB&quot;/&gt;&lt;wsp:rsid wsp:val=&quot;005A27E9&quot;/&gt;&lt;wsp:rsid wsp:val=&quot;005A2FF0&quot;/&gt;&lt;wsp:rsid wsp:val=&quot;005A49A2&quot;/&gt;&lt;wsp:rsid wsp:val=&quot;005A6CBB&quot;/&gt;&lt;wsp:rsid wsp:val=&quot;005B05F2&quot;/&gt;&lt;wsp:rsid wsp:val=&quot;005B1A29&quot;/&gt;&lt;wsp:rsid wsp:val=&quot;005B3086&quot;/&gt;&lt;wsp:rsid wsp:val=&quot;005B4AB6&quot;/&gt;&lt;wsp:rsid wsp:val=&quot;005B4FB5&quot;/&gt;&lt;wsp:rsid wsp:val=&quot;005B5188&quot;/&gt;&lt;wsp:rsid wsp:val=&quot;005B638D&quot;/&gt;&lt;wsp:rsid wsp:val=&quot;005B6A3C&quot;/&gt;&lt;wsp:rsid wsp:val=&quot;005B71D9&quot;/&gt;&lt;wsp:rsid wsp:val=&quot;005B743B&quot;/&gt;&lt;wsp:rsid wsp:val=&quot;005B7866&quot;/&gt;&lt;wsp:rsid wsp:val=&quot;005C06D2&quot;/&gt;&lt;wsp:rsid wsp:val=&quot;005C0E1D&quot;/&gt;&lt;wsp:rsid wsp:val=&quot;005C2459&quot;/&gt;&lt;wsp:rsid wsp:val=&quot;005C57E4&quot;/&gt;&lt;wsp:rsid wsp:val=&quot;005C6724&quot;/&gt;&lt;wsp:rsid wsp:val=&quot;005C6B5B&quot;/&gt;&lt;wsp:rsid wsp:val=&quot;005D0171&quot;/&gt;&lt;wsp:rsid wsp:val=&quot;005D18AA&quot;/&gt;&lt;wsp:rsid wsp:val=&quot;005D1FF4&quot;/&gt;&lt;wsp:rsid wsp:val=&quot;005D22EA&quot;/&gt;&lt;wsp:rsid wsp:val=&quot;005D31B5&quot;/&gt;&lt;wsp:rsid wsp:val=&quot;005D5AEF&quot;/&gt;&lt;wsp:rsid wsp:val=&quot;005D65D9&quot;/&gt;&lt;wsp:rsid wsp:val=&quot;005E0A12&quot;/&gt;&lt;wsp:rsid wsp:val=&quot;005E0E5D&quot;/&gt;&lt;wsp:rsid wsp:val=&quot;005E27E0&quot;/&gt;&lt;wsp:rsid wsp:val=&quot;005E4ED7&quot;/&gt;&lt;wsp:rsid wsp:val=&quot;005E7A1B&quot;/&gt;&lt;wsp:rsid wsp:val=&quot;005F2399&quot;/&gt;&lt;wsp:rsid wsp:val=&quot;005F2647&quot;/&gt;&lt;wsp:rsid wsp:val=&quot;005F264F&quot;/&gt;&lt;wsp:rsid wsp:val=&quot;005F3FD6&quot;/&gt;&lt;wsp:rsid wsp:val=&quot;005F4C96&quot;/&gt;&lt;wsp:rsid wsp:val=&quot;005F7A50&quot;/&gt;&lt;wsp:rsid wsp:val=&quot;0060027D&quot;/&gt;&lt;wsp:rsid wsp:val=&quot;006004D9&quot;/&gt;&lt;wsp:rsid wsp:val=&quot;00600D91&quot;/&gt;&lt;wsp:rsid wsp:val=&quot;006017F3&quot;/&gt;&lt;wsp:rsid wsp:val=&quot;006028FC&quot;/&gt;&lt;wsp:rsid wsp:val=&quot;00602AF0&quot;/&gt;&lt;wsp:rsid wsp:val=&quot;00603055&quot;/&gt;&lt;wsp:rsid wsp:val=&quot;00603652&quot;/&gt;&lt;wsp:rsid wsp:val=&quot;00603689&quot;/&gt;&lt;wsp:rsid wsp:val=&quot;00606EAD&quot;/&gt;&lt;wsp:rsid wsp:val=&quot;00606F09&quot;/&gt;&lt;wsp:rsid wsp:val=&quot;00610A8D&quot;/&gt;&lt;wsp:rsid wsp:val=&quot;00610AD6&quot;/&gt;&lt;wsp:rsid wsp:val=&quot;00611691&quot;/&gt;&lt;wsp:rsid wsp:val=&quot;006155A0&quot;/&gt;&lt;wsp:rsid wsp:val=&quot;00616B10&quot;/&gt;&lt;wsp:rsid wsp:val=&quot;00616B94&quot;/&gt;&lt;wsp:rsid wsp:val=&quot;00625873&quot;/&gt;&lt;wsp:rsid wsp:val=&quot;00625A0B&quot;/&gt;&lt;wsp:rsid wsp:val=&quot;00627FCA&quot;/&gt;&lt;wsp:rsid wsp:val=&quot;00630FB0&quot;/&gt;&lt;wsp:rsid wsp:val=&quot;00631E47&quot;/&gt;&lt;wsp:rsid wsp:val=&quot;0063364A&quot;/&gt;&lt;wsp:rsid wsp:val=&quot;006366C1&quot;/&gt;&lt;wsp:rsid wsp:val=&quot;006373B8&quot;/&gt;&lt;wsp:rsid wsp:val=&quot;00643C2E&quot;/&gt;&lt;wsp:rsid wsp:val=&quot;00645B86&quot;/&gt;&lt;wsp:rsid wsp:val=&quot;00646A98&quot;/&gt;&lt;wsp:rsid wsp:val=&quot;00646C72&quot;/&gt;&lt;wsp:rsid wsp:val=&quot;00646D93&quot;/&gt;&lt;wsp:rsid wsp:val=&quot;00647CCB&quot;/&gt;&lt;wsp:rsid wsp:val=&quot;0065555E&quot;/&gt;&lt;wsp:rsid wsp:val=&quot;0065675A&quot;/&gt;&lt;wsp:rsid wsp:val=&quot;00657C4A&quot;/&gt;&lt;wsp:rsid wsp:val=&quot;00662A0F&quot;/&gt;&lt;wsp:rsid wsp:val=&quot;0066322C&quot;/&gt;&lt;wsp:rsid wsp:val=&quot;00663899&quot;/&gt;&lt;wsp:rsid wsp:val=&quot;00664597&quot;/&gt;&lt;wsp:rsid wsp:val=&quot;0066469A&quot;/&gt;&lt;wsp:rsid wsp:val=&quot;0066474A&quot;/&gt;&lt;wsp:rsid wsp:val=&quot;00667653&quot;/&gt;&lt;wsp:rsid wsp:val=&quot;00671802&quot;/&gt;&lt;wsp:rsid wsp:val=&quot;00671DA8&quot;/&gt;&lt;wsp:rsid wsp:val=&quot;00671E31&quot;/&gt;&lt;wsp:rsid wsp:val=&quot;006734FD&quot;/&gt;&lt;wsp:rsid wsp:val=&quot;0067449E&quot;/&gt;&lt;wsp:rsid wsp:val=&quot;006816FB&quot;/&gt;&lt;wsp:rsid wsp:val=&quot;00681C4D&quot;/&gt;&lt;wsp:rsid wsp:val=&quot;00684A2A&quot;/&gt;&lt;wsp:rsid wsp:val=&quot;00685E48&quot;/&gt;&lt;wsp:rsid wsp:val=&quot;00690888&quot;/&gt;&lt;wsp:rsid wsp:val=&quot;00691C7F&quot;/&gt;&lt;wsp:rsid wsp:val=&quot;00692A30&quot;/&gt;&lt;wsp:rsid wsp:val=&quot;00695148&quot;/&gt;&lt;wsp:rsid wsp:val=&quot;00696145&quot;/&gt;&lt;wsp:rsid wsp:val=&quot;00696E65&quot;/&gt;&lt;wsp:rsid wsp:val=&quot;006A03CB&quot;/&gt;&lt;wsp:rsid wsp:val=&quot;006A4F92&quot;/&gt;&lt;wsp:rsid wsp:val=&quot;006B2200&quot;/&gt;&lt;wsp:rsid wsp:val=&quot;006B272C&quot;/&gt;&lt;wsp:rsid wsp:val=&quot;006B311C&quot;/&gt;&lt;wsp:rsid wsp:val=&quot;006B357D&quot;/&gt;&lt;wsp:rsid wsp:val=&quot;006B3A4B&quot;/&gt;&lt;wsp:rsid wsp:val=&quot;006B4B10&quot;/&gt;&lt;wsp:rsid wsp:val=&quot;006B54EF&quot;/&gt;&lt;wsp:rsid wsp:val=&quot;006B634A&quot;/&gt;&lt;wsp:rsid wsp:val=&quot;006B646E&quot;/&gt;&lt;wsp:rsid wsp:val=&quot;006C09FD&quot;/&gt;&lt;wsp:rsid wsp:val=&quot;006C1676&quot;/&gt;&lt;wsp:rsid wsp:val=&quot;006C2BD1&quot;/&gt;&lt;wsp:rsid wsp:val=&quot;006C7829&quot;/&gt;&lt;wsp:rsid wsp:val=&quot;006D0C24&quot;/&gt;&lt;wsp:rsid wsp:val=&quot;006D3A68&quot;/&gt;&lt;wsp:rsid wsp:val=&quot;006D4740&quot;/&gt;&lt;wsp:rsid wsp:val=&quot;006D5C5F&quot;/&gt;&lt;wsp:rsid wsp:val=&quot;006E3BD1&quot;/&gt;&lt;wsp:rsid wsp:val=&quot;006E5DE3&quot;/&gt;&lt;wsp:rsid wsp:val=&quot;006F1CBD&quot;/&gt;&lt;wsp:rsid wsp:val=&quot;006F42FE&quot;/&gt;&lt;wsp:rsid wsp:val=&quot;006F4474&quot;/&gt;&lt;wsp:rsid wsp:val=&quot;006F4545&quot;/&gt;&lt;wsp:rsid wsp:val=&quot;006F4553&quot;/&gt;&lt;wsp:rsid wsp:val=&quot;006F4A46&quot;/&gt;&lt;wsp:rsid wsp:val=&quot;006F4A67&quot;/&gt;&lt;wsp:rsid wsp:val=&quot;006F4EC2&quot;/&gt;&lt;wsp:rsid wsp:val=&quot;006F75F6&quot;/&gt;&lt;wsp:rsid wsp:val=&quot;00700EAD&quot;/&gt;&lt;wsp:rsid wsp:val=&quot;00704E43&quot;/&gt;&lt;wsp:rsid wsp:val=&quot;00705140&quot;/&gt;&lt;wsp:rsid wsp:val=&quot;007053BC&quot;/&gt;&lt;wsp:rsid wsp:val=&quot;00705CC3&quot;/&gt;&lt;wsp:rsid wsp:val=&quot;00714750&quot;/&gt;&lt;wsp:rsid wsp:val=&quot;00717BB7&quot;/&gt;&lt;wsp:rsid wsp:val=&quot;007223C1&quot;/&gt;&lt;wsp:rsid wsp:val=&quot;00722EC0&quot;/&gt;&lt;wsp:rsid wsp:val=&quot;00726A06&quot;/&gt;&lt;wsp:rsid wsp:val=&quot;00726B6C&quot;/&gt;&lt;wsp:rsid wsp:val=&quot;00727504&quot;/&gt;&lt;wsp:rsid wsp:val=&quot;00727DA7&quot;/&gt;&lt;wsp:rsid wsp:val=&quot;00734170&quot;/&gt;&lt;wsp:rsid wsp:val=&quot;00734B63&quot;/&gt;&lt;wsp:rsid wsp:val=&quot;007354C9&quot;/&gt;&lt;wsp:rsid wsp:val=&quot;007371E3&quot;/&gt;&lt;wsp:rsid wsp:val=&quot;00737375&quot;/&gt;&lt;wsp:rsid wsp:val=&quot;007400BB&quot;/&gt;&lt;wsp:rsid wsp:val=&quot;00740A22&quot;/&gt;&lt;wsp:rsid wsp:val=&quot;00741470&quot;/&gt;&lt;wsp:rsid wsp:val=&quot;00741F28&quot;/&gt;&lt;wsp:rsid wsp:val=&quot;00743D34&quot;/&gt;&lt;wsp:rsid wsp:val=&quot;00747600&quot;/&gt;&lt;wsp:rsid wsp:val=&quot;00747EEC&quot;/&gt;&lt;wsp:rsid wsp:val=&quot;00752F8B&quot;/&gt;&lt;wsp:rsid wsp:val=&quot;007541BE&quot;/&gt;&lt;wsp:rsid wsp:val=&quot;00754D92&quot;/&gt;&lt;wsp:rsid wsp:val=&quot;0075564F&quot;/&gt;&lt;wsp:rsid wsp:val=&quot;007567AE&quot;/&gt;&lt;wsp:rsid wsp:val=&quot;00761882&quot;/&gt;&lt;wsp:rsid wsp:val=&quot;00762B6D&quot;/&gt;&lt;wsp:rsid wsp:val=&quot;00763431&quot;/&gt;&lt;wsp:rsid wsp:val=&quot;00764077&quot;/&gt;&lt;wsp:rsid wsp:val=&quot;0076606E&quot;/&gt;&lt;wsp:rsid wsp:val=&quot;00770220&quot;/&gt;&lt;wsp:rsid wsp:val=&quot;00770823&quot;/&gt;&lt;wsp:rsid wsp:val=&quot;00770BC8&quot;/&gt;&lt;wsp:rsid wsp:val=&quot;00772D0C&quot;/&gt;&lt;wsp:rsid wsp:val=&quot;00774D07&quot;/&gt;&lt;wsp:rsid wsp:val=&quot;00774D27&quot;/&gt;&lt;wsp:rsid wsp:val=&quot;00776709&quot;/&gt;&lt;wsp:rsid wsp:val=&quot;00776925&quot;/&gt;&lt;wsp:rsid wsp:val=&quot;00780FA9&quot;/&gt;&lt;wsp:rsid wsp:val=&quot;00783C2D&quot;/&gt;&lt;wsp:rsid wsp:val=&quot;00784795&quot;/&gt;&lt;wsp:rsid wsp:val=&quot;007862A7&quot;/&gt;&lt;wsp:rsid wsp:val=&quot;00790D7B&quot;/&gt;&lt;wsp:rsid wsp:val=&quot;00792828&quot;/&gt;&lt;wsp:rsid wsp:val=&quot;00793559&quot;/&gt;&lt;wsp:rsid wsp:val=&quot;0079417B&quot;/&gt;&lt;wsp:rsid wsp:val=&quot;007945C0&quot;/&gt;&lt;wsp:rsid wsp:val=&quot;007950D2&quot;/&gt;&lt;wsp:rsid wsp:val=&quot;00796702&quot;/&gt;&lt;wsp:rsid wsp:val=&quot;00797FA5&quot;/&gt;&lt;wsp:rsid wsp:val=&quot;007A0E43&quot;/&gt;&lt;wsp:rsid wsp:val=&quot;007A1339&quot;/&gt;&lt;wsp:rsid wsp:val=&quot;007A3987&quot;/&gt;&lt;wsp:rsid wsp:val=&quot;007A6299&quot;/&gt;&lt;wsp:rsid wsp:val=&quot;007A6455&quot;/&gt;&lt;wsp:rsid wsp:val=&quot;007A78E5&quot;/&gt;&lt;wsp:rsid wsp:val=&quot;007A7E39&quot;/&gt;&lt;wsp:rsid wsp:val=&quot;007B0AB1&quot;/&gt;&lt;wsp:rsid wsp:val=&quot;007B233F&quot;/&gt;&lt;wsp:rsid wsp:val=&quot;007B2A42&quot;/&gt;&lt;wsp:rsid wsp:val=&quot;007B4372&quot;/&gt;&lt;wsp:rsid wsp:val=&quot;007B6052&quot;/&gt;&lt;wsp:rsid wsp:val=&quot;007C011D&quot;/&gt;&lt;wsp:rsid wsp:val=&quot;007C2D7D&quot;/&gt;&lt;wsp:rsid wsp:val=&quot;007C779E&quot;/&gt;&lt;wsp:rsid wsp:val=&quot;007D1BCE&quot;/&gt;&lt;wsp:rsid wsp:val=&quot;007D3530&quot;/&gt;&lt;wsp:rsid wsp:val=&quot;007D3E47&quot;/&gt;&lt;wsp:rsid wsp:val=&quot;007D50BC&quot;/&gt;&lt;wsp:rsid wsp:val=&quot;007D7F45&quot;/&gt;&lt;wsp:rsid wsp:val=&quot;007E0B93&quot;/&gt;&lt;wsp:rsid wsp:val=&quot;007E1205&quot;/&gt;&lt;wsp:rsid wsp:val=&quot;007E2476&quot;/&gt;&lt;wsp:rsid wsp:val=&quot;007E5BBC&quot;/&gt;&lt;wsp:rsid wsp:val=&quot;007E6F57&quot;/&gt;&lt;wsp:rsid wsp:val=&quot;007E6FBE&quot;/&gt;&lt;wsp:rsid wsp:val=&quot;007F00C1&quot;/&gt;&lt;wsp:rsid wsp:val=&quot;007F1E37&quot;/&gt;&lt;wsp:rsid wsp:val=&quot;007F6560&quot;/&gt;&lt;wsp:rsid wsp:val=&quot;008003D9&quot;/&gt;&lt;wsp:rsid wsp:val=&quot;0080076B&quot;/&gt;&lt;wsp:rsid wsp:val=&quot;00800928&quot;/&gt;&lt;wsp:rsid wsp:val=&quot;0080120A&quot;/&gt;&lt;wsp:rsid wsp:val=&quot;00803C46&quot;/&gt;&lt;wsp:rsid wsp:val=&quot;00804890&quot;/&gt;&lt;wsp:rsid wsp:val=&quot;00804DF7&quot;/&gt;&lt;wsp:rsid wsp:val=&quot;00806F26&quot;/&gt;&lt;wsp:rsid wsp:val=&quot;00807125&quot;/&gt;&lt;wsp:rsid wsp:val=&quot;00807AEA&quot;/&gt;&lt;wsp:rsid wsp:val=&quot;00811BA5&quot;/&gt;&lt;wsp:rsid wsp:val=&quot;008121AC&quot;/&gt;&lt;wsp:rsid wsp:val=&quot;008142B7&quot;/&gt;&lt;wsp:rsid wsp:val=&quot;00814374&quot;/&gt;&lt;wsp:rsid wsp:val=&quot;00817AA0&quot;/&gt;&lt;wsp:rsid wsp:val=&quot;00820B7C&quot;/&gt;&lt;wsp:rsid wsp:val=&quot;008234E0&quot;/&gt;&lt;wsp:rsid wsp:val=&quot;00823610&quot;/&gt;&lt;wsp:rsid wsp:val=&quot;008251DB&quot;/&gt;&lt;wsp:rsid wsp:val=&quot;00825275&quot;/&gt;&lt;wsp:rsid wsp:val=&quot;0082610E&quot;/&gt;&lt;wsp:rsid wsp:val=&quot;00827240&quot;/&gt;&lt;wsp:rsid wsp:val=&quot;0083001C&quot;/&gt;&lt;wsp:rsid wsp:val=&quot;008316E5&quot;/&gt;&lt;wsp:rsid wsp:val=&quot;00832368&quot;/&gt;&lt;wsp:rsid wsp:val=&quot;008341E0&quot;/&gt;&lt;wsp:rsid wsp:val=&quot;00835D02&quot;/&gt;&lt;wsp:rsid wsp:val=&quot;008401C5&quot;/&gt;&lt;wsp:rsid wsp:val=&quot;00841459&quot;/&gt;&lt;wsp:rsid wsp:val=&quot;00844836&quot;/&gt;&lt;wsp:rsid wsp:val=&quot;008448EA&quot;/&gt;&lt;wsp:rsid wsp:val=&quot;00850880&quot;/&gt;&lt;wsp:rsid wsp:val=&quot;00852F42&quot;/&gt;&lt;wsp:rsid wsp:val=&quot;00854655&quot;/&gt;&lt;wsp:rsid wsp:val=&quot;0085549B&quot;/&gt;&lt;wsp:rsid wsp:val=&quot;00856C03&quot;/&gt;&lt;wsp:rsid wsp:val=&quot;00857789&quot;/&gt;&lt;wsp:rsid wsp:val=&quot;00857E7A&quot;/&gt;&lt;wsp:rsid wsp:val=&quot;008605A5&quot;/&gt;&lt;wsp:rsid wsp:val=&quot;008663C6&quot;/&gt;&lt;wsp:rsid wsp:val=&quot;008713FF&quot;/&gt;&lt;wsp:rsid wsp:val=&quot;008719D7&quot;/&gt;&lt;wsp:rsid wsp:val=&quot;00871B78&quot;/&gt;&lt;wsp:rsid wsp:val=&quot;00872BC5&quot;/&gt;&lt;wsp:rsid wsp:val=&quot;00873623&quot;/&gt;&lt;wsp:rsid wsp:val=&quot;00883732&quot;/&gt;&lt;wsp:rsid wsp:val=&quot;00883963&quot;/&gt;&lt;wsp:rsid wsp:val=&quot;00885A27&quot;/&gt;&lt;wsp:rsid wsp:val=&quot;00885DD1&quot;/&gt;&lt;wsp:rsid wsp:val=&quot;00886E32&quot;/&gt;&lt;wsp:rsid wsp:val=&quot;00887113&quot;/&gt;&lt;wsp:rsid wsp:val=&quot;00894692&quot;/&gt;&lt;wsp:rsid wsp:val=&quot;008947E1&quot;/&gt;&lt;wsp:rsid wsp:val=&quot;00894C42&quot;/&gt;&lt;wsp:rsid wsp:val=&quot;00896421&quot;/&gt;&lt;wsp:rsid wsp:val=&quot;00896EAD&quot;/&gt;&lt;wsp:rsid wsp:val=&quot;008A1C8C&quot;/&gt;&lt;wsp:rsid wsp:val=&quot;008A1E23&quot;/&gt;&lt;wsp:rsid wsp:val=&quot;008A5686&quot;/&gt;&lt;wsp:rsid wsp:val=&quot;008A5C96&quot;/&gt;&lt;wsp:rsid wsp:val=&quot;008A7268&quot;/&gt;&lt;wsp:rsid wsp:val=&quot;008B1DA0&quot;/&gt;&lt;wsp:rsid wsp:val=&quot;008B3995&quot;/&gt;&lt;wsp:rsid wsp:val=&quot;008B5E27&quot;/&gt;&lt;wsp:rsid wsp:val=&quot;008B739C&quot;/&gt;&lt;wsp:rsid wsp:val=&quot;008C1415&quot;/&gt;&lt;wsp:rsid wsp:val=&quot;008C20EF&quot;/&gt;&lt;wsp:rsid wsp:val=&quot;008C4B7F&quot;/&gt;&lt;wsp:rsid wsp:val=&quot;008C5DAE&quot;/&gt;&lt;wsp:rsid wsp:val=&quot;008C6F3E&quot;/&gt;&lt;wsp:rsid wsp:val=&quot;008C7599&quot;/&gt;&lt;wsp:rsid wsp:val=&quot;008D0814&quot;/&gt;&lt;wsp:rsid wsp:val=&quot;008D1CB8&quot;/&gt;&lt;wsp:rsid wsp:val=&quot;008D2826&quot;/&gt;&lt;wsp:rsid wsp:val=&quot;008D3D98&quot;/&gt;&lt;wsp:rsid wsp:val=&quot;008D4636&quot;/&gt;&lt;wsp:rsid wsp:val=&quot;008D47E7&quot;/&gt;&lt;wsp:rsid wsp:val=&quot;008D61C1&quot;/&gt;&lt;wsp:rsid wsp:val=&quot;008D670B&quot;/&gt;&lt;wsp:rsid wsp:val=&quot;008D670C&quot;/&gt;&lt;wsp:rsid wsp:val=&quot;008D7777&quot;/&gt;&lt;wsp:rsid wsp:val=&quot;008D7967&quot;/&gt;&lt;wsp:rsid wsp:val=&quot;008E06D0&quot;/&gt;&lt;wsp:rsid wsp:val=&quot;008E1886&quot;/&gt;&lt;wsp:rsid wsp:val=&quot;008E3F64&quot;/&gt;&lt;wsp:rsid wsp:val=&quot;008E5F35&quot;/&gt;&lt;wsp:rsid wsp:val=&quot;008E6091&quot;/&gt;&lt;wsp:rsid wsp:val=&quot;008E7440&quot;/&gt;&lt;wsp:rsid wsp:val=&quot;008F0BB7&quot;/&gt;&lt;wsp:rsid wsp:val=&quot;008F10A1&quot;/&gt;&lt;wsp:rsid wsp:val=&quot;008F2057&quot;/&gt;&lt;wsp:rsid wsp:val=&quot;008F5B77&quot;/&gt;&lt;wsp:rsid wsp:val=&quot;008F68C6&quot;/&gt;&lt;wsp:rsid wsp:val=&quot;009005F1&quot;/&gt;&lt;wsp:rsid wsp:val=&quot;00903E8D&quot;/&gt;&lt;wsp:rsid wsp:val=&quot;009074AC&quot;/&gt;&lt;wsp:rsid wsp:val=&quot;00907843&quot;/&gt;&lt;wsp:rsid wsp:val=&quot;009109AD&quot;/&gt;&lt;wsp:rsid wsp:val=&quot;00913D37&quot;/&gt;&lt;wsp:rsid wsp:val=&quot;00914D99&quot;/&gt;&lt;wsp:rsid wsp:val=&quot;00916017&quot;/&gt;&lt;wsp:rsid wsp:val=&quot;0091772B&quot;/&gt;&lt;wsp:rsid wsp:val=&quot;00917CDE&quot;/&gt;&lt;wsp:rsid wsp:val=&quot;00917D22&quot;/&gt;&lt;wsp:rsid wsp:val=&quot;00921402&quot;/&gt;&lt;wsp:rsid wsp:val=&quot;009227EF&quot;/&gt;&lt;wsp:rsid wsp:val=&quot;009228C6&quot;/&gt;&lt;wsp:rsid wsp:val=&quot;0092360D&quot;/&gt;&lt;wsp:rsid wsp:val=&quot;00923A25&quot;/&gt;&lt;wsp:rsid wsp:val=&quot;00930E26&quot;/&gt;&lt;wsp:rsid wsp:val=&quot;00932635&quot;/&gt;&lt;wsp:rsid wsp:val=&quot;0093369D&quot;/&gt;&lt;wsp:rsid wsp:val=&quot;009372D3&quot;/&gt;&lt;wsp:rsid wsp:val=&quot;00937CB9&quot;/&gt;&lt;wsp:rsid wsp:val=&quot;00945642&quot;/&gt;&lt;wsp:rsid wsp:val=&quot;00947231&quot;/&gt;&lt;wsp:rsid wsp:val=&quot;0095336A&quot;/&gt;&lt;wsp:rsid wsp:val=&quot;00956596&quot;/&gt;&lt;wsp:rsid wsp:val=&quot;0096088F&quot;/&gt;&lt;wsp:rsid wsp:val=&quot;00960D8C&quot;/&gt;&lt;wsp:rsid wsp:val=&quot;00962E36&quot;/&gt;&lt;wsp:rsid wsp:val=&quot;009633E0&quot;/&gt;&lt;wsp:rsid wsp:val=&quot;00963C31&quot;/&gt;&lt;wsp:rsid wsp:val=&quot;0096696A&quot;/&gt;&lt;wsp:rsid wsp:val=&quot;00967C52&quot;/&gt;&lt;wsp:rsid wsp:val=&quot;0097463E&quot;/&gt;&lt;wsp:rsid wsp:val=&quot;00975669&quot;/&gt;&lt;wsp:rsid wsp:val=&quot;009775CC&quot;/&gt;&lt;wsp:rsid wsp:val=&quot;00983475&quot;/&gt;&lt;wsp:rsid wsp:val=&quot;0098367C&quot;/&gt;&lt;wsp:rsid wsp:val=&quot;00984BDB&quot;/&gt;&lt;wsp:rsid wsp:val=&quot;00985157&quot;/&gt;&lt;wsp:rsid wsp:val=&quot;009869C4&quot;/&gt;&lt;wsp:rsid wsp:val=&quot;00994754&quot;/&gt;&lt;wsp:rsid wsp:val=&quot;00996F8D&quot;/&gt;&lt;wsp:rsid wsp:val=&quot;009976EC&quot;/&gt;&lt;wsp:rsid wsp:val=&quot;009A105C&quot;/&gt;&lt;wsp:rsid wsp:val=&quot;009A3316&quot;/&gt;&lt;wsp:rsid wsp:val=&quot;009A608D&quot;/&gt;&lt;wsp:rsid wsp:val=&quot;009B0DF6&quot;/&gt;&lt;wsp:rsid wsp:val=&quot;009B1703&quot;/&gt;&lt;wsp:rsid wsp:val=&quot;009B246D&quot;/&gt;&lt;wsp:rsid wsp:val=&quot;009B25DE&quot;/&gt;&lt;wsp:rsid wsp:val=&quot;009B288B&quot;/&gt;&lt;wsp:rsid wsp:val=&quot;009B400E&quot;/&gt;&lt;wsp:rsid wsp:val=&quot;009B578B&quot;/&gt;&lt;wsp:rsid wsp:val=&quot;009B711D&quot;/&gt;&lt;wsp:rsid wsp:val=&quot;009C0F96&quot;/&gt;&lt;wsp:rsid wsp:val=&quot;009C1057&quot;/&gt;&lt;wsp:rsid wsp:val=&quot;009C370A&quot;/&gt;&lt;wsp:rsid wsp:val=&quot;009C3D1E&quot;/&gt;&lt;wsp:rsid wsp:val=&quot;009C4481&quot;/&gt;&lt;wsp:rsid wsp:val=&quot;009C46B3&quot;/&gt;&lt;wsp:rsid wsp:val=&quot;009C6951&quot;/&gt;&lt;wsp:rsid wsp:val=&quot;009C7FB5&quot;/&gt;&lt;wsp:rsid wsp:val=&quot;009D095E&quot;/&gt;&lt;wsp:rsid wsp:val=&quot;009D2CB6&quot;/&gt;&lt;wsp:rsid wsp:val=&quot;009D6F49&quot;/&gt;&lt;wsp:rsid wsp:val=&quot;009E1BA2&quot;/&gt;&lt;wsp:rsid wsp:val=&quot;009E3037&quot;/&gt;&lt;wsp:rsid wsp:val=&quot;009E71BA&quot;/&gt;&lt;wsp:rsid wsp:val=&quot;009F4B61&quot;/&gt;&lt;wsp:rsid wsp:val=&quot;009F4D22&quot;/&gt;&lt;wsp:rsid wsp:val=&quot;009F5278&quot;/&gt;&lt;wsp:rsid wsp:val=&quot;00A00017&quot;/&gt;&lt;wsp:rsid wsp:val=&quot;00A01C67&quot;/&gt;&lt;wsp:rsid wsp:val=&quot;00A01D4A&quot;/&gt;&lt;wsp:rsid wsp:val=&quot;00A031D4&quot;/&gt;&lt;wsp:rsid wsp:val=&quot;00A05DEA&quot;/&gt;&lt;wsp:rsid wsp:val=&quot;00A0601C&quot;/&gt;&lt;wsp:rsid wsp:val=&quot;00A07D0F&quot;/&gt;&lt;wsp:rsid wsp:val=&quot;00A11481&quot;/&gt;&lt;wsp:rsid wsp:val=&quot;00A12C32&quot;/&gt;&lt;wsp:rsid wsp:val=&quot;00A134F3&quot;/&gt;&lt;wsp:rsid wsp:val=&quot;00A15122&quot;/&gt;&lt;wsp:rsid wsp:val=&quot;00A167D2&quot;/&gt;&lt;wsp:rsid wsp:val=&quot;00A203B6&quot;/&gt;&lt;wsp:rsid wsp:val=&quot;00A23397&quot;/&gt;&lt;wsp:rsid wsp:val=&quot;00A23D87&quot;/&gt;&lt;wsp:rsid wsp:val=&quot;00A248FE&quot;/&gt;&lt;wsp:rsid wsp:val=&quot;00A24F60&quot;/&gt;&lt;wsp:rsid wsp:val=&quot;00A25C40&quot;/&gt;&lt;wsp:rsid wsp:val=&quot;00A26D6C&quot;/&gt;&lt;wsp:rsid wsp:val=&quot;00A30E20&quot;/&gt;&lt;wsp:rsid wsp:val=&quot;00A35B49&quot;/&gt;&lt;wsp:rsid wsp:val=&quot;00A36E0A&quot;/&gt;&lt;wsp:rsid wsp:val=&quot;00A4556A&quot;/&gt;&lt;wsp:rsid wsp:val=&quot;00A46B72&quot;/&gt;&lt;wsp:rsid wsp:val=&quot;00A476E1&quot;/&gt;&lt;wsp:rsid wsp:val=&quot;00A47B9E&quot;/&gt;&lt;wsp:rsid wsp:val=&quot;00A51F11&quot;/&gt;&lt;wsp:rsid wsp:val=&quot;00A5240A&quot;/&gt;&lt;wsp:rsid wsp:val=&quot;00A53087&quot;/&gt;&lt;wsp:rsid wsp:val=&quot;00A54D4A&quot;/&gt;&lt;wsp:rsid wsp:val=&quot;00A55D07&quot;/&gt;&lt;wsp:rsid wsp:val=&quot;00A57520&quot;/&gt;&lt;wsp:rsid wsp:val=&quot;00A57BC0&quot;/&gt;&lt;wsp:rsid wsp:val=&quot;00A61830&quot;/&gt;&lt;wsp:rsid wsp:val=&quot;00A61F6F&quot;/&gt;&lt;wsp:rsid wsp:val=&quot;00A64577&quot;/&gt;&lt;wsp:rsid wsp:val=&quot;00A64AA7&quot;/&gt;&lt;wsp:rsid wsp:val=&quot;00A6575A&quot;/&gt;&lt;wsp:rsid wsp:val=&quot;00A724BD&quot;/&gt;&lt;wsp:rsid wsp:val=&quot;00A7415B&quot;/&gt;&lt;wsp:rsid wsp:val=&quot;00A75631&quot;/&gt;&lt;wsp:rsid wsp:val=&quot;00A80E51&quot;/&gt;&lt;wsp:rsid wsp:val=&quot;00A81BA4&quot;/&gt;&lt;wsp:rsid wsp:val=&quot;00A84005&quot;/&gt;&lt;wsp:rsid wsp:val=&quot;00A86043&quot;/&gt;&lt;wsp:rsid wsp:val=&quot;00A87067&quot;/&gt;&lt;wsp:rsid wsp:val=&quot;00A87B42&quot;/&gt;&lt;wsp:rsid wsp:val=&quot;00A903C6&quot;/&gt;&lt;wsp:rsid wsp:val=&quot;00A909C7&quot;/&gt;&lt;wsp:rsid wsp:val=&quot;00A9139B&quot;/&gt;&lt;wsp:rsid wsp:val=&quot;00A92B0B&quot;/&gt;&lt;wsp:rsid wsp:val=&quot;00A92CCB&quot;/&gt;&lt;wsp:rsid wsp:val=&quot;00A97624&quot;/&gt;&lt;wsp:rsid wsp:val=&quot;00AA4006&quot;/&gt;&lt;wsp:rsid wsp:val=&quot;00AA5DA4&quot;/&gt;&lt;wsp:rsid wsp:val=&quot;00AA71C0&quot;/&gt;&lt;wsp:rsid wsp:val=&quot;00AB0293&quot;/&gt;&lt;wsp:rsid wsp:val=&quot;00AB10AA&quot;/&gt;&lt;wsp:rsid wsp:val=&quot;00AB10CD&quot;/&gt;&lt;wsp:rsid wsp:val=&quot;00AB13C8&quot;/&gt;&lt;wsp:rsid wsp:val=&quot;00AB14A1&quot;/&gt;&lt;wsp:rsid wsp:val=&quot;00AB31F6&quot;/&gt;&lt;wsp:rsid wsp:val=&quot;00AB357D&quot;/&gt;&lt;wsp:rsid wsp:val=&quot;00AB5904&quot;/&gt;&lt;wsp:rsid wsp:val=&quot;00AB5B1D&quot;/&gt;&lt;wsp:rsid wsp:val=&quot;00AC25D3&quot;/&gt;&lt;wsp:rsid wsp:val=&quot;00AC5D9B&quot;/&gt;&lt;wsp:rsid wsp:val=&quot;00AC638F&quot;/&gt;&lt;wsp:rsid wsp:val=&quot;00AC730C&quot;/&gt;&lt;wsp:rsid wsp:val=&quot;00AD0104&quot;/&gt;&lt;wsp:rsid wsp:val=&quot;00AD013A&quot;/&gt;&lt;wsp:rsid wsp:val=&quot;00AD328C&quot;/&gt;&lt;wsp:rsid wsp:val=&quot;00AD32C1&quot;/&gt;&lt;wsp:rsid wsp:val=&quot;00AD36D8&quot;/&gt;&lt;wsp:rsid wsp:val=&quot;00AD42C4&quot;/&gt;&lt;wsp:rsid wsp:val=&quot;00AE1E9C&quot;/&gt;&lt;wsp:rsid wsp:val=&quot;00AE2280&quot;/&gt;&lt;wsp:rsid wsp:val=&quot;00AE3ACF&quot;/&gt;&lt;wsp:rsid wsp:val=&quot;00AE3AF5&quot;/&gt;&lt;wsp:rsid wsp:val=&quot;00AF048C&quot;/&gt;&lt;wsp:rsid wsp:val=&quot;00AF0E30&quot;/&gt;&lt;wsp:rsid wsp:val=&quot;00AF116E&quot;/&gt;&lt;wsp:rsid wsp:val=&quot;00AF3EFA&quot;/&gt;&lt;wsp:rsid wsp:val=&quot;00AF72D0&quot;/&gt;&lt;wsp:rsid wsp:val=&quot;00B02F71&quot;/&gt;&lt;wsp:rsid wsp:val=&quot;00B06388&quot;/&gt;&lt;wsp:rsid wsp:val=&quot;00B07E65&quot;/&gt;&lt;wsp:rsid wsp:val=&quot;00B118AD&quot;/&gt;&lt;wsp:rsid wsp:val=&quot;00B12D98&quot;/&gt;&lt;wsp:rsid wsp:val=&quot;00B1466F&quot;/&gt;&lt;wsp:rsid wsp:val=&quot;00B14FEA&quot;/&gt;&lt;wsp:rsid wsp:val=&quot;00B214CC&quot;/&gt;&lt;wsp:rsid wsp:val=&quot;00B25298&quot;/&gt;&lt;wsp:rsid wsp:val=&quot;00B2612E&quot;/&gt;&lt;wsp:rsid wsp:val=&quot;00B269DD&quot;/&gt;&lt;wsp:rsid wsp:val=&quot;00B27374&quot;/&gt;&lt;wsp:rsid wsp:val=&quot;00B306AA&quot;/&gt;&lt;wsp:rsid wsp:val=&quot;00B31109&quot;/&gt;&lt;wsp:rsid wsp:val=&quot;00B3241B&quot;/&gt;&lt;wsp:rsid wsp:val=&quot;00B346E0&quot;/&gt;&lt;wsp:rsid wsp:val=&quot;00B34CE7&quot;/&gt;&lt;wsp:rsid wsp:val=&quot;00B40965&quot;/&gt;&lt;wsp:rsid wsp:val=&quot;00B41425&quot;/&gt;&lt;wsp:rsid wsp:val=&quot;00B45727&quot;/&gt;&lt;wsp:rsid wsp:val=&quot;00B45C5E&quot;/&gt;&lt;wsp:rsid wsp:val=&quot;00B465AE&quot;/&gt;&lt;wsp:rsid wsp:val=&quot;00B47C42&quot;/&gt;&lt;wsp:rsid wsp:val=&quot;00B502B6&quot;/&gt;&lt;wsp:rsid wsp:val=&quot;00B50A10&quot;/&gt;&lt;wsp:rsid wsp:val=&quot;00B51761&quot;/&gt;&lt;wsp:rsid wsp:val=&quot;00B51985&quot;/&gt;&lt;wsp:rsid wsp:val=&quot;00B52FC5&quot;/&gt;&lt;wsp:rsid wsp:val=&quot;00B56F17&quot;/&gt;&lt;wsp:rsid wsp:val=&quot;00B5759D&quot;/&gt;&lt;wsp:rsid wsp:val=&quot;00B61DB6&quot;/&gt;&lt;wsp:rsid wsp:val=&quot;00B67FE6&quot;/&gt;&lt;wsp:rsid wsp:val=&quot;00B7157F&quot;/&gt;&lt;wsp:rsid wsp:val=&quot;00B71E74&quot;/&gt;&lt;wsp:rsid wsp:val=&quot;00B72843&quot;/&gt;&lt;wsp:rsid wsp:val=&quot;00B728D1&quot;/&gt;&lt;wsp:rsid wsp:val=&quot;00B73112&quot;/&gt;&lt;wsp:rsid wsp:val=&quot;00B736FB&quot;/&gt;&lt;wsp:rsid wsp:val=&quot;00B7524F&quot;/&gt;&lt;wsp:rsid wsp:val=&quot;00B75774&quot;/&gt;&lt;wsp:rsid wsp:val=&quot;00B7622C&quot;/&gt;&lt;wsp:rsid wsp:val=&quot;00B77478&quot;/&gt;&lt;wsp:rsid wsp:val=&quot;00B8394B&quot;/&gt;&lt;wsp:rsid wsp:val=&quot;00B84911&quot;/&gt;&lt;wsp:rsid wsp:val=&quot;00B850BD&quot;/&gt;&lt;wsp:rsid wsp:val=&quot;00B92A67&quot;/&gt;&lt;wsp:rsid wsp:val=&quot;00BA136B&quot;/&gt;&lt;wsp:rsid wsp:val=&quot;00BA51AA&quot;/&gt;&lt;wsp:rsid wsp:val=&quot;00BB4826&quot;/&gt;&lt;wsp:rsid wsp:val=&quot;00BB5BEA&quot;/&gt;&lt;wsp:rsid wsp:val=&quot;00BB68EE&quot;/&gt;&lt;wsp:rsid wsp:val=&quot;00BC089C&quot;/&gt;&lt;wsp:rsid wsp:val=&quot;00BC5A9C&quot;/&gt;&lt;wsp:rsid wsp:val=&quot;00BC5D7C&quot;/&gt;&lt;wsp:rsid wsp:val=&quot;00BC5DC2&quot;/&gt;&lt;wsp:rsid wsp:val=&quot;00BD02ED&quot;/&gt;&lt;wsp:rsid wsp:val=&quot;00BD171D&quot;/&gt;&lt;wsp:rsid wsp:val=&quot;00BD22BF&quot;/&gt;&lt;wsp:rsid wsp:val=&quot;00BD354F&quot;/&gt;&lt;wsp:rsid wsp:val=&quot;00BD3DB0&quot;/&gt;&lt;wsp:rsid wsp:val=&quot;00BD50E2&quot;/&gt;&lt;wsp:rsid wsp:val=&quot;00BD51AD&quot;/&gt;&lt;wsp:rsid wsp:val=&quot;00BD68FC&quot;/&gt;&lt;wsp:rsid wsp:val=&quot;00BD7D91&quot;/&gt;&lt;wsp:rsid wsp:val=&quot;00BE00B7&quot;/&gt;&lt;wsp:rsid wsp:val=&quot;00BE0450&quot;/&gt;&lt;wsp:rsid wsp:val=&quot;00BE15E2&quot;/&gt;&lt;wsp:rsid wsp:val=&quot;00BE2199&quot;/&gt;&lt;wsp:rsid wsp:val=&quot;00BE244F&quot;/&gt;&lt;wsp:rsid wsp:val=&quot;00BE26B8&quot;/&gt;&lt;wsp:rsid wsp:val=&quot;00BE4A48&quot;/&gt;&lt;wsp:rsid wsp:val=&quot;00BE6625&quot;/&gt;&lt;wsp:rsid wsp:val=&quot;00BE6AD2&quot;/&gt;&lt;wsp:rsid wsp:val=&quot;00BF12B0&quot;/&gt;&lt;wsp:rsid wsp:val=&quot;00BF1B75&quot;/&gt;&lt;wsp:rsid wsp:val=&quot;00BF1BD5&quot;/&gt;&lt;wsp:rsid wsp:val=&quot;00BF38D0&quot;/&gt;&lt;wsp:rsid wsp:val=&quot;00BF4424&quot;/&gt;&lt;wsp:rsid wsp:val=&quot;00BF669C&quot;/&gt;&lt;wsp:rsid wsp:val=&quot;00BF6E71&quot;/&gt;&lt;wsp:rsid wsp:val=&quot;00BF7C30&quot;/&gt;&lt;wsp:rsid wsp:val=&quot;00C00FFC&quot;/&gt;&lt;wsp:rsid wsp:val=&quot;00C03E4E&quot;/&gt;&lt;wsp:rsid wsp:val=&quot;00C04873&quot;/&gt;&lt;wsp:rsid wsp:val=&quot;00C04C6F&quot;/&gt;&lt;wsp:rsid wsp:val=&quot;00C066E0&quot;/&gt;&lt;wsp:rsid wsp:val=&quot;00C0768F&quot;/&gt;&lt;wsp:rsid wsp:val=&quot;00C10DBA&quot;/&gt;&lt;wsp:rsid wsp:val=&quot;00C1128B&quot;/&gt;&lt;wsp:rsid wsp:val=&quot;00C1274A&quot;/&gt;&lt;wsp:rsid wsp:val=&quot;00C1429B&quot;/&gt;&lt;wsp:rsid wsp:val=&quot;00C14C48&quot;/&gt;&lt;wsp:rsid wsp:val=&quot;00C151BA&quot;/&gt;&lt;wsp:rsid wsp:val=&quot;00C1552D&quot;/&gt;&lt;wsp:rsid wsp:val=&quot;00C159E0&quot;/&gt;&lt;wsp:rsid wsp:val=&quot;00C21DBC&quot;/&gt;&lt;wsp:rsid wsp:val=&quot;00C22970&quot;/&gt;&lt;wsp:rsid wsp:val=&quot;00C23457&quot;/&gt;&lt;wsp:rsid wsp:val=&quot;00C24669&quot;/&gt;&lt;wsp:rsid wsp:val=&quot;00C2726F&quot;/&gt;&lt;wsp:rsid wsp:val=&quot;00C273CA&quot;/&gt;&lt;wsp:rsid wsp:val=&quot;00C27C2E&quot;/&gt;&lt;wsp:rsid wsp:val=&quot;00C306E8&quot;/&gt;&lt;wsp:rsid wsp:val=&quot;00C31CDA&quot;/&gt;&lt;wsp:rsid wsp:val=&quot;00C32071&quot;/&gt;&lt;wsp:rsid wsp:val=&quot;00C32B08&quot;/&gt;&lt;wsp:rsid wsp:val=&quot;00C33542&quot;/&gt;&lt;wsp:rsid wsp:val=&quot;00C33EEC&quot;/&gt;&lt;wsp:rsid wsp:val=&quot;00C362C7&quot;/&gt;&lt;wsp:rsid wsp:val=&quot;00C37F25&quot;/&gt;&lt;wsp:rsid wsp:val=&quot;00C4005A&quot;/&gt;&lt;wsp:rsid wsp:val=&quot;00C41B56&quot;/&gt;&lt;wsp:rsid wsp:val=&quot;00C42A9C&quot;/&gt;&lt;wsp:rsid wsp:val=&quot;00C43A0F&quot;/&gt;&lt;wsp:rsid wsp:val=&quot;00C43E41&quot;/&gt;&lt;wsp:rsid wsp:val=&quot;00C50316&quot;/&gt;&lt;wsp:rsid wsp:val=&quot;00C53D1A&quot;/&gt;&lt;wsp:rsid wsp:val=&quot;00C54B93&quot;/&gt;&lt;wsp:rsid wsp:val=&quot;00C56428&quot;/&gt;&lt;wsp:rsid wsp:val=&quot;00C61189&quot;/&gt;&lt;wsp:rsid wsp:val=&quot;00C61CFF&quot;/&gt;&lt;wsp:rsid wsp:val=&quot;00C63B29&quot;/&gt;&lt;wsp:rsid wsp:val=&quot;00C64F3D&quot;/&gt;&lt;wsp:rsid wsp:val=&quot;00C66CC1&quot;/&gt;&lt;wsp:rsid wsp:val=&quot;00C67A1C&quot;/&gt;&lt;wsp:rsid wsp:val=&quot;00C67B88&quot;/&gt;&lt;wsp:rsid wsp:val=&quot;00C75853&quot;/&gt;&lt;wsp:rsid wsp:val=&quot;00C76AEA&quot;/&gt;&lt;wsp:rsid wsp:val=&quot;00C77B93&quot;/&gt;&lt;wsp:rsid wsp:val=&quot;00C85124&quot;/&gt;&lt;wsp:rsid wsp:val=&quot;00C86E7D&quot;/&gt;&lt;wsp:rsid wsp:val=&quot;00C906D3&quot;/&gt;&lt;wsp:rsid wsp:val=&quot;00C94B1E&quot;/&gt;&lt;wsp:rsid wsp:val=&quot;00C95FD1&quot;/&gt;&lt;wsp:rsid wsp:val=&quot;00C96335&quot;/&gt;&lt;wsp:rsid wsp:val=&quot;00C96E5D&quot;/&gt;&lt;wsp:rsid wsp:val=&quot;00CA0284&quot;/&gt;&lt;wsp:rsid wsp:val=&quot;00CA0E10&quot;/&gt;&lt;wsp:rsid wsp:val=&quot;00CA1267&quot;/&gt;&lt;wsp:rsid wsp:val=&quot;00CA2D5C&quot;/&gt;&lt;wsp:rsid wsp:val=&quot;00CA5EAC&quot;/&gt;&lt;wsp:rsid wsp:val=&quot;00CA64F5&quot;/&gt;&lt;wsp:rsid wsp:val=&quot;00CA64FE&quot;/&gt;&lt;wsp:rsid wsp:val=&quot;00CA6DEE&quot;/&gt;&lt;wsp:rsid wsp:val=&quot;00CB0162&quot;/&gt;&lt;wsp:rsid wsp:val=&quot;00CB1D0F&quot;/&gt;&lt;wsp:rsid wsp:val=&quot;00CB3215&quot;/&gt;&lt;wsp:rsid wsp:val=&quot;00CB348A&quot;/&gt;&lt;wsp:rsid wsp:val=&quot;00CB379D&quot;/&gt;&lt;wsp:rsid wsp:val=&quot;00CB4ED2&quot;/&gt;&lt;wsp:rsid wsp:val=&quot;00CB7D53&quot;/&gt;&lt;wsp:rsid wsp:val=&quot;00CC0A2A&quot;/&gt;&lt;wsp:rsid wsp:val=&quot;00CC278B&quot;/&gt;&lt;wsp:rsid wsp:val=&quot;00CC36B6&quot;/&gt;&lt;wsp:rsid wsp:val=&quot;00CC44B7&quot;/&gt;&lt;wsp:rsid wsp:val=&quot;00CC7991&quot;/&gt;&lt;wsp:rsid wsp:val=&quot;00CD014D&quot;/&gt;&lt;wsp:rsid wsp:val=&quot;00CD0DB9&quot;/&gt;&lt;wsp:rsid wsp:val=&quot;00CD49B2&quot;/&gt;&lt;wsp:rsid wsp:val=&quot;00CD6195&quot;/&gt;&lt;wsp:rsid wsp:val=&quot;00CD7EC6&quot;/&gt;&lt;wsp:rsid wsp:val=&quot;00CE1525&quot;/&gt;&lt;wsp:rsid wsp:val=&quot;00CE3C8A&quot;/&gt;&lt;wsp:rsid wsp:val=&quot;00CE4827&quot;/&gt;&lt;wsp:rsid wsp:val=&quot;00CE662A&quot;/&gt;&lt;wsp:rsid wsp:val=&quot;00CF43F3&quot;/&gt;&lt;wsp:rsid wsp:val=&quot;00CF473F&quot;/&gt;&lt;wsp:rsid wsp:val=&quot;00CF655F&quot;/&gt;&lt;wsp:rsid wsp:val=&quot;00CF7112&quot;/&gt;&lt;wsp:rsid wsp:val=&quot;00D007FB&quot;/&gt;&lt;wsp:rsid wsp:val=&quot;00D020B8&quot;/&gt;&lt;wsp:rsid wsp:val=&quot;00D04B2C&quot;/&gt;&lt;wsp:rsid wsp:val=&quot;00D05653&quot;/&gt;&lt;wsp:rsid wsp:val=&quot;00D05B75&quot;/&gt;&lt;wsp:rsid wsp:val=&quot;00D07CEE&quot;/&gt;&lt;wsp:rsid wsp:val=&quot;00D107B0&quot;/&gt;&lt;wsp:rsid wsp:val=&quot;00D15C17&quot;/&gt;&lt;wsp:rsid wsp:val=&quot;00D160D5&quot;/&gt;&lt;wsp:rsid wsp:val=&quot;00D22363&quot;/&gt;&lt;wsp:rsid wsp:val=&quot;00D23B53&quot;/&gt;&lt;wsp:rsid wsp:val=&quot;00D23DEC&quot;/&gt;&lt;wsp:rsid wsp:val=&quot;00D25A97&quot;/&gt;&lt;wsp:rsid wsp:val=&quot;00D25D3B&quot;/&gt;&lt;wsp:rsid wsp:val=&quot;00D260C8&quot;/&gt;&lt;wsp:rsid wsp:val=&quot;00D26230&quot;/&gt;&lt;wsp:rsid wsp:val=&quot;00D2764F&quot;/&gt;&lt;wsp:rsid wsp:val=&quot;00D30EE4&quot;/&gt;&lt;wsp:rsid wsp:val=&quot;00D411D2&quot;/&gt;&lt;wsp:rsid wsp:val=&quot;00D44A12&quot;/&gt;&lt;wsp:rsid wsp:val=&quot;00D44E50&quot;/&gt;&lt;wsp:rsid wsp:val=&quot;00D46E10&quot;/&gt;&lt;wsp:rsid wsp:val=&quot;00D50CB5&quot;/&gt;&lt;wsp:rsid wsp:val=&quot;00D54D4F&quot;/&gt;&lt;wsp:rsid wsp:val=&quot;00D55B20&quot;/&gt;&lt;wsp:rsid wsp:val=&quot;00D55E3F&quot;/&gt;&lt;wsp:rsid wsp:val=&quot;00D56609&quot;/&gt;&lt;wsp:rsid wsp:val=&quot;00D57108&quot;/&gt;&lt;wsp:rsid wsp:val=&quot;00D57F72&quot;/&gt;&lt;wsp:rsid wsp:val=&quot;00D60AE3&quot;/&gt;&lt;wsp:rsid wsp:val=&quot;00D62A0D&quot;/&gt;&lt;wsp:rsid wsp:val=&quot;00D63AC4&quot;/&gt;&lt;wsp:rsid wsp:val=&quot;00D70247&quot;/&gt;&lt;wsp:rsid wsp:val=&quot;00D70485&quot;/&gt;&lt;wsp:rsid wsp:val=&quot;00D759B4&quot;/&gt;&lt;wsp:rsid wsp:val=&quot;00D75BD4&quot;/&gt;&lt;wsp:rsid wsp:val=&quot;00D76F9D&quot;/&gt;&lt;wsp:rsid wsp:val=&quot;00D80933&quot;/&gt;&lt;wsp:rsid wsp:val=&quot;00D8333E&quot;/&gt;&lt;wsp:rsid wsp:val=&quot;00D83F09&quot;/&gt;&lt;wsp:rsid wsp:val=&quot;00D865FE&quot;/&gt;&lt;wsp:rsid wsp:val=&quot;00D87A88&quot;/&gt;&lt;wsp:rsid wsp:val=&quot;00D90285&quot;/&gt;&lt;wsp:rsid wsp:val=&quot;00D926BD&quot;/&gt;&lt;wsp:rsid wsp:val=&quot;00D92AAF&quot;/&gt;&lt;wsp:rsid wsp:val=&quot;00D92B05&quot;/&gt;&lt;wsp:rsid wsp:val=&quot;00D95B91&quot;/&gt;&lt;wsp:rsid wsp:val=&quot;00D9663E&quot;/&gt;&lt;wsp:rsid wsp:val=&quot;00DA248A&quot;/&gt;&lt;wsp:rsid wsp:val=&quot;00DA32D3&quot;/&gt;&lt;wsp:rsid wsp:val=&quot;00DA3415&quot;/&gt;&lt;wsp:rsid wsp:val=&quot;00DA478C&quot;/&gt;&lt;wsp:rsid wsp:val=&quot;00DB06ED&quot;/&gt;&lt;wsp:rsid wsp:val=&quot;00DC54B0&quot;/&gt;&lt;wsp:rsid wsp:val=&quot;00DC6132&quot;/&gt;&lt;wsp:rsid wsp:val=&quot;00DD2CCC&quot;/&gt;&lt;wsp:rsid wsp:val=&quot;00DD43E3&quot;/&gt;&lt;wsp:rsid wsp:val=&quot;00DD52DB&quot;/&gt;&lt;wsp:rsid wsp:val=&quot;00DD77F2&quot;/&gt;&lt;wsp:rsid wsp:val=&quot;00DD79D6&quot;/&gt;&lt;wsp:rsid wsp:val=&quot;00DE5C73&quot;/&gt;&lt;wsp:rsid wsp:val=&quot;00DE79A7&quot;/&gt;&lt;wsp:rsid wsp:val=&quot;00DF2101&quot;/&gt;&lt;wsp:rsid wsp:val=&quot;00DF5E40&quot;/&gt;&lt;wsp:rsid wsp:val=&quot;00E00084&quot;/&gt;&lt;wsp:rsid wsp:val=&quot;00E01A9A&quot;/&gt;&lt;wsp:rsid wsp:val=&quot;00E01EF0&quot;/&gt;&lt;wsp:rsid wsp:val=&quot;00E03A14&quot;/&gt;&lt;wsp:rsid wsp:val=&quot;00E042C4&quot;/&gt;&lt;wsp:rsid wsp:val=&quot;00E05F6E&quot;/&gt;&lt;wsp:rsid wsp:val=&quot;00E0712C&quot;/&gt;&lt;wsp:rsid wsp:val=&quot;00E106B0&quot;/&gt;&lt;wsp:rsid wsp:val=&quot;00E14744&quot;/&gt;&lt;wsp:rsid wsp:val=&quot;00E15AD7&quot;/&gt;&lt;wsp:rsid wsp:val=&quot;00E15F78&quot;/&gt;&lt;wsp:rsid wsp:val=&quot;00E16DC7&quot;/&gt;&lt;wsp:rsid wsp:val=&quot;00E1779F&quot;/&gt;&lt;wsp:rsid wsp:val=&quot;00E21DCB&quot;/&gt;&lt;wsp:rsid wsp:val=&quot;00E2256D&quot;/&gt;&lt;wsp:rsid wsp:val=&quot;00E2337B&quot;/&gt;&lt;wsp:rsid wsp:val=&quot;00E2361E&quot;/&gt;&lt;wsp:rsid wsp:val=&quot;00E25035&quot;/&gt;&lt;wsp:rsid wsp:val=&quot;00E25D9D&quot;/&gt;&lt;wsp:rsid wsp:val=&quot;00E32B34&quot;/&gt;&lt;wsp:rsid wsp:val=&quot;00E33E38&quot;/&gt;&lt;wsp:rsid wsp:val=&quot;00E34797&quot;/&gt;&lt;wsp:rsid wsp:val=&quot;00E3609B&quot;/&gt;&lt;wsp:rsid wsp:val=&quot;00E4071A&quot;/&gt;&lt;wsp:rsid wsp:val=&quot;00E420BE&quot;/&gt;&lt;wsp:rsid wsp:val=&quot;00E42C7A&quot;/&gt;&lt;wsp:rsid wsp:val=&quot;00E4487C&quot;/&gt;&lt;wsp:rsid wsp:val=&quot;00E45B3A&quot;/&gt;&lt;wsp:rsid wsp:val=&quot;00E45D1D&quot;/&gt;&lt;wsp:rsid wsp:val=&quot;00E4710E&quot;/&gt;&lt;wsp:rsid wsp:val=&quot;00E476D9&quot;/&gt;&lt;wsp:rsid wsp:val=&quot;00E47EF4&quot;/&gt;&lt;wsp:rsid wsp:val=&quot;00E517BF&quot;/&gt;&lt;wsp:rsid wsp:val=&quot;00E51B0D&quot;/&gt;&lt;wsp:rsid wsp:val=&quot;00E528ED&quot;/&gt;&lt;wsp:rsid wsp:val=&quot;00E54D9B&quot;/&gt;&lt;wsp:rsid wsp:val=&quot;00E54FF8&quot;/&gt;&lt;wsp:rsid wsp:val=&quot;00E56DB0&quot;/&gt;&lt;wsp:rsid wsp:val=&quot;00E75527&quot;/&gt;&lt;wsp:rsid wsp:val=&quot;00E80BDA&quot;/&gt;&lt;wsp:rsid wsp:val=&quot;00E86097&quot;/&gt;&lt;wsp:rsid wsp:val=&quot;00E86836&quot;/&gt;&lt;wsp:rsid wsp:val=&quot;00E86C7F&quot;/&gt;&lt;wsp:rsid wsp:val=&quot;00E91A18&quot;/&gt;&lt;wsp:rsid wsp:val=&quot;00E97F71&quot;/&gt;&lt;wsp:rsid wsp:val=&quot;00EA14FF&quot;/&gt;&lt;wsp:rsid wsp:val=&quot;00EA3B44&quot;/&gt;&lt;wsp:rsid wsp:val=&quot;00EA60F9&quot;/&gt;&lt;wsp:rsid wsp:val=&quot;00EA6B0F&quot;/&gt;&lt;wsp:rsid wsp:val=&quot;00EB196A&quot;/&gt;&lt;wsp:rsid wsp:val=&quot;00EB36D5&quot;/&gt;&lt;wsp:rsid wsp:val=&quot;00EB42CA&quot;/&gt;&lt;wsp:rsid wsp:val=&quot;00EB7DDD&quot;/&gt;&lt;wsp:rsid wsp:val=&quot;00EC2DEA&quot;/&gt;&lt;wsp:rsid wsp:val=&quot;00ED1FCE&quot;/&gt;&lt;wsp:rsid wsp:val=&quot;00ED265F&quot;/&gt;&lt;wsp:rsid wsp:val=&quot;00ED6AF6&quot;/&gt;&lt;wsp:rsid wsp:val=&quot;00ED76DA&quot;/&gt;&lt;wsp:rsid wsp:val=&quot;00EE50F5&quot;/&gt;&lt;wsp:rsid wsp:val=&quot;00EE589C&quot;/&gt;&lt;wsp:rsid wsp:val=&quot;00EE5B19&quot;/&gt;&lt;wsp:rsid wsp:val=&quot;00EE5BDC&quot;/&gt;&lt;wsp:rsid wsp:val=&quot;00EE631D&quot;/&gt;&lt;wsp:rsid wsp:val=&quot;00EE6447&quot;/&gt;&lt;wsp:rsid wsp:val=&quot;00EE7C89&quot;/&gt;&lt;wsp:rsid wsp:val=&quot;00EF204C&quot;/&gt;&lt;wsp:rsid wsp:val=&quot;00EF4E2F&quot;/&gt;&lt;wsp:rsid wsp:val=&quot;00EF611D&quot;/&gt;&lt;wsp:rsid wsp:val=&quot;00F01FFE&quot;/&gt;&lt;wsp:rsid wsp:val=&quot;00F02458&quot;/&gt;&lt;wsp:rsid wsp:val=&quot;00F06976&quot;/&gt;&lt;wsp:rsid wsp:val=&quot;00F10C7A&quot;/&gt;&lt;wsp:rsid wsp:val=&quot;00F126DC&quot;/&gt;&lt;wsp:rsid wsp:val=&quot;00F127F2&quot;/&gt;&lt;wsp:rsid wsp:val=&quot;00F13BCF&quot;/&gt;&lt;wsp:rsid wsp:val=&quot;00F15B85&quot;/&gt;&lt;wsp:rsid wsp:val=&quot;00F16901&quot;/&gt;&lt;wsp:rsid wsp:val=&quot;00F17F3F&quot;/&gt;&lt;wsp:rsid wsp:val=&quot;00F20751&quot;/&gt;&lt;wsp:rsid wsp:val=&quot;00F23840&quot;/&gt;&lt;wsp:rsid wsp:val=&quot;00F2388F&quot;/&gt;&lt;wsp:rsid wsp:val=&quot;00F243EF&quot;/&gt;&lt;wsp:rsid wsp:val=&quot;00F27ABA&quot;/&gt;&lt;wsp:rsid wsp:val=&quot;00F27B9B&quot;/&gt;&lt;wsp:rsid wsp:val=&quot;00F3025E&quot;/&gt;&lt;wsp:rsid wsp:val=&quot;00F33426&quot;/&gt;&lt;wsp:rsid wsp:val=&quot;00F34F0E&quot;/&gt;&lt;wsp:rsid wsp:val=&quot;00F414F4&quot;/&gt;&lt;wsp:rsid wsp:val=&quot;00F426BE&quot;/&gt;&lt;wsp:rsid wsp:val=&quot;00F4323D&quot;/&gt;&lt;wsp:rsid wsp:val=&quot;00F4413A&quot;/&gt;&lt;wsp:rsid wsp:val=&quot;00F45DBD&quot;/&gt;&lt;wsp:rsid wsp:val=&quot;00F47F78&quot;/&gt;&lt;wsp:rsid wsp:val=&quot;00F50CF3&quot;/&gt;&lt;wsp:rsid wsp:val=&quot;00F52152&quot;/&gt;&lt;wsp:rsid wsp:val=&quot;00F548D0&quot;/&gt;&lt;wsp:rsid wsp:val=&quot;00F55626&quot;/&gt;&lt;wsp:rsid wsp:val=&quot;00F56EC2&quot;/&gt;&lt;wsp:rsid wsp:val=&quot;00F6004D&quot;/&gt;&lt;wsp:rsid wsp:val=&quot;00F64B48&quot;/&gt;&lt;wsp:rsid wsp:val=&quot;00F652BB&quot;/&gt;&lt;wsp:rsid wsp:val=&quot;00F654A5&quot;/&gt;&lt;wsp:rsid wsp:val=&quot;00F71F5E&quot;/&gt;&lt;wsp:rsid wsp:val=&quot;00F76446&quot;/&gt;&lt;wsp:rsid wsp:val=&quot;00F76490&quot;/&gt;&lt;wsp:rsid wsp:val=&quot;00F808E4&quot;/&gt;&lt;wsp:rsid wsp:val=&quot;00F82418&quot;/&gt;&lt;wsp:rsid wsp:val=&quot;00F8358E&quot;/&gt;&lt;wsp:rsid wsp:val=&quot;00F8368B&quot;/&gt;&lt;wsp:rsid wsp:val=&quot;00F83DD6&quot;/&gt;&lt;wsp:rsid wsp:val=&quot;00F84633&quot;/&gt;&lt;wsp:rsid wsp:val=&quot;00F84942&quot;/&gt;&lt;wsp:rsid wsp:val=&quot;00F855B9&quot;/&gt;&lt;wsp:rsid wsp:val=&quot;00F85997&quot;/&gt;&lt;wsp:rsid wsp:val=&quot;00F87197&quot;/&gt;&lt;wsp:rsid wsp:val=&quot;00F90372&quot;/&gt;&lt;wsp:rsid wsp:val=&quot;00F903C1&quot;/&gt;&lt;wsp:rsid wsp:val=&quot;00F90DE4&quot;/&gt;&lt;wsp:rsid wsp:val=&quot;00F9133F&quot;/&gt;&lt;wsp:rsid wsp:val=&quot;00F91B32&quot;/&gt;&lt;wsp:rsid wsp:val=&quot;00F93E2A&quot;/&gt;&lt;wsp:rsid wsp:val=&quot;00FA0E9D&quot;/&gt;&lt;wsp:rsid wsp:val=&quot;00FA268E&quot;/&gt;&lt;wsp:rsid wsp:val=&quot;00FA6118&quot;/&gt;&lt;wsp:rsid wsp:val=&quot;00FB0622&quot;/&gt;&lt;wsp:rsid wsp:val=&quot;00FB1277&quot;/&gt;&lt;wsp:rsid wsp:val=&quot;00FB3B54&quot;/&gt;&lt;wsp:rsid wsp:val=&quot;00FB42C8&quot;/&gt;&lt;wsp:rsid wsp:val=&quot;00FB50E7&quot;/&gt;&lt;wsp:rsid wsp:val=&quot;00FC0DD2&quot;/&gt;&lt;wsp:rsid wsp:val=&quot;00FC3FC4&quot;/&gt;&lt;wsp:rsid wsp:val=&quot;00FC45C7&quot;/&gt;&lt;wsp:rsid wsp:val=&quot;00FC49F7&quot;/&gt;&lt;wsp:rsid wsp:val=&quot;00FC565D&quot;/&gt;&lt;wsp:rsid wsp:val=&quot;00FC5FF0&quot;/&gt;&lt;wsp:rsid wsp:val=&quot;00FC6770&quot;/&gt;&lt;wsp:rsid wsp:val=&quot;00FC6FE3&quot;/&gt;&lt;wsp:rsid wsp:val=&quot;00FD09FC&quot;/&gt;&lt;wsp:rsid wsp:val=&quot;00FD7BAF&quot;/&gt;&lt;wsp:rsid wsp:val=&quot;00FE2E3A&quot;/&gt;&lt;wsp:rsid wsp:val=&quot;00FE5388&quot;/&gt;&lt;wsp:rsid wsp:val=&quot;00FE61D5&quot;/&gt;&lt;wsp:rsid wsp:val=&quot;00FF1122&quot;/&gt;&lt;wsp:rsid wsp:val=&quot;00FF21DE&quot;/&gt;&lt;wsp:rsid wsp:val=&quot;00FF2573&quot;/&gt;&lt;wsp:rsid wsp:val=&quot;00FF2635&quot;/&gt;&lt;wsp:rsid wsp:val=&quot;00FF2893&quot;/&gt;&lt;wsp:rsid wsp:val=&quot;00FF3E07&quot;/&gt;&lt;wsp:rsid wsp:val=&quot;00FF4E21&quot;/&gt;&lt;wsp:rsid wsp:val=&quot;12EA4F65&quot;/&gt;&lt;wsp:rsid wsp:val=&quot;17DA3DC5&quot;/&gt;&lt;wsp:rsid wsp:val=&quot;486F339C&quot;/&gt;&lt;/wsp:rsids&gt;&lt;/w:docPr&gt;&lt;w:body&gt;&lt;wx:sect&gt;&lt;w:p wsp:rsidR=&quot;00000000&quot; wsp:rsidRPr=&quot;00397ED8&quot; wsp:rsidRDefault=&quot;00397ED8&quot; wsp:rsidP=&quot;00397ED8&quot;&gt;&lt;w:pPr&gt;&lt;w:ind w:first-line=&quot;480&quot;/&gt;&lt;/w:pPr&gt;&lt;m:oMathPara&gt;&lt;m:oMath&gt;&lt;m:sSub&gt;&lt;m:sSubPr&gt;&lt;m:ctrlPr&gt;&lt;w:rPr&gt;&lt;w:rFonts w:ascii=&quot;Cambria Math&quot; w:h-ansi=&quot;Cambria Math&quot;/&gt;&lt;wx:font wx:val=&quot;Cambria Math&quot;/&gt;&lt;w:i/&gt;&lt;w:i-cs/&gt;&lt;w:color w:val=&quot;000000&quot;/&gt;&lt;/w:rPr&gt;&lt;/m:ctrlPr&gt;&lt;/m:sSubPr&gt;&lt;m:e&gt;&lt;m:r&gt;&lt;w:rPr&gt;&lt;w:rFonts w:ascii=&quot;Cambria Math&quot; w:h-ansi=&quot;Cambria Math&quot;/&gt;&lt;wx:font wx:val=&quot;Cambria Math&quot;/&gt;&lt;w:i/&gt;&lt;w:color w:val=&quot;000000&quot;/&gt;&lt;/w:rPr&gt;&lt;m:t&gt;AD&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gt;&lt;wx:font wx:val=&quot;Cambria Math&quot;/&gt;&lt;w:i/&gt;&lt;w:color w:val=&quot;000000&quot;/&gt;&lt;/w:rPr&gt;&lt;m:t&gt;=&lt;/m:t&gt;&lt;/m:r&gt;&lt;m:sSub&gt;&lt;m:sSubPr&gt;&lt;m:ctrlPr&gt;&lt;w:rPr&gt;&lt;w:rFonts w:ascii=&quot;Cambria Math&quot; w:h-ansi=&quot;Cambria Math&quot;/&gt;&lt;wx:font wx:val=&quot;Cambria Math&quot;/&gt;&lt;w:i/&gt;&lt;w:i-cs/&gt;&lt;w:color w:val=&quot;000000&quot;/&gt;&lt;/w:rPr&gt;&lt;/m:ctrlPr&gt;&lt;/m:sSubPr&gt;&lt;m:e&gt;&lt;m:r&gt;&lt;w:rPr&gt;&lt;w:rFonts w:ascii=&quot;Cambria Math&quot; w:h-ansi=&quot;Cambria Math&quot;/&gt;&lt;wx:font wx:val=&quot;Cambria Math&quot;/&gt;&lt;w:i/&gt;&lt;w:color w:val=&quot;000000&quot;/&gt;&lt;/w:rPr&gt;&lt;m:t&gt;NCV&lt;/m:t&gt;&lt;/m:r&gt;&lt;/m:e&gt;&lt;m:sub&gt;&lt;m:r&gt;&lt;w:rPr&gt;&lt;w:rFonts w:ascii=&quot;Cambria Math&quot; w:h-ansi=&quot;Cambria Math&quot;/&gt;&lt;wx:font wx:val=&quot;Cambria Math&quot;/&gt;&lt;w:i/&gt;&lt;w:color w:val=&quot;000000&quot;/&gt;&lt;/w:rPr&gt;&lt;m:t&gt;i&lt;/m:t&gt;&lt;/m:r&gt;&lt;/m:sub&gt;&lt;/m:sSub&gt;&lt;m:sSub&gt;&lt;m:sSubPr&gt;&lt;m:ctrlPr&gt;&lt;w:rPr&gt;&lt;w:rFonts w:ascii=&quot;Cambria Math&quot; w:h-ansi=&quot;Cambria Math&quot;/&gt;&lt;wx:font wx:val=&quot;Cambria Math&quot;/&gt;&lt;w:i/&gt;&lt;w:i-cs/&gt;&lt;w:color w:val=&quot;000000&quot;/&gt;&lt;/w:rPr&gt;&lt;/m:ctrlPr&gt;&lt;/m:sSubPr&gt;&lt;m:e&gt;&lt;m:r&gt;&lt;w:rPr&gt;&lt;w:rFonts w:ascii=&quot;Cambria Math&quot; w:h-ansi=&quot;Cambria Math&quot;/&gt;&lt;wx:font wx:val=&quot;Cambria Math&quot;/&gt;&lt;w:i/&gt;&lt;w:color w:val=&quot;000000&quot;/&gt;&lt;/w:rPr&gt;&lt;m:t&gt;?FC&lt;/m:t&gt;&lt;/m:r&gt;&lt;/m:e&gt;&lt;m:sub&gt;&lt;m:r&gt;&lt;w:rPr&gt;&lt;w:rFonts w:ascii=&quot;Cambria Math&quot; &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gt;w:h-ansi=&quot;Cambria Math&quot;/&gt;&lt;wx:font wx:val=&quot;Cambria Math&quot;/&gt;&lt;w:i/&gt;&lt;w:color w:val=&quot;000000&quot;/&gt;&lt;/w:rPr&gt;&lt;m:t&gt;i&lt;/m:t&gt;&lt;/m:r&gt;&lt;/m:sub&gt;&lt;/m:sSub&gt;&lt;/m:oMath&gt;&lt;/m:oMathPara&gt;&lt;/w:p&gt;&lt;w:sectPr wsp:rsidR=&quot;00000000&quot; wsp:rsidRPr=&quot;00397ED8&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31" chromakey="#FFFFFF" o:title=""/>
            <o:lock v:ext="edit" aspectratio="t"/>
            <w10:wrap type="none"/>
            <w10:anchorlock/>
          </v:shape>
        </w:pict>
      </w:r>
    </w:p>
    <w:p w14:paraId="66BA9A5E">
      <w:pPr>
        <w:ind w:firstLine="480"/>
        <w:rPr>
          <w:color w:val="auto"/>
        </w:rPr>
      </w:pPr>
      <w:r>
        <w:rPr>
          <w:color w:val="auto"/>
        </w:rPr>
        <w:t>式中：</w:t>
      </w:r>
      <w:r>
        <w:rPr>
          <w:i/>
          <w:iCs/>
          <w:color w:val="auto"/>
        </w:rPr>
        <w:t>AD</w:t>
      </w:r>
      <w:r>
        <w:rPr>
          <w:i/>
          <w:iCs/>
          <w:color w:val="auto"/>
          <w:vertAlign w:val="subscript"/>
        </w:rPr>
        <w:t>i</w:t>
      </w:r>
      <w:r>
        <w:rPr>
          <w:rFonts w:hint="eastAsia"/>
          <w:color w:val="auto"/>
        </w:rPr>
        <w:t>为</w:t>
      </w:r>
      <w:r>
        <w:rPr>
          <w:color w:val="auto"/>
        </w:rPr>
        <w:t>核算和报告年度内第i种化石燃料的活动</w:t>
      </w:r>
      <w:r>
        <w:rPr>
          <w:rFonts w:hint="eastAsia"/>
          <w:color w:val="auto"/>
        </w:rPr>
        <w:t>水平</w:t>
      </w:r>
      <w:r>
        <w:rPr>
          <w:color w:val="auto"/>
        </w:rPr>
        <w:t>，</w:t>
      </w:r>
      <w:r>
        <w:rPr>
          <w:rFonts w:hint="eastAsia"/>
          <w:color w:val="auto"/>
        </w:rPr>
        <w:t>单位为百万千焦（</w:t>
      </w:r>
      <w:r>
        <w:rPr>
          <w:color w:val="auto"/>
        </w:rPr>
        <w:t>GJ</w:t>
      </w:r>
      <w:r>
        <w:rPr>
          <w:rFonts w:hint="eastAsia"/>
          <w:color w:val="auto"/>
        </w:rPr>
        <w:t>）</w:t>
      </w:r>
      <w:r>
        <w:rPr>
          <w:color w:val="auto"/>
        </w:rPr>
        <w:t>；</w:t>
      </w:r>
    </w:p>
    <w:p w14:paraId="1FC0EAFB">
      <w:pPr>
        <w:ind w:firstLine="480"/>
        <w:rPr>
          <w:color w:val="auto"/>
        </w:rPr>
      </w:pPr>
      <w:r>
        <w:rPr>
          <w:color w:val="auto"/>
        </w:rPr>
        <w:t xml:space="preserve">     </w:t>
      </w:r>
      <w:r>
        <w:rPr>
          <w:i/>
          <w:iCs/>
          <w:color w:val="auto"/>
        </w:rPr>
        <w:t>NCV</w:t>
      </w:r>
      <w:r>
        <w:rPr>
          <w:i/>
          <w:iCs/>
          <w:color w:val="auto"/>
          <w:vertAlign w:val="subscript"/>
        </w:rPr>
        <w:t>i</w:t>
      </w:r>
      <w:r>
        <w:rPr>
          <w:rFonts w:hint="eastAsia"/>
          <w:color w:val="auto"/>
        </w:rPr>
        <w:t>为</w:t>
      </w:r>
      <w:r>
        <w:rPr>
          <w:color w:val="auto"/>
        </w:rPr>
        <w:t>核算和报告年度内第i种化石燃料的平均低位发热量</w:t>
      </w:r>
      <w:r>
        <w:rPr>
          <w:rFonts w:hint="eastAsia"/>
          <w:color w:val="auto"/>
        </w:rPr>
        <w:t>；对固体或液体燃料，</w:t>
      </w:r>
      <w:r>
        <w:rPr>
          <w:color w:val="auto"/>
        </w:rPr>
        <w:t>单位为百万千</w:t>
      </w:r>
      <w:r>
        <w:rPr>
          <w:rFonts w:hint="eastAsia"/>
          <w:color w:val="auto"/>
        </w:rPr>
        <w:t>焦/吨（GJ/t）；对气体燃料，单位为百万</w:t>
      </w:r>
      <w:r>
        <w:rPr>
          <w:color w:val="auto"/>
        </w:rPr>
        <w:t>千</w:t>
      </w:r>
      <w:r>
        <w:rPr>
          <w:rFonts w:hint="eastAsia"/>
          <w:color w:val="auto"/>
        </w:rPr>
        <w:t>焦/万立方米（GJ/万Nm</w:t>
      </w:r>
      <w:r>
        <w:rPr>
          <w:rFonts w:hint="eastAsia"/>
          <w:color w:val="auto"/>
          <w:vertAlign w:val="superscript"/>
        </w:rPr>
        <w:t>3</w:t>
      </w:r>
      <w:r>
        <w:rPr>
          <w:rFonts w:hint="eastAsia"/>
          <w:color w:val="auto"/>
        </w:rPr>
        <w:t>）;</w:t>
      </w:r>
    </w:p>
    <w:p w14:paraId="47036910">
      <w:pPr>
        <w:ind w:firstLine="960" w:firstLineChars="400"/>
        <w:rPr>
          <w:color w:val="auto"/>
        </w:rPr>
      </w:pPr>
      <w:r>
        <w:rPr>
          <w:i/>
          <w:iCs/>
          <w:color w:val="auto"/>
        </w:rPr>
        <w:t>FC</w:t>
      </w:r>
      <w:r>
        <w:rPr>
          <w:i/>
          <w:iCs/>
          <w:color w:val="auto"/>
          <w:vertAlign w:val="subscript"/>
        </w:rPr>
        <w:t>i</w:t>
      </w:r>
      <w:r>
        <w:rPr>
          <w:rFonts w:hint="eastAsia"/>
          <w:color w:val="auto"/>
        </w:rPr>
        <w:t>为</w:t>
      </w:r>
      <w:r>
        <w:rPr>
          <w:color w:val="auto"/>
        </w:rPr>
        <w:t>核算和报告年度内第i种</w:t>
      </w:r>
      <w:r>
        <w:rPr>
          <w:rFonts w:hint="eastAsia"/>
          <w:color w:val="auto"/>
        </w:rPr>
        <w:t>化石</w:t>
      </w:r>
      <w:r>
        <w:rPr>
          <w:color w:val="auto"/>
        </w:rPr>
        <w:t>燃料的净消耗量</w:t>
      </w:r>
      <w:r>
        <w:rPr>
          <w:rFonts w:hint="eastAsia"/>
          <w:color w:val="auto"/>
        </w:rPr>
        <w:t>；对固体或液体燃料，单位为吨（</w:t>
      </w:r>
      <w:r>
        <w:rPr>
          <w:color w:val="auto"/>
        </w:rPr>
        <w:t>t</w:t>
      </w:r>
      <w:r>
        <w:rPr>
          <w:rFonts w:hint="eastAsia"/>
          <w:color w:val="auto"/>
        </w:rPr>
        <w:t>）</w:t>
      </w:r>
      <w:r>
        <w:rPr>
          <w:color w:val="auto"/>
        </w:rPr>
        <w:t>；</w:t>
      </w:r>
      <w:r>
        <w:rPr>
          <w:rFonts w:hint="eastAsia"/>
          <w:color w:val="auto"/>
        </w:rPr>
        <w:t>对气体燃料，单位为万立方米（万Nm</w:t>
      </w:r>
      <w:r>
        <w:rPr>
          <w:rFonts w:hint="eastAsia"/>
          <w:color w:val="auto"/>
          <w:vertAlign w:val="superscript"/>
        </w:rPr>
        <w:t>3</w:t>
      </w:r>
      <w:r>
        <w:rPr>
          <w:rFonts w:hint="eastAsia"/>
          <w:color w:val="auto"/>
        </w:rPr>
        <w:t>）。本项目柴油使用量2</w:t>
      </w:r>
      <w:r>
        <w:rPr>
          <w:color w:val="auto"/>
        </w:rPr>
        <w:t>99.9</w:t>
      </w:r>
      <w:r>
        <w:rPr>
          <w:rFonts w:hint="eastAsia"/>
          <w:color w:val="auto"/>
        </w:rPr>
        <w:t>t</w:t>
      </w:r>
      <w:r>
        <w:rPr>
          <w:color w:val="auto"/>
        </w:rPr>
        <w:t>/a</w:t>
      </w:r>
      <w:r>
        <w:rPr>
          <w:rFonts w:hint="eastAsia"/>
          <w:color w:val="auto"/>
        </w:rPr>
        <w:t>，天然气使用量为1</w:t>
      </w:r>
      <w:r>
        <w:rPr>
          <w:color w:val="auto"/>
        </w:rPr>
        <w:t>633.95</w:t>
      </w:r>
      <w:r>
        <w:rPr>
          <w:rFonts w:hint="eastAsia"/>
          <w:color w:val="auto"/>
        </w:rPr>
        <w:t>万Nm</w:t>
      </w:r>
      <w:r>
        <w:rPr>
          <w:color w:val="auto"/>
          <w:vertAlign w:val="superscript"/>
        </w:rPr>
        <w:t>3</w:t>
      </w:r>
      <w:r>
        <w:rPr>
          <w:rFonts w:hint="eastAsia"/>
          <w:color w:val="auto"/>
        </w:rPr>
        <w:t>/</w:t>
      </w:r>
      <w:r>
        <w:rPr>
          <w:color w:val="auto"/>
        </w:rPr>
        <w:t>a</w:t>
      </w:r>
      <w:r>
        <w:rPr>
          <w:rFonts w:hint="eastAsia"/>
          <w:color w:val="auto"/>
        </w:rPr>
        <w:t>。</w:t>
      </w:r>
    </w:p>
    <w:p w14:paraId="68E26865">
      <w:pPr>
        <w:ind w:firstLine="480"/>
        <w:rPr>
          <w:color w:val="auto"/>
        </w:rPr>
      </w:pPr>
      <w:r>
        <w:rPr>
          <w:color w:val="auto"/>
        </w:rPr>
        <w:t>3）排放因子数据获取</w:t>
      </w:r>
    </w:p>
    <w:p w14:paraId="50CBE5DF">
      <w:pPr>
        <w:ind w:firstLine="480"/>
        <w:rPr>
          <w:color w:val="auto"/>
        </w:rPr>
      </w:pPr>
      <w:r>
        <w:rPr>
          <w:color w:val="auto"/>
        </w:rPr>
        <w:t>化石燃料燃烧的二氧化碳排放因子按下式计算：</w:t>
      </w:r>
    </w:p>
    <w:p w14:paraId="393E8D87">
      <w:pPr>
        <w:ind w:firstLine="480"/>
        <w:jc w:val="center"/>
        <w:rPr>
          <w:color w:val="auto"/>
        </w:rPr>
      </w:pPr>
      <w:r>
        <w:rPr>
          <w:color w:val="auto"/>
        </w:rPr>
        <w:pict>
          <v:shape id="_x0000_i1058" o:spt="75" type="#_x0000_t75" style="height:30.5pt;width:10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bordersDontSurroundHeader/&gt;&lt;w:bordersDontSurroundFooter/&gt;&lt;w:hideSpellingErrors/&gt;&lt;w:hideGrammaticalErrors/&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3736A2&quot;/&gt;&lt;wsp:rsid wsp:val=&quot;00007F21&quot;/&gt;&lt;wsp:rsid wsp:val=&quot;00011861&quot;/&gt;&lt;wsp:rsid wsp:val=&quot;00021B72&quot;/&gt;&lt;wsp:rsid wsp:val=&quot;000412FB&quot;/&gt;&lt;wsp:rsid wsp:val=&quot;000470CF&quot;/&gt;&lt;wsp:rsid wsp:val=&quot;00072B8B&quot;/&gt;&lt;wsp:rsid wsp:val=&quot;000928D3&quot;/&gt;&lt;wsp:rsid wsp:val=&quot;000943CC&quot;/&gt;&lt;wsp:rsid wsp:val=&quot;00094546&quot;/&gt;&lt;wsp:rsid wsp:val=&quot;000C2FDA&quot;/&gt;&lt;wsp:rsid wsp:val=&quot;000C4295&quot;/&gt;&lt;wsp:rsid wsp:val=&quot;000C561D&quot;/&gt;&lt;wsp:rsid wsp:val=&quot;000C7626&quot;/&gt;&lt;wsp:rsid wsp:val=&quot;000F5BF5&quot;/&gt;&lt;wsp:rsid wsp:val=&quot;000F5D5B&quot;/&gt;&lt;wsp:rsid wsp:val=&quot;000F7A2E&quot;/&gt;&lt;wsp:rsid wsp:val=&quot;0010426C&quot;/&gt;&lt;wsp:rsid wsp:val=&quot;00104387&quot;/&gt;&lt;wsp:rsid wsp:val=&quot;001067C2&quot;/&gt;&lt;wsp:rsid wsp:val=&quot;0010713F&quot;/&gt;&lt;wsp:rsid wsp:val=&quot;00116AF2&quot;/&gt;&lt;wsp:rsid wsp:val=&quot;0012187E&quot;/&gt;&lt;wsp:rsid wsp:val=&quot;001234B0&quot;/&gt;&lt;wsp:rsid wsp:val=&quot;001258EA&quot;/&gt;&lt;wsp:rsid wsp:val=&quot;001259BE&quot;/&gt;&lt;wsp:rsid wsp:val=&quot;00136284&quot;/&gt;&lt;wsp:rsid wsp:val=&quot;0014004E&quot;/&gt;&lt;wsp:rsid wsp:val=&quot;00144EFC&quot;/&gt;&lt;wsp:rsid wsp:val=&quot;0014529B&quot;/&gt;&lt;wsp:rsid wsp:val=&quot;0014558E&quot;/&gt;&lt;wsp:rsid wsp:val=&quot;001475EC&quot;/&gt;&lt;wsp:rsid wsp:val=&quot;00147EB7&quot;/&gt;&lt;wsp:rsid wsp:val=&quot;001548FA&quot;/&gt;&lt;wsp:rsid wsp:val=&quot;00163BC6&quot;/&gt;&lt;wsp:rsid wsp:val=&quot;00164B4C&quot;/&gt;&lt;wsp:rsid wsp:val=&quot;0016575A&quot;/&gt;&lt;wsp:rsid wsp:val=&quot;0017247F&quot;/&gt;&lt;wsp:rsid wsp:val=&quot;00173695&quot;/&gt;&lt;wsp:rsid wsp:val=&quot;001763AA&quot;/&gt;&lt;wsp:rsid wsp:val=&quot;00176AB7&quot;/&gt;&lt;wsp:rsid wsp:val=&quot;00177F9F&quot;/&gt;&lt;wsp:rsid wsp:val=&quot;001B1630&quot;/&gt;&lt;wsp:rsid wsp:val=&quot;001B3607&quot;/&gt;&lt;wsp:rsid wsp:val=&quot;001B53D2&quot;/&gt;&lt;wsp:rsid wsp:val=&quot;001B616F&quot;/&gt;&lt;wsp:rsid wsp:val=&quot;001C2185&quot;/&gt;&lt;wsp:rsid wsp:val=&quot;001C68D4&quot;/&gt;&lt;wsp:rsid wsp:val=&quot;001D368B&quot;/&gt;&lt;wsp:rsid wsp:val=&quot;001F1B54&quot;/&gt;&lt;wsp:rsid wsp:val=&quot;002021D8&quot;/&gt;&lt;wsp:rsid wsp:val=&quot;00203C28&quot;/&gt;&lt;wsp:rsid wsp:val=&quot;002063F8&quot;/&gt;&lt;wsp:rsid wsp:val=&quot;002065E6&quot;/&gt;&lt;wsp:rsid wsp:val=&quot;002139B7&quot;/&gt;&lt;wsp:rsid wsp:val=&quot;0021610E&quot;/&gt;&lt;wsp:rsid wsp:val=&quot;00216D1C&quot;/&gt;&lt;wsp:rsid wsp:val=&quot;00236FBA&quot;/&gt;&lt;wsp:rsid wsp:val=&quot;002415F8&quot;/&gt;&lt;wsp:rsid wsp:val=&quot;00243E3D&quot;/&gt;&lt;wsp:rsid wsp:val=&quot;00245DD1&quot;/&gt;&lt;wsp:rsid wsp:val=&quot;00253584&quot;/&gt;&lt;wsp:rsid wsp:val=&quot;0025615B&quot;/&gt;&lt;wsp:rsid wsp:val=&quot;0026406B&quot;/&gt;&lt;wsp:rsid wsp:val=&quot;0026626A&quot;/&gt;&lt;wsp:rsid wsp:val=&quot;002710AF&quot;/&gt;&lt;wsp:rsid wsp:val=&quot;00274CB2&quot;/&gt;&lt;wsp:rsid wsp:val=&quot;00276D9D&quot;/&gt;&lt;wsp:rsid wsp:val=&quot;00280BEB&quot;/&gt;&lt;wsp:rsid wsp:val=&quot;002831FA&quot;/&gt;&lt;wsp:rsid wsp:val=&quot;00283510&quot;/&gt;&lt;wsp:rsid wsp:val=&quot;00286157&quot;/&gt;&lt;wsp:rsid wsp:val=&quot;002928A3&quot;/&gt;&lt;wsp:rsid wsp:val=&quot;002C06EB&quot;/&gt;&lt;wsp:rsid wsp:val=&quot;002C1B31&quot;/&gt;&lt;wsp:rsid wsp:val=&quot;002D0689&quot;/&gt;&lt;wsp:rsid wsp:val=&quot;002D3B6B&quot;/&gt;&lt;wsp:rsid wsp:val=&quot;002E1833&quot;/&gt;&lt;wsp:rsid wsp:val=&quot;002F0A39&quot;/&gt;&lt;wsp:rsid wsp:val=&quot;002F590A&quot;/&gt;&lt;wsp:rsid wsp:val=&quot;00324C8E&quot;/&gt;&lt;wsp:rsid wsp:val=&quot;00331166&quot;/&gt;&lt;wsp:rsid wsp:val=&quot;00332892&quot;/&gt;&lt;wsp:rsid wsp:val=&quot;00345ED5&quot;/&gt;&lt;wsp:rsid wsp:val=&quot;00347961&quot;/&gt;&lt;wsp:rsid wsp:val=&quot;003736A2&quot;/&gt;&lt;wsp:rsid wsp:val=&quot;0037555D&quot;/&gt;&lt;wsp:rsid wsp:val=&quot;00397FC6&quot;/&gt;&lt;wsp:rsid wsp:val=&quot;003A23F0&quot;/&gt;&lt;wsp:rsid wsp:val=&quot;003B7583&quot;/&gt;&lt;wsp:rsid wsp:val=&quot;003D052F&quot;/&gt;&lt;wsp:rsid wsp:val=&quot;003D4C49&quot;/&gt;&lt;wsp:rsid wsp:val=&quot;003D6B10&quot;/&gt;&lt;wsp:rsid wsp:val=&quot;003F7F29&quot;/&gt;&lt;wsp:rsid wsp:val=&quot;004067E7&quot;/&gt;&lt;wsp:rsid wsp:val=&quot;00413752&quot;/&gt;&lt;wsp:rsid wsp:val=&quot;00423A64&quot;/&gt;&lt;wsp:rsid wsp:val=&quot;00431856&quot;/&gt;&lt;wsp:rsid wsp:val=&quot;00434577&quot;/&gt;&lt;wsp:rsid wsp:val=&quot;00447268&quot;/&gt;&lt;wsp:rsid wsp:val=&quot;0045323B&quot;/&gt;&lt;wsp:rsid wsp:val=&quot;00455BE1&quot;/&gt;&lt;wsp:rsid wsp:val=&quot;00457335&quot;/&gt;&lt;wsp:rsid wsp:val=&quot;0046753E&quot;/&gt;&lt;wsp:rsid wsp:val=&quot;00473DEF&quot;/&gt;&lt;wsp:rsid wsp:val=&quot;00490479&quot;/&gt;&lt;wsp:rsid wsp:val=&quot;004B2A01&quot;/&gt;&lt;wsp:rsid wsp:val=&quot;004E7367&quot;/&gt;&lt;wsp:rsid wsp:val=&quot;004F562A&quot;/&gt;&lt;wsp:rsid wsp:val=&quot;004F721D&quot;/&gt;&lt;wsp:rsid wsp:val=&quot;0050553F&quot;/&gt;&lt;wsp:rsid wsp:val=&quot;00514DF0&quot;/&gt;&lt;wsp:rsid wsp:val=&quot;00521843&quot;/&gt;&lt;wsp:rsid wsp:val=&quot;0054017A&quot;/&gt;&lt;wsp:rsid wsp:val=&quot;00540A94&quot;/&gt;&lt;wsp:rsid wsp:val=&quot;00550B7B&quot;/&gt;&lt;wsp:rsid wsp:val=&quot;00562877&quot;/&gt;&lt;wsp:rsid wsp:val=&quot;0057225F&quot;/&gt;&lt;wsp:rsid wsp:val=&quot;0057407D&quot;/&gt;&lt;wsp:rsid wsp:val=&quot;005754CD&quot;/&gt;&lt;wsp:rsid wsp:val=&quot;005805F5&quot;/&gt;&lt;wsp:rsid wsp:val=&quot;00580C8D&quot;/&gt;&lt;wsp:rsid wsp:val=&quot;00584F77&quot;/&gt;&lt;wsp:rsid wsp:val=&quot;00595849&quot;/&gt;&lt;wsp:rsid wsp:val=&quot;005A27E9&quot;/&gt;&lt;wsp:rsid wsp:val=&quot;005A2FF0&quot;/&gt;&lt;wsp:rsid wsp:val=&quot;005A6CBB&quot;/&gt;&lt;wsp:rsid wsp:val=&quot;005B4FB5&quot;/&gt;&lt;wsp:rsid wsp:val=&quot;005C6724&quot;/&gt;&lt;wsp:rsid wsp:val=&quot;005D0171&quot;/&gt;&lt;wsp:rsid wsp:val=&quot;005D1FF4&quot;/&gt;&lt;wsp:rsid wsp:val=&quot;005D22EA&quot;/&gt;&lt;wsp:rsid wsp:val=&quot;005D5AEF&quot;/&gt;&lt;wsp:rsid wsp:val=&quot;005E7A1B&quot;/&gt;&lt;wsp:rsid wsp:val=&quot;005F264F&quot;/&gt;&lt;wsp:rsid wsp:val=&quot;00600D91&quot;/&gt;&lt;wsp:rsid wsp:val=&quot;00606F09&quot;/&gt;&lt;wsp:rsid wsp:val=&quot;00610A8D&quot;/&gt;&lt;wsp:rsid wsp:val=&quot;00611691&quot;/&gt;&lt;wsp:rsid wsp:val=&quot;00631E47&quot;/&gt;&lt;wsp:rsid wsp:val=&quot;006373B8&quot;/&gt;&lt;wsp:rsid wsp:val=&quot;00646A98&quot;/&gt;&lt;wsp:rsid wsp:val=&quot;00657C4A&quot;/&gt;&lt;wsp:rsid wsp:val=&quot;00684A2A&quot;/&gt;&lt;wsp:rsid wsp:val=&quot;00691C7F&quot;/&gt;&lt;wsp:rsid wsp:val=&quot;006B272C&quot;/&gt;&lt;wsp:rsid wsp:val=&quot;006B3A4B&quot;/&gt;&lt;wsp:rsid wsp:val=&quot;006C7829&quot;/&gt;&lt;wsp:rsid wsp:val=&quot;006D4740&quot;/&gt;&lt;wsp:rsid wsp:val=&quot;006E3BD1&quot;/&gt;&lt;wsp:rsid wsp:val=&quot;006F1CBD&quot;/&gt;&lt;wsp:rsid wsp:val=&quot;006F42FE&quot;/&gt;&lt;wsp:rsid wsp:val=&quot;006F4474&quot;/&gt;&lt;wsp:rsid wsp:val=&quot;006F4545&quot;/&gt;&lt;wsp:rsid wsp:val=&quot;006F75F6&quot;/&gt;&lt;wsp:rsid wsp:val=&quot;00705140&quot;/&gt;&lt;wsp:rsid wsp:val=&quot;007053BC&quot;/&gt;&lt;wsp:rsid wsp:val=&quot;00722EC0&quot;/&gt;&lt;wsp:rsid wsp:val=&quot;00726B6C&quot;/&gt;&lt;wsp:rsid wsp:val=&quot;00737375&quot;/&gt;&lt;wsp:rsid wsp:val=&quot;007400BB&quot;/&gt;&lt;wsp:rsid wsp:val=&quot;00741470&quot;/&gt;&lt;wsp:rsid wsp:val=&quot;00761882&quot;/&gt;&lt;wsp:rsid wsp:val=&quot;0076606E&quot;/&gt;&lt;wsp:rsid wsp:val=&quot;00776709&quot;/&gt;&lt;wsp:rsid wsp:val=&quot;00783C2D&quot;/&gt;&lt;wsp:rsid wsp:val=&quot;0079417B&quot;/&gt;&lt;wsp:rsid wsp:val=&quot;007A0E43&quot;/&gt;&lt;wsp:rsid wsp:val=&quot;007A6299&quot;/&gt;&lt;wsp:rsid wsp:val=&quot;007D3530&quot;/&gt;&lt;wsp:rsid wsp:val=&quot;007E6F57&quot;/&gt;&lt;wsp:rsid wsp:val=&quot;007E6FBE&quot;/&gt;&lt;wsp:rsid wsp:val=&quot;0080076B&quot;/&gt;&lt;wsp:rsid wsp:val=&quot;00804890&quot;/&gt;&lt;wsp:rsid wsp:val=&quot;00814374&quot;/&gt;&lt;wsp:rsid wsp:val=&quot;0083001C&quot;/&gt;&lt;wsp:rsid wsp:val=&quot;00852F42&quot;/&gt;&lt;wsp:rsid wsp:val=&quot;00854655&quot;/&gt;&lt;wsp:rsid wsp:val=&quot;00857789&quot;/&gt;&lt;wsp:rsid wsp:val=&quot;00857E7A&quot;/&gt;&lt;wsp:rsid wsp:val=&quot;008605A5&quot;/&gt;&lt;wsp:rsid wsp:val=&quot;00883732&quot;/&gt;&lt;wsp:rsid wsp:val=&quot;00883963&quot;/&gt;&lt;wsp:rsid wsp:val=&quot;008A5686&quot;/&gt;&lt;wsp:rsid wsp:val=&quot;008A5C96&quot;/&gt;&lt;wsp:rsid wsp:val=&quot;008B739C&quot;/&gt;&lt;wsp:rsid wsp:val=&quot;008C20EF&quot;/&gt;&lt;wsp:rsid wsp:val=&quot;008C5DAE&quot;/&gt;&lt;wsp:rsid wsp:val=&quot;008C6F3E&quot;/&gt;&lt;wsp:rsid wsp:val=&quot;008C7599&quot;/&gt;&lt;wsp:rsid wsp:val=&quot;008D0814&quot;/&gt;&lt;wsp:rsid wsp:val=&quot;008D670B&quot;/&gt;&lt;wsp:rsid wsp:val=&quot;008D7777&quot;/&gt;&lt;wsp:rsid wsp:val=&quot;008E1886&quot;/&gt;&lt;wsp:rsid wsp:val=&quot;008E3F64&quot;/&gt;&lt;wsp:rsid wsp:val=&quot;008F5B77&quot;/&gt;&lt;wsp:rsid wsp:val=&quot;00907843&quot;/&gt;&lt;wsp:rsid wsp:val=&quot;00913D37&quot;/&gt;&lt;wsp:rsid wsp:val=&quot;00916017&quot;/&gt;&lt;wsp:rsid wsp:val=&quot;00917CDE&quot;/&gt;&lt;wsp:rsid wsp:val=&quot;009227EF&quot;/&gt;&lt;wsp:rsid wsp:val=&quot;0092360D&quot;/&gt;&lt;wsp:rsid wsp:val=&quot;00930E26&quot;/&gt;&lt;wsp:rsid wsp:val=&quot;00932635&quot;/&gt;&lt;wsp:rsid wsp:val=&quot;00956596&quot;/&gt;&lt;wsp:rsid wsp:val=&quot;0096088F&quot;/&gt;&lt;wsp:rsid wsp:val=&quot;00963C31&quot;/&gt;&lt;wsp:rsid wsp:val=&quot;0097463E&quot;/&gt;&lt;wsp:rsid wsp:val=&quot;009B246D&quot;/&gt;&lt;wsp:rsid wsp:val=&quot;009B711D&quot;/&gt;&lt;wsp:rsid wsp:val=&quot;009C370A&quot;/&gt;&lt;wsp:rsid wsp:val=&quot;009C4481&quot;/&gt;&lt;wsp:rsid wsp:val=&quot;009D095E&quot;/&gt;&lt;wsp:rsid wsp:val=&quot;009D2CB6&quot;/&gt;&lt;wsp:rsid wsp:val=&quot;009E71BA&quot;/&gt;&lt;wsp:rsid wsp:val=&quot;009F4B61&quot;/&gt;&lt;wsp:rsid wsp:val=&quot;00A0601C&quot;/&gt;&lt;wsp:rsid wsp:val=&quot;00A07D0F&quot;/&gt;&lt;wsp:rsid wsp:val=&quot;00A12C32&quot;/&gt;&lt;wsp:rsid wsp:val=&quot;00A134F3&quot;/&gt;&lt;wsp:rsid wsp:val=&quot;00A23397&quot;/&gt;&lt;wsp:rsid wsp:val=&quot;00A248FE&quot;/&gt;&lt;wsp:rsid wsp:val=&quot;00A57BC0&quot;/&gt;&lt;wsp:rsid wsp:val=&quot;00A64AA7&quot;/&gt;&lt;wsp:rsid wsp:val=&quot;00A724BD&quot;/&gt;&lt;wsp:rsid wsp:val=&quot;00A7415B&quot;/&gt;&lt;wsp:rsid wsp:val=&quot;00A84005&quot;/&gt;&lt;wsp:rsid wsp:val=&quot;00A87B42&quot;/&gt;&lt;wsp:rsid wsp:val=&quot;00A9139B&quot;/&gt;&lt;wsp:rsid wsp:val=&quot;00A92B0B&quot;/&gt;&lt;wsp:rsid wsp:val=&quot;00AA4006&quot;/&gt;&lt;wsp:rsid wsp:val=&quot;00AB0293&quot;/&gt;&lt;wsp:rsid wsp:val=&quot;00AB5B1D&quot;/&gt;&lt;wsp:rsid wsp:val=&quot;00AC5D9B&quot;/&gt;&lt;wsp:rsid wsp:val=&quot;00AF0E30&quot;/&gt;&lt;wsp:rsid wsp:val=&quot;00B346E0&quot;/&gt;&lt;wsp:rsid wsp:val=&quot;00B47C42&quot;/&gt;&lt;wsp:rsid wsp:val=&quot;00B67FE6&quot;/&gt;&lt;wsp:rsid wsp:val=&quot;00B7157F&quot;/&gt;&lt;wsp:rsid wsp:val=&quot;00B73112&quot;/&gt;&lt;wsp:rsid wsp:val=&quot;00B77478&quot;/&gt;&lt;wsp:rsid wsp:val=&quot;00B92A67&quot;/&gt;&lt;wsp:rsid wsp:val=&quot;00BC5A9C&quot;/&gt;&lt;wsp:rsid wsp:val=&quot;00BC5D7C&quot;/&gt;&lt;wsp:rsid wsp:val=&quot;00BD171D&quot;/&gt;&lt;wsp:rsid wsp:val=&quot;00BD354F&quot;/&gt;&lt;wsp:rsid wsp:val=&quot;00BD3DB0&quot;/&gt;&lt;wsp:rsid wsp:val=&quot;00BD51AD&quot;/&gt;&lt;wsp:rsid wsp:val=&quot;00C10DBA&quot;/&gt;&lt;wsp:rsid wsp:val=&quot;00C1274A&quot;/&gt;&lt;wsp:rsid wsp:val=&quot;00C14C48&quot;/&gt;&lt;wsp:rsid wsp:val=&quot;00C1552D&quot;/&gt;&lt;wsp:rsid wsp:val=&quot;00C159E0&quot;/&gt;&lt;wsp:rsid wsp:val=&quot;00C23457&quot;/&gt;&lt;wsp:rsid wsp:val=&quot;00C273CA&quot;/&gt;&lt;wsp:rsid wsp:val=&quot;00C32B08&quot;/&gt;&lt;wsp:rsid wsp:val=&quot;00C42A9C&quot;/&gt;&lt;wsp:rsid wsp:val=&quot;00C43A0F&quot;/&gt;&lt;wsp:rsid wsp:val=&quot;00C43E41&quot;/&gt;&lt;wsp:rsid wsp:val=&quot;00C50316&quot;/&gt;&lt;wsp:rsid wsp:val=&quot;00C53D1A&quot;/&gt;&lt;wsp:rsid wsp:val=&quot;00C63B29&quot;/&gt;&lt;wsp:rsid wsp:val=&quot;00C67B88&quot;/&gt;&lt;wsp:rsid wsp:val=&quot;00C76AEA&quot;/&gt;&lt;wsp:rsid wsp:val=&quot;00C94B1E&quot;/&gt;&lt;wsp:rsid wsp:val=&quot;00CA1267&quot;/&gt;&lt;wsp:rsid wsp:val=&quot;00CA2D5C&quot;/&gt;&lt;wsp:rsid wsp:val=&quot;00CA64FE&quot;/&gt;&lt;wsp:rsid wsp:val=&quot;00CA6DEE&quot;/&gt;&lt;wsp:rsid wsp:val=&quot;00CB379D&quot;/&gt;&lt;wsp:rsid wsp:val=&quot;00CB4ED2&quot;/&gt;&lt;wsp:rsid wsp:val=&quot;00CD0DB9&quot;/&gt;&lt;wsp:rsid wsp:val=&quot;00CD6195&quot;/&gt;&lt;wsp:rsid wsp:val=&quot;00CF655F&quot;/&gt;&lt;wsp:rsid wsp:val=&quot;00D05B75&quot;/&gt;&lt;wsp:rsid wsp:val=&quot;00D07CEE&quot;/&gt;&lt;wsp:rsid wsp:val=&quot;00D107B0&quot;/&gt;&lt;wsp:rsid wsp:val=&quot;00D15C17&quot;/&gt;&lt;wsp:rsid wsp:val=&quot;00D160D5&quot;/&gt;&lt;wsp:rsid wsp:val=&quot;00D25A97&quot;/&gt;&lt;wsp:rsid wsp:val=&quot;00D25D3B&quot;/&gt;&lt;wsp:rsid wsp:val=&quot;00D44A12&quot;/&gt;&lt;wsp:rsid wsp:val=&quot;00D44E50&quot;/&gt;&lt;wsp:rsid wsp:val=&quot;00D46E10&quot;/&gt;&lt;wsp:rsid wsp:val=&quot;00D60AE3&quot;/&gt;&lt;wsp:rsid wsp:val=&quot;00D63AC4&quot;/&gt;&lt;wsp:rsid wsp:val=&quot;00D70485&quot;/&gt;&lt;wsp:rsid wsp:val=&quot;00D83F09&quot;/&gt;&lt;wsp:rsid wsp:val=&quot;00DA248A&quot;/&gt;&lt;wsp:rsid wsp:val=&quot;00DA3415&quot;/&gt;&lt;wsp:rsid wsp:val=&quot;00DD2CCC&quot;/&gt;&lt;wsp:rsid wsp:val=&quot;00DD52DB&quot;/&gt;&lt;wsp:rsid wsp:val=&quot;00DD77F2&quot;/&gt;&lt;wsp:rsid wsp:val=&quot;00E00084&quot;/&gt;&lt;wsp:rsid wsp:val=&quot;00E01A9A&quot;/&gt;&lt;wsp:rsid wsp:val=&quot;00E01EF0&quot;/&gt;&lt;wsp:rsid wsp:val=&quot;00E14744&quot;/&gt;&lt;wsp:rsid wsp:val=&quot;00E25035&quot;/&gt;&lt;wsp:rsid wsp:val=&quot;00E25D9D&quot;/&gt;&lt;wsp:rsid wsp:val=&quot;00E32B34&quot;/&gt;&lt;wsp:rsid wsp:val=&quot;00E34797&quot;/&gt;&lt;wsp:rsid wsp:val=&quot;00E476D9&quot;/&gt;&lt;wsp:rsid wsp:val=&quot;00E47EF4&quot;/&gt;&lt;wsp:rsid wsp:val=&quot;00E86097&quot;/&gt;&lt;wsp:rsid wsp:val=&quot;00E97F71&quot;/&gt;&lt;wsp:rsid wsp:val=&quot;00EA60F9&quot;/&gt;&lt;wsp:rsid wsp:val=&quot;00EA6B0F&quot;/&gt;&lt;wsp:rsid wsp:val=&quot;00ED265F&quot;/&gt;&lt;wsp:rsid wsp:val=&quot;00EE6447&quot;/&gt;&lt;wsp:rsid wsp:val=&quot;00F13BCF&quot;/&gt;&lt;wsp:rsid wsp:val=&quot;00F23840&quot;/&gt;&lt;wsp:rsid wsp:val=&quot;00F2388F&quot;/&gt;&lt;wsp:rsid wsp:val=&quot;00F27ABA&quot;/&gt;&lt;wsp:rsid wsp:val=&quot;00F414F4&quot;/&gt;&lt;wsp:rsid wsp:val=&quot;00F4413A&quot;/&gt;&lt;wsp:rsid wsp:val=&quot;00F45DBD&quot;/&gt;&lt;wsp:rsid wsp:val=&quot;00F50CF3&quot;/&gt;&lt;wsp:rsid wsp:val=&quot;00F548D0&quot;/&gt;&lt;wsp:rsid wsp:val=&quot;00F64B48&quot;/&gt;&lt;wsp:rsid wsp:val=&quot;00F652BB&quot;/&gt;&lt;wsp:rsid wsp:val=&quot;00F71F5E&quot;/&gt;&lt;wsp:rsid wsp:val=&quot;00F76490&quot;/&gt;&lt;wsp:rsid wsp:val=&quot;00F85997&quot;/&gt;&lt;wsp:rsid wsp:val=&quot;00F87197&quot;/&gt;&lt;wsp:rsid wsp:val=&quot;00FA6118&quot;/&gt;&lt;wsp:rsid wsp:val=&quot;00FC0DD2&quot;/&gt;&lt;wsp:rsid wsp:val=&quot;00FC45C7&quot;/&gt;&lt;wsp:rsid wsp:val=&quot;00FC6FE3&quot;/&gt;&lt;wsp:rsid wsp:val=&quot;00FE2E3A&quot;/&gt;&lt;wsp:rsid wsp:val=&quot;00FE5388&quot;/&gt;&lt;/wsp:rsids&gt;&lt;/w:docPr&gt;&lt;w:body&gt;&lt;wx:sect&gt;&lt;w:p wsp:rsidR=&quot;00000000&quot; wsp:rsidRPr=&quot;002C06EB&quot; wsp:rsidRDefault=&quot;002C06EB&quot; wsp:rsidP=&quot;002C06EB&quot;&gt;&lt;w:pPr&gt;&lt;w:ind w:first-line=&quot;480&quot;/&gt;&lt;/w:pPr&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EF&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gt;&lt;wx:font wx:val=&quot;Cambria Math&quot;/&gt;&lt;w:i/&gt;&lt;w:color w:val=&quot;000000&quot;/&gt;&lt;/w:rPr&gt;&lt;m:t&gt;=&lt;/m:t&gt;&lt;/m:r&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CC&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gt;&lt;wx:font wx:val=&quot;Cambria Math&quot;/&gt;&lt;w:i/&gt;&lt;w:color w:val=&quot;000000&quot;/&gt;&lt;/w:rPr&gt;&lt;m:t&gt;?&lt;/m:t&gt;&lt;/m:r&gt;&lt;m:sSub&gt;&lt;m:sSubPr&gt;&lt;m:ctrlPr&gt;&lt;w:rPr&gt;&lt;w:rFonts w:ascii=&quot;Cambria Math&quot; w:h-ansi=&quot;Cambria Math&quot;/&gt;&lt;wx:font wx:val=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w&quot;Cambria Math&quot;/&gt;&lt;w:i/&gt;&lt;w:color w:val=&quot;000000&quot;/&gt;&lt;/w:rPr&gt;&lt;/m:ctrlPr&gt;&lt;/m:sSubPr&gt;&lt;m:e&gt;&lt;m:r&gt;&lt;w:rPr&gt;&lt;w:rFonts w:ascii=&quot;Cambria Math&quot; w:h-ansi=&quot;Cambria Math&quot;/&gt;&lt;wx:font wx:val=&quot;Cambria Math&quot;/&gt;&lt;w:i/&gt;&lt;w:color w:val=&quot;000000&quot;/&gt;&lt;/w:rPr&gt;&lt;m:t&gt;OF&lt;/m:t&gt;&lt;/m:r&gt;&lt;/m:e&gt;&lt;m:sub&gt;&lt;m:r&gt;&lt;w:rPr&gt;&lt;w:rFonts w:ascii=&quot;Cambria Math&quot; w:h-ansi=&quot;Cambria Math&quot;/&gt;&lt;wx:font wx:val=&quot;Cambria Math&quot;/&gt;&lt;w:i/&gt;&lt;w:color w:val=&quot;000000&quot;/&gt;&lt;/w:rPr&gt;&lt;m:t&gt;i&lt;/m:t&gt;&lt;/m:r&gt;&lt;/m:sub&gt;&lt;/m:sSub&gt;&lt;m:r&gt;&lt;w:rPr&gt;&lt;w:rFonts w:ascii=&quot;Cambria Math&quot; w:h-ansi=&quot;Cambria Math&quot; w:cs=&quot;Cambria Math&quot;/&gt;&lt;wx:font wx:val=&quot;Cambria Math&quot;/&gt;&lt;w:i/&gt;&lt;w:color w:val=&quot;000000&quot;/&gt;&lt;/w:rPr&gt;&lt;m:t&gt;??&lt;m/bmr:ita&gt; &lt;M/amt:hr&quot;&gt;/&lt;&gt;m&lt;:wf:&gt;i&lt;/m&gt;:&lt;fwP:rc&gt;o&lt;lmo:rc twr:lvParl&gt;=&lt;&quot;w0:0r0P0r0&gt;0&lt;&quot;w/:&gt;r&lt;F/own:trsP rw&gt;:n&lt;tasm sw::catsic&gt;iiii==&quot;&lt;C&quot;a/mCbmrai:am tMba&gt;trh&lt;&quot;i /wa:mh -:aMnrsai&gt;=t&quot;&lt;Cha/m&quot;bmr i:aw sM:authhb&quot;- &gt;wa:&lt;cns/=s&quot;mCia:m=bsr&quot;iSaC uMaabtmh&gt;&quot;b/&lt;&gt;r&lt;mwix::afro n&gt;tM &lt;waxw:tv:ahlr=&quot;&quot;PC armwb&gt;r:i&lt;ac wMsa:t=hr&quot;&quot;/F&gt;C&lt;owa:nim/t&gt;b&lt;swr: ciowlao:r  awM:svaaclt=i&quot;h0i0&quot;0=0/0&quot;0&gt;&quot;C/&lt;&gt;a&lt;w/mwx:br:Prrf&gt;i&lt;oma:nt &gt;t?M awtxh:&quot;v awl:=h&quot;-Caanmsbir=i&quot;aC aMmabtrhi&quot;a/ &gt;M&lt;awt:hi&quot;/ &gt;w&lt;:wc:sc=o&quot;lCoarm bw:val=&quot;000000&quot;/&gt;&lt;/w:rPr&gt;&lt;/m:ctrlPr&gt;&lt;/m:fPr&gt;&lt;m:num&gt;&lt;m:r&gt;&lt;w:rPr&gt;&lt;w:rFonts w:ascii=&quot;Cambria Math&quot; w:h-ansi=&quot;Cambria Math&quot; w:cs=&quot;Cambria Math&quot;/&gt;&lt;wx:font wx:val=&quot;Cambria Math&quot;/&gt;&lt;w:i/&gt;&lt;w:color w:val=&quot;000000&quot;/&gt;&lt;/w:rPr&gt;&lt;m:t&gt;44&lt;/m:t&gt;&lt;/m:r&gt;&lt;/m:num&gt;&lt;m:den&gt;&lt;m:r&gt;&lt;w:rPr&gt;&lt;w:rFonts w:ascii=&quot;Cambria Math&quot; w:h-ansi=&quot;Cambria Math&quot; w:cs=&quot;Cambria Math&quot;/&gt;&lt;wx:font wx:val=&quot;Cambria Math&quot;/&gt;&lt;w:i/&gt;&lt;w:color w:val=&quot;000000&quot;/&gt;&lt;/w:rPr&gt;&lt;m:t&gt;12&lt;/m:t&gt;&lt;/m:r&gt;&lt;/m:den&gt;&lt;/m:f&gt;&lt;/m:oMath&gt;&lt;/m:oMathPara&gt;&lt;/w:p&gt;&lt;w:sectPr wsp:rsidR=&quot;00000000&quot; wsp:rsidRPr=&quot;002C06EB&quot;&gt;&lt;w:pgSz w:w=&quot;12240&quot; w:h=&quot;15840&quot;/&gt;&lt;w:pgMar w:top=&quot;1440&quot; w:right=&quot;1800&quot; w:bottom=&quot;1440&quot; w:left=&quot;1800&quot; w:header=&quot;720&quot; w:footer=&quot;720&quot; w:gutter=&quot;0&quot;/&gt;&lt;w:cols w:space=&quot;720&quot;/&gt;&lt;/w:sectPr&gt;&lt;/wx:sect&gt;&lt;/w:body&gt;&lt;/w:wordDocument&gt;">
            <v:path/>
            <v:fill on="f" focussize="0,0"/>
            <v:stroke on="f" joinstyle="miter"/>
            <v:imagedata r:id="rId132" chromakey="#FFFFFF" o:title=""/>
            <o:lock v:ext="edit" aspectratio="t"/>
            <w10:wrap type="none"/>
            <w10:anchorlock/>
          </v:shape>
        </w:pict>
      </w:r>
    </w:p>
    <w:p w14:paraId="2FC85500">
      <w:pPr>
        <w:ind w:firstLine="480"/>
        <w:rPr>
          <w:color w:val="auto"/>
        </w:rPr>
      </w:pPr>
      <w:r>
        <w:rPr>
          <w:color w:val="auto"/>
        </w:rPr>
        <w:t>式中：</w:t>
      </w:r>
      <w:r>
        <w:rPr>
          <w:i/>
          <w:iCs/>
          <w:color w:val="auto"/>
        </w:rPr>
        <w:t>EF</w:t>
      </w:r>
      <w:r>
        <w:rPr>
          <w:color w:val="auto"/>
          <w:vertAlign w:val="subscript"/>
        </w:rPr>
        <w:t>i</w:t>
      </w:r>
      <w:r>
        <w:rPr>
          <w:color w:val="auto"/>
        </w:rPr>
        <w:t>为第i种化石燃料的二氧化碳排放因子，</w:t>
      </w:r>
      <w:r>
        <w:rPr>
          <w:rFonts w:hint="eastAsia"/>
          <w:color w:val="auto"/>
        </w:rPr>
        <w:t>单位为吨二氧化碳/太焦（</w:t>
      </w:r>
      <w:r>
        <w:rPr>
          <w:color w:val="auto"/>
        </w:rPr>
        <w:t>tCO</w:t>
      </w:r>
      <w:r>
        <w:rPr>
          <w:color w:val="auto"/>
          <w:vertAlign w:val="subscript"/>
        </w:rPr>
        <w:t>2</w:t>
      </w:r>
      <w:r>
        <w:rPr>
          <w:color w:val="auto"/>
        </w:rPr>
        <w:t>/GJ</w:t>
      </w:r>
      <w:r>
        <w:rPr>
          <w:rFonts w:hint="eastAsia"/>
          <w:color w:val="auto"/>
        </w:rPr>
        <w:t>）</w:t>
      </w:r>
      <w:r>
        <w:rPr>
          <w:color w:val="auto"/>
        </w:rPr>
        <w:t>；</w:t>
      </w:r>
    </w:p>
    <w:p w14:paraId="3371BC7D">
      <w:pPr>
        <w:ind w:firstLine="480"/>
        <w:rPr>
          <w:color w:val="auto"/>
        </w:rPr>
      </w:pPr>
      <w:r>
        <w:rPr>
          <w:color w:val="auto"/>
        </w:rPr>
        <w:t xml:space="preserve">     </w:t>
      </w:r>
      <w:r>
        <w:rPr>
          <w:i/>
          <w:iCs/>
          <w:color w:val="auto"/>
        </w:rPr>
        <w:t>CC</w:t>
      </w:r>
      <w:r>
        <w:rPr>
          <w:color w:val="auto"/>
          <w:vertAlign w:val="subscript"/>
        </w:rPr>
        <w:t>i</w:t>
      </w:r>
      <w:r>
        <w:rPr>
          <w:rFonts w:hint="eastAsia"/>
          <w:color w:val="auto"/>
        </w:rPr>
        <w:t>为</w:t>
      </w:r>
      <w:r>
        <w:rPr>
          <w:color w:val="auto"/>
        </w:rPr>
        <w:t>第i种化石燃料的单位热值含碳量，</w:t>
      </w:r>
      <w:r>
        <w:rPr>
          <w:rFonts w:hint="eastAsia"/>
          <w:color w:val="auto"/>
        </w:rPr>
        <w:t>单位为吨碳/百万千焦（</w:t>
      </w:r>
      <w:r>
        <w:rPr>
          <w:color w:val="auto"/>
        </w:rPr>
        <w:t>tC/GJ</w:t>
      </w:r>
      <w:r>
        <w:rPr>
          <w:rFonts w:hint="eastAsia"/>
          <w:color w:val="auto"/>
        </w:rPr>
        <w:t>）</w:t>
      </w:r>
      <w:r>
        <w:rPr>
          <w:color w:val="auto"/>
        </w:rPr>
        <w:t>；</w:t>
      </w:r>
    </w:p>
    <w:p w14:paraId="2D58D8EF">
      <w:pPr>
        <w:ind w:firstLine="480"/>
        <w:rPr>
          <w:color w:val="auto"/>
        </w:rPr>
      </w:pPr>
      <w:r>
        <w:rPr>
          <w:color w:val="auto"/>
        </w:rPr>
        <w:t xml:space="preserve">     </w:t>
      </w:r>
      <w:r>
        <w:rPr>
          <w:i/>
          <w:iCs/>
          <w:color w:val="auto"/>
        </w:rPr>
        <w:t>OF</w:t>
      </w:r>
      <w:r>
        <w:rPr>
          <w:color w:val="auto"/>
          <w:vertAlign w:val="subscript"/>
        </w:rPr>
        <w:t>i</w:t>
      </w:r>
      <w:r>
        <w:rPr>
          <w:rFonts w:hint="eastAsia"/>
          <w:color w:val="auto"/>
        </w:rPr>
        <w:t>为</w:t>
      </w:r>
      <w:r>
        <w:rPr>
          <w:color w:val="auto"/>
        </w:rPr>
        <w:t>第i种化石燃料的碳氧化率，单位为%。</w:t>
      </w:r>
    </w:p>
    <w:p w14:paraId="44871447">
      <w:pPr>
        <w:ind w:firstLine="480"/>
        <w:rPr>
          <w:color w:val="auto"/>
        </w:rPr>
      </w:pPr>
      <w:r>
        <w:rPr>
          <w:color w:val="auto"/>
        </w:rPr>
        <w:t>4）计算结果</w:t>
      </w:r>
    </w:p>
    <w:p w14:paraId="0D21BE43">
      <w:pPr>
        <w:ind w:firstLine="480"/>
        <w:rPr>
          <w:color w:val="auto"/>
        </w:rPr>
      </w:pPr>
      <w:r>
        <w:rPr>
          <w:color w:val="auto"/>
        </w:rPr>
        <w:t>本</w:t>
      </w:r>
      <w:r>
        <w:rPr>
          <w:rFonts w:hint="eastAsia"/>
          <w:color w:val="auto"/>
        </w:rPr>
        <w:t>项目</w:t>
      </w:r>
      <w:r>
        <w:rPr>
          <w:color w:val="auto"/>
        </w:rPr>
        <w:t>化石燃料燃烧碳排放量见表6.2-</w:t>
      </w:r>
      <w:r>
        <w:rPr>
          <w:rFonts w:hint="eastAsia"/>
          <w:color w:val="auto"/>
        </w:rPr>
        <w:t>2</w:t>
      </w:r>
      <w:r>
        <w:rPr>
          <w:color w:val="auto"/>
        </w:rPr>
        <w:t>。</w:t>
      </w:r>
    </w:p>
    <w:p w14:paraId="628CDB57">
      <w:pPr>
        <w:pStyle w:val="7"/>
        <w:rPr>
          <w:color w:val="auto"/>
        </w:rPr>
      </w:pPr>
      <w:r>
        <w:rPr>
          <w:color w:val="auto"/>
        </w:rPr>
        <w:t>化石燃料燃烧碳排放量一览表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1896"/>
        <w:gridCol w:w="1206"/>
        <w:gridCol w:w="1316"/>
        <w:gridCol w:w="794"/>
        <w:gridCol w:w="783"/>
        <w:gridCol w:w="993"/>
        <w:gridCol w:w="1163"/>
      </w:tblGrid>
      <w:tr w14:paraId="3312A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09" w:type="pct"/>
            <w:vMerge w:val="restart"/>
            <w:tcBorders>
              <w:top w:val="single" w:color="auto" w:sz="4" w:space="0"/>
              <w:left w:val="single" w:color="auto" w:sz="4" w:space="0"/>
              <w:bottom w:val="single" w:color="auto" w:sz="4" w:space="0"/>
              <w:right w:val="single" w:color="auto" w:sz="4" w:space="0"/>
            </w:tcBorders>
            <w:vAlign w:val="center"/>
          </w:tcPr>
          <w:p w14:paraId="50C791FD">
            <w:pPr>
              <w:pStyle w:val="33"/>
              <w:rPr>
                <w:color w:val="auto"/>
              </w:rPr>
            </w:pPr>
            <w:r>
              <w:rPr>
                <w:color w:val="auto"/>
              </w:rPr>
              <w:t>名称</w:t>
            </w:r>
          </w:p>
        </w:tc>
        <w:tc>
          <w:tcPr>
            <w:tcW w:w="1023" w:type="pct"/>
            <w:tcBorders>
              <w:top w:val="single" w:color="auto" w:sz="4" w:space="0"/>
              <w:left w:val="single" w:color="auto" w:sz="4" w:space="0"/>
              <w:bottom w:val="single" w:color="auto" w:sz="4" w:space="0"/>
              <w:right w:val="single" w:color="auto" w:sz="4" w:space="0"/>
            </w:tcBorders>
            <w:vAlign w:val="center"/>
          </w:tcPr>
          <w:p w14:paraId="13387AA5">
            <w:pPr>
              <w:pStyle w:val="33"/>
              <w:rPr>
                <w:color w:val="auto"/>
              </w:rPr>
            </w:pPr>
            <w:r>
              <w:rPr>
                <w:color w:val="auto"/>
              </w:rPr>
              <w:t>NCVi</w:t>
            </w:r>
          </w:p>
        </w:tc>
        <w:tc>
          <w:tcPr>
            <w:tcW w:w="651" w:type="pct"/>
            <w:tcBorders>
              <w:top w:val="single" w:color="auto" w:sz="4" w:space="0"/>
              <w:left w:val="single" w:color="auto" w:sz="4" w:space="0"/>
              <w:bottom w:val="single" w:color="auto" w:sz="4" w:space="0"/>
              <w:right w:val="single" w:color="auto" w:sz="4" w:space="0"/>
            </w:tcBorders>
            <w:vAlign w:val="center"/>
          </w:tcPr>
          <w:p w14:paraId="78C5B659">
            <w:pPr>
              <w:pStyle w:val="33"/>
              <w:rPr>
                <w:color w:val="auto"/>
              </w:rPr>
            </w:pPr>
            <w:r>
              <w:rPr>
                <w:color w:val="auto"/>
              </w:rPr>
              <w:t>FCi</w:t>
            </w:r>
          </w:p>
        </w:tc>
        <w:tc>
          <w:tcPr>
            <w:tcW w:w="710" w:type="pct"/>
            <w:tcBorders>
              <w:top w:val="single" w:color="auto" w:sz="4" w:space="0"/>
              <w:left w:val="single" w:color="auto" w:sz="4" w:space="0"/>
              <w:bottom w:val="single" w:color="auto" w:sz="4" w:space="0"/>
              <w:right w:val="single" w:color="auto" w:sz="4" w:space="0"/>
            </w:tcBorders>
            <w:vAlign w:val="center"/>
          </w:tcPr>
          <w:p w14:paraId="53F16D31">
            <w:pPr>
              <w:pStyle w:val="33"/>
              <w:rPr>
                <w:color w:val="auto"/>
              </w:rPr>
            </w:pPr>
            <w:r>
              <w:rPr>
                <w:color w:val="auto"/>
              </w:rPr>
              <w:t>ADi</w:t>
            </w:r>
          </w:p>
        </w:tc>
        <w:tc>
          <w:tcPr>
            <w:tcW w:w="421" w:type="pct"/>
            <w:tcBorders>
              <w:top w:val="single" w:color="auto" w:sz="4" w:space="0"/>
              <w:left w:val="single" w:color="auto" w:sz="4" w:space="0"/>
              <w:bottom w:val="single" w:color="auto" w:sz="4" w:space="0"/>
              <w:right w:val="single" w:color="auto" w:sz="4" w:space="0"/>
            </w:tcBorders>
            <w:vAlign w:val="center"/>
          </w:tcPr>
          <w:p w14:paraId="6FF6CA30">
            <w:pPr>
              <w:pStyle w:val="33"/>
              <w:rPr>
                <w:color w:val="auto"/>
              </w:rPr>
            </w:pPr>
            <w:r>
              <w:rPr>
                <w:color w:val="auto"/>
              </w:rPr>
              <w:t>CCi</w:t>
            </w:r>
          </w:p>
        </w:tc>
        <w:tc>
          <w:tcPr>
            <w:tcW w:w="423" w:type="pct"/>
            <w:tcBorders>
              <w:top w:val="single" w:color="auto" w:sz="4" w:space="0"/>
              <w:left w:val="single" w:color="auto" w:sz="4" w:space="0"/>
              <w:bottom w:val="single" w:color="auto" w:sz="4" w:space="0"/>
              <w:right w:val="single" w:color="auto" w:sz="4" w:space="0"/>
            </w:tcBorders>
            <w:vAlign w:val="center"/>
          </w:tcPr>
          <w:p w14:paraId="69B78806">
            <w:pPr>
              <w:pStyle w:val="33"/>
              <w:rPr>
                <w:color w:val="auto"/>
              </w:rPr>
            </w:pPr>
            <w:r>
              <w:rPr>
                <w:color w:val="auto"/>
              </w:rPr>
              <w:t>OFi</w:t>
            </w:r>
          </w:p>
        </w:tc>
        <w:tc>
          <w:tcPr>
            <w:tcW w:w="536" w:type="pct"/>
            <w:tcBorders>
              <w:top w:val="single" w:color="auto" w:sz="4" w:space="0"/>
              <w:left w:val="single" w:color="auto" w:sz="4" w:space="0"/>
              <w:bottom w:val="single" w:color="auto" w:sz="4" w:space="0"/>
              <w:right w:val="single" w:color="auto" w:sz="4" w:space="0"/>
            </w:tcBorders>
            <w:vAlign w:val="center"/>
          </w:tcPr>
          <w:p w14:paraId="40EA404C">
            <w:pPr>
              <w:pStyle w:val="33"/>
              <w:rPr>
                <w:color w:val="auto"/>
              </w:rPr>
            </w:pPr>
            <w:r>
              <w:rPr>
                <w:color w:val="auto"/>
              </w:rPr>
              <w:t>EFi</w:t>
            </w:r>
          </w:p>
        </w:tc>
        <w:tc>
          <w:tcPr>
            <w:tcW w:w="627" w:type="pct"/>
            <w:tcBorders>
              <w:top w:val="single" w:color="auto" w:sz="4" w:space="0"/>
              <w:left w:val="single" w:color="auto" w:sz="4" w:space="0"/>
              <w:bottom w:val="single" w:color="auto" w:sz="4" w:space="0"/>
              <w:right w:val="single" w:color="auto" w:sz="4" w:space="0"/>
            </w:tcBorders>
            <w:vAlign w:val="center"/>
          </w:tcPr>
          <w:p w14:paraId="75B16F95">
            <w:pPr>
              <w:pStyle w:val="33"/>
              <w:rPr>
                <w:color w:val="auto"/>
              </w:rPr>
            </w:pPr>
            <w:r>
              <w:rPr>
                <w:color w:val="auto"/>
              </w:rPr>
              <w:t>E燃烧</w:t>
            </w:r>
          </w:p>
        </w:tc>
      </w:tr>
      <w:tr w14:paraId="1F520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09" w:type="pct"/>
            <w:vMerge w:val="continue"/>
            <w:tcBorders>
              <w:top w:val="single" w:color="auto" w:sz="4" w:space="0"/>
              <w:left w:val="single" w:color="auto" w:sz="4" w:space="0"/>
              <w:bottom w:val="single" w:color="auto" w:sz="4" w:space="0"/>
              <w:right w:val="single" w:color="auto" w:sz="4" w:space="0"/>
            </w:tcBorders>
            <w:vAlign w:val="center"/>
          </w:tcPr>
          <w:p w14:paraId="6EB86D77">
            <w:pPr>
              <w:pStyle w:val="33"/>
              <w:rPr>
                <w:color w:val="auto"/>
              </w:rPr>
            </w:pPr>
          </w:p>
        </w:tc>
        <w:tc>
          <w:tcPr>
            <w:tcW w:w="1023" w:type="pct"/>
            <w:tcBorders>
              <w:top w:val="single" w:color="auto" w:sz="4" w:space="0"/>
              <w:left w:val="single" w:color="auto" w:sz="4" w:space="0"/>
              <w:bottom w:val="single" w:color="auto" w:sz="4" w:space="0"/>
              <w:right w:val="single" w:color="auto" w:sz="4" w:space="0"/>
            </w:tcBorders>
            <w:vAlign w:val="center"/>
          </w:tcPr>
          <w:p w14:paraId="344C7135">
            <w:pPr>
              <w:pStyle w:val="33"/>
              <w:rPr>
                <w:color w:val="auto"/>
              </w:rPr>
            </w:pPr>
            <w:r>
              <w:rPr>
                <w:color w:val="auto"/>
              </w:rPr>
              <w:t>（GJ/t）或（GJ/万Nm</w:t>
            </w:r>
            <w:r>
              <w:rPr>
                <w:color w:val="auto"/>
                <w:vertAlign w:val="superscript"/>
              </w:rPr>
              <w:t>3</w:t>
            </w:r>
            <w:r>
              <w:rPr>
                <w:color w:val="auto"/>
              </w:rPr>
              <w:t>）</w:t>
            </w:r>
          </w:p>
        </w:tc>
        <w:tc>
          <w:tcPr>
            <w:tcW w:w="651" w:type="pct"/>
            <w:tcBorders>
              <w:top w:val="single" w:color="auto" w:sz="4" w:space="0"/>
              <w:left w:val="single" w:color="auto" w:sz="4" w:space="0"/>
              <w:bottom w:val="single" w:color="auto" w:sz="4" w:space="0"/>
              <w:right w:val="single" w:color="auto" w:sz="4" w:space="0"/>
            </w:tcBorders>
            <w:vAlign w:val="center"/>
          </w:tcPr>
          <w:p w14:paraId="739FC535">
            <w:pPr>
              <w:pStyle w:val="33"/>
              <w:rPr>
                <w:color w:val="auto"/>
              </w:rPr>
            </w:pPr>
            <w:r>
              <w:rPr>
                <w:rFonts w:hint="eastAsia"/>
                <w:color w:val="auto"/>
              </w:rPr>
              <w:t>t</w:t>
            </w:r>
            <w:r>
              <w:rPr>
                <w:color w:val="auto"/>
              </w:rPr>
              <w:t>或</w:t>
            </w:r>
            <w:r>
              <w:rPr>
                <w:rFonts w:hint="eastAsia"/>
                <w:color w:val="auto"/>
              </w:rPr>
              <w:t>万Nm</w:t>
            </w:r>
            <w:r>
              <w:rPr>
                <w:rFonts w:hint="eastAsia"/>
                <w:color w:val="auto"/>
                <w:vertAlign w:val="superscript"/>
              </w:rPr>
              <w:t>3</w:t>
            </w:r>
          </w:p>
        </w:tc>
        <w:tc>
          <w:tcPr>
            <w:tcW w:w="710" w:type="pct"/>
            <w:tcBorders>
              <w:top w:val="single" w:color="auto" w:sz="4" w:space="0"/>
              <w:left w:val="single" w:color="auto" w:sz="4" w:space="0"/>
              <w:bottom w:val="single" w:color="auto" w:sz="4" w:space="0"/>
              <w:right w:val="single" w:color="auto" w:sz="4" w:space="0"/>
            </w:tcBorders>
            <w:vAlign w:val="center"/>
          </w:tcPr>
          <w:p w14:paraId="535D82FB">
            <w:pPr>
              <w:pStyle w:val="33"/>
              <w:rPr>
                <w:color w:val="auto"/>
              </w:rPr>
            </w:pPr>
            <w:r>
              <w:rPr>
                <w:color w:val="auto"/>
              </w:rPr>
              <w:t>GJ</w:t>
            </w:r>
          </w:p>
        </w:tc>
        <w:tc>
          <w:tcPr>
            <w:tcW w:w="421" w:type="pct"/>
            <w:tcBorders>
              <w:top w:val="single" w:color="auto" w:sz="4" w:space="0"/>
              <w:left w:val="single" w:color="auto" w:sz="4" w:space="0"/>
              <w:bottom w:val="single" w:color="auto" w:sz="4" w:space="0"/>
              <w:right w:val="single" w:color="auto" w:sz="4" w:space="0"/>
            </w:tcBorders>
            <w:vAlign w:val="center"/>
          </w:tcPr>
          <w:p w14:paraId="4576B36C">
            <w:pPr>
              <w:pStyle w:val="33"/>
              <w:rPr>
                <w:color w:val="auto"/>
              </w:rPr>
            </w:pPr>
            <w:r>
              <w:rPr>
                <w:color w:val="auto"/>
              </w:rPr>
              <w:t>tC/GJ</w:t>
            </w:r>
          </w:p>
        </w:tc>
        <w:tc>
          <w:tcPr>
            <w:tcW w:w="423" w:type="pct"/>
            <w:tcBorders>
              <w:top w:val="single" w:color="auto" w:sz="4" w:space="0"/>
              <w:left w:val="single" w:color="auto" w:sz="4" w:space="0"/>
              <w:bottom w:val="single" w:color="auto" w:sz="4" w:space="0"/>
              <w:right w:val="single" w:color="auto" w:sz="4" w:space="0"/>
            </w:tcBorders>
            <w:vAlign w:val="center"/>
          </w:tcPr>
          <w:p w14:paraId="75CE00B6">
            <w:pPr>
              <w:pStyle w:val="33"/>
              <w:rPr>
                <w:color w:val="auto"/>
              </w:rPr>
            </w:pPr>
            <w:r>
              <w:rPr>
                <w:color w:val="auto"/>
              </w:rPr>
              <w:t>%</w:t>
            </w:r>
          </w:p>
        </w:tc>
        <w:tc>
          <w:tcPr>
            <w:tcW w:w="536" w:type="pct"/>
            <w:tcBorders>
              <w:top w:val="single" w:color="auto" w:sz="4" w:space="0"/>
              <w:left w:val="single" w:color="auto" w:sz="4" w:space="0"/>
              <w:bottom w:val="single" w:color="auto" w:sz="4" w:space="0"/>
              <w:right w:val="single" w:color="auto" w:sz="4" w:space="0"/>
            </w:tcBorders>
            <w:vAlign w:val="center"/>
          </w:tcPr>
          <w:p w14:paraId="7AFE3515">
            <w:pPr>
              <w:pStyle w:val="33"/>
              <w:rPr>
                <w:color w:val="auto"/>
              </w:rPr>
            </w:pPr>
            <w:r>
              <w:rPr>
                <w:color w:val="auto"/>
              </w:rPr>
              <w:t>tCO</w:t>
            </w:r>
            <w:r>
              <w:rPr>
                <w:color w:val="auto"/>
                <w:vertAlign w:val="subscript"/>
              </w:rPr>
              <w:t>2</w:t>
            </w:r>
            <w:r>
              <w:rPr>
                <w:color w:val="auto"/>
              </w:rPr>
              <w:t>/GJ</w:t>
            </w:r>
          </w:p>
        </w:tc>
        <w:tc>
          <w:tcPr>
            <w:tcW w:w="627" w:type="pct"/>
            <w:tcBorders>
              <w:top w:val="single" w:color="auto" w:sz="4" w:space="0"/>
              <w:left w:val="single" w:color="auto" w:sz="4" w:space="0"/>
              <w:bottom w:val="single" w:color="auto" w:sz="4" w:space="0"/>
              <w:right w:val="single" w:color="auto" w:sz="4" w:space="0"/>
            </w:tcBorders>
            <w:vAlign w:val="center"/>
          </w:tcPr>
          <w:p w14:paraId="05476749">
            <w:pPr>
              <w:pStyle w:val="33"/>
              <w:rPr>
                <w:color w:val="auto"/>
              </w:rPr>
            </w:pPr>
            <w:r>
              <w:rPr>
                <w:color w:val="auto"/>
              </w:rPr>
              <w:t>tCO</w:t>
            </w:r>
            <w:r>
              <w:rPr>
                <w:color w:val="auto"/>
                <w:vertAlign w:val="subscript"/>
              </w:rPr>
              <w:t>2</w:t>
            </w:r>
          </w:p>
        </w:tc>
      </w:tr>
      <w:tr w14:paraId="21CBD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609" w:type="pct"/>
            <w:tcBorders>
              <w:top w:val="single" w:color="auto" w:sz="4" w:space="0"/>
              <w:left w:val="single" w:color="auto" w:sz="4" w:space="0"/>
              <w:bottom w:val="single" w:color="auto" w:sz="4" w:space="0"/>
              <w:right w:val="single" w:color="auto" w:sz="4" w:space="0"/>
            </w:tcBorders>
            <w:vAlign w:val="center"/>
          </w:tcPr>
          <w:p w14:paraId="41AC503A">
            <w:pPr>
              <w:pStyle w:val="33"/>
              <w:rPr>
                <w:color w:val="auto"/>
              </w:rPr>
            </w:pPr>
            <w:r>
              <w:rPr>
                <w:rFonts w:hint="eastAsia"/>
                <w:color w:val="auto"/>
              </w:rPr>
              <w:t>天然气</w:t>
            </w:r>
          </w:p>
        </w:tc>
        <w:tc>
          <w:tcPr>
            <w:tcW w:w="1023" w:type="pct"/>
            <w:tcBorders>
              <w:top w:val="single" w:color="auto" w:sz="4" w:space="0"/>
              <w:left w:val="single" w:color="auto" w:sz="4" w:space="0"/>
              <w:bottom w:val="single" w:color="auto" w:sz="4" w:space="0"/>
              <w:right w:val="single" w:color="auto" w:sz="4" w:space="0"/>
            </w:tcBorders>
            <w:vAlign w:val="center"/>
          </w:tcPr>
          <w:p w14:paraId="0A8E8D47">
            <w:pPr>
              <w:pStyle w:val="33"/>
              <w:rPr>
                <w:color w:val="auto"/>
              </w:rPr>
            </w:pPr>
            <w:r>
              <w:rPr>
                <w:color w:val="auto"/>
              </w:rPr>
              <w:t>389.31</w:t>
            </w:r>
          </w:p>
        </w:tc>
        <w:tc>
          <w:tcPr>
            <w:tcW w:w="651" w:type="pct"/>
            <w:tcBorders>
              <w:top w:val="single" w:color="auto" w:sz="4" w:space="0"/>
              <w:left w:val="single" w:color="auto" w:sz="4" w:space="0"/>
              <w:bottom w:val="single" w:color="auto" w:sz="4" w:space="0"/>
              <w:right w:val="single" w:color="auto" w:sz="4" w:space="0"/>
            </w:tcBorders>
            <w:noWrap/>
            <w:vAlign w:val="center"/>
          </w:tcPr>
          <w:p w14:paraId="19CE85DB">
            <w:pPr>
              <w:pStyle w:val="33"/>
              <w:rPr>
                <w:color w:val="auto"/>
              </w:rPr>
            </w:pPr>
            <w:r>
              <w:rPr>
                <w:color w:val="auto"/>
              </w:rPr>
              <w:t>2137.5</w:t>
            </w:r>
          </w:p>
        </w:tc>
        <w:tc>
          <w:tcPr>
            <w:tcW w:w="710" w:type="pct"/>
            <w:tcBorders>
              <w:top w:val="single" w:color="auto" w:sz="4" w:space="0"/>
              <w:left w:val="single" w:color="auto" w:sz="4" w:space="0"/>
              <w:bottom w:val="single" w:color="auto" w:sz="4" w:space="0"/>
              <w:right w:val="single" w:color="auto" w:sz="4" w:space="0"/>
            </w:tcBorders>
            <w:vAlign w:val="center"/>
          </w:tcPr>
          <w:p w14:paraId="22F1EAB7">
            <w:pPr>
              <w:pStyle w:val="33"/>
              <w:rPr>
                <w:color w:val="auto"/>
              </w:rPr>
            </w:pPr>
            <w:r>
              <w:rPr>
                <w:color w:val="auto"/>
              </w:rPr>
              <w:t>832150.13</w:t>
            </w:r>
          </w:p>
        </w:tc>
        <w:tc>
          <w:tcPr>
            <w:tcW w:w="421" w:type="pct"/>
            <w:tcBorders>
              <w:top w:val="single" w:color="auto" w:sz="4" w:space="0"/>
              <w:left w:val="single" w:color="auto" w:sz="4" w:space="0"/>
              <w:bottom w:val="single" w:color="auto" w:sz="4" w:space="0"/>
              <w:right w:val="single" w:color="auto" w:sz="4" w:space="0"/>
            </w:tcBorders>
            <w:vAlign w:val="center"/>
          </w:tcPr>
          <w:p w14:paraId="35C64540">
            <w:pPr>
              <w:pStyle w:val="33"/>
              <w:rPr>
                <w:color w:val="auto"/>
              </w:rPr>
            </w:pPr>
            <w:r>
              <w:rPr>
                <w:color w:val="auto"/>
              </w:rPr>
              <w:t>0.0153</w:t>
            </w:r>
          </w:p>
        </w:tc>
        <w:tc>
          <w:tcPr>
            <w:tcW w:w="423" w:type="pct"/>
            <w:tcBorders>
              <w:top w:val="single" w:color="auto" w:sz="4" w:space="0"/>
              <w:left w:val="single" w:color="auto" w:sz="4" w:space="0"/>
              <w:bottom w:val="single" w:color="auto" w:sz="4" w:space="0"/>
              <w:right w:val="single" w:color="auto" w:sz="4" w:space="0"/>
            </w:tcBorders>
            <w:vAlign w:val="center"/>
          </w:tcPr>
          <w:p w14:paraId="125B68C4">
            <w:pPr>
              <w:pStyle w:val="33"/>
              <w:rPr>
                <w:color w:val="auto"/>
              </w:rPr>
            </w:pPr>
            <w:r>
              <w:rPr>
                <w:color w:val="auto"/>
              </w:rPr>
              <w:t>99%</w:t>
            </w:r>
          </w:p>
        </w:tc>
        <w:tc>
          <w:tcPr>
            <w:tcW w:w="536" w:type="pct"/>
            <w:tcBorders>
              <w:top w:val="single" w:color="auto" w:sz="4" w:space="0"/>
              <w:left w:val="single" w:color="auto" w:sz="4" w:space="0"/>
              <w:bottom w:val="single" w:color="auto" w:sz="4" w:space="0"/>
              <w:right w:val="single" w:color="auto" w:sz="4" w:space="0"/>
            </w:tcBorders>
            <w:vAlign w:val="center"/>
          </w:tcPr>
          <w:p w14:paraId="57CEE9BD">
            <w:pPr>
              <w:pStyle w:val="33"/>
              <w:rPr>
                <w:color w:val="auto"/>
              </w:rPr>
            </w:pPr>
            <w:r>
              <w:rPr>
                <w:color w:val="auto"/>
              </w:rPr>
              <w:t xml:space="preserve">0.0555 </w:t>
            </w:r>
          </w:p>
        </w:tc>
        <w:tc>
          <w:tcPr>
            <w:tcW w:w="627" w:type="pct"/>
            <w:tcBorders>
              <w:top w:val="single" w:color="auto" w:sz="4" w:space="0"/>
              <w:left w:val="single" w:color="auto" w:sz="4" w:space="0"/>
              <w:bottom w:val="single" w:color="auto" w:sz="4" w:space="0"/>
              <w:right w:val="single" w:color="auto" w:sz="4" w:space="0"/>
            </w:tcBorders>
            <w:vAlign w:val="center"/>
          </w:tcPr>
          <w:p w14:paraId="37E9DCE4">
            <w:pPr>
              <w:pStyle w:val="33"/>
              <w:rPr>
                <w:color w:val="auto"/>
              </w:rPr>
            </w:pPr>
            <w:r>
              <w:rPr>
                <w:color w:val="auto"/>
              </w:rPr>
              <w:t xml:space="preserve">46216.79 </w:t>
            </w:r>
          </w:p>
        </w:tc>
      </w:tr>
      <w:tr w14:paraId="3902B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4373" w:type="pct"/>
            <w:gridSpan w:val="7"/>
            <w:tcBorders>
              <w:top w:val="single" w:color="auto" w:sz="4" w:space="0"/>
              <w:left w:val="single" w:color="auto" w:sz="4" w:space="0"/>
              <w:bottom w:val="single" w:color="auto" w:sz="4" w:space="0"/>
              <w:right w:val="single" w:color="auto" w:sz="4" w:space="0"/>
            </w:tcBorders>
            <w:vAlign w:val="center"/>
          </w:tcPr>
          <w:p w14:paraId="246469C2">
            <w:pPr>
              <w:pStyle w:val="33"/>
              <w:rPr>
                <w:color w:val="auto"/>
              </w:rPr>
            </w:pPr>
            <w:r>
              <w:rPr>
                <w:color w:val="auto"/>
              </w:rPr>
              <w:t>合计</w:t>
            </w:r>
          </w:p>
        </w:tc>
        <w:tc>
          <w:tcPr>
            <w:tcW w:w="627" w:type="pct"/>
            <w:tcBorders>
              <w:top w:val="single" w:color="auto" w:sz="4" w:space="0"/>
              <w:left w:val="single" w:color="auto" w:sz="4" w:space="0"/>
              <w:bottom w:val="single" w:color="auto" w:sz="4" w:space="0"/>
              <w:right w:val="single" w:color="auto" w:sz="4" w:space="0"/>
            </w:tcBorders>
            <w:vAlign w:val="center"/>
          </w:tcPr>
          <w:p w14:paraId="3B39F1EC">
            <w:pPr>
              <w:pStyle w:val="33"/>
              <w:rPr>
                <w:color w:val="auto"/>
              </w:rPr>
            </w:pPr>
            <w:r>
              <w:rPr>
                <w:color w:val="auto"/>
              </w:rPr>
              <w:t>46216.79</w:t>
            </w:r>
          </w:p>
        </w:tc>
      </w:tr>
    </w:tbl>
    <w:p w14:paraId="724E0A41">
      <w:pPr>
        <w:ind w:firstLine="480"/>
        <w:rPr>
          <w:color w:val="auto"/>
        </w:rPr>
      </w:pPr>
    </w:p>
    <w:p w14:paraId="17824267">
      <w:pPr>
        <w:pStyle w:val="5"/>
        <w:rPr>
          <w:color w:val="auto"/>
        </w:rPr>
      </w:pPr>
      <w:r>
        <w:rPr>
          <w:color w:val="auto"/>
        </w:rPr>
        <w:t>净购入的电力产生的排放</w:t>
      </w:r>
    </w:p>
    <w:p w14:paraId="7B3A3385">
      <w:pPr>
        <w:ind w:firstLine="480"/>
        <w:rPr>
          <w:color w:val="auto"/>
        </w:rPr>
      </w:pPr>
      <w:r>
        <w:rPr>
          <w:color w:val="auto"/>
        </w:rPr>
        <w:t>企业购入的电力消费所对应的电力生产环节二氧化碳排放量按下式计算：</w:t>
      </w:r>
    </w:p>
    <w:p w14:paraId="02D767D0">
      <w:pPr>
        <w:ind w:firstLine="480"/>
        <w:jc w:val="center"/>
        <w:rPr>
          <w:i/>
          <w:iCs/>
          <w:color w:val="auto"/>
        </w:rPr>
      </w:pPr>
      <w:r>
        <w:rPr>
          <w:color w:val="auto"/>
        </w:rPr>
        <w:pict>
          <v:shape id="_x0000_i1059" o:spt="75" type="#_x0000_t75" style="height:30.5pt;width:9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bordersDontSurroundHeader/&gt;&lt;w:bordersDontSurroundFooter/&gt;&lt;w:hideSpellingErrors/&gt;&lt;w:hideGrammaticalErrors/&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3736A2&quot;/&gt;&lt;wsp:rsid wsp:val=&quot;00007F21&quot;/&gt;&lt;wsp:rsid wsp:val=&quot;00011861&quot;/&gt;&lt;wsp:rsid wsp:val=&quot;00021B72&quot;/&gt;&lt;wsp:rsid wsp:val=&quot;000412FB&quot;/&gt;&lt;wsp:rsid wsp:val=&quot;000470CF&quot;/&gt;&lt;wsp:rsid wsp:val=&quot;00072B8B&quot;/&gt;&lt;wsp:rsid wsp:val=&quot;000928D3&quot;/&gt;&lt;wsp:rsid wsp:val=&quot;000943CC&quot;/&gt;&lt;wsp:rsid wsp:val=&quot;00094546&quot;/&gt;&lt;wsp:rsid wsp:val=&quot;000C2FDA&quot;/&gt;&lt;wsp:rsid wsp:val=&quot;000C4295&quot;/&gt;&lt;wsp:rsid wsp:val=&quot;000C561D&quot;/&gt;&lt;wsp:rsid wsp:val=&quot;000C7626&quot;/&gt;&lt;wsp:rsid wsp:val=&quot;000F5BF5&quot;/&gt;&lt;wsp:rsid wsp:val=&quot;000F5D5B&quot;/&gt;&lt;wsp:rsid wsp:val=&quot;000F7A2E&quot;/&gt;&lt;wsp:rsid wsp:val=&quot;0010426C&quot;/&gt;&lt;wsp:rsid wsp:val=&quot;00104387&quot;/&gt;&lt;wsp:rsid wsp:val=&quot;001067C2&quot;/&gt;&lt;wsp:rsid wsp:val=&quot;0010713F&quot;/&gt;&lt;wsp:rsid wsp:val=&quot;00116AF2&quot;/&gt;&lt;wsp:rsid wsp:val=&quot;0012187E&quot;/&gt;&lt;wsp:rsid wsp:val=&quot;001234B0&quot;/&gt;&lt;wsp:rsid wsp:val=&quot;001258EA&quot;/&gt;&lt;wsp:rsid wsp:val=&quot;001259BE&quot;/&gt;&lt;wsp:rsid wsp:val=&quot;00136284&quot;/&gt;&lt;wsp:rsid wsp:val=&quot;0014004E&quot;/&gt;&lt;wsp:rsid wsp:val=&quot;00144EFC&quot;/&gt;&lt;wsp:rsid wsp:val=&quot;0014529B&quot;/&gt;&lt;wsp:rsid wsp:val=&quot;0014558E&quot;/&gt;&lt;wsp:rsid wsp:val=&quot;001475EC&quot;/&gt;&lt;wsp:rsid wsp:val=&quot;00147EB7&quot;/&gt;&lt;wsp:rsid wsp:val=&quot;001548FA&quot;/&gt;&lt;wsp:rsid wsp:val=&quot;00163BC6&quot;/&gt;&lt;wsp:rsid wsp:val=&quot;00164B4C&quot;/&gt;&lt;wsp:rsid wsp:val=&quot;0016575A&quot;/&gt;&lt;wsp:rsid wsp:val=&quot;0017247F&quot;/&gt;&lt;wsp:rsid wsp:val=&quot;00173695&quot;/&gt;&lt;wsp:rsid wsp:val=&quot;001763AA&quot;/&gt;&lt;wsp:rsid wsp:val=&quot;00176AB7&quot;/&gt;&lt;wsp:rsid wsp:val=&quot;00177F9F&quot;/&gt;&lt;wsp:rsid wsp:val=&quot;001B1630&quot;/&gt;&lt;wsp:rsid wsp:val=&quot;001B3607&quot;/&gt;&lt;wsp:rsid wsp:val=&quot;001B53D2&quot;/&gt;&lt;wsp:rsid wsp:val=&quot;001B616F&quot;/&gt;&lt;wsp:rsid wsp:val=&quot;001C2185&quot;/&gt;&lt;wsp:rsid wsp:val=&quot;001C68D4&quot;/&gt;&lt;wsp:rsid wsp:val=&quot;001D368B&quot;/&gt;&lt;wsp:rsid wsp:val=&quot;001F1B54&quot;/&gt;&lt;wsp:rsid wsp:val=&quot;002021D8&quot;/&gt;&lt;wsp:rsid wsp:val=&quot;00203C28&quot;/&gt;&lt;wsp:rsid wsp:val=&quot;002063F8&quot;/&gt;&lt;wsp:rsid wsp:val=&quot;002065E6&quot;/&gt;&lt;wsp:rsid wsp:val=&quot;002139B7&quot;/&gt;&lt;wsp:rsid wsp:val=&quot;0021610E&quot;/&gt;&lt;wsp:rsid wsp:val=&quot;00216D1C&quot;/&gt;&lt;wsp:rsid wsp:val=&quot;00236FBA&quot;/&gt;&lt;wsp:rsid wsp:val=&quot;002415F8&quot;/&gt;&lt;wsp:rsid wsp:val=&quot;00243E3D&quot;/&gt;&lt;wsp:rsid wsp:val=&quot;00245DD1&quot;/&gt;&lt;wsp:rsid wsp:val=&quot;00253584&quot;/&gt;&lt;wsp:rsid wsp:val=&quot;0025615B&quot;/&gt;&lt;wsp:rsid wsp:val=&quot;0026406B&quot;/&gt;&lt;wsp:rsid wsp:val=&quot;0026626A&quot;/&gt;&lt;wsp:rsid wsp:val=&quot;002710AF&quot;/&gt;&lt;wsp:rsid wsp:val=&quot;00274CB2&quot;/&gt;&lt;wsp:rsid wsp:val=&quot;00276D9D&quot;/&gt;&lt;wsp:rsid wsp:val=&quot;00280BEB&quot;/&gt;&lt;wsp:rsid wsp:val=&quot;002831FA&quot;/&gt;&lt;wsp:rsid wsp:val=&quot;00283510&quot;/&gt;&lt;wsp:rsid wsp:val=&quot;00286157&quot;/&gt;&lt;wsp:rsid wsp:val=&quot;002928A3&quot;/&gt;&lt;wsp:rsid wsp:val=&quot;002C1B31&quot;/&gt;&lt;wsp:rsid wsp:val=&quot;002D0689&quot;/&gt;&lt;wsp:rsid wsp:val=&quot;002D3B6B&quot;/&gt;&lt;wsp:rsid wsp:val=&quot;002E1833&quot;/&gt;&lt;wsp:rsid wsp:val=&quot;002F0A39&quot;/&gt;&lt;wsp:rsid wsp:val=&quot;002F590A&quot;/&gt;&lt;wsp:rsid wsp:val=&quot;00324C8E&quot;/&gt;&lt;wsp:rsid wsp:val=&quot;00331166&quot;/&gt;&lt;wsp:rsid wsp:val=&quot;00332892&quot;/&gt;&lt;wsp:rsid wsp:val=&quot;00345ED5&quot;/&gt;&lt;wsp:rsid wsp:val=&quot;00347961&quot;/&gt;&lt;wsp:rsid wsp:val=&quot;003736A2&quot;/&gt;&lt;wsp:rsid wsp:val=&quot;0037555D&quot;/&gt;&lt;wsp:rsid wsp:val=&quot;00397FC6&quot;/&gt;&lt;wsp:rsid wsp:val=&quot;003A23F0&quot;/&gt;&lt;wsp:rsid wsp:val=&quot;003B7583&quot;/&gt;&lt;wsp:rsid wsp:val=&quot;003D052F&quot;/&gt;&lt;wsp:rsid wsp:val=&quot;003D4C49&quot;/&gt;&lt;wsp:rsid wsp:val=&quot;003D6B10&quot;/&gt;&lt;wsp:rsid wsp:val=&quot;003F7F29&quot;/&gt;&lt;wsp:rsid wsp:val=&quot;004067E7&quot;/&gt;&lt;wsp:rsid wsp:val=&quot;00413752&quot;/&gt;&lt;wsp:rsid wsp:val=&quot;00423A64&quot;/&gt;&lt;wsp:rsid wsp:val=&quot;00431856&quot;/&gt;&lt;wsp:rsid wsp:val=&quot;00434577&quot;/&gt;&lt;wsp:rsid wsp:val=&quot;00447268&quot;/&gt;&lt;wsp:rsid wsp:val=&quot;0045323B&quot;/&gt;&lt;wsp:rsid wsp:val=&quot;00455BE1&quot;/&gt;&lt;wsp:rsid wsp:val=&quot;00457335&quot;/&gt;&lt;wsp:rsid wsp:val=&quot;0046753E&quot;/&gt;&lt;wsp:rsid wsp:val=&quot;00473DEF&quot;/&gt;&lt;wsp:rsid wsp:val=&quot;00490479&quot;/&gt;&lt;wsp:rsid wsp:val=&quot;004B2A01&quot;/&gt;&lt;wsp:rsid wsp:val=&quot;004E7367&quot;/&gt;&lt;wsp:rsid wsp:val=&quot;004F562A&quot;/&gt;&lt;wsp:rsid wsp:val=&quot;004F721D&quot;/&gt;&lt;wsp:rsid wsp:val=&quot;0050553F&quot;/&gt;&lt;wsp:rsid wsp:val=&quot;00514DF0&quot;/&gt;&lt;wsp:rsid wsp:val=&quot;00521843&quot;/&gt;&lt;wsp:rsid wsp:val=&quot;0054017A&quot;/&gt;&lt;wsp:rsid wsp:val=&quot;00540A94&quot;/&gt;&lt;wsp:rsid wsp:val=&quot;00550B7B&quot;/&gt;&lt;wsp:rsid wsp:val=&quot;00562877&quot;/&gt;&lt;wsp:rsid wsp:val=&quot;0057225F&quot;/&gt;&lt;wsp:rsid wsp:val=&quot;0057407D&quot;/&gt;&lt;wsp:rsid wsp:val=&quot;005754CD&quot;/&gt;&lt;wsp:rsid wsp:val=&quot;005805F5&quot;/&gt;&lt;wsp:rsid wsp:val=&quot;00580C8D&quot;/&gt;&lt;wsp:rsid wsp:val=&quot;00584F77&quot;/&gt;&lt;wsp:rsid wsp:val=&quot;00595849&quot;/&gt;&lt;wsp:rsid wsp:val=&quot;005A27E9&quot;/&gt;&lt;wsp:rsid wsp:val=&quot;005A2FF0&quot;/&gt;&lt;wsp:rsid wsp:val=&quot;005A6CBB&quot;/&gt;&lt;wsp:rsid wsp:val=&quot;005B4FB5&quot;/&gt;&lt;wsp:rsid wsp:val=&quot;005C6724&quot;/&gt;&lt;wsp:rsid wsp:val=&quot;005D0171&quot;/&gt;&lt;wsp:rsid wsp:val=&quot;005D1FF4&quot;/&gt;&lt;wsp:rsid wsp:val=&quot;005D22EA&quot;/&gt;&lt;wsp:rsid wsp:val=&quot;005D5AEF&quot;/&gt;&lt;wsp:rsid wsp:val=&quot;005E7A1B&quot;/&gt;&lt;wsp:rsid wsp:val=&quot;005F264F&quot;/&gt;&lt;wsp:rsid wsp:val=&quot;00600D91&quot;/&gt;&lt;wsp:rsid wsp:val=&quot;00606F09&quot;/&gt;&lt;wsp:rsid wsp:val=&quot;00610A8D&quot;/&gt;&lt;wsp:rsid wsp:val=&quot;00611691&quot;/&gt;&lt;wsp:rsid wsp:val=&quot;00631E47&quot;/&gt;&lt;wsp:rsid wsp:val=&quot;006373B8&quot;/&gt;&lt;wsp:rsid wsp:val=&quot;00646A98&quot;/&gt;&lt;wsp:rsid wsp:val=&quot;00657C4A&quot;/&gt;&lt;wsp:rsid wsp:val=&quot;00684A2A&quot;/&gt;&lt;wsp:rsid wsp:val=&quot;00691C7F&quot;/&gt;&lt;wsp:rsid wsp:val=&quot;006B272C&quot;/&gt;&lt;wsp:rsid wsp:val=&quot;006B3A4B&quot;/&gt;&lt;wsp:rsid wsp:val=&quot;006C7829&quot;/&gt;&lt;wsp:rsid wsp:val=&quot;006D4740&quot;/&gt;&lt;wsp:rsid wsp:val=&quot;006E3BD1&quot;/&gt;&lt;wsp:rsid wsp:val=&quot;006F1CBD&quot;/&gt;&lt;wsp:rsid wsp:val=&quot;006F42FE&quot;/&gt;&lt;wsp:rsid wsp:val=&quot;006F4474&quot;/&gt;&lt;wsp:rsid wsp:val=&quot;006F4545&quot;/&gt;&lt;wsp:rsid wsp:val=&quot;006F75F6&quot;/&gt;&lt;wsp:rsid wsp:val=&quot;00705140&quot;/&gt;&lt;wsp:rsid wsp:val=&quot;007053BC&quot;/&gt;&lt;wsp:rsid wsp:val=&quot;00722EC0&quot;/&gt;&lt;wsp:rsid wsp:val=&quot;00726B6C&quot;/&gt;&lt;wsp:rsid wsp:val=&quot;00737375&quot;/&gt;&lt;wsp:rsid wsp:val=&quot;007400BB&quot;/&gt;&lt;wsp:rsid wsp:val=&quot;00741470&quot;/&gt;&lt;wsp:rsid wsp:val=&quot;00761882&quot;/&gt;&lt;wsp:rsid wsp:val=&quot;0076606E&quot;/&gt;&lt;wsp:rsid wsp:val=&quot;00776709&quot;/&gt;&lt;wsp:rsid wsp:val=&quot;00783C2D&quot;/&gt;&lt;wsp:rsid wsp:val=&quot;0079417B&quot;/&gt;&lt;wsp:rsid wsp:val=&quot;007A0E43&quot;/&gt;&lt;wsp:rsid wsp:val=&quot;007A6299&quot;/&gt;&lt;wsp:rsid wsp:val=&quot;007D3530&quot;/&gt;&lt;wsp:rsid wsp:val=&quot;007E6F57&quot;/&gt;&lt;wsp:rsid wsp:val=&quot;007E6FBE&quot;/&gt;&lt;wsp:rsid wsp:val=&quot;007F3EEF&quot;/&gt;&lt;wsp:rsid wsp:val=&quot;0080076B&quot;/&gt;&lt;wsp:rsid wsp:val=&quot;00804890&quot;/&gt;&lt;wsp:rsid wsp:val=&quot;00814374&quot;/&gt;&lt;wsp:rsid wsp:val=&quot;0083001C&quot;/&gt;&lt;wsp:rsid wsp:val=&quot;00852F42&quot;/&gt;&lt;wsp:rsid wsp:val=&quot;00854655&quot;/&gt;&lt;wsp:rsid wsp:val=&quot;00857789&quot;/&gt;&lt;wsp:rsid wsp:val=&quot;00857E7A&quot;/&gt;&lt;wsp:rsid wsp:val=&quot;008605A5&quot;/&gt;&lt;wsp:rsid wsp:val=&quot;00883732&quot;/&gt;&lt;wsp:rsid wsp:val=&quot;00883963&quot;/&gt;&lt;wsp:rsid wsp:val=&quot;008A5686&quot;/&gt;&lt;wsp:rsid wsp:val=&quot;008A5C96&quot;/&gt;&lt;wsp:rsid wsp:val=&quot;008B739C&quot;/&gt;&lt;wsp:rsid wsp:val=&quot;008C20EF&quot;/&gt;&lt;wsp:rsid wsp:val=&quot;008C5DAE&quot;/&gt;&lt;wsp:rsid wsp:val=&quot;008C6F3E&quot;/&gt;&lt;wsp:rsid wsp:val=&quot;008C7599&quot;/&gt;&lt;wsp:rsid wsp:val=&quot;008D0814&quot;/&gt;&lt;wsp:rsid wsp:val=&quot;008D670B&quot;/&gt;&lt;wsp:rsid wsp:val=&quot;008D7777&quot;/&gt;&lt;wsp:rsid wsp:val=&quot;008E1886&quot;/&gt;&lt;wsp:rsid wsp:val=&quot;008E3F64&quot;/&gt;&lt;wsp:rsid wsp:val=&quot;008F5B77&quot;/&gt;&lt;wsp:rsid wsp:val=&quot;00907843&quot;/&gt;&lt;wsp:rsid wsp:val=&quot;00913D37&quot;/&gt;&lt;wsp:rsid wsp:val=&quot;00916017&quot;/&gt;&lt;wsp:rsid wsp:val=&quot;00917CDE&quot;/&gt;&lt;wsp:rsid wsp:val=&quot;009227EF&quot;/&gt;&lt;wsp:rsid wsp:val=&quot;0092360D&quot;/&gt;&lt;wsp:rsid wsp:val=&quot;00930E26&quot;/&gt;&lt;wsp:rsid wsp:val=&quot;00932635&quot;/&gt;&lt;wsp:rsid wsp:val=&quot;00956596&quot;/&gt;&lt;wsp:rsid wsp:val=&quot;0096088F&quot;/&gt;&lt;wsp:rsid wsp:val=&quot;00963C31&quot;/&gt;&lt;wsp:rsid wsp:val=&quot;0097463E&quot;/&gt;&lt;wsp:rsid wsp:val=&quot;009B246D&quot;/&gt;&lt;wsp:rsid wsp:val=&quot;009B711D&quot;/&gt;&lt;wsp:rsid wsp:val=&quot;009C370A&quot;/&gt;&lt;wsp:rsid wsp:val=&quot;009C4481&quot;/&gt;&lt;wsp:rsid wsp:val=&quot;009D095E&quot;/&gt;&lt;wsp:rsid wsp:val=&quot;009D2CB6&quot;/&gt;&lt;wsp:rsid wsp:val=&quot;009E71BA&quot;/&gt;&lt;wsp:rsid wsp:val=&quot;009F4B61&quot;/&gt;&lt;wsp:rsid wsp:val=&quot;00A0601C&quot;/&gt;&lt;wsp:rsid wsp:val=&quot;00A07D0F&quot;/&gt;&lt;wsp:rsid wsp:val=&quot;00A12C32&quot;/&gt;&lt;wsp:rsid wsp:val=&quot;00A134F3&quot;/&gt;&lt;wsp:rsid wsp:val=&quot;00A23397&quot;/&gt;&lt;wsp:rsid wsp:val=&quot;00A248FE&quot;/&gt;&lt;wsp:rsid wsp:val=&quot;00A57BC0&quot;/&gt;&lt;wsp:rsid wsp:val=&quot;00A64AA7&quot;/&gt;&lt;wsp:rsid wsp:val=&quot;00A724BD&quot;/&gt;&lt;wsp:rsid wsp:val=&quot;00A7415B&quot;/&gt;&lt;wsp:rsid wsp:val=&quot;00A84005&quot;/&gt;&lt;wsp:rsid wsp:val=&quot;00A87B42&quot;/&gt;&lt;wsp:rsid wsp:val=&quot;00A9139B&quot;/&gt;&lt;wsp:rsid wsp:val=&quot;00A92B0B&quot;/&gt;&lt;wsp:rsid wsp:val=&quot;00AA4006&quot;/&gt;&lt;wsp:rsid wsp:val=&quot;00AB0293&quot;/&gt;&lt;wsp:rsid wsp:val=&quot;00AB5B1D&quot;/&gt;&lt;wsp:rsid wsp:val=&quot;00AC5D9B&quot;/&gt;&lt;wsp:rsid wsp:val=&quot;00AF0E30&quot;/&gt;&lt;wsp:rsid wsp:val=&quot;00B346E0&quot;/&gt;&lt;wsp:rsid wsp:val=&quot;00B47C42&quot;/&gt;&lt;wsp:rsid wsp:val=&quot;00B67FE6&quot;/&gt;&lt;wsp:rsid wsp:val=&quot;00B7157F&quot;/&gt;&lt;wsp:rsid wsp:val=&quot;00B73112&quot;/&gt;&lt;wsp:rsid wsp:val=&quot;00B77478&quot;/&gt;&lt;wsp:rsid wsp:val=&quot;00B92A67&quot;/&gt;&lt;wsp:rsid wsp:val=&quot;00BC5A9C&quot;/&gt;&lt;wsp:rsid wsp:val=&quot;00BC5D7C&quot;/&gt;&lt;wsp:rsid wsp:val=&quot;00BD171D&quot;/&gt;&lt;wsp:rsid wsp:val=&quot;00BD354F&quot;/&gt;&lt;wsp:rsid wsp:val=&quot;00BD3DB0&quot;/&gt;&lt;wsp:rsid wsp:val=&quot;00BD51AD&quot;/&gt;&lt;wsp:rsid wsp:val=&quot;00C10DBA&quot;/&gt;&lt;wsp:rsid wsp:val=&quot;00C1274A&quot;/&gt;&lt;wsp:rsid wsp:val=&quot;00C14C48&quot;/&gt;&lt;wsp:rsid wsp:val=&quot;00C1552D&quot;/&gt;&lt;wsp:rsid wsp:val=&quot;00C159E0&quot;/&gt;&lt;wsp:rsid wsp:val=&quot;00C23457&quot;/&gt;&lt;wsp:rsid wsp:val=&quot;00C273CA&quot;/&gt;&lt;wsp:rsid wsp:val=&quot;00C32B08&quot;/&gt;&lt;wsp:rsid wsp:val=&quot;00C42A9C&quot;/&gt;&lt;wsp:rsid wsp:val=&quot;00C43A0F&quot;/&gt;&lt;wsp:rsid wsp:val=&quot;00C43E41&quot;/&gt;&lt;wsp:rsid wsp:val=&quot;00C50316&quot;/&gt;&lt;wsp:rsid wsp:val=&quot;00C53D1A&quot;/&gt;&lt;wsp:rsid wsp:val=&quot;00C63B29&quot;/&gt;&lt;wsp:rsid wsp:val=&quot;00C67B88&quot;/&gt;&lt;wsp:rsid wsp:val=&quot;00C76AEA&quot;/&gt;&lt;wsp:rsid wsp:val=&quot;00C94B1E&quot;/&gt;&lt;wsp:rsid wsp:val=&quot;00CA1267&quot;/&gt;&lt;wsp:rsid wsp:val=&quot;00CA2D5C&quot;/&gt;&lt;wsp:rsid wsp:val=&quot;00CA64FE&quot;/&gt;&lt;wsp:rsid wsp:val=&quot;00CA6DEE&quot;/&gt;&lt;wsp:rsid wsp:val=&quot;00CB379D&quot;/&gt;&lt;wsp:rsid wsp:val=&quot;00CB4ED2&quot;/&gt;&lt;wsp:rsid wsp:val=&quot;00CD0DB9&quot;/&gt;&lt;wsp:rsid wsp:val=&quot;00CD6195&quot;/&gt;&lt;wsp:rsid wsp:val=&quot;00CF655F&quot;/&gt;&lt;wsp:rsid wsp:val=&quot;00D05B75&quot;/&gt;&lt;wsp:rsid wsp:val=&quot;00D07CEE&quot;/&gt;&lt;wsp:rsid wsp:val=&quot;00D107B0&quot;/&gt;&lt;wsp:rsid wsp:val=&quot;00D15C17&quot;/&gt;&lt;wsp:rsid wsp:val=&quot;00D160D5&quot;/&gt;&lt;wsp:rsid wsp:val=&quot;00D25A97&quot;/&gt;&lt;wsp:rsid wsp:val=&quot;00D25D3B&quot;/&gt;&lt;wsp:rsid wsp:val=&quot;00D44A12&quot;/&gt;&lt;wsp:rsid wsp:val=&quot;00D44E50&quot;/&gt;&lt;wsp:rsid wsp:val=&quot;00D46E10&quot;/&gt;&lt;wsp:rsid wsp:val=&quot;00D60AE3&quot;/&gt;&lt;wsp:rsid wsp:val=&quot;00D63AC4&quot;/&gt;&lt;wsp:rsid wsp:val=&quot;00D70485&quot;/&gt;&lt;wsp:rsid wsp:val=&quot;00D83F09&quot;/&gt;&lt;wsp:rsid wsp:val=&quot;00DA248A&quot;/&gt;&lt;wsp:rsid wsp:val=&quot;00DA3415&quot;/&gt;&lt;wsp:rsid wsp:val=&quot;00DD2CCC&quot;/&gt;&lt;wsp:rsid wsp:val=&quot;00DD52DB&quot;/&gt;&lt;wsp:rsid wsp:val=&quot;00DD77F2&quot;/&gt;&lt;wsp:rsid wsp:val=&quot;00E00084&quot;/&gt;&lt;wsp:rsid wsp:val=&quot;00E01A9A&quot;/&gt;&lt;wsp:rsid wsp:val=&quot;00E01EF0&quot;/&gt;&lt;wsp:rsid wsp:val=&quot;00E14744&quot;/&gt;&lt;wsp:rsid wsp:val=&quot;00E25035&quot;/&gt;&lt;wsp:rsid wsp:val=&quot;00E25D9D&quot;/&gt;&lt;wsp:rsid wsp:val=&quot;00E32B34&quot;/&gt;&lt;wsp:rsid wsp:val=&quot;00E34797&quot;/&gt;&lt;wsp:rsid wsp:val=&quot;00E476D9&quot;/&gt;&lt;wsp:rsid wsp:val=&quot;00E47EF4&quot;/&gt;&lt;wsp:rsid wsp:val=&quot;00E86097&quot;/&gt;&lt;wsp:rsid wsp:val=&quot;00E97F71&quot;/&gt;&lt;wsp:rsid wsp:val=&quot;00EA60F9&quot;/&gt;&lt;wsp:rsid wsp:val=&quot;00EA6B0F&quot;/&gt;&lt;wsp:rsid wsp:val=&quot;00ED265F&quot;/&gt;&lt;wsp:rsid wsp:val=&quot;00EE6447&quot;/&gt;&lt;wsp:rsid wsp:val=&quot;00F13BCF&quot;/&gt;&lt;wsp:rsid wsp:val=&quot;00F23840&quot;/&gt;&lt;wsp:rsid wsp:val=&quot;00F2388F&quot;/&gt;&lt;wsp:rsid wsp:val=&quot;00F27ABA&quot;/&gt;&lt;wsp:rsid wsp:val=&quot;00F414F4&quot;/&gt;&lt;wsp:rsid wsp:val=&quot;00F4413A&quot;/&gt;&lt;wsp:rsid wsp:val=&quot;00F45DBD&quot;/&gt;&lt;wsp:rsid wsp:val=&quot;00F50CF3&quot;/&gt;&lt;wsp:rsid wsp:val=&quot;00F548D0&quot;/&gt;&lt;wsp:rsid wsp:val=&quot;00F64B48&quot;/&gt;&lt;wsp:rsid wsp:val=&quot;00F652BB&quot;/&gt;&lt;wsp:rsid wsp:val=&quot;00F71F5E&quot;/&gt;&lt;wsp:rsid wsp:val=&quot;00F76490&quot;/&gt;&lt;wsp:rsid wsp:val=&quot;00F85997&quot;/&gt;&lt;wsp:rsid wsp:val=&quot;00F87197&quot;/&gt;&lt;wsp:rsid wsp:val=&quot;00FA6118&quot;/&gt;&lt;wsp:rsid wsp:val=&quot;00FC0DD2&quot;/&gt;&lt;wsp:rsid wsp:val=&quot;00FC45C7&quot;/&gt;&lt;wsp:rsid wsp:val=&quot;00FC6FE3&quot;/&gt;&lt;wsp:rsid wsp:val=&quot;00FE2E3A&quot;/&gt;&lt;wsp:rsid wsp:val=&quot;00FE5388&quot;/&gt;&lt;/wsp:rsids&gt;&lt;/w:docPr&gt;&lt;w:body&gt;&lt;wx:sect&gt;&lt;w:p wsp:rsidR=&quot;00000000&quot; wsp:rsidRPr=&quot;007F3EEF&quot; wsp:rsidRDefault=&quot;007F3EEF&quot; wsp:rsidP=&quot;007F3EEF&quot;&gt;&lt;w:pPr&gt;&lt;w:ind w:first-line=&quot;480&quot;/&gt;&lt;/w:pPr&gt;&lt;m:oMathPara&gt;&lt;m:oMath&gt;&lt;m:sSub&gt;&lt;m:sSubPr&gt;&lt;m:ctrlPr&gt;&lt;w:rPr&gt;&lt;w:rFonts w:ascii=&quot;Cambria Math&quot; w:h-ansi=&quot;Cambria Math&quot;/&gt;&lt;wx:font wx:val=&quot;Cambria Math&quot;/&gt;&lt;w:i/&gt;&lt;w:i-cs/&gt;&lt;w:color w:val=&quot;000000&quot;/&gt;&lt;/w:rPr&gt;&lt;/m:ctrlPr&gt;&lt;/m:sSubPr&gt;&lt;m:e&gt;&lt;m:r&gt;&lt;w:rPr&gt;&lt;w:rFonts w:ascii=&quot;Cambria Math&quot; w:h-ansi=&quot;Cambria Math&quot;/&gt;&lt;wx:font wx:val=&quot;Cambria Math&quot;/&gt;&lt;w:i/&gt;&lt;w:color w:val=&quot;000000&quot;/&gt;&lt;/w:rPr&gt;&lt;m:t&gt;E&lt;/m:t&gt;&lt;/m:r&gt;&lt;/m:e&gt;&lt;m:sub&gt;&lt;m:r&gt;&lt;w:rPr&gt;&lt;w:rFonts w:ascii=&quot;Cambria Math&quot; w:h-ansi=&quot;Cambria Math&quot; w:hint=&quot;fareast&quot;/&gt;&lt;wx:font wx:val=&quot;???&quot;/&gt;&lt;w:&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quot;Cai/&gt;&lt;w:color w:val=&quot;000000&quot;/&gt;&lt;/w:rPr&gt;&lt;m:t&gt;??/am:ta&gt;&lt;/am:ra&gt;&lt;/am:saub&gt;a&lt;/ma:sSaub&gt;a&lt;m:ar&gt;&lt;aw:raPr&gt;a&lt;w:arFoantsa w:aascaii=a&quot;Caambraia aMatah&quot; aw:ha-anasi=a&quot;Caambraia aMatah&quot;/a&gt;&lt;wax:faonta wxa:vaal=&quot;aCamabriaa Maatha&quot;/&gt;a&lt;w:ai/&gt;a&lt;w:acolaor aw:vaal=a&quot;00a000a0&quot;/a&gt;&lt;/aw:raPr&gt;a&lt;m:at&gt;=a&lt;/ma:t&gt;a&lt;/ma:r&gt;a&lt;m:?asSuab&gt;&lt;am:saSubaPr&gt;a&lt;m:actCarlPr&gt;&lt;w:rPr&gt;&lt;w:rFonts w:ascii=&quot;Cambria Math&quot; w:h-ansi=&quot;Cambria Math&quot;/&gt;&lt;wx:font wx:val=&quot;Cambria Math&quot;/&gt;&lt;w:i/&gt;&lt;w:i-cs/&gt;&lt;w:color w:val=&quot;000000&quot;/&gt;&lt;/w:rPr&gt;&lt;/m:ctrlPr&gt;&lt;/m:sSubPr&gt;&lt;m:e&gt;&lt;m:r&gt;&lt;w:rPr&gt;&lt;w:rFonts w:ascii=&quot;Cambria Math&quot; w:h-ansi=&quot;Cambria Math&quot;/&gt;&lt;wx:font wx:val=&quot;Cambria Math&quot;/&gt;&lt;w:i/&gt;&lt;w:color w:val=&quot;000000&quot;/&gt;&lt;/w:rPr&gt;&lt;m:t&gt;AD&lt;/m:t&gt;&lt;/m:r&gt;&lt;/m:e&gt;&lt;m:sub&gt;&lt;m:r&gt;&lt;w:rPr&gt;&lt;w:rFonts w:ascii=&quot;Cambria Math&quot; w:h-ansi=&quot;Cambria Math&quot; w:hint=&quot;fareast&quot;/&gt;&lt;wx:font wx:val=&quot;??aaa?iaci=&quot;sciam=&quot;?ri?Ca Mamiath=&quot;b&quot; wri/:h-iiaans MCi=&quot;am:aCalmthC=brbi&gt;&lt;a&quot;a aM w&quot;bat&lt;hrii:&quot;/&lt;&gt;h-cw&lt;wox:Cwa:faons&quot;ant0  M0iwx&gt;:=&quot;wavaPlmi&lt;C=&quot;tCamDaammbth&gt;brimari&gt;/ Mma&gt;&lt;&gt;ath:&quot; Mb&quot;/&gt;m&lt; w&gt;aw::ithrr/&gt;w&lt;iaF&quot;w:tc/&gt;w:olsoh-i&lt;r Cwwxbw:vaa:ca:l=&quot;&quot;fo:o00a0nsin00C0t bi&quot;/a&gt;Maaw&lt;/&quot;wx::t:rnPl&quot;&quot;vr&gt;r&lt;alsCm:/taow=&gt;AfD&quot;Ctr&lt;/xm &quot;aa:t&quot;&gt;mbb&lt;/mrir:r&gt;ia &lt;/mww i:e&gt;Ma:&lt;m: Mtsubh&quot;a&gt;&lt;mva/:r&gt;&gt;&lt;h&lt;w:-hwrPr:i&quot;&gt;&lt;w/a/:rF&gt;&lt;lont=&quot;ws w:c&lt;:aswxociilo0=&quot;Csiramb w=riafo: Mavanth&quot;00l w:=&quot;0h-a0 0nsi00w=&quot;CxC0amb00ariam0&quot; Ma/&gt;vth&quot;al&lt; w:/w&quot;hin/&gt;:t=&quot;rPrfar&quot;Creas&gt;&lt;at&quot;/iam&gt;&lt;w:t&lt;x:f/b&gt;ontADr wxiw&lt;:va/m:l=&quot;Ma:t?a&gt; Ma&lt;i/mtrP&quot;:r&gt;rh&quot;&lt;/m/&gt;&quot;:e&gt;/&gt;&lt;&lt;m:w:&lt;subm:t&gt;&lt;m/&gt;&lt;:r&gt;wx:&lt;w:&gt;:crPro?&quot;m&lt;r&gt;w&lt;/w/?f&gt;ilFwnl:rFwoMtw:r Foant&lt;wohontltoss&quot; &gt;w&lt;r0w:i w:xriasvC:a/=svocibhi:m:lt ia=n=&quot;C-l=:l0a&quot;Ca0mb00&quot;&quot;l&gt;&lt;0b0ri0:aC/iwm0a&quot;a M0/ba00hi0aa&lt;tah&quot;/C&quot;:ri&gt;&quot;a :vbw:r&lt;0&quot;&lt;a&quot;a:hr-a&quot;/&gt;&gt;a&lt;/&quot;a:ansmia&quot;mi:ar:sim:=:&quot;&quot;r&gt;C&lt;r&lt;/Aw/naCw&quot;amcb/&lt;:m&quot;mu/bb&lt;ro=&lt;mira:&lt;&gt;&lt;r&gt;&lt;&gt;awsw &lt;MawrPtrc&gt;/aaor&lt;th&quot;/&lt;wm:&quot;:&quot;&quot; wf::&lt;s0&lt;m:M&lt;thin0:tttxSnt&lt;=&gt;&gt;&quot;au:b&gt;m&quot;fwc&quot;ar&gt;&gt;ADraP:eas&lt;&lt;ibm&lt;st&quot;/m&quot;:rt//&gt;&gt;&quot;&lt;wmD::t&quot;wx:rfm&gt;&lt;&lt;wfon&gt;&lt;t:&gt;&lt;t tmwx/mr&lt;x&gt;:vaP:r&gt;mal=c&quot;:r&gt;&gt;&lt;??am:&lt;wi:r/cubiMm:eFo&lt;mhn&quot;t&gt;&lt;mr&gt;&gt;:sm w:xw:subi&gt;oaPrsci&lt; Mm:wri=:&quot;hC&gt;F&lt;wl:awmbtrCrPr-&gt;iwba M&lt;wi:asrath&quot;Faaiont w&quot;:hCis w&lt;:-abnasiasciai=&lt;/&quot;Ci=a&quot;cCaxmbr&quot;oambrniaw: Mia xaMaath&quot;a&quot;tlih&quot; w0:c Caw:0hs=&quot;bCi&gt;-ansaamwbari=&quot;aPCia/ Ma&lt;&quot;mbra:tth:&quot;ia MD&lt;/n&gt;&lt;wamtho&quot;&quot;x:?&gt;fo wr:hmnt wisn&gt;t=x:va/m&quot;farl=&quot;&gt;wCeastamfbr&quot;/&gt;&lt;ita Mwx:fxath&quot;onta /&gt;&lt;wwx&quot;:v:i/&gt;al=&quot;&lt;w:colasor w:va=l=&quot;0000m00&quot;/&gt;&lt;/aw:rPr&gt;&lt;tm:t&gt;??w&gt; w/mC:t-&gt;&lt;r/-bam:ir&gt;&lt;:am:i=asSuab&gt;&gt;&lt;miam&quot;:sSrubaP:ria&gt;&lt;tm/a:ctratl:ixPr&gt;&lt;w:/C&gt;nirPr&gt;&lt;bw:xxC:rFaontls rwat:asacii&quot;M=&quot;Caimb:ri&quot;a Maanth&quot; hw:/&quot;h-ansis=r:&quot;CambrisC&lt;a Math/&quot; orw:csw=&quot;C:aMmbfria tMa&quot;tth&quot;/&gt;a&lt;wxxh:fonsta wx=:va&gt;&quot;l=&quot;Carmbl:ria Maottth&quot;/&gt;w&lt;w:&lt;:?i/&quot;&gt;&lt;w:i-=0fcs/&gt;&lt;ww:ac olotr wa:vval=&quot;00000&quot;00&quot;//&gt;&lt;/ws:rP&lt;r&gt;&lt;/m=:ctrlPr&gt;m&lt;/m:sSubaPr&gt;&lt;m:e&gt;t&lt;m:r&gt;&lt;w:rPr&gt;&lt;w:rFonts w:ascii=&quot;Cambria Math&quot; w:h-ansi=&quot;Cambria Math&quot; w:cs=&quot;Cambria Math&quot;/&gt;&lt;wx:font wx:val=&quot;Cambria Math&quot;/&gt;&lt;w:i/&gt;&lt;w:color w:val=&quot;000000&quot;/&gt;&lt;/w:rPr&gt;&lt;m:t&gt;EF&lt;/m:t&gt;&lt;/m:r&gt;&lt;/m:e&gt;&lt;m:sub&gt;&lt;m:r&gt;&lt;w:rPr&gt;&lt;w:rFonts w:ascii=&quot;Cambria Math&quot; w:h-ansi=&quot;Cambria Math&quot; w:cs=&quot;Cambria Math&quot; w:hint=&quot;fareast&quot;/&gt;&lt;wx:font wx:val=&quot;???tt&quot;&quot;h ?&quot;s/s &gt;sm:Cm&lt;w &quot;:c C&quot;r w=&quot;x&quot;:m rtx&gt;hi/vMt&gt;&lt;wCn:v:&lt;icb C/tawhxi&lt;Mr ib&gt;toloCor&lt;w twt&quot;&gt;wo= :wo:0xvCaw&gt; &gt;lc=r&quot;&quot;&quot;0lm0&lt;:0MF&lt;00x:tw00rM:0&quot;:mwm/&gt;a=&gt;m&lt;//w:&gt;r::0m&gt;cmbrEPP&lt;:r::0&gt;&lt;&gt;vtuml::at&gt;&lt;&gt;/=h&quot;c0mb?&gt;m?lM&lt;m=mn &lt;m:/ma:/swt&quot;:r&gt;:era/m&lt;va:raM0w&quot;ub/m&quot; :w:v:rr&gt;&lt;?&gt;=a&lt;i=/mw:ri&gt;rt&gt;ri&gt;&lt;r&quot;&lt;P:t&quot;&lt;h&quot;&quot;0x0nt/mt&lt;aanmv:r s ?c&gt;am&lt;/E=wrPaMamssubrP&gt;:xc&lt;MasFowumb&gt;&lt;/:&quot;hm:ats0as0=&quot;hi0&lt;wE/mFariaamSub/&gt;&gt;&lt;&quot; :r/onatms&quot;Cuva:o/m&lt;-a ta:a/wM&gt; sw&lt;aamth&gt;r=&quot;am&lt;e&gt;aht/t&quot;&lt;wm::mthsfo=:xtoMa&lt; vaCwiamnsth Phar wa:&gt;t&quot;r&quot;iC&gt;&quot;&lt;fPrm&gt;&lt; /wr: &quot;/wpM&lt;=a&gt;&lt;wnont0&lt; mb/m:-:ala&quot;sect:h&quot;Pi&quot; irm mbws=&quot;&lt;Cubsp:iah:&quot;M&quot;/rsidR:=&lt;ww:ntCa0w:&quot;w0000=/&quot;00aCt00&quot;C:r:FM&quot; ntwsp:Mwrarsist:acsd/RPs=rfvo=&quot;0t07am0baal F&quot;3EEF&quot;&gt;&lt;w :Mhth&quot;:pgSzm: rew:wnsi=lh&quot;1wx2240&quot; oriax:w:h=&quot;l1584?t w:0a&quot;/&gt;&lt;w:p&quot;gm&lt;brMar w:tMcoph&quot; =&quot;1440x&quot; w=&quot;f:righ:t=&quot;1&quot;/&gt;800&quot;b w:bont tto&quot;m=&quot;14l=&quot;?40&quot; w:left=&quot;c1800&quot; w:hearider=&quot;720&quot; w:footer=&quot;720&quot; w:gutter=&quot;0&quot;/&gt;&lt;w:cols w:space=&quot;720&quot;/&gt;&lt;/w:sectPr&gt;&lt;/wx:sect&gt;&lt;/w:body&gt;&lt;/w:wordDocument&gt;">
            <v:path/>
            <v:fill on="f" focussize="0,0"/>
            <v:stroke on="f" joinstyle="miter"/>
            <v:imagedata r:id="rId133" chromakey="#FFFFFF" o:title=""/>
            <o:lock v:ext="edit" aspectratio="t"/>
            <w10:wrap type="none"/>
            <w10:anchorlock/>
          </v:shape>
        </w:pict>
      </w:r>
    </w:p>
    <w:p w14:paraId="1CB638A8">
      <w:pPr>
        <w:ind w:firstLine="480"/>
        <w:rPr>
          <w:color w:val="auto"/>
        </w:rPr>
      </w:pPr>
      <w:r>
        <w:rPr>
          <w:color w:val="auto"/>
        </w:rPr>
        <w:t>式中：</w:t>
      </w:r>
    </w:p>
    <w:p w14:paraId="15A85150">
      <w:pPr>
        <w:ind w:firstLine="480"/>
        <w:rPr>
          <w:color w:val="auto"/>
        </w:rPr>
      </w:pPr>
      <w:r>
        <w:rPr>
          <w:i/>
          <w:iCs/>
          <w:color w:val="auto"/>
        </w:rPr>
        <w:t>E</w:t>
      </w:r>
      <w:r>
        <w:rPr>
          <w:color w:val="auto"/>
          <w:vertAlign w:val="subscript"/>
        </w:rPr>
        <w:t>电</w:t>
      </w:r>
      <w:r>
        <w:rPr>
          <w:color w:val="auto"/>
        </w:rPr>
        <w:t>为购入的电力所对应的电力生产环节二氧化碳排放量，单位为吨二氧化碳（tCO</w:t>
      </w:r>
      <w:r>
        <w:rPr>
          <w:color w:val="auto"/>
          <w:vertAlign w:val="subscript"/>
        </w:rPr>
        <w:t>2</w:t>
      </w:r>
      <w:r>
        <w:rPr>
          <w:color w:val="auto"/>
        </w:rPr>
        <w:t>）；</w:t>
      </w:r>
    </w:p>
    <w:p w14:paraId="75443117">
      <w:pPr>
        <w:ind w:firstLine="480"/>
        <w:rPr>
          <w:color w:val="auto"/>
        </w:rPr>
      </w:pPr>
      <w:r>
        <w:rPr>
          <w:i/>
          <w:iCs/>
          <w:color w:val="auto"/>
        </w:rPr>
        <w:t>AD</w:t>
      </w:r>
      <w:r>
        <w:rPr>
          <w:color w:val="auto"/>
          <w:vertAlign w:val="subscript"/>
        </w:rPr>
        <w:t>电</w:t>
      </w:r>
      <w:r>
        <w:rPr>
          <w:color w:val="auto"/>
        </w:rPr>
        <w:t>核算和报告年度内的净外购电量，单位为兆瓦时（MWh）；</w:t>
      </w:r>
      <w:r>
        <w:rPr>
          <w:rFonts w:hint="eastAsia"/>
          <w:color w:val="auto"/>
        </w:rPr>
        <w:t>本项目外购电力为1252500MWh。</w:t>
      </w:r>
    </w:p>
    <w:p w14:paraId="541C470D">
      <w:pPr>
        <w:ind w:firstLine="480"/>
        <w:rPr>
          <w:color w:val="auto"/>
        </w:rPr>
      </w:pPr>
      <w:r>
        <w:rPr>
          <w:i/>
          <w:iCs/>
          <w:color w:val="auto"/>
        </w:rPr>
        <w:t>EF</w:t>
      </w:r>
      <w:r>
        <w:rPr>
          <w:color w:val="auto"/>
          <w:vertAlign w:val="subscript"/>
        </w:rPr>
        <w:t>电</w:t>
      </w:r>
      <w:r>
        <w:rPr>
          <w:color w:val="auto"/>
        </w:rPr>
        <w:t>区域电网年平均供电排放因子，单位为吨二氧化碳/兆瓦时（tCO</w:t>
      </w:r>
      <w:r>
        <w:rPr>
          <w:color w:val="auto"/>
          <w:vertAlign w:val="subscript"/>
        </w:rPr>
        <w:t>2</w:t>
      </w:r>
      <w:r>
        <w:rPr>
          <w:color w:val="auto"/>
        </w:rPr>
        <w:t>/MWh）。</w:t>
      </w:r>
      <w:r>
        <w:rPr>
          <w:rFonts w:hint="eastAsia"/>
          <w:color w:val="auto"/>
        </w:rPr>
        <w:t>根据</w:t>
      </w:r>
      <w:r>
        <w:rPr>
          <w:color w:val="auto"/>
        </w:rPr>
        <w:t>生态环境部、国家统计局</w:t>
      </w:r>
      <w:r>
        <w:rPr>
          <w:rFonts w:hint="eastAsia"/>
          <w:color w:val="auto"/>
        </w:rPr>
        <w:t>《</w:t>
      </w:r>
      <w:r>
        <w:rPr>
          <w:color w:val="auto"/>
        </w:rPr>
        <w:t>关于发布2023年电力二氧化碳排放因子的公告</w:t>
      </w:r>
      <w:r>
        <w:rPr>
          <w:rFonts w:hint="eastAsia"/>
          <w:color w:val="auto"/>
        </w:rPr>
        <w:t>》（公告2</w:t>
      </w:r>
      <w:r>
        <w:rPr>
          <w:color w:val="auto"/>
        </w:rPr>
        <w:t>025</w:t>
      </w:r>
      <w:r>
        <w:rPr>
          <w:rFonts w:hint="eastAsia"/>
          <w:color w:val="auto"/>
        </w:rPr>
        <w:t>年第47号），广西电力碳排放因子取0.4476kg</w:t>
      </w:r>
      <w:r>
        <w:rPr>
          <w:color w:val="auto"/>
        </w:rPr>
        <w:t>CO</w:t>
      </w:r>
      <w:r>
        <w:rPr>
          <w:color w:val="auto"/>
          <w:vertAlign w:val="subscript"/>
        </w:rPr>
        <w:t>2</w:t>
      </w:r>
      <w:r>
        <w:rPr>
          <w:color w:val="auto"/>
        </w:rPr>
        <w:t>/</w:t>
      </w:r>
      <w:r>
        <w:rPr>
          <w:rFonts w:hint="eastAsia"/>
          <w:color w:val="auto"/>
        </w:rPr>
        <w:t>k</w:t>
      </w:r>
      <w:r>
        <w:rPr>
          <w:color w:val="auto"/>
        </w:rPr>
        <w:t>Wh</w:t>
      </w:r>
      <w:r>
        <w:rPr>
          <w:rFonts w:hint="eastAsia"/>
          <w:color w:val="auto"/>
        </w:rPr>
        <w:t>（0.4476</w:t>
      </w:r>
      <w:r>
        <w:rPr>
          <w:color w:val="auto"/>
        </w:rPr>
        <w:t>tCO</w:t>
      </w:r>
      <w:r>
        <w:rPr>
          <w:color w:val="auto"/>
          <w:vertAlign w:val="subscript"/>
        </w:rPr>
        <w:t>2</w:t>
      </w:r>
      <w:r>
        <w:rPr>
          <w:color w:val="auto"/>
        </w:rPr>
        <w:t>/MWh</w:t>
      </w:r>
      <w:r>
        <w:rPr>
          <w:rFonts w:hint="eastAsia"/>
          <w:color w:val="auto"/>
        </w:rPr>
        <w:t>）。</w:t>
      </w:r>
    </w:p>
    <w:p w14:paraId="5BDE95C3">
      <w:pPr>
        <w:ind w:firstLine="480"/>
        <w:rPr>
          <w:color w:val="auto"/>
        </w:rPr>
      </w:pPr>
      <w:r>
        <w:rPr>
          <w:color w:val="auto"/>
        </w:rPr>
        <w:t>根据计算，本项目</w:t>
      </w:r>
      <w:r>
        <w:rPr>
          <w:rFonts w:hint="eastAsia"/>
          <w:color w:val="auto"/>
        </w:rPr>
        <w:t>净购入的电力产生的排放</w:t>
      </w:r>
      <w:r>
        <w:rPr>
          <w:color w:val="auto"/>
        </w:rPr>
        <w:t>计算结果如下：</w:t>
      </w:r>
    </w:p>
    <w:p w14:paraId="05244418">
      <w:pPr>
        <w:pStyle w:val="7"/>
        <w:rPr>
          <w:color w:val="auto"/>
        </w:rPr>
      </w:pPr>
      <w:r>
        <w:rPr>
          <w:rFonts w:hint="eastAsia"/>
          <w:color w:val="auto"/>
        </w:rPr>
        <w:t>净购入电力产生的</w:t>
      </w:r>
      <w:r>
        <w:rPr>
          <w:color w:val="auto"/>
        </w:rPr>
        <w:t>排放量</w:t>
      </w:r>
    </w:p>
    <w:tbl>
      <w:tblPr>
        <w:tblStyle w:val="26"/>
        <w:tblW w:w="5000" w:type="pct"/>
        <w:tblInd w:w="0" w:type="dxa"/>
        <w:tblLayout w:type="autofit"/>
        <w:tblCellMar>
          <w:top w:w="0" w:type="dxa"/>
          <w:left w:w="108" w:type="dxa"/>
          <w:bottom w:w="0" w:type="dxa"/>
          <w:right w:w="108" w:type="dxa"/>
        </w:tblCellMar>
      </w:tblPr>
      <w:tblGrid>
        <w:gridCol w:w="2230"/>
        <w:gridCol w:w="2151"/>
        <w:gridCol w:w="2713"/>
        <w:gridCol w:w="2192"/>
      </w:tblGrid>
      <w:tr w14:paraId="7392D199">
        <w:tblPrEx>
          <w:tblCellMar>
            <w:top w:w="0" w:type="dxa"/>
            <w:left w:w="108" w:type="dxa"/>
            <w:bottom w:w="0" w:type="dxa"/>
            <w:right w:w="108" w:type="dxa"/>
          </w:tblCellMar>
        </w:tblPrEx>
        <w:trPr>
          <w:trHeight w:val="340" w:hRule="atLeast"/>
          <w:tblHeader/>
        </w:trPr>
        <w:tc>
          <w:tcPr>
            <w:tcW w:w="1201" w:type="pct"/>
            <w:vMerge w:val="restart"/>
            <w:tcBorders>
              <w:top w:val="single" w:color="auto" w:sz="4" w:space="0"/>
              <w:left w:val="single" w:color="auto" w:sz="4" w:space="0"/>
              <w:bottom w:val="single" w:color="auto" w:sz="4" w:space="0"/>
              <w:right w:val="single" w:color="auto" w:sz="4" w:space="0"/>
            </w:tcBorders>
            <w:vAlign w:val="center"/>
          </w:tcPr>
          <w:p w14:paraId="5B54EF8F">
            <w:pPr>
              <w:pStyle w:val="33"/>
              <w:rPr>
                <w:color w:val="auto"/>
              </w:rPr>
            </w:pPr>
            <w:r>
              <w:rPr>
                <w:rFonts w:hint="eastAsia"/>
                <w:color w:val="auto"/>
              </w:rPr>
              <w:t>名称</w:t>
            </w:r>
          </w:p>
        </w:tc>
        <w:tc>
          <w:tcPr>
            <w:tcW w:w="1158" w:type="pct"/>
            <w:tcBorders>
              <w:top w:val="single" w:color="auto" w:sz="4" w:space="0"/>
              <w:left w:val="single" w:color="auto" w:sz="4" w:space="0"/>
              <w:bottom w:val="single" w:color="auto" w:sz="4" w:space="0"/>
              <w:right w:val="single" w:color="auto" w:sz="4" w:space="0"/>
            </w:tcBorders>
            <w:noWrap/>
            <w:vAlign w:val="center"/>
          </w:tcPr>
          <w:p w14:paraId="64772C8B">
            <w:pPr>
              <w:pStyle w:val="33"/>
              <w:rPr>
                <w:color w:val="auto"/>
              </w:rPr>
            </w:pPr>
            <w:r>
              <w:rPr>
                <w:color w:val="auto"/>
              </w:rPr>
              <w:t>AD</w:t>
            </w:r>
            <w:r>
              <w:rPr>
                <w:rFonts w:hint="eastAsia"/>
                <w:color w:val="auto"/>
                <w:vertAlign w:val="subscript"/>
              </w:rPr>
              <w:t>电</w:t>
            </w:r>
          </w:p>
        </w:tc>
        <w:tc>
          <w:tcPr>
            <w:tcW w:w="1461" w:type="pct"/>
            <w:tcBorders>
              <w:top w:val="single" w:color="auto" w:sz="4" w:space="0"/>
              <w:left w:val="single" w:color="auto" w:sz="4" w:space="0"/>
              <w:bottom w:val="single" w:color="auto" w:sz="4" w:space="0"/>
              <w:right w:val="single" w:color="auto" w:sz="4" w:space="0"/>
            </w:tcBorders>
            <w:noWrap/>
            <w:vAlign w:val="center"/>
          </w:tcPr>
          <w:p w14:paraId="4AF4CA67">
            <w:pPr>
              <w:pStyle w:val="33"/>
              <w:rPr>
                <w:color w:val="auto"/>
              </w:rPr>
            </w:pPr>
            <w:r>
              <w:rPr>
                <w:color w:val="auto"/>
              </w:rPr>
              <w:t>EF</w:t>
            </w:r>
            <w:r>
              <w:rPr>
                <w:rFonts w:hint="eastAsia"/>
                <w:color w:val="auto"/>
                <w:vertAlign w:val="subscript"/>
              </w:rPr>
              <w:t>电</w:t>
            </w:r>
          </w:p>
        </w:tc>
        <w:tc>
          <w:tcPr>
            <w:tcW w:w="1180" w:type="pct"/>
            <w:tcBorders>
              <w:top w:val="single" w:color="auto" w:sz="4" w:space="0"/>
              <w:left w:val="single" w:color="auto" w:sz="4" w:space="0"/>
              <w:bottom w:val="single" w:color="auto" w:sz="4" w:space="0"/>
              <w:right w:val="single" w:color="auto" w:sz="4" w:space="0"/>
            </w:tcBorders>
            <w:vAlign w:val="center"/>
          </w:tcPr>
          <w:p w14:paraId="2C05BF90">
            <w:pPr>
              <w:pStyle w:val="33"/>
              <w:rPr>
                <w:color w:val="auto"/>
              </w:rPr>
            </w:pPr>
            <w:r>
              <w:rPr>
                <w:i/>
                <w:iCs/>
                <w:color w:val="auto"/>
              </w:rPr>
              <w:t>E</w:t>
            </w:r>
            <w:r>
              <w:rPr>
                <w:rFonts w:hint="eastAsia"/>
                <w:color w:val="auto"/>
                <w:vertAlign w:val="subscript"/>
              </w:rPr>
              <w:t>电</w:t>
            </w:r>
          </w:p>
        </w:tc>
      </w:tr>
      <w:tr w14:paraId="6FC7CB8C">
        <w:tblPrEx>
          <w:tblCellMar>
            <w:top w:w="0" w:type="dxa"/>
            <w:left w:w="108" w:type="dxa"/>
            <w:bottom w:w="0" w:type="dxa"/>
            <w:right w:w="108" w:type="dxa"/>
          </w:tblCellMar>
        </w:tblPrEx>
        <w:trPr>
          <w:trHeight w:val="340" w:hRule="atLeast"/>
          <w:tblHeader/>
        </w:trPr>
        <w:tc>
          <w:tcPr>
            <w:tcW w:w="0" w:type="auto"/>
            <w:vMerge w:val="continue"/>
            <w:tcBorders>
              <w:top w:val="single" w:color="auto" w:sz="4" w:space="0"/>
              <w:left w:val="single" w:color="auto" w:sz="4" w:space="0"/>
              <w:bottom w:val="single" w:color="auto" w:sz="4" w:space="0"/>
              <w:right w:val="single" w:color="auto" w:sz="4" w:space="0"/>
            </w:tcBorders>
            <w:vAlign w:val="center"/>
          </w:tcPr>
          <w:p w14:paraId="627FD610">
            <w:pPr>
              <w:pStyle w:val="33"/>
              <w:rPr>
                <w:color w:val="auto"/>
              </w:rPr>
            </w:pPr>
          </w:p>
        </w:tc>
        <w:tc>
          <w:tcPr>
            <w:tcW w:w="1158" w:type="pct"/>
            <w:tcBorders>
              <w:top w:val="single" w:color="auto" w:sz="4" w:space="0"/>
              <w:left w:val="single" w:color="auto" w:sz="4" w:space="0"/>
              <w:bottom w:val="single" w:color="auto" w:sz="4" w:space="0"/>
              <w:right w:val="single" w:color="auto" w:sz="4" w:space="0"/>
            </w:tcBorders>
            <w:noWrap/>
            <w:vAlign w:val="center"/>
          </w:tcPr>
          <w:p w14:paraId="5D440AD6">
            <w:pPr>
              <w:pStyle w:val="33"/>
              <w:rPr>
                <w:color w:val="auto"/>
              </w:rPr>
            </w:pPr>
            <w:r>
              <w:rPr>
                <w:color w:val="auto"/>
              </w:rPr>
              <w:t>MWh</w:t>
            </w:r>
          </w:p>
        </w:tc>
        <w:tc>
          <w:tcPr>
            <w:tcW w:w="1461" w:type="pct"/>
            <w:tcBorders>
              <w:top w:val="single" w:color="auto" w:sz="4" w:space="0"/>
              <w:left w:val="single" w:color="auto" w:sz="4" w:space="0"/>
              <w:bottom w:val="single" w:color="auto" w:sz="4" w:space="0"/>
              <w:right w:val="single" w:color="auto" w:sz="4" w:space="0"/>
            </w:tcBorders>
            <w:noWrap/>
            <w:vAlign w:val="center"/>
          </w:tcPr>
          <w:p w14:paraId="1660AA95">
            <w:pPr>
              <w:pStyle w:val="33"/>
              <w:rPr>
                <w:color w:val="auto"/>
              </w:rPr>
            </w:pPr>
            <w:r>
              <w:rPr>
                <w:color w:val="auto"/>
              </w:rPr>
              <w:t>tCO</w:t>
            </w:r>
            <w:r>
              <w:rPr>
                <w:color w:val="auto"/>
                <w:vertAlign w:val="subscript"/>
              </w:rPr>
              <w:t>2</w:t>
            </w:r>
            <w:r>
              <w:rPr>
                <w:color w:val="auto"/>
              </w:rPr>
              <w:t>/MWh</w:t>
            </w:r>
          </w:p>
        </w:tc>
        <w:tc>
          <w:tcPr>
            <w:tcW w:w="1180" w:type="pct"/>
            <w:tcBorders>
              <w:top w:val="single" w:color="auto" w:sz="4" w:space="0"/>
              <w:left w:val="single" w:color="auto" w:sz="4" w:space="0"/>
              <w:bottom w:val="single" w:color="auto" w:sz="4" w:space="0"/>
              <w:right w:val="single" w:color="auto" w:sz="4" w:space="0"/>
            </w:tcBorders>
            <w:vAlign w:val="center"/>
          </w:tcPr>
          <w:p w14:paraId="157CCCC1">
            <w:pPr>
              <w:pStyle w:val="33"/>
              <w:rPr>
                <w:color w:val="auto"/>
              </w:rPr>
            </w:pPr>
            <w:r>
              <w:rPr>
                <w:color w:val="auto"/>
              </w:rPr>
              <w:t>tCO</w:t>
            </w:r>
            <w:r>
              <w:rPr>
                <w:color w:val="auto"/>
                <w:vertAlign w:val="subscript"/>
              </w:rPr>
              <w:t>2</w:t>
            </w:r>
          </w:p>
        </w:tc>
      </w:tr>
      <w:tr w14:paraId="1F0B7F26">
        <w:tblPrEx>
          <w:tblCellMar>
            <w:top w:w="0" w:type="dxa"/>
            <w:left w:w="108" w:type="dxa"/>
            <w:bottom w:w="0" w:type="dxa"/>
            <w:right w:w="108" w:type="dxa"/>
          </w:tblCellMar>
        </w:tblPrEx>
        <w:trPr>
          <w:trHeight w:val="340" w:hRule="atLeast"/>
        </w:trPr>
        <w:tc>
          <w:tcPr>
            <w:tcW w:w="1201" w:type="pct"/>
            <w:tcBorders>
              <w:top w:val="single" w:color="auto" w:sz="4" w:space="0"/>
              <w:left w:val="single" w:color="auto" w:sz="4" w:space="0"/>
              <w:bottom w:val="single" w:color="auto" w:sz="4" w:space="0"/>
              <w:right w:val="single" w:color="auto" w:sz="4" w:space="0"/>
            </w:tcBorders>
            <w:vAlign w:val="center"/>
          </w:tcPr>
          <w:p w14:paraId="5ED8A5FB">
            <w:pPr>
              <w:pStyle w:val="33"/>
              <w:rPr>
                <w:color w:val="auto"/>
              </w:rPr>
            </w:pPr>
            <w:r>
              <w:rPr>
                <w:rFonts w:hint="eastAsia"/>
                <w:color w:val="auto"/>
              </w:rPr>
              <w:t>外购电力</w:t>
            </w:r>
          </w:p>
        </w:tc>
        <w:tc>
          <w:tcPr>
            <w:tcW w:w="1158" w:type="pct"/>
            <w:tcBorders>
              <w:top w:val="single" w:color="auto" w:sz="4" w:space="0"/>
              <w:left w:val="single" w:color="auto" w:sz="4" w:space="0"/>
              <w:bottom w:val="single" w:color="auto" w:sz="4" w:space="0"/>
              <w:right w:val="single" w:color="auto" w:sz="4" w:space="0"/>
            </w:tcBorders>
            <w:noWrap/>
            <w:vAlign w:val="center"/>
          </w:tcPr>
          <w:p w14:paraId="38646C38">
            <w:pPr>
              <w:pStyle w:val="33"/>
              <w:rPr>
                <w:color w:val="auto"/>
              </w:rPr>
            </w:pPr>
            <w:r>
              <w:rPr>
                <w:rFonts w:hint="eastAsia"/>
                <w:color w:val="auto"/>
              </w:rPr>
              <w:t>1252500</w:t>
            </w:r>
          </w:p>
        </w:tc>
        <w:tc>
          <w:tcPr>
            <w:tcW w:w="1461" w:type="pct"/>
            <w:tcBorders>
              <w:top w:val="single" w:color="auto" w:sz="4" w:space="0"/>
              <w:left w:val="single" w:color="auto" w:sz="4" w:space="0"/>
              <w:bottom w:val="single" w:color="auto" w:sz="4" w:space="0"/>
              <w:right w:val="single" w:color="auto" w:sz="4" w:space="0"/>
            </w:tcBorders>
            <w:noWrap/>
          </w:tcPr>
          <w:p w14:paraId="7F98789B">
            <w:pPr>
              <w:pStyle w:val="33"/>
              <w:rPr>
                <w:color w:val="auto"/>
              </w:rPr>
            </w:pPr>
            <w:r>
              <w:rPr>
                <w:color w:val="auto"/>
              </w:rPr>
              <w:t>0.4476</w:t>
            </w:r>
          </w:p>
        </w:tc>
        <w:tc>
          <w:tcPr>
            <w:tcW w:w="1180" w:type="pct"/>
            <w:tcBorders>
              <w:top w:val="single" w:color="auto" w:sz="4" w:space="0"/>
              <w:left w:val="single" w:color="auto" w:sz="4" w:space="0"/>
              <w:bottom w:val="single" w:color="auto" w:sz="4" w:space="0"/>
              <w:right w:val="single" w:color="auto" w:sz="4" w:space="0"/>
            </w:tcBorders>
            <w:noWrap/>
          </w:tcPr>
          <w:p w14:paraId="1757D177">
            <w:pPr>
              <w:pStyle w:val="33"/>
              <w:rPr>
                <w:color w:val="auto"/>
              </w:rPr>
            </w:pPr>
            <w:r>
              <w:rPr>
                <w:color w:val="auto"/>
              </w:rPr>
              <w:t>560619</w:t>
            </w:r>
          </w:p>
        </w:tc>
      </w:tr>
    </w:tbl>
    <w:p w14:paraId="1719A222">
      <w:pPr>
        <w:spacing w:line="240" w:lineRule="auto"/>
        <w:ind w:firstLine="420"/>
        <w:rPr>
          <w:color w:val="auto"/>
          <w:sz w:val="21"/>
          <w:szCs w:val="20"/>
        </w:rPr>
      </w:pPr>
    </w:p>
    <w:p w14:paraId="4D6DB736">
      <w:pPr>
        <w:pStyle w:val="5"/>
        <w:rPr>
          <w:color w:val="auto"/>
        </w:rPr>
      </w:pPr>
      <w:r>
        <w:rPr>
          <w:color w:val="auto"/>
        </w:rPr>
        <w:t>净购入的热力产生的排放</w:t>
      </w:r>
    </w:p>
    <w:p w14:paraId="051A69B0">
      <w:pPr>
        <w:ind w:firstLine="480"/>
        <w:rPr>
          <w:color w:val="auto"/>
        </w:rPr>
      </w:pPr>
      <w:r>
        <w:rPr>
          <w:color w:val="auto"/>
        </w:rPr>
        <w:t>企业购入的热力消费所对应的热力生产环节二氧化碳排放量按下式计算：</w:t>
      </w:r>
    </w:p>
    <w:p w14:paraId="61553AF6">
      <w:pPr>
        <w:ind w:firstLine="480"/>
        <w:jc w:val="center"/>
        <w:rPr>
          <w:i/>
          <w:color w:val="auto"/>
        </w:rPr>
      </w:pPr>
      <w:r>
        <w:rPr>
          <w:color w:val="auto"/>
        </w:rPr>
        <w:pict>
          <v:shape id="_x0000_i1060" o:spt="75" type="#_x0000_t75" style="height:30.5pt;width:98pt;" filled="f" o:preferrelative="t" stroked="f" coordsize="21600,21600" equationxml="&lt;?xml version=&quot;1.0&quot; encoding=&quot;UTF-8&quot; standalone=&quot;yes&quot;?&gt;&#10;&lt;?mso-application progid=&quot;Word.Document&quot;?&gt;&#10;&lt;w:wordDocument xmlns:aml=&quot;http://schemas.microsoft.com/aml/2001/core&quot; xmlns:wpc=&quot;http://schemas.microsoft.com/office/word/2010/wordprocessingCanvas&quot; xmlns:cx=&quot;http://schemas.microsoft.com/office/drawing/2014/chartex&quot; xmlns:cx1=&quot;http://schemas.microsoft.com/office/drawing/2015/9/8/chartex&quot; xmlns:cx2=&quot;http://schemas.microsoft.com/office/drawing/2015/10/21/chartex&quot; xmlns:cx3=&quot;http://schemas.microsoft.com/office/drawing/2016/5/9/chartex&quot; xmlns:cx4=&quot;http://schemas.microsoft.com/office/drawing/2016/5/10/chartex&quot; xmlns:cx5=&quot;http://schemas.microsoft.com/office/drawing/2016/5/11/chartex&quot; xmlns:cx6=&quot;http://schemas.microsoft.com/office/drawing/2016/5/12/chartex&quot; xmlns:cx7=&quot;http://schemas.microsoft.com/office/drawing/2016/5/13/chartex&quot; xmlns:cx8=&quot;http://schemas.microsoft.com/office/drawing/2016/5/14/chartex&quot; xmlns:dt=&quot;uuid:C2F41010-65B3-11d1-A29F-00AA00C14882&quot; xmlns:mc=&quot;http://schemas.openxmlformats.org/markup-compatibility/2006&quot; xmlns:aink=&quot;http://schemas.microsoft.com/office/drawing/2016/ink&quot; xmlns:am3d=&quot;http://schemas.microsoft.com/office/drawing/2017/model3d&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6&lt;/o:Version&gt;&lt;/o:DocumentProperties&gt;&lt;w:docPr&gt;&lt;w:view w:val=&quot;print&quot;/&gt;&lt;w:zoom w:percent=&quot;120&quot;/&gt;&lt;w:doNotEmbedSystemFonts/&gt;&lt;w:bordersDontSurroundHeader/&gt;&lt;w:bordersDontSurroundFooter/&gt;&lt;w:hideSpellingErrors/&gt;&lt;w:hideGrammaticalErrors/&gt;&lt;w:defaultTabStop w:val=&quot;420&quot;/&gt;&lt;w:drawingGridHorizontalSpacing w:val=&quot;120&quot;/&gt;&lt;w:drawingGridVerticalSpacing w:val=&quot;163&quot;/&gt;&lt;w:displayHorizontalDrawingGridEvery w:val=&quot;0&quot;/&gt;&lt;w:displayVerticalDrawingGridEvery w:val=&quot;2&quot;/&gt;&lt;w:punctuationKerning/&gt;&lt;w:characterSpacingControl w:val=&quot;CompressPunctuation&quot;/&gt;&lt;w:optimizeForBrowser/&gt;&lt;w:relyOnVML/&gt;&lt;w:allowPNG/&gt;&lt;w:validateAgainstSchema/&gt;&lt;w:saveInvalidXML w:val=&quot;off&quot;/&gt;&lt;w:ignoreMixedContent w:val=&quot;off&quot;/&gt;&lt;w:alwaysShowPlaceholderText w:val=&quot;off&quot;/&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3736A2&quot;/&gt;&lt;wsp:rsid wsp:val=&quot;00007F21&quot;/&gt;&lt;wsp:rsid wsp:val=&quot;00011861&quot;/&gt;&lt;wsp:rsid wsp:val=&quot;00021B72&quot;/&gt;&lt;wsp:rsid wsp:val=&quot;000412FB&quot;/&gt;&lt;wsp:rsid wsp:val=&quot;000470CF&quot;/&gt;&lt;wsp:rsid wsp:val=&quot;00072B8B&quot;/&gt;&lt;wsp:rsid wsp:val=&quot;000928D3&quot;/&gt;&lt;wsp:rsid wsp:val=&quot;000943CC&quot;/&gt;&lt;wsp:rsid wsp:val=&quot;00094546&quot;/&gt;&lt;wsp:rsid wsp:val=&quot;000C2FDA&quot;/&gt;&lt;wsp:rsid wsp:val=&quot;000C4295&quot;/&gt;&lt;wsp:rsid wsp:val=&quot;000C561D&quot;/&gt;&lt;wsp:rsid wsp:val=&quot;000C7626&quot;/&gt;&lt;wsp:rsid wsp:val=&quot;000F5BF5&quot;/&gt;&lt;wsp:rsid wsp:val=&quot;000F5D5B&quot;/&gt;&lt;wsp:rsid wsp:val=&quot;000F7A2E&quot;/&gt;&lt;wsp:rsid wsp:val=&quot;0010426C&quot;/&gt;&lt;wsp:rsid wsp:val=&quot;00104387&quot;/&gt;&lt;wsp:rsid wsp:val=&quot;001067C2&quot;/&gt;&lt;wsp:rsid wsp:val=&quot;0010713F&quot;/&gt;&lt;wsp:rsid wsp:val=&quot;00116AF2&quot;/&gt;&lt;wsp:rsid wsp:val=&quot;0012187E&quot;/&gt;&lt;wsp:rsid wsp:val=&quot;001234B0&quot;/&gt;&lt;wsp:rsid wsp:val=&quot;001258EA&quot;/&gt;&lt;wsp:rsid wsp:val=&quot;001259BE&quot;/&gt;&lt;wsp:rsid wsp:val=&quot;00136284&quot;/&gt;&lt;wsp:rsid wsp:val=&quot;0014004E&quot;/&gt;&lt;wsp:rsid wsp:val=&quot;00144EFC&quot;/&gt;&lt;wsp:rsid wsp:val=&quot;0014529B&quot;/&gt;&lt;wsp:rsid wsp:val=&quot;0014558E&quot;/&gt;&lt;wsp:rsid wsp:val=&quot;001475EC&quot;/&gt;&lt;wsp:rsid wsp:val=&quot;00147EB7&quot;/&gt;&lt;wsp:rsid wsp:val=&quot;001548FA&quot;/&gt;&lt;wsp:rsid wsp:val=&quot;00163BC6&quot;/&gt;&lt;wsp:rsid wsp:val=&quot;00164B4C&quot;/&gt;&lt;wsp:rsid wsp:val=&quot;0016575A&quot;/&gt;&lt;wsp:rsid wsp:val=&quot;0017247F&quot;/&gt;&lt;wsp:rsid wsp:val=&quot;00173695&quot;/&gt;&lt;wsp:rsid wsp:val=&quot;001763AA&quot;/&gt;&lt;wsp:rsid wsp:val=&quot;00176AB7&quot;/&gt;&lt;wsp:rsid wsp:val=&quot;00177F9F&quot;/&gt;&lt;wsp:rsid wsp:val=&quot;001B1630&quot;/&gt;&lt;wsp:rsid wsp:val=&quot;001B3607&quot;/&gt;&lt;wsp:rsid wsp:val=&quot;001B53D2&quot;/&gt;&lt;wsp:rsid wsp:val=&quot;001B616F&quot;/&gt;&lt;wsp:rsid wsp:val=&quot;001C2185&quot;/&gt;&lt;wsp:rsid wsp:val=&quot;001C68D4&quot;/&gt;&lt;wsp:rsid wsp:val=&quot;001D368B&quot;/&gt;&lt;wsp:rsid wsp:val=&quot;001F1B54&quot;/&gt;&lt;wsp:rsid wsp:val=&quot;002021D8&quot;/&gt;&lt;wsp:rsid wsp:val=&quot;00203C28&quot;/&gt;&lt;wsp:rsid wsp:val=&quot;002063F8&quot;/&gt;&lt;wsp:rsid wsp:val=&quot;002065E6&quot;/&gt;&lt;wsp:rsid wsp:val=&quot;002139B7&quot;/&gt;&lt;wsp:rsid wsp:val=&quot;0021610E&quot;/&gt;&lt;wsp:rsid wsp:val=&quot;00216D1C&quot;/&gt;&lt;wsp:rsid wsp:val=&quot;00236FBA&quot;/&gt;&lt;wsp:rsid wsp:val=&quot;002415F8&quot;/&gt;&lt;wsp:rsid wsp:val=&quot;00243E3D&quot;/&gt;&lt;wsp:rsid wsp:val=&quot;00245DD1&quot;/&gt;&lt;wsp:rsid wsp:val=&quot;00253584&quot;/&gt;&lt;wsp:rsid wsp:val=&quot;0025615B&quot;/&gt;&lt;wsp:rsid wsp:val=&quot;0026406B&quot;/&gt;&lt;wsp:rsid wsp:val=&quot;0026626A&quot;/&gt;&lt;wsp:rsid wsp:val=&quot;002710AF&quot;/&gt;&lt;wsp:rsid wsp:val=&quot;00274CB2&quot;/&gt;&lt;wsp:rsid wsp:val=&quot;00276D9D&quot;/&gt;&lt;wsp:rsid wsp:val=&quot;00280BEB&quot;/&gt;&lt;wsp:rsid wsp:val=&quot;002831FA&quot;/&gt;&lt;wsp:rsid wsp:val=&quot;00283510&quot;/&gt;&lt;wsp:rsid wsp:val=&quot;00286157&quot;/&gt;&lt;wsp:rsid wsp:val=&quot;002928A3&quot;/&gt;&lt;wsp:rsid wsp:val=&quot;002C1B31&quot;/&gt;&lt;wsp:rsid wsp:val=&quot;002D0689&quot;/&gt;&lt;wsp:rsid wsp:val=&quot;002D3B6B&quot;/&gt;&lt;wsp:rsid wsp:val=&quot;002E1833&quot;/&gt;&lt;wsp:rsid wsp:val=&quot;002F0A39&quot;/&gt;&lt;wsp:rsid wsp:val=&quot;002F590A&quot;/&gt;&lt;wsp:rsid wsp:val=&quot;00324C8E&quot;/&gt;&lt;wsp:rsid wsp:val=&quot;00331166&quot;/&gt;&lt;wsp:rsid wsp:val=&quot;00332892&quot;/&gt;&lt;wsp:rsid wsp:val=&quot;00345ED5&quot;/&gt;&lt;wsp:rsid wsp:val=&quot;00347961&quot;/&gt;&lt;wsp:rsid wsp:val=&quot;003736A2&quot;/&gt;&lt;wsp:rsid wsp:val=&quot;0037555D&quot;/&gt;&lt;wsp:rsid wsp:val=&quot;00397FC6&quot;/&gt;&lt;wsp:rsid wsp:val=&quot;003A23F0&quot;/&gt;&lt;wsp:rsid wsp:val=&quot;003B7583&quot;/&gt;&lt;wsp:rsid wsp:val=&quot;003D052F&quot;/&gt;&lt;wsp:rsid wsp:val=&quot;003D4C49&quot;/&gt;&lt;wsp:rsid wsp:val=&quot;003D6B10&quot;/&gt;&lt;wsp:rsid wsp:val=&quot;003F7F29&quot;/&gt;&lt;wsp:rsid wsp:val=&quot;004067E7&quot;/&gt;&lt;wsp:rsid wsp:val=&quot;00413752&quot;/&gt;&lt;wsp:rsid wsp:val=&quot;00423A64&quot;/&gt;&lt;wsp:rsid wsp:val=&quot;00431856&quot;/&gt;&lt;wsp:rsid wsp:val=&quot;00434577&quot;/&gt;&lt;wsp:rsid wsp:val=&quot;00447268&quot;/&gt;&lt;wsp:rsid wsp:val=&quot;0045323B&quot;/&gt;&lt;wsp:rsid wsp:val=&quot;00455BE1&quot;/&gt;&lt;wsp:rsid wsp:val=&quot;00457335&quot;/&gt;&lt;wsp:rsid wsp:val=&quot;0046753E&quot;/&gt;&lt;wsp:rsid wsp:val=&quot;00473DEF&quot;/&gt;&lt;wsp:rsid wsp:val=&quot;00490479&quot;/&gt;&lt;wsp:rsid wsp:val=&quot;004B2A01&quot;/&gt;&lt;wsp:rsid wsp:val=&quot;004E7367&quot;/&gt;&lt;wsp:rsid wsp:val=&quot;004F562A&quot;/&gt;&lt;wsp:rsid wsp:val=&quot;004F721D&quot;/&gt;&lt;wsp:rsid wsp:val=&quot;0050553F&quot;/&gt;&lt;wsp:rsid wsp:val=&quot;00514DF0&quot;/&gt;&lt;wsp:rsid wsp:val=&quot;00521843&quot;/&gt;&lt;wsp:rsid wsp:val=&quot;0054017A&quot;/&gt;&lt;wsp:rsid wsp:val=&quot;00540A94&quot;/&gt;&lt;wsp:rsid wsp:val=&quot;00550B7B&quot;/&gt;&lt;wsp:rsid wsp:val=&quot;00562877&quot;/&gt;&lt;wsp:rsid wsp:val=&quot;0057225F&quot;/&gt;&lt;wsp:rsid wsp:val=&quot;0057407D&quot;/&gt;&lt;wsp:rsid wsp:val=&quot;005754CD&quot;/&gt;&lt;wsp:rsid wsp:val=&quot;005805F5&quot;/&gt;&lt;wsp:rsid wsp:val=&quot;00580C8D&quot;/&gt;&lt;wsp:rsid wsp:val=&quot;00584F77&quot;/&gt;&lt;wsp:rsid wsp:val=&quot;00595849&quot;/&gt;&lt;wsp:rsid wsp:val=&quot;005A27E9&quot;/&gt;&lt;wsp:rsid wsp:val=&quot;005A2FF0&quot;/&gt;&lt;wsp:rsid wsp:val=&quot;005A6CBB&quot;/&gt;&lt;wsp:rsid wsp:val=&quot;005B4FB5&quot;/&gt;&lt;wsp:rsid wsp:val=&quot;005C6724&quot;/&gt;&lt;wsp:rsid wsp:val=&quot;005D0171&quot;/&gt;&lt;wsp:rsid wsp:val=&quot;005D1FF4&quot;/&gt;&lt;wsp:rsid wsp:val=&quot;005D22EA&quot;/&gt;&lt;wsp:rsid wsp:val=&quot;005D5AEF&quot;/&gt;&lt;wsp:rsid wsp:val=&quot;005E7A1B&quot;/&gt;&lt;wsp:rsid wsp:val=&quot;005F264F&quot;/&gt;&lt;wsp:rsid wsp:val=&quot;00600D91&quot;/&gt;&lt;wsp:rsid wsp:val=&quot;00606F09&quot;/&gt;&lt;wsp:rsid wsp:val=&quot;00610A8D&quot;/&gt;&lt;wsp:rsid wsp:val=&quot;00611691&quot;/&gt;&lt;wsp:rsid wsp:val=&quot;00631E47&quot;/&gt;&lt;wsp:rsid wsp:val=&quot;006373B8&quot;/&gt;&lt;wsp:rsid wsp:val=&quot;006432E2&quot;/&gt;&lt;wsp:rsid wsp:val=&quot;00646A98&quot;/&gt;&lt;wsp:rsid wsp:val=&quot;00657C4A&quot;/&gt;&lt;wsp:rsid wsp:val=&quot;00684A2A&quot;/&gt;&lt;wsp:rsid wsp:val=&quot;00691C7F&quot;/&gt;&lt;wsp:rsid wsp:val=&quot;006B272C&quot;/&gt;&lt;wsp:rsid wsp:val=&quot;006B3A4B&quot;/&gt;&lt;wsp:rsid wsp:val=&quot;006C7829&quot;/&gt;&lt;wsp:rsid wsp:val=&quot;006D4740&quot;/&gt;&lt;wsp:rsid wsp:val=&quot;006E3BD1&quot;/&gt;&lt;wsp:rsid wsp:val=&quot;006F1CBD&quot;/&gt;&lt;wsp:rsid wsp:val=&quot;006F42FE&quot;/&gt;&lt;wsp:rsid wsp:val=&quot;006F4474&quot;/&gt;&lt;wsp:rsid wsp:val=&quot;006F4545&quot;/&gt;&lt;wsp:rsid wsp:val=&quot;006F75F6&quot;/&gt;&lt;wsp:rsid wsp:val=&quot;00705140&quot;/&gt;&lt;wsp:rsid wsp:val=&quot;007053BC&quot;/&gt;&lt;wsp:rsid wsp:val=&quot;00722EC0&quot;/&gt;&lt;wsp:rsid wsp:val=&quot;00726B6C&quot;/&gt;&lt;wsp:rsid wsp:val=&quot;00737375&quot;/&gt;&lt;wsp:rsid wsp:val=&quot;007400BB&quot;/&gt;&lt;wsp:rsid wsp:val=&quot;00741470&quot;/&gt;&lt;wsp:rsid wsp:val=&quot;00761882&quot;/&gt;&lt;wsp:rsid wsp:val=&quot;0076606E&quot;/&gt;&lt;wsp:rsid wsp:val=&quot;00776709&quot;/&gt;&lt;wsp:rsid wsp:val=&quot;00783C2D&quot;/&gt;&lt;wsp:rsid wsp:val=&quot;0079417B&quot;/&gt;&lt;wsp:rsid wsp:val=&quot;007A0E43&quot;/&gt;&lt;wsp:rsid wsp:val=&quot;007A6299&quot;/&gt;&lt;wsp:rsid wsp:val=&quot;007D3530&quot;/&gt;&lt;wsp:rsid wsp:val=&quot;007E6F57&quot;/&gt;&lt;wsp:rsid wsp:val=&quot;007E6FBE&quot;/&gt;&lt;wsp:rsid wsp:val=&quot;0080076B&quot;/&gt;&lt;wsp:rsid wsp:val=&quot;00804890&quot;/&gt;&lt;wsp:rsid wsp:val=&quot;00814374&quot;/&gt;&lt;wsp:rsid wsp:val=&quot;0083001C&quot;/&gt;&lt;wsp:rsid wsp:val=&quot;00852F42&quot;/&gt;&lt;wsp:rsid wsp:val=&quot;00854655&quot;/&gt;&lt;wsp:rsid wsp:val=&quot;00857789&quot;/&gt;&lt;wsp:rsid wsp:val=&quot;00857E7A&quot;/&gt;&lt;wsp:rsid wsp:val=&quot;008605A5&quot;/&gt;&lt;wsp:rsid wsp:val=&quot;00883732&quot;/&gt;&lt;wsp:rsid wsp:val=&quot;00883963&quot;/&gt;&lt;wsp:rsid wsp:val=&quot;008A5686&quot;/&gt;&lt;wsp:rsid wsp:val=&quot;008A5C96&quot;/&gt;&lt;wsp:rsid wsp:val=&quot;008B739C&quot;/&gt;&lt;wsp:rsid wsp:val=&quot;008C20EF&quot;/&gt;&lt;wsp:rsid wsp:val=&quot;008C5DAE&quot;/&gt;&lt;wsp:rsid wsp:val=&quot;008C6F3E&quot;/&gt;&lt;wsp:rsid wsp:val=&quot;008C7599&quot;/&gt;&lt;wsp:rsid wsp:val=&quot;008D0814&quot;/&gt;&lt;wsp:rsid wsp:val=&quot;008D670B&quot;/&gt;&lt;wsp:rsid wsp:val=&quot;008D7777&quot;/&gt;&lt;wsp:rsid wsp:val=&quot;008E1886&quot;/&gt;&lt;wsp:rsid wsp:val=&quot;008E3F64&quot;/&gt;&lt;wsp:rsid wsp:val=&quot;008F5B77&quot;/&gt;&lt;wsp:rsid wsp:val=&quot;00907843&quot;/&gt;&lt;wsp:rsid wsp:val=&quot;00913D37&quot;/&gt;&lt;wsp:rsid wsp:val=&quot;00916017&quot;/&gt;&lt;wsp:rsid wsp:val=&quot;00917CDE&quot;/&gt;&lt;wsp:rsid wsp:val=&quot;009227EF&quot;/&gt;&lt;wsp:rsid wsp:val=&quot;0092360D&quot;/&gt;&lt;wsp:rsid wsp:val=&quot;00930E26&quot;/&gt;&lt;wsp:rsid wsp:val=&quot;00932635&quot;/&gt;&lt;wsp:rsid wsp:val=&quot;00956596&quot;/&gt;&lt;wsp:rsid wsp:val=&quot;0096088F&quot;/&gt;&lt;wsp:rsid wsp:val=&quot;00963C31&quot;/&gt;&lt;wsp:rsid wsp:val=&quot;0097463E&quot;/&gt;&lt;wsp:rsid wsp:val=&quot;009B246D&quot;/&gt;&lt;wsp:rsid wsp:val=&quot;009B711D&quot;/&gt;&lt;wsp:rsid wsp:val=&quot;009C370A&quot;/&gt;&lt;wsp:rsid wsp:val=&quot;009C4481&quot;/&gt;&lt;wsp:rsid wsp:val=&quot;009D095E&quot;/&gt;&lt;wsp:rsid wsp:val=&quot;009D2CB6&quot;/&gt;&lt;wsp:rsid wsp:val=&quot;009E71BA&quot;/&gt;&lt;wsp:rsid wsp:val=&quot;009F4B61&quot;/&gt;&lt;wsp:rsid wsp:val=&quot;00A0601C&quot;/&gt;&lt;wsp:rsid wsp:val=&quot;00A07D0F&quot;/&gt;&lt;wsp:rsid wsp:val=&quot;00A12C32&quot;/&gt;&lt;wsp:rsid wsp:val=&quot;00A134F3&quot;/&gt;&lt;wsp:rsid wsp:val=&quot;00A23397&quot;/&gt;&lt;wsp:rsid wsp:val=&quot;00A248FE&quot;/&gt;&lt;wsp:rsid wsp:val=&quot;00A57BC0&quot;/&gt;&lt;wsp:rsid wsp:val=&quot;00A64AA7&quot;/&gt;&lt;wsp:rsid wsp:val=&quot;00A724BD&quot;/&gt;&lt;wsp:rsid wsp:val=&quot;00A7415B&quot;/&gt;&lt;wsp:rsid wsp:val=&quot;00A84005&quot;/&gt;&lt;wsp:rsid wsp:val=&quot;00A87B42&quot;/&gt;&lt;wsp:rsid wsp:val=&quot;00A9139B&quot;/&gt;&lt;wsp:rsid wsp:val=&quot;00A92B0B&quot;/&gt;&lt;wsp:rsid wsp:val=&quot;00AA4006&quot;/&gt;&lt;wsp:rsid wsp:val=&quot;00AB0293&quot;/&gt;&lt;wsp:rsid wsp:val=&quot;00AB5B1D&quot;/&gt;&lt;wsp:rsid wsp:val=&quot;00AC5D9B&quot;/&gt;&lt;wsp:rsid wsp:val=&quot;00AF0E30&quot;/&gt;&lt;wsp:rsid wsp:val=&quot;00B346E0&quot;/&gt;&lt;wsp:rsid wsp:val=&quot;00B47C42&quot;/&gt;&lt;wsp:rsid wsp:val=&quot;00B67FE6&quot;/&gt;&lt;wsp:rsid wsp:val=&quot;00B7157F&quot;/&gt;&lt;wsp:rsid wsp:val=&quot;00B73112&quot;/&gt;&lt;wsp:rsid wsp:val=&quot;00B77478&quot;/&gt;&lt;wsp:rsid wsp:val=&quot;00B92A67&quot;/&gt;&lt;wsp:rsid wsp:val=&quot;00BC5A9C&quot;/&gt;&lt;wsp:rsid wsp:val=&quot;00BC5D7C&quot;/&gt;&lt;wsp:rsid wsp:val=&quot;00BD171D&quot;/&gt;&lt;wsp:rsid wsp:val=&quot;00BD354F&quot;/&gt;&lt;wsp:rsid wsp:val=&quot;00BD3DB0&quot;/&gt;&lt;wsp:rsid wsp:val=&quot;00BD51AD&quot;/&gt;&lt;wsp:rsid wsp:val=&quot;00C10DBA&quot;/&gt;&lt;wsp:rsid wsp:val=&quot;00C1274A&quot;/&gt;&lt;wsp:rsid wsp:val=&quot;00C14C48&quot;/&gt;&lt;wsp:rsid wsp:val=&quot;00C1552D&quot;/&gt;&lt;wsp:rsid wsp:val=&quot;00C159E0&quot;/&gt;&lt;wsp:rsid wsp:val=&quot;00C23457&quot;/&gt;&lt;wsp:rsid wsp:val=&quot;00C273CA&quot;/&gt;&lt;wsp:rsid wsp:val=&quot;00C32B08&quot;/&gt;&lt;wsp:rsid wsp:val=&quot;00C42A9C&quot;/&gt;&lt;wsp:rsid wsp:val=&quot;00C43A0F&quot;/&gt;&lt;wsp:rsid wsp:val=&quot;00C43E41&quot;/&gt;&lt;wsp:rsid wsp:val=&quot;00C50316&quot;/&gt;&lt;wsp:rsid wsp:val=&quot;00C53D1A&quot;/&gt;&lt;wsp:rsid wsp:val=&quot;00C63B29&quot;/&gt;&lt;wsp:rsid wsp:val=&quot;00C67B88&quot;/&gt;&lt;wsp:rsid wsp:val=&quot;00C76AEA&quot;/&gt;&lt;wsp:rsid wsp:val=&quot;00C94B1E&quot;/&gt;&lt;wsp:rsid wsp:val=&quot;00CA1267&quot;/&gt;&lt;wsp:rsid wsp:val=&quot;00CA2D5C&quot;/&gt;&lt;wsp:rsid wsp:val=&quot;00CA64FE&quot;/&gt;&lt;wsp:rsid wsp:val=&quot;00CA6DEE&quot;/&gt;&lt;wsp:rsid wsp:val=&quot;00CB379D&quot;/&gt;&lt;wsp:rsid wsp:val=&quot;00CB4ED2&quot;/&gt;&lt;wsp:rsid wsp:val=&quot;00CD0DB9&quot;/&gt;&lt;wsp:rsid wsp:val=&quot;00CD6195&quot;/&gt;&lt;wsp:rsid wsp:val=&quot;00CF655F&quot;/&gt;&lt;wsp:rsid wsp:val=&quot;00D05B75&quot;/&gt;&lt;wsp:rsid wsp:val=&quot;00D07CEE&quot;/&gt;&lt;wsp:rsid wsp:val=&quot;00D107B0&quot;/&gt;&lt;wsp:rsid wsp:val=&quot;00D15C17&quot;/&gt;&lt;wsp:rsid wsp:val=&quot;00D160D5&quot;/&gt;&lt;wsp:rsid wsp:val=&quot;00D25A97&quot;/&gt;&lt;wsp:rsid wsp:val=&quot;00D25D3B&quot;/&gt;&lt;wsp:rsid wsp:val=&quot;00D44A12&quot;/&gt;&lt;wsp:rsid wsp:val=&quot;00D44E50&quot;/&gt;&lt;wsp:rsid wsp:val=&quot;00D46E10&quot;/&gt;&lt;wsp:rsid wsp:val=&quot;00D60AE3&quot;/&gt;&lt;wsp:rsid wsp:val=&quot;00D63AC4&quot;/&gt;&lt;wsp:rsid wsp:val=&quot;00D70485&quot;/&gt;&lt;wsp:rsid wsp:val=&quot;00D83F09&quot;/&gt;&lt;wsp:rsid wsp:val=&quot;00DA248A&quot;/&gt;&lt;wsp:rsid wsp:val=&quot;00DA3415&quot;/&gt;&lt;wsp:rsid wsp:val=&quot;00DD2CCC&quot;/&gt;&lt;wsp:rsid wsp:val=&quot;00DD52DB&quot;/&gt;&lt;wsp:rsid wsp:val=&quot;00DD77F2&quot;/&gt;&lt;wsp:rsid wsp:val=&quot;00E00084&quot;/&gt;&lt;wsp:rsid wsp:val=&quot;00E01A9A&quot;/&gt;&lt;wsp:rsid wsp:val=&quot;00E01EF0&quot;/&gt;&lt;wsp:rsid wsp:val=&quot;00E14744&quot;/&gt;&lt;wsp:rsid wsp:val=&quot;00E25035&quot;/&gt;&lt;wsp:rsid wsp:val=&quot;00E25D9D&quot;/&gt;&lt;wsp:rsid wsp:val=&quot;00E32B34&quot;/&gt;&lt;wsp:rsid wsp:val=&quot;00E34797&quot;/&gt;&lt;wsp:rsid wsp:val=&quot;00E476D9&quot;/&gt;&lt;wsp:rsid wsp:val=&quot;00E47EF4&quot;/&gt;&lt;wsp:rsid wsp:val=&quot;00E86097&quot;/&gt;&lt;wsp:rsid wsp:val=&quot;00E97F71&quot;/&gt;&lt;wsp:rsid wsp:val=&quot;00EA60F9&quot;/&gt;&lt;wsp:rsid wsp:val=&quot;00EA6B0F&quot;/&gt;&lt;wsp:rsid wsp:val=&quot;00ED265F&quot;/&gt;&lt;wsp:rsid wsp:val=&quot;00EE6447&quot;/&gt;&lt;wsp:rsid wsp:val=&quot;00F13BCF&quot;/&gt;&lt;wsp:rsid wsp:val=&quot;00F23840&quot;/&gt;&lt;wsp:rsid wsp:val=&quot;00F2388F&quot;/&gt;&lt;wsp:rsid wsp:val=&quot;00F27ABA&quot;/&gt;&lt;wsp:rsid wsp:val=&quot;00F414F4&quot;/&gt;&lt;wsp:rsid wsp:val=&quot;00F4413A&quot;/&gt;&lt;wsp:rsid wsp:val=&quot;00F45DBD&quot;/&gt;&lt;wsp:rsid wsp:val=&quot;00F50CF3&quot;/&gt;&lt;wsp:rsid wsp:val=&quot;00F548D0&quot;/&gt;&lt;wsp:rsid wsp:val=&quot;00F64B48&quot;/&gt;&lt;wsp:rsid wsp:val=&quot;00F652BB&quot;/&gt;&lt;wsp:rsid wsp:val=&quot;00F71F5E&quot;/&gt;&lt;wsp:rsid wsp:val=&quot;00F76490&quot;/&gt;&lt;wsp:rsid wsp:val=&quot;00F85997&quot;/&gt;&lt;wsp:rsid wsp:val=&quot;00F87197&quot;/&gt;&lt;wsp:rsid wsp:val=&quot;00FA6118&quot;/&gt;&lt;wsp:rsid wsp:val=&quot;00FC0DD2&quot;/&gt;&lt;wsp:rsid wsp:val=&quot;00FC45C7&quot;/&gt;&lt;wsp:rsid wsp:val=&quot;00FC6FE3&quot;/&gt;&lt;wsp:rsid wsp:val=&quot;00FE2E3A&quot;/&gt;&lt;wsp:rsid wsp:val=&quot;00FE5388&quot;/&gt;&lt;/wsp:rsids&gt;&lt;/w:docPr&gt;&lt;w:body&gt;&lt;wx:sect&gt;&lt;w:p wsp:rsidR=&quot;00000000&quot; wsp:rsidRPr=&quot;006432E2&quot; wsp:rsidRDefault=&quot;006432E2&quot; wsp:rsidP=&quot;006432E2&quot;&gt;&lt;w:pPr&gt;&lt;w:ind w:first-line=&quot;480&quot;/&gt;&lt;/w:pPr&gt;&lt;m:oMathPara&gt;&lt;m:oMath&gt;&lt;m:sSub&gt;&lt;m:sSubPr&gt;&lt;m:ctrlPr&gt;&lt;w:r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E&lt;/m:t&gt;&lt;/m:r&gt;&lt;/m:e&gt;&lt;m:sub&gt;&lt;m:r&gt;&lt;w:rPr&gt;&lt;w:rFonts w:ascii=&quot;Cambria Math&quot; w:h-ansi=&quot;Cambria Math&quot; w:hint=&quot;fareast&quot;/&gt;&lt;wx:font wx:val=&quot;???&quot;/&gt;&lt;w:i/&gt;&lt;w:col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Mator w:val=&quot;000000&quot;/&gt;&lt;/w:rPr&gt;&lt;m:t&gt;??/tm:tt&gt;&lt;/tm:rt&gt;&lt;/tm:stub&gt;t&lt;/mt:sStub&gt;t&lt;m:tr&gt;&lt;tw:rtPr&gt;t&lt;w:trFotntst w:tasctii=t&quot;Catmbrtia tMatth&quot; tw:ht-antsi=t&quot;Catmbrtia tMatth&quot;/t&gt;&lt;wtx:ftontt wxt:vatl=&quot;tCamtbrita Mtatht&quot;/&gt;t&lt;w:ti/&gt;t&lt;w:tcoltor tw:vtal=t&quot;00t000t0&quot;/t&gt;&lt;/tw:rtPr&gt;t&lt;m:tt&gt;=t&lt;/mt:t&gt;t&lt;/mt:r&gt;t&lt;m:?tsSutb&gt;&lt;tm:stSubtPr&gt;t&lt;m:tctrtlPrt&gt;&lt;wt:ratPr&gt;&lt;w:rFonts w:ascii=&quot;Cambria Math&quot; w:h-ansi=&quot;Cambria Math&quot;/&gt;&lt;wx:font wx:val=&quot;Cambria Math&quot;/&gt;&lt;w:i/&gt;&lt;w:color w:val=&quot;000000&quot;/&gt;&lt;/w:rPr&gt;&lt;/m:ctrlPr&gt;&lt;/m:sSubPr&gt;&lt;m:e&gt;&lt;m:r&gt;&lt;w:rPr&gt;&lt;w:rFonts w:ascii=&quot;Cambria Math&quot; w:h-ansi=&quot;Cambria Math&quot;/&gt;&lt;wx:font wx:val=&quot;Cambria Math&quot;/&gt;&lt;w:i/&gt;&lt;w:color w:val=&quot;000000&quot;/&gt;&lt;/w:rPr&gt;&lt;m:t&gt;AD&lt;/m:t&gt;&lt;/m:r&gt;&lt;/m:e&gt;&lt;m:sub&gt;&lt;m:r&gt;&lt;w:rPr&gt;&lt;w:rFonts w:ascii=&quot;Cambria Math&quot; w:h-ansi=&quot;Cambria Math&quot; w:hint=&quot;fareast&quot;/&gt;&lt;wx:font wx:val=&quot;?:aaa?i?i=&quot;?ciam=&quot;?riscCa Mamiath=&quot;b&quot; wrii:h-&quot;/aans MCi=&quot;amaCamth&gt;bri&lt;=&quot;aMa M h&quot;wba&gt;&lt;thr:ii:&quot;&gt;&lt;/&gt;h:c-&quot;&lt;lowxC wwa:vafon=&quot;san00t  00Miw/&gt;x:=/w&quot;:vrPali&gt;&lt;/C=:t&quot;CaADmaa/mmbtt&gt;hbr/miarr&gt;im /mMabe&gt;ratm:h&quot; ubM&quot;/&lt;m&gt;&lt; r&gt;waww::itPrh&gt;/&lt;w&gt;&lt;&lt;rFw&quot;wnt:c/ w&gt;:oaslohii-&lt;r&quot;C wwmbx::iavaaMa :lh&quot;=&quot;fw:oa0-a00nsisn0&quot;C00tmb M&quot;ia/&gt;cMaow&lt;h&quot;/wxw::i:inrP==&quot;&quot;vrar&gt;&lt;aasllm&quot;/:to&lt;wt=&gt;:fAD&quot;ntCh&lt;wx/mavama:=&quot;t&gt;mbab&lt;/mi&quot;rr:r&gt;ia &lt;/mwi :e&gt;Maa&lt;m: :tsubh&quot;w&gt;&lt;m:h/:r&gt;&gt;&lt;a&lt;w:thwrPr:iv&gt;&lt;wal/:rF&gt;&lt;=ont/&gt;ws w:c&lt;:asanociilos=&quot;C&quot;xramb w:riaf0: Mava0th&quot;0=l w:=&quot;nh-at 0nsi00&quot;=&quot;CC00amb000riax:&quot; Ma/&gt;vth&quot;0&quot;&lt; w:/wmhinbl:t=&quot;rP=far&quot;rreas&gt;&lt;/t&quot;/&gt;&lt;m&gt;&lt;w:tax:fmb&gt;ontAD/ wxa &lt;:va/mMl=&quot;ia:t:a&gt; w:&lt;i/mrPa&quot;:r&gt;tht&lt;/mh&quot;r:e&gt;/&gt;&lt;&lt;m:&gt;&lt;msub&gt;:i&gt;&lt;m/&lt;w:r&gt;:t&lt;&lt;w:w:&gt;rPr?:f&gt;&lt;wolo:rFo?/ontm ws w:nt:as waciil=:=&quot;Ct&gt;&lt;amb000riax:v Maa00th&quot;&quot;/m w::r&gt;h-a&lt;/lnsi=&quot;C=&quot;C:rPamb&gt;&lt;/riam&gt;&lt; Mamamth&quot;brt w:&gt;A:hinsurt=&quot;&lt;/mfaria easMt&gt;t&quot;/&lt;b&gt;&gt;&lt;w&lt;/mx:f:rmont:sS wx&lt;/m:vaub&gt;l=&quot;&lt;e&gt;&lt;:am:r&gt;:isu&lt;w:r&gt;&lt;mPr&gt;&lt;r&gt;&lt;w:rF:rPonts&gt;&lt;w w:arFosciits =&quot;Ca:asmbriii=a MaCamth&quot; riaw:h-Matansi&quot; w=&quot;Cah-ambrisi=a MaCamth&quot; riaw:csMat=&quot;Ca&quot; wmbrihina Ma=&quot;fth&quot;/rea&gt;&lt;wxt&quot;/:fon&lt;wxt wxfon:val wx=&quot;Cavalmbria?:mfm Mr/ r att ths&lt;&quot;&gt;/&lt;&gt;ws&lt;&gt;/w:&gt;Pw:io://mwS&gt;o&gt;&lt;w/mmS:fucmw/o&quot;Slotu:r mmA&gt;&quot;fwx:&lt;v:&gt;aS&lt;l=&gt;at&lt;&gt;&quot;m&lt;0:m0&quot;r&lt;P00x00&gt;&lt;&gt;&lt;a&quot;:&lt;:/&gt;asm&lt;io&gt;s/w:&gt;rawrr&quot;rbP:Fr&gt;=&lt;&gt;m:tCs&lt;atm&quot;:a&gt;:?w?mbrMa&lt;Pscosi:a i/=&quot;Cm =m-atr&lt;w&gt;is&gt;&lt;iaa Ms::rrmtMaFtiriiF:i&quot;cs&gt;&lt;/ia=&quot;CCatm wrrtsbihr&quot; &gt;C Masa uft::hr&gt;remtwbrwx:ania:f&lt;w:m:wxaMaw=xf sscava&quot;&lt;m-ax=MmritvaPoSsiri M =uifabthaC &gt;&lt;m&lt;a&gt;taM&quot; as&lt;&quot;/w&gt;&lt;:w:c&lt;w&quot;i:&quot;siixfo=&quot;SrFCSalauwm/bP&quot;CaCurbinmb&quot;rPrit&gt;:=m&quot;&quot;a &gt; w&lt;w /r&lt;m:cmt&gt;&lt;Cwx:ha&lt;&lt;&gt;wifo:atrmfanot oMmabwrln:PSrFwa&quot;=wxmtFo&gt;&lt; rva&gt;aiM-aw:&gt;iar MwPrssri th&lt;h&quot;rs&gt;&lt;ama&gt;Cw/:r&gt;F:&quot;/hw&quot;: asa&lt;wfsont:csx:tfns wi=xal&quot;=:aCa&quot;&quot;CCwms&quot;cimbiamain=bmr&quot;iCa=&quot;r mrbi M/r&gt;&gt;aria Mw:&gt;xah&quot;Matmfoth&quot; :mct w:h Sw-n:a&quot;Cmnsiwx=&quot;&gt;-abrvaC&gt;ambriiara Mi= M&lt;rathh&quot;&quot; samw:c&lt;w/s=&quot;Ciaawfombriaf a wtMatth&quot;/va&gt;x w&lt;wx:&quot;aCfonint&quot; brwx:vaa&quot;fl/=&quot;CambeaPria Mat&quot;m/h&quot;/&gt;&lt;w:Awxi/&gt;&lt;w:mconolor &lt;w:wxval=r&quot;00al000m0&quot;/&gt;&lt;:/w:rPr&gt;/&lt;/m:ctr&gt;lPr&gt;&lt;/mo:sSubPrl&gt;&lt;m:e&gt;&lt;0m:r&gt;&lt;w:wrPr&gt;&lt;w:mrFonts w:ascii=&quot;Cambria Math&quot; w:h-ansi=&quot;Cambria Math&quot; w:cs=&quot;Cambria Math&quot;/&gt;&lt;wx:font wx:val=&quot;Cambria Math&quot;/&gt;&lt;w:i/&gt;&lt;w:color w:val=&quot;000000&quot;/&gt;&lt;/w:rPr&gt;&lt;m:t&gt;EF&lt;/m:t&gt;&lt;/m:r&gt;&lt;/m:e&gt;&lt;m:sub&gt;&lt;m:r&gt;&lt;w:rPr&gt;&lt;w:rFonts w:ascii=&quot;Cambria Math&quot; w:h-ansi=&quot;Cambria Math&quot; w:cs=&quot;Cambria Math&quot; w:hint=&quot;fareast&quot;/&gt;&lt;wx:font wx:val=&quot;????t?h/&quot;&gt;cs sw&lt;=csr&quot;rw:iCchwa:&quot;i/ /f&gt;miMo&gt;abv&lt;nw&lt;:acbbtrwlior&gt;h &lt;l=hi&quot;&quot;/owr &quot;wa/o&gt;:v waC&quot;= r&lt;&gt;/on&gt;&quot;l=&quot;&quot; Mw&lt;PCa0/0000E0wl:rw=0&lt;&gt;nat0Ft m:&quot;&gt;c/&gt;/&lt;u&lt;/a &lt;0i:&lt;/vw&lt;:rmPwb=/&quot;Cr/0 ew&gt;or&lt;mw=&lt;::&gt;m:wta&gt;?mw?:&gt;&quot;w0?m:&quot;/:r=r&lt;:co m:at:&gt;mr&gt;:&lt;w:/&gt;C&lt;&lt;/&quot;mFm:&lt;mMrrt &gt;vaal&gt;hn&gt;:rP&lt;ma&lt;a&lt;Cbm/m:FxoashMub&gt;x0m:/t-ca?sm:0&quot;s&lt;/ramPam:r:s&quot;Saur:&gt;&lt;at=bos?n&gt;rPrt&lt;-ai/m:sfcm:s amovMathE&quot;bratF&lt;&gt;r&quot;&gt;&lt;&lt;/s=m&quot;o :oMatiaa/&lt;w:i=m: whPara&gt;&lt;a&quot;f  w:/we&gt;&quot;/&lt;::cp&gt;&lt;&quot;onCaw:sriealc&lt;m:tMat &quot;wPr wsp:rCPfa-anr&gt;sMidR&gt;&lt;=&quot;0mwbr00n wtsw0000h&quot;&quot;??C 0&quot; wciisMpCsamm:rsiwdRbriaathcPr=&quot;0064&lt;vhnt=&quot; 32E02&quot;w&gt;&lt;st&quot;wwnsi:pagSzfon w:brtiw=&quot;al=1224/0h&quot; &quot; ww:h=r&quot;1&quot;Ca584b0&quot;/&gt;&lt; Maw:p&quot;gMar :hiw:tnop=&quot;1are440=&quot; w:r&gt;&lt;wigh t=&quot;18t w00&quot;w w:bl=&quot;?ottom=&quot;1440&quot;c w:left=&quot;180i0&quot; w:header=&gt;&quot;720&quot; w:foot er=&quot;720&quot; w:&quot;Cgutter=&quot;0&quot;/&gt;&lt;w:cols w:space=&quot;720&quot;/&gt;&lt;/w:sectPr&gt;&lt;/wx:sect&gt;&lt;/w:body&gt;&lt;/w:wordDocument&gt;">
            <v:path/>
            <v:fill on="f" focussize="0,0"/>
            <v:stroke on="f" joinstyle="miter"/>
            <v:imagedata r:id="rId134" chromakey="#FFFFFF" o:title=""/>
            <o:lock v:ext="edit" aspectratio="t"/>
            <w10:wrap type="none"/>
            <w10:anchorlock/>
          </v:shape>
        </w:pict>
      </w:r>
    </w:p>
    <w:p w14:paraId="1DC3C7C9">
      <w:pPr>
        <w:ind w:firstLine="480"/>
        <w:rPr>
          <w:color w:val="auto"/>
        </w:rPr>
      </w:pPr>
      <w:r>
        <w:rPr>
          <w:color w:val="auto"/>
        </w:rPr>
        <w:t>式中：</w:t>
      </w:r>
    </w:p>
    <w:p w14:paraId="7AD42A61">
      <w:pPr>
        <w:ind w:firstLine="480"/>
        <w:rPr>
          <w:color w:val="auto"/>
        </w:rPr>
      </w:pPr>
      <w:r>
        <w:rPr>
          <w:i/>
          <w:color w:val="auto"/>
        </w:rPr>
        <w:t>E</w:t>
      </w:r>
      <w:r>
        <w:rPr>
          <w:i/>
          <w:color w:val="auto"/>
          <w:vertAlign w:val="subscript"/>
        </w:rPr>
        <w:t>热</w:t>
      </w:r>
      <w:r>
        <w:rPr>
          <w:color w:val="auto"/>
        </w:rPr>
        <w:t>——购入的热力所对应的热力生产环节二氧化碳排放量，单位为吨二氧化碳（tCO</w:t>
      </w:r>
      <w:r>
        <w:rPr>
          <w:color w:val="auto"/>
          <w:vertAlign w:val="subscript"/>
        </w:rPr>
        <w:t>2</w:t>
      </w:r>
      <w:r>
        <w:rPr>
          <w:color w:val="auto"/>
        </w:rPr>
        <w:t>）；</w:t>
      </w:r>
    </w:p>
    <w:p w14:paraId="386ACC91">
      <w:pPr>
        <w:ind w:firstLine="480"/>
        <w:rPr>
          <w:color w:val="auto"/>
        </w:rPr>
      </w:pPr>
      <w:r>
        <w:rPr>
          <w:i/>
          <w:color w:val="auto"/>
        </w:rPr>
        <w:t>AD</w:t>
      </w:r>
      <w:r>
        <w:rPr>
          <w:i/>
          <w:color w:val="auto"/>
          <w:vertAlign w:val="subscript"/>
        </w:rPr>
        <w:t>热</w:t>
      </w:r>
      <w:r>
        <w:rPr>
          <w:color w:val="auto"/>
        </w:rPr>
        <w:t>——核算和报告年度内的净外购热力，单位为百万千焦（GJ）；</w:t>
      </w:r>
    </w:p>
    <w:p w14:paraId="74369DEE">
      <w:pPr>
        <w:ind w:firstLine="480"/>
        <w:rPr>
          <w:color w:val="auto"/>
        </w:rPr>
      </w:pPr>
      <w:r>
        <w:rPr>
          <w:i/>
          <w:color w:val="auto"/>
        </w:rPr>
        <w:t>EF</w:t>
      </w:r>
      <w:r>
        <w:rPr>
          <w:i/>
          <w:color w:val="auto"/>
          <w:vertAlign w:val="subscript"/>
        </w:rPr>
        <w:t>热</w:t>
      </w:r>
      <w:r>
        <w:rPr>
          <w:color w:val="auto"/>
        </w:rPr>
        <w:t>——年平均供热排放因子，单位为吨二氧化碳/百万千焦（tCO</w:t>
      </w:r>
      <w:r>
        <w:rPr>
          <w:color w:val="auto"/>
          <w:vertAlign w:val="subscript"/>
        </w:rPr>
        <w:t>2</w:t>
      </w:r>
      <w:r>
        <w:rPr>
          <w:color w:val="auto"/>
        </w:rPr>
        <w:t>/GJ）。</w:t>
      </w:r>
    </w:p>
    <w:p w14:paraId="6E55A9B2">
      <w:pPr>
        <w:ind w:firstLine="480"/>
        <w:rPr>
          <w:color w:val="auto"/>
        </w:rPr>
      </w:pPr>
      <w:r>
        <w:rPr>
          <w:rFonts w:hint="eastAsia"/>
          <w:color w:val="auto"/>
        </w:rPr>
        <w:t>以质量单位计量得蒸汽可采用以下公式转化为热量单位：</w:t>
      </w:r>
    </w:p>
    <w:p w14:paraId="675C03C7">
      <w:pPr>
        <w:ind w:firstLine="480"/>
        <w:jc w:val="center"/>
        <w:rPr>
          <w:color w:val="auto"/>
        </w:rPr>
      </w:pPr>
      <w:r>
        <w:rPr>
          <w:rFonts w:hint="eastAsia"/>
          <w:i/>
          <w:iCs/>
          <w:color w:val="auto"/>
        </w:rPr>
        <w:t>AD</w:t>
      </w:r>
      <w:r>
        <w:rPr>
          <w:rFonts w:hint="eastAsia"/>
          <w:i/>
          <w:iCs/>
          <w:color w:val="auto"/>
          <w:vertAlign w:val="subscript"/>
        </w:rPr>
        <w:t>s</w:t>
      </w:r>
      <w:r>
        <w:rPr>
          <w:rFonts w:hint="eastAsia"/>
          <w:color w:val="auto"/>
          <w:vertAlign w:val="subscript"/>
        </w:rPr>
        <w:t>t</w:t>
      </w:r>
      <w:r>
        <w:rPr>
          <w:rFonts w:hint="eastAsia"/>
          <w:color w:val="auto"/>
        </w:rPr>
        <w:t>=</w:t>
      </w:r>
      <w:r>
        <w:rPr>
          <w:rFonts w:hint="eastAsia"/>
          <w:i/>
          <w:iCs/>
          <w:color w:val="auto"/>
        </w:rPr>
        <w:t xml:space="preserve"> Ma</w:t>
      </w:r>
      <w:r>
        <w:rPr>
          <w:rFonts w:hint="eastAsia"/>
          <w:i/>
          <w:iCs/>
          <w:color w:val="auto"/>
          <w:vertAlign w:val="subscript"/>
        </w:rPr>
        <w:t>st</w:t>
      </w:r>
      <w:r>
        <w:rPr>
          <w:rFonts w:ascii="宋体" w:hAnsi="宋体"/>
          <w:color w:val="auto"/>
        </w:rPr>
        <w:t>×</w:t>
      </w:r>
      <w:r>
        <w:rPr>
          <w:rFonts w:hint="eastAsia"/>
          <w:color w:val="auto"/>
        </w:rPr>
        <w:t>（</w:t>
      </w:r>
      <w:r>
        <w:rPr>
          <w:rFonts w:hint="eastAsia"/>
          <w:i/>
          <w:iCs/>
          <w:color w:val="auto"/>
        </w:rPr>
        <w:t>En</w:t>
      </w:r>
      <w:r>
        <w:rPr>
          <w:rFonts w:hint="eastAsia"/>
          <w:i/>
          <w:iCs/>
          <w:color w:val="auto"/>
          <w:vertAlign w:val="subscript"/>
        </w:rPr>
        <w:t xml:space="preserve">st </w:t>
      </w:r>
      <w:r>
        <w:rPr>
          <w:rFonts w:hint="eastAsia"/>
          <w:color w:val="auto"/>
        </w:rPr>
        <w:t>- 83.74）</w:t>
      </w:r>
      <w:r>
        <w:rPr>
          <w:rFonts w:ascii="宋体" w:hAnsi="宋体"/>
          <w:color w:val="auto"/>
        </w:rPr>
        <w:t>×</w:t>
      </w:r>
      <w:r>
        <w:rPr>
          <w:color w:val="auto"/>
        </w:rPr>
        <w:t>10</w:t>
      </w:r>
      <w:r>
        <w:rPr>
          <w:color w:val="auto"/>
          <w:vertAlign w:val="superscript"/>
        </w:rPr>
        <w:t>-3</w:t>
      </w:r>
    </w:p>
    <w:p w14:paraId="5009DBB5">
      <w:pPr>
        <w:ind w:firstLine="480"/>
        <w:rPr>
          <w:color w:val="auto"/>
        </w:rPr>
      </w:pPr>
      <w:r>
        <w:rPr>
          <w:rFonts w:hint="eastAsia"/>
          <w:color w:val="auto"/>
        </w:rPr>
        <w:t>式中：</w:t>
      </w:r>
      <w:r>
        <w:rPr>
          <w:rFonts w:hint="eastAsia"/>
          <w:i/>
          <w:iCs/>
          <w:color w:val="auto"/>
        </w:rPr>
        <w:t>AD</w:t>
      </w:r>
      <w:r>
        <w:rPr>
          <w:rFonts w:hint="eastAsia"/>
          <w:i/>
          <w:iCs/>
          <w:color w:val="auto"/>
          <w:vertAlign w:val="subscript"/>
        </w:rPr>
        <w:t>s</w:t>
      </w:r>
      <w:r>
        <w:rPr>
          <w:rFonts w:hint="eastAsia"/>
          <w:color w:val="auto"/>
          <w:vertAlign w:val="subscript"/>
        </w:rPr>
        <w:t>t</w:t>
      </w:r>
      <w:r>
        <w:rPr>
          <w:rFonts w:hint="eastAsia"/>
          <w:color w:val="auto"/>
        </w:rPr>
        <w:t>-蒸汽的热量，单位为吉焦（GJ）；</w:t>
      </w:r>
    </w:p>
    <w:p w14:paraId="253E969B">
      <w:pPr>
        <w:ind w:firstLine="480"/>
        <w:rPr>
          <w:color w:val="auto"/>
        </w:rPr>
      </w:pPr>
      <w:r>
        <w:rPr>
          <w:rFonts w:hint="eastAsia"/>
          <w:color w:val="auto"/>
        </w:rPr>
        <w:t xml:space="preserve">      </w:t>
      </w:r>
      <w:r>
        <w:rPr>
          <w:rFonts w:hint="eastAsia"/>
          <w:i/>
          <w:iCs/>
          <w:color w:val="auto"/>
        </w:rPr>
        <w:t>Ma</w:t>
      </w:r>
      <w:r>
        <w:rPr>
          <w:rFonts w:hint="eastAsia"/>
          <w:i/>
          <w:iCs/>
          <w:color w:val="auto"/>
          <w:vertAlign w:val="subscript"/>
        </w:rPr>
        <w:t>st</w:t>
      </w:r>
      <w:r>
        <w:rPr>
          <w:rFonts w:hint="eastAsia"/>
          <w:color w:val="auto"/>
        </w:rPr>
        <w:t>-蒸汽的质量，单位为吨蒸汽（t）；</w:t>
      </w:r>
    </w:p>
    <w:p w14:paraId="6D2488B4">
      <w:pPr>
        <w:ind w:firstLine="480"/>
        <w:rPr>
          <w:color w:val="auto"/>
        </w:rPr>
      </w:pPr>
      <w:r>
        <w:rPr>
          <w:rFonts w:hint="eastAsia"/>
          <w:color w:val="auto"/>
        </w:rPr>
        <w:t xml:space="preserve">      </w:t>
      </w:r>
      <w:r>
        <w:rPr>
          <w:rFonts w:hint="eastAsia"/>
          <w:i/>
          <w:iCs/>
          <w:color w:val="auto"/>
        </w:rPr>
        <w:t>En</w:t>
      </w:r>
      <w:r>
        <w:rPr>
          <w:rFonts w:hint="eastAsia"/>
          <w:i/>
          <w:iCs/>
          <w:color w:val="auto"/>
          <w:vertAlign w:val="subscript"/>
        </w:rPr>
        <w:t>st</w:t>
      </w:r>
      <w:r>
        <w:rPr>
          <w:rFonts w:hint="eastAsia"/>
          <w:color w:val="auto"/>
        </w:rPr>
        <w:t>-蒸汽所对应的温度、压力下每千克蒸汽的焓值，单位为千焦/千克（kJ/kg）；</w:t>
      </w:r>
    </w:p>
    <w:p w14:paraId="2D9D5DC6">
      <w:pPr>
        <w:ind w:firstLine="480"/>
        <w:rPr>
          <w:color w:val="auto"/>
        </w:rPr>
      </w:pPr>
      <w:r>
        <w:rPr>
          <w:rFonts w:hint="eastAsia"/>
          <w:color w:val="auto"/>
        </w:rPr>
        <w:t xml:space="preserve">      83.74-给水温度为20摄氏度时的焓值，单位为千焦/千克（kJ/kg）。</w:t>
      </w:r>
    </w:p>
    <w:p w14:paraId="3FE7CAB6">
      <w:pPr>
        <w:ind w:firstLine="480"/>
        <w:rPr>
          <w:color w:val="auto"/>
        </w:rPr>
      </w:pPr>
    </w:p>
    <w:p w14:paraId="0D33B259">
      <w:pPr>
        <w:pStyle w:val="7"/>
        <w:rPr>
          <w:color w:val="auto"/>
        </w:rPr>
      </w:pPr>
      <w:r>
        <w:rPr>
          <w:rFonts w:hint="eastAsia"/>
          <w:color w:val="auto"/>
        </w:rPr>
        <w:t>净购入热力产生的</w:t>
      </w:r>
      <w:r>
        <w:rPr>
          <w:color w:val="auto"/>
        </w:rPr>
        <w:t>排放量</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1728"/>
        <w:gridCol w:w="1056"/>
        <w:gridCol w:w="790"/>
        <w:gridCol w:w="1176"/>
        <w:gridCol w:w="1334"/>
        <w:gridCol w:w="1347"/>
        <w:gridCol w:w="1116"/>
      </w:tblGrid>
      <w:tr w14:paraId="1F005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56" w:type="dxa"/>
          </w:tcPr>
          <w:p w14:paraId="53B5A730">
            <w:pPr>
              <w:pStyle w:val="33"/>
              <w:rPr>
                <w:color w:val="auto"/>
              </w:rPr>
            </w:pPr>
            <w:r>
              <w:rPr>
                <w:color w:val="auto"/>
              </w:rPr>
              <w:t>序号</w:t>
            </w:r>
          </w:p>
        </w:tc>
        <w:tc>
          <w:tcPr>
            <w:tcW w:w="1728" w:type="dxa"/>
            <w:vAlign w:val="center"/>
          </w:tcPr>
          <w:p w14:paraId="7ADBC58F">
            <w:pPr>
              <w:pStyle w:val="33"/>
              <w:rPr>
                <w:color w:val="auto"/>
              </w:rPr>
            </w:pPr>
            <w:r>
              <w:rPr>
                <w:color w:val="auto"/>
              </w:rPr>
              <w:t>参数名称</w:t>
            </w:r>
          </w:p>
        </w:tc>
        <w:tc>
          <w:tcPr>
            <w:tcW w:w="1056" w:type="dxa"/>
            <w:vAlign w:val="center"/>
          </w:tcPr>
          <w:p w14:paraId="5C36F915">
            <w:pPr>
              <w:pStyle w:val="33"/>
              <w:rPr>
                <w:color w:val="auto"/>
              </w:rPr>
            </w:pPr>
            <w:r>
              <w:rPr>
                <w:color w:val="auto"/>
              </w:rPr>
              <w:t>年耗量</w:t>
            </w:r>
          </w:p>
        </w:tc>
        <w:tc>
          <w:tcPr>
            <w:tcW w:w="790" w:type="dxa"/>
            <w:vAlign w:val="center"/>
          </w:tcPr>
          <w:p w14:paraId="43FE7777">
            <w:pPr>
              <w:pStyle w:val="33"/>
              <w:rPr>
                <w:color w:val="auto"/>
              </w:rPr>
            </w:pPr>
            <w:r>
              <w:rPr>
                <w:color w:val="auto"/>
              </w:rPr>
              <w:t>单位</w:t>
            </w:r>
          </w:p>
        </w:tc>
        <w:tc>
          <w:tcPr>
            <w:tcW w:w="1176" w:type="dxa"/>
            <w:vAlign w:val="center"/>
          </w:tcPr>
          <w:p w14:paraId="1439EC18">
            <w:pPr>
              <w:pStyle w:val="33"/>
              <w:rPr>
                <w:color w:val="auto"/>
              </w:rPr>
            </w:pPr>
            <w:r>
              <w:rPr>
                <w:color w:val="auto"/>
              </w:rPr>
              <w:t>排放因子</w:t>
            </w:r>
          </w:p>
        </w:tc>
        <w:tc>
          <w:tcPr>
            <w:tcW w:w="1334" w:type="dxa"/>
            <w:vAlign w:val="center"/>
          </w:tcPr>
          <w:p w14:paraId="0D2322B9">
            <w:pPr>
              <w:pStyle w:val="33"/>
              <w:rPr>
                <w:color w:val="auto"/>
              </w:rPr>
            </w:pPr>
            <w:r>
              <w:rPr>
                <w:color w:val="auto"/>
              </w:rPr>
              <w:t>单位</w:t>
            </w:r>
          </w:p>
        </w:tc>
        <w:tc>
          <w:tcPr>
            <w:tcW w:w="1347" w:type="dxa"/>
          </w:tcPr>
          <w:p w14:paraId="17F7CA0F">
            <w:pPr>
              <w:pStyle w:val="33"/>
              <w:rPr>
                <w:color w:val="auto"/>
              </w:rPr>
            </w:pPr>
            <w:r>
              <w:rPr>
                <w:color w:val="auto"/>
              </w:rPr>
              <w:t>排放量（tCO</w:t>
            </w:r>
            <w:r>
              <w:rPr>
                <w:color w:val="auto"/>
                <w:vertAlign w:val="subscript"/>
              </w:rPr>
              <w:t>2</w:t>
            </w:r>
            <w:r>
              <w:rPr>
                <w:color w:val="auto"/>
              </w:rPr>
              <w:t>/a）</w:t>
            </w:r>
          </w:p>
        </w:tc>
        <w:tc>
          <w:tcPr>
            <w:tcW w:w="1116" w:type="dxa"/>
          </w:tcPr>
          <w:p w14:paraId="180F536E">
            <w:pPr>
              <w:pStyle w:val="33"/>
              <w:rPr>
                <w:color w:val="auto"/>
              </w:rPr>
            </w:pPr>
            <w:r>
              <w:rPr>
                <w:color w:val="auto"/>
              </w:rPr>
              <w:t>碳排放量（t/a）</w:t>
            </w:r>
          </w:p>
        </w:tc>
      </w:tr>
      <w:tr w14:paraId="5794C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56" w:type="dxa"/>
          </w:tcPr>
          <w:p w14:paraId="612B8642">
            <w:pPr>
              <w:pStyle w:val="33"/>
              <w:rPr>
                <w:color w:val="auto"/>
              </w:rPr>
            </w:pPr>
            <w:r>
              <w:rPr>
                <w:rFonts w:hint="eastAsia"/>
                <w:color w:val="auto"/>
              </w:rPr>
              <w:t>1</w:t>
            </w:r>
          </w:p>
        </w:tc>
        <w:tc>
          <w:tcPr>
            <w:tcW w:w="1728" w:type="dxa"/>
          </w:tcPr>
          <w:p w14:paraId="5DCA799A">
            <w:pPr>
              <w:pStyle w:val="33"/>
              <w:rPr>
                <w:color w:val="auto"/>
              </w:rPr>
            </w:pPr>
            <w:r>
              <w:rPr>
                <w:color w:val="auto"/>
              </w:rPr>
              <w:t>蒸汽（5bar）</w:t>
            </w:r>
          </w:p>
        </w:tc>
        <w:tc>
          <w:tcPr>
            <w:tcW w:w="1056" w:type="dxa"/>
            <w:vAlign w:val="center"/>
          </w:tcPr>
          <w:p w14:paraId="3BA7EACD">
            <w:pPr>
              <w:pStyle w:val="33"/>
              <w:rPr>
                <w:color w:val="auto"/>
              </w:rPr>
            </w:pPr>
            <w:r>
              <w:rPr>
                <w:color w:val="auto"/>
              </w:rPr>
              <w:t>9572467</w:t>
            </w:r>
          </w:p>
        </w:tc>
        <w:tc>
          <w:tcPr>
            <w:tcW w:w="790" w:type="dxa"/>
            <w:vAlign w:val="center"/>
          </w:tcPr>
          <w:p w14:paraId="33E79CDB">
            <w:pPr>
              <w:pStyle w:val="33"/>
              <w:rPr>
                <w:color w:val="auto"/>
              </w:rPr>
            </w:pPr>
            <w:r>
              <w:rPr>
                <w:color w:val="auto"/>
              </w:rPr>
              <w:t>GJ</w:t>
            </w:r>
          </w:p>
        </w:tc>
        <w:tc>
          <w:tcPr>
            <w:tcW w:w="1176" w:type="dxa"/>
            <w:vAlign w:val="center"/>
          </w:tcPr>
          <w:p w14:paraId="577943FD">
            <w:pPr>
              <w:pStyle w:val="33"/>
              <w:rPr>
                <w:color w:val="auto"/>
              </w:rPr>
            </w:pPr>
            <w:r>
              <w:rPr>
                <w:color w:val="auto"/>
              </w:rPr>
              <w:t>0.11</w:t>
            </w:r>
          </w:p>
        </w:tc>
        <w:tc>
          <w:tcPr>
            <w:tcW w:w="1334" w:type="dxa"/>
            <w:vAlign w:val="center"/>
          </w:tcPr>
          <w:p w14:paraId="62323738">
            <w:pPr>
              <w:pStyle w:val="33"/>
              <w:rPr>
                <w:color w:val="auto"/>
              </w:rPr>
            </w:pPr>
            <w:r>
              <w:rPr>
                <w:color w:val="auto"/>
              </w:rPr>
              <w:t>tCO</w:t>
            </w:r>
            <w:r>
              <w:rPr>
                <w:color w:val="auto"/>
                <w:vertAlign w:val="subscript"/>
              </w:rPr>
              <w:t>2</w:t>
            </w:r>
            <w:r>
              <w:rPr>
                <w:color w:val="auto"/>
              </w:rPr>
              <w:t>/GJ</w:t>
            </w:r>
          </w:p>
        </w:tc>
        <w:tc>
          <w:tcPr>
            <w:tcW w:w="1347" w:type="dxa"/>
            <w:vAlign w:val="bottom"/>
          </w:tcPr>
          <w:p w14:paraId="3B7D5847">
            <w:pPr>
              <w:pStyle w:val="33"/>
              <w:rPr>
                <w:rFonts w:eastAsia="等线"/>
                <w:color w:val="auto"/>
              </w:rPr>
            </w:pPr>
            <w:r>
              <w:rPr>
                <w:rFonts w:eastAsia="等线"/>
                <w:color w:val="auto"/>
              </w:rPr>
              <w:t>1052971</w:t>
            </w:r>
          </w:p>
        </w:tc>
        <w:tc>
          <w:tcPr>
            <w:tcW w:w="1116" w:type="dxa"/>
            <w:vAlign w:val="bottom"/>
          </w:tcPr>
          <w:p w14:paraId="52B07C13">
            <w:pPr>
              <w:pStyle w:val="33"/>
              <w:rPr>
                <w:rFonts w:eastAsia="等线"/>
                <w:color w:val="auto"/>
              </w:rPr>
            </w:pPr>
            <w:r>
              <w:rPr>
                <w:rFonts w:eastAsia="等线"/>
                <w:color w:val="auto"/>
              </w:rPr>
              <w:t>287174</w:t>
            </w:r>
          </w:p>
        </w:tc>
      </w:tr>
      <w:tr w14:paraId="6ABE7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56" w:type="dxa"/>
          </w:tcPr>
          <w:p w14:paraId="02BF15AC">
            <w:pPr>
              <w:pStyle w:val="33"/>
              <w:rPr>
                <w:color w:val="auto"/>
              </w:rPr>
            </w:pPr>
            <w:r>
              <w:rPr>
                <w:rFonts w:hint="eastAsia"/>
                <w:color w:val="auto"/>
              </w:rPr>
              <w:t>2</w:t>
            </w:r>
          </w:p>
        </w:tc>
        <w:tc>
          <w:tcPr>
            <w:tcW w:w="1728" w:type="dxa"/>
          </w:tcPr>
          <w:p w14:paraId="77AF0933">
            <w:pPr>
              <w:pStyle w:val="33"/>
              <w:rPr>
                <w:color w:val="auto"/>
              </w:rPr>
            </w:pPr>
            <w:r>
              <w:rPr>
                <w:color w:val="auto"/>
              </w:rPr>
              <w:t>蒸汽（13bar）</w:t>
            </w:r>
          </w:p>
        </w:tc>
        <w:tc>
          <w:tcPr>
            <w:tcW w:w="1056" w:type="dxa"/>
            <w:vAlign w:val="center"/>
          </w:tcPr>
          <w:p w14:paraId="1100DFB2">
            <w:pPr>
              <w:pStyle w:val="33"/>
              <w:rPr>
                <w:color w:val="auto"/>
              </w:rPr>
            </w:pPr>
            <w:r>
              <w:rPr>
                <w:color w:val="auto"/>
              </w:rPr>
              <w:t>702113</w:t>
            </w:r>
          </w:p>
        </w:tc>
        <w:tc>
          <w:tcPr>
            <w:tcW w:w="790" w:type="dxa"/>
            <w:vAlign w:val="center"/>
          </w:tcPr>
          <w:p w14:paraId="699264F0">
            <w:pPr>
              <w:pStyle w:val="33"/>
              <w:rPr>
                <w:color w:val="auto"/>
              </w:rPr>
            </w:pPr>
            <w:r>
              <w:rPr>
                <w:color w:val="auto"/>
              </w:rPr>
              <w:t>GJ</w:t>
            </w:r>
          </w:p>
        </w:tc>
        <w:tc>
          <w:tcPr>
            <w:tcW w:w="1176" w:type="dxa"/>
            <w:vAlign w:val="center"/>
          </w:tcPr>
          <w:p w14:paraId="30372AA6">
            <w:pPr>
              <w:pStyle w:val="33"/>
              <w:rPr>
                <w:color w:val="auto"/>
              </w:rPr>
            </w:pPr>
            <w:r>
              <w:rPr>
                <w:color w:val="auto"/>
              </w:rPr>
              <w:t>0.11</w:t>
            </w:r>
          </w:p>
        </w:tc>
        <w:tc>
          <w:tcPr>
            <w:tcW w:w="1334" w:type="dxa"/>
            <w:vAlign w:val="center"/>
          </w:tcPr>
          <w:p w14:paraId="4F6BE584">
            <w:pPr>
              <w:pStyle w:val="33"/>
              <w:rPr>
                <w:color w:val="auto"/>
              </w:rPr>
            </w:pPr>
            <w:r>
              <w:rPr>
                <w:color w:val="auto"/>
              </w:rPr>
              <w:t>tCO</w:t>
            </w:r>
            <w:r>
              <w:rPr>
                <w:color w:val="auto"/>
                <w:vertAlign w:val="subscript"/>
              </w:rPr>
              <w:t>2</w:t>
            </w:r>
            <w:r>
              <w:rPr>
                <w:color w:val="auto"/>
              </w:rPr>
              <w:t>/GJ</w:t>
            </w:r>
          </w:p>
        </w:tc>
        <w:tc>
          <w:tcPr>
            <w:tcW w:w="1347" w:type="dxa"/>
            <w:vAlign w:val="bottom"/>
          </w:tcPr>
          <w:p w14:paraId="7950D02B">
            <w:pPr>
              <w:pStyle w:val="33"/>
              <w:rPr>
                <w:rFonts w:eastAsia="等线"/>
                <w:color w:val="auto"/>
              </w:rPr>
            </w:pPr>
            <w:r>
              <w:rPr>
                <w:rFonts w:eastAsia="等线"/>
                <w:color w:val="auto"/>
              </w:rPr>
              <w:t>77232.4</w:t>
            </w:r>
          </w:p>
        </w:tc>
        <w:tc>
          <w:tcPr>
            <w:tcW w:w="1116" w:type="dxa"/>
            <w:vAlign w:val="bottom"/>
          </w:tcPr>
          <w:p w14:paraId="2C4EEBF2">
            <w:pPr>
              <w:pStyle w:val="33"/>
              <w:rPr>
                <w:rFonts w:eastAsia="等线"/>
                <w:color w:val="auto"/>
              </w:rPr>
            </w:pPr>
            <w:r>
              <w:rPr>
                <w:rFonts w:eastAsia="等线"/>
                <w:color w:val="auto"/>
              </w:rPr>
              <w:t>21063.4</w:t>
            </w:r>
          </w:p>
        </w:tc>
      </w:tr>
      <w:tr w14:paraId="7FE82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456" w:type="dxa"/>
          </w:tcPr>
          <w:p w14:paraId="1FAF84F0">
            <w:pPr>
              <w:pStyle w:val="33"/>
              <w:rPr>
                <w:color w:val="auto"/>
              </w:rPr>
            </w:pPr>
          </w:p>
        </w:tc>
        <w:tc>
          <w:tcPr>
            <w:tcW w:w="1728" w:type="dxa"/>
          </w:tcPr>
          <w:p w14:paraId="2B8BB85D">
            <w:pPr>
              <w:pStyle w:val="33"/>
              <w:rPr>
                <w:color w:val="auto"/>
              </w:rPr>
            </w:pPr>
            <w:r>
              <w:rPr>
                <w:color w:val="auto"/>
              </w:rPr>
              <w:t>合计</w:t>
            </w:r>
          </w:p>
        </w:tc>
        <w:tc>
          <w:tcPr>
            <w:tcW w:w="1056" w:type="dxa"/>
            <w:vAlign w:val="center"/>
          </w:tcPr>
          <w:p w14:paraId="2A2CA513">
            <w:pPr>
              <w:pStyle w:val="33"/>
              <w:rPr>
                <w:color w:val="auto"/>
              </w:rPr>
            </w:pPr>
            <w:r>
              <w:rPr>
                <w:color w:val="auto"/>
              </w:rPr>
              <w:t>—</w:t>
            </w:r>
          </w:p>
        </w:tc>
        <w:tc>
          <w:tcPr>
            <w:tcW w:w="790" w:type="dxa"/>
            <w:vAlign w:val="center"/>
          </w:tcPr>
          <w:p w14:paraId="0DC582DA">
            <w:pPr>
              <w:pStyle w:val="33"/>
              <w:rPr>
                <w:color w:val="auto"/>
              </w:rPr>
            </w:pPr>
            <w:r>
              <w:rPr>
                <w:color w:val="auto"/>
              </w:rPr>
              <w:t>—</w:t>
            </w:r>
          </w:p>
        </w:tc>
        <w:tc>
          <w:tcPr>
            <w:tcW w:w="1176" w:type="dxa"/>
            <w:vAlign w:val="center"/>
          </w:tcPr>
          <w:p w14:paraId="6D399A78">
            <w:pPr>
              <w:pStyle w:val="33"/>
              <w:rPr>
                <w:color w:val="auto"/>
              </w:rPr>
            </w:pPr>
            <w:r>
              <w:rPr>
                <w:color w:val="auto"/>
              </w:rPr>
              <w:t>—</w:t>
            </w:r>
          </w:p>
        </w:tc>
        <w:tc>
          <w:tcPr>
            <w:tcW w:w="1334" w:type="dxa"/>
            <w:vAlign w:val="center"/>
          </w:tcPr>
          <w:p w14:paraId="55E7CD0D">
            <w:pPr>
              <w:pStyle w:val="33"/>
              <w:rPr>
                <w:color w:val="auto"/>
              </w:rPr>
            </w:pPr>
            <w:r>
              <w:rPr>
                <w:color w:val="auto"/>
              </w:rPr>
              <w:t>—</w:t>
            </w:r>
          </w:p>
        </w:tc>
        <w:tc>
          <w:tcPr>
            <w:tcW w:w="1347" w:type="dxa"/>
            <w:vAlign w:val="center"/>
          </w:tcPr>
          <w:p w14:paraId="38B25572">
            <w:pPr>
              <w:pStyle w:val="33"/>
              <w:rPr>
                <w:color w:val="auto"/>
              </w:rPr>
            </w:pPr>
            <w:r>
              <w:rPr>
                <w:color w:val="auto"/>
              </w:rPr>
              <w:t>—</w:t>
            </w:r>
          </w:p>
        </w:tc>
        <w:tc>
          <w:tcPr>
            <w:tcW w:w="1116" w:type="dxa"/>
            <w:vAlign w:val="center"/>
          </w:tcPr>
          <w:p w14:paraId="2C84DB92">
            <w:pPr>
              <w:pStyle w:val="33"/>
              <w:rPr>
                <w:color w:val="auto"/>
              </w:rPr>
            </w:pPr>
            <w:r>
              <w:rPr>
                <w:rFonts w:hint="eastAsia"/>
                <w:color w:val="auto"/>
              </w:rPr>
              <w:t>308237.4</w:t>
            </w:r>
          </w:p>
        </w:tc>
      </w:tr>
    </w:tbl>
    <w:p w14:paraId="1692E93B">
      <w:pPr>
        <w:pStyle w:val="5"/>
        <w:rPr>
          <w:color w:val="auto"/>
        </w:rPr>
      </w:pPr>
      <w:r>
        <w:rPr>
          <w:rFonts w:hint="eastAsia"/>
          <w:color w:val="auto"/>
        </w:rPr>
        <w:t>碳排放量汇总</w:t>
      </w:r>
    </w:p>
    <w:p w14:paraId="1D0A3BFA">
      <w:pPr>
        <w:ind w:firstLine="480"/>
        <w:rPr>
          <w:color w:val="auto"/>
        </w:rPr>
      </w:pPr>
      <w:r>
        <w:rPr>
          <w:rFonts w:hint="eastAsia"/>
          <w:color w:val="auto"/>
        </w:rPr>
        <w:t>根据上述计算结果汇总，本项目二氧化碳源强核算结果</w:t>
      </w:r>
      <w:r>
        <w:rPr>
          <w:color w:val="auto"/>
        </w:rPr>
        <w:t>详见表6.2-</w:t>
      </w:r>
      <w:r>
        <w:rPr>
          <w:rFonts w:hint="eastAsia"/>
          <w:color w:val="auto"/>
        </w:rPr>
        <w:t>6。</w:t>
      </w:r>
    </w:p>
    <w:p w14:paraId="2CAB9A7F">
      <w:pPr>
        <w:pStyle w:val="7"/>
        <w:rPr>
          <w:color w:val="auto"/>
        </w:rPr>
      </w:pPr>
      <w:r>
        <w:rPr>
          <w:color w:val="auto"/>
        </w:rPr>
        <w:t>项目产生二氧化碳汇总  单位：tCO</w:t>
      </w:r>
      <w:r>
        <w:rPr>
          <w:color w:val="auto"/>
          <w:vertAlign w:val="subscript"/>
        </w:rPr>
        <w:t>2</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94"/>
        <w:gridCol w:w="1279"/>
        <w:gridCol w:w="1425"/>
        <w:gridCol w:w="1423"/>
        <w:gridCol w:w="1281"/>
        <w:gridCol w:w="1565"/>
        <w:gridCol w:w="1133"/>
      </w:tblGrid>
      <w:tr w14:paraId="31157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4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4E52C836">
            <w:pPr>
              <w:pStyle w:val="33"/>
              <w:rPr>
                <w:color w:val="auto"/>
              </w:rPr>
            </w:pPr>
            <w:r>
              <w:rPr>
                <w:rFonts w:hint="eastAsia"/>
                <w:color w:val="auto"/>
              </w:rPr>
              <w:t>名称</w:t>
            </w:r>
          </w:p>
        </w:tc>
        <w:tc>
          <w:tcPr>
            <w:tcW w:w="703"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58D7A3CC">
            <w:pPr>
              <w:pStyle w:val="33"/>
              <w:rPr>
                <w:color w:val="auto"/>
              </w:rPr>
            </w:pPr>
            <w:r>
              <w:rPr>
                <w:rFonts w:hint="eastAsia"/>
                <w:color w:val="auto"/>
              </w:rPr>
              <w:t>化石燃料</w:t>
            </w:r>
          </w:p>
        </w:tc>
        <w:tc>
          <w:tcPr>
            <w:tcW w:w="783" w:type="pct"/>
            <w:vAlign w:val="center"/>
          </w:tcPr>
          <w:p w14:paraId="63B39D54">
            <w:pPr>
              <w:pStyle w:val="33"/>
              <w:rPr>
                <w:color w:val="auto"/>
              </w:rPr>
            </w:pPr>
            <w:r>
              <w:rPr>
                <w:rFonts w:hint="eastAsia"/>
                <w:color w:val="auto"/>
              </w:rPr>
              <w:t>过程排放</w:t>
            </w:r>
          </w:p>
        </w:tc>
        <w:tc>
          <w:tcPr>
            <w:tcW w:w="782" w:type="pct"/>
            <w:vAlign w:val="center"/>
          </w:tcPr>
          <w:p w14:paraId="7CA77FA5">
            <w:pPr>
              <w:pStyle w:val="33"/>
              <w:rPr>
                <w:color w:val="auto"/>
              </w:rPr>
            </w:pPr>
            <w:r>
              <w:rPr>
                <w:rFonts w:hint="eastAsia"/>
                <w:color w:val="auto"/>
              </w:rPr>
              <w:t>净购入电力</w:t>
            </w:r>
          </w:p>
        </w:tc>
        <w:tc>
          <w:tcPr>
            <w:tcW w:w="704" w:type="pct"/>
            <w:vAlign w:val="center"/>
          </w:tcPr>
          <w:p w14:paraId="40D8DEDE">
            <w:pPr>
              <w:pStyle w:val="33"/>
              <w:rPr>
                <w:color w:val="auto"/>
              </w:rPr>
            </w:pPr>
            <w:r>
              <w:rPr>
                <w:rFonts w:hint="eastAsia"/>
                <w:color w:val="auto"/>
              </w:rPr>
              <w:t>净购入热力</w:t>
            </w:r>
          </w:p>
        </w:tc>
        <w:tc>
          <w:tcPr>
            <w:tcW w:w="860" w:type="pct"/>
            <w:vAlign w:val="center"/>
          </w:tcPr>
          <w:p w14:paraId="5AEAC34A">
            <w:pPr>
              <w:pStyle w:val="33"/>
              <w:rPr>
                <w:color w:val="auto"/>
              </w:rPr>
            </w:pPr>
            <w:r>
              <w:rPr>
                <w:rFonts w:hint="eastAsia"/>
                <w:color w:val="auto"/>
              </w:rPr>
              <w:t>废水厌氧处理</w:t>
            </w:r>
          </w:p>
        </w:tc>
        <w:tc>
          <w:tcPr>
            <w:tcW w:w="622"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vAlign w:val="center"/>
          </w:tcPr>
          <w:p w14:paraId="7B52C326">
            <w:pPr>
              <w:pStyle w:val="33"/>
              <w:rPr>
                <w:color w:val="auto"/>
              </w:rPr>
            </w:pPr>
            <w:r>
              <w:rPr>
                <w:rFonts w:hint="eastAsia"/>
                <w:color w:val="auto"/>
              </w:rPr>
              <w:t>合计</w:t>
            </w:r>
          </w:p>
        </w:tc>
      </w:tr>
      <w:tr w14:paraId="63237D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546" w:type="pct"/>
            <w:tcBorders>
              <w:top w:val="single" w:color="auto" w:sz="4" w:space="0"/>
              <w:left w:val="single" w:color="auto" w:sz="4" w:space="0"/>
              <w:bottom w:val="single" w:color="auto" w:sz="4" w:space="0"/>
              <w:right w:val="single" w:color="auto" w:sz="4" w:space="0"/>
            </w:tcBorders>
            <w:tcMar>
              <w:top w:w="15" w:type="dxa"/>
              <w:left w:w="15" w:type="dxa"/>
              <w:bottom w:w="0" w:type="dxa"/>
              <w:right w:w="15" w:type="dxa"/>
            </w:tcMar>
            <w:vAlign w:val="center"/>
          </w:tcPr>
          <w:p w14:paraId="2086B6E0">
            <w:pPr>
              <w:pStyle w:val="33"/>
              <w:rPr>
                <w:color w:val="auto"/>
              </w:rPr>
            </w:pPr>
            <w:r>
              <w:rPr>
                <w:rFonts w:hint="eastAsia"/>
                <w:color w:val="auto"/>
              </w:rPr>
              <w:t>本项目</w:t>
            </w:r>
          </w:p>
        </w:tc>
        <w:tc>
          <w:tcPr>
            <w:tcW w:w="703"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tcPr>
          <w:p w14:paraId="6B226DB7">
            <w:pPr>
              <w:pStyle w:val="33"/>
              <w:rPr>
                <w:color w:val="auto"/>
              </w:rPr>
            </w:pPr>
            <w:r>
              <w:rPr>
                <w:color w:val="auto"/>
              </w:rPr>
              <w:t>46216.79</w:t>
            </w:r>
          </w:p>
        </w:tc>
        <w:tc>
          <w:tcPr>
            <w:tcW w:w="783" w:type="pct"/>
          </w:tcPr>
          <w:p w14:paraId="22D7E41E">
            <w:pPr>
              <w:pStyle w:val="33"/>
              <w:rPr>
                <w:color w:val="auto"/>
              </w:rPr>
            </w:pPr>
            <w:r>
              <w:rPr>
                <w:color w:val="auto"/>
              </w:rPr>
              <w:t>0</w:t>
            </w:r>
          </w:p>
        </w:tc>
        <w:tc>
          <w:tcPr>
            <w:tcW w:w="782" w:type="pct"/>
          </w:tcPr>
          <w:p w14:paraId="4F571642">
            <w:pPr>
              <w:pStyle w:val="33"/>
              <w:rPr>
                <w:color w:val="auto"/>
              </w:rPr>
            </w:pPr>
            <w:r>
              <w:rPr>
                <w:color w:val="auto"/>
              </w:rPr>
              <w:t>560619</w:t>
            </w:r>
          </w:p>
        </w:tc>
        <w:tc>
          <w:tcPr>
            <w:tcW w:w="704" w:type="pct"/>
          </w:tcPr>
          <w:p w14:paraId="5AFDC721">
            <w:pPr>
              <w:pStyle w:val="33"/>
              <w:rPr>
                <w:color w:val="auto"/>
              </w:rPr>
            </w:pPr>
            <w:r>
              <w:rPr>
                <w:color w:val="auto"/>
              </w:rPr>
              <w:t>308237.4</w:t>
            </w:r>
          </w:p>
        </w:tc>
        <w:tc>
          <w:tcPr>
            <w:tcW w:w="860" w:type="pct"/>
          </w:tcPr>
          <w:p w14:paraId="54CD1F12">
            <w:pPr>
              <w:pStyle w:val="33"/>
              <w:rPr>
                <w:color w:val="auto"/>
              </w:rPr>
            </w:pPr>
            <w:r>
              <w:rPr>
                <w:color w:val="auto"/>
              </w:rPr>
              <w:t>0</w:t>
            </w:r>
          </w:p>
        </w:tc>
        <w:tc>
          <w:tcPr>
            <w:tcW w:w="622" w:type="pct"/>
            <w:tcBorders>
              <w:top w:val="single" w:color="auto" w:sz="4" w:space="0"/>
              <w:left w:val="single" w:color="auto" w:sz="4" w:space="0"/>
              <w:bottom w:val="single" w:color="auto" w:sz="4" w:space="0"/>
              <w:right w:val="single" w:color="auto" w:sz="4" w:space="0"/>
            </w:tcBorders>
            <w:noWrap/>
            <w:tcMar>
              <w:top w:w="15" w:type="dxa"/>
              <w:left w:w="15" w:type="dxa"/>
              <w:bottom w:w="0" w:type="dxa"/>
              <w:right w:w="15" w:type="dxa"/>
            </w:tcMar>
          </w:tcPr>
          <w:p w14:paraId="5C2DC676">
            <w:pPr>
              <w:pStyle w:val="33"/>
              <w:rPr>
                <w:color w:val="auto"/>
              </w:rPr>
            </w:pPr>
            <w:r>
              <w:rPr>
                <w:color w:val="auto"/>
              </w:rPr>
              <w:t>915073.19</w:t>
            </w:r>
          </w:p>
        </w:tc>
      </w:tr>
    </w:tbl>
    <w:p w14:paraId="5F70F73F">
      <w:pPr>
        <w:ind w:firstLine="480"/>
        <w:rPr>
          <w:color w:val="auto"/>
        </w:rPr>
      </w:pPr>
    </w:p>
    <w:p w14:paraId="5FA7D34E">
      <w:pPr>
        <w:ind w:firstLine="480"/>
        <w:rPr>
          <w:color w:val="auto"/>
        </w:rPr>
      </w:pPr>
      <w:r>
        <w:rPr>
          <w:rFonts w:hint="eastAsia"/>
          <w:color w:val="auto"/>
        </w:rPr>
        <w:t>本项目不属于高排放、高污染项目，不属于“两高”行业，根据《关于开展重点行业建设项目碳排放环境影响评价试点的通知》（环办环评函〔2021〕346号）及其附件2《重点行业建设项目碳排放环境影响评价试点技术指南（试行）》、《广西壮族自治区生态环境厅关于推进碳排放环境影响评价工作的通知》（桂环函〔2021〕1693号），本项目不对碳排放情况进行评价。</w:t>
      </w:r>
    </w:p>
    <w:p w14:paraId="04D12EB2">
      <w:pPr>
        <w:ind w:firstLine="480"/>
        <w:rPr>
          <w:color w:val="auto"/>
        </w:rPr>
      </w:pPr>
    </w:p>
    <w:p w14:paraId="011A2307">
      <w:pPr>
        <w:ind w:firstLine="480"/>
        <w:rPr>
          <w:color w:val="auto"/>
          <w:lang w:val="zh-CN"/>
        </w:rPr>
        <w:sectPr>
          <w:pgSz w:w="11906" w:h="16838"/>
          <w:pgMar w:top="1418" w:right="1418" w:bottom="1418" w:left="1418" w:header="851" w:footer="992" w:gutter="0"/>
          <w:cols w:space="425" w:num="1"/>
          <w:docGrid w:type="lines" w:linePitch="312" w:charSpace="0"/>
        </w:sectPr>
      </w:pPr>
    </w:p>
    <w:p w14:paraId="5AE72855">
      <w:pPr>
        <w:pStyle w:val="2"/>
        <w:rPr>
          <w:color w:val="auto"/>
        </w:rPr>
      </w:pPr>
      <w:bookmarkStart w:id="524" w:name="_Toc225216829"/>
      <w:bookmarkStart w:id="525" w:name="_Toc6665167"/>
      <w:bookmarkStart w:id="526" w:name="_Toc221355735"/>
      <w:r>
        <w:rPr>
          <w:rFonts w:hint="eastAsia"/>
          <w:color w:val="auto"/>
        </w:rPr>
        <w:t>环境风险评价</w:t>
      </w:r>
      <w:bookmarkEnd w:id="524"/>
      <w:bookmarkEnd w:id="525"/>
      <w:bookmarkEnd w:id="526"/>
    </w:p>
    <w:p w14:paraId="760AA60F">
      <w:pPr>
        <w:pStyle w:val="3"/>
        <w:rPr>
          <w:rFonts w:cs="Times New Roman"/>
          <w:color w:val="auto"/>
        </w:rPr>
      </w:pPr>
      <w:bookmarkStart w:id="527" w:name="_Toc221355736"/>
      <w:bookmarkStart w:id="528" w:name="_Toc225216830"/>
      <w:bookmarkStart w:id="529" w:name="_Toc27622"/>
      <w:r>
        <w:rPr>
          <w:rFonts w:cs="Times New Roman"/>
          <w:color w:val="auto"/>
        </w:rPr>
        <w:t>现有工程环境风险回顾性评价</w:t>
      </w:r>
      <w:bookmarkEnd w:id="527"/>
      <w:bookmarkEnd w:id="528"/>
      <w:bookmarkEnd w:id="529"/>
    </w:p>
    <w:p w14:paraId="11919140">
      <w:pPr>
        <w:pStyle w:val="4"/>
        <w:rPr>
          <w:rFonts w:cs="Times New Roman"/>
          <w:color w:val="auto"/>
        </w:rPr>
      </w:pPr>
      <w:bookmarkStart w:id="530" w:name="_Toc225216831"/>
      <w:r>
        <w:rPr>
          <w:rFonts w:cs="Times New Roman"/>
          <w:color w:val="auto"/>
        </w:rPr>
        <w:t>现有工程风险识别</w:t>
      </w:r>
      <w:bookmarkEnd w:id="530"/>
    </w:p>
    <w:p w14:paraId="187E0B36">
      <w:pPr>
        <w:pStyle w:val="5"/>
        <w:rPr>
          <w:rFonts w:cs="Times New Roman"/>
          <w:color w:val="auto"/>
        </w:rPr>
      </w:pPr>
      <w:r>
        <w:rPr>
          <w:rFonts w:cs="Times New Roman"/>
          <w:color w:val="auto"/>
        </w:rPr>
        <w:t>物质风险识别</w:t>
      </w:r>
    </w:p>
    <w:p w14:paraId="3680CA9E">
      <w:pPr>
        <w:ind w:firstLine="480"/>
        <w:rPr>
          <w:rFonts w:cs="Times New Roman"/>
          <w:color w:val="auto"/>
        </w:rPr>
      </w:pPr>
      <w:r>
        <w:rPr>
          <w:rFonts w:cs="Times New Roman"/>
          <w:color w:val="auto"/>
        </w:rPr>
        <w:t>根据企业生产实际运营情况，企业现有厂区内涉及的环境危险物质主要有</w:t>
      </w:r>
      <w:r>
        <w:rPr>
          <w:rFonts w:hint="eastAsia" w:cs="Times New Roman"/>
          <w:color w:val="auto"/>
        </w:rPr>
        <w:t>液氨</w:t>
      </w:r>
      <w:r>
        <w:rPr>
          <w:rFonts w:cs="Times New Roman"/>
          <w:color w:val="auto"/>
        </w:rPr>
        <w:t>、27.5%双氧水、</w:t>
      </w:r>
      <w:r>
        <w:rPr>
          <w:rFonts w:hint="eastAsia" w:cs="Times New Roman"/>
          <w:color w:val="auto"/>
        </w:rPr>
        <w:t>盐酸、</w:t>
      </w:r>
      <w:r>
        <w:rPr>
          <w:rFonts w:cs="Times New Roman"/>
          <w:color w:val="auto"/>
        </w:rPr>
        <w:t>浓硫酸、</w:t>
      </w:r>
      <w:r>
        <w:rPr>
          <w:rFonts w:hint="eastAsia" w:cs="Times New Roman"/>
          <w:color w:val="auto"/>
        </w:rPr>
        <w:t>乙酸</w:t>
      </w:r>
      <w:r>
        <w:rPr>
          <w:rFonts w:cs="Times New Roman"/>
          <w:color w:val="auto"/>
        </w:rPr>
        <w:t>、</w:t>
      </w:r>
      <w:r>
        <w:rPr>
          <w:rFonts w:hint="eastAsia"/>
          <w:color w:val="auto"/>
          <w:spacing w:val="4"/>
        </w:rPr>
        <w:t>氢氧化钠</w:t>
      </w:r>
      <w:r>
        <w:rPr>
          <w:rFonts w:cs="Times New Roman"/>
          <w:color w:val="auto"/>
        </w:rPr>
        <w:t>、</w:t>
      </w:r>
      <w:r>
        <w:rPr>
          <w:rFonts w:hint="eastAsia" w:cs="Times New Roman"/>
          <w:color w:val="auto"/>
        </w:rPr>
        <w:t>黑液、废机</w:t>
      </w:r>
      <w:r>
        <w:rPr>
          <w:rFonts w:cs="Times New Roman"/>
          <w:color w:val="auto"/>
        </w:rPr>
        <w:t>油等，具体情况如下：</w:t>
      </w:r>
    </w:p>
    <w:p w14:paraId="05E9EB7D">
      <w:pPr>
        <w:pStyle w:val="7"/>
        <w:rPr>
          <w:color w:val="auto"/>
        </w:rPr>
      </w:pPr>
      <w:r>
        <w:rPr>
          <w:rFonts w:hint="eastAsia"/>
          <w:color w:val="auto"/>
        </w:rPr>
        <w:t>现有</w:t>
      </w:r>
      <w:r>
        <w:rPr>
          <w:color w:val="auto"/>
        </w:rPr>
        <w:t>风险物质识别情况表</w:t>
      </w:r>
    </w:p>
    <w:tbl>
      <w:tblPr>
        <w:tblStyle w:val="26"/>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635"/>
        <w:gridCol w:w="2664"/>
        <w:gridCol w:w="1939"/>
        <w:gridCol w:w="1358"/>
        <w:gridCol w:w="1358"/>
        <w:gridCol w:w="1334"/>
      </w:tblGrid>
      <w:tr w14:paraId="3B113D7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29" w:hRule="atLeast"/>
          <w:tblHeader/>
        </w:trPr>
        <w:tc>
          <w:tcPr>
            <w:tcW w:w="342" w:type="pct"/>
            <w:tcBorders>
              <w:top w:val="single" w:color="000000" w:sz="2" w:space="0"/>
              <w:left w:val="single" w:color="000000" w:sz="2" w:space="0"/>
              <w:bottom w:val="single" w:color="000000" w:sz="2" w:space="0"/>
              <w:right w:val="single" w:color="000000" w:sz="2" w:space="0"/>
            </w:tcBorders>
            <w:vAlign w:val="center"/>
          </w:tcPr>
          <w:p w14:paraId="79FBD6F3">
            <w:pPr>
              <w:pStyle w:val="33"/>
              <w:rPr>
                <w:color w:val="auto"/>
              </w:rPr>
            </w:pPr>
            <w:r>
              <w:rPr>
                <w:rFonts w:hint="eastAsia"/>
                <w:color w:val="auto"/>
              </w:rPr>
              <w:t>类 别</w:t>
            </w:r>
          </w:p>
        </w:tc>
        <w:tc>
          <w:tcPr>
            <w:tcW w:w="1434" w:type="pct"/>
            <w:tcBorders>
              <w:top w:val="single" w:color="000000" w:sz="2" w:space="0"/>
              <w:left w:val="single" w:color="000000" w:sz="2" w:space="0"/>
              <w:bottom w:val="single" w:color="000000" w:sz="2" w:space="0"/>
              <w:right w:val="single" w:color="000000" w:sz="2" w:space="0"/>
            </w:tcBorders>
            <w:vAlign w:val="center"/>
          </w:tcPr>
          <w:p w14:paraId="4D721F7D">
            <w:pPr>
              <w:pStyle w:val="33"/>
              <w:rPr>
                <w:color w:val="auto"/>
              </w:rPr>
            </w:pPr>
            <w:r>
              <w:rPr>
                <w:rFonts w:hint="eastAsia"/>
                <w:color w:val="auto"/>
              </w:rPr>
              <w:t>风险单元</w:t>
            </w:r>
          </w:p>
        </w:tc>
        <w:tc>
          <w:tcPr>
            <w:tcW w:w="1044" w:type="pct"/>
            <w:tcBorders>
              <w:top w:val="single" w:color="000000" w:sz="2" w:space="0"/>
              <w:left w:val="single" w:color="000000" w:sz="2" w:space="0"/>
              <w:bottom w:val="single" w:color="000000" w:sz="2" w:space="0"/>
              <w:right w:val="single" w:color="000000" w:sz="2" w:space="0"/>
            </w:tcBorders>
            <w:vAlign w:val="center"/>
          </w:tcPr>
          <w:p w14:paraId="2E2ED7F3">
            <w:pPr>
              <w:pStyle w:val="33"/>
              <w:rPr>
                <w:color w:val="auto"/>
              </w:rPr>
            </w:pPr>
            <w:r>
              <w:rPr>
                <w:rFonts w:hint="eastAsia"/>
                <w:color w:val="auto"/>
              </w:rPr>
              <w:t>风险物质</w:t>
            </w:r>
          </w:p>
        </w:tc>
        <w:tc>
          <w:tcPr>
            <w:tcW w:w="731" w:type="pct"/>
            <w:tcBorders>
              <w:top w:val="single" w:color="000000" w:sz="2" w:space="0"/>
              <w:left w:val="single" w:color="000000" w:sz="2" w:space="0"/>
              <w:bottom w:val="single" w:color="000000" w:sz="2" w:space="0"/>
              <w:right w:val="single" w:color="000000" w:sz="2" w:space="0"/>
            </w:tcBorders>
            <w:vAlign w:val="center"/>
          </w:tcPr>
          <w:p w14:paraId="561F6170">
            <w:pPr>
              <w:pStyle w:val="33"/>
              <w:rPr>
                <w:color w:val="auto"/>
              </w:rPr>
            </w:pPr>
            <w:r>
              <w:rPr>
                <w:rFonts w:hint="eastAsia"/>
                <w:color w:val="auto"/>
              </w:rPr>
              <w:t>储存方式</w:t>
            </w:r>
          </w:p>
        </w:tc>
        <w:tc>
          <w:tcPr>
            <w:tcW w:w="731" w:type="pct"/>
            <w:tcBorders>
              <w:top w:val="single" w:color="000000" w:sz="2" w:space="0"/>
              <w:left w:val="single" w:color="000000" w:sz="2" w:space="0"/>
              <w:bottom w:val="single" w:color="000000" w:sz="2" w:space="0"/>
              <w:right w:val="single" w:color="000000" w:sz="2" w:space="0"/>
            </w:tcBorders>
            <w:vAlign w:val="center"/>
          </w:tcPr>
          <w:p w14:paraId="0CE9EF91">
            <w:pPr>
              <w:pStyle w:val="33"/>
              <w:rPr>
                <w:color w:val="auto"/>
              </w:rPr>
            </w:pPr>
            <w:r>
              <w:rPr>
                <w:rFonts w:hint="eastAsia"/>
                <w:color w:val="auto"/>
              </w:rPr>
              <w:t>最大储存量（t）</w:t>
            </w:r>
          </w:p>
        </w:tc>
        <w:tc>
          <w:tcPr>
            <w:tcW w:w="718" w:type="pct"/>
            <w:tcBorders>
              <w:top w:val="single" w:color="000000" w:sz="2" w:space="0"/>
              <w:left w:val="single" w:color="000000" w:sz="2" w:space="0"/>
              <w:bottom w:val="single" w:color="000000" w:sz="2" w:space="0"/>
              <w:right w:val="single" w:color="000000" w:sz="2" w:space="0"/>
            </w:tcBorders>
            <w:vAlign w:val="center"/>
          </w:tcPr>
          <w:p w14:paraId="0598340B">
            <w:pPr>
              <w:pStyle w:val="33"/>
              <w:rPr>
                <w:color w:val="auto"/>
              </w:rPr>
            </w:pPr>
            <w:r>
              <w:rPr>
                <w:rFonts w:hint="eastAsia"/>
                <w:color w:val="auto"/>
              </w:rPr>
              <w:t>环境风险</w:t>
            </w:r>
          </w:p>
        </w:tc>
      </w:tr>
      <w:tr w14:paraId="21D28F5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59" w:hRule="atLeast"/>
        </w:trPr>
        <w:tc>
          <w:tcPr>
            <w:tcW w:w="342" w:type="pct"/>
            <w:vMerge w:val="restart"/>
            <w:tcBorders>
              <w:top w:val="nil"/>
              <w:left w:val="single" w:color="000000" w:sz="2" w:space="0"/>
              <w:right w:val="single" w:color="000000" w:sz="2" w:space="0"/>
            </w:tcBorders>
            <w:vAlign w:val="center"/>
          </w:tcPr>
          <w:p w14:paraId="1F701CA2">
            <w:pPr>
              <w:pStyle w:val="33"/>
              <w:rPr>
                <w:color w:val="auto"/>
              </w:rPr>
            </w:pPr>
            <w:r>
              <w:rPr>
                <w:rFonts w:hint="eastAsia"/>
                <w:color w:val="auto"/>
              </w:rPr>
              <w:t>一般风险物质</w:t>
            </w:r>
          </w:p>
        </w:tc>
        <w:tc>
          <w:tcPr>
            <w:tcW w:w="1434" w:type="pct"/>
            <w:tcBorders>
              <w:top w:val="single" w:color="000000" w:sz="2" w:space="0"/>
              <w:left w:val="single" w:color="000000" w:sz="2" w:space="0"/>
              <w:bottom w:val="single" w:color="000000" w:sz="2" w:space="0"/>
              <w:right w:val="single" w:color="000000" w:sz="2" w:space="0"/>
            </w:tcBorders>
            <w:vAlign w:val="center"/>
          </w:tcPr>
          <w:p w14:paraId="2B0725E1">
            <w:pPr>
              <w:pStyle w:val="33"/>
              <w:rPr>
                <w:color w:val="auto"/>
              </w:rPr>
            </w:pPr>
            <w:r>
              <w:rPr>
                <w:rFonts w:hint="eastAsia"/>
                <w:color w:val="auto"/>
              </w:rPr>
              <w:t>热电厂氨站</w:t>
            </w:r>
          </w:p>
        </w:tc>
        <w:tc>
          <w:tcPr>
            <w:tcW w:w="1044" w:type="pct"/>
            <w:tcBorders>
              <w:top w:val="single" w:color="000000" w:sz="2" w:space="0"/>
              <w:left w:val="single" w:color="000000" w:sz="2" w:space="0"/>
              <w:bottom w:val="single" w:color="000000" w:sz="2" w:space="0"/>
              <w:right w:val="single" w:color="000000" w:sz="2" w:space="0"/>
            </w:tcBorders>
            <w:vAlign w:val="center"/>
          </w:tcPr>
          <w:p w14:paraId="4C44F6F7">
            <w:pPr>
              <w:pStyle w:val="33"/>
              <w:rPr>
                <w:color w:val="auto"/>
              </w:rPr>
            </w:pPr>
            <w:r>
              <w:rPr>
                <w:rFonts w:hint="eastAsia"/>
                <w:color w:val="auto"/>
              </w:rPr>
              <w:t>液氨</w:t>
            </w:r>
          </w:p>
        </w:tc>
        <w:tc>
          <w:tcPr>
            <w:tcW w:w="731" w:type="pct"/>
            <w:tcBorders>
              <w:top w:val="single" w:color="000000" w:sz="2" w:space="0"/>
              <w:left w:val="single" w:color="000000" w:sz="2" w:space="0"/>
              <w:bottom w:val="single" w:color="000000" w:sz="2" w:space="0"/>
              <w:right w:val="single" w:color="000000" w:sz="2" w:space="0"/>
            </w:tcBorders>
            <w:vAlign w:val="center"/>
          </w:tcPr>
          <w:p w14:paraId="0CC32D7D">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36B4BA06">
            <w:pPr>
              <w:pStyle w:val="33"/>
              <w:rPr>
                <w:color w:val="auto"/>
              </w:rPr>
            </w:pPr>
            <w:r>
              <w:rPr>
                <w:rFonts w:hint="eastAsia"/>
                <w:color w:val="auto"/>
              </w:rPr>
              <w:t>30</w:t>
            </w:r>
          </w:p>
        </w:tc>
        <w:tc>
          <w:tcPr>
            <w:tcW w:w="718" w:type="pct"/>
            <w:tcBorders>
              <w:top w:val="single" w:color="000000" w:sz="2" w:space="0"/>
              <w:left w:val="single" w:color="000000" w:sz="2" w:space="0"/>
              <w:bottom w:val="single" w:color="000000" w:sz="2" w:space="0"/>
              <w:right w:val="single" w:color="000000" w:sz="2" w:space="0"/>
            </w:tcBorders>
            <w:vAlign w:val="center"/>
          </w:tcPr>
          <w:p w14:paraId="4E515910">
            <w:pPr>
              <w:pStyle w:val="33"/>
              <w:rPr>
                <w:color w:val="auto"/>
              </w:rPr>
            </w:pPr>
            <w:r>
              <w:rPr>
                <w:rFonts w:hint="eastAsia"/>
                <w:color w:val="auto"/>
              </w:rPr>
              <w:t>泄漏</w:t>
            </w:r>
          </w:p>
        </w:tc>
      </w:tr>
      <w:tr w14:paraId="4ECFAC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76" w:hRule="atLeast"/>
        </w:trPr>
        <w:tc>
          <w:tcPr>
            <w:tcW w:w="342" w:type="pct"/>
            <w:vMerge w:val="continue"/>
            <w:tcBorders>
              <w:left w:val="single" w:color="000000" w:sz="2" w:space="0"/>
              <w:right w:val="single" w:color="000000" w:sz="2" w:space="0"/>
            </w:tcBorders>
            <w:vAlign w:val="center"/>
          </w:tcPr>
          <w:p w14:paraId="25D18586">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71FC30C1">
            <w:pPr>
              <w:pStyle w:val="33"/>
              <w:rPr>
                <w:color w:val="auto"/>
              </w:rPr>
            </w:pPr>
            <w:r>
              <w:rPr>
                <w:rFonts w:hint="eastAsia"/>
                <w:color w:val="auto"/>
              </w:rPr>
              <w:t>双氧水车间、制浆车间储罐区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72E75C76">
            <w:pPr>
              <w:pStyle w:val="33"/>
              <w:rPr>
                <w:color w:val="auto"/>
              </w:rPr>
            </w:pPr>
            <w:r>
              <w:rPr>
                <w:rFonts w:hint="eastAsia"/>
                <w:color w:val="auto"/>
              </w:rPr>
              <w:t>过氧化氢（浓度27.5%）</w:t>
            </w:r>
          </w:p>
        </w:tc>
        <w:tc>
          <w:tcPr>
            <w:tcW w:w="731" w:type="pct"/>
            <w:tcBorders>
              <w:top w:val="single" w:color="000000" w:sz="2" w:space="0"/>
              <w:left w:val="single" w:color="000000" w:sz="2" w:space="0"/>
              <w:bottom w:val="single" w:color="000000" w:sz="2" w:space="0"/>
              <w:right w:val="single" w:color="000000" w:sz="2" w:space="0"/>
            </w:tcBorders>
            <w:vAlign w:val="center"/>
          </w:tcPr>
          <w:p w14:paraId="30D320EA">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2EA28933">
            <w:pPr>
              <w:pStyle w:val="33"/>
              <w:rPr>
                <w:color w:val="auto"/>
              </w:rPr>
            </w:pPr>
            <w:r>
              <w:rPr>
                <w:rFonts w:hint="eastAsia"/>
                <w:color w:val="auto"/>
              </w:rPr>
              <w:t>4200</w:t>
            </w:r>
          </w:p>
        </w:tc>
        <w:tc>
          <w:tcPr>
            <w:tcW w:w="718" w:type="pct"/>
            <w:tcBorders>
              <w:top w:val="single" w:color="000000" w:sz="2" w:space="0"/>
              <w:left w:val="single" w:color="000000" w:sz="2" w:space="0"/>
              <w:bottom w:val="single" w:color="000000" w:sz="2" w:space="0"/>
              <w:right w:val="single" w:color="000000" w:sz="2" w:space="0"/>
            </w:tcBorders>
            <w:vAlign w:val="center"/>
          </w:tcPr>
          <w:p w14:paraId="2C763B5A">
            <w:pPr>
              <w:pStyle w:val="33"/>
              <w:rPr>
                <w:color w:val="auto"/>
              </w:rPr>
            </w:pPr>
            <w:r>
              <w:rPr>
                <w:rFonts w:hint="eastAsia"/>
                <w:color w:val="auto"/>
              </w:rPr>
              <w:t>泄漏</w:t>
            </w:r>
          </w:p>
        </w:tc>
      </w:tr>
      <w:tr w14:paraId="4C1C66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43" w:hRule="atLeast"/>
        </w:trPr>
        <w:tc>
          <w:tcPr>
            <w:tcW w:w="342" w:type="pct"/>
            <w:vMerge w:val="continue"/>
            <w:tcBorders>
              <w:left w:val="single" w:color="000000" w:sz="2" w:space="0"/>
              <w:right w:val="single" w:color="000000" w:sz="2" w:space="0"/>
            </w:tcBorders>
            <w:vAlign w:val="center"/>
          </w:tcPr>
          <w:p w14:paraId="101F9561">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26B276BE">
            <w:pPr>
              <w:pStyle w:val="33"/>
              <w:rPr>
                <w:color w:val="auto"/>
              </w:rPr>
            </w:pPr>
            <w:r>
              <w:rPr>
                <w:rFonts w:hint="eastAsia"/>
                <w:color w:val="auto"/>
              </w:rPr>
              <w:t>污水处理车间储罐区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27821BF6">
            <w:pPr>
              <w:pStyle w:val="33"/>
              <w:rPr>
                <w:color w:val="auto"/>
              </w:rPr>
            </w:pPr>
            <w:r>
              <w:rPr>
                <w:rFonts w:hint="eastAsia"/>
                <w:color w:val="auto"/>
              </w:rPr>
              <w:t>盐酸（浓度31%）</w:t>
            </w:r>
          </w:p>
        </w:tc>
        <w:tc>
          <w:tcPr>
            <w:tcW w:w="731" w:type="pct"/>
            <w:tcBorders>
              <w:top w:val="single" w:color="000000" w:sz="2" w:space="0"/>
              <w:left w:val="single" w:color="000000" w:sz="2" w:space="0"/>
              <w:bottom w:val="single" w:color="000000" w:sz="2" w:space="0"/>
              <w:right w:val="single" w:color="000000" w:sz="2" w:space="0"/>
            </w:tcBorders>
            <w:vAlign w:val="center"/>
          </w:tcPr>
          <w:p w14:paraId="4577640A">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1045ABE7">
            <w:pPr>
              <w:pStyle w:val="33"/>
              <w:rPr>
                <w:color w:val="auto"/>
              </w:rPr>
            </w:pPr>
            <w:r>
              <w:rPr>
                <w:rFonts w:hint="eastAsia"/>
                <w:color w:val="auto"/>
              </w:rPr>
              <w:t>90</w:t>
            </w:r>
          </w:p>
        </w:tc>
        <w:tc>
          <w:tcPr>
            <w:tcW w:w="718" w:type="pct"/>
            <w:tcBorders>
              <w:top w:val="single" w:color="000000" w:sz="2" w:space="0"/>
              <w:left w:val="single" w:color="000000" w:sz="2" w:space="0"/>
              <w:bottom w:val="single" w:color="000000" w:sz="2" w:space="0"/>
              <w:right w:val="single" w:color="000000" w:sz="2" w:space="0"/>
            </w:tcBorders>
            <w:vAlign w:val="center"/>
          </w:tcPr>
          <w:p w14:paraId="5BE06F58">
            <w:pPr>
              <w:pStyle w:val="33"/>
              <w:rPr>
                <w:color w:val="auto"/>
              </w:rPr>
            </w:pPr>
            <w:r>
              <w:rPr>
                <w:rFonts w:hint="eastAsia"/>
                <w:color w:val="auto"/>
              </w:rPr>
              <w:t>泄漏</w:t>
            </w:r>
          </w:p>
        </w:tc>
      </w:tr>
      <w:tr w14:paraId="1B50C9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27" w:hRule="atLeast"/>
        </w:trPr>
        <w:tc>
          <w:tcPr>
            <w:tcW w:w="342" w:type="pct"/>
            <w:vMerge w:val="continue"/>
            <w:tcBorders>
              <w:left w:val="single" w:color="000000" w:sz="2" w:space="0"/>
              <w:right w:val="single" w:color="000000" w:sz="2" w:space="0"/>
            </w:tcBorders>
            <w:vAlign w:val="center"/>
          </w:tcPr>
          <w:p w14:paraId="788892B4">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2A70F2BC">
            <w:pPr>
              <w:pStyle w:val="33"/>
              <w:rPr>
                <w:color w:val="auto"/>
              </w:rPr>
            </w:pPr>
            <w:r>
              <w:rPr>
                <w:rFonts w:hint="eastAsia"/>
                <w:color w:val="auto"/>
              </w:rPr>
              <w:t>污水处理车间储罐区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4A1CED23">
            <w:pPr>
              <w:pStyle w:val="33"/>
              <w:rPr>
                <w:color w:val="auto"/>
              </w:rPr>
            </w:pPr>
            <w:r>
              <w:rPr>
                <w:rFonts w:hint="eastAsia"/>
                <w:color w:val="auto"/>
              </w:rPr>
              <w:t>硫酸</w:t>
            </w:r>
          </w:p>
        </w:tc>
        <w:tc>
          <w:tcPr>
            <w:tcW w:w="731" w:type="pct"/>
            <w:tcBorders>
              <w:top w:val="single" w:color="000000" w:sz="2" w:space="0"/>
              <w:left w:val="single" w:color="000000" w:sz="2" w:space="0"/>
              <w:bottom w:val="single" w:color="000000" w:sz="2" w:space="0"/>
              <w:right w:val="single" w:color="000000" w:sz="2" w:space="0"/>
            </w:tcBorders>
            <w:vAlign w:val="center"/>
          </w:tcPr>
          <w:p w14:paraId="52C2458F">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01F363BB">
            <w:pPr>
              <w:pStyle w:val="33"/>
              <w:rPr>
                <w:color w:val="auto"/>
              </w:rPr>
            </w:pPr>
            <w:r>
              <w:rPr>
                <w:rFonts w:hint="eastAsia"/>
                <w:color w:val="auto"/>
              </w:rPr>
              <w:t>40</w:t>
            </w:r>
          </w:p>
        </w:tc>
        <w:tc>
          <w:tcPr>
            <w:tcW w:w="718" w:type="pct"/>
            <w:tcBorders>
              <w:top w:val="single" w:color="000000" w:sz="2" w:space="0"/>
              <w:left w:val="single" w:color="000000" w:sz="2" w:space="0"/>
              <w:bottom w:val="single" w:color="000000" w:sz="2" w:space="0"/>
              <w:right w:val="single" w:color="000000" w:sz="2" w:space="0"/>
            </w:tcBorders>
            <w:vAlign w:val="center"/>
          </w:tcPr>
          <w:p w14:paraId="7145BC2C">
            <w:pPr>
              <w:pStyle w:val="33"/>
              <w:rPr>
                <w:color w:val="auto"/>
              </w:rPr>
            </w:pPr>
            <w:r>
              <w:rPr>
                <w:rFonts w:hint="eastAsia"/>
                <w:color w:val="auto"/>
              </w:rPr>
              <w:t>泄漏</w:t>
            </w:r>
          </w:p>
        </w:tc>
      </w:tr>
      <w:tr w14:paraId="0E13AC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33" w:hRule="atLeast"/>
        </w:trPr>
        <w:tc>
          <w:tcPr>
            <w:tcW w:w="342" w:type="pct"/>
            <w:vMerge w:val="continue"/>
            <w:tcBorders>
              <w:left w:val="single" w:color="000000" w:sz="2" w:space="0"/>
              <w:right w:val="single" w:color="000000" w:sz="2" w:space="0"/>
            </w:tcBorders>
            <w:vAlign w:val="center"/>
          </w:tcPr>
          <w:p w14:paraId="054F9C28">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5A265DC8">
            <w:pPr>
              <w:pStyle w:val="33"/>
              <w:rPr>
                <w:color w:val="auto"/>
              </w:rPr>
            </w:pPr>
            <w:r>
              <w:rPr>
                <w:rFonts w:hint="eastAsia"/>
                <w:color w:val="auto"/>
              </w:rPr>
              <w:t>制浆车间储罐区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0CE8A4CA">
            <w:pPr>
              <w:pStyle w:val="33"/>
              <w:rPr>
                <w:color w:val="auto"/>
              </w:rPr>
            </w:pPr>
            <w:r>
              <w:rPr>
                <w:rFonts w:hint="eastAsia"/>
                <w:color w:val="auto"/>
              </w:rPr>
              <w:t>乙酸</w:t>
            </w:r>
          </w:p>
        </w:tc>
        <w:tc>
          <w:tcPr>
            <w:tcW w:w="731" w:type="pct"/>
            <w:tcBorders>
              <w:top w:val="single" w:color="000000" w:sz="2" w:space="0"/>
              <w:left w:val="single" w:color="000000" w:sz="2" w:space="0"/>
              <w:bottom w:val="single" w:color="000000" w:sz="2" w:space="0"/>
              <w:right w:val="single" w:color="000000" w:sz="2" w:space="0"/>
            </w:tcBorders>
            <w:vAlign w:val="center"/>
          </w:tcPr>
          <w:p w14:paraId="540698C5">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1C1FB109">
            <w:pPr>
              <w:pStyle w:val="33"/>
              <w:rPr>
                <w:color w:val="auto"/>
              </w:rPr>
            </w:pPr>
            <w:r>
              <w:rPr>
                <w:rFonts w:hint="eastAsia"/>
                <w:color w:val="auto"/>
              </w:rPr>
              <w:t>150</w:t>
            </w:r>
          </w:p>
        </w:tc>
        <w:tc>
          <w:tcPr>
            <w:tcW w:w="718" w:type="pct"/>
            <w:tcBorders>
              <w:top w:val="single" w:color="000000" w:sz="2" w:space="0"/>
              <w:left w:val="single" w:color="000000" w:sz="2" w:space="0"/>
              <w:bottom w:val="single" w:color="000000" w:sz="2" w:space="0"/>
              <w:right w:val="single" w:color="000000" w:sz="2" w:space="0"/>
            </w:tcBorders>
            <w:vAlign w:val="center"/>
          </w:tcPr>
          <w:p w14:paraId="06D7563A">
            <w:pPr>
              <w:pStyle w:val="33"/>
              <w:rPr>
                <w:color w:val="auto"/>
              </w:rPr>
            </w:pPr>
            <w:r>
              <w:rPr>
                <w:rFonts w:hint="eastAsia"/>
                <w:color w:val="auto"/>
              </w:rPr>
              <w:t>泄漏</w:t>
            </w:r>
          </w:p>
        </w:tc>
      </w:tr>
      <w:tr w14:paraId="4A8C2D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494" w:hRule="atLeast"/>
        </w:trPr>
        <w:tc>
          <w:tcPr>
            <w:tcW w:w="342" w:type="pct"/>
            <w:vMerge w:val="continue"/>
            <w:tcBorders>
              <w:left w:val="single" w:color="000000" w:sz="2" w:space="0"/>
              <w:right w:val="single" w:color="000000" w:sz="2" w:space="0"/>
            </w:tcBorders>
            <w:vAlign w:val="center"/>
          </w:tcPr>
          <w:p w14:paraId="23BF95FB">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07E97ACE">
            <w:pPr>
              <w:pStyle w:val="33"/>
              <w:rPr>
                <w:color w:val="auto"/>
              </w:rPr>
            </w:pPr>
            <w:r>
              <w:rPr>
                <w:rFonts w:hint="eastAsia"/>
                <w:color w:val="auto"/>
              </w:rPr>
              <w:t>制浆车间储罐区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2318E24A">
            <w:pPr>
              <w:pStyle w:val="33"/>
              <w:rPr>
                <w:color w:val="auto"/>
              </w:rPr>
            </w:pPr>
            <w:r>
              <w:rPr>
                <w:rFonts w:hint="eastAsia"/>
                <w:color w:val="auto"/>
              </w:rPr>
              <w:t>氢氧化钠</w:t>
            </w:r>
          </w:p>
        </w:tc>
        <w:tc>
          <w:tcPr>
            <w:tcW w:w="731" w:type="pct"/>
            <w:tcBorders>
              <w:top w:val="single" w:color="000000" w:sz="2" w:space="0"/>
              <w:left w:val="single" w:color="000000" w:sz="2" w:space="0"/>
              <w:bottom w:val="single" w:color="000000" w:sz="2" w:space="0"/>
              <w:right w:val="single" w:color="000000" w:sz="2" w:space="0"/>
            </w:tcBorders>
            <w:vAlign w:val="center"/>
          </w:tcPr>
          <w:p w14:paraId="0CAE063B">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0B31B4A4">
            <w:pPr>
              <w:pStyle w:val="33"/>
              <w:rPr>
                <w:color w:val="auto"/>
              </w:rPr>
            </w:pPr>
            <w:r>
              <w:rPr>
                <w:rFonts w:hint="eastAsia"/>
                <w:color w:val="auto"/>
              </w:rPr>
              <w:t>1300</w:t>
            </w:r>
          </w:p>
        </w:tc>
        <w:tc>
          <w:tcPr>
            <w:tcW w:w="718" w:type="pct"/>
            <w:tcBorders>
              <w:top w:val="single" w:color="000000" w:sz="2" w:space="0"/>
              <w:left w:val="single" w:color="000000" w:sz="2" w:space="0"/>
              <w:bottom w:val="single" w:color="000000" w:sz="2" w:space="0"/>
              <w:right w:val="single" w:color="000000" w:sz="2" w:space="0"/>
            </w:tcBorders>
            <w:vAlign w:val="center"/>
          </w:tcPr>
          <w:p w14:paraId="0CEBBBB1">
            <w:pPr>
              <w:pStyle w:val="33"/>
              <w:rPr>
                <w:color w:val="auto"/>
              </w:rPr>
            </w:pPr>
            <w:r>
              <w:rPr>
                <w:rFonts w:hint="eastAsia"/>
                <w:color w:val="auto"/>
              </w:rPr>
              <w:t>泄漏</w:t>
            </w:r>
          </w:p>
        </w:tc>
      </w:tr>
      <w:tr w14:paraId="1AD3D1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54" w:hRule="atLeast"/>
        </w:trPr>
        <w:tc>
          <w:tcPr>
            <w:tcW w:w="342" w:type="pct"/>
            <w:vMerge w:val="continue"/>
            <w:tcBorders>
              <w:left w:val="single" w:color="000000" w:sz="2" w:space="0"/>
              <w:right w:val="single" w:color="000000" w:sz="2" w:space="0"/>
            </w:tcBorders>
            <w:vAlign w:val="center"/>
          </w:tcPr>
          <w:p w14:paraId="7EA90497">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35220FE4">
            <w:pPr>
              <w:pStyle w:val="33"/>
              <w:rPr>
                <w:color w:val="auto"/>
              </w:rPr>
            </w:pPr>
            <w:r>
              <w:rPr>
                <w:rFonts w:hint="eastAsia"/>
                <w:color w:val="auto"/>
              </w:rPr>
              <w:t>原水处理车间储罐区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76C85B31">
            <w:pPr>
              <w:pStyle w:val="33"/>
              <w:rPr>
                <w:color w:val="auto"/>
              </w:rPr>
            </w:pPr>
            <w:r>
              <w:rPr>
                <w:rFonts w:hint="eastAsia"/>
                <w:color w:val="auto"/>
              </w:rPr>
              <w:t>次氯酸钠（浓度1.25%）</w:t>
            </w:r>
          </w:p>
        </w:tc>
        <w:tc>
          <w:tcPr>
            <w:tcW w:w="731" w:type="pct"/>
            <w:tcBorders>
              <w:top w:val="single" w:color="000000" w:sz="2" w:space="0"/>
              <w:left w:val="single" w:color="000000" w:sz="2" w:space="0"/>
              <w:bottom w:val="single" w:color="000000" w:sz="2" w:space="0"/>
              <w:right w:val="single" w:color="000000" w:sz="2" w:space="0"/>
            </w:tcBorders>
            <w:vAlign w:val="center"/>
          </w:tcPr>
          <w:p w14:paraId="7F5F5DEF">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08A392D6">
            <w:pPr>
              <w:pStyle w:val="33"/>
              <w:rPr>
                <w:color w:val="auto"/>
              </w:rPr>
            </w:pPr>
            <w:r>
              <w:rPr>
                <w:rFonts w:hint="eastAsia"/>
                <w:color w:val="auto"/>
              </w:rPr>
              <w:t>50</w:t>
            </w:r>
          </w:p>
        </w:tc>
        <w:tc>
          <w:tcPr>
            <w:tcW w:w="718" w:type="pct"/>
            <w:tcBorders>
              <w:top w:val="single" w:color="000000" w:sz="2" w:space="0"/>
              <w:left w:val="single" w:color="000000" w:sz="2" w:space="0"/>
              <w:bottom w:val="single" w:color="000000" w:sz="2" w:space="0"/>
              <w:right w:val="single" w:color="000000" w:sz="2" w:space="0"/>
            </w:tcBorders>
            <w:vAlign w:val="center"/>
          </w:tcPr>
          <w:p w14:paraId="0644DCB5">
            <w:pPr>
              <w:pStyle w:val="33"/>
              <w:rPr>
                <w:color w:val="auto"/>
              </w:rPr>
            </w:pPr>
            <w:r>
              <w:rPr>
                <w:rFonts w:hint="eastAsia"/>
                <w:color w:val="auto"/>
              </w:rPr>
              <w:t>泄漏</w:t>
            </w:r>
          </w:p>
        </w:tc>
      </w:tr>
      <w:tr w14:paraId="653E3A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73" w:hRule="atLeast"/>
        </w:trPr>
        <w:tc>
          <w:tcPr>
            <w:tcW w:w="342" w:type="pct"/>
            <w:vMerge w:val="continue"/>
            <w:tcBorders>
              <w:left w:val="single" w:color="000000" w:sz="2" w:space="0"/>
              <w:right w:val="single" w:color="000000" w:sz="2" w:space="0"/>
            </w:tcBorders>
            <w:vAlign w:val="center"/>
          </w:tcPr>
          <w:p w14:paraId="4B220C29">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74396C30">
            <w:pPr>
              <w:pStyle w:val="33"/>
              <w:rPr>
                <w:color w:val="auto"/>
              </w:rPr>
            </w:pPr>
            <w:r>
              <w:rPr>
                <w:rFonts w:hint="eastAsia"/>
                <w:color w:val="auto"/>
              </w:rPr>
              <w:t>双氧水车间储罐区</w:t>
            </w:r>
          </w:p>
        </w:tc>
        <w:tc>
          <w:tcPr>
            <w:tcW w:w="1044" w:type="pct"/>
            <w:tcBorders>
              <w:top w:val="single" w:color="000000" w:sz="2" w:space="0"/>
              <w:left w:val="single" w:color="000000" w:sz="2" w:space="0"/>
              <w:bottom w:val="single" w:color="000000" w:sz="2" w:space="0"/>
              <w:right w:val="single" w:color="000000" w:sz="2" w:space="0"/>
            </w:tcBorders>
            <w:vAlign w:val="center"/>
          </w:tcPr>
          <w:p w14:paraId="59F871D6">
            <w:pPr>
              <w:pStyle w:val="33"/>
              <w:rPr>
                <w:color w:val="auto"/>
              </w:rPr>
            </w:pPr>
            <w:r>
              <w:rPr>
                <w:rFonts w:hint="eastAsia"/>
                <w:color w:val="auto"/>
              </w:rPr>
              <w:t>重芳烃</w:t>
            </w:r>
          </w:p>
        </w:tc>
        <w:tc>
          <w:tcPr>
            <w:tcW w:w="731" w:type="pct"/>
            <w:tcBorders>
              <w:top w:val="single" w:color="000000" w:sz="2" w:space="0"/>
              <w:left w:val="single" w:color="000000" w:sz="2" w:space="0"/>
              <w:bottom w:val="single" w:color="000000" w:sz="2" w:space="0"/>
              <w:right w:val="single" w:color="000000" w:sz="2" w:space="0"/>
            </w:tcBorders>
            <w:vAlign w:val="center"/>
          </w:tcPr>
          <w:p w14:paraId="2B33F716">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039AC064">
            <w:pPr>
              <w:pStyle w:val="33"/>
              <w:rPr>
                <w:color w:val="auto"/>
              </w:rPr>
            </w:pPr>
            <w:r>
              <w:rPr>
                <w:rFonts w:hint="eastAsia"/>
                <w:color w:val="auto"/>
              </w:rPr>
              <w:t>60</w:t>
            </w:r>
          </w:p>
        </w:tc>
        <w:tc>
          <w:tcPr>
            <w:tcW w:w="718" w:type="pct"/>
            <w:tcBorders>
              <w:top w:val="single" w:color="000000" w:sz="2" w:space="0"/>
              <w:left w:val="single" w:color="000000" w:sz="2" w:space="0"/>
              <w:bottom w:val="single" w:color="000000" w:sz="2" w:space="0"/>
              <w:right w:val="single" w:color="000000" w:sz="2" w:space="0"/>
            </w:tcBorders>
            <w:vAlign w:val="center"/>
          </w:tcPr>
          <w:p w14:paraId="62D3750C">
            <w:pPr>
              <w:pStyle w:val="33"/>
              <w:rPr>
                <w:color w:val="auto"/>
              </w:rPr>
            </w:pPr>
            <w:r>
              <w:rPr>
                <w:rFonts w:hint="eastAsia"/>
                <w:color w:val="auto"/>
              </w:rPr>
              <w:t>泄漏</w:t>
            </w:r>
          </w:p>
        </w:tc>
      </w:tr>
      <w:tr w14:paraId="755EBA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73" w:hRule="atLeast"/>
        </w:trPr>
        <w:tc>
          <w:tcPr>
            <w:tcW w:w="342" w:type="pct"/>
            <w:vMerge w:val="continue"/>
            <w:tcBorders>
              <w:left w:val="single" w:color="000000" w:sz="2" w:space="0"/>
              <w:right w:val="single" w:color="000000" w:sz="2" w:space="0"/>
            </w:tcBorders>
            <w:vAlign w:val="center"/>
          </w:tcPr>
          <w:p w14:paraId="1F555FF7">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294F48D2">
            <w:pPr>
              <w:pStyle w:val="33"/>
              <w:rPr>
                <w:color w:val="auto"/>
              </w:rPr>
            </w:pPr>
            <w:r>
              <w:rPr>
                <w:rFonts w:hint="eastAsia"/>
                <w:color w:val="auto"/>
              </w:rPr>
              <w:t>碱回收车间</w:t>
            </w:r>
          </w:p>
        </w:tc>
        <w:tc>
          <w:tcPr>
            <w:tcW w:w="1044" w:type="pct"/>
            <w:tcBorders>
              <w:top w:val="single" w:color="000000" w:sz="2" w:space="0"/>
              <w:left w:val="single" w:color="000000" w:sz="2" w:space="0"/>
              <w:bottom w:val="single" w:color="000000" w:sz="2" w:space="0"/>
              <w:right w:val="single" w:color="000000" w:sz="2" w:space="0"/>
            </w:tcBorders>
            <w:vAlign w:val="center"/>
          </w:tcPr>
          <w:p w14:paraId="61A95BB5">
            <w:pPr>
              <w:pStyle w:val="33"/>
              <w:rPr>
                <w:color w:val="auto"/>
              </w:rPr>
            </w:pPr>
            <w:r>
              <w:rPr>
                <w:rFonts w:hint="eastAsia"/>
                <w:color w:val="auto"/>
              </w:rPr>
              <w:t>黑液</w:t>
            </w:r>
          </w:p>
        </w:tc>
        <w:tc>
          <w:tcPr>
            <w:tcW w:w="731" w:type="pct"/>
            <w:tcBorders>
              <w:top w:val="single" w:color="000000" w:sz="2" w:space="0"/>
              <w:left w:val="single" w:color="000000" w:sz="2" w:space="0"/>
              <w:bottom w:val="single" w:color="000000" w:sz="2" w:space="0"/>
              <w:right w:val="single" w:color="000000" w:sz="2" w:space="0"/>
            </w:tcBorders>
            <w:vAlign w:val="center"/>
          </w:tcPr>
          <w:p w14:paraId="39300A2B">
            <w:pPr>
              <w:pStyle w:val="33"/>
              <w:rPr>
                <w:color w:val="auto"/>
              </w:rPr>
            </w:pPr>
            <w:r>
              <w:rPr>
                <w:rFonts w:hint="eastAsia"/>
                <w:color w:val="auto"/>
              </w:rPr>
              <w:t>储罐</w:t>
            </w:r>
          </w:p>
        </w:tc>
        <w:tc>
          <w:tcPr>
            <w:tcW w:w="731" w:type="pct"/>
            <w:tcBorders>
              <w:top w:val="single" w:color="000000" w:sz="2" w:space="0"/>
              <w:left w:val="single" w:color="000000" w:sz="2" w:space="0"/>
              <w:bottom w:val="single" w:color="000000" w:sz="2" w:space="0"/>
              <w:right w:val="single" w:color="000000" w:sz="2" w:space="0"/>
            </w:tcBorders>
            <w:vAlign w:val="center"/>
          </w:tcPr>
          <w:p w14:paraId="0302DE2E">
            <w:pPr>
              <w:pStyle w:val="33"/>
              <w:rPr>
                <w:color w:val="auto"/>
              </w:rPr>
            </w:pPr>
            <w:r>
              <w:rPr>
                <w:rFonts w:hint="eastAsia"/>
                <w:color w:val="auto"/>
              </w:rPr>
              <w:t>4000</w:t>
            </w:r>
          </w:p>
        </w:tc>
        <w:tc>
          <w:tcPr>
            <w:tcW w:w="718" w:type="pct"/>
            <w:tcBorders>
              <w:top w:val="single" w:color="000000" w:sz="2" w:space="0"/>
              <w:left w:val="single" w:color="000000" w:sz="2" w:space="0"/>
              <w:bottom w:val="single" w:color="000000" w:sz="2" w:space="0"/>
              <w:right w:val="single" w:color="000000" w:sz="2" w:space="0"/>
            </w:tcBorders>
            <w:vAlign w:val="center"/>
          </w:tcPr>
          <w:p w14:paraId="201233EC">
            <w:pPr>
              <w:pStyle w:val="33"/>
              <w:rPr>
                <w:color w:val="auto"/>
              </w:rPr>
            </w:pPr>
            <w:r>
              <w:rPr>
                <w:rFonts w:hint="eastAsia"/>
                <w:color w:val="auto"/>
              </w:rPr>
              <w:t>泄漏</w:t>
            </w:r>
          </w:p>
        </w:tc>
      </w:tr>
      <w:tr w14:paraId="422F93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73" w:hRule="atLeast"/>
        </w:trPr>
        <w:tc>
          <w:tcPr>
            <w:tcW w:w="342" w:type="pct"/>
            <w:vMerge w:val="continue"/>
            <w:tcBorders>
              <w:left w:val="single" w:color="000000" w:sz="2" w:space="0"/>
              <w:bottom w:val="single" w:color="auto" w:sz="4" w:space="0"/>
              <w:right w:val="single" w:color="000000" w:sz="2" w:space="0"/>
            </w:tcBorders>
            <w:vAlign w:val="center"/>
          </w:tcPr>
          <w:p w14:paraId="0B0A1128">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1C40E9E0">
            <w:pPr>
              <w:pStyle w:val="33"/>
              <w:rPr>
                <w:color w:val="auto"/>
              </w:rPr>
            </w:pPr>
            <w:r>
              <w:rPr>
                <w:rFonts w:hint="eastAsia"/>
                <w:color w:val="auto"/>
              </w:rPr>
              <w:t>天然气管道</w:t>
            </w:r>
          </w:p>
        </w:tc>
        <w:tc>
          <w:tcPr>
            <w:tcW w:w="1044" w:type="pct"/>
            <w:tcBorders>
              <w:top w:val="single" w:color="000000" w:sz="2" w:space="0"/>
              <w:left w:val="single" w:color="000000" w:sz="2" w:space="0"/>
              <w:bottom w:val="single" w:color="000000" w:sz="2" w:space="0"/>
              <w:right w:val="single" w:color="000000" w:sz="2" w:space="0"/>
            </w:tcBorders>
            <w:vAlign w:val="center"/>
          </w:tcPr>
          <w:p w14:paraId="0158EEA6">
            <w:pPr>
              <w:pStyle w:val="33"/>
              <w:rPr>
                <w:color w:val="auto"/>
              </w:rPr>
            </w:pPr>
            <w:r>
              <w:rPr>
                <w:rFonts w:hint="eastAsia"/>
                <w:color w:val="auto"/>
              </w:rPr>
              <w:t>天然气</w:t>
            </w:r>
          </w:p>
        </w:tc>
        <w:tc>
          <w:tcPr>
            <w:tcW w:w="731" w:type="pct"/>
            <w:tcBorders>
              <w:top w:val="single" w:color="000000" w:sz="2" w:space="0"/>
              <w:left w:val="single" w:color="000000" w:sz="2" w:space="0"/>
              <w:bottom w:val="single" w:color="000000" w:sz="2" w:space="0"/>
              <w:right w:val="single" w:color="000000" w:sz="2" w:space="0"/>
            </w:tcBorders>
            <w:vAlign w:val="center"/>
          </w:tcPr>
          <w:p w14:paraId="4BC81997">
            <w:pPr>
              <w:pStyle w:val="33"/>
              <w:rPr>
                <w:color w:val="auto"/>
              </w:rPr>
            </w:pPr>
            <w:r>
              <w:rPr>
                <w:rFonts w:hint="eastAsia"/>
                <w:color w:val="auto"/>
              </w:rPr>
              <w:t>/</w:t>
            </w:r>
          </w:p>
        </w:tc>
        <w:tc>
          <w:tcPr>
            <w:tcW w:w="731" w:type="pct"/>
            <w:tcBorders>
              <w:top w:val="single" w:color="000000" w:sz="2" w:space="0"/>
              <w:left w:val="single" w:color="000000" w:sz="2" w:space="0"/>
              <w:bottom w:val="single" w:color="000000" w:sz="2" w:space="0"/>
              <w:right w:val="single" w:color="000000" w:sz="2" w:space="0"/>
            </w:tcBorders>
            <w:vAlign w:val="center"/>
          </w:tcPr>
          <w:p w14:paraId="568A940A">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1D5E354D">
            <w:pPr>
              <w:pStyle w:val="33"/>
              <w:rPr>
                <w:color w:val="auto"/>
              </w:rPr>
            </w:pPr>
            <w:r>
              <w:rPr>
                <w:rFonts w:hint="eastAsia"/>
                <w:color w:val="auto"/>
              </w:rPr>
              <w:t>泄漏、火灾、爆炸</w:t>
            </w:r>
          </w:p>
        </w:tc>
      </w:tr>
      <w:tr w14:paraId="4BD6B9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613" w:hRule="atLeast"/>
        </w:trPr>
        <w:tc>
          <w:tcPr>
            <w:tcW w:w="342" w:type="pct"/>
            <w:vMerge w:val="restart"/>
            <w:tcBorders>
              <w:top w:val="single" w:color="auto" w:sz="4" w:space="0"/>
              <w:left w:val="single" w:color="auto" w:sz="4" w:space="0"/>
              <w:bottom w:val="single" w:color="auto" w:sz="4" w:space="0"/>
              <w:right w:val="single" w:color="auto" w:sz="4" w:space="0"/>
            </w:tcBorders>
            <w:vAlign w:val="center"/>
          </w:tcPr>
          <w:p w14:paraId="4E323C8B">
            <w:pPr>
              <w:pStyle w:val="33"/>
              <w:rPr>
                <w:color w:val="auto"/>
              </w:rPr>
            </w:pPr>
            <w:r>
              <w:rPr>
                <w:rFonts w:hint="eastAsia"/>
                <w:color w:val="auto"/>
              </w:rPr>
              <w:t>废水</w:t>
            </w:r>
          </w:p>
        </w:tc>
        <w:tc>
          <w:tcPr>
            <w:tcW w:w="1434" w:type="pct"/>
            <w:tcBorders>
              <w:top w:val="single" w:color="000000" w:sz="2" w:space="0"/>
              <w:left w:val="single" w:color="auto" w:sz="4" w:space="0"/>
              <w:bottom w:val="single" w:color="000000" w:sz="2" w:space="0"/>
              <w:right w:val="single" w:color="000000" w:sz="2" w:space="0"/>
            </w:tcBorders>
            <w:vAlign w:val="center"/>
          </w:tcPr>
          <w:p w14:paraId="78497F21">
            <w:pPr>
              <w:pStyle w:val="33"/>
              <w:rPr>
                <w:color w:val="auto"/>
              </w:rPr>
            </w:pPr>
            <w:r>
              <w:rPr>
                <w:rFonts w:hint="eastAsia"/>
                <w:color w:val="auto"/>
              </w:rPr>
              <w:t>污水处理车间</w:t>
            </w:r>
          </w:p>
        </w:tc>
        <w:tc>
          <w:tcPr>
            <w:tcW w:w="1044" w:type="pct"/>
            <w:tcBorders>
              <w:top w:val="single" w:color="000000" w:sz="2" w:space="0"/>
              <w:left w:val="single" w:color="000000" w:sz="2" w:space="0"/>
              <w:bottom w:val="single" w:color="000000" w:sz="2" w:space="0"/>
              <w:right w:val="single" w:color="000000" w:sz="2" w:space="0"/>
            </w:tcBorders>
            <w:vAlign w:val="center"/>
          </w:tcPr>
          <w:p w14:paraId="369EFEA3">
            <w:pPr>
              <w:pStyle w:val="33"/>
              <w:rPr>
                <w:color w:val="auto"/>
              </w:rPr>
            </w:pPr>
            <w:r>
              <w:rPr>
                <w:rFonts w:hint="eastAsia"/>
                <w:color w:val="auto"/>
              </w:rPr>
              <w:t>生产废水</w:t>
            </w:r>
          </w:p>
        </w:tc>
        <w:tc>
          <w:tcPr>
            <w:tcW w:w="731" w:type="pct"/>
            <w:tcBorders>
              <w:top w:val="single" w:color="000000" w:sz="2" w:space="0"/>
              <w:left w:val="single" w:color="000000" w:sz="2" w:space="0"/>
              <w:bottom w:val="single" w:color="000000" w:sz="2" w:space="0"/>
              <w:right w:val="single" w:color="000000" w:sz="2" w:space="0"/>
            </w:tcBorders>
            <w:vAlign w:val="center"/>
          </w:tcPr>
          <w:p w14:paraId="0C9B918E">
            <w:pPr>
              <w:pStyle w:val="33"/>
              <w:rPr>
                <w:color w:val="auto"/>
              </w:rPr>
            </w:pPr>
            <w:r>
              <w:rPr>
                <w:rFonts w:hint="eastAsia"/>
                <w:color w:val="auto"/>
              </w:rPr>
              <w:t>污水系统</w:t>
            </w:r>
          </w:p>
        </w:tc>
        <w:tc>
          <w:tcPr>
            <w:tcW w:w="731" w:type="pct"/>
            <w:tcBorders>
              <w:top w:val="single" w:color="000000" w:sz="2" w:space="0"/>
              <w:left w:val="single" w:color="000000" w:sz="2" w:space="0"/>
              <w:bottom w:val="single" w:color="000000" w:sz="2" w:space="0"/>
              <w:right w:val="single" w:color="000000" w:sz="2" w:space="0"/>
            </w:tcBorders>
            <w:vAlign w:val="center"/>
          </w:tcPr>
          <w:p w14:paraId="472B9C00">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6F0C744E">
            <w:pPr>
              <w:pStyle w:val="33"/>
              <w:rPr>
                <w:color w:val="auto"/>
              </w:rPr>
            </w:pPr>
            <w:r>
              <w:rPr>
                <w:rFonts w:hint="eastAsia"/>
                <w:color w:val="auto"/>
              </w:rPr>
              <w:t>超标排放</w:t>
            </w:r>
          </w:p>
        </w:tc>
      </w:tr>
      <w:tr w14:paraId="21AD4B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85" w:hRule="atLeast"/>
        </w:trPr>
        <w:tc>
          <w:tcPr>
            <w:tcW w:w="342" w:type="pct"/>
            <w:vMerge w:val="continue"/>
            <w:tcBorders>
              <w:top w:val="single" w:color="auto" w:sz="4" w:space="0"/>
              <w:left w:val="single" w:color="auto" w:sz="4" w:space="0"/>
              <w:bottom w:val="single" w:color="auto" w:sz="4" w:space="0"/>
              <w:right w:val="single" w:color="auto" w:sz="4" w:space="0"/>
            </w:tcBorders>
            <w:vAlign w:val="center"/>
          </w:tcPr>
          <w:p w14:paraId="07859345">
            <w:pPr>
              <w:pStyle w:val="33"/>
              <w:rPr>
                <w:color w:val="auto"/>
              </w:rPr>
            </w:pPr>
          </w:p>
        </w:tc>
        <w:tc>
          <w:tcPr>
            <w:tcW w:w="1434" w:type="pct"/>
            <w:tcBorders>
              <w:top w:val="single" w:color="000000" w:sz="2" w:space="0"/>
              <w:left w:val="single" w:color="auto" w:sz="4" w:space="0"/>
              <w:bottom w:val="single" w:color="000000" w:sz="2" w:space="0"/>
              <w:right w:val="single" w:color="000000" w:sz="2" w:space="0"/>
            </w:tcBorders>
            <w:vAlign w:val="center"/>
          </w:tcPr>
          <w:p w14:paraId="2A6F815B">
            <w:pPr>
              <w:pStyle w:val="33"/>
              <w:rPr>
                <w:color w:val="auto"/>
              </w:rPr>
            </w:pPr>
            <w:r>
              <w:rPr>
                <w:rFonts w:hint="eastAsia"/>
                <w:color w:val="auto"/>
              </w:rPr>
              <w:t>生产车间</w:t>
            </w:r>
          </w:p>
        </w:tc>
        <w:tc>
          <w:tcPr>
            <w:tcW w:w="1044" w:type="pct"/>
            <w:tcBorders>
              <w:top w:val="single" w:color="000000" w:sz="2" w:space="0"/>
              <w:left w:val="single" w:color="000000" w:sz="2" w:space="0"/>
              <w:bottom w:val="single" w:color="000000" w:sz="2" w:space="0"/>
              <w:right w:val="single" w:color="000000" w:sz="2" w:space="0"/>
            </w:tcBorders>
            <w:vAlign w:val="center"/>
          </w:tcPr>
          <w:p w14:paraId="12C237E2">
            <w:pPr>
              <w:pStyle w:val="33"/>
              <w:rPr>
                <w:color w:val="auto"/>
              </w:rPr>
            </w:pPr>
            <w:r>
              <w:rPr>
                <w:rFonts w:hint="eastAsia"/>
                <w:color w:val="auto"/>
              </w:rPr>
              <w:t>初期雨水、冲洗废水、消防废水</w:t>
            </w:r>
          </w:p>
        </w:tc>
        <w:tc>
          <w:tcPr>
            <w:tcW w:w="731" w:type="pct"/>
            <w:tcBorders>
              <w:top w:val="single" w:color="000000" w:sz="2" w:space="0"/>
              <w:left w:val="single" w:color="000000" w:sz="2" w:space="0"/>
              <w:bottom w:val="single" w:color="000000" w:sz="2" w:space="0"/>
              <w:right w:val="single" w:color="000000" w:sz="2" w:space="0"/>
            </w:tcBorders>
            <w:vAlign w:val="center"/>
          </w:tcPr>
          <w:p w14:paraId="3FE698F1">
            <w:pPr>
              <w:pStyle w:val="33"/>
              <w:rPr>
                <w:color w:val="auto"/>
              </w:rPr>
            </w:pPr>
            <w:r>
              <w:rPr>
                <w:rFonts w:hint="eastAsia"/>
                <w:color w:val="auto"/>
              </w:rPr>
              <w:t>污水管网</w:t>
            </w:r>
          </w:p>
        </w:tc>
        <w:tc>
          <w:tcPr>
            <w:tcW w:w="731" w:type="pct"/>
            <w:tcBorders>
              <w:top w:val="single" w:color="000000" w:sz="2" w:space="0"/>
              <w:left w:val="single" w:color="000000" w:sz="2" w:space="0"/>
              <w:bottom w:val="single" w:color="000000" w:sz="2" w:space="0"/>
              <w:right w:val="single" w:color="000000" w:sz="2" w:space="0"/>
            </w:tcBorders>
            <w:vAlign w:val="center"/>
          </w:tcPr>
          <w:p w14:paraId="0C86261A">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1170710A">
            <w:pPr>
              <w:pStyle w:val="33"/>
              <w:rPr>
                <w:color w:val="auto"/>
              </w:rPr>
            </w:pPr>
            <w:r>
              <w:rPr>
                <w:rFonts w:hint="eastAsia"/>
                <w:color w:val="auto"/>
              </w:rPr>
              <w:t>超标排放</w:t>
            </w:r>
          </w:p>
        </w:tc>
      </w:tr>
      <w:tr w14:paraId="31A375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1079" w:hRule="atLeast"/>
        </w:trPr>
        <w:tc>
          <w:tcPr>
            <w:tcW w:w="342" w:type="pct"/>
            <w:vMerge w:val="restart"/>
            <w:tcBorders>
              <w:top w:val="single" w:color="auto" w:sz="4" w:space="0"/>
              <w:left w:val="single" w:color="000000" w:sz="2" w:space="0"/>
              <w:right w:val="single" w:color="000000" w:sz="2" w:space="0"/>
            </w:tcBorders>
            <w:vAlign w:val="center"/>
          </w:tcPr>
          <w:p w14:paraId="10476F6A">
            <w:pPr>
              <w:pStyle w:val="33"/>
              <w:rPr>
                <w:color w:val="auto"/>
              </w:rPr>
            </w:pPr>
            <w:r>
              <w:rPr>
                <w:rFonts w:hint="eastAsia"/>
                <w:color w:val="auto"/>
              </w:rPr>
              <w:t>废气</w:t>
            </w:r>
          </w:p>
        </w:tc>
        <w:tc>
          <w:tcPr>
            <w:tcW w:w="1434" w:type="pct"/>
            <w:tcBorders>
              <w:top w:val="single" w:color="000000" w:sz="2" w:space="0"/>
              <w:left w:val="single" w:color="000000" w:sz="2" w:space="0"/>
              <w:bottom w:val="single" w:color="000000" w:sz="2" w:space="0"/>
              <w:right w:val="single" w:color="000000" w:sz="2" w:space="0"/>
            </w:tcBorders>
            <w:vAlign w:val="center"/>
          </w:tcPr>
          <w:p w14:paraId="1F89E996">
            <w:pPr>
              <w:pStyle w:val="33"/>
              <w:rPr>
                <w:color w:val="auto"/>
              </w:rPr>
            </w:pPr>
            <w:r>
              <w:rPr>
                <w:rFonts w:hint="eastAsia"/>
                <w:color w:val="auto"/>
              </w:rPr>
              <w:t>1#、2#、3#动力锅炉、</w:t>
            </w:r>
          </w:p>
          <w:p w14:paraId="08D2DC30">
            <w:pPr>
              <w:pStyle w:val="33"/>
              <w:rPr>
                <w:color w:val="auto"/>
              </w:rPr>
            </w:pPr>
            <w:r>
              <w:rPr>
                <w:rFonts w:hint="eastAsia"/>
                <w:color w:val="auto"/>
              </w:rPr>
              <w:t>碱回收炉、双氧水车间</w:t>
            </w:r>
          </w:p>
          <w:p w14:paraId="1C55D5DC">
            <w:pPr>
              <w:pStyle w:val="33"/>
              <w:rPr>
                <w:color w:val="auto"/>
              </w:rPr>
            </w:pPr>
            <w:r>
              <w:rPr>
                <w:rFonts w:hint="eastAsia"/>
                <w:color w:val="auto"/>
              </w:rPr>
              <w:t>转化炉</w:t>
            </w:r>
          </w:p>
        </w:tc>
        <w:tc>
          <w:tcPr>
            <w:tcW w:w="1044" w:type="pct"/>
            <w:tcBorders>
              <w:top w:val="single" w:color="000000" w:sz="2" w:space="0"/>
              <w:left w:val="single" w:color="000000" w:sz="2" w:space="0"/>
              <w:bottom w:val="single" w:color="000000" w:sz="2" w:space="0"/>
              <w:right w:val="single" w:color="000000" w:sz="2" w:space="0"/>
            </w:tcBorders>
            <w:vAlign w:val="center"/>
          </w:tcPr>
          <w:p w14:paraId="23FA2A25">
            <w:pPr>
              <w:pStyle w:val="33"/>
              <w:rPr>
                <w:color w:val="auto"/>
              </w:rPr>
            </w:pPr>
            <w:r>
              <w:rPr>
                <w:rFonts w:hint="eastAsia"/>
                <w:color w:val="auto"/>
              </w:rPr>
              <w:t>SO</w:t>
            </w:r>
            <w:r>
              <w:rPr>
                <w:rFonts w:hint="eastAsia"/>
                <w:color w:val="auto"/>
                <w:vertAlign w:val="subscript"/>
              </w:rPr>
              <w:t>2</w:t>
            </w:r>
            <w:r>
              <w:rPr>
                <w:rFonts w:hint="eastAsia"/>
                <w:color w:val="auto"/>
              </w:rPr>
              <w:t>、NOx、烟尘、汞及其化合物</w:t>
            </w:r>
          </w:p>
        </w:tc>
        <w:tc>
          <w:tcPr>
            <w:tcW w:w="731" w:type="pct"/>
            <w:tcBorders>
              <w:top w:val="single" w:color="000000" w:sz="2" w:space="0"/>
              <w:left w:val="single" w:color="000000" w:sz="2" w:space="0"/>
              <w:bottom w:val="single" w:color="000000" w:sz="2" w:space="0"/>
              <w:right w:val="single" w:color="000000" w:sz="2" w:space="0"/>
            </w:tcBorders>
            <w:vAlign w:val="center"/>
          </w:tcPr>
          <w:p w14:paraId="4F2FA362">
            <w:pPr>
              <w:pStyle w:val="33"/>
              <w:rPr>
                <w:color w:val="auto"/>
              </w:rPr>
            </w:pPr>
            <w:r>
              <w:rPr>
                <w:rFonts w:hint="eastAsia"/>
                <w:color w:val="auto"/>
              </w:rPr>
              <w:t>/</w:t>
            </w:r>
          </w:p>
        </w:tc>
        <w:tc>
          <w:tcPr>
            <w:tcW w:w="731" w:type="pct"/>
            <w:tcBorders>
              <w:top w:val="single" w:color="000000" w:sz="2" w:space="0"/>
              <w:left w:val="single" w:color="000000" w:sz="2" w:space="0"/>
              <w:bottom w:val="single" w:color="000000" w:sz="2" w:space="0"/>
              <w:right w:val="single" w:color="000000" w:sz="2" w:space="0"/>
            </w:tcBorders>
            <w:vAlign w:val="center"/>
          </w:tcPr>
          <w:p w14:paraId="719BCD8D">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01298A18">
            <w:pPr>
              <w:pStyle w:val="33"/>
              <w:rPr>
                <w:color w:val="auto"/>
              </w:rPr>
            </w:pPr>
            <w:r>
              <w:rPr>
                <w:rFonts w:hint="eastAsia"/>
                <w:color w:val="auto"/>
              </w:rPr>
              <w:t>超标排放</w:t>
            </w:r>
          </w:p>
        </w:tc>
      </w:tr>
      <w:tr w14:paraId="0D41CBB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16" w:hRule="atLeast"/>
        </w:trPr>
        <w:tc>
          <w:tcPr>
            <w:tcW w:w="342" w:type="pct"/>
            <w:vMerge w:val="continue"/>
            <w:tcBorders>
              <w:left w:val="single" w:color="000000" w:sz="2" w:space="0"/>
              <w:right w:val="single" w:color="000000" w:sz="2" w:space="0"/>
            </w:tcBorders>
            <w:vAlign w:val="center"/>
          </w:tcPr>
          <w:p w14:paraId="66E0F929">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5FC390EB">
            <w:pPr>
              <w:pStyle w:val="33"/>
              <w:rPr>
                <w:color w:val="auto"/>
              </w:rPr>
            </w:pPr>
            <w:r>
              <w:rPr>
                <w:rFonts w:hint="eastAsia"/>
                <w:color w:val="auto"/>
              </w:rPr>
              <w:t>双氧水车间氧化塔排气筒</w:t>
            </w:r>
          </w:p>
        </w:tc>
        <w:tc>
          <w:tcPr>
            <w:tcW w:w="1044" w:type="pct"/>
            <w:tcBorders>
              <w:top w:val="single" w:color="000000" w:sz="2" w:space="0"/>
              <w:left w:val="single" w:color="000000" w:sz="2" w:space="0"/>
              <w:bottom w:val="single" w:color="000000" w:sz="2" w:space="0"/>
              <w:right w:val="single" w:color="000000" w:sz="2" w:space="0"/>
            </w:tcBorders>
            <w:vAlign w:val="center"/>
          </w:tcPr>
          <w:p w14:paraId="6C9B62A2">
            <w:pPr>
              <w:pStyle w:val="33"/>
              <w:rPr>
                <w:color w:val="auto"/>
              </w:rPr>
            </w:pPr>
            <w:r>
              <w:rPr>
                <w:rFonts w:hint="eastAsia"/>
                <w:color w:val="auto"/>
              </w:rPr>
              <w:t>非甲烷总烃、二甲苯</w:t>
            </w:r>
          </w:p>
        </w:tc>
        <w:tc>
          <w:tcPr>
            <w:tcW w:w="731" w:type="pct"/>
            <w:tcBorders>
              <w:top w:val="single" w:color="000000" w:sz="2" w:space="0"/>
              <w:left w:val="single" w:color="000000" w:sz="2" w:space="0"/>
              <w:bottom w:val="single" w:color="000000" w:sz="2" w:space="0"/>
              <w:right w:val="single" w:color="000000" w:sz="2" w:space="0"/>
            </w:tcBorders>
            <w:vAlign w:val="center"/>
          </w:tcPr>
          <w:p w14:paraId="2023C3D6">
            <w:pPr>
              <w:pStyle w:val="33"/>
              <w:rPr>
                <w:color w:val="auto"/>
              </w:rPr>
            </w:pPr>
            <w:r>
              <w:rPr>
                <w:rFonts w:hint="eastAsia"/>
                <w:color w:val="auto"/>
              </w:rPr>
              <w:t>/</w:t>
            </w:r>
          </w:p>
        </w:tc>
        <w:tc>
          <w:tcPr>
            <w:tcW w:w="731" w:type="pct"/>
            <w:tcBorders>
              <w:top w:val="single" w:color="000000" w:sz="2" w:space="0"/>
              <w:left w:val="single" w:color="000000" w:sz="2" w:space="0"/>
              <w:bottom w:val="single" w:color="000000" w:sz="2" w:space="0"/>
              <w:right w:val="single" w:color="000000" w:sz="2" w:space="0"/>
            </w:tcBorders>
            <w:vAlign w:val="center"/>
          </w:tcPr>
          <w:p w14:paraId="171C9A46">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3F572561">
            <w:pPr>
              <w:pStyle w:val="33"/>
              <w:rPr>
                <w:color w:val="auto"/>
              </w:rPr>
            </w:pPr>
            <w:r>
              <w:rPr>
                <w:rFonts w:hint="eastAsia"/>
                <w:color w:val="auto"/>
              </w:rPr>
              <w:t>超标排放</w:t>
            </w:r>
          </w:p>
        </w:tc>
      </w:tr>
      <w:tr w14:paraId="55BB64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16" w:hRule="atLeast"/>
        </w:trPr>
        <w:tc>
          <w:tcPr>
            <w:tcW w:w="342" w:type="pct"/>
            <w:vMerge w:val="continue"/>
            <w:tcBorders>
              <w:left w:val="single" w:color="000000" w:sz="2" w:space="0"/>
              <w:bottom w:val="nil"/>
              <w:right w:val="single" w:color="000000" w:sz="2" w:space="0"/>
            </w:tcBorders>
            <w:vAlign w:val="center"/>
          </w:tcPr>
          <w:p w14:paraId="17305F13">
            <w:pPr>
              <w:pStyle w:val="33"/>
              <w:rPr>
                <w:color w:val="auto"/>
              </w:rPr>
            </w:pPr>
          </w:p>
        </w:tc>
        <w:tc>
          <w:tcPr>
            <w:tcW w:w="1434" w:type="pct"/>
            <w:tcBorders>
              <w:top w:val="single" w:color="000000" w:sz="2" w:space="0"/>
              <w:left w:val="single" w:color="000000" w:sz="2" w:space="0"/>
              <w:bottom w:val="single" w:color="000000" w:sz="2" w:space="0"/>
              <w:right w:val="single" w:color="000000" w:sz="2" w:space="0"/>
            </w:tcBorders>
            <w:vAlign w:val="center"/>
          </w:tcPr>
          <w:p w14:paraId="35BC2495">
            <w:pPr>
              <w:pStyle w:val="33"/>
              <w:rPr>
                <w:color w:val="auto"/>
              </w:rPr>
            </w:pPr>
            <w:r>
              <w:rPr>
                <w:rFonts w:hint="eastAsia"/>
                <w:color w:val="auto"/>
              </w:rPr>
              <w:t>污水处理站</w:t>
            </w:r>
          </w:p>
        </w:tc>
        <w:tc>
          <w:tcPr>
            <w:tcW w:w="1044" w:type="pct"/>
            <w:tcBorders>
              <w:top w:val="single" w:color="000000" w:sz="2" w:space="0"/>
              <w:left w:val="single" w:color="000000" w:sz="2" w:space="0"/>
              <w:bottom w:val="single" w:color="000000" w:sz="2" w:space="0"/>
              <w:right w:val="single" w:color="000000" w:sz="2" w:space="0"/>
            </w:tcBorders>
            <w:vAlign w:val="center"/>
          </w:tcPr>
          <w:p w14:paraId="0DD44950">
            <w:pPr>
              <w:pStyle w:val="33"/>
              <w:rPr>
                <w:color w:val="auto"/>
              </w:rPr>
            </w:pPr>
            <w:r>
              <w:rPr>
                <w:rFonts w:hint="eastAsia"/>
                <w:color w:val="auto"/>
              </w:rPr>
              <w:t>氨、硫酸氢</w:t>
            </w:r>
          </w:p>
        </w:tc>
        <w:tc>
          <w:tcPr>
            <w:tcW w:w="731" w:type="pct"/>
            <w:tcBorders>
              <w:top w:val="single" w:color="000000" w:sz="2" w:space="0"/>
              <w:left w:val="single" w:color="000000" w:sz="2" w:space="0"/>
              <w:bottom w:val="single" w:color="000000" w:sz="2" w:space="0"/>
              <w:right w:val="single" w:color="000000" w:sz="2" w:space="0"/>
            </w:tcBorders>
            <w:vAlign w:val="center"/>
          </w:tcPr>
          <w:p w14:paraId="240D4C18">
            <w:pPr>
              <w:pStyle w:val="33"/>
              <w:rPr>
                <w:color w:val="auto"/>
              </w:rPr>
            </w:pPr>
            <w:r>
              <w:rPr>
                <w:rFonts w:hint="eastAsia"/>
                <w:color w:val="auto"/>
              </w:rPr>
              <w:t>/</w:t>
            </w:r>
          </w:p>
        </w:tc>
        <w:tc>
          <w:tcPr>
            <w:tcW w:w="731" w:type="pct"/>
            <w:tcBorders>
              <w:top w:val="single" w:color="000000" w:sz="2" w:space="0"/>
              <w:left w:val="single" w:color="000000" w:sz="2" w:space="0"/>
              <w:bottom w:val="single" w:color="000000" w:sz="2" w:space="0"/>
              <w:right w:val="single" w:color="000000" w:sz="2" w:space="0"/>
            </w:tcBorders>
            <w:vAlign w:val="center"/>
          </w:tcPr>
          <w:p w14:paraId="2D2CF9E1">
            <w:pPr>
              <w:pStyle w:val="33"/>
              <w:rPr>
                <w:color w:val="auto"/>
              </w:rPr>
            </w:pPr>
            <w:r>
              <w:rPr>
                <w:rFonts w:hint="eastAsia"/>
                <w:color w:val="auto"/>
              </w:rPr>
              <w:t>/</w:t>
            </w:r>
          </w:p>
        </w:tc>
        <w:tc>
          <w:tcPr>
            <w:tcW w:w="718" w:type="pct"/>
            <w:tcBorders>
              <w:top w:val="single" w:color="000000" w:sz="2" w:space="0"/>
              <w:left w:val="single" w:color="000000" w:sz="2" w:space="0"/>
              <w:bottom w:val="single" w:color="000000" w:sz="2" w:space="0"/>
              <w:right w:val="single" w:color="000000" w:sz="2" w:space="0"/>
            </w:tcBorders>
            <w:vAlign w:val="center"/>
          </w:tcPr>
          <w:p w14:paraId="317AF951">
            <w:pPr>
              <w:pStyle w:val="33"/>
              <w:rPr>
                <w:color w:val="auto"/>
              </w:rPr>
            </w:pPr>
            <w:r>
              <w:rPr>
                <w:rFonts w:hint="eastAsia"/>
                <w:color w:val="auto"/>
              </w:rPr>
              <w:t>超标排放</w:t>
            </w:r>
          </w:p>
        </w:tc>
      </w:tr>
      <w:tr w14:paraId="27F2D7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55" w:hRule="atLeast"/>
        </w:trPr>
        <w:tc>
          <w:tcPr>
            <w:tcW w:w="342" w:type="pct"/>
            <w:tcBorders>
              <w:top w:val="single" w:color="000000" w:sz="2" w:space="0"/>
              <w:left w:val="single" w:color="000000" w:sz="2" w:space="0"/>
              <w:bottom w:val="single" w:color="000000" w:sz="2" w:space="0"/>
              <w:right w:val="single" w:color="000000" w:sz="2" w:space="0"/>
            </w:tcBorders>
            <w:vAlign w:val="center"/>
          </w:tcPr>
          <w:p w14:paraId="302FE36C">
            <w:pPr>
              <w:pStyle w:val="33"/>
              <w:rPr>
                <w:color w:val="auto"/>
              </w:rPr>
            </w:pPr>
            <w:r>
              <w:rPr>
                <w:rFonts w:hint="eastAsia"/>
                <w:color w:val="auto"/>
              </w:rPr>
              <w:t>危 废</w:t>
            </w:r>
          </w:p>
        </w:tc>
        <w:tc>
          <w:tcPr>
            <w:tcW w:w="1434" w:type="pct"/>
            <w:tcBorders>
              <w:top w:val="single" w:color="000000" w:sz="2" w:space="0"/>
              <w:left w:val="single" w:color="000000" w:sz="2" w:space="0"/>
              <w:bottom w:val="single" w:color="000000" w:sz="2" w:space="0"/>
              <w:right w:val="single" w:color="000000" w:sz="2" w:space="0"/>
            </w:tcBorders>
            <w:vAlign w:val="center"/>
          </w:tcPr>
          <w:p w14:paraId="383480D3">
            <w:pPr>
              <w:pStyle w:val="33"/>
              <w:rPr>
                <w:color w:val="auto"/>
              </w:rPr>
            </w:pPr>
            <w:r>
              <w:rPr>
                <w:rFonts w:hint="eastAsia"/>
                <w:color w:val="auto"/>
              </w:rPr>
              <w:t>危险废物仓库</w:t>
            </w:r>
          </w:p>
        </w:tc>
        <w:tc>
          <w:tcPr>
            <w:tcW w:w="1044" w:type="pct"/>
            <w:tcBorders>
              <w:top w:val="single" w:color="000000" w:sz="2" w:space="0"/>
              <w:left w:val="single" w:color="000000" w:sz="2" w:space="0"/>
              <w:bottom w:val="single" w:color="000000" w:sz="2" w:space="0"/>
              <w:right w:val="single" w:color="000000" w:sz="2" w:space="0"/>
            </w:tcBorders>
            <w:vAlign w:val="center"/>
          </w:tcPr>
          <w:p w14:paraId="513EE948">
            <w:pPr>
              <w:pStyle w:val="33"/>
              <w:rPr>
                <w:color w:val="auto"/>
              </w:rPr>
            </w:pPr>
            <w:r>
              <w:rPr>
                <w:rFonts w:hint="eastAsia"/>
                <w:color w:val="auto"/>
              </w:rPr>
              <w:t>废矿物油</w:t>
            </w:r>
          </w:p>
        </w:tc>
        <w:tc>
          <w:tcPr>
            <w:tcW w:w="731" w:type="pct"/>
            <w:tcBorders>
              <w:top w:val="single" w:color="000000" w:sz="2" w:space="0"/>
              <w:left w:val="single" w:color="000000" w:sz="2" w:space="0"/>
              <w:bottom w:val="single" w:color="000000" w:sz="2" w:space="0"/>
              <w:right w:val="single" w:color="000000" w:sz="2" w:space="0"/>
            </w:tcBorders>
            <w:vAlign w:val="center"/>
          </w:tcPr>
          <w:p w14:paraId="758845B2">
            <w:pPr>
              <w:pStyle w:val="33"/>
              <w:rPr>
                <w:color w:val="auto"/>
              </w:rPr>
            </w:pPr>
            <w:r>
              <w:rPr>
                <w:rFonts w:hint="eastAsia"/>
                <w:color w:val="auto"/>
              </w:rPr>
              <w:t>油桶</w:t>
            </w:r>
          </w:p>
        </w:tc>
        <w:tc>
          <w:tcPr>
            <w:tcW w:w="731" w:type="pct"/>
            <w:tcBorders>
              <w:top w:val="single" w:color="000000" w:sz="2" w:space="0"/>
              <w:left w:val="single" w:color="000000" w:sz="2" w:space="0"/>
              <w:bottom w:val="single" w:color="000000" w:sz="2" w:space="0"/>
              <w:right w:val="single" w:color="000000" w:sz="2" w:space="0"/>
            </w:tcBorders>
            <w:vAlign w:val="center"/>
          </w:tcPr>
          <w:p w14:paraId="07E6B601">
            <w:pPr>
              <w:pStyle w:val="33"/>
              <w:rPr>
                <w:color w:val="auto"/>
              </w:rPr>
            </w:pPr>
            <w:r>
              <w:rPr>
                <w:rFonts w:hint="eastAsia"/>
                <w:color w:val="auto"/>
              </w:rPr>
              <w:t>100</w:t>
            </w:r>
          </w:p>
        </w:tc>
        <w:tc>
          <w:tcPr>
            <w:tcW w:w="718" w:type="pct"/>
            <w:tcBorders>
              <w:top w:val="single" w:color="000000" w:sz="2" w:space="0"/>
              <w:left w:val="single" w:color="000000" w:sz="2" w:space="0"/>
              <w:bottom w:val="single" w:color="000000" w:sz="2" w:space="0"/>
              <w:right w:val="single" w:color="000000" w:sz="2" w:space="0"/>
            </w:tcBorders>
            <w:vAlign w:val="center"/>
          </w:tcPr>
          <w:p w14:paraId="38E0ED0D">
            <w:pPr>
              <w:pStyle w:val="33"/>
              <w:rPr>
                <w:color w:val="auto"/>
              </w:rPr>
            </w:pPr>
            <w:r>
              <w:rPr>
                <w:rFonts w:hint="eastAsia"/>
                <w:color w:val="auto"/>
              </w:rPr>
              <w:t>泄漏</w:t>
            </w:r>
          </w:p>
        </w:tc>
      </w:tr>
    </w:tbl>
    <w:p w14:paraId="2A3E4F6E">
      <w:pPr>
        <w:ind w:firstLine="480"/>
        <w:rPr>
          <w:color w:val="auto"/>
        </w:rPr>
      </w:pPr>
    </w:p>
    <w:p w14:paraId="3379ED9A">
      <w:pPr>
        <w:pStyle w:val="4"/>
        <w:rPr>
          <w:rFonts w:cs="Times New Roman"/>
          <w:color w:val="auto"/>
        </w:rPr>
      </w:pPr>
      <w:bookmarkStart w:id="531" w:name="_Toc225216832"/>
      <w:r>
        <w:rPr>
          <w:rFonts w:cs="Times New Roman"/>
          <w:color w:val="auto"/>
        </w:rPr>
        <w:t>企业现有环境风险防控与应急措施</w:t>
      </w:r>
      <w:bookmarkEnd w:id="531"/>
    </w:p>
    <w:p w14:paraId="679D0116">
      <w:pPr>
        <w:pStyle w:val="5"/>
        <w:rPr>
          <w:rFonts w:cs="Times New Roman"/>
          <w:color w:val="auto"/>
        </w:rPr>
      </w:pPr>
      <w:r>
        <w:rPr>
          <w:rFonts w:cs="Times New Roman"/>
          <w:color w:val="auto"/>
        </w:rPr>
        <w:t>企业现有环境风险防控情况</w:t>
      </w:r>
    </w:p>
    <w:p w14:paraId="0D3FA886">
      <w:pPr>
        <w:ind w:firstLine="480"/>
        <w:rPr>
          <w:color w:val="auto"/>
        </w:rPr>
      </w:pPr>
      <w:r>
        <w:rPr>
          <w:rFonts w:hint="eastAsia" w:cs="Times New Roman"/>
          <w:color w:val="auto"/>
        </w:rPr>
        <w:t>广西金桂浆纸业有限公司</w:t>
      </w:r>
      <w:r>
        <w:rPr>
          <w:rFonts w:hint="eastAsia"/>
          <w:color w:val="auto"/>
        </w:rPr>
        <w:t>已于2024年2月编制完成突发环境事件应急预案并备案，，备案号为：4507</w:t>
      </w:r>
      <w:r>
        <w:rPr>
          <w:color w:val="auto"/>
        </w:rPr>
        <w:t>02-2024-00</w:t>
      </w:r>
      <w:r>
        <w:rPr>
          <w:rFonts w:hint="eastAsia"/>
          <w:color w:val="auto"/>
        </w:rPr>
        <w:t>21</w:t>
      </w:r>
      <w:r>
        <w:rPr>
          <w:color w:val="auto"/>
        </w:rPr>
        <w:t>-H</w:t>
      </w:r>
      <w:r>
        <w:rPr>
          <w:rFonts w:hint="eastAsia"/>
          <w:color w:val="auto"/>
        </w:rPr>
        <w:t>，企业厂区现有环境风险防控与应急措施见下表。</w:t>
      </w:r>
    </w:p>
    <w:p w14:paraId="5E30D600">
      <w:pPr>
        <w:pStyle w:val="7"/>
        <w:rPr>
          <w:color w:val="auto"/>
        </w:rPr>
      </w:pPr>
      <w:r>
        <w:rPr>
          <w:color w:val="auto"/>
        </w:rPr>
        <w:t>企业现有环境风险防控与应急措施</w:t>
      </w:r>
    </w:p>
    <w:tbl>
      <w:tblPr>
        <w:tblStyle w:val="26"/>
        <w:tblW w:w="9104" w:type="dxa"/>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2170"/>
        <w:gridCol w:w="1354"/>
        <w:gridCol w:w="2139"/>
        <w:gridCol w:w="2746"/>
      </w:tblGrid>
      <w:tr w14:paraId="1044E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blHeader/>
        </w:trPr>
        <w:tc>
          <w:tcPr>
            <w:tcW w:w="695" w:type="dxa"/>
            <w:vAlign w:val="center"/>
          </w:tcPr>
          <w:p w14:paraId="128E961E">
            <w:pPr>
              <w:pStyle w:val="33"/>
              <w:rPr>
                <w:color w:val="auto"/>
              </w:rPr>
            </w:pPr>
            <w:r>
              <w:rPr>
                <w:rFonts w:hint="eastAsia"/>
                <w:color w:val="auto"/>
              </w:rPr>
              <w:t>类别</w:t>
            </w:r>
          </w:p>
        </w:tc>
        <w:tc>
          <w:tcPr>
            <w:tcW w:w="2170" w:type="dxa"/>
            <w:vAlign w:val="center"/>
          </w:tcPr>
          <w:p w14:paraId="0321C7C1">
            <w:pPr>
              <w:pStyle w:val="33"/>
              <w:rPr>
                <w:color w:val="auto"/>
              </w:rPr>
            </w:pPr>
            <w:r>
              <w:rPr>
                <w:rFonts w:hint="eastAsia"/>
                <w:color w:val="auto"/>
              </w:rPr>
              <w:t>风险单元</w:t>
            </w:r>
          </w:p>
        </w:tc>
        <w:tc>
          <w:tcPr>
            <w:tcW w:w="1354" w:type="dxa"/>
            <w:vAlign w:val="center"/>
          </w:tcPr>
          <w:p w14:paraId="41F8FC33">
            <w:pPr>
              <w:pStyle w:val="33"/>
              <w:rPr>
                <w:color w:val="auto"/>
              </w:rPr>
            </w:pPr>
            <w:r>
              <w:rPr>
                <w:rFonts w:hint="eastAsia"/>
                <w:color w:val="auto"/>
              </w:rPr>
              <w:t>风险物质</w:t>
            </w:r>
          </w:p>
        </w:tc>
        <w:tc>
          <w:tcPr>
            <w:tcW w:w="2139" w:type="dxa"/>
            <w:vAlign w:val="center"/>
          </w:tcPr>
          <w:p w14:paraId="07EFF624">
            <w:pPr>
              <w:pStyle w:val="33"/>
              <w:rPr>
                <w:color w:val="auto"/>
              </w:rPr>
            </w:pPr>
            <w:r>
              <w:rPr>
                <w:rFonts w:hint="eastAsia"/>
                <w:color w:val="auto"/>
              </w:rPr>
              <w:t>日常管理情况</w:t>
            </w:r>
          </w:p>
        </w:tc>
        <w:tc>
          <w:tcPr>
            <w:tcW w:w="2746" w:type="dxa"/>
            <w:vAlign w:val="center"/>
          </w:tcPr>
          <w:p w14:paraId="1BC283BE">
            <w:pPr>
              <w:pStyle w:val="33"/>
              <w:rPr>
                <w:color w:val="auto"/>
              </w:rPr>
            </w:pPr>
            <w:r>
              <w:rPr>
                <w:rFonts w:hint="eastAsia"/>
                <w:color w:val="auto"/>
              </w:rPr>
              <w:t>现场防控措施</w:t>
            </w:r>
          </w:p>
        </w:tc>
      </w:tr>
      <w:tr w14:paraId="3189E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6" w:hRule="atLeast"/>
        </w:trPr>
        <w:tc>
          <w:tcPr>
            <w:tcW w:w="695" w:type="dxa"/>
            <w:vMerge w:val="restart"/>
            <w:vAlign w:val="center"/>
          </w:tcPr>
          <w:p w14:paraId="3D654520">
            <w:pPr>
              <w:pStyle w:val="33"/>
              <w:rPr>
                <w:color w:val="auto"/>
              </w:rPr>
            </w:pPr>
            <w:r>
              <w:rPr>
                <w:rFonts w:hint="eastAsia"/>
                <w:color w:val="auto"/>
              </w:rPr>
              <w:t>风险物质</w:t>
            </w:r>
          </w:p>
        </w:tc>
        <w:tc>
          <w:tcPr>
            <w:tcW w:w="2170" w:type="dxa"/>
            <w:vAlign w:val="center"/>
          </w:tcPr>
          <w:p w14:paraId="7119A00F">
            <w:pPr>
              <w:pStyle w:val="33"/>
              <w:rPr>
                <w:color w:val="auto"/>
              </w:rPr>
            </w:pPr>
            <w:r>
              <w:rPr>
                <w:rFonts w:hint="eastAsia"/>
                <w:color w:val="auto"/>
              </w:rPr>
              <w:t>热电厂氨站</w:t>
            </w:r>
          </w:p>
        </w:tc>
        <w:tc>
          <w:tcPr>
            <w:tcW w:w="1354" w:type="dxa"/>
            <w:vAlign w:val="center"/>
          </w:tcPr>
          <w:p w14:paraId="7F1E4B91">
            <w:pPr>
              <w:pStyle w:val="33"/>
              <w:rPr>
                <w:color w:val="auto"/>
              </w:rPr>
            </w:pPr>
            <w:r>
              <w:rPr>
                <w:rFonts w:hint="eastAsia"/>
                <w:color w:val="auto"/>
              </w:rPr>
              <w:t>液氨</w:t>
            </w:r>
          </w:p>
        </w:tc>
        <w:tc>
          <w:tcPr>
            <w:tcW w:w="2139" w:type="dxa"/>
            <w:vAlign w:val="center"/>
          </w:tcPr>
          <w:p w14:paraId="4845FE13">
            <w:pPr>
              <w:pStyle w:val="33"/>
              <w:rPr>
                <w:color w:val="auto"/>
              </w:rPr>
            </w:pPr>
            <w:r>
              <w:rPr>
                <w:rFonts w:hint="eastAsia"/>
                <w:color w:val="auto"/>
              </w:rPr>
              <w:t>《氨站安全管理作业指导》、《氨站设备管理作业指导》、《液氨卸车作业指导》</w:t>
            </w:r>
          </w:p>
        </w:tc>
        <w:tc>
          <w:tcPr>
            <w:tcW w:w="2746" w:type="dxa"/>
            <w:vAlign w:val="center"/>
          </w:tcPr>
          <w:p w14:paraId="4030F73E">
            <w:pPr>
              <w:pStyle w:val="33"/>
              <w:rPr>
                <w:color w:val="auto"/>
              </w:rPr>
            </w:pPr>
            <w:r>
              <w:rPr>
                <w:rFonts w:hint="eastAsia"/>
                <w:color w:val="auto"/>
              </w:rPr>
              <w:t>①槽罐贮存，设置围堰、泄漏管道、应急池；②安装泄漏报警系统、超压切断装置和自动喷淋系统；③建立24小时值班制度，并安装摄像监控系统；④风险告知牌、应急处置牌上墙。</w:t>
            </w:r>
          </w:p>
        </w:tc>
      </w:tr>
      <w:tr w14:paraId="2A837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5" w:hRule="atLeast"/>
        </w:trPr>
        <w:tc>
          <w:tcPr>
            <w:tcW w:w="695" w:type="dxa"/>
            <w:vMerge w:val="continue"/>
            <w:vAlign w:val="center"/>
          </w:tcPr>
          <w:p w14:paraId="122DDA3E">
            <w:pPr>
              <w:pStyle w:val="33"/>
              <w:rPr>
                <w:color w:val="auto"/>
              </w:rPr>
            </w:pPr>
          </w:p>
        </w:tc>
        <w:tc>
          <w:tcPr>
            <w:tcW w:w="2170" w:type="dxa"/>
            <w:vAlign w:val="center"/>
          </w:tcPr>
          <w:p w14:paraId="041A4342">
            <w:pPr>
              <w:pStyle w:val="33"/>
              <w:rPr>
                <w:color w:val="auto"/>
              </w:rPr>
            </w:pPr>
            <w:r>
              <w:rPr>
                <w:rFonts w:hint="eastAsia"/>
                <w:color w:val="auto"/>
              </w:rPr>
              <w:t>双氧水车间、制浆车间储罐区</w:t>
            </w:r>
          </w:p>
        </w:tc>
        <w:tc>
          <w:tcPr>
            <w:tcW w:w="1354" w:type="dxa"/>
            <w:vAlign w:val="center"/>
          </w:tcPr>
          <w:p w14:paraId="7E93006E">
            <w:pPr>
              <w:pStyle w:val="33"/>
              <w:rPr>
                <w:color w:val="auto"/>
              </w:rPr>
            </w:pPr>
            <w:r>
              <w:rPr>
                <w:rFonts w:hint="eastAsia"/>
                <w:color w:val="auto"/>
              </w:rPr>
              <w:t>过氧化氢（浓度27.5%）</w:t>
            </w:r>
          </w:p>
        </w:tc>
        <w:tc>
          <w:tcPr>
            <w:tcW w:w="2139" w:type="dxa"/>
            <w:vAlign w:val="center"/>
          </w:tcPr>
          <w:p w14:paraId="68848AC6">
            <w:pPr>
              <w:pStyle w:val="33"/>
              <w:rPr>
                <w:color w:val="auto"/>
              </w:rPr>
            </w:pPr>
            <w:r>
              <w:rPr>
                <w:color w:val="auto"/>
              </w:rPr>
              <w:fldChar w:fldCharType="begin"/>
            </w:r>
            <w:r>
              <w:rPr>
                <w:color w:val="auto"/>
              </w:rPr>
              <w:instrText xml:space="preserve"> HYPERLINK "http://172.23.196.253/jggm_ad/dm/dmreader.aspx?file01=DMAD00000011935&amp;spac02=dm0101" </w:instrText>
            </w:r>
            <w:r>
              <w:rPr>
                <w:color w:val="auto"/>
              </w:rPr>
              <w:fldChar w:fldCharType="separate"/>
            </w:r>
            <w:r>
              <w:rPr>
                <w:rFonts w:hint="eastAsia"/>
                <w:color w:val="auto"/>
              </w:rPr>
              <w:t>《制浆处过氧化氢卸</w:t>
            </w:r>
            <w:r>
              <w:rPr>
                <w:rFonts w:hint="eastAsia"/>
                <w:color w:val="auto"/>
              </w:rPr>
              <w:fldChar w:fldCharType="end"/>
            </w:r>
            <w:r>
              <w:rPr>
                <w:rFonts w:hint="eastAsia"/>
                <w:color w:val="auto"/>
              </w:rPr>
              <w:t>料安全作业指导书》、</w:t>
            </w:r>
            <w:r>
              <w:rPr>
                <w:color w:val="auto"/>
              </w:rPr>
              <w:fldChar w:fldCharType="begin"/>
            </w:r>
            <w:r>
              <w:rPr>
                <w:color w:val="auto"/>
              </w:rPr>
              <w:instrText xml:space="preserve"> HYPERLINK "http://172.23.196.253/jggm_ad/dm/dmreader.aspx?file01=DMAD00000014517&amp;spac02=dm0101" </w:instrText>
            </w:r>
            <w:r>
              <w:rPr>
                <w:color w:val="auto"/>
              </w:rPr>
              <w:fldChar w:fldCharType="separate"/>
            </w:r>
            <w:r>
              <w:rPr>
                <w:rFonts w:hint="eastAsia"/>
                <w:color w:val="auto"/>
              </w:rPr>
              <w:t>《过氧化氢厂危险化</w:t>
            </w:r>
            <w:r>
              <w:rPr>
                <w:rFonts w:hint="eastAsia"/>
                <w:color w:val="auto"/>
              </w:rPr>
              <w:fldChar w:fldCharType="end"/>
            </w:r>
            <w:r>
              <w:rPr>
                <w:rFonts w:hint="eastAsia"/>
                <w:color w:val="auto"/>
              </w:rPr>
              <w:t>学品安全管理制度》、</w:t>
            </w:r>
            <w:r>
              <w:rPr>
                <w:color w:val="auto"/>
              </w:rPr>
              <w:fldChar w:fldCharType="begin"/>
            </w:r>
            <w:r>
              <w:rPr>
                <w:color w:val="auto"/>
              </w:rPr>
              <w:instrText xml:space="preserve"> HYPERLINK "http://172.23.196.253/jggm_ad/dm/dmreader.aspx?file01=DMAD00000014531&amp;spac02=dm0101" </w:instrText>
            </w:r>
            <w:r>
              <w:rPr>
                <w:color w:val="auto"/>
              </w:rPr>
              <w:fldChar w:fldCharType="separate"/>
            </w:r>
            <w:r>
              <w:rPr>
                <w:rFonts w:hint="eastAsia"/>
                <w:color w:val="auto"/>
              </w:rPr>
              <w:t>《双氧水厂环保管理</w:t>
            </w:r>
            <w:r>
              <w:rPr>
                <w:rFonts w:hint="eastAsia"/>
                <w:color w:val="auto"/>
              </w:rPr>
              <w:fldChar w:fldCharType="end"/>
            </w:r>
            <w:r>
              <w:rPr>
                <w:color w:val="auto"/>
              </w:rPr>
              <w:fldChar w:fldCharType="begin"/>
            </w:r>
            <w:r>
              <w:rPr>
                <w:color w:val="auto"/>
              </w:rPr>
              <w:instrText xml:space="preserve"> HYPERLINK "http://172.23.196.253/jggm_ad/dm/dmreader.aspx?file01=DMAD00000014514&amp;spac02=dm0101" </w:instrText>
            </w:r>
            <w:r>
              <w:rPr>
                <w:color w:val="auto"/>
              </w:rPr>
              <w:fldChar w:fldCharType="separate"/>
            </w:r>
            <w:r>
              <w:rPr>
                <w:rFonts w:hint="eastAsia"/>
                <w:color w:val="auto"/>
              </w:rPr>
              <w:t>制度》、《双氧水厂</w:t>
            </w:r>
            <w:r>
              <w:rPr>
                <w:rFonts w:hint="eastAsia"/>
                <w:color w:val="auto"/>
              </w:rPr>
              <w:fldChar w:fldCharType="end"/>
            </w:r>
            <w:r>
              <w:rPr>
                <w:rFonts w:hint="eastAsia"/>
                <w:color w:val="auto"/>
              </w:rPr>
              <w:t>应急管理制度》</w:t>
            </w:r>
          </w:p>
        </w:tc>
        <w:tc>
          <w:tcPr>
            <w:tcW w:w="2746" w:type="dxa"/>
            <w:vAlign w:val="center"/>
          </w:tcPr>
          <w:p w14:paraId="3FCCAFDC">
            <w:pPr>
              <w:pStyle w:val="33"/>
              <w:rPr>
                <w:color w:val="auto"/>
              </w:rPr>
            </w:pPr>
            <w:r>
              <w:rPr>
                <w:rFonts w:hint="eastAsia"/>
                <w:color w:val="auto"/>
              </w:rPr>
              <w:t>①槽罐贮存，设置围堰、导流沟和应急池；②设置警告标志，储罐设置液位报警器；③建立24小时值班制度，并安装摄像监控系统；④风险告知牌、应急处置牌上墙。</w:t>
            </w:r>
          </w:p>
        </w:tc>
      </w:tr>
      <w:tr w14:paraId="579CA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695" w:type="dxa"/>
            <w:vMerge w:val="continue"/>
            <w:vAlign w:val="center"/>
          </w:tcPr>
          <w:p w14:paraId="101063BF">
            <w:pPr>
              <w:pStyle w:val="33"/>
              <w:rPr>
                <w:color w:val="auto"/>
              </w:rPr>
            </w:pPr>
          </w:p>
        </w:tc>
        <w:tc>
          <w:tcPr>
            <w:tcW w:w="2170" w:type="dxa"/>
            <w:vAlign w:val="center"/>
          </w:tcPr>
          <w:p w14:paraId="5FCF4058">
            <w:pPr>
              <w:pStyle w:val="33"/>
              <w:rPr>
                <w:color w:val="auto"/>
              </w:rPr>
            </w:pPr>
            <w:r>
              <w:rPr>
                <w:rFonts w:hint="eastAsia"/>
                <w:color w:val="auto"/>
              </w:rPr>
              <w:t>污水处理车间储罐区</w:t>
            </w:r>
          </w:p>
        </w:tc>
        <w:tc>
          <w:tcPr>
            <w:tcW w:w="1354" w:type="dxa"/>
            <w:vAlign w:val="center"/>
          </w:tcPr>
          <w:p w14:paraId="2CE46562">
            <w:pPr>
              <w:pStyle w:val="33"/>
              <w:rPr>
                <w:color w:val="auto"/>
              </w:rPr>
            </w:pPr>
            <w:r>
              <w:rPr>
                <w:rFonts w:hint="eastAsia"/>
                <w:color w:val="auto"/>
              </w:rPr>
              <w:t>盐酸（浓度31%）</w:t>
            </w:r>
          </w:p>
        </w:tc>
        <w:tc>
          <w:tcPr>
            <w:tcW w:w="2139" w:type="dxa"/>
            <w:vMerge w:val="restart"/>
            <w:vAlign w:val="center"/>
          </w:tcPr>
          <w:p w14:paraId="51122C47">
            <w:pPr>
              <w:pStyle w:val="33"/>
              <w:rPr>
                <w:color w:val="auto"/>
              </w:rPr>
            </w:pPr>
            <w:r>
              <w:rPr>
                <w:rFonts w:hint="eastAsia"/>
                <w:color w:val="auto"/>
              </w:rPr>
              <w:t>《危险化学品安全管理办法》、《化学品泄漏专项应急预案》、《危险化学品卸料安全作业指导书》、《NaOH（氢氧化钠）作业指导书》、《次氯酸钠卸料作业指导书》</w:t>
            </w:r>
          </w:p>
        </w:tc>
        <w:tc>
          <w:tcPr>
            <w:tcW w:w="2746" w:type="dxa"/>
            <w:vMerge w:val="restart"/>
            <w:vAlign w:val="center"/>
          </w:tcPr>
          <w:p w14:paraId="41398B2A">
            <w:pPr>
              <w:pStyle w:val="33"/>
              <w:rPr>
                <w:color w:val="auto"/>
              </w:rPr>
            </w:pPr>
            <w:r>
              <w:rPr>
                <w:rFonts w:hint="eastAsia"/>
                <w:color w:val="auto"/>
              </w:rPr>
              <w:t>①槽罐贮存，设置围堰、导流沟和应急池或污水管网；②设置警告标志；③建立24小时值班制度，并安装摄像监控系统；④风险告知牌、应急处置牌上墙。</w:t>
            </w:r>
          </w:p>
        </w:tc>
      </w:tr>
      <w:tr w14:paraId="4F843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695" w:type="dxa"/>
            <w:vMerge w:val="continue"/>
            <w:vAlign w:val="center"/>
          </w:tcPr>
          <w:p w14:paraId="30FC717C">
            <w:pPr>
              <w:pStyle w:val="33"/>
              <w:rPr>
                <w:color w:val="auto"/>
              </w:rPr>
            </w:pPr>
          </w:p>
        </w:tc>
        <w:tc>
          <w:tcPr>
            <w:tcW w:w="2170" w:type="dxa"/>
            <w:vAlign w:val="center"/>
          </w:tcPr>
          <w:p w14:paraId="5F9A7B36">
            <w:pPr>
              <w:pStyle w:val="33"/>
              <w:rPr>
                <w:color w:val="auto"/>
              </w:rPr>
            </w:pPr>
            <w:r>
              <w:rPr>
                <w:rFonts w:hint="eastAsia"/>
                <w:color w:val="auto"/>
              </w:rPr>
              <w:t>污水处理车间储罐区</w:t>
            </w:r>
          </w:p>
        </w:tc>
        <w:tc>
          <w:tcPr>
            <w:tcW w:w="1354" w:type="dxa"/>
            <w:vAlign w:val="center"/>
          </w:tcPr>
          <w:p w14:paraId="4475A64D">
            <w:pPr>
              <w:pStyle w:val="33"/>
              <w:rPr>
                <w:color w:val="auto"/>
              </w:rPr>
            </w:pPr>
            <w:r>
              <w:rPr>
                <w:rFonts w:hint="eastAsia"/>
                <w:color w:val="auto"/>
              </w:rPr>
              <w:t>硫酸</w:t>
            </w:r>
          </w:p>
        </w:tc>
        <w:tc>
          <w:tcPr>
            <w:tcW w:w="2139" w:type="dxa"/>
            <w:vMerge w:val="continue"/>
            <w:vAlign w:val="center"/>
          </w:tcPr>
          <w:p w14:paraId="7079B016">
            <w:pPr>
              <w:pStyle w:val="33"/>
              <w:rPr>
                <w:color w:val="auto"/>
              </w:rPr>
            </w:pPr>
          </w:p>
        </w:tc>
        <w:tc>
          <w:tcPr>
            <w:tcW w:w="2746" w:type="dxa"/>
            <w:vMerge w:val="continue"/>
            <w:vAlign w:val="center"/>
          </w:tcPr>
          <w:p w14:paraId="07652D36">
            <w:pPr>
              <w:pStyle w:val="33"/>
              <w:rPr>
                <w:color w:val="auto"/>
              </w:rPr>
            </w:pPr>
          </w:p>
        </w:tc>
      </w:tr>
      <w:tr w14:paraId="24A73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695" w:type="dxa"/>
            <w:vMerge w:val="continue"/>
            <w:vAlign w:val="center"/>
          </w:tcPr>
          <w:p w14:paraId="1E0FDFDF">
            <w:pPr>
              <w:pStyle w:val="33"/>
              <w:rPr>
                <w:color w:val="auto"/>
              </w:rPr>
            </w:pPr>
          </w:p>
        </w:tc>
        <w:tc>
          <w:tcPr>
            <w:tcW w:w="2170" w:type="dxa"/>
            <w:vAlign w:val="center"/>
          </w:tcPr>
          <w:p w14:paraId="620C39EA">
            <w:pPr>
              <w:pStyle w:val="33"/>
              <w:rPr>
                <w:color w:val="auto"/>
              </w:rPr>
            </w:pPr>
            <w:r>
              <w:rPr>
                <w:rFonts w:hint="eastAsia"/>
                <w:color w:val="auto"/>
              </w:rPr>
              <w:t>制浆车间储罐区</w:t>
            </w:r>
          </w:p>
        </w:tc>
        <w:tc>
          <w:tcPr>
            <w:tcW w:w="1354" w:type="dxa"/>
            <w:vAlign w:val="center"/>
          </w:tcPr>
          <w:p w14:paraId="0A169FED">
            <w:pPr>
              <w:pStyle w:val="33"/>
              <w:rPr>
                <w:color w:val="auto"/>
              </w:rPr>
            </w:pPr>
            <w:r>
              <w:rPr>
                <w:rFonts w:hint="eastAsia"/>
                <w:color w:val="auto"/>
              </w:rPr>
              <w:t>乙酸</w:t>
            </w:r>
          </w:p>
        </w:tc>
        <w:tc>
          <w:tcPr>
            <w:tcW w:w="2139" w:type="dxa"/>
            <w:vMerge w:val="continue"/>
            <w:vAlign w:val="center"/>
          </w:tcPr>
          <w:p w14:paraId="2101F960">
            <w:pPr>
              <w:pStyle w:val="33"/>
              <w:rPr>
                <w:color w:val="auto"/>
              </w:rPr>
            </w:pPr>
          </w:p>
        </w:tc>
        <w:tc>
          <w:tcPr>
            <w:tcW w:w="2746" w:type="dxa"/>
            <w:vMerge w:val="continue"/>
            <w:vAlign w:val="center"/>
          </w:tcPr>
          <w:p w14:paraId="63C8AD24">
            <w:pPr>
              <w:pStyle w:val="33"/>
              <w:rPr>
                <w:color w:val="auto"/>
              </w:rPr>
            </w:pPr>
          </w:p>
        </w:tc>
      </w:tr>
      <w:tr w14:paraId="4004E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 w:hRule="atLeast"/>
        </w:trPr>
        <w:tc>
          <w:tcPr>
            <w:tcW w:w="695" w:type="dxa"/>
            <w:vMerge w:val="continue"/>
            <w:vAlign w:val="center"/>
          </w:tcPr>
          <w:p w14:paraId="3D5DF53A">
            <w:pPr>
              <w:pStyle w:val="33"/>
              <w:rPr>
                <w:color w:val="auto"/>
              </w:rPr>
            </w:pPr>
          </w:p>
        </w:tc>
        <w:tc>
          <w:tcPr>
            <w:tcW w:w="2170" w:type="dxa"/>
            <w:vAlign w:val="center"/>
          </w:tcPr>
          <w:p w14:paraId="58958FCE">
            <w:pPr>
              <w:pStyle w:val="33"/>
              <w:rPr>
                <w:color w:val="auto"/>
              </w:rPr>
            </w:pPr>
            <w:r>
              <w:rPr>
                <w:rFonts w:hint="eastAsia"/>
                <w:color w:val="auto"/>
              </w:rPr>
              <w:t>制浆车间储罐区</w:t>
            </w:r>
          </w:p>
        </w:tc>
        <w:tc>
          <w:tcPr>
            <w:tcW w:w="1354" w:type="dxa"/>
            <w:vAlign w:val="center"/>
          </w:tcPr>
          <w:p w14:paraId="7CBAB497">
            <w:pPr>
              <w:pStyle w:val="33"/>
              <w:rPr>
                <w:color w:val="auto"/>
              </w:rPr>
            </w:pPr>
            <w:r>
              <w:rPr>
                <w:rFonts w:hint="eastAsia"/>
                <w:color w:val="auto"/>
              </w:rPr>
              <w:t>氢氧化钠</w:t>
            </w:r>
          </w:p>
        </w:tc>
        <w:tc>
          <w:tcPr>
            <w:tcW w:w="2139" w:type="dxa"/>
            <w:vMerge w:val="continue"/>
            <w:vAlign w:val="center"/>
          </w:tcPr>
          <w:p w14:paraId="21AEEE22">
            <w:pPr>
              <w:pStyle w:val="33"/>
              <w:rPr>
                <w:color w:val="auto"/>
              </w:rPr>
            </w:pPr>
          </w:p>
        </w:tc>
        <w:tc>
          <w:tcPr>
            <w:tcW w:w="2746" w:type="dxa"/>
            <w:vMerge w:val="continue"/>
            <w:vAlign w:val="center"/>
          </w:tcPr>
          <w:p w14:paraId="4EF249C5">
            <w:pPr>
              <w:pStyle w:val="33"/>
              <w:rPr>
                <w:color w:val="auto"/>
              </w:rPr>
            </w:pPr>
          </w:p>
        </w:tc>
      </w:tr>
      <w:tr w14:paraId="089D9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1" w:hRule="atLeast"/>
        </w:trPr>
        <w:tc>
          <w:tcPr>
            <w:tcW w:w="695" w:type="dxa"/>
            <w:vMerge w:val="continue"/>
            <w:vAlign w:val="center"/>
          </w:tcPr>
          <w:p w14:paraId="16F798BD">
            <w:pPr>
              <w:pStyle w:val="33"/>
              <w:rPr>
                <w:color w:val="auto"/>
              </w:rPr>
            </w:pPr>
          </w:p>
        </w:tc>
        <w:tc>
          <w:tcPr>
            <w:tcW w:w="2170" w:type="dxa"/>
            <w:vAlign w:val="center"/>
          </w:tcPr>
          <w:p w14:paraId="33AB5A3C">
            <w:pPr>
              <w:pStyle w:val="33"/>
              <w:rPr>
                <w:color w:val="auto"/>
              </w:rPr>
            </w:pPr>
            <w:r>
              <w:rPr>
                <w:rFonts w:hint="eastAsia"/>
                <w:color w:val="auto"/>
              </w:rPr>
              <w:t>原水处理车间储罐区</w:t>
            </w:r>
          </w:p>
        </w:tc>
        <w:tc>
          <w:tcPr>
            <w:tcW w:w="1354" w:type="dxa"/>
            <w:vAlign w:val="center"/>
          </w:tcPr>
          <w:p w14:paraId="4FB185E4">
            <w:pPr>
              <w:pStyle w:val="33"/>
              <w:rPr>
                <w:color w:val="auto"/>
              </w:rPr>
            </w:pPr>
            <w:r>
              <w:rPr>
                <w:rFonts w:hint="eastAsia"/>
                <w:color w:val="auto"/>
              </w:rPr>
              <w:t>次氯酸钠（浓度1.25%）</w:t>
            </w:r>
          </w:p>
        </w:tc>
        <w:tc>
          <w:tcPr>
            <w:tcW w:w="2139" w:type="dxa"/>
            <w:vMerge w:val="continue"/>
            <w:vAlign w:val="center"/>
          </w:tcPr>
          <w:p w14:paraId="686A4A5A">
            <w:pPr>
              <w:pStyle w:val="33"/>
              <w:rPr>
                <w:color w:val="auto"/>
              </w:rPr>
            </w:pPr>
          </w:p>
        </w:tc>
        <w:tc>
          <w:tcPr>
            <w:tcW w:w="2746" w:type="dxa"/>
            <w:vMerge w:val="continue"/>
            <w:vAlign w:val="center"/>
          </w:tcPr>
          <w:p w14:paraId="50B34652">
            <w:pPr>
              <w:pStyle w:val="33"/>
              <w:rPr>
                <w:color w:val="auto"/>
              </w:rPr>
            </w:pPr>
          </w:p>
        </w:tc>
      </w:tr>
      <w:tr w14:paraId="6FDA6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4" w:hRule="atLeast"/>
        </w:trPr>
        <w:tc>
          <w:tcPr>
            <w:tcW w:w="695" w:type="dxa"/>
            <w:vMerge w:val="continue"/>
            <w:vAlign w:val="center"/>
          </w:tcPr>
          <w:p w14:paraId="211C3153">
            <w:pPr>
              <w:pStyle w:val="33"/>
              <w:rPr>
                <w:color w:val="auto"/>
              </w:rPr>
            </w:pPr>
          </w:p>
        </w:tc>
        <w:tc>
          <w:tcPr>
            <w:tcW w:w="2170" w:type="dxa"/>
            <w:vAlign w:val="center"/>
          </w:tcPr>
          <w:p w14:paraId="519D0396">
            <w:pPr>
              <w:pStyle w:val="33"/>
              <w:rPr>
                <w:color w:val="auto"/>
              </w:rPr>
            </w:pPr>
            <w:r>
              <w:rPr>
                <w:rFonts w:hint="eastAsia"/>
                <w:color w:val="auto"/>
              </w:rPr>
              <w:t>双氧水车间储罐区</w:t>
            </w:r>
          </w:p>
        </w:tc>
        <w:tc>
          <w:tcPr>
            <w:tcW w:w="1354" w:type="dxa"/>
            <w:vAlign w:val="center"/>
          </w:tcPr>
          <w:p w14:paraId="0F9F6172">
            <w:pPr>
              <w:pStyle w:val="33"/>
              <w:rPr>
                <w:color w:val="auto"/>
              </w:rPr>
            </w:pPr>
            <w:r>
              <w:rPr>
                <w:rFonts w:hint="eastAsia"/>
                <w:color w:val="auto"/>
              </w:rPr>
              <w:t>重芳烃</w:t>
            </w:r>
          </w:p>
        </w:tc>
        <w:tc>
          <w:tcPr>
            <w:tcW w:w="2139" w:type="dxa"/>
            <w:vAlign w:val="center"/>
          </w:tcPr>
          <w:p w14:paraId="7069FE9E">
            <w:pPr>
              <w:pStyle w:val="33"/>
              <w:rPr>
                <w:color w:val="auto"/>
              </w:rPr>
            </w:pPr>
            <w:r>
              <w:rPr>
                <w:color w:val="auto"/>
              </w:rPr>
              <w:fldChar w:fldCharType="begin"/>
            </w:r>
            <w:r>
              <w:rPr>
                <w:color w:val="auto"/>
              </w:rPr>
              <w:instrText xml:space="preserve"> HYPERLINK "http://172.23.196.253/jggm_ad/dm/dmreader.aspx?file01=DMAD00000014531&amp;spac02=dm0101" </w:instrText>
            </w:r>
            <w:r>
              <w:rPr>
                <w:color w:val="auto"/>
              </w:rPr>
              <w:fldChar w:fldCharType="separate"/>
            </w:r>
            <w:r>
              <w:rPr>
                <w:rFonts w:hint="eastAsia"/>
                <w:color w:val="auto"/>
              </w:rPr>
              <w:t>《双氧水厂环保管理</w:t>
            </w:r>
            <w:r>
              <w:rPr>
                <w:rFonts w:hint="eastAsia"/>
                <w:color w:val="auto"/>
              </w:rPr>
              <w:fldChar w:fldCharType="end"/>
            </w:r>
            <w:r>
              <w:rPr>
                <w:rFonts w:hint="eastAsia"/>
                <w:color w:val="auto"/>
              </w:rPr>
              <w:t>制度》</w:t>
            </w:r>
            <w:r>
              <w:rPr>
                <w:color w:val="auto"/>
              </w:rPr>
              <w:fldChar w:fldCharType="begin"/>
            </w:r>
            <w:r>
              <w:rPr>
                <w:color w:val="auto"/>
              </w:rPr>
              <w:instrText xml:space="preserve"> HYPERLINK "http://172.23.196.253/jggm_ad/dm/dmreader.aspx?file01=DMAD00000014833&amp;spac02=dm0101" </w:instrText>
            </w:r>
            <w:r>
              <w:rPr>
                <w:color w:val="auto"/>
              </w:rPr>
              <w:fldChar w:fldCharType="separate"/>
            </w:r>
            <w:r>
              <w:rPr>
                <w:rFonts w:hint="eastAsia"/>
                <w:color w:val="auto"/>
              </w:rPr>
              <w:t>、《双氧水厂</w:t>
            </w:r>
            <w:r>
              <w:rPr>
                <w:rFonts w:hint="eastAsia"/>
                <w:color w:val="auto"/>
              </w:rPr>
              <w:fldChar w:fldCharType="end"/>
            </w:r>
            <w:r>
              <w:rPr>
                <w:rFonts w:hint="eastAsia"/>
                <w:color w:val="auto"/>
              </w:rPr>
              <w:t>重芳烃（AR）卸车作业指导书》</w:t>
            </w:r>
          </w:p>
        </w:tc>
        <w:tc>
          <w:tcPr>
            <w:tcW w:w="2746" w:type="dxa"/>
            <w:vAlign w:val="center"/>
          </w:tcPr>
          <w:p w14:paraId="2D59FA0C">
            <w:pPr>
              <w:pStyle w:val="33"/>
              <w:rPr>
                <w:color w:val="auto"/>
              </w:rPr>
            </w:pPr>
            <w:r>
              <w:rPr>
                <w:rFonts w:hint="eastAsia"/>
                <w:color w:val="auto"/>
              </w:rPr>
              <w:t>①槽罐贮存，设置围堰、导流沟和应急池；②设置警告标志，储罐设置液位报警器；③建立24小时值班制度，并安装摄像监控系统；④风险告知牌、应急处置牌上墙。</w:t>
            </w:r>
          </w:p>
        </w:tc>
      </w:tr>
      <w:tr w14:paraId="7DD68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8" w:hRule="atLeast"/>
        </w:trPr>
        <w:tc>
          <w:tcPr>
            <w:tcW w:w="695" w:type="dxa"/>
            <w:vMerge w:val="continue"/>
            <w:vAlign w:val="center"/>
          </w:tcPr>
          <w:p w14:paraId="27DDF542">
            <w:pPr>
              <w:pStyle w:val="33"/>
              <w:rPr>
                <w:color w:val="auto"/>
              </w:rPr>
            </w:pPr>
          </w:p>
        </w:tc>
        <w:tc>
          <w:tcPr>
            <w:tcW w:w="2170" w:type="dxa"/>
            <w:vAlign w:val="center"/>
          </w:tcPr>
          <w:p w14:paraId="0916A8F1">
            <w:pPr>
              <w:pStyle w:val="33"/>
              <w:rPr>
                <w:color w:val="auto"/>
              </w:rPr>
            </w:pPr>
            <w:r>
              <w:rPr>
                <w:rFonts w:hint="eastAsia"/>
                <w:color w:val="auto"/>
              </w:rPr>
              <w:t>碱回收车间</w:t>
            </w:r>
          </w:p>
        </w:tc>
        <w:tc>
          <w:tcPr>
            <w:tcW w:w="1354" w:type="dxa"/>
            <w:vAlign w:val="center"/>
          </w:tcPr>
          <w:p w14:paraId="455BCF5C">
            <w:pPr>
              <w:pStyle w:val="33"/>
              <w:rPr>
                <w:color w:val="auto"/>
              </w:rPr>
            </w:pPr>
            <w:r>
              <w:rPr>
                <w:rFonts w:hint="eastAsia"/>
                <w:color w:val="auto"/>
              </w:rPr>
              <w:t>黑液</w:t>
            </w:r>
          </w:p>
        </w:tc>
        <w:tc>
          <w:tcPr>
            <w:tcW w:w="2139" w:type="dxa"/>
            <w:vAlign w:val="center"/>
          </w:tcPr>
          <w:p w14:paraId="6E2EE3E5">
            <w:pPr>
              <w:pStyle w:val="33"/>
              <w:rPr>
                <w:color w:val="auto"/>
              </w:rPr>
            </w:pPr>
            <w:r>
              <w:rPr>
                <w:color w:val="auto"/>
              </w:rPr>
              <w:fldChar w:fldCharType="begin"/>
            </w:r>
            <w:r>
              <w:rPr>
                <w:color w:val="auto"/>
              </w:rPr>
              <w:instrText xml:space="preserve"> HYPERLINK "http://172.23.196.253/jggm_ad/dm/dmreader.aspx?file01=DMAD00000013127&amp;spac02=dm0101" </w:instrText>
            </w:r>
            <w:r>
              <w:rPr>
                <w:color w:val="auto"/>
              </w:rPr>
              <w:fldChar w:fldCharType="separate"/>
            </w:r>
            <w:r>
              <w:rPr>
                <w:rFonts w:hint="eastAsia"/>
                <w:color w:val="auto"/>
              </w:rPr>
              <w:t>《碱回收黑液槽清渣</w:t>
            </w:r>
            <w:r>
              <w:rPr>
                <w:rFonts w:hint="eastAsia"/>
                <w:color w:val="auto"/>
              </w:rPr>
              <w:fldChar w:fldCharType="end"/>
            </w:r>
            <w:r>
              <w:rPr>
                <w:color w:val="auto"/>
              </w:rPr>
              <w:fldChar w:fldCharType="begin"/>
            </w:r>
            <w:r>
              <w:rPr>
                <w:color w:val="auto"/>
              </w:rPr>
              <w:instrText xml:space="preserve"> HYPERLINK "http://172.23.196.253/jggm_ad/dm/dmreader.aspx?file01=DMAD00000011412&amp;spac02=dm0101" </w:instrText>
            </w:r>
            <w:r>
              <w:rPr>
                <w:color w:val="auto"/>
              </w:rPr>
              <w:fldChar w:fldCharType="separate"/>
            </w:r>
            <w:r>
              <w:rPr>
                <w:rFonts w:hint="eastAsia"/>
                <w:color w:val="auto"/>
              </w:rPr>
              <w:t>操作规程》、《碱回</w:t>
            </w:r>
            <w:r>
              <w:rPr>
                <w:rFonts w:hint="eastAsia"/>
                <w:color w:val="auto"/>
              </w:rPr>
              <w:fldChar w:fldCharType="end"/>
            </w:r>
            <w:r>
              <w:rPr>
                <w:rFonts w:hint="eastAsia"/>
                <w:color w:val="auto"/>
              </w:rPr>
              <w:t>收高浓黑液管线冲管操作规程》、《</w:t>
            </w:r>
            <w:r>
              <w:rPr>
                <w:color w:val="auto"/>
              </w:rPr>
              <w:fldChar w:fldCharType="begin"/>
            </w:r>
            <w:r>
              <w:rPr>
                <w:color w:val="auto"/>
              </w:rPr>
              <w:instrText xml:space="preserve"> HYPERLINK "http://172.23.196.253/jggm_ad/dm/dmreader.aspx?file01=DMAD00000013146&amp;spac02=dm0101" </w:instrText>
            </w:r>
            <w:r>
              <w:rPr>
                <w:color w:val="auto"/>
              </w:rPr>
              <w:fldChar w:fldCharType="separate"/>
            </w:r>
            <w:r>
              <w:rPr>
                <w:rFonts w:hint="eastAsia"/>
                <w:color w:val="auto"/>
              </w:rPr>
              <w:t>黑液、</w:t>
            </w:r>
            <w:r>
              <w:rPr>
                <w:rFonts w:hint="eastAsia"/>
                <w:color w:val="auto"/>
              </w:rPr>
              <w:fldChar w:fldCharType="end"/>
            </w:r>
            <w:r>
              <w:rPr>
                <w:rFonts w:hint="eastAsia"/>
                <w:color w:val="auto"/>
              </w:rPr>
              <w:t>绿液、白液、臭气泄漏紧急应变预案》</w:t>
            </w:r>
          </w:p>
        </w:tc>
        <w:tc>
          <w:tcPr>
            <w:tcW w:w="2746" w:type="dxa"/>
            <w:vAlign w:val="center"/>
          </w:tcPr>
          <w:p w14:paraId="17E9C27A">
            <w:pPr>
              <w:pStyle w:val="33"/>
              <w:rPr>
                <w:color w:val="auto"/>
              </w:rPr>
            </w:pPr>
            <w:r>
              <w:rPr>
                <w:rFonts w:hint="eastAsia"/>
                <w:color w:val="auto"/>
              </w:rPr>
              <w:t>①槽罐贮存，设置围堰和导流沟；②储罐设置液位计，控制液位；③车间24小时值班制度；④风险告知牌、应急处置牌上墙。</w:t>
            </w:r>
          </w:p>
        </w:tc>
      </w:tr>
    </w:tbl>
    <w:p w14:paraId="29F5C7D0">
      <w:pPr>
        <w:pStyle w:val="5"/>
        <w:rPr>
          <w:rFonts w:cs="Times New Roman"/>
          <w:color w:val="auto"/>
        </w:rPr>
      </w:pPr>
      <w:r>
        <w:rPr>
          <w:rFonts w:cs="Times New Roman"/>
          <w:color w:val="auto"/>
        </w:rPr>
        <w:t>现有应急资源与装备</w:t>
      </w:r>
    </w:p>
    <w:p w14:paraId="54FF4DB4">
      <w:pPr>
        <w:ind w:firstLine="480"/>
        <w:rPr>
          <w:rFonts w:cs="Times New Roman"/>
          <w:color w:val="auto"/>
        </w:rPr>
      </w:pPr>
      <w:r>
        <w:rPr>
          <w:rFonts w:cs="Times New Roman"/>
          <w:color w:val="auto"/>
        </w:rPr>
        <w:t>企业现有应急资源如下：</w:t>
      </w:r>
    </w:p>
    <w:p w14:paraId="6154D5BE">
      <w:pPr>
        <w:pStyle w:val="7"/>
        <w:rPr>
          <w:color w:val="auto"/>
        </w:rPr>
      </w:pPr>
      <w:r>
        <w:rPr>
          <w:color w:val="auto"/>
        </w:rPr>
        <w:t>应急物资及装备一览表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8"/>
        <w:gridCol w:w="1973"/>
        <w:gridCol w:w="2731"/>
        <w:gridCol w:w="1514"/>
        <w:gridCol w:w="2132"/>
      </w:tblGrid>
      <w:tr w14:paraId="40FD3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blHeader/>
        </w:trPr>
        <w:tc>
          <w:tcPr>
            <w:tcW w:w="505" w:type="pct"/>
            <w:vAlign w:val="center"/>
          </w:tcPr>
          <w:p w14:paraId="0E98D4AF">
            <w:pPr>
              <w:pStyle w:val="33"/>
              <w:rPr>
                <w:rFonts w:eastAsia="仿宋"/>
                <w:color w:val="auto"/>
              </w:rPr>
            </w:pPr>
            <w:r>
              <w:rPr>
                <w:rFonts w:hint="eastAsia"/>
                <w:color w:val="auto"/>
              </w:rPr>
              <w:t>序号</w:t>
            </w:r>
          </w:p>
        </w:tc>
        <w:tc>
          <w:tcPr>
            <w:tcW w:w="1062" w:type="pct"/>
            <w:vAlign w:val="center"/>
          </w:tcPr>
          <w:p w14:paraId="1823FE51">
            <w:pPr>
              <w:pStyle w:val="33"/>
              <w:rPr>
                <w:color w:val="auto"/>
              </w:rPr>
            </w:pPr>
            <w:r>
              <w:rPr>
                <w:rFonts w:hint="eastAsia"/>
                <w:color w:val="auto"/>
                <w:spacing w:val="-5"/>
              </w:rPr>
              <w:t>物资功能</w:t>
            </w:r>
          </w:p>
        </w:tc>
        <w:tc>
          <w:tcPr>
            <w:tcW w:w="1470" w:type="pct"/>
            <w:vAlign w:val="center"/>
          </w:tcPr>
          <w:p w14:paraId="37E01A81">
            <w:pPr>
              <w:pStyle w:val="33"/>
              <w:rPr>
                <w:color w:val="auto"/>
              </w:rPr>
            </w:pPr>
            <w:r>
              <w:rPr>
                <w:rFonts w:hint="eastAsia"/>
                <w:color w:val="auto"/>
                <w:spacing w:val="-5"/>
              </w:rPr>
              <w:t>物资名称</w:t>
            </w:r>
          </w:p>
        </w:tc>
        <w:tc>
          <w:tcPr>
            <w:tcW w:w="815" w:type="pct"/>
            <w:vAlign w:val="center"/>
          </w:tcPr>
          <w:p w14:paraId="2B659FBB">
            <w:pPr>
              <w:pStyle w:val="33"/>
              <w:rPr>
                <w:color w:val="auto"/>
              </w:rPr>
            </w:pPr>
            <w:r>
              <w:rPr>
                <w:rFonts w:hint="eastAsia"/>
                <w:color w:val="auto"/>
              </w:rPr>
              <w:t>数量</w:t>
            </w:r>
          </w:p>
        </w:tc>
        <w:tc>
          <w:tcPr>
            <w:tcW w:w="1147" w:type="pct"/>
            <w:vAlign w:val="center"/>
          </w:tcPr>
          <w:p w14:paraId="74AD8CBE">
            <w:pPr>
              <w:pStyle w:val="33"/>
              <w:rPr>
                <w:color w:val="auto"/>
              </w:rPr>
            </w:pPr>
            <w:r>
              <w:rPr>
                <w:rFonts w:hint="eastAsia"/>
                <w:color w:val="auto"/>
                <w:spacing w:val="-5"/>
              </w:rPr>
              <w:t>存放地点</w:t>
            </w:r>
          </w:p>
        </w:tc>
      </w:tr>
      <w:tr w14:paraId="54B25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4E31EC7B">
            <w:pPr>
              <w:pStyle w:val="33"/>
              <w:rPr>
                <w:color w:val="auto"/>
              </w:rPr>
            </w:pPr>
            <w:r>
              <w:rPr>
                <w:rFonts w:hint="eastAsia"/>
                <w:color w:val="auto"/>
                <w:position w:val="1"/>
              </w:rPr>
              <w:t>1</w:t>
            </w:r>
          </w:p>
        </w:tc>
        <w:tc>
          <w:tcPr>
            <w:tcW w:w="1062" w:type="pct"/>
            <w:vMerge w:val="restart"/>
            <w:vAlign w:val="center"/>
          </w:tcPr>
          <w:p w14:paraId="6C49FDDA">
            <w:pPr>
              <w:pStyle w:val="33"/>
              <w:rPr>
                <w:color w:val="auto"/>
              </w:rPr>
            </w:pPr>
            <w:r>
              <w:rPr>
                <w:rFonts w:hint="eastAsia"/>
                <w:color w:val="auto"/>
                <w:spacing w:val="-5"/>
              </w:rPr>
              <w:t>污染源切断</w:t>
            </w:r>
          </w:p>
        </w:tc>
        <w:tc>
          <w:tcPr>
            <w:tcW w:w="1470" w:type="pct"/>
            <w:vAlign w:val="center"/>
          </w:tcPr>
          <w:p w14:paraId="6D9C85DC">
            <w:pPr>
              <w:pStyle w:val="33"/>
              <w:rPr>
                <w:color w:val="auto"/>
              </w:rPr>
            </w:pPr>
            <w:r>
              <w:rPr>
                <w:rFonts w:hint="eastAsia"/>
                <w:color w:val="auto"/>
                <w:spacing w:val="-10"/>
              </w:rPr>
              <w:t>沙袋</w:t>
            </w:r>
          </w:p>
        </w:tc>
        <w:tc>
          <w:tcPr>
            <w:tcW w:w="815" w:type="pct"/>
            <w:vAlign w:val="center"/>
          </w:tcPr>
          <w:p w14:paraId="28C837E4">
            <w:pPr>
              <w:pStyle w:val="33"/>
              <w:rPr>
                <w:color w:val="auto"/>
              </w:rPr>
            </w:pPr>
            <w:r>
              <w:rPr>
                <w:rFonts w:hint="eastAsia"/>
                <w:color w:val="auto"/>
                <w:spacing w:val="-5"/>
              </w:rPr>
              <w:t>50个</w:t>
            </w:r>
          </w:p>
        </w:tc>
        <w:tc>
          <w:tcPr>
            <w:tcW w:w="1147" w:type="pct"/>
            <w:vAlign w:val="center"/>
          </w:tcPr>
          <w:p w14:paraId="2415001E">
            <w:pPr>
              <w:pStyle w:val="33"/>
              <w:rPr>
                <w:color w:val="auto"/>
              </w:rPr>
            </w:pPr>
            <w:r>
              <w:rPr>
                <w:rFonts w:hint="eastAsia"/>
                <w:color w:val="auto"/>
                <w:spacing w:val="-5"/>
              </w:rPr>
              <w:t>物料仓库</w:t>
            </w:r>
          </w:p>
        </w:tc>
      </w:tr>
      <w:tr w14:paraId="456D0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584E047A">
            <w:pPr>
              <w:pStyle w:val="33"/>
              <w:rPr>
                <w:color w:val="auto"/>
              </w:rPr>
            </w:pPr>
            <w:r>
              <w:rPr>
                <w:rFonts w:hint="eastAsia"/>
                <w:color w:val="auto"/>
                <w:position w:val="1"/>
              </w:rPr>
              <w:t>2</w:t>
            </w:r>
          </w:p>
        </w:tc>
        <w:tc>
          <w:tcPr>
            <w:tcW w:w="1062" w:type="pct"/>
            <w:vMerge w:val="continue"/>
            <w:vAlign w:val="center"/>
          </w:tcPr>
          <w:p w14:paraId="440EB328">
            <w:pPr>
              <w:pStyle w:val="33"/>
              <w:rPr>
                <w:rFonts w:hint="eastAsia" w:ascii="仿宋" w:hAnsi="仿宋" w:eastAsia="仿宋"/>
                <w:color w:val="auto"/>
              </w:rPr>
            </w:pPr>
          </w:p>
        </w:tc>
        <w:tc>
          <w:tcPr>
            <w:tcW w:w="1470" w:type="pct"/>
            <w:vAlign w:val="center"/>
          </w:tcPr>
          <w:p w14:paraId="02FBE285">
            <w:pPr>
              <w:pStyle w:val="33"/>
              <w:rPr>
                <w:color w:val="auto"/>
              </w:rPr>
            </w:pPr>
            <w:r>
              <w:rPr>
                <w:rFonts w:hint="eastAsia"/>
                <w:color w:val="auto"/>
              </w:rPr>
              <w:t>黄沙</w:t>
            </w:r>
          </w:p>
        </w:tc>
        <w:tc>
          <w:tcPr>
            <w:tcW w:w="815" w:type="pct"/>
            <w:vAlign w:val="center"/>
          </w:tcPr>
          <w:p w14:paraId="142DCBC1">
            <w:pPr>
              <w:pStyle w:val="33"/>
              <w:rPr>
                <w:color w:val="auto"/>
              </w:rPr>
            </w:pPr>
            <w:r>
              <w:rPr>
                <w:rFonts w:hint="eastAsia"/>
                <w:color w:val="auto"/>
              </w:rPr>
              <w:t>7吨</w:t>
            </w:r>
          </w:p>
        </w:tc>
        <w:tc>
          <w:tcPr>
            <w:tcW w:w="1147" w:type="pct"/>
            <w:vAlign w:val="center"/>
          </w:tcPr>
          <w:p w14:paraId="3BEE70E0">
            <w:pPr>
              <w:pStyle w:val="33"/>
              <w:rPr>
                <w:color w:val="auto"/>
              </w:rPr>
            </w:pPr>
            <w:r>
              <w:rPr>
                <w:rFonts w:hint="eastAsia"/>
                <w:color w:val="auto"/>
                <w:spacing w:val="-6"/>
              </w:rPr>
              <w:t>消防仓库</w:t>
            </w:r>
          </w:p>
        </w:tc>
      </w:tr>
      <w:tr w14:paraId="7301E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05" w:type="pct"/>
            <w:vAlign w:val="center"/>
          </w:tcPr>
          <w:p w14:paraId="040AB20E">
            <w:pPr>
              <w:pStyle w:val="33"/>
              <w:rPr>
                <w:color w:val="auto"/>
              </w:rPr>
            </w:pPr>
            <w:r>
              <w:rPr>
                <w:rFonts w:hint="eastAsia"/>
                <w:color w:val="auto"/>
              </w:rPr>
              <w:t>3</w:t>
            </w:r>
          </w:p>
        </w:tc>
        <w:tc>
          <w:tcPr>
            <w:tcW w:w="1062" w:type="pct"/>
            <w:vMerge w:val="continue"/>
            <w:vAlign w:val="center"/>
          </w:tcPr>
          <w:p w14:paraId="295D7A76">
            <w:pPr>
              <w:pStyle w:val="33"/>
              <w:rPr>
                <w:rFonts w:hint="eastAsia" w:ascii="仿宋" w:hAnsi="仿宋" w:eastAsia="仿宋"/>
                <w:color w:val="auto"/>
              </w:rPr>
            </w:pPr>
          </w:p>
        </w:tc>
        <w:tc>
          <w:tcPr>
            <w:tcW w:w="1470" w:type="pct"/>
            <w:vAlign w:val="center"/>
          </w:tcPr>
          <w:p w14:paraId="022FBD43">
            <w:pPr>
              <w:pStyle w:val="33"/>
              <w:rPr>
                <w:color w:val="auto"/>
              </w:rPr>
            </w:pPr>
            <w:r>
              <w:rPr>
                <w:rFonts w:hint="eastAsia"/>
                <w:color w:val="auto"/>
                <w:spacing w:val="-4"/>
              </w:rPr>
              <w:t>堵漏布料</w:t>
            </w:r>
          </w:p>
        </w:tc>
        <w:tc>
          <w:tcPr>
            <w:tcW w:w="815" w:type="pct"/>
            <w:vAlign w:val="center"/>
          </w:tcPr>
          <w:p w14:paraId="7C7C763F">
            <w:pPr>
              <w:pStyle w:val="33"/>
              <w:rPr>
                <w:color w:val="auto"/>
              </w:rPr>
            </w:pPr>
            <w:r>
              <w:rPr>
                <w:rFonts w:hint="eastAsia"/>
                <w:color w:val="auto"/>
                <w:spacing w:val="-3"/>
              </w:rPr>
              <w:t>0.5吨</w:t>
            </w:r>
          </w:p>
        </w:tc>
        <w:tc>
          <w:tcPr>
            <w:tcW w:w="1147" w:type="pct"/>
            <w:vAlign w:val="center"/>
          </w:tcPr>
          <w:p w14:paraId="4DD156F5">
            <w:pPr>
              <w:pStyle w:val="33"/>
              <w:rPr>
                <w:color w:val="auto"/>
              </w:rPr>
            </w:pPr>
            <w:r>
              <w:rPr>
                <w:rFonts w:hint="eastAsia"/>
                <w:color w:val="auto"/>
                <w:spacing w:val="-5"/>
              </w:rPr>
              <w:t>物料仓库</w:t>
            </w:r>
          </w:p>
        </w:tc>
      </w:tr>
      <w:tr w14:paraId="79AA8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2A0F679F">
            <w:pPr>
              <w:pStyle w:val="33"/>
              <w:rPr>
                <w:color w:val="auto"/>
              </w:rPr>
            </w:pPr>
            <w:r>
              <w:rPr>
                <w:rFonts w:hint="eastAsia"/>
                <w:color w:val="auto"/>
                <w:position w:val="1"/>
              </w:rPr>
              <w:t>4</w:t>
            </w:r>
          </w:p>
        </w:tc>
        <w:tc>
          <w:tcPr>
            <w:tcW w:w="1062" w:type="pct"/>
            <w:vMerge w:val="restart"/>
            <w:vAlign w:val="center"/>
          </w:tcPr>
          <w:p w14:paraId="2C070AD1">
            <w:pPr>
              <w:pStyle w:val="33"/>
              <w:rPr>
                <w:color w:val="auto"/>
              </w:rPr>
            </w:pPr>
            <w:r>
              <w:rPr>
                <w:rFonts w:hint="eastAsia"/>
                <w:color w:val="auto"/>
                <w:spacing w:val="-5"/>
              </w:rPr>
              <w:t>污染物控制</w:t>
            </w:r>
          </w:p>
        </w:tc>
        <w:tc>
          <w:tcPr>
            <w:tcW w:w="1470" w:type="pct"/>
            <w:vAlign w:val="center"/>
          </w:tcPr>
          <w:p w14:paraId="2536B56A">
            <w:pPr>
              <w:pStyle w:val="33"/>
              <w:rPr>
                <w:color w:val="auto"/>
              </w:rPr>
            </w:pPr>
            <w:r>
              <w:rPr>
                <w:rFonts w:hint="eastAsia"/>
                <w:color w:val="auto"/>
                <w:spacing w:val="-10"/>
              </w:rPr>
              <w:t>隔油栏</w:t>
            </w:r>
          </w:p>
        </w:tc>
        <w:tc>
          <w:tcPr>
            <w:tcW w:w="815" w:type="pct"/>
            <w:vAlign w:val="center"/>
          </w:tcPr>
          <w:p w14:paraId="3EDA73E8">
            <w:pPr>
              <w:pStyle w:val="33"/>
              <w:rPr>
                <w:color w:val="auto"/>
              </w:rPr>
            </w:pPr>
            <w:r>
              <w:rPr>
                <w:rFonts w:hint="eastAsia"/>
                <w:color w:val="auto"/>
                <w:spacing w:val="-5"/>
              </w:rPr>
              <w:t>50米</w:t>
            </w:r>
          </w:p>
        </w:tc>
        <w:tc>
          <w:tcPr>
            <w:tcW w:w="1147" w:type="pct"/>
            <w:vAlign w:val="center"/>
          </w:tcPr>
          <w:p w14:paraId="5D9D614C">
            <w:pPr>
              <w:pStyle w:val="33"/>
              <w:rPr>
                <w:color w:val="auto"/>
              </w:rPr>
            </w:pPr>
            <w:r>
              <w:rPr>
                <w:rFonts w:hint="eastAsia"/>
                <w:color w:val="auto"/>
                <w:spacing w:val="-5"/>
              </w:rPr>
              <w:t>物料仓库</w:t>
            </w:r>
          </w:p>
        </w:tc>
      </w:tr>
      <w:tr w14:paraId="39B04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05" w:type="pct"/>
            <w:vAlign w:val="center"/>
          </w:tcPr>
          <w:p w14:paraId="1F2ABCCB">
            <w:pPr>
              <w:pStyle w:val="33"/>
              <w:rPr>
                <w:color w:val="auto"/>
              </w:rPr>
            </w:pPr>
            <w:r>
              <w:rPr>
                <w:rFonts w:hint="eastAsia"/>
                <w:color w:val="auto"/>
              </w:rPr>
              <w:t>5</w:t>
            </w:r>
          </w:p>
        </w:tc>
        <w:tc>
          <w:tcPr>
            <w:tcW w:w="1062" w:type="pct"/>
            <w:vMerge w:val="continue"/>
            <w:vAlign w:val="center"/>
          </w:tcPr>
          <w:p w14:paraId="45997304">
            <w:pPr>
              <w:pStyle w:val="33"/>
              <w:rPr>
                <w:rFonts w:hint="eastAsia" w:ascii="仿宋" w:hAnsi="仿宋" w:eastAsia="仿宋"/>
                <w:color w:val="auto"/>
              </w:rPr>
            </w:pPr>
          </w:p>
        </w:tc>
        <w:tc>
          <w:tcPr>
            <w:tcW w:w="1470" w:type="pct"/>
            <w:vAlign w:val="center"/>
          </w:tcPr>
          <w:p w14:paraId="2ADE2DEE">
            <w:pPr>
              <w:pStyle w:val="33"/>
              <w:rPr>
                <w:color w:val="auto"/>
              </w:rPr>
            </w:pPr>
            <w:r>
              <w:rPr>
                <w:rFonts w:hint="eastAsia"/>
                <w:color w:val="auto"/>
                <w:spacing w:val="-6"/>
              </w:rPr>
              <w:t>彩条布</w:t>
            </w:r>
          </w:p>
        </w:tc>
        <w:tc>
          <w:tcPr>
            <w:tcW w:w="815" w:type="pct"/>
            <w:vAlign w:val="center"/>
          </w:tcPr>
          <w:p w14:paraId="2894D642">
            <w:pPr>
              <w:pStyle w:val="33"/>
              <w:rPr>
                <w:color w:val="auto"/>
              </w:rPr>
            </w:pPr>
            <w:r>
              <w:rPr>
                <w:rFonts w:hint="eastAsia"/>
                <w:color w:val="auto"/>
              </w:rPr>
              <w:t>5卷</w:t>
            </w:r>
          </w:p>
        </w:tc>
        <w:tc>
          <w:tcPr>
            <w:tcW w:w="1147" w:type="pct"/>
            <w:vAlign w:val="center"/>
          </w:tcPr>
          <w:p w14:paraId="70EC70CC">
            <w:pPr>
              <w:pStyle w:val="33"/>
              <w:rPr>
                <w:color w:val="auto"/>
              </w:rPr>
            </w:pPr>
            <w:r>
              <w:rPr>
                <w:rFonts w:hint="eastAsia"/>
                <w:color w:val="auto"/>
                <w:spacing w:val="-5"/>
              </w:rPr>
              <w:t>物料仓库</w:t>
            </w:r>
          </w:p>
        </w:tc>
      </w:tr>
      <w:tr w14:paraId="2771C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3A6B431F">
            <w:pPr>
              <w:pStyle w:val="33"/>
              <w:rPr>
                <w:color w:val="auto"/>
              </w:rPr>
            </w:pPr>
            <w:r>
              <w:rPr>
                <w:rFonts w:hint="eastAsia"/>
                <w:color w:val="auto"/>
              </w:rPr>
              <w:t>6</w:t>
            </w:r>
          </w:p>
        </w:tc>
        <w:tc>
          <w:tcPr>
            <w:tcW w:w="1062" w:type="pct"/>
            <w:vMerge w:val="continue"/>
            <w:vAlign w:val="center"/>
          </w:tcPr>
          <w:p w14:paraId="3FFAC0BF">
            <w:pPr>
              <w:pStyle w:val="33"/>
              <w:rPr>
                <w:rFonts w:hint="eastAsia" w:ascii="仿宋" w:hAnsi="仿宋" w:eastAsia="仿宋"/>
                <w:color w:val="auto"/>
              </w:rPr>
            </w:pPr>
          </w:p>
        </w:tc>
        <w:tc>
          <w:tcPr>
            <w:tcW w:w="1470" w:type="pct"/>
            <w:vAlign w:val="center"/>
          </w:tcPr>
          <w:p w14:paraId="11C139FA">
            <w:pPr>
              <w:pStyle w:val="33"/>
              <w:rPr>
                <w:color w:val="auto"/>
              </w:rPr>
            </w:pPr>
            <w:r>
              <w:rPr>
                <w:rFonts w:hint="eastAsia"/>
                <w:color w:val="auto"/>
                <w:spacing w:val="-10"/>
              </w:rPr>
              <w:t>塑料布</w:t>
            </w:r>
          </w:p>
        </w:tc>
        <w:tc>
          <w:tcPr>
            <w:tcW w:w="815" w:type="pct"/>
            <w:vAlign w:val="center"/>
          </w:tcPr>
          <w:p w14:paraId="3CD9F673">
            <w:pPr>
              <w:pStyle w:val="33"/>
              <w:rPr>
                <w:color w:val="auto"/>
              </w:rPr>
            </w:pPr>
            <w:r>
              <w:rPr>
                <w:rFonts w:hint="eastAsia"/>
                <w:color w:val="auto"/>
              </w:rPr>
              <w:t>10卷</w:t>
            </w:r>
          </w:p>
        </w:tc>
        <w:tc>
          <w:tcPr>
            <w:tcW w:w="1147" w:type="pct"/>
            <w:vAlign w:val="center"/>
          </w:tcPr>
          <w:p w14:paraId="10D07053">
            <w:pPr>
              <w:pStyle w:val="33"/>
              <w:rPr>
                <w:color w:val="auto"/>
              </w:rPr>
            </w:pPr>
            <w:r>
              <w:rPr>
                <w:rFonts w:hint="eastAsia"/>
                <w:color w:val="auto"/>
                <w:spacing w:val="-5"/>
              </w:rPr>
              <w:t>物料仓库</w:t>
            </w:r>
          </w:p>
        </w:tc>
      </w:tr>
      <w:tr w14:paraId="4505B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53A2C6BD">
            <w:pPr>
              <w:pStyle w:val="33"/>
              <w:rPr>
                <w:color w:val="auto"/>
              </w:rPr>
            </w:pPr>
            <w:r>
              <w:rPr>
                <w:rFonts w:hint="eastAsia"/>
                <w:color w:val="auto"/>
              </w:rPr>
              <w:t>7</w:t>
            </w:r>
          </w:p>
        </w:tc>
        <w:tc>
          <w:tcPr>
            <w:tcW w:w="1062" w:type="pct"/>
            <w:vMerge w:val="continue"/>
            <w:vAlign w:val="center"/>
          </w:tcPr>
          <w:p w14:paraId="26AF24C4">
            <w:pPr>
              <w:pStyle w:val="33"/>
              <w:rPr>
                <w:rFonts w:hint="eastAsia" w:ascii="仿宋" w:hAnsi="仿宋" w:eastAsia="仿宋"/>
                <w:color w:val="auto"/>
              </w:rPr>
            </w:pPr>
          </w:p>
        </w:tc>
        <w:tc>
          <w:tcPr>
            <w:tcW w:w="1470" w:type="pct"/>
            <w:vAlign w:val="center"/>
          </w:tcPr>
          <w:p w14:paraId="28224075">
            <w:pPr>
              <w:pStyle w:val="33"/>
              <w:rPr>
                <w:color w:val="auto"/>
              </w:rPr>
            </w:pPr>
            <w:r>
              <w:rPr>
                <w:rFonts w:hint="eastAsia"/>
                <w:color w:val="auto"/>
                <w:spacing w:val="-6"/>
              </w:rPr>
              <w:t>编织袋</w:t>
            </w:r>
          </w:p>
        </w:tc>
        <w:tc>
          <w:tcPr>
            <w:tcW w:w="815" w:type="pct"/>
            <w:vAlign w:val="center"/>
          </w:tcPr>
          <w:p w14:paraId="450F8665">
            <w:pPr>
              <w:pStyle w:val="33"/>
              <w:rPr>
                <w:color w:val="auto"/>
              </w:rPr>
            </w:pPr>
            <w:r>
              <w:rPr>
                <w:rFonts w:hint="eastAsia"/>
                <w:color w:val="auto"/>
              </w:rPr>
              <w:t>100条</w:t>
            </w:r>
          </w:p>
        </w:tc>
        <w:tc>
          <w:tcPr>
            <w:tcW w:w="1147" w:type="pct"/>
            <w:vAlign w:val="center"/>
          </w:tcPr>
          <w:p w14:paraId="7FA3ABE0">
            <w:pPr>
              <w:pStyle w:val="33"/>
              <w:rPr>
                <w:color w:val="auto"/>
              </w:rPr>
            </w:pPr>
            <w:r>
              <w:rPr>
                <w:rFonts w:hint="eastAsia"/>
                <w:color w:val="auto"/>
                <w:spacing w:val="-5"/>
              </w:rPr>
              <w:t>物料仓库</w:t>
            </w:r>
          </w:p>
        </w:tc>
      </w:tr>
      <w:tr w14:paraId="27174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505" w:type="pct"/>
            <w:vAlign w:val="center"/>
          </w:tcPr>
          <w:p w14:paraId="06A74BB1">
            <w:pPr>
              <w:pStyle w:val="33"/>
              <w:rPr>
                <w:color w:val="auto"/>
              </w:rPr>
            </w:pPr>
            <w:r>
              <w:rPr>
                <w:rFonts w:hint="eastAsia"/>
                <w:color w:val="auto"/>
              </w:rPr>
              <w:t>8</w:t>
            </w:r>
          </w:p>
        </w:tc>
        <w:tc>
          <w:tcPr>
            <w:tcW w:w="1062" w:type="pct"/>
            <w:vMerge w:val="continue"/>
            <w:vAlign w:val="center"/>
          </w:tcPr>
          <w:p w14:paraId="5B0F73E8">
            <w:pPr>
              <w:pStyle w:val="33"/>
              <w:rPr>
                <w:rFonts w:hint="eastAsia" w:ascii="仿宋" w:hAnsi="仿宋" w:eastAsia="仿宋"/>
                <w:color w:val="auto"/>
              </w:rPr>
            </w:pPr>
          </w:p>
        </w:tc>
        <w:tc>
          <w:tcPr>
            <w:tcW w:w="1470" w:type="pct"/>
            <w:vAlign w:val="center"/>
          </w:tcPr>
          <w:p w14:paraId="7ADE645E">
            <w:pPr>
              <w:pStyle w:val="33"/>
              <w:rPr>
                <w:color w:val="auto"/>
              </w:rPr>
            </w:pPr>
            <w:r>
              <w:rPr>
                <w:rFonts w:hint="eastAsia"/>
                <w:color w:val="auto"/>
                <w:spacing w:val="-6"/>
              </w:rPr>
              <w:t>格栅板</w:t>
            </w:r>
          </w:p>
        </w:tc>
        <w:tc>
          <w:tcPr>
            <w:tcW w:w="815" w:type="pct"/>
            <w:vAlign w:val="center"/>
          </w:tcPr>
          <w:p w14:paraId="40BD693A">
            <w:pPr>
              <w:pStyle w:val="33"/>
              <w:rPr>
                <w:color w:val="auto"/>
              </w:rPr>
            </w:pPr>
            <w:r>
              <w:rPr>
                <w:rFonts w:hint="eastAsia"/>
                <w:color w:val="auto"/>
              </w:rPr>
              <w:t>30个</w:t>
            </w:r>
          </w:p>
        </w:tc>
        <w:tc>
          <w:tcPr>
            <w:tcW w:w="1147" w:type="pct"/>
            <w:vAlign w:val="center"/>
          </w:tcPr>
          <w:p w14:paraId="3D7AB24F">
            <w:pPr>
              <w:pStyle w:val="33"/>
              <w:rPr>
                <w:color w:val="auto"/>
              </w:rPr>
            </w:pPr>
            <w:r>
              <w:rPr>
                <w:rFonts w:hint="eastAsia"/>
                <w:color w:val="auto"/>
                <w:spacing w:val="-5"/>
              </w:rPr>
              <w:t>物料仓库</w:t>
            </w:r>
          </w:p>
        </w:tc>
      </w:tr>
      <w:tr w14:paraId="68BF2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43ABEC51">
            <w:pPr>
              <w:pStyle w:val="33"/>
              <w:rPr>
                <w:color w:val="auto"/>
              </w:rPr>
            </w:pPr>
            <w:r>
              <w:rPr>
                <w:rFonts w:hint="eastAsia"/>
                <w:color w:val="auto"/>
              </w:rPr>
              <w:t>9</w:t>
            </w:r>
          </w:p>
        </w:tc>
        <w:tc>
          <w:tcPr>
            <w:tcW w:w="1062" w:type="pct"/>
            <w:vMerge w:val="restart"/>
            <w:vAlign w:val="center"/>
          </w:tcPr>
          <w:p w14:paraId="3595B9A4">
            <w:pPr>
              <w:pStyle w:val="33"/>
              <w:rPr>
                <w:color w:val="auto"/>
              </w:rPr>
            </w:pPr>
            <w:r>
              <w:rPr>
                <w:rFonts w:hint="eastAsia"/>
                <w:color w:val="auto"/>
                <w:spacing w:val="-5"/>
              </w:rPr>
              <w:t>污染物收集</w:t>
            </w:r>
          </w:p>
        </w:tc>
        <w:tc>
          <w:tcPr>
            <w:tcW w:w="1470" w:type="pct"/>
            <w:vAlign w:val="center"/>
          </w:tcPr>
          <w:p w14:paraId="4BFF96BA">
            <w:pPr>
              <w:pStyle w:val="33"/>
              <w:rPr>
                <w:color w:val="auto"/>
              </w:rPr>
            </w:pPr>
            <w:r>
              <w:rPr>
                <w:rFonts w:hint="eastAsia"/>
                <w:color w:val="auto"/>
                <w:spacing w:val="-10"/>
              </w:rPr>
              <w:t>铁锨</w:t>
            </w:r>
          </w:p>
        </w:tc>
        <w:tc>
          <w:tcPr>
            <w:tcW w:w="815" w:type="pct"/>
            <w:vAlign w:val="center"/>
          </w:tcPr>
          <w:p w14:paraId="274648B8">
            <w:pPr>
              <w:pStyle w:val="33"/>
              <w:rPr>
                <w:color w:val="auto"/>
              </w:rPr>
            </w:pPr>
            <w:r>
              <w:rPr>
                <w:rFonts w:hint="eastAsia"/>
                <w:color w:val="auto"/>
              </w:rPr>
              <w:t>11把</w:t>
            </w:r>
          </w:p>
        </w:tc>
        <w:tc>
          <w:tcPr>
            <w:tcW w:w="1147" w:type="pct"/>
            <w:vAlign w:val="center"/>
          </w:tcPr>
          <w:p w14:paraId="4E608AF1">
            <w:pPr>
              <w:pStyle w:val="33"/>
              <w:rPr>
                <w:color w:val="auto"/>
              </w:rPr>
            </w:pPr>
            <w:r>
              <w:rPr>
                <w:rFonts w:hint="eastAsia"/>
                <w:color w:val="auto"/>
                <w:spacing w:val="-6"/>
              </w:rPr>
              <w:t>消防仓库</w:t>
            </w:r>
          </w:p>
        </w:tc>
      </w:tr>
      <w:tr w14:paraId="56489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073DB77E">
            <w:pPr>
              <w:pStyle w:val="33"/>
              <w:rPr>
                <w:color w:val="auto"/>
              </w:rPr>
            </w:pPr>
            <w:r>
              <w:rPr>
                <w:rFonts w:hint="eastAsia"/>
                <w:color w:val="auto"/>
                <w:spacing w:val="-14"/>
              </w:rPr>
              <w:t>10</w:t>
            </w:r>
          </w:p>
        </w:tc>
        <w:tc>
          <w:tcPr>
            <w:tcW w:w="1062" w:type="pct"/>
            <w:vMerge w:val="continue"/>
            <w:vAlign w:val="center"/>
          </w:tcPr>
          <w:p w14:paraId="65B520A8">
            <w:pPr>
              <w:pStyle w:val="33"/>
              <w:rPr>
                <w:rFonts w:hint="eastAsia" w:ascii="仿宋" w:hAnsi="仿宋" w:eastAsia="仿宋"/>
                <w:color w:val="auto"/>
              </w:rPr>
            </w:pPr>
          </w:p>
        </w:tc>
        <w:tc>
          <w:tcPr>
            <w:tcW w:w="1470" w:type="pct"/>
            <w:vAlign w:val="center"/>
          </w:tcPr>
          <w:p w14:paraId="70B2BC99">
            <w:pPr>
              <w:pStyle w:val="33"/>
              <w:rPr>
                <w:color w:val="auto"/>
              </w:rPr>
            </w:pPr>
            <w:r>
              <w:rPr>
                <w:rFonts w:hint="eastAsia"/>
                <w:color w:val="auto"/>
                <w:spacing w:val="-9"/>
              </w:rPr>
              <w:t>吸油毡</w:t>
            </w:r>
          </w:p>
        </w:tc>
        <w:tc>
          <w:tcPr>
            <w:tcW w:w="815" w:type="pct"/>
            <w:vAlign w:val="center"/>
          </w:tcPr>
          <w:p w14:paraId="13FA252F">
            <w:pPr>
              <w:pStyle w:val="33"/>
              <w:rPr>
                <w:color w:val="auto"/>
              </w:rPr>
            </w:pPr>
            <w:r>
              <w:rPr>
                <w:rFonts w:hint="eastAsia"/>
                <w:color w:val="auto"/>
              </w:rPr>
              <w:t>50张</w:t>
            </w:r>
          </w:p>
        </w:tc>
        <w:tc>
          <w:tcPr>
            <w:tcW w:w="1147" w:type="pct"/>
            <w:vAlign w:val="center"/>
          </w:tcPr>
          <w:p w14:paraId="7E712941">
            <w:pPr>
              <w:pStyle w:val="33"/>
              <w:rPr>
                <w:color w:val="auto"/>
              </w:rPr>
            </w:pPr>
            <w:r>
              <w:rPr>
                <w:rFonts w:hint="eastAsia"/>
                <w:color w:val="auto"/>
                <w:spacing w:val="-6"/>
              </w:rPr>
              <w:t>消防仓库</w:t>
            </w:r>
          </w:p>
        </w:tc>
      </w:tr>
      <w:tr w14:paraId="6053C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38E63CEA">
            <w:pPr>
              <w:pStyle w:val="33"/>
              <w:rPr>
                <w:color w:val="auto"/>
              </w:rPr>
            </w:pPr>
            <w:r>
              <w:rPr>
                <w:rFonts w:hint="eastAsia"/>
                <w:color w:val="auto"/>
                <w:spacing w:val="-14"/>
                <w:position w:val="1"/>
              </w:rPr>
              <w:t>11</w:t>
            </w:r>
          </w:p>
        </w:tc>
        <w:tc>
          <w:tcPr>
            <w:tcW w:w="1062" w:type="pct"/>
            <w:vMerge w:val="continue"/>
            <w:vAlign w:val="center"/>
          </w:tcPr>
          <w:p w14:paraId="73BBC00F">
            <w:pPr>
              <w:pStyle w:val="33"/>
              <w:rPr>
                <w:rFonts w:hint="eastAsia" w:ascii="仿宋" w:hAnsi="仿宋" w:eastAsia="仿宋"/>
                <w:color w:val="auto"/>
              </w:rPr>
            </w:pPr>
          </w:p>
        </w:tc>
        <w:tc>
          <w:tcPr>
            <w:tcW w:w="1470" w:type="pct"/>
            <w:vAlign w:val="center"/>
          </w:tcPr>
          <w:p w14:paraId="04C4049A">
            <w:pPr>
              <w:pStyle w:val="33"/>
              <w:rPr>
                <w:color w:val="auto"/>
              </w:rPr>
            </w:pPr>
            <w:r>
              <w:rPr>
                <w:rFonts w:hint="eastAsia"/>
                <w:color w:val="auto"/>
                <w:spacing w:val="-3"/>
              </w:rPr>
              <w:t>移动柴油抽水泵</w:t>
            </w:r>
          </w:p>
        </w:tc>
        <w:tc>
          <w:tcPr>
            <w:tcW w:w="815" w:type="pct"/>
            <w:vAlign w:val="center"/>
          </w:tcPr>
          <w:p w14:paraId="6EF132E0">
            <w:pPr>
              <w:pStyle w:val="33"/>
              <w:rPr>
                <w:color w:val="auto"/>
              </w:rPr>
            </w:pPr>
            <w:r>
              <w:rPr>
                <w:rFonts w:hint="eastAsia"/>
                <w:color w:val="auto"/>
              </w:rPr>
              <w:t>4台</w:t>
            </w:r>
          </w:p>
        </w:tc>
        <w:tc>
          <w:tcPr>
            <w:tcW w:w="1147" w:type="pct"/>
            <w:vAlign w:val="center"/>
          </w:tcPr>
          <w:p w14:paraId="3639BEA6">
            <w:pPr>
              <w:pStyle w:val="33"/>
              <w:rPr>
                <w:color w:val="auto"/>
              </w:rPr>
            </w:pPr>
            <w:r>
              <w:rPr>
                <w:rFonts w:hint="eastAsia"/>
                <w:color w:val="auto"/>
                <w:spacing w:val="-6"/>
              </w:rPr>
              <w:t>消防仓库</w:t>
            </w:r>
          </w:p>
        </w:tc>
      </w:tr>
      <w:tr w14:paraId="2111E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09580D99">
            <w:pPr>
              <w:pStyle w:val="33"/>
              <w:rPr>
                <w:color w:val="auto"/>
              </w:rPr>
            </w:pPr>
            <w:r>
              <w:rPr>
                <w:rFonts w:hint="eastAsia"/>
                <w:color w:val="auto"/>
                <w:spacing w:val="-14"/>
                <w:position w:val="1"/>
              </w:rPr>
              <w:t>12</w:t>
            </w:r>
          </w:p>
        </w:tc>
        <w:tc>
          <w:tcPr>
            <w:tcW w:w="1062" w:type="pct"/>
            <w:vMerge w:val="continue"/>
            <w:vAlign w:val="center"/>
          </w:tcPr>
          <w:p w14:paraId="120E5DCF">
            <w:pPr>
              <w:pStyle w:val="33"/>
              <w:rPr>
                <w:rFonts w:hint="eastAsia" w:ascii="仿宋" w:hAnsi="仿宋" w:eastAsia="仿宋"/>
                <w:color w:val="auto"/>
              </w:rPr>
            </w:pPr>
          </w:p>
        </w:tc>
        <w:tc>
          <w:tcPr>
            <w:tcW w:w="1470" w:type="pct"/>
            <w:vAlign w:val="center"/>
          </w:tcPr>
          <w:p w14:paraId="4C317CA8">
            <w:pPr>
              <w:pStyle w:val="33"/>
              <w:rPr>
                <w:color w:val="auto"/>
              </w:rPr>
            </w:pPr>
            <w:r>
              <w:rPr>
                <w:rFonts w:hint="eastAsia"/>
                <w:color w:val="auto"/>
                <w:spacing w:val="-7"/>
              </w:rPr>
              <w:t>潜水泵</w:t>
            </w:r>
          </w:p>
        </w:tc>
        <w:tc>
          <w:tcPr>
            <w:tcW w:w="815" w:type="pct"/>
            <w:vAlign w:val="center"/>
          </w:tcPr>
          <w:p w14:paraId="21880430">
            <w:pPr>
              <w:pStyle w:val="33"/>
              <w:rPr>
                <w:color w:val="auto"/>
              </w:rPr>
            </w:pPr>
            <w:r>
              <w:rPr>
                <w:rFonts w:hint="eastAsia"/>
                <w:color w:val="auto"/>
                <w:spacing w:val="-5"/>
              </w:rPr>
              <w:t>30台</w:t>
            </w:r>
          </w:p>
        </w:tc>
        <w:tc>
          <w:tcPr>
            <w:tcW w:w="1147" w:type="pct"/>
            <w:vAlign w:val="center"/>
          </w:tcPr>
          <w:p w14:paraId="7A156007">
            <w:pPr>
              <w:pStyle w:val="33"/>
              <w:rPr>
                <w:color w:val="auto"/>
              </w:rPr>
            </w:pPr>
            <w:r>
              <w:rPr>
                <w:rFonts w:hint="eastAsia"/>
                <w:color w:val="auto"/>
                <w:spacing w:val="-6"/>
              </w:rPr>
              <w:t>工务仓库</w:t>
            </w:r>
          </w:p>
        </w:tc>
      </w:tr>
      <w:tr w14:paraId="06581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47F36A4A">
            <w:pPr>
              <w:pStyle w:val="33"/>
              <w:rPr>
                <w:color w:val="auto"/>
              </w:rPr>
            </w:pPr>
            <w:r>
              <w:rPr>
                <w:rFonts w:hint="eastAsia"/>
                <w:color w:val="auto"/>
                <w:spacing w:val="-14"/>
              </w:rPr>
              <w:t>13</w:t>
            </w:r>
          </w:p>
        </w:tc>
        <w:tc>
          <w:tcPr>
            <w:tcW w:w="1062" w:type="pct"/>
            <w:vMerge w:val="continue"/>
            <w:vAlign w:val="center"/>
          </w:tcPr>
          <w:p w14:paraId="60416B4D">
            <w:pPr>
              <w:pStyle w:val="33"/>
              <w:rPr>
                <w:rFonts w:hint="eastAsia" w:ascii="仿宋" w:hAnsi="仿宋" w:eastAsia="仿宋"/>
                <w:color w:val="auto"/>
              </w:rPr>
            </w:pPr>
          </w:p>
        </w:tc>
        <w:tc>
          <w:tcPr>
            <w:tcW w:w="1470" w:type="pct"/>
            <w:vAlign w:val="center"/>
          </w:tcPr>
          <w:p w14:paraId="48BE61AF">
            <w:pPr>
              <w:pStyle w:val="33"/>
              <w:rPr>
                <w:color w:val="auto"/>
              </w:rPr>
            </w:pPr>
            <w:r>
              <w:rPr>
                <w:rFonts w:hint="eastAsia"/>
                <w:color w:val="auto"/>
                <w:spacing w:val="-6"/>
              </w:rPr>
              <w:t>抽油泵</w:t>
            </w:r>
          </w:p>
        </w:tc>
        <w:tc>
          <w:tcPr>
            <w:tcW w:w="815" w:type="pct"/>
            <w:vAlign w:val="center"/>
          </w:tcPr>
          <w:p w14:paraId="4AB641F4">
            <w:pPr>
              <w:pStyle w:val="33"/>
              <w:rPr>
                <w:color w:val="auto"/>
              </w:rPr>
            </w:pPr>
            <w:r>
              <w:rPr>
                <w:rFonts w:hint="eastAsia"/>
                <w:color w:val="auto"/>
                <w:spacing w:val="-9"/>
              </w:rPr>
              <w:t>10台</w:t>
            </w:r>
          </w:p>
        </w:tc>
        <w:tc>
          <w:tcPr>
            <w:tcW w:w="1147" w:type="pct"/>
            <w:vAlign w:val="center"/>
          </w:tcPr>
          <w:p w14:paraId="4D0CFD24">
            <w:pPr>
              <w:pStyle w:val="33"/>
              <w:rPr>
                <w:color w:val="auto"/>
              </w:rPr>
            </w:pPr>
            <w:r>
              <w:rPr>
                <w:rFonts w:hint="eastAsia"/>
                <w:color w:val="auto"/>
                <w:spacing w:val="-6"/>
              </w:rPr>
              <w:t>工务仓库</w:t>
            </w:r>
          </w:p>
        </w:tc>
      </w:tr>
      <w:tr w14:paraId="31F62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7D652688">
            <w:pPr>
              <w:pStyle w:val="33"/>
              <w:rPr>
                <w:color w:val="auto"/>
              </w:rPr>
            </w:pPr>
            <w:r>
              <w:rPr>
                <w:rFonts w:hint="eastAsia"/>
                <w:color w:val="auto"/>
                <w:spacing w:val="-14"/>
                <w:position w:val="1"/>
              </w:rPr>
              <w:t>14</w:t>
            </w:r>
          </w:p>
        </w:tc>
        <w:tc>
          <w:tcPr>
            <w:tcW w:w="1062" w:type="pct"/>
            <w:vMerge w:val="continue"/>
            <w:vAlign w:val="center"/>
          </w:tcPr>
          <w:p w14:paraId="2C843D06">
            <w:pPr>
              <w:pStyle w:val="33"/>
              <w:rPr>
                <w:rFonts w:hint="eastAsia" w:ascii="仿宋" w:hAnsi="仿宋" w:eastAsia="仿宋"/>
                <w:color w:val="auto"/>
              </w:rPr>
            </w:pPr>
          </w:p>
        </w:tc>
        <w:tc>
          <w:tcPr>
            <w:tcW w:w="1470" w:type="pct"/>
            <w:vAlign w:val="center"/>
          </w:tcPr>
          <w:p w14:paraId="6825CE58">
            <w:pPr>
              <w:pStyle w:val="33"/>
              <w:rPr>
                <w:color w:val="auto"/>
              </w:rPr>
            </w:pPr>
            <w:r>
              <w:rPr>
                <w:rFonts w:hint="eastAsia"/>
                <w:color w:val="auto"/>
                <w:spacing w:val="-12"/>
              </w:rPr>
              <w:t>吨桶</w:t>
            </w:r>
          </w:p>
        </w:tc>
        <w:tc>
          <w:tcPr>
            <w:tcW w:w="815" w:type="pct"/>
            <w:vAlign w:val="center"/>
          </w:tcPr>
          <w:p w14:paraId="0D69E488">
            <w:pPr>
              <w:pStyle w:val="33"/>
              <w:rPr>
                <w:color w:val="auto"/>
              </w:rPr>
            </w:pPr>
            <w:r>
              <w:rPr>
                <w:rFonts w:hint="eastAsia"/>
                <w:color w:val="auto"/>
              </w:rPr>
              <w:t>50个</w:t>
            </w:r>
          </w:p>
        </w:tc>
        <w:tc>
          <w:tcPr>
            <w:tcW w:w="1147" w:type="pct"/>
            <w:vAlign w:val="center"/>
          </w:tcPr>
          <w:p w14:paraId="3270F1BA">
            <w:pPr>
              <w:pStyle w:val="33"/>
              <w:rPr>
                <w:color w:val="auto"/>
              </w:rPr>
            </w:pPr>
            <w:r>
              <w:rPr>
                <w:rFonts w:hint="eastAsia"/>
                <w:color w:val="auto"/>
                <w:spacing w:val="-4"/>
              </w:rPr>
              <w:t>工务仓库</w:t>
            </w:r>
          </w:p>
        </w:tc>
      </w:tr>
      <w:tr w14:paraId="114AB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4B7D0F6B">
            <w:pPr>
              <w:pStyle w:val="33"/>
              <w:rPr>
                <w:color w:val="auto"/>
              </w:rPr>
            </w:pPr>
            <w:r>
              <w:rPr>
                <w:rFonts w:hint="eastAsia"/>
                <w:color w:val="auto"/>
                <w:spacing w:val="-14"/>
              </w:rPr>
              <w:t>15</w:t>
            </w:r>
          </w:p>
        </w:tc>
        <w:tc>
          <w:tcPr>
            <w:tcW w:w="1062" w:type="pct"/>
            <w:vMerge w:val="restart"/>
            <w:vAlign w:val="center"/>
          </w:tcPr>
          <w:p w14:paraId="17C54FF2">
            <w:pPr>
              <w:pStyle w:val="33"/>
              <w:rPr>
                <w:color w:val="auto"/>
              </w:rPr>
            </w:pPr>
            <w:r>
              <w:rPr>
                <w:rFonts w:hint="eastAsia"/>
                <w:color w:val="auto"/>
                <w:spacing w:val="-5"/>
              </w:rPr>
              <w:t>污染物降解</w:t>
            </w:r>
          </w:p>
        </w:tc>
        <w:tc>
          <w:tcPr>
            <w:tcW w:w="1470" w:type="pct"/>
            <w:vAlign w:val="center"/>
          </w:tcPr>
          <w:p w14:paraId="0798A2C0">
            <w:pPr>
              <w:pStyle w:val="33"/>
              <w:rPr>
                <w:color w:val="auto"/>
              </w:rPr>
            </w:pPr>
            <w:r>
              <w:rPr>
                <w:rFonts w:hint="eastAsia"/>
                <w:color w:val="auto"/>
                <w:spacing w:val="-6"/>
              </w:rPr>
              <w:t>氢氧化钙</w:t>
            </w:r>
          </w:p>
        </w:tc>
        <w:tc>
          <w:tcPr>
            <w:tcW w:w="815" w:type="pct"/>
            <w:vAlign w:val="center"/>
          </w:tcPr>
          <w:p w14:paraId="05A85D32">
            <w:pPr>
              <w:pStyle w:val="33"/>
              <w:rPr>
                <w:color w:val="auto"/>
              </w:rPr>
            </w:pPr>
            <w:r>
              <w:rPr>
                <w:color w:val="auto"/>
              </w:rPr>
              <w:t>100kg</w:t>
            </w:r>
          </w:p>
        </w:tc>
        <w:tc>
          <w:tcPr>
            <w:tcW w:w="1147" w:type="pct"/>
            <w:vAlign w:val="center"/>
          </w:tcPr>
          <w:p w14:paraId="270BF88B">
            <w:pPr>
              <w:pStyle w:val="33"/>
              <w:rPr>
                <w:color w:val="auto"/>
              </w:rPr>
            </w:pPr>
            <w:r>
              <w:rPr>
                <w:rFonts w:hint="eastAsia"/>
                <w:color w:val="auto"/>
                <w:spacing w:val="-5"/>
              </w:rPr>
              <w:t>化工仓库</w:t>
            </w:r>
          </w:p>
        </w:tc>
      </w:tr>
      <w:tr w14:paraId="208D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7AEFD6B3">
            <w:pPr>
              <w:pStyle w:val="33"/>
              <w:rPr>
                <w:color w:val="auto"/>
              </w:rPr>
            </w:pPr>
            <w:r>
              <w:rPr>
                <w:rFonts w:hint="eastAsia"/>
                <w:color w:val="auto"/>
                <w:spacing w:val="-14"/>
              </w:rPr>
              <w:t>16</w:t>
            </w:r>
          </w:p>
        </w:tc>
        <w:tc>
          <w:tcPr>
            <w:tcW w:w="1062" w:type="pct"/>
            <w:vMerge w:val="continue"/>
            <w:vAlign w:val="center"/>
          </w:tcPr>
          <w:p w14:paraId="5E0C7B20">
            <w:pPr>
              <w:pStyle w:val="33"/>
              <w:rPr>
                <w:rFonts w:hint="eastAsia" w:ascii="仿宋" w:hAnsi="仿宋" w:eastAsia="仿宋"/>
                <w:color w:val="auto"/>
              </w:rPr>
            </w:pPr>
          </w:p>
        </w:tc>
        <w:tc>
          <w:tcPr>
            <w:tcW w:w="1470" w:type="pct"/>
            <w:vAlign w:val="center"/>
          </w:tcPr>
          <w:p w14:paraId="1FDC5C42">
            <w:pPr>
              <w:pStyle w:val="33"/>
              <w:rPr>
                <w:color w:val="auto"/>
              </w:rPr>
            </w:pPr>
            <w:r>
              <w:rPr>
                <w:rFonts w:hint="eastAsia"/>
                <w:color w:val="auto"/>
              </w:rPr>
              <w:t>盐酸</w:t>
            </w:r>
          </w:p>
        </w:tc>
        <w:tc>
          <w:tcPr>
            <w:tcW w:w="815" w:type="pct"/>
            <w:vAlign w:val="center"/>
          </w:tcPr>
          <w:p w14:paraId="63CC1D73">
            <w:pPr>
              <w:pStyle w:val="33"/>
              <w:rPr>
                <w:color w:val="auto"/>
              </w:rPr>
            </w:pPr>
            <w:r>
              <w:rPr>
                <w:rFonts w:hint="eastAsia"/>
                <w:color w:val="auto"/>
                <w:spacing w:val="-7"/>
              </w:rPr>
              <w:t>5t</w:t>
            </w:r>
          </w:p>
        </w:tc>
        <w:tc>
          <w:tcPr>
            <w:tcW w:w="1147" w:type="pct"/>
            <w:vAlign w:val="center"/>
          </w:tcPr>
          <w:p w14:paraId="2892BDF0">
            <w:pPr>
              <w:pStyle w:val="33"/>
              <w:rPr>
                <w:color w:val="auto"/>
              </w:rPr>
            </w:pPr>
            <w:r>
              <w:rPr>
                <w:rFonts w:hint="eastAsia"/>
                <w:color w:val="auto"/>
                <w:spacing w:val="-5"/>
              </w:rPr>
              <w:t>污水处理站</w:t>
            </w:r>
          </w:p>
        </w:tc>
      </w:tr>
      <w:tr w14:paraId="201B0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6CE8A339">
            <w:pPr>
              <w:pStyle w:val="33"/>
              <w:rPr>
                <w:color w:val="auto"/>
              </w:rPr>
            </w:pPr>
            <w:r>
              <w:rPr>
                <w:rFonts w:hint="eastAsia"/>
                <w:color w:val="auto"/>
                <w:spacing w:val="-14"/>
              </w:rPr>
              <w:t>17</w:t>
            </w:r>
          </w:p>
        </w:tc>
        <w:tc>
          <w:tcPr>
            <w:tcW w:w="1062" w:type="pct"/>
            <w:vMerge w:val="continue"/>
            <w:vAlign w:val="center"/>
          </w:tcPr>
          <w:p w14:paraId="33CAB972">
            <w:pPr>
              <w:pStyle w:val="33"/>
              <w:rPr>
                <w:rFonts w:hint="eastAsia" w:ascii="仿宋" w:hAnsi="仿宋" w:eastAsia="仿宋"/>
                <w:color w:val="auto"/>
              </w:rPr>
            </w:pPr>
          </w:p>
        </w:tc>
        <w:tc>
          <w:tcPr>
            <w:tcW w:w="1470" w:type="pct"/>
            <w:vAlign w:val="center"/>
          </w:tcPr>
          <w:p w14:paraId="03390816">
            <w:pPr>
              <w:pStyle w:val="33"/>
              <w:rPr>
                <w:color w:val="auto"/>
              </w:rPr>
            </w:pPr>
            <w:r>
              <w:rPr>
                <w:rFonts w:hint="eastAsia"/>
                <w:color w:val="auto"/>
                <w:spacing w:val="-4"/>
              </w:rPr>
              <w:t>加药装置</w:t>
            </w:r>
          </w:p>
        </w:tc>
        <w:tc>
          <w:tcPr>
            <w:tcW w:w="815" w:type="pct"/>
            <w:vAlign w:val="center"/>
          </w:tcPr>
          <w:p w14:paraId="3DF7D3E9">
            <w:pPr>
              <w:pStyle w:val="33"/>
              <w:rPr>
                <w:color w:val="auto"/>
              </w:rPr>
            </w:pPr>
            <w:r>
              <w:rPr>
                <w:rFonts w:hint="eastAsia"/>
                <w:color w:val="auto"/>
                <w:spacing w:val="-4"/>
              </w:rPr>
              <w:t>4套</w:t>
            </w:r>
          </w:p>
        </w:tc>
        <w:tc>
          <w:tcPr>
            <w:tcW w:w="1147" w:type="pct"/>
            <w:vAlign w:val="center"/>
          </w:tcPr>
          <w:p w14:paraId="67897A05">
            <w:pPr>
              <w:pStyle w:val="33"/>
              <w:rPr>
                <w:color w:val="auto"/>
              </w:rPr>
            </w:pPr>
            <w:r>
              <w:rPr>
                <w:rFonts w:hint="eastAsia"/>
                <w:color w:val="auto"/>
                <w:spacing w:val="-5"/>
              </w:rPr>
              <w:t>污水处理站</w:t>
            </w:r>
          </w:p>
        </w:tc>
      </w:tr>
      <w:tr w14:paraId="5624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505" w:type="pct"/>
            <w:vAlign w:val="center"/>
          </w:tcPr>
          <w:p w14:paraId="47673452">
            <w:pPr>
              <w:pStyle w:val="33"/>
              <w:rPr>
                <w:color w:val="auto"/>
              </w:rPr>
            </w:pPr>
            <w:r>
              <w:rPr>
                <w:rFonts w:hint="eastAsia"/>
                <w:color w:val="auto"/>
                <w:spacing w:val="-14"/>
              </w:rPr>
              <w:t>18</w:t>
            </w:r>
          </w:p>
        </w:tc>
        <w:tc>
          <w:tcPr>
            <w:tcW w:w="1062" w:type="pct"/>
            <w:vMerge w:val="restart"/>
            <w:vAlign w:val="center"/>
          </w:tcPr>
          <w:p w14:paraId="5D4EF8CA">
            <w:pPr>
              <w:pStyle w:val="33"/>
              <w:rPr>
                <w:color w:val="auto"/>
              </w:rPr>
            </w:pPr>
            <w:r>
              <w:rPr>
                <w:rFonts w:hint="eastAsia"/>
                <w:color w:val="auto"/>
                <w:spacing w:val="-5"/>
              </w:rPr>
              <w:t>安全防护</w:t>
            </w:r>
          </w:p>
        </w:tc>
        <w:tc>
          <w:tcPr>
            <w:tcW w:w="1470" w:type="pct"/>
            <w:vAlign w:val="center"/>
          </w:tcPr>
          <w:p w14:paraId="39AB56C4">
            <w:pPr>
              <w:pStyle w:val="33"/>
              <w:rPr>
                <w:color w:val="auto"/>
              </w:rPr>
            </w:pPr>
            <w:r>
              <w:rPr>
                <w:rFonts w:hint="eastAsia"/>
                <w:color w:val="auto"/>
              </w:rPr>
              <w:t>防护眼镜</w:t>
            </w:r>
          </w:p>
        </w:tc>
        <w:tc>
          <w:tcPr>
            <w:tcW w:w="815" w:type="pct"/>
            <w:vAlign w:val="center"/>
          </w:tcPr>
          <w:p w14:paraId="7D2C80EE">
            <w:pPr>
              <w:pStyle w:val="33"/>
              <w:rPr>
                <w:color w:val="auto"/>
              </w:rPr>
            </w:pPr>
            <w:r>
              <w:rPr>
                <w:rFonts w:hint="eastAsia"/>
                <w:color w:val="auto"/>
                <w:spacing w:val="-7"/>
              </w:rPr>
              <w:t>100个</w:t>
            </w:r>
          </w:p>
        </w:tc>
        <w:tc>
          <w:tcPr>
            <w:tcW w:w="1147" w:type="pct"/>
            <w:vAlign w:val="center"/>
          </w:tcPr>
          <w:p w14:paraId="2F5B2199">
            <w:pPr>
              <w:pStyle w:val="33"/>
              <w:rPr>
                <w:color w:val="auto"/>
              </w:rPr>
            </w:pPr>
            <w:r>
              <w:rPr>
                <w:rFonts w:hint="eastAsia"/>
                <w:color w:val="auto"/>
                <w:spacing w:val="-4"/>
              </w:rPr>
              <w:t>各生产车间</w:t>
            </w:r>
          </w:p>
        </w:tc>
      </w:tr>
      <w:tr w14:paraId="6958C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5A7C4152">
            <w:pPr>
              <w:pStyle w:val="33"/>
              <w:rPr>
                <w:color w:val="auto"/>
              </w:rPr>
            </w:pPr>
            <w:r>
              <w:rPr>
                <w:rFonts w:hint="eastAsia"/>
                <w:color w:val="auto"/>
                <w:spacing w:val="-14"/>
              </w:rPr>
              <w:t>19</w:t>
            </w:r>
          </w:p>
        </w:tc>
        <w:tc>
          <w:tcPr>
            <w:tcW w:w="1062" w:type="pct"/>
            <w:vMerge w:val="continue"/>
            <w:vAlign w:val="center"/>
          </w:tcPr>
          <w:p w14:paraId="6BE2CC2A">
            <w:pPr>
              <w:pStyle w:val="33"/>
              <w:rPr>
                <w:rFonts w:hint="eastAsia" w:ascii="仿宋" w:hAnsi="仿宋" w:eastAsia="仿宋"/>
                <w:color w:val="auto"/>
              </w:rPr>
            </w:pPr>
          </w:p>
        </w:tc>
        <w:tc>
          <w:tcPr>
            <w:tcW w:w="1470" w:type="pct"/>
            <w:vAlign w:val="center"/>
          </w:tcPr>
          <w:p w14:paraId="76BF5E3E">
            <w:pPr>
              <w:pStyle w:val="33"/>
              <w:rPr>
                <w:color w:val="auto"/>
              </w:rPr>
            </w:pPr>
            <w:r>
              <w:rPr>
                <w:rFonts w:hint="eastAsia"/>
                <w:color w:val="auto"/>
                <w:spacing w:val="-6"/>
              </w:rPr>
              <w:t>空气呼吸器</w:t>
            </w:r>
          </w:p>
        </w:tc>
        <w:tc>
          <w:tcPr>
            <w:tcW w:w="815" w:type="pct"/>
            <w:vAlign w:val="center"/>
          </w:tcPr>
          <w:p w14:paraId="268F5B73">
            <w:pPr>
              <w:pStyle w:val="33"/>
              <w:rPr>
                <w:color w:val="auto"/>
              </w:rPr>
            </w:pPr>
            <w:r>
              <w:rPr>
                <w:rFonts w:hint="eastAsia"/>
                <w:color w:val="auto"/>
                <w:spacing w:val="-5"/>
              </w:rPr>
              <w:t>30套</w:t>
            </w:r>
          </w:p>
        </w:tc>
        <w:tc>
          <w:tcPr>
            <w:tcW w:w="1147" w:type="pct"/>
            <w:vAlign w:val="center"/>
          </w:tcPr>
          <w:p w14:paraId="64B4060B">
            <w:pPr>
              <w:pStyle w:val="33"/>
              <w:rPr>
                <w:color w:val="auto"/>
              </w:rPr>
            </w:pPr>
            <w:r>
              <w:rPr>
                <w:rFonts w:hint="eastAsia"/>
                <w:color w:val="auto"/>
                <w:spacing w:val="-6"/>
              </w:rPr>
              <w:t>工务仓库</w:t>
            </w:r>
          </w:p>
        </w:tc>
      </w:tr>
      <w:tr w14:paraId="300E1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0DF72F8B">
            <w:pPr>
              <w:pStyle w:val="33"/>
              <w:rPr>
                <w:color w:val="auto"/>
              </w:rPr>
            </w:pPr>
            <w:r>
              <w:rPr>
                <w:rFonts w:hint="eastAsia"/>
                <w:color w:val="auto"/>
                <w:spacing w:val="-6"/>
              </w:rPr>
              <w:t>20</w:t>
            </w:r>
          </w:p>
        </w:tc>
        <w:tc>
          <w:tcPr>
            <w:tcW w:w="1062" w:type="pct"/>
            <w:vMerge w:val="continue"/>
            <w:vAlign w:val="center"/>
          </w:tcPr>
          <w:p w14:paraId="5EE78FF5">
            <w:pPr>
              <w:pStyle w:val="33"/>
              <w:rPr>
                <w:rFonts w:hint="eastAsia" w:ascii="仿宋" w:hAnsi="仿宋" w:eastAsia="仿宋"/>
                <w:color w:val="auto"/>
              </w:rPr>
            </w:pPr>
          </w:p>
        </w:tc>
        <w:tc>
          <w:tcPr>
            <w:tcW w:w="1470" w:type="pct"/>
            <w:vAlign w:val="center"/>
          </w:tcPr>
          <w:p w14:paraId="748A8723">
            <w:pPr>
              <w:pStyle w:val="33"/>
              <w:rPr>
                <w:color w:val="auto"/>
              </w:rPr>
            </w:pPr>
            <w:r>
              <w:rPr>
                <w:rFonts w:hint="eastAsia"/>
                <w:color w:val="auto"/>
                <w:spacing w:val="-7"/>
              </w:rPr>
              <w:t>阻热防护服</w:t>
            </w:r>
          </w:p>
        </w:tc>
        <w:tc>
          <w:tcPr>
            <w:tcW w:w="815" w:type="pct"/>
            <w:vAlign w:val="center"/>
          </w:tcPr>
          <w:p w14:paraId="016F4174">
            <w:pPr>
              <w:pStyle w:val="33"/>
              <w:rPr>
                <w:color w:val="auto"/>
              </w:rPr>
            </w:pPr>
            <w:r>
              <w:rPr>
                <w:rFonts w:hint="eastAsia"/>
                <w:color w:val="auto"/>
              </w:rPr>
              <w:t>30套</w:t>
            </w:r>
          </w:p>
        </w:tc>
        <w:tc>
          <w:tcPr>
            <w:tcW w:w="1147" w:type="pct"/>
            <w:vAlign w:val="center"/>
          </w:tcPr>
          <w:p w14:paraId="242EBCCF">
            <w:pPr>
              <w:pStyle w:val="33"/>
              <w:rPr>
                <w:color w:val="auto"/>
              </w:rPr>
            </w:pPr>
            <w:r>
              <w:rPr>
                <w:rFonts w:hint="eastAsia"/>
                <w:color w:val="auto"/>
                <w:spacing w:val="-6"/>
              </w:rPr>
              <w:t>工务仓库</w:t>
            </w:r>
          </w:p>
        </w:tc>
      </w:tr>
      <w:tr w14:paraId="58ABC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27A7BD90">
            <w:pPr>
              <w:pStyle w:val="33"/>
              <w:rPr>
                <w:color w:val="auto"/>
              </w:rPr>
            </w:pPr>
            <w:r>
              <w:rPr>
                <w:rFonts w:hint="eastAsia"/>
                <w:color w:val="auto"/>
                <w:spacing w:val="-6"/>
                <w:position w:val="1"/>
              </w:rPr>
              <w:t>21</w:t>
            </w:r>
          </w:p>
        </w:tc>
        <w:tc>
          <w:tcPr>
            <w:tcW w:w="1062" w:type="pct"/>
            <w:vMerge w:val="continue"/>
            <w:vAlign w:val="center"/>
          </w:tcPr>
          <w:p w14:paraId="69200069">
            <w:pPr>
              <w:pStyle w:val="33"/>
              <w:rPr>
                <w:rFonts w:hint="eastAsia" w:ascii="仿宋" w:hAnsi="仿宋" w:eastAsia="仿宋"/>
                <w:color w:val="auto"/>
              </w:rPr>
            </w:pPr>
          </w:p>
        </w:tc>
        <w:tc>
          <w:tcPr>
            <w:tcW w:w="1470" w:type="pct"/>
            <w:vAlign w:val="center"/>
          </w:tcPr>
          <w:p w14:paraId="0BBC9C18">
            <w:pPr>
              <w:pStyle w:val="33"/>
              <w:rPr>
                <w:color w:val="auto"/>
              </w:rPr>
            </w:pPr>
            <w:r>
              <w:rPr>
                <w:rFonts w:hint="eastAsia"/>
                <w:color w:val="auto"/>
                <w:spacing w:val="-11"/>
              </w:rPr>
              <w:t>防化服</w:t>
            </w:r>
          </w:p>
        </w:tc>
        <w:tc>
          <w:tcPr>
            <w:tcW w:w="815" w:type="pct"/>
            <w:vAlign w:val="center"/>
          </w:tcPr>
          <w:p w14:paraId="5DBCFBB7">
            <w:pPr>
              <w:pStyle w:val="33"/>
              <w:rPr>
                <w:color w:val="auto"/>
              </w:rPr>
            </w:pPr>
            <w:r>
              <w:rPr>
                <w:rFonts w:hint="eastAsia"/>
                <w:color w:val="auto"/>
                <w:spacing w:val="-5"/>
              </w:rPr>
              <w:t>30套</w:t>
            </w:r>
          </w:p>
        </w:tc>
        <w:tc>
          <w:tcPr>
            <w:tcW w:w="1147" w:type="pct"/>
            <w:vAlign w:val="center"/>
          </w:tcPr>
          <w:p w14:paraId="361181C2">
            <w:pPr>
              <w:pStyle w:val="33"/>
              <w:rPr>
                <w:color w:val="auto"/>
              </w:rPr>
            </w:pPr>
            <w:r>
              <w:rPr>
                <w:rFonts w:hint="eastAsia"/>
                <w:color w:val="auto"/>
                <w:spacing w:val="-6"/>
              </w:rPr>
              <w:t>工务仓库</w:t>
            </w:r>
          </w:p>
        </w:tc>
      </w:tr>
      <w:tr w14:paraId="23BD3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50FDDE1B">
            <w:pPr>
              <w:pStyle w:val="33"/>
              <w:rPr>
                <w:color w:val="auto"/>
              </w:rPr>
            </w:pPr>
            <w:r>
              <w:rPr>
                <w:rFonts w:hint="eastAsia"/>
                <w:color w:val="auto"/>
                <w:spacing w:val="-6"/>
                <w:position w:val="1"/>
              </w:rPr>
              <w:t>22</w:t>
            </w:r>
          </w:p>
        </w:tc>
        <w:tc>
          <w:tcPr>
            <w:tcW w:w="1062" w:type="pct"/>
            <w:vMerge w:val="continue"/>
            <w:vAlign w:val="center"/>
          </w:tcPr>
          <w:p w14:paraId="363E97DD">
            <w:pPr>
              <w:pStyle w:val="33"/>
              <w:rPr>
                <w:rFonts w:hint="eastAsia" w:ascii="仿宋" w:hAnsi="仿宋" w:eastAsia="仿宋"/>
                <w:color w:val="auto"/>
              </w:rPr>
            </w:pPr>
          </w:p>
        </w:tc>
        <w:tc>
          <w:tcPr>
            <w:tcW w:w="1470" w:type="pct"/>
            <w:vAlign w:val="center"/>
          </w:tcPr>
          <w:p w14:paraId="1A54BBE6">
            <w:pPr>
              <w:pStyle w:val="33"/>
              <w:rPr>
                <w:color w:val="auto"/>
              </w:rPr>
            </w:pPr>
            <w:r>
              <w:rPr>
                <w:rFonts w:hint="eastAsia"/>
                <w:color w:val="auto"/>
              </w:rPr>
              <w:t>防酸碱服</w:t>
            </w:r>
          </w:p>
        </w:tc>
        <w:tc>
          <w:tcPr>
            <w:tcW w:w="815" w:type="pct"/>
            <w:vAlign w:val="center"/>
          </w:tcPr>
          <w:p w14:paraId="3FB92C63">
            <w:pPr>
              <w:pStyle w:val="33"/>
              <w:rPr>
                <w:color w:val="auto"/>
              </w:rPr>
            </w:pPr>
            <w:r>
              <w:rPr>
                <w:rFonts w:hint="eastAsia"/>
                <w:color w:val="auto"/>
              </w:rPr>
              <w:t>30套</w:t>
            </w:r>
          </w:p>
        </w:tc>
        <w:tc>
          <w:tcPr>
            <w:tcW w:w="1147" w:type="pct"/>
            <w:vAlign w:val="center"/>
          </w:tcPr>
          <w:p w14:paraId="3DE8B6E5">
            <w:pPr>
              <w:pStyle w:val="33"/>
              <w:rPr>
                <w:color w:val="auto"/>
              </w:rPr>
            </w:pPr>
            <w:r>
              <w:rPr>
                <w:rFonts w:hint="eastAsia"/>
                <w:color w:val="auto"/>
                <w:spacing w:val="-6"/>
              </w:rPr>
              <w:t>工务仓库</w:t>
            </w:r>
          </w:p>
        </w:tc>
      </w:tr>
      <w:tr w14:paraId="73613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2DC1BF70">
            <w:pPr>
              <w:pStyle w:val="33"/>
              <w:rPr>
                <w:color w:val="auto"/>
              </w:rPr>
            </w:pPr>
            <w:r>
              <w:rPr>
                <w:rFonts w:hint="eastAsia"/>
                <w:color w:val="auto"/>
                <w:spacing w:val="-6"/>
              </w:rPr>
              <w:t>23</w:t>
            </w:r>
          </w:p>
        </w:tc>
        <w:tc>
          <w:tcPr>
            <w:tcW w:w="1062" w:type="pct"/>
            <w:vMerge w:val="continue"/>
            <w:vAlign w:val="center"/>
          </w:tcPr>
          <w:p w14:paraId="7CD9E4A1">
            <w:pPr>
              <w:pStyle w:val="33"/>
              <w:rPr>
                <w:rFonts w:hint="eastAsia" w:ascii="仿宋" w:hAnsi="仿宋" w:eastAsia="仿宋"/>
                <w:color w:val="auto"/>
              </w:rPr>
            </w:pPr>
          </w:p>
        </w:tc>
        <w:tc>
          <w:tcPr>
            <w:tcW w:w="1470" w:type="pct"/>
            <w:vAlign w:val="center"/>
          </w:tcPr>
          <w:p w14:paraId="4E24F67D">
            <w:pPr>
              <w:pStyle w:val="33"/>
              <w:rPr>
                <w:color w:val="auto"/>
              </w:rPr>
            </w:pPr>
            <w:r>
              <w:rPr>
                <w:rFonts w:hint="eastAsia"/>
                <w:color w:val="auto"/>
                <w:spacing w:val="-7"/>
              </w:rPr>
              <w:t>防酸碱手套</w:t>
            </w:r>
          </w:p>
        </w:tc>
        <w:tc>
          <w:tcPr>
            <w:tcW w:w="815" w:type="pct"/>
            <w:vAlign w:val="center"/>
          </w:tcPr>
          <w:p w14:paraId="7B10F8F1">
            <w:pPr>
              <w:pStyle w:val="33"/>
              <w:rPr>
                <w:color w:val="auto"/>
              </w:rPr>
            </w:pPr>
            <w:r>
              <w:rPr>
                <w:rFonts w:hint="eastAsia"/>
                <w:color w:val="auto"/>
              </w:rPr>
              <w:t>30套</w:t>
            </w:r>
          </w:p>
        </w:tc>
        <w:tc>
          <w:tcPr>
            <w:tcW w:w="1147" w:type="pct"/>
            <w:vAlign w:val="center"/>
          </w:tcPr>
          <w:p w14:paraId="552B2618">
            <w:pPr>
              <w:pStyle w:val="33"/>
              <w:rPr>
                <w:color w:val="auto"/>
              </w:rPr>
            </w:pPr>
            <w:r>
              <w:rPr>
                <w:rFonts w:hint="eastAsia"/>
                <w:color w:val="auto"/>
                <w:spacing w:val="-6"/>
              </w:rPr>
              <w:t>工务仓库</w:t>
            </w:r>
          </w:p>
        </w:tc>
      </w:tr>
      <w:tr w14:paraId="347D7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73F98B00">
            <w:pPr>
              <w:pStyle w:val="33"/>
              <w:rPr>
                <w:color w:val="auto"/>
              </w:rPr>
            </w:pPr>
            <w:r>
              <w:rPr>
                <w:rFonts w:hint="eastAsia"/>
                <w:color w:val="auto"/>
                <w:spacing w:val="-6"/>
                <w:position w:val="1"/>
              </w:rPr>
              <w:t>24</w:t>
            </w:r>
          </w:p>
        </w:tc>
        <w:tc>
          <w:tcPr>
            <w:tcW w:w="1062" w:type="pct"/>
            <w:vMerge w:val="continue"/>
            <w:vAlign w:val="center"/>
          </w:tcPr>
          <w:p w14:paraId="475669EC">
            <w:pPr>
              <w:pStyle w:val="33"/>
              <w:rPr>
                <w:rFonts w:hint="eastAsia" w:ascii="仿宋" w:hAnsi="仿宋" w:eastAsia="仿宋"/>
                <w:color w:val="auto"/>
              </w:rPr>
            </w:pPr>
          </w:p>
        </w:tc>
        <w:tc>
          <w:tcPr>
            <w:tcW w:w="1470" w:type="pct"/>
            <w:vAlign w:val="center"/>
          </w:tcPr>
          <w:p w14:paraId="592A645D">
            <w:pPr>
              <w:pStyle w:val="33"/>
              <w:rPr>
                <w:color w:val="auto"/>
              </w:rPr>
            </w:pPr>
            <w:r>
              <w:rPr>
                <w:rFonts w:hint="eastAsia"/>
                <w:color w:val="auto"/>
              </w:rPr>
              <w:t>防毒面具</w:t>
            </w:r>
          </w:p>
        </w:tc>
        <w:tc>
          <w:tcPr>
            <w:tcW w:w="815" w:type="pct"/>
            <w:vAlign w:val="center"/>
          </w:tcPr>
          <w:p w14:paraId="4A5937A0">
            <w:pPr>
              <w:pStyle w:val="33"/>
              <w:rPr>
                <w:color w:val="auto"/>
              </w:rPr>
            </w:pPr>
            <w:r>
              <w:rPr>
                <w:rFonts w:hint="eastAsia"/>
                <w:color w:val="auto"/>
              </w:rPr>
              <w:t>50个</w:t>
            </w:r>
          </w:p>
        </w:tc>
        <w:tc>
          <w:tcPr>
            <w:tcW w:w="1147" w:type="pct"/>
            <w:vAlign w:val="center"/>
          </w:tcPr>
          <w:p w14:paraId="5BB7C7EB">
            <w:pPr>
              <w:pStyle w:val="33"/>
              <w:rPr>
                <w:color w:val="auto"/>
              </w:rPr>
            </w:pPr>
            <w:r>
              <w:rPr>
                <w:rFonts w:hint="eastAsia"/>
                <w:color w:val="auto"/>
                <w:spacing w:val="-6"/>
              </w:rPr>
              <w:t>工务仓库</w:t>
            </w:r>
          </w:p>
        </w:tc>
      </w:tr>
      <w:tr w14:paraId="13A0E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4C608616">
            <w:pPr>
              <w:pStyle w:val="33"/>
              <w:rPr>
                <w:color w:val="auto"/>
              </w:rPr>
            </w:pPr>
            <w:r>
              <w:rPr>
                <w:rFonts w:hint="eastAsia"/>
                <w:color w:val="auto"/>
                <w:spacing w:val="-6"/>
              </w:rPr>
              <w:t>25</w:t>
            </w:r>
          </w:p>
        </w:tc>
        <w:tc>
          <w:tcPr>
            <w:tcW w:w="1062" w:type="pct"/>
            <w:vMerge w:val="continue"/>
            <w:vAlign w:val="center"/>
          </w:tcPr>
          <w:p w14:paraId="2E04CB5E">
            <w:pPr>
              <w:pStyle w:val="33"/>
              <w:rPr>
                <w:rFonts w:hint="eastAsia" w:ascii="仿宋" w:hAnsi="仿宋" w:eastAsia="仿宋"/>
                <w:color w:val="auto"/>
              </w:rPr>
            </w:pPr>
          </w:p>
        </w:tc>
        <w:tc>
          <w:tcPr>
            <w:tcW w:w="1470" w:type="pct"/>
            <w:vAlign w:val="center"/>
          </w:tcPr>
          <w:p w14:paraId="08FA92AB">
            <w:pPr>
              <w:pStyle w:val="33"/>
              <w:rPr>
                <w:color w:val="auto"/>
              </w:rPr>
            </w:pPr>
            <w:r>
              <w:rPr>
                <w:rFonts w:hint="eastAsia"/>
                <w:color w:val="auto"/>
                <w:spacing w:val="-7"/>
              </w:rPr>
              <w:t>安全绳</w:t>
            </w:r>
          </w:p>
        </w:tc>
        <w:tc>
          <w:tcPr>
            <w:tcW w:w="815" w:type="pct"/>
            <w:vAlign w:val="center"/>
          </w:tcPr>
          <w:p w14:paraId="0FD96278">
            <w:pPr>
              <w:pStyle w:val="33"/>
              <w:rPr>
                <w:color w:val="auto"/>
              </w:rPr>
            </w:pPr>
            <w:r>
              <w:rPr>
                <w:rFonts w:hint="eastAsia"/>
                <w:color w:val="auto"/>
              </w:rPr>
              <w:t>50套</w:t>
            </w:r>
          </w:p>
        </w:tc>
        <w:tc>
          <w:tcPr>
            <w:tcW w:w="1147" w:type="pct"/>
            <w:vAlign w:val="center"/>
          </w:tcPr>
          <w:p w14:paraId="21A35FDA">
            <w:pPr>
              <w:pStyle w:val="33"/>
              <w:rPr>
                <w:color w:val="auto"/>
              </w:rPr>
            </w:pPr>
            <w:r>
              <w:rPr>
                <w:rFonts w:hint="eastAsia"/>
                <w:color w:val="auto"/>
                <w:spacing w:val="-6"/>
              </w:rPr>
              <w:t>工务仓库</w:t>
            </w:r>
          </w:p>
        </w:tc>
      </w:tr>
      <w:tr w14:paraId="0D7F2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1E06F4C5">
            <w:pPr>
              <w:pStyle w:val="33"/>
              <w:rPr>
                <w:color w:val="auto"/>
              </w:rPr>
            </w:pPr>
            <w:r>
              <w:rPr>
                <w:rFonts w:hint="eastAsia"/>
                <w:color w:val="auto"/>
                <w:spacing w:val="-6"/>
              </w:rPr>
              <w:t>26</w:t>
            </w:r>
          </w:p>
        </w:tc>
        <w:tc>
          <w:tcPr>
            <w:tcW w:w="1062" w:type="pct"/>
            <w:vMerge w:val="continue"/>
            <w:vAlign w:val="center"/>
          </w:tcPr>
          <w:p w14:paraId="0BE8F699">
            <w:pPr>
              <w:pStyle w:val="33"/>
              <w:rPr>
                <w:rFonts w:hint="eastAsia" w:ascii="仿宋" w:hAnsi="仿宋" w:eastAsia="仿宋"/>
                <w:color w:val="auto"/>
              </w:rPr>
            </w:pPr>
          </w:p>
        </w:tc>
        <w:tc>
          <w:tcPr>
            <w:tcW w:w="1470" w:type="pct"/>
            <w:vAlign w:val="center"/>
          </w:tcPr>
          <w:p w14:paraId="0348F492">
            <w:pPr>
              <w:pStyle w:val="33"/>
              <w:rPr>
                <w:color w:val="auto"/>
              </w:rPr>
            </w:pPr>
            <w:r>
              <w:rPr>
                <w:rFonts w:hint="eastAsia"/>
                <w:color w:val="auto"/>
                <w:spacing w:val="-7"/>
              </w:rPr>
              <w:t>安全帽</w:t>
            </w:r>
          </w:p>
        </w:tc>
        <w:tc>
          <w:tcPr>
            <w:tcW w:w="815" w:type="pct"/>
            <w:vAlign w:val="center"/>
          </w:tcPr>
          <w:p w14:paraId="20DB463B">
            <w:pPr>
              <w:pStyle w:val="33"/>
              <w:rPr>
                <w:color w:val="auto"/>
              </w:rPr>
            </w:pPr>
            <w:r>
              <w:rPr>
                <w:rFonts w:hint="eastAsia"/>
                <w:color w:val="auto"/>
              </w:rPr>
              <w:t>200顶</w:t>
            </w:r>
          </w:p>
        </w:tc>
        <w:tc>
          <w:tcPr>
            <w:tcW w:w="1147" w:type="pct"/>
            <w:vAlign w:val="center"/>
          </w:tcPr>
          <w:p w14:paraId="1721F9F7">
            <w:pPr>
              <w:pStyle w:val="33"/>
              <w:rPr>
                <w:color w:val="auto"/>
              </w:rPr>
            </w:pPr>
            <w:r>
              <w:rPr>
                <w:rFonts w:hint="eastAsia"/>
                <w:color w:val="auto"/>
                <w:spacing w:val="-6"/>
              </w:rPr>
              <w:t>工务仓库</w:t>
            </w:r>
          </w:p>
        </w:tc>
      </w:tr>
      <w:tr w14:paraId="35C76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62684394">
            <w:pPr>
              <w:pStyle w:val="33"/>
              <w:rPr>
                <w:color w:val="auto"/>
              </w:rPr>
            </w:pPr>
            <w:r>
              <w:rPr>
                <w:rFonts w:hint="eastAsia"/>
                <w:color w:val="auto"/>
                <w:spacing w:val="-6"/>
              </w:rPr>
              <w:t>27</w:t>
            </w:r>
          </w:p>
        </w:tc>
        <w:tc>
          <w:tcPr>
            <w:tcW w:w="1062" w:type="pct"/>
            <w:vMerge w:val="continue"/>
            <w:vAlign w:val="center"/>
          </w:tcPr>
          <w:p w14:paraId="54F57F6C">
            <w:pPr>
              <w:pStyle w:val="33"/>
              <w:rPr>
                <w:rFonts w:hint="eastAsia" w:ascii="仿宋" w:hAnsi="仿宋" w:eastAsia="仿宋"/>
                <w:color w:val="auto"/>
              </w:rPr>
            </w:pPr>
          </w:p>
        </w:tc>
        <w:tc>
          <w:tcPr>
            <w:tcW w:w="1470" w:type="pct"/>
            <w:vAlign w:val="center"/>
          </w:tcPr>
          <w:p w14:paraId="69263955">
            <w:pPr>
              <w:pStyle w:val="33"/>
              <w:rPr>
                <w:color w:val="auto"/>
              </w:rPr>
            </w:pPr>
            <w:r>
              <w:rPr>
                <w:rFonts w:hint="eastAsia"/>
                <w:color w:val="auto"/>
                <w:spacing w:val="-7"/>
              </w:rPr>
              <w:t>安全鞋</w:t>
            </w:r>
          </w:p>
        </w:tc>
        <w:tc>
          <w:tcPr>
            <w:tcW w:w="815" w:type="pct"/>
            <w:vAlign w:val="center"/>
          </w:tcPr>
          <w:p w14:paraId="7A726FAE">
            <w:pPr>
              <w:pStyle w:val="33"/>
              <w:rPr>
                <w:color w:val="auto"/>
              </w:rPr>
            </w:pPr>
            <w:r>
              <w:rPr>
                <w:rFonts w:hint="eastAsia"/>
                <w:color w:val="auto"/>
              </w:rPr>
              <w:t>200双</w:t>
            </w:r>
          </w:p>
        </w:tc>
        <w:tc>
          <w:tcPr>
            <w:tcW w:w="1147" w:type="pct"/>
            <w:vAlign w:val="center"/>
          </w:tcPr>
          <w:p w14:paraId="13336571">
            <w:pPr>
              <w:pStyle w:val="33"/>
              <w:rPr>
                <w:color w:val="auto"/>
              </w:rPr>
            </w:pPr>
            <w:r>
              <w:rPr>
                <w:rFonts w:hint="eastAsia"/>
                <w:color w:val="auto"/>
                <w:spacing w:val="-6"/>
              </w:rPr>
              <w:t>工务仓库</w:t>
            </w:r>
          </w:p>
        </w:tc>
      </w:tr>
      <w:tr w14:paraId="1F200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3D549743">
            <w:pPr>
              <w:pStyle w:val="33"/>
              <w:rPr>
                <w:color w:val="auto"/>
              </w:rPr>
            </w:pPr>
            <w:r>
              <w:rPr>
                <w:rFonts w:hint="eastAsia"/>
                <w:color w:val="auto"/>
                <w:spacing w:val="-6"/>
              </w:rPr>
              <w:t>28</w:t>
            </w:r>
          </w:p>
        </w:tc>
        <w:tc>
          <w:tcPr>
            <w:tcW w:w="1062" w:type="pct"/>
            <w:vMerge w:val="restart"/>
            <w:vAlign w:val="center"/>
          </w:tcPr>
          <w:p w14:paraId="713BCCD0">
            <w:pPr>
              <w:pStyle w:val="33"/>
              <w:rPr>
                <w:color w:val="auto"/>
              </w:rPr>
            </w:pPr>
            <w:r>
              <w:rPr>
                <w:rFonts w:hint="eastAsia"/>
                <w:color w:val="auto"/>
                <w:spacing w:val="-4"/>
              </w:rPr>
              <w:t>应急通信</w:t>
            </w:r>
            <w:r>
              <w:rPr>
                <w:rFonts w:hint="eastAsia"/>
                <w:color w:val="auto"/>
                <w:spacing w:val="-6"/>
              </w:rPr>
              <w:t>和指挥</w:t>
            </w:r>
          </w:p>
        </w:tc>
        <w:tc>
          <w:tcPr>
            <w:tcW w:w="1470" w:type="pct"/>
            <w:vAlign w:val="center"/>
          </w:tcPr>
          <w:p w14:paraId="1E2D41D9">
            <w:pPr>
              <w:pStyle w:val="33"/>
              <w:rPr>
                <w:color w:val="auto"/>
              </w:rPr>
            </w:pPr>
            <w:r>
              <w:rPr>
                <w:rFonts w:hint="eastAsia"/>
                <w:color w:val="auto"/>
                <w:spacing w:val="-4"/>
              </w:rPr>
              <w:t>应急指挥车</w:t>
            </w:r>
          </w:p>
        </w:tc>
        <w:tc>
          <w:tcPr>
            <w:tcW w:w="815" w:type="pct"/>
            <w:vAlign w:val="center"/>
          </w:tcPr>
          <w:p w14:paraId="4943E617">
            <w:pPr>
              <w:pStyle w:val="33"/>
              <w:rPr>
                <w:color w:val="auto"/>
              </w:rPr>
            </w:pPr>
            <w:r>
              <w:rPr>
                <w:rFonts w:hint="eastAsia"/>
                <w:color w:val="auto"/>
              </w:rPr>
              <w:t>10辆</w:t>
            </w:r>
          </w:p>
        </w:tc>
        <w:tc>
          <w:tcPr>
            <w:tcW w:w="1147" w:type="pct"/>
            <w:vAlign w:val="center"/>
          </w:tcPr>
          <w:p w14:paraId="4CDEEC67">
            <w:pPr>
              <w:pStyle w:val="33"/>
              <w:rPr>
                <w:color w:val="auto"/>
              </w:rPr>
            </w:pPr>
            <w:r>
              <w:rPr>
                <w:rFonts w:hint="eastAsia"/>
                <w:color w:val="auto"/>
                <w:spacing w:val="-6"/>
              </w:rPr>
              <w:t>公司车队</w:t>
            </w:r>
          </w:p>
        </w:tc>
      </w:tr>
      <w:tr w14:paraId="486EA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505" w:type="pct"/>
            <w:vAlign w:val="center"/>
          </w:tcPr>
          <w:p w14:paraId="2A094B90">
            <w:pPr>
              <w:pStyle w:val="33"/>
              <w:rPr>
                <w:color w:val="auto"/>
              </w:rPr>
            </w:pPr>
            <w:r>
              <w:rPr>
                <w:rFonts w:hint="eastAsia"/>
                <w:color w:val="auto"/>
                <w:spacing w:val="-6"/>
              </w:rPr>
              <w:t>29</w:t>
            </w:r>
          </w:p>
        </w:tc>
        <w:tc>
          <w:tcPr>
            <w:tcW w:w="1062" w:type="pct"/>
            <w:vMerge w:val="continue"/>
            <w:vAlign w:val="center"/>
          </w:tcPr>
          <w:p w14:paraId="41A4AFD9">
            <w:pPr>
              <w:pStyle w:val="33"/>
              <w:rPr>
                <w:rFonts w:hint="eastAsia" w:ascii="仿宋" w:hAnsi="仿宋" w:eastAsia="仿宋"/>
                <w:color w:val="auto"/>
              </w:rPr>
            </w:pPr>
          </w:p>
        </w:tc>
        <w:tc>
          <w:tcPr>
            <w:tcW w:w="1470" w:type="pct"/>
            <w:vAlign w:val="center"/>
          </w:tcPr>
          <w:p w14:paraId="65FAFE2F">
            <w:pPr>
              <w:pStyle w:val="33"/>
              <w:rPr>
                <w:color w:val="auto"/>
              </w:rPr>
            </w:pPr>
            <w:r>
              <w:rPr>
                <w:rFonts w:hint="eastAsia"/>
                <w:color w:val="auto"/>
                <w:spacing w:val="-6"/>
              </w:rPr>
              <w:t>对讲机</w:t>
            </w:r>
          </w:p>
        </w:tc>
        <w:tc>
          <w:tcPr>
            <w:tcW w:w="815" w:type="pct"/>
            <w:vAlign w:val="center"/>
          </w:tcPr>
          <w:p w14:paraId="68F62F8E">
            <w:pPr>
              <w:pStyle w:val="33"/>
              <w:rPr>
                <w:color w:val="auto"/>
              </w:rPr>
            </w:pPr>
            <w:r>
              <w:rPr>
                <w:rFonts w:hint="eastAsia"/>
                <w:color w:val="auto"/>
              </w:rPr>
              <w:t>50台</w:t>
            </w:r>
          </w:p>
        </w:tc>
        <w:tc>
          <w:tcPr>
            <w:tcW w:w="1147" w:type="pct"/>
            <w:vAlign w:val="center"/>
          </w:tcPr>
          <w:p w14:paraId="478B5CA9">
            <w:pPr>
              <w:pStyle w:val="33"/>
              <w:rPr>
                <w:color w:val="auto"/>
              </w:rPr>
            </w:pPr>
            <w:r>
              <w:rPr>
                <w:rFonts w:hint="eastAsia"/>
                <w:color w:val="auto"/>
                <w:spacing w:val="-6"/>
              </w:rPr>
              <w:t>工务仓库</w:t>
            </w:r>
          </w:p>
        </w:tc>
      </w:tr>
      <w:tr w14:paraId="4CEDB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trPr>
        <w:tc>
          <w:tcPr>
            <w:tcW w:w="505" w:type="pct"/>
            <w:vAlign w:val="center"/>
          </w:tcPr>
          <w:p w14:paraId="57DC4EBE">
            <w:pPr>
              <w:pStyle w:val="33"/>
              <w:rPr>
                <w:color w:val="auto"/>
              </w:rPr>
            </w:pPr>
            <w:r>
              <w:rPr>
                <w:rFonts w:hint="eastAsia"/>
                <w:color w:val="auto"/>
                <w:spacing w:val="-7"/>
              </w:rPr>
              <w:t>30</w:t>
            </w:r>
          </w:p>
        </w:tc>
        <w:tc>
          <w:tcPr>
            <w:tcW w:w="1062" w:type="pct"/>
            <w:vMerge w:val="continue"/>
            <w:vAlign w:val="center"/>
          </w:tcPr>
          <w:p w14:paraId="39C5A69E">
            <w:pPr>
              <w:pStyle w:val="33"/>
              <w:rPr>
                <w:rFonts w:hint="eastAsia" w:ascii="仿宋" w:hAnsi="仿宋" w:eastAsia="仿宋"/>
                <w:color w:val="auto"/>
              </w:rPr>
            </w:pPr>
          </w:p>
        </w:tc>
        <w:tc>
          <w:tcPr>
            <w:tcW w:w="1470" w:type="pct"/>
            <w:vAlign w:val="center"/>
          </w:tcPr>
          <w:p w14:paraId="6E95BBD6">
            <w:pPr>
              <w:pStyle w:val="33"/>
              <w:rPr>
                <w:color w:val="auto"/>
              </w:rPr>
            </w:pPr>
            <w:r>
              <w:rPr>
                <w:rFonts w:hint="eastAsia"/>
                <w:color w:val="auto"/>
                <w:spacing w:val="-4"/>
              </w:rPr>
              <w:t>手持喊话器</w:t>
            </w:r>
          </w:p>
        </w:tc>
        <w:tc>
          <w:tcPr>
            <w:tcW w:w="815" w:type="pct"/>
            <w:vAlign w:val="center"/>
          </w:tcPr>
          <w:p w14:paraId="0153E2AD">
            <w:pPr>
              <w:pStyle w:val="33"/>
              <w:rPr>
                <w:color w:val="auto"/>
              </w:rPr>
            </w:pPr>
            <w:r>
              <w:rPr>
                <w:rFonts w:hint="eastAsia"/>
                <w:color w:val="auto"/>
              </w:rPr>
              <w:t>3只</w:t>
            </w:r>
          </w:p>
        </w:tc>
        <w:tc>
          <w:tcPr>
            <w:tcW w:w="1147" w:type="pct"/>
            <w:vAlign w:val="center"/>
          </w:tcPr>
          <w:p w14:paraId="0A2BC9E9">
            <w:pPr>
              <w:pStyle w:val="33"/>
              <w:rPr>
                <w:color w:val="auto"/>
              </w:rPr>
            </w:pPr>
            <w:r>
              <w:rPr>
                <w:rFonts w:hint="eastAsia"/>
                <w:color w:val="auto"/>
                <w:spacing w:val="-6"/>
              </w:rPr>
              <w:t>消防仓库</w:t>
            </w:r>
          </w:p>
        </w:tc>
      </w:tr>
    </w:tbl>
    <w:p w14:paraId="56DC33CD">
      <w:pPr>
        <w:pStyle w:val="3"/>
        <w:rPr>
          <w:rFonts w:cs="Times New Roman"/>
          <w:color w:val="auto"/>
        </w:rPr>
      </w:pPr>
      <w:bookmarkStart w:id="532" w:name="_Toc221355737"/>
      <w:bookmarkStart w:id="533" w:name="_Toc28817"/>
      <w:bookmarkStart w:id="534" w:name="_Toc225216833"/>
      <w:r>
        <w:rPr>
          <w:rFonts w:cs="Times New Roman"/>
          <w:color w:val="auto"/>
        </w:rPr>
        <w:t>建设项目风险源调查</w:t>
      </w:r>
      <w:bookmarkEnd w:id="532"/>
      <w:bookmarkEnd w:id="533"/>
      <w:bookmarkEnd w:id="534"/>
    </w:p>
    <w:p w14:paraId="58BC1D95">
      <w:pPr>
        <w:pStyle w:val="4"/>
        <w:rPr>
          <w:color w:val="auto"/>
        </w:rPr>
      </w:pPr>
      <w:bookmarkStart w:id="535" w:name="_Toc225216834"/>
      <w:r>
        <w:rPr>
          <w:color w:val="auto"/>
        </w:rPr>
        <w:t>项目风险源调查</w:t>
      </w:r>
      <w:bookmarkEnd w:id="535"/>
    </w:p>
    <w:p w14:paraId="43C7BC5D">
      <w:pPr>
        <w:ind w:firstLine="480"/>
        <w:rPr>
          <w:rFonts w:cs="Times New Roman"/>
          <w:color w:val="auto"/>
        </w:rPr>
      </w:pPr>
      <w:r>
        <w:rPr>
          <w:rFonts w:cs="Times New Roman"/>
          <w:color w:val="auto"/>
        </w:rPr>
        <w:t>1、危险物质调查</w:t>
      </w:r>
    </w:p>
    <w:p w14:paraId="60921074">
      <w:pPr>
        <w:widowControl/>
        <w:ind w:firstLine="480"/>
        <w:jc w:val="left"/>
        <w:rPr>
          <w:color w:val="auto"/>
        </w:rPr>
      </w:pPr>
      <w:r>
        <w:rPr>
          <w:rFonts w:hint="eastAsia" w:cs="Times New Roman"/>
          <w:color w:val="auto"/>
        </w:rPr>
        <w:t>根据前文工程分析，</w:t>
      </w:r>
      <w:r>
        <w:rPr>
          <w:rFonts w:cs="Times New Roman"/>
          <w:color w:val="auto"/>
        </w:rPr>
        <w:t>本次项目</w:t>
      </w:r>
      <w:r>
        <w:rPr>
          <w:color w:val="auto"/>
        </w:rPr>
        <w:t>为在</w:t>
      </w:r>
      <w:r>
        <w:rPr>
          <w:rFonts w:hint="eastAsia"/>
          <w:color w:val="auto"/>
        </w:rPr>
        <w:t>现有</w:t>
      </w:r>
      <w:r>
        <w:rPr>
          <w:color w:val="auto"/>
        </w:rPr>
        <w:t>厂区</w:t>
      </w:r>
      <w:r>
        <w:rPr>
          <w:rFonts w:hint="eastAsia"/>
          <w:color w:val="auto"/>
        </w:rPr>
        <w:t>车间建设：本项目通过增加部分设备和提升关键设备及系统性能，将2条白卡纸生产线产能从190万吨/年提升到300万吨/年；</w:t>
      </w:r>
      <w:r>
        <w:rPr>
          <w:rFonts w:cs="Times New Roman"/>
          <w:color w:val="auto"/>
        </w:rPr>
        <w:t>本项目的原辅材料</w:t>
      </w:r>
      <w:r>
        <w:rPr>
          <w:rFonts w:hint="eastAsia" w:cs="Times New Roman"/>
          <w:color w:val="auto"/>
        </w:rPr>
        <w:t>主要</w:t>
      </w:r>
      <w:r>
        <w:rPr>
          <w:rFonts w:cs="Times New Roman"/>
          <w:color w:val="auto"/>
        </w:rPr>
        <w:t>为</w:t>
      </w:r>
      <w:r>
        <w:rPr>
          <w:rFonts w:hint="eastAsia" w:cs="Times New Roman"/>
          <w:color w:val="auto"/>
        </w:rPr>
        <w:t>纤维原料（</w:t>
      </w:r>
      <w:r>
        <w:rPr>
          <w:color w:val="auto"/>
          <w:kern w:val="0"/>
        </w:rPr>
        <w:t>NBKP</w:t>
      </w:r>
      <w:r>
        <w:rPr>
          <w:rFonts w:hint="eastAsia"/>
          <w:color w:val="auto"/>
          <w:kern w:val="0"/>
        </w:rPr>
        <w:t>、</w:t>
      </w:r>
      <w:r>
        <w:rPr>
          <w:color w:val="auto"/>
          <w:kern w:val="0"/>
        </w:rPr>
        <w:t>LBKP</w:t>
      </w:r>
      <w:r>
        <w:rPr>
          <w:rFonts w:hint="eastAsia"/>
          <w:color w:val="auto"/>
          <w:kern w:val="0"/>
        </w:rPr>
        <w:t>、化机浆）、各种造纸助剂</w:t>
      </w:r>
      <w:r>
        <w:rPr>
          <w:rFonts w:hint="eastAsia" w:cs="Times New Roman"/>
          <w:color w:val="auto"/>
        </w:rPr>
        <w:t>和</w:t>
      </w:r>
      <w:r>
        <w:rPr>
          <w:rFonts w:hint="eastAsia" w:cs="Times New Roman"/>
          <w:color w:val="auto"/>
          <w:szCs w:val="24"/>
        </w:rPr>
        <w:t>氢氧化钠</w:t>
      </w:r>
      <w:r>
        <w:rPr>
          <w:rFonts w:cs="Times New Roman"/>
          <w:color w:val="auto"/>
        </w:rPr>
        <w:t>等，产品为</w:t>
      </w:r>
      <w:r>
        <w:rPr>
          <w:rFonts w:hint="eastAsia"/>
          <w:color w:val="auto"/>
        </w:rPr>
        <w:t>白卡纸</w:t>
      </w:r>
      <w:r>
        <w:rPr>
          <w:rFonts w:cs="Times New Roman"/>
          <w:color w:val="auto"/>
        </w:rPr>
        <w:t>，</w:t>
      </w:r>
      <w:r>
        <w:rPr>
          <w:rFonts w:cs="Times New Roman"/>
          <w:bCs/>
          <w:color w:val="auto"/>
        </w:rPr>
        <w:t>本项目不新增</w:t>
      </w:r>
      <w:r>
        <w:rPr>
          <w:rFonts w:hint="eastAsia" w:cs="Times New Roman"/>
          <w:bCs/>
          <w:color w:val="auto"/>
        </w:rPr>
        <w:t>储罐区和仓库</w:t>
      </w:r>
      <w:r>
        <w:rPr>
          <w:rFonts w:cs="Times New Roman"/>
          <w:bCs/>
          <w:color w:val="auto"/>
        </w:rPr>
        <w:t>，</w:t>
      </w:r>
      <w:r>
        <w:rPr>
          <w:rFonts w:hint="eastAsia" w:cs="Times New Roman"/>
          <w:bCs/>
          <w:color w:val="auto"/>
        </w:rPr>
        <w:t>均为</w:t>
      </w:r>
      <w:r>
        <w:rPr>
          <w:rFonts w:cs="Times New Roman"/>
          <w:bCs/>
          <w:color w:val="auto"/>
        </w:rPr>
        <w:t>依托现有工程</w:t>
      </w:r>
      <w:r>
        <w:rPr>
          <w:rFonts w:hint="eastAsia" w:cs="Times New Roman"/>
          <w:bCs/>
          <w:color w:val="auto"/>
        </w:rPr>
        <w:t>储罐和仓库</w:t>
      </w:r>
      <w:r>
        <w:rPr>
          <w:rFonts w:cs="Times New Roman"/>
          <w:bCs/>
          <w:color w:val="auto"/>
        </w:rPr>
        <w:t>进行储存</w:t>
      </w:r>
      <w:r>
        <w:rPr>
          <w:rFonts w:cs="Times New Roman"/>
          <w:bCs/>
          <w:color w:val="auto"/>
          <w:szCs w:val="24"/>
        </w:rPr>
        <w:t>；根据《建设项目环</w:t>
      </w:r>
      <w:r>
        <w:rPr>
          <w:rFonts w:cs="Times New Roman"/>
          <w:color w:val="auto"/>
          <w:szCs w:val="24"/>
        </w:rPr>
        <w:t>境风险评价技术导则》（HJ169</w:t>
      </w:r>
      <w:r>
        <w:rPr>
          <w:rFonts w:cs="Times New Roman"/>
          <w:color w:val="auto"/>
        </w:rPr>
        <w:t>-2018）附录B对项目所涉及的危险物质进行调查和识别，筛选出项目原辅料、产品、中间产品</w:t>
      </w:r>
      <w:r>
        <w:rPr>
          <w:rFonts w:hint="eastAsia" w:cs="Times New Roman"/>
          <w:color w:val="auto"/>
        </w:rPr>
        <w:t>、污染物</w:t>
      </w:r>
      <w:r>
        <w:rPr>
          <w:rFonts w:cs="Times New Roman"/>
          <w:color w:val="auto"/>
        </w:rPr>
        <w:t>中的危险物质见下表。</w:t>
      </w:r>
    </w:p>
    <w:p w14:paraId="5E8E15B8">
      <w:pPr>
        <w:pStyle w:val="7"/>
        <w:rPr>
          <w:color w:val="auto"/>
        </w:rPr>
      </w:pPr>
      <w:r>
        <w:rPr>
          <w:color w:val="auto"/>
        </w:rPr>
        <w:t xml:space="preserve">危险物质一览表 </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3574"/>
        <w:gridCol w:w="4910"/>
      </w:tblGrid>
      <w:tr w14:paraId="5BAB7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blHeader/>
          <w:jc w:val="center"/>
        </w:trPr>
        <w:tc>
          <w:tcPr>
            <w:tcW w:w="433" w:type="pct"/>
            <w:vAlign w:val="center"/>
          </w:tcPr>
          <w:p w14:paraId="0BE41D0C">
            <w:pPr>
              <w:pStyle w:val="33"/>
              <w:rPr>
                <w:color w:val="auto"/>
              </w:rPr>
            </w:pPr>
            <w:r>
              <w:rPr>
                <w:color w:val="auto"/>
              </w:rPr>
              <w:t>序号</w:t>
            </w:r>
          </w:p>
        </w:tc>
        <w:tc>
          <w:tcPr>
            <w:tcW w:w="1924" w:type="pct"/>
            <w:vAlign w:val="center"/>
          </w:tcPr>
          <w:p w14:paraId="493B09BC">
            <w:pPr>
              <w:pStyle w:val="33"/>
              <w:rPr>
                <w:color w:val="auto"/>
              </w:rPr>
            </w:pPr>
            <w:r>
              <w:rPr>
                <w:color w:val="auto"/>
              </w:rPr>
              <w:t>生产线/场所名称</w:t>
            </w:r>
          </w:p>
        </w:tc>
        <w:tc>
          <w:tcPr>
            <w:tcW w:w="2643" w:type="pct"/>
            <w:vAlign w:val="center"/>
          </w:tcPr>
          <w:p w14:paraId="78F149DC">
            <w:pPr>
              <w:pStyle w:val="33"/>
              <w:rPr>
                <w:color w:val="auto"/>
              </w:rPr>
            </w:pPr>
            <w:r>
              <w:rPr>
                <w:color w:val="auto"/>
              </w:rPr>
              <w:t>主要涉及物质</w:t>
            </w:r>
          </w:p>
        </w:tc>
      </w:tr>
      <w:tr w14:paraId="31381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433" w:type="pct"/>
            <w:vAlign w:val="center"/>
          </w:tcPr>
          <w:p w14:paraId="5B315A49">
            <w:pPr>
              <w:pStyle w:val="33"/>
              <w:rPr>
                <w:color w:val="auto"/>
              </w:rPr>
            </w:pPr>
            <w:r>
              <w:rPr>
                <w:color w:val="auto"/>
              </w:rPr>
              <w:t>1</w:t>
            </w:r>
          </w:p>
        </w:tc>
        <w:tc>
          <w:tcPr>
            <w:tcW w:w="1924" w:type="pct"/>
            <w:vAlign w:val="center"/>
          </w:tcPr>
          <w:p w14:paraId="0F6197B6">
            <w:pPr>
              <w:pStyle w:val="33"/>
              <w:rPr>
                <w:color w:val="auto"/>
              </w:rPr>
            </w:pPr>
            <w:r>
              <w:rPr>
                <w:rFonts w:hint="eastAsia"/>
                <w:color w:val="auto"/>
              </w:rPr>
              <w:t>1#白卡纸车间、2#白卡纸车间、</w:t>
            </w:r>
            <w:r>
              <w:rPr>
                <w:color w:val="auto"/>
                <w:spacing w:val="-3"/>
              </w:rPr>
              <w:t>化学品储</w:t>
            </w:r>
            <w:r>
              <w:rPr>
                <w:color w:val="auto"/>
              </w:rPr>
              <w:t>罐</w:t>
            </w:r>
            <w:r>
              <w:rPr>
                <w:rFonts w:hint="eastAsia"/>
                <w:color w:val="auto"/>
              </w:rPr>
              <w:t>区</w:t>
            </w:r>
          </w:p>
        </w:tc>
        <w:tc>
          <w:tcPr>
            <w:tcW w:w="2643" w:type="pct"/>
            <w:vAlign w:val="center"/>
          </w:tcPr>
          <w:p w14:paraId="2E05D7E4">
            <w:pPr>
              <w:pStyle w:val="33"/>
              <w:rPr>
                <w:color w:val="auto"/>
              </w:rPr>
            </w:pPr>
            <w:r>
              <w:rPr>
                <w:rFonts w:hint="eastAsia" w:cs="Times New Roman"/>
                <w:color w:val="auto"/>
              </w:rPr>
              <w:t>氢氧化钠</w:t>
            </w:r>
          </w:p>
        </w:tc>
      </w:tr>
      <w:tr w14:paraId="0B713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433" w:type="pct"/>
          </w:tcPr>
          <w:p w14:paraId="28879F87">
            <w:pPr>
              <w:pStyle w:val="33"/>
              <w:rPr>
                <w:color w:val="auto"/>
              </w:rPr>
            </w:pPr>
            <w:r>
              <w:rPr>
                <w:rFonts w:hint="eastAsia"/>
                <w:color w:val="auto"/>
              </w:rPr>
              <w:t>2</w:t>
            </w:r>
          </w:p>
        </w:tc>
        <w:tc>
          <w:tcPr>
            <w:tcW w:w="1924" w:type="pct"/>
          </w:tcPr>
          <w:p w14:paraId="75FFC3A6">
            <w:pPr>
              <w:pStyle w:val="33"/>
              <w:rPr>
                <w:color w:val="auto"/>
              </w:rPr>
            </w:pPr>
            <w:r>
              <w:rPr>
                <w:rFonts w:hint="eastAsia"/>
                <w:color w:val="auto"/>
              </w:rPr>
              <w:t>污水处理站</w:t>
            </w:r>
          </w:p>
        </w:tc>
        <w:tc>
          <w:tcPr>
            <w:tcW w:w="2643" w:type="pct"/>
          </w:tcPr>
          <w:p w14:paraId="7001ADB0">
            <w:pPr>
              <w:pStyle w:val="33"/>
              <w:rPr>
                <w:rFonts w:cs="Times New Roman"/>
                <w:color w:val="auto"/>
              </w:rPr>
            </w:pPr>
            <w:r>
              <w:rPr>
                <w:rFonts w:hint="eastAsia"/>
                <w:color w:val="auto"/>
              </w:rPr>
              <w:t>氨、硫化氢</w:t>
            </w:r>
          </w:p>
        </w:tc>
      </w:tr>
      <w:tr w14:paraId="7E8C0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433" w:type="pct"/>
          </w:tcPr>
          <w:p w14:paraId="35C175C0">
            <w:pPr>
              <w:pStyle w:val="33"/>
              <w:rPr>
                <w:color w:val="auto"/>
              </w:rPr>
            </w:pPr>
            <w:r>
              <w:rPr>
                <w:rFonts w:hint="eastAsia"/>
                <w:color w:val="auto"/>
              </w:rPr>
              <w:t>3</w:t>
            </w:r>
          </w:p>
        </w:tc>
        <w:tc>
          <w:tcPr>
            <w:tcW w:w="1924" w:type="pct"/>
          </w:tcPr>
          <w:p w14:paraId="59CF17F9">
            <w:pPr>
              <w:pStyle w:val="33"/>
              <w:rPr>
                <w:color w:val="auto"/>
              </w:rPr>
            </w:pPr>
            <w:r>
              <w:rPr>
                <w:rFonts w:hint="eastAsia"/>
                <w:color w:val="auto"/>
              </w:rPr>
              <w:t>天然气管道</w:t>
            </w:r>
          </w:p>
        </w:tc>
        <w:tc>
          <w:tcPr>
            <w:tcW w:w="2643" w:type="pct"/>
          </w:tcPr>
          <w:p w14:paraId="78D78166">
            <w:pPr>
              <w:pStyle w:val="33"/>
              <w:rPr>
                <w:rFonts w:cs="Times New Roman"/>
                <w:color w:val="auto"/>
              </w:rPr>
            </w:pPr>
            <w:r>
              <w:rPr>
                <w:rFonts w:hint="eastAsia"/>
                <w:color w:val="auto"/>
              </w:rPr>
              <w:t>天然气</w:t>
            </w:r>
          </w:p>
        </w:tc>
      </w:tr>
      <w:tr w14:paraId="508A0A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433" w:type="pct"/>
          </w:tcPr>
          <w:p w14:paraId="2044D245">
            <w:pPr>
              <w:pStyle w:val="33"/>
              <w:rPr>
                <w:color w:val="auto"/>
              </w:rPr>
            </w:pPr>
            <w:r>
              <w:rPr>
                <w:rFonts w:hint="eastAsia"/>
                <w:color w:val="auto"/>
              </w:rPr>
              <w:t>4</w:t>
            </w:r>
          </w:p>
        </w:tc>
        <w:tc>
          <w:tcPr>
            <w:tcW w:w="1924" w:type="pct"/>
          </w:tcPr>
          <w:p w14:paraId="0B43719E">
            <w:pPr>
              <w:pStyle w:val="33"/>
              <w:rPr>
                <w:color w:val="auto"/>
              </w:rPr>
            </w:pPr>
            <w:r>
              <w:rPr>
                <w:rFonts w:hint="eastAsia"/>
                <w:color w:val="auto"/>
              </w:rPr>
              <w:t>危废暂存间</w:t>
            </w:r>
          </w:p>
        </w:tc>
        <w:tc>
          <w:tcPr>
            <w:tcW w:w="2643" w:type="pct"/>
          </w:tcPr>
          <w:p w14:paraId="356A77FE">
            <w:pPr>
              <w:pStyle w:val="33"/>
              <w:rPr>
                <w:rFonts w:cs="Times New Roman"/>
                <w:color w:val="auto"/>
              </w:rPr>
            </w:pPr>
            <w:r>
              <w:rPr>
                <w:rFonts w:hint="eastAsia"/>
                <w:color w:val="auto"/>
              </w:rPr>
              <w:t>废机油等危险废物</w:t>
            </w:r>
          </w:p>
        </w:tc>
      </w:tr>
      <w:tr w14:paraId="71389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433" w:type="pct"/>
          </w:tcPr>
          <w:p w14:paraId="53F2A0A6">
            <w:pPr>
              <w:pStyle w:val="33"/>
              <w:rPr>
                <w:color w:val="auto"/>
              </w:rPr>
            </w:pPr>
            <w:r>
              <w:rPr>
                <w:color w:val="auto"/>
              </w:rPr>
              <w:t>5</w:t>
            </w:r>
          </w:p>
        </w:tc>
        <w:tc>
          <w:tcPr>
            <w:tcW w:w="1924" w:type="pct"/>
          </w:tcPr>
          <w:p w14:paraId="1E09D726">
            <w:pPr>
              <w:pStyle w:val="33"/>
              <w:rPr>
                <w:color w:val="auto"/>
              </w:rPr>
            </w:pPr>
            <w:r>
              <w:rPr>
                <w:rFonts w:hint="eastAsia"/>
                <w:color w:val="auto"/>
              </w:rPr>
              <w:t>导热油炉</w:t>
            </w:r>
          </w:p>
        </w:tc>
        <w:tc>
          <w:tcPr>
            <w:tcW w:w="2643" w:type="pct"/>
          </w:tcPr>
          <w:p w14:paraId="7A8F9448">
            <w:pPr>
              <w:pStyle w:val="33"/>
              <w:rPr>
                <w:color w:val="auto"/>
              </w:rPr>
            </w:pPr>
            <w:r>
              <w:rPr>
                <w:rFonts w:hint="eastAsia"/>
                <w:color w:val="auto"/>
              </w:rPr>
              <w:t>导热油</w:t>
            </w:r>
          </w:p>
        </w:tc>
      </w:tr>
    </w:tbl>
    <w:p w14:paraId="4FDEE368">
      <w:pPr>
        <w:ind w:firstLine="0" w:firstLineChars="0"/>
        <w:rPr>
          <w:color w:val="auto"/>
          <w:sz w:val="21"/>
          <w:szCs w:val="20"/>
        </w:rPr>
      </w:pPr>
      <w:r>
        <w:rPr>
          <w:rFonts w:hint="eastAsia"/>
          <w:color w:val="auto"/>
          <w:sz w:val="21"/>
          <w:szCs w:val="20"/>
        </w:rPr>
        <w:t>注：项目辅料中的消泡剂（聚丙烯酰胺、聚醚）、润滑剂（氧化乙烯均聚物）、分散剂（丙烯酸与丙烯酸钠的聚合物）、助留剂（氯化-N,N,N-三甲基-2-[(1-氧合-2-丙烯基)氧乙铵]与2-丙烯酰胺的聚合物）、胶乳（以丁二烯和苯乙烯经低温聚合而成的高分子共聚物）、等造纸助剂均属于高分子聚合物，松香为松脂经蒸馏提取易挥发的松节油后剩下的树脂，CMC为羧甲基纤维素，均不属于危险物质。</w:t>
      </w:r>
    </w:p>
    <w:p w14:paraId="34C6EB7E">
      <w:pPr>
        <w:ind w:firstLine="480"/>
        <w:rPr>
          <w:rFonts w:cs="Times New Roman"/>
          <w:color w:val="auto"/>
        </w:rPr>
      </w:pPr>
      <w:r>
        <w:rPr>
          <w:rFonts w:cs="Times New Roman"/>
          <w:color w:val="auto"/>
        </w:rPr>
        <w:t>2、危险物质安全技术说明书（MSDS）</w:t>
      </w:r>
    </w:p>
    <w:p w14:paraId="4E450B07">
      <w:pPr>
        <w:pStyle w:val="7"/>
        <w:rPr>
          <w:color w:val="auto"/>
        </w:rPr>
      </w:pPr>
      <w:r>
        <w:rPr>
          <w:color w:val="auto"/>
        </w:rPr>
        <w:t>氢氧化钠的理化性质及危险有害特性表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1578"/>
        <w:gridCol w:w="1586"/>
        <w:gridCol w:w="1148"/>
        <w:gridCol w:w="1001"/>
        <w:gridCol w:w="1012"/>
        <w:gridCol w:w="862"/>
        <w:gridCol w:w="432"/>
        <w:gridCol w:w="285"/>
        <w:gridCol w:w="1282"/>
      </w:tblGrid>
      <w:tr w14:paraId="3380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49C4E59B">
            <w:pPr>
              <w:pStyle w:val="33"/>
              <w:rPr>
                <w:color w:val="auto"/>
              </w:rPr>
            </w:pPr>
            <w:r>
              <w:rPr>
                <w:color w:val="auto"/>
              </w:rPr>
              <w:t>中文名称</w:t>
            </w:r>
          </w:p>
        </w:tc>
        <w:tc>
          <w:tcPr>
            <w:tcW w:w="2033" w:type="pct"/>
            <w:gridSpan w:val="3"/>
            <w:vAlign w:val="center"/>
          </w:tcPr>
          <w:p w14:paraId="21A951E3">
            <w:pPr>
              <w:pStyle w:val="33"/>
              <w:rPr>
                <w:color w:val="auto"/>
              </w:rPr>
            </w:pPr>
            <w:r>
              <w:rPr>
                <w:color w:val="auto"/>
              </w:rPr>
              <w:t>氢氧化钠</w:t>
            </w:r>
          </w:p>
        </w:tc>
        <w:tc>
          <w:tcPr>
            <w:tcW w:w="551" w:type="pct"/>
            <w:vAlign w:val="center"/>
          </w:tcPr>
          <w:p w14:paraId="77B73E7D">
            <w:pPr>
              <w:pStyle w:val="33"/>
              <w:rPr>
                <w:color w:val="auto"/>
              </w:rPr>
            </w:pPr>
            <w:r>
              <w:rPr>
                <w:color w:val="auto"/>
              </w:rPr>
              <w:t>英文名称</w:t>
            </w:r>
          </w:p>
        </w:tc>
        <w:tc>
          <w:tcPr>
            <w:tcW w:w="1557" w:type="pct"/>
            <w:gridSpan w:val="4"/>
            <w:vAlign w:val="center"/>
          </w:tcPr>
          <w:p w14:paraId="4BE5371F">
            <w:pPr>
              <w:pStyle w:val="33"/>
              <w:rPr>
                <w:color w:val="auto"/>
              </w:rPr>
            </w:pPr>
            <w:r>
              <w:rPr>
                <w:color w:val="auto"/>
              </w:rPr>
              <w:t>Sldium hydroxide</w:t>
            </w:r>
          </w:p>
        </w:tc>
      </w:tr>
      <w:tr w14:paraId="06242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64E9F152">
            <w:pPr>
              <w:pStyle w:val="33"/>
              <w:rPr>
                <w:color w:val="auto"/>
              </w:rPr>
            </w:pPr>
            <w:r>
              <w:rPr>
                <w:color w:val="auto"/>
              </w:rPr>
              <w:t>外观与性状</w:t>
            </w:r>
          </w:p>
        </w:tc>
        <w:tc>
          <w:tcPr>
            <w:tcW w:w="2033" w:type="pct"/>
            <w:gridSpan w:val="3"/>
            <w:vAlign w:val="center"/>
          </w:tcPr>
          <w:p w14:paraId="7DDBB92B">
            <w:pPr>
              <w:pStyle w:val="33"/>
              <w:rPr>
                <w:color w:val="auto"/>
              </w:rPr>
            </w:pPr>
            <w:r>
              <w:rPr>
                <w:color w:val="auto"/>
              </w:rPr>
              <w:t>无色透明液体</w:t>
            </w:r>
          </w:p>
        </w:tc>
        <w:tc>
          <w:tcPr>
            <w:tcW w:w="551" w:type="pct"/>
            <w:vAlign w:val="center"/>
          </w:tcPr>
          <w:p w14:paraId="715B936A">
            <w:pPr>
              <w:pStyle w:val="33"/>
              <w:rPr>
                <w:color w:val="auto"/>
              </w:rPr>
            </w:pPr>
            <w:r>
              <w:rPr>
                <w:color w:val="auto"/>
              </w:rPr>
              <w:t>侵入途径</w:t>
            </w:r>
          </w:p>
        </w:tc>
        <w:tc>
          <w:tcPr>
            <w:tcW w:w="1557" w:type="pct"/>
            <w:gridSpan w:val="4"/>
            <w:vAlign w:val="center"/>
          </w:tcPr>
          <w:p w14:paraId="61333FD1">
            <w:pPr>
              <w:pStyle w:val="33"/>
              <w:rPr>
                <w:color w:val="auto"/>
              </w:rPr>
            </w:pPr>
            <w:r>
              <w:rPr>
                <w:color w:val="auto"/>
              </w:rPr>
              <w:t>吸入、食入</w:t>
            </w:r>
          </w:p>
        </w:tc>
      </w:tr>
      <w:tr w14:paraId="235F7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35031114">
            <w:pPr>
              <w:pStyle w:val="33"/>
              <w:rPr>
                <w:color w:val="auto"/>
              </w:rPr>
            </w:pPr>
            <w:r>
              <w:rPr>
                <w:color w:val="auto"/>
              </w:rPr>
              <w:t>分子式</w:t>
            </w:r>
          </w:p>
        </w:tc>
        <w:tc>
          <w:tcPr>
            <w:tcW w:w="863" w:type="pct"/>
            <w:vAlign w:val="center"/>
          </w:tcPr>
          <w:p w14:paraId="51B2EB48">
            <w:pPr>
              <w:pStyle w:val="33"/>
              <w:rPr>
                <w:color w:val="auto"/>
              </w:rPr>
            </w:pPr>
            <w:r>
              <w:rPr>
                <w:color w:val="auto"/>
              </w:rPr>
              <w:t>NaOH</w:t>
            </w:r>
          </w:p>
        </w:tc>
        <w:tc>
          <w:tcPr>
            <w:tcW w:w="625" w:type="pct"/>
            <w:vAlign w:val="center"/>
          </w:tcPr>
          <w:p w14:paraId="57F8F9C7">
            <w:pPr>
              <w:pStyle w:val="33"/>
              <w:rPr>
                <w:color w:val="auto"/>
              </w:rPr>
            </w:pPr>
            <w:r>
              <w:rPr>
                <w:color w:val="auto"/>
              </w:rPr>
              <w:t>分子量</w:t>
            </w:r>
          </w:p>
        </w:tc>
        <w:tc>
          <w:tcPr>
            <w:tcW w:w="545" w:type="pct"/>
            <w:vAlign w:val="center"/>
          </w:tcPr>
          <w:p w14:paraId="05933238">
            <w:pPr>
              <w:pStyle w:val="33"/>
              <w:rPr>
                <w:color w:val="auto"/>
              </w:rPr>
            </w:pPr>
            <w:r>
              <w:rPr>
                <w:color w:val="auto"/>
              </w:rPr>
              <w:t>40.01</w:t>
            </w:r>
          </w:p>
        </w:tc>
        <w:tc>
          <w:tcPr>
            <w:tcW w:w="551" w:type="pct"/>
            <w:vAlign w:val="center"/>
          </w:tcPr>
          <w:p w14:paraId="7AFA4989">
            <w:pPr>
              <w:pStyle w:val="33"/>
              <w:rPr>
                <w:color w:val="auto"/>
              </w:rPr>
            </w:pPr>
            <w:r>
              <w:rPr>
                <w:color w:val="auto"/>
              </w:rPr>
              <w:t>引燃温度</w:t>
            </w:r>
          </w:p>
        </w:tc>
        <w:tc>
          <w:tcPr>
            <w:tcW w:w="469" w:type="pct"/>
            <w:vAlign w:val="center"/>
          </w:tcPr>
          <w:p w14:paraId="6EE3F9A3">
            <w:pPr>
              <w:pStyle w:val="33"/>
              <w:rPr>
                <w:color w:val="auto"/>
              </w:rPr>
            </w:pPr>
            <w:r>
              <w:rPr>
                <w:color w:val="auto"/>
              </w:rPr>
              <w:t>无意义</w:t>
            </w:r>
          </w:p>
        </w:tc>
        <w:tc>
          <w:tcPr>
            <w:tcW w:w="390" w:type="pct"/>
            <w:gridSpan w:val="2"/>
            <w:vAlign w:val="center"/>
          </w:tcPr>
          <w:p w14:paraId="3AECDF92">
            <w:pPr>
              <w:pStyle w:val="33"/>
              <w:rPr>
                <w:color w:val="auto"/>
              </w:rPr>
            </w:pPr>
            <w:r>
              <w:rPr>
                <w:color w:val="auto"/>
              </w:rPr>
              <w:t>闪点</w:t>
            </w:r>
          </w:p>
        </w:tc>
        <w:tc>
          <w:tcPr>
            <w:tcW w:w="698" w:type="pct"/>
            <w:vAlign w:val="center"/>
          </w:tcPr>
          <w:p w14:paraId="2C49B989">
            <w:pPr>
              <w:pStyle w:val="33"/>
              <w:rPr>
                <w:color w:val="auto"/>
              </w:rPr>
            </w:pPr>
            <w:r>
              <w:rPr>
                <w:color w:val="auto"/>
              </w:rPr>
              <w:t>无意义</w:t>
            </w:r>
          </w:p>
        </w:tc>
      </w:tr>
      <w:tr w14:paraId="3DCDF6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20D4C1E1">
            <w:pPr>
              <w:pStyle w:val="33"/>
              <w:rPr>
                <w:color w:val="auto"/>
              </w:rPr>
            </w:pPr>
            <w:r>
              <w:rPr>
                <w:color w:val="auto"/>
              </w:rPr>
              <w:t>熔点（</w:t>
            </w:r>
            <w:r>
              <w:rPr>
                <w:rFonts w:hint="eastAsia"/>
                <w:color w:val="auto"/>
              </w:rPr>
              <w:t>℃</w:t>
            </w:r>
            <w:r>
              <w:rPr>
                <w:color w:val="auto"/>
              </w:rPr>
              <w:t>）</w:t>
            </w:r>
          </w:p>
        </w:tc>
        <w:tc>
          <w:tcPr>
            <w:tcW w:w="863" w:type="pct"/>
            <w:vAlign w:val="center"/>
          </w:tcPr>
          <w:p w14:paraId="1D1E8D3D">
            <w:pPr>
              <w:pStyle w:val="33"/>
              <w:rPr>
                <w:color w:val="auto"/>
              </w:rPr>
            </w:pPr>
            <w:r>
              <w:rPr>
                <w:color w:val="auto"/>
              </w:rPr>
              <w:t>318.4</w:t>
            </w:r>
          </w:p>
        </w:tc>
        <w:tc>
          <w:tcPr>
            <w:tcW w:w="625" w:type="pct"/>
            <w:vAlign w:val="center"/>
          </w:tcPr>
          <w:p w14:paraId="381D0EFD">
            <w:pPr>
              <w:pStyle w:val="33"/>
              <w:rPr>
                <w:color w:val="auto"/>
              </w:rPr>
            </w:pPr>
            <w:r>
              <w:rPr>
                <w:color w:val="auto"/>
              </w:rPr>
              <w:t>沸点（</w:t>
            </w:r>
            <w:r>
              <w:rPr>
                <w:rFonts w:hint="eastAsia"/>
                <w:color w:val="auto"/>
              </w:rPr>
              <w:t>℃</w:t>
            </w:r>
            <w:r>
              <w:rPr>
                <w:color w:val="auto"/>
              </w:rPr>
              <w:t>）</w:t>
            </w:r>
          </w:p>
        </w:tc>
        <w:tc>
          <w:tcPr>
            <w:tcW w:w="545" w:type="pct"/>
            <w:vAlign w:val="center"/>
          </w:tcPr>
          <w:p w14:paraId="4DD4D1BB">
            <w:pPr>
              <w:pStyle w:val="33"/>
              <w:rPr>
                <w:color w:val="auto"/>
              </w:rPr>
            </w:pPr>
            <w:r>
              <w:rPr>
                <w:color w:val="auto"/>
              </w:rPr>
              <w:t>1390</w:t>
            </w:r>
          </w:p>
        </w:tc>
        <w:tc>
          <w:tcPr>
            <w:tcW w:w="1020" w:type="pct"/>
            <w:gridSpan w:val="2"/>
            <w:vAlign w:val="center"/>
          </w:tcPr>
          <w:p w14:paraId="787EDA42">
            <w:pPr>
              <w:pStyle w:val="33"/>
              <w:rPr>
                <w:color w:val="auto"/>
              </w:rPr>
            </w:pPr>
            <w:r>
              <w:rPr>
                <w:color w:val="auto"/>
              </w:rPr>
              <w:t>饱和蒸气压（kPa）</w:t>
            </w:r>
          </w:p>
        </w:tc>
        <w:tc>
          <w:tcPr>
            <w:tcW w:w="1088" w:type="pct"/>
            <w:gridSpan w:val="3"/>
            <w:vAlign w:val="center"/>
          </w:tcPr>
          <w:p w14:paraId="35880253">
            <w:pPr>
              <w:pStyle w:val="33"/>
              <w:rPr>
                <w:color w:val="auto"/>
              </w:rPr>
            </w:pPr>
            <w:r>
              <w:rPr>
                <w:color w:val="auto"/>
              </w:rPr>
              <w:t>0.13（739</w:t>
            </w:r>
            <w:r>
              <w:rPr>
                <w:rFonts w:hint="eastAsia"/>
                <w:color w:val="auto"/>
              </w:rPr>
              <w:t>℃</w:t>
            </w:r>
            <w:r>
              <w:rPr>
                <w:color w:val="auto"/>
              </w:rPr>
              <w:t>）</w:t>
            </w:r>
          </w:p>
        </w:tc>
      </w:tr>
      <w:tr w14:paraId="74E49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Merge w:val="restart"/>
            <w:vAlign w:val="center"/>
          </w:tcPr>
          <w:p w14:paraId="21820FB5">
            <w:pPr>
              <w:pStyle w:val="33"/>
              <w:rPr>
                <w:color w:val="auto"/>
              </w:rPr>
            </w:pPr>
            <w:r>
              <w:rPr>
                <w:color w:val="auto"/>
              </w:rPr>
              <w:t>相对密度</w:t>
            </w:r>
          </w:p>
        </w:tc>
        <w:tc>
          <w:tcPr>
            <w:tcW w:w="863" w:type="pct"/>
            <w:vAlign w:val="center"/>
          </w:tcPr>
          <w:p w14:paraId="15A1688D">
            <w:pPr>
              <w:pStyle w:val="33"/>
              <w:rPr>
                <w:color w:val="auto"/>
              </w:rPr>
            </w:pPr>
            <w:r>
              <w:rPr>
                <w:color w:val="auto"/>
              </w:rPr>
              <w:t>水=1</w:t>
            </w:r>
          </w:p>
        </w:tc>
        <w:tc>
          <w:tcPr>
            <w:tcW w:w="625" w:type="pct"/>
            <w:vAlign w:val="center"/>
          </w:tcPr>
          <w:p w14:paraId="6C349BDF">
            <w:pPr>
              <w:pStyle w:val="33"/>
              <w:rPr>
                <w:color w:val="auto"/>
              </w:rPr>
            </w:pPr>
            <w:r>
              <w:rPr>
                <w:color w:val="auto"/>
              </w:rPr>
              <w:t>2.12</w:t>
            </w:r>
          </w:p>
        </w:tc>
        <w:tc>
          <w:tcPr>
            <w:tcW w:w="1096" w:type="pct"/>
            <w:gridSpan w:val="2"/>
            <w:vAlign w:val="center"/>
          </w:tcPr>
          <w:p w14:paraId="394CB21F">
            <w:pPr>
              <w:pStyle w:val="33"/>
              <w:rPr>
                <w:color w:val="auto"/>
              </w:rPr>
            </w:pPr>
            <w:r>
              <w:rPr>
                <w:color w:val="auto"/>
              </w:rPr>
              <w:t>燃烧热（Kj/mol）</w:t>
            </w:r>
          </w:p>
        </w:tc>
        <w:tc>
          <w:tcPr>
            <w:tcW w:w="1557" w:type="pct"/>
            <w:gridSpan w:val="4"/>
            <w:vAlign w:val="center"/>
          </w:tcPr>
          <w:p w14:paraId="4E5A2FB2">
            <w:pPr>
              <w:pStyle w:val="33"/>
              <w:rPr>
                <w:color w:val="auto"/>
              </w:rPr>
            </w:pPr>
            <w:r>
              <w:rPr>
                <w:color w:val="auto"/>
              </w:rPr>
              <w:t>无意义</w:t>
            </w:r>
          </w:p>
        </w:tc>
      </w:tr>
      <w:tr w14:paraId="28552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Merge w:val="continue"/>
            <w:vAlign w:val="center"/>
          </w:tcPr>
          <w:p w14:paraId="7F916AAA">
            <w:pPr>
              <w:pStyle w:val="33"/>
              <w:rPr>
                <w:color w:val="auto"/>
              </w:rPr>
            </w:pPr>
          </w:p>
        </w:tc>
        <w:tc>
          <w:tcPr>
            <w:tcW w:w="863" w:type="pct"/>
            <w:vAlign w:val="center"/>
          </w:tcPr>
          <w:p w14:paraId="08B5EB08">
            <w:pPr>
              <w:pStyle w:val="33"/>
              <w:rPr>
                <w:color w:val="auto"/>
              </w:rPr>
            </w:pPr>
            <w:r>
              <w:rPr>
                <w:color w:val="auto"/>
              </w:rPr>
              <w:t>空气=1</w:t>
            </w:r>
          </w:p>
        </w:tc>
        <w:tc>
          <w:tcPr>
            <w:tcW w:w="625" w:type="pct"/>
            <w:vAlign w:val="center"/>
          </w:tcPr>
          <w:p w14:paraId="46063B57">
            <w:pPr>
              <w:pStyle w:val="33"/>
              <w:rPr>
                <w:color w:val="auto"/>
              </w:rPr>
            </w:pPr>
            <w:r>
              <w:rPr>
                <w:color w:val="auto"/>
              </w:rPr>
              <w:t>无资料</w:t>
            </w:r>
          </w:p>
        </w:tc>
        <w:tc>
          <w:tcPr>
            <w:tcW w:w="1096" w:type="pct"/>
            <w:gridSpan w:val="2"/>
            <w:vAlign w:val="center"/>
          </w:tcPr>
          <w:p w14:paraId="781F639A">
            <w:pPr>
              <w:pStyle w:val="33"/>
              <w:rPr>
                <w:color w:val="auto"/>
              </w:rPr>
            </w:pPr>
            <w:r>
              <w:rPr>
                <w:color w:val="auto"/>
              </w:rPr>
              <w:t>临界温度</w:t>
            </w:r>
          </w:p>
        </w:tc>
        <w:tc>
          <w:tcPr>
            <w:tcW w:w="1557" w:type="pct"/>
            <w:gridSpan w:val="4"/>
            <w:vAlign w:val="center"/>
          </w:tcPr>
          <w:p w14:paraId="673CF378">
            <w:pPr>
              <w:pStyle w:val="33"/>
              <w:rPr>
                <w:color w:val="auto"/>
              </w:rPr>
            </w:pPr>
            <w:r>
              <w:rPr>
                <w:color w:val="auto"/>
              </w:rPr>
              <w:t>无意义</w:t>
            </w:r>
          </w:p>
        </w:tc>
      </w:tr>
      <w:tr w14:paraId="55292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3" w:hRule="atLeast"/>
          <w:jc w:val="center"/>
        </w:trPr>
        <w:tc>
          <w:tcPr>
            <w:tcW w:w="859" w:type="pct"/>
            <w:vAlign w:val="center"/>
          </w:tcPr>
          <w:p w14:paraId="666F8621">
            <w:pPr>
              <w:pStyle w:val="33"/>
              <w:rPr>
                <w:color w:val="auto"/>
              </w:rPr>
            </w:pPr>
            <w:r>
              <w:rPr>
                <w:color w:val="auto"/>
              </w:rPr>
              <w:t>主要用途</w:t>
            </w:r>
          </w:p>
        </w:tc>
        <w:tc>
          <w:tcPr>
            <w:tcW w:w="4141" w:type="pct"/>
            <w:gridSpan w:val="8"/>
            <w:vAlign w:val="center"/>
          </w:tcPr>
          <w:p w14:paraId="5F798D28">
            <w:pPr>
              <w:pStyle w:val="33"/>
              <w:rPr>
                <w:color w:val="auto"/>
              </w:rPr>
            </w:pPr>
            <w:r>
              <w:rPr>
                <w:color w:val="auto"/>
              </w:rPr>
              <w:t>用于石油精炼、造纸、肥皂、人造丝、染色、制革、医药、有机合成等。</w:t>
            </w:r>
          </w:p>
        </w:tc>
      </w:tr>
      <w:tr w14:paraId="77B9D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89" w:hRule="atLeast"/>
          <w:jc w:val="center"/>
        </w:trPr>
        <w:tc>
          <w:tcPr>
            <w:tcW w:w="859" w:type="pct"/>
            <w:vAlign w:val="center"/>
          </w:tcPr>
          <w:p w14:paraId="2749701F">
            <w:pPr>
              <w:pStyle w:val="33"/>
              <w:rPr>
                <w:color w:val="auto"/>
              </w:rPr>
            </w:pPr>
            <w:r>
              <w:rPr>
                <w:color w:val="auto"/>
              </w:rPr>
              <w:t>物质危险类别</w:t>
            </w:r>
          </w:p>
        </w:tc>
        <w:tc>
          <w:tcPr>
            <w:tcW w:w="2033" w:type="pct"/>
            <w:gridSpan w:val="3"/>
            <w:vAlign w:val="center"/>
          </w:tcPr>
          <w:p w14:paraId="475F110E">
            <w:pPr>
              <w:pStyle w:val="33"/>
              <w:rPr>
                <w:color w:val="auto"/>
              </w:rPr>
            </w:pPr>
            <w:r>
              <w:rPr>
                <w:color w:val="auto"/>
              </w:rPr>
              <w:t>第8.2类 碱性腐蚀品</w:t>
            </w:r>
          </w:p>
        </w:tc>
        <w:tc>
          <w:tcPr>
            <w:tcW w:w="551" w:type="pct"/>
            <w:vAlign w:val="center"/>
          </w:tcPr>
          <w:p w14:paraId="251E1DFB">
            <w:pPr>
              <w:pStyle w:val="33"/>
              <w:rPr>
                <w:color w:val="auto"/>
              </w:rPr>
            </w:pPr>
            <w:r>
              <w:rPr>
                <w:color w:val="auto"/>
              </w:rPr>
              <w:t>燃烧性</w:t>
            </w:r>
          </w:p>
        </w:tc>
        <w:tc>
          <w:tcPr>
            <w:tcW w:w="1557" w:type="pct"/>
            <w:gridSpan w:val="4"/>
            <w:vAlign w:val="center"/>
          </w:tcPr>
          <w:p w14:paraId="0F70DC23">
            <w:pPr>
              <w:pStyle w:val="33"/>
              <w:rPr>
                <w:color w:val="auto"/>
              </w:rPr>
            </w:pPr>
            <w:r>
              <w:rPr>
                <w:color w:val="auto"/>
              </w:rPr>
              <w:t>不燃</w:t>
            </w:r>
          </w:p>
        </w:tc>
      </w:tr>
      <w:tr w14:paraId="03C3F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2F4BDDF5">
            <w:pPr>
              <w:pStyle w:val="33"/>
              <w:rPr>
                <w:color w:val="auto"/>
              </w:rPr>
            </w:pPr>
            <w:r>
              <w:rPr>
                <w:color w:val="auto"/>
              </w:rPr>
              <w:t>禁忌物</w:t>
            </w:r>
          </w:p>
        </w:tc>
        <w:tc>
          <w:tcPr>
            <w:tcW w:w="2033" w:type="pct"/>
            <w:gridSpan w:val="3"/>
            <w:vAlign w:val="center"/>
          </w:tcPr>
          <w:p w14:paraId="0C8EDABF">
            <w:pPr>
              <w:pStyle w:val="33"/>
              <w:rPr>
                <w:color w:val="auto"/>
              </w:rPr>
            </w:pPr>
            <w:r>
              <w:rPr>
                <w:color w:val="auto"/>
              </w:rPr>
              <w:t>强酸、易燃或可燃物、二氧化碳、过氧化物、水</w:t>
            </w:r>
          </w:p>
        </w:tc>
        <w:tc>
          <w:tcPr>
            <w:tcW w:w="551" w:type="pct"/>
            <w:vAlign w:val="center"/>
          </w:tcPr>
          <w:p w14:paraId="5F6A8396">
            <w:pPr>
              <w:pStyle w:val="33"/>
              <w:rPr>
                <w:color w:val="auto"/>
              </w:rPr>
            </w:pPr>
            <w:r>
              <w:rPr>
                <w:color w:val="auto"/>
              </w:rPr>
              <w:t>溶解性</w:t>
            </w:r>
          </w:p>
        </w:tc>
        <w:tc>
          <w:tcPr>
            <w:tcW w:w="1557" w:type="pct"/>
            <w:gridSpan w:val="4"/>
            <w:vAlign w:val="center"/>
          </w:tcPr>
          <w:p w14:paraId="14470629">
            <w:pPr>
              <w:pStyle w:val="33"/>
              <w:rPr>
                <w:color w:val="auto"/>
              </w:rPr>
            </w:pPr>
            <w:r>
              <w:rPr>
                <w:color w:val="auto"/>
              </w:rPr>
              <w:t xml:space="preserve">易溶于水、乙醇、甘油，不溶于丙酮 </w:t>
            </w:r>
          </w:p>
        </w:tc>
      </w:tr>
      <w:tr w14:paraId="32ADB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59" w:type="pct"/>
            <w:vAlign w:val="center"/>
          </w:tcPr>
          <w:p w14:paraId="11242879">
            <w:pPr>
              <w:pStyle w:val="33"/>
              <w:rPr>
                <w:color w:val="auto"/>
              </w:rPr>
            </w:pPr>
            <w:r>
              <w:rPr>
                <w:color w:val="auto"/>
              </w:rPr>
              <w:t>燃烧分解产物</w:t>
            </w:r>
          </w:p>
        </w:tc>
        <w:tc>
          <w:tcPr>
            <w:tcW w:w="1488" w:type="pct"/>
            <w:gridSpan w:val="2"/>
            <w:vAlign w:val="center"/>
          </w:tcPr>
          <w:p w14:paraId="333164DA">
            <w:pPr>
              <w:pStyle w:val="33"/>
              <w:rPr>
                <w:color w:val="auto"/>
              </w:rPr>
            </w:pPr>
            <w:r>
              <w:rPr>
                <w:color w:val="auto"/>
              </w:rPr>
              <w:t>可能产生有害毒性烟雾</w:t>
            </w:r>
          </w:p>
        </w:tc>
        <w:tc>
          <w:tcPr>
            <w:tcW w:w="545" w:type="pct"/>
            <w:vAlign w:val="center"/>
          </w:tcPr>
          <w:p w14:paraId="08F6D032">
            <w:pPr>
              <w:pStyle w:val="33"/>
              <w:rPr>
                <w:color w:val="auto"/>
              </w:rPr>
            </w:pPr>
            <w:r>
              <w:rPr>
                <w:color w:val="auto"/>
              </w:rPr>
              <w:t>UN编号</w:t>
            </w:r>
          </w:p>
        </w:tc>
        <w:tc>
          <w:tcPr>
            <w:tcW w:w="551" w:type="pct"/>
            <w:vAlign w:val="center"/>
          </w:tcPr>
          <w:p w14:paraId="7F9DCF33">
            <w:pPr>
              <w:pStyle w:val="33"/>
              <w:rPr>
                <w:color w:val="auto"/>
              </w:rPr>
            </w:pPr>
            <w:r>
              <w:rPr>
                <w:color w:val="auto"/>
              </w:rPr>
              <w:t>1823</w:t>
            </w:r>
          </w:p>
        </w:tc>
        <w:tc>
          <w:tcPr>
            <w:tcW w:w="704" w:type="pct"/>
            <w:gridSpan w:val="2"/>
            <w:vAlign w:val="center"/>
          </w:tcPr>
          <w:p w14:paraId="6422CAD7">
            <w:pPr>
              <w:pStyle w:val="33"/>
              <w:rPr>
                <w:color w:val="auto"/>
              </w:rPr>
            </w:pPr>
            <w:r>
              <w:rPr>
                <w:color w:val="auto"/>
              </w:rPr>
              <w:t>CAS No.：</w:t>
            </w:r>
          </w:p>
        </w:tc>
        <w:tc>
          <w:tcPr>
            <w:tcW w:w="853" w:type="pct"/>
            <w:gridSpan w:val="2"/>
            <w:vAlign w:val="center"/>
          </w:tcPr>
          <w:p w14:paraId="25CC88ED">
            <w:pPr>
              <w:pStyle w:val="33"/>
              <w:rPr>
                <w:color w:val="auto"/>
              </w:rPr>
            </w:pPr>
            <w:r>
              <w:rPr>
                <w:color w:val="auto"/>
              </w:rPr>
              <w:t>1310-73-2</w:t>
            </w:r>
          </w:p>
        </w:tc>
      </w:tr>
      <w:tr w14:paraId="78341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4D871144">
            <w:pPr>
              <w:pStyle w:val="33"/>
              <w:rPr>
                <w:color w:val="auto"/>
              </w:rPr>
            </w:pPr>
            <w:r>
              <w:rPr>
                <w:color w:val="auto"/>
              </w:rPr>
              <w:t>危险货物编号</w:t>
            </w:r>
          </w:p>
        </w:tc>
        <w:tc>
          <w:tcPr>
            <w:tcW w:w="1488" w:type="pct"/>
            <w:gridSpan w:val="2"/>
            <w:vAlign w:val="center"/>
          </w:tcPr>
          <w:p w14:paraId="51AE481A">
            <w:pPr>
              <w:pStyle w:val="33"/>
              <w:rPr>
                <w:color w:val="auto"/>
              </w:rPr>
            </w:pPr>
            <w:r>
              <w:rPr>
                <w:color w:val="auto"/>
              </w:rPr>
              <w:t>82001</w:t>
            </w:r>
          </w:p>
        </w:tc>
        <w:tc>
          <w:tcPr>
            <w:tcW w:w="545" w:type="pct"/>
            <w:vAlign w:val="center"/>
          </w:tcPr>
          <w:p w14:paraId="2610E497">
            <w:pPr>
              <w:pStyle w:val="33"/>
              <w:rPr>
                <w:color w:val="auto"/>
              </w:rPr>
            </w:pPr>
            <w:r>
              <w:rPr>
                <w:color w:val="auto"/>
              </w:rPr>
              <w:t>包装类别</w:t>
            </w:r>
          </w:p>
        </w:tc>
        <w:tc>
          <w:tcPr>
            <w:tcW w:w="551" w:type="pct"/>
            <w:vAlign w:val="center"/>
          </w:tcPr>
          <w:p w14:paraId="711E31D8">
            <w:pPr>
              <w:pStyle w:val="33"/>
              <w:rPr>
                <w:color w:val="auto"/>
              </w:rPr>
            </w:pPr>
            <w:r>
              <w:rPr>
                <w:color w:val="auto"/>
              </w:rPr>
              <w:t>052</w:t>
            </w:r>
          </w:p>
        </w:tc>
        <w:tc>
          <w:tcPr>
            <w:tcW w:w="704" w:type="pct"/>
            <w:gridSpan w:val="2"/>
            <w:vAlign w:val="center"/>
          </w:tcPr>
          <w:p w14:paraId="2E6B2621">
            <w:pPr>
              <w:pStyle w:val="33"/>
              <w:rPr>
                <w:color w:val="auto"/>
              </w:rPr>
            </w:pPr>
            <w:r>
              <w:rPr>
                <w:color w:val="auto"/>
              </w:rPr>
              <w:t>包装标致</w:t>
            </w:r>
          </w:p>
        </w:tc>
        <w:tc>
          <w:tcPr>
            <w:tcW w:w="853" w:type="pct"/>
            <w:gridSpan w:val="2"/>
            <w:vAlign w:val="center"/>
          </w:tcPr>
          <w:p w14:paraId="5FA280CD">
            <w:pPr>
              <w:pStyle w:val="33"/>
              <w:rPr>
                <w:color w:val="auto"/>
              </w:rPr>
            </w:pPr>
            <w:r>
              <w:rPr>
                <w:color w:val="auto"/>
              </w:rPr>
              <w:t>无资料</w:t>
            </w:r>
          </w:p>
        </w:tc>
      </w:tr>
      <w:tr w14:paraId="7EA21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015EB0DA">
            <w:pPr>
              <w:pStyle w:val="33"/>
              <w:rPr>
                <w:color w:val="auto"/>
              </w:rPr>
            </w:pPr>
            <w:r>
              <w:rPr>
                <w:color w:val="auto"/>
              </w:rPr>
              <w:t>危险特性</w:t>
            </w:r>
          </w:p>
        </w:tc>
        <w:tc>
          <w:tcPr>
            <w:tcW w:w="4141" w:type="pct"/>
            <w:gridSpan w:val="8"/>
            <w:vAlign w:val="center"/>
          </w:tcPr>
          <w:p w14:paraId="28B33918">
            <w:pPr>
              <w:pStyle w:val="33"/>
              <w:rPr>
                <w:color w:val="auto"/>
              </w:rPr>
            </w:pPr>
            <w:r>
              <w:rPr>
                <w:color w:val="auto"/>
              </w:rPr>
              <w:t>与酸发生中和反应并放热。遇潮时对铝、锌和锡有腐蚀性，并放出易燃易爆的氢气。本品不会燃烧，遇水和水蒸气大量放热，形成腐蚀性溶液。具有强腐蚀性。</w:t>
            </w:r>
          </w:p>
        </w:tc>
      </w:tr>
      <w:tr w14:paraId="75294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2ACF38EA">
            <w:pPr>
              <w:pStyle w:val="33"/>
              <w:rPr>
                <w:color w:val="auto"/>
              </w:rPr>
            </w:pPr>
            <w:r>
              <w:rPr>
                <w:color w:val="auto"/>
              </w:rPr>
              <w:t>灭火方法</w:t>
            </w:r>
          </w:p>
        </w:tc>
        <w:tc>
          <w:tcPr>
            <w:tcW w:w="4141" w:type="pct"/>
            <w:gridSpan w:val="8"/>
            <w:vAlign w:val="center"/>
          </w:tcPr>
          <w:p w14:paraId="6AC726D2">
            <w:pPr>
              <w:pStyle w:val="33"/>
              <w:rPr>
                <w:color w:val="auto"/>
              </w:rPr>
            </w:pPr>
            <w:r>
              <w:rPr>
                <w:color w:val="auto"/>
              </w:rPr>
              <w:t>用水、沙土扑救，但须防止物品遇水产生飞溅，造成灼伤。</w:t>
            </w:r>
          </w:p>
        </w:tc>
      </w:tr>
      <w:tr w14:paraId="698F6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4AAA8B25">
            <w:pPr>
              <w:pStyle w:val="33"/>
              <w:rPr>
                <w:color w:val="auto"/>
              </w:rPr>
            </w:pPr>
            <w:r>
              <w:rPr>
                <w:color w:val="auto"/>
              </w:rPr>
              <w:t>健康危害</w:t>
            </w:r>
          </w:p>
        </w:tc>
        <w:tc>
          <w:tcPr>
            <w:tcW w:w="4141" w:type="pct"/>
            <w:gridSpan w:val="8"/>
            <w:vAlign w:val="center"/>
          </w:tcPr>
          <w:p w14:paraId="0BA8E615">
            <w:pPr>
              <w:pStyle w:val="33"/>
              <w:rPr>
                <w:color w:val="auto"/>
              </w:rPr>
            </w:pPr>
            <w:r>
              <w:rPr>
                <w:color w:val="auto"/>
              </w:rPr>
              <w:t>本品有强烈刺激和腐蚀性。粉尘刺激眼和呼吸道，腐蚀鼻中隔；皮肤和眼直接接触可引起灼伤；误服可造成消化道灼伤，黏膜糜烂、出血和休克。</w:t>
            </w:r>
          </w:p>
        </w:tc>
      </w:tr>
      <w:tr w14:paraId="2523D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3E4ADEC8">
            <w:pPr>
              <w:pStyle w:val="33"/>
              <w:rPr>
                <w:color w:val="auto"/>
              </w:rPr>
            </w:pPr>
            <w:r>
              <w:rPr>
                <w:color w:val="auto"/>
              </w:rPr>
              <w:t>急救措施</w:t>
            </w:r>
          </w:p>
        </w:tc>
        <w:tc>
          <w:tcPr>
            <w:tcW w:w="4141" w:type="pct"/>
            <w:gridSpan w:val="8"/>
            <w:vAlign w:val="center"/>
          </w:tcPr>
          <w:p w14:paraId="595175DF">
            <w:pPr>
              <w:pStyle w:val="33"/>
              <w:rPr>
                <w:color w:val="auto"/>
              </w:rPr>
            </w:pPr>
            <w:r>
              <w:rPr>
                <w:color w:val="auto"/>
              </w:rPr>
              <w:t>皮肤接触：立即脱去被污染的衣着，用大量流动清水冲洗，至少15分钟。就医。眼睛接触：立即提起眼睑，用大量流动清水或生理盐水彻底冲洗至少15分钟。就医。吸入：迅速脱离现场至空气新鲜处。保持呼吸道通畅。如呼吸困难，给输氧。如呼吸停止，立即进行人工呼吸。就医。食入：误服者用水漱口。给饮牛奶或蛋清。就医。</w:t>
            </w:r>
          </w:p>
        </w:tc>
      </w:tr>
      <w:tr w14:paraId="22B55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6AE2716A">
            <w:pPr>
              <w:pStyle w:val="33"/>
              <w:rPr>
                <w:color w:val="auto"/>
              </w:rPr>
            </w:pPr>
            <w:r>
              <w:rPr>
                <w:color w:val="auto"/>
              </w:rPr>
              <w:t>防护措施</w:t>
            </w:r>
          </w:p>
        </w:tc>
        <w:tc>
          <w:tcPr>
            <w:tcW w:w="4141" w:type="pct"/>
            <w:gridSpan w:val="8"/>
            <w:vAlign w:val="center"/>
          </w:tcPr>
          <w:p w14:paraId="0C25D6FD">
            <w:pPr>
              <w:pStyle w:val="33"/>
              <w:rPr>
                <w:color w:val="auto"/>
              </w:rPr>
            </w:pPr>
            <w:r>
              <w:rPr>
                <w:color w:val="auto"/>
              </w:rPr>
              <w:t>可能接触其粉尘时，必须佩戴头罩型电动送风过滤式防尘呼吸器。必要时，佩戴空气呼吸器。穿橡胶耐酸碱服，戴橡胶耐酸碱手套。工作场所禁止吸烟、进食和饮水，饭前要洗手。工作毕，淋浴更衣。注意个人清洁卫生。</w:t>
            </w:r>
          </w:p>
        </w:tc>
      </w:tr>
      <w:tr w14:paraId="2875E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219F80BA">
            <w:pPr>
              <w:pStyle w:val="33"/>
              <w:rPr>
                <w:color w:val="auto"/>
              </w:rPr>
            </w:pPr>
            <w:r>
              <w:rPr>
                <w:color w:val="auto"/>
              </w:rPr>
              <w:t>泄漏应急措施</w:t>
            </w:r>
          </w:p>
        </w:tc>
        <w:tc>
          <w:tcPr>
            <w:tcW w:w="4141" w:type="pct"/>
            <w:gridSpan w:val="8"/>
            <w:vAlign w:val="center"/>
          </w:tcPr>
          <w:p w14:paraId="7F1A2121">
            <w:pPr>
              <w:pStyle w:val="33"/>
              <w:rPr>
                <w:color w:val="auto"/>
              </w:rPr>
            </w:pPr>
            <w:r>
              <w:rPr>
                <w:color w:val="auto"/>
              </w:rPr>
              <w:t>隔离泄漏污染区，限制出入。建议应急处理人员戴自给式呼吸器，穿防酸碱工作服。不要直接接触泄漏物。小量泄漏：避免扬尘，用洁净的铲子收集于干燥、洁净、有盖的容器中。也可用大量水冲洗，洗水稀释后放入废水系统。大量泄漏：收集回收或运至废物处理场所处置。</w:t>
            </w:r>
          </w:p>
        </w:tc>
      </w:tr>
      <w:tr w14:paraId="2472A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859" w:type="pct"/>
            <w:vAlign w:val="center"/>
          </w:tcPr>
          <w:p w14:paraId="4F0720E4">
            <w:pPr>
              <w:pStyle w:val="33"/>
              <w:rPr>
                <w:color w:val="auto"/>
              </w:rPr>
            </w:pPr>
            <w:r>
              <w:rPr>
                <w:color w:val="auto"/>
              </w:rPr>
              <w:t>储运注意事项</w:t>
            </w:r>
          </w:p>
        </w:tc>
        <w:tc>
          <w:tcPr>
            <w:tcW w:w="4141" w:type="pct"/>
            <w:gridSpan w:val="8"/>
            <w:vAlign w:val="center"/>
          </w:tcPr>
          <w:p w14:paraId="5F85A0B2">
            <w:pPr>
              <w:pStyle w:val="33"/>
              <w:rPr>
                <w:color w:val="auto"/>
              </w:rPr>
            </w:pPr>
            <w:r>
              <w:rPr>
                <w:color w:val="auto"/>
              </w:rPr>
              <w:t>储存于干燥清洁的仓间内。注意防潮和雨淋。应与易燃或可燃物及酸类分开存放。不可混储混运。分装和搬运作业要注意个人防护。搬运时要轻装轻卸，防止包装及容器损坏。雨天不宜运输。</w:t>
            </w:r>
          </w:p>
        </w:tc>
      </w:tr>
    </w:tbl>
    <w:p w14:paraId="12F88586">
      <w:pPr>
        <w:pStyle w:val="7"/>
        <w:rPr>
          <w:color w:val="auto"/>
        </w:rPr>
      </w:pPr>
      <w:r>
        <w:rPr>
          <w:rFonts w:hint="eastAsia"/>
          <w:color w:val="auto"/>
        </w:rPr>
        <w:t>氨的</w:t>
      </w:r>
      <w:r>
        <w:rPr>
          <w:color w:val="auto"/>
        </w:rPr>
        <w:t>理化性质及危险有害特性表</w:t>
      </w:r>
    </w:p>
    <w:tbl>
      <w:tblPr>
        <w:tblStyle w:val="26"/>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8"/>
        <w:gridCol w:w="2576"/>
        <w:gridCol w:w="151"/>
        <w:gridCol w:w="779"/>
        <w:gridCol w:w="792"/>
        <w:gridCol w:w="933"/>
        <w:gridCol w:w="919"/>
        <w:gridCol w:w="2708"/>
      </w:tblGrid>
      <w:tr w14:paraId="717C8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28" w:type="dxa"/>
            <w:vMerge w:val="restart"/>
            <w:tcBorders>
              <w:top w:val="single" w:color="auto" w:sz="4" w:space="0"/>
              <w:left w:val="single" w:color="auto" w:sz="4" w:space="0"/>
              <w:bottom w:val="single" w:color="auto" w:sz="4" w:space="0"/>
              <w:right w:val="single" w:color="auto" w:sz="4" w:space="0"/>
            </w:tcBorders>
            <w:vAlign w:val="center"/>
          </w:tcPr>
          <w:p w14:paraId="63271C27">
            <w:pPr>
              <w:pStyle w:val="33"/>
              <w:rPr>
                <w:color w:val="auto"/>
              </w:rPr>
            </w:pPr>
            <w:r>
              <w:rPr>
                <w:rFonts w:hint="eastAsia"/>
                <w:color w:val="auto"/>
              </w:rPr>
              <w:t>标识</w:t>
            </w:r>
          </w:p>
        </w:tc>
        <w:tc>
          <w:tcPr>
            <w:tcW w:w="4298" w:type="dxa"/>
            <w:gridSpan w:val="4"/>
            <w:tcBorders>
              <w:top w:val="single" w:color="auto" w:sz="4" w:space="0"/>
              <w:left w:val="nil"/>
              <w:bottom w:val="single" w:color="auto" w:sz="4" w:space="0"/>
              <w:right w:val="single" w:color="auto" w:sz="4" w:space="0"/>
            </w:tcBorders>
            <w:vAlign w:val="center"/>
          </w:tcPr>
          <w:p w14:paraId="6E6FE007">
            <w:pPr>
              <w:pStyle w:val="33"/>
              <w:rPr>
                <w:color w:val="auto"/>
              </w:rPr>
            </w:pPr>
            <w:r>
              <w:rPr>
                <w:rFonts w:hint="eastAsia"/>
                <w:color w:val="auto"/>
              </w:rPr>
              <w:t>中文名：氨；氨气（液氨）</w:t>
            </w:r>
          </w:p>
        </w:tc>
        <w:tc>
          <w:tcPr>
            <w:tcW w:w="4560" w:type="dxa"/>
            <w:gridSpan w:val="3"/>
            <w:tcBorders>
              <w:top w:val="single" w:color="auto" w:sz="4" w:space="0"/>
              <w:left w:val="nil"/>
              <w:bottom w:val="single" w:color="auto" w:sz="4" w:space="0"/>
              <w:right w:val="single" w:color="auto" w:sz="4" w:space="0"/>
            </w:tcBorders>
            <w:vAlign w:val="center"/>
          </w:tcPr>
          <w:p w14:paraId="54F260E8">
            <w:pPr>
              <w:pStyle w:val="33"/>
              <w:rPr>
                <w:color w:val="auto"/>
              </w:rPr>
            </w:pPr>
            <w:r>
              <w:rPr>
                <w:rFonts w:hint="eastAsia"/>
                <w:color w:val="auto"/>
              </w:rPr>
              <w:t>英文名：</w:t>
            </w:r>
            <w:r>
              <w:rPr>
                <w:color w:val="auto"/>
              </w:rPr>
              <w:t>ammonia</w:t>
            </w:r>
          </w:p>
        </w:tc>
      </w:tr>
      <w:tr w14:paraId="74AD8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428" w:type="dxa"/>
            <w:vMerge w:val="continue"/>
            <w:tcBorders>
              <w:top w:val="single" w:color="auto" w:sz="4" w:space="0"/>
              <w:left w:val="single" w:color="auto" w:sz="4" w:space="0"/>
              <w:bottom w:val="single" w:color="auto" w:sz="4" w:space="0"/>
              <w:right w:val="single" w:color="auto" w:sz="4" w:space="0"/>
            </w:tcBorders>
            <w:vAlign w:val="center"/>
          </w:tcPr>
          <w:p w14:paraId="508376FC">
            <w:pPr>
              <w:pStyle w:val="33"/>
              <w:rPr>
                <w:color w:val="auto"/>
              </w:rPr>
            </w:pPr>
          </w:p>
        </w:tc>
        <w:tc>
          <w:tcPr>
            <w:tcW w:w="3506" w:type="dxa"/>
            <w:gridSpan w:val="3"/>
            <w:tcBorders>
              <w:top w:val="single" w:color="auto" w:sz="4" w:space="0"/>
              <w:left w:val="nil"/>
              <w:bottom w:val="single" w:color="auto" w:sz="4" w:space="0"/>
              <w:right w:val="single" w:color="auto" w:sz="4" w:space="0"/>
            </w:tcBorders>
            <w:vAlign w:val="center"/>
          </w:tcPr>
          <w:p w14:paraId="5E787D2F">
            <w:pPr>
              <w:pStyle w:val="33"/>
              <w:rPr>
                <w:color w:val="auto"/>
              </w:rPr>
            </w:pPr>
            <w:r>
              <w:rPr>
                <w:rFonts w:hint="eastAsia"/>
                <w:color w:val="auto"/>
              </w:rPr>
              <w:t>分子式：</w:t>
            </w:r>
            <w:r>
              <w:rPr>
                <w:color w:val="auto"/>
              </w:rPr>
              <w:t>NH3</w:t>
            </w:r>
          </w:p>
        </w:tc>
        <w:tc>
          <w:tcPr>
            <w:tcW w:w="2644" w:type="dxa"/>
            <w:gridSpan w:val="3"/>
            <w:tcBorders>
              <w:top w:val="single" w:color="auto" w:sz="4" w:space="0"/>
              <w:left w:val="nil"/>
              <w:bottom w:val="single" w:color="auto" w:sz="4" w:space="0"/>
              <w:right w:val="single" w:color="auto" w:sz="4" w:space="0"/>
            </w:tcBorders>
            <w:vAlign w:val="center"/>
          </w:tcPr>
          <w:p w14:paraId="4F675388">
            <w:pPr>
              <w:pStyle w:val="33"/>
              <w:rPr>
                <w:color w:val="auto"/>
              </w:rPr>
            </w:pPr>
            <w:r>
              <w:rPr>
                <w:rFonts w:hint="eastAsia"/>
                <w:color w:val="auto"/>
              </w:rPr>
              <w:t>分子量：</w:t>
            </w:r>
            <w:r>
              <w:rPr>
                <w:color w:val="auto"/>
              </w:rPr>
              <w:t>17.03</w:t>
            </w:r>
          </w:p>
        </w:tc>
        <w:tc>
          <w:tcPr>
            <w:tcW w:w="2708" w:type="dxa"/>
            <w:tcBorders>
              <w:top w:val="single" w:color="auto" w:sz="4" w:space="0"/>
              <w:left w:val="nil"/>
              <w:bottom w:val="single" w:color="auto" w:sz="4" w:space="0"/>
              <w:right w:val="single" w:color="auto" w:sz="4" w:space="0"/>
            </w:tcBorders>
            <w:vAlign w:val="center"/>
          </w:tcPr>
          <w:p w14:paraId="49FC71FB">
            <w:pPr>
              <w:pStyle w:val="33"/>
              <w:rPr>
                <w:color w:val="auto"/>
              </w:rPr>
            </w:pPr>
            <w:r>
              <w:rPr>
                <w:color w:val="auto"/>
              </w:rPr>
              <w:t>CAS</w:t>
            </w:r>
            <w:r>
              <w:rPr>
                <w:rFonts w:hint="eastAsia"/>
                <w:color w:val="auto"/>
              </w:rPr>
              <w:t>号：</w:t>
            </w:r>
            <w:r>
              <w:rPr>
                <w:color w:val="auto"/>
              </w:rPr>
              <w:t>7664</w:t>
            </w:r>
            <w:r>
              <w:rPr>
                <w:rFonts w:hint="eastAsia"/>
                <w:color w:val="auto"/>
              </w:rPr>
              <w:t>－</w:t>
            </w:r>
            <w:r>
              <w:rPr>
                <w:color w:val="auto"/>
              </w:rPr>
              <w:t>41</w:t>
            </w:r>
            <w:r>
              <w:rPr>
                <w:rFonts w:hint="eastAsia"/>
                <w:color w:val="auto"/>
              </w:rPr>
              <w:t>－</w:t>
            </w:r>
            <w:r>
              <w:rPr>
                <w:color w:val="auto"/>
              </w:rPr>
              <w:t>7</w:t>
            </w:r>
          </w:p>
        </w:tc>
      </w:tr>
      <w:tr w14:paraId="523B6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428" w:type="dxa"/>
            <w:vMerge w:val="continue"/>
            <w:tcBorders>
              <w:top w:val="single" w:color="auto" w:sz="4" w:space="0"/>
              <w:left w:val="single" w:color="auto" w:sz="4" w:space="0"/>
              <w:bottom w:val="single" w:color="auto" w:sz="4" w:space="0"/>
              <w:right w:val="single" w:color="auto" w:sz="4" w:space="0"/>
            </w:tcBorders>
            <w:vAlign w:val="center"/>
          </w:tcPr>
          <w:p w14:paraId="3F4A1061">
            <w:pPr>
              <w:pStyle w:val="33"/>
              <w:rPr>
                <w:color w:val="auto"/>
              </w:rPr>
            </w:pPr>
          </w:p>
        </w:tc>
        <w:tc>
          <w:tcPr>
            <w:tcW w:w="8858" w:type="dxa"/>
            <w:gridSpan w:val="7"/>
            <w:tcBorders>
              <w:top w:val="single" w:color="auto" w:sz="4" w:space="0"/>
              <w:left w:val="nil"/>
              <w:bottom w:val="single" w:color="auto" w:sz="4" w:space="0"/>
              <w:right w:val="single" w:color="auto" w:sz="4" w:space="0"/>
            </w:tcBorders>
            <w:vAlign w:val="center"/>
          </w:tcPr>
          <w:p w14:paraId="1763297D">
            <w:pPr>
              <w:pStyle w:val="33"/>
              <w:rPr>
                <w:color w:val="auto"/>
              </w:rPr>
            </w:pPr>
            <w:r>
              <w:rPr>
                <w:rFonts w:hint="eastAsia"/>
                <w:color w:val="auto"/>
              </w:rPr>
              <w:t>危规号：</w:t>
            </w:r>
            <w:r>
              <w:rPr>
                <w:color w:val="auto"/>
              </w:rPr>
              <w:t>23003</w:t>
            </w:r>
          </w:p>
        </w:tc>
      </w:tr>
      <w:tr w14:paraId="1DF25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428" w:type="dxa"/>
            <w:vMerge w:val="restart"/>
            <w:tcBorders>
              <w:top w:val="nil"/>
              <w:left w:val="single" w:color="auto" w:sz="4" w:space="0"/>
              <w:bottom w:val="single" w:color="auto" w:sz="4" w:space="0"/>
              <w:right w:val="single" w:color="auto" w:sz="4" w:space="0"/>
            </w:tcBorders>
            <w:vAlign w:val="center"/>
          </w:tcPr>
          <w:p w14:paraId="4C247992">
            <w:pPr>
              <w:pStyle w:val="33"/>
              <w:rPr>
                <w:color w:val="auto"/>
              </w:rPr>
            </w:pPr>
            <w:r>
              <w:rPr>
                <w:rFonts w:hint="eastAsia"/>
                <w:color w:val="auto"/>
              </w:rPr>
              <w:t>理化性质</w:t>
            </w:r>
          </w:p>
        </w:tc>
        <w:tc>
          <w:tcPr>
            <w:tcW w:w="8858" w:type="dxa"/>
            <w:gridSpan w:val="7"/>
            <w:tcBorders>
              <w:top w:val="single" w:color="auto" w:sz="4" w:space="0"/>
              <w:left w:val="nil"/>
              <w:bottom w:val="single" w:color="auto" w:sz="4" w:space="0"/>
              <w:right w:val="single" w:color="auto" w:sz="4" w:space="0"/>
            </w:tcBorders>
            <w:vAlign w:val="center"/>
          </w:tcPr>
          <w:p w14:paraId="2E58C10A">
            <w:pPr>
              <w:pStyle w:val="33"/>
              <w:rPr>
                <w:color w:val="auto"/>
              </w:rPr>
            </w:pPr>
            <w:r>
              <w:rPr>
                <w:rFonts w:hint="eastAsia"/>
                <w:color w:val="auto"/>
              </w:rPr>
              <w:t>性状：无色有刺激性恶臭的气体。</w:t>
            </w:r>
          </w:p>
        </w:tc>
      </w:tr>
      <w:tr w14:paraId="18001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762B7A7E">
            <w:pPr>
              <w:pStyle w:val="33"/>
              <w:rPr>
                <w:color w:val="auto"/>
              </w:rPr>
            </w:pPr>
          </w:p>
        </w:tc>
        <w:tc>
          <w:tcPr>
            <w:tcW w:w="8858" w:type="dxa"/>
            <w:gridSpan w:val="7"/>
            <w:tcBorders>
              <w:top w:val="single" w:color="auto" w:sz="4" w:space="0"/>
              <w:left w:val="nil"/>
              <w:bottom w:val="single" w:color="auto" w:sz="4" w:space="0"/>
              <w:right w:val="single" w:color="auto" w:sz="4" w:space="0"/>
            </w:tcBorders>
            <w:vAlign w:val="center"/>
          </w:tcPr>
          <w:p w14:paraId="7D07316D">
            <w:pPr>
              <w:pStyle w:val="33"/>
              <w:rPr>
                <w:color w:val="auto"/>
              </w:rPr>
            </w:pPr>
            <w:r>
              <w:rPr>
                <w:rFonts w:hint="eastAsia"/>
                <w:color w:val="auto"/>
              </w:rPr>
              <w:t>溶解性：易溶于水、乙醇、乙醚。</w:t>
            </w:r>
          </w:p>
        </w:tc>
      </w:tr>
      <w:tr w14:paraId="6AECB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560ABDD3">
            <w:pPr>
              <w:pStyle w:val="33"/>
              <w:rPr>
                <w:color w:val="auto"/>
              </w:rPr>
            </w:pPr>
          </w:p>
        </w:tc>
        <w:tc>
          <w:tcPr>
            <w:tcW w:w="2727" w:type="dxa"/>
            <w:gridSpan w:val="2"/>
            <w:tcBorders>
              <w:top w:val="single" w:color="auto" w:sz="4" w:space="0"/>
              <w:left w:val="nil"/>
              <w:bottom w:val="single" w:color="auto" w:sz="4" w:space="0"/>
              <w:right w:val="single" w:color="auto" w:sz="4" w:space="0"/>
            </w:tcBorders>
            <w:vAlign w:val="center"/>
          </w:tcPr>
          <w:p w14:paraId="75213259">
            <w:pPr>
              <w:pStyle w:val="33"/>
              <w:rPr>
                <w:color w:val="auto"/>
              </w:rPr>
            </w:pPr>
            <w:r>
              <w:rPr>
                <w:rFonts w:hint="eastAsia"/>
                <w:color w:val="auto"/>
              </w:rPr>
              <w:t>熔点（℃）：－</w:t>
            </w:r>
            <w:r>
              <w:rPr>
                <w:color w:val="auto"/>
              </w:rPr>
              <w:t>77.7</w:t>
            </w:r>
          </w:p>
        </w:tc>
        <w:tc>
          <w:tcPr>
            <w:tcW w:w="2504" w:type="dxa"/>
            <w:gridSpan w:val="3"/>
            <w:tcBorders>
              <w:top w:val="single" w:color="auto" w:sz="4" w:space="0"/>
              <w:left w:val="nil"/>
              <w:bottom w:val="single" w:color="auto" w:sz="4" w:space="0"/>
              <w:right w:val="single" w:color="auto" w:sz="4" w:space="0"/>
            </w:tcBorders>
            <w:vAlign w:val="center"/>
          </w:tcPr>
          <w:p w14:paraId="1595735A">
            <w:pPr>
              <w:pStyle w:val="33"/>
              <w:rPr>
                <w:color w:val="auto"/>
              </w:rPr>
            </w:pPr>
            <w:r>
              <w:rPr>
                <w:rFonts w:hint="eastAsia"/>
                <w:color w:val="auto"/>
              </w:rPr>
              <w:t>沸点（℃）：</w:t>
            </w:r>
            <w:r>
              <w:rPr>
                <w:color w:val="auto"/>
              </w:rPr>
              <w:t xml:space="preserve"> </w:t>
            </w:r>
            <w:r>
              <w:rPr>
                <w:rFonts w:hint="eastAsia"/>
                <w:color w:val="auto"/>
              </w:rPr>
              <w:t>－</w:t>
            </w:r>
            <w:r>
              <w:rPr>
                <w:color w:val="auto"/>
              </w:rPr>
              <w:t>33.5</w:t>
            </w:r>
          </w:p>
        </w:tc>
        <w:tc>
          <w:tcPr>
            <w:tcW w:w="3627" w:type="dxa"/>
            <w:gridSpan w:val="2"/>
            <w:tcBorders>
              <w:top w:val="single" w:color="auto" w:sz="4" w:space="0"/>
              <w:left w:val="nil"/>
              <w:bottom w:val="single" w:color="auto" w:sz="4" w:space="0"/>
              <w:right w:val="single" w:color="auto" w:sz="4" w:space="0"/>
            </w:tcBorders>
            <w:vAlign w:val="center"/>
          </w:tcPr>
          <w:p w14:paraId="2176F048">
            <w:pPr>
              <w:pStyle w:val="33"/>
              <w:rPr>
                <w:color w:val="auto"/>
              </w:rPr>
            </w:pPr>
            <w:r>
              <w:rPr>
                <w:rFonts w:hint="eastAsia"/>
                <w:color w:val="auto"/>
              </w:rPr>
              <w:t>相对密度（水＝</w:t>
            </w:r>
            <w:r>
              <w:rPr>
                <w:color w:val="auto"/>
              </w:rPr>
              <w:t>1</w:t>
            </w:r>
            <w:r>
              <w:rPr>
                <w:rFonts w:hint="eastAsia"/>
                <w:color w:val="auto"/>
              </w:rPr>
              <w:t>）：</w:t>
            </w:r>
            <w:r>
              <w:rPr>
                <w:color w:val="auto"/>
              </w:rPr>
              <w:t>0.82</w:t>
            </w:r>
            <w:r>
              <w:rPr>
                <w:rFonts w:hint="eastAsia"/>
                <w:color w:val="auto"/>
              </w:rPr>
              <w:t>（－</w:t>
            </w:r>
            <w:r>
              <w:rPr>
                <w:color w:val="auto"/>
              </w:rPr>
              <w:t>79</w:t>
            </w:r>
            <w:r>
              <w:rPr>
                <w:rFonts w:hint="eastAsia"/>
                <w:color w:val="auto"/>
              </w:rPr>
              <w:t>℃）</w:t>
            </w:r>
          </w:p>
        </w:tc>
      </w:tr>
      <w:tr w14:paraId="5AF82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153E0C7C">
            <w:pPr>
              <w:pStyle w:val="33"/>
              <w:rPr>
                <w:color w:val="auto"/>
              </w:rPr>
            </w:pPr>
          </w:p>
        </w:tc>
        <w:tc>
          <w:tcPr>
            <w:tcW w:w="2727" w:type="dxa"/>
            <w:gridSpan w:val="2"/>
            <w:tcBorders>
              <w:top w:val="single" w:color="auto" w:sz="4" w:space="0"/>
              <w:left w:val="nil"/>
              <w:bottom w:val="single" w:color="auto" w:sz="4" w:space="0"/>
              <w:right w:val="single" w:color="auto" w:sz="4" w:space="0"/>
            </w:tcBorders>
            <w:vAlign w:val="center"/>
          </w:tcPr>
          <w:p w14:paraId="08719CE2">
            <w:pPr>
              <w:pStyle w:val="33"/>
              <w:rPr>
                <w:color w:val="auto"/>
              </w:rPr>
            </w:pPr>
            <w:r>
              <w:rPr>
                <w:rFonts w:hint="eastAsia"/>
                <w:color w:val="auto"/>
              </w:rPr>
              <w:t>临界温度（℃）：</w:t>
            </w:r>
            <w:r>
              <w:rPr>
                <w:color w:val="auto"/>
              </w:rPr>
              <w:t>132.5</w:t>
            </w:r>
          </w:p>
        </w:tc>
        <w:tc>
          <w:tcPr>
            <w:tcW w:w="2504" w:type="dxa"/>
            <w:gridSpan w:val="3"/>
            <w:tcBorders>
              <w:top w:val="single" w:color="auto" w:sz="4" w:space="0"/>
              <w:left w:val="nil"/>
              <w:bottom w:val="single" w:color="auto" w:sz="4" w:space="0"/>
              <w:right w:val="single" w:color="auto" w:sz="4" w:space="0"/>
            </w:tcBorders>
            <w:vAlign w:val="center"/>
          </w:tcPr>
          <w:p w14:paraId="099C478C">
            <w:pPr>
              <w:pStyle w:val="33"/>
              <w:rPr>
                <w:color w:val="auto"/>
              </w:rPr>
            </w:pPr>
            <w:r>
              <w:rPr>
                <w:rFonts w:hint="eastAsia"/>
                <w:color w:val="auto"/>
              </w:rPr>
              <w:t>临界压力（</w:t>
            </w:r>
            <w:r>
              <w:rPr>
                <w:color w:val="auto"/>
              </w:rPr>
              <w:t>MPa</w:t>
            </w:r>
            <w:r>
              <w:rPr>
                <w:rFonts w:hint="eastAsia"/>
                <w:color w:val="auto"/>
              </w:rPr>
              <w:t>）：</w:t>
            </w:r>
            <w:r>
              <w:rPr>
                <w:color w:val="auto"/>
              </w:rPr>
              <w:t>11.40</w:t>
            </w:r>
          </w:p>
        </w:tc>
        <w:tc>
          <w:tcPr>
            <w:tcW w:w="3627" w:type="dxa"/>
            <w:gridSpan w:val="2"/>
            <w:tcBorders>
              <w:top w:val="single" w:color="auto" w:sz="4" w:space="0"/>
              <w:left w:val="nil"/>
              <w:bottom w:val="single" w:color="auto" w:sz="4" w:space="0"/>
              <w:right w:val="single" w:color="auto" w:sz="4" w:space="0"/>
            </w:tcBorders>
            <w:vAlign w:val="center"/>
          </w:tcPr>
          <w:p w14:paraId="4B71773D">
            <w:pPr>
              <w:pStyle w:val="33"/>
              <w:rPr>
                <w:color w:val="auto"/>
              </w:rPr>
            </w:pPr>
            <w:r>
              <w:rPr>
                <w:rFonts w:hint="eastAsia"/>
                <w:color w:val="auto"/>
              </w:rPr>
              <w:t>相对密度（空气＝</w:t>
            </w:r>
            <w:r>
              <w:rPr>
                <w:color w:val="auto"/>
              </w:rPr>
              <w:t>1</w:t>
            </w:r>
            <w:r>
              <w:rPr>
                <w:rFonts w:hint="eastAsia"/>
                <w:color w:val="auto"/>
              </w:rPr>
              <w:t>）：</w:t>
            </w:r>
            <w:r>
              <w:rPr>
                <w:color w:val="auto"/>
              </w:rPr>
              <w:t>0.6</w:t>
            </w:r>
          </w:p>
        </w:tc>
      </w:tr>
      <w:tr w14:paraId="57E6B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7DF7BA75">
            <w:pPr>
              <w:pStyle w:val="33"/>
              <w:rPr>
                <w:color w:val="auto"/>
              </w:rPr>
            </w:pPr>
          </w:p>
        </w:tc>
        <w:tc>
          <w:tcPr>
            <w:tcW w:w="2727" w:type="dxa"/>
            <w:gridSpan w:val="2"/>
            <w:tcBorders>
              <w:top w:val="single" w:color="auto" w:sz="4" w:space="0"/>
              <w:left w:val="nil"/>
              <w:bottom w:val="single" w:color="auto" w:sz="4" w:space="0"/>
              <w:right w:val="single" w:color="auto" w:sz="4" w:space="0"/>
            </w:tcBorders>
            <w:vAlign w:val="center"/>
          </w:tcPr>
          <w:p w14:paraId="23B9049B">
            <w:pPr>
              <w:pStyle w:val="33"/>
              <w:rPr>
                <w:color w:val="auto"/>
              </w:rPr>
            </w:pPr>
            <w:r>
              <w:rPr>
                <w:rFonts w:hint="eastAsia"/>
                <w:color w:val="auto"/>
              </w:rPr>
              <w:t>燃烧热（</w:t>
            </w:r>
            <w:r>
              <w:rPr>
                <w:color w:val="auto"/>
              </w:rPr>
              <w:t>KJ/mol</w:t>
            </w:r>
            <w:r>
              <w:rPr>
                <w:rFonts w:hint="eastAsia"/>
                <w:color w:val="auto"/>
              </w:rPr>
              <w:t>）：</w:t>
            </w:r>
          </w:p>
        </w:tc>
        <w:tc>
          <w:tcPr>
            <w:tcW w:w="2504" w:type="dxa"/>
            <w:gridSpan w:val="3"/>
            <w:tcBorders>
              <w:top w:val="single" w:color="auto" w:sz="4" w:space="0"/>
              <w:left w:val="nil"/>
              <w:bottom w:val="single" w:color="auto" w:sz="4" w:space="0"/>
              <w:right w:val="single" w:color="auto" w:sz="4" w:space="0"/>
            </w:tcBorders>
            <w:vAlign w:val="center"/>
          </w:tcPr>
          <w:p w14:paraId="0BF26995">
            <w:pPr>
              <w:pStyle w:val="33"/>
              <w:rPr>
                <w:color w:val="auto"/>
              </w:rPr>
            </w:pPr>
            <w:r>
              <w:rPr>
                <w:rFonts w:hint="eastAsia"/>
                <w:color w:val="auto"/>
              </w:rPr>
              <w:t>最小点火能（</w:t>
            </w:r>
            <w:r>
              <w:rPr>
                <w:color w:val="auto"/>
              </w:rPr>
              <w:t>mJ</w:t>
            </w:r>
            <w:r>
              <w:rPr>
                <w:rFonts w:hint="eastAsia"/>
                <w:color w:val="auto"/>
              </w:rPr>
              <w:t>）：</w:t>
            </w:r>
          </w:p>
        </w:tc>
        <w:tc>
          <w:tcPr>
            <w:tcW w:w="3627" w:type="dxa"/>
            <w:gridSpan w:val="2"/>
            <w:tcBorders>
              <w:top w:val="single" w:color="auto" w:sz="4" w:space="0"/>
              <w:left w:val="nil"/>
              <w:bottom w:val="single" w:color="auto" w:sz="4" w:space="0"/>
              <w:right w:val="single" w:color="auto" w:sz="4" w:space="0"/>
            </w:tcBorders>
            <w:vAlign w:val="center"/>
          </w:tcPr>
          <w:p w14:paraId="6DC9203D">
            <w:pPr>
              <w:pStyle w:val="33"/>
              <w:rPr>
                <w:color w:val="auto"/>
              </w:rPr>
            </w:pPr>
            <w:r>
              <w:rPr>
                <w:rFonts w:hint="eastAsia"/>
                <w:color w:val="auto"/>
              </w:rPr>
              <w:t>饱和蒸汽压（</w:t>
            </w:r>
            <w:r>
              <w:rPr>
                <w:color w:val="auto"/>
              </w:rPr>
              <w:t>KPa</w:t>
            </w:r>
            <w:r>
              <w:rPr>
                <w:rFonts w:hint="eastAsia"/>
                <w:color w:val="auto"/>
              </w:rPr>
              <w:t>）：</w:t>
            </w:r>
            <w:r>
              <w:rPr>
                <w:color w:val="auto"/>
              </w:rPr>
              <w:t>506.62</w:t>
            </w:r>
            <w:r>
              <w:rPr>
                <w:rFonts w:hint="eastAsia"/>
                <w:color w:val="auto"/>
              </w:rPr>
              <w:t>（</w:t>
            </w:r>
            <w:r>
              <w:rPr>
                <w:color w:val="auto"/>
              </w:rPr>
              <w:t>4.7</w:t>
            </w:r>
            <w:r>
              <w:rPr>
                <w:rFonts w:hint="eastAsia"/>
                <w:color w:val="auto"/>
              </w:rPr>
              <w:t>℃）</w:t>
            </w:r>
          </w:p>
        </w:tc>
      </w:tr>
      <w:tr w14:paraId="43194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28" w:type="dxa"/>
            <w:vMerge w:val="restart"/>
            <w:tcBorders>
              <w:top w:val="nil"/>
              <w:left w:val="single" w:color="auto" w:sz="4" w:space="0"/>
              <w:bottom w:val="single" w:color="auto" w:sz="4" w:space="0"/>
              <w:right w:val="single" w:color="auto" w:sz="4" w:space="0"/>
            </w:tcBorders>
            <w:vAlign w:val="center"/>
          </w:tcPr>
          <w:p w14:paraId="49F9C1B0">
            <w:pPr>
              <w:pStyle w:val="33"/>
              <w:rPr>
                <w:color w:val="auto"/>
              </w:rPr>
            </w:pPr>
            <w:r>
              <w:rPr>
                <w:rFonts w:hint="eastAsia"/>
                <w:color w:val="auto"/>
              </w:rPr>
              <w:t>燃烧爆炸危险性</w:t>
            </w:r>
          </w:p>
        </w:tc>
        <w:tc>
          <w:tcPr>
            <w:tcW w:w="2576" w:type="dxa"/>
            <w:tcBorders>
              <w:top w:val="single" w:color="auto" w:sz="4" w:space="0"/>
              <w:left w:val="nil"/>
              <w:bottom w:val="single" w:color="auto" w:sz="4" w:space="0"/>
              <w:right w:val="single" w:color="auto" w:sz="4" w:space="0"/>
            </w:tcBorders>
            <w:vAlign w:val="center"/>
          </w:tcPr>
          <w:p w14:paraId="0D88610C">
            <w:pPr>
              <w:pStyle w:val="33"/>
              <w:rPr>
                <w:color w:val="auto"/>
              </w:rPr>
            </w:pPr>
            <w:r>
              <w:rPr>
                <w:rFonts w:hint="eastAsia"/>
                <w:color w:val="auto"/>
              </w:rPr>
              <w:t>燃烧性：易燃</w:t>
            </w:r>
          </w:p>
        </w:tc>
        <w:tc>
          <w:tcPr>
            <w:tcW w:w="6282" w:type="dxa"/>
            <w:gridSpan w:val="6"/>
            <w:tcBorders>
              <w:top w:val="single" w:color="auto" w:sz="4" w:space="0"/>
              <w:left w:val="nil"/>
              <w:bottom w:val="single" w:color="auto" w:sz="4" w:space="0"/>
              <w:right w:val="single" w:color="auto" w:sz="4" w:space="0"/>
            </w:tcBorders>
            <w:vAlign w:val="center"/>
          </w:tcPr>
          <w:p w14:paraId="43FFB03F">
            <w:pPr>
              <w:pStyle w:val="33"/>
              <w:rPr>
                <w:color w:val="auto"/>
              </w:rPr>
            </w:pPr>
            <w:r>
              <w:rPr>
                <w:rFonts w:hint="eastAsia"/>
                <w:color w:val="auto"/>
              </w:rPr>
              <w:t>燃烧分解产物：氧化氮、氨。</w:t>
            </w:r>
          </w:p>
        </w:tc>
      </w:tr>
      <w:tr w14:paraId="4C230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3B7E5144">
            <w:pPr>
              <w:pStyle w:val="33"/>
              <w:rPr>
                <w:color w:val="auto"/>
              </w:rPr>
            </w:pPr>
          </w:p>
        </w:tc>
        <w:tc>
          <w:tcPr>
            <w:tcW w:w="2576" w:type="dxa"/>
            <w:tcBorders>
              <w:top w:val="single" w:color="auto" w:sz="4" w:space="0"/>
              <w:left w:val="nil"/>
              <w:bottom w:val="single" w:color="auto" w:sz="4" w:space="0"/>
              <w:right w:val="single" w:color="auto" w:sz="4" w:space="0"/>
            </w:tcBorders>
            <w:vAlign w:val="center"/>
          </w:tcPr>
          <w:p w14:paraId="780079B6">
            <w:pPr>
              <w:pStyle w:val="33"/>
              <w:rPr>
                <w:color w:val="auto"/>
              </w:rPr>
            </w:pPr>
            <w:r>
              <w:rPr>
                <w:rFonts w:hint="eastAsia"/>
                <w:color w:val="auto"/>
              </w:rPr>
              <w:t>闪点（℃）：</w:t>
            </w:r>
            <w:r>
              <w:rPr>
                <w:color w:val="auto"/>
              </w:rPr>
              <w:t xml:space="preserve"> </w:t>
            </w:r>
          </w:p>
        </w:tc>
        <w:tc>
          <w:tcPr>
            <w:tcW w:w="6282" w:type="dxa"/>
            <w:gridSpan w:val="6"/>
            <w:tcBorders>
              <w:top w:val="single" w:color="auto" w:sz="4" w:space="0"/>
              <w:left w:val="nil"/>
              <w:bottom w:val="single" w:color="auto" w:sz="4" w:space="0"/>
              <w:right w:val="single" w:color="auto" w:sz="4" w:space="0"/>
            </w:tcBorders>
            <w:vAlign w:val="center"/>
          </w:tcPr>
          <w:p w14:paraId="454A3D6B">
            <w:pPr>
              <w:pStyle w:val="33"/>
              <w:rPr>
                <w:color w:val="auto"/>
              </w:rPr>
            </w:pPr>
            <w:r>
              <w:rPr>
                <w:rFonts w:hint="eastAsia"/>
                <w:color w:val="auto"/>
              </w:rPr>
              <w:t>聚合危害：不聚合</w:t>
            </w:r>
          </w:p>
        </w:tc>
      </w:tr>
      <w:tr w14:paraId="1C34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76CD1F10">
            <w:pPr>
              <w:pStyle w:val="33"/>
              <w:rPr>
                <w:color w:val="auto"/>
              </w:rPr>
            </w:pPr>
          </w:p>
        </w:tc>
        <w:tc>
          <w:tcPr>
            <w:tcW w:w="2576" w:type="dxa"/>
            <w:tcBorders>
              <w:top w:val="single" w:color="auto" w:sz="4" w:space="0"/>
              <w:left w:val="nil"/>
              <w:bottom w:val="single" w:color="auto" w:sz="4" w:space="0"/>
              <w:right w:val="single" w:color="auto" w:sz="4" w:space="0"/>
            </w:tcBorders>
            <w:vAlign w:val="center"/>
          </w:tcPr>
          <w:p w14:paraId="362DA3C5">
            <w:pPr>
              <w:pStyle w:val="33"/>
              <w:rPr>
                <w:color w:val="auto"/>
              </w:rPr>
            </w:pPr>
            <w:r>
              <w:rPr>
                <w:rFonts w:hint="eastAsia"/>
                <w:color w:val="auto"/>
              </w:rPr>
              <w:t>爆炸下限（％）：</w:t>
            </w:r>
            <w:r>
              <w:rPr>
                <w:color w:val="auto"/>
              </w:rPr>
              <w:t>15.7</w:t>
            </w:r>
          </w:p>
        </w:tc>
        <w:tc>
          <w:tcPr>
            <w:tcW w:w="6282" w:type="dxa"/>
            <w:gridSpan w:val="6"/>
            <w:tcBorders>
              <w:top w:val="single" w:color="auto" w:sz="4" w:space="0"/>
              <w:left w:val="nil"/>
              <w:bottom w:val="single" w:color="auto" w:sz="4" w:space="0"/>
              <w:right w:val="single" w:color="auto" w:sz="4" w:space="0"/>
            </w:tcBorders>
            <w:vAlign w:val="center"/>
          </w:tcPr>
          <w:p w14:paraId="0FF09942">
            <w:pPr>
              <w:pStyle w:val="33"/>
              <w:rPr>
                <w:color w:val="auto"/>
              </w:rPr>
            </w:pPr>
            <w:r>
              <w:rPr>
                <w:rFonts w:hint="eastAsia"/>
                <w:color w:val="auto"/>
              </w:rPr>
              <w:t>稳定性：稳定</w:t>
            </w:r>
          </w:p>
        </w:tc>
      </w:tr>
      <w:tr w14:paraId="2F698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16D12461">
            <w:pPr>
              <w:pStyle w:val="33"/>
              <w:rPr>
                <w:color w:val="auto"/>
              </w:rPr>
            </w:pPr>
          </w:p>
        </w:tc>
        <w:tc>
          <w:tcPr>
            <w:tcW w:w="2576" w:type="dxa"/>
            <w:tcBorders>
              <w:top w:val="single" w:color="auto" w:sz="4" w:space="0"/>
              <w:left w:val="nil"/>
              <w:bottom w:val="single" w:color="auto" w:sz="4" w:space="0"/>
              <w:right w:val="single" w:color="auto" w:sz="4" w:space="0"/>
            </w:tcBorders>
            <w:vAlign w:val="center"/>
          </w:tcPr>
          <w:p w14:paraId="706D5355">
            <w:pPr>
              <w:pStyle w:val="33"/>
              <w:rPr>
                <w:color w:val="auto"/>
              </w:rPr>
            </w:pPr>
            <w:r>
              <w:rPr>
                <w:rFonts w:hint="eastAsia"/>
                <w:color w:val="auto"/>
              </w:rPr>
              <w:t>爆炸上限（％）：</w:t>
            </w:r>
            <w:r>
              <w:rPr>
                <w:color w:val="auto"/>
              </w:rPr>
              <w:t>27.4</w:t>
            </w:r>
          </w:p>
        </w:tc>
        <w:tc>
          <w:tcPr>
            <w:tcW w:w="6282" w:type="dxa"/>
            <w:gridSpan w:val="6"/>
            <w:tcBorders>
              <w:top w:val="single" w:color="auto" w:sz="4" w:space="0"/>
              <w:left w:val="nil"/>
              <w:bottom w:val="single" w:color="auto" w:sz="4" w:space="0"/>
              <w:right w:val="single" w:color="auto" w:sz="4" w:space="0"/>
            </w:tcBorders>
            <w:vAlign w:val="center"/>
          </w:tcPr>
          <w:p w14:paraId="2D22E9A1">
            <w:pPr>
              <w:pStyle w:val="33"/>
              <w:rPr>
                <w:color w:val="auto"/>
              </w:rPr>
            </w:pPr>
            <w:r>
              <w:rPr>
                <w:rFonts w:hint="eastAsia"/>
                <w:color w:val="auto"/>
              </w:rPr>
              <w:t>最大爆炸压力（</w:t>
            </w:r>
            <w:r>
              <w:rPr>
                <w:color w:val="auto"/>
              </w:rPr>
              <w:t>MPa</w:t>
            </w:r>
            <w:r>
              <w:rPr>
                <w:rFonts w:hint="eastAsia"/>
                <w:color w:val="auto"/>
              </w:rPr>
              <w:t>）：</w:t>
            </w:r>
            <w:r>
              <w:rPr>
                <w:color w:val="auto"/>
              </w:rPr>
              <w:t>0.580</w:t>
            </w:r>
          </w:p>
        </w:tc>
      </w:tr>
      <w:tr w14:paraId="15A19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7DA59E23">
            <w:pPr>
              <w:pStyle w:val="33"/>
              <w:rPr>
                <w:color w:val="auto"/>
              </w:rPr>
            </w:pPr>
          </w:p>
        </w:tc>
        <w:tc>
          <w:tcPr>
            <w:tcW w:w="2576" w:type="dxa"/>
            <w:tcBorders>
              <w:top w:val="single" w:color="auto" w:sz="4" w:space="0"/>
              <w:left w:val="nil"/>
              <w:bottom w:val="single" w:color="auto" w:sz="4" w:space="0"/>
              <w:right w:val="single" w:color="auto" w:sz="4" w:space="0"/>
            </w:tcBorders>
            <w:vAlign w:val="center"/>
          </w:tcPr>
          <w:p w14:paraId="55B0B0E8">
            <w:pPr>
              <w:pStyle w:val="33"/>
              <w:rPr>
                <w:color w:val="auto"/>
              </w:rPr>
            </w:pPr>
            <w:r>
              <w:rPr>
                <w:rFonts w:hint="eastAsia"/>
                <w:color w:val="auto"/>
              </w:rPr>
              <w:t>引燃温度（℃）：</w:t>
            </w:r>
            <w:r>
              <w:rPr>
                <w:color w:val="auto"/>
              </w:rPr>
              <w:t>651</w:t>
            </w:r>
          </w:p>
        </w:tc>
        <w:tc>
          <w:tcPr>
            <w:tcW w:w="6282" w:type="dxa"/>
            <w:gridSpan w:val="6"/>
            <w:tcBorders>
              <w:top w:val="single" w:color="auto" w:sz="4" w:space="0"/>
              <w:left w:val="nil"/>
              <w:bottom w:val="single" w:color="auto" w:sz="4" w:space="0"/>
              <w:right w:val="single" w:color="auto" w:sz="4" w:space="0"/>
            </w:tcBorders>
            <w:vAlign w:val="center"/>
          </w:tcPr>
          <w:p w14:paraId="767F886C">
            <w:pPr>
              <w:pStyle w:val="33"/>
              <w:rPr>
                <w:color w:val="auto"/>
              </w:rPr>
            </w:pPr>
            <w:r>
              <w:rPr>
                <w:rFonts w:hint="eastAsia"/>
                <w:color w:val="auto"/>
              </w:rPr>
              <w:t>禁忌物：卤素、酰基氯、酸类、氯仿、强氧化剂。</w:t>
            </w:r>
          </w:p>
        </w:tc>
      </w:tr>
      <w:tr w14:paraId="50D2B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732196AC">
            <w:pPr>
              <w:pStyle w:val="33"/>
              <w:rPr>
                <w:color w:val="auto"/>
              </w:rPr>
            </w:pPr>
          </w:p>
        </w:tc>
        <w:tc>
          <w:tcPr>
            <w:tcW w:w="8858" w:type="dxa"/>
            <w:gridSpan w:val="7"/>
            <w:tcBorders>
              <w:top w:val="single" w:color="auto" w:sz="4" w:space="0"/>
              <w:left w:val="nil"/>
              <w:bottom w:val="single" w:color="auto" w:sz="4" w:space="0"/>
              <w:right w:val="single" w:color="auto" w:sz="4" w:space="0"/>
            </w:tcBorders>
            <w:vAlign w:val="center"/>
          </w:tcPr>
          <w:p w14:paraId="6A9E2A89">
            <w:pPr>
              <w:pStyle w:val="33"/>
              <w:rPr>
                <w:color w:val="auto"/>
              </w:rPr>
            </w:pPr>
            <w:r>
              <w:rPr>
                <w:rFonts w:hint="eastAsia"/>
                <w:color w:val="auto"/>
              </w:rPr>
              <w:t>危险特性：与空气混合能形成爆炸性混合物。遇明火、高热能引起燃烧爆炸。与氟、氯等接触会发生剧烈的化学反应。若遇高热，容器内压增大，有开裂和爆炸的危险。</w:t>
            </w:r>
          </w:p>
        </w:tc>
      </w:tr>
      <w:tr w14:paraId="44803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28" w:type="dxa"/>
            <w:vMerge w:val="continue"/>
            <w:tcBorders>
              <w:top w:val="nil"/>
              <w:left w:val="single" w:color="auto" w:sz="4" w:space="0"/>
              <w:bottom w:val="single" w:color="auto" w:sz="4" w:space="0"/>
              <w:right w:val="single" w:color="auto" w:sz="4" w:space="0"/>
            </w:tcBorders>
            <w:vAlign w:val="center"/>
          </w:tcPr>
          <w:p w14:paraId="3E25CEF6">
            <w:pPr>
              <w:pStyle w:val="33"/>
              <w:rPr>
                <w:color w:val="auto"/>
              </w:rPr>
            </w:pPr>
          </w:p>
        </w:tc>
        <w:tc>
          <w:tcPr>
            <w:tcW w:w="8858" w:type="dxa"/>
            <w:gridSpan w:val="7"/>
            <w:tcBorders>
              <w:top w:val="single" w:color="auto" w:sz="4" w:space="0"/>
              <w:left w:val="nil"/>
              <w:bottom w:val="single" w:color="auto" w:sz="4" w:space="0"/>
              <w:right w:val="single" w:color="auto" w:sz="4" w:space="0"/>
            </w:tcBorders>
            <w:vAlign w:val="center"/>
          </w:tcPr>
          <w:p w14:paraId="4B81900E">
            <w:pPr>
              <w:pStyle w:val="33"/>
              <w:rPr>
                <w:color w:val="auto"/>
              </w:rPr>
            </w:pPr>
            <w:r>
              <w:rPr>
                <w:rFonts w:hint="eastAsia"/>
                <w:color w:val="auto"/>
              </w:rPr>
              <w:t>灭火方法：切断气源。若不能立即切断气源，则不允许熄灭正在燃烧的气体。喷水冷却容器，将容器从火场移至空旷处。灭火剂：雾状水、抗溶性泡沫、二氧化碳、砂土。</w:t>
            </w:r>
          </w:p>
        </w:tc>
      </w:tr>
      <w:tr w14:paraId="41F7C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dxa"/>
            <w:tcBorders>
              <w:top w:val="single" w:color="auto" w:sz="4" w:space="0"/>
              <w:left w:val="single" w:color="auto" w:sz="4" w:space="0"/>
              <w:bottom w:val="single" w:color="auto" w:sz="4" w:space="0"/>
              <w:right w:val="single" w:color="auto" w:sz="4" w:space="0"/>
            </w:tcBorders>
            <w:vAlign w:val="center"/>
          </w:tcPr>
          <w:p w14:paraId="05CB4456">
            <w:pPr>
              <w:pStyle w:val="33"/>
              <w:rPr>
                <w:color w:val="auto"/>
              </w:rPr>
            </w:pPr>
            <w:r>
              <w:rPr>
                <w:rFonts w:hint="eastAsia"/>
                <w:color w:val="auto"/>
              </w:rPr>
              <w:t>毒性</w:t>
            </w:r>
          </w:p>
        </w:tc>
        <w:tc>
          <w:tcPr>
            <w:tcW w:w="8858" w:type="dxa"/>
            <w:gridSpan w:val="7"/>
            <w:tcBorders>
              <w:top w:val="single" w:color="auto" w:sz="4" w:space="0"/>
              <w:left w:val="nil"/>
              <w:bottom w:val="single" w:color="auto" w:sz="4" w:space="0"/>
              <w:right w:val="single" w:color="auto" w:sz="4" w:space="0"/>
            </w:tcBorders>
            <w:vAlign w:val="center"/>
          </w:tcPr>
          <w:p w14:paraId="62094D57">
            <w:pPr>
              <w:pStyle w:val="33"/>
              <w:rPr>
                <w:color w:val="auto"/>
              </w:rPr>
            </w:pPr>
            <w:r>
              <w:rPr>
                <w:rFonts w:hint="eastAsia"/>
                <w:color w:val="auto"/>
              </w:rPr>
              <w:t>接触限值：</w:t>
            </w:r>
            <w:r>
              <w:rPr>
                <w:color w:val="auto"/>
              </w:rPr>
              <w:t xml:space="preserve"> </w:t>
            </w:r>
            <w:r>
              <w:rPr>
                <w:rFonts w:hint="eastAsia"/>
                <w:color w:val="auto"/>
              </w:rPr>
              <w:t>中国</w:t>
            </w:r>
            <w:r>
              <w:rPr>
                <w:color w:val="auto"/>
              </w:rPr>
              <w:t>MAC</w:t>
            </w:r>
            <w:r>
              <w:rPr>
                <w:rFonts w:hint="eastAsia"/>
                <w:color w:val="auto"/>
              </w:rPr>
              <w:t>（</w:t>
            </w:r>
            <w:r>
              <w:rPr>
                <w:color w:val="auto"/>
              </w:rPr>
              <w:t>mg/m3</w:t>
            </w:r>
            <w:r>
              <w:rPr>
                <w:rFonts w:hint="eastAsia"/>
                <w:color w:val="auto"/>
              </w:rPr>
              <w:t>）</w:t>
            </w:r>
            <w:r>
              <w:rPr>
                <w:color w:val="auto"/>
              </w:rPr>
              <w:t xml:space="preserve"> 30     </w:t>
            </w:r>
            <w:r>
              <w:rPr>
                <w:rFonts w:hint="eastAsia"/>
                <w:color w:val="auto"/>
              </w:rPr>
              <w:t>前苏联</w:t>
            </w:r>
            <w:r>
              <w:rPr>
                <w:color w:val="auto"/>
              </w:rPr>
              <w:t xml:space="preserve"> MAC</w:t>
            </w:r>
            <w:r>
              <w:rPr>
                <w:rFonts w:hint="eastAsia"/>
                <w:color w:val="auto"/>
              </w:rPr>
              <w:t>（</w:t>
            </w:r>
            <w:r>
              <w:rPr>
                <w:color w:val="auto"/>
              </w:rPr>
              <w:t>mg/m3</w:t>
            </w:r>
            <w:r>
              <w:rPr>
                <w:rFonts w:hint="eastAsia"/>
                <w:color w:val="auto"/>
              </w:rPr>
              <w:t>）</w:t>
            </w:r>
            <w:r>
              <w:rPr>
                <w:color w:val="auto"/>
              </w:rPr>
              <w:t>20</w:t>
            </w:r>
          </w:p>
          <w:p w14:paraId="19E8E1FE">
            <w:pPr>
              <w:pStyle w:val="33"/>
              <w:rPr>
                <w:color w:val="auto"/>
              </w:rPr>
            </w:pPr>
            <w:r>
              <w:rPr>
                <w:rFonts w:hint="eastAsia"/>
                <w:color w:val="auto"/>
              </w:rPr>
              <w:t>美国</w:t>
            </w:r>
            <w:r>
              <w:rPr>
                <w:color w:val="auto"/>
              </w:rPr>
              <w:t>TVL</w:t>
            </w:r>
            <w:r>
              <w:rPr>
                <w:rFonts w:hint="eastAsia"/>
                <w:color w:val="auto"/>
              </w:rPr>
              <w:t>－</w:t>
            </w:r>
            <w:r>
              <w:rPr>
                <w:color w:val="auto"/>
              </w:rPr>
              <w:t>TWA  OSHA  50ppm</w:t>
            </w:r>
            <w:r>
              <w:rPr>
                <w:rFonts w:hint="eastAsia"/>
                <w:color w:val="auto"/>
              </w:rPr>
              <w:t>，</w:t>
            </w:r>
            <w:r>
              <w:rPr>
                <w:color w:val="auto"/>
              </w:rPr>
              <w:t>34 mg/m3</w:t>
            </w:r>
            <w:r>
              <w:rPr>
                <w:rFonts w:hint="eastAsia"/>
                <w:color w:val="auto"/>
              </w:rPr>
              <w:t>；</w:t>
            </w:r>
            <w:r>
              <w:rPr>
                <w:color w:val="auto"/>
              </w:rPr>
              <w:t xml:space="preserve">  ACGIH  25ppm</w:t>
            </w:r>
            <w:r>
              <w:rPr>
                <w:rFonts w:hint="eastAsia"/>
                <w:color w:val="auto"/>
              </w:rPr>
              <w:t>，</w:t>
            </w:r>
            <w:r>
              <w:rPr>
                <w:color w:val="auto"/>
              </w:rPr>
              <w:t>17mg/m3</w:t>
            </w:r>
          </w:p>
          <w:p w14:paraId="16328985">
            <w:pPr>
              <w:pStyle w:val="33"/>
              <w:rPr>
                <w:color w:val="auto"/>
              </w:rPr>
            </w:pPr>
            <w:r>
              <w:rPr>
                <w:rFonts w:hint="eastAsia"/>
                <w:color w:val="auto"/>
              </w:rPr>
              <w:t>美国</w:t>
            </w:r>
            <w:r>
              <w:rPr>
                <w:color w:val="auto"/>
              </w:rPr>
              <w:t xml:space="preserve">   TLV</w:t>
            </w:r>
            <w:r>
              <w:rPr>
                <w:rFonts w:hint="eastAsia"/>
                <w:color w:val="auto"/>
              </w:rPr>
              <w:t>－</w:t>
            </w:r>
            <w:r>
              <w:rPr>
                <w:color w:val="auto"/>
              </w:rPr>
              <w:t>STEL   ACGIH  35ppm</w:t>
            </w:r>
            <w:r>
              <w:rPr>
                <w:rFonts w:hint="eastAsia"/>
                <w:color w:val="auto"/>
              </w:rPr>
              <w:t>，</w:t>
            </w:r>
            <w:r>
              <w:rPr>
                <w:color w:val="auto"/>
              </w:rPr>
              <w:t>24mg/m3</w:t>
            </w:r>
          </w:p>
          <w:p w14:paraId="2BD2684B">
            <w:pPr>
              <w:pStyle w:val="33"/>
              <w:rPr>
                <w:color w:val="auto"/>
              </w:rPr>
            </w:pPr>
            <w:r>
              <w:rPr>
                <w:rFonts w:hint="eastAsia"/>
                <w:color w:val="auto"/>
              </w:rPr>
              <w:t>急性毒性：</w:t>
            </w:r>
            <w:r>
              <w:rPr>
                <w:color w:val="auto"/>
              </w:rPr>
              <w:t xml:space="preserve"> LD50  350mg/kg</w:t>
            </w:r>
            <w:r>
              <w:rPr>
                <w:rFonts w:hint="eastAsia"/>
                <w:color w:val="auto"/>
              </w:rPr>
              <w:t>（大鼠经口）</w:t>
            </w:r>
            <w:r>
              <w:rPr>
                <w:color w:val="auto"/>
              </w:rPr>
              <w:t xml:space="preserve">  LC50  1390mg/m3</w:t>
            </w:r>
            <w:r>
              <w:rPr>
                <w:rFonts w:hint="eastAsia"/>
                <w:color w:val="auto"/>
              </w:rPr>
              <w:t>，</w:t>
            </w:r>
            <w:r>
              <w:rPr>
                <w:color w:val="auto"/>
              </w:rPr>
              <w:t>4</w:t>
            </w:r>
            <w:r>
              <w:rPr>
                <w:rFonts w:hint="eastAsia"/>
                <w:color w:val="auto"/>
              </w:rPr>
              <w:t>小时（大鼠吸入）</w:t>
            </w:r>
            <w:r>
              <w:rPr>
                <w:color w:val="auto"/>
              </w:rPr>
              <w:t xml:space="preserve"> </w:t>
            </w:r>
          </w:p>
        </w:tc>
      </w:tr>
      <w:tr w14:paraId="03996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59E06713">
            <w:pPr>
              <w:pStyle w:val="33"/>
              <w:rPr>
                <w:color w:val="auto"/>
              </w:rPr>
            </w:pPr>
            <w:r>
              <w:rPr>
                <w:rFonts w:hint="eastAsia"/>
                <w:color w:val="auto"/>
              </w:rPr>
              <w:t>对人体危害</w:t>
            </w:r>
          </w:p>
        </w:tc>
        <w:tc>
          <w:tcPr>
            <w:tcW w:w="8858" w:type="dxa"/>
            <w:gridSpan w:val="7"/>
            <w:tcBorders>
              <w:top w:val="single" w:color="auto" w:sz="4" w:space="0"/>
              <w:left w:val="nil"/>
              <w:bottom w:val="single" w:color="auto" w:sz="4" w:space="0"/>
              <w:right w:val="single" w:color="auto" w:sz="4" w:space="0"/>
            </w:tcBorders>
            <w:vAlign w:val="center"/>
          </w:tcPr>
          <w:p w14:paraId="10DF19A0">
            <w:pPr>
              <w:pStyle w:val="33"/>
              <w:rPr>
                <w:color w:val="auto"/>
              </w:rPr>
            </w:pPr>
            <w:r>
              <w:rPr>
                <w:rFonts w:hint="eastAsia"/>
                <w:color w:val="auto"/>
              </w:rPr>
              <w:t>侵入途径：</w:t>
            </w:r>
            <w:r>
              <w:rPr>
                <w:color w:val="auto"/>
              </w:rPr>
              <w:t xml:space="preserve"> </w:t>
            </w:r>
            <w:r>
              <w:rPr>
                <w:rFonts w:hint="eastAsia"/>
                <w:color w:val="auto"/>
              </w:rPr>
              <w:t>吸入。</w:t>
            </w:r>
          </w:p>
          <w:p w14:paraId="59E6BACF">
            <w:pPr>
              <w:pStyle w:val="33"/>
              <w:rPr>
                <w:color w:val="auto"/>
              </w:rPr>
            </w:pPr>
            <w:r>
              <w:rPr>
                <w:rFonts w:hint="eastAsia"/>
                <w:color w:val="auto"/>
              </w:rPr>
              <w:t>健康危害：低浓度氨对粘膜有刺激作用，高浓度可造成组织溶解坏死。急性中毒：轻度者出现流泪、咽痛、声音嘶哑、咳嗽、咯痰等；眼结膜、鼻粘膜、咽部充血、水肿；胸部</w:t>
            </w:r>
            <w:r>
              <w:rPr>
                <w:color w:val="auto"/>
              </w:rPr>
              <w:t>X</w:t>
            </w:r>
            <w:r>
              <w:rPr>
                <w:rFonts w:hint="eastAsia"/>
                <w:color w:val="auto"/>
              </w:rPr>
              <w:t>线征象符合支气管炎或支气管周围炎。中度中毒上述症状加剧，出现呼吸困难、紫绀；胸部</w:t>
            </w:r>
            <w:r>
              <w:rPr>
                <w:color w:val="auto"/>
              </w:rPr>
              <w:t>X</w:t>
            </w:r>
            <w:r>
              <w:rPr>
                <w:rFonts w:hint="eastAsia"/>
                <w:color w:val="auto"/>
              </w:rPr>
              <w:t>线征象符合肺炎或间质性肺炎。严重者可发生中毒性肺水肿，或有呼吸窘迫综合征，患者剧烈咳嗽、咯大量粉红色泡沫痰、呼吸窘迫、谵妄、昏迷、休克等。可发生喉头水肿或支气管粘膜坏死脱落窒息。高浓度氨可引起反射性呼吸停止。液氨或高浓度氨可致眼灼伤；液氨可致皮肤灼伤。</w:t>
            </w:r>
          </w:p>
        </w:tc>
      </w:tr>
      <w:tr w14:paraId="430D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8" w:type="dxa"/>
            <w:tcBorders>
              <w:top w:val="single" w:color="auto" w:sz="4" w:space="0"/>
              <w:left w:val="single" w:color="auto" w:sz="4" w:space="0"/>
              <w:bottom w:val="single" w:color="auto" w:sz="4" w:space="0"/>
              <w:right w:val="single" w:color="auto" w:sz="4" w:space="0"/>
            </w:tcBorders>
            <w:vAlign w:val="center"/>
          </w:tcPr>
          <w:p w14:paraId="2FFA0529">
            <w:pPr>
              <w:pStyle w:val="33"/>
              <w:rPr>
                <w:color w:val="auto"/>
              </w:rPr>
            </w:pPr>
            <w:r>
              <w:rPr>
                <w:rFonts w:hint="eastAsia"/>
                <w:color w:val="auto"/>
              </w:rPr>
              <w:t>急救</w:t>
            </w:r>
          </w:p>
        </w:tc>
        <w:tc>
          <w:tcPr>
            <w:tcW w:w="8858" w:type="dxa"/>
            <w:gridSpan w:val="7"/>
            <w:tcBorders>
              <w:top w:val="single" w:color="auto" w:sz="4" w:space="0"/>
              <w:left w:val="nil"/>
              <w:bottom w:val="single" w:color="auto" w:sz="4" w:space="0"/>
              <w:right w:val="single" w:color="auto" w:sz="4" w:space="0"/>
            </w:tcBorders>
            <w:vAlign w:val="center"/>
          </w:tcPr>
          <w:p w14:paraId="25A4C386">
            <w:pPr>
              <w:pStyle w:val="33"/>
              <w:rPr>
                <w:color w:val="auto"/>
              </w:rPr>
            </w:pPr>
            <w:r>
              <w:rPr>
                <w:rFonts w:hint="eastAsia"/>
                <w:color w:val="auto"/>
              </w:rPr>
              <w:t>皮肤接触：立即脱出被污染的衣着，用</w:t>
            </w:r>
            <w:r>
              <w:rPr>
                <w:color w:val="auto"/>
              </w:rPr>
              <w:t>2</w:t>
            </w:r>
            <w:r>
              <w:rPr>
                <w:rFonts w:hint="eastAsia"/>
                <w:color w:val="auto"/>
              </w:rPr>
              <w:t>％硼酸液或大量清水彻底冲洗。就医。</w:t>
            </w:r>
          </w:p>
          <w:p w14:paraId="3CEDA60D">
            <w:pPr>
              <w:pStyle w:val="33"/>
              <w:rPr>
                <w:color w:val="auto"/>
              </w:rPr>
            </w:pPr>
            <w:r>
              <w:rPr>
                <w:rFonts w:hint="eastAsia"/>
                <w:color w:val="auto"/>
              </w:rPr>
              <w:t>眼睛接触：立即提起眼睑，用大量流动清水或生理盐水彻底冲洗至少</w:t>
            </w:r>
            <w:r>
              <w:rPr>
                <w:color w:val="auto"/>
              </w:rPr>
              <w:t>15</w:t>
            </w:r>
            <w:r>
              <w:rPr>
                <w:rFonts w:hint="eastAsia"/>
                <w:color w:val="auto"/>
              </w:rPr>
              <w:t>分钟。就医。</w:t>
            </w:r>
          </w:p>
          <w:p w14:paraId="0408074F">
            <w:pPr>
              <w:pStyle w:val="33"/>
              <w:rPr>
                <w:color w:val="auto"/>
              </w:rPr>
            </w:pPr>
            <w:r>
              <w:rPr>
                <w:rFonts w:hint="eastAsia"/>
                <w:color w:val="auto"/>
              </w:rPr>
              <w:t>吸入：迅速脱离现场至空气新鲜处，保持呼吸道通畅。如呼吸困难，给输氧。如呼吸停止，立即进行人工呼吸。就医。</w:t>
            </w:r>
          </w:p>
        </w:tc>
      </w:tr>
      <w:tr w14:paraId="7B952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688D6A09">
            <w:pPr>
              <w:pStyle w:val="33"/>
              <w:rPr>
                <w:color w:val="auto"/>
              </w:rPr>
            </w:pPr>
            <w:r>
              <w:rPr>
                <w:rFonts w:hint="eastAsia"/>
                <w:color w:val="auto"/>
              </w:rPr>
              <w:t>防护</w:t>
            </w:r>
          </w:p>
        </w:tc>
        <w:tc>
          <w:tcPr>
            <w:tcW w:w="8858" w:type="dxa"/>
            <w:gridSpan w:val="7"/>
            <w:tcBorders>
              <w:top w:val="single" w:color="auto" w:sz="4" w:space="0"/>
              <w:left w:val="nil"/>
              <w:bottom w:val="single" w:color="auto" w:sz="4" w:space="0"/>
              <w:right w:val="single" w:color="auto" w:sz="4" w:space="0"/>
            </w:tcBorders>
            <w:vAlign w:val="center"/>
          </w:tcPr>
          <w:p w14:paraId="1429BC4E">
            <w:pPr>
              <w:pStyle w:val="33"/>
              <w:rPr>
                <w:color w:val="auto"/>
              </w:rPr>
            </w:pPr>
            <w:r>
              <w:rPr>
                <w:rFonts w:hint="eastAsia"/>
                <w:color w:val="auto"/>
              </w:rPr>
              <w:t>工程防护：严加密闭，提供充分的局部排风和全面通风。提供安全淋浴和洗眼设备。</w:t>
            </w:r>
          </w:p>
          <w:p w14:paraId="2029B86E">
            <w:pPr>
              <w:pStyle w:val="33"/>
              <w:rPr>
                <w:color w:val="auto"/>
              </w:rPr>
            </w:pPr>
            <w:r>
              <w:rPr>
                <w:rFonts w:hint="eastAsia"/>
                <w:color w:val="auto"/>
              </w:rPr>
              <w:t>个人防护：空气中浓度超标时，建议佩戴过滤式防毒面具（半面罩）。紧急事态抢救或撤离时，佩戴空气呼吸器；戴化学安全防护眼镜；穿防静电工作服；戴橡胶手套。工作现场禁止吸烟、进食和饮水。工作毕，淋浴更衣，保持良好的卫生习惯。</w:t>
            </w:r>
          </w:p>
        </w:tc>
      </w:tr>
      <w:tr w14:paraId="045A4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232DB89D">
            <w:pPr>
              <w:pStyle w:val="33"/>
              <w:rPr>
                <w:color w:val="auto"/>
              </w:rPr>
            </w:pPr>
            <w:r>
              <w:rPr>
                <w:rFonts w:hint="eastAsia"/>
                <w:color w:val="auto"/>
              </w:rPr>
              <w:t>泄漏处理</w:t>
            </w:r>
          </w:p>
        </w:tc>
        <w:tc>
          <w:tcPr>
            <w:tcW w:w="8858" w:type="dxa"/>
            <w:gridSpan w:val="7"/>
            <w:tcBorders>
              <w:top w:val="single" w:color="auto" w:sz="4" w:space="0"/>
              <w:left w:val="nil"/>
              <w:bottom w:val="single" w:color="auto" w:sz="4" w:space="0"/>
              <w:right w:val="single" w:color="auto" w:sz="4" w:space="0"/>
            </w:tcBorders>
            <w:vAlign w:val="center"/>
          </w:tcPr>
          <w:p w14:paraId="2C1031FB">
            <w:pPr>
              <w:pStyle w:val="33"/>
              <w:rPr>
                <w:color w:val="auto"/>
              </w:rPr>
            </w:pPr>
            <w:r>
              <w:rPr>
                <w:rFonts w:hint="eastAsia"/>
                <w:color w:val="auto"/>
              </w:rPr>
              <w:t>迅速撤离泄漏污染区人员至上风处，并立即隔离</w:t>
            </w:r>
            <w:r>
              <w:rPr>
                <w:color w:val="auto"/>
              </w:rPr>
              <w:t>150m</w:t>
            </w:r>
            <w:r>
              <w:rPr>
                <w:rFonts w:hint="eastAsia"/>
                <w:color w:val="auto"/>
              </w:rPr>
              <w:t>，严格限制出入。切断火源。建议应急处理人员戴自给正压式呼吸器，穿防毒服。尽可能切断泄漏源。合理通风，加速扩散。高浓度泄漏区，喷含盐酸的雾状水中和、稀释、溶解。构筑围堤或挖坑收容产生的大量废水。如有可能，将残余气或漏出气用排风机送至水洗塔或与塔相连的通风橱内。储罐区最好设稀酸喷洒设施。漏气容器要妥善处理，修复、检验后再用。</w:t>
            </w:r>
          </w:p>
        </w:tc>
      </w:tr>
      <w:tr w14:paraId="15A51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428" w:type="dxa"/>
            <w:tcBorders>
              <w:top w:val="single" w:color="auto" w:sz="4" w:space="0"/>
              <w:left w:val="single" w:color="auto" w:sz="4" w:space="0"/>
              <w:bottom w:val="single" w:color="auto" w:sz="4" w:space="0"/>
              <w:right w:val="single" w:color="auto" w:sz="4" w:space="0"/>
            </w:tcBorders>
            <w:vAlign w:val="center"/>
          </w:tcPr>
          <w:p w14:paraId="166086D0">
            <w:pPr>
              <w:pStyle w:val="33"/>
              <w:rPr>
                <w:color w:val="auto"/>
              </w:rPr>
            </w:pPr>
            <w:r>
              <w:rPr>
                <w:rFonts w:hint="eastAsia"/>
                <w:color w:val="auto"/>
              </w:rPr>
              <w:t>贮运</w:t>
            </w:r>
          </w:p>
        </w:tc>
        <w:tc>
          <w:tcPr>
            <w:tcW w:w="8858" w:type="dxa"/>
            <w:gridSpan w:val="7"/>
            <w:tcBorders>
              <w:top w:val="single" w:color="auto" w:sz="4" w:space="0"/>
              <w:left w:val="nil"/>
              <w:bottom w:val="single" w:color="auto" w:sz="4" w:space="0"/>
              <w:right w:val="single" w:color="auto" w:sz="4" w:space="0"/>
            </w:tcBorders>
            <w:vAlign w:val="center"/>
          </w:tcPr>
          <w:p w14:paraId="10208553">
            <w:pPr>
              <w:pStyle w:val="33"/>
              <w:rPr>
                <w:color w:val="auto"/>
              </w:rPr>
            </w:pPr>
            <w:r>
              <w:rPr>
                <w:rFonts w:hint="eastAsia"/>
                <w:color w:val="auto"/>
              </w:rPr>
              <w:t>包装标志：</w:t>
            </w:r>
            <w:r>
              <w:rPr>
                <w:color w:val="auto"/>
              </w:rPr>
              <w:t>6</w:t>
            </w:r>
            <w:r>
              <w:rPr>
                <w:rFonts w:hint="eastAsia"/>
                <w:color w:val="auto"/>
              </w:rPr>
              <w:t>，</w:t>
            </w:r>
            <w:r>
              <w:rPr>
                <w:color w:val="auto"/>
              </w:rPr>
              <w:t>7     UN</w:t>
            </w:r>
            <w:r>
              <w:rPr>
                <w:rFonts w:hint="eastAsia"/>
                <w:color w:val="auto"/>
              </w:rPr>
              <w:t>编号：</w:t>
            </w:r>
            <w:r>
              <w:rPr>
                <w:color w:val="auto"/>
              </w:rPr>
              <w:t xml:space="preserve">1005     </w:t>
            </w:r>
            <w:r>
              <w:rPr>
                <w:rFonts w:hint="eastAsia"/>
                <w:color w:val="auto"/>
              </w:rPr>
              <w:t>包装分类：Ⅱ</w:t>
            </w:r>
            <w:r>
              <w:rPr>
                <w:color w:val="auto"/>
              </w:rPr>
              <w:t xml:space="preserve">    </w:t>
            </w:r>
            <w:r>
              <w:rPr>
                <w:rFonts w:hint="eastAsia"/>
                <w:color w:val="auto"/>
              </w:rPr>
              <w:t>包装方法：钢质气瓶。</w:t>
            </w:r>
          </w:p>
          <w:p w14:paraId="4AA777A0">
            <w:pPr>
              <w:pStyle w:val="33"/>
              <w:rPr>
                <w:color w:val="auto"/>
              </w:rPr>
            </w:pPr>
            <w:r>
              <w:rPr>
                <w:rFonts w:hint="eastAsia"/>
                <w:color w:val="auto"/>
              </w:rPr>
              <w:t>储运条件：易燃、腐蚀性压缩气体。储存于阴凉、干燥、通风良好的仓间。远离火种、热源。防止阳光直射。应与卤素（氟、氯、溴）、酸类等分开存放。罐储时要有防火防爆技术措施。配备相应品种和数量的消防器材。禁止使用易产生火花的机械设备和工具。验收时要注意品名，注意验瓶日期，先进仓的先发用。槽车运送时要灌装适量，不可超压超量运输。搬运时要轻装轻卸，防止钢瓶和附件损坏。运输按规定路线行驶，中途不得停留。</w:t>
            </w:r>
          </w:p>
        </w:tc>
      </w:tr>
    </w:tbl>
    <w:p w14:paraId="788987E8">
      <w:pPr>
        <w:pStyle w:val="7"/>
        <w:rPr>
          <w:color w:val="auto"/>
        </w:rPr>
      </w:pPr>
      <w:r>
        <w:rPr>
          <w:color w:val="auto"/>
        </w:rPr>
        <w:t>硫化氢</w:t>
      </w:r>
      <w:r>
        <w:rPr>
          <w:rFonts w:hint="eastAsia"/>
          <w:color w:val="auto"/>
        </w:rPr>
        <w:t>的</w:t>
      </w:r>
      <w:r>
        <w:rPr>
          <w:color w:val="auto"/>
        </w:rPr>
        <w:t>理化性质及危险有害特性表</w:t>
      </w:r>
    </w:p>
    <w:tbl>
      <w:tblPr>
        <w:tblStyle w:val="26"/>
        <w:tblW w:w="924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2"/>
        <w:gridCol w:w="2579"/>
        <w:gridCol w:w="627"/>
        <w:gridCol w:w="543"/>
        <w:gridCol w:w="1251"/>
        <w:gridCol w:w="1081"/>
        <w:gridCol w:w="2719"/>
      </w:tblGrid>
      <w:tr w14:paraId="23D34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442" w:type="dxa"/>
            <w:vMerge w:val="restart"/>
            <w:tcBorders>
              <w:top w:val="single" w:color="auto" w:sz="4" w:space="0"/>
              <w:left w:val="single" w:color="auto" w:sz="4" w:space="0"/>
              <w:bottom w:val="single" w:color="auto" w:sz="4" w:space="0"/>
              <w:right w:val="single" w:color="auto" w:sz="4" w:space="0"/>
            </w:tcBorders>
            <w:vAlign w:val="center"/>
          </w:tcPr>
          <w:p w14:paraId="4F2FD2DB">
            <w:pPr>
              <w:pStyle w:val="33"/>
              <w:rPr>
                <w:color w:val="auto"/>
              </w:rPr>
            </w:pPr>
            <w:r>
              <w:rPr>
                <w:rFonts w:hint="eastAsia"/>
                <w:color w:val="auto"/>
              </w:rPr>
              <w:t>标识</w:t>
            </w:r>
          </w:p>
        </w:tc>
        <w:tc>
          <w:tcPr>
            <w:tcW w:w="3749" w:type="dxa"/>
            <w:gridSpan w:val="3"/>
            <w:tcBorders>
              <w:top w:val="single" w:color="auto" w:sz="4" w:space="0"/>
              <w:left w:val="nil"/>
              <w:bottom w:val="single" w:color="auto" w:sz="4" w:space="0"/>
              <w:right w:val="single" w:color="auto" w:sz="4" w:space="0"/>
            </w:tcBorders>
            <w:vAlign w:val="center"/>
          </w:tcPr>
          <w:p w14:paraId="78B8F3E5">
            <w:pPr>
              <w:pStyle w:val="33"/>
              <w:rPr>
                <w:color w:val="auto"/>
              </w:rPr>
            </w:pPr>
            <w:r>
              <w:rPr>
                <w:rFonts w:hint="eastAsia"/>
                <w:color w:val="auto"/>
              </w:rPr>
              <w:t>中文名：</w:t>
            </w:r>
            <w:r>
              <w:rPr>
                <w:color w:val="auto"/>
              </w:rPr>
              <w:t xml:space="preserve"> </w:t>
            </w:r>
            <w:r>
              <w:rPr>
                <w:rFonts w:hint="eastAsia"/>
                <w:color w:val="auto"/>
              </w:rPr>
              <w:t>硫化氢</w:t>
            </w:r>
          </w:p>
        </w:tc>
        <w:tc>
          <w:tcPr>
            <w:tcW w:w="5051" w:type="dxa"/>
            <w:gridSpan w:val="3"/>
            <w:tcBorders>
              <w:top w:val="single" w:color="auto" w:sz="4" w:space="0"/>
              <w:left w:val="nil"/>
              <w:bottom w:val="single" w:color="auto" w:sz="4" w:space="0"/>
              <w:right w:val="single" w:color="auto" w:sz="4" w:space="0"/>
            </w:tcBorders>
            <w:vAlign w:val="center"/>
          </w:tcPr>
          <w:p w14:paraId="6A719E50">
            <w:pPr>
              <w:pStyle w:val="33"/>
              <w:rPr>
                <w:color w:val="auto"/>
              </w:rPr>
            </w:pPr>
            <w:r>
              <w:rPr>
                <w:rFonts w:hint="eastAsia"/>
                <w:color w:val="auto"/>
              </w:rPr>
              <w:t>英文名：</w:t>
            </w:r>
            <w:r>
              <w:rPr>
                <w:color w:val="auto"/>
              </w:rPr>
              <w:t>hydrogen sulfide</w:t>
            </w:r>
          </w:p>
        </w:tc>
      </w:tr>
      <w:tr w14:paraId="7FB03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442" w:type="dxa"/>
            <w:vMerge w:val="continue"/>
            <w:tcBorders>
              <w:top w:val="single" w:color="auto" w:sz="4" w:space="0"/>
              <w:left w:val="single" w:color="auto" w:sz="4" w:space="0"/>
              <w:bottom w:val="single" w:color="auto" w:sz="4" w:space="0"/>
              <w:right w:val="single" w:color="auto" w:sz="4" w:space="0"/>
            </w:tcBorders>
            <w:vAlign w:val="center"/>
          </w:tcPr>
          <w:p w14:paraId="7AA33246">
            <w:pPr>
              <w:pStyle w:val="33"/>
              <w:rPr>
                <w:color w:val="auto"/>
              </w:rPr>
            </w:pPr>
          </w:p>
        </w:tc>
        <w:tc>
          <w:tcPr>
            <w:tcW w:w="3206" w:type="dxa"/>
            <w:gridSpan w:val="2"/>
            <w:tcBorders>
              <w:top w:val="single" w:color="auto" w:sz="4" w:space="0"/>
              <w:left w:val="nil"/>
              <w:bottom w:val="single" w:color="auto" w:sz="4" w:space="0"/>
              <w:right w:val="single" w:color="auto" w:sz="4" w:space="0"/>
            </w:tcBorders>
            <w:vAlign w:val="center"/>
          </w:tcPr>
          <w:p w14:paraId="61CCB15F">
            <w:pPr>
              <w:pStyle w:val="33"/>
              <w:rPr>
                <w:color w:val="auto"/>
              </w:rPr>
            </w:pPr>
            <w:r>
              <w:rPr>
                <w:rFonts w:hint="eastAsia"/>
                <w:color w:val="auto"/>
              </w:rPr>
              <w:t>分子式：</w:t>
            </w:r>
            <w:r>
              <w:rPr>
                <w:color w:val="auto"/>
              </w:rPr>
              <w:t xml:space="preserve"> H2S</w:t>
            </w:r>
          </w:p>
        </w:tc>
        <w:tc>
          <w:tcPr>
            <w:tcW w:w="2875" w:type="dxa"/>
            <w:gridSpan w:val="3"/>
            <w:tcBorders>
              <w:top w:val="single" w:color="auto" w:sz="4" w:space="0"/>
              <w:left w:val="nil"/>
              <w:bottom w:val="single" w:color="auto" w:sz="4" w:space="0"/>
              <w:right w:val="single" w:color="auto" w:sz="4" w:space="0"/>
            </w:tcBorders>
            <w:vAlign w:val="center"/>
          </w:tcPr>
          <w:p w14:paraId="04BD72CA">
            <w:pPr>
              <w:pStyle w:val="33"/>
              <w:rPr>
                <w:color w:val="auto"/>
              </w:rPr>
            </w:pPr>
            <w:r>
              <w:rPr>
                <w:rFonts w:hint="eastAsia"/>
                <w:color w:val="auto"/>
              </w:rPr>
              <w:t>分子量：</w:t>
            </w:r>
            <w:r>
              <w:rPr>
                <w:color w:val="auto"/>
              </w:rPr>
              <w:t>34.08</w:t>
            </w:r>
          </w:p>
        </w:tc>
        <w:tc>
          <w:tcPr>
            <w:tcW w:w="2719" w:type="dxa"/>
            <w:tcBorders>
              <w:top w:val="single" w:color="auto" w:sz="4" w:space="0"/>
              <w:left w:val="nil"/>
              <w:bottom w:val="single" w:color="auto" w:sz="4" w:space="0"/>
              <w:right w:val="single" w:color="auto" w:sz="4" w:space="0"/>
            </w:tcBorders>
            <w:vAlign w:val="center"/>
          </w:tcPr>
          <w:p w14:paraId="72E96AB9">
            <w:pPr>
              <w:pStyle w:val="33"/>
              <w:rPr>
                <w:color w:val="auto"/>
              </w:rPr>
            </w:pPr>
            <w:r>
              <w:rPr>
                <w:color w:val="auto"/>
              </w:rPr>
              <w:t>CAS</w:t>
            </w:r>
            <w:r>
              <w:rPr>
                <w:rFonts w:hint="eastAsia"/>
                <w:color w:val="auto"/>
              </w:rPr>
              <w:t>号：</w:t>
            </w:r>
            <w:r>
              <w:rPr>
                <w:color w:val="auto"/>
              </w:rPr>
              <w:t>7783</w:t>
            </w:r>
            <w:r>
              <w:rPr>
                <w:rFonts w:hint="eastAsia"/>
                <w:color w:val="auto"/>
              </w:rPr>
              <w:t>－</w:t>
            </w:r>
            <w:r>
              <w:rPr>
                <w:color w:val="auto"/>
              </w:rPr>
              <w:t>06</w:t>
            </w:r>
            <w:r>
              <w:rPr>
                <w:rFonts w:hint="eastAsia"/>
                <w:color w:val="auto"/>
              </w:rPr>
              <w:t>－</w:t>
            </w:r>
            <w:r>
              <w:rPr>
                <w:color w:val="auto"/>
              </w:rPr>
              <w:t>4</w:t>
            </w:r>
          </w:p>
        </w:tc>
      </w:tr>
      <w:tr w14:paraId="67662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442" w:type="dxa"/>
            <w:vMerge w:val="continue"/>
            <w:tcBorders>
              <w:top w:val="single" w:color="auto" w:sz="4" w:space="0"/>
              <w:left w:val="single" w:color="auto" w:sz="4" w:space="0"/>
              <w:bottom w:val="single" w:color="auto" w:sz="4" w:space="0"/>
              <w:right w:val="single" w:color="auto" w:sz="4" w:space="0"/>
            </w:tcBorders>
            <w:vAlign w:val="center"/>
          </w:tcPr>
          <w:p w14:paraId="26150634">
            <w:pPr>
              <w:pStyle w:val="33"/>
              <w:rPr>
                <w:color w:val="auto"/>
              </w:rPr>
            </w:pPr>
          </w:p>
        </w:tc>
        <w:tc>
          <w:tcPr>
            <w:tcW w:w="8800" w:type="dxa"/>
            <w:gridSpan w:val="6"/>
            <w:tcBorders>
              <w:top w:val="single" w:color="auto" w:sz="4" w:space="0"/>
              <w:left w:val="nil"/>
              <w:bottom w:val="single" w:color="auto" w:sz="4" w:space="0"/>
              <w:right w:val="single" w:color="auto" w:sz="4" w:space="0"/>
            </w:tcBorders>
            <w:vAlign w:val="center"/>
          </w:tcPr>
          <w:p w14:paraId="0F9BCF23">
            <w:pPr>
              <w:pStyle w:val="33"/>
              <w:rPr>
                <w:color w:val="auto"/>
              </w:rPr>
            </w:pPr>
            <w:r>
              <w:rPr>
                <w:rFonts w:hint="eastAsia"/>
                <w:color w:val="auto"/>
              </w:rPr>
              <w:t>危规号：</w:t>
            </w:r>
            <w:r>
              <w:rPr>
                <w:color w:val="auto"/>
              </w:rPr>
              <w:t>21043</w:t>
            </w:r>
          </w:p>
        </w:tc>
      </w:tr>
      <w:tr w14:paraId="0F0C3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442" w:type="dxa"/>
            <w:vMerge w:val="restart"/>
            <w:tcBorders>
              <w:top w:val="nil"/>
              <w:left w:val="single" w:color="auto" w:sz="4" w:space="0"/>
              <w:bottom w:val="single" w:color="auto" w:sz="4" w:space="0"/>
              <w:right w:val="single" w:color="auto" w:sz="4" w:space="0"/>
            </w:tcBorders>
            <w:vAlign w:val="center"/>
          </w:tcPr>
          <w:p w14:paraId="551235F2">
            <w:pPr>
              <w:pStyle w:val="33"/>
              <w:rPr>
                <w:color w:val="auto"/>
              </w:rPr>
            </w:pPr>
            <w:r>
              <w:rPr>
                <w:rFonts w:hint="eastAsia"/>
                <w:color w:val="auto"/>
              </w:rPr>
              <w:t>理化性质</w:t>
            </w:r>
          </w:p>
        </w:tc>
        <w:tc>
          <w:tcPr>
            <w:tcW w:w="8800" w:type="dxa"/>
            <w:gridSpan w:val="6"/>
            <w:tcBorders>
              <w:top w:val="single" w:color="auto" w:sz="4" w:space="0"/>
              <w:left w:val="nil"/>
              <w:bottom w:val="single" w:color="auto" w:sz="4" w:space="0"/>
              <w:right w:val="single" w:color="auto" w:sz="4" w:space="0"/>
            </w:tcBorders>
            <w:vAlign w:val="center"/>
          </w:tcPr>
          <w:p w14:paraId="36AC6785">
            <w:pPr>
              <w:pStyle w:val="33"/>
              <w:rPr>
                <w:color w:val="auto"/>
              </w:rPr>
            </w:pPr>
            <w:r>
              <w:rPr>
                <w:rFonts w:hint="eastAsia"/>
                <w:color w:val="auto"/>
              </w:rPr>
              <w:t>性状：无色有恶臭气体。</w:t>
            </w:r>
          </w:p>
        </w:tc>
      </w:tr>
      <w:tr w14:paraId="754FB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442" w:type="dxa"/>
            <w:vMerge w:val="continue"/>
            <w:tcBorders>
              <w:top w:val="nil"/>
              <w:left w:val="single" w:color="auto" w:sz="4" w:space="0"/>
              <w:bottom w:val="single" w:color="auto" w:sz="4" w:space="0"/>
              <w:right w:val="single" w:color="auto" w:sz="4" w:space="0"/>
            </w:tcBorders>
            <w:vAlign w:val="center"/>
          </w:tcPr>
          <w:p w14:paraId="624CD49D">
            <w:pPr>
              <w:pStyle w:val="33"/>
              <w:rPr>
                <w:color w:val="auto"/>
              </w:rPr>
            </w:pPr>
          </w:p>
        </w:tc>
        <w:tc>
          <w:tcPr>
            <w:tcW w:w="8800" w:type="dxa"/>
            <w:gridSpan w:val="6"/>
            <w:tcBorders>
              <w:top w:val="single" w:color="auto" w:sz="4" w:space="0"/>
              <w:left w:val="nil"/>
              <w:bottom w:val="single" w:color="auto" w:sz="4" w:space="0"/>
              <w:right w:val="single" w:color="auto" w:sz="4" w:space="0"/>
            </w:tcBorders>
            <w:vAlign w:val="center"/>
          </w:tcPr>
          <w:p w14:paraId="38858518">
            <w:pPr>
              <w:pStyle w:val="33"/>
              <w:rPr>
                <w:color w:val="auto"/>
              </w:rPr>
            </w:pPr>
            <w:r>
              <w:rPr>
                <w:rFonts w:hint="eastAsia"/>
                <w:color w:val="auto"/>
              </w:rPr>
              <w:t>溶解性：溶于水、乙醇。</w:t>
            </w:r>
          </w:p>
        </w:tc>
      </w:tr>
      <w:tr w14:paraId="3B56F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442" w:type="dxa"/>
            <w:vMerge w:val="continue"/>
            <w:tcBorders>
              <w:top w:val="nil"/>
              <w:left w:val="single" w:color="auto" w:sz="4" w:space="0"/>
              <w:bottom w:val="single" w:color="auto" w:sz="4" w:space="0"/>
              <w:right w:val="single" w:color="auto" w:sz="4" w:space="0"/>
            </w:tcBorders>
            <w:vAlign w:val="center"/>
          </w:tcPr>
          <w:p w14:paraId="0F6FFDBD">
            <w:pPr>
              <w:pStyle w:val="33"/>
              <w:rPr>
                <w:color w:val="auto"/>
              </w:rPr>
            </w:pPr>
          </w:p>
        </w:tc>
        <w:tc>
          <w:tcPr>
            <w:tcW w:w="2579" w:type="dxa"/>
            <w:tcBorders>
              <w:top w:val="single" w:color="auto" w:sz="4" w:space="0"/>
              <w:left w:val="nil"/>
              <w:bottom w:val="single" w:color="auto" w:sz="4" w:space="0"/>
              <w:right w:val="single" w:color="auto" w:sz="4" w:space="0"/>
            </w:tcBorders>
            <w:vAlign w:val="center"/>
          </w:tcPr>
          <w:p w14:paraId="5665EB3D">
            <w:pPr>
              <w:pStyle w:val="33"/>
              <w:rPr>
                <w:color w:val="auto"/>
              </w:rPr>
            </w:pPr>
            <w:r>
              <w:rPr>
                <w:rFonts w:hint="eastAsia"/>
                <w:color w:val="auto"/>
              </w:rPr>
              <w:t>熔点（℃）：－</w:t>
            </w:r>
            <w:r>
              <w:rPr>
                <w:color w:val="auto"/>
              </w:rPr>
              <w:t>85.5</w:t>
            </w:r>
          </w:p>
        </w:tc>
        <w:tc>
          <w:tcPr>
            <w:tcW w:w="2421" w:type="dxa"/>
            <w:gridSpan w:val="3"/>
            <w:tcBorders>
              <w:top w:val="single" w:color="auto" w:sz="4" w:space="0"/>
              <w:left w:val="nil"/>
              <w:bottom w:val="single" w:color="auto" w:sz="4" w:space="0"/>
              <w:right w:val="single" w:color="auto" w:sz="4" w:space="0"/>
            </w:tcBorders>
            <w:vAlign w:val="center"/>
          </w:tcPr>
          <w:p w14:paraId="1EFE6A1D">
            <w:pPr>
              <w:pStyle w:val="33"/>
              <w:rPr>
                <w:color w:val="auto"/>
              </w:rPr>
            </w:pPr>
            <w:r>
              <w:rPr>
                <w:rFonts w:hint="eastAsia"/>
                <w:color w:val="auto"/>
              </w:rPr>
              <w:t>沸点（℃）：－</w:t>
            </w:r>
            <w:r>
              <w:rPr>
                <w:color w:val="auto"/>
              </w:rPr>
              <w:t>60.4</w:t>
            </w:r>
          </w:p>
        </w:tc>
        <w:tc>
          <w:tcPr>
            <w:tcW w:w="3800" w:type="dxa"/>
            <w:gridSpan w:val="2"/>
            <w:tcBorders>
              <w:top w:val="single" w:color="auto" w:sz="4" w:space="0"/>
              <w:left w:val="nil"/>
              <w:bottom w:val="single" w:color="auto" w:sz="4" w:space="0"/>
              <w:right w:val="single" w:color="auto" w:sz="4" w:space="0"/>
            </w:tcBorders>
            <w:vAlign w:val="center"/>
          </w:tcPr>
          <w:p w14:paraId="2139A40B">
            <w:pPr>
              <w:pStyle w:val="33"/>
              <w:rPr>
                <w:color w:val="auto"/>
              </w:rPr>
            </w:pPr>
            <w:r>
              <w:rPr>
                <w:rFonts w:hint="eastAsia"/>
                <w:color w:val="auto"/>
              </w:rPr>
              <w:t>相对密度（水＝</w:t>
            </w:r>
            <w:r>
              <w:rPr>
                <w:color w:val="auto"/>
              </w:rPr>
              <w:t>1</w:t>
            </w:r>
            <w:r>
              <w:rPr>
                <w:rFonts w:hint="eastAsia"/>
                <w:color w:val="auto"/>
              </w:rPr>
              <w:t>）：</w:t>
            </w:r>
          </w:p>
        </w:tc>
      </w:tr>
      <w:tr w14:paraId="333AE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42" w:type="dxa"/>
            <w:vMerge w:val="continue"/>
            <w:tcBorders>
              <w:top w:val="nil"/>
              <w:left w:val="single" w:color="auto" w:sz="4" w:space="0"/>
              <w:bottom w:val="single" w:color="auto" w:sz="4" w:space="0"/>
              <w:right w:val="single" w:color="auto" w:sz="4" w:space="0"/>
            </w:tcBorders>
            <w:vAlign w:val="center"/>
          </w:tcPr>
          <w:p w14:paraId="11F7E016">
            <w:pPr>
              <w:pStyle w:val="33"/>
              <w:rPr>
                <w:color w:val="auto"/>
              </w:rPr>
            </w:pPr>
          </w:p>
        </w:tc>
        <w:tc>
          <w:tcPr>
            <w:tcW w:w="2579" w:type="dxa"/>
            <w:tcBorders>
              <w:top w:val="single" w:color="auto" w:sz="4" w:space="0"/>
              <w:left w:val="nil"/>
              <w:bottom w:val="single" w:color="auto" w:sz="4" w:space="0"/>
              <w:right w:val="single" w:color="auto" w:sz="4" w:space="0"/>
            </w:tcBorders>
            <w:vAlign w:val="center"/>
          </w:tcPr>
          <w:p w14:paraId="6D5C7545">
            <w:pPr>
              <w:pStyle w:val="33"/>
              <w:rPr>
                <w:color w:val="auto"/>
              </w:rPr>
            </w:pPr>
            <w:r>
              <w:rPr>
                <w:rFonts w:hint="eastAsia"/>
                <w:color w:val="auto"/>
              </w:rPr>
              <w:t>临界温度（℃）：</w:t>
            </w:r>
            <w:r>
              <w:rPr>
                <w:color w:val="auto"/>
              </w:rPr>
              <w:t>100.4</w:t>
            </w:r>
          </w:p>
        </w:tc>
        <w:tc>
          <w:tcPr>
            <w:tcW w:w="2421" w:type="dxa"/>
            <w:gridSpan w:val="3"/>
            <w:tcBorders>
              <w:top w:val="single" w:color="auto" w:sz="4" w:space="0"/>
              <w:left w:val="nil"/>
              <w:bottom w:val="single" w:color="auto" w:sz="4" w:space="0"/>
              <w:right w:val="single" w:color="auto" w:sz="4" w:space="0"/>
            </w:tcBorders>
            <w:vAlign w:val="center"/>
          </w:tcPr>
          <w:p w14:paraId="0F0BCAA3">
            <w:pPr>
              <w:pStyle w:val="33"/>
              <w:rPr>
                <w:color w:val="auto"/>
              </w:rPr>
            </w:pPr>
            <w:r>
              <w:rPr>
                <w:rFonts w:hint="eastAsia"/>
                <w:color w:val="auto"/>
              </w:rPr>
              <w:t>临界压力（</w:t>
            </w:r>
            <w:r>
              <w:rPr>
                <w:color w:val="auto"/>
              </w:rPr>
              <w:t>MPa</w:t>
            </w:r>
            <w:r>
              <w:rPr>
                <w:rFonts w:hint="eastAsia"/>
                <w:color w:val="auto"/>
              </w:rPr>
              <w:t>）：</w:t>
            </w:r>
            <w:r>
              <w:rPr>
                <w:color w:val="auto"/>
              </w:rPr>
              <w:t>9.01</w:t>
            </w:r>
          </w:p>
        </w:tc>
        <w:tc>
          <w:tcPr>
            <w:tcW w:w="3800" w:type="dxa"/>
            <w:gridSpan w:val="2"/>
            <w:tcBorders>
              <w:top w:val="single" w:color="auto" w:sz="4" w:space="0"/>
              <w:left w:val="nil"/>
              <w:bottom w:val="single" w:color="auto" w:sz="4" w:space="0"/>
              <w:right w:val="single" w:color="auto" w:sz="4" w:space="0"/>
            </w:tcBorders>
            <w:vAlign w:val="center"/>
          </w:tcPr>
          <w:p w14:paraId="5269785A">
            <w:pPr>
              <w:pStyle w:val="33"/>
              <w:rPr>
                <w:color w:val="auto"/>
              </w:rPr>
            </w:pPr>
            <w:r>
              <w:rPr>
                <w:rFonts w:hint="eastAsia"/>
                <w:color w:val="auto"/>
              </w:rPr>
              <w:t>相对密度（空气＝</w:t>
            </w:r>
            <w:r>
              <w:rPr>
                <w:color w:val="auto"/>
              </w:rPr>
              <w:t>1</w:t>
            </w:r>
            <w:r>
              <w:rPr>
                <w:rFonts w:hint="eastAsia"/>
                <w:color w:val="auto"/>
              </w:rPr>
              <w:t>）：</w:t>
            </w:r>
            <w:r>
              <w:rPr>
                <w:color w:val="auto"/>
              </w:rPr>
              <w:t>1.19</w:t>
            </w:r>
          </w:p>
        </w:tc>
      </w:tr>
      <w:tr w14:paraId="67A2D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442" w:type="dxa"/>
            <w:vMerge w:val="continue"/>
            <w:tcBorders>
              <w:top w:val="nil"/>
              <w:left w:val="single" w:color="auto" w:sz="4" w:space="0"/>
              <w:bottom w:val="single" w:color="auto" w:sz="4" w:space="0"/>
              <w:right w:val="single" w:color="auto" w:sz="4" w:space="0"/>
            </w:tcBorders>
            <w:vAlign w:val="center"/>
          </w:tcPr>
          <w:p w14:paraId="7542C1EF">
            <w:pPr>
              <w:pStyle w:val="33"/>
              <w:rPr>
                <w:color w:val="auto"/>
              </w:rPr>
            </w:pPr>
          </w:p>
        </w:tc>
        <w:tc>
          <w:tcPr>
            <w:tcW w:w="2579" w:type="dxa"/>
            <w:tcBorders>
              <w:top w:val="single" w:color="auto" w:sz="4" w:space="0"/>
              <w:left w:val="nil"/>
              <w:bottom w:val="single" w:color="auto" w:sz="4" w:space="0"/>
              <w:right w:val="single" w:color="auto" w:sz="4" w:space="0"/>
            </w:tcBorders>
            <w:vAlign w:val="center"/>
          </w:tcPr>
          <w:p w14:paraId="1D16D514">
            <w:pPr>
              <w:pStyle w:val="33"/>
              <w:rPr>
                <w:color w:val="auto"/>
              </w:rPr>
            </w:pPr>
            <w:r>
              <w:rPr>
                <w:rFonts w:hint="eastAsia"/>
                <w:color w:val="auto"/>
              </w:rPr>
              <w:t>燃烧热（</w:t>
            </w:r>
            <w:r>
              <w:rPr>
                <w:color w:val="auto"/>
              </w:rPr>
              <w:t>KJ/mol</w:t>
            </w:r>
            <w:r>
              <w:rPr>
                <w:rFonts w:hint="eastAsia"/>
                <w:color w:val="auto"/>
              </w:rPr>
              <w:t>）：</w:t>
            </w:r>
          </w:p>
        </w:tc>
        <w:tc>
          <w:tcPr>
            <w:tcW w:w="2421" w:type="dxa"/>
            <w:gridSpan w:val="3"/>
            <w:tcBorders>
              <w:top w:val="single" w:color="auto" w:sz="4" w:space="0"/>
              <w:left w:val="nil"/>
              <w:bottom w:val="single" w:color="auto" w:sz="4" w:space="0"/>
              <w:right w:val="single" w:color="auto" w:sz="4" w:space="0"/>
            </w:tcBorders>
            <w:vAlign w:val="center"/>
          </w:tcPr>
          <w:p w14:paraId="0FF91F6F">
            <w:pPr>
              <w:pStyle w:val="33"/>
              <w:rPr>
                <w:color w:val="auto"/>
              </w:rPr>
            </w:pPr>
            <w:r>
              <w:rPr>
                <w:rFonts w:hint="eastAsia"/>
                <w:color w:val="auto"/>
              </w:rPr>
              <w:t>最小点火能（</w:t>
            </w:r>
            <w:r>
              <w:rPr>
                <w:color w:val="auto"/>
              </w:rPr>
              <w:t>mJ</w:t>
            </w:r>
            <w:r>
              <w:rPr>
                <w:rFonts w:hint="eastAsia"/>
                <w:color w:val="auto"/>
              </w:rPr>
              <w:t>）：</w:t>
            </w:r>
            <w:r>
              <w:rPr>
                <w:color w:val="auto"/>
              </w:rPr>
              <w:t>0.077</w:t>
            </w:r>
          </w:p>
        </w:tc>
        <w:tc>
          <w:tcPr>
            <w:tcW w:w="3800" w:type="dxa"/>
            <w:gridSpan w:val="2"/>
            <w:tcBorders>
              <w:top w:val="single" w:color="auto" w:sz="4" w:space="0"/>
              <w:left w:val="nil"/>
              <w:bottom w:val="single" w:color="auto" w:sz="4" w:space="0"/>
              <w:right w:val="single" w:color="auto" w:sz="4" w:space="0"/>
            </w:tcBorders>
            <w:vAlign w:val="center"/>
          </w:tcPr>
          <w:p w14:paraId="63379D85">
            <w:pPr>
              <w:pStyle w:val="33"/>
              <w:rPr>
                <w:color w:val="auto"/>
              </w:rPr>
            </w:pPr>
            <w:r>
              <w:rPr>
                <w:rFonts w:hint="eastAsia"/>
                <w:color w:val="auto"/>
              </w:rPr>
              <w:t>饱和蒸汽压（</w:t>
            </w:r>
            <w:r>
              <w:rPr>
                <w:color w:val="auto"/>
              </w:rPr>
              <w:t>KPa</w:t>
            </w:r>
            <w:r>
              <w:rPr>
                <w:rFonts w:hint="eastAsia"/>
                <w:color w:val="auto"/>
              </w:rPr>
              <w:t>）：</w:t>
            </w:r>
            <w:r>
              <w:rPr>
                <w:color w:val="auto"/>
              </w:rPr>
              <w:t>2026.5</w:t>
            </w:r>
            <w:r>
              <w:rPr>
                <w:rFonts w:hint="eastAsia"/>
                <w:color w:val="auto"/>
              </w:rPr>
              <w:t>（</w:t>
            </w:r>
            <w:r>
              <w:rPr>
                <w:color w:val="auto"/>
              </w:rPr>
              <w:t>25.5</w:t>
            </w:r>
            <w:r>
              <w:rPr>
                <w:rFonts w:hint="eastAsia"/>
                <w:color w:val="auto"/>
              </w:rPr>
              <w:t>℃）</w:t>
            </w:r>
          </w:p>
        </w:tc>
      </w:tr>
      <w:tr w14:paraId="458E4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442" w:type="dxa"/>
            <w:vMerge w:val="restart"/>
            <w:tcBorders>
              <w:top w:val="nil"/>
              <w:left w:val="single" w:color="auto" w:sz="4" w:space="0"/>
              <w:bottom w:val="single" w:color="auto" w:sz="4" w:space="0"/>
              <w:right w:val="single" w:color="auto" w:sz="4" w:space="0"/>
            </w:tcBorders>
            <w:vAlign w:val="center"/>
          </w:tcPr>
          <w:p w14:paraId="6D91EDF1">
            <w:pPr>
              <w:pStyle w:val="33"/>
              <w:rPr>
                <w:color w:val="auto"/>
              </w:rPr>
            </w:pPr>
            <w:r>
              <w:rPr>
                <w:rFonts w:hint="eastAsia"/>
                <w:color w:val="auto"/>
              </w:rPr>
              <w:t>燃烧爆炸危险性</w:t>
            </w:r>
          </w:p>
        </w:tc>
        <w:tc>
          <w:tcPr>
            <w:tcW w:w="3206" w:type="dxa"/>
            <w:gridSpan w:val="2"/>
            <w:tcBorders>
              <w:top w:val="single" w:color="auto" w:sz="4" w:space="0"/>
              <w:left w:val="nil"/>
              <w:bottom w:val="single" w:color="auto" w:sz="4" w:space="0"/>
              <w:right w:val="single" w:color="auto" w:sz="4" w:space="0"/>
            </w:tcBorders>
            <w:vAlign w:val="center"/>
          </w:tcPr>
          <w:p w14:paraId="12621C62">
            <w:pPr>
              <w:pStyle w:val="33"/>
              <w:rPr>
                <w:color w:val="auto"/>
              </w:rPr>
            </w:pPr>
            <w:r>
              <w:rPr>
                <w:rFonts w:hint="eastAsia"/>
                <w:color w:val="auto"/>
              </w:rPr>
              <w:t>燃烧性：易燃</w:t>
            </w:r>
          </w:p>
        </w:tc>
        <w:tc>
          <w:tcPr>
            <w:tcW w:w="5594" w:type="dxa"/>
            <w:gridSpan w:val="4"/>
            <w:tcBorders>
              <w:top w:val="single" w:color="auto" w:sz="4" w:space="0"/>
              <w:left w:val="nil"/>
              <w:bottom w:val="single" w:color="auto" w:sz="4" w:space="0"/>
              <w:right w:val="single" w:color="auto" w:sz="4" w:space="0"/>
            </w:tcBorders>
            <w:vAlign w:val="center"/>
          </w:tcPr>
          <w:p w14:paraId="58E78962">
            <w:pPr>
              <w:pStyle w:val="33"/>
              <w:rPr>
                <w:color w:val="auto"/>
              </w:rPr>
            </w:pPr>
            <w:r>
              <w:rPr>
                <w:rFonts w:hint="eastAsia"/>
                <w:color w:val="auto"/>
              </w:rPr>
              <w:t>燃烧分解产物：氧化硫。</w:t>
            </w:r>
          </w:p>
        </w:tc>
      </w:tr>
      <w:tr w14:paraId="0E0A3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442" w:type="dxa"/>
            <w:vMerge w:val="continue"/>
            <w:tcBorders>
              <w:top w:val="nil"/>
              <w:left w:val="single" w:color="auto" w:sz="4" w:space="0"/>
              <w:bottom w:val="single" w:color="auto" w:sz="4" w:space="0"/>
              <w:right w:val="single" w:color="auto" w:sz="4" w:space="0"/>
            </w:tcBorders>
            <w:vAlign w:val="center"/>
          </w:tcPr>
          <w:p w14:paraId="7F4A37E2">
            <w:pPr>
              <w:pStyle w:val="33"/>
              <w:rPr>
                <w:color w:val="auto"/>
              </w:rPr>
            </w:pPr>
          </w:p>
        </w:tc>
        <w:tc>
          <w:tcPr>
            <w:tcW w:w="3206" w:type="dxa"/>
            <w:gridSpan w:val="2"/>
            <w:tcBorders>
              <w:top w:val="single" w:color="auto" w:sz="4" w:space="0"/>
              <w:left w:val="nil"/>
              <w:bottom w:val="single" w:color="auto" w:sz="4" w:space="0"/>
              <w:right w:val="single" w:color="auto" w:sz="4" w:space="0"/>
            </w:tcBorders>
            <w:vAlign w:val="center"/>
          </w:tcPr>
          <w:p w14:paraId="5D4ED794">
            <w:pPr>
              <w:pStyle w:val="33"/>
              <w:rPr>
                <w:color w:val="auto"/>
              </w:rPr>
            </w:pPr>
            <w:r>
              <w:rPr>
                <w:rFonts w:hint="eastAsia"/>
                <w:color w:val="auto"/>
              </w:rPr>
              <w:t>闪点（℃）：</w:t>
            </w:r>
          </w:p>
        </w:tc>
        <w:tc>
          <w:tcPr>
            <w:tcW w:w="5594" w:type="dxa"/>
            <w:gridSpan w:val="4"/>
            <w:tcBorders>
              <w:top w:val="single" w:color="auto" w:sz="4" w:space="0"/>
              <w:left w:val="nil"/>
              <w:bottom w:val="single" w:color="auto" w:sz="4" w:space="0"/>
              <w:right w:val="single" w:color="auto" w:sz="4" w:space="0"/>
            </w:tcBorders>
            <w:vAlign w:val="center"/>
          </w:tcPr>
          <w:p w14:paraId="34B139FC">
            <w:pPr>
              <w:pStyle w:val="33"/>
              <w:rPr>
                <w:color w:val="auto"/>
              </w:rPr>
            </w:pPr>
            <w:r>
              <w:rPr>
                <w:rFonts w:hint="eastAsia"/>
                <w:color w:val="auto"/>
              </w:rPr>
              <w:t>聚合危害：不聚合</w:t>
            </w:r>
          </w:p>
        </w:tc>
      </w:tr>
      <w:tr w14:paraId="57BE5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442" w:type="dxa"/>
            <w:vMerge w:val="continue"/>
            <w:tcBorders>
              <w:top w:val="nil"/>
              <w:left w:val="single" w:color="auto" w:sz="4" w:space="0"/>
              <w:bottom w:val="single" w:color="auto" w:sz="4" w:space="0"/>
              <w:right w:val="single" w:color="auto" w:sz="4" w:space="0"/>
            </w:tcBorders>
            <w:vAlign w:val="center"/>
          </w:tcPr>
          <w:p w14:paraId="39EB3576">
            <w:pPr>
              <w:pStyle w:val="33"/>
              <w:rPr>
                <w:color w:val="auto"/>
              </w:rPr>
            </w:pPr>
          </w:p>
        </w:tc>
        <w:tc>
          <w:tcPr>
            <w:tcW w:w="3206" w:type="dxa"/>
            <w:gridSpan w:val="2"/>
            <w:tcBorders>
              <w:top w:val="single" w:color="auto" w:sz="4" w:space="0"/>
              <w:left w:val="nil"/>
              <w:bottom w:val="single" w:color="auto" w:sz="4" w:space="0"/>
              <w:right w:val="single" w:color="auto" w:sz="4" w:space="0"/>
            </w:tcBorders>
            <w:vAlign w:val="center"/>
          </w:tcPr>
          <w:p w14:paraId="0F6EBFE5">
            <w:pPr>
              <w:pStyle w:val="33"/>
              <w:rPr>
                <w:color w:val="auto"/>
              </w:rPr>
            </w:pPr>
            <w:r>
              <w:rPr>
                <w:rFonts w:hint="eastAsia"/>
                <w:color w:val="auto"/>
              </w:rPr>
              <w:t>爆炸下限（％）：</w:t>
            </w:r>
            <w:r>
              <w:rPr>
                <w:color w:val="auto"/>
              </w:rPr>
              <w:t>4.0</w:t>
            </w:r>
          </w:p>
        </w:tc>
        <w:tc>
          <w:tcPr>
            <w:tcW w:w="5594" w:type="dxa"/>
            <w:gridSpan w:val="4"/>
            <w:tcBorders>
              <w:top w:val="single" w:color="auto" w:sz="4" w:space="0"/>
              <w:left w:val="nil"/>
              <w:bottom w:val="single" w:color="auto" w:sz="4" w:space="0"/>
              <w:right w:val="single" w:color="auto" w:sz="4" w:space="0"/>
            </w:tcBorders>
            <w:vAlign w:val="center"/>
          </w:tcPr>
          <w:p w14:paraId="26C4675F">
            <w:pPr>
              <w:pStyle w:val="33"/>
              <w:rPr>
                <w:color w:val="auto"/>
              </w:rPr>
            </w:pPr>
            <w:r>
              <w:rPr>
                <w:rFonts w:hint="eastAsia"/>
                <w:color w:val="auto"/>
              </w:rPr>
              <w:t>稳定性：稳定</w:t>
            </w:r>
          </w:p>
        </w:tc>
      </w:tr>
      <w:tr w14:paraId="3CF27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5" w:hRule="atLeast"/>
        </w:trPr>
        <w:tc>
          <w:tcPr>
            <w:tcW w:w="442" w:type="dxa"/>
            <w:vMerge w:val="continue"/>
            <w:tcBorders>
              <w:top w:val="nil"/>
              <w:left w:val="single" w:color="auto" w:sz="4" w:space="0"/>
              <w:bottom w:val="single" w:color="auto" w:sz="4" w:space="0"/>
              <w:right w:val="single" w:color="auto" w:sz="4" w:space="0"/>
            </w:tcBorders>
            <w:vAlign w:val="center"/>
          </w:tcPr>
          <w:p w14:paraId="3D0E8993">
            <w:pPr>
              <w:pStyle w:val="33"/>
              <w:rPr>
                <w:color w:val="auto"/>
              </w:rPr>
            </w:pPr>
          </w:p>
        </w:tc>
        <w:tc>
          <w:tcPr>
            <w:tcW w:w="3206" w:type="dxa"/>
            <w:gridSpan w:val="2"/>
            <w:tcBorders>
              <w:top w:val="single" w:color="auto" w:sz="4" w:space="0"/>
              <w:left w:val="nil"/>
              <w:bottom w:val="single" w:color="auto" w:sz="4" w:space="0"/>
              <w:right w:val="single" w:color="auto" w:sz="4" w:space="0"/>
            </w:tcBorders>
            <w:vAlign w:val="center"/>
          </w:tcPr>
          <w:p w14:paraId="71C09920">
            <w:pPr>
              <w:pStyle w:val="33"/>
              <w:rPr>
                <w:color w:val="auto"/>
              </w:rPr>
            </w:pPr>
            <w:r>
              <w:rPr>
                <w:rFonts w:hint="eastAsia"/>
                <w:color w:val="auto"/>
              </w:rPr>
              <w:t>爆炸上限（％）：</w:t>
            </w:r>
            <w:r>
              <w:rPr>
                <w:color w:val="auto"/>
              </w:rPr>
              <w:t>46.0</w:t>
            </w:r>
          </w:p>
        </w:tc>
        <w:tc>
          <w:tcPr>
            <w:tcW w:w="5594" w:type="dxa"/>
            <w:gridSpan w:val="4"/>
            <w:tcBorders>
              <w:top w:val="single" w:color="auto" w:sz="4" w:space="0"/>
              <w:left w:val="nil"/>
              <w:bottom w:val="single" w:color="auto" w:sz="4" w:space="0"/>
              <w:right w:val="single" w:color="auto" w:sz="4" w:space="0"/>
            </w:tcBorders>
            <w:vAlign w:val="center"/>
          </w:tcPr>
          <w:p w14:paraId="04BF60D5">
            <w:pPr>
              <w:pStyle w:val="33"/>
              <w:rPr>
                <w:color w:val="auto"/>
              </w:rPr>
            </w:pPr>
            <w:r>
              <w:rPr>
                <w:rFonts w:hint="eastAsia"/>
                <w:color w:val="auto"/>
              </w:rPr>
              <w:t>最大爆炸压力（</w:t>
            </w:r>
            <w:r>
              <w:rPr>
                <w:color w:val="auto"/>
              </w:rPr>
              <w:t>MPa</w:t>
            </w:r>
            <w:r>
              <w:rPr>
                <w:rFonts w:hint="eastAsia"/>
                <w:color w:val="auto"/>
              </w:rPr>
              <w:t>）：</w:t>
            </w:r>
          </w:p>
        </w:tc>
      </w:tr>
      <w:tr w14:paraId="785D2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442" w:type="dxa"/>
            <w:vMerge w:val="continue"/>
            <w:tcBorders>
              <w:top w:val="nil"/>
              <w:left w:val="single" w:color="auto" w:sz="4" w:space="0"/>
              <w:bottom w:val="single" w:color="auto" w:sz="4" w:space="0"/>
              <w:right w:val="single" w:color="auto" w:sz="4" w:space="0"/>
            </w:tcBorders>
            <w:vAlign w:val="center"/>
          </w:tcPr>
          <w:p w14:paraId="3CC2F733">
            <w:pPr>
              <w:pStyle w:val="33"/>
              <w:rPr>
                <w:color w:val="auto"/>
              </w:rPr>
            </w:pPr>
          </w:p>
        </w:tc>
        <w:tc>
          <w:tcPr>
            <w:tcW w:w="3206" w:type="dxa"/>
            <w:gridSpan w:val="2"/>
            <w:tcBorders>
              <w:top w:val="single" w:color="auto" w:sz="4" w:space="0"/>
              <w:left w:val="nil"/>
              <w:bottom w:val="single" w:color="auto" w:sz="4" w:space="0"/>
              <w:right w:val="single" w:color="auto" w:sz="4" w:space="0"/>
            </w:tcBorders>
            <w:vAlign w:val="center"/>
          </w:tcPr>
          <w:p w14:paraId="1E9229A2">
            <w:pPr>
              <w:pStyle w:val="33"/>
              <w:rPr>
                <w:color w:val="auto"/>
              </w:rPr>
            </w:pPr>
            <w:r>
              <w:rPr>
                <w:rFonts w:hint="eastAsia"/>
                <w:color w:val="auto"/>
              </w:rPr>
              <w:t>引燃温度（℃）：</w:t>
            </w:r>
            <w:r>
              <w:rPr>
                <w:color w:val="auto"/>
              </w:rPr>
              <w:t>260</w:t>
            </w:r>
          </w:p>
        </w:tc>
        <w:tc>
          <w:tcPr>
            <w:tcW w:w="5594" w:type="dxa"/>
            <w:gridSpan w:val="4"/>
            <w:tcBorders>
              <w:top w:val="single" w:color="auto" w:sz="4" w:space="0"/>
              <w:left w:val="nil"/>
              <w:bottom w:val="single" w:color="auto" w:sz="4" w:space="0"/>
              <w:right w:val="single" w:color="auto" w:sz="4" w:space="0"/>
            </w:tcBorders>
            <w:vAlign w:val="center"/>
          </w:tcPr>
          <w:p w14:paraId="6853F7FA">
            <w:pPr>
              <w:pStyle w:val="33"/>
              <w:rPr>
                <w:color w:val="auto"/>
              </w:rPr>
            </w:pPr>
            <w:r>
              <w:rPr>
                <w:rFonts w:hint="eastAsia"/>
                <w:color w:val="auto"/>
              </w:rPr>
              <w:t>禁忌物：强氧化剂、碱类。</w:t>
            </w:r>
          </w:p>
        </w:tc>
      </w:tr>
      <w:tr w14:paraId="04E2F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442" w:type="dxa"/>
            <w:vMerge w:val="continue"/>
            <w:tcBorders>
              <w:top w:val="nil"/>
              <w:left w:val="single" w:color="auto" w:sz="4" w:space="0"/>
              <w:bottom w:val="single" w:color="auto" w:sz="4" w:space="0"/>
              <w:right w:val="single" w:color="auto" w:sz="4" w:space="0"/>
            </w:tcBorders>
            <w:vAlign w:val="center"/>
          </w:tcPr>
          <w:p w14:paraId="27B9FFDB">
            <w:pPr>
              <w:pStyle w:val="33"/>
              <w:rPr>
                <w:color w:val="auto"/>
              </w:rPr>
            </w:pPr>
          </w:p>
        </w:tc>
        <w:tc>
          <w:tcPr>
            <w:tcW w:w="8800" w:type="dxa"/>
            <w:gridSpan w:val="6"/>
            <w:tcBorders>
              <w:top w:val="single" w:color="auto" w:sz="4" w:space="0"/>
              <w:left w:val="nil"/>
              <w:bottom w:val="single" w:color="auto" w:sz="4" w:space="0"/>
              <w:right w:val="single" w:color="auto" w:sz="4" w:space="0"/>
            </w:tcBorders>
            <w:vAlign w:val="center"/>
          </w:tcPr>
          <w:p w14:paraId="25994B1A">
            <w:pPr>
              <w:pStyle w:val="33"/>
              <w:rPr>
                <w:color w:val="auto"/>
              </w:rPr>
            </w:pPr>
            <w:r>
              <w:rPr>
                <w:rFonts w:hint="eastAsia"/>
                <w:color w:val="auto"/>
              </w:rPr>
              <w:t>危险特性：易燃，与空气混合能形成爆炸性混合物，遇明火、高热能引起燃烧爆炸。与浓硝酸、发烟硝酸或其它强氧化剂剧烈反应，发生爆炸。气体比空气重，能在较低处扩散到相当远的地方，遇明火会引起回燃。</w:t>
            </w:r>
          </w:p>
        </w:tc>
      </w:tr>
      <w:tr w14:paraId="6D2355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442" w:type="dxa"/>
            <w:vMerge w:val="continue"/>
            <w:tcBorders>
              <w:top w:val="nil"/>
              <w:left w:val="single" w:color="auto" w:sz="4" w:space="0"/>
              <w:bottom w:val="single" w:color="auto" w:sz="4" w:space="0"/>
              <w:right w:val="single" w:color="auto" w:sz="4" w:space="0"/>
            </w:tcBorders>
            <w:vAlign w:val="center"/>
          </w:tcPr>
          <w:p w14:paraId="121435C6">
            <w:pPr>
              <w:pStyle w:val="33"/>
              <w:rPr>
                <w:color w:val="auto"/>
              </w:rPr>
            </w:pPr>
          </w:p>
        </w:tc>
        <w:tc>
          <w:tcPr>
            <w:tcW w:w="8800" w:type="dxa"/>
            <w:gridSpan w:val="6"/>
            <w:tcBorders>
              <w:top w:val="single" w:color="auto" w:sz="4" w:space="0"/>
              <w:left w:val="nil"/>
              <w:bottom w:val="single" w:color="auto" w:sz="4" w:space="0"/>
              <w:right w:val="single" w:color="auto" w:sz="4" w:space="0"/>
            </w:tcBorders>
            <w:vAlign w:val="center"/>
          </w:tcPr>
          <w:p w14:paraId="2C5FAAAC">
            <w:pPr>
              <w:pStyle w:val="33"/>
              <w:rPr>
                <w:color w:val="auto"/>
              </w:rPr>
            </w:pPr>
            <w:r>
              <w:rPr>
                <w:rFonts w:hint="eastAsia"/>
                <w:color w:val="auto"/>
              </w:rPr>
              <w:t>灭火方法：消防人员须穿戴全身防火防毒服。切断气源。若不能立即切断气源，则不允许熄灭正在燃烧的气体。喷水冷却容器，可能的话将容器从火场移至空旷处。灭火剂：雾状水、抗溶性泡沫、干粉。</w:t>
            </w:r>
          </w:p>
        </w:tc>
      </w:tr>
      <w:tr w14:paraId="61091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dxa"/>
            <w:tcBorders>
              <w:top w:val="single" w:color="auto" w:sz="4" w:space="0"/>
              <w:left w:val="single" w:color="auto" w:sz="4" w:space="0"/>
              <w:bottom w:val="single" w:color="auto" w:sz="4" w:space="0"/>
              <w:right w:val="single" w:color="auto" w:sz="4" w:space="0"/>
            </w:tcBorders>
            <w:vAlign w:val="center"/>
          </w:tcPr>
          <w:p w14:paraId="7F9CF18C">
            <w:pPr>
              <w:pStyle w:val="33"/>
              <w:rPr>
                <w:color w:val="auto"/>
              </w:rPr>
            </w:pPr>
            <w:r>
              <w:rPr>
                <w:rFonts w:hint="eastAsia"/>
                <w:color w:val="auto"/>
              </w:rPr>
              <w:t>毒性</w:t>
            </w:r>
          </w:p>
        </w:tc>
        <w:tc>
          <w:tcPr>
            <w:tcW w:w="8800" w:type="dxa"/>
            <w:gridSpan w:val="6"/>
            <w:tcBorders>
              <w:top w:val="single" w:color="auto" w:sz="4" w:space="0"/>
              <w:left w:val="nil"/>
              <w:bottom w:val="single" w:color="auto" w:sz="4" w:space="0"/>
              <w:right w:val="single" w:color="auto" w:sz="4" w:space="0"/>
            </w:tcBorders>
            <w:vAlign w:val="center"/>
          </w:tcPr>
          <w:p w14:paraId="42EB898F">
            <w:pPr>
              <w:pStyle w:val="33"/>
              <w:rPr>
                <w:color w:val="auto"/>
              </w:rPr>
            </w:pPr>
            <w:r>
              <w:rPr>
                <w:color w:val="auto"/>
              </w:rPr>
              <w:t>LC50</w:t>
            </w:r>
            <w:r>
              <w:rPr>
                <w:rFonts w:hint="eastAsia"/>
                <w:color w:val="auto"/>
              </w:rPr>
              <w:t>：</w:t>
            </w:r>
            <w:r>
              <w:rPr>
                <w:color w:val="auto"/>
              </w:rPr>
              <w:t>618mg/m3</w:t>
            </w:r>
            <w:r>
              <w:rPr>
                <w:rFonts w:hint="eastAsia"/>
                <w:color w:val="auto"/>
              </w:rPr>
              <w:t>（大鼠吸入）</w:t>
            </w:r>
          </w:p>
        </w:tc>
      </w:tr>
      <w:tr w14:paraId="02D2B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dxa"/>
            <w:tcBorders>
              <w:top w:val="single" w:color="auto" w:sz="4" w:space="0"/>
              <w:left w:val="single" w:color="auto" w:sz="4" w:space="0"/>
              <w:bottom w:val="single" w:color="auto" w:sz="4" w:space="0"/>
              <w:right w:val="single" w:color="auto" w:sz="4" w:space="0"/>
            </w:tcBorders>
            <w:vAlign w:val="center"/>
          </w:tcPr>
          <w:p w14:paraId="35A9571F">
            <w:pPr>
              <w:pStyle w:val="33"/>
              <w:rPr>
                <w:color w:val="auto"/>
              </w:rPr>
            </w:pPr>
            <w:r>
              <w:rPr>
                <w:rFonts w:hint="eastAsia"/>
                <w:color w:val="auto"/>
              </w:rPr>
              <w:t>对人体危害</w:t>
            </w:r>
          </w:p>
        </w:tc>
        <w:tc>
          <w:tcPr>
            <w:tcW w:w="8800" w:type="dxa"/>
            <w:gridSpan w:val="6"/>
            <w:tcBorders>
              <w:top w:val="single" w:color="auto" w:sz="4" w:space="0"/>
              <w:left w:val="nil"/>
              <w:bottom w:val="single" w:color="auto" w:sz="4" w:space="0"/>
              <w:right w:val="single" w:color="auto" w:sz="4" w:space="0"/>
            </w:tcBorders>
            <w:vAlign w:val="center"/>
          </w:tcPr>
          <w:p w14:paraId="3C8011DC">
            <w:pPr>
              <w:pStyle w:val="33"/>
              <w:rPr>
                <w:color w:val="auto"/>
              </w:rPr>
            </w:pPr>
            <w:r>
              <w:rPr>
                <w:rFonts w:hint="eastAsia"/>
                <w:color w:val="auto"/>
              </w:rPr>
              <w:t>侵入途径：</w:t>
            </w:r>
            <w:r>
              <w:rPr>
                <w:color w:val="auto"/>
              </w:rPr>
              <w:t xml:space="preserve"> </w:t>
            </w:r>
            <w:r>
              <w:rPr>
                <w:rFonts w:hint="eastAsia"/>
                <w:color w:val="auto"/>
              </w:rPr>
              <w:t>吸入。</w:t>
            </w:r>
          </w:p>
          <w:p w14:paraId="1839F759">
            <w:pPr>
              <w:pStyle w:val="33"/>
              <w:rPr>
                <w:color w:val="auto"/>
              </w:rPr>
            </w:pPr>
            <w:r>
              <w:rPr>
                <w:rFonts w:hint="eastAsia"/>
                <w:color w:val="auto"/>
              </w:rPr>
              <w:t>健康危害：本品是强烈的神经毒物，对粘膜有强烈刺激作用。急性中毒：短期内吸入高浓度硫化氢后出现流泪、眼痛、眼内异物感、畏光、视物模糊、流涕、咽喉部灼热感、咳嗽、胸闷、头痛、头晕、乏力、意识模糊等。部分患者可有心肌损害。重者可出现老水肿、肺水肿。极高浓度（</w:t>
            </w:r>
            <w:r>
              <w:rPr>
                <w:color w:val="auto"/>
              </w:rPr>
              <w:t>1000mg/m3</w:t>
            </w:r>
            <w:r>
              <w:rPr>
                <w:rFonts w:hint="eastAsia"/>
                <w:color w:val="auto"/>
              </w:rPr>
              <w:t>以上）时可在数秒钟内突然昏迷，呼吸和心跳骤停，发生闪电型死亡。高浓度接触眼结膜发生水肿和结膜溃疡。</w:t>
            </w:r>
          </w:p>
        </w:tc>
      </w:tr>
      <w:tr w14:paraId="11949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dxa"/>
            <w:tcBorders>
              <w:top w:val="single" w:color="auto" w:sz="4" w:space="0"/>
              <w:left w:val="single" w:color="auto" w:sz="4" w:space="0"/>
              <w:bottom w:val="single" w:color="auto" w:sz="4" w:space="0"/>
              <w:right w:val="single" w:color="auto" w:sz="4" w:space="0"/>
            </w:tcBorders>
            <w:vAlign w:val="center"/>
          </w:tcPr>
          <w:p w14:paraId="69B597CD">
            <w:pPr>
              <w:pStyle w:val="33"/>
              <w:rPr>
                <w:color w:val="auto"/>
              </w:rPr>
            </w:pPr>
            <w:r>
              <w:rPr>
                <w:rFonts w:hint="eastAsia"/>
                <w:color w:val="auto"/>
              </w:rPr>
              <w:t>急救</w:t>
            </w:r>
          </w:p>
        </w:tc>
        <w:tc>
          <w:tcPr>
            <w:tcW w:w="8800" w:type="dxa"/>
            <w:gridSpan w:val="6"/>
            <w:tcBorders>
              <w:top w:val="single" w:color="auto" w:sz="4" w:space="0"/>
              <w:left w:val="nil"/>
              <w:bottom w:val="single" w:color="auto" w:sz="4" w:space="0"/>
              <w:right w:val="single" w:color="auto" w:sz="4" w:space="0"/>
            </w:tcBorders>
            <w:vAlign w:val="center"/>
          </w:tcPr>
          <w:p w14:paraId="768D8956">
            <w:pPr>
              <w:pStyle w:val="33"/>
              <w:rPr>
                <w:color w:val="auto"/>
              </w:rPr>
            </w:pPr>
            <w:r>
              <w:rPr>
                <w:rFonts w:hint="eastAsia"/>
                <w:color w:val="auto"/>
              </w:rPr>
              <w:t>眼睛接触：立即提起眼睑，用大量流动清水或生理盐水彻底冲洗至少</w:t>
            </w:r>
            <w:r>
              <w:rPr>
                <w:color w:val="auto"/>
              </w:rPr>
              <w:t>15</w:t>
            </w:r>
            <w:r>
              <w:rPr>
                <w:rFonts w:hint="eastAsia"/>
                <w:color w:val="auto"/>
              </w:rPr>
              <w:t>分钟。就医。</w:t>
            </w:r>
          </w:p>
          <w:p w14:paraId="2EDA8E5F">
            <w:pPr>
              <w:pStyle w:val="33"/>
              <w:rPr>
                <w:color w:val="auto"/>
              </w:rPr>
            </w:pPr>
            <w:r>
              <w:rPr>
                <w:rFonts w:hint="eastAsia"/>
                <w:color w:val="auto"/>
              </w:rPr>
              <w:t>吸入：迅速脱离现场至空气新鲜处，保持呼吸道通畅。如呼吸困难，给输氧。如呼吸停止，立即进行人工呼吸。就医。</w:t>
            </w:r>
          </w:p>
        </w:tc>
      </w:tr>
      <w:tr w14:paraId="6E182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dxa"/>
            <w:tcBorders>
              <w:top w:val="single" w:color="auto" w:sz="4" w:space="0"/>
              <w:left w:val="single" w:color="auto" w:sz="4" w:space="0"/>
              <w:bottom w:val="single" w:color="auto" w:sz="4" w:space="0"/>
              <w:right w:val="single" w:color="auto" w:sz="4" w:space="0"/>
            </w:tcBorders>
            <w:vAlign w:val="center"/>
          </w:tcPr>
          <w:p w14:paraId="0D37E64E">
            <w:pPr>
              <w:pStyle w:val="33"/>
              <w:rPr>
                <w:color w:val="auto"/>
              </w:rPr>
            </w:pPr>
            <w:r>
              <w:rPr>
                <w:rFonts w:hint="eastAsia"/>
                <w:color w:val="auto"/>
              </w:rPr>
              <w:t>防护</w:t>
            </w:r>
          </w:p>
        </w:tc>
        <w:tc>
          <w:tcPr>
            <w:tcW w:w="8800" w:type="dxa"/>
            <w:gridSpan w:val="6"/>
            <w:tcBorders>
              <w:top w:val="single" w:color="auto" w:sz="4" w:space="0"/>
              <w:left w:val="nil"/>
              <w:bottom w:val="single" w:color="auto" w:sz="4" w:space="0"/>
              <w:right w:val="single" w:color="auto" w:sz="4" w:space="0"/>
            </w:tcBorders>
            <w:vAlign w:val="center"/>
          </w:tcPr>
          <w:p w14:paraId="348AF928">
            <w:pPr>
              <w:pStyle w:val="33"/>
              <w:rPr>
                <w:color w:val="auto"/>
              </w:rPr>
            </w:pPr>
            <w:r>
              <w:rPr>
                <w:rFonts w:hint="eastAsia"/>
                <w:color w:val="auto"/>
              </w:rPr>
              <w:t>工程防护：严加密闭，提供充分的局部排风和全面通风。提供安全淋浴和洗眼设备。</w:t>
            </w:r>
          </w:p>
          <w:p w14:paraId="52853D8F">
            <w:pPr>
              <w:pStyle w:val="33"/>
              <w:rPr>
                <w:color w:val="auto"/>
              </w:rPr>
            </w:pPr>
            <w:r>
              <w:rPr>
                <w:rFonts w:hint="eastAsia"/>
                <w:color w:val="auto"/>
              </w:rPr>
              <w:t>呼吸系统防护：空气中浓度超标时，佩戴过滤式防毒面具（全面罩）。紧急事态抢救或撤离时，建议佩戴氧气呼吸器或空气呼吸器。</w:t>
            </w:r>
          </w:p>
          <w:p w14:paraId="5C978278">
            <w:pPr>
              <w:pStyle w:val="33"/>
              <w:rPr>
                <w:color w:val="auto"/>
              </w:rPr>
            </w:pPr>
            <w:r>
              <w:rPr>
                <w:rFonts w:hint="eastAsia"/>
                <w:color w:val="auto"/>
              </w:rPr>
              <w:t>眼睛防护：戴化学安全防护眼镜。</w:t>
            </w:r>
          </w:p>
          <w:p w14:paraId="3B752889">
            <w:pPr>
              <w:pStyle w:val="33"/>
              <w:rPr>
                <w:color w:val="auto"/>
              </w:rPr>
            </w:pPr>
            <w:r>
              <w:rPr>
                <w:rFonts w:hint="eastAsia"/>
                <w:color w:val="auto"/>
              </w:rPr>
              <w:t>身体防护：穿防静电工作服。手防护：戴化学品手套。</w:t>
            </w:r>
          </w:p>
          <w:p w14:paraId="18A0DBAD">
            <w:pPr>
              <w:pStyle w:val="33"/>
              <w:rPr>
                <w:color w:val="auto"/>
              </w:rPr>
            </w:pPr>
            <w:r>
              <w:rPr>
                <w:rFonts w:hint="eastAsia"/>
                <w:color w:val="auto"/>
              </w:rPr>
              <w:t>其它：工作现场严禁吸烟、进食和饮水。工作毕，淋浴更衣。及时换洗工作服。作业人员应学会自救互救。进入罐、限制性空间或其它高浓度区作业，须有人监护。</w:t>
            </w:r>
          </w:p>
        </w:tc>
      </w:tr>
      <w:tr w14:paraId="4A573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dxa"/>
            <w:tcBorders>
              <w:top w:val="single" w:color="auto" w:sz="4" w:space="0"/>
              <w:left w:val="single" w:color="auto" w:sz="4" w:space="0"/>
              <w:bottom w:val="single" w:color="auto" w:sz="4" w:space="0"/>
              <w:right w:val="single" w:color="auto" w:sz="4" w:space="0"/>
            </w:tcBorders>
            <w:vAlign w:val="center"/>
          </w:tcPr>
          <w:p w14:paraId="30DF34B2">
            <w:pPr>
              <w:pStyle w:val="33"/>
              <w:rPr>
                <w:color w:val="auto"/>
              </w:rPr>
            </w:pPr>
            <w:r>
              <w:rPr>
                <w:rFonts w:hint="eastAsia"/>
                <w:color w:val="auto"/>
              </w:rPr>
              <w:t>泄漏处理</w:t>
            </w:r>
          </w:p>
        </w:tc>
        <w:tc>
          <w:tcPr>
            <w:tcW w:w="8800" w:type="dxa"/>
            <w:gridSpan w:val="6"/>
            <w:tcBorders>
              <w:top w:val="single" w:color="auto" w:sz="4" w:space="0"/>
              <w:left w:val="nil"/>
              <w:bottom w:val="single" w:color="auto" w:sz="4" w:space="0"/>
              <w:right w:val="single" w:color="auto" w:sz="4" w:space="0"/>
            </w:tcBorders>
            <w:vAlign w:val="center"/>
          </w:tcPr>
          <w:p w14:paraId="7DF56601">
            <w:pPr>
              <w:pStyle w:val="33"/>
              <w:rPr>
                <w:color w:val="auto"/>
              </w:rPr>
            </w:pPr>
            <w:r>
              <w:rPr>
                <w:rFonts w:hint="eastAsia"/>
                <w:color w:val="auto"/>
              </w:rPr>
              <w:t>迅速撤离泄漏污染区人员至上风处，并进行隔离，小泄漏时隔离</w:t>
            </w:r>
            <w:r>
              <w:rPr>
                <w:color w:val="auto"/>
              </w:rPr>
              <w:t>150m</w:t>
            </w:r>
            <w:r>
              <w:rPr>
                <w:rFonts w:hint="eastAsia"/>
                <w:color w:val="auto"/>
              </w:rPr>
              <w:t>，大泄漏时隔离</w:t>
            </w:r>
            <w:r>
              <w:rPr>
                <w:color w:val="auto"/>
              </w:rPr>
              <w:t>300m</w:t>
            </w:r>
            <w:r>
              <w:rPr>
                <w:rFonts w:hint="eastAsia"/>
                <w:color w:val="auto"/>
              </w:rPr>
              <w:t>，严格限制出入。切断火源。建议应急处理人员戴自给正压式呼吸器，穿防毒服。从上风处进入现场。尽可能切断泄漏源。合理通风，加速扩散。喷雾状水稀释、溶解。构筑围堤或挖坑收容产生的大量废水。如有可能，将残余气或漏出气用排风机送至水洗塔或与塔相连的通风橱内。或使其通过三氯化铁水溶液，管路装止回装置以防溶液吸回。漏气容器要妥善处理，修复、检验后再用。</w:t>
            </w:r>
          </w:p>
        </w:tc>
      </w:tr>
      <w:tr w14:paraId="34BCE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442" w:type="dxa"/>
            <w:tcBorders>
              <w:top w:val="single" w:color="auto" w:sz="4" w:space="0"/>
              <w:left w:val="single" w:color="auto" w:sz="4" w:space="0"/>
              <w:bottom w:val="single" w:color="auto" w:sz="4" w:space="0"/>
              <w:right w:val="single" w:color="auto" w:sz="4" w:space="0"/>
            </w:tcBorders>
            <w:vAlign w:val="center"/>
          </w:tcPr>
          <w:p w14:paraId="0DE497DF">
            <w:pPr>
              <w:pStyle w:val="33"/>
              <w:rPr>
                <w:color w:val="auto"/>
              </w:rPr>
            </w:pPr>
            <w:r>
              <w:rPr>
                <w:rFonts w:hint="eastAsia"/>
                <w:color w:val="auto"/>
              </w:rPr>
              <w:t>贮运</w:t>
            </w:r>
          </w:p>
        </w:tc>
        <w:tc>
          <w:tcPr>
            <w:tcW w:w="8800" w:type="dxa"/>
            <w:gridSpan w:val="6"/>
            <w:tcBorders>
              <w:top w:val="single" w:color="auto" w:sz="4" w:space="0"/>
              <w:left w:val="nil"/>
              <w:bottom w:val="single" w:color="auto" w:sz="4" w:space="0"/>
              <w:right w:val="single" w:color="auto" w:sz="4" w:space="0"/>
            </w:tcBorders>
            <w:vAlign w:val="center"/>
          </w:tcPr>
          <w:p w14:paraId="15A30BB3">
            <w:pPr>
              <w:pStyle w:val="33"/>
              <w:rPr>
                <w:color w:val="auto"/>
              </w:rPr>
            </w:pPr>
            <w:r>
              <w:rPr>
                <w:rFonts w:hint="eastAsia"/>
                <w:color w:val="auto"/>
              </w:rPr>
              <w:t>包装标志：</w:t>
            </w:r>
            <w:r>
              <w:rPr>
                <w:color w:val="auto"/>
              </w:rPr>
              <w:t>4       UN</w:t>
            </w:r>
            <w:r>
              <w:rPr>
                <w:rFonts w:hint="eastAsia"/>
                <w:color w:val="auto"/>
              </w:rPr>
              <w:t>编号：</w:t>
            </w:r>
            <w:r>
              <w:rPr>
                <w:color w:val="auto"/>
              </w:rPr>
              <w:t xml:space="preserve"> 1053    </w:t>
            </w:r>
            <w:r>
              <w:rPr>
                <w:rFonts w:hint="eastAsia"/>
                <w:color w:val="auto"/>
              </w:rPr>
              <w:t>包装分类：Ⅱ</w:t>
            </w:r>
            <w:r>
              <w:rPr>
                <w:color w:val="auto"/>
              </w:rPr>
              <w:t xml:space="preserve">       </w:t>
            </w:r>
          </w:p>
          <w:p w14:paraId="2B0482A8">
            <w:pPr>
              <w:pStyle w:val="33"/>
              <w:rPr>
                <w:color w:val="auto"/>
              </w:rPr>
            </w:pPr>
            <w:r>
              <w:rPr>
                <w:rFonts w:hint="eastAsia"/>
                <w:color w:val="auto"/>
              </w:rPr>
              <w:t>包装方法：钢制气瓶。</w:t>
            </w:r>
          </w:p>
          <w:p w14:paraId="67153C73">
            <w:pPr>
              <w:pStyle w:val="33"/>
              <w:rPr>
                <w:color w:val="auto"/>
              </w:rPr>
            </w:pPr>
            <w:r>
              <w:rPr>
                <w:rFonts w:hint="eastAsia"/>
                <w:color w:val="auto"/>
              </w:rPr>
              <w:t>储运条件：易燃有毒的压缩气体。储存于阴凉、通风仓间内。仓内温度不宜超过</w:t>
            </w:r>
            <w:r>
              <w:rPr>
                <w:color w:val="auto"/>
              </w:rPr>
              <w:t>30</w:t>
            </w:r>
            <w:r>
              <w:rPr>
                <w:rFonts w:hint="eastAsia"/>
                <w:color w:val="auto"/>
              </w:rPr>
              <w:t>℃。远离火种、热源。防止阳光直射。保持容器密封。配备相应品种和数量的消防器材。禁止使用易产生火花的机械设备和工具。验收时要注意品名，注意验瓶日期，先进仓的先发用。平时要注意检查容器是否有泄漏现象。搬运时轻装轻卸，防止钢瓶及附件破损。运输按规定路线行驶，勿在居民区和人口稠密区停留。</w:t>
            </w:r>
          </w:p>
        </w:tc>
      </w:tr>
    </w:tbl>
    <w:p w14:paraId="4D8FB76A">
      <w:pPr>
        <w:pStyle w:val="7"/>
        <w:rPr>
          <w:color w:val="auto"/>
          <w:szCs w:val="21"/>
        </w:rPr>
      </w:pPr>
      <w:r>
        <w:rPr>
          <w:rFonts w:hint="eastAsia"/>
          <w:color w:val="auto"/>
        </w:rPr>
        <w:t>矿物油</w:t>
      </w:r>
      <w:r>
        <w:rPr>
          <w:color w:val="auto"/>
        </w:rPr>
        <w:t>理化性质及危险特性</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30"/>
        <w:gridCol w:w="8041"/>
      </w:tblGrid>
      <w:tr w14:paraId="0BAE4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30" w:type="dxa"/>
            <w:tcBorders>
              <w:top w:val="single" w:color="auto" w:sz="4" w:space="0"/>
              <w:left w:val="single" w:color="auto" w:sz="4" w:space="0"/>
              <w:bottom w:val="single" w:color="auto" w:sz="4" w:space="0"/>
              <w:right w:val="single" w:color="auto" w:sz="4" w:space="0"/>
            </w:tcBorders>
            <w:vAlign w:val="center"/>
          </w:tcPr>
          <w:p w14:paraId="1D7C3BFF">
            <w:pPr>
              <w:pStyle w:val="33"/>
              <w:rPr>
                <w:color w:val="auto"/>
              </w:rPr>
            </w:pPr>
            <w:r>
              <w:rPr>
                <w:rFonts w:hint="eastAsia"/>
                <w:color w:val="auto"/>
              </w:rPr>
              <w:t>理化性质</w:t>
            </w:r>
          </w:p>
        </w:tc>
        <w:tc>
          <w:tcPr>
            <w:tcW w:w="8041" w:type="dxa"/>
            <w:tcBorders>
              <w:top w:val="single" w:color="auto" w:sz="4" w:space="0"/>
              <w:left w:val="nil"/>
              <w:bottom w:val="single" w:color="auto" w:sz="4" w:space="0"/>
              <w:right w:val="single" w:color="auto" w:sz="4" w:space="0"/>
            </w:tcBorders>
            <w:vAlign w:val="center"/>
          </w:tcPr>
          <w:p w14:paraId="42165AFC">
            <w:pPr>
              <w:pStyle w:val="33"/>
              <w:rPr>
                <w:color w:val="auto"/>
              </w:rPr>
            </w:pPr>
            <w:r>
              <w:rPr>
                <w:rFonts w:hint="eastAsia"/>
                <w:color w:val="auto"/>
              </w:rPr>
              <w:t>性状：油状液体，淡黄色至褐色，无气味或略带异味。</w:t>
            </w:r>
          </w:p>
          <w:p w14:paraId="6EAD5BF9">
            <w:pPr>
              <w:pStyle w:val="33"/>
              <w:rPr>
                <w:color w:val="auto"/>
              </w:rPr>
            </w:pPr>
            <w:r>
              <w:rPr>
                <w:rFonts w:hint="eastAsia"/>
                <w:color w:val="auto"/>
              </w:rPr>
              <w:t>溶解性：不溶于水；相对密度（水</w:t>
            </w:r>
            <w:r>
              <w:rPr>
                <w:color w:val="auto"/>
              </w:rPr>
              <w:t>=1</w:t>
            </w:r>
            <w:r>
              <w:rPr>
                <w:rFonts w:hint="eastAsia"/>
                <w:color w:val="auto"/>
              </w:rPr>
              <w:t>）＜</w:t>
            </w:r>
            <w:r>
              <w:rPr>
                <w:color w:val="auto"/>
              </w:rPr>
              <w:t>1</w:t>
            </w:r>
            <w:r>
              <w:rPr>
                <w:rFonts w:hint="eastAsia"/>
                <w:color w:val="auto"/>
              </w:rPr>
              <w:t>；分子量：</w:t>
            </w:r>
            <w:r>
              <w:rPr>
                <w:color w:val="auto"/>
              </w:rPr>
              <w:t>230~500</w:t>
            </w:r>
          </w:p>
        </w:tc>
      </w:tr>
      <w:tr w14:paraId="4D908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30" w:type="dxa"/>
            <w:tcBorders>
              <w:top w:val="single" w:color="auto" w:sz="4" w:space="0"/>
              <w:left w:val="single" w:color="auto" w:sz="4" w:space="0"/>
              <w:bottom w:val="single" w:color="auto" w:sz="4" w:space="0"/>
              <w:right w:val="single" w:color="auto" w:sz="4" w:space="0"/>
            </w:tcBorders>
            <w:vAlign w:val="center"/>
          </w:tcPr>
          <w:p w14:paraId="37967663">
            <w:pPr>
              <w:pStyle w:val="33"/>
              <w:rPr>
                <w:color w:val="auto"/>
              </w:rPr>
            </w:pPr>
            <w:r>
              <w:rPr>
                <w:rFonts w:hint="eastAsia"/>
                <w:color w:val="auto"/>
              </w:rPr>
              <w:t>燃烧爆炸危险性</w:t>
            </w:r>
          </w:p>
        </w:tc>
        <w:tc>
          <w:tcPr>
            <w:tcW w:w="8041" w:type="dxa"/>
            <w:tcBorders>
              <w:top w:val="single" w:color="auto" w:sz="4" w:space="0"/>
              <w:left w:val="nil"/>
              <w:bottom w:val="single" w:color="auto" w:sz="4" w:space="0"/>
              <w:right w:val="single" w:color="auto" w:sz="4" w:space="0"/>
            </w:tcBorders>
            <w:vAlign w:val="center"/>
          </w:tcPr>
          <w:p w14:paraId="22488258">
            <w:pPr>
              <w:pStyle w:val="33"/>
              <w:rPr>
                <w:color w:val="auto"/>
              </w:rPr>
            </w:pPr>
            <w:r>
              <w:rPr>
                <w:rFonts w:hint="eastAsia"/>
                <w:color w:val="auto"/>
              </w:rPr>
              <w:t>燃烧性：可燃；闪点（</w:t>
            </w:r>
            <w:r>
              <w:rPr>
                <w:rFonts w:hint="eastAsia" w:cs="宋体"/>
                <w:color w:val="auto"/>
              </w:rPr>
              <w:t>℃</w:t>
            </w:r>
            <w:r>
              <w:rPr>
                <w:rFonts w:hint="eastAsia"/>
                <w:color w:val="auto"/>
              </w:rPr>
              <w:t>）：</w:t>
            </w:r>
            <w:r>
              <w:rPr>
                <w:color w:val="auto"/>
              </w:rPr>
              <w:t>76</w:t>
            </w:r>
            <w:r>
              <w:rPr>
                <w:rFonts w:hint="eastAsia"/>
                <w:color w:val="auto"/>
              </w:rPr>
              <w:t>；引燃温度（</w:t>
            </w:r>
            <w:r>
              <w:rPr>
                <w:rFonts w:hint="eastAsia" w:cs="宋体"/>
                <w:color w:val="auto"/>
              </w:rPr>
              <w:t>℃</w:t>
            </w:r>
            <w:r>
              <w:rPr>
                <w:rFonts w:hint="eastAsia"/>
                <w:color w:val="auto"/>
              </w:rPr>
              <w:t>）：</w:t>
            </w:r>
            <w:r>
              <w:rPr>
                <w:color w:val="auto"/>
              </w:rPr>
              <w:t>248</w:t>
            </w:r>
            <w:r>
              <w:rPr>
                <w:rFonts w:hint="eastAsia"/>
                <w:color w:val="auto"/>
              </w:rPr>
              <w:t>；</w:t>
            </w:r>
          </w:p>
          <w:p w14:paraId="52BD1D4B">
            <w:pPr>
              <w:pStyle w:val="33"/>
              <w:rPr>
                <w:color w:val="auto"/>
              </w:rPr>
            </w:pPr>
            <w:r>
              <w:rPr>
                <w:rFonts w:hint="eastAsia"/>
                <w:color w:val="auto"/>
              </w:rPr>
              <w:t>危险特性：遇明火、高热可燃。</w:t>
            </w:r>
          </w:p>
          <w:p w14:paraId="3C19B058">
            <w:pPr>
              <w:pStyle w:val="33"/>
              <w:rPr>
                <w:color w:val="auto"/>
              </w:rPr>
            </w:pPr>
            <w:r>
              <w:rPr>
                <w:rFonts w:hint="eastAsia"/>
                <w:color w:val="auto"/>
              </w:rPr>
              <w:t>灭火方法：消防人员须佩戴防毒面具、穿全身消防服，在上风向灭火。尽可能将容器从火场移至空旷处。喷水保持火场容器冷却，直至灭火结束。处在火场中的容器若已变色或从安全泄压装置中产生声音，必须马上撤离。</w:t>
            </w:r>
          </w:p>
          <w:p w14:paraId="408F019A">
            <w:pPr>
              <w:pStyle w:val="33"/>
              <w:rPr>
                <w:color w:val="auto"/>
              </w:rPr>
            </w:pPr>
            <w:r>
              <w:rPr>
                <w:rFonts w:hint="eastAsia"/>
                <w:color w:val="auto"/>
              </w:rPr>
              <w:t>灭火剂：雾状水、泡沫、干粉、二氧化碳、砂土。</w:t>
            </w:r>
          </w:p>
          <w:p w14:paraId="493D3E6C">
            <w:pPr>
              <w:pStyle w:val="33"/>
              <w:rPr>
                <w:color w:val="auto"/>
              </w:rPr>
            </w:pPr>
            <w:r>
              <w:rPr>
                <w:rFonts w:hint="eastAsia"/>
                <w:color w:val="auto"/>
              </w:rPr>
              <w:t>稳定性：稳定；燃烧产物：一氧化碳</w:t>
            </w:r>
            <w:r>
              <w:rPr>
                <w:color w:val="auto"/>
              </w:rPr>
              <w:t>/</w:t>
            </w:r>
            <w:r>
              <w:rPr>
                <w:rFonts w:hint="eastAsia"/>
                <w:color w:val="auto"/>
              </w:rPr>
              <w:t>二氧化碳；聚合危害：不聚合</w:t>
            </w:r>
          </w:p>
        </w:tc>
      </w:tr>
      <w:tr w14:paraId="61BA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30" w:type="dxa"/>
            <w:tcBorders>
              <w:top w:val="single" w:color="auto" w:sz="4" w:space="0"/>
              <w:left w:val="single" w:color="auto" w:sz="4" w:space="0"/>
              <w:bottom w:val="single" w:color="auto" w:sz="4" w:space="0"/>
              <w:right w:val="single" w:color="auto" w:sz="4" w:space="0"/>
            </w:tcBorders>
            <w:vAlign w:val="center"/>
          </w:tcPr>
          <w:p w14:paraId="3CBF69BB">
            <w:pPr>
              <w:pStyle w:val="33"/>
              <w:rPr>
                <w:color w:val="auto"/>
              </w:rPr>
            </w:pPr>
            <w:r>
              <w:rPr>
                <w:rFonts w:hint="eastAsia"/>
                <w:color w:val="auto"/>
              </w:rPr>
              <w:t>毒性及健康危害</w:t>
            </w:r>
          </w:p>
        </w:tc>
        <w:tc>
          <w:tcPr>
            <w:tcW w:w="8041" w:type="dxa"/>
            <w:tcBorders>
              <w:top w:val="single" w:color="auto" w:sz="4" w:space="0"/>
              <w:left w:val="nil"/>
              <w:bottom w:val="single" w:color="auto" w:sz="4" w:space="0"/>
              <w:right w:val="single" w:color="auto" w:sz="4" w:space="0"/>
            </w:tcBorders>
            <w:vAlign w:val="center"/>
          </w:tcPr>
          <w:p w14:paraId="16480813">
            <w:pPr>
              <w:pStyle w:val="33"/>
              <w:rPr>
                <w:color w:val="auto"/>
              </w:rPr>
            </w:pPr>
            <w:r>
              <w:rPr>
                <w:rFonts w:hint="eastAsia"/>
                <w:color w:val="auto"/>
              </w:rPr>
              <w:t>侵入途径：吸入、食入；</w:t>
            </w:r>
          </w:p>
          <w:p w14:paraId="646A6BE9">
            <w:pPr>
              <w:pStyle w:val="33"/>
              <w:rPr>
                <w:color w:val="auto"/>
              </w:rPr>
            </w:pPr>
            <w:r>
              <w:rPr>
                <w:rFonts w:hint="eastAsia"/>
                <w:color w:val="auto"/>
              </w:rPr>
              <w:t>急性吸入，可出现乏力、头晕、头痛、恶心，严重者可引起油脂性肺炎。慢性接触者，暴露部位可发生油性痤疮和接触性皮炎。可引起神经衰弱综合征，呼吸道和眼刺激症状及慢性油脂性肺炎有资料报道，接触石油润滑油类的工人，有致癌的病例报告。</w:t>
            </w:r>
          </w:p>
        </w:tc>
      </w:tr>
      <w:tr w14:paraId="64B72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30" w:type="dxa"/>
            <w:tcBorders>
              <w:top w:val="single" w:color="auto" w:sz="4" w:space="0"/>
              <w:left w:val="single" w:color="auto" w:sz="4" w:space="0"/>
              <w:bottom w:val="single" w:color="auto" w:sz="4" w:space="0"/>
              <w:right w:val="single" w:color="auto" w:sz="4" w:space="0"/>
            </w:tcBorders>
            <w:vAlign w:val="center"/>
          </w:tcPr>
          <w:p w14:paraId="519FCC63">
            <w:pPr>
              <w:pStyle w:val="33"/>
              <w:rPr>
                <w:color w:val="auto"/>
              </w:rPr>
            </w:pPr>
            <w:r>
              <w:rPr>
                <w:rFonts w:hint="eastAsia"/>
                <w:color w:val="auto"/>
              </w:rPr>
              <w:t>急救</w:t>
            </w:r>
          </w:p>
        </w:tc>
        <w:tc>
          <w:tcPr>
            <w:tcW w:w="8041" w:type="dxa"/>
            <w:tcBorders>
              <w:top w:val="single" w:color="auto" w:sz="4" w:space="0"/>
              <w:left w:val="nil"/>
              <w:bottom w:val="single" w:color="auto" w:sz="4" w:space="0"/>
              <w:right w:val="single" w:color="auto" w:sz="4" w:space="0"/>
            </w:tcBorders>
            <w:vAlign w:val="center"/>
          </w:tcPr>
          <w:p w14:paraId="7A70E294">
            <w:pPr>
              <w:pStyle w:val="33"/>
              <w:rPr>
                <w:color w:val="auto"/>
              </w:rPr>
            </w:pPr>
            <w:r>
              <w:rPr>
                <w:rFonts w:hint="eastAsia"/>
                <w:color w:val="auto"/>
              </w:rPr>
              <w:t>皮肤接触：立即脱去被污染的衣着，用大量清水冲洗；</w:t>
            </w:r>
          </w:p>
          <w:p w14:paraId="57B14831">
            <w:pPr>
              <w:pStyle w:val="33"/>
              <w:rPr>
                <w:color w:val="auto"/>
              </w:rPr>
            </w:pPr>
            <w:r>
              <w:rPr>
                <w:rFonts w:hint="eastAsia"/>
                <w:color w:val="auto"/>
              </w:rPr>
              <w:t>眼睛接触：立即提起眼睑，用大量流动清水或生理盐水冲洗，就医；</w:t>
            </w:r>
          </w:p>
          <w:p w14:paraId="472B6687">
            <w:pPr>
              <w:pStyle w:val="33"/>
              <w:rPr>
                <w:color w:val="auto"/>
              </w:rPr>
            </w:pPr>
            <w:r>
              <w:rPr>
                <w:rFonts w:hint="eastAsia"/>
                <w:color w:val="auto"/>
              </w:rPr>
              <w:t>吸入：迅速脱离现场至空气新鲜处，保持呼吸道通畅，如呼吸困难，给输氧；如呼吸停止，立即进行人工呼吸，就医；</w:t>
            </w:r>
          </w:p>
          <w:p w14:paraId="67092401">
            <w:pPr>
              <w:pStyle w:val="33"/>
              <w:rPr>
                <w:color w:val="auto"/>
              </w:rPr>
            </w:pPr>
            <w:r>
              <w:rPr>
                <w:rFonts w:hint="eastAsia"/>
                <w:color w:val="auto"/>
              </w:rPr>
              <w:t>食入：饮足量温水，催吐，就医。</w:t>
            </w:r>
          </w:p>
        </w:tc>
      </w:tr>
      <w:tr w14:paraId="4C092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030" w:type="dxa"/>
            <w:tcBorders>
              <w:top w:val="single" w:color="auto" w:sz="4" w:space="0"/>
              <w:left w:val="single" w:color="auto" w:sz="4" w:space="0"/>
              <w:bottom w:val="single" w:color="auto" w:sz="4" w:space="0"/>
              <w:right w:val="single" w:color="auto" w:sz="4" w:space="0"/>
            </w:tcBorders>
            <w:vAlign w:val="center"/>
          </w:tcPr>
          <w:p w14:paraId="617FFEAD">
            <w:pPr>
              <w:pStyle w:val="33"/>
              <w:rPr>
                <w:color w:val="auto"/>
              </w:rPr>
            </w:pPr>
            <w:r>
              <w:rPr>
                <w:rFonts w:hint="eastAsia"/>
                <w:color w:val="auto"/>
              </w:rPr>
              <w:t>泄漏处理</w:t>
            </w:r>
          </w:p>
        </w:tc>
        <w:tc>
          <w:tcPr>
            <w:tcW w:w="8041" w:type="dxa"/>
            <w:tcBorders>
              <w:top w:val="single" w:color="auto" w:sz="4" w:space="0"/>
              <w:left w:val="nil"/>
              <w:bottom w:val="single" w:color="auto" w:sz="4" w:space="0"/>
              <w:right w:val="single" w:color="auto" w:sz="4" w:space="0"/>
            </w:tcBorders>
            <w:vAlign w:val="center"/>
          </w:tcPr>
          <w:p w14:paraId="065A2D0F">
            <w:pPr>
              <w:pStyle w:val="33"/>
              <w:rPr>
                <w:color w:val="auto"/>
              </w:rPr>
            </w:pPr>
            <w:r>
              <w:rPr>
                <w:rFonts w:hint="eastAsia"/>
                <w:color w:val="auto"/>
              </w:rPr>
              <w:t>迅速撤离泄漏污染区人员至安全区，并进行隔离，严格限制出入。切断火源。建议应急处理人员戴自给正压式呼吸器，穿防毒服。尽可能切断泄漏源。防止流入下水道、排洪沟等限制性空间。</w:t>
            </w:r>
          </w:p>
          <w:p w14:paraId="4C7F55BD">
            <w:pPr>
              <w:pStyle w:val="33"/>
              <w:rPr>
                <w:color w:val="auto"/>
              </w:rPr>
            </w:pPr>
            <w:r>
              <w:rPr>
                <w:rFonts w:hint="eastAsia"/>
                <w:color w:val="auto"/>
              </w:rPr>
              <w:t>小量泄漏：用砂土或其它不燃材料吸附或吸收。大量泄漏：构筑围堤或挖坑收容。用泵转移至槽车或专用收集器内，回收或运至废物处理场所处置。</w:t>
            </w:r>
          </w:p>
        </w:tc>
      </w:tr>
    </w:tbl>
    <w:p w14:paraId="7C4F0CD7">
      <w:pPr>
        <w:ind w:firstLine="480"/>
        <w:rPr>
          <w:color w:val="auto"/>
        </w:rPr>
      </w:pPr>
    </w:p>
    <w:p w14:paraId="5E5629EE">
      <w:pPr>
        <w:pStyle w:val="4"/>
        <w:rPr>
          <w:rFonts w:cs="Times New Roman"/>
          <w:color w:val="auto"/>
        </w:rPr>
      </w:pPr>
      <w:bookmarkStart w:id="536" w:name="_Toc225216835"/>
      <w:r>
        <w:rPr>
          <w:rFonts w:cs="Times New Roman"/>
          <w:color w:val="auto"/>
        </w:rPr>
        <w:t>环境敏感目标调查</w:t>
      </w:r>
      <w:bookmarkEnd w:id="536"/>
    </w:p>
    <w:p w14:paraId="2A937032">
      <w:pPr>
        <w:ind w:firstLine="480"/>
        <w:rPr>
          <w:rFonts w:cs="Times New Roman"/>
          <w:color w:val="auto"/>
        </w:rPr>
      </w:pPr>
      <w:r>
        <w:rPr>
          <w:rFonts w:hint="eastAsia" w:cs="Times New Roman"/>
          <w:color w:val="auto"/>
        </w:rPr>
        <w:t>项目位于</w:t>
      </w:r>
      <w:r>
        <w:rPr>
          <w:rFonts w:hint="eastAsia"/>
          <w:color w:val="auto"/>
        </w:rPr>
        <w:t>钦州市钦州港经济技术开发区金光工业园</w:t>
      </w:r>
      <w:r>
        <w:rPr>
          <w:rFonts w:hint="eastAsia" w:cs="Times New Roman"/>
          <w:color w:val="auto"/>
        </w:rPr>
        <w:t>，</w:t>
      </w:r>
      <w:r>
        <w:rPr>
          <w:rFonts w:cs="Times New Roman"/>
          <w:color w:val="auto"/>
        </w:rPr>
        <w:t>根据《建设项目环境风险评价技术导则》（HJ169-2018）相关要求，通过对评价范围内大气环境、地表水环境、地下水环境可能受影响的环境敏感目标进行调查，详见下表。</w:t>
      </w:r>
    </w:p>
    <w:p w14:paraId="7543F4BE">
      <w:pPr>
        <w:pStyle w:val="7"/>
        <w:rPr>
          <w:color w:val="auto"/>
        </w:rPr>
      </w:pPr>
      <w:r>
        <w:rPr>
          <w:color w:val="auto"/>
        </w:rPr>
        <w:t>建设项目环境敏感特征表</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706"/>
        <w:gridCol w:w="2547"/>
        <w:gridCol w:w="698"/>
        <w:gridCol w:w="399"/>
        <w:gridCol w:w="451"/>
        <w:gridCol w:w="1109"/>
        <w:gridCol w:w="1458"/>
        <w:gridCol w:w="1227"/>
      </w:tblGrid>
      <w:tr w14:paraId="34680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trPr>
        <w:tc>
          <w:tcPr>
            <w:tcW w:w="373" w:type="pct"/>
            <w:tcBorders>
              <w:top w:val="single" w:color="auto" w:sz="4" w:space="0"/>
              <w:left w:val="single" w:color="auto" w:sz="4" w:space="0"/>
              <w:bottom w:val="single" w:color="auto" w:sz="4" w:space="0"/>
              <w:right w:val="single" w:color="auto" w:sz="4" w:space="0"/>
            </w:tcBorders>
            <w:vAlign w:val="center"/>
          </w:tcPr>
          <w:p w14:paraId="2292437B">
            <w:pPr>
              <w:pStyle w:val="33"/>
              <w:rPr>
                <w:color w:val="auto"/>
              </w:rPr>
            </w:pPr>
            <w:r>
              <w:rPr>
                <w:color w:val="auto"/>
              </w:rPr>
              <w:t>类别</w:t>
            </w:r>
          </w:p>
        </w:tc>
        <w:tc>
          <w:tcPr>
            <w:tcW w:w="4627" w:type="pct"/>
            <w:gridSpan w:val="8"/>
            <w:tcBorders>
              <w:top w:val="single" w:color="auto" w:sz="4" w:space="0"/>
              <w:left w:val="single" w:color="auto" w:sz="4" w:space="0"/>
              <w:bottom w:val="single" w:color="auto" w:sz="4" w:space="0"/>
              <w:right w:val="single" w:color="auto" w:sz="4" w:space="0"/>
            </w:tcBorders>
            <w:vAlign w:val="center"/>
          </w:tcPr>
          <w:p w14:paraId="60338AFE">
            <w:pPr>
              <w:pStyle w:val="33"/>
              <w:rPr>
                <w:color w:val="auto"/>
              </w:rPr>
            </w:pPr>
            <w:r>
              <w:rPr>
                <w:color w:val="auto"/>
              </w:rPr>
              <w:t>环境敏感特征</w:t>
            </w:r>
          </w:p>
        </w:tc>
      </w:tr>
      <w:tr w14:paraId="1B41F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restart"/>
            <w:tcBorders>
              <w:top w:val="single" w:color="auto" w:sz="4" w:space="0"/>
              <w:left w:val="single" w:color="auto" w:sz="4" w:space="0"/>
              <w:bottom w:val="single" w:color="auto" w:sz="4" w:space="0"/>
              <w:right w:val="single" w:color="auto" w:sz="4" w:space="0"/>
            </w:tcBorders>
            <w:vAlign w:val="center"/>
          </w:tcPr>
          <w:p w14:paraId="16BF650C">
            <w:pPr>
              <w:pStyle w:val="33"/>
              <w:rPr>
                <w:color w:val="auto"/>
              </w:rPr>
            </w:pPr>
            <w:r>
              <w:rPr>
                <w:color w:val="auto"/>
              </w:rPr>
              <w:t>环境空气</w:t>
            </w:r>
          </w:p>
        </w:tc>
        <w:tc>
          <w:tcPr>
            <w:tcW w:w="4627" w:type="pct"/>
            <w:gridSpan w:val="8"/>
            <w:tcBorders>
              <w:top w:val="single" w:color="auto" w:sz="4" w:space="0"/>
              <w:left w:val="single" w:color="auto" w:sz="4" w:space="0"/>
              <w:bottom w:val="single" w:color="auto" w:sz="4" w:space="0"/>
              <w:right w:val="single" w:color="auto" w:sz="4" w:space="0"/>
            </w:tcBorders>
            <w:vAlign w:val="center"/>
          </w:tcPr>
          <w:p w14:paraId="479431A9">
            <w:pPr>
              <w:pStyle w:val="33"/>
              <w:rPr>
                <w:color w:val="auto"/>
              </w:rPr>
            </w:pPr>
            <w:r>
              <w:rPr>
                <w:color w:val="auto"/>
              </w:rPr>
              <w:t>厂区周边5km范围内</w:t>
            </w:r>
          </w:p>
        </w:tc>
      </w:tr>
      <w:tr w14:paraId="15DEB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4BED6FB2">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6EE2D202">
            <w:pPr>
              <w:pStyle w:val="33"/>
              <w:rPr>
                <w:color w:val="auto"/>
              </w:rPr>
            </w:pPr>
            <w:r>
              <w:rPr>
                <w:color w:val="auto"/>
              </w:rPr>
              <w:t>序号</w:t>
            </w:r>
          </w:p>
        </w:tc>
        <w:tc>
          <w:tcPr>
            <w:tcW w:w="1371" w:type="pct"/>
            <w:tcBorders>
              <w:top w:val="single" w:color="auto" w:sz="4" w:space="0"/>
              <w:left w:val="single" w:color="auto" w:sz="4" w:space="0"/>
              <w:bottom w:val="single" w:color="auto" w:sz="4" w:space="0"/>
              <w:right w:val="single" w:color="auto" w:sz="4" w:space="0"/>
            </w:tcBorders>
            <w:vAlign w:val="center"/>
          </w:tcPr>
          <w:p w14:paraId="0E9F8879">
            <w:pPr>
              <w:pStyle w:val="33"/>
              <w:rPr>
                <w:color w:val="auto"/>
              </w:rPr>
            </w:pPr>
            <w:r>
              <w:rPr>
                <w:color w:val="auto"/>
              </w:rPr>
              <w:t>名称</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1943333F">
            <w:pPr>
              <w:pStyle w:val="33"/>
              <w:rPr>
                <w:color w:val="auto"/>
              </w:rPr>
            </w:pPr>
            <w:r>
              <w:rPr>
                <w:color w:val="auto"/>
              </w:rPr>
              <w:t>相对厂址方位</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4211AE96">
            <w:pPr>
              <w:pStyle w:val="33"/>
              <w:rPr>
                <w:color w:val="auto"/>
              </w:rPr>
            </w:pPr>
            <w:r>
              <w:rPr>
                <w:color w:val="auto"/>
              </w:rPr>
              <w:t>离厂界最近距离（m）</w:t>
            </w:r>
          </w:p>
        </w:tc>
        <w:tc>
          <w:tcPr>
            <w:tcW w:w="785" w:type="pct"/>
            <w:tcBorders>
              <w:top w:val="single" w:color="auto" w:sz="4" w:space="0"/>
              <w:left w:val="single" w:color="auto" w:sz="4" w:space="0"/>
              <w:bottom w:val="single" w:color="auto" w:sz="4" w:space="0"/>
              <w:right w:val="single" w:color="auto" w:sz="4" w:space="0"/>
            </w:tcBorders>
            <w:vAlign w:val="center"/>
          </w:tcPr>
          <w:p w14:paraId="3B637AE6">
            <w:pPr>
              <w:pStyle w:val="33"/>
              <w:rPr>
                <w:color w:val="auto"/>
              </w:rPr>
            </w:pPr>
            <w:r>
              <w:rPr>
                <w:color w:val="auto"/>
              </w:rPr>
              <w:t>属性</w:t>
            </w:r>
          </w:p>
        </w:tc>
        <w:tc>
          <w:tcPr>
            <w:tcW w:w="660" w:type="pct"/>
            <w:tcBorders>
              <w:top w:val="single" w:color="auto" w:sz="4" w:space="0"/>
              <w:left w:val="single" w:color="auto" w:sz="4" w:space="0"/>
              <w:bottom w:val="single" w:color="auto" w:sz="4" w:space="0"/>
              <w:right w:val="single" w:color="auto" w:sz="4" w:space="0"/>
            </w:tcBorders>
            <w:vAlign w:val="center"/>
          </w:tcPr>
          <w:p w14:paraId="726E8B30">
            <w:pPr>
              <w:pStyle w:val="33"/>
              <w:rPr>
                <w:color w:val="auto"/>
              </w:rPr>
            </w:pPr>
            <w:r>
              <w:rPr>
                <w:color w:val="auto"/>
              </w:rPr>
              <w:t>规模（人）</w:t>
            </w:r>
          </w:p>
        </w:tc>
      </w:tr>
      <w:tr w14:paraId="48422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1BD7CD91">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40F602F3">
            <w:pPr>
              <w:pStyle w:val="33"/>
              <w:rPr>
                <w:color w:val="auto"/>
              </w:rPr>
            </w:pPr>
            <w:r>
              <w:rPr>
                <w:color w:val="auto"/>
              </w:rPr>
              <w:t>1</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8DC04DC">
            <w:pPr>
              <w:pStyle w:val="33"/>
              <w:rPr>
                <w:color w:val="auto"/>
              </w:rPr>
            </w:pPr>
            <w:r>
              <w:rPr>
                <w:color w:val="auto"/>
              </w:rPr>
              <w:t>老鸭坑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6BB34AEE">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584E7296">
            <w:pPr>
              <w:pStyle w:val="33"/>
              <w:rPr>
                <w:color w:val="auto"/>
              </w:rPr>
            </w:pPr>
            <w:r>
              <w:rPr>
                <w:color w:val="auto"/>
              </w:rPr>
              <w:t>15</w:t>
            </w:r>
          </w:p>
        </w:tc>
        <w:tc>
          <w:tcPr>
            <w:tcW w:w="785" w:type="pct"/>
            <w:tcBorders>
              <w:top w:val="single" w:color="auto" w:sz="4" w:space="0"/>
              <w:left w:val="single" w:color="auto" w:sz="4" w:space="0"/>
              <w:bottom w:val="single" w:color="auto" w:sz="4" w:space="0"/>
              <w:right w:val="single" w:color="auto" w:sz="4" w:space="0"/>
            </w:tcBorders>
            <w:vAlign w:val="center"/>
          </w:tcPr>
          <w:p w14:paraId="548ED482">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067B6E46">
            <w:pPr>
              <w:pStyle w:val="33"/>
              <w:rPr>
                <w:color w:val="auto"/>
              </w:rPr>
            </w:pPr>
            <w:r>
              <w:rPr>
                <w:color w:val="auto"/>
              </w:rPr>
              <w:t>300</w:t>
            </w:r>
          </w:p>
        </w:tc>
      </w:tr>
      <w:tr w14:paraId="22B0F4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DF51748">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2E8AEA51">
            <w:pPr>
              <w:pStyle w:val="33"/>
              <w:rPr>
                <w:color w:val="auto"/>
              </w:rPr>
            </w:pPr>
            <w:r>
              <w:rPr>
                <w:color w:val="auto"/>
              </w:rPr>
              <w:t>2</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24BF201">
            <w:pPr>
              <w:pStyle w:val="33"/>
              <w:rPr>
                <w:color w:val="auto"/>
              </w:rPr>
            </w:pPr>
            <w:r>
              <w:rPr>
                <w:color w:val="auto"/>
              </w:rPr>
              <w:t>鲎泊潭</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568FDC44">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6801F69D">
            <w:pPr>
              <w:pStyle w:val="33"/>
              <w:rPr>
                <w:color w:val="auto"/>
              </w:rPr>
            </w:pPr>
            <w:r>
              <w:rPr>
                <w:color w:val="auto"/>
              </w:rPr>
              <w:t>750</w:t>
            </w:r>
          </w:p>
        </w:tc>
        <w:tc>
          <w:tcPr>
            <w:tcW w:w="785" w:type="pct"/>
            <w:tcBorders>
              <w:top w:val="single" w:color="auto" w:sz="4" w:space="0"/>
              <w:left w:val="single" w:color="auto" w:sz="4" w:space="0"/>
              <w:bottom w:val="single" w:color="auto" w:sz="4" w:space="0"/>
              <w:right w:val="single" w:color="auto" w:sz="4" w:space="0"/>
            </w:tcBorders>
            <w:vAlign w:val="center"/>
          </w:tcPr>
          <w:p w14:paraId="2E5EE40A">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095F28E8">
            <w:pPr>
              <w:pStyle w:val="33"/>
              <w:rPr>
                <w:color w:val="auto"/>
              </w:rPr>
            </w:pPr>
            <w:r>
              <w:rPr>
                <w:color w:val="auto"/>
              </w:rPr>
              <w:t>240</w:t>
            </w:r>
          </w:p>
        </w:tc>
      </w:tr>
      <w:tr w14:paraId="0190E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9A15A8B">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3E1B8A98">
            <w:pPr>
              <w:pStyle w:val="33"/>
              <w:rPr>
                <w:color w:val="auto"/>
              </w:rPr>
            </w:pPr>
            <w:r>
              <w:rPr>
                <w:color w:val="auto"/>
              </w:rPr>
              <w:t>3</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1A0CC0D">
            <w:pPr>
              <w:pStyle w:val="33"/>
              <w:rPr>
                <w:color w:val="auto"/>
              </w:rPr>
            </w:pPr>
            <w:r>
              <w:rPr>
                <w:color w:val="auto"/>
              </w:rPr>
              <w:t>鸡墩头（鸡丁头）</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50C0D89A">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11426989">
            <w:pPr>
              <w:pStyle w:val="33"/>
              <w:rPr>
                <w:color w:val="auto"/>
              </w:rPr>
            </w:pPr>
            <w:r>
              <w:rPr>
                <w:color w:val="auto"/>
              </w:rPr>
              <w:t>160</w:t>
            </w:r>
          </w:p>
        </w:tc>
        <w:tc>
          <w:tcPr>
            <w:tcW w:w="785" w:type="pct"/>
            <w:tcBorders>
              <w:top w:val="single" w:color="auto" w:sz="4" w:space="0"/>
              <w:left w:val="single" w:color="auto" w:sz="4" w:space="0"/>
              <w:bottom w:val="single" w:color="auto" w:sz="4" w:space="0"/>
              <w:right w:val="single" w:color="auto" w:sz="4" w:space="0"/>
            </w:tcBorders>
            <w:vAlign w:val="center"/>
          </w:tcPr>
          <w:p w14:paraId="3BD75B3A">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4FD38B39">
            <w:pPr>
              <w:pStyle w:val="33"/>
              <w:rPr>
                <w:color w:val="auto"/>
              </w:rPr>
            </w:pPr>
            <w:r>
              <w:rPr>
                <w:color w:val="auto"/>
              </w:rPr>
              <w:t>2780</w:t>
            </w:r>
          </w:p>
        </w:tc>
      </w:tr>
      <w:tr w14:paraId="5B890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F87573F">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762ADD68">
            <w:pPr>
              <w:pStyle w:val="33"/>
              <w:rPr>
                <w:color w:val="auto"/>
              </w:rPr>
            </w:pPr>
            <w:r>
              <w:rPr>
                <w:color w:val="auto"/>
              </w:rPr>
              <w:t>4</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57CDC19">
            <w:pPr>
              <w:pStyle w:val="33"/>
              <w:rPr>
                <w:color w:val="auto"/>
              </w:rPr>
            </w:pPr>
            <w:r>
              <w:rPr>
                <w:color w:val="auto"/>
              </w:rPr>
              <w:t>钦州港开发</w:t>
            </w:r>
          </w:p>
          <w:p w14:paraId="02149050">
            <w:pPr>
              <w:pStyle w:val="33"/>
              <w:rPr>
                <w:color w:val="auto"/>
              </w:rPr>
            </w:pPr>
            <w:r>
              <w:rPr>
                <w:color w:val="auto"/>
              </w:rPr>
              <w:t>区第五小学</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69F10FBF">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5FF6058D">
            <w:pPr>
              <w:pStyle w:val="33"/>
              <w:rPr>
                <w:color w:val="auto"/>
              </w:rPr>
            </w:pPr>
            <w:r>
              <w:rPr>
                <w:color w:val="auto"/>
              </w:rPr>
              <w:t>325</w:t>
            </w:r>
          </w:p>
        </w:tc>
        <w:tc>
          <w:tcPr>
            <w:tcW w:w="785" w:type="pct"/>
            <w:tcBorders>
              <w:top w:val="single" w:color="auto" w:sz="4" w:space="0"/>
              <w:left w:val="single" w:color="auto" w:sz="4" w:space="0"/>
              <w:bottom w:val="single" w:color="auto" w:sz="4" w:space="0"/>
              <w:right w:val="single" w:color="auto" w:sz="4" w:space="0"/>
            </w:tcBorders>
            <w:vAlign w:val="center"/>
          </w:tcPr>
          <w:p w14:paraId="7C3FEA08">
            <w:pPr>
              <w:pStyle w:val="33"/>
              <w:rPr>
                <w:color w:val="auto"/>
              </w:rPr>
            </w:pPr>
            <w:r>
              <w:rPr>
                <w:color w:val="auto"/>
              </w:rPr>
              <w:t>学校</w:t>
            </w:r>
          </w:p>
        </w:tc>
        <w:tc>
          <w:tcPr>
            <w:tcW w:w="660" w:type="pct"/>
            <w:tcBorders>
              <w:top w:val="single" w:color="auto" w:sz="4" w:space="0"/>
              <w:left w:val="single" w:color="auto" w:sz="4" w:space="0"/>
              <w:bottom w:val="single" w:color="auto" w:sz="4" w:space="0"/>
              <w:right w:val="single" w:color="auto" w:sz="4" w:space="0"/>
            </w:tcBorders>
            <w:vAlign w:val="center"/>
          </w:tcPr>
          <w:p w14:paraId="3B021FC1">
            <w:pPr>
              <w:pStyle w:val="33"/>
              <w:rPr>
                <w:color w:val="auto"/>
              </w:rPr>
            </w:pPr>
            <w:r>
              <w:rPr>
                <w:color w:val="auto"/>
              </w:rPr>
              <w:t>700</w:t>
            </w:r>
          </w:p>
        </w:tc>
      </w:tr>
      <w:tr w14:paraId="6BF60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34BC8C3">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7D61AF23">
            <w:pPr>
              <w:pStyle w:val="33"/>
              <w:rPr>
                <w:color w:val="auto"/>
              </w:rPr>
            </w:pP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788CACD">
            <w:pPr>
              <w:pStyle w:val="33"/>
              <w:rPr>
                <w:color w:val="auto"/>
              </w:rPr>
            </w:pPr>
            <w:r>
              <w:rPr>
                <w:color w:val="auto"/>
              </w:rPr>
              <w:t>蚝蜊坳</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45D8E254">
            <w:pPr>
              <w:pStyle w:val="33"/>
              <w:rPr>
                <w:color w:val="auto"/>
              </w:rPr>
            </w:pPr>
            <w:r>
              <w:rPr>
                <w:color w:val="auto"/>
              </w:rPr>
              <w:t>NW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C6F91C6">
            <w:pPr>
              <w:pStyle w:val="33"/>
              <w:rPr>
                <w:color w:val="auto"/>
              </w:rPr>
            </w:pPr>
            <w:r>
              <w:rPr>
                <w:color w:val="auto"/>
              </w:rPr>
              <w:t>291</w:t>
            </w:r>
          </w:p>
        </w:tc>
        <w:tc>
          <w:tcPr>
            <w:tcW w:w="785" w:type="pct"/>
            <w:tcBorders>
              <w:top w:val="single" w:color="auto" w:sz="4" w:space="0"/>
              <w:left w:val="single" w:color="auto" w:sz="4" w:space="0"/>
              <w:bottom w:val="single" w:color="auto" w:sz="4" w:space="0"/>
              <w:right w:val="single" w:color="auto" w:sz="4" w:space="0"/>
            </w:tcBorders>
            <w:vAlign w:val="center"/>
          </w:tcPr>
          <w:p w14:paraId="4F3829ED">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38AD5080">
            <w:pPr>
              <w:pStyle w:val="33"/>
              <w:rPr>
                <w:color w:val="auto"/>
              </w:rPr>
            </w:pPr>
            <w:r>
              <w:rPr>
                <w:color w:val="auto"/>
              </w:rPr>
              <w:t>808</w:t>
            </w:r>
          </w:p>
        </w:tc>
      </w:tr>
      <w:tr w14:paraId="0F579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9222985">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0E9FBF24">
            <w:pPr>
              <w:pStyle w:val="33"/>
              <w:rPr>
                <w:color w:val="auto"/>
              </w:rPr>
            </w:pPr>
            <w:r>
              <w:rPr>
                <w:color w:val="auto"/>
              </w:rPr>
              <w:t>6</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1748A2B">
            <w:pPr>
              <w:pStyle w:val="33"/>
              <w:rPr>
                <w:color w:val="auto"/>
              </w:rPr>
            </w:pPr>
            <w:r>
              <w:rPr>
                <w:color w:val="auto"/>
              </w:rPr>
              <w:t>临时安置房</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0EE54F0B">
            <w:pPr>
              <w:pStyle w:val="33"/>
              <w:rPr>
                <w:color w:val="auto"/>
              </w:rPr>
            </w:pPr>
            <w:r>
              <w:rPr>
                <w:color w:val="auto"/>
              </w:rPr>
              <w:t>S</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0E160E0C">
            <w:pPr>
              <w:pStyle w:val="33"/>
              <w:rPr>
                <w:color w:val="auto"/>
              </w:rPr>
            </w:pPr>
            <w:r>
              <w:rPr>
                <w:color w:val="auto"/>
              </w:rPr>
              <w:t>50</w:t>
            </w:r>
          </w:p>
        </w:tc>
        <w:tc>
          <w:tcPr>
            <w:tcW w:w="785" w:type="pct"/>
            <w:tcBorders>
              <w:top w:val="single" w:color="auto" w:sz="4" w:space="0"/>
              <w:left w:val="single" w:color="auto" w:sz="4" w:space="0"/>
              <w:bottom w:val="single" w:color="auto" w:sz="4" w:space="0"/>
              <w:right w:val="single" w:color="auto" w:sz="4" w:space="0"/>
            </w:tcBorders>
            <w:vAlign w:val="center"/>
          </w:tcPr>
          <w:p w14:paraId="7F25ACE9">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63675C94">
            <w:pPr>
              <w:pStyle w:val="33"/>
              <w:rPr>
                <w:color w:val="auto"/>
              </w:rPr>
            </w:pPr>
            <w:r>
              <w:rPr>
                <w:color w:val="auto"/>
              </w:rPr>
              <w:t>30</w:t>
            </w:r>
          </w:p>
        </w:tc>
      </w:tr>
      <w:tr w14:paraId="7F2AD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E3096FA">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191CADD8">
            <w:pPr>
              <w:pStyle w:val="33"/>
              <w:rPr>
                <w:color w:val="auto"/>
              </w:rPr>
            </w:pPr>
            <w:r>
              <w:rPr>
                <w:color w:val="auto"/>
              </w:rPr>
              <w:t>7</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C45F3B5">
            <w:pPr>
              <w:pStyle w:val="33"/>
              <w:rPr>
                <w:color w:val="auto"/>
              </w:rPr>
            </w:pPr>
            <w:r>
              <w:rPr>
                <w:color w:val="auto"/>
              </w:rPr>
              <w:t>硫磺山</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22A36875">
            <w:pPr>
              <w:pStyle w:val="33"/>
              <w:rPr>
                <w:color w:val="auto"/>
              </w:rPr>
            </w:pPr>
            <w:r>
              <w:rPr>
                <w:color w:val="auto"/>
              </w:rPr>
              <w:t>S</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71EB1429">
            <w:pPr>
              <w:pStyle w:val="33"/>
              <w:rPr>
                <w:color w:val="auto"/>
              </w:rPr>
            </w:pPr>
            <w:r>
              <w:rPr>
                <w:color w:val="auto"/>
              </w:rPr>
              <w:t>250</w:t>
            </w:r>
          </w:p>
        </w:tc>
        <w:tc>
          <w:tcPr>
            <w:tcW w:w="785" w:type="pct"/>
            <w:tcBorders>
              <w:top w:val="single" w:color="auto" w:sz="4" w:space="0"/>
              <w:left w:val="single" w:color="auto" w:sz="4" w:space="0"/>
              <w:bottom w:val="single" w:color="auto" w:sz="4" w:space="0"/>
              <w:right w:val="single" w:color="auto" w:sz="4" w:space="0"/>
            </w:tcBorders>
            <w:vAlign w:val="center"/>
          </w:tcPr>
          <w:p w14:paraId="627169EB">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33F9547B">
            <w:pPr>
              <w:pStyle w:val="33"/>
              <w:rPr>
                <w:color w:val="auto"/>
              </w:rPr>
            </w:pPr>
            <w:r>
              <w:rPr>
                <w:color w:val="auto"/>
              </w:rPr>
              <w:t>495</w:t>
            </w:r>
          </w:p>
        </w:tc>
      </w:tr>
      <w:tr w14:paraId="2E77E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8EF171A">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77560CA5">
            <w:pPr>
              <w:pStyle w:val="33"/>
              <w:rPr>
                <w:color w:val="auto"/>
              </w:rPr>
            </w:pPr>
            <w:r>
              <w:rPr>
                <w:color w:val="auto"/>
              </w:rPr>
              <w:t>8</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B300BBB">
            <w:pPr>
              <w:pStyle w:val="33"/>
              <w:rPr>
                <w:color w:val="auto"/>
              </w:rPr>
            </w:pPr>
            <w:r>
              <w:rPr>
                <w:color w:val="auto"/>
              </w:rPr>
              <w:t>钦州港开发</w:t>
            </w:r>
          </w:p>
          <w:p w14:paraId="3D3ECD17">
            <w:pPr>
              <w:pStyle w:val="33"/>
              <w:rPr>
                <w:color w:val="auto"/>
              </w:rPr>
            </w:pPr>
            <w:r>
              <w:rPr>
                <w:color w:val="auto"/>
              </w:rPr>
              <w:t>区第七小学</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2D4EC220">
            <w:pPr>
              <w:pStyle w:val="33"/>
              <w:rPr>
                <w:color w:val="auto"/>
              </w:rPr>
            </w:pPr>
            <w:r>
              <w:rPr>
                <w:color w:val="auto"/>
              </w:rPr>
              <w:t>S</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417A0623">
            <w:pPr>
              <w:pStyle w:val="33"/>
              <w:rPr>
                <w:color w:val="auto"/>
              </w:rPr>
            </w:pPr>
            <w:r>
              <w:rPr>
                <w:color w:val="auto"/>
              </w:rPr>
              <w:t>500</w:t>
            </w:r>
          </w:p>
        </w:tc>
        <w:tc>
          <w:tcPr>
            <w:tcW w:w="785" w:type="pct"/>
            <w:tcBorders>
              <w:top w:val="single" w:color="auto" w:sz="4" w:space="0"/>
              <w:left w:val="single" w:color="auto" w:sz="4" w:space="0"/>
              <w:bottom w:val="single" w:color="auto" w:sz="4" w:space="0"/>
              <w:right w:val="single" w:color="auto" w:sz="4" w:space="0"/>
            </w:tcBorders>
            <w:vAlign w:val="center"/>
          </w:tcPr>
          <w:p w14:paraId="014A559E">
            <w:pPr>
              <w:pStyle w:val="33"/>
              <w:rPr>
                <w:color w:val="auto"/>
              </w:rPr>
            </w:pPr>
            <w:r>
              <w:rPr>
                <w:color w:val="auto"/>
              </w:rPr>
              <w:t>学校</w:t>
            </w:r>
          </w:p>
        </w:tc>
        <w:tc>
          <w:tcPr>
            <w:tcW w:w="660" w:type="pct"/>
            <w:tcBorders>
              <w:top w:val="single" w:color="auto" w:sz="4" w:space="0"/>
              <w:left w:val="single" w:color="auto" w:sz="4" w:space="0"/>
              <w:bottom w:val="single" w:color="auto" w:sz="4" w:space="0"/>
              <w:right w:val="single" w:color="auto" w:sz="4" w:space="0"/>
            </w:tcBorders>
            <w:vAlign w:val="center"/>
          </w:tcPr>
          <w:p w14:paraId="1BC34D44">
            <w:pPr>
              <w:pStyle w:val="33"/>
              <w:rPr>
                <w:color w:val="auto"/>
              </w:rPr>
            </w:pPr>
            <w:r>
              <w:rPr>
                <w:color w:val="auto"/>
              </w:rPr>
              <w:t>600</w:t>
            </w:r>
          </w:p>
        </w:tc>
      </w:tr>
      <w:tr w14:paraId="3066F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49B490A1">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2F1D5FF2">
            <w:pPr>
              <w:pStyle w:val="33"/>
              <w:rPr>
                <w:color w:val="auto"/>
              </w:rPr>
            </w:pPr>
            <w:r>
              <w:rPr>
                <w:color w:val="auto"/>
              </w:rPr>
              <w:t>9</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4F694D8">
            <w:pPr>
              <w:pStyle w:val="33"/>
              <w:rPr>
                <w:color w:val="auto"/>
              </w:rPr>
            </w:pPr>
            <w:r>
              <w:rPr>
                <w:color w:val="auto"/>
              </w:rPr>
              <w:t>大坑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52B8D259">
            <w:pPr>
              <w:pStyle w:val="33"/>
              <w:rPr>
                <w:color w:val="auto"/>
              </w:rPr>
            </w:pPr>
            <w:r>
              <w:rPr>
                <w:color w:val="auto"/>
              </w:rPr>
              <w:t>SE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176A7CCC">
            <w:pPr>
              <w:pStyle w:val="33"/>
              <w:rPr>
                <w:color w:val="auto"/>
              </w:rPr>
            </w:pPr>
            <w:r>
              <w:rPr>
                <w:color w:val="auto"/>
              </w:rPr>
              <w:t>1100</w:t>
            </w:r>
          </w:p>
        </w:tc>
        <w:tc>
          <w:tcPr>
            <w:tcW w:w="785" w:type="pct"/>
            <w:tcBorders>
              <w:top w:val="single" w:color="auto" w:sz="4" w:space="0"/>
              <w:left w:val="single" w:color="auto" w:sz="4" w:space="0"/>
              <w:bottom w:val="single" w:color="auto" w:sz="4" w:space="0"/>
              <w:right w:val="single" w:color="auto" w:sz="4" w:space="0"/>
            </w:tcBorders>
            <w:vAlign w:val="center"/>
          </w:tcPr>
          <w:p w14:paraId="6B425721">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6B156F97">
            <w:pPr>
              <w:pStyle w:val="33"/>
              <w:rPr>
                <w:color w:val="auto"/>
              </w:rPr>
            </w:pPr>
            <w:r>
              <w:rPr>
                <w:color w:val="auto"/>
              </w:rPr>
              <w:t>450</w:t>
            </w:r>
          </w:p>
        </w:tc>
      </w:tr>
      <w:tr w14:paraId="2BE3C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8E7329B">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88D6555">
            <w:pPr>
              <w:pStyle w:val="33"/>
              <w:rPr>
                <w:color w:val="auto"/>
              </w:rPr>
            </w:pP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37565FD">
            <w:pPr>
              <w:pStyle w:val="33"/>
              <w:rPr>
                <w:color w:val="auto"/>
              </w:rPr>
            </w:pPr>
            <w:r>
              <w:rPr>
                <w:color w:val="auto"/>
              </w:rPr>
              <w:t>钦州港开发</w:t>
            </w:r>
          </w:p>
          <w:p w14:paraId="09D67B46">
            <w:pPr>
              <w:pStyle w:val="33"/>
              <w:rPr>
                <w:color w:val="auto"/>
              </w:rPr>
            </w:pPr>
            <w:r>
              <w:rPr>
                <w:color w:val="auto"/>
              </w:rPr>
              <w:t>区第六小学</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0443D02D">
            <w:pPr>
              <w:pStyle w:val="33"/>
              <w:rPr>
                <w:color w:val="auto"/>
              </w:rPr>
            </w:pPr>
            <w:r>
              <w:rPr>
                <w:color w:val="auto"/>
              </w:rPr>
              <w:t>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3895F41D">
            <w:pPr>
              <w:pStyle w:val="33"/>
              <w:rPr>
                <w:color w:val="auto"/>
              </w:rPr>
            </w:pPr>
            <w:r>
              <w:rPr>
                <w:color w:val="auto"/>
              </w:rPr>
              <w:t>100</w:t>
            </w:r>
          </w:p>
        </w:tc>
        <w:tc>
          <w:tcPr>
            <w:tcW w:w="785" w:type="pct"/>
            <w:tcBorders>
              <w:top w:val="single" w:color="auto" w:sz="4" w:space="0"/>
              <w:left w:val="single" w:color="auto" w:sz="4" w:space="0"/>
              <w:bottom w:val="single" w:color="auto" w:sz="4" w:space="0"/>
              <w:right w:val="single" w:color="auto" w:sz="4" w:space="0"/>
            </w:tcBorders>
            <w:vAlign w:val="center"/>
          </w:tcPr>
          <w:p w14:paraId="6BC2C4FD">
            <w:pPr>
              <w:pStyle w:val="33"/>
              <w:rPr>
                <w:color w:val="auto"/>
              </w:rPr>
            </w:pPr>
            <w:r>
              <w:rPr>
                <w:color w:val="auto"/>
              </w:rPr>
              <w:t>学校</w:t>
            </w:r>
          </w:p>
        </w:tc>
        <w:tc>
          <w:tcPr>
            <w:tcW w:w="660" w:type="pct"/>
            <w:tcBorders>
              <w:top w:val="single" w:color="auto" w:sz="4" w:space="0"/>
              <w:left w:val="single" w:color="auto" w:sz="4" w:space="0"/>
              <w:bottom w:val="single" w:color="auto" w:sz="4" w:space="0"/>
              <w:right w:val="single" w:color="auto" w:sz="4" w:space="0"/>
            </w:tcBorders>
            <w:vAlign w:val="center"/>
          </w:tcPr>
          <w:p w14:paraId="2A0C108D">
            <w:pPr>
              <w:pStyle w:val="33"/>
              <w:rPr>
                <w:color w:val="auto"/>
              </w:rPr>
            </w:pPr>
            <w:r>
              <w:rPr>
                <w:color w:val="auto"/>
              </w:rPr>
              <w:t>119</w:t>
            </w:r>
          </w:p>
        </w:tc>
      </w:tr>
      <w:tr w14:paraId="143E5A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C737C2C">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56F993F">
            <w:pPr>
              <w:pStyle w:val="33"/>
              <w:rPr>
                <w:color w:val="auto"/>
              </w:rPr>
            </w:pPr>
            <w:r>
              <w:rPr>
                <w:color w:val="auto"/>
              </w:rPr>
              <w:t>11</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556E9FE">
            <w:pPr>
              <w:pStyle w:val="33"/>
              <w:rPr>
                <w:color w:val="auto"/>
              </w:rPr>
            </w:pPr>
            <w:r>
              <w:rPr>
                <w:color w:val="auto"/>
              </w:rPr>
              <w:t>鹿耳环</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625B8286">
            <w:pPr>
              <w:pStyle w:val="33"/>
              <w:rPr>
                <w:color w:val="auto"/>
              </w:rPr>
            </w:pPr>
            <w:r>
              <w:rPr>
                <w:color w:val="auto"/>
              </w:rPr>
              <w:t>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6BAB32EE">
            <w:pPr>
              <w:pStyle w:val="33"/>
              <w:rPr>
                <w:color w:val="auto"/>
              </w:rPr>
            </w:pPr>
            <w:r>
              <w:rPr>
                <w:color w:val="auto"/>
              </w:rPr>
              <w:t>120</w:t>
            </w:r>
          </w:p>
        </w:tc>
        <w:tc>
          <w:tcPr>
            <w:tcW w:w="785" w:type="pct"/>
            <w:tcBorders>
              <w:top w:val="single" w:color="auto" w:sz="4" w:space="0"/>
              <w:left w:val="single" w:color="auto" w:sz="4" w:space="0"/>
              <w:bottom w:val="single" w:color="auto" w:sz="4" w:space="0"/>
              <w:right w:val="single" w:color="auto" w:sz="4" w:space="0"/>
            </w:tcBorders>
            <w:vAlign w:val="center"/>
          </w:tcPr>
          <w:p w14:paraId="21CDD604">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70980D2D">
            <w:pPr>
              <w:pStyle w:val="33"/>
              <w:rPr>
                <w:color w:val="auto"/>
              </w:rPr>
            </w:pPr>
            <w:r>
              <w:rPr>
                <w:color w:val="auto"/>
              </w:rPr>
              <w:t>1331</w:t>
            </w:r>
          </w:p>
        </w:tc>
      </w:tr>
      <w:tr w14:paraId="4B5AB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719407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ECAC854">
            <w:pPr>
              <w:pStyle w:val="33"/>
              <w:rPr>
                <w:color w:val="auto"/>
              </w:rPr>
            </w:pPr>
            <w:r>
              <w:rPr>
                <w:color w:val="auto"/>
              </w:rPr>
              <w:t>12</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4743A13">
            <w:pPr>
              <w:pStyle w:val="33"/>
              <w:rPr>
                <w:color w:val="auto"/>
              </w:rPr>
            </w:pPr>
            <w:r>
              <w:rPr>
                <w:color w:val="auto"/>
              </w:rPr>
              <w:t>蚝蜊墩</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19E4B289">
            <w:pPr>
              <w:pStyle w:val="33"/>
              <w:rPr>
                <w:color w:val="auto"/>
              </w:rPr>
            </w:pPr>
            <w:r>
              <w:rPr>
                <w:color w:val="auto"/>
              </w:rPr>
              <w:t>N</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75A1FE1E">
            <w:pPr>
              <w:pStyle w:val="33"/>
              <w:rPr>
                <w:color w:val="auto"/>
              </w:rPr>
            </w:pPr>
            <w:r>
              <w:rPr>
                <w:color w:val="auto"/>
              </w:rPr>
              <w:t>1500</w:t>
            </w:r>
          </w:p>
        </w:tc>
        <w:tc>
          <w:tcPr>
            <w:tcW w:w="785" w:type="pct"/>
            <w:tcBorders>
              <w:top w:val="single" w:color="auto" w:sz="4" w:space="0"/>
              <w:left w:val="single" w:color="auto" w:sz="4" w:space="0"/>
              <w:bottom w:val="single" w:color="auto" w:sz="4" w:space="0"/>
              <w:right w:val="single" w:color="auto" w:sz="4" w:space="0"/>
            </w:tcBorders>
            <w:vAlign w:val="center"/>
          </w:tcPr>
          <w:p w14:paraId="629EC89F">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00836231">
            <w:pPr>
              <w:pStyle w:val="33"/>
              <w:rPr>
                <w:color w:val="auto"/>
              </w:rPr>
            </w:pPr>
            <w:r>
              <w:rPr>
                <w:color w:val="auto"/>
              </w:rPr>
              <w:t>330</w:t>
            </w:r>
          </w:p>
        </w:tc>
      </w:tr>
      <w:tr w14:paraId="62824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140F26B">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63A0E523">
            <w:pPr>
              <w:pStyle w:val="33"/>
              <w:rPr>
                <w:color w:val="auto"/>
              </w:rPr>
            </w:pP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E8349B5">
            <w:pPr>
              <w:pStyle w:val="33"/>
              <w:rPr>
                <w:color w:val="auto"/>
              </w:rPr>
            </w:pPr>
            <w:r>
              <w:rPr>
                <w:color w:val="auto"/>
              </w:rPr>
              <w:t>新联村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7DAF5DFF">
            <w:pPr>
              <w:pStyle w:val="33"/>
              <w:rPr>
                <w:color w:val="auto"/>
              </w:rPr>
            </w:pPr>
            <w:r>
              <w:rPr>
                <w:color w:val="auto"/>
              </w:rPr>
              <w:t>NE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4BB5F726">
            <w:pPr>
              <w:pStyle w:val="33"/>
              <w:rPr>
                <w:color w:val="auto"/>
              </w:rPr>
            </w:pPr>
            <w:r>
              <w:rPr>
                <w:color w:val="auto"/>
              </w:rPr>
              <w:t>1500</w:t>
            </w:r>
          </w:p>
        </w:tc>
        <w:tc>
          <w:tcPr>
            <w:tcW w:w="785" w:type="pct"/>
            <w:tcBorders>
              <w:top w:val="single" w:color="auto" w:sz="4" w:space="0"/>
              <w:left w:val="single" w:color="auto" w:sz="4" w:space="0"/>
              <w:bottom w:val="single" w:color="auto" w:sz="4" w:space="0"/>
              <w:right w:val="single" w:color="auto" w:sz="4" w:space="0"/>
            </w:tcBorders>
            <w:vAlign w:val="center"/>
          </w:tcPr>
          <w:p w14:paraId="1ED73BDB">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42200C3D">
            <w:pPr>
              <w:pStyle w:val="33"/>
              <w:rPr>
                <w:color w:val="auto"/>
              </w:rPr>
            </w:pPr>
            <w:r>
              <w:rPr>
                <w:color w:val="auto"/>
              </w:rPr>
              <w:t>700</w:t>
            </w:r>
          </w:p>
        </w:tc>
      </w:tr>
      <w:tr w14:paraId="3313D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AA467A0">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0283945">
            <w:pPr>
              <w:pStyle w:val="33"/>
              <w:rPr>
                <w:color w:val="auto"/>
              </w:rPr>
            </w:pPr>
            <w:r>
              <w:rPr>
                <w:color w:val="auto"/>
              </w:rPr>
              <w:t>14</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229E53B">
            <w:pPr>
              <w:pStyle w:val="33"/>
              <w:rPr>
                <w:color w:val="auto"/>
              </w:rPr>
            </w:pPr>
            <w:r>
              <w:rPr>
                <w:color w:val="auto"/>
              </w:rPr>
              <w:t>榕树灶</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0C4BE81F">
            <w:pPr>
              <w:pStyle w:val="33"/>
              <w:rPr>
                <w:color w:val="auto"/>
              </w:rPr>
            </w:pPr>
            <w:r>
              <w:rPr>
                <w:color w:val="auto"/>
              </w:rPr>
              <w:t>NE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57149F03">
            <w:pPr>
              <w:pStyle w:val="33"/>
              <w:rPr>
                <w:color w:val="auto"/>
              </w:rPr>
            </w:pPr>
            <w:r>
              <w:rPr>
                <w:color w:val="auto"/>
              </w:rPr>
              <w:t>2300</w:t>
            </w:r>
          </w:p>
        </w:tc>
        <w:tc>
          <w:tcPr>
            <w:tcW w:w="785" w:type="pct"/>
            <w:tcBorders>
              <w:top w:val="single" w:color="auto" w:sz="4" w:space="0"/>
              <w:left w:val="single" w:color="auto" w:sz="4" w:space="0"/>
              <w:bottom w:val="single" w:color="auto" w:sz="4" w:space="0"/>
              <w:right w:val="single" w:color="auto" w:sz="4" w:space="0"/>
            </w:tcBorders>
            <w:vAlign w:val="center"/>
          </w:tcPr>
          <w:p w14:paraId="4D25274E">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2561C6C9">
            <w:pPr>
              <w:pStyle w:val="33"/>
              <w:rPr>
                <w:color w:val="auto"/>
              </w:rPr>
            </w:pPr>
            <w:r>
              <w:rPr>
                <w:color w:val="auto"/>
              </w:rPr>
              <w:t>810</w:t>
            </w:r>
          </w:p>
        </w:tc>
      </w:tr>
      <w:tr w14:paraId="10268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1A843A84">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DC58D21">
            <w:pPr>
              <w:pStyle w:val="33"/>
              <w:rPr>
                <w:color w:val="auto"/>
              </w:rPr>
            </w:pPr>
            <w:r>
              <w:rPr>
                <w:color w:val="auto"/>
              </w:rPr>
              <w:t>15</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EC40726">
            <w:pPr>
              <w:pStyle w:val="33"/>
              <w:rPr>
                <w:color w:val="auto"/>
              </w:rPr>
            </w:pPr>
            <w:r>
              <w:rPr>
                <w:color w:val="auto"/>
              </w:rPr>
              <w:t>粟地脚</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415326AE">
            <w:pPr>
              <w:pStyle w:val="33"/>
              <w:rPr>
                <w:color w:val="auto"/>
              </w:rPr>
            </w:pPr>
            <w:r>
              <w:rPr>
                <w:color w:val="auto"/>
              </w:rPr>
              <w:t>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DFFAE04">
            <w:pPr>
              <w:pStyle w:val="33"/>
              <w:rPr>
                <w:color w:val="auto"/>
              </w:rPr>
            </w:pPr>
            <w:r>
              <w:rPr>
                <w:color w:val="auto"/>
              </w:rPr>
              <w:t>2200</w:t>
            </w:r>
          </w:p>
        </w:tc>
        <w:tc>
          <w:tcPr>
            <w:tcW w:w="785" w:type="pct"/>
            <w:tcBorders>
              <w:top w:val="single" w:color="auto" w:sz="4" w:space="0"/>
              <w:left w:val="single" w:color="auto" w:sz="4" w:space="0"/>
              <w:bottom w:val="single" w:color="auto" w:sz="4" w:space="0"/>
              <w:right w:val="single" w:color="auto" w:sz="4" w:space="0"/>
            </w:tcBorders>
            <w:vAlign w:val="center"/>
          </w:tcPr>
          <w:p w14:paraId="44C389E6">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1C8E0A1C">
            <w:pPr>
              <w:pStyle w:val="33"/>
              <w:rPr>
                <w:color w:val="auto"/>
              </w:rPr>
            </w:pPr>
            <w:r>
              <w:rPr>
                <w:color w:val="auto"/>
              </w:rPr>
              <w:t>365</w:t>
            </w:r>
          </w:p>
        </w:tc>
      </w:tr>
      <w:tr w14:paraId="49B41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12BDD1B">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7ACE3251">
            <w:pPr>
              <w:pStyle w:val="33"/>
              <w:rPr>
                <w:color w:val="auto"/>
              </w:rPr>
            </w:pPr>
            <w:r>
              <w:rPr>
                <w:color w:val="auto"/>
              </w:rPr>
              <w:t>16</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36D41A4">
            <w:pPr>
              <w:pStyle w:val="33"/>
              <w:rPr>
                <w:color w:val="auto"/>
              </w:rPr>
            </w:pPr>
            <w:r>
              <w:rPr>
                <w:color w:val="auto"/>
              </w:rPr>
              <w:t>犀牛角镇新联小学幼儿园</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217BFFEE">
            <w:pPr>
              <w:pStyle w:val="33"/>
              <w:rPr>
                <w:color w:val="auto"/>
              </w:rPr>
            </w:pPr>
            <w:r>
              <w:rPr>
                <w:color w:val="auto"/>
              </w:rPr>
              <w:t>N</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D160EA6">
            <w:pPr>
              <w:pStyle w:val="33"/>
              <w:rPr>
                <w:color w:val="auto"/>
              </w:rPr>
            </w:pPr>
            <w:r>
              <w:rPr>
                <w:color w:val="auto"/>
              </w:rPr>
              <w:t>950</w:t>
            </w:r>
          </w:p>
        </w:tc>
        <w:tc>
          <w:tcPr>
            <w:tcW w:w="785" w:type="pct"/>
            <w:tcBorders>
              <w:top w:val="single" w:color="auto" w:sz="4" w:space="0"/>
              <w:left w:val="single" w:color="auto" w:sz="4" w:space="0"/>
              <w:bottom w:val="single" w:color="auto" w:sz="4" w:space="0"/>
              <w:right w:val="single" w:color="auto" w:sz="4" w:space="0"/>
            </w:tcBorders>
            <w:vAlign w:val="center"/>
          </w:tcPr>
          <w:p w14:paraId="423CD131">
            <w:pPr>
              <w:pStyle w:val="33"/>
              <w:rPr>
                <w:color w:val="auto"/>
              </w:rPr>
            </w:pPr>
            <w:r>
              <w:rPr>
                <w:color w:val="auto"/>
              </w:rPr>
              <w:t>学校</w:t>
            </w:r>
          </w:p>
        </w:tc>
        <w:tc>
          <w:tcPr>
            <w:tcW w:w="660" w:type="pct"/>
            <w:tcBorders>
              <w:top w:val="single" w:color="auto" w:sz="4" w:space="0"/>
              <w:left w:val="single" w:color="auto" w:sz="4" w:space="0"/>
              <w:bottom w:val="single" w:color="auto" w:sz="4" w:space="0"/>
              <w:right w:val="single" w:color="auto" w:sz="4" w:space="0"/>
            </w:tcBorders>
            <w:vAlign w:val="center"/>
          </w:tcPr>
          <w:p w14:paraId="32322B4E">
            <w:pPr>
              <w:pStyle w:val="33"/>
              <w:rPr>
                <w:color w:val="auto"/>
              </w:rPr>
            </w:pPr>
            <w:r>
              <w:rPr>
                <w:color w:val="auto"/>
              </w:rPr>
              <w:t>200</w:t>
            </w:r>
          </w:p>
        </w:tc>
      </w:tr>
      <w:tr w14:paraId="6EEEA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1CA5972A">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17A4E713">
            <w:pPr>
              <w:pStyle w:val="33"/>
              <w:rPr>
                <w:color w:val="auto"/>
              </w:rPr>
            </w:pPr>
            <w:r>
              <w:rPr>
                <w:color w:val="auto"/>
              </w:rPr>
              <w:t>17</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C417BF3">
            <w:pPr>
              <w:pStyle w:val="33"/>
              <w:rPr>
                <w:color w:val="auto"/>
              </w:rPr>
            </w:pPr>
            <w:r>
              <w:rPr>
                <w:color w:val="auto"/>
              </w:rPr>
              <w:t>黄竹根</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673CEE05">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784205E">
            <w:pPr>
              <w:pStyle w:val="33"/>
              <w:rPr>
                <w:color w:val="auto"/>
              </w:rPr>
            </w:pPr>
            <w:r>
              <w:rPr>
                <w:color w:val="auto"/>
              </w:rPr>
              <w:t>10</w:t>
            </w:r>
          </w:p>
        </w:tc>
        <w:tc>
          <w:tcPr>
            <w:tcW w:w="785" w:type="pct"/>
            <w:tcBorders>
              <w:top w:val="single" w:color="auto" w:sz="4" w:space="0"/>
              <w:left w:val="single" w:color="auto" w:sz="4" w:space="0"/>
              <w:bottom w:val="single" w:color="auto" w:sz="4" w:space="0"/>
              <w:right w:val="single" w:color="auto" w:sz="4" w:space="0"/>
            </w:tcBorders>
            <w:vAlign w:val="center"/>
          </w:tcPr>
          <w:p w14:paraId="12DA74DE">
            <w:pPr>
              <w:pStyle w:val="33"/>
              <w:rPr>
                <w:color w:val="auto"/>
              </w:rPr>
            </w:pPr>
            <w:r>
              <w:rPr>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61C21D65">
            <w:pPr>
              <w:pStyle w:val="33"/>
              <w:rPr>
                <w:color w:val="auto"/>
              </w:rPr>
            </w:pPr>
            <w:r>
              <w:rPr>
                <w:color w:val="auto"/>
              </w:rPr>
              <w:t>100</w:t>
            </w:r>
          </w:p>
        </w:tc>
      </w:tr>
      <w:tr w14:paraId="6FBB2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48D4A24">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4B621BD2">
            <w:pPr>
              <w:pStyle w:val="33"/>
              <w:rPr>
                <w:color w:val="auto"/>
              </w:rPr>
            </w:pPr>
            <w:r>
              <w:rPr>
                <w:color w:val="auto"/>
              </w:rPr>
              <w:t>18</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DD231D7">
            <w:pPr>
              <w:pStyle w:val="33"/>
              <w:rPr>
                <w:color w:val="auto"/>
              </w:rPr>
            </w:pPr>
            <w:r>
              <w:rPr>
                <w:rFonts w:hint="eastAsia"/>
                <w:color w:val="auto"/>
              </w:rPr>
              <w:t>平山</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53CEC3D2">
            <w:pPr>
              <w:pStyle w:val="33"/>
              <w:rPr>
                <w:color w:val="auto"/>
              </w:rPr>
            </w:pPr>
            <w:r>
              <w:rPr>
                <w:color w:val="auto"/>
              </w:rPr>
              <w:t>SE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3E3B2A67">
            <w:pPr>
              <w:pStyle w:val="33"/>
              <w:rPr>
                <w:color w:val="auto"/>
              </w:rPr>
            </w:pPr>
            <w:r>
              <w:rPr>
                <w:color w:val="auto"/>
              </w:rPr>
              <w:t>3400</w:t>
            </w:r>
          </w:p>
        </w:tc>
        <w:tc>
          <w:tcPr>
            <w:tcW w:w="785" w:type="pct"/>
            <w:tcBorders>
              <w:top w:val="single" w:color="auto" w:sz="4" w:space="0"/>
              <w:left w:val="single" w:color="auto" w:sz="4" w:space="0"/>
              <w:bottom w:val="single" w:color="auto" w:sz="4" w:space="0"/>
              <w:right w:val="single" w:color="auto" w:sz="4" w:space="0"/>
            </w:tcBorders>
            <w:vAlign w:val="center"/>
          </w:tcPr>
          <w:p w14:paraId="7ED68675">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06F13CEE">
            <w:pPr>
              <w:pStyle w:val="33"/>
              <w:rPr>
                <w:color w:val="auto"/>
              </w:rPr>
            </w:pPr>
            <w:r>
              <w:rPr>
                <w:color w:val="auto"/>
              </w:rPr>
              <w:t>1600</w:t>
            </w:r>
          </w:p>
        </w:tc>
      </w:tr>
      <w:tr w14:paraId="6BA5E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98136A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6D1A89E5">
            <w:pPr>
              <w:pStyle w:val="33"/>
              <w:rPr>
                <w:color w:val="auto"/>
              </w:rPr>
            </w:pPr>
            <w:r>
              <w:rPr>
                <w:color w:val="auto"/>
              </w:rPr>
              <w:t>19</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E28FF51">
            <w:pPr>
              <w:pStyle w:val="33"/>
              <w:rPr>
                <w:color w:val="auto"/>
              </w:rPr>
            </w:pPr>
            <w:r>
              <w:rPr>
                <w:rFonts w:hint="eastAsia"/>
                <w:color w:val="auto"/>
              </w:rPr>
              <w:t>淡水湾</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75D79A45">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6B462CB8">
            <w:pPr>
              <w:pStyle w:val="33"/>
              <w:rPr>
                <w:color w:val="auto"/>
              </w:rPr>
            </w:pPr>
            <w:r>
              <w:rPr>
                <w:color w:val="auto"/>
              </w:rPr>
              <w:t>2678</w:t>
            </w:r>
          </w:p>
        </w:tc>
        <w:tc>
          <w:tcPr>
            <w:tcW w:w="785" w:type="pct"/>
            <w:tcBorders>
              <w:top w:val="single" w:color="auto" w:sz="4" w:space="0"/>
              <w:left w:val="single" w:color="auto" w:sz="4" w:space="0"/>
              <w:bottom w:val="single" w:color="auto" w:sz="4" w:space="0"/>
              <w:right w:val="single" w:color="auto" w:sz="4" w:space="0"/>
            </w:tcBorders>
            <w:vAlign w:val="center"/>
          </w:tcPr>
          <w:p w14:paraId="7E2E7F28">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58D12C86">
            <w:pPr>
              <w:pStyle w:val="33"/>
              <w:rPr>
                <w:color w:val="auto"/>
              </w:rPr>
            </w:pPr>
            <w:r>
              <w:rPr>
                <w:color w:val="auto"/>
              </w:rPr>
              <w:t>1280</w:t>
            </w:r>
          </w:p>
        </w:tc>
      </w:tr>
      <w:tr w14:paraId="0E80D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6D2459C">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BC54B82">
            <w:pPr>
              <w:pStyle w:val="33"/>
              <w:rPr>
                <w:color w:val="auto"/>
              </w:rPr>
            </w:pPr>
            <w:r>
              <w:rPr>
                <w:color w:val="auto"/>
              </w:rPr>
              <w:t>20</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AEEB243">
            <w:pPr>
              <w:pStyle w:val="33"/>
              <w:rPr>
                <w:color w:val="auto"/>
              </w:rPr>
            </w:pPr>
            <w:r>
              <w:rPr>
                <w:rFonts w:hint="eastAsia"/>
                <w:color w:val="auto"/>
              </w:rPr>
              <w:t>金鼓社区</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72398DBA">
            <w:pPr>
              <w:pStyle w:val="33"/>
              <w:rPr>
                <w:color w:val="auto"/>
              </w:rPr>
            </w:pPr>
            <w:r>
              <w:rPr>
                <w:color w:val="auto"/>
              </w:rPr>
              <w:t>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4FF0D29">
            <w:pPr>
              <w:pStyle w:val="33"/>
              <w:rPr>
                <w:color w:val="auto"/>
              </w:rPr>
            </w:pPr>
            <w:r>
              <w:rPr>
                <w:color w:val="auto"/>
              </w:rPr>
              <w:t>3714</w:t>
            </w:r>
          </w:p>
        </w:tc>
        <w:tc>
          <w:tcPr>
            <w:tcW w:w="785" w:type="pct"/>
            <w:tcBorders>
              <w:top w:val="single" w:color="auto" w:sz="4" w:space="0"/>
              <w:left w:val="single" w:color="auto" w:sz="4" w:space="0"/>
              <w:bottom w:val="single" w:color="auto" w:sz="4" w:space="0"/>
              <w:right w:val="single" w:color="auto" w:sz="4" w:space="0"/>
            </w:tcBorders>
            <w:vAlign w:val="center"/>
          </w:tcPr>
          <w:p w14:paraId="67A8A9A5">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4C811148">
            <w:pPr>
              <w:pStyle w:val="33"/>
              <w:rPr>
                <w:color w:val="auto"/>
              </w:rPr>
            </w:pPr>
            <w:r>
              <w:rPr>
                <w:color w:val="auto"/>
              </w:rPr>
              <w:t>850</w:t>
            </w:r>
          </w:p>
        </w:tc>
      </w:tr>
      <w:tr w14:paraId="018F0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FECCC2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3A60C9D0">
            <w:pPr>
              <w:pStyle w:val="33"/>
              <w:rPr>
                <w:color w:val="auto"/>
              </w:rPr>
            </w:pPr>
            <w:r>
              <w:rPr>
                <w:color w:val="auto"/>
              </w:rPr>
              <w:t>21</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E2AFBB8">
            <w:pPr>
              <w:pStyle w:val="33"/>
              <w:rPr>
                <w:color w:val="auto"/>
              </w:rPr>
            </w:pPr>
            <w:r>
              <w:rPr>
                <w:rFonts w:hint="eastAsia"/>
                <w:color w:val="auto"/>
              </w:rPr>
              <w:t>松柏港村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42077C70">
            <w:pPr>
              <w:pStyle w:val="33"/>
              <w:rPr>
                <w:color w:val="auto"/>
              </w:rPr>
            </w:pPr>
            <w:r>
              <w:rPr>
                <w:color w:val="auto"/>
              </w:rPr>
              <w:t>NW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343DB02D">
            <w:pPr>
              <w:pStyle w:val="33"/>
              <w:rPr>
                <w:color w:val="auto"/>
              </w:rPr>
            </w:pPr>
            <w:r>
              <w:rPr>
                <w:color w:val="auto"/>
              </w:rPr>
              <w:t>3700</w:t>
            </w:r>
          </w:p>
        </w:tc>
        <w:tc>
          <w:tcPr>
            <w:tcW w:w="785" w:type="pct"/>
            <w:tcBorders>
              <w:top w:val="single" w:color="auto" w:sz="4" w:space="0"/>
              <w:left w:val="single" w:color="auto" w:sz="4" w:space="0"/>
              <w:bottom w:val="single" w:color="auto" w:sz="4" w:space="0"/>
              <w:right w:val="single" w:color="auto" w:sz="4" w:space="0"/>
            </w:tcBorders>
            <w:vAlign w:val="center"/>
          </w:tcPr>
          <w:p w14:paraId="3D9C7FDF">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37E25977">
            <w:pPr>
              <w:pStyle w:val="33"/>
              <w:rPr>
                <w:color w:val="auto"/>
              </w:rPr>
            </w:pPr>
            <w:r>
              <w:rPr>
                <w:color w:val="auto"/>
              </w:rPr>
              <w:t>280</w:t>
            </w:r>
          </w:p>
        </w:tc>
      </w:tr>
      <w:tr w14:paraId="29771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661A9E07">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262D6BEE">
            <w:pPr>
              <w:pStyle w:val="33"/>
              <w:rPr>
                <w:color w:val="auto"/>
              </w:rPr>
            </w:pPr>
            <w:r>
              <w:rPr>
                <w:color w:val="auto"/>
              </w:rPr>
              <w:t>22</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3792524B">
            <w:pPr>
              <w:pStyle w:val="33"/>
              <w:rPr>
                <w:color w:val="auto"/>
              </w:rPr>
            </w:pPr>
            <w:r>
              <w:rPr>
                <w:rFonts w:hint="eastAsia"/>
                <w:color w:val="auto"/>
              </w:rPr>
              <w:t>中马阳光</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036BD001">
            <w:pPr>
              <w:pStyle w:val="33"/>
              <w:rPr>
                <w:color w:val="auto"/>
              </w:rPr>
            </w:pPr>
            <w:r>
              <w:rPr>
                <w:color w:val="auto"/>
              </w:rPr>
              <w:t>NW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5A177826">
            <w:pPr>
              <w:pStyle w:val="33"/>
              <w:rPr>
                <w:color w:val="auto"/>
              </w:rPr>
            </w:pPr>
            <w:r>
              <w:rPr>
                <w:color w:val="auto"/>
              </w:rPr>
              <w:t>4218</w:t>
            </w:r>
          </w:p>
        </w:tc>
        <w:tc>
          <w:tcPr>
            <w:tcW w:w="785" w:type="pct"/>
            <w:tcBorders>
              <w:top w:val="single" w:color="auto" w:sz="4" w:space="0"/>
              <w:left w:val="single" w:color="auto" w:sz="4" w:space="0"/>
              <w:bottom w:val="single" w:color="auto" w:sz="4" w:space="0"/>
              <w:right w:val="single" w:color="auto" w:sz="4" w:space="0"/>
            </w:tcBorders>
            <w:vAlign w:val="center"/>
          </w:tcPr>
          <w:p w14:paraId="51693613">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4C4C62CC">
            <w:pPr>
              <w:pStyle w:val="33"/>
              <w:rPr>
                <w:color w:val="auto"/>
              </w:rPr>
            </w:pPr>
            <w:r>
              <w:rPr>
                <w:color w:val="auto"/>
              </w:rPr>
              <w:t>190</w:t>
            </w:r>
          </w:p>
        </w:tc>
      </w:tr>
      <w:tr w14:paraId="4A6C3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967E7B4">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0230C02F">
            <w:pPr>
              <w:pStyle w:val="33"/>
              <w:rPr>
                <w:color w:val="auto"/>
              </w:rPr>
            </w:pPr>
            <w:r>
              <w:rPr>
                <w:color w:val="auto"/>
              </w:rPr>
              <w:t>23</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23496BBF">
            <w:pPr>
              <w:pStyle w:val="33"/>
              <w:rPr>
                <w:color w:val="auto"/>
              </w:rPr>
            </w:pPr>
            <w:r>
              <w:rPr>
                <w:rFonts w:hint="eastAsia"/>
                <w:color w:val="auto"/>
              </w:rPr>
              <w:t>高级中学</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52B7395B">
            <w:pPr>
              <w:pStyle w:val="33"/>
              <w:rPr>
                <w:color w:val="auto"/>
              </w:rPr>
            </w:pPr>
            <w:r>
              <w:rPr>
                <w:color w:val="auto"/>
              </w:rPr>
              <w:t>东</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5A204707">
            <w:pPr>
              <w:pStyle w:val="33"/>
              <w:rPr>
                <w:color w:val="auto"/>
              </w:rPr>
            </w:pPr>
            <w:r>
              <w:rPr>
                <w:color w:val="auto"/>
              </w:rPr>
              <w:t>4295</w:t>
            </w:r>
          </w:p>
        </w:tc>
        <w:tc>
          <w:tcPr>
            <w:tcW w:w="785" w:type="pct"/>
            <w:tcBorders>
              <w:top w:val="single" w:color="auto" w:sz="4" w:space="0"/>
              <w:left w:val="single" w:color="auto" w:sz="4" w:space="0"/>
              <w:bottom w:val="single" w:color="auto" w:sz="4" w:space="0"/>
              <w:right w:val="single" w:color="auto" w:sz="4" w:space="0"/>
            </w:tcBorders>
            <w:vAlign w:val="center"/>
          </w:tcPr>
          <w:p w14:paraId="2351B1C2">
            <w:pPr>
              <w:pStyle w:val="33"/>
              <w:rPr>
                <w:color w:val="auto"/>
              </w:rPr>
            </w:pPr>
            <w:r>
              <w:rPr>
                <w:rFonts w:hint="eastAsia"/>
                <w:color w:val="auto"/>
              </w:rPr>
              <w:t>学校</w:t>
            </w:r>
          </w:p>
        </w:tc>
        <w:tc>
          <w:tcPr>
            <w:tcW w:w="660" w:type="pct"/>
            <w:tcBorders>
              <w:top w:val="single" w:color="auto" w:sz="4" w:space="0"/>
              <w:left w:val="single" w:color="auto" w:sz="4" w:space="0"/>
              <w:bottom w:val="single" w:color="auto" w:sz="4" w:space="0"/>
              <w:right w:val="single" w:color="auto" w:sz="4" w:space="0"/>
            </w:tcBorders>
            <w:vAlign w:val="center"/>
          </w:tcPr>
          <w:p w14:paraId="101D2DA1">
            <w:pPr>
              <w:pStyle w:val="33"/>
              <w:rPr>
                <w:color w:val="auto"/>
              </w:rPr>
            </w:pPr>
            <w:r>
              <w:rPr>
                <w:color w:val="auto"/>
              </w:rPr>
              <w:t>1600</w:t>
            </w:r>
          </w:p>
        </w:tc>
      </w:tr>
      <w:tr w14:paraId="00864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59DD387">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02C8C28E">
            <w:pPr>
              <w:pStyle w:val="33"/>
              <w:rPr>
                <w:color w:val="auto"/>
              </w:rPr>
            </w:pPr>
            <w:r>
              <w:rPr>
                <w:color w:val="auto"/>
              </w:rPr>
              <w:t>24</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ADC7343">
            <w:pPr>
              <w:pStyle w:val="33"/>
              <w:rPr>
                <w:color w:val="auto"/>
              </w:rPr>
            </w:pPr>
            <w:r>
              <w:rPr>
                <w:rFonts w:hint="eastAsia"/>
                <w:color w:val="auto"/>
              </w:rPr>
              <w:t>独连车</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263EBB98">
            <w:pPr>
              <w:pStyle w:val="33"/>
              <w:rPr>
                <w:color w:val="auto"/>
              </w:rPr>
            </w:pPr>
            <w:r>
              <w:rPr>
                <w:color w:val="auto"/>
              </w:rPr>
              <w:t>NW</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4FAF7023">
            <w:pPr>
              <w:pStyle w:val="33"/>
              <w:rPr>
                <w:color w:val="auto"/>
              </w:rPr>
            </w:pPr>
            <w:r>
              <w:rPr>
                <w:color w:val="auto"/>
              </w:rPr>
              <w:t>2445</w:t>
            </w:r>
          </w:p>
        </w:tc>
        <w:tc>
          <w:tcPr>
            <w:tcW w:w="785" w:type="pct"/>
            <w:tcBorders>
              <w:top w:val="single" w:color="auto" w:sz="4" w:space="0"/>
              <w:left w:val="single" w:color="auto" w:sz="4" w:space="0"/>
              <w:bottom w:val="single" w:color="auto" w:sz="4" w:space="0"/>
              <w:right w:val="single" w:color="auto" w:sz="4" w:space="0"/>
            </w:tcBorders>
            <w:vAlign w:val="center"/>
          </w:tcPr>
          <w:p w14:paraId="186DD837">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490C863A">
            <w:pPr>
              <w:pStyle w:val="33"/>
              <w:rPr>
                <w:color w:val="auto"/>
              </w:rPr>
            </w:pPr>
            <w:r>
              <w:rPr>
                <w:color w:val="auto"/>
              </w:rPr>
              <w:t>1698</w:t>
            </w:r>
          </w:p>
        </w:tc>
      </w:tr>
      <w:tr w14:paraId="7365D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3B5890C1">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4FB600C0">
            <w:pPr>
              <w:pStyle w:val="33"/>
              <w:rPr>
                <w:color w:val="auto"/>
              </w:rPr>
            </w:pPr>
            <w:r>
              <w:rPr>
                <w:color w:val="auto"/>
              </w:rPr>
              <w:t>25</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4479361">
            <w:pPr>
              <w:pStyle w:val="33"/>
              <w:rPr>
                <w:color w:val="auto"/>
              </w:rPr>
            </w:pPr>
            <w:r>
              <w:rPr>
                <w:rFonts w:hint="eastAsia"/>
                <w:color w:val="auto"/>
              </w:rPr>
              <w:t>大灶村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18EDAA9C">
            <w:pPr>
              <w:pStyle w:val="33"/>
              <w:rPr>
                <w:color w:val="auto"/>
              </w:rPr>
            </w:pPr>
            <w:r>
              <w:rPr>
                <w:color w:val="auto"/>
              </w:rPr>
              <w:t>SE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70B6E940">
            <w:pPr>
              <w:pStyle w:val="33"/>
              <w:rPr>
                <w:color w:val="auto"/>
              </w:rPr>
            </w:pPr>
            <w:r>
              <w:rPr>
                <w:color w:val="auto"/>
              </w:rPr>
              <w:t>5435</w:t>
            </w:r>
          </w:p>
        </w:tc>
        <w:tc>
          <w:tcPr>
            <w:tcW w:w="785" w:type="pct"/>
            <w:tcBorders>
              <w:top w:val="single" w:color="auto" w:sz="4" w:space="0"/>
              <w:left w:val="single" w:color="auto" w:sz="4" w:space="0"/>
              <w:bottom w:val="single" w:color="auto" w:sz="4" w:space="0"/>
              <w:right w:val="single" w:color="auto" w:sz="4" w:space="0"/>
            </w:tcBorders>
            <w:vAlign w:val="center"/>
          </w:tcPr>
          <w:p w14:paraId="341F4080">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2DFA38E8">
            <w:pPr>
              <w:pStyle w:val="33"/>
              <w:rPr>
                <w:color w:val="auto"/>
              </w:rPr>
            </w:pPr>
            <w:r>
              <w:rPr>
                <w:color w:val="auto"/>
              </w:rPr>
              <w:t>2000</w:t>
            </w:r>
          </w:p>
        </w:tc>
      </w:tr>
      <w:tr w14:paraId="187A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5FF5EB5">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50E1139B">
            <w:pPr>
              <w:pStyle w:val="33"/>
              <w:rPr>
                <w:color w:val="auto"/>
              </w:rPr>
            </w:pPr>
            <w:r>
              <w:rPr>
                <w:color w:val="auto"/>
              </w:rPr>
              <w:t>26</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5B9F095">
            <w:pPr>
              <w:pStyle w:val="33"/>
              <w:rPr>
                <w:color w:val="auto"/>
              </w:rPr>
            </w:pPr>
            <w:r>
              <w:rPr>
                <w:rFonts w:hint="eastAsia"/>
                <w:color w:val="auto"/>
              </w:rPr>
              <w:t>谷茅村</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294F64B7">
            <w:pPr>
              <w:pStyle w:val="33"/>
              <w:rPr>
                <w:color w:val="auto"/>
              </w:rPr>
            </w:pPr>
            <w:r>
              <w:rPr>
                <w:color w:val="auto"/>
              </w:rPr>
              <w:t>E</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65D77920">
            <w:pPr>
              <w:pStyle w:val="33"/>
              <w:rPr>
                <w:color w:val="auto"/>
              </w:rPr>
            </w:pPr>
            <w:r>
              <w:rPr>
                <w:color w:val="auto"/>
              </w:rPr>
              <w:t>5570</w:t>
            </w:r>
          </w:p>
        </w:tc>
        <w:tc>
          <w:tcPr>
            <w:tcW w:w="785" w:type="pct"/>
            <w:tcBorders>
              <w:top w:val="single" w:color="auto" w:sz="4" w:space="0"/>
              <w:left w:val="single" w:color="auto" w:sz="4" w:space="0"/>
              <w:bottom w:val="single" w:color="auto" w:sz="4" w:space="0"/>
              <w:right w:val="single" w:color="auto" w:sz="4" w:space="0"/>
            </w:tcBorders>
            <w:vAlign w:val="center"/>
          </w:tcPr>
          <w:p w14:paraId="164EA6C1">
            <w:pPr>
              <w:pStyle w:val="33"/>
              <w:rPr>
                <w:color w:val="auto"/>
              </w:rPr>
            </w:pPr>
            <w:r>
              <w:rPr>
                <w:rFonts w:hint="eastAsia"/>
                <w:color w:val="auto"/>
              </w:rPr>
              <w:t>居民区</w:t>
            </w:r>
          </w:p>
        </w:tc>
        <w:tc>
          <w:tcPr>
            <w:tcW w:w="660" w:type="pct"/>
            <w:tcBorders>
              <w:top w:val="single" w:color="auto" w:sz="4" w:space="0"/>
              <w:left w:val="single" w:color="auto" w:sz="4" w:space="0"/>
              <w:bottom w:val="single" w:color="auto" w:sz="4" w:space="0"/>
              <w:right w:val="single" w:color="auto" w:sz="4" w:space="0"/>
            </w:tcBorders>
            <w:vAlign w:val="center"/>
          </w:tcPr>
          <w:p w14:paraId="626003B1">
            <w:pPr>
              <w:pStyle w:val="33"/>
              <w:rPr>
                <w:color w:val="auto"/>
              </w:rPr>
            </w:pPr>
            <w:r>
              <w:rPr>
                <w:color w:val="auto"/>
              </w:rPr>
              <w:t>550</w:t>
            </w:r>
          </w:p>
        </w:tc>
      </w:tr>
      <w:tr w14:paraId="241EE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F5B992E">
            <w:pPr>
              <w:pStyle w:val="33"/>
              <w:rPr>
                <w:color w:val="auto"/>
              </w:rPr>
            </w:pPr>
          </w:p>
        </w:tc>
        <w:tc>
          <w:tcPr>
            <w:tcW w:w="3967" w:type="pct"/>
            <w:gridSpan w:val="7"/>
            <w:tcBorders>
              <w:top w:val="single" w:color="auto" w:sz="4" w:space="0"/>
              <w:left w:val="single" w:color="auto" w:sz="4" w:space="0"/>
              <w:bottom w:val="single" w:color="auto" w:sz="4" w:space="0"/>
              <w:right w:val="single" w:color="auto" w:sz="4" w:space="0"/>
            </w:tcBorders>
            <w:vAlign w:val="center"/>
          </w:tcPr>
          <w:p w14:paraId="6810435D">
            <w:pPr>
              <w:pStyle w:val="33"/>
              <w:rPr>
                <w:color w:val="auto"/>
              </w:rPr>
            </w:pPr>
            <w:r>
              <w:rPr>
                <w:color w:val="auto"/>
              </w:rPr>
              <w:t>厂址周边500m范围内人口数小计</w:t>
            </w:r>
          </w:p>
        </w:tc>
        <w:tc>
          <w:tcPr>
            <w:tcW w:w="660" w:type="pct"/>
            <w:tcBorders>
              <w:top w:val="single" w:color="auto" w:sz="4" w:space="0"/>
              <w:left w:val="single" w:color="auto" w:sz="4" w:space="0"/>
              <w:bottom w:val="single" w:color="auto" w:sz="4" w:space="0"/>
              <w:right w:val="single" w:color="auto" w:sz="4" w:space="0"/>
            </w:tcBorders>
            <w:vAlign w:val="center"/>
          </w:tcPr>
          <w:p w14:paraId="52F535D4">
            <w:pPr>
              <w:pStyle w:val="33"/>
              <w:rPr>
                <w:color w:val="auto"/>
              </w:rPr>
            </w:pPr>
            <w:r>
              <w:rPr>
                <w:color w:val="auto"/>
              </w:rPr>
              <w:t>7263</w:t>
            </w:r>
          </w:p>
        </w:tc>
      </w:tr>
      <w:tr w14:paraId="040C9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098598E">
            <w:pPr>
              <w:pStyle w:val="33"/>
              <w:rPr>
                <w:color w:val="auto"/>
              </w:rPr>
            </w:pPr>
          </w:p>
        </w:tc>
        <w:tc>
          <w:tcPr>
            <w:tcW w:w="3967" w:type="pct"/>
            <w:gridSpan w:val="7"/>
            <w:tcBorders>
              <w:top w:val="single" w:color="auto" w:sz="4" w:space="0"/>
              <w:left w:val="single" w:color="auto" w:sz="4" w:space="0"/>
              <w:bottom w:val="single" w:color="auto" w:sz="4" w:space="0"/>
              <w:right w:val="single" w:color="auto" w:sz="4" w:space="0"/>
            </w:tcBorders>
            <w:vAlign w:val="center"/>
          </w:tcPr>
          <w:p w14:paraId="7FB0881B">
            <w:pPr>
              <w:pStyle w:val="33"/>
              <w:rPr>
                <w:color w:val="auto"/>
              </w:rPr>
            </w:pPr>
            <w:r>
              <w:rPr>
                <w:color w:val="auto"/>
              </w:rPr>
              <w:t>厂址周边5000m范围内人口数小计</w:t>
            </w:r>
          </w:p>
        </w:tc>
        <w:tc>
          <w:tcPr>
            <w:tcW w:w="660" w:type="pct"/>
            <w:tcBorders>
              <w:top w:val="single" w:color="auto" w:sz="4" w:space="0"/>
              <w:left w:val="single" w:color="auto" w:sz="4" w:space="0"/>
              <w:bottom w:val="single" w:color="auto" w:sz="4" w:space="0"/>
              <w:right w:val="single" w:color="auto" w:sz="4" w:space="0"/>
            </w:tcBorders>
            <w:vAlign w:val="center"/>
          </w:tcPr>
          <w:p w14:paraId="326266C0">
            <w:pPr>
              <w:pStyle w:val="33"/>
              <w:rPr>
                <w:color w:val="auto"/>
              </w:rPr>
            </w:pPr>
            <w:r>
              <w:rPr>
                <w:color w:val="auto"/>
              </w:rPr>
              <w:t>2..04万人</w:t>
            </w:r>
          </w:p>
        </w:tc>
      </w:tr>
      <w:tr w14:paraId="6B4DD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35B6352">
            <w:pPr>
              <w:pStyle w:val="33"/>
              <w:rPr>
                <w:color w:val="auto"/>
              </w:rPr>
            </w:pPr>
          </w:p>
        </w:tc>
        <w:tc>
          <w:tcPr>
            <w:tcW w:w="3967" w:type="pct"/>
            <w:gridSpan w:val="7"/>
            <w:tcBorders>
              <w:top w:val="single" w:color="auto" w:sz="4" w:space="0"/>
              <w:left w:val="single" w:color="auto" w:sz="4" w:space="0"/>
              <w:bottom w:val="single" w:color="auto" w:sz="4" w:space="0"/>
              <w:right w:val="single" w:color="auto" w:sz="4" w:space="0"/>
            </w:tcBorders>
            <w:vAlign w:val="center"/>
          </w:tcPr>
          <w:p w14:paraId="13FE378E">
            <w:pPr>
              <w:pStyle w:val="33"/>
              <w:rPr>
                <w:color w:val="auto"/>
              </w:rPr>
            </w:pPr>
            <w:r>
              <w:rPr>
                <w:color w:val="auto"/>
              </w:rPr>
              <w:t>大气环境敏感程度E值</w:t>
            </w:r>
          </w:p>
        </w:tc>
        <w:tc>
          <w:tcPr>
            <w:tcW w:w="660" w:type="pct"/>
            <w:tcBorders>
              <w:top w:val="single" w:color="auto" w:sz="4" w:space="0"/>
              <w:left w:val="single" w:color="auto" w:sz="4" w:space="0"/>
              <w:bottom w:val="single" w:color="auto" w:sz="4" w:space="0"/>
              <w:right w:val="single" w:color="auto" w:sz="4" w:space="0"/>
            </w:tcBorders>
            <w:vAlign w:val="center"/>
          </w:tcPr>
          <w:p w14:paraId="1AA5F251">
            <w:pPr>
              <w:pStyle w:val="33"/>
              <w:rPr>
                <w:color w:val="auto"/>
              </w:rPr>
            </w:pPr>
            <w:r>
              <w:rPr>
                <w:color w:val="auto"/>
              </w:rPr>
              <w:t>E1</w:t>
            </w:r>
          </w:p>
        </w:tc>
      </w:tr>
      <w:tr w14:paraId="266B7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restart"/>
            <w:tcBorders>
              <w:top w:val="single" w:color="auto" w:sz="4" w:space="0"/>
              <w:left w:val="single" w:color="auto" w:sz="4" w:space="0"/>
              <w:bottom w:val="single" w:color="auto" w:sz="4" w:space="0"/>
              <w:right w:val="single" w:color="auto" w:sz="4" w:space="0"/>
            </w:tcBorders>
            <w:vAlign w:val="center"/>
          </w:tcPr>
          <w:p w14:paraId="24FBE0E8">
            <w:pPr>
              <w:pStyle w:val="33"/>
              <w:rPr>
                <w:color w:val="auto"/>
              </w:rPr>
            </w:pPr>
            <w:r>
              <w:rPr>
                <w:color w:val="auto"/>
              </w:rPr>
              <w:t>地表水</w:t>
            </w:r>
          </w:p>
        </w:tc>
        <w:tc>
          <w:tcPr>
            <w:tcW w:w="4627" w:type="pct"/>
            <w:gridSpan w:val="8"/>
            <w:tcBorders>
              <w:top w:val="single" w:color="auto" w:sz="4" w:space="0"/>
              <w:left w:val="single" w:color="auto" w:sz="4" w:space="0"/>
              <w:bottom w:val="single" w:color="auto" w:sz="4" w:space="0"/>
              <w:right w:val="single" w:color="auto" w:sz="4" w:space="0"/>
            </w:tcBorders>
            <w:vAlign w:val="center"/>
          </w:tcPr>
          <w:p w14:paraId="6DEFDFD9">
            <w:pPr>
              <w:pStyle w:val="33"/>
              <w:rPr>
                <w:color w:val="auto"/>
              </w:rPr>
            </w:pPr>
            <w:r>
              <w:rPr>
                <w:color w:val="auto"/>
              </w:rPr>
              <w:t>受纳水体</w:t>
            </w:r>
          </w:p>
        </w:tc>
      </w:tr>
      <w:tr w14:paraId="4F0C3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02E1DA8A">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2D899808">
            <w:pPr>
              <w:pStyle w:val="33"/>
              <w:rPr>
                <w:color w:val="auto"/>
              </w:rPr>
            </w:pPr>
            <w:r>
              <w:rPr>
                <w:color w:val="auto"/>
              </w:rPr>
              <w:t>序号</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29A31B8">
            <w:pPr>
              <w:pStyle w:val="33"/>
              <w:rPr>
                <w:color w:val="auto"/>
              </w:rPr>
            </w:pPr>
            <w:r>
              <w:rPr>
                <w:color w:val="auto"/>
              </w:rPr>
              <w:t>收纳水体名称</w:t>
            </w:r>
          </w:p>
        </w:tc>
        <w:tc>
          <w:tcPr>
            <w:tcW w:w="1431" w:type="pct"/>
            <w:gridSpan w:val="4"/>
            <w:tcBorders>
              <w:top w:val="single" w:color="auto" w:sz="4" w:space="0"/>
              <w:left w:val="single" w:color="auto" w:sz="4" w:space="0"/>
              <w:bottom w:val="single" w:color="auto" w:sz="4" w:space="0"/>
              <w:right w:val="single" w:color="auto" w:sz="4" w:space="0"/>
            </w:tcBorders>
            <w:vAlign w:val="center"/>
          </w:tcPr>
          <w:p w14:paraId="40721CE9">
            <w:pPr>
              <w:pStyle w:val="33"/>
              <w:rPr>
                <w:color w:val="auto"/>
              </w:rPr>
            </w:pPr>
            <w:r>
              <w:rPr>
                <w:color w:val="auto"/>
              </w:rPr>
              <w:t>排放点水域环境功能</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74CBF1E7">
            <w:pPr>
              <w:pStyle w:val="33"/>
              <w:rPr>
                <w:color w:val="auto"/>
              </w:rPr>
            </w:pPr>
            <w:r>
              <w:rPr>
                <w:color w:val="auto"/>
              </w:rPr>
              <w:t>24h内流经范围/km</w:t>
            </w:r>
          </w:p>
        </w:tc>
      </w:tr>
      <w:tr w14:paraId="52714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23DC63C">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36EAA1BF">
            <w:pPr>
              <w:pStyle w:val="33"/>
              <w:rPr>
                <w:color w:val="auto"/>
              </w:rPr>
            </w:pPr>
            <w:r>
              <w:rPr>
                <w:color w:val="auto"/>
              </w:rPr>
              <w:t>1</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24BEDD5">
            <w:pPr>
              <w:pStyle w:val="33"/>
              <w:rPr>
                <w:color w:val="auto"/>
              </w:rPr>
            </w:pPr>
            <w:r>
              <w:rPr>
                <w:color w:val="auto"/>
              </w:rPr>
              <w:t>钦州港（F3）</w:t>
            </w:r>
          </w:p>
        </w:tc>
        <w:tc>
          <w:tcPr>
            <w:tcW w:w="1431" w:type="pct"/>
            <w:gridSpan w:val="4"/>
            <w:tcBorders>
              <w:top w:val="single" w:color="auto" w:sz="4" w:space="0"/>
              <w:left w:val="single" w:color="auto" w:sz="4" w:space="0"/>
              <w:bottom w:val="single" w:color="auto" w:sz="4" w:space="0"/>
              <w:right w:val="single" w:color="auto" w:sz="4" w:space="0"/>
            </w:tcBorders>
            <w:vAlign w:val="center"/>
          </w:tcPr>
          <w:p w14:paraId="15EFEF3B">
            <w:pPr>
              <w:pStyle w:val="33"/>
              <w:rPr>
                <w:color w:val="auto"/>
              </w:rPr>
            </w:pPr>
            <w:r>
              <w:rPr>
                <w:color w:val="auto"/>
              </w:rPr>
              <w:t>四类水质目标</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30B95EA9">
            <w:pPr>
              <w:pStyle w:val="33"/>
              <w:rPr>
                <w:color w:val="auto"/>
              </w:rPr>
            </w:pPr>
            <w:r>
              <w:rPr>
                <w:color w:val="auto"/>
              </w:rPr>
              <w:t>/</w:t>
            </w:r>
          </w:p>
        </w:tc>
      </w:tr>
      <w:tr w14:paraId="485B2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5E4B70B8">
            <w:pPr>
              <w:pStyle w:val="33"/>
              <w:rPr>
                <w:color w:val="auto"/>
              </w:rPr>
            </w:pPr>
          </w:p>
        </w:tc>
        <w:tc>
          <w:tcPr>
            <w:tcW w:w="4627" w:type="pct"/>
            <w:gridSpan w:val="8"/>
            <w:tcBorders>
              <w:top w:val="single" w:color="auto" w:sz="4" w:space="0"/>
              <w:left w:val="single" w:color="auto" w:sz="4" w:space="0"/>
              <w:bottom w:val="single" w:color="auto" w:sz="4" w:space="0"/>
              <w:right w:val="single" w:color="auto" w:sz="4" w:space="0"/>
            </w:tcBorders>
            <w:vAlign w:val="center"/>
          </w:tcPr>
          <w:p w14:paraId="0F303B2F">
            <w:pPr>
              <w:pStyle w:val="33"/>
              <w:rPr>
                <w:color w:val="auto"/>
              </w:rPr>
            </w:pPr>
            <w:r>
              <w:rPr>
                <w:color w:val="auto"/>
              </w:rPr>
              <w:t>内陆水体排放点下游 10 km（近岸海域一个潮周期最大水平距离两倍）范围内敏感目标</w:t>
            </w:r>
          </w:p>
        </w:tc>
      </w:tr>
      <w:tr w14:paraId="7FA9A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6B4B9EC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4F17058B">
            <w:pPr>
              <w:pStyle w:val="33"/>
              <w:rPr>
                <w:color w:val="auto"/>
              </w:rPr>
            </w:pPr>
            <w:r>
              <w:rPr>
                <w:color w:val="auto"/>
              </w:rPr>
              <w:t>序号</w:t>
            </w:r>
          </w:p>
        </w:tc>
        <w:tc>
          <w:tcPr>
            <w:tcW w:w="1747"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413C89D3">
            <w:pPr>
              <w:pStyle w:val="33"/>
              <w:rPr>
                <w:color w:val="auto"/>
              </w:rPr>
            </w:pPr>
            <w:r>
              <w:rPr>
                <w:color w:val="auto"/>
              </w:rPr>
              <w:t>敏感目标名称</w:t>
            </w:r>
          </w:p>
        </w:tc>
        <w:tc>
          <w:tcPr>
            <w:tcW w:w="458" w:type="pct"/>
            <w:gridSpan w:val="2"/>
            <w:tcBorders>
              <w:top w:val="single" w:color="auto" w:sz="4" w:space="0"/>
              <w:left w:val="single" w:color="auto" w:sz="4" w:space="0"/>
              <w:bottom w:val="single" w:color="auto" w:sz="4" w:space="0"/>
              <w:right w:val="single" w:color="auto" w:sz="4" w:space="0"/>
            </w:tcBorders>
            <w:vAlign w:val="center"/>
          </w:tcPr>
          <w:p w14:paraId="4A8045CF">
            <w:pPr>
              <w:pStyle w:val="33"/>
              <w:rPr>
                <w:color w:val="auto"/>
              </w:rPr>
            </w:pPr>
            <w:r>
              <w:rPr>
                <w:color w:val="auto"/>
              </w:rPr>
              <w:t>环境敏感特征</w:t>
            </w:r>
          </w:p>
        </w:tc>
        <w:tc>
          <w:tcPr>
            <w:tcW w:w="597" w:type="pct"/>
            <w:tcBorders>
              <w:top w:val="single" w:color="auto" w:sz="4" w:space="0"/>
              <w:left w:val="single" w:color="auto" w:sz="4" w:space="0"/>
              <w:bottom w:val="single" w:color="auto" w:sz="4" w:space="0"/>
              <w:right w:val="single" w:color="auto" w:sz="4" w:space="0"/>
            </w:tcBorders>
            <w:vAlign w:val="center"/>
          </w:tcPr>
          <w:p w14:paraId="3602EE17">
            <w:pPr>
              <w:pStyle w:val="33"/>
              <w:rPr>
                <w:color w:val="auto"/>
              </w:rPr>
            </w:pPr>
            <w:r>
              <w:rPr>
                <w:color w:val="auto"/>
              </w:rPr>
              <w:t>水质目标</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2974C4AB">
            <w:pPr>
              <w:pStyle w:val="33"/>
              <w:rPr>
                <w:color w:val="auto"/>
              </w:rPr>
            </w:pPr>
            <w:r>
              <w:rPr>
                <w:color w:val="auto"/>
              </w:rPr>
              <w:t>与排放点距离/km</w:t>
            </w:r>
          </w:p>
        </w:tc>
      </w:tr>
      <w:tr w14:paraId="4A7B3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2A41968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31386D6B">
            <w:pPr>
              <w:pStyle w:val="33"/>
              <w:rPr>
                <w:color w:val="auto"/>
              </w:rPr>
            </w:pPr>
            <w:r>
              <w:rPr>
                <w:color w:val="auto"/>
              </w:rPr>
              <w:t>1</w:t>
            </w:r>
          </w:p>
        </w:tc>
        <w:tc>
          <w:tcPr>
            <w:tcW w:w="1747"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5CCA7A6F">
            <w:pPr>
              <w:pStyle w:val="33"/>
              <w:rPr>
                <w:color w:val="auto"/>
              </w:rPr>
            </w:pPr>
            <w:r>
              <w:rPr>
                <w:color w:val="auto"/>
              </w:rPr>
              <w:t>鹿耳环江红树林区</w:t>
            </w:r>
          </w:p>
        </w:tc>
        <w:tc>
          <w:tcPr>
            <w:tcW w:w="458" w:type="pct"/>
            <w:gridSpan w:val="2"/>
            <w:tcBorders>
              <w:top w:val="single" w:color="auto" w:sz="4" w:space="0"/>
              <w:left w:val="single" w:color="auto" w:sz="4" w:space="0"/>
              <w:bottom w:val="single" w:color="auto" w:sz="4" w:space="0"/>
              <w:right w:val="single" w:color="auto" w:sz="4" w:space="0"/>
            </w:tcBorders>
            <w:vAlign w:val="center"/>
          </w:tcPr>
          <w:p w14:paraId="5EC7E8FC">
            <w:pPr>
              <w:pStyle w:val="33"/>
              <w:rPr>
                <w:color w:val="auto"/>
              </w:rPr>
            </w:pPr>
            <w:r>
              <w:rPr>
                <w:color w:val="auto"/>
              </w:rPr>
              <w:t>/</w:t>
            </w:r>
          </w:p>
        </w:tc>
        <w:tc>
          <w:tcPr>
            <w:tcW w:w="597" w:type="pct"/>
            <w:tcBorders>
              <w:top w:val="single" w:color="auto" w:sz="4" w:space="0"/>
              <w:left w:val="single" w:color="auto" w:sz="4" w:space="0"/>
              <w:right w:val="single" w:color="auto" w:sz="4" w:space="0"/>
            </w:tcBorders>
            <w:vAlign w:val="center"/>
          </w:tcPr>
          <w:p w14:paraId="364204A2">
            <w:pPr>
              <w:pStyle w:val="33"/>
              <w:rPr>
                <w:color w:val="auto"/>
              </w:rPr>
            </w:pPr>
            <w:r>
              <w:rPr>
                <w:color w:val="auto"/>
              </w:rPr>
              <w:t>/</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1DB882B6">
            <w:pPr>
              <w:pStyle w:val="33"/>
              <w:rPr>
                <w:color w:val="auto"/>
              </w:rPr>
            </w:pPr>
            <w:r>
              <w:rPr>
                <w:color w:val="auto"/>
              </w:rPr>
              <w:t>2.4</w:t>
            </w:r>
          </w:p>
        </w:tc>
      </w:tr>
      <w:tr w14:paraId="0294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7493B316">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614A3A64">
            <w:pPr>
              <w:pStyle w:val="33"/>
              <w:rPr>
                <w:color w:val="auto"/>
              </w:rPr>
            </w:pPr>
            <w:r>
              <w:rPr>
                <w:color w:val="auto"/>
              </w:rPr>
              <w:t>2</w:t>
            </w:r>
          </w:p>
        </w:tc>
        <w:tc>
          <w:tcPr>
            <w:tcW w:w="1747"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77AF01A4">
            <w:pPr>
              <w:pStyle w:val="33"/>
              <w:rPr>
                <w:color w:val="auto"/>
              </w:rPr>
            </w:pPr>
            <w:r>
              <w:rPr>
                <w:color w:val="auto"/>
              </w:rPr>
              <w:t>金鼓江红树林区</w:t>
            </w:r>
          </w:p>
        </w:tc>
        <w:tc>
          <w:tcPr>
            <w:tcW w:w="458" w:type="pct"/>
            <w:gridSpan w:val="2"/>
            <w:tcBorders>
              <w:top w:val="single" w:color="auto" w:sz="4" w:space="0"/>
              <w:left w:val="single" w:color="auto" w:sz="4" w:space="0"/>
              <w:bottom w:val="single" w:color="auto" w:sz="4" w:space="0"/>
              <w:right w:val="single" w:color="auto" w:sz="4" w:space="0"/>
            </w:tcBorders>
            <w:vAlign w:val="center"/>
          </w:tcPr>
          <w:p w14:paraId="0FDEDF53">
            <w:pPr>
              <w:pStyle w:val="33"/>
              <w:rPr>
                <w:color w:val="auto"/>
              </w:rPr>
            </w:pPr>
            <w:r>
              <w:rPr>
                <w:color w:val="auto"/>
              </w:rPr>
              <w:t>/</w:t>
            </w:r>
          </w:p>
        </w:tc>
        <w:tc>
          <w:tcPr>
            <w:tcW w:w="597" w:type="pct"/>
            <w:tcBorders>
              <w:left w:val="single" w:color="auto" w:sz="4" w:space="0"/>
              <w:right w:val="single" w:color="auto" w:sz="4" w:space="0"/>
            </w:tcBorders>
            <w:vAlign w:val="center"/>
          </w:tcPr>
          <w:p w14:paraId="742A389C">
            <w:pPr>
              <w:pStyle w:val="33"/>
              <w:rPr>
                <w:color w:val="auto"/>
              </w:rPr>
            </w:pPr>
            <w:r>
              <w:rPr>
                <w:rFonts w:hint="eastAsia"/>
                <w:color w:val="auto"/>
              </w:rPr>
              <w:t>/</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12CAA120">
            <w:pPr>
              <w:pStyle w:val="33"/>
              <w:rPr>
                <w:color w:val="auto"/>
              </w:rPr>
            </w:pPr>
            <w:r>
              <w:rPr>
                <w:color w:val="auto"/>
              </w:rPr>
              <w:t>5.2</w:t>
            </w:r>
          </w:p>
        </w:tc>
      </w:tr>
      <w:tr w14:paraId="3D4E6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0371B527">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3C3F5B7B">
            <w:pPr>
              <w:pStyle w:val="33"/>
              <w:rPr>
                <w:color w:val="auto"/>
              </w:rPr>
            </w:pPr>
            <w:r>
              <w:rPr>
                <w:color w:val="auto"/>
              </w:rPr>
              <w:t>3</w:t>
            </w:r>
          </w:p>
        </w:tc>
        <w:tc>
          <w:tcPr>
            <w:tcW w:w="1747" w:type="pct"/>
            <w:gridSpan w:val="2"/>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65A56500">
            <w:pPr>
              <w:pStyle w:val="33"/>
              <w:rPr>
                <w:color w:val="auto"/>
              </w:rPr>
            </w:pPr>
            <w:r>
              <w:rPr>
                <w:color w:val="auto"/>
              </w:rPr>
              <w:t>茅尾海红树林自治区级自然保护区</w:t>
            </w:r>
          </w:p>
        </w:tc>
        <w:tc>
          <w:tcPr>
            <w:tcW w:w="458" w:type="pct"/>
            <w:gridSpan w:val="2"/>
            <w:tcBorders>
              <w:top w:val="single" w:color="auto" w:sz="4" w:space="0"/>
              <w:left w:val="single" w:color="auto" w:sz="4" w:space="0"/>
              <w:bottom w:val="single" w:color="auto" w:sz="4" w:space="0"/>
              <w:right w:val="single" w:color="auto" w:sz="4" w:space="0"/>
            </w:tcBorders>
            <w:vAlign w:val="center"/>
          </w:tcPr>
          <w:p w14:paraId="15208E10">
            <w:pPr>
              <w:pStyle w:val="33"/>
              <w:rPr>
                <w:color w:val="auto"/>
              </w:rPr>
            </w:pPr>
            <w:r>
              <w:rPr>
                <w:color w:val="auto"/>
              </w:rPr>
              <w:t>/</w:t>
            </w:r>
          </w:p>
        </w:tc>
        <w:tc>
          <w:tcPr>
            <w:tcW w:w="597" w:type="pct"/>
            <w:tcBorders>
              <w:left w:val="single" w:color="auto" w:sz="4" w:space="0"/>
              <w:right w:val="single" w:color="auto" w:sz="4" w:space="0"/>
            </w:tcBorders>
            <w:vAlign w:val="center"/>
          </w:tcPr>
          <w:p w14:paraId="1CF6C638">
            <w:pPr>
              <w:pStyle w:val="33"/>
              <w:rPr>
                <w:color w:val="auto"/>
              </w:rPr>
            </w:pPr>
            <w:r>
              <w:rPr>
                <w:rFonts w:hint="eastAsia"/>
                <w:color w:val="auto"/>
              </w:rPr>
              <w:t>/</w:t>
            </w:r>
          </w:p>
        </w:tc>
        <w:tc>
          <w:tcPr>
            <w:tcW w:w="1445" w:type="pct"/>
            <w:gridSpan w:val="2"/>
            <w:tcBorders>
              <w:top w:val="single" w:color="auto" w:sz="4" w:space="0"/>
              <w:left w:val="single" w:color="auto" w:sz="4" w:space="0"/>
              <w:bottom w:val="single" w:color="auto" w:sz="4" w:space="0"/>
              <w:right w:val="single" w:color="auto" w:sz="4" w:space="0"/>
            </w:tcBorders>
            <w:vAlign w:val="center"/>
          </w:tcPr>
          <w:p w14:paraId="421F13FB">
            <w:pPr>
              <w:pStyle w:val="33"/>
              <w:rPr>
                <w:color w:val="auto"/>
              </w:rPr>
            </w:pPr>
            <w:r>
              <w:rPr>
                <w:color w:val="auto"/>
              </w:rPr>
              <w:t>8.3</w:t>
            </w:r>
          </w:p>
        </w:tc>
      </w:tr>
      <w:tr w14:paraId="1696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03265619">
            <w:pPr>
              <w:pStyle w:val="33"/>
              <w:rPr>
                <w:color w:val="auto"/>
              </w:rPr>
            </w:pPr>
          </w:p>
        </w:tc>
        <w:tc>
          <w:tcPr>
            <w:tcW w:w="3967" w:type="pct"/>
            <w:gridSpan w:val="7"/>
            <w:tcBorders>
              <w:top w:val="single" w:color="auto" w:sz="4" w:space="0"/>
              <w:left w:val="single" w:color="auto" w:sz="4" w:space="0"/>
              <w:bottom w:val="single" w:color="auto" w:sz="4" w:space="0"/>
              <w:right w:val="single" w:color="auto" w:sz="4" w:space="0"/>
            </w:tcBorders>
            <w:vAlign w:val="center"/>
          </w:tcPr>
          <w:p w14:paraId="70C19F06">
            <w:pPr>
              <w:pStyle w:val="33"/>
              <w:rPr>
                <w:color w:val="auto"/>
              </w:rPr>
            </w:pPr>
            <w:r>
              <w:rPr>
                <w:color w:val="auto"/>
              </w:rPr>
              <w:t>地表水环境敏感程度E值</w:t>
            </w:r>
          </w:p>
        </w:tc>
        <w:tc>
          <w:tcPr>
            <w:tcW w:w="660" w:type="pct"/>
            <w:tcBorders>
              <w:top w:val="single" w:color="auto" w:sz="4" w:space="0"/>
              <w:left w:val="single" w:color="auto" w:sz="4" w:space="0"/>
              <w:bottom w:val="single" w:color="auto" w:sz="4" w:space="0"/>
              <w:right w:val="single" w:color="auto" w:sz="4" w:space="0"/>
            </w:tcBorders>
            <w:vAlign w:val="center"/>
          </w:tcPr>
          <w:p w14:paraId="4EFE8DE3">
            <w:pPr>
              <w:pStyle w:val="33"/>
              <w:rPr>
                <w:color w:val="auto"/>
              </w:rPr>
            </w:pPr>
            <w:r>
              <w:rPr>
                <w:color w:val="auto"/>
              </w:rPr>
              <w:t>E2</w:t>
            </w:r>
          </w:p>
        </w:tc>
      </w:tr>
      <w:tr w14:paraId="7F699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restart"/>
            <w:tcBorders>
              <w:top w:val="single" w:color="auto" w:sz="4" w:space="0"/>
              <w:left w:val="single" w:color="auto" w:sz="4" w:space="0"/>
              <w:bottom w:val="single" w:color="auto" w:sz="4" w:space="0"/>
              <w:right w:val="single" w:color="auto" w:sz="4" w:space="0"/>
            </w:tcBorders>
            <w:vAlign w:val="center"/>
          </w:tcPr>
          <w:p w14:paraId="15766F1E">
            <w:pPr>
              <w:pStyle w:val="33"/>
              <w:rPr>
                <w:color w:val="auto"/>
              </w:rPr>
            </w:pPr>
            <w:r>
              <w:rPr>
                <w:color w:val="auto"/>
              </w:rPr>
              <w:t>地下水</w:t>
            </w:r>
          </w:p>
        </w:tc>
        <w:tc>
          <w:tcPr>
            <w:tcW w:w="380" w:type="pct"/>
            <w:tcBorders>
              <w:top w:val="single" w:color="auto" w:sz="4" w:space="0"/>
              <w:left w:val="single" w:color="auto" w:sz="4" w:space="0"/>
              <w:bottom w:val="single" w:color="auto" w:sz="4" w:space="0"/>
              <w:right w:val="single" w:color="auto" w:sz="4" w:space="0"/>
            </w:tcBorders>
            <w:vAlign w:val="center"/>
          </w:tcPr>
          <w:p w14:paraId="7B91866B">
            <w:pPr>
              <w:pStyle w:val="33"/>
              <w:rPr>
                <w:color w:val="auto"/>
              </w:rPr>
            </w:pPr>
            <w:r>
              <w:rPr>
                <w:color w:val="auto"/>
              </w:rPr>
              <w:t>序号</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18DEC3BD">
            <w:pPr>
              <w:pStyle w:val="33"/>
              <w:rPr>
                <w:color w:val="auto"/>
              </w:rPr>
            </w:pPr>
            <w:r>
              <w:rPr>
                <w:color w:val="auto"/>
              </w:rPr>
              <w:t>环境敏感区名称</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3507EFB8">
            <w:pPr>
              <w:pStyle w:val="33"/>
              <w:rPr>
                <w:color w:val="auto"/>
              </w:rPr>
            </w:pPr>
            <w:r>
              <w:rPr>
                <w:color w:val="auto"/>
              </w:rPr>
              <w:t>环境敏感特征</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0C843951">
            <w:pPr>
              <w:pStyle w:val="33"/>
              <w:rPr>
                <w:color w:val="auto"/>
              </w:rPr>
            </w:pPr>
            <w:r>
              <w:rPr>
                <w:color w:val="auto"/>
              </w:rPr>
              <w:t>水质目标</w:t>
            </w:r>
          </w:p>
        </w:tc>
        <w:tc>
          <w:tcPr>
            <w:tcW w:w="785" w:type="pct"/>
            <w:tcBorders>
              <w:top w:val="single" w:color="auto" w:sz="4" w:space="0"/>
              <w:left w:val="single" w:color="auto" w:sz="4" w:space="0"/>
              <w:bottom w:val="single" w:color="auto" w:sz="4" w:space="0"/>
              <w:right w:val="single" w:color="auto" w:sz="4" w:space="0"/>
            </w:tcBorders>
            <w:vAlign w:val="center"/>
          </w:tcPr>
          <w:p w14:paraId="4797993D">
            <w:pPr>
              <w:pStyle w:val="33"/>
              <w:rPr>
                <w:color w:val="auto"/>
              </w:rPr>
            </w:pPr>
            <w:r>
              <w:rPr>
                <w:color w:val="auto"/>
              </w:rPr>
              <w:t>包气带防污性能</w:t>
            </w:r>
          </w:p>
        </w:tc>
        <w:tc>
          <w:tcPr>
            <w:tcW w:w="660" w:type="pct"/>
            <w:tcBorders>
              <w:top w:val="single" w:color="auto" w:sz="4" w:space="0"/>
              <w:left w:val="single" w:color="auto" w:sz="4" w:space="0"/>
              <w:bottom w:val="single" w:color="auto" w:sz="4" w:space="0"/>
              <w:right w:val="single" w:color="auto" w:sz="4" w:space="0"/>
            </w:tcBorders>
            <w:vAlign w:val="center"/>
          </w:tcPr>
          <w:p w14:paraId="1DDE9792">
            <w:pPr>
              <w:pStyle w:val="33"/>
              <w:rPr>
                <w:color w:val="auto"/>
              </w:rPr>
            </w:pPr>
            <w:r>
              <w:rPr>
                <w:color w:val="auto"/>
              </w:rPr>
              <w:t>与下游厂界距离/m</w:t>
            </w:r>
          </w:p>
        </w:tc>
      </w:tr>
      <w:tr w14:paraId="7D9D5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0FE43335">
            <w:pPr>
              <w:pStyle w:val="33"/>
              <w:rPr>
                <w:color w:val="auto"/>
              </w:rPr>
            </w:pPr>
          </w:p>
        </w:tc>
        <w:tc>
          <w:tcPr>
            <w:tcW w:w="380" w:type="pct"/>
            <w:tcBorders>
              <w:top w:val="single" w:color="auto" w:sz="4" w:space="0"/>
              <w:left w:val="single" w:color="auto" w:sz="4" w:space="0"/>
              <w:bottom w:val="single" w:color="auto" w:sz="4" w:space="0"/>
              <w:right w:val="single" w:color="auto" w:sz="4" w:space="0"/>
            </w:tcBorders>
            <w:vAlign w:val="center"/>
          </w:tcPr>
          <w:p w14:paraId="408D371E">
            <w:pPr>
              <w:pStyle w:val="33"/>
              <w:rPr>
                <w:color w:val="auto"/>
              </w:rPr>
            </w:pPr>
            <w:r>
              <w:rPr>
                <w:color w:val="auto"/>
              </w:rPr>
              <w:t>1</w:t>
            </w:r>
          </w:p>
        </w:tc>
        <w:tc>
          <w:tcPr>
            <w:tcW w:w="1371" w:type="pct"/>
            <w:tcBorders>
              <w:top w:val="single" w:color="auto" w:sz="4" w:space="0"/>
              <w:left w:val="single" w:color="auto" w:sz="4" w:space="0"/>
              <w:bottom w:val="single" w:color="auto" w:sz="4" w:space="0"/>
              <w:right w:val="single" w:color="auto" w:sz="4" w:space="0"/>
            </w:tcBorders>
            <w:tcMar>
              <w:top w:w="15" w:type="dxa"/>
              <w:left w:w="15" w:type="dxa"/>
              <w:bottom w:w="15" w:type="dxa"/>
              <w:right w:w="15" w:type="dxa"/>
            </w:tcMar>
            <w:vAlign w:val="center"/>
          </w:tcPr>
          <w:p w14:paraId="048862F4">
            <w:pPr>
              <w:pStyle w:val="33"/>
              <w:rPr>
                <w:color w:val="auto"/>
              </w:rPr>
            </w:pPr>
            <w:r>
              <w:rPr>
                <w:color w:val="auto"/>
              </w:rPr>
              <w:t>现状供水</w:t>
            </w:r>
            <w:r>
              <w:rPr>
                <w:rFonts w:hint="eastAsia"/>
                <w:color w:val="auto"/>
              </w:rPr>
              <w:t>民</w:t>
            </w:r>
            <w:r>
              <w:rPr>
                <w:color w:val="auto"/>
              </w:rPr>
              <w:t>井</w:t>
            </w:r>
          </w:p>
        </w:tc>
        <w:tc>
          <w:tcPr>
            <w:tcW w:w="591" w:type="pct"/>
            <w:gridSpan w:val="2"/>
            <w:tcBorders>
              <w:top w:val="single" w:color="auto" w:sz="4" w:space="0"/>
              <w:left w:val="single" w:color="auto" w:sz="4" w:space="0"/>
              <w:bottom w:val="single" w:color="auto" w:sz="4" w:space="0"/>
              <w:right w:val="single" w:color="auto" w:sz="4" w:space="0"/>
            </w:tcBorders>
            <w:vAlign w:val="center"/>
          </w:tcPr>
          <w:p w14:paraId="7F48D113">
            <w:pPr>
              <w:pStyle w:val="33"/>
              <w:rPr>
                <w:color w:val="auto"/>
              </w:rPr>
            </w:pPr>
            <w:r>
              <w:rPr>
                <w:rFonts w:hint="eastAsia"/>
                <w:color w:val="auto"/>
              </w:rPr>
              <w:t>较</w:t>
            </w:r>
            <w:r>
              <w:rPr>
                <w:color w:val="auto"/>
              </w:rPr>
              <w:t>敏感</w:t>
            </w:r>
          </w:p>
        </w:tc>
        <w:tc>
          <w:tcPr>
            <w:tcW w:w="840" w:type="pct"/>
            <w:gridSpan w:val="2"/>
            <w:tcBorders>
              <w:top w:val="single" w:color="auto" w:sz="4" w:space="0"/>
              <w:left w:val="single" w:color="auto" w:sz="4" w:space="0"/>
              <w:bottom w:val="single" w:color="auto" w:sz="4" w:space="0"/>
              <w:right w:val="single" w:color="auto" w:sz="4" w:space="0"/>
            </w:tcBorders>
            <w:vAlign w:val="center"/>
          </w:tcPr>
          <w:p w14:paraId="2789CD13">
            <w:pPr>
              <w:pStyle w:val="33"/>
              <w:rPr>
                <w:color w:val="auto"/>
              </w:rPr>
            </w:pPr>
            <w:r>
              <w:rPr>
                <w:color w:val="auto"/>
              </w:rPr>
              <w:t>/</w:t>
            </w:r>
          </w:p>
        </w:tc>
        <w:tc>
          <w:tcPr>
            <w:tcW w:w="785" w:type="pct"/>
            <w:tcBorders>
              <w:top w:val="single" w:color="auto" w:sz="4" w:space="0"/>
              <w:left w:val="single" w:color="auto" w:sz="4" w:space="0"/>
              <w:bottom w:val="single" w:color="auto" w:sz="4" w:space="0"/>
              <w:right w:val="single" w:color="auto" w:sz="4" w:space="0"/>
            </w:tcBorders>
            <w:vAlign w:val="center"/>
          </w:tcPr>
          <w:p w14:paraId="6C8D1F73">
            <w:pPr>
              <w:pStyle w:val="33"/>
              <w:rPr>
                <w:color w:val="auto"/>
              </w:rPr>
            </w:pPr>
            <w:r>
              <w:rPr>
                <w:color w:val="auto"/>
              </w:rPr>
              <w:t>3.8×10</w:t>
            </w:r>
            <w:r>
              <w:rPr>
                <w:color w:val="auto"/>
                <w:vertAlign w:val="superscript"/>
              </w:rPr>
              <w:t>-5</w:t>
            </w:r>
            <w:r>
              <w:rPr>
                <w:color w:val="auto"/>
              </w:rPr>
              <w:t>cm/s</w:t>
            </w:r>
            <w:r>
              <w:rPr>
                <w:rFonts w:hint="eastAsia"/>
                <w:color w:val="auto"/>
              </w:rPr>
              <w:t>（</w:t>
            </w:r>
            <w:r>
              <w:rPr>
                <w:color w:val="auto"/>
              </w:rPr>
              <w:t>D2</w:t>
            </w:r>
            <w:r>
              <w:rPr>
                <w:rFonts w:hint="eastAsia"/>
                <w:color w:val="auto"/>
              </w:rPr>
              <w:t>）</w:t>
            </w:r>
          </w:p>
        </w:tc>
        <w:tc>
          <w:tcPr>
            <w:tcW w:w="660" w:type="pct"/>
            <w:tcBorders>
              <w:top w:val="single" w:color="auto" w:sz="4" w:space="0"/>
              <w:left w:val="single" w:color="auto" w:sz="4" w:space="0"/>
              <w:bottom w:val="single" w:color="auto" w:sz="4" w:space="0"/>
              <w:right w:val="single" w:color="auto" w:sz="4" w:space="0"/>
            </w:tcBorders>
            <w:vAlign w:val="center"/>
          </w:tcPr>
          <w:p w14:paraId="7CFC7EE7">
            <w:pPr>
              <w:pStyle w:val="33"/>
              <w:rPr>
                <w:color w:val="auto"/>
              </w:rPr>
            </w:pPr>
            <w:r>
              <w:rPr>
                <w:color w:val="auto"/>
              </w:rPr>
              <w:t>/</w:t>
            </w:r>
          </w:p>
        </w:tc>
      </w:tr>
      <w:tr w14:paraId="4065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373" w:type="pct"/>
            <w:vMerge w:val="continue"/>
            <w:tcBorders>
              <w:top w:val="single" w:color="auto" w:sz="4" w:space="0"/>
              <w:left w:val="single" w:color="auto" w:sz="4" w:space="0"/>
              <w:bottom w:val="single" w:color="auto" w:sz="4" w:space="0"/>
              <w:right w:val="single" w:color="auto" w:sz="4" w:space="0"/>
            </w:tcBorders>
            <w:vAlign w:val="center"/>
          </w:tcPr>
          <w:p w14:paraId="17D7E4E0">
            <w:pPr>
              <w:pStyle w:val="33"/>
              <w:rPr>
                <w:color w:val="auto"/>
              </w:rPr>
            </w:pPr>
          </w:p>
        </w:tc>
        <w:tc>
          <w:tcPr>
            <w:tcW w:w="3967" w:type="pct"/>
            <w:gridSpan w:val="7"/>
            <w:tcBorders>
              <w:top w:val="single" w:color="auto" w:sz="4" w:space="0"/>
              <w:left w:val="single" w:color="auto" w:sz="4" w:space="0"/>
              <w:bottom w:val="single" w:color="auto" w:sz="4" w:space="0"/>
              <w:right w:val="single" w:color="auto" w:sz="4" w:space="0"/>
            </w:tcBorders>
            <w:vAlign w:val="center"/>
          </w:tcPr>
          <w:p w14:paraId="50743207">
            <w:pPr>
              <w:pStyle w:val="33"/>
              <w:rPr>
                <w:color w:val="auto"/>
              </w:rPr>
            </w:pPr>
            <w:r>
              <w:rPr>
                <w:color w:val="auto"/>
              </w:rPr>
              <w:t>地下水环境敏感程度E值</w:t>
            </w:r>
          </w:p>
        </w:tc>
        <w:tc>
          <w:tcPr>
            <w:tcW w:w="660" w:type="pct"/>
            <w:tcBorders>
              <w:top w:val="single" w:color="auto" w:sz="4" w:space="0"/>
              <w:left w:val="single" w:color="auto" w:sz="4" w:space="0"/>
              <w:bottom w:val="single" w:color="auto" w:sz="4" w:space="0"/>
              <w:right w:val="single" w:color="auto" w:sz="4" w:space="0"/>
            </w:tcBorders>
            <w:vAlign w:val="center"/>
          </w:tcPr>
          <w:p w14:paraId="14B0096B">
            <w:pPr>
              <w:pStyle w:val="33"/>
              <w:rPr>
                <w:color w:val="auto"/>
              </w:rPr>
            </w:pPr>
            <w:r>
              <w:rPr>
                <w:color w:val="auto"/>
              </w:rPr>
              <w:t>E2</w:t>
            </w:r>
          </w:p>
        </w:tc>
      </w:tr>
    </w:tbl>
    <w:p w14:paraId="309F6765">
      <w:pPr>
        <w:pStyle w:val="3"/>
        <w:rPr>
          <w:rFonts w:cs="Times New Roman"/>
          <w:color w:val="auto"/>
        </w:rPr>
      </w:pPr>
      <w:bookmarkStart w:id="537" w:name="_Toc225216836"/>
      <w:bookmarkStart w:id="538" w:name="_Toc221355738"/>
      <w:bookmarkStart w:id="539" w:name="_Toc4392"/>
      <w:r>
        <w:rPr>
          <w:rFonts w:cs="Times New Roman"/>
          <w:color w:val="auto"/>
        </w:rPr>
        <w:t>环境风险评价工作等级</w:t>
      </w:r>
      <w:bookmarkEnd w:id="537"/>
      <w:bookmarkEnd w:id="538"/>
      <w:bookmarkEnd w:id="539"/>
    </w:p>
    <w:p w14:paraId="6E4E6C8C">
      <w:pPr>
        <w:pStyle w:val="4"/>
        <w:rPr>
          <w:rFonts w:cs="Times New Roman"/>
          <w:color w:val="auto"/>
        </w:rPr>
      </w:pPr>
      <w:bookmarkStart w:id="540" w:name="_Toc225216837"/>
      <w:r>
        <w:rPr>
          <w:rFonts w:cs="Times New Roman"/>
          <w:color w:val="auto"/>
        </w:rPr>
        <w:t>环境风险潜势判定</w:t>
      </w:r>
      <w:bookmarkEnd w:id="540"/>
    </w:p>
    <w:p w14:paraId="51A7356A">
      <w:pPr>
        <w:pStyle w:val="5"/>
        <w:rPr>
          <w:rFonts w:cs="Times New Roman"/>
          <w:color w:val="auto"/>
        </w:rPr>
      </w:pPr>
      <w:r>
        <w:rPr>
          <w:rFonts w:cs="Times New Roman"/>
          <w:color w:val="auto"/>
        </w:rPr>
        <w:t>危险物质数量与临界量比值Q</w:t>
      </w:r>
    </w:p>
    <w:p w14:paraId="16B8F568">
      <w:pPr>
        <w:ind w:firstLine="480"/>
        <w:rPr>
          <w:color w:val="auto"/>
        </w:rPr>
      </w:pPr>
      <w:r>
        <w:rPr>
          <w:color w:val="auto"/>
        </w:rPr>
        <w:t>根据《建设项目环境风险评价技术导则》（HJ169-2018）附录C，环境风险物质数量与临界量比值的规定如下：</w:t>
      </w:r>
    </w:p>
    <w:p w14:paraId="50AB5EB6">
      <w:pPr>
        <w:ind w:firstLine="480"/>
        <w:rPr>
          <w:color w:val="auto"/>
        </w:rPr>
      </w:pPr>
      <w:r>
        <w:rPr>
          <w:color w:val="auto"/>
        </w:rPr>
        <w:t>当企业只涉及一种环境风险物质时，计算该物质的总数量与其临界量比值，即为 Q；</w:t>
      </w:r>
    </w:p>
    <w:p w14:paraId="595D5457">
      <w:pPr>
        <w:ind w:firstLine="480"/>
        <w:jc w:val="center"/>
        <w:rPr>
          <w:color w:val="auto"/>
        </w:rPr>
      </w:pPr>
      <w:r>
        <w:rPr>
          <w:color w:val="auto"/>
        </w:rPr>
        <w:t>当企业存在多种环境风险物质时，则按下式计算物质数量与其临界量比值（Q）：Q=q</w:t>
      </w:r>
      <w:r>
        <w:rPr>
          <w:color w:val="auto"/>
          <w:vertAlign w:val="subscript"/>
        </w:rPr>
        <w:t>1</w:t>
      </w:r>
      <w:r>
        <w:rPr>
          <w:color w:val="auto"/>
        </w:rPr>
        <w:t>/Q</w:t>
      </w:r>
      <w:r>
        <w:rPr>
          <w:color w:val="auto"/>
          <w:vertAlign w:val="subscript"/>
        </w:rPr>
        <w:t>1</w:t>
      </w:r>
      <w:r>
        <w:rPr>
          <w:color w:val="auto"/>
        </w:rPr>
        <w:t>+q</w:t>
      </w:r>
      <w:r>
        <w:rPr>
          <w:color w:val="auto"/>
          <w:vertAlign w:val="subscript"/>
        </w:rPr>
        <w:t>2</w:t>
      </w:r>
      <w:r>
        <w:rPr>
          <w:color w:val="auto"/>
        </w:rPr>
        <w:t>/Q</w:t>
      </w:r>
      <w:r>
        <w:rPr>
          <w:color w:val="auto"/>
          <w:vertAlign w:val="subscript"/>
        </w:rPr>
        <w:t>2</w:t>
      </w:r>
      <w:r>
        <w:rPr>
          <w:color w:val="auto"/>
        </w:rPr>
        <w:t>+…+q</w:t>
      </w:r>
      <w:r>
        <w:rPr>
          <w:color w:val="auto"/>
          <w:vertAlign w:val="subscript"/>
        </w:rPr>
        <w:t>n</w:t>
      </w:r>
      <w:r>
        <w:rPr>
          <w:color w:val="auto"/>
        </w:rPr>
        <w:t>/Q</w:t>
      </w:r>
      <w:r>
        <w:rPr>
          <w:color w:val="auto"/>
          <w:vertAlign w:val="subscript"/>
        </w:rPr>
        <w:t>n</w:t>
      </w:r>
    </w:p>
    <w:p w14:paraId="6C7980D8">
      <w:pPr>
        <w:ind w:firstLine="480"/>
        <w:rPr>
          <w:color w:val="auto"/>
        </w:rPr>
      </w:pPr>
      <w:r>
        <w:rPr>
          <w:color w:val="auto"/>
        </w:rPr>
        <w:t>式中：q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—每种危险化学品实际存在量，单位为吨（t）；</w:t>
      </w:r>
    </w:p>
    <w:p w14:paraId="0C50C63F">
      <w:pPr>
        <w:ind w:firstLine="480"/>
        <w:rPr>
          <w:color w:val="auto"/>
        </w:rPr>
      </w:pPr>
      <w:r>
        <w:rPr>
          <w:color w:val="auto"/>
        </w:rPr>
        <w:t>Q</w:t>
      </w:r>
      <w:r>
        <w:rPr>
          <w:color w:val="auto"/>
          <w:vertAlign w:val="subscript"/>
        </w:rPr>
        <w:t>1</w:t>
      </w:r>
      <w:r>
        <w:rPr>
          <w:color w:val="auto"/>
        </w:rPr>
        <w:t>，Q</w:t>
      </w:r>
      <w:r>
        <w:rPr>
          <w:color w:val="auto"/>
          <w:vertAlign w:val="subscript"/>
        </w:rPr>
        <w:t>2</w:t>
      </w:r>
      <w:r>
        <w:rPr>
          <w:color w:val="auto"/>
        </w:rPr>
        <w:t>，…Q</w:t>
      </w:r>
      <w:r>
        <w:rPr>
          <w:color w:val="auto"/>
          <w:vertAlign w:val="subscript"/>
        </w:rPr>
        <w:t>n</w:t>
      </w:r>
      <w:r>
        <w:rPr>
          <w:color w:val="auto"/>
        </w:rPr>
        <w:t>—各危险化学品相对应的临界量，单位为吨（t）。</w:t>
      </w:r>
    </w:p>
    <w:p w14:paraId="11D22865">
      <w:pPr>
        <w:ind w:firstLine="480"/>
        <w:rPr>
          <w:color w:val="auto"/>
        </w:rPr>
      </w:pPr>
      <w:r>
        <w:rPr>
          <w:color w:val="auto"/>
        </w:rPr>
        <w:t>当</w:t>
      </w:r>
      <w:r>
        <w:rPr>
          <w:color w:val="auto"/>
        </w:rPr>
        <w:tab/>
      </w:r>
      <w:r>
        <w:rPr>
          <w:color w:val="auto"/>
        </w:rPr>
        <w:t>Q＜1时，该项目环境风险潜势为</w:t>
      </w:r>
      <w:r>
        <w:rPr>
          <w:rFonts w:hint="eastAsia" w:ascii="宋体" w:hAnsi="宋体" w:cs="宋体"/>
          <w:color w:val="auto"/>
        </w:rPr>
        <w:t>Ⅰ</w:t>
      </w:r>
      <w:r>
        <w:rPr>
          <w:color w:val="auto"/>
        </w:rPr>
        <w:t>。</w:t>
      </w:r>
    </w:p>
    <w:p w14:paraId="4664656F">
      <w:pPr>
        <w:ind w:firstLine="480"/>
        <w:rPr>
          <w:color w:val="auto"/>
        </w:rPr>
      </w:pPr>
      <w:r>
        <w:rPr>
          <w:color w:val="auto"/>
        </w:rPr>
        <w:t>当Q≥1时，将Q值划分为</w:t>
      </w:r>
      <w:r>
        <w:rPr>
          <w:rFonts w:hint="eastAsia" w:ascii="宋体" w:hAnsi="宋体" w:cs="宋体"/>
          <w:color w:val="auto"/>
        </w:rPr>
        <w:t>①</w:t>
      </w:r>
      <w:r>
        <w:rPr>
          <w:color w:val="auto"/>
        </w:rPr>
        <w:t>1</w:t>
      </w:r>
      <w:r>
        <w:rPr>
          <w:rFonts w:cs="Times New Roman"/>
          <w:color w:val="auto"/>
        </w:rPr>
        <w:t>≤</w:t>
      </w:r>
      <w:r>
        <w:rPr>
          <w:color w:val="auto"/>
        </w:rPr>
        <w:t>Q＜10；</w:t>
      </w:r>
      <w:r>
        <w:rPr>
          <w:rFonts w:hint="eastAsia" w:ascii="宋体" w:hAnsi="宋体" w:cs="宋体"/>
          <w:color w:val="auto"/>
        </w:rPr>
        <w:t>②</w:t>
      </w:r>
      <w:r>
        <w:rPr>
          <w:color w:val="auto"/>
        </w:rPr>
        <w:t>10</w:t>
      </w:r>
      <w:r>
        <w:rPr>
          <w:rFonts w:cs="Times New Roman"/>
          <w:color w:val="auto"/>
        </w:rPr>
        <w:t>≤</w:t>
      </w:r>
      <w:r>
        <w:rPr>
          <w:color w:val="auto"/>
        </w:rPr>
        <w:t>Q＜100；</w:t>
      </w:r>
      <w:r>
        <w:rPr>
          <w:rFonts w:hint="eastAsia" w:ascii="宋体" w:hAnsi="宋体" w:cs="宋体"/>
          <w:color w:val="auto"/>
        </w:rPr>
        <w:t>③</w:t>
      </w:r>
      <w:r>
        <w:rPr>
          <w:color w:val="auto"/>
        </w:rPr>
        <w:t>Q</w:t>
      </w:r>
      <w:r>
        <w:rPr>
          <w:rFonts w:cs="Times New Roman"/>
          <w:color w:val="auto"/>
        </w:rPr>
        <w:t>≥</w:t>
      </w:r>
      <w:r>
        <w:rPr>
          <w:color w:val="auto"/>
        </w:rPr>
        <w:t>100。</w:t>
      </w:r>
    </w:p>
    <w:p w14:paraId="14943CC0">
      <w:pPr>
        <w:ind w:firstLine="480"/>
        <w:rPr>
          <w:color w:val="auto"/>
          <w:szCs w:val="24"/>
        </w:rPr>
      </w:pPr>
      <w:r>
        <w:rPr>
          <w:color w:val="auto"/>
        </w:rPr>
        <w:t>本次项目涉及的危险物质</w:t>
      </w:r>
      <w:r>
        <w:rPr>
          <w:color w:val="auto"/>
          <w:szCs w:val="24"/>
        </w:rPr>
        <w:t>为</w:t>
      </w:r>
      <w:r>
        <w:rPr>
          <w:rFonts w:hint="eastAsia"/>
          <w:color w:val="auto"/>
          <w:szCs w:val="24"/>
        </w:rPr>
        <w:t>氢氧化钠</w:t>
      </w:r>
      <w:r>
        <w:rPr>
          <w:color w:val="auto"/>
          <w:szCs w:val="24"/>
        </w:rPr>
        <w:t>、</w:t>
      </w:r>
      <w:r>
        <w:rPr>
          <w:rFonts w:hint="eastAsia"/>
          <w:color w:val="auto"/>
          <w:szCs w:val="24"/>
        </w:rPr>
        <w:t>天然气、废机油</w:t>
      </w:r>
      <w:r>
        <w:rPr>
          <w:color w:val="auto"/>
          <w:szCs w:val="24"/>
        </w:rPr>
        <w:t>等，各项危险物质的</w:t>
      </w:r>
      <w:r>
        <w:rPr>
          <w:color w:val="auto"/>
        </w:rPr>
        <w:t>Q值计算见下表。</w:t>
      </w:r>
    </w:p>
    <w:p w14:paraId="15EB5B08">
      <w:pPr>
        <w:pStyle w:val="7"/>
        <w:rPr>
          <w:color w:val="auto"/>
        </w:rPr>
      </w:pPr>
      <w:r>
        <w:rPr>
          <w:color w:val="auto"/>
        </w:rPr>
        <w:t>危险物质Q值计算表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3268"/>
        <w:gridCol w:w="1276"/>
        <w:gridCol w:w="1560"/>
        <w:gridCol w:w="1196"/>
        <w:gridCol w:w="1317"/>
      </w:tblGrid>
      <w:tr w14:paraId="730D0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361" w:type="pct"/>
            <w:tcBorders>
              <w:top w:val="single" w:color="auto" w:sz="4" w:space="0"/>
              <w:left w:val="single" w:color="auto" w:sz="4" w:space="0"/>
              <w:bottom w:val="single" w:color="auto" w:sz="4" w:space="0"/>
              <w:right w:val="single" w:color="auto" w:sz="4" w:space="0"/>
            </w:tcBorders>
            <w:vAlign w:val="center"/>
          </w:tcPr>
          <w:p w14:paraId="01100E1D">
            <w:pPr>
              <w:pStyle w:val="33"/>
              <w:rPr>
                <w:color w:val="auto"/>
              </w:rPr>
            </w:pPr>
            <w:r>
              <w:rPr>
                <w:color w:val="auto"/>
              </w:rPr>
              <w:t>序号</w:t>
            </w:r>
          </w:p>
        </w:tc>
        <w:tc>
          <w:tcPr>
            <w:tcW w:w="1759" w:type="pct"/>
            <w:tcBorders>
              <w:top w:val="single" w:color="auto" w:sz="4" w:space="0"/>
              <w:left w:val="single" w:color="auto" w:sz="4" w:space="0"/>
              <w:bottom w:val="single" w:color="auto" w:sz="4" w:space="0"/>
              <w:right w:val="single" w:color="auto" w:sz="4" w:space="0"/>
            </w:tcBorders>
            <w:vAlign w:val="center"/>
          </w:tcPr>
          <w:p w14:paraId="5FFA1798">
            <w:pPr>
              <w:pStyle w:val="33"/>
              <w:rPr>
                <w:color w:val="auto"/>
              </w:rPr>
            </w:pPr>
            <w:r>
              <w:rPr>
                <w:color w:val="auto"/>
              </w:rPr>
              <w:t>物质名称</w:t>
            </w:r>
          </w:p>
        </w:tc>
        <w:tc>
          <w:tcPr>
            <w:tcW w:w="687" w:type="pct"/>
            <w:tcBorders>
              <w:top w:val="single" w:color="auto" w:sz="4" w:space="0"/>
              <w:left w:val="single" w:color="auto" w:sz="4" w:space="0"/>
              <w:bottom w:val="single" w:color="auto" w:sz="4" w:space="0"/>
              <w:right w:val="single" w:color="auto" w:sz="4" w:space="0"/>
            </w:tcBorders>
            <w:vAlign w:val="center"/>
          </w:tcPr>
          <w:p w14:paraId="186810BE">
            <w:pPr>
              <w:pStyle w:val="33"/>
              <w:rPr>
                <w:color w:val="auto"/>
              </w:rPr>
            </w:pPr>
            <w:r>
              <w:rPr>
                <w:color w:val="auto"/>
              </w:rPr>
              <w:t>CAS号</w:t>
            </w:r>
          </w:p>
        </w:tc>
        <w:tc>
          <w:tcPr>
            <w:tcW w:w="840" w:type="pct"/>
            <w:tcBorders>
              <w:top w:val="single" w:color="auto" w:sz="4" w:space="0"/>
              <w:left w:val="single" w:color="auto" w:sz="4" w:space="0"/>
              <w:bottom w:val="single" w:color="auto" w:sz="4" w:space="0"/>
              <w:right w:val="single" w:color="auto" w:sz="4" w:space="0"/>
            </w:tcBorders>
            <w:vAlign w:val="center"/>
          </w:tcPr>
          <w:p w14:paraId="6B5704E4">
            <w:pPr>
              <w:pStyle w:val="33"/>
              <w:rPr>
                <w:color w:val="auto"/>
              </w:rPr>
            </w:pPr>
            <w:r>
              <w:rPr>
                <w:color w:val="auto"/>
              </w:rPr>
              <w:t>最大存在量总量q</w:t>
            </w:r>
            <w:r>
              <w:rPr>
                <w:color w:val="auto"/>
                <w:vertAlign w:val="subscript"/>
              </w:rPr>
              <w:t>n</w:t>
            </w:r>
            <w:r>
              <w:rPr>
                <w:color w:val="auto"/>
              </w:rPr>
              <w:t>/t</w:t>
            </w:r>
          </w:p>
        </w:tc>
        <w:tc>
          <w:tcPr>
            <w:tcW w:w="644" w:type="pct"/>
            <w:tcBorders>
              <w:top w:val="single" w:color="auto" w:sz="4" w:space="0"/>
              <w:left w:val="single" w:color="auto" w:sz="4" w:space="0"/>
              <w:bottom w:val="single" w:color="auto" w:sz="4" w:space="0"/>
              <w:right w:val="single" w:color="auto" w:sz="4" w:space="0"/>
            </w:tcBorders>
            <w:vAlign w:val="center"/>
          </w:tcPr>
          <w:p w14:paraId="04637DB1">
            <w:pPr>
              <w:pStyle w:val="33"/>
              <w:rPr>
                <w:color w:val="auto"/>
              </w:rPr>
            </w:pPr>
            <w:r>
              <w:rPr>
                <w:color w:val="auto"/>
              </w:rPr>
              <w:t>最大临界量Q</w:t>
            </w:r>
            <w:r>
              <w:rPr>
                <w:color w:val="auto"/>
                <w:vertAlign w:val="subscript"/>
              </w:rPr>
              <w:t>n</w:t>
            </w:r>
            <w:r>
              <w:rPr>
                <w:color w:val="auto"/>
              </w:rPr>
              <w:t>/t</w:t>
            </w:r>
          </w:p>
        </w:tc>
        <w:tc>
          <w:tcPr>
            <w:tcW w:w="709" w:type="pct"/>
            <w:tcBorders>
              <w:top w:val="single" w:color="auto" w:sz="4" w:space="0"/>
              <w:left w:val="single" w:color="auto" w:sz="4" w:space="0"/>
              <w:bottom w:val="single" w:color="auto" w:sz="4" w:space="0"/>
              <w:right w:val="single" w:color="auto" w:sz="4" w:space="0"/>
            </w:tcBorders>
            <w:vAlign w:val="center"/>
          </w:tcPr>
          <w:p w14:paraId="77D9A146">
            <w:pPr>
              <w:pStyle w:val="33"/>
              <w:rPr>
                <w:color w:val="auto"/>
              </w:rPr>
            </w:pPr>
            <w:r>
              <w:rPr>
                <w:color w:val="auto"/>
              </w:rPr>
              <w:t>该物质Q值</w:t>
            </w:r>
          </w:p>
        </w:tc>
      </w:tr>
      <w:tr w14:paraId="7D577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1" w:type="pct"/>
            <w:tcBorders>
              <w:top w:val="single" w:color="auto" w:sz="4" w:space="0"/>
              <w:left w:val="single" w:color="auto" w:sz="4" w:space="0"/>
              <w:bottom w:val="single" w:color="auto" w:sz="4" w:space="0"/>
              <w:right w:val="single" w:color="auto" w:sz="4" w:space="0"/>
            </w:tcBorders>
            <w:vAlign w:val="center"/>
          </w:tcPr>
          <w:p w14:paraId="54DB0075">
            <w:pPr>
              <w:pStyle w:val="33"/>
              <w:rPr>
                <w:color w:val="auto"/>
              </w:rPr>
            </w:pPr>
            <w:r>
              <w:rPr>
                <w:color w:val="auto"/>
              </w:rPr>
              <w:t>1</w:t>
            </w:r>
          </w:p>
        </w:tc>
        <w:tc>
          <w:tcPr>
            <w:tcW w:w="1759" w:type="pct"/>
            <w:tcBorders>
              <w:top w:val="single" w:color="auto" w:sz="4" w:space="0"/>
              <w:left w:val="single" w:color="auto" w:sz="4" w:space="0"/>
              <w:bottom w:val="single" w:color="auto" w:sz="4" w:space="0"/>
              <w:right w:val="single" w:color="auto" w:sz="4" w:space="0"/>
            </w:tcBorders>
            <w:vAlign w:val="center"/>
          </w:tcPr>
          <w:p w14:paraId="70AD5D3F">
            <w:pPr>
              <w:pStyle w:val="33"/>
              <w:rPr>
                <w:color w:val="auto"/>
              </w:rPr>
            </w:pPr>
            <w:r>
              <w:rPr>
                <w:rFonts w:hint="eastAsia"/>
                <w:color w:val="auto"/>
              </w:rPr>
              <w:t>氢氧化钠</w:t>
            </w:r>
          </w:p>
        </w:tc>
        <w:tc>
          <w:tcPr>
            <w:tcW w:w="687" w:type="pct"/>
            <w:tcBorders>
              <w:top w:val="single" w:color="auto" w:sz="4" w:space="0"/>
              <w:left w:val="single" w:color="auto" w:sz="4" w:space="0"/>
              <w:bottom w:val="single" w:color="auto" w:sz="4" w:space="0"/>
              <w:right w:val="single" w:color="auto" w:sz="4" w:space="0"/>
            </w:tcBorders>
            <w:vAlign w:val="center"/>
          </w:tcPr>
          <w:p w14:paraId="45DF246F">
            <w:pPr>
              <w:pStyle w:val="33"/>
              <w:rPr>
                <w:color w:val="auto"/>
              </w:rPr>
            </w:pPr>
            <w:r>
              <w:rPr>
                <w:color w:val="auto"/>
              </w:rPr>
              <w:t>1310-73-2</w:t>
            </w:r>
          </w:p>
        </w:tc>
        <w:tc>
          <w:tcPr>
            <w:tcW w:w="840" w:type="pct"/>
            <w:tcBorders>
              <w:top w:val="single" w:color="auto" w:sz="4" w:space="0"/>
              <w:left w:val="single" w:color="auto" w:sz="4" w:space="0"/>
              <w:bottom w:val="single" w:color="auto" w:sz="4" w:space="0"/>
              <w:right w:val="single" w:color="auto" w:sz="4" w:space="0"/>
            </w:tcBorders>
            <w:vAlign w:val="center"/>
          </w:tcPr>
          <w:p w14:paraId="1C859B8E">
            <w:pPr>
              <w:pStyle w:val="33"/>
              <w:rPr>
                <w:color w:val="auto"/>
              </w:rPr>
            </w:pPr>
            <w:r>
              <w:rPr>
                <w:color w:val="auto"/>
              </w:rPr>
              <w:t>0.298</w:t>
            </w:r>
          </w:p>
        </w:tc>
        <w:tc>
          <w:tcPr>
            <w:tcW w:w="644" w:type="pct"/>
            <w:tcBorders>
              <w:top w:val="single" w:color="auto" w:sz="4" w:space="0"/>
              <w:left w:val="single" w:color="auto" w:sz="4" w:space="0"/>
              <w:bottom w:val="single" w:color="auto" w:sz="4" w:space="0"/>
              <w:right w:val="single" w:color="auto" w:sz="4" w:space="0"/>
            </w:tcBorders>
            <w:vAlign w:val="center"/>
          </w:tcPr>
          <w:p w14:paraId="4CAD5946">
            <w:pPr>
              <w:pStyle w:val="33"/>
              <w:rPr>
                <w:color w:val="auto"/>
              </w:rPr>
            </w:pPr>
            <w:r>
              <w:rPr>
                <w:color w:val="auto"/>
              </w:rPr>
              <w:t>/</w:t>
            </w:r>
          </w:p>
        </w:tc>
        <w:tc>
          <w:tcPr>
            <w:tcW w:w="709" w:type="pct"/>
            <w:tcBorders>
              <w:top w:val="single" w:color="auto" w:sz="4" w:space="0"/>
              <w:left w:val="single" w:color="auto" w:sz="4" w:space="0"/>
              <w:bottom w:val="single" w:color="auto" w:sz="4" w:space="0"/>
              <w:right w:val="single" w:color="auto" w:sz="4" w:space="0"/>
            </w:tcBorders>
            <w:vAlign w:val="center"/>
          </w:tcPr>
          <w:p w14:paraId="31469F3B">
            <w:pPr>
              <w:pStyle w:val="33"/>
              <w:rPr>
                <w:color w:val="auto"/>
              </w:rPr>
            </w:pPr>
            <w:r>
              <w:rPr>
                <w:rFonts w:hint="eastAsia"/>
                <w:color w:val="auto"/>
              </w:rPr>
              <w:t>/</w:t>
            </w:r>
          </w:p>
        </w:tc>
      </w:tr>
      <w:tr w14:paraId="79F57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1" w:type="pct"/>
            <w:tcBorders>
              <w:top w:val="single" w:color="auto" w:sz="4" w:space="0"/>
              <w:left w:val="single" w:color="auto" w:sz="4" w:space="0"/>
              <w:bottom w:val="single" w:color="auto" w:sz="4" w:space="0"/>
              <w:right w:val="single" w:color="auto" w:sz="4" w:space="0"/>
            </w:tcBorders>
            <w:vAlign w:val="center"/>
          </w:tcPr>
          <w:p w14:paraId="201FC714">
            <w:pPr>
              <w:pStyle w:val="33"/>
              <w:rPr>
                <w:color w:val="auto"/>
              </w:rPr>
            </w:pPr>
            <w:r>
              <w:rPr>
                <w:rFonts w:hint="eastAsia"/>
                <w:color w:val="auto"/>
              </w:rPr>
              <w:t>2</w:t>
            </w:r>
          </w:p>
        </w:tc>
        <w:tc>
          <w:tcPr>
            <w:tcW w:w="1759" w:type="pct"/>
            <w:tcBorders>
              <w:top w:val="single" w:color="auto" w:sz="4" w:space="0"/>
              <w:left w:val="single" w:color="auto" w:sz="4" w:space="0"/>
              <w:bottom w:val="single" w:color="auto" w:sz="4" w:space="0"/>
              <w:right w:val="single" w:color="auto" w:sz="4" w:space="0"/>
            </w:tcBorders>
            <w:vAlign w:val="center"/>
          </w:tcPr>
          <w:p w14:paraId="7E24FDBD">
            <w:pPr>
              <w:pStyle w:val="33"/>
              <w:rPr>
                <w:color w:val="auto"/>
              </w:rPr>
            </w:pPr>
            <w:r>
              <w:rPr>
                <w:rFonts w:hint="eastAsia"/>
                <w:color w:val="auto"/>
              </w:rPr>
              <w:t>天然气</w:t>
            </w:r>
          </w:p>
        </w:tc>
        <w:tc>
          <w:tcPr>
            <w:tcW w:w="687" w:type="pct"/>
            <w:tcBorders>
              <w:top w:val="single" w:color="auto" w:sz="4" w:space="0"/>
              <w:left w:val="single" w:color="auto" w:sz="4" w:space="0"/>
              <w:bottom w:val="single" w:color="auto" w:sz="4" w:space="0"/>
              <w:right w:val="single" w:color="auto" w:sz="4" w:space="0"/>
            </w:tcBorders>
            <w:vAlign w:val="center"/>
          </w:tcPr>
          <w:p w14:paraId="6C2733B1">
            <w:pPr>
              <w:pStyle w:val="33"/>
              <w:rPr>
                <w:color w:val="auto"/>
              </w:rPr>
            </w:pPr>
            <w:r>
              <w:rPr>
                <w:color w:val="auto"/>
              </w:rPr>
              <w:t>74-82-8</w:t>
            </w:r>
          </w:p>
        </w:tc>
        <w:tc>
          <w:tcPr>
            <w:tcW w:w="840" w:type="pct"/>
            <w:tcBorders>
              <w:top w:val="single" w:color="auto" w:sz="4" w:space="0"/>
              <w:left w:val="single" w:color="auto" w:sz="4" w:space="0"/>
              <w:bottom w:val="single" w:color="auto" w:sz="4" w:space="0"/>
              <w:right w:val="single" w:color="auto" w:sz="4" w:space="0"/>
            </w:tcBorders>
            <w:vAlign w:val="center"/>
          </w:tcPr>
          <w:p w14:paraId="36F70D34">
            <w:pPr>
              <w:pStyle w:val="33"/>
              <w:rPr>
                <w:color w:val="auto"/>
              </w:rPr>
            </w:pPr>
            <w:r>
              <w:rPr>
                <w:rFonts w:hint="eastAsia"/>
                <w:color w:val="auto"/>
              </w:rPr>
              <w:t>0.0</w:t>
            </w:r>
            <w:r>
              <w:rPr>
                <w:color w:val="auto"/>
              </w:rPr>
              <w:t>5</w:t>
            </w:r>
          </w:p>
        </w:tc>
        <w:tc>
          <w:tcPr>
            <w:tcW w:w="644" w:type="pct"/>
            <w:tcBorders>
              <w:top w:val="single" w:color="auto" w:sz="4" w:space="0"/>
              <w:left w:val="single" w:color="auto" w:sz="4" w:space="0"/>
              <w:bottom w:val="single" w:color="auto" w:sz="4" w:space="0"/>
              <w:right w:val="single" w:color="auto" w:sz="4" w:space="0"/>
            </w:tcBorders>
            <w:vAlign w:val="center"/>
          </w:tcPr>
          <w:p w14:paraId="3EC26021">
            <w:pPr>
              <w:pStyle w:val="33"/>
              <w:rPr>
                <w:color w:val="auto"/>
              </w:rPr>
            </w:pPr>
            <w:r>
              <w:rPr>
                <w:rFonts w:hint="eastAsia"/>
                <w:color w:val="auto"/>
              </w:rPr>
              <w:t>10</w:t>
            </w:r>
          </w:p>
        </w:tc>
        <w:tc>
          <w:tcPr>
            <w:tcW w:w="709" w:type="pct"/>
            <w:tcBorders>
              <w:top w:val="single" w:color="auto" w:sz="4" w:space="0"/>
              <w:left w:val="single" w:color="auto" w:sz="4" w:space="0"/>
              <w:bottom w:val="single" w:color="auto" w:sz="4" w:space="0"/>
              <w:right w:val="single" w:color="auto" w:sz="4" w:space="0"/>
            </w:tcBorders>
            <w:vAlign w:val="center"/>
          </w:tcPr>
          <w:p w14:paraId="41EE9C78">
            <w:pPr>
              <w:pStyle w:val="33"/>
              <w:rPr>
                <w:color w:val="auto"/>
              </w:rPr>
            </w:pPr>
            <w:r>
              <w:rPr>
                <w:rFonts w:hint="eastAsia"/>
                <w:color w:val="auto"/>
              </w:rPr>
              <w:t>0.005</w:t>
            </w:r>
          </w:p>
        </w:tc>
      </w:tr>
      <w:tr w14:paraId="6AE0A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1" w:type="pct"/>
            <w:tcBorders>
              <w:top w:val="single" w:color="auto" w:sz="4" w:space="0"/>
              <w:left w:val="single" w:color="auto" w:sz="4" w:space="0"/>
              <w:bottom w:val="single" w:color="auto" w:sz="4" w:space="0"/>
              <w:right w:val="single" w:color="auto" w:sz="4" w:space="0"/>
            </w:tcBorders>
            <w:vAlign w:val="center"/>
          </w:tcPr>
          <w:p w14:paraId="57DE2EBD">
            <w:pPr>
              <w:pStyle w:val="33"/>
              <w:rPr>
                <w:color w:val="auto"/>
              </w:rPr>
            </w:pPr>
            <w:r>
              <w:rPr>
                <w:color w:val="auto"/>
              </w:rPr>
              <w:t>3</w:t>
            </w:r>
          </w:p>
        </w:tc>
        <w:tc>
          <w:tcPr>
            <w:tcW w:w="1759" w:type="pct"/>
            <w:tcBorders>
              <w:top w:val="single" w:color="auto" w:sz="4" w:space="0"/>
              <w:left w:val="single" w:color="auto" w:sz="4" w:space="0"/>
              <w:bottom w:val="single" w:color="auto" w:sz="4" w:space="0"/>
              <w:right w:val="single" w:color="auto" w:sz="4" w:space="0"/>
            </w:tcBorders>
            <w:vAlign w:val="center"/>
          </w:tcPr>
          <w:p w14:paraId="01B3FD2E">
            <w:pPr>
              <w:pStyle w:val="33"/>
              <w:rPr>
                <w:color w:val="auto"/>
              </w:rPr>
            </w:pPr>
            <w:r>
              <w:rPr>
                <w:color w:val="auto"/>
              </w:rPr>
              <w:t>油类物质（废润滑油）</w:t>
            </w:r>
          </w:p>
        </w:tc>
        <w:tc>
          <w:tcPr>
            <w:tcW w:w="687" w:type="pct"/>
            <w:tcBorders>
              <w:top w:val="single" w:color="auto" w:sz="4" w:space="0"/>
              <w:left w:val="single" w:color="auto" w:sz="4" w:space="0"/>
              <w:bottom w:val="single" w:color="auto" w:sz="4" w:space="0"/>
              <w:right w:val="single" w:color="auto" w:sz="4" w:space="0"/>
            </w:tcBorders>
            <w:vAlign w:val="center"/>
          </w:tcPr>
          <w:p w14:paraId="71046C21">
            <w:pPr>
              <w:pStyle w:val="33"/>
              <w:rPr>
                <w:color w:val="auto"/>
              </w:rPr>
            </w:pPr>
            <w:r>
              <w:rPr>
                <w:color w:val="auto"/>
              </w:rPr>
              <w:t>/</w:t>
            </w:r>
          </w:p>
        </w:tc>
        <w:tc>
          <w:tcPr>
            <w:tcW w:w="840" w:type="pct"/>
            <w:tcBorders>
              <w:top w:val="single" w:color="auto" w:sz="4" w:space="0"/>
              <w:left w:val="single" w:color="auto" w:sz="4" w:space="0"/>
              <w:bottom w:val="single" w:color="auto" w:sz="4" w:space="0"/>
              <w:right w:val="single" w:color="auto" w:sz="4" w:space="0"/>
            </w:tcBorders>
            <w:vAlign w:val="center"/>
          </w:tcPr>
          <w:p w14:paraId="51B52474">
            <w:pPr>
              <w:pStyle w:val="33"/>
              <w:rPr>
                <w:color w:val="auto"/>
              </w:rPr>
            </w:pPr>
            <w:r>
              <w:rPr>
                <w:color w:val="auto"/>
              </w:rPr>
              <w:t>0.1</w:t>
            </w:r>
          </w:p>
        </w:tc>
        <w:tc>
          <w:tcPr>
            <w:tcW w:w="644" w:type="pct"/>
            <w:tcBorders>
              <w:top w:val="single" w:color="auto" w:sz="4" w:space="0"/>
              <w:left w:val="single" w:color="auto" w:sz="4" w:space="0"/>
              <w:bottom w:val="single" w:color="auto" w:sz="4" w:space="0"/>
              <w:right w:val="single" w:color="auto" w:sz="4" w:space="0"/>
            </w:tcBorders>
            <w:vAlign w:val="center"/>
          </w:tcPr>
          <w:p w14:paraId="2D44474A">
            <w:pPr>
              <w:pStyle w:val="33"/>
              <w:rPr>
                <w:color w:val="auto"/>
              </w:rPr>
            </w:pPr>
            <w:r>
              <w:rPr>
                <w:color w:val="auto"/>
              </w:rPr>
              <w:t>2500</w:t>
            </w:r>
          </w:p>
        </w:tc>
        <w:tc>
          <w:tcPr>
            <w:tcW w:w="709" w:type="pct"/>
            <w:tcBorders>
              <w:top w:val="single" w:color="auto" w:sz="4" w:space="0"/>
              <w:left w:val="single" w:color="auto" w:sz="4" w:space="0"/>
              <w:bottom w:val="single" w:color="auto" w:sz="4" w:space="0"/>
              <w:right w:val="single" w:color="auto" w:sz="4" w:space="0"/>
            </w:tcBorders>
            <w:vAlign w:val="center"/>
          </w:tcPr>
          <w:p w14:paraId="2F6FB0DC">
            <w:pPr>
              <w:pStyle w:val="33"/>
              <w:rPr>
                <w:color w:val="auto"/>
              </w:rPr>
            </w:pPr>
            <w:r>
              <w:rPr>
                <w:color w:val="auto"/>
              </w:rPr>
              <w:t>0.00004</w:t>
            </w:r>
          </w:p>
        </w:tc>
      </w:tr>
      <w:tr w14:paraId="399A0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91" w:type="pct"/>
            <w:gridSpan w:val="5"/>
            <w:tcBorders>
              <w:top w:val="single" w:color="auto" w:sz="4" w:space="0"/>
              <w:left w:val="single" w:color="auto" w:sz="4" w:space="0"/>
              <w:bottom w:val="single" w:color="auto" w:sz="4" w:space="0"/>
              <w:right w:val="single" w:color="auto" w:sz="4" w:space="0"/>
            </w:tcBorders>
            <w:vAlign w:val="center"/>
          </w:tcPr>
          <w:p w14:paraId="484B8BFB">
            <w:pPr>
              <w:pStyle w:val="33"/>
              <w:rPr>
                <w:color w:val="auto"/>
              </w:rPr>
            </w:pPr>
            <w:r>
              <w:rPr>
                <w:color w:val="auto"/>
              </w:rPr>
              <w:t>项目Q值∑</w:t>
            </w:r>
          </w:p>
        </w:tc>
        <w:tc>
          <w:tcPr>
            <w:tcW w:w="709" w:type="pct"/>
            <w:tcBorders>
              <w:top w:val="single" w:color="auto" w:sz="4" w:space="0"/>
              <w:left w:val="single" w:color="auto" w:sz="4" w:space="0"/>
              <w:bottom w:val="single" w:color="auto" w:sz="4" w:space="0"/>
              <w:right w:val="single" w:color="auto" w:sz="4" w:space="0"/>
            </w:tcBorders>
            <w:vAlign w:val="center"/>
          </w:tcPr>
          <w:p w14:paraId="154600D1">
            <w:pPr>
              <w:pStyle w:val="33"/>
              <w:rPr>
                <w:color w:val="auto"/>
              </w:rPr>
            </w:pPr>
            <w:r>
              <w:rPr>
                <w:color w:val="auto"/>
              </w:rPr>
              <w:t>0.00504</w:t>
            </w:r>
          </w:p>
        </w:tc>
      </w:tr>
    </w:tbl>
    <w:p w14:paraId="647AB5D7">
      <w:pPr>
        <w:spacing w:line="240" w:lineRule="auto"/>
        <w:ind w:firstLine="0" w:firstLineChars="0"/>
        <w:rPr>
          <w:rFonts w:cs="Times New Roman"/>
          <w:color w:val="auto"/>
          <w:sz w:val="21"/>
          <w:szCs w:val="21"/>
        </w:rPr>
      </w:pPr>
      <w:r>
        <w:rPr>
          <w:rFonts w:cs="Times New Roman"/>
          <w:color w:val="auto"/>
          <w:sz w:val="21"/>
          <w:szCs w:val="21"/>
        </w:rPr>
        <w:t>注：</w:t>
      </w:r>
      <w:r>
        <w:rPr>
          <w:rFonts w:hint="eastAsia" w:ascii="宋体" w:hAnsi="宋体" w:cs="宋体"/>
          <w:color w:val="auto"/>
          <w:sz w:val="21"/>
          <w:szCs w:val="21"/>
        </w:rPr>
        <w:t>①</w:t>
      </w:r>
      <w:r>
        <w:rPr>
          <w:rFonts w:hint="eastAsia" w:cs="Times New Roman"/>
          <w:color w:val="auto"/>
          <w:sz w:val="21"/>
          <w:szCs w:val="21"/>
        </w:rPr>
        <w:t>本项目不新增储罐区和仓库，均为依托现有工程储罐和仓库进行储存</w:t>
      </w:r>
      <w:r>
        <w:rPr>
          <w:rFonts w:cs="Times New Roman"/>
          <w:color w:val="auto"/>
          <w:sz w:val="21"/>
          <w:szCs w:val="21"/>
        </w:rPr>
        <w:t>。</w:t>
      </w:r>
      <w:r>
        <w:rPr>
          <w:rFonts w:hint="eastAsia" w:cs="Times New Roman"/>
          <w:color w:val="auto"/>
          <w:sz w:val="21"/>
          <w:szCs w:val="21"/>
        </w:rPr>
        <w:t>因此项目仅考虑其在线量。</w:t>
      </w:r>
    </w:p>
    <w:p w14:paraId="529ED6EA">
      <w:pPr>
        <w:spacing w:line="240" w:lineRule="auto"/>
        <w:ind w:firstLine="420"/>
        <w:rPr>
          <w:rFonts w:cs="Times New Roman"/>
          <w:color w:val="auto"/>
          <w:szCs w:val="24"/>
        </w:rPr>
      </w:pPr>
      <w:r>
        <w:rPr>
          <w:rFonts w:hint="eastAsia" w:ascii="宋体" w:hAnsi="宋体" w:cs="宋体"/>
          <w:color w:val="auto"/>
          <w:sz w:val="21"/>
          <w:szCs w:val="21"/>
        </w:rPr>
        <w:t>②</w:t>
      </w:r>
      <w:r>
        <w:rPr>
          <w:rFonts w:hint="eastAsia" w:cs="Times New Roman"/>
          <w:color w:val="auto"/>
          <w:sz w:val="21"/>
          <w:szCs w:val="21"/>
        </w:rPr>
        <w:t>项目天然气为从园区管道接入，考虑其在线量</w:t>
      </w:r>
    </w:p>
    <w:p w14:paraId="32A7B8BC">
      <w:pPr>
        <w:ind w:firstLine="480"/>
        <w:rPr>
          <w:rFonts w:cs="Times New Roman"/>
          <w:color w:val="auto"/>
        </w:rPr>
      </w:pPr>
      <w:r>
        <w:rPr>
          <w:rFonts w:cs="Times New Roman"/>
          <w:color w:val="auto"/>
        </w:rPr>
        <w:t>根据计算，项目Q值为</w:t>
      </w:r>
      <w:r>
        <w:rPr>
          <w:color w:val="auto"/>
        </w:rPr>
        <w:t>Q＜1</w:t>
      </w:r>
      <w:r>
        <w:rPr>
          <w:rFonts w:hint="eastAsia"/>
          <w:color w:val="auto"/>
        </w:rPr>
        <w:t>，</w:t>
      </w:r>
      <w:r>
        <w:rPr>
          <w:rFonts w:cs="Times New Roman"/>
          <w:color w:val="auto"/>
        </w:rPr>
        <w:t>环境风险潜势为</w:t>
      </w:r>
      <w:r>
        <w:rPr>
          <w:rFonts w:hint="eastAsia" w:ascii="宋体" w:hAnsi="宋体" w:cs="宋体"/>
          <w:color w:val="auto"/>
        </w:rPr>
        <w:t>Ⅰ</w:t>
      </w:r>
      <w:r>
        <w:rPr>
          <w:rFonts w:cs="Times New Roman"/>
          <w:color w:val="auto"/>
        </w:rPr>
        <w:t>。</w:t>
      </w:r>
    </w:p>
    <w:p w14:paraId="6766C316">
      <w:pPr>
        <w:pStyle w:val="4"/>
        <w:tabs>
          <w:tab w:val="left" w:pos="0"/>
        </w:tabs>
        <w:jc w:val="left"/>
        <w:rPr>
          <w:color w:val="auto"/>
        </w:rPr>
      </w:pPr>
      <w:bookmarkStart w:id="541" w:name="_Toc225216838"/>
      <w:r>
        <w:rPr>
          <w:rFonts w:hint="eastAsia"/>
          <w:color w:val="auto"/>
        </w:rPr>
        <w:t>评价等级</w:t>
      </w:r>
      <w:bookmarkEnd w:id="541"/>
    </w:p>
    <w:p w14:paraId="6C570512">
      <w:pPr>
        <w:ind w:firstLine="480"/>
        <w:rPr>
          <w:color w:val="auto"/>
          <w:kern w:val="0"/>
        </w:rPr>
      </w:pPr>
      <w:r>
        <w:rPr>
          <w:color w:val="auto"/>
          <w:kern w:val="0"/>
        </w:rPr>
        <w:t>按照《建设项目环境风险评价技术导则</w:t>
      </w:r>
      <w:r>
        <w:rPr>
          <w:color w:val="auto"/>
          <w:spacing w:val="-120"/>
          <w:kern w:val="0"/>
        </w:rPr>
        <w:t>》</w:t>
      </w:r>
      <w:r>
        <w:rPr>
          <w:color w:val="auto"/>
          <w:spacing w:val="1"/>
          <w:kern w:val="0"/>
        </w:rPr>
        <w:t>（</w:t>
      </w:r>
      <w:r>
        <w:rPr>
          <w:rFonts w:eastAsia="Times New Roman"/>
          <w:color w:val="auto"/>
          <w:kern w:val="0"/>
        </w:rPr>
        <w:t>H</w:t>
      </w:r>
      <w:r>
        <w:rPr>
          <w:rFonts w:eastAsia="Times New Roman"/>
          <w:color w:val="auto"/>
          <w:spacing w:val="3"/>
          <w:kern w:val="0"/>
        </w:rPr>
        <w:t>J</w:t>
      </w:r>
      <w:r>
        <w:rPr>
          <w:rFonts w:eastAsia="Times New Roman"/>
          <w:color w:val="auto"/>
          <w:spacing w:val="-2"/>
          <w:kern w:val="0"/>
        </w:rPr>
        <w:t>1</w:t>
      </w:r>
      <w:r>
        <w:rPr>
          <w:rFonts w:eastAsia="Times New Roman"/>
          <w:color w:val="auto"/>
          <w:kern w:val="0"/>
        </w:rPr>
        <w:t>69</w:t>
      </w:r>
      <w:r>
        <w:rPr>
          <w:rFonts w:eastAsia="Times New Roman"/>
          <w:color w:val="auto"/>
          <w:spacing w:val="-1"/>
          <w:kern w:val="0"/>
        </w:rPr>
        <w:t>-</w:t>
      </w:r>
      <w:r>
        <w:rPr>
          <w:rFonts w:eastAsia="Times New Roman"/>
          <w:color w:val="auto"/>
          <w:kern w:val="0"/>
        </w:rPr>
        <w:t>2018</w:t>
      </w:r>
      <w:r>
        <w:rPr>
          <w:color w:val="auto"/>
          <w:kern w:val="0"/>
        </w:rPr>
        <w:t>）中的有关规定，风险评价工作等级划分见</w:t>
      </w:r>
      <w:r>
        <w:rPr>
          <w:rFonts w:hint="eastAsia"/>
          <w:color w:val="auto"/>
          <w:kern w:val="0"/>
        </w:rPr>
        <w:t>下</w:t>
      </w:r>
      <w:r>
        <w:rPr>
          <w:color w:val="auto"/>
          <w:kern w:val="0"/>
        </w:rPr>
        <w:t>表所示。</w:t>
      </w:r>
    </w:p>
    <w:p w14:paraId="616A7AD3">
      <w:pPr>
        <w:pStyle w:val="7"/>
        <w:rPr>
          <w:color w:val="auto"/>
        </w:rPr>
      </w:pPr>
      <w:r>
        <w:rPr>
          <w:color w:val="auto"/>
        </w:rPr>
        <w:t>评价工作等级划分</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7"/>
        <w:gridCol w:w="1857"/>
        <w:gridCol w:w="1858"/>
      </w:tblGrid>
      <w:tr w14:paraId="5D54F3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1857" w:type="dxa"/>
            <w:vAlign w:val="center"/>
          </w:tcPr>
          <w:p w14:paraId="4CF6D116">
            <w:pPr>
              <w:snapToGrid w:val="0"/>
              <w:spacing w:line="240" w:lineRule="auto"/>
              <w:ind w:firstLine="0" w:firstLineChars="0"/>
              <w:jc w:val="center"/>
              <w:rPr>
                <w:b/>
                <w:bCs/>
                <w:color w:val="auto"/>
                <w:sz w:val="21"/>
                <w:szCs w:val="21"/>
              </w:rPr>
            </w:pPr>
            <w:r>
              <w:rPr>
                <w:b/>
                <w:bCs/>
                <w:color w:val="auto"/>
                <w:sz w:val="21"/>
                <w:szCs w:val="21"/>
              </w:rPr>
              <w:t>环境风险潜势</w:t>
            </w:r>
          </w:p>
        </w:tc>
        <w:tc>
          <w:tcPr>
            <w:tcW w:w="1857" w:type="dxa"/>
            <w:vAlign w:val="center"/>
          </w:tcPr>
          <w:p w14:paraId="33C00A11">
            <w:pPr>
              <w:snapToGrid w:val="0"/>
              <w:spacing w:line="240" w:lineRule="auto"/>
              <w:ind w:firstLine="0" w:firstLineChars="0"/>
              <w:jc w:val="center"/>
              <w:rPr>
                <w:b/>
                <w:bCs/>
                <w:color w:val="auto"/>
                <w:sz w:val="21"/>
                <w:szCs w:val="21"/>
              </w:rPr>
            </w:pPr>
            <w:r>
              <w:rPr>
                <w:rFonts w:hint="eastAsia" w:ascii="宋体" w:hAnsi="宋体" w:cs="宋体"/>
                <w:b/>
                <w:bCs/>
                <w:color w:val="auto"/>
                <w:sz w:val="21"/>
                <w:szCs w:val="21"/>
              </w:rPr>
              <w:t>Ⅳ</w:t>
            </w:r>
            <w:r>
              <w:rPr>
                <w:b/>
                <w:bCs/>
                <w:color w:val="auto"/>
                <w:sz w:val="21"/>
                <w:szCs w:val="21"/>
              </w:rPr>
              <w:t>、</w:t>
            </w:r>
            <w:r>
              <w:rPr>
                <w:rFonts w:hint="eastAsia" w:ascii="宋体" w:hAnsi="宋体" w:cs="宋体"/>
                <w:b/>
                <w:bCs/>
                <w:color w:val="auto"/>
                <w:sz w:val="21"/>
                <w:szCs w:val="21"/>
              </w:rPr>
              <w:t>Ⅳ</w:t>
            </w:r>
            <w:r>
              <w:rPr>
                <w:b/>
                <w:bCs/>
                <w:color w:val="auto"/>
                <w:sz w:val="21"/>
                <w:szCs w:val="21"/>
                <w:vertAlign w:val="superscript"/>
              </w:rPr>
              <w:t>+</w:t>
            </w:r>
          </w:p>
        </w:tc>
        <w:tc>
          <w:tcPr>
            <w:tcW w:w="1857" w:type="dxa"/>
            <w:vAlign w:val="center"/>
          </w:tcPr>
          <w:p w14:paraId="694EF62E">
            <w:pPr>
              <w:snapToGrid w:val="0"/>
              <w:spacing w:line="240" w:lineRule="auto"/>
              <w:ind w:firstLine="0" w:firstLineChars="0"/>
              <w:jc w:val="center"/>
              <w:rPr>
                <w:b/>
                <w:bCs/>
                <w:color w:val="auto"/>
                <w:sz w:val="21"/>
                <w:szCs w:val="21"/>
              </w:rPr>
            </w:pPr>
            <w:r>
              <w:rPr>
                <w:rFonts w:hint="eastAsia" w:ascii="宋体" w:hAnsi="宋体" w:cs="宋体"/>
                <w:b/>
                <w:bCs/>
                <w:color w:val="auto"/>
                <w:sz w:val="21"/>
                <w:szCs w:val="21"/>
              </w:rPr>
              <w:t>Ⅲ</w:t>
            </w:r>
          </w:p>
        </w:tc>
        <w:tc>
          <w:tcPr>
            <w:tcW w:w="1857" w:type="dxa"/>
            <w:vAlign w:val="center"/>
          </w:tcPr>
          <w:p w14:paraId="154731E8">
            <w:pPr>
              <w:snapToGrid w:val="0"/>
              <w:spacing w:line="240" w:lineRule="auto"/>
              <w:ind w:firstLine="0" w:firstLineChars="0"/>
              <w:jc w:val="center"/>
              <w:rPr>
                <w:b/>
                <w:bCs/>
                <w:color w:val="auto"/>
                <w:sz w:val="21"/>
                <w:szCs w:val="21"/>
              </w:rPr>
            </w:pPr>
            <w:r>
              <w:rPr>
                <w:rFonts w:hint="eastAsia" w:ascii="宋体" w:hAnsi="宋体" w:cs="宋体"/>
                <w:b/>
                <w:bCs/>
                <w:color w:val="auto"/>
                <w:sz w:val="21"/>
                <w:szCs w:val="21"/>
              </w:rPr>
              <w:t>Ⅱ</w:t>
            </w:r>
          </w:p>
        </w:tc>
        <w:tc>
          <w:tcPr>
            <w:tcW w:w="1858" w:type="dxa"/>
            <w:vAlign w:val="center"/>
          </w:tcPr>
          <w:p w14:paraId="67525A09">
            <w:pPr>
              <w:snapToGrid w:val="0"/>
              <w:spacing w:line="240" w:lineRule="auto"/>
              <w:ind w:firstLine="0" w:firstLineChars="0"/>
              <w:jc w:val="center"/>
              <w:rPr>
                <w:b/>
                <w:bCs/>
                <w:color w:val="auto"/>
                <w:sz w:val="21"/>
                <w:szCs w:val="21"/>
              </w:rPr>
            </w:pPr>
            <w:r>
              <w:rPr>
                <w:rFonts w:hint="eastAsia" w:ascii="宋体" w:hAnsi="宋体" w:cs="宋体"/>
                <w:b/>
                <w:bCs/>
                <w:color w:val="auto"/>
                <w:sz w:val="21"/>
                <w:szCs w:val="21"/>
              </w:rPr>
              <w:t>Ⅰ</w:t>
            </w:r>
          </w:p>
        </w:tc>
      </w:tr>
      <w:tr w14:paraId="6F4B8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857" w:type="dxa"/>
            <w:vAlign w:val="center"/>
          </w:tcPr>
          <w:p w14:paraId="1F0B3C25">
            <w:pPr>
              <w:snapToGrid w:val="0"/>
              <w:spacing w:line="240" w:lineRule="auto"/>
              <w:ind w:firstLine="0" w:firstLineChars="0"/>
              <w:jc w:val="center"/>
              <w:rPr>
                <w:color w:val="auto"/>
                <w:sz w:val="21"/>
                <w:szCs w:val="21"/>
              </w:rPr>
            </w:pPr>
            <w:r>
              <w:rPr>
                <w:color w:val="auto"/>
                <w:sz w:val="21"/>
                <w:szCs w:val="21"/>
              </w:rPr>
              <w:t>评价工作等级</w:t>
            </w:r>
          </w:p>
        </w:tc>
        <w:tc>
          <w:tcPr>
            <w:tcW w:w="1857" w:type="dxa"/>
            <w:vAlign w:val="center"/>
          </w:tcPr>
          <w:p w14:paraId="0D0F1CFA">
            <w:pPr>
              <w:snapToGrid w:val="0"/>
              <w:spacing w:line="240" w:lineRule="auto"/>
              <w:ind w:firstLine="0" w:firstLineChars="0"/>
              <w:jc w:val="center"/>
              <w:rPr>
                <w:color w:val="auto"/>
                <w:sz w:val="21"/>
                <w:szCs w:val="21"/>
              </w:rPr>
            </w:pPr>
            <w:r>
              <w:rPr>
                <w:color w:val="auto"/>
                <w:sz w:val="21"/>
                <w:szCs w:val="21"/>
              </w:rPr>
              <w:t>一</w:t>
            </w:r>
          </w:p>
        </w:tc>
        <w:tc>
          <w:tcPr>
            <w:tcW w:w="1857" w:type="dxa"/>
            <w:vAlign w:val="center"/>
          </w:tcPr>
          <w:p w14:paraId="17D76BE1">
            <w:pPr>
              <w:snapToGrid w:val="0"/>
              <w:spacing w:line="240" w:lineRule="auto"/>
              <w:ind w:firstLine="0" w:firstLineChars="0"/>
              <w:jc w:val="center"/>
              <w:rPr>
                <w:color w:val="auto"/>
                <w:sz w:val="21"/>
                <w:szCs w:val="21"/>
              </w:rPr>
            </w:pPr>
            <w:r>
              <w:rPr>
                <w:color w:val="auto"/>
                <w:sz w:val="21"/>
                <w:szCs w:val="21"/>
              </w:rPr>
              <w:t>二</w:t>
            </w:r>
          </w:p>
        </w:tc>
        <w:tc>
          <w:tcPr>
            <w:tcW w:w="1857" w:type="dxa"/>
            <w:vAlign w:val="center"/>
          </w:tcPr>
          <w:p w14:paraId="3E524E09">
            <w:pPr>
              <w:snapToGrid w:val="0"/>
              <w:spacing w:line="240" w:lineRule="auto"/>
              <w:ind w:firstLine="0" w:firstLineChars="0"/>
              <w:jc w:val="center"/>
              <w:rPr>
                <w:color w:val="auto"/>
                <w:sz w:val="21"/>
                <w:szCs w:val="21"/>
              </w:rPr>
            </w:pPr>
            <w:r>
              <w:rPr>
                <w:color w:val="auto"/>
                <w:sz w:val="21"/>
                <w:szCs w:val="21"/>
              </w:rPr>
              <w:t>三</w:t>
            </w:r>
          </w:p>
        </w:tc>
        <w:tc>
          <w:tcPr>
            <w:tcW w:w="1858" w:type="dxa"/>
            <w:vAlign w:val="center"/>
          </w:tcPr>
          <w:p w14:paraId="76888B0E">
            <w:pPr>
              <w:snapToGrid w:val="0"/>
              <w:spacing w:line="240" w:lineRule="auto"/>
              <w:ind w:firstLine="0" w:firstLineChars="0"/>
              <w:jc w:val="center"/>
              <w:rPr>
                <w:color w:val="auto"/>
                <w:sz w:val="21"/>
                <w:szCs w:val="21"/>
              </w:rPr>
            </w:pPr>
            <w:r>
              <w:rPr>
                <w:color w:val="auto"/>
                <w:sz w:val="21"/>
                <w:szCs w:val="21"/>
              </w:rPr>
              <w:t>简单分析</w:t>
            </w:r>
            <w:r>
              <w:rPr>
                <w:color w:val="auto"/>
                <w:sz w:val="21"/>
                <w:szCs w:val="21"/>
                <w:vertAlign w:val="superscript"/>
              </w:rPr>
              <w:t>a</w:t>
            </w:r>
          </w:p>
        </w:tc>
      </w:tr>
      <w:tr w14:paraId="79C9E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6" w:type="dxa"/>
            <w:gridSpan w:val="5"/>
            <w:vAlign w:val="center"/>
          </w:tcPr>
          <w:p w14:paraId="3F4CA104">
            <w:pPr>
              <w:snapToGrid w:val="0"/>
              <w:spacing w:line="240" w:lineRule="auto"/>
              <w:ind w:firstLine="0" w:firstLineChars="0"/>
              <w:rPr>
                <w:color w:val="auto"/>
                <w:sz w:val="21"/>
                <w:szCs w:val="21"/>
              </w:rPr>
            </w:pPr>
            <w:r>
              <w:rPr>
                <w:color w:val="auto"/>
                <w:sz w:val="21"/>
                <w:szCs w:val="21"/>
                <w:vertAlign w:val="superscript"/>
              </w:rPr>
              <w:t>a</w:t>
            </w:r>
            <w:r>
              <w:rPr>
                <w:color w:val="auto"/>
                <w:sz w:val="21"/>
                <w:szCs w:val="21"/>
              </w:rPr>
              <w:t>是相对于详细评价工作内容而言，在描述危险物质、环境影响途径、环境危害后果、风险防范措施等方面给出定性的说明。见附录A</w:t>
            </w:r>
          </w:p>
        </w:tc>
      </w:tr>
    </w:tbl>
    <w:p w14:paraId="52CF4205">
      <w:pPr>
        <w:ind w:firstLine="480"/>
        <w:rPr>
          <w:color w:val="auto"/>
        </w:rPr>
      </w:pPr>
      <w:r>
        <w:rPr>
          <w:color w:val="auto"/>
        </w:rPr>
        <w:t>由前文分析可知，项目环境风险潜势最高为</w:t>
      </w:r>
      <w:r>
        <w:rPr>
          <w:rFonts w:hint="eastAsia" w:ascii="宋体" w:hAnsi="宋体" w:cs="宋体"/>
          <w:color w:val="auto"/>
        </w:rPr>
        <w:t>Ⅰ</w:t>
      </w:r>
      <w:r>
        <w:rPr>
          <w:color w:val="auto"/>
        </w:rPr>
        <w:t>，则环境风险评价工作等级为简单分析。</w:t>
      </w:r>
    </w:p>
    <w:p w14:paraId="7424A988">
      <w:pPr>
        <w:pStyle w:val="4"/>
        <w:tabs>
          <w:tab w:val="left" w:pos="0"/>
        </w:tabs>
        <w:jc w:val="left"/>
        <w:rPr>
          <w:color w:val="auto"/>
        </w:rPr>
      </w:pPr>
      <w:bookmarkStart w:id="542" w:name="_Toc225216839"/>
      <w:r>
        <w:rPr>
          <w:rFonts w:hint="eastAsia"/>
          <w:color w:val="auto"/>
        </w:rPr>
        <w:t>评价范围</w:t>
      </w:r>
      <w:bookmarkEnd w:id="542"/>
    </w:p>
    <w:p w14:paraId="3D88BFF1">
      <w:pPr>
        <w:ind w:firstLine="480"/>
        <w:rPr>
          <w:color w:val="auto"/>
        </w:rPr>
      </w:pPr>
      <w:r>
        <w:rPr>
          <w:color w:val="auto"/>
        </w:rPr>
        <w:t>（1）大气环境评价范围：不另设大气风险评价范围。</w:t>
      </w:r>
    </w:p>
    <w:p w14:paraId="42384C01">
      <w:pPr>
        <w:ind w:firstLine="480"/>
        <w:rPr>
          <w:color w:val="auto"/>
        </w:rPr>
      </w:pPr>
      <w:r>
        <w:rPr>
          <w:color w:val="auto"/>
        </w:rPr>
        <w:t>（2）水环境评价范围：不设置地表水评价范围。</w:t>
      </w:r>
    </w:p>
    <w:p w14:paraId="04C898D6">
      <w:pPr>
        <w:ind w:firstLine="480"/>
        <w:rPr>
          <w:color w:val="auto"/>
        </w:rPr>
      </w:pPr>
      <w:r>
        <w:rPr>
          <w:color w:val="auto"/>
        </w:rPr>
        <w:t>（3）地下水评价范围：与地下水环境评价范围相同。</w:t>
      </w:r>
    </w:p>
    <w:p w14:paraId="1E9BEE62">
      <w:pPr>
        <w:pStyle w:val="3"/>
        <w:rPr>
          <w:color w:val="auto"/>
        </w:rPr>
      </w:pPr>
      <w:bookmarkStart w:id="543" w:name="_Toc225216840"/>
      <w:bookmarkStart w:id="544" w:name="_Toc221355739"/>
      <w:bookmarkStart w:id="545" w:name="_Toc163053746"/>
      <w:r>
        <w:rPr>
          <w:color w:val="auto"/>
        </w:rPr>
        <w:t>环境风险识别</w:t>
      </w:r>
      <w:bookmarkEnd w:id="543"/>
      <w:bookmarkEnd w:id="544"/>
      <w:bookmarkEnd w:id="545"/>
    </w:p>
    <w:p w14:paraId="5F14F89F">
      <w:pPr>
        <w:pStyle w:val="4"/>
        <w:rPr>
          <w:color w:val="auto"/>
        </w:rPr>
      </w:pPr>
      <w:bookmarkStart w:id="546" w:name="_Toc225216841"/>
      <w:r>
        <w:rPr>
          <w:color w:val="auto"/>
        </w:rPr>
        <w:t>环境风险识别范围</w:t>
      </w:r>
      <w:bookmarkEnd w:id="546"/>
    </w:p>
    <w:p w14:paraId="4292CF7E">
      <w:pPr>
        <w:ind w:firstLine="480"/>
        <w:rPr>
          <w:color w:val="auto"/>
        </w:rPr>
      </w:pPr>
      <w:r>
        <w:rPr>
          <w:color w:val="auto"/>
        </w:rPr>
        <w:t>环境风险识别范围包括生产设施风险识别、生产过程所涉及的物质风险识别和危险物质向环境转移的途径识别。</w:t>
      </w:r>
    </w:p>
    <w:p w14:paraId="152EE58D">
      <w:pPr>
        <w:ind w:firstLine="480"/>
        <w:rPr>
          <w:color w:val="auto"/>
        </w:rPr>
      </w:pPr>
      <w:r>
        <w:rPr>
          <w:color w:val="auto"/>
        </w:rPr>
        <w:t>生产设施风险识别范围：主要生产装置、贮运系统、公用工程系统、工程环保设施及辅助生产设施等。</w:t>
      </w:r>
    </w:p>
    <w:p w14:paraId="4328FE5B">
      <w:pPr>
        <w:ind w:firstLine="480"/>
        <w:rPr>
          <w:color w:val="auto"/>
        </w:rPr>
      </w:pPr>
      <w:r>
        <w:rPr>
          <w:color w:val="auto"/>
        </w:rPr>
        <w:t>物质风险识别范围：主要原材料及辅助材料、燃料、中间产品、最终产品以及生产过程排放的“三废”污染物等。</w:t>
      </w:r>
    </w:p>
    <w:p w14:paraId="16B2C260">
      <w:pPr>
        <w:ind w:firstLine="439" w:firstLineChars="183"/>
        <w:rPr>
          <w:color w:val="auto"/>
        </w:rPr>
      </w:pPr>
      <w:r>
        <w:rPr>
          <w:color w:val="auto"/>
        </w:rPr>
        <w:t>危险物质向环境转移的途径识别：分析危险物质特性及可能的环境风险类型，识别危险物质影响环境的途径。</w:t>
      </w:r>
    </w:p>
    <w:p w14:paraId="62D7A421">
      <w:pPr>
        <w:pStyle w:val="4"/>
        <w:rPr>
          <w:color w:val="auto"/>
        </w:rPr>
      </w:pPr>
      <w:bookmarkStart w:id="547" w:name="_Toc225216842"/>
      <w:r>
        <w:rPr>
          <w:color w:val="auto"/>
        </w:rPr>
        <w:t>物质危险性识别</w:t>
      </w:r>
      <w:bookmarkEnd w:id="547"/>
    </w:p>
    <w:p w14:paraId="05C07C3B">
      <w:pPr>
        <w:ind w:firstLine="480"/>
        <w:rPr>
          <w:color w:val="auto"/>
        </w:rPr>
      </w:pPr>
      <w:r>
        <w:rPr>
          <w:color w:val="auto"/>
        </w:rPr>
        <w:t>项目原辅料</w:t>
      </w:r>
      <w:r>
        <w:rPr>
          <w:rFonts w:hint="eastAsia"/>
          <w:color w:val="auto"/>
        </w:rPr>
        <w:t>中</w:t>
      </w:r>
      <w:r>
        <w:rPr>
          <w:color w:val="auto"/>
        </w:rPr>
        <w:t>涉及危险化学品</w:t>
      </w:r>
      <w:r>
        <w:rPr>
          <w:rFonts w:hint="eastAsia"/>
          <w:color w:val="auto"/>
        </w:rPr>
        <w:t>主要为氢氧化钠</w:t>
      </w:r>
      <w:r>
        <w:rPr>
          <w:color w:val="auto"/>
        </w:rPr>
        <w:t>，产品和三废中环境风险物质主要为产生的危险废物，如废</w:t>
      </w:r>
      <w:r>
        <w:rPr>
          <w:rFonts w:hint="eastAsia"/>
          <w:color w:val="auto"/>
        </w:rPr>
        <w:t>矿物</w:t>
      </w:r>
      <w:r>
        <w:rPr>
          <w:color w:val="auto"/>
        </w:rPr>
        <w:t>油</w:t>
      </w:r>
      <w:r>
        <w:rPr>
          <w:rFonts w:hint="eastAsia"/>
          <w:color w:val="auto"/>
        </w:rPr>
        <w:t>、氨、硫化氢</w:t>
      </w:r>
      <w:r>
        <w:rPr>
          <w:color w:val="auto"/>
        </w:rPr>
        <w:t>。</w:t>
      </w:r>
    </w:p>
    <w:p w14:paraId="446A88AC">
      <w:pPr>
        <w:pStyle w:val="4"/>
        <w:rPr>
          <w:color w:val="auto"/>
        </w:rPr>
      </w:pPr>
      <w:bookmarkStart w:id="548" w:name="_Toc225216843"/>
      <w:r>
        <w:rPr>
          <w:color w:val="auto"/>
        </w:rPr>
        <w:t>生产系统危险性识别</w:t>
      </w:r>
      <w:bookmarkEnd w:id="548"/>
    </w:p>
    <w:p w14:paraId="460A12E3">
      <w:pPr>
        <w:ind w:firstLine="480"/>
        <w:jc w:val="left"/>
        <w:rPr>
          <w:color w:val="auto"/>
        </w:rPr>
      </w:pPr>
      <w:r>
        <w:rPr>
          <w:color w:val="auto"/>
        </w:rPr>
        <w:t>结合产品生产工艺、生产设备及污染物治理设备，总结本项目生产设施的环境风险如下：</w:t>
      </w:r>
    </w:p>
    <w:p w14:paraId="0B837798">
      <w:pPr>
        <w:ind w:firstLine="480"/>
        <w:rPr>
          <w:color w:val="auto"/>
        </w:rPr>
      </w:pPr>
      <w:r>
        <w:rPr>
          <w:color w:val="auto"/>
        </w:rPr>
        <w:t>（1）生产运行系统</w:t>
      </w:r>
    </w:p>
    <w:p w14:paraId="4D8FAFA0">
      <w:pPr>
        <w:ind w:firstLine="480"/>
        <w:rPr>
          <w:color w:val="auto"/>
        </w:rPr>
      </w:pPr>
      <w:r>
        <w:rPr>
          <w:color w:val="auto"/>
        </w:rPr>
        <w:t>生产过程中因操作不当或设备老化、磨损等，在加料口、排料口易产生跑、冒、滴、漏现象，管道连接点密封不严造成料液、废水泄漏，对环境产生污染。</w:t>
      </w:r>
    </w:p>
    <w:p w14:paraId="1C5169D0">
      <w:pPr>
        <w:ind w:firstLine="480"/>
        <w:rPr>
          <w:color w:val="auto"/>
        </w:rPr>
      </w:pPr>
      <w:r>
        <w:rPr>
          <w:color w:val="auto"/>
        </w:rPr>
        <w:t>（2）成品仓库</w:t>
      </w:r>
    </w:p>
    <w:p w14:paraId="7A551E7C">
      <w:pPr>
        <w:ind w:firstLine="480"/>
        <w:rPr>
          <w:color w:val="auto"/>
        </w:rPr>
      </w:pPr>
      <w:r>
        <w:rPr>
          <w:color w:val="auto"/>
        </w:rPr>
        <w:t>本项目所有原材料均未涉及易燃易爆化学品，但成品仓库中的</w:t>
      </w:r>
      <w:r>
        <w:rPr>
          <w:rFonts w:hint="eastAsia"/>
          <w:color w:val="auto"/>
        </w:rPr>
        <w:t>产品高档白卡纸等</w:t>
      </w:r>
      <w:r>
        <w:rPr>
          <w:color w:val="auto"/>
        </w:rPr>
        <w:t>在运输和贮存过程中遇明火有燃烧的风险。由于纸类主要成分为纤维素，燃烧后不会造成爆炸和有毒有害物质的产生，因此其风险主要表现为火灾本身造成的损失和危害，对周围环境空气质量、厂区员工和风险评价范围内人群造成一定影响。</w:t>
      </w:r>
    </w:p>
    <w:p w14:paraId="2E7F77A7">
      <w:pPr>
        <w:ind w:firstLine="480"/>
        <w:rPr>
          <w:color w:val="auto"/>
        </w:rPr>
      </w:pPr>
      <w:r>
        <w:rPr>
          <w:color w:val="auto"/>
        </w:rPr>
        <w:t>（3）危废暂存间</w:t>
      </w:r>
    </w:p>
    <w:p w14:paraId="6B1E1E34">
      <w:pPr>
        <w:ind w:firstLine="480"/>
        <w:rPr>
          <w:color w:val="auto"/>
        </w:rPr>
      </w:pPr>
      <w:r>
        <w:rPr>
          <w:color w:val="auto"/>
        </w:rPr>
        <w:t>项目废</w:t>
      </w:r>
      <w:r>
        <w:rPr>
          <w:rFonts w:hint="eastAsia"/>
          <w:color w:val="auto"/>
        </w:rPr>
        <w:t>矿物</w:t>
      </w:r>
      <w:r>
        <w:rPr>
          <w:color w:val="auto"/>
        </w:rPr>
        <w:t>油的产生</w:t>
      </w:r>
      <w:r>
        <w:rPr>
          <w:rFonts w:hint="eastAsia"/>
          <w:color w:val="auto"/>
        </w:rPr>
        <w:t>和暂存量较小，依托厂区现有工程的危废暂存间</w:t>
      </w:r>
      <w:r>
        <w:rPr>
          <w:color w:val="auto"/>
        </w:rPr>
        <w:t>暂存，因此对环境的影响较小。但废矿物油泄漏，将会引发火灾并污染周围环境空气及地下水、土壤。</w:t>
      </w:r>
    </w:p>
    <w:p w14:paraId="7D79973D">
      <w:pPr>
        <w:ind w:firstLine="480"/>
        <w:rPr>
          <w:color w:val="auto"/>
        </w:rPr>
      </w:pPr>
      <w:r>
        <w:rPr>
          <w:color w:val="auto"/>
        </w:rPr>
        <w:t>（4）污水处理站</w:t>
      </w:r>
    </w:p>
    <w:p w14:paraId="3CAC0429">
      <w:pPr>
        <w:ind w:firstLine="480"/>
        <w:rPr>
          <w:color w:val="auto"/>
        </w:rPr>
      </w:pPr>
      <w:r>
        <w:rPr>
          <w:color w:val="auto"/>
        </w:rPr>
        <w:t>项目污水处理站事故性排放原因有：厂区污水处理站因出现故障或运行不正常时，废水未经充分处理有可能导致超标排放；此外，项目白水回收系统出现异常或故障，使得污水处理站排放废水量明显增加。本项目废水污染物产生浓度已满足园区污水处理厂纳管要求，在采取预处理的基础上，废水</w:t>
      </w:r>
      <w:r>
        <w:rPr>
          <w:rFonts w:hint="eastAsia"/>
          <w:color w:val="auto"/>
        </w:rPr>
        <w:t>出现</w:t>
      </w:r>
      <w:r>
        <w:rPr>
          <w:color w:val="auto"/>
        </w:rPr>
        <w:t>超标排放的可能性较小。污水处理站池底、池壁等破裂渗漏，以及废水收集管道破裂发生泄漏，可能会污染土壤、地表水</w:t>
      </w:r>
      <w:r>
        <w:rPr>
          <w:rFonts w:hint="eastAsia"/>
          <w:color w:val="auto"/>
        </w:rPr>
        <w:t>和</w:t>
      </w:r>
      <w:r>
        <w:rPr>
          <w:color w:val="auto"/>
        </w:rPr>
        <w:t>地下水。</w:t>
      </w:r>
    </w:p>
    <w:p w14:paraId="2E285C42">
      <w:pPr>
        <w:ind w:firstLine="480"/>
        <w:rPr>
          <w:color w:val="auto"/>
        </w:rPr>
      </w:pPr>
      <w:r>
        <w:rPr>
          <w:color w:val="auto"/>
        </w:rPr>
        <w:t>（5）废气处理设施</w:t>
      </w:r>
    </w:p>
    <w:p w14:paraId="5D680EC4">
      <w:pPr>
        <w:ind w:firstLine="480"/>
        <w:rPr>
          <w:color w:val="auto"/>
        </w:rPr>
      </w:pPr>
      <w:r>
        <w:rPr>
          <w:color w:val="auto"/>
        </w:rPr>
        <w:t>当废气处理设施运行不良</w:t>
      </w:r>
      <w:r>
        <w:rPr>
          <w:rFonts w:hint="eastAsia"/>
          <w:color w:val="auto"/>
        </w:rPr>
        <w:t>导致</w:t>
      </w:r>
      <w:r>
        <w:rPr>
          <w:color w:val="auto"/>
        </w:rPr>
        <w:t>处理效率下降或进行开停车、检修时，此时废气排放对环境造成一定影响，该情况影响较短，对周边影响不大。</w:t>
      </w:r>
    </w:p>
    <w:p w14:paraId="7C0B5748">
      <w:pPr>
        <w:ind w:firstLine="480"/>
        <w:rPr>
          <w:color w:val="auto"/>
        </w:rPr>
      </w:pPr>
      <w:r>
        <w:rPr>
          <w:color w:val="auto"/>
        </w:rPr>
        <w:t>本项目生产系统危险性识别汇总见</w:t>
      </w:r>
      <w:r>
        <w:rPr>
          <w:rFonts w:hint="eastAsia"/>
          <w:color w:val="auto"/>
        </w:rPr>
        <w:t>下</w:t>
      </w:r>
      <w:r>
        <w:rPr>
          <w:color w:val="auto"/>
        </w:rPr>
        <w:t>表。</w:t>
      </w:r>
    </w:p>
    <w:p w14:paraId="5A205C71">
      <w:pPr>
        <w:pStyle w:val="7"/>
        <w:rPr>
          <w:color w:val="auto"/>
        </w:rPr>
      </w:pPr>
      <w:r>
        <w:rPr>
          <w:color w:val="auto"/>
        </w:rPr>
        <w:t>生产系统危险性识别</w:t>
      </w:r>
    </w:p>
    <w:tbl>
      <w:tblPr>
        <w:tblStyle w:val="2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134"/>
        <w:gridCol w:w="2013"/>
        <w:gridCol w:w="1672"/>
        <w:gridCol w:w="1276"/>
        <w:gridCol w:w="1134"/>
        <w:gridCol w:w="1523"/>
      </w:tblGrid>
      <w:tr w14:paraId="7FBD5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67" w:hRule="exact"/>
          <w:tblHeader/>
        </w:trPr>
        <w:tc>
          <w:tcPr>
            <w:tcW w:w="534" w:type="dxa"/>
            <w:vAlign w:val="center"/>
          </w:tcPr>
          <w:p w14:paraId="26873B7C">
            <w:pPr>
              <w:pStyle w:val="33"/>
              <w:snapToGrid w:val="0"/>
              <w:rPr>
                <w:color w:val="auto"/>
              </w:rPr>
            </w:pPr>
            <w:r>
              <w:rPr>
                <w:color w:val="auto"/>
              </w:rPr>
              <w:t>序号</w:t>
            </w:r>
          </w:p>
        </w:tc>
        <w:tc>
          <w:tcPr>
            <w:tcW w:w="1134" w:type="dxa"/>
            <w:vAlign w:val="center"/>
          </w:tcPr>
          <w:p w14:paraId="2D01D51F">
            <w:pPr>
              <w:pStyle w:val="33"/>
              <w:snapToGrid w:val="0"/>
              <w:rPr>
                <w:color w:val="auto"/>
              </w:rPr>
            </w:pPr>
            <w:r>
              <w:rPr>
                <w:color w:val="auto"/>
              </w:rPr>
              <w:t>生产危险单元</w:t>
            </w:r>
          </w:p>
        </w:tc>
        <w:tc>
          <w:tcPr>
            <w:tcW w:w="2013" w:type="dxa"/>
            <w:vAlign w:val="center"/>
          </w:tcPr>
          <w:p w14:paraId="3A59CE45">
            <w:pPr>
              <w:pStyle w:val="33"/>
              <w:snapToGrid w:val="0"/>
              <w:rPr>
                <w:color w:val="auto"/>
              </w:rPr>
            </w:pPr>
            <w:r>
              <w:rPr>
                <w:color w:val="auto"/>
              </w:rPr>
              <w:t>风险源</w:t>
            </w:r>
          </w:p>
        </w:tc>
        <w:tc>
          <w:tcPr>
            <w:tcW w:w="1672" w:type="dxa"/>
            <w:vAlign w:val="center"/>
          </w:tcPr>
          <w:p w14:paraId="224AF5E6">
            <w:pPr>
              <w:pStyle w:val="33"/>
              <w:snapToGrid w:val="0"/>
              <w:rPr>
                <w:color w:val="auto"/>
              </w:rPr>
            </w:pPr>
            <w:r>
              <w:rPr>
                <w:color w:val="auto"/>
              </w:rPr>
              <w:t>危险物质</w:t>
            </w:r>
          </w:p>
        </w:tc>
        <w:tc>
          <w:tcPr>
            <w:tcW w:w="1276" w:type="dxa"/>
            <w:vAlign w:val="center"/>
          </w:tcPr>
          <w:p w14:paraId="30C84150">
            <w:pPr>
              <w:pStyle w:val="33"/>
              <w:snapToGrid w:val="0"/>
              <w:rPr>
                <w:color w:val="auto"/>
              </w:rPr>
            </w:pPr>
            <w:r>
              <w:rPr>
                <w:color w:val="auto"/>
              </w:rPr>
              <w:t>最大储存/在线量/t</w:t>
            </w:r>
          </w:p>
        </w:tc>
        <w:tc>
          <w:tcPr>
            <w:tcW w:w="1134" w:type="dxa"/>
            <w:vAlign w:val="center"/>
          </w:tcPr>
          <w:p w14:paraId="0D7E5BDA">
            <w:pPr>
              <w:pStyle w:val="33"/>
              <w:snapToGrid w:val="0"/>
              <w:rPr>
                <w:color w:val="auto"/>
              </w:rPr>
            </w:pPr>
            <w:r>
              <w:rPr>
                <w:color w:val="auto"/>
              </w:rPr>
              <w:t>存在条件</w:t>
            </w:r>
          </w:p>
        </w:tc>
        <w:tc>
          <w:tcPr>
            <w:tcW w:w="1523" w:type="dxa"/>
            <w:vAlign w:val="center"/>
          </w:tcPr>
          <w:p w14:paraId="4396801B">
            <w:pPr>
              <w:pStyle w:val="33"/>
              <w:snapToGrid w:val="0"/>
              <w:rPr>
                <w:color w:val="auto"/>
              </w:rPr>
            </w:pPr>
            <w:r>
              <w:rPr>
                <w:color w:val="auto"/>
              </w:rPr>
              <w:t>触发因素</w:t>
            </w:r>
          </w:p>
        </w:tc>
      </w:tr>
      <w:tr w14:paraId="335F3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534" w:type="dxa"/>
            <w:vAlign w:val="center"/>
          </w:tcPr>
          <w:p w14:paraId="1CE66607">
            <w:pPr>
              <w:pStyle w:val="33"/>
              <w:snapToGrid w:val="0"/>
              <w:rPr>
                <w:color w:val="auto"/>
              </w:rPr>
            </w:pPr>
            <w:r>
              <w:rPr>
                <w:color w:val="auto"/>
              </w:rPr>
              <w:t>1</w:t>
            </w:r>
          </w:p>
        </w:tc>
        <w:tc>
          <w:tcPr>
            <w:tcW w:w="1134" w:type="dxa"/>
            <w:vAlign w:val="center"/>
          </w:tcPr>
          <w:p w14:paraId="4DE4D1EA">
            <w:pPr>
              <w:pStyle w:val="33"/>
              <w:snapToGrid w:val="0"/>
              <w:rPr>
                <w:color w:val="auto"/>
              </w:rPr>
            </w:pPr>
            <w:r>
              <w:rPr>
                <w:color w:val="auto"/>
              </w:rPr>
              <w:t>生产运行系统</w:t>
            </w:r>
          </w:p>
        </w:tc>
        <w:tc>
          <w:tcPr>
            <w:tcW w:w="2013" w:type="dxa"/>
            <w:vAlign w:val="center"/>
          </w:tcPr>
          <w:p w14:paraId="5E55E0C3">
            <w:pPr>
              <w:pStyle w:val="33"/>
              <w:snapToGrid w:val="0"/>
              <w:rPr>
                <w:color w:val="auto"/>
              </w:rPr>
            </w:pPr>
            <w:r>
              <w:rPr>
                <w:color w:val="auto"/>
              </w:rPr>
              <w:t>生产过程发生跑、冒、滴、漏</w:t>
            </w:r>
          </w:p>
        </w:tc>
        <w:tc>
          <w:tcPr>
            <w:tcW w:w="1672" w:type="dxa"/>
            <w:vAlign w:val="center"/>
          </w:tcPr>
          <w:p w14:paraId="1F9C821E">
            <w:pPr>
              <w:pStyle w:val="33"/>
              <w:snapToGrid w:val="0"/>
              <w:rPr>
                <w:color w:val="auto"/>
              </w:rPr>
            </w:pPr>
            <w:r>
              <w:rPr>
                <w:rFonts w:hint="eastAsia"/>
                <w:color w:val="auto"/>
              </w:rPr>
              <w:t>氢氧化钠</w:t>
            </w:r>
            <w:r>
              <w:rPr>
                <w:color w:val="auto"/>
              </w:rPr>
              <w:t>原料、废水、产品</w:t>
            </w:r>
          </w:p>
        </w:tc>
        <w:tc>
          <w:tcPr>
            <w:tcW w:w="1276" w:type="dxa"/>
            <w:vAlign w:val="center"/>
          </w:tcPr>
          <w:p w14:paraId="5238743E">
            <w:pPr>
              <w:pStyle w:val="33"/>
              <w:snapToGrid w:val="0"/>
              <w:rPr>
                <w:color w:val="auto"/>
              </w:rPr>
            </w:pPr>
            <w:r>
              <w:rPr>
                <w:color w:val="auto"/>
              </w:rPr>
              <w:t>/</w:t>
            </w:r>
          </w:p>
        </w:tc>
        <w:tc>
          <w:tcPr>
            <w:tcW w:w="1134" w:type="dxa"/>
            <w:vAlign w:val="center"/>
          </w:tcPr>
          <w:p w14:paraId="5AD042F7">
            <w:pPr>
              <w:pStyle w:val="33"/>
              <w:snapToGrid w:val="0"/>
              <w:rPr>
                <w:color w:val="auto"/>
              </w:rPr>
            </w:pPr>
            <w:r>
              <w:rPr>
                <w:color w:val="auto"/>
              </w:rPr>
              <w:t>/</w:t>
            </w:r>
          </w:p>
        </w:tc>
        <w:tc>
          <w:tcPr>
            <w:tcW w:w="1523" w:type="dxa"/>
            <w:vAlign w:val="center"/>
          </w:tcPr>
          <w:p w14:paraId="02A5F2C6">
            <w:pPr>
              <w:pStyle w:val="33"/>
              <w:snapToGrid w:val="0"/>
              <w:rPr>
                <w:color w:val="auto"/>
              </w:rPr>
            </w:pPr>
            <w:r>
              <w:rPr>
                <w:color w:val="auto"/>
              </w:rPr>
              <w:t>操作不当或设备老化、磨损等</w:t>
            </w:r>
          </w:p>
        </w:tc>
      </w:tr>
      <w:tr w14:paraId="56706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dxa"/>
            <w:vAlign w:val="center"/>
          </w:tcPr>
          <w:p w14:paraId="67F7BED1">
            <w:pPr>
              <w:pStyle w:val="33"/>
              <w:snapToGrid w:val="0"/>
              <w:rPr>
                <w:color w:val="auto"/>
              </w:rPr>
            </w:pPr>
            <w:r>
              <w:rPr>
                <w:color w:val="auto"/>
              </w:rPr>
              <w:t>2</w:t>
            </w:r>
          </w:p>
        </w:tc>
        <w:tc>
          <w:tcPr>
            <w:tcW w:w="1134" w:type="dxa"/>
            <w:vAlign w:val="center"/>
          </w:tcPr>
          <w:p w14:paraId="26605210">
            <w:pPr>
              <w:pStyle w:val="33"/>
              <w:snapToGrid w:val="0"/>
              <w:rPr>
                <w:color w:val="auto"/>
              </w:rPr>
            </w:pPr>
            <w:r>
              <w:rPr>
                <w:color w:val="auto"/>
              </w:rPr>
              <w:t>成品仓库</w:t>
            </w:r>
          </w:p>
        </w:tc>
        <w:tc>
          <w:tcPr>
            <w:tcW w:w="2013" w:type="dxa"/>
            <w:vAlign w:val="center"/>
          </w:tcPr>
          <w:p w14:paraId="5838E622">
            <w:pPr>
              <w:pStyle w:val="33"/>
              <w:snapToGrid w:val="0"/>
              <w:rPr>
                <w:color w:val="auto"/>
              </w:rPr>
            </w:pPr>
            <w:r>
              <w:rPr>
                <w:color w:val="auto"/>
              </w:rPr>
              <w:t>纸制品火灾</w:t>
            </w:r>
          </w:p>
        </w:tc>
        <w:tc>
          <w:tcPr>
            <w:tcW w:w="1672" w:type="dxa"/>
            <w:vAlign w:val="center"/>
          </w:tcPr>
          <w:p w14:paraId="19E19AA5">
            <w:pPr>
              <w:pStyle w:val="33"/>
              <w:snapToGrid w:val="0"/>
              <w:rPr>
                <w:color w:val="auto"/>
              </w:rPr>
            </w:pPr>
            <w:r>
              <w:rPr>
                <w:rFonts w:hint="eastAsia"/>
                <w:color w:val="auto"/>
              </w:rPr>
              <w:t>高档白卡纸</w:t>
            </w:r>
            <w:r>
              <w:rPr>
                <w:color w:val="auto"/>
              </w:rPr>
              <w:t>产品</w:t>
            </w:r>
          </w:p>
        </w:tc>
        <w:tc>
          <w:tcPr>
            <w:tcW w:w="1276" w:type="dxa"/>
            <w:vAlign w:val="center"/>
          </w:tcPr>
          <w:p w14:paraId="7EF65BD1">
            <w:pPr>
              <w:pStyle w:val="33"/>
              <w:snapToGrid w:val="0"/>
              <w:rPr>
                <w:color w:val="auto"/>
              </w:rPr>
            </w:pPr>
            <w:r>
              <w:rPr>
                <w:color w:val="auto"/>
              </w:rPr>
              <w:t>/</w:t>
            </w:r>
          </w:p>
        </w:tc>
        <w:tc>
          <w:tcPr>
            <w:tcW w:w="1134" w:type="dxa"/>
            <w:vAlign w:val="center"/>
          </w:tcPr>
          <w:p w14:paraId="4C2D63C0">
            <w:pPr>
              <w:pStyle w:val="33"/>
              <w:snapToGrid w:val="0"/>
              <w:rPr>
                <w:color w:val="auto"/>
              </w:rPr>
            </w:pPr>
            <w:r>
              <w:rPr>
                <w:color w:val="auto"/>
              </w:rPr>
              <w:t>固态、常温、常压</w:t>
            </w:r>
          </w:p>
        </w:tc>
        <w:tc>
          <w:tcPr>
            <w:tcW w:w="1523" w:type="dxa"/>
            <w:vAlign w:val="center"/>
          </w:tcPr>
          <w:p w14:paraId="04589C4A">
            <w:pPr>
              <w:pStyle w:val="33"/>
              <w:snapToGrid w:val="0"/>
              <w:rPr>
                <w:color w:val="auto"/>
              </w:rPr>
            </w:pPr>
            <w:r>
              <w:rPr>
                <w:color w:val="auto"/>
              </w:rPr>
              <w:t>管理不善</w:t>
            </w:r>
          </w:p>
        </w:tc>
      </w:tr>
      <w:tr w14:paraId="14C73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dxa"/>
            <w:vAlign w:val="center"/>
          </w:tcPr>
          <w:p w14:paraId="3120B420">
            <w:pPr>
              <w:pStyle w:val="33"/>
              <w:snapToGrid w:val="0"/>
              <w:rPr>
                <w:color w:val="auto"/>
              </w:rPr>
            </w:pPr>
            <w:r>
              <w:rPr>
                <w:color w:val="auto"/>
              </w:rPr>
              <w:t>3</w:t>
            </w:r>
          </w:p>
        </w:tc>
        <w:tc>
          <w:tcPr>
            <w:tcW w:w="1134" w:type="dxa"/>
            <w:vAlign w:val="center"/>
          </w:tcPr>
          <w:p w14:paraId="4EAAF3F6">
            <w:pPr>
              <w:pStyle w:val="33"/>
              <w:snapToGrid w:val="0"/>
              <w:rPr>
                <w:color w:val="auto"/>
              </w:rPr>
            </w:pPr>
            <w:r>
              <w:rPr>
                <w:color w:val="auto"/>
              </w:rPr>
              <w:t>危废暂存间</w:t>
            </w:r>
          </w:p>
        </w:tc>
        <w:tc>
          <w:tcPr>
            <w:tcW w:w="2013" w:type="dxa"/>
            <w:vAlign w:val="center"/>
          </w:tcPr>
          <w:p w14:paraId="0F5DF106">
            <w:pPr>
              <w:pStyle w:val="33"/>
              <w:snapToGrid w:val="0"/>
              <w:rPr>
                <w:color w:val="auto"/>
              </w:rPr>
            </w:pPr>
            <w:r>
              <w:rPr>
                <w:color w:val="auto"/>
              </w:rPr>
              <w:t>废</w:t>
            </w:r>
            <w:r>
              <w:rPr>
                <w:rFonts w:hint="eastAsia"/>
                <w:color w:val="auto"/>
              </w:rPr>
              <w:t>矿物油泄漏引发火灾</w:t>
            </w:r>
          </w:p>
        </w:tc>
        <w:tc>
          <w:tcPr>
            <w:tcW w:w="1672" w:type="dxa"/>
            <w:vAlign w:val="center"/>
          </w:tcPr>
          <w:p w14:paraId="21F41FB0">
            <w:pPr>
              <w:pStyle w:val="33"/>
              <w:snapToGrid w:val="0"/>
              <w:rPr>
                <w:color w:val="auto"/>
              </w:rPr>
            </w:pPr>
            <w:r>
              <w:rPr>
                <w:color w:val="auto"/>
              </w:rPr>
              <w:t>废</w:t>
            </w:r>
            <w:r>
              <w:rPr>
                <w:rFonts w:hint="eastAsia"/>
                <w:color w:val="auto"/>
              </w:rPr>
              <w:t>矿物油</w:t>
            </w:r>
          </w:p>
        </w:tc>
        <w:tc>
          <w:tcPr>
            <w:tcW w:w="1276" w:type="dxa"/>
            <w:vAlign w:val="center"/>
          </w:tcPr>
          <w:p w14:paraId="2D7078BB">
            <w:pPr>
              <w:pStyle w:val="33"/>
              <w:snapToGrid w:val="0"/>
              <w:rPr>
                <w:color w:val="auto"/>
              </w:rPr>
            </w:pPr>
            <w:r>
              <w:rPr>
                <w:rFonts w:hint="eastAsia"/>
                <w:color w:val="auto"/>
              </w:rPr>
              <w:t>/</w:t>
            </w:r>
          </w:p>
        </w:tc>
        <w:tc>
          <w:tcPr>
            <w:tcW w:w="1134" w:type="dxa"/>
            <w:vAlign w:val="center"/>
          </w:tcPr>
          <w:p w14:paraId="4ED476F3">
            <w:pPr>
              <w:pStyle w:val="33"/>
              <w:snapToGrid w:val="0"/>
              <w:rPr>
                <w:color w:val="auto"/>
              </w:rPr>
            </w:pPr>
            <w:r>
              <w:rPr>
                <w:rFonts w:hint="eastAsia"/>
                <w:color w:val="auto"/>
              </w:rPr>
              <w:t>液态/</w:t>
            </w:r>
            <w:r>
              <w:rPr>
                <w:color w:val="auto"/>
              </w:rPr>
              <w:t>固态、常温、常压</w:t>
            </w:r>
          </w:p>
        </w:tc>
        <w:tc>
          <w:tcPr>
            <w:tcW w:w="1523" w:type="dxa"/>
            <w:vAlign w:val="center"/>
          </w:tcPr>
          <w:p w14:paraId="47E41A06">
            <w:pPr>
              <w:pStyle w:val="33"/>
              <w:snapToGrid w:val="0"/>
              <w:rPr>
                <w:color w:val="auto"/>
              </w:rPr>
            </w:pPr>
            <w:r>
              <w:rPr>
                <w:color w:val="auto"/>
              </w:rPr>
              <w:t>管理不善、泄漏</w:t>
            </w:r>
          </w:p>
        </w:tc>
      </w:tr>
      <w:tr w14:paraId="5E6D2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dxa"/>
            <w:vAlign w:val="center"/>
          </w:tcPr>
          <w:p w14:paraId="39D0D03D">
            <w:pPr>
              <w:pStyle w:val="33"/>
              <w:snapToGrid w:val="0"/>
              <w:rPr>
                <w:color w:val="auto"/>
              </w:rPr>
            </w:pPr>
            <w:r>
              <w:rPr>
                <w:rFonts w:hint="eastAsia"/>
                <w:color w:val="auto"/>
              </w:rPr>
              <w:t>4</w:t>
            </w:r>
          </w:p>
        </w:tc>
        <w:tc>
          <w:tcPr>
            <w:tcW w:w="1134" w:type="dxa"/>
            <w:vAlign w:val="center"/>
          </w:tcPr>
          <w:p w14:paraId="1AD1804A">
            <w:pPr>
              <w:pStyle w:val="33"/>
              <w:snapToGrid w:val="0"/>
              <w:rPr>
                <w:color w:val="auto"/>
              </w:rPr>
            </w:pPr>
            <w:r>
              <w:rPr>
                <w:color w:val="auto"/>
              </w:rPr>
              <w:t>污水处理站</w:t>
            </w:r>
          </w:p>
        </w:tc>
        <w:tc>
          <w:tcPr>
            <w:tcW w:w="2013" w:type="dxa"/>
            <w:vAlign w:val="center"/>
          </w:tcPr>
          <w:p w14:paraId="72335F56">
            <w:pPr>
              <w:pStyle w:val="33"/>
              <w:snapToGrid w:val="0"/>
              <w:rPr>
                <w:color w:val="auto"/>
              </w:rPr>
            </w:pPr>
            <w:r>
              <w:rPr>
                <w:color w:val="auto"/>
              </w:rPr>
              <w:t>废水事故性排放及泄漏</w:t>
            </w:r>
          </w:p>
        </w:tc>
        <w:tc>
          <w:tcPr>
            <w:tcW w:w="1672" w:type="dxa"/>
            <w:vAlign w:val="center"/>
          </w:tcPr>
          <w:p w14:paraId="37DD58E2">
            <w:pPr>
              <w:pStyle w:val="33"/>
              <w:snapToGrid w:val="0"/>
              <w:rPr>
                <w:color w:val="auto"/>
              </w:rPr>
            </w:pPr>
            <w:r>
              <w:rPr>
                <w:color w:val="auto"/>
              </w:rPr>
              <w:t>污水站废水</w:t>
            </w:r>
          </w:p>
        </w:tc>
        <w:tc>
          <w:tcPr>
            <w:tcW w:w="1276" w:type="dxa"/>
            <w:vAlign w:val="center"/>
          </w:tcPr>
          <w:p w14:paraId="41A7ACA5">
            <w:pPr>
              <w:pStyle w:val="33"/>
              <w:snapToGrid w:val="0"/>
              <w:rPr>
                <w:color w:val="auto"/>
              </w:rPr>
            </w:pPr>
            <w:r>
              <w:rPr>
                <w:color w:val="auto"/>
              </w:rPr>
              <w:t>/</w:t>
            </w:r>
          </w:p>
        </w:tc>
        <w:tc>
          <w:tcPr>
            <w:tcW w:w="1134" w:type="dxa"/>
            <w:vAlign w:val="center"/>
          </w:tcPr>
          <w:p w14:paraId="589707E9">
            <w:pPr>
              <w:pStyle w:val="33"/>
              <w:snapToGrid w:val="0"/>
              <w:rPr>
                <w:color w:val="auto"/>
              </w:rPr>
            </w:pPr>
            <w:r>
              <w:rPr>
                <w:color w:val="auto"/>
              </w:rPr>
              <w:t>液态、常温、常压</w:t>
            </w:r>
          </w:p>
        </w:tc>
        <w:tc>
          <w:tcPr>
            <w:tcW w:w="1523" w:type="dxa"/>
            <w:vAlign w:val="center"/>
          </w:tcPr>
          <w:p w14:paraId="35176AE9">
            <w:pPr>
              <w:pStyle w:val="33"/>
              <w:snapToGrid w:val="0"/>
              <w:rPr>
                <w:color w:val="auto"/>
              </w:rPr>
            </w:pPr>
            <w:r>
              <w:rPr>
                <w:color w:val="auto"/>
              </w:rPr>
              <w:t>设备故障，池底、池壁、管道等破裂渗漏</w:t>
            </w:r>
          </w:p>
        </w:tc>
      </w:tr>
      <w:tr w14:paraId="59441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4" w:type="dxa"/>
            <w:vAlign w:val="center"/>
          </w:tcPr>
          <w:p w14:paraId="1CFFE538">
            <w:pPr>
              <w:pStyle w:val="33"/>
              <w:snapToGrid w:val="0"/>
              <w:rPr>
                <w:color w:val="auto"/>
              </w:rPr>
            </w:pPr>
            <w:r>
              <w:rPr>
                <w:rFonts w:hint="eastAsia"/>
                <w:color w:val="auto"/>
              </w:rPr>
              <w:t>5</w:t>
            </w:r>
          </w:p>
        </w:tc>
        <w:tc>
          <w:tcPr>
            <w:tcW w:w="1134" w:type="dxa"/>
            <w:vAlign w:val="center"/>
          </w:tcPr>
          <w:p w14:paraId="2009533D">
            <w:pPr>
              <w:pStyle w:val="33"/>
              <w:snapToGrid w:val="0"/>
              <w:rPr>
                <w:color w:val="auto"/>
              </w:rPr>
            </w:pPr>
            <w:r>
              <w:rPr>
                <w:color w:val="auto"/>
              </w:rPr>
              <w:t>废气处理设施</w:t>
            </w:r>
          </w:p>
        </w:tc>
        <w:tc>
          <w:tcPr>
            <w:tcW w:w="2013" w:type="dxa"/>
            <w:vAlign w:val="center"/>
          </w:tcPr>
          <w:p w14:paraId="20CAFFFD">
            <w:pPr>
              <w:pStyle w:val="33"/>
              <w:snapToGrid w:val="0"/>
              <w:rPr>
                <w:color w:val="auto"/>
              </w:rPr>
            </w:pPr>
            <w:r>
              <w:rPr>
                <w:color w:val="auto"/>
              </w:rPr>
              <w:t>废气排气筒</w:t>
            </w:r>
          </w:p>
        </w:tc>
        <w:tc>
          <w:tcPr>
            <w:tcW w:w="1672" w:type="dxa"/>
            <w:vAlign w:val="center"/>
          </w:tcPr>
          <w:p w14:paraId="26CB4290">
            <w:pPr>
              <w:pStyle w:val="33"/>
              <w:snapToGrid w:val="0"/>
              <w:rPr>
                <w:color w:val="auto"/>
              </w:rPr>
            </w:pPr>
            <w:r>
              <w:rPr>
                <w:color w:val="auto"/>
              </w:rPr>
              <w:t>污水处理站废气</w:t>
            </w:r>
          </w:p>
        </w:tc>
        <w:tc>
          <w:tcPr>
            <w:tcW w:w="1276" w:type="dxa"/>
            <w:vAlign w:val="center"/>
          </w:tcPr>
          <w:p w14:paraId="5EC543E2">
            <w:pPr>
              <w:pStyle w:val="33"/>
              <w:snapToGrid w:val="0"/>
              <w:rPr>
                <w:color w:val="auto"/>
              </w:rPr>
            </w:pPr>
            <w:r>
              <w:rPr>
                <w:color w:val="auto"/>
              </w:rPr>
              <w:t>/</w:t>
            </w:r>
          </w:p>
        </w:tc>
        <w:tc>
          <w:tcPr>
            <w:tcW w:w="1134" w:type="dxa"/>
            <w:vAlign w:val="center"/>
          </w:tcPr>
          <w:p w14:paraId="50CA306F">
            <w:pPr>
              <w:pStyle w:val="33"/>
              <w:snapToGrid w:val="0"/>
              <w:rPr>
                <w:color w:val="auto"/>
              </w:rPr>
            </w:pPr>
            <w:r>
              <w:rPr>
                <w:color w:val="auto"/>
              </w:rPr>
              <w:t>气态、常温、常压</w:t>
            </w:r>
          </w:p>
        </w:tc>
        <w:tc>
          <w:tcPr>
            <w:tcW w:w="1523" w:type="dxa"/>
            <w:vAlign w:val="center"/>
          </w:tcPr>
          <w:p w14:paraId="77B0EB69">
            <w:pPr>
              <w:pStyle w:val="33"/>
              <w:snapToGrid w:val="0"/>
              <w:rPr>
                <w:color w:val="auto"/>
              </w:rPr>
            </w:pPr>
            <w:r>
              <w:rPr>
                <w:color w:val="auto"/>
              </w:rPr>
              <w:t>运行不良、操作不当</w:t>
            </w:r>
          </w:p>
        </w:tc>
      </w:tr>
    </w:tbl>
    <w:p w14:paraId="24AED8F2">
      <w:pPr>
        <w:pStyle w:val="4"/>
        <w:rPr>
          <w:color w:val="auto"/>
        </w:rPr>
      </w:pPr>
      <w:bookmarkStart w:id="549" w:name="_Toc225216844"/>
      <w:r>
        <w:rPr>
          <w:color w:val="auto"/>
        </w:rPr>
        <w:t>环境风险类型</w:t>
      </w:r>
      <w:bookmarkEnd w:id="549"/>
    </w:p>
    <w:p w14:paraId="62C58664">
      <w:pPr>
        <w:ind w:firstLine="480"/>
        <w:rPr>
          <w:color w:val="auto"/>
        </w:rPr>
      </w:pPr>
      <w:r>
        <w:rPr>
          <w:color w:val="auto"/>
        </w:rPr>
        <w:t>根据项目风险源位置、涉及风险物质的实际情况，分析可能引发或次生风险事件的最坏情景。主要从以下方面考虑：</w:t>
      </w:r>
      <w:r>
        <w:rPr>
          <w:rFonts w:hint="eastAsia" w:ascii="宋体" w:hAnsi="宋体" w:cs="宋体"/>
          <w:color w:val="auto"/>
        </w:rPr>
        <w:t>①</w:t>
      </w:r>
      <w:r>
        <w:rPr>
          <w:color w:val="auto"/>
        </w:rPr>
        <w:t>火灾、爆炸、泄漏等生产安全事故及可能引起的次生、衍生厂外环境污染及人员伤亡事件；</w:t>
      </w:r>
      <w:r>
        <w:rPr>
          <w:rFonts w:hint="eastAsia" w:ascii="宋体" w:hAnsi="宋体" w:cs="宋体"/>
          <w:color w:val="auto"/>
        </w:rPr>
        <w:t>②</w:t>
      </w:r>
      <w:r>
        <w:rPr>
          <w:color w:val="auto"/>
        </w:rPr>
        <w:t>环境风险防控设施失灵或非正常操作；</w:t>
      </w:r>
      <w:r>
        <w:rPr>
          <w:rFonts w:hint="eastAsia" w:ascii="宋体" w:hAnsi="宋体" w:cs="宋体"/>
          <w:color w:val="auto"/>
        </w:rPr>
        <w:t>③</w:t>
      </w:r>
      <w:r>
        <w:rPr>
          <w:color w:val="auto"/>
        </w:rPr>
        <w:t>非正常工况；</w:t>
      </w:r>
      <w:r>
        <w:rPr>
          <w:rFonts w:hint="eastAsia" w:ascii="宋体" w:hAnsi="宋体" w:cs="宋体"/>
          <w:color w:val="auto"/>
        </w:rPr>
        <w:t>④</w:t>
      </w:r>
      <w:r>
        <w:rPr>
          <w:color w:val="auto"/>
        </w:rPr>
        <w:t>污染治理设施非正常运行；</w:t>
      </w:r>
      <w:r>
        <w:rPr>
          <w:rFonts w:hint="eastAsia" w:ascii="宋体" w:hAnsi="宋体" w:cs="宋体"/>
          <w:color w:val="auto"/>
        </w:rPr>
        <w:t>⑤</w:t>
      </w:r>
      <w:r>
        <w:rPr>
          <w:color w:val="auto"/>
        </w:rPr>
        <w:t>停电、断水、停气等；</w:t>
      </w:r>
      <w:r>
        <w:rPr>
          <w:rFonts w:hint="eastAsia" w:ascii="宋体" w:hAnsi="宋体" w:cs="宋体"/>
          <w:color w:val="auto"/>
        </w:rPr>
        <w:t>⑥</w:t>
      </w:r>
      <w:r>
        <w:rPr>
          <w:color w:val="auto"/>
        </w:rPr>
        <w:t>通讯或运输系统故障；</w:t>
      </w:r>
      <w:r>
        <w:rPr>
          <w:rFonts w:hint="eastAsia" w:ascii="宋体" w:hAnsi="宋体" w:cs="宋体"/>
          <w:color w:val="auto"/>
        </w:rPr>
        <w:t>⑦</w:t>
      </w:r>
      <w:r>
        <w:rPr>
          <w:color w:val="auto"/>
        </w:rPr>
        <w:t>其它可能情景，详见下表。</w:t>
      </w:r>
    </w:p>
    <w:p w14:paraId="4EC1994C">
      <w:pPr>
        <w:pStyle w:val="7"/>
        <w:rPr>
          <w:color w:val="auto"/>
        </w:rPr>
      </w:pPr>
      <w:r>
        <w:rPr>
          <w:color w:val="auto"/>
        </w:rPr>
        <w:t>可能发生的环境风险事故</w:t>
      </w:r>
    </w:p>
    <w:tbl>
      <w:tblPr>
        <w:tblStyle w:val="2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912"/>
        <w:gridCol w:w="1386"/>
        <w:gridCol w:w="2949"/>
        <w:gridCol w:w="3081"/>
      </w:tblGrid>
      <w:tr w14:paraId="52BBE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958" w:type="dxa"/>
            <w:vAlign w:val="center"/>
          </w:tcPr>
          <w:p w14:paraId="7422D2D2">
            <w:pPr>
              <w:pStyle w:val="33"/>
              <w:rPr>
                <w:rFonts w:eastAsia="Times New Roman"/>
                <w:color w:val="auto"/>
                <w:lang w:val="zh-CN"/>
              </w:rPr>
            </w:pPr>
            <w:r>
              <w:rPr>
                <w:color w:val="auto"/>
                <w:lang w:val="zh-CN"/>
              </w:rPr>
              <w:t>风险源类型</w:t>
            </w:r>
          </w:p>
        </w:tc>
        <w:tc>
          <w:tcPr>
            <w:tcW w:w="2298" w:type="dxa"/>
            <w:gridSpan w:val="2"/>
            <w:vAlign w:val="center"/>
          </w:tcPr>
          <w:p w14:paraId="76FEB6CD">
            <w:pPr>
              <w:pStyle w:val="33"/>
              <w:rPr>
                <w:rFonts w:eastAsia="Times New Roman"/>
                <w:color w:val="auto"/>
                <w:lang w:val="zh-CN"/>
              </w:rPr>
            </w:pPr>
            <w:r>
              <w:rPr>
                <w:color w:val="auto"/>
                <w:lang w:val="zh-CN"/>
              </w:rPr>
              <w:t>具体风险环节</w:t>
            </w:r>
          </w:p>
        </w:tc>
        <w:tc>
          <w:tcPr>
            <w:tcW w:w="2949" w:type="dxa"/>
            <w:vAlign w:val="center"/>
          </w:tcPr>
          <w:p w14:paraId="24B7C1B2">
            <w:pPr>
              <w:pStyle w:val="33"/>
              <w:rPr>
                <w:rFonts w:eastAsia="Times New Roman"/>
                <w:color w:val="auto"/>
                <w:lang w:val="zh-CN"/>
              </w:rPr>
            </w:pPr>
            <w:r>
              <w:rPr>
                <w:color w:val="auto"/>
                <w:lang w:val="zh-CN"/>
              </w:rPr>
              <w:t>触发因素</w:t>
            </w:r>
          </w:p>
        </w:tc>
        <w:tc>
          <w:tcPr>
            <w:tcW w:w="3081" w:type="dxa"/>
            <w:vAlign w:val="center"/>
          </w:tcPr>
          <w:p w14:paraId="388EA0CE">
            <w:pPr>
              <w:pStyle w:val="33"/>
              <w:rPr>
                <w:rFonts w:eastAsia="Times New Roman"/>
                <w:color w:val="auto"/>
                <w:lang w:val="zh-CN"/>
              </w:rPr>
            </w:pPr>
            <w:r>
              <w:rPr>
                <w:color w:val="auto"/>
                <w:lang w:val="zh-CN"/>
              </w:rPr>
              <w:t>危险物质向环境转移的可能途径</w:t>
            </w:r>
          </w:p>
        </w:tc>
      </w:tr>
      <w:tr w14:paraId="05B3C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958" w:type="dxa"/>
            <w:vMerge w:val="restart"/>
            <w:vAlign w:val="center"/>
          </w:tcPr>
          <w:p w14:paraId="0CE14619">
            <w:pPr>
              <w:pStyle w:val="33"/>
              <w:rPr>
                <w:rFonts w:eastAsia="Times New Roman"/>
                <w:color w:val="auto"/>
                <w:lang w:val="zh-CN"/>
              </w:rPr>
            </w:pPr>
            <w:r>
              <w:rPr>
                <w:color w:val="auto"/>
                <w:lang w:val="zh-CN"/>
              </w:rPr>
              <w:t>泄漏事故</w:t>
            </w:r>
          </w:p>
        </w:tc>
        <w:tc>
          <w:tcPr>
            <w:tcW w:w="2298" w:type="dxa"/>
            <w:gridSpan w:val="2"/>
            <w:vAlign w:val="center"/>
          </w:tcPr>
          <w:p w14:paraId="394AEDD2">
            <w:pPr>
              <w:pStyle w:val="33"/>
              <w:rPr>
                <w:rFonts w:eastAsia="等线"/>
                <w:color w:val="auto"/>
                <w:lang w:val="zh-CN"/>
              </w:rPr>
            </w:pPr>
            <w:r>
              <w:rPr>
                <w:color w:val="auto"/>
                <w:lang w:val="zh-CN"/>
              </w:rPr>
              <w:t>生产过程发生跑、冒、滴、漏</w:t>
            </w:r>
          </w:p>
        </w:tc>
        <w:tc>
          <w:tcPr>
            <w:tcW w:w="2949" w:type="dxa"/>
            <w:vAlign w:val="center"/>
          </w:tcPr>
          <w:p w14:paraId="0A9268BC">
            <w:pPr>
              <w:pStyle w:val="33"/>
              <w:jc w:val="both"/>
              <w:rPr>
                <w:rFonts w:eastAsia="Times New Roman"/>
                <w:color w:val="auto"/>
                <w:lang w:val="zh-CN"/>
              </w:rPr>
            </w:pPr>
            <w:r>
              <w:rPr>
                <w:rFonts w:hint="eastAsia" w:ascii="宋体" w:hAnsi="宋体" w:cs="宋体"/>
                <w:color w:val="auto"/>
                <w:lang w:val="zh-CN"/>
              </w:rPr>
              <w:t>①</w:t>
            </w:r>
            <w:r>
              <w:rPr>
                <w:color w:val="auto"/>
                <w:lang w:val="zh-CN"/>
              </w:rPr>
              <w:t>生产过程各工艺系统和设备故障损坏泄漏；</w:t>
            </w:r>
            <w:r>
              <w:rPr>
                <w:rFonts w:hint="eastAsia" w:ascii="宋体" w:hAnsi="宋体" w:cs="宋体"/>
                <w:color w:val="auto"/>
                <w:lang w:val="zh-CN"/>
              </w:rPr>
              <w:t>②</w:t>
            </w:r>
            <w:r>
              <w:rPr>
                <w:color w:val="auto"/>
                <w:lang w:val="zh-CN"/>
              </w:rPr>
              <w:t>包装袋损坏引发泄漏；</w:t>
            </w:r>
            <w:r>
              <w:rPr>
                <w:rFonts w:hint="eastAsia" w:ascii="宋体" w:hAnsi="宋体" w:cs="宋体"/>
                <w:color w:val="auto"/>
                <w:lang w:val="zh-CN"/>
              </w:rPr>
              <w:t>③</w:t>
            </w:r>
            <w:r>
              <w:rPr>
                <w:color w:val="auto"/>
                <w:lang w:val="zh-CN"/>
              </w:rPr>
              <w:t>管道密封性损坏引发泄漏。</w:t>
            </w:r>
          </w:p>
        </w:tc>
        <w:tc>
          <w:tcPr>
            <w:tcW w:w="3081" w:type="dxa"/>
            <w:vMerge w:val="restart"/>
            <w:vAlign w:val="center"/>
          </w:tcPr>
          <w:p w14:paraId="2DC8A6CD">
            <w:pPr>
              <w:pStyle w:val="33"/>
              <w:jc w:val="both"/>
              <w:rPr>
                <w:rFonts w:eastAsia="Times New Roman"/>
                <w:color w:val="auto"/>
                <w:lang w:val="zh-CN"/>
              </w:rPr>
            </w:pPr>
            <w:r>
              <w:rPr>
                <w:rFonts w:hint="eastAsia" w:ascii="宋体" w:hAnsi="宋体" w:cs="宋体"/>
                <w:color w:val="auto"/>
                <w:lang w:val="zh-CN"/>
              </w:rPr>
              <w:t>①</w:t>
            </w:r>
            <w:r>
              <w:rPr>
                <w:color w:val="auto"/>
                <w:lang w:val="zh-CN"/>
              </w:rPr>
              <w:t>对厂区或周围土壤、地表水甚至地下水环境质量产生不利影响；</w:t>
            </w:r>
            <w:r>
              <w:rPr>
                <w:rFonts w:hint="eastAsia" w:ascii="宋体" w:hAnsi="宋体" w:cs="宋体"/>
                <w:color w:val="auto"/>
                <w:lang w:val="zh-CN"/>
              </w:rPr>
              <w:t>②</w:t>
            </w:r>
            <w:r>
              <w:rPr>
                <w:color w:val="auto"/>
                <w:lang w:val="zh-CN"/>
              </w:rPr>
              <w:t>通过加强管理，及时更新设备元件，及时检修，将事故后果减少到最小。</w:t>
            </w:r>
          </w:p>
        </w:tc>
      </w:tr>
      <w:tr w14:paraId="5E8C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trPr>
        <w:tc>
          <w:tcPr>
            <w:tcW w:w="958" w:type="dxa"/>
            <w:vMerge w:val="continue"/>
            <w:vAlign w:val="center"/>
          </w:tcPr>
          <w:p w14:paraId="5D6414C1">
            <w:pPr>
              <w:pStyle w:val="33"/>
              <w:rPr>
                <w:color w:val="auto"/>
                <w:lang w:val="zh-CN"/>
              </w:rPr>
            </w:pPr>
          </w:p>
        </w:tc>
        <w:tc>
          <w:tcPr>
            <w:tcW w:w="2298" w:type="dxa"/>
            <w:gridSpan w:val="2"/>
            <w:vAlign w:val="center"/>
          </w:tcPr>
          <w:p w14:paraId="637D1FD4">
            <w:pPr>
              <w:pStyle w:val="33"/>
              <w:rPr>
                <w:color w:val="auto"/>
                <w:lang w:val="zh-CN"/>
              </w:rPr>
            </w:pPr>
            <w:r>
              <w:rPr>
                <w:color w:val="auto"/>
                <w:lang w:val="zh-CN"/>
              </w:rPr>
              <w:t>污水站废水泄漏</w:t>
            </w:r>
          </w:p>
        </w:tc>
        <w:tc>
          <w:tcPr>
            <w:tcW w:w="2949" w:type="dxa"/>
            <w:vAlign w:val="center"/>
          </w:tcPr>
          <w:p w14:paraId="523B018C">
            <w:pPr>
              <w:pStyle w:val="33"/>
              <w:jc w:val="both"/>
              <w:rPr>
                <w:color w:val="auto"/>
                <w:lang w:val="zh-CN"/>
              </w:rPr>
            </w:pPr>
            <w:r>
              <w:rPr>
                <w:rFonts w:hint="eastAsia" w:ascii="宋体" w:hAnsi="宋体" w:cs="宋体"/>
                <w:color w:val="auto"/>
                <w:lang w:val="zh-CN"/>
              </w:rPr>
              <w:t>①</w:t>
            </w:r>
            <w:r>
              <w:rPr>
                <w:color w:val="auto"/>
                <w:lang w:val="zh-CN"/>
              </w:rPr>
              <w:t>污水处理站池底、池壁等破裂渗漏；</w:t>
            </w:r>
            <w:r>
              <w:rPr>
                <w:rFonts w:hint="eastAsia" w:ascii="宋体" w:hAnsi="宋体" w:cs="宋体"/>
                <w:color w:val="auto"/>
                <w:lang w:val="zh-CN"/>
              </w:rPr>
              <w:t>②</w:t>
            </w:r>
            <w:r>
              <w:rPr>
                <w:color w:val="auto"/>
                <w:lang w:val="zh-CN"/>
              </w:rPr>
              <w:t>废水收集管道破裂发生泄漏</w:t>
            </w:r>
          </w:p>
        </w:tc>
        <w:tc>
          <w:tcPr>
            <w:tcW w:w="3081" w:type="dxa"/>
            <w:vMerge w:val="continue"/>
            <w:vAlign w:val="center"/>
          </w:tcPr>
          <w:p w14:paraId="3CB74987">
            <w:pPr>
              <w:pStyle w:val="33"/>
              <w:jc w:val="both"/>
              <w:rPr>
                <w:color w:val="auto"/>
                <w:lang w:val="zh-CN"/>
              </w:rPr>
            </w:pPr>
          </w:p>
        </w:tc>
      </w:tr>
      <w:tr w14:paraId="4BDE0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dxa"/>
            <w:vMerge w:val="restart"/>
            <w:vAlign w:val="center"/>
          </w:tcPr>
          <w:p w14:paraId="506042A6">
            <w:pPr>
              <w:pStyle w:val="33"/>
              <w:rPr>
                <w:rFonts w:eastAsia="Times New Roman"/>
                <w:color w:val="auto"/>
                <w:lang w:val="zh-CN"/>
              </w:rPr>
            </w:pPr>
            <w:r>
              <w:rPr>
                <w:color w:val="auto"/>
                <w:lang w:val="zh-CN"/>
              </w:rPr>
              <w:t>污染物事故排放</w:t>
            </w:r>
          </w:p>
        </w:tc>
        <w:tc>
          <w:tcPr>
            <w:tcW w:w="2298" w:type="dxa"/>
            <w:gridSpan w:val="2"/>
            <w:vAlign w:val="center"/>
          </w:tcPr>
          <w:p w14:paraId="17E9AC94">
            <w:pPr>
              <w:pStyle w:val="33"/>
              <w:rPr>
                <w:rFonts w:eastAsia="Times New Roman"/>
                <w:color w:val="auto"/>
                <w:lang w:val="zh-CN"/>
              </w:rPr>
            </w:pPr>
            <w:r>
              <w:rPr>
                <w:color w:val="auto"/>
                <w:lang w:val="zh-CN"/>
              </w:rPr>
              <w:t>废气处理系统</w:t>
            </w:r>
          </w:p>
        </w:tc>
        <w:tc>
          <w:tcPr>
            <w:tcW w:w="2949" w:type="dxa"/>
            <w:vAlign w:val="center"/>
          </w:tcPr>
          <w:p w14:paraId="7A8E6E2C">
            <w:pPr>
              <w:pStyle w:val="33"/>
              <w:jc w:val="both"/>
              <w:rPr>
                <w:rFonts w:eastAsia="Times New Roman"/>
                <w:color w:val="auto"/>
                <w:lang w:val="zh-CN"/>
              </w:rPr>
            </w:pPr>
            <w:r>
              <w:rPr>
                <w:rFonts w:hint="eastAsia" w:ascii="宋体" w:hAnsi="宋体" w:cs="宋体"/>
                <w:color w:val="auto"/>
                <w:lang w:val="zh-CN"/>
              </w:rPr>
              <w:t>①</w:t>
            </w:r>
            <w:r>
              <w:rPr>
                <w:color w:val="auto"/>
                <w:lang w:val="zh-CN"/>
              </w:rPr>
              <w:t>废气处理系统出现故障，处理效率下降；</w:t>
            </w:r>
            <w:r>
              <w:rPr>
                <w:rFonts w:hint="eastAsia" w:ascii="宋体" w:hAnsi="宋体" w:cs="宋体"/>
                <w:color w:val="auto"/>
                <w:lang w:val="zh-CN"/>
              </w:rPr>
              <w:t>②</w:t>
            </w:r>
            <w:r>
              <w:rPr>
                <w:color w:val="auto"/>
                <w:lang w:val="zh-CN"/>
              </w:rPr>
              <w:t>开停车或检修</w:t>
            </w:r>
          </w:p>
        </w:tc>
        <w:tc>
          <w:tcPr>
            <w:tcW w:w="3081" w:type="dxa"/>
            <w:vAlign w:val="center"/>
          </w:tcPr>
          <w:p w14:paraId="452587F8">
            <w:pPr>
              <w:pStyle w:val="33"/>
              <w:jc w:val="both"/>
              <w:rPr>
                <w:rFonts w:eastAsia="Times New Roman"/>
                <w:color w:val="auto"/>
                <w:lang w:val="zh-CN"/>
              </w:rPr>
            </w:pPr>
            <w:r>
              <w:rPr>
                <w:rFonts w:hint="eastAsia" w:ascii="宋体" w:hAnsi="宋体" w:cs="宋体"/>
                <w:color w:val="auto"/>
                <w:lang w:val="zh-CN"/>
              </w:rPr>
              <w:t>①</w:t>
            </w:r>
            <w:r>
              <w:rPr>
                <w:color w:val="auto"/>
                <w:lang w:val="zh-CN"/>
              </w:rPr>
              <w:t>废气处理系统发生故障对周边影响较小；</w:t>
            </w:r>
            <w:r>
              <w:rPr>
                <w:rFonts w:hint="eastAsia" w:ascii="宋体" w:hAnsi="宋体" w:cs="宋体"/>
                <w:color w:val="auto"/>
                <w:lang w:val="zh-CN"/>
              </w:rPr>
              <w:t>②</w:t>
            </w:r>
            <w:r>
              <w:rPr>
                <w:color w:val="auto"/>
                <w:lang w:val="zh-CN"/>
              </w:rPr>
              <w:t>开停车或检修可能对周边造成影响，及时采取恢复措施，将事故后果减少到最小。</w:t>
            </w:r>
          </w:p>
        </w:tc>
      </w:tr>
      <w:tr w14:paraId="0ED0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dxa"/>
            <w:vMerge w:val="continue"/>
            <w:vAlign w:val="center"/>
          </w:tcPr>
          <w:p w14:paraId="1F464BA3">
            <w:pPr>
              <w:pStyle w:val="33"/>
              <w:rPr>
                <w:color w:val="auto"/>
                <w:lang w:val="zh-CN"/>
              </w:rPr>
            </w:pPr>
          </w:p>
        </w:tc>
        <w:tc>
          <w:tcPr>
            <w:tcW w:w="912" w:type="dxa"/>
            <w:vMerge w:val="restart"/>
            <w:vAlign w:val="center"/>
          </w:tcPr>
          <w:p w14:paraId="66D081B5">
            <w:pPr>
              <w:pStyle w:val="33"/>
              <w:rPr>
                <w:rFonts w:eastAsia="Times New Roman"/>
                <w:color w:val="auto"/>
                <w:lang w:val="zh-CN"/>
              </w:rPr>
            </w:pPr>
            <w:r>
              <w:rPr>
                <w:color w:val="auto"/>
                <w:lang w:val="zh-CN"/>
              </w:rPr>
              <w:t>废水事故排放</w:t>
            </w:r>
          </w:p>
        </w:tc>
        <w:tc>
          <w:tcPr>
            <w:tcW w:w="1386" w:type="dxa"/>
            <w:vAlign w:val="center"/>
          </w:tcPr>
          <w:p w14:paraId="680CE042">
            <w:pPr>
              <w:pStyle w:val="33"/>
              <w:rPr>
                <w:rFonts w:eastAsia="Times New Roman"/>
                <w:color w:val="auto"/>
                <w:lang w:val="zh-CN"/>
              </w:rPr>
            </w:pPr>
            <w:r>
              <w:rPr>
                <w:color w:val="auto"/>
                <w:lang w:val="zh-CN"/>
              </w:rPr>
              <w:t>生产废水超标排放</w:t>
            </w:r>
          </w:p>
        </w:tc>
        <w:tc>
          <w:tcPr>
            <w:tcW w:w="2949" w:type="dxa"/>
            <w:vAlign w:val="center"/>
          </w:tcPr>
          <w:p w14:paraId="51042635">
            <w:pPr>
              <w:pStyle w:val="33"/>
              <w:jc w:val="both"/>
              <w:rPr>
                <w:rFonts w:eastAsia="Times New Roman"/>
                <w:color w:val="auto"/>
                <w:lang w:val="zh-CN"/>
              </w:rPr>
            </w:pPr>
            <w:r>
              <w:rPr>
                <w:rFonts w:hint="eastAsia" w:ascii="宋体" w:hAnsi="宋体" w:cs="宋体"/>
                <w:color w:val="auto"/>
                <w:lang w:val="zh-CN"/>
              </w:rPr>
              <w:t>①</w:t>
            </w:r>
            <w:r>
              <w:rPr>
                <w:color w:val="auto"/>
                <w:lang w:val="zh-CN"/>
              </w:rPr>
              <w:t>废水处理系统出现故障；</w:t>
            </w:r>
            <w:r>
              <w:rPr>
                <w:rFonts w:hint="eastAsia" w:ascii="宋体" w:hAnsi="宋体" w:cs="宋体"/>
                <w:color w:val="auto"/>
                <w:lang w:val="zh-CN"/>
              </w:rPr>
              <w:t>②</w:t>
            </w:r>
            <w:r>
              <w:rPr>
                <w:color w:val="auto"/>
                <w:lang w:val="zh-CN"/>
              </w:rPr>
              <w:t>白水回收系统出现异常或故障等</w:t>
            </w:r>
          </w:p>
        </w:tc>
        <w:tc>
          <w:tcPr>
            <w:tcW w:w="3081" w:type="dxa"/>
            <w:vAlign w:val="center"/>
          </w:tcPr>
          <w:p w14:paraId="273A9E1D">
            <w:pPr>
              <w:pStyle w:val="33"/>
              <w:jc w:val="both"/>
              <w:rPr>
                <w:rFonts w:eastAsia="Times New Roman"/>
                <w:color w:val="auto"/>
                <w:lang w:val="zh-CN"/>
              </w:rPr>
            </w:pPr>
            <w:r>
              <w:rPr>
                <w:rFonts w:hint="eastAsia" w:ascii="宋体" w:hAnsi="宋体" w:cs="宋体"/>
                <w:color w:val="auto"/>
                <w:lang w:val="zh-CN"/>
              </w:rPr>
              <w:t>①</w:t>
            </w:r>
            <w:r>
              <w:rPr>
                <w:color w:val="auto"/>
                <w:lang w:val="zh-CN"/>
              </w:rPr>
              <w:t>发生泄漏可能进入厂区土壤环境，进一步下渗污染地下水；</w:t>
            </w:r>
            <w:r>
              <w:rPr>
                <w:rFonts w:hint="eastAsia" w:ascii="宋体" w:hAnsi="宋体" w:cs="宋体"/>
                <w:color w:val="auto"/>
                <w:lang w:val="zh-CN"/>
              </w:rPr>
              <w:t>②</w:t>
            </w:r>
            <w:r>
              <w:rPr>
                <w:color w:val="auto"/>
                <w:lang w:val="zh-CN"/>
              </w:rPr>
              <w:t>超标排放影响地表水环境。</w:t>
            </w:r>
          </w:p>
        </w:tc>
      </w:tr>
      <w:tr w14:paraId="3363B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dxa"/>
            <w:vMerge w:val="continue"/>
            <w:vAlign w:val="center"/>
          </w:tcPr>
          <w:p w14:paraId="73332F64">
            <w:pPr>
              <w:pStyle w:val="33"/>
              <w:rPr>
                <w:color w:val="auto"/>
                <w:lang w:val="zh-CN"/>
              </w:rPr>
            </w:pPr>
          </w:p>
        </w:tc>
        <w:tc>
          <w:tcPr>
            <w:tcW w:w="912" w:type="dxa"/>
            <w:vMerge w:val="continue"/>
            <w:vAlign w:val="center"/>
          </w:tcPr>
          <w:p w14:paraId="0DADF6A8">
            <w:pPr>
              <w:pStyle w:val="33"/>
              <w:rPr>
                <w:color w:val="auto"/>
                <w:lang w:val="zh-CN"/>
              </w:rPr>
            </w:pPr>
          </w:p>
        </w:tc>
        <w:tc>
          <w:tcPr>
            <w:tcW w:w="1386" w:type="dxa"/>
            <w:vAlign w:val="center"/>
          </w:tcPr>
          <w:p w14:paraId="65DC5116">
            <w:pPr>
              <w:pStyle w:val="33"/>
              <w:rPr>
                <w:rFonts w:eastAsia="Times New Roman"/>
                <w:color w:val="auto"/>
                <w:lang w:val="zh-CN"/>
              </w:rPr>
            </w:pPr>
            <w:r>
              <w:rPr>
                <w:color w:val="auto"/>
                <w:lang w:val="zh-CN"/>
              </w:rPr>
              <w:t>事故消防废水外流</w:t>
            </w:r>
          </w:p>
        </w:tc>
        <w:tc>
          <w:tcPr>
            <w:tcW w:w="2949" w:type="dxa"/>
            <w:vAlign w:val="center"/>
          </w:tcPr>
          <w:p w14:paraId="501FB2D3">
            <w:pPr>
              <w:pStyle w:val="33"/>
              <w:jc w:val="both"/>
              <w:rPr>
                <w:rFonts w:eastAsia="Times New Roman"/>
                <w:color w:val="auto"/>
                <w:lang w:val="zh-CN"/>
              </w:rPr>
            </w:pPr>
            <w:r>
              <w:rPr>
                <w:color w:val="auto"/>
                <w:lang w:val="zh-CN"/>
              </w:rPr>
              <w:t>爆炸或火灾发生后，消防废水未得到有效收集</w:t>
            </w:r>
          </w:p>
        </w:tc>
        <w:tc>
          <w:tcPr>
            <w:tcW w:w="3081" w:type="dxa"/>
            <w:vAlign w:val="center"/>
          </w:tcPr>
          <w:p w14:paraId="6B1C2FD4">
            <w:pPr>
              <w:pStyle w:val="33"/>
              <w:jc w:val="both"/>
              <w:rPr>
                <w:rFonts w:eastAsia="Times New Roman"/>
                <w:color w:val="auto"/>
                <w:lang w:val="zh-CN"/>
              </w:rPr>
            </w:pPr>
            <w:r>
              <w:rPr>
                <w:color w:val="auto"/>
                <w:lang w:val="zh-CN"/>
              </w:rPr>
              <w:t>消防废水外流影响地表水、土壤环境，可能影响地下水环境。</w:t>
            </w:r>
          </w:p>
        </w:tc>
      </w:tr>
      <w:tr w14:paraId="657C6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dxa"/>
            <w:vMerge w:val="restart"/>
            <w:vAlign w:val="center"/>
          </w:tcPr>
          <w:p w14:paraId="135A4858">
            <w:pPr>
              <w:pStyle w:val="33"/>
              <w:rPr>
                <w:rFonts w:eastAsia="Times New Roman"/>
                <w:color w:val="auto"/>
                <w:lang w:val="zh-CN"/>
              </w:rPr>
            </w:pPr>
            <w:r>
              <w:rPr>
                <w:color w:val="auto"/>
                <w:lang w:val="zh-CN"/>
              </w:rPr>
              <w:t>火灾、爆炸次生污染事故</w:t>
            </w:r>
          </w:p>
        </w:tc>
        <w:tc>
          <w:tcPr>
            <w:tcW w:w="2298" w:type="dxa"/>
            <w:gridSpan w:val="2"/>
            <w:vAlign w:val="center"/>
          </w:tcPr>
          <w:p w14:paraId="09961C28">
            <w:pPr>
              <w:pStyle w:val="33"/>
              <w:rPr>
                <w:rFonts w:eastAsia="Times New Roman"/>
                <w:color w:val="auto"/>
                <w:lang w:val="zh-CN"/>
              </w:rPr>
            </w:pPr>
            <w:r>
              <w:rPr>
                <w:rFonts w:hint="eastAsia"/>
                <w:color w:val="auto"/>
                <w:lang w:val="zh-CN"/>
              </w:rPr>
              <w:t>危废暂存间</w:t>
            </w:r>
          </w:p>
        </w:tc>
        <w:tc>
          <w:tcPr>
            <w:tcW w:w="2949" w:type="dxa"/>
            <w:vAlign w:val="center"/>
          </w:tcPr>
          <w:p w14:paraId="5EC2E93F">
            <w:pPr>
              <w:pStyle w:val="33"/>
              <w:jc w:val="both"/>
              <w:rPr>
                <w:rFonts w:eastAsia="Times New Roman"/>
                <w:color w:val="auto"/>
                <w:lang w:val="zh-CN"/>
              </w:rPr>
            </w:pPr>
            <w:r>
              <w:rPr>
                <w:color w:val="auto"/>
                <w:lang w:val="zh-CN"/>
              </w:rPr>
              <w:t>废</w:t>
            </w:r>
            <w:r>
              <w:rPr>
                <w:rFonts w:hint="eastAsia"/>
                <w:color w:val="auto"/>
                <w:lang w:val="zh-CN"/>
              </w:rPr>
              <w:t>矿物油</w:t>
            </w:r>
            <w:r>
              <w:rPr>
                <w:color w:val="auto"/>
                <w:lang w:val="zh-CN"/>
              </w:rPr>
              <w:t>泄漏遇明火引发火灾</w:t>
            </w:r>
          </w:p>
        </w:tc>
        <w:tc>
          <w:tcPr>
            <w:tcW w:w="3081" w:type="dxa"/>
            <w:vAlign w:val="center"/>
          </w:tcPr>
          <w:p w14:paraId="767AF0FF">
            <w:pPr>
              <w:pStyle w:val="33"/>
              <w:jc w:val="both"/>
              <w:rPr>
                <w:color w:val="auto"/>
              </w:rPr>
            </w:pPr>
            <w:r>
              <w:rPr>
                <w:rFonts w:hint="eastAsia" w:ascii="宋体" w:hAnsi="宋体" w:cs="宋体"/>
                <w:color w:val="auto"/>
                <w:lang w:val="zh-CN"/>
              </w:rPr>
              <w:t>①</w:t>
            </w:r>
            <w:r>
              <w:rPr>
                <w:color w:val="auto"/>
              </w:rPr>
              <w:t>发生火灾污染厂区内/厂区周围环境空气质量</w:t>
            </w:r>
            <w:r>
              <w:rPr>
                <w:rFonts w:hint="eastAsia"/>
                <w:color w:val="auto"/>
              </w:rPr>
              <w:t>，对</w:t>
            </w:r>
            <w:r>
              <w:rPr>
                <w:color w:val="auto"/>
              </w:rPr>
              <w:t>厂区员工及风险评价范围内人群造成一定影响；</w:t>
            </w:r>
            <w:r>
              <w:rPr>
                <w:rFonts w:hint="eastAsia" w:ascii="宋体" w:hAnsi="宋体" w:cs="宋体"/>
                <w:color w:val="auto"/>
              </w:rPr>
              <w:t>②</w:t>
            </w:r>
            <w:r>
              <w:rPr>
                <w:color w:val="auto"/>
              </w:rPr>
              <w:t>废矿物油泄漏污染地下水和土壤；</w:t>
            </w:r>
            <w:r>
              <w:rPr>
                <w:rFonts w:hint="eastAsia" w:ascii="宋体" w:hAnsi="宋体" w:cs="宋体"/>
                <w:color w:val="auto"/>
                <w:lang w:val="zh-CN"/>
              </w:rPr>
              <w:t>③</w:t>
            </w:r>
            <w:r>
              <w:rPr>
                <w:color w:val="auto"/>
              </w:rPr>
              <w:t>消防废水及时收集在消防水池，不向外扩散，对外界影响不大。</w:t>
            </w:r>
          </w:p>
        </w:tc>
      </w:tr>
      <w:tr w14:paraId="73CBF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8" w:type="dxa"/>
            <w:vMerge w:val="continue"/>
            <w:vAlign w:val="center"/>
          </w:tcPr>
          <w:p w14:paraId="6FCA2020">
            <w:pPr>
              <w:pStyle w:val="33"/>
              <w:rPr>
                <w:color w:val="auto"/>
                <w:lang w:val="zh-CN"/>
              </w:rPr>
            </w:pPr>
          </w:p>
        </w:tc>
        <w:tc>
          <w:tcPr>
            <w:tcW w:w="2298" w:type="dxa"/>
            <w:gridSpan w:val="2"/>
            <w:vAlign w:val="center"/>
          </w:tcPr>
          <w:p w14:paraId="383F6D8D">
            <w:pPr>
              <w:pStyle w:val="33"/>
              <w:rPr>
                <w:color w:val="auto"/>
                <w:lang w:val="zh-CN"/>
              </w:rPr>
            </w:pPr>
            <w:r>
              <w:rPr>
                <w:color w:val="auto"/>
                <w:lang w:val="zh-CN"/>
              </w:rPr>
              <w:t>成品仓库</w:t>
            </w:r>
          </w:p>
        </w:tc>
        <w:tc>
          <w:tcPr>
            <w:tcW w:w="2949" w:type="dxa"/>
            <w:vAlign w:val="center"/>
          </w:tcPr>
          <w:p w14:paraId="745A92DC">
            <w:pPr>
              <w:pStyle w:val="33"/>
              <w:jc w:val="both"/>
              <w:rPr>
                <w:color w:val="auto"/>
                <w:lang w:val="zh-CN"/>
              </w:rPr>
            </w:pPr>
            <w:r>
              <w:rPr>
                <w:rFonts w:hint="eastAsia"/>
                <w:color w:val="auto"/>
                <w:lang w:val="zh-CN"/>
              </w:rPr>
              <w:t>生活用纸</w:t>
            </w:r>
            <w:r>
              <w:rPr>
                <w:color w:val="auto"/>
                <w:lang w:val="zh-CN"/>
              </w:rPr>
              <w:t>产品遇明火引发火灾</w:t>
            </w:r>
          </w:p>
        </w:tc>
        <w:tc>
          <w:tcPr>
            <w:tcW w:w="3081" w:type="dxa"/>
            <w:vAlign w:val="center"/>
          </w:tcPr>
          <w:p w14:paraId="51C0FD8E">
            <w:pPr>
              <w:pStyle w:val="33"/>
              <w:jc w:val="both"/>
              <w:rPr>
                <w:color w:val="auto"/>
                <w:lang w:val="zh-CN"/>
              </w:rPr>
            </w:pPr>
            <w:r>
              <w:rPr>
                <w:rFonts w:hint="eastAsia" w:ascii="宋体" w:hAnsi="宋体" w:cs="宋体"/>
                <w:color w:val="auto"/>
                <w:lang w:val="zh-CN"/>
              </w:rPr>
              <w:t>①</w:t>
            </w:r>
            <w:r>
              <w:rPr>
                <w:color w:val="auto"/>
                <w:lang w:val="zh-CN"/>
              </w:rPr>
              <w:t>污染厂区内</w:t>
            </w:r>
            <w:r>
              <w:rPr>
                <w:rFonts w:eastAsia="Times New Roman"/>
                <w:color w:val="auto"/>
                <w:lang w:val="zh-CN"/>
              </w:rPr>
              <w:t>/</w:t>
            </w:r>
            <w:r>
              <w:rPr>
                <w:color w:val="auto"/>
                <w:lang w:val="zh-CN"/>
              </w:rPr>
              <w:t>厂区周围环境空气质量</w:t>
            </w:r>
            <w:r>
              <w:rPr>
                <w:rFonts w:hint="eastAsia"/>
                <w:color w:val="auto"/>
                <w:lang w:val="zh-CN"/>
              </w:rPr>
              <w:t>，</w:t>
            </w:r>
            <w:r>
              <w:rPr>
                <w:rFonts w:hint="eastAsia"/>
                <w:color w:val="auto"/>
              </w:rPr>
              <w:t>对</w:t>
            </w:r>
            <w:r>
              <w:rPr>
                <w:color w:val="auto"/>
              </w:rPr>
              <w:t>厂区员工及风险评价范围内人群造成一定影响</w:t>
            </w:r>
            <w:r>
              <w:rPr>
                <w:color w:val="auto"/>
                <w:lang w:val="zh-CN"/>
              </w:rPr>
              <w:t>；</w:t>
            </w:r>
            <w:r>
              <w:rPr>
                <w:rFonts w:hint="eastAsia" w:ascii="宋体" w:hAnsi="宋体" w:cs="宋体"/>
                <w:color w:val="auto"/>
                <w:lang w:val="zh-CN"/>
              </w:rPr>
              <w:t>②</w:t>
            </w:r>
            <w:r>
              <w:rPr>
                <w:color w:val="auto"/>
                <w:lang w:val="zh-CN"/>
              </w:rPr>
              <w:t>消防废水及时收集在消防水池，不向外扩散，对外界影响不大。</w:t>
            </w:r>
          </w:p>
        </w:tc>
      </w:tr>
    </w:tbl>
    <w:p w14:paraId="740F5C68">
      <w:pPr>
        <w:pStyle w:val="4"/>
        <w:rPr>
          <w:color w:val="auto"/>
        </w:rPr>
      </w:pPr>
      <w:bookmarkStart w:id="550" w:name="_Toc225216845"/>
      <w:r>
        <w:rPr>
          <w:color w:val="auto"/>
        </w:rPr>
        <w:t>风险识别结果</w:t>
      </w:r>
      <w:bookmarkEnd w:id="550"/>
    </w:p>
    <w:p w14:paraId="352026DF">
      <w:pPr>
        <w:ind w:firstLine="480"/>
        <w:rPr>
          <w:color w:val="auto"/>
        </w:rPr>
        <w:sectPr>
          <w:headerReference r:id="rId39" w:type="default"/>
          <w:pgSz w:w="11906" w:h="16838"/>
          <w:pgMar w:top="1417" w:right="1417" w:bottom="1417" w:left="1417" w:header="851" w:footer="992" w:gutter="0"/>
          <w:cols w:space="720" w:num="1"/>
          <w:docGrid w:type="lines" w:linePitch="333" w:charSpace="0"/>
        </w:sectPr>
      </w:pPr>
      <w:r>
        <w:rPr>
          <w:color w:val="auto"/>
        </w:rPr>
        <w:t>本项目识别的环境风险详见下表。</w:t>
      </w:r>
    </w:p>
    <w:p w14:paraId="4D0CF989">
      <w:pPr>
        <w:pStyle w:val="7"/>
        <w:rPr>
          <w:color w:val="auto"/>
        </w:rPr>
      </w:pPr>
      <w:r>
        <w:rPr>
          <w:color w:val="auto"/>
        </w:rPr>
        <w:t>项目环境风险识别表</w:t>
      </w:r>
    </w:p>
    <w:tbl>
      <w:tblPr>
        <w:tblStyle w:val="26"/>
        <w:tblW w:w="142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701"/>
        <w:gridCol w:w="1843"/>
        <w:gridCol w:w="1506"/>
        <w:gridCol w:w="1766"/>
        <w:gridCol w:w="1765"/>
        <w:gridCol w:w="1766"/>
        <w:gridCol w:w="3196"/>
      </w:tblGrid>
      <w:tr w14:paraId="52E87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tblHeader/>
          <w:jc w:val="center"/>
        </w:trPr>
        <w:tc>
          <w:tcPr>
            <w:tcW w:w="675" w:type="dxa"/>
            <w:vAlign w:val="center"/>
          </w:tcPr>
          <w:p w14:paraId="05CDDDBB">
            <w:pPr>
              <w:pStyle w:val="33"/>
              <w:rPr>
                <w:color w:val="auto"/>
                <w:lang w:val="zh-CN"/>
              </w:rPr>
            </w:pPr>
            <w:r>
              <w:rPr>
                <w:color w:val="auto"/>
                <w:lang w:val="zh-CN"/>
              </w:rPr>
              <w:t>序号</w:t>
            </w:r>
          </w:p>
        </w:tc>
        <w:tc>
          <w:tcPr>
            <w:tcW w:w="1701" w:type="dxa"/>
            <w:vAlign w:val="center"/>
          </w:tcPr>
          <w:p w14:paraId="45C0040F">
            <w:pPr>
              <w:pStyle w:val="33"/>
              <w:rPr>
                <w:color w:val="auto"/>
                <w:lang w:val="zh-CN"/>
              </w:rPr>
            </w:pPr>
            <w:r>
              <w:rPr>
                <w:color w:val="auto"/>
                <w:lang w:val="zh-CN"/>
              </w:rPr>
              <w:t>危险单元</w:t>
            </w:r>
          </w:p>
        </w:tc>
        <w:tc>
          <w:tcPr>
            <w:tcW w:w="1843" w:type="dxa"/>
            <w:vAlign w:val="center"/>
          </w:tcPr>
          <w:p w14:paraId="726884F8">
            <w:pPr>
              <w:pStyle w:val="33"/>
              <w:rPr>
                <w:color w:val="auto"/>
                <w:lang w:val="zh-CN"/>
              </w:rPr>
            </w:pPr>
            <w:r>
              <w:rPr>
                <w:color w:val="auto"/>
                <w:lang w:val="zh-CN"/>
              </w:rPr>
              <w:t>风险源</w:t>
            </w:r>
          </w:p>
        </w:tc>
        <w:tc>
          <w:tcPr>
            <w:tcW w:w="1506" w:type="dxa"/>
            <w:vAlign w:val="center"/>
          </w:tcPr>
          <w:p w14:paraId="2EC20FE9">
            <w:pPr>
              <w:pStyle w:val="33"/>
              <w:rPr>
                <w:color w:val="auto"/>
                <w:lang w:val="zh-CN"/>
              </w:rPr>
            </w:pPr>
            <w:r>
              <w:rPr>
                <w:color w:val="auto"/>
                <w:lang w:val="zh-CN"/>
              </w:rPr>
              <w:t>主要危险物质</w:t>
            </w:r>
          </w:p>
        </w:tc>
        <w:tc>
          <w:tcPr>
            <w:tcW w:w="1766" w:type="dxa"/>
            <w:vAlign w:val="center"/>
          </w:tcPr>
          <w:p w14:paraId="65E9342F">
            <w:pPr>
              <w:pStyle w:val="33"/>
              <w:rPr>
                <w:color w:val="auto"/>
                <w:lang w:val="zh-CN"/>
              </w:rPr>
            </w:pPr>
            <w:r>
              <w:rPr>
                <w:color w:val="auto"/>
                <w:lang w:val="zh-CN"/>
              </w:rPr>
              <w:t>环境风险类别</w:t>
            </w:r>
          </w:p>
        </w:tc>
        <w:tc>
          <w:tcPr>
            <w:tcW w:w="1765" w:type="dxa"/>
            <w:vAlign w:val="center"/>
          </w:tcPr>
          <w:p w14:paraId="3E83E769">
            <w:pPr>
              <w:pStyle w:val="33"/>
              <w:rPr>
                <w:color w:val="auto"/>
                <w:lang w:val="zh-CN"/>
              </w:rPr>
            </w:pPr>
            <w:r>
              <w:rPr>
                <w:color w:val="auto"/>
                <w:lang w:val="zh-CN"/>
              </w:rPr>
              <w:t>环境影响途径</w:t>
            </w:r>
          </w:p>
        </w:tc>
        <w:tc>
          <w:tcPr>
            <w:tcW w:w="1766" w:type="dxa"/>
            <w:vAlign w:val="center"/>
          </w:tcPr>
          <w:p w14:paraId="6551760B">
            <w:pPr>
              <w:pStyle w:val="33"/>
              <w:rPr>
                <w:color w:val="auto"/>
                <w:lang w:val="zh-CN"/>
              </w:rPr>
            </w:pPr>
            <w:r>
              <w:rPr>
                <w:color w:val="auto"/>
                <w:lang w:val="zh-CN"/>
              </w:rPr>
              <w:t>可能受影响的环境敏感目标</w:t>
            </w:r>
          </w:p>
        </w:tc>
        <w:tc>
          <w:tcPr>
            <w:tcW w:w="3196" w:type="dxa"/>
            <w:vAlign w:val="center"/>
          </w:tcPr>
          <w:p w14:paraId="012A681B">
            <w:pPr>
              <w:pStyle w:val="33"/>
              <w:rPr>
                <w:color w:val="auto"/>
                <w:lang w:val="zh-CN"/>
              </w:rPr>
            </w:pPr>
            <w:r>
              <w:rPr>
                <w:color w:val="auto"/>
                <w:lang w:val="zh-CN"/>
              </w:rPr>
              <w:t>备注</w:t>
            </w:r>
          </w:p>
        </w:tc>
      </w:tr>
      <w:tr w14:paraId="15FEE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675" w:type="dxa"/>
            <w:vAlign w:val="center"/>
          </w:tcPr>
          <w:p w14:paraId="3BB7E2EB">
            <w:pPr>
              <w:pStyle w:val="33"/>
              <w:rPr>
                <w:color w:val="auto"/>
                <w:lang w:val="zh-CN"/>
              </w:rPr>
            </w:pPr>
            <w:r>
              <w:rPr>
                <w:color w:val="auto"/>
                <w:lang w:val="zh-CN"/>
              </w:rPr>
              <w:t>1</w:t>
            </w:r>
          </w:p>
        </w:tc>
        <w:tc>
          <w:tcPr>
            <w:tcW w:w="1701" w:type="dxa"/>
            <w:vAlign w:val="center"/>
          </w:tcPr>
          <w:p w14:paraId="18893807">
            <w:pPr>
              <w:pStyle w:val="33"/>
              <w:rPr>
                <w:color w:val="auto"/>
              </w:rPr>
            </w:pPr>
            <w:r>
              <w:rPr>
                <w:color w:val="auto"/>
              </w:rPr>
              <w:t>生产线</w:t>
            </w:r>
          </w:p>
        </w:tc>
        <w:tc>
          <w:tcPr>
            <w:tcW w:w="1843" w:type="dxa"/>
            <w:vAlign w:val="center"/>
          </w:tcPr>
          <w:p w14:paraId="6337122C">
            <w:pPr>
              <w:pStyle w:val="33"/>
              <w:rPr>
                <w:color w:val="auto"/>
              </w:rPr>
            </w:pPr>
            <w:r>
              <w:rPr>
                <w:color w:val="auto"/>
              </w:rPr>
              <w:t>/</w:t>
            </w:r>
          </w:p>
        </w:tc>
        <w:tc>
          <w:tcPr>
            <w:tcW w:w="1506" w:type="dxa"/>
            <w:vAlign w:val="center"/>
          </w:tcPr>
          <w:p w14:paraId="52C11393">
            <w:pPr>
              <w:pStyle w:val="33"/>
              <w:rPr>
                <w:color w:val="auto"/>
              </w:rPr>
            </w:pPr>
            <w:r>
              <w:rPr>
                <w:color w:val="auto"/>
              </w:rPr>
              <w:t>/</w:t>
            </w:r>
          </w:p>
        </w:tc>
        <w:tc>
          <w:tcPr>
            <w:tcW w:w="1766" w:type="dxa"/>
            <w:vAlign w:val="center"/>
          </w:tcPr>
          <w:p w14:paraId="5418D654">
            <w:pPr>
              <w:pStyle w:val="33"/>
              <w:rPr>
                <w:color w:val="auto"/>
                <w:lang w:val="zh-CN"/>
              </w:rPr>
            </w:pPr>
            <w:r>
              <w:rPr>
                <w:color w:val="auto"/>
                <w:lang w:val="zh-CN"/>
              </w:rPr>
              <w:t>跑、冒、滴、漏</w:t>
            </w:r>
          </w:p>
        </w:tc>
        <w:tc>
          <w:tcPr>
            <w:tcW w:w="1765" w:type="dxa"/>
            <w:vAlign w:val="center"/>
          </w:tcPr>
          <w:p w14:paraId="57E32BE2">
            <w:pPr>
              <w:pStyle w:val="33"/>
              <w:rPr>
                <w:color w:val="auto"/>
                <w:lang w:val="zh-CN"/>
              </w:rPr>
            </w:pPr>
            <w:r>
              <w:rPr>
                <w:rFonts w:hint="eastAsia"/>
                <w:color w:val="auto"/>
                <w:lang w:val="zh-CN"/>
              </w:rPr>
              <w:t>氢氧化钠</w:t>
            </w:r>
            <w:r>
              <w:rPr>
                <w:color w:val="auto"/>
                <w:lang w:val="zh-CN"/>
              </w:rPr>
              <w:t>泄漏污染地下水、土壤</w:t>
            </w:r>
          </w:p>
        </w:tc>
        <w:tc>
          <w:tcPr>
            <w:tcW w:w="1766" w:type="dxa"/>
            <w:vAlign w:val="center"/>
          </w:tcPr>
          <w:p w14:paraId="41174F00">
            <w:pPr>
              <w:pStyle w:val="33"/>
              <w:rPr>
                <w:color w:val="auto"/>
                <w:lang w:val="zh-CN"/>
              </w:rPr>
            </w:pPr>
            <w:r>
              <w:rPr>
                <w:color w:val="auto"/>
                <w:lang w:val="zh-CN"/>
              </w:rPr>
              <w:t>地下水、土壤</w:t>
            </w:r>
          </w:p>
        </w:tc>
        <w:tc>
          <w:tcPr>
            <w:tcW w:w="3196" w:type="dxa"/>
            <w:vMerge w:val="restart"/>
            <w:vAlign w:val="center"/>
          </w:tcPr>
          <w:p w14:paraId="363E7AEF">
            <w:pPr>
              <w:pStyle w:val="33"/>
              <w:rPr>
                <w:color w:val="auto"/>
                <w:lang w:val="zh-CN"/>
              </w:rPr>
            </w:pPr>
            <w:r>
              <w:rPr>
                <w:color w:val="auto"/>
                <w:lang w:val="zh-CN"/>
              </w:rPr>
              <w:t>生产线发生跑、冒、滴、漏或污水处理厂泄漏可能造成污染环境，做好防渗防漏处理，事故发生可能性小。废气的事故排放短期内会对周边环境空气造成污染，经大气扩散后可降低不良影响。事故排放废水经事故池收集，能有效控制事故废水，防止事故废水排放污染地表水。成品仓库内纸产品等易燃物质，管理不善易引发火灾。危废暂存间废矿物油泄漏易引发火灾。</w:t>
            </w:r>
          </w:p>
        </w:tc>
      </w:tr>
      <w:tr w14:paraId="2EC7C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675" w:type="dxa"/>
            <w:vAlign w:val="center"/>
          </w:tcPr>
          <w:p w14:paraId="6E9800D0">
            <w:pPr>
              <w:pStyle w:val="33"/>
              <w:rPr>
                <w:color w:val="auto"/>
                <w:lang w:val="zh-CN"/>
              </w:rPr>
            </w:pPr>
            <w:r>
              <w:rPr>
                <w:color w:val="auto"/>
                <w:lang w:val="zh-CN"/>
              </w:rPr>
              <w:t>2</w:t>
            </w:r>
          </w:p>
        </w:tc>
        <w:tc>
          <w:tcPr>
            <w:tcW w:w="1701" w:type="dxa"/>
            <w:vAlign w:val="center"/>
          </w:tcPr>
          <w:p w14:paraId="58641356">
            <w:pPr>
              <w:pStyle w:val="33"/>
              <w:rPr>
                <w:color w:val="auto"/>
              </w:rPr>
            </w:pPr>
            <w:r>
              <w:rPr>
                <w:color w:val="auto"/>
              </w:rPr>
              <w:t>污水处理站</w:t>
            </w:r>
          </w:p>
        </w:tc>
        <w:tc>
          <w:tcPr>
            <w:tcW w:w="1843" w:type="dxa"/>
            <w:vAlign w:val="center"/>
          </w:tcPr>
          <w:p w14:paraId="1246BA1D">
            <w:pPr>
              <w:pStyle w:val="33"/>
              <w:rPr>
                <w:color w:val="auto"/>
              </w:rPr>
            </w:pPr>
            <w:r>
              <w:rPr>
                <w:color w:val="auto"/>
              </w:rPr>
              <w:t>/</w:t>
            </w:r>
          </w:p>
        </w:tc>
        <w:tc>
          <w:tcPr>
            <w:tcW w:w="1506" w:type="dxa"/>
            <w:vAlign w:val="center"/>
          </w:tcPr>
          <w:p w14:paraId="3E5EA548">
            <w:pPr>
              <w:pStyle w:val="33"/>
              <w:rPr>
                <w:color w:val="auto"/>
              </w:rPr>
            </w:pPr>
            <w:r>
              <w:rPr>
                <w:color w:val="auto"/>
              </w:rPr>
              <w:t>/</w:t>
            </w:r>
          </w:p>
        </w:tc>
        <w:tc>
          <w:tcPr>
            <w:tcW w:w="1766" w:type="dxa"/>
            <w:vAlign w:val="center"/>
          </w:tcPr>
          <w:p w14:paraId="4FF77E37">
            <w:pPr>
              <w:pStyle w:val="33"/>
              <w:rPr>
                <w:color w:val="auto"/>
                <w:lang w:val="zh-CN"/>
              </w:rPr>
            </w:pPr>
            <w:r>
              <w:rPr>
                <w:color w:val="auto"/>
                <w:lang w:val="zh-CN"/>
              </w:rPr>
              <w:t>泄漏、事故排放</w:t>
            </w:r>
          </w:p>
        </w:tc>
        <w:tc>
          <w:tcPr>
            <w:tcW w:w="1765" w:type="dxa"/>
            <w:vAlign w:val="center"/>
          </w:tcPr>
          <w:p w14:paraId="64B1F39F">
            <w:pPr>
              <w:pStyle w:val="33"/>
              <w:rPr>
                <w:color w:val="auto"/>
                <w:lang w:val="zh-CN"/>
              </w:rPr>
            </w:pPr>
            <w:r>
              <w:rPr>
                <w:color w:val="auto"/>
                <w:lang w:val="zh-CN"/>
              </w:rPr>
              <w:t>泄漏、事故排放污染地表水、地下水、土壤</w:t>
            </w:r>
          </w:p>
        </w:tc>
        <w:tc>
          <w:tcPr>
            <w:tcW w:w="1766" w:type="dxa"/>
            <w:vAlign w:val="center"/>
          </w:tcPr>
          <w:p w14:paraId="19DC0D54">
            <w:pPr>
              <w:pStyle w:val="33"/>
              <w:rPr>
                <w:color w:val="auto"/>
                <w:lang w:val="zh-CN"/>
              </w:rPr>
            </w:pPr>
            <w:r>
              <w:rPr>
                <w:color w:val="auto"/>
                <w:lang w:val="zh-CN"/>
              </w:rPr>
              <w:t>地表水、地下水、土壤</w:t>
            </w:r>
          </w:p>
        </w:tc>
        <w:tc>
          <w:tcPr>
            <w:tcW w:w="3196" w:type="dxa"/>
            <w:vMerge w:val="continue"/>
            <w:vAlign w:val="center"/>
          </w:tcPr>
          <w:p w14:paraId="29F81EF1">
            <w:pPr>
              <w:pStyle w:val="33"/>
              <w:rPr>
                <w:color w:val="auto"/>
                <w:lang w:val="zh-CN"/>
              </w:rPr>
            </w:pPr>
          </w:p>
        </w:tc>
      </w:tr>
      <w:tr w14:paraId="74D44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675" w:type="dxa"/>
            <w:vAlign w:val="center"/>
          </w:tcPr>
          <w:p w14:paraId="41DEB585">
            <w:pPr>
              <w:pStyle w:val="33"/>
              <w:rPr>
                <w:color w:val="auto"/>
                <w:lang w:val="zh-CN"/>
              </w:rPr>
            </w:pPr>
            <w:r>
              <w:rPr>
                <w:color w:val="auto"/>
                <w:lang w:val="zh-CN"/>
              </w:rPr>
              <w:t>3</w:t>
            </w:r>
          </w:p>
        </w:tc>
        <w:tc>
          <w:tcPr>
            <w:tcW w:w="1701" w:type="dxa"/>
            <w:vAlign w:val="center"/>
          </w:tcPr>
          <w:p w14:paraId="17E69632">
            <w:pPr>
              <w:pStyle w:val="33"/>
              <w:rPr>
                <w:color w:val="auto"/>
              </w:rPr>
            </w:pPr>
            <w:r>
              <w:rPr>
                <w:color w:val="auto"/>
              </w:rPr>
              <w:t>废气处理系统</w:t>
            </w:r>
          </w:p>
        </w:tc>
        <w:tc>
          <w:tcPr>
            <w:tcW w:w="1843" w:type="dxa"/>
            <w:vAlign w:val="center"/>
          </w:tcPr>
          <w:p w14:paraId="041CBEB4">
            <w:pPr>
              <w:pStyle w:val="33"/>
              <w:rPr>
                <w:color w:val="auto"/>
              </w:rPr>
            </w:pPr>
            <w:r>
              <w:rPr>
                <w:color w:val="auto"/>
              </w:rPr>
              <w:t>/</w:t>
            </w:r>
          </w:p>
        </w:tc>
        <w:tc>
          <w:tcPr>
            <w:tcW w:w="1506" w:type="dxa"/>
            <w:vAlign w:val="center"/>
          </w:tcPr>
          <w:p w14:paraId="5DCCBE41">
            <w:pPr>
              <w:pStyle w:val="33"/>
              <w:rPr>
                <w:color w:val="auto"/>
              </w:rPr>
            </w:pPr>
            <w:r>
              <w:rPr>
                <w:color w:val="auto"/>
              </w:rPr>
              <w:t>/</w:t>
            </w:r>
          </w:p>
        </w:tc>
        <w:tc>
          <w:tcPr>
            <w:tcW w:w="1766" w:type="dxa"/>
            <w:vAlign w:val="center"/>
          </w:tcPr>
          <w:p w14:paraId="12ABACAA">
            <w:pPr>
              <w:pStyle w:val="33"/>
              <w:rPr>
                <w:color w:val="auto"/>
                <w:lang w:val="zh-CN"/>
              </w:rPr>
            </w:pPr>
            <w:r>
              <w:rPr>
                <w:color w:val="auto"/>
                <w:lang w:val="zh-CN"/>
              </w:rPr>
              <w:t>事故排放</w:t>
            </w:r>
          </w:p>
        </w:tc>
        <w:tc>
          <w:tcPr>
            <w:tcW w:w="1765" w:type="dxa"/>
            <w:vAlign w:val="center"/>
          </w:tcPr>
          <w:p w14:paraId="5F0BC28F">
            <w:pPr>
              <w:pStyle w:val="33"/>
              <w:rPr>
                <w:color w:val="auto"/>
                <w:lang w:val="zh-CN"/>
              </w:rPr>
            </w:pPr>
            <w:r>
              <w:rPr>
                <w:color w:val="auto"/>
                <w:lang w:val="zh-CN"/>
              </w:rPr>
              <w:t>环境空气</w:t>
            </w:r>
          </w:p>
        </w:tc>
        <w:tc>
          <w:tcPr>
            <w:tcW w:w="1766" w:type="dxa"/>
            <w:vAlign w:val="center"/>
          </w:tcPr>
          <w:p w14:paraId="6133C8C1">
            <w:pPr>
              <w:pStyle w:val="33"/>
              <w:rPr>
                <w:color w:val="auto"/>
                <w:lang w:val="zh-CN"/>
              </w:rPr>
            </w:pPr>
            <w:r>
              <w:rPr>
                <w:color w:val="auto"/>
                <w:lang w:val="zh-CN"/>
              </w:rPr>
              <w:t>环境空气</w:t>
            </w:r>
          </w:p>
        </w:tc>
        <w:tc>
          <w:tcPr>
            <w:tcW w:w="3196" w:type="dxa"/>
            <w:vMerge w:val="continue"/>
            <w:vAlign w:val="center"/>
          </w:tcPr>
          <w:p w14:paraId="1AA98808">
            <w:pPr>
              <w:pStyle w:val="33"/>
              <w:rPr>
                <w:color w:val="auto"/>
                <w:lang w:val="zh-CN"/>
              </w:rPr>
            </w:pPr>
          </w:p>
        </w:tc>
      </w:tr>
      <w:tr w14:paraId="27B08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675" w:type="dxa"/>
            <w:vAlign w:val="center"/>
          </w:tcPr>
          <w:p w14:paraId="0FCCF768">
            <w:pPr>
              <w:pStyle w:val="33"/>
              <w:rPr>
                <w:color w:val="auto"/>
                <w:lang w:val="zh-CN"/>
              </w:rPr>
            </w:pPr>
            <w:r>
              <w:rPr>
                <w:color w:val="auto"/>
                <w:lang w:val="zh-CN"/>
              </w:rPr>
              <w:t>4</w:t>
            </w:r>
          </w:p>
        </w:tc>
        <w:tc>
          <w:tcPr>
            <w:tcW w:w="1701" w:type="dxa"/>
            <w:tcBorders>
              <w:top w:val="single" w:color="auto" w:sz="4" w:space="0"/>
              <w:left w:val="single" w:color="auto" w:sz="4" w:space="0"/>
              <w:bottom w:val="single" w:color="auto" w:sz="4" w:space="0"/>
              <w:right w:val="single" w:color="auto" w:sz="4" w:space="0"/>
            </w:tcBorders>
            <w:vAlign w:val="center"/>
          </w:tcPr>
          <w:p w14:paraId="453C0801">
            <w:pPr>
              <w:pStyle w:val="33"/>
              <w:rPr>
                <w:color w:val="auto"/>
              </w:rPr>
            </w:pPr>
            <w:r>
              <w:rPr>
                <w:color w:val="auto"/>
              </w:rPr>
              <w:t>成品仓库</w:t>
            </w:r>
          </w:p>
        </w:tc>
        <w:tc>
          <w:tcPr>
            <w:tcW w:w="1843" w:type="dxa"/>
            <w:tcBorders>
              <w:top w:val="single" w:color="auto" w:sz="4" w:space="0"/>
              <w:left w:val="single" w:color="auto" w:sz="4" w:space="0"/>
              <w:bottom w:val="single" w:color="auto" w:sz="4" w:space="0"/>
              <w:right w:val="single" w:color="auto" w:sz="4" w:space="0"/>
            </w:tcBorders>
            <w:vAlign w:val="center"/>
          </w:tcPr>
          <w:p w14:paraId="2B0BE32F">
            <w:pPr>
              <w:pStyle w:val="33"/>
              <w:rPr>
                <w:color w:val="auto"/>
              </w:rPr>
            </w:pPr>
            <w:r>
              <w:rPr>
                <w:color w:val="auto"/>
              </w:rPr>
              <w:t>管理不善引发火灾</w:t>
            </w:r>
          </w:p>
        </w:tc>
        <w:tc>
          <w:tcPr>
            <w:tcW w:w="1506" w:type="dxa"/>
            <w:tcBorders>
              <w:top w:val="single" w:color="auto" w:sz="4" w:space="0"/>
              <w:left w:val="single" w:color="auto" w:sz="4" w:space="0"/>
              <w:bottom w:val="single" w:color="auto" w:sz="4" w:space="0"/>
              <w:right w:val="single" w:color="auto" w:sz="4" w:space="0"/>
            </w:tcBorders>
            <w:vAlign w:val="center"/>
          </w:tcPr>
          <w:p w14:paraId="02174D3B">
            <w:pPr>
              <w:pStyle w:val="33"/>
              <w:rPr>
                <w:color w:val="auto"/>
              </w:rPr>
            </w:pPr>
            <w:r>
              <w:rPr>
                <w:color w:val="auto"/>
              </w:rPr>
              <w:t>纸产品</w:t>
            </w:r>
          </w:p>
        </w:tc>
        <w:tc>
          <w:tcPr>
            <w:tcW w:w="1766" w:type="dxa"/>
            <w:vAlign w:val="center"/>
          </w:tcPr>
          <w:p w14:paraId="52FA8B07">
            <w:pPr>
              <w:pStyle w:val="33"/>
              <w:rPr>
                <w:color w:val="auto"/>
                <w:lang w:val="zh-CN"/>
              </w:rPr>
            </w:pPr>
            <w:r>
              <w:rPr>
                <w:color w:val="auto"/>
                <w:lang w:val="zh-CN"/>
              </w:rPr>
              <w:t>火灾</w:t>
            </w:r>
          </w:p>
        </w:tc>
        <w:tc>
          <w:tcPr>
            <w:tcW w:w="1765" w:type="dxa"/>
            <w:vAlign w:val="center"/>
          </w:tcPr>
          <w:p w14:paraId="70B46708">
            <w:pPr>
              <w:pStyle w:val="33"/>
              <w:rPr>
                <w:color w:val="auto"/>
                <w:lang w:val="zh-CN"/>
              </w:rPr>
            </w:pPr>
            <w:r>
              <w:rPr>
                <w:color w:val="auto"/>
                <w:lang w:val="zh-CN"/>
              </w:rPr>
              <w:t>环境空气</w:t>
            </w:r>
          </w:p>
        </w:tc>
        <w:tc>
          <w:tcPr>
            <w:tcW w:w="1766" w:type="dxa"/>
            <w:vAlign w:val="center"/>
          </w:tcPr>
          <w:p w14:paraId="53E1866E">
            <w:pPr>
              <w:pStyle w:val="33"/>
              <w:rPr>
                <w:color w:val="auto"/>
                <w:lang w:val="zh-CN"/>
              </w:rPr>
            </w:pPr>
            <w:r>
              <w:rPr>
                <w:color w:val="auto"/>
                <w:lang w:val="zh-CN"/>
              </w:rPr>
              <w:t>环境空气、厂区员工、风险评价范围内人群</w:t>
            </w:r>
          </w:p>
        </w:tc>
        <w:tc>
          <w:tcPr>
            <w:tcW w:w="3196" w:type="dxa"/>
            <w:vMerge w:val="continue"/>
            <w:vAlign w:val="center"/>
          </w:tcPr>
          <w:p w14:paraId="0DEF12CA">
            <w:pPr>
              <w:pStyle w:val="33"/>
              <w:rPr>
                <w:color w:val="auto"/>
                <w:lang w:val="zh-CN"/>
              </w:rPr>
            </w:pPr>
          </w:p>
        </w:tc>
      </w:tr>
      <w:tr w14:paraId="71AAF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blHeader/>
          <w:jc w:val="center"/>
        </w:trPr>
        <w:tc>
          <w:tcPr>
            <w:tcW w:w="675" w:type="dxa"/>
            <w:tcBorders>
              <w:bottom w:val="single" w:color="auto" w:sz="4" w:space="0"/>
            </w:tcBorders>
            <w:vAlign w:val="center"/>
          </w:tcPr>
          <w:p w14:paraId="3A429BF7">
            <w:pPr>
              <w:pStyle w:val="33"/>
              <w:rPr>
                <w:color w:val="auto"/>
                <w:lang w:val="zh-CN"/>
              </w:rPr>
            </w:pPr>
            <w:r>
              <w:rPr>
                <w:rFonts w:hint="eastAsia"/>
                <w:color w:val="auto"/>
                <w:lang w:val="zh-CN"/>
              </w:rPr>
              <w:t>5</w:t>
            </w:r>
          </w:p>
        </w:tc>
        <w:tc>
          <w:tcPr>
            <w:tcW w:w="1701" w:type="dxa"/>
            <w:tcBorders>
              <w:top w:val="single" w:color="auto" w:sz="4" w:space="0"/>
              <w:left w:val="single" w:color="auto" w:sz="4" w:space="0"/>
              <w:bottom w:val="single" w:color="auto" w:sz="4" w:space="0"/>
              <w:right w:val="single" w:color="auto" w:sz="4" w:space="0"/>
            </w:tcBorders>
            <w:vAlign w:val="center"/>
          </w:tcPr>
          <w:p w14:paraId="28661F29">
            <w:pPr>
              <w:pStyle w:val="33"/>
              <w:rPr>
                <w:color w:val="auto"/>
              </w:rPr>
            </w:pPr>
            <w:r>
              <w:rPr>
                <w:color w:val="auto"/>
              </w:rPr>
              <w:t>危废暂存间</w:t>
            </w:r>
          </w:p>
        </w:tc>
        <w:tc>
          <w:tcPr>
            <w:tcW w:w="1843" w:type="dxa"/>
            <w:tcBorders>
              <w:top w:val="single" w:color="auto" w:sz="4" w:space="0"/>
              <w:left w:val="single" w:color="auto" w:sz="4" w:space="0"/>
              <w:bottom w:val="single" w:color="auto" w:sz="4" w:space="0"/>
              <w:right w:val="single" w:color="auto" w:sz="4" w:space="0"/>
            </w:tcBorders>
            <w:vAlign w:val="center"/>
          </w:tcPr>
          <w:p w14:paraId="70C625DC">
            <w:pPr>
              <w:pStyle w:val="33"/>
              <w:rPr>
                <w:color w:val="auto"/>
              </w:rPr>
            </w:pPr>
            <w:r>
              <w:rPr>
                <w:color w:val="auto"/>
                <w:szCs w:val="20"/>
                <w:lang w:val="zh-CN"/>
              </w:rPr>
              <w:t>泄漏引发火灾、遇明火引发火灾</w:t>
            </w:r>
          </w:p>
        </w:tc>
        <w:tc>
          <w:tcPr>
            <w:tcW w:w="1506" w:type="dxa"/>
            <w:tcBorders>
              <w:top w:val="single" w:color="auto" w:sz="4" w:space="0"/>
              <w:left w:val="single" w:color="auto" w:sz="4" w:space="0"/>
              <w:bottom w:val="single" w:color="auto" w:sz="4" w:space="0"/>
              <w:right w:val="single" w:color="auto" w:sz="4" w:space="0"/>
            </w:tcBorders>
            <w:vAlign w:val="center"/>
          </w:tcPr>
          <w:p w14:paraId="7CA74B13">
            <w:pPr>
              <w:pStyle w:val="33"/>
              <w:rPr>
                <w:color w:val="auto"/>
              </w:rPr>
            </w:pPr>
            <w:r>
              <w:rPr>
                <w:color w:val="auto"/>
              </w:rPr>
              <w:t>废矿物油</w:t>
            </w:r>
          </w:p>
        </w:tc>
        <w:tc>
          <w:tcPr>
            <w:tcW w:w="1766" w:type="dxa"/>
            <w:vAlign w:val="center"/>
          </w:tcPr>
          <w:p w14:paraId="38F8164F">
            <w:pPr>
              <w:pStyle w:val="33"/>
              <w:rPr>
                <w:color w:val="auto"/>
                <w:lang w:val="zh-CN"/>
              </w:rPr>
            </w:pPr>
            <w:r>
              <w:rPr>
                <w:color w:val="auto"/>
                <w:lang w:val="zh-CN"/>
              </w:rPr>
              <w:t>泄漏</w:t>
            </w:r>
            <w:r>
              <w:rPr>
                <w:rFonts w:hint="eastAsia"/>
                <w:color w:val="auto"/>
                <w:lang w:val="zh-CN"/>
              </w:rPr>
              <w:t>、火灾</w:t>
            </w:r>
          </w:p>
        </w:tc>
        <w:tc>
          <w:tcPr>
            <w:tcW w:w="1765" w:type="dxa"/>
            <w:vAlign w:val="center"/>
          </w:tcPr>
          <w:p w14:paraId="207C98A9">
            <w:pPr>
              <w:pStyle w:val="33"/>
              <w:rPr>
                <w:color w:val="auto"/>
                <w:lang w:val="zh-CN"/>
              </w:rPr>
            </w:pPr>
            <w:r>
              <w:rPr>
                <w:color w:val="auto"/>
                <w:lang w:val="zh-CN"/>
              </w:rPr>
              <w:t>泄漏污染地下水、土壤，火灾影响环境空气</w:t>
            </w:r>
          </w:p>
        </w:tc>
        <w:tc>
          <w:tcPr>
            <w:tcW w:w="1766" w:type="dxa"/>
            <w:vAlign w:val="center"/>
          </w:tcPr>
          <w:p w14:paraId="66F95B91">
            <w:pPr>
              <w:pStyle w:val="33"/>
              <w:rPr>
                <w:color w:val="auto"/>
                <w:lang w:val="zh-CN"/>
              </w:rPr>
            </w:pPr>
            <w:r>
              <w:rPr>
                <w:color w:val="auto"/>
                <w:lang w:val="zh-CN"/>
              </w:rPr>
              <w:t>地下水、土壤、环境空气、厂区员工、风险评价范围内人群</w:t>
            </w:r>
          </w:p>
        </w:tc>
        <w:tc>
          <w:tcPr>
            <w:tcW w:w="3196" w:type="dxa"/>
            <w:vMerge w:val="continue"/>
            <w:vAlign w:val="center"/>
          </w:tcPr>
          <w:p w14:paraId="073AB128">
            <w:pPr>
              <w:pStyle w:val="33"/>
              <w:rPr>
                <w:color w:val="auto"/>
                <w:lang w:val="zh-CN"/>
              </w:rPr>
            </w:pPr>
          </w:p>
        </w:tc>
      </w:tr>
    </w:tbl>
    <w:p w14:paraId="4495EEC0">
      <w:pPr>
        <w:ind w:firstLine="480"/>
        <w:rPr>
          <w:color w:val="auto"/>
        </w:rPr>
        <w:sectPr>
          <w:pgSz w:w="16838" w:h="11906" w:orient="landscape"/>
          <w:pgMar w:top="1418" w:right="1418" w:bottom="1418" w:left="1418" w:header="851" w:footer="992" w:gutter="0"/>
          <w:cols w:space="425" w:num="1"/>
          <w:docGrid w:type="lines" w:linePitch="326" w:charSpace="0"/>
        </w:sectPr>
      </w:pPr>
    </w:p>
    <w:p w14:paraId="181E9229">
      <w:pPr>
        <w:pStyle w:val="3"/>
        <w:rPr>
          <w:color w:val="auto"/>
        </w:rPr>
      </w:pPr>
      <w:bookmarkStart w:id="551" w:name="_Toc225216846"/>
      <w:bookmarkStart w:id="552" w:name="_Toc163053747"/>
      <w:bookmarkStart w:id="553" w:name="_Toc221355740"/>
      <w:r>
        <w:rPr>
          <w:color w:val="auto"/>
        </w:rPr>
        <w:t>环境风险分析与评价</w:t>
      </w:r>
      <w:bookmarkEnd w:id="551"/>
      <w:bookmarkEnd w:id="552"/>
      <w:bookmarkEnd w:id="553"/>
    </w:p>
    <w:p w14:paraId="67D9E67D">
      <w:pPr>
        <w:pStyle w:val="4"/>
        <w:rPr>
          <w:color w:val="auto"/>
        </w:rPr>
      </w:pPr>
      <w:bookmarkStart w:id="554" w:name="_Toc225216847"/>
      <w:r>
        <w:rPr>
          <w:color w:val="auto"/>
        </w:rPr>
        <w:t>大气风险事故影响分析</w:t>
      </w:r>
      <w:bookmarkEnd w:id="554"/>
    </w:p>
    <w:p w14:paraId="2D6C4112">
      <w:pPr>
        <w:ind w:firstLine="480"/>
        <w:rPr>
          <w:color w:val="auto"/>
        </w:rPr>
      </w:pPr>
      <w:r>
        <w:rPr>
          <w:color w:val="auto"/>
        </w:rPr>
        <w:t>（1）火灾事故影响分析</w:t>
      </w:r>
    </w:p>
    <w:p w14:paraId="2D092C74">
      <w:pPr>
        <w:ind w:firstLine="480"/>
        <w:rPr>
          <w:color w:val="auto"/>
        </w:rPr>
      </w:pPr>
      <w:r>
        <w:rPr>
          <w:color w:val="auto"/>
        </w:rPr>
        <w:t>成品仓库内存在着大量的纸制品，其燃点低，容易引发火灾。废矿物油暂存于危废暂存间，其中若项目废矿物油发生泄漏事故，则遇明火易引发火灾。发生火灾对环境的污染影响主要来自燃烧释放的大量的有害气体，由于燃烧产生的有害气体释放量难以定量，本次评价主要定性分析火灾发生时产生的有害气体对周围环境的影响。在正常情况下，空气的组成主要有氮气、氧气、氩气、二氧化碳及氢、氖、O</w:t>
      </w:r>
      <w:r>
        <w:rPr>
          <w:color w:val="auto"/>
          <w:vertAlign w:val="subscript"/>
        </w:rPr>
        <w:t>3</w:t>
      </w:r>
      <w:r>
        <w:rPr>
          <w:color w:val="auto"/>
        </w:rPr>
        <w:t>、氪、氙和尘等，而火灾所产生烟雾的成分主要为二氧化碳和水蒸汽，这两种物质约占所有烟雾的90%～95%；另外还有丙烯、CO、碳氢化合物及微粒物质等，约占5%～l0%，对环境和人体健康产生较大危害是CO、烟尘等有害物质。CO产生量相对较大，危害也较大，CO的浓度过高或持续时间过长都会使人窒息或死亡。一般情况下，火场附近的CO的浓度较高（浓度可达0.02%），而距火场30m处，CO的浓度逐渐降低（0.001%）。因此，近距离靠近火场会有造成CO中毒的危险。据以往报道，在火灾而造成的人员死亡中，3/4的人死于有害气体，而且有害气体中CO是主要的有毒物质。烟尘是燃烧的主要排放物，烟尘对空气污染的影响主要取决于颗粒的大小，颗粒越小危害越大。烟尘对人体的影响主要体现在吸入效应上。烟尘微粒可吸附有害气体，引起人的呼吸疾病。在火场之外的空间内，由于新鲜空气与烟雾之间的对流，烟的浓度被稀释，对人体的伤害较小。因此，火灾发生时将不可避免的对厂区内人员安全与生产设施产生不利影响。火灾发生时对厂区周围近距离村庄也将产生一定影响，周围最近村庄为的</w:t>
      </w:r>
      <w:r>
        <w:rPr>
          <w:rFonts w:hint="eastAsia"/>
          <w:color w:val="auto"/>
        </w:rPr>
        <w:t>黄竹根</w:t>
      </w:r>
      <w:r>
        <w:rPr>
          <w:color w:val="auto"/>
        </w:rPr>
        <w:t>，距离本项目最近约10m，火灾发生时有害气体的浓度会得到有效的扩散与稀释，对周围最近村庄环境空气质量只产生暂时性影响。因此，火灾发生时，烟气在短时间内会造成周围敏感点环境空气质量一定程度的恶化，但不会对人体健康造成损害。</w:t>
      </w:r>
    </w:p>
    <w:p w14:paraId="53FB1A9B">
      <w:pPr>
        <w:ind w:firstLine="480"/>
        <w:rPr>
          <w:color w:val="auto"/>
        </w:rPr>
      </w:pPr>
      <w:r>
        <w:rPr>
          <w:color w:val="auto"/>
        </w:rPr>
        <w:t>（2）废气事故排放的环境风险</w:t>
      </w:r>
    </w:p>
    <w:p w14:paraId="63389C8D">
      <w:pPr>
        <w:ind w:firstLine="480"/>
        <w:rPr>
          <w:color w:val="auto"/>
        </w:rPr>
      </w:pPr>
      <w:bookmarkStart w:id="555" w:name="_Hlk71495678"/>
      <w:r>
        <w:rPr>
          <w:color w:val="auto"/>
        </w:rPr>
        <w:t>当废气处理设施运行不良</w:t>
      </w:r>
      <w:r>
        <w:rPr>
          <w:rFonts w:hint="eastAsia"/>
          <w:color w:val="auto"/>
        </w:rPr>
        <w:t>导致</w:t>
      </w:r>
      <w:r>
        <w:rPr>
          <w:color w:val="auto"/>
        </w:rPr>
        <w:t>处理效率下降或进行开停车、检修时，此时废气排放对环境造成一定影响</w:t>
      </w:r>
      <w:bookmarkEnd w:id="555"/>
      <w:r>
        <w:rPr>
          <w:color w:val="auto"/>
        </w:rPr>
        <w:t>。本项目废气污染物为颗粒物，且周边敏感目标较远，对周边影响不大</w:t>
      </w:r>
      <w:r>
        <w:rPr>
          <w:rFonts w:hint="eastAsia"/>
          <w:color w:val="auto"/>
        </w:rPr>
        <w:t>，</w:t>
      </w:r>
      <w:r>
        <w:rPr>
          <w:color w:val="auto"/>
        </w:rPr>
        <w:t>建设单位必须在日常生产过程中加强对废气处理设施的管理，保证废气处理设施正常运行，杜绝事故排放发生。当废气处理设施出现故障不能正常运行时，应立即停止生产进行维修，避免对周围环境空气造成进一步污染。</w:t>
      </w:r>
    </w:p>
    <w:p w14:paraId="0DDAAAD0">
      <w:pPr>
        <w:pStyle w:val="4"/>
        <w:rPr>
          <w:color w:val="auto"/>
        </w:rPr>
      </w:pPr>
      <w:bookmarkStart w:id="556" w:name="_Toc225216848"/>
      <w:r>
        <w:rPr>
          <w:color w:val="auto"/>
        </w:rPr>
        <w:t>水环境风险事故影响分析</w:t>
      </w:r>
      <w:bookmarkEnd w:id="556"/>
    </w:p>
    <w:p w14:paraId="5C6874F0">
      <w:pPr>
        <w:ind w:firstLine="480"/>
        <w:rPr>
          <w:rFonts w:cs="Times New Roman"/>
          <w:color w:val="auto"/>
          <w:kern w:val="0"/>
        </w:rPr>
      </w:pPr>
      <w:r>
        <w:rPr>
          <w:rFonts w:cs="Times New Roman"/>
          <w:color w:val="auto"/>
          <w:kern w:val="0"/>
        </w:rPr>
        <w:t>（1）事故污水产生</w:t>
      </w:r>
      <w:r>
        <w:rPr>
          <w:rFonts w:hint="eastAsia" w:cs="Times New Roman"/>
          <w:color w:val="auto"/>
          <w:kern w:val="0"/>
        </w:rPr>
        <w:t>及收集</w:t>
      </w:r>
    </w:p>
    <w:p w14:paraId="2E5AF5B4">
      <w:pPr>
        <w:ind w:firstLine="480"/>
        <w:rPr>
          <w:rFonts w:cs="Times New Roman"/>
          <w:color w:val="auto"/>
          <w:kern w:val="0"/>
        </w:rPr>
      </w:pPr>
      <w:r>
        <w:rPr>
          <w:rFonts w:cs="Times New Roman"/>
          <w:color w:val="auto"/>
          <w:kern w:val="0"/>
        </w:rPr>
        <w:t>事故废水量参考中国石化建标〔2006〕43号《关于印发&lt;水体污染防控紧急措施设计导则&gt;的通知》中计算公式确定。具体公式如下：</w:t>
      </w:r>
    </w:p>
    <w:p w14:paraId="7290BE0C">
      <w:pPr>
        <w:ind w:firstLine="480"/>
        <w:jc w:val="center"/>
        <w:rPr>
          <w:rFonts w:cs="Times New Roman"/>
          <w:color w:val="auto"/>
          <w:kern w:val="0"/>
        </w:rPr>
      </w:pPr>
      <w:r>
        <w:rPr>
          <w:rFonts w:cs="Times New Roman"/>
          <w:color w:val="auto"/>
          <w:kern w:val="0"/>
        </w:rPr>
        <w:t>V总=（V</w:t>
      </w:r>
      <w:r>
        <w:rPr>
          <w:rFonts w:cs="Times New Roman"/>
          <w:color w:val="auto"/>
          <w:kern w:val="0"/>
          <w:vertAlign w:val="subscript"/>
        </w:rPr>
        <w:t>1</w:t>
      </w:r>
      <w:r>
        <w:rPr>
          <w:rFonts w:cs="Times New Roman"/>
          <w:color w:val="auto"/>
          <w:kern w:val="0"/>
        </w:rPr>
        <w:t>+V</w:t>
      </w:r>
      <w:r>
        <w:rPr>
          <w:rFonts w:cs="Times New Roman"/>
          <w:color w:val="auto"/>
          <w:kern w:val="0"/>
          <w:vertAlign w:val="subscript"/>
        </w:rPr>
        <w:t>2</w:t>
      </w:r>
      <w:r>
        <w:rPr>
          <w:rFonts w:cs="Times New Roman"/>
          <w:color w:val="auto"/>
          <w:kern w:val="0"/>
        </w:rPr>
        <w:t>-V</w:t>
      </w:r>
      <w:r>
        <w:rPr>
          <w:rFonts w:cs="Times New Roman"/>
          <w:color w:val="auto"/>
          <w:kern w:val="0"/>
          <w:vertAlign w:val="subscript"/>
        </w:rPr>
        <w:t>3</w:t>
      </w:r>
      <w:r>
        <w:rPr>
          <w:rFonts w:cs="Times New Roman"/>
          <w:color w:val="auto"/>
          <w:kern w:val="0"/>
        </w:rPr>
        <w:t>）+V</w:t>
      </w:r>
      <w:r>
        <w:rPr>
          <w:rFonts w:cs="Times New Roman"/>
          <w:color w:val="auto"/>
          <w:kern w:val="0"/>
          <w:vertAlign w:val="subscript"/>
        </w:rPr>
        <w:t>4</w:t>
      </w:r>
      <w:r>
        <w:rPr>
          <w:rFonts w:cs="Times New Roman"/>
          <w:color w:val="auto"/>
          <w:kern w:val="0"/>
        </w:rPr>
        <w:t>+V</w:t>
      </w:r>
      <w:r>
        <w:rPr>
          <w:rFonts w:cs="Times New Roman"/>
          <w:color w:val="auto"/>
          <w:kern w:val="0"/>
          <w:vertAlign w:val="subscript"/>
        </w:rPr>
        <w:t>5</w:t>
      </w:r>
    </w:p>
    <w:p w14:paraId="35D7D363">
      <w:pPr>
        <w:ind w:firstLine="480"/>
        <w:rPr>
          <w:rFonts w:cs="Times New Roman"/>
          <w:color w:val="auto"/>
          <w:szCs w:val="24"/>
        </w:rPr>
      </w:pPr>
      <w:r>
        <w:rPr>
          <w:rFonts w:cs="Times New Roman"/>
          <w:color w:val="auto"/>
          <w:szCs w:val="24"/>
        </w:rPr>
        <w:t>式中：V</w:t>
      </w:r>
      <w:r>
        <w:rPr>
          <w:rFonts w:cs="Times New Roman"/>
          <w:color w:val="auto"/>
          <w:szCs w:val="24"/>
          <w:vertAlign w:val="subscript"/>
        </w:rPr>
        <w:t>1</w:t>
      </w:r>
      <w:r>
        <w:rPr>
          <w:rFonts w:cs="Times New Roman"/>
          <w:color w:val="auto"/>
          <w:szCs w:val="24"/>
        </w:rPr>
        <w:t>――收集系统范围内发生事故的一个罐组或一套装置的物料量；</w:t>
      </w:r>
    </w:p>
    <w:p w14:paraId="33D54EB6">
      <w:pPr>
        <w:ind w:firstLine="1200" w:firstLineChars="500"/>
        <w:rPr>
          <w:rFonts w:cs="Times New Roman"/>
          <w:color w:val="auto"/>
          <w:szCs w:val="24"/>
        </w:rPr>
      </w:pPr>
      <w:r>
        <w:rPr>
          <w:rFonts w:cs="Times New Roman"/>
          <w:color w:val="auto"/>
          <w:szCs w:val="24"/>
        </w:rPr>
        <w:t>V</w:t>
      </w:r>
      <w:r>
        <w:rPr>
          <w:rFonts w:cs="Times New Roman"/>
          <w:color w:val="auto"/>
          <w:szCs w:val="24"/>
          <w:vertAlign w:val="subscript"/>
        </w:rPr>
        <w:t>2</w:t>
      </w:r>
      <w:r>
        <w:rPr>
          <w:rFonts w:cs="Times New Roman"/>
          <w:color w:val="auto"/>
          <w:szCs w:val="24"/>
        </w:rPr>
        <w:t>――发生事故的贮罐或装置的消防水量，m</w:t>
      </w:r>
      <w:r>
        <w:rPr>
          <w:rFonts w:cs="Times New Roman"/>
          <w:color w:val="auto"/>
          <w:szCs w:val="24"/>
          <w:vertAlign w:val="superscript"/>
        </w:rPr>
        <w:t>3</w:t>
      </w:r>
      <w:r>
        <w:rPr>
          <w:rFonts w:cs="Times New Roman"/>
          <w:color w:val="auto"/>
          <w:szCs w:val="24"/>
        </w:rPr>
        <w:t>；</w:t>
      </w:r>
    </w:p>
    <w:p w14:paraId="19397C7A">
      <w:pPr>
        <w:ind w:firstLine="1200" w:firstLineChars="500"/>
        <w:rPr>
          <w:rFonts w:cs="Times New Roman"/>
          <w:color w:val="auto"/>
          <w:szCs w:val="24"/>
        </w:rPr>
      </w:pPr>
      <w:r>
        <w:rPr>
          <w:rFonts w:cs="Times New Roman"/>
          <w:color w:val="auto"/>
          <w:szCs w:val="24"/>
        </w:rPr>
        <w:t>V</w:t>
      </w:r>
      <w:r>
        <w:rPr>
          <w:rFonts w:cs="Times New Roman"/>
          <w:color w:val="auto"/>
          <w:szCs w:val="24"/>
          <w:vertAlign w:val="subscript"/>
        </w:rPr>
        <w:t>3</w:t>
      </w:r>
      <w:r>
        <w:rPr>
          <w:rFonts w:cs="Times New Roman"/>
          <w:color w:val="auto"/>
          <w:szCs w:val="24"/>
        </w:rPr>
        <w:t>――发生事故时可以转输到其它储存或处理设施的物料量，m</w:t>
      </w:r>
      <w:r>
        <w:rPr>
          <w:rFonts w:cs="Times New Roman"/>
          <w:color w:val="auto"/>
          <w:szCs w:val="24"/>
          <w:vertAlign w:val="superscript"/>
        </w:rPr>
        <w:t>3</w:t>
      </w:r>
      <w:r>
        <w:rPr>
          <w:rFonts w:cs="Times New Roman"/>
          <w:color w:val="auto"/>
          <w:szCs w:val="24"/>
        </w:rPr>
        <w:t>；</w:t>
      </w:r>
    </w:p>
    <w:p w14:paraId="4D691E6D">
      <w:pPr>
        <w:ind w:firstLine="1200" w:firstLineChars="500"/>
        <w:rPr>
          <w:rFonts w:cs="Times New Roman"/>
          <w:color w:val="auto"/>
          <w:szCs w:val="24"/>
        </w:rPr>
      </w:pPr>
      <w:r>
        <w:rPr>
          <w:rFonts w:cs="Times New Roman"/>
          <w:color w:val="auto"/>
          <w:szCs w:val="24"/>
        </w:rPr>
        <w:t>V</w:t>
      </w:r>
      <w:r>
        <w:rPr>
          <w:rFonts w:cs="Times New Roman"/>
          <w:color w:val="auto"/>
          <w:szCs w:val="24"/>
          <w:vertAlign w:val="subscript"/>
        </w:rPr>
        <w:t>4</w:t>
      </w:r>
      <w:r>
        <w:rPr>
          <w:rFonts w:cs="Times New Roman"/>
          <w:color w:val="auto"/>
          <w:szCs w:val="24"/>
        </w:rPr>
        <w:t>――发生事故时仍必须进入该收集系统的生产废水量，m</w:t>
      </w:r>
      <w:r>
        <w:rPr>
          <w:rFonts w:cs="Times New Roman"/>
          <w:color w:val="auto"/>
          <w:szCs w:val="24"/>
          <w:vertAlign w:val="superscript"/>
        </w:rPr>
        <w:t>3</w:t>
      </w:r>
      <w:r>
        <w:rPr>
          <w:rFonts w:cs="Times New Roman"/>
          <w:color w:val="auto"/>
          <w:szCs w:val="24"/>
        </w:rPr>
        <w:t>；</w:t>
      </w:r>
    </w:p>
    <w:p w14:paraId="54C107B9">
      <w:pPr>
        <w:ind w:firstLine="1200" w:firstLineChars="500"/>
        <w:rPr>
          <w:rFonts w:cs="Times New Roman"/>
          <w:color w:val="auto"/>
          <w:szCs w:val="24"/>
        </w:rPr>
      </w:pPr>
      <w:r>
        <w:rPr>
          <w:rFonts w:cs="Times New Roman"/>
          <w:color w:val="auto"/>
          <w:szCs w:val="24"/>
        </w:rPr>
        <w:t>V</w:t>
      </w:r>
      <w:r>
        <w:rPr>
          <w:rFonts w:cs="Times New Roman"/>
          <w:color w:val="auto"/>
          <w:szCs w:val="24"/>
          <w:vertAlign w:val="subscript"/>
        </w:rPr>
        <w:t>5</w:t>
      </w:r>
      <w:r>
        <w:rPr>
          <w:rFonts w:cs="Times New Roman"/>
          <w:color w:val="auto"/>
          <w:szCs w:val="24"/>
        </w:rPr>
        <w:t>――发生事故时可能进入该收集系统的降雨量，m</w:t>
      </w:r>
      <w:r>
        <w:rPr>
          <w:rFonts w:cs="Times New Roman"/>
          <w:color w:val="auto"/>
          <w:szCs w:val="24"/>
          <w:vertAlign w:val="superscript"/>
        </w:rPr>
        <w:t>3</w:t>
      </w:r>
      <w:r>
        <w:rPr>
          <w:rFonts w:cs="Times New Roman"/>
          <w:color w:val="auto"/>
          <w:szCs w:val="24"/>
        </w:rPr>
        <w:t>。</w:t>
      </w:r>
    </w:p>
    <w:p w14:paraId="0C523308">
      <w:pPr>
        <w:ind w:firstLine="480"/>
        <w:rPr>
          <w:rFonts w:cs="Times New Roman"/>
          <w:color w:val="auto"/>
          <w:szCs w:val="24"/>
        </w:rPr>
      </w:pPr>
      <w:r>
        <w:rPr>
          <w:rFonts w:cs="Times New Roman"/>
          <w:color w:val="auto"/>
          <w:szCs w:val="24"/>
        </w:rPr>
        <w:t>A. 事故装置可能溢流出的液体（V</w:t>
      </w:r>
      <w:r>
        <w:rPr>
          <w:rFonts w:cs="Times New Roman"/>
          <w:color w:val="auto"/>
          <w:szCs w:val="24"/>
          <w:vertAlign w:val="subscript"/>
        </w:rPr>
        <w:t>1</w:t>
      </w:r>
      <w:r>
        <w:rPr>
          <w:rFonts w:cs="Times New Roman"/>
          <w:color w:val="auto"/>
          <w:szCs w:val="24"/>
        </w:rPr>
        <w:t>）</w:t>
      </w:r>
    </w:p>
    <w:p w14:paraId="487C5FD2">
      <w:pPr>
        <w:ind w:firstLine="480"/>
        <w:rPr>
          <w:rFonts w:cs="Times New Roman"/>
          <w:color w:val="auto"/>
          <w:szCs w:val="24"/>
        </w:rPr>
      </w:pPr>
      <w:r>
        <w:rPr>
          <w:rFonts w:hint="eastAsia" w:cs="Times New Roman"/>
          <w:color w:val="auto"/>
          <w:szCs w:val="24"/>
        </w:rPr>
        <w:t>本</w:t>
      </w:r>
      <w:r>
        <w:rPr>
          <w:rFonts w:cs="Times New Roman"/>
          <w:color w:val="auto"/>
          <w:szCs w:val="24"/>
        </w:rPr>
        <w:t>项目不</w:t>
      </w:r>
      <w:r>
        <w:rPr>
          <w:rFonts w:hint="eastAsia" w:cs="Times New Roman"/>
          <w:color w:val="auto"/>
          <w:szCs w:val="24"/>
        </w:rPr>
        <w:t>新增设置</w:t>
      </w:r>
      <w:r>
        <w:rPr>
          <w:rFonts w:cs="Times New Roman"/>
          <w:color w:val="auto"/>
          <w:szCs w:val="24"/>
        </w:rPr>
        <w:t>储罐，则</w:t>
      </w:r>
      <w:r>
        <w:rPr>
          <w:rFonts w:hint="eastAsia" w:cs="Times New Roman"/>
          <w:color w:val="auto"/>
          <w:szCs w:val="24"/>
        </w:rPr>
        <w:t>V</w:t>
      </w:r>
      <w:r>
        <w:rPr>
          <w:rFonts w:cs="Times New Roman"/>
          <w:color w:val="auto"/>
          <w:szCs w:val="24"/>
          <w:vertAlign w:val="subscript"/>
        </w:rPr>
        <w:t>1</w:t>
      </w:r>
      <w:r>
        <w:rPr>
          <w:rFonts w:cs="Times New Roman"/>
          <w:color w:val="auto"/>
          <w:szCs w:val="24"/>
        </w:rPr>
        <w:t>=0。</w:t>
      </w:r>
    </w:p>
    <w:p w14:paraId="6674D1AE">
      <w:pPr>
        <w:ind w:firstLine="480"/>
        <w:rPr>
          <w:rFonts w:cs="Times New Roman"/>
          <w:color w:val="auto"/>
          <w:szCs w:val="24"/>
        </w:rPr>
      </w:pPr>
      <w:r>
        <w:rPr>
          <w:rFonts w:cs="Times New Roman"/>
          <w:color w:val="auto"/>
          <w:szCs w:val="24"/>
        </w:rPr>
        <w:t>B. 消防废水（V2）</w:t>
      </w:r>
    </w:p>
    <w:p w14:paraId="2A9CEA9C">
      <w:pPr>
        <w:ind w:firstLine="480"/>
        <w:rPr>
          <w:rFonts w:cs="Times New Roman"/>
          <w:color w:val="auto"/>
          <w:szCs w:val="24"/>
        </w:rPr>
      </w:pPr>
      <w:r>
        <w:rPr>
          <w:rFonts w:hint="eastAsia" w:cs="Times New Roman"/>
          <w:color w:val="auto"/>
          <w:szCs w:val="24"/>
        </w:rPr>
        <w:t>本项目主要在现有车间内进行生产线改造，根据可研，项目</w:t>
      </w:r>
      <w:r>
        <w:rPr>
          <w:rFonts w:cs="Times New Roman"/>
          <w:color w:val="auto"/>
          <w:szCs w:val="24"/>
        </w:rPr>
        <w:t>一次火灾总需消防水量220m</w:t>
      </w:r>
      <w:r>
        <w:rPr>
          <w:rFonts w:cs="Times New Roman"/>
          <w:color w:val="auto"/>
          <w:szCs w:val="24"/>
          <w:vertAlign w:val="superscript"/>
        </w:rPr>
        <w:t>3</w:t>
      </w:r>
      <w:r>
        <w:rPr>
          <w:rFonts w:cs="Times New Roman"/>
          <w:color w:val="auto"/>
          <w:szCs w:val="24"/>
        </w:rPr>
        <w:t>。</w:t>
      </w:r>
    </w:p>
    <w:p w14:paraId="60E139D0">
      <w:pPr>
        <w:ind w:firstLine="480"/>
        <w:rPr>
          <w:rFonts w:cs="Times New Roman"/>
          <w:color w:val="auto"/>
          <w:szCs w:val="24"/>
        </w:rPr>
      </w:pPr>
      <w:r>
        <w:rPr>
          <w:rFonts w:cs="Times New Roman"/>
          <w:color w:val="auto"/>
          <w:szCs w:val="24"/>
        </w:rPr>
        <w:t>C. 发生事故时可以转输到其它储存或处理设施的物料量（V</w:t>
      </w:r>
      <w:r>
        <w:rPr>
          <w:rFonts w:cs="Times New Roman"/>
          <w:color w:val="auto"/>
          <w:szCs w:val="24"/>
          <w:vertAlign w:val="subscript"/>
        </w:rPr>
        <w:t>3</w:t>
      </w:r>
      <w:r>
        <w:rPr>
          <w:rFonts w:cs="Times New Roman"/>
          <w:color w:val="auto"/>
          <w:szCs w:val="24"/>
        </w:rPr>
        <w:t>）</w:t>
      </w:r>
    </w:p>
    <w:p w14:paraId="3B73C3EB">
      <w:pPr>
        <w:ind w:firstLine="480"/>
        <w:rPr>
          <w:rFonts w:cs="Times New Roman"/>
          <w:color w:val="auto"/>
          <w:szCs w:val="24"/>
        </w:rPr>
      </w:pPr>
      <w:r>
        <w:rPr>
          <w:rFonts w:cs="Times New Roman"/>
          <w:color w:val="auto"/>
          <w:szCs w:val="24"/>
        </w:rPr>
        <w:t>发生事故时，可以转输到其他储存或处理设施的物料量为</w:t>
      </w:r>
      <w:r>
        <w:rPr>
          <w:rFonts w:hint="eastAsia" w:cs="Times New Roman"/>
          <w:color w:val="auto"/>
          <w:szCs w:val="24"/>
        </w:rPr>
        <w:t>0</w:t>
      </w:r>
      <w:r>
        <w:rPr>
          <w:rFonts w:cs="Times New Roman"/>
          <w:color w:val="auto"/>
          <w:szCs w:val="24"/>
        </w:rPr>
        <w:t>，则V</w:t>
      </w:r>
      <w:r>
        <w:rPr>
          <w:rFonts w:cs="Times New Roman"/>
          <w:color w:val="auto"/>
          <w:szCs w:val="24"/>
          <w:vertAlign w:val="subscript"/>
        </w:rPr>
        <w:t>3</w:t>
      </w:r>
      <w:r>
        <w:rPr>
          <w:rFonts w:cs="Times New Roman"/>
          <w:color w:val="auto"/>
          <w:szCs w:val="24"/>
        </w:rPr>
        <w:t>=0m</w:t>
      </w:r>
      <w:r>
        <w:rPr>
          <w:rFonts w:cs="Times New Roman"/>
          <w:color w:val="auto"/>
          <w:szCs w:val="24"/>
          <w:vertAlign w:val="superscript"/>
        </w:rPr>
        <w:t>3</w:t>
      </w:r>
      <w:r>
        <w:rPr>
          <w:rFonts w:cs="Times New Roman"/>
          <w:color w:val="auto"/>
          <w:szCs w:val="24"/>
        </w:rPr>
        <w:t>。</w:t>
      </w:r>
    </w:p>
    <w:p w14:paraId="632FE2AA">
      <w:pPr>
        <w:ind w:firstLine="480"/>
        <w:rPr>
          <w:rFonts w:cs="Times New Roman"/>
          <w:color w:val="auto"/>
          <w:szCs w:val="24"/>
        </w:rPr>
      </w:pPr>
      <w:r>
        <w:rPr>
          <w:rFonts w:cs="Times New Roman"/>
          <w:color w:val="auto"/>
          <w:szCs w:val="24"/>
        </w:rPr>
        <w:t>D. 事故发生时仍必须进入收集系统的废水量（V</w:t>
      </w:r>
      <w:r>
        <w:rPr>
          <w:rFonts w:cs="Times New Roman"/>
          <w:color w:val="auto"/>
          <w:szCs w:val="24"/>
          <w:vertAlign w:val="subscript"/>
        </w:rPr>
        <w:t>4</w:t>
      </w:r>
      <w:r>
        <w:rPr>
          <w:rFonts w:cs="Times New Roman"/>
          <w:color w:val="auto"/>
          <w:szCs w:val="24"/>
        </w:rPr>
        <w:t>）</w:t>
      </w:r>
    </w:p>
    <w:p w14:paraId="3F177ADC">
      <w:pPr>
        <w:ind w:firstLine="480"/>
        <w:rPr>
          <w:rFonts w:cs="Times New Roman"/>
          <w:color w:val="auto"/>
        </w:rPr>
      </w:pPr>
      <w:r>
        <w:rPr>
          <w:rFonts w:cs="Times New Roman"/>
          <w:color w:val="auto"/>
        </w:rPr>
        <w:t>项目</w:t>
      </w:r>
      <w:r>
        <w:rPr>
          <w:rFonts w:hint="eastAsia" w:cs="Times New Roman"/>
          <w:color w:val="auto"/>
        </w:rPr>
        <w:t>建设</w:t>
      </w:r>
      <w:r>
        <w:rPr>
          <w:rFonts w:cs="Times New Roman"/>
          <w:color w:val="auto"/>
        </w:rPr>
        <w:t>后全厂废水</w:t>
      </w:r>
      <w:r>
        <w:rPr>
          <w:rFonts w:hint="eastAsia" w:cs="Times New Roman"/>
          <w:color w:val="auto"/>
        </w:rPr>
        <w:t>排水</w:t>
      </w:r>
      <w:r>
        <w:rPr>
          <w:rFonts w:cs="Times New Roman"/>
          <w:color w:val="auto"/>
        </w:rPr>
        <w:t>量为</w:t>
      </w:r>
      <w:r>
        <w:rPr>
          <w:rFonts w:hint="eastAsia"/>
          <w:color w:val="auto"/>
        </w:rPr>
        <w:t>89528.36m</w:t>
      </w:r>
      <w:r>
        <w:rPr>
          <w:rFonts w:hint="eastAsia"/>
          <w:color w:val="auto"/>
          <w:vertAlign w:val="superscript"/>
        </w:rPr>
        <w:t>3</w:t>
      </w:r>
      <w:r>
        <w:rPr>
          <w:rFonts w:hint="eastAsia"/>
          <w:color w:val="auto"/>
        </w:rPr>
        <w:t>/d</w:t>
      </w:r>
      <w:r>
        <w:rPr>
          <w:rFonts w:hint="eastAsia" w:cs="Times New Roman"/>
          <w:color w:val="auto"/>
        </w:rPr>
        <w:t>（3730.35</w:t>
      </w:r>
      <w:r>
        <w:rPr>
          <w:rFonts w:hint="eastAsia"/>
          <w:color w:val="auto"/>
        </w:rPr>
        <w:t xml:space="preserve"> m</w:t>
      </w:r>
      <w:r>
        <w:rPr>
          <w:rFonts w:hint="eastAsia"/>
          <w:color w:val="auto"/>
          <w:vertAlign w:val="superscript"/>
        </w:rPr>
        <w:t>3</w:t>
      </w:r>
      <w:r>
        <w:rPr>
          <w:rFonts w:hint="eastAsia"/>
          <w:color w:val="auto"/>
        </w:rPr>
        <w:t>/</w:t>
      </w:r>
      <w:r>
        <w:rPr>
          <w:color w:val="auto"/>
        </w:rPr>
        <w:t>h</w:t>
      </w:r>
      <w:r>
        <w:rPr>
          <w:rFonts w:hint="eastAsia" w:cs="Times New Roman"/>
          <w:color w:val="auto"/>
        </w:rPr>
        <w:t>）</w:t>
      </w:r>
      <w:r>
        <w:rPr>
          <w:rFonts w:cs="Times New Roman"/>
          <w:color w:val="auto"/>
        </w:rPr>
        <w:t>，假设污水处理系统发生故障，事故发生后，2h得到控制，则事故发生时接纳废水量</w:t>
      </w:r>
      <w:r>
        <w:rPr>
          <w:rFonts w:cs="Times New Roman"/>
          <w:color w:val="auto"/>
          <w:szCs w:val="24"/>
        </w:rPr>
        <w:t>V</w:t>
      </w:r>
      <w:r>
        <w:rPr>
          <w:rFonts w:cs="Times New Roman"/>
          <w:color w:val="auto"/>
          <w:szCs w:val="24"/>
          <w:vertAlign w:val="subscript"/>
        </w:rPr>
        <w:t>4</w:t>
      </w:r>
      <w:r>
        <w:rPr>
          <w:rFonts w:cs="Times New Roman"/>
          <w:color w:val="auto"/>
        </w:rPr>
        <w:t>=3730.35×2=7460.7m</w:t>
      </w:r>
      <w:r>
        <w:rPr>
          <w:rFonts w:cs="Times New Roman"/>
          <w:color w:val="auto"/>
          <w:vertAlign w:val="superscript"/>
        </w:rPr>
        <w:t>3</w:t>
      </w:r>
      <w:r>
        <w:rPr>
          <w:rFonts w:cs="Times New Roman"/>
          <w:color w:val="auto"/>
        </w:rPr>
        <w:t>。</w:t>
      </w:r>
    </w:p>
    <w:p w14:paraId="02D1215E">
      <w:pPr>
        <w:ind w:firstLine="480"/>
        <w:rPr>
          <w:rFonts w:cs="Times New Roman"/>
          <w:color w:val="auto"/>
          <w:szCs w:val="24"/>
        </w:rPr>
      </w:pPr>
      <w:r>
        <w:rPr>
          <w:rFonts w:cs="Times New Roman"/>
          <w:color w:val="auto"/>
          <w:szCs w:val="24"/>
        </w:rPr>
        <w:t>E. 事故时雨水量（V</w:t>
      </w:r>
      <w:r>
        <w:rPr>
          <w:rFonts w:cs="Times New Roman"/>
          <w:color w:val="auto"/>
          <w:szCs w:val="24"/>
          <w:vertAlign w:val="subscript"/>
        </w:rPr>
        <w:t>5</w:t>
      </w:r>
      <w:r>
        <w:rPr>
          <w:rFonts w:cs="Times New Roman"/>
          <w:color w:val="auto"/>
          <w:szCs w:val="24"/>
        </w:rPr>
        <w:t>）</w:t>
      </w:r>
    </w:p>
    <w:p w14:paraId="2BF9C5A7">
      <w:pPr>
        <w:ind w:firstLine="480"/>
        <w:jc w:val="center"/>
        <w:rPr>
          <w:rFonts w:cs="Times New Roman"/>
          <w:color w:val="auto"/>
          <w:szCs w:val="24"/>
        </w:rPr>
      </w:pPr>
      <w:r>
        <w:rPr>
          <w:rFonts w:cs="Times New Roman"/>
          <w:color w:val="auto"/>
          <w:szCs w:val="24"/>
        </w:rPr>
        <w:t>V</w:t>
      </w:r>
      <w:r>
        <w:rPr>
          <w:rFonts w:cs="Times New Roman"/>
          <w:color w:val="auto"/>
          <w:szCs w:val="24"/>
          <w:vertAlign w:val="subscript"/>
        </w:rPr>
        <w:t>5</w:t>
      </w:r>
      <w:r>
        <w:rPr>
          <w:rFonts w:cs="Times New Roman"/>
          <w:color w:val="auto"/>
          <w:szCs w:val="24"/>
        </w:rPr>
        <w:t>＝10qF</w:t>
      </w:r>
    </w:p>
    <w:p w14:paraId="28205B7B">
      <w:pPr>
        <w:ind w:firstLine="480"/>
        <w:rPr>
          <w:rFonts w:cs="Times New Roman"/>
          <w:color w:val="auto"/>
          <w:szCs w:val="24"/>
        </w:rPr>
      </w:pPr>
      <w:r>
        <w:rPr>
          <w:rFonts w:cs="Times New Roman"/>
          <w:color w:val="auto"/>
          <w:szCs w:val="24"/>
        </w:rPr>
        <w:t>q——降雨强度，mm；按平均日降雨量；</w:t>
      </w:r>
    </w:p>
    <w:p w14:paraId="7C6256EB">
      <w:pPr>
        <w:ind w:firstLine="480"/>
        <w:jc w:val="center"/>
        <w:rPr>
          <w:rFonts w:cs="Times New Roman"/>
          <w:color w:val="auto"/>
          <w:szCs w:val="24"/>
        </w:rPr>
      </w:pPr>
      <w:r>
        <w:rPr>
          <w:rFonts w:cs="Times New Roman"/>
          <w:color w:val="auto"/>
          <w:szCs w:val="24"/>
        </w:rPr>
        <w:t>q=q</w:t>
      </w:r>
      <w:r>
        <w:rPr>
          <w:rFonts w:cs="Times New Roman"/>
          <w:color w:val="auto"/>
          <w:szCs w:val="24"/>
          <w:vertAlign w:val="subscript"/>
        </w:rPr>
        <w:t>a</w:t>
      </w:r>
      <w:r>
        <w:rPr>
          <w:rFonts w:cs="Times New Roman"/>
          <w:color w:val="auto"/>
          <w:szCs w:val="24"/>
        </w:rPr>
        <w:t>/n</w:t>
      </w:r>
    </w:p>
    <w:p w14:paraId="63AD8262">
      <w:pPr>
        <w:ind w:firstLine="480"/>
        <w:rPr>
          <w:rFonts w:cs="Times New Roman"/>
          <w:color w:val="auto"/>
          <w:szCs w:val="24"/>
        </w:rPr>
      </w:pPr>
      <w:r>
        <w:rPr>
          <w:rFonts w:cs="Times New Roman"/>
          <w:color w:val="auto"/>
          <w:szCs w:val="24"/>
        </w:rPr>
        <w:t>q</w:t>
      </w:r>
      <w:r>
        <w:rPr>
          <w:rFonts w:cs="Times New Roman"/>
          <w:color w:val="auto"/>
          <w:szCs w:val="24"/>
          <w:vertAlign w:val="subscript"/>
        </w:rPr>
        <w:t>a</w:t>
      </w:r>
      <w:r>
        <w:rPr>
          <w:rFonts w:cs="Times New Roman"/>
          <w:color w:val="auto"/>
          <w:szCs w:val="24"/>
        </w:rPr>
        <w:t>——年平均降雨量，mm，</w:t>
      </w:r>
      <w:bookmarkStart w:id="557" w:name="_Hlk101520160"/>
      <w:r>
        <w:rPr>
          <w:rFonts w:hint="eastAsia" w:cs="Times New Roman"/>
          <w:color w:val="auto"/>
          <w:szCs w:val="24"/>
        </w:rPr>
        <w:t>钦州</w:t>
      </w:r>
      <w:r>
        <w:rPr>
          <w:rFonts w:cs="Times New Roman"/>
          <w:color w:val="auto"/>
          <w:szCs w:val="24"/>
        </w:rPr>
        <w:t>市</w:t>
      </w:r>
      <w:bookmarkEnd w:id="557"/>
      <w:r>
        <w:rPr>
          <w:rFonts w:hint="eastAsia"/>
          <w:color w:val="auto"/>
        </w:rPr>
        <w:t>多年平均降水量为</w:t>
      </w:r>
      <w:r>
        <w:rPr>
          <w:color w:val="auto"/>
        </w:rPr>
        <w:t>2057.7mm</w:t>
      </w:r>
      <w:r>
        <w:rPr>
          <w:rFonts w:cs="Times New Roman"/>
          <w:color w:val="auto"/>
          <w:szCs w:val="24"/>
        </w:rPr>
        <w:t>；</w:t>
      </w:r>
    </w:p>
    <w:p w14:paraId="126FE41D">
      <w:pPr>
        <w:ind w:firstLine="480"/>
        <w:rPr>
          <w:rFonts w:cs="Times New Roman"/>
          <w:color w:val="auto"/>
          <w:szCs w:val="24"/>
        </w:rPr>
      </w:pPr>
      <w:r>
        <w:rPr>
          <w:rFonts w:cs="Times New Roman"/>
          <w:color w:val="auto"/>
          <w:szCs w:val="24"/>
        </w:rPr>
        <w:t>n——年平均降雨日数，</w:t>
      </w:r>
      <w:r>
        <w:rPr>
          <w:rFonts w:hint="eastAsia"/>
          <w:color w:val="auto"/>
          <w:spacing w:val="-1"/>
        </w:rPr>
        <w:t>平均降水日数在</w:t>
      </w:r>
      <w:r>
        <w:rPr>
          <w:color w:val="auto"/>
        </w:rPr>
        <w:t>169.8d</w:t>
      </w:r>
      <w:r>
        <w:rPr>
          <w:rFonts w:hint="eastAsia"/>
          <w:color w:val="auto"/>
          <w:spacing w:val="-15"/>
        </w:rPr>
        <w:t>至</w:t>
      </w:r>
      <w:r>
        <w:rPr>
          <w:color w:val="auto"/>
        </w:rPr>
        <w:t>135.5</w:t>
      </w:r>
      <w:r>
        <w:rPr>
          <w:color w:val="auto"/>
          <w:spacing w:val="10"/>
        </w:rPr>
        <w:t>d</w:t>
      </w:r>
      <w:r>
        <w:rPr>
          <w:rFonts w:hint="eastAsia"/>
          <w:color w:val="auto"/>
          <w:spacing w:val="5"/>
        </w:rPr>
        <w:t>，评价取</w:t>
      </w:r>
      <w:r>
        <w:rPr>
          <w:color w:val="auto"/>
          <w:position w:val="2"/>
        </w:rPr>
        <w:t>135.5d</w:t>
      </w:r>
      <w:r>
        <w:rPr>
          <w:rFonts w:cs="Times New Roman"/>
          <w:color w:val="auto"/>
          <w:szCs w:val="24"/>
        </w:rPr>
        <w:t>。</w:t>
      </w:r>
    </w:p>
    <w:p w14:paraId="698EDF56">
      <w:pPr>
        <w:ind w:firstLine="480"/>
        <w:rPr>
          <w:color w:val="auto"/>
        </w:rPr>
      </w:pPr>
      <w:r>
        <w:rPr>
          <w:color w:val="auto"/>
        </w:rPr>
        <w:t>F——初期雨水进入初期雨水收集系统，前文已核算，因此不另行计算；必须进入事故废水收集系统的雨水汇水面积，取事故废水收集系统面积，ha。</w:t>
      </w:r>
    </w:p>
    <w:p w14:paraId="291AC5ED">
      <w:pPr>
        <w:ind w:firstLine="480"/>
        <w:rPr>
          <w:color w:val="auto"/>
        </w:rPr>
      </w:pPr>
      <w:r>
        <w:rPr>
          <w:color w:val="auto"/>
        </w:rPr>
        <w:t>计算得：V</w:t>
      </w:r>
      <w:r>
        <w:rPr>
          <w:color w:val="auto"/>
          <w:vertAlign w:val="subscript"/>
        </w:rPr>
        <w:t>5</w:t>
      </w:r>
      <w:r>
        <w:rPr>
          <w:color w:val="auto"/>
        </w:rPr>
        <w:t>=32.8m</w:t>
      </w:r>
      <w:r>
        <w:rPr>
          <w:color w:val="auto"/>
          <w:vertAlign w:val="superscript"/>
        </w:rPr>
        <w:t>3</w:t>
      </w:r>
      <w:r>
        <w:rPr>
          <w:color w:val="auto"/>
        </w:rPr>
        <w:t>。</w:t>
      </w:r>
    </w:p>
    <w:p w14:paraId="0327ED38">
      <w:pPr>
        <w:ind w:firstLine="480"/>
        <w:rPr>
          <w:color w:val="auto"/>
        </w:rPr>
      </w:pPr>
      <w:r>
        <w:rPr>
          <w:color w:val="auto"/>
        </w:rPr>
        <w:t>综上，事故应急池所需总有效容积为V</w:t>
      </w:r>
      <w:r>
        <w:rPr>
          <w:color w:val="auto"/>
          <w:vertAlign w:val="subscript"/>
        </w:rPr>
        <w:t>总</w:t>
      </w:r>
      <w:r>
        <w:rPr>
          <w:color w:val="auto"/>
        </w:rPr>
        <w:t>=（V</w:t>
      </w:r>
      <w:r>
        <w:rPr>
          <w:color w:val="auto"/>
          <w:vertAlign w:val="subscript"/>
        </w:rPr>
        <w:t>1</w:t>
      </w:r>
      <w:r>
        <w:rPr>
          <w:color w:val="auto"/>
        </w:rPr>
        <w:t>+V</w:t>
      </w:r>
      <w:r>
        <w:rPr>
          <w:color w:val="auto"/>
          <w:vertAlign w:val="subscript"/>
        </w:rPr>
        <w:t>2</w:t>
      </w:r>
      <w:r>
        <w:rPr>
          <w:color w:val="auto"/>
        </w:rPr>
        <w:t>-V</w:t>
      </w:r>
      <w:r>
        <w:rPr>
          <w:color w:val="auto"/>
          <w:vertAlign w:val="subscript"/>
        </w:rPr>
        <w:t>3</w:t>
      </w:r>
      <w:r>
        <w:rPr>
          <w:color w:val="auto"/>
        </w:rPr>
        <w:t>）</w:t>
      </w:r>
      <w:r>
        <w:rPr>
          <w:color w:val="auto"/>
          <w:vertAlign w:val="subscript"/>
        </w:rPr>
        <w:t>max</w:t>
      </w:r>
      <w:r>
        <w:rPr>
          <w:color w:val="auto"/>
        </w:rPr>
        <w:t>+V</w:t>
      </w:r>
      <w:r>
        <w:rPr>
          <w:color w:val="auto"/>
          <w:vertAlign w:val="subscript"/>
        </w:rPr>
        <w:t>4</w:t>
      </w:r>
      <w:r>
        <w:rPr>
          <w:color w:val="auto"/>
        </w:rPr>
        <w:t>+V</w:t>
      </w:r>
      <w:r>
        <w:rPr>
          <w:color w:val="auto"/>
          <w:vertAlign w:val="subscript"/>
        </w:rPr>
        <w:t>5</w:t>
      </w:r>
      <w:r>
        <w:rPr>
          <w:color w:val="auto"/>
        </w:rPr>
        <w:t>=（0+220-0）+7460.7+32.8=7713.5m</w:t>
      </w:r>
      <w:r>
        <w:rPr>
          <w:color w:val="auto"/>
          <w:vertAlign w:val="superscript"/>
        </w:rPr>
        <w:t>3</w:t>
      </w:r>
      <w:r>
        <w:rPr>
          <w:color w:val="auto"/>
        </w:rPr>
        <w:t>。</w:t>
      </w:r>
    </w:p>
    <w:p w14:paraId="2DC421D6">
      <w:pPr>
        <w:ind w:firstLine="480"/>
        <w:rPr>
          <w:color w:val="auto"/>
        </w:rPr>
      </w:pPr>
      <w:r>
        <w:rPr>
          <w:color w:val="auto"/>
        </w:rPr>
        <w:t>项目</w:t>
      </w:r>
      <w:r>
        <w:rPr>
          <w:rFonts w:hint="eastAsia"/>
          <w:color w:val="auto"/>
        </w:rPr>
        <w:t>依托厂区的</w:t>
      </w:r>
      <w:r>
        <w:rPr>
          <w:color w:val="auto"/>
        </w:rPr>
        <w:t>3</w:t>
      </w:r>
      <w:r>
        <w:rPr>
          <w:rFonts w:hint="eastAsia"/>
          <w:color w:val="auto"/>
        </w:rPr>
        <w:t>座容积</w:t>
      </w:r>
      <w:r>
        <w:rPr>
          <w:color w:val="auto"/>
          <w:kern w:val="0"/>
        </w:rPr>
        <w:t>10000</w:t>
      </w:r>
      <w:r>
        <w:rPr>
          <w:rFonts w:hint="eastAsia"/>
          <w:color w:val="auto"/>
        </w:rPr>
        <w:t>m</w:t>
      </w:r>
      <w:r>
        <w:rPr>
          <w:rFonts w:hint="eastAsia"/>
          <w:color w:val="auto"/>
          <w:vertAlign w:val="superscript"/>
        </w:rPr>
        <w:t>3</w:t>
      </w:r>
      <w:r>
        <w:rPr>
          <w:rFonts w:hint="eastAsia"/>
          <w:color w:val="auto"/>
        </w:rPr>
        <w:t>和1座容积2000m</w:t>
      </w:r>
      <w:r>
        <w:rPr>
          <w:rFonts w:hint="eastAsia"/>
          <w:color w:val="auto"/>
          <w:vertAlign w:val="superscript"/>
        </w:rPr>
        <w:t>3</w:t>
      </w:r>
      <w:r>
        <w:rPr>
          <w:rFonts w:hint="eastAsia"/>
          <w:color w:val="auto"/>
        </w:rPr>
        <w:t>事故应急池，</w:t>
      </w:r>
      <w:r>
        <w:rPr>
          <w:color w:val="auto"/>
        </w:rPr>
        <w:t>可满足生产区废水事故排放，同时在污水处理发生故障时接纳项目2小时生产废水的非正常排放。</w:t>
      </w:r>
    </w:p>
    <w:p w14:paraId="5852D3D4">
      <w:pPr>
        <w:ind w:firstLine="480"/>
        <w:rPr>
          <w:color w:val="auto"/>
        </w:rPr>
      </w:pPr>
      <w:r>
        <w:rPr>
          <w:rFonts w:hint="eastAsia"/>
          <w:color w:val="auto"/>
        </w:rPr>
        <w:t>（2）初期雨水收集系统</w:t>
      </w:r>
    </w:p>
    <w:p w14:paraId="7C9548A0">
      <w:pPr>
        <w:ind w:firstLine="480"/>
        <w:rPr>
          <w:color w:val="auto"/>
        </w:rPr>
      </w:pPr>
      <w:r>
        <w:rPr>
          <w:color w:val="auto"/>
        </w:rPr>
        <w:t>项目</w:t>
      </w:r>
      <w:r>
        <w:rPr>
          <w:rFonts w:hint="eastAsia"/>
          <w:color w:val="auto"/>
        </w:rPr>
        <w:t>厂区</w:t>
      </w:r>
      <w:r>
        <w:rPr>
          <w:color w:val="auto"/>
        </w:rPr>
        <w:t>采取雨污分流</w:t>
      </w:r>
      <w:r>
        <w:rPr>
          <w:rFonts w:hint="eastAsia"/>
          <w:color w:val="auto"/>
        </w:rPr>
        <w:t>，厂区现有工程项目已核算了全厂区域的初期雨水，包括本项目的区域，因此本项目不新增建设初期雨水池，项目依托现有工程的的</w:t>
      </w:r>
      <w:r>
        <w:rPr>
          <w:color w:val="auto"/>
        </w:rPr>
        <w:t>500m</w:t>
      </w:r>
      <w:r>
        <w:rPr>
          <w:color w:val="auto"/>
          <w:vertAlign w:val="superscript"/>
        </w:rPr>
        <w:t>3</w:t>
      </w:r>
      <w:r>
        <w:rPr>
          <w:rFonts w:hint="eastAsia"/>
          <w:color w:val="auto"/>
        </w:rPr>
        <w:t>初期雨水池</w:t>
      </w:r>
      <w:r>
        <w:rPr>
          <w:color w:val="auto"/>
        </w:rPr>
        <w:t>，</w:t>
      </w:r>
      <w:r>
        <w:rPr>
          <w:rFonts w:hint="eastAsia"/>
          <w:color w:val="auto"/>
        </w:rPr>
        <w:t>现有初期雨水池</w:t>
      </w:r>
      <w:r>
        <w:rPr>
          <w:color w:val="auto"/>
        </w:rPr>
        <w:t>可</w:t>
      </w:r>
      <w:r>
        <w:rPr>
          <w:rFonts w:hint="eastAsia"/>
          <w:color w:val="auto"/>
        </w:rPr>
        <w:t>确保</w:t>
      </w:r>
      <w:r>
        <w:rPr>
          <w:color w:val="auto"/>
        </w:rPr>
        <w:t>全程重力自流</w:t>
      </w:r>
      <w:r>
        <w:rPr>
          <w:rFonts w:hint="eastAsia"/>
          <w:color w:val="auto"/>
        </w:rPr>
        <w:t>收集全厂区的初期雨水，因此本项目依托现有初期雨水池可行</w:t>
      </w:r>
      <w:r>
        <w:rPr>
          <w:color w:val="auto"/>
        </w:rPr>
        <w:t>。</w:t>
      </w:r>
    </w:p>
    <w:p w14:paraId="5EF0092B">
      <w:pPr>
        <w:ind w:firstLine="480"/>
        <w:rPr>
          <w:color w:val="auto"/>
        </w:rPr>
      </w:pPr>
      <w:r>
        <w:rPr>
          <w:color w:val="auto"/>
          <w:szCs w:val="24"/>
        </w:rPr>
        <w:t>正常情况下雨水沟末端闸板阀处于常闭状态，初期雨水应经雨水沟闸板阀截留后进入初期雨水收集池暂存，收集后的初期雨水分批进入</w:t>
      </w:r>
      <w:r>
        <w:rPr>
          <w:rFonts w:hint="eastAsia"/>
          <w:color w:val="auto"/>
          <w:kern w:val="0"/>
        </w:rPr>
        <w:t>厂区污水处理站</w:t>
      </w:r>
      <w:r>
        <w:rPr>
          <w:color w:val="auto"/>
          <w:szCs w:val="24"/>
        </w:rPr>
        <w:t>处理达标后</w:t>
      </w:r>
      <w:r>
        <w:rPr>
          <w:rFonts w:hint="eastAsia"/>
          <w:color w:val="auto"/>
          <w:szCs w:val="24"/>
        </w:rPr>
        <w:t>经</w:t>
      </w:r>
      <w:r>
        <w:rPr>
          <w:color w:val="auto"/>
          <w:szCs w:val="24"/>
        </w:rPr>
        <w:t>现有A2排污口排放于钦州港</w:t>
      </w:r>
      <w:r>
        <w:rPr>
          <w:rFonts w:hint="eastAsia"/>
          <w:color w:val="auto"/>
          <w:szCs w:val="24"/>
        </w:rPr>
        <w:t>大榄坪排放混合区</w:t>
      </w:r>
      <w:r>
        <w:rPr>
          <w:color w:val="auto"/>
          <w:szCs w:val="24"/>
        </w:rPr>
        <w:t>，对于事故生产废水，以及发生事故泄漏的相应围堰内无法收集接处理达标后排放，原则上15分钟后的雨水通过厂区雨水管网外排，具体根据实际情况做出适当延时收集。</w:t>
      </w:r>
    </w:p>
    <w:p w14:paraId="399CAF08">
      <w:pPr>
        <w:ind w:firstLine="480"/>
        <w:rPr>
          <w:color w:val="auto"/>
        </w:rPr>
      </w:pPr>
      <w:r>
        <w:rPr>
          <w:rFonts w:hint="eastAsia"/>
          <w:color w:val="auto"/>
        </w:rPr>
        <w:t>（3）事故废水厂内控制分析</w:t>
      </w:r>
    </w:p>
    <w:p w14:paraId="4AF39BC6">
      <w:pPr>
        <w:ind w:firstLine="480"/>
        <w:rPr>
          <w:color w:val="auto"/>
        </w:rPr>
      </w:pPr>
      <w:r>
        <w:rPr>
          <w:rFonts w:hint="eastAsia"/>
          <w:color w:val="auto"/>
        </w:rPr>
        <w:t>项目各车间内建有地沟，地沟内设泵、管线与厂区事故应急池相连，可及时将废水导排至事故应急池；此外项目</w:t>
      </w:r>
      <w:r>
        <w:rPr>
          <w:color w:val="auto"/>
        </w:rPr>
        <w:t>车间内配备高效白水回收机，</w:t>
      </w:r>
      <w:r>
        <w:rPr>
          <w:rFonts w:hint="eastAsia"/>
          <w:color w:val="auto"/>
        </w:rPr>
        <w:t>当发生风险事故时，可关闭多圆盘白水回收处理系统废水外排系统，将事故废水全部截留在多圆盘白水回收处理系统及配套的储水池内。若车间发生泄漏事故，泄漏物料进入地沟。根据前文分析，本项目废水产生浓度已满足园区污水处理厂进水水质要求，在此基础上，项目对废水进行预处理，以保障废水浓度稳定满足要求。因此发生废水事故排放，导致园区污水处理厂受到冲击发生超标排放的可能性较小。同时项目厂区建设有</w:t>
      </w:r>
      <w:r>
        <w:rPr>
          <w:color w:val="auto"/>
        </w:rPr>
        <w:t>3</w:t>
      </w:r>
      <w:r>
        <w:rPr>
          <w:rFonts w:hint="eastAsia"/>
          <w:color w:val="auto"/>
        </w:rPr>
        <w:t>座容积</w:t>
      </w:r>
      <w:r>
        <w:rPr>
          <w:color w:val="auto"/>
        </w:rPr>
        <w:t>10000</w:t>
      </w:r>
      <w:r>
        <w:rPr>
          <w:rFonts w:hint="eastAsia"/>
          <w:color w:val="auto"/>
        </w:rPr>
        <w:t>m</w:t>
      </w:r>
      <w:r>
        <w:rPr>
          <w:rFonts w:hint="eastAsia"/>
          <w:color w:val="auto"/>
          <w:vertAlign w:val="superscript"/>
        </w:rPr>
        <w:t>3</w:t>
      </w:r>
      <w:r>
        <w:rPr>
          <w:rFonts w:hint="eastAsia"/>
          <w:color w:val="auto"/>
        </w:rPr>
        <w:t>和1座容积2000m</w:t>
      </w:r>
      <w:r>
        <w:rPr>
          <w:rFonts w:hint="eastAsia"/>
          <w:color w:val="auto"/>
          <w:vertAlign w:val="superscript"/>
        </w:rPr>
        <w:t>3</w:t>
      </w:r>
      <w:r>
        <w:rPr>
          <w:rFonts w:hint="eastAsia"/>
          <w:color w:val="auto"/>
        </w:rPr>
        <w:t>的事故应急池，一旦发生事故，将项目废水暂存于事故池，禁止废水未经处理直接外排。同时做好污水处理设施、污水管网等的防渗措施，杜绝项目废水进入地下水，影响地下水。</w:t>
      </w:r>
    </w:p>
    <w:p w14:paraId="7EABDAE9">
      <w:pPr>
        <w:pStyle w:val="4"/>
        <w:rPr>
          <w:color w:val="auto"/>
        </w:rPr>
      </w:pPr>
      <w:bookmarkStart w:id="558" w:name="_Toc225216849"/>
      <w:r>
        <w:rPr>
          <w:color w:val="auto"/>
        </w:rPr>
        <w:t>原料在储运过程中发生泄漏事故的影响分析</w:t>
      </w:r>
      <w:bookmarkEnd w:id="558"/>
    </w:p>
    <w:p w14:paraId="21FA10A3">
      <w:pPr>
        <w:ind w:firstLine="480"/>
        <w:rPr>
          <w:color w:val="auto"/>
        </w:rPr>
      </w:pPr>
      <w:r>
        <w:rPr>
          <w:rFonts w:hint="eastAsia"/>
          <w:color w:val="auto"/>
        </w:rPr>
        <w:t>项目生产过程中所使用的化学品主要是</w:t>
      </w:r>
      <w:r>
        <w:rPr>
          <w:rFonts w:cs="Times New Roman"/>
          <w:color w:val="auto"/>
          <w:kern w:val="0"/>
          <w:szCs w:val="21"/>
        </w:rPr>
        <w:t>碳酸钙</w:t>
      </w:r>
      <w:r>
        <w:rPr>
          <w:rFonts w:hint="eastAsia"/>
          <w:color w:val="auto"/>
        </w:rPr>
        <w:t>、</w:t>
      </w:r>
      <w:r>
        <w:rPr>
          <w:rFonts w:cs="Times New Roman"/>
          <w:color w:val="auto"/>
          <w:kern w:val="0"/>
          <w:szCs w:val="21"/>
        </w:rPr>
        <w:t>滑石粉</w:t>
      </w:r>
      <w:r>
        <w:rPr>
          <w:rFonts w:hint="eastAsia" w:cs="Times New Roman"/>
          <w:color w:val="auto"/>
          <w:kern w:val="0"/>
          <w:szCs w:val="21"/>
        </w:rPr>
        <w:t>、胶乳、氢氧化钠</w:t>
      </w:r>
      <w:r>
        <w:rPr>
          <w:rFonts w:hint="eastAsia"/>
          <w:color w:val="auto"/>
        </w:rPr>
        <w:t>等。化学品在运输、储存过程中，均可能会因自然或人为因素，出现事故造成泄漏而进入周围地表水或土壤，影响水体水质及土壤环境，并对水生生物的生长繁殖和植被造成影响。因此，建设方必须加强对原材料的管理，定期进行检查。</w:t>
      </w:r>
    </w:p>
    <w:p w14:paraId="115CF796">
      <w:pPr>
        <w:pStyle w:val="3"/>
        <w:rPr>
          <w:color w:val="auto"/>
        </w:rPr>
      </w:pPr>
      <w:bookmarkStart w:id="559" w:name="_Toc163053748"/>
      <w:bookmarkStart w:id="560" w:name="_Toc221355741"/>
      <w:bookmarkStart w:id="561" w:name="_Toc225216850"/>
      <w:r>
        <w:rPr>
          <w:color w:val="auto"/>
        </w:rPr>
        <w:t>环境风险防范措施及应急要求</w:t>
      </w:r>
      <w:bookmarkEnd w:id="559"/>
      <w:bookmarkEnd w:id="560"/>
      <w:bookmarkEnd w:id="561"/>
    </w:p>
    <w:p w14:paraId="3692FC13">
      <w:pPr>
        <w:pStyle w:val="4"/>
        <w:rPr>
          <w:color w:val="auto"/>
        </w:rPr>
      </w:pPr>
      <w:bookmarkStart w:id="562" w:name="_Toc225216851"/>
      <w:r>
        <w:rPr>
          <w:color w:val="auto"/>
        </w:rPr>
        <w:t>环境风险管理措施</w:t>
      </w:r>
      <w:bookmarkEnd w:id="562"/>
    </w:p>
    <w:p w14:paraId="3FDD42CA">
      <w:pPr>
        <w:ind w:firstLine="480"/>
        <w:rPr>
          <w:rFonts w:cs="Times New Roman"/>
          <w:color w:val="auto"/>
        </w:rPr>
      </w:pPr>
      <w:r>
        <w:rPr>
          <w:rFonts w:hint="eastAsia" w:cs="Times New Roman"/>
          <w:color w:val="auto"/>
        </w:rPr>
        <w:t>广西金桂浆纸业有限公司</w:t>
      </w:r>
      <w:r>
        <w:rPr>
          <w:rFonts w:cs="Times New Roman"/>
          <w:color w:val="auto"/>
        </w:rPr>
        <w:t>针对公司厂内现有工程已建立风险防控管理措施管理体系，日常管理情况及现场防控措施情况详见&amp;6.1.2.1章节中表6.1-2，现有项目运营至今未发生过重大风险事故，因此本项目依托现有工程的设施如</w:t>
      </w:r>
      <w:r>
        <w:rPr>
          <w:rFonts w:hint="eastAsia" w:cs="Times New Roman"/>
          <w:color w:val="auto"/>
        </w:rPr>
        <w:t>原辅料储罐、</w:t>
      </w:r>
      <w:r>
        <w:rPr>
          <w:rFonts w:cs="Times New Roman"/>
          <w:color w:val="auto"/>
        </w:rPr>
        <w:t>固废暂存场所、原辅料仓库等相对可行。</w:t>
      </w:r>
    </w:p>
    <w:p w14:paraId="265809B7">
      <w:pPr>
        <w:ind w:firstLine="480"/>
        <w:rPr>
          <w:rFonts w:cs="Times New Roman"/>
          <w:color w:val="auto"/>
        </w:rPr>
      </w:pPr>
      <w:r>
        <w:rPr>
          <w:rFonts w:cs="Times New Roman"/>
          <w:color w:val="auto"/>
        </w:rPr>
        <w:t>为保障项目安全稳定运行，建议建设单位在依托现有工程风险管理措施的基础上进行细化和完善：</w:t>
      </w:r>
    </w:p>
    <w:p w14:paraId="1A796C27">
      <w:pPr>
        <w:ind w:firstLine="480"/>
        <w:rPr>
          <w:rFonts w:cs="Times New Roman"/>
          <w:color w:val="auto"/>
        </w:rPr>
      </w:pPr>
      <w:r>
        <w:rPr>
          <w:rFonts w:cs="Times New Roman"/>
          <w:color w:val="auto"/>
        </w:rPr>
        <w:t>（一）生产装置区风险防范措施</w:t>
      </w:r>
    </w:p>
    <w:p w14:paraId="3F36D043">
      <w:pPr>
        <w:ind w:firstLine="480"/>
        <w:rPr>
          <w:rFonts w:cs="Times New Roman"/>
          <w:color w:val="auto"/>
        </w:rPr>
      </w:pPr>
      <w:r>
        <w:rPr>
          <w:rFonts w:cs="Times New Roman"/>
          <w:color w:val="auto"/>
        </w:rPr>
        <w:t>（1）针对新建的本项目工程制定岗位操作规范，操作规程上墙。</w:t>
      </w:r>
    </w:p>
    <w:p w14:paraId="34E067BE">
      <w:pPr>
        <w:ind w:firstLine="480"/>
        <w:rPr>
          <w:rFonts w:cs="Times New Roman"/>
          <w:color w:val="auto"/>
        </w:rPr>
      </w:pPr>
      <w:r>
        <w:rPr>
          <w:rFonts w:cs="Times New Roman"/>
          <w:color w:val="auto"/>
        </w:rPr>
        <w:t>（2）物料进出口阀、燃料系统阀、防爆门设计规范，针对阀门、法兰、管线接口处等易发生跑冒滴漏部位应定期检查、维护，保证灵活好用。</w:t>
      </w:r>
    </w:p>
    <w:p w14:paraId="1FF8AFDA">
      <w:pPr>
        <w:ind w:firstLine="480"/>
        <w:rPr>
          <w:rFonts w:cs="Times New Roman"/>
          <w:color w:val="auto"/>
        </w:rPr>
      </w:pPr>
      <w:r>
        <w:rPr>
          <w:rFonts w:cs="Times New Roman"/>
          <w:color w:val="auto"/>
        </w:rPr>
        <w:t>（3）防止易燃易爆物质泄漏，配置防火器材。</w:t>
      </w:r>
    </w:p>
    <w:p w14:paraId="227F1125">
      <w:pPr>
        <w:ind w:firstLine="480"/>
        <w:rPr>
          <w:rFonts w:cs="Times New Roman"/>
          <w:color w:val="auto"/>
        </w:rPr>
      </w:pPr>
      <w:r>
        <w:rPr>
          <w:rFonts w:cs="Times New Roman"/>
          <w:color w:val="auto"/>
        </w:rPr>
        <w:t>（4）保证通风良好，防止爆炸气体滞留聚集。</w:t>
      </w:r>
    </w:p>
    <w:p w14:paraId="7FC16ED6">
      <w:pPr>
        <w:ind w:firstLine="480"/>
        <w:rPr>
          <w:rFonts w:cs="Times New Roman"/>
          <w:color w:val="auto"/>
        </w:rPr>
      </w:pPr>
      <w:r>
        <w:rPr>
          <w:rFonts w:cs="Times New Roman"/>
          <w:color w:val="auto"/>
        </w:rPr>
        <w:t>（5）重要部位要用防火材料保护，防烧毁。</w:t>
      </w:r>
    </w:p>
    <w:p w14:paraId="3AC60300">
      <w:pPr>
        <w:ind w:firstLine="480"/>
        <w:rPr>
          <w:rFonts w:cs="Times New Roman"/>
          <w:color w:val="auto"/>
        </w:rPr>
      </w:pPr>
      <w:r>
        <w:rPr>
          <w:rFonts w:cs="Times New Roman"/>
          <w:color w:val="auto"/>
        </w:rPr>
        <w:t>（6）在生产工艺中的带压设备如塔、容器等处设置安全阀及放空系统，具有安全联锁装置，以保证人身安全和设备完好。</w:t>
      </w:r>
    </w:p>
    <w:p w14:paraId="596DE932">
      <w:pPr>
        <w:ind w:firstLine="480"/>
        <w:rPr>
          <w:rFonts w:cs="Times New Roman"/>
          <w:color w:val="auto"/>
        </w:rPr>
      </w:pPr>
      <w:r>
        <w:rPr>
          <w:rFonts w:cs="Times New Roman"/>
          <w:color w:val="auto"/>
        </w:rPr>
        <w:t>（7）精心操作，平稳操作，加强设备检查，在年检时对塔、罐等大型设备要做探伤检查，出现疑点，一定要检修好才能运行。</w:t>
      </w:r>
    </w:p>
    <w:p w14:paraId="689806F7">
      <w:pPr>
        <w:ind w:firstLine="480"/>
        <w:rPr>
          <w:rFonts w:cs="Times New Roman"/>
          <w:color w:val="auto"/>
        </w:rPr>
      </w:pPr>
      <w:r>
        <w:rPr>
          <w:rFonts w:cs="Times New Roman"/>
          <w:color w:val="auto"/>
        </w:rPr>
        <w:t>（8）各构筑物之间的距离符合《石油化工企业设计防火规范》要求。</w:t>
      </w:r>
    </w:p>
    <w:p w14:paraId="2B502FD6">
      <w:pPr>
        <w:ind w:firstLine="480"/>
        <w:rPr>
          <w:rFonts w:cs="Times New Roman"/>
          <w:color w:val="auto"/>
        </w:rPr>
      </w:pPr>
      <w:r>
        <w:rPr>
          <w:rFonts w:cs="Times New Roman"/>
          <w:color w:val="auto"/>
        </w:rPr>
        <w:t>（二）槽罐装置风险防范措施</w:t>
      </w:r>
    </w:p>
    <w:p w14:paraId="3E47F31E">
      <w:pPr>
        <w:ind w:firstLine="480"/>
        <w:rPr>
          <w:rFonts w:cs="Times New Roman"/>
          <w:color w:val="auto"/>
        </w:rPr>
      </w:pPr>
      <w:r>
        <w:rPr>
          <w:rFonts w:cs="Times New Roman"/>
          <w:color w:val="auto"/>
        </w:rPr>
        <w:t>（1）根据化学品储罐区的特点，氢氧化钠等强腐蚀性介质的作业场所的地面、墙壁、设备基础均根据要求做防腐处理，地面做防渗漏处理。</w:t>
      </w:r>
    </w:p>
    <w:p w14:paraId="69469F96">
      <w:pPr>
        <w:ind w:firstLine="480"/>
        <w:rPr>
          <w:rFonts w:cs="Times New Roman"/>
          <w:color w:val="auto"/>
        </w:rPr>
      </w:pPr>
      <w:r>
        <w:rPr>
          <w:rFonts w:cs="Times New Roman"/>
          <w:color w:val="auto"/>
        </w:rPr>
        <w:t>（2）储罐设备良好接地，设永久性接地装置。</w:t>
      </w:r>
    </w:p>
    <w:p w14:paraId="55652797">
      <w:pPr>
        <w:ind w:firstLine="480"/>
        <w:rPr>
          <w:rFonts w:cs="Times New Roman"/>
          <w:color w:val="auto"/>
        </w:rPr>
      </w:pPr>
      <w:r>
        <w:rPr>
          <w:rFonts w:cs="Times New Roman"/>
          <w:color w:val="auto"/>
        </w:rPr>
        <w:t>（3）装罐输送中防静电限制流速，禁止高速输送，禁止在静电时间进行检查作业。</w:t>
      </w:r>
    </w:p>
    <w:p w14:paraId="24ACAD7D">
      <w:pPr>
        <w:ind w:firstLine="480"/>
        <w:rPr>
          <w:rFonts w:cs="Times New Roman"/>
          <w:color w:val="auto"/>
        </w:rPr>
      </w:pPr>
      <w:r>
        <w:rPr>
          <w:rFonts w:cs="Times New Roman"/>
          <w:color w:val="auto"/>
        </w:rPr>
        <w:t>（4）项目各储槽的液位通过液位计与DCS系统相连。</w:t>
      </w:r>
    </w:p>
    <w:p w14:paraId="0F8861E4">
      <w:pPr>
        <w:ind w:firstLine="480"/>
        <w:rPr>
          <w:rFonts w:cs="Times New Roman"/>
          <w:color w:val="auto"/>
        </w:rPr>
      </w:pPr>
      <w:r>
        <w:rPr>
          <w:rFonts w:cs="Times New Roman"/>
          <w:color w:val="auto"/>
        </w:rPr>
        <w:t>（5）防止机械（撞击、摩擦）着火源。</w:t>
      </w:r>
    </w:p>
    <w:p w14:paraId="7E201442">
      <w:pPr>
        <w:ind w:firstLine="480"/>
        <w:rPr>
          <w:rFonts w:cs="Times New Roman"/>
          <w:color w:val="auto"/>
        </w:rPr>
      </w:pPr>
      <w:r>
        <w:rPr>
          <w:rFonts w:cs="Times New Roman"/>
          <w:color w:val="auto"/>
        </w:rPr>
        <w:t>（6）控制高温物体着火源，电气着火源及化学着火源。</w:t>
      </w:r>
    </w:p>
    <w:p w14:paraId="2FB61D2A">
      <w:pPr>
        <w:ind w:firstLine="480"/>
        <w:rPr>
          <w:rFonts w:cs="Times New Roman"/>
          <w:color w:val="auto"/>
        </w:rPr>
      </w:pPr>
      <w:r>
        <w:rPr>
          <w:rFonts w:cs="Times New Roman"/>
          <w:color w:val="auto"/>
        </w:rPr>
        <w:t>（7）每年对管道、阀门以及设备等进行一次大修，保证设备的安全运行，对于生产中发现的问题及时进行维修，对于安全隐患及时进行整改。设备要经常进行保养，如果发现异常情况，应立即报告进行维修，保证相关设备的正常运行。</w:t>
      </w:r>
    </w:p>
    <w:p w14:paraId="7889B164">
      <w:pPr>
        <w:ind w:firstLine="480"/>
        <w:rPr>
          <w:rFonts w:cs="Times New Roman"/>
          <w:color w:val="auto"/>
        </w:rPr>
      </w:pPr>
      <w:r>
        <w:rPr>
          <w:rFonts w:cs="Times New Roman"/>
          <w:color w:val="auto"/>
        </w:rPr>
        <w:t>（三）安全管理措施</w:t>
      </w:r>
    </w:p>
    <w:p w14:paraId="55674110">
      <w:pPr>
        <w:ind w:firstLine="480"/>
        <w:rPr>
          <w:rFonts w:cs="Times New Roman"/>
          <w:color w:val="auto"/>
        </w:rPr>
      </w:pPr>
      <w:r>
        <w:rPr>
          <w:rFonts w:cs="Times New Roman"/>
          <w:color w:val="auto"/>
        </w:rPr>
        <w:t>（1）安全检修</w:t>
      </w:r>
    </w:p>
    <w:p w14:paraId="7537E6D7">
      <w:pPr>
        <w:ind w:firstLine="480"/>
        <w:rPr>
          <w:rFonts w:cs="Times New Roman"/>
          <w:color w:val="auto"/>
        </w:rPr>
      </w:pPr>
      <w:r>
        <w:rPr>
          <w:rFonts w:cs="Times New Roman"/>
          <w:color w:val="auto"/>
        </w:rPr>
        <w:t>停车检修设备、管道必须按照操作规程操作，首先将工作介质排净，再用氮气或蒸汽进行吹扫、置换至合格，方可进行检修。必须做到“隔离、置换、分析、办证、确认”十字方针。安全部门应彻底检查待修设备，切实考虑检修人员的安全，慎重签发每一个动火证。</w:t>
      </w:r>
    </w:p>
    <w:p w14:paraId="7C9FB2C0">
      <w:pPr>
        <w:ind w:firstLine="480"/>
        <w:rPr>
          <w:rFonts w:cs="Times New Roman"/>
          <w:color w:val="auto"/>
        </w:rPr>
      </w:pPr>
      <w:r>
        <w:rPr>
          <w:rFonts w:cs="Times New Roman"/>
          <w:color w:val="auto"/>
        </w:rPr>
        <w:t>（2）安全标志、安全色、警示标志及风向标</w:t>
      </w:r>
    </w:p>
    <w:p w14:paraId="15995847">
      <w:pPr>
        <w:ind w:firstLine="480"/>
        <w:rPr>
          <w:rFonts w:cs="Times New Roman"/>
          <w:color w:val="auto"/>
        </w:rPr>
      </w:pPr>
      <w:r>
        <w:rPr>
          <w:rFonts w:cs="Times New Roman"/>
          <w:color w:val="auto"/>
        </w:rPr>
        <w:t>本项目生产场所与作业地点的紧急疏散通道、紧急疏散口设置醒目的标志和指示箭头，满足人员紧急疏散的需要。在容易发生事故危及生命安全的场所和设备的各个作业地点设置安全警示标识。如在存在高处坠落地点设置警示标志，在汽车可能行驶的路线上设置减速限速标识。</w:t>
      </w:r>
    </w:p>
    <w:p w14:paraId="36DC5E41">
      <w:pPr>
        <w:ind w:firstLine="480"/>
        <w:rPr>
          <w:rFonts w:cs="Times New Roman"/>
          <w:color w:val="auto"/>
        </w:rPr>
      </w:pPr>
      <w:r>
        <w:rPr>
          <w:rFonts w:cs="Times New Roman"/>
          <w:color w:val="auto"/>
        </w:rPr>
        <w:t>（四）其他管理措施</w:t>
      </w:r>
    </w:p>
    <w:p w14:paraId="3F18C1E0">
      <w:pPr>
        <w:ind w:firstLine="480"/>
        <w:rPr>
          <w:color w:val="auto"/>
        </w:rPr>
      </w:pPr>
      <w:r>
        <w:rPr>
          <w:rFonts w:hint="eastAsia" w:ascii="宋体" w:hAnsi="宋体" w:cs="宋体"/>
          <w:color w:val="auto"/>
        </w:rPr>
        <w:t>①</w:t>
      </w:r>
      <w:r>
        <w:rPr>
          <w:color w:val="auto"/>
        </w:rPr>
        <w:t>对职工要加强环保、安全生产教育，生产中积极采取防范措施，厂区内特别是易燃、可燃物品储存和使用场所严禁吸烟、禁火，在醒目处要设有禁烟、禁火的标志。</w:t>
      </w:r>
    </w:p>
    <w:p w14:paraId="33D2752F">
      <w:pPr>
        <w:ind w:firstLine="480"/>
        <w:rPr>
          <w:color w:val="auto"/>
        </w:rPr>
      </w:pPr>
      <w:r>
        <w:rPr>
          <w:rFonts w:hint="eastAsia" w:ascii="宋体" w:hAnsi="宋体" w:cs="宋体"/>
          <w:color w:val="auto"/>
        </w:rPr>
        <w:t>②</w:t>
      </w:r>
      <w:r>
        <w:rPr>
          <w:color w:val="auto"/>
        </w:rPr>
        <w:t>制定严格的工艺操作规程，加强安全监督和管理，对设备的运行进行实时监控，严格执行生产管理的规章制度和操作规程，防止工人误操作。</w:t>
      </w:r>
    </w:p>
    <w:p w14:paraId="2BE65881">
      <w:pPr>
        <w:ind w:firstLine="480"/>
        <w:rPr>
          <w:color w:val="auto"/>
        </w:rPr>
      </w:pPr>
      <w:r>
        <w:rPr>
          <w:rFonts w:hint="eastAsia" w:ascii="宋体" w:hAnsi="宋体" w:cs="宋体"/>
          <w:color w:val="auto"/>
        </w:rPr>
        <w:t>③</w:t>
      </w:r>
      <w:r>
        <w:rPr>
          <w:color w:val="auto"/>
        </w:rPr>
        <w:t>加强对各类操作人员、特种作业人员的安全技能教育、培训和考核，并经考核合格后持证上岗。</w:t>
      </w:r>
    </w:p>
    <w:p w14:paraId="3EDE0AD4">
      <w:pPr>
        <w:ind w:firstLine="480"/>
        <w:rPr>
          <w:color w:val="auto"/>
        </w:rPr>
      </w:pPr>
      <w:r>
        <w:rPr>
          <w:rFonts w:hint="eastAsia" w:ascii="宋体" w:hAnsi="宋体" w:cs="宋体"/>
          <w:color w:val="auto"/>
        </w:rPr>
        <w:t>④</w:t>
      </w:r>
      <w:r>
        <w:rPr>
          <w:color w:val="auto"/>
        </w:rPr>
        <w:t>要合理安排生产和检修计划，降低设备故障的出现机率，对生产系统容易出现故障的设备要有一定数量的库存设备和备品备件。</w:t>
      </w:r>
    </w:p>
    <w:p w14:paraId="6752492B">
      <w:pPr>
        <w:ind w:firstLine="480"/>
        <w:rPr>
          <w:color w:val="auto"/>
        </w:rPr>
      </w:pPr>
      <w:r>
        <w:rPr>
          <w:rFonts w:hint="eastAsia" w:ascii="宋体" w:hAnsi="宋体" w:cs="宋体"/>
          <w:color w:val="auto"/>
        </w:rPr>
        <w:t>⑤</w:t>
      </w:r>
      <w:r>
        <w:rPr>
          <w:color w:val="auto"/>
        </w:rPr>
        <w:t>加强对生产装置、设备的检修、维护和保养。按规定对特种设备、仪表、安全阀、压力容器定期进行检定、检验，并建立档案。</w:t>
      </w:r>
    </w:p>
    <w:p w14:paraId="5ACDF4E0">
      <w:pPr>
        <w:ind w:firstLine="480"/>
        <w:rPr>
          <w:color w:val="auto"/>
        </w:rPr>
      </w:pPr>
      <w:r>
        <w:rPr>
          <w:rFonts w:hint="eastAsia" w:ascii="宋体" w:hAnsi="宋体" w:cs="宋体"/>
          <w:color w:val="auto"/>
        </w:rPr>
        <w:t>⑥</w:t>
      </w:r>
      <w:r>
        <w:rPr>
          <w:color w:val="auto"/>
        </w:rPr>
        <w:t>设立设备管理信息系统，注重设备状态监测和故障诊断，使设备管理从事后维修和计划维修向预测预报过渡，降低设备突发故障率，避免重大事故发生。</w:t>
      </w:r>
    </w:p>
    <w:p w14:paraId="2A3811B0">
      <w:pPr>
        <w:ind w:firstLine="480"/>
        <w:rPr>
          <w:color w:val="auto"/>
        </w:rPr>
      </w:pPr>
      <w:r>
        <w:rPr>
          <w:rFonts w:hint="eastAsia" w:ascii="宋体" w:hAnsi="宋体" w:cs="宋体"/>
          <w:color w:val="auto"/>
        </w:rPr>
        <w:t>⑦</w:t>
      </w:r>
      <w:r>
        <w:rPr>
          <w:color w:val="auto"/>
        </w:rPr>
        <w:t>厂内应设置专用仓库，存放灭火沙土、防护服和灭火器等安全器材，应急救援组织的人员应接受专门培训，在发生火灾、爆炸等突发事故时能够及时利用这些安全设备与工具进行应急工作。</w:t>
      </w:r>
    </w:p>
    <w:p w14:paraId="440B5E62">
      <w:pPr>
        <w:pStyle w:val="4"/>
        <w:rPr>
          <w:color w:val="auto"/>
        </w:rPr>
      </w:pPr>
      <w:bookmarkStart w:id="563" w:name="_Toc225216852"/>
      <w:r>
        <w:rPr>
          <w:color w:val="auto"/>
        </w:rPr>
        <w:t>环境风险防范措施</w:t>
      </w:r>
      <w:bookmarkEnd w:id="563"/>
    </w:p>
    <w:p w14:paraId="0330C074">
      <w:pPr>
        <w:pStyle w:val="5"/>
        <w:rPr>
          <w:color w:val="auto"/>
        </w:rPr>
      </w:pPr>
      <w:r>
        <w:rPr>
          <w:color w:val="auto"/>
        </w:rPr>
        <w:t>施工风险防范措施</w:t>
      </w:r>
    </w:p>
    <w:p w14:paraId="0053D65F">
      <w:pPr>
        <w:ind w:firstLine="480"/>
        <w:rPr>
          <w:color w:val="auto"/>
        </w:rPr>
      </w:pPr>
      <w:r>
        <w:rPr>
          <w:color w:val="auto"/>
        </w:rPr>
        <w:t>本项目为在现有已建成厂区的生产车间进行</w:t>
      </w:r>
      <w:r>
        <w:rPr>
          <w:rFonts w:hint="eastAsia" w:cs="Times New Roman"/>
          <w:color w:val="auto"/>
        </w:rPr>
        <w:t>改扩建</w:t>
      </w:r>
      <w:r>
        <w:rPr>
          <w:color w:val="auto"/>
        </w:rPr>
        <w:t>生产线，因此需注意在施工期的施工风险，做好施工期风险防范措施：</w:t>
      </w:r>
    </w:p>
    <w:p w14:paraId="2B539EC8">
      <w:pPr>
        <w:ind w:firstLine="480"/>
        <w:rPr>
          <w:color w:val="auto"/>
        </w:rPr>
      </w:pPr>
      <w:r>
        <w:rPr>
          <w:color w:val="auto"/>
        </w:rPr>
        <w:t>（1）明确责任主体：建设单位负总责，施工单位具体落实，监理单位监督。在合同中明确各方环保责任。</w:t>
      </w:r>
    </w:p>
    <w:p w14:paraId="41FF25D5">
      <w:pPr>
        <w:ind w:firstLine="480"/>
        <w:rPr>
          <w:color w:val="auto"/>
        </w:rPr>
      </w:pPr>
      <w:r>
        <w:rPr>
          <w:color w:val="auto"/>
        </w:rPr>
        <w:t>（2）建议成立施工期环境管理小组（建设单位、施工单位、监理单位参与），并制定《施工期环境保护管理制度》等相关管理规定。</w:t>
      </w:r>
    </w:p>
    <w:p w14:paraId="745B3B63">
      <w:pPr>
        <w:ind w:firstLine="480"/>
        <w:rPr>
          <w:color w:val="auto"/>
        </w:rPr>
      </w:pPr>
      <w:r>
        <w:rPr>
          <w:color w:val="auto"/>
        </w:rPr>
        <w:t>（3）对施工人员进行环保法规、厂区管理规定、具体环保措施、应急预案的专项培训和交底，特别是涉及现有设施保护、危险作业的内容。强调持证上岗（如电工、焊工）。引入环境监理单位，对施工全过程进行环境监督，定期提交监理报告。</w:t>
      </w:r>
    </w:p>
    <w:p w14:paraId="6B022B17">
      <w:pPr>
        <w:ind w:firstLine="480"/>
        <w:rPr>
          <w:color w:val="auto"/>
        </w:rPr>
      </w:pPr>
      <w:r>
        <w:rPr>
          <w:color w:val="auto"/>
        </w:rPr>
        <w:t>（4）建立与厂区现有生产管理部门、环保部门的有效沟通协调机制，及时通报施工计划，协调解决冲突。</w:t>
      </w:r>
    </w:p>
    <w:p w14:paraId="4D3C015F">
      <w:pPr>
        <w:ind w:firstLine="480"/>
        <w:rPr>
          <w:color w:val="auto"/>
        </w:rPr>
      </w:pPr>
      <w:r>
        <w:rPr>
          <w:color w:val="auto"/>
        </w:rPr>
        <w:t>（5）施工前必须详细勘察地下管线、电缆、现有环保设施（污水处理站、事故应急池、危废库、在线监测房等）的位置。制定并严格执行《现有设施保护方案》，明确保护距离、开挖方式（如人工探挖）、监测要求。必要时设置物理隔离屏障。</w:t>
      </w:r>
    </w:p>
    <w:p w14:paraId="120D88A2">
      <w:pPr>
        <w:ind w:firstLine="480"/>
        <w:rPr>
          <w:b/>
          <w:bCs/>
          <w:color w:val="auto"/>
        </w:rPr>
      </w:pPr>
      <w:r>
        <w:rPr>
          <w:color w:val="auto"/>
        </w:rPr>
        <w:t>（6）评估施工活动（如大型车辆通行、开挖震动）对现有环保设施（如在线监测设备精度、水池结构）的影响，制定防护方案（如加固基础、设置减震沟、临时迁改关键仪表管线等）。确保施工不影响现有环保设施的正常运行和处理效果。</w:t>
      </w:r>
    </w:p>
    <w:p w14:paraId="2C3F70A4">
      <w:pPr>
        <w:ind w:firstLine="480"/>
        <w:rPr>
          <w:b/>
          <w:bCs/>
          <w:color w:val="auto"/>
        </w:rPr>
      </w:pPr>
      <w:r>
        <w:rPr>
          <w:color w:val="auto"/>
        </w:rPr>
        <w:t>（7）施工用水、用电需单独计量，避免干扰生产系统。如需接驳厂区现有管网，需制定严格方案并经厂方批准。</w:t>
      </w:r>
    </w:p>
    <w:p w14:paraId="18D1097D">
      <w:pPr>
        <w:ind w:firstLine="480"/>
        <w:rPr>
          <w:color w:val="auto"/>
        </w:rPr>
      </w:pPr>
      <w:r>
        <w:rPr>
          <w:color w:val="auto"/>
        </w:rPr>
        <w:t>（8）严格执行厂区动火作业、进入受限空间作业等高风险作业的审批许可制度，落实安全隔离、气体检测、监护等措施，严防火灾爆炸和中毒窒息事故。</w:t>
      </w:r>
    </w:p>
    <w:p w14:paraId="2665C5F2">
      <w:pPr>
        <w:ind w:firstLine="480"/>
        <w:rPr>
          <w:color w:val="auto"/>
        </w:rPr>
      </w:pPr>
      <w:r>
        <w:rPr>
          <w:color w:val="auto"/>
        </w:rPr>
        <w:t>（9）建设单位、监理单位、环境监理单位加强日常巡查和监督检查，建立检查记录和整改台账。同时接受当地环保部门的监督检查。</w:t>
      </w:r>
    </w:p>
    <w:p w14:paraId="29679DF9">
      <w:pPr>
        <w:pStyle w:val="5"/>
        <w:rPr>
          <w:rFonts w:cs="Times New Roman"/>
          <w:color w:val="auto"/>
        </w:rPr>
      </w:pPr>
      <w:r>
        <w:rPr>
          <w:rFonts w:cs="Times New Roman"/>
          <w:color w:val="auto"/>
        </w:rPr>
        <w:t>工艺技术设计安全防范措施</w:t>
      </w:r>
    </w:p>
    <w:p w14:paraId="072410C2">
      <w:pPr>
        <w:ind w:firstLine="480"/>
        <w:rPr>
          <w:rFonts w:cs="Times New Roman"/>
          <w:color w:val="auto"/>
        </w:rPr>
      </w:pPr>
      <w:r>
        <w:rPr>
          <w:rFonts w:cs="Times New Roman"/>
          <w:color w:val="auto"/>
        </w:rPr>
        <w:t>在设计阶段，应采用先进可靠的工艺技术和合理的工艺流程。工艺过程中，根据工艺特点和安全要求，合理地设计工艺管线上安装的安全阀、防爆膜、自动控制检测仪表、报警系统、安全联锁装置及安全卫生检测设施，使之安全可靠。在易燃、易爆及有害物质存在的危险环境，设置危险物质检测报警装置。</w:t>
      </w:r>
    </w:p>
    <w:p w14:paraId="0DA397E7">
      <w:pPr>
        <w:pStyle w:val="5"/>
        <w:rPr>
          <w:color w:val="auto"/>
        </w:rPr>
      </w:pPr>
      <w:r>
        <w:rPr>
          <w:color w:val="auto"/>
        </w:rPr>
        <w:t>事故大气环境风险防范措施</w:t>
      </w:r>
    </w:p>
    <w:p w14:paraId="58073FF3">
      <w:pPr>
        <w:ind w:firstLine="480"/>
        <w:rPr>
          <w:color w:val="auto"/>
        </w:rPr>
      </w:pPr>
      <w:r>
        <w:rPr>
          <w:rFonts w:hint="eastAsia"/>
          <w:color w:val="auto"/>
        </w:rPr>
        <w:t>1、废气事故排放</w:t>
      </w:r>
      <w:r>
        <w:rPr>
          <w:color w:val="auto"/>
        </w:rPr>
        <w:t>措施</w:t>
      </w:r>
    </w:p>
    <w:p w14:paraId="292D2E9C">
      <w:pPr>
        <w:ind w:firstLine="480"/>
        <w:rPr>
          <w:color w:val="auto"/>
        </w:rPr>
      </w:pPr>
      <w:r>
        <w:rPr>
          <w:rFonts w:hint="eastAsia"/>
          <w:color w:val="auto"/>
        </w:rPr>
        <w:t>(1)注重除尘设施的维护，使其长期保持最佳工作状况。在定期检修工程主体设备时，同时检查和维护各主要废气净化系统，以确保除尘器的正常运行。</w:t>
      </w:r>
    </w:p>
    <w:p w14:paraId="4561EEA3">
      <w:pPr>
        <w:ind w:firstLine="480"/>
        <w:rPr>
          <w:color w:val="auto"/>
        </w:rPr>
      </w:pPr>
      <w:r>
        <w:rPr>
          <w:rFonts w:hint="eastAsia"/>
          <w:color w:val="auto"/>
        </w:rPr>
        <w:t>(2)根据除尘系统运行、操作、管理规程，加强对除尘系统的日常检查工作；此外，在计划停机检查时间要对湿式除尘器进行细致检查；每年要大修清灰设备。</w:t>
      </w:r>
    </w:p>
    <w:p w14:paraId="590CC67E">
      <w:pPr>
        <w:ind w:firstLine="480"/>
        <w:rPr>
          <w:color w:val="auto"/>
        </w:rPr>
      </w:pPr>
      <w:r>
        <w:rPr>
          <w:rFonts w:hint="eastAsia"/>
          <w:color w:val="auto"/>
        </w:rPr>
        <w:t>(3)一旦发现废气净化系统设施运行不正常，应立即对废气净化设施进行检修，若该设施一时难以修复，应立即采取紧急措施使主体设备停止生产，待净化设施检修完毕能够正常投入使用时，再共同投入使用。</w:t>
      </w:r>
    </w:p>
    <w:p w14:paraId="5A27C376">
      <w:pPr>
        <w:ind w:firstLine="480"/>
        <w:rPr>
          <w:color w:val="auto"/>
        </w:rPr>
      </w:pPr>
      <w:r>
        <w:rPr>
          <w:rFonts w:hint="eastAsia"/>
          <w:color w:val="auto"/>
        </w:rPr>
        <w:t>(4)对废气净化设施的易损易耗件应注重备用品的储存，确保设备发生故障时能得到及时的更换。</w:t>
      </w:r>
    </w:p>
    <w:p w14:paraId="42827117">
      <w:pPr>
        <w:ind w:firstLine="480"/>
        <w:rPr>
          <w:color w:val="auto"/>
        </w:rPr>
      </w:pPr>
      <w:r>
        <w:rPr>
          <w:rFonts w:hint="eastAsia"/>
          <w:color w:val="auto"/>
        </w:rPr>
        <w:t>(5)制定一套科学、完整和严格的故障处理制度和应急措施，责任到人，以便发生故障时及时处理</w:t>
      </w:r>
      <w:r>
        <w:rPr>
          <w:color w:val="auto"/>
        </w:rPr>
        <w:t>。</w:t>
      </w:r>
    </w:p>
    <w:p w14:paraId="2139566D">
      <w:pPr>
        <w:ind w:firstLine="480"/>
        <w:rPr>
          <w:color w:val="auto"/>
        </w:rPr>
      </w:pPr>
      <w:r>
        <w:rPr>
          <w:rFonts w:hint="eastAsia"/>
          <w:color w:val="auto"/>
        </w:rPr>
        <w:t>2、</w:t>
      </w:r>
      <w:r>
        <w:rPr>
          <w:color w:val="auto"/>
        </w:rPr>
        <w:t>火灾、爆炸事故</w:t>
      </w:r>
      <w:bookmarkStart w:id="564" w:name="_Hlk50492412"/>
      <w:r>
        <w:rPr>
          <w:color w:val="auto"/>
        </w:rPr>
        <w:t>防范、应急、减缓措施</w:t>
      </w:r>
      <w:bookmarkEnd w:id="564"/>
    </w:p>
    <w:p w14:paraId="2FB5499F">
      <w:pPr>
        <w:ind w:firstLine="480"/>
        <w:rPr>
          <w:color w:val="auto"/>
        </w:rPr>
      </w:pPr>
      <w:r>
        <w:rPr>
          <w:color w:val="auto"/>
        </w:rPr>
        <w:t>为了避免或减少火灾发生，</w:t>
      </w:r>
      <w:bookmarkStart w:id="565" w:name="_Hlk50541393"/>
      <w:r>
        <w:rPr>
          <w:color w:val="auto"/>
        </w:rPr>
        <w:t>在成品库、危废库等放有易燃或可燃物品车间四周每隔一定距离设置消防栓</w:t>
      </w:r>
      <w:bookmarkEnd w:id="565"/>
      <w:r>
        <w:rPr>
          <w:color w:val="auto"/>
        </w:rPr>
        <w:t>并与周围的厂房以及其他的存储装置保持一定的防火间距；消防用水储存于生产、消防高位水池中，并设有消防用水不被它用的技术设施，以保证用水安全。消防废水不能直接排放，须经监测处理达标后方可外排。对于消防要求高的车间，要设置自动喷水灭火系统，并配置报警、烟感、水流指示器等装置；同时在各车间内设置室内消火栓及灭火器，并在室内消火栓上设置报警阀。据事故级别疏散周边人员。</w:t>
      </w:r>
    </w:p>
    <w:p w14:paraId="58D6312D">
      <w:pPr>
        <w:pStyle w:val="5"/>
        <w:rPr>
          <w:color w:val="auto"/>
        </w:rPr>
      </w:pPr>
      <w:r>
        <w:rPr>
          <w:color w:val="auto"/>
        </w:rPr>
        <w:t>事故废水环境防范措施</w:t>
      </w:r>
    </w:p>
    <w:p w14:paraId="2C297213">
      <w:pPr>
        <w:ind w:firstLine="480"/>
        <w:rPr>
          <w:color w:val="auto"/>
        </w:rPr>
      </w:pPr>
      <w:r>
        <w:rPr>
          <w:rFonts w:hint="eastAsia"/>
          <w:color w:val="auto"/>
        </w:rPr>
        <w:t>(1)防止设备故障</w:t>
      </w:r>
    </w:p>
    <w:p w14:paraId="4D0A1DDD">
      <w:pPr>
        <w:ind w:firstLine="480"/>
        <w:rPr>
          <w:color w:val="auto"/>
        </w:rPr>
      </w:pPr>
      <w:r>
        <w:rPr>
          <w:rFonts w:hint="eastAsia"/>
          <w:color w:val="auto"/>
        </w:rPr>
        <w:t>污水处理站使用的机泵、阀门、电器及仪表等在运行中发生故障，将会导致废水处理操作事故。在运行期间，需要操作人员经常巡回检查，及时对这些设备进行维修保养，减少设备故障率，若万一故障发生时，对废水的处置，应启动系统缓冲和回流设备，将不合格出水重新处理后回用。</w:t>
      </w:r>
    </w:p>
    <w:p w14:paraId="182894C2">
      <w:pPr>
        <w:ind w:firstLine="480"/>
        <w:rPr>
          <w:color w:val="auto"/>
        </w:rPr>
      </w:pPr>
      <w:r>
        <w:rPr>
          <w:rFonts w:hint="eastAsia"/>
          <w:color w:val="auto"/>
        </w:rPr>
        <w:t>(2)废水处理应急措施</w:t>
      </w:r>
    </w:p>
    <w:p w14:paraId="67DF9869">
      <w:pPr>
        <w:ind w:firstLine="480"/>
        <w:rPr>
          <w:color w:val="auto"/>
        </w:rPr>
      </w:pPr>
      <w:r>
        <w:rPr>
          <w:rFonts w:hint="eastAsia"/>
          <w:color w:val="auto"/>
        </w:rPr>
        <w:t>为了防止废水处理过程中出现超标污水外排事故，以及采取有效手段进行事故应急处置，在本项目废水处理站的设计过程中，需注意以下几点:</w:t>
      </w:r>
    </w:p>
    <w:p w14:paraId="07E6EE5B">
      <w:pPr>
        <w:ind w:firstLine="480"/>
        <w:rPr>
          <w:color w:val="auto"/>
        </w:rPr>
      </w:pPr>
      <w:r>
        <w:rPr>
          <w:rFonts w:hint="eastAsia"/>
          <w:color w:val="auto"/>
        </w:rPr>
        <w:t>①提高事故缓冲能力：为了在事故状态下迅速恢复处理站的正常工作，应在主要水工构筑物的容积上留有相应的缓冲能力，并配有相当的处理设备(如回流泵、回流管道、阀门及仪表等)。本项目废水处理站在发生事故后，废水进入事故池中暂存，并立即对废水处理站进行停产检修。</w:t>
      </w:r>
    </w:p>
    <w:p w14:paraId="4152D65A">
      <w:pPr>
        <w:ind w:firstLine="480"/>
        <w:rPr>
          <w:color w:val="auto"/>
        </w:rPr>
      </w:pPr>
      <w:r>
        <w:rPr>
          <w:rFonts w:hint="eastAsia"/>
          <w:color w:val="auto"/>
        </w:rPr>
        <w:t>②在岗操作人员必须严格按处理站规章制度作业，定期巡检、调节保养及联系维修更换等。及时发现各种可能引起废水处理异常运行的苗头，并在有关人员配合下消除事故隐患。</w:t>
      </w:r>
    </w:p>
    <w:p w14:paraId="21F60480">
      <w:pPr>
        <w:ind w:firstLine="480"/>
        <w:rPr>
          <w:color w:val="auto"/>
        </w:rPr>
      </w:pPr>
      <w:r>
        <w:rPr>
          <w:rFonts w:hint="eastAsia"/>
          <w:color w:val="auto"/>
        </w:rPr>
        <w:t>③对于废水处理站主要工艺单元，必须确保流量、水质等自动分析监控仪器正常运行、并辅以定期人工取样测定。对于厂内外其它与废水处理有关的分析仪表讯号，必须与处理站数据作同步分析，以便操作人员参考及时进行操作调整。</w:t>
      </w:r>
    </w:p>
    <w:p w14:paraId="7617791D">
      <w:pPr>
        <w:ind w:firstLine="480"/>
        <w:rPr>
          <w:color w:val="auto"/>
        </w:rPr>
      </w:pPr>
      <w:r>
        <w:rPr>
          <w:rFonts w:hint="eastAsia"/>
          <w:color w:val="auto"/>
        </w:rPr>
        <w:t>④在制订生产计划和进行生产调度时，必须认真考虑废水处理站的实际状况，在处理站或生产过程出现异常时，便于协调采取相应处置措施。</w:t>
      </w:r>
    </w:p>
    <w:p w14:paraId="7D8E4CD6">
      <w:pPr>
        <w:ind w:firstLine="480"/>
        <w:rPr>
          <w:color w:val="auto"/>
        </w:rPr>
      </w:pPr>
      <w:r>
        <w:rPr>
          <w:rFonts w:hint="eastAsia"/>
          <w:color w:val="auto"/>
        </w:rPr>
        <w:t>⑤废水处理事故防范的原则是：未经处理达标的废水严禁外排。</w:t>
      </w:r>
    </w:p>
    <w:p w14:paraId="57269EF5">
      <w:pPr>
        <w:ind w:firstLine="480"/>
        <w:rPr>
          <w:color w:val="auto"/>
        </w:rPr>
      </w:pPr>
      <w:r>
        <w:rPr>
          <w:color w:val="auto"/>
        </w:rPr>
        <w:t>（</w:t>
      </w:r>
      <w:r>
        <w:rPr>
          <w:rFonts w:hint="eastAsia"/>
          <w:color w:val="auto"/>
        </w:rPr>
        <w:t>3）</w:t>
      </w:r>
      <w:r>
        <w:rPr>
          <w:color w:val="auto"/>
        </w:rPr>
        <w:t>三级风险防范措施</w:t>
      </w:r>
    </w:p>
    <w:p w14:paraId="7FAD0886">
      <w:pPr>
        <w:ind w:firstLine="480"/>
        <w:rPr>
          <w:color w:val="auto"/>
        </w:rPr>
      </w:pPr>
      <w:r>
        <w:rPr>
          <w:color w:val="auto"/>
        </w:rPr>
        <w:t>为避免项目事故废水进入外环境造成污染，项目设置三级风险防范措施：</w:t>
      </w:r>
    </w:p>
    <w:p w14:paraId="2C2CEF9F">
      <w:pPr>
        <w:ind w:firstLine="480"/>
        <w:rPr>
          <w:color w:val="auto"/>
        </w:rPr>
      </w:pPr>
      <w:r>
        <w:rPr>
          <w:rFonts w:hint="eastAsia"/>
          <w:color w:val="auto"/>
        </w:rPr>
        <w:t>①</w:t>
      </w:r>
      <w:r>
        <w:rPr>
          <w:color w:val="auto"/>
        </w:rPr>
        <w:t>一级风险防范措施——地沟</w:t>
      </w:r>
    </w:p>
    <w:p w14:paraId="52F172D0">
      <w:pPr>
        <w:ind w:firstLine="480"/>
        <w:rPr>
          <w:color w:val="auto"/>
        </w:rPr>
      </w:pPr>
      <w:r>
        <w:rPr>
          <w:rFonts w:hint="eastAsia"/>
          <w:color w:val="auto"/>
        </w:rPr>
        <w:t>项目各车间内建有地沟，地沟内设泵、管线与厂区事故应急池相连，可及时将废水导排至事故应急池；此外项目</w:t>
      </w:r>
      <w:r>
        <w:rPr>
          <w:color w:val="auto"/>
        </w:rPr>
        <w:t>车间内配备高效白水回收机，</w:t>
      </w:r>
      <w:r>
        <w:rPr>
          <w:rFonts w:hint="eastAsia"/>
          <w:color w:val="auto"/>
        </w:rPr>
        <w:t>当发生风险事故时，可关闭多圆盘白水回收处理系统废水外排系统，将事故废水全部截留在多圆盘白水回收处理系统及配套的储水池内。若车间发生泄漏事故，泄漏物料进入地沟，待事故妥善处理后将可回收部分进行回收利用，不可回收部分分批送至污水处理站进行处理后达标排放。</w:t>
      </w:r>
    </w:p>
    <w:p w14:paraId="13CE7D6B">
      <w:pPr>
        <w:ind w:firstLine="480"/>
        <w:rPr>
          <w:color w:val="auto"/>
        </w:rPr>
      </w:pPr>
      <w:r>
        <w:rPr>
          <w:rFonts w:hint="eastAsia"/>
          <w:color w:val="auto"/>
        </w:rPr>
        <w:t>②</w:t>
      </w:r>
      <w:r>
        <w:rPr>
          <w:color w:val="auto"/>
        </w:rPr>
        <w:t>二级风险防范措施——事故应急池</w:t>
      </w:r>
    </w:p>
    <w:p w14:paraId="73AE1BE7">
      <w:pPr>
        <w:ind w:firstLine="480"/>
        <w:rPr>
          <w:color w:val="auto"/>
        </w:rPr>
      </w:pPr>
      <w:r>
        <w:rPr>
          <w:color w:val="auto"/>
        </w:rPr>
        <w:t>事故池规模合理性见6.5.2水环境风险事故分析。正常情况下，应保证事故池内不能存放废水或其他水，降水时可能积聚的少量雨水应及时排空。</w:t>
      </w:r>
      <w:r>
        <w:rPr>
          <w:rFonts w:hint="eastAsia"/>
          <w:color w:val="auto"/>
        </w:rPr>
        <w:t>一般造纸企业生产设施发生泄漏的可能性较小，且事故发生后较易控制，可将风险控制在车间或厂区内；污水处理系统出现自身故障或由其他外部因素影响而发生故障的几率相对较大，若污水处理站发生事故，导致污水无法处理达标，可将该污水排入事故池中暂存。</w:t>
      </w:r>
    </w:p>
    <w:p w14:paraId="7971694C">
      <w:pPr>
        <w:ind w:firstLine="480"/>
        <w:rPr>
          <w:color w:val="auto"/>
        </w:rPr>
      </w:pPr>
      <w:r>
        <w:rPr>
          <w:rFonts w:hint="eastAsia" w:ascii="宋体" w:hAnsi="宋体" w:cs="宋体"/>
          <w:color w:val="auto"/>
        </w:rPr>
        <w:t>③</w:t>
      </w:r>
      <w:r>
        <w:rPr>
          <w:color w:val="auto"/>
        </w:rPr>
        <w:t>三级风险防范措施——雨水废水排口闸阀</w:t>
      </w:r>
    </w:p>
    <w:p w14:paraId="0EE17688">
      <w:pPr>
        <w:ind w:firstLine="480"/>
        <w:rPr>
          <w:color w:val="auto"/>
        </w:rPr>
      </w:pPr>
      <w:r>
        <w:rPr>
          <w:rFonts w:hint="eastAsia"/>
          <w:color w:val="auto"/>
        </w:rPr>
        <w:t>一般事故发生后，一级、二级风险防范措施即能够将事故控制在厂内，不会对地表水环境造成不良影响，但由于自然灾害等强烈不可抗力造成的危害则更加难以控制。项目在厂区雨水和废水排口设置闸阀，一旦由于自然灾害等强烈不可抗力造成物料或污水泄漏，停产后一级、二级风险防范措施未能全部储存物料或污水，或由于自然灾害等不可抗力因素造成事故池破裂，立即关闭闸阀，避免事故废水由雨水排口进入外环境，最大限度避免事故废水进入地表水体。</w:t>
      </w:r>
    </w:p>
    <w:p w14:paraId="7A8D04DD">
      <w:pPr>
        <w:pStyle w:val="5"/>
        <w:rPr>
          <w:color w:val="auto"/>
        </w:rPr>
      </w:pPr>
      <w:r>
        <w:rPr>
          <w:color w:val="auto"/>
        </w:rPr>
        <w:t>事故地下水风险防范措施</w:t>
      </w:r>
    </w:p>
    <w:p w14:paraId="0F007ABD">
      <w:pPr>
        <w:ind w:firstLine="480"/>
        <w:rPr>
          <w:color w:val="auto"/>
        </w:rPr>
      </w:pPr>
      <w:r>
        <w:rPr>
          <w:color w:val="auto"/>
        </w:rPr>
        <w:t>（1）污染源头控制措施</w:t>
      </w:r>
    </w:p>
    <w:p w14:paraId="2071603B">
      <w:pPr>
        <w:ind w:firstLine="480"/>
        <w:rPr>
          <w:color w:val="auto"/>
        </w:rPr>
      </w:pPr>
      <w:r>
        <w:rPr>
          <w:color w:val="auto"/>
        </w:rPr>
        <w:t>本项目选择先进、成熟、可靠的工艺技术，并对产生的废物进行合理的回用和治理，以尽可能从源头上减少污染物排放。主要包括在工艺、管道、设备、污水储存及处理构筑物上采取相应措施，防止和降低污染物跑、冒、滴、漏；尽量“可视化”，做到污染物“早发现、早处理”，防止泄漏污染物进一步污染地下水。为监控厂区地下水环境质量及项目对地下水环境的影响，须对地下水进行定期监测，地下水监测计划和监测点位详见＆环境管理与监测计划章节。</w:t>
      </w:r>
    </w:p>
    <w:p w14:paraId="38857A6C">
      <w:pPr>
        <w:ind w:firstLine="480"/>
        <w:rPr>
          <w:color w:val="auto"/>
        </w:rPr>
      </w:pPr>
      <w:r>
        <w:rPr>
          <w:color w:val="auto"/>
        </w:rPr>
        <w:t>（2）分区防渗措施</w:t>
      </w:r>
    </w:p>
    <w:p w14:paraId="73B6438B">
      <w:pPr>
        <w:ind w:firstLine="480"/>
        <w:rPr>
          <w:color w:val="auto"/>
        </w:rPr>
      </w:pPr>
      <w:r>
        <w:rPr>
          <w:rFonts w:hint="eastAsia"/>
          <w:color w:val="auto"/>
        </w:rPr>
        <w:t>项目</w:t>
      </w:r>
      <w:r>
        <w:rPr>
          <w:color w:val="auto"/>
        </w:rPr>
        <w:t>全厂地面、路面均需进行水泥硬化处理，</w:t>
      </w:r>
      <w:r>
        <w:rPr>
          <w:rFonts w:hint="eastAsia"/>
          <w:color w:val="auto"/>
        </w:rPr>
        <w:t>如新增建设的3#污水处理站、其他</w:t>
      </w:r>
      <w:r>
        <w:rPr>
          <w:color w:val="auto"/>
        </w:rPr>
        <w:t>生产区</w:t>
      </w:r>
      <w:r>
        <w:rPr>
          <w:rFonts w:hint="eastAsia"/>
          <w:color w:val="auto"/>
        </w:rPr>
        <w:t>等</w:t>
      </w:r>
      <w:r>
        <w:rPr>
          <w:color w:val="auto"/>
        </w:rPr>
        <w:t>还需采取专门的防腐防渗措施，防止废水或废液下渗污染地下水环境。通过在生产车间等污染区地面进行防渗处理，防止洒落地面的污染物渗入地下，并把滞留在地面的污染物收集起来，集中送至污水处理系统处理。对事故池、初期雨水收集池的内壁及底部利用平滑耐磨、抗冲击性较好的材料采取防渗、防腐蚀措施；污水的收集、储存和输送设施均采取防渗、防腐措施，并配备检修人员防毒设施。项目运营期间，要定期进行管道壁厚的测量，对严重管壁减薄的管段，及时维修更换。项目地下水环境风险防范措施详见</w:t>
      </w:r>
      <w:r>
        <w:rPr>
          <w:rFonts w:cs="Times New Roman"/>
          <w:color w:val="auto"/>
        </w:rPr>
        <w:t>＆</w:t>
      </w:r>
      <w:r>
        <w:rPr>
          <w:color w:val="auto"/>
        </w:rPr>
        <w:t>地下水污染防治措施章节</w:t>
      </w:r>
      <w:r>
        <w:rPr>
          <w:rFonts w:hint="eastAsia"/>
          <w:color w:val="auto"/>
        </w:rPr>
        <w:t>。</w:t>
      </w:r>
    </w:p>
    <w:p w14:paraId="324A222F">
      <w:pPr>
        <w:pStyle w:val="3"/>
        <w:rPr>
          <w:rFonts w:cs="Times New Roman"/>
          <w:color w:val="auto"/>
        </w:rPr>
      </w:pPr>
      <w:bookmarkStart w:id="566" w:name="_Toc225216853"/>
      <w:bookmarkStart w:id="567" w:name="_Toc221355742"/>
      <w:bookmarkStart w:id="568" w:name="_Toc16462"/>
      <w:r>
        <w:rPr>
          <w:rFonts w:cs="Times New Roman"/>
          <w:color w:val="auto"/>
        </w:rPr>
        <w:t>环境风险应急预案</w:t>
      </w:r>
      <w:bookmarkEnd w:id="566"/>
      <w:bookmarkEnd w:id="567"/>
      <w:bookmarkEnd w:id="568"/>
    </w:p>
    <w:p w14:paraId="610E341F">
      <w:pPr>
        <w:ind w:firstLine="480"/>
        <w:rPr>
          <w:rFonts w:cs="Times New Roman"/>
          <w:color w:val="auto"/>
        </w:rPr>
      </w:pPr>
      <w:r>
        <w:rPr>
          <w:rFonts w:hint="eastAsia" w:cs="Times New Roman"/>
          <w:color w:val="auto"/>
        </w:rPr>
        <w:t>广西金桂浆纸业有限公司</w:t>
      </w:r>
      <w:r>
        <w:rPr>
          <w:rFonts w:hint="eastAsia"/>
          <w:color w:val="auto"/>
        </w:rPr>
        <w:t>已于2024年2月编制完成突发环境事件应急预案并备案，，备案号为：4507</w:t>
      </w:r>
      <w:r>
        <w:rPr>
          <w:color w:val="auto"/>
        </w:rPr>
        <w:t>02-2024-00</w:t>
      </w:r>
      <w:r>
        <w:rPr>
          <w:rFonts w:hint="eastAsia"/>
          <w:color w:val="auto"/>
        </w:rPr>
        <w:t>21</w:t>
      </w:r>
      <w:r>
        <w:rPr>
          <w:color w:val="auto"/>
        </w:rPr>
        <w:t>-H</w:t>
      </w:r>
      <w:r>
        <w:rPr>
          <w:rFonts w:cs="Times New Roman"/>
          <w:color w:val="auto"/>
        </w:rPr>
        <w:t>。</w:t>
      </w:r>
    </w:p>
    <w:p w14:paraId="78F27B4D">
      <w:pPr>
        <w:ind w:firstLine="480"/>
        <w:rPr>
          <w:rFonts w:cs="Times New Roman"/>
          <w:color w:val="auto"/>
        </w:rPr>
      </w:pPr>
      <w:r>
        <w:rPr>
          <w:rFonts w:hint="eastAsia" w:cs="Times New Roman"/>
          <w:color w:val="auto"/>
        </w:rPr>
        <w:t>广西金桂浆纸业有限公司</w:t>
      </w:r>
      <w:r>
        <w:rPr>
          <w:rFonts w:cs="Times New Roman"/>
          <w:color w:val="auto"/>
        </w:rPr>
        <w:t>目前现有的风险防范措施和应急措施是可行的，可满足现有工程风险防范的要求。评价要求在项目建设完成后，及时对现有环境风险应急预案进行更新备案。与地方政府突发环境事件应急预案相衔接，明确分级响应程序，并充分利用区域安全、环境保护等资源，不断完善应急救援体系，确保应急预案具有针对性和可操作性。下文就环境风险应急预案编制总体框架进行综述。</w:t>
      </w:r>
    </w:p>
    <w:p w14:paraId="09712459">
      <w:pPr>
        <w:pStyle w:val="4"/>
        <w:rPr>
          <w:rFonts w:cs="Times New Roman"/>
          <w:color w:val="auto"/>
        </w:rPr>
      </w:pPr>
      <w:bookmarkStart w:id="569" w:name="_Toc225216854"/>
      <w:r>
        <w:rPr>
          <w:rFonts w:cs="Times New Roman"/>
          <w:color w:val="auto"/>
        </w:rPr>
        <w:t>应急预案体系</w:t>
      </w:r>
      <w:bookmarkEnd w:id="569"/>
    </w:p>
    <w:p w14:paraId="548C290C">
      <w:pPr>
        <w:ind w:firstLine="480"/>
        <w:rPr>
          <w:rFonts w:cs="Times New Roman"/>
          <w:color w:val="auto"/>
        </w:rPr>
      </w:pPr>
      <w:r>
        <w:rPr>
          <w:rFonts w:cs="Times New Roman"/>
          <w:color w:val="auto"/>
        </w:rPr>
        <w:t>本预案由应急预案、现场处置方案、附件附图等三级文件体系构成。</w:t>
      </w:r>
    </w:p>
    <w:p w14:paraId="200F8C79">
      <w:pPr>
        <w:ind w:firstLine="480"/>
        <w:rPr>
          <w:rFonts w:cs="Times New Roman"/>
          <w:color w:val="auto"/>
        </w:rPr>
      </w:pPr>
      <w:r>
        <w:rPr>
          <w:rFonts w:cs="Times New Roman"/>
          <w:color w:val="auto"/>
        </w:rPr>
        <w:t>（1）应急预案</w:t>
      </w:r>
    </w:p>
    <w:p w14:paraId="0F8CD301">
      <w:pPr>
        <w:ind w:firstLine="480"/>
        <w:rPr>
          <w:rFonts w:cs="Times New Roman"/>
          <w:color w:val="auto"/>
        </w:rPr>
      </w:pPr>
      <w:r>
        <w:rPr>
          <w:rFonts w:cs="Times New Roman"/>
          <w:color w:val="auto"/>
        </w:rPr>
        <w:t>应急预案是从总体上阐述处理事故的应急方针、政策，应急组织结构及相关应急职责，应急行动、措施和保障等基本要求和程序，是应对各类事故的综合性文件。</w:t>
      </w:r>
    </w:p>
    <w:p w14:paraId="2887870F">
      <w:pPr>
        <w:ind w:firstLine="480"/>
        <w:rPr>
          <w:rFonts w:cs="Times New Roman"/>
          <w:color w:val="auto"/>
        </w:rPr>
      </w:pPr>
      <w:r>
        <w:rPr>
          <w:rFonts w:cs="Times New Roman"/>
          <w:color w:val="auto"/>
        </w:rPr>
        <w:t>（2）现场处置方案</w:t>
      </w:r>
    </w:p>
    <w:p w14:paraId="72551F0A">
      <w:pPr>
        <w:ind w:firstLine="480"/>
        <w:rPr>
          <w:rFonts w:cs="Times New Roman"/>
          <w:color w:val="auto"/>
        </w:rPr>
      </w:pPr>
      <w:r>
        <w:rPr>
          <w:rFonts w:cs="Times New Roman"/>
          <w:color w:val="auto"/>
        </w:rPr>
        <w:t>现场处置方案是针对具体的装置、场所或设施、岗位所制定的应急处置措施，明确救援人员、处置程序。具有具体、简单、针对性强等特点。</w:t>
      </w:r>
    </w:p>
    <w:p w14:paraId="4694C59B">
      <w:pPr>
        <w:ind w:firstLine="480"/>
        <w:rPr>
          <w:rFonts w:cs="Times New Roman"/>
          <w:color w:val="auto"/>
        </w:rPr>
      </w:pPr>
      <w:r>
        <w:rPr>
          <w:rFonts w:cs="Times New Roman"/>
          <w:color w:val="auto"/>
        </w:rPr>
        <w:t>（3）附件、附图</w:t>
      </w:r>
    </w:p>
    <w:p w14:paraId="546DB8A1">
      <w:pPr>
        <w:ind w:firstLine="480"/>
        <w:rPr>
          <w:rFonts w:cs="Times New Roman"/>
          <w:color w:val="auto"/>
        </w:rPr>
      </w:pPr>
      <w:r>
        <w:rPr>
          <w:rFonts w:cs="Times New Roman"/>
          <w:color w:val="auto"/>
        </w:rPr>
        <w:t>作为应急预案的必要部分，主要包括应急部门、机构的联络方式；重要应急物资装备；关键的路线、标识和图纸等。</w:t>
      </w:r>
    </w:p>
    <w:p w14:paraId="1050D2DB">
      <w:pPr>
        <w:ind w:firstLine="480"/>
        <w:rPr>
          <w:rFonts w:cs="Times New Roman"/>
          <w:color w:val="auto"/>
        </w:rPr>
      </w:pPr>
      <w:r>
        <w:rPr>
          <w:rFonts w:cs="Times New Roman"/>
          <w:color w:val="auto"/>
        </w:rPr>
        <w:t>本预案与《钦州市突发环境事件应急预案》相衔接。</w:t>
      </w:r>
    </w:p>
    <w:p w14:paraId="07B5D149">
      <w:pPr>
        <w:ind w:firstLine="480"/>
        <w:rPr>
          <w:rFonts w:cs="Times New Roman"/>
          <w:color w:val="auto"/>
        </w:rPr>
      </w:pPr>
      <w:r>
        <w:rPr>
          <w:rFonts w:cs="Times New Roman"/>
          <w:color w:val="auto"/>
        </w:rPr>
        <w:t>通常情况下，当企业发生火灾、未严格遵守安全生产规程导致人员高空坠落、机械损伤、中毒、触电等以本企业范围内的安全生产及人员生命财产安全影响为主时，应当启用本企业《生产安全事故应急预案》；当企业发生火灾、爆炸、有毒有害化学品泄漏、污染物超标排放等可能对企业外部环境造成影响时，应当启用本企业《突发环境事件应急预案》；当企业发生某种特定的风险事故，如危险化学品储罐、高浓度生产废水池等特定风险事故，且已编制对应的专项应急预案的，应当启用本企业相应的《专项应急预案》；当各种风险事故综合发生，且企业已编制综合应急预案的，应当启用本企业的《综合应急预案》。</w:t>
      </w:r>
    </w:p>
    <w:p w14:paraId="652A9A0F">
      <w:pPr>
        <w:ind w:firstLine="480"/>
        <w:rPr>
          <w:rFonts w:cs="Times New Roman"/>
          <w:color w:val="auto"/>
        </w:rPr>
      </w:pPr>
      <w:r>
        <w:rPr>
          <w:rFonts w:cs="Times New Roman"/>
          <w:color w:val="auto"/>
        </w:rPr>
        <w:t>各应急预案的应急组织机构、人员、救援保障措施、应急培训计划、公众教育及风险防范措施应做好充分衔接，做到界限清晰又相互配合、协调有力。</w:t>
      </w:r>
    </w:p>
    <w:p w14:paraId="2E6528A9">
      <w:pPr>
        <w:pStyle w:val="4"/>
        <w:rPr>
          <w:rFonts w:cs="Times New Roman"/>
          <w:color w:val="auto"/>
        </w:rPr>
      </w:pPr>
      <w:bookmarkStart w:id="570" w:name="_Toc225216855"/>
      <w:r>
        <w:rPr>
          <w:rFonts w:cs="Times New Roman"/>
          <w:color w:val="auto"/>
        </w:rPr>
        <w:t>应急响应</w:t>
      </w:r>
      <w:bookmarkEnd w:id="570"/>
    </w:p>
    <w:p w14:paraId="79D5B4DB">
      <w:pPr>
        <w:ind w:firstLine="480"/>
        <w:rPr>
          <w:rFonts w:cs="Times New Roman"/>
          <w:color w:val="auto"/>
        </w:rPr>
      </w:pPr>
      <w:r>
        <w:rPr>
          <w:rFonts w:cs="Times New Roman"/>
          <w:color w:val="auto"/>
        </w:rPr>
        <w:t>事故响应按照分级负责的原则，根据事故危害、影响范围和控制事态的能力，本预案应急响应分为四级应急响应：</w:t>
      </w:r>
    </w:p>
    <w:p w14:paraId="1688311E">
      <w:pPr>
        <w:ind w:firstLine="480"/>
        <w:rPr>
          <w:rFonts w:cs="Times New Roman"/>
          <w:color w:val="auto"/>
        </w:rPr>
      </w:pPr>
      <w:r>
        <w:rPr>
          <w:rFonts w:cs="Times New Roman"/>
          <w:color w:val="auto"/>
        </w:rPr>
        <w:t>①可能造成特别重大事件启动红色响应级别：Ⅰ级响应；</w:t>
      </w:r>
    </w:p>
    <w:p w14:paraId="01D1139C">
      <w:pPr>
        <w:ind w:firstLine="480"/>
        <w:rPr>
          <w:rFonts w:cs="Times New Roman"/>
          <w:color w:val="auto"/>
        </w:rPr>
      </w:pPr>
      <w:r>
        <w:rPr>
          <w:rFonts w:cs="Times New Roman"/>
          <w:color w:val="auto"/>
        </w:rPr>
        <w:t>②可能造成重大事件启动橙色响应级别：Ⅱ级响应；</w:t>
      </w:r>
    </w:p>
    <w:p w14:paraId="4CE9F4A1">
      <w:pPr>
        <w:ind w:firstLine="480"/>
        <w:rPr>
          <w:rFonts w:cs="Times New Roman"/>
          <w:color w:val="auto"/>
        </w:rPr>
      </w:pPr>
      <w:r>
        <w:rPr>
          <w:rFonts w:cs="Times New Roman"/>
          <w:color w:val="auto"/>
        </w:rPr>
        <w:t>③可能造成较大和一般事件启动黄色响应级别：Ⅲ级响应；</w:t>
      </w:r>
    </w:p>
    <w:p w14:paraId="465A9DBB">
      <w:pPr>
        <w:ind w:firstLine="480"/>
        <w:rPr>
          <w:rFonts w:cs="Times New Roman"/>
          <w:color w:val="auto"/>
        </w:rPr>
      </w:pPr>
      <w:r>
        <w:rPr>
          <w:rFonts w:cs="Times New Roman"/>
          <w:color w:val="auto"/>
        </w:rPr>
        <w:t xml:space="preserve">④不会对企业外部造成环境影响的，启动蓝色响应级别：Ⅳ级响应。 </w:t>
      </w:r>
    </w:p>
    <w:p w14:paraId="1D61E63A">
      <w:pPr>
        <w:ind w:firstLine="480"/>
        <w:rPr>
          <w:rFonts w:cs="Times New Roman"/>
          <w:color w:val="auto"/>
        </w:rPr>
      </w:pPr>
      <w:r>
        <w:rPr>
          <w:rFonts w:cs="Times New Roman"/>
          <w:color w:val="auto"/>
        </w:rPr>
        <w:t>突发环境事件响应分级标准对照表如下：</w:t>
      </w:r>
    </w:p>
    <w:p w14:paraId="4FCA09FF">
      <w:pPr>
        <w:pStyle w:val="7"/>
        <w:rPr>
          <w:color w:val="auto"/>
        </w:rPr>
      </w:pPr>
      <w:r>
        <w:rPr>
          <w:color w:val="auto"/>
        </w:rPr>
        <w:t>突发环境事件响应分级标准对照表</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7"/>
        <w:gridCol w:w="2258"/>
        <w:gridCol w:w="2258"/>
        <w:gridCol w:w="2258"/>
      </w:tblGrid>
      <w:tr w14:paraId="75A0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8" w:hRule="atLeast"/>
          <w:jc w:val="center"/>
        </w:trPr>
        <w:tc>
          <w:tcPr>
            <w:tcW w:w="2257" w:type="dxa"/>
            <w:tcBorders>
              <w:top w:val="single" w:color="auto" w:sz="4" w:space="0"/>
              <w:left w:val="single" w:color="auto" w:sz="4" w:space="0"/>
              <w:bottom w:val="single" w:color="auto" w:sz="4" w:space="0"/>
              <w:right w:val="single" w:color="auto" w:sz="4" w:space="0"/>
            </w:tcBorders>
            <w:vAlign w:val="center"/>
          </w:tcPr>
          <w:p w14:paraId="14EE6E0E">
            <w:pPr>
              <w:spacing w:line="240" w:lineRule="auto"/>
              <w:ind w:firstLine="0" w:firstLineChars="0"/>
              <w:jc w:val="center"/>
              <w:rPr>
                <w:rFonts w:cs="Times New Roman"/>
                <w:b/>
                <w:color w:val="auto"/>
                <w:sz w:val="21"/>
                <w:szCs w:val="21"/>
              </w:rPr>
            </w:pPr>
            <w:r>
              <w:rPr>
                <w:rFonts w:cs="Times New Roman"/>
                <w:b/>
                <w:color w:val="auto"/>
                <w:sz w:val="21"/>
                <w:szCs w:val="21"/>
              </w:rPr>
              <w:t>出现下列事故之一，启动Ⅰ级响应</w:t>
            </w:r>
          </w:p>
        </w:tc>
        <w:tc>
          <w:tcPr>
            <w:tcW w:w="2258" w:type="dxa"/>
            <w:tcBorders>
              <w:top w:val="single" w:color="auto" w:sz="4" w:space="0"/>
              <w:left w:val="single" w:color="auto" w:sz="4" w:space="0"/>
              <w:bottom w:val="single" w:color="auto" w:sz="4" w:space="0"/>
              <w:right w:val="single" w:color="auto" w:sz="4" w:space="0"/>
            </w:tcBorders>
            <w:vAlign w:val="center"/>
          </w:tcPr>
          <w:p w14:paraId="1A00D093">
            <w:pPr>
              <w:spacing w:line="240" w:lineRule="auto"/>
              <w:ind w:firstLine="0" w:firstLineChars="0"/>
              <w:jc w:val="center"/>
              <w:rPr>
                <w:rFonts w:cs="Times New Roman"/>
                <w:b/>
                <w:color w:val="auto"/>
                <w:sz w:val="21"/>
                <w:szCs w:val="21"/>
              </w:rPr>
            </w:pPr>
            <w:r>
              <w:rPr>
                <w:rFonts w:cs="Times New Roman"/>
                <w:b/>
                <w:color w:val="auto"/>
                <w:sz w:val="21"/>
                <w:szCs w:val="21"/>
              </w:rPr>
              <w:t>出现下列事故之一，启动Ⅱ级响应</w:t>
            </w:r>
          </w:p>
        </w:tc>
        <w:tc>
          <w:tcPr>
            <w:tcW w:w="2258" w:type="dxa"/>
            <w:tcBorders>
              <w:top w:val="single" w:color="auto" w:sz="4" w:space="0"/>
              <w:left w:val="single" w:color="auto" w:sz="4" w:space="0"/>
              <w:bottom w:val="single" w:color="auto" w:sz="4" w:space="0"/>
              <w:right w:val="single" w:color="auto" w:sz="4" w:space="0"/>
            </w:tcBorders>
            <w:vAlign w:val="center"/>
          </w:tcPr>
          <w:p w14:paraId="2C4E67CD">
            <w:pPr>
              <w:spacing w:line="240" w:lineRule="auto"/>
              <w:ind w:firstLine="0" w:firstLineChars="0"/>
              <w:jc w:val="center"/>
              <w:rPr>
                <w:rFonts w:cs="Times New Roman"/>
                <w:b/>
                <w:color w:val="auto"/>
                <w:sz w:val="21"/>
                <w:szCs w:val="21"/>
              </w:rPr>
            </w:pPr>
            <w:r>
              <w:rPr>
                <w:rFonts w:cs="Times New Roman"/>
                <w:b/>
                <w:color w:val="auto"/>
                <w:sz w:val="21"/>
                <w:szCs w:val="21"/>
              </w:rPr>
              <w:t>出现下列事故之一，启动Ⅲ级响应</w:t>
            </w:r>
          </w:p>
        </w:tc>
        <w:tc>
          <w:tcPr>
            <w:tcW w:w="2258" w:type="dxa"/>
            <w:tcBorders>
              <w:top w:val="single" w:color="auto" w:sz="4" w:space="0"/>
              <w:left w:val="single" w:color="auto" w:sz="4" w:space="0"/>
              <w:bottom w:val="single" w:color="auto" w:sz="4" w:space="0"/>
              <w:right w:val="single" w:color="auto" w:sz="4" w:space="0"/>
            </w:tcBorders>
            <w:vAlign w:val="center"/>
          </w:tcPr>
          <w:p w14:paraId="56F0F97D">
            <w:pPr>
              <w:spacing w:line="240" w:lineRule="auto"/>
              <w:ind w:firstLine="0" w:firstLineChars="0"/>
              <w:jc w:val="center"/>
              <w:rPr>
                <w:rFonts w:cs="Times New Roman"/>
                <w:b/>
                <w:color w:val="auto"/>
                <w:sz w:val="21"/>
                <w:szCs w:val="21"/>
              </w:rPr>
            </w:pPr>
            <w:r>
              <w:rPr>
                <w:rFonts w:cs="Times New Roman"/>
                <w:b/>
                <w:color w:val="auto"/>
                <w:sz w:val="21"/>
                <w:szCs w:val="21"/>
              </w:rPr>
              <w:t>出现下列事故之一，启动Ⅳ级响应</w:t>
            </w:r>
          </w:p>
        </w:tc>
      </w:tr>
      <w:tr w14:paraId="53331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257" w:type="dxa"/>
            <w:tcBorders>
              <w:top w:val="single" w:color="auto" w:sz="4" w:space="0"/>
              <w:left w:val="single" w:color="auto" w:sz="4" w:space="0"/>
              <w:bottom w:val="single" w:color="auto" w:sz="4" w:space="0"/>
              <w:right w:val="single" w:color="auto" w:sz="4" w:space="0"/>
            </w:tcBorders>
            <w:vAlign w:val="center"/>
          </w:tcPr>
          <w:p w14:paraId="1AB86844">
            <w:pPr>
              <w:spacing w:line="240" w:lineRule="auto"/>
              <w:ind w:firstLine="0" w:firstLineChars="0"/>
              <w:jc w:val="center"/>
              <w:rPr>
                <w:rFonts w:cs="Times New Roman"/>
                <w:color w:val="auto"/>
                <w:sz w:val="21"/>
                <w:szCs w:val="21"/>
              </w:rPr>
            </w:pPr>
            <w:r>
              <w:rPr>
                <w:rFonts w:cs="Times New Roman"/>
                <w:color w:val="auto"/>
                <w:sz w:val="21"/>
                <w:szCs w:val="21"/>
              </w:rPr>
              <w:t>特大事故</w:t>
            </w:r>
          </w:p>
        </w:tc>
        <w:tc>
          <w:tcPr>
            <w:tcW w:w="2258" w:type="dxa"/>
            <w:tcBorders>
              <w:top w:val="single" w:color="auto" w:sz="4" w:space="0"/>
              <w:left w:val="single" w:color="auto" w:sz="4" w:space="0"/>
              <w:bottom w:val="single" w:color="auto" w:sz="4" w:space="0"/>
              <w:right w:val="single" w:color="auto" w:sz="4" w:space="0"/>
            </w:tcBorders>
            <w:vAlign w:val="center"/>
          </w:tcPr>
          <w:p w14:paraId="2F84B3F9">
            <w:pPr>
              <w:spacing w:line="240" w:lineRule="auto"/>
              <w:ind w:firstLine="0" w:firstLineChars="0"/>
              <w:jc w:val="center"/>
              <w:rPr>
                <w:rFonts w:cs="Times New Roman"/>
                <w:color w:val="auto"/>
                <w:sz w:val="21"/>
                <w:szCs w:val="21"/>
              </w:rPr>
            </w:pPr>
            <w:r>
              <w:rPr>
                <w:rFonts w:cs="Times New Roman"/>
                <w:color w:val="auto"/>
                <w:sz w:val="21"/>
                <w:szCs w:val="21"/>
              </w:rPr>
              <w:t>重大事故</w:t>
            </w:r>
          </w:p>
        </w:tc>
        <w:tc>
          <w:tcPr>
            <w:tcW w:w="2258" w:type="dxa"/>
            <w:tcBorders>
              <w:top w:val="single" w:color="auto" w:sz="4" w:space="0"/>
              <w:left w:val="single" w:color="auto" w:sz="4" w:space="0"/>
              <w:bottom w:val="single" w:color="auto" w:sz="4" w:space="0"/>
              <w:right w:val="single" w:color="auto" w:sz="4" w:space="0"/>
            </w:tcBorders>
            <w:vAlign w:val="center"/>
          </w:tcPr>
          <w:p w14:paraId="10F924F0">
            <w:pPr>
              <w:spacing w:line="240" w:lineRule="auto"/>
              <w:ind w:firstLine="0" w:firstLineChars="0"/>
              <w:jc w:val="center"/>
              <w:rPr>
                <w:rFonts w:cs="Times New Roman"/>
                <w:color w:val="auto"/>
                <w:sz w:val="21"/>
                <w:szCs w:val="21"/>
              </w:rPr>
            </w:pPr>
            <w:r>
              <w:rPr>
                <w:rFonts w:cs="Times New Roman"/>
                <w:color w:val="auto"/>
                <w:sz w:val="21"/>
                <w:szCs w:val="21"/>
              </w:rPr>
              <w:t>较大事故</w:t>
            </w:r>
          </w:p>
        </w:tc>
        <w:tc>
          <w:tcPr>
            <w:tcW w:w="2258" w:type="dxa"/>
            <w:tcBorders>
              <w:top w:val="single" w:color="auto" w:sz="4" w:space="0"/>
              <w:left w:val="single" w:color="auto" w:sz="4" w:space="0"/>
              <w:bottom w:val="single" w:color="auto" w:sz="4" w:space="0"/>
              <w:right w:val="single" w:color="auto" w:sz="4" w:space="0"/>
            </w:tcBorders>
            <w:vAlign w:val="center"/>
          </w:tcPr>
          <w:p w14:paraId="410AB79F">
            <w:pPr>
              <w:spacing w:line="240" w:lineRule="auto"/>
              <w:ind w:firstLine="0" w:firstLineChars="0"/>
              <w:jc w:val="center"/>
              <w:rPr>
                <w:rFonts w:cs="Times New Roman"/>
                <w:color w:val="auto"/>
                <w:sz w:val="21"/>
                <w:szCs w:val="21"/>
              </w:rPr>
            </w:pPr>
            <w:r>
              <w:rPr>
                <w:rFonts w:cs="Times New Roman"/>
                <w:color w:val="auto"/>
                <w:sz w:val="21"/>
                <w:szCs w:val="21"/>
              </w:rPr>
              <w:t>一般事故</w:t>
            </w:r>
          </w:p>
        </w:tc>
      </w:tr>
      <w:tr w14:paraId="720A0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2257" w:type="dxa"/>
            <w:tcBorders>
              <w:top w:val="single" w:color="auto" w:sz="4" w:space="0"/>
              <w:left w:val="single" w:color="auto" w:sz="4" w:space="0"/>
              <w:bottom w:val="single" w:color="auto" w:sz="4" w:space="0"/>
              <w:right w:val="single" w:color="auto" w:sz="4" w:space="0"/>
            </w:tcBorders>
            <w:vAlign w:val="center"/>
          </w:tcPr>
          <w:p w14:paraId="6B02E0A0">
            <w:pPr>
              <w:spacing w:line="240" w:lineRule="auto"/>
              <w:ind w:firstLine="0" w:firstLineChars="0"/>
              <w:jc w:val="center"/>
              <w:rPr>
                <w:rFonts w:cs="Times New Roman"/>
                <w:color w:val="auto"/>
                <w:sz w:val="21"/>
                <w:szCs w:val="21"/>
              </w:rPr>
            </w:pPr>
            <w:r>
              <w:rPr>
                <w:rFonts w:cs="Times New Roman"/>
                <w:color w:val="auto"/>
                <w:sz w:val="21"/>
                <w:szCs w:val="21"/>
              </w:rPr>
              <w:t>启动上级政府部门应急预案</w:t>
            </w:r>
          </w:p>
        </w:tc>
        <w:tc>
          <w:tcPr>
            <w:tcW w:w="2258" w:type="dxa"/>
            <w:tcBorders>
              <w:top w:val="single" w:color="auto" w:sz="4" w:space="0"/>
              <w:left w:val="single" w:color="auto" w:sz="4" w:space="0"/>
              <w:bottom w:val="single" w:color="auto" w:sz="4" w:space="0"/>
              <w:right w:val="single" w:color="auto" w:sz="4" w:space="0"/>
            </w:tcBorders>
            <w:vAlign w:val="center"/>
          </w:tcPr>
          <w:p w14:paraId="687051DC">
            <w:pPr>
              <w:spacing w:line="240" w:lineRule="auto"/>
              <w:ind w:firstLine="0" w:firstLineChars="0"/>
              <w:jc w:val="center"/>
              <w:rPr>
                <w:rFonts w:cs="Times New Roman"/>
                <w:color w:val="auto"/>
                <w:sz w:val="21"/>
                <w:szCs w:val="21"/>
              </w:rPr>
            </w:pPr>
            <w:r>
              <w:rPr>
                <w:rFonts w:cs="Times New Roman"/>
                <w:color w:val="auto"/>
                <w:sz w:val="21"/>
                <w:szCs w:val="21"/>
              </w:rPr>
              <w:t>启动上级政府部门应急预案</w:t>
            </w:r>
          </w:p>
        </w:tc>
        <w:tc>
          <w:tcPr>
            <w:tcW w:w="2258" w:type="dxa"/>
            <w:tcBorders>
              <w:top w:val="single" w:color="auto" w:sz="4" w:space="0"/>
              <w:left w:val="single" w:color="auto" w:sz="4" w:space="0"/>
              <w:bottom w:val="single" w:color="auto" w:sz="4" w:space="0"/>
              <w:right w:val="single" w:color="auto" w:sz="4" w:space="0"/>
            </w:tcBorders>
            <w:vAlign w:val="center"/>
          </w:tcPr>
          <w:p w14:paraId="380148F4">
            <w:pPr>
              <w:spacing w:line="240" w:lineRule="auto"/>
              <w:ind w:firstLine="0" w:firstLineChars="0"/>
              <w:jc w:val="center"/>
              <w:rPr>
                <w:rFonts w:cs="Times New Roman"/>
                <w:color w:val="auto"/>
                <w:sz w:val="21"/>
                <w:szCs w:val="21"/>
              </w:rPr>
            </w:pPr>
            <w:r>
              <w:rPr>
                <w:rFonts w:cs="Times New Roman"/>
                <w:color w:val="auto"/>
                <w:sz w:val="21"/>
                <w:szCs w:val="21"/>
              </w:rPr>
              <w:t>启动公司级应急预案</w:t>
            </w:r>
          </w:p>
        </w:tc>
        <w:tc>
          <w:tcPr>
            <w:tcW w:w="2258" w:type="dxa"/>
            <w:tcBorders>
              <w:top w:val="single" w:color="auto" w:sz="4" w:space="0"/>
              <w:left w:val="single" w:color="auto" w:sz="4" w:space="0"/>
              <w:bottom w:val="single" w:color="auto" w:sz="4" w:space="0"/>
              <w:right w:val="single" w:color="auto" w:sz="4" w:space="0"/>
            </w:tcBorders>
            <w:vAlign w:val="center"/>
          </w:tcPr>
          <w:p w14:paraId="24587EED">
            <w:pPr>
              <w:spacing w:line="240" w:lineRule="auto"/>
              <w:ind w:firstLine="0" w:firstLineChars="0"/>
              <w:jc w:val="center"/>
              <w:rPr>
                <w:rFonts w:cs="Times New Roman"/>
                <w:color w:val="auto"/>
                <w:sz w:val="21"/>
                <w:szCs w:val="21"/>
              </w:rPr>
            </w:pPr>
            <w:r>
              <w:rPr>
                <w:rFonts w:cs="Times New Roman"/>
                <w:color w:val="auto"/>
                <w:sz w:val="21"/>
                <w:szCs w:val="21"/>
              </w:rPr>
              <w:t>启动公司级现场处置方案</w:t>
            </w:r>
          </w:p>
        </w:tc>
      </w:tr>
      <w:tr w14:paraId="513C5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257" w:type="dxa"/>
            <w:tcBorders>
              <w:top w:val="single" w:color="auto" w:sz="4" w:space="0"/>
              <w:left w:val="single" w:color="auto" w:sz="4" w:space="0"/>
              <w:bottom w:val="single" w:color="auto" w:sz="4" w:space="0"/>
              <w:right w:val="single" w:color="auto" w:sz="4" w:space="0"/>
            </w:tcBorders>
            <w:vAlign w:val="center"/>
          </w:tcPr>
          <w:p w14:paraId="067F68FD">
            <w:pPr>
              <w:spacing w:line="240" w:lineRule="auto"/>
              <w:ind w:firstLine="0" w:firstLineChars="0"/>
              <w:jc w:val="center"/>
              <w:rPr>
                <w:rFonts w:cs="Times New Roman"/>
                <w:color w:val="auto"/>
                <w:sz w:val="21"/>
                <w:szCs w:val="21"/>
              </w:rPr>
            </w:pPr>
            <w:r>
              <w:rPr>
                <w:rFonts w:cs="Times New Roman"/>
                <w:color w:val="auto"/>
                <w:sz w:val="21"/>
                <w:szCs w:val="21"/>
              </w:rPr>
              <w:t>政府部门应急救援指挥部响应的事故</w:t>
            </w:r>
          </w:p>
        </w:tc>
        <w:tc>
          <w:tcPr>
            <w:tcW w:w="2258" w:type="dxa"/>
            <w:tcBorders>
              <w:top w:val="single" w:color="auto" w:sz="4" w:space="0"/>
              <w:left w:val="single" w:color="auto" w:sz="4" w:space="0"/>
              <w:bottom w:val="single" w:color="auto" w:sz="4" w:space="0"/>
              <w:right w:val="single" w:color="auto" w:sz="4" w:space="0"/>
            </w:tcBorders>
            <w:vAlign w:val="center"/>
          </w:tcPr>
          <w:p w14:paraId="60EB6B14">
            <w:pPr>
              <w:spacing w:line="240" w:lineRule="auto"/>
              <w:ind w:firstLine="0" w:firstLineChars="0"/>
              <w:jc w:val="center"/>
              <w:rPr>
                <w:rFonts w:cs="Times New Roman"/>
                <w:color w:val="auto"/>
                <w:sz w:val="21"/>
                <w:szCs w:val="21"/>
              </w:rPr>
            </w:pPr>
            <w:r>
              <w:rPr>
                <w:rFonts w:cs="Times New Roman"/>
                <w:color w:val="auto"/>
                <w:sz w:val="21"/>
                <w:szCs w:val="21"/>
              </w:rPr>
              <w:t>政府部门应急救援指挥部响应的事故</w:t>
            </w:r>
          </w:p>
        </w:tc>
        <w:tc>
          <w:tcPr>
            <w:tcW w:w="2258" w:type="dxa"/>
            <w:tcBorders>
              <w:top w:val="single" w:color="auto" w:sz="4" w:space="0"/>
              <w:left w:val="single" w:color="auto" w:sz="4" w:space="0"/>
              <w:bottom w:val="single" w:color="auto" w:sz="4" w:space="0"/>
              <w:right w:val="single" w:color="auto" w:sz="4" w:space="0"/>
            </w:tcBorders>
            <w:vAlign w:val="center"/>
          </w:tcPr>
          <w:p w14:paraId="4277CECF">
            <w:pPr>
              <w:spacing w:line="240" w:lineRule="auto"/>
              <w:ind w:firstLine="0" w:firstLineChars="0"/>
              <w:jc w:val="center"/>
              <w:rPr>
                <w:rFonts w:cs="Times New Roman"/>
                <w:color w:val="auto"/>
                <w:sz w:val="21"/>
                <w:szCs w:val="21"/>
              </w:rPr>
            </w:pPr>
            <w:r>
              <w:rPr>
                <w:rFonts w:cs="Times New Roman"/>
                <w:color w:val="auto"/>
                <w:sz w:val="21"/>
                <w:szCs w:val="21"/>
              </w:rPr>
              <w:t>公司应急救援指挥部响应的事故</w:t>
            </w:r>
          </w:p>
        </w:tc>
        <w:tc>
          <w:tcPr>
            <w:tcW w:w="2258" w:type="dxa"/>
            <w:tcBorders>
              <w:top w:val="single" w:color="auto" w:sz="4" w:space="0"/>
              <w:left w:val="single" w:color="auto" w:sz="4" w:space="0"/>
              <w:bottom w:val="single" w:color="auto" w:sz="4" w:space="0"/>
              <w:right w:val="single" w:color="auto" w:sz="4" w:space="0"/>
            </w:tcBorders>
            <w:vAlign w:val="center"/>
          </w:tcPr>
          <w:p w14:paraId="0945AE4C">
            <w:pPr>
              <w:spacing w:line="240" w:lineRule="auto"/>
              <w:ind w:firstLine="0" w:firstLineChars="0"/>
              <w:jc w:val="center"/>
              <w:rPr>
                <w:rFonts w:cs="Times New Roman"/>
                <w:color w:val="auto"/>
                <w:sz w:val="21"/>
                <w:szCs w:val="21"/>
              </w:rPr>
            </w:pPr>
            <w:r>
              <w:rPr>
                <w:rFonts w:cs="Times New Roman"/>
                <w:color w:val="auto"/>
                <w:sz w:val="21"/>
                <w:szCs w:val="21"/>
              </w:rPr>
              <w:t>公司应急救援指挥部响应的事故</w:t>
            </w:r>
          </w:p>
        </w:tc>
      </w:tr>
    </w:tbl>
    <w:p w14:paraId="13ECD992">
      <w:pPr>
        <w:ind w:firstLine="480"/>
        <w:rPr>
          <w:rFonts w:cs="Times New Roman"/>
          <w:color w:val="auto"/>
        </w:rPr>
      </w:pPr>
      <w:r>
        <w:rPr>
          <w:rFonts w:cs="Times New Roman"/>
          <w:color w:val="auto"/>
        </w:rPr>
        <w:t>（1）本预案的响应程序内容如下：</w:t>
      </w:r>
    </w:p>
    <w:p w14:paraId="0063628D">
      <w:pPr>
        <w:ind w:firstLine="480"/>
        <w:rPr>
          <w:rFonts w:cs="Times New Roman"/>
          <w:color w:val="auto"/>
        </w:rPr>
      </w:pPr>
      <w:r>
        <w:rPr>
          <w:rFonts w:cs="Times New Roman"/>
          <w:color w:val="auto"/>
        </w:rPr>
        <w:t>事故发生后，发生事故的班组应根据事故类别，立即启动现场处置方案，并判定预警级别是否超过蓝色预警，若超过蓝色预警，则上报应急指挥部，并请求启动黄色响应。</w:t>
      </w:r>
    </w:p>
    <w:p w14:paraId="7FC86AA6">
      <w:pPr>
        <w:ind w:firstLine="480"/>
        <w:rPr>
          <w:rFonts w:cs="Times New Roman"/>
          <w:color w:val="auto"/>
        </w:rPr>
      </w:pPr>
      <w:r>
        <w:rPr>
          <w:rFonts w:cs="Times New Roman"/>
          <w:color w:val="auto"/>
        </w:rPr>
        <w:t>应急指挥部接到报告后，应立即判定预警级别，若预警级别超过黄色预警，应急指挥部立即启动橙色应急预案，并报告上一级应急指挥部。</w:t>
      </w:r>
    </w:p>
    <w:p w14:paraId="46B061AF">
      <w:pPr>
        <w:ind w:firstLine="480"/>
        <w:rPr>
          <w:rFonts w:cs="Times New Roman"/>
          <w:color w:val="auto"/>
        </w:rPr>
      </w:pPr>
      <w:r>
        <w:rPr>
          <w:rFonts w:cs="Times New Roman"/>
          <w:color w:val="auto"/>
        </w:rPr>
        <w:t>启动橙色预警应急预案后，若事故不能有效控制，或者有扩大、发展趋势，或者影响到周边企业时，一旦预警级别超过橙色预警时，则由总指挥启动红色预警应急响应并请求应急指挥中心给予支援。上级应急救援队伍未到达前，总指挥负责指挥应急救援行动，上级应急指挥中心救援队伍到达后，总指挥负责向其负责人交代现场情况，服从上级应急指挥中心救援队伍的指挥。</w:t>
      </w:r>
    </w:p>
    <w:p w14:paraId="77A056B4">
      <w:pPr>
        <w:ind w:firstLine="480"/>
        <w:rPr>
          <w:rFonts w:cs="Times New Roman"/>
          <w:color w:val="auto"/>
        </w:rPr>
      </w:pPr>
      <w:r>
        <w:rPr>
          <w:rFonts w:cs="Times New Roman"/>
          <w:color w:val="auto"/>
        </w:rPr>
        <w:t>若上级应急指挥中心预警指挥部在判断事故大小后，决定不予以支援时，应由公司总指挥继续指挥应急救援行动。</w:t>
      </w:r>
    </w:p>
    <w:p w14:paraId="5D2B3951">
      <w:pPr>
        <w:ind w:firstLine="480"/>
        <w:rPr>
          <w:rFonts w:cs="Times New Roman"/>
          <w:color w:val="auto"/>
        </w:rPr>
      </w:pPr>
      <w:r>
        <w:rPr>
          <w:rFonts w:cs="Times New Roman"/>
          <w:color w:val="auto"/>
        </w:rPr>
        <w:t>（2）在尚未确定响应级别，实施分级响应之前，由公司应急指挥办公室联系当地政府，按照预警处置的要求，根据实际情况进行先期处置。</w:t>
      </w:r>
    </w:p>
    <w:p w14:paraId="5E42B110">
      <w:pPr>
        <w:ind w:firstLine="480"/>
        <w:rPr>
          <w:rFonts w:cs="Times New Roman"/>
          <w:color w:val="auto"/>
        </w:rPr>
      </w:pPr>
      <w:r>
        <w:rPr>
          <w:rFonts w:cs="Times New Roman"/>
          <w:color w:val="auto"/>
        </w:rPr>
        <w:t>（3）公司应急办公室接到Ⅰ级、Ⅱ级、Ⅲ级、Ⅳ级响应所规定的事故报告后，立即上报公司应急救援指挥部，经指挥长批准同意后，由指挥长宣布启动公司应急救援预案（包括相关专业分预案），并立即通知各小组全体成员进入应急状态，组织实施应急救援工作。公司应急救援指挥部应及时向县、市、省应急救援机构报告。</w:t>
      </w:r>
    </w:p>
    <w:p w14:paraId="3F8FAE72">
      <w:pPr>
        <w:ind w:firstLine="480"/>
        <w:rPr>
          <w:rFonts w:cs="Times New Roman"/>
          <w:color w:val="auto"/>
        </w:rPr>
      </w:pPr>
      <w:r>
        <w:rPr>
          <w:rFonts w:cs="Times New Roman"/>
          <w:color w:val="auto"/>
        </w:rPr>
        <w:t>突发环境事件应急响应流程见图。</w:t>
      </w:r>
    </w:p>
    <w:p w14:paraId="06241A05">
      <w:pPr>
        <w:ind w:firstLine="480"/>
        <w:jc w:val="center"/>
        <w:rPr>
          <w:rFonts w:cs="Times New Roman"/>
          <w:color w:val="auto"/>
        </w:rPr>
      </w:pPr>
      <w:r>
        <w:rPr>
          <w:rFonts w:cs="Times New Roman"/>
          <w:color w:val="auto"/>
        </w:rPr>
        <w:drawing>
          <wp:inline distT="0" distB="0" distL="0" distR="0">
            <wp:extent cx="4249420" cy="5035550"/>
            <wp:effectExtent l="0" t="0" r="17780" b="12700"/>
            <wp:docPr id="138" name="图片 5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52" descr="图示&#10;&#10;AI 生成的内容可能不正确。"/>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4249420" cy="5035550"/>
                    </a:xfrm>
                    <a:prstGeom prst="rect">
                      <a:avLst/>
                    </a:prstGeom>
                    <a:noFill/>
                  </pic:spPr>
                </pic:pic>
              </a:graphicData>
            </a:graphic>
          </wp:inline>
        </w:drawing>
      </w:r>
    </w:p>
    <w:p w14:paraId="3206D3AF">
      <w:pPr>
        <w:pStyle w:val="8"/>
        <w:rPr>
          <w:rFonts w:eastAsia="宋体" w:cs="Times New Roman"/>
          <w:color w:val="auto"/>
        </w:rPr>
      </w:pPr>
      <w:r>
        <w:rPr>
          <w:rFonts w:eastAsia="宋体" w:cs="Times New Roman"/>
          <w:color w:val="auto"/>
        </w:rPr>
        <w:t>响应处理流程图</w:t>
      </w:r>
    </w:p>
    <w:p w14:paraId="4AF3BE4F">
      <w:pPr>
        <w:ind w:firstLine="480"/>
        <w:rPr>
          <w:rFonts w:cs="Times New Roman"/>
          <w:color w:val="auto"/>
        </w:rPr>
      </w:pPr>
      <w:r>
        <w:rPr>
          <w:rFonts w:cs="Times New Roman"/>
          <w:color w:val="auto"/>
        </w:rPr>
        <w:t>根据企业突发环境事件发生的级别不同，确定不同级别的现场负责人，进行指挥应急救援和人员疏散安置等工作。</w:t>
      </w:r>
    </w:p>
    <w:p w14:paraId="03D8BF75">
      <w:pPr>
        <w:ind w:firstLine="452"/>
        <w:rPr>
          <w:color w:val="auto"/>
        </w:rPr>
      </w:pPr>
      <w:r>
        <w:rPr>
          <w:rFonts w:hint="eastAsia"/>
          <w:color w:val="auto"/>
          <w:spacing w:val="-7"/>
        </w:rPr>
        <w:t>当发生一般性危险物质泄漏、大气污染物事故排放、火灾爆炸等事故时，</w:t>
      </w:r>
      <w:r>
        <w:rPr>
          <w:rFonts w:hint="eastAsia"/>
          <w:color w:val="auto"/>
          <w:spacing w:val="-8"/>
        </w:rPr>
        <w:t xml:space="preserve"> 厂</w:t>
      </w:r>
      <w:r>
        <w:rPr>
          <w:rFonts w:hint="eastAsia"/>
          <w:color w:val="auto"/>
        </w:rPr>
        <w:t>内非应急工作人员迅速沿厂内主干道、向远离事故发生源的方向做应急疏散，</w:t>
      </w:r>
      <w:r>
        <w:rPr>
          <w:rFonts w:hint="eastAsia"/>
          <w:color w:val="auto"/>
          <w:spacing w:val="-48"/>
        </w:rPr>
        <w:t xml:space="preserve"> </w:t>
      </w:r>
      <w:r>
        <w:rPr>
          <w:rFonts w:hint="eastAsia"/>
          <w:color w:val="auto"/>
        </w:rPr>
        <w:t>事</w:t>
      </w:r>
      <w:r>
        <w:rPr>
          <w:rFonts w:hint="eastAsia"/>
          <w:color w:val="auto"/>
          <w:spacing w:val="-3"/>
        </w:rPr>
        <w:t>故相对不严重时可疏散至各应急疏散聚集点，事故相对严重时疏散至临时应急安</w:t>
      </w:r>
      <w:r>
        <w:rPr>
          <w:rFonts w:hint="eastAsia"/>
          <w:color w:val="auto"/>
        </w:rPr>
        <w:t>置场所。当发生较为重大的环境风险事故，</w:t>
      </w:r>
      <w:r>
        <w:rPr>
          <w:rFonts w:hint="eastAsia"/>
          <w:color w:val="auto"/>
          <w:spacing w:val="-47"/>
        </w:rPr>
        <w:t xml:space="preserve"> </w:t>
      </w:r>
      <w:r>
        <w:rPr>
          <w:rFonts w:hint="eastAsia"/>
          <w:color w:val="auto"/>
        </w:rPr>
        <w:t>厂内非应急工作人员迅速沿厂内主干</w:t>
      </w:r>
      <w:r>
        <w:rPr>
          <w:rFonts w:hint="eastAsia"/>
          <w:color w:val="auto"/>
          <w:spacing w:val="-6"/>
        </w:rPr>
        <w:t>道、向远离事故发生源的方向做应急疏散， 快速就近地从厂区大</w:t>
      </w:r>
      <w:r>
        <w:rPr>
          <w:rFonts w:hint="eastAsia"/>
          <w:color w:val="auto"/>
          <w:spacing w:val="-7"/>
        </w:rPr>
        <w:t>门走出厂区，沿</w:t>
      </w:r>
      <w:r>
        <w:rPr>
          <w:rFonts w:hint="eastAsia"/>
          <w:color w:val="auto"/>
          <w:spacing w:val="-3"/>
        </w:rPr>
        <w:t>厂外道路向上风向或侧风向疏散。</w:t>
      </w:r>
    </w:p>
    <w:p w14:paraId="2D35AE6B">
      <w:pPr>
        <w:ind w:firstLine="480"/>
        <w:rPr>
          <w:color w:val="auto"/>
        </w:rPr>
      </w:pPr>
      <w:r>
        <w:rPr>
          <w:rFonts w:hint="eastAsia"/>
          <w:color w:val="auto"/>
        </w:rPr>
        <w:t>本</w:t>
      </w:r>
      <w:r>
        <w:rPr>
          <w:color w:val="auto"/>
        </w:rPr>
        <w:t>项目</w:t>
      </w:r>
      <w:r>
        <w:rPr>
          <w:rFonts w:hint="eastAsia"/>
          <w:color w:val="auto"/>
        </w:rPr>
        <w:t>为在现有厂区内进行建设的工程，不新征土地，结合现有工程和本项目的厂区总平面布置，厂区的</w:t>
      </w:r>
      <w:r>
        <w:rPr>
          <w:color w:val="auto"/>
        </w:rPr>
        <w:t>应急疏散通道、安置场所位置见</w:t>
      </w:r>
      <w:r>
        <w:rPr>
          <w:rFonts w:hint="eastAsia"/>
          <w:color w:val="auto"/>
        </w:rPr>
        <w:t>下图</w:t>
      </w:r>
      <w:r>
        <w:rPr>
          <w:color w:val="auto"/>
        </w:rPr>
        <w:t>。</w:t>
      </w:r>
    </w:p>
    <w:p w14:paraId="7F70FA36">
      <w:pPr>
        <w:ind w:firstLine="480"/>
        <w:rPr>
          <w:color w:val="auto"/>
        </w:rPr>
      </w:pPr>
    </w:p>
    <w:p w14:paraId="569AF9E3">
      <w:pPr>
        <w:ind w:firstLine="480"/>
        <w:rPr>
          <w:rFonts w:cs="宋体"/>
          <w:color w:val="auto"/>
        </w:rPr>
        <w:sectPr>
          <w:pgSz w:w="11907" w:h="16839"/>
          <w:pgMar w:top="1263" w:right="1593" w:bottom="1276" w:left="1770" w:header="819" w:footer="943" w:gutter="0"/>
          <w:cols w:space="720" w:num="1"/>
        </w:sectPr>
      </w:pPr>
    </w:p>
    <w:p w14:paraId="10B6F85A">
      <w:pPr>
        <w:ind w:firstLine="480"/>
        <w:rPr>
          <w:color w:val="auto"/>
        </w:rPr>
      </w:pPr>
      <w:r>
        <w:rPr>
          <w:color w:val="auto"/>
        </w:rPr>
        <w:drawing>
          <wp:inline distT="0" distB="0" distL="0" distR="0">
            <wp:extent cx="5239385" cy="6931025"/>
            <wp:effectExtent l="0" t="0" r="0" b="3175"/>
            <wp:docPr id="1" name="图片 1" descr="C:\Users\Administrator\AppData\Local\Temp\ksohtml1012\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Local\Temp\ksohtml1012\wps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239385" cy="6931025"/>
                    </a:xfrm>
                    <a:prstGeom prst="rect">
                      <a:avLst/>
                    </a:prstGeom>
                    <a:noFill/>
                    <a:ln>
                      <a:noFill/>
                    </a:ln>
                  </pic:spPr>
                </pic:pic>
              </a:graphicData>
            </a:graphic>
          </wp:inline>
        </w:drawing>
      </w:r>
      <w:r>
        <w:rPr>
          <w:color w:val="auto"/>
        </w:rPr>
        <w:t xml:space="preserve"> </w:t>
      </w:r>
    </w:p>
    <w:p w14:paraId="56624480">
      <w:pPr>
        <w:pStyle w:val="8"/>
        <w:rPr>
          <w:color w:val="auto"/>
        </w:rPr>
      </w:pPr>
      <w:r>
        <w:rPr>
          <w:rFonts w:eastAsia="宋体" w:cs="Times New Roman"/>
          <w:color w:val="auto"/>
        </w:rPr>
        <w:t>项目厂区应急疏散路线及安置场所示意图</w:t>
      </w:r>
    </w:p>
    <w:p w14:paraId="12EAB7FF">
      <w:pPr>
        <w:pStyle w:val="4"/>
        <w:rPr>
          <w:rFonts w:cs="Times New Roman"/>
          <w:color w:val="auto"/>
        </w:rPr>
      </w:pPr>
      <w:bookmarkStart w:id="571" w:name="_Toc225216856"/>
      <w:r>
        <w:rPr>
          <w:rFonts w:cs="Times New Roman"/>
          <w:color w:val="auto"/>
        </w:rPr>
        <w:t>环境风险源监控</w:t>
      </w:r>
      <w:bookmarkEnd w:id="571"/>
    </w:p>
    <w:p w14:paraId="51A16EC7">
      <w:pPr>
        <w:ind w:firstLine="480"/>
        <w:rPr>
          <w:rFonts w:cs="Times New Roman"/>
          <w:color w:val="auto"/>
        </w:rPr>
      </w:pPr>
      <w:r>
        <w:rPr>
          <w:rFonts w:hint="eastAsia" w:cs="Times New Roman"/>
          <w:color w:val="auto"/>
        </w:rPr>
        <w:t>广西金桂浆纸业有限公司</w:t>
      </w:r>
      <w:r>
        <w:rPr>
          <w:rFonts w:cs="Times New Roman"/>
          <w:color w:val="auto"/>
        </w:rPr>
        <w:t>厂内现有工程环境突发事故应急预案已根据其生产工艺流程的实际情况设置风险源监控，本次针对新增项目也应充分利用现有技术条件和采用新技术，不断改善劳动条件和作业环境，消除生产过程中的危险、危害因素，通过对事故开展风险评估，做到早发现、早处理，控制危险、危害因素，对各类危险源加强日常检查或监控，及时消除隐患，有效地预防各类环境突发事故的发生。</w:t>
      </w:r>
    </w:p>
    <w:p w14:paraId="3923AA86">
      <w:pPr>
        <w:ind w:firstLine="480"/>
        <w:rPr>
          <w:rFonts w:cs="Times New Roman"/>
          <w:color w:val="auto"/>
        </w:rPr>
      </w:pPr>
      <w:r>
        <w:rPr>
          <w:rFonts w:cs="Times New Roman"/>
          <w:color w:val="auto"/>
        </w:rPr>
        <w:t>危害因素的技术措施和管理措施是预防事故发生的一个非常重要的对策。它主要包括：</w:t>
      </w:r>
    </w:p>
    <w:p w14:paraId="2851B58A">
      <w:pPr>
        <w:ind w:firstLine="480"/>
        <w:rPr>
          <w:rFonts w:cs="Times New Roman"/>
          <w:color w:val="auto"/>
        </w:rPr>
      </w:pPr>
      <w:r>
        <w:rPr>
          <w:rFonts w:cs="Times New Roman"/>
          <w:color w:val="auto"/>
        </w:rPr>
        <w:t>1）改进生产工艺过程，实行机械化作业、减轻劳动强度，消除人身伤害危险；</w:t>
      </w:r>
    </w:p>
    <w:p w14:paraId="61AE4752">
      <w:pPr>
        <w:ind w:firstLine="480"/>
        <w:rPr>
          <w:rFonts w:cs="Times New Roman"/>
          <w:color w:val="auto"/>
        </w:rPr>
      </w:pPr>
      <w:r>
        <w:rPr>
          <w:rFonts w:cs="Times New Roman"/>
          <w:color w:val="auto"/>
        </w:rPr>
        <w:t>2）设置安全装置。如防护装置、信号装置、危险警示标志；</w:t>
      </w:r>
    </w:p>
    <w:p w14:paraId="75F30CF9">
      <w:pPr>
        <w:ind w:firstLine="480"/>
        <w:rPr>
          <w:rFonts w:cs="Times New Roman"/>
          <w:color w:val="auto"/>
        </w:rPr>
      </w:pPr>
      <w:r>
        <w:rPr>
          <w:rFonts w:cs="Times New Roman"/>
          <w:color w:val="auto"/>
        </w:rPr>
        <w:t>3）电气安全使用，防触电、防电气火灾爆炸和防静电伤人等；</w:t>
      </w:r>
    </w:p>
    <w:p w14:paraId="084593C9">
      <w:pPr>
        <w:ind w:firstLine="480"/>
        <w:rPr>
          <w:rFonts w:cs="Times New Roman"/>
          <w:color w:val="auto"/>
        </w:rPr>
      </w:pPr>
      <w:r>
        <w:rPr>
          <w:rFonts w:cs="Times New Roman"/>
          <w:color w:val="auto"/>
        </w:rPr>
        <w:t>4）机械设备的维护保养和维修，确保安全运行；</w:t>
      </w:r>
    </w:p>
    <w:p w14:paraId="70434C13">
      <w:pPr>
        <w:ind w:firstLine="480"/>
        <w:rPr>
          <w:rFonts w:cs="Times New Roman"/>
          <w:color w:val="auto"/>
        </w:rPr>
      </w:pPr>
      <w:r>
        <w:rPr>
          <w:rFonts w:cs="Times New Roman"/>
          <w:color w:val="auto"/>
        </w:rPr>
        <w:t>5）作业环境的布置和整洁，如作业场所的岩石稳定性、光线照明度、空气质量等；</w:t>
      </w:r>
    </w:p>
    <w:p w14:paraId="60CA6EBC">
      <w:pPr>
        <w:ind w:firstLine="480"/>
        <w:rPr>
          <w:rFonts w:cs="Times New Roman"/>
          <w:color w:val="auto"/>
        </w:rPr>
      </w:pPr>
      <w:r>
        <w:rPr>
          <w:rFonts w:cs="Times New Roman"/>
          <w:color w:val="auto"/>
        </w:rPr>
        <w:t>6）个人劳动防护用品的配备和穿戴，必须根据防护的危险、危害因素和危险、危害作业类别配备具有相应防护功能的个人劳动防护用品。</w:t>
      </w:r>
    </w:p>
    <w:p w14:paraId="5107099F">
      <w:pPr>
        <w:pStyle w:val="3"/>
        <w:rPr>
          <w:rFonts w:cs="Times New Roman"/>
          <w:color w:val="auto"/>
        </w:rPr>
      </w:pPr>
      <w:bookmarkStart w:id="572" w:name="_Toc221355743"/>
      <w:bookmarkStart w:id="573" w:name="_Toc225216857"/>
      <w:bookmarkStart w:id="574" w:name="_Toc27178"/>
      <w:r>
        <w:rPr>
          <w:rFonts w:cs="Times New Roman"/>
          <w:color w:val="auto"/>
        </w:rPr>
        <w:t>现有风险防范措施和应急预案可行性分析</w:t>
      </w:r>
      <w:bookmarkEnd w:id="572"/>
      <w:bookmarkEnd w:id="573"/>
      <w:bookmarkEnd w:id="574"/>
    </w:p>
    <w:p w14:paraId="1609051C">
      <w:pPr>
        <w:ind w:firstLine="480"/>
        <w:rPr>
          <w:rFonts w:cs="Times New Roman"/>
          <w:color w:val="auto"/>
        </w:rPr>
      </w:pPr>
      <w:r>
        <w:rPr>
          <w:rFonts w:hint="eastAsia" w:cs="Times New Roman"/>
          <w:color w:val="auto"/>
        </w:rPr>
        <w:t>广西金桂浆纸业有限公司</w:t>
      </w:r>
      <w:r>
        <w:rPr>
          <w:rFonts w:cs="Times New Roman"/>
          <w:color w:val="auto"/>
        </w:rPr>
        <w:t>目前具有完善的防范污染物进入大气的预防措施，装置区均进行了防渗处理，具有足够的事故废水分流、储存和处理能力，制定了环境监测计划并配备相应的监测能力，制定了各级装置的应急预案。</w:t>
      </w:r>
    </w:p>
    <w:p w14:paraId="7315CFAC">
      <w:pPr>
        <w:ind w:firstLine="480"/>
        <w:rPr>
          <w:rFonts w:cs="Times New Roman"/>
          <w:color w:val="auto"/>
        </w:rPr>
      </w:pPr>
      <w:r>
        <w:rPr>
          <w:rFonts w:hint="eastAsia" w:cs="Times New Roman"/>
          <w:color w:val="auto"/>
        </w:rPr>
        <w:t>广西金桂浆纸业有限公司</w:t>
      </w:r>
      <w:r>
        <w:rPr>
          <w:rFonts w:cs="Times New Roman"/>
          <w:color w:val="auto"/>
        </w:rPr>
        <w:t>有严格的安全管理制度，从建厂至今没有发生过重大的火灾、爆炸、泄漏事故。该公司对厂内每套装置均进行了安全预评价，并且进行了安全验收评价。现有项目投产以来未发生环境风险事故。</w:t>
      </w:r>
    </w:p>
    <w:p w14:paraId="26CCE4C9">
      <w:pPr>
        <w:ind w:firstLine="480"/>
        <w:rPr>
          <w:rFonts w:cs="Times New Roman"/>
          <w:color w:val="auto"/>
        </w:rPr>
      </w:pPr>
      <w:r>
        <w:rPr>
          <w:rFonts w:cs="Times New Roman"/>
          <w:color w:val="auto"/>
        </w:rPr>
        <w:t>综上所述，</w:t>
      </w:r>
      <w:r>
        <w:rPr>
          <w:rFonts w:hint="eastAsia" w:cs="Times New Roman"/>
          <w:color w:val="auto"/>
        </w:rPr>
        <w:t>广西金桂浆纸业有限公司</w:t>
      </w:r>
      <w:r>
        <w:rPr>
          <w:rFonts w:cs="Times New Roman"/>
          <w:color w:val="auto"/>
        </w:rPr>
        <w:t>目前现有的风险防范措施和应急措施是可行的，可满足现有工程风险防范的要求。评价要求在项目建设完成后，及时对现有环境风险应急预案进行更新备案。与地方政府</w:t>
      </w:r>
      <w:r>
        <w:rPr>
          <w:rFonts w:hint="eastAsia" w:cs="Times New Roman"/>
          <w:color w:val="auto"/>
        </w:rPr>
        <w:t>及工业园区的</w:t>
      </w:r>
      <w:r>
        <w:rPr>
          <w:rFonts w:cs="Times New Roman"/>
          <w:color w:val="auto"/>
        </w:rPr>
        <w:t>突发环境事件应急预案相衔接，明确分级响应程序，并充分利用区域安全、环境保护等资源，不断完善应急救援体系，确保应急预案具有针对性和可操作性</w:t>
      </w:r>
      <w:r>
        <w:rPr>
          <w:rFonts w:hint="eastAsia" w:cs="Times New Roman"/>
          <w:color w:val="auto"/>
        </w:rPr>
        <w:t>。</w:t>
      </w:r>
    </w:p>
    <w:p w14:paraId="1D71AAB2">
      <w:pPr>
        <w:pStyle w:val="3"/>
        <w:rPr>
          <w:rFonts w:cs="Times New Roman"/>
          <w:color w:val="auto"/>
        </w:rPr>
      </w:pPr>
      <w:bookmarkStart w:id="575" w:name="_Toc3326"/>
      <w:bookmarkStart w:id="576" w:name="_Toc225216858"/>
      <w:bookmarkStart w:id="577" w:name="_Toc221355744"/>
      <w:r>
        <w:rPr>
          <w:rFonts w:cs="Times New Roman"/>
          <w:color w:val="auto"/>
        </w:rPr>
        <w:t>与区域风险应急救援预案的联动</w:t>
      </w:r>
      <w:bookmarkEnd w:id="575"/>
      <w:bookmarkEnd w:id="576"/>
      <w:bookmarkEnd w:id="577"/>
    </w:p>
    <w:p w14:paraId="2CAE2091">
      <w:pPr>
        <w:ind w:firstLine="480"/>
        <w:rPr>
          <w:rFonts w:cs="Times New Roman"/>
          <w:color w:val="auto"/>
        </w:rPr>
      </w:pPr>
      <w:r>
        <w:rPr>
          <w:rFonts w:cs="Times New Roman"/>
          <w:color w:val="auto"/>
        </w:rPr>
        <w:t>项目的应急预案与《钦州石化产业园区突发环境事件应急预案》、《钦州市突发环境事件应急预案》相衔接，增加事故救援能力。主要包括应急组织机构、人员的衔接，预案分级响应的衔接，应急救援保障的衔接，应急培训计划的衔接，公众教育的衔接，风险防范措施的衔接。为了确保</w:t>
      </w:r>
      <w:r>
        <w:rPr>
          <w:rFonts w:hint="eastAsia" w:cs="Times New Roman"/>
          <w:color w:val="auto"/>
        </w:rPr>
        <w:t>广西金桂浆纸业有限公司</w:t>
      </w:r>
      <w:r>
        <w:rPr>
          <w:rFonts w:cs="Times New Roman"/>
          <w:color w:val="auto"/>
        </w:rPr>
        <w:t>发生突发环境污染事件时能够得到有效处置，</w:t>
      </w:r>
      <w:r>
        <w:rPr>
          <w:rFonts w:hint="eastAsia" w:cs="Times New Roman"/>
          <w:color w:val="auto"/>
        </w:rPr>
        <w:t>广西金桂浆纸业有限公司</w:t>
      </w:r>
      <w:r>
        <w:rPr>
          <w:rFonts w:cs="Times New Roman"/>
          <w:color w:val="auto"/>
        </w:rPr>
        <w:t>应与钦州市人民政府和生态环境局等部门取得联系，获得相应应急保障支持。当发生风险事故时，公司应及时承担起与当地区域或各职能管理部门的应急指挥机构的联系工作，及时将事故发生情况及最新进展向有关部门汇报，并将上级指挥机构的命令及时向公司应急指挥小组汇报；编制环境污染事故报告，并将报告向上级部门汇报。</w:t>
      </w:r>
    </w:p>
    <w:p w14:paraId="2F243378">
      <w:pPr>
        <w:pStyle w:val="3"/>
        <w:rPr>
          <w:rFonts w:cs="Times New Roman"/>
          <w:color w:val="auto"/>
        </w:rPr>
      </w:pPr>
      <w:bookmarkStart w:id="578" w:name="_Toc225216859"/>
      <w:bookmarkStart w:id="579" w:name="_Toc221355745"/>
      <w:bookmarkStart w:id="580" w:name="_Toc14015"/>
      <w:r>
        <w:rPr>
          <w:rFonts w:cs="Times New Roman"/>
          <w:color w:val="auto"/>
        </w:rPr>
        <w:t>评价结论与建议</w:t>
      </w:r>
      <w:bookmarkEnd w:id="578"/>
      <w:bookmarkEnd w:id="579"/>
      <w:bookmarkEnd w:id="580"/>
    </w:p>
    <w:p w14:paraId="1AD73F70">
      <w:pPr>
        <w:ind w:firstLine="480"/>
        <w:rPr>
          <w:color w:val="auto"/>
        </w:rPr>
      </w:pPr>
      <w:r>
        <w:rPr>
          <w:color w:val="auto"/>
        </w:rPr>
        <w:t>1、结论</w:t>
      </w:r>
    </w:p>
    <w:p w14:paraId="4EA9720B">
      <w:pPr>
        <w:ind w:firstLine="480"/>
        <w:rPr>
          <w:color w:val="auto"/>
        </w:rPr>
      </w:pPr>
      <w:r>
        <w:rPr>
          <w:color w:val="auto"/>
        </w:rPr>
        <w:t>通过认真落实各类风险防范措施、事故应急对策措施，加强员工的安全教育，风险事故发生概率较小。通过加强管理、采取风险防范措施、应急救援措施等可将对环境的影响降到最低，环境风险可防可控。</w:t>
      </w:r>
    </w:p>
    <w:p w14:paraId="5588FF57">
      <w:pPr>
        <w:ind w:firstLine="480"/>
        <w:rPr>
          <w:color w:val="auto"/>
        </w:rPr>
      </w:pPr>
      <w:r>
        <w:rPr>
          <w:color w:val="auto"/>
        </w:rPr>
        <w:t>2、建议</w:t>
      </w:r>
    </w:p>
    <w:p w14:paraId="03B8834D">
      <w:pPr>
        <w:ind w:firstLine="480"/>
        <w:rPr>
          <w:color w:val="auto"/>
        </w:rPr>
      </w:pPr>
      <w:r>
        <w:rPr>
          <w:color w:val="auto"/>
        </w:rPr>
        <w:t>（1）建议建设单位编制应急预案。</w:t>
      </w:r>
    </w:p>
    <w:p w14:paraId="5891DA84">
      <w:pPr>
        <w:ind w:firstLine="480"/>
        <w:rPr>
          <w:color w:val="auto"/>
        </w:rPr>
      </w:pPr>
      <w:r>
        <w:rPr>
          <w:color w:val="auto"/>
        </w:rPr>
        <w:t>（2）应在后续的设计、建设和运行过程中，严格按照国家、行业和地方的法律法规和相关标准、规范的要求，健全、完善、落实和保持公司风险源的安全控制措施和设施。</w:t>
      </w:r>
    </w:p>
    <w:p w14:paraId="6E78E6F9">
      <w:pPr>
        <w:ind w:firstLine="439" w:firstLineChars="183"/>
        <w:rPr>
          <w:color w:val="auto"/>
        </w:rPr>
      </w:pPr>
      <w:r>
        <w:rPr>
          <w:color w:val="auto"/>
        </w:rPr>
        <w:t>（3）建立、完善和落实事故预防措施和应急预案，进一步提高公司设备的安全水平，保障人员和财产的安全，将环境风险降低到合理可行的最低水平上。</w:t>
      </w:r>
    </w:p>
    <w:p w14:paraId="2F41C350">
      <w:pPr>
        <w:ind w:firstLine="439" w:firstLineChars="183"/>
        <w:rPr>
          <w:color w:val="auto"/>
        </w:rPr>
      </w:pPr>
      <w:r>
        <w:rPr>
          <w:color w:val="auto"/>
        </w:rPr>
        <w:t>（4）按照“企业自救、属地为主、分级响应、区域联动”的原则，制定企业突发环境事故应急预案，并实现与地方政府或相关管理部门突发环境事故应急预案的有效衔接。</w:t>
      </w:r>
    </w:p>
    <w:p w14:paraId="08EE9A6D">
      <w:pPr>
        <w:ind w:firstLine="439" w:firstLineChars="183"/>
        <w:rPr>
          <w:color w:val="auto"/>
        </w:rPr>
      </w:pPr>
      <w:r>
        <w:rPr>
          <w:color w:val="auto"/>
        </w:rPr>
        <w:t>（5）建设单位安全环保部等工作人员对公司各级领导和员工进行相应的各级《环境风险事故应急预案》进行宣传和培训，并定期组织演练。</w:t>
      </w:r>
    </w:p>
    <w:p w14:paraId="44A6EA37">
      <w:pPr>
        <w:ind w:firstLine="480"/>
        <w:rPr>
          <w:color w:val="auto"/>
        </w:rPr>
      </w:pPr>
      <w:r>
        <w:rPr>
          <w:color w:val="auto"/>
        </w:rPr>
        <w:t>（6）建设单位必须高度重视，做到风险防范警钟常鸣，环境安全管理常抓不懈；严格落实各项风险防范措施，不断完善风险管理体系。</w:t>
      </w:r>
    </w:p>
    <w:p w14:paraId="527416AC">
      <w:pPr>
        <w:pStyle w:val="7"/>
        <w:rPr>
          <w:color w:val="auto"/>
        </w:rPr>
      </w:pPr>
      <w:r>
        <w:rPr>
          <w:rFonts w:hint="eastAsia"/>
          <w:color w:val="auto"/>
        </w:rPr>
        <w:t>建设项目环境风险简单分析内容表</w:t>
      </w:r>
    </w:p>
    <w:tbl>
      <w:tblPr>
        <w:tblStyle w:val="26"/>
        <w:tblW w:w="9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8"/>
        <w:gridCol w:w="1202"/>
        <w:gridCol w:w="709"/>
        <w:gridCol w:w="1276"/>
        <w:gridCol w:w="929"/>
        <w:gridCol w:w="3316"/>
      </w:tblGrid>
      <w:tr w14:paraId="3C2EA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4A96A464">
            <w:pPr>
              <w:pStyle w:val="33"/>
              <w:rPr>
                <w:color w:val="auto"/>
              </w:rPr>
            </w:pPr>
            <w:r>
              <w:rPr>
                <w:rFonts w:hint="eastAsia"/>
                <w:color w:val="auto"/>
              </w:rPr>
              <w:t>建设项目名称</w:t>
            </w:r>
          </w:p>
        </w:tc>
        <w:tc>
          <w:tcPr>
            <w:tcW w:w="7432" w:type="dxa"/>
            <w:gridSpan w:val="5"/>
            <w:vAlign w:val="center"/>
          </w:tcPr>
          <w:p w14:paraId="102D7D5A">
            <w:pPr>
              <w:pStyle w:val="33"/>
              <w:rPr>
                <w:color w:val="auto"/>
              </w:rPr>
            </w:pPr>
            <w:r>
              <w:rPr>
                <w:rFonts w:hint="eastAsia" w:cs="Times New Roman"/>
                <w:color w:val="auto"/>
              </w:rPr>
              <w:t>广西金桂浆纸业有限公司高档纸板车间绿色升级改造项目</w:t>
            </w:r>
          </w:p>
        </w:tc>
      </w:tr>
      <w:tr w14:paraId="279F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645D8BA5">
            <w:pPr>
              <w:pStyle w:val="33"/>
              <w:rPr>
                <w:color w:val="auto"/>
              </w:rPr>
            </w:pPr>
            <w:r>
              <w:rPr>
                <w:rFonts w:hint="eastAsia"/>
                <w:color w:val="auto"/>
              </w:rPr>
              <w:t>建设地点</w:t>
            </w:r>
          </w:p>
        </w:tc>
        <w:tc>
          <w:tcPr>
            <w:tcW w:w="1911" w:type="dxa"/>
            <w:gridSpan w:val="2"/>
            <w:vAlign w:val="center"/>
          </w:tcPr>
          <w:p w14:paraId="73C31A58">
            <w:pPr>
              <w:pStyle w:val="33"/>
              <w:rPr>
                <w:color w:val="auto"/>
              </w:rPr>
            </w:pPr>
            <w:r>
              <w:rPr>
                <w:rFonts w:hint="eastAsia"/>
                <w:color w:val="auto"/>
              </w:rPr>
              <w:t>广西壮族自治区</w:t>
            </w:r>
          </w:p>
        </w:tc>
        <w:tc>
          <w:tcPr>
            <w:tcW w:w="1276" w:type="dxa"/>
            <w:vAlign w:val="center"/>
          </w:tcPr>
          <w:p w14:paraId="1ED6A745">
            <w:pPr>
              <w:pStyle w:val="33"/>
              <w:rPr>
                <w:color w:val="auto"/>
              </w:rPr>
            </w:pPr>
            <w:r>
              <w:rPr>
                <w:rFonts w:hint="eastAsia"/>
                <w:color w:val="auto"/>
              </w:rPr>
              <w:t>钦州市</w:t>
            </w:r>
          </w:p>
        </w:tc>
        <w:tc>
          <w:tcPr>
            <w:tcW w:w="4245" w:type="dxa"/>
            <w:gridSpan w:val="2"/>
            <w:vAlign w:val="center"/>
          </w:tcPr>
          <w:p w14:paraId="2BDBBAF0">
            <w:pPr>
              <w:pStyle w:val="33"/>
              <w:rPr>
                <w:color w:val="auto"/>
              </w:rPr>
            </w:pPr>
            <w:r>
              <w:rPr>
                <w:rFonts w:hint="eastAsia"/>
                <w:color w:val="auto"/>
              </w:rPr>
              <w:t>广西钦州市钦州港金光工业园</w:t>
            </w:r>
            <w:r>
              <w:rPr>
                <w:rFonts w:hint="eastAsia" w:cs="Times New Roman"/>
                <w:color w:val="auto"/>
              </w:rPr>
              <w:t>广西金桂浆纸业有限公司厂区内</w:t>
            </w:r>
          </w:p>
        </w:tc>
      </w:tr>
      <w:tr w14:paraId="64E49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27E07E24">
            <w:pPr>
              <w:pStyle w:val="33"/>
              <w:rPr>
                <w:color w:val="auto"/>
              </w:rPr>
            </w:pPr>
            <w:r>
              <w:rPr>
                <w:rFonts w:hint="eastAsia"/>
                <w:color w:val="auto"/>
              </w:rPr>
              <w:t>地理坐标</w:t>
            </w:r>
          </w:p>
        </w:tc>
        <w:tc>
          <w:tcPr>
            <w:tcW w:w="1202" w:type="dxa"/>
            <w:vAlign w:val="center"/>
          </w:tcPr>
          <w:p w14:paraId="6A53EDE9">
            <w:pPr>
              <w:pStyle w:val="33"/>
              <w:rPr>
                <w:color w:val="auto"/>
              </w:rPr>
            </w:pPr>
            <w:r>
              <w:rPr>
                <w:rFonts w:hint="eastAsia"/>
                <w:color w:val="auto"/>
              </w:rPr>
              <w:t>经度</w:t>
            </w:r>
          </w:p>
        </w:tc>
        <w:tc>
          <w:tcPr>
            <w:tcW w:w="1985" w:type="dxa"/>
            <w:gridSpan w:val="2"/>
            <w:vAlign w:val="center"/>
          </w:tcPr>
          <w:p w14:paraId="30DB04BF">
            <w:pPr>
              <w:pStyle w:val="33"/>
              <w:rPr>
                <w:color w:val="auto"/>
              </w:rPr>
            </w:pPr>
            <w:r>
              <w:rPr>
                <w:color w:val="auto"/>
              </w:rPr>
              <w:t>108.691145217°</w:t>
            </w:r>
          </w:p>
        </w:tc>
        <w:tc>
          <w:tcPr>
            <w:tcW w:w="929" w:type="dxa"/>
            <w:vAlign w:val="center"/>
          </w:tcPr>
          <w:p w14:paraId="5D51EBF3">
            <w:pPr>
              <w:pStyle w:val="33"/>
              <w:rPr>
                <w:color w:val="auto"/>
              </w:rPr>
            </w:pPr>
            <w:r>
              <w:rPr>
                <w:rFonts w:hint="eastAsia"/>
                <w:color w:val="auto"/>
              </w:rPr>
              <w:t>纬度</w:t>
            </w:r>
          </w:p>
        </w:tc>
        <w:tc>
          <w:tcPr>
            <w:tcW w:w="3316" w:type="dxa"/>
            <w:vAlign w:val="center"/>
          </w:tcPr>
          <w:p w14:paraId="2AD5BDF1">
            <w:pPr>
              <w:pStyle w:val="33"/>
              <w:rPr>
                <w:color w:val="auto"/>
              </w:rPr>
            </w:pPr>
            <w:r>
              <w:rPr>
                <w:color w:val="auto"/>
              </w:rPr>
              <w:t>21.721168079°</w:t>
            </w:r>
          </w:p>
        </w:tc>
      </w:tr>
      <w:tr w14:paraId="150CB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30D8DA4A">
            <w:pPr>
              <w:pStyle w:val="33"/>
              <w:rPr>
                <w:color w:val="auto"/>
              </w:rPr>
            </w:pPr>
            <w:r>
              <w:rPr>
                <w:rFonts w:hint="eastAsia"/>
                <w:color w:val="auto"/>
              </w:rPr>
              <w:t>主要危险物质及分布</w:t>
            </w:r>
          </w:p>
        </w:tc>
        <w:tc>
          <w:tcPr>
            <w:tcW w:w="7432" w:type="dxa"/>
            <w:gridSpan w:val="5"/>
            <w:vAlign w:val="center"/>
          </w:tcPr>
          <w:p w14:paraId="0A3B03C8">
            <w:pPr>
              <w:pStyle w:val="33"/>
              <w:rPr>
                <w:color w:val="auto"/>
              </w:rPr>
            </w:pPr>
            <w:r>
              <w:rPr>
                <w:rFonts w:hint="eastAsia"/>
                <w:color w:val="auto"/>
              </w:rPr>
              <w:t>氢氧化钠、天然气、</w:t>
            </w:r>
            <w:r>
              <w:rPr>
                <w:color w:val="auto"/>
              </w:rPr>
              <w:t>废矿物油</w:t>
            </w:r>
          </w:p>
        </w:tc>
      </w:tr>
      <w:tr w14:paraId="095F0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24539049">
            <w:pPr>
              <w:pStyle w:val="33"/>
              <w:rPr>
                <w:color w:val="auto"/>
              </w:rPr>
            </w:pPr>
            <w:r>
              <w:rPr>
                <w:rFonts w:hint="eastAsia"/>
                <w:color w:val="auto"/>
              </w:rPr>
              <w:t>环境影响途径及危害后果（大气、地表水、地下水等）</w:t>
            </w:r>
          </w:p>
        </w:tc>
        <w:tc>
          <w:tcPr>
            <w:tcW w:w="7432" w:type="dxa"/>
            <w:gridSpan w:val="5"/>
            <w:vAlign w:val="center"/>
          </w:tcPr>
          <w:p w14:paraId="34D30D79">
            <w:pPr>
              <w:pStyle w:val="33"/>
              <w:rPr>
                <w:color w:val="auto"/>
              </w:rPr>
            </w:pPr>
            <w:r>
              <w:rPr>
                <w:color w:val="auto"/>
              </w:rPr>
              <w:t>生产线发生跑冒滴漏或污水处理厂泄漏可能造成污染环境，做好防渗防漏处理，事故发生可能性小。污水站废水事故性排放或泄漏可能造成污染环境，通过加强管理、及时检修与更换设备元件，事故后果可减到最小。</w:t>
            </w:r>
            <w:r>
              <w:rPr>
                <w:rFonts w:hint="eastAsia"/>
                <w:color w:val="auto"/>
              </w:rPr>
              <w:t>废气设有监控系统，事故能及时发现，持续时间较短，对周围环境空气质量影响不大。</w:t>
            </w:r>
            <w:r>
              <w:rPr>
                <w:color w:val="auto"/>
              </w:rPr>
              <w:t>成品仓库内纸产品，管理不善易引发火灾；危废暂存间</w:t>
            </w:r>
            <w:r>
              <w:rPr>
                <w:rFonts w:hint="eastAsia"/>
                <w:color w:val="auto"/>
              </w:rPr>
              <w:t>废矿物油泄漏会污染地下水和土壤，同时还可能引起火灾事故产生黑烟和其他有毒有害气体对空气环境产生不利影响；火灾产生的消防废水若不及时处理或采取的措施不当，极有可能通过雨水管网进入周边的地表水、地下水，对其产生不良影响。</w:t>
            </w:r>
          </w:p>
          <w:p w14:paraId="1FB8A357">
            <w:pPr>
              <w:pStyle w:val="33"/>
              <w:rPr>
                <w:color w:val="auto"/>
              </w:rPr>
            </w:pPr>
            <w:r>
              <w:rPr>
                <w:rFonts w:hint="eastAsia"/>
                <w:color w:val="auto"/>
              </w:rPr>
              <w:t>厂区采用雨污分流，项目设有地沟、厂区</w:t>
            </w:r>
            <w:r>
              <w:rPr>
                <w:color w:val="auto"/>
              </w:rPr>
              <w:t>内有</w:t>
            </w:r>
            <w:r>
              <w:rPr>
                <w:rFonts w:hint="eastAsia"/>
                <w:color w:val="auto"/>
              </w:rPr>
              <w:t>事故应急池，可有效控制本项目事故废水不排出厂区。通过认真落实各类风险防范措施、事故应急对策措施，加强员工的安全教育，风险事故发生概率较小。通过加强管理、采取风险防范措施、应急救援措施等可将对环境的影响降到最低，环境风险可防可控。</w:t>
            </w:r>
          </w:p>
        </w:tc>
      </w:tr>
      <w:tr w14:paraId="0A65D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8" w:type="dxa"/>
            <w:vAlign w:val="center"/>
          </w:tcPr>
          <w:p w14:paraId="1D72BC86">
            <w:pPr>
              <w:pStyle w:val="33"/>
              <w:rPr>
                <w:color w:val="auto"/>
              </w:rPr>
            </w:pPr>
            <w:r>
              <w:rPr>
                <w:rFonts w:hint="eastAsia"/>
                <w:color w:val="auto"/>
              </w:rPr>
              <w:t>风险防范措施要求</w:t>
            </w:r>
          </w:p>
        </w:tc>
        <w:tc>
          <w:tcPr>
            <w:tcW w:w="7432" w:type="dxa"/>
            <w:gridSpan w:val="5"/>
            <w:vAlign w:val="center"/>
          </w:tcPr>
          <w:p w14:paraId="55B72457">
            <w:pPr>
              <w:pStyle w:val="33"/>
              <w:rPr>
                <w:color w:val="auto"/>
              </w:rPr>
            </w:pPr>
            <w:r>
              <w:rPr>
                <w:rFonts w:hint="eastAsia"/>
                <w:color w:val="auto"/>
              </w:rPr>
              <w:t>（1）污水处理站工作人员必须严格执行企业制定的设备维修保养制度，制定设备维修保养计划，定员管理，设备出现故障及时抢修。</w:t>
            </w:r>
          </w:p>
          <w:p w14:paraId="6DF9F844">
            <w:pPr>
              <w:pStyle w:val="33"/>
              <w:rPr>
                <w:color w:val="auto"/>
              </w:rPr>
            </w:pPr>
            <w:r>
              <w:rPr>
                <w:rFonts w:hint="eastAsia"/>
                <w:color w:val="auto"/>
              </w:rPr>
              <w:t>（2）厂区建设“三级防控”设施。</w:t>
            </w:r>
          </w:p>
          <w:p w14:paraId="29B640AA">
            <w:pPr>
              <w:pStyle w:val="33"/>
              <w:rPr>
                <w:color w:val="auto"/>
              </w:rPr>
            </w:pPr>
            <w:r>
              <w:rPr>
                <w:rFonts w:hint="eastAsia"/>
                <w:color w:val="auto"/>
              </w:rPr>
              <w:t>（3）加强对废气处理系统的日常检查工作，定期维护与检修，防止出现超标排放。</w:t>
            </w:r>
          </w:p>
          <w:p w14:paraId="4FDB8C41">
            <w:pPr>
              <w:pStyle w:val="33"/>
              <w:rPr>
                <w:color w:val="auto"/>
              </w:rPr>
            </w:pPr>
            <w:r>
              <w:rPr>
                <w:rFonts w:hint="eastAsia"/>
                <w:color w:val="auto"/>
              </w:rPr>
              <w:t>（4）成品仓、危废暂存间现场设置各种安全标志，车间应禁止明火；组织防火检查，及时消除火灾隐患；完善仓库的消防设备，配置自动报警系统。</w:t>
            </w:r>
          </w:p>
          <w:p w14:paraId="34A072EE">
            <w:pPr>
              <w:pStyle w:val="33"/>
              <w:rPr>
                <w:color w:val="auto"/>
              </w:rPr>
            </w:pPr>
            <w:r>
              <w:rPr>
                <w:rFonts w:hint="eastAsia"/>
                <w:color w:val="auto"/>
              </w:rPr>
              <w:t>（5）建议企业根据生产所出现的问题，不断地建立和健全各项风险管理规章制度，避免环境风险事故的发生。同时在环境风险事故应急演练过程中不断总结，完善方案，将环境风险事故危害程度降至最低。</w:t>
            </w:r>
          </w:p>
        </w:tc>
      </w:tr>
      <w:tr w14:paraId="7FE05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4" w:hRule="atLeast"/>
          <w:jc w:val="center"/>
        </w:trPr>
        <w:tc>
          <w:tcPr>
            <w:tcW w:w="1628" w:type="dxa"/>
            <w:vAlign w:val="center"/>
          </w:tcPr>
          <w:p w14:paraId="00AAF1B9">
            <w:pPr>
              <w:pStyle w:val="33"/>
              <w:rPr>
                <w:color w:val="auto"/>
              </w:rPr>
            </w:pPr>
            <w:r>
              <w:rPr>
                <w:rFonts w:hint="eastAsia"/>
                <w:color w:val="auto"/>
              </w:rPr>
              <w:t>填表说明（列出项目相关信息及评价说明）</w:t>
            </w:r>
          </w:p>
        </w:tc>
        <w:tc>
          <w:tcPr>
            <w:tcW w:w="7432" w:type="dxa"/>
            <w:gridSpan w:val="5"/>
            <w:vAlign w:val="center"/>
          </w:tcPr>
          <w:p w14:paraId="3907EB72">
            <w:pPr>
              <w:pStyle w:val="33"/>
              <w:rPr>
                <w:color w:val="auto"/>
              </w:rPr>
            </w:pPr>
            <w:r>
              <w:rPr>
                <w:rFonts w:hint="eastAsia"/>
                <w:color w:val="auto"/>
              </w:rPr>
              <w:t>项目经风险调查、风险潜势初判，确定项目风险潜势为Ⅰ，仅对项目进行简单分析。在做好各项环境风险防范措施和日常管理中严格遵守操作规程、制定完善的环境风险应急预案的情况下，本项目环境风险可防可控。</w:t>
            </w:r>
          </w:p>
        </w:tc>
      </w:tr>
    </w:tbl>
    <w:p w14:paraId="67343F0D">
      <w:pPr>
        <w:ind w:firstLine="480"/>
        <w:rPr>
          <w:color w:val="auto"/>
        </w:rPr>
      </w:pPr>
    </w:p>
    <w:p w14:paraId="5A63D553">
      <w:pPr>
        <w:ind w:firstLine="480"/>
        <w:rPr>
          <w:color w:val="auto"/>
        </w:rPr>
      </w:pPr>
    </w:p>
    <w:p w14:paraId="3146EA80">
      <w:pPr>
        <w:ind w:firstLine="480"/>
        <w:rPr>
          <w:color w:val="auto"/>
        </w:rPr>
        <w:sectPr>
          <w:pgSz w:w="11906" w:h="16838"/>
          <w:pgMar w:top="1418" w:right="1418" w:bottom="1418" w:left="1418" w:header="851" w:footer="992" w:gutter="0"/>
          <w:cols w:space="425" w:num="1"/>
          <w:docGrid w:type="lines" w:linePitch="312" w:charSpace="0"/>
        </w:sectPr>
      </w:pPr>
    </w:p>
    <w:p w14:paraId="0113FBF2">
      <w:pPr>
        <w:pStyle w:val="2"/>
        <w:rPr>
          <w:color w:val="auto"/>
          <w:lang w:val="zh-CN"/>
        </w:rPr>
      </w:pPr>
      <w:bookmarkStart w:id="581" w:name="_Toc225216860"/>
      <w:bookmarkStart w:id="582" w:name="_Toc221355746"/>
      <w:r>
        <w:rPr>
          <w:color w:val="auto"/>
          <w:lang w:val="zh-CN"/>
        </w:rPr>
        <w:t>环境保护措施及其可行性论证</w:t>
      </w:r>
      <w:bookmarkEnd w:id="581"/>
    </w:p>
    <w:p w14:paraId="76B520B1">
      <w:pPr>
        <w:pStyle w:val="3"/>
        <w:rPr>
          <w:color w:val="auto"/>
        </w:rPr>
      </w:pPr>
      <w:bookmarkStart w:id="583" w:name="_Toc225216861"/>
      <w:r>
        <w:rPr>
          <w:rFonts w:hint="eastAsia"/>
          <w:color w:val="auto"/>
        </w:rPr>
        <w:t>施工期环境保护措施及可行性分析</w:t>
      </w:r>
      <w:bookmarkEnd w:id="583"/>
    </w:p>
    <w:p w14:paraId="1DB425D5">
      <w:pPr>
        <w:ind w:firstLine="480"/>
        <w:rPr>
          <w:color w:val="auto"/>
        </w:rPr>
      </w:pPr>
      <w:r>
        <w:rPr>
          <w:rFonts w:hint="eastAsia"/>
          <w:color w:val="auto"/>
        </w:rPr>
        <w:t>拟建项目建设施工内容包括</w:t>
      </w:r>
      <w:r>
        <w:rPr>
          <w:color w:val="auto"/>
        </w:rPr>
        <w:t>1#</w:t>
      </w:r>
      <w:r>
        <w:rPr>
          <w:rFonts w:hint="eastAsia"/>
          <w:color w:val="auto"/>
        </w:rPr>
        <w:t>白卡纸车间改造内容主要为前干气罩通风技改增加</w:t>
      </w:r>
      <w:r>
        <w:rPr>
          <w:color w:val="auto"/>
        </w:rPr>
        <w:t>2</w:t>
      </w:r>
      <w:r>
        <w:rPr>
          <w:rFonts w:hint="eastAsia"/>
          <w:color w:val="auto"/>
        </w:rPr>
        <w:t>台风机、前干</w:t>
      </w:r>
      <w:r>
        <w:rPr>
          <w:color w:val="auto"/>
        </w:rPr>
        <w:t>prorealeas</w:t>
      </w:r>
      <w:r>
        <w:rPr>
          <w:rFonts w:hint="eastAsia"/>
          <w:color w:val="auto"/>
        </w:rPr>
        <w:t>真空技改增加</w:t>
      </w:r>
      <w:r>
        <w:rPr>
          <w:color w:val="auto"/>
        </w:rPr>
        <w:t>2</w:t>
      </w:r>
      <w:r>
        <w:rPr>
          <w:rFonts w:hint="eastAsia"/>
          <w:color w:val="auto"/>
        </w:rPr>
        <w:t>台风机、新增前干燥气罩排风、真空泵房新增汽水分离器罐克负泵、</w:t>
      </w:r>
      <w:r>
        <w:rPr>
          <w:color w:val="auto"/>
        </w:rPr>
        <w:t>1-18#</w:t>
      </w:r>
      <w:r>
        <w:rPr>
          <w:rFonts w:hint="eastAsia"/>
          <w:color w:val="auto"/>
        </w:rPr>
        <w:t>烘缸的双向稳定器改造、前干刮刀升级改造、</w:t>
      </w:r>
      <w:r>
        <w:rPr>
          <w:color w:val="auto"/>
        </w:rPr>
        <w:t>CCK</w:t>
      </w:r>
      <w:r>
        <w:rPr>
          <w:rFonts w:hint="eastAsia"/>
          <w:color w:val="auto"/>
        </w:rPr>
        <w:t>配方站系统升级、水环真空泵改透平机等。</w:t>
      </w:r>
      <w:r>
        <w:rPr>
          <w:color w:val="auto"/>
        </w:rPr>
        <w:t>2#</w:t>
      </w:r>
      <w:r>
        <w:rPr>
          <w:rFonts w:hint="eastAsia"/>
          <w:color w:val="auto"/>
        </w:rPr>
        <w:t>白卡纸车间改造内容主要为涂布工作站涂一螺杆泵改造升级、油站冷却系统升级改造、尾缸刮刀升级改造。整理车间改造内容主要为包括</w:t>
      </w:r>
      <w:r>
        <w:rPr>
          <w:color w:val="auto"/>
        </w:rPr>
        <w:t>2#</w:t>
      </w:r>
      <w:r>
        <w:rPr>
          <w:rFonts w:hint="eastAsia"/>
          <w:color w:val="auto"/>
        </w:rPr>
        <w:t>和</w:t>
      </w:r>
      <w:r>
        <w:rPr>
          <w:color w:val="auto"/>
        </w:rPr>
        <w:t>3#</w:t>
      </w:r>
      <w:r>
        <w:rPr>
          <w:rFonts w:hint="eastAsia"/>
          <w:color w:val="auto"/>
        </w:rPr>
        <w:t>小复卷夹头自动化升级改造、卷筒包装机自动上木塞头升级改造；新增令包机</w:t>
      </w:r>
      <w:r>
        <w:rPr>
          <w:color w:val="auto"/>
        </w:rPr>
        <w:t>1</w:t>
      </w:r>
      <w:r>
        <w:rPr>
          <w:rFonts w:hint="eastAsia"/>
          <w:color w:val="auto"/>
        </w:rPr>
        <w:t>台、小复卷机</w:t>
      </w:r>
      <w:r>
        <w:rPr>
          <w:color w:val="auto"/>
        </w:rPr>
        <w:t>2</w:t>
      </w:r>
      <w:r>
        <w:rPr>
          <w:rFonts w:hint="eastAsia"/>
          <w:color w:val="auto"/>
        </w:rPr>
        <w:t>台及卷筒包装机</w:t>
      </w:r>
      <w:r>
        <w:rPr>
          <w:color w:val="auto"/>
        </w:rPr>
        <w:t>1</w:t>
      </w:r>
      <w:r>
        <w:rPr>
          <w:rFonts w:hint="eastAsia"/>
          <w:color w:val="auto"/>
        </w:rPr>
        <w:t>台。并新增</w:t>
      </w:r>
      <w:r>
        <w:rPr>
          <w:color w:val="auto"/>
        </w:rPr>
        <w:t>1</w:t>
      </w:r>
      <w:r>
        <w:rPr>
          <w:rFonts w:hint="eastAsia"/>
          <w:color w:val="auto"/>
        </w:rPr>
        <w:t>座污水处理站。拟建项目位于广西壮</w:t>
      </w:r>
      <w:r>
        <w:rPr>
          <w:rFonts w:hint="eastAsia"/>
          <w:color w:val="auto"/>
          <w:lang w:val="en-US" w:eastAsia="zh-CN"/>
        </w:rPr>
        <w:t>族</w:t>
      </w:r>
      <w:bookmarkStart w:id="720" w:name="_GoBack"/>
      <w:bookmarkEnd w:id="720"/>
      <w:r>
        <w:rPr>
          <w:rFonts w:hint="eastAsia"/>
          <w:color w:val="auto"/>
        </w:rPr>
        <w:t>自治区钦州市钦州港金光工业园区，拟建项目施工内容包括土石方工程、</w:t>
      </w:r>
      <w:r>
        <w:rPr>
          <w:color w:val="auto"/>
        </w:rPr>
        <w:t xml:space="preserve"> </w:t>
      </w:r>
      <w:r>
        <w:rPr>
          <w:rFonts w:hint="eastAsia"/>
          <w:color w:val="auto"/>
        </w:rPr>
        <w:t>土建工程、设备安装、调试及运行等。</w:t>
      </w:r>
    </w:p>
    <w:p w14:paraId="231C213D">
      <w:pPr>
        <w:ind w:firstLine="480"/>
        <w:rPr>
          <w:color w:val="auto"/>
        </w:rPr>
      </w:pPr>
      <w:r>
        <w:rPr>
          <w:rFonts w:hint="eastAsia"/>
          <w:color w:val="auto"/>
        </w:rPr>
        <w:t>施工过程中，施工人员产生的生活污水及施工废水，施工过程中的扬尘和废气，种类众多的重型机械设备及车辆产生的噪声和振动，施工期间产生的建筑垃圾和生活垃圾等均可能对周围环境产生不利影响。此外，拟建工程开挖土方也会造成一定的水土流失。施工结束后，施工期间的环境影响消失。</w:t>
      </w:r>
    </w:p>
    <w:p w14:paraId="0933F83B">
      <w:pPr>
        <w:pStyle w:val="4"/>
        <w:rPr>
          <w:color w:val="auto"/>
        </w:rPr>
      </w:pPr>
      <w:bookmarkStart w:id="584" w:name="_Toc225216862"/>
      <w:r>
        <w:rPr>
          <w:rFonts w:hint="eastAsia"/>
          <w:color w:val="auto"/>
        </w:rPr>
        <w:t>施工期空气环境影响防治措施</w:t>
      </w:r>
      <w:bookmarkEnd w:id="584"/>
    </w:p>
    <w:p w14:paraId="29C6A575">
      <w:pPr>
        <w:ind w:firstLine="480"/>
        <w:rPr>
          <w:color w:val="auto"/>
        </w:rPr>
      </w:pPr>
      <w:r>
        <w:rPr>
          <w:rFonts w:hint="eastAsia"/>
          <w:color w:val="auto"/>
        </w:rPr>
        <w:t>施工期废气污染源主要来源于施工扬尘，其次为施工车辆等燃油燃烧排放的</w:t>
      </w:r>
      <w:r>
        <w:rPr>
          <w:color w:val="auto"/>
        </w:rPr>
        <w:t>SO</w:t>
      </w:r>
      <w:r>
        <w:rPr>
          <w:color w:val="auto"/>
          <w:vertAlign w:val="subscript"/>
        </w:rPr>
        <w:t>2</w:t>
      </w:r>
      <w:r>
        <w:rPr>
          <w:rFonts w:hint="eastAsia"/>
          <w:color w:val="auto"/>
        </w:rPr>
        <w:t>、</w:t>
      </w:r>
      <w:r>
        <w:rPr>
          <w:color w:val="auto"/>
        </w:rPr>
        <w:t>NO</w:t>
      </w:r>
      <w:r>
        <w:rPr>
          <w:color w:val="auto"/>
          <w:vertAlign w:val="subscript"/>
        </w:rPr>
        <w:t>2</w:t>
      </w:r>
      <w:r>
        <w:rPr>
          <w:rFonts w:hint="eastAsia"/>
          <w:color w:val="auto"/>
        </w:rPr>
        <w:t>、</w:t>
      </w:r>
      <w:r>
        <w:rPr>
          <w:color w:val="auto"/>
        </w:rPr>
        <w:t>CO</w:t>
      </w:r>
      <w:r>
        <w:rPr>
          <w:rFonts w:hint="eastAsia"/>
          <w:color w:val="auto"/>
        </w:rPr>
        <w:t>等污染物。项目施工扬尘主要来自</w:t>
      </w:r>
      <w:r>
        <w:rPr>
          <w:color w:val="auto"/>
        </w:rPr>
        <w:t>3#</w:t>
      </w:r>
      <w:r>
        <w:rPr>
          <w:rFonts w:hint="eastAsia"/>
          <w:color w:val="auto"/>
        </w:rPr>
        <w:t>污水处理站场地平整，土方的挖掘及堆放、建筑材料的搬运及堆放、人来车往造成的现场扬尘等。</w:t>
      </w:r>
      <w:r>
        <w:rPr>
          <w:color w:val="auto"/>
        </w:rPr>
        <w:t>3#</w:t>
      </w:r>
      <w:r>
        <w:rPr>
          <w:rFonts w:hint="eastAsia"/>
          <w:color w:val="auto"/>
        </w:rPr>
        <w:t>污水处理站总用地面积</w:t>
      </w:r>
      <w:r>
        <w:rPr>
          <w:color w:val="auto"/>
        </w:rPr>
        <w:t>2429m</w:t>
      </w:r>
      <w:r>
        <w:rPr>
          <w:color w:val="auto"/>
          <w:vertAlign w:val="superscript"/>
        </w:rPr>
        <w:t>2</w:t>
      </w:r>
      <w:r>
        <w:rPr>
          <w:rFonts w:hint="eastAsia"/>
          <w:color w:val="auto"/>
        </w:rPr>
        <w:t>，总建筑面积</w:t>
      </w:r>
      <w:r>
        <w:rPr>
          <w:color w:val="auto"/>
        </w:rPr>
        <w:t>5380m</w:t>
      </w:r>
      <w:r>
        <w:rPr>
          <w:color w:val="auto"/>
          <w:vertAlign w:val="superscript"/>
        </w:rPr>
        <w:t>2</w:t>
      </w:r>
      <w:r>
        <w:rPr>
          <w:rFonts w:hint="eastAsia"/>
          <w:color w:val="auto"/>
        </w:rPr>
        <w:t>。根据《广西壮族自治区生态环境厅关于发布应税污染物施工扬尘排污特征值系数及计算方法的公告》（桂环规范〔</w:t>
      </w:r>
      <w:r>
        <w:rPr>
          <w:color w:val="auto"/>
        </w:rPr>
        <w:t>2025</w:t>
      </w:r>
      <w:r>
        <w:rPr>
          <w:rFonts w:hint="eastAsia"/>
          <w:color w:val="auto"/>
        </w:rPr>
        <w:t>〕</w:t>
      </w:r>
      <w:r>
        <w:rPr>
          <w:color w:val="auto"/>
        </w:rPr>
        <w:t>1</w:t>
      </w:r>
      <w:r>
        <w:rPr>
          <w:rFonts w:hint="eastAsia"/>
          <w:color w:val="auto"/>
        </w:rPr>
        <w:t>号）核算拟建项目施工期月扬尘排放量为</w:t>
      </w:r>
      <w:r>
        <w:rPr>
          <w:color w:val="auto"/>
        </w:rPr>
        <w:t>1527.841kg/</w:t>
      </w:r>
      <w:r>
        <w:rPr>
          <w:rFonts w:hint="eastAsia"/>
          <w:color w:val="auto"/>
        </w:rPr>
        <w:t>月。</w:t>
      </w:r>
    </w:p>
    <w:p w14:paraId="44C651EB">
      <w:pPr>
        <w:ind w:firstLine="480"/>
        <w:rPr>
          <w:color w:val="auto"/>
        </w:rPr>
      </w:pPr>
      <w:r>
        <w:rPr>
          <w:rFonts w:hint="eastAsia"/>
          <w:color w:val="auto"/>
        </w:rPr>
        <w:t>根据类似工程监测结果，在未采取降尘措施的挖掘和平整施工区，距离施工现场</w:t>
      </w:r>
      <w:r>
        <w:rPr>
          <w:color w:val="auto"/>
        </w:rPr>
        <w:t xml:space="preserve"> 50m </w:t>
      </w:r>
      <w:r>
        <w:rPr>
          <w:rFonts w:hint="eastAsia"/>
          <w:color w:val="auto"/>
        </w:rPr>
        <w:t>处，总悬浮颗粒物日均浓度为</w:t>
      </w:r>
      <w:r>
        <w:rPr>
          <w:color w:val="auto"/>
        </w:rPr>
        <w:t xml:space="preserve"> 1.13mg/m</w:t>
      </w:r>
      <w:r>
        <w:rPr>
          <w:color w:val="auto"/>
          <w:vertAlign w:val="superscript"/>
        </w:rPr>
        <w:t>3</w:t>
      </w:r>
      <w:r>
        <w:rPr>
          <w:rFonts w:hint="eastAsia"/>
          <w:color w:val="auto"/>
        </w:rPr>
        <w:t>，距离现场</w:t>
      </w:r>
      <w:r>
        <w:rPr>
          <w:color w:val="auto"/>
        </w:rPr>
        <w:t xml:space="preserve"> 200m </w:t>
      </w:r>
      <w:r>
        <w:rPr>
          <w:rFonts w:hint="eastAsia"/>
          <w:color w:val="auto"/>
        </w:rPr>
        <w:t>处为</w:t>
      </w:r>
      <w:r>
        <w:rPr>
          <w:color w:val="auto"/>
        </w:rPr>
        <w:t xml:space="preserve"> 0.47mg/m</w:t>
      </w:r>
      <w:r>
        <w:rPr>
          <w:color w:val="auto"/>
          <w:vertAlign w:val="superscript"/>
        </w:rPr>
        <w:t>3</w:t>
      </w:r>
      <w:r>
        <w:rPr>
          <w:rFonts w:hint="eastAsia"/>
          <w:color w:val="auto"/>
        </w:rPr>
        <w:t>，</w:t>
      </w:r>
      <w:r>
        <w:rPr>
          <w:color w:val="auto"/>
        </w:rPr>
        <w:t xml:space="preserve">300m </w:t>
      </w:r>
      <w:r>
        <w:rPr>
          <w:rFonts w:hint="eastAsia"/>
          <w:color w:val="auto"/>
        </w:rPr>
        <w:t>范围内均超出《环境空气质量标准》（</w:t>
      </w:r>
      <w:r>
        <w:rPr>
          <w:color w:val="auto"/>
        </w:rPr>
        <w:t>GB3095-2012</w:t>
      </w:r>
      <w:r>
        <w:rPr>
          <w:rFonts w:hint="eastAsia"/>
          <w:color w:val="auto"/>
        </w:rPr>
        <w:t>）二级标准限值，采取降尘措施后，</w:t>
      </w:r>
    </w:p>
    <w:p w14:paraId="07418B1A">
      <w:pPr>
        <w:ind w:firstLine="0" w:firstLineChars="0"/>
        <w:rPr>
          <w:color w:val="auto"/>
        </w:rPr>
      </w:pPr>
      <w:r>
        <w:rPr>
          <w:rFonts w:hint="eastAsia"/>
          <w:color w:val="auto"/>
        </w:rPr>
        <w:t>距离施工现场</w:t>
      </w:r>
      <w:r>
        <w:rPr>
          <w:color w:val="auto"/>
        </w:rPr>
        <w:t xml:space="preserve"> 100m </w:t>
      </w:r>
      <w:r>
        <w:rPr>
          <w:rFonts w:hint="eastAsia"/>
          <w:color w:val="auto"/>
        </w:rPr>
        <w:t>处即可达到标准限值。拟建项目施工场地位于金桂浆纸现有厂区南侧新增污水处理站用地内，该地块南侧约</w:t>
      </w:r>
      <w:r>
        <w:rPr>
          <w:color w:val="auto"/>
        </w:rPr>
        <w:t>170m</w:t>
      </w:r>
      <w:r>
        <w:rPr>
          <w:rFonts w:hint="eastAsia"/>
          <w:color w:val="auto"/>
        </w:rPr>
        <w:t>为居民区。项目施工过程中应该严格落实各项防尘措施，适当增加用地南部洒水量和洒水次数，关注该区域居民对施工环境影响的反馈并及时加强相关措施，最大程度降低扬尘对周边居住区的影响。</w:t>
      </w:r>
    </w:p>
    <w:p w14:paraId="7882190B">
      <w:pPr>
        <w:ind w:firstLine="480"/>
        <w:rPr>
          <w:color w:val="auto"/>
        </w:rPr>
      </w:pPr>
      <w:r>
        <w:rPr>
          <w:rFonts w:hint="eastAsia"/>
          <w:color w:val="auto"/>
        </w:rPr>
        <w:t>为减少施工期扬尘对周围环境的影响，在施工过程中应严格遵守相关规定，施工单位在施工期间认真落实以下各项防治措施：</w:t>
      </w:r>
    </w:p>
    <w:p w14:paraId="3207A878">
      <w:pPr>
        <w:ind w:firstLine="480"/>
        <w:rPr>
          <w:color w:val="auto"/>
        </w:rPr>
      </w:pPr>
      <w:r>
        <w:rPr>
          <w:rFonts w:hint="eastAsia"/>
          <w:color w:val="auto"/>
        </w:rPr>
        <w:t>①施工单位应当建立扬尘污染防治责任制，禁止露天堆放建筑材料，采取遮盖、围挡、密闭、喷洒、冲洗、绿化等防尘措施，有条件的搭建临时仓库储存。施工工地内车行道路应当采取硬化等降尘措施，裸露地面应当铺设礁渣、细石或者其他功能相当的材料，或者采取覆盖防尘布或者防尘网等措施，保持施工场所和周围环境的清洁。建筑施工垃圾应及时清运，送规定地点进行处置。</w:t>
      </w:r>
    </w:p>
    <w:p w14:paraId="6AD6C59A">
      <w:pPr>
        <w:ind w:firstLine="480"/>
        <w:rPr>
          <w:color w:val="auto"/>
        </w:rPr>
      </w:pPr>
      <w:r>
        <w:rPr>
          <w:rFonts w:hint="eastAsia"/>
          <w:color w:val="auto"/>
        </w:rPr>
        <w:t>②在易产生扬尘的作业时段、作业环节应进行洒水减轻污染。在大风日增加洒水量及洒水次数，使场地保持一定的湿度。遇到四级或四级以上大风天气，应停止土方作业，同时在作业处覆以防尘网。</w:t>
      </w:r>
    </w:p>
    <w:p w14:paraId="4C67A61F">
      <w:pPr>
        <w:ind w:firstLine="480"/>
        <w:rPr>
          <w:color w:val="auto"/>
        </w:rPr>
      </w:pPr>
      <w:r>
        <w:rPr>
          <w:rFonts w:hint="eastAsia"/>
          <w:color w:val="auto"/>
        </w:rPr>
        <w:t>③物料运输过程中，应对易起尘建筑材料进行覆盖，对于施工所需沙土，在运输车辆车厢底部铺设防漏衬垫，顶部加盖蓬布，防止沿途撒漏和风吹扬尘。运输车辆不得装载过满，密闭输送物料应当在装料、卸料处配备吸尘、喷淋等防尘设施。</w:t>
      </w:r>
    </w:p>
    <w:p w14:paraId="3F5CD2CC">
      <w:pPr>
        <w:ind w:firstLine="480"/>
        <w:rPr>
          <w:color w:val="auto"/>
        </w:rPr>
      </w:pPr>
      <w:r>
        <w:rPr>
          <w:rFonts w:hint="eastAsia"/>
          <w:color w:val="auto"/>
        </w:rPr>
        <w:t>④项目建设单位及施工单位应制定建筑材料等运输计划，避免在行车高峰时运输建筑材料，厂区运输道路做硬化处理。应做好驾驶员的职业道德教育，确保按规定路线运输，物料装载符合车辆的载重能力，严禁超载。车辆驶出工地前将轮子上的泥土去除干净，防止沿程遗撒，影响环境整洁。施工单位对工地门前的道路环境实行保洁制度，一旦有土、建材洒落及时清扫。</w:t>
      </w:r>
    </w:p>
    <w:bookmarkEnd w:id="582"/>
    <w:p w14:paraId="751B32CA">
      <w:pPr>
        <w:pStyle w:val="4"/>
        <w:rPr>
          <w:color w:val="auto"/>
        </w:rPr>
      </w:pPr>
      <w:bookmarkStart w:id="585" w:name="_Toc225216863"/>
      <w:r>
        <w:rPr>
          <w:rFonts w:hint="eastAsia"/>
          <w:color w:val="auto"/>
        </w:rPr>
        <w:t>施工期水污染防治措施</w:t>
      </w:r>
      <w:bookmarkEnd w:id="585"/>
    </w:p>
    <w:p w14:paraId="2F785729">
      <w:pPr>
        <w:ind w:firstLine="480"/>
        <w:rPr>
          <w:color w:val="auto"/>
        </w:rPr>
      </w:pPr>
      <w:r>
        <w:rPr>
          <w:color w:val="auto"/>
        </w:rPr>
        <w:t>施工期废水主要是来自施工废水及施工人员的生活污水。施工期废水处置不当会对施工场地周围的水环境产生短时间的不良影响，因此必须做好施工期废水的污染防治措施。</w:t>
      </w:r>
    </w:p>
    <w:p w14:paraId="36B48966">
      <w:pPr>
        <w:ind w:firstLine="480"/>
        <w:rPr>
          <w:color w:val="auto"/>
        </w:rPr>
      </w:pPr>
      <w:r>
        <w:rPr>
          <w:color w:val="auto"/>
        </w:rPr>
        <w:t>（1）在施工期间必须制定严格的施工环保管理制度，教育施工人员自觉遵守规章制度，并加以严格监督和管理。</w:t>
      </w:r>
    </w:p>
    <w:p w14:paraId="4707EF29">
      <w:pPr>
        <w:ind w:firstLine="480"/>
        <w:rPr>
          <w:color w:val="auto"/>
        </w:rPr>
      </w:pPr>
      <w:r>
        <w:rPr>
          <w:color w:val="auto"/>
        </w:rPr>
        <w:t>（2）工程施工人员的生活污水经收集后，进入现有污水</w:t>
      </w:r>
      <w:r>
        <w:rPr>
          <w:rFonts w:hint="eastAsia"/>
          <w:color w:val="auto"/>
        </w:rPr>
        <w:t>处理</w:t>
      </w:r>
      <w:r>
        <w:rPr>
          <w:color w:val="auto"/>
        </w:rPr>
        <w:t>站处理。</w:t>
      </w:r>
    </w:p>
    <w:p w14:paraId="166EE152">
      <w:pPr>
        <w:ind w:firstLine="480"/>
        <w:rPr>
          <w:color w:val="auto"/>
        </w:rPr>
      </w:pPr>
      <w:r>
        <w:rPr>
          <w:color w:val="auto"/>
        </w:rPr>
        <w:t>（3）在施工期间，施工场地四周应建有排洪沟及排水前的沉砂池，让雨水在沉淀池内经充分沉淀处理后方可外排。尽量减少雨季施工，避免冒雨施工。施工产生的施工废水主要污染物是悬浮物，该部分废水数量较少，设简易沉淀池进行处理后回用。</w:t>
      </w:r>
    </w:p>
    <w:p w14:paraId="36C6D012">
      <w:pPr>
        <w:ind w:firstLine="480"/>
        <w:rPr>
          <w:color w:val="auto"/>
        </w:rPr>
      </w:pPr>
      <w:r>
        <w:rPr>
          <w:color w:val="auto"/>
        </w:rPr>
        <w:t>（4）在施工过程中还应加强对机械设备的检修和维护，以防止设备漏油现象的发生。</w:t>
      </w:r>
    </w:p>
    <w:p w14:paraId="04290EBF">
      <w:pPr>
        <w:ind w:firstLine="480"/>
        <w:rPr>
          <w:color w:val="auto"/>
        </w:rPr>
      </w:pPr>
      <w:r>
        <w:rPr>
          <w:color w:val="auto"/>
        </w:rPr>
        <w:t>项目施工期废水经过妥善处理，对周边敏感点产生的影响不大。</w:t>
      </w:r>
    </w:p>
    <w:p w14:paraId="36275E73">
      <w:pPr>
        <w:ind w:firstLine="480"/>
        <w:rPr>
          <w:color w:val="auto"/>
        </w:rPr>
      </w:pPr>
    </w:p>
    <w:p w14:paraId="1F5F29F0">
      <w:pPr>
        <w:pStyle w:val="4"/>
        <w:rPr>
          <w:color w:val="auto"/>
        </w:rPr>
      </w:pPr>
      <w:bookmarkStart w:id="586" w:name="_Toc225216864"/>
      <w:r>
        <w:rPr>
          <w:rFonts w:hint="eastAsia"/>
          <w:color w:val="auto"/>
        </w:rPr>
        <w:t>施工期噪声防治措施</w:t>
      </w:r>
      <w:bookmarkEnd w:id="586"/>
    </w:p>
    <w:p w14:paraId="20D88C98">
      <w:pPr>
        <w:ind w:firstLine="480"/>
        <w:rPr>
          <w:color w:val="auto"/>
        </w:rPr>
      </w:pPr>
      <w:r>
        <w:rPr>
          <w:color w:val="auto"/>
        </w:rPr>
        <w:t>建设项目施工期噪声主要是各种机械噪声和车辆行驶的交通噪声。施工期机械噪声强度为70~105db（A），机械噪声具有噪声值高、无规则、突发性等特点，主要属于中低频噪声，施工四周有厂区构筑物，因此考虑扩散衰减、构筑物隔声。</w:t>
      </w:r>
    </w:p>
    <w:p w14:paraId="2E9663BC">
      <w:pPr>
        <w:ind w:firstLine="480"/>
        <w:rPr>
          <w:color w:val="auto"/>
        </w:rPr>
      </w:pPr>
      <w:r>
        <w:rPr>
          <w:rFonts w:hint="eastAsia"/>
          <w:color w:val="auto"/>
        </w:rPr>
        <w:t>施工期采取的主要环保措施如下：</w:t>
      </w:r>
    </w:p>
    <w:p w14:paraId="5A7CE5D5">
      <w:pPr>
        <w:ind w:firstLine="480"/>
        <w:rPr>
          <w:color w:val="auto"/>
        </w:rPr>
      </w:pPr>
      <w:r>
        <w:rPr>
          <w:rFonts w:hint="eastAsia"/>
          <w:color w:val="auto"/>
        </w:rPr>
        <w:t>（1）选用低噪声设备和工艺，可从根本上降低源强，及时关闭闲置不用的设备。</w:t>
      </w:r>
    </w:p>
    <w:p w14:paraId="048A019C">
      <w:pPr>
        <w:numPr>
          <w:ilvl w:val="0"/>
          <w:numId w:val="9"/>
        </w:numPr>
        <w:ind w:firstLine="480"/>
        <w:rPr>
          <w:color w:val="auto"/>
        </w:rPr>
      </w:pPr>
      <w:r>
        <w:rPr>
          <w:rFonts w:hint="eastAsia"/>
          <w:color w:val="auto"/>
        </w:rPr>
        <w:t>加强检查、维护和保养机械设备，保持润滑，紧固各部件，及时补焊加固脱落和松动的架构件，减少运行振动噪声。整体设备平稳安放，并与地面保持良好接触，尽量使用减振机座，降低噪声。</w:t>
      </w:r>
    </w:p>
    <w:p w14:paraId="3D6C805C">
      <w:pPr>
        <w:numPr>
          <w:ilvl w:val="0"/>
          <w:numId w:val="9"/>
        </w:numPr>
        <w:ind w:firstLine="480"/>
        <w:rPr>
          <w:color w:val="auto"/>
        </w:rPr>
      </w:pPr>
      <w:r>
        <w:rPr>
          <w:rFonts w:hint="eastAsia"/>
          <w:color w:val="auto"/>
        </w:rPr>
        <w:t>合理安排设备位置，搞机械噪声强度设备运行点尽量布置在距敏感点较远处。尽可能错开高噪声机械施工时间，避免高噪声机械同时在同一地点施工。</w:t>
      </w:r>
    </w:p>
    <w:p w14:paraId="0685163A">
      <w:pPr>
        <w:numPr>
          <w:ilvl w:val="0"/>
          <w:numId w:val="9"/>
        </w:numPr>
        <w:ind w:firstLine="480"/>
        <w:rPr>
          <w:color w:val="auto"/>
        </w:rPr>
      </w:pPr>
      <w:r>
        <w:rPr>
          <w:rFonts w:hint="eastAsia"/>
          <w:color w:val="auto"/>
        </w:rPr>
        <w:t>合理安排施工时间，减少夜间施工量。尽量加快施工进度，缩短工期。</w:t>
      </w:r>
    </w:p>
    <w:p w14:paraId="3AB26984">
      <w:pPr>
        <w:numPr>
          <w:ilvl w:val="0"/>
          <w:numId w:val="9"/>
        </w:numPr>
        <w:ind w:firstLine="480"/>
        <w:rPr>
          <w:color w:val="auto"/>
        </w:rPr>
      </w:pPr>
      <w:r>
        <w:rPr>
          <w:rFonts w:hint="eastAsia"/>
          <w:color w:val="auto"/>
        </w:rPr>
        <w:t>妥善安排运输车辆，尽量减少车辆在夜间行驶，并对车速进行限制，减少鸣笛。</w:t>
      </w:r>
    </w:p>
    <w:p w14:paraId="6986BA80">
      <w:pPr>
        <w:numPr>
          <w:ilvl w:val="0"/>
          <w:numId w:val="9"/>
        </w:numPr>
        <w:ind w:firstLine="480"/>
        <w:rPr>
          <w:color w:val="auto"/>
        </w:rPr>
      </w:pPr>
      <w:r>
        <w:rPr>
          <w:rFonts w:hint="eastAsia"/>
          <w:color w:val="auto"/>
        </w:rPr>
        <w:t>拟建项目离龙狗坑村较近，施工的过程中可能对其正常生产生活造成一定影响。因此，在施工过程中，应在西厂界施工场地外修建围墙隔音，尽量使噪声大的施工及写原理东厂界作业，若无法避免高噪声施工机械在东厂界作业，应为施工机械加装消音器，减振垫等减震措施。同时应严格控制施工时间，施工时间应控制在6：00~12:00,14:30~22:00。因施工工艺特殊需要必须夜间施工的，必须到环保部门办理相关手续，并以公告的形式告知周边村民夜间施工的理由、施工日期、施工时间的长短。</w:t>
      </w:r>
    </w:p>
    <w:p w14:paraId="70ADC0A0">
      <w:pPr>
        <w:pStyle w:val="4"/>
        <w:rPr>
          <w:color w:val="auto"/>
        </w:rPr>
      </w:pPr>
      <w:bookmarkStart w:id="587" w:name="_Toc225216865"/>
      <w:r>
        <w:rPr>
          <w:rFonts w:hint="eastAsia"/>
          <w:color w:val="auto"/>
        </w:rPr>
        <w:t>施工期固体废物防治措施</w:t>
      </w:r>
      <w:bookmarkEnd w:id="587"/>
    </w:p>
    <w:p w14:paraId="54C3AB31">
      <w:pPr>
        <w:ind w:firstLine="480"/>
        <w:rPr>
          <w:color w:val="auto"/>
        </w:rPr>
      </w:pPr>
      <w:r>
        <w:rPr>
          <w:color w:val="auto"/>
        </w:rPr>
        <w:t>施工期的固体废物主要包括施建筑垃圾和施工人员的生活垃圾，须对这些固废妥善收集、合理处置，应采取如下措施：</w:t>
      </w:r>
    </w:p>
    <w:p w14:paraId="718B5462">
      <w:pPr>
        <w:ind w:firstLine="480"/>
        <w:rPr>
          <w:color w:val="auto"/>
        </w:rPr>
      </w:pPr>
      <w:r>
        <w:rPr>
          <w:color w:val="auto"/>
        </w:rPr>
        <w:t>（1）对工程产生的弃土、建筑垃圾和其它固体废物，需收集并运送至相关部门指定的地方处置。</w:t>
      </w:r>
    </w:p>
    <w:p w14:paraId="09312ECA">
      <w:pPr>
        <w:ind w:firstLine="480"/>
        <w:rPr>
          <w:color w:val="auto"/>
        </w:rPr>
      </w:pPr>
      <w:r>
        <w:rPr>
          <w:color w:val="auto"/>
        </w:rPr>
        <w:t>（2）废混凝土块、散落的砂浆、碎砖渣等尽量回用于场地平整，金属、包装材料等废物可回收利用</w:t>
      </w:r>
    </w:p>
    <w:p w14:paraId="3EDCA02C">
      <w:pPr>
        <w:ind w:firstLine="480"/>
        <w:rPr>
          <w:color w:val="auto"/>
        </w:rPr>
      </w:pPr>
      <w:r>
        <w:rPr>
          <w:color w:val="auto"/>
        </w:rPr>
        <w:t>（3）对施工场地人员产生的生活垃圾，应采用定点收集方式，设立专门的容器加以收集，由环卫部门统一收集运送至垃圾处理场集中处理，禁止随意堆放、倾倒垃圾和固体废物。</w:t>
      </w:r>
    </w:p>
    <w:p w14:paraId="30F998F1">
      <w:pPr>
        <w:ind w:firstLine="480"/>
        <w:rPr>
          <w:color w:val="auto"/>
        </w:rPr>
      </w:pPr>
      <w:r>
        <w:rPr>
          <w:color w:val="auto"/>
        </w:rPr>
        <w:t>通过以上控制措施，项目施工期的固体废物均能得到合理处置与利用。不会对周边敏感点产生较大影响。</w:t>
      </w:r>
    </w:p>
    <w:p w14:paraId="726D3109">
      <w:pPr>
        <w:ind w:firstLine="480"/>
        <w:rPr>
          <w:color w:val="auto"/>
        </w:rPr>
      </w:pPr>
      <w:r>
        <w:rPr>
          <w:color w:val="auto"/>
        </w:rPr>
        <w:t>综上所述，建设项目施工期对周边敏感点的环境影响不会造成较大影响，且影响是暂时的，施工结束后，影响区域的各环境要素基本可以得到恢复。</w:t>
      </w:r>
    </w:p>
    <w:p w14:paraId="61FF1E27">
      <w:pPr>
        <w:ind w:firstLine="480"/>
        <w:rPr>
          <w:color w:val="auto"/>
        </w:rPr>
      </w:pPr>
    </w:p>
    <w:p w14:paraId="1334AFFD">
      <w:pPr>
        <w:pStyle w:val="3"/>
        <w:rPr>
          <w:color w:val="auto"/>
        </w:rPr>
      </w:pPr>
      <w:bookmarkStart w:id="588" w:name="_Toc225216866"/>
      <w:bookmarkStart w:id="589" w:name="_Toc221355748"/>
      <w:r>
        <w:rPr>
          <w:rFonts w:hint="eastAsia"/>
          <w:color w:val="auto"/>
        </w:rPr>
        <w:t>运营期污染防治措施及可行性分析</w:t>
      </w:r>
      <w:bookmarkEnd w:id="588"/>
      <w:bookmarkEnd w:id="589"/>
    </w:p>
    <w:p w14:paraId="67502D03">
      <w:pPr>
        <w:pStyle w:val="4"/>
        <w:rPr>
          <w:color w:val="auto"/>
        </w:rPr>
      </w:pPr>
      <w:bookmarkStart w:id="590" w:name="_Toc225216867"/>
      <w:r>
        <w:rPr>
          <w:rFonts w:hint="eastAsia"/>
          <w:color w:val="auto"/>
        </w:rPr>
        <w:t>运营期大气污染物防治措施</w:t>
      </w:r>
      <w:bookmarkEnd w:id="590"/>
    </w:p>
    <w:p w14:paraId="09DBBD76">
      <w:pPr>
        <w:ind w:firstLine="480"/>
        <w:rPr>
          <w:color w:val="auto"/>
        </w:rPr>
      </w:pPr>
      <w:r>
        <w:rPr>
          <w:rFonts w:hint="eastAsia"/>
          <w:color w:val="auto"/>
        </w:rPr>
        <w:t>拟建项目新增废气排放源分为淋膜纸车间有组织废气、污水处理站收集废气。与淋膜纸车间无组织废气、污水处理站无组织废气。</w:t>
      </w:r>
    </w:p>
    <w:p w14:paraId="4E000486">
      <w:pPr>
        <w:ind w:firstLine="480"/>
        <w:rPr>
          <w:color w:val="auto"/>
        </w:rPr>
      </w:pPr>
      <w:r>
        <w:rPr>
          <w:rFonts w:hint="eastAsia"/>
          <w:color w:val="auto"/>
        </w:rPr>
        <w:t>（1）大气污染防治措施</w:t>
      </w:r>
    </w:p>
    <w:p w14:paraId="71BA6C68">
      <w:pPr>
        <w:ind w:firstLine="480"/>
        <w:rPr>
          <w:color w:val="auto"/>
        </w:rPr>
      </w:pPr>
      <w:r>
        <w:rPr>
          <w:rFonts w:hint="eastAsia"/>
          <w:color w:val="auto"/>
        </w:rPr>
        <w:t>项目大气污染防治措施详见下表。</w:t>
      </w:r>
    </w:p>
    <w:p w14:paraId="17DDC8EC">
      <w:pPr>
        <w:pStyle w:val="7"/>
        <w:rPr>
          <w:color w:val="auto"/>
        </w:rPr>
      </w:pPr>
      <w:r>
        <w:rPr>
          <w:rFonts w:hint="eastAsia"/>
          <w:color w:val="auto"/>
        </w:rPr>
        <w:t>大气污染防治措施一览表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5"/>
        <w:gridCol w:w="1023"/>
        <w:gridCol w:w="1114"/>
        <w:gridCol w:w="2519"/>
        <w:gridCol w:w="903"/>
        <w:gridCol w:w="2402"/>
      </w:tblGrid>
      <w:tr w14:paraId="18AFE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0" w:type="auto"/>
            <w:vAlign w:val="center"/>
          </w:tcPr>
          <w:p w14:paraId="3271B205">
            <w:pPr>
              <w:pStyle w:val="33"/>
              <w:rPr>
                <w:color w:val="auto"/>
              </w:rPr>
            </w:pPr>
            <w:r>
              <w:rPr>
                <w:color w:val="auto"/>
              </w:rPr>
              <w:t>生产线</w:t>
            </w:r>
          </w:p>
        </w:tc>
        <w:tc>
          <w:tcPr>
            <w:tcW w:w="1023" w:type="dxa"/>
            <w:vAlign w:val="center"/>
          </w:tcPr>
          <w:p w14:paraId="4EC72AB4">
            <w:pPr>
              <w:pStyle w:val="33"/>
              <w:rPr>
                <w:color w:val="auto"/>
              </w:rPr>
            </w:pPr>
            <w:r>
              <w:rPr>
                <w:color w:val="auto"/>
              </w:rPr>
              <w:t>污染源</w:t>
            </w:r>
          </w:p>
        </w:tc>
        <w:tc>
          <w:tcPr>
            <w:tcW w:w="1114" w:type="dxa"/>
            <w:vAlign w:val="center"/>
          </w:tcPr>
          <w:p w14:paraId="49BE20C5">
            <w:pPr>
              <w:pStyle w:val="33"/>
              <w:rPr>
                <w:color w:val="auto"/>
              </w:rPr>
            </w:pPr>
            <w:r>
              <w:rPr>
                <w:color w:val="auto"/>
              </w:rPr>
              <w:t>污染因子</w:t>
            </w:r>
          </w:p>
        </w:tc>
        <w:tc>
          <w:tcPr>
            <w:tcW w:w="2519" w:type="dxa"/>
            <w:vAlign w:val="center"/>
          </w:tcPr>
          <w:p w14:paraId="1DFBF631">
            <w:pPr>
              <w:pStyle w:val="33"/>
              <w:rPr>
                <w:color w:val="auto"/>
              </w:rPr>
            </w:pPr>
            <w:r>
              <w:rPr>
                <w:color w:val="auto"/>
              </w:rPr>
              <w:t>环保措施</w:t>
            </w:r>
          </w:p>
        </w:tc>
        <w:tc>
          <w:tcPr>
            <w:tcW w:w="903" w:type="dxa"/>
            <w:vAlign w:val="center"/>
          </w:tcPr>
          <w:p w14:paraId="66207A5C">
            <w:pPr>
              <w:pStyle w:val="33"/>
              <w:rPr>
                <w:color w:val="auto"/>
              </w:rPr>
            </w:pPr>
            <w:r>
              <w:rPr>
                <w:color w:val="auto"/>
              </w:rPr>
              <w:t>排放方式</w:t>
            </w:r>
          </w:p>
        </w:tc>
        <w:tc>
          <w:tcPr>
            <w:tcW w:w="2402" w:type="dxa"/>
            <w:vAlign w:val="center"/>
          </w:tcPr>
          <w:p w14:paraId="0702FCFB">
            <w:pPr>
              <w:pStyle w:val="33"/>
              <w:rPr>
                <w:color w:val="auto"/>
              </w:rPr>
            </w:pPr>
            <w:r>
              <w:rPr>
                <w:color w:val="auto"/>
              </w:rPr>
              <w:t>排放去向</w:t>
            </w:r>
          </w:p>
        </w:tc>
      </w:tr>
      <w:tr w14:paraId="04830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tcPr>
          <w:p w14:paraId="308B3038">
            <w:pPr>
              <w:pStyle w:val="33"/>
              <w:rPr>
                <w:color w:val="auto"/>
              </w:rPr>
            </w:pPr>
            <w:r>
              <w:rPr>
                <w:rFonts w:hint="eastAsia"/>
                <w:color w:val="auto"/>
              </w:rPr>
              <w:t>淋膜纸生产线有组织废气</w:t>
            </w:r>
          </w:p>
        </w:tc>
        <w:tc>
          <w:tcPr>
            <w:tcW w:w="1023" w:type="dxa"/>
            <w:vAlign w:val="center"/>
          </w:tcPr>
          <w:p w14:paraId="66C5A2CB">
            <w:pPr>
              <w:pStyle w:val="33"/>
              <w:rPr>
                <w:color w:val="auto"/>
              </w:rPr>
            </w:pPr>
            <w:r>
              <w:rPr>
                <w:rFonts w:hint="eastAsia"/>
                <w:color w:val="auto"/>
              </w:rPr>
              <w:t>淋膜纸车间</w:t>
            </w:r>
          </w:p>
        </w:tc>
        <w:tc>
          <w:tcPr>
            <w:tcW w:w="1114" w:type="dxa"/>
            <w:vAlign w:val="center"/>
          </w:tcPr>
          <w:p w14:paraId="47032667">
            <w:pPr>
              <w:pStyle w:val="33"/>
              <w:rPr>
                <w:color w:val="auto"/>
              </w:rPr>
            </w:pPr>
            <w:r>
              <w:rPr>
                <w:rFonts w:hint="eastAsia"/>
                <w:color w:val="auto"/>
              </w:rPr>
              <w:t>挥发性有机气体</w:t>
            </w:r>
          </w:p>
        </w:tc>
        <w:tc>
          <w:tcPr>
            <w:tcW w:w="2519" w:type="dxa"/>
            <w:vAlign w:val="center"/>
          </w:tcPr>
          <w:p w14:paraId="5EE52365">
            <w:pPr>
              <w:pStyle w:val="33"/>
              <w:rPr>
                <w:color w:val="auto"/>
              </w:rPr>
            </w:pPr>
            <w:r>
              <w:rPr>
                <w:rFonts w:hint="eastAsia"/>
                <w:color w:val="auto"/>
              </w:rPr>
              <w:t>经过活性炭吸附后通过排气筒排放</w:t>
            </w:r>
          </w:p>
        </w:tc>
        <w:tc>
          <w:tcPr>
            <w:tcW w:w="903" w:type="dxa"/>
            <w:vAlign w:val="center"/>
          </w:tcPr>
          <w:p w14:paraId="178BBBB3">
            <w:pPr>
              <w:pStyle w:val="33"/>
              <w:rPr>
                <w:color w:val="auto"/>
              </w:rPr>
            </w:pPr>
            <w:r>
              <w:rPr>
                <w:rFonts w:cs="Times New Roman"/>
                <w:color w:val="auto"/>
                <w:szCs w:val="20"/>
              </w:rPr>
              <w:t>连续</w:t>
            </w:r>
          </w:p>
        </w:tc>
        <w:tc>
          <w:tcPr>
            <w:tcW w:w="2402" w:type="dxa"/>
            <w:vAlign w:val="center"/>
          </w:tcPr>
          <w:p w14:paraId="66AC8BFB">
            <w:pPr>
              <w:pStyle w:val="33"/>
              <w:rPr>
                <w:color w:val="auto"/>
              </w:rPr>
            </w:pPr>
            <w:r>
              <w:rPr>
                <w:rFonts w:hint="eastAsia"/>
                <w:color w:val="auto"/>
              </w:rPr>
              <w:t>18m高排气筒排放</w:t>
            </w:r>
          </w:p>
        </w:tc>
      </w:tr>
      <w:tr w14:paraId="095BC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tcPr>
          <w:p w14:paraId="30C0235C">
            <w:pPr>
              <w:pStyle w:val="33"/>
              <w:rPr>
                <w:color w:val="auto"/>
              </w:rPr>
            </w:pPr>
            <w:r>
              <w:rPr>
                <w:rFonts w:hint="eastAsia"/>
                <w:color w:val="auto"/>
              </w:rPr>
              <w:t>淋膜纸生产线无组织废气</w:t>
            </w:r>
          </w:p>
        </w:tc>
        <w:tc>
          <w:tcPr>
            <w:tcW w:w="1023" w:type="dxa"/>
            <w:vAlign w:val="center"/>
          </w:tcPr>
          <w:p w14:paraId="56194BF3">
            <w:pPr>
              <w:pStyle w:val="33"/>
              <w:rPr>
                <w:color w:val="auto"/>
              </w:rPr>
            </w:pPr>
            <w:r>
              <w:rPr>
                <w:rFonts w:hint="eastAsia"/>
                <w:color w:val="auto"/>
              </w:rPr>
              <w:t>淋膜纸车间</w:t>
            </w:r>
          </w:p>
        </w:tc>
        <w:tc>
          <w:tcPr>
            <w:tcW w:w="1114" w:type="dxa"/>
            <w:vAlign w:val="center"/>
          </w:tcPr>
          <w:p w14:paraId="238386B7">
            <w:pPr>
              <w:pStyle w:val="33"/>
              <w:rPr>
                <w:color w:val="auto"/>
              </w:rPr>
            </w:pPr>
            <w:r>
              <w:rPr>
                <w:rFonts w:hint="eastAsia"/>
                <w:color w:val="auto"/>
              </w:rPr>
              <w:t>挥发性有机气体</w:t>
            </w:r>
          </w:p>
        </w:tc>
        <w:tc>
          <w:tcPr>
            <w:tcW w:w="2519" w:type="dxa"/>
            <w:vAlign w:val="center"/>
          </w:tcPr>
          <w:p w14:paraId="07D3E15E">
            <w:pPr>
              <w:pStyle w:val="33"/>
              <w:rPr>
                <w:color w:val="auto"/>
              </w:rPr>
            </w:pPr>
            <w:r>
              <w:rPr>
                <w:rFonts w:hint="eastAsia"/>
                <w:color w:val="auto"/>
              </w:rPr>
              <w:t>集气罩收集</w:t>
            </w:r>
          </w:p>
        </w:tc>
        <w:tc>
          <w:tcPr>
            <w:tcW w:w="903" w:type="dxa"/>
            <w:vAlign w:val="center"/>
          </w:tcPr>
          <w:p w14:paraId="6679802E">
            <w:pPr>
              <w:pStyle w:val="33"/>
              <w:rPr>
                <w:color w:val="auto"/>
              </w:rPr>
            </w:pPr>
            <w:r>
              <w:rPr>
                <w:rFonts w:hint="eastAsia" w:cs="Times New Roman"/>
                <w:color w:val="auto"/>
                <w:szCs w:val="20"/>
              </w:rPr>
              <w:t>连续</w:t>
            </w:r>
          </w:p>
        </w:tc>
        <w:tc>
          <w:tcPr>
            <w:tcW w:w="2402" w:type="dxa"/>
            <w:vAlign w:val="center"/>
          </w:tcPr>
          <w:p w14:paraId="5E3744EB">
            <w:pPr>
              <w:pStyle w:val="33"/>
              <w:rPr>
                <w:color w:val="auto"/>
              </w:rPr>
            </w:pPr>
            <w:r>
              <w:rPr>
                <w:rFonts w:hint="eastAsia"/>
                <w:color w:val="auto"/>
              </w:rPr>
              <w:t>无组织排放</w:t>
            </w:r>
          </w:p>
        </w:tc>
      </w:tr>
      <w:tr w14:paraId="346D7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Align w:val="center"/>
          </w:tcPr>
          <w:p w14:paraId="21F6EB4A">
            <w:pPr>
              <w:pStyle w:val="33"/>
              <w:rPr>
                <w:color w:val="auto"/>
              </w:rPr>
            </w:pPr>
            <w:r>
              <w:rPr>
                <w:rFonts w:hint="eastAsia"/>
                <w:color w:val="auto"/>
              </w:rPr>
              <w:t>污水处理站有组织废气</w:t>
            </w:r>
          </w:p>
        </w:tc>
        <w:tc>
          <w:tcPr>
            <w:tcW w:w="1023" w:type="dxa"/>
            <w:vAlign w:val="center"/>
          </w:tcPr>
          <w:p w14:paraId="18AD3D98">
            <w:pPr>
              <w:pStyle w:val="33"/>
              <w:rPr>
                <w:color w:val="auto"/>
              </w:rPr>
            </w:pPr>
            <w:r>
              <w:rPr>
                <w:rFonts w:hint="eastAsia"/>
                <w:color w:val="auto"/>
              </w:rPr>
              <w:t>新建污水处理站</w:t>
            </w:r>
          </w:p>
        </w:tc>
        <w:tc>
          <w:tcPr>
            <w:tcW w:w="1114" w:type="dxa"/>
            <w:vAlign w:val="center"/>
          </w:tcPr>
          <w:p w14:paraId="49209D2D">
            <w:pPr>
              <w:pStyle w:val="33"/>
              <w:rPr>
                <w:color w:val="auto"/>
              </w:rPr>
            </w:pPr>
            <w:r>
              <w:rPr>
                <w:rFonts w:hint="eastAsia"/>
                <w:color w:val="auto"/>
              </w:rPr>
              <w:t>硫化氢、氨气、臭气</w:t>
            </w:r>
          </w:p>
        </w:tc>
        <w:tc>
          <w:tcPr>
            <w:tcW w:w="2519" w:type="dxa"/>
            <w:vAlign w:val="center"/>
          </w:tcPr>
          <w:p w14:paraId="033AA097">
            <w:pPr>
              <w:pStyle w:val="33"/>
              <w:rPr>
                <w:color w:val="auto"/>
              </w:rPr>
            </w:pPr>
            <w:r>
              <w:rPr>
                <w:rFonts w:hint="eastAsia"/>
                <w:color w:val="auto"/>
              </w:rPr>
              <w:t>加盖密闭收集恶臭气体，通过</w:t>
            </w:r>
            <w:r>
              <w:rPr>
                <w:color w:val="auto"/>
              </w:rPr>
              <w:t>碱喷淋+生物除臭滤池</w:t>
            </w:r>
            <w:r>
              <w:rPr>
                <w:rFonts w:hint="eastAsia"/>
                <w:color w:val="auto"/>
              </w:rPr>
              <w:t>对臭气进行处理</w:t>
            </w:r>
          </w:p>
        </w:tc>
        <w:tc>
          <w:tcPr>
            <w:tcW w:w="903" w:type="dxa"/>
            <w:vAlign w:val="center"/>
          </w:tcPr>
          <w:p w14:paraId="7B2F8124">
            <w:pPr>
              <w:pStyle w:val="33"/>
              <w:rPr>
                <w:color w:val="auto"/>
              </w:rPr>
            </w:pPr>
            <w:r>
              <w:rPr>
                <w:rFonts w:cs="Times New Roman"/>
                <w:color w:val="auto"/>
                <w:szCs w:val="20"/>
              </w:rPr>
              <w:t>连续</w:t>
            </w:r>
          </w:p>
        </w:tc>
        <w:tc>
          <w:tcPr>
            <w:tcW w:w="2402" w:type="dxa"/>
            <w:vAlign w:val="center"/>
          </w:tcPr>
          <w:p w14:paraId="687A3C70">
            <w:pPr>
              <w:pStyle w:val="33"/>
              <w:rPr>
                <w:color w:val="auto"/>
              </w:rPr>
            </w:pPr>
            <w:r>
              <w:rPr>
                <w:rFonts w:hint="eastAsia"/>
                <w:color w:val="auto"/>
              </w:rPr>
              <w:t>15m高排气筒排放</w:t>
            </w:r>
          </w:p>
        </w:tc>
      </w:tr>
      <w:tr w14:paraId="25618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Align w:val="center"/>
          </w:tcPr>
          <w:p w14:paraId="6677F43A">
            <w:pPr>
              <w:pStyle w:val="33"/>
              <w:rPr>
                <w:color w:val="auto"/>
              </w:rPr>
            </w:pPr>
            <w:r>
              <w:rPr>
                <w:rFonts w:hint="eastAsia"/>
                <w:color w:val="auto"/>
              </w:rPr>
              <w:t>污水处理站无组织废气</w:t>
            </w:r>
          </w:p>
        </w:tc>
        <w:tc>
          <w:tcPr>
            <w:tcW w:w="1023" w:type="dxa"/>
            <w:vAlign w:val="center"/>
          </w:tcPr>
          <w:p w14:paraId="22E153A0">
            <w:pPr>
              <w:pStyle w:val="33"/>
              <w:rPr>
                <w:color w:val="auto"/>
              </w:rPr>
            </w:pPr>
            <w:r>
              <w:rPr>
                <w:rFonts w:hint="eastAsia"/>
                <w:color w:val="auto"/>
              </w:rPr>
              <w:t>新建污水处理站</w:t>
            </w:r>
          </w:p>
        </w:tc>
        <w:tc>
          <w:tcPr>
            <w:tcW w:w="1114" w:type="dxa"/>
            <w:vAlign w:val="center"/>
          </w:tcPr>
          <w:p w14:paraId="3951F2F3">
            <w:pPr>
              <w:pStyle w:val="33"/>
              <w:rPr>
                <w:color w:val="auto"/>
              </w:rPr>
            </w:pPr>
            <w:r>
              <w:rPr>
                <w:rFonts w:hint="eastAsia"/>
                <w:color w:val="auto"/>
              </w:rPr>
              <w:t>硫化氢、氨气、臭气</w:t>
            </w:r>
          </w:p>
        </w:tc>
        <w:tc>
          <w:tcPr>
            <w:tcW w:w="2519" w:type="dxa"/>
            <w:vAlign w:val="center"/>
          </w:tcPr>
          <w:p w14:paraId="17E2153E">
            <w:pPr>
              <w:pStyle w:val="33"/>
              <w:rPr>
                <w:color w:val="auto"/>
              </w:rPr>
            </w:pPr>
            <w:r>
              <w:rPr>
                <w:rFonts w:hint="eastAsia"/>
                <w:color w:val="auto"/>
              </w:rPr>
              <w:t>周边绿化、定期喷洒除臭剂</w:t>
            </w:r>
          </w:p>
        </w:tc>
        <w:tc>
          <w:tcPr>
            <w:tcW w:w="903" w:type="dxa"/>
            <w:vAlign w:val="center"/>
          </w:tcPr>
          <w:p w14:paraId="5755B181">
            <w:pPr>
              <w:pStyle w:val="33"/>
              <w:rPr>
                <w:color w:val="auto"/>
              </w:rPr>
            </w:pPr>
            <w:r>
              <w:rPr>
                <w:rFonts w:hint="eastAsia"/>
                <w:color w:val="auto"/>
              </w:rPr>
              <w:t>连续</w:t>
            </w:r>
          </w:p>
        </w:tc>
        <w:tc>
          <w:tcPr>
            <w:tcW w:w="2402" w:type="dxa"/>
            <w:vAlign w:val="center"/>
          </w:tcPr>
          <w:p w14:paraId="0D8794BB">
            <w:pPr>
              <w:pStyle w:val="33"/>
              <w:rPr>
                <w:color w:val="auto"/>
              </w:rPr>
            </w:pPr>
            <w:r>
              <w:rPr>
                <w:rFonts w:hint="eastAsia"/>
                <w:color w:val="auto"/>
              </w:rPr>
              <w:t>无组织排放</w:t>
            </w:r>
          </w:p>
        </w:tc>
      </w:tr>
      <w:tr w14:paraId="57674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Align w:val="center"/>
          </w:tcPr>
          <w:p w14:paraId="2AB2B8AF">
            <w:pPr>
              <w:pStyle w:val="33"/>
              <w:rPr>
                <w:color w:val="auto"/>
              </w:rPr>
            </w:pPr>
            <w:r>
              <w:rPr>
                <w:rFonts w:hint="eastAsia"/>
                <w:color w:val="auto"/>
              </w:rPr>
              <w:t>造纸辅助车间无组织废气</w:t>
            </w:r>
          </w:p>
        </w:tc>
        <w:tc>
          <w:tcPr>
            <w:tcW w:w="1023" w:type="dxa"/>
            <w:vAlign w:val="center"/>
          </w:tcPr>
          <w:p w14:paraId="2563E9D7">
            <w:pPr>
              <w:pStyle w:val="33"/>
              <w:rPr>
                <w:color w:val="auto"/>
              </w:rPr>
            </w:pPr>
            <w:r>
              <w:rPr>
                <w:rFonts w:hint="eastAsia"/>
                <w:color w:val="auto"/>
              </w:rPr>
              <w:t>造纸辅助车间</w:t>
            </w:r>
          </w:p>
        </w:tc>
        <w:tc>
          <w:tcPr>
            <w:tcW w:w="1114" w:type="dxa"/>
            <w:vAlign w:val="center"/>
          </w:tcPr>
          <w:p w14:paraId="050EB5E6">
            <w:pPr>
              <w:pStyle w:val="33"/>
              <w:rPr>
                <w:color w:val="auto"/>
              </w:rPr>
            </w:pPr>
            <w:r>
              <w:rPr>
                <w:rFonts w:hint="eastAsia"/>
                <w:color w:val="auto"/>
              </w:rPr>
              <w:t>颗粒物</w:t>
            </w:r>
          </w:p>
        </w:tc>
        <w:tc>
          <w:tcPr>
            <w:tcW w:w="2519" w:type="dxa"/>
            <w:vAlign w:val="center"/>
          </w:tcPr>
          <w:p w14:paraId="2064F566">
            <w:pPr>
              <w:pStyle w:val="33"/>
              <w:rPr>
                <w:color w:val="auto"/>
              </w:rPr>
            </w:pPr>
            <w:r>
              <w:rPr>
                <w:rFonts w:hint="eastAsia"/>
                <w:color w:val="auto"/>
              </w:rPr>
              <w:t>喷淋、采用封闭式破碎机、输送段采用集气装置并安装布袋除尘器等</w:t>
            </w:r>
          </w:p>
        </w:tc>
        <w:tc>
          <w:tcPr>
            <w:tcW w:w="903" w:type="dxa"/>
            <w:vAlign w:val="center"/>
          </w:tcPr>
          <w:p w14:paraId="5C271069">
            <w:pPr>
              <w:pStyle w:val="33"/>
              <w:rPr>
                <w:color w:val="auto"/>
              </w:rPr>
            </w:pPr>
            <w:r>
              <w:rPr>
                <w:rFonts w:hint="eastAsia"/>
                <w:color w:val="auto"/>
              </w:rPr>
              <w:t>连续</w:t>
            </w:r>
          </w:p>
        </w:tc>
        <w:tc>
          <w:tcPr>
            <w:tcW w:w="2402" w:type="dxa"/>
            <w:vAlign w:val="center"/>
          </w:tcPr>
          <w:p w14:paraId="61AD7B7C">
            <w:pPr>
              <w:pStyle w:val="33"/>
              <w:rPr>
                <w:color w:val="auto"/>
              </w:rPr>
            </w:pPr>
            <w:r>
              <w:rPr>
                <w:rFonts w:hint="eastAsia"/>
                <w:color w:val="auto"/>
              </w:rPr>
              <w:t>无组织排放</w:t>
            </w:r>
          </w:p>
        </w:tc>
      </w:tr>
      <w:tr w14:paraId="05E14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trPr>
        <w:tc>
          <w:tcPr>
            <w:tcW w:w="0" w:type="auto"/>
            <w:vAlign w:val="center"/>
          </w:tcPr>
          <w:p w14:paraId="2F39625B">
            <w:pPr>
              <w:pStyle w:val="33"/>
              <w:rPr>
                <w:color w:val="auto"/>
              </w:rPr>
            </w:pPr>
            <w:r>
              <w:rPr>
                <w:rFonts w:hint="eastAsia"/>
                <w:color w:val="auto"/>
              </w:rPr>
              <w:t>造纸车间天然气燃烧废气</w:t>
            </w:r>
          </w:p>
        </w:tc>
        <w:tc>
          <w:tcPr>
            <w:tcW w:w="1023" w:type="dxa"/>
            <w:vAlign w:val="center"/>
          </w:tcPr>
          <w:p w14:paraId="477F03B7">
            <w:pPr>
              <w:pStyle w:val="33"/>
              <w:rPr>
                <w:color w:val="auto"/>
              </w:rPr>
            </w:pPr>
            <w:r>
              <w:rPr>
                <w:rFonts w:hint="eastAsia"/>
                <w:color w:val="auto"/>
              </w:rPr>
              <w:t>造纸车间</w:t>
            </w:r>
          </w:p>
        </w:tc>
        <w:tc>
          <w:tcPr>
            <w:tcW w:w="1114" w:type="dxa"/>
            <w:vAlign w:val="center"/>
          </w:tcPr>
          <w:p w14:paraId="6EBE6855">
            <w:pPr>
              <w:pStyle w:val="33"/>
              <w:rPr>
                <w:color w:val="auto"/>
              </w:rPr>
            </w:pPr>
            <w:r>
              <w:rPr>
                <w:rFonts w:hint="eastAsia"/>
                <w:color w:val="auto"/>
              </w:rPr>
              <w:t>二氧化硫、氮氧化物、烟尘</w:t>
            </w:r>
          </w:p>
        </w:tc>
        <w:tc>
          <w:tcPr>
            <w:tcW w:w="2519" w:type="dxa"/>
            <w:vAlign w:val="center"/>
          </w:tcPr>
          <w:p w14:paraId="19B57174">
            <w:pPr>
              <w:pStyle w:val="33"/>
              <w:rPr>
                <w:color w:val="auto"/>
              </w:rPr>
            </w:pPr>
            <w:r>
              <w:rPr>
                <w:rFonts w:hint="eastAsia"/>
                <w:color w:val="auto"/>
              </w:rPr>
              <w:t>经车间顶部排气筒排放</w:t>
            </w:r>
          </w:p>
        </w:tc>
        <w:tc>
          <w:tcPr>
            <w:tcW w:w="903" w:type="dxa"/>
            <w:vAlign w:val="center"/>
          </w:tcPr>
          <w:p w14:paraId="60CE2A42">
            <w:pPr>
              <w:pStyle w:val="33"/>
              <w:rPr>
                <w:color w:val="auto"/>
              </w:rPr>
            </w:pPr>
            <w:r>
              <w:rPr>
                <w:rFonts w:hint="eastAsia"/>
                <w:color w:val="auto"/>
              </w:rPr>
              <w:t>连续</w:t>
            </w:r>
          </w:p>
        </w:tc>
        <w:tc>
          <w:tcPr>
            <w:tcW w:w="2402" w:type="dxa"/>
            <w:vAlign w:val="center"/>
          </w:tcPr>
          <w:p w14:paraId="60380BE1">
            <w:pPr>
              <w:pStyle w:val="33"/>
              <w:rPr>
                <w:color w:val="auto"/>
                <w:spacing w:val="-6"/>
              </w:rPr>
            </w:pPr>
            <w:r>
              <w:rPr>
                <w:rFonts w:hint="eastAsia"/>
                <w:color w:val="auto"/>
              </w:rPr>
              <w:t>1#造纸车间天然气燃烧废气5根</w:t>
            </w:r>
            <w:r>
              <w:rPr>
                <w:rFonts w:eastAsia="Times New Roman" w:cs="Times New Roman"/>
                <w:color w:val="auto"/>
                <w:spacing w:val="-6"/>
              </w:rPr>
              <w:t>30mH</w:t>
            </w:r>
            <w:r>
              <w:rPr>
                <w:rFonts w:hint="eastAsia" w:cs="Times New Roman"/>
                <w:color w:val="auto"/>
                <w:spacing w:val="-6"/>
              </w:rPr>
              <w:t>与2根</w:t>
            </w:r>
            <w:r>
              <w:rPr>
                <w:rFonts w:eastAsia="Times New Roman" w:cs="Times New Roman"/>
                <w:color w:val="auto"/>
                <w:spacing w:val="-6"/>
              </w:rPr>
              <w:t>20m</w:t>
            </w:r>
            <w:r>
              <w:rPr>
                <w:rFonts w:cs="Times New Roman"/>
                <w:color w:val="auto"/>
                <w:spacing w:val="-6"/>
              </w:rPr>
              <w:t>排气筒排放</w:t>
            </w:r>
            <w:r>
              <w:rPr>
                <w:rFonts w:hint="eastAsia" w:cs="Times New Roman"/>
                <w:color w:val="auto"/>
                <w:spacing w:val="-6"/>
              </w:rPr>
              <w:t>；</w:t>
            </w:r>
          </w:p>
          <w:p w14:paraId="612C91C6">
            <w:pPr>
              <w:pStyle w:val="33"/>
              <w:rPr>
                <w:color w:val="auto"/>
                <w:spacing w:val="-6"/>
              </w:rPr>
            </w:pPr>
            <w:r>
              <w:rPr>
                <w:rFonts w:hint="eastAsia" w:cs="Times New Roman"/>
                <w:color w:val="auto"/>
                <w:spacing w:val="-6"/>
              </w:rPr>
              <w:t>2#造纸车间天然气燃烧废气经4根24m、1根26m、2根16m排气筒排放。</w:t>
            </w:r>
          </w:p>
        </w:tc>
      </w:tr>
    </w:tbl>
    <w:p w14:paraId="0740CFCD">
      <w:pPr>
        <w:widowControl/>
        <w:ind w:firstLine="480"/>
        <w:jc w:val="left"/>
        <w:rPr>
          <w:color w:val="auto"/>
        </w:rPr>
      </w:pPr>
      <w:r>
        <w:rPr>
          <w:rFonts w:hint="eastAsia"/>
          <w:color w:val="auto"/>
        </w:rPr>
        <w:t>①淋膜纸车间废气处理措施</w:t>
      </w:r>
    </w:p>
    <w:p w14:paraId="5C708F36">
      <w:pPr>
        <w:widowControl/>
        <w:ind w:firstLine="480"/>
        <w:jc w:val="left"/>
        <w:rPr>
          <w:color w:val="auto"/>
        </w:rPr>
      </w:pPr>
      <w:r>
        <w:rPr>
          <w:rFonts w:hint="eastAsia"/>
          <w:color w:val="auto"/>
        </w:rPr>
        <w:t>淋膜纸车间采用集气罩对产生的有机废气进行收集后，通过活性炭吸附进行处理。活性炭吸附是一种成熟且应用广泛的废气治理技术，其原理为：活性炭表面具有巨大的比表面积和发达的孔隙结构，通过比表面积带来的吸附能力将空气中的污染物“捕获”并固定在活性炭表面的孔隙结构中，从而净化废气。</w:t>
      </w:r>
    </w:p>
    <w:p w14:paraId="25DABA8E">
      <w:pPr>
        <w:ind w:firstLine="480"/>
        <w:rPr>
          <w:rFonts w:cs="Times New Roman"/>
          <w:color w:val="auto"/>
        </w:rPr>
      </w:pPr>
      <w:r>
        <w:rPr>
          <w:rFonts w:hint="eastAsia" w:cs="Times New Roman"/>
          <w:color w:val="auto"/>
        </w:rPr>
        <w:t>活性炭具有发达的空隙，比表面积大，具有很高的吸附能力。活性炭吸附的主要原理为分子间的范德华力，因此活性炭吸附为物理吸附过程，物理吸附的吸附强度主要与活性炭的物理性质有关，与活性炭的化学性质基本无关。由于范德华力较弱，对污染物分子的结构影响不大，这种力与分子间内聚力一样，故可把物理吸附类比为凝聚现象。物理吸附时污染物的化学性质仍然保持不变。</w:t>
      </w:r>
    </w:p>
    <w:p w14:paraId="5333996D">
      <w:pPr>
        <w:ind w:firstLine="480"/>
        <w:rPr>
          <w:rFonts w:cs="Times New Roman"/>
          <w:color w:val="auto"/>
        </w:rPr>
      </w:pPr>
      <w:r>
        <w:rPr>
          <w:rFonts w:hint="eastAsia" w:cs="Times New Roman"/>
          <w:color w:val="auto"/>
        </w:rPr>
        <w:t>活性炭吸附特点是：①吸附质（有机废气）和吸附剂（活性炭）相互不发生反应；②过程进行较快；③吸附剂本身性质在吸附过程中不变化；④吸附过程可逆。活性炭可吸附的有机物种类较多，吸附容量大，并在水蒸汽存在的情况下也可对混合气中的有机组份进行选择性吸附。</w:t>
      </w:r>
    </w:p>
    <w:p w14:paraId="7D91BB24">
      <w:pPr>
        <w:ind w:firstLine="480"/>
        <w:rPr>
          <w:rFonts w:cs="Times New Roman"/>
          <w:color w:val="auto"/>
        </w:rPr>
      </w:pPr>
      <w:r>
        <w:rPr>
          <w:rFonts w:hint="eastAsia" w:cs="Times New Roman"/>
          <w:color w:val="auto"/>
        </w:rPr>
        <w:t>目前活性炭吸附处理有机废气在工业中应用很广泛，其简便、实用、安全等特点为众多企业所接受，根据《挥发性有机物（</w:t>
      </w:r>
      <w:r>
        <w:rPr>
          <w:rFonts w:cs="Times New Roman"/>
          <w:color w:val="auto"/>
        </w:rPr>
        <w:t>VOCs</w:t>
      </w:r>
      <w:r>
        <w:rPr>
          <w:rFonts w:hint="eastAsia" w:cs="Times New Roman"/>
          <w:color w:val="auto"/>
        </w:rPr>
        <w:t>）活性炭吸附回收技术的综述》（四川环境，第</w:t>
      </w:r>
      <w:r>
        <w:rPr>
          <w:rFonts w:cs="Times New Roman"/>
          <w:color w:val="auto"/>
        </w:rPr>
        <w:t>26</w:t>
      </w:r>
      <w:r>
        <w:rPr>
          <w:rFonts w:hint="eastAsia" w:cs="Times New Roman"/>
          <w:color w:val="auto"/>
        </w:rPr>
        <w:t>卷第</w:t>
      </w:r>
      <w:r>
        <w:rPr>
          <w:rFonts w:cs="Times New Roman"/>
          <w:color w:val="auto"/>
        </w:rPr>
        <w:t>6</w:t>
      </w:r>
      <w:r>
        <w:rPr>
          <w:rFonts w:hint="eastAsia" w:cs="Times New Roman"/>
          <w:color w:val="auto"/>
        </w:rPr>
        <w:t>期，李婕、姜宁），活性炭装置对有机废气的回收率均达</w:t>
      </w:r>
      <w:r>
        <w:rPr>
          <w:rFonts w:cs="Times New Roman"/>
          <w:color w:val="auto"/>
        </w:rPr>
        <w:t>90%</w:t>
      </w:r>
      <w:r>
        <w:rPr>
          <w:rFonts w:hint="eastAsia" w:cs="Times New Roman"/>
          <w:color w:val="auto"/>
        </w:rPr>
        <w:t>以上。</w:t>
      </w:r>
    </w:p>
    <w:p w14:paraId="5AC55E65">
      <w:pPr>
        <w:ind w:firstLine="480"/>
        <w:rPr>
          <w:rFonts w:cs="Times New Roman"/>
          <w:color w:val="auto"/>
        </w:rPr>
      </w:pPr>
      <w:r>
        <w:rPr>
          <w:rFonts w:hint="eastAsia" w:cs="Times New Roman"/>
          <w:color w:val="auto"/>
        </w:rPr>
        <w:t>活性炭吸附装置主要由设备箱体和活性炭层组成，活性炭层是活性炭吸附装置的主要工作功能单元。活性炭吸附装置是处理有机废气、臭味处理效果最好的净化设备，大部分比较大的有机物分子、芳香族化合物、卤代烃等能牢固地吸附在活性炭表面上或空隙中。活性炭使用一段时间后需定期更换，更换的活性炭作为危险废物委托相关资质单位处理。</w:t>
      </w:r>
    </w:p>
    <w:p w14:paraId="60C32E84">
      <w:pPr>
        <w:topLinePunct/>
        <w:adjustRightInd w:val="0"/>
        <w:ind w:firstLine="420"/>
        <w:jc w:val="center"/>
        <w:rPr>
          <w:rFonts w:cs="Times New Roman"/>
          <w:color w:val="auto"/>
          <w:sz w:val="21"/>
        </w:rPr>
      </w:pPr>
      <w:r>
        <w:rPr>
          <w:rFonts w:cs="Times New Roman"/>
          <w:color w:val="auto"/>
          <w:sz w:val="21"/>
        </w:rPr>
        <w:drawing>
          <wp:inline distT="0" distB="0" distL="0" distR="0">
            <wp:extent cx="3895725" cy="2008505"/>
            <wp:effectExtent l="0" t="0" r="0" b="0"/>
            <wp:docPr id="121" name="图片 69" descr="C:\Users\Administrator\AppData\Local\Temp\ksohtml45540\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9" descr="C:\Users\Administrator\AppData\Local\Temp\ksohtml45540\wps3.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3895725" cy="2008505"/>
                    </a:xfrm>
                    <a:prstGeom prst="rect">
                      <a:avLst/>
                    </a:prstGeom>
                    <a:noFill/>
                    <a:ln>
                      <a:noFill/>
                    </a:ln>
                  </pic:spPr>
                </pic:pic>
              </a:graphicData>
            </a:graphic>
          </wp:inline>
        </w:drawing>
      </w:r>
    </w:p>
    <w:p w14:paraId="3ADC7863">
      <w:pPr>
        <w:ind w:firstLine="422"/>
        <w:jc w:val="center"/>
        <w:outlineLvl w:val="6"/>
        <w:rPr>
          <w:rFonts w:cs="Times New Roman"/>
          <w:b/>
          <w:bCs/>
          <w:color w:val="auto"/>
        </w:rPr>
      </w:pPr>
      <w:r>
        <w:rPr>
          <w:rStyle w:val="47"/>
          <w:rFonts w:hint="eastAsia"/>
          <w:color w:val="auto"/>
        </w:rPr>
        <w:t>图</w:t>
      </w:r>
      <w:r>
        <w:rPr>
          <w:rStyle w:val="47"/>
          <w:color w:val="auto"/>
        </w:rPr>
        <w:t>6.2-3</w:t>
      </w:r>
      <w:r>
        <w:rPr>
          <w:rFonts w:hint="eastAsia" w:cs="Times New Roman"/>
          <w:b/>
          <w:bCs/>
          <w:color w:val="auto"/>
        </w:rPr>
        <w:t>活性炭吸附装置结构示意图</w:t>
      </w:r>
    </w:p>
    <w:p w14:paraId="6532FD1B">
      <w:pPr>
        <w:widowControl/>
        <w:ind w:firstLine="480"/>
        <w:jc w:val="left"/>
        <w:rPr>
          <w:color w:val="auto"/>
          <w:highlight w:val="yellow"/>
        </w:rPr>
      </w:pPr>
      <w:r>
        <w:rPr>
          <w:rFonts w:hint="eastAsia" w:cs="Times New Roman"/>
          <w:color w:val="auto"/>
        </w:rPr>
        <w:t>项目活性炭每</w:t>
      </w:r>
      <w:r>
        <w:rPr>
          <w:rFonts w:cs="Times New Roman"/>
          <w:color w:val="auto"/>
        </w:rPr>
        <w:t>3</w:t>
      </w:r>
      <w:r>
        <w:rPr>
          <w:rFonts w:hint="eastAsia" w:cs="Times New Roman"/>
          <w:color w:val="auto"/>
        </w:rPr>
        <w:t>个月更换一次确保活性炭吸附活性，参考《广东省印刷行业挥发性有机化合物废气治理技术指南》表</w:t>
      </w:r>
      <w:r>
        <w:rPr>
          <w:rFonts w:cs="Times New Roman"/>
          <w:color w:val="auto"/>
        </w:rPr>
        <w:t>5</w:t>
      </w:r>
      <w:r>
        <w:rPr>
          <w:rFonts w:hint="eastAsia" w:cs="Times New Roman"/>
          <w:color w:val="auto"/>
        </w:rPr>
        <w:t>，活性炭吸附装置进行及时更换时，吸附法对</w:t>
      </w:r>
      <w:r>
        <w:rPr>
          <w:rFonts w:cs="Times New Roman"/>
          <w:color w:val="auto"/>
        </w:rPr>
        <w:t>VOCs</w:t>
      </w:r>
      <w:r>
        <w:rPr>
          <w:rFonts w:hint="eastAsia" w:cs="Times New Roman"/>
          <w:color w:val="auto"/>
        </w:rPr>
        <w:t>治理效率可达</w:t>
      </w:r>
      <w:r>
        <w:rPr>
          <w:rFonts w:cs="Times New Roman"/>
          <w:color w:val="auto"/>
        </w:rPr>
        <w:t>50%~80%</w:t>
      </w:r>
      <w:r>
        <w:rPr>
          <w:rFonts w:hint="eastAsia" w:cs="Times New Roman"/>
          <w:color w:val="auto"/>
        </w:rPr>
        <w:t>，本项目保守估计，活性炭吸附对有机废气去除效率以</w:t>
      </w:r>
      <w:r>
        <w:rPr>
          <w:rFonts w:cs="Times New Roman"/>
          <w:color w:val="auto"/>
        </w:rPr>
        <w:t>50%</w:t>
      </w:r>
      <w:r>
        <w:rPr>
          <w:rFonts w:hint="eastAsia" w:cs="Times New Roman"/>
          <w:color w:val="auto"/>
        </w:rPr>
        <w:t>计</w:t>
      </w:r>
      <w:r>
        <w:rPr>
          <w:rFonts w:hint="eastAsia"/>
          <w:color w:val="auto"/>
          <w:highlight w:val="yellow"/>
        </w:rPr>
        <w:t>。</w:t>
      </w:r>
    </w:p>
    <w:p w14:paraId="7024E3A0">
      <w:pPr>
        <w:ind w:firstLine="480"/>
        <w:rPr>
          <w:color w:val="auto"/>
        </w:rPr>
      </w:pPr>
      <w:r>
        <w:rPr>
          <w:rFonts w:hint="eastAsia"/>
          <w:color w:val="auto"/>
        </w:rPr>
        <w:t>②污水处理站废气处理措施</w:t>
      </w:r>
    </w:p>
    <w:p w14:paraId="523D63C4">
      <w:pPr>
        <w:widowControl/>
        <w:ind w:firstLine="480"/>
        <w:jc w:val="left"/>
        <w:rPr>
          <w:color w:val="auto"/>
        </w:rPr>
      </w:pPr>
      <w:r>
        <w:rPr>
          <w:rFonts w:hint="eastAsia"/>
          <w:color w:val="auto"/>
        </w:rPr>
        <w:t>本项目采用“碱喷淋</w:t>
      </w:r>
      <w:r>
        <w:rPr>
          <w:color w:val="auto"/>
        </w:rPr>
        <w:t>+</w:t>
      </w:r>
      <w:r>
        <w:rPr>
          <w:rFonts w:hint="eastAsia"/>
          <w:color w:val="auto"/>
        </w:rPr>
        <w:t>生物除臭滤池”对项目污水处理站中预处理工段、生化处理工段与污泥处理工段产生的臭气进行处理。通常，水洗只能去除可溶或部分微溶于水的恶臭物质，如氨等；碱洗则适于去除硫化氢、低级脂肪酸等酸性恶臭物质，反应详见如下：</w:t>
      </w:r>
    </w:p>
    <w:p w14:paraId="18292CC0">
      <w:pPr>
        <w:widowControl/>
        <w:ind w:firstLine="0" w:firstLineChars="0"/>
        <w:jc w:val="center"/>
        <w:rPr>
          <w:color w:val="auto"/>
        </w:rPr>
      </w:pPr>
      <w:r>
        <w:rPr>
          <w:color w:val="auto"/>
        </w:rPr>
        <w:t>NaOH</w:t>
      </w:r>
      <w:r>
        <w:rPr>
          <w:rFonts w:hint="eastAsia"/>
          <w:color w:val="auto"/>
        </w:rPr>
        <w:t>（少量）</w:t>
      </w:r>
      <w:r>
        <w:rPr>
          <w:color w:val="auto"/>
        </w:rPr>
        <w:t>+H</w:t>
      </w:r>
      <w:r>
        <w:rPr>
          <w:color w:val="auto"/>
          <w:vertAlign w:val="subscript"/>
        </w:rPr>
        <w:t>2</w:t>
      </w:r>
      <w:r>
        <w:rPr>
          <w:color w:val="auto"/>
        </w:rPr>
        <w:t>S==NaHS+H</w:t>
      </w:r>
      <w:r>
        <w:rPr>
          <w:color w:val="auto"/>
          <w:vertAlign w:val="subscript"/>
        </w:rPr>
        <w:t>2</w:t>
      </w:r>
      <w:r>
        <w:rPr>
          <w:color w:val="auto"/>
        </w:rPr>
        <w:t>O</w:t>
      </w:r>
    </w:p>
    <w:p w14:paraId="7EA66D5B">
      <w:pPr>
        <w:widowControl/>
        <w:ind w:firstLine="0" w:firstLineChars="0"/>
        <w:jc w:val="center"/>
        <w:rPr>
          <w:color w:val="auto"/>
        </w:rPr>
      </w:pPr>
      <w:r>
        <w:rPr>
          <w:color w:val="auto"/>
        </w:rPr>
        <w:t>2NaOH</w:t>
      </w:r>
      <w:r>
        <w:rPr>
          <w:rFonts w:hint="eastAsia"/>
          <w:color w:val="auto"/>
        </w:rPr>
        <w:t>（过量）</w:t>
      </w:r>
      <w:r>
        <w:rPr>
          <w:color w:val="auto"/>
        </w:rPr>
        <w:t>+H</w:t>
      </w:r>
      <w:r>
        <w:rPr>
          <w:color w:val="auto"/>
          <w:vertAlign w:val="subscript"/>
        </w:rPr>
        <w:t>2</w:t>
      </w:r>
      <w:r>
        <w:rPr>
          <w:color w:val="auto"/>
        </w:rPr>
        <w:t>S==Na2S+2H</w:t>
      </w:r>
      <w:r>
        <w:rPr>
          <w:color w:val="auto"/>
          <w:vertAlign w:val="subscript"/>
        </w:rPr>
        <w:t>2</w:t>
      </w:r>
      <w:r>
        <w:rPr>
          <w:color w:val="auto"/>
        </w:rPr>
        <w:t>O</w:t>
      </w:r>
    </w:p>
    <w:p w14:paraId="51BE3152">
      <w:pPr>
        <w:ind w:firstLine="480"/>
        <w:rPr>
          <w:color w:val="auto"/>
        </w:rPr>
      </w:pPr>
      <w:r>
        <w:rPr>
          <w:rFonts w:hint="eastAsia"/>
          <w:color w:val="auto"/>
        </w:rPr>
        <w:t>项目将污水系统中预处理工段、生化处理工段与污泥处理工段的臭气收集后，通过碱洗塔将臭气中的大部分硫化氢等酸性臭气去除，再通入生物滤池进一步处理。生物滤池是将除臭填料填充到除臭滤床中后，通过挂膜，使其表面形成一定厚度的生物膜，把具有脱臭能力的各种优势菌群固定。含臭气体自下向上通过填料空间，恶臭成分被截留并分解；填料上部间歇喷水，保证填料的湿润，为生物新陈代谢和繁衍提供有利条件。微生物除臭分为三步：</w:t>
      </w:r>
    </w:p>
    <w:p w14:paraId="0876FAF9">
      <w:pPr>
        <w:ind w:firstLine="480"/>
        <w:rPr>
          <w:color w:val="auto"/>
        </w:rPr>
      </w:pPr>
      <w:r>
        <w:rPr>
          <w:color w:val="auto"/>
        </w:rPr>
        <w:t>A</w:t>
      </w:r>
      <w:r>
        <w:rPr>
          <w:rFonts w:hint="eastAsia"/>
          <w:color w:val="auto"/>
        </w:rPr>
        <w:t>、臭气同水接触并溶解到水中；</w:t>
      </w:r>
    </w:p>
    <w:p w14:paraId="5786D050">
      <w:pPr>
        <w:ind w:firstLine="480"/>
        <w:rPr>
          <w:color w:val="auto"/>
        </w:rPr>
      </w:pPr>
      <w:r>
        <w:rPr>
          <w:color w:val="auto"/>
        </w:rPr>
        <w:t>B</w:t>
      </w:r>
      <w:r>
        <w:rPr>
          <w:rFonts w:hint="eastAsia"/>
          <w:color w:val="auto"/>
        </w:rPr>
        <w:t>、水溶液中的恶臭成分被微生物吸附、吸收，恶臭成分从水中转移至微生物体内；</w:t>
      </w:r>
    </w:p>
    <w:p w14:paraId="69F26D31">
      <w:pPr>
        <w:ind w:firstLine="480"/>
        <w:rPr>
          <w:color w:val="auto"/>
        </w:rPr>
      </w:pPr>
      <w:r>
        <w:rPr>
          <w:color w:val="auto"/>
        </w:rPr>
        <w:t>C</w:t>
      </w:r>
      <w:r>
        <w:rPr>
          <w:rFonts w:hint="eastAsia"/>
          <w:color w:val="auto"/>
        </w:rPr>
        <w:t>、进入微生物细胞的恶臭成分作为营养物质为微生物所分解、利用，从而使污染物得以去除。</w:t>
      </w:r>
    </w:p>
    <w:p w14:paraId="727A54A3">
      <w:pPr>
        <w:ind w:firstLine="480"/>
        <w:rPr>
          <w:color w:val="auto"/>
        </w:rPr>
      </w:pPr>
      <w:r>
        <w:rPr>
          <w:rFonts w:hint="eastAsia"/>
          <w:color w:val="auto"/>
        </w:rPr>
        <w:t>根据《低湿度生物滤池去除NH</w:t>
      </w:r>
      <w:r>
        <w:rPr>
          <w:color w:val="auto"/>
          <w:vertAlign w:val="subscript"/>
        </w:rPr>
        <w:t>3</w:t>
      </w:r>
      <w:r>
        <w:rPr>
          <w:rFonts w:hint="eastAsia"/>
          <w:color w:val="auto"/>
        </w:rPr>
        <w:t>和H</w:t>
      </w:r>
      <w:r>
        <w:rPr>
          <w:color w:val="auto"/>
          <w:vertAlign w:val="subscript"/>
        </w:rPr>
        <w:t>2</w:t>
      </w:r>
      <w:r>
        <w:rPr>
          <w:rFonts w:hint="eastAsia"/>
          <w:color w:val="auto"/>
        </w:rPr>
        <w:t>S的试验研究》，污水处理臭气经生物滤池处理的研究分析，生物滤池可对H</w:t>
      </w:r>
      <w:r>
        <w:rPr>
          <w:color w:val="auto"/>
          <w:vertAlign w:val="subscript"/>
        </w:rPr>
        <w:t>2</w:t>
      </w:r>
      <w:r>
        <w:rPr>
          <w:rFonts w:hint="eastAsia"/>
          <w:color w:val="auto"/>
        </w:rPr>
        <w:t>S进气浓度为15.7mg/m</w:t>
      </w:r>
      <w:r>
        <w:rPr>
          <w:color w:val="auto"/>
          <w:vertAlign w:val="superscript"/>
        </w:rPr>
        <w:t>3</w:t>
      </w:r>
      <w:r>
        <w:rPr>
          <w:rFonts w:hint="eastAsia"/>
          <w:color w:val="auto"/>
        </w:rPr>
        <w:t>的去除率达98%，NH</w:t>
      </w:r>
      <w:r>
        <w:rPr>
          <w:color w:val="auto"/>
          <w:vertAlign w:val="subscript"/>
        </w:rPr>
        <w:t>3</w:t>
      </w:r>
      <w:r>
        <w:rPr>
          <w:rFonts w:hint="eastAsia"/>
          <w:color w:val="auto"/>
        </w:rPr>
        <w:t>进气浓度为100mg/m</w:t>
      </w:r>
      <w:r>
        <w:rPr>
          <w:color w:val="auto"/>
          <w:vertAlign w:val="superscript"/>
        </w:rPr>
        <w:t>3</w:t>
      </w:r>
      <w:r>
        <w:rPr>
          <w:rFonts w:hint="eastAsia"/>
          <w:color w:val="auto"/>
        </w:rPr>
        <w:t>的去除率达99%以上。根据《重点使用技术》中论文《污水厂生物滤池除臭技术》，“采用生物滤池除臭，在确保pH值长期保持在6～8：对NH</w:t>
      </w:r>
      <w:r>
        <w:rPr>
          <w:color w:val="auto"/>
          <w:vertAlign w:val="subscript"/>
        </w:rPr>
        <w:t>3</w:t>
      </w:r>
      <w:r>
        <w:rPr>
          <w:rFonts w:hint="eastAsia"/>
          <w:color w:val="auto"/>
        </w:rPr>
        <w:t>、H</w:t>
      </w:r>
      <w:r>
        <w:rPr>
          <w:color w:val="auto"/>
          <w:vertAlign w:val="subscript"/>
        </w:rPr>
        <w:t>2</w:t>
      </w:r>
      <w:r>
        <w:rPr>
          <w:rFonts w:hint="eastAsia"/>
          <w:color w:val="auto"/>
        </w:rPr>
        <w:t>S等恶臭成分的去除率稳定达到95%～99%”。</w:t>
      </w:r>
    </w:p>
    <w:p w14:paraId="5A0DDC36">
      <w:pPr>
        <w:ind w:firstLine="480"/>
        <w:rPr>
          <w:color w:val="auto"/>
        </w:rPr>
      </w:pPr>
      <w:r>
        <w:rPr>
          <w:rFonts w:hint="eastAsia"/>
          <w:color w:val="auto"/>
        </w:rPr>
        <w:t>项目有组织排放臭气采用加盖密封+微负压收集装置，除臭方案为一级碱喷淋+生物除臭滤池，属于本行业排污许可的推荐可性技术性，根据预测结果，NH</w:t>
      </w:r>
      <w:r>
        <w:rPr>
          <w:color w:val="auto"/>
          <w:vertAlign w:val="subscript"/>
        </w:rPr>
        <w:t>3</w:t>
      </w:r>
      <w:r>
        <w:rPr>
          <w:rFonts w:hint="eastAsia"/>
          <w:color w:val="auto"/>
        </w:rPr>
        <w:t>、H</w:t>
      </w:r>
      <w:r>
        <w:rPr>
          <w:color w:val="auto"/>
          <w:vertAlign w:val="subscript"/>
        </w:rPr>
        <w:t>2</w:t>
      </w:r>
      <w:r>
        <w:rPr>
          <w:rFonts w:hint="eastAsia"/>
          <w:color w:val="auto"/>
        </w:rPr>
        <w:t>S、臭气浓度污染物能够达到《恶臭污染物排放标准》（GB14554-93）中的相关排放标准要求。</w:t>
      </w:r>
    </w:p>
    <w:p w14:paraId="27B5FA85">
      <w:pPr>
        <w:ind w:firstLine="480"/>
        <w:rPr>
          <w:color w:val="auto"/>
        </w:rPr>
      </w:pPr>
      <w:r>
        <w:rPr>
          <w:rFonts w:hint="eastAsia"/>
          <w:color w:val="auto"/>
        </w:rPr>
        <w:t>生物滤池除臭工艺技术操作和控制均较为成熟简单，目前国内很多采用生物过滤法工艺的污水处理厂，效果明显。类比淮安市四季青污水厂一期工程，该工程污水处理能力为4万m</w:t>
      </w:r>
      <w:r>
        <w:rPr>
          <w:color w:val="auto"/>
          <w:vertAlign w:val="superscript"/>
        </w:rPr>
        <w:t>3</w:t>
      </w:r>
      <w:r>
        <w:rPr>
          <w:rFonts w:hint="eastAsia"/>
          <w:color w:val="auto"/>
        </w:rPr>
        <w:t>/d，主要对臭气源构筑物的加盖密闭，臭气通过管道收集，收集后臭气经生物滤池处理，淮安市环境监测站于2014年2月对除臭系统进行了验收监测（监测报告编号：（2014）淮环监（验收）字第007号），监测结果见下表。由监测数据可知，该项目的生物滤池的除臭效率可达94.4%~99.2%。</w:t>
      </w:r>
    </w:p>
    <w:p w14:paraId="5BD7BEFC">
      <w:pPr>
        <w:pStyle w:val="7"/>
        <w:rPr>
          <w:color w:val="auto"/>
        </w:rPr>
      </w:pPr>
      <w:r>
        <w:rPr>
          <w:rFonts w:hint="eastAsia"/>
          <w:color w:val="auto"/>
        </w:rPr>
        <w:t>四季青污水厂一期工程监测数据</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992"/>
        <w:gridCol w:w="1276"/>
        <w:gridCol w:w="1134"/>
        <w:gridCol w:w="1276"/>
        <w:gridCol w:w="1134"/>
        <w:gridCol w:w="1411"/>
        <w:gridCol w:w="1133"/>
      </w:tblGrid>
      <w:tr w14:paraId="36B72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Align w:val="center"/>
          </w:tcPr>
          <w:p w14:paraId="2FE5EA8C">
            <w:pPr>
              <w:pStyle w:val="33"/>
              <w:rPr>
                <w:snapToGrid w:val="0"/>
                <w:color w:val="auto"/>
              </w:rPr>
            </w:pPr>
            <w:r>
              <w:rPr>
                <w:rFonts w:hint="eastAsia"/>
                <w:color w:val="auto"/>
              </w:rPr>
              <w:t>编号</w:t>
            </w:r>
          </w:p>
        </w:tc>
        <w:tc>
          <w:tcPr>
            <w:tcW w:w="992" w:type="dxa"/>
            <w:vAlign w:val="center"/>
          </w:tcPr>
          <w:p w14:paraId="2263D20E">
            <w:pPr>
              <w:pStyle w:val="33"/>
              <w:rPr>
                <w:snapToGrid w:val="0"/>
                <w:color w:val="auto"/>
              </w:rPr>
            </w:pPr>
            <w:r>
              <w:rPr>
                <w:rFonts w:hint="eastAsia"/>
                <w:color w:val="auto"/>
              </w:rPr>
              <w:t>污染物</w:t>
            </w:r>
          </w:p>
        </w:tc>
        <w:tc>
          <w:tcPr>
            <w:tcW w:w="1276" w:type="dxa"/>
            <w:vAlign w:val="center"/>
          </w:tcPr>
          <w:p w14:paraId="6A7E2AB7">
            <w:pPr>
              <w:pStyle w:val="33"/>
              <w:rPr>
                <w:snapToGrid w:val="0"/>
                <w:color w:val="auto"/>
              </w:rPr>
            </w:pPr>
            <w:r>
              <w:rPr>
                <w:rFonts w:hint="eastAsia"/>
                <w:color w:val="auto"/>
              </w:rPr>
              <w:t>进口浓度</w:t>
            </w:r>
            <w:r>
              <w:rPr>
                <w:color w:val="auto"/>
              </w:rPr>
              <w:t>(mg/m</w:t>
            </w:r>
            <w:r>
              <w:rPr>
                <w:color w:val="auto"/>
                <w:vertAlign w:val="superscript"/>
              </w:rPr>
              <w:t>3</w:t>
            </w:r>
            <w:r>
              <w:rPr>
                <w:color w:val="auto"/>
              </w:rPr>
              <w:t>)</w:t>
            </w:r>
          </w:p>
        </w:tc>
        <w:tc>
          <w:tcPr>
            <w:tcW w:w="1134" w:type="dxa"/>
            <w:vAlign w:val="center"/>
          </w:tcPr>
          <w:p w14:paraId="0539A133">
            <w:pPr>
              <w:pStyle w:val="33"/>
              <w:rPr>
                <w:snapToGrid w:val="0"/>
                <w:color w:val="auto"/>
              </w:rPr>
            </w:pPr>
            <w:r>
              <w:rPr>
                <w:rFonts w:hint="eastAsia"/>
                <w:color w:val="auto"/>
              </w:rPr>
              <w:t>产生速率（</w:t>
            </w:r>
            <w:r>
              <w:rPr>
                <w:color w:val="auto"/>
              </w:rPr>
              <w:t>kg/h</w:t>
            </w:r>
            <w:r>
              <w:rPr>
                <w:rFonts w:hint="eastAsia"/>
                <w:color w:val="auto"/>
              </w:rPr>
              <w:t>）</w:t>
            </w:r>
          </w:p>
        </w:tc>
        <w:tc>
          <w:tcPr>
            <w:tcW w:w="1276" w:type="dxa"/>
            <w:vAlign w:val="center"/>
          </w:tcPr>
          <w:p w14:paraId="0EE9D887">
            <w:pPr>
              <w:pStyle w:val="33"/>
              <w:rPr>
                <w:snapToGrid w:val="0"/>
                <w:color w:val="auto"/>
              </w:rPr>
            </w:pPr>
            <w:r>
              <w:rPr>
                <w:rFonts w:hint="eastAsia"/>
                <w:color w:val="auto"/>
              </w:rPr>
              <w:t>治理措施</w:t>
            </w:r>
          </w:p>
        </w:tc>
        <w:tc>
          <w:tcPr>
            <w:tcW w:w="1134" w:type="dxa"/>
            <w:vAlign w:val="center"/>
          </w:tcPr>
          <w:p w14:paraId="3C2472F5">
            <w:pPr>
              <w:pStyle w:val="33"/>
              <w:rPr>
                <w:snapToGrid w:val="0"/>
                <w:color w:val="auto"/>
              </w:rPr>
            </w:pPr>
            <w:r>
              <w:rPr>
                <w:rFonts w:hint="eastAsia"/>
                <w:color w:val="auto"/>
              </w:rPr>
              <w:t>处理效率</w:t>
            </w:r>
            <w:r>
              <w:rPr>
                <w:color w:val="auto"/>
              </w:rPr>
              <w:t>%</w:t>
            </w:r>
          </w:p>
        </w:tc>
        <w:tc>
          <w:tcPr>
            <w:tcW w:w="1411" w:type="dxa"/>
            <w:vAlign w:val="center"/>
          </w:tcPr>
          <w:p w14:paraId="5D5AF885">
            <w:pPr>
              <w:pStyle w:val="33"/>
              <w:rPr>
                <w:color w:val="auto"/>
              </w:rPr>
            </w:pPr>
            <w:r>
              <w:rPr>
                <w:rFonts w:hint="eastAsia"/>
                <w:color w:val="auto"/>
              </w:rPr>
              <w:t>排放</w:t>
            </w:r>
          </w:p>
          <w:p w14:paraId="05FCE627">
            <w:pPr>
              <w:pStyle w:val="33"/>
              <w:rPr>
                <w:snapToGrid w:val="0"/>
                <w:color w:val="auto"/>
              </w:rPr>
            </w:pPr>
            <w:r>
              <w:rPr>
                <w:rFonts w:hint="eastAsia"/>
                <w:color w:val="auto"/>
              </w:rPr>
              <w:t>浓度</w:t>
            </w:r>
            <w:r>
              <w:rPr>
                <w:color w:val="auto"/>
              </w:rPr>
              <w:t>(mg/m</w:t>
            </w:r>
            <w:r>
              <w:rPr>
                <w:color w:val="auto"/>
                <w:vertAlign w:val="superscript"/>
              </w:rPr>
              <w:t>3</w:t>
            </w:r>
            <w:r>
              <w:rPr>
                <w:color w:val="auto"/>
              </w:rPr>
              <w:t>)</w:t>
            </w:r>
          </w:p>
        </w:tc>
        <w:tc>
          <w:tcPr>
            <w:tcW w:w="1133" w:type="dxa"/>
            <w:vAlign w:val="center"/>
          </w:tcPr>
          <w:p w14:paraId="521625DB">
            <w:pPr>
              <w:pStyle w:val="33"/>
              <w:rPr>
                <w:snapToGrid w:val="0"/>
                <w:color w:val="auto"/>
              </w:rPr>
            </w:pPr>
            <w:r>
              <w:rPr>
                <w:rFonts w:hint="eastAsia"/>
                <w:color w:val="auto"/>
              </w:rPr>
              <w:t>排放速率（</w:t>
            </w:r>
            <w:r>
              <w:rPr>
                <w:color w:val="auto"/>
              </w:rPr>
              <w:t>kg/h</w:t>
            </w:r>
            <w:r>
              <w:rPr>
                <w:rFonts w:hint="eastAsia"/>
                <w:color w:val="auto"/>
              </w:rPr>
              <w:t>）</w:t>
            </w:r>
          </w:p>
        </w:tc>
      </w:tr>
      <w:tr w14:paraId="6328F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restart"/>
            <w:vAlign w:val="center"/>
          </w:tcPr>
          <w:p w14:paraId="2C0DEC9B">
            <w:pPr>
              <w:pStyle w:val="33"/>
              <w:rPr>
                <w:snapToGrid w:val="0"/>
                <w:color w:val="auto"/>
              </w:rPr>
            </w:pPr>
            <w:r>
              <w:rPr>
                <w:snapToGrid w:val="0"/>
                <w:color w:val="auto"/>
              </w:rPr>
              <w:t>1#</w:t>
            </w:r>
          </w:p>
        </w:tc>
        <w:tc>
          <w:tcPr>
            <w:tcW w:w="992" w:type="dxa"/>
            <w:vAlign w:val="center"/>
          </w:tcPr>
          <w:p w14:paraId="2D3AB4E0">
            <w:pPr>
              <w:pStyle w:val="33"/>
              <w:rPr>
                <w:snapToGrid w:val="0"/>
                <w:color w:val="auto"/>
              </w:rPr>
            </w:pPr>
            <w:r>
              <w:rPr>
                <w:color w:val="auto"/>
              </w:rPr>
              <w:t>NH</w:t>
            </w:r>
            <w:r>
              <w:rPr>
                <w:color w:val="auto"/>
                <w:vertAlign w:val="subscript"/>
              </w:rPr>
              <w:t>3</w:t>
            </w:r>
          </w:p>
        </w:tc>
        <w:tc>
          <w:tcPr>
            <w:tcW w:w="1276" w:type="dxa"/>
            <w:vAlign w:val="center"/>
          </w:tcPr>
          <w:p w14:paraId="4039C28D">
            <w:pPr>
              <w:pStyle w:val="33"/>
              <w:rPr>
                <w:snapToGrid w:val="0"/>
                <w:color w:val="auto"/>
              </w:rPr>
            </w:pPr>
            <w:r>
              <w:rPr>
                <w:color w:val="auto"/>
              </w:rPr>
              <w:t>2.51</w:t>
            </w:r>
          </w:p>
        </w:tc>
        <w:tc>
          <w:tcPr>
            <w:tcW w:w="1134" w:type="dxa"/>
            <w:vAlign w:val="center"/>
          </w:tcPr>
          <w:p w14:paraId="02E97883">
            <w:pPr>
              <w:pStyle w:val="33"/>
              <w:rPr>
                <w:snapToGrid w:val="0"/>
                <w:color w:val="auto"/>
              </w:rPr>
            </w:pPr>
            <w:r>
              <w:rPr>
                <w:color w:val="auto"/>
              </w:rPr>
              <w:t>0.047</w:t>
            </w:r>
          </w:p>
        </w:tc>
        <w:tc>
          <w:tcPr>
            <w:tcW w:w="1276" w:type="dxa"/>
            <w:vMerge w:val="restart"/>
            <w:vAlign w:val="center"/>
          </w:tcPr>
          <w:p w14:paraId="51C0F289">
            <w:pPr>
              <w:pStyle w:val="33"/>
              <w:rPr>
                <w:snapToGrid w:val="0"/>
                <w:color w:val="auto"/>
              </w:rPr>
            </w:pPr>
            <w:r>
              <w:rPr>
                <w:rFonts w:hint="eastAsia"/>
                <w:snapToGrid w:val="0"/>
                <w:color w:val="auto"/>
              </w:rPr>
              <w:t>生物滤池</w:t>
            </w:r>
          </w:p>
        </w:tc>
        <w:tc>
          <w:tcPr>
            <w:tcW w:w="1134" w:type="dxa"/>
            <w:vAlign w:val="center"/>
          </w:tcPr>
          <w:p w14:paraId="72254D68">
            <w:pPr>
              <w:pStyle w:val="33"/>
              <w:rPr>
                <w:snapToGrid w:val="0"/>
                <w:color w:val="auto"/>
              </w:rPr>
            </w:pPr>
            <w:r>
              <w:rPr>
                <w:color w:val="auto"/>
              </w:rPr>
              <w:t>94.5</w:t>
            </w:r>
          </w:p>
        </w:tc>
        <w:tc>
          <w:tcPr>
            <w:tcW w:w="1411" w:type="dxa"/>
            <w:vAlign w:val="center"/>
          </w:tcPr>
          <w:p w14:paraId="1C17853F">
            <w:pPr>
              <w:pStyle w:val="33"/>
              <w:rPr>
                <w:snapToGrid w:val="0"/>
                <w:color w:val="auto"/>
              </w:rPr>
            </w:pPr>
            <w:r>
              <w:rPr>
                <w:color w:val="auto"/>
              </w:rPr>
              <w:t>0.139</w:t>
            </w:r>
          </w:p>
        </w:tc>
        <w:tc>
          <w:tcPr>
            <w:tcW w:w="1133" w:type="dxa"/>
            <w:vAlign w:val="center"/>
          </w:tcPr>
          <w:p w14:paraId="4D5F7C1B">
            <w:pPr>
              <w:pStyle w:val="33"/>
              <w:rPr>
                <w:snapToGrid w:val="0"/>
                <w:color w:val="auto"/>
              </w:rPr>
            </w:pPr>
            <w:r>
              <w:rPr>
                <w:color w:val="auto"/>
              </w:rPr>
              <w:t>0.0026</w:t>
            </w:r>
          </w:p>
        </w:tc>
      </w:tr>
      <w:tr w14:paraId="2AC34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continue"/>
            <w:vAlign w:val="center"/>
          </w:tcPr>
          <w:p w14:paraId="3591960E">
            <w:pPr>
              <w:pStyle w:val="33"/>
              <w:rPr>
                <w:snapToGrid w:val="0"/>
                <w:color w:val="auto"/>
              </w:rPr>
            </w:pPr>
          </w:p>
        </w:tc>
        <w:tc>
          <w:tcPr>
            <w:tcW w:w="992" w:type="dxa"/>
            <w:vAlign w:val="center"/>
          </w:tcPr>
          <w:p w14:paraId="2D3660AB">
            <w:pPr>
              <w:pStyle w:val="33"/>
              <w:rPr>
                <w:snapToGrid w:val="0"/>
                <w:color w:val="auto"/>
              </w:rPr>
            </w:pPr>
            <w:r>
              <w:rPr>
                <w:color w:val="auto"/>
              </w:rPr>
              <w:t>H</w:t>
            </w:r>
            <w:r>
              <w:rPr>
                <w:color w:val="auto"/>
                <w:vertAlign w:val="subscript"/>
              </w:rPr>
              <w:t>2</w:t>
            </w:r>
            <w:r>
              <w:rPr>
                <w:color w:val="auto"/>
              </w:rPr>
              <w:t>S</w:t>
            </w:r>
          </w:p>
        </w:tc>
        <w:tc>
          <w:tcPr>
            <w:tcW w:w="1276" w:type="dxa"/>
            <w:vAlign w:val="center"/>
          </w:tcPr>
          <w:p w14:paraId="1A2741D6">
            <w:pPr>
              <w:pStyle w:val="33"/>
              <w:rPr>
                <w:snapToGrid w:val="0"/>
                <w:color w:val="auto"/>
              </w:rPr>
            </w:pPr>
            <w:r>
              <w:rPr>
                <w:color w:val="auto"/>
              </w:rPr>
              <w:t>1.84</w:t>
            </w:r>
          </w:p>
        </w:tc>
        <w:tc>
          <w:tcPr>
            <w:tcW w:w="1134" w:type="dxa"/>
            <w:vAlign w:val="center"/>
          </w:tcPr>
          <w:p w14:paraId="6F156DAE">
            <w:pPr>
              <w:pStyle w:val="33"/>
              <w:rPr>
                <w:snapToGrid w:val="0"/>
                <w:color w:val="auto"/>
              </w:rPr>
            </w:pPr>
            <w:r>
              <w:rPr>
                <w:color w:val="auto"/>
              </w:rPr>
              <w:t>0.035</w:t>
            </w:r>
          </w:p>
        </w:tc>
        <w:tc>
          <w:tcPr>
            <w:tcW w:w="1276" w:type="dxa"/>
            <w:vMerge w:val="continue"/>
            <w:vAlign w:val="center"/>
          </w:tcPr>
          <w:p w14:paraId="241D9C3B">
            <w:pPr>
              <w:pStyle w:val="33"/>
              <w:rPr>
                <w:snapToGrid w:val="0"/>
                <w:color w:val="auto"/>
              </w:rPr>
            </w:pPr>
          </w:p>
        </w:tc>
        <w:tc>
          <w:tcPr>
            <w:tcW w:w="1134" w:type="dxa"/>
            <w:vAlign w:val="center"/>
          </w:tcPr>
          <w:p w14:paraId="1EFF4C31">
            <w:pPr>
              <w:pStyle w:val="33"/>
              <w:rPr>
                <w:snapToGrid w:val="0"/>
                <w:color w:val="auto"/>
              </w:rPr>
            </w:pPr>
            <w:r>
              <w:rPr>
                <w:color w:val="auto"/>
              </w:rPr>
              <w:t>98.5</w:t>
            </w:r>
          </w:p>
        </w:tc>
        <w:tc>
          <w:tcPr>
            <w:tcW w:w="1411" w:type="dxa"/>
            <w:vAlign w:val="center"/>
          </w:tcPr>
          <w:p w14:paraId="431AB597">
            <w:pPr>
              <w:pStyle w:val="33"/>
              <w:rPr>
                <w:snapToGrid w:val="0"/>
                <w:color w:val="auto"/>
              </w:rPr>
            </w:pPr>
            <w:r>
              <w:rPr>
                <w:color w:val="auto"/>
              </w:rPr>
              <w:t>0.025</w:t>
            </w:r>
          </w:p>
        </w:tc>
        <w:tc>
          <w:tcPr>
            <w:tcW w:w="1133" w:type="dxa"/>
            <w:vAlign w:val="center"/>
          </w:tcPr>
          <w:p w14:paraId="72B527C3">
            <w:pPr>
              <w:pStyle w:val="33"/>
              <w:rPr>
                <w:snapToGrid w:val="0"/>
                <w:color w:val="auto"/>
              </w:rPr>
            </w:pPr>
            <w:r>
              <w:rPr>
                <w:color w:val="auto"/>
              </w:rPr>
              <w:t>0.0005</w:t>
            </w:r>
          </w:p>
        </w:tc>
      </w:tr>
      <w:tr w14:paraId="64F84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restart"/>
            <w:vAlign w:val="center"/>
          </w:tcPr>
          <w:p w14:paraId="21D6CEB8">
            <w:pPr>
              <w:pStyle w:val="33"/>
              <w:rPr>
                <w:snapToGrid w:val="0"/>
                <w:color w:val="auto"/>
              </w:rPr>
            </w:pPr>
            <w:r>
              <w:rPr>
                <w:snapToGrid w:val="0"/>
                <w:color w:val="auto"/>
              </w:rPr>
              <w:t>2#</w:t>
            </w:r>
          </w:p>
        </w:tc>
        <w:tc>
          <w:tcPr>
            <w:tcW w:w="992" w:type="dxa"/>
            <w:vAlign w:val="center"/>
          </w:tcPr>
          <w:p w14:paraId="48C52024">
            <w:pPr>
              <w:pStyle w:val="33"/>
              <w:rPr>
                <w:snapToGrid w:val="0"/>
                <w:color w:val="auto"/>
              </w:rPr>
            </w:pPr>
            <w:r>
              <w:rPr>
                <w:color w:val="auto"/>
              </w:rPr>
              <w:t>NH</w:t>
            </w:r>
            <w:r>
              <w:rPr>
                <w:color w:val="auto"/>
                <w:vertAlign w:val="subscript"/>
              </w:rPr>
              <w:t>3</w:t>
            </w:r>
          </w:p>
        </w:tc>
        <w:tc>
          <w:tcPr>
            <w:tcW w:w="1276" w:type="dxa"/>
            <w:vAlign w:val="center"/>
          </w:tcPr>
          <w:p w14:paraId="4D6EE0DD">
            <w:pPr>
              <w:pStyle w:val="33"/>
              <w:rPr>
                <w:snapToGrid w:val="0"/>
                <w:color w:val="auto"/>
              </w:rPr>
            </w:pPr>
            <w:r>
              <w:rPr>
                <w:color w:val="auto"/>
              </w:rPr>
              <w:t>2.95</w:t>
            </w:r>
          </w:p>
        </w:tc>
        <w:tc>
          <w:tcPr>
            <w:tcW w:w="1134" w:type="dxa"/>
            <w:vAlign w:val="center"/>
          </w:tcPr>
          <w:p w14:paraId="31B56BAF">
            <w:pPr>
              <w:pStyle w:val="33"/>
              <w:rPr>
                <w:snapToGrid w:val="0"/>
                <w:color w:val="auto"/>
              </w:rPr>
            </w:pPr>
            <w:r>
              <w:rPr>
                <w:color w:val="auto"/>
              </w:rPr>
              <w:t>0.025</w:t>
            </w:r>
          </w:p>
        </w:tc>
        <w:tc>
          <w:tcPr>
            <w:tcW w:w="1276" w:type="dxa"/>
            <w:vMerge w:val="continue"/>
            <w:vAlign w:val="center"/>
          </w:tcPr>
          <w:p w14:paraId="17F0D38C">
            <w:pPr>
              <w:pStyle w:val="33"/>
              <w:rPr>
                <w:snapToGrid w:val="0"/>
                <w:color w:val="auto"/>
              </w:rPr>
            </w:pPr>
          </w:p>
        </w:tc>
        <w:tc>
          <w:tcPr>
            <w:tcW w:w="1134" w:type="dxa"/>
            <w:vAlign w:val="center"/>
          </w:tcPr>
          <w:p w14:paraId="0CF05377">
            <w:pPr>
              <w:pStyle w:val="33"/>
              <w:rPr>
                <w:snapToGrid w:val="0"/>
                <w:color w:val="auto"/>
              </w:rPr>
            </w:pPr>
            <w:r>
              <w:rPr>
                <w:color w:val="auto"/>
              </w:rPr>
              <w:t>94.4</w:t>
            </w:r>
          </w:p>
        </w:tc>
        <w:tc>
          <w:tcPr>
            <w:tcW w:w="1411" w:type="dxa"/>
            <w:vAlign w:val="center"/>
          </w:tcPr>
          <w:p w14:paraId="7ABEB925">
            <w:pPr>
              <w:pStyle w:val="33"/>
              <w:rPr>
                <w:snapToGrid w:val="0"/>
                <w:color w:val="auto"/>
              </w:rPr>
            </w:pPr>
            <w:r>
              <w:rPr>
                <w:color w:val="auto"/>
              </w:rPr>
              <w:t>0.165</w:t>
            </w:r>
          </w:p>
        </w:tc>
        <w:tc>
          <w:tcPr>
            <w:tcW w:w="1133" w:type="dxa"/>
            <w:vAlign w:val="center"/>
          </w:tcPr>
          <w:p w14:paraId="01D1B423">
            <w:pPr>
              <w:pStyle w:val="33"/>
              <w:rPr>
                <w:snapToGrid w:val="0"/>
                <w:color w:val="auto"/>
              </w:rPr>
            </w:pPr>
            <w:r>
              <w:rPr>
                <w:color w:val="auto"/>
              </w:rPr>
              <w:t>0.0014</w:t>
            </w:r>
          </w:p>
        </w:tc>
      </w:tr>
      <w:tr w14:paraId="00D43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continue"/>
            <w:vAlign w:val="center"/>
          </w:tcPr>
          <w:p w14:paraId="22EA8BB0">
            <w:pPr>
              <w:pStyle w:val="33"/>
              <w:rPr>
                <w:snapToGrid w:val="0"/>
                <w:color w:val="auto"/>
              </w:rPr>
            </w:pPr>
          </w:p>
        </w:tc>
        <w:tc>
          <w:tcPr>
            <w:tcW w:w="992" w:type="dxa"/>
            <w:vAlign w:val="center"/>
          </w:tcPr>
          <w:p w14:paraId="1AFDABF7">
            <w:pPr>
              <w:pStyle w:val="33"/>
              <w:rPr>
                <w:snapToGrid w:val="0"/>
                <w:color w:val="auto"/>
              </w:rPr>
            </w:pPr>
            <w:r>
              <w:rPr>
                <w:color w:val="auto"/>
              </w:rPr>
              <w:t>H</w:t>
            </w:r>
            <w:r>
              <w:rPr>
                <w:color w:val="auto"/>
                <w:vertAlign w:val="subscript"/>
              </w:rPr>
              <w:t>2</w:t>
            </w:r>
            <w:r>
              <w:rPr>
                <w:color w:val="auto"/>
              </w:rPr>
              <w:t>S</w:t>
            </w:r>
          </w:p>
        </w:tc>
        <w:tc>
          <w:tcPr>
            <w:tcW w:w="1276" w:type="dxa"/>
            <w:vAlign w:val="center"/>
          </w:tcPr>
          <w:p w14:paraId="10BAF215">
            <w:pPr>
              <w:pStyle w:val="33"/>
              <w:rPr>
                <w:snapToGrid w:val="0"/>
                <w:color w:val="auto"/>
              </w:rPr>
            </w:pPr>
            <w:r>
              <w:rPr>
                <w:color w:val="auto"/>
              </w:rPr>
              <w:t>1.62</w:t>
            </w:r>
          </w:p>
        </w:tc>
        <w:tc>
          <w:tcPr>
            <w:tcW w:w="1134" w:type="dxa"/>
            <w:vAlign w:val="center"/>
          </w:tcPr>
          <w:p w14:paraId="6EE5D0D0">
            <w:pPr>
              <w:pStyle w:val="33"/>
              <w:rPr>
                <w:snapToGrid w:val="0"/>
                <w:color w:val="auto"/>
              </w:rPr>
            </w:pPr>
            <w:r>
              <w:rPr>
                <w:color w:val="auto"/>
              </w:rPr>
              <w:t>0.014</w:t>
            </w:r>
          </w:p>
        </w:tc>
        <w:tc>
          <w:tcPr>
            <w:tcW w:w="1276" w:type="dxa"/>
            <w:vMerge w:val="continue"/>
            <w:vAlign w:val="center"/>
          </w:tcPr>
          <w:p w14:paraId="0188BCD1">
            <w:pPr>
              <w:pStyle w:val="33"/>
              <w:rPr>
                <w:snapToGrid w:val="0"/>
                <w:color w:val="auto"/>
              </w:rPr>
            </w:pPr>
          </w:p>
        </w:tc>
        <w:tc>
          <w:tcPr>
            <w:tcW w:w="1134" w:type="dxa"/>
            <w:vAlign w:val="center"/>
          </w:tcPr>
          <w:p w14:paraId="75C05E23">
            <w:pPr>
              <w:pStyle w:val="33"/>
              <w:rPr>
                <w:snapToGrid w:val="0"/>
                <w:color w:val="auto"/>
              </w:rPr>
            </w:pPr>
            <w:r>
              <w:rPr>
                <w:color w:val="auto"/>
              </w:rPr>
              <w:t>99.2</w:t>
            </w:r>
          </w:p>
        </w:tc>
        <w:tc>
          <w:tcPr>
            <w:tcW w:w="1411" w:type="dxa"/>
            <w:vAlign w:val="center"/>
          </w:tcPr>
          <w:p w14:paraId="6FE8581A">
            <w:pPr>
              <w:pStyle w:val="33"/>
              <w:rPr>
                <w:snapToGrid w:val="0"/>
                <w:color w:val="auto"/>
              </w:rPr>
            </w:pPr>
            <w:r>
              <w:rPr>
                <w:color w:val="auto"/>
              </w:rPr>
              <w:t>0.014</w:t>
            </w:r>
          </w:p>
        </w:tc>
        <w:tc>
          <w:tcPr>
            <w:tcW w:w="1133" w:type="dxa"/>
            <w:vAlign w:val="center"/>
          </w:tcPr>
          <w:p w14:paraId="3F88DEB2">
            <w:pPr>
              <w:pStyle w:val="33"/>
              <w:rPr>
                <w:snapToGrid w:val="0"/>
                <w:color w:val="auto"/>
              </w:rPr>
            </w:pPr>
            <w:r>
              <w:rPr>
                <w:color w:val="auto"/>
              </w:rPr>
              <w:t>0.0001</w:t>
            </w:r>
          </w:p>
        </w:tc>
      </w:tr>
      <w:tr w14:paraId="645F0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restart"/>
            <w:vAlign w:val="center"/>
          </w:tcPr>
          <w:p w14:paraId="68A4CC8C">
            <w:pPr>
              <w:pStyle w:val="33"/>
              <w:rPr>
                <w:snapToGrid w:val="0"/>
                <w:color w:val="auto"/>
              </w:rPr>
            </w:pPr>
            <w:r>
              <w:rPr>
                <w:snapToGrid w:val="0"/>
                <w:color w:val="auto"/>
              </w:rPr>
              <w:t>3#</w:t>
            </w:r>
          </w:p>
        </w:tc>
        <w:tc>
          <w:tcPr>
            <w:tcW w:w="992" w:type="dxa"/>
            <w:vAlign w:val="center"/>
          </w:tcPr>
          <w:p w14:paraId="15480C93">
            <w:pPr>
              <w:pStyle w:val="33"/>
              <w:rPr>
                <w:snapToGrid w:val="0"/>
                <w:color w:val="auto"/>
              </w:rPr>
            </w:pPr>
            <w:r>
              <w:rPr>
                <w:color w:val="auto"/>
              </w:rPr>
              <w:t>NH</w:t>
            </w:r>
            <w:r>
              <w:rPr>
                <w:color w:val="auto"/>
                <w:vertAlign w:val="subscript"/>
              </w:rPr>
              <w:t>3</w:t>
            </w:r>
          </w:p>
        </w:tc>
        <w:tc>
          <w:tcPr>
            <w:tcW w:w="1276" w:type="dxa"/>
            <w:vAlign w:val="center"/>
          </w:tcPr>
          <w:p w14:paraId="0817300F">
            <w:pPr>
              <w:pStyle w:val="33"/>
              <w:rPr>
                <w:snapToGrid w:val="0"/>
                <w:color w:val="auto"/>
              </w:rPr>
            </w:pPr>
            <w:r>
              <w:rPr>
                <w:color w:val="auto"/>
              </w:rPr>
              <w:t>2.82</w:t>
            </w:r>
          </w:p>
        </w:tc>
        <w:tc>
          <w:tcPr>
            <w:tcW w:w="1134" w:type="dxa"/>
            <w:vAlign w:val="center"/>
          </w:tcPr>
          <w:p w14:paraId="7C9B5BF4">
            <w:pPr>
              <w:pStyle w:val="33"/>
              <w:rPr>
                <w:snapToGrid w:val="0"/>
                <w:color w:val="auto"/>
              </w:rPr>
            </w:pPr>
            <w:r>
              <w:rPr>
                <w:color w:val="auto"/>
              </w:rPr>
              <w:t>0.058</w:t>
            </w:r>
          </w:p>
        </w:tc>
        <w:tc>
          <w:tcPr>
            <w:tcW w:w="1276" w:type="dxa"/>
            <w:vMerge w:val="continue"/>
            <w:vAlign w:val="center"/>
          </w:tcPr>
          <w:p w14:paraId="6F239BCB">
            <w:pPr>
              <w:pStyle w:val="33"/>
              <w:rPr>
                <w:snapToGrid w:val="0"/>
                <w:color w:val="auto"/>
              </w:rPr>
            </w:pPr>
          </w:p>
        </w:tc>
        <w:tc>
          <w:tcPr>
            <w:tcW w:w="1134" w:type="dxa"/>
            <w:vAlign w:val="center"/>
          </w:tcPr>
          <w:p w14:paraId="441CBA33">
            <w:pPr>
              <w:pStyle w:val="33"/>
              <w:rPr>
                <w:snapToGrid w:val="0"/>
                <w:color w:val="auto"/>
              </w:rPr>
            </w:pPr>
            <w:r>
              <w:rPr>
                <w:color w:val="auto"/>
              </w:rPr>
              <w:t>94.4</w:t>
            </w:r>
          </w:p>
        </w:tc>
        <w:tc>
          <w:tcPr>
            <w:tcW w:w="1411" w:type="dxa"/>
            <w:vAlign w:val="center"/>
          </w:tcPr>
          <w:p w14:paraId="1D200F52">
            <w:pPr>
              <w:pStyle w:val="33"/>
              <w:rPr>
                <w:snapToGrid w:val="0"/>
                <w:color w:val="auto"/>
              </w:rPr>
            </w:pPr>
            <w:r>
              <w:rPr>
                <w:color w:val="auto"/>
              </w:rPr>
              <w:t>0.157</w:t>
            </w:r>
          </w:p>
        </w:tc>
        <w:tc>
          <w:tcPr>
            <w:tcW w:w="1133" w:type="dxa"/>
            <w:vAlign w:val="center"/>
          </w:tcPr>
          <w:p w14:paraId="71F879A1">
            <w:pPr>
              <w:pStyle w:val="33"/>
              <w:rPr>
                <w:snapToGrid w:val="0"/>
                <w:color w:val="auto"/>
              </w:rPr>
            </w:pPr>
            <w:r>
              <w:rPr>
                <w:color w:val="auto"/>
              </w:rPr>
              <w:t>0.0032</w:t>
            </w:r>
          </w:p>
        </w:tc>
      </w:tr>
      <w:tr w14:paraId="374F8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continue"/>
            <w:vAlign w:val="center"/>
          </w:tcPr>
          <w:p w14:paraId="2BE49AAC">
            <w:pPr>
              <w:pStyle w:val="33"/>
              <w:rPr>
                <w:snapToGrid w:val="0"/>
                <w:color w:val="auto"/>
              </w:rPr>
            </w:pPr>
          </w:p>
        </w:tc>
        <w:tc>
          <w:tcPr>
            <w:tcW w:w="992" w:type="dxa"/>
            <w:vAlign w:val="center"/>
          </w:tcPr>
          <w:p w14:paraId="7C0E9624">
            <w:pPr>
              <w:pStyle w:val="33"/>
              <w:rPr>
                <w:snapToGrid w:val="0"/>
                <w:color w:val="auto"/>
              </w:rPr>
            </w:pPr>
            <w:r>
              <w:rPr>
                <w:color w:val="auto"/>
              </w:rPr>
              <w:t>H</w:t>
            </w:r>
            <w:r>
              <w:rPr>
                <w:color w:val="auto"/>
                <w:vertAlign w:val="subscript"/>
              </w:rPr>
              <w:t>2</w:t>
            </w:r>
            <w:r>
              <w:rPr>
                <w:color w:val="auto"/>
              </w:rPr>
              <w:t>S</w:t>
            </w:r>
          </w:p>
        </w:tc>
        <w:tc>
          <w:tcPr>
            <w:tcW w:w="1276" w:type="dxa"/>
            <w:vAlign w:val="center"/>
          </w:tcPr>
          <w:p w14:paraId="56A2E53A">
            <w:pPr>
              <w:pStyle w:val="33"/>
              <w:rPr>
                <w:snapToGrid w:val="0"/>
                <w:color w:val="auto"/>
              </w:rPr>
            </w:pPr>
            <w:r>
              <w:rPr>
                <w:color w:val="auto"/>
              </w:rPr>
              <w:t>2.15</w:t>
            </w:r>
          </w:p>
        </w:tc>
        <w:tc>
          <w:tcPr>
            <w:tcW w:w="1134" w:type="dxa"/>
            <w:vAlign w:val="center"/>
          </w:tcPr>
          <w:p w14:paraId="4240CF8A">
            <w:pPr>
              <w:pStyle w:val="33"/>
              <w:rPr>
                <w:snapToGrid w:val="0"/>
                <w:color w:val="auto"/>
              </w:rPr>
            </w:pPr>
            <w:r>
              <w:rPr>
                <w:color w:val="auto"/>
              </w:rPr>
              <w:t>0.044</w:t>
            </w:r>
          </w:p>
        </w:tc>
        <w:tc>
          <w:tcPr>
            <w:tcW w:w="1276" w:type="dxa"/>
            <w:vMerge w:val="continue"/>
            <w:vAlign w:val="center"/>
          </w:tcPr>
          <w:p w14:paraId="4B66C96F">
            <w:pPr>
              <w:pStyle w:val="33"/>
              <w:rPr>
                <w:snapToGrid w:val="0"/>
                <w:color w:val="auto"/>
              </w:rPr>
            </w:pPr>
          </w:p>
        </w:tc>
        <w:tc>
          <w:tcPr>
            <w:tcW w:w="1134" w:type="dxa"/>
            <w:vAlign w:val="center"/>
          </w:tcPr>
          <w:p w14:paraId="414A7B2B">
            <w:pPr>
              <w:pStyle w:val="33"/>
              <w:rPr>
                <w:snapToGrid w:val="0"/>
                <w:color w:val="auto"/>
              </w:rPr>
            </w:pPr>
            <w:r>
              <w:rPr>
                <w:color w:val="auto"/>
              </w:rPr>
              <w:t>99</w:t>
            </w:r>
          </w:p>
        </w:tc>
        <w:tc>
          <w:tcPr>
            <w:tcW w:w="1411" w:type="dxa"/>
            <w:vAlign w:val="center"/>
          </w:tcPr>
          <w:p w14:paraId="61640446">
            <w:pPr>
              <w:pStyle w:val="33"/>
              <w:rPr>
                <w:snapToGrid w:val="0"/>
                <w:color w:val="auto"/>
              </w:rPr>
            </w:pPr>
            <w:r>
              <w:rPr>
                <w:color w:val="auto"/>
              </w:rPr>
              <w:t>0.022</w:t>
            </w:r>
          </w:p>
        </w:tc>
        <w:tc>
          <w:tcPr>
            <w:tcW w:w="1133" w:type="dxa"/>
            <w:vAlign w:val="center"/>
          </w:tcPr>
          <w:p w14:paraId="5504E199">
            <w:pPr>
              <w:pStyle w:val="33"/>
              <w:rPr>
                <w:snapToGrid w:val="0"/>
                <w:color w:val="auto"/>
              </w:rPr>
            </w:pPr>
            <w:r>
              <w:rPr>
                <w:color w:val="auto"/>
              </w:rPr>
              <w:t>0.00044</w:t>
            </w:r>
          </w:p>
        </w:tc>
      </w:tr>
      <w:tr w14:paraId="3AFCF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restart"/>
            <w:vAlign w:val="center"/>
          </w:tcPr>
          <w:p w14:paraId="001C5A79">
            <w:pPr>
              <w:pStyle w:val="33"/>
              <w:rPr>
                <w:snapToGrid w:val="0"/>
                <w:color w:val="auto"/>
              </w:rPr>
            </w:pPr>
            <w:r>
              <w:rPr>
                <w:snapToGrid w:val="0"/>
                <w:color w:val="auto"/>
              </w:rPr>
              <w:t>4#</w:t>
            </w:r>
          </w:p>
        </w:tc>
        <w:tc>
          <w:tcPr>
            <w:tcW w:w="992" w:type="dxa"/>
            <w:vAlign w:val="center"/>
          </w:tcPr>
          <w:p w14:paraId="5AC7785F">
            <w:pPr>
              <w:pStyle w:val="33"/>
              <w:rPr>
                <w:snapToGrid w:val="0"/>
                <w:color w:val="auto"/>
              </w:rPr>
            </w:pPr>
            <w:r>
              <w:rPr>
                <w:color w:val="auto"/>
              </w:rPr>
              <w:t>NH</w:t>
            </w:r>
            <w:r>
              <w:rPr>
                <w:color w:val="auto"/>
                <w:vertAlign w:val="subscript"/>
              </w:rPr>
              <w:t>3</w:t>
            </w:r>
          </w:p>
        </w:tc>
        <w:tc>
          <w:tcPr>
            <w:tcW w:w="1276" w:type="dxa"/>
            <w:vAlign w:val="center"/>
          </w:tcPr>
          <w:p w14:paraId="3161B8FE">
            <w:pPr>
              <w:pStyle w:val="33"/>
              <w:rPr>
                <w:snapToGrid w:val="0"/>
                <w:color w:val="auto"/>
              </w:rPr>
            </w:pPr>
            <w:r>
              <w:rPr>
                <w:color w:val="auto"/>
              </w:rPr>
              <w:t>2.23</w:t>
            </w:r>
          </w:p>
        </w:tc>
        <w:tc>
          <w:tcPr>
            <w:tcW w:w="1134" w:type="dxa"/>
            <w:vAlign w:val="center"/>
          </w:tcPr>
          <w:p w14:paraId="0D02C064">
            <w:pPr>
              <w:pStyle w:val="33"/>
              <w:rPr>
                <w:snapToGrid w:val="0"/>
                <w:color w:val="auto"/>
              </w:rPr>
            </w:pPr>
            <w:r>
              <w:rPr>
                <w:color w:val="auto"/>
              </w:rPr>
              <w:t>0.033</w:t>
            </w:r>
          </w:p>
        </w:tc>
        <w:tc>
          <w:tcPr>
            <w:tcW w:w="1276" w:type="dxa"/>
            <w:vMerge w:val="continue"/>
            <w:vAlign w:val="center"/>
          </w:tcPr>
          <w:p w14:paraId="3D9B872F">
            <w:pPr>
              <w:pStyle w:val="33"/>
              <w:rPr>
                <w:snapToGrid w:val="0"/>
                <w:color w:val="auto"/>
              </w:rPr>
            </w:pPr>
          </w:p>
        </w:tc>
        <w:tc>
          <w:tcPr>
            <w:tcW w:w="1134" w:type="dxa"/>
            <w:vAlign w:val="center"/>
          </w:tcPr>
          <w:p w14:paraId="129DDB29">
            <w:pPr>
              <w:pStyle w:val="33"/>
              <w:rPr>
                <w:snapToGrid w:val="0"/>
                <w:color w:val="auto"/>
              </w:rPr>
            </w:pPr>
            <w:r>
              <w:rPr>
                <w:color w:val="auto"/>
              </w:rPr>
              <w:t>93.1</w:t>
            </w:r>
          </w:p>
        </w:tc>
        <w:tc>
          <w:tcPr>
            <w:tcW w:w="1411" w:type="dxa"/>
            <w:vAlign w:val="center"/>
          </w:tcPr>
          <w:p w14:paraId="4CED7981">
            <w:pPr>
              <w:pStyle w:val="33"/>
              <w:rPr>
                <w:snapToGrid w:val="0"/>
                <w:color w:val="auto"/>
              </w:rPr>
            </w:pPr>
            <w:r>
              <w:rPr>
                <w:color w:val="auto"/>
              </w:rPr>
              <w:t>0.155</w:t>
            </w:r>
          </w:p>
        </w:tc>
        <w:tc>
          <w:tcPr>
            <w:tcW w:w="1133" w:type="dxa"/>
            <w:vAlign w:val="center"/>
          </w:tcPr>
          <w:p w14:paraId="4D5B19E3">
            <w:pPr>
              <w:pStyle w:val="33"/>
              <w:rPr>
                <w:snapToGrid w:val="0"/>
                <w:color w:val="auto"/>
              </w:rPr>
            </w:pPr>
            <w:r>
              <w:rPr>
                <w:color w:val="auto"/>
              </w:rPr>
              <w:t>0.0024</w:t>
            </w:r>
          </w:p>
        </w:tc>
      </w:tr>
      <w:tr w14:paraId="69823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continue"/>
            <w:vAlign w:val="center"/>
          </w:tcPr>
          <w:p w14:paraId="15034987">
            <w:pPr>
              <w:pStyle w:val="33"/>
              <w:rPr>
                <w:snapToGrid w:val="0"/>
                <w:color w:val="auto"/>
              </w:rPr>
            </w:pPr>
          </w:p>
        </w:tc>
        <w:tc>
          <w:tcPr>
            <w:tcW w:w="992" w:type="dxa"/>
            <w:vAlign w:val="center"/>
          </w:tcPr>
          <w:p w14:paraId="3A28838E">
            <w:pPr>
              <w:pStyle w:val="33"/>
              <w:rPr>
                <w:snapToGrid w:val="0"/>
                <w:color w:val="auto"/>
              </w:rPr>
            </w:pPr>
            <w:r>
              <w:rPr>
                <w:color w:val="auto"/>
              </w:rPr>
              <w:t>H</w:t>
            </w:r>
            <w:r>
              <w:rPr>
                <w:color w:val="auto"/>
                <w:vertAlign w:val="subscript"/>
              </w:rPr>
              <w:t>2</w:t>
            </w:r>
            <w:r>
              <w:rPr>
                <w:color w:val="auto"/>
              </w:rPr>
              <w:t>S</w:t>
            </w:r>
          </w:p>
        </w:tc>
        <w:tc>
          <w:tcPr>
            <w:tcW w:w="1276" w:type="dxa"/>
            <w:vAlign w:val="center"/>
          </w:tcPr>
          <w:p w14:paraId="3F4BAB50">
            <w:pPr>
              <w:pStyle w:val="33"/>
              <w:rPr>
                <w:snapToGrid w:val="0"/>
                <w:color w:val="auto"/>
              </w:rPr>
            </w:pPr>
            <w:r>
              <w:rPr>
                <w:color w:val="auto"/>
              </w:rPr>
              <w:t>0.86</w:t>
            </w:r>
          </w:p>
        </w:tc>
        <w:tc>
          <w:tcPr>
            <w:tcW w:w="1134" w:type="dxa"/>
            <w:vAlign w:val="center"/>
          </w:tcPr>
          <w:p w14:paraId="54F7F5E7">
            <w:pPr>
              <w:pStyle w:val="33"/>
              <w:rPr>
                <w:snapToGrid w:val="0"/>
                <w:color w:val="auto"/>
              </w:rPr>
            </w:pPr>
            <w:r>
              <w:rPr>
                <w:color w:val="auto"/>
              </w:rPr>
              <w:t>0.013</w:t>
            </w:r>
          </w:p>
        </w:tc>
        <w:tc>
          <w:tcPr>
            <w:tcW w:w="1276" w:type="dxa"/>
            <w:vMerge w:val="continue"/>
            <w:vAlign w:val="center"/>
          </w:tcPr>
          <w:p w14:paraId="47A17097">
            <w:pPr>
              <w:pStyle w:val="33"/>
              <w:rPr>
                <w:snapToGrid w:val="0"/>
                <w:color w:val="auto"/>
              </w:rPr>
            </w:pPr>
          </w:p>
        </w:tc>
        <w:tc>
          <w:tcPr>
            <w:tcW w:w="1134" w:type="dxa"/>
            <w:vAlign w:val="center"/>
          </w:tcPr>
          <w:p w14:paraId="17692A3F">
            <w:pPr>
              <w:pStyle w:val="33"/>
              <w:rPr>
                <w:snapToGrid w:val="0"/>
                <w:color w:val="auto"/>
              </w:rPr>
            </w:pPr>
            <w:r>
              <w:rPr>
                <w:color w:val="auto"/>
              </w:rPr>
              <w:t>98.4</w:t>
            </w:r>
          </w:p>
        </w:tc>
        <w:tc>
          <w:tcPr>
            <w:tcW w:w="1411" w:type="dxa"/>
            <w:vAlign w:val="center"/>
          </w:tcPr>
          <w:p w14:paraId="3886811D">
            <w:pPr>
              <w:pStyle w:val="33"/>
              <w:rPr>
                <w:snapToGrid w:val="0"/>
                <w:color w:val="auto"/>
              </w:rPr>
            </w:pPr>
            <w:r>
              <w:rPr>
                <w:color w:val="auto"/>
              </w:rPr>
              <w:t>0.014</w:t>
            </w:r>
          </w:p>
        </w:tc>
        <w:tc>
          <w:tcPr>
            <w:tcW w:w="1133" w:type="dxa"/>
            <w:vAlign w:val="center"/>
          </w:tcPr>
          <w:p w14:paraId="1B14014A">
            <w:pPr>
              <w:pStyle w:val="33"/>
              <w:rPr>
                <w:snapToGrid w:val="0"/>
                <w:color w:val="auto"/>
              </w:rPr>
            </w:pPr>
            <w:r>
              <w:rPr>
                <w:color w:val="auto"/>
              </w:rPr>
              <w:t>0.0002</w:t>
            </w:r>
          </w:p>
        </w:tc>
      </w:tr>
      <w:tr w14:paraId="79C05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restart"/>
            <w:vAlign w:val="center"/>
          </w:tcPr>
          <w:p w14:paraId="44D8BBCE">
            <w:pPr>
              <w:pStyle w:val="33"/>
              <w:rPr>
                <w:snapToGrid w:val="0"/>
                <w:color w:val="auto"/>
              </w:rPr>
            </w:pPr>
            <w:r>
              <w:rPr>
                <w:snapToGrid w:val="0"/>
                <w:color w:val="auto"/>
              </w:rPr>
              <w:t>5#</w:t>
            </w:r>
          </w:p>
        </w:tc>
        <w:tc>
          <w:tcPr>
            <w:tcW w:w="992" w:type="dxa"/>
            <w:vAlign w:val="center"/>
          </w:tcPr>
          <w:p w14:paraId="49A9A25B">
            <w:pPr>
              <w:pStyle w:val="33"/>
              <w:rPr>
                <w:snapToGrid w:val="0"/>
                <w:color w:val="auto"/>
              </w:rPr>
            </w:pPr>
            <w:r>
              <w:rPr>
                <w:color w:val="auto"/>
              </w:rPr>
              <w:t>NH</w:t>
            </w:r>
            <w:r>
              <w:rPr>
                <w:color w:val="auto"/>
                <w:vertAlign w:val="subscript"/>
              </w:rPr>
              <w:t>3</w:t>
            </w:r>
          </w:p>
        </w:tc>
        <w:tc>
          <w:tcPr>
            <w:tcW w:w="1276" w:type="dxa"/>
            <w:vAlign w:val="center"/>
          </w:tcPr>
          <w:p w14:paraId="0BC652B5">
            <w:pPr>
              <w:pStyle w:val="33"/>
              <w:rPr>
                <w:snapToGrid w:val="0"/>
                <w:color w:val="auto"/>
              </w:rPr>
            </w:pPr>
            <w:r>
              <w:rPr>
                <w:color w:val="auto"/>
              </w:rPr>
              <w:t>2.62</w:t>
            </w:r>
          </w:p>
        </w:tc>
        <w:tc>
          <w:tcPr>
            <w:tcW w:w="1134" w:type="dxa"/>
            <w:vAlign w:val="center"/>
          </w:tcPr>
          <w:p w14:paraId="525F8E78">
            <w:pPr>
              <w:pStyle w:val="33"/>
              <w:rPr>
                <w:snapToGrid w:val="0"/>
                <w:color w:val="auto"/>
              </w:rPr>
            </w:pPr>
            <w:r>
              <w:rPr>
                <w:color w:val="auto"/>
              </w:rPr>
              <w:t>0.055</w:t>
            </w:r>
          </w:p>
        </w:tc>
        <w:tc>
          <w:tcPr>
            <w:tcW w:w="1276" w:type="dxa"/>
            <w:vMerge w:val="continue"/>
            <w:vAlign w:val="center"/>
          </w:tcPr>
          <w:p w14:paraId="36E96B95">
            <w:pPr>
              <w:pStyle w:val="33"/>
              <w:rPr>
                <w:snapToGrid w:val="0"/>
                <w:color w:val="auto"/>
              </w:rPr>
            </w:pPr>
          </w:p>
        </w:tc>
        <w:tc>
          <w:tcPr>
            <w:tcW w:w="1134" w:type="dxa"/>
            <w:vAlign w:val="center"/>
          </w:tcPr>
          <w:p w14:paraId="33D112BD">
            <w:pPr>
              <w:pStyle w:val="33"/>
              <w:rPr>
                <w:snapToGrid w:val="0"/>
                <w:color w:val="auto"/>
              </w:rPr>
            </w:pPr>
            <w:r>
              <w:rPr>
                <w:color w:val="auto"/>
              </w:rPr>
              <w:t>94.3</w:t>
            </w:r>
          </w:p>
        </w:tc>
        <w:tc>
          <w:tcPr>
            <w:tcW w:w="1411" w:type="dxa"/>
            <w:vAlign w:val="center"/>
          </w:tcPr>
          <w:p w14:paraId="76C8ADCE">
            <w:pPr>
              <w:pStyle w:val="33"/>
              <w:rPr>
                <w:snapToGrid w:val="0"/>
                <w:color w:val="auto"/>
              </w:rPr>
            </w:pPr>
            <w:r>
              <w:rPr>
                <w:color w:val="auto"/>
              </w:rPr>
              <w:t>0.15</w:t>
            </w:r>
          </w:p>
        </w:tc>
        <w:tc>
          <w:tcPr>
            <w:tcW w:w="1133" w:type="dxa"/>
            <w:vAlign w:val="center"/>
          </w:tcPr>
          <w:p w14:paraId="0BC0AD2D">
            <w:pPr>
              <w:pStyle w:val="33"/>
              <w:rPr>
                <w:snapToGrid w:val="0"/>
                <w:color w:val="auto"/>
              </w:rPr>
            </w:pPr>
            <w:r>
              <w:rPr>
                <w:color w:val="auto"/>
              </w:rPr>
              <w:t>0.0032</w:t>
            </w:r>
          </w:p>
        </w:tc>
      </w:tr>
      <w:tr w14:paraId="39B2A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04" w:type="dxa"/>
            <w:vMerge w:val="continue"/>
            <w:vAlign w:val="center"/>
          </w:tcPr>
          <w:p w14:paraId="639E3452">
            <w:pPr>
              <w:pStyle w:val="33"/>
              <w:rPr>
                <w:snapToGrid w:val="0"/>
                <w:color w:val="auto"/>
              </w:rPr>
            </w:pPr>
          </w:p>
        </w:tc>
        <w:tc>
          <w:tcPr>
            <w:tcW w:w="992" w:type="dxa"/>
            <w:vAlign w:val="center"/>
          </w:tcPr>
          <w:p w14:paraId="474A0A53">
            <w:pPr>
              <w:pStyle w:val="33"/>
              <w:rPr>
                <w:snapToGrid w:val="0"/>
                <w:color w:val="auto"/>
              </w:rPr>
            </w:pPr>
            <w:r>
              <w:rPr>
                <w:color w:val="auto"/>
              </w:rPr>
              <w:t>H</w:t>
            </w:r>
            <w:r>
              <w:rPr>
                <w:color w:val="auto"/>
                <w:vertAlign w:val="subscript"/>
              </w:rPr>
              <w:t>2</w:t>
            </w:r>
            <w:r>
              <w:rPr>
                <w:color w:val="auto"/>
              </w:rPr>
              <w:t>S</w:t>
            </w:r>
          </w:p>
        </w:tc>
        <w:tc>
          <w:tcPr>
            <w:tcW w:w="1276" w:type="dxa"/>
            <w:vAlign w:val="center"/>
          </w:tcPr>
          <w:p w14:paraId="7E7AF880">
            <w:pPr>
              <w:pStyle w:val="33"/>
              <w:rPr>
                <w:snapToGrid w:val="0"/>
                <w:color w:val="auto"/>
              </w:rPr>
            </w:pPr>
            <w:r>
              <w:rPr>
                <w:color w:val="auto"/>
              </w:rPr>
              <w:t>0.704</w:t>
            </w:r>
          </w:p>
        </w:tc>
        <w:tc>
          <w:tcPr>
            <w:tcW w:w="1134" w:type="dxa"/>
            <w:vAlign w:val="center"/>
          </w:tcPr>
          <w:p w14:paraId="4E9C4B59">
            <w:pPr>
              <w:pStyle w:val="33"/>
              <w:rPr>
                <w:snapToGrid w:val="0"/>
                <w:color w:val="auto"/>
              </w:rPr>
            </w:pPr>
            <w:r>
              <w:rPr>
                <w:color w:val="auto"/>
              </w:rPr>
              <w:t>0.015</w:t>
            </w:r>
          </w:p>
        </w:tc>
        <w:tc>
          <w:tcPr>
            <w:tcW w:w="1276" w:type="dxa"/>
            <w:vMerge w:val="continue"/>
            <w:vAlign w:val="center"/>
          </w:tcPr>
          <w:p w14:paraId="5D03711E">
            <w:pPr>
              <w:pStyle w:val="33"/>
              <w:rPr>
                <w:snapToGrid w:val="0"/>
                <w:color w:val="auto"/>
              </w:rPr>
            </w:pPr>
          </w:p>
        </w:tc>
        <w:tc>
          <w:tcPr>
            <w:tcW w:w="1134" w:type="dxa"/>
            <w:vAlign w:val="center"/>
          </w:tcPr>
          <w:p w14:paraId="6817794B">
            <w:pPr>
              <w:pStyle w:val="33"/>
              <w:rPr>
                <w:snapToGrid w:val="0"/>
                <w:color w:val="auto"/>
              </w:rPr>
            </w:pPr>
            <w:r>
              <w:rPr>
                <w:color w:val="auto"/>
              </w:rPr>
              <w:t>97.9</w:t>
            </w:r>
          </w:p>
        </w:tc>
        <w:tc>
          <w:tcPr>
            <w:tcW w:w="1411" w:type="dxa"/>
            <w:vAlign w:val="center"/>
          </w:tcPr>
          <w:p w14:paraId="67951393">
            <w:pPr>
              <w:pStyle w:val="33"/>
              <w:rPr>
                <w:snapToGrid w:val="0"/>
                <w:color w:val="auto"/>
              </w:rPr>
            </w:pPr>
            <w:r>
              <w:rPr>
                <w:color w:val="auto"/>
              </w:rPr>
              <w:t>0.015</w:t>
            </w:r>
          </w:p>
        </w:tc>
        <w:tc>
          <w:tcPr>
            <w:tcW w:w="1133" w:type="dxa"/>
            <w:vAlign w:val="center"/>
          </w:tcPr>
          <w:p w14:paraId="5D1CECBB">
            <w:pPr>
              <w:pStyle w:val="33"/>
              <w:rPr>
                <w:snapToGrid w:val="0"/>
                <w:color w:val="auto"/>
              </w:rPr>
            </w:pPr>
            <w:r>
              <w:rPr>
                <w:color w:val="auto"/>
              </w:rPr>
              <w:t>0.0003</w:t>
            </w:r>
          </w:p>
        </w:tc>
      </w:tr>
    </w:tbl>
    <w:p w14:paraId="303B2460">
      <w:pPr>
        <w:ind w:firstLine="480"/>
        <w:rPr>
          <w:color w:val="auto"/>
        </w:rPr>
      </w:pPr>
      <w:r>
        <w:rPr>
          <w:rFonts w:hint="eastAsia"/>
          <w:color w:val="auto"/>
        </w:rPr>
        <w:t>综上所述，碱喷淋+生物滤池除臭技术是目前工艺成熟，应用广泛的除臭方法，处理效率高，本评价保守估算，除臭系统对硫化氢、氨气去除效率按95%、90%进行考核，具备经济技术可行性。</w:t>
      </w:r>
    </w:p>
    <w:p w14:paraId="7393A20F">
      <w:pPr>
        <w:ind w:firstLine="480" w:firstLineChars="0"/>
        <w:rPr>
          <w:color w:val="auto"/>
        </w:rPr>
      </w:pPr>
      <w:r>
        <w:rPr>
          <w:rFonts w:hint="eastAsia"/>
          <w:color w:val="auto"/>
        </w:rPr>
        <w:t>③造纸辅助车间废气处理措施</w:t>
      </w:r>
    </w:p>
    <w:p w14:paraId="01BD0726">
      <w:pPr>
        <w:ind w:firstLine="480" w:firstLineChars="0"/>
        <w:rPr>
          <w:color w:val="auto"/>
        </w:rPr>
      </w:pPr>
      <w:r>
        <w:rPr>
          <w:rFonts w:hint="eastAsia"/>
          <w:color w:val="auto"/>
        </w:rPr>
        <w:t>造纸辅助车间</w:t>
      </w:r>
      <w:r>
        <w:rPr>
          <w:color w:val="auto"/>
        </w:rPr>
        <w:t>GCC</w:t>
      </w:r>
      <w:r>
        <w:rPr>
          <w:rFonts w:hint="eastAsia"/>
          <w:color w:val="auto"/>
        </w:rPr>
        <w:t>（研磨碳酸钙）车间投料斗、振动筛、破碎机出料、干磨机出料过程中产生一定的含尘废气，通过采购水洗后的大理石，可以从源头上减少原料含尘量；另外通过在投料斗、振动筛采取喷淋措施，可以减少原料及预处理段的废气含尘量；通过采用封闭式破碎机，可以避免破碎过程含尘废气的产生，在破碎机出料及输送段采用集气装置并安装布袋除尘器；通过采用封闭式干磨机，可以避免干磨过程含尘废气的产生，在干磨机出料处采用布袋除尘器用来集料。通过采取喷淋及布袋除尘器等措施，降低粉尘影响。</w:t>
      </w:r>
    </w:p>
    <w:p w14:paraId="4BC7ED48">
      <w:pPr>
        <w:numPr>
          <w:ilvl w:val="0"/>
          <w:numId w:val="10"/>
        </w:numPr>
        <w:ind w:firstLine="480"/>
        <w:rPr>
          <w:color w:val="auto"/>
        </w:rPr>
      </w:pPr>
      <w:r>
        <w:rPr>
          <w:rFonts w:hint="eastAsia"/>
          <w:color w:val="auto"/>
        </w:rPr>
        <w:t>大气污染防治措施可行性分析</w:t>
      </w:r>
    </w:p>
    <w:p w14:paraId="4FE6D101">
      <w:pPr>
        <w:ind w:firstLine="480"/>
        <w:rPr>
          <w:color w:val="auto"/>
        </w:rPr>
      </w:pPr>
      <w:r>
        <w:rPr>
          <w:rFonts w:hint="eastAsia"/>
          <w:color w:val="auto"/>
        </w:rPr>
        <w:t>项目产生的主要大气污染物包括</w:t>
      </w:r>
      <w:r>
        <w:rPr>
          <w:color w:val="auto"/>
        </w:rPr>
        <w:t>VOCs</w:t>
      </w:r>
      <w:r>
        <w:rPr>
          <w:rFonts w:hint="eastAsia"/>
          <w:color w:val="auto"/>
        </w:rPr>
        <w:t>、硫化氢、氨气、臭气、颗粒物、二氧化硫、氮氧化物、烟尘等。根据《造纸行业排污许可证申请与核发技术规范》、《大气污染治理工程技术导则》（</w:t>
      </w:r>
      <w:r>
        <w:rPr>
          <w:color w:val="auto"/>
        </w:rPr>
        <w:t>HJ 2000-2010</w:t>
      </w:r>
      <w:r>
        <w:rPr>
          <w:rFonts w:hint="eastAsia"/>
          <w:color w:val="auto"/>
        </w:rPr>
        <w:t>）、《排污许可证申请与核发技术规范</w:t>
      </w:r>
      <w:r>
        <w:rPr>
          <w:color w:val="auto"/>
        </w:rPr>
        <w:t xml:space="preserve"> </w:t>
      </w:r>
      <w:r>
        <w:rPr>
          <w:rFonts w:hint="eastAsia"/>
          <w:color w:val="auto"/>
        </w:rPr>
        <w:t>水处理试行》（</w:t>
      </w:r>
      <w:r>
        <w:rPr>
          <w:color w:val="auto"/>
        </w:rPr>
        <w:t>HJ978-2018</w:t>
      </w:r>
      <w:r>
        <w:rPr>
          <w:rFonts w:hint="eastAsia"/>
          <w:color w:val="auto"/>
        </w:rPr>
        <w:t>）、《挥发性有机物无组织排放控制标准》（</w:t>
      </w:r>
      <w:r>
        <w:rPr>
          <w:color w:val="auto"/>
        </w:rPr>
        <w:t>GB37822-2019</w:t>
      </w:r>
      <w:r>
        <w:rPr>
          <w:rFonts w:hint="eastAsia"/>
          <w:color w:val="auto"/>
        </w:rPr>
        <w:t>）、《工业锅炉污染防治可行技术指南》（</w:t>
      </w:r>
      <w:r>
        <w:rPr>
          <w:color w:val="auto"/>
        </w:rPr>
        <w:t>HJ1178-2021</w:t>
      </w:r>
      <w:r>
        <w:rPr>
          <w:rFonts w:hint="eastAsia"/>
          <w:color w:val="auto"/>
        </w:rPr>
        <w:t>）中给出的可行性技术，项目大气污染防治措施符合性情况见下表。</w:t>
      </w:r>
    </w:p>
    <w:p w14:paraId="64ECE8C8">
      <w:pPr>
        <w:pStyle w:val="7"/>
        <w:rPr>
          <w:color w:val="auto"/>
        </w:rPr>
      </w:pPr>
      <w:r>
        <w:rPr>
          <w:rFonts w:hint="eastAsia"/>
          <w:color w:val="auto"/>
        </w:rPr>
        <w:t>有组织废气处置措施符合性分析</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0"/>
        <w:gridCol w:w="1127"/>
        <w:gridCol w:w="1736"/>
        <w:gridCol w:w="1807"/>
        <w:gridCol w:w="2260"/>
        <w:gridCol w:w="1176"/>
      </w:tblGrid>
      <w:tr w14:paraId="6D3A6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pct"/>
            <w:noWrap/>
            <w:vAlign w:val="center"/>
          </w:tcPr>
          <w:p w14:paraId="6FAB1D31">
            <w:pPr>
              <w:pStyle w:val="33"/>
              <w:rPr>
                <w:color w:val="auto"/>
              </w:rPr>
            </w:pPr>
            <w:r>
              <w:rPr>
                <w:rFonts w:hint="eastAsia"/>
                <w:color w:val="auto"/>
              </w:rPr>
              <w:t>生产线</w:t>
            </w:r>
          </w:p>
        </w:tc>
        <w:tc>
          <w:tcPr>
            <w:tcW w:w="607" w:type="pct"/>
            <w:noWrap/>
            <w:vAlign w:val="center"/>
          </w:tcPr>
          <w:p w14:paraId="128BC728">
            <w:pPr>
              <w:pStyle w:val="33"/>
              <w:rPr>
                <w:color w:val="auto"/>
              </w:rPr>
            </w:pPr>
            <w:r>
              <w:rPr>
                <w:rFonts w:hint="eastAsia"/>
                <w:color w:val="auto"/>
              </w:rPr>
              <w:t>污染因子</w:t>
            </w:r>
          </w:p>
        </w:tc>
        <w:tc>
          <w:tcPr>
            <w:tcW w:w="934" w:type="pct"/>
            <w:noWrap/>
            <w:vAlign w:val="center"/>
          </w:tcPr>
          <w:p w14:paraId="176401CE">
            <w:pPr>
              <w:pStyle w:val="33"/>
              <w:rPr>
                <w:color w:val="auto"/>
              </w:rPr>
            </w:pPr>
            <w:r>
              <w:rPr>
                <w:rFonts w:hint="eastAsia"/>
                <w:color w:val="auto"/>
              </w:rPr>
              <w:t>环保措施</w:t>
            </w:r>
          </w:p>
        </w:tc>
        <w:tc>
          <w:tcPr>
            <w:tcW w:w="972" w:type="pct"/>
            <w:noWrap/>
            <w:vAlign w:val="center"/>
          </w:tcPr>
          <w:p w14:paraId="72A5FF1E">
            <w:pPr>
              <w:pStyle w:val="33"/>
              <w:rPr>
                <w:color w:val="auto"/>
              </w:rPr>
            </w:pPr>
            <w:r>
              <w:rPr>
                <w:rFonts w:hint="eastAsia"/>
                <w:color w:val="auto"/>
              </w:rPr>
              <w:t>可行性措施</w:t>
            </w:r>
          </w:p>
        </w:tc>
        <w:tc>
          <w:tcPr>
            <w:tcW w:w="1216" w:type="pct"/>
            <w:noWrap/>
            <w:vAlign w:val="center"/>
          </w:tcPr>
          <w:p w14:paraId="65392672">
            <w:pPr>
              <w:pStyle w:val="33"/>
              <w:rPr>
                <w:color w:val="auto"/>
              </w:rPr>
            </w:pPr>
            <w:r>
              <w:rPr>
                <w:rFonts w:hint="eastAsia"/>
                <w:color w:val="auto"/>
              </w:rPr>
              <w:t>可行性来源</w:t>
            </w:r>
          </w:p>
        </w:tc>
        <w:tc>
          <w:tcPr>
            <w:tcW w:w="632" w:type="pct"/>
            <w:noWrap/>
            <w:vAlign w:val="center"/>
          </w:tcPr>
          <w:p w14:paraId="5C84C9B1">
            <w:pPr>
              <w:pStyle w:val="33"/>
              <w:rPr>
                <w:color w:val="auto"/>
              </w:rPr>
            </w:pPr>
            <w:r>
              <w:rPr>
                <w:rFonts w:hint="eastAsia"/>
                <w:color w:val="auto"/>
              </w:rPr>
              <w:t>可行性分析</w:t>
            </w:r>
          </w:p>
        </w:tc>
      </w:tr>
      <w:tr w14:paraId="6311D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trPr>
        <w:tc>
          <w:tcPr>
            <w:tcW w:w="635" w:type="pct"/>
            <w:noWrap/>
            <w:vAlign w:val="center"/>
          </w:tcPr>
          <w:p w14:paraId="73EDCBC2">
            <w:pPr>
              <w:pStyle w:val="33"/>
              <w:rPr>
                <w:color w:val="auto"/>
              </w:rPr>
            </w:pPr>
            <w:r>
              <w:rPr>
                <w:rFonts w:hint="eastAsia"/>
                <w:color w:val="auto"/>
              </w:rPr>
              <w:t>淋膜纸车间</w:t>
            </w:r>
          </w:p>
        </w:tc>
        <w:tc>
          <w:tcPr>
            <w:tcW w:w="607" w:type="pct"/>
            <w:noWrap/>
            <w:vAlign w:val="center"/>
          </w:tcPr>
          <w:p w14:paraId="04AEB79C">
            <w:pPr>
              <w:pStyle w:val="33"/>
              <w:rPr>
                <w:color w:val="auto"/>
              </w:rPr>
            </w:pPr>
            <w:r>
              <w:rPr>
                <w:color w:val="auto"/>
              </w:rPr>
              <w:t>VOCs</w:t>
            </w:r>
          </w:p>
        </w:tc>
        <w:tc>
          <w:tcPr>
            <w:tcW w:w="934" w:type="pct"/>
            <w:noWrap/>
            <w:vAlign w:val="center"/>
          </w:tcPr>
          <w:p w14:paraId="3DC67EF7">
            <w:pPr>
              <w:pStyle w:val="33"/>
              <w:rPr>
                <w:color w:val="auto"/>
              </w:rPr>
            </w:pPr>
            <w:r>
              <w:rPr>
                <w:rFonts w:hint="eastAsia"/>
                <w:color w:val="auto"/>
              </w:rPr>
              <w:t>活性炭吸附</w:t>
            </w:r>
          </w:p>
        </w:tc>
        <w:tc>
          <w:tcPr>
            <w:tcW w:w="972" w:type="pct"/>
            <w:vAlign w:val="center"/>
          </w:tcPr>
          <w:p w14:paraId="0301926A">
            <w:pPr>
              <w:pStyle w:val="33"/>
              <w:rPr>
                <w:color w:val="auto"/>
              </w:rPr>
            </w:pPr>
            <w:r>
              <w:rPr>
                <w:rFonts w:hint="eastAsia"/>
                <w:color w:val="auto"/>
              </w:rPr>
              <w:t>吸附法、吸收法、冷凝法、膜分离法、燃烧法、生物法、低温等离子法和催化氧化法</w:t>
            </w:r>
          </w:p>
        </w:tc>
        <w:tc>
          <w:tcPr>
            <w:tcW w:w="1216" w:type="pct"/>
            <w:noWrap/>
            <w:vAlign w:val="center"/>
          </w:tcPr>
          <w:p w14:paraId="6E5AA753">
            <w:pPr>
              <w:pStyle w:val="33"/>
              <w:rPr>
                <w:color w:val="auto"/>
              </w:rPr>
            </w:pPr>
            <w:r>
              <w:rPr>
                <w:rFonts w:hint="eastAsia"/>
                <w:color w:val="auto"/>
              </w:rPr>
              <w:t>《大气污染治理工程技术导则》（</w:t>
            </w:r>
            <w:r>
              <w:rPr>
                <w:color w:val="auto"/>
              </w:rPr>
              <w:t>HJ2000-2010</w:t>
            </w:r>
            <w:r>
              <w:rPr>
                <w:rFonts w:hint="eastAsia"/>
                <w:color w:val="auto"/>
              </w:rPr>
              <w:t>）</w:t>
            </w:r>
          </w:p>
        </w:tc>
        <w:tc>
          <w:tcPr>
            <w:tcW w:w="632" w:type="pct"/>
            <w:noWrap/>
            <w:vAlign w:val="center"/>
          </w:tcPr>
          <w:p w14:paraId="26D20B8D">
            <w:pPr>
              <w:pStyle w:val="33"/>
              <w:rPr>
                <w:color w:val="auto"/>
              </w:rPr>
            </w:pPr>
            <w:r>
              <w:rPr>
                <w:rFonts w:hint="eastAsia"/>
                <w:color w:val="auto"/>
              </w:rPr>
              <w:t>可行</w:t>
            </w:r>
          </w:p>
        </w:tc>
      </w:tr>
      <w:tr w14:paraId="1FA16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35" w:type="pct"/>
            <w:vMerge w:val="restart"/>
            <w:noWrap/>
            <w:vAlign w:val="center"/>
          </w:tcPr>
          <w:p w14:paraId="3E4F4790">
            <w:pPr>
              <w:pStyle w:val="33"/>
              <w:rPr>
                <w:color w:val="auto"/>
              </w:rPr>
            </w:pPr>
            <w:r>
              <w:rPr>
                <w:rFonts w:hint="eastAsia"/>
                <w:color w:val="auto"/>
              </w:rPr>
              <w:t>造纸车间天燃气燃烧废气</w:t>
            </w:r>
          </w:p>
        </w:tc>
        <w:tc>
          <w:tcPr>
            <w:tcW w:w="607" w:type="pct"/>
            <w:noWrap/>
            <w:vAlign w:val="center"/>
          </w:tcPr>
          <w:p w14:paraId="027927EC">
            <w:pPr>
              <w:pStyle w:val="33"/>
              <w:rPr>
                <w:color w:val="auto"/>
              </w:rPr>
            </w:pPr>
            <w:r>
              <w:rPr>
                <w:rFonts w:hint="eastAsia"/>
                <w:color w:val="auto"/>
              </w:rPr>
              <w:t>二氧化硫</w:t>
            </w:r>
          </w:p>
        </w:tc>
        <w:tc>
          <w:tcPr>
            <w:tcW w:w="934" w:type="pct"/>
            <w:vMerge w:val="restart"/>
            <w:noWrap/>
            <w:vAlign w:val="center"/>
          </w:tcPr>
          <w:p w14:paraId="7CFD3C95">
            <w:pPr>
              <w:pStyle w:val="33"/>
              <w:rPr>
                <w:color w:val="auto"/>
              </w:rPr>
            </w:pPr>
            <w:r>
              <w:rPr>
                <w:color w:val="auto"/>
              </w:rPr>
              <w:t>/</w:t>
            </w:r>
          </w:p>
        </w:tc>
        <w:tc>
          <w:tcPr>
            <w:tcW w:w="972" w:type="pct"/>
            <w:vMerge w:val="restart"/>
            <w:noWrap/>
            <w:vAlign w:val="center"/>
          </w:tcPr>
          <w:p w14:paraId="1A0A14A6">
            <w:pPr>
              <w:pStyle w:val="33"/>
              <w:rPr>
                <w:color w:val="auto"/>
              </w:rPr>
            </w:pPr>
            <w:r>
              <w:rPr>
                <w:color w:val="auto"/>
              </w:rPr>
              <w:t>SCR</w:t>
            </w:r>
            <w:r>
              <w:rPr>
                <w:rFonts w:hint="eastAsia"/>
                <w:color w:val="auto"/>
              </w:rPr>
              <w:t>（可选）</w:t>
            </w:r>
          </w:p>
        </w:tc>
        <w:tc>
          <w:tcPr>
            <w:tcW w:w="1216" w:type="pct"/>
            <w:vMerge w:val="restart"/>
            <w:noWrap/>
            <w:vAlign w:val="center"/>
          </w:tcPr>
          <w:p w14:paraId="0FC6D9BB">
            <w:pPr>
              <w:pStyle w:val="33"/>
              <w:rPr>
                <w:color w:val="auto"/>
              </w:rPr>
            </w:pPr>
            <w:r>
              <w:rPr>
                <w:rFonts w:hint="eastAsia"/>
                <w:color w:val="auto"/>
              </w:rPr>
              <w:t>《工业锅炉污染防治可行技术指南》（</w:t>
            </w:r>
            <w:r>
              <w:rPr>
                <w:color w:val="auto"/>
              </w:rPr>
              <w:t>HJ1178-2021</w:t>
            </w:r>
            <w:r>
              <w:rPr>
                <w:rFonts w:hint="eastAsia"/>
                <w:color w:val="auto"/>
              </w:rPr>
              <w:t>）</w:t>
            </w:r>
          </w:p>
        </w:tc>
        <w:tc>
          <w:tcPr>
            <w:tcW w:w="632" w:type="pct"/>
            <w:vMerge w:val="restart"/>
            <w:vAlign w:val="center"/>
          </w:tcPr>
          <w:p w14:paraId="5A9BA1F7">
            <w:pPr>
              <w:pStyle w:val="33"/>
              <w:rPr>
                <w:color w:val="auto"/>
              </w:rPr>
            </w:pPr>
            <w:r>
              <w:rPr>
                <w:rFonts w:hint="eastAsia"/>
                <w:color w:val="auto"/>
              </w:rPr>
              <w:t>可行</w:t>
            </w:r>
          </w:p>
        </w:tc>
      </w:tr>
      <w:tr w14:paraId="3A3F3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635" w:type="pct"/>
            <w:vMerge w:val="continue"/>
            <w:noWrap/>
            <w:vAlign w:val="center"/>
          </w:tcPr>
          <w:p w14:paraId="0D3BD7C8">
            <w:pPr>
              <w:pStyle w:val="33"/>
              <w:rPr>
                <w:color w:val="auto"/>
              </w:rPr>
            </w:pPr>
          </w:p>
        </w:tc>
        <w:tc>
          <w:tcPr>
            <w:tcW w:w="607" w:type="pct"/>
            <w:noWrap/>
            <w:vAlign w:val="center"/>
          </w:tcPr>
          <w:p w14:paraId="4BD1D093">
            <w:pPr>
              <w:pStyle w:val="33"/>
              <w:rPr>
                <w:color w:val="auto"/>
              </w:rPr>
            </w:pPr>
            <w:r>
              <w:rPr>
                <w:rFonts w:hint="eastAsia"/>
                <w:color w:val="auto"/>
              </w:rPr>
              <w:t>氮氧化物</w:t>
            </w:r>
          </w:p>
        </w:tc>
        <w:tc>
          <w:tcPr>
            <w:tcW w:w="934" w:type="pct"/>
            <w:vMerge w:val="continue"/>
            <w:noWrap/>
            <w:vAlign w:val="center"/>
          </w:tcPr>
          <w:p w14:paraId="4B3B64BA">
            <w:pPr>
              <w:pStyle w:val="33"/>
              <w:rPr>
                <w:color w:val="auto"/>
              </w:rPr>
            </w:pPr>
          </w:p>
        </w:tc>
        <w:tc>
          <w:tcPr>
            <w:tcW w:w="972" w:type="pct"/>
            <w:vMerge w:val="continue"/>
            <w:noWrap/>
            <w:vAlign w:val="center"/>
          </w:tcPr>
          <w:p w14:paraId="40941ECB">
            <w:pPr>
              <w:pStyle w:val="33"/>
              <w:rPr>
                <w:color w:val="auto"/>
              </w:rPr>
            </w:pPr>
          </w:p>
        </w:tc>
        <w:tc>
          <w:tcPr>
            <w:tcW w:w="1216" w:type="pct"/>
            <w:vMerge w:val="continue"/>
            <w:noWrap/>
            <w:vAlign w:val="center"/>
          </w:tcPr>
          <w:p w14:paraId="0D6E28D1">
            <w:pPr>
              <w:pStyle w:val="33"/>
              <w:rPr>
                <w:color w:val="auto"/>
              </w:rPr>
            </w:pPr>
          </w:p>
        </w:tc>
        <w:tc>
          <w:tcPr>
            <w:tcW w:w="632" w:type="pct"/>
            <w:vMerge w:val="continue"/>
            <w:vAlign w:val="center"/>
          </w:tcPr>
          <w:p w14:paraId="56208FF3">
            <w:pPr>
              <w:pStyle w:val="33"/>
              <w:rPr>
                <w:color w:val="auto"/>
              </w:rPr>
            </w:pPr>
          </w:p>
        </w:tc>
      </w:tr>
      <w:tr w14:paraId="6DF81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pct"/>
            <w:vMerge w:val="continue"/>
            <w:noWrap/>
            <w:vAlign w:val="center"/>
          </w:tcPr>
          <w:p w14:paraId="25FBAE08">
            <w:pPr>
              <w:pStyle w:val="33"/>
              <w:rPr>
                <w:color w:val="auto"/>
              </w:rPr>
            </w:pPr>
          </w:p>
        </w:tc>
        <w:tc>
          <w:tcPr>
            <w:tcW w:w="607" w:type="pct"/>
            <w:noWrap/>
            <w:vAlign w:val="center"/>
          </w:tcPr>
          <w:p w14:paraId="43501D82">
            <w:pPr>
              <w:pStyle w:val="33"/>
              <w:rPr>
                <w:color w:val="auto"/>
              </w:rPr>
            </w:pPr>
            <w:r>
              <w:rPr>
                <w:rFonts w:hint="eastAsia"/>
                <w:color w:val="auto"/>
              </w:rPr>
              <w:t>烟尘</w:t>
            </w:r>
          </w:p>
        </w:tc>
        <w:tc>
          <w:tcPr>
            <w:tcW w:w="934" w:type="pct"/>
            <w:vMerge w:val="continue"/>
            <w:noWrap/>
            <w:vAlign w:val="center"/>
          </w:tcPr>
          <w:p w14:paraId="7388CB55">
            <w:pPr>
              <w:pStyle w:val="33"/>
              <w:rPr>
                <w:color w:val="auto"/>
              </w:rPr>
            </w:pPr>
          </w:p>
        </w:tc>
        <w:tc>
          <w:tcPr>
            <w:tcW w:w="972" w:type="pct"/>
            <w:vMerge w:val="continue"/>
            <w:noWrap/>
            <w:vAlign w:val="center"/>
          </w:tcPr>
          <w:p w14:paraId="61ED642D">
            <w:pPr>
              <w:pStyle w:val="33"/>
              <w:rPr>
                <w:color w:val="auto"/>
              </w:rPr>
            </w:pPr>
          </w:p>
        </w:tc>
        <w:tc>
          <w:tcPr>
            <w:tcW w:w="1216" w:type="pct"/>
            <w:vMerge w:val="continue"/>
            <w:noWrap/>
            <w:vAlign w:val="center"/>
          </w:tcPr>
          <w:p w14:paraId="6B290C8E">
            <w:pPr>
              <w:pStyle w:val="33"/>
              <w:rPr>
                <w:color w:val="auto"/>
              </w:rPr>
            </w:pPr>
          </w:p>
        </w:tc>
        <w:tc>
          <w:tcPr>
            <w:tcW w:w="632" w:type="pct"/>
            <w:vMerge w:val="continue"/>
            <w:vAlign w:val="center"/>
          </w:tcPr>
          <w:p w14:paraId="20D3873E">
            <w:pPr>
              <w:pStyle w:val="33"/>
              <w:rPr>
                <w:color w:val="auto"/>
              </w:rPr>
            </w:pPr>
          </w:p>
        </w:tc>
      </w:tr>
      <w:tr w14:paraId="713B1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35" w:type="pct"/>
            <w:vMerge w:val="restart"/>
            <w:noWrap/>
            <w:vAlign w:val="center"/>
          </w:tcPr>
          <w:p w14:paraId="62DC6FDF">
            <w:pPr>
              <w:pStyle w:val="33"/>
              <w:rPr>
                <w:color w:val="auto"/>
              </w:rPr>
            </w:pPr>
            <w:r>
              <w:rPr>
                <w:rFonts w:hint="eastAsia"/>
                <w:color w:val="auto"/>
              </w:rPr>
              <w:t>污水处理站有组织废气</w:t>
            </w:r>
          </w:p>
        </w:tc>
        <w:tc>
          <w:tcPr>
            <w:tcW w:w="607" w:type="pct"/>
            <w:noWrap/>
            <w:vAlign w:val="center"/>
          </w:tcPr>
          <w:p w14:paraId="3DBCB539">
            <w:pPr>
              <w:pStyle w:val="33"/>
              <w:rPr>
                <w:color w:val="auto"/>
              </w:rPr>
            </w:pPr>
            <w:r>
              <w:rPr>
                <w:rFonts w:hint="eastAsia"/>
                <w:color w:val="auto"/>
              </w:rPr>
              <w:t>硫化氢</w:t>
            </w:r>
          </w:p>
        </w:tc>
        <w:tc>
          <w:tcPr>
            <w:tcW w:w="934" w:type="pct"/>
            <w:vMerge w:val="restart"/>
            <w:vAlign w:val="center"/>
          </w:tcPr>
          <w:p w14:paraId="0B81252D">
            <w:pPr>
              <w:pStyle w:val="33"/>
              <w:rPr>
                <w:color w:val="auto"/>
              </w:rPr>
            </w:pPr>
            <w:r>
              <w:rPr>
                <w:rFonts w:hint="eastAsia"/>
                <w:color w:val="auto"/>
              </w:rPr>
              <w:t>加盖密闭收集恶臭气体、碱喷淋</w:t>
            </w:r>
            <w:r>
              <w:rPr>
                <w:color w:val="auto"/>
              </w:rPr>
              <w:t>+</w:t>
            </w:r>
            <w:r>
              <w:rPr>
                <w:rFonts w:hint="eastAsia"/>
                <w:color w:val="auto"/>
              </w:rPr>
              <w:t>生物除臭滤池</w:t>
            </w:r>
          </w:p>
        </w:tc>
        <w:tc>
          <w:tcPr>
            <w:tcW w:w="972" w:type="pct"/>
            <w:vMerge w:val="restart"/>
            <w:noWrap/>
            <w:vAlign w:val="center"/>
          </w:tcPr>
          <w:p w14:paraId="747BDE2D">
            <w:pPr>
              <w:pStyle w:val="33"/>
              <w:rPr>
                <w:color w:val="auto"/>
              </w:rPr>
            </w:pPr>
            <w:r>
              <w:rPr>
                <w:rFonts w:hint="eastAsia"/>
                <w:color w:val="auto"/>
              </w:rPr>
              <w:t>生物过滤、化学洗涤、活性炭吸附</w:t>
            </w:r>
          </w:p>
        </w:tc>
        <w:tc>
          <w:tcPr>
            <w:tcW w:w="1216" w:type="pct"/>
            <w:vMerge w:val="restart"/>
            <w:noWrap/>
            <w:vAlign w:val="center"/>
          </w:tcPr>
          <w:p w14:paraId="4F075257">
            <w:pPr>
              <w:pStyle w:val="33"/>
              <w:rPr>
                <w:color w:val="auto"/>
              </w:rPr>
            </w:pPr>
            <w:r>
              <w:rPr>
                <w:rFonts w:hint="eastAsia"/>
                <w:color w:val="auto"/>
              </w:rPr>
              <w:t>《排污许可证申请与核发技术规范</w:t>
            </w:r>
            <w:r>
              <w:rPr>
                <w:color w:val="auto"/>
              </w:rPr>
              <w:t xml:space="preserve"> </w:t>
            </w:r>
            <w:r>
              <w:rPr>
                <w:rFonts w:hint="eastAsia"/>
                <w:color w:val="auto"/>
              </w:rPr>
              <w:t>水处理（试行）》（</w:t>
            </w:r>
            <w:r>
              <w:rPr>
                <w:color w:val="auto"/>
              </w:rPr>
              <w:t>HJ978-2018</w:t>
            </w:r>
            <w:r>
              <w:rPr>
                <w:rFonts w:hint="eastAsia"/>
                <w:color w:val="auto"/>
              </w:rPr>
              <w:t>）</w:t>
            </w:r>
          </w:p>
        </w:tc>
        <w:tc>
          <w:tcPr>
            <w:tcW w:w="632" w:type="pct"/>
            <w:vMerge w:val="restart"/>
            <w:noWrap/>
            <w:vAlign w:val="center"/>
          </w:tcPr>
          <w:p w14:paraId="66EEC652">
            <w:pPr>
              <w:pStyle w:val="33"/>
              <w:rPr>
                <w:color w:val="auto"/>
              </w:rPr>
            </w:pPr>
            <w:r>
              <w:rPr>
                <w:rFonts w:hint="eastAsia"/>
                <w:color w:val="auto"/>
              </w:rPr>
              <w:t>可行</w:t>
            </w:r>
          </w:p>
        </w:tc>
      </w:tr>
      <w:tr w14:paraId="7C847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35" w:type="pct"/>
            <w:vMerge w:val="continue"/>
            <w:noWrap/>
            <w:vAlign w:val="center"/>
          </w:tcPr>
          <w:p w14:paraId="02A73916">
            <w:pPr>
              <w:pStyle w:val="33"/>
              <w:rPr>
                <w:color w:val="auto"/>
              </w:rPr>
            </w:pPr>
          </w:p>
        </w:tc>
        <w:tc>
          <w:tcPr>
            <w:tcW w:w="607" w:type="pct"/>
            <w:noWrap/>
            <w:vAlign w:val="center"/>
          </w:tcPr>
          <w:p w14:paraId="6445B238">
            <w:pPr>
              <w:pStyle w:val="33"/>
              <w:rPr>
                <w:color w:val="auto"/>
              </w:rPr>
            </w:pPr>
            <w:r>
              <w:rPr>
                <w:rFonts w:hint="eastAsia"/>
                <w:color w:val="auto"/>
              </w:rPr>
              <w:t>氨气</w:t>
            </w:r>
          </w:p>
        </w:tc>
        <w:tc>
          <w:tcPr>
            <w:tcW w:w="934" w:type="pct"/>
            <w:vMerge w:val="continue"/>
            <w:vAlign w:val="center"/>
          </w:tcPr>
          <w:p w14:paraId="60D2F525">
            <w:pPr>
              <w:pStyle w:val="33"/>
              <w:rPr>
                <w:color w:val="auto"/>
              </w:rPr>
            </w:pPr>
          </w:p>
        </w:tc>
        <w:tc>
          <w:tcPr>
            <w:tcW w:w="972" w:type="pct"/>
            <w:vMerge w:val="continue"/>
            <w:noWrap/>
            <w:vAlign w:val="center"/>
          </w:tcPr>
          <w:p w14:paraId="18138561">
            <w:pPr>
              <w:pStyle w:val="33"/>
              <w:rPr>
                <w:color w:val="auto"/>
              </w:rPr>
            </w:pPr>
          </w:p>
        </w:tc>
        <w:tc>
          <w:tcPr>
            <w:tcW w:w="1216" w:type="pct"/>
            <w:vMerge w:val="continue"/>
            <w:noWrap/>
            <w:vAlign w:val="center"/>
          </w:tcPr>
          <w:p w14:paraId="3FF09428">
            <w:pPr>
              <w:pStyle w:val="33"/>
              <w:rPr>
                <w:color w:val="auto"/>
              </w:rPr>
            </w:pPr>
          </w:p>
        </w:tc>
        <w:tc>
          <w:tcPr>
            <w:tcW w:w="632" w:type="pct"/>
            <w:vMerge w:val="continue"/>
            <w:noWrap/>
            <w:vAlign w:val="center"/>
          </w:tcPr>
          <w:p w14:paraId="0B70AC09">
            <w:pPr>
              <w:pStyle w:val="33"/>
              <w:rPr>
                <w:color w:val="auto"/>
              </w:rPr>
            </w:pPr>
          </w:p>
        </w:tc>
      </w:tr>
      <w:tr w14:paraId="6AFC9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635" w:type="pct"/>
            <w:vMerge w:val="continue"/>
            <w:noWrap/>
            <w:vAlign w:val="center"/>
          </w:tcPr>
          <w:p w14:paraId="020EE99E">
            <w:pPr>
              <w:pStyle w:val="33"/>
              <w:rPr>
                <w:color w:val="auto"/>
              </w:rPr>
            </w:pPr>
          </w:p>
        </w:tc>
        <w:tc>
          <w:tcPr>
            <w:tcW w:w="607" w:type="pct"/>
            <w:noWrap/>
            <w:vAlign w:val="center"/>
          </w:tcPr>
          <w:p w14:paraId="1124FBFD">
            <w:pPr>
              <w:pStyle w:val="33"/>
              <w:rPr>
                <w:color w:val="auto"/>
              </w:rPr>
            </w:pPr>
            <w:r>
              <w:rPr>
                <w:rFonts w:hint="eastAsia"/>
                <w:color w:val="auto"/>
              </w:rPr>
              <w:t>臭气浓度</w:t>
            </w:r>
          </w:p>
        </w:tc>
        <w:tc>
          <w:tcPr>
            <w:tcW w:w="934" w:type="pct"/>
            <w:vMerge w:val="continue"/>
            <w:vAlign w:val="center"/>
          </w:tcPr>
          <w:p w14:paraId="52E3C51F">
            <w:pPr>
              <w:pStyle w:val="33"/>
              <w:rPr>
                <w:color w:val="auto"/>
              </w:rPr>
            </w:pPr>
          </w:p>
        </w:tc>
        <w:tc>
          <w:tcPr>
            <w:tcW w:w="972" w:type="pct"/>
            <w:vMerge w:val="continue"/>
            <w:noWrap/>
            <w:vAlign w:val="center"/>
          </w:tcPr>
          <w:p w14:paraId="070E0730">
            <w:pPr>
              <w:pStyle w:val="33"/>
              <w:rPr>
                <w:color w:val="auto"/>
              </w:rPr>
            </w:pPr>
          </w:p>
        </w:tc>
        <w:tc>
          <w:tcPr>
            <w:tcW w:w="1216" w:type="pct"/>
            <w:vMerge w:val="continue"/>
            <w:noWrap/>
            <w:vAlign w:val="center"/>
          </w:tcPr>
          <w:p w14:paraId="40367682">
            <w:pPr>
              <w:pStyle w:val="33"/>
              <w:rPr>
                <w:color w:val="auto"/>
              </w:rPr>
            </w:pPr>
          </w:p>
        </w:tc>
        <w:tc>
          <w:tcPr>
            <w:tcW w:w="632" w:type="pct"/>
            <w:vMerge w:val="continue"/>
            <w:noWrap/>
            <w:vAlign w:val="center"/>
          </w:tcPr>
          <w:p w14:paraId="046D2A4E">
            <w:pPr>
              <w:pStyle w:val="33"/>
              <w:rPr>
                <w:color w:val="auto"/>
              </w:rPr>
            </w:pPr>
          </w:p>
        </w:tc>
      </w:tr>
    </w:tbl>
    <w:p w14:paraId="76C5CD03">
      <w:pPr>
        <w:pStyle w:val="7"/>
        <w:rPr>
          <w:color w:val="auto"/>
        </w:rPr>
      </w:pPr>
      <w:r>
        <w:rPr>
          <w:rFonts w:hint="eastAsia"/>
          <w:color w:val="auto"/>
        </w:rPr>
        <w:t>无组织废气处置措施符合性分析</w:t>
      </w:r>
    </w:p>
    <w:tbl>
      <w:tblPr>
        <w:tblStyle w:val="26"/>
        <w:tblW w:w="5000" w:type="pct"/>
        <w:tblInd w:w="0" w:type="dxa"/>
        <w:tblLayout w:type="fixed"/>
        <w:tblCellMar>
          <w:top w:w="0" w:type="dxa"/>
          <w:left w:w="108" w:type="dxa"/>
          <w:bottom w:w="0" w:type="dxa"/>
          <w:right w:w="108" w:type="dxa"/>
        </w:tblCellMar>
      </w:tblPr>
      <w:tblGrid>
        <w:gridCol w:w="1205"/>
        <w:gridCol w:w="1168"/>
        <w:gridCol w:w="1662"/>
        <w:gridCol w:w="1839"/>
        <w:gridCol w:w="2219"/>
        <w:gridCol w:w="1192"/>
      </w:tblGrid>
      <w:tr w14:paraId="5A2F2B42">
        <w:tblPrEx>
          <w:tblCellMar>
            <w:top w:w="0" w:type="dxa"/>
            <w:left w:w="108" w:type="dxa"/>
            <w:bottom w:w="0" w:type="dxa"/>
            <w:right w:w="108" w:type="dxa"/>
          </w:tblCellMar>
        </w:tblPrEx>
        <w:trPr>
          <w:trHeight w:val="270" w:hRule="atLeast"/>
        </w:trPr>
        <w:tc>
          <w:tcPr>
            <w:tcW w:w="649" w:type="pct"/>
            <w:tcBorders>
              <w:top w:val="single" w:color="000000" w:sz="4" w:space="0"/>
              <w:left w:val="single" w:color="000000" w:sz="4" w:space="0"/>
              <w:bottom w:val="single" w:color="000000" w:sz="4" w:space="0"/>
              <w:right w:val="single" w:color="000000" w:sz="4" w:space="0"/>
            </w:tcBorders>
            <w:noWrap/>
            <w:vAlign w:val="center"/>
          </w:tcPr>
          <w:p w14:paraId="1D56DB36">
            <w:pPr>
              <w:pStyle w:val="33"/>
              <w:rPr>
                <w:color w:val="auto"/>
              </w:rPr>
            </w:pPr>
            <w:r>
              <w:rPr>
                <w:rFonts w:hint="eastAsia"/>
                <w:color w:val="auto"/>
              </w:rPr>
              <w:t>生产线</w:t>
            </w: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2824687B">
            <w:pPr>
              <w:pStyle w:val="33"/>
              <w:rPr>
                <w:color w:val="auto"/>
              </w:rPr>
            </w:pPr>
            <w:r>
              <w:rPr>
                <w:rFonts w:hint="eastAsia"/>
                <w:color w:val="auto"/>
              </w:rPr>
              <w:t>污染因子</w:t>
            </w:r>
          </w:p>
        </w:tc>
        <w:tc>
          <w:tcPr>
            <w:tcW w:w="894" w:type="pct"/>
            <w:tcBorders>
              <w:top w:val="single" w:color="000000" w:sz="4" w:space="0"/>
              <w:left w:val="single" w:color="000000" w:sz="4" w:space="0"/>
              <w:bottom w:val="single" w:color="000000" w:sz="4" w:space="0"/>
              <w:right w:val="single" w:color="000000" w:sz="4" w:space="0"/>
            </w:tcBorders>
            <w:noWrap/>
            <w:vAlign w:val="center"/>
          </w:tcPr>
          <w:p w14:paraId="17C90390">
            <w:pPr>
              <w:pStyle w:val="33"/>
              <w:rPr>
                <w:color w:val="auto"/>
              </w:rPr>
            </w:pPr>
            <w:r>
              <w:rPr>
                <w:rFonts w:hint="eastAsia"/>
                <w:color w:val="auto"/>
              </w:rPr>
              <w:t>环保措施</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159A6CBA">
            <w:pPr>
              <w:pStyle w:val="33"/>
              <w:rPr>
                <w:color w:val="auto"/>
              </w:rPr>
            </w:pPr>
            <w:r>
              <w:rPr>
                <w:rFonts w:hint="eastAsia"/>
                <w:color w:val="auto"/>
              </w:rPr>
              <w:t>可行性措施</w:t>
            </w:r>
          </w:p>
        </w:tc>
        <w:tc>
          <w:tcPr>
            <w:tcW w:w="1194" w:type="pct"/>
            <w:tcBorders>
              <w:top w:val="single" w:color="000000" w:sz="4" w:space="0"/>
              <w:left w:val="single" w:color="000000" w:sz="4" w:space="0"/>
              <w:bottom w:val="single" w:color="000000" w:sz="4" w:space="0"/>
              <w:right w:val="single" w:color="000000" w:sz="4" w:space="0"/>
            </w:tcBorders>
            <w:noWrap/>
            <w:vAlign w:val="center"/>
          </w:tcPr>
          <w:p w14:paraId="6049E500">
            <w:pPr>
              <w:pStyle w:val="33"/>
              <w:rPr>
                <w:color w:val="auto"/>
              </w:rPr>
            </w:pPr>
            <w:r>
              <w:rPr>
                <w:rFonts w:hint="eastAsia"/>
                <w:color w:val="auto"/>
              </w:rPr>
              <w:t>措施来源</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0DE30B24">
            <w:pPr>
              <w:pStyle w:val="33"/>
              <w:rPr>
                <w:color w:val="auto"/>
              </w:rPr>
            </w:pPr>
            <w:r>
              <w:rPr>
                <w:rFonts w:hint="eastAsia"/>
                <w:color w:val="auto"/>
              </w:rPr>
              <w:t>可行性分析</w:t>
            </w:r>
          </w:p>
        </w:tc>
      </w:tr>
      <w:tr w14:paraId="6A2C94D4">
        <w:tblPrEx>
          <w:tblCellMar>
            <w:top w:w="0" w:type="dxa"/>
            <w:left w:w="108" w:type="dxa"/>
            <w:bottom w:w="0" w:type="dxa"/>
            <w:right w:w="108" w:type="dxa"/>
          </w:tblCellMar>
        </w:tblPrEx>
        <w:trPr>
          <w:trHeight w:val="285" w:hRule="atLeast"/>
        </w:trPr>
        <w:tc>
          <w:tcPr>
            <w:tcW w:w="649" w:type="pct"/>
            <w:tcBorders>
              <w:top w:val="single" w:color="000000" w:sz="4" w:space="0"/>
              <w:left w:val="single" w:color="000000" w:sz="4" w:space="0"/>
              <w:bottom w:val="single" w:color="000000" w:sz="4" w:space="0"/>
              <w:right w:val="single" w:color="000000" w:sz="4" w:space="0"/>
            </w:tcBorders>
            <w:noWrap/>
            <w:vAlign w:val="center"/>
          </w:tcPr>
          <w:p w14:paraId="5E9B723E">
            <w:pPr>
              <w:pStyle w:val="33"/>
              <w:rPr>
                <w:color w:val="auto"/>
              </w:rPr>
            </w:pPr>
            <w:r>
              <w:rPr>
                <w:rFonts w:hint="eastAsia"/>
                <w:color w:val="auto"/>
              </w:rPr>
              <w:t>淋膜纸车间无组织废气</w:t>
            </w: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0C7AAA9D">
            <w:pPr>
              <w:pStyle w:val="33"/>
              <w:rPr>
                <w:color w:val="auto"/>
              </w:rPr>
            </w:pPr>
            <w:r>
              <w:rPr>
                <w:color w:val="auto"/>
              </w:rPr>
              <w:t>VOCs</w:t>
            </w:r>
          </w:p>
        </w:tc>
        <w:tc>
          <w:tcPr>
            <w:tcW w:w="894" w:type="pct"/>
            <w:tcBorders>
              <w:top w:val="single" w:color="000000" w:sz="4" w:space="0"/>
              <w:left w:val="single" w:color="000000" w:sz="4" w:space="0"/>
              <w:bottom w:val="single" w:color="000000" w:sz="4" w:space="0"/>
              <w:right w:val="single" w:color="000000" w:sz="4" w:space="0"/>
            </w:tcBorders>
            <w:noWrap/>
            <w:vAlign w:val="center"/>
          </w:tcPr>
          <w:p w14:paraId="58F006B3">
            <w:pPr>
              <w:pStyle w:val="33"/>
              <w:rPr>
                <w:color w:val="auto"/>
              </w:rPr>
            </w:pPr>
            <w:r>
              <w:rPr>
                <w:rFonts w:hint="eastAsia"/>
                <w:color w:val="auto"/>
              </w:rPr>
              <w:t>集气罩收集</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0B3DEDAD">
            <w:pPr>
              <w:pStyle w:val="33"/>
              <w:rPr>
                <w:color w:val="auto"/>
              </w:rPr>
            </w:pPr>
            <w:r>
              <w:rPr>
                <w:rFonts w:hint="eastAsia"/>
                <w:color w:val="auto"/>
              </w:rPr>
              <w:t>集气罩收集</w:t>
            </w:r>
          </w:p>
        </w:tc>
        <w:tc>
          <w:tcPr>
            <w:tcW w:w="1194" w:type="pct"/>
            <w:tcBorders>
              <w:top w:val="single" w:color="000000" w:sz="4" w:space="0"/>
              <w:left w:val="single" w:color="000000" w:sz="4" w:space="0"/>
              <w:bottom w:val="single" w:color="000000" w:sz="4" w:space="0"/>
              <w:right w:val="single" w:color="000000" w:sz="4" w:space="0"/>
            </w:tcBorders>
            <w:noWrap/>
            <w:vAlign w:val="center"/>
          </w:tcPr>
          <w:p w14:paraId="61D3C7DC">
            <w:pPr>
              <w:pStyle w:val="33"/>
              <w:rPr>
                <w:color w:val="auto"/>
              </w:rPr>
            </w:pPr>
            <w:r>
              <w:rPr>
                <w:rFonts w:hint="eastAsia"/>
                <w:color w:val="auto"/>
              </w:rPr>
              <w:t>《挥发性有机物无组织排放控制标准》（</w:t>
            </w:r>
            <w:r>
              <w:rPr>
                <w:color w:val="auto"/>
              </w:rPr>
              <w:t>GB37822-2019</w:t>
            </w:r>
            <w:r>
              <w:rPr>
                <w:rFonts w:hint="eastAsia"/>
                <w:color w:val="auto"/>
              </w:rPr>
              <w:t>）</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14A71DBD">
            <w:pPr>
              <w:pStyle w:val="33"/>
              <w:rPr>
                <w:color w:val="auto"/>
              </w:rPr>
            </w:pPr>
            <w:r>
              <w:rPr>
                <w:rFonts w:hint="eastAsia"/>
                <w:color w:val="auto"/>
              </w:rPr>
              <w:t>可行</w:t>
            </w:r>
          </w:p>
        </w:tc>
      </w:tr>
      <w:tr w14:paraId="44F0CE2D">
        <w:tblPrEx>
          <w:tblCellMar>
            <w:top w:w="0" w:type="dxa"/>
            <w:left w:w="108" w:type="dxa"/>
            <w:bottom w:w="0" w:type="dxa"/>
            <w:right w:w="108" w:type="dxa"/>
          </w:tblCellMar>
        </w:tblPrEx>
        <w:trPr>
          <w:trHeight w:val="855" w:hRule="atLeast"/>
        </w:trPr>
        <w:tc>
          <w:tcPr>
            <w:tcW w:w="649" w:type="pct"/>
            <w:tcBorders>
              <w:top w:val="single" w:color="000000" w:sz="4" w:space="0"/>
              <w:left w:val="single" w:color="000000" w:sz="4" w:space="0"/>
              <w:bottom w:val="single" w:color="000000" w:sz="4" w:space="0"/>
              <w:right w:val="single" w:color="000000" w:sz="4" w:space="0"/>
            </w:tcBorders>
            <w:noWrap/>
            <w:vAlign w:val="center"/>
          </w:tcPr>
          <w:p w14:paraId="4B56798F">
            <w:pPr>
              <w:pStyle w:val="33"/>
              <w:rPr>
                <w:color w:val="auto"/>
                <w:highlight w:val="none"/>
              </w:rPr>
            </w:pPr>
            <w:r>
              <w:rPr>
                <w:rFonts w:hint="eastAsia"/>
                <w:color w:val="auto"/>
                <w:highlight w:val="none"/>
              </w:rPr>
              <w:t>造纸辅助车间无组织废气</w:t>
            </w: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4F82360B">
            <w:pPr>
              <w:pStyle w:val="33"/>
              <w:rPr>
                <w:color w:val="auto"/>
                <w:highlight w:val="none"/>
              </w:rPr>
            </w:pPr>
            <w:r>
              <w:rPr>
                <w:rFonts w:hint="eastAsia"/>
                <w:color w:val="auto"/>
                <w:highlight w:val="none"/>
              </w:rPr>
              <w:t>颗粒物</w:t>
            </w:r>
          </w:p>
        </w:tc>
        <w:tc>
          <w:tcPr>
            <w:tcW w:w="894" w:type="pct"/>
            <w:tcBorders>
              <w:top w:val="single" w:color="000000" w:sz="4" w:space="0"/>
              <w:left w:val="single" w:color="000000" w:sz="4" w:space="0"/>
              <w:bottom w:val="single" w:color="000000" w:sz="4" w:space="0"/>
              <w:right w:val="single" w:color="000000" w:sz="4" w:space="0"/>
            </w:tcBorders>
            <w:vAlign w:val="center"/>
          </w:tcPr>
          <w:p w14:paraId="51602EB1">
            <w:pPr>
              <w:pStyle w:val="33"/>
              <w:rPr>
                <w:color w:val="auto"/>
                <w:highlight w:val="none"/>
              </w:rPr>
            </w:pPr>
            <w:r>
              <w:rPr>
                <w:rFonts w:hint="eastAsia"/>
                <w:color w:val="auto"/>
                <w:highlight w:val="none"/>
              </w:rPr>
              <w:t>喷淋、采用封闭式破碎机、</w:t>
            </w:r>
            <w:r>
              <w:rPr>
                <w:color w:val="auto"/>
                <w:highlight w:val="none"/>
              </w:rPr>
              <w:br w:type="textWrapping"/>
            </w:r>
            <w:r>
              <w:rPr>
                <w:rFonts w:hint="eastAsia"/>
                <w:color w:val="auto"/>
                <w:highlight w:val="none"/>
              </w:rPr>
              <w:t>输送段采用集气装置并安装布袋除尘器等</w:t>
            </w:r>
          </w:p>
        </w:tc>
        <w:tc>
          <w:tcPr>
            <w:tcW w:w="989" w:type="pct"/>
            <w:tcBorders>
              <w:top w:val="single" w:color="000000" w:sz="4" w:space="0"/>
              <w:left w:val="single" w:color="000000" w:sz="4" w:space="0"/>
              <w:bottom w:val="single" w:color="000000" w:sz="4" w:space="0"/>
              <w:right w:val="single" w:color="000000" w:sz="4" w:space="0"/>
            </w:tcBorders>
            <w:noWrap/>
            <w:vAlign w:val="center"/>
          </w:tcPr>
          <w:p w14:paraId="71EC2F50">
            <w:pPr>
              <w:pStyle w:val="33"/>
              <w:rPr>
                <w:color w:val="auto"/>
                <w:highlight w:val="none"/>
              </w:rPr>
            </w:pPr>
            <w:r>
              <w:rPr>
                <w:rFonts w:hint="eastAsia"/>
                <w:color w:val="auto"/>
                <w:highlight w:val="none"/>
              </w:rPr>
              <w:t>机械式除尘器、湿式除尘器、袋式除尘器和静电除尘器</w:t>
            </w:r>
          </w:p>
        </w:tc>
        <w:tc>
          <w:tcPr>
            <w:tcW w:w="1194" w:type="pct"/>
            <w:tcBorders>
              <w:top w:val="single" w:color="000000" w:sz="4" w:space="0"/>
              <w:left w:val="single" w:color="000000" w:sz="4" w:space="0"/>
              <w:bottom w:val="single" w:color="000000" w:sz="4" w:space="0"/>
              <w:right w:val="single" w:color="000000" w:sz="4" w:space="0"/>
            </w:tcBorders>
            <w:noWrap/>
            <w:vAlign w:val="center"/>
          </w:tcPr>
          <w:p w14:paraId="0CE0094D">
            <w:pPr>
              <w:pStyle w:val="33"/>
              <w:rPr>
                <w:color w:val="auto"/>
                <w:highlight w:val="none"/>
              </w:rPr>
            </w:pPr>
            <w:r>
              <w:rPr>
                <w:rFonts w:hint="eastAsia"/>
                <w:color w:val="auto"/>
                <w:highlight w:val="none"/>
              </w:rPr>
              <w:t>《大气污染治理工程技术导则》（</w:t>
            </w:r>
            <w:r>
              <w:rPr>
                <w:color w:val="auto"/>
                <w:highlight w:val="none"/>
              </w:rPr>
              <w:t>HJ2000-2010</w:t>
            </w:r>
            <w:r>
              <w:rPr>
                <w:rFonts w:hint="eastAsia"/>
                <w:color w:val="auto"/>
                <w:highlight w:val="none"/>
              </w:rPr>
              <w:t>）</w:t>
            </w:r>
          </w:p>
        </w:tc>
        <w:tc>
          <w:tcPr>
            <w:tcW w:w="642" w:type="pct"/>
            <w:tcBorders>
              <w:top w:val="single" w:color="000000" w:sz="4" w:space="0"/>
              <w:left w:val="single" w:color="000000" w:sz="4" w:space="0"/>
              <w:bottom w:val="single" w:color="000000" w:sz="4" w:space="0"/>
              <w:right w:val="single" w:color="000000" w:sz="4" w:space="0"/>
            </w:tcBorders>
            <w:noWrap/>
            <w:vAlign w:val="center"/>
          </w:tcPr>
          <w:p w14:paraId="09D17E8E">
            <w:pPr>
              <w:pStyle w:val="33"/>
              <w:rPr>
                <w:color w:val="auto"/>
                <w:highlight w:val="none"/>
              </w:rPr>
            </w:pPr>
            <w:r>
              <w:rPr>
                <w:rFonts w:hint="eastAsia"/>
                <w:color w:val="auto"/>
                <w:highlight w:val="none"/>
              </w:rPr>
              <w:t>可行</w:t>
            </w:r>
          </w:p>
        </w:tc>
      </w:tr>
      <w:tr w14:paraId="384D3935">
        <w:tblPrEx>
          <w:tblCellMar>
            <w:top w:w="0" w:type="dxa"/>
            <w:left w:w="108" w:type="dxa"/>
            <w:bottom w:w="0" w:type="dxa"/>
            <w:right w:w="108" w:type="dxa"/>
          </w:tblCellMar>
        </w:tblPrEx>
        <w:trPr>
          <w:trHeight w:val="351" w:hRule="atLeast"/>
        </w:trPr>
        <w:tc>
          <w:tcPr>
            <w:tcW w:w="649" w:type="pct"/>
            <w:vMerge w:val="restart"/>
            <w:tcBorders>
              <w:top w:val="single" w:color="000000" w:sz="4" w:space="0"/>
              <w:left w:val="single" w:color="000000" w:sz="4" w:space="0"/>
              <w:bottom w:val="single" w:color="000000" w:sz="4" w:space="0"/>
              <w:right w:val="single" w:color="000000" w:sz="4" w:space="0"/>
            </w:tcBorders>
            <w:noWrap/>
            <w:vAlign w:val="center"/>
          </w:tcPr>
          <w:p w14:paraId="65225DDA">
            <w:pPr>
              <w:pStyle w:val="33"/>
              <w:rPr>
                <w:color w:val="auto"/>
                <w:highlight w:val="none"/>
              </w:rPr>
            </w:pPr>
            <w:r>
              <w:rPr>
                <w:rFonts w:hint="eastAsia"/>
                <w:color w:val="auto"/>
                <w:highlight w:val="none"/>
              </w:rPr>
              <w:t>污水处理站无组织废气</w:t>
            </w: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7277554D">
            <w:pPr>
              <w:pStyle w:val="33"/>
              <w:rPr>
                <w:color w:val="auto"/>
                <w:highlight w:val="none"/>
              </w:rPr>
            </w:pPr>
            <w:r>
              <w:rPr>
                <w:rFonts w:hint="eastAsia"/>
                <w:color w:val="auto"/>
                <w:highlight w:val="none"/>
              </w:rPr>
              <w:t>硫化氢</w:t>
            </w:r>
          </w:p>
        </w:tc>
        <w:tc>
          <w:tcPr>
            <w:tcW w:w="894" w:type="pct"/>
            <w:vMerge w:val="restart"/>
            <w:tcBorders>
              <w:top w:val="single" w:color="000000" w:sz="4" w:space="0"/>
              <w:left w:val="single" w:color="000000" w:sz="4" w:space="0"/>
              <w:bottom w:val="single" w:color="000000" w:sz="4" w:space="0"/>
              <w:right w:val="single" w:color="000000" w:sz="4" w:space="0"/>
            </w:tcBorders>
            <w:noWrap/>
            <w:vAlign w:val="center"/>
          </w:tcPr>
          <w:p w14:paraId="67105465">
            <w:pPr>
              <w:pStyle w:val="33"/>
              <w:rPr>
                <w:color w:val="auto"/>
                <w:highlight w:val="none"/>
              </w:rPr>
            </w:pPr>
            <w:r>
              <w:rPr>
                <w:rFonts w:hint="eastAsia"/>
                <w:color w:val="auto"/>
                <w:highlight w:val="none"/>
              </w:rPr>
              <w:t>周边绿化、定期喷洒除臭剂</w:t>
            </w:r>
          </w:p>
        </w:tc>
        <w:tc>
          <w:tcPr>
            <w:tcW w:w="989" w:type="pct"/>
            <w:vMerge w:val="restart"/>
            <w:tcBorders>
              <w:top w:val="single" w:color="000000" w:sz="4" w:space="0"/>
              <w:left w:val="single" w:color="000000" w:sz="4" w:space="0"/>
              <w:bottom w:val="single" w:color="000000" w:sz="4" w:space="0"/>
              <w:right w:val="single" w:color="000000" w:sz="4" w:space="0"/>
            </w:tcBorders>
            <w:noWrap/>
            <w:vAlign w:val="center"/>
          </w:tcPr>
          <w:p w14:paraId="78829668">
            <w:pPr>
              <w:pStyle w:val="33"/>
              <w:rPr>
                <w:color w:val="auto"/>
                <w:highlight w:val="none"/>
              </w:rPr>
            </w:pPr>
            <w:r>
              <w:rPr>
                <w:color w:val="auto"/>
                <w:highlight w:val="none"/>
              </w:rPr>
              <w:t>/</w:t>
            </w:r>
          </w:p>
        </w:tc>
        <w:tc>
          <w:tcPr>
            <w:tcW w:w="1194" w:type="pct"/>
            <w:vMerge w:val="restart"/>
            <w:tcBorders>
              <w:top w:val="single" w:color="000000" w:sz="4" w:space="0"/>
              <w:left w:val="single" w:color="000000" w:sz="4" w:space="0"/>
              <w:bottom w:val="single" w:color="000000" w:sz="4" w:space="0"/>
              <w:right w:val="single" w:color="000000" w:sz="4" w:space="0"/>
            </w:tcBorders>
            <w:noWrap/>
            <w:vAlign w:val="center"/>
          </w:tcPr>
          <w:p w14:paraId="44D10D51">
            <w:pPr>
              <w:pStyle w:val="33"/>
              <w:rPr>
                <w:color w:val="auto"/>
                <w:highlight w:val="none"/>
              </w:rPr>
            </w:pPr>
            <w:r>
              <w:rPr>
                <w:color w:val="auto"/>
                <w:highlight w:val="none"/>
              </w:rPr>
              <w:t>/</w:t>
            </w:r>
          </w:p>
        </w:tc>
        <w:tc>
          <w:tcPr>
            <w:tcW w:w="642" w:type="pct"/>
            <w:vMerge w:val="restart"/>
            <w:tcBorders>
              <w:top w:val="single" w:color="000000" w:sz="4" w:space="0"/>
              <w:left w:val="single" w:color="000000" w:sz="4" w:space="0"/>
              <w:bottom w:val="single" w:color="000000" w:sz="4" w:space="0"/>
              <w:right w:val="single" w:color="000000" w:sz="4" w:space="0"/>
            </w:tcBorders>
            <w:noWrap/>
            <w:vAlign w:val="center"/>
          </w:tcPr>
          <w:p w14:paraId="22F8A7E1">
            <w:pPr>
              <w:pStyle w:val="33"/>
              <w:rPr>
                <w:color w:val="auto"/>
                <w:highlight w:val="none"/>
              </w:rPr>
            </w:pPr>
            <w:r>
              <w:rPr>
                <w:rFonts w:hint="eastAsia"/>
                <w:color w:val="auto"/>
                <w:highlight w:val="none"/>
              </w:rPr>
              <w:t>现有工程厂界监测达标，可行</w:t>
            </w:r>
          </w:p>
        </w:tc>
      </w:tr>
      <w:tr w14:paraId="1A366C02">
        <w:tblPrEx>
          <w:tblCellMar>
            <w:top w:w="0" w:type="dxa"/>
            <w:left w:w="108" w:type="dxa"/>
            <w:bottom w:w="0" w:type="dxa"/>
            <w:right w:w="108" w:type="dxa"/>
          </w:tblCellMar>
        </w:tblPrEx>
        <w:trPr>
          <w:trHeight w:val="528" w:hRule="atLeast"/>
        </w:trPr>
        <w:tc>
          <w:tcPr>
            <w:tcW w:w="649" w:type="pct"/>
            <w:vMerge w:val="continue"/>
            <w:tcBorders>
              <w:top w:val="single" w:color="000000" w:sz="4" w:space="0"/>
              <w:left w:val="single" w:color="000000" w:sz="4" w:space="0"/>
              <w:bottom w:val="single" w:color="000000" w:sz="4" w:space="0"/>
              <w:right w:val="single" w:color="000000" w:sz="4" w:space="0"/>
            </w:tcBorders>
            <w:noWrap/>
            <w:vAlign w:val="center"/>
          </w:tcPr>
          <w:p w14:paraId="05987143">
            <w:pPr>
              <w:pStyle w:val="33"/>
              <w:rPr>
                <w:color w:val="auto"/>
                <w:highlight w:val="none"/>
              </w:rPr>
            </w:pP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443DC3FF">
            <w:pPr>
              <w:pStyle w:val="33"/>
              <w:rPr>
                <w:color w:val="auto"/>
                <w:highlight w:val="none"/>
              </w:rPr>
            </w:pPr>
            <w:r>
              <w:rPr>
                <w:rFonts w:hint="eastAsia"/>
                <w:color w:val="auto"/>
                <w:highlight w:val="none"/>
              </w:rPr>
              <w:t>氨气</w:t>
            </w:r>
          </w:p>
        </w:tc>
        <w:tc>
          <w:tcPr>
            <w:tcW w:w="894" w:type="pct"/>
            <w:vMerge w:val="continue"/>
            <w:tcBorders>
              <w:top w:val="single" w:color="000000" w:sz="4" w:space="0"/>
              <w:left w:val="single" w:color="000000" w:sz="4" w:space="0"/>
              <w:bottom w:val="single" w:color="000000" w:sz="4" w:space="0"/>
              <w:right w:val="single" w:color="000000" w:sz="4" w:space="0"/>
            </w:tcBorders>
            <w:noWrap/>
            <w:vAlign w:val="center"/>
          </w:tcPr>
          <w:p w14:paraId="1094F15F">
            <w:pPr>
              <w:pStyle w:val="33"/>
              <w:rPr>
                <w:color w:val="auto"/>
                <w:highlight w:val="none"/>
              </w:rPr>
            </w:pPr>
          </w:p>
        </w:tc>
        <w:tc>
          <w:tcPr>
            <w:tcW w:w="989" w:type="pct"/>
            <w:vMerge w:val="continue"/>
            <w:tcBorders>
              <w:top w:val="single" w:color="000000" w:sz="4" w:space="0"/>
              <w:left w:val="single" w:color="000000" w:sz="4" w:space="0"/>
              <w:bottom w:val="single" w:color="000000" w:sz="4" w:space="0"/>
              <w:right w:val="single" w:color="000000" w:sz="4" w:space="0"/>
            </w:tcBorders>
            <w:noWrap/>
            <w:vAlign w:val="center"/>
          </w:tcPr>
          <w:p w14:paraId="3CFC73EC">
            <w:pPr>
              <w:pStyle w:val="33"/>
              <w:rPr>
                <w:color w:val="auto"/>
                <w:highlight w:val="none"/>
              </w:rPr>
            </w:pPr>
          </w:p>
        </w:tc>
        <w:tc>
          <w:tcPr>
            <w:tcW w:w="1194" w:type="pct"/>
            <w:vMerge w:val="continue"/>
            <w:tcBorders>
              <w:top w:val="single" w:color="000000" w:sz="4" w:space="0"/>
              <w:left w:val="single" w:color="000000" w:sz="4" w:space="0"/>
              <w:bottom w:val="single" w:color="000000" w:sz="4" w:space="0"/>
              <w:right w:val="single" w:color="000000" w:sz="4" w:space="0"/>
            </w:tcBorders>
            <w:noWrap/>
            <w:vAlign w:val="center"/>
          </w:tcPr>
          <w:p w14:paraId="3BF7F73B">
            <w:pPr>
              <w:pStyle w:val="33"/>
              <w:rPr>
                <w:color w:val="auto"/>
                <w:highlight w:val="none"/>
              </w:rPr>
            </w:pPr>
          </w:p>
        </w:tc>
        <w:tc>
          <w:tcPr>
            <w:tcW w:w="642" w:type="pct"/>
            <w:vMerge w:val="continue"/>
            <w:tcBorders>
              <w:top w:val="single" w:color="000000" w:sz="4" w:space="0"/>
              <w:left w:val="single" w:color="000000" w:sz="4" w:space="0"/>
              <w:bottom w:val="single" w:color="000000" w:sz="4" w:space="0"/>
              <w:right w:val="single" w:color="000000" w:sz="4" w:space="0"/>
            </w:tcBorders>
            <w:noWrap/>
            <w:vAlign w:val="center"/>
          </w:tcPr>
          <w:p w14:paraId="32D46BC0">
            <w:pPr>
              <w:pStyle w:val="33"/>
              <w:rPr>
                <w:color w:val="auto"/>
                <w:highlight w:val="none"/>
              </w:rPr>
            </w:pPr>
          </w:p>
        </w:tc>
      </w:tr>
      <w:tr w14:paraId="14C9A3DE">
        <w:tblPrEx>
          <w:tblCellMar>
            <w:top w:w="0" w:type="dxa"/>
            <w:left w:w="108" w:type="dxa"/>
            <w:bottom w:w="0" w:type="dxa"/>
            <w:right w:w="108" w:type="dxa"/>
          </w:tblCellMar>
        </w:tblPrEx>
        <w:trPr>
          <w:trHeight w:val="270" w:hRule="atLeast"/>
        </w:trPr>
        <w:tc>
          <w:tcPr>
            <w:tcW w:w="649" w:type="pct"/>
            <w:vMerge w:val="continue"/>
            <w:tcBorders>
              <w:top w:val="single" w:color="000000" w:sz="4" w:space="0"/>
              <w:left w:val="single" w:color="000000" w:sz="4" w:space="0"/>
              <w:bottom w:val="single" w:color="000000" w:sz="4" w:space="0"/>
              <w:right w:val="single" w:color="000000" w:sz="4" w:space="0"/>
            </w:tcBorders>
            <w:noWrap/>
            <w:vAlign w:val="center"/>
          </w:tcPr>
          <w:p w14:paraId="34DA589A">
            <w:pPr>
              <w:pStyle w:val="33"/>
              <w:rPr>
                <w:color w:val="auto"/>
                <w:highlight w:val="none"/>
              </w:rPr>
            </w:pPr>
          </w:p>
        </w:tc>
        <w:tc>
          <w:tcPr>
            <w:tcW w:w="629" w:type="pct"/>
            <w:tcBorders>
              <w:top w:val="single" w:color="000000" w:sz="4" w:space="0"/>
              <w:left w:val="single" w:color="000000" w:sz="4" w:space="0"/>
              <w:bottom w:val="single" w:color="000000" w:sz="4" w:space="0"/>
              <w:right w:val="single" w:color="000000" w:sz="4" w:space="0"/>
            </w:tcBorders>
            <w:noWrap/>
            <w:vAlign w:val="center"/>
          </w:tcPr>
          <w:p w14:paraId="3785D78C">
            <w:pPr>
              <w:pStyle w:val="33"/>
              <w:rPr>
                <w:color w:val="auto"/>
                <w:highlight w:val="none"/>
              </w:rPr>
            </w:pPr>
            <w:r>
              <w:rPr>
                <w:rFonts w:hint="eastAsia"/>
                <w:color w:val="auto"/>
                <w:highlight w:val="none"/>
              </w:rPr>
              <w:t>臭气浓度</w:t>
            </w:r>
          </w:p>
        </w:tc>
        <w:tc>
          <w:tcPr>
            <w:tcW w:w="894" w:type="pct"/>
            <w:vMerge w:val="continue"/>
            <w:tcBorders>
              <w:top w:val="single" w:color="000000" w:sz="4" w:space="0"/>
              <w:left w:val="single" w:color="000000" w:sz="4" w:space="0"/>
              <w:bottom w:val="single" w:color="000000" w:sz="4" w:space="0"/>
              <w:right w:val="single" w:color="000000" w:sz="4" w:space="0"/>
            </w:tcBorders>
            <w:noWrap/>
            <w:vAlign w:val="center"/>
          </w:tcPr>
          <w:p w14:paraId="24AAFA44">
            <w:pPr>
              <w:pStyle w:val="33"/>
              <w:rPr>
                <w:color w:val="auto"/>
                <w:highlight w:val="none"/>
              </w:rPr>
            </w:pPr>
          </w:p>
        </w:tc>
        <w:tc>
          <w:tcPr>
            <w:tcW w:w="989" w:type="pct"/>
            <w:vMerge w:val="continue"/>
            <w:tcBorders>
              <w:top w:val="single" w:color="000000" w:sz="4" w:space="0"/>
              <w:left w:val="single" w:color="000000" w:sz="4" w:space="0"/>
              <w:bottom w:val="single" w:color="000000" w:sz="4" w:space="0"/>
              <w:right w:val="single" w:color="000000" w:sz="4" w:space="0"/>
            </w:tcBorders>
            <w:noWrap/>
            <w:vAlign w:val="center"/>
          </w:tcPr>
          <w:p w14:paraId="4E4FC577">
            <w:pPr>
              <w:pStyle w:val="33"/>
              <w:rPr>
                <w:color w:val="auto"/>
                <w:highlight w:val="none"/>
              </w:rPr>
            </w:pPr>
          </w:p>
        </w:tc>
        <w:tc>
          <w:tcPr>
            <w:tcW w:w="1194" w:type="pct"/>
            <w:vMerge w:val="continue"/>
            <w:tcBorders>
              <w:top w:val="single" w:color="000000" w:sz="4" w:space="0"/>
              <w:left w:val="single" w:color="000000" w:sz="4" w:space="0"/>
              <w:bottom w:val="single" w:color="000000" w:sz="4" w:space="0"/>
              <w:right w:val="single" w:color="000000" w:sz="4" w:space="0"/>
            </w:tcBorders>
            <w:noWrap/>
            <w:vAlign w:val="center"/>
          </w:tcPr>
          <w:p w14:paraId="65573A00">
            <w:pPr>
              <w:pStyle w:val="33"/>
              <w:rPr>
                <w:color w:val="auto"/>
                <w:highlight w:val="none"/>
              </w:rPr>
            </w:pPr>
          </w:p>
        </w:tc>
        <w:tc>
          <w:tcPr>
            <w:tcW w:w="642" w:type="pct"/>
            <w:vMerge w:val="continue"/>
            <w:tcBorders>
              <w:top w:val="single" w:color="000000" w:sz="4" w:space="0"/>
              <w:left w:val="single" w:color="000000" w:sz="4" w:space="0"/>
              <w:bottom w:val="single" w:color="000000" w:sz="4" w:space="0"/>
              <w:right w:val="single" w:color="000000" w:sz="4" w:space="0"/>
            </w:tcBorders>
            <w:noWrap/>
            <w:vAlign w:val="center"/>
          </w:tcPr>
          <w:p w14:paraId="5E58EEAF">
            <w:pPr>
              <w:pStyle w:val="33"/>
              <w:rPr>
                <w:color w:val="auto"/>
                <w:highlight w:val="none"/>
              </w:rPr>
            </w:pPr>
          </w:p>
        </w:tc>
      </w:tr>
    </w:tbl>
    <w:p w14:paraId="16A02B88">
      <w:pPr>
        <w:ind w:left="480" w:leftChars="200" w:firstLine="0" w:firstLineChars="0"/>
        <w:rPr>
          <w:color w:val="auto"/>
          <w:highlight w:val="none"/>
        </w:rPr>
      </w:pPr>
      <w:r>
        <w:rPr>
          <w:rFonts w:hint="eastAsia"/>
          <w:color w:val="auto"/>
          <w:highlight w:val="none"/>
        </w:rPr>
        <w:t>项目采取的废气处置措施均为可行性技术。</w:t>
      </w:r>
    </w:p>
    <w:p w14:paraId="19B2B682">
      <w:pPr>
        <w:numPr>
          <w:ilvl w:val="0"/>
          <w:numId w:val="10"/>
        </w:numPr>
        <w:ind w:firstLine="480"/>
        <w:rPr>
          <w:color w:val="auto"/>
          <w:highlight w:val="none"/>
        </w:rPr>
      </w:pPr>
      <w:r>
        <w:rPr>
          <w:rFonts w:hint="eastAsia"/>
          <w:color w:val="auto"/>
          <w:highlight w:val="none"/>
        </w:rPr>
        <w:t>大气污染防治措施达标可行性分析</w:t>
      </w:r>
    </w:p>
    <w:p w14:paraId="7810523E">
      <w:pPr>
        <w:ind w:firstLine="480"/>
        <w:rPr>
          <w:color w:val="auto"/>
          <w:highlight w:val="none"/>
        </w:rPr>
      </w:pPr>
      <w:r>
        <w:rPr>
          <w:color w:val="auto"/>
          <w:highlight w:val="none"/>
        </w:rPr>
        <w:t>1</w:t>
      </w:r>
      <w:r>
        <w:rPr>
          <w:rFonts w:hint="eastAsia"/>
          <w:color w:val="auto"/>
          <w:highlight w:val="none"/>
        </w:rPr>
        <w:t>）有组织废气</w:t>
      </w:r>
    </w:p>
    <w:p w14:paraId="25301D7F">
      <w:pPr>
        <w:ind w:firstLine="480"/>
        <w:rPr>
          <w:color w:val="auto"/>
          <w:highlight w:val="none"/>
        </w:rPr>
      </w:pPr>
      <w:r>
        <w:rPr>
          <w:rFonts w:hint="eastAsia"/>
          <w:color w:val="auto"/>
          <w:highlight w:val="none"/>
        </w:rPr>
        <w:t>①造纸车间有组织废气达标可行性分析</w:t>
      </w:r>
    </w:p>
    <w:p w14:paraId="41E8461C">
      <w:pPr>
        <w:ind w:firstLine="480" w:firstLineChars="0"/>
        <w:rPr>
          <w:color w:val="auto"/>
          <w:highlight w:val="none"/>
        </w:rPr>
      </w:pPr>
      <w:r>
        <w:rPr>
          <w:rFonts w:hint="eastAsia"/>
          <w:color w:val="auto"/>
          <w:highlight w:val="none"/>
        </w:rPr>
        <w:t>造纸车间由于造纸产量增加所需天然气增加，燃烧产生的废气污染物增加。天然气燃烧产生的烟气干燥纸辅后由造纸车间顶部排气筒排放，其中</w:t>
      </w:r>
      <w:r>
        <w:rPr>
          <w:color w:val="auto"/>
          <w:highlight w:val="none"/>
        </w:rPr>
        <w:t>1#</w:t>
      </w:r>
      <w:r>
        <w:rPr>
          <w:rFonts w:hint="eastAsia"/>
          <w:color w:val="auto"/>
          <w:highlight w:val="none"/>
        </w:rPr>
        <w:t>造纸车间设有</w:t>
      </w:r>
      <w:r>
        <w:rPr>
          <w:color w:val="auto"/>
          <w:highlight w:val="none"/>
        </w:rPr>
        <w:t>5</w:t>
      </w:r>
      <w:r>
        <w:rPr>
          <w:rFonts w:hint="eastAsia"/>
          <w:color w:val="auto"/>
          <w:highlight w:val="none"/>
        </w:rPr>
        <w:t>根</w:t>
      </w:r>
      <w:r>
        <w:rPr>
          <w:color w:val="auto"/>
          <w:highlight w:val="none"/>
        </w:rPr>
        <w:t>30mH</w:t>
      </w:r>
      <w:r>
        <w:rPr>
          <w:rFonts w:hint="eastAsia"/>
          <w:color w:val="auto"/>
          <w:highlight w:val="none"/>
        </w:rPr>
        <w:t>天然气燃烧废气排气筒，</w:t>
      </w:r>
      <w:r>
        <w:rPr>
          <w:color w:val="auto"/>
          <w:highlight w:val="none"/>
        </w:rPr>
        <w:t>2#</w:t>
      </w:r>
      <w:r>
        <w:rPr>
          <w:rFonts w:hint="eastAsia"/>
          <w:color w:val="auto"/>
          <w:highlight w:val="none"/>
        </w:rPr>
        <w:t>造纸车间设有</w:t>
      </w:r>
      <w:r>
        <w:rPr>
          <w:color w:val="auto"/>
          <w:highlight w:val="none"/>
        </w:rPr>
        <w:t>4</w:t>
      </w:r>
      <w:r>
        <w:rPr>
          <w:rFonts w:hint="eastAsia"/>
          <w:color w:val="auto"/>
          <w:highlight w:val="none"/>
        </w:rPr>
        <w:t>根</w:t>
      </w:r>
      <w:r>
        <w:rPr>
          <w:color w:val="auto"/>
          <w:highlight w:val="none"/>
        </w:rPr>
        <w:t>24m</w:t>
      </w:r>
      <w:r>
        <w:rPr>
          <w:rFonts w:hint="eastAsia"/>
          <w:color w:val="auto"/>
          <w:highlight w:val="none"/>
        </w:rPr>
        <w:t>高与</w:t>
      </w:r>
      <w:r>
        <w:rPr>
          <w:color w:val="auto"/>
          <w:highlight w:val="none"/>
        </w:rPr>
        <w:t>1</w:t>
      </w:r>
      <w:r>
        <w:rPr>
          <w:rFonts w:hint="eastAsia"/>
          <w:color w:val="auto"/>
          <w:highlight w:val="none"/>
        </w:rPr>
        <w:t>根</w:t>
      </w:r>
      <w:r>
        <w:rPr>
          <w:color w:val="auto"/>
          <w:highlight w:val="none"/>
        </w:rPr>
        <w:t>26m</w:t>
      </w:r>
      <w:r>
        <w:rPr>
          <w:rFonts w:hint="eastAsia"/>
          <w:color w:val="auto"/>
          <w:highlight w:val="none"/>
        </w:rPr>
        <w:t>高天然气燃烧废气排气筒。排气筒等效后，废气排放满足《大气污染物综合排放标准》（</w:t>
      </w:r>
      <w:r>
        <w:rPr>
          <w:color w:val="auto"/>
          <w:highlight w:val="none"/>
        </w:rPr>
        <w:t>GB16297-1996</w:t>
      </w:r>
      <w:r>
        <w:rPr>
          <w:rFonts w:hint="eastAsia"/>
          <w:color w:val="auto"/>
          <w:highlight w:val="none"/>
        </w:rPr>
        <w:t>）表</w:t>
      </w:r>
      <w:r>
        <w:rPr>
          <w:color w:val="auto"/>
          <w:highlight w:val="none"/>
        </w:rPr>
        <w:t>2</w:t>
      </w:r>
      <w:r>
        <w:rPr>
          <w:rFonts w:hint="eastAsia"/>
          <w:color w:val="auto"/>
          <w:highlight w:val="none"/>
        </w:rPr>
        <w:t>新污染源大气污染物排放限值中最高允许排放浓度和最高允许排放速率二级要求。</w:t>
      </w:r>
    </w:p>
    <w:p w14:paraId="06D68A20">
      <w:pPr>
        <w:ind w:firstLine="480" w:firstLineChars="0"/>
        <w:rPr>
          <w:color w:val="auto"/>
          <w:highlight w:val="none"/>
        </w:rPr>
      </w:pPr>
      <w:r>
        <w:rPr>
          <w:rFonts w:hint="eastAsia"/>
          <w:color w:val="auto"/>
          <w:highlight w:val="none"/>
        </w:rPr>
        <w:t>此外，</w:t>
      </w:r>
      <w:r>
        <w:rPr>
          <w:color w:val="auto"/>
          <w:highlight w:val="none"/>
        </w:rPr>
        <w:t>1#</w:t>
      </w:r>
      <w:r>
        <w:rPr>
          <w:rFonts w:hint="eastAsia"/>
          <w:color w:val="auto"/>
          <w:highlight w:val="none"/>
        </w:rPr>
        <w:t>造纸车间设有</w:t>
      </w:r>
      <w:r>
        <w:rPr>
          <w:color w:val="auto"/>
          <w:highlight w:val="none"/>
        </w:rPr>
        <w:t>2</w:t>
      </w:r>
      <w:r>
        <w:rPr>
          <w:rFonts w:hint="eastAsia"/>
          <w:color w:val="auto"/>
          <w:highlight w:val="none"/>
        </w:rPr>
        <w:t>根</w:t>
      </w:r>
      <w:r>
        <w:rPr>
          <w:color w:val="auto"/>
          <w:highlight w:val="none"/>
        </w:rPr>
        <w:t>20m</w:t>
      </w:r>
      <w:r>
        <w:rPr>
          <w:rFonts w:hint="eastAsia"/>
          <w:color w:val="auto"/>
          <w:highlight w:val="none"/>
        </w:rPr>
        <w:t>高导热油炉废气排气筒，</w:t>
      </w:r>
      <w:r>
        <w:rPr>
          <w:color w:val="auto"/>
          <w:highlight w:val="none"/>
        </w:rPr>
        <w:t>2#</w:t>
      </w:r>
      <w:r>
        <w:rPr>
          <w:rFonts w:hint="eastAsia"/>
          <w:color w:val="auto"/>
          <w:highlight w:val="none"/>
        </w:rPr>
        <w:t>造纸车间设有</w:t>
      </w:r>
      <w:r>
        <w:rPr>
          <w:color w:val="auto"/>
          <w:highlight w:val="none"/>
        </w:rPr>
        <w:t>2</w:t>
      </w:r>
      <w:r>
        <w:rPr>
          <w:rFonts w:hint="eastAsia"/>
          <w:color w:val="auto"/>
          <w:highlight w:val="none"/>
        </w:rPr>
        <w:t>根</w:t>
      </w:r>
      <w:r>
        <w:rPr>
          <w:color w:val="auto"/>
          <w:highlight w:val="none"/>
        </w:rPr>
        <w:t>16m</w:t>
      </w:r>
      <w:r>
        <w:rPr>
          <w:rFonts w:hint="eastAsia"/>
          <w:color w:val="auto"/>
          <w:highlight w:val="none"/>
        </w:rPr>
        <w:t>高导热油炉废气排气筒。导热油加热废气满足《锅炉大气污染物排放标准》（</w:t>
      </w:r>
      <w:r>
        <w:rPr>
          <w:color w:val="auto"/>
          <w:highlight w:val="none"/>
        </w:rPr>
        <w:t>GB13271-2014</w:t>
      </w:r>
      <w:r>
        <w:rPr>
          <w:rFonts w:hint="eastAsia"/>
          <w:color w:val="auto"/>
          <w:highlight w:val="none"/>
        </w:rPr>
        <w:t>）燃气锅炉标准限制要求。</w:t>
      </w:r>
    </w:p>
    <w:p w14:paraId="6F7D9AF4">
      <w:pPr>
        <w:ind w:firstLine="480" w:firstLineChars="0"/>
        <w:rPr>
          <w:color w:val="auto"/>
          <w:highlight w:val="none"/>
        </w:rPr>
      </w:pPr>
      <w:r>
        <w:rPr>
          <w:rFonts w:hint="eastAsia"/>
          <w:color w:val="auto"/>
          <w:highlight w:val="none"/>
        </w:rPr>
        <w:t>②淋膜纸生产线废气达标可行性分析</w:t>
      </w:r>
    </w:p>
    <w:p w14:paraId="40AE7EB9">
      <w:pPr>
        <w:ind w:firstLine="480" w:firstLineChars="0"/>
        <w:rPr>
          <w:color w:val="auto"/>
          <w:highlight w:val="none"/>
        </w:rPr>
      </w:pPr>
      <w:r>
        <w:rPr>
          <w:rFonts w:hint="eastAsia"/>
          <w:color w:val="auto"/>
          <w:highlight w:val="none"/>
        </w:rPr>
        <w:t>淋膜纸生产过程中</w:t>
      </w:r>
      <w:r>
        <w:rPr>
          <w:color w:val="auto"/>
          <w:highlight w:val="none"/>
        </w:rPr>
        <w:t>PE</w:t>
      </w:r>
      <w:r>
        <w:rPr>
          <w:rFonts w:hint="eastAsia"/>
          <w:color w:val="auto"/>
          <w:highlight w:val="none"/>
        </w:rPr>
        <w:t>材料加热产生挥发性有机气体，主要成分为低分子烃类，以非甲烷总烃进行评价。企业采用活性炭吸附工艺对淋膜工序产生的非甲烷总烃进行处理。</w:t>
      </w:r>
    </w:p>
    <w:p w14:paraId="01405142">
      <w:pPr>
        <w:ind w:firstLine="0" w:firstLineChars="0"/>
        <w:rPr>
          <w:color w:val="auto"/>
          <w:highlight w:val="none"/>
        </w:rPr>
      </w:pPr>
      <w:r>
        <w:rPr>
          <w:rFonts w:hint="eastAsia"/>
          <w:color w:val="auto"/>
          <w:highlight w:val="none"/>
        </w:rPr>
        <w:t>淋膜纸生产线目前已经建成废气收集系统，收集后通过</w:t>
      </w:r>
      <w:r>
        <w:rPr>
          <w:color w:val="auto"/>
          <w:highlight w:val="none"/>
        </w:rPr>
        <w:t>4</w:t>
      </w:r>
      <w:r>
        <w:rPr>
          <w:rFonts w:hint="eastAsia"/>
          <w:color w:val="auto"/>
          <w:highlight w:val="none"/>
        </w:rPr>
        <w:t>根排气筒屋顶排放。</w:t>
      </w:r>
    </w:p>
    <w:p w14:paraId="1B7A007C">
      <w:pPr>
        <w:ind w:firstLine="480" w:firstLineChars="0"/>
        <w:rPr>
          <w:color w:val="auto"/>
          <w:highlight w:val="none"/>
        </w:rPr>
      </w:pPr>
      <w:r>
        <w:rPr>
          <w:rFonts w:hint="eastAsia"/>
          <w:color w:val="auto"/>
          <w:highlight w:val="none"/>
        </w:rPr>
        <w:t>活性炭吸附装置工作原理：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项目设计活性炭吸附效率≥</w:t>
      </w:r>
      <w:r>
        <w:rPr>
          <w:color w:val="auto"/>
          <w:highlight w:val="none"/>
        </w:rPr>
        <w:t>50%</w:t>
      </w:r>
      <w:r>
        <w:rPr>
          <w:rFonts w:hint="eastAsia"/>
          <w:color w:val="auto"/>
          <w:highlight w:val="none"/>
        </w:rPr>
        <w:t>，活性炭吸附工艺是一种安全可靠的处理方法，活性炭需要定期更换，做好更换记录，同时废弃的活性炭需委托有资质单位进行处理。</w:t>
      </w:r>
    </w:p>
    <w:p w14:paraId="32714EAB">
      <w:pPr>
        <w:ind w:firstLine="480" w:firstLineChars="0"/>
        <w:rPr>
          <w:color w:val="auto"/>
          <w:highlight w:val="none"/>
        </w:rPr>
      </w:pPr>
      <w:r>
        <w:rPr>
          <w:rFonts w:hint="eastAsia"/>
          <w:color w:val="auto"/>
          <w:highlight w:val="none"/>
        </w:rPr>
        <w:t>企业目前已委托广西泽顺检测服务有限公司在正常生产情况下，对淋膜纸生产线废气中非甲烷总烃排放情况进行了监测。监测结果显示正常生产情况下，淋膜纸车间有组织废气量为</w:t>
      </w:r>
      <w:r>
        <w:rPr>
          <w:color w:val="auto"/>
          <w:highlight w:val="none"/>
        </w:rPr>
        <w:t>17077m</w:t>
      </w:r>
      <w:r>
        <w:rPr>
          <w:color w:val="auto"/>
          <w:highlight w:val="none"/>
          <w:vertAlign w:val="superscript"/>
        </w:rPr>
        <w:t>3</w:t>
      </w:r>
      <w:r>
        <w:rPr>
          <w:color w:val="auto"/>
          <w:highlight w:val="none"/>
        </w:rPr>
        <w:t>/h</w:t>
      </w:r>
      <w:r>
        <w:rPr>
          <w:rFonts w:hint="eastAsia"/>
          <w:color w:val="auto"/>
          <w:highlight w:val="none"/>
        </w:rPr>
        <w:t>，非甲烷总烃产生量为</w:t>
      </w:r>
      <w:r>
        <w:rPr>
          <w:color w:val="auto"/>
          <w:highlight w:val="none"/>
        </w:rPr>
        <w:t>0.898t/a,</w:t>
      </w:r>
      <w:r>
        <w:rPr>
          <w:rFonts w:hint="eastAsia"/>
          <w:color w:val="auto"/>
          <w:highlight w:val="none"/>
        </w:rPr>
        <w:t>产生速率</w:t>
      </w:r>
      <w:r>
        <w:rPr>
          <w:color w:val="auto"/>
          <w:highlight w:val="none"/>
        </w:rPr>
        <w:t>0.11kg/h</w:t>
      </w:r>
      <w:r>
        <w:rPr>
          <w:rFonts w:hint="eastAsia"/>
          <w:color w:val="auto"/>
          <w:highlight w:val="none"/>
        </w:rPr>
        <w:t>，产生浓度为</w:t>
      </w:r>
      <w:r>
        <w:rPr>
          <w:color w:val="auto"/>
          <w:highlight w:val="none"/>
        </w:rPr>
        <w:t>6.44mg/m</w:t>
      </w:r>
      <w:r>
        <w:rPr>
          <w:color w:val="auto"/>
          <w:highlight w:val="none"/>
          <w:vertAlign w:val="superscript"/>
        </w:rPr>
        <w:t>3</w:t>
      </w:r>
      <w:r>
        <w:rPr>
          <w:rFonts w:hint="eastAsia"/>
          <w:color w:val="auto"/>
          <w:highlight w:val="none"/>
        </w:rPr>
        <w:t>。活性炭吸附处理效率取</w:t>
      </w:r>
      <w:r>
        <w:rPr>
          <w:color w:val="auto"/>
          <w:highlight w:val="none"/>
        </w:rPr>
        <w:t>50%,</w:t>
      </w:r>
      <w:r>
        <w:rPr>
          <w:rFonts w:hint="eastAsia"/>
          <w:color w:val="auto"/>
          <w:highlight w:val="none"/>
        </w:rPr>
        <w:t>则经过处理后非甲烷总烃排放速率为</w:t>
      </w:r>
      <w:r>
        <w:rPr>
          <w:color w:val="auto"/>
          <w:highlight w:val="none"/>
        </w:rPr>
        <w:t>0.06kg/h</w:t>
      </w:r>
      <w:r>
        <w:rPr>
          <w:rFonts w:hint="eastAsia"/>
          <w:color w:val="auto"/>
          <w:highlight w:val="none"/>
        </w:rPr>
        <w:t>，排放浓度为</w:t>
      </w:r>
      <w:r>
        <w:rPr>
          <w:color w:val="auto"/>
          <w:highlight w:val="none"/>
        </w:rPr>
        <w:t>3.22mg/m</w:t>
      </w:r>
      <w:r>
        <w:rPr>
          <w:color w:val="auto"/>
          <w:highlight w:val="none"/>
          <w:vertAlign w:val="superscript"/>
        </w:rPr>
        <w:t>3</w:t>
      </w:r>
      <w:r>
        <w:rPr>
          <w:rFonts w:hint="eastAsia"/>
          <w:color w:val="auto"/>
          <w:highlight w:val="none"/>
        </w:rPr>
        <w:t>，满足《大气污染物综合排放标准》（</w:t>
      </w:r>
      <w:r>
        <w:rPr>
          <w:color w:val="auto"/>
          <w:highlight w:val="none"/>
        </w:rPr>
        <w:t>GB16297-1996</w:t>
      </w:r>
      <w:r>
        <w:rPr>
          <w:rFonts w:hint="eastAsia"/>
          <w:color w:val="auto"/>
          <w:highlight w:val="none"/>
        </w:rPr>
        <w:t>）表</w:t>
      </w:r>
      <w:r>
        <w:rPr>
          <w:color w:val="auto"/>
          <w:highlight w:val="none"/>
        </w:rPr>
        <w:t>2</w:t>
      </w:r>
      <w:r>
        <w:rPr>
          <w:rFonts w:hint="eastAsia"/>
          <w:color w:val="auto"/>
          <w:highlight w:val="none"/>
        </w:rPr>
        <w:t>二级标准要求。本次评价对项目产生的有组织废气排放进行环境影响预测，根据章节</w:t>
      </w:r>
      <w:r>
        <w:rPr>
          <w:color w:val="auto"/>
          <w:highlight w:val="none"/>
        </w:rPr>
        <w:t>5.2.2</w:t>
      </w:r>
      <w:r>
        <w:rPr>
          <w:rFonts w:hint="eastAsia"/>
          <w:color w:val="auto"/>
          <w:highlight w:val="none"/>
        </w:rPr>
        <w:t>污染源估算结果显示，项目各车间产生的有组织废气最大浓度占标率为</w:t>
      </w:r>
      <w:r>
        <w:rPr>
          <w:color w:val="auto"/>
          <w:highlight w:val="none"/>
        </w:rPr>
        <w:t>4.09%</w:t>
      </w:r>
      <w:r>
        <w:rPr>
          <w:rFonts w:hint="eastAsia"/>
          <w:color w:val="auto"/>
          <w:highlight w:val="none"/>
        </w:rPr>
        <w:t>，因子为</w:t>
      </w:r>
      <w:r>
        <w:rPr>
          <w:color w:val="auto"/>
          <w:highlight w:val="none"/>
        </w:rPr>
        <w:t>NO</w:t>
      </w:r>
      <w:r>
        <w:rPr>
          <w:color w:val="auto"/>
          <w:highlight w:val="none"/>
          <w:vertAlign w:val="subscript"/>
        </w:rPr>
        <w:t>2</w:t>
      </w:r>
      <w:r>
        <w:rPr>
          <w:rFonts w:hint="eastAsia"/>
          <w:color w:val="auto"/>
          <w:highlight w:val="none"/>
        </w:rPr>
        <w:t>。</w:t>
      </w:r>
    </w:p>
    <w:p w14:paraId="3FE3CF40">
      <w:pPr>
        <w:ind w:firstLine="480"/>
        <w:rPr>
          <w:color w:val="auto"/>
          <w:highlight w:val="none"/>
        </w:rPr>
      </w:pPr>
      <w:r>
        <w:rPr>
          <w:rFonts w:hint="eastAsia"/>
          <w:color w:val="auto"/>
          <w:highlight w:val="none"/>
        </w:rPr>
        <w:t>③污水处理站恶臭气体</w:t>
      </w:r>
    </w:p>
    <w:p w14:paraId="21929345">
      <w:pPr>
        <w:ind w:firstLine="480"/>
        <w:rPr>
          <w:color w:val="auto"/>
        </w:rPr>
      </w:pPr>
      <w:r>
        <w:rPr>
          <w:rFonts w:hint="eastAsia"/>
          <w:color w:val="auto"/>
        </w:rPr>
        <w:t>拟建项目对污水处理站处理工序产生的恶臭均进行加盖</w:t>
      </w:r>
      <w:r>
        <w:rPr>
          <w:color w:val="auto"/>
        </w:rPr>
        <w:t>/</w:t>
      </w:r>
      <w:r>
        <w:rPr>
          <w:rFonts w:hint="eastAsia"/>
          <w:color w:val="auto"/>
        </w:rPr>
        <w:t>密闭收集后采取碱洗的除臭措施有组织排放恶臭污染物。根据企业提供资料，拟建项目新建污水处理站采取加盖</w:t>
      </w:r>
      <w:r>
        <w:rPr>
          <w:color w:val="auto"/>
        </w:rPr>
        <w:t>/</w:t>
      </w:r>
      <w:r>
        <w:rPr>
          <w:rFonts w:hint="eastAsia"/>
          <w:color w:val="auto"/>
        </w:rPr>
        <w:t>密闭收集处理措施的设施及构筑物产生的恶臭占整个污水处理站产生恶臭的</w:t>
      </w:r>
      <w:r>
        <w:rPr>
          <w:color w:val="auto"/>
        </w:rPr>
        <w:t>90%</w:t>
      </w:r>
      <w:r>
        <w:rPr>
          <w:rFonts w:hint="eastAsia"/>
          <w:color w:val="auto"/>
        </w:rPr>
        <w:t>；采用“碱洗</w:t>
      </w:r>
      <w:r>
        <w:rPr>
          <w:color w:val="auto"/>
        </w:rPr>
        <w:t>+</w:t>
      </w:r>
      <w:r>
        <w:rPr>
          <w:rFonts w:hint="eastAsia"/>
          <w:color w:val="auto"/>
        </w:rPr>
        <w:t>生物滤池”的除臭措施对恶臭废气进行处理，处理效率氨取</w:t>
      </w:r>
      <w:r>
        <w:rPr>
          <w:color w:val="auto"/>
        </w:rPr>
        <w:t>90%</w:t>
      </w:r>
      <w:r>
        <w:rPr>
          <w:rFonts w:hint="eastAsia"/>
          <w:color w:val="auto"/>
        </w:rPr>
        <w:t>，硫化氢取</w:t>
      </w:r>
      <w:r>
        <w:rPr>
          <w:color w:val="auto"/>
        </w:rPr>
        <w:t>95%</w:t>
      </w:r>
      <w:r>
        <w:rPr>
          <w:rFonts w:hint="eastAsia"/>
          <w:color w:val="auto"/>
        </w:rPr>
        <w:t>，臭气浓度取</w:t>
      </w:r>
      <w:r>
        <w:rPr>
          <w:color w:val="auto"/>
        </w:rPr>
        <w:t>95%</w:t>
      </w:r>
      <w:r>
        <w:rPr>
          <w:rFonts w:hint="eastAsia"/>
          <w:color w:val="auto"/>
        </w:rPr>
        <w:t>，最后通过</w:t>
      </w:r>
      <w:r>
        <w:rPr>
          <w:color w:val="auto"/>
        </w:rPr>
        <w:t>1</w:t>
      </w:r>
      <w:r>
        <w:rPr>
          <w:rFonts w:hint="eastAsia"/>
          <w:color w:val="auto"/>
        </w:rPr>
        <w:t>根</w:t>
      </w:r>
      <w:r>
        <w:rPr>
          <w:color w:val="auto"/>
        </w:rPr>
        <w:t>15m</w:t>
      </w:r>
      <w:r>
        <w:rPr>
          <w:rFonts w:hint="eastAsia"/>
          <w:color w:val="auto"/>
        </w:rPr>
        <w:t>高的排气筒排放。则氨气的排放速率为</w:t>
      </w:r>
      <w:r>
        <w:rPr>
          <w:color w:val="auto"/>
        </w:rPr>
        <w:t>0.0032kg/h</w:t>
      </w:r>
      <w:r>
        <w:rPr>
          <w:rFonts w:hint="eastAsia"/>
          <w:color w:val="auto"/>
        </w:rPr>
        <w:t>、</w:t>
      </w:r>
      <w:r>
        <w:rPr>
          <w:color w:val="auto"/>
        </w:rPr>
        <w:t>H</w:t>
      </w:r>
      <w:r>
        <w:rPr>
          <w:color w:val="auto"/>
          <w:vertAlign w:val="subscript"/>
        </w:rPr>
        <w:t>2</w:t>
      </w:r>
      <w:r>
        <w:rPr>
          <w:color w:val="auto"/>
        </w:rPr>
        <w:t>S</w:t>
      </w:r>
      <w:r>
        <w:rPr>
          <w:rFonts w:hint="eastAsia"/>
          <w:color w:val="auto"/>
        </w:rPr>
        <w:t>排放速率为</w:t>
      </w:r>
      <w:r>
        <w:rPr>
          <w:color w:val="auto"/>
        </w:rPr>
        <w:t>0.0015kg/h</w:t>
      </w:r>
      <w:r>
        <w:rPr>
          <w:rFonts w:hint="eastAsia"/>
          <w:color w:val="auto"/>
        </w:rPr>
        <w:t>、臭气浓度排放速率为</w:t>
      </w:r>
      <w:r>
        <w:rPr>
          <w:color w:val="auto"/>
        </w:rPr>
        <w:t>112.5kg/h</w:t>
      </w:r>
      <w:r>
        <w:rPr>
          <w:rFonts w:hint="eastAsia"/>
          <w:color w:val="auto"/>
        </w:rPr>
        <w:t>。排放标准参考《恶臭污染物排放标准》（</w:t>
      </w:r>
      <w:r>
        <w:rPr>
          <w:color w:val="auto"/>
        </w:rPr>
        <w:t>GB14554-93</w:t>
      </w:r>
      <w:r>
        <w:rPr>
          <w:rFonts w:hint="eastAsia"/>
          <w:color w:val="auto"/>
        </w:rPr>
        <w:t>）中表</w:t>
      </w:r>
      <w:r>
        <w:rPr>
          <w:color w:val="auto"/>
        </w:rPr>
        <w:t>2</w:t>
      </w:r>
      <w:r>
        <w:rPr>
          <w:rFonts w:hint="eastAsia"/>
          <w:color w:val="auto"/>
        </w:rPr>
        <w:t>恶臭污染物排放限值，项目新建污水处理站产生的恶臭气体均能达标排。</w:t>
      </w:r>
    </w:p>
    <w:p w14:paraId="0F28851A">
      <w:pPr>
        <w:numPr>
          <w:ilvl w:val="0"/>
          <w:numId w:val="11"/>
        </w:numPr>
        <w:ind w:firstLine="480"/>
        <w:rPr>
          <w:color w:val="auto"/>
        </w:rPr>
      </w:pPr>
      <w:r>
        <w:rPr>
          <w:rFonts w:hint="eastAsia"/>
          <w:color w:val="auto"/>
        </w:rPr>
        <w:t>无组织废气</w:t>
      </w:r>
    </w:p>
    <w:p w14:paraId="2086F16B">
      <w:pPr>
        <w:ind w:firstLine="480"/>
        <w:rPr>
          <w:color w:val="auto"/>
        </w:rPr>
      </w:pPr>
      <w:r>
        <w:rPr>
          <w:rFonts w:hint="eastAsia"/>
          <w:color w:val="auto"/>
        </w:rPr>
        <w:t>①淋膜纸车间无组织废气</w:t>
      </w:r>
    </w:p>
    <w:p w14:paraId="73E84779">
      <w:pPr>
        <w:ind w:firstLine="480"/>
        <w:rPr>
          <w:color w:val="auto"/>
        </w:rPr>
      </w:pPr>
      <w:r>
        <w:rPr>
          <w:rFonts w:hint="eastAsia"/>
          <w:color w:val="auto"/>
        </w:rPr>
        <w:t>淋膜纸车间集气罩收集效率按</w:t>
      </w:r>
      <w:r>
        <w:rPr>
          <w:color w:val="auto"/>
        </w:rPr>
        <w:t>90%</w:t>
      </w:r>
      <w:r>
        <w:rPr>
          <w:rFonts w:hint="eastAsia"/>
          <w:color w:val="auto"/>
        </w:rPr>
        <w:t>计，无组织排放速率为</w:t>
      </w:r>
      <w:r>
        <w:rPr>
          <w:color w:val="auto"/>
        </w:rPr>
        <w:t>0.012kg/h</w:t>
      </w:r>
      <w:r>
        <w:rPr>
          <w:rFonts w:hint="eastAsia"/>
          <w:color w:val="auto"/>
        </w:rPr>
        <w:t>。经预测，淋膜纸车间无组织废气下风向最大质量浓度为</w:t>
      </w:r>
      <w:r>
        <w:rPr>
          <w:color w:val="auto"/>
        </w:rPr>
        <w:t>8.8ug/m</w:t>
      </w:r>
      <w:r>
        <w:rPr>
          <w:color w:val="auto"/>
          <w:vertAlign w:val="superscript"/>
        </w:rPr>
        <w:t>3</w:t>
      </w:r>
      <w:r>
        <w:rPr>
          <w:rFonts w:hint="eastAsia"/>
          <w:color w:val="auto"/>
        </w:rPr>
        <w:t>，浓度满足《大气污染物综合排放标准》（</w:t>
      </w:r>
      <w:r>
        <w:rPr>
          <w:color w:val="auto"/>
        </w:rPr>
        <w:t>GB16297-1996</w:t>
      </w:r>
      <w:r>
        <w:rPr>
          <w:rFonts w:hint="eastAsia"/>
          <w:color w:val="auto"/>
        </w:rPr>
        <w:t>）表</w:t>
      </w:r>
      <w:r>
        <w:rPr>
          <w:color w:val="auto"/>
        </w:rPr>
        <w:t>2</w:t>
      </w:r>
      <w:r>
        <w:rPr>
          <w:rFonts w:hint="eastAsia"/>
          <w:color w:val="auto"/>
        </w:rPr>
        <w:t>周界外浓度最高点要求（非甲烷总烃，周界外浓度最高点</w:t>
      </w:r>
      <w:r>
        <w:rPr>
          <w:color w:val="auto"/>
        </w:rPr>
        <w:t>4.0mg/m</w:t>
      </w:r>
      <w:r>
        <w:rPr>
          <w:color w:val="auto"/>
          <w:vertAlign w:val="superscript"/>
        </w:rPr>
        <w:t>3</w:t>
      </w:r>
      <w:r>
        <w:rPr>
          <w:rFonts w:hint="eastAsia"/>
          <w:color w:val="auto"/>
        </w:rPr>
        <w:t>）。</w:t>
      </w:r>
    </w:p>
    <w:p w14:paraId="310AD03D">
      <w:pPr>
        <w:ind w:firstLine="480"/>
        <w:rPr>
          <w:color w:val="auto"/>
        </w:rPr>
      </w:pPr>
      <w:r>
        <w:rPr>
          <w:rFonts w:hint="eastAsia"/>
          <w:color w:val="auto"/>
        </w:rPr>
        <w:t>②造纸辅助车间无组织废气</w:t>
      </w:r>
    </w:p>
    <w:p w14:paraId="06E38191">
      <w:pPr>
        <w:ind w:firstLine="480"/>
        <w:rPr>
          <w:color w:val="auto"/>
        </w:rPr>
      </w:pPr>
      <w:r>
        <w:rPr>
          <w:rFonts w:hint="eastAsia"/>
          <w:color w:val="auto"/>
        </w:rPr>
        <w:t>造纸辅助车间</w:t>
      </w:r>
      <w:r>
        <w:rPr>
          <w:color w:val="auto"/>
        </w:rPr>
        <w:t>GCC</w:t>
      </w:r>
      <w:r>
        <w:rPr>
          <w:rFonts w:hint="eastAsia"/>
          <w:color w:val="auto"/>
        </w:rPr>
        <w:t>（研磨碳酸钙）车间投料斗、振动筛、破碎机出料、干磨机出料过程中产生一定的含尘废气，通过采购水洗后的大理石，可以从源头上减少原料含尘量；另外通过在投料斗、振动筛采取喷淋措施，可以减少原料及预处理段的废气含尘量；通过采用封闭式破碎机，可以避免破碎过程含尘废气的产生，在破碎机出料及输送段采用集气装置并设置布袋除尘器；通过采用封闭式干磨机，可以避免干磨过程含尘废气的产生，在干磨机出料处设置布袋除尘器用来集料。通过采取喷淋及布袋除尘器等措施，可以降低粉尘影响。经预测，造纸辅助车间</w:t>
      </w:r>
      <w:r>
        <w:rPr>
          <w:color w:val="auto"/>
        </w:rPr>
        <w:t>1#</w:t>
      </w:r>
      <w:r>
        <w:rPr>
          <w:rFonts w:hint="eastAsia"/>
          <w:color w:val="auto"/>
        </w:rPr>
        <w:t>、</w:t>
      </w:r>
      <w:r>
        <w:rPr>
          <w:color w:val="auto"/>
        </w:rPr>
        <w:t>2#GCC</w:t>
      </w:r>
      <w:r>
        <w:rPr>
          <w:rFonts w:hint="eastAsia"/>
          <w:color w:val="auto"/>
        </w:rPr>
        <w:t>车间产生的</w:t>
      </w:r>
      <w:r>
        <w:rPr>
          <w:color w:val="auto"/>
        </w:rPr>
        <w:t>TSP</w:t>
      </w:r>
      <w:r>
        <w:rPr>
          <w:rFonts w:hint="eastAsia"/>
          <w:color w:val="auto"/>
        </w:rPr>
        <w:t>下风向最大质量浓度分别为</w:t>
      </w:r>
      <w:r>
        <w:rPr>
          <w:color w:val="auto"/>
        </w:rPr>
        <w:t>26.287ug/m</w:t>
      </w:r>
      <w:r>
        <w:rPr>
          <w:color w:val="auto"/>
          <w:vertAlign w:val="superscript"/>
        </w:rPr>
        <w:t>3</w:t>
      </w:r>
      <w:r>
        <w:rPr>
          <w:rFonts w:hint="eastAsia"/>
          <w:color w:val="auto"/>
        </w:rPr>
        <w:t>、</w:t>
      </w:r>
      <w:r>
        <w:rPr>
          <w:color w:val="auto"/>
        </w:rPr>
        <w:t>53.014ug/m</w:t>
      </w:r>
      <w:r>
        <w:rPr>
          <w:color w:val="auto"/>
          <w:vertAlign w:val="superscript"/>
        </w:rPr>
        <w:t>3</w:t>
      </w:r>
      <w:r>
        <w:rPr>
          <w:rFonts w:hint="eastAsia"/>
          <w:color w:val="auto"/>
        </w:rPr>
        <w:t>占标率分别为</w:t>
      </w:r>
      <w:r>
        <w:rPr>
          <w:color w:val="auto"/>
        </w:rPr>
        <w:t>2.92%</w:t>
      </w:r>
      <w:r>
        <w:rPr>
          <w:rFonts w:hint="eastAsia"/>
          <w:color w:val="auto"/>
        </w:rPr>
        <w:t>与</w:t>
      </w:r>
      <w:r>
        <w:rPr>
          <w:color w:val="auto"/>
        </w:rPr>
        <w:t>5.89%</w:t>
      </w:r>
      <w:r>
        <w:rPr>
          <w:rFonts w:hint="eastAsia"/>
          <w:color w:val="auto"/>
        </w:rPr>
        <w:t>。浓度满足《大气污染物综合排放标准》（</w:t>
      </w:r>
      <w:r>
        <w:rPr>
          <w:color w:val="auto"/>
        </w:rPr>
        <w:t>GB16297-1996</w:t>
      </w:r>
      <w:r>
        <w:rPr>
          <w:rFonts w:hint="eastAsia"/>
          <w:color w:val="auto"/>
        </w:rPr>
        <w:t>）表</w:t>
      </w:r>
      <w:r>
        <w:rPr>
          <w:color w:val="auto"/>
        </w:rPr>
        <w:t>2</w:t>
      </w:r>
      <w:r>
        <w:rPr>
          <w:rFonts w:hint="eastAsia"/>
          <w:color w:val="auto"/>
        </w:rPr>
        <w:t>周界外浓度最高点要求。</w:t>
      </w:r>
    </w:p>
    <w:p w14:paraId="60EE3D23">
      <w:pPr>
        <w:ind w:firstLine="480"/>
        <w:rPr>
          <w:color w:val="auto"/>
        </w:rPr>
      </w:pPr>
      <w:r>
        <w:rPr>
          <w:rFonts w:hint="eastAsia"/>
          <w:color w:val="auto"/>
        </w:rPr>
        <w:t>③污水处理站恶臭气体</w:t>
      </w:r>
    </w:p>
    <w:p w14:paraId="76BD8240">
      <w:pPr>
        <w:ind w:firstLine="480"/>
        <w:rPr>
          <w:color w:val="auto"/>
        </w:rPr>
      </w:pPr>
      <w:r>
        <w:rPr>
          <w:rFonts w:hint="eastAsia"/>
          <w:color w:val="auto"/>
        </w:rPr>
        <w:t>拟建项目对污水处理站处理工序产生的恶臭均进行加盖</w:t>
      </w:r>
      <w:r>
        <w:rPr>
          <w:color w:val="auto"/>
        </w:rPr>
        <w:t>/</w:t>
      </w:r>
      <w:r>
        <w:rPr>
          <w:rFonts w:hint="eastAsia"/>
          <w:color w:val="auto"/>
        </w:rPr>
        <w:t>密闭收集后采取碱洗的除臭措施有组织排放恶臭污染物。拟建项目收集的恶臭气体占整个污水处理站产生恶臭的</w:t>
      </w:r>
      <w:r>
        <w:rPr>
          <w:color w:val="auto"/>
        </w:rPr>
        <w:t>90%</w:t>
      </w:r>
      <w:r>
        <w:rPr>
          <w:rFonts w:hint="eastAsia"/>
          <w:color w:val="auto"/>
        </w:rPr>
        <w:t>；污水处理站未收集的恶臭气体以无组织废气的形式排放，</w:t>
      </w:r>
      <w:r>
        <w:rPr>
          <w:color w:val="auto"/>
        </w:rPr>
        <w:t>NH</w:t>
      </w:r>
      <w:r>
        <w:rPr>
          <w:color w:val="auto"/>
          <w:vertAlign w:val="subscript"/>
        </w:rPr>
        <w:t>3</w:t>
      </w:r>
      <w:r>
        <w:rPr>
          <w:rFonts w:hint="eastAsia"/>
          <w:color w:val="auto"/>
        </w:rPr>
        <w:t>的排放速率为</w:t>
      </w:r>
      <w:r>
        <w:rPr>
          <w:color w:val="auto"/>
        </w:rPr>
        <w:t>0.00352kg/h</w:t>
      </w:r>
      <w:r>
        <w:rPr>
          <w:rFonts w:hint="eastAsia"/>
          <w:color w:val="auto"/>
        </w:rPr>
        <w:t>，</w:t>
      </w:r>
      <w:r>
        <w:rPr>
          <w:color w:val="auto"/>
        </w:rPr>
        <w:t>H</w:t>
      </w:r>
      <w:r>
        <w:rPr>
          <w:color w:val="auto"/>
          <w:vertAlign w:val="subscript"/>
        </w:rPr>
        <w:t>2</w:t>
      </w:r>
      <w:r>
        <w:rPr>
          <w:color w:val="auto"/>
        </w:rPr>
        <w:t>S</w:t>
      </w:r>
      <w:r>
        <w:rPr>
          <w:rFonts w:hint="eastAsia"/>
          <w:color w:val="auto"/>
        </w:rPr>
        <w:t>的排放速率为</w:t>
      </w:r>
      <w:r>
        <w:rPr>
          <w:color w:val="auto"/>
        </w:rPr>
        <w:t>0.00324kg/h</w:t>
      </w:r>
      <w:r>
        <w:rPr>
          <w:rFonts w:hint="eastAsia"/>
          <w:color w:val="auto"/>
        </w:rPr>
        <w:t>。经预测，污水处理站产生的</w:t>
      </w:r>
      <w:r>
        <w:rPr>
          <w:color w:val="auto"/>
        </w:rPr>
        <w:t>NH</w:t>
      </w:r>
      <w:r>
        <w:rPr>
          <w:color w:val="auto"/>
          <w:vertAlign w:val="subscript"/>
        </w:rPr>
        <w:t>3</w:t>
      </w:r>
      <w:r>
        <w:rPr>
          <w:rFonts w:hint="eastAsia"/>
          <w:color w:val="auto"/>
        </w:rPr>
        <w:t>、</w:t>
      </w:r>
      <w:r>
        <w:rPr>
          <w:color w:val="auto"/>
        </w:rPr>
        <w:t>H</w:t>
      </w:r>
      <w:r>
        <w:rPr>
          <w:color w:val="auto"/>
          <w:vertAlign w:val="subscript"/>
        </w:rPr>
        <w:t>2</w:t>
      </w:r>
      <w:r>
        <w:rPr>
          <w:color w:val="auto"/>
        </w:rPr>
        <w:t>S</w:t>
      </w:r>
      <w:r>
        <w:rPr>
          <w:rFonts w:hint="eastAsia"/>
          <w:color w:val="auto"/>
        </w:rPr>
        <w:t>下风向最大质量浓度为</w:t>
      </w:r>
      <w:r>
        <w:rPr>
          <w:color w:val="auto"/>
        </w:rPr>
        <w:t>0.76ug/m</w:t>
      </w:r>
      <w:r>
        <w:rPr>
          <w:color w:val="auto"/>
          <w:vertAlign w:val="superscript"/>
        </w:rPr>
        <w:t>3</w:t>
      </w:r>
      <w:r>
        <w:rPr>
          <w:rFonts w:hint="eastAsia"/>
          <w:color w:val="auto"/>
        </w:rPr>
        <w:t>、</w:t>
      </w:r>
      <w:r>
        <w:rPr>
          <w:color w:val="auto"/>
        </w:rPr>
        <w:t>0.70ug/m</w:t>
      </w:r>
      <w:r>
        <w:rPr>
          <w:color w:val="auto"/>
          <w:vertAlign w:val="superscript"/>
        </w:rPr>
        <w:t>3</w:t>
      </w:r>
      <w:r>
        <w:rPr>
          <w:rFonts w:hint="eastAsia"/>
          <w:color w:val="auto"/>
        </w:rPr>
        <w:t>；浓度满足《恶臭污染物排放标准》（</w:t>
      </w:r>
      <w:r>
        <w:rPr>
          <w:color w:val="auto"/>
        </w:rPr>
        <w:t>GB14554-93</w:t>
      </w:r>
      <w:r>
        <w:rPr>
          <w:rFonts w:hint="eastAsia"/>
          <w:color w:val="auto"/>
        </w:rPr>
        <w:t>）新改扩建项目二级标准要求。</w:t>
      </w:r>
    </w:p>
    <w:p w14:paraId="5F3AB906">
      <w:pPr>
        <w:pStyle w:val="4"/>
        <w:rPr>
          <w:color w:val="auto"/>
        </w:rPr>
      </w:pPr>
      <w:bookmarkStart w:id="591" w:name="_Toc225216868"/>
      <w:r>
        <w:rPr>
          <w:rFonts w:hint="eastAsia"/>
          <w:color w:val="auto"/>
        </w:rPr>
        <w:t>运营期水污染物防治措施及可行性分析</w:t>
      </w:r>
      <w:bookmarkEnd w:id="591"/>
    </w:p>
    <w:p w14:paraId="6AD90B0C">
      <w:pPr>
        <w:pStyle w:val="5"/>
        <w:rPr>
          <w:color w:val="auto"/>
        </w:rPr>
      </w:pPr>
      <w:r>
        <w:rPr>
          <w:rFonts w:hint="eastAsia"/>
          <w:color w:val="auto"/>
        </w:rPr>
        <w:t>废水污染防治措施</w:t>
      </w:r>
    </w:p>
    <w:p w14:paraId="2389AC78">
      <w:pPr>
        <w:numPr>
          <w:ilvl w:val="0"/>
          <w:numId w:val="12"/>
        </w:numPr>
        <w:ind w:firstLine="480"/>
        <w:rPr>
          <w:color w:val="auto"/>
        </w:rPr>
      </w:pPr>
      <w:r>
        <w:rPr>
          <w:rFonts w:hint="eastAsia"/>
          <w:color w:val="auto"/>
        </w:rPr>
        <w:t>项目废水产生情况及处置措施</w:t>
      </w:r>
    </w:p>
    <w:p w14:paraId="73AA3AA7">
      <w:pPr>
        <w:ind w:firstLine="480"/>
        <w:rPr>
          <w:color w:val="auto"/>
        </w:rPr>
      </w:pPr>
      <w:r>
        <w:rPr>
          <w:rFonts w:hint="eastAsia"/>
          <w:color w:val="auto"/>
        </w:rPr>
        <w:t>本项目对现有纸机设备和工艺进行改进，造纸车间单位产能排水量下降；生产的食品白卡纸质量要求较高，对使用的原料浆品质要求相应提高，原来回用于化机浆车间的碱回收车间冷凝水难以满足生产要求，这部分水不再回用生产，排污水处理站处理。</w:t>
      </w:r>
    </w:p>
    <w:p w14:paraId="6499084F">
      <w:pPr>
        <w:ind w:firstLine="480"/>
        <w:rPr>
          <w:color w:val="auto"/>
        </w:rPr>
      </w:pPr>
      <w:r>
        <w:rPr>
          <w:rFonts w:hint="eastAsia"/>
          <w:color w:val="auto"/>
        </w:rPr>
        <w:t>目前项目已建设有2座污水处理站，拟新建1座污水处理站与1套中水回用系统。项目污水处理站具体情况见下表所示。</w:t>
      </w:r>
    </w:p>
    <w:p w14:paraId="5DE0B16A">
      <w:pPr>
        <w:pStyle w:val="7"/>
        <w:rPr>
          <w:color w:val="auto"/>
        </w:rPr>
      </w:pPr>
      <w:r>
        <w:rPr>
          <w:rFonts w:hint="eastAsia"/>
          <w:color w:val="auto"/>
        </w:rPr>
        <w:t>项目配套污水处理站基本信息情况表</w:t>
      </w:r>
    </w:p>
    <w:tbl>
      <w:tblPr>
        <w:tblStyle w:val="2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18"/>
        <w:gridCol w:w="1851"/>
        <w:gridCol w:w="4371"/>
        <w:gridCol w:w="739"/>
      </w:tblGrid>
      <w:tr w14:paraId="52B94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10030CDF">
            <w:pPr>
              <w:pStyle w:val="33"/>
              <w:rPr>
                <w:color w:val="auto"/>
              </w:rPr>
            </w:pPr>
            <w:r>
              <w:rPr>
                <w:rFonts w:hint="eastAsia"/>
                <w:color w:val="auto"/>
              </w:rPr>
              <w:t>名称</w:t>
            </w:r>
          </w:p>
        </w:tc>
        <w:tc>
          <w:tcPr>
            <w:tcW w:w="997" w:type="pct"/>
            <w:vAlign w:val="center"/>
          </w:tcPr>
          <w:p w14:paraId="601186ED">
            <w:pPr>
              <w:pStyle w:val="33"/>
              <w:rPr>
                <w:color w:val="auto"/>
              </w:rPr>
            </w:pPr>
            <w:r>
              <w:rPr>
                <w:rFonts w:hint="eastAsia"/>
                <w:color w:val="auto"/>
              </w:rPr>
              <w:t>处理规模（m</w:t>
            </w:r>
            <w:r>
              <w:rPr>
                <w:rFonts w:hint="eastAsia"/>
                <w:color w:val="auto"/>
                <w:vertAlign w:val="superscript"/>
              </w:rPr>
              <w:t>3</w:t>
            </w:r>
            <w:r>
              <w:rPr>
                <w:rFonts w:hint="eastAsia"/>
                <w:color w:val="auto"/>
              </w:rPr>
              <w:t>/d）</w:t>
            </w:r>
          </w:p>
        </w:tc>
        <w:tc>
          <w:tcPr>
            <w:tcW w:w="2355" w:type="pct"/>
            <w:vAlign w:val="center"/>
          </w:tcPr>
          <w:p w14:paraId="1B72099E">
            <w:pPr>
              <w:pStyle w:val="33"/>
              <w:rPr>
                <w:color w:val="auto"/>
              </w:rPr>
            </w:pPr>
            <w:r>
              <w:rPr>
                <w:rFonts w:hint="eastAsia"/>
                <w:color w:val="auto"/>
              </w:rPr>
              <w:t>工艺</w:t>
            </w:r>
          </w:p>
        </w:tc>
        <w:tc>
          <w:tcPr>
            <w:tcW w:w="398" w:type="pct"/>
            <w:vAlign w:val="center"/>
          </w:tcPr>
          <w:p w14:paraId="00E7ABDF">
            <w:pPr>
              <w:pStyle w:val="33"/>
              <w:rPr>
                <w:color w:val="auto"/>
              </w:rPr>
            </w:pPr>
            <w:r>
              <w:rPr>
                <w:rFonts w:hint="eastAsia"/>
                <w:color w:val="auto"/>
              </w:rPr>
              <w:t>建成情况</w:t>
            </w:r>
          </w:p>
        </w:tc>
      </w:tr>
      <w:tr w14:paraId="15B03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restart"/>
            <w:vAlign w:val="center"/>
          </w:tcPr>
          <w:p w14:paraId="294D4101">
            <w:pPr>
              <w:pStyle w:val="33"/>
              <w:rPr>
                <w:color w:val="auto"/>
              </w:rPr>
            </w:pPr>
            <w:r>
              <w:rPr>
                <w:rFonts w:hint="eastAsia"/>
                <w:color w:val="auto"/>
              </w:rPr>
              <w:t>1#污水处理站</w:t>
            </w:r>
          </w:p>
        </w:tc>
        <w:tc>
          <w:tcPr>
            <w:tcW w:w="997" w:type="pct"/>
            <w:vAlign w:val="center"/>
          </w:tcPr>
          <w:p w14:paraId="13C394AA">
            <w:pPr>
              <w:pStyle w:val="33"/>
              <w:rPr>
                <w:color w:val="auto"/>
              </w:rPr>
            </w:pPr>
            <w:r>
              <w:rPr>
                <w:rFonts w:hint="eastAsia"/>
                <w:color w:val="auto"/>
              </w:rPr>
              <w:t>60000</w:t>
            </w:r>
          </w:p>
        </w:tc>
        <w:tc>
          <w:tcPr>
            <w:tcW w:w="2355" w:type="pct"/>
            <w:vAlign w:val="center"/>
          </w:tcPr>
          <w:p w14:paraId="512AF44E">
            <w:pPr>
              <w:pStyle w:val="33"/>
              <w:rPr>
                <w:color w:val="auto"/>
              </w:rPr>
            </w:pPr>
            <w:r>
              <w:rPr>
                <w:rFonts w:hint="eastAsia"/>
                <w:color w:val="auto"/>
              </w:rPr>
              <w:t>“格栅+絮凝沉淀+SBR+Fenton氧化/高效浅层气浮”</w:t>
            </w:r>
          </w:p>
        </w:tc>
        <w:tc>
          <w:tcPr>
            <w:tcW w:w="398" w:type="pct"/>
            <w:vAlign w:val="center"/>
          </w:tcPr>
          <w:p w14:paraId="77EB372A">
            <w:pPr>
              <w:pStyle w:val="33"/>
              <w:rPr>
                <w:color w:val="auto"/>
              </w:rPr>
            </w:pPr>
            <w:r>
              <w:rPr>
                <w:rFonts w:hint="eastAsia"/>
                <w:color w:val="auto"/>
              </w:rPr>
              <w:t>已建</w:t>
            </w:r>
          </w:p>
        </w:tc>
      </w:tr>
      <w:tr w14:paraId="7B69D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Merge w:val="continue"/>
            <w:vAlign w:val="center"/>
          </w:tcPr>
          <w:p w14:paraId="4295C741">
            <w:pPr>
              <w:pStyle w:val="33"/>
              <w:rPr>
                <w:color w:val="auto"/>
              </w:rPr>
            </w:pPr>
          </w:p>
        </w:tc>
        <w:tc>
          <w:tcPr>
            <w:tcW w:w="997" w:type="pct"/>
            <w:vAlign w:val="center"/>
          </w:tcPr>
          <w:p w14:paraId="0709DDD0">
            <w:pPr>
              <w:pStyle w:val="33"/>
              <w:rPr>
                <w:color w:val="auto"/>
              </w:rPr>
            </w:pPr>
            <w:r>
              <w:rPr>
                <w:rFonts w:hint="eastAsia"/>
                <w:color w:val="auto"/>
              </w:rPr>
              <w:t>21000</w:t>
            </w:r>
          </w:p>
        </w:tc>
        <w:tc>
          <w:tcPr>
            <w:tcW w:w="2355" w:type="pct"/>
            <w:vAlign w:val="center"/>
          </w:tcPr>
          <w:p w14:paraId="208F15D5">
            <w:pPr>
              <w:pStyle w:val="33"/>
              <w:rPr>
                <w:color w:val="auto"/>
              </w:rPr>
            </w:pPr>
            <w:r>
              <w:rPr>
                <w:rFonts w:hint="eastAsia"/>
                <w:color w:val="auto"/>
              </w:rPr>
              <w:t>“格栅+气浮+絮凝沉淀+UMAR厌氧反应器+二级AO+Fenton氧化”</w:t>
            </w:r>
          </w:p>
        </w:tc>
        <w:tc>
          <w:tcPr>
            <w:tcW w:w="398" w:type="pct"/>
            <w:vAlign w:val="center"/>
          </w:tcPr>
          <w:p w14:paraId="2C4558BB">
            <w:pPr>
              <w:pStyle w:val="33"/>
              <w:rPr>
                <w:color w:val="auto"/>
              </w:rPr>
            </w:pPr>
            <w:r>
              <w:rPr>
                <w:rFonts w:hint="eastAsia"/>
                <w:color w:val="auto"/>
              </w:rPr>
              <w:t>已批在建</w:t>
            </w:r>
          </w:p>
        </w:tc>
      </w:tr>
      <w:tr w14:paraId="0FABD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2427AA3D">
            <w:pPr>
              <w:pStyle w:val="33"/>
              <w:rPr>
                <w:color w:val="auto"/>
              </w:rPr>
            </w:pPr>
            <w:r>
              <w:rPr>
                <w:rFonts w:hint="eastAsia"/>
                <w:color w:val="auto"/>
              </w:rPr>
              <w:t>2#污水处理站</w:t>
            </w:r>
          </w:p>
        </w:tc>
        <w:tc>
          <w:tcPr>
            <w:tcW w:w="997" w:type="pct"/>
            <w:vAlign w:val="center"/>
          </w:tcPr>
          <w:p w14:paraId="20BAA28E">
            <w:pPr>
              <w:pStyle w:val="33"/>
              <w:rPr>
                <w:color w:val="auto"/>
              </w:rPr>
            </w:pPr>
            <w:r>
              <w:rPr>
                <w:rFonts w:hint="eastAsia"/>
                <w:color w:val="auto"/>
              </w:rPr>
              <w:t>45000</w:t>
            </w:r>
          </w:p>
        </w:tc>
        <w:tc>
          <w:tcPr>
            <w:tcW w:w="2355" w:type="pct"/>
            <w:vAlign w:val="center"/>
          </w:tcPr>
          <w:p w14:paraId="32FAE47F">
            <w:pPr>
              <w:pStyle w:val="33"/>
              <w:rPr>
                <w:color w:val="auto"/>
              </w:rPr>
            </w:pPr>
            <w:r>
              <w:rPr>
                <w:rFonts w:hint="eastAsia"/>
                <w:color w:val="auto"/>
              </w:rPr>
              <w:t>“絮凝沉淀+A/O+混凝沉淀/芬顿工艺”</w:t>
            </w:r>
          </w:p>
        </w:tc>
        <w:tc>
          <w:tcPr>
            <w:tcW w:w="398" w:type="pct"/>
            <w:vAlign w:val="center"/>
          </w:tcPr>
          <w:p w14:paraId="5E1CBDD7">
            <w:pPr>
              <w:pStyle w:val="33"/>
              <w:rPr>
                <w:color w:val="auto"/>
              </w:rPr>
            </w:pPr>
            <w:r>
              <w:rPr>
                <w:rFonts w:hint="eastAsia"/>
                <w:color w:val="auto"/>
              </w:rPr>
              <w:t>已建</w:t>
            </w:r>
          </w:p>
        </w:tc>
      </w:tr>
      <w:tr w14:paraId="6EE0B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4F206EAF">
            <w:pPr>
              <w:pStyle w:val="33"/>
              <w:rPr>
                <w:color w:val="auto"/>
              </w:rPr>
            </w:pPr>
            <w:r>
              <w:rPr>
                <w:rFonts w:hint="eastAsia"/>
                <w:color w:val="auto"/>
              </w:rPr>
              <w:t>过氧化氢地埋式废水预处理设施</w:t>
            </w:r>
          </w:p>
        </w:tc>
        <w:tc>
          <w:tcPr>
            <w:tcW w:w="997" w:type="pct"/>
            <w:vAlign w:val="center"/>
          </w:tcPr>
          <w:p w14:paraId="2A42FEC6">
            <w:pPr>
              <w:pStyle w:val="33"/>
              <w:rPr>
                <w:color w:val="auto"/>
              </w:rPr>
            </w:pPr>
            <w:r>
              <w:rPr>
                <w:rFonts w:hint="eastAsia"/>
                <w:color w:val="auto"/>
              </w:rPr>
              <w:t>200</w:t>
            </w:r>
          </w:p>
        </w:tc>
        <w:tc>
          <w:tcPr>
            <w:tcW w:w="2355" w:type="pct"/>
            <w:vAlign w:val="center"/>
          </w:tcPr>
          <w:p w14:paraId="6734CB8B">
            <w:pPr>
              <w:pStyle w:val="33"/>
              <w:rPr>
                <w:color w:val="auto"/>
              </w:rPr>
            </w:pPr>
            <w:r>
              <w:rPr>
                <w:color w:val="auto"/>
                <w:spacing w:val="-1"/>
                <w:szCs w:val="21"/>
              </w:rPr>
              <w:t>“隔油</w:t>
            </w:r>
            <w:r>
              <w:rPr>
                <w:rFonts w:eastAsia="Times New Roman"/>
                <w:color w:val="auto"/>
                <w:spacing w:val="-1"/>
                <w:szCs w:val="21"/>
              </w:rPr>
              <w:t>+</w:t>
            </w:r>
            <w:r>
              <w:rPr>
                <w:color w:val="auto"/>
                <w:spacing w:val="-1"/>
                <w:szCs w:val="21"/>
              </w:rPr>
              <w:t>芬顿</w:t>
            </w:r>
            <w:r>
              <w:rPr>
                <w:rFonts w:eastAsia="Times New Roman"/>
                <w:color w:val="auto"/>
                <w:spacing w:val="-1"/>
                <w:szCs w:val="21"/>
              </w:rPr>
              <w:t>+</w:t>
            </w:r>
            <w:r>
              <w:rPr>
                <w:color w:val="auto"/>
                <w:spacing w:val="-1"/>
                <w:szCs w:val="21"/>
              </w:rPr>
              <w:t>絮凝沉淀”</w:t>
            </w:r>
          </w:p>
        </w:tc>
        <w:tc>
          <w:tcPr>
            <w:tcW w:w="398" w:type="pct"/>
            <w:vAlign w:val="center"/>
          </w:tcPr>
          <w:p w14:paraId="6F7176A0">
            <w:pPr>
              <w:pStyle w:val="33"/>
              <w:rPr>
                <w:color w:val="auto"/>
              </w:rPr>
            </w:pPr>
            <w:r>
              <w:rPr>
                <w:rFonts w:hint="eastAsia"/>
                <w:color w:val="auto"/>
              </w:rPr>
              <w:t>已建</w:t>
            </w:r>
          </w:p>
        </w:tc>
      </w:tr>
      <w:tr w14:paraId="3B05A7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3EE12DFD">
            <w:pPr>
              <w:pStyle w:val="33"/>
              <w:rPr>
                <w:color w:val="auto"/>
              </w:rPr>
            </w:pPr>
            <w:r>
              <w:rPr>
                <w:rFonts w:hint="eastAsia"/>
                <w:color w:val="auto"/>
              </w:rPr>
              <w:t>3#污水处理站</w:t>
            </w:r>
          </w:p>
        </w:tc>
        <w:tc>
          <w:tcPr>
            <w:tcW w:w="997" w:type="pct"/>
            <w:vAlign w:val="center"/>
          </w:tcPr>
          <w:p w14:paraId="5FAE273D">
            <w:pPr>
              <w:pStyle w:val="33"/>
              <w:rPr>
                <w:color w:val="auto"/>
              </w:rPr>
            </w:pPr>
            <w:r>
              <w:rPr>
                <w:rFonts w:hint="eastAsia"/>
                <w:color w:val="auto"/>
              </w:rPr>
              <w:t>20000</w:t>
            </w:r>
          </w:p>
        </w:tc>
        <w:tc>
          <w:tcPr>
            <w:tcW w:w="2355" w:type="pct"/>
            <w:vAlign w:val="center"/>
          </w:tcPr>
          <w:p w14:paraId="37243151">
            <w:pPr>
              <w:pStyle w:val="33"/>
              <w:rPr>
                <w:color w:val="auto"/>
              </w:rPr>
            </w:pPr>
            <w:r>
              <w:rPr>
                <w:rFonts w:hint="eastAsia"/>
                <w:color w:val="auto"/>
              </w:rPr>
              <w:t>“混凝沉淀+A/O+混凝沉淀”</w:t>
            </w:r>
          </w:p>
        </w:tc>
        <w:tc>
          <w:tcPr>
            <w:tcW w:w="398" w:type="pct"/>
            <w:vAlign w:val="center"/>
          </w:tcPr>
          <w:p w14:paraId="0284C852">
            <w:pPr>
              <w:pStyle w:val="33"/>
              <w:rPr>
                <w:color w:val="auto"/>
              </w:rPr>
            </w:pPr>
            <w:r>
              <w:rPr>
                <w:rFonts w:hint="eastAsia"/>
                <w:color w:val="auto"/>
              </w:rPr>
              <w:t>新建</w:t>
            </w:r>
          </w:p>
        </w:tc>
      </w:tr>
      <w:tr w14:paraId="08DEB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6300CF1C">
            <w:pPr>
              <w:pStyle w:val="33"/>
              <w:rPr>
                <w:color w:val="auto"/>
              </w:rPr>
            </w:pPr>
            <w:r>
              <w:rPr>
                <w:rFonts w:hint="eastAsia"/>
                <w:color w:val="auto"/>
              </w:rPr>
              <w:t>中水回用系统</w:t>
            </w:r>
          </w:p>
        </w:tc>
        <w:tc>
          <w:tcPr>
            <w:tcW w:w="997" w:type="pct"/>
            <w:vAlign w:val="center"/>
          </w:tcPr>
          <w:p w14:paraId="311640A9">
            <w:pPr>
              <w:pStyle w:val="33"/>
              <w:rPr>
                <w:color w:val="auto"/>
              </w:rPr>
            </w:pPr>
            <w:r>
              <w:rPr>
                <w:rFonts w:hint="eastAsia"/>
                <w:color w:val="auto"/>
              </w:rPr>
              <w:t>5000</w:t>
            </w:r>
          </w:p>
        </w:tc>
        <w:tc>
          <w:tcPr>
            <w:tcW w:w="2355" w:type="pct"/>
            <w:vAlign w:val="center"/>
          </w:tcPr>
          <w:p w14:paraId="3DBB64EB">
            <w:pPr>
              <w:pStyle w:val="33"/>
              <w:rPr>
                <w:color w:val="auto"/>
              </w:rPr>
            </w:pPr>
            <w:r>
              <w:rPr>
                <w:rFonts w:hint="eastAsia"/>
                <w:color w:val="auto"/>
                <w:spacing w:val="-2"/>
                <w:szCs w:val="21"/>
              </w:rPr>
              <w:t>“</w:t>
            </w:r>
            <w:r>
              <w:rPr>
                <w:color w:val="auto"/>
                <w:spacing w:val="-2"/>
                <w:szCs w:val="21"/>
              </w:rPr>
              <w:t>高密度澄清池</w:t>
            </w:r>
            <w:r>
              <w:rPr>
                <w:rFonts w:hint="eastAsia"/>
                <w:color w:val="auto"/>
                <w:spacing w:val="-2"/>
                <w:szCs w:val="21"/>
              </w:rPr>
              <w:t>+</w:t>
            </w:r>
            <w:r>
              <w:rPr>
                <w:color w:val="auto"/>
                <w:spacing w:val="-2"/>
                <w:szCs w:val="21"/>
              </w:rPr>
              <w:t>多介质过滤</w:t>
            </w:r>
            <w:r>
              <w:rPr>
                <w:rFonts w:hint="eastAsia"/>
                <w:color w:val="auto"/>
                <w:spacing w:val="-2"/>
                <w:szCs w:val="21"/>
              </w:rPr>
              <w:t>”</w:t>
            </w:r>
          </w:p>
        </w:tc>
        <w:tc>
          <w:tcPr>
            <w:tcW w:w="398" w:type="pct"/>
            <w:vAlign w:val="center"/>
          </w:tcPr>
          <w:p w14:paraId="591B56D3">
            <w:pPr>
              <w:pStyle w:val="33"/>
              <w:rPr>
                <w:color w:val="auto"/>
              </w:rPr>
            </w:pPr>
            <w:r>
              <w:rPr>
                <w:rFonts w:hint="eastAsia"/>
                <w:color w:val="auto"/>
              </w:rPr>
              <w:t>新建</w:t>
            </w:r>
          </w:p>
        </w:tc>
      </w:tr>
      <w:tr w14:paraId="78E63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49" w:type="pct"/>
            <w:vAlign w:val="center"/>
          </w:tcPr>
          <w:p w14:paraId="37FA65E9">
            <w:pPr>
              <w:pStyle w:val="33"/>
              <w:rPr>
                <w:color w:val="auto"/>
              </w:rPr>
            </w:pPr>
            <w:r>
              <w:rPr>
                <w:rFonts w:hint="eastAsia"/>
                <w:color w:val="auto"/>
              </w:rPr>
              <w:t>丁苯乳胶生产线污水处理站</w:t>
            </w:r>
          </w:p>
        </w:tc>
        <w:tc>
          <w:tcPr>
            <w:tcW w:w="997" w:type="pct"/>
            <w:vAlign w:val="center"/>
          </w:tcPr>
          <w:p w14:paraId="1C2460E1">
            <w:pPr>
              <w:pStyle w:val="33"/>
              <w:rPr>
                <w:color w:val="auto"/>
              </w:rPr>
            </w:pPr>
            <w:r>
              <w:rPr>
                <w:rFonts w:hint="eastAsia"/>
                <w:color w:val="auto"/>
              </w:rPr>
              <w:t>600</w:t>
            </w:r>
          </w:p>
        </w:tc>
        <w:tc>
          <w:tcPr>
            <w:tcW w:w="2355" w:type="pct"/>
            <w:vAlign w:val="center"/>
          </w:tcPr>
          <w:p w14:paraId="3AA56B49">
            <w:pPr>
              <w:pStyle w:val="33"/>
              <w:rPr>
                <w:color w:val="auto"/>
                <w:spacing w:val="-2"/>
                <w:szCs w:val="21"/>
              </w:rPr>
            </w:pPr>
            <w:r>
              <w:rPr>
                <w:rFonts w:hint="eastAsia"/>
                <w:color w:val="auto"/>
                <w:spacing w:val="-2"/>
                <w:szCs w:val="21"/>
              </w:rPr>
              <w:t>“调节+芬顿+厌氧+好氧+好氧生化+沉淀”</w:t>
            </w:r>
          </w:p>
        </w:tc>
        <w:tc>
          <w:tcPr>
            <w:tcW w:w="398" w:type="pct"/>
            <w:vAlign w:val="center"/>
          </w:tcPr>
          <w:p w14:paraId="7711974C">
            <w:pPr>
              <w:pStyle w:val="33"/>
              <w:rPr>
                <w:color w:val="auto"/>
              </w:rPr>
            </w:pPr>
            <w:r>
              <w:rPr>
                <w:rFonts w:hint="eastAsia"/>
                <w:color w:val="auto"/>
              </w:rPr>
              <w:t>在建</w:t>
            </w:r>
          </w:p>
        </w:tc>
      </w:tr>
    </w:tbl>
    <w:p w14:paraId="695B2275">
      <w:pPr>
        <w:ind w:firstLine="480"/>
        <w:rPr>
          <w:color w:val="auto"/>
        </w:rPr>
      </w:pPr>
      <w:r>
        <w:rPr>
          <w:rFonts w:hint="eastAsia"/>
          <w:color w:val="auto"/>
        </w:rPr>
        <w:t>项目新建</w:t>
      </w:r>
      <w:r>
        <w:rPr>
          <w:color w:val="auto"/>
        </w:rPr>
        <w:t>3#</w:t>
      </w:r>
      <w:r>
        <w:rPr>
          <w:rFonts w:hint="eastAsia"/>
          <w:color w:val="auto"/>
        </w:rPr>
        <w:t>污水处理站主要构筑物见下表，根据《制浆造纸废水治理工程技术规范》（</w:t>
      </w:r>
      <w:r>
        <w:rPr>
          <w:color w:val="auto"/>
        </w:rPr>
        <w:t>HJ2011-2012</w:t>
      </w:r>
      <w:r>
        <w:rPr>
          <w:rFonts w:hint="eastAsia"/>
          <w:color w:val="auto"/>
        </w:rPr>
        <w:t>）表</w:t>
      </w:r>
      <w:r>
        <w:rPr>
          <w:color w:val="auto"/>
        </w:rPr>
        <w:t>3</w:t>
      </w:r>
      <w:r>
        <w:rPr>
          <w:rFonts w:hint="eastAsia"/>
          <w:color w:val="auto"/>
        </w:rPr>
        <w:t>好氧生化单元主要工艺参数，</w:t>
      </w:r>
      <w:r>
        <w:rPr>
          <w:color w:val="auto"/>
        </w:rPr>
        <w:t>A/O</w:t>
      </w:r>
      <w:r>
        <w:rPr>
          <w:rFonts w:hint="eastAsia"/>
          <w:color w:val="auto"/>
        </w:rPr>
        <w:t>工艺容积负荷应该在</w:t>
      </w:r>
      <w:r>
        <w:rPr>
          <w:color w:val="auto"/>
        </w:rPr>
        <w:t>0.5-1.2kgCODcr/m</w:t>
      </w:r>
      <w:r>
        <w:rPr>
          <w:color w:val="auto"/>
          <w:vertAlign w:val="superscript"/>
        </w:rPr>
        <w:t>3</w:t>
      </w:r>
      <w:r>
        <w:rPr>
          <w:rFonts w:hint="eastAsia"/>
          <w:color w:val="auto"/>
        </w:rPr>
        <w:t>·</w:t>
      </w:r>
      <w:r>
        <w:rPr>
          <w:color w:val="auto"/>
        </w:rPr>
        <w:t>d</w:t>
      </w:r>
      <w:r>
        <w:rPr>
          <w:rFonts w:hint="eastAsia"/>
          <w:color w:val="auto"/>
        </w:rPr>
        <w:t>，项目好氧生化单元设计容积负荷为</w:t>
      </w:r>
      <w:r>
        <w:rPr>
          <w:color w:val="auto"/>
        </w:rPr>
        <w:t>0.864kgCODcr/m</w:t>
      </w:r>
      <w:r>
        <w:rPr>
          <w:color w:val="auto"/>
          <w:vertAlign w:val="superscript"/>
        </w:rPr>
        <w:t>3</w:t>
      </w:r>
      <w:r>
        <w:rPr>
          <w:rFonts w:hint="eastAsia"/>
          <w:color w:val="auto"/>
        </w:rPr>
        <w:t>·</w:t>
      </w:r>
      <w:r>
        <w:rPr>
          <w:color w:val="auto"/>
        </w:rPr>
        <w:t>d</w:t>
      </w:r>
      <w:r>
        <w:rPr>
          <w:rFonts w:hint="eastAsia"/>
          <w:color w:val="auto"/>
        </w:rPr>
        <w:t>。水力停留时间通常在</w:t>
      </w:r>
      <w:r>
        <w:rPr>
          <w:color w:val="auto"/>
        </w:rPr>
        <w:t>15-32h</w:t>
      </w:r>
      <w:r>
        <w:rPr>
          <w:rFonts w:hint="eastAsia"/>
          <w:color w:val="auto"/>
        </w:rPr>
        <w:t>，项目水力停留时间为</w:t>
      </w:r>
      <w:r>
        <w:rPr>
          <w:color w:val="auto"/>
        </w:rPr>
        <w:t>37.5h</w:t>
      </w:r>
      <w:r>
        <w:rPr>
          <w:rFonts w:hint="eastAsia"/>
          <w:color w:val="auto"/>
        </w:rPr>
        <w:t>。</w:t>
      </w:r>
    </w:p>
    <w:p w14:paraId="6845CEA0">
      <w:pPr>
        <w:pStyle w:val="7"/>
        <w:rPr>
          <w:color w:val="auto"/>
        </w:rPr>
      </w:pPr>
      <w:r>
        <w:rPr>
          <w:rFonts w:hint="eastAsia"/>
          <w:color w:val="auto"/>
        </w:rPr>
        <w:t>新建污水处理站废水处理主要建、构筑物表</w:t>
      </w:r>
    </w:p>
    <w:tbl>
      <w:tblPr>
        <w:tblStyle w:val="26"/>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1813"/>
        <w:gridCol w:w="2329"/>
        <w:gridCol w:w="801"/>
        <w:gridCol w:w="875"/>
        <w:gridCol w:w="2611"/>
      </w:tblGrid>
      <w:tr w14:paraId="3BB89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638" w:type="dxa"/>
            <w:tcMar>
              <w:left w:w="0" w:type="dxa"/>
              <w:right w:w="0" w:type="dxa"/>
            </w:tcMar>
            <w:vAlign w:val="center"/>
          </w:tcPr>
          <w:p w14:paraId="5914AE15">
            <w:pPr>
              <w:pStyle w:val="33"/>
              <w:rPr>
                <w:color w:val="auto"/>
              </w:rPr>
            </w:pPr>
            <w:r>
              <w:rPr>
                <w:rFonts w:hint="eastAsia"/>
                <w:color w:val="auto"/>
              </w:rPr>
              <w:t>序号</w:t>
            </w:r>
          </w:p>
        </w:tc>
        <w:tc>
          <w:tcPr>
            <w:tcW w:w="1813" w:type="dxa"/>
            <w:tcMar>
              <w:left w:w="0" w:type="dxa"/>
              <w:right w:w="0" w:type="dxa"/>
            </w:tcMar>
            <w:vAlign w:val="center"/>
          </w:tcPr>
          <w:p w14:paraId="0967534B">
            <w:pPr>
              <w:pStyle w:val="33"/>
              <w:rPr>
                <w:color w:val="auto"/>
              </w:rPr>
            </w:pPr>
            <w:r>
              <w:rPr>
                <w:rFonts w:hint="eastAsia"/>
                <w:color w:val="auto"/>
              </w:rPr>
              <w:t>名称</w:t>
            </w:r>
          </w:p>
        </w:tc>
        <w:tc>
          <w:tcPr>
            <w:tcW w:w="2329" w:type="dxa"/>
            <w:tcMar>
              <w:left w:w="0" w:type="dxa"/>
              <w:right w:w="0" w:type="dxa"/>
            </w:tcMar>
            <w:vAlign w:val="center"/>
          </w:tcPr>
          <w:p w14:paraId="5BF31ACB">
            <w:pPr>
              <w:pStyle w:val="33"/>
              <w:rPr>
                <w:color w:val="auto"/>
              </w:rPr>
            </w:pPr>
            <w:r>
              <w:rPr>
                <w:rFonts w:hint="eastAsia"/>
                <w:color w:val="auto"/>
              </w:rPr>
              <w:t>平面尺寸</w:t>
            </w:r>
          </w:p>
        </w:tc>
        <w:tc>
          <w:tcPr>
            <w:tcW w:w="801" w:type="dxa"/>
            <w:tcMar>
              <w:left w:w="0" w:type="dxa"/>
              <w:right w:w="0" w:type="dxa"/>
            </w:tcMar>
            <w:vAlign w:val="center"/>
          </w:tcPr>
          <w:p w14:paraId="1857C094">
            <w:pPr>
              <w:pStyle w:val="33"/>
              <w:rPr>
                <w:color w:val="auto"/>
              </w:rPr>
            </w:pPr>
            <w:r>
              <w:rPr>
                <w:rFonts w:hint="eastAsia"/>
                <w:color w:val="auto"/>
              </w:rPr>
              <w:t>单位</w:t>
            </w:r>
          </w:p>
        </w:tc>
        <w:tc>
          <w:tcPr>
            <w:tcW w:w="875" w:type="dxa"/>
            <w:tcMar>
              <w:left w:w="0" w:type="dxa"/>
              <w:right w:w="0" w:type="dxa"/>
            </w:tcMar>
            <w:vAlign w:val="center"/>
          </w:tcPr>
          <w:p w14:paraId="7983B7A4">
            <w:pPr>
              <w:pStyle w:val="33"/>
              <w:rPr>
                <w:color w:val="auto"/>
              </w:rPr>
            </w:pPr>
            <w:r>
              <w:rPr>
                <w:rFonts w:hint="eastAsia"/>
                <w:color w:val="auto"/>
              </w:rPr>
              <w:t>数量</w:t>
            </w:r>
          </w:p>
        </w:tc>
        <w:tc>
          <w:tcPr>
            <w:tcW w:w="2611" w:type="dxa"/>
            <w:tcMar>
              <w:left w:w="0" w:type="dxa"/>
              <w:right w:w="0" w:type="dxa"/>
            </w:tcMar>
            <w:vAlign w:val="center"/>
          </w:tcPr>
          <w:p w14:paraId="4D291287">
            <w:pPr>
              <w:pStyle w:val="33"/>
              <w:rPr>
                <w:color w:val="auto"/>
              </w:rPr>
            </w:pPr>
            <w:r>
              <w:rPr>
                <w:rFonts w:hint="eastAsia"/>
                <w:color w:val="auto"/>
              </w:rPr>
              <w:t>结构特征</w:t>
            </w:r>
          </w:p>
        </w:tc>
      </w:tr>
      <w:tr w14:paraId="705BA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38" w:type="dxa"/>
            <w:tcMar>
              <w:left w:w="0" w:type="dxa"/>
              <w:right w:w="0" w:type="dxa"/>
            </w:tcMar>
            <w:vAlign w:val="center"/>
          </w:tcPr>
          <w:p w14:paraId="33F65E4F">
            <w:pPr>
              <w:pStyle w:val="33"/>
              <w:rPr>
                <w:color w:val="auto"/>
              </w:rPr>
            </w:pPr>
            <w:r>
              <w:rPr>
                <w:color w:val="auto"/>
              </w:rPr>
              <w:t>1</w:t>
            </w:r>
          </w:p>
        </w:tc>
        <w:tc>
          <w:tcPr>
            <w:tcW w:w="1813" w:type="dxa"/>
            <w:tcMar>
              <w:left w:w="0" w:type="dxa"/>
              <w:right w:w="0" w:type="dxa"/>
            </w:tcMar>
            <w:vAlign w:val="center"/>
          </w:tcPr>
          <w:p w14:paraId="0D8CD98A">
            <w:pPr>
              <w:pStyle w:val="33"/>
              <w:rPr>
                <w:color w:val="auto"/>
              </w:rPr>
            </w:pPr>
            <w:r>
              <w:rPr>
                <w:rFonts w:hint="eastAsia"/>
                <w:color w:val="auto"/>
              </w:rPr>
              <w:t>集水池</w:t>
            </w:r>
            <w:r>
              <w:rPr>
                <w:color w:val="auto"/>
              </w:rPr>
              <w:t>+</w:t>
            </w:r>
            <w:r>
              <w:rPr>
                <w:rFonts w:hint="eastAsia"/>
                <w:color w:val="auto"/>
              </w:rPr>
              <w:t>斜网间</w:t>
            </w:r>
          </w:p>
        </w:tc>
        <w:tc>
          <w:tcPr>
            <w:tcW w:w="2329" w:type="dxa"/>
            <w:tcMar>
              <w:left w:w="0" w:type="dxa"/>
              <w:right w:w="0" w:type="dxa"/>
            </w:tcMar>
            <w:vAlign w:val="center"/>
          </w:tcPr>
          <w:p w14:paraId="6F8238A1">
            <w:pPr>
              <w:pStyle w:val="33"/>
              <w:rPr>
                <w:color w:val="auto"/>
              </w:rPr>
            </w:pPr>
            <w:r>
              <w:rPr>
                <w:color w:val="auto"/>
              </w:rPr>
              <w:t>40m</w:t>
            </w:r>
            <w:r>
              <w:rPr>
                <w:rFonts w:hint="eastAsia"/>
                <w:color w:val="auto"/>
              </w:rPr>
              <w:t>×</w:t>
            </w:r>
            <w:r>
              <w:rPr>
                <w:color w:val="auto"/>
              </w:rPr>
              <w:t>19m</w:t>
            </w:r>
            <w:r>
              <w:rPr>
                <w:rFonts w:hint="eastAsia"/>
                <w:color w:val="auto"/>
              </w:rPr>
              <w:t>×</w:t>
            </w:r>
            <w:r>
              <w:rPr>
                <w:color w:val="auto"/>
              </w:rPr>
              <w:t>16m</w:t>
            </w:r>
          </w:p>
        </w:tc>
        <w:tc>
          <w:tcPr>
            <w:tcW w:w="801" w:type="dxa"/>
            <w:tcMar>
              <w:left w:w="0" w:type="dxa"/>
              <w:right w:w="0" w:type="dxa"/>
            </w:tcMar>
            <w:vAlign w:val="center"/>
          </w:tcPr>
          <w:p w14:paraId="71C36CD9">
            <w:pPr>
              <w:pStyle w:val="33"/>
              <w:rPr>
                <w:color w:val="auto"/>
              </w:rPr>
            </w:pPr>
            <w:r>
              <w:rPr>
                <w:rFonts w:hint="eastAsia"/>
                <w:color w:val="auto"/>
              </w:rPr>
              <w:t>座</w:t>
            </w:r>
          </w:p>
        </w:tc>
        <w:tc>
          <w:tcPr>
            <w:tcW w:w="875" w:type="dxa"/>
            <w:tcMar>
              <w:left w:w="0" w:type="dxa"/>
              <w:right w:w="0" w:type="dxa"/>
            </w:tcMar>
            <w:vAlign w:val="center"/>
          </w:tcPr>
          <w:p w14:paraId="7133C47A">
            <w:pPr>
              <w:pStyle w:val="33"/>
              <w:rPr>
                <w:color w:val="auto"/>
              </w:rPr>
            </w:pPr>
            <w:r>
              <w:rPr>
                <w:color w:val="auto"/>
              </w:rPr>
              <w:t>1</w:t>
            </w:r>
          </w:p>
        </w:tc>
        <w:tc>
          <w:tcPr>
            <w:tcW w:w="2611" w:type="dxa"/>
            <w:tcMar>
              <w:left w:w="0" w:type="dxa"/>
              <w:right w:w="0" w:type="dxa"/>
            </w:tcMar>
            <w:vAlign w:val="center"/>
          </w:tcPr>
          <w:p w14:paraId="6A058211">
            <w:pPr>
              <w:pStyle w:val="33"/>
              <w:rPr>
                <w:color w:val="auto"/>
              </w:rPr>
            </w:pPr>
            <w:r>
              <w:rPr>
                <w:rFonts w:hint="eastAsia"/>
                <w:color w:val="auto"/>
              </w:rPr>
              <w:t>地下为砼水池，地上为框架结构</w:t>
            </w:r>
          </w:p>
        </w:tc>
      </w:tr>
      <w:tr w14:paraId="1DA7D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638" w:type="dxa"/>
            <w:tcMar>
              <w:left w:w="0" w:type="dxa"/>
              <w:right w:w="0" w:type="dxa"/>
            </w:tcMar>
            <w:vAlign w:val="center"/>
          </w:tcPr>
          <w:p w14:paraId="0769BBDE">
            <w:pPr>
              <w:pStyle w:val="33"/>
              <w:rPr>
                <w:color w:val="auto"/>
              </w:rPr>
            </w:pPr>
            <w:r>
              <w:rPr>
                <w:color w:val="auto"/>
              </w:rPr>
              <w:t>2</w:t>
            </w:r>
          </w:p>
        </w:tc>
        <w:tc>
          <w:tcPr>
            <w:tcW w:w="1813" w:type="dxa"/>
            <w:tcMar>
              <w:left w:w="0" w:type="dxa"/>
              <w:right w:w="0" w:type="dxa"/>
            </w:tcMar>
            <w:vAlign w:val="center"/>
          </w:tcPr>
          <w:p w14:paraId="7E58F31C">
            <w:pPr>
              <w:pStyle w:val="33"/>
              <w:rPr>
                <w:color w:val="auto"/>
              </w:rPr>
            </w:pPr>
            <w:r>
              <w:rPr>
                <w:rFonts w:hint="eastAsia"/>
                <w:color w:val="auto"/>
              </w:rPr>
              <w:t>初沉池</w:t>
            </w:r>
          </w:p>
        </w:tc>
        <w:tc>
          <w:tcPr>
            <w:tcW w:w="2329" w:type="dxa"/>
            <w:tcMar>
              <w:left w:w="0" w:type="dxa"/>
              <w:right w:w="0" w:type="dxa"/>
            </w:tcMar>
            <w:vAlign w:val="center"/>
          </w:tcPr>
          <w:p w14:paraId="3573739B">
            <w:pPr>
              <w:pStyle w:val="33"/>
              <w:rPr>
                <w:color w:val="auto"/>
              </w:rPr>
            </w:pPr>
            <w:r>
              <w:rPr>
                <w:rFonts w:hint="eastAsia"/>
                <w:color w:val="auto"/>
              </w:rPr>
              <w:t>Φ</w:t>
            </w:r>
            <w:r>
              <w:rPr>
                <w:color w:val="auto"/>
              </w:rPr>
              <w:t>38m H=4.0m</w:t>
            </w:r>
          </w:p>
        </w:tc>
        <w:tc>
          <w:tcPr>
            <w:tcW w:w="801" w:type="dxa"/>
            <w:tcMar>
              <w:left w:w="0" w:type="dxa"/>
              <w:right w:w="0" w:type="dxa"/>
            </w:tcMar>
            <w:vAlign w:val="center"/>
          </w:tcPr>
          <w:p w14:paraId="2926D3A8">
            <w:pPr>
              <w:pStyle w:val="33"/>
              <w:rPr>
                <w:color w:val="auto"/>
              </w:rPr>
            </w:pPr>
            <w:r>
              <w:rPr>
                <w:rFonts w:hint="eastAsia"/>
                <w:color w:val="auto"/>
              </w:rPr>
              <w:t>座</w:t>
            </w:r>
          </w:p>
        </w:tc>
        <w:tc>
          <w:tcPr>
            <w:tcW w:w="875" w:type="dxa"/>
            <w:tcMar>
              <w:left w:w="0" w:type="dxa"/>
              <w:right w:w="0" w:type="dxa"/>
            </w:tcMar>
            <w:vAlign w:val="center"/>
          </w:tcPr>
          <w:p w14:paraId="51929F69">
            <w:pPr>
              <w:pStyle w:val="33"/>
              <w:rPr>
                <w:color w:val="auto"/>
              </w:rPr>
            </w:pPr>
            <w:r>
              <w:rPr>
                <w:color w:val="auto"/>
              </w:rPr>
              <w:t>1</w:t>
            </w:r>
          </w:p>
        </w:tc>
        <w:tc>
          <w:tcPr>
            <w:tcW w:w="2611" w:type="dxa"/>
            <w:tcMar>
              <w:left w:w="0" w:type="dxa"/>
              <w:right w:w="0" w:type="dxa"/>
            </w:tcMar>
            <w:vAlign w:val="center"/>
          </w:tcPr>
          <w:p w14:paraId="00FA4EA6">
            <w:pPr>
              <w:pStyle w:val="33"/>
              <w:rPr>
                <w:color w:val="auto"/>
              </w:rPr>
            </w:pPr>
            <w:r>
              <w:rPr>
                <w:rFonts w:hint="eastAsia"/>
                <w:color w:val="auto"/>
              </w:rPr>
              <w:t>砼水池</w:t>
            </w:r>
          </w:p>
        </w:tc>
      </w:tr>
      <w:tr w14:paraId="7E1A2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8" w:type="dxa"/>
            <w:tcMar>
              <w:left w:w="0" w:type="dxa"/>
              <w:right w:w="0" w:type="dxa"/>
            </w:tcMar>
            <w:vAlign w:val="center"/>
          </w:tcPr>
          <w:p w14:paraId="4C2561D3">
            <w:pPr>
              <w:pStyle w:val="33"/>
              <w:rPr>
                <w:color w:val="auto"/>
              </w:rPr>
            </w:pPr>
            <w:r>
              <w:rPr>
                <w:color w:val="auto"/>
              </w:rPr>
              <w:t>3</w:t>
            </w:r>
          </w:p>
        </w:tc>
        <w:tc>
          <w:tcPr>
            <w:tcW w:w="1813" w:type="dxa"/>
            <w:tcMar>
              <w:left w:w="0" w:type="dxa"/>
              <w:right w:w="0" w:type="dxa"/>
            </w:tcMar>
            <w:vAlign w:val="center"/>
          </w:tcPr>
          <w:p w14:paraId="5126A80A">
            <w:pPr>
              <w:pStyle w:val="33"/>
              <w:rPr>
                <w:color w:val="auto"/>
              </w:rPr>
            </w:pPr>
            <w:r>
              <w:rPr>
                <w:rFonts w:hint="eastAsia"/>
                <w:color w:val="auto"/>
              </w:rPr>
              <w:t>曝气池</w:t>
            </w:r>
          </w:p>
        </w:tc>
        <w:tc>
          <w:tcPr>
            <w:tcW w:w="2329" w:type="dxa"/>
            <w:tcMar>
              <w:left w:w="0" w:type="dxa"/>
              <w:right w:w="0" w:type="dxa"/>
            </w:tcMar>
            <w:vAlign w:val="center"/>
          </w:tcPr>
          <w:p w14:paraId="53097B9F">
            <w:pPr>
              <w:pStyle w:val="33"/>
              <w:rPr>
                <w:color w:val="auto"/>
              </w:rPr>
            </w:pPr>
            <w:r>
              <w:rPr>
                <w:color w:val="auto"/>
              </w:rPr>
              <w:t>85m</w:t>
            </w:r>
            <w:r>
              <w:rPr>
                <w:rFonts w:hint="eastAsia"/>
                <w:color w:val="auto"/>
              </w:rPr>
              <w:t>×</w:t>
            </w:r>
            <w:r>
              <w:rPr>
                <w:color w:val="auto"/>
              </w:rPr>
              <w:t>46m</w:t>
            </w:r>
            <w:r>
              <w:rPr>
                <w:rFonts w:hint="eastAsia"/>
                <w:color w:val="auto"/>
              </w:rPr>
              <w:t>×</w:t>
            </w:r>
            <w:r>
              <w:rPr>
                <w:color w:val="auto"/>
              </w:rPr>
              <w:t>9m(</w:t>
            </w:r>
            <w:r>
              <w:rPr>
                <w:rFonts w:hint="eastAsia"/>
                <w:color w:val="auto"/>
              </w:rPr>
              <w:t>水深</w:t>
            </w:r>
            <w:r>
              <w:rPr>
                <w:color w:val="auto"/>
              </w:rPr>
              <w:t>8m)</w:t>
            </w:r>
          </w:p>
        </w:tc>
        <w:tc>
          <w:tcPr>
            <w:tcW w:w="801" w:type="dxa"/>
            <w:tcMar>
              <w:left w:w="0" w:type="dxa"/>
              <w:right w:w="0" w:type="dxa"/>
            </w:tcMar>
            <w:vAlign w:val="center"/>
          </w:tcPr>
          <w:p w14:paraId="2DD8637F">
            <w:pPr>
              <w:pStyle w:val="33"/>
              <w:rPr>
                <w:color w:val="auto"/>
              </w:rPr>
            </w:pPr>
            <w:r>
              <w:rPr>
                <w:rFonts w:hint="eastAsia"/>
                <w:color w:val="auto"/>
              </w:rPr>
              <w:t>座</w:t>
            </w:r>
          </w:p>
        </w:tc>
        <w:tc>
          <w:tcPr>
            <w:tcW w:w="875" w:type="dxa"/>
            <w:tcMar>
              <w:left w:w="0" w:type="dxa"/>
              <w:right w:w="0" w:type="dxa"/>
            </w:tcMar>
            <w:vAlign w:val="center"/>
          </w:tcPr>
          <w:p w14:paraId="616DC5B8">
            <w:pPr>
              <w:pStyle w:val="33"/>
              <w:rPr>
                <w:color w:val="auto"/>
              </w:rPr>
            </w:pPr>
            <w:r>
              <w:rPr>
                <w:color w:val="auto"/>
              </w:rPr>
              <w:t>1</w:t>
            </w:r>
          </w:p>
        </w:tc>
        <w:tc>
          <w:tcPr>
            <w:tcW w:w="2611" w:type="dxa"/>
            <w:tcMar>
              <w:left w:w="0" w:type="dxa"/>
              <w:right w:w="0" w:type="dxa"/>
            </w:tcMar>
            <w:vAlign w:val="center"/>
          </w:tcPr>
          <w:p w14:paraId="4B4701BB">
            <w:pPr>
              <w:pStyle w:val="33"/>
              <w:rPr>
                <w:color w:val="auto"/>
              </w:rPr>
            </w:pPr>
            <w:r>
              <w:rPr>
                <w:rFonts w:hint="eastAsia"/>
                <w:color w:val="auto"/>
              </w:rPr>
              <w:t>砼水池，停留时间</w:t>
            </w:r>
            <w:r>
              <w:rPr>
                <w:color w:val="auto"/>
              </w:rPr>
              <w:t>37.5hr</w:t>
            </w:r>
          </w:p>
        </w:tc>
      </w:tr>
      <w:tr w14:paraId="7C497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638" w:type="dxa"/>
            <w:tcMar>
              <w:left w:w="0" w:type="dxa"/>
              <w:right w:w="0" w:type="dxa"/>
            </w:tcMar>
            <w:vAlign w:val="center"/>
          </w:tcPr>
          <w:p w14:paraId="4D47445F">
            <w:pPr>
              <w:pStyle w:val="33"/>
              <w:rPr>
                <w:color w:val="auto"/>
              </w:rPr>
            </w:pPr>
            <w:r>
              <w:rPr>
                <w:color w:val="auto"/>
              </w:rPr>
              <w:t>4</w:t>
            </w:r>
          </w:p>
        </w:tc>
        <w:tc>
          <w:tcPr>
            <w:tcW w:w="1813" w:type="dxa"/>
            <w:tcMar>
              <w:left w:w="0" w:type="dxa"/>
              <w:right w:w="0" w:type="dxa"/>
            </w:tcMar>
            <w:vAlign w:val="center"/>
          </w:tcPr>
          <w:p w14:paraId="4216D30B">
            <w:pPr>
              <w:pStyle w:val="33"/>
              <w:rPr>
                <w:color w:val="auto"/>
              </w:rPr>
            </w:pPr>
            <w:r>
              <w:rPr>
                <w:rFonts w:hint="eastAsia"/>
                <w:color w:val="auto"/>
              </w:rPr>
              <w:t>二沉池</w:t>
            </w:r>
          </w:p>
        </w:tc>
        <w:tc>
          <w:tcPr>
            <w:tcW w:w="2329" w:type="dxa"/>
            <w:tcMar>
              <w:left w:w="0" w:type="dxa"/>
              <w:right w:w="0" w:type="dxa"/>
            </w:tcMar>
            <w:vAlign w:val="center"/>
          </w:tcPr>
          <w:p w14:paraId="00AB215F">
            <w:pPr>
              <w:pStyle w:val="33"/>
              <w:rPr>
                <w:color w:val="auto"/>
              </w:rPr>
            </w:pPr>
            <w:r>
              <w:rPr>
                <w:rFonts w:hint="eastAsia"/>
                <w:color w:val="auto"/>
              </w:rPr>
              <w:t>Φ</w:t>
            </w:r>
            <w:r>
              <w:rPr>
                <w:color w:val="auto"/>
              </w:rPr>
              <w:t>46m H=4.0m</w:t>
            </w:r>
          </w:p>
        </w:tc>
        <w:tc>
          <w:tcPr>
            <w:tcW w:w="801" w:type="dxa"/>
            <w:tcMar>
              <w:left w:w="0" w:type="dxa"/>
              <w:right w:w="0" w:type="dxa"/>
            </w:tcMar>
            <w:vAlign w:val="center"/>
          </w:tcPr>
          <w:p w14:paraId="402BDADB">
            <w:pPr>
              <w:pStyle w:val="33"/>
              <w:rPr>
                <w:color w:val="auto"/>
              </w:rPr>
            </w:pPr>
            <w:r>
              <w:rPr>
                <w:rFonts w:hint="eastAsia"/>
                <w:color w:val="auto"/>
              </w:rPr>
              <w:t>座</w:t>
            </w:r>
          </w:p>
        </w:tc>
        <w:tc>
          <w:tcPr>
            <w:tcW w:w="875" w:type="dxa"/>
            <w:tcMar>
              <w:left w:w="0" w:type="dxa"/>
              <w:right w:w="0" w:type="dxa"/>
            </w:tcMar>
            <w:vAlign w:val="center"/>
          </w:tcPr>
          <w:p w14:paraId="6D77D6E1">
            <w:pPr>
              <w:pStyle w:val="33"/>
              <w:rPr>
                <w:color w:val="auto"/>
              </w:rPr>
            </w:pPr>
            <w:r>
              <w:rPr>
                <w:color w:val="auto"/>
              </w:rPr>
              <w:t>1</w:t>
            </w:r>
          </w:p>
        </w:tc>
        <w:tc>
          <w:tcPr>
            <w:tcW w:w="2611" w:type="dxa"/>
            <w:tcMar>
              <w:left w:w="0" w:type="dxa"/>
              <w:right w:w="0" w:type="dxa"/>
            </w:tcMar>
            <w:vAlign w:val="center"/>
          </w:tcPr>
          <w:p w14:paraId="297B5A72">
            <w:pPr>
              <w:pStyle w:val="33"/>
              <w:rPr>
                <w:color w:val="auto"/>
              </w:rPr>
            </w:pPr>
            <w:r>
              <w:rPr>
                <w:rFonts w:hint="eastAsia"/>
                <w:color w:val="auto"/>
              </w:rPr>
              <w:t>砼水池</w:t>
            </w:r>
          </w:p>
        </w:tc>
      </w:tr>
      <w:tr w14:paraId="71E1C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2AB4463A">
            <w:pPr>
              <w:pStyle w:val="33"/>
              <w:rPr>
                <w:color w:val="auto"/>
              </w:rPr>
            </w:pPr>
            <w:r>
              <w:rPr>
                <w:color w:val="auto"/>
              </w:rPr>
              <w:t>5</w:t>
            </w:r>
          </w:p>
        </w:tc>
        <w:tc>
          <w:tcPr>
            <w:tcW w:w="1813" w:type="dxa"/>
            <w:tcMar>
              <w:left w:w="0" w:type="dxa"/>
              <w:right w:w="0" w:type="dxa"/>
            </w:tcMar>
            <w:vAlign w:val="center"/>
          </w:tcPr>
          <w:p w14:paraId="60F6D70A">
            <w:pPr>
              <w:pStyle w:val="33"/>
              <w:rPr>
                <w:color w:val="auto"/>
              </w:rPr>
            </w:pPr>
            <w:r>
              <w:rPr>
                <w:rFonts w:hint="eastAsia"/>
                <w:color w:val="auto"/>
              </w:rPr>
              <w:t>混凝反应池</w:t>
            </w:r>
          </w:p>
        </w:tc>
        <w:tc>
          <w:tcPr>
            <w:tcW w:w="2329" w:type="dxa"/>
            <w:tcMar>
              <w:left w:w="0" w:type="dxa"/>
              <w:right w:w="0" w:type="dxa"/>
            </w:tcMar>
            <w:vAlign w:val="center"/>
          </w:tcPr>
          <w:p w14:paraId="78A48EC5">
            <w:pPr>
              <w:pStyle w:val="33"/>
              <w:rPr>
                <w:color w:val="auto"/>
              </w:rPr>
            </w:pPr>
            <w:r>
              <w:rPr>
                <w:color w:val="auto"/>
              </w:rPr>
              <w:t>14</w:t>
            </w:r>
            <w:r>
              <w:rPr>
                <w:rFonts w:hint="eastAsia"/>
                <w:color w:val="auto"/>
              </w:rPr>
              <w:t>×</w:t>
            </w:r>
            <w:r>
              <w:rPr>
                <w:color w:val="auto"/>
              </w:rPr>
              <w:t>4.5</w:t>
            </w:r>
            <w:r>
              <w:rPr>
                <w:rFonts w:hint="eastAsia"/>
                <w:color w:val="auto"/>
              </w:rPr>
              <w:t>×</w:t>
            </w:r>
            <w:r>
              <w:rPr>
                <w:color w:val="auto"/>
              </w:rPr>
              <w:t>4.8m</w:t>
            </w:r>
          </w:p>
        </w:tc>
        <w:tc>
          <w:tcPr>
            <w:tcW w:w="801" w:type="dxa"/>
            <w:tcMar>
              <w:left w:w="0" w:type="dxa"/>
              <w:right w:w="0" w:type="dxa"/>
            </w:tcMar>
            <w:vAlign w:val="center"/>
          </w:tcPr>
          <w:p w14:paraId="5C060A3C">
            <w:pPr>
              <w:pStyle w:val="33"/>
              <w:rPr>
                <w:color w:val="auto"/>
              </w:rPr>
            </w:pPr>
            <w:r>
              <w:rPr>
                <w:rFonts w:hint="eastAsia"/>
                <w:color w:val="auto"/>
              </w:rPr>
              <w:t>座</w:t>
            </w:r>
          </w:p>
        </w:tc>
        <w:tc>
          <w:tcPr>
            <w:tcW w:w="875" w:type="dxa"/>
            <w:tcMar>
              <w:left w:w="0" w:type="dxa"/>
              <w:right w:w="0" w:type="dxa"/>
            </w:tcMar>
            <w:vAlign w:val="center"/>
          </w:tcPr>
          <w:p w14:paraId="6EC38493">
            <w:pPr>
              <w:pStyle w:val="33"/>
              <w:rPr>
                <w:color w:val="auto"/>
              </w:rPr>
            </w:pPr>
            <w:r>
              <w:rPr>
                <w:color w:val="auto"/>
              </w:rPr>
              <w:t>1</w:t>
            </w:r>
          </w:p>
        </w:tc>
        <w:tc>
          <w:tcPr>
            <w:tcW w:w="2611" w:type="dxa"/>
            <w:tcMar>
              <w:left w:w="0" w:type="dxa"/>
              <w:right w:w="0" w:type="dxa"/>
            </w:tcMar>
            <w:vAlign w:val="center"/>
          </w:tcPr>
          <w:p w14:paraId="5DC1E101">
            <w:pPr>
              <w:pStyle w:val="33"/>
              <w:rPr>
                <w:color w:val="auto"/>
              </w:rPr>
            </w:pPr>
            <w:r>
              <w:rPr>
                <w:rFonts w:hint="eastAsia"/>
                <w:color w:val="auto"/>
              </w:rPr>
              <w:t>砼水池</w:t>
            </w:r>
          </w:p>
        </w:tc>
      </w:tr>
      <w:tr w14:paraId="1DD55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7DE4B162">
            <w:pPr>
              <w:pStyle w:val="33"/>
              <w:rPr>
                <w:color w:val="auto"/>
              </w:rPr>
            </w:pPr>
            <w:r>
              <w:rPr>
                <w:color w:val="auto"/>
              </w:rPr>
              <w:t>6</w:t>
            </w:r>
          </w:p>
        </w:tc>
        <w:tc>
          <w:tcPr>
            <w:tcW w:w="1813" w:type="dxa"/>
            <w:tcMar>
              <w:left w:w="0" w:type="dxa"/>
              <w:right w:w="0" w:type="dxa"/>
            </w:tcMar>
            <w:vAlign w:val="center"/>
          </w:tcPr>
          <w:p w14:paraId="497605CC">
            <w:pPr>
              <w:pStyle w:val="33"/>
              <w:rPr>
                <w:color w:val="auto"/>
              </w:rPr>
            </w:pPr>
            <w:r>
              <w:rPr>
                <w:rFonts w:hint="eastAsia"/>
                <w:color w:val="auto"/>
              </w:rPr>
              <w:t>终沉池</w:t>
            </w:r>
          </w:p>
        </w:tc>
        <w:tc>
          <w:tcPr>
            <w:tcW w:w="2329" w:type="dxa"/>
            <w:tcMar>
              <w:left w:w="0" w:type="dxa"/>
              <w:right w:w="0" w:type="dxa"/>
            </w:tcMar>
            <w:vAlign w:val="center"/>
          </w:tcPr>
          <w:p w14:paraId="4FC92D10">
            <w:pPr>
              <w:pStyle w:val="33"/>
              <w:rPr>
                <w:color w:val="auto"/>
              </w:rPr>
            </w:pPr>
            <w:r>
              <w:rPr>
                <w:rFonts w:hint="eastAsia"/>
                <w:color w:val="auto"/>
              </w:rPr>
              <w:t>Φ</w:t>
            </w:r>
            <w:r>
              <w:rPr>
                <w:color w:val="auto"/>
              </w:rPr>
              <w:t>38m H=4.0m</w:t>
            </w:r>
          </w:p>
        </w:tc>
        <w:tc>
          <w:tcPr>
            <w:tcW w:w="801" w:type="dxa"/>
            <w:tcMar>
              <w:left w:w="0" w:type="dxa"/>
              <w:right w:w="0" w:type="dxa"/>
            </w:tcMar>
            <w:vAlign w:val="center"/>
          </w:tcPr>
          <w:p w14:paraId="73D2A35D">
            <w:pPr>
              <w:pStyle w:val="33"/>
              <w:rPr>
                <w:color w:val="auto"/>
              </w:rPr>
            </w:pPr>
            <w:r>
              <w:rPr>
                <w:rFonts w:hint="eastAsia"/>
                <w:color w:val="auto"/>
              </w:rPr>
              <w:t>座</w:t>
            </w:r>
          </w:p>
        </w:tc>
        <w:tc>
          <w:tcPr>
            <w:tcW w:w="875" w:type="dxa"/>
            <w:tcMar>
              <w:left w:w="0" w:type="dxa"/>
              <w:right w:w="0" w:type="dxa"/>
            </w:tcMar>
            <w:vAlign w:val="center"/>
          </w:tcPr>
          <w:p w14:paraId="72D21DD8">
            <w:pPr>
              <w:pStyle w:val="33"/>
              <w:rPr>
                <w:color w:val="auto"/>
              </w:rPr>
            </w:pPr>
            <w:r>
              <w:rPr>
                <w:color w:val="auto"/>
              </w:rPr>
              <w:t>1</w:t>
            </w:r>
          </w:p>
        </w:tc>
        <w:tc>
          <w:tcPr>
            <w:tcW w:w="2611" w:type="dxa"/>
            <w:tcMar>
              <w:left w:w="0" w:type="dxa"/>
              <w:right w:w="0" w:type="dxa"/>
            </w:tcMar>
            <w:vAlign w:val="center"/>
          </w:tcPr>
          <w:p w14:paraId="01CFD970">
            <w:pPr>
              <w:pStyle w:val="33"/>
              <w:rPr>
                <w:color w:val="auto"/>
              </w:rPr>
            </w:pPr>
            <w:r>
              <w:rPr>
                <w:rFonts w:hint="eastAsia"/>
                <w:color w:val="auto"/>
              </w:rPr>
              <w:t>砼水池</w:t>
            </w:r>
          </w:p>
        </w:tc>
      </w:tr>
      <w:tr w14:paraId="64CF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1D2FB792">
            <w:pPr>
              <w:pStyle w:val="33"/>
              <w:rPr>
                <w:color w:val="auto"/>
              </w:rPr>
            </w:pPr>
            <w:r>
              <w:rPr>
                <w:color w:val="auto"/>
              </w:rPr>
              <w:t>7</w:t>
            </w:r>
          </w:p>
        </w:tc>
        <w:tc>
          <w:tcPr>
            <w:tcW w:w="1813" w:type="dxa"/>
            <w:tcMar>
              <w:left w:w="0" w:type="dxa"/>
              <w:right w:w="0" w:type="dxa"/>
            </w:tcMar>
            <w:vAlign w:val="center"/>
          </w:tcPr>
          <w:p w14:paraId="4AA21C54">
            <w:pPr>
              <w:pStyle w:val="33"/>
              <w:rPr>
                <w:color w:val="auto"/>
              </w:rPr>
            </w:pPr>
            <w:r>
              <w:rPr>
                <w:rFonts w:hint="eastAsia"/>
                <w:color w:val="auto"/>
              </w:rPr>
              <w:t>事故池</w:t>
            </w:r>
          </w:p>
        </w:tc>
        <w:tc>
          <w:tcPr>
            <w:tcW w:w="2329" w:type="dxa"/>
            <w:tcMar>
              <w:left w:w="0" w:type="dxa"/>
              <w:right w:w="0" w:type="dxa"/>
            </w:tcMar>
            <w:vAlign w:val="center"/>
          </w:tcPr>
          <w:p w14:paraId="48259683">
            <w:pPr>
              <w:pStyle w:val="33"/>
              <w:rPr>
                <w:color w:val="auto"/>
              </w:rPr>
            </w:pPr>
            <w:r>
              <w:rPr>
                <w:color w:val="auto"/>
              </w:rPr>
              <w:t>40</w:t>
            </w:r>
            <w:r>
              <w:rPr>
                <w:rFonts w:hint="eastAsia"/>
                <w:color w:val="auto"/>
              </w:rPr>
              <w:t>×</w:t>
            </w:r>
            <w:r>
              <w:rPr>
                <w:color w:val="auto"/>
              </w:rPr>
              <w:t>28</w:t>
            </w:r>
            <w:r>
              <w:rPr>
                <w:rFonts w:hint="eastAsia"/>
                <w:color w:val="auto"/>
              </w:rPr>
              <w:t>×</w:t>
            </w:r>
            <w:r>
              <w:rPr>
                <w:color w:val="auto"/>
              </w:rPr>
              <w:t>6.5(</w:t>
            </w:r>
            <w:r>
              <w:rPr>
                <w:rFonts w:hint="eastAsia"/>
                <w:color w:val="auto"/>
              </w:rPr>
              <w:t>水深</w:t>
            </w:r>
            <w:r>
              <w:rPr>
                <w:color w:val="auto"/>
              </w:rPr>
              <w:t>6m)</w:t>
            </w:r>
          </w:p>
        </w:tc>
        <w:tc>
          <w:tcPr>
            <w:tcW w:w="801" w:type="dxa"/>
            <w:tcMar>
              <w:left w:w="0" w:type="dxa"/>
              <w:right w:w="0" w:type="dxa"/>
            </w:tcMar>
            <w:vAlign w:val="center"/>
          </w:tcPr>
          <w:p w14:paraId="650BEAD1">
            <w:pPr>
              <w:pStyle w:val="33"/>
              <w:rPr>
                <w:color w:val="auto"/>
                <w:lang w:eastAsia="en-US"/>
              </w:rPr>
            </w:pPr>
            <w:r>
              <w:rPr>
                <w:rFonts w:hint="eastAsia"/>
                <w:color w:val="auto"/>
              </w:rPr>
              <w:t>座</w:t>
            </w:r>
          </w:p>
        </w:tc>
        <w:tc>
          <w:tcPr>
            <w:tcW w:w="875" w:type="dxa"/>
            <w:tcMar>
              <w:left w:w="0" w:type="dxa"/>
              <w:right w:w="0" w:type="dxa"/>
            </w:tcMar>
            <w:vAlign w:val="center"/>
          </w:tcPr>
          <w:p w14:paraId="153C3BDB">
            <w:pPr>
              <w:pStyle w:val="33"/>
              <w:rPr>
                <w:color w:val="auto"/>
              </w:rPr>
            </w:pPr>
            <w:r>
              <w:rPr>
                <w:color w:val="auto"/>
              </w:rPr>
              <w:t>1</w:t>
            </w:r>
          </w:p>
        </w:tc>
        <w:tc>
          <w:tcPr>
            <w:tcW w:w="2611" w:type="dxa"/>
            <w:tcMar>
              <w:left w:w="0" w:type="dxa"/>
              <w:right w:w="0" w:type="dxa"/>
            </w:tcMar>
            <w:vAlign w:val="center"/>
          </w:tcPr>
          <w:p w14:paraId="42D0F190">
            <w:pPr>
              <w:pStyle w:val="33"/>
              <w:rPr>
                <w:color w:val="auto"/>
                <w:lang w:eastAsia="en-US"/>
              </w:rPr>
            </w:pPr>
            <w:r>
              <w:rPr>
                <w:rFonts w:hint="eastAsia"/>
                <w:color w:val="auto"/>
              </w:rPr>
              <w:t>砼水池</w:t>
            </w:r>
          </w:p>
        </w:tc>
      </w:tr>
      <w:tr w14:paraId="0B833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38" w:type="dxa"/>
            <w:tcMar>
              <w:left w:w="0" w:type="dxa"/>
              <w:right w:w="0" w:type="dxa"/>
            </w:tcMar>
            <w:vAlign w:val="center"/>
          </w:tcPr>
          <w:p w14:paraId="18B2268D">
            <w:pPr>
              <w:pStyle w:val="33"/>
              <w:rPr>
                <w:color w:val="auto"/>
              </w:rPr>
            </w:pPr>
            <w:r>
              <w:rPr>
                <w:color w:val="auto"/>
              </w:rPr>
              <w:t>8</w:t>
            </w:r>
          </w:p>
        </w:tc>
        <w:tc>
          <w:tcPr>
            <w:tcW w:w="1813" w:type="dxa"/>
            <w:tcMar>
              <w:left w:w="0" w:type="dxa"/>
              <w:right w:w="0" w:type="dxa"/>
            </w:tcMar>
            <w:vAlign w:val="center"/>
          </w:tcPr>
          <w:p w14:paraId="057DB117">
            <w:pPr>
              <w:pStyle w:val="33"/>
              <w:rPr>
                <w:color w:val="auto"/>
              </w:rPr>
            </w:pPr>
            <w:r>
              <w:rPr>
                <w:rFonts w:hint="eastAsia"/>
                <w:color w:val="auto"/>
              </w:rPr>
              <w:t>鼓风机房</w:t>
            </w:r>
          </w:p>
        </w:tc>
        <w:tc>
          <w:tcPr>
            <w:tcW w:w="2329" w:type="dxa"/>
            <w:tcMar>
              <w:left w:w="0" w:type="dxa"/>
              <w:right w:w="0" w:type="dxa"/>
            </w:tcMar>
            <w:vAlign w:val="center"/>
          </w:tcPr>
          <w:p w14:paraId="41FF65DE">
            <w:pPr>
              <w:pStyle w:val="33"/>
              <w:rPr>
                <w:color w:val="auto"/>
              </w:rPr>
            </w:pPr>
            <w:r>
              <w:rPr>
                <w:color w:val="auto"/>
              </w:rPr>
              <w:t>41</w:t>
            </w:r>
            <w:r>
              <w:rPr>
                <w:rFonts w:hint="eastAsia"/>
                <w:color w:val="auto"/>
              </w:rPr>
              <w:t>×</w:t>
            </w:r>
            <w:r>
              <w:rPr>
                <w:color w:val="auto"/>
              </w:rPr>
              <w:t>10.5</w:t>
            </w:r>
            <w:r>
              <w:rPr>
                <w:rFonts w:hint="eastAsia"/>
                <w:color w:val="auto"/>
              </w:rPr>
              <w:t>×</w:t>
            </w:r>
            <w:r>
              <w:rPr>
                <w:color w:val="auto"/>
              </w:rPr>
              <w:t>8</w:t>
            </w:r>
          </w:p>
        </w:tc>
        <w:tc>
          <w:tcPr>
            <w:tcW w:w="801" w:type="dxa"/>
            <w:tcMar>
              <w:left w:w="0" w:type="dxa"/>
              <w:right w:w="0" w:type="dxa"/>
            </w:tcMar>
            <w:vAlign w:val="center"/>
          </w:tcPr>
          <w:p w14:paraId="7DF3DD6C">
            <w:pPr>
              <w:pStyle w:val="33"/>
              <w:rPr>
                <w:color w:val="auto"/>
                <w:lang w:eastAsia="en-US"/>
              </w:rPr>
            </w:pPr>
            <w:r>
              <w:rPr>
                <w:rFonts w:hint="eastAsia"/>
                <w:color w:val="auto"/>
              </w:rPr>
              <w:t>座</w:t>
            </w:r>
          </w:p>
        </w:tc>
        <w:tc>
          <w:tcPr>
            <w:tcW w:w="875" w:type="dxa"/>
            <w:tcMar>
              <w:left w:w="0" w:type="dxa"/>
              <w:right w:w="0" w:type="dxa"/>
            </w:tcMar>
            <w:vAlign w:val="center"/>
          </w:tcPr>
          <w:p w14:paraId="0F826808">
            <w:pPr>
              <w:pStyle w:val="33"/>
              <w:rPr>
                <w:color w:val="auto"/>
              </w:rPr>
            </w:pPr>
            <w:r>
              <w:rPr>
                <w:color w:val="auto"/>
              </w:rPr>
              <w:t>1</w:t>
            </w:r>
          </w:p>
        </w:tc>
        <w:tc>
          <w:tcPr>
            <w:tcW w:w="2611" w:type="dxa"/>
            <w:tcMar>
              <w:left w:w="0" w:type="dxa"/>
              <w:right w:w="0" w:type="dxa"/>
            </w:tcMar>
            <w:vAlign w:val="center"/>
          </w:tcPr>
          <w:p w14:paraId="18DDAEAF">
            <w:pPr>
              <w:pStyle w:val="33"/>
              <w:rPr>
                <w:color w:val="auto"/>
              </w:rPr>
            </w:pPr>
            <w:r>
              <w:rPr>
                <w:rFonts w:hint="eastAsia"/>
                <w:color w:val="auto"/>
              </w:rPr>
              <w:t>单层，框架结构</w:t>
            </w:r>
          </w:p>
        </w:tc>
      </w:tr>
    </w:tbl>
    <w:p w14:paraId="43D87962">
      <w:pPr>
        <w:ind w:firstLine="480"/>
        <w:rPr>
          <w:color w:val="auto"/>
        </w:rPr>
      </w:pPr>
      <w:r>
        <w:rPr>
          <w:rFonts w:hint="eastAsia"/>
          <w:color w:val="auto"/>
        </w:rPr>
        <w:t>（</w:t>
      </w:r>
      <w:r>
        <w:rPr>
          <w:color w:val="auto"/>
        </w:rPr>
        <w:t>2</w:t>
      </w:r>
      <w:r>
        <w:rPr>
          <w:rFonts w:hint="eastAsia"/>
          <w:color w:val="auto"/>
        </w:rPr>
        <w:t>）设计水质可行性分析</w:t>
      </w:r>
    </w:p>
    <w:p w14:paraId="62B57453">
      <w:pPr>
        <w:numPr>
          <w:ilvl w:val="255"/>
          <w:numId w:val="0"/>
        </w:numPr>
        <w:ind w:firstLine="480"/>
        <w:rPr>
          <w:color w:val="auto"/>
        </w:rPr>
      </w:pPr>
      <w:r>
        <w:rPr>
          <w:rFonts w:hint="eastAsia"/>
          <w:color w:val="auto"/>
        </w:rPr>
        <w:t>根据设计单位提供的资料项目设计进水水质见下表所示。</w:t>
      </w:r>
    </w:p>
    <w:p w14:paraId="663C782E">
      <w:pPr>
        <w:pStyle w:val="7"/>
        <w:numPr>
          <w:ilvl w:val="5"/>
          <w:numId w:val="1"/>
        </w:numPr>
        <w:rPr>
          <w:color w:val="auto"/>
        </w:rPr>
      </w:pPr>
      <w:r>
        <w:rPr>
          <w:rFonts w:hint="eastAsia"/>
          <w:color w:val="auto"/>
        </w:rPr>
        <w:t>设计处理进水水质表</w:t>
      </w:r>
      <w:r>
        <w:rPr>
          <w:color w:val="auto"/>
        </w:rPr>
        <w:t xml:space="preserve"> </w:t>
      </w:r>
      <w:r>
        <w:rPr>
          <w:rFonts w:hint="eastAsia"/>
          <w:color w:val="auto"/>
        </w:rPr>
        <w:t>单位：</w:t>
      </w:r>
      <w:r>
        <w:rPr>
          <w:color w:val="auto"/>
        </w:rPr>
        <w:t>mg/L</w:t>
      </w:r>
      <w:r>
        <w:rPr>
          <w:rFonts w:hint="eastAsia"/>
          <w:color w:val="auto"/>
        </w:rPr>
        <w:t>色度除外</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7"/>
        <w:gridCol w:w="1547"/>
        <w:gridCol w:w="1547"/>
        <w:gridCol w:w="1547"/>
        <w:gridCol w:w="1548"/>
        <w:gridCol w:w="1548"/>
      </w:tblGrid>
      <w:tr w14:paraId="70303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38DB695C">
            <w:pPr>
              <w:pStyle w:val="33"/>
              <w:rPr>
                <w:color w:val="auto"/>
              </w:rPr>
            </w:pPr>
            <w:r>
              <w:rPr>
                <w:rFonts w:hint="eastAsia"/>
                <w:color w:val="auto"/>
              </w:rPr>
              <w:t>水质因子</w:t>
            </w:r>
          </w:p>
        </w:tc>
        <w:tc>
          <w:tcPr>
            <w:tcW w:w="1547" w:type="dxa"/>
          </w:tcPr>
          <w:p w14:paraId="5465B06F">
            <w:pPr>
              <w:pStyle w:val="33"/>
              <w:rPr>
                <w:color w:val="auto"/>
              </w:rPr>
            </w:pPr>
            <w:r>
              <w:rPr>
                <w:color w:val="auto"/>
              </w:rPr>
              <w:t>COD</w:t>
            </w:r>
          </w:p>
        </w:tc>
        <w:tc>
          <w:tcPr>
            <w:tcW w:w="1547" w:type="dxa"/>
          </w:tcPr>
          <w:p w14:paraId="5C2E6D23">
            <w:pPr>
              <w:pStyle w:val="33"/>
              <w:rPr>
                <w:color w:val="auto"/>
              </w:rPr>
            </w:pPr>
            <w:r>
              <w:rPr>
                <w:color w:val="auto"/>
              </w:rPr>
              <w:t>BOD5</w:t>
            </w:r>
          </w:p>
        </w:tc>
        <w:tc>
          <w:tcPr>
            <w:tcW w:w="1547" w:type="dxa"/>
          </w:tcPr>
          <w:p w14:paraId="7C1DB73F">
            <w:pPr>
              <w:pStyle w:val="33"/>
              <w:rPr>
                <w:color w:val="auto"/>
              </w:rPr>
            </w:pPr>
            <w:r>
              <w:rPr>
                <w:color w:val="auto"/>
              </w:rPr>
              <w:t>SS</w:t>
            </w:r>
          </w:p>
        </w:tc>
        <w:tc>
          <w:tcPr>
            <w:tcW w:w="1548" w:type="dxa"/>
          </w:tcPr>
          <w:p w14:paraId="1B0BDC6E">
            <w:pPr>
              <w:pStyle w:val="33"/>
              <w:rPr>
                <w:color w:val="auto"/>
              </w:rPr>
            </w:pPr>
            <w:r>
              <w:rPr>
                <w:rFonts w:hint="eastAsia"/>
                <w:color w:val="auto"/>
              </w:rPr>
              <w:t>氨氮</w:t>
            </w:r>
          </w:p>
        </w:tc>
        <w:tc>
          <w:tcPr>
            <w:tcW w:w="1548" w:type="dxa"/>
          </w:tcPr>
          <w:p w14:paraId="31143B35">
            <w:pPr>
              <w:pStyle w:val="33"/>
              <w:rPr>
                <w:color w:val="auto"/>
              </w:rPr>
            </w:pPr>
            <w:r>
              <w:rPr>
                <w:rFonts w:hint="eastAsia"/>
                <w:color w:val="auto"/>
              </w:rPr>
              <w:t>色度</w:t>
            </w:r>
          </w:p>
        </w:tc>
      </w:tr>
      <w:tr w14:paraId="7F0F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47" w:type="dxa"/>
          </w:tcPr>
          <w:p w14:paraId="040F2975">
            <w:pPr>
              <w:pStyle w:val="33"/>
              <w:rPr>
                <w:color w:val="auto"/>
              </w:rPr>
            </w:pPr>
            <w:r>
              <w:rPr>
                <w:rFonts w:hint="eastAsia"/>
                <w:color w:val="auto"/>
              </w:rPr>
              <w:t>进水</w:t>
            </w:r>
          </w:p>
        </w:tc>
        <w:tc>
          <w:tcPr>
            <w:tcW w:w="1547" w:type="dxa"/>
          </w:tcPr>
          <w:p w14:paraId="54B61AD6">
            <w:pPr>
              <w:pStyle w:val="33"/>
              <w:rPr>
                <w:color w:val="auto"/>
              </w:rPr>
            </w:pPr>
            <w:r>
              <w:rPr>
                <w:color w:val="auto"/>
              </w:rPr>
              <w:t>2700</w:t>
            </w:r>
          </w:p>
        </w:tc>
        <w:tc>
          <w:tcPr>
            <w:tcW w:w="1547" w:type="dxa"/>
          </w:tcPr>
          <w:p w14:paraId="69305975">
            <w:pPr>
              <w:pStyle w:val="33"/>
              <w:rPr>
                <w:color w:val="auto"/>
              </w:rPr>
            </w:pPr>
            <w:r>
              <w:rPr>
                <w:color w:val="auto"/>
              </w:rPr>
              <w:t>1400</w:t>
            </w:r>
          </w:p>
        </w:tc>
        <w:tc>
          <w:tcPr>
            <w:tcW w:w="1547" w:type="dxa"/>
          </w:tcPr>
          <w:p w14:paraId="7EE4D5E9">
            <w:pPr>
              <w:pStyle w:val="33"/>
              <w:rPr>
                <w:color w:val="auto"/>
              </w:rPr>
            </w:pPr>
            <w:r>
              <w:rPr>
                <w:color w:val="auto"/>
              </w:rPr>
              <w:t>700</w:t>
            </w:r>
          </w:p>
        </w:tc>
        <w:tc>
          <w:tcPr>
            <w:tcW w:w="1548" w:type="dxa"/>
          </w:tcPr>
          <w:p w14:paraId="2BEF47E1">
            <w:pPr>
              <w:pStyle w:val="33"/>
              <w:rPr>
                <w:color w:val="auto"/>
              </w:rPr>
            </w:pPr>
            <w:r>
              <w:rPr>
                <w:color w:val="auto"/>
              </w:rPr>
              <w:t>4</w:t>
            </w:r>
          </w:p>
        </w:tc>
        <w:tc>
          <w:tcPr>
            <w:tcW w:w="1548" w:type="dxa"/>
          </w:tcPr>
          <w:p w14:paraId="15A53C83">
            <w:pPr>
              <w:pStyle w:val="33"/>
              <w:rPr>
                <w:color w:val="auto"/>
              </w:rPr>
            </w:pPr>
            <w:r>
              <w:rPr>
                <w:color w:val="auto"/>
              </w:rPr>
              <w:t>800(</w:t>
            </w:r>
            <w:r>
              <w:rPr>
                <w:rFonts w:hint="eastAsia"/>
                <w:color w:val="auto"/>
              </w:rPr>
              <w:t>倍</w:t>
            </w:r>
            <w:r>
              <w:rPr>
                <w:color w:val="auto"/>
              </w:rPr>
              <w:t>)</w:t>
            </w:r>
          </w:p>
        </w:tc>
      </w:tr>
    </w:tbl>
    <w:p w14:paraId="02B677E1">
      <w:pPr>
        <w:numPr>
          <w:ilvl w:val="255"/>
          <w:numId w:val="0"/>
        </w:numPr>
        <w:ind w:firstLine="480"/>
        <w:rPr>
          <w:color w:val="auto"/>
        </w:rPr>
      </w:pPr>
      <w:r>
        <w:rPr>
          <w:rFonts w:hint="eastAsia"/>
          <w:color w:val="auto"/>
        </w:rPr>
        <w:t>根据《纸浆造纸废水治理工程技术规范》（</w:t>
      </w:r>
      <w:r>
        <w:rPr>
          <w:color w:val="auto"/>
        </w:rPr>
        <w:t>GJ2011-2012</w:t>
      </w:r>
      <w:r>
        <w:rPr>
          <w:rFonts w:hint="eastAsia"/>
          <w:color w:val="auto"/>
        </w:rPr>
        <w:t>）表</w:t>
      </w:r>
      <w:r>
        <w:rPr>
          <w:color w:val="auto"/>
        </w:rPr>
        <w:t xml:space="preserve">1 </w:t>
      </w:r>
      <w:r>
        <w:rPr>
          <w:rFonts w:hint="eastAsia"/>
          <w:color w:val="auto"/>
        </w:rPr>
        <w:t>给出的典型纸浆造纸废水水质范围。具体情况见下表所示。</w:t>
      </w:r>
    </w:p>
    <w:p w14:paraId="2D2193C8">
      <w:pPr>
        <w:pStyle w:val="7"/>
        <w:numPr>
          <w:ilvl w:val="5"/>
          <w:numId w:val="1"/>
        </w:numPr>
        <w:rPr>
          <w:color w:val="auto"/>
        </w:rPr>
      </w:pPr>
      <w:r>
        <w:rPr>
          <w:rFonts w:hint="eastAsia"/>
          <w:color w:val="auto"/>
        </w:rPr>
        <w:t>《纸浆造纸废水治理工程技术规范》制浆造纸废水水质范围</w:t>
      </w:r>
      <w:r>
        <w:rPr>
          <w:color w:val="auto"/>
        </w:rPr>
        <w:t xml:space="preserve"> </w:t>
      </w:r>
      <w:r>
        <w:rPr>
          <w:rFonts w:hint="eastAsia"/>
          <w:color w:val="auto"/>
        </w:rPr>
        <w:t>单位：</w:t>
      </w:r>
      <w:r>
        <w:rPr>
          <w:color w:val="auto"/>
        </w:rPr>
        <w:t xml:space="preserve">mg/L </w:t>
      </w:r>
      <w:r>
        <w:rPr>
          <w:rFonts w:hint="eastAsia"/>
          <w:color w:val="auto"/>
        </w:rPr>
        <w:t>（</w:t>
      </w:r>
      <w:r>
        <w:rPr>
          <w:color w:val="auto"/>
        </w:rPr>
        <w:t>pH</w:t>
      </w:r>
      <w:r>
        <w:rPr>
          <w:rFonts w:hint="eastAsia"/>
          <w:color w:val="auto"/>
        </w:rPr>
        <w:t>无量纲）</w:t>
      </w:r>
    </w:p>
    <w:tbl>
      <w:tblPr>
        <w:tblStyle w:val="27"/>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960"/>
        <w:gridCol w:w="1132"/>
        <w:gridCol w:w="1381"/>
        <w:gridCol w:w="1264"/>
        <w:gridCol w:w="756"/>
        <w:gridCol w:w="715"/>
        <w:gridCol w:w="715"/>
        <w:gridCol w:w="937"/>
      </w:tblGrid>
      <w:tr w14:paraId="6D22D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Merge w:val="restart"/>
            <w:vAlign w:val="center"/>
          </w:tcPr>
          <w:p w14:paraId="7C2F3D77">
            <w:pPr>
              <w:pStyle w:val="33"/>
              <w:rPr>
                <w:color w:val="auto"/>
              </w:rPr>
            </w:pPr>
            <w:r>
              <w:rPr>
                <w:rFonts w:hint="eastAsia"/>
                <w:color w:val="auto"/>
              </w:rPr>
              <w:t>废水种类</w:t>
            </w:r>
          </w:p>
        </w:tc>
        <w:tc>
          <w:tcPr>
            <w:tcW w:w="4234" w:type="pct"/>
            <w:gridSpan w:val="8"/>
            <w:vAlign w:val="center"/>
          </w:tcPr>
          <w:p w14:paraId="3B55FEF5">
            <w:pPr>
              <w:pStyle w:val="33"/>
              <w:rPr>
                <w:color w:val="auto"/>
              </w:rPr>
            </w:pPr>
            <w:r>
              <w:rPr>
                <w:rFonts w:hint="eastAsia"/>
                <w:color w:val="auto"/>
              </w:rPr>
              <w:t>水质指标</w:t>
            </w:r>
          </w:p>
        </w:tc>
      </w:tr>
      <w:tr w14:paraId="12F1E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Merge w:val="continue"/>
            <w:vAlign w:val="center"/>
          </w:tcPr>
          <w:p w14:paraId="6CF4EA00">
            <w:pPr>
              <w:pStyle w:val="33"/>
              <w:rPr>
                <w:color w:val="auto"/>
              </w:rPr>
            </w:pPr>
          </w:p>
        </w:tc>
        <w:tc>
          <w:tcPr>
            <w:tcW w:w="517" w:type="pct"/>
            <w:vAlign w:val="center"/>
          </w:tcPr>
          <w:p w14:paraId="0AC1F11F">
            <w:pPr>
              <w:pStyle w:val="33"/>
              <w:rPr>
                <w:color w:val="auto"/>
              </w:rPr>
            </w:pPr>
            <w:r>
              <w:rPr>
                <w:color w:val="auto"/>
              </w:rPr>
              <w:t>pH</w:t>
            </w:r>
            <w:r>
              <w:rPr>
                <w:rFonts w:hint="eastAsia"/>
                <w:color w:val="auto"/>
              </w:rPr>
              <w:t>值</w:t>
            </w:r>
          </w:p>
        </w:tc>
        <w:tc>
          <w:tcPr>
            <w:tcW w:w="610" w:type="pct"/>
            <w:vAlign w:val="center"/>
          </w:tcPr>
          <w:p w14:paraId="4D4BF420">
            <w:pPr>
              <w:pStyle w:val="33"/>
              <w:rPr>
                <w:color w:val="auto"/>
              </w:rPr>
            </w:pPr>
            <w:r>
              <w:rPr>
                <w:color w:val="auto"/>
              </w:rPr>
              <w:t>SS</w:t>
            </w:r>
          </w:p>
        </w:tc>
        <w:tc>
          <w:tcPr>
            <w:tcW w:w="744" w:type="pct"/>
            <w:vAlign w:val="center"/>
          </w:tcPr>
          <w:p w14:paraId="75E13C80">
            <w:pPr>
              <w:pStyle w:val="33"/>
              <w:rPr>
                <w:color w:val="auto"/>
              </w:rPr>
            </w:pPr>
            <w:r>
              <w:rPr>
                <w:color w:val="auto"/>
              </w:rPr>
              <w:t>COD</w:t>
            </w:r>
          </w:p>
        </w:tc>
        <w:tc>
          <w:tcPr>
            <w:tcW w:w="681" w:type="pct"/>
            <w:vAlign w:val="center"/>
          </w:tcPr>
          <w:p w14:paraId="5CDAE246">
            <w:pPr>
              <w:pStyle w:val="33"/>
              <w:rPr>
                <w:color w:val="auto"/>
              </w:rPr>
            </w:pPr>
            <w:r>
              <w:rPr>
                <w:color w:val="auto"/>
              </w:rPr>
              <w:t>BOD5</w:t>
            </w:r>
          </w:p>
        </w:tc>
        <w:tc>
          <w:tcPr>
            <w:tcW w:w="407" w:type="pct"/>
            <w:vAlign w:val="center"/>
          </w:tcPr>
          <w:p w14:paraId="5427874C">
            <w:pPr>
              <w:pStyle w:val="33"/>
              <w:rPr>
                <w:color w:val="auto"/>
              </w:rPr>
            </w:pPr>
            <w:r>
              <w:rPr>
                <w:color w:val="auto"/>
              </w:rPr>
              <w:t>AOX</w:t>
            </w:r>
          </w:p>
        </w:tc>
        <w:tc>
          <w:tcPr>
            <w:tcW w:w="385" w:type="pct"/>
            <w:vAlign w:val="center"/>
          </w:tcPr>
          <w:p w14:paraId="0B7E4FB8">
            <w:pPr>
              <w:pStyle w:val="33"/>
              <w:rPr>
                <w:color w:val="auto"/>
              </w:rPr>
            </w:pPr>
            <w:r>
              <w:rPr>
                <w:rFonts w:hint="eastAsia"/>
                <w:color w:val="auto"/>
              </w:rPr>
              <w:t>总氮</w:t>
            </w:r>
          </w:p>
        </w:tc>
        <w:tc>
          <w:tcPr>
            <w:tcW w:w="385" w:type="pct"/>
            <w:vAlign w:val="center"/>
          </w:tcPr>
          <w:p w14:paraId="07C508E9">
            <w:pPr>
              <w:pStyle w:val="33"/>
              <w:rPr>
                <w:color w:val="auto"/>
              </w:rPr>
            </w:pPr>
            <w:r>
              <w:rPr>
                <w:rFonts w:hint="eastAsia"/>
                <w:color w:val="auto"/>
              </w:rPr>
              <w:t>氨氮</w:t>
            </w:r>
          </w:p>
        </w:tc>
        <w:tc>
          <w:tcPr>
            <w:tcW w:w="500" w:type="pct"/>
            <w:vAlign w:val="center"/>
          </w:tcPr>
          <w:p w14:paraId="2CF37590">
            <w:pPr>
              <w:pStyle w:val="33"/>
              <w:rPr>
                <w:color w:val="auto"/>
              </w:rPr>
            </w:pPr>
            <w:r>
              <w:rPr>
                <w:rFonts w:hint="eastAsia"/>
                <w:color w:val="auto"/>
              </w:rPr>
              <w:t>总磷</w:t>
            </w:r>
          </w:p>
        </w:tc>
      </w:tr>
      <w:tr w14:paraId="49871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64655460">
            <w:pPr>
              <w:pStyle w:val="33"/>
              <w:rPr>
                <w:color w:val="auto"/>
              </w:rPr>
            </w:pPr>
            <w:r>
              <w:rPr>
                <w:rFonts w:hint="eastAsia"/>
                <w:color w:val="auto"/>
              </w:rPr>
              <w:t>化学浆</w:t>
            </w:r>
          </w:p>
        </w:tc>
        <w:tc>
          <w:tcPr>
            <w:tcW w:w="517" w:type="pct"/>
            <w:vAlign w:val="center"/>
          </w:tcPr>
          <w:p w14:paraId="1E62D566">
            <w:pPr>
              <w:pStyle w:val="33"/>
              <w:rPr>
                <w:color w:val="auto"/>
              </w:rPr>
            </w:pPr>
            <w:r>
              <w:rPr>
                <w:color w:val="auto"/>
              </w:rPr>
              <w:t>5-10</w:t>
            </w:r>
          </w:p>
        </w:tc>
        <w:tc>
          <w:tcPr>
            <w:tcW w:w="610" w:type="pct"/>
            <w:vAlign w:val="center"/>
          </w:tcPr>
          <w:p w14:paraId="50A15A75">
            <w:pPr>
              <w:pStyle w:val="33"/>
              <w:rPr>
                <w:color w:val="auto"/>
              </w:rPr>
            </w:pPr>
            <w:r>
              <w:rPr>
                <w:color w:val="auto"/>
              </w:rPr>
              <w:t>250-1500</w:t>
            </w:r>
          </w:p>
        </w:tc>
        <w:tc>
          <w:tcPr>
            <w:tcW w:w="744" w:type="pct"/>
            <w:vAlign w:val="center"/>
          </w:tcPr>
          <w:p w14:paraId="59182161">
            <w:pPr>
              <w:pStyle w:val="33"/>
              <w:rPr>
                <w:color w:val="auto"/>
              </w:rPr>
            </w:pPr>
            <w:r>
              <w:rPr>
                <w:color w:val="auto"/>
              </w:rPr>
              <w:t>1200-2500</w:t>
            </w:r>
          </w:p>
        </w:tc>
        <w:tc>
          <w:tcPr>
            <w:tcW w:w="681" w:type="pct"/>
            <w:vAlign w:val="center"/>
          </w:tcPr>
          <w:p w14:paraId="0DC56F24">
            <w:pPr>
              <w:pStyle w:val="33"/>
              <w:rPr>
                <w:color w:val="auto"/>
              </w:rPr>
            </w:pPr>
            <w:r>
              <w:rPr>
                <w:color w:val="auto"/>
              </w:rPr>
              <w:t>350-800</w:t>
            </w:r>
          </w:p>
        </w:tc>
        <w:tc>
          <w:tcPr>
            <w:tcW w:w="407" w:type="pct"/>
            <w:vAlign w:val="center"/>
          </w:tcPr>
          <w:p w14:paraId="6A4576F1">
            <w:pPr>
              <w:pStyle w:val="33"/>
              <w:rPr>
                <w:color w:val="auto"/>
              </w:rPr>
            </w:pPr>
            <w:r>
              <w:rPr>
                <w:color w:val="auto"/>
              </w:rPr>
              <w:t>2-26</w:t>
            </w:r>
          </w:p>
        </w:tc>
        <w:tc>
          <w:tcPr>
            <w:tcW w:w="385" w:type="pct"/>
            <w:vAlign w:val="center"/>
          </w:tcPr>
          <w:p w14:paraId="05F0E49B">
            <w:pPr>
              <w:pStyle w:val="33"/>
              <w:rPr>
                <w:color w:val="auto"/>
              </w:rPr>
            </w:pPr>
            <w:r>
              <w:rPr>
                <w:color w:val="auto"/>
              </w:rPr>
              <w:t>4-20</w:t>
            </w:r>
          </w:p>
        </w:tc>
        <w:tc>
          <w:tcPr>
            <w:tcW w:w="385" w:type="pct"/>
            <w:vAlign w:val="center"/>
          </w:tcPr>
          <w:p w14:paraId="057EB4C0">
            <w:pPr>
              <w:pStyle w:val="33"/>
              <w:rPr>
                <w:color w:val="auto"/>
              </w:rPr>
            </w:pPr>
            <w:r>
              <w:rPr>
                <w:color w:val="auto"/>
              </w:rPr>
              <w:t>2-5</w:t>
            </w:r>
          </w:p>
        </w:tc>
        <w:tc>
          <w:tcPr>
            <w:tcW w:w="500" w:type="pct"/>
            <w:vAlign w:val="center"/>
          </w:tcPr>
          <w:p w14:paraId="68E8E431">
            <w:pPr>
              <w:pStyle w:val="33"/>
              <w:rPr>
                <w:color w:val="auto"/>
              </w:rPr>
            </w:pPr>
            <w:r>
              <w:rPr>
                <w:color w:val="auto"/>
              </w:rPr>
              <w:t>0.5-2</w:t>
            </w:r>
          </w:p>
        </w:tc>
      </w:tr>
      <w:tr w14:paraId="001EF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5FD8893E">
            <w:pPr>
              <w:pStyle w:val="33"/>
              <w:rPr>
                <w:color w:val="auto"/>
              </w:rPr>
            </w:pPr>
            <w:r>
              <w:rPr>
                <w:rFonts w:hint="eastAsia"/>
                <w:color w:val="auto"/>
              </w:rPr>
              <w:t>化学机械浆</w:t>
            </w:r>
          </w:p>
        </w:tc>
        <w:tc>
          <w:tcPr>
            <w:tcW w:w="517" w:type="pct"/>
            <w:vAlign w:val="center"/>
          </w:tcPr>
          <w:p w14:paraId="11160098">
            <w:pPr>
              <w:pStyle w:val="33"/>
              <w:rPr>
                <w:color w:val="auto"/>
              </w:rPr>
            </w:pPr>
            <w:r>
              <w:rPr>
                <w:color w:val="auto"/>
              </w:rPr>
              <w:t>6-9</w:t>
            </w:r>
          </w:p>
        </w:tc>
        <w:tc>
          <w:tcPr>
            <w:tcW w:w="610" w:type="pct"/>
            <w:vAlign w:val="center"/>
          </w:tcPr>
          <w:p w14:paraId="14217E5E">
            <w:pPr>
              <w:pStyle w:val="33"/>
              <w:rPr>
                <w:color w:val="auto"/>
              </w:rPr>
            </w:pPr>
            <w:r>
              <w:rPr>
                <w:color w:val="auto"/>
              </w:rPr>
              <w:t>1800-3800</w:t>
            </w:r>
          </w:p>
        </w:tc>
        <w:tc>
          <w:tcPr>
            <w:tcW w:w="744" w:type="pct"/>
            <w:vAlign w:val="center"/>
          </w:tcPr>
          <w:p w14:paraId="63F9A9FF">
            <w:pPr>
              <w:pStyle w:val="33"/>
              <w:rPr>
                <w:color w:val="auto"/>
              </w:rPr>
            </w:pPr>
            <w:r>
              <w:rPr>
                <w:color w:val="auto"/>
              </w:rPr>
              <w:t>6000-16000</w:t>
            </w:r>
          </w:p>
        </w:tc>
        <w:tc>
          <w:tcPr>
            <w:tcW w:w="681" w:type="pct"/>
            <w:vAlign w:val="center"/>
          </w:tcPr>
          <w:p w14:paraId="7BFB9145">
            <w:pPr>
              <w:pStyle w:val="33"/>
              <w:rPr>
                <w:color w:val="auto"/>
              </w:rPr>
            </w:pPr>
            <w:r>
              <w:rPr>
                <w:color w:val="auto"/>
              </w:rPr>
              <w:t>1800-4000</w:t>
            </w:r>
          </w:p>
        </w:tc>
        <w:tc>
          <w:tcPr>
            <w:tcW w:w="407" w:type="pct"/>
            <w:vAlign w:val="center"/>
          </w:tcPr>
          <w:p w14:paraId="7D010B02">
            <w:pPr>
              <w:pStyle w:val="33"/>
              <w:rPr>
                <w:color w:val="auto"/>
              </w:rPr>
            </w:pPr>
            <w:r>
              <w:rPr>
                <w:color w:val="auto"/>
              </w:rPr>
              <w:t>0-3</w:t>
            </w:r>
          </w:p>
        </w:tc>
        <w:tc>
          <w:tcPr>
            <w:tcW w:w="385" w:type="pct"/>
            <w:vAlign w:val="center"/>
          </w:tcPr>
          <w:p w14:paraId="2C10512D">
            <w:pPr>
              <w:pStyle w:val="33"/>
              <w:rPr>
                <w:color w:val="auto"/>
              </w:rPr>
            </w:pPr>
            <w:r>
              <w:rPr>
                <w:color w:val="auto"/>
              </w:rPr>
              <w:t>5-10</w:t>
            </w:r>
          </w:p>
        </w:tc>
        <w:tc>
          <w:tcPr>
            <w:tcW w:w="385" w:type="pct"/>
            <w:vAlign w:val="center"/>
          </w:tcPr>
          <w:p w14:paraId="0906F229">
            <w:pPr>
              <w:pStyle w:val="33"/>
              <w:rPr>
                <w:color w:val="auto"/>
              </w:rPr>
            </w:pPr>
            <w:r>
              <w:rPr>
                <w:color w:val="auto"/>
              </w:rPr>
              <w:t>3-5</w:t>
            </w:r>
          </w:p>
        </w:tc>
        <w:tc>
          <w:tcPr>
            <w:tcW w:w="500" w:type="pct"/>
            <w:vAlign w:val="center"/>
          </w:tcPr>
          <w:p w14:paraId="6A84B4F5">
            <w:pPr>
              <w:pStyle w:val="33"/>
              <w:rPr>
                <w:color w:val="auto"/>
              </w:rPr>
            </w:pPr>
            <w:r>
              <w:rPr>
                <w:color w:val="auto"/>
              </w:rPr>
              <w:t>1-3</w:t>
            </w:r>
          </w:p>
        </w:tc>
      </w:tr>
      <w:tr w14:paraId="4FD7F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40364209">
            <w:pPr>
              <w:pStyle w:val="33"/>
              <w:rPr>
                <w:color w:val="auto"/>
              </w:rPr>
            </w:pPr>
            <w:r>
              <w:rPr>
                <w:rFonts w:hint="eastAsia"/>
                <w:color w:val="auto"/>
              </w:rPr>
              <w:t>机械浆</w:t>
            </w:r>
          </w:p>
        </w:tc>
        <w:tc>
          <w:tcPr>
            <w:tcW w:w="517" w:type="pct"/>
            <w:vAlign w:val="center"/>
          </w:tcPr>
          <w:p w14:paraId="7C902B29">
            <w:pPr>
              <w:pStyle w:val="33"/>
              <w:rPr>
                <w:color w:val="auto"/>
              </w:rPr>
            </w:pPr>
            <w:r>
              <w:rPr>
                <w:color w:val="auto"/>
              </w:rPr>
              <w:t>6-9</w:t>
            </w:r>
          </w:p>
        </w:tc>
        <w:tc>
          <w:tcPr>
            <w:tcW w:w="610" w:type="pct"/>
            <w:vAlign w:val="center"/>
          </w:tcPr>
          <w:p w14:paraId="41D4AE98">
            <w:pPr>
              <w:pStyle w:val="33"/>
              <w:rPr>
                <w:color w:val="auto"/>
              </w:rPr>
            </w:pPr>
            <w:r>
              <w:rPr>
                <w:color w:val="auto"/>
              </w:rPr>
              <w:t>850-2000</w:t>
            </w:r>
          </w:p>
        </w:tc>
        <w:tc>
          <w:tcPr>
            <w:tcW w:w="744" w:type="pct"/>
            <w:vAlign w:val="center"/>
          </w:tcPr>
          <w:p w14:paraId="173AC9E0">
            <w:pPr>
              <w:pStyle w:val="33"/>
              <w:rPr>
                <w:color w:val="auto"/>
              </w:rPr>
            </w:pPr>
            <w:r>
              <w:rPr>
                <w:color w:val="auto"/>
              </w:rPr>
              <w:t>3200-8000</w:t>
            </w:r>
          </w:p>
        </w:tc>
        <w:tc>
          <w:tcPr>
            <w:tcW w:w="681" w:type="pct"/>
            <w:vAlign w:val="center"/>
          </w:tcPr>
          <w:p w14:paraId="455F42E2">
            <w:pPr>
              <w:pStyle w:val="33"/>
              <w:rPr>
                <w:color w:val="auto"/>
              </w:rPr>
            </w:pPr>
            <w:r>
              <w:rPr>
                <w:color w:val="auto"/>
              </w:rPr>
              <w:t>1200-2800</w:t>
            </w:r>
          </w:p>
        </w:tc>
        <w:tc>
          <w:tcPr>
            <w:tcW w:w="407" w:type="pct"/>
            <w:vAlign w:val="center"/>
          </w:tcPr>
          <w:p w14:paraId="7295ADE4">
            <w:pPr>
              <w:pStyle w:val="33"/>
              <w:rPr>
                <w:color w:val="auto"/>
              </w:rPr>
            </w:pPr>
            <w:r>
              <w:rPr>
                <w:color w:val="auto"/>
              </w:rPr>
              <w:t>0-1</w:t>
            </w:r>
          </w:p>
        </w:tc>
        <w:tc>
          <w:tcPr>
            <w:tcW w:w="385" w:type="pct"/>
            <w:vAlign w:val="center"/>
          </w:tcPr>
          <w:p w14:paraId="733D0334">
            <w:pPr>
              <w:pStyle w:val="33"/>
              <w:rPr>
                <w:color w:val="auto"/>
              </w:rPr>
            </w:pPr>
            <w:r>
              <w:rPr>
                <w:color w:val="auto"/>
              </w:rPr>
              <w:t>4-8</w:t>
            </w:r>
          </w:p>
        </w:tc>
        <w:tc>
          <w:tcPr>
            <w:tcW w:w="385" w:type="pct"/>
            <w:vAlign w:val="center"/>
          </w:tcPr>
          <w:p w14:paraId="06B0DA01">
            <w:pPr>
              <w:pStyle w:val="33"/>
              <w:rPr>
                <w:color w:val="auto"/>
              </w:rPr>
            </w:pPr>
            <w:r>
              <w:rPr>
                <w:color w:val="auto"/>
              </w:rPr>
              <w:t>2-5</w:t>
            </w:r>
          </w:p>
        </w:tc>
        <w:tc>
          <w:tcPr>
            <w:tcW w:w="500" w:type="pct"/>
            <w:vAlign w:val="center"/>
          </w:tcPr>
          <w:p w14:paraId="49A8126F">
            <w:pPr>
              <w:pStyle w:val="33"/>
              <w:rPr>
                <w:color w:val="auto"/>
              </w:rPr>
            </w:pPr>
            <w:r>
              <w:rPr>
                <w:color w:val="auto"/>
              </w:rPr>
              <w:t>0.5-1.5</w:t>
            </w:r>
          </w:p>
        </w:tc>
      </w:tr>
      <w:tr w14:paraId="7530D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65" w:type="pct"/>
            <w:vAlign w:val="center"/>
          </w:tcPr>
          <w:p w14:paraId="2C20FA10">
            <w:pPr>
              <w:pStyle w:val="33"/>
              <w:rPr>
                <w:color w:val="auto"/>
              </w:rPr>
            </w:pPr>
            <w:r>
              <w:rPr>
                <w:rFonts w:hint="eastAsia"/>
                <w:color w:val="auto"/>
              </w:rPr>
              <w:t>废纸浆</w:t>
            </w:r>
          </w:p>
        </w:tc>
        <w:tc>
          <w:tcPr>
            <w:tcW w:w="517" w:type="pct"/>
            <w:vAlign w:val="center"/>
          </w:tcPr>
          <w:p w14:paraId="082600A6">
            <w:pPr>
              <w:pStyle w:val="33"/>
              <w:rPr>
                <w:color w:val="auto"/>
              </w:rPr>
            </w:pPr>
            <w:r>
              <w:rPr>
                <w:color w:val="auto"/>
              </w:rPr>
              <w:t>6-9</w:t>
            </w:r>
          </w:p>
        </w:tc>
        <w:tc>
          <w:tcPr>
            <w:tcW w:w="610" w:type="pct"/>
            <w:vAlign w:val="center"/>
          </w:tcPr>
          <w:p w14:paraId="34F382B3">
            <w:pPr>
              <w:pStyle w:val="33"/>
              <w:rPr>
                <w:color w:val="auto"/>
              </w:rPr>
            </w:pPr>
            <w:r>
              <w:rPr>
                <w:color w:val="auto"/>
              </w:rPr>
              <w:t>800-1800</w:t>
            </w:r>
          </w:p>
        </w:tc>
        <w:tc>
          <w:tcPr>
            <w:tcW w:w="744" w:type="pct"/>
            <w:vAlign w:val="center"/>
          </w:tcPr>
          <w:p w14:paraId="7CE9CED0">
            <w:pPr>
              <w:pStyle w:val="33"/>
              <w:rPr>
                <w:color w:val="auto"/>
              </w:rPr>
            </w:pPr>
            <w:r>
              <w:rPr>
                <w:color w:val="auto"/>
              </w:rPr>
              <w:t>1500-5000</w:t>
            </w:r>
          </w:p>
        </w:tc>
        <w:tc>
          <w:tcPr>
            <w:tcW w:w="681" w:type="pct"/>
            <w:vAlign w:val="center"/>
          </w:tcPr>
          <w:p w14:paraId="30AFEDD6">
            <w:pPr>
              <w:pStyle w:val="33"/>
              <w:rPr>
                <w:color w:val="auto"/>
              </w:rPr>
            </w:pPr>
            <w:r>
              <w:rPr>
                <w:color w:val="auto"/>
              </w:rPr>
              <w:t>550-1500</w:t>
            </w:r>
          </w:p>
        </w:tc>
        <w:tc>
          <w:tcPr>
            <w:tcW w:w="407" w:type="pct"/>
            <w:vAlign w:val="center"/>
          </w:tcPr>
          <w:p w14:paraId="6843F059">
            <w:pPr>
              <w:pStyle w:val="33"/>
              <w:rPr>
                <w:color w:val="auto"/>
              </w:rPr>
            </w:pPr>
            <w:r>
              <w:rPr>
                <w:color w:val="auto"/>
              </w:rPr>
              <w:t>0-1</w:t>
            </w:r>
          </w:p>
        </w:tc>
        <w:tc>
          <w:tcPr>
            <w:tcW w:w="385" w:type="pct"/>
            <w:vAlign w:val="center"/>
          </w:tcPr>
          <w:p w14:paraId="11687CB9">
            <w:pPr>
              <w:pStyle w:val="33"/>
              <w:rPr>
                <w:color w:val="auto"/>
              </w:rPr>
            </w:pPr>
            <w:r>
              <w:rPr>
                <w:color w:val="auto"/>
              </w:rPr>
              <w:t>5-20</w:t>
            </w:r>
          </w:p>
        </w:tc>
        <w:tc>
          <w:tcPr>
            <w:tcW w:w="385" w:type="pct"/>
            <w:vAlign w:val="center"/>
          </w:tcPr>
          <w:p w14:paraId="70857861">
            <w:pPr>
              <w:pStyle w:val="33"/>
              <w:rPr>
                <w:color w:val="auto"/>
              </w:rPr>
            </w:pPr>
            <w:r>
              <w:rPr>
                <w:color w:val="auto"/>
              </w:rPr>
              <w:t>4-15</w:t>
            </w:r>
          </w:p>
        </w:tc>
        <w:tc>
          <w:tcPr>
            <w:tcW w:w="500" w:type="pct"/>
            <w:vAlign w:val="center"/>
          </w:tcPr>
          <w:p w14:paraId="4B6823C3">
            <w:pPr>
              <w:pStyle w:val="33"/>
              <w:rPr>
                <w:color w:val="auto"/>
              </w:rPr>
            </w:pPr>
            <w:r>
              <w:rPr>
                <w:color w:val="auto"/>
              </w:rPr>
              <w:t>0.5-1</w:t>
            </w:r>
          </w:p>
        </w:tc>
      </w:tr>
      <w:tr w14:paraId="6D82B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6E22CDF2">
            <w:pPr>
              <w:pStyle w:val="33"/>
              <w:rPr>
                <w:color w:val="auto"/>
              </w:rPr>
            </w:pPr>
            <w:r>
              <w:rPr>
                <w:rFonts w:hint="eastAsia"/>
                <w:color w:val="auto"/>
              </w:rPr>
              <w:t>脱墨废纸浆</w:t>
            </w:r>
          </w:p>
        </w:tc>
        <w:tc>
          <w:tcPr>
            <w:tcW w:w="517" w:type="pct"/>
            <w:vAlign w:val="center"/>
          </w:tcPr>
          <w:p w14:paraId="4843B506">
            <w:pPr>
              <w:pStyle w:val="33"/>
              <w:rPr>
                <w:color w:val="auto"/>
              </w:rPr>
            </w:pPr>
            <w:r>
              <w:rPr>
                <w:color w:val="auto"/>
              </w:rPr>
              <w:t>6-9</w:t>
            </w:r>
          </w:p>
        </w:tc>
        <w:tc>
          <w:tcPr>
            <w:tcW w:w="610" w:type="pct"/>
            <w:vAlign w:val="center"/>
          </w:tcPr>
          <w:p w14:paraId="6884879C">
            <w:pPr>
              <w:pStyle w:val="33"/>
              <w:rPr>
                <w:color w:val="auto"/>
              </w:rPr>
            </w:pPr>
            <w:r>
              <w:rPr>
                <w:color w:val="auto"/>
              </w:rPr>
              <w:t>450-3000</w:t>
            </w:r>
          </w:p>
        </w:tc>
        <w:tc>
          <w:tcPr>
            <w:tcW w:w="744" w:type="pct"/>
            <w:vAlign w:val="center"/>
          </w:tcPr>
          <w:p w14:paraId="3F53631C">
            <w:pPr>
              <w:pStyle w:val="33"/>
              <w:rPr>
                <w:color w:val="auto"/>
              </w:rPr>
            </w:pPr>
            <w:r>
              <w:rPr>
                <w:color w:val="auto"/>
              </w:rPr>
              <w:t>1200-6500</w:t>
            </w:r>
          </w:p>
        </w:tc>
        <w:tc>
          <w:tcPr>
            <w:tcW w:w="681" w:type="pct"/>
            <w:vAlign w:val="center"/>
          </w:tcPr>
          <w:p w14:paraId="7D0DF12D">
            <w:pPr>
              <w:pStyle w:val="33"/>
              <w:rPr>
                <w:color w:val="auto"/>
              </w:rPr>
            </w:pPr>
            <w:r>
              <w:rPr>
                <w:color w:val="auto"/>
              </w:rPr>
              <w:t>350-2000</w:t>
            </w:r>
          </w:p>
        </w:tc>
        <w:tc>
          <w:tcPr>
            <w:tcW w:w="407" w:type="pct"/>
            <w:vAlign w:val="center"/>
          </w:tcPr>
          <w:p w14:paraId="1AEA3A8B">
            <w:pPr>
              <w:pStyle w:val="33"/>
              <w:rPr>
                <w:color w:val="auto"/>
              </w:rPr>
            </w:pPr>
            <w:r>
              <w:rPr>
                <w:color w:val="auto"/>
              </w:rPr>
              <w:t>0-1</w:t>
            </w:r>
          </w:p>
        </w:tc>
        <w:tc>
          <w:tcPr>
            <w:tcW w:w="385" w:type="pct"/>
            <w:vAlign w:val="center"/>
          </w:tcPr>
          <w:p w14:paraId="26D4AF41">
            <w:pPr>
              <w:pStyle w:val="33"/>
              <w:rPr>
                <w:color w:val="auto"/>
              </w:rPr>
            </w:pPr>
            <w:r>
              <w:rPr>
                <w:color w:val="auto"/>
              </w:rPr>
              <w:t>3-10</w:t>
            </w:r>
          </w:p>
        </w:tc>
        <w:tc>
          <w:tcPr>
            <w:tcW w:w="385" w:type="pct"/>
            <w:vAlign w:val="center"/>
          </w:tcPr>
          <w:p w14:paraId="48541266">
            <w:pPr>
              <w:pStyle w:val="33"/>
              <w:rPr>
                <w:color w:val="auto"/>
              </w:rPr>
            </w:pPr>
            <w:r>
              <w:rPr>
                <w:color w:val="auto"/>
              </w:rPr>
              <w:t>2-6</w:t>
            </w:r>
          </w:p>
        </w:tc>
        <w:tc>
          <w:tcPr>
            <w:tcW w:w="500" w:type="pct"/>
            <w:vAlign w:val="center"/>
          </w:tcPr>
          <w:p w14:paraId="5C52BF53">
            <w:pPr>
              <w:pStyle w:val="33"/>
              <w:rPr>
                <w:color w:val="auto"/>
              </w:rPr>
            </w:pPr>
            <w:r>
              <w:rPr>
                <w:color w:val="auto"/>
              </w:rPr>
              <w:t>0.5-1.5</w:t>
            </w:r>
          </w:p>
        </w:tc>
      </w:tr>
      <w:tr w14:paraId="1D415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5" w:type="pct"/>
            <w:vAlign w:val="center"/>
          </w:tcPr>
          <w:p w14:paraId="4BE81EC7">
            <w:pPr>
              <w:pStyle w:val="33"/>
              <w:rPr>
                <w:color w:val="auto"/>
              </w:rPr>
            </w:pPr>
            <w:r>
              <w:rPr>
                <w:rFonts w:hint="eastAsia"/>
                <w:color w:val="auto"/>
              </w:rPr>
              <w:t>造纸废水</w:t>
            </w:r>
          </w:p>
        </w:tc>
        <w:tc>
          <w:tcPr>
            <w:tcW w:w="517" w:type="pct"/>
            <w:vAlign w:val="center"/>
          </w:tcPr>
          <w:p w14:paraId="22F19608">
            <w:pPr>
              <w:pStyle w:val="33"/>
              <w:rPr>
                <w:color w:val="auto"/>
              </w:rPr>
            </w:pPr>
            <w:r>
              <w:rPr>
                <w:color w:val="auto"/>
              </w:rPr>
              <w:t>6-9</w:t>
            </w:r>
          </w:p>
        </w:tc>
        <w:tc>
          <w:tcPr>
            <w:tcW w:w="610" w:type="pct"/>
            <w:vAlign w:val="center"/>
          </w:tcPr>
          <w:p w14:paraId="29156D4D">
            <w:pPr>
              <w:pStyle w:val="33"/>
              <w:rPr>
                <w:color w:val="auto"/>
              </w:rPr>
            </w:pPr>
            <w:r>
              <w:rPr>
                <w:color w:val="auto"/>
              </w:rPr>
              <w:t>250-1300</w:t>
            </w:r>
          </w:p>
        </w:tc>
        <w:tc>
          <w:tcPr>
            <w:tcW w:w="744" w:type="pct"/>
            <w:vAlign w:val="center"/>
          </w:tcPr>
          <w:p w14:paraId="360EE5E2">
            <w:pPr>
              <w:pStyle w:val="33"/>
              <w:rPr>
                <w:color w:val="auto"/>
              </w:rPr>
            </w:pPr>
            <w:r>
              <w:rPr>
                <w:color w:val="auto"/>
              </w:rPr>
              <w:t>500-1800</w:t>
            </w:r>
          </w:p>
        </w:tc>
        <w:tc>
          <w:tcPr>
            <w:tcW w:w="681" w:type="pct"/>
            <w:vAlign w:val="center"/>
          </w:tcPr>
          <w:p w14:paraId="7495F0CE">
            <w:pPr>
              <w:pStyle w:val="33"/>
              <w:rPr>
                <w:color w:val="auto"/>
              </w:rPr>
            </w:pPr>
            <w:r>
              <w:rPr>
                <w:color w:val="auto"/>
              </w:rPr>
              <w:t>180-800</w:t>
            </w:r>
          </w:p>
        </w:tc>
        <w:tc>
          <w:tcPr>
            <w:tcW w:w="407" w:type="pct"/>
            <w:vAlign w:val="center"/>
          </w:tcPr>
          <w:p w14:paraId="374409A5">
            <w:pPr>
              <w:pStyle w:val="33"/>
              <w:rPr>
                <w:color w:val="auto"/>
              </w:rPr>
            </w:pPr>
            <w:r>
              <w:rPr>
                <w:color w:val="auto"/>
              </w:rPr>
              <w:t>0-1</w:t>
            </w:r>
          </w:p>
        </w:tc>
        <w:tc>
          <w:tcPr>
            <w:tcW w:w="385" w:type="pct"/>
            <w:vAlign w:val="center"/>
          </w:tcPr>
          <w:p w14:paraId="4832CDB1">
            <w:pPr>
              <w:pStyle w:val="33"/>
              <w:rPr>
                <w:color w:val="auto"/>
              </w:rPr>
            </w:pPr>
            <w:r>
              <w:rPr>
                <w:color w:val="auto"/>
              </w:rPr>
              <w:t>2-4</w:t>
            </w:r>
          </w:p>
        </w:tc>
        <w:tc>
          <w:tcPr>
            <w:tcW w:w="385" w:type="pct"/>
            <w:vAlign w:val="center"/>
          </w:tcPr>
          <w:p w14:paraId="6009D577">
            <w:pPr>
              <w:pStyle w:val="33"/>
              <w:rPr>
                <w:color w:val="auto"/>
              </w:rPr>
            </w:pPr>
            <w:r>
              <w:rPr>
                <w:color w:val="auto"/>
              </w:rPr>
              <w:t>1-3</w:t>
            </w:r>
          </w:p>
        </w:tc>
        <w:tc>
          <w:tcPr>
            <w:tcW w:w="500" w:type="pct"/>
            <w:vAlign w:val="center"/>
          </w:tcPr>
          <w:p w14:paraId="744F3216">
            <w:pPr>
              <w:pStyle w:val="33"/>
              <w:rPr>
                <w:color w:val="auto"/>
              </w:rPr>
            </w:pPr>
            <w:r>
              <w:rPr>
                <w:color w:val="auto"/>
              </w:rPr>
              <w:t>0.5-1</w:t>
            </w:r>
          </w:p>
        </w:tc>
      </w:tr>
    </w:tbl>
    <w:p w14:paraId="6F133F5D">
      <w:pPr>
        <w:ind w:firstLine="480"/>
        <w:rPr>
          <w:color w:val="auto"/>
        </w:rPr>
      </w:pPr>
      <w:r>
        <w:rPr>
          <w:color w:val="auto"/>
        </w:rPr>
        <w:t>3#</w:t>
      </w:r>
      <w:r>
        <w:rPr>
          <w:rFonts w:hint="eastAsia"/>
          <w:color w:val="auto"/>
        </w:rPr>
        <w:t>污水处理站处理的为造纸综合废水。结合企业提供资料，</w:t>
      </w:r>
      <w:r>
        <w:rPr>
          <w:color w:val="auto"/>
        </w:rPr>
        <w:t>1#</w:t>
      </w:r>
      <w:r>
        <w:rPr>
          <w:rFonts w:hint="eastAsia"/>
          <w:color w:val="auto"/>
        </w:rPr>
        <w:t>污水处理站进水</w:t>
      </w:r>
      <w:r>
        <w:rPr>
          <w:color w:val="auto"/>
        </w:rPr>
        <w:t>COD</w:t>
      </w:r>
      <w:r>
        <w:rPr>
          <w:rFonts w:hint="eastAsia"/>
          <w:color w:val="auto"/>
        </w:rPr>
        <w:t>约为</w:t>
      </w:r>
      <w:r>
        <w:rPr>
          <w:color w:val="auto"/>
        </w:rPr>
        <w:t>2495mg/L</w:t>
      </w:r>
      <w:r>
        <w:rPr>
          <w:rFonts w:hint="eastAsia"/>
          <w:color w:val="auto"/>
        </w:rPr>
        <w:t>、</w:t>
      </w:r>
      <w:r>
        <w:rPr>
          <w:color w:val="auto"/>
        </w:rPr>
        <w:t>BOD</w:t>
      </w:r>
      <w:r>
        <w:rPr>
          <w:color w:val="auto"/>
          <w:vertAlign w:val="subscript"/>
        </w:rPr>
        <w:t>5</w:t>
      </w:r>
      <w:r>
        <w:rPr>
          <w:rFonts w:hint="eastAsia"/>
          <w:color w:val="auto"/>
        </w:rPr>
        <w:t>约为</w:t>
      </w:r>
      <w:r>
        <w:rPr>
          <w:color w:val="auto"/>
        </w:rPr>
        <w:t>1186mg/L</w:t>
      </w:r>
      <w:r>
        <w:rPr>
          <w:rFonts w:hint="eastAsia"/>
          <w:color w:val="auto"/>
        </w:rPr>
        <w:t>。综上，设计进水水质是合理的。</w:t>
      </w:r>
    </w:p>
    <w:p w14:paraId="628A7743">
      <w:pPr>
        <w:ind w:left="480" w:leftChars="200" w:firstLine="0" w:firstLineChars="0"/>
        <w:rPr>
          <w:color w:val="auto"/>
        </w:rPr>
      </w:pPr>
    </w:p>
    <w:p w14:paraId="750E3EB9">
      <w:pPr>
        <w:numPr>
          <w:ilvl w:val="0"/>
          <w:numId w:val="12"/>
        </w:numPr>
        <w:ind w:firstLine="480"/>
        <w:rPr>
          <w:color w:val="auto"/>
        </w:rPr>
      </w:pPr>
      <w:r>
        <w:rPr>
          <w:rFonts w:hint="eastAsia"/>
          <w:color w:val="auto"/>
        </w:rPr>
        <w:t>水量接纳可行性分析</w:t>
      </w:r>
    </w:p>
    <w:p w14:paraId="709F847A">
      <w:pPr>
        <w:ind w:firstLine="480"/>
        <w:rPr>
          <w:color w:val="auto"/>
        </w:rPr>
      </w:pPr>
      <w:r>
        <w:rPr>
          <w:rFonts w:hint="eastAsia"/>
          <w:color w:val="auto"/>
        </w:rPr>
        <w:t>本次升级改造项目完成后后全厂排水量89528.36m</w:t>
      </w:r>
      <w:r>
        <w:rPr>
          <w:rFonts w:hint="eastAsia"/>
          <w:color w:val="auto"/>
          <w:vertAlign w:val="superscript"/>
        </w:rPr>
        <w:t>3</w:t>
      </w:r>
      <w:r>
        <w:rPr>
          <w:rFonts w:hint="eastAsia"/>
          <w:color w:val="auto"/>
        </w:rPr>
        <w:t>/d，全厂新增排水量为3677.76m</w:t>
      </w:r>
      <w:r>
        <w:rPr>
          <w:rFonts w:hint="eastAsia"/>
          <w:color w:val="auto"/>
          <w:vertAlign w:val="superscript"/>
        </w:rPr>
        <w:t>3</w:t>
      </w:r>
      <w:r>
        <w:rPr>
          <w:rFonts w:hint="eastAsia"/>
          <w:color w:val="auto"/>
        </w:rPr>
        <w:t>/d。排水依托现有污水处理站，现有1#污水处理站建成1条处理规模为60000m</w:t>
      </w:r>
      <w:r>
        <w:rPr>
          <w:rFonts w:hint="eastAsia"/>
          <w:color w:val="auto"/>
          <w:vertAlign w:val="superscript"/>
        </w:rPr>
        <w:t>3</w:t>
      </w:r>
      <w:r>
        <w:rPr>
          <w:rFonts w:hint="eastAsia"/>
          <w:color w:val="auto"/>
        </w:rPr>
        <w:t>/d的污水处理系统，以及技改新增（已批在建）1套处理能力21000m</w:t>
      </w:r>
      <w:r>
        <w:rPr>
          <w:rFonts w:hint="eastAsia"/>
          <w:color w:val="auto"/>
          <w:vertAlign w:val="superscript"/>
        </w:rPr>
        <w:t>3</w:t>
      </w:r>
      <w:r>
        <w:rPr>
          <w:rFonts w:hint="eastAsia"/>
          <w:color w:val="auto"/>
        </w:rPr>
        <w:t>/d处理规模的污水处理系统，2#污水处理站，设计处理规模为45000m</w:t>
      </w:r>
      <w:r>
        <w:rPr>
          <w:rFonts w:hint="eastAsia"/>
          <w:color w:val="auto"/>
          <w:vertAlign w:val="superscript"/>
        </w:rPr>
        <w:t>3</w:t>
      </w:r>
      <w:r>
        <w:rPr>
          <w:rFonts w:hint="eastAsia"/>
          <w:color w:val="auto"/>
        </w:rPr>
        <w:t>/d，新建污水处理站设计处理规模为20000m</w:t>
      </w:r>
      <w:r>
        <w:rPr>
          <w:rFonts w:hint="eastAsia"/>
          <w:color w:val="auto"/>
          <w:vertAlign w:val="superscript"/>
        </w:rPr>
        <w:t>3</w:t>
      </w:r>
      <w:r>
        <w:rPr>
          <w:rFonts w:hint="eastAsia"/>
          <w:color w:val="auto"/>
        </w:rPr>
        <w:t>/d。处理能力满足该项目要求。</w:t>
      </w:r>
    </w:p>
    <w:p w14:paraId="6F3C8CBB">
      <w:pPr>
        <w:ind w:firstLine="480"/>
        <w:rPr>
          <w:color w:val="auto"/>
        </w:rPr>
      </w:pPr>
      <w:r>
        <w:rPr>
          <w:rFonts w:hint="eastAsia"/>
          <w:color w:val="auto"/>
        </w:rPr>
        <w:t>本工程生产及生活污水收集后进入新建污水处理站处理，并在末端新增中水回用系统，处理能力5000m</w:t>
      </w:r>
      <w:r>
        <w:rPr>
          <w:rFonts w:hint="eastAsia"/>
          <w:color w:val="auto"/>
          <w:vertAlign w:val="superscript"/>
        </w:rPr>
        <w:t>3</w:t>
      </w:r>
      <w:r>
        <w:rPr>
          <w:rFonts w:hint="eastAsia"/>
          <w:color w:val="auto"/>
        </w:rPr>
        <w:t>/d，生产废水经过新建污水处理站处理后，3677.76m</w:t>
      </w:r>
      <w:r>
        <w:rPr>
          <w:rFonts w:hint="eastAsia"/>
          <w:color w:val="auto"/>
          <w:vertAlign w:val="superscript"/>
        </w:rPr>
        <w:t>3</w:t>
      </w:r>
      <w:r>
        <w:rPr>
          <w:rFonts w:hint="eastAsia"/>
          <w:color w:val="auto"/>
        </w:rPr>
        <w:t>/d进入中水回用系统，经过处理后回用至冷却塔，用于冷却塔补水。因此项目不新增排水，项目依托现有排海管道可行。措施可行性分析</w:t>
      </w:r>
    </w:p>
    <w:p w14:paraId="67A02251">
      <w:pPr>
        <w:ind w:firstLine="480"/>
        <w:rPr>
          <w:color w:val="auto"/>
        </w:rPr>
      </w:pPr>
      <w:r>
        <w:rPr>
          <w:rFonts w:hint="eastAsia"/>
          <w:color w:val="auto"/>
        </w:rPr>
        <w:t>（3）措施可行性分析</w:t>
      </w:r>
    </w:p>
    <w:p w14:paraId="00EFDD7F">
      <w:pPr>
        <w:ind w:left="480" w:leftChars="200" w:firstLine="0" w:firstLineChars="0"/>
        <w:rPr>
          <w:color w:val="auto"/>
        </w:rPr>
      </w:pPr>
      <w:r>
        <w:rPr>
          <w:rFonts w:hint="eastAsia"/>
          <w:color w:val="auto"/>
        </w:rPr>
        <w:t>①新建污水处理站可行性分析</w:t>
      </w:r>
    </w:p>
    <w:p w14:paraId="0D10F27C">
      <w:pPr>
        <w:ind w:firstLine="480"/>
        <w:rPr>
          <w:color w:val="auto"/>
        </w:rPr>
      </w:pPr>
      <w:r>
        <w:rPr>
          <w:rFonts w:hint="eastAsia"/>
          <w:color w:val="auto"/>
        </w:rPr>
        <w:t>新建污水处理站采用“混凝沉淀+A/O+混凝沉淀”工艺。</w:t>
      </w:r>
    </w:p>
    <w:p w14:paraId="5E332C01">
      <w:pPr>
        <w:numPr>
          <w:ilvl w:val="0"/>
          <w:numId w:val="13"/>
        </w:numPr>
        <w:ind w:firstLine="480"/>
        <w:rPr>
          <w:color w:val="auto"/>
        </w:rPr>
      </w:pPr>
      <w:r>
        <w:rPr>
          <w:rFonts w:hint="eastAsia"/>
          <w:color w:val="auto"/>
        </w:rPr>
        <w:t>预处理系统</w:t>
      </w:r>
    </w:p>
    <w:p w14:paraId="6C2C071A">
      <w:pPr>
        <w:ind w:firstLine="480"/>
        <w:rPr>
          <w:color w:val="auto"/>
        </w:rPr>
      </w:pPr>
      <w:r>
        <w:rPr>
          <w:rFonts w:hint="eastAsia"/>
          <w:color w:val="auto"/>
        </w:rPr>
        <w:t>生产污水经过格栅去除大颗粒悬浮物，然后自流进入集水池均化水质，经污水泵提升至混凝池进一步将污水中的悬浮物混凝沉淀，随后流入初沉池，并在初沉池完成固液分离。后进入A/O生化处理系统进行处理。</w:t>
      </w:r>
    </w:p>
    <w:p w14:paraId="701965C8">
      <w:pPr>
        <w:numPr>
          <w:ilvl w:val="0"/>
          <w:numId w:val="13"/>
        </w:numPr>
        <w:ind w:firstLine="480"/>
        <w:rPr>
          <w:color w:val="auto"/>
        </w:rPr>
      </w:pPr>
      <w:r>
        <w:rPr>
          <w:rFonts w:hint="eastAsia"/>
          <w:color w:val="auto"/>
        </w:rPr>
        <w:t>A/O生化处理系统</w:t>
      </w:r>
    </w:p>
    <w:p w14:paraId="196294E2">
      <w:pPr>
        <w:ind w:firstLine="480"/>
        <w:rPr>
          <w:color w:val="auto"/>
        </w:rPr>
      </w:pPr>
      <w:r>
        <w:rPr>
          <w:rFonts w:hint="eastAsia"/>
          <w:color w:val="auto"/>
        </w:rPr>
        <w:t>经过预处理的废水首先进入缺氧池进行处理，</w:t>
      </w:r>
      <w:r>
        <w:rPr>
          <w:color w:val="auto"/>
        </w:rPr>
        <w:t>反硝化菌在缺氧环境中将硝态氮转换为氮气从而去除水体中的总氮。活性污泥将废水中的有机质吸附于表面，为下一阶段的硝化做准备。缺氧池出水自流入</w:t>
      </w:r>
      <w:r>
        <w:rPr>
          <w:rFonts w:hint="eastAsia"/>
          <w:color w:val="auto"/>
        </w:rPr>
        <w:t>好氧</w:t>
      </w:r>
      <w:r>
        <w:rPr>
          <w:color w:val="auto"/>
        </w:rPr>
        <w:t>池。</w:t>
      </w:r>
      <w:r>
        <w:rPr>
          <w:bCs/>
          <w:color w:val="auto"/>
        </w:rPr>
        <w:t>通过好氧微生物代谢活动，进一步降解废水中的有机物。</w:t>
      </w:r>
      <w:r>
        <w:rPr>
          <w:rFonts w:hint="eastAsia"/>
          <w:bCs/>
          <w:color w:val="auto"/>
        </w:rPr>
        <w:t>好氧池出水进入二沉池进行静置沉淀。随后进入终沉池进一步处理。</w:t>
      </w:r>
    </w:p>
    <w:p w14:paraId="75F652E0">
      <w:pPr>
        <w:numPr>
          <w:ilvl w:val="0"/>
          <w:numId w:val="13"/>
        </w:numPr>
        <w:ind w:firstLine="480"/>
        <w:rPr>
          <w:color w:val="auto"/>
        </w:rPr>
      </w:pPr>
      <w:r>
        <w:rPr>
          <w:rFonts w:hint="eastAsia"/>
          <w:color w:val="auto"/>
        </w:rPr>
        <w:t>三级处理系统</w:t>
      </w:r>
    </w:p>
    <w:p w14:paraId="05D66519">
      <w:pPr>
        <w:ind w:firstLine="480"/>
        <w:rPr>
          <w:color w:val="auto"/>
        </w:rPr>
      </w:pPr>
      <w:r>
        <w:rPr>
          <w:rFonts w:hint="eastAsia"/>
          <w:color w:val="auto"/>
        </w:rPr>
        <w:t>二沉池出水进入终沉池后加入混凝剂进一步沉淀，经过处理后的废水一部分进入中水回用系统回用后用于冷却塔，剩余部分排放。</w:t>
      </w:r>
    </w:p>
    <w:p w14:paraId="0CF11E2B">
      <w:pPr>
        <w:ind w:firstLine="480"/>
        <w:rPr>
          <w:color w:val="auto"/>
        </w:rPr>
      </w:pPr>
      <w:r>
        <w:rPr>
          <w:rFonts w:hint="eastAsia"/>
          <w:color w:val="auto"/>
        </w:rPr>
        <w:t>处理废水水质情况见下表。</w:t>
      </w:r>
    </w:p>
    <w:p w14:paraId="191EFFEF">
      <w:pPr>
        <w:pStyle w:val="7"/>
        <w:rPr>
          <w:color w:val="auto"/>
        </w:rPr>
      </w:pPr>
      <w:r>
        <w:rPr>
          <w:rFonts w:hint="eastAsia"/>
          <w:color w:val="auto"/>
        </w:rPr>
        <w:t>设计处理进出水水质表单位mg/L色度除外</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1512"/>
        <w:gridCol w:w="1514"/>
        <w:gridCol w:w="1507"/>
        <w:gridCol w:w="1503"/>
        <w:gridCol w:w="1521"/>
      </w:tblGrid>
      <w:tr w14:paraId="37D5F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3" w:type="dxa"/>
          </w:tcPr>
          <w:p w14:paraId="554D4306">
            <w:pPr>
              <w:pStyle w:val="33"/>
              <w:rPr>
                <w:color w:val="auto"/>
              </w:rPr>
            </w:pPr>
            <w:r>
              <w:rPr>
                <w:rFonts w:hint="eastAsia"/>
                <w:color w:val="auto"/>
              </w:rPr>
              <w:t>水质因子</w:t>
            </w:r>
          </w:p>
        </w:tc>
        <w:tc>
          <w:tcPr>
            <w:tcW w:w="1512" w:type="dxa"/>
          </w:tcPr>
          <w:p w14:paraId="101116CC">
            <w:pPr>
              <w:pStyle w:val="33"/>
              <w:rPr>
                <w:color w:val="auto"/>
              </w:rPr>
            </w:pPr>
            <w:r>
              <w:rPr>
                <w:rFonts w:hint="eastAsia"/>
                <w:color w:val="auto"/>
              </w:rPr>
              <w:t>COD</w:t>
            </w:r>
          </w:p>
        </w:tc>
        <w:tc>
          <w:tcPr>
            <w:tcW w:w="1514" w:type="dxa"/>
          </w:tcPr>
          <w:p w14:paraId="7AA44CDF">
            <w:pPr>
              <w:pStyle w:val="33"/>
              <w:rPr>
                <w:color w:val="auto"/>
              </w:rPr>
            </w:pPr>
            <w:r>
              <w:rPr>
                <w:rFonts w:hint="eastAsia"/>
                <w:color w:val="auto"/>
              </w:rPr>
              <w:t>BOD</w:t>
            </w:r>
            <w:r>
              <w:rPr>
                <w:rFonts w:hint="eastAsia"/>
                <w:color w:val="auto"/>
                <w:vertAlign w:val="subscript"/>
              </w:rPr>
              <w:t>5</w:t>
            </w:r>
          </w:p>
        </w:tc>
        <w:tc>
          <w:tcPr>
            <w:tcW w:w="1507" w:type="dxa"/>
          </w:tcPr>
          <w:p w14:paraId="0C261322">
            <w:pPr>
              <w:pStyle w:val="33"/>
              <w:rPr>
                <w:color w:val="auto"/>
              </w:rPr>
            </w:pPr>
            <w:r>
              <w:rPr>
                <w:rFonts w:hint="eastAsia"/>
                <w:color w:val="auto"/>
              </w:rPr>
              <w:t>SS</w:t>
            </w:r>
          </w:p>
        </w:tc>
        <w:tc>
          <w:tcPr>
            <w:tcW w:w="1503" w:type="dxa"/>
          </w:tcPr>
          <w:p w14:paraId="2BB8A63E">
            <w:pPr>
              <w:pStyle w:val="33"/>
              <w:rPr>
                <w:color w:val="auto"/>
              </w:rPr>
            </w:pPr>
            <w:r>
              <w:rPr>
                <w:rFonts w:hint="eastAsia"/>
                <w:color w:val="auto"/>
              </w:rPr>
              <w:t>氨氮</w:t>
            </w:r>
          </w:p>
        </w:tc>
        <w:tc>
          <w:tcPr>
            <w:tcW w:w="1521" w:type="dxa"/>
          </w:tcPr>
          <w:p w14:paraId="65CE566A">
            <w:pPr>
              <w:pStyle w:val="33"/>
              <w:rPr>
                <w:color w:val="auto"/>
              </w:rPr>
            </w:pPr>
            <w:r>
              <w:rPr>
                <w:rFonts w:hint="eastAsia"/>
                <w:color w:val="auto"/>
              </w:rPr>
              <w:t>色度</w:t>
            </w:r>
          </w:p>
        </w:tc>
      </w:tr>
      <w:tr w14:paraId="31F1F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3" w:type="dxa"/>
          </w:tcPr>
          <w:p w14:paraId="2725B7AE">
            <w:pPr>
              <w:pStyle w:val="33"/>
              <w:rPr>
                <w:color w:val="auto"/>
              </w:rPr>
            </w:pPr>
            <w:r>
              <w:rPr>
                <w:rFonts w:hint="eastAsia"/>
                <w:color w:val="auto"/>
              </w:rPr>
              <w:t>进水</w:t>
            </w:r>
          </w:p>
        </w:tc>
        <w:tc>
          <w:tcPr>
            <w:tcW w:w="1512" w:type="dxa"/>
          </w:tcPr>
          <w:p w14:paraId="6D0443C8">
            <w:pPr>
              <w:pStyle w:val="33"/>
              <w:rPr>
                <w:color w:val="auto"/>
              </w:rPr>
            </w:pPr>
            <w:r>
              <w:rPr>
                <w:color w:val="auto"/>
              </w:rPr>
              <w:t>2700</w:t>
            </w:r>
          </w:p>
        </w:tc>
        <w:tc>
          <w:tcPr>
            <w:tcW w:w="1514" w:type="dxa"/>
          </w:tcPr>
          <w:p w14:paraId="57A94AFD">
            <w:pPr>
              <w:pStyle w:val="33"/>
              <w:rPr>
                <w:color w:val="auto"/>
              </w:rPr>
            </w:pPr>
            <w:r>
              <w:rPr>
                <w:color w:val="auto"/>
              </w:rPr>
              <w:t>1400</w:t>
            </w:r>
          </w:p>
        </w:tc>
        <w:tc>
          <w:tcPr>
            <w:tcW w:w="1507" w:type="dxa"/>
          </w:tcPr>
          <w:p w14:paraId="14AEA527">
            <w:pPr>
              <w:pStyle w:val="33"/>
              <w:rPr>
                <w:color w:val="auto"/>
              </w:rPr>
            </w:pPr>
            <w:r>
              <w:rPr>
                <w:color w:val="auto"/>
              </w:rPr>
              <w:t>700</w:t>
            </w:r>
          </w:p>
        </w:tc>
        <w:tc>
          <w:tcPr>
            <w:tcW w:w="1503" w:type="dxa"/>
          </w:tcPr>
          <w:p w14:paraId="0B028976">
            <w:pPr>
              <w:pStyle w:val="33"/>
              <w:rPr>
                <w:color w:val="auto"/>
              </w:rPr>
            </w:pPr>
            <w:r>
              <w:rPr>
                <w:color w:val="auto"/>
              </w:rPr>
              <w:t>4</w:t>
            </w:r>
          </w:p>
        </w:tc>
        <w:tc>
          <w:tcPr>
            <w:tcW w:w="1521" w:type="dxa"/>
          </w:tcPr>
          <w:p w14:paraId="7B60217F">
            <w:pPr>
              <w:pStyle w:val="33"/>
              <w:rPr>
                <w:color w:val="auto"/>
              </w:rPr>
            </w:pPr>
            <w:r>
              <w:rPr>
                <w:color w:val="auto"/>
              </w:rPr>
              <w:t>800(</w:t>
            </w:r>
            <w:r>
              <w:rPr>
                <w:rFonts w:hint="eastAsia"/>
                <w:color w:val="auto"/>
              </w:rPr>
              <w:t>倍</w:t>
            </w:r>
            <w:r>
              <w:rPr>
                <w:color w:val="auto"/>
              </w:rPr>
              <w:t>)</w:t>
            </w:r>
          </w:p>
        </w:tc>
      </w:tr>
      <w:tr w14:paraId="4AC74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03" w:type="dxa"/>
          </w:tcPr>
          <w:p w14:paraId="216556D7">
            <w:pPr>
              <w:pStyle w:val="33"/>
              <w:rPr>
                <w:color w:val="auto"/>
              </w:rPr>
            </w:pPr>
            <w:r>
              <w:rPr>
                <w:rFonts w:hint="eastAsia"/>
                <w:color w:val="auto"/>
              </w:rPr>
              <w:t>出水</w:t>
            </w:r>
          </w:p>
        </w:tc>
        <w:tc>
          <w:tcPr>
            <w:tcW w:w="1512" w:type="dxa"/>
          </w:tcPr>
          <w:p w14:paraId="47C12BFB">
            <w:pPr>
              <w:pStyle w:val="33"/>
              <w:rPr>
                <w:color w:val="auto"/>
              </w:rPr>
            </w:pPr>
            <w:r>
              <w:rPr>
                <w:color w:val="auto"/>
              </w:rPr>
              <w:t>62.21</w:t>
            </w:r>
          </w:p>
        </w:tc>
        <w:tc>
          <w:tcPr>
            <w:tcW w:w="1514" w:type="dxa"/>
          </w:tcPr>
          <w:p w14:paraId="58C106A9">
            <w:pPr>
              <w:pStyle w:val="33"/>
              <w:rPr>
                <w:color w:val="auto"/>
              </w:rPr>
            </w:pPr>
            <w:r>
              <w:rPr>
                <w:color w:val="auto"/>
              </w:rPr>
              <w:t>17.85</w:t>
            </w:r>
          </w:p>
        </w:tc>
        <w:tc>
          <w:tcPr>
            <w:tcW w:w="1507" w:type="dxa"/>
          </w:tcPr>
          <w:p w14:paraId="0029705E">
            <w:pPr>
              <w:pStyle w:val="33"/>
              <w:rPr>
                <w:color w:val="auto"/>
              </w:rPr>
            </w:pPr>
            <w:r>
              <w:rPr>
                <w:color w:val="auto"/>
              </w:rPr>
              <w:t>13.23</w:t>
            </w:r>
          </w:p>
        </w:tc>
        <w:tc>
          <w:tcPr>
            <w:tcW w:w="1503" w:type="dxa"/>
          </w:tcPr>
          <w:p w14:paraId="50C87A00">
            <w:pPr>
              <w:pStyle w:val="33"/>
              <w:rPr>
                <w:color w:val="auto"/>
              </w:rPr>
            </w:pPr>
            <w:r>
              <w:rPr>
                <w:rFonts w:hint="eastAsia"/>
                <w:color w:val="auto"/>
              </w:rPr>
              <w:t>＜</w:t>
            </w:r>
            <w:r>
              <w:rPr>
                <w:color w:val="auto"/>
              </w:rPr>
              <w:t>3</w:t>
            </w:r>
          </w:p>
        </w:tc>
        <w:tc>
          <w:tcPr>
            <w:tcW w:w="1521" w:type="dxa"/>
          </w:tcPr>
          <w:p w14:paraId="35FD2027">
            <w:pPr>
              <w:pStyle w:val="33"/>
              <w:rPr>
                <w:color w:val="auto"/>
              </w:rPr>
            </w:pPr>
            <w:r>
              <w:rPr>
                <w:color w:val="auto"/>
              </w:rPr>
              <w:t>26</w:t>
            </w:r>
          </w:p>
        </w:tc>
      </w:tr>
    </w:tbl>
    <w:p w14:paraId="03F92D67">
      <w:pPr>
        <w:ind w:firstLine="480"/>
        <w:rPr>
          <w:color w:val="auto"/>
        </w:rPr>
      </w:pPr>
      <w:r>
        <w:rPr>
          <w:rFonts w:hint="eastAsia"/>
          <w:color w:val="auto"/>
        </w:rPr>
        <w:t>根据《制浆造纸废水治理工程技术规范》（HJ2011-2012）附录B给出的纸浆造纸废水典型治理工艺处理机效率，其与项目情况符合性分析详见下表。</w:t>
      </w:r>
    </w:p>
    <w:p w14:paraId="094F8198">
      <w:pPr>
        <w:pStyle w:val="7"/>
        <w:numPr>
          <w:ilvl w:val="5"/>
          <w:numId w:val="1"/>
        </w:numPr>
        <w:rPr>
          <w:color w:val="auto"/>
        </w:rPr>
      </w:pPr>
      <w:r>
        <w:rPr>
          <w:rFonts w:hint="eastAsia"/>
          <w:color w:val="auto"/>
        </w:rPr>
        <w:t>《制浆造纸废水治理工程技术规范》（摘录）污水治理可行性分析 单位：%</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1222"/>
        <w:gridCol w:w="2119"/>
        <w:gridCol w:w="1681"/>
        <w:gridCol w:w="1107"/>
        <w:gridCol w:w="1619"/>
        <w:gridCol w:w="814"/>
      </w:tblGrid>
      <w:tr w14:paraId="660E7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14:paraId="4A2B4809">
            <w:pPr>
              <w:pStyle w:val="33"/>
              <w:rPr>
                <w:b/>
                <w:color w:val="auto"/>
              </w:rPr>
            </w:pPr>
            <w:r>
              <w:rPr>
                <w:rFonts w:hint="eastAsia"/>
                <w:b/>
                <w:color w:val="auto"/>
              </w:rPr>
              <w:t>处理级别</w:t>
            </w:r>
          </w:p>
        </w:tc>
        <w:tc>
          <w:tcPr>
            <w:tcW w:w="658" w:type="pct"/>
            <w:vAlign w:val="center"/>
          </w:tcPr>
          <w:p w14:paraId="7977545D">
            <w:pPr>
              <w:pStyle w:val="33"/>
              <w:rPr>
                <w:b/>
                <w:color w:val="auto"/>
              </w:rPr>
            </w:pPr>
            <w:r>
              <w:rPr>
                <w:rFonts w:hint="eastAsia"/>
                <w:b/>
                <w:color w:val="auto"/>
              </w:rPr>
              <w:t>处理工艺</w:t>
            </w:r>
          </w:p>
        </w:tc>
        <w:tc>
          <w:tcPr>
            <w:tcW w:w="1141" w:type="pct"/>
            <w:vAlign w:val="center"/>
          </w:tcPr>
          <w:p w14:paraId="71EC5E7B">
            <w:pPr>
              <w:pStyle w:val="33"/>
              <w:rPr>
                <w:b/>
                <w:color w:val="auto"/>
              </w:rPr>
            </w:pPr>
            <w:r>
              <w:rPr>
                <w:rFonts w:hint="eastAsia"/>
                <w:b/>
                <w:color w:val="auto"/>
              </w:rPr>
              <w:t>主要工艺</w:t>
            </w:r>
          </w:p>
        </w:tc>
        <w:tc>
          <w:tcPr>
            <w:tcW w:w="905" w:type="pct"/>
            <w:vAlign w:val="center"/>
          </w:tcPr>
          <w:p w14:paraId="13F187B4">
            <w:pPr>
              <w:pStyle w:val="33"/>
              <w:rPr>
                <w:b/>
                <w:color w:val="auto"/>
              </w:rPr>
            </w:pPr>
            <w:r>
              <w:rPr>
                <w:rFonts w:hint="eastAsia"/>
                <w:b/>
                <w:color w:val="auto"/>
              </w:rPr>
              <w:t>处理效率</w:t>
            </w:r>
          </w:p>
        </w:tc>
        <w:tc>
          <w:tcPr>
            <w:tcW w:w="596" w:type="pct"/>
            <w:vAlign w:val="center"/>
          </w:tcPr>
          <w:p w14:paraId="33EFB0F9">
            <w:pPr>
              <w:pStyle w:val="33"/>
              <w:rPr>
                <w:b/>
                <w:color w:val="auto"/>
              </w:rPr>
            </w:pPr>
            <w:r>
              <w:rPr>
                <w:rFonts w:hint="eastAsia"/>
                <w:b/>
                <w:color w:val="auto"/>
              </w:rPr>
              <w:t>项目情况</w:t>
            </w:r>
          </w:p>
        </w:tc>
        <w:tc>
          <w:tcPr>
            <w:tcW w:w="872" w:type="pct"/>
            <w:vAlign w:val="center"/>
          </w:tcPr>
          <w:p w14:paraId="0D651D39">
            <w:pPr>
              <w:pStyle w:val="33"/>
              <w:rPr>
                <w:b/>
                <w:color w:val="auto"/>
              </w:rPr>
            </w:pPr>
            <w:r>
              <w:rPr>
                <w:rFonts w:hint="eastAsia"/>
                <w:b/>
                <w:color w:val="auto"/>
              </w:rPr>
              <w:t>项目各级综合计去除率</w:t>
            </w:r>
          </w:p>
        </w:tc>
        <w:tc>
          <w:tcPr>
            <w:tcW w:w="438" w:type="pct"/>
            <w:vAlign w:val="center"/>
          </w:tcPr>
          <w:p w14:paraId="7B1EC23C">
            <w:pPr>
              <w:pStyle w:val="33"/>
              <w:rPr>
                <w:b/>
                <w:color w:val="auto"/>
              </w:rPr>
            </w:pPr>
            <w:r>
              <w:rPr>
                <w:rFonts w:hint="eastAsia"/>
                <w:b/>
                <w:color w:val="auto"/>
              </w:rPr>
              <w:t>可行性分析</w:t>
            </w:r>
          </w:p>
        </w:tc>
      </w:tr>
      <w:tr w14:paraId="63FDA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14:paraId="52F656FE">
            <w:pPr>
              <w:pStyle w:val="33"/>
              <w:rPr>
                <w:color w:val="auto"/>
              </w:rPr>
            </w:pPr>
            <w:r>
              <w:rPr>
                <w:rFonts w:hint="eastAsia"/>
                <w:color w:val="auto"/>
              </w:rPr>
              <w:t>一级</w:t>
            </w:r>
          </w:p>
        </w:tc>
        <w:tc>
          <w:tcPr>
            <w:tcW w:w="658" w:type="pct"/>
            <w:vAlign w:val="center"/>
          </w:tcPr>
          <w:p w14:paraId="4F742A23">
            <w:pPr>
              <w:pStyle w:val="33"/>
              <w:rPr>
                <w:color w:val="auto"/>
              </w:rPr>
            </w:pPr>
            <w:r>
              <w:rPr>
                <w:rFonts w:hint="eastAsia"/>
                <w:color w:val="auto"/>
              </w:rPr>
              <w:t>混凝沉淀</w:t>
            </w:r>
          </w:p>
        </w:tc>
        <w:tc>
          <w:tcPr>
            <w:tcW w:w="1141" w:type="pct"/>
            <w:vAlign w:val="center"/>
          </w:tcPr>
          <w:p w14:paraId="36814EB7">
            <w:pPr>
              <w:pStyle w:val="33"/>
              <w:rPr>
                <w:color w:val="auto"/>
              </w:rPr>
            </w:pPr>
            <w:r>
              <w:rPr>
                <w:rFonts w:hint="eastAsia"/>
                <w:color w:val="auto"/>
              </w:rPr>
              <w:t>格栅、滤筛、混凝沉淀</w:t>
            </w:r>
          </w:p>
        </w:tc>
        <w:tc>
          <w:tcPr>
            <w:tcW w:w="905" w:type="pct"/>
            <w:vAlign w:val="center"/>
          </w:tcPr>
          <w:p w14:paraId="4783A494">
            <w:pPr>
              <w:pStyle w:val="33"/>
              <w:rPr>
                <w:color w:val="auto"/>
              </w:rPr>
            </w:pPr>
            <w:r>
              <w:rPr>
                <w:color w:val="auto"/>
              </w:rPr>
              <w:t>COD:50-75</w:t>
            </w:r>
          </w:p>
          <w:p w14:paraId="204D9CBB">
            <w:pPr>
              <w:pStyle w:val="33"/>
              <w:rPr>
                <w:color w:val="auto"/>
              </w:rPr>
            </w:pPr>
            <w:r>
              <w:rPr>
                <w:color w:val="auto"/>
              </w:rPr>
              <w:t>BOD5</w:t>
            </w:r>
            <w:r>
              <w:rPr>
                <w:rFonts w:hint="eastAsia"/>
                <w:color w:val="auto"/>
              </w:rPr>
              <w:t>：</w:t>
            </w:r>
            <w:r>
              <w:rPr>
                <w:color w:val="auto"/>
              </w:rPr>
              <w:t>25-40</w:t>
            </w:r>
          </w:p>
          <w:p w14:paraId="37637056">
            <w:pPr>
              <w:pStyle w:val="33"/>
              <w:rPr>
                <w:color w:val="auto"/>
              </w:rPr>
            </w:pPr>
            <w:r>
              <w:rPr>
                <w:color w:val="auto"/>
              </w:rPr>
              <w:t>SS</w:t>
            </w:r>
            <w:r>
              <w:rPr>
                <w:rFonts w:hint="eastAsia"/>
                <w:color w:val="auto"/>
              </w:rPr>
              <w:t>：</w:t>
            </w:r>
            <w:r>
              <w:rPr>
                <w:color w:val="auto"/>
              </w:rPr>
              <w:t>80-90</w:t>
            </w:r>
          </w:p>
        </w:tc>
        <w:tc>
          <w:tcPr>
            <w:tcW w:w="596" w:type="pct"/>
            <w:vAlign w:val="center"/>
          </w:tcPr>
          <w:p w14:paraId="7CD97253">
            <w:pPr>
              <w:pStyle w:val="33"/>
              <w:rPr>
                <w:color w:val="auto"/>
              </w:rPr>
            </w:pPr>
            <w:r>
              <w:rPr>
                <w:rFonts w:hint="eastAsia"/>
                <w:color w:val="auto"/>
              </w:rPr>
              <w:t>斜网</w:t>
            </w:r>
            <w:r>
              <w:rPr>
                <w:color w:val="auto"/>
              </w:rPr>
              <w:t>+</w:t>
            </w:r>
            <w:r>
              <w:rPr>
                <w:rFonts w:hint="eastAsia"/>
                <w:color w:val="auto"/>
              </w:rPr>
              <w:t>混凝</w:t>
            </w:r>
            <w:r>
              <w:rPr>
                <w:color w:val="auto"/>
              </w:rPr>
              <w:t>+</w:t>
            </w:r>
            <w:r>
              <w:rPr>
                <w:rFonts w:hint="eastAsia"/>
                <w:color w:val="auto"/>
              </w:rPr>
              <w:t>沉淀</w:t>
            </w:r>
          </w:p>
        </w:tc>
        <w:tc>
          <w:tcPr>
            <w:tcW w:w="872" w:type="pct"/>
            <w:vAlign w:val="center"/>
          </w:tcPr>
          <w:p w14:paraId="20B06B1D">
            <w:pPr>
              <w:pStyle w:val="33"/>
              <w:rPr>
                <w:color w:val="auto"/>
              </w:rPr>
            </w:pPr>
            <w:r>
              <w:rPr>
                <w:color w:val="auto"/>
              </w:rPr>
              <w:t>COD:68</w:t>
            </w:r>
          </w:p>
          <w:p w14:paraId="2B09FA99">
            <w:pPr>
              <w:pStyle w:val="33"/>
              <w:rPr>
                <w:color w:val="auto"/>
              </w:rPr>
            </w:pPr>
            <w:r>
              <w:rPr>
                <w:color w:val="auto"/>
              </w:rPr>
              <w:t>BOD5</w:t>
            </w:r>
            <w:r>
              <w:rPr>
                <w:rFonts w:hint="eastAsia"/>
                <w:color w:val="auto"/>
              </w:rPr>
              <w:t>：</w:t>
            </w:r>
            <w:r>
              <w:rPr>
                <w:color w:val="auto"/>
              </w:rPr>
              <w:t>38.8</w:t>
            </w:r>
          </w:p>
          <w:p w14:paraId="6ED1B334">
            <w:pPr>
              <w:pStyle w:val="33"/>
              <w:rPr>
                <w:color w:val="auto"/>
              </w:rPr>
            </w:pPr>
            <w:r>
              <w:rPr>
                <w:color w:val="auto"/>
              </w:rPr>
              <w:t>SS</w:t>
            </w:r>
            <w:r>
              <w:rPr>
                <w:rFonts w:hint="eastAsia"/>
                <w:color w:val="auto"/>
              </w:rPr>
              <w:t>：</w:t>
            </w:r>
            <w:r>
              <w:rPr>
                <w:color w:val="auto"/>
              </w:rPr>
              <w:t>79</w:t>
            </w:r>
          </w:p>
        </w:tc>
        <w:tc>
          <w:tcPr>
            <w:tcW w:w="438" w:type="pct"/>
            <w:vAlign w:val="center"/>
          </w:tcPr>
          <w:p w14:paraId="7DD4B3AB">
            <w:pPr>
              <w:pStyle w:val="33"/>
              <w:rPr>
                <w:color w:val="auto"/>
              </w:rPr>
            </w:pPr>
            <w:r>
              <w:rPr>
                <w:rFonts w:hint="eastAsia"/>
                <w:color w:val="auto"/>
              </w:rPr>
              <w:t>可行</w:t>
            </w:r>
          </w:p>
        </w:tc>
      </w:tr>
      <w:tr w14:paraId="61E4C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14:paraId="15482A0F">
            <w:pPr>
              <w:pStyle w:val="33"/>
              <w:rPr>
                <w:color w:val="auto"/>
              </w:rPr>
            </w:pPr>
            <w:r>
              <w:rPr>
                <w:rFonts w:hint="eastAsia"/>
                <w:color w:val="auto"/>
              </w:rPr>
              <w:t>二级</w:t>
            </w:r>
          </w:p>
        </w:tc>
        <w:tc>
          <w:tcPr>
            <w:tcW w:w="658" w:type="pct"/>
            <w:vAlign w:val="center"/>
          </w:tcPr>
          <w:p w14:paraId="0C822D83">
            <w:pPr>
              <w:pStyle w:val="33"/>
              <w:rPr>
                <w:color w:val="auto"/>
              </w:rPr>
            </w:pPr>
            <w:r>
              <w:rPr>
                <w:rFonts w:hint="eastAsia"/>
                <w:color w:val="auto"/>
              </w:rPr>
              <w:t>厌氧</w:t>
            </w:r>
            <w:r>
              <w:rPr>
                <w:color w:val="auto"/>
              </w:rPr>
              <w:t>-</w:t>
            </w:r>
            <w:r>
              <w:rPr>
                <w:rFonts w:hint="eastAsia"/>
                <w:color w:val="auto"/>
              </w:rPr>
              <w:t>好氧生化</w:t>
            </w:r>
          </w:p>
        </w:tc>
        <w:tc>
          <w:tcPr>
            <w:tcW w:w="1141" w:type="pct"/>
            <w:vAlign w:val="center"/>
          </w:tcPr>
          <w:p w14:paraId="7918A692">
            <w:pPr>
              <w:pStyle w:val="33"/>
              <w:rPr>
                <w:color w:val="auto"/>
              </w:rPr>
            </w:pPr>
            <w:r>
              <w:rPr>
                <w:rFonts w:hint="eastAsia"/>
                <w:color w:val="auto"/>
              </w:rPr>
              <w:t>厌氧池、（中间沉淀池）、好氧生物池、二沉池</w:t>
            </w:r>
          </w:p>
        </w:tc>
        <w:tc>
          <w:tcPr>
            <w:tcW w:w="905" w:type="pct"/>
            <w:vAlign w:val="center"/>
          </w:tcPr>
          <w:p w14:paraId="22E1A457">
            <w:pPr>
              <w:pStyle w:val="33"/>
              <w:rPr>
                <w:color w:val="auto"/>
              </w:rPr>
            </w:pPr>
            <w:r>
              <w:rPr>
                <w:color w:val="auto"/>
              </w:rPr>
              <w:t>COD:65-85</w:t>
            </w:r>
          </w:p>
          <w:p w14:paraId="456A7460">
            <w:pPr>
              <w:pStyle w:val="33"/>
              <w:rPr>
                <w:color w:val="auto"/>
              </w:rPr>
            </w:pPr>
            <w:r>
              <w:rPr>
                <w:color w:val="auto"/>
              </w:rPr>
              <w:t>BOD5</w:t>
            </w:r>
            <w:r>
              <w:rPr>
                <w:rFonts w:hint="eastAsia"/>
                <w:color w:val="auto"/>
              </w:rPr>
              <w:t>：</w:t>
            </w:r>
            <w:r>
              <w:rPr>
                <w:color w:val="auto"/>
              </w:rPr>
              <w:t>85-95</w:t>
            </w:r>
          </w:p>
          <w:p w14:paraId="75DF5565">
            <w:pPr>
              <w:pStyle w:val="33"/>
              <w:rPr>
                <w:color w:val="auto"/>
              </w:rPr>
            </w:pPr>
            <w:r>
              <w:rPr>
                <w:color w:val="auto"/>
              </w:rPr>
              <w:t>SS</w:t>
            </w:r>
            <w:r>
              <w:rPr>
                <w:rFonts w:hint="eastAsia"/>
                <w:color w:val="auto"/>
              </w:rPr>
              <w:t>：</w:t>
            </w:r>
            <w:r>
              <w:rPr>
                <w:color w:val="auto"/>
              </w:rPr>
              <w:t>75-90</w:t>
            </w:r>
          </w:p>
        </w:tc>
        <w:tc>
          <w:tcPr>
            <w:tcW w:w="596" w:type="pct"/>
            <w:vAlign w:val="center"/>
          </w:tcPr>
          <w:p w14:paraId="13DBF476">
            <w:pPr>
              <w:pStyle w:val="33"/>
              <w:rPr>
                <w:color w:val="auto"/>
              </w:rPr>
            </w:pPr>
            <w:r>
              <w:rPr>
                <w:color w:val="auto"/>
              </w:rPr>
              <w:t>A/O</w:t>
            </w:r>
            <w:r>
              <w:rPr>
                <w:rFonts w:hint="eastAsia"/>
                <w:color w:val="auto"/>
              </w:rPr>
              <w:t>工艺</w:t>
            </w:r>
          </w:p>
        </w:tc>
        <w:tc>
          <w:tcPr>
            <w:tcW w:w="872" w:type="pct"/>
            <w:vAlign w:val="center"/>
          </w:tcPr>
          <w:p w14:paraId="2846AB56">
            <w:pPr>
              <w:pStyle w:val="33"/>
              <w:rPr>
                <w:color w:val="auto"/>
              </w:rPr>
            </w:pPr>
            <w:r>
              <w:rPr>
                <w:color w:val="auto"/>
              </w:rPr>
              <w:t>COD:82</w:t>
            </w:r>
          </w:p>
          <w:p w14:paraId="3A27C9F3">
            <w:pPr>
              <w:pStyle w:val="33"/>
              <w:rPr>
                <w:color w:val="auto"/>
              </w:rPr>
            </w:pPr>
            <w:r>
              <w:rPr>
                <w:color w:val="auto"/>
              </w:rPr>
              <w:t>BOD5</w:t>
            </w:r>
            <w:r>
              <w:rPr>
                <w:rFonts w:hint="eastAsia"/>
                <w:color w:val="auto"/>
              </w:rPr>
              <w:t>：</w:t>
            </w:r>
            <w:r>
              <w:rPr>
                <w:color w:val="auto"/>
              </w:rPr>
              <w:t>95</w:t>
            </w:r>
          </w:p>
          <w:p w14:paraId="55211731">
            <w:pPr>
              <w:pStyle w:val="33"/>
              <w:rPr>
                <w:color w:val="auto"/>
              </w:rPr>
            </w:pPr>
            <w:r>
              <w:rPr>
                <w:color w:val="auto"/>
              </w:rPr>
              <w:t>SS</w:t>
            </w:r>
            <w:r>
              <w:rPr>
                <w:rFonts w:hint="eastAsia"/>
                <w:color w:val="auto"/>
              </w:rPr>
              <w:t>：</w:t>
            </w:r>
            <w:r>
              <w:rPr>
                <w:color w:val="auto"/>
              </w:rPr>
              <w:t>70</w:t>
            </w:r>
          </w:p>
        </w:tc>
        <w:tc>
          <w:tcPr>
            <w:tcW w:w="438" w:type="pct"/>
            <w:vAlign w:val="center"/>
          </w:tcPr>
          <w:p w14:paraId="7183A1D8">
            <w:pPr>
              <w:pStyle w:val="33"/>
              <w:rPr>
                <w:color w:val="auto"/>
              </w:rPr>
            </w:pPr>
            <w:r>
              <w:rPr>
                <w:rFonts w:hint="eastAsia"/>
                <w:color w:val="auto"/>
              </w:rPr>
              <w:t>可行</w:t>
            </w:r>
          </w:p>
        </w:tc>
      </w:tr>
      <w:tr w14:paraId="6D984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0" w:type="pct"/>
            <w:vAlign w:val="center"/>
          </w:tcPr>
          <w:p w14:paraId="20DDE910">
            <w:pPr>
              <w:pStyle w:val="33"/>
              <w:rPr>
                <w:color w:val="auto"/>
              </w:rPr>
            </w:pPr>
            <w:r>
              <w:rPr>
                <w:rFonts w:hint="eastAsia"/>
                <w:color w:val="auto"/>
              </w:rPr>
              <w:t>三级</w:t>
            </w:r>
          </w:p>
        </w:tc>
        <w:tc>
          <w:tcPr>
            <w:tcW w:w="658" w:type="pct"/>
            <w:vAlign w:val="center"/>
          </w:tcPr>
          <w:p w14:paraId="7C42CD32">
            <w:pPr>
              <w:pStyle w:val="33"/>
              <w:rPr>
                <w:color w:val="auto"/>
              </w:rPr>
            </w:pPr>
            <w:r>
              <w:rPr>
                <w:rFonts w:hint="eastAsia"/>
                <w:color w:val="auto"/>
              </w:rPr>
              <w:t>混凝沉淀（气浮）</w:t>
            </w:r>
          </w:p>
        </w:tc>
        <w:tc>
          <w:tcPr>
            <w:tcW w:w="1141" w:type="pct"/>
            <w:vAlign w:val="center"/>
          </w:tcPr>
          <w:p w14:paraId="29C6F4D2">
            <w:pPr>
              <w:pStyle w:val="33"/>
              <w:rPr>
                <w:color w:val="auto"/>
              </w:rPr>
            </w:pPr>
            <w:r>
              <w:rPr>
                <w:rFonts w:hint="eastAsia"/>
                <w:color w:val="auto"/>
              </w:rPr>
              <w:t>混凝沉淀（气浮）、（过滤）</w:t>
            </w:r>
          </w:p>
        </w:tc>
        <w:tc>
          <w:tcPr>
            <w:tcW w:w="905" w:type="pct"/>
            <w:vAlign w:val="center"/>
          </w:tcPr>
          <w:p w14:paraId="34D74D12">
            <w:pPr>
              <w:pStyle w:val="33"/>
              <w:rPr>
                <w:color w:val="auto"/>
              </w:rPr>
            </w:pPr>
            <w:r>
              <w:rPr>
                <w:color w:val="auto"/>
              </w:rPr>
              <w:t>COD:50-80</w:t>
            </w:r>
          </w:p>
          <w:p w14:paraId="42B489E0">
            <w:pPr>
              <w:pStyle w:val="33"/>
              <w:rPr>
                <w:color w:val="auto"/>
              </w:rPr>
            </w:pPr>
            <w:r>
              <w:rPr>
                <w:color w:val="auto"/>
              </w:rPr>
              <w:t>BOD5</w:t>
            </w:r>
            <w:r>
              <w:rPr>
                <w:rFonts w:hint="eastAsia"/>
                <w:color w:val="auto"/>
              </w:rPr>
              <w:t>：</w:t>
            </w:r>
            <w:r>
              <w:rPr>
                <w:color w:val="auto"/>
              </w:rPr>
              <w:t>40-55</w:t>
            </w:r>
          </w:p>
          <w:p w14:paraId="60EF436E">
            <w:pPr>
              <w:pStyle w:val="33"/>
              <w:rPr>
                <w:color w:val="auto"/>
              </w:rPr>
            </w:pPr>
            <w:r>
              <w:rPr>
                <w:color w:val="auto"/>
              </w:rPr>
              <w:t>SS</w:t>
            </w:r>
            <w:r>
              <w:rPr>
                <w:rFonts w:hint="eastAsia"/>
                <w:color w:val="auto"/>
              </w:rPr>
              <w:t>：</w:t>
            </w:r>
            <w:r>
              <w:rPr>
                <w:color w:val="auto"/>
              </w:rPr>
              <w:t>70-90</w:t>
            </w:r>
          </w:p>
        </w:tc>
        <w:tc>
          <w:tcPr>
            <w:tcW w:w="596" w:type="pct"/>
            <w:vAlign w:val="center"/>
          </w:tcPr>
          <w:p w14:paraId="55FACA19">
            <w:pPr>
              <w:pStyle w:val="33"/>
              <w:rPr>
                <w:color w:val="auto"/>
              </w:rPr>
            </w:pPr>
            <w:r>
              <w:rPr>
                <w:rFonts w:hint="eastAsia"/>
                <w:color w:val="auto"/>
              </w:rPr>
              <w:t>混凝沉淀</w:t>
            </w:r>
          </w:p>
        </w:tc>
        <w:tc>
          <w:tcPr>
            <w:tcW w:w="872" w:type="pct"/>
            <w:vAlign w:val="center"/>
          </w:tcPr>
          <w:p w14:paraId="0586A210">
            <w:pPr>
              <w:pStyle w:val="33"/>
              <w:rPr>
                <w:color w:val="auto"/>
              </w:rPr>
            </w:pPr>
            <w:r>
              <w:rPr>
                <w:color w:val="auto"/>
              </w:rPr>
              <w:t>COD</w:t>
            </w:r>
            <w:r>
              <w:rPr>
                <w:rFonts w:hint="eastAsia"/>
                <w:color w:val="auto"/>
              </w:rPr>
              <w:t>：</w:t>
            </w:r>
            <w:r>
              <w:rPr>
                <w:color w:val="auto"/>
              </w:rPr>
              <w:t>60</w:t>
            </w:r>
          </w:p>
          <w:p w14:paraId="1127F395">
            <w:pPr>
              <w:pStyle w:val="33"/>
              <w:rPr>
                <w:color w:val="auto"/>
              </w:rPr>
            </w:pPr>
            <w:r>
              <w:rPr>
                <w:color w:val="auto"/>
              </w:rPr>
              <w:t>BOD5:55</w:t>
            </w:r>
            <w:r>
              <w:rPr>
                <w:color w:val="auto"/>
              </w:rPr>
              <w:br w:type="textWrapping"/>
            </w:r>
            <w:r>
              <w:rPr>
                <w:color w:val="auto"/>
              </w:rPr>
              <w:t>SS</w:t>
            </w:r>
            <w:r>
              <w:rPr>
                <w:rFonts w:hint="eastAsia"/>
                <w:color w:val="auto"/>
              </w:rPr>
              <w:t>：</w:t>
            </w:r>
            <w:r>
              <w:rPr>
                <w:color w:val="auto"/>
              </w:rPr>
              <w:t>70</w:t>
            </w:r>
          </w:p>
        </w:tc>
        <w:tc>
          <w:tcPr>
            <w:tcW w:w="438" w:type="pct"/>
            <w:vAlign w:val="center"/>
          </w:tcPr>
          <w:p w14:paraId="44B84E15">
            <w:pPr>
              <w:pStyle w:val="33"/>
              <w:rPr>
                <w:color w:val="auto"/>
              </w:rPr>
            </w:pPr>
            <w:r>
              <w:rPr>
                <w:rFonts w:hint="eastAsia"/>
                <w:color w:val="auto"/>
              </w:rPr>
              <w:t>可行</w:t>
            </w:r>
          </w:p>
        </w:tc>
      </w:tr>
    </w:tbl>
    <w:p w14:paraId="545A53EC">
      <w:pPr>
        <w:ind w:firstLine="480"/>
        <w:rPr>
          <w:color w:val="auto"/>
        </w:rPr>
      </w:pPr>
      <w:r>
        <w:rPr>
          <w:rFonts w:hint="eastAsia"/>
          <w:color w:val="auto"/>
        </w:rPr>
        <w:t>综上所述，项目采取的污水处理工艺符合《制浆造纸废水治理工程技术规范》（</w:t>
      </w:r>
      <w:r>
        <w:rPr>
          <w:color w:val="auto"/>
        </w:rPr>
        <w:t>HJ2011-2012</w:t>
      </w:r>
      <w:r>
        <w:rPr>
          <w:rFonts w:hint="eastAsia"/>
          <w:color w:val="auto"/>
        </w:rPr>
        <w:t>）中给出的工艺。设计去除率符合处理单元参考去除率，采取措施后出水水质能够满足《制浆造纸工业水污染物排放标准》（</w:t>
      </w:r>
      <w:r>
        <w:rPr>
          <w:color w:val="auto"/>
        </w:rPr>
        <w:t>GB3544- 2008</w:t>
      </w:r>
      <w:r>
        <w:rPr>
          <w:rFonts w:hint="eastAsia"/>
          <w:color w:val="auto"/>
        </w:rPr>
        <w:t>）表</w:t>
      </w:r>
      <w:r>
        <w:rPr>
          <w:color w:val="auto"/>
        </w:rPr>
        <w:t>2</w:t>
      </w:r>
      <w:r>
        <w:rPr>
          <w:rFonts w:hint="eastAsia"/>
          <w:color w:val="auto"/>
        </w:rPr>
        <w:t>中“新建制浆造纸企业”排放标准。因此采取的技术是可行的。</w:t>
      </w:r>
    </w:p>
    <w:p w14:paraId="285271FB">
      <w:pPr>
        <w:ind w:firstLine="480"/>
        <w:rPr>
          <w:color w:val="auto"/>
        </w:rPr>
      </w:pPr>
      <w:r>
        <w:rPr>
          <w:rFonts w:hint="eastAsia"/>
          <w:color w:val="auto"/>
        </w:rPr>
        <w:t>根据企业实际运行经验，现有工程</w:t>
      </w:r>
      <w:r>
        <w:rPr>
          <w:color w:val="auto"/>
        </w:rPr>
        <w:t>2#</w:t>
      </w:r>
      <w:r>
        <w:rPr>
          <w:rFonts w:hint="eastAsia"/>
          <w:color w:val="auto"/>
        </w:rPr>
        <w:t>污水处理站的工艺流程成熟，且能够满足生产需求。因此本项目拟建</w:t>
      </w:r>
      <w:r>
        <w:rPr>
          <w:color w:val="auto"/>
        </w:rPr>
        <w:t>3#</w:t>
      </w:r>
      <w:r>
        <w:rPr>
          <w:rFonts w:hint="eastAsia"/>
          <w:color w:val="auto"/>
        </w:rPr>
        <w:t>污水处理站设计工艺参考现有</w:t>
      </w:r>
      <w:r>
        <w:rPr>
          <w:color w:val="auto"/>
        </w:rPr>
        <w:t>2#</w:t>
      </w:r>
      <w:r>
        <w:rPr>
          <w:rFonts w:hint="eastAsia"/>
          <w:color w:val="auto"/>
        </w:rPr>
        <w:t>污水处理站工艺。</w:t>
      </w:r>
      <w:r>
        <w:rPr>
          <w:color w:val="auto"/>
        </w:rPr>
        <w:t>2#</w:t>
      </w:r>
      <w:r>
        <w:rPr>
          <w:rFonts w:hint="eastAsia"/>
          <w:color w:val="auto"/>
        </w:rPr>
        <w:t>污水处理站进水与</w:t>
      </w:r>
      <w:r>
        <w:rPr>
          <w:color w:val="auto"/>
        </w:rPr>
        <w:t>1#</w:t>
      </w:r>
      <w:r>
        <w:rPr>
          <w:rFonts w:hint="eastAsia"/>
          <w:color w:val="auto"/>
        </w:rPr>
        <w:t>污水处理站类似，且采用的技术均符合《制浆造纸废水治理工程技术规范》（</w:t>
      </w:r>
      <w:r>
        <w:rPr>
          <w:color w:val="auto"/>
        </w:rPr>
        <w:t>HJ2011-2012</w:t>
      </w:r>
      <w:r>
        <w:rPr>
          <w:rFonts w:hint="eastAsia"/>
          <w:color w:val="auto"/>
        </w:rPr>
        <w:t>）中给出的可行性技术。因此，拟建的</w:t>
      </w:r>
      <w:r>
        <w:rPr>
          <w:color w:val="auto"/>
        </w:rPr>
        <w:t>3#</w:t>
      </w:r>
      <w:r>
        <w:rPr>
          <w:rFonts w:hint="eastAsia"/>
          <w:color w:val="auto"/>
        </w:rPr>
        <w:t>污水处理站使用的工艺用于接纳</w:t>
      </w:r>
      <w:r>
        <w:rPr>
          <w:color w:val="auto"/>
        </w:rPr>
        <w:t>1#</w:t>
      </w:r>
      <w:r>
        <w:rPr>
          <w:rFonts w:hint="eastAsia"/>
          <w:color w:val="auto"/>
        </w:rPr>
        <w:t>污水处理站的进水是可行的。</w:t>
      </w:r>
    </w:p>
    <w:p w14:paraId="21DAAB5C">
      <w:pPr>
        <w:ind w:firstLine="480"/>
        <w:rPr>
          <w:color w:val="auto"/>
        </w:rPr>
      </w:pPr>
      <w:r>
        <w:rPr>
          <w:rFonts w:hint="eastAsia"/>
          <w:color w:val="auto"/>
        </w:rPr>
        <w:t>项目中水回用系统采用“高密度澄清介质+多介质过滤”对中水处理。</w:t>
      </w:r>
    </w:p>
    <w:p w14:paraId="5CECB466">
      <w:pPr>
        <w:ind w:firstLine="480"/>
        <w:rPr>
          <w:color w:val="auto"/>
        </w:rPr>
      </w:pPr>
      <w:r>
        <w:rPr>
          <w:rFonts w:hint="eastAsia"/>
          <w:color w:val="auto"/>
        </w:rPr>
        <w:t>（1）高密度澄清介质</w:t>
      </w:r>
    </w:p>
    <w:p w14:paraId="7FD18DEF">
      <w:pPr>
        <w:ind w:firstLine="480"/>
        <w:rPr>
          <w:color w:val="auto"/>
        </w:rPr>
      </w:pPr>
      <w:r>
        <w:rPr>
          <w:rFonts w:hint="eastAsia"/>
          <w:color w:val="auto"/>
        </w:rPr>
        <w:t>高密度澄清介质是一种集混凝、絮凝、沉淀和污泥浓缩于一体的高效水处理工艺，</w:t>
      </w:r>
    </w:p>
    <w:p w14:paraId="253F04B5">
      <w:pPr>
        <w:ind w:firstLine="0" w:firstLineChars="0"/>
        <w:rPr>
          <w:color w:val="auto"/>
        </w:rPr>
      </w:pPr>
      <w:r>
        <w:rPr>
          <w:rFonts w:hint="eastAsia"/>
          <w:color w:val="auto"/>
        </w:rPr>
        <w:t>通常高密度澄清介质池由3部分组成，分别是快速混合池、絮凝反应池和沉淀分离池。从而集成了絮凝与沉淀工艺。</w:t>
      </w:r>
    </w:p>
    <w:p w14:paraId="7DA46965">
      <w:pPr>
        <w:ind w:firstLine="480"/>
        <w:rPr>
          <w:color w:val="auto"/>
        </w:rPr>
      </w:pPr>
      <w:r>
        <w:rPr>
          <w:rFonts w:hint="eastAsia"/>
          <w:color w:val="auto"/>
        </w:rPr>
        <w:t>快速混合池的作用是，当进水进入快速混合池时同时投加絮凝剂，通过快速搅拌从而达到快速絮凝的效果，防治矾花沉淀。</w:t>
      </w:r>
    </w:p>
    <w:p w14:paraId="276C3922">
      <w:pPr>
        <w:ind w:firstLine="480"/>
        <w:rPr>
          <w:color w:val="auto"/>
        </w:rPr>
      </w:pPr>
      <w:r>
        <w:rPr>
          <w:rFonts w:hint="eastAsia"/>
          <w:color w:val="auto"/>
        </w:rPr>
        <w:t>快速混合池的出水排入絮凝反应池后，通过加药装置在池体下部投加助凝剂，同时控制反应池中的搅拌速率，以获得最高的沉淀效率。</w:t>
      </w:r>
    </w:p>
    <w:p w14:paraId="7DD8A77D">
      <w:pPr>
        <w:ind w:firstLine="480"/>
        <w:rPr>
          <w:color w:val="auto"/>
        </w:rPr>
      </w:pPr>
      <w:r>
        <w:rPr>
          <w:rFonts w:hint="eastAsia"/>
          <w:color w:val="auto"/>
        </w:rPr>
        <w:t>最后携带矾花的废水进入沉淀池，大部分矾花在这里沉淀和浓缩。</w:t>
      </w:r>
    </w:p>
    <w:p w14:paraId="241A6424">
      <w:pPr>
        <w:numPr>
          <w:ilvl w:val="255"/>
          <w:numId w:val="0"/>
        </w:numPr>
        <w:ind w:firstLine="480" w:firstLineChars="200"/>
        <w:rPr>
          <w:color w:val="auto"/>
        </w:rPr>
      </w:pPr>
      <w:r>
        <w:rPr>
          <w:rFonts w:hint="eastAsia"/>
          <w:color w:val="auto"/>
        </w:rPr>
        <w:t>（2）多介质过滤</w:t>
      </w:r>
    </w:p>
    <w:p w14:paraId="0407A710">
      <w:pPr>
        <w:numPr>
          <w:ilvl w:val="255"/>
          <w:numId w:val="0"/>
        </w:numPr>
        <w:ind w:firstLine="480" w:firstLineChars="200"/>
        <w:rPr>
          <w:color w:val="auto"/>
        </w:rPr>
      </w:pPr>
      <w:r>
        <w:rPr>
          <w:rFonts w:hint="eastAsia"/>
          <w:color w:val="auto"/>
        </w:rPr>
        <w:t>核心原理是利用不同粒径和密度的过滤介质层进行深度过滤。</w:t>
      </w:r>
    </w:p>
    <w:p w14:paraId="34A0C82F">
      <w:pPr>
        <w:ind w:firstLine="480" w:firstLineChars="0"/>
        <w:rPr>
          <w:color w:val="auto"/>
        </w:rPr>
      </w:pPr>
      <w:r>
        <w:rPr>
          <w:rFonts w:hint="eastAsia"/>
          <w:color w:val="auto"/>
        </w:rPr>
        <w:t>根据建设单位给出的中水回用系统对污染物的去除率，对中水回用系统的出水进行分析。结果如下表所示。</w:t>
      </w:r>
    </w:p>
    <w:p w14:paraId="172C95D5">
      <w:pPr>
        <w:pStyle w:val="7"/>
        <w:numPr>
          <w:ilvl w:val="5"/>
          <w:numId w:val="1"/>
        </w:numPr>
        <w:rPr>
          <w:color w:val="auto"/>
        </w:rPr>
      </w:pPr>
      <w:r>
        <w:rPr>
          <w:rFonts w:hint="eastAsia"/>
          <w:color w:val="auto"/>
        </w:rPr>
        <w:t>中水回用系统进出水水质表 单位：mg/L</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78"/>
        <w:gridCol w:w="2307"/>
        <w:gridCol w:w="2151"/>
        <w:gridCol w:w="1746"/>
      </w:tblGrid>
      <w:tr w14:paraId="61AB5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58" w:type="pct"/>
          </w:tcPr>
          <w:p w14:paraId="247CCF4B">
            <w:pPr>
              <w:pStyle w:val="33"/>
              <w:rPr>
                <w:b/>
                <w:color w:val="auto"/>
              </w:rPr>
            </w:pPr>
            <w:r>
              <w:rPr>
                <w:rFonts w:hint="eastAsia"/>
                <w:b/>
                <w:color w:val="auto"/>
              </w:rPr>
              <w:t>水质因子</w:t>
            </w:r>
          </w:p>
        </w:tc>
        <w:tc>
          <w:tcPr>
            <w:tcW w:w="1242" w:type="pct"/>
          </w:tcPr>
          <w:p w14:paraId="63292B96">
            <w:pPr>
              <w:pStyle w:val="33"/>
              <w:rPr>
                <w:b/>
                <w:color w:val="auto"/>
              </w:rPr>
            </w:pPr>
            <w:r>
              <w:rPr>
                <w:rFonts w:hint="eastAsia"/>
                <w:b/>
                <w:color w:val="auto"/>
              </w:rPr>
              <w:t>COD</w:t>
            </w:r>
          </w:p>
        </w:tc>
        <w:tc>
          <w:tcPr>
            <w:tcW w:w="1158" w:type="pct"/>
          </w:tcPr>
          <w:p w14:paraId="3D7A144D">
            <w:pPr>
              <w:pStyle w:val="33"/>
              <w:rPr>
                <w:b/>
                <w:color w:val="auto"/>
              </w:rPr>
            </w:pPr>
            <w:r>
              <w:rPr>
                <w:rFonts w:hint="eastAsia"/>
                <w:b/>
                <w:color w:val="auto"/>
              </w:rPr>
              <w:t>BOD</w:t>
            </w:r>
            <w:r>
              <w:rPr>
                <w:rFonts w:hint="eastAsia"/>
                <w:b/>
                <w:color w:val="auto"/>
                <w:vertAlign w:val="subscript"/>
              </w:rPr>
              <w:t>5</w:t>
            </w:r>
          </w:p>
        </w:tc>
        <w:tc>
          <w:tcPr>
            <w:tcW w:w="940" w:type="pct"/>
          </w:tcPr>
          <w:p w14:paraId="0F699CA7">
            <w:pPr>
              <w:pStyle w:val="33"/>
              <w:rPr>
                <w:b/>
                <w:color w:val="auto"/>
              </w:rPr>
            </w:pPr>
            <w:r>
              <w:rPr>
                <w:rFonts w:hint="eastAsia"/>
                <w:b/>
                <w:color w:val="auto"/>
              </w:rPr>
              <w:t>SS</w:t>
            </w:r>
          </w:p>
        </w:tc>
      </w:tr>
      <w:tr w14:paraId="51799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8" w:type="pct"/>
          </w:tcPr>
          <w:p w14:paraId="05E23D7B">
            <w:pPr>
              <w:pStyle w:val="33"/>
              <w:rPr>
                <w:color w:val="auto"/>
              </w:rPr>
            </w:pPr>
            <w:r>
              <w:rPr>
                <w:rFonts w:hint="eastAsia"/>
                <w:color w:val="auto"/>
              </w:rPr>
              <w:t>进水水质</w:t>
            </w:r>
          </w:p>
        </w:tc>
        <w:tc>
          <w:tcPr>
            <w:tcW w:w="1242" w:type="pct"/>
          </w:tcPr>
          <w:p w14:paraId="535D5473">
            <w:pPr>
              <w:pStyle w:val="33"/>
              <w:rPr>
                <w:color w:val="auto"/>
                <w:highlight w:val="none"/>
              </w:rPr>
            </w:pPr>
            <w:r>
              <w:rPr>
                <w:color w:val="auto"/>
                <w:highlight w:val="none"/>
              </w:rPr>
              <w:t>62.21</w:t>
            </w:r>
          </w:p>
        </w:tc>
        <w:tc>
          <w:tcPr>
            <w:tcW w:w="1158" w:type="pct"/>
          </w:tcPr>
          <w:p w14:paraId="3E7DA588">
            <w:pPr>
              <w:pStyle w:val="33"/>
              <w:rPr>
                <w:color w:val="auto"/>
              </w:rPr>
            </w:pPr>
            <w:r>
              <w:rPr>
                <w:color w:val="auto"/>
              </w:rPr>
              <w:t>17.85</w:t>
            </w:r>
          </w:p>
        </w:tc>
        <w:tc>
          <w:tcPr>
            <w:tcW w:w="940" w:type="pct"/>
          </w:tcPr>
          <w:p w14:paraId="75441F81">
            <w:pPr>
              <w:pStyle w:val="33"/>
              <w:rPr>
                <w:color w:val="auto"/>
              </w:rPr>
            </w:pPr>
            <w:r>
              <w:rPr>
                <w:rFonts w:hint="eastAsia"/>
                <w:color w:val="auto"/>
              </w:rPr>
              <w:t>30</w:t>
            </w:r>
          </w:p>
        </w:tc>
      </w:tr>
      <w:tr w14:paraId="7861F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58" w:type="pct"/>
          </w:tcPr>
          <w:p w14:paraId="40447BED">
            <w:pPr>
              <w:pStyle w:val="33"/>
              <w:rPr>
                <w:color w:val="auto"/>
              </w:rPr>
            </w:pPr>
            <w:r>
              <w:rPr>
                <w:rFonts w:hint="eastAsia"/>
                <w:color w:val="auto"/>
              </w:rPr>
              <w:t>去除率</w:t>
            </w:r>
          </w:p>
        </w:tc>
        <w:tc>
          <w:tcPr>
            <w:tcW w:w="1242" w:type="pct"/>
          </w:tcPr>
          <w:p w14:paraId="1E530E5D">
            <w:pPr>
              <w:pStyle w:val="33"/>
              <w:rPr>
                <w:color w:val="auto"/>
                <w:highlight w:val="none"/>
              </w:rPr>
            </w:pPr>
            <w:r>
              <w:rPr>
                <w:rFonts w:hint="eastAsia"/>
                <w:color w:val="auto"/>
                <w:highlight w:val="none"/>
              </w:rPr>
              <w:t>45%</w:t>
            </w:r>
          </w:p>
        </w:tc>
        <w:tc>
          <w:tcPr>
            <w:tcW w:w="1158" w:type="pct"/>
          </w:tcPr>
          <w:p w14:paraId="735AC266">
            <w:pPr>
              <w:pStyle w:val="33"/>
              <w:rPr>
                <w:color w:val="auto"/>
              </w:rPr>
            </w:pPr>
            <w:r>
              <w:rPr>
                <w:rFonts w:hint="eastAsia"/>
                <w:color w:val="auto"/>
              </w:rPr>
              <w:t>50%</w:t>
            </w:r>
          </w:p>
        </w:tc>
        <w:tc>
          <w:tcPr>
            <w:tcW w:w="940" w:type="pct"/>
          </w:tcPr>
          <w:p w14:paraId="7BE0C13B">
            <w:pPr>
              <w:pStyle w:val="33"/>
              <w:rPr>
                <w:color w:val="auto"/>
              </w:rPr>
            </w:pPr>
            <w:r>
              <w:rPr>
                <w:rFonts w:hint="eastAsia"/>
                <w:color w:val="auto"/>
              </w:rPr>
              <w:t>80%</w:t>
            </w:r>
          </w:p>
        </w:tc>
      </w:tr>
      <w:tr w14:paraId="7B729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8" w:type="pct"/>
          </w:tcPr>
          <w:p w14:paraId="60466AB8">
            <w:pPr>
              <w:pStyle w:val="33"/>
              <w:rPr>
                <w:color w:val="auto"/>
              </w:rPr>
            </w:pPr>
            <w:r>
              <w:rPr>
                <w:rFonts w:hint="eastAsia"/>
                <w:color w:val="auto"/>
              </w:rPr>
              <w:t>出水水质</w:t>
            </w:r>
          </w:p>
        </w:tc>
        <w:tc>
          <w:tcPr>
            <w:tcW w:w="1242" w:type="pct"/>
          </w:tcPr>
          <w:p w14:paraId="0879065D">
            <w:pPr>
              <w:pStyle w:val="33"/>
              <w:rPr>
                <w:rFonts w:hint="default" w:eastAsia="宋体"/>
                <w:color w:val="auto"/>
                <w:highlight w:val="none"/>
                <w:lang w:val="en-US" w:eastAsia="zh-CN"/>
              </w:rPr>
            </w:pPr>
            <w:r>
              <w:rPr>
                <w:rFonts w:hint="eastAsia"/>
                <w:color w:val="auto"/>
                <w:highlight w:val="none"/>
                <w:lang w:val="en-US" w:eastAsia="zh-CN"/>
              </w:rPr>
              <w:t>34.22</w:t>
            </w:r>
          </w:p>
        </w:tc>
        <w:tc>
          <w:tcPr>
            <w:tcW w:w="1158" w:type="pct"/>
          </w:tcPr>
          <w:p w14:paraId="25F5D862">
            <w:pPr>
              <w:pStyle w:val="33"/>
              <w:rPr>
                <w:rFonts w:hint="default" w:eastAsia="宋体"/>
                <w:color w:val="auto"/>
                <w:lang w:val="en-US" w:eastAsia="zh-CN"/>
              </w:rPr>
            </w:pPr>
            <w:r>
              <w:rPr>
                <w:rFonts w:hint="eastAsia"/>
                <w:color w:val="auto"/>
                <w:lang w:val="en-US" w:eastAsia="zh-CN"/>
              </w:rPr>
              <w:t>8.93</w:t>
            </w:r>
          </w:p>
        </w:tc>
        <w:tc>
          <w:tcPr>
            <w:tcW w:w="940" w:type="pct"/>
          </w:tcPr>
          <w:p w14:paraId="637ADCB9">
            <w:pPr>
              <w:pStyle w:val="33"/>
              <w:rPr>
                <w:color w:val="auto"/>
              </w:rPr>
            </w:pPr>
            <w:r>
              <w:rPr>
                <w:rFonts w:hint="eastAsia"/>
                <w:color w:val="auto"/>
              </w:rPr>
              <w:t>6</w:t>
            </w:r>
          </w:p>
        </w:tc>
      </w:tr>
      <w:tr w14:paraId="7B91E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658" w:type="pct"/>
          </w:tcPr>
          <w:p w14:paraId="77016D2B">
            <w:pPr>
              <w:pStyle w:val="33"/>
              <w:rPr>
                <w:color w:val="auto"/>
              </w:rPr>
            </w:pPr>
            <w:r>
              <w:rPr>
                <w:rFonts w:hint="eastAsia"/>
                <w:color w:val="auto"/>
              </w:rPr>
              <w:t>标准</w:t>
            </w:r>
          </w:p>
        </w:tc>
        <w:tc>
          <w:tcPr>
            <w:tcW w:w="1242" w:type="pct"/>
          </w:tcPr>
          <w:p w14:paraId="0CC60788">
            <w:pPr>
              <w:pStyle w:val="33"/>
              <w:rPr>
                <w:color w:val="auto"/>
                <w:highlight w:val="none"/>
              </w:rPr>
            </w:pPr>
            <w:r>
              <w:rPr>
                <w:rFonts w:hint="eastAsia"/>
                <w:color w:val="auto"/>
                <w:highlight w:val="none"/>
              </w:rPr>
              <w:t>50</w:t>
            </w:r>
          </w:p>
        </w:tc>
        <w:tc>
          <w:tcPr>
            <w:tcW w:w="1158" w:type="pct"/>
          </w:tcPr>
          <w:p w14:paraId="241B9817">
            <w:pPr>
              <w:pStyle w:val="33"/>
              <w:rPr>
                <w:color w:val="auto"/>
              </w:rPr>
            </w:pPr>
            <w:r>
              <w:rPr>
                <w:rFonts w:hint="eastAsia"/>
                <w:color w:val="auto"/>
              </w:rPr>
              <w:t>10</w:t>
            </w:r>
          </w:p>
        </w:tc>
        <w:tc>
          <w:tcPr>
            <w:tcW w:w="940" w:type="pct"/>
          </w:tcPr>
          <w:p w14:paraId="51A68039">
            <w:pPr>
              <w:pStyle w:val="33"/>
              <w:rPr>
                <w:color w:val="auto"/>
              </w:rPr>
            </w:pPr>
            <w:r>
              <w:rPr>
                <w:rFonts w:hint="eastAsia"/>
                <w:color w:val="auto"/>
              </w:rPr>
              <w:t>/</w:t>
            </w:r>
          </w:p>
        </w:tc>
      </w:tr>
      <w:tr w14:paraId="7B2CC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58" w:type="pct"/>
          </w:tcPr>
          <w:p w14:paraId="27E555EE">
            <w:pPr>
              <w:pStyle w:val="33"/>
              <w:rPr>
                <w:color w:val="auto"/>
              </w:rPr>
            </w:pPr>
            <w:r>
              <w:rPr>
                <w:rFonts w:hint="eastAsia"/>
                <w:color w:val="auto"/>
              </w:rPr>
              <w:t>达标情况</w:t>
            </w:r>
          </w:p>
        </w:tc>
        <w:tc>
          <w:tcPr>
            <w:tcW w:w="1242" w:type="pct"/>
          </w:tcPr>
          <w:p w14:paraId="241E45D5">
            <w:pPr>
              <w:pStyle w:val="33"/>
              <w:rPr>
                <w:color w:val="auto"/>
                <w:highlight w:val="none"/>
              </w:rPr>
            </w:pPr>
            <w:r>
              <w:rPr>
                <w:rFonts w:hint="eastAsia"/>
                <w:color w:val="auto"/>
                <w:highlight w:val="none"/>
              </w:rPr>
              <w:t>达标</w:t>
            </w:r>
          </w:p>
        </w:tc>
        <w:tc>
          <w:tcPr>
            <w:tcW w:w="1158" w:type="pct"/>
          </w:tcPr>
          <w:p w14:paraId="3869C2F6">
            <w:pPr>
              <w:pStyle w:val="33"/>
              <w:rPr>
                <w:color w:val="auto"/>
              </w:rPr>
            </w:pPr>
            <w:r>
              <w:rPr>
                <w:rFonts w:hint="eastAsia"/>
                <w:color w:val="auto"/>
              </w:rPr>
              <w:t>达标</w:t>
            </w:r>
          </w:p>
        </w:tc>
        <w:tc>
          <w:tcPr>
            <w:tcW w:w="940" w:type="pct"/>
          </w:tcPr>
          <w:p w14:paraId="4C693540">
            <w:pPr>
              <w:pStyle w:val="33"/>
              <w:rPr>
                <w:color w:val="auto"/>
              </w:rPr>
            </w:pPr>
            <w:r>
              <w:rPr>
                <w:rFonts w:hint="eastAsia"/>
                <w:color w:val="auto"/>
              </w:rPr>
              <w:t>/</w:t>
            </w:r>
          </w:p>
        </w:tc>
      </w:tr>
    </w:tbl>
    <w:p w14:paraId="0025A696">
      <w:pPr>
        <w:ind w:firstLine="480"/>
        <w:rPr>
          <w:color w:val="auto"/>
        </w:rPr>
      </w:pPr>
      <w:r>
        <w:rPr>
          <w:rFonts w:hint="eastAsia"/>
          <w:color w:val="auto"/>
        </w:rPr>
        <w:t>经过中水回用系统进一步处理后，回用水进入冷却塔。满足《城市污水再生利用 工业用水水质》（GB19923-2024）中再生水作冷却用水的水质控制指标。因此中水回用是可行的。</w:t>
      </w:r>
    </w:p>
    <w:p w14:paraId="35F7577B">
      <w:pPr>
        <w:ind w:firstLine="480"/>
        <w:rPr>
          <w:color w:val="auto"/>
        </w:rPr>
      </w:pPr>
      <w:r>
        <w:rPr>
          <w:rFonts w:hint="eastAsia"/>
          <w:color w:val="auto"/>
        </w:rPr>
        <w:t>（4）出水达标性分析</w:t>
      </w:r>
    </w:p>
    <w:p w14:paraId="40D6CA3A">
      <w:pPr>
        <w:numPr>
          <w:ilvl w:val="0"/>
          <w:numId w:val="14"/>
        </w:numPr>
        <w:ind w:firstLineChars="0"/>
        <w:rPr>
          <w:color w:val="auto"/>
        </w:rPr>
      </w:pPr>
      <w:r>
        <w:rPr>
          <w:rFonts w:hint="eastAsia"/>
          <w:color w:val="auto"/>
        </w:rPr>
        <w:t>现有工程废水出水水质达标情况分析</w:t>
      </w:r>
    </w:p>
    <w:p w14:paraId="4E20278D">
      <w:pPr>
        <w:ind w:firstLine="480"/>
        <w:rPr>
          <w:color w:val="auto"/>
        </w:rPr>
      </w:pPr>
      <w:r>
        <w:rPr>
          <w:rFonts w:hint="eastAsia"/>
          <w:color w:val="auto"/>
        </w:rPr>
        <w:t>根据金桂浆纸废水总排口已安装在线监测装置，且定期委托第三方机构开展自行监测。现有工程废水总排口2023年、2024年与2025年在线监测及自行监测结果见表5.3-3与表5.3-4。由监测结果可知，现有工程废水排放口各类污染物均可满足《制浆造纸工业水污染排放标准》（GB3544-2008）表2中制浆和造纸联合生产企业的排放限值要求。</w:t>
      </w:r>
    </w:p>
    <w:p w14:paraId="429A1E92">
      <w:pPr>
        <w:numPr>
          <w:ilvl w:val="0"/>
          <w:numId w:val="14"/>
        </w:numPr>
        <w:ind w:firstLineChars="0"/>
        <w:rPr>
          <w:color w:val="auto"/>
        </w:rPr>
      </w:pPr>
      <w:r>
        <w:rPr>
          <w:rFonts w:hint="eastAsia"/>
          <w:color w:val="auto"/>
        </w:rPr>
        <w:t>拟建项目废水出水水质达标情况分析</w:t>
      </w:r>
    </w:p>
    <w:p w14:paraId="793DE273">
      <w:pPr>
        <w:ind w:firstLine="480" w:firstLineChars="0"/>
        <w:rPr>
          <w:color w:val="auto"/>
        </w:rPr>
      </w:pPr>
      <w:r>
        <w:rPr>
          <w:rFonts w:hint="eastAsia"/>
          <w:color w:val="auto"/>
        </w:rPr>
        <w:t>项目新建污水处理站出水水质情况见表3.1-8，项目采取的废水处理措施满足《制浆造纸工业污染防治可行性技术指南》（HJ2302-2018）提出的要求，设计去除率基本符合《制浆造纸工业污染防治可行性技术指南》（HJ2302-2018）提供的参考去除率。因此拟建项目完工后，出水水质能够满足《制浆造纸工业水污染物排放标准》（GB3544- 2008）表2中“新建制浆造纸企业”排放标准。</w:t>
      </w:r>
    </w:p>
    <w:p w14:paraId="2E06D925">
      <w:pPr>
        <w:pStyle w:val="4"/>
        <w:rPr>
          <w:color w:val="auto"/>
        </w:rPr>
      </w:pPr>
      <w:bookmarkStart w:id="592" w:name="_Toc225216869"/>
      <w:r>
        <w:rPr>
          <w:rFonts w:hint="eastAsia"/>
          <w:color w:val="auto"/>
        </w:rPr>
        <w:t>固体废物处置措施</w:t>
      </w:r>
      <w:bookmarkEnd w:id="592"/>
    </w:p>
    <w:p w14:paraId="57C52680">
      <w:pPr>
        <w:ind w:firstLine="480"/>
        <w:rPr>
          <w:color w:val="auto"/>
        </w:rPr>
      </w:pPr>
      <w:r>
        <w:rPr>
          <w:rFonts w:hint="eastAsia"/>
          <w:color w:val="auto"/>
        </w:rPr>
        <w:t>项目产生的固体废物与处置情况详见下表。</w:t>
      </w:r>
    </w:p>
    <w:p w14:paraId="4162CFF8">
      <w:pPr>
        <w:pStyle w:val="7"/>
        <w:rPr>
          <w:color w:val="auto"/>
        </w:rPr>
      </w:pPr>
      <w:r>
        <w:rPr>
          <w:rFonts w:hint="eastAsia"/>
          <w:color w:val="auto"/>
        </w:rPr>
        <w:t>固体废物产排情况与处理措施</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9"/>
        <w:gridCol w:w="1527"/>
        <w:gridCol w:w="1761"/>
        <w:gridCol w:w="1489"/>
        <w:gridCol w:w="1428"/>
        <w:gridCol w:w="1592"/>
      </w:tblGrid>
      <w:tr w14:paraId="6F0C4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02" w:type="pct"/>
            <w:vAlign w:val="center"/>
          </w:tcPr>
          <w:p w14:paraId="06D14446">
            <w:pPr>
              <w:pStyle w:val="33"/>
              <w:rPr>
                <w:color w:val="auto"/>
              </w:rPr>
            </w:pPr>
            <w:r>
              <w:rPr>
                <w:rFonts w:hint="eastAsia"/>
                <w:color w:val="auto"/>
              </w:rPr>
              <w:t>名称</w:t>
            </w:r>
          </w:p>
        </w:tc>
        <w:tc>
          <w:tcPr>
            <w:tcW w:w="822" w:type="pct"/>
            <w:vAlign w:val="center"/>
          </w:tcPr>
          <w:p w14:paraId="2534E97A">
            <w:pPr>
              <w:pStyle w:val="33"/>
              <w:rPr>
                <w:color w:val="auto"/>
              </w:rPr>
            </w:pPr>
            <w:r>
              <w:rPr>
                <w:rFonts w:hint="eastAsia"/>
                <w:color w:val="auto"/>
              </w:rPr>
              <w:t>主要组成物质</w:t>
            </w:r>
          </w:p>
        </w:tc>
        <w:tc>
          <w:tcPr>
            <w:tcW w:w="948" w:type="pct"/>
            <w:vAlign w:val="center"/>
          </w:tcPr>
          <w:p w14:paraId="79EDC210">
            <w:pPr>
              <w:pStyle w:val="33"/>
              <w:rPr>
                <w:color w:val="auto"/>
              </w:rPr>
            </w:pPr>
            <w:r>
              <w:rPr>
                <w:rFonts w:hint="eastAsia"/>
                <w:color w:val="auto"/>
              </w:rPr>
              <w:t>属性</w:t>
            </w:r>
          </w:p>
        </w:tc>
        <w:tc>
          <w:tcPr>
            <w:tcW w:w="802" w:type="pct"/>
            <w:vAlign w:val="center"/>
          </w:tcPr>
          <w:p w14:paraId="313ACA5D">
            <w:pPr>
              <w:pStyle w:val="33"/>
              <w:rPr>
                <w:color w:val="auto"/>
              </w:rPr>
            </w:pPr>
            <w:r>
              <w:rPr>
                <w:rFonts w:hint="eastAsia"/>
                <w:color w:val="auto"/>
              </w:rPr>
              <w:t>产生量</w:t>
            </w:r>
          </w:p>
          <w:p w14:paraId="377210A7">
            <w:pPr>
              <w:pStyle w:val="33"/>
              <w:rPr>
                <w:color w:val="auto"/>
              </w:rPr>
            </w:pPr>
            <w:r>
              <w:rPr>
                <w:rFonts w:hint="eastAsia"/>
                <w:color w:val="auto"/>
              </w:rPr>
              <w:t>（t/a）</w:t>
            </w:r>
          </w:p>
        </w:tc>
        <w:tc>
          <w:tcPr>
            <w:tcW w:w="769" w:type="pct"/>
            <w:vAlign w:val="center"/>
          </w:tcPr>
          <w:p w14:paraId="2DF5995B">
            <w:pPr>
              <w:pStyle w:val="33"/>
              <w:rPr>
                <w:color w:val="auto"/>
              </w:rPr>
            </w:pPr>
            <w:r>
              <w:rPr>
                <w:rFonts w:hint="eastAsia"/>
                <w:color w:val="auto"/>
              </w:rPr>
              <w:t>处理措施</w:t>
            </w:r>
          </w:p>
        </w:tc>
        <w:tc>
          <w:tcPr>
            <w:tcW w:w="857" w:type="pct"/>
            <w:vAlign w:val="center"/>
          </w:tcPr>
          <w:p w14:paraId="420904DC">
            <w:pPr>
              <w:pStyle w:val="33"/>
              <w:rPr>
                <w:color w:val="auto"/>
              </w:rPr>
            </w:pPr>
            <w:r>
              <w:rPr>
                <w:rFonts w:hint="eastAsia"/>
                <w:color w:val="auto"/>
              </w:rPr>
              <w:t>去向</w:t>
            </w:r>
          </w:p>
        </w:tc>
      </w:tr>
      <w:tr w14:paraId="293DC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475C7B32">
            <w:pPr>
              <w:pStyle w:val="33"/>
              <w:rPr>
                <w:color w:val="auto"/>
              </w:rPr>
            </w:pPr>
            <w:r>
              <w:rPr>
                <w:rFonts w:hint="eastAsia"/>
                <w:color w:val="auto"/>
              </w:rPr>
              <w:t>废铁丝</w:t>
            </w:r>
          </w:p>
        </w:tc>
        <w:tc>
          <w:tcPr>
            <w:tcW w:w="822" w:type="pct"/>
            <w:vAlign w:val="center"/>
          </w:tcPr>
          <w:p w14:paraId="41EF0AE6">
            <w:pPr>
              <w:pStyle w:val="33"/>
              <w:rPr>
                <w:color w:val="auto"/>
              </w:rPr>
            </w:pPr>
            <w:r>
              <w:rPr>
                <w:rFonts w:hint="eastAsia"/>
                <w:color w:val="auto"/>
              </w:rPr>
              <w:t>铁</w:t>
            </w:r>
          </w:p>
        </w:tc>
        <w:tc>
          <w:tcPr>
            <w:tcW w:w="948" w:type="pct"/>
            <w:vAlign w:val="center"/>
          </w:tcPr>
          <w:p w14:paraId="0A81FC50">
            <w:pPr>
              <w:pStyle w:val="33"/>
              <w:rPr>
                <w:color w:val="auto"/>
              </w:rPr>
            </w:pPr>
            <w:r>
              <w:rPr>
                <w:rFonts w:hint="eastAsia"/>
                <w:color w:val="auto"/>
              </w:rPr>
              <w:t>一般固废</w:t>
            </w:r>
          </w:p>
        </w:tc>
        <w:tc>
          <w:tcPr>
            <w:tcW w:w="802" w:type="pct"/>
            <w:vAlign w:val="center"/>
          </w:tcPr>
          <w:p w14:paraId="37B94BF9">
            <w:pPr>
              <w:pStyle w:val="33"/>
              <w:rPr>
                <w:color w:val="auto"/>
              </w:rPr>
            </w:pPr>
            <w:r>
              <w:rPr>
                <w:rFonts w:hint="eastAsia"/>
                <w:color w:val="auto"/>
              </w:rPr>
              <w:t>277.3</w:t>
            </w:r>
          </w:p>
        </w:tc>
        <w:tc>
          <w:tcPr>
            <w:tcW w:w="769" w:type="pct"/>
            <w:vAlign w:val="center"/>
          </w:tcPr>
          <w:p w14:paraId="5AA4712A">
            <w:pPr>
              <w:pStyle w:val="33"/>
              <w:rPr>
                <w:color w:val="auto"/>
              </w:rPr>
            </w:pPr>
            <w:r>
              <w:rPr>
                <w:rFonts w:hint="eastAsia"/>
                <w:color w:val="auto"/>
              </w:rPr>
              <w:t>资源回收利用</w:t>
            </w:r>
          </w:p>
        </w:tc>
        <w:tc>
          <w:tcPr>
            <w:tcW w:w="857" w:type="pct"/>
            <w:vAlign w:val="center"/>
          </w:tcPr>
          <w:p w14:paraId="71962CB3">
            <w:pPr>
              <w:pStyle w:val="33"/>
              <w:rPr>
                <w:color w:val="auto"/>
              </w:rPr>
            </w:pPr>
            <w:r>
              <w:rPr>
                <w:rFonts w:hint="eastAsia"/>
                <w:color w:val="auto"/>
              </w:rPr>
              <w:t>资源回收公司</w:t>
            </w:r>
          </w:p>
        </w:tc>
      </w:tr>
      <w:tr w14:paraId="4E6D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42538DD4">
            <w:pPr>
              <w:pStyle w:val="33"/>
              <w:rPr>
                <w:color w:val="auto"/>
              </w:rPr>
            </w:pPr>
            <w:r>
              <w:rPr>
                <w:rFonts w:hint="eastAsia"/>
                <w:color w:val="auto"/>
              </w:rPr>
              <w:t>废聚酯网</w:t>
            </w:r>
          </w:p>
        </w:tc>
        <w:tc>
          <w:tcPr>
            <w:tcW w:w="822" w:type="pct"/>
            <w:vAlign w:val="center"/>
          </w:tcPr>
          <w:p w14:paraId="1A74C653">
            <w:pPr>
              <w:pStyle w:val="33"/>
              <w:rPr>
                <w:color w:val="auto"/>
              </w:rPr>
            </w:pPr>
            <w:r>
              <w:rPr>
                <w:rFonts w:hint="eastAsia"/>
                <w:color w:val="auto"/>
              </w:rPr>
              <w:t>PRT</w:t>
            </w:r>
          </w:p>
        </w:tc>
        <w:tc>
          <w:tcPr>
            <w:tcW w:w="948" w:type="pct"/>
            <w:vAlign w:val="center"/>
          </w:tcPr>
          <w:p w14:paraId="0CE91C7F">
            <w:pPr>
              <w:pStyle w:val="33"/>
              <w:rPr>
                <w:color w:val="auto"/>
              </w:rPr>
            </w:pPr>
            <w:r>
              <w:rPr>
                <w:rFonts w:hint="eastAsia"/>
                <w:color w:val="auto"/>
              </w:rPr>
              <w:t>一般废物</w:t>
            </w:r>
          </w:p>
        </w:tc>
        <w:tc>
          <w:tcPr>
            <w:tcW w:w="802" w:type="pct"/>
            <w:vAlign w:val="center"/>
          </w:tcPr>
          <w:p w14:paraId="65F6EC68">
            <w:pPr>
              <w:pStyle w:val="33"/>
              <w:rPr>
                <w:color w:val="auto"/>
              </w:rPr>
            </w:pPr>
            <w:r>
              <w:rPr>
                <w:rFonts w:hint="eastAsia"/>
                <w:color w:val="auto"/>
              </w:rPr>
              <w:t>3.6</w:t>
            </w:r>
          </w:p>
        </w:tc>
        <w:tc>
          <w:tcPr>
            <w:tcW w:w="769" w:type="pct"/>
            <w:vAlign w:val="center"/>
          </w:tcPr>
          <w:p w14:paraId="4CD83B6E">
            <w:pPr>
              <w:pStyle w:val="33"/>
              <w:rPr>
                <w:color w:val="auto"/>
              </w:rPr>
            </w:pPr>
            <w:r>
              <w:rPr>
                <w:rFonts w:hint="eastAsia"/>
                <w:color w:val="auto"/>
              </w:rPr>
              <w:t>综合利用</w:t>
            </w:r>
          </w:p>
        </w:tc>
        <w:tc>
          <w:tcPr>
            <w:tcW w:w="857" w:type="pct"/>
            <w:vAlign w:val="center"/>
          </w:tcPr>
          <w:p w14:paraId="1E6CC926">
            <w:pPr>
              <w:pStyle w:val="33"/>
              <w:rPr>
                <w:color w:val="auto"/>
              </w:rPr>
            </w:pPr>
            <w:r>
              <w:rPr>
                <w:rFonts w:hint="eastAsia"/>
                <w:color w:val="auto"/>
              </w:rPr>
              <w:t>资源回收公司</w:t>
            </w:r>
          </w:p>
        </w:tc>
      </w:tr>
      <w:tr w14:paraId="479A8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06766EBF">
            <w:pPr>
              <w:pStyle w:val="33"/>
              <w:rPr>
                <w:color w:val="auto"/>
              </w:rPr>
            </w:pPr>
            <w:r>
              <w:rPr>
                <w:rFonts w:hint="eastAsia"/>
                <w:color w:val="auto"/>
              </w:rPr>
              <w:t>除砂器杂质</w:t>
            </w:r>
          </w:p>
        </w:tc>
        <w:tc>
          <w:tcPr>
            <w:tcW w:w="822" w:type="pct"/>
            <w:vAlign w:val="center"/>
          </w:tcPr>
          <w:p w14:paraId="08834B1D">
            <w:pPr>
              <w:pStyle w:val="33"/>
              <w:rPr>
                <w:color w:val="auto"/>
              </w:rPr>
            </w:pPr>
            <w:r>
              <w:rPr>
                <w:rFonts w:hint="eastAsia" w:cs="Times New Roman"/>
                <w:color w:val="auto"/>
              </w:rPr>
              <w:t>碎石砂、泥土</w:t>
            </w:r>
          </w:p>
        </w:tc>
        <w:tc>
          <w:tcPr>
            <w:tcW w:w="948" w:type="pct"/>
            <w:vAlign w:val="center"/>
          </w:tcPr>
          <w:p w14:paraId="2FE55414">
            <w:pPr>
              <w:pStyle w:val="33"/>
              <w:rPr>
                <w:color w:val="auto"/>
              </w:rPr>
            </w:pPr>
            <w:r>
              <w:rPr>
                <w:rFonts w:hint="eastAsia"/>
                <w:color w:val="auto"/>
              </w:rPr>
              <w:t>一般废物</w:t>
            </w:r>
          </w:p>
        </w:tc>
        <w:tc>
          <w:tcPr>
            <w:tcW w:w="802" w:type="pct"/>
            <w:vAlign w:val="center"/>
          </w:tcPr>
          <w:p w14:paraId="0BD7541E">
            <w:pPr>
              <w:pStyle w:val="33"/>
              <w:rPr>
                <w:color w:val="auto"/>
              </w:rPr>
            </w:pPr>
            <w:r>
              <w:rPr>
                <w:rFonts w:hint="eastAsia"/>
                <w:color w:val="auto"/>
              </w:rPr>
              <w:t>110</w:t>
            </w:r>
          </w:p>
        </w:tc>
        <w:tc>
          <w:tcPr>
            <w:tcW w:w="769" w:type="pct"/>
            <w:vAlign w:val="center"/>
          </w:tcPr>
          <w:p w14:paraId="5EC2B5FF">
            <w:pPr>
              <w:pStyle w:val="33"/>
              <w:rPr>
                <w:color w:val="auto"/>
              </w:rPr>
            </w:pPr>
            <w:r>
              <w:rPr>
                <w:rFonts w:hint="eastAsia"/>
                <w:color w:val="auto"/>
              </w:rPr>
              <w:t>/</w:t>
            </w:r>
          </w:p>
        </w:tc>
        <w:tc>
          <w:tcPr>
            <w:tcW w:w="857" w:type="pct"/>
            <w:vAlign w:val="center"/>
          </w:tcPr>
          <w:p w14:paraId="6ECCF331">
            <w:pPr>
              <w:pStyle w:val="33"/>
              <w:rPr>
                <w:color w:val="auto"/>
              </w:rPr>
            </w:pPr>
            <w:r>
              <w:rPr>
                <w:rFonts w:hint="eastAsia" w:cs="Times New Roman"/>
                <w:color w:val="auto"/>
              </w:rPr>
              <w:t>进入污泥中</w:t>
            </w:r>
          </w:p>
        </w:tc>
      </w:tr>
      <w:tr w14:paraId="27202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65814EC7">
            <w:pPr>
              <w:pStyle w:val="33"/>
              <w:rPr>
                <w:color w:val="auto"/>
              </w:rPr>
            </w:pPr>
            <w:r>
              <w:rPr>
                <w:rFonts w:hint="eastAsia"/>
                <w:color w:val="auto"/>
              </w:rPr>
              <w:t>污泥</w:t>
            </w:r>
          </w:p>
        </w:tc>
        <w:tc>
          <w:tcPr>
            <w:tcW w:w="822" w:type="pct"/>
            <w:vAlign w:val="center"/>
          </w:tcPr>
          <w:p w14:paraId="2CB80A87">
            <w:pPr>
              <w:pStyle w:val="33"/>
              <w:rPr>
                <w:color w:val="auto"/>
              </w:rPr>
            </w:pPr>
            <w:r>
              <w:rPr>
                <w:rFonts w:hint="eastAsia"/>
                <w:color w:val="auto"/>
              </w:rPr>
              <w:t>生物质</w:t>
            </w:r>
          </w:p>
        </w:tc>
        <w:tc>
          <w:tcPr>
            <w:tcW w:w="948" w:type="pct"/>
            <w:vAlign w:val="center"/>
          </w:tcPr>
          <w:p w14:paraId="2B78958A">
            <w:pPr>
              <w:pStyle w:val="33"/>
              <w:rPr>
                <w:color w:val="auto"/>
              </w:rPr>
            </w:pPr>
            <w:r>
              <w:rPr>
                <w:rFonts w:hint="eastAsia"/>
                <w:color w:val="auto"/>
              </w:rPr>
              <w:t>一般固废</w:t>
            </w:r>
          </w:p>
        </w:tc>
        <w:tc>
          <w:tcPr>
            <w:tcW w:w="802" w:type="pct"/>
            <w:vAlign w:val="center"/>
          </w:tcPr>
          <w:p w14:paraId="4C0DA753">
            <w:pPr>
              <w:pStyle w:val="33"/>
              <w:rPr>
                <w:color w:val="auto"/>
              </w:rPr>
            </w:pPr>
            <w:r>
              <w:rPr>
                <w:rFonts w:hint="eastAsia"/>
                <w:color w:val="auto"/>
              </w:rPr>
              <w:t>9463.75</w:t>
            </w:r>
          </w:p>
        </w:tc>
        <w:tc>
          <w:tcPr>
            <w:tcW w:w="769" w:type="pct"/>
            <w:vAlign w:val="center"/>
          </w:tcPr>
          <w:p w14:paraId="42D8ECF9">
            <w:pPr>
              <w:pStyle w:val="33"/>
              <w:rPr>
                <w:color w:val="auto"/>
              </w:rPr>
            </w:pPr>
            <w:r>
              <w:rPr>
                <w:rFonts w:hint="eastAsia"/>
                <w:color w:val="auto"/>
              </w:rPr>
              <w:t>综合利用、资源回收公司</w:t>
            </w:r>
          </w:p>
        </w:tc>
        <w:tc>
          <w:tcPr>
            <w:tcW w:w="857" w:type="pct"/>
            <w:vAlign w:val="center"/>
          </w:tcPr>
          <w:p w14:paraId="1707F3C9">
            <w:pPr>
              <w:pStyle w:val="33"/>
              <w:rPr>
                <w:color w:val="auto"/>
              </w:rPr>
            </w:pPr>
            <w:r>
              <w:rPr>
                <w:rFonts w:hint="eastAsia"/>
                <w:color w:val="auto"/>
              </w:rPr>
              <w:t>热电锅炉焚烧与外售</w:t>
            </w:r>
          </w:p>
        </w:tc>
      </w:tr>
      <w:tr w14:paraId="7A104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1844EEDE">
            <w:pPr>
              <w:pStyle w:val="33"/>
              <w:rPr>
                <w:color w:val="auto"/>
              </w:rPr>
            </w:pPr>
            <w:r>
              <w:rPr>
                <w:rFonts w:hint="eastAsia"/>
                <w:color w:val="auto"/>
              </w:rPr>
              <w:t>活性炭</w:t>
            </w:r>
          </w:p>
        </w:tc>
        <w:tc>
          <w:tcPr>
            <w:tcW w:w="822" w:type="pct"/>
            <w:vAlign w:val="center"/>
          </w:tcPr>
          <w:p w14:paraId="278C7F96">
            <w:pPr>
              <w:pStyle w:val="33"/>
              <w:rPr>
                <w:color w:val="auto"/>
              </w:rPr>
            </w:pPr>
            <w:r>
              <w:rPr>
                <w:rFonts w:hint="eastAsia"/>
                <w:color w:val="auto"/>
              </w:rPr>
              <w:t>碳</w:t>
            </w:r>
          </w:p>
        </w:tc>
        <w:tc>
          <w:tcPr>
            <w:tcW w:w="948" w:type="pct"/>
            <w:vAlign w:val="center"/>
          </w:tcPr>
          <w:p w14:paraId="5407552A">
            <w:pPr>
              <w:pStyle w:val="33"/>
              <w:rPr>
                <w:color w:val="auto"/>
              </w:rPr>
            </w:pPr>
            <w:r>
              <w:rPr>
                <w:rFonts w:hint="eastAsia"/>
                <w:color w:val="auto"/>
              </w:rPr>
              <w:t>危险废物</w:t>
            </w:r>
          </w:p>
        </w:tc>
        <w:tc>
          <w:tcPr>
            <w:tcW w:w="802" w:type="pct"/>
            <w:vAlign w:val="center"/>
          </w:tcPr>
          <w:p w14:paraId="385B0486">
            <w:pPr>
              <w:pStyle w:val="33"/>
              <w:rPr>
                <w:color w:val="auto"/>
              </w:rPr>
            </w:pPr>
            <w:r>
              <w:rPr>
                <w:rFonts w:hint="eastAsia"/>
                <w:color w:val="auto"/>
              </w:rPr>
              <w:t>3</w:t>
            </w:r>
          </w:p>
        </w:tc>
        <w:tc>
          <w:tcPr>
            <w:tcW w:w="769" w:type="pct"/>
            <w:vAlign w:val="center"/>
          </w:tcPr>
          <w:p w14:paraId="16C96179">
            <w:pPr>
              <w:pStyle w:val="33"/>
              <w:rPr>
                <w:color w:val="auto"/>
              </w:rPr>
            </w:pPr>
            <w:r>
              <w:rPr>
                <w:rFonts w:hint="eastAsia"/>
                <w:color w:val="auto"/>
              </w:rPr>
              <w:t>委托有资质的单位处置</w:t>
            </w:r>
          </w:p>
        </w:tc>
        <w:tc>
          <w:tcPr>
            <w:tcW w:w="857" w:type="pct"/>
            <w:vAlign w:val="center"/>
          </w:tcPr>
          <w:p w14:paraId="46AD1BCC">
            <w:pPr>
              <w:pStyle w:val="33"/>
              <w:rPr>
                <w:color w:val="auto"/>
              </w:rPr>
            </w:pPr>
            <w:r>
              <w:rPr>
                <w:rFonts w:hint="eastAsia"/>
                <w:color w:val="auto"/>
              </w:rPr>
              <w:t>委托有资质的单位处置</w:t>
            </w:r>
          </w:p>
        </w:tc>
      </w:tr>
      <w:tr w14:paraId="55958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2" w:type="pct"/>
            <w:vAlign w:val="center"/>
          </w:tcPr>
          <w:p w14:paraId="14277DE8">
            <w:pPr>
              <w:pStyle w:val="33"/>
              <w:rPr>
                <w:color w:val="auto"/>
              </w:rPr>
            </w:pPr>
            <w:r>
              <w:rPr>
                <w:rFonts w:hint="eastAsia"/>
                <w:color w:val="auto"/>
              </w:rPr>
              <w:t>废机油</w:t>
            </w:r>
          </w:p>
        </w:tc>
        <w:tc>
          <w:tcPr>
            <w:tcW w:w="822" w:type="pct"/>
            <w:vAlign w:val="center"/>
          </w:tcPr>
          <w:p w14:paraId="4A15F4D6">
            <w:pPr>
              <w:pStyle w:val="33"/>
              <w:rPr>
                <w:color w:val="auto"/>
              </w:rPr>
            </w:pPr>
            <w:r>
              <w:rPr>
                <w:rFonts w:hint="eastAsia"/>
                <w:color w:val="auto"/>
              </w:rPr>
              <w:t>矿物油</w:t>
            </w:r>
          </w:p>
        </w:tc>
        <w:tc>
          <w:tcPr>
            <w:tcW w:w="948" w:type="pct"/>
            <w:vAlign w:val="center"/>
          </w:tcPr>
          <w:p w14:paraId="475EA17D">
            <w:pPr>
              <w:pStyle w:val="33"/>
              <w:rPr>
                <w:color w:val="auto"/>
              </w:rPr>
            </w:pPr>
            <w:r>
              <w:rPr>
                <w:rFonts w:hint="eastAsia"/>
                <w:color w:val="auto"/>
              </w:rPr>
              <w:t>危险废物</w:t>
            </w:r>
          </w:p>
        </w:tc>
        <w:tc>
          <w:tcPr>
            <w:tcW w:w="802" w:type="pct"/>
            <w:vAlign w:val="center"/>
          </w:tcPr>
          <w:p w14:paraId="146619E5">
            <w:pPr>
              <w:pStyle w:val="33"/>
              <w:rPr>
                <w:color w:val="auto"/>
              </w:rPr>
            </w:pPr>
            <w:r>
              <w:rPr>
                <w:rFonts w:hint="eastAsia"/>
                <w:color w:val="auto"/>
              </w:rPr>
              <w:t>0.1</w:t>
            </w:r>
          </w:p>
        </w:tc>
        <w:tc>
          <w:tcPr>
            <w:tcW w:w="769" w:type="pct"/>
            <w:vAlign w:val="center"/>
          </w:tcPr>
          <w:p w14:paraId="2BFC25BB">
            <w:pPr>
              <w:pStyle w:val="33"/>
              <w:rPr>
                <w:color w:val="auto"/>
              </w:rPr>
            </w:pPr>
            <w:r>
              <w:rPr>
                <w:rFonts w:hint="eastAsia"/>
                <w:color w:val="auto"/>
              </w:rPr>
              <w:t>委托有资质的单位处置</w:t>
            </w:r>
          </w:p>
        </w:tc>
        <w:tc>
          <w:tcPr>
            <w:tcW w:w="857" w:type="pct"/>
            <w:vAlign w:val="center"/>
          </w:tcPr>
          <w:p w14:paraId="034051FA">
            <w:pPr>
              <w:pStyle w:val="33"/>
              <w:rPr>
                <w:color w:val="auto"/>
              </w:rPr>
            </w:pPr>
            <w:r>
              <w:rPr>
                <w:rFonts w:hint="eastAsia"/>
                <w:color w:val="auto"/>
              </w:rPr>
              <w:t>委托有资质的单位处置</w:t>
            </w:r>
          </w:p>
        </w:tc>
      </w:tr>
    </w:tbl>
    <w:p w14:paraId="1EF8FC9E">
      <w:pPr>
        <w:ind w:firstLine="480" w:firstLineChars="0"/>
        <w:rPr>
          <w:color w:val="auto"/>
        </w:rPr>
      </w:pPr>
      <w:r>
        <w:rPr>
          <w:rFonts w:hint="eastAsia"/>
          <w:color w:val="auto"/>
        </w:rPr>
        <w:t>（1）废铁丝、废聚酯网与除砂器杂质处置措施可行性分析</w:t>
      </w:r>
    </w:p>
    <w:p w14:paraId="142542D5">
      <w:pPr>
        <w:ind w:firstLine="480" w:firstLineChars="0"/>
        <w:rPr>
          <w:color w:val="auto"/>
        </w:rPr>
      </w:pPr>
      <w:r>
        <w:rPr>
          <w:rFonts w:hint="eastAsia"/>
          <w:color w:val="auto"/>
        </w:rPr>
        <w:t>本项目固废主要来源为白卡纸生产线改扩建产生的废铁丝、废聚酯网与除砂器产生的杂质。废铁丝和废聚酯网暂存在现有可回收资源堆场，现有可回收资源堆场面积为633m</w:t>
      </w:r>
      <w:r>
        <w:rPr>
          <w:rFonts w:hint="eastAsia"/>
          <w:color w:val="auto"/>
          <w:vertAlign w:val="superscript"/>
        </w:rPr>
        <w:t>2</w:t>
      </w:r>
      <w:r>
        <w:rPr>
          <w:rFonts w:hint="eastAsia"/>
          <w:color w:val="auto"/>
        </w:rPr>
        <w:t>，企业定期及时将可回收资源外委综合利用，确保废铁丝与废聚酯网能得到及时处理的同时保障现有可回收资源堆场的稳定运行。除砂器杂质则</w:t>
      </w:r>
      <w:r>
        <w:rPr>
          <w:rFonts w:hint="eastAsia" w:cs="Times New Roman"/>
          <w:color w:val="auto"/>
        </w:rPr>
        <w:t>随车间排水进入污水处理系统，最终进入污水处理厂污泥中</w:t>
      </w:r>
      <w:r>
        <w:rPr>
          <w:rFonts w:hint="eastAsia"/>
          <w:color w:val="auto"/>
        </w:rPr>
        <w:t>。</w:t>
      </w:r>
    </w:p>
    <w:p w14:paraId="06E6EB44">
      <w:pPr>
        <w:ind w:left="480" w:leftChars="200" w:firstLine="0" w:firstLineChars="0"/>
        <w:rPr>
          <w:color w:val="auto"/>
        </w:rPr>
      </w:pPr>
      <w:r>
        <w:rPr>
          <w:rFonts w:hint="eastAsia"/>
          <w:color w:val="auto"/>
        </w:rPr>
        <w:t>（2）污水处理站污泥处置措施可行性分析</w:t>
      </w:r>
    </w:p>
    <w:p w14:paraId="63DC3205">
      <w:pPr>
        <w:ind w:firstLine="480"/>
        <w:rPr>
          <w:color w:val="auto"/>
        </w:rPr>
      </w:pPr>
      <w:r>
        <w:rPr>
          <w:rFonts w:hint="eastAsia"/>
          <w:color w:val="auto"/>
        </w:rPr>
        <w:t>本项目新建一套由污泥浓缩池、污泥混合池、污泥调理池、板框压滤机组成的污泥处理设施，污泥处理设施对污水处理站产生污水污泥进行调理、浓缩。根据《制浆造纸废水治理工程技术规范》（</w:t>
      </w:r>
      <w:r>
        <w:rPr>
          <w:color w:val="auto"/>
        </w:rPr>
        <w:t>HJ2011-2012</w:t>
      </w:r>
      <w:r>
        <w:rPr>
          <w:rFonts w:hint="eastAsia"/>
          <w:color w:val="auto"/>
        </w:rPr>
        <w:t>），本项目产生的污泥含水率在</w:t>
      </w:r>
      <w:r>
        <w:rPr>
          <w:color w:val="auto"/>
        </w:rPr>
        <w:t>97%~99.2%</w:t>
      </w:r>
      <w:r>
        <w:rPr>
          <w:rFonts w:hint="eastAsia"/>
          <w:color w:val="auto"/>
        </w:rPr>
        <w:t>。</w:t>
      </w:r>
      <w:r>
        <w:rPr>
          <w:color w:val="auto"/>
        </w:rPr>
        <w:t>3#</w:t>
      </w:r>
      <w:r>
        <w:rPr>
          <w:rFonts w:hint="eastAsia"/>
          <w:color w:val="auto"/>
        </w:rPr>
        <w:t>污水处理站初沉污泥经螺旋压榨机处理后外售，根据企业提供资料，企业目前使用的螺旋压榨机能将污泥的含水率降低至</w:t>
      </w:r>
      <w:r>
        <w:rPr>
          <w:color w:val="auto"/>
        </w:rPr>
        <w:t>30%</w:t>
      </w:r>
      <w:r>
        <w:rPr>
          <w:rFonts w:hint="eastAsia"/>
          <w:color w:val="auto"/>
        </w:rPr>
        <w:t>；浓缩池污泥经板框压滤机</w:t>
      </w:r>
      <w:r>
        <w:rPr>
          <w:color w:val="auto"/>
        </w:rPr>
        <w:t>+</w:t>
      </w:r>
      <w:r>
        <w:rPr>
          <w:rFonts w:hint="eastAsia"/>
          <w:color w:val="auto"/>
        </w:rPr>
        <w:t>污泥干化系统处理后送动力厂焚烧，根据建设单位提供资料，经过板框压滤后的污泥含水率可以降低至</w:t>
      </w:r>
      <w:r>
        <w:rPr>
          <w:color w:val="auto"/>
        </w:rPr>
        <w:t>60%</w:t>
      </w:r>
      <w:r>
        <w:rPr>
          <w:rFonts w:hint="eastAsia"/>
          <w:color w:val="auto"/>
        </w:rPr>
        <w:t>以下。</w:t>
      </w:r>
    </w:p>
    <w:p w14:paraId="0CA9860C">
      <w:pPr>
        <w:ind w:firstLine="480"/>
        <w:rPr>
          <w:color w:val="auto"/>
        </w:rPr>
      </w:pPr>
      <w:r>
        <w:rPr>
          <w:rFonts w:hint="eastAsia"/>
          <w:color w:val="auto"/>
        </w:rPr>
        <w:t>板框压滤机系由一定数量的板框串连组成，在每两块板框中间有两层滤布，每块板框的中间是连通的；浓缩后的污泥由板框压滤机的一端进入压滤机，在两滤布中间受到板框的压榨，使污泥中所含的水份分离出来；当污泥含水率降到一定程度时板框逐块分开，脱水后的污泥剥落下来由输送机运出；所有污泥排出后再进行下一次脱水工作过程。脱水后污泥含水率可达到</w:t>
      </w:r>
      <w:r>
        <w:rPr>
          <w:color w:val="auto"/>
        </w:rPr>
        <w:t>60%</w:t>
      </w:r>
      <w:r>
        <w:rPr>
          <w:rFonts w:hint="eastAsia"/>
          <w:color w:val="auto"/>
        </w:rPr>
        <w:t>以下。</w:t>
      </w:r>
    </w:p>
    <w:p w14:paraId="5E88243E">
      <w:pPr>
        <w:ind w:firstLine="480"/>
        <w:rPr>
          <w:color w:val="auto"/>
        </w:rPr>
      </w:pPr>
      <w:r>
        <w:rPr>
          <w:rFonts w:hint="eastAsia"/>
          <w:color w:val="auto"/>
        </w:rPr>
        <w:t>板框压滤机的优点是脱水后泥饼含水率低、卫生条件较好；缺点是所需附属设备较多、初期投资较高、脱水效率较低、且不能连续运行、占地较大。</w:t>
      </w:r>
    </w:p>
    <w:p w14:paraId="1177CB00">
      <w:pPr>
        <w:pStyle w:val="7"/>
        <w:numPr>
          <w:ilvl w:val="5"/>
          <w:numId w:val="1"/>
        </w:numPr>
        <w:rPr>
          <w:color w:val="auto"/>
        </w:rPr>
      </w:pPr>
      <w:r>
        <w:rPr>
          <w:rFonts w:hint="eastAsia"/>
          <w:color w:val="auto"/>
        </w:rPr>
        <w:t>现有工程污泥近三年处置量一览表单位：t/a</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6"/>
        <w:gridCol w:w="2106"/>
        <w:gridCol w:w="2106"/>
        <w:gridCol w:w="2107"/>
      </w:tblGrid>
      <w:tr w14:paraId="5846D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06" w:type="dxa"/>
            <w:vAlign w:val="center"/>
          </w:tcPr>
          <w:p w14:paraId="3BB38908">
            <w:pPr>
              <w:pStyle w:val="33"/>
              <w:rPr>
                <w:color w:val="auto"/>
              </w:rPr>
            </w:pPr>
            <w:r>
              <w:rPr>
                <w:color w:val="auto"/>
              </w:rPr>
              <w:t>年份</w:t>
            </w:r>
          </w:p>
        </w:tc>
        <w:tc>
          <w:tcPr>
            <w:tcW w:w="2106" w:type="dxa"/>
            <w:vAlign w:val="center"/>
          </w:tcPr>
          <w:p w14:paraId="719CBD10">
            <w:pPr>
              <w:pStyle w:val="33"/>
              <w:rPr>
                <w:color w:val="auto"/>
              </w:rPr>
            </w:pPr>
            <w:r>
              <w:rPr>
                <w:color w:val="auto"/>
              </w:rPr>
              <w:t>污泥掺烧量</w:t>
            </w:r>
          </w:p>
        </w:tc>
        <w:tc>
          <w:tcPr>
            <w:tcW w:w="2106" w:type="dxa"/>
            <w:vAlign w:val="center"/>
          </w:tcPr>
          <w:p w14:paraId="250E01C1">
            <w:pPr>
              <w:pStyle w:val="33"/>
              <w:rPr>
                <w:color w:val="auto"/>
              </w:rPr>
            </w:pPr>
            <w:r>
              <w:rPr>
                <w:color w:val="auto"/>
              </w:rPr>
              <w:t>污泥外售量</w:t>
            </w:r>
          </w:p>
        </w:tc>
        <w:tc>
          <w:tcPr>
            <w:tcW w:w="2107" w:type="dxa"/>
            <w:vAlign w:val="center"/>
          </w:tcPr>
          <w:p w14:paraId="2566152B">
            <w:pPr>
              <w:pStyle w:val="33"/>
              <w:rPr>
                <w:color w:val="auto"/>
              </w:rPr>
            </w:pPr>
            <w:r>
              <w:rPr>
                <w:color w:val="auto"/>
              </w:rPr>
              <w:t>污泥总产量</w:t>
            </w:r>
          </w:p>
        </w:tc>
      </w:tr>
      <w:tr w14:paraId="710C9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06" w:type="dxa"/>
            <w:vAlign w:val="center"/>
          </w:tcPr>
          <w:p w14:paraId="30440692">
            <w:pPr>
              <w:pStyle w:val="33"/>
              <w:rPr>
                <w:color w:val="auto"/>
              </w:rPr>
            </w:pPr>
            <w:r>
              <w:rPr>
                <w:color w:val="auto"/>
              </w:rPr>
              <w:t>2023</w:t>
            </w:r>
          </w:p>
        </w:tc>
        <w:tc>
          <w:tcPr>
            <w:tcW w:w="2106" w:type="dxa"/>
            <w:vAlign w:val="center"/>
          </w:tcPr>
          <w:p w14:paraId="3CBCE50F">
            <w:pPr>
              <w:pStyle w:val="33"/>
              <w:rPr>
                <w:color w:val="auto"/>
              </w:rPr>
            </w:pPr>
            <w:r>
              <w:rPr>
                <w:color w:val="auto"/>
              </w:rPr>
              <w:t>31095</w:t>
            </w:r>
          </w:p>
        </w:tc>
        <w:tc>
          <w:tcPr>
            <w:tcW w:w="2106" w:type="dxa"/>
            <w:vAlign w:val="center"/>
          </w:tcPr>
          <w:p w14:paraId="35AC3802">
            <w:pPr>
              <w:pStyle w:val="33"/>
              <w:rPr>
                <w:color w:val="auto"/>
              </w:rPr>
            </w:pPr>
            <w:r>
              <w:rPr>
                <w:color w:val="auto"/>
              </w:rPr>
              <w:t>114610</w:t>
            </w:r>
          </w:p>
        </w:tc>
        <w:tc>
          <w:tcPr>
            <w:tcW w:w="2107" w:type="dxa"/>
            <w:vAlign w:val="center"/>
          </w:tcPr>
          <w:p w14:paraId="2AED6A1D">
            <w:pPr>
              <w:pStyle w:val="33"/>
              <w:rPr>
                <w:color w:val="auto"/>
              </w:rPr>
            </w:pPr>
            <w:r>
              <w:rPr>
                <w:color w:val="auto"/>
              </w:rPr>
              <w:t>145705</w:t>
            </w:r>
          </w:p>
        </w:tc>
      </w:tr>
      <w:tr w14:paraId="600E4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6" w:type="dxa"/>
            <w:vAlign w:val="center"/>
          </w:tcPr>
          <w:p w14:paraId="0AD60D93">
            <w:pPr>
              <w:pStyle w:val="33"/>
              <w:rPr>
                <w:color w:val="auto"/>
              </w:rPr>
            </w:pPr>
            <w:r>
              <w:rPr>
                <w:color w:val="auto"/>
              </w:rPr>
              <w:t>2024</w:t>
            </w:r>
          </w:p>
        </w:tc>
        <w:tc>
          <w:tcPr>
            <w:tcW w:w="2106" w:type="dxa"/>
            <w:vAlign w:val="center"/>
          </w:tcPr>
          <w:p w14:paraId="50D37514">
            <w:pPr>
              <w:pStyle w:val="33"/>
              <w:rPr>
                <w:color w:val="auto"/>
              </w:rPr>
            </w:pPr>
            <w:r>
              <w:rPr>
                <w:color w:val="auto"/>
              </w:rPr>
              <w:t>31610</w:t>
            </w:r>
          </w:p>
        </w:tc>
        <w:tc>
          <w:tcPr>
            <w:tcW w:w="2106" w:type="dxa"/>
            <w:vAlign w:val="center"/>
          </w:tcPr>
          <w:p w14:paraId="5B3F4E57">
            <w:pPr>
              <w:pStyle w:val="33"/>
              <w:rPr>
                <w:color w:val="auto"/>
              </w:rPr>
            </w:pPr>
            <w:r>
              <w:rPr>
                <w:color w:val="auto"/>
              </w:rPr>
              <w:t>167448</w:t>
            </w:r>
          </w:p>
        </w:tc>
        <w:tc>
          <w:tcPr>
            <w:tcW w:w="2107" w:type="dxa"/>
            <w:vAlign w:val="center"/>
          </w:tcPr>
          <w:p w14:paraId="26AD43C9">
            <w:pPr>
              <w:pStyle w:val="33"/>
              <w:rPr>
                <w:color w:val="auto"/>
              </w:rPr>
            </w:pPr>
            <w:r>
              <w:rPr>
                <w:color w:val="auto"/>
              </w:rPr>
              <w:t>199058</w:t>
            </w:r>
          </w:p>
        </w:tc>
      </w:tr>
      <w:tr w14:paraId="3AD3D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06" w:type="dxa"/>
            <w:vAlign w:val="center"/>
          </w:tcPr>
          <w:p w14:paraId="1F42E64C">
            <w:pPr>
              <w:pStyle w:val="33"/>
              <w:rPr>
                <w:color w:val="auto"/>
              </w:rPr>
            </w:pPr>
            <w:r>
              <w:rPr>
                <w:color w:val="auto"/>
              </w:rPr>
              <w:t>2025</w:t>
            </w:r>
          </w:p>
        </w:tc>
        <w:tc>
          <w:tcPr>
            <w:tcW w:w="2106" w:type="dxa"/>
            <w:vAlign w:val="center"/>
          </w:tcPr>
          <w:p w14:paraId="6489A6CE">
            <w:pPr>
              <w:pStyle w:val="33"/>
              <w:rPr>
                <w:color w:val="auto"/>
              </w:rPr>
            </w:pPr>
            <w:r>
              <w:rPr>
                <w:color w:val="auto"/>
              </w:rPr>
              <w:t>30540</w:t>
            </w:r>
          </w:p>
        </w:tc>
        <w:tc>
          <w:tcPr>
            <w:tcW w:w="2106" w:type="dxa"/>
            <w:vAlign w:val="center"/>
          </w:tcPr>
          <w:p w14:paraId="0FD12BB1">
            <w:pPr>
              <w:pStyle w:val="33"/>
              <w:rPr>
                <w:color w:val="auto"/>
              </w:rPr>
            </w:pPr>
            <w:r>
              <w:rPr>
                <w:color w:val="auto"/>
              </w:rPr>
              <w:t>151157</w:t>
            </w:r>
          </w:p>
        </w:tc>
        <w:tc>
          <w:tcPr>
            <w:tcW w:w="2107" w:type="dxa"/>
            <w:vAlign w:val="center"/>
          </w:tcPr>
          <w:p w14:paraId="6685ECA1">
            <w:pPr>
              <w:pStyle w:val="33"/>
              <w:rPr>
                <w:color w:val="auto"/>
              </w:rPr>
            </w:pPr>
            <w:r>
              <w:rPr>
                <w:color w:val="auto"/>
              </w:rPr>
              <w:t>181697</w:t>
            </w:r>
          </w:p>
        </w:tc>
      </w:tr>
    </w:tbl>
    <w:p w14:paraId="6C534925">
      <w:pPr>
        <w:ind w:firstLine="480"/>
        <w:rPr>
          <w:color w:val="auto"/>
        </w:rPr>
      </w:pPr>
      <w:r>
        <w:rPr>
          <w:color w:val="auto"/>
        </w:rPr>
        <w:t>广西田东力源宝科技有限公司目前环评批复有机废物处理量为40万吨（制糖滤泥、造纸污泥、畜禽粪便等），</w:t>
      </w:r>
      <w:r>
        <w:rPr>
          <w:rFonts w:hint="eastAsia"/>
          <w:color w:val="auto"/>
        </w:rPr>
        <w:t>项目产生污泥0.946万吨/a。因此</w:t>
      </w:r>
      <w:r>
        <w:rPr>
          <w:color w:val="auto"/>
        </w:rPr>
        <w:t>广西田东力源宝科技有限公司能够容纳项目产生的造纸污泥。</w:t>
      </w:r>
    </w:p>
    <w:p w14:paraId="39DC002C">
      <w:pPr>
        <w:ind w:firstLine="480"/>
        <w:rPr>
          <w:color w:val="auto"/>
        </w:rPr>
      </w:pPr>
      <w:r>
        <w:rPr>
          <w:rFonts w:hint="eastAsia"/>
          <w:color w:val="auto"/>
        </w:rPr>
        <w:t>（3）废活性炭、废润滑油处置措施可行性分析</w:t>
      </w:r>
    </w:p>
    <w:p w14:paraId="47FF6323">
      <w:pPr>
        <w:ind w:firstLine="480"/>
        <w:rPr>
          <w:color w:val="auto"/>
        </w:rPr>
      </w:pPr>
      <w:r>
        <w:rPr>
          <w:rFonts w:hint="eastAsia"/>
          <w:color w:val="auto"/>
        </w:rPr>
        <w:t>根据《国家危险废物名录（2025年版）》，废活性炭属于HW49其他废物，废物代码900-039-49，废润滑油属于HW08含矿物油与含矿物油废物，废物代码900-214-08。</w:t>
      </w:r>
    </w:p>
    <w:p w14:paraId="2B8B16AC">
      <w:pPr>
        <w:ind w:firstLine="480"/>
        <w:rPr>
          <w:color w:val="auto"/>
        </w:rPr>
      </w:pPr>
      <w:r>
        <w:rPr>
          <w:rFonts w:hint="eastAsia"/>
          <w:color w:val="auto"/>
        </w:rPr>
        <w:t>废活性炭与废润滑油暂存在危废暂存库内，定期委托有危险废物处理资质的单位处置。</w:t>
      </w:r>
    </w:p>
    <w:p w14:paraId="11F19FFA">
      <w:pPr>
        <w:ind w:firstLine="480"/>
        <w:rPr>
          <w:color w:val="auto"/>
        </w:rPr>
      </w:pPr>
      <w:r>
        <w:rPr>
          <w:rFonts w:hint="eastAsia"/>
          <w:color w:val="auto"/>
        </w:rPr>
        <w:t>（4）危险废物暂存间可行性分析</w:t>
      </w:r>
    </w:p>
    <w:p w14:paraId="003E930D">
      <w:pPr>
        <w:ind w:firstLine="480"/>
        <w:rPr>
          <w:color w:val="auto"/>
        </w:rPr>
      </w:pPr>
      <w:r>
        <w:rPr>
          <w:rFonts w:hint="eastAsia"/>
          <w:color w:val="auto"/>
        </w:rPr>
        <w:t>目前项目设置有危废暂存间，位于金桂浆纸业北部，面积1200m</w:t>
      </w:r>
      <w:r>
        <w:rPr>
          <w:rFonts w:hint="eastAsia"/>
          <w:color w:val="auto"/>
          <w:vertAlign w:val="superscript"/>
        </w:rPr>
        <w:t>2</w:t>
      </w:r>
      <w:r>
        <w:rPr>
          <w:rFonts w:hint="eastAsia"/>
          <w:color w:val="auto"/>
        </w:rPr>
        <w:t>，可存放危险废物300t。目前企业已批在建危险废物与现有危险废物合计525.2t/a，约3个月处置1次，最大暂存量为175.07t。本项目产生危险废物3.7t/a，3个月处置1次，则暂存量为0.9t。项目建成后，危险废物暂存间最大暂存量为176.10t，项目配套的危废暂存库仍能满足贮存需要。</w:t>
      </w:r>
    </w:p>
    <w:p w14:paraId="63A68E9D">
      <w:pPr>
        <w:pStyle w:val="4"/>
        <w:rPr>
          <w:color w:val="auto"/>
        </w:rPr>
      </w:pPr>
      <w:bookmarkStart w:id="593" w:name="_Toc225216870"/>
      <w:r>
        <w:rPr>
          <w:rFonts w:hint="eastAsia"/>
          <w:color w:val="auto"/>
        </w:rPr>
        <w:t>地下水环境污染防治措施及可行性分析</w:t>
      </w:r>
      <w:bookmarkEnd w:id="593"/>
    </w:p>
    <w:p w14:paraId="07B9F827">
      <w:pPr>
        <w:pStyle w:val="5"/>
        <w:rPr>
          <w:color w:val="auto"/>
        </w:rPr>
      </w:pPr>
      <w:r>
        <w:rPr>
          <w:color w:val="auto"/>
        </w:rPr>
        <w:t>源头控制措施</w:t>
      </w:r>
    </w:p>
    <w:p w14:paraId="04719EDA">
      <w:pPr>
        <w:ind w:firstLine="480"/>
        <w:rPr>
          <w:rFonts w:cs="Times New Roman"/>
          <w:color w:val="auto"/>
        </w:rPr>
      </w:pPr>
      <w:r>
        <w:rPr>
          <w:rFonts w:cs="Times New Roman"/>
          <w:color w:val="auto"/>
        </w:rPr>
        <w:t>（1）严格控制“三废”排放，减少生产设备和管道“跑、冒、滴、漏”现象发生。</w:t>
      </w:r>
    </w:p>
    <w:p w14:paraId="15E7CAE5">
      <w:pPr>
        <w:ind w:firstLine="480"/>
        <w:rPr>
          <w:rFonts w:cs="Times New Roman"/>
          <w:color w:val="auto"/>
        </w:rPr>
      </w:pPr>
      <w:r>
        <w:rPr>
          <w:rFonts w:cs="Times New Roman"/>
          <w:color w:val="auto"/>
        </w:rPr>
        <w:t>（2）加强管理，对设备运行情况定期巡查，及时发现解决问题，从源头杜绝污水渗漏、污染地下水的情况发生。</w:t>
      </w:r>
    </w:p>
    <w:p w14:paraId="785F616B">
      <w:pPr>
        <w:ind w:firstLine="480"/>
        <w:rPr>
          <w:rFonts w:cs="Times New Roman"/>
          <w:color w:val="auto"/>
        </w:rPr>
      </w:pPr>
      <w:r>
        <w:rPr>
          <w:rFonts w:cs="Times New Roman"/>
          <w:color w:val="auto"/>
        </w:rPr>
        <w:t>（3）发现有污染物泄漏或渗漏，采取清理污染物和修补漏洞（缝）等补救措施。</w:t>
      </w:r>
    </w:p>
    <w:p w14:paraId="7E2948D8">
      <w:pPr>
        <w:pStyle w:val="5"/>
        <w:rPr>
          <w:color w:val="auto"/>
        </w:rPr>
      </w:pPr>
      <w:r>
        <w:rPr>
          <w:color w:val="auto"/>
        </w:rPr>
        <w:t>分区防控措施</w:t>
      </w:r>
    </w:p>
    <w:p w14:paraId="10DC73CB">
      <w:pPr>
        <w:ind w:firstLine="480"/>
        <w:rPr>
          <w:rFonts w:cs="Times New Roman"/>
          <w:color w:val="auto"/>
        </w:rPr>
      </w:pPr>
      <w:r>
        <w:rPr>
          <w:rFonts w:cs="Times New Roman"/>
          <w:color w:val="auto"/>
        </w:rPr>
        <w:t>根据《危险废物贮存污染控制标准》（GB18597-2023）和《环境影响评价技术导则地下水环境》（HJ610-2016），结合项目场地污染控制难易程度和天然包气带防污性能，场区各生产功能单元可能泄漏至地面区域的污染物性质和生产单元构筑方式，将场区划分为重点防渗区、一般防渗区和简单防渗区。</w:t>
      </w:r>
    </w:p>
    <w:p w14:paraId="7452E6D2">
      <w:pPr>
        <w:ind w:firstLine="480"/>
        <w:rPr>
          <w:rFonts w:cs="Times New Roman"/>
          <w:color w:val="auto"/>
        </w:rPr>
      </w:pPr>
      <w:r>
        <w:rPr>
          <w:rFonts w:hint="eastAsia" w:cs="Times New Roman"/>
          <w:color w:val="auto"/>
        </w:rPr>
        <w:t>重点防渗区应建设在均匀和强度较高的地基上，不能发生不均匀沉降，设置等效黏土防渗层Mb≥6.0m，K≤1×10</w:t>
      </w:r>
      <w:r>
        <w:rPr>
          <w:rFonts w:hint="eastAsia" w:cs="Times New Roman"/>
          <w:color w:val="auto"/>
          <w:vertAlign w:val="superscript"/>
        </w:rPr>
        <w:t>-7</w:t>
      </w:r>
      <w:r>
        <w:rPr>
          <w:rFonts w:hint="eastAsia" w:cs="Times New Roman"/>
          <w:color w:val="auto"/>
        </w:rPr>
        <w:t>cm/s或参照《危险废物填埋污染控制标准》（GB18598-2019）实施，防止污水渗漏污染地下水。</w:t>
      </w:r>
    </w:p>
    <w:p w14:paraId="2B6DE959">
      <w:pPr>
        <w:ind w:firstLine="480"/>
        <w:rPr>
          <w:rFonts w:cs="Times New Roman"/>
          <w:color w:val="auto"/>
        </w:rPr>
      </w:pPr>
      <w:r>
        <w:rPr>
          <w:rFonts w:hint="eastAsia" w:cs="Times New Roman"/>
          <w:color w:val="auto"/>
        </w:rPr>
        <w:t>一般防渗区如原料堆场及备料工段、造纸车间、一般工业固废暂存区、公用工程、热电站等，这些车间的包气带防污性能中等，产生的污染物类型均为其他类型，且设备均为地上布置式，发生泄漏易发现和处理。其防治措施为：设置等效黏土防渗层Mb≥1.5m，K≤1×10</w:t>
      </w:r>
      <w:r>
        <w:rPr>
          <w:rFonts w:hint="eastAsia" w:cs="Times New Roman"/>
          <w:color w:val="auto"/>
          <w:vertAlign w:val="superscript"/>
        </w:rPr>
        <w:t>-7</w:t>
      </w:r>
      <w:r>
        <w:rPr>
          <w:rFonts w:hint="eastAsia" w:cs="Times New Roman"/>
          <w:color w:val="auto"/>
        </w:rPr>
        <w:t>cm/s，或参照《生活垃圾填埋场污染控制标准》（GB16889-2008）执行，防止污水渗漏污染地下水。此外，也要做好相应的粉尘、固废的收集防漏措施。</w:t>
      </w:r>
    </w:p>
    <w:p w14:paraId="329DB3E7">
      <w:pPr>
        <w:ind w:firstLine="480"/>
        <w:rPr>
          <w:rFonts w:cs="Times New Roman"/>
          <w:color w:val="auto"/>
        </w:rPr>
      </w:pPr>
      <w:r>
        <w:rPr>
          <w:rFonts w:cs="Times New Roman"/>
          <w:color w:val="auto"/>
        </w:rPr>
        <w:t>防渗结构型式选择应结合当地土壤包气带防污性能、环境水文地质条件、工程地质条件、污染防治区划分等，综合选择。为保证防渗工程正常施工、运行，达到设计防渗等级，应对工程质量进行管理控制：</w:t>
      </w:r>
    </w:p>
    <w:p w14:paraId="670B8413">
      <w:pPr>
        <w:ind w:firstLine="480"/>
        <w:rPr>
          <w:rFonts w:cs="Times New Roman"/>
          <w:color w:val="auto"/>
        </w:rPr>
      </w:pPr>
      <w:r>
        <w:rPr>
          <w:rFonts w:cs="Times New Roman"/>
          <w:color w:val="auto"/>
        </w:rPr>
        <w:t>（1）选择具有相应资质的设计单位对工程进行设计，防渗工程的设计符合相应要求及设计规范；具体防渗区施工时会同设计部门一起落实。</w:t>
      </w:r>
    </w:p>
    <w:p w14:paraId="3FD6C0F7">
      <w:pPr>
        <w:ind w:firstLine="480"/>
        <w:rPr>
          <w:rFonts w:cs="Times New Roman"/>
          <w:color w:val="auto"/>
        </w:rPr>
      </w:pPr>
      <w:r>
        <w:rPr>
          <w:rFonts w:cs="Times New Roman"/>
          <w:color w:val="auto"/>
        </w:rPr>
        <w:t>（2）工程材料符合设计要求，并按照有关规定和要求进行质量检验，保证使用材料全部合格；</w:t>
      </w:r>
    </w:p>
    <w:p w14:paraId="2CB5AB6F">
      <w:pPr>
        <w:ind w:firstLine="480"/>
        <w:rPr>
          <w:rFonts w:cs="Times New Roman"/>
          <w:color w:val="auto"/>
        </w:rPr>
      </w:pPr>
      <w:r>
        <w:rPr>
          <w:rFonts w:cs="Times New Roman"/>
          <w:color w:val="auto"/>
        </w:rPr>
        <w:t>（3）聘请优秀专业施工队伍，施工方法符合规范要求；</w:t>
      </w:r>
    </w:p>
    <w:p w14:paraId="507E83C9">
      <w:pPr>
        <w:ind w:firstLine="480"/>
        <w:rPr>
          <w:rFonts w:cs="Times New Roman"/>
          <w:color w:val="auto"/>
        </w:rPr>
      </w:pPr>
      <w:r>
        <w:rPr>
          <w:rFonts w:cs="Times New Roman"/>
          <w:color w:val="auto"/>
        </w:rPr>
        <w:t>（4）工程完工后进行质量检测。</w:t>
      </w:r>
    </w:p>
    <w:p w14:paraId="20929448">
      <w:pPr>
        <w:ind w:firstLine="480"/>
        <w:rPr>
          <w:rFonts w:cs="Times New Roman"/>
          <w:color w:val="auto"/>
        </w:rPr>
      </w:pPr>
      <w:r>
        <w:rPr>
          <w:rFonts w:cs="Times New Roman"/>
          <w:color w:val="auto"/>
        </w:rPr>
        <w:t>在防渗设施投入使用后，要加强日常的维护管理。</w:t>
      </w:r>
    </w:p>
    <w:p w14:paraId="324F54F7">
      <w:pPr>
        <w:pStyle w:val="5"/>
        <w:rPr>
          <w:color w:val="auto"/>
        </w:rPr>
      </w:pPr>
      <w:r>
        <w:rPr>
          <w:rFonts w:hint="eastAsia"/>
          <w:color w:val="auto"/>
        </w:rPr>
        <w:t>加强地下水监控</w:t>
      </w:r>
    </w:p>
    <w:p w14:paraId="21E9759F">
      <w:pPr>
        <w:ind w:firstLine="480"/>
        <w:rPr>
          <w:color w:val="auto"/>
        </w:rPr>
      </w:pPr>
      <w:r>
        <w:rPr>
          <w:color w:val="auto"/>
        </w:rPr>
        <w:t>本环评要求建设单位建立完善的地下水环境监控体系，包括建立地下水污染监控制度和环境管理体系、制定监测计划、配备先进的检测仪器和设备，以便及时发现问题，及时采取措施，建设单位需定期对水质进行监测，对地下水污染实行有效监控。</w:t>
      </w:r>
      <w:r>
        <w:rPr>
          <w:rFonts w:hint="eastAsia"/>
          <w:color w:val="auto"/>
        </w:rPr>
        <w:t>完善现有厂区监测井设施（井口、铭牌），本项目设置4个跟踪监测点。</w:t>
      </w:r>
    </w:p>
    <w:p w14:paraId="14521CEC">
      <w:pPr>
        <w:pStyle w:val="7"/>
        <w:rPr>
          <w:color w:val="auto"/>
        </w:rPr>
      </w:pPr>
      <w:r>
        <w:rPr>
          <w:color w:val="auto"/>
        </w:rPr>
        <w:t>跟踪监测点</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267"/>
        <w:gridCol w:w="1319"/>
        <w:gridCol w:w="1125"/>
        <w:gridCol w:w="1847"/>
        <w:gridCol w:w="2106"/>
      </w:tblGrid>
      <w:tr w14:paraId="259C1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98" w:type="dxa"/>
            <w:noWrap/>
            <w:vAlign w:val="center"/>
          </w:tcPr>
          <w:p w14:paraId="2D2C3A24">
            <w:pPr>
              <w:pStyle w:val="33"/>
              <w:rPr>
                <w:color w:val="auto"/>
                <w:szCs w:val="21"/>
              </w:rPr>
            </w:pPr>
            <w:r>
              <w:rPr>
                <w:color w:val="auto"/>
                <w:szCs w:val="21"/>
              </w:rPr>
              <w:t>名称</w:t>
            </w:r>
          </w:p>
        </w:tc>
        <w:tc>
          <w:tcPr>
            <w:tcW w:w="1267" w:type="dxa"/>
            <w:noWrap/>
            <w:vAlign w:val="center"/>
          </w:tcPr>
          <w:p w14:paraId="14BF3798">
            <w:pPr>
              <w:pStyle w:val="33"/>
              <w:rPr>
                <w:color w:val="auto"/>
                <w:szCs w:val="21"/>
              </w:rPr>
            </w:pPr>
            <w:r>
              <w:rPr>
                <w:color w:val="auto"/>
                <w:szCs w:val="21"/>
              </w:rPr>
              <w:t>横坐标Y(米)</w:t>
            </w:r>
          </w:p>
        </w:tc>
        <w:tc>
          <w:tcPr>
            <w:tcW w:w="1318" w:type="dxa"/>
            <w:noWrap/>
            <w:vAlign w:val="center"/>
          </w:tcPr>
          <w:p w14:paraId="06C484C2">
            <w:pPr>
              <w:pStyle w:val="33"/>
              <w:rPr>
                <w:color w:val="auto"/>
                <w:szCs w:val="21"/>
              </w:rPr>
            </w:pPr>
            <w:r>
              <w:rPr>
                <w:color w:val="auto"/>
                <w:szCs w:val="21"/>
              </w:rPr>
              <w:t>纵坐标X(米)</w:t>
            </w:r>
          </w:p>
        </w:tc>
        <w:tc>
          <w:tcPr>
            <w:tcW w:w="1125" w:type="dxa"/>
            <w:noWrap/>
            <w:vAlign w:val="center"/>
          </w:tcPr>
          <w:p w14:paraId="3C25C558">
            <w:pPr>
              <w:pStyle w:val="33"/>
              <w:rPr>
                <w:color w:val="auto"/>
                <w:szCs w:val="21"/>
              </w:rPr>
            </w:pPr>
            <w:r>
              <w:rPr>
                <w:rFonts w:hint="eastAsia"/>
                <w:color w:val="auto"/>
                <w:szCs w:val="21"/>
              </w:rPr>
              <w:t>流场位置</w:t>
            </w:r>
          </w:p>
        </w:tc>
        <w:tc>
          <w:tcPr>
            <w:tcW w:w="1847" w:type="dxa"/>
            <w:noWrap/>
            <w:vAlign w:val="center"/>
          </w:tcPr>
          <w:p w14:paraId="101083A8">
            <w:pPr>
              <w:pStyle w:val="33"/>
              <w:rPr>
                <w:color w:val="auto"/>
                <w:szCs w:val="21"/>
              </w:rPr>
            </w:pPr>
            <w:r>
              <w:rPr>
                <w:rFonts w:hint="eastAsia"/>
                <w:color w:val="auto"/>
                <w:szCs w:val="21"/>
              </w:rPr>
              <w:t>任务</w:t>
            </w:r>
          </w:p>
        </w:tc>
        <w:tc>
          <w:tcPr>
            <w:tcW w:w="0" w:type="auto"/>
            <w:noWrap/>
            <w:vAlign w:val="center"/>
          </w:tcPr>
          <w:p w14:paraId="649790D5">
            <w:pPr>
              <w:pStyle w:val="33"/>
              <w:rPr>
                <w:color w:val="auto"/>
                <w:szCs w:val="21"/>
              </w:rPr>
            </w:pPr>
            <w:r>
              <w:rPr>
                <w:rFonts w:hint="eastAsia"/>
                <w:color w:val="auto"/>
                <w:szCs w:val="21"/>
              </w:rPr>
              <w:t>地下水类型</w:t>
            </w:r>
          </w:p>
        </w:tc>
      </w:tr>
      <w:tr w14:paraId="003DB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98" w:type="dxa"/>
            <w:noWrap/>
            <w:vAlign w:val="center"/>
          </w:tcPr>
          <w:p w14:paraId="70F22AFC">
            <w:pPr>
              <w:pStyle w:val="33"/>
              <w:rPr>
                <w:color w:val="auto"/>
                <w:szCs w:val="21"/>
              </w:rPr>
            </w:pPr>
            <w:r>
              <w:rPr>
                <w:rFonts w:hint="eastAsia"/>
                <w:color w:val="auto"/>
                <w:szCs w:val="21"/>
              </w:rPr>
              <w:t>J1（</w:t>
            </w:r>
            <w:r>
              <w:rPr>
                <w:color w:val="auto"/>
                <w:szCs w:val="21"/>
              </w:rPr>
              <w:t>U7</w:t>
            </w:r>
            <w:r>
              <w:rPr>
                <w:rFonts w:hint="eastAsia"/>
                <w:color w:val="auto"/>
                <w:szCs w:val="21"/>
              </w:rPr>
              <w:t>）</w:t>
            </w:r>
          </w:p>
        </w:tc>
        <w:tc>
          <w:tcPr>
            <w:tcW w:w="1267" w:type="dxa"/>
            <w:noWrap/>
            <w:vAlign w:val="center"/>
          </w:tcPr>
          <w:p w14:paraId="156805AD">
            <w:pPr>
              <w:pStyle w:val="33"/>
              <w:rPr>
                <w:color w:val="auto"/>
                <w:szCs w:val="21"/>
              </w:rPr>
            </w:pPr>
            <w:r>
              <w:rPr>
                <w:color w:val="auto"/>
              </w:rPr>
              <w:t>571019.724</w:t>
            </w:r>
          </w:p>
        </w:tc>
        <w:tc>
          <w:tcPr>
            <w:tcW w:w="1318" w:type="dxa"/>
            <w:noWrap/>
            <w:vAlign w:val="center"/>
          </w:tcPr>
          <w:p w14:paraId="52AE88B3">
            <w:pPr>
              <w:pStyle w:val="33"/>
              <w:rPr>
                <w:color w:val="auto"/>
                <w:szCs w:val="21"/>
              </w:rPr>
            </w:pPr>
            <w:r>
              <w:rPr>
                <w:color w:val="auto"/>
              </w:rPr>
              <w:t>2403665.063</w:t>
            </w:r>
          </w:p>
        </w:tc>
        <w:tc>
          <w:tcPr>
            <w:tcW w:w="1125" w:type="dxa"/>
            <w:noWrap/>
            <w:vAlign w:val="center"/>
          </w:tcPr>
          <w:p w14:paraId="0CBF267A">
            <w:pPr>
              <w:pStyle w:val="33"/>
              <w:rPr>
                <w:color w:val="auto"/>
                <w:szCs w:val="21"/>
              </w:rPr>
            </w:pPr>
            <w:r>
              <w:rPr>
                <w:rFonts w:hint="eastAsia"/>
                <w:color w:val="auto"/>
                <w:szCs w:val="21"/>
              </w:rPr>
              <w:t>上游</w:t>
            </w:r>
          </w:p>
        </w:tc>
        <w:tc>
          <w:tcPr>
            <w:tcW w:w="1847" w:type="dxa"/>
            <w:noWrap/>
            <w:vAlign w:val="center"/>
          </w:tcPr>
          <w:p w14:paraId="1C33DBEE">
            <w:pPr>
              <w:pStyle w:val="33"/>
              <w:rPr>
                <w:color w:val="auto"/>
                <w:szCs w:val="21"/>
              </w:rPr>
            </w:pPr>
            <w:r>
              <w:rPr>
                <w:rFonts w:hint="eastAsia"/>
                <w:color w:val="auto"/>
                <w:szCs w:val="21"/>
              </w:rPr>
              <w:t>背景值</w:t>
            </w:r>
          </w:p>
        </w:tc>
        <w:tc>
          <w:tcPr>
            <w:tcW w:w="0" w:type="auto"/>
            <w:vMerge w:val="restart"/>
            <w:noWrap/>
            <w:vAlign w:val="center"/>
          </w:tcPr>
          <w:p w14:paraId="0C89097D">
            <w:pPr>
              <w:pStyle w:val="33"/>
              <w:rPr>
                <w:color w:val="auto"/>
                <w:szCs w:val="21"/>
              </w:rPr>
            </w:pPr>
            <w:r>
              <w:rPr>
                <w:rFonts w:hint="eastAsia"/>
                <w:color w:val="auto"/>
                <w:szCs w:val="21"/>
              </w:rPr>
              <w:t>碎屑岩类孔隙裂隙水</w:t>
            </w:r>
          </w:p>
        </w:tc>
      </w:tr>
      <w:tr w14:paraId="37353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98" w:type="dxa"/>
            <w:noWrap/>
            <w:vAlign w:val="center"/>
          </w:tcPr>
          <w:p w14:paraId="5A1F5DA7">
            <w:pPr>
              <w:pStyle w:val="33"/>
              <w:rPr>
                <w:color w:val="auto"/>
                <w:szCs w:val="21"/>
              </w:rPr>
            </w:pPr>
            <w:r>
              <w:rPr>
                <w:rFonts w:hint="eastAsia"/>
                <w:color w:val="auto"/>
                <w:szCs w:val="21"/>
              </w:rPr>
              <w:t>J2（</w:t>
            </w:r>
            <w:r>
              <w:rPr>
                <w:color w:val="auto"/>
                <w:szCs w:val="21"/>
              </w:rPr>
              <w:t>U4</w:t>
            </w:r>
            <w:r>
              <w:rPr>
                <w:rFonts w:hint="eastAsia"/>
                <w:color w:val="auto"/>
                <w:szCs w:val="21"/>
              </w:rPr>
              <w:t>）</w:t>
            </w:r>
          </w:p>
        </w:tc>
        <w:tc>
          <w:tcPr>
            <w:tcW w:w="1267" w:type="dxa"/>
            <w:noWrap/>
            <w:vAlign w:val="center"/>
          </w:tcPr>
          <w:p w14:paraId="0058B98C">
            <w:pPr>
              <w:pStyle w:val="33"/>
              <w:rPr>
                <w:color w:val="auto"/>
                <w:szCs w:val="21"/>
              </w:rPr>
            </w:pPr>
            <w:r>
              <w:rPr>
                <w:color w:val="auto"/>
              </w:rPr>
              <w:t>571922.571</w:t>
            </w:r>
          </w:p>
        </w:tc>
        <w:tc>
          <w:tcPr>
            <w:tcW w:w="1318" w:type="dxa"/>
            <w:noWrap/>
            <w:vAlign w:val="center"/>
          </w:tcPr>
          <w:p w14:paraId="66D2E49B">
            <w:pPr>
              <w:pStyle w:val="33"/>
              <w:rPr>
                <w:color w:val="auto"/>
                <w:szCs w:val="21"/>
              </w:rPr>
            </w:pPr>
            <w:r>
              <w:rPr>
                <w:color w:val="auto"/>
              </w:rPr>
              <w:t>2402937.213</w:t>
            </w:r>
          </w:p>
        </w:tc>
        <w:tc>
          <w:tcPr>
            <w:tcW w:w="1125" w:type="dxa"/>
            <w:noWrap/>
            <w:vAlign w:val="center"/>
          </w:tcPr>
          <w:p w14:paraId="439909B8">
            <w:pPr>
              <w:pStyle w:val="33"/>
              <w:rPr>
                <w:color w:val="auto"/>
                <w:szCs w:val="21"/>
              </w:rPr>
            </w:pPr>
            <w:r>
              <w:rPr>
                <w:rFonts w:hint="eastAsia"/>
                <w:color w:val="auto"/>
                <w:szCs w:val="21"/>
              </w:rPr>
              <w:t>侧游</w:t>
            </w:r>
          </w:p>
        </w:tc>
        <w:tc>
          <w:tcPr>
            <w:tcW w:w="1847" w:type="dxa"/>
            <w:noWrap/>
            <w:vAlign w:val="center"/>
          </w:tcPr>
          <w:p w14:paraId="61169FEC">
            <w:pPr>
              <w:pStyle w:val="33"/>
              <w:rPr>
                <w:color w:val="auto"/>
                <w:szCs w:val="21"/>
              </w:rPr>
            </w:pPr>
            <w:r>
              <w:rPr>
                <w:rFonts w:hint="eastAsia"/>
                <w:color w:val="auto"/>
                <w:szCs w:val="21"/>
              </w:rPr>
              <w:t>控制侧游厂界</w:t>
            </w:r>
          </w:p>
        </w:tc>
        <w:tc>
          <w:tcPr>
            <w:tcW w:w="0" w:type="auto"/>
            <w:vMerge w:val="continue"/>
            <w:noWrap/>
            <w:vAlign w:val="center"/>
          </w:tcPr>
          <w:p w14:paraId="3C0216E6">
            <w:pPr>
              <w:pStyle w:val="33"/>
              <w:rPr>
                <w:color w:val="auto"/>
                <w:szCs w:val="21"/>
              </w:rPr>
            </w:pPr>
          </w:p>
        </w:tc>
      </w:tr>
      <w:tr w14:paraId="39FBB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98" w:type="dxa"/>
            <w:noWrap/>
            <w:vAlign w:val="center"/>
          </w:tcPr>
          <w:p w14:paraId="10062BF7">
            <w:pPr>
              <w:pStyle w:val="33"/>
              <w:rPr>
                <w:color w:val="auto"/>
                <w:szCs w:val="21"/>
              </w:rPr>
            </w:pPr>
            <w:r>
              <w:rPr>
                <w:rFonts w:hint="eastAsia"/>
                <w:color w:val="auto"/>
                <w:szCs w:val="21"/>
              </w:rPr>
              <w:t>J3（</w:t>
            </w:r>
            <w:r>
              <w:rPr>
                <w:color w:val="auto"/>
                <w:szCs w:val="21"/>
              </w:rPr>
              <w:t>U5</w:t>
            </w:r>
            <w:r>
              <w:rPr>
                <w:rFonts w:hint="eastAsia"/>
                <w:color w:val="auto"/>
                <w:szCs w:val="21"/>
              </w:rPr>
              <w:t>）</w:t>
            </w:r>
          </w:p>
        </w:tc>
        <w:tc>
          <w:tcPr>
            <w:tcW w:w="1267" w:type="dxa"/>
            <w:noWrap/>
            <w:vAlign w:val="center"/>
          </w:tcPr>
          <w:p w14:paraId="57D1651E">
            <w:pPr>
              <w:pStyle w:val="33"/>
              <w:rPr>
                <w:color w:val="auto"/>
                <w:szCs w:val="21"/>
              </w:rPr>
            </w:pPr>
            <w:r>
              <w:rPr>
                <w:color w:val="auto"/>
              </w:rPr>
              <w:t>570720.291</w:t>
            </w:r>
          </w:p>
        </w:tc>
        <w:tc>
          <w:tcPr>
            <w:tcW w:w="1318" w:type="dxa"/>
            <w:noWrap/>
            <w:vAlign w:val="center"/>
          </w:tcPr>
          <w:p w14:paraId="17210731">
            <w:pPr>
              <w:pStyle w:val="33"/>
              <w:rPr>
                <w:color w:val="auto"/>
                <w:szCs w:val="21"/>
              </w:rPr>
            </w:pPr>
            <w:r>
              <w:rPr>
                <w:color w:val="auto"/>
              </w:rPr>
              <w:t>2402091.228</w:t>
            </w:r>
          </w:p>
        </w:tc>
        <w:tc>
          <w:tcPr>
            <w:tcW w:w="1125" w:type="dxa"/>
            <w:noWrap/>
            <w:vAlign w:val="center"/>
          </w:tcPr>
          <w:p w14:paraId="691DADBA">
            <w:pPr>
              <w:pStyle w:val="33"/>
              <w:rPr>
                <w:color w:val="auto"/>
                <w:szCs w:val="21"/>
              </w:rPr>
            </w:pPr>
            <w:r>
              <w:rPr>
                <w:rFonts w:hint="eastAsia"/>
                <w:color w:val="auto"/>
                <w:szCs w:val="21"/>
              </w:rPr>
              <w:t>下游（厂界处）</w:t>
            </w:r>
          </w:p>
        </w:tc>
        <w:tc>
          <w:tcPr>
            <w:tcW w:w="1847" w:type="dxa"/>
            <w:noWrap/>
            <w:vAlign w:val="center"/>
          </w:tcPr>
          <w:p w14:paraId="329EAAFD">
            <w:pPr>
              <w:pStyle w:val="33"/>
              <w:rPr>
                <w:color w:val="auto"/>
                <w:szCs w:val="21"/>
              </w:rPr>
            </w:pPr>
            <w:r>
              <w:rPr>
                <w:rFonts w:hint="eastAsia"/>
                <w:color w:val="auto"/>
                <w:szCs w:val="21"/>
              </w:rPr>
              <w:t>位于污水站附近</w:t>
            </w:r>
          </w:p>
        </w:tc>
        <w:tc>
          <w:tcPr>
            <w:tcW w:w="0" w:type="auto"/>
            <w:vMerge w:val="continue"/>
            <w:noWrap/>
            <w:vAlign w:val="center"/>
          </w:tcPr>
          <w:p w14:paraId="0C126D67">
            <w:pPr>
              <w:pStyle w:val="33"/>
              <w:rPr>
                <w:color w:val="auto"/>
                <w:szCs w:val="21"/>
              </w:rPr>
            </w:pPr>
          </w:p>
        </w:tc>
      </w:tr>
      <w:tr w14:paraId="785B2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1398" w:type="dxa"/>
            <w:noWrap/>
            <w:vAlign w:val="center"/>
          </w:tcPr>
          <w:p w14:paraId="07F9E229">
            <w:pPr>
              <w:pStyle w:val="33"/>
              <w:rPr>
                <w:color w:val="auto"/>
                <w:szCs w:val="21"/>
              </w:rPr>
            </w:pPr>
            <w:r>
              <w:rPr>
                <w:rFonts w:hint="eastAsia"/>
                <w:color w:val="auto"/>
                <w:szCs w:val="21"/>
              </w:rPr>
              <w:t>J4（</w:t>
            </w:r>
            <w:r>
              <w:rPr>
                <w:color w:val="auto"/>
                <w:szCs w:val="21"/>
              </w:rPr>
              <w:t>U6</w:t>
            </w:r>
            <w:r>
              <w:rPr>
                <w:rFonts w:hint="eastAsia"/>
                <w:color w:val="auto"/>
                <w:szCs w:val="21"/>
              </w:rPr>
              <w:t>）</w:t>
            </w:r>
          </w:p>
        </w:tc>
        <w:tc>
          <w:tcPr>
            <w:tcW w:w="1267" w:type="dxa"/>
            <w:noWrap/>
            <w:vAlign w:val="center"/>
          </w:tcPr>
          <w:p w14:paraId="18660674">
            <w:pPr>
              <w:pStyle w:val="33"/>
              <w:rPr>
                <w:color w:val="auto"/>
                <w:szCs w:val="21"/>
              </w:rPr>
            </w:pPr>
            <w:r>
              <w:rPr>
                <w:color w:val="auto"/>
              </w:rPr>
              <w:t>570738.276</w:t>
            </w:r>
          </w:p>
        </w:tc>
        <w:tc>
          <w:tcPr>
            <w:tcW w:w="1318" w:type="dxa"/>
            <w:noWrap/>
            <w:vAlign w:val="center"/>
          </w:tcPr>
          <w:p w14:paraId="1D125587">
            <w:pPr>
              <w:pStyle w:val="33"/>
              <w:rPr>
                <w:color w:val="auto"/>
                <w:szCs w:val="21"/>
              </w:rPr>
            </w:pPr>
            <w:r>
              <w:rPr>
                <w:color w:val="auto"/>
              </w:rPr>
              <w:t>2401474.954</w:t>
            </w:r>
          </w:p>
        </w:tc>
        <w:tc>
          <w:tcPr>
            <w:tcW w:w="1125" w:type="dxa"/>
            <w:noWrap/>
            <w:vAlign w:val="center"/>
          </w:tcPr>
          <w:p w14:paraId="6367D729">
            <w:pPr>
              <w:pStyle w:val="33"/>
              <w:rPr>
                <w:color w:val="auto"/>
                <w:szCs w:val="21"/>
              </w:rPr>
            </w:pPr>
            <w:r>
              <w:rPr>
                <w:rFonts w:hint="eastAsia"/>
                <w:color w:val="auto"/>
                <w:szCs w:val="21"/>
              </w:rPr>
              <w:t>下游</w:t>
            </w:r>
          </w:p>
        </w:tc>
        <w:tc>
          <w:tcPr>
            <w:tcW w:w="1847" w:type="dxa"/>
            <w:noWrap/>
            <w:vAlign w:val="center"/>
          </w:tcPr>
          <w:p w14:paraId="21B625CD">
            <w:pPr>
              <w:pStyle w:val="33"/>
              <w:rPr>
                <w:color w:val="auto"/>
                <w:szCs w:val="21"/>
              </w:rPr>
            </w:pPr>
            <w:r>
              <w:rPr>
                <w:rFonts w:hint="eastAsia"/>
                <w:color w:val="auto"/>
                <w:szCs w:val="21"/>
              </w:rPr>
              <w:t>厂区下游</w:t>
            </w:r>
          </w:p>
        </w:tc>
        <w:tc>
          <w:tcPr>
            <w:tcW w:w="0" w:type="auto"/>
            <w:vMerge w:val="continue"/>
            <w:noWrap/>
            <w:vAlign w:val="center"/>
          </w:tcPr>
          <w:p w14:paraId="63D4DE25">
            <w:pPr>
              <w:pStyle w:val="33"/>
              <w:rPr>
                <w:color w:val="auto"/>
                <w:szCs w:val="21"/>
              </w:rPr>
            </w:pPr>
          </w:p>
        </w:tc>
      </w:tr>
    </w:tbl>
    <w:p w14:paraId="1E5866DD">
      <w:pPr>
        <w:pStyle w:val="4"/>
        <w:rPr>
          <w:color w:val="auto"/>
        </w:rPr>
      </w:pPr>
      <w:bookmarkStart w:id="594" w:name="_Toc225216871"/>
      <w:r>
        <w:rPr>
          <w:rFonts w:hint="eastAsia"/>
          <w:color w:val="auto"/>
        </w:rPr>
        <w:t>土壤污染防治措施及可行性分析</w:t>
      </w:r>
      <w:bookmarkEnd w:id="594"/>
    </w:p>
    <w:p w14:paraId="406EE814">
      <w:pPr>
        <w:pStyle w:val="5"/>
        <w:rPr>
          <w:rFonts w:cs="Times New Roman"/>
          <w:color w:val="auto"/>
        </w:rPr>
      </w:pPr>
      <w:r>
        <w:rPr>
          <w:rFonts w:hint="eastAsia"/>
          <w:color w:val="auto"/>
        </w:rPr>
        <w:t>土壤环境保护措施</w:t>
      </w:r>
      <w:r>
        <w:rPr>
          <w:rFonts w:cs="Times New Roman"/>
          <w:color w:val="auto"/>
        </w:rPr>
        <w:t>源头控制措施</w:t>
      </w:r>
    </w:p>
    <w:p w14:paraId="79CA1F27">
      <w:pPr>
        <w:ind w:firstLine="480"/>
        <w:rPr>
          <w:rFonts w:cs="Times New Roman"/>
          <w:color w:val="auto"/>
        </w:rPr>
      </w:pPr>
      <w:r>
        <w:rPr>
          <w:rFonts w:cs="Times New Roman"/>
          <w:color w:val="auto"/>
        </w:rPr>
        <w:t>项目设施、设备、建筑、构筑物均按照设计要求选用合格的材料，施工时按照规范施工，在运行过程中定期开展泄漏检测和修复工作，同时项目需严格落实好分区防控措施，从源头上减少物料及废水的泄漏。</w:t>
      </w:r>
    </w:p>
    <w:p w14:paraId="5A1A1DD7">
      <w:pPr>
        <w:pStyle w:val="5"/>
        <w:rPr>
          <w:color w:val="auto"/>
        </w:rPr>
      </w:pPr>
      <w:r>
        <w:rPr>
          <w:color w:val="auto"/>
        </w:rPr>
        <w:t>过程防控措施</w:t>
      </w:r>
    </w:p>
    <w:p w14:paraId="36F7B8EB">
      <w:pPr>
        <w:ind w:firstLine="480"/>
        <w:rPr>
          <w:rFonts w:cs="Times New Roman"/>
          <w:color w:val="auto"/>
        </w:rPr>
      </w:pPr>
      <w:r>
        <w:rPr>
          <w:rFonts w:cs="Times New Roman"/>
          <w:color w:val="auto"/>
        </w:rPr>
        <w:t>项目对土壤的影响主要是大气沉降、废水或物料漫流和入渗影响。本项目加强环保设施的管理，减少废气污染物的排放，地面进行硬化，事故状态下将泄漏物料和事故废水收集后分批进入项目污水处理站处理，减少事故状态下土壤环境的影响。本项目场地范围内均按照要求进行相应的分区防渗，加强生产管理，以最大程度降低土壤环境的影响。</w:t>
      </w:r>
    </w:p>
    <w:p w14:paraId="587DD3DB">
      <w:pPr>
        <w:pStyle w:val="4"/>
        <w:rPr>
          <w:color w:val="auto"/>
        </w:rPr>
      </w:pPr>
      <w:bookmarkStart w:id="595" w:name="_Toc225216872"/>
      <w:r>
        <w:rPr>
          <w:rFonts w:hint="eastAsia"/>
          <w:color w:val="auto"/>
        </w:rPr>
        <w:t>环保投资估算</w:t>
      </w:r>
      <w:bookmarkEnd w:id="595"/>
    </w:p>
    <w:p w14:paraId="6E355325">
      <w:pPr>
        <w:ind w:firstLine="480"/>
        <w:rPr>
          <w:color w:val="auto"/>
        </w:rPr>
      </w:pPr>
      <w:r>
        <w:rPr>
          <w:color w:val="auto"/>
        </w:rPr>
        <w:t>项目主要环保设施及环保投资估算见下表。本项目总投资</w:t>
      </w:r>
      <w:r>
        <w:rPr>
          <w:rFonts w:hint="eastAsia"/>
          <w:color w:val="auto"/>
        </w:rPr>
        <w:t>49510</w:t>
      </w:r>
      <w:r>
        <w:rPr>
          <w:color w:val="auto"/>
        </w:rPr>
        <w:t>万元，</w:t>
      </w:r>
      <w:r>
        <w:rPr>
          <w:rFonts w:hint="eastAsia"/>
          <w:color w:val="auto"/>
        </w:rPr>
        <w:t>新增环保投资</w:t>
      </w:r>
      <w:r>
        <w:rPr>
          <w:color w:val="auto"/>
        </w:rPr>
        <w:t>22320</w:t>
      </w:r>
      <w:r>
        <w:rPr>
          <w:rFonts w:hint="eastAsia"/>
          <w:color w:val="auto"/>
        </w:rPr>
        <w:t>万元，占总投资</w:t>
      </w:r>
      <w:r>
        <w:rPr>
          <w:color w:val="auto"/>
        </w:rPr>
        <w:t>45.1%</w:t>
      </w:r>
      <w:r>
        <w:rPr>
          <w:rFonts w:hint="eastAsia"/>
          <w:color w:val="auto"/>
        </w:rPr>
        <w:t>。</w:t>
      </w:r>
    </w:p>
    <w:p w14:paraId="0EC3A370">
      <w:pPr>
        <w:pStyle w:val="7"/>
        <w:rPr>
          <w:color w:val="auto"/>
        </w:rPr>
      </w:pPr>
      <w:r>
        <w:rPr>
          <w:rFonts w:hint="eastAsia"/>
          <w:color w:val="auto"/>
        </w:rPr>
        <w:t>拟建项目环保投资</w:t>
      </w:r>
    </w:p>
    <w:tbl>
      <w:tblPr>
        <w:tblStyle w:val="26"/>
        <w:tblW w:w="5000" w:type="pct"/>
        <w:tblInd w:w="0" w:type="dxa"/>
        <w:tblLayout w:type="autofit"/>
        <w:tblCellMar>
          <w:top w:w="0" w:type="dxa"/>
          <w:left w:w="108" w:type="dxa"/>
          <w:bottom w:w="0" w:type="dxa"/>
          <w:right w:w="108" w:type="dxa"/>
        </w:tblCellMar>
      </w:tblPr>
      <w:tblGrid>
        <w:gridCol w:w="846"/>
        <w:gridCol w:w="636"/>
        <w:gridCol w:w="636"/>
        <w:gridCol w:w="5481"/>
        <w:gridCol w:w="1687"/>
      </w:tblGrid>
      <w:tr w14:paraId="0ECB2771">
        <w:tblPrEx>
          <w:tblCellMar>
            <w:top w:w="0" w:type="dxa"/>
            <w:left w:w="108" w:type="dxa"/>
            <w:bottom w:w="0" w:type="dxa"/>
            <w:right w:w="108" w:type="dxa"/>
          </w:tblCellMar>
        </w:tblPrEx>
        <w:trPr>
          <w:trHeight w:val="270" w:hRule="atLeast"/>
        </w:trPr>
        <w:tc>
          <w:tcPr>
            <w:tcW w:w="455" w:type="pct"/>
            <w:tcBorders>
              <w:top w:val="single" w:color="000000" w:sz="4" w:space="0"/>
              <w:left w:val="single" w:color="000000" w:sz="4" w:space="0"/>
              <w:bottom w:val="single" w:color="000000" w:sz="4" w:space="0"/>
              <w:right w:val="single" w:color="000000" w:sz="4" w:space="0"/>
            </w:tcBorders>
            <w:noWrap/>
            <w:vAlign w:val="center"/>
          </w:tcPr>
          <w:p w14:paraId="0261AFDF">
            <w:pPr>
              <w:pStyle w:val="33"/>
              <w:rPr>
                <w:color w:val="auto"/>
              </w:rPr>
            </w:pPr>
            <w:r>
              <w:rPr>
                <w:rFonts w:hint="eastAsia"/>
                <w:color w:val="auto"/>
              </w:rPr>
              <w:t>时期</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78A4A99E">
            <w:pPr>
              <w:pStyle w:val="33"/>
              <w:rPr>
                <w:color w:val="auto"/>
              </w:rPr>
            </w:pPr>
            <w:r>
              <w:rPr>
                <w:rFonts w:hint="eastAsia"/>
                <w:color w:val="auto"/>
              </w:rPr>
              <w:t>序号</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600C07A9">
            <w:pPr>
              <w:pStyle w:val="33"/>
              <w:rPr>
                <w:color w:val="auto"/>
              </w:rPr>
            </w:pPr>
            <w:r>
              <w:rPr>
                <w:rFonts w:hint="eastAsia"/>
                <w:color w:val="auto"/>
              </w:rPr>
              <w:t>类别</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488ED980">
            <w:pPr>
              <w:pStyle w:val="33"/>
              <w:rPr>
                <w:color w:val="auto"/>
              </w:rPr>
            </w:pPr>
            <w:r>
              <w:rPr>
                <w:rFonts w:hint="eastAsia"/>
                <w:color w:val="auto"/>
              </w:rPr>
              <w:t>措施名称</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2B3AEE0D">
            <w:pPr>
              <w:pStyle w:val="33"/>
              <w:rPr>
                <w:color w:val="auto"/>
              </w:rPr>
            </w:pPr>
            <w:r>
              <w:rPr>
                <w:rFonts w:hint="eastAsia"/>
                <w:color w:val="auto"/>
              </w:rPr>
              <w:t>投资额（万元）</w:t>
            </w:r>
          </w:p>
        </w:tc>
      </w:tr>
      <w:tr w14:paraId="0D39D066">
        <w:tblPrEx>
          <w:tblCellMar>
            <w:top w:w="0" w:type="dxa"/>
            <w:left w:w="108" w:type="dxa"/>
            <w:bottom w:w="0" w:type="dxa"/>
            <w:right w:w="108" w:type="dxa"/>
          </w:tblCellMar>
        </w:tblPrEx>
        <w:trPr>
          <w:trHeight w:val="270" w:hRule="atLeast"/>
        </w:trPr>
        <w:tc>
          <w:tcPr>
            <w:tcW w:w="455" w:type="pct"/>
            <w:vMerge w:val="restart"/>
            <w:tcBorders>
              <w:top w:val="single" w:color="000000" w:sz="4" w:space="0"/>
              <w:left w:val="single" w:color="000000" w:sz="4" w:space="0"/>
              <w:bottom w:val="single" w:color="000000" w:sz="4" w:space="0"/>
              <w:right w:val="single" w:color="000000" w:sz="4" w:space="0"/>
            </w:tcBorders>
            <w:noWrap/>
            <w:vAlign w:val="center"/>
          </w:tcPr>
          <w:p w14:paraId="22B4CECD">
            <w:pPr>
              <w:pStyle w:val="33"/>
              <w:rPr>
                <w:color w:val="auto"/>
              </w:rPr>
            </w:pPr>
            <w:r>
              <w:rPr>
                <w:rFonts w:hint="eastAsia"/>
                <w:color w:val="auto"/>
              </w:rPr>
              <w:t>运营期</w:t>
            </w:r>
          </w:p>
        </w:tc>
        <w:tc>
          <w:tcPr>
            <w:tcW w:w="344" w:type="pct"/>
            <w:vMerge w:val="restart"/>
            <w:tcBorders>
              <w:top w:val="single" w:color="000000" w:sz="4" w:space="0"/>
              <w:left w:val="single" w:color="000000" w:sz="4" w:space="0"/>
              <w:bottom w:val="single" w:color="000000" w:sz="4" w:space="0"/>
              <w:right w:val="single" w:color="000000" w:sz="4" w:space="0"/>
            </w:tcBorders>
            <w:noWrap/>
            <w:vAlign w:val="center"/>
          </w:tcPr>
          <w:p w14:paraId="0D6E6385">
            <w:pPr>
              <w:pStyle w:val="33"/>
              <w:rPr>
                <w:color w:val="auto"/>
              </w:rPr>
            </w:pPr>
            <w:r>
              <w:rPr>
                <w:rFonts w:hint="eastAsia"/>
                <w:color w:val="auto"/>
              </w:rPr>
              <w:t>1</w:t>
            </w:r>
          </w:p>
        </w:tc>
        <w:tc>
          <w:tcPr>
            <w:tcW w:w="344" w:type="pct"/>
            <w:vMerge w:val="restart"/>
            <w:tcBorders>
              <w:top w:val="single" w:color="000000" w:sz="4" w:space="0"/>
              <w:left w:val="single" w:color="000000" w:sz="4" w:space="0"/>
              <w:bottom w:val="single" w:color="000000" w:sz="4" w:space="0"/>
              <w:right w:val="single" w:color="000000" w:sz="4" w:space="0"/>
            </w:tcBorders>
            <w:noWrap/>
            <w:vAlign w:val="center"/>
          </w:tcPr>
          <w:p w14:paraId="5EEC9F02">
            <w:pPr>
              <w:pStyle w:val="33"/>
              <w:rPr>
                <w:color w:val="auto"/>
              </w:rPr>
            </w:pPr>
            <w:r>
              <w:rPr>
                <w:rFonts w:hint="eastAsia"/>
                <w:color w:val="auto"/>
              </w:rPr>
              <w:t>废气</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369D0AAF">
            <w:pPr>
              <w:pStyle w:val="33"/>
              <w:rPr>
                <w:color w:val="auto"/>
              </w:rPr>
            </w:pPr>
            <w:r>
              <w:rPr>
                <w:rFonts w:hint="eastAsia"/>
                <w:color w:val="auto"/>
              </w:rPr>
              <w:t>污水处理站臭气处理设施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41AFB830">
            <w:pPr>
              <w:pStyle w:val="33"/>
              <w:rPr>
                <w:color w:val="auto"/>
              </w:rPr>
            </w:pPr>
            <w:r>
              <w:rPr>
                <w:rFonts w:hint="eastAsia"/>
                <w:color w:val="auto"/>
              </w:rPr>
              <w:t>60</w:t>
            </w:r>
          </w:p>
        </w:tc>
      </w:tr>
      <w:tr w14:paraId="01E61376">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7DFC8D0D">
            <w:pPr>
              <w:pStyle w:val="33"/>
              <w:rPr>
                <w:color w:val="auto"/>
              </w:rPr>
            </w:pPr>
          </w:p>
        </w:tc>
        <w:tc>
          <w:tcPr>
            <w:tcW w:w="344" w:type="pct"/>
            <w:vMerge w:val="continue"/>
            <w:tcBorders>
              <w:top w:val="single" w:color="000000" w:sz="4" w:space="0"/>
              <w:left w:val="single" w:color="000000" w:sz="4" w:space="0"/>
              <w:bottom w:val="single" w:color="000000" w:sz="4" w:space="0"/>
              <w:right w:val="single" w:color="000000" w:sz="4" w:space="0"/>
            </w:tcBorders>
            <w:noWrap/>
            <w:vAlign w:val="center"/>
          </w:tcPr>
          <w:p w14:paraId="5CBC2E2C">
            <w:pPr>
              <w:pStyle w:val="33"/>
              <w:rPr>
                <w:color w:val="auto"/>
              </w:rPr>
            </w:pPr>
          </w:p>
        </w:tc>
        <w:tc>
          <w:tcPr>
            <w:tcW w:w="344" w:type="pct"/>
            <w:vMerge w:val="continue"/>
            <w:tcBorders>
              <w:top w:val="single" w:color="000000" w:sz="4" w:space="0"/>
              <w:left w:val="single" w:color="000000" w:sz="4" w:space="0"/>
              <w:bottom w:val="single" w:color="000000" w:sz="4" w:space="0"/>
              <w:right w:val="single" w:color="000000" w:sz="4" w:space="0"/>
            </w:tcBorders>
            <w:noWrap/>
            <w:vAlign w:val="center"/>
          </w:tcPr>
          <w:p w14:paraId="3A4430F7">
            <w:pPr>
              <w:pStyle w:val="33"/>
              <w:rPr>
                <w:color w:val="auto"/>
              </w:rPr>
            </w:pP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65174B8B">
            <w:pPr>
              <w:pStyle w:val="33"/>
              <w:rPr>
                <w:color w:val="auto"/>
              </w:rPr>
            </w:pPr>
            <w:r>
              <w:rPr>
                <w:rFonts w:hint="eastAsia"/>
                <w:color w:val="auto"/>
              </w:rPr>
              <w:t>淋膜车间活性炭吸附处理设施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49BA0F34">
            <w:pPr>
              <w:pStyle w:val="33"/>
              <w:rPr>
                <w:color w:val="auto"/>
              </w:rPr>
            </w:pPr>
            <w:r>
              <w:rPr>
                <w:rFonts w:hint="eastAsia"/>
                <w:color w:val="auto"/>
              </w:rPr>
              <w:t>5</w:t>
            </w:r>
            <w:r>
              <w:rPr>
                <w:color w:val="auto"/>
              </w:rPr>
              <w:t>0</w:t>
            </w:r>
          </w:p>
        </w:tc>
      </w:tr>
      <w:tr w14:paraId="38A3CB5F">
        <w:tblPrEx>
          <w:tblCellMar>
            <w:top w:w="0" w:type="dxa"/>
            <w:left w:w="108" w:type="dxa"/>
            <w:bottom w:w="0" w:type="dxa"/>
            <w:right w:w="108" w:type="dxa"/>
          </w:tblCellMar>
        </w:tblPrEx>
        <w:trPr>
          <w:trHeight w:val="288"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728559F9">
            <w:pPr>
              <w:pStyle w:val="33"/>
              <w:rPr>
                <w:color w:val="auto"/>
              </w:rPr>
            </w:pPr>
          </w:p>
        </w:tc>
        <w:tc>
          <w:tcPr>
            <w:tcW w:w="344" w:type="pct"/>
            <w:vMerge w:val="restart"/>
            <w:tcBorders>
              <w:top w:val="single" w:color="000000" w:sz="4" w:space="0"/>
              <w:left w:val="single" w:color="000000" w:sz="4" w:space="0"/>
              <w:right w:val="single" w:color="000000" w:sz="4" w:space="0"/>
            </w:tcBorders>
            <w:noWrap/>
            <w:vAlign w:val="center"/>
          </w:tcPr>
          <w:p w14:paraId="00D9A9F0">
            <w:pPr>
              <w:pStyle w:val="33"/>
              <w:rPr>
                <w:color w:val="auto"/>
              </w:rPr>
            </w:pPr>
            <w:r>
              <w:rPr>
                <w:color w:val="auto"/>
              </w:rPr>
              <w:t>2</w:t>
            </w:r>
          </w:p>
        </w:tc>
        <w:tc>
          <w:tcPr>
            <w:tcW w:w="344" w:type="pct"/>
            <w:vMerge w:val="restart"/>
            <w:tcBorders>
              <w:top w:val="single" w:color="000000" w:sz="4" w:space="0"/>
              <w:left w:val="single" w:color="000000" w:sz="4" w:space="0"/>
              <w:right w:val="single" w:color="000000" w:sz="4" w:space="0"/>
            </w:tcBorders>
            <w:noWrap/>
            <w:vAlign w:val="center"/>
          </w:tcPr>
          <w:p w14:paraId="395905C6">
            <w:pPr>
              <w:pStyle w:val="33"/>
              <w:rPr>
                <w:color w:val="auto"/>
              </w:rPr>
            </w:pPr>
            <w:r>
              <w:rPr>
                <w:rFonts w:hint="eastAsia"/>
                <w:color w:val="auto"/>
              </w:rPr>
              <w:t>废水</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273F4F81">
            <w:pPr>
              <w:pStyle w:val="33"/>
              <w:rPr>
                <w:color w:val="auto"/>
              </w:rPr>
            </w:pPr>
            <w:r>
              <w:rPr>
                <w:rFonts w:hint="eastAsia"/>
                <w:color w:val="auto"/>
              </w:rPr>
              <w:t>污水处理站构筑物建设</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42D9CD3F">
            <w:pPr>
              <w:pStyle w:val="33"/>
              <w:rPr>
                <w:color w:val="auto"/>
              </w:rPr>
            </w:pPr>
            <w:r>
              <w:rPr>
                <w:color w:val="auto"/>
              </w:rPr>
              <w:t>9788</w:t>
            </w:r>
          </w:p>
        </w:tc>
      </w:tr>
      <w:tr w14:paraId="2274C16B">
        <w:tblPrEx>
          <w:tblCellMar>
            <w:top w:w="0" w:type="dxa"/>
            <w:left w:w="108" w:type="dxa"/>
            <w:bottom w:w="0" w:type="dxa"/>
            <w:right w:w="108" w:type="dxa"/>
          </w:tblCellMar>
        </w:tblPrEx>
        <w:trPr>
          <w:trHeight w:val="288"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3343498D">
            <w:pPr>
              <w:pStyle w:val="33"/>
              <w:rPr>
                <w:color w:val="auto"/>
              </w:rPr>
            </w:pPr>
          </w:p>
        </w:tc>
        <w:tc>
          <w:tcPr>
            <w:tcW w:w="344" w:type="pct"/>
            <w:vMerge w:val="continue"/>
            <w:tcBorders>
              <w:left w:val="single" w:color="000000" w:sz="4" w:space="0"/>
              <w:right w:val="single" w:color="000000" w:sz="4" w:space="0"/>
            </w:tcBorders>
            <w:noWrap/>
            <w:vAlign w:val="center"/>
          </w:tcPr>
          <w:p w14:paraId="37697C8A">
            <w:pPr>
              <w:pStyle w:val="33"/>
              <w:rPr>
                <w:color w:val="auto"/>
              </w:rPr>
            </w:pPr>
          </w:p>
        </w:tc>
        <w:tc>
          <w:tcPr>
            <w:tcW w:w="344" w:type="pct"/>
            <w:vMerge w:val="continue"/>
            <w:tcBorders>
              <w:left w:val="single" w:color="000000" w:sz="4" w:space="0"/>
              <w:right w:val="single" w:color="000000" w:sz="4" w:space="0"/>
            </w:tcBorders>
            <w:noWrap/>
            <w:vAlign w:val="center"/>
          </w:tcPr>
          <w:p w14:paraId="64DB9D90">
            <w:pPr>
              <w:pStyle w:val="33"/>
              <w:rPr>
                <w:color w:val="auto"/>
              </w:rPr>
            </w:pP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58387893">
            <w:pPr>
              <w:pStyle w:val="33"/>
              <w:rPr>
                <w:color w:val="auto"/>
              </w:rPr>
            </w:pPr>
            <w:r>
              <w:rPr>
                <w:rFonts w:hint="eastAsia"/>
                <w:color w:val="auto"/>
              </w:rPr>
              <w:t>污水处理站设备购置</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09768263">
            <w:pPr>
              <w:pStyle w:val="33"/>
              <w:rPr>
                <w:color w:val="auto"/>
              </w:rPr>
            </w:pPr>
            <w:r>
              <w:rPr>
                <w:color w:val="auto"/>
              </w:rPr>
              <w:t>9826</w:t>
            </w:r>
          </w:p>
        </w:tc>
      </w:tr>
      <w:tr w14:paraId="3568E32B">
        <w:tblPrEx>
          <w:tblCellMar>
            <w:top w:w="0" w:type="dxa"/>
            <w:left w:w="108" w:type="dxa"/>
            <w:bottom w:w="0" w:type="dxa"/>
            <w:right w:w="108" w:type="dxa"/>
          </w:tblCellMar>
        </w:tblPrEx>
        <w:trPr>
          <w:trHeight w:val="288"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6799B2A7">
            <w:pPr>
              <w:pStyle w:val="33"/>
              <w:rPr>
                <w:color w:val="auto"/>
              </w:rPr>
            </w:pPr>
          </w:p>
        </w:tc>
        <w:tc>
          <w:tcPr>
            <w:tcW w:w="344" w:type="pct"/>
            <w:vMerge w:val="continue"/>
            <w:tcBorders>
              <w:left w:val="single" w:color="000000" w:sz="4" w:space="0"/>
              <w:bottom w:val="single" w:color="000000" w:sz="4" w:space="0"/>
              <w:right w:val="single" w:color="000000" w:sz="4" w:space="0"/>
            </w:tcBorders>
            <w:noWrap/>
            <w:vAlign w:val="center"/>
          </w:tcPr>
          <w:p w14:paraId="0E67A8A2">
            <w:pPr>
              <w:pStyle w:val="33"/>
              <w:rPr>
                <w:color w:val="auto"/>
              </w:rPr>
            </w:pPr>
          </w:p>
        </w:tc>
        <w:tc>
          <w:tcPr>
            <w:tcW w:w="344" w:type="pct"/>
            <w:vMerge w:val="continue"/>
            <w:tcBorders>
              <w:left w:val="single" w:color="000000" w:sz="4" w:space="0"/>
              <w:bottom w:val="single" w:color="000000" w:sz="4" w:space="0"/>
              <w:right w:val="single" w:color="000000" w:sz="4" w:space="0"/>
            </w:tcBorders>
            <w:noWrap/>
            <w:vAlign w:val="center"/>
          </w:tcPr>
          <w:p w14:paraId="39BCFAE9">
            <w:pPr>
              <w:pStyle w:val="33"/>
              <w:rPr>
                <w:color w:val="auto"/>
              </w:rPr>
            </w:pP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21F28EFE">
            <w:pPr>
              <w:pStyle w:val="33"/>
              <w:rPr>
                <w:color w:val="auto"/>
              </w:rPr>
            </w:pPr>
            <w:r>
              <w:rPr>
                <w:rFonts w:hint="eastAsia"/>
                <w:color w:val="auto"/>
              </w:rPr>
              <w:t>污水处理站设备安装</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16471A6">
            <w:pPr>
              <w:pStyle w:val="33"/>
              <w:rPr>
                <w:color w:val="auto"/>
              </w:rPr>
            </w:pPr>
            <w:r>
              <w:rPr>
                <w:color w:val="auto"/>
              </w:rPr>
              <w:t>2488</w:t>
            </w:r>
          </w:p>
        </w:tc>
      </w:tr>
      <w:tr w14:paraId="0F10457A">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1EA55F31">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49419EB0">
            <w:pPr>
              <w:pStyle w:val="33"/>
              <w:rPr>
                <w:color w:val="auto"/>
              </w:rPr>
            </w:pPr>
            <w:r>
              <w:rPr>
                <w:rFonts w:hint="eastAsia"/>
                <w:color w:val="auto"/>
              </w:rPr>
              <w:t>3</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75718F24">
            <w:pPr>
              <w:pStyle w:val="33"/>
              <w:rPr>
                <w:color w:val="auto"/>
              </w:rPr>
            </w:pPr>
            <w:r>
              <w:rPr>
                <w:rFonts w:hint="eastAsia"/>
                <w:color w:val="auto"/>
              </w:rPr>
              <w:t>噪声</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208D43AD">
            <w:pPr>
              <w:pStyle w:val="33"/>
              <w:rPr>
                <w:color w:val="auto"/>
              </w:rPr>
            </w:pPr>
            <w:r>
              <w:rPr>
                <w:color w:val="auto"/>
              </w:rPr>
              <w:t>减振、吸声、消声、隔声设施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666A1764">
            <w:pPr>
              <w:pStyle w:val="33"/>
              <w:rPr>
                <w:color w:val="auto"/>
              </w:rPr>
            </w:pPr>
            <w:r>
              <w:rPr>
                <w:color w:val="auto"/>
              </w:rPr>
              <w:t>20</w:t>
            </w:r>
          </w:p>
        </w:tc>
      </w:tr>
      <w:tr w14:paraId="66A92F4D">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7E460D3E">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6076FF01">
            <w:pPr>
              <w:pStyle w:val="33"/>
              <w:rPr>
                <w:color w:val="auto"/>
              </w:rPr>
            </w:pPr>
            <w:r>
              <w:rPr>
                <w:rFonts w:hint="eastAsia"/>
                <w:color w:val="auto"/>
              </w:rPr>
              <w:t>4</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5021B064">
            <w:pPr>
              <w:pStyle w:val="33"/>
              <w:rPr>
                <w:color w:val="auto"/>
              </w:rPr>
            </w:pPr>
            <w:r>
              <w:rPr>
                <w:rFonts w:hint="eastAsia"/>
                <w:color w:val="auto"/>
              </w:rPr>
              <w:t>固废</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3778BCCD">
            <w:pPr>
              <w:pStyle w:val="33"/>
              <w:rPr>
                <w:color w:val="auto"/>
              </w:rPr>
            </w:pPr>
            <w:r>
              <w:rPr>
                <w:color w:val="auto"/>
              </w:rPr>
              <w:t>固废收集系统、垃圾清运及防渗</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2DEFE176">
            <w:pPr>
              <w:pStyle w:val="33"/>
              <w:rPr>
                <w:color w:val="auto"/>
              </w:rPr>
            </w:pPr>
            <w:r>
              <w:rPr>
                <w:rFonts w:hint="eastAsia"/>
                <w:color w:val="auto"/>
              </w:rPr>
              <w:t>10</w:t>
            </w:r>
          </w:p>
        </w:tc>
      </w:tr>
      <w:tr w14:paraId="6EA7F908">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0CA6223B">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5C7BF4F1">
            <w:pPr>
              <w:pStyle w:val="33"/>
              <w:rPr>
                <w:color w:val="auto"/>
              </w:rPr>
            </w:pPr>
            <w:r>
              <w:rPr>
                <w:rFonts w:hint="eastAsia"/>
                <w:color w:val="auto"/>
              </w:rPr>
              <w:t>5</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1A70B4A5">
            <w:pPr>
              <w:pStyle w:val="33"/>
              <w:rPr>
                <w:color w:val="auto"/>
              </w:rPr>
            </w:pPr>
            <w:r>
              <w:rPr>
                <w:rFonts w:hint="eastAsia"/>
                <w:color w:val="auto"/>
              </w:rPr>
              <w:t>绿化</w:t>
            </w:r>
          </w:p>
        </w:tc>
        <w:tc>
          <w:tcPr>
            <w:tcW w:w="2953" w:type="pct"/>
            <w:tcBorders>
              <w:top w:val="single" w:color="000000" w:sz="4" w:space="0"/>
              <w:left w:val="single" w:color="000000" w:sz="4" w:space="0"/>
              <w:bottom w:val="single" w:color="000000" w:sz="4" w:space="0"/>
              <w:right w:val="single" w:color="000000" w:sz="4" w:space="0"/>
            </w:tcBorders>
            <w:noWrap/>
            <w:vAlign w:val="center"/>
          </w:tcPr>
          <w:p w14:paraId="70CED16A">
            <w:pPr>
              <w:pStyle w:val="33"/>
              <w:rPr>
                <w:color w:val="auto"/>
                <w:vertAlign w:val="superscript"/>
              </w:rPr>
            </w:pPr>
            <w:r>
              <w:rPr>
                <w:rFonts w:hint="eastAsia"/>
                <w:color w:val="auto"/>
              </w:rPr>
              <w:t>绿化面积2180m</w:t>
            </w:r>
            <w:r>
              <w:rPr>
                <w:rFonts w:hint="eastAsia"/>
                <w:color w:val="auto"/>
                <w:vertAlign w:val="superscript"/>
              </w:rPr>
              <w:t>2</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4944C78B">
            <w:pPr>
              <w:pStyle w:val="33"/>
              <w:rPr>
                <w:color w:val="auto"/>
              </w:rPr>
            </w:pPr>
            <w:r>
              <w:rPr>
                <w:rFonts w:hint="eastAsia"/>
                <w:color w:val="auto"/>
              </w:rPr>
              <w:t>22</w:t>
            </w:r>
          </w:p>
        </w:tc>
      </w:tr>
      <w:tr w14:paraId="3C5333E0">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32D44E02">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15C183B0">
            <w:pPr>
              <w:pStyle w:val="33"/>
              <w:rPr>
                <w:color w:val="auto"/>
              </w:rPr>
            </w:pPr>
            <w:r>
              <w:rPr>
                <w:rFonts w:hint="eastAsia"/>
                <w:color w:val="auto"/>
              </w:rPr>
              <w:t>6</w:t>
            </w:r>
          </w:p>
        </w:tc>
        <w:tc>
          <w:tcPr>
            <w:tcW w:w="3296" w:type="pct"/>
            <w:gridSpan w:val="2"/>
            <w:tcBorders>
              <w:top w:val="single" w:color="000000" w:sz="4" w:space="0"/>
              <w:left w:val="single" w:color="000000" w:sz="4" w:space="0"/>
              <w:bottom w:val="single" w:color="000000" w:sz="4" w:space="0"/>
              <w:right w:val="single" w:color="000000" w:sz="4" w:space="0"/>
            </w:tcBorders>
            <w:noWrap/>
            <w:vAlign w:val="center"/>
          </w:tcPr>
          <w:p w14:paraId="3BE5B790">
            <w:pPr>
              <w:pStyle w:val="33"/>
              <w:rPr>
                <w:color w:val="auto"/>
              </w:rPr>
            </w:pPr>
            <w:r>
              <w:rPr>
                <w:rFonts w:hint="eastAsia"/>
                <w:color w:val="auto"/>
              </w:rPr>
              <w:t>自动监测设备</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6BFEF7B">
            <w:pPr>
              <w:pStyle w:val="33"/>
              <w:rPr>
                <w:color w:val="auto"/>
              </w:rPr>
            </w:pPr>
            <w:r>
              <w:rPr>
                <w:rFonts w:hint="eastAsia"/>
                <w:color w:val="auto"/>
              </w:rPr>
              <w:t>20</w:t>
            </w:r>
          </w:p>
        </w:tc>
      </w:tr>
      <w:tr w14:paraId="7E321C04">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5EF9EB52">
            <w:pPr>
              <w:pStyle w:val="33"/>
              <w:rPr>
                <w:color w:val="auto"/>
              </w:rPr>
            </w:pPr>
          </w:p>
        </w:tc>
        <w:tc>
          <w:tcPr>
            <w:tcW w:w="3640" w:type="pct"/>
            <w:gridSpan w:val="3"/>
            <w:tcBorders>
              <w:top w:val="single" w:color="000000" w:sz="4" w:space="0"/>
              <w:left w:val="single" w:color="000000" w:sz="4" w:space="0"/>
              <w:bottom w:val="single" w:color="000000" w:sz="4" w:space="0"/>
              <w:right w:val="single" w:color="000000" w:sz="4" w:space="0"/>
            </w:tcBorders>
            <w:noWrap/>
            <w:vAlign w:val="center"/>
          </w:tcPr>
          <w:p w14:paraId="34C5858D">
            <w:pPr>
              <w:pStyle w:val="33"/>
              <w:rPr>
                <w:color w:val="auto"/>
              </w:rPr>
            </w:pPr>
            <w:r>
              <w:rPr>
                <w:rFonts w:hint="eastAsia"/>
                <w:color w:val="auto"/>
              </w:rPr>
              <w:t>合计</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18A1471E">
            <w:pPr>
              <w:pStyle w:val="33"/>
              <w:rPr>
                <w:color w:val="auto"/>
              </w:rPr>
            </w:pPr>
            <w:r>
              <w:rPr>
                <w:color w:val="auto"/>
              </w:rPr>
              <w:t>22284</w:t>
            </w:r>
          </w:p>
        </w:tc>
      </w:tr>
      <w:tr w14:paraId="2DA8FBA2">
        <w:tblPrEx>
          <w:tblCellMar>
            <w:top w:w="0" w:type="dxa"/>
            <w:left w:w="108" w:type="dxa"/>
            <w:bottom w:w="0" w:type="dxa"/>
            <w:right w:w="108" w:type="dxa"/>
          </w:tblCellMar>
        </w:tblPrEx>
        <w:trPr>
          <w:trHeight w:val="270" w:hRule="atLeast"/>
        </w:trPr>
        <w:tc>
          <w:tcPr>
            <w:tcW w:w="455" w:type="pct"/>
            <w:vMerge w:val="restart"/>
            <w:tcBorders>
              <w:top w:val="single" w:color="000000" w:sz="4" w:space="0"/>
              <w:left w:val="single" w:color="000000" w:sz="4" w:space="0"/>
              <w:bottom w:val="single" w:color="000000" w:sz="4" w:space="0"/>
              <w:right w:val="single" w:color="000000" w:sz="4" w:space="0"/>
            </w:tcBorders>
            <w:noWrap/>
            <w:vAlign w:val="center"/>
          </w:tcPr>
          <w:p w14:paraId="6369C8A7">
            <w:pPr>
              <w:pStyle w:val="33"/>
              <w:rPr>
                <w:color w:val="auto"/>
              </w:rPr>
            </w:pPr>
            <w:r>
              <w:rPr>
                <w:rFonts w:hint="eastAsia"/>
                <w:color w:val="auto"/>
              </w:rPr>
              <w:t>施工期</w:t>
            </w: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6C438A9A">
            <w:pPr>
              <w:pStyle w:val="33"/>
              <w:rPr>
                <w:color w:val="auto"/>
              </w:rPr>
            </w:pPr>
            <w:r>
              <w:rPr>
                <w:rFonts w:hint="eastAsia"/>
                <w:color w:val="auto"/>
              </w:rPr>
              <w:t>1</w:t>
            </w:r>
          </w:p>
        </w:tc>
        <w:tc>
          <w:tcPr>
            <w:tcW w:w="3296" w:type="pct"/>
            <w:gridSpan w:val="2"/>
            <w:tcBorders>
              <w:top w:val="single" w:color="000000" w:sz="4" w:space="0"/>
              <w:left w:val="single" w:color="000000" w:sz="4" w:space="0"/>
              <w:bottom w:val="single" w:color="000000" w:sz="4" w:space="0"/>
              <w:right w:val="single" w:color="000000" w:sz="4" w:space="0"/>
            </w:tcBorders>
            <w:noWrap/>
            <w:vAlign w:val="center"/>
          </w:tcPr>
          <w:p w14:paraId="76293146">
            <w:pPr>
              <w:pStyle w:val="33"/>
              <w:rPr>
                <w:color w:val="auto"/>
              </w:rPr>
            </w:pPr>
            <w:r>
              <w:rPr>
                <w:rFonts w:hint="eastAsia"/>
                <w:color w:val="auto"/>
              </w:rPr>
              <w:t>扬尘处理措施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25544A09">
            <w:pPr>
              <w:pStyle w:val="33"/>
              <w:rPr>
                <w:color w:val="auto"/>
              </w:rPr>
            </w:pPr>
            <w:r>
              <w:rPr>
                <w:color w:val="auto"/>
              </w:rPr>
              <w:t>15</w:t>
            </w:r>
          </w:p>
        </w:tc>
      </w:tr>
      <w:tr w14:paraId="1B9C33BD">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46CA50D0">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5A8B2908">
            <w:pPr>
              <w:pStyle w:val="33"/>
              <w:rPr>
                <w:color w:val="auto"/>
              </w:rPr>
            </w:pPr>
            <w:r>
              <w:rPr>
                <w:rFonts w:hint="eastAsia"/>
                <w:color w:val="auto"/>
              </w:rPr>
              <w:t>2</w:t>
            </w:r>
          </w:p>
        </w:tc>
        <w:tc>
          <w:tcPr>
            <w:tcW w:w="3296" w:type="pct"/>
            <w:gridSpan w:val="2"/>
            <w:tcBorders>
              <w:top w:val="single" w:color="000000" w:sz="4" w:space="0"/>
              <w:left w:val="single" w:color="000000" w:sz="4" w:space="0"/>
              <w:bottom w:val="single" w:color="000000" w:sz="4" w:space="0"/>
              <w:right w:val="single" w:color="000000" w:sz="4" w:space="0"/>
            </w:tcBorders>
            <w:noWrap/>
            <w:vAlign w:val="center"/>
          </w:tcPr>
          <w:p w14:paraId="27B20035">
            <w:pPr>
              <w:pStyle w:val="33"/>
              <w:rPr>
                <w:color w:val="auto"/>
              </w:rPr>
            </w:pPr>
            <w:r>
              <w:rPr>
                <w:rFonts w:hint="eastAsia"/>
                <w:color w:val="auto"/>
              </w:rPr>
              <w:t>废水污染防治措施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72BEC519">
            <w:pPr>
              <w:pStyle w:val="33"/>
              <w:rPr>
                <w:color w:val="auto"/>
              </w:rPr>
            </w:pPr>
            <w:r>
              <w:rPr>
                <w:rFonts w:hint="eastAsia"/>
                <w:color w:val="auto"/>
              </w:rPr>
              <w:t>1</w:t>
            </w:r>
          </w:p>
        </w:tc>
      </w:tr>
      <w:tr w14:paraId="1FB5FFF9">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5279A39D">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1F86A297">
            <w:pPr>
              <w:pStyle w:val="33"/>
              <w:rPr>
                <w:color w:val="auto"/>
              </w:rPr>
            </w:pPr>
            <w:r>
              <w:rPr>
                <w:rFonts w:hint="eastAsia"/>
                <w:color w:val="auto"/>
              </w:rPr>
              <w:t>3</w:t>
            </w:r>
          </w:p>
        </w:tc>
        <w:tc>
          <w:tcPr>
            <w:tcW w:w="3296" w:type="pct"/>
            <w:gridSpan w:val="2"/>
            <w:tcBorders>
              <w:top w:val="single" w:color="000000" w:sz="4" w:space="0"/>
              <w:left w:val="single" w:color="000000" w:sz="4" w:space="0"/>
              <w:bottom w:val="single" w:color="000000" w:sz="4" w:space="0"/>
              <w:right w:val="single" w:color="000000" w:sz="4" w:space="0"/>
            </w:tcBorders>
            <w:noWrap/>
            <w:vAlign w:val="center"/>
          </w:tcPr>
          <w:p w14:paraId="0B184B8F">
            <w:pPr>
              <w:pStyle w:val="33"/>
              <w:rPr>
                <w:color w:val="auto"/>
              </w:rPr>
            </w:pPr>
            <w:r>
              <w:rPr>
                <w:rFonts w:hint="eastAsia"/>
                <w:color w:val="auto"/>
              </w:rPr>
              <w:t>噪声控制措施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3E17521D">
            <w:pPr>
              <w:pStyle w:val="33"/>
              <w:rPr>
                <w:color w:val="auto"/>
              </w:rPr>
            </w:pPr>
            <w:r>
              <w:rPr>
                <w:color w:val="auto"/>
              </w:rPr>
              <w:t>10</w:t>
            </w:r>
          </w:p>
        </w:tc>
      </w:tr>
      <w:tr w14:paraId="5A99A563">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2429BA57">
            <w:pPr>
              <w:pStyle w:val="33"/>
              <w:rPr>
                <w:color w:val="auto"/>
              </w:rPr>
            </w:pPr>
          </w:p>
        </w:tc>
        <w:tc>
          <w:tcPr>
            <w:tcW w:w="344" w:type="pct"/>
            <w:tcBorders>
              <w:top w:val="single" w:color="000000" w:sz="4" w:space="0"/>
              <w:left w:val="single" w:color="000000" w:sz="4" w:space="0"/>
              <w:bottom w:val="single" w:color="000000" w:sz="4" w:space="0"/>
              <w:right w:val="single" w:color="000000" w:sz="4" w:space="0"/>
            </w:tcBorders>
            <w:noWrap/>
            <w:vAlign w:val="center"/>
          </w:tcPr>
          <w:p w14:paraId="6FDE6F00">
            <w:pPr>
              <w:pStyle w:val="33"/>
              <w:rPr>
                <w:color w:val="auto"/>
              </w:rPr>
            </w:pPr>
            <w:r>
              <w:rPr>
                <w:rFonts w:hint="eastAsia"/>
                <w:color w:val="auto"/>
              </w:rPr>
              <w:t>4</w:t>
            </w:r>
          </w:p>
        </w:tc>
        <w:tc>
          <w:tcPr>
            <w:tcW w:w="3296" w:type="pct"/>
            <w:gridSpan w:val="2"/>
            <w:tcBorders>
              <w:top w:val="single" w:color="000000" w:sz="4" w:space="0"/>
              <w:left w:val="single" w:color="000000" w:sz="4" w:space="0"/>
              <w:bottom w:val="single" w:color="000000" w:sz="4" w:space="0"/>
              <w:right w:val="single" w:color="000000" w:sz="4" w:space="0"/>
            </w:tcBorders>
            <w:noWrap/>
            <w:vAlign w:val="center"/>
          </w:tcPr>
          <w:p w14:paraId="43553335">
            <w:pPr>
              <w:pStyle w:val="33"/>
              <w:rPr>
                <w:color w:val="auto"/>
              </w:rPr>
            </w:pPr>
            <w:r>
              <w:rPr>
                <w:rFonts w:hint="eastAsia"/>
                <w:color w:val="auto"/>
              </w:rPr>
              <w:t>固体废物处置措施</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369A5AC9">
            <w:pPr>
              <w:pStyle w:val="33"/>
              <w:rPr>
                <w:color w:val="auto"/>
              </w:rPr>
            </w:pPr>
            <w:r>
              <w:rPr>
                <w:color w:val="auto"/>
              </w:rPr>
              <w:t>10</w:t>
            </w:r>
          </w:p>
        </w:tc>
      </w:tr>
      <w:tr w14:paraId="58F2CD7C">
        <w:tblPrEx>
          <w:tblCellMar>
            <w:top w:w="0" w:type="dxa"/>
            <w:left w:w="108" w:type="dxa"/>
            <w:bottom w:w="0" w:type="dxa"/>
            <w:right w:w="108" w:type="dxa"/>
          </w:tblCellMar>
        </w:tblPrEx>
        <w:trPr>
          <w:trHeight w:val="270" w:hRule="atLeast"/>
        </w:trPr>
        <w:tc>
          <w:tcPr>
            <w:tcW w:w="455" w:type="pct"/>
            <w:vMerge w:val="continue"/>
            <w:tcBorders>
              <w:top w:val="single" w:color="000000" w:sz="4" w:space="0"/>
              <w:left w:val="single" w:color="000000" w:sz="4" w:space="0"/>
              <w:bottom w:val="single" w:color="000000" w:sz="4" w:space="0"/>
              <w:right w:val="single" w:color="000000" w:sz="4" w:space="0"/>
            </w:tcBorders>
            <w:noWrap/>
            <w:vAlign w:val="center"/>
          </w:tcPr>
          <w:p w14:paraId="5B08AC87">
            <w:pPr>
              <w:pStyle w:val="33"/>
              <w:rPr>
                <w:color w:val="auto"/>
              </w:rPr>
            </w:pPr>
          </w:p>
        </w:tc>
        <w:tc>
          <w:tcPr>
            <w:tcW w:w="3640" w:type="pct"/>
            <w:gridSpan w:val="3"/>
            <w:tcBorders>
              <w:top w:val="single" w:color="000000" w:sz="4" w:space="0"/>
              <w:left w:val="single" w:color="000000" w:sz="4" w:space="0"/>
              <w:bottom w:val="single" w:color="000000" w:sz="4" w:space="0"/>
              <w:right w:val="single" w:color="000000" w:sz="4" w:space="0"/>
            </w:tcBorders>
            <w:noWrap/>
            <w:vAlign w:val="center"/>
          </w:tcPr>
          <w:p w14:paraId="76CFA602">
            <w:pPr>
              <w:pStyle w:val="33"/>
              <w:rPr>
                <w:color w:val="auto"/>
              </w:rPr>
            </w:pPr>
            <w:r>
              <w:rPr>
                <w:rFonts w:hint="eastAsia"/>
                <w:color w:val="auto"/>
              </w:rPr>
              <w:t>合计</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17209B4E">
            <w:pPr>
              <w:pStyle w:val="33"/>
              <w:rPr>
                <w:color w:val="auto"/>
              </w:rPr>
            </w:pPr>
            <w:r>
              <w:rPr>
                <w:rFonts w:hint="eastAsia"/>
                <w:color w:val="auto"/>
              </w:rPr>
              <w:t>36</w:t>
            </w:r>
          </w:p>
        </w:tc>
      </w:tr>
      <w:tr w14:paraId="662CC1EC">
        <w:tblPrEx>
          <w:tblCellMar>
            <w:top w:w="0" w:type="dxa"/>
            <w:left w:w="108" w:type="dxa"/>
            <w:bottom w:w="0" w:type="dxa"/>
            <w:right w:w="108" w:type="dxa"/>
          </w:tblCellMar>
        </w:tblPrEx>
        <w:trPr>
          <w:trHeight w:val="270" w:hRule="atLeast"/>
        </w:trPr>
        <w:tc>
          <w:tcPr>
            <w:tcW w:w="4095" w:type="pct"/>
            <w:gridSpan w:val="4"/>
            <w:tcBorders>
              <w:top w:val="single" w:color="000000" w:sz="4" w:space="0"/>
              <w:left w:val="single" w:color="000000" w:sz="4" w:space="0"/>
              <w:bottom w:val="single" w:color="000000" w:sz="4" w:space="0"/>
              <w:right w:val="single" w:color="000000" w:sz="4" w:space="0"/>
            </w:tcBorders>
            <w:noWrap/>
            <w:vAlign w:val="center"/>
          </w:tcPr>
          <w:p w14:paraId="75C1F931">
            <w:pPr>
              <w:pStyle w:val="33"/>
              <w:rPr>
                <w:color w:val="auto"/>
              </w:rPr>
            </w:pPr>
            <w:r>
              <w:rPr>
                <w:rFonts w:hint="eastAsia"/>
                <w:color w:val="auto"/>
              </w:rPr>
              <w:t>环保投资总计</w:t>
            </w:r>
          </w:p>
        </w:tc>
        <w:tc>
          <w:tcPr>
            <w:tcW w:w="905" w:type="pct"/>
            <w:tcBorders>
              <w:top w:val="single" w:color="000000" w:sz="4" w:space="0"/>
              <w:left w:val="single" w:color="000000" w:sz="4" w:space="0"/>
              <w:bottom w:val="single" w:color="000000" w:sz="4" w:space="0"/>
              <w:right w:val="single" w:color="000000" w:sz="4" w:space="0"/>
            </w:tcBorders>
            <w:noWrap/>
            <w:vAlign w:val="center"/>
          </w:tcPr>
          <w:p w14:paraId="2D81C344">
            <w:pPr>
              <w:pStyle w:val="33"/>
              <w:rPr>
                <w:color w:val="auto"/>
              </w:rPr>
            </w:pPr>
            <w:r>
              <w:rPr>
                <w:color w:val="auto"/>
              </w:rPr>
              <w:t>22320</w:t>
            </w:r>
          </w:p>
        </w:tc>
      </w:tr>
    </w:tbl>
    <w:p w14:paraId="514A2C85">
      <w:pPr>
        <w:ind w:firstLine="480"/>
        <w:rPr>
          <w:color w:val="auto"/>
        </w:rPr>
      </w:pPr>
    </w:p>
    <w:p w14:paraId="498A08DA">
      <w:pPr>
        <w:ind w:firstLine="480"/>
        <w:rPr>
          <w:color w:val="auto"/>
        </w:rPr>
        <w:sectPr>
          <w:headerReference r:id="rId40" w:type="default"/>
          <w:pgSz w:w="11906" w:h="16838"/>
          <w:pgMar w:top="1418" w:right="1418" w:bottom="1418" w:left="1418" w:header="851" w:footer="992" w:gutter="0"/>
          <w:cols w:space="425" w:num="1"/>
          <w:docGrid w:type="lines" w:linePitch="312" w:charSpace="0"/>
        </w:sectPr>
      </w:pPr>
    </w:p>
    <w:p w14:paraId="3CFF68BB">
      <w:pPr>
        <w:pStyle w:val="2"/>
        <w:rPr>
          <w:color w:val="auto"/>
          <w:lang w:val="zh-CN"/>
        </w:rPr>
      </w:pPr>
      <w:bookmarkStart w:id="596" w:name="_Toc221355749"/>
      <w:bookmarkStart w:id="597" w:name="_Toc225216873"/>
      <w:r>
        <w:rPr>
          <w:color w:val="auto"/>
          <w:lang w:val="zh-CN"/>
        </w:rPr>
        <w:t>环境影响经济损益分析</w:t>
      </w:r>
      <w:bookmarkEnd w:id="596"/>
      <w:bookmarkEnd w:id="597"/>
    </w:p>
    <w:p w14:paraId="6460C4B0">
      <w:pPr>
        <w:pStyle w:val="3"/>
        <w:rPr>
          <w:color w:val="auto"/>
        </w:rPr>
      </w:pPr>
      <w:bookmarkStart w:id="598" w:name="_Toc19562"/>
      <w:bookmarkStart w:id="599" w:name="_Toc225216874"/>
      <w:bookmarkStart w:id="600" w:name="_Toc221355750"/>
      <w:bookmarkStart w:id="601" w:name="_Toc15587"/>
      <w:r>
        <w:rPr>
          <w:rFonts w:cs="Times New Roman"/>
          <w:color w:val="auto"/>
          <w:lang w:val="zh-CN"/>
        </w:rPr>
        <w:t>分析方法</w:t>
      </w:r>
      <w:bookmarkEnd w:id="598"/>
      <w:bookmarkEnd w:id="599"/>
      <w:bookmarkEnd w:id="600"/>
      <w:bookmarkEnd w:id="601"/>
    </w:p>
    <w:p w14:paraId="6F668DB2">
      <w:pPr>
        <w:ind w:firstLine="480"/>
        <w:rPr>
          <w:rFonts w:cs="Times New Roman"/>
          <w:color w:val="auto"/>
          <w:lang w:val="zh-CN"/>
        </w:rPr>
      </w:pPr>
      <w:r>
        <w:rPr>
          <w:rFonts w:cs="Times New Roman"/>
          <w:color w:val="auto"/>
          <w:lang w:val="zh-CN"/>
        </w:rPr>
        <w:t>本报告采用指标计算法进行建设项目的环境经济损益分析，即将项目对环境产生的损益分解成各项经济指标包括环保费用指标、污染损失指标和环境效益，逐项计算。然后通过环境经济的静态分析，得出项目环保投资的年净效益、环保费用的经济效益，以及效益与费用比例等各项参数。</w:t>
      </w:r>
    </w:p>
    <w:p w14:paraId="4C56C5DF">
      <w:pPr>
        <w:pStyle w:val="3"/>
        <w:rPr>
          <w:rFonts w:cs="Times New Roman"/>
          <w:color w:val="auto"/>
          <w:lang w:val="zh-CN"/>
        </w:rPr>
      </w:pPr>
      <w:bookmarkStart w:id="602" w:name="_Toc221355751"/>
      <w:bookmarkStart w:id="603" w:name="_Toc225216875"/>
      <w:bookmarkStart w:id="604" w:name="_Toc7684"/>
      <w:bookmarkStart w:id="605" w:name="_Toc16208"/>
      <w:r>
        <w:rPr>
          <w:rFonts w:cs="Times New Roman"/>
          <w:color w:val="auto"/>
          <w:lang w:val="zh-CN"/>
        </w:rPr>
        <w:t>环保投资</w:t>
      </w:r>
      <w:bookmarkEnd w:id="602"/>
      <w:bookmarkEnd w:id="603"/>
      <w:bookmarkEnd w:id="604"/>
      <w:bookmarkEnd w:id="605"/>
    </w:p>
    <w:p w14:paraId="37F1DE8B">
      <w:pPr>
        <w:ind w:firstLine="480"/>
        <w:rPr>
          <w:rFonts w:cs="Times New Roman"/>
          <w:color w:val="auto"/>
        </w:rPr>
      </w:pPr>
      <w:r>
        <w:rPr>
          <w:rFonts w:cs="Times New Roman"/>
          <w:color w:val="auto"/>
        </w:rPr>
        <w:t>本项目总投资</w:t>
      </w:r>
      <w:r>
        <w:rPr>
          <w:rFonts w:hint="eastAsia"/>
          <w:color w:val="auto"/>
        </w:rPr>
        <w:t>49510</w:t>
      </w:r>
      <w:r>
        <w:rPr>
          <w:rFonts w:cs="Times New Roman"/>
          <w:color w:val="auto"/>
        </w:rPr>
        <w:t>万元，本项目环保投资总计</w:t>
      </w:r>
      <w:r>
        <w:rPr>
          <w:rFonts w:hint="eastAsia" w:cs="Times New Roman"/>
          <w:color w:val="auto"/>
        </w:rPr>
        <w:t>约</w:t>
      </w:r>
      <w:r>
        <w:rPr>
          <w:color w:val="auto"/>
        </w:rPr>
        <w:t>22320</w:t>
      </w:r>
      <w:r>
        <w:rPr>
          <w:rFonts w:cs="Times New Roman"/>
          <w:color w:val="auto"/>
        </w:rPr>
        <w:t>万元，环保投资占总投资的</w:t>
      </w:r>
      <w:r>
        <w:rPr>
          <w:color w:val="auto"/>
        </w:rPr>
        <w:t>45.1</w:t>
      </w:r>
      <w:r>
        <w:rPr>
          <w:rFonts w:cs="Times New Roman"/>
          <w:color w:val="auto"/>
        </w:rPr>
        <w:t>%。</w:t>
      </w:r>
    </w:p>
    <w:p w14:paraId="54F34EDD">
      <w:pPr>
        <w:ind w:firstLine="480"/>
        <w:rPr>
          <w:rFonts w:cs="Times New Roman"/>
          <w:color w:val="auto"/>
        </w:rPr>
      </w:pPr>
      <w:r>
        <w:rPr>
          <w:rFonts w:cs="Times New Roman"/>
          <w:color w:val="auto"/>
        </w:rPr>
        <w:t>达产后年平均营业收入为409554万元，达产年平均利润总额为6110万元。项目建成后，能够获取合理利润并能持续运行，具有一定的财务效益，建设规模合理、经济，企业抗风险能力较好。因此，本项目具有较好的经济效益。</w:t>
      </w:r>
    </w:p>
    <w:p w14:paraId="1525625C">
      <w:pPr>
        <w:pStyle w:val="4"/>
        <w:rPr>
          <w:rFonts w:cs="Times New Roman"/>
          <w:color w:val="auto"/>
          <w:lang w:val="zh-CN"/>
        </w:rPr>
      </w:pPr>
      <w:bookmarkStart w:id="606" w:name="_Toc225216876"/>
      <w:r>
        <w:rPr>
          <w:rFonts w:cs="Times New Roman"/>
          <w:color w:val="auto"/>
          <w:lang w:val="zh-CN"/>
        </w:rPr>
        <w:t>环境影响经济损益分析</w:t>
      </w:r>
      <w:bookmarkEnd w:id="606"/>
    </w:p>
    <w:p w14:paraId="563B1061">
      <w:pPr>
        <w:ind w:firstLine="480"/>
        <w:rPr>
          <w:rFonts w:cs="Times New Roman"/>
          <w:color w:val="auto"/>
        </w:rPr>
      </w:pPr>
      <w:r>
        <w:rPr>
          <w:rFonts w:cs="Times New Roman"/>
          <w:color w:val="auto"/>
        </w:rPr>
        <w:t>环境保护成本包括环保设施折旧费用、环保设备运行费、维修费和管理成本。</w:t>
      </w:r>
    </w:p>
    <w:p w14:paraId="32F0327B">
      <w:pPr>
        <w:ind w:firstLine="480"/>
        <w:rPr>
          <w:rFonts w:cs="Times New Roman"/>
          <w:color w:val="auto"/>
        </w:rPr>
      </w:pPr>
      <w:r>
        <w:rPr>
          <w:rFonts w:cs="Times New Roman"/>
          <w:color w:val="auto"/>
        </w:rPr>
        <w:t>（1）环保设施折旧费</w:t>
      </w:r>
    </w:p>
    <w:p w14:paraId="43CD58F9">
      <w:pPr>
        <w:ind w:firstLine="0" w:firstLineChars="0"/>
        <w:jc w:val="center"/>
        <w:rPr>
          <w:rFonts w:cs="Times New Roman"/>
          <w:color w:val="auto"/>
        </w:rPr>
      </w:pPr>
      <w:r>
        <w:rPr>
          <w:rFonts w:cs="Times New Roman"/>
          <w:color w:val="auto"/>
        </w:rPr>
        <w:t>C</w:t>
      </w:r>
      <w:r>
        <w:rPr>
          <w:rFonts w:cs="Times New Roman"/>
          <w:color w:val="auto"/>
          <w:vertAlign w:val="subscript"/>
        </w:rPr>
        <w:t>1</w:t>
      </w:r>
      <w:r>
        <w:rPr>
          <w:rFonts w:cs="Times New Roman"/>
          <w:color w:val="auto"/>
        </w:rPr>
        <w:t>=a×C</w:t>
      </w:r>
      <w:r>
        <w:rPr>
          <w:rFonts w:cs="Times New Roman"/>
          <w:color w:val="auto"/>
          <w:vertAlign w:val="subscript"/>
        </w:rPr>
        <w:t>0</w:t>
      </w:r>
      <w:r>
        <w:rPr>
          <w:rFonts w:cs="Times New Roman"/>
          <w:color w:val="auto"/>
        </w:rPr>
        <w:t>/n</w:t>
      </w:r>
    </w:p>
    <w:p w14:paraId="37DB1C74">
      <w:pPr>
        <w:ind w:firstLine="480"/>
        <w:rPr>
          <w:rFonts w:cs="Times New Roman"/>
          <w:color w:val="auto"/>
        </w:rPr>
      </w:pPr>
      <w:r>
        <w:rPr>
          <w:rFonts w:cs="Times New Roman"/>
          <w:color w:val="auto"/>
        </w:rPr>
        <w:t>式中：</w:t>
      </w:r>
      <w:r>
        <w:rPr>
          <w:rFonts w:cs="Times New Roman"/>
          <w:color w:val="auto"/>
        </w:rPr>
        <w:tab/>
      </w:r>
      <w:r>
        <w:rPr>
          <w:rFonts w:cs="Times New Roman"/>
          <w:color w:val="auto"/>
        </w:rPr>
        <w:t>a—固定资产形成率，取95%；</w:t>
      </w:r>
    </w:p>
    <w:p w14:paraId="6BDF595E">
      <w:pPr>
        <w:ind w:left="780" w:firstLine="480"/>
        <w:rPr>
          <w:rFonts w:cs="Times New Roman"/>
          <w:color w:val="auto"/>
        </w:rPr>
      </w:pPr>
      <w:r>
        <w:rPr>
          <w:rFonts w:cs="Times New Roman"/>
          <w:color w:val="auto"/>
        </w:rPr>
        <w:t>C</w:t>
      </w:r>
      <w:r>
        <w:rPr>
          <w:rFonts w:cs="Times New Roman"/>
          <w:color w:val="auto"/>
          <w:vertAlign w:val="subscript"/>
        </w:rPr>
        <w:t>0</w:t>
      </w:r>
      <w:r>
        <w:rPr>
          <w:rFonts w:cs="Times New Roman"/>
          <w:color w:val="auto"/>
        </w:rPr>
        <w:t>—环保总投资（万元）；</w:t>
      </w:r>
    </w:p>
    <w:p w14:paraId="72745312">
      <w:pPr>
        <w:ind w:left="780" w:firstLine="480"/>
        <w:rPr>
          <w:rFonts w:cs="Times New Roman"/>
          <w:color w:val="auto"/>
        </w:rPr>
      </w:pPr>
      <w:r>
        <w:rPr>
          <w:rFonts w:cs="Times New Roman"/>
          <w:color w:val="auto"/>
        </w:rPr>
        <w:t>n—折旧年限，取15年；</w:t>
      </w:r>
    </w:p>
    <w:p w14:paraId="73A3D757">
      <w:pPr>
        <w:ind w:firstLine="480"/>
        <w:rPr>
          <w:rFonts w:cs="Times New Roman"/>
          <w:color w:val="auto"/>
        </w:rPr>
      </w:pPr>
      <w:r>
        <w:rPr>
          <w:rFonts w:cs="Times New Roman"/>
          <w:color w:val="auto"/>
        </w:rPr>
        <w:t>故环保设施每年折旧费约为1413.6万元。</w:t>
      </w:r>
    </w:p>
    <w:p w14:paraId="6F8923E8">
      <w:pPr>
        <w:ind w:firstLine="480"/>
        <w:rPr>
          <w:rFonts w:cs="Times New Roman"/>
          <w:color w:val="auto"/>
        </w:rPr>
      </w:pPr>
      <w:r>
        <w:rPr>
          <w:rFonts w:cs="Times New Roman"/>
          <w:color w:val="auto"/>
        </w:rPr>
        <w:t>（2）环保设施运行费</w:t>
      </w:r>
    </w:p>
    <w:p w14:paraId="7B336C7F">
      <w:pPr>
        <w:ind w:firstLine="480"/>
        <w:rPr>
          <w:rFonts w:cs="Times New Roman"/>
          <w:color w:val="auto"/>
        </w:rPr>
      </w:pPr>
      <w:r>
        <w:rPr>
          <w:rFonts w:cs="Times New Roman"/>
          <w:color w:val="auto"/>
        </w:rPr>
        <w:t>环保设施年运行费（包括人工费、维修费、药品费等）按环保投资的10%计，本项目环保设施年运行费为2232万元。</w:t>
      </w:r>
    </w:p>
    <w:p w14:paraId="7ED62FA8">
      <w:pPr>
        <w:ind w:firstLine="480"/>
        <w:rPr>
          <w:rFonts w:cs="Times New Roman"/>
          <w:bCs/>
          <w:color w:val="auto"/>
        </w:rPr>
      </w:pPr>
      <w:r>
        <w:rPr>
          <w:rFonts w:cs="Times New Roman"/>
          <w:bCs/>
          <w:color w:val="auto"/>
        </w:rPr>
        <w:t>（3）环保设施经营支出C</w:t>
      </w:r>
    </w:p>
    <w:p w14:paraId="79EF330B">
      <w:pPr>
        <w:kinsoku w:val="0"/>
        <w:ind w:firstLine="480"/>
        <w:rPr>
          <w:rFonts w:cs="Times New Roman"/>
          <w:color w:val="auto"/>
        </w:rPr>
      </w:pPr>
      <w:r>
        <w:rPr>
          <w:rFonts w:cs="Times New Roman"/>
          <w:color w:val="auto"/>
        </w:rPr>
        <w:t>环保设施经营支出为上述</w:t>
      </w:r>
      <w:r>
        <w:rPr>
          <w:rFonts w:cs="Times New Roman"/>
          <w:color w:val="auto"/>
          <w:spacing w:val="4"/>
        </w:rPr>
        <w:t>C</w:t>
      </w:r>
      <w:r>
        <w:rPr>
          <w:rFonts w:cs="Times New Roman"/>
          <w:color w:val="auto"/>
          <w:spacing w:val="6"/>
          <w:position w:val="-3"/>
          <w:vertAlign w:val="subscript"/>
        </w:rPr>
        <w:t>1</w:t>
      </w:r>
      <w:r>
        <w:rPr>
          <w:rFonts w:cs="Times New Roman"/>
          <w:color w:val="auto"/>
        </w:rPr>
        <w:t>、</w:t>
      </w:r>
      <w:r>
        <w:rPr>
          <w:rFonts w:cs="Times New Roman"/>
          <w:color w:val="auto"/>
          <w:spacing w:val="-11"/>
        </w:rPr>
        <w:t>C</w:t>
      </w:r>
      <w:r>
        <w:rPr>
          <w:rFonts w:cs="Times New Roman"/>
          <w:color w:val="auto"/>
          <w:spacing w:val="7"/>
          <w:position w:val="-3"/>
          <w:vertAlign w:val="subscript"/>
        </w:rPr>
        <w:t>2</w:t>
      </w:r>
      <w:r>
        <w:rPr>
          <w:rFonts w:cs="Times New Roman"/>
          <w:color w:val="auto"/>
        </w:rPr>
        <w:t>、</w:t>
      </w:r>
      <w:r>
        <w:rPr>
          <w:rFonts w:cs="Times New Roman"/>
          <w:color w:val="auto"/>
          <w:spacing w:val="-10"/>
        </w:rPr>
        <w:t>C</w:t>
      </w:r>
      <w:r>
        <w:rPr>
          <w:rFonts w:cs="Times New Roman"/>
          <w:color w:val="auto"/>
          <w:position w:val="-3"/>
          <w:vertAlign w:val="subscript"/>
        </w:rPr>
        <w:t>3</w:t>
      </w:r>
      <w:r>
        <w:rPr>
          <w:rFonts w:cs="Times New Roman"/>
          <w:color w:val="auto"/>
        </w:rPr>
        <w:t>三项费用之和。</w:t>
      </w:r>
    </w:p>
    <w:p w14:paraId="6886264E">
      <w:pPr>
        <w:kinsoku w:val="0"/>
        <w:overflowPunct w:val="0"/>
        <w:ind w:firstLine="496"/>
        <w:jc w:val="center"/>
        <w:rPr>
          <w:rFonts w:cs="Times New Roman"/>
          <w:color w:val="auto"/>
        </w:rPr>
      </w:pPr>
      <w:r>
        <w:rPr>
          <w:rFonts w:cs="Times New Roman"/>
          <w:color w:val="auto"/>
          <w:spacing w:val="4"/>
        </w:rPr>
        <w:t>C</w:t>
      </w:r>
      <w:r>
        <w:rPr>
          <w:rFonts w:cs="Times New Roman"/>
          <w:color w:val="auto"/>
        </w:rPr>
        <w:t>=</w:t>
      </w:r>
      <w:r>
        <w:rPr>
          <w:rFonts w:cs="Times New Roman"/>
          <w:color w:val="auto"/>
          <w:spacing w:val="5"/>
        </w:rPr>
        <w:t>C</w:t>
      </w:r>
      <w:r>
        <w:rPr>
          <w:rFonts w:cs="Times New Roman"/>
          <w:color w:val="auto"/>
          <w:spacing w:val="6"/>
          <w:position w:val="-3"/>
          <w:vertAlign w:val="subscript"/>
        </w:rPr>
        <w:t>1</w:t>
      </w:r>
      <w:r>
        <w:rPr>
          <w:rFonts w:cs="Times New Roman"/>
          <w:color w:val="auto"/>
          <w:spacing w:val="-16"/>
        </w:rPr>
        <w:t>+</w:t>
      </w:r>
      <w:r>
        <w:rPr>
          <w:rFonts w:cs="Times New Roman"/>
          <w:color w:val="auto"/>
          <w:spacing w:val="5"/>
        </w:rPr>
        <w:t>C</w:t>
      </w:r>
      <w:r>
        <w:rPr>
          <w:rFonts w:cs="Times New Roman"/>
          <w:color w:val="auto"/>
          <w:spacing w:val="6"/>
          <w:position w:val="-3"/>
          <w:vertAlign w:val="subscript"/>
        </w:rPr>
        <w:t>2</w:t>
      </w:r>
    </w:p>
    <w:p w14:paraId="7D785B2B">
      <w:pPr>
        <w:ind w:firstLine="480"/>
        <w:rPr>
          <w:rFonts w:cs="Times New Roman"/>
          <w:color w:val="auto"/>
        </w:rPr>
      </w:pPr>
      <w:r>
        <w:rPr>
          <w:rFonts w:cs="Times New Roman"/>
          <w:color w:val="auto"/>
        </w:rPr>
        <w:t>综上所述每年环保设施运行成本3645.6万元。环保设施经营支出计算结果见表。</w:t>
      </w:r>
    </w:p>
    <w:p w14:paraId="0D4E82DA">
      <w:pPr>
        <w:pStyle w:val="7"/>
        <w:rPr>
          <w:color w:val="auto"/>
        </w:rPr>
      </w:pPr>
      <w:r>
        <w:rPr>
          <w:color w:val="auto"/>
        </w:rPr>
        <w:t>环保设施经营支出费用一览表</w:t>
      </w:r>
    </w:p>
    <w:tbl>
      <w:tblPr>
        <w:tblStyle w:val="26"/>
        <w:tblW w:w="90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71"/>
        <w:gridCol w:w="3180"/>
        <w:gridCol w:w="2402"/>
        <w:gridCol w:w="2117"/>
      </w:tblGrid>
      <w:tr w14:paraId="2818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71" w:type="dxa"/>
            <w:vAlign w:val="center"/>
          </w:tcPr>
          <w:p w14:paraId="17FE8CFC">
            <w:pPr>
              <w:spacing w:line="240" w:lineRule="auto"/>
              <w:ind w:firstLine="0" w:firstLineChars="0"/>
              <w:jc w:val="center"/>
              <w:rPr>
                <w:rFonts w:cs="Times New Roman"/>
                <w:b/>
                <w:bCs/>
                <w:color w:val="auto"/>
              </w:rPr>
            </w:pPr>
            <w:r>
              <w:rPr>
                <w:rFonts w:cs="Times New Roman"/>
                <w:b/>
                <w:bCs/>
                <w:color w:val="auto"/>
                <w:sz w:val="21"/>
                <w:szCs w:val="21"/>
              </w:rPr>
              <w:t>序号</w:t>
            </w:r>
          </w:p>
        </w:tc>
        <w:tc>
          <w:tcPr>
            <w:tcW w:w="3180" w:type="dxa"/>
            <w:vAlign w:val="center"/>
          </w:tcPr>
          <w:p w14:paraId="1B736455">
            <w:pPr>
              <w:spacing w:line="240" w:lineRule="auto"/>
              <w:ind w:firstLine="0" w:firstLineChars="0"/>
              <w:jc w:val="center"/>
              <w:rPr>
                <w:rFonts w:cs="Times New Roman"/>
                <w:b/>
                <w:bCs/>
                <w:color w:val="auto"/>
              </w:rPr>
            </w:pPr>
            <w:r>
              <w:rPr>
                <w:rFonts w:cs="Times New Roman"/>
                <w:b/>
                <w:bCs/>
                <w:color w:val="auto"/>
                <w:sz w:val="21"/>
                <w:szCs w:val="21"/>
              </w:rPr>
              <w:t>项目</w:t>
            </w:r>
          </w:p>
        </w:tc>
        <w:tc>
          <w:tcPr>
            <w:tcW w:w="2402" w:type="dxa"/>
            <w:vAlign w:val="center"/>
          </w:tcPr>
          <w:p w14:paraId="34DCE0FA">
            <w:pPr>
              <w:spacing w:line="240" w:lineRule="auto"/>
              <w:ind w:firstLine="0" w:firstLineChars="0"/>
              <w:jc w:val="center"/>
              <w:rPr>
                <w:rFonts w:cs="Times New Roman"/>
                <w:b/>
                <w:bCs/>
                <w:color w:val="auto"/>
              </w:rPr>
            </w:pPr>
            <w:r>
              <w:rPr>
                <w:rFonts w:cs="Times New Roman"/>
                <w:b/>
                <w:bCs/>
                <w:color w:val="auto"/>
                <w:sz w:val="21"/>
                <w:szCs w:val="21"/>
              </w:rPr>
              <w:t>计算方法</w:t>
            </w:r>
          </w:p>
        </w:tc>
        <w:tc>
          <w:tcPr>
            <w:tcW w:w="2117" w:type="dxa"/>
            <w:vAlign w:val="center"/>
          </w:tcPr>
          <w:p w14:paraId="18AFB755">
            <w:pPr>
              <w:spacing w:line="240" w:lineRule="auto"/>
              <w:ind w:firstLine="0" w:firstLineChars="0"/>
              <w:jc w:val="center"/>
              <w:rPr>
                <w:rFonts w:cs="Times New Roman"/>
                <w:b/>
                <w:bCs/>
                <w:color w:val="auto"/>
              </w:rPr>
            </w:pPr>
            <w:r>
              <w:rPr>
                <w:rFonts w:cs="Times New Roman"/>
                <w:b/>
                <w:bCs/>
                <w:color w:val="auto"/>
                <w:sz w:val="21"/>
                <w:szCs w:val="21"/>
              </w:rPr>
              <w:t>费用（万元）</w:t>
            </w:r>
          </w:p>
        </w:tc>
      </w:tr>
      <w:tr w14:paraId="12886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371" w:type="dxa"/>
            <w:vAlign w:val="center"/>
          </w:tcPr>
          <w:p w14:paraId="5EC4D6D5">
            <w:pPr>
              <w:spacing w:line="240" w:lineRule="auto"/>
              <w:ind w:firstLine="0" w:firstLineChars="0"/>
              <w:jc w:val="center"/>
              <w:rPr>
                <w:rFonts w:cs="Times New Roman"/>
                <w:color w:val="auto"/>
              </w:rPr>
            </w:pPr>
            <w:r>
              <w:rPr>
                <w:rFonts w:cs="Times New Roman"/>
                <w:color w:val="auto"/>
                <w:sz w:val="21"/>
                <w:szCs w:val="21"/>
              </w:rPr>
              <w:t>1</w:t>
            </w:r>
          </w:p>
        </w:tc>
        <w:tc>
          <w:tcPr>
            <w:tcW w:w="3180" w:type="dxa"/>
            <w:vAlign w:val="center"/>
          </w:tcPr>
          <w:p w14:paraId="407298F3">
            <w:pPr>
              <w:spacing w:line="240" w:lineRule="auto"/>
              <w:ind w:firstLine="0" w:firstLineChars="0"/>
              <w:jc w:val="center"/>
              <w:rPr>
                <w:rFonts w:cs="Times New Roman"/>
                <w:color w:val="auto"/>
              </w:rPr>
            </w:pPr>
            <w:r>
              <w:rPr>
                <w:rFonts w:cs="Times New Roman"/>
                <w:color w:val="auto"/>
                <w:sz w:val="21"/>
                <w:szCs w:val="21"/>
              </w:rPr>
              <w:t>环保设施折旧费C</w:t>
            </w:r>
            <w:r>
              <w:rPr>
                <w:rFonts w:cs="Times New Roman"/>
                <w:color w:val="auto"/>
                <w:sz w:val="21"/>
                <w:szCs w:val="21"/>
                <w:vertAlign w:val="subscript"/>
              </w:rPr>
              <w:t>1</w:t>
            </w:r>
          </w:p>
        </w:tc>
        <w:tc>
          <w:tcPr>
            <w:tcW w:w="2402" w:type="dxa"/>
            <w:vAlign w:val="center"/>
          </w:tcPr>
          <w:p w14:paraId="07626784">
            <w:pPr>
              <w:spacing w:line="240" w:lineRule="auto"/>
              <w:ind w:firstLine="0" w:firstLineChars="0"/>
              <w:jc w:val="center"/>
              <w:rPr>
                <w:rFonts w:cs="Times New Roman"/>
                <w:color w:val="auto"/>
              </w:rPr>
            </w:pPr>
            <w:r>
              <w:rPr>
                <w:rFonts w:cs="Times New Roman"/>
                <w:color w:val="auto"/>
                <w:sz w:val="21"/>
                <w:szCs w:val="21"/>
              </w:rPr>
              <w:t>C</w:t>
            </w:r>
            <w:r>
              <w:rPr>
                <w:rFonts w:cs="Times New Roman"/>
                <w:color w:val="auto"/>
                <w:sz w:val="21"/>
                <w:szCs w:val="21"/>
                <w:vertAlign w:val="subscript"/>
              </w:rPr>
              <w:t>1</w:t>
            </w:r>
            <w:r>
              <w:rPr>
                <w:rFonts w:cs="Times New Roman"/>
                <w:color w:val="auto"/>
                <w:sz w:val="21"/>
                <w:szCs w:val="21"/>
              </w:rPr>
              <w:t>=a×C</w:t>
            </w:r>
            <w:r>
              <w:rPr>
                <w:rFonts w:cs="Times New Roman"/>
                <w:color w:val="auto"/>
                <w:sz w:val="21"/>
                <w:szCs w:val="21"/>
                <w:vertAlign w:val="subscript"/>
              </w:rPr>
              <w:t>0</w:t>
            </w:r>
            <w:r>
              <w:rPr>
                <w:rFonts w:cs="Times New Roman"/>
                <w:color w:val="auto"/>
                <w:sz w:val="21"/>
                <w:szCs w:val="21"/>
              </w:rPr>
              <w:t>/n</w:t>
            </w:r>
          </w:p>
        </w:tc>
        <w:tc>
          <w:tcPr>
            <w:tcW w:w="2117" w:type="dxa"/>
          </w:tcPr>
          <w:p w14:paraId="6529E022">
            <w:pPr>
              <w:spacing w:line="240" w:lineRule="auto"/>
              <w:ind w:firstLine="0" w:firstLineChars="0"/>
              <w:jc w:val="center"/>
              <w:rPr>
                <w:rFonts w:cs="Times New Roman"/>
                <w:color w:val="auto"/>
              </w:rPr>
            </w:pPr>
            <w:r>
              <w:rPr>
                <w:color w:val="auto"/>
              </w:rPr>
              <w:t>1413.6</w:t>
            </w:r>
          </w:p>
        </w:tc>
      </w:tr>
      <w:tr w14:paraId="147AD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71" w:type="dxa"/>
            <w:vAlign w:val="center"/>
          </w:tcPr>
          <w:p w14:paraId="15D0F06E">
            <w:pPr>
              <w:spacing w:line="240" w:lineRule="auto"/>
              <w:ind w:firstLine="0" w:firstLineChars="0"/>
              <w:jc w:val="center"/>
              <w:rPr>
                <w:rFonts w:cs="Times New Roman"/>
                <w:color w:val="auto"/>
              </w:rPr>
            </w:pPr>
            <w:r>
              <w:rPr>
                <w:rFonts w:cs="Times New Roman"/>
                <w:color w:val="auto"/>
                <w:sz w:val="21"/>
                <w:szCs w:val="21"/>
              </w:rPr>
              <w:t>2</w:t>
            </w:r>
          </w:p>
        </w:tc>
        <w:tc>
          <w:tcPr>
            <w:tcW w:w="3180" w:type="dxa"/>
            <w:vAlign w:val="center"/>
          </w:tcPr>
          <w:p w14:paraId="0BA45AB8">
            <w:pPr>
              <w:spacing w:line="240" w:lineRule="auto"/>
              <w:ind w:firstLine="0" w:firstLineChars="0"/>
              <w:jc w:val="center"/>
              <w:rPr>
                <w:rFonts w:cs="Times New Roman"/>
                <w:color w:val="auto"/>
              </w:rPr>
            </w:pPr>
            <w:r>
              <w:rPr>
                <w:rFonts w:cs="Times New Roman"/>
                <w:color w:val="auto"/>
                <w:sz w:val="21"/>
                <w:szCs w:val="21"/>
              </w:rPr>
              <w:t>环保设施运行费C</w:t>
            </w:r>
            <w:r>
              <w:rPr>
                <w:rFonts w:cs="Times New Roman"/>
                <w:color w:val="auto"/>
                <w:sz w:val="21"/>
                <w:szCs w:val="21"/>
                <w:vertAlign w:val="subscript"/>
              </w:rPr>
              <w:t>2</w:t>
            </w:r>
          </w:p>
        </w:tc>
        <w:tc>
          <w:tcPr>
            <w:tcW w:w="2402" w:type="dxa"/>
            <w:vAlign w:val="center"/>
          </w:tcPr>
          <w:p w14:paraId="3B390582">
            <w:pPr>
              <w:spacing w:line="240" w:lineRule="auto"/>
              <w:ind w:firstLine="0" w:firstLineChars="0"/>
              <w:jc w:val="center"/>
              <w:rPr>
                <w:rFonts w:cs="Times New Roman"/>
                <w:color w:val="auto"/>
              </w:rPr>
            </w:pPr>
            <w:r>
              <w:rPr>
                <w:rFonts w:cs="Times New Roman"/>
                <w:color w:val="auto"/>
                <w:sz w:val="21"/>
                <w:szCs w:val="21"/>
              </w:rPr>
              <w:t>C</w:t>
            </w:r>
            <w:r>
              <w:rPr>
                <w:rFonts w:cs="Times New Roman"/>
                <w:color w:val="auto"/>
                <w:sz w:val="21"/>
                <w:szCs w:val="21"/>
                <w:vertAlign w:val="subscript"/>
              </w:rPr>
              <w:t>2</w:t>
            </w:r>
            <w:r>
              <w:rPr>
                <w:rFonts w:cs="Times New Roman"/>
                <w:color w:val="auto"/>
                <w:sz w:val="21"/>
                <w:szCs w:val="21"/>
              </w:rPr>
              <w:t>=C</w:t>
            </w:r>
            <w:r>
              <w:rPr>
                <w:rFonts w:cs="Times New Roman"/>
                <w:color w:val="auto"/>
                <w:sz w:val="21"/>
                <w:szCs w:val="21"/>
                <w:vertAlign w:val="subscript"/>
              </w:rPr>
              <w:t>0</w:t>
            </w:r>
            <w:r>
              <w:rPr>
                <w:rFonts w:cs="Times New Roman"/>
                <w:color w:val="auto"/>
                <w:sz w:val="21"/>
                <w:szCs w:val="21"/>
              </w:rPr>
              <w:t>×10%</w:t>
            </w:r>
          </w:p>
        </w:tc>
        <w:tc>
          <w:tcPr>
            <w:tcW w:w="2117" w:type="dxa"/>
          </w:tcPr>
          <w:p w14:paraId="15951CB4">
            <w:pPr>
              <w:spacing w:line="240" w:lineRule="auto"/>
              <w:ind w:firstLine="0" w:firstLineChars="0"/>
              <w:jc w:val="center"/>
              <w:rPr>
                <w:rFonts w:cs="Times New Roman"/>
                <w:color w:val="auto"/>
              </w:rPr>
            </w:pPr>
            <w:r>
              <w:rPr>
                <w:color w:val="auto"/>
              </w:rPr>
              <w:t>2232</w:t>
            </w:r>
          </w:p>
        </w:tc>
      </w:tr>
      <w:tr w14:paraId="3004BC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371" w:type="dxa"/>
            <w:vAlign w:val="center"/>
          </w:tcPr>
          <w:p w14:paraId="485748E3">
            <w:pPr>
              <w:spacing w:line="240" w:lineRule="auto"/>
              <w:ind w:firstLine="0" w:firstLineChars="0"/>
              <w:jc w:val="center"/>
              <w:rPr>
                <w:rFonts w:cs="Times New Roman"/>
                <w:color w:val="auto"/>
              </w:rPr>
            </w:pPr>
            <w:r>
              <w:rPr>
                <w:rFonts w:cs="Times New Roman"/>
                <w:color w:val="auto"/>
                <w:sz w:val="21"/>
                <w:szCs w:val="21"/>
              </w:rPr>
              <w:t>3</w:t>
            </w:r>
          </w:p>
        </w:tc>
        <w:tc>
          <w:tcPr>
            <w:tcW w:w="3180" w:type="dxa"/>
            <w:vAlign w:val="center"/>
          </w:tcPr>
          <w:p w14:paraId="57941896">
            <w:pPr>
              <w:spacing w:line="240" w:lineRule="auto"/>
              <w:ind w:firstLine="0" w:firstLineChars="0"/>
              <w:jc w:val="center"/>
              <w:rPr>
                <w:rFonts w:cs="Times New Roman"/>
                <w:color w:val="auto"/>
              </w:rPr>
            </w:pPr>
            <w:r>
              <w:rPr>
                <w:rFonts w:cs="Times New Roman"/>
                <w:color w:val="auto"/>
                <w:sz w:val="21"/>
                <w:szCs w:val="21"/>
              </w:rPr>
              <w:t>环保设施经营支出C</w:t>
            </w:r>
          </w:p>
        </w:tc>
        <w:tc>
          <w:tcPr>
            <w:tcW w:w="2402" w:type="dxa"/>
            <w:vAlign w:val="center"/>
          </w:tcPr>
          <w:p w14:paraId="67801073">
            <w:pPr>
              <w:spacing w:line="240" w:lineRule="auto"/>
              <w:ind w:firstLine="0" w:firstLineChars="0"/>
              <w:jc w:val="center"/>
              <w:rPr>
                <w:rFonts w:cs="Times New Roman"/>
                <w:color w:val="auto"/>
              </w:rPr>
            </w:pPr>
            <w:r>
              <w:rPr>
                <w:rFonts w:cs="Times New Roman"/>
                <w:color w:val="auto"/>
                <w:sz w:val="21"/>
                <w:szCs w:val="21"/>
              </w:rPr>
              <w:t>C=C</w:t>
            </w:r>
            <w:r>
              <w:rPr>
                <w:rFonts w:cs="Times New Roman"/>
                <w:color w:val="auto"/>
                <w:sz w:val="21"/>
                <w:szCs w:val="21"/>
                <w:vertAlign w:val="subscript"/>
              </w:rPr>
              <w:t>1</w:t>
            </w:r>
            <w:r>
              <w:rPr>
                <w:rFonts w:cs="Times New Roman"/>
                <w:color w:val="auto"/>
                <w:sz w:val="21"/>
                <w:szCs w:val="21"/>
              </w:rPr>
              <w:t>+C</w:t>
            </w:r>
            <w:r>
              <w:rPr>
                <w:rFonts w:cs="Times New Roman"/>
                <w:color w:val="auto"/>
                <w:sz w:val="21"/>
                <w:szCs w:val="21"/>
                <w:vertAlign w:val="subscript"/>
              </w:rPr>
              <w:t>2</w:t>
            </w:r>
            <w:r>
              <w:rPr>
                <w:rFonts w:cs="Times New Roman"/>
                <w:color w:val="auto"/>
                <w:sz w:val="21"/>
                <w:szCs w:val="21"/>
              </w:rPr>
              <w:t>+C</w:t>
            </w:r>
            <w:r>
              <w:rPr>
                <w:rFonts w:cs="Times New Roman"/>
                <w:color w:val="auto"/>
                <w:sz w:val="21"/>
                <w:szCs w:val="21"/>
                <w:vertAlign w:val="subscript"/>
              </w:rPr>
              <w:t>3</w:t>
            </w:r>
          </w:p>
        </w:tc>
        <w:tc>
          <w:tcPr>
            <w:tcW w:w="2117" w:type="dxa"/>
          </w:tcPr>
          <w:p w14:paraId="37040370">
            <w:pPr>
              <w:spacing w:line="240" w:lineRule="auto"/>
              <w:ind w:firstLine="0" w:firstLineChars="0"/>
              <w:jc w:val="center"/>
              <w:rPr>
                <w:rFonts w:cs="Times New Roman"/>
                <w:color w:val="auto"/>
              </w:rPr>
            </w:pPr>
            <w:r>
              <w:rPr>
                <w:color w:val="auto"/>
              </w:rPr>
              <w:t>3645.6</w:t>
            </w:r>
          </w:p>
        </w:tc>
      </w:tr>
    </w:tbl>
    <w:p w14:paraId="40C41C6A">
      <w:pPr>
        <w:pStyle w:val="4"/>
        <w:rPr>
          <w:rFonts w:cs="Times New Roman"/>
          <w:color w:val="auto"/>
          <w:lang w:val="zh-CN"/>
        </w:rPr>
      </w:pPr>
      <w:bookmarkStart w:id="607" w:name="_Toc225216877"/>
      <w:r>
        <w:rPr>
          <w:rFonts w:cs="Times New Roman"/>
          <w:color w:val="auto"/>
          <w:lang w:val="zh-CN"/>
        </w:rPr>
        <w:t>环境保护经济效益</w:t>
      </w:r>
      <w:bookmarkEnd w:id="607"/>
    </w:p>
    <w:p w14:paraId="3E82D863">
      <w:pPr>
        <w:ind w:firstLine="480"/>
        <w:rPr>
          <w:rFonts w:cs="Times New Roman"/>
          <w:color w:val="auto"/>
        </w:rPr>
      </w:pPr>
      <w:r>
        <w:rPr>
          <w:rFonts w:cs="Times New Roman"/>
          <w:color w:val="auto"/>
        </w:rPr>
        <w:t>环保工程的运行回收了有用的资源，减少了污染物排放量，也减少了环境保护税的缴纳，同时保证了污染物达标排放，本项目的环境影响经济效益可用环保工程运行而挽回的经济损失来表示。</w:t>
      </w:r>
    </w:p>
    <w:p w14:paraId="3CB42B8D">
      <w:pPr>
        <w:ind w:firstLine="480"/>
        <w:rPr>
          <w:rFonts w:cs="Times New Roman"/>
          <w:color w:val="auto"/>
        </w:rPr>
      </w:pPr>
      <w:r>
        <w:rPr>
          <w:rFonts w:cs="Times New Roman"/>
          <w:color w:val="auto"/>
          <w:lang w:val="zh-CN"/>
        </w:rPr>
        <w:t>根据工程分析，</w:t>
      </w:r>
      <w:r>
        <w:rPr>
          <w:rFonts w:hint="eastAsia" w:cs="Times New Roman"/>
          <w:color w:val="auto"/>
        </w:rPr>
        <w:t>项目设置中水回用系统回用水量为3677.77m</w:t>
      </w:r>
      <w:r>
        <w:rPr>
          <w:rFonts w:hint="eastAsia" w:cs="Times New Roman"/>
          <w:color w:val="auto"/>
          <w:vertAlign w:val="superscript"/>
        </w:rPr>
        <w:t>3</w:t>
      </w:r>
      <w:r>
        <w:rPr>
          <w:rFonts w:hint="eastAsia" w:cs="Times New Roman"/>
          <w:color w:val="auto"/>
        </w:rPr>
        <w:t>/d</w:t>
      </w:r>
      <w:r>
        <w:rPr>
          <w:rFonts w:cs="Times New Roman"/>
          <w:color w:val="auto"/>
        </w:rPr>
        <w:t>。用水成本按1.0元/m</w:t>
      </w:r>
      <w:r>
        <w:rPr>
          <w:rFonts w:cs="Times New Roman"/>
          <w:color w:val="auto"/>
          <w:vertAlign w:val="superscript"/>
        </w:rPr>
        <w:t>3</w:t>
      </w:r>
      <w:r>
        <w:rPr>
          <w:rFonts w:cs="Times New Roman"/>
          <w:color w:val="auto"/>
        </w:rPr>
        <w:t>计算，则每年可节约用水</w:t>
      </w:r>
      <w:r>
        <w:rPr>
          <w:rFonts w:hint="eastAsia" w:cs="Times New Roman"/>
          <w:color w:val="auto"/>
        </w:rPr>
        <w:t>134.2</w:t>
      </w:r>
      <w:r>
        <w:rPr>
          <w:rFonts w:cs="Times New Roman"/>
          <w:color w:val="auto"/>
        </w:rPr>
        <w:t>万元。</w:t>
      </w:r>
    </w:p>
    <w:p w14:paraId="66F7950A">
      <w:pPr>
        <w:pStyle w:val="4"/>
        <w:rPr>
          <w:rFonts w:cs="Times New Roman"/>
          <w:color w:val="auto"/>
          <w:lang w:val="zh-CN"/>
        </w:rPr>
      </w:pPr>
      <w:bookmarkStart w:id="608" w:name="_Toc225216878"/>
      <w:r>
        <w:rPr>
          <w:rFonts w:cs="Times New Roman"/>
          <w:color w:val="auto"/>
          <w:lang w:val="zh-CN"/>
        </w:rPr>
        <w:t>环保治理费用经济效益</w:t>
      </w:r>
      <w:bookmarkEnd w:id="608"/>
    </w:p>
    <w:p w14:paraId="431D9226">
      <w:pPr>
        <w:ind w:firstLine="480"/>
        <w:rPr>
          <w:rFonts w:cs="Times New Roman"/>
          <w:color w:val="auto"/>
        </w:rPr>
      </w:pPr>
      <w:r>
        <w:rPr>
          <w:rFonts w:cs="Times New Roman"/>
          <w:color w:val="auto"/>
        </w:rPr>
        <w:t>（1）环境经济损益系数</w:t>
      </w:r>
    </w:p>
    <w:p w14:paraId="607C9CC3">
      <w:pPr>
        <w:ind w:firstLine="480"/>
        <w:rPr>
          <w:rFonts w:cs="Times New Roman"/>
          <w:color w:val="auto"/>
        </w:rPr>
      </w:pPr>
      <w:r>
        <w:rPr>
          <w:rFonts w:cs="Times New Roman"/>
          <w:color w:val="auto"/>
        </w:rPr>
        <w:t>环境经济损益一般用环境经济损益系数表示</w:t>
      </w:r>
    </w:p>
    <w:p w14:paraId="2796C054">
      <w:pPr>
        <w:ind w:firstLine="0" w:firstLineChars="0"/>
        <w:jc w:val="center"/>
        <w:rPr>
          <w:rFonts w:cs="Times New Roman"/>
          <w:color w:val="auto"/>
        </w:rPr>
      </w:pPr>
      <w:r>
        <w:rPr>
          <w:rFonts w:cs="Times New Roman"/>
          <w:color w:val="auto"/>
        </w:rPr>
        <w:t>R＝R</w:t>
      </w:r>
      <w:r>
        <w:rPr>
          <w:rFonts w:cs="Times New Roman"/>
          <w:color w:val="auto"/>
          <w:vertAlign w:val="subscript"/>
        </w:rPr>
        <w:t>1</w:t>
      </w:r>
      <w:r>
        <w:rPr>
          <w:rFonts w:cs="Times New Roman"/>
          <w:color w:val="auto"/>
        </w:rPr>
        <w:t>/R</w:t>
      </w:r>
      <w:r>
        <w:rPr>
          <w:rFonts w:cs="Times New Roman"/>
          <w:color w:val="auto"/>
          <w:vertAlign w:val="subscript"/>
        </w:rPr>
        <w:t>2</w:t>
      </w:r>
    </w:p>
    <w:p w14:paraId="5D5D2809">
      <w:pPr>
        <w:ind w:firstLine="480"/>
        <w:rPr>
          <w:rFonts w:cs="Times New Roman"/>
          <w:color w:val="auto"/>
        </w:rPr>
      </w:pPr>
      <w:r>
        <w:rPr>
          <w:rFonts w:cs="Times New Roman"/>
          <w:color w:val="auto"/>
        </w:rPr>
        <w:t>式中：</w:t>
      </w:r>
      <w:r>
        <w:rPr>
          <w:rFonts w:cs="Times New Roman"/>
          <w:color w:val="auto"/>
        </w:rPr>
        <w:tab/>
      </w:r>
    </w:p>
    <w:p w14:paraId="59D5D316">
      <w:pPr>
        <w:ind w:firstLine="480"/>
        <w:rPr>
          <w:rFonts w:cs="Times New Roman"/>
          <w:color w:val="auto"/>
        </w:rPr>
      </w:pPr>
      <w:r>
        <w:rPr>
          <w:rFonts w:cs="Times New Roman"/>
          <w:color w:val="auto"/>
        </w:rPr>
        <w:t>R—损益系数；</w:t>
      </w:r>
    </w:p>
    <w:p w14:paraId="7B0FC975">
      <w:pPr>
        <w:ind w:firstLine="420" w:firstLineChars="0"/>
        <w:rPr>
          <w:rFonts w:cs="Times New Roman"/>
          <w:color w:val="auto"/>
        </w:rPr>
      </w:pPr>
      <w:r>
        <w:rPr>
          <w:rFonts w:cs="Times New Roman"/>
          <w:color w:val="auto"/>
        </w:rPr>
        <w:t>R</w:t>
      </w:r>
      <w:r>
        <w:rPr>
          <w:rFonts w:cs="Times New Roman"/>
          <w:color w:val="auto"/>
          <w:vertAlign w:val="subscript"/>
        </w:rPr>
        <w:t>l</w:t>
      </w:r>
      <w:r>
        <w:rPr>
          <w:rFonts w:cs="Times New Roman"/>
          <w:color w:val="auto"/>
        </w:rPr>
        <w:t>—经济收益，以项目经营期内（15年）的净利润计，共计</w:t>
      </w:r>
      <w:r>
        <w:rPr>
          <w:rFonts w:hint="eastAsia" w:cs="Times New Roman"/>
          <w:color w:val="auto"/>
        </w:rPr>
        <w:t>6110*15=91650</w:t>
      </w:r>
      <w:r>
        <w:rPr>
          <w:rFonts w:cs="Times New Roman"/>
          <w:color w:val="auto"/>
        </w:rPr>
        <w:t>年净利润万元；</w:t>
      </w:r>
    </w:p>
    <w:p w14:paraId="27B07EDF">
      <w:pPr>
        <w:ind w:firstLine="420" w:firstLineChars="0"/>
        <w:rPr>
          <w:rFonts w:cs="Times New Roman"/>
          <w:color w:val="auto"/>
        </w:rPr>
      </w:pPr>
      <w:r>
        <w:rPr>
          <w:rFonts w:cs="Times New Roman"/>
          <w:color w:val="auto"/>
        </w:rPr>
        <w:t>R</w:t>
      </w:r>
      <w:r>
        <w:rPr>
          <w:rFonts w:cs="Times New Roman"/>
          <w:color w:val="auto"/>
          <w:vertAlign w:val="subscript"/>
        </w:rPr>
        <w:t>2</w:t>
      </w:r>
      <w:r>
        <w:rPr>
          <w:rFonts w:cs="Times New Roman"/>
          <w:color w:val="auto"/>
        </w:rPr>
        <w:t>—环保投资，以项目一次性环保投资和15年运营期污染治理费用之合计，共计22320+3645.6</w:t>
      </w:r>
      <w:r>
        <w:rPr>
          <w:rFonts w:hint="eastAsia" w:cs="Times New Roman"/>
          <w:color w:val="auto"/>
        </w:rPr>
        <w:t>×</w:t>
      </w:r>
      <w:r>
        <w:rPr>
          <w:rFonts w:cs="Times New Roman"/>
          <w:color w:val="auto"/>
        </w:rPr>
        <w:t>15=77004万元。</w:t>
      </w:r>
    </w:p>
    <w:p w14:paraId="50AA6A81">
      <w:pPr>
        <w:ind w:firstLine="480"/>
        <w:rPr>
          <w:rFonts w:cs="Times New Roman"/>
          <w:color w:val="auto"/>
        </w:rPr>
      </w:pPr>
      <w:r>
        <w:rPr>
          <w:rFonts w:hint="eastAsia" w:cs="Times New Roman"/>
          <w:color w:val="auto"/>
        </w:rPr>
        <w:t>计算结果：</w:t>
      </w:r>
      <w:r>
        <w:rPr>
          <w:rFonts w:cs="Times New Roman"/>
          <w:color w:val="auto"/>
        </w:rPr>
        <w:t>R=91650/77004=1.19</w:t>
      </w:r>
      <w:r>
        <w:rPr>
          <w:rFonts w:hint="eastAsia" w:cs="Times New Roman"/>
          <w:color w:val="auto"/>
        </w:rPr>
        <w:t>，说明本项目经济收益超过环保投资及运行费用。</w:t>
      </w:r>
      <w:r>
        <w:rPr>
          <w:rFonts w:cs="Times New Roman"/>
          <w:color w:val="auto"/>
        </w:rPr>
        <w:t>（2）环保费用的经济效益分析：</w:t>
      </w:r>
    </w:p>
    <w:p w14:paraId="34C4C9E1">
      <w:pPr>
        <w:ind w:firstLine="480"/>
        <w:rPr>
          <w:rFonts w:cs="Times New Roman"/>
          <w:color w:val="auto"/>
        </w:rPr>
      </w:pPr>
      <w:r>
        <w:rPr>
          <w:rFonts w:cs="Times New Roman"/>
          <w:color w:val="auto"/>
        </w:rPr>
        <w:t>年环保费用的经济效益，可用因有效的环保治理措施而挽回的经济损失与保证这一效益而每年投入的环保费用之比来确定，年环保费用的经济效益按下式计算：</w:t>
      </w:r>
    </w:p>
    <w:p w14:paraId="7C818F9B">
      <w:pPr>
        <w:ind w:firstLine="0" w:firstLineChars="0"/>
        <w:jc w:val="center"/>
        <w:rPr>
          <w:rFonts w:cs="Times New Roman"/>
          <w:color w:val="auto"/>
        </w:rPr>
      </w:pPr>
      <w:r>
        <w:rPr>
          <w:rFonts w:cs="Times New Roman"/>
          <w:color w:val="auto"/>
        </w:rPr>
        <w:t>Z=S</w:t>
      </w:r>
      <w:r>
        <w:rPr>
          <w:rFonts w:cs="Times New Roman"/>
          <w:color w:val="auto"/>
          <w:vertAlign w:val="subscript"/>
        </w:rPr>
        <w:t>i</w:t>
      </w:r>
      <w:r>
        <w:rPr>
          <w:rFonts w:cs="Times New Roman"/>
          <w:color w:val="auto"/>
        </w:rPr>
        <w:t>/H</w:t>
      </w:r>
      <w:r>
        <w:rPr>
          <w:rFonts w:cs="Times New Roman"/>
          <w:color w:val="auto"/>
          <w:vertAlign w:val="subscript"/>
        </w:rPr>
        <w:t>f</w:t>
      </w:r>
    </w:p>
    <w:p w14:paraId="116F2978">
      <w:pPr>
        <w:ind w:firstLine="480"/>
        <w:rPr>
          <w:rFonts w:cs="Times New Roman"/>
          <w:color w:val="auto"/>
        </w:rPr>
      </w:pPr>
      <w:r>
        <w:rPr>
          <w:rFonts w:cs="Times New Roman"/>
          <w:color w:val="auto"/>
        </w:rPr>
        <w:t>式中：</w:t>
      </w:r>
      <w:r>
        <w:rPr>
          <w:rFonts w:cs="Times New Roman"/>
          <w:color w:val="auto"/>
        </w:rPr>
        <w:tab/>
      </w:r>
      <w:r>
        <w:rPr>
          <w:rFonts w:cs="Times New Roman"/>
          <w:color w:val="auto"/>
        </w:rPr>
        <w:t>Z—年环保费用的经济效益；</w:t>
      </w:r>
    </w:p>
    <w:p w14:paraId="70969351">
      <w:pPr>
        <w:ind w:left="780" w:firstLine="480"/>
        <w:rPr>
          <w:rFonts w:cs="Times New Roman"/>
          <w:color w:val="auto"/>
        </w:rPr>
      </w:pPr>
      <w:r>
        <w:rPr>
          <w:rFonts w:cs="Times New Roman"/>
          <w:color w:val="auto"/>
        </w:rPr>
        <w:t>S</w:t>
      </w:r>
      <w:r>
        <w:rPr>
          <w:rFonts w:cs="Times New Roman"/>
          <w:color w:val="auto"/>
          <w:vertAlign w:val="subscript"/>
        </w:rPr>
        <w:t>i</w:t>
      </w:r>
      <w:r>
        <w:rPr>
          <w:rFonts w:cs="Times New Roman"/>
          <w:color w:val="auto"/>
        </w:rPr>
        <w:t>—防治污染而挽回的经济损失；</w:t>
      </w:r>
    </w:p>
    <w:p w14:paraId="5B9E8981">
      <w:pPr>
        <w:ind w:left="780" w:firstLine="480"/>
        <w:rPr>
          <w:rFonts w:cs="Times New Roman"/>
          <w:color w:val="auto"/>
        </w:rPr>
      </w:pPr>
      <w:r>
        <w:rPr>
          <w:rFonts w:cs="Times New Roman"/>
          <w:color w:val="auto"/>
        </w:rPr>
        <w:t>H</w:t>
      </w:r>
      <w:r>
        <w:rPr>
          <w:rFonts w:cs="Times New Roman"/>
          <w:color w:val="auto"/>
          <w:vertAlign w:val="subscript"/>
        </w:rPr>
        <w:t>f</w:t>
      </w:r>
      <w:r>
        <w:rPr>
          <w:rFonts w:cs="Times New Roman"/>
          <w:color w:val="auto"/>
        </w:rPr>
        <w:t>—每年投入的环保费用。</w:t>
      </w:r>
    </w:p>
    <w:p w14:paraId="6C0DF619">
      <w:pPr>
        <w:ind w:firstLine="480"/>
        <w:rPr>
          <w:rFonts w:cs="Times New Roman"/>
          <w:color w:val="auto"/>
        </w:rPr>
      </w:pPr>
      <w:r>
        <w:rPr>
          <w:rFonts w:cs="Times New Roman"/>
          <w:color w:val="auto"/>
        </w:rPr>
        <w:t>根据上述环境经济效益分析，</w:t>
      </w:r>
      <w:r>
        <w:rPr>
          <w:rFonts w:hint="eastAsia" w:cs="Times New Roman"/>
          <w:color w:val="auto"/>
        </w:rPr>
        <w:t>全年的Si为134.2万元，Hf为</w:t>
      </w:r>
      <w:r>
        <w:rPr>
          <w:rFonts w:cs="Times New Roman"/>
          <w:color w:val="auto"/>
        </w:rPr>
        <w:t>3645.6</w:t>
      </w:r>
      <w:r>
        <w:rPr>
          <w:rFonts w:hint="eastAsia" w:cs="Times New Roman"/>
          <w:color w:val="auto"/>
        </w:rPr>
        <w:t>万元，则本项目的环保费用经济效益为0.037，即投入每元钱的环保费用可用货币统计出挽回的经济损失为0.037元。同时考虑无法用货币表征的社会效益和其他环境效益，环保投资与环保费用的总体效益可以接受的</w:t>
      </w:r>
      <w:r>
        <w:rPr>
          <w:rFonts w:cs="Times New Roman"/>
          <w:color w:val="auto"/>
        </w:rPr>
        <w:t>。</w:t>
      </w:r>
    </w:p>
    <w:p w14:paraId="6EA70DEC">
      <w:pPr>
        <w:pStyle w:val="3"/>
        <w:rPr>
          <w:rFonts w:cs="Times New Roman"/>
          <w:color w:val="auto"/>
          <w:lang w:val="zh-CN"/>
        </w:rPr>
      </w:pPr>
      <w:bookmarkStart w:id="609" w:name="_Toc2222"/>
      <w:bookmarkStart w:id="610" w:name="_Toc225216879"/>
      <w:bookmarkStart w:id="611" w:name="_Toc221355752"/>
      <w:bookmarkStart w:id="612" w:name="_Toc19797"/>
      <w:r>
        <w:rPr>
          <w:rFonts w:cs="Times New Roman"/>
          <w:color w:val="auto"/>
          <w:lang w:val="zh-CN"/>
        </w:rPr>
        <w:t>小结</w:t>
      </w:r>
      <w:bookmarkEnd w:id="609"/>
      <w:bookmarkEnd w:id="610"/>
      <w:bookmarkEnd w:id="611"/>
      <w:bookmarkEnd w:id="612"/>
    </w:p>
    <w:p w14:paraId="19CE05DB">
      <w:pPr>
        <w:ind w:firstLine="480"/>
        <w:rPr>
          <w:color w:val="auto"/>
        </w:rPr>
      </w:pPr>
      <w:r>
        <w:rPr>
          <w:rFonts w:hint="eastAsia" w:cs="Times New Roman"/>
          <w:color w:val="auto"/>
        </w:rPr>
        <w:t>综合上述，本项目环境经济损益系数为</w:t>
      </w:r>
      <w:r>
        <w:rPr>
          <w:rFonts w:cs="Times New Roman"/>
          <w:color w:val="auto"/>
        </w:rPr>
        <w:t>1.19</w:t>
      </w:r>
      <w:r>
        <w:rPr>
          <w:rFonts w:hint="eastAsia" w:cs="Times New Roman"/>
          <w:color w:val="auto"/>
        </w:rPr>
        <w:t>，年环保费用的经济效益为0.037。</w:t>
      </w:r>
      <w:r>
        <w:rPr>
          <w:rFonts w:cs="Times New Roman"/>
          <w:color w:val="auto"/>
        </w:rPr>
        <w:t>说明本项目环境保护投资费用经济效益较好，综合考虑其他无法用货币表征的环境效益和社会效益，本项目环保投资经济合理，所采取的环保措施在经济上是合理可行的，各项环保措施不仅较大程度的减缓项目对环境产生的不利影响，还可以产生经济效益，其环境效益较显著。从环境经济观点的角度看，项目合理可行。</w:t>
      </w:r>
    </w:p>
    <w:p w14:paraId="5F6C9A1A">
      <w:pPr>
        <w:ind w:firstLine="480"/>
        <w:rPr>
          <w:color w:val="auto"/>
          <w:lang w:val="zh-CN"/>
        </w:rPr>
      </w:pPr>
    </w:p>
    <w:p w14:paraId="37B2DFE2">
      <w:pPr>
        <w:ind w:firstLine="480"/>
        <w:rPr>
          <w:color w:val="auto"/>
          <w:lang w:val="zh-CN"/>
        </w:rPr>
        <w:sectPr>
          <w:headerReference r:id="rId41" w:type="default"/>
          <w:pgSz w:w="11906" w:h="16838"/>
          <w:pgMar w:top="1418" w:right="1418" w:bottom="1418" w:left="1418" w:header="851" w:footer="992" w:gutter="0"/>
          <w:cols w:space="425" w:num="1"/>
          <w:docGrid w:type="lines" w:linePitch="312" w:charSpace="0"/>
        </w:sectPr>
      </w:pPr>
    </w:p>
    <w:p w14:paraId="14FB594A">
      <w:pPr>
        <w:pStyle w:val="2"/>
        <w:rPr>
          <w:color w:val="auto"/>
          <w:lang w:val="zh-CN"/>
        </w:rPr>
      </w:pPr>
      <w:bookmarkStart w:id="613" w:name="_Toc225216880"/>
      <w:bookmarkStart w:id="614" w:name="_Toc221355753"/>
      <w:r>
        <w:rPr>
          <w:rFonts w:hint="eastAsia"/>
          <w:color w:val="auto"/>
        </w:rPr>
        <w:t>环境管理与监测计划</w:t>
      </w:r>
      <w:bookmarkEnd w:id="613"/>
      <w:bookmarkEnd w:id="614"/>
    </w:p>
    <w:p w14:paraId="0CF5AE6F">
      <w:pPr>
        <w:ind w:firstLine="480"/>
        <w:rPr>
          <w:color w:val="auto"/>
        </w:rPr>
      </w:pPr>
      <w:r>
        <w:rPr>
          <w:rFonts w:hint="eastAsia"/>
          <w:color w:val="auto"/>
        </w:rPr>
        <w:t>环境管理和环境监测是污染防治的重要内容之一，是实现污染总量控制和治理措施达到预期治理的有效保证。项目的建设及投产，除了依据环评中所评述和建议的环境保护措施实施的同时，还需要加强环境管理和环境监测工作，以便及时发现建设及运营过程中存在的问题，尽快采取处理措施，减少或避免污染和损失。</w:t>
      </w:r>
    </w:p>
    <w:p w14:paraId="48318C53">
      <w:pPr>
        <w:ind w:firstLine="480"/>
        <w:rPr>
          <w:color w:val="auto"/>
        </w:rPr>
      </w:pPr>
      <w:r>
        <w:rPr>
          <w:rFonts w:hint="eastAsia"/>
          <w:color w:val="auto"/>
        </w:rPr>
        <w:t>以下针对本项目在施工期和运营期的环境污染特征，提出了施工期和运营期的环境管理和环境监测计划等内容。</w:t>
      </w:r>
    </w:p>
    <w:p w14:paraId="2FE1283E">
      <w:pPr>
        <w:pStyle w:val="3"/>
        <w:rPr>
          <w:color w:val="auto"/>
        </w:rPr>
      </w:pPr>
      <w:bookmarkStart w:id="615" w:name="_Toc198390067"/>
      <w:bookmarkStart w:id="616" w:name="_Toc199190679"/>
      <w:bookmarkStart w:id="617" w:name="_Toc198391431"/>
      <w:bookmarkStart w:id="618" w:name="_Toc221355754"/>
      <w:bookmarkStart w:id="619" w:name="_Toc225216881"/>
      <w:bookmarkStart w:id="620" w:name="_Toc198390778"/>
      <w:bookmarkStart w:id="621" w:name="_Toc199169187"/>
      <w:r>
        <w:rPr>
          <w:rFonts w:hint="eastAsia"/>
          <w:color w:val="auto"/>
        </w:rPr>
        <w:t>环境管理</w:t>
      </w:r>
      <w:bookmarkEnd w:id="615"/>
      <w:bookmarkEnd w:id="616"/>
      <w:bookmarkEnd w:id="617"/>
      <w:bookmarkEnd w:id="618"/>
      <w:bookmarkEnd w:id="619"/>
      <w:bookmarkEnd w:id="620"/>
      <w:bookmarkEnd w:id="621"/>
    </w:p>
    <w:p w14:paraId="6BD18F10">
      <w:pPr>
        <w:pStyle w:val="4"/>
        <w:rPr>
          <w:color w:val="auto"/>
        </w:rPr>
      </w:pPr>
      <w:bookmarkStart w:id="622" w:name="_Toc198390779"/>
      <w:bookmarkStart w:id="623" w:name="_Toc225216882"/>
      <w:bookmarkStart w:id="624" w:name="_Toc199169188"/>
      <w:bookmarkStart w:id="625" w:name="_Toc198391432"/>
      <w:bookmarkStart w:id="626" w:name="_Toc199190680"/>
      <w:r>
        <w:rPr>
          <w:rFonts w:hint="eastAsia"/>
          <w:color w:val="auto"/>
        </w:rPr>
        <w:t>环境管理要求</w:t>
      </w:r>
      <w:bookmarkEnd w:id="622"/>
      <w:bookmarkEnd w:id="623"/>
      <w:bookmarkEnd w:id="624"/>
      <w:bookmarkEnd w:id="625"/>
      <w:bookmarkEnd w:id="626"/>
    </w:p>
    <w:p w14:paraId="616A5006">
      <w:pPr>
        <w:ind w:firstLine="480"/>
        <w:rPr>
          <w:color w:val="auto"/>
        </w:rPr>
      </w:pPr>
      <w:r>
        <w:rPr>
          <w:rFonts w:hint="eastAsia"/>
          <w:color w:val="auto"/>
        </w:rPr>
        <w:t>建设单位是落实建设项目环境保护责任的主体。建设单位在建设项目开工前和发生重大变动前，必须依法取得环境影响评价审批文件。建设项目实施过程中应严格落实经批准的环境影响评价文件及其批复文件提出的各项环境保护要求，确保环境保护设施正常运行。建设项目应当依法申领排污许可证，严格按照排污许可证规定的污染物排放种类、浓度、总量等排污。建设单位应当主动向社会公开建设项目环境影响评价文件、污染防治设施建设运行情况、污染物排放情况、突发环境事件应急预案及应对情况等环境信息。</w:t>
      </w:r>
    </w:p>
    <w:p w14:paraId="468CCFB8">
      <w:pPr>
        <w:pStyle w:val="5"/>
        <w:rPr>
          <w:color w:val="auto"/>
        </w:rPr>
      </w:pPr>
      <w:r>
        <w:rPr>
          <w:rFonts w:hint="eastAsia"/>
          <w:color w:val="auto"/>
        </w:rPr>
        <w:t>废气污染防治措施</w:t>
      </w:r>
    </w:p>
    <w:p w14:paraId="2309A202">
      <w:pPr>
        <w:ind w:firstLine="480"/>
        <w:rPr>
          <w:color w:val="auto"/>
        </w:rPr>
      </w:pPr>
      <w:r>
        <w:rPr>
          <w:rFonts w:hint="eastAsia"/>
          <w:color w:val="auto"/>
        </w:rPr>
        <w:t>（1）通用要求</w:t>
      </w:r>
    </w:p>
    <w:p w14:paraId="4398EA3D">
      <w:pPr>
        <w:ind w:firstLine="480"/>
        <w:rPr>
          <w:color w:val="auto"/>
        </w:rPr>
      </w:pPr>
      <w:r>
        <w:rPr>
          <w:rFonts w:hint="eastAsia"/>
          <w:color w:val="auto"/>
        </w:rPr>
        <w:t>1）废气治理设施在高效脱除单一污染物的同时，应加强协同控制，提高多污染物联合脱除、协同减排的功能。</w:t>
      </w:r>
    </w:p>
    <w:p w14:paraId="5C5EF2E3">
      <w:pPr>
        <w:ind w:firstLine="480"/>
        <w:rPr>
          <w:color w:val="auto"/>
        </w:rPr>
      </w:pPr>
      <w:r>
        <w:rPr>
          <w:rFonts w:hint="eastAsia"/>
          <w:color w:val="auto"/>
        </w:rPr>
        <w:t>2）应加强管理，强化臭气排放的收集措施，提高处理效率。</w:t>
      </w:r>
    </w:p>
    <w:p w14:paraId="4198C84E">
      <w:pPr>
        <w:ind w:firstLine="480"/>
        <w:rPr>
          <w:color w:val="auto"/>
        </w:rPr>
      </w:pPr>
      <w:r>
        <w:rPr>
          <w:rFonts w:hint="eastAsia"/>
          <w:color w:val="auto"/>
        </w:rPr>
        <w:t>3）禁止在非指定区域内堆放原辅材料及燃料。</w:t>
      </w:r>
    </w:p>
    <w:p w14:paraId="1D492A03">
      <w:pPr>
        <w:ind w:firstLine="480"/>
        <w:rPr>
          <w:color w:val="auto"/>
        </w:rPr>
      </w:pPr>
      <w:r>
        <w:rPr>
          <w:rFonts w:hint="eastAsia"/>
          <w:color w:val="auto"/>
        </w:rPr>
        <w:t>4）严格执行启停和维修管理规定，启停机超过规定时长或锅炉机组大修后启动应在规定时间内向地方环境保护主管部门报告。</w:t>
      </w:r>
    </w:p>
    <w:p w14:paraId="1ADD681E">
      <w:pPr>
        <w:ind w:firstLine="480"/>
        <w:rPr>
          <w:color w:val="auto"/>
        </w:rPr>
      </w:pPr>
      <w:r>
        <w:rPr>
          <w:rFonts w:hint="eastAsia"/>
          <w:color w:val="auto"/>
        </w:rPr>
        <w:t>5）严格执行相关管理规定和规范，消除安全隐患，避免发生环境污染事故。</w:t>
      </w:r>
    </w:p>
    <w:p w14:paraId="3AF01520">
      <w:pPr>
        <w:ind w:firstLine="480"/>
        <w:rPr>
          <w:color w:val="auto"/>
        </w:rPr>
      </w:pPr>
      <w:r>
        <w:rPr>
          <w:rFonts w:hint="eastAsia"/>
          <w:color w:val="auto"/>
        </w:rPr>
        <w:t>6）按照地方环保主管部门的重污染天气应急管理规定，加强厂内部环保管理，配合落实重污染天气分级预警下的污染物排放控制要求。</w:t>
      </w:r>
    </w:p>
    <w:p w14:paraId="27673861">
      <w:pPr>
        <w:ind w:firstLine="480"/>
        <w:rPr>
          <w:color w:val="auto"/>
        </w:rPr>
      </w:pPr>
      <w:r>
        <w:rPr>
          <w:rFonts w:hint="eastAsia"/>
          <w:color w:val="auto"/>
        </w:rPr>
        <w:t>（2）有组织排放管理</w:t>
      </w:r>
    </w:p>
    <w:p w14:paraId="3DEAAD37">
      <w:pPr>
        <w:ind w:firstLine="480"/>
        <w:rPr>
          <w:color w:val="auto"/>
        </w:rPr>
      </w:pPr>
      <w:r>
        <w:rPr>
          <w:rFonts w:hint="eastAsia"/>
          <w:color w:val="auto"/>
        </w:rPr>
        <w:t>1）主要排放口通用要求</w:t>
      </w:r>
    </w:p>
    <w:p w14:paraId="6F03F7DC">
      <w:pPr>
        <w:ind w:firstLine="480"/>
        <w:rPr>
          <w:color w:val="auto"/>
        </w:rPr>
      </w:pPr>
      <w:r>
        <w:rPr>
          <w:rFonts w:hint="eastAsia"/>
          <w:color w:val="auto"/>
        </w:rPr>
        <w:t>本项目涉及的各排放口均设置有环保设施，须执行以下要求。</w:t>
      </w:r>
    </w:p>
    <w:p w14:paraId="0648ADCF">
      <w:pPr>
        <w:ind w:firstLine="480"/>
        <w:rPr>
          <w:color w:val="auto"/>
        </w:rPr>
      </w:pPr>
      <w:r>
        <w:rPr>
          <w:rFonts w:hint="eastAsia"/>
          <w:color w:val="auto"/>
        </w:rPr>
        <w:t>对每次启停的过程进行记录，包括启停时刻、启停时长、超出规定时长的影响因素、相应的控制措施等。</w:t>
      </w:r>
    </w:p>
    <w:p w14:paraId="2D408D7B">
      <w:pPr>
        <w:ind w:firstLine="480"/>
        <w:rPr>
          <w:color w:val="auto"/>
        </w:rPr>
      </w:pPr>
      <w:r>
        <w:rPr>
          <w:rFonts w:hint="eastAsia"/>
          <w:color w:val="auto"/>
        </w:rPr>
        <w:t>严格执行启停和维修管理规定，发生以下情形时应向地方环保主管部门报告：A.启停超过规定时长；B.遇到妨碍启停的小缺陷、受自然灾害（如台风、暴雨、地震）、战争等不可控因素需适当延长启停时间。</w:t>
      </w:r>
    </w:p>
    <w:p w14:paraId="208072C4">
      <w:pPr>
        <w:ind w:firstLine="480"/>
        <w:rPr>
          <w:color w:val="auto"/>
        </w:rPr>
      </w:pPr>
      <w:r>
        <w:rPr>
          <w:rFonts w:hint="eastAsia"/>
          <w:color w:val="auto"/>
        </w:rPr>
        <w:t>（3）无组织排放管理</w:t>
      </w:r>
    </w:p>
    <w:p w14:paraId="7ABF7CD3">
      <w:pPr>
        <w:ind w:firstLine="480"/>
        <w:rPr>
          <w:color w:val="auto"/>
        </w:rPr>
      </w:pPr>
      <w:r>
        <w:rPr>
          <w:rFonts w:hint="eastAsia"/>
          <w:color w:val="auto"/>
        </w:rPr>
        <w:t>1）备料堆场</w:t>
      </w:r>
    </w:p>
    <w:p w14:paraId="1F24B0A0">
      <w:pPr>
        <w:ind w:firstLine="480"/>
        <w:rPr>
          <w:color w:val="auto"/>
        </w:rPr>
      </w:pPr>
      <w:r>
        <w:rPr>
          <w:rFonts w:hint="eastAsia"/>
          <w:color w:val="auto"/>
        </w:rPr>
        <w:t>禁止在非指定区域（厂区平面布置图中非相应物品堆放区域）堆放木片等可能产生扬尘的物质。在干燥起风时对堆场洒水降尘，水炮喷雾抑尘，可减少扬尘的产生。并且应记录木片堆场的入、出场量。</w:t>
      </w:r>
    </w:p>
    <w:p w14:paraId="5D98BB45">
      <w:pPr>
        <w:ind w:firstLine="480"/>
        <w:rPr>
          <w:color w:val="auto"/>
        </w:rPr>
      </w:pPr>
      <w:r>
        <w:rPr>
          <w:rFonts w:hint="eastAsia"/>
          <w:color w:val="auto"/>
        </w:rPr>
        <w:t>2）造纸生产区</w:t>
      </w:r>
    </w:p>
    <w:p w14:paraId="47553B67">
      <w:pPr>
        <w:ind w:firstLine="480"/>
        <w:rPr>
          <w:color w:val="auto"/>
        </w:rPr>
      </w:pPr>
      <w:r>
        <w:rPr>
          <w:rFonts w:hint="eastAsia"/>
          <w:color w:val="auto"/>
        </w:rPr>
        <w:t>备料车间、制浆车间四周安装通风排气筒，加强生产车间的通风换气工作，加强室内通风，使大气污染物能得到较快扩散。</w:t>
      </w:r>
    </w:p>
    <w:p w14:paraId="2BD4C97E">
      <w:pPr>
        <w:pStyle w:val="5"/>
        <w:rPr>
          <w:color w:val="auto"/>
        </w:rPr>
      </w:pPr>
      <w:r>
        <w:rPr>
          <w:rFonts w:hint="eastAsia"/>
          <w:color w:val="auto"/>
        </w:rPr>
        <w:t>废水污染防治措施</w:t>
      </w:r>
    </w:p>
    <w:p w14:paraId="1D42AFE8">
      <w:pPr>
        <w:ind w:firstLine="480"/>
        <w:rPr>
          <w:color w:val="auto"/>
        </w:rPr>
      </w:pPr>
      <w:r>
        <w:rPr>
          <w:rFonts w:hint="eastAsia"/>
          <w:color w:val="auto"/>
        </w:rPr>
        <w:t>（1）通用要求</w:t>
      </w:r>
    </w:p>
    <w:p w14:paraId="2263158C">
      <w:pPr>
        <w:ind w:firstLine="480"/>
        <w:rPr>
          <w:color w:val="auto"/>
        </w:rPr>
      </w:pPr>
      <w:r>
        <w:rPr>
          <w:rFonts w:hint="eastAsia"/>
          <w:color w:val="auto"/>
        </w:rPr>
        <w:t>1）所有污水、雨水排放口应按照规范进行标识。排放口的布设应符合《地表水和污水监测技术规范》（HJ/T91-2019）、《水污染排放总量监测技术规范》（HJ/T92-2002）的有关规定，标志牌的设置符合《环境保护图形标志-排放口（源）》（GB15562.1-1995）要求。</w:t>
      </w:r>
    </w:p>
    <w:p w14:paraId="4E3E7386">
      <w:pPr>
        <w:ind w:firstLine="480"/>
        <w:rPr>
          <w:color w:val="auto"/>
        </w:rPr>
      </w:pPr>
      <w:r>
        <w:rPr>
          <w:rFonts w:hint="eastAsia"/>
          <w:color w:val="auto"/>
        </w:rPr>
        <w:t>2）所有雨水、污水井盖和管网进行清晰标识，并定期检查雨水排水沟及污水管道等，确保其排水顺畅。</w:t>
      </w:r>
    </w:p>
    <w:p w14:paraId="4CE2C973">
      <w:pPr>
        <w:ind w:firstLine="480"/>
        <w:rPr>
          <w:color w:val="auto"/>
        </w:rPr>
      </w:pPr>
      <w:r>
        <w:rPr>
          <w:rFonts w:hint="eastAsia"/>
          <w:color w:val="auto"/>
        </w:rPr>
        <w:t>3）应进一步提高清洁水平，提高水循环利用率，降低污染物排放量。</w:t>
      </w:r>
    </w:p>
    <w:p w14:paraId="33571E97">
      <w:pPr>
        <w:ind w:firstLine="480"/>
        <w:rPr>
          <w:color w:val="auto"/>
        </w:rPr>
      </w:pPr>
      <w:r>
        <w:rPr>
          <w:rFonts w:hint="eastAsia"/>
          <w:color w:val="auto"/>
        </w:rPr>
        <w:t>4）应该按规定定期监测各车间废水排放口的污染物浓度。</w:t>
      </w:r>
    </w:p>
    <w:p w14:paraId="303D4A38">
      <w:pPr>
        <w:ind w:firstLine="480"/>
        <w:rPr>
          <w:color w:val="auto"/>
        </w:rPr>
      </w:pPr>
      <w:r>
        <w:rPr>
          <w:rFonts w:hint="eastAsia"/>
          <w:color w:val="auto"/>
        </w:rPr>
        <w:t>5）所有雨水经过雨水管网排放，并对雨水排放口进行定期监测，记录结果，确保未受到其他废水污染。</w:t>
      </w:r>
    </w:p>
    <w:p w14:paraId="3A550522">
      <w:pPr>
        <w:ind w:firstLine="480"/>
        <w:rPr>
          <w:color w:val="auto"/>
        </w:rPr>
      </w:pPr>
      <w:r>
        <w:rPr>
          <w:rFonts w:hint="eastAsia"/>
          <w:color w:val="auto"/>
        </w:rPr>
        <w:t>6）初期雨水应送往污水处理站处理，不得通过雨水排放口外排。</w:t>
      </w:r>
    </w:p>
    <w:p w14:paraId="6AB2CB6E">
      <w:pPr>
        <w:ind w:firstLine="480"/>
        <w:rPr>
          <w:color w:val="auto"/>
        </w:rPr>
      </w:pPr>
      <w:r>
        <w:rPr>
          <w:rFonts w:hint="eastAsia"/>
          <w:color w:val="auto"/>
        </w:rPr>
        <w:t>7）循环水站的定期排污水通过收集处理达标排放。</w:t>
      </w:r>
    </w:p>
    <w:p w14:paraId="6833323F">
      <w:pPr>
        <w:ind w:firstLine="480"/>
        <w:rPr>
          <w:color w:val="auto"/>
        </w:rPr>
      </w:pPr>
      <w:r>
        <w:rPr>
          <w:rFonts w:hint="eastAsia"/>
          <w:color w:val="auto"/>
        </w:rPr>
        <w:t>8）项目车间内废水管沿车间地面明管布置，发生管道泄漏，能够及时发现并采取防范措施。在非正常工况或废水处理设施故障情况下，废水应进入本项目事故应急池暂存，与正常工况下的废水混合后送污水处理站处理，确保废水经过处理后达标排放。</w:t>
      </w:r>
    </w:p>
    <w:p w14:paraId="0F1B7B53">
      <w:pPr>
        <w:pStyle w:val="5"/>
        <w:rPr>
          <w:color w:val="auto"/>
        </w:rPr>
      </w:pPr>
      <w:r>
        <w:rPr>
          <w:rFonts w:hint="eastAsia"/>
          <w:color w:val="auto"/>
        </w:rPr>
        <w:t>固体废物污染防治措施</w:t>
      </w:r>
    </w:p>
    <w:p w14:paraId="2C56C9DD">
      <w:pPr>
        <w:ind w:firstLine="480"/>
        <w:rPr>
          <w:color w:val="auto"/>
        </w:rPr>
      </w:pPr>
      <w:r>
        <w:rPr>
          <w:rFonts w:hint="eastAsia"/>
          <w:color w:val="auto"/>
        </w:rPr>
        <w:t>（1）一般工业固体废物</w:t>
      </w:r>
    </w:p>
    <w:p w14:paraId="188AEB4B">
      <w:pPr>
        <w:ind w:firstLine="480"/>
        <w:rPr>
          <w:color w:val="auto"/>
        </w:rPr>
      </w:pPr>
      <w:r>
        <w:rPr>
          <w:rFonts w:hint="eastAsia"/>
          <w:color w:val="auto"/>
        </w:rPr>
        <w:t>1）必须分类妥善贮存在符合《生态环境部办公厅印发关于&lt;一般工业固体废物环境管理工作指南&gt;的通知》（环办固体函〔2026〕18号）要求的贮存设施中，禁止混合堆放，禁止将危险废物或生活垃圾混入一般工业固体废物。</w:t>
      </w:r>
    </w:p>
    <w:p w14:paraId="24716514">
      <w:pPr>
        <w:ind w:firstLine="480"/>
        <w:rPr>
          <w:color w:val="auto"/>
        </w:rPr>
      </w:pPr>
      <w:r>
        <w:rPr>
          <w:rFonts w:hint="eastAsia"/>
          <w:color w:val="auto"/>
        </w:rPr>
        <w:t>2）鼓励对绿泥、石灰渣、污水处理污泥、锅炉灰渣、脱硫渣等一般工业固体废物进行综合利用，无法综合利用时，应当妥善贮存或处置，防止泄露或爆仓造成环境污染。</w:t>
      </w:r>
    </w:p>
    <w:p w14:paraId="2D3F7906">
      <w:pPr>
        <w:ind w:firstLine="480"/>
        <w:rPr>
          <w:color w:val="auto"/>
        </w:rPr>
      </w:pPr>
      <w:r>
        <w:rPr>
          <w:rFonts w:hint="eastAsia"/>
          <w:color w:val="auto"/>
        </w:rPr>
        <w:t>3）锅炉灰渣及其他易扬散的一般工业固体废物在贮存运输时应采取密闭防扬散措施，绿泥、石灰渣、锅炉灰渣、脱硫渣等一般工业固体废物运输时车辆应当有遮挡措施，防止洒落。</w:t>
      </w:r>
    </w:p>
    <w:p w14:paraId="77129CF7">
      <w:pPr>
        <w:ind w:firstLine="480"/>
        <w:rPr>
          <w:color w:val="auto"/>
        </w:rPr>
      </w:pPr>
      <w:r>
        <w:rPr>
          <w:rFonts w:hint="eastAsia"/>
          <w:color w:val="auto"/>
        </w:rPr>
        <w:t>4）应当建立一般工业固体废物产生、贮存、处置台账，清晰准确记录各类一般工业固体废物产生、贮存、处置情况，准确反映全厂固体废物污染防治情况。</w:t>
      </w:r>
    </w:p>
    <w:p w14:paraId="201C9C01">
      <w:pPr>
        <w:ind w:firstLine="480"/>
        <w:rPr>
          <w:color w:val="auto"/>
        </w:rPr>
      </w:pPr>
      <w:r>
        <w:rPr>
          <w:rFonts w:hint="eastAsia"/>
          <w:color w:val="auto"/>
        </w:rPr>
        <w:t>5）应每年在全国固体废物管理信息系统上对上一年度所有一般工业固体废物的产生、贮存、处置情况进行申报登记。</w:t>
      </w:r>
    </w:p>
    <w:p w14:paraId="049997FA">
      <w:pPr>
        <w:ind w:firstLine="480"/>
        <w:rPr>
          <w:color w:val="auto"/>
        </w:rPr>
      </w:pPr>
      <w:r>
        <w:rPr>
          <w:rFonts w:hint="eastAsia"/>
          <w:color w:val="auto"/>
        </w:rPr>
        <w:t>（2）危险废物</w:t>
      </w:r>
    </w:p>
    <w:p w14:paraId="1367FB7C">
      <w:pPr>
        <w:ind w:firstLine="480"/>
        <w:rPr>
          <w:color w:val="auto"/>
        </w:rPr>
      </w:pPr>
      <w:r>
        <w:rPr>
          <w:rFonts w:hint="eastAsia"/>
          <w:color w:val="auto"/>
        </w:rPr>
        <w:t>1）应当制定责任明确的危险废物防治管理责任制度，并在显著位置张贴污染责任信息。</w:t>
      </w:r>
    </w:p>
    <w:p w14:paraId="1727773A">
      <w:pPr>
        <w:ind w:firstLine="480"/>
        <w:rPr>
          <w:color w:val="auto"/>
        </w:rPr>
      </w:pPr>
      <w:r>
        <w:rPr>
          <w:rFonts w:hint="eastAsia"/>
          <w:color w:val="auto"/>
        </w:rPr>
        <w:t>2）所有危险废物必须使用适宜的包装袋（桶）等容器盛装后，分类妥善贮存在符合《危险废物贮存污染控制标准》（GB18597-2023）要求的贮存设施中，禁止混合堆放，禁止将一般工业固体废物或生活垃圾混入危险废物。</w:t>
      </w:r>
    </w:p>
    <w:p w14:paraId="6015A1DE">
      <w:pPr>
        <w:ind w:firstLine="480"/>
        <w:rPr>
          <w:color w:val="auto"/>
        </w:rPr>
      </w:pPr>
      <w:r>
        <w:rPr>
          <w:rFonts w:hint="eastAsia"/>
          <w:color w:val="auto"/>
        </w:rPr>
        <w:t>3）危险废物贮存设施必须符合《环境保护图形标志-固体废物贮存（处置）场》（GB 15562.2-1995）修改单中危险废物警告图形符号样式的标识，每个危险废物包装容器上必须粘贴符合《危险废物贮存污染控制标准》（GB 18597-2023）附录A样式的标签，标签上所有信息必须如实填写完全。</w:t>
      </w:r>
    </w:p>
    <w:p w14:paraId="38EFAB86">
      <w:pPr>
        <w:ind w:firstLine="480"/>
        <w:rPr>
          <w:color w:val="auto"/>
        </w:rPr>
      </w:pPr>
      <w:r>
        <w:rPr>
          <w:rFonts w:hint="eastAsia"/>
          <w:color w:val="auto"/>
        </w:rPr>
        <w:t>4）必须定期将危险废物交由具有相应危险废物处置资质的持证经营单位进行利用和处置，不得委托给无证或资质不符的单位利用处置，严禁倾倒或丢弃危险废物。</w:t>
      </w:r>
    </w:p>
    <w:p w14:paraId="5D940068">
      <w:pPr>
        <w:ind w:firstLine="480"/>
        <w:rPr>
          <w:color w:val="auto"/>
        </w:rPr>
      </w:pPr>
      <w:r>
        <w:rPr>
          <w:rFonts w:hint="eastAsia"/>
          <w:color w:val="auto"/>
        </w:rPr>
        <w:t>5）应当建立危险废物产生、贮存、处置台账，清晰准确记录所有危险废物产生、贮存、处置全过程管理情况。台账应当能够准确清晰反映危险废物产生量、贮存时间、处置去向等全过程管理信息。</w:t>
      </w:r>
    </w:p>
    <w:p w14:paraId="11E06FA0">
      <w:pPr>
        <w:ind w:firstLine="480"/>
        <w:rPr>
          <w:color w:val="auto"/>
        </w:rPr>
      </w:pPr>
      <w:r>
        <w:rPr>
          <w:rFonts w:hint="eastAsia"/>
          <w:color w:val="auto"/>
        </w:rPr>
        <w:t>6）在转移运输危险废物时应当委托具有危险废物运输资质的运输单位运输，运输过程中应当采取防扬散、防遗撒的措施，防止运输过程中遗撒丢失危险废物。</w:t>
      </w:r>
    </w:p>
    <w:p w14:paraId="6A26F86E">
      <w:pPr>
        <w:ind w:firstLine="480"/>
        <w:rPr>
          <w:color w:val="auto"/>
        </w:rPr>
      </w:pPr>
      <w:r>
        <w:rPr>
          <w:rFonts w:hint="eastAsia"/>
          <w:color w:val="auto"/>
        </w:rPr>
        <w:t>7）在转移危险废物时必须依法落实危险废物转移联单制度，转移联单所有信息必须清晰准确，能够反映危险废物转移全过程管理情况，联单至少保持5年以上。</w:t>
      </w:r>
    </w:p>
    <w:p w14:paraId="741593B6">
      <w:pPr>
        <w:ind w:firstLine="480"/>
        <w:rPr>
          <w:color w:val="auto"/>
        </w:rPr>
      </w:pPr>
      <w:r>
        <w:rPr>
          <w:rFonts w:hint="eastAsia"/>
          <w:color w:val="auto"/>
        </w:rPr>
        <w:t>8）应每年制定当年年度危险废物管理计划，并报送所在地环保部门备案，管理计划应该包含上年度危险废物产生处置情况、本年度危险废物产生情况预测、危险废物减量化措施及本年度危险废物处置去向德国内容。当危险废物处置去向发生变更时，应对管理计划进行相应变更，并将变更后的管理计划报所在地环保部门备案。</w:t>
      </w:r>
    </w:p>
    <w:p w14:paraId="7AD0A1B4">
      <w:pPr>
        <w:ind w:firstLine="480"/>
        <w:rPr>
          <w:color w:val="auto"/>
        </w:rPr>
      </w:pPr>
      <w:r>
        <w:rPr>
          <w:rFonts w:hint="eastAsia"/>
          <w:color w:val="auto"/>
        </w:rPr>
        <w:t>9）应每年在全国固体废物管理信息系统上对上一年度所有危险废物的产生、贮存、处置情况进行申报登记。</w:t>
      </w:r>
    </w:p>
    <w:p w14:paraId="30D86882">
      <w:pPr>
        <w:ind w:firstLine="480"/>
        <w:rPr>
          <w:color w:val="auto"/>
        </w:rPr>
      </w:pPr>
      <w:r>
        <w:rPr>
          <w:rFonts w:hint="eastAsia"/>
          <w:color w:val="auto"/>
        </w:rPr>
        <w:t>10）应编制危险废物突发环境事件应急预案并报送环保部门备案，定期开展危险废物环境应急演练和危险废物管理培训，妥善保存演练的文字和图片材料。</w:t>
      </w:r>
    </w:p>
    <w:p w14:paraId="792E0F47">
      <w:pPr>
        <w:pStyle w:val="5"/>
        <w:rPr>
          <w:color w:val="auto"/>
        </w:rPr>
      </w:pPr>
      <w:r>
        <w:rPr>
          <w:rFonts w:hint="eastAsia"/>
          <w:color w:val="auto"/>
        </w:rPr>
        <w:t>噪声污染防治措施</w:t>
      </w:r>
    </w:p>
    <w:p w14:paraId="770CFEA4">
      <w:pPr>
        <w:ind w:firstLine="480"/>
        <w:rPr>
          <w:color w:val="auto"/>
        </w:rPr>
      </w:pPr>
      <w:r>
        <w:rPr>
          <w:rFonts w:hint="eastAsia"/>
          <w:color w:val="auto"/>
        </w:rPr>
        <w:t>（1）运营期厂界声环境应满足《工业企业厂界环境噪声排放标准》（GB12348-2008）中3类和4类标准，其中南侧紧邻滨海公路的厂界应满足4类，其余厂界应满足3类标准。</w:t>
      </w:r>
    </w:p>
    <w:p w14:paraId="4891D07D">
      <w:pPr>
        <w:ind w:firstLine="480"/>
        <w:rPr>
          <w:color w:val="auto"/>
        </w:rPr>
      </w:pPr>
      <w:r>
        <w:rPr>
          <w:rFonts w:hint="eastAsia"/>
          <w:color w:val="auto"/>
        </w:rPr>
        <w:t>（2）当出现厂界噪声环境超标情况时，要分析原因，制定执行整改方案并及时报告当地环保主管部门。</w:t>
      </w:r>
    </w:p>
    <w:p w14:paraId="1CF82F71">
      <w:pPr>
        <w:ind w:firstLine="480"/>
        <w:rPr>
          <w:color w:val="auto"/>
        </w:rPr>
      </w:pPr>
      <w:r>
        <w:rPr>
          <w:rFonts w:hint="eastAsia"/>
          <w:color w:val="auto"/>
        </w:rPr>
        <w:t>（3）应采取措施减少突发噪声排放，若不可避免，应把易于产生突发噪声的生产过程安排在白昼时间，在进行这类操作前，通过公众媒体告知受影响人群。</w:t>
      </w:r>
    </w:p>
    <w:p w14:paraId="7840C855">
      <w:pPr>
        <w:pStyle w:val="5"/>
        <w:rPr>
          <w:color w:val="auto"/>
        </w:rPr>
      </w:pPr>
      <w:r>
        <w:rPr>
          <w:rFonts w:hint="eastAsia"/>
          <w:color w:val="auto"/>
        </w:rPr>
        <w:t>环境风险预防管理措施</w:t>
      </w:r>
    </w:p>
    <w:p w14:paraId="68524D40">
      <w:pPr>
        <w:ind w:firstLine="480"/>
        <w:rPr>
          <w:color w:val="auto"/>
        </w:rPr>
      </w:pPr>
      <w:r>
        <w:rPr>
          <w:rFonts w:hint="eastAsia"/>
          <w:color w:val="auto"/>
        </w:rPr>
        <w:t>（1）认真贯彻落实“安全第一，预防为主”的方针，各级领导和生产管理人员必须重视环境工作。</w:t>
      </w:r>
    </w:p>
    <w:p w14:paraId="386A9181">
      <w:pPr>
        <w:ind w:firstLine="480"/>
        <w:rPr>
          <w:color w:val="auto"/>
        </w:rPr>
      </w:pPr>
      <w:r>
        <w:rPr>
          <w:rFonts w:hint="eastAsia"/>
          <w:color w:val="auto"/>
        </w:rPr>
        <w:t>（2）加强应急能力建设，开展突发环境事件应急演练工作。加强突发环境事件应急监测、应急科研和应急响应系统建设，及时配备各类应急装备，如监测仪器、设备器材、个人安全防护器材等。做好设备、设施及安全防护设施的维护、保养，按设备管理的要求，保障设备完好率符合要求，并稳定在一定的水平。</w:t>
      </w:r>
    </w:p>
    <w:p w14:paraId="6B5CC200">
      <w:pPr>
        <w:ind w:firstLine="480"/>
        <w:rPr>
          <w:color w:val="auto"/>
        </w:rPr>
      </w:pPr>
      <w:r>
        <w:rPr>
          <w:rFonts w:hint="eastAsia"/>
          <w:color w:val="auto"/>
        </w:rPr>
        <w:t>（3）加强宣传、培训、演练工作，对从业人员进行安全生产教育和培训，保证从业人员具备必要的环境安全生产知识，熟悉有关环境安全生产规章制度和操作规程，掌握本岗位的安全操作技能。未经环境生产教育和培训合格的从业人员不得上岗作业，做好应对突发环境事件的各项准备工作。</w:t>
      </w:r>
    </w:p>
    <w:p w14:paraId="608B666B">
      <w:pPr>
        <w:ind w:firstLine="480"/>
        <w:rPr>
          <w:color w:val="auto"/>
        </w:rPr>
      </w:pPr>
      <w:r>
        <w:rPr>
          <w:rFonts w:hint="eastAsia"/>
          <w:color w:val="auto"/>
        </w:rPr>
        <w:t>（4）建立完善的巡回检查（值守）记录和监控措施，确保巡检人员按时、按要求进行检查巡视。早预防、早发现、早解决。</w:t>
      </w:r>
    </w:p>
    <w:p w14:paraId="5EE510C7">
      <w:pPr>
        <w:ind w:firstLine="480"/>
        <w:rPr>
          <w:color w:val="auto"/>
        </w:rPr>
      </w:pPr>
      <w:r>
        <w:rPr>
          <w:rFonts w:hint="eastAsia"/>
          <w:color w:val="auto"/>
        </w:rPr>
        <w:t>（5）建立完善的突发环境应急体系，对职工经常进行环境应急知识和器材使用培训，并定期组织演习。应急装备建立档案，设专人负责保管，定期检查，及时更换，确保有效。</w:t>
      </w:r>
    </w:p>
    <w:p w14:paraId="14C19071">
      <w:pPr>
        <w:ind w:firstLine="480"/>
        <w:rPr>
          <w:color w:val="auto"/>
        </w:rPr>
      </w:pPr>
      <w:r>
        <w:rPr>
          <w:rFonts w:hint="eastAsia"/>
          <w:color w:val="auto"/>
        </w:rPr>
        <w:t>（6）强化事故废水三级风险防范体系的运行管理，避免事故废水直接通过雨水系统进入厂外水体。</w:t>
      </w:r>
    </w:p>
    <w:p w14:paraId="60CEF2F9">
      <w:pPr>
        <w:pStyle w:val="5"/>
        <w:rPr>
          <w:color w:val="auto"/>
        </w:rPr>
      </w:pPr>
      <w:r>
        <w:rPr>
          <w:rFonts w:hint="eastAsia"/>
          <w:color w:val="auto"/>
        </w:rPr>
        <w:t>环境管理台账要求</w:t>
      </w:r>
    </w:p>
    <w:p w14:paraId="7E4C35EF">
      <w:pPr>
        <w:ind w:firstLine="480"/>
        <w:rPr>
          <w:color w:val="auto"/>
        </w:rPr>
      </w:pPr>
      <w:r>
        <w:rPr>
          <w:rFonts w:hint="eastAsia"/>
          <w:color w:val="auto"/>
        </w:rPr>
        <w:t>（1）一般原则</w:t>
      </w:r>
    </w:p>
    <w:p w14:paraId="4CBE1F37">
      <w:pPr>
        <w:ind w:firstLine="480"/>
        <w:rPr>
          <w:color w:val="auto"/>
        </w:rPr>
      </w:pPr>
      <w:r>
        <w:rPr>
          <w:rFonts w:hint="eastAsia"/>
          <w:color w:val="auto"/>
        </w:rPr>
        <w:t>《排污单位环境管理台账及排污许可证执行报告技术规范总则（试行）》（HJ944-2018）中指出，标准所指环境管理台账记录要求为基本要求，排污单位可自行增加和加严记录要求，环境保护主管部门也可依据法律法规、标准规范增加和加严记录要求。排污单位应建立环境管理台账记录制度，落实环境管理台账记录的责任单位和责任人，明确工作职责，并对环境管理台账的真实性、完整性和规范性负责。一般按日或按批次进行记录，异常情况应按次记录。</w:t>
      </w:r>
    </w:p>
    <w:p w14:paraId="34C05188">
      <w:pPr>
        <w:ind w:firstLine="480"/>
        <w:rPr>
          <w:color w:val="auto"/>
        </w:rPr>
      </w:pPr>
      <w:r>
        <w:rPr>
          <w:rFonts w:hint="eastAsia"/>
          <w:color w:val="auto"/>
        </w:rPr>
        <w:t>（2）记录形式</w:t>
      </w:r>
    </w:p>
    <w:p w14:paraId="51048BFF">
      <w:pPr>
        <w:ind w:firstLine="480"/>
        <w:rPr>
          <w:color w:val="auto"/>
        </w:rPr>
      </w:pPr>
      <w:r>
        <w:rPr>
          <w:rFonts w:hint="eastAsia"/>
          <w:color w:val="auto"/>
        </w:rPr>
        <w:t>记录形式可分为电子台账及纸质台账两种形式。</w:t>
      </w:r>
    </w:p>
    <w:p w14:paraId="367B9B51">
      <w:pPr>
        <w:ind w:firstLine="480"/>
        <w:rPr>
          <w:color w:val="auto"/>
        </w:rPr>
      </w:pPr>
      <w:r>
        <w:rPr>
          <w:rFonts w:hint="eastAsia"/>
          <w:color w:val="auto"/>
        </w:rPr>
        <w:t>（3）记录内容</w:t>
      </w:r>
    </w:p>
    <w:p w14:paraId="3F02388F">
      <w:pPr>
        <w:ind w:firstLine="480"/>
        <w:rPr>
          <w:color w:val="auto"/>
        </w:rPr>
      </w:pPr>
      <w:r>
        <w:rPr>
          <w:rFonts w:hint="eastAsia"/>
          <w:color w:val="auto"/>
        </w:rPr>
        <w:t>记录内容应包括基本信息、生产设施运行管理信息、污染防治设施运行管理信息、监测记录信息及其他环境管理信息等，参照《排污单位环境管理台账及排污许可证执行报告技术规范总则（试行）》（HJ944-2018）附录A。生产设施、污染防治设施、排放口编码应与排污许可证副本中载明的编码一致。</w:t>
      </w:r>
    </w:p>
    <w:p w14:paraId="5340A063">
      <w:pPr>
        <w:ind w:firstLine="480"/>
        <w:rPr>
          <w:color w:val="auto"/>
        </w:rPr>
      </w:pPr>
      <w:r>
        <w:rPr>
          <w:rFonts w:hint="eastAsia"/>
          <w:color w:val="auto"/>
        </w:rPr>
        <w:t>（4）记录频次</w:t>
      </w:r>
    </w:p>
    <w:p w14:paraId="7155D904">
      <w:pPr>
        <w:ind w:firstLine="480"/>
        <w:rPr>
          <w:color w:val="auto"/>
        </w:rPr>
      </w:pPr>
      <w:r>
        <w:rPr>
          <w:rFonts w:hint="eastAsia"/>
          <w:color w:val="auto"/>
        </w:rPr>
        <w:t>1）基本信息</w:t>
      </w:r>
    </w:p>
    <w:p w14:paraId="0573739B">
      <w:pPr>
        <w:ind w:firstLine="480"/>
        <w:rPr>
          <w:color w:val="auto"/>
        </w:rPr>
      </w:pPr>
      <w:r>
        <w:rPr>
          <w:rFonts w:hint="eastAsia"/>
          <w:color w:val="auto"/>
        </w:rPr>
        <w:t>对于未发生变化的基本信息，按年记录，1次/年；对于发生变化的基本信息，在发生变化时记录1次。</w:t>
      </w:r>
    </w:p>
    <w:p w14:paraId="3926AC3E">
      <w:pPr>
        <w:ind w:firstLine="480"/>
        <w:rPr>
          <w:color w:val="auto"/>
        </w:rPr>
      </w:pPr>
      <w:r>
        <w:rPr>
          <w:rFonts w:hint="eastAsia"/>
          <w:color w:val="auto"/>
        </w:rPr>
        <w:t>2）生产设施运行管理信息</w:t>
      </w:r>
    </w:p>
    <w:p w14:paraId="1BAAA370">
      <w:pPr>
        <w:ind w:firstLine="480"/>
        <w:rPr>
          <w:color w:val="auto"/>
        </w:rPr>
      </w:pPr>
      <w:r>
        <w:rPr>
          <w:rFonts w:hint="eastAsia"/>
          <w:color w:val="auto"/>
        </w:rPr>
        <w:t>①正常工况</w:t>
      </w:r>
    </w:p>
    <w:p w14:paraId="7C4CBC27">
      <w:pPr>
        <w:ind w:firstLine="480"/>
        <w:rPr>
          <w:color w:val="auto"/>
        </w:rPr>
      </w:pPr>
      <w:r>
        <w:rPr>
          <w:rFonts w:hint="eastAsia"/>
          <w:color w:val="auto"/>
        </w:rPr>
        <w:t>A.运行状态：一般按日或批次记录，1次/日或批次。B.生产负荷：一般按日或批次记录，1次/日或批次。C.产品产量：连续生产的，按日记录，1次/日。非连续生产的，按照生产周期记录，1次/周期；周期小于1天的，按日记录，1次/日。D.原辅料：按照采购批次记录，1次/批。E.燃料：按照采购批次记录，1次/批。</w:t>
      </w:r>
    </w:p>
    <w:p w14:paraId="26DB146A">
      <w:pPr>
        <w:ind w:firstLine="480"/>
        <w:rPr>
          <w:color w:val="auto"/>
        </w:rPr>
      </w:pPr>
      <w:r>
        <w:rPr>
          <w:rFonts w:hint="eastAsia"/>
          <w:color w:val="auto"/>
        </w:rPr>
        <w:t>②非正常工况</w:t>
      </w:r>
    </w:p>
    <w:p w14:paraId="3DAADDE1">
      <w:pPr>
        <w:ind w:firstLine="480"/>
        <w:rPr>
          <w:color w:val="auto"/>
        </w:rPr>
      </w:pPr>
      <w:r>
        <w:rPr>
          <w:rFonts w:hint="eastAsia"/>
          <w:color w:val="auto"/>
        </w:rPr>
        <w:t>按照工况期记录，1次/工况期。</w:t>
      </w:r>
    </w:p>
    <w:p w14:paraId="5F0EE37E">
      <w:pPr>
        <w:ind w:firstLine="480"/>
        <w:rPr>
          <w:color w:val="auto"/>
        </w:rPr>
      </w:pPr>
      <w:r>
        <w:rPr>
          <w:rFonts w:hint="eastAsia"/>
          <w:color w:val="auto"/>
        </w:rPr>
        <w:t>3）污染防治设施运行管理信息</w:t>
      </w:r>
    </w:p>
    <w:p w14:paraId="593A420C">
      <w:pPr>
        <w:ind w:firstLine="480"/>
        <w:rPr>
          <w:color w:val="auto"/>
        </w:rPr>
      </w:pPr>
      <w:r>
        <w:rPr>
          <w:rFonts w:hint="eastAsia"/>
          <w:color w:val="auto"/>
        </w:rPr>
        <w:t>①正常工况</w:t>
      </w:r>
    </w:p>
    <w:p w14:paraId="2B04A811">
      <w:pPr>
        <w:ind w:firstLine="480"/>
        <w:rPr>
          <w:color w:val="auto"/>
        </w:rPr>
      </w:pPr>
      <w:r>
        <w:rPr>
          <w:rFonts w:hint="eastAsia"/>
          <w:color w:val="auto"/>
        </w:rPr>
        <w:t>A.运行情况：按日记录，1次/日。B.主要药剂添加情况：按日或批次记录，1次/日或批次。C.DCS曲线图：按月记录，1次/月。</w:t>
      </w:r>
    </w:p>
    <w:p w14:paraId="6CB0689E">
      <w:pPr>
        <w:ind w:firstLine="480"/>
        <w:rPr>
          <w:color w:val="auto"/>
        </w:rPr>
      </w:pPr>
      <w:r>
        <w:rPr>
          <w:rFonts w:hint="eastAsia"/>
          <w:color w:val="auto"/>
        </w:rPr>
        <w:t>②异常情况：按照异常情况期记录，1次/异常情况期。</w:t>
      </w:r>
    </w:p>
    <w:p w14:paraId="46AA6A70">
      <w:pPr>
        <w:ind w:firstLine="480"/>
        <w:rPr>
          <w:color w:val="auto"/>
        </w:rPr>
      </w:pPr>
      <w:r>
        <w:rPr>
          <w:rFonts w:hint="eastAsia"/>
          <w:color w:val="auto"/>
        </w:rPr>
        <w:t>4）监测记录信息</w:t>
      </w:r>
    </w:p>
    <w:p w14:paraId="12C21A0A">
      <w:pPr>
        <w:ind w:firstLine="480"/>
        <w:rPr>
          <w:color w:val="auto"/>
        </w:rPr>
      </w:pPr>
      <w:r>
        <w:rPr>
          <w:rFonts w:hint="eastAsia"/>
          <w:color w:val="auto"/>
        </w:rPr>
        <w:t>按照HJ819及各行业自行监测技术指南规定执行。</w:t>
      </w:r>
    </w:p>
    <w:p w14:paraId="3B6DB2D2">
      <w:pPr>
        <w:ind w:firstLine="480"/>
        <w:rPr>
          <w:color w:val="auto"/>
        </w:rPr>
      </w:pPr>
      <w:r>
        <w:rPr>
          <w:rFonts w:hint="eastAsia"/>
          <w:color w:val="auto"/>
        </w:rPr>
        <w:t>5）其他环境管理信息</w:t>
      </w:r>
    </w:p>
    <w:p w14:paraId="7A71FD2D">
      <w:pPr>
        <w:ind w:firstLine="480"/>
        <w:rPr>
          <w:color w:val="auto"/>
        </w:rPr>
      </w:pPr>
      <w:r>
        <w:rPr>
          <w:rFonts w:hint="eastAsia"/>
          <w:color w:val="auto"/>
        </w:rPr>
        <w:t>A.废气无组织污染防治措施管理信息：按日记录，1次/日。B.特殊时段环境管理信息：按照1）~2）规定频次记录；对于停产或错峰生产的，原则上仅对停产或错峰生产的起止日期各记录1次。C.其他信息：依据法律法规、标准规范或实际生产运行规律等确定记录频次。</w:t>
      </w:r>
    </w:p>
    <w:p w14:paraId="020A8DDB">
      <w:pPr>
        <w:ind w:firstLine="480"/>
        <w:rPr>
          <w:color w:val="auto"/>
        </w:rPr>
      </w:pPr>
      <w:r>
        <w:rPr>
          <w:rFonts w:hint="eastAsia"/>
          <w:color w:val="auto"/>
        </w:rPr>
        <w:t>（5）记录及储存</w:t>
      </w:r>
    </w:p>
    <w:p w14:paraId="69F0AA40">
      <w:pPr>
        <w:ind w:firstLine="480"/>
        <w:rPr>
          <w:color w:val="auto"/>
        </w:rPr>
      </w:pPr>
      <w:r>
        <w:rPr>
          <w:rFonts w:hint="eastAsia"/>
          <w:color w:val="auto"/>
        </w:rPr>
        <w:t>A.纸质存储：应将纸质台账存放于保护袋、卷夹或保护盒等保存介质中；由专人签字、定点保存；应采取防光、防热、防潮、防细菌及防污染等措施；如有破损应及时修补，并留存备查；保存时间原则上不低于3年。</w:t>
      </w:r>
    </w:p>
    <w:p w14:paraId="50C05316">
      <w:pPr>
        <w:ind w:firstLine="480"/>
        <w:rPr>
          <w:color w:val="auto"/>
        </w:rPr>
      </w:pPr>
      <w:r>
        <w:rPr>
          <w:rFonts w:hint="eastAsia"/>
          <w:color w:val="auto"/>
        </w:rPr>
        <w:t>B.电子化存储：应存放于电子存储介质中，并进行数据备份；可在排污许可管理信息平台填报并保存；由专人定期维护管理；保存时间原则上不低于3年。</w:t>
      </w:r>
    </w:p>
    <w:p w14:paraId="7D404ACE">
      <w:pPr>
        <w:pStyle w:val="4"/>
        <w:rPr>
          <w:color w:val="auto"/>
        </w:rPr>
      </w:pPr>
      <w:bookmarkStart w:id="627" w:name="_Toc199190681"/>
      <w:bookmarkStart w:id="628" w:name="_Toc199169189"/>
      <w:bookmarkStart w:id="629" w:name="_Toc198391433"/>
      <w:bookmarkStart w:id="630" w:name="_Toc198390780"/>
      <w:bookmarkStart w:id="631" w:name="_Toc225216883"/>
      <w:r>
        <w:rPr>
          <w:rFonts w:hint="eastAsia"/>
          <w:color w:val="auto"/>
        </w:rPr>
        <w:t>环境管理体系及管理计划</w:t>
      </w:r>
      <w:bookmarkEnd w:id="627"/>
      <w:bookmarkEnd w:id="628"/>
      <w:bookmarkEnd w:id="629"/>
      <w:bookmarkEnd w:id="630"/>
      <w:bookmarkEnd w:id="631"/>
    </w:p>
    <w:p w14:paraId="2682BC8B">
      <w:pPr>
        <w:ind w:firstLine="480"/>
        <w:rPr>
          <w:color w:val="auto"/>
        </w:rPr>
      </w:pPr>
      <w:r>
        <w:rPr>
          <w:rFonts w:hint="eastAsia"/>
          <w:color w:val="auto"/>
        </w:rPr>
        <w:t>环境管理机构分为外部环境管理机构和内部环境管理机构。企业外部环境管理机构指政府性环境管理机构，主要有广西壮族自治区生态环境厅、钦州市生态环境局等；内部环境管理机构是指工程投资建设方所建立的环境保护专门机构。</w:t>
      </w:r>
    </w:p>
    <w:p w14:paraId="0087F625">
      <w:pPr>
        <w:ind w:firstLine="480"/>
        <w:rPr>
          <w:color w:val="auto"/>
        </w:rPr>
      </w:pPr>
      <w:r>
        <w:rPr>
          <w:rFonts w:hint="eastAsia"/>
          <w:color w:val="auto"/>
        </w:rPr>
        <w:t>根据本项目的建设规模和环境管理的任务，公司配置的环境保护管理机构人员的主要职责如下：</w:t>
      </w:r>
    </w:p>
    <w:p w14:paraId="7AFA8E27">
      <w:pPr>
        <w:ind w:firstLine="480"/>
        <w:rPr>
          <w:color w:val="auto"/>
        </w:rPr>
      </w:pPr>
      <w:r>
        <w:rPr>
          <w:rFonts w:hint="eastAsia"/>
          <w:color w:val="auto"/>
        </w:rPr>
        <w:t>（1）负责整个企业的环境保护管理工作。即贯彻执行国家和地方的环保政策、法规，对内宣传国家的环保法规和政策，并对有关操作人员进行技术培训和考核，以提高职工的环保意识和专业素质。有组织、有计划地对全厂干部和职工进行环保技术及清洁生产培训，对环境保护的先进经验、先进技术进行推广和应用，将清洁生产纳入生产规范化管理，不断完善节水、节能、降耗的具体措施。</w:t>
      </w:r>
    </w:p>
    <w:p w14:paraId="792C6E85">
      <w:pPr>
        <w:ind w:firstLine="480"/>
        <w:rPr>
          <w:color w:val="auto"/>
        </w:rPr>
      </w:pPr>
      <w:r>
        <w:rPr>
          <w:rFonts w:hint="eastAsia"/>
          <w:color w:val="auto"/>
        </w:rPr>
        <w:t>（2）建立和健全企业各种环境管理规章制度、环境管理台账制度，制定生产安全与监控运行体系、标准操作程序、安全操作规程和岗位责任制等有关规章制度，实施有效的目标责任管理，把原材料消耗、能耗、污染物排放和污染事故等作为考核指标，落实到个人岗位，纳入奖惩制度。</w:t>
      </w:r>
    </w:p>
    <w:p w14:paraId="3898CF8A">
      <w:pPr>
        <w:ind w:firstLine="480"/>
        <w:rPr>
          <w:color w:val="auto"/>
        </w:rPr>
      </w:pPr>
      <w:r>
        <w:rPr>
          <w:rFonts w:hint="eastAsia"/>
          <w:color w:val="auto"/>
        </w:rPr>
        <w:t>（3）制定各项环境保护设施和措施的建设、运行及维护费用保障计划，监控和分析原材料和能源的消耗、环保设施的运行，污染物的排放与控制，指派专人对原料、产品的进出和废物的产生、处理和处置进行登记和监控。</w:t>
      </w:r>
    </w:p>
    <w:p w14:paraId="595EB846">
      <w:pPr>
        <w:ind w:firstLine="480"/>
        <w:rPr>
          <w:color w:val="auto"/>
        </w:rPr>
      </w:pPr>
      <w:r>
        <w:rPr>
          <w:rFonts w:hint="eastAsia"/>
          <w:color w:val="auto"/>
        </w:rPr>
        <w:t>（4）与政府环保部门密切配合，接受各级政府环境保护管理部门的检查和指导，协同当地环境保护管理部门解答和处理公众提出的意见和问题。</w:t>
      </w:r>
    </w:p>
    <w:p w14:paraId="21D038C9">
      <w:pPr>
        <w:ind w:firstLine="480"/>
        <w:rPr>
          <w:color w:val="auto"/>
        </w:rPr>
      </w:pPr>
      <w:r>
        <w:rPr>
          <w:rFonts w:hint="eastAsia"/>
          <w:color w:val="auto"/>
        </w:rPr>
        <w:t>（5）监督全厂的环保设施运行情况，严格做到污染物达标排放；组织环保设施改造、环保科研等计划的编制和实施工作。</w:t>
      </w:r>
    </w:p>
    <w:p w14:paraId="4C1F4B50">
      <w:pPr>
        <w:ind w:firstLine="480"/>
        <w:rPr>
          <w:color w:val="auto"/>
        </w:rPr>
      </w:pPr>
      <w:r>
        <w:rPr>
          <w:rFonts w:hint="eastAsia"/>
          <w:color w:val="auto"/>
        </w:rPr>
        <w:t>（6）对各种可能发生的污染事故，制订应急措施，并储备各种应急措施所需物资，如备用发电机、水泵、风机、抽水泵等。负责组织突发性环境事故的应急处理及善后事宜，及时报告上级环保管理部门。</w:t>
      </w:r>
    </w:p>
    <w:p w14:paraId="67992329">
      <w:pPr>
        <w:ind w:firstLine="480"/>
        <w:rPr>
          <w:color w:val="auto"/>
        </w:rPr>
      </w:pPr>
      <w:r>
        <w:rPr>
          <w:rFonts w:hint="eastAsia"/>
          <w:color w:val="auto"/>
        </w:rPr>
        <w:t>（7）领导和协调环境监测计划的落实，确保监测工作正常运行。制定污染源和区域空气环境、水环境、土壤环境的监测计划及自行检查方案，并负责组织实施，并建立相关档案和环保管理台帐，定期报地方环保主管部门备案、审核。</w:t>
      </w:r>
    </w:p>
    <w:p w14:paraId="78E6D9B2">
      <w:pPr>
        <w:ind w:firstLine="480"/>
        <w:rPr>
          <w:color w:val="auto"/>
        </w:rPr>
      </w:pPr>
      <w:r>
        <w:rPr>
          <w:rFonts w:hint="eastAsia"/>
          <w:color w:val="auto"/>
        </w:rPr>
        <w:t>（8）排放口是企业污染物进入环境、污染环境的通道，强化排放口的管理是实施污染物总量控制的基础工作之一，也是区域环境管理初步实现污染物排放的科学化，定量化手段。按照生态环境不、广西壮族自治区生态环境厅关于对排放口规范化整治的统一要求，规范废气采样平台，便于环境管理及监测部门的日常监督、检查和监测。</w:t>
      </w:r>
    </w:p>
    <w:p w14:paraId="3F22DABB">
      <w:pPr>
        <w:pStyle w:val="4"/>
        <w:rPr>
          <w:color w:val="auto"/>
        </w:rPr>
      </w:pPr>
      <w:bookmarkStart w:id="632" w:name="_Toc198391435"/>
      <w:bookmarkStart w:id="633" w:name="_Toc199169191"/>
      <w:bookmarkStart w:id="634" w:name="_Toc198390782"/>
      <w:bookmarkStart w:id="635" w:name="_Toc199190683"/>
      <w:bookmarkStart w:id="636" w:name="_Toc225216884"/>
      <w:r>
        <w:rPr>
          <w:rFonts w:hint="eastAsia"/>
          <w:color w:val="auto"/>
        </w:rPr>
        <w:t>项目运营期环境管理计划</w:t>
      </w:r>
      <w:bookmarkEnd w:id="632"/>
      <w:bookmarkEnd w:id="633"/>
      <w:bookmarkEnd w:id="634"/>
      <w:bookmarkEnd w:id="635"/>
      <w:bookmarkEnd w:id="636"/>
    </w:p>
    <w:p w14:paraId="372E0F13">
      <w:pPr>
        <w:ind w:firstLine="480"/>
        <w:rPr>
          <w:color w:val="auto"/>
        </w:rPr>
      </w:pPr>
      <w:r>
        <w:rPr>
          <w:rFonts w:hint="eastAsia"/>
          <w:color w:val="auto"/>
        </w:rPr>
        <w:t>企业应建立环境管理机构，负责运行期的环境保护工作。环境管理机构的主要职责如下：</w:t>
      </w:r>
    </w:p>
    <w:p w14:paraId="7D052F41">
      <w:pPr>
        <w:ind w:firstLine="480"/>
        <w:rPr>
          <w:color w:val="auto"/>
        </w:rPr>
      </w:pPr>
      <w:r>
        <w:rPr>
          <w:rFonts w:hint="eastAsia"/>
          <w:color w:val="auto"/>
        </w:rPr>
        <w:t>（1）认真贯彻国家有关环保法规、规范，健全各项规章制度；</w:t>
      </w:r>
    </w:p>
    <w:p w14:paraId="4AF2CB45">
      <w:pPr>
        <w:ind w:firstLine="480"/>
        <w:rPr>
          <w:color w:val="auto"/>
        </w:rPr>
      </w:pPr>
      <w:r>
        <w:rPr>
          <w:rFonts w:hint="eastAsia"/>
          <w:color w:val="auto"/>
        </w:rPr>
        <w:t>（2）监督环保设施运行情况，监督企业各污染物排放口的排放情况；</w:t>
      </w:r>
    </w:p>
    <w:p w14:paraId="5F6CFD3E">
      <w:pPr>
        <w:ind w:firstLine="480"/>
        <w:rPr>
          <w:color w:val="auto"/>
        </w:rPr>
      </w:pPr>
      <w:r>
        <w:rPr>
          <w:rFonts w:hint="eastAsia"/>
          <w:color w:val="auto"/>
        </w:rPr>
        <w:t>（3）建立企业环境保护档案；</w:t>
      </w:r>
    </w:p>
    <w:p w14:paraId="733C11EE">
      <w:pPr>
        <w:ind w:firstLine="480"/>
        <w:rPr>
          <w:color w:val="auto"/>
        </w:rPr>
      </w:pPr>
      <w:r>
        <w:rPr>
          <w:rFonts w:hint="eastAsia"/>
          <w:color w:val="auto"/>
        </w:rPr>
        <w:t>（4）加强环境监测仪器、设备的维护，确保企业的环境监测工作的正常进行；</w:t>
      </w:r>
    </w:p>
    <w:p w14:paraId="6288D291">
      <w:pPr>
        <w:ind w:firstLine="480"/>
        <w:rPr>
          <w:color w:val="auto"/>
        </w:rPr>
      </w:pPr>
      <w:r>
        <w:rPr>
          <w:rFonts w:hint="eastAsia"/>
          <w:color w:val="auto"/>
        </w:rPr>
        <w:t>（5）参加本企业的环境事件的调查、处理、协调工作。</w:t>
      </w:r>
    </w:p>
    <w:p w14:paraId="3602EF4D">
      <w:pPr>
        <w:ind w:firstLine="480"/>
        <w:rPr>
          <w:color w:val="auto"/>
        </w:rPr>
      </w:pPr>
      <w:r>
        <w:rPr>
          <w:rFonts w:hint="eastAsia"/>
          <w:color w:val="auto"/>
        </w:rPr>
        <w:t>项目运营期环境管理计划详见下表。</w:t>
      </w:r>
    </w:p>
    <w:p w14:paraId="29A322A8">
      <w:pPr>
        <w:pStyle w:val="7"/>
        <w:rPr>
          <w:color w:val="auto"/>
        </w:rPr>
      </w:pPr>
      <w:r>
        <w:rPr>
          <w:rFonts w:hint="eastAsia"/>
          <w:color w:val="auto"/>
        </w:rPr>
        <w:t>项目运营期环境管理计划</w:t>
      </w: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752"/>
        <w:gridCol w:w="6521"/>
        <w:gridCol w:w="1155"/>
      </w:tblGrid>
      <w:tr w14:paraId="149F7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72755E05">
            <w:pPr>
              <w:pStyle w:val="33"/>
              <w:rPr>
                <w:color w:val="auto"/>
              </w:rPr>
            </w:pPr>
            <w:r>
              <w:rPr>
                <w:rFonts w:hint="eastAsia"/>
                <w:color w:val="auto"/>
              </w:rPr>
              <w:t>项目</w:t>
            </w:r>
          </w:p>
        </w:tc>
        <w:tc>
          <w:tcPr>
            <w:tcW w:w="3511" w:type="pct"/>
            <w:vAlign w:val="center"/>
          </w:tcPr>
          <w:p w14:paraId="1BA4E19A">
            <w:pPr>
              <w:pStyle w:val="33"/>
              <w:rPr>
                <w:color w:val="auto"/>
              </w:rPr>
            </w:pPr>
            <w:r>
              <w:rPr>
                <w:rFonts w:hint="eastAsia"/>
                <w:color w:val="auto"/>
              </w:rPr>
              <w:t>管理内容</w:t>
            </w:r>
          </w:p>
        </w:tc>
        <w:tc>
          <w:tcPr>
            <w:tcW w:w="622" w:type="pct"/>
            <w:vAlign w:val="center"/>
          </w:tcPr>
          <w:p w14:paraId="1F6F871F">
            <w:pPr>
              <w:pStyle w:val="33"/>
              <w:rPr>
                <w:color w:val="auto"/>
              </w:rPr>
            </w:pPr>
            <w:r>
              <w:rPr>
                <w:rFonts w:hint="eastAsia"/>
                <w:color w:val="auto"/>
              </w:rPr>
              <w:t>实施机构</w:t>
            </w:r>
          </w:p>
        </w:tc>
      </w:tr>
      <w:tr w14:paraId="3E8E7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43A225BC">
            <w:pPr>
              <w:pStyle w:val="33"/>
              <w:jc w:val="both"/>
              <w:rPr>
                <w:color w:val="auto"/>
              </w:rPr>
            </w:pPr>
            <w:r>
              <w:rPr>
                <w:rFonts w:hint="eastAsia"/>
                <w:color w:val="auto"/>
              </w:rPr>
              <w:t>一、正常工况</w:t>
            </w:r>
          </w:p>
        </w:tc>
      </w:tr>
      <w:tr w14:paraId="03F9A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 w:type="pct"/>
            <w:vMerge w:val="restart"/>
            <w:vAlign w:val="center"/>
          </w:tcPr>
          <w:p w14:paraId="7AC52826">
            <w:pPr>
              <w:pStyle w:val="33"/>
              <w:rPr>
                <w:color w:val="auto"/>
              </w:rPr>
            </w:pPr>
            <w:r>
              <w:rPr>
                <w:rFonts w:hint="eastAsia"/>
                <w:color w:val="auto"/>
              </w:rPr>
              <w:t>污染源监控</w:t>
            </w:r>
          </w:p>
        </w:tc>
        <w:tc>
          <w:tcPr>
            <w:tcW w:w="405" w:type="pct"/>
            <w:vAlign w:val="center"/>
          </w:tcPr>
          <w:p w14:paraId="78A2459E">
            <w:pPr>
              <w:pStyle w:val="33"/>
              <w:rPr>
                <w:color w:val="auto"/>
              </w:rPr>
            </w:pPr>
            <w:r>
              <w:rPr>
                <w:rFonts w:hint="eastAsia"/>
                <w:color w:val="auto"/>
              </w:rPr>
              <w:t>废气</w:t>
            </w:r>
          </w:p>
        </w:tc>
        <w:tc>
          <w:tcPr>
            <w:tcW w:w="3511" w:type="pct"/>
            <w:vAlign w:val="center"/>
          </w:tcPr>
          <w:p w14:paraId="0455BC82">
            <w:pPr>
              <w:pStyle w:val="33"/>
              <w:jc w:val="both"/>
              <w:rPr>
                <w:rFonts w:hint="eastAsia" w:ascii="宋体" w:hAnsi="宋体" w:cs="宋体"/>
                <w:color w:val="auto"/>
              </w:rPr>
            </w:pPr>
            <w:r>
              <w:rPr>
                <w:rFonts w:hint="eastAsia" w:ascii="瀹嬩綋" w:hAnsi="宋体" w:eastAsia="瀹嬩綋" w:cs="宋体"/>
                <w:color w:val="auto"/>
                <w:szCs w:val="21"/>
              </w:rPr>
              <w:t>①密切注意企业排污点动态，定期维护、保养环保设备，定期检查应急措施物资。</w:t>
            </w:r>
          </w:p>
          <w:p w14:paraId="682D6F50">
            <w:pPr>
              <w:pStyle w:val="33"/>
              <w:jc w:val="both"/>
              <w:rPr>
                <w:rFonts w:hint="eastAsia" w:ascii="宋体" w:hAnsi="宋体" w:cs="宋体"/>
                <w:color w:val="auto"/>
              </w:rPr>
            </w:pPr>
            <w:r>
              <w:rPr>
                <w:rFonts w:hint="eastAsia" w:ascii="瀹嬩綋" w:hAnsi="宋体" w:eastAsia="瀹嬩綋" w:cs="宋体"/>
                <w:color w:val="auto"/>
                <w:szCs w:val="21"/>
              </w:rPr>
              <w:t>②废气排放口必须符合规定的高度和按《污染源监测技术规范》便于采样、监测的要求，设置直径不小于</w:t>
            </w:r>
            <w:r>
              <w:rPr>
                <w:rFonts w:cs="Times New Roman"/>
                <w:color w:val="auto"/>
                <w:szCs w:val="21"/>
              </w:rPr>
              <w:t>75mm</w:t>
            </w:r>
            <w:r>
              <w:rPr>
                <w:rFonts w:hint="eastAsia" w:ascii="瀹嬩綋" w:hAnsi="宋体" w:eastAsia="瀹嬩綋" w:cs="宋体"/>
                <w:color w:val="auto"/>
                <w:szCs w:val="21"/>
              </w:rPr>
              <w:t>的采样口。如无法满足要求的，其采样口与环境监测部门共同确认。</w:t>
            </w:r>
          </w:p>
          <w:p w14:paraId="321430B9">
            <w:pPr>
              <w:pStyle w:val="33"/>
              <w:jc w:val="both"/>
              <w:rPr>
                <w:rFonts w:hint="eastAsia" w:ascii="宋体" w:hAnsi="宋体" w:cs="宋体"/>
                <w:color w:val="auto"/>
              </w:rPr>
            </w:pPr>
            <w:r>
              <w:rPr>
                <w:rFonts w:hint="eastAsia" w:ascii="瀹嬩綋" w:hAnsi="宋体" w:eastAsia="瀹嬩綋" w:cs="宋体"/>
                <w:color w:val="auto"/>
                <w:szCs w:val="21"/>
              </w:rPr>
              <w:t>③应按照《固定污染源烟气（</w:t>
            </w:r>
            <w:r>
              <w:rPr>
                <w:rFonts w:cs="Times New Roman"/>
                <w:color w:val="auto"/>
                <w:szCs w:val="21"/>
              </w:rPr>
              <w:t>SO</w:t>
            </w:r>
            <w:r>
              <w:rPr>
                <w:rFonts w:cs="Times New Roman"/>
                <w:color w:val="auto"/>
                <w:sz w:val="14"/>
                <w:szCs w:val="14"/>
              </w:rPr>
              <w:t>2</w:t>
            </w:r>
            <w:r>
              <w:rPr>
                <w:rFonts w:hint="eastAsia" w:ascii="瀹嬩綋" w:hAnsi="宋体" w:eastAsia="瀹嬩綋" w:cs="宋体"/>
                <w:color w:val="auto"/>
                <w:szCs w:val="21"/>
              </w:rPr>
              <w:t>、</w:t>
            </w:r>
            <w:r>
              <w:rPr>
                <w:rFonts w:cs="Times New Roman"/>
                <w:color w:val="auto"/>
                <w:szCs w:val="21"/>
              </w:rPr>
              <w:t>NO</w:t>
            </w:r>
            <w:r>
              <w:rPr>
                <w:rFonts w:cs="Times New Roman"/>
                <w:color w:val="auto"/>
                <w:sz w:val="14"/>
                <w:szCs w:val="14"/>
              </w:rPr>
              <w:t>X</w:t>
            </w:r>
            <w:r>
              <w:rPr>
                <w:rFonts w:hint="eastAsia" w:ascii="瀹嬩綋" w:hAnsi="宋体" w:eastAsia="瀹嬩綋" w:cs="宋体"/>
                <w:color w:val="auto"/>
                <w:szCs w:val="21"/>
              </w:rPr>
              <w:t>、颗粒物）排放连续监测技术规范》（</w:t>
            </w:r>
            <w:r>
              <w:rPr>
                <w:rFonts w:cs="Times New Roman"/>
                <w:color w:val="auto"/>
                <w:szCs w:val="21"/>
              </w:rPr>
              <w:t>HJ75-2017</w:t>
            </w:r>
            <w:r>
              <w:rPr>
                <w:rFonts w:hint="eastAsia" w:ascii="瀹嬩綋" w:hAnsi="宋体" w:eastAsia="瀹嬩綋" w:cs="宋体"/>
                <w:color w:val="auto"/>
                <w:szCs w:val="21"/>
              </w:rPr>
              <w:t>）等相关要求规范设置在线监测系统。</w:t>
            </w:r>
          </w:p>
        </w:tc>
        <w:tc>
          <w:tcPr>
            <w:tcW w:w="622" w:type="pct"/>
            <w:vMerge w:val="restart"/>
            <w:vAlign w:val="center"/>
          </w:tcPr>
          <w:p w14:paraId="4B9DE8D2">
            <w:pPr>
              <w:pStyle w:val="33"/>
              <w:rPr>
                <w:color w:val="auto"/>
              </w:rPr>
            </w:pPr>
            <w:r>
              <w:rPr>
                <w:rFonts w:hint="eastAsia"/>
                <w:color w:val="auto"/>
              </w:rPr>
              <w:t>建设单位</w:t>
            </w:r>
          </w:p>
        </w:tc>
      </w:tr>
      <w:tr w14:paraId="2368B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 w:type="pct"/>
            <w:vMerge w:val="continue"/>
            <w:vAlign w:val="center"/>
          </w:tcPr>
          <w:p w14:paraId="1AD40791">
            <w:pPr>
              <w:pStyle w:val="33"/>
              <w:rPr>
                <w:color w:val="auto"/>
              </w:rPr>
            </w:pPr>
          </w:p>
        </w:tc>
        <w:tc>
          <w:tcPr>
            <w:tcW w:w="405" w:type="pct"/>
            <w:vAlign w:val="center"/>
          </w:tcPr>
          <w:p w14:paraId="533303DE">
            <w:pPr>
              <w:pStyle w:val="33"/>
              <w:rPr>
                <w:color w:val="auto"/>
              </w:rPr>
            </w:pPr>
            <w:r>
              <w:rPr>
                <w:rFonts w:hint="eastAsia"/>
                <w:color w:val="auto"/>
              </w:rPr>
              <w:t>废水</w:t>
            </w:r>
          </w:p>
        </w:tc>
        <w:tc>
          <w:tcPr>
            <w:tcW w:w="3511" w:type="pct"/>
            <w:vAlign w:val="center"/>
          </w:tcPr>
          <w:p w14:paraId="67282C58">
            <w:pPr>
              <w:pStyle w:val="33"/>
              <w:jc w:val="both"/>
              <w:rPr>
                <w:rFonts w:hint="eastAsia" w:ascii="宋体" w:hAnsi="宋体" w:cs="宋体"/>
                <w:color w:val="auto"/>
              </w:rPr>
            </w:pPr>
            <w:r>
              <w:rPr>
                <w:rFonts w:hint="eastAsia" w:ascii="瀹嬩綋" w:hAnsi="宋体" w:eastAsia="瀹嬩綋" w:cs="宋体"/>
                <w:color w:val="auto"/>
                <w:szCs w:val="21"/>
              </w:rPr>
              <w:t>①专人维护设备、定期更换易损配件，确保处理效率稳定，污染物达标排放。</w:t>
            </w:r>
          </w:p>
          <w:p w14:paraId="0B3A1DDD">
            <w:pPr>
              <w:pStyle w:val="33"/>
              <w:jc w:val="both"/>
              <w:rPr>
                <w:rFonts w:hint="eastAsia" w:ascii="宋体" w:hAnsi="宋体" w:cs="宋体"/>
                <w:color w:val="auto"/>
              </w:rPr>
            </w:pPr>
            <w:r>
              <w:rPr>
                <w:rFonts w:hint="eastAsia" w:ascii="瀹嬩綋" w:hAnsi="宋体" w:eastAsia="瀹嬩綋" w:cs="宋体"/>
                <w:color w:val="auto"/>
                <w:szCs w:val="21"/>
              </w:rPr>
              <w:t>②应按照《水污染源在线监测系统（</w:t>
            </w:r>
            <w:r>
              <w:rPr>
                <w:rFonts w:cs="Times New Roman"/>
                <w:color w:val="auto"/>
                <w:szCs w:val="21"/>
              </w:rPr>
              <w:t>COD</w:t>
            </w:r>
            <w:r>
              <w:rPr>
                <w:rFonts w:cs="Times New Roman"/>
                <w:color w:val="auto"/>
                <w:sz w:val="14"/>
                <w:szCs w:val="14"/>
              </w:rPr>
              <w:t>Cr</w:t>
            </w:r>
            <w:r>
              <w:rPr>
                <w:rFonts w:hint="eastAsia" w:ascii="瀹嬩綋" w:hAnsi="宋体" w:eastAsia="瀹嬩綋" w:cs="宋体"/>
                <w:color w:val="auto"/>
                <w:szCs w:val="21"/>
              </w:rPr>
              <w:t>、</w:t>
            </w:r>
            <w:r>
              <w:rPr>
                <w:rFonts w:cs="Times New Roman"/>
                <w:color w:val="auto"/>
                <w:szCs w:val="21"/>
              </w:rPr>
              <w:t>NH</w:t>
            </w:r>
            <w:r>
              <w:rPr>
                <w:rFonts w:cs="Times New Roman"/>
                <w:color w:val="auto"/>
                <w:sz w:val="14"/>
                <w:szCs w:val="14"/>
              </w:rPr>
              <w:t>3</w:t>
            </w:r>
            <w:r>
              <w:rPr>
                <w:rFonts w:cs="Times New Roman"/>
                <w:color w:val="auto"/>
                <w:szCs w:val="21"/>
              </w:rPr>
              <w:t>-N</w:t>
            </w:r>
            <w:r>
              <w:rPr>
                <w:rFonts w:hint="eastAsia" w:ascii="瀹嬩綋" w:hAnsi="宋体" w:eastAsia="瀹嬩綋" w:cs="宋体"/>
                <w:color w:val="auto"/>
                <w:szCs w:val="21"/>
              </w:rPr>
              <w:t>等）安装技术规范》（</w:t>
            </w:r>
            <w:r>
              <w:rPr>
                <w:rFonts w:cs="Times New Roman"/>
                <w:color w:val="auto"/>
                <w:szCs w:val="21"/>
              </w:rPr>
              <w:t>HJ353-2019</w:t>
            </w:r>
            <w:r>
              <w:rPr>
                <w:rFonts w:hint="eastAsia" w:ascii="瀹嬩綋" w:hAnsi="宋体" w:eastAsia="瀹嬩綋" w:cs="宋体"/>
                <w:color w:val="auto"/>
                <w:szCs w:val="21"/>
              </w:rPr>
              <w:t>）等相关要求规范设置在线监测系统。</w:t>
            </w:r>
          </w:p>
        </w:tc>
        <w:tc>
          <w:tcPr>
            <w:tcW w:w="622" w:type="pct"/>
            <w:vMerge w:val="continue"/>
            <w:vAlign w:val="center"/>
          </w:tcPr>
          <w:p w14:paraId="4F985E5B">
            <w:pPr>
              <w:pStyle w:val="33"/>
              <w:rPr>
                <w:color w:val="auto"/>
              </w:rPr>
            </w:pPr>
          </w:p>
        </w:tc>
      </w:tr>
      <w:tr w14:paraId="5E17D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 w:type="pct"/>
            <w:vMerge w:val="continue"/>
            <w:vAlign w:val="center"/>
          </w:tcPr>
          <w:p w14:paraId="0326A1BC">
            <w:pPr>
              <w:pStyle w:val="33"/>
              <w:rPr>
                <w:color w:val="auto"/>
              </w:rPr>
            </w:pPr>
          </w:p>
        </w:tc>
        <w:tc>
          <w:tcPr>
            <w:tcW w:w="405" w:type="pct"/>
            <w:vAlign w:val="center"/>
          </w:tcPr>
          <w:p w14:paraId="7C176323">
            <w:pPr>
              <w:pStyle w:val="33"/>
              <w:rPr>
                <w:color w:val="auto"/>
              </w:rPr>
            </w:pPr>
            <w:r>
              <w:rPr>
                <w:rFonts w:hint="eastAsia"/>
                <w:color w:val="auto"/>
              </w:rPr>
              <w:t>噪声</w:t>
            </w:r>
          </w:p>
        </w:tc>
        <w:tc>
          <w:tcPr>
            <w:tcW w:w="3511" w:type="pct"/>
            <w:vAlign w:val="center"/>
          </w:tcPr>
          <w:p w14:paraId="28433E9D">
            <w:pPr>
              <w:pStyle w:val="33"/>
              <w:jc w:val="both"/>
              <w:rPr>
                <w:rFonts w:hint="eastAsia" w:ascii="宋体" w:hAnsi="宋体" w:cs="宋体"/>
                <w:color w:val="auto"/>
              </w:rPr>
            </w:pPr>
            <w:r>
              <w:rPr>
                <w:rFonts w:hint="eastAsia" w:ascii="瀹嬩綋" w:hAnsi="宋体" w:eastAsia="瀹嬩綋" w:cs="宋体"/>
                <w:color w:val="auto"/>
                <w:szCs w:val="21"/>
              </w:rPr>
              <w:t>维护、管理噪声减缓设备，在所有高噪设备噪声排放口相应位置安装规范的噪声环境保护图形标志。</w:t>
            </w:r>
          </w:p>
        </w:tc>
        <w:tc>
          <w:tcPr>
            <w:tcW w:w="622" w:type="pct"/>
            <w:vMerge w:val="continue"/>
            <w:vAlign w:val="center"/>
          </w:tcPr>
          <w:p w14:paraId="36C5D20C">
            <w:pPr>
              <w:pStyle w:val="33"/>
              <w:rPr>
                <w:color w:val="auto"/>
              </w:rPr>
            </w:pPr>
          </w:p>
        </w:tc>
      </w:tr>
      <w:tr w14:paraId="3765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 w:type="pct"/>
            <w:vMerge w:val="continue"/>
            <w:vAlign w:val="center"/>
          </w:tcPr>
          <w:p w14:paraId="53533525">
            <w:pPr>
              <w:pStyle w:val="33"/>
              <w:rPr>
                <w:color w:val="auto"/>
              </w:rPr>
            </w:pPr>
          </w:p>
        </w:tc>
        <w:tc>
          <w:tcPr>
            <w:tcW w:w="405" w:type="pct"/>
            <w:vAlign w:val="center"/>
          </w:tcPr>
          <w:p w14:paraId="3A2AA59B">
            <w:pPr>
              <w:pStyle w:val="33"/>
              <w:rPr>
                <w:color w:val="auto"/>
              </w:rPr>
            </w:pPr>
            <w:r>
              <w:rPr>
                <w:rFonts w:hint="eastAsia"/>
                <w:color w:val="auto"/>
              </w:rPr>
              <w:t>固体废物</w:t>
            </w:r>
          </w:p>
        </w:tc>
        <w:tc>
          <w:tcPr>
            <w:tcW w:w="3511" w:type="pct"/>
            <w:vAlign w:val="center"/>
          </w:tcPr>
          <w:p w14:paraId="11200AFF">
            <w:pPr>
              <w:pStyle w:val="33"/>
              <w:jc w:val="both"/>
              <w:rPr>
                <w:rFonts w:hint="eastAsia" w:ascii="宋体" w:hAnsi="宋体" w:cs="宋体"/>
                <w:color w:val="auto"/>
              </w:rPr>
            </w:pPr>
            <w:r>
              <w:rPr>
                <w:rFonts w:hint="eastAsia" w:ascii="瀹嬩綋" w:hAnsi="宋体" w:eastAsia="瀹嬩綋" w:cs="宋体"/>
                <w:color w:val="auto"/>
                <w:szCs w:val="21"/>
              </w:rPr>
              <w:t>①集中管理，堆存场地按有关工程规范建设维护，做好防渗等。</w:t>
            </w:r>
          </w:p>
          <w:p w14:paraId="15528A64">
            <w:pPr>
              <w:pStyle w:val="33"/>
              <w:jc w:val="both"/>
              <w:rPr>
                <w:rFonts w:hint="eastAsia" w:ascii="宋体" w:hAnsi="宋体" w:cs="宋体"/>
                <w:color w:val="auto"/>
              </w:rPr>
            </w:pPr>
            <w:r>
              <w:rPr>
                <w:rFonts w:hint="eastAsia" w:ascii="瀹嬩綋" w:hAnsi="宋体" w:eastAsia="瀹嬩綋" w:cs="宋体"/>
                <w:color w:val="auto"/>
                <w:szCs w:val="21"/>
              </w:rPr>
              <w:t>②应在厂区固废堆放场位置设置环保标志牌，设置防雨、防扬散、防流失、防渗漏等措施。</w:t>
            </w:r>
          </w:p>
        </w:tc>
        <w:tc>
          <w:tcPr>
            <w:tcW w:w="622" w:type="pct"/>
            <w:vMerge w:val="continue"/>
            <w:vAlign w:val="center"/>
          </w:tcPr>
          <w:p w14:paraId="1A93E92F">
            <w:pPr>
              <w:pStyle w:val="33"/>
              <w:rPr>
                <w:color w:val="auto"/>
              </w:rPr>
            </w:pPr>
          </w:p>
        </w:tc>
      </w:tr>
      <w:tr w14:paraId="080CF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2" w:type="pct"/>
            <w:vMerge w:val="continue"/>
            <w:vAlign w:val="center"/>
          </w:tcPr>
          <w:p w14:paraId="4A4C6B81">
            <w:pPr>
              <w:pStyle w:val="33"/>
              <w:rPr>
                <w:color w:val="auto"/>
              </w:rPr>
            </w:pPr>
          </w:p>
        </w:tc>
        <w:tc>
          <w:tcPr>
            <w:tcW w:w="405" w:type="pct"/>
            <w:vAlign w:val="center"/>
          </w:tcPr>
          <w:p w14:paraId="70C503E2">
            <w:pPr>
              <w:pStyle w:val="33"/>
              <w:rPr>
                <w:color w:val="auto"/>
              </w:rPr>
            </w:pPr>
            <w:r>
              <w:rPr>
                <w:rFonts w:hint="eastAsia"/>
                <w:color w:val="auto"/>
              </w:rPr>
              <w:t>危险废物</w:t>
            </w:r>
          </w:p>
        </w:tc>
        <w:tc>
          <w:tcPr>
            <w:tcW w:w="3511" w:type="pct"/>
            <w:vAlign w:val="center"/>
          </w:tcPr>
          <w:p w14:paraId="5132F501">
            <w:pPr>
              <w:pStyle w:val="33"/>
              <w:jc w:val="both"/>
              <w:rPr>
                <w:rFonts w:hint="eastAsia" w:ascii="宋体" w:hAnsi="宋体" w:cs="宋体"/>
                <w:color w:val="auto"/>
              </w:rPr>
            </w:pPr>
            <w:r>
              <w:rPr>
                <w:rFonts w:hint="eastAsia" w:ascii="瀹嬩綋" w:hAnsi="宋体" w:eastAsia="瀹嬩綋" w:cs="宋体"/>
                <w:color w:val="auto"/>
                <w:szCs w:val="21"/>
              </w:rPr>
              <w:t>编制危险废物管理计划、应急预案；危险废物暂存间落实</w:t>
            </w:r>
            <w:r>
              <w:rPr>
                <w:rFonts w:cs="Times New Roman"/>
                <w:color w:val="auto"/>
                <w:szCs w:val="21"/>
              </w:rPr>
              <w:t>“</w:t>
            </w:r>
            <w:r>
              <w:rPr>
                <w:rFonts w:hint="eastAsia" w:ascii="瀹嬩綋" w:hAnsi="宋体" w:eastAsia="瀹嬩綋" w:cs="宋体"/>
                <w:color w:val="auto"/>
                <w:szCs w:val="21"/>
              </w:rPr>
              <w:t>三防</w:t>
            </w:r>
            <w:r>
              <w:rPr>
                <w:rFonts w:cs="Times New Roman"/>
                <w:color w:val="auto"/>
                <w:szCs w:val="21"/>
              </w:rPr>
              <w:t>”</w:t>
            </w:r>
            <w:r>
              <w:rPr>
                <w:rFonts w:hint="eastAsia" w:ascii="瀹嬩綋" w:hAnsi="宋体" w:eastAsia="瀹嬩綋" w:cs="宋体"/>
                <w:color w:val="auto"/>
                <w:szCs w:val="21"/>
              </w:rPr>
              <w:t>措施，搬运过程做好防护准备。</w:t>
            </w:r>
          </w:p>
        </w:tc>
        <w:tc>
          <w:tcPr>
            <w:tcW w:w="622" w:type="pct"/>
            <w:vMerge w:val="continue"/>
            <w:vAlign w:val="center"/>
          </w:tcPr>
          <w:p w14:paraId="2AEE039A">
            <w:pPr>
              <w:pStyle w:val="33"/>
              <w:rPr>
                <w:color w:val="auto"/>
              </w:rPr>
            </w:pPr>
          </w:p>
        </w:tc>
      </w:tr>
      <w:tr w14:paraId="10115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74301F33">
            <w:pPr>
              <w:pStyle w:val="33"/>
              <w:rPr>
                <w:color w:val="auto"/>
              </w:rPr>
            </w:pPr>
            <w:r>
              <w:rPr>
                <w:rFonts w:hint="eastAsia"/>
                <w:color w:val="auto"/>
              </w:rPr>
              <w:t>风险防范措施</w:t>
            </w:r>
          </w:p>
        </w:tc>
        <w:tc>
          <w:tcPr>
            <w:tcW w:w="3511" w:type="pct"/>
            <w:vAlign w:val="center"/>
          </w:tcPr>
          <w:p w14:paraId="7529E81A">
            <w:pPr>
              <w:pStyle w:val="33"/>
              <w:jc w:val="both"/>
              <w:rPr>
                <w:rFonts w:ascii="瀹嬩綋" w:hAnsi="宋体" w:eastAsia="瀹嬩綋" w:cs="宋体"/>
                <w:color w:val="auto"/>
                <w:szCs w:val="21"/>
              </w:rPr>
            </w:pPr>
            <w:r>
              <w:rPr>
                <w:rFonts w:hint="eastAsia" w:ascii="瀹嬩綋" w:hAnsi="宋体" w:eastAsia="瀹嬩綋" w:cs="宋体"/>
                <w:color w:val="auto"/>
                <w:szCs w:val="21"/>
              </w:rPr>
              <w:t>①接触到危险化学品的人员必须了解危险化学品的性质、危害特性和发生意外时的应急措施；必须配备必要的应急处理器材和防护用品。</w:t>
            </w:r>
          </w:p>
          <w:p w14:paraId="63BA21F5">
            <w:pPr>
              <w:pStyle w:val="33"/>
              <w:jc w:val="both"/>
              <w:rPr>
                <w:rFonts w:ascii="瀹嬩綋" w:hAnsi="宋体" w:eastAsia="瀹嬩綋" w:cs="宋体"/>
                <w:color w:val="auto"/>
                <w:szCs w:val="21"/>
              </w:rPr>
            </w:pPr>
            <w:r>
              <w:rPr>
                <w:rFonts w:hint="eastAsia" w:ascii="瀹嬩綋" w:hAnsi="宋体" w:eastAsia="瀹嬩綋" w:cs="宋体"/>
                <w:color w:val="auto"/>
                <w:szCs w:val="21"/>
              </w:rPr>
              <w:t>②危险化学品库房结构完整、通风，远离热源火源，保持整洁，设置泄漏报警装置。厂区应设置应急事故池。</w:t>
            </w:r>
          </w:p>
          <w:p w14:paraId="76B59F39">
            <w:pPr>
              <w:pStyle w:val="33"/>
              <w:jc w:val="both"/>
              <w:rPr>
                <w:rFonts w:ascii="瀹嬩綋" w:hAnsi="宋体" w:eastAsia="瀹嬩綋" w:cs="宋体"/>
                <w:color w:val="auto"/>
                <w:szCs w:val="21"/>
              </w:rPr>
            </w:pPr>
            <w:r>
              <w:rPr>
                <w:rFonts w:hint="eastAsia" w:ascii="瀹嬩綋" w:hAnsi="宋体" w:eastAsia="瀹嬩綋" w:cs="宋体"/>
                <w:color w:val="auto"/>
                <w:szCs w:val="21"/>
              </w:rPr>
              <w:t>③具体详细措施参见环境风险评价章节。</w:t>
            </w:r>
          </w:p>
        </w:tc>
        <w:tc>
          <w:tcPr>
            <w:tcW w:w="622" w:type="pct"/>
            <w:vAlign w:val="center"/>
          </w:tcPr>
          <w:p w14:paraId="30AA4B23">
            <w:pPr>
              <w:pStyle w:val="33"/>
              <w:rPr>
                <w:color w:val="auto"/>
              </w:rPr>
            </w:pPr>
            <w:r>
              <w:rPr>
                <w:rFonts w:hint="eastAsia"/>
                <w:color w:val="auto"/>
              </w:rPr>
              <w:t>建设单位</w:t>
            </w:r>
          </w:p>
        </w:tc>
      </w:tr>
      <w:tr w14:paraId="485BD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04C02F9B">
            <w:pPr>
              <w:pStyle w:val="33"/>
              <w:rPr>
                <w:color w:val="auto"/>
              </w:rPr>
            </w:pPr>
            <w:r>
              <w:rPr>
                <w:rFonts w:hint="eastAsia"/>
                <w:color w:val="auto"/>
              </w:rPr>
              <w:t>环境监测</w:t>
            </w:r>
          </w:p>
        </w:tc>
        <w:tc>
          <w:tcPr>
            <w:tcW w:w="3511" w:type="pct"/>
            <w:vAlign w:val="center"/>
          </w:tcPr>
          <w:p w14:paraId="5BEF056E">
            <w:pPr>
              <w:pStyle w:val="33"/>
              <w:jc w:val="both"/>
              <w:rPr>
                <w:rFonts w:ascii="瀹嬩綋" w:hAnsi="宋体" w:eastAsia="瀹嬩綋" w:cs="宋体"/>
                <w:color w:val="auto"/>
                <w:szCs w:val="21"/>
              </w:rPr>
            </w:pPr>
            <w:r>
              <w:rPr>
                <w:rFonts w:hint="eastAsia" w:ascii="瀹嬩綋" w:hAnsi="宋体" w:eastAsia="瀹嬩綋" w:cs="宋体"/>
                <w:color w:val="auto"/>
                <w:szCs w:val="21"/>
              </w:rPr>
              <w:t>①按照国家有关的监测技术规范、监测分析方法标准以及环境监测制度执行。对运营期间的污染源及环境质量进行监测，根据自身条件和能力，利用自有人员、场所和设备自行监测；也可委托其他有资质的检（监）测机构进行。对监测结果进行收集、整理、存档，将相应环保信息进行公开。</w:t>
            </w:r>
          </w:p>
          <w:p w14:paraId="7BB028AB">
            <w:pPr>
              <w:pStyle w:val="33"/>
              <w:jc w:val="both"/>
              <w:rPr>
                <w:rFonts w:ascii="瀹嬩綋" w:hAnsi="宋体" w:eastAsia="瀹嬩綋" w:cs="宋体"/>
                <w:color w:val="auto"/>
                <w:szCs w:val="21"/>
              </w:rPr>
            </w:pPr>
            <w:r>
              <w:rPr>
                <w:rFonts w:hint="eastAsia" w:ascii="瀹嬩綋" w:hAnsi="宋体" w:eastAsia="瀹嬩綋" w:cs="宋体"/>
                <w:color w:val="auto"/>
                <w:szCs w:val="21"/>
              </w:rPr>
              <w:t>②在线监测设备应进行日常巡检、日常维护保养、设备校准和校验。</w:t>
            </w:r>
          </w:p>
          <w:p w14:paraId="301534EA">
            <w:pPr>
              <w:pStyle w:val="33"/>
              <w:jc w:val="both"/>
              <w:rPr>
                <w:rFonts w:ascii="瀹嬩綋" w:hAnsi="宋体" w:eastAsia="瀹嬩綋" w:cs="宋体"/>
                <w:color w:val="auto"/>
                <w:szCs w:val="21"/>
              </w:rPr>
            </w:pPr>
            <w:r>
              <w:rPr>
                <w:rFonts w:hint="eastAsia" w:ascii="瀹嬩綋" w:hAnsi="宋体" w:eastAsia="瀹嬩綋" w:cs="宋体"/>
                <w:color w:val="auto"/>
                <w:szCs w:val="21"/>
              </w:rPr>
              <w:t>③因检修、停炉或市场因素导致停产造成污染源自动监控系统仪器需停用时，应根据相关规定向生态环境部门提交污染源自动监测设施停用报告，对仪器进行废液排空、清洗管路、清洗探头等必要的停机保养维护工作，必要时可将烟（管）道上安装的部分设备拆下保存，以免损坏。</w:t>
            </w:r>
          </w:p>
        </w:tc>
        <w:tc>
          <w:tcPr>
            <w:tcW w:w="622" w:type="pct"/>
            <w:vAlign w:val="center"/>
          </w:tcPr>
          <w:p w14:paraId="389BB42C">
            <w:pPr>
              <w:pStyle w:val="33"/>
              <w:rPr>
                <w:color w:val="auto"/>
              </w:rPr>
            </w:pPr>
            <w:r>
              <w:rPr>
                <w:rFonts w:hint="eastAsia"/>
                <w:color w:val="auto"/>
              </w:rPr>
              <w:t>建设单位、监测单位</w:t>
            </w:r>
          </w:p>
        </w:tc>
      </w:tr>
      <w:tr w14:paraId="04FC5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06DBE92E">
            <w:pPr>
              <w:pStyle w:val="33"/>
              <w:rPr>
                <w:color w:val="auto"/>
              </w:rPr>
            </w:pPr>
            <w:r>
              <w:rPr>
                <w:rFonts w:hint="eastAsia"/>
                <w:color w:val="auto"/>
              </w:rPr>
              <w:t>台账管理</w:t>
            </w:r>
          </w:p>
        </w:tc>
        <w:tc>
          <w:tcPr>
            <w:tcW w:w="3511" w:type="pct"/>
            <w:vAlign w:val="center"/>
          </w:tcPr>
          <w:p w14:paraId="3D8D45A7">
            <w:pPr>
              <w:pStyle w:val="33"/>
              <w:jc w:val="both"/>
              <w:rPr>
                <w:rFonts w:ascii="瀹嬩綋" w:hAnsi="宋体" w:eastAsia="瀹嬩綋" w:cs="宋体"/>
                <w:color w:val="auto"/>
                <w:szCs w:val="21"/>
              </w:rPr>
            </w:pPr>
            <w:r>
              <w:rPr>
                <w:rFonts w:hint="eastAsia" w:ascii="瀹嬩綋" w:hAnsi="宋体" w:eastAsia="瀹嬩綋" w:cs="宋体"/>
                <w:color w:val="auto"/>
                <w:szCs w:val="21"/>
              </w:rPr>
              <w:t>①应对拟建项目所有排放口的名称、位置、数量以及排放污染物名称、数量等内容设立台账进行记录，并根据相关要求上报当地生态环境部门。</w:t>
            </w:r>
          </w:p>
          <w:p w14:paraId="6FB5FD7E">
            <w:pPr>
              <w:pStyle w:val="33"/>
              <w:jc w:val="both"/>
              <w:rPr>
                <w:rFonts w:ascii="瀹嬩綋" w:hAnsi="宋体" w:eastAsia="瀹嬩綋" w:cs="宋体"/>
                <w:color w:val="auto"/>
                <w:szCs w:val="21"/>
              </w:rPr>
            </w:pPr>
            <w:r>
              <w:rPr>
                <w:rFonts w:hint="eastAsia" w:ascii="瀹嬩綋" w:hAnsi="宋体" w:eastAsia="瀹嬩綋" w:cs="宋体"/>
                <w:color w:val="auto"/>
                <w:szCs w:val="21"/>
              </w:rPr>
              <w:t>②对各项环保设施运行状况进行记录，对重要的环境因素、环保检查、环境事件、非正常工况</w:t>
            </w:r>
            <w:r>
              <w:rPr>
                <w:rFonts w:ascii="瀹嬩綋" w:hAnsi="宋体" w:eastAsia="瀹嬩綋" w:cs="宋体"/>
                <w:color w:val="auto"/>
                <w:szCs w:val="21"/>
              </w:rPr>
              <w:t>“</w:t>
            </w:r>
            <w:r>
              <w:rPr>
                <w:rFonts w:hint="eastAsia" w:ascii="瀹嬩綋" w:hAnsi="宋体" w:eastAsia="瀹嬩綋" w:cs="宋体"/>
                <w:color w:val="auto"/>
                <w:szCs w:val="21"/>
              </w:rPr>
              <w:t>三废</w:t>
            </w:r>
            <w:r>
              <w:rPr>
                <w:rFonts w:ascii="瀹嬩綋" w:hAnsi="宋体" w:eastAsia="瀹嬩綋" w:cs="宋体"/>
                <w:color w:val="auto"/>
                <w:szCs w:val="21"/>
              </w:rPr>
              <w:t>”</w:t>
            </w:r>
            <w:r>
              <w:rPr>
                <w:rFonts w:hint="eastAsia" w:ascii="瀹嬩綋" w:hAnsi="宋体" w:eastAsia="瀹嬩綋" w:cs="宋体"/>
                <w:color w:val="auto"/>
                <w:szCs w:val="21"/>
              </w:rPr>
              <w:t>排放、环保设施的常规检测形成的台账进行存档。</w:t>
            </w:r>
          </w:p>
        </w:tc>
        <w:tc>
          <w:tcPr>
            <w:tcW w:w="622" w:type="pct"/>
            <w:vAlign w:val="center"/>
          </w:tcPr>
          <w:p w14:paraId="33CAC535">
            <w:pPr>
              <w:pStyle w:val="33"/>
              <w:rPr>
                <w:color w:val="auto"/>
              </w:rPr>
            </w:pPr>
            <w:r>
              <w:rPr>
                <w:rFonts w:hint="eastAsia"/>
                <w:color w:val="auto"/>
              </w:rPr>
              <w:t>建设单位</w:t>
            </w:r>
          </w:p>
        </w:tc>
      </w:tr>
      <w:tr w14:paraId="73950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5F466352">
            <w:pPr>
              <w:pStyle w:val="33"/>
              <w:rPr>
                <w:color w:val="auto"/>
              </w:rPr>
            </w:pPr>
            <w:r>
              <w:rPr>
                <w:rFonts w:hint="eastAsia"/>
                <w:color w:val="auto"/>
              </w:rPr>
              <w:t>组织机构</w:t>
            </w:r>
          </w:p>
        </w:tc>
        <w:tc>
          <w:tcPr>
            <w:tcW w:w="3511" w:type="pct"/>
            <w:vAlign w:val="center"/>
          </w:tcPr>
          <w:p w14:paraId="2A5D36A7">
            <w:pPr>
              <w:pStyle w:val="33"/>
              <w:jc w:val="both"/>
              <w:rPr>
                <w:rFonts w:ascii="瀹嬩綋" w:hAnsi="宋体" w:eastAsia="瀹嬩綋" w:cs="宋体"/>
                <w:color w:val="auto"/>
                <w:szCs w:val="21"/>
              </w:rPr>
            </w:pPr>
            <w:r>
              <w:rPr>
                <w:rFonts w:hint="eastAsia" w:ascii="瀹嬩綋" w:hAnsi="宋体" w:eastAsia="瀹嬩綋" w:cs="宋体"/>
                <w:color w:val="auto"/>
                <w:szCs w:val="21"/>
              </w:rPr>
              <w:t>组织形成环保管理队伍，负责公司的日常环境管理和环保设备的运行、维护。</w:t>
            </w:r>
          </w:p>
        </w:tc>
        <w:tc>
          <w:tcPr>
            <w:tcW w:w="622" w:type="pct"/>
            <w:vAlign w:val="center"/>
          </w:tcPr>
          <w:p w14:paraId="550673CB">
            <w:pPr>
              <w:pStyle w:val="33"/>
              <w:rPr>
                <w:color w:val="auto"/>
              </w:rPr>
            </w:pPr>
            <w:r>
              <w:rPr>
                <w:rFonts w:hint="eastAsia"/>
                <w:color w:val="auto"/>
              </w:rPr>
              <w:t>建设单位</w:t>
            </w:r>
          </w:p>
        </w:tc>
      </w:tr>
      <w:tr w14:paraId="430FF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36FCB495">
            <w:pPr>
              <w:pStyle w:val="33"/>
              <w:rPr>
                <w:color w:val="auto"/>
              </w:rPr>
            </w:pPr>
            <w:r>
              <w:rPr>
                <w:rFonts w:hint="eastAsia"/>
                <w:color w:val="auto"/>
              </w:rPr>
              <w:t>信息公开</w:t>
            </w:r>
          </w:p>
        </w:tc>
        <w:tc>
          <w:tcPr>
            <w:tcW w:w="3511" w:type="pct"/>
            <w:vAlign w:val="center"/>
          </w:tcPr>
          <w:p w14:paraId="17A8774C">
            <w:pPr>
              <w:pStyle w:val="33"/>
              <w:jc w:val="both"/>
              <w:rPr>
                <w:rFonts w:ascii="瀹嬩綋" w:hAnsi="宋体" w:eastAsia="瀹嬩綋" w:cs="宋体"/>
                <w:color w:val="auto"/>
                <w:szCs w:val="21"/>
              </w:rPr>
            </w:pPr>
            <w:r>
              <w:rPr>
                <w:rFonts w:hint="eastAsia" w:ascii="瀹嬩綋" w:hAnsi="宋体" w:eastAsia="瀹嬩綋" w:cs="宋体"/>
                <w:color w:val="auto"/>
                <w:szCs w:val="21"/>
              </w:rPr>
              <w:t>根据生态环境部发布的《企业环境信息依法披露管理办法》（部令第</w:t>
            </w:r>
            <w:r>
              <w:rPr>
                <w:rFonts w:ascii="瀹嬩綋" w:hAnsi="宋体" w:eastAsia="瀹嬩綋" w:cs="宋体"/>
                <w:color w:val="auto"/>
                <w:szCs w:val="21"/>
              </w:rPr>
              <w:t>24</w:t>
            </w:r>
            <w:r>
              <w:rPr>
                <w:rFonts w:hint="eastAsia" w:ascii="瀹嬩綋" w:hAnsi="宋体" w:eastAsia="瀹嬩綋" w:cs="宋体"/>
                <w:color w:val="auto"/>
                <w:szCs w:val="21"/>
              </w:rPr>
              <w:t>号），参照《国家重点监控企业自行监测及信息公开办法（试行）》和《国家重点监控企业污染源监督性监测及信息公开办法（试行）》（环发〔2013〕</w:t>
            </w:r>
            <w:r>
              <w:rPr>
                <w:rFonts w:ascii="瀹嬩綋" w:hAnsi="宋体" w:eastAsia="瀹嬩綋" w:cs="宋体"/>
                <w:color w:val="auto"/>
                <w:szCs w:val="21"/>
              </w:rPr>
              <w:t>81</w:t>
            </w:r>
            <w:r>
              <w:rPr>
                <w:rFonts w:hint="eastAsia" w:ascii="瀹嬩綋" w:hAnsi="宋体" w:eastAsia="瀹嬩綋" w:cs="宋体"/>
                <w:color w:val="auto"/>
                <w:szCs w:val="21"/>
              </w:rPr>
              <w:t>号）等相关要求执行。</w:t>
            </w:r>
          </w:p>
        </w:tc>
        <w:tc>
          <w:tcPr>
            <w:tcW w:w="622" w:type="pct"/>
            <w:vAlign w:val="center"/>
          </w:tcPr>
          <w:p w14:paraId="34F556CE">
            <w:pPr>
              <w:pStyle w:val="33"/>
              <w:rPr>
                <w:color w:val="auto"/>
              </w:rPr>
            </w:pPr>
            <w:r>
              <w:rPr>
                <w:rFonts w:hint="eastAsia"/>
                <w:color w:val="auto"/>
              </w:rPr>
              <w:t>建设单位</w:t>
            </w:r>
          </w:p>
        </w:tc>
      </w:tr>
      <w:tr w14:paraId="0702C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57CA4D42">
            <w:pPr>
              <w:pStyle w:val="33"/>
              <w:jc w:val="both"/>
              <w:rPr>
                <w:color w:val="auto"/>
              </w:rPr>
            </w:pPr>
            <w:r>
              <w:rPr>
                <w:rFonts w:hint="eastAsia"/>
                <w:color w:val="auto"/>
              </w:rPr>
              <w:t>二、非正常工况</w:t>
            </w:r>
          </w:p>
        </w:tc>
      </w:tr>
      <w:tr w14:paraId="6C188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0FF82CE9">
            <w:pPr>
              <w:pStyle w:val="33"/>
              <w:rPr>
                <w:color w:val="auto"/>
              </w:rPr>
            </w:pPr>
            <w:r>
              <w:rPr>
                <w:rFonts w:hint="eastAsia"/>
                <w:color w:val="auto"/>
              </w:rPr>
              <w:t>废气、废水污染事故</w:t>
            </w:r>
          </w:p>
        </w:tc>
        <w:tc>
          <w:tcPr>
            <w:tcW w:w="3511" w:type="pct"/>
            <w:vAlign w:val="center"/>
          </w:tcPr>
          <w:p w14:paraId="3EDF927A">
            <w:pPr>
              <w:pStyle w:val="33"/>
              <w:jc w:val="both"/>
              <w:rPr>
                <w:rFonts w:ascii="瀹嬩綋" w:hAnsi="宋体" w:eastAsia="瀹嬩綋" w:cs="宋体"/>
                <w:color w:val="auto"/>
                <w:szCs w:val="21"/>
              </w:rPr>
            </w:pPr>
            <w:r>
              <w:rPr>
                <w:rFonts w:hint="eastAsia" w:ascii="瀹嬩綋" w:hAnsi="宋体" w:eastAsia="瀹嬩綋" w:cs="宋体"/>
                <w:color w:val="auto"/>
                <w:szCs w:val="21"/>
              </w:rPr>
              <w:t>①制定污染事故应急预案，并落实相关防护措施。</w:t>
            </w:r>
          </w:p>
          <w:p w14:paraId="22033620">
            <w:pPr>
              <w:pStyle w:val="33"/>
              <w:jc w:val="both"/>
              <w:rPr>
                <w:rFonts w:ascii="瀹嬩綋" w:hAnsi="宋体" w:eastAsia="瀹嬩綋" w:cs="宋体"/>
                <w:color w:val="auto"/>
                <w:szCs w:val="21"/>
              </w:rPr>
            </w:pPr>
            <w:r>
              <w:rPr>
                <w:rFonts w:hint="eastAsia" w:ascii="瀹嬩綋" w:hAnsi="宋体" w:eastAsia="瀹嬩綋" w:cs="宋体"/>
                <w:color w:val="auto"/>
                <w:szCs w:val="21"/>
              </w:rPr>
              <w:t>②当发生污染事故时，应根据具体情况采取污染控制措施，增加监测频次，并进行跟踪监测。</w:t>
            </w:r>
          </w:p>
        </w:tc>
        <w:tc>
          <w:tcPr>
            <w:tcW w:w="622" w:type="pct"/>
            <w:vAlign w:val="center"/>
          </w:tcPr>
          <w:p w14:paraId="7040415D">
            <w:pPr>
              <w:pStyle w:val="33"/>
              <w:rPr>
                <w:color w:val="auto"/>
              </w:rPr>
            </w:pPr>
            <w:r>
              <w:rPr>
                <w:rFonts w:hint="eastAsia"/>
                <w:color w:val="auto"/>
              </w:rPr>
              <w:t>建设单位</w:t>
            </w:r>
          </w:p>
        </w:tc>
      </w:tr>
      <w:tr w14:paraId="4EAED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7" w:type="pct"/>
            <w:gridSpan w:val="2"/>
            <w:vAlign w:val="center"/>
          </w:tcPr>
          <w:p w14:paraId="032DCB86">
            <w:pPr>
              <w:pStyle w:val="33"/>
              <w:rPr>
                <w:color w:val="auto"/>
              </w:rPr>
            </w:pPr>
            <w:r>
              <w:rPr>
                <w:rFonts w:hint="eastAsia"/>
                <w:color w:val="auto"/>
              </w:rPr>
              <w:t>环境风险事故排放</w:t>
            </w:r>
          </w:p>
        </w:tc>
        <w:tc>
          <w:tcPr>
            <w:tcW w:w="3511" w:type="pct"/>
            <w:vAlign w:val="center"/>
          </w:tcPr>
          <w:p w14:paraId="0EE57F11">
            <w:pPr>
              <w:pStyle w:val="33"/>
              <w:jc w:val="both"/>
              <w:rPr>
                <w:rFonts w:ascii="瀹嬩綋" w:hAnsi="宋体" w:eastAsia="瀹嬩綋" w:cs="宋体"/>
                <w:color w:val="auto"/>
                <w:szCs w:val="21"/>
              </w:rPr>
            </w:pPr>
            <w:r>
              <w:rPr>
                <w:rFonts w:hint="eastAsia" w:ascii="瀹嬩綋" w:hAnsi="宋体" w:eastAsia="瀹嬩綋" w:cs="宋体"/>
                <w:color w:val="auto"/>
                <w:szCs w:val="21"/>
              </w:rPr>
              <w:t>①执行本次评价提出的环境风险防范措施及事故风险应急救援措施。</w:t>
            </w:r>
          </w:p>
          <w:p w14:paraId="1548692D">
            <w:pPr>
              <w:pStyle w:val="33"/>
              <w:jc w:val="both"/>
              <w:rPr>
                <w:rFonts w:ascii="瀹嬩綋" w:hAnsi="宋体" w:eastAsia="瀹嬩綋" w:cs="宋体"/>
                <w:color w:val="auto"/>
                <w:szCs w:val="21"/>
              </w:rPr>
            </w:pPr>
            <w:r>
              <w:rPr>
                <w:rFonts w:hint="eastAsia" w:ascii="瀹嬩綋" w:hAnsi="宋体" w:eastAsia="瀹嬩綋" w:cs="宋体"/>
                <w:color w:val="auto"/>
                <w:szCs w:val="21"/>
              </w:rPr>
              <w:t>②增加环境质量监测的监测频次，并进行环境跟踪监测。</w:t>
            </w:r>
          </w:p>
          <w:p w14:paraId="15F79E18">
            <w:pPr>
              <w:pStyle w:val="33"/>
              <w:jc w:val="both"/>
              <w:rPr>
                <w:rFonts w:ascii="瀹嬩綋" w:hAnsi="宋体" w:eastAsia="瀹嬩綋" w:cs="宋体"/>
                <w:color w:val="auto"/>
                <w:szCs w:val="21"/>
              </w:rPr>
            </w:pPr>
            <w:r>
              <w:rPr>
                <w:rFonts w:hint="eastAsia" w:ascii="瀹嬩綋" w:hAnsi="宋体" w:eastAsia="瀹嬩綋" w:cs="宋体"/>
                <w:color w:val="auto"/>
                <w:szCs w:val="21"/>
              </w:rPr>
              <w:t>③将泄漏源信息、监测数据上报给相应主管部门。</w:t>
            </w:r>
          </w:p>
        </w:tc>
        <w:tc>
          <w:tcPr>
            <w:tcW w:w="622" w:type="pct"/>
            <w:vAlign w:val="center"/>
          </w:tcPr>
          <w:p w14:paraId="5778C1C7">
            <w:pPr>
              <w:pStyle w:val="33"/>
              <w:rPr>
                <w:color w:val="auto"/>
              </w:rPr>
            </w:pPr>
            <w:r>
              <w:rPr>
                <w:rFonts w:hint="eastAsia"/>
                <w:color w:val="auto"/>
              </w:rPr>
              <w:t>建设单位</w:t>
            </w:r>
          </w:p>
        </w:tc>
      </w:tr>
    </w:tbl>
    <w:p w14:paraId="25AB6964">
      <w:pPr>
        <w:pStyle w:val="3"/>
        <w:rPr>
          <w:color w:val="auto"/>
        </w:rPr>
      </w:pPr>
      <w:bookmarkStart w:id="637" w:name="_Toc198390784"/>
      <w:bookmarkStart w:id="638" w:name="_Toc199190685"/>
      <w:bookmarkStart w:id="639" w:name="_Toc198390068"/>
      <w:bookmarkStart w:id="640" w:name="_Toc198391437"/>
      <w:bookmarkStart w:id="641" w:name="_Toc225216885"/>
      <w:bookmarkStart w:id="642" w:name="_Toc199169193"/>
      <w:bookmarkStart w:id="643" w:name="_Toc221355755"/>
      <w:r>
        <w:rPr>
          <w:rFonts w:hint="eastAsia"/>
          <w:color w:val="auto"/>
        </w:rPr>
        <w:t>污染物排放清单及管理措施</w:t>
      </w:r>
      <w:bookmarkEnd w:id="637"/>
      <w:bookmarkEnd w:id="638"/>
      <w:bookmarkEnd w:id="639"/>
      <w:bookmarkEnd w:id="640"/>
      <w:bookmarkEnd w:id="641"/>
      <w:bookmarkEnd w:id="642"/>
      <w:bookmarkEnd w:id="643"/>
    </w:p>
    <w:p w14:paraId="3BF6F0C1">
      <w:pPr>
        <w:pStyle w:val="4"/>
        <w:rPr>
          <w:color w:val="auto"/>
        </w:rPr>
      </w:pPr>
      <w:bookmarkStart w:id="644" w:name="_Toc225216886"/>
      <w:bookmarkStart w:id="645" w:name="_Toc198390785"/>
      <w:bookmarkStart w:id="646" w:name="_Toc199190686"/>
      <w:bookmarkStart w:id="647" w:name="_Toc198391438"/>
      <w:bookmarkStart w:id="648" w:name="_Toc199169194"/>
      <w:r>
        <w:rPr>
          <w:rFonts w:hint="eastAsia"/>
          <w:color w:val="auto"/>
        </w:rPr>
        <w:t>污染物排放清单</w:t>
      </w:r>
      <w:bookmarkEnd w:id="644"/>
      <w:bookmarkEnd w:id="645"/>
      <w:bookmarkEnd w:id="646"/>
      <w:bookmarkEnd w:id="647"/>
      <w:bookmarkEnd w:id="648"/>
    </w:p>
    <w:p w14:paraId="580EBBC1">
      <w:pPr>
        <w:ind w:firstLine="480"/>
        <w:rPr>
          <w:color w:val="auto"/>
        </w:rPr>
      </w:pPr>
      <w:r>
        <w:rPr>
          <w:rFonts w:hint="eastAsia"/>
          <w:color w:val="auto"/>
        </w:rPr>
        <w:t>项目污染物排放清单及管理措施、排放标准等信息见下表。</w:t>
      </w:r>
    </w:p>
    <w:p w14:paraId="1147141F">
      <w:pPr>
        <w:ind w:firstLine="480"/>
        <w:rPr>
          <w:color w:val="auto"/>
        </w:rPr>
        <w:sectPr>
          <w:headerReference r:id="rId42" w:type="default"/>
          <w:pgSz w:w="11906" w:h="16838"/>
          <w:pgMar w:top="1418" w:right="1418" w:bottom="1418" w:left="1418" w:header="851" w:footer="992" w:gutter="0"/>
          <w:cols w:space="425" w:num="1"/>
          <w:docGrid w:type="lines" w:linePitch="312" w:charSpace="0"/>
        </w:sectPr>
      </w:pPr>
    </w:p>
    <w:p w14:paraId="3A8FD35D">
      <w:pPr>
        <w:pStyle w:val="7"/>
        <w:numPr>
          <w:ilvl w:val="5"/>
          <w:numId w:val="1"/>
        </w:numPr>
        <w:rPr>
          <w:color w:val="auto"/>
        </w:rPr>
      </w:pPr>
      <w:r>
        <w:rPr>
          <w:rFonts w:hint="eastAsia"/>
          <w:color w:val="auto"/>
        </w:rPr>
        <w:t>项目污染物排放清单</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697"/>
        <w:gridCol w:w="26"/>
        <w:gridCol w:w="958"/>
        <w:gridCol w:w="1260"/>
        <w:gridCol w:w="1871"/>
        <w:gridCol w:w="1152"/>
        <w:gridCol w:w="1297"/>
        <w:gridCol w:w="1305"/>
        <w:gridCol w:w="1291"/>
        <w:gridCol w:w="3560"/>
      </w:tblGrid>
      <w:tr w14:paraId="56AD7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restart"/>
            <w:vAlign w:val="center"/>
          </w:tcPr>
          <w:p w14:paraId="01FDCDCB">
            <w:pPr>
              <w:pStyle w:val="33"/>
              <w:rPr>
                <w:color w:val="auto"/>
              </w:rPr>
            </w:pPr>
            <w:r>
              <w:rPr>
                <w:rFonts w:hint="eastAsia"/>
                <w:color w:val="auto"/>
              </w:rPr>
              <w:t>类型</w:t>
            </w:r>
          </w:p>
        </w:tc>
        <w:tc>
          <w:tcPr>
            <w:tcW w:w="591" w:type="pct"/>
            <w:gridSpan w:val="3"/>
            <w:vMerge w:val="restart"/>
            <w:vAlign w:val="center"/>
          </w:tcPr>
          <w:p w14:paraId="00CC8EC9">
            <w:pPr>
              <w:pStyle w:val="33"/>
              <w:rPr>
                <w:color w:val="auto"/>
              </w:rPr>
            </w:pPr>
            <w:r>
              <w:rPr>
                <w:rFonts w:hint="eastAsia"/>
                <w:color w:val="auto"/>
              </w:rPr>
              <w:t>产污节点</w:t>
            </w:r>
          </w:p>
        </w:tc>
        <w:tc>
          <w:tcPr>
            <w:tcW w:w="443" w:type="pct"/>
            <w:vMerge w:val="restart"/>
            <w:vAlign w:val="center"/>
          </w:tcPr>
          <w:p w14:paraId="428E64AD">
            <w:pPr>
              <w:pStyle w:val="33"/>
              <w:rPr>
                <w:color w:val="auto"/>
              </w:rPr>
            </w:pPr>
            <w:r>
              <w:rPr>
                <w:rFonts w:hint="eastAsia"/>
                <w:color w:val="auto"/>
              </w:rPr>
              <w:t>污染物</w:t>
            </w:r>
          </w:p>
        </w:tc>
        <w:tc>
          <w:tcPr>
            <w:tcW w:w="1519" w:type="pct"/>
            <w:gridSpan w:val="3"/>
            <w:vAlign w:val="center"/>
          </w:tcPr>
          <w:p w14:paraId="6BB91F66">
            <w:pPr>
              <w:pStyle w:val="33"/>
              <w:rPr>
                <w:color w:val="auto"/>
              </w:rPr>
            </w:pPr>
            <w:r>
              <w:rPr>
                <w:rFonts w:hint="eastAsia"/>
                <w:color w:val="auto"/>
              </w:rPr>
              <w:t>污染物排放情况</w:t>
            </w:r>
          </w:p>
        </w:tc>
        <w:tc>
          <w:tcPr>
            <w:tcW w:w="459" w:type="pct"/>
            <w:vMerge w:val="restart"/>
            <w:vAlign w:val="center"/>
          </w:tcPr>
          <w:p w14:paraId="37F681FE">
            <w:pPr>
              <w:pStyle w:val="33"/>
              <w:rPr>
                <w:color w:val="auto"/>
              </w:rPr>
            </w:pPr>
            <w:r>
              <w:rPr>
                <w:rFonts w:hint="eastAsia"/>
                <w:color w:val="auto"/>
              </w:rPr>
              <w:t>处理措施</w:t>
            </w:r>
          </w:p>
        </w:tc>
        <w:tc>
          <w:tcPr>
            <w:tcW w:w="454" w:type="pct"/>
            <w:vMerge w:val="restart"/>
            <w:vAlign w:val="center"/>
          </w:tcPr>
          <w:p w14:paraId="06E5C385">
            <w:pPr>
              <w:pStyle w:val="33"/>
              <w:rPr>
                <w:color w:val="auto"/>
              </w:rPr>
            </w:pPr>
            <w:r>
              <w:rPr>
                <w:rFonts w:hint="eastAsia"/>
                <w:color w:val="auto"/>
              </w:rPr>
              <w:t>排放参数</w:t>
            </w:r>
          </w:p>
        </w:tc>
        <w:tc>
          <w:tcPr>
            <w:tcW w:w="1252" w:type="pct"/>
            <w:vMerge w:val="restart"/>
            <w:vAlign w:val="center"/>
          </w:tcPr>
          <w:p w14:paraId="378A7B6A">
            <w:pPr>
              <w:pStyle w:val="33"/>
              <w:rPr>
                <w:color w:val="auto"/>
              </w:rPr>
            </w:pPr>
            <w:r>
              <w:rPr>
                <w:rFonts w:hint="eastAsia"/>
                <w:color w:val="auto"/>
              </w:rPr>
              <w:t>排放标准</w:t>
            </w:r>
          </w:p>
        </w:tc>
      </w:tr>
      <w:tr w14:paraId="34EB1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6D0BD6F">
            <w:pPr>
              <w:pStyle w:val="33"/>
              <w:rPr>
                <w:color w:val="auto"/>
              </w:rPr>
            </w:pPr>
          </w:p>
        </w:tc>
        <w:tc>
          <w:tcPr>
            <w:tcW w:w="591" w:type="pct"/>
            <w:gridSpan w:val="3"/>
            <w:vMerge w:val="continue"/>
            <w:vAlign w:val="center"/>
          </w:tcPr>
          <w:p w14:paraId="210026AA">
            <w:pPr>
              <w:pStyle w:val="33"/>
              <w:rPr>
                <w:color w:val="auto"/>
              </w:rPr>
            </w:pPr>
          </w:p>
        </w:tc>
        <w:tc>
          <w:tcPr>
            <w:tcW w:w="443" w:type="pct"/>
            <w:vMerge w:val="continue"/>
            <w:vAlign w:val="center"/>
          </w:tcPr>
          <w:p w14:paraId="1DD80B58">
            <w:pPr>
              <w:pStyle w:val="33"/>
              <w:rPr>
                <w:color w:val="auto"/>
              </w:rPr>
            </w:pPr>
          </w:p>
        </w:tc>
        <w:tc>
          <w:tcPr>
            <w:tcW w:w="658" w:type="pct"/>
            <w:vAlign w:val="center"/>
          </w:tcPr>
          <w:p w14:paraId="0B9AAE32">
            <w:pPr>
              <w:pStyle w:val="33"/>
              <w:rPr>
                <w:color w:val="auto"/>
              </w:rPr>
            </w:pPr>
            <w:r>
              <w:rPr>
                <w:rFonts w:hint="eastAsia"/>
                <w:color w:val="auto"/>
              </w:rPr>
              <w:t>排放浓度（mg/m</w:t>
            </w:r>
            <w:r>
              <w:rPr>
                <w:rFonts w:hint="eastAsia"/>
                <w:color w:val="auto"/>
                <w:vertAlign w:val="superscript"/>
              </w:rPr>
              <w:t>3</w:t>
            </w:r>
            <w:r>
              <w:rPr>
                <w:rFonts w:hint="eastAsia"/>
                <w:color w:val="auto"/>
              </w:rPr>
              <w:t>、mg/L）</w:t>
            </w:r>
          </w:p>
        </w:tc>
        <w:tc>
          <w:tcPr>
            <w:tcW w:w="405" w:type="pct"/>
            <w:vAlign w:val="center"/>
          </w:tcPr>
          <w:p w14:paraId="043802AB">
            <w:pPr>
              <w:pStyle w:val="33"/>
              <w:rPr>
                <w:color w:val="auto"/>
              </w:rPr>
            </w:pPr>
            <w:r>
              <w:rPr>
                <w:rFonts w:hint="eastAsia"/>
                <w:color w:val="auto"/>
              </w:rPr>
              <w:t>排放速率（kg</w:t>
            </w:r>
            <w:r>
              <w:rPr>
                <w:color w:val="auto"/>
              </w:rPr>
              <w:t>/h</w:t>
            </w:r>
            <w:r>
              <w:rPr>
                <w:rFonts w:hint="eastAsia"/>
                <w:color w:val="auto"/>
              </w:rPr>
              <w:t>）</w:t>
            </w:r>
          </w:p>
        </w:tc>
        <w:tc>
          <w:tcPr>
            <w:tcW w:w="456" w:type="pct"/>
            <w:vAlign w:val="center"/>
          </w:tcPr>
          <w:p w14:paraId="73CB0979">
            <w:pPr>
              <w:pStyle w:val="33"/>
              <w:rPr>
                <w:color w:val="auto"/>
              </w:rPr>
            </w:pPr>
            <w:r>
              <w:rPr>
                <w:rFonts w:hint="eastAsia"/>
                <w:color w:val="auto"/>
              </w:rPr>
              <w:t>排放量＊（t</w:t>
            </w:r>
            <w:r>
              <w:rPr>
                <w:color w:val="auto"/>
              </w:rPr>
              <w:t>/a</w:t>
            </w:r>
            <w:r>
              <w:rPr>
                <w:rFonts w:hint="eastAsia"/>
                <w:color w:val="auto"/>
              </w:rPr>
              <w:t>）</w:t>
            </w:r>
          </w:p>
        </w:tc>
        <w:tc>
          <w:tcPr>
            <w:tcW w:w="459" w:type="pct"/>
            <w:vMerge w:val="continue"/>
            <w:vAlign w:val="center"/>
          </w:tcPr>
          <w:p w14:paraId="4F375F5E">
            <w:pPr>
              <w:pStyle w:val="33"/>
              <w:rPr>
                <w:color w:val="auto"/>
              </w:rPr>
            </w:pPr>
          </w:p>
        </w:tc>
        <w:tc>
          <w:tcPr>
            <w:tcW w:w="454" w:type="pct"/>
            <w:vMerge w:val="continue"/>
            <w:vAlign w:val="center"/>
          </w:tcPr>
          <w:p w14:paraId="1A526F18">
            <w:pPr>
              <w:pStyle w:val="33"/>
              <w:rPr>
                <w:color w:val="auto"/>
              </w:rPr>
            </w:pPr>
          </w:p>
        </w:tc>
        <w:tc>
          <w:tcPr>
            <w:tcW w:w="1252" w:type="pct"/>
            <w:vMerge w:val="continue"/>
            <w:vAlign w:val="center"/>
          </w:tcPr>
          <w:p w14:paraId="677CAC4E">
            <w:pPr>
              <w:pStyle w:val="33"/>
              <w:rPr>
                <w:color w:val="auto"/>
              </w:rPr>
            </w:pPr>
          </w:p>
        </w:tc>
      </w:tr>
      <w:tr w14:paraId="3047B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282" w:type="pct"/>
            <w:vMerge w:val="restart"/>
            <w:vAlign w:val="center"/>
          </w:tcPr>
          <w:p w14:paraId="3AA5D800">
            <w:pPr>
              <w:pStyle w:val="33"/>
              <w:rPr>
                <w:color w:val="auto"/>
              </w:rPr>
            </w:pPr>
            <w:r>
              <w:rPr>
                <w:rFonts w:hint="eastAsia"/>
                <w:color w:val="auto"/>
              </w:rPr>
              <w:t>有组织废气</w:t>
            </w:r>
          </w:p>
        </w:tc>
        <w:tc>
          <w:tcPr>
            <w:tcW w:w="254" w:type="pct"/>
            <w:gridSpan w:val="2"/>
            <w:vMerge w:val="restart"/>
            <w:vAlign w:val="center"/>
          </w:tcPr>
          <w:p w14:paraId="5E7000A5">
            <w:pPr>
              <w:pStyle w:val="33"/>
              <w:rPr>
                <w:color w:val="auto"/>
              </w:rPr>
            </w:pPr>
            <w:r>
              <w:rPr>
                <w:rFonts w:hint="eastAsia"/>
                <w:color w:val="auto"/>
              </w:rPr>
              <w:t>1#造纸车间烘干废气</w:t>
            </w:r>
          </w:p>
        </w:tc>
        <w:tc>
          <w:tcPr>
            <w:tcW w:w="337" w:type="pct"/>
            <w:vMerge w:val="restart"/>
            <w:vAlign w:val="center"/>
          </w:tcPr>
          <w:p w14:paraId="075C3B11">
            <w:pPr>
              <w:pStyle w:val="33"/>
              <w:rPr>
                <w:color w:val="auto"/>
              </w:rPr>
            </w:pPr>
            <w:r>
              <w:rPr>
                <w:color w:val="auto"/>
              </w:rPr>
              <w:t>DA</w:t>
            </w:r>
            <w:r>
              <w:rPr>
                <w:rFonts w:hint="eastAsia"/>
                <w:color w:val="auto"/>
              </w:rPr>
              <w:t>029</w:t>
            </w:r>
          </w:p>
        </w:tc>
        <w:tc>
          <w:tcPr>
            <w:tcW w:w="443" w:type="pct"/>
            <w:vAlign w:val="center"/>
          </w:tcPr>
          <w:p w14:paraId="78529E17">
            <w:pPr>
              <w:pStyle w:val="33"/>
              <w:rPr>
                <w:color w:val="auto"/>
              </w:rPr>
            </w:pPr>
            <w:r>
              <w:rPr>
                <w:rFonts w:hint="eastAsia"/>
                <w:color w:val="auto"/>
              </w:rPr>
              <w:t>二氧化硫</w:t>
            </w:r>
          </w:p>
        </w:tc>
        <w:tc>
          <w:tcPr>
            <w:tcW w:w="658" w:type="pct"/>
            <w:vAlign w:val="center"/>
          </w:tcPr>
          <w:p w14:paraId="5DE503DE">
            <w:pPr>
              <w:pStyle w:val="33"/>
              <w:rPr>
                <w:color w:val="auto"/>
              </w:rPr>
            </w:pPr>
            <w:r>
              <w:rPr>
                <w:color w:val="auto"/>
              </w:rPr>
              <w:t>18.5</w:t>
            </w:r>
            <w:r>
              <w:rPr>
                <w:rFonts w:hint="eastAsia"/>
                <w:color w:val="auto"/>
              </w:rPr>
              <w:t>6</w:t>
            </w:r>
          </w:p>
        </w:tc>
        <w:tc>
          <w:tcPr>
            <w:tcW w:w="405" w:type="pct"/>
            <w:vAlign w:val="center"/>
          </w:tcPr>
          <w:p w14:paraId="1487CAEC">
            <w:pPr>
              <w:pStyle w:val="33"/>
              <w:rPr>
                <w:color w:val="auto"/>
              </w:rPr>
            </w:pPr>
            <w:r>
              <w:rPr>
                <w:color w:val="auto"/>
              </w:rPr>
              <w:t>0.0</w:t>
            </w:r>
            <w:r>
              <w:rPr>
                <w:rFonts w:hint="eastAsia"/>
                <w:color w:val="auto"/>
              </w:rPr>
              <w:t>41</w:t>
            </w:r>
          </w:p>
        </w:tc>
        <w:tc>
          <w:tcPr>
            <w:tcW w:w="456" w:type="pct"/>
            <w:vAlign w:val="center"/>
          </w:tcPr>
          <w:p w14:paraId="38808F3C">
            <w:pPr>
              <w:pStyle w:val="33"/>
              <w:rPr>
                <w:color w:val="auto"/>
              </w:rPr>
            </w:pPr>
            <w:r>
              <w:rPr>
                <w:color w:val="auto"/>
              </w:rPr>
              <w:t>0.</w:t>
            </w:r>
            <w:r>
              <w:rPr>
                <w:rFonts w:hint="eastAsia"/>
                <w:color w:val="auto"/>
              </w:rPr>
              <w:t>338</w:t>
            </w:r>
          </w:p>
        </w:tc>
        <w:tc>
          <w:tcPr>
            <w:tcW w:w="459" w:type="pct"/>
            <w:vMerge w:val="restart"/>
            <w:vAlign w:val="center"/>
          </w:tcPr>
          <w:p w14:paraId="3703BFEC">
            <w:pPr>
              <w:pStyle w:val="33"/>
              <w:rPr>
                <w:color w:val="auto"/>
              </w:rPr>
            </w:pPr>
            <w:r>
              <w:rPr>
                <w:rFonts w:hint="eastAsia"/>
                <w:color w:val="auto"/>
              </w:rPr>
              <w:t>／</w:t>
            </w:r>
          </w:p>
        </w:tc>
        <w:tc>
          <w:tcPr>
            <w:tcW w:w="454" w:type="pct"/>
            <w:vMerge w:val="restart"/>
            <w:vAlign w:val="center"/>
          </w:tcPr>
          <w:p w14:paraId="25E69362">
            <w:pPr>
              <w:pStyle w:val="33"/>
              <w:rPr>
                <w:color w:val="auto"/>
              </w:rPr>
            </w:pPr>
            <w:r>
              <w:rPr>
                <w:rFonts w:hint="eastAsia"/>
                <w:color w:val="auto"/>
              </w:rPr>
              <w:t>30m高排气筒排放</w:t>
            </w:r>
          </w:p>
        </w:tc>
        <w:tc>
          <w:tcPr>
            <w:tcW w:w="1252" w:type="pct"/>
            <w:vMerge w:val="restart"/>
            <w:vAlign w:val="center"/>
          </w:tcPr>
          <w:p w14:paraId="19B0D77E">
            <w:pPr>
              <w:pStyle w:val="33"/>
              <w:rPr>
                <w:color w:val="auto"/>
              </w:rPr>
            </w:pPr>
            <w:r>
              <w:rPr>
                <w:rFonts w:hint="eastAsia"/>
                <w:color w:val="auto"/>
              </w:rPr>
              <w:t>《大气污染物综合排放标准》（GB16297-1996）表2新污染源大气污染物排放限值中最高允许排放浓度和最高允许排放速率二级要求</w:t>
            </w:r>
          </w:p>
        </w:tc>
      </w:tr>
      <w:tr w14:paraId="66BE6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AFC0501">
            <w:pPr>
              <w:pStyle w:val="33"/>
              <w:rPr>
                <w:color w:val="auto"/>
              </w:rPr>
            </w:pPr>
          </w:p>
        </w:tc>
        <w:tc>
          <w:tcPr>
            <w:tcW w:w="254" w:type="pct"/>
            <w:gridSpan w:val="2"/>
            <w:vMerge w:val="continue"/>
            <w:vAlign w:val="center"/>
          </w:tcPr>
          <w:p w14:paraId="3FAB5B80">
            <w:pPr>
              <w:pStyle w:val="33"/>
              <w:rPr>
                <w:color w:val="auto"/>
              </w:rPr>
            </w:pPr>
          </w:p>
        </w:tc>
        <w:tc>
          <w:tcPr>
            <w:tcW w:w="337" w:type="pct"/>
            <w:vMerge w:val="continue"/>
            <w:vAlign w:val="center"/>
          </w:tcPr>
          <w:p w14:paraId="4158E249">
            <w:pPr>
              <w:pStyle w:val="33"/>
              <w:rPr>
                <w:color w:val="auto"/>
              </w:rPr>
            </w:pPr>
          </w:p>
        </w:tc>
        <w:tc>
          <w:tcPr>
            <w:tcW w:w="443" w:type="pct"/>
            <w:vAlign w:val="center"/>
          </w:tcPr>
          <w:p w14:paraId="09EDEC14">
            <w:pPr>
              <w:pStyle w:val="33"/>
              <w:rPr>
                <w:color w:val="auto"/>
              </w:rPr>
            </w:pPr>
            <w:r>
              <w:rPr>
                <w:rFonts w:hint="eastAsia"/>
                <w:color w:val="auto"/>
              </w:rPr>
              <w:t>氮氧化物</w:t>
            </w:r>
          </w:p>
        </w:tc>
        <w:tc>
          <w:tcPr>
            <w:tcW w:w="658" w:type="pct"/>
            <w:vAlign w:val="center"/>
          </w:tcPr>
          <w:p w14:paraId="734AC4F0">
            <w:pPr>
              <w:pStyle w:val="33"/>
              <w:rPr>
                <w:color w:val="auto"/>
              </w:rPr>
            </w:pPr>
            <w:r>
              <w:rPr>
                <w:color w:val="auto"/>
              </w:rPr>
              <w:t>100</w:t>
            </w:r>
          </w:p>
        </w:tc>
        <w:tc>
          <w:tcPr>
            <w:tcW w:w="405" w:type="pct"/>
            <w:vAlign w:val="center"/>
          </w:tcPr>
          <w:p w14:paraId="078681C7">
            <w:pPr>
              <w:pStyle w:val="33"/>
              <w:rPr>
                <w:color w:val="auto"/>
              </w:rPr>
            </w:pPr>
            <w:r>
              <w:rPr>
                <w:rFonts w:hint="eastAsia"/>
                <w:color w:val="auto"/>
              </w:rPr>
              <w:t>0.22</w:t>
            </w:r>
          </w:p>
        </w:tc>
        <w:tc>
          <w:tcPr>
            <w:tcW w:w="456" w:type="pct"/>
            <w:vAlign w:val="center"/>
          </w:tcPr>
          <w:p w14:paraId="4E2D5FD9">
            <w:pPr>
              <w:pStyle w:val="33"/>
              <w:rPr>
                <w:color w:val="auto"/>
              </w:rPr>
            </w:pPr>
            <w:r>
              <w:rPr>
                <w:rFonts w:hint="eastAsia"/>
                <w:color w:val="auto"/>
              </w:rPr>
              <w:t>1.182</w:t>
            </w:r>
          </w:p>
        </w:tc>
        <w:tc>
          <w:tcPr>
            <w:tcW w:w="459" w:type="pct"/>
            <w:vMerge w:val="continue"/>
            <w:vAlign w:val="center"/>
          </w:tcPr>
          <w:p w14:paraId="3DC2D648">
            <w:pPr>
              <w:pStyle w:val="33"/>
              <w:rPr>
                <w:color w:val="auto"/>
              </w:rPr>
            </w:pPr>
          </w:p>
        </w:tc>
        <w:tc>
          <w:tcPr>
            <w:tcW w:w="454" w:type="pct"/>
            <w:vMerge w:val="continue"/>
            <w:vAlign w:val="center"/>
          </w:tcPr>
          <w:p w14:paraId="76A368D0">
            <w:pPr>
              <w:pStyle w:val="33"/>
              <w:rPr>
                <w:color w:val="auto"/>
              </w:rPr>
            </w:pPr>
          </w:p>
        </w:tc>
        <w:tc>
          <w:tcPr>
            <w:tcW w:w="1252" w:type="pct"/>
            <w:vMerge w:val="continue"/>
            <w:vAlign w:val="center"/>
          </w:tcPr>
          <w:p w14:paraId="75F8D989">
            <w:pPr>
              <w:pStyle w:val="33"/>
              <w:rPr>
                <w:color w:val="auto"/>
              </w:rPr>
            </w:pPr>
          </w:p>
        </w:tc>
      </w:tr>
      <w:tr w14:paraId="0F892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884F0FE">
            <w:pPr>
              <w:pStyle w:val="33"/>
              <w:rPr>
                <w:color w:val="auto"/>
              </w:rPr>
            </w:pPr>
          </w:p>
        </w:tc>
        <w:tc>
          <w:tcPr>
            <w:tcW w:w="254" w:type="pct"/>
            <w:gridSpan w:val="2"/>
            <w:vMerge w:val="continue"/>
            <w:vAlign w:val="center"/>
          </w:tcPr>
          <w:p w14:paraId="044E8340">
            <w:pPr>
              <w:pStyle w:val="33"/>
              <w:rPr>
                <w:color w:val="auto"/>
              </w:rPr>
            </w:pPr>
          </w:p>
        </w:tc>
        <w:tc>
          <w:tcPr>
            <w:tcW w:w="337" w:type="pct"/>
            <w:vMerge w:val="continue"/>
            <w:vAlign w:val="center"/>
          </w:tcPr>
          <w:p w14:paraId="0F1E0AE8">
            <w:pPr>
              <w:pStyle w:val="33"/>
              <w:rPr>
                <w:color w:val="auto"/>
              </w:rPr>
            </w:pPr>
          </w:p>
        </w:tc>
        <w:tc>
          <w:tcPr>
            <w:tcW w:w="443" w:type="pct"/>
            <w:vAlign w:val="center"/>
          </w:tcPr>
          <w:p w14:paraId="0E951677">
            <w:pPr>
              <w:pStyle w:val="33"/>
              <w:rPr>
                <w:color w:val="auto"/>
              </w:rPr>
            </w:pPr>
            <w:r>
              <w:rPr>
                <w:rFonts w:hint="eastAsia"/>
                <w:color w:val="auto"/>
              </w:rPr>
              <w:t>烟尘</w:t>
            </w:r>
          </w:p>
        </w:tc>
        <w:tc>
          <w:tcPr>
            <w:tcW w:w="658" w:type="pct"/>
            <w:vAlign w:val="center"/>
          </w:tcPr>
          <w:p w14:paraId="7F13813E">
            <w:pPr>
              <w:pStyle w:val="33"/>
              <w:rPr>
                <w:color w:val="auto"/>
              </w:rPr>
            </w:pPr>
            <w:r>
              <w:rPr>
                <w:color w:val="auto"/>
              </w:rPr>
              <w:t>10</w:t>
            </w:r>
          </w:p>
        </w:tc>
        <w:tc>
          <w:tcPr>
            <w:tcW w:w="405" w:type="pct"/>
            <w:vAlign w:val="center"/>
          </w:tcPr>
          <w:p w14:paraId="088B7ED8">
            <w:pPr>
              <w:pStyle w:val="33"/>
              <w:rPr>
                <w:color w:val="auto"/>
              </w:rPr>
            </w:pPr>
            <w:r>
              <w:rPr>
                <w:color w:val="auto"/>
              </w:rPr>
              <w:t>0.0</w:t>
            </w:r>
            <w:r>
              <w:rPr>
                <w:rFonts w:hint="eastAsia"/>
                <w:color w:val="auto"/>
              </w:rPr>
              <w:t>22</w:t>
            </w:r>
          </w:p>
        </w:tc>
        <w:tc>
          <w:tcPr>
            <w:tcW w:w="456" w:type="pct"/>
            <w:vAlign w:val="center"/>
          </w:tcPr>
          <w:p w14:paraId="6A8DCD01">
            <w:pPr>
              <w:pStyle w:val="33"/>
              <w:rPr>
                <w:color w:val="auto"/>
              </w:rPr>
            </w:pPr>
            <w:r>
              <w:rPr>
                <w:rFonts w:hint="eastAsia"/>
                <w:color w:val="auto"/>
              </w:rPr>
              <w:t>0.182</w:t>
            </w:r>
          </w:p>
        </w:tc>
        <w:tc>
          <w:tcPr>
            <w:tcW w:w="459" w:type="pct"/>
            <w:vMerge w:val="continue"/>
            <w:vAlign w:val="center"/>
          </w:tcPr>
          <w:p w14:paraId="5CFE8377">
            <w:pPr>
              <w:pStyle w:val="33"/>
              <w:rPr>
                <w:color w:val="auto"/>
              </w:rPr>
            </w:pPr>
          </w:p>
        </w:tc>
        <w:tc>
          <w:tcPr>
            <w:tcW w:w="454" w:type="pct"/>
            <w:vMerge w:val="continue"/>
            <w:vAlign w:val="center"/>
          </w:tcPr>
          <w:p w14:paraId="2B065FD9">
            <w:pPr>
              <w:pStyle w:val="33"/>
              <w:rPr>
                <w:color w:val="auto"/>
              </w:rPr>
            </w:pPr>
          </w:p>
        </w:tc>
        <w:tc>
          <w:tcPr>
            <w:tcW w:w="1252" w:type="pct"/>
            <w:vMerge w:val="continue"/>
            <w:vAlign w:val="center"/>
          </w:tcPr>
          <w:p w14:paraId="2E97C5B9">
            <w:pPr>
              <w:pStyle w:val="33"/>
              <w:rPr>
                <w:color w:val="auto"/>
              </w:rPr>
            </w:pPr>
          </w:p>
        </w:tc>
      </w:tr>
      <w:tr w14:paraId="2808A2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19FEDACC">
            <w:pPr>
              <w:pStyle w:val="33"/>
              <w:rPr>
                <w:color w:val="auto"/>
              </w:rPr>
            </w:pPr>
          </w:p>
        </w:tc>
        <w:tc>
          <w:tcPr>
            <w:tcW w:w="254" w:type="pct"/>
            <w:gridSpan w:val="2"/>
            <w:vMerge w:val="continue"/>
            <w:vAlign w:val="center"/>
          </w:tcPr>
          <w:p w14:paraId="58B2C4A7">
            <w:pPr>
              <w:pStyle w:val="33"/>
              <w:rPr>
                <w:color w:val="auto"/>
              </w:rPr>
            </w:pPr>
          </w:p>
        </w:tc>
        <w:tc>
          <w:tcPr>
            <w:tcW w:w="337" w:type="pct"/>
            <w:vMerge w:val="restart"/>
            <w:vAlign w:val="center"/>
          </w:tcPr>
          <w:p w14:paraId="611C74F6">
            <w:pPr>
              <w:pStyle w:val="33"/>
              <w:rPr>
                <w:color w:val="auto"/>
              </w:rPr>
            </w:pPr>
            <w:r>
              <w:rPr>
                <w:color w:val="auto"/>
              </w:rPr>
              <w:t>DA</w:t>
            </w:r>
            <w:r>
              <w:rPr>
                <w:rFonts w:hint="eastAsia"/>
                <w:color w:val="auto"/>
              </w:rPr>
              <w:t>033</w:t>
            </w:r>
          </w:p>
        </w:tc>
        <w:tc>
          <w:tcPr>
            <w:tcW w:w="443" w:type="pct"/>
            <w:vAlign w:val="center"/>
          </w:tcPr>
          <w:p w14:paraId="1BBFEBB1">
            <w:pPr>
              <w:pStyle w:val="33"/>
              <w:rPr>
                <w:color w:val="auto"/>
              </w:rPr>
            </w:pPr>
            <w:r>
              <w:rPr>
                <w:rFonts w:hint="eastAsia"/>
                <w:color w:val="auto"/>
              </w:rPr>
              <w:t>二氧化硫</w:t>
            </w:r>
          </w:p>
        </w:tc>
        <w:tc>
          <w:tcPr>
            <w:tcW w:w="658" w:type="pct"/>
            <w:vAlign w:val="center"/>
          </w:tcPr>
          <w:p w14:paraId="64F513D6">
            <w:pPr>
              <w:pStyle w:val="33"/>
              <w:rPr>
                <w:color w:val="auto"/>
              </w:rPr>
            </w:pPr>
            <w:r>
              <w:rPr>
                <w:color w:val="auto"/>
              </w:rPr>
              <w:t>18.5</w:t>
            </w:r>
            <w:r>
              <w:rPr>
                <w:rFonts w:hint="eastAsia"/>
                <w:color w:val="auto"/>
              </w:rPr>
              <w:t>6</w:t>
            </w:r>
          </w:p>
        </w:tc>
        <w:tc>
          <w:tcPr>
            <w:tcW w:w="405" w:type="pct"/>
            <w:vAlign w:val="center"/>
          </w:tcPr>
          <w:p w14:paraId="2CC1B57A">
            <w:pPr>
              <w:pStyle w:val="33"/>
              <w:rPr>
                <w:color w:val="auto"/>
              </w:rPr>
            </w:pPr>
            <w:r>
              <w:rPr>
                <w:color w:val="auto"/>
              </w:rPr>
              <w:t>0.0</w:t>
            </w:r>
            <w:r>
              <w:rPr>
                <w:rFonts w:hint="eastAsia"/>
                <w:color w:val="auto"/>
              </w:rPr>
              <w:t>41</w:t>
            </w:r>
          </w:p>
        </w:tc>
        <w:tc>
          <w:tcPr>
            <w:tcW w:w="456" w:type="pct"/>
            <w:vAlign w:val="center"/>
          </w:tcPr>
          <w:p w14:paraId="1E5BCA6F">
            <w:pPr>
              <w:pStyle w:val="33"/>
              <w:rPr>
                <w:color w:val="auto"/>
              </w:rPr>
            </w:pPr>
            <w:r>
              <w:rPr>
                <w:color w:val="auto"/>
              </w:rPr>
              <w:t>0.</w:t>
            </w:r>
            <w:r>
              <w:rPr>
                <w:rFonts w:hint="eastAsia"/>
                <w:color w:val="auto"/>
              </w:rPr>
              <w:t>338</w:t>
            </w:r>
          </w:p>
        </w:tc>
        <w:tc>
          <w:tcPr>
            <w:tcW w:w="459" w:type="pct"/>
            <w:vMerge w:val="restart"/>
            <w:vAlign w:val="center"/>
          </w:tcPr>
          <w:p w14:paraId="4271D83E">
            <w:pPr>
              <w:pStyle w:val="33"/>
              <w:rPr>
                <w:color w:val="auto"/>
              </w:rPr>
            </w:pPr>
            <w:r>
              <w:rPr>
                <w:rFonts w:hint="eastAsia"/>
                <w:color w:val="auto"/>
              </w:rPr>
              <w:t>／</w:t>
            </w:r>
          </w:p>
        </w:tc>
        <w:tc>
          <w:tcPr>
            <w:tcW w:w="454" w:type="pct"/>
            <w:vMerge w:val="restart"/>
            <w:vAlign w:val="center"/>
          </w:tcPr>
          <w:p w14:paraId="2481AD26">
            <w:pPr>
              <w:pStyle w:val="33"/>
              <w:rPr>
                <w:color w:val="auto"/>
              </w:rPr>
            </w:pPr>
            <w:r>
              <w:rPr>
                <w:rFonts w:hint="eastAsia"/>
                <w:color w:val="auto"/>
              </w:rPr>
              <w:t>30m高排气筒排放</w:t>
            </w:r>
          </w:p>
        </w:tc>
        <w:tc>
          <w:tcPr>
            <w:tcW w:w="1252" w:type="pct"/>
            <w:vMerge w:val="continue"/>
            <w:vAlign w:val="center"/>
          </w:tcPr>
          <w:p w14:paraId="1DDC507E">
            <w:pPr>
              <w:pStyle w:val="33"/>
              <w:rPr>
                <w:color w:val="auto"/>
              </w:rPr>
            </w:pPr>
          </w:p>
        </w:tc>
      </w:tr>
      <w:tr w14:paraId="4BEBC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140B574">
            <w:pPr>
              <w:pStyle w:val="33"/>
              <w:rPr>
                <w:color w:val="auto"/>
              </w:rPr>
            </w:pPr>
          </w:p>
        </w:tc>
        <w:tc>
          <w:tcPr>
            <w:tcW w:w="254" w:type="pct"/>
            <w:gridSpan w:val="2"/>
            <w:vMerge w:val="continue"/>
            <w:vAlign w:val="center"/>
          </w:tcPr>
          <w:p w14:paraId="76A09344">
            <w:pPr>
              <w:pStyle w:val="33"/>
              <w:rPr>
                <w:color w:val="auto"/>
              </w:rPr>
            </w:pPr>
          </w:p>
        </w:tc>
        <w:tc>
          <w:tcPr>
            <w:tcW w:w="337" w:type="pct"/>
            <w:vMerge w:val="continue"/>
            <w:vAlign w:val="center"/>
          </w:tcPr>
          <w:p w14:paraId="4A7DE97F">
            <w:pPr>
              <w:pStyle w:val="33"/>
              <w:rPr>
                <w:color w:val="auto"/>
              </w:rPr>
            </w:pPr>
          </w:p>
        </w:tc>
        <w:tc>
          <w:tcPr>
            <w:tcW w:w="443" w:type="pct"/>
            <w:vAlign w:val="center"/>
          </w:tcPr>
          <w:p w14:paraId="5B739C7B">
            <w:pPr>
              <w:pStyle w:val="33"/>
              <w:rPr>
                <w:color w:val="auto"/>
              </w:rPr>
            </w:pPr>
            <w:r>
              <w:rPr>
                <w:rFonts w:hint="eastAsia"/>
                <w:color w:val="auto"/>
              </w:rPr>
              <w:t>氮氧化物</w:t>
            </w:r>
          </w:p>
        </w:tc>
        <w:tc>
          <w:tcPr>
            <w:tcW w:w="658" w:type="pct"/>
            <w:vAlign w:val="center"/>
          </w:tcPr>
          <w:p w14:paraId="0296E021">
            <w:pPr>
              <w:pStyle w:val="33"/>
              <w:rPr>
                <w:color w:val="auto"/>
              </w:rPr>
            </w:pPr>
            <w:r>
              <w:rPr>
                <w:color w:val="auto"/>
              </w:rPr>
              <w:t>100</w:t>
            </w:r>
          </w:p>
        </w:tc>
        <w:tc>
          <w:tcPr>
            <w:tcW w:w="405" w:type="pct"/>
            <w:vAlign w:val="center"/>
          </w:tcPr>
          <w:p w14:paraId="7D46F15F">
            <w:pPr>
              <w:pStyle w:val="33"/>
              <w:rPr>
                <w:color w:val="auto"/>
              </w:rPr>
            </w:pPr>
            <w:r>
              <w:rPr>
                <w:rFonts w:hint="eastAsia"/>
                <w:color w:val="auto"/>
              </w:rPr>
              <w:t>0.22</w:t>
            </w:r>
          </w:p>
        </w:tc>
        <w:tc>
          <w:tcPr>
            <w:tcW w:w="456" w:type="pct"/>
            <w:vAlign w:val="center"/>
          </w:tcPr>
          <w:p w14:paraId="25A6CFC9">
            <w:pPr>
              <w:pStyle w:val="33"/>
              <w:rPr>
                <w:color w:val="auto"/>
              </w:rPr>
            </w:pPr>
            <w:r>
              <w:rPr>
                <w:rFonts w:hint="eastAsia"/>
                <w:color w:val="auto"/>
              </w:rPr>
              <w:t>1.182</w:t>
            </w:r>
          </w:p>
        </w:tc>
        <w:tc>
          <w:tcPr>
            <w:tcW w:w="459" w:type="pct"/>
            <w:vMerge w:val="continue"/>
            <w:vAlign w:val="center"/>
          </w:tcPr>
          <w:p w14:paraId="0B7E18AE">
            <w:pPr>
              <w:pStyle w:val="33"/>
              <w:rPr>
                <w:color w:val="auto"/>
              </w:rPr>
            </w:pPr>
          </w:p>
        </w:tc>
        <w:tc>
          <w:tcPr>
            <w:tcW w:w="454" w:type="pct"/>
            <w:vMerge w:val="continue"/>
            <w:vAlign w:val="center"/>
          </w:tcPr>
          <w:p w14:paraId="7F8589B3">
            <w:pPr>
              <w:pStyle w:val="33"/>
              <w:rPr>
                <w:color w:val="auto"/>
              </w:rPr>
            </w:pPr>
          </w:p>
        </w:tc>
        <w:tc>
          <w:tcPr>
            <w:tcW w:w="1252" w:type="pct"/>
            <w:vMerge w:val="continue"/>
            <w:vAlign w:val="center"/>
          </w:tcPr>
          <w:p w14:paraId="41008499">
            <w:pPr>
              <w:pStyle w:val="33"/>
              <w:rPr>
                <w:color w:val="auto"/>
              </w:rPr>
            </w:pPr>
          </w:p>
        </w:tc>
      </w:tr>
      <w:tr w14:paraId="651AB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F234413">
            <w:pPr>
              <w:pStyle w:val="33"/>
              <w:rPr>
                <w:color w:val="auto"/>
              </w:rPr>
            </w:pPr>
          </w:p>
        </w:tc>
        <w:tc>
          <w:tcPr>
            <w:tcW w:w="254" w:type="pct"/>
            <w:gridSpan w:val="2"/>
            <w:vMerge w:val="continue"/>
            <w:vAlign w:val="center"/>
          </w:tcPr>
          <w:p w14:paraId="36CCE468">
            <w:pPr>
              <w:pStyle w:val="33"/>
              <w:rPr>
                <w:color w:val="auto"/>
              </w:rPr>
            </w:pPr>
          </w:p>
        </w:tc>
        <w:tc>
          <w:tcPr>
            <w:tcW w:w="337" w:type="pct"/>
            <w:vMerge w:val="continue"/>
            <w:vAlign w:val="center"/>
          </w:tcPr>
          <w:p w14:paraId="36F786A9">
            <w:pPr>
              <w:pStyle w:val="33"/>
              <w:rPr>
                <w:color w:val="auto"/>
              </w:rPr>
            </w:pPr>
          </w:p>
        </w:tc>
        <w:tc>
          <w:tcPr>
            <w:tcW w:w="443" w:type="pct"/>
            <w:vAlign w:val="center"/>
          </w:tcPr>
          <w:p w14:paraId="50F5E1AD">
            <w:pPr>
              <w:pStyle w:val="33"/>
              <w:rPr>
                <w:color w:val="auto"/>
              </w:rPr>
            </w:pPr>
            <w:r>
              <w:rPr>
                <w:rFonts w:hint="eastAsia"/>
                <w:color w:val="auto"/>
              </w:rPr>
              <w:t>烟尘</w:t>
            </w:r>
          </w:p>
        </w:tc>
        <w:tc>
          <w:tcPr>
            <w:tcW w:w="658" w:type="pct"/>
            <w:vAlign w:val="center"/>
          </w:tcPr>
          <w:p w14:paraId="1124EA02">
            <w:pPr>
              <w:pStyle w:val="33"/>
              <w:rPr>
                <w:color w:val="auto"/>
              </w:rPr>
            </w:pPr>
            <w:r>
              <w:rPr>
                <w:color w:val="auto"/>
              </w:rPr>
              <w:t>10</w:t>
            </w:r>
          </w:p>
        </w:tc>
        <w:tc>
          <w:tcPr>
            <w:tcW w:w="405" w:type="pct"/>
            <w:vAlign w:val="center"/>
          </w:tcPr>
          <w:p w14:paraId="03DF935A">
            <w:pPr>
              <w:pStyle w:val="33"/>
              <w:rPr>
                <w:color w:val="auto"/>
              </w:rPr>
            </w:pPr>
            <w:r>
              <w:rPr>
                <w:color w:val="auto"/>
              </w:rPr>
              <w:t>0.0</w:t>
            </w:r>
            <w:r>
              <w:rPr>
                <w:rFonts w:hint="eastAsia"/>
                <w:color w:val="auto"/>
              </w:rPr>
              <w:t>22</w:t>
            </w:r>
          </w:p>
        </w:tc>
        <w:tc>
          <w:tcPr>
            <w:tcW w:w="456" w:type="pct"/>
            <w:vAlign w:val="center"/>
          </w:tcPr>
          <w:p w14:paraId="33248D95">
            <w:pPr>
              <w:pStyle w:val="33"/>
              <w:rPr>
                <w:color w:val="auto"/>
              </w:rPr>
            </w:pPr>
            <w:r>
              <w:rPr>
                <w:rFonts w:hint="eastAsia"/>
                <w:color w:val="auto"/>
              </w:rPr>
              <w:t>0.182</w:t>
            </w:r>
          </w:p>
        </w:tc>
        <w:tc>
          <w:tcPr>
            <w:tcW w:w="459" w:type="pct"/>
            <w:vMerge w:val="continue"/>
            <w:vAlign w:val="center"/>
          </w:tcPr>
          <w:p w14:paraId="1C585536">
            <w:pPr>
              <w:pStyle w:val="33"/>
              <w:rPr>
                <w:color w:val="auto"/>
              </w:rPr>
            </w:pPr>
          </w:p>
        </w:tc>
        <w:tc>
          <w:tcPr>
            <w:tcW w:w="454" w:type="pct"/>
            <w:vMerge w:val="continue"/>
            <w:vAlign w:val="center"/>
          </w:tcPr>
          <w:p w14:paraId="03C9C86B">
            <w:pPr>
              <w:pStyle w:val="33"/>
              <w:rPr>
                <w:color w:val="auto"/>
              </w:rPr>
            </w:pPr>
          </w:p>
        </w:tc>
        <w:tc>
          <w:tcPr>
            <w:tcW w:w="1252" w:type="pct"/>
            <w:vMerge w:val="continue"/>
            <w:vAlign w:val="center"/>
          </w:tcPr>
          <w:p w14:paraId="6F1A7581">
            <w:pPr>
              <w:pStyle w:val="33"/>
              <w:rPr>
                <w:color w:val="auto"/>
              </w:rPr>
            </w:pPr>
          </w:p>
        </w:tc>
      </w:tr>
      <w:tr w14:paraId="278CE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8746F17">
            <w:pPr>
              <w:pStyle w:val="33"/>
              <w:rPr>
                <w:color w:val="auto"/>
              </w:rPr>
            </w:pPr>
          </w:p>
        </w:tc>
        <w:tc>
          <w:tcPr>
            <w:tcW w:w="254" w:type="pct"/>
            <w:gridSpan w:val="2"/>
            <w:vMerge w:val="continue"/>
            <w:vAlign w:val="center"/>
          </w:tcPr>
          <w:p w14:paraId="586F1F44">
            <w:pPr>
              <w:pStyle w:val="33"/>
              <w:rPr>
                <w:color w:val="auto"/>
              </w:rPr>
            </w:pPr>
          </w:p>
        </w:tc>
        <w:tc>
          <w:tcPr>
            <w:tcW w:w="337" w:type="pct"/>
            <w:vMerge w:val="restart"/>
            <w:vAlign w:val="center"/>
          </w:tcPr>
          <w:p w14:paraId="25D6B9DF">
            <w:pPr>
              <w:pStyle w:val="33"/>
              <w:rPr>
                <w:color w:val="auto"/>
              </w:rPr>
            </w:pPr>
            <w:r>
              <w:rPr>
                <w:color w:val="auto"/>
              </w:rPr>
              <w:t>DA</w:t>
            </w:r>
            <w:r>
              <w:rPr>
                <w:rFonts w:hint="eastAsia"/>
                <w:color w:val="auto"/>
              </w:rPr>
              <w:t>035</w:t>
            </w:r>
          </w:p>
        </w:tc>
        <w:tc>
          <w:tcPr>
            <w:tcW w:w="443" w:type="pct"/>
            <w:vAlign w:val="center"/>
          </w:tcPr>
          <w:p w14:paraId="39A564DF">
            <w:pPr>
              <w:pStyle w:val="33"/>
              <w:rPr>
                <w:color w:val="auto"/>
              </w:rPr>
            </w:pPr>
            <w:r>
              <w:rPr>
                <w:rFonts w:hint="eastAsia"/>
                <w:color w:val="auto"/>
              </w:rPr>
              <w:t>二氧化硫</w:t>
            </w:r>
          </w:p>
        </w:tc>
        <w:tc>
          <w:tcPr>
            <w:tcW w:w="658" w:type="pct"/>
            <w:vAlign w:val="center"/>
          </w:tcPr>
          <w:p w14:paraId="0CCFF399">
            <w:pPr>
              <w:pStyle w:val="33"/>
              <w:rPr>
                <w:color w:val="auto"/>
              </w:rPr>
            </w:pPr>
            <w:r>
              <w:rPr>
                <w:color w:val="auto"/>
              </w:rPr>
              <w:t>18.5</w:t>
            </w:r>
            <w:r>
              <w:rPr>
                <w:rFonts w:hint="eastAsia"/>
                <w:color w:val="auto"/>
              </w:rPr>
              <w:t>6</w:t>
            </w:r>
          </w:p>
        </w:tc>
        <w:tc>
          <w:tcPr>
            <w:tcW w:w="405" w:type="pct"/>
            <w:vAlign w:val="center"/>
          </w:tcPr>
          <w:p w14:paraId="191B9615">
            <w:pPr>
              <w:pStyle w:val="33"/>
              <w:rPr>
                <w:color w:val="auto"/>
              </w:rPr>
            </w:pPr>
            <w:r>
              <w:rPr>
                <w:color w:val="auto"/>
              </w:rPr>
              <w:t>0.0</w:t>
            </w:r>
            <w:r>
              <w:rPr>
                <w:rFonts w:hint="eastAsia"/>
                <w:color w:val="auto"/>
              </w:rPr>
              <w:t>41</w:t>
            </w:r>
          </w:p>
        </w:tc>
        <w:tc>
          <w:tcPr>
            <w:tcW w:w="456" w:type="pct"/>
            <w:vAlign w:val="center"/>
          </w:tcPr>
          <w:p w14:paraId="525959A7">
            <w:pPr>
              <w:pStyle w:val="33"/>
              <w:rPr>
                <w:color w:val="auto"/>
              </w:rPr>
            </w:pPr>
            <w:r>
              <w:rPr>
                <w:color w:val="auto"/>
              </w:rPr>
              <w:t>0.</w:t>
            </w:r>
            <w:r>
              <w:rPr>
                <w:rFonts w:hint="eastAsia"/>
                <w:color w:val="auto"/>
              </w:rPr>
              <w:t>338</w:t>
            </w:r>
          </w:p>
        </w:tc>
        <w:tc>
          <w:tcPr>
            <w:tcW w:w="459" w:type="pct"/>
            <w:vMerge w:val="restart"/>
            <w:vAlign w:val="center"/>
          </w:tcPr>
          <w:p w14:paraId="48D13415">
            <w:pPr>
              <w:pStyle w:val="33"/>
              <w:rPr>
                <w:color w:val="auto"/>
              </w:rPr>
            </w:pPr>
            <w:r>
              <w:rPr>
                <w:rFonts w:hint="eastAsia"/>
                <w:color w:val="auto"/>
              </w:rPr>
              <w:t>／</w:t>
            </w:r>
          </w:p>
        </w:tc>
        <w:tc>
          <w:tcPr>
            <w:tcW w:w="454" w:type="pct"/>
            <w:vMerge w:val="restart"/>
            <w:vAlign w:val="center"/>
          </w:tcPr>
          <w:p w14:paraId="1CC7F05C">
            <w:pPr>
              <w:pStyle w:val="33"/>
              <w:rPr>
                <w:color w:val="auto"/>
              </w:rPr>
            </w:pPr>
            <w:r>
              <w:rPr>
                <w:rFonts w:hint="eastAsia"/>
                <w:color w:val="auto"/>
              </w:rPr>
              <w:t>30m高排气筒排放</w:t>
            </w:r>
          </w:p>
        </w:tc>
        <w:tc>
          <w:tcPr>
            <w:tcW w:w="1252" w:type="pct"/>
            <w:vMerge w:val="continue"/>
            <w:vAlign w:val="center"/>
          </w:tcPr>
          <w:p w14:paraId="3D5CAE06">
            <w:pPr>
              <w:pStyle w:val="33"/>
              <w:rPr>
                <w:color w:val="auto"/>
              </w:rPr>
            </w:pPr>
          </w:p>
        </w:tc>
      </w:tr>
      <w:tr w14:paraId="2D522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5C43B94">
            <w:pPr>
              <w:pStyle w:val="33"/>
              <w:rPr>
                <w:color w:val="auto"/>
              </w:rPr>
            </w:pPr>
          </w:p>
        </w:tc>
        <w:tc>
          <w:tcPr>
            <w:tcW w:w="254" w:type="pct"/>
            <w:gridSpan w:val="2"/>
            <w:vMerge w:val="continue"/>
            <w:vAlign w:val="center"/>
          </w:tcPr>
          <w:p w14:paraId="3C20EFCB">
            <w:pPr>
              <w:pStyle w:val="33"/>
              <w:rPr>
                <w:color w:val="auto"/>
              </w:rPr>
            </w:pPr>
          </w:p>
        </w:tc>
        <w:tc>
          <w:tcPr>
            <w:tcW w:w="337" w:type="pct"/>
            <w:vMerge w:val="continue"/>
            <w:vAlign w:val="center"/>
          </w:tcPr>
          <w:p w14:paraId="042E848C">
            <w:pPr>
              <w:pStyle w:val="33"/>
              <w:rPr>
                <w:color w:val="auto"/>
              </w:rPr>
            </w:pPr>
          </w:p>
        </w:tc>
        <w:tc>
          <w:tcPr>
            <w:tcW w:w="443" w:type="pct"/>
            <w:vAlign w:val="center"/>
          </w:tcPr>
          <w:p w14:paraId="079F9201">
            <w:pPr>
              <w:pStyle w:val="33"/>
              <w:rPr>
                <w:color w:val="auto"/>
              </w:rPr>
            </w:pPr>
            <w:r>
              <w:rPr>
                <w:rFonts w:hint="eastAsia"/>
                <w:color w:val="auto"/>
              </w:rPr>
              <w:t>氮氧化物</w:t>
            </w:r>
          </w:p>
        </w:tc>
        <w:tc>
          <w:tcPr>
            <w:tcW w:w="658" w:type="pct"/>
            <w:vAlign w:val="center"/>
          </w:tcPr>
          <w:p w14:paraId="0EA3A2C1">
            <w:pPr>
              <w:pStyle w:val="33"/>
              <w:rPr>
                <w:color w:val="auto"/>
              </w:rPr>
            </w:pPr>
            <w:r>
              <w:rPr>
                <w:color w:val="auto"/>
              </w:rPr>
              <w:t>100</w:t>
            </w:r>
          </w:p>
        </w:tc>
        <w:tc>
          <w:tcPr>
            <w:tcW w:w="405" w:type="pct"/>
            <w:vAlign w:val="center"/>
          </w:tcPr>
          <w:p w14:paraId="0FB0EB1C">
            <w:pPr>
              <w:pStyle w:val="33"/>
              <w:rPr>
                <w:color w:val="auto"/>
              </w:rPr>
            </w:pPr>
            <w:r>
              <w:rPr>
                <w:rFonts w:hint="eastAsia"/>
                <w:color w:val="auto"/>
              </w:rPr>
              <w:t>0.22</w:t>
            </w:r>
          </w:p>
        </w:tc>
        <w:tc>
          <w:tcPr>
            <w:tcW w:w="456" w:type="pct"/>
            <w:vAlign w:val="center"/>
          </w:tcPr>
          <w:p w14:paraId="1138543C">
            <w:pPr>
              <w:pStyle w:val="33"/>
              <w:rPr>
                <w:color w:val="auto"/>
              </w:rPr>
            </w:pPr>
            <w:r>
              <w:rPr>
                <w:rFonts w:hint="eastAsia"/>
                <w:color w:val="auto"/>
              </w:rPr>
              <w:t>1.182</w:t>
            </w:r>
          </w:p>
        </w:tc>
        <w:tc>
          <w:tcPr>
            <w:tcW w:w="459" w:type="pct"/>
            <w:vMerge w:val="continue"/>
            <w:vAlign w:val="center"/>
          </w:tcPr>
          <w:p w14:paraId="39044B14">
            <w:pPr>
              <w:pStyle w:val="33"/>
              <w:rPr>
                <w:color w:val="auto"/>
              </w:rPr>
            </w:pPr>
          </w:p>
        </w:tc>
        <w:tc>
          <w:tcPr>
            <w:tcW w:w="454" w:type="pct"/>
            <w:vMerge w:val="continue"/>
            <w:vAlign w:val="center"/>
          </w:tcPr>
          <w:p w14:paraId="74C10A77">
            <w:pPr>
              <w:pStyle w:val="33"/>
              <w:rPr>
                <w:color w:val="auto"/>
              </w:rPr>
            </w:pPr>
          </w:p>
        </w:tc>
        <w:tc>
          <w:tcPr>
            <w:tcW w:w="1252" w:type="pct"/>
            <w:vMerge w:val="continue"/>
            <w:vAlign w:val="center"/>
          </w:tcPr>
          <w:p w14:paraId="2CBB6D05">
            <w:pPr>
              <w:pStyle w:val="33"/>
              <w:rPr>
                <w:color w:val="auto"/>
              </w:rPr>
            </w:pPr>
          </w:p>
        </w:tc>
      </w:tr>
      <w:tr w14:paraId="7F055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0365DA30">
            <w:pPr>
              <w:pStyle w:val="33"/>
              <w:rPr>
                <w:color w:val="auto"/>
              </w:rPr>
            </w:pPr>
          </w:p>
        </w:tc>
        <w:tc>
          <w:tcPr>
            <w:tcW w:w="254" w:type="pct"/>
            <w:gridSpan w:val="2"/>
            <w:vMerge w:val="continue"/>
            <w:vAlign w:val="center"/>
          </w:tcPr>
          <w:p w14:paraId="3E06691E">
            <w:pPr>
              <w:pStyle w:val="33"/>
              <w:rPr>
                <w:color w:val="auto"/>
              </w:rPr>
            </w:pPr>
          </w:p>
        </w:tc>
        <w:tc>
          <w:tcPr>
            <w:tcW w:w="337" w:type="pct"/>
            <w:vMerge w:val="continue"/>
            <w:vAlign w:val="center"/>
          </w:tcPr>
          <w:p w14:paraId="75701A5B">
            <w:pPr>
              <w:pStyle w:val="33"/>
              <w:rPr>
                <w:color w:val="auto"/>
              </w:rPr>
            </w:pPr>
          </w:p>
        </w:tc>
        <w:tc>
          <w:tcPr>
            <w:tcW w:w="443" w:type="pct"/>
            <w:vAlign w:val="center"/>
          </w:tcPr>
          <w:p w14:paraId="68B01ABA">
            <w:pPr>
              <w:pStyle w:val="33"/>
              <w:rPr>
                <w:color w:val="auto"/>
              </w:rPr>
            </w:pPr>
            <w:r>
              <w:rPr>
                <w:rFonts w:hint="eastAsia"/>
                <w:color w:val="auto"/>
              </w:rPr>
              <w:t>烟尘</w:t>
            </w:r>
          </w:p>
        </w:tc>
        <w:tc>
          <w:tcPr>
            <w:tcW w:w="658" w:type="pct"/>
            <w:vAlign w:val="center"/>
          </w:tcPr>
          <w:p w14:paraId="2448152C">
            <w:pPr>
              <w:pStyle w:val="33"/>
              <w:rPr>
                <w:color w:val="auto"/>
              </w:rPr>
            </w:pPr>
            <w:r>
              <w:rPr>
                <w:color w:val="auto"/>
              </w:rPr>
              <w:t>10</w:t>
            </w:r>
          </w:p>
        </w:tc>
        <w:tc>
          <w:tcPr>
            <w:tcW w:w="405" w:type="pct"/>
            <w:vAlign w:val="center"/>
          </w:tcPr>
          <w:p w14:paraId="46FE5392">
            <w:pPr>
              <w:pStyle w:val="33"/>
              <w:rPr>
                <w:color w:val="auto"/>
              </w:rPr>
            </w:pPr>
            <w:r>
              <w:rPr>
                <w:color w:val="auto"/>
              </w:rPr>
              <w:t>0.0</w:t>
            </w:r>
            <w:r>
              <w:rPr>
                <w:rFonts w:hint="eastAsia"/>
                <w:color w:val="auto"/>
              </w:rPr>
              <w:t>22</w:t>
            </w:r>
          </w:p>
        </w:tc>
        <w:tc>
          <w:tcPr>
            <w:tcW w:w="456" w:type="pct"/>
            <w:vAlign w:val="center"/>
          </w:tcPr>
          <w:p w14:paraId="25D8E780">
            <w:pPr>
              <w:pStyle w:val="33"/>
              <w:rPr>
                <w:color w:val="auto"/>
              </w:rPr>
            </w:pPr>
            <w:r>
              <w:rPr>
                <w:rFonts w:hint="eastAsia"/>
                <w:color w:val="auto"/>
              </w:rPr>
              <w:t>0.182</w:t>
            </w:r>
          </w:p>
        </w:tc>
        <w:tc>
          <w:tcPr>
            <w:tcW w:w="459" w:type="pct"/>
            <w:vMerge w:val="continue"/>
            <w:vAlign w:val="center"/>
          </w:tcPr>
          <w:p w14:paraId="0D35DCB7">
            <w:pPr>
              <w:pStyle w:val="33"/>
              <w:rPr>
                <w:color w:val="auto"/>
              </w:rPr>
            </w:pPr>
          </w:p>
        </w:tc>
        <w:tc>
          <w:tcPr>
            <w:tcW w:w="454" w:type="pct"/>
            <w:vMerge w:val="continue"/>
            <w:vAlign w:val="center"/>
          </w:tcPr>
          <w:p w14:paraId="66610955">
            <w:pPr>
              <w:pStyle w:val="33"/>
              <w:rPr>
                <w:color w:val="auto"/>
              </w:rPr>
            </w:pPr>
          </w:p>
        </w:tc>
        <w:tc>
          <w:tcPr>
            <w:tcW w:w="1252" w:type="pct"/>
            <w:vMerge w:val="continue"/>
            <w:vAlign w:val="center"/>
          </w:tcPr>
          <w:p w14:paraId="33AFEC34">
            <w:pPr>
              <w:pStyle w:val="33"/>
              <w:rPr>
                <w:color w:val="auto"/>
              </w:rPr>
            </w:pPr>
          </w:p>
        </w:tc>
      </w:tr>
      <w:tr w14:paraId="03A68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92A029B">
            <w:pPr>
              <w:pStyle w:val="33"/>
              <w:rPr>
                <w:color w:val="auto"/>
              </w:rPr>
            </w:pPr>
          </w:p>
        </w:tc>
        <w:tc>
          <w:tcPr>
            <w:tcW w:w="254" w:type="pct"/>
            <w:gridSpan w:val="2"/>
            <w:vMerge w:val="continue"/>
            <w:vAlign w:val="center"/>
          </w:tcPr>
          <w:p w14:paraId="5D3638CC">
            <w:pPr>
              <w:pStyle w:val="33"/>
              <w:rPr>
                <w:color w:val="auto"/>
              </w:rPr>
            </w:pPr>
          </w:p>
        </w:tc>
        <w:tc>
          <w:tcPr>
            <w:tcW w:w="337" w:type="pct"/>
            <w:vMerge w:val="restart"/>
            <w:vAlign w:val="center"/>
          </w:tcPr>
          <w:p w14:paraId="1BB2CEAD">
            <w:pPr>
              <w:pStyle w:val="33"/>
              <w:rPr>
                <w:color w:val="auto"/>
              </w:rPr>
            </w:pPr>
            <w:r>
              <w:rPr>
                <w:color w:val="auto"/>
              </w:rPr>
              <w:t>DA</w:t>
            </w:r>
            <w:r>
              <w:rPr>
                <w:rFonts w:hint="eastAsia"/>
                <w:color w:val="auto"/>
              </w:rPr>
              <w:t>037</w:t>
            </w:r>
          </w:p>
        </w:tc>
        <w:tc>
          <w:tcPr>
            <w:tcW w:w="443" w:type="pct"/>
            <w:vAlign w:val="center"/>
          </w:tcPr>
          <w:p w14:paraId="35AF7892">
            <w:pPr>
              <w:pStyle w:val="33"/>
              <w:rPr>
                <w:color w:val="auto"/>
              </w:rPr>
            </w:pPr>
            <w:r>
              <w:rPr>
                <w:rFonts w:hint="eastAsia"/>
                <w:color w:val="auto"/>
              </w:rPr>
              <w:t>二氧化硫</w:t>
            </w:r>
          </w:p>
        </w:tc>
        <w:tc>
          <w:tcPr>
            <w:tcW w:w="658" w:type="pct"/>
            <w:vAlign w:val="center"/>
          </w:tcPr>
          <w:p w14:paraId="766A1554">
            <w:pPr>
              <w:pStyle w:val="33"/>
              <w:rPr>
                <w:color w:val="auto"/>
              </w:rPr>
            </w:pPr>
            <w:r>
              <w:rPr>
                <w:color w:val="auto"/>
              </w:rPr>
              <w:t>18.5</w:t>
            </w:r>
            <w:r>
              <w:rPr>
                <w:rFonts w:hint="eastAsia"/>
                <w:color w:val="auto"/>
              </w:rPr>
              <w:t>6</w:t>
            </w:r>
          </w:p>
        </w:tc>
        <w:tc>
          <w:tcPr>
            <w:tcW w:w="405" w:type="pct"/>
            <w:vAlign w:val="center"/>
          </w:tcPr>
          <w:p w14:paraId="27B15BF2">
            <w:pPr>
              <w:pStyle w:val="33"/>
              <w:rPr>
                <w:color w:val="auto"/>
              </w:rPr>
            </w:pPr>
            <w:r>
              <w:rPr>
                <w:color w:val="auto"/>
              </w:rPr>
              <w:t>0.0</w:t>
            </w:r>
            <w:r>
              <w:rPr>
                <w:rFonts w:hint="eastAsia"/>
                <w:color w:val="auto"/>
              </w:rPr>
              <w:t>41</w:t>
            </w:r>
          </w:p>
        </w:tc>
        <w:tc>
          <w:tcPr>
            <w:tcW w:w="456" w:type="pct"/>
            <w:vAlign w:val="center"/>
          </w:tcPr>
          <w:p w14:paraId="5A2123C3">
            <w:pPr>
              <w:pStyle w:val="33"/>
              <w:rPr>
                <w:color w:val="auto"/>
              </w:rPr>
            </w:pPr>
            <w:r>
              <w:rPr>
                <w:color w:val="auto"/>
              </w:rPr>
              <w:t>0.</w:t>
            </w:r>
            <w:r>
              <w:rPr>
                <w:rFonts w:hint="eastAsia"/>
                <w:color w:val="auto"/>
              </w:rPr>
              <w:t>338</w:t>
            </w:r>
          </w:p>
        </w:tc>
        <w:tc>
          <w:tcPr>
            <w:tcW w:w="459" w:type="pct"/>
            <w:vMerge w:val="restart"/>
            <w:vAlign w:val="center"/>
          </w:tcPr>
          <w:p w14:paraId="4465C94E">
            <w:pPr>
              <w:pStyle w:val="33"/>
              <w:rPr>
                <w:color w:val="auto"/>
              </w:rPr>
            </w:pPr>
            <w:r>
              <w:rPr>
                <w:rFonts w:hint="eastAsia"/>
                <w:color w:val="auto"/>
              </w:rPr>
              <w:t>／</w:t>
            </w:r>
          </w:p>
        </w:tc>
        <w:tc>
          <w:tcPr>
            <w:tcW w:w="454" w:type="pct"/>
            <w:vMerge w:val="restart"/>
            <w:vAlign w:val="center"/>
          </w:tcPr>
          <w:p w14:paraId="0FE88A88">
            <w:pPr>
              <w:pStyle w:val="33"/>
              <w:rPr>
                <w:color w:val="auto"/>
              </w:rPr>
            </w:pPr>
            <w:r>
              <w:rPr>
                <w:rFonts w:hint="eastAsia"/>
                <w:color w:val="auto"/>
              </w:rPr>
              <w:t>30m高排气筒排放</w:t>
            </w:r>
          </w:p>
        </w:tc>
        <w:tc>
          <w:tcPr>
            <w:tcW w:w="1252" w:type="pct"/>
            <w:vMerge w:val="continue"/>
            <w:vAlign w:val="center"/>
          </w:tcPr>
          <w:p w14:paraId="67174B09">
            <w:pPr>
              <w:pStyle w:val="33"/>
              <w:rPr>
                <w:color w:val="auto"/>
              </w:rPr>
            </w:pPr>
          </w:p>
        </w:tc>
      </w:tr>
      <w:tr w14:paraId="28EF8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B6B39F2">
            <w:pPr>
              <w:pStyle w:val="33"/>
              <w:rPr>
                <w:color w:val="auto"/>
              </w:rPr>
            </w:pPr>
          </w:p>
        </w:tc>
        <w:tc>
          <w:tcPr>
            <w:tcW w:w="254" w:type="pct"/>
            <w:gridSpan w:val="2"/>
            <w:vMerge w:val="continue"/>
            <w:vAlign w:val="center"/>
          </w:tcPr>
          <w:p w14:paraId="5366385D">
            <w:pPr>
              <w:pStyle w:val="33"/>
              <w:rPr>
                <w:color w:val="auto"/>
              </w:rPr>
            </w:pPr>
          </w:p>
        </w:tc>
        <w:tc>
          <w:tcPr>
            <w:tcW w:w="337" w:type="pct"/>
            <w:vMerge w:val="continue"/>
            <w:vAlign w:val="center"/>
          </w:tcPr>
          <w:p w14:paraId="6B9AE3D6">
            <w:pPr>
              <w:pStyle w:val="33"/>
              <w:rPr>
                <w:color w:val="auto"/>
              </w:rPr>
            </w:pPr>
          </w:p>
        </w:tc>
        <w:tc>
          <w:tcPr>
            <w:tcW w:w="443" w:type="pct"/>
            <w:vAlign w:val="center"/>
          </w:tcPr>
          <w:p w14:paraId="30236A4D">
            <w:pPr>
              <w:pStyle w:val="33"/>
              <w:rPr>
                <w:color w:val="auto"/>
              </w:rPr>
            </w:pPr>
            <w:r>
              <w:rPr>
                <w:rFonts w:hint="eastAsia"/>
                <w:color w:val="auto"/>
              </w:rPr>
              <w:t>氮氧化物</w:t>
            </w:r>
          </w:p>
        </w:tc>
        <w:tc>
          <w:tcPr>
            <w:tcW w:w="658" w:type="pct"/>
            <w:vAlign w:val="center"/>
          </w:tcPr>
          <w:p w14:paraId="577178C4">
            <w:pPr>
              <w:pStyle w:val="33"/>
              <w:rPr>
                <w:color w:val="auto"/>
              </w:rPr>
            </w:pPr>
            <w:r>
              <w:rPr>
                <w:color w:val="auto"/>
              </w:rPr>
              <w:t>100</w:t>
            </w:r>
          </w:p>
        </w:tc>
        <w:tc>
          <w:tcPr>
            <w:tcW w:w="405" w:type="pct"/>
            <w:vAlign w:val="center"/>
          </w:tcPr>
          <w:p w14:paraId="59B1D2A1">
            <w:pPr>
              <w:pStyle w:val="33"/>
              <w:rPr>
                <w:color w:val="auto"/>
              </w:rPr>
            </w:pPr>
            <w:r>
              <w:rPr>
                <w:rFonts w:hint="eastAsia"/>
                <w:color w:val="auto"/>
              </w:rPr>
              <w:t>0.22</w:t>
            </w:r>
          </w:p>
        </w:tc>
        <w:tc>
          <w:tcPr>
            <w:tcW w:w="456" w:type="pct"/>
            <w:vAlign w:val="center"/>
          </w:tcPr>
          <w:p w14:paraId="15EA4F58">
            <w:pPr>
              <w:pStyle w:val="33"/>
              <w:rPr>
                <w:color w:val="auto"/>
              </w:rPr>
            </w:pPr>
            <w:r>
              <w:rPr>
                <w:rFonts w:hint="eastAsia"/>
                <w:color w:val="auto"/>
              </w:rPr>
              <w:t>1.182</w:t>
            </w:r>
          </w:p>
        </w:tc>
        <w:tc>
          <w:tcPr>
            <w:tcW w:w="459" w:type="pct"/>
            <w:vMerge w:val="continue"/>
            <w:vAlign w:val="center"/>
          </w:tcPr>
          <w:p w14:paraId="58F2A92D">
            <w:pPr>
              <w:pStyle w:val="33"/>
              <w:rPr>
                <w:color w:val="auto"/>
              </w:rPr>
            </w:pPr>
          </w:p>
        </w:tc>
        <w:tc>
          <w:tcPr>
            <w:tcW w:w="454" w:type="pct"/>
            <w:vMerge w:val="continue"/>
            <w:vAlign w:val="center"/>
          </w:tcPr>
          <w:p w14:paraId="705104C0">
            <w:pPr>
              <w:pStyle w:val="33"/>
              <w:rPr>
                <w:color w:val="auto"/>
              </w:rPr>
            </w:pPr>
          </w:p>
        </w:tc>
        <w:tc>
          <w:tcPr>
            <w:tcW w:w="1252" w:type="pct"/>
            <w:vMerge w:val="continue"/>
            <w:vAlign w:val="center"/>
          </w:tcPr>
          <w:p w14:paraId="6F303F0B">
            <w:pPr>
              <w:pStyle w:val="33"/>
              <w:rPr>
                <w:color w:val="auto"/>
              </w:rPr>
            </w:pPr>
          </w:p>
        </w:tc>
      </w:tr>
      <w:tr w14:paraId="7C83B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C936697">
            <w:pPr>
              <w:pStyle w:val="33"/>
              <w:rPr>
                <w:color w:val="auto"/>
              </w:rPr>
            </w:pPr>
          </w:p>
        </w:tc>
        <w:tc>
          <w:tcPr>
            <w:tcW w:w="254" w:type="pct"/>
            <w:gridSpan w:val="2"/>
            <w:vMerge w:val="continue"/>
            <w:vAlign w:val="center"/>
          </w:tcPr>
          <w:p w14:paraId="76DBC333">
            <w:pPr>
              <w:pStyle w:val="33"/>
              <w:rPr>
                <w:color w:val="auto"/>
              </w:rPr>
            </w:pPr>
          </w:p>
        </w:tc>
        <w:tc>
          <w:tcPr>
            <w:tcW w:w="337" w:type="pct"/>
            <w:vMerge w:val="continue"/>
            <w:vAlign w:val="center"/>
          </w:tcPr>
          <w:p w14:paraId="4DD3864C">
            <w:pPr>
              <w:pStyle w:val="33"/>
              <w:rPr>
                <w:color w:val="auto"/>
              </w:rPr>
            </w:pPr>
          </w:p>
        </w:tc>
        <w:tc>
          <w:tcPr>
            <w:tcW w:w="443" w:type="pct"/>
            <w:vAlign w:val="center"/>
          </w:tcPr>
          <w:p w14:paraId="46D3EA79">
            <w:pPr>
              <w:pStyle w:val="33"/>
              <w:rPr>
                <w:color w:val="auto"/>
              </w:rPr>
            </w:pPr>
            <w:r>
              <w:rPr>
                <w:rFonts w:hint="eastAsia"/>
                <w:color w:val="auto"/>
              </w:rPr>
              <w:t>烟尘</w:t>
            </w:r>
          </w:p>
        </w:tc>
        <w:tc>
          <w:tcPr>
            <w:tcW w:w="658" w:type="pct"/>
            <w:vAlign w:val="center"/>
          </w:tcPr>
          <w:p w14:paraId="36BC052F">
            <w:pPr>
              <w:pStyle w:val="33"/>
              <w:rPr>
                <w:color w:val="auto"/>
              </w:rPr>
            </w:pPr>
            <w:r>
              <w:rPr>
                <w:color w:val="auto"/>
              </w:rPr>
              <w:t>10</w:t>
            </w:r>
          </w:p>
        </w:tc>
        <w:tc>
          <w:tcPr>
            <w:tcW w:w="405" w:type="pct"/>
            <w:vAlign w:val="center"/>
          </w:tcPr>
          <w:p w14:paraId="4AD70E21">
            <w:pPr>
              <w:pStyle w:val="33"/>
              <w:rPr>
                <w:color w:val="auto"/>
              </w:rPr>
            </w:pPr>
            <w:r>
              <w:rPr>
                <w:color w:val="auto"/>
              </w:rPr>
              <w:t>0.0</w:t>
            </w:r>
            <w:r>
              <w:rPr>
                <w:rFonts w:hint="eastAsia"/>
                <w:color w:val="auto"/>
              </w:rPr>
              <w:t>22</w:t>
            </w:r>
          </w:p>
        </w:tc>
        <w:tc>
          <w:tcPr>
            <w:tcW w:w="456" w:type="pct"/>
            <w:vAlign w:val="center"/>
          </w:tcPr>
          <w:p w14:paraId="3745F097">
            <w:pPr>
              <w:pStyle w:val="33"/>
              <w:rPr>
                <w:color w:val="auto"/>
              </w:rPr>
            </w:pPr>
            <w:r>
              <w:rPr>
                <w:rFonts w:hint="eastAsia"/>
                <w:color w:val="auto"/>
              </w:rPr>
              <w:t>0.182</w:t>
            </w:r>
          </w:p>
        </w:tc>
        <w:tc>
          <w:tcPr>
            <w:tcW w:w="459" w:type="pct"/>
            <w:vMerge w:val="continue"/>
            <w:vAlign w:val="center"/>
          </w:tcPr>
          <w:p w14:paraId="112B9A37">
            <w:pPr>
              <w:pStyle w:val="33"/>
              <w:rPr>
                <w:color w:val="auto"/>
              </w:rPr>
            </w:pPr>
          </w:p>
        </w:tc>
        <w:tc>
          <w:tcPr>
            <w:tcW w:w="454" w:type="pct"/>
            <w:vMerge w:val="continue"/>
            <w:vAlign w:val="center"/>
          </w:tcPr>
          <w:p w14:paraId="50C7DCC9">
            <w:pPr>
              <w:pStyle w:val="33"/>
              <w:rPr>
                <w:color w:val="auto"/>
              </w:rPr>
            </w:pPr>
          </w:p>
        </w:tc>
        <w:tc>
          <w:tcPr>
            <w:tcW w:w="1252" w:type="pct"/>
            <w:vMerge w:val="continue"/>
            <w:vAlign w:val="center"/>
          </w:tcPr>
          <w:p w14:paraId="1E6DFCB0">
            <w:pPr>
              <w:pStyle w:val="33"/>
              <w:rPr>
                <w:color w:val="auto"/>
              </w:rPr>
            </w:pPr>
          </w:p>
        </w:tc>
      </w:tr>
      <w:tr w14:paraId="0AFED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3731D35">
            <w:pPr>
              <w:pStyle w:val="33"/>
              <w:rPr>
                <w:color w:val="auto"/>
              </w:rPr>
            </w:pPr>
          </w:p>
        </w:tc>
        <w:tc>
          <w:tcPr>
            <w:tcW w:w="254" w:type="pct"/>
            <w:gridSpan w:val="2"/>
            <w:vMerge w:val="continue"/>
            <w:vAlign w:val="center"/>
          </w:tcPr>
          <w:p w14:paraId="223471C4">
            <w:pPr>
              <w:pStyle w:val="33"/>
              <w:rPr>
                <w:color w:val="auto"/>
              </w:rPr>
            </w:pPr>
          </w:p>
        </w:tc>
        <w:tc>
          <w:tcPr>
            <w:tcW w:w="337" w:type="pct"/>
            <w:vMerge w:val="restart"/>
            <w:vAlign w:val="center"/>
          </w:tcPr>
          <w:p w14:paraId="50FD3B40">
            <w:pPr>
              <w:pStyle w:val="33"/>
              <w:rPr>
                <w:color w:val="auto"/>
              </w:rPr>
            </w:pPr>
            <w:r>
              <w:rPr>
                <w:color w:val="auto"/>
              </w:rPr>
              <w:t>DA</w:t>
            </w:r>
            <w:r>
              <w:rPr>
                <w:rFonts w:hint="eastAsia"/>
                <w:color w:val="auto"/>
              </w:rPr>
              <w:t>039</w:t>
            </w:r>
          </w:p>
        </w:tc>
        <w:tc>
          <w:tcPr>
            <w:tcW w:w="443" w:type="pct"/>
            <w:vAlign w:val="center"/>
          </w:tcPr>
          <w:p w14:paraId="1DD6F84B">
            <w:pPr>
              <w:pStyle w:val="33"/>
              <w:rPr>
                <w:color w:val="auto"/>
              </w:rPr>
            </w:pPr>
            <w:r>
              <w:rPr>
                <w:rFonts w:hint="eastAsia"/>
                <w:color w:val="auto"/>
              </w:rPr>
              <w:t>二氧化硫</w:t>
            </w:r>
          </w:p>
        </w:tc>
        <w:tc>
          <w:tcPr>
            <w:tcW w:w="658" w:type="pct"/>
            <w:vAlign w:val="center"/>
          </w:tcPr>
          <w:p w14:paraId="5B001A41">
            <w:pPr>
              <w:pStyle w:val="33"/>
              <w:rPr>
                <w:color w:val="auto"/>
              </w:rPr>
            </w:pPr>
            <w:r>
              <w:rPr>
                <w:color w:val="auto"/>
              </w:rPr>
              <w:t>18.5</w:t>
            </w:r>
            <w:r>
              <w:rPr>
                <w:rFonts w:hint="eastAsia"/>
                <w:color w:val="auto"/>
              </w:rPr>
              <w:t>6</w:t>
            </w:r>
          </w:p>
        </w:tc>
        <w:tc>
          <w:tcPr>
            <w:tcW w:w="405" w:type="pct"/>
            <w:vAlign w:val="center"/>
          </w:tcPr>
          <w:p w14:paraId="2DFC149E">
            <w:pPr>
              <w:pStyle w:val="33"/>
              <w:rPr>
                <w:color w:val="auto"/>
              </w:rPr>
            </w:pPr>
            <w:r>
              <w:rPr>
                <w:color w:val="auto"/>
              </w:rPr>
              <w:t>0.0</w:t>
            </w:r>
            <w:r>
              <w:rPr>
                <w:rFonts w:hint="eastAsia"/>
                <w:color w:val="auto"/>
              </w:rPr>
              <w:t>41</w:t>
            </w:r>
          </w:p>
        </w:tc>
        <w:tc>
          <w:tcPr>
            <w:tcW w:w="456" w:type="pct"/>
            <w:vAlign w:val="center"/>
          </w:tcPr>
          <w:p w14:paraId="3AAFC58B">
            <w:pPr>
              <w:pStyle w:val="33"/>
              <w:rPr>
                <w:color w:val="auto"/>
              </w:rPr>
            </w:pPr>
            <w:r>
              <w:rPr>
                <w:color w:val="auto"/>
              </w:rPr>
              <w:t>0.</w:t>
            </w:r>
            <w:r>
              <w:rPr>
                <w:rFonts w:hint="eastAsia"/>
                <w:color w:val="auto"/>
              </w:rPr>
              <w:t>338</w:t>
            </w:r>
          </w:p>
        </w:tc>
        <w:tc>
          <w:tcPr>
            <w:tcW w:w="459" w:type="pct"/>
            <w:vMerge w:val="restart"/>
            <w:vAlign w:val="center"/>
          </w:tcPr>
          <w:p w14:paraId="043A3EAA">
            <w:pPr>
              <w:pStyle w:val="33"/>
              <w:rPr>
                <w:color w:val="auto"/>
              </w:rPr>
            </w:pPr>
            <w:r>
              <w:rPr>
                <w:rFonts w:hint="eastAsia"/>
                <w:color w:val="auto"/>
              </w:rPr>
              <w:t>／</w:t>
            </w:r>
          </w:p>
        </w:tc>
        <w:tc>
          <w:tcPr>
            <w:tcW w:w="454" w:type="pct"/>
            <w:vMerge w:val="restart"/>
            <w:vAlign w:val="center"/>
          </w:tcPr>
          <w:p w14:paraId="4982B914">
            <w:pPr>
              <w:pStyle w:val="33"/>
              <w:rPr>
                <w:color w:val="auto"/>
              </w:rPr>
            </w:pPr>
            <w:r>
              <w:rPr>
                <w:rFonts w:hint="eastAsia"/>
                <w:color w:val="auto"/>
              </w:rPr>
              <w:t>30m高排气筒排放</w:t>
            </w:r>
          </w:p>
        </w:tc>
        <w:tc>
          <w:tcPr>
            <w:tcW w:w="1252" w:type="pct"/>
            <w:vMerge w:val="continue"/>
            <w:vAlign w:val="center"/>
          </w:tcPr>
          <w:p w14:paraId="37030C62">
            <w:pPr>
              <w:pStyle w:val="33"/>
              <w:rPr>
                <w:color w:val="auto"/>
              </w:rPr>
            </w:pPr>
          </w:p>
        </w:tc>
      </w:tr>
      <w:tr w14:paraId="7BD69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D760B96">
            <w:pPr>
              <w:pStyle w:val="33"/>
              <w:rPr>
                <w:color w:val="auto"/>
              </w:rPr>
            </w:pPr>
          </w:p>
        </w:tc>
        <w:tc>
          <w:tcPr>
            <w:tcW w:w="254" w:type="pct"/>
            <w:gridSpan w:val="2"/>
            <w:vMerge w:val="continue"/>
            <w:vAlign w:val="center"/>
          </w:tcPr>
          <w:p w14:paraId="64A76576">
            <w:pPr>
              <w:pStyle w:val="33"/>
              <w:rPr>
                <w:color w:val="auto"/>
              </w:rPr>
            </w:pPr>
          </w:p>
        </w:tc>
        <w:tc>
          <w:tcPr>
            <w:tcW w:w="337" w:type="pct"/>
            <w:vMerge w:val="continue"/>
            <w:vAlign w:val="center"/>
          </w:tcPr>
          <w:p w14:paraId="04EC5655">
            <w:pPr>
              <w:pStyle w:val="33"/>
              <w:rPr>
                <w:color w:val="auto"/>
              </w:rPr>
            </w:pPr>
          </w:p>
        </w:tc>
        <w:tc>
          <w:tcPr>
            <w:tcW w:w="443" w:type="pct"/>
            <w:vAlign w:val="center"/>
          </w:tcPr>
          <w:p w14:paraId="79B8B505">
            <w:pPr>
              <w:pStyle w:val="33"/>
              <w:rPr>
                <w:color w:val="auto"/>
              </w:rPr>
            </w:pPr>
            <w:r>
              <w:rPr>
                <w:rFonts w:hint="eastAsia"/>
                <w:color w:val="auto"/>
              </w:rPr>
              <w:t>氮氧化物</w:t>
            </w:r>
          </w:p>
        </w:tc>
        <w:tc>
          <w:tcPr>
            <w:tcW w:w="658" w:type="pct"/>
            <w:vAlign w:val="center"/>
          </w:tcPr>
          <w:p w14:paraId="3E057F39">
            <w:pPr>
              <w:pStyle w:val="33"/>
              <w:rPr>
                <w:color w:val="auto"/>
              </w:rPr>
            </w:pPr>
            <w:r>
              <w:rPr>
                <w:color w:val="auto"/>
              </w:rPr>
              <w:t>100</w:t>
            </w:r>
          </w:p>
        </w:tc>
        <w:tc>
          <w:tcPr>
            <w:tcW w:w="405" w:type="pct"/>
            <w:vAlign w:val="center"/>
          </w:tcPr>
          <w:p w14:paraId="73EE71AA">
            <w:pPr>
              <w:pStyle w:val="33"/>
              <w:rPr>
                <w:color w:val="auto"/>
              </w:rPr>
            </w:pPr>
            <w:r>
              <w:rPr>
                <w:rFonts w:hint="eastAsia"/>
                <w:color w:val="auto"/>
              </w:rPr>
              <w:t>0.22</w:t>
            </w:r>
          </w:p>
        </w:tc>
        <w:tc>
          <w:tcPr>
            <w:tcW w:w="456" w:type="pct"/>
            <w:vAlign w:val="center"/>
          </w:tcPr>
          <w:p w14:paraId="1D8B7D4C">
            <w:pPr>
              <w:pStyle w:val="33"/>
              <w:rPr>
                <w:color w:val="auto"/>
              </w:rPr>
            </w:pPr>
            <w:r>
              <w:rPr>
                <w:rFonts w:hint="eastAsia"/>
                <w:color w:val="auto"/>
              </w:rPr>
              <w:t>1.182</w:t>
            </w:r>
          </w:p>
        </w:tc>
        <w:tc>
          <w:tcPr>
            <w:tcW w:w="459" w:type="pct"/>
            <w:vMerge w:val="continue"/>
            <w:vAlign w:val="center"/>
          </w:tcPr>
          <w:p w14:paraId="0B528DE0">
            <w:pPr>
              <w:pStyle w:val="33"/>
              <w:rPr>
                <w:color w:val="auto"/>
              </w:rPr>
            </w:pPr>
          </w:p>
        </w:tc>
        <w:tc>
          <w:tcPr>
            <w:tcW w:w="454" w:type="pct"/>
            <w:vMerge w:val="continue"/>
            <w:vAlign w:val="center"/>
          </w:tcPr>
          <w:p w14:paraId="791985DD">
            <w:pPr>
              <w:pStyle w:val="33"/>
              <w:rPr>
                <w:color w:val="auto"/>
              </w:rPr>
            </w:pPr>
          </w:p>
        </w:tc>
        <w:tc>
          <w:tcPr>
            <w:tcW w:w="1252" w:type="pct"/>
            <w:vMerge w:val="continue"/>
            <w:vAlign w:val="center"/>
          </w:tcPr>
          <w:p w14:paraId="63317807">
            <w:pPr>
              <w:pStyle w:val="33"/>
              <w:rPr>
                <w:color w:val="auto"/>
              </w:rPr>
            </w:pPr>
          </w:p>
        </w:tc>
      </w:tr>
      <w:tr w14:paraId="1499A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195666C">
            <w:pPr>
              <w:pStyle w:val="33"/>
              <w:rPr>
                <w:color w:val="auto"/>
              </w:rPr>
            </w:pPr>
          </w:p>
        </w:tc>
        <w:tc>
          <w:tcPr>
            <w:tcW w:w="254" w:type="pct"/>
            <w:gridSpan w:val="2"/>
            <w:vMerge w:val="continue"/>
            <w:vAlign w:val="center"/>
          </w:tcPr>
          <w:p w14:paraId="0B87320D">
            <w:pPr>
              <w:pStyle w:val="33"/>
              <w:rPr>
                <w:color w:val="auto"/>
              </w:rPr>
            </w:pPr>
          </w:p>
        </w:tc>
        <w:tc>
          <w:tcPr>
            <w:tcW w:w="337" w:type="pct"/>
            <w:vMerge w:val="continue"/>
            <w:vAlign w:val="center"/>
          </w:tcPr>
          <w:p w14:paraId="5C97D717">
            <w:pPr>
              <w:pStyle w:val="33"/>
              <w:rPr>
                <w:color w:val="auto"/>
              </w:rPr>
            </w:pPr>
          </w:p>
        </w:tc>
        <w:tc>
          <w:tcPr>
            <w:tcW w:w="443" w:type="pct"/>
            <w:vAlign w:val="center"/>
          </w:tcPr>
          <w:p w14:paraId="48237A4D">
            <w:pPr>
              <w:pStyle w:val="33"/>
              <w:rPr>
                <w:color w:val="auto"/>
              </w:rPr>
            </w:pPr>
            <w:r>
              <w:rPr>
                <w:rFonts w:hint="eastAsia"/>
                <w:color w:val="auto"/>
              </w:rPr>
              <w:t>烟尘</w:t>
            </w:r>
          </w:p>
        </w:tc>
        <w:tc>
          <w:tcPr>
            <w:tcW w:w="658" w:type="pct"/>
            <w:vAlign w:val="center"/>
          </w:tcPr>
          <w:p w14:paraId="1417B9DC">
            <w:pPr>
              <w:pStyle w:val="33"/>
              <w:rPr>
                <w:color w:val="auto"/>
              </w:rPr>
            </w:pPr>
            <w:r>
              <w:rPr>
                <w:color w:val="auto"/>
              </w:rPr>
              <w:t>10</w:t>
            </w:r>
          </w:p>
        </w:tc>
        <w:tc>
          <w:tcPr>
            <w:tcW w:w="405" w:type="pct"/>
            <w:vAlign w:val="center"/>
          </w:tcPr>
          <w:p w14:paraId="6D41F740">
            <w:pPr>
              <w:pStyle w:val="33"/>
              <w:rPr>
                <w:color w:val="auto"/>
              </w:rPr>
            </w:pPr>
            <w:r>
              <w:rPr>
                <w:color w:val="auto"/>
              </w:rPr>
              <w:t>0.0</w:t>
            </w:r>
            <w:r>
              <w:rPr>
                <w:rFonts w:hint="eastAsia"/>
                <w:color w:val="auto"/>
              </w:rPr>
              <w:t>22</w:t>
            </w:r>
          </w:p>
        </w:tc>
        <w:tc>
          <w:tcPr>
            <w:tcW w:w="456" w:type="pct"/>
            <w:vAlign w:val="center"/>
          </w:tcPr>
          <w:p w14:paraId="16B73349">
            <w:pPr>
              <w:pStyle w:val="33"/>
              <w:rPr>
                <w:color w:val="auto"/>
              </w:rPr>
            </w:pPr>
            <w:r>
              <w:rPr>
                <w:rFonts w:hint="eastAsia"/>
                <w:color w:val="auto"/>
              </w:rPr>
              <w:t>0.182</w:t>
            </w:r>
          </w:p>
        </w:tc>
        <w:tc>
          <w:tcPr>
            <w:tcW w:w="459" w:type="pct"/>
            <w:vMerge w:val="continue"/>
            <w:vAlign w:val="center"/>
          </w:tcPr>
          <w:p w14:paraId="0D3733B1">
            <w:pPr>
              <w:pStyle w:val="33"/>
              <w:rPr>
                <w:color w:val="auto"/>
              </w:rPr>
            </w:pPr>
          </w:p>
        </w:tc>
        <w:tc>
          <w:tcPr>
            <w:tcW w:w="454" w:type="pct"/>
            <w:vMerge w:val="continue"/>
            <w:vAlign w:val="center"/>
          </w:tcPr>
          <w:p w14:paraId="19C6BB4F">
            <w:pPr>
              <w:pStyle w:val="33"/>
              <w:rPr>
                <w:color w:val="auto"/>
              </w:rPr>
            </w:pPr>
          </w:p>
        </w:tc>
        <w:tc>
          <w:tcPr>
            <w:tcW w:w="1252" w:type="pct"/>
            <w:vMerge w:val="continue"/>
            <w:vAlign w:val="center"/>
          </w:tcPr>
          <w:p w14:paraId="780C8D67">
            <w:pPr>
              <w:pStyle w:val="33"/>
              <w:rPr>
                <w:color w:val="auto"/>
              </w:rPr>
            </w:pPr>
          </w:p>
        </w:tc>
      </w:tr>
      <w:tr w14:paraId="77B73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6B6C1D2">
            <w:pPr>
              <w:pStyle w:val="33"/>
              <w:rPr>
                <w:color w:val="auto"/>
              </w:rPr>
            </w:pPr>
          </w:p>
        </w:tc>
        <w:tc>
          <w:tcPr>
            <w:tcW w:w="254" w:type="pct"/>
            <w:gridSpan w:val="2"/>
            <w:vMerge w:val="restart"/>
            <w:vAlign w:val="center"/>
          </w:tcPr>
          <w:p w14:paraId="4C364AA3">
            <w:pPr>
              <w:pStyle w:val="33"/>
              <w:rPr>
                <w:color w:val="auto"/>
              </w:rPr>
            </w:pPr>
            <w:r>
              <w:rPr>
                <w:rFonts w:hint="eastAsia"/>
                <w:color w:val="auto"/>
              </w:rPr>
              <w:t>1#造纸车间加热废气</w:t>
            </w:r>
          </w:p>
        </w:tc>
        <w:tc>
          <w:tcPr>
            <w:tcW w:w="337" w:type="pct"/>
            <w:vMerge w:val="restart"/>
            <w:vAlign w:val="center"/>
          </w:tcPr>
          <w:p w14:paraId="59DA35A4">
            <w:pPr>
              <w:pStyle w:val="33"/>
              <w:rPr>
                <w:color w:val="auto"/>
              </w:rPr>
            </w:pPr>
            <w:r>
              <w:rPr>
                <w:color w:val="auto"/>
              </w:rPr>
              <w:t>DA</w:t>
            </w:r>
            <w:r>
              <w:rPr>
                <w:rFonts w:hint="eastAsia"/>
                <w:color w:val="auto"/>
              </w:rPr>
              <w:t>041</w:t>
            </w:r>
          </w:p>
        </w:tc>
        <w:tc>
          <w:tcPr>
            <w:tcW w:w="443" w:type="pct"/>
            <w:vAlign w:val="center"/>
          </w:tcPr>
          <w:p w14:paraId="2348BA08">
            <w:pPr>
              <w:pStyle w:val="33"/>
              <w:rPr>
                <w:color w:val="auto"/>
              </w:rPr>
            </w:pPr>
            <w:r>
              <w:rPr>
                <w:rFonts w:hint="eastAsia"/>
                <w:color w:val="auto"/>
              </w:rPr>
              <w:t>二氧化硫</w:t>
            </w:r>
          </w:p>
        </w:tc>
        <w:tc>
          <w:tcPr>
            <w:tcW w:w="658" w:type="pct"/>
            <w:vAlign w:val="center"/>
          </w:tcPr>
          <w:p w14:paraId="38159C80">
            <w:pPr>
              <w:pStyle w:val="33"/>
              <w:rPr>
                <w:color w:val="auto"/>
              </w:rPr>
            </w:pPr>
            <w:r>
              <w:rPr>
                <w:color w:val="auto"/>
              </w:rPr>
              <w:t>18.56</w:t>
            </w:r>
          </w:p>
        </w:tc>
        <w:tc>
          <w:tcPr>
            <w:tcW w:w="405" w:type="pct"/>
            <w:vAlign w:val="center"/>
          </w:tcPr>
          <w:p w14:paraId="30219AF1">
            <w:pPr>
              <w:pStyle w:val="33"/>
              <w:rPr>
                <w:color w:val="auto"/>
              </w:rPr>
            </w:pPr>
            <w:r>
              <w:rPr>
                <w:color w:val="auto"/>
              </w:rPr>
              <w:t>0.011</w:t>
            </w:r>
          </w:p>
        </w:tc>
        <w:tc>
          <w:tcPr>
            <w:tcW w:w="456" w:type="pct"/>
            <w:vAlign w:val="center"/>
          </w:tcPr>
          <w:p w14:paraId="1441CB1F">
            <w:pPr>
              <w:pStyle w:val="33"/>
              <w:rPr>
                <w:color w:val="auto"/>
              </w:rPr>
            </w:pPr>
            <w:r>
              <w:rPr>
                <w:color w:val="auto"/>
              </w:rPr>
              <w:t>0.094</w:t>
            </w:r>
          </w:p>
        </w:tc>
        <w:tc>
          <w:tcPr>
            <w:tcW w:w="459" w:type="pct"/>
            <w:vMerge w:val="restart"/>
            <w:vAlign w:val="center"/>
          </w:tcPr>
          <w:p w14:paraId="3B1A2740">
            <w:pPr>
              <w:pStyle w:val="33"/>
              <w:rPr>
                <w:color w:val="auto"/>
              </w:rPr>
            </w:pPr>
            <w:r>
              <w:rPr>
                <w:rFonts w:hint="eastAsia"/>
                <w:color w:val="auto"/>
              </w:rPr>
              <w:t>／</w:t>
            </w:r>
          </w:p>
        </w:tc>
        <w:tc>
          <w:tcPr>
            <w:tcW w:w="454" w:type="pct"/>
            <w:vMerge w:val="restart"/>
            <w:vAlign w:val="center"/>
          </w:tcPr>
          <w:p w14:paraId="7560848F">
            <w:pPr>
              <w:pStyle w:val="33"/>
              <w:rPr>
                <w:color w:val="auto"/>
              </w:rPr>
            </w:pPr>
            <w:r>
              <w:rPr>
                <w:rFonts w:hint="eastAsia"/>
                <w:color w:val="auto"/>
              </w:rPr>
              <w:t>20m高排气筒排放</w:t>
            </w:r>
          </w:p>
        </w:tc>
        <w:tc>
          <w:tcPr>
            <w:tcW w:w="1252" w:type="pct"/>
            <w:vMerge w:val="restart"/>
            <w:vAlign w:val="center"/>
          </w:tcPr>
          <w:p w14:paraId="12CA58A4">
            <w:pPr>
              <w:pStyle w:val="33"/>
              <w:rPr>
                <w:color w:val="auto"/>
              </w:rPr>
            </w:pPr>
            <w:r>
              <w:rPr>
                <w:rFonts w:hint="eastAsia"/>
                <w:color w:val="auto"/>
              </w:rPr>
              <w:t>《锅炉大气污染物排放标准》（GB 13271-2014）中燃气锅炉排放限值</w:t>
            </w:r>
          </w:p>
        </w:tc>
      </w:tr>
      <w:tr w14:paraId="1ED40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E30691C">
            <w:pPr>
              <w:pStyle w:val="33"/>
              <w:rPr>
                <w:color w:val="auto"/>
              </w:rPr>
            </w:pPr>
          </w:p>
        </w:tc>
        <w:tc>
          <w:tcPr>
            <w:tcW w:w="254" w:type="pct"/>
            <w:gridSpan w:val="2"/>
            <w:vMerge w:val="continue"/>
            <w:vAlign w:val="center"/>
          </w:tcPr>
          <w:p w14:paraId="02EFAD1C">
            <w:pPr>
              <w:pStyle w:val="33"/>
              <w:rPr>
                <w:color w:val="auto"/>
              </w:rPr>
            </w:pPr>
          </w:p>
        </w:tc>
        <w:tc>
          <w:tcPr>
            <w:tcW w:w="337" w:type="pct"/>
            <w:vMerge w:val="continue"/>
            <w:vAlign w:val="center"/>
          </w:tcPr>
          <w:p w14:paraId="523D3D73">
            <w:pPr>
              <w:pStyle w:val="33"/>
              <w:rPr>
                <w:color w:val="auto"/>
              </w:rPr>
            </w:pPr>
          </w:p>
        </w:tc>
        <w:tc>
          <w:tcPr>
            <w:tcW w:w="443" w:type="pct"/>
            <w:vAlign w:val="center"/>
          </w:tcPr>
          <w:p w14:paraId="126B3C5F">
            <w:pPr>
              <w:pStyle w:val="33"/>
              <w:rPr>
                <w:color w:val="auto"/>
              </w:rPr>
            </w:pPr>
            <w:r>
              <w:rPr>
                <w:rFonts w:hint="eastAsia"/>
                <w:color w:val="auto"/>
              </w:rPr>
              <w:t>氮氧化物</w:t>
            </w:r>
          </w:p>
        </w:tc>
        <w:tc>
          <w:tcPr>
            <w:tcW w:w="658" w:type="pct"/>
            <w:vAlign w:val="center"/>
          </w:tcPr>
          <w:p w14:paraId="3AD9EC9E">
            <w:pPr>
              <w:pStyle w:val="33"/>
              <w:rPr>
                <w:color w:val="auto"/>
              </w:rPr>
            </w:pPr>
            <w:r>
              <w:rPr>
                <w:color w:val="auto"/>
              </w:rPr>
              <w:t>100</w:t>
            </w:r>
          </w:p>
        </w:tc>
        <w:tc>
          <w:tcPr>
            <w:tcW w:w="405" w:type="pct"/>
            <w:vAlign w:val="center"/>
          </w:tcPr>
          <w:p w14:paraId="36F7C8F3">
            <w:pPr>
              <w:pStyle w:val="33"/>
              <w:rPr>
                <w:color w:val="auto"/>
              </w:rPr>
            </w:pPr>
            <w:r>
              <w:rPr>
                <w:color w:val="auto"/>
              </w:rPr>
              <w:t>0.062</w:t>
            </w:r>
          </w:p>
        </w:tc>
        <w:tc>
          <w:tcPr>
            <w:tcW w:w="456" w:type="pct"/>
            <w:vAlign w:val="center"/>
          </w:tcPr>
          <w:p w14:paraId="5AE4F435">
            <w:pPr>
              <w:pStyle w:val="33"/>
              <w:rPr>
                <w:color w:val="auto"/>
              </w:rPr>
            </w:pPr>
            <w:r>
              <w:rPr>
                <w:color w:val="auto"/>
              </w:rPr>
              <w:t>0.505</w:t>
            </w:r>
          </w:p>
        </w:tc>
        <w:tc>
          <w:tcPr>
            <w:tcW w:w="459" w:type="pct"/>
            <w:vMerge w:val="continue"/>
            <w:vAlign w:val="center"/>
          </w:tcPr>
          <w:p w14:paraId="1C797E9B">
            <w:pPr>
              <w:pStyle w:val="33"/>
              <w:rPr>
                <w:color w:val="auto"/>
              </w:rPr>
            </w:pPr>
          </w:p>
        </w:tc>
        <w:tc>
          <w:tcPr>
            <w:tcW w:w="454" w:type="pct"/>
            <w:vMerge w:val="continue"/>
            <w:vAlign w:val="center"/>
          </w:tcPr>
          <w:p w14:paraId="7BFAC29E">
            <w:pPr>
              <w:pStyle w:val="33"/>
              <w:rPr>
                <w:color w:val="auto"/>
              </w:rPr>
            </w:pPr>
          </w:p>
        </w:tc>
        <w:tc>
          <w:tcPr>
            <w:tcW w:w="1252" w:type="pct"/>
            <w:vMerge w:val="continue"/>
            <w:vAlign w:val="center"/>
          </w:tcPr>
          <w:p w14:paraId="5E091E15">
            <w:pPr>
              <w:pStyle w:val="33"/>
              <w:rPr>
                <w:color w:val="auto"/>
              </w:rPr>
            </w:pPr>
          </w:p>
        </w:tc>
      </w:tr>
      <w:tr w14:paraId="47115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6801410">
            <w:pPr>
              <w:pStyle w:val="33"/>
              <w:rPr>
                <w:color w:val="auto"/>
              </w:rPr>
            </w:pPr>
          </w:p>
        </w:tc>
        <w:tc>
          <w:tcPr>
            <w:tcW w:w="254" w:type="pct"/>
            <w:gridSpan w:val="2"/>
            <w:vMerge w:val="continue"/>
            <w:vAlign w:val="center"/>
          </w:tcPr>
          <w:p w14:paraId="5A8E866C">
            <w:pPr>
              <w:pStyle w:val="33"/>
              <w:rPr>
                <w:color w:val="auto"/>
              </w:rPr>
            </w:pPr>
          </w:p>
        </w:tc>
        <w:tc>
          <w:tcPr>
            <w:tcW w:w="337" w:type="pct"/>
            <w:vMerge w:val="continue"/>
            <w:vAlign w:val="center"/>
          </w:tcPr>
          <w:p w14:paraId="28C7CA8E">
            <w:pPr>
              <w:pStyle w:val="33"/>
              <w:rPr>
                <w:color w:val="auto"/>
              </w:rPr>
            </w:pPr>
          </w:p>
        </w:tc>
        <w:tc>
          <w:tcPr>
            <w:tcW w:w="443" w:type="pct"/>
            <w:vAlign w:val="center"/>
          </w:tcPr>
          <w:p w14:paraId="13B283F4">
            <w:pPr>
              <w:pStyle w:val="33"/>
              <w:rPr>
                <w:color w:val="auto"/>
              </w:rPr>
            </w:pPr>
            <w:r>
              <w:rPr>
                <w:rFonts w:hint="eastAsia"/>
                <w:color w:val="auto"/>
              </w:rPr>
              <w:t>烟尘</w:t>
            </w:r>
          </w:p>
        </w:tc>
        <w:tc>
          <w:tcPr>
            <w:tcW w:w="658" w:type="pct"/>
            <w:vAlign w:val="center"/>
          </w:tcPr>
          <w:p w14:paraId="427CDD5D">
            <w:pPr>
              <w:pStyle w:val="33"/>
              <w:rPr>
                <w:color w:val="auto"/>
              </w:rPr>
            </w:pPr>
            <w:r>
              <w:rPr>
                <w:color w:val="auto"/>
              </w:rPr>
              <w:t>10</w:t>
            </w:r>
          </w:p>
        </w:tc>
        <w:tc>
          <w:tcPr>
            <w:tcW w:w="405" w:type="pct"/>
            <w:vAlign w:val="center"/>
          </w:tcPr>
          <w:p w14:paraId="4B451BB1">
            <w:pPr>
              <w:pStyle w:val="33"/>
              <w:rPr>
                <w:color w:val="auto"/>
              </w:rPr>
            </w:pPr>
            <w:r>
              <w:rPr>
                <w:color w:val="auto"/>
              </w:rPr>
              <w:t>0.006</w:t>
            </w:r>
          </w:p>
        </w:tc>
        <w:tc>
          <w:tcPr>
            <w:tcW w:w="456" w:type="pct"/>
            <w:vAlign w:val="center"/>
          </w:tcPr>
          <w:p w14:paraId="35442626">
            <w:pPr>
              <w:pStyle w:val="33"/>
              <w:rPr>
                <w:color w:val="auto"/>
              </w:rPr>
            </w:pPr>
            <w:r>
              <w:rPr>
                <w:color w:val="auto"/>
              </w:rPr>
              <w:t>0.051</w:t>
            </w:r>
          </w:p>
        </w:tc>
        <w:tc>
          <w:tcPr>
            <w:tcW w:w="459" w:type="pct"/>
            <w:vMerge w:val="continue"/>
            <w:vAlign w:val="center"/>
          </w:tcPr>
          <w:p w14:paraId="12785946">
            <w:pPr>
              <w:pStyle w:val="33"/>
              <w:rPr>
                <w:color w:val="auto"/>
              </w:rPr>
            </w:pPr>
          </w:p>
        </w:tc>
        <w:tc>
          <w:tcPr>
            <w:tcW w:w="454" w:type="pct"/>
            <w:vMerge w:val="continue"/>
            <w:vAlign w:val="center"/>
          </w:tcPr>
          <w:p w14:paraId="2E058143">
            <w:pPr>
              <w:pStyle w:val="33"/>
              <w:rPr>
                <w:color w:val="auto"/>
              </w:rPr>
            </w:pPr>
          </w:p>
        </w:tc>
        <w:tc>
          <w:tcPr>
            <w:tcW w:w="1252" w:type="pct"/>
            <w:vMerge w:val="continue"/>
            <w:vAlign w:val="center"/>
          </w:tcPr>
          <w:p w14:paraId="243CAEF9">
            <w:pPr>
              <w:pStyle w:val="33"/>
              <w:rPr>
                <w:color w:val="auto"/>
              </w:rPr>
            </w:pPr>
          </w:p>
        </w:tc>
      </w:tr>
      <w:tr w14:paraId="48B33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02895B07">
            <w:pPr>
              <w:pStyle w:val="33"/>
              <w:rPr>
                <w:color w:val="auto"/>
              </w:rPr>
            </w:pPr>
          </w:p>
        </w:tc>
        <w:tc>
          <w:tcPr>
            <w:tcW w:w="254" w:type="pct"/>
            <w:gridSpan w:val="2"/>
            <w:vMerge w:val="continue"/>
            <w:vAlign w:val="center"/>
          </w:tcPr>
          <w:p w14:paraId="6A75DA2E">
            <w:pPr>
              <w:pStyle w:val="33"/>
              <w:rPr>
                <w:color w:val="auto"/>
              </w:rPr>
            </w:pPr>
          </w:p>
        </w:tc>
        <w:tc>
          <w:tcPr>
            <w:tcW w:w="337" w:type="pct"/>
            <w:vMerge w:val="restart"/>
            <w:vAlign w:val="center"/>
          </w:tcPr>
          <w:p w14:paraId="46401139">
            <w:pPr>
              <w:pStyle w:val="33"/>
              <w:rPr>
                <w:color w:val="auto"/>
              </w:rPr>
            </w:pPr>
            <w:r>
              <w:rPr>
                <w:color w:val="auto"/>
              </w:rPr>
              <w:t>DA</w:t>
            </w:r>
            <w:r>
              <w:rPr>
                <w:rFonts w:hint="eastAsia"/>
                <w:color w:val="auto"/>
              </w:rPr>
              <w:t>0432</w:t>
            </w:r>
          </w:p>
        </w:tc>
        <w:tc>
          <w:tcPr>
            <w:tcW w:w="443" w:type="pct"/>
            <w:vAlign w:val="center"/>
          </w:tcPr>
          <w:p w14:paraId="22E18183">
            <w:pPr>
              <w:pStyle w:val="33"/>
              <w:rPr>
                <w:color w:val="auto"/>
              </w:rPr>
            </w:pPr>
            <w:r>
              <w:rPr>
                <w:rFonts w:hint="eastAsia"/>
                <w:color w:val="auto"/>
              </w:rPr>
              <w:t>二氧化硫</w:t>
            </w:r>
          </w:p>
        </w:tc>
        <w:tc>
          <w:tcPr>
            <w:tcW w:w="658" w:type="pct"/>
            <w:vAlign w:val="center"/>
          </w:tcPr>
          <w:p w14:paraId="40325535">
            <w:pPr>
              <w:pStyle w:val="33"/>
              <w:rPr>
                <w:color w:val="auto"/>
              </w:rPr>
            </w:pPr>
            <w:r>
              <w:rPr>
                <w:color w:val="auto"/>
              </w:rPr>
              <w:t>18.56</w:t>
            </w:r>
          </w:p>
        </w:tc>
        <w:tc>
          <w:tcPr>
            <w:tcW w:w="405" w:type="pct"/>
            <w:vAlign w:val="center"/>
          </w:tcPr>
          <w:p w14:paraId="65FBAB31">
            <w:pPr>
              <w:pStyle w:val="33"/>
              <w:rPr>
                <w:color w:val="auto"/>
              </w:rPr>
            </w:pPr>
            <w:r>
              <w:rPr>
                <w:color w:val="auto"/>
              </w:rPr>
              <w:t>0.011</w:t>
            </w:r>
          </w:p>
        </w:tc>
        <w:tc>
          <w:tcPr>
            <w:tcW w:w="456" w:type="pct"/>
            <w:vAlign w:val="center"/>
          </w:tcPr>
          <w:p w14:paraId="02E367F2">
            <w:pPr>
              <w:pStyle w:val="33"/>
              <w:rPr>
                <w:color w:val="auto"/>
              </w:rPr>
            </w:pPr>
            <w:r>
              <w:rPr>
                <w:color w:val="auto"/>
              </w:rPr>
              <w:t>0.094</w:t>
            </w:r>
          </w:p>
        </w:tc>
        <w:tc>
          <w:tcPr>
            <w:tcW w:w="459" w:type="pct"/>
            <w:vMerge w:val="restart"/>
            <w:vAlign w:val="center"/>
          </w:tcPr>
          <w:p w14:paraId="69176D07">
            <w:pPr>
              <w:pStyle w:val="33"/>
              <w:rPr>
                <w:color w:val="auto"/>
              </w:rPr>
            </w:pPr>
            <w:r>
              <w:rPr>
                <w:rFonts w:hint="eastAsia"/>
                <w:color w:val="auto"/>
              </w:rPr>
              <w:t>／</w:t>
            </w:r>
          </w:p>
        </w:tc>
        <w:tc>
          <w:tcPr>
            <w:tcW w:w="454" w:type="pct"/>
            <w:vMerge w:val="restart"/>
            <w:vAlign w:val="center"/>
          </w:tcPr>
          <w:p w14:paraId="42BE95A3">
            <w:pPr>
              <w:pStyle w:val="33"/>
              <w:rPr>
                <w:color w:val="auto"/>
              </w:rPr>
            </w:pPr>
            <w:r>
              <w:rPr>
                <w:rFonts w:hint="eastAsia"/>
                <w:color w:val="auto"/>
              </w:rPr>
              <w:t>20m高排气筒排放</w:t>
            </w:r>
          </w:p>
        </w:tc>
        <w:tc>
          <w:tcPr>
            <w:tcW w:w="1252" w:type="pct"/>
            <w:vMerge w:val="continue"/>
            <w:vAlign w:val="center"/>
          </w:tcPr>
          <w:p w14:paraId="247F74DE">
            <w:pPr>
              <w:pStyle w:val="33"/>
              <w:rPr>
                <w:color w:val="auto"/>
              </w:rPr>
            </w:pPr>
          </w:p>
        </w:tc>
      </w:tr>
      <w:tr w14:paraId="12108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02339E9">
            <w:pPr>
              <w:pStyle w:val="33"/>
              <w:rPr>
                <w:color w:val="auto"/>
              </w:rPr>
            </w:pPr>
          </w:p>
        </w:tc>
        <w:tc>
          <w:tcPr>
            <w:tcW w:w="254" w:type="pct"/>
            <w:gridSpan w:val="2"/>
            <w:vMerge w:val="continue"/>
            <w:vAlign w:val="center"/>
          </w:tcPr>
          <w:p w14:paraId="227164A8">
            <w:pPr>
              <w:pStyle w:val="33"/>
              <w:rPr>
                <w:color w:val="auto"/>
              </w:rPr>
            </w:pPr>
          </w:p>
        </w:tc>
        <w:tc>
          <w:tcPr>
            <w:tcW w:w="337" w:type="pct"/>
            <w:vMerge w:val="continue"/>
            <w:vAlign w:val="center"/>
          </w:tcPr>
          <w:p w14:paraId="732F3FAB">
            <w:pPr>
              <w:pStyle w:val="33"/>
              <w:rPr>
                <w:color w:val="auto"/>
              </w:rPr>
            </w:pPr>
          </w:p>
        </w:tc>
        <w:tc>
          <w:tcPr>
            <w:tcW w:w="443" w:type="pct"/>
            <w:vAlign w:val="center"/>
          </w:tcPr>
          <w:p w14:paraId="76AA7DA0">
            <w:pPr>
              <w:pStyle w:val="33"/>
              <w:rPr>
                <w:color w:val="auto"/>
              </w:rPr>
            </w:pPr>
            <w:r>
              <w:rPr>
                <w:rFonts w:hint="eastAsia"/>
                <w:color w:val="auto"/>
              </w:rPr>
              <w:t>氮氧化物</w:t>
            </w:r>
          </w:p>
        </w:tc>
        <w:tc>
          <w:tcPr>
            <w:tcW w:w="658" w:type="pct"/>
            <w:vAlign w:val="center"/>
          </w:tcPr>
          <w:p w14:paraId="05A262BB">
            <w:pPr>
              <w:pStyle w:val="33"/>
              <w:rPr>
                <w:color w:val="auto"/>
              </w:rPr>
            </w:pPr>
            <w:r>
              <w:rPr>
                <w:color w:val="auto"/>
              </w:rPr>
              <w:t>100</w:t>
            </w:r>
          </w:p>
        </w:tc>
        <w:tc>
          <w:tcPr>
            <w:tcW w:w="405" w:type="pct"/>
            <w:vAlign w:val="center"/>
          </w:tcPr>
          <w:p w14:paraId="41B2604C">
            <w:pPr>
              <w:pStyle w:val="33"/>
              <w:rPr>
                <w:color w:val="auto"/>
              </w:rPr>
            </w:pPr>
            <w:r>
              <w:rPr>
                <w:color w:val="auto"/>
              </w:rPr>
              <w:t>0.062</w:t>
            </w:r>
          </w:p>
        </w:tc>
        <w:tc>
          <w:tcPr>
            <w:tcW w:w="456" w:type="pct"/>
            <w:vAlign w:val="center"/>
          </w:tcPr>
          <w:p w14:paraId="73251E92">
            <w:pPr>
              <w:pStyle w:val="33"/>
              <w:rPr>
                <w:color w:val="auto"/>
              </w:rPr>
            </w:pPr>
            <w:r>
              <w:rPr>
                <w:color w:val="auto"/>
              </w:rPr>
              <w:t>0.505</w:t>
            </w:r>
          </w:p>
        </w:tc>
        <w:tc>
          <w:tcPr>
            <w:tcW w:w="459" w:type="pct"/>
            <w:vMerge w:val="continue"/>
            <w:vAlign w:val="center"/>
          </w:tcPr>
          <w:p w14:paraId="7212B482">
            <w:pPr>
              <w:pStyle w:val="33"/>
              <w:rPr>
                <w:color w:val="auto"/>
              </w:rPr>
            </w:pPr>
          </w:p>
        </w:tc>
        <w:tc>
          <w:tcPr>
            <w:tcW w:w="454" w:type="pct"/>
            <w:vMerge w:val="continue"/>
            <w:vAlign w:val="center"/>
          </w:tcPr>
          <w:p w14:paraId="52A3C79A">
            <w:pPr>
              <w:pStyle w:val="33"/>
              <w:rPr>
                <w:color w:val="auto"/>
              </w:rPr>
            </w:pPr>
          </w:p>
        </w:tc>
        <w:tc>
          <w:tcPr>
            <w:tcW w:w="1252" w:type="pct"/>
            <w:vMerge w:val="continue"/>
            <w:vAlign w:val="center"/>
          </w:tcPr>
          <w:p w14:paraId="702D39D5">
            <w:pPr>
              <w:pStyle w:val="33"/>
              <w:rPr>
                <w:color w:val="auto"/>
              </w:rPr>
            </w:pPr>
          </w:p>
        </w:tc>
      </w:tr>
      <w:tr w14:paraId="4847C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6440C04">
            <w:pPr>
              <w:pStyle w:val="33"/>
              <w:rPr>
                <w:color w:val="auto"/>
              </w:rPr>
            </w:pPr>
          </w:p>
        </w:tc>
        <w:tc>
          <w:tcPr>
            <w:tcW w:w="254" w:type="pct"/>
            <w:gridSpan w:val="2"/>
            <w:vMerge w:val="continue"/>
            <w:vAlign w:val="center"/>
          </w:tcPr>
          <w:p w14:paraId="6B8DC5EC">
            <w:pPr>
              <w:pStyle w:val="33"/>
              <w:rPr>
                <w:color w:val="auto"/>
              </w:rPr>
            </w:pPr>
          </w:p>
        </w:tc>
        <w:tc>
          <w:tcPr>
            <w:tcW w:w="337" w:type="pct"/>
            <w:vMerge w:val="continue"/>
            <w:vAlign w:val="center"/>
          </w:tcPr>
          <w:p w14:paraId="38EEF216">
            <w:pPr>
              <w:pStyle w:val="33"/>
              <w:rPr>
                <w:color w:val="auto"/>
              </w:rPr>
            </w:pPr>
          </w:p>
        </w:tc>
        <w:tc>
          <w:tcPr>
            <w:tcW w:w="443" w:type="pct"/>
            <w:vAlign w:val="center"/>
          </w:tcPr>
          <w:p w14:paraId="41C9F981">
            <w:pPr>
              <w:pStyle w:val="33"/>
              <w:rPr>
                <w:color w:val="auto"/>
              </w:rPr>
            </w:pPr>
            <w:r>
              <w:rPr>
                <w:rFonts w:hint="eastAsia"/>
                <w:color w:val="auto"/>
              </w:rPr>
              <w:t>烟尘</w:t>
            </w:r>
          </w:p>
        </w:tc>
        <w:tc>
          <w:tcPr>
            <w:tcW w:w="658" w:type="pct"/>
            <w:vAlign w:val="center"/>
          </w:tcPr>
          <w:p w14:paraId="7C759696">
            <w:pPr>
              <w:pStyle w:val="33"/>
              <w:rPr>
                <w:color w:val="auto"/>
              </w:rPr>
            </w:pPr>
            <w:r>
              <w:rPr>
                <w:color w:val="auto"/>
              </w:rPr>
              <w:t>10</w:t>
            </w:r>
          </w:p>
        </w:tc>
        <w:tc>
          <w:tcPr>
            <w:tcW w:w="405" w:type="pct"/>
            <w:vAlign w:val="center"/>
          </w:tcPr>
          <w:p w14:paraId="461EF8B2">
            <w:pPr>
              <w:pStyle w:val="33"/>
              <w:rPr>
                <w:color w:val="auto"/>
              </w:rPr>
            </w:pPr>
            <w:r>
              <w:rPr>
                <w:color w:val="auto"/>
              </w:rPr>
              <w:t>0.006</w:t>
            </w:r>
          </w:p>
        </w:tc>
        <w:tc>
          <w:tcPr>
            <w:tcW w:w="456" w:type="pct"/>
            <w:vAlign w:val="center"/>
          </w:tcPr>
          <w:p w14:paraId="2D37966A">
            <w:pPr>
              <w:pStyle w:val="33"/>
              <w:rPr>
                <w:color w:val="auto"/>
              </w:rPr>
            </w:pPr>
            <w:r>
              <w:rPr>
                <w:color w:val="auto"/>
              </w:rPr>
              <w:t>0.051</w:t>
            </w:r>
          </w:p>
        </w:tc>
        <w:tc>
          <w:tcPr>
            <w:tcW w:w="459" w:type="pct"/>
            <w:vMerge w:val="continue"/>
            <w:vAlign w:val="center"/>
          </w:tcPr>
          <w:p w14:paraId="48921A81">
            <w:pPr>
              <w:pStyle w:val="33"/>
              <w:rPr>
                <w:color w:val="auto"/>
              </w:rPr>
            </w:pPr>
          </w:p>
        </w:tc>
        <w:tc>
          <w:tcPr>
            <w:tcW w:w="454" w:type="pct"/>
            <w:vMerge w:val="continue"/>
            <w:vAlign w:val="center"/>
          </w:tcPr>
          <w:p w14:paraId="280F90F8">
            <w:pPr>
              <w:pStyle w:val="33"/>
              <w:rPr>
                <w:color w:val="auto"/>
              </w:rPr>
            </w:pPr>
          </w:p>
        </w:tc>
        <w:tc>
          <w:tcPr>
            <w:tcW w:w="1252" w:type="pct"/>
            <w:vMerge w:val="continue"/>
            <w:vAlign w:val="center"/>
          </w:tcPr>
          <w:p w14:paraId="78394638">
            <w:pPr>
              <w:pStyle w:val="33"/>
              <w:rPr>
                <w:color w:val="auto"/>
              </w:rPr>
            </w:pPr>
          </w:p>
        </w:tc>
      </w:tr>
      <w:tr w14:paraId="24738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F5D8639">
            <w:pPr>
              <w:pStyle w:val="33"/>
              <w:rPr>
                <w:color w:val="auto"/>
              </w:rPr>
            </w:pPr>
          </w:p>
        </w:tc>
        <w:tc>
          <w:tcPr>
            <w:tcW w:w="254" w:type="pct"/>
            <w:gridSpan w:val="2"/>
            <w:vMerge w:val="restart"/>
            <w:vAlign w:val="center"/>
          </w:tcPr>
          <w:p w14:paraId="71F332C3">
            <w:pPr>
              <w:pStyle w:val="33"/>
              <w:rPr>
                <w:color w:val="auto"/>
              </w:rPr>
            </w:pPr>
            <w:r>
              <w:rPr>
                <w:rFonts w:hint="eastAsia"/>
                <w:color w:val="auto"/>
              </w:rPr>
              <w:t>2#造纸车间烘干废气</w:t>
            </w:r>
          </w:p>
        </w:tc>
        <w:tc>
          <w:tcPr>
            <w:tcW w:w="337" w:type="pct"/>
            <w:vMerge w:val="restart"/>
            <w:vAlign w:val="center"/>
          </w:tcPr>
          <w:p w14:paraId="19EF5F00">
            <w:pPr>
              <w:pStyle w:val="33"/>
              <w:rPr>
                <w:color w:val="auto"/>
              </w:rPr>
            </w:pPr>
            <w:r>
              <w:rPr>
                <w:rFonts w:hint="eastAsia"/>
                <w:color w:val="auto"/>
              </w:rPr>
              <w:t>DA032</w:t>
            </w:r>
          </w:p>
        </w:tc>
        <w:tc>
          <w:tcPr>
            <w:tcW w:w="443" w:type="pct"/>
            <w:vAlign w:val="center"/>
          </w:tcPr>
          <w:p w14:paraId="0F1C35BB">
            <w:pPr>
              <w:pStyle w:val="33"/>
              <w:rPr>
                <w:color w:val="auto"/>
              </w:rPr>
            </w:pPr>
            <w:r>
              <w:rPr>
                <w:rFonts w:hint="eastAsia"/>
                <w:color w:val="auto"/>
              </w:rPr>
              <w:t>二氧化硫</w:t>
            </w:r>
          </w:p>
        </w:tc>
        <w:tc>
          <w:tcPr>
            <w:tcW w:w="658" w:type="pct"/>
            <w:vAlign w:val="center"/>
          </w:tcPr>
          <w:p w14:paraId="4845F949">
            <w:pPr>
              <w:pStyle w:val="33"/>
              <w:rPr>
                <w:color w:val="auto"/>
              </w:rPr>
            </w:pPr>
            <w:r>
              <w:rPr>
                <w:color w:val="auto"/>
              </w:rPr>
              <w:t>18.5</w:t>
            </w:r>
            <w:r>
              <w:rPr>
                <w:rFonts w:hint="eastAsia"/>
                <w:color w:val="auto"/>
              </w:rPr>
              <w:t>6</w:t>
            </w:r>
          </w:p>
        </w:tc>
        <w:tc>
          <w:tcPr>
            <w:tcW w:w="405" w:type="pct"/>
            <w:vAlign w:val="center"/>
          </w:tcPr>
          <w:p w14:paraId="3F7941C2">
            <w:pPr>
              <w:pStyle w:val="33"/>
              <w:rPr>
                <w:color w:val="auto"/>
              </w:rPr>
            </w:pPr>
            <w:r>
              <w:rPr>
                <w:color w:val="auto"/>
              </w:rPr>
              <w:t>0.0</w:t>
            </w:r>
            <w:r>
              <w:rPr>
                <w:rFonts w:hint="eastAsia"/>
                <w:color w:val="auto"/>
              </w:rPr>
              <w:t>53</w:t>
            </w:r>
          </w:p>
        </w:tc>
        <w:tc>
          <w:tcPr>
            <w:tcW w:w="456" w:type="pct"/>
            <w:vAlign w:val="center"/>
          </w:tcPr>
          <w:p w14:paraId="29DC79F5">
            <w:pPr>
              <w:pStyle w:val="33"/>
              <w:rPr>
                <w:color w:val="auto"/>
              </w:rPr>
            </w:pPr>
            <w:r>
              <w:rPr>
                <w:rFonts w:hint="eastAsia"/>
                <w:color w:val="auto"/>
              </w:rPr>
              <w:t>0.432</w:t>
            </w:r>
          </w:p>
        </w:tc>
        <w:tc>
          <w:tcPr>
            <w:tcW w:w="459" w:type="pct"/>
            <w:vMerge w:val="restart"/>
            <w:vAlign w:val="center"/>
          </w:tcPr>
          <w:p w14:paraId="0A3F749D">
            <w:pPr>
              <w:pStyle w:val="33"/>
              <w:rPr>
                <w:color w:val="auto"/>
              </w:rPr>
            </w:pPr>
            <w:r>
              <w:rPr>
                <w:rFonts w:hint="eastAsia"/>
                <w:color w:val="auto"/>
              </w:rPr>
              <w:t>／</w:t>
            </w:r>
          </w:p>
        </w:tc>
        <w:tc>
          <w:tcPr>
            <w:tcW w:w="454" w:type="pct"/>
            <w:vMerge w:val="restart"/>
            <w:vAlign w:val="center"/>
          </w:tcPr>
          <w:p w14:paraId="3F695EE3">
            <w:pPr>
              <w:pStyle w:val="33"/>
              <w:rPr>
                <w:color w:val="auto"/>
              </w:rPr>
            </w:pPr>
            <w:r>
              <w:rPr>
                <w:rFonts w:hint="eastAsia"/>
                <w:color w:val="auto"/>
              </w:rPr>
              <w:t>24m高排气筒排放</w:t>
            </w:r>
          </w:p>
        </w:tc>
        <w:tc>
          <w:tcPr>
            <w:tcW w:w="1252" w:type="pct"/>
            <w:vMerge w:val="restart"/>
            <w:vAlign w:val="center"/>
          </w:tcPr>
          <w:p w14:paraId="4869F89D">
            <w:pPr>
              <w:pStyle w:val="33"/>
              <w:rPr>
                <w:color w:val="auto"/>
              </w:rPr>
            </w:pPr>
            <w:r>
              <w:rPr>
                <w:rFonts w:hint="eastAsia"/>
                <w:color w:val="auto"/>
              </w:rPr>
              <w:t>《大气污染物综合排放标准》（GB16297-1996）表2新污染源大气污染物排放限值中最高允许排放浓度和最高允许排放速率二级要求</w:t>
            </w:r>
          </w:p>
        </w:tc>
      </w:tr>
      <w:tr w14:paraId="57D05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151B05C">
            <w:pPr>
              <w:pStyle w:val="33"/>
              <w:rPr>
                <w:color w:val="auto"/>
              </w:rPr>
            </w:pPr>
          </w:p>
        </w:tc>
        <w:tc>
          <w:tcPr>
            <w:tcW w:w="254" w:type="pct"/>
            <w:gridSpan w:val="2"/>
            <w:vMerge w:val="continue"/>
            <w:vAlign w:val="center"/>
          </w:tcPr>
          <w:p w14:paraId="65E7AF22">
            <w:pPr>
              <w:pStyle w:val="33"/>
              <w:rPr>
                <w:color w:val="auto"/>
              </w:rPr>
            </w:pPr>
          </w:p>
        </w:tc>
        <w:tc>
          <w:tcPr>
            <w:tcW w:w="337" w:type="pct"/>
            <w:vMerge w:val="continue"/>
            <w:vAlign w:val="center"/>
          </w:tcPr>
          <w:p w14:paraId="043692FB">
            <w:pPr>
              <w:pStyle w:val="33"/>
              <w:rPr>
                <w:color w:val="auto"/>
              </w:rPr>
            </w:pPr>
          </w:p>
        </w:tc>
        <w:tc>
          <w:tcPr>
            <w:tcW w:w="443" w:type="pct"/>
            <w:vAlign w:val="center"/>
          </w:tcPr>
          <w:p w14:paraId="3CB162AD">
            <w:pPr>
              <w:pStyle w:val="33"/>
              <w:rPr>
                <w:color w:val="auto"/>
              </w:rPr>
            </w:pPr>
            <w:r>
              <w:rPr>
                <w:rFonts w:hint="eastAsia"/>
                <w:color w:val="auto"/>
              </w:rPr>
              <w:t>氮氧化物</w:t>
            </w:r>
          </w:p>
        </w:tc>
        <w:tc>
          <w:tcPr>
            <w:tcW w:w="658" w:type="pct"/>
            <w:vAlign w:val="center"/>
          </w:tcPr>
          <w:p w14:paraId="7C23693A">
            <w:pPr>
              <w:pStyle w:val="33"/>
              <w:rPr>
                <w:color w:val="auto"/>
              </w:rPr>
            </w:pPr>
            <w:r>
              <w:rPr>
                <w:color w:val="auto"/>
              </w:rPr>
              <w:t>100</w:t>
            </w:r>
          </w:p>
        </w:tc>
        <w:tc>
          <w:tcPr>
            <w:tcW w:w="405" w:type="pct"/>
            <w:vAlign w:val="center"/>
          </w:tcPr>
          <w:p w14:paraId="7588C2DD">
            <w:pPr>
              <w:pStyle w:val="33"/>
              <w:rPr>
                <w:color w:val="auto"/>
              </w:rPr>
            </w:pPr>
            <w:r>
              <w:rPr>
                <w:rFonts w:hint="eastAsia"/>
                <w:color w:val="auto"/>
              </w:rPr>
              <w:t>0.29</w:t>
            </w:r>
          </w:p>
        </w:tc>
        <w:tc>
          <w:tcPr>
            <w:tcW w:w="456" w:type="pct"/>
            <w:vAlign w:val="center"/>
          </w:tcPr>
          <w:p w14:paraId="1AA88E99">
            <w:pPr>
              <w:pStyle w:val="33"/>
              <w:rPr>
                <w:color w:val="auto"/>
              </w:rPr>
            </w:pPr>
            <w:r>
              <w:rPr>
                <w:rFonts w:hint="eastAsia"/>
                <w:color w:val="auto"/>
              </w:rPr>
              <w:t>2.327</w:t>
            </w:r>
          </w:p>
        </w:tc>
        <w:tc>
          <w:tcPr>
            <w:tcW w:w="459" w:type="pct"/>
            <w:vMerge w:val="continue"/>
            <w:vAlign w:val="center"/>
          </w:tcPr>
          <w:p w14:paraId="4F73563A">
            <w:pPr>
              <w:pStyle w:val="33"/>
              <w:rPr>
                <w:color w:val="auto"/>
              </w:rPr>
            </w:pPr>
          </w:p>
        </w:tc>
        <w:tc>
          <w:tcPr>
            <w:tcW w:w="454" w:type="pct"/>
            <w:vMerge w:val="continue"/>
            <w:vAlign w:val="center"/>
          </w:tcPr>
          <w:p w14:paraId="16BFD653">
            <w:pPr>
              <w:pStyle w:val="33"/>
              <w:rPr>
                <w:color w:val="auto"/>
              </w:rPr>
            </w:pPr>
          </w:p>
        </w:tc>
        <w:tc>
          <w:tcPr>
            <w:tcW w:w="1252" w:type="pct"/>
            <w:vMerge w:val="continue"/>
            <w:vAlign w:val="center"/>
          </w:tcPr>
          <w:p w14:paraId="588DED2A">
            <w:pPr>
              <w:pStyle w:val="33"/>
              <w:rPr>
                <w:color w:val="auto"/>
              </w:rPr>
            </w:pPr>
          </w:p>
        </w:tc>
      </w:tr>
      <w:tr w14:paraId="36425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8B321C8">
            <w:pPr>
              <w:pStyle w:val="33"/>
              <w:rPr>
                <w:color w:val="auto"/>
              </w:rPr>
            </w:pPr>
          </w:p>
        </w:tc>
        <w:tc>
          <w:tcPr>
            <w:tcW w:w="254" w:type="pct"/>
            <w:gridSpan w:val="2"/>
            <w:vMerge w:val="continue"/>
            <w:vAlign w:val="center"/>
          </w:tcPr>
          <w:p w14:paraId="3B23ECCB">
            <w:pPr>
              <w:pStyle w:val="33"/>
              <w:rPr>
                <w:color w:val="auto"/>
              </w:rPr>
            </w:pPr>
          </w:p>
        </w:tc>
        <w:tc>
          <w:tcPr>
            <w:tcW w:w="337" w:type="pct"/>
            <w:vMerge w:val="continue"/>
            <w:vAlign w:val="center"/>
          </w:tcPr>
          <w:p w14:paraId="6C3FFA3D">
            <w:pPr>
              <w:pStyle w:val="33"/>
              <w:rPr>
                <w:color w:val="auto"/>
              </w:rPr>
            </w:pPr>
          </w:p>
        </w:tc>
        <w:tc>
          <w:tcPr>
            <w:tcW w:w="443" w:type="pct"/>
            <w:vAlign w:val="center"/>
          </w:tcPr>
          <w:p w14:paraId="6D6FF5D6">
            <w:pPr>
              <w:pStyle w:val="33"/>
              <w:rPr>
                <w:color w:val="auto"/>
              </w:rPr>
            </w:pPr>
            <w:r>
              <w:rPr>
                <w:rFonts w:hint="eastAsia"/>
                <w:color w:val="auto"/>
              </w:rPr>
              <w:t>烟尘</w:t>
            </w:r>
          </w:p>
        </w:tc>
        <w:tc>
          <w:tcPr>
            <w:tcW w:w="658" w:type="pct"/>
            <w:vAlign w:val="center"/>
          </w:tcPr>
          <w:p w14:paraId="7B37005C">
            <w:pPr>
              <w:pStyle w:val="33"/>
              <w:rPr>
                <w:color w:val="auto"/>
              </w:rPr>
            </w:pPr>
            <w:r>
              <w:rPr>
                <w:color w:val="auto"/>
              </w:rPr>
              <w:t>10</w:t>
            </w:r>
          </w:p>
        </w:tc>
        <w:tc>
          <w:tcPr>
            <w:tcW w:w="405" w:type="pct"/>
            <w:vAlign w:val="center"/>
          </w:tcPr>
          <w:p w14:paraId="0815BFBD">
            <w:pPr>
              <w:pStyle w:val="33"/>
              <w:rPr>
                <w:color w:val="auto"/>
              </w:rPr>
            </w:pPr>
            <w:r>
              <w:rPr>
                <w:rFonts w:hint="eastAsia"/>
                <w:color w:val="auto"/>
              </w:rPr>
              <w:t>0.029</w:t>
            </w:r>
          </w:p>
        </w:tc>
        <w:tc>
          <w:tcPr>
            <w:tcW w:w="456" w:type="pct"/>
            <w:vAlign w:val="center"/>
          </w:tcPr>
          <w:p w14:paraId="456961F1">
            <w:pPr>
              <w:pStyle w:val="33"/>
              <w:rPr>
                <w:color w:val="auto"/>
              </w:rPr>
            </w:pPr>
            <w:r>
              <w:rPr>
                <w:rFonts w:hint="eastAsia"/>
                <w:color w:val="auto"/>
              </w:rPr>
              <w:t>0.233</w:t>
            </w:r>
          </w:p>
        </w:tc>
        <w:tc>
          <w:tcPr>
            <w:tcW w:w="459" w:type="pct"/>
            <w:vMerge w:val="continue"/>
            <w:vAlign w:val="center"/>
          </w:tcPr>
          <w:p w14:paraId="76DF41CD">
            <w:pPr>
              <w:pStyle w:val="33"/>
              <w:rPr>
                <w:color w:val="auto"/>
              </w:rPr>
            </w:pPr>
          </w:p>
        </w:tc>
        <w:tc>
          <w:tcPr>
            <w:tcW w:w="454" w:type="pct"/>
            <w:vMerge w:val="continue"/>
            <w:vAlign w:val="center"/>
          </w:tcPr>
          <w:p w14:paraId="6DEC3AD9">
            <w:pPr>
              <w:pStyle w:val="33"/>
              <w:rPr>
                <w:color w:val="auto"/>
              </w:rPr>
            </w:pPr>
          </w:p>
        </w:tc>
        <w:tc>
          <w:tcPr>
            <w:tcW w:w="1252" w:type="pct"/>
            <w:vMerge w:val="continue"/>
            <w:vAlign w:val="center"/>
          </w:tcPr>
          <w:p w14:paraId="1A9A8DE5">
            <w:pPr>
              <w:pStyle w:val="33"/>
              <w:rPr>
                <w:color w:val="auto"/>
              </w:rPr>
            </w:pPr>
          </w:p>
        </w:tc>
      </w:tr>
      <w:tr w14:paraId="2BC39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A69744F">
            <w:pPr>
              <w:pStyle w:val="33"/>
              <w:rPr>
                <w:color w:val="auto"/>
              </w:rPr>
            </w:pPr>
          </w:p>
        </w:tc>
        <w:tc>
          <w:tcPr>
            <w:tcW w:w="254" w:type="pct"/>
            <w:gridSpan w:val="2"/>
            <w:vMerge w:val="continue"/>
            <w:vAlign w:val="center"/>
          </w:tcPr>
          <w:p w14:paraId="3A9FE1A7">
            <w:pPr>
              <w:pStyle w:val="33"/>
              <w:rPr>
                <w:color w:val="auto"/>
              </w:rPr>
            </w:pPr>
          </w:p>
        </w:tc>
        <w:tc>
          <w:tcPr>
            <w:tcW w:w="337" w:type="pct"/>
            <w:vMerge w:val="restart"/>
            <w:vAlign w:val="center"/>
          </w:tcPr>
          <w:p w14:paraId="22A08D53">
            <w:pPr>
              <w:pStyle w:val="33"/>
              <w:rPr>
                <w:color w:val="auto"/>
              </w:rPr>
            </w:pPr>
            <w:r>
              <w:rPr>
                <w:rFonts w:hint="eastAsia"/>
                <w:color w:val="auto"/>
              </w:rPr>
              <w:t>DA034</w:t>
            </w:r>
          </w:p>
        </w:tc>
        <w:tc>
          <w:tcPr>
            <w:tcW w:w="443" w:type="pct"/>
            <w:vAlign w:val="center"/>
          </w:tcPr>
          <w:p w14:paraId="045A71D6">
            <w:pPr>
              <w:pStyle w:val="33"/>
              <w:rPr>
                <w:color w:val="auto"/>
              </w:rPr>
            </w:pPr>
            <w:r>
              <w:rPr>
                <w:rFonts w:hint="eastAsia"/>
                <w:color w:val="auto"/>
              </w:rPr>
              <w:t>二氧化硫</w:t>
            </w:r>
          </w:p>
        </w:tc>
        <w:tc>
          <w:tcPr>
            <w:tcW w:w="658" w:type="pct"/>
            <w:vAlign w:val="center"/>
          </w:tcPr>
          <w:p w14:paraId="1CCDD990">
            <w:pPr>
              <w:pStyle w:val="33"/>
              <w:rPr>
                <w:color w:val="auto"/>
              </w:rPr>
            </w:pPr>
            <w:r>
              <w:rPr>
                <w:color w:val="auto"/>
              </w:rPr>
              <w:t>18.5</w:t>
            </w:r>
            <w:r>
              <w:rPr>
                <w:rFonts w:hint="eastAsia"/>
                <w:color w:val="auto"/>
              </w:rPr>
              <w:t>6</w:t>
            </w:r>
          </w:p>
        </w:tc>
        <w:tc>
          <w:tcPr>
            <w:tcW w:w="405" w:type="pct"/>
            <w:vAlign w:val="center"/>
          </w:tcPr>
          <w:p w14:paraId="20203358">
            <w:pPr>
              <w:pStyle w:val="33"/>
              <w:rPr>
                <w:color w:val="auto"/>
              </w:rPr>
            </w:pPr>
            <w:r>
              <w:rPr>
                <w:color w:val="auto"/>
              </w:rPr>
              <w:t>0.0</w:t>
            </w:r>
            <w:r>
              <w:rPr>
                <w:rFonts w:hint="eastAsia"/>
                <w:color w:val="auto"/>
              </w:rPr>
              <w:t>53</w:t>
            </w:r>
          </w:p>
        </w:tc>
        <w:tc>
          <w:tcPr>
            <w:tcW w:w="456" w:type="pct"/>
            <w:vAlign w:val="center"/>
          </w:tcPr>
          <w:p w14:paraId="0E5E7C22">
            <w:pPr>
              <w:pStyle w:val="33"/>
              <w:rPr>
                <w:color w:val="auto"/>
              </w:rPr>
            </w:pPr>
            <w:r>
              <w:rPr>
                <w:rFonts w:hint="eastAsia"/>
                <w:color w:val="auto"/>
              </w:rPr>
              <w:t>0.432</w:t>
            </w:r>
          </w:p>
        </w:tc>
        <w:tc>
          <w:tcPr>
            <w:tcW w:w="459" w:type="pct"/>
            <w:vMerge w:val="restart"/>
            <w:vAlign w:val="center"/>
          </w:tcPr>
          <w:p w14:paraId="59CCCA90">
            <w:pPr>
              <w:pStyle w:val="33"/>
              <w:rPr>
                <w:color w:val="auto"/>
              </w:rPr>
            </w:pPr>
            <w:r>
              <w:rPr>
                <w:rFonts w:hint="eastAsia"/>
                <w:color w:val="auto"/>
              </w:rPr>
              <w:t>／</w:t>
            </w:r>
          </w:p>
        </w:tc>
        <w:tc>
          <w:tcPr>
            <w:tcW w:w="454" w:type="pct"/>
            <w:vMerge w:val="restart"/>
            <w:vAlign w:val="center"/>
          </w:tcPr>
          <w:p w14:paraId="2083E895">
            <w:pPr>
              <w:pStyle w:val="33"/>
              <w:rPr>
                <w:color w:val="auto"/>
              </w:rPr>
            </w:pPr>
            <w:r>
              <w:rPr>
                <w:rFonts w:hint="eastAsia"/>
                <w:color w:val="auto"/>
              </w:rPr>
              <w:t>24m高排气筒排放</w:t>
            </w:r>
          </w:p>
        </w:tc>
        <w:tc>
          <w:tcPr>
            <w:tcW w:w="1252" w:type="pct"/>
            <w:vMerge w:val="continue"/>
            <w:vAlign w:val="center"/>
          </w:tcPr>
          <w:p w14:paraId="7F7E4FAD">
            <w:pPr>
              <w:pStyle w:val="33"/>
              <w:rPr>
                <w:color w:val="auto"/>
              </w:rPr>
            </w:pPr>
          </w:p>
        </w:tc>
      </w:tr>
      <w:tr w14:paraId="3C9F1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A0F5E0A">
            <w:pPr>
              <w:pStyle w:val="33"/>
              <w:rPr>
                <w:color w:val="auto"/>
              </w:rPr>
            </w:pPr>
          </w:p>
        </w:tc>
        <w:tc>
          <w:tcPr>
            <w:tcW w:w="254" w:type="pct"/>
            <w:gridSpan w:val="2"/>
            <w:vMerge w:val="continue"/>
            <w:vAlign w:val="center"/>
          </w:tcPr>
          <w:p w14:paraId="1A977B0E">
            <w:pPr>
              <w:pStyle w:val="33"/>
              <w:rPr>
                <w:color w:val="auto"/>
              </w:rPr>
            </w:pPr>
          </w:p>
        </w:tc>
        <w:tc>
          <w:tcPr>
            <w:tcW w:w="337" w:type="pct"/>
            <w:vMerge w:val="continue"/>
            <w:vAlign w:val="center"/>
          </w:tcPr>
          <w:p w14:paraId="40587E42">
            <w:pPr>
              <w:pStyle w:val="33"/>
              <w:rPr>
                <w:color w:val="auto"/>
              </w:rPr>
            </w:pPr>
          </w:p>
        </w:tc>
        <w:tc>
          <w:tcPr>
            <w:tcW w:w="443" w:type="pct"/>
            <w:vAlign w:val="center"/>
          </w:tcPr>
          <w:p w14:paraId="1DF09055">
            <w:pPr>
              <w:pStyle w:val="33"/>
              <w:rPr>
                <w:color w:val="auto"/>
              </w:rPr>
            </w:pPr>
            <w:r>
              <w:rPr>
                <w:rFonts w:hint="eastAsia"/>
                <w:color w:val="auto"/>
              </w:rPr>
              <w:t>氮氧化物</w:t>
            </w:r>
          </w:p>
        </w:tc>
        <w:tc>
          <w:tcPr>
            <w:tcW w:w="658" w:type="pct"/>
            <w:vAlign w:val="center"/>
          </w:tcPr>
          <w:p w14:paraId="30DDC500">
            <w:pPr>
              <w:pStyle w:val="33"/>
              <w:rPr>
                <w:color w:val="auto"/>
              </w:rPr>
            </w:pPr>
            <w:r>
              <w:rPr>
                <w:color w:val="auto"/>
              </w:rPr>
              <w:t>100</w:t>
            </w:r>
          </w:p>
        </w:tc>
        <w:tc>
          <w:tcPr>
            <w:tcW w:w="405" w:type="pct"/>
            <w:vAlign w:val="center"/>
          </w:tcPr>
          <w:p w14:paraId="46DB6CB6">
            <w:pPr>
              <w:pStyle w:val="33"/>
              <w:rPr>
                <w:color w:val="auto"/>
              </w:rPr>
            </w:pPr>
            <w:r>
              <w:rPr>
                <w:rFonts w:hint="eastAsia"/>
                <w:color w:val="auto"/>
              </w:rPr>
              <w:t>0.29</w:t>
            </w:r>
          </w:p>
        </w:tc>
        <w:tc>
          <w:tcPr>
            <w:tcW w:w="456" w:type="pct"/>
            <w:vAlign w:val="center"/>
          </w:tcPr>
          <w:p w14:paraId="6AE6688B">
            <w:pPr>
              <w:pStyle w:val="33"/>
              <w:rPr>
                <w:color w:val="auto"/>
              </w:rPr>
            </w:pPr>
            <w:r>
              <w:rPr>
                <w:rFonts w:hint="eastAsia"/>
                <w:color w:val="auto"/>
              </w:rPr>
              <w:t>2.327</w:t>
            </w:r>
          </w:p>
        </w:tc>
        <w:tc>
          <w:tcPr>
            <w:tcW w:w="459" w:type="pct"/>
            <w:vMerge w:val="continue"/>
            <w:vAlign w:val="center"/>
          </w:tcPr>
          <w:p w14:paraId="244581F3">
            <w:pPr>
              <w:pStyle w:val="33"/>
              <w:rPr>
                <w:color w:val="auto"/>
              </w:rPr>
            </w:pPr>
          </w:p>
        </w:tc>
        <w:tc>
          <w:tcPr>
            <w:tcW w:w="454" w:type="pct"/>
            <w:vMerge w:val="continue"/>
            <w:vAlign w:val="center"/>
          </w:tcPr>
          <w:p w14:paraId="19971F05">
            <w:pPr>
              <w:pStyle w:val="33"/>
              <w:rPr>
                <w:color w:val="auto"/>
              </w:rPr>
            </w:pPr>
          </w:p>
        </w:tc>
        <w:tc>
          <w:tcPr>
            <w:tcW w:w="1252" w:type="pct"/>
            <w:vMerge w:val="continue"/>
            <w:vAlign w:val="center"/>
          </w:tcPr>
          <w:p w14:paraId="558DD131">
            <w:pPr>
              <w:pStyle w:val="33"/>
              <w:rPr>
                <w:color w:val="auto"/>
              </w:rPr>
            </w:pPr>
          </w:p>
        </w:tc>
      </w:tr>
      <w:tr w14:paraId="3F743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03D3BFEB">
            <w:pPr>
              <w:pStyle w:val="33"/>
              <w:rPr>
                <w:color w:val="auto"/>
              </w:rPr>
            </w:pPr>
          </w:p>
        </w:tc>
        <w:tc>
          <w:tcPr>
            <w:tcW w:w="254" w:type="pct"/>
            <w:gridSpan w:val="2"/>
            <w:vMerge w:val="continue"/>
            <w:vAlign w:val="center"/>
          </w:tcPr>
          <w:p w14:paraId="6D763B43">
            <w:pPr>
              <w:pStyle w:val="33"/>
              <w:rPr>
                <w:color w:val="auto"/>
              </w:rPr>
            </w:pPr>
          </w:p>
        </w:tc>
        <w:tc>
          <w:tcPr>
            <w:tcW w:w="337" w:type="pct"/>
            <w:vMerge w:val="continue"/>
            <w:vAlign w:val="center"/>
          </w:tcPr>
          <w:p w14:paraId="6BCC6F93">
            <w:pPr>
              <w:pStyle w:val="33"/>
              <w:rPr>
                <w:color w:val="auto"/>
              </w:rPr>
            </w:pPr>
          </w:p>
        </w:tc>
        <w:tc>
          <w:tcPr>
            <w:tcW w:w="443" w:type="pct"/>
            <w:vAlign w:val="center"/>
          </w:tcPr>
          <w:p w14:paraId="1CE14C85">
            <w:pPr>
              <w:pStyle w:val="33"/>
              <w:rPr>
                <w:color w:val="auto"/>
              </w:rPr>
            </w:pPr>
            <w:r>
              <w:rPr>
                <w:rFonts w:hint="eastAsia"/>
                <w:color w:val="auto"/>
              </w:rPr>
              <w:t>烟尘</w:t>
            </w:r>
          </w:p>
        </w:tc>
        <w:tc>
          <w:tcPr>
            <w:tcW w:w="658" w:type="pct"/>
            <w:vAlign w:val="center"/>
          </w:tcPr>
          <w:p w14:paraId="0A41565F">
            <w:pPr>
              <w:pStyle w:val="33"/>
              <w:rPr>
                <w:color w:val="auto"/>
              </w:rPr>
            </w:pPr>
            <w:r>
              <w:rPr>
                <w:color w:val="auto"/>
              </w:rPr>
              <w:t>10</w:t>
            </w:r>
          </w:p>
        </w:tc>
        <w:tc>
          <w:tcPr>
            <w:tcW w:w="405" w:type="pct"/>
            <w:vAlign w:val="center"/>
          </w:tcPr>
          <w:p w14:paraId="079B3C01">
            <w:pPr>
              <w:pStyle w:val="33"/>
              <w:rPr>
                <w:color w:val="auto"/>
              </w:rPr>
            </w:pPr>
            <w:r>
              <w:rPr>
                <w:rFonts w:hint="eastAsia"/>
                <w:color w:val="auto"/>
              </w:rPr>
              <w:t>0.029</w:t>
            </w:r>
          </w:p>
        </w:tc>
        <w:tc>
          <w:tcPr>
            <w:tcW w:w="456" w:type="pct"/>
            <w:vAlign w:val="center"/>
          </w:tcPr>
          <w:p w14:paraId="69599C65">
            <w:pPr>
              <w:pStyle w:val="33"/>
              <w:rPr>
                <w:color w:val="auto"/>
              </w:rPr>
            </w:pPr>
            <w:r>
              <w:rPr>
                <w:rFonts w:hint="eastAsia"/>
                <w:color w:val="auto"/>
              </w:rPr>
              <w:t>0.233</w:t>
            </w:r>
          </w:p>
        </w:tc>
        <w:tc>
          <w:tcPr>
            <w:tcW w:w="459" w:type="pct"/>
            <w:vMerge w:val="continue"/>
            <w:vAlign w:val="center"/>
          </w:tcPr>
          <w:p w14:paraId="2DD1CB13">
            <w:pPr>
              <w:pStyle w:val="33"/>
              <w:rPr>
                <w:color w:val="auto"/>
              </w:rPr>
            </w:pPr>
          </w:p>
        </w:tc>
        <w:tc>
          <w:tcPr>
            <w:tcW w:w="454" w:type="pct"/>
            <w:vMerge w:val="continue"/>
            <w:vAlign w:val="center"/>
          </w:tcPr>
          <w:p w14:paraId="64685F75">
            <w:pPr>
              <w:pStyle w:val="33"/>
              <w:rPr>
                <w:color w:val="auto"/>
              </w:rPr>
            </w:pPr>
          </w:p>
        </w:tc>
        <w:tc>
          <w:tcPr>
            <w:tcW w:w="1252" w:type="pct"/>
            <w:vMerge w:val="continue"/>
            <w:vAlign w:val="center"/>
          </w:tcPr>
          <w:p w14:paraId="1322F741">
            <w:pPr>
              <w:pStyle w:val="33"/>
              <w:rPr>
                <w:color w:val="auto"/>
              </w:rPr>
            </w:pPr>
          </w:p>
        </w:tc>
      </w:tr>
      <w:tr w14:paraId="30E52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546BE3F">
            <w:pPr>
              <w:pStyle w:val="33"/>
              <w:rPr>
                <w:color w:val="auto"/>
              </w:rPr>
            </w:pPr>
          </w:p>
        </w:tc>
        <w:tc>
          <w:tcPr>
            <w:tcW w:w="254" w:type="pct"/>
            <w:gridSpan w:val="2"/>
            <w:vMerge w:val="continue"/>
            <w:vAlign w:val="center"/>
          </w:tcPr>
          <w:p w14:paraId="35FD6ACD">
            <w:pPr>
              <w:pStyle w:val="33"/>
              <w:rPr>
                <w:color w:val="auto"/>
              </w:rPr>
            </w:pPr>
          </w:p>
        </w:tc>
        <w:tc>
          <w:tcPr>
            <w:tcW w:w="337" w:type="pct"/>
            <w:vMerge w:val="restart"/>
            <w:vAlign w:val="center"/>
          </w:tcPr>
          <w:p w14:paraId="55F71450">
            <w:pPr>
              <w:pStyle w:val="33"/>
              <w:rPr>
                <w:color w:val="auto"/>
              </w:rPr>
            </w:pPr>
            <w:r>
              <w:rPr>
                <w:rFonts w:hint="eastAsia"/>
                <w:color w:val="auto"/>
              </w:rPr>
              <w:t>DA036</w:t>
            </w:r>
          </w:p>
        </w:tc>
        <w:tc>
          <w:tcPr>
            <w:tcW w:w="443" w:type="pct"/>
            <w:vAlign w:val="center"/>
          </w:tcPr>
          <w:p w14:paraId="02D312BD">
            <w:pPr>
              <w:pStyle w:val="33"/>
              <w:rPr>
                <w:color w:val="auto"/>
              </w:rPr>
            </w:pPr>
            <w:r>
              <w:rPr>
                <w:rFonts w:hint="eastAsia"/>
                <w:color w:val="auto"/>
              </w:rPr>
              <w:t>二氧化硫</w:t>
            </w:r>
          </w:p>
        </w:tc>
        <w:tc>
          <w:tcPr>
            <w:tcW w:w="658" w:type="pct"/>
            <w:vAlign w:val="center"/>
          </w:tcPr>
          <w:p w14:paraId="76828FAF">
            <w:pPr>
              <w:pStyle w:val="33"/>
              <w:rPr>
                <w:color w:val="auto"/>
              </w:rPr>
            </w:pPr>
            <w:r>
              <w:rPr>
                <w:color w:val="auto"/>
              </w:rPr>
              <w:t>18.5</w:t>
            </w:r>
            <w:r>
              <w:rPr>
                <w:rFonts w:hint="eastAsia"/>
                <w:color w:val="auto"/>
              </w:rPr>
              <w:t>6</w:t>
            </w:r>
          </w:p>
        </w:tc>
        <w:tc>
          <w:tcPr>
            <w:tcW w:w="405" w:type="pct"/>
            <w:vAlign w:val="center"/>
          </w:tcPr>
          <w:p w14:paraId="09CF212B">
            <w:pPr>
              <w:pStyle w:val="33"/>
              <w:rPr>
                <w:color w:val="auto"/>
              </w:rPr>
            </w:pPr>
            <w:r>
              <w:rPr>
                <w:color w:val="auto"/>
              </w:rPr>
              <w:t>0.0</w:t>
            </w:r>
            <w:r>
              <w:rPr>
                <w:rFonts w:hint="eastAsia"/>
                <w:color w:val="auto"/>
              </w:rPr>
              <w:t>53</w:t>
            </w:r>
          </w:p>
        </w:tc>
        <w:tc>
          <w:tcPr>
            <w:tcW w:w="456" w:type="pct"/>
            <w:vAlign w:val="center"/>
          </w:tcPr>
          <w:p w14:paraId="6A382B16">
            <w:pPr>
              <w:pStyle w:val="33"/>
              <w:rPr>
                <w:color w:val="auto"/>
              </w:rPr>
            </w:pPr>
            <w:r>
              <w:rPr>
                <w:rFonts w:hint="eastAsia"/>
                <w:color w:val="auto"/>
              </w:rPr>
              <w:t>0.432</w:t>
            </w:r>
          </w:p>
        </w:tc>
        <w:tc>
          <w:tcPr>
            <w:tcW w:w="459" w:type="pct"/>
            <w:vMerge w:val="restart"/>
            <w:vAlign w:val="center"/>
          </w:tcPr>
          <w:p w14:paraId="07D9DB3D">
            <w:pPr>
              <w:pStyle w:val="33"/>
              <w:rPr>
                <w:color w:val="auto"/>
              </w:rPr>
            </w:pPr>
            <w:r>
              <w:rPr>
                <w:rFonts w:hint="eastAsia"/>
                <w:color w:val="auto"/>
              </w:rPr>
              <w:t>／</w:t>
            </w:r>
          </w:p>
        </w:tc>
        <w:tc>
          <w:tcPr>
            <w:tcW w:w="454" w:type="pct"/>
            <w:vMerge w:val="restart"/>
            <w:vAlign w:val="center"/>
          </w:tcPr>
          <w:p w14:paraId="4BBC6A62">
            <w:pPr>
              <w:pStyle w:val="33"/>
              <w:rPr>
                <w:color w:val="auto"/>
              </w:rPr>
            </w:pPr>
            <w:r>
              <w:rPr>
                <w:rFonts w:hint="eastAsia"/>
                <w:color w:val="auto"/>
              </w:rPr>
              <w:t>24m高排气筒排放</w:t>
            </w:r>
          </w:p>
        </w:tc>
        <w:tc>
          <w:tcPr>
            <w:tcW w:w="1252" w:type="pct"/>
            <w:vMerge w:val="continue"/>
            <w:vAlign w:val="center"/>
          </w:tcPr>
          <w:p w14:paraId="164A066C">
            <w:pPr>
              <w:pStyle w:val="33"/>
              <w:rPr>
                <w:color w:val="auto"/>
              </w:rPr>
            </w:pPr>
          </w:p>
        </w:tc>
      </w:tr>
      <w:tr w14:paraId="2CB09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2411D8D">
            <w:pPr>
              <w:pStyle w:val="33"/>
              <w:rPr>
                <w:color w:val="auto"/>
              </w:rPr>
            </w:pPr>
          </w:p>
        </w:tc>
        <w:tc>
          <w:tcPr>
            <w:tcW w:w="254" w:type="pct"/>
            <w:gridSpan w:val="2"/>
            <w:vMerge w:val="continue"/>
            <w:vAlign w:val="center"/>
          </w:tcPr>
          <w:p w14:paraId="071774B5">
            <w:pPr>
              <w:pStyle w:val="33"/>
              <w:rPr>
                <w:color w:val="auto"/>
              </w:rPr>
            </w:pPr>
          </w:p>
        </w:tc>
        <w:tc>
          <w:tcPr>
            <w:tcW w:w="337" w:type="pct"/>
            <w:vMerge w:val="continue"/>
            <w:vAlign w:val="center"/>
          </w:tcPr>
          <w:p w14:paraId="29E4E5FF">
            <w:pPr>
              <w:pStyle w:val="33"/>
              <w:rPr>
                <w:color w:val="auto"/>
              </w:rPr>
            </w:pPr>
          </w:p>
        </w:tc>
        <w:tc>
          <w:tcPr>
            <w:tcW w:w="443" w:type="pct"/>
            <w:vAlign w:val="center"/>
          </w:tcPr>
          <w:p w14:paraId="4D5841DA">
            <w:pPr>
              <w:pStyle w:val="33"/>
              <w:rPr>
                <w:color w:val="auto"/>
              </w:rPr>
            </w:pPr>
            <w:r>
              <w:rPr>
                <w:rFonts w:hint="eastAsia"/>
                <w:color w:val="auto"/>
              </w:rPr>
              <w:t>氮氧化物</w:t>
            </w:r>
          </w:p>
        </w:tc>
        <w:tc>
          <w:tcPr>
            <w:tcW w:w="658" w:type="pct"/>
            <w:vAlign w:val="center"/>
          </w:tcPr>
          <w:p w14:paraId="4DE31658">
            <w:pPr>
              <w:pStyle w:val="33"/>
              <w:rPr>
                <w:color w:val="auto"/>
              </w:rPr>
            </w:pPr>
            <w:r>
              <w:rPr>
                <w:color w:val="auto"/>
              </w:rPr>
              <w:t>100</w:t>
            </w:r>
          </w:p>
        </w:tc>
        <w:tc>
          <w:tcPr>
            <w:tcW w:w="405" w:type="pct"/>
            <w:vAlign w:val="center"/>
          </w:tcPr>
          <w:p w14:paraId="1BDD191E">
            <w:pPr>
              <w:pStyle w:val="33"/>
              <w:rPr>
                <w:color w:val="auto"/>
              </w:rPr>
            </w:pPr>
            <w:r>
              <w:rPr>
                <w:rFonts w:hint="eastAsia"/>
                <w:color w:val="auto"/>
              </w:rPr>
              <w:t>0.29</w:t>
            </w:r>
          </w:p>
        </w:tc>
        <w:tc>
          <w:tcPr>
            <w:tcW w:w="456" w:type="pct"/>
            <w:vAlign w:val="center"/>
          </w:tcPr>
          <w:p w14:paraId="0C196400">
            <w:pPr>
              <w:pStyle w:val="33"/>
              <w:rPr>
                <w:color w:val="auto"/>
              </w:rPr>
            </w:pPr>
            <w:r>
              <w:rPr>
                <w:rFonts w:hint="eastAsia"/>
                <w:color w:val="auto"/>
              </w:rPr>
              <w:t>2.327</w:t>
            </w:r>
          </w:p>
        </w:tc>
        <w:tc>
          <w:tcPr>
            <w:tcW w:w="459" w:type="pct"/>
            <w:vMerge w:val="continue"/>
            <w:vAlign w:val="center"/>
          </w:tcPr>
          <w:p w14:paraId="451E0E25">
            <w:pPr>
              <w:pStyle w:val="33"/>
              <w:rPr>
                <w:color w:val="auto"/>
              </w:rPr>
            </w:pPr>
          </w:p>
        </w:tc>
        <w:tc>
          <w:tcPr>
            <w:tcW w:w="454" w:type="pct"/>
            <w:vMerge w:val="continue"/>
            <w:vAlign w:val="center"/>
          </w:tcPr>
          <w:p w14:paraId="2D11797C">
            <w:pPr>
              <w:pStyle w:val="33"/>
              <w:rPr>
                <w:color w:val="auto"/>
              </w:rPr>
            </w:pPr>
          </w:p>
        </w:tc>
        <w:tc>
          <w:tcPr>
            <w:tcW w:w="1252" w:type="pct"/>
            <w:vMerge w:val="continue"/>
            <w:vAlign w:val="center"/>
          </w:tcPr>
          <w:p w14:paraId="126E4DEF">
            <w:pPr>
              <w:pStyle w:val="33"/>
              <w:rPr>
                <w:color w:val="auto"/>
              </w:rPr>
            </w:pPr>
          </w:p>
        </w:tc>
      </w:tr>
      <w:tr w14:paraId="6A3D1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6ADB01E0">
            <w:pPr>
              <w:pStyle w:val="33"/>
              <w:rPr>
                <w:color w:val="auto"/>
              </w:rPr>
            </w:pPr>
          </w:p>
        </w:tc>
        <w:tc>
          <w:tcPr>
            <w:tcW w:w="254" w:type="pct"/>
            <w:gridSpan w:val="2"/>
            <w:vMerge w:val="continue"/>
            <w:vAlign w:val="center"/>
          </w:tcPr>
          <w:p w14:paraId="6EE3F0D3">
            <w:pPr>
              <w:pStyle w:val="33"/>
              <w:rPr>
                <w:color w:val="auto"/>
              </w:rPr>
            </w:pPr>
          </w:p>
        </w:tc>
        <w:tc>
          <w:tcPr>
            <w:tcW w:w="337" w:type="pct"/>
            <w:vMerge w:val="continue"/>
            <w:vAlign w:val="center"/>
          </w:tcPr>
          <w:p w14:paraId="399AB1A2">
            <w:pPr>
              <w:pStyle w:val="33"/>
              <w:rPr>
                <w:color w:val="auto"/>
              </w:rPr>
            </w:pPr>
          </w:p>
        </w:tc>
        <w:tc>
          <w:tcPr>
            <w:tcW w:w="443" w:type="pct"/>
            <w:vAlign w:val="center"/>
          </w:tcPr>
          <w:p w14:paraId="7E9D6BBD">
            <w:pPr>
              <w:pStyle w:val="33"/>
              <w:rPr>
                <w:color w:val="auto"/>
              </w:rPr>
            </w:pPr>
            <w:r>
              <w:rPr>
                <w:rFonts w:hint="eastAsia"/>
                <w:color w:val="auto"/>
              </w:rPr>
              <w:t>烟尘</w:t>
            </w:r>
          </w:p>
        </w:tc>
        <w:tc>
          <w:tcPr>
            <w:tcW w:w="658" w:type="pct"/>
            <w:vAlign w:val="center"/>
          </w:tcPr>
          <w:p w14:paraId="783B3455">
            <w:pPr>
              <w:pStyle w:val="33"/>
              <w:rPr>
                <w:color w:val="auto"/>
              </w:rPr>
            </w:pPr>
            <w:r>
              <w:rPr>
                <w:color w:val="auto"/>
              </w:rPr>
              <w:t>10</w:t>
            </w:r>
          </w:p>
        </w:tc>
        <w:tc>
          <w:tcPr>
            <w:tcW w:w="405" w:type="pct"/>
            <w:vAlign w:val="center"/>
          </w:tcPr>
          <w:p w14:paraId="125398B1">
            <w:pPr>
              <w:pStyle w:val="33"/>
              <w:rPr>
                <w:color w:val="auto"/>
              </w:rPr>
            </w:pPr>
            <w:r>
              <w:rPr>
                <w:rFonts w:hint="eastAsia"/>
                <w:color w:val="auto"/>
              </w:rPr>
              <w:t>0.029</w:t>
            </w:r>
          </w:p>
        </w:tc>
        <w:tc>
          <w:tcPr>
            <w:tcW w:w="456" w:type="pct"/>
            <w:vAlign w:val="center"/>
          </w:tcPr>
          <w:p w14:paraId="2C1582DD">
            <w:pPr>
              <w:pStyle w:val="33"/>
              <w:rPr>
                <w:color w:val="auto"/>
              </w:rPr>
            </w:pPr>
            <w:r>
              <w:rPr>
                <w:rFonts w:hint="eastAsia"/>
                <w:color w:val="auto"/>
              </w:rPr>
              <w:t>0.233</w:t>
            </w:r>
          </w:p>
        </w:tc>
        <w:tc>
          <w:tcPr>
            <w:tcW w:w="459" w:type="pct"/>
            <w:vMerge w:val="continue"/>
            <w:vAlign w:val="center"/>
          </w:tcPr>
          <w:p w14:paraId="504A137A">
            <w:pPr>
              <w:pStyle w:val="33"/>
              <w:rPr>
                <w:color w:val="auto"/>
              </w:rPr>
            </w:pPr>
          </w:p>
        </w:tc>
        <w:tc>
          <w:tcPr>
            <w:tcW w:w="454" w:type="pct"/>
            <w:vMerge w:val="continue"/>
            <w:vAlign w:val="center"/>
          </w:tcPr>
          <w:p w14:paraId="44DA1C31">
            <w:pPr>
              <w:pStyle w:val="33"/>
              <w:rPr>
                <w:color w:val="auto"/>
              </w:rPr>
            </w:pPr>
          </w:p>
        </w:tc>
        <w:tc>
          <w:tcPr>
            <w:tcW w:w="1252" w:type="pct"/>
            <w:vMerge w:val="continue"/>
            <w:vAlign w:val="center"/>
          </w:tcPr>
          <w:p w14:paraId="7E785AB7">
            <w:pPr>
              <w:pStyle w:val="33"/>
              <w:rPr>
                <w:color w:val="auto"/>
              </w:rPr>
            </w:pPr>
          </w:p>
        </w:tc>
      </w:tr>
      <w:tr w14:paraId="7ECAC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FC53ABE">
            <w:pPr>
              <w:pStyle w:val="33"/>
              <w:rPr>
                <w:color w:val="auto"/>
              </w:rPr>
            </w:pPr>
          </w:p>
        </w:tc>
        <w:tc>
          <w:tcPr>
            <w:tcW w:w="254" w:type="pct"/>
            <w:gridSpan w:val="2"/>
            <w:vMerge w:val="continue"/>
            <w:vAlign w:val="center"/>
          </w:tcPr>
          <w:p w14:paraId="2C6B7187">
            <w:pPr>
              <w:pStyle w:val="33"/>
              <w:rPr>
                <w:color w:val="auto"/>
              </w:rPr>
            </w:pPr>
          </w:p>
        </w:tc>
        <w:tc>
          <w:tcPr>
            <w:tcW w:w="337" w:type="pct"/>
            <w:vMerge w:val="restart"/>
            <w:vAlign w:val="center"/>
          </w:tcPr>
          <w:p w14:paraId="30EF0E1A">
            <w:pPr>
              <w:pStyle w:val="33"/>
              <w:rPr>
                <w:color w:val="auto"/>
              </w:rPr>
            </w:pPr>
            <w:r>
              <w:rPr>
                <w:rFonts w:hint="eastAsia"/>
                <w:color w:val="auto"/>
              </w:rPr>
              <w:t>DA038</w:t>
            </w:r>
          </w:p>
        </w:tc>
        <w:tc>
          <w:tcPr>
            <w:tcW w:w="443" w:type="pct"/>
            <w:vAlign w:val="center"/>
          </w:tcPr>
          <w:p w14:paraId="5DFCCEEA">
            <w:pPr>
              <w:pStyle w:val="33"/>
              <w:rPr>
                <w:color w:val="auto"/>
              </w:rPr>
            </w:pPr>
            <w:r>
              <w:rPr>
                <w:rFonts w:hint="eastAsia"/>
                <w:color w:val="auto"/>
              </w:rPr>
              <w:t>二氧化硫</w:t>
            </w:r>
          </w:p>
        </w:tc>
        <w:tc>
          <w:tcPr>
            <w:tcW w:w="658" w:type="pct"/>
            <w:vAlign w:val="center"/>
          </w:tcPr>
          <w:p w14:paraId="469ACE2F">
            <w:pPr>
              <w:pStyle w:val="33"/>
              <w:rPr>
                <w:color w:val="auto"/>
              </w:rPr>
            </w:pPr>
            <w:r>
              <w:rPr>
                <w:color w:val="auto"/>
              </w:rPr>
              <w:t>18.5</w:t>
            </w:r>
            <w:r>
              <w:rPr>
                <w:rFonts w:hint="eastAsia"/>
                <w:color w:val="auto"/>
              </w:rPr>
              <w:t>6</w:t>
            </w:r>
          </w:p>
        </w:tc>
        <w:tc>
          <w:tcPr>
            <w:tcW w:w="405" w:type="pct"/>
            <w:vAlign w:val="center"/>
          </w:tcPr>
          <w:p w14:paraId="3BE4BF7C">
            <w:pPr>
              <w:pStyle w:val="33"/>
              <w:rPr>
                <w:color w:val="auto"/>
              </w:rPr>
            </w:pPr>
            <w:r>
              <w:rPr>
                <w:color w:val="auto"/>
              </w:rPr>
              <w:t>0.0</w:t>
            </w:r>
            <w:r>
              <w:rPr>
                <w:rFonts w:hint="eastAsia"/>
                <w:color w:val="auto"/>
              </w:rPr>
              <w:t>53</w:t>
            </w:r>
          </w:p>
        </w:tc>
        <w:tc>
          <w:tcPr>
            <w:tcW w:w="456" w:type="pct"/>
            <w:vAlign w:val="center"/>
          </w:tcPr>
          <w:p w14:paraId="5192CCCA">
            <w:pPr>
              <w:pStyle w:val="33"/>
              <w:rPr>
                <w:color w:val="auto"/>
              </w:rPr>
            </w:pPr>
            <w:r>
              <w:rPr>
                <w:rFonts w:hint="eastAsia"/>
                <w:color w:val="auto"/>
              </w:rPr>
              <w:t>0.432</w:t>
            </w:r>
          </w:p>
        </w:tc>
        <w:tc>
          <w:tcPr>
            <w:tcW w:w="459" w:type="pct"/>
            <w:vMerge w:val="restart"/>
            <w:vAlign w:val="center"/>
          </w:tcPr>
          <w:p w14:paraId="07C74BEF">
            <w:pPr>
              <w:pStyle w:val="33"/>
              <w:rPr>
                <w:color w:val="auto"/>
              </w:rPr>
            </w:pPr>
            <w:r>
              <w:rPr>
                <w:rFonts w:hint="eastAsia"/>
                <w:color w:val="auto"/>
              </w:rPr>
              <w:t>／</w:t>
            </w:r>
          </w:p>
        </w:tc>
        <w:tc>
          <w:tcPr>
            <w:tcW w:w="454" w:type="pct"/>
            <w:vMerge w:val="restart"/>
            <w:vAlign w:val="center"/>
          </w:tcPr>
          <w:p w14:paraId="03B8CE8B">
            <w:pPr>
              <w:pStyle w:val="33"/>
              <w:rPr>
                <w:color w:val="auto"/>
              </w:rPr>
            </w:pPr>
            <w:r>
              <w:rPr>
                <w:rFonts w:hint="eastAsia"/>
                <w:color w:val="auto"/>
              </w:rPr>
              <w:t>24m高排气筒排放</w:t>
            </w:r>
          </w:p>
        </w:tc>
        <w:tc>
          <w:tcPr>
            <w:tcW w:w="1252" w:type="pct"/>
            <w:vMerge w:val="continue"/>
            <w:vAlign w:val="center"/>
          </w:tcPr>
          <w:p w14:paraId="63D85F3E">
            <w:pPr>
              <w:pStyle w:val="33"/>
              <w:rPr>
                <w:color w:val="auto"/>
              </w:rPr>
            </w:pPr>
          </w:p>
        </w:tc>
      </w:tr>
      <w:tr w14:paraId="5536B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96047B6">
            <w:pPr>
              <w:pStyle w:val="33"/>
              <w:rPr>
                <w:color w:val="auto"/>
              </w:rPr>
            </w:pPr>
          </w:p>
        </w:tc>
        <w:tc>
          <w:tcPr>
            <w:tcW w:w="254" w:type="pct"/>
            <w:gridSpan w:val="2"/>
            <w:vMerge w:val="continue"/>
            <w:vAlign w:val="center"/>
          </w:tcPr>
          <w:p w14:paraId="7DAC0FE4">
            <w:pPr>
              <w:pStyle w:val="33"/>
              <w:rPr>
                <w:color w:val="auto"/>
              </w:rPr>
            </w:pPr>
          </w:p>
        </w:tc>
        <w:tc>
          <w:tcPr>
            <w:tcW w:w="337" w:type="pct"/>
            <w:vMerge w:val="continue"/>
            <w:vAlign w:val="center"/>
          </w:tcPr>
          <w:p w14:paraId="4CEAAAEB">
            <w:pPr>
              <w:pStyle w:val="33"/>
              <w:rPr>
                <w:color w:val="auto"/>
              </w:rPr>
            </w:pPr>
          </w:p>
        </w:tc>
        <w:tc>
          <w:tcPr>
            <w:tcW w:w="443" w:type="pct"/>
            <w:vAlign w:val="center"/>
          </w:tcPr>
          <w:p w14:paraId="61ABD468">
            <w:pPr>
              <w:pStyle w:val="33"/>
              <w:rPr>
                <w:color w:val="auto"/>
              </w:rPr>
            </w:pPr>
            <w:r>
              <w:rPr>
                <w:rFonts w:hint="eastAsia"/>
                <w:color w:val="auto"/>
              </w:rPr>
              <w:t>氮氧化物</w:t>
            </w:r>
          </w:p>
        </w:tc>
        <w:tc>
          <w:tcPr>
            <w:tcW w:w="658" w:type="pct"/>
            <w:vAlign w:val="center"/>
          </w:tcPr>
          <w:p w14:paraId="18008E39">
            <w:pPr>
              <w:pStyle w:val="33"/>
              <w:rPr>
                <w:color w:val="auto"/>
              </w:rPr>
            </w:pPr>
            <w:r>
              <w:rPr>
                <w:color w:val="auto"/>
              </w:rPr>
              <w:t>100</w:t>
            </w:r>
          </w:p>
        </w:tc>
        <w:tc>
          <w:tcPr>
            <w:tcW w:w="405" w:type="pct"/>
            <w:vAlign w:val="center"/>
          </w:tcPr>
          <w:p w14:paraId="685CDE85">
            <w:pPr>
              <w:pStyle w:val="33"/>
              <w:rPr>
                <w:color w:val="auto"/>
              </w:rPr>
            </w:pPr>
            <w:r>
              <w:rPr>
                <w:rFonts w:hint="eastAsia"/>
                <w:color w:val="auto"/>
              </w:rPr>
              <w:t>0.29</w:t>
            </w:r>
          </w:p>
        </w:tc>
        <w:tc>
          <w:tcPr>
            <w:tcW w:w="456" w:type="pct"/>
            <w:vAlign w:val="center"/>
          </w:tcPr>
          <w:p w14:paraId="4DD18EE6">
            <w:pPr>
              <w:pStyle w:val="33"/>
              <w:rPr>
                <w:color w:val="auto"/>
              </w:rPr>
            </w:pPr>
            <w:r>
              <w:rPr>
                <w:rFonts w:hint="eastAsia"/>
                <w:color w:val="auto"/>
              </w:rPr>
              <w:t>2.327</w:t>
            </w:r>
          </w:p>
        </w:tc>
        <w:tc>
          <w:tcPr>
            <w:tcW w:w="459" w:type="pct"/>
            <w:vMerge w:val="continue"/>
            <w:vAlign w:val="center"/>
          </w:tcPr>
          <w:p w14:paraId="7B63EDAF">
            <w:pPr>
              <w:pStyle w:val="33"/>
              <w:rPr>
                <w:color w:val="auto"/>
              </w:rPr>
            </w:pPr>
          </w:p>
        </w:tc>
        <w:tc>
          <w:tcPr>
            <w:tcW w:w="454" w:type="pct"/>
            <w:vMerge w:val="continue"/>
            <w:vAlign w:val="center"/>
          </w:tcPr>
          <w:p w14:paraId="43A25480">
            <w:pPr>
              <w:pStyle w:val="33"/>
              <w:rPr>
                <w:color w:val="auto"/>
              </w:rPr>
            </w:pPr>
          </w:p>
        </w:tc>
        <w:tc>
          <w:tcPr>
            <w:tcW w:w="1252" w:type="pct"/>
            <w:vMerge w:val="continue"/>
            <w:vAlign w:val="center"/>
          </w:tcPr>
          <w:p w14:paraId="45908B24">
            <w:pPr>
              <w:pStyle w:val="33"/>
              <w:rPr>
                <w:color w:val="auto"/>
              </w:rPr>
            </w:pPr>
          </w:p>
        </w:tc>
      </w:tr>
      <w:tr w14:paraId="4FDB0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B0C04AD">
            <w:pPr>
              <w:pStyle w:val="33"/>
              <w:rPr>
                <w:color w:val="auto"/>
              </w:rPr>
            </w:pPr>
          </w:p>
        </w:tc>
        <w:tc>
          <w:tcPr>
            <w:tcW w:w="254" w:type="pct"/>
            <w:gridSpan w:val="2"/>
            <w:vMerge w:val="continue"/>
            <w:vAlign w:val="center"/>
          </w:tcPr>
          <w:p w14:paraId="571C31EB">
            <w:pPr>
              <w:pStyle w:val="33"/>
              <w:rPr>
                <w:color w:val="auto"/>
              </w:rPr>
            </w:pPr>
          </w:p>
        </w:tc>
        <w:tc>
          <w:tcPr>
            <w:tcW w:w="337" w:type="pct"/>
            <w:vMerge w:val="continue"/>
            <w:vAlign w:val="center"/>
          </w:tcPr>
          <w:p w14:paraId="6FB3F2BD">
            <w:pPr>
              <w:pStyle w:val="33"/>
              <w:rPr>
                <w:color w:val="auto"/>
              </w:rPr>
            </w:pPr>
          </w:p>
        </w:tc>
        <w:tc>
          <w:tcPr>
            <w:tcW w:w="443" w:type="pct"/>
            <w:vAlign w:val="center"/>
          </w:tcPr>
          <w:p w14:paraId="65742BDA">
            <w:pPr>
              <w:pStyle w:val="33"/>
              <w:rPr>
                <w:color w:val="auto"/>
              </w:rPr>
            </w:pPr>
            <w:r>
              <w:rPr>
                <w:rFonts w:hint="eastAsia"/>
                <w:color w:val="auto"/>
              </w:rPr>
              <w:t>烟尘</w:t>
            </w:r>
          </w:p>
        </w:tc>
        <w:tc>
          <w:tcPr>
            <w:tcW w:w="658" w:type="pct"/>
            <w:vAlign w:val="center"/>
          </w:tcPr>
          <w:p w14:paraId="34C33951">
            <w:pPr>
              <w:pStyle w:val="33"/>
              <w:rPr>
                <w:color w:val="auto"/>
              </w:rPr>
            </w:pPr>
            <w:r>
              <w:rPr>
                <w:color w:val="auto"/>
              </w:rPr>
              <w:t>10</w:t>
            </w:r>
          </w:p>
        </w:tc>
        <w:tc>
          <w:tcPr>
            <w:tcW w:w="405" w:type="pct"/>
            <w:vAlign w:val="center"/>
          </w:tcPr>
          <w:p w14:paraId="407A9A37">
            <w:pPr>
              <w:pStyle w:val="33"/>
              <w:rPr>
                <w:color w:val="auto"/>
              </w:rPr>
            </w:pPr>
            <w:r>
              <w:rPr>
                <w:rFonts w:hint="eastAsia"/>
                <w:color w:val="auto"/>
              </w:rPr>
              <w:t>0.029</w:t>
            </w:r>
          </w:p>
        </w:tc>
        <w:tc>
          <w:tcPr>
            <w:tcW w:w="456" w:type="pct"/>
            <w:vAlign w:val="center"/>
          </w:tcPr>
          <w:p w14:paraId="3A7AF5E4">
            <w:pPr>
              <w:pStyle w:val="33"/>
              <w:rPr>
                <w:color w:val="auto"/>
              </w:rPr>
            </w:pPr>
            <w:r>
              <w:rPr>
                <w:rFonts w:hint="eastAsia"/>
                <w:color w:val="auto"/>
              </w:rPr>
              <w:t>0.233</w:t>
            </w:r>
          </w:p>
        </w:tc>
        <w:tc>
          <w:tcPr>
            <w:tcW w:w="459" w:type="pct"/>
            <w:vMerge w:val="continue"/>
            <w:vAlign w:val="center"/>
          </w:tcPr>
          <w:p w14:paraId="1A37F15D">
            <w:pPr>
              <w:pStyle w:val="33"/>
              <w:rPr>
                <w:color w:val="auto"/>
              </w:rPr>
            </w:pPr>
          </w:p>
        </w:tc>
        <w:tc>
          <w:tcPr>
            <w:tcW w:w="454" w:type="pct"/>
            <w:vMerge w:val="continue"/>
            <w:vAlign w:val="center"/>
          </w:tcPr>
          <w:p w14:paraId="6F3345D6">
            <w:pPr>
              <w:pStyle w:val="33"/>
              <w:rPr>
                <w:color w:val="auto"/>
              </w:rPr>
            </w:pPr>
          </w:p>
        </w:tc>
        <w:tc>
          <w:tcPr>
            <w:tcW w:w="1252" w:type="pct"/>
            <w:vMerge w:val="continue"/>
            <w:vAlign w:val="center"/>
          </w:tcPr>
          <w:p w14:paraId="1D0B26C5">
            <w:pPr>
              <w:pStyle w:val="33"/>
              <w:rPr>
                <w:color w:val="auto"/>
              </w:rPr>
            </w:pPr>
          </w:p>
        </w:tc>
      </w:tr>
      <w:tr w14:paraId="3210D0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61797AB">
            <w:pPr>
              <w:pStyle w:val="33"/>
              <w:rPr>
                <w:color w:val="auto"/>
              </w:rPr>
            </w:pPr>
          </w:p>
        </w:tc>
        <w:tc>
          <w:tcPr>
            <w:tcW w:w="254" w:type="pct"/>
            <w:gridSpan w:val="2"/>
            <w:vMerge w:val="continue"/>
            <w:vAlign w:val="center"/>
          </w:tcPr>
          <w:p w14:paraId="022272DC">
            <w:pPr>
              <w:pStyle w:val="33"/>
              <w:rPr>
                <w:color w:val="auto"/>
              </w:rPr>
            </w:pPr>
          </w:p>
        </w:tc>
        <w:tc>
          <w:tcPr>
            <w:tcW w:w="337" w:type="pct"/>
            <w:vMerge w:val="restart"/>
            <w:vAlign w:val="center"/>
          </w:tcPr>
          <w:p w14:paraId="7E9D1F96">
            <w:pPr>
              <w:pStyle w:val="33"/>
              <w:rPr>
                <w:color w:val="auto"/>
              </w:rPr>
            </w:pPr>
            <w:r>
              <w:rPr>
                <w:rFonts w:hint="eastAsia"/>
                <w:color w:val="auto"/>
              </w:rPr>
              <w:t>DA040</w:t>
            </w:r>
          </w:p>
        </w:tc>
        <w:tc>
          <w:tcPr>
            <w:tcW w:w="443" w:type="pct"/>
            <w:vAlign w:val="center"/>
          </w:tcPr>
          <w:p w14:paraId="6CD1AA23">
            <w:pPr>
              <w:pStyle w:val="33"/>
              <w:rPr>
                <w:color w:val="auto"/>
              </w:rPr>
            </w:pPr>
            <w:r>
              <w:rPr>
                <w:rFonts w:hint="eastAsia"/>
                <w:color w:val="auto"/>
              </w:rPr>
              <w:t>二氧化硫</w:t>
            </w:r>
          </w:p>
        </w:tc>
        <w:tc>
          <w:tcPr>
            <w:tcW w:w="658" w:type="pct"/>
            <w:vAlign w:val="center"/>
          </w:tcPr>
          <w:p w14:paraId="4279002B">
            <w:pPr>
              <w:pStyle w:val="33"/>
              <w:rPr>
                <w:color w:val="auto"/>
              </w:rPr>
            </w:pPr>
            <w:r>
              <w:rPr>
                <w:color w:val="auto"/>
              </w:rPr>
              <w:t>18.5</w:t>
            </w:r>
            <w:r>
              <w:rPr>
                <w:rFonts w:hint="eastAsia"/>
                <w:color w:val="auto"/>
              </w:rPr>
              <w:t>6</w:t>
            </w:r>
          </w:p>
        </w:tc>
        <w:tc>
          <w:tcPr>
            <w:tcW w:w="405" w:type="pct"/>
            <w:vAlign w:val="center"/>
          </w:tcPr>
          <w:p w14:paraId="37084A69">
            <w:pPr>
              <w:pStyle w:val="33"/>
              <w:rPr>
                <w:color w:val="auto"/>
              </w:rPr>
            </w:pPr>
            <w:r>
              <w:rPr>
                <w:color w:val="auto"/>
              </w:rPr>
              <w:t>0.0</w:t>
            </w:r>
            <w:r>
              <w:rPr>
                <w:rFonts w:hint="eastAsia"/>
                <w:color w:val="auto"/>
              </w:rPr>
              <w:t>53</w:t>
            </w:r>
          </w:p>
        </w:tc>
        <w:tc>
          <w:tcPr>
            <w:tcW w:w="456" w:type="pct"/>
            <w:vAlign w:val="center"/>
          </w:tcPr>
          <w:p w14:paraId="541B8159">
            <w:pPr>
              <w:pStyle w:val="33"/>
              <w:rPr>
                <w:color w:val="auto"/>
              </w:rPr>
            </w:pPr>
            <w:r>
              <w:rPr>
                <w:rFonts w:hint="eastAsia"/>
                <w:color w:val="auto"/>
              </w:rPr>
              <w:t>0.432</w:t>
            </w:r>
          </w:p>
        </w:tc>
        <w:tc>
          <w:tcPr>
            <w:tcW w:w="459" w:type="pct"/>
            <w:vMerge w:val="restart"/>
            <w:vAlign w:val="center"/>
          </w:tcPr>
          <w:p w14:paraId="3E3E200E">
            <w:pPr>
              <w:pStyle w:val="33"/>
              <w:rPr>
                <w:color w:val="auto"/>
              </w:rPr>
            </w:pPr>
            <w:r>
              <w:rPr>
                <w:rFonts w:hint="eastAsia"/>
                <w:color w:val="auto"/>
              </w:rPr>
              <w:t>／</w:t>
            </w:r>
          </w:p>
        </w:tc>
        <w:tc>
          <w:tcPr>
            <w:tcW w:w="454" w:type="pct"/>
            <w:vMerge w:val="restart"/>
            <w:vAlign w:val="center"/>
          </w:tcPr>
          <w:p w14:paraId="70608210">
            <w:pPr>
              <w:pStyle w:val="33"/>
              <w:rPr>
                <w:color w:val="auto"/>
              </w:rPr>
            </w:pPr>
            <w:r>
              <w:rPr>
                <w:rFonts w:hint="eastAsia"/>
                <w:color w:val="auto"/>
              </w:rPr>
              <w:t>26m高排气筒排放</w:t>
            </w:r>
          </w:p>
        </w:tc>
        <w:tc>
          <w:tcPr>
            <w:tcW w:w="1252" w:type="pct"/>
            <w:vMerge w:val="continue"/>
            <w:vAlign w:val="center"/>
          </w:tcPr>
          <w:p w14:paraId="416A9CDE">
            <w:pPr>
              <w:pStyle w:val="33"/>
              <w:rPr>
                <w:color w:val="auto"/>
              </w:rPr>
            </w:pPr>
          </w:p>
        </w:tc>
      </w:tr>
      <w:tr w14:paraId="02540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4253A0D">
            <w:pPr>
              <w:pStyle w:val="33"/>
              <w:rPr>
                <w:color w:val="auto"/>
              </w:rPr>
            </w:pPr>
          </w:p>
        </w:tc>
        <w:tc>
          <w:tcPr>
            <w:tcW w:w="254" w:type="pct"/>
            <w:gridSpan w:val="2"/>
            <w:vMerge w:val="continue"/>
            <w:vAlign w:val="center"/>
          </w:tcPr>
          <w:p w14:paraId="4330B99F">
            <w:pPr>
              <w:pStyle w:val="33"/>
              <w:rPr>
                <w:color w:val="auto"/>
              </w:rPr>
            </w:pPr>
          </w:p>
        </w:tc>
        <w:tc>
          <w:tcPr>
            <w:tcW w:w="337" w:type="pct"/>
            <w:vMerge w:val="continue"/>
            <w:vAlign w:val="center"/>
          </w:tcPr>
          <w:p w14:paraId="3F4DEBBE">
            <w:pPr>
              <w:pStyle w:val="33"/>
              <w:rPr>
                <w:color w:val="auto"/>
              </w:rPr>
            </w:pPr>
          </w:p>
        </w:tc>
        <w:tc>
          <w:tcPr>
            <w:tcW w:w="443" w:type="pct"/>
            <w:vAlign w:val="center"/>
          </w:tcPr>
          <w:p w14:paraId="2B59AFD7">
            <w:pPr>
              <w:pStyle w:val="33"/>
              <w:rPr>
                <w:color w:val="auto"/>
              </w:rPr>
            </w:pPr>
            <w:r>
              <w:rPr>
                <w:rFonts w:hint="eastAsia"/>
                <w:color w:val="auto"/>
              </w:rPr>
              <w:t>氮氧化物</w:t>
            </w:r>
          </w:p>
        </w:tc>
        <w:tc>
          <w:tcPr>
            <w:tcW w:w="658" w:type="pct"/>
            <w:vAlign w:val="center"/>
          </w:tcPr>
          <w:p w14:paraId="2ABBA073">
            <w:pPr>
              <w:pStyle w:val="33"/>
              <w:rPr>
                <w:color w:val="auto"/>
              </w:rPr>
            </w:pPr>
            <w:r>
              <w:rPr>
                <w:color w:val="auto"/>
              </w:rPr>
              <w:t>100</w:t>
            </w:r>
          </w:p>
        </w:tc>
        <w:tc>
          <w:tcPr>
            <w:tcW w:w="405" w:type="pct"/>
            <w:vAlign w:val="center"/>
          </w:tcPr>
          <w:p w14:paraId="7B073158">
            <w:pPr>
              <w:pStyle w:val="33"/>
              <w:rPr>
                <w:color w:val="auto"/>
              </w:rPr>
            </w:pPr>
            <w:r>
              <w:rPr>
                <w:rFonts w:hint="eastAsia"/>
                <w:color w:val="auto"/>
              </w:rPr>
              <w:t>0.29</w:t>
            </w:r>
          </w:p>
        </w:tc>
        <w:tc>
          <w:tcPr>
            <w:tcW w:w="456" w:type="pct"/>
            <w:vAlign w:val="center"/>
          </w:tcPr>
          <w:p w14:paraId="5DFCE771">
            <w:pPr>
              <w:pStyle w:val="33"/>
              <w:rPr>
                <w:color w:val="auto"/>
              </w:rPr>
            </w:pPr>
            <w:r>
              <w:rPr>
                <w:rFonts w:hint="eastAsia"/>
                <w:color w:val="auto"/>
              </w:rPr>
              <w:t>2.327</w:t>
            </w:r>
          </w:p>
        </w:tc>
        <w:tc>
          <w:tcPr>
            <w:tcW w:w="459" w:type="pct"/>
            <w:vMerge w:val="continue"/>
            <w:vAlign w:val="center"/>
          </w:tcPr>
          <w:p w14:paraId="4A47B83C">
            <w:pPr>
              <w:pStyle w:val="33"/>
              <w:rPr>
                <w:color w:val="auto"/>
              </w:rPr>
            </w:pPr>
          </w:p>
        </w:tc>
        <w:tc>
          <w:tcPr>
            <w:tcW w:w="454" w:type="pct"/>
            <w:vMerge w:val="continue"/>
            <w:vAlign w:val="center"/>
          </w:tcPr>
          <w:p w14:paraId="3C73BC00">
            <w:pPr>
              <w:pStyle w:val="33"/>
              <w:rPr>
                <w:color w:val="auto"/>
              </w:rPr>
            </w:pPr>
          </w:p>
        </w:tc>
        <w:tc>
          <w:tcPr>
            <w:tcW w:w="1252" w:type="pct"/>
            <w:vMerge w:val="continue"/>
            <w:vAlign w:val="center"/>
          </w:tcPr>
          <w:p w14:paraId="3F001C8C">
            <w:pPr>
              <w:pStyle w:val="33"/>
              <w:rPr>
                <w:color w:val="auto"/>
              </w:rPr>
            </w:pPr>
          </w:p>
        </w:tc>
      </w:tr>
      <w:tr w14:paraId="4B3C3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5859AE7">
            <w:pPr>
              <w:pStyle w:val="33"/>
              <w:rPr>
                <w:color w:val="auto"/>
              </w:rPr>
            </w:pPr>
          </w:p>
        </w:tc>
        <w:tc>
          <w:tcPr>
            <w:tcW w:w="254" w:type="pct"/>
            <w:gridSpan w:val="2"/>
            <w:vMerge w:val="continue"/>
            <w:vAlign w:val="center"/>
          </w:tcPr>
          <w:p w14:paraId="31945BF9">
            <w:pPr>
              <w:pStyle w:val="33"/>
              <w:rPr>
                <w:color w:val="auto"/>
              </w:rPr>
            </w:pPr>
          </w:p>
        </w:tc>
        <w:tc>
          <w:tcPr>
            <w:tcW w:w="337" w:type="pct"/>
            <w:vMerge w:val="continue"/>
            <w:vAlign w:val="center"/>
          </w:tcPr>
          <w:p w14:paraId="239920F2">
            <w:pPr>
              <w:pStyle w:val="33"/>
              <w:rPr>
                <w:color w:val="auto"/>
              </w:rPr>
            </w:pPr>
          </w:p>
        </w:tc>
        <w:tc>
          <w:tcPr>
            <w:tcW w:w="443" w:type="pct"/>
            <w:vAlign w:val="center"/>
          </w:tcPr>
          <w:p w14:paraId="4491B450">
            <w:pPr>
              <w:pStyle w:val="33"/>
              <w:rPr>
                <w:color w:val="auto"/>
              </w:rPr>
            </w:pPr>
            <w:r>
              <w:rPr>
                <w:rFonts w:hint="eastAsia"/>
                <w:color w:val="auto"/>
              </w:rPr>
              <w:t>烟尘</w:t>
            </w:r>
          </w:p>
        </w:tc>
        <w:tc>
          <w:tcPr>
            <w:tcW w:w="658" w:type="pct"/>
            <w:vAlign w:val="center"/>
          </w:tcPr>
          <w:p w14:paraId="24BF3715">
            <w:pPr>
              <w:pStyle w:val="33"/>
              <w:rPr>
                <w:color w:val="auto"/>
              </w:rPr>
            </w:pPr>
            <w:r>
              <w:rPr>
                <w:color w:val="auto"/>
              </w:rPr>
              <w:t>10</w:t>
            </w:r>
          </w:p>
        </w:tc>
        <w:tc>
          <w:tcPr>
            <w:tcW w:w="405" w:type="pct"/>
            <w:vAlign w:val="center"/>
          </w:tcPr>
          <w:p w14:paraId="56B0E82F">
            <w:pPr>
              <w:pStyle w:val="33"/>
              <w:rPr>
                <w:color w:val="auto"/>
              </w:rPr>
            </w:pPr>
            <w:r>
              <w:rPr>
                <w:rFonts w:hint="eastAsia"/>
                <w:color w:val="auto"/>
              </w:rPr>
              <w:t>0.029</w:t>
            </w:r>
          </w:p>
        </w:tc>
        <w:tc>
          <w:tcPr>
            <w:tcW w:w="456" w:type="pct"/>
            <w:vAlign w:val="center"/>
          </w:tcPr>
          <w:p w14:paraId="5BC83ED2">
            <w:pPr>
              <w:pStyle w:val="33"/>
              <w:rPr>
                <w:color w:val="auto"/>
              </w:rPr>
            </w:pPr>
            <w:r>
              <w:rPr>
                <w:rFonts w:hint="eastAsia"/>
                <w:color w:val="auto"/>
              </w:rPr>
              <w:t>0.233</w:t>
            </w:r>
          </w:p>
        </w:tc>
        <w:tc>
          <w:tcPr>
            <w:tcW w:w="459" w:type="pct"/>
            <w:vMerge w:val="continue"/>
            <w:vAlign w:val="center"/>
          </w:tcPr>
          <w:p w14:paraId="2C1EDFC6">
            <w:pPr>
              <w:pStyle w:val="33"/>
              <w:rPr>
                <w:color w:val="auto"/>
              </w:rPr>
            </w:pPr>
          </w:p>
        </w:tc>
        <w:tc>
          <w:tcPr>
            <w:tcW w:w="454" w:type="pct"/>
            <w:vMerge w:val="continue"/>
            <w:vAlign w:val="center"/>
          </w:tcPr>
          <w:p w14:paraId="377B6E78">
            <w:pPr>
              <w:pStyle w:val="33"/>
              <w:rPr>
                <w:color w:val="auto"/>
              </w:rPr>
            </w:pPr>
          </w:p>
        </w:tc>
        <w:tc>
          <w:tcPr>
            <w:tcW w:w="1252" w:type="pct"/>
            <w:vMerge w:val="continue"/>
            <w:vAlign w:val="center"/>
          </w:tcPr>
          <w:p w14:paraId="1549CCA2">
            <w:pPr>
              <w:pStyle w:val="33"/>
              <w:rPr>
                <w:color w:val="auto"/>
              </w:rPr>
            </w:pPr>
          </w:p>
        </w:tc>
      </w:tr>
      <w:tr w14:paraId="22533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797829D">
            <w:pPr>
              <w:pStyle w:val="33"/>
              <w:rPr>
                <w:color w:val="auto"/>
              </w:rPr>
            </w:pPr>
          </w:p>
        </w:tc>
        <w:tc>
          <w:tcPr>
            <w:tcW w:w="254" w:type="pct"/>
            <w:gridSpan w:val="2"/>
            <w:vMerge w:val="restart"/>
            <w:vAlign w:val="center"/>
          </w:tcPr>
          <w:p w14:paraId="0A7AAECF">
            <w:pPr>
              <w:pStyle w:val="33"/>
              <w:rPr>
                <w:color w:val="auto"/>
              </w:rPr>
            </w:pPr>
            <w:r>
              <w:rPr>
                <w:rFonts w:hint="eastAsia"/>
                <w:color w:val="auto"/>
              </w:rPr>
              <w:t>2#造纸车间加热废气</w:t>
            </w:r>
          </w:p>
        </w:tc>
        <w:tc>
          <w:tcPr>
            <w:tcW w:w="337" w:type="pct"/>
            <w:vMerge w:val="restart"/>
            <w:vAlign w:val="center"/>
          </w:tcPr>
          <w:p w14:paraId="1F90F2B9">
            <w:pPr>
              <w:pStyle w:val="33"/>
              <w:rPr>
                <w:color w:val="auto"/>
              </w:rPr>
            </w:pPr>
            <w:r>
              <w:rPr>
                <w:rFonts w:hint="eastAsia"/>
                <w:color w:val="auto"/>
              </w:rPr>
              <w:t>DA042</w:t>
            </w:r>
          </w:p>
        </w:tc>
        <w:tc>
          <w:tcPr>
            <w:tcW w:w="443" w:type="pct"/>
            <w:vAlign w:val="center"/>
          </w:tcPr>
          <w:p w14:paraId="16BC6D8A">
            <w:pPr>
              <w:pStyle w:val="33"/>
              <w:rPr>
                <w:color w:val="auto"/>
              </w:rPr>
            </w:pPr>
            <w:r>
              <w:rPr>
                <w:rFonts w:hint="eastAsia"/>
                <w:color w:val="auto"/>
              </w:rPr>
              <w:t>二氧化硫</w:t>
            </w:r>
          </w:p>
        </w:tc>
        <w:tc>
          <w:tcPr>
            <w:tcW w:w="658" w:type="pct"/>
            <w:vAlign w:val="center"/>
          </w:tcPr>
          <w:p w14:paraId="55C301CD">
            <w:pPr>
              <w:pStyle w:val="33"/>
              <w:rPr>
                <w:color w:val="auto"/>
              </w:rPr>
            </w:pPr>
            <w:r>
              <w:rPr>
                <w:color w:val="auto"/>
              </w:rPr>
              <w:t>18.56</w:t>
            </w:r>
          </w:p>
        </w:tc>
        <w:tc>
          <w:tcPr>
            <w:tcW w:w="405" w:type="pct"/>
            <w:vAlign w:val="center"/>
          </w:tcPr>
          <w:p w14:paraId="3528F7EE">
            <w:pPr>
              <w:pStyle w:val="33"/>
              <w:rPr>
                <w:color w:val="auto"/>
              </w:rPr>
            </w:pPr>
            <w:r>
              <w:rPr>
                <w:color w:val="auto"/>
              </w:rPr>
              <w:t>0.015</w:t>
            </w:r>
          </w:p>
        </w:tc>
        <w:tc>
          <w:tcPr>
            <w:tcW w:w="456" w:type="pct"/>
            <w:vAlign w:val="center"/>
          </w:tcPr>
          <w:p w14:paraId="7FBC32DC">
            <w:pPr>
              <w:pStyle w:val="33"/>
              <w:rPr>
                <w:color w:val="auto"/>
              </w:rPr>
            </w:pPr>
            <w:r>
              <w:rPr>
                <w:color w:val="auto"/>
              </w:rPr>
              <w:t>0.12</w:t>
            </w:r>
          </w:p>
        </w:tc>
        <w:tc>
          <w:tcPr>
            <w:tcW w:w="459" w:type="pct"/>
            <w:vMerge w:val="restart"/>
            <w:vAlign w:val="center"/>
          </w:tcPr>
          <w:p w14:paraId="71F8141C">
            <w:pPr>
              <w:pStyle w:val="33"/>
              <w:rPr>
                <w:color w:val="auto"/>
              </w:rPr>
            </w:pPr>
            <w:r>
              <w:rPr>
                <w:rFonts w:hint="eastAsia"/>
                <w:color w:val="auto"/>
              </w:rPr>
              <w:t>／</w:t>
            </w:r>
          </w:p>
        </w:tc>
        <w:tc>
          <w:tcPr>
            <w:tcW w:w="454" w:type="pct"/>
            <w:vMerge w:val="restart"/>
            <w:vAlign w:val="center"/>
          </w:tcPr>
          <w:p w14:paraId="55286F7B">
            <w:pPr>
              <w:pStyle w:val="33"/>
              <w:rPr>
                <w:color w:val="auto"/>
              </w:rPr>
            </w:pPr>
            <w:r>
              <w:rPr>
                <w:rFonts w:hint="eastAsia"/>
                <w:color w:val="auto"/>
              </w:rPr>
              <w:t>16m高排气筒排放</w:t>
            </w:r>
          </w:p>
        </w:tc>
        <w:tc>
          <w:tcPr>
            <w:tcW w:w="1252" w:type="pct"/>
            <w:vMerge w:val="restart"/>
            <w:vAlign w:val="center"/>
          </w:tcPr>
          <w:p w14:paraId="0B499E86">
            <w:pPr>
              <w:pStyle w:val="33"/>
              <w:rPr>
                <w:color w:val="auto"/>
              </w:rPr>
            </w:pPr>
            <w:r>
              <w:rPr>
                <w:rFonts w:hint="eastAsia"/>
                <w:color w:val="auto"/>
              </w:rPr>
              <w:t>《锅炉大气污染物排放标准》（GB 13271-2014）中燃气锅炉排放限值</w:t>
            </w:r>
          </w:p>
        </w:tc>
      </w:tr>
      <w:tr w14:paraId="118975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E404B6E">
            <w:pPr>
              <w:pStyle w:val="33"/>
              <w:rPr>
                <w:color w:val="auto"/>
              </w:rPr>
            </w:pPr>
          </w:p>
        </w:tc>
        <w:tc>
          <w:tcPr>
            <w:tcW w:w="254" w:type="pct"/>
            <w:gridSpan w:val="2"/>
            <w:vMerge w:val="continue"/>
            <w:vAlign w:val="center"/>
          </w:tcPr>
          <w:p w14:paraId="039ABACB">
            <w:pPr>
              <w:pStyle w:val="33"/>
              <w:rPr>
                <w:color w:val="auto"/>
              </w:rPr>
            </w:pPr>
          </w:p>
        </w:tc>
        <w:tc>
          <w:tcPr>
            <w:tcW w:w="337" w:type="pct"/>
            <w:vMerge w:val="continue"/>
            <w:vAlign w:val="center"/>
          </w:tcPr>
          <w:p w14:paraId="61FCACB9">
            <w:pPr>
              <w:pStyle w:val="33"/>
              <w:rPr>
                <w:color w:val="auto"/>
              </w:rPr>
            </w:pPr>
          </w:p>
        </w:tc>
        <w:tc>
          <w:tcPr>
            <w:tcW w:w="443" w:type="pct"/>
            <w:vAlign w:val="center"/>
          </w:tcPr>
          <w:p w14:paraId="357B3124">
            <w:pPr>
              <w:pStyle w:val="33"/>
              <w:rPr>
                <w:color w:val="auto"/>
              </w:rPr>
            </w:pPr>
            <w:r>
              <w:rPr>
                <w:rFonts w:hint="eastAsia"/>
                <w:color w:val="auto"/>
              </w:rPr>
              <w:t>氮氧化物</w:t>
            </w:r>
          </w:p>
        </w:tc>
        <w:tc>
          <w:tcPr>
            <w:tcW w:w="658" w:type="pct"/>
            <w:vAlign w:val="center"/>
          </w:tcPr>
          <w:p w14:paraId="5218F630">
            <w:pPr>
              <w:pStyle w:val="33"/>
              <w:rPr>
                <w:color w:val="auto"/>
              </w:rPr>
            </w:pPr>
            <w:r>
              <w:rPr>
                <w:color w:val="auto"/>
              </w:rPr>
              <w:t>100</w:t>
            </w:r>
          </w:p>
        </w:tc>
        <w:tc>
          <w:tcPr>
            <w:tcW w:w="405" w:type="pct"/>
            <w:vAlign w:val="center"/>
          </w:tcPr>
          <w:p w14:paraId="22A96D8D">
            <w:pPr>
              <w:pStyle w:val="33"/>
              <w:rPr>
                <w:color w:val="auto"/>
              </w:rPr>
            </w:pPr>
            <w:r>
              <w:rPr>
                <w:color w:val="auto"/>
              </w:rPr>
              <w:t>0.079</w:t>
            </w:r>
          </w:p>
        </w:tc>
        <w:tc>
          <w:tcPr>
            <w:tcW w:w="456" w:type="pct"/>
            <w:vAlign w:val="center"/>
          </w:tcPr>
          <w:p w14:paraId="58DC7318">
            <w:pPr>
              <w:pStyle w:val="33"/>
              <w:rPr>
                <w:color w:val="auto"/>
              </w:rPr>
            </w:pPr>
            <w:r>
              <w:rPr>
                <w:color w:val="auto"/>
              </w:rPr>
              <w:t>0.647</w:t>
            </w:r>
          </w:p>
        </w:tc>
        <w:tc>
          <w:tcPr>
            <w:tcW w:w="459" w:type="pct"/>
            <w:vMerge w:val="continue"/>
            <w:vAlign w:val="center"/>
          </w:tcPr>
          <w:p w14:paraId="1C383464">
            <w:pPr>
              <w:pStyle w:val="33"/>
              <w:rPr>
                <w:color w:val="auto"/>
              </w:rPr>
            </w:pPr>
          </w:p>
        </w:tc>
        <w:tc>
          <w:tcPr>
            <w:tcW w:w="454" w:type="pct"/>
            <w:vMerge w:val="continue"/>
            <w:vAlign w:val="center"/>
          </w:tcPr>
          <w:p w14:paraId="333E9D8C">
            <w:pPr>
              <w:pStyle w:val="33"/>
              <w:rPr>
                <w:color w:val="auto"/>
              </w:rPr>
            </w:pPr>
          </w:p>
        </w:tc>
        <w:tc>
          <w:tcPr>
            <w:tcW w:w="1252" w:type="pct"/>
            <w:vMerge w:val="continue"/>
            <w:vAlign w:val="center"/>
          </w:tcPr>
          <w:p w14:paraId="042EC6B3">
            <w:pPr>
              <w:pStyle w:val="33"/>
              <w:rPr>
                <w:color w:val="auto"/>
              </w:rPr>
            </w:pPr>
          </w:p>
        </w:tc>
      </w:tr>
      <w:tr w14:paraId="1029C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D2F0E32">
            <w:pPr>
              <w:pStyle w:val="33"/>
              <w:rPr>
                <w:color w:val="auto"/>
              </w:rPr>
            </w:pPr>
          </w:p>
        </w:tc>
        <w:tc>
          <w:tcPr>
            <w:tcW w:w="254" w:type="pct"/>
            <w:gridSpan w:val="2"/>
            <w:vMerge w:val="continue"/>
            <w:vAlign w:val="center"/>
          </w:tcPr>
          <w:p w14:paraId="0140605F">
            <w:pPr>
              <w:pStyle w:val="33"/>
              <w:rPr>
                <w:color w:val="auto"/>
              </w:rPr>
            </w:pPr>
          </w:p>
        </w:tc>
        <w:tc>
          <w:tcPr>
            <w:tcW w:w="337" w:type="pct"/>
            <w:vMerge w:val="continue"/>
            <w:vAlign w:val="center"/>
          </w:tcPr>
          <w:p w14:paraId="1DBDC593">
            <w:pPr>
              <w:pStyle w:val="33"/>
              <w:rPr>
                <w:color w:val="auto"/>
              </w:rPr>
            </w:pPr>
          </w:p>
        </w:tc>
        <w:tc>
          <w:tcPr>
            <w:tcW w:w="443" w:type="pct"/>
            <w:vAlign w:val="center"/>
          </w:tcPr>
          <w:p w14:paraId="14516090">
            <w:pPr>
              <w:pStyle w:val="33"/>
              <w:rPr>
                <w:color w:val="auto"/>
              </w:rPr>
            </w:pPr>
            <w:r>
              <w:rPr>
                <w:rFonts w:hint="eastAsia"/>
                <w:color w:val="auto"/>
              </w:rPr>
              <w:t>烟尘</w:t>
            </w:r>
          </w:p>
        </w:tc>
        <w:tc>
          <w:tcPr>
            <w:tcW w:w="658" w:type="pct"/>
            <w:vAlign w:val="center"/>
          </w:tcPr>
          <w:p w14:paraId="10F23039">
            <w:pPr>
              <w:pStyle w:val="33"/>
              <w:rPr>
                <w:color w:val="auto"/>
              </w:rPr>
            </w:pPr>
            <w:r>
              <w:rPr>
                <w:color w:val="auto"/>
              </w:rPr>
              <w:t>10</w:t>
            </w:r>
          </w:p>
        </w:tc>
        <w:tc>
          <w:tcPr>
            <w:tcW w:w="405" w:type="pct"/>
            <w:vAlign w:val="center"/>
          </w:tcPr>
          <w:p w14:paraId="3630A382">
            <w:pPr>
              <w:pStyle w:val="33"/>
              <w:rPr>
                <w:color w:val="auto"/>
              </w:rPr>
            </w:pPr>
            <w:r>
              <w:rPr>
                <w:color w:val="auto"/>
              </w:rPr>
              <w:t>0.008</w:t>
            </w:r>
          </w:p>
        </w:tc>
        <w:tc>
          <w:tcPr>
            <w:tcW w:w="456" w:type="pct"/>
            <w:vAlign w:val="center"/>
          </w:tcPr>
          <w:p w14:paraId="02FD752E">
            <w:pPr>
              <w:pStyle w:val="33"/>
              <w:rPr>
                <w:color w:val="auto"/>
              </w:rPr>
            </w:pPr>
            <w:r>
              <w:rPr>
                <w:color w:val="auto"/>
              </w:rPr>
              <w:t>0.065</w:t>
            </w:r>
          </w:p>
        </w:tc>
        <w:tc>
          <w:tcPr>
            <w:tcW w:w="459" w:type="pct"/>
            <w:vMerge w:val="continue"/>
            <w:vAlign w:val="center"/>
          </w:tcPr>
          <w:p w14:paraId="50851152">
            <w:pPr>
              <w:pStyle w:val="33"/>
              <w:rPr>
                <w:color w:val="auto"/>
              </w:rPr>
            </w:pPr>
          </w:p>
        </w:tc>
        <w:tc>
          <w:tcPr>
            <w:tcW w:w="454" w:type="pct"/>
            <w:vMerge w:val="continue"/>
            <w:vAlign w:val="center"/>
          </w:tcPr>
          <w:p w14:paraId="1BF645B2">
            <w:pPr>
              <w:pStyle w:val="33"/>
              <w:rPr>
                <w:color w:val="auto"/>
              </w:rPr>
            </w:pPr>
          </w:p>
        </w:tc>
        <w:tc>
          <w:tcPr>
            <w:tcW w:w="1252" w:type="pct"/>
            <w:vMerge w:val="continue"/>
            <w:vAlign w:val="center"/>
          </w:tcPr>
          <w:p w14:paraId="51DC6C0B">
            <w:pPr>
              <w:pStyle w:val="33"/>
              <w:rPr>
                <w:color w:val="auto"/>
              </w:rPr>
            </w:pPr>
          </w:p>
        </w:tc>
      </w:tr>
      <w:tr w14:paraId="54C86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E3393C4">
            <w:pPr>
              <w:pStyle w:val="33"/>
              <w:rPr>
                <w:color w:val="auto"/>
              </w:rPr>
            </w:pPr>
          </w:p>
        </w:tc>
        <w:tc>
          <w:tcPr>
            <w:tcW w:w="254" w:type="pct"/>
            <w:gridSpan w:val="2"/>
            <w:vMerge w:val="continue"/>
            <w:vAlign w:val="center"/>
          </w:tcPr>
          <w:p w14:paraId="0BB893FB">
            <w:pPr>
              <w:pStyle w:val="33"/>
              <w:rPr>
                <w:color w:val="auto"/>
              </w:rPr>
            </w:pPr>
          </w:p>
        </w:tc>
        <w:tc>
          <w:tcPr>
            <w:tcW w:w="337" w:type="pct"/>
            <w:vMerge w:val="restart"/>
            <w:vAlign w:val="center"/>
          </w:tcPr>
          <w:p w14:paraId="4311CC7D">
            <w:pPr>
              <w:pStyle w:val="33"/>
              <w:rPr>
                <w:color w:val="auto"/>
              </w:rPr>
            </w:pPr>
            <w:r>
              <w:rPr>
                <w:rFonts w:hint="eastAsia"/>
                <w:color w:val="auto"/>
              </w:rPr>
              <w:t>DA044</w:t>
            </w:r>
          </w:p>
        </w:tc>
        <w:tc>
          <w:tcPr>
            <w:tcW w:w="443" w:type="pct"/>
            <w:vAlign w:val="center"/>
          </w:tcPr>
          <w:p w14:paraId="1CDEBC1E">
            <w:pPr>
              <w:pStyle w:val="33"/>
              <w:rPr>
                <w:color w:val="auto"/>
              </w:rPr>
            </w:pPr>
            <w:r>
              <w:rPr>
                <w:rFonts w:hint="eastAsia"/>
                <w:color w:val="auto"/>
              </w:rPr>
              <w:t>二氧化硫</w:t>
            </w:r>
          </w:p>
        </w:tc>
        <w:tc>
          <w:tcPr>
            <w:tcW w:w="658" w:type="pct"/>
            <w:vAlign w:val="center"/>
          </w:tcPr>
          <w:p w14:paraId="27E3832C">
            <w:pPr>
              <w:pStyle w:val="33"/>
              <w:rPr>
                <w:color w:val="auto"/>
              </w:rPr>
            </w:pPr>
            <w:r>
              <w:rPr>
                <w:color w:val="auto"/>
              </w:rPr>
              <w:t>18.56</w:t>
            </w:r>
          </w:p>
        </w:tc>
        <w:tc>
          <w:tcPr>
            <w:tcW w:w="405" w:type="pct"/>
            <w:vAlign w:val="center"/>
          </w:tcPr>
          <w:p w14:paraId="5E2BF245">
            <w:pPr>
              <w:pStyle w:val="33"/>
              <w:rPr>
                <w:color w:val="auto"/>
              </w:rPr>
            </w:pPr>
            <w:r>
              <w:rPr>
                <w:color w:val="auto"/>
              </w:rPr>
              <w:t>0.015</w:t>
            </w:r>
          </w:p>
        </w:tc>
        <w:tc>
          <w:tcPr>
            <w:tcW w:w="456" w:type="pct"/>
            <w:vAlign w:val="center"/>
          </w:tcPr>
          <w:p w14:paraId="56FA1F40">
            <w:pPr>
              <w:pStyle w:val="33"/>
              <w:rPr>
                <w:color w:val="auto"/>
              </w:rPr>
            </w:pPr>
            <w:r>
              <w:rPr>
                <w:color w:val="auto"/>
              </w:rPr>
              <w:t>0.12</w:t>
            </w:r>
          </w:p>
        </w:tc>
        <w:tc>
          <w:tcPr>
            <w:tcW w:w="459" w:type="pct"/>
            <w:vMerge w:val="restart"/>
            <w:vAlign w:val="center"/>
          </w:tcPr>
          <w:p w14:paraId="548DC074">
            <w:pPr>
              <w:pStyle w:val="33"/>
              <w:rPr>
                <w:color w:val="auto"/>
              </w:rPr>
            </w:pPr>
            <w:r>
              <w:rPr>
                <w:rFonts w:hint="eastAsia"/>
                <w:color w:val="auto"/>
              </w:rPr>
              <w:t>／</w:t>
            </w:r>
          </w:p>
        </w:tc>
        <w:tc>
          <w:tcPr>
            <w:tcW w:w="454" w:type="pct"/>
            <w:vMerge w:val="restart"/>
            <w:vAlign w:val="center"/>
          </w:tcPr>
          <w:p w14:paraId="5D1CF2B0">
            <w:pPr>
              <w:pStyle w:val="33"/>
              <w:rPr>
                <w:color w:val="auto"/>
              </w:rPr>
            </w:pPr>
            <w:r>
              <w:rPr>
                <w:rFonts w:hint="eastAsia"/>
                <w:color w:val="auto"/>
              </w:rPr>
              <w:t>16m高排气筒排放</w:t>
            </w:r>
          </w:p>
        </w:tc>
        <w:tc>
          <w:tcPr>
            <w:tcW w:w="1252" w:type="pct"/>
            <w:vMerge w:val="continue"/>
            <w:vAlign w:val="center"/>
          </w:tcPr>
          <w:p w14:paraId="3A972DE4">
            <w:pPr>
              <w:pStyle w:val="33"/>
              <w:rPr>
                <w:color w:val="auto"/>
              </w:rPr>
            </w:pPr>
          </w:p>
        </w:tc>
      </w:tr>
      <w:tr w14:paraId="7FEBC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B890468">
            <w:pPr>
              <w:pStyle w:val="33"/>
              <w:rPr>
                <w:color w:val="auto"/>
              </w:rPr>
            </w:pPr>
          </w:p>
        </w:tc>
        <w:tc>
          <w:tcPr>
            <w:tcW w:w="254" w:type="pct"/>
            <w:gridSpan w:val="2"/>
            <w:vMerge w:val="continue"/>
            <w:vAlign w:val="center"/>
          </w:tcPr>
          <w:p w14:paraId="327AEABD">
            <w:pPr>
              <w:pStyle w:val="33"/>
              <w:rPr>
                <w:color w:val="auto"/>
              </w:rPr>
            </w:pPr>
          </w:p>
        </w:tc>
        <w:tc>
          <w:tcPr>
            <w:tcW w:w="337" w:type="pct"/>
            <w:vMerge w:val="continue"/>
            <w:vAlign w:val="center"/>
          </w:tcPr>
          <w:p w14:paraId="308C3026">
            <w:pPr>
              <w:pStyle w:val="33"/>
              <w:rPr>
                <w:color w:val="auto"/>
              </w:rPr>
            </w:pPr>
          </w:p>
        </w:tc>
        <w:tc>
          <w:tcPr>
            <w:tcW w:w="443" w:type="pct"/>
            <w:vAlign w:val="center"/>
          </w:tcPr>
          <w:p w14:paraId="0D1FF355">
            <w:pPr>
              <w:pStyle w:val="33"/>
              <w:rPr>
                <w:color w:val="auto"/>
              </w:rPr>
            </w:pPr>
            <w:r>
              <w:rPr>
                <w:rFonts w:hint="eastAsia"/>
                <w:color w:val="auto"/>
              </w:rPr>
              <w:t>氮氧化物</w:t>
            </w:r>
          </w:p>
        </w:tc>
        <w:tc>
          <w:tcPr>
            <w:tcW w:w="658" w:type="pct"/>
            <w:vAlign w:val="center"/>
          </w:tcPr>
          <w:p w14:paraId="1DC6A8F9">
            <w:pPr>
              <w:pStyle w:val="33"/>
              <w:rPr>
                <w:color w:val="auto"/>
              </w:rPr>
            </w:pPr>
            <w:r>
              <w:rPr>
                <w:color w:val="auto"/>
              </w:rPr>
              <w:t>100</w:t>
            </w:r>
          </w:p>
        </w:tc>
        <w:tc>
          <w:tcPr>
            <w:tcW w:w="405" w:type="pct"/>
            <w:vAlign w:val="center"/>
          </w:tcPr>
          <w:p w14:paraId="694D088F">
            <w:pPr>
              <w:pStyle w:val="33"/>
              <w:rPr>
                <w:color w:val="auto"/>
              </w:rPr>
            </w:pPr>
            <w:r>
              <w:rPr>
                <w:color w:val="auto"/>
              </w:rPr>
              <w:t>0.079</w:t>
            </w:r>
          </w:p>
        </w:tc>
        <w:tc>
          <w:tcPr>
            <w:tcW w:w="456" w:type="pct"/>
            <w:vAlign w:val="center"/>
          </w:tcPr>
          <w:p w14:paraId="4B4E4751">
            <w:pPr>
              <w:pStyle w:val="33"/>
              <w:rPr>
                <w:color w:val="auto"/>
              </w:rPr>
            </w:pPr>
            <w:r>
              <w:rPr>
                <w:color w:val="auto"/>
              </w:rPr>
              <w:t>0.647</w:t>
            </w:r>
          </w:p>
        </w:tc>
        <w:tc>
          <w:tcPr>
            <w:tcW w:w="459" w:type="pct"/>
            <w:vMerge w:val="continue"/>
            <w:vAlign w:val="center"/>
          </w:tcPr>
          <w:p w14:paraId="1512C173">
            <w:pPr>
              <w:pStyle w:val="33"/>
              <w:rPr>
                <w:color w:val="auto"/>
              </w:rPr>
            </w:pPr>
          </w:p>
        </w:tc>
        <w:tc>
          <w:tcPr>
            <w:tcW w:w="454" w:type="pct"/>
            <w:vMerge w:val="continue"/>
            <w:vAlign w:val="center"/>
          </w:tcPr>
          <w:p w14:paraId="0B941626">
            <w:pPr>
              <w:pStyle w:val="33"/>
              <w:rPr>
                <w:color w:val="auto"/>
              </w:rPr>
            </w:pPr>
          </w:p>
        </w:tc>
        <w:tc>
          <w:tcPr>
            <w:tcW w:w="1252" w:type="pct"/>
            <w:vMerge w:val="continue"/>
            <w:vAlign w:val="center"/>
          </w:tcPr>
          <w:p w14:paraId="4B225A37">
            <w:pPr>
              <w:pStyle w:val="33"/>
              <w:rPr>
                <w:color w:val="auto"/>
              </w:rPr>
            </w:pPr>
          </w:p>
        </w:tc>
      </w:tr>
      <w:tr w14:paraId="41ED9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A8A2124">
            <w:pPr>
              <w:pStyle w:val="33"/>
              <w:rPr>
                <w:color w:val="auto"/>
              </w:rPr>
            </w:pPr>
          </w:p>
        </w:tc>
        <w:tc>
          <w:tcPr>
            <w:tcW w:w="254" w:type="pct"/>
            <w:gridSpan w:val="2"/>
            <w:vMerge w:val="continue"/>
            <w:vAlign w:val="center"/>
          </w:tcPr>
          <w:p w14:paraId="6026334C">
            <w:pPr>
              <w:pStyle w:val="33"/>
              <w:rPr>
                <w:color w:val="auto"/>
              </w:rPr>
            </w:pPr>
          </w:p>
        </w:tc>
        <w:tc>
          <w:tcPr>
            <w:tcW w:w="337" w:type="pct"/>
            <w:vMerge w:val="continue"/>
            <w:vAlign w:val="center"/>
          </w:tcPr>
          <w:p w14:paraId="348AE6EB">
            <w:pPr>
              <w:pStyle w:val="33"/>
              <w:rPr>
                <w:color w:val="auto"/>
              </w:rPr>
            </w:pPr>
          </w:p>
        </w:tc>
        <w:tc>
          <w:tcPr>
            <w:tcW w:w="443" w:type="pct"/>
            <w:vAlign w:val="center"/>
          </w:tcPr>
          <w:p w14:paraId="4FC985F5">
            <w:pPr>
              <w:pStyle w:val="33"/>
              <w:rPr>
                <w:color w:val="auto"/>
              </w:rPr>
            </w:pPr>
            <w:r>
              <w:rPr>
                <w:rFonts w:hint="eastAsia"/>
                <w:color w:val="auto"/>
              </w:rPr>
              <w:t>烟尘</w:t>
            </w:r>
          </w:p>
        </w:tc>
        <w:tc>
          <w:tcPr>
            <w:tcW w:w="658" w:type="pct"/>
            <w:vAlign w:val="center"/>
          </w:tcPr>
          <w:p w14:paraId="0124F7E0">
            <w:pPr>
              <w:pStyle w:val="33"/>
              <w:rPr>
                <w:color w:val="auto"/>
              </w:rPr>
            </w:pPr>
            <w:r>
              <w:rPr>
                <w:color w:val="auto"/>
              </w:rPr>
              <w:t>10</w:t>
            </w:r>
          </w:p>
        </w:tc>
        <w:tc>
          <w:tcPr>
            <w:tcW w:w="405" w:type="pct"/>
            <w:vAlign w:val="center"/>
          </w:tcPr>
          <w:p w14:paraId="0246071F">
            <w:pPr>
              <w:pStyle w:val="33"/>
              <w:rPr>
                <w:color w:val="auto"/>
              </w:rPr>
            </w:pPr>
            <w:r>
              <w:rPr>
                <w:color w:val="auto"/>
              </w:rPr>
              <w:t>0.008</w:t>
            </w:r>
          </w:p>
        </w:tc>
        <w:tc>
          <w:tcPr>
            <w:tcW w:w="456" w:type="pct"/>
            <w:vAlign w:val="center"/>
          </w:tcPr>
          <w:p w14:paraId="538BF353">
            <w:pPr>
              <w:pStyle w:val="33"/>
              <w:rPr>
                <w:color w:val="auto"/>
              </w:rPr>
            </w:pPr>
            <w:r>
              <w:rPr>
                <w:color w:val="auto"/>
              </w:rPr>
              <w:t>0.065</w:t>
            </w:r>
          </w:p>
        </w:tc>
        <w:tc>
          <w:tcPr>
            <w:tcW w:w="459" w:type="pct"/>
            <w:vMerge w:val="continue"/>
            <w:vAlign w:val="center"/>
          </w:tcPr>
          <w:p w14:paraId="3B028BEF">
            <w:pPr>
              <w:pStyle w:val="33"/>
              <w:rPr>
                <w:color w:val="auto"/>
              </w:rPr>
            </w:pPr>
          </w:p>
        </w:tc>
        <w:tc>
          <w:tcPr>
            <w:tcW w:w="454" w:type="pct"/>
            <w:vMerge w:val="continue"/>
            <w:vAlign w:val="center"/>
          </w:tcPr>
          <w:p w14:paraId="6BBF13B5">
            <w:pPr>
              <w:pStyle w:val="33"/>
              <w:rPr>
                <w:color w:val="auto"/>
              </w:rPr>
            </w:pPr>
          </w:p>
        </w:tc>
        <w:tc>
          <w:tcPr>
            <w:tcW w:w="1252" w:type="pct"/>
            <w:vMerge w:val="continue"/>
            <w:vAlign w:val="center"/>
          </w:tcPr>
          <w:p w14:paraId="1C63F653">
            <w:pPr>
              <w:pStyle w:val="33"/>
              <w:rPr>
                <w:color w:val="auto"/>
              </w:rPr>
            </w:pPr>
          </w:p>
        </w:tc>
      </w:tr>
      <w:tr w14:paraId="78D8B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9B0F833">
            <w:pPr>
              <w:pStyle w:val="33"/>
              <w:rPr>
                <w:color w:val="auto"/>
              </w:rPr>
            </w:pPr>
          </w:p>
        </w:tc>
        <w:tc>
          <w:tcPr>
            <w:tcW w:w="591" w:type="pct"/>
            <w:gridSpan w:val="3"/>
            <w:vAlign w:val="center"/>
          </w:tcPr>
          <w:p w14:paraId="052E8450">
            <w:pPr>
              <w:pStyle w:val="33"/>
              <w:rPr>
                <w:color w:val="auto"/>
              </w:rPr>
            </w:pPr>
            <w:r>
              <w:rPr>
                <w:color w:val="auto"/>
              </w:rPr>
              <w:t>淋膜纸</w:t>
            </w:r>
            <w:r>
              <w:rPr>
                <w:rFonts w:hint="eastAsia"/>
                <w:color w:val="auto"/>
              </w:rPr>
              <w:t>车间（DA046）</w:t>
            </w:r>
          </w:p>
        </w:tc>
        <w:tc>
          <w:tcPr>
            <w:tcW w:w="443" w:type="pct"/>
            <w:vAlign w:val="center"/>
          </w:tcPr>
          <w:p w14:paraId="6496A4FC">
            <w:pPr>
              <w:pStyle w:val="33"/>
              <w:rPr>
                <w:color w:val="auto"/>
              </w:rPr>
            </w:pPr>
            <w:r>
              <w:rPr>
                <w:color w:val="auto"/>
              </w:rPr>
              <w:t>非甲烷总烃</w:t>
            </w:r>
          </w:p>
        </w:tc>
        <w:tc>
          <w:tcPr>
            <w:tcW w:w="658" w:type="pct"/>
            <w:vAlign w:val="center"/>
          </w:tcPr>
          <w:p w14:paraId="05B64629">
            <w:pPr>
              <w:pStyle w:val="33"/>
              <w:rPr>
                <w:color w:val="auto"/>
              </w:rPr>
            </w:pPr>
            <w:r>
              <w:rPr>
                <w:color w:val="auto"/>
              </w:rPr>
              <w:t>3.22</w:t>
            </w:r>
          </w:p>
        </w:tc>
        <w:tc>
          <w:tcPr>
            <w:tcW w:w="405" w:type="pct"/>
            <w:vAlign w:val="center"/>
          </w:tcPr>
          <w:p w14:paraId="02445308">
            <w:pPr>
              <w:pStyle w:val="33"/>
              <w:rPr>
                <w:color w:val="auto"/>
              </w:rPr>
            </w:pPr>
            <w:r>
              <w:rPr>
                <w:color w:val="auto"/>
              </w:rPr>
              <w:t>0.06</w:t>
            </w:r>
          </w:p>
        </w:tc>
        <w:tc>
          <w:tcPr>
            <w:tcW w:w="456" w:type="pct"/>
            <w:vAlign w:val="center"/>
          </w:tcPr>
          <w:p w14:paraId="12321A93">
            <w:pPr>
              <w:pStyle w:val="33"/>
              <w:rPr>
                <w:color w:val="auto"/>
              </w:rPr>
            </w:pPr>
            <w:r>
              <w:rPr>
                <w:color w:val="auto"/>
              </w:rPr>
              <w:t>0.4896</w:t>
            </w:r>
          </w:p>
        </w:tc>
        <w:tc>
          <w:tcPr>
            <w:tcW w:w="459" w:type="pct"/>
            <w:vAlign w:val="center"/>
          </w:tcPr>
          <w:p w14:paraId="27322384">
            <w:pPr>
              <w:pStyle w:val="33"/>
              <w:rPr>
                <w:color w:val="auto"/>
              </w:rPr>
            </w:pPr>
            <w:r>
              <w:rPr>
                <w:color w:val="auto"/>
              </w:rPr>
              <w:t>活性炭吸附处理后</w:t>
            </w:r>
          </w:p>
        </w:tc>
        <w:tc>
          <w:tcPr>
            <w:tcW w:w="454" w:type="pct"/>
            <w:vAlign w:val="center"/>
          </w:tcPr>
          <w:p w14:paraId="49894C94">
            <w:pPr>
              <w:pStyle w:val="33"/>
              <w:rPr>
                <w:color w:val="auto"/>
              </w:rPr>
            </w:pPr>
            <w:r>
              <w:rPr>
                <w:rFonts w:hint="eastAsia"/>
                <w:color w:val="auto"/>
              </w:rPr>
              <w:t>18m高排气筒排放</w:t>
            </w:r>
          </w:p>
        </w:tc>
        <w:tc>
          <w:tcPr>
            <w:tcW w:w="1252" w:type="pct"/>
            <w:vAlign w:val="center"/>
          </w:tcPr>
          <w:p w14:paraId="334BAA80">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tc>
      </w:tr>
      <w:tr w14:paraId="05812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CF47E84">
            <w:pPr>
              <w:pStyle w:val="33"/>
              <w:rPr>
                <w:color w:val="auto"/>
              </w:rPr>
            </w:pPr>
          </w:p>
        </w:tc>
        <w:tc>
          <w:tcPr>
            <w:tcW w:w="591" w:type="pct"/>
            <w:gridSpan w:val="3"/>
            <w:vMerge w:val="restart"/>
            <w:vAlign w:val="center"/>
          </w:tcPr>
          <w:p w14:paraId="3AA6585C">
            <w:pPr>
              <w:pStyle w:val="33"/>
              <w:rPr>
                <w:color w:val="auto"/>
              </w:rPr>
            </w:pPr>
            <w:r>
              <w:rPr>
                <w:color w:val="auto"/>
              </w:rPr>
              <w:t>污水处理站</w:t>
            </w:r>
            <w:r>
              <w:rPr>
                <w:rFonts w:hint="eastAsia"/>
                <w:color w:val="auto"/>
              </w:rPr>
              <w:t>（D</w:t>
            </w:r>
            <w:r>
              <w:rPr>
                <w:color w:val="auto"/>
              </w:rPr>
              <w:t>A047</w:t>
            </w:r>
            <w:r>
              <w:rPr>
                <w:rFonts w:hint="eastAsia"/>
                <w:color w:val="auto"/>
              </w:rPr>
              <w:t>）</w:t>
            </w:r>
          </w:p>
        </w:tc>
        <w:tc>
          <w:tcPr>
            <w:tcW w:w="443" w:type="pct"/>
            <w:vAlign w:val="center"/>
          </w:tcPr>
          <w:p w14:paraId="1A988310">
            <w:pPr>
              <w:pStyle w:val="33"/>
              <w:rPr>
                <w:color w:val="auto"/>
              </w:rPr>
            </w:pPr>
            <w:r>
              <w:rPr>
                <w:color w:val="auto"/>
              </w:rPr>
              <w:t>NH</w:t>
            </w:r>
            <w:r>
              <w:rPr>
                <w:color w:val="auto"/>
                <w:vertAlign w:val="subscript"/>
              </w:rPr>
              <w:t>3</w:t>
            </w:r>
          </w:p>
        </w:tc>
        <w:tc>
          <w:tcPr>
            <w:tcW w:w="658" w:type="pct"/>
            <w:vAlign w:val="center"/>
          </w:tcPr>
          <w:p w14:paraId="4FA86E34">
            <w:pPr>
              <w:pStyle w:val="33"/>
              <w:rPr>
                <w:color w:val="auto"/>
              </w:rPr>
            </w:pPr>
            <w:r>
              <w:rPr>
                <w:rFonts w:cs="Times New Roman"/>
                <w:color w:val="auto"/>
                <w:sz w:val="18"/>
                <w:szCs w:val="18"/>
              </w:rPr>
              <w:t>0.1266</w:t>
            </w:r>
          </w:p>
        </w:tc>
        <w:tc>
          <w:tcPr>
            <w:tcW w:w="405" w:type="pct"/>
            <w:vAlign w:val="center"/>
          </w:tcPr>
          <w:p w14:paraId="67E8B4C8">
            <w:pPr>
              <w:pStyle w:val="33"/>
              <w:rPr>
                <w:color w:val="auto"/>
              </w:rPr>
            </w:pPr>
            <w:r>
              <w:rPr>
                <w:rFonts w:cs="Times New Roman"/>
                <w:color w:val="auto"/>
                <w:sz w:val="18"/>
                <w:szCs w:val="18"/>
              </w:rPr>
              <w:t>0.0032</w:t>
            </w:r>
          </w:p>
        </w:tc>
        <w:tc>
          <w:tcPr>
            <w:tcW w:w="456" w:type="pct"/>
            <w:vAlign w:val="center"/>
          </w:tcPr>
          <w:p w14:paraId="656C50CB">
            <w:pPr>
              <w:pStyle w:val="33"/>
              <w:rPr>
                <w:color w:val="auto"/>
              </w:rPr>
            </w:pPr>
            <w:r>
              <w:rPr>
                <w:rFonts w:cs="Times New Roman"/>
                <w:color w:val="auto"/>
                <w:sz w:val="18"/>
                <w:szCs w:val="18"/>
              </w:rPr>
              <w:t>0.0277</w:t>
            </w:r>
          </w:p>
        </w:tc>
        <w:tc>
          <w:tcPr>
            <w:tcW w:w="459" w:type="pct"/>
            <w:vMerge w:val="restart"/>
            <w:vAlign w:val="center"/>
          </w:tcPr>
          <w:p w14:paraId="07646A6B">
            <w:pPr>
              <w:pStyle w:val="33"/>
              <w:rPr>
                <w:color w:val="auto"/>
              </w:rPr>
            </w:pPr>
            <w:r>
              <w:rPr>
                <w:color w:val="auto"/>
              </w:rPr>
              <w:t>负压收集后经碱喷淋+生物除臭滤池技术处理</w:t>
            </w:r>
          </w:p>
        </w:tc>
        <w:tc>
          <w:tcPr>
            <w:tcW w:w="454" w:type="pct"/>
            <w:vMerge w:val="restart"/>
            <w:vAlign w:val="center"/>
          </w:tcPr>
          <w:p w14:paraId="32534936">
            <w:pPr>
              <w:pStyle w:val="33"/>
              <w:rPr>
                <w:color w:val="auto"/>
              </w:rPr>
            </w:pPr>
            <w:r>
              <w:rPr>
                <w:color w:val="auto"/>
              </w:rPr>
              <w:t>15m高排气筒排放</w:t>
            </w:r>
          </w:p>
        </w:tc>
        <w:tc>
          <w:tcPr>
            <w:tcW w:w="1252" w:type="pct"/>
            <w:vMerge w:val="restart"/>
            <w:vAlign w:val="center"/>
          </w:tcPr>
          <w:p w14:paraId="402C7B40">
            <w:pPr>
              <w:pStyle w:val="33"/>
              <w:rPr>
                <w:color w:val="auto"/>
              </w:rPr>
            </w:pPr>
            <w:r>
              <w:rPr>
                <w:rFonts w:hint="eastAsia"/>
                <w:color w:val="auto"/>
              </w:rPr>
              <w:t>《恶臭污染物排放标准》（GB14554-93）表2限值</w:t>
            </w:r>
          </w:p>
        </w:tc>
      </w:tr>
      <w:tr w14:paraId="289F3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81768BD">
            <w:pPr>
              <w:pStyle w:val="33"/>
              <w:rPr>
                <w:color w:val="auto"/>
              </w:rPr>
            </w:pPr>
          </w:p>
        </w:tc>
        <w:tc>
          <w:tcPr>
            <w:tcW w:w="591" w:type="pct"/>
            <w:gridSpan w:val="3"/>
            <w:vMerge w:val="continue"/>
            <w:vAlign w:val="center"/>
          </w:tcPr>
          <w:p w14:paraId="451A00DD">
            <w:pPr>
              <w:pStyle w:val="33"/>
              <w:rPr>
                <w:color w:val="auto"/>
              </w:rPr>
            </w:pPr>
          </w:p>
        </w:tc>
        <w:tc>
          <w:tcPr>
            <w:tcW w:w="443" w:type="pct"/>
            <w:vAlign w:val="center"/>
          </w:tcPr>
          <w:p w14:paraId="119FEED6">
            <w:pPr>
              <w:pStyle w:val="33"/>
              <w:rPr>
                <w:color w:val="auto"/>
              </w:rPr>
            </w:pPr>
            <w:r>
              <w:rPr>
                <w:color w:val="auto"/>
              </w:rPr>
              <w:t>H</w:t>
            </w:r>
            <w:r>
              <w:rPr>
                <w:color w:val="auto"/>
                <w:vertAlign w:val="subscript"/>
              </w:rPr>
              <w:t>2</w:t>
            </w:r>
            <w:r>
              <w:rPr>
                <w:color w:val="auto"/>
              </w:rPr>
              <w:t>S</w:t>
            </w:r>
          </w:p>
        </w:tc>
        <w:tc>
          <w:tcPr>
            <w:tcW w:w="658" w:type="pct"/>
            <w:vAlign w:val="center"/>
          </w:tcPr>
          <w:p w14:paraId="0CB21147">
            <w:pPr>
              <w:pStyle w:val="33"/>
              <w:rPr>
                <w:color w:val="auto"/>
              </w:rPr>
            </w:pPr>
            <w:r>
              <w:rPr>
                <w:rFonts w:cs="Times New Roman"/>
                <w:color w:val="auto"/>
                <w:sz w:val="18"/>
                <w:szCs w:val="18"/>
              </w:rPr>
              <w:t>0.0583</w:t>
            </w:r>
          </w:p>
        </w:tc>
        <w:tc>
          <w:tcPr>
            <w:tcW w:w="405" w:type="pct"/>
            <w:vAlign w:val="center"/>
          </w:tcPr>
          <w:p w14:paraId="3F9A4555">
            <w:pPr>
              <w:pStyle w:val="33"/>
              <w:rPr>
                <w:color w:val="auto"/>
              </w:rPr>
            </w:pPr>
            <w:r>
              <w:rPr>
                <w:rFonts w:cs="Times New Roman"/>
                <w:color w:val="auto"/>
                <w:sz w:val="18"/>
                <w:szCs w:val="18"/>
              </w:rPr>
              <w:t>0.0015</w:t>
            </w:r>
          </w:p>
        </w:tc>
        <w:tc>
          <w:tcPr>
            <w:tcW w:w="456" w:type="pct"/>
            <w:vAlign w:val="center"/>
          </w:tcPr>
          <w:p w14:paraId="1C62B38F">
            <w:pPr>
              <w:pStyle w:val="33"/>
              <w:rPr>
                <w:color w:val="auto"/>
              </w:rPr>
            </w:pPr>
            <w:r>
              <w:rPr>
                <w:rFonts w:cs="Times New Roman"/>
                <w:color w:val="auto"/>
                <w:sz w:val="18"/>
                <w:szCs w:val="18"/>
              </w:rPr>
              <w:t>0.0128</w:t>
            </w:r>
          </w:p>
        </w:tc>
        <w:tc>
          <w:tcPr>
            <w:tcW w:w="459" w:type="pct"/>
            <w:vMerge w:val="continue"/>
            <w:vAlign w:val="center"/>
          </w:tcPr>
          <w:p w14:paraId="118F3B16">
            <w:pPr>
              <w:pStyle w:val="33"/>
              <w:rPr>
                <w:color w:val="auto"/>
              </w:rPr>
            </w:pPr>
          </w:p>
        </w:tc>
        <w:tc>
          <w:tcPr>
            <w:tcW w:w="454" w:type="pct"/>
            <w:vMerge w:val="continue"/>
            <w:vAlign w:val="center"/>
          </w:tcPr>
          <w:p w14:paraId="3EDA6F11">
            <w:pPr>
              <w:pStyle w:val="33"/>
              <w:rPr>
                <w:color w:val="auto"/>
              </w:rPr>
            </w:pPr>
          </w:p>
        </w:tc>
        <w:tc>
          <w:tcPr>
            <w:tcW w:w="1252" w:type="pct"/>
            <w:vMerge w:val="continue"/>
            <w:vAlign w:val="center"/>
          </w:tcPr>
          <w:p w14:paraId="5CE3C23B">
            <w:pPr>
              <w:pStyle w:val="33"/>
              <w:rPr>
                <w:color w:val="auto"/>
              </w:rPr>
            </w:pPr>
          </w:p>
        </w:tc>
      </w:tr>
      <w:tr w14:paraId="5C578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E09A590">
            <w:pPr>
              <w:pStyle w:val="33"/>
              <w:rPr>
                <w:color w:val="auto"/>
              </w:rPr>
            </w:pPr>
          </w:p>
        </w:tc>
        <w:tc>
          <w:tcPr>
            <w:tcW w:w="591" w:type="pct"/>
            <w:gridSpan w:val="3"/>
            <w:vMerge w:val="continue"/>
            <w:vAlign w:val="center"/>
          </w:tcPr>
          <w:p w14:paraId="5321819E">
            <w:pPr>
              <w:pStyle w:val="33"/>
              <w:rPr>
                <w:color w:val="auto"/>
              </w:rPr>
            </w:pPr>
          </w:p>
        </w:tc>
        <w:tc>
          <w:tcPr>
            <w:tcW w:w="443" w:type="pct"/>
            <w:vAlign w:val="center"/>
          </w:tcPr>
          <w:p w14:paraId="4776716D">
            <w:pPr>
              <w:pStyle w:val="33"/>
              <w:rPr>
                <w:color w:val="auto"/>
              </w:rPr>
            </w:pPr>
            <w:r>
              <w:rPr>
                <w:rFonts w:hint="eastAsia"/>
                <w:color w:val="auto"/>
              </w:rPr>
              <w:t>臭气浓度</w:t>
            </w:r>
          </w:p>
        </w:tc>
        <w:tc>
          <w:tcPr>
            <w:tcW w:w="658" w:type="pct"/>
            <w:vAlign w:val="center"/>
          </w:tcPr>
          <w:p w14:paraId="61F930D6">
            <w:pPr>
              <w:pStyle w:val="33"/>
              <w:rPr>
                <w:color w:val="auto"/>
              </w:rPr>
            </w:pPr>
            <w:r>
              <w:rPr>
                <w:color w:val="auto"/>
              </w:rPr>
              <w:t>112.5（</w:t>
            </w:r>
            <w:r>
              <w:rPr>
                <w:rFonts w:hint="eastAsia"/>
                <w:color w:val="auto"/>
              </w:rPr>
              <w:t>无量纲</w:t>
            </w:r>
            <w:r>
              <w:rPr>
                <w:color w:val="auto"/>
              </w:rPr>
              <w:t>）</w:t>
            </w:r>
          </w:p>
        </w:tc>
        <w:tc>
          <w:tcPr>
            <w:tcW w:w="405" w:type="pct"/>
            <w:vAlign w:val="center"/>
          </w:tcPr>
          <w:p w14:paraId="5557628C">
            <w:pPr>
              <w:pStyle w:val="33"/>
              <w:rPr>
                <w:color w:val="auto"/>
              </w:rPr>
            </w:pPr>
            <w:r>
              <w:rPr>
                <w:rFonts w:hint="eastAsia"/>
                <w:color w:val="auto"/>
              </w:rPr>
              <w:t>／</w:t>
            </w:r>
          </w:p>
        </w:tc>
        <w:tc>
          <w:tcPr>
            <w:tcW w:w="456" w:type="pct"/>
            <w:vAlign w:val="center"/>
          </w:tcPr>
          <w:p w14:paraId="25EA3313">
            <w:pPr>
              <w:pStyle w:val="33"/>
              <w:rPr>
                <w:color w:val="auto"/>
              </w:rPr>
            </w:pPr>
            <w:r>
              <w:rPr>
                <w:rFonts w:hint="eastAsia"/>
                <w:color w:val="auto"/>
              </w:rPr>
              <w:t>／</w:t>
            </w:r>
          </w:p>
        </w:tc>
        <w:tc>
          <w:tcPr>
            <w:tcW w:w="459" w:type="pct"/>
            <w:vMerge w:val="continue"/>
            <w:vAlign w:val="center"/>
          </w:tcPr>
          <w:p w14:paraId="24B61687">
            <w:pPr>
              <w:pStyle w:val="33"/>
              <w:rPr>
                <w:color w:val="auto"/>
              </w:rPr>
            </w:pPr>
          </w:p>
        </w:tc>
        <w:tc>
          <w:tcPr>
            <w:tcW w:w="454" w:type="pct"/>
            <w:vMerge w:val="continue"/>
            <w:vAlign w:val="center"/>
          </w:tcPr>
          <w:p w14:paraId="788AFC7A">
            <w:pPr>
              <w:pStyle w:val="33"/>
              <w:rPr>
                <w:color w:val="auto"/>
              </w:rPr>
            </w:pPr>
          </w:p>
        </w:tc>
        <w:tc>
          <w:tcPr>
            <w:tcW w:w="1252" w:type="pct"/>
            <w:vMerge w:val="continue"/>
            <w:vAlign w:val="center"/>
          </w:tcPr>
          <w:p w14:paraId="0704C072">
            <w:pPr>
              <w:pStyle w:val="33"/>
              <w:rPr>
                <w:color w:val="auto"/>
              </w:rPr>
            </w:pPr>
          </w:p>
        </w:tc>
      </w:tr>
      <w:tr w14:paraId="2A16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restart"/>
            <w:vAlign w:val="center"/>
          </w:tcPr>
          <w:p w14:paraId="25CC5D42">
            <w:pPr>
              <w:pStyle w:val="33"/>
              <w:rPr>
                <w:color w:val="auto"/>
              </w:rPr>
            </w:pPr>
            <w:r>
              <w:rPr>
                <w:color w:val="auto"/>
              </w:rPr>
              <w:t>无组织废气</w:t>
            </w:r>
          </w:p>
        </w:tc>
        <w:tc>
          <w:tcPr>
            <w:tcW w:w="245" w:type="pct"/>
            <w:vMerge w:val="restart"/>
            <w:vAlign w:val="center"/>
          </w:tcPr>
          <w:p w14:paraId="2C2285C5">
            <w:pPr>
              <w:pStyle w:val="33"/>
              <w:rPr>
                <w:color w:val="auto"/>
              </w:rPr>
            </w:pPr>
            <w:r>
              <w:rPr>
                <w:color w:val="auto"/>
              </w:rPr>
              <w:t>造纸</w:t>
            </w:r>
            <w:r>
              <w:rPr>
                <w:rFonts w:hint="eastAsia"/>
                <w:color w:val="auto"/>
              </w:rPr>
              <w:t>辅助</w:t>
            </w:r>
            <w:r>
              <w:rPr>
                <w:color w:val="auto"/>
              </w:rPr>
              <w:t>车间</w:t>
            </w:r>
          </w:p>
        </w:tc>
        <w:tc>
          <w:tcPr>
            <w:tcW w:w="346" w:type="pct"/>
            <w:gridSpan w:val="2"/>
            <w:vAlign w:val="center"/>
          </w:tcPr>
          <w:p w14:paraId="43729369">
            <w:pPr>
              <w:pStyle w:val="33"/>
              <w:rPr>
                <w:color w:val="auto"/>
              </w:rPr>
            </w:pPr>
            <w:r>
              <w:rPr>
                <w:color w:val="auto"/>
              </w:rPr>
              <w:t>1#GCC车间</w:t>
            </w:r>
          </w:p>
        </w:tc>
        <w:tc>
          <w:tcPr>
            <w:tcW w:w="443" w:type="pct"/>
            <w:vAlign w:val="center"/>
          </w:tcPr>
          <w:p w14:paraId="1D8DE981">
            <w:pPr>
              <w:pStyle w:val="33"/>
              <w:rPr>
                <w:color w:val="auto"/>
              </w:rPr>
            </w:pPr>
            <w:r>
              <w:rPr>
                <w:color w:val="auto"/>
              </w:rPr>
              <w:t>颗粒物</w:t>
            </w:r>
          </w:p>
        </w:tc>
        <w:tc>
          <w:tcPr>
            <w:tcW w:w="658" w:type="pct"/>
            <w:vAlign w:val="center"/>
          </w:tcPr>
          <w:p w14:paraId="5F2A4D24">
            <w:pPr>
              <w:pStyle w:val="33"/>
              <w:rPr>
                <w:color w:val="auto"/>
              </w:rPr>
            </w:pPr>
            <w:r>
              <w:rPr>
                <w:rFonts w:hint="eastAsia"/>
                <w:color w:val="auto"/>
              </w:rPr>
              <w:t>／</w:t>
            </w:r>
          </w:p>
        </w:tc>
        <w:tc>
          <w:tcPr>
            <w:tcW w:w="405" w:type="pct"/>
            <w:vAlign w:val="center"/>
          </w:tcPr>
          <w:p w14:paraId="6843C2D7">
            <w:pPr>
              <w:pStyle w:val="33"/>
              <w:rPr>
                <w:color w:val="auto"/>
              </w:rPr>
            </w:pPr>
            <w:r>
              <w:rPr>
                <w:rFonts w:hint="eastAsia"/>
                <w:color w:val="auto"/>
              </w:rPr>
              <w:t>1.67</w:t>
            </w:r>
          </w:p>
        </w:tc>
        <w:tc>
          <w:tcPr>
            <w:tcW w:w="456" w:type="pct"/>
            <w:vAlign w:val="center"/>
          </w:tcPr>
          <w:p w14:paraId="0A96AF2A">
            <w:pPr>
              <w:pStyle w:val="33"/>
              <w:rPr>
                <w:color w:val="auto"/>
              </w:rPr>
            </w:pPr>
            <w:r>
              <w:rPr>
                <w:color w:val="auto"/>
              </w:rPr>
              <w:t>13.65</w:t>
            </w:r>
          </w:p>
        </w:tc>
        <w:tc>
          <w:tcPr>
            <w:tcW w:w="459" w:type="pct"/>
            <w:vMerge w:val="restart"/>
            <w:vAlign w:val="center"/>
          </w:tcPr>
          <w:p w14:paraId="51CA97CD">
            <w:pPr>
              <w:pStyle w:val="33"/>
              <w:rPr>
                <w:color w:val="auto"/>
              </w:rPr>
            </w:pPr>
            <w:r>
              <w:rPr>
                <w:rFonts w:hint="eastAsia"/>
                <w:color w:val="auto"/>
              </w:rPr>
              <w:t>/</w:t>
            </w:r>
          </w:p>
        </w:tc>
        <w:tc>
          <w:tcPr>
            <w:tcW w:w="454" w:type="pct"/>
            <w:vMerge w:val="restart"/>
            <w:vAlign w:val="center"/>
          </w:tcPr>
          <w:p w14:paraId="642E807E">
            <w:pPr>
              <w:pStyle w:val="33"/>
              <w:rPr>
                <w:color w:val="auto"/>
              </w:rPr>
            </w:pPr>
            <w:r>
              <w:rPr>
                <w:color w:val="auto"/>
              </w:rPr>
              <w:t>/</w:t>
            </w:r>
          </w:p>
        </w:tc>
        <w:tc>
          <w:tcPr>
            <w:tcW w:w="1252" w:type="pct"/>
            <w:vMerge w:val="restart"/>
            <w:vAlign w:val="center"/>
          </w:tcPr>
          <w:p w14:paraId="670446A0">
            <w:pPr>
              <w:pStyle w:val="33"/>
              <w:rPr>
                <w:color w:val="auto"/>
              </w:rPr>
            </w:pPr>
            <w:r>
              <w:rPr>
                <w:rFonts w:hint="eastAsia"/>
                <w:color w:val="auto"/>
              </w:rPr>
              <w:t>《大气污染物综合排放标准》（GB16297-1996）表2新污染源大气污染物排放限值中无组织排放监控浓度限值</w:t>
            </w:r>
          </w:p>
        </w:tc>
      </w:tr>
      <w:tr w14:paraId="477B0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5BC1212">
            <w:pPr>
              <w:pStyle w:val="33"/>
              <w:rPr>
                <w:color w:val="auto"/>
              </w:rPr>
            </w:pPr>
          </w:p>
        </w:tc>
        <w:tc>
          <w:tcPr>
            <w:tcW w:w="245" w:type="pct"/>
            <w:vMerge w:val="continue"/>
            <w:vAlign w:val="center"/>
          </w:tcPr>
          <w:p w14:paraId="0B0E1B7A">
            <w:pPr>
              <w:pStyle w:val="33"/>
              <w:rPr>
                <w:color w:val="auto"/>
              </w:rPr>
            </w:pPr>
          </w:p>
        </w:tc>
        <w:tc>
          <w:tcPr>
            <w:tcW w:w="346" w:type="pct"/>
            <w:gridSpan w:val="2"/>
            <w:vAlign w:val="center"/>
          </w:tcPr>
          <w:p w14:paraId="3740D01E">
            <w:pPr>
              <w:pStyle w:val="33"/>
              <w:rPr>
                <w:color w:val="auto"/>
              </w:rPr>
            </w:pPr>
            <w:r>
              <w:rPr>
                <w:color w:val="auto"/>
              </w:rPr>
              <w:t>2#GCC车间</w:t>
            </w:r>
          </w:p>
        </w:tc>
        <w:tc>
          <w:tcPr>
            <w:tcW w:w="443" w:type="pct"/>
            <w:vAlign w:val="center"/>
          </w:tcPr>
          <w:p w14:paraId="4C7CDC99">
            <w:pPr>
              <w:pStyle w:val="33"/>
              <w:rPr>
                <w:color w:val="auto"/>
              </w:rPr>
            </w:pPr>
            <w:r>
              <w:rPr>
                <w:color w:val="auto"/>
              </w:rPr>
              <w:t>颗粒物</w:t>
            </w:r>
          </w:p>
        </w:tc>
        <w:tc>
          <w:tcPr>
            <w:tcW w:w="658" w:type="pct"/>
            <w:vAlign w:val="center"/>
          </w:tcPr>
          <w:p w14:paraId="649CCB5F">
            <w:pPr>
              <w:pStyle w:val="33"/>
              <w:rPr>
                <w:color w:val="auto"/>
              </w:rPr>
            </w:pPr>
            <w:r>
              <w:rPr>
                <w:rFonts w:hint="eastAsia"/>
                <w:color w:val="auto"/>
              </w:rPr>
              <w:t>／</w:t>
            </w:r>
          </w:p>
        </w:tc>
        <w:tc>
          <w:tcPr>
            <w:tcW w:w="405" w:type="pct"/>
            <w:vAlign w:val="center"/>
          </w:tcPr>
          <w:p w14:paraId="6D27C148">
            <w:pPr>
              <w:pStyle w:val="33"/>
              <w:rPr>
                <w:color w:val="auto"/>
              </w:rPr>
            </w:pPr>
            <w:r>
              <w:rPr>
                <w:color w:val="auto"/>
              </w:rPr>
              <w:t>2.37</w:t>
            </w:r>
          </w:p>
        </w:tc>
        <w:tc>
          <w:tcPr>
            <w:tcW w:w="456" w:type="pct"/>
            <w:vAlign w:val="center"/>
          </w:tcPr>
          <w:p w14:paraId="292ECFFC">
            <w:pPr>
              <w:pStyle w:val="33"/>
              <w:rPr>
                <w:color w:val="auto"/>
              </w:rPr>
            </w:pPr>
            <w:r>
              <w:rPr>
                <w:color w:val="auto"/>
              </w:rPr>
              <w:t>19.35</w:t>
            </w:r>
          </w:p>
        </w:tc>
        <w:tc>
          <w:tcPr>
            <w:tcW w:w="459" w:type="pct"/>
            <w:vMerge w:val="continue"/>
            <w:vAlign w:val="center"/>
          </w:tcPr>
          <w:p w14:paraId="03EDAE86">
            <w:pPr>
              <w:pStyle w:val="33"/>
              <w:rPr>
                <w:color w:val="auto"/>
              </w:rPr>
            </w:pPr>
          </w:p>
        </w:tc>
        <w:tc>
          <w:tcPr>
            <w:tcW w:w="454" w:type="pct"/>
            <w:vMerge w:val="continue"/>
            <w:vAlign w:val="center"/>
          </w:tcPr>
          <w:p w14:paraId="504CF217">
            <w:pPr>
              <w:pStyle w:val="33"/>
              <w:rPr>
                <w:color w:val="auto"/>
              </w:rPr>
            </w:pPr>
          </w:p>
        </w:tc>
        <w:tc>
          <w:tcPr>
            <w:tcW w:w="1252" w:type="pct"/>
            <w:vMerge w:val="continue"/>
            <w:vAlign w:val="center"/>
          </w:tcPr>
          <w:p w14:paraId="32F04B07">
            <w:pPr>
              <w:pStyle w:val="33"/>
              <w:rPr>
                <w:color w:val="auto"/>
              </w:rPr>
            </w:pPr>
          </w:p>
        </w:tc>
      </w:tr>
      <w:tr w14:paraId="1E9A7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63701BC">
            <w:pPr>
              <w:pStyle w:val="33"/>
              <w:rPr>
                <w:color w:val="auto"/>
              </w:rPr>
            </w:pPr>
          </w:p>
        </w:tc>
        <w:tc>
          <w:tcPr>
            <w:tcW w:w="591" w:type="pct"/>
            <w:gridSpan w:val="3"/>
            <w:vAlign w:val="center"/>
          </w:tcPr>
          <w:p w14:paraId="174A72F3">
            <w:pPr>
              <w:pStyle w:val="33"/>
              <w:rPr>
                <w:color w:val="auto"/>
              </w:rPr>
            </w:pPr>
            <w:r>
              <w:rPr>
                <w:color w:val="auto"/>
              </w:rPr>
              <w:t>淋膜纸车间</w:t>
            </w:r>
          </w:p>
        </w:tc>
        <w:tc>
          <w:tcPr>
            <w:tcW w:w="443" w:type="pct"/>
            <w:vAlign w:val="center"/>
          </w:tcPr>
          <w:p w14:paraId="1E288C1A">
            <w:pPr>
              <w:pStyle w:val="33"/>
              <w:rPr>
                <w:color w:val="auto"/>
              </w:rPr>
            </w:pPr>
            <w:r>
              <w:rPr>
                <w:rFonts w:hint="eastAsia"/>
                <w:color w:val="auto"/>
              </w:rPr>
              <w:t>非甲烷总烃</w:t>
            </w:r>
          </w:p>
        </w:tc>
        <w:tc>
          <w:tcPr>
            <w:tcW w:w="658" w:type="pct"/>
            <w:vAlign w:val="center"/>
          </w:tcPr>
          <w:p w14:paraId="1684E232">
            <w:pPr>
              <w:pStyle w:val="33"/>
              <w:rPr>
                <w:color w:val="auto"/>
              </w:rPr>
            </w:pPr>
            <w:r>
              <w:rPr>
                <w:rFonts w:hint="eastAsia"/>
                <w:color w:val="auto"/>
              </w:rPr>
              <w:t>／</w:t>
            </w:r>
          </w:p>
        </w:tc>
        <w:tc>
          <w:tcPr>
            <w:tcW w:w="405" w:type="pct"/>
            <w:vAlign w:val="center"/>
          </w:tcPr>
          <w:p w14:paraId="1493814A">
            <w:pPr>
              <w:pStyle w:val="33"/>
              <w:rPr>
                <w:color w:val="auto"/>
              </w:rPr>
            </w:pPr>
            <w:r>
              <w:rPr>
                <w:color w:val="auto"/>
              </w:rPr>
              <w:t>0.012</w:t>
            </w:r>
          </w:p>
        </w:tc>
        <w:tc>
          <w:tcPr>
            <w:tcW w:w="456" w:type="pct"/>
            <w:vAlign w:val="center"/>
          </w:tcPr>
          <w:p w14:paraId="79D39E10">
            <w:pPr>
              <w:pStyle w:val="33"/>
              <w:rPr>
                <w:color w:val="auto"/>
              </w:rPr>
            </w:pPr>
            <w:r>
              <w:rPr>
                <w:color w:val="auto"/>
              </w:rPr>
              <w:t>0.098</w:t>
            </w:r>
          </w:p>
        </w:tc>
        <w:tc>
          <w:tcPr>
            <w:tcW w:w="459" w:type="pct"/>
            <w:vAlign w:val="center"/>
          </w:tcPr>
          <w:p w14:paraId="4663D621">
            <w:pPr>
              <w:pStyle w:val="33"/>
              <w:rPr>
                <w:color w:val="auto"/>
              </w:rPr>
            </w:pPr>
            <w:r>
              <w:rPr>
                <w:rFonts w:hint="eastAsia"/>
                <w:color w:val="auto"/>
              </w:rPr>
              <w:t>/</w:t>
            </w:r>
          </w:p>
        </w:tc>
        <w:tc>
          <w:tcPr>
            <w:tcW w:w="454" w:type="pct"/>
            <w:vMerge w:val="continue"/>
            <w:vAlign w:val="center"/>
          </w:tcPr>
          <w:p w14:paraId="7F1A95D0">
            <w:pPr>
              <w:pStyle w:val="33"/>
              <w:rPr>
                <w:color w:val="auto"/>
              </w:rPr>
            </w:pPr>
          </w:p>
        </w:tc>
        <w:tc>
          <w:tcPr>
            <w:tcW w:w="1252" w:type="pct"/>
            <w:vAlign w:val="center"/>
          </w:tcPr>
          <w:p w14:paraId="39F246FF">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新污染源大气污染物排放限值中无组织排放监控浓度限值</w:t>
            </w:r>
          </w:p>
        </w:tc>
      </w:tr>
      <w:tr w14:paraId="4D88A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6D36CED">
            <w:pPr>
              <w:pStyle w:val="33"/>
              <w:rPr>
                <w:color w:val="auto"/>
              </w:rPr>
            </w:pPr>
          </w:p>
        </w:tc>
        <w:tc>
          <w:tcPr>
            <w:tcW w:w="591" w:type="pct"/>
            <w:gridSpan w:val="3"/>
            <w:vMerge w:val="restart"/>
            <w:vAlign w:val="center"/>
          </w:tcPr>
          <w:p w14:paraId="18068F99">
            <w:pPr>
              <w:pStyle w:val="33"/>
              <w:rPr>
                <w:color w:val="auto"/>
              </w:rPr>
            </w:pPr>
            <w:r>
              <w:rPr>
                <w:color w:val="auto"/>
              </w:rPr>
              <w:t>污水处理站</w:t>
            </w:r>
          </w:p>
        </w:tc>
        <w:tc>
          <w:tcPr>
            <w:tcW w:w="443" w:type="pct"/>
            <w:vAlign w:val="center"/>
          </w:tcPr>
          <w:p w14:paraId="4EBFAFB5">
            <w:pPr>
              <w:pStyle w:val="33"/>
              <w:rPr>
                <w:color w:val="auto"/>
              </w:rPr>
            </w:pPr>
            <w:r>
              <w:rPr>
                <w:color w:val="auto"/>
              </w:rPr>
              <w:t>NH</w:t>
            </w:r>
            <w:r>
              <w:rPr>
                <w:color w:val="auto"/>
                <w:vertAlign w:val="subscript"/>
              </w:rPr>
              <w:t>3</w:t>
            </w:r>
          </w:p>
        </w:tc>
        <w:tc>
          <w:tcPr>
            <w:tcW w:w="658" w:type="pct"/>
            <w:vAlign w:val="center"/>
          </w:tcPr>
          <w:p w14:paraId="5A71CC70">
            <w:pPr>
              <w:pStyle w:val="33"/>
              <w:rPr>
                <w:color w:val="auto"/>
              </w:rPr>
            </w:pPr>
            <w:r>
              <w:rPr>
                <w:rFonts w:hint="eastAsia"/>
                <w:color w:val="auto"/>
              </w:rPr>
              <w:t>／</w:t>
            </w:r>
          </w:p>
        </w:tc>
        <w:tc>
          <w:tcPr>
            <w:tcW w:w="405" w:type="pct"/>
            <w:vAlign w:val="center"/>
          </w:tcPr>
          <w:p w14:paraId="2AC48567">
            <w:pPr>
              <w:pStyle w:val="33"/>
              <w:rPr>
                <w:color w:val="auto"/>
              </w:rPr>
            </w:pPr>
            <w:r>
              <w:rPr>
                <w:color w:val="auto"/>
              </w:rPr>
              <w:t>0.00352</w:t>
            </w:r>
          </w:p>
        </w:tc>
        <w:tc>
          <w:tcPr>
            <w:tcW w:w="456" w:type="pct"/>
            <w:vAlign w:val="center"/>
          </w:tcPr>
          <w:p w14:paraId="503E814E">
            <w:pPr>
              <w:pStyle w:val="33"/>
              <w:rPr>
                <w:color w:val="auto"/>
              </w:rPr>
            </w:pPr>
            <w:r>
              <w:rPr>
                <w:color w:val="auto"/>
              </w:rPr>
              <w:t>0.03081</w:t>
            </w:r>
          </w:p>
        </w:tc>
        <w:tc>
          <w:tcPr>
            <w:tcW w:w="459" w:type="pct"/>
            <w:vMerge w:val="restart"/>
            <w:vAlign w:val="center"/>
          </w:tcPr>
          <w:p w14:paraId="08F372B8">
            <w:pPr>
              <w:pStyle w:val="33"/>
              <w:rPr>
                <w:color w:val="auto"/>
              </w:rPr>
            </w:pPr>
            <w:r>
              <w:rPr>
                <w:rFonts w:hint="eastAsia"/>
                <w:color w:val="auto"/>
              </w:rPr>
              <w:t>/</w:t>
            </w:r>
          </w:p>
        </w:tc>
        <w:tc>
          <w:tcPr>
            <w:tcW w:w="454" w:type="pct"/>
            <w:vMerge w:val="continue"/>
            <w:vAlign w:val="center"/>
          </w:tcPr>
          <w:p w14:paraId="7E84A71A">
            <w:pPr>
              <w:pStyle w:val="33"/>
              <w:rPr>
                <w:color w:val="auto"/>
              </w:rPr>
            </w:pPr>
          </w:p>
        </w:tc>
        <w:tc>
          <w:tcPr>
            <w:tcW w:w="1252" w:type="pct"/>
            <w:vMerge w:val="restart"/>
            <w:vAlign w:val="center"/>
          </w:tcPr>
          <w:p w14:paraId="420B7B5E">
            <w:pPr>
              <w:pStyle w:val="33"/>
              <w:rPr>
                <w:color w:val="auto"/>
              </w:rPr>
            </w:pPr>
            <w:r>
              <w:rPr>
                <w:rFonts w:hint="eastAsia"/>
                <w:color w:val="auto"/>
              </w:rPr>
              <w:t>《恶臭污染物排放标准》（GB14554-93）表1中“新扩改建”二级标准</w:t>
            </w:r>
          </w:p>
        </w:tc>
      </w:tr>
      <w:tr w14:paraId="21243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0E731423">
            <w:pPr>
              <w:pStyle w:val="33"/>
              <w:rPr>
                <w:color w:val="auto"/>
              </w:rPr>
            </w:pPr>
          </w:p>
        </w:tc>
        <w:tc>
          <w:tcPr>
            <w:tcW w:w="591" w:type="pct"/>
            <w:gridSpan w:val="3"/>
            <w:vMerge w:val="continue"/>
            <w:vAlign w:val="center"/>
          </w:tcPr>
          <w:p w14:paraId="6FD82F25">
            <w:pPr>
              <w:pStyle w:val="33"/>
              <w:rPr>
                <w:color w:val="auto"/>
              </w:rPr>
            </w:pPr>
          </w:p>
        </w:tc>
        <w:tc>
          <w:tcPr>
            <w:tcW w:w="443" w:type="pct"/>
            <w:vAlign w:val="center"/>
          </w:tcPr>
          <w:p w14:paraId="539593A1">
            <w:pPr>
              <w:pStyle w:val="33"/>
              <w:rPr>
                <w:color w:val="auto"/>
              </w:rPr>
            </w:pPr>
            <w:r>
              <w:rPr>
                <w:color w:val="auto"/>
              </w:rPr>
              <w:t>H</w:t>
            </w:r>
            <w:r>
              <w:rPr>
                <w:color w:val="auto"/>
                <w:vertAlign w:val="subscript"/>
              </w:rPr>
              <w:t>2</w:t>
            </w:r>
            <w:r>
              <w:rPr>
                <w:color w:val="auto"/>
              </w:rPr>
              <w:t>S</w:t>
            </w:r>
          </w:p>
        </w:tc>
        <w:tc>
          <w:tcPr>
            <w:tcW w:w="658" w:type="pct"/>
            <w:vAlign w:val="center"/>
          </w:tcPr>
          <w:p w14:paraId="71E7F458">
            <w:pPr>
              <w:pStyle w:val="33"/>
              <w:rPr>
                <w:color w:val="auto"/>
              </w:rPr>
            </w:pPr>
            <w:r>
              <w:rPr>
                <w:rFonts w:hint="eastAsia"/>
                <w:color w:val="auto"/>
              </w:rPr>
              <w:t>／</w:t>
            </w:r>
          </w:p>
        </w:tc>
        <w:tc>
          <w:tcPr>
            <w:tcW w:w="405" w:type="pct"/>
            <w:vAlign w:val="center"/>
          </w:tcPr>
          <w:p w14:paraId="2C4D64A0">
            <w:pPr>
              <w:pStyle w:val="33"/>
              <w:rPr>
                <w:color w:val="auto"/>
              </w:rPr>
            </w:pPr>
            <w:r>
              <w:rPr>
                <w:color w:val="auto"/>
              </w:rPr>
              <w:t>0.00324</w:t>
            </w:r>
          </w:p>
        </w:tc>
        <w:tc>
          <w:tcPr>
            <w:tcW w:w="456" w:type="pct"/>
            <w:vAlign w:val="center"/>
          </w:tcPr>
          <w:p w14:paraId="301A1F80">
            <w:pPr>
              <w:pStyle w:val="33"/>
              <w:rPr>
                <w:color w:val="auto"/>
              </w:rPr>
            </w:pPr>
            <w:r>
              <w:rPr>
                <w:color w:val="auto"/>
              </w:rPr>
              <w:t>0.02835</w:t>
            </w:r>
          </w:p>
        </w:tc>
        <w:tc>
          <w:tcPr>
            <w:tcW w:w="459" w:type="pct"/>
            <w:vMerge w:val="continue"/>
            <w:vAlign w:val="center"/>
          </w:tcPr>
          <w:p w14:paraId="75372F03">
            <w:pPr>
              <w:pStyle w:val="33"/>
              <w:rPr>
                <w:color w:val="auto"/>
              </w:rPr>
            </w:pPr>
          </w:p>
        </w:tc>
        <w:tc>
          <w:tcPr>
            <w:tcW w:w="454" w:type="pct"/>
            <w:vMerge w:val="continue"/>
            <w:vAlign w:val="center"/>
          </w:tcPr>
          <w:p w14:paraId="61138B29">
            <w:pPr>
              <w:pStyle w:val="33"/>
              <w:rPr>
                <w:color w:val="auto"/>
              </w:rPr>
            </w:pPr>
          </w:p>
        </w:tc>
        <w:tc>
          <w:tcPr>
            <w:tcW w:w="1252" w:type="pct"/>
            <w:vMerge w:val="continue"/>
            <w:vAlign w:val="center"/>
          </w:tcPr>
          <w:p w14:paraId="45CE9483">
            <w:pPr>
              <w:pStyle w:val="33"/>
              <w:rPr>
                <w:color w:val="auto"/>
              </w:rPr>
            </w:pPr>
          </w:p>
        </w:tc>
      </w:tr>
      <w:tr w14:paraId="18480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restart"/>
            <w:vAlign w:val="center"/>
          </w:tcPr>
          <w:p w14:paraId="06AAD040">
            <w:pPr>
              <w:pStyle w:val="33"/>
              <w:rPr>
                <w:color w:val="auto"/>
              </w:rPr>
            </w:pPr>
            <w:r>
              <w:rPr>
                <w:color w:val="auto"/>
              </w:rPr>
              <w:t>废水</w:t>
            </w:r>
          </w:p>
        </w:tc>
        <w:tc>
          <w:tcPr>
            <w:tcW w:w="591" w:type="pct"/>
            <w:gridSpan w:val="3"/>
            <w:vMerge w:val="restart"/>
            <w:vAlign w:val="center"/>
          </w:tcPr>
          <w:p w14:paraId="6203CDE9">
            <w:pPr>
              <w:pStyle w:val="33"/>
              <w:rPr>
                <w:color w:val="auto"/>
              </w:rPr>
            </w:pPr>
            <w:r>
              <w:rPr>
                <w:color w:val="auto"/>
              </w:rPr>
              <w:t>综合废水（</w:t>
            </w:r>
            <w:r>
              <w:rPr>
                <w:rFonts w:hint="eastAsia"/>
                <w:color w:val="auto"/>
              </w:rPr>
              <w:t>生产废水、生活污水</w:t>
            </w:r>
            <w:r>
              <w:rPr>
                <w:color w:val="auto"/>
              </w:rPr>
              <w:t>）</w:t>
            </w:r>
          </w:p>
        </w:tc>
        <w:tc>
          <w:tcPr>
            <w:tcW w:w="443" w:type="pct"/>
            <w:vAlign w:val="center"/>
          </w:tcPr>
          <w:p w14:paraId="46FF595B">
            <w:pPr>
              <w:pStyle w:val="33"/>
              <w:rPr>
                <w:color w:val="auto"/>
              </w:rPr>
            </w:pPr>
            <w:r>
              <w:rPr>
                <w:color w:val="auto"/>
              </w:rPr>
              <w:t>COD</w:t>
            </w:r>
          </w:p>
        </w:tc>
        <w:tc>
          <w:tcPr>
            <w:tcW w:w="658" w:type="pct"/>
            <w:vAlign w:val="center"/>
          </w:tcPr>
          <w:p w14:paraId="1570E64C">
            <w:pPr>
              <w:pStyle w:val="33"/>
              <w:rPr>
                <w:color w:val="auto"/>
              </w:rPr>
            </w:pPr>
            <w:r>
              <w:rPr>
                <w:color w:val="auto"/>
              </w:rPr>
              <w:t>55.73</w:t>
            </w:r>
          </w:p>
        </w:tc>
        <w:tc>
          <w:tcPr>
            <w:tcW w:w="405" w:type="pct"/>
            <w:vAlign w:val="center"/>
          </w:tcPr>
          <w:p w14:paraId="4D13DF9C">
            <w:pPr>
              <w:pStyle w:val="33"/>
              <w:rPr>
                <w:color w:val="auto"/>
              </w:rPr>
            </w:pPr>
            <w:r>
              <w:rPr>
                <w:color w:val="auto"/>
              </w:rPr>
              <w:t>/</w:t>
            </w:r>
          </w:p>
        </w:tc>
        <w:tc>
          <w:tcPr>
            <w:tcW w:w="456" w:type="pct"/>
            <w:vAlign w:val="center"/>
          </w:tcPr>
          <w:p w14:paraId="0E763E90">
            <w:pPr>
              <w:pStyle w:val="33"/>
              <w:rPr>
                <w:color w:val="auto"/>
              </w:rPr>
            </w:pPr>
            <w:r>
              <w:rPr>
                <w:color w:val="auto"/>
              </w:rPr>
              <w:t>69.69</w:t>
            </w:r>
          </w:p>
        </w:tc>
        <w:tc>
          <w:tcPr>
            <w:tcW w:w="459" w:type="pct"/>
            <w:vMerge w:val="restart"/>
            <w:vAlign w:val="center"/>
          </w:tcPr>
          <w:p w14:paraId="694ADA73">
            <w:pPr>
              <w:pStyle w:val="33"/>
              <w:rPr>
                <w:color w:val="auto"/>
              </w:rPr>
            </w:pPr>
            <w:r>
              <w:rPr>
                <w:rFonts w:hint="eastAsia"/>
                <w:color w:val="auto"/>
              </w:rPr>
              <w:t>“混凝沉淀+好氧处理（SBR工艺）+物化”三级处理工艺</w:t>
            </w:r>
          </w:p>
        </w:tc>
        <w:tc>
          <w:tcPr>
            <w:tcW w:w="454" w:type="pct"/>
            <w:vMerge w:val="restart"/>
            <w:vAlign w:val="center"/>
          </w:tcPr>
          <w:p w14:paraId="77AB5A32">
            <w:pPr>
              <w:pStyle w:val="33"/>
              <w:rPr>
                <w:color w:val="auto"/>
              </w:rPr>
            </w:pPr>
            <w:r>
              <w:rPr>
                <w:rFonts w:hint="eastAsia"/>
                <w:color w:val="auto"/>
              </w:rPr>
              <w:t>排海</w:t>
            </w:r>
          </w:p>
        </w:tc>
        <w:tc>
          <w:tcPr>
            <w:tcW w:w="1252" w:type="pct"/>
            <w:vMerge w:val="restart"/>
            <w:vAlign w:val="center"/>
          </w:tcPr>
          <w:p w14:paraId="03B02A00">
            <w:pPr>
              <w:pStyle w:val="33"/>
              <w:rPr>
                <w:color w:val="auto"/>
              </w:rPr>
            </w:pPr>
            <w:r>
              <w:rPr>
                <w:rFonts w:hint="eastAsia"/>
                <w:color w:val="auto"/>
              </w:rPr>
              <w:t>《制浆造纸工业水污染物排放标准》（GB3544- 2008）表2中“新建制浆造纸企业”排放标准</w:t>
            </w:r>
          </w:p>
        </w:tc>
      </w:tr>
      <w:tr w14:paraId="402A7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1DA683B7">
            <w:pPr>
              <w:pStyle w:val="33"/>
              <w:rPr>
                <w:color w:val="auto"/>
              </w:rPr>
            </w:pPr>
          </w:p>
        </w:tc>
        <w:tc>
          <w:tcPr>
            <w:tcW w:w="591" w:type="pct"/>
            <w:gridSpan w:val="3"/>
            <w:vMerge w:val="continue"/>
            <w:vAlign w:val="center"/>
          </w:tcPr>
          <w:p w14:paraId="1817CFFC">
            <w:pPr>
              <w:pStyle w:val="33"/>
              <w:rPr>
                <w:color w:val="auto"/>
              </w:rPr>
            </w:pPr>
          </w:p>
        </w:tc>
        <w:tc>
          <w:tcPr>
            <w:tcW w:w="443" w:type="pct"/>
            <w:vAlign w:val="center"/>
          </w:tcPr>
          <w:p w14:paraId="6492BB7B">
            <w:pPr>
              <w:pStyle w:val="33"/>
              <w:rPr>
                <w:color w:val="auto"/>
              </w:rPr>
            </w:pPr>
            <w:r>
              <w:rPr>
                <w:color w:val="auto"/>
              </w:rPr>
              <w:t>BOD</w:t>
            </w:r>
            <w:r>
              <w:rPr>
                <w:color w:val="auto"/>
                <w:vertAlign w:val="subscript"/>
              </w:rPr>
              <w:t>5</w:t>
            </w:r>
          </w:p>
        </w:tc>
        <w:tc>
          <w:tcPr>
            <w:tcW w:w="658" w:type="pct"/>
            <w:vAlign w:val="center"/>
          </w:tcPr>
          <w:p w14:paraId="148F66B6">
            <w:pPr>
              <w:pStyle w:val="33"/>
              <w:rPr>
                <w:color w:val="auto"/>
              </w:rPr>
            </w:pPr>
            <w:r>
              <w:rPr>
                <w:color w:val="auto"/>
              </w:rPr>
              <w:t>25.65</w:t>
            </w:r>
          </w:p>
        </w:tc>
        <w:tc>
          <w:tcPr>
            <w:tcW w:w="405" w:type="pct"/>
            <w:vAlign w:val="center"/>
          </w:tcPr>
          <w:p w14:paraId="6C2F3BB7">
            <w:pPr>
              <w:pStyle w:val="33"/>
              <w:rPr>
                <w:color w:val="auto"/>
              </w:rPr>
            </w:pPr>
            <w:r>
              <w:rPr>
                <w:color w:val="auto"/>
              </w:rPr>
              <w:t>/</w:t>
            </w:r>
          </w:p>
        </w:tc>
        <w:tc>
          <w:tcPr>
            <w:tcW w:w="456" w:type="pct"/>
            <w:vAlign w:val="center"/>
          </w:tcPr>
          <w:p w14:paraId="6B12DA1B">
            <w:pPr>
              <w:pStyle w:val="33"/>
              <w:rPr>
                <w:color w:val="auto"/>
              </w:rPr>
            </w:pPr>
            <w:r>
              <w:rPr>
                <w:color w:val="auto"/>
              </w:rPr>
              <w:t>32.07</w:t>
            </w:r>
          </w:p>
        </w:tc>
        <w:tc>
          <w:tcPr>
            <w:tcW w:w="459" w:type="pct"/>
            <w:vMerge w:val="continue"/>
            <w:vAlign w:val="center"/>
          </w:tcPr>
          <w:p w14:paraId="4D463D1C">
            <w:pPr>
              <w:pStyle w:val="33"/>
              <w:rPr>
                <w:color w:val="auto"/>
              </w:rPr>
            </w:pPr>
          </w:p>
        </w:tc>
        <w:tc>
          <w:tcPr>
            <w:tcW w:w="454" w:type="pct"/>
            <w:vMerge w:val="continue"/>
            <w:vAlign w:val="center"/>
          </w:tcPr>
          <w:p w14:paraId="1AA34C64">
            <w:pPr>
              <w:pStyle w:val="33"/>
              <w:rPr>
                <w:color w:val="auto"/>
              </w:rPr>
            </w:pPr>
          </w:p>
        </w:tc>
        <w:tc>
          <w:tcPr>
            <w:tcW w:w="1252" w:type="pct"/>
            <w:vMerge w:val="continue"/>
            <w:vAlign w:val="center"/>
          </w:tcPr>
          <w:p w14:paraId="05B65D6A">
            <w:pPr>
              <w:pStyle w:val="33"/>
              <w:rPr>
                <w:color w:val="auto"/>
              </w:rPr>
            </w:pPr>
          </w:p>
        </w:tc>
      </w:tr>
      <w:tr w14:paraId="7ECFA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7425BEC">
            <w:pPr>
              <w:pStyle w:val="33"/>
              <w:rPr>
                <w:color w:val="auto"/>
              </w:rPr>
            </w:pPr>
          </w:p>
        </w:tc>
        <w:tc>
          <w:tcPr>
            <w:tcW w:w="591" w:type="pct"/>
            <w:gridSpan w:val="3"/>
            <w:vMerge w:val="continue"/>
            <w:vAlign w:val="center"/>
          </w:tcPr>
          <w:p w14:paraId="07CD4647">
            <w:pPr>
              <w:pStyle w:val="33"/>
              <w:rPr>
                <w:color w:val="auto"/>
              </w:rPr>
            </w:pPr>
          </w:p>
        </w:tc>
        <w:tc>
          <w:tcPr>
            <w:tcW w:w="443" w:type="pct"/>
            <w:vAlign w:val="center"/>
          </w:tcPr>
          <w:p w14:paraId="690DC797">
            <w:pPr>
              <w:pStyle w:val="33"/>
              <w:rPr>
                <w:color w:val="auto"/>
              </w:rPr>
            </w:pPr>
            <w:r>
              <w:rPr>
                <w:color w:val="auto"/>
              </w:rPr>
              <w:t>SS</w:t>
            </w:r>
          </w:p>
        </w:tc>
        <w:tc>
          <w:tcPr>
            <w:tcW w:w="658" w:type="pct"/>
            <w:vAlign w:val="center"/>
          </w:tcPr>
          <w:p w14:paraId="1D1B0060">
            <w:pPr>
              <w:pStyle w:val="33"/>
              <w:rPr>
                <w:color w:val="auto"/>
              </w:rPr>
            </w:pPr>
            <w:r>
              <w:rPr>
                <w:color w:val="auto"/>
              </w:rPr>
              <w:t>44.57</w:t>
            </w:r>
          </w:p>
        </w:tc>
        <w:tc>
          <w:tcPr>
            <w:tcW w:w="405" w:type="pct"/>
            <w:vAlign w:val="center"/>
          </w:tcPr>
          <w:p w14:paraId="50AED5BA">
            <w:pPr>
              <w:pStyle w:val="33"/>
              <w:rPr>
                <w:color w:val="auto"/>
              </w:rPr>
            </w:pPr>
            <w:r>
              <w:rPr>
                <w:color w:val="auto"/>
              </w:rPr>
              <w:t>/</w:t>
            </w:r>
          </w:p>
        </w:tc>
        <w:tc>
          <w:tcPr>
            <w:tcW w:w="456" w:type="pct"/>
            <w:vAlign w:val="center"/>
          </w:tcPr>
          <w:p w14:paraId="5E4A33A9">
            <w:pPr>
              <w:pStyle w:val="33"/>
              <w:rPr>
                <w:color w:val="auto"/>
              </w:rPr>
            </w:pPr>
            <w:r>
              <w:rPr>
                <w:color w:val="auto"/>
              </w:rPr>
              <w:t>55.73</w:t>
            </w:r>
          </w:p>
        </w:tc>
        <w:tc>
          <w:tcPr>
            <w:tcW w:w="459" w:type="pct"/>
            <w:vMerge w:val="continue"/>
            <w:vAlign w:val="center"/>
          </w:tcPr>
          <w:p w14:paraId="5FACB43B">
            <w:pPr>
              <w:pStyle w:val="33"/>
              <w:rPr>
                <w:color w:val="auto"/>
              </w:rPr>
            </w:pPr>
          </w:p>
        </w:tc>
        <w:tc>
          <w:tcPr>
            <w:tcW w:w="454" w:type="pct"/>
            <w:vMerge w:val="continue"/>
            <w:vAlign w:val="center"/>
          </w:tcPr>
          <w:p w14:paraId="7F8B3377">
            <w:pPr>
              <w:pStyle w:val="33"/>
              <w:rPr>
                <w:color w:val="auto"/>
              </w:rPr>
            </w:pPr>
          </w:p>
        </w:tc>
        <w:tc>
          <w:tcPr>
            <w:tcW w:w="1252" w:type="pct"/>
            <w:vMerge w:val="continue"/>
            <w:vAlign w:val="center"/>
          </w:tcPr>
          <w:p w14:paraId="1A425BFC">
            <w:pPr>
              <w:pStyle w:val="33"/>
              <w:rPr>
                <w:color w:val="auto"/>
              </w:rPr>
            </w:pPr>
          </w:p>
        </w:tc>
      </w:tr>
      <w:tr w14:paraId="44E9B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2" w:type="pct"/>
            <w:vMerge w:val="continue"/>
            <w:vAlign w:val="center"/>
          </w:tcPr>
          <w:p w14:paraId="7E5A778D">
            <w:pPr>
              <w:pStyle w:val="33"/>
              <w:rPr>
                <w:color w:val="auto"/>
              </w:rPr>
            </w:pPr>
          </w:p>
        </w:tc>
        <w:tc>
          <w:tcPr>
            <w:tcW w:w="591" w:type="pct"/>
            <w:gridSpan w:val="3"/>
            <w:vMerge w:val="continue"/>
            <w:vAlign w:val="center"/>
          </w:tcPr>
          <w:p w14:paraId="6FA94A71">
            <w:pPr>
              <w:pStyle w:val="33"/>
              <w:rPr>
                <w:color w:val="auto"/>
              </w:rPr>
            </w:pPr>
          </w:p>
        </w:tc>
        <w:tc>
          <w:tcPr>
            <w:tcW w:w="443" w:type="pct"/>
            <w:vAlign w:val="center"/>
          </w:tcPr>
          <w:p w14:paraId="4C99B262">
            <w:pPr>
              <w:pStyle w:val="33"/>
              <w:rPr>
                <w:color w:val="auto"/>
              </w:rPr>
            </w:pPr>
            <w:r>
              <w:rPr>
                <w:color w:val="auto"/>
              </w:rPr>
              <w:t>NH</w:t>
            </w:r>
            <w:r>
              <w:rPr>
                <w:color w:val="auto"/>
                <w:vertAlign w:val="subscript"/>
              </w:rPr>
              <w:t>3</w:t>
            </w:r>
            <w:r>
              <w:rPr>
                <w:color w:val="auto"/>
              </w:rPr>
              <w:t>-N</w:t>
            </w:r>
          </w:p>
        </w:tc>
        <w:tc>
          <w:tcPr>
            <w:tcW w:w="658" w:type="pct"/>
            <w:vAlign w:val="center"/>
          </w:tcPr>
          <w:p w14:paraId="57F50443">
            <w:pPr>
              <w:pStyle w:val="33"/>
              <w:rPr>
                <w:color w:val="auto"/>
              </w:rPr>
            </w:pPr>
            <w:r>
              <w:rPr>
                <w:color w:val="auto"/>
              </w:rPr>
              <w:t>0.912</w:t>
            </w:r>
          </w:p>
        </w:tc>
        <w:tc>
          <w:tcPr>
            <w:tcW w:w="405" w:type="pct"/>
            <w:vAlign w:val="center"/>
          </w:tcPr>
          <w:p w14:paraId="3F5D31A5">
            <w:pPr>
              <w:pStyle w:val="33"/>
              <w:rPr>
                <w:color w:val="auto"/>
              </w:rPr>
            </w:pPr>
            <w:r>
              <w:rPr>
                <w:color w:val="auto"/>
              </w:rPr>
              <w:t>/</w:t>
            </w:r>
          </w:p>
        </w:tc>
        <w:tc>
          <w:tcPr>
            <w:tcW w:w="456" w:type="pct"/>
            <w:vAlign w:val="center"/>
          </w:tcPr>
          <w:p w14:paraId="75464AD3">
            <w:pPr>
              <w:pStyle w:val="33"/>
              <w:rPr>
                <w:color w:val="auto"/>
              </w:rPr>
            </w:pPr>
            <w:r>
              <w:rPr>
                <w:color w:val="auto"/>
              </w:rPr>
              <w:t>1.14</w:t>
            </w:r>
          </w:p>
        </w:tc>
        <w:tc>
          <w:tcPr>
            <w:tcW w:w="459" w:type="pct"/>
            <w:vMerge w:val="continue"/>
            <w:vAlign w:val="center"/>
          </w:tcPr>
          <w:p w14:paraId="24B17039">
            <w:pPr>
              <w:pStyle w:val="33"/>
              <w:rPr>
                <w:color w:val="auto"/>
              </w:rPr>
            </w:pPr>
          </w:p>
        </w:tc>
        <w:tc>
          <w:tcPr>
            <w:tcW w:w="454" w:type="pct"/>
            <w:vMerge w:val="continue"/>
            <w:vAlign w:val="center"/>
          </w:tcPr>
          <w:p w14:paraId="462B0004">
            <w:pPr>
              <w:pStyle w:val="33"/>
              <w:rPr>
                <w:color w:val="auto"/>
              </w:rPr>
            </w:pPr>
          </w:p>
        </w:tc>
        <w:tc>
          <w:tcPr>
            <w:tcW w:w="1252" w:type="pct"/>
            <w:vMerge w:val="continue"/>
            <w:vAlign w:val="center"/>
          </w:tcPr>
          <w:p w14:paraId="7AAC73F7">
            <w:pPr>
              <w:pStyle w:val="33"/>
              <w:rPr>
                <w:color w:val="auto"/>
              </w:rPr>
            </w:pPr>
          </w:p>
        </w:tc>
      </w:tr>
      <w:tr w14:paraId="6981C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54C82ADA">
            <w:pPr>
              <w:pStyle w:val="33"/>
              <w:rPr>
                <w:color w:val="auto"/>
              </w:rPr>
            </w:pPr>
          </w:p>
        </w:tc>
        <w:tc>
          <w:tcPr>
            <w:tcW w:w="591" w:type="pct"/>
            <w:gridSpan w:val="3"/>
            <w:vMerge w:val="continue"/>
            <w:vAlign w:val="center"/>
          </w:tcPr>
          <w:p w14:paraId="1E20C5C3">
            <w:pPr>
              <w:pStyle w:val="33"/>
              <w:rPr>
                <w:color w:val="auto"/>
              </w:rPr>
            </w:pPr>
          </w:p>
        </w:tc>
        <w:tc>
          <w:tcPr>
            <w:tcW w:w="443" w:type="pct"/>
            <w:vAlign w:val="center"/>
          </w:tcPr>
          <w:p w14:paraId="6A4F9823">
            <w:pPr>
              <w:pStyle w:val="33"/>
              <w:rPr>
                <w:color w:val="auto"/>
              </w:rPr>
            </w:pPr>
            <w:r>
              <w:rPr>
                <w:color w:val="auto"/>
              </w:rPr>
              <w:t>TN</w:t>
            </w:r>
          </w:p>
        </w:tc>
        <w:tc>
          <w:tcPr>
            <w:tcW w:w="658" w:type="pct"/>
            <w:vAlign w:val="center"/>
          </w:tcPr>
          <w:p w14:paraId="58E80459">
            <w:pPr>
              <w:pStyle w:val="33"/>
              <w:rPr>
                <w:color w:val="auto"/>
              </w:rPr>
            </w:pPr>
            <w:r>
              <w:rPr>
                <w:color w:val="auto"/>
              </w:rPr>
              <w:t>1.37</w:t>
            </w:r>
          </w:p>
        </w:tc>
        <w:tc>
          <w:tcPr>
            <w:tcW w:w="405" w:type="pct"/>
            <w:vAlign w:val="center"/>
          </w:tcPr>
          <w:p w14:paraId="0A8C6FCD">
            <w:pPr>
              <w:pStyle w:val="33"/>
              <w:rPr>
                <w:color w:val="auto"/>
              </w:rPr>
            </w:pPr>
            <w:r>
              <w:rPr>
                <w:color w:val="auto"/>
              </w:rPr>
              <w:t>/</w:t>
            </w:r>
          </w:p>
        </w:tc>
        <w:tc>
          <w:tcPr>
            <w:tcW w:w="456" w:type="pct"/>
            <w:vAlign w:val="center"/>
          </w:tcPr>
          <w:p w14:paraId="48A9D354">
            <w:pPr>
              <w:pStyle w:val="33"/>
              <w:rPr>
                <w:color w:val="auto"/>
              </w:rPr>
            </w:pPr>
            <w:r>
              <w:rPr>
                <w:color w:val="auto"/>
              </w:rPr>
              <w:t>1.71</w:t>
            </w:r>
          </w:p>
        </w:tc>
        <w:tc>
          <w:tcPr>
            <w:tcW w:w="459" w:type="pct"/>
            <w:vMerge w:val="continue"/>
            <w:vAlign w:val="center"/>
          </w:tcPr>
          <w:p w14:paraId="361D1EC6">
            <w:pPr>
              <w:pStyle w:val="33"/>
              <w:rPr>
                <w:color w:val="auto"/>
              </w:rPr>
            </w:pPr>
          </w:p>
        </w:tc>
        <w:tc>
          <w:tcPr>
            <w:tcW w:w="454" w:type="pct"/>
            <w:vMerge w:val="continue"/>
            <w:vAlign w:val="center"/>
          </w:tcPr>
          <w:p w14:paraId="163262EE">
            <w:pPr>
              <w:pStyle w:val="33"/>
              <w:rPr>
                <w:color w:val="auto"/>
              </w:rPr>
            </w:pPr>
          </w:p>
        </w:tc>
        <w:tc>
          <w:tcPr>
            <w:tcW w:w="1252" w:type="pct"/>
            <w:vMerge w:val="continue"/>
            <w:vAlign w:val="center"/>
          </w:tcPr>
          <w:p w14:paraId="260A0580">
            <w:pPr>
              <w:pStyle w:val="33"/>
              <w:rPr>
                <w:color w:val="auto"/>
              </w:rPr>
            </w:pPr>
          </w:p>
        </w:tc>
      </w:tr>
      <w:tr w14:paraId="6AE0B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38D4686">
            <w:pPr>
              <w:pStyle w:val="33"/>
              <w:rPr>
                <w:color w:val="auto"/>
              </w:rPr>
            </w:pPr>
          </w:p>
        </w:tc>
        <w:tc>
          <w:tcPr>
            <w:tcW w:w="591" w:type="pct"/>
            <w:gridSpan w:val="3"/>
            <w:vMerge w:val="continue"/>
            <w:vAlign w:val="center"/>
          </w:tcPr>
          <w:p w14:paraId="4DD747FD">
            <w:pPr>
              <w:pStyle w:val="33"/>
              <w:rPr>
                <w:color w:val="auto"/>
              </w:rPr>
            </w:pPr>
          </w:p>
        </w:tc>
        <w:tc>
          <w:tcPr>
            <w:tcW w:w="443" w:type="pct"/>
            <w:vAlign w:val="center"/>
          </w:tcPr>
          <w:p w14:paraId="56F18F6C">
            <w:pPr>
              <w:pStyle w:val="33"/>
              <w:rPr>
                <w:color w:val="auto"/>
              </w:rPr>
            </w:pPr>
            <w:r>
              <w:rPr>
                <w:color w:val="auto"/>
              </w:rPr>
              <w:t>TP</w:t>
            </w:r>
          </w:p>
        </w:tc>
        <w:tc>
          <w:tcPr>
            <w:tcW w:w="658" w:type="pct"/>
            <w:vAlign w:val="center"/>
          </w:tcPr>
          <w:p w14:paraId="2742813D">
            <w:pPr>
              <w:pStyle w:val="33"/>
              <w:rPr>
                <w:color w:val="auto"/>
              </w:rPr>
            </w:pPr>
            <w:r>
              <w:rPr>
                <w:color w:val="auto"/>
              </w:rPr>
              <w:t>0.224</w:t>
            </w:r>
          </w:p>
        </w:tc>
        <w:tc>
          <w:tcPr>
            <w:tcW w:w="405" w:type="pct"/>
            <w:vAlign w:val="center"/>
          </w:tcPr>
          <w:p w14:paraId="0C180C43">
            <w:pPr>
              <w:pStyle w:val="33"/>
              <w:rPr>
                <w:color w:val="auto"/>
              </w:rPr>
            </w:pPr>
            <w:r>
              <w:rPr>
                <w:color w:val="auto"/>
              </w:rPr>
              <w:t>/</w:t>
            </w:r>
          </w:p>
        </w:tc>
        <w:tc>
          <w:tcPr>
            <w:tcW w:w="456" w:type="pct"/>
            <w:vAlign w:val="center"/>
          </w:tcPr>
          <w:p w14:paraId="119B1AA5">
            <w:pPr>
              <w:pStyle w:val="33"/>
              <w:rPr>
                <w:color w:val="auto"/>
              </w:rPr>
            </w:pPr>
            <w:r>
              <w:rPr>
                <w:color w:val="auto"/>
              </w:rPr>
              <w:t>0.28</w:t>
            </w:r>
          </w:p>
        </w:tc>
        <w:tc>
          <w:tcPr>
            <w:tcW w:w="459" w:type="pct"/>
            <w:vMerge w:val="continue"/>
            <w:vAlign w:val="center"/>
          </w:tcPr>
          <w:p w14:paraId="0659D72E">
            <w:pPr>
              <w:pStyle w:val="33"/>
              <w:rPr>
                <w:color w:val="auto"/>
              </w:rPr>
            </w:pPr>
          </w:p>
        </w:tc>
        <w:tc>
          <w:tcPr>
            <w:tcW w:w="454" w:type="pct"/>
            <w:vMerge w:val="continue"/>
            <w:vAlign w:val="center"/>
          </w:tcPr>
          <w:p w14:paraId="3FA0ABC5">
            <w:pPr>
              <w:pStyle w:val="33"/>
              <w:rPr>
                <w:color w:val="auto"/>
              </w:rPr>
            </w:pPr>
          </w:p>
        </w:tc>
        <w:tc>
          <w:tcPr>
            <w:tcW w:w="1252" w:type="pct"/>
            <w:vMerge w:val="continue"/>
            <w:vAlign w:val="center"/>
          </w:tcPr>
          <w:p w14:paraId="11EA76EA">
            <w:pPr>
              <w:pStyle w:val="33"/>
              <w:rPr>
                <w:color w:val="auto"/>
              </w:rPr>
            </w:pPr>
          </w:p>
        </w:tc>
      </w:tr>
      <w:tr w14:paraId="1AD52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restart"/>
            <w:vAlign w:val="center"/>
          </w:tcPr>
          <w:p w14:paraId="4A5B3777">
            <w:pPr>
              <w:pStyle w:val="33"/>
              <w:rPr>
                <w:color w:val="auto"/>
              </w:rPr>
            </w:pPr>
            <w:r>
              <w:rPr>
                <w:color w:val="auto"/>
              </w:rPr>
              <w:t>固体废物</w:t>
            </w:r>
          </w:p>
        </w:tc>
        <w:tc>
          <w:tcPr>
            <w:tcW w:w="591" w:type="pct"/>
            <w:gridSpan w:val="3"/>
            <w:vMerge w:val="restart"/>
            <w:vAlign w:val="center"/>
          </w:tcPr>
          <w:p w14:paraId="286B9F6E">
            <w:pPr>
              <w:pStyle w:val="33"/>
              <w:rPr>
                <w:color w:val="auto"/>
              </w:rPr>
            </w:pPr>
            <w:r>
              <w:rPr>
                <w:color w:val="auto"/>
              </w:rPr>
              <w:t>一般工业固体废物</w:t>
            </w:r>
          </w:p>
        </w:tc>
        <w:tc>
          <w:tcPr>
            <w:tcW w:w="443" w:type="pct"/>
            <w:vAlign w:val="center"/>
          </w:tcPr>
          <w:p w14:paraId="43D01893">
            <w:pPr>
              <w:pStyle w:val="33"/>
              <w:rPr>
                <w:color w:val="auto"/>
              </w:rPr>
            </w:pPr>
            <w:r>
              <w:rPr>
                <w:rFonts w:hint="eastAsia"/>
                <w:color w:val="auto"/>
              </w:rPr>
              <w:t>废铁丝</w:t>
            </w:r>
          </w:p>
        </w:tc>
        <w:tc>
          <w:tcPr>
            <w:tcW w:w="658" w:type="pct"/>
            <w:vAlign w:val="center"/>
          </w:tcPr>
          <w:p w14:paraId="178A37FC">
            <w:pPr>
              <w:pStyle w:val="33"/>
              <w:rPr>
                <w:color w:val="auto"/>
              </w:rPr>
            </w:pPr>
            <w:r>
              <w:rPr>
                <w:rFonts w:hint="eastAsia"/>
                <w:color w:val="auto"/>
              </w:rPr>
              <w:t>／</w:t>
            </w:r>
          </w:p>
        </w:tc>
        <w:tc>
          <w:tcPr>
            <w:tcW w:w="405" w:type="pct"/>
            <w:vAlign w:val="center"/>
          </w:tcPr>
          <w:p w14:paraId="214BA289">
            <w:pPr>
              <w:pStyle w:val="33"/>
              <w:rPr>
                <w:color w:val="auto"/>
              </w:rPr>
            </w:pPr>
            <w:r>
              <w:rPr>
                <w:color w:val="auto"/>
              </w:rPr>
              <w:t>/</w:t>
            </w:r>
          </w:p>
        </w:tc>
        <w:tc>
          <w:tcPr>
            <w:tcW w:w="456" w:type="pct"/>
            <w:vAlign w:val="center"/>
          </w:tcPr>
          <w:p w14:paraId="6DA72128">
            <w:pPr>
              <w:pStyle w:val="33"/>
              <w:rPr>
                <w:color w:val="auto"/>
              </w:rPr>
            </w:pPr>
            <w:r>
              <w:rPr>
                <w:color w:val="auto"/>
              </w:rPr>
              <w:t>227.3</w:t>
            </w:r>
          </w:p>
        </w:tc>
        <w:tc>
          <w:tcPr>
            <w:tcW w:w="913" w:type="pct"/>
            <w:gridSpan w:val="2"/>
            <w:vMerge w:val="restart"/>
            <w:vAlign w:val="center"/>
          </w:tcPr>
          <w:p w14:paraId="5B708307">
            <w:pPr>
              <w:pStyle w:val="33"/>
              <w:rPr>
                <w:color w:val="auto"/>
              </w:rPr>
            </w:pPr>
            <w:r>
              <w:rPr>
                <w:color w:val="auto"/>
              </w:rPr>
              <w:t>收集后外售资源</w:t>
            </w:r>
            <w:r>
              <w:rPr>
                <w:rFonts w:hint="eastAsia"/>
                <w:color w:val="auto"/>
              </w:rPr>
              <w:t>回收公司</w:t>
            </w:r>
          </w:p>
        </w:tc>
        <w:tc>
          <w:tcPr>
            <w:tcW w:w="1252" w:type="pct"/>
            <w:vMerge w:val="restart"/>
            <w:vAlign w:val="center"/>
          </w:tcPr>
          <w:p w14:paraId="065F8DF2">
            <w:pPr>
              <w:pStyle w:val="33"/>
              <w:rPr>
                <w:color w:val="auto"/>
              </w:rPr>
            </w:pPr>
            <w:r>
              <w:rPr>
                <w:rFonts w:hint="eastAsia"/>
                <w:color w:val="auto"/>
              </w:rPr>
              <w:t>《生态环境部办公厅印发关于&lt;一般工业固体废物环境管理工作指南&gt;的通知》（环办固体函〔2026〕18号）</w:t>
            </w:r>
          </w:p>
        </w:tc>
      </w:tr>
      <w:tr w14:paraId="73B6A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F46C2A7">
            <w:pPr>
              <w:pStyle w:val="33"/>
              <w:rPr>
                <w:color w:val="auto"/>
              </w:rPr>
            </w:pPr>
          </w:p>
        </w:tc>
        <w:tc>
          <w:tcPr>
            <w:tcW w:w="591" w:type="pct"/>
            <w:gridSpan w:val="3"/>
            <w:vMerge w:val="continue"/>
            <w:vAlign w:val="center"/>
          </w:tcPr>
          <w:p w14:paraId="58A67B53">
            <w:pPr>
              <w:pStyle w:val="33"/>
              <w:rPr>
                <w:color w:val="auto"/>
              </w:rPr>
            </w:pPr>
          </w:p>
        </w:tc>
        <w:tc>
          <w:tcPr>
            <w:tcW w:w="443" w:type="pct"/>
            <w:vAlign w:val="center"/>
          </w:tcPr>
          <w:p w14:paraId="05D60655">
            <w:pPr>
              <w:pStyle w:val="33"/>
              <w:rPr>
                <w:color w:val="auto"/>
              </w:rPr>
            </w:pPr>
            <w:r>
              <w:rPr>
                <w:rFonts w:hint="eastAsia"/>
                <w:color w:val="auto"/>
              </w:rPr>
              <w:t>废聚酯网</w:t>
            </w:r>
          </w:p>
        </w:tc>
        <w:tc>
          <w:tcPr>
            <w:tcW w:w="658" w:type="pct"/>
            <w:vAlign w:val="center"/>
          </w:tcPr>
          <w:p w14:paraId="1C4290B5">
            <w:pPr>
              <w:pStyle w:val="33"/>
              <w:rPr>
                <w:color w:val="auto"/>
              </w:rPr>
            </w:pPr>
            <w:r>
              <w:rPr>
                <w:rFonts w:hint="eastAsia"/>
                <w:color w:val="auto"/>
              </w:rPr>
              <w:t>／</w:t>
            </w:r>
          </w:p>
        </w:tc>
        <w:tc>
          <w:tcPr>
            <w:tcW w:w="405" w:type="pct"/>
            <w:vAlign w:val="center"/>
          </w:tcPr>
          <w:p w14:paraId="7EBDA2EC">
            <w:pPr>
              <w:pStyle w:val="33"/>
              <w:rPr>
                <w:color w:val="auto"/>
              </w:rPr>
            </w:pPr>
            <w:r>
              <w:rPr>
                <w:color w:val="auto"/>
              </w:rPr>
              <w:t>/</w:t>
            </w:r>
          </w:p>
        </w:tc>
        <w:tc>
          <w:tcPr>
            <w:tcW w:w="456" w:type="pct"/>
            <w:vAlign w:val="center"/>
          </w:tcPr>
          <w:p w14:paraId="4C2032D7">
            <w:pPr>
              <w:pStyle w:val="33"/>
              <w:rPr>
                <w:color w:val="auto"/>
              </w:rPr>
            </w:pPr>
            <w:r>
              <w:rPr>
                <w:color w:val="auto"/>
              </w:rPr>
              <w:t>3.6</w:t>
            </w:r>
          </w:p>
        </w:tc>
        <w:tc>
          <w:tcPr>
            <w:tcW w:w="913" w:type="pct"/>
            <w:gridSpan w:val="2"/>
            <w:vMerge w:val="continue"/>
            <w:vAlign w:val="center"/>
          </w:tcPr>
          <w:p w14:paraId="05CB679F">
            <w:pPr>
              <w:pStyle w:val="33"/>
              <w:rPr>
                <w:color w:val="auto"/>
              </w:rPr>
            </w:pPr>
          </w:p>
        </w:tc>
        <w:tc>
          <w:tcPr>
            <w:tcW w:w="1252" w:type="pct"/>
            <w:vMerge w:val="continue"/>
            <w:vAlign w:val="center"/>
          </w:tcPr>
          <w:p w14:paraId="6752EF63">
            <w:pPr>
              <w:pStyle w:val="33"/>
              <w:rPr>
                <w:color w:val="auto"/>
              </w:rPr>
            </w:pPr>
          </w:p>
        </w:tc>
      </w:tr>
      <w:tr w14:paraId="0AA45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22EC08D0">
            <w:pPr>
              <w:pStyle w:val="33"/>
              <w:rPr>
                <w:color w:val="auto"/>
              </w:rPr>
            </w:pPr>
          </w:p>
        </w:tc>
        <w:tc>
          <w:tcPr>
            <w:tcW w:w="591" w:type="pct"/>
            <w:gridSpan w:val="3"/>
            <w:vMerge w:val="continue"/>
            <w:vAlign w:val="center"/>
          </w:tcPr>
          <w:p w14:paraId="541AE6F5">
            <w:pPr>
              <w:pStyle w:val="33"/>
              <w:rPr>
                <w:color w:val="auto"/>
              </w:rPr>
            </w:pPr>
          </w:p>
        </w:tc>
        <w:tc>
          <w:tcPr>
            <w:tcW w:w="443" w:type="pct"/>
            <w:vAlign w:val="center"/>
          </w:tcPr>
          <w:p w14:paraId="271B2537">
            <w:pPr>
              <w:pStyle w:val="33"/>
              <w:rPr>
                <w:color w:val="auto"/>
              </w:rPr>
            </w:pPr>
            <w:r>
              <w:rPr>
                <w:rFonts w:hint="eastAsia"/>
                <w:color w:val="auto"/>
              </w:rPr>
              <w:t>除砂器杂质</w:t>
            </w:r>
          </w:p>
        </w:tc>
        <w:tc>
          <w:tcPr>
            <w:tcW w:w="658" w:type="pct"/>
            <w:vAlign w:val="center"/>
          </w:tcPr>
          <w:p w14:paraId="576F6B26">
            <w:pPr>
              <w:pStyle w:val="33"/>
              <w:rPr>
                <w:color w:val="auto"/>
              </w:rPr>
            </w:pPr>
            <w:r>
              <w:rPr>
                <w:rFonts w:hint="eastAsia"/>
                <w:color w:val="auto"/>
              </w:rPr>
              <w:t>／</w:t>
            </w:r>
          </w:p>
        </w:tc>
        <w:tc>
          <w:tcPr>
            <w:tcW w:w="405" w:type="pct"/>
            <w:vAlign w:val="center"/>
          </w:tcPr>
          <w:p w14:paraId="686E652C">
            <w:pPr>
              <w:pStyle w:val="33"/>
              <w:rPr>
                <w:color w:val="auto"/>
              </w:rPr>
            </w:pPr>
            <w:r>
              <w:rPr>
                <w:color w:val="auto"/>
              </w:rPr>
              <w:t>/</w:t>
            </w:r>
          </w:p>
        </w:tc>
        <w:tc>
          <w:tcPr>
            <w:tcW w:w="456" w:type="pct"/>
            <w:vAlign w:val="center"/>
          </w:tcPr>
          <w:p w14:paraId="6E2C370D">
            <w:pPr>
              <w:pStyle w:val="33"/>
              <w:rPr>
                <w:color w:val="auto"/>
              </w:rPr>
            </w:pPr>
            <w:r>
              <w:rPr>
                <w:rFonts w:hint="eastAsia"/>
                <w:color w:val="auto"/>
              </w:rPr>
              <w:t>110</w:t>
            </w:r>
          </w:p>
        </w:tc>
        <w:tc>
          <w:tcPr>
            <w:tcW w:w="913" w:type="pct"/>
            <w:gridSpan w:val="2"/>
            <w:vAlign w:val="center"/>
          </w:tcPr>
          <w:p w14:paraId="3148E768">
            <w:pPr>
              <w:pStyle w:val="33"/>
              <w:rPr>
                <w:color w:val="auto"/>
              </w:rPr>
            </w:pPr>
            <w:r>
              <w:rPr>
                <w:rFonts w:hint="eastAsia"/>
                <w:color w:val="auto"/>
              </w:rPr>
              <w:t>进入污泥中</w:t>
            </w:r>
          </w:p>
        </w:tc>
        <w:tc>
          <w:tcPr>
            <w:tcW w:w="1252" w:type="pct"/>
            <w:vMerge w:val="continue"/>
            <w:vAlign w:val="center"/>
          </w:tcPr>
          <w:p w14:paraId="54E25A05">
            <w:pPr>
              <w:pStyle w:val="33"/>
              <w:rPr>
                <w:color w:val="auto"/>
              </w:rPr>
            </w:pPr>
          </w:p>
        </w:tc>
      </w:tr>
      <w:tr w14:paraId="68E1D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40DB0FEC">
            <w:pPr>
              <w:pStyle w:val="33"/>
              <w:rPr>
                <w:color w:val="auto"/>
              </w:rPr>
            </w:pPr>
          </w:p>
        </w:tc>
        <w:tc>
          <w:tcPr>
            <w:tcW w:w="591" w:type="pct"/>
            <w:gridSpan w:val="3"/>
            <w:vMerge w:val="continue"/>
            <w:vAlign w:val="center"/>
          </w:tcPr>
          <w:p w14:paraId="2EFEB72A">
            <w:pPr>
              <w:pStyle w:val="33"/>
              <w:rPr>
                <w:color w:val="auto"/>
              </w:rPr>
            </w:pPr>
          </w:p>
        </w:tc>
        <w:tc>
          <w:tcPr>
            <w:tcW w:w="443" w:type="pct"/>
            <w:vAlign w:val="center"/>
          </w:tcPr>
          <w:p w14:paraId="7CC58558">
            <w:pPr>
              <w:pStyle w:val="33"/>
              <w:rPr>
                <w:color w:val="auto"/>
              </w:rPr>
            </w:pPr>
            <w:r>
              <w:rPr>
                <w:rFonts w:hint="eastAsia"/>
                <w:color w:val="auto"/>
              </w:rPr>
              <w:t>污水处理站污泥</w:t>
            </w:r>
          </w:p>
        </w:tc>
        <w:tc>
          <w:tcPr>
            <w:tcW w:w="658" w:type="pct"/>
            <w:vAlign w:val="center"/>
          </w:tcPr>
          <w:p w14:paraId="551E9598">
            <w:pPr>
              <w:pStyle w:val="33"/>
              <w:rPr>
                <w:color w:val="auto"/>
              </w:rPr>
            </w:pPr>
            <w:r>
              <w:rPr>
                <w:rFonts w:hint="eastAsia"/>
                <w:color w:val="auto"/>
              </w:rPr>
              <w:t>／</w:t>
            </w:r>
          </w:p>
        </w:tc>
        <w:tc>
          <w:tcPr>
            <w:tcW w:w="405" w:type="pct"/>
            <w:vAlign w:val="center"/>
          </w:tcPr>
          <w:p w14:paraId="40997EEC">
            <w:pPr>
              <w:pStyle w:val="33"/>
              <w:rPr>
                <w:color w:val="auto"/>
              </w:rPr>
            </w:pPr>
            <w:r>
              <w:rPr>
                <w:color w:val="auto"/>
              </w:rPr>
              <w:t>/</w:t>
            </w:r>
          </w:p>
        </w:tc>
        <w:tc>
          <w:tcPr>
            <w:tcW w:w="456" w:type="pct"/>
            <w:vAlign w:val="center"/>
          </w:tcPr>
          <w:p w14:paraId="5BA70A9C">
            <w:pPr>
              <w:pStyle w:val="33"/>
              <w:rPr>
                <w:color w:val="auto"/>
              </w:rPr>
            </w:pPr>
            <w:r>
              <w:rPr>
                <w:color w:val="auto"/>
              </w:rPr>
              <w:t>9463.75</w:t>
            </w:r>
          </w:p>
        </w:tc>
        <w:tc>
          <w:tcPr>
            <w:tcW w:w="913" w:type="pct"/>
            <w:gridSpan w:val="2"/>
            <w:vAlign w:val="center"/>
          </w:tcPr>
          <w:p w14:paraId="18B02545">
            <w:pPr>
              <w:pStyle w:val="33"/>
              <w:rPr>
                <w:color w:val="auto"/>
              </w:rPr>
            </w:pPr>
            <w:r>
              <w:rPr>
                <w:rFonts w:hint="eastAsia"/>
                <w:color w:val="auto"/>
              </w:rPr>
              <w:t>部分送入热电站锅炉焚烧回收热量，剩余部分外售至广西田东力源宝科技有限公司用作生态肥料</w:t>
            </w:r>
          </w:p>
        </w:tc>
        <w:tc>
          <w:tcPr>
            <w:tcW w:w="1252" w:type="pct"/>
            <w:vMerge w:val="continue"/>
            <w:vAlign w:val="center"/>
          </w:tcPr>
          <w:p w14:paraId="38928AC1">
            <w:pPr>
              <w:pStyle w:val="33"/>
              <w:rPr>
                <w:color w:val="auto"/>
              </w:rPr>
            </w:pPr>
          </w:p>
        </w:tc>
      </w:tr>
      <w:tr w14:paraId="693C7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3B9823D1">
            <w:pPr>
              <w:pStyle w:val="33"/>
              <w:rPr>
                <w:color w:val="auto"/>
              </w:rPr>
            </w:pPr>
          </w:p>
        </w:tc>
        <w:tc>
          <w:tcPr>
            <w:tcW w:w="591" w:type="pct"/>
            <w:gridSpan w:val="3"/>
            <w:vMerge w:val="restart"/>
            <w:vAlign w:val="center"/>
          </w:tcPr>
          <w:p w14:paraId="56A2D67A">
            <w:pPr>
              <w:pStyle w:val="33"/>
              <w:rPr>
                <w:color w:val="auto"/>
              </w:rPr>
            </w:pPr>
            <w:r>
              <w:rPr>
                <w:color w:val="auto"/>
              </w:rPr>
              <w:t>危险废物</w:t>
            </w:r>
          </w:p>
        </w:tc>
        <w:tc>
          <w:tcPr>
            <w:tcW w:w="443" w:type="pct"/>
            <w:vAlign w:val="center"/>
          </w:tcPr>
          <w:p w14:paraId="400AE016">
            <w:pPr>
              <w:pStyle w:val="33"/>
              <w:rPr>
                <w:color w:val="auto"/>
              </w:rPr>
            </w:pPr>
            <w:r>
              <w:rPr>
                <w:rFonts w:hint="eastAsia"/>
                <w:color w:val="auto"/>
              </w:rPr>
              <w:t>废活性炭</w:t>
            </w:r>
          </w:p>
        </w:tc>
        <w:tc>
          <w:tcPr>
            <w:tcW w:w="658" w:type="pct"/>
            <w:vAlign w:val="center"/>
          </w:tcPr>
          <w:p w14:paraId="3BA3B77B">
            <w:pPr>
              <w:pStyle w:val="33"/>
              <w:rPr>
                <w:color w:val="auto"/>
              </w:rPr>
            </w:pPr>
            <w:r>
              <w:rPr>
                <w:rFonts w:hint="eastAsia"/>
                <w:color w:val="auto"/>
              </w:rPr>
              <w:t>／</w:t>
            </w:r>
          </w:p>
        </w:tc>
        <w:tc>
          <w:tcPr>
            <w:tcW w:w="405" w:type="pct"/>
            <w:vAlign w:val="center"/>
          </w:tcPr>
          <w:p w14:paraId="7C4376B1">
            <w:pPr>
              <w:pStyle w:val="33"/>
              <w:rPr>
                <w:color w:val="auto"/>
              </w:rPr>
            </w:pPr>
            <w:r>
              <w:rPr>
                <w:color w:val="auto"/>
              </w:rPr>
              <w:t>/</w:t>
            </w:r>
          </w:p>
        </w:tc>
        <w:tc>
          <w:tcPr>
            <w:tcW w:w="456" w:type="pct"/>
            <w:vAlign w:val="center"/>
          </w:tcPr>
          <w:p w14:paraId="432D682D">
            <w:pPr>
              <w:pStyle w:val="33"/>
              <w:rPr>
                <w:color w:val="auto"/>
              </w:rPr>
            </w:pPr>
            <w:r>
              <w:rPr>
                <w:color w:val="auto"/>
              </w:rPr>
              <w:t>3.6</w:t>
            </w:r>
          </w:p>
        </w:tc>
        <w:tc>
          <w:tcPr>
            <w:tcW w:w="913" w:type="pct"/>
            <w:gridSpan w:val="2"/>
            <w:vAlign w:val="center"/>
          </w:tcPr>
          <w:p w14:paraId="3464F7CD">
            <w:pPr>
              <w:pStyle w:val="33"/>
              <w:rPr>
                <w:color w:val="auto"/>
              </w:rPr>
            </w:pPr>
            <w:r>
              <w:rPr>
                <w:rFonts w:hint="eastAsia"/>
                <w:color w:val="auto"/>
              </w:rPr>
              <w:t>暂存在危废暂存库内，定期委托有危险废物处理资质的单位处置</w:t>
            </w:r>
          </w:p>
        </w:tc>
        <w:tc>
          <w:tcPr>
            <w:tcW w:w="1252" w:type="pct"/>
            <w:vAlign w:val="center"/>
          </w:tcPr>
          <w:p w14:paraId="2083540F">
            <w:pPr>
              <w:pStyle w:val="33"/>
              <w:rPr>
                <w:color w:val="auto"/>
              </w:rPr>
            </w:pPr>
            <w:r>
              <w:rPr>
                <w:rFonts w:hint="eastAsia"/>
                <w:color w:val="auto"/>
              </w:rPr>
              <w:t>《危险废物贮存污染控制标准》（GB18597-2023）</w:t>
            </w:r>
          </w:p>
        </w:tc>
      </w:tr>
      <w:tr w14:paraId="1DB6F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Merge w:val="continue"/>
            <w:vAlign w:val="center"/>
          </w:tcPr>
          <w:p w14:paraId="7D2AD235">
            <w:pPr>
              <w:pStyle w:val="33"/>
              <w:rPr>
                <w:color w:val="auto"/>
              </w:rPr>
            </w:pPr>
          </w:p>
        </w:tc>
        <w:tc>
          <w:tcPr>
            <w:tcW w:w="591" w:type="pct"/>
            <w:gridSpan w:val="3"/>
            <w:vMerge w:val="continue"/>
            <w:vAlign w:val="center"/>
          </w:tcPr>
          <w:p w14:paraId="6ECF371C">
            <w:pPr>
              <w:pStyle w:val="33"/>
              <w:rPr>
                <w:color w:val="auto"/>
              </w:rPr>
            </w:pPr>
          </w:p>
        </w:tc>
        <w:tc>
          <w:tcPr>
            <w:tcW w:w="443" w:type="pct"/>
            <w:vAlign w:val="center"/>
          </w:tcPr>
          <w:p w14:paraId="1E8210C1">
            <w:pPr>
              <w:pStyle w:val="33"/>
              <w:rPr>
                <w:color w:val="auto"/>
              </w:rPr>
            </w:pPr>
            <w:r>
              <w:rPr>
                <w:rFonts w:hint="eastAsia"/>
                <w:color w:val="auto"/>
              </w:rPr>
              <w:t>废机油</w:t>
            </w:r>
          </w:p>
        </w:tc>
        <w:tc>
          <w:tcPr>
            <w:tcW w:w="658" w:type="pct"/>
            <w:vAlign w:val="center"/>
          </w:tcPr>
          <w:p w14:paraId="7EC97F05">
            <w:pPr>
              <w:pStyle w:val="33"/>
              <w:rPr>
                <w:color w:val="auto"/>
              </w:rPr>
            </w:pPr>
            <w:r>
              <w:rPr>
                <w:rFonts w:hint="eastAsia"/>
                <w:color w:val="auto"/>
              </w:rPr>
              <w:t>／</w:t>
            </w:r>
          </w:p>
        </w:tc>
        <w:tc>
          <w:tcPr>
            <w:tcW w:w="405" w:type="pct"/>
            <w:vAlign w:val="center"/>
          </w:tcPr>
          <w:p w14:paraId="131AEAE4">
            <w:pPr>
              <w:pStyle w:val="33"/>
              <w:rPr>
                <w:color w:val="auto"/>
              </w:rPr>
            </w:pPr>
            <w:r>
              <w:rPr>
                <w:color w:val="auto"/>
              </w:rPr>
              <w:t>/</w:t>
            </w:r>
          </w:p>
        </w:tc>
        <w:tc>
          <w:tcPr>
            <w:tcW w:w="456" w:type="pct"/>
            <w:vAlign w:val="center"/>
          </w:tcPr>
          <w:p w14:paraId="0AB1DAEA">
            <w:pPr>
              <w:pStyle w:val="33"/>
              <w:rPr>
                <w:color w:val="auto"/>
              </w:rPr>
            </w:pPr>
            <w:r>
              <w:rPr>
                <w:rFonts w:hint="eastAsia"/>
                <w:color w:val="auto"/>
              </w:rPr>
              <w:t>0.1</w:t>
            </w:r>
          </w:p>
        </w:tc>
        <w:tc>
          <w:tcPr>
            <w:tcW w:w="913" w:type="pct"/>
            <w:gridSpan w:val="2"/>
            <w:vAlign w:val="center"/>
          </w:tcPr>
          <w:p w14:paraId="6427EB51">
            <w:pPr>
              <w:pStyle w:val="33"/>
              <w:rPr>
                <w:color w:val="auto"/>
              </w:rPr>
            </w:pPr>
          </w:p>
        </w:tc>
        <w:tc>
          <w:tcPr>
            <w:tcW w:w="1252" w:type="pct"/>
            <w:vAlign w:val="center"/>
          </w:tcPr>
          <w:p w14:paraId="6A7B77FC">
            <w:pPr>
              <w:pStyle w:val="33"/>
              <w:rPr>
                <w:color w:val="auto"/>
              </w:rPr>
            </w:pPr>
          </w:p>
        </w:tc>
      </w:tr>
      <w:tr w14:paraId="3DD87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 w:type="pct"/>
            <w:vAlign w:val="center"/>
          </w:tcPr>
          <w:p w14:paraId="50718AD8">
            <w:pPr>
              <w:pStyle w:val="33"/>
              <w:rPr>
                <w:color w:val="auto"/>
              </w:rPr>
            </w:pPr>
            <w:r>
              <w:rPr>
                <w:color w:val="auto"/>
              </w:rPr>
              <w:t>噪声</w:t>
            </w:r>
          </w:p>
        </w:tc>
        <w:tc>
          <w:tcPr>
            <w:tcW w:w="1034" w:type="pct"/>
            <w:gridSpan w:val="4"/>
            <w:vAlign w:val="center"/>
          </w:tcPr>
          <w:p w14:paraId="2EE8706A">
            <w:pPr>
              <w:pStyle w:val="33"/>
              <w:rPr>
                <w:color w:val="auto"/>
              </w:rPr>
            </w:pPr>
            <w:r>
              <w:rPr>
                <w:rFonts w:hint="eastAsia"/>
                <w:color w:val="auto"/>
              </w:rPr>
              <w:t>新增造纸生产工段生产设备运行噪声、水泵、浆泵噪声</w:t>
            </w:r>
          </w:p>
        </w:tc>
        <w:tc>
          <w:tcPr>
            <w:tcW w:w="658" w:type="pct"/>
            <w:vAlign w:val="center"/>
          </w:tcPr>
          <w:p w14:paraId="69678FCC">
            <w:pPr>
              <w:pStyle w:val="33"/>
              <w:rPr>
                <w:color w:val="auto"/>
              </w:rPr>
            </w:pPr>
            <w:r>
              <w:rPr>
                <w:rFonts w:hint="eastAsia"/>
                <w:color w:val="auto"/>
              </w:rPr>
              <w:t>／</w:t>
            </w:r>
          </w:p>
        </w:tc>
        <w:tc>
          <w:tcPr>
            <w:tcW w:w="405" w:type="pct"/>
            <w:vAlign w:val="center"/>
          </w:tcPr>
          <w:p w14:paraId="262D5439">
            <w:pPr>
              <w:pStyle w:val="33"/>
              <w:rPr>
                <w:color w:val="auto"/>
              </w:rPr>
            </w:pPr>
            <w:r>
              <w:rPr>
                <w:color w:val="auto"/>
              </w:rPr>
              <w:t>/</w:t>
            </w:r>
          </w:p>
        </w:tc>
        <w:tc>
          <w:tcPr>
            <w:tcW w:w="456" w:type="pct"/>
            <w:vAlign w:val="center"/>
          </w:tcPr>
          <w:p w14:paraId="3404CDA6">
            <w:pPr>
              <w:pStyle w:val="33"/>
              <w:rPr>
                <w:color w:val="auto"/>
              </w:rPr>
            </w:pPr>
            <w:r>
              <w:rPr>
                <w:color w:val="auto"/>
              </w:rPr>
              <w:t>/</w:t>
            </w:r>
          </w:p>
        </w:tc>
        <w:tc>
          <w:tcPr>
            <w:tcW w:w="459" w:type="pct"/>
            <w:vAlign w:val="center"/>
          </w:tcPr>
          <w:p w14:paraId="375222F6">
            <w:pPr>
              <w:pStyle w:val="33"/>
              <w:rPr>
                <w:color w:val="auto"/>
              </w:rPr>
            </w:pPr>
            <w:r>
              <w:rPr>
                <w:rFonts w:hint="eastAsia"/>
                <w:color w:val="auto"/>
              </w:rPr>
              <w:t>基础减振、厂房隔声</w:t>
            </w:r>
          </w:p>
        </w:tc>
        <w:tc>
          <w:tcPr>
            <w:tcW w:w="454" w:type="pct"/>
            <w:vAlign w:val="center"/>
          </w:tcPr>
          <w:p w14:paraId="6514000C">
            <w:pPr>
              <w:pStyle w:val="33"/>
              <w:rPr>
                <w:color w:val="auto"/>
              </w:rPr>
            </w:pPr>
            <w:r>
              <w:rPr>
                <w:rFonts w:hint="eastAsia"/>
                <w:color w:val="auto"/>
              </w:rPr>
              <w:t>／</w:t>
            </w:r>
          </w:p>
        </w:tc>
        <w:tc>
          <w:tcPr>
            <w:tcW w:w="1252" w:type="pct"/>
            <w:vAlign w:val="center"/>
          </w:tcPr>
          <w:p w14:paraId="4B52AD8A">
            <w:pPr>
              <w:pStyle w:val="33"/>
              <w:rPr>
                <w:color w:val="auto"/>
              </w:rPr>
            </w:pPr>
            <w:r>
              <w:rPr>
                <w:rFonts w:hint="eastAsia"/>
                <w:color w:val="auto"/>
              </w:rPr>
              <w:t>《工业企业厂界环境噪声排放标准》（GB12348-2008）中3类和4类标准</w:t>
            </w:r>
          </w:p>
        </w:tc>
      </w:tr>
    </w:tbl>
    <w:p w14:paraId="38374371">
      <w:pPr>
        <w:ind w:firstLine="480"/>
        <w:rPr>
          <w:color w:val="auto"/>
        </w:rPr>
      </w:pPr>
      <w:r>
        <w:rPr>
          <w:rFonts w:hint="eastAsia"/>
          <w:color w:val="auto"/>
        </w:rPr>
        <w:t>＊注：固废为产生量。</w:t>
      </w:r>
    </w:p>
    <w:p w14:paraId="4F34AC5C">
      <w:pPr>
        <w:ind w:firstLine="480"/>
        <w:rPr>
          <w:color w:val="auto"/>
        </w:rPr>
      </w:pPr>
    </w:p>
    <w:p w14:paraId="74C97B27">
      <w:pPr>
        <w:ind w:firstLine="480"/>
        <w:rPr>
          <w:color w:val="auto"/>
        </w:rPr>
        <w:sectPr>
          <w:pgSz w:w="16838" w:h="11906" w:orient="landscape"/>
          <w:pgMar w:top="1418" w:right="1418" w:bottom="1418" w:left="1418" w:header="851" w:footer="992" w:gutter="0"/>
          <w:cols w:space="425" w:num="1"/>
          <w:docGrid w:type="lines" w:linePitch="326" w:charSpace="0"/>
        </w:sectPr>
      </w:pPr>
    </w:p>
    <w:p w14:paraId="1E0801D6">
      <w:pPr>
        <w:pStyle w:val="4"/>
        <w:rPr>
          <w:color w:val="auto"/>
        </w:rPr>
      </w:pPr>
      <w:bookmarkStart w:id="649" w:name="_Toc199169195"/>
      <w:bookmarkStart w:id="650" w:name="_Toc225216887"/>
      <w:bookmarkStart w:id="651" w:name="_Toc199190687"/>
      <w:bookmarkStart w:id="652" w:name="_Toc198391439"/>
      <w:bookmarkStart w:id="653" w:name="_Toc198390786"/>
      <w:r>
        <w:rPr>
          <w:rFonts w:hint="eastAsia"/>
          <w:color w:val="auto"/>
        </w:rPr>
        <w:t>排污口规范化管理</w:t>
      </w:r>
      <w:bookmarkEnd w:id="649"/>
      <w:bookmarkEnd w:id="650"/>
      <w:bookmarkEnd w:id="651"/>
      <w:bookmarkEnd w:id="652"/>
      <w:bookmarkEnd w:id="653"/>
    </w:p>
    <w:p w14:paraId="343B2F42">
      <w:pPr>
        <w:ind w:firstLine="480"/>
        <w:rPr>
          <w:color w:val="auto"/>
        </w:rPr>
      </w:pPr>
      <w:r>
        <w:rPr>
          <w:rFonts w:hint="eastAsia"/>
          <w:color w:val="auto"/>
        </w:rPr>
        <w:t>排放口是企业污染物进入环境、污染环境的通道，强化排放口的管理是实施污染物总量控制的基础工作之一，也是区域环境管理初步实现污染物排放的科学化，定量化手段。根据国家标准《环境保护图形标志－排放口(源)》（GB/T 15562.1-1995）、国家环保总局《排污口规范化整治要求(试行)》的技术要求，企业所有排放口（包括水、气、声、渣）必须按照“便于采集样品、便于计量监测、便于日常现场监督检查”的原则和规范化要求，设置与之相适应的环境保护图形标志牌，绘制企业排污口分布图，同时对污水排放口安装流量计，对治理设施安装运行监控装置、排污口的规范化要符合有关要求。</w:t>
      </w:r>
    </w:p>
    <w:p w14:paraId="5D90B983">
      <w:pPr>
        <w:ind w:firstLine="480"/>
        <w:rPr>
          <w:color w:val="auto"/>
        </w:rPr>
      </w:pPr>
      <w:r>
        <w:rPr>
          <w:rFonts w:hint="eastAsia"/>
          <w:color w:val="auto"/>
        </w:rPr>
        <w:t>1、废气</w:t>
      </w:r>
    </w:p>
    <w:p w14:paraId="1429BBD2">
      <w:pPr>
        <w:ind w:firstLine="480"/>
        <w:rPr>
          <w:color w:val="auto"/>
        </w:rPr>
      </w:pPr>
      <w:r>
        <w:rPr>
          <w:rFonts w:hint="eastAsia"/>
          <w:color w:val="auto"/>
        </w:rPr>
        <w:t>废气排放口必须符合规定的高度和按《污染源监测技术规范》便于采样、监测的要求，排气筒或烟道应设置永久采样孔，并安装采样监测平台，并设置醒目的环保标志牌。</w:t>
      </w:r>
    </w:p>
    <w:p w14:paraId="201729FA">
      <w:pPr>
        <w:ind w:firstLine="480"/>
        <w:rPr>
          <w:color w:val="auto"/>
        </w:rPr>
      </w:pPr>
      <w:r>
        <w:rPr>
          <w:rFonts w:hint="eastAsia"/>
          <w:color w:val="auto"/>
        </w:rPr>
        <w:t>2、废水</w:t>
      </w:r>
    </w:p>
    <w:p w14:paraId="33B2289F">
      <w:pPr>
        <w:ind w:firstLine="480"/>
        <w:rPr>
          <w:color w:val="auto"/>
        </w:rPr>
      </w:pPr>
      <w:r>
        <w:rPr>
          <w:rFonts w:hint="eastAsia"/>
          <w:color w:val="auto"/>
        </w:rPr>
        <w:t>在不同排水口设置相应环保图形标志牌，便于管理、维修以及更新，且应具备采样条件，便于采样分析水质状况，以确保处理废水水质满足排放标准要求。</w:t>
      </w:r>
    </w:p>
    <w:p w14:paraId="54CD3C91">
      <w:pPr>
        <w:ind w:firstLine="480"/>
        <w:rPr>
          <w:color w:val="auto"/>
        </w:rPr>
      </w:pPr>
      <w:r>
        <w:rPr>
          <w:rFonts w:hint="eastAsia"/>
          <w:color w:val="auto"/>
        </w:rPr>
        <w:t>3、噪声排放源</w:t>
      </w:r>
    </w:p>
    <w:p w14:paraId="60997A97">
      <w:pPr>
        <w:ind w:firstLine="480"/>
        <w:rPr>
          <w:color w:val="auto"/>
        </w:rPr>
      </w:pPr>
      <w:r>
        <w:rPr>
          <w:rFonts w:hint="eastAsia"/>
          <w:color w:val="auto"/>
        </w:rPr>
        <w:t>按规定对各场内噪声源进行治理，并在噪声较大区域设置环境保护图形标志牌。</w:t>
      </w:r>
    </w:p>
    <w:p w14:paraId="7B00CC9E">
      <w:pPr>
        <w:ind w:firstLine="480"/>
        <w:rPr>
          <w:color w:val="auto"/>
        </w:rPr>
      </w:pPr>
      <w:r>
        <w:rPr>
          <w:rFonts w:hint="eastAsia"/>
          <w:color w:val="auto"/>
        </w:rPr>
        <w:t>4、固体废物贮存场</w:t>
      </w:r>
    </w:p>
    <w:p w14:paraId="68B6BA77">
      <w:pPr>
        <w:ind w:firstLine="480"/>
        <w:rPr>
          <w:color w:val="auto"/>
        </w:rPr>
      </w:pPr>
      <w:r>
        <w:rPr>
          <w:rFonts w:hint="eastAsia"/>
          <w:color w:val="auto"/>
        </w:rPr>
        <w:t>固体废物贮存场做好防扬散、防流失、防渗漏、防雨的工作，并应在存放场边界和进出口位置设置环保标志牌。</w:t>
      </w:r>
    </w:p>
    <w:p w14:paraId="451C44D1">
      <w:pPr>
        <w:ind w:firstLine="480"/>
        <w:rPr>
          <w:color w:val="auto"/>
        </w:rPr>
      </w:pPr>
      <w:r>
        <w:rPr>
          <w:rFonts w:hint="eastAsia"/>
          <w:color w:val="auto"/>
        </w:rPr>
        <w:t>项目建成后，应对厂区内所有污染排放口的名称、位置、数量以及排放污染物名称、数量等内容进行统计，在线监控并登记上报当地环保部门，以便进行验收和排放口规范化管理。</w:t>
      </w:r>
    </w:p>
    <w:p w14:paraId="6888DABE">
      <w:pPr>
        <w:pStyle w:val="4"/>
        <w:rPr>
          <w:color w:val="auto"/>
        </w:rPr>
      </w:pPr>
      <w:bookmarkStart w:id="654" w:name="_Toc225216888"/>
      <w:bookmarkStart w:id="655" w:name="_Toc199169196"/>
      <w:bookmarkStart w:id="656" w:name="_Toc198391440"/>
      <w:bookmarkStart w:id="657" w:name="_Toc198390787"/>
      <w:bookmarkStart w:id="658" w:name="_Toc199190688"/>
      <w:r>
        <w:rPr>
          <w:rFonts w:hint="eastAsia"/>
          <w:color w:val="auto"/>
        </w:rPr>
        <w:t>排污许可证申请</w:t>
      </w:r>
      <w:bookmarkEnd w:id="654"/>
      <w:bookmarkEnd w:id="655"/>
      <w:bookmarkEnd w:id="656"/>
      <w:bookmarkEnd w:id="657"/>
      <w:bookmarkEnd w:id="658"/>
    </w:p>
    <w:p w14:paraId="653C9C8A">
      <w:pPr>
        <w:pStyle w:val="4"/>
        <w:rPr>
          <w:color w:val="auto"/>
        </w:rPr>
      </w:pPr>
      <w:bookmarkStart w:id="659" w:name="_Toc198391441"/>
      <w:bookmarkStart w:id="660" w:name="_Toc198390788"/>
      <w:bookmarkStart w:id="661" w:name="_Toc225216889"/>
      <w:bookmarkStart w:id="662" w:name="_Toc199190689"/>
      <w:bookmarkStart w:id="663" w:name="_Toc199169197"/>
      <w:r>
        <w:rPr>
          <w:rFonts w:hint="eastAsia"/>
          <w:color w:val="auto"/>
        </w:rPr>
        <w:t>排污许可证管理</w:t>
      </w:r>
      <w:bookmarkEnd w:id="659"/>
      <w:bookmarkEnd w:id="660"/>
      <w:bookmarkEnd w:id="661"/>
      <w:bookmarkEnd w:id="662"/>
      <w:bookmarkEnd w:id="663"/>
    </w:p>
    <w:p w14:paraId="614E3B17">
      <w:pPr>
        <w:ind w:firstLine="480"/>
        <w:rPr>
          <w:color w:val="auto"/>
        </w:rPr>
      </w:pPr>
      <w:r>
        <w:rPr>
          <w:rFonts w:hint="eastAsia"/>
          <w:color w:val="auto"/>
        </w:rPr>
        <w:t>根据《排污许可证管理暂行规定》：新建项目的排污单位应当在投入生产或使用并产生实际排污行为之前申请领取排污许可证。根据《固定污染源排污许可分类管理名录（2019年版）》，项目属于重点管理的行业。</w:t>
      </w:r>
    </w:p>
    <w:p w14:paraId="113DBCD9">
      <w:pPr>
        <w:ind w:firstLine="480"/>
        <w:rPr>
          <w:color w:val="auto"/>
        </w:rPr>
      </w:pPr>
      <w:r>
        <w:rPr>
          <w:rFonts w:hint="eastAsia"/>
          <w:color w:val="auto"/>
        </w:rPr>
        <w:t>排污单位应当严格执行排污许可证的规定，遵守下列要求：</w:t>
      </w:r>
    </w:p>
    <w:p w14:paraId="08827BFF">
      <w:pPr>
        <w:ind w:firstLine="480"/>
        <w:rPr>
          <w:color w:val="auto"/>
        </w:rPr>
      </w:pPr>
      <w:r>
        <w:rPr>
          <w:rFonts w:hint="eastAsia"/>
          <w:color w:val="auto"/>
        </w:rPr>
        <w:t>（1）排污口位置和数量、排放方式、排放去向、排放污染物种类、排放浓度和排放量、执行的排放标准等符合排污许可证的规定，不得私设暗管或以其他方式逃避监管。</w:t>
      </w:r>
    </w:p>
    <w:p w14:paraId="10DB8ABB">
      <w:pPr>
        <w:ind w:firstLine="480"/>
        <w:rPr>
          <w:color w:val="auto"/>
        </w:rPr>
      </w:pPr>
      <w:r>
        <w:rPr>
          <w:rFonts w:hint="eastAsia"/>
          <w:color w:val="auto"/>
        </w:rPr>
        <w:t>（2）落实重污染天气应急管控措施、遵守法律规定的最新环境保护要求等。</w:t>
      </w:r>
    </w:p>
    <w:p w14:paraId="5165D809">
      <w:pPr>
        <w:ind w:firstLine="480"/>
        <w:rPr>
          <w:color w:val="auto"/>
        </w:rPr>
      </w:pPr>
      <w:r>
        <w:rPr>
          <w:rFonts w:hint="eastAsia"/>
          <w:color w:val="auto"/>
        </w:rPr>
        <w:t>（3）按排污许可证规定的监测点位、监测因子、监测频次和相关监测技术规范开展自行监测并公开。</w:t>
      </w:r>
    </w:p>
    <w:p w14:paraId="4B1DC2A3">
      <w:pPr>
        <w:ind w:firstLine="480"/>
        <w:rPr>
          <w:color w:val="auto"/>
        </w:rPr>
      </w:pPr>
      <w:r>
        <w:rPr>
          <w:rFonts w:hint="eastAsia"/>
          <w:color w:val="auto"/>
        </w:rPr>
        <w:t>（4）按规范进行台账记录，主要内容包括生产信息、燃料、原辅材料使用情况、污染防治设施运行记录、监测数据等。</w:t>
      </w:r>
    </w:p>
    <w:p w14:paraId="4FC0BA3C">
      <w:pPr>
        <w:ind w:firstLine="480"/>
        <w:rPr>
          <w:color w:val="auto"/>
        </w:rPr>
      </w:pPr>
      <w:r>
        <w:rPr>
          <w:rFonts w:hint="eastAsia"/>
          <w:color w:val="auto"/>
        </w:rPr>
        <w:t>（5）按排污许可证规定，定期在国家排污许可证管理信息平台填报信息，编制排污许可证执行报告，及时报送有核发权的环境保护主管部门并公开，执行报告主要内容包括生产信息、污染防治设施运行情况、污染物按证排放情况等。</w:t>
      </w:r>
    </w:p>
    <w:p w14:paraId="2FB57387">
      <w:pPr>
        <w:ind w:firstLine="480"/>
        <w:rPr>
          <w:color w:val="auto"/>
        </w:rPr>
      </w:pPr>
      <w:r>
        <w:rPr>
          <w:rFonts w:hint="eastAsia"/>
          <w:color w:val="auto"/>
        </w:rPr>
        <w:t>（6）法律法规规定的其他义务。</w:t>
      </w:r>
    </w:p>
    <w:p w14:paraId="5F1DD2D0">
      <w:pPr>
        <w:pStyle w:val="4"/>
        <w:rPr>
          <w:color w:val="auto"/>
        </w:rPr>
      </w:pPr>
      <w:bookmarkStart w:id="664" w:name="_Toc199190690"/>
      <w:bookmarkStart w:id="665" w:name="_Toc198391442"/>
      <w:bookmarkStart w:id="666" w:name="_Toc198390789"/>
      <w:bookmarkStart w:id="667" w:name="_Toc225216890"/>
      <w:bookmarkStart w:id="668" w:name="_Toc199169198"/>
      <w:r>
        <w:rPr>
          <w:rFonts w:hint="eastAsia"/>
          <w:color w:val="auto"/>
        </w:rPr>
        <w:t>排污许可申请</w:t>
      </w:r>
      <w:bookmarkEnd w:id="664"/>
      <w:bookmarkEnd w:id="665"/>
      <w:bookmarkEnd w:id="666"/>
      <w:bookmarkEnd w:id="667"/>
      <w:bookmarkEnd w:id="668"/>
    </w:p>
    <w:p w14:paraId="162D6E6D">
      <w:pPr>
        <w:ind w:firstLine="480"/>
        <w:rPr>
          <w:color w:val="auto"/>
          <w:szCs w:val="24"/>
        </w:rPr>
      </w:pPr>
      <w:r>
        <w:rPr>
          <w:rFonts w:ascii="宋体" w:hAnsi="宋体"/>
          <w:color w:val="auto"/>
        </w:rPr>
        <w:t>目前我国正在推进排污许可制度改革工作。国务院办公厅</w:t>
      </w:r>
      <w:r>
        <w:rPr>
          <w:color w:val="auto"/>
        </w:rPr>
        <w:t>2016</w:t>
      </w:r>
      <w:r>
        <w:rPr>
          <w:rFonts w:ascii="宋体" w:hAnsi="宋体"/>
          <w:color w:val="auto"/>
        </w:rPr>
        <w:t>年</w:t>
      </w:r>
      <w:r>
        <w:rPr>
          <w:color w:val="auto"/>
        </w:rPr>
        <w:t>11</w:t>
      </w:r>
      <w:r>
        <w:rPr>
          <w:rFonts w:ascii="宋体" w:hAnsi="宋体"/>
          <w:color w:val="auto"/>
        </w:rPr>
        <w:t>月</w:t>
      </w:r>
      <w:r>
        <w:rPr>
          <w:color w:val="auto"/>
        </w:rPr>
        <w:t>10</w:t>
      </w:r>
      <w:r>
        <w:rPr>
          <w:rFonts w:ascii="宋体" w:hAnsi="宋体"/>
          <w:color w:val="auto"/>
        </w:rPr>
        <w:t>日颁发《国务院办公厅关于印发控制污染物排放许可制实施方案的通知》（国办发﹝</w:t>
      </w:r>
      <w:r>
        <w:rPr>
          <w:color w:val="auto"/>
        </w:rPr>
        <w:t>2016</w:t>
      </w:r>
      <w:r>
        <w:rPr>
          <w:rFonts w:ascii="宋体" w:hAnsi="宋体"/>
          <w:color w:val="auto"/>
        </w:rPr>
        <w:t>﹞</w:t>
      </w:r>
      <w:r>
        <w:rPr>
          <w:color w:val="auto"/>
        </w:rPr>
        <w:t>81</w:t>
      </w:r>
      <w:r>
        <w:rPr>
          <w:rFonts w:ascii="宋体" w:hAnsi="宋体"/>
          <w:color w:val="auto"/>
        </w:rPr>
        <w:t>号），指出到</w:t>
      </w:r>
      <w:r>
        <w:rPr>
          <w:color w:val="auto"/>
        </w:rPr>
        <w:t>2020</w:t>
      </w:r>
      <w:r>
        <w:rPr>
          <w:rFonts w:ascii="宋体" w:hAnsi="宋体"/>
          <w:color w:val="auto"/>
        </w:rPr>
        <w:t>年，完成覆盖所有固定污染源的排污许可证核发工作，并建立健全企事业单位污染物排放总量控制制度，逐步实现由行政区域污染物排放总量控制向企事业单位污染物排放总量控制转变，控制的范围逐渐统一到固定污染源。</w:t>
      </w:r>
    </w:p>
    <w:p w14:paraId="67F1FE8C">
      <w:pPr>
        <w:ind w:firstLine="480"/>
        <w:rPr>
          <w:color w:val="auto"/>
        </w:rPr>
      </w:pPr>
      <w:r>
        <w:rPr>
          <w:rFonts w:ascii="宋体" w:hAnsi="宋体"/>
          <w:color w:val="auto"/>
        </w:rPr>
        <w:t>环境保护部于</w:t>
      </w:r>
      <w:r>
        <w:rPr>
          <w:color w:val="auto"/>
        </w:rPr>
        <w:t>2016</w:t>
      </w:r>
      <w:r>
        <w:rPr>
          <w:rFonts w:ascii="宋体" w:hAnsi="宋体"/>
          <w:color w:val="auto"/>
        </w:rPr>
        <w:t>年</w:t>
      </w:r>
      <w:r>
        <w:rPr>
          <w:color w:val="auto"/>
        </w:rPr>
        <w:t>7</w:t>
      </w:r>
      <w:r>
        <w:rPr>
          <w:rFonts w:ascii="宋体" w:hAnsi="宋体"/>
          <w:color w:val="auto"/>
        </w:rPr>
        <w:t>月</w:t>
      </w:r>
      <w:r>
        <w:rPr>
          <w:color w:val="auto"/>
        </w:rPr>
        <w:t>15</w:t>
      </w:r>
      <w:r>
        <w:rPr>
          <w:rFonts w:ascii="宋体" w:hAnsi="宋体"/>
          <w:color w:val="auto"/>
        </w:rPr>
        <w:t>日发布《关于印发</w:t>
      </w:r>
      <w:r>
        <w:rPr>
          <w:color w:val="auto"/>
        </w:rPr>
        <w:t>&lt;“</w:t>
      </w:r>
      <w:r>
        <w:rPr>
          <w:rFonts w:ascii="宋体" w:hAnsi="宋体"/>
          <w:color w:val="auto"/>
        </w:rPr>
        <w:t>十三五</w:t>
      </w:r>
      <w:r>
        <w:rPr>
          <w:color w:val="auto"/>
        </w:rPr>
        <w:t>”</w:t>
      </w:r>
      <w:r>
        <w:rPr>
          <w:rFonts w:ascii="宋体" w:hAnsi="宋体"/>
          <w:color w:val="auto"/>
        </w:rPr>
        <w:t>环境影响评价改革实施方案</w:t>
      </w:r>
      <w:r>
        <w:rPr>
          <w:color w:val="auto"/>
        </w:rPr>
        <w:t>&gt;</w:t>
      </w:r>
      <w:r>
        <w:rPr>
          <w:rFonts w:ascii="宋体" w:hAnsi="宋体"/>
          <w:color w:val="auto"/>
        </w:rPr>
        <w:t>的通知》（环环评﹝</w:t>
      </w:r>
      <w:r>
        <w:rPr>
          <w:color w:val="auto"/>
        </w:rPr>
        <w:t>2016</w:t>
      </w:r>
      <w:r>
        <w:rPr>
          <w:rFonts w:ascii="宋体" w:hAnsi="宋体"/>
          <w:color w:val="auto"/>
        </w:rPr>
        <w:t>﹞</w:t>
      </w:r>
      <w:r>
        <w:rPr>
          <w:color w:val="auto"/>
        </w:rPr>
        <w:t>95</w:t>
      </w:r>
      <w:r>
        <w:rPr>
          <w:rFonts w:ascii="宋体" w:hAnsi="宋体"/>
          <w:color w:val="auto"/>
        </w:rPr>
        <w:t>号）中提出：</w:t>
      </w:r>
      <w:r>
        <w:rPr>
          <w:color w:val="auto"/>
        </w:rPr>
        <w:t>“</w:t>
      </w:r>
      <w:r>
        <w:rPr>
          <w:rFonts w:ascii="宋体" w:hAnsi="宋体"/>
          <w:color w:val="auto"/>
        </w:rPr>
        <w:t>项目环评重在落实环境质量目标管理要求，优化环保措施，强化环境风险防控，做好与排污许可的衔接。</w:t>
      </w:r>
      <w:r>
        <w:rPr>
          <w:color w:val="auto"/>
        </w:rPr>
        <w:t>”</w:t>
      </w:r>
      <w:r>
        <w:rPr>
          <w:rFonts w:ascii="宋体" w:hAnsi="宋体"/>
          <w:color w:val="auto"/>
        </w:rPr>
        <w:t>环境保护部办公厅于</w:t>
      </w:r>
      <w:r>
        <w:rPr>
          <w:color w:val="auto"/>
        </w:rPr>
        <w:t>2017</w:t>
      </w:r>
      <w:r>
        <w:rPr>
          <w:rFonts w:ascii="宋体" w:hAnsi="宋体"/>
          <w:color w:val="auto"/>
        </w:rPr>
        <w:t>年</w:t>
      </w:r>
      <w:r>
        <w:rPr>
          <w:color w:val="auto"/>
        </w:rPr>
        <w:t>11</w:t>
      </w:r>
      <w:r>
        <w:rPr>
          <w:rFonts w:ascii="宋体" w:hAnsi="宋体"/>
          <w:color w:val="auto"/>
        </w:rPr>
        <w:t>月</w:t>
      </w:r>
      <w:r>
        <w:rPr>
          <w:color w:val="auto"/>
        </w:rPr>
        <w:t>14</w:t>
      </w:r>
      <w:r>
        <w:rPr>
          <w:rFonts w:ascii="宋体" w:hAnsi="宋体"/>
          <w:color w:val="auto"/>
        </w:rPr>
        <w:t>日印发《关于做好环境影响评价制度与排污许可证衔接相关工作的通知》（环办环评﹝</w:t>
      </w:r>
      <w:r>
        <w:rPr>
          <w:color w:val="auto"/>
        </w:rPr>
        <w:t>2017</w:t>
      </w:r>
      <w:r>
        <w:rPr>
          <w:rFonts w:ascii="宋体" w:hAnsi="宋体"/>
          <w:color w:val="auto"/>
        </w:rPr>
        <w:t>﹞</w:t>
      </w:r>
      <w:r>
        <w:rPr>
          <w:color w:val="auto"/>
        </w:rPr>
        <w:t>84</w:t>
      </w:r>
      <w:r>
        <w:rPr>
          <w:rFonts w:ascii="宋体" w:hAnsi="宋体"/>
          <w:color w:val="auto"/>
        </w:rPr>
        <w:t>号）中提出：</w:t>
      </w:r>
      <w:r>
        <w:rPr>
          <w:color w:val="auto"/>
        </w:rPr>
        <w:t>“</w:t>
      </w:r>
      <w:r>
        <w:rPr>
          <w:rFonts w:ascii="宋体" w:hAnsi="宋体"/>
          <w:color w:val="auto"/>
        </w:rPr>
        <w:t>排污许可制是企事业单位生产运营期排污的法律依据，是确保环境影响评价提出的污染防治设施和措施落实落地的重要保障。</w:t>
      </w:r>
      <w:r>
        <w:rPr>
          <w:color w:val="auto"/>
        </w:rPr>
        <w:t>”</w:t>
      </w:r>
    </w:p>
    <w:p w14:paraId="49BF2E7B">
      <w:pPr>
        <w:ind w:firstLine="480"/>
        <w:rPr>
          <w:color w:val="auto"/>
        </w:rPr>
      </w:pPr>
      <w:r>
        <w:rPr>
          <w:rFonts w:ascii="宋体" w:hAnsi="宋体"/>
          <w:color w:val="auto"/>
        </w:rPr>
        <w:t>综上，项目必须在发生实际排污行为之前申领排污许可证，环境影响评价文件及批复中与污染物排放相关的主要内容应当纳入排污许可证，其排污许可证执行情况应作为环境影响后评价的重要依据。</w:t>
      </w:r>
    </w:p>
    <w:p w14:paraId="4666F48F">
      <w:pPr>
        <w:ind w:firstLine="480"/>
        <w:rPr>
          <w:color w:val="auto"/>
        </w:rPr>
      </w:pPr>
      <w:r>
        <w:rPr>
          <w:rFonts w:ascii="宋体" w:hAnsi="宋体"/>
          <w:color w:val="auto"/>
        </w:rPr>
        <w:t>建设单位在申请排污许可证前，应当将主要申请内容，包括排污单位基本信息、拟申请的许可事项、产排污环节、污染防治措施，通过国家排污许可证管理信息平台或者其他规定途径等便于公众知晓的方式向社会公开。建设单位对排污许可证申请材料的真实性、合法性、完整性负法律责任；承诺按照排污许可证的规定排污并严格执行；按照相关标准规范开展自行监测、台账记录；按时提交执行报告并及时公开相关信息</w:t>
      </w:r>
      <w:r>
        <w:rPr>
          <w:rFonts w:hint="eastAsia"/>
          <w:color w:val="auto"/>
        </w:rPr>
        <w:t>。</w:t>
      </w:r>
    </w:p>
    <w:p w14:paraId="60004EA0">
      <w:pPr>
        <w:ind w:firstLine="480"/>
        <w:rPr>
          <w:color w:val="auto"/>
        </w:rPr>
      </w:pPr>
      <w:r>
        <w:rPr>
          <w:rFonts w:hint="eastAsia"/>
          <w:color w:val="auto"/>
        </w:rPr>
        <w:t>排污许可制作为国家环境治理体系的重要组成部分，是固定污染源监管制度体系的核心制度。本项目应按照《排污许可管理条例》《排污许可管理办法》的相关要求，在建设完成实际排污行为发生之前依法依规申领排污许可证，在运营投产排污过程中做到持证排污、按证排污。</w:t>
      </w:r>
    </w:p>
    <w:p w14:paraId="06D53941">
      <w:pPr>
        <w:pStyle w:val="4"/>
        <w:rPr>
          <w:color w:val="auto"/>
        </w:rPr>
      </w:pPr>
      <w:bookmarkStart w:id="669" w:name="_Toc225216891"/>
      <w:bookmarkStart w:id="670" w:name="_Toc199190691"/>
      <w:bookmarkStart w:id="671" w:name="_Toc198391443"/>
      <w:bookmarkStart w:id="672" w:name="_Toc198390790"/>
      <w:bookmarkStart w:id="673" w:name="_Toc199169199"/>
      <w:r>
        <w:rPr>
          <w:rFonts w:hint="eastAsia"/>
          <w:color w:val="auto"/>
        </w:rPr>
        <w:t>社会公开信息内容</w:t>
      </w:r>
      <w:bookmarkEnd w:id="669"/>
      <w:bookmarkEnd w:id="670"/>
      <w:bookmarkEnd w:id="671"/>
      <w:bookmarkEnd w:id="672"/>
      <w:bookmarkEnd w:id="673"/>
    </w:p>
    <w:p w14:paraId="3D022005">
      <w:pPr>
        <w:ind w:firstLine="480"/>
        <w:rPr>
          <w:color w:val="auto"/>
        </w:rPr>
      </w:pPr>
      <w:r>
        <w:rPr>
          <w:rFonts w:hint="eastAsia"/>
          <w:color w:val="auto"/>
        </w:rPr>
        <w:t>根据《建设项目环境影响评价信息公开机制方案》（环发〔2015〕162号）的要求，建设单位应建立信息公开机制。</w:t>
      </w:r>
    </w:p>
    <w:p w14:paraId="15933C81">
      <w:pPr>
        <w:ind w:firstLine="480"/>
        <w:rPr>
          <w:color w:val="auto"/>
        </w:rPr>
      </w:pPr>
      <w:r>
        <w:rPr>
          <w:rFonts w:hint="eastAsia"/>
          <w:color w:val="auto"/>
        </w:rPr>
        <w:t>①项目报批前：建设单位在建设项目环境影响报告书编制完成后，向环境保护主管部门报批前，向社会公开环境影响报告书全本。</w:t>
      </w:r>
    </w:p>
    <w:p w14:paraId="4C84EECA">
      <w:pPr>
        <w:ind w:firstLine="480"/>
        <w:rPr>
          <w:color w:val="auto"/>
        </w:rPr>
      </w:pPr>
      <w:r>
        <w:rPr>
          <w:rFonts w:hint="eastAsia"/>
          <w:color w:val="auto"/>
        </w:rPr>
        <w:t>②建设项目开工建设前：建设单位应当向社会公开建设项目开工日期、设计单位、施工单位和环境监理单位、工程基本情况、拟采取的环境保护措施清单和实施计划、由地方政府或相关部门负责配套的环境保护措施清单和实施计划等，并确保上述信息在整个施工期内均处于公开状态。</w:t>
      </w:r>
    </w:p>
    <w:p w14:paraId="22C991A1">
      <w:pPr>
        <w:ind w:firstLine="480"/>
        <w:rPr>
          <w:color w:val="auto"/>
        </w:rPr>
      </w:pPr>
      <w:r>
        <w:rPr>
          <w:rFonts w:hint="eastAsia"/>
          <w:color w:val="auto"/>
        </w:rPr>
        <w:t>③建设项目施工过程：建设单位应当在施工中期向社会公开建设项目环境保护措施进展情况、施工期的环境保护措施落实情况、施工期环境监理情况、施工期环境监测结果等。</w:t>
      </w:r>
    </w:p>
    <w:p w14:paraId="29E48397">
      <w:pPr>
        <w:ind w:firstLine="480"/>
        <w:rPr>
          <w:color w:val="auto"/>
        </w:rPr>
      </w:pPr>
      <w:r>
        <w:rPr>
          <w:rFonts w:hint="eastAsia"/>
          <w:color w:val="auto"/>
        </w:rPr>
        <w:t>④建设项目建成后：建设单位应当向社会公开建设项目环评提出的各项环境保护设施和措施执行情况、竣工环境保护验收监测和调查结果。对主要因排放污染物对环境产生影响的建设项目，投入生产或使用后，应当定期向社会特别是周边社区公开主要污染物排放情况。</w:t>
      </w:r>
    </w:p>
    <w:p w14:paraId="3E98F0E0">
      <w:pPr>
        <w:pStyle w:val="3"/>
        <w:rPr>
          <w:color w:val="auto"/>
        </w:rPr>
      </w:pPr>
      <w:bookmarkStart w:id="674" w:name="_Toc221355756"/>
      <w:bookmarkStart w:id="675" w:name="_Toc199190692"/>
      <w:bookmarkStart w:id="676" w:name="_Toc198391444"/>
      <w:bookmarkStart w:id="677" w:name="_Toc198390791"/>
      <w:bookmarkStart w:id="678" w:name="_Toc199169200"/>
      <w:bookmarkStart w:id="679" w:name="_Toc225216892"/>
      <w:bookmarkStart w:id="680" w:name="_Toc198390069"/>
      <w:r>
        <w:rPr>
          <w:rFonts w:hint="eastAsia"/>
          <w:color w:val="auto"/>
        </w:rPr>
        <w:t>环境监测计划</w:t>
      </w:r>
      <w:bookmarkEnd w:id="674"/>
      <w:bookmarkEnd w:id="675"/>
      <w:bookmarkEnd w:id="676"/>
      <w:bookmarkEnd w:id="677"/>
      <w:bookmarkEnd w:id="678"/>
      <w:bookmarkEnd w:id="679"/>
      <w:bookmarkEnd w:id="680"/>
    </w:p>
    <w:p w14:paraId="0C5DA3FC">
      <w:pPr>
        <w:ind w:firstLine="480"/>
        <w:rPr>
          <w:color w:val="auto"/>
        </w:rPr>
      </w:pPr>
      <w:r>
        <w:rPr>
          <w:rFonts w:hint="eastAsia"/>
          <w:color w:val="auto"/>
        </w:rPr>
        <w:t>环境监测，是指在项目工程施工期和运营期对工程主要污染对象进行环境样品的采集、化验、数据处理与编制报告，并积极应对项目出现的各类环境问题。环境监控计划的制定和执行，是环境管理的依据和基础，它为环境统计和环境定量评价提供科学依据，可以保证各项污染防治措施的实施与落实，可以及时发现环保措施出现的问题并进行修正和改进。</w:t>
      </w:r>
    </w:p>
    <w:p w14:paraId="7F68AF85">
      <w:pPr>
        <w:ind w:firstLine="480"/>
        <w:rPr>
          <w:color w:val="auto"/>
        </w:rPr>
      </w:pPr>
      <w:r>
        <w:rPr>
          <w:rFonts w:hint="eastAsia"/>
          <w:color w:val="auto"/>
        </w:rPr>
        <w:t>《排污单位自行监测技术指南 总则》（HJ819-2017）、《排污单位自行监测技术指南 造纸工业》（HJ821-2017）、《工业企业土壤和地下水自行监测 技术指南（试行）》（HJ 1209-2021）等提出了自行监测的一般要求、监测方案制定、信息记录和报告的基本内容和要求，本评价参照造纸业监测技术指南中相关内容，结合本项目特征，制定项目的环境监测计划。对于无相应环境质量标准的监测因子，保留其自行监测背景值，企业根据每期监测情况进行背景值变化趋势分析。</w:t>
      </w:r>
    </w:p>
    <w:p w14:paraId="4911FD95">
      <w:pPr>
        <w:ind w:firstLine="480"/>
        <w:rPr>
          <w:color w:val="auto"/>
        </w:rPr>
      </w:pPr>
      <w:r>
        <w:rPr>
          <w:rFonts w:hint="eastAsia"/>
          <w:color w:val="auto"/>
        </w:rPr>
        <w:t>运行期环境监测计划按照《排污单位自行监测技术指南 总则》（HJ819-2017）、《排污单位自行监测技术指南 造纸工业》（HJ821-2017）和《工业企业土壤和地下水自行监测技术指南》（HJ1209-2021）等相关要求制定和执行。</w:t>
      </w:r>
    </w:p>
    <w:p w14:paraId="628AE522">
      <w:pPr>
        <w:pStyle w:val="4"/>
        <w:rPr>
          <w:color w:val="auto"/>
        </w:rPr>
      </w:pPr>
      <w:bookmarkStart w:id="681" w:name="_Toc225216893"/>
      <w:r>
        <w:rPr>
          <w:rFonts w:hint="eastAsia"/>
          <w:color w:val="auto"/>
        </w:rPr>
        <w:t>现有工程污染源监测计划</w:t>
      </w:r>
      <w:bookmarkEnd w:id="681"/>
    </w:p>
    <w:p w14:paraId="1B816A0F">
      <w:pPr>
        <w:pStyle w:val="5"/>
        <w:rPr>
          <w:color w:val="auto"/>
        </w:rPr>
      </w:pPr>
      <w:r>
        <w:rPr>
          <w:rFonts w:hint="eastAsia"/>
          <w:color w:val="auto"/>
        </w:rPr>
        <w:t>现有工程污染源监测计划</w:t>
      </w:r>
    </w:p>
    <w:p w14:paraId="5D217587">
      <w:pPr>
        <w:ind w:firstLine="480"/>
        <w:rPr>
          <w:color w:val="auto"/>
        </w:rPr>
      </w:pPr>
      <w:r>
        <w:rPr>
          <w:rFonts w:hint="eastAsia"/>
          <w:color w:val="auto"/>
        </w:rPr>
        <w:t>企业现有工程已建立一套环境监测计划，具体监测方案如下：</w:t>
      </w:r>
    </w:p>
    <w:p w14:paraId="40216326">
      <w:pPr>
        <w:ind w:firstLine="480"/>
        <w:rPr>
          <w:color w:val="auto"/>
        </w:rPr>
        <w:sectPr>
          <w:headerReference r:id="rId43" w:type="default"/>
          <w:pgSz w:w="11906" w:h="16838"/>
          <w:pgMar w:top="1418" w:right="1418" w:bottom="1418" w:left="1418" w:header="851" w:footer="992" w:gutter="0"/>
          <w:cols w:space="425" w:num="1"/>
          <w:docGrid w:type="lines" w:linePitch="312" w:charSpace="0"/>
        </w:sectPr>
      </w:pPr>
    </w:p>
    <w:p w14:paraId="787689E9">
      <w:pPr>
        <w:pStyle w:val="7"/>
        <w:rPr>
          <w:color w:val="auto"/>
        </w:rPr>
      </w:pPr>
      <w:r>
        <w:rPr>
          <w:rFonts w:hint="eastAsia"/>
          <w:color w:val="auto"/>
        </w:rPr>
        <w:t>企业现有污染源监测计划</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2"/>
        <w:gridCol w:w="851"/>
        <w:gridCol w:w="992"/>
        <w:gridCol w:w="1843"/>
        <w:gridCol w:w="2835"/>
        <w:gridCol w:w="850"/>
        <w:gridCol w:w="1134"/>
        <w:gridCol w:w="4925"/>
      </w:tblGrid>
      <w:tr w14:paraId="390E6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447728C0">
            <w:pPr>
              <w:pStyle w:val="33"/>
              <w:rPr>
                <w:color w:val="auto"/>
              </w:rPr>
            </w:pPr>
            <w:r>
              <w:rPr>
                <w:rFonts w:hint="eastAsia"/>
                <w:color w:val="auto"/>
              </w:rPr>
              <w:t>序号</w:t>
            </w:r>
          </w:p>
        </w:tc>
        <w:tc>
          <w:tcPr>
            <w:tcW w:w="851" w:type="dxa"/>
            <w:vAlign w:val="center"/>
          </w:tcPr>
          <w:p w14:paraId="2A63390D">
            <w:pPr>
              <w:pStyle w:val="33"/>
              <w:rPr>
                <w:color w:val="auto"/>
              </w:rPr>
            </w:pPr>
            <w:r>
              <w:rPr>
                <w:rFonts w:hint="eastAsia"/>
                <w:color w:val="auto"/>
              </w:rPr>
              <w:t>污染源类别</w:t>
            </w:r>
          </w:p>
        </w:tc>
        <w:tc>
          <w:tcPr>
            <w:tcW w:w="992" w:type="dxa"/>
            <w:vAlign w:val="center"/>
          </w:tcPr>
          <w:p w14:paraId="3B905F65">
            <w:pPr>
              <w:pStyle w:val="33"/>
              <w:rPr>
                <w:color w:val="auto"/>
              </w:rPr>
            </w:pPr>
            <w:r>
              <w:rPr>
                <w:rFonts w:hint="eastAsia"/>
                <w:color w:val="auto"/>
              </w:rPr>
              <w:t>排放口编号</w:t>
            </w:r>
          </w:p>
        </w:tc>
        <w:tc>
          <w:tcPr>
            <w:tcW w:w="1843" w:type="dxa"/>
            <w:vAlign w:val="center"/>
          </w:tcPr>
          <w:p w14:paraId="2CA87DF5">
            <w:pPr>
              <w:pStyle w:val="33"/>
              <w:rPr>
                <w:color w:val="auto"/>
              </w:rPr>
            </w:pPr>
            <w:r>
              <w:rPr>
                <w:rFonts w:hint="eastAsia"/>
                <w:color w:val="auto"/>
              </w:rPr>
              <w:t>排放口名称</w:t>
            </w:r>
          </w:p>
        </w:tc>
        <w:tc>
          <w:tcPr>
            <w:tcW w:w="2835" w:type="dxa"/>
            <w:vAlign w:val="center"/>
          </w:tcPr>
          <w:p w14:paraId="56F4F8CB">
            <w:pPr>
              <w:pStyle w:val="33"/>
              <w:rPr>
                <w:color w:val="auto"/>
              </w:rPr>
            </w:pPr>
            <w:r>
              <w:rPr>
                <w:rFonts w:hint="eastAsia"/>
                <w:color w:val="auto"/>
              </w:rPr>
              <w:t>污染物名称</w:t>
            </w:r>
          </w:p>
        </w:tc>
        <w:tc>
          <w:tcPr>
            <w:tcW w:w="850" w:type="dxa"/>
            <w:vAlign w:val="center"/>
          </w:tcPr>
          <w:p w14:paraId="0EF966F4">
            <w:pPr>
              <w:pStyle w:val="33"/>
              <w:rPr>
                <w:color w:val="auto"/>
              </w:rPr>
            </w:pPr>
            <w:r>
              <w:rPr>
                <w:rFonts w:hint="eastAsia"/>
                <w:color w:val="auto"/>
              </w:rPr>
              <w:t>监测设施</w:t>
            </w:r>
          </w:p>
        </w:tc>
        <w:tc>
          <w:tcPr>
            <w:tcW w:w="1134" w:type="dxa"/>
            <w:vAlign w:val="center"/>
          </w:tcPr>
          <w:p w14:paraId="10EF6500">
            <w:pPr>
              <w:pStyle w:val="33"/>
              <w:rPr>
                <w:color w:val="auto"/>
              </w:rPr>
            </w:pPr>
            <w:r>
              <w:rPr>
                <w:rFonts w:hint="eastAsia"/>
                <w:color w:val="auto"/>
              </w:rPr>
              <w:t>监测频次</w:t>
            </w:r>
          </w:p>
        </w:tc>
        <w:tc>
          <w:tcPr>
            <w:tcW w:w="4925" w:type="dxa"/>
            <w:vAlign w:val="center"/>
          </w:tcPr>
          <w:p w14:paraId="4B0279FB">
            <w:pPr>
              <w:pStyle w:val="33"/>
              <w:rPr>
                <w:color w:val="auto"/>
              </w:rPr>
            </w:pPr>
            <w:r>
              <w:rPr>
                <w:rFonts w:hint="eastAsia"/>
                <w:color w:val="auto"/>
              </w:rPr>
              <w:t>执行标准</w:t>
            </w:r>
          </w:p>
        </w:tc>
      </w:tr>
      <w:tr w14:paraId="42A1D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78DA3948">
            <w:pPr>
              <w:pStyle w:val="33"/>
              <w:rPr>
                <w:color w:val="auto"/>
              </w:rPr>
            </w:pPr>
            <w:r>
              <w:rPr>
                <w:rFonts w:hint="eastAsia"/>
                <w:color w:val="auto"/>
              </w:rPr>
              <w:t>1</w:t>
            </w:r>
          </w:p>
        </w:tc>
        <w:tc>
          <w:tcPr>
            <w:tcW w:w="851" w:type="dxa"/>
            <w:vMerge w:val="restart"/>
            <w:vAlign w:val="center"/>
          </w:tcPr>
          <w:p w14:paraId="66D46C2D">
            <w:pPr>
              <w:pStyle w:val="33"/>
              <w:rPr>
                <w:color w:val="auto"/>
              </w:rPr>
            </w:pPr>
            <w:r>
              <w:rPr>
                <w:rFonts w:hint="eastAsia"/>
                <w:color w:val="auto"/>
              </w:rPr>
              <w:t>废气</w:t>
            </w:r>
          </w:p>
        </w:tc>
        <w:tc>
          <w:tcPr>
            <w:tcW w:w="992" w:type="dxa"/>
            <w:vMerge w:val="restart"/>
            <w:vAlign w:val="center"/>
          </w:tcPr>
          <w:p w14:paraId="7E46DF46">
            <w:pPr>
              <w:pStyle w:val="33"/>
              <w:rPr>
                <w:color w:val="auto"/>
              </w:rPr>
            </w:pPr>
            <w:r>
              <w:rPr>
                <w:rFonts w:hint="eastAsia"/>
                <w:color w:val="auto"/>
              </w:rPr>
              <w:t>DA001</w:t>
            </w:r>
          </w:p>
        </w:tc>
        <w:tc>
          <w:tcPr>
            <w:tcW w:w="1843" w:type="dxa"/>
            <w:vMerge w:val="restart"/>
            <w:vAlign w:val="center"/>
          </w:tcPr>
          <w:p w14:paraId="7FF073F7">
            <w:pPr>
              <w:pStyle w:val="33"/>
              <w:rPr>
                <w:color w:val="auto"/>
              </w:rPr>
            </w:pPr>
            <w:r>
              <w:rPr>
                <w:rFonts w:hint="eastAsia"/>
                <w:color w:val="auto"/>
              </w:rPr>
              <w:t>碱回收炉</w:t>
            </w:r>
          </w:p>
        </w:tc>
        <w:tc>
          <w:tcPr>
            <w:tcW w:w="2835" w:type="dxa"/>
            <w:vAlign w:val="center"/>
          </w:tcPr>
          <w:p w14:paraId="469DCE87">
            <w:pPr>
              <w:pStyle w:val="33"/>
              <w:rPr>
                <w:color w:val="auto"/>
              </w:rPr>
            </w:pPr>
            <w:r>
              <w:rPr>
                <w:rFonts w:hint="eastAsia"/>
                <w:color w:val="auto"/>
              </w:rPr>
              <w:t>氮氧化物、二氧化硫、烟尘</w:t>
            </w:r>
          </w:p>
        </w:tc>
        <w:tc>
          <w:tcPr>
            <w:tcW w:w="850" w:type="dxa"/>
            <w:vAlign w:val="center"/>
          </w:tcPr>
          <w:p w14:paraId="2F08FE5D">
            <w:pPr>
              <w:pStyle w:val="33"/>
              <w:rPr>
                <w:color w:val="auto"/>
              </w:rPr>
            </w:pPr>
            <w:r>
              <w:rPr>
                <w:rFonts w:hint="eastAsia"/>
                <w:color w:val="auto"/>
              </w:rPr>
              <w:t>自动</w:t>
            </w:r>
          </w:p>
        </w:tc>
        <w:tc>
          <w:tcPr>
            <w:tcW w:w="1134" w:type="dxa"/>
            <w:vAlign w:val="center"/>
          </w:tcPr>
          <w:p w14:paraId="07131027">
            <w:pPr>
              <w:pStyle w:val="33"/>
              <w:rPr>
                <w:color w:val="auto"/>
              </w:rPr>
            </w:pPr>
            <w:r>
              <w:rPr>
                <w:rFonts w:hint="eastAsia"/>
                <w:color w:val="auto"/>
              </w:rPr>
              <w:t>/</w:t>
            </w:r>
          </w:p>
        </w:tc>
        <w:tc>
          <w:tcPr>
            <w:tcW w:w="4925" w:type="dxa"/>
            <w:vMerge w:val="restart"/>
            <w:vAlign w:val="center"/>
          </w:tcPr>
          <w:p w14:paraId="015F5DE5">
            <w:pPr>
              <w:pStyle w:val="33"/>
              <w:rPr>
                <w:color w:val="auto"/>
              </w:rPr>
            </w:pPr>
            <w:r>
              <w:rPr>
                <w:rFonts w:hint="eastAsia"/>
                <w:color w:val="auto"/>
              </w:rPr>
              <w:t>《锅炉大气污染物排放标准》（GB13271-2014）</w:t>
            </w:r>
          </w:p>
        </w:tc>
      </w:tr>
      <w:tr w14:paraId="42184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5B7BB25">
            <w:pPr>
              <w:pStyle w:val="33"/>
              <w:rPr>
                <w:color w:val="auto"/>
              </w:rPr>
            </w:pPr>
          </w:p>
        </w:tc>
        <w:tc>
          <w:tcPr>
            <w:tcW w:w="851" w:type="dxa"/>
            <w:vMerge w:val="continue"/>
            <w:vAlign w:val="center"/>
          </w:tcPr>
          <w:p w14:paraId="04935F60">
            <w:pPr>
              <w:pStyle w:val="33"/>
              <w:rPr>
                <w:color w:val="auto"/>
              </w:rPr>
            </w:pPr>
          </w:p>
        </w:tc>
        <w:tc>
          <w:tcPr>
            <w:tcW w:w="992" w:type="dxa"/>
            <w:vMerge w:val="continue"/>
            <w:vAlign w:val="center"/>
          </w:tcPr>
          <w:p w14:paraId="24BE8CB1">
            <w:pPr>
              <w:pStyle w:val="33"/>
              <w:rPr>
                <w:color w:val="auto"/>
              </w:rPr>
            </w:pPr>
          </w:p>
        </w:tc>
        <w:tc>
          <w:tcPr>
            <w:tcW w:w="1843" w:type="dxa"/>
            <w:vMerge w:val="continue"/>
            <w:vAlign w:val="center"/>
          </w:tcPr>
          <w:p w14:paraId="3D281939">
            <w:pPr>
              <w:pStyle w:val="33"/>
              <w:rPr>
                <w:color w:val="auto"/>
              </w:rPr>
            </w:pPr>
          </w:p>
        </w:tc>
        <w:tc>
          <w:tcPr>
            <w:tcW w:w="2835" w:type="dxa"/>
            <w:vAlign w:val="center"/>
          </w:tcPr>
          <w:p w14:paraId="465C7F04">
            <w:pPr>
              <w:pStyle w:val="33"/>
              <w:rPr>
                <w:color w:val="auto"/>
              </w:rPr>
            </w:pPr>
            <w:r>
              <w:rPr>
                <w:rFonts w:hint="eastAsia"/>
                <w:color w:val="auto"/>
              </w:rPr>
              <w:t>林格曼黑度、汞及其化合物</w:t>
            </w:r>
          </w:p>
        </w:tc>
        <w:tc>
          <w:tcPr>
            <w:tcW w:w="850" w:type="dxa"/>
            <w:vAlign w:val="center"/>
          </w:tcPr>
          <w:p w14:paraId="65819817">
            <w:pPr>
              <w:pStyle w:val="33"/>
              <w:rPr>
                <w:color w:val="auto"/>
              </w:rPr>
            </w:pPr>
            <w:r>
              <w:rPr>
                <w:rFonts w:hint="eastAsia"/>
                <w:color w:val="auto"/>
              </w:rPr>
              <w:t>手工</w:t>
            </w:r>
          </w:p>
        </w:tc>
        <w:tc>
          <w:tcPr>
            <w:tcW w:w="1134" w:type="dxa"/>
            <w:vAlign w:val="center"/>
          </w:tcPr>
          <w:p w14:paraId="37B489D1">
            <w:pPr>
              <w:pStyle w:val="33"/>
              <w:rPr>
                <w:color w:val="auto"/>
              </w:rPr>
            </w:pPr>
            <w:r>
              <w:rPr>
                <w:rFonts w:hint="eastAsia"/>
                <w:color w:val="auto"/>
              </w:rPr>
              <w:t>1次/季</w:t>
            </w:r>
          </w:p>
        </w:tc>
        <w:tc>
          <w:tcPr>
            <w:tcW w:w="4925" w:type="dxa"/>
            <w:vMerge w:val="continue"/>
            <w:vAlign w:val="center"/>
          </w:tcPr>
          <w:p w14:paraId="2417DA23">
            <w:pPr>
              <w:pStyle w:val="33"/>
              <w:rPr>
                <w:color w:val="auto"/>
              </w:rPr>
            </w:pPr>
          </w:p>
        </w:tc>
      </w:tr>
      <w:tr w14:paraId="7E325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388C5FC9">
            <w:pPr>
              <w:pStyle w:val="33"/>
              <w:rPr>
                <w:color w:val="auto"/>
              </w:rPr>
            </w:pPr>
            <w:r>
              <w:rPr>
                <w:rFonts w:hint="eastAsia"/>
                <w:color w:val="auto"/>
              </w:rPr>
              <w:t>2</w:t>
            </w:r>
          </w:p>
        </w:tc>
        <w:tc>
          <w:tcPr>
            <w:tcW w:w="851" w:type="dxa"/>
            <w:vMerge w:val="restart"/>
            <w:vAlign w:val="center"/>
          </w:tcPr>
          <w:p w14:paraId="7C437230">
            <w:pPr>
              <w:pStyle w:val="33"/>
              <w:rPr>
                <w:color w:val="auto"/>
              </w:rPr>
            </w:pPr>
            <w:r>
              <w:rPr>
                <w:rFonts w:hint="eastAsia"/>
                <w:color w:val="auto"/>
              </w:rPr>
              <w:t>废气</w:t>
            </w:r>
          </w:p>
        </w:tc>
        <w:tc>
          <w:tcPr>
            <w:tcW w:w="992" w:type="dxa"/>
            <w:vMerge w:val="restart"/>
            <w:vAlign w:val="center"/>
          </w:tcPr>
          <w:p w14:paraId="4280A947">
            <w:pPr>
              <w:pStyle w:val="33"/>
              <w:rPr>
                <w:color w:val="auto"/>
              </w:rPr>
            </w:pPr>
            <w:r>
              <w:rPr>
                <w:rFonts w:hint="eastAsia"/>
                <w:color w:val="auto"/>
              </w:rPr>
              <w:t>DA006</w:t>
            </w:r>
          </w:p>
        </w:tc>
        <w:tc>
          <w:tcPr>
            <w:tcW w:w="1843" w:type="dxa"/>
            <w:vMerge w:val="restart"/>
            <w:vAlign w:val="center"/>
          </w:tcPr>
          <w:p w14:paraId="5CEADCC9">
            <w:pPr>
              <w:pStyle w:val="33"/>
              <w:rPr>
                <w:color w:val="auto"/>
              </w:rPr>
            </w:pPr>
            <w:r>
              <w:rPr>
                <w:rFonts w:hint="eastAsia"/>
                <w:color w:val="auto"/>
              </w:rPr>
              <w:t>1#动力锅炉</w:t>
            </w:r>
          </w:p>
        </w:tc>
        <w:tc>
          <w:tcPr>
            <w:tcW w:w="2835" w:type="dxa"/>
            <w:vAlign w:val="center"/>
          </w:tcPr>
          <w:p w14:paraId="3924FC9D">
            <w:pPr>
              <w:pStyle w:val="33"/>
              <w:rPr>
                <w:color w:val="auto"/>
              </w:rPr>
            </w:pPr>
            <w:r>
              <w:rPr>
                <w:rFonts w:hint="eastAsia"/>
                <w:color w:val="auto"/>
              </w:rPr>
              <w:t>氮氧化物、二氧化硫、烟尘</w:t>
            </w:r>
          </w:p>
        </w:tc>
        <w:tc>
          <w:tcPr>
            <w:tcW w:w="850" w:type="dxa"/>
            <w:vAlign w:val="center"/>
          </w:tcPr>
          <w:p w14:paraId="5AFBD499">
            <w:pPr>
              <w:pStyle w:val="33"/>
              <w:rPr>
                <w:color w:val="auto"/>
              </w:rPr>
            </w:pPr>
            <w:r>
              <w:rPr>
                <w:rFonts w:hint="eastAsia"/>
                <w:color w:val="auto"/>
              </w:rPr>
              <w:t>自动</w:t>
            </w:r>
          </w:p>
        </w:tc>
        <w:tc>
          <w:tcPr>
            <w:tcW w:w="1134" w:type="dxa"/>
            <w:vAlign w:val="center"/>
          </w:tcPr>
          <w:p w14:paraId="0A17C8F4">
            <w:pPr>
              <w:pStyle w:val="33"/>
              <w:rPr>
                <w:color w:val="auto"/>
              </w:rPr>
            </w:pPr>
            <w:r>
              <w:rPr>
                <w:rFonts w:hint="eastAsia"/>
                <w:color w:val="auto"/>
              </w:rPr>
              <w:t>/</w:t>
            </w:r>
          </w:p>
        </w:tc>
        <w:tc>
          <w:tcPr>
            <w:tcW w:w="4925" w:type="dxa"/>
            <w:vMerge w:val="restart"/>
            <w:vAlign w:val="center"/>
          </w:tcPr>
          <w:p w14:paraId="4D84E42C">
            <w:pPr>
              <w:pStyle w:val="33"/>
              <w:rPr>
                <w:color w:val="auto"/>
              </w:rPr>
            </w:pPr>
            <w:r>
              <w:rPr>
                <w:rFonts w:hint="eastAsia"/>
                <w:color w:val="auto"/>
              </w:rPr>
              <w:t>《火电厂大气污染物排放标准》（GB132223-2011）</w:t>
            </w:r>
          </w:p>
        </w:tc>
      </w:tr>
      <w:tr w14:paraId="02FA2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6CBE3E04">
            <w:pPr>
              <w:pStyle w:val="33"/>
              <w:rPr>
                <w:color w:val="auto"/>
              </w:rPr>
            </w:pPr>
          </w:p>
        </w:tc>
        <w:tc>
          <w:tcPr>
            <w:tcW w:w="851" w:type="dxa"/>
            <w:vMerge w:val="continue"/>
            <w:vAlign w:val="center"/>
          </w:tcPr>
          <w:p w14:paraId="595E12C4">
            <w:pPr>
              <w:pStyle w:val="33"/>
              <w:rPr>
                <w:color w:val="auto"/>
              </w:rPr>
            </w:pPr>
          </w:p>
        </w:tc>
        <w:tc>
          <w:tcPr>
            <w:tcW w:w="992" w:type="dxa"/>
            <w:vMerge w:val="continue"/>
            <w:vAlign w:val="center"/>
          </w:tcPr>
          <w:p w14:paraId="0902D807">
            <w:pPr>
              <w:pStyle w:val="33"/>
              <w:rPr>
                <w:color w:val="auto"/>
              </w:rPr>
            </w:pPr>
          </w:p>
        </w:tc>
        <w:tc>
          <w:tcPr>
            <w:tcW w:w="1843" w:type="dxa"/>
            <w:vMerge w:val="continue"/>
            <w:vAlign w:val="center"/>
          </w:tcPr>
          <w:p w14:paraId="4D262A75">
            <w:pPr>
              <w:pStyle w:val="33"/>
              <w:rPr>
                <w:color w:val="auto"/>
              </w:rPr>
            </w:pPr>
          </w:p>
        </w:tc>
        <w:tc>
          <w:tcPr>
            <w:tcW w:w="2835" w:type="dxa"/>
            <w:vAlign w:val="center"/>
          </w:tcPr>
          <w:p w14:paraId="4C37A0E5">
            <w:pPr>
              <w:pStyle w:val="33"/>
              <w:rPr>
                <w:color w:val="auto"/>
              </w:rPr>
            </w:pPr>
            <w:r>
              <w:rPr>
                <w:rFonts w:hint="eastAsia"/>
                <w:color w:val="auto"/>
              </w:rPr>
              <w:t>林格曼黑度、汞及其化合物</w:t>
            </w:r>
          </w:p>
        </w:tc>
        <w:tc>
          <w:tcPr>
            <w:tcW w:w="850" w:type="dxa"/>
            <w:vAlign w:val="center"/>
          </w:tcPr>
          <w:p w14:paraId="0D245B98">
            <w:pPr>
              <w:pStyle w:val="33"/>
              <w:rPr>
                <w:color w:val="auto"/>
              </w:rPr>
            </w:pPr>
            <w:r>
              <w:rPr>
                <w:rFonts w:hint="eastAsia"/>
                <w:color w:val="auto"/>
              </w:rPr>
              <w:t>手工</w:t>
            </w:r>
          </w:p>
        </w:tc>
        <w:tc>
          <w:tcPr>
            <w:tcW w:w="1134" w:type="dxa"/>
            <w:vAlign w:val="center"/>
          </w:tcPr>
          <w:p w14:paraId="46DA86FF">
            <w:pPr>
              <w:pStyle w:val="33"/>
              <w:rPr>
                <w:color w:val="auto"/>
              </w:rPr>
            </w:pPr>
            <w:r>
              <w:rPr>
                <w:rFonts w:hint="eastAsia"/>
                <w:color w:val="auto"/>
              </w:rPr>
              <w:t>1次/季</w:t>
            </w:r>
          </w:p>
        </w:tc>
        <w:tc>
          <w:tcPr>
            <w:tcW w:w="4925" w:type="dxa"/>
            <w:vMerge w:val="continue"/>
            <w:vAlign w:val="center"/>
          </w:tcPr>
          <w:p w14:paraId="4879C7FE">
            <w:pPr>
              <w:pStyle w:val="33"/>
              <w:rPr>
                <w:color w:val="auto"/>
              </w:rPr>
            </w:pPr>
          </w:p>
        </w:tc>
      </w:tr>
      <w:tr w14:paraId="012BD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52FFB4C7">
            <w:pPr>
              <w:pStyle w:val="33"/>
              <w:rPr>
                <w:color w:val="auto"/>
              </w:rPr>
            </w:pPr>
            <w:r>
              <w:rPr>
                <w:rFonts w:hint="eastAsia"/>
                <w:color w:val="auto"/>
              </w:rPr>
              <w:t>3</w:t>
            </w:r>
          </w:p>
        </w:tc>
        <w:tc>
          <w:tcPr>
            <w:tcW w:w="851" w:type="dxa"/>
            <w:vMerge w:val="restart"/>
            <w:vAlign w:val="center"/>
          </w:tcPr>
          <w:p w14:paraId="36C70DBD">
            <w:pPr>
              <w:pStyle w:val="33"/>
              <w:rPr>
                <w:color w:val="auto"/>
              </w:rPr>
            </w:pPr>
            <w:r>
              <w:rPr>
                <w:rFonts w:hint="eastAsia"/>
                <w:color w:val="auto"/>
              </w:rPr>
              <w:t>废气</w:t>
            </w:r>
          </w:p>
        </w:tc>
        <w:tc>
          <w:tcPr>
            <w:tcW w:w="992" w:type="dxa"/>
            <w:vMerge w:val="restart"/>
            <w:vAlign w:val="center"/>
          </w:tcPr>
          <w:p w14:paraId="0D66D52B">
            <w:pPr>
              <w:pStyle w:val="33"/>
              <w:rPr>
                <w:color w:val="auto"/>
              </w:rPr>
            </w:pPr>
            <w:r>
              <w:rPr>
                <w:rFonts w:hint="eastAsia"/>
                <w:color w:val="auto"/>
              </w:rPr>
              <w:t>DA007</w:t>
            </w:r>
          </w:p>
        </w:tc>
        <w:tc>
          <w:tcPr>
            <w:tcW w:w="1843" w:type="dxa"/>
            <w:vMerge w:val="restart"/>
            <w:vAlign w:val="center"/>
          </w:tcPr>
          <w:p w14:paraId="3D0C8D5E">
            <w:pPr>
              <w:pStyle w:val="33"/>
              <w:rPr>
                <w:color w:val="auto"/>
              </w:rPr>
            </w:pPr>
            <w:r>
              <w:rPr>
                <w:rFonts w:hint="eastAsia"/>
                <w:color w:val="auto"/>
              </w:rPr>
              <w:t>2#动力锅炉</w:t>
            </w:r>
          </w:p>
        </w:tc>
        <w:tc>
          <w:tcPr>
            <w:tcW w:w="2835" w:type="dxa"/>
            <w:vAlign w:val="center"/>
          </w:tcPr>
          <w:p w14:paraId="25981236">
            <w:pPr>
              <w:pStyle w:val="33"/>
              <w:rPr>
                <w:color w:val="auto"/>
              </w:rPr>
            </w:pPr>
            <w:r>
              <w:rPr>
                <w:rFonts w:hint="eastAsia"/>
                <w:color w:val="auto"/>
              </w:rPr>
              <w:t>氮氧化物、二氧化硫、烟尘</w:t>
            </w:r>
          </w:p>
        </w:tc>
        <w:tc>
          <w:tcPr>
            <w:tcW w:w="850" w:type="dxa"/>
            <w:vAlign w:val="center"/>
          </w:tcPr>
          <w:p w14:paraId="55FF6AE5">
            <w:pPr>
              <w:pStyle w:val="33"/>
              <w:rPr>
                <w:color w:val="auto"/>
              </w:rPr>
            </w:pPr>
            <w:r>
              <w:rPr>
                <w:rFonts w:hint="eastAsia"/>
                <w:color w:val="auto"/>
              </w:rPr>
              <w:t>自动</w:t>
            </w:r>
          </w:p>
        </w:tc>
        <w:tc>
          <w:tcPr>
            <w:tcW w:w="1134" w:type="dxa"/>
            <w:vAlign w:val="center"/>
          </w:tcPr>
          <w:p w14:paraId="42B4C5C2">
            <w:pPr>
              <w:pStyle w:val="33"/>
              <w:rPr>
                <w:color w:val="auto"/>
              </w:rPr>
            </w:pPr>
            <w:r>
              <w:rPr>
                <w:rFonts w:hint="eastAsia"/>
                <w:color w:val="auto"/>
              </w:rPr>
              <w:t>/</w:t>
            </w:r>
          </w:p>
        </w:tc>
        <w:tc>
          <w:tcPr>
            <w:tcW w:w="4925" w:type="dxa"/>
            <w:vMerge w:val="restart"/>
            <w:vAlign w:val="center"/>
          </w:tcPr>
          <w:p w14:paraId="2C1372E7">
            <w:pPr>
              <w:pStyle w:val="33"/>
              <w:rPr>
                <w:color w:val="auto"/>
              </w:rPr>
            </w:pPr>
            <w:r>
              <w:rPr>
                <w:rFonts w:hint="eastAsia"/>
                <w:color w:val="auto"/>
              </w:rPr>
              <w:t>《火电厂大气污染物排放标准》（GB132223-2011）</w:t>
            </w:r>
          </w:p>
        </w:tc>
      </w:tr>
      <w:tr w14:paraId="22D6A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08DA3FAC">
            <w:pPr>
              <w:pStyle w:val="33"/>
              <w:rPr>
                <w:color w:val="auto"/>
              </w:rPr>
            </w:pPr>
          </w:p>
        </w:tc>
        <w:tc>
          <w:tcPr>
            <w:tcW w:w="851" w:type="dxa"/>
            <w:vMerge w:val="continue"/>
            <w:vAlign w:val="center"/>
          </w:tcPr>
          <w:p w14:paraId="37C96A00">
            <w:pPr>
              <w:pStyle w:val="33"/>
              <w:rPr>
                <w:color w:val="auto"/>
              </w:rPr>
            </w:pPr>
          </w:p>
        </w:tc>
        <w:tc>
          <w:tcPr>
            <w:tcW w:w="992" w:type="dxa"/>
            <w:vMerge w:val="continue"/>
            <w:vAlign w:val="center"/>
          </w:tcPr>
          <w:p w14:paraId="44F4500A">
            <w:pPr>
              <w:pStyle w:val="33"/>
              <w:rPr>
                <w:color w:val="auto"/>
              </w:rPr>
            </w:pPr>
          </w:p>
        </w:tc>
        <w:tc>
          <w:tcPr>
            <w:tcW w:w="1843" w:type="dxa"/>
            <w:vMerge w:val="continue"/>
            <w:vAlign w:val="center"/>
          </w:tcPr>
          <w:p w14:paraId="6BAF5D1B">
            <w:pPr>
              <w:pStyle w:val="33"/>
              <w:rPr>
                <w:color w:val="auto"/>
              </w:rPr>
            </w:pPr>
          </w:p>
        </w:tc>
        <w:tc>
          <w:tcPr>
            <w:tcW w:w="2835" w:type="dxa"/>
            <w:vAlign w:val="center"/>
          </w:tcPr>
          <w:p w14:paraId="4193CDF8">
            <w:pPr>
              <w:pStyle w:val="33"/>
              <w:rPr>
                <w:color w:val="auto"/>
              </w:rPr>
            </w:pPr>
            <w:r>
              <w:rPr>
                <w:rFonts w:hint="eastAsia"/>
                <w:color w:val="auto"/>
              </w:rPr>
              <w:t>林格曼黑度、汞及其化合物</w:t>
            </w:r>
          </w:p>
        </w:tc>
        <w:tc>
          <w:tcPr>
            <w:tcW w:w="850" w:type="dxa"/>
            <w:vAlign w:val="center"/>
          </w:tcPr>
          <w:p w14:paraId="5E5171FE">
            <w:pPr>
              <w:pStyle w:val="33"/>
              <w:rPr>
                <w:color w:val="auto"/>
              </w:rPr>
            </w:pPr>
            <w:r>
              <w:rPr>
                <w:rFonts w:hint="eastAsia"/>
                <w:color w:val="auto"/>
              </w:rPr>
              <w:t>手工</w:t>
            </w:r>
          </w:p>
        </w:tc>
        <w:tc>
          <w:tcPr>
            <w:tcW w:w="1134" w:type="dxa"/>
            <w:vAlign w:val="center"/>
          </w:tcPr>
          <w:p w14:paraId="758F0160">
            <w:pPr>
              <w:pStyle w:val="33"/>
              <w:rPr>
                <w:color w:val="auto"/>
              </w:rPr>
            </w:pPr>
            <w:r>
              <w:rPr>
                <w:rFonts w:hint="eastAsia"/>
                <w:color w:val="auto"/>
              </w:rPr>
              <w:t>1次/季</w:t>
            </w:r>
          </w:p>
        </w:tc>
        <w:tc>
          <w:tcPr>
            <w:tcW w:w="4925" w:type="dxa"/>
            <w:vMerge w:val="continue"/>
            <w:vAlign w:val="center"/>
          </w:tcPr>
          <w:p w14:paraId="0A34B37E">
            <w:pPr>
              <w:pStyle w:val="33"/>
              <w:rPr>
                <w:color w:val="auto"/>
              </w:rPr>
            </w:pPr>
          </w:p>
        </w:tc>
      </w:tr>
      <w:tr w14:paraId="60A27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FC782D2">
            <w:pPr>
              <w:pStyle w:val="33"/>
              <w:rPr>
                <w:color w:val="auto"/>
              </w:rPr>
            </w:pPr>
            <w:r>
              <w:rPr>
                <w:rFonts w:hint="eastAsia"/>
                <w:color w:val="auto"/>
              </w:rPr>
              <w:t>4</w:t>
            </w:r>
          </w:p>
        </w:tc>
        <w:tc>
          <w:tcPr>
            <w:tcW w:w="851" w:type="dxa"/>
            <w:vAlign w:val="center"/>
          </w:tcPr>
          <w:p w14:paraId="43F263D1">
            <w:pPr>
              <w:pStyle w:val="33"/>
              <w:rPr>
                <w:color w:val="auto"/>
              </w:rPr>
            </w:pPr>
            <w:r>
              <w:rPr>
                <w:rFonts w:hint="eastAsia"/>
                <w:color w:val="auto"/>
              </w:rPr>
              <w:t>废气</w:t>
            </w:r>
          </w:p>
        </w:tc>
        <w:tc>
          <w:tcPr>
            <w:tcW w:w="992" w:type="dxa"/>
            <w:vAlign w:val="center"/>
          </w:tcPr>
          <w:p w14:paraId="44EC253D">
            <w:pPr>
              <w:pStyle w:val="33"/>
              <w:rPr>
                <w:color w:val="auto"/>
              </w:rPr>
            </w:pPr>
            <w:r>
              <w:rPr>
                <w:rFonts w:hint="eastAsia"/>
                <w:color w:val="auto"/>
              </w:rPr>
              <w:t>DA008</w:t>
            </w:r>
          </w:p>
        </w:tc>
        <w:tc>
          <w:tcPr>
            <w:tcW w:w="1843" w:type="dxa"/>
            <w:vAlign w:val="center"/>
          </w:tcPr>
          <w:p w14:paraId="325D669C">
            <w:pPr>
              <w:pStyle w:val="33"/>
              <w:rPr>
                <w:color w:val="auto"/>
              </w:rPr>
            </w:pPr>
            <w:r>
              <w:rPr>
                <w:rFonts w:hint="eastAsia"/>
                <w:color w:val="auto"/>
              </w:rPr>
              <w:t>氧化塔</w:t>
            </w:r>
          </w:p>
        </w:tc>
        <w:tc>
          <w:tcPr>
            <w:tcW w:w="2835" w:type="dxa"/>
            <w:vAlign w:val="center"/>
          </w:tcPr>
          <w:p w14:paraId="44363328">
            <w:pPr>
              <w:pStyle w:val="33"/>
              <w:rPr>
                <w:color w:val="auto"/>
              </w:rPr>
            </w:pPr>
            <w:r>
              <w:rPr>
                <w:rFonts w:hint="eastAsia"/>
                <w:color w:val="auto"/>
              </w:rPr>
              <w:t>二甲苯、非甲烷总烃</w:t>
            </w:r>
          </w:p>
        </w:tc>
        <w:tc>
          <w:tcPr>
            <w:tcW w:w="850" w:type="dxa"/>
            <w:vAlign w:val="center"/>
          </w:tcPr>
          <w:p w14:paraId="6E55601E">
            <w:pPr>
              <w:pStyle w:val="33"/>
              <w:rPr>
                <w:color w:val="auto"/>
              </w:rPr>
            </w:pPr>
            <w:r>
              <w:rPr>
                <w:rFonts w:hint="eastAsia"/>
                <w:color w:val="auto"/>
              </w:rPr>
              <w:t>手工</w:t>
            </w:r>
          </w:p>
        </w:tc>
        <w:tc>
          <w:tcPr>
            <w:tcW w:w="1134" w:type="dxa"/>
            <w:vAlign w:val="center"/>
          </w:tcPr>
          <w:p w14:paraId="5C554FE4">
            <w:pPr>
              <w:pStyle w:val="33"/>
              <w:rPr>
                <w:color w:val="auto"/>
              </w:rPr>
            </w:pPr>
            <w:r>
              <w:rPr>
                <w:rFonts w:hint="eastAsia"/>
                <w:color w:val="auto"/>
              </w:rPr>
              <w:t>1次/季</w:t>
            </w:r>
          </w:p>
        </w:tc>
        <w:tc>
          <w:tcPr>
            <w:tcW w:w="4925" w:type="dxa"/>
            <w:vAlign w:val="center"/>
          </w:tcPr>
          <w:p w14:paraId="4FE6B45F">
            <w:pPr>
              <w:pStyle w:val="33"/>
              <w:rPr>
                <w:color w:val="auto"/>
              </w:rPr>
            </w:pPr>
            <w:r>
              <w:rPr>
                <w:rFonts w:hint="eastAsia"/>
                <w:color w:val="auto"/>
              </w:rPr>
              <w:t>《大气污染物综合排放标准》（GB16297-2016）</w:t>
            </w:r>
          </w:p>
        </w:tc>
      </w:tr>
      <w:tr w14:paraId="66FD5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530ECDF2">
            <w:pPr>
              <w:pStyle w:val="33"/>
              <w:rPr>
                <w:color w:val="auto"/>
              </w:rPr>
            </w:pPr>
            <w:r>
              <w:rPr>
                <w:rFonts w:hint="eastAsia"/>
                <w:color w:val="auto"/>
              </w:rPr>
              <w:t>5</w:t>
            </w:r>
          </w:p>
        </w:tc>
        <w:tc>
          <w:tcPr>
            <w:tcW w:w="851" w:type="dxa"/>
            <w:vAlign w:val="center"/>
          </w:tcPr>
          <w:p w14:paraId="79FFA104">
            <w:pPr>
              <w:pStyle w:val="33"/>
              <w:rPr>
                <w:color w:val="auto"/>
              </w:rPr>
            </w:pPr>
            <w:r>
              <w:rPr>
                <w:rFonts w:hint="eastAsia"/>
                <w:color w:val="auto"/>
              </w:rPr>
              <w:t>废气</w:t>
            </w:r>
          </w:p>
        </w:tc>
        <w:tc>
          <w:tcPr>
            <w:tcW w:w="992" w:type="dxa"/>
            <w:vAlign w:val="center"/>
          </w:tcPr>
          <w:p w14:paraId="5ED10A11">
            <w:pPr>
              <w:pStyle w:val="33"/>
              <w:rPr>
                <w:color w:val="auto"/>
              </w:rPr>
            </w:pPr>
            <w:r>
              <w:rPr>
                <w:rFonts w:hint="eastAsia"/>
                <w:color w:val="auto"/>
              </w:rPr>
              <w:t>DA009</w:t>
            </w:r>
          </w:p>
        </w:tc>
        <w:tc>
          <w:tcPr>
            <w:tcW w:w="1843" w:type="dxa"/>
            <w:vAlign w:val="center"/>
          </w:tcPr>
          <w:p w14:paraId="147C1282">
            <w:pPr>
              <w:pStyle w:val="33"/>
              <w:rPr>
                <w:color w:val="auto"/>
              </w:rPr>
            </w:pPr>
            <w:r>
              <w:rPr>
                <w:rFonts w:hint="eastAsia"/>
                <w:color w:val="auto"/>
              </w:rPr>
              <w:t>转化炉</w:t>
            </w:r>
          </w:p>
        </w:tc>
        <w:tc>
          <w:tcPr>
            <w:tcW w:w="2835" w:type="dxa"/>
            <w:vAlign w:val="center"/>
          </w:tcPr>
          <w:p w14:paraId="76DEC104">
            <w:pPr>
              <w:pStyle w:val="33"/>
              <w:rPr>
                <w:color w:val="auto"/>
              </w:rPr>
            </w:pPr>
            <w:r>
              <w:rPr>
                <w:rFonts w:hint="eastAsia"/>
                <w:color w:val="auto"/>
              </w:rPr>
              <w:t>氮氧化物、二氧化硫、烟尘</w:t>
            </w:r>
          </w:p>
        </w:tc>
        <w:tc>
          <w:tcPr>
            <w:tcW w:w="850" w:type="dxa"/>
            <w:vAlign w:val="center"/>
          </w:tcPr>
          <w:p w14:paraId="5A9FB4B5">
            <w:pPr>
              <w:pStyle w:val="33"/>
              <w:rPr>
                <w:color w:val="auto"/>
              </w:rPr>
            </w:pPr>
            <w:r>
              <w:rPr>
                <w:rFonts w:hint="eastAsia"/>
                <w:color w:val="auto"/>
              </w:rPr>
              <w:t>自动</w:t>
            </w:r>
          </w:p>
        </w:tc>
        <w:tc>
          <w:tcPr>
            <w:tcW w:w="1134" w:type="dxa"/>
            <w:vAlign w:val="center"/>
          </w:tcPr>
          <w:p w14:paraId="3BE46024">
            <w:pPr>
              <w:pStyle w:val="33"/>
              <w:rPr>
                <w:color w:val="auto"/>
              </w:rPr>
            </w:pPr>
            <w:r>
              <w:rPr>
                <w:rFonts w:hint="eastAsia"/>
                <w:color w:val="auto"/>
              </w:rPr>
              <w:t>/</w:t>
            </w:r>
          </w:p>
        </w:tc>
        <w:tc>
          <w:tcPr>
            <w:tcW w:w="4925" w:type="dxa"/>
            <w:vAlign w:val="center"/>
          </w:tcPr>
          <w:p w14:paraId="43491D7E">
            <w:pPr>
              <w:pStyle w:val="33"/>
              <w:rPr>
                <w:color w:val="auto"/>
              </w:rPr>
            </w:pPr>
            <w:r>
              <w:rPr>
                <w:rFonts w:hint="eastAsia"/>
                <w:color w:val="auto"/>
              </w:rPr>
              <w:t>《无机化学工业污染物排放标准》（GB31573-2015）</w:t>
            </w:r>
          </w:p>
        </w:tc>
      </w:tr>
      <w:tr w14:paraId="4DB26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1F2C7677">
            <w:pPr>
              <w:pStyle w:val="33"/>
              <w:rPr>
                <w:color w:val="auto"/>
              </w:rPr>
            </w:pPr>
            <w:r>
              <w:rPr>
                <w:rFonts w:hint="eastAsia"/>
                <w:color w:val="auto"/>
              </w:rPr>
              <w:t>6</w:t>
            </w:r>
          </w:p>
        </w:tc>
        <w:tc>
          <w:tcPr>
            <w:tcW w:w="851" w:type="dxa"/>
            <w:vMerge w:val="restart"/>
            <w:vAlign w:val="center"/>
          </w:tcPr>
          <w:p w14:paraId="07C97A57">
            <w:pPr>
              <w:pStyle w:val="33"/>
              <w:rPr>
                <w:color w:val="auto"/>
              </w:rPr>
            </w:pPr>
            <w:r>
              <w:rPr>
                <w:rFonts w:hint="eastAsia"/>
                <w:color w:val="auto"/>
              </w:rPr>
              <w:t>废气</w:t>
            </w:r>
          </w:p>
        </w:tc>
        <w:tc>
          <w:tcPr>
            <w:tcW w:w="992" w:type="dxa"/>
            <w:vMerge w:val="restart"/>
            <w:vAlign w:val="center"/>
          </w:tcPr>
          <w:p w14:paraId="57671D8B">
            <w:pPr>
              <w:pStyle w:val="33"/>
              <w:rPr>
                <w:color w:val="auto"/>
              </w:rPr>
            </w:pPr>
            <w:r>
              <w:rPr>
                <w:rFonts w:hint="eastAsia"/>
                <w:color w:val="auto"/>
              </w:rPr>
              <w:t>DA010</w:t>
            </w:r>
          </w:p>
        </w:tc>
        <w:tc>
          <w:tcPr>
            <w:tcW w:w="1843" w:type="dxa"/>
            <w:vMerge w:val="restart"/>
            <w:vAlign w:val="center"/>
          </w:tcPr>
          <w:p w14:paraId="29E53158">
            <w:pPr>
              <w:pStyle w:val="33"/>
              <w:rPr>
                <w:color w:val="auto"/>
              </w:rPr>
            </w:pPr>
            <w:r>
              <w:rPr>
                <w:rFonts w:hint="eastAsia"/>
                <w:color w:val="auto"/>
              </w:rPr>
              <w:t>3#动力锅炉</w:t>
            </w:r>
          </w:p>
        </w:tc>
        <w:tc>
          <w:tcPr>
            <w:tcW w:w="2835" w:type="dxa"/>
            <w:vAlign w:val="center"/>
          </w:tcPr>
          <w:p w14:paraId="58A2BA42">
            <w:pPr>
              <w:pStyle w:val="33"/>
              <w:rPr>
                <w:color w:val="auto"/>
              </w:rPr>
            </w:pPr>
            <w:r>
              <w:rPr>
                <w:rFonts w:hint="eastAsia"/>
                <w:color w:val="auto"/>
              </w:rPr>
              <w:t>氮氧化物、二氧化硫、烟尘</w:t>
            </w:r>
          </w:p>
        </w:tc>
        <w:tc>
          <w:tcPr>
            <w:tcW w:w="850" w:type="dxa"/>
            <w:vAlign w:val="center"/>
          </w:tcPr>
          <w:p w14:paraId="75D06624">
            <w:pPr>
              <w:pStyle w:val="33"/>
              <w:rPr>
                <w:color w:val="auto"/>
              </w:rPr>
            </w:pPr>
            <w:r>
              <w:rPr>
                <w:rFonts w:hint="eastAsia"/>
                <w:color w:val="auto"/>
              </w:rPr>
              <w:t>自动</w:t>
            </w:r>
          </w:p>
        </w:tc>
        <w:tc>
          <w:tcPr>
            <w:tcW w:w="1134" w:type="dxa"/>
            <w:vAlign w:val="center"/>
          </w:tcPr>
          <w:p w14:paraId="56EB700F">
            <w:pPr>
              <w:pStyle w:val="33"/>
              <w:rPr>
                <w:color w:val="auto"/>
              </w:rPr>
            </w:pPr>
            <w:r>
              <w:rPr>
                <w:rFonts w:hint="eastAsia"/>
                <w:color w:val="auto"/>
              </w:rPr>
              <w:t>/</w:t>
            </w:r>
          </w:p>
        </w:tc>
        <w:tc>
          <w:tcPr>
            <w:tcW w:w="4925" w:type="dxa"/>
            <w:vMerge w:val="restart"/>
            <w:vAlign w:val="center"/>
          </w:tcPr>
          <w:p w14:paraId="2136C864">
            <w:pPr>
              <w:pStyle w:val="33"/>
              <w:rPr>
                <w:color w:val="auto"/>
              </w:rPr>
            </w:pPr>
            <w:r>
              <w:rPr>
                <w:rFonts w:hint="eastAsia"/>
                <w:color w:val="auto"/>
              </w:rPr>
              <w:t>《火电厂大气污染物排放标准》（GB132223-2011）</w:t>
            </w:r>
          </w:p>
        </w:tc>
      </w:tr>
      <w:tr w14:paraId="039CF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15D4349">
            <w:pPr>
              <w:pStyle w:val="33"/>
              <w:rPr>
                <w:color w:val="auto"/>
              </w:rPr>
            </w:pPr>
          </w:p>
        </w:tc>
        <w:tc>
          <w:tcPr>
            <w:tcW w:w="851" w:type="dxa"/>
            <w:vMerge w:val="continue"/>
            <w:vAlign w:val="center"/>
          </w:tcPr>
          <w:p w14:paraId="01EB379E">
            <w:pPr>
              <w:pStyle w:val="33"/>
              <w:rPr>
                <w:color w:val="auto"/>
              </w:rPr>
            </w:pPr>
          </w:p>
        </w:tc>
        <w:tc>
          <w:tcPr>
            <w:tcW w:w="992" w:type="dxa"/>
            <w:vMerge w:val="continue"/>
            <w:vAlign w:val="center"/>
          </w:tcPr>
          <w:p w14:paraId="37C151AF">
            <w:pPr>
              <w:pStyle w:val="33"/>
              <w:rPr>
                <w:color w:val="auto"/>
              </w:rPr>
            </w:pPr>
          </w:p>
        </w:tc>
        <w:tc>
          <w:tcPr>
            <w:tcW w:w="1843" w:type="dxa"/>
            <w:vMerge w:val="continue"/>
            <w:vAlign w:val="center"/>
          </w:tcPr>
          <w:p w14:paraId="0E6783A4">
            <w:pPr>
              <w:pStyle w:val="33"/>
              <w:rPr>
                <w:color w:val="auto"/>
              </w:rPr>
            </w:pPr>
          </w:p>
        </w:tc>
        <w:tc>
          <w:tcPr>
            <w:tcW w:w="2835" w:type="dxa"/>
            <w:vAlign w:val="center"/>
          </w:tcPr>
          <w:p w14:paraId="3431E59F">
            <w:pPr>
              <w:pStyle w:val="33"/>
              <w:rPr>
                <w:color w:val="auto"/>
              </w:rPr>
            </w:pPr>
            <w:r>
              <w:rPr>
                <w:rFonts w:hint="eastAsia"/>
                <w:color w:val="auto"/>
              </w:rPr>
              <w:t>林格曼黑度、汞及其化合物</w:t>
            </w:r>
          </w:p>
        </w:tc>
        <w:tc>
          <w:tcPr>
            <w:tcW w:w="850" w:type="dxa"/>
            <w:vAlign w:val="center"/>
          </w:tcPr>
          <w:p w14:paraId="7942E3B1">
            <w:pPr>
              <w:pStyle w:val="33"/>
              <w:rPr>
                <w:color w:val="auto"/>
              </w:rPr>
            </w:pPr>
            <w:r>
              <w:rPr>
                <w:rFonts w:hint="eastAsia"/>
                <w:color w:val="auto"/>
              </w:rPr>
              <w:t>手工</w:t>
            </w:r>
          </w:p>
        </w:tc>
        <w:tc>
          <w:tcPr>
            <w:tcW w:w="1134" w:type="dxa"/>
            <w:vAlign w:val="center"/>
          </w:tcPr>
          <w:p w14:paraId="162602D3">
            <w:pPr>
              <w:pStyle w:val="33"/>
              <w:rPr>
                <w:color w:val="auto"/>
              </w:rPr>
            </w:pPr>
            <w:r>
              <w:rPr>
                <w:rFonts w:hint="eastAsia"/>
                <w:color w:val="auto"/>
              </w:rPr>
              <w:t>1次/季</w:t>
            </w:r>
          </w:p>
        </w:tc>
        <w:tc>
          <w:tcPr>
            <w:tcW w:w="4925" w:type="dxa"/>
            <w:vMerge w:val="continue"/>
            <w:vAlign w:val="center"/>
          </w:tcPr>
          <w:p w14:paraId="4B472681">
            <w:pPr>
              <w:pStyle w:val="33"/>
              <w:rPr>
                <w:color w:val="auto"/>
              </w:rPr>
            </w:pPr>
          </w:p>
        </w:tc>
      </w:tr>
      <w:tr w14:paraId="6BBEB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3702094C">
            <w:pPr>
              <w:pStyle w:val="33"/>
              <w:rPr>
                <w:color w:val="auto"/>
              </w:rPr>
            </w:pPr>
            <w:r>
              <w:rPr>
                <w:rFonts w:hint="eastAsia"/>
                <w:color w:val="auto"/>
              </w:rPr>
              <w:t>7</w:t>
            </w:r>
          </w:p>
        </w:tc>
        <w:tc>
          <w:tcPr>
            <w:tcW w:w="851" w:type="dxa"/>
            <w:vAlign w:val="center"/>
          </w:tcPr>
          <w:p w14:paraId="642B879E">
            <w:pPr>
              <w:pStyle w:val="33"/>
              <w:rPr>
                <w:color w:val="auto"/>
              </w:rPr>
            </w:pPr>
            <w:r>
              <w:rPr>
                <w:rFonts w:hint="eastAsia"/>
                <w:color w:val="auto"/>
              </w:rPr>
              <w:t>废气</w:t>
            </w:r>
          </w:p>
        </w:tc>
        <w:tc>
          <w:tcPr>
            <w:tcW w:w="992" w:type="dxa"/>
            <w:vAlign w:val="center"/>
          </w:tcPr>
          <w:p w14:paraId="74FE9E86">
            <w:pPr>
              <w:pStyle w:val="33"/>
              <w:rPr>
                <w:color w:val="auto"/>
              </w:rPr>
            </w:pPr>
            <w:r>
              <w:rPr>
                <w:rFonts w:hint="eastAsia"/>
                <w:color w:val="auto"/>
              </w:rPr>
              <w:t>DA028</w:t>
            </w:r>
          </w:p>
        </w:tc>
        <w:tc>
          <w:tcPr>
            <w:tcW w:w="1843" w:type="dxa"/>
            <w:vAlign w:val="center"/>
          </w:tcPr>
          <w:p w14:paraId="67146A9F">
            <w:pPr>
              <w:pStyle w:val="33"/>
              <w:rPr>
                <w:color w:val="auto"/>
              </w:rPr>
            </w:pPr>
            <w:r>
              <w:rPr>
                <w:rFonts w:hint="eastAsia"/>
                <w:color w:val="auto"/>
              </w:rPr>
              <w:t>一期污水洗涤塔</w:t>
            </w:r>
          </w:p>
        </w:tc>
        <w:tc>
          <w:tcPr>
            <w:tcW w:w="2835" w:type="dxa"/>
            <w:vAlign w:val="center"/>
          </w:tcPr>
          <w:p w14:paraId="154B3DFD">
            <w:pPr>
              <w:pStyle w:val="33"/>
              <w:rPr>
                <w:color w:val="auto"/>
              </w:rPr>
            </w:pPr>
            <w:r>
              <w:rPr>
                <w:rFonts w:hint="eastAsia"/>
                <w:color w:val="auto"/>
              </w:rPr>
              <w:t>氨、硫化氢、臭气浓度</w:t>
            </w:r>
          </w:p>
        </w:tc>
        <w:tc>
          <w:tcPr>
            <w:tcW w:w="850" w:type="dxa"/>
            <w:vAlign w:val="center"/>
          </w:tcPr>
          <w:p w14:paraId="0295DFCA">
            <w:pPr>
              <w:pStyle w:val="33"/>
              <w:rPr>
                <w:color w:val="auto"/>
              </w:rPr>
            </w:pPr>
            <w:r>
              <w:rPr>
                <w:rFonts w:hint="eastAsia"/>
                <w:color w:val="auto"/>
              </w:rPr>
              <w:t>手工</w:t>
            </w:r>
          </w:p>
        </w:tc>
        <w:tc>
          <w:tcPr>
            <w:tcW w:w="1134" w:type="dxa"/>
            <w:vAlign w:val="center"/>
          </w:tcPr>
          <w:p w14:paraId="4AB709CB">
            <w:pPr>
              <w:pStyle w:val="33"/>
              <w:rPr>
                <w:color w:val="auto"/>
              </w:rPr>
            </w:pPr>
            <w:r>
              <w:rPr>
                <w:rFonts w:hint="eastAsia"/>
                <w:color w:val="auto"/>
              </w:rPr>
              <w:t>1次/年</w:t>
            </w:r>
          </w:p>
        </w:tc>
        <w:tc>
          <w:tcPr>
            <w:tcW w:w="4925" w:type="dxa"/>
            <w:vAlign w:val="center"/>
          </w:tcPr>
          <w:p w14:paraId="6AFFA08A">
            <w:pPr>
              <w:pStyle w:val="33"/>
              <w:rPr>
                <w:color w:val="auto"/>
              </w:rPr>
            </w:pPr>
            <w:r>
              <w:rPr>
                <w:rFonts w:hint="eastAsia"/>
                <w:color w:val="auto"/>
              </w:rPr>
              <w:t>《恶臭污染物排放标准》（GB14554-93）</w:t>
            </w:r>
          </w:p>
        </w:tc>
      </w:tr>
      <w:tr w14:paraId="2D341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FBCC510">
            <w:pPr>
              <w:pStyle w:val="33"/>
              <w:rPr>
                <w:color w:val="auto"/>
              </w:rPr>
            </w:pPr>
            <w:r>
              <w:rPr>
                <w:rFonts w:hint="eastAsia"/>
                <w:color w:val="auto"/>
              </w:rPr>
              <w:t>8</w:t>
            </w:r>
          </w:p>
        </w:tc>
        <w:tc>
          <w:tcPr>
            <w:tcW w:w="851" w:type="dxa"/>
            <w:vAlign w:val="center"/>
          </w:tcPr>
          <w:p w14:paraId="57E0A830">
            <w:pPr>
              <w:pStyle w:val="33"/>
              <w:rPr>
                <w:color w:val="auto"/>
              </w:rPr>
            </w:pPr>
            <w:r>
              <w:rPr>
                <w:rFonts w:hint="eastAsia"/>
                <w:color w:val="auto"/>
              </w:rPr>
              <w:t>废气</w:t>
            </w:r>
          </w:p>
        </w:tc>
        <w:tc>
          <w:tcPr>
            <w:tcW w:w="992" w:type="dxa"/>
            <w:vAlign w:val="center"/>
          </w:tcPr>
          <w:p w14:paraId="60A12E2D">
            <w:pPr>
              <w:pStyle w:val="33"/>
              <w:rPr>
                <w:color w:val="auto"/>
              </w:rPr>
            </w:pPr>
            <w:r>
              <w:rPr>
                <w:rFonts w:hint="eastAsia"/>
                <w:color w:val="auto"/>
              </w:rPr>
              <w:t>DA029</w:t>
            </w:r>
          </w:p>
        </w:tc>
        <w:tc>
          <w:tcPr>
            <w:tcW w:w="1843" w:type="dxa"/>
            <w:vAlign w:val="center"/>
          </w:tcPr>
          <w:p w14:paraId="22754E0A">
            <w:pPr>
              <w:pStyle w:val="33"/>
              <w:rPr>
                <w:color w:val="auto"/>
              </w:rPr>
            </w:pPr>
            <w:r>
              <w:rPr>
                <w:rFonts w:hint="eastAsia"/>
                <w:color w:val="auto"/>
              </w:rPr>
              <w:t>PM1　１#排气筒</w:t>
            </w:r>
          </w:p>
        </w:tc>
        <w:tc>
          <w:tcPr>
            <w:tcW w:w="2835" w:type="dxa"/>
            <w:vAlign w:val="center"/>
          </w:tcPr>
          <w:p w14:paraId="093F995F">
            <w:pPr>
              <w:pStyle w:val="33"/>
              <w:rPr>
                <w:color w:val="auto"/>
              </w:rPr>
            </w:pPr>
            <w:r>
              <w:rPr>
                <w:rFonts w:hint="eastAsia"/>
                <w:color w:val="auto"/>
              </w:rPr>
              <w:t>氮氧化物、二氧化硫、烟尘</w:t>
            </w:r>
          </w:p>
        </w:tc>
        <w:tc>
          <w:tcPr>
            <w:tcW w:w="850" w:type="dxa"/>
            <w:vAlign w:val="center"/>
          </w:tcPr>
          <w:p w14:paraId="67EB8CC7">
            <w:pPr>
              <w:pStyle w:val="33"/>
              <w:rPr>
                <w:color w:val="auto"/>
              </w:rPr>
            </w:pPr>
            <w:r>
              <w:rPr>
                <w:rFonts w:hint="eastAsia"/>
                <w:color w:val="auto"/>
              </w:rPr>
              <w:t>手工</w:t>
            </w:r>
          </w:p>
        </w:tc>
        <w:tc>
          <w:tcPr>
            <w:tcW w:w="1134" w:type="dxa"/>
            <w:vAlign w:val="center"/>
          </w:tcPr>
          <w:p w14:paraId="5284A222">
            <w:pPr>
              <w:pStyle w:val="33"/>
              <w:rPr>
                <w:color w:val="auto"/>
              </w:rPr>
            </w:pPr>
            <w:r>
              <w:rPr>
                <w:rFonts w:hint="eastAsia"/>
                <w:color w:val="auto"/>
              </w:rPr>
              <w:t>1次/年</w:t>
            </w:r>
          </w:p>
        </w:tc>
        <w:tc>
          <w:tcPr>
            <w:tcW w:w="4925" w:type="dxa"/>
            <w:vAlign w:val="center"/>
          </w:tcPr>
          <w:p w14:paraId="454CC526">
            <w:pPr>
              <w:pStyle w:val="33"/>
              <w:rPr>
                <w:color w:val="auto"/>
              </w:rPr>
            </w:pPr>
            <w:r>
              <w:rPr>
                <w:rFonts w:hint="eastAsia"/>
                <w:color w:val="auto"/>
              </w:rPr>
              <w:t>《大气污染物综合排放标准》（GB16297-1996）</w:t>
            </w:r>
          </w:p>
        </w:tc>
      </w:tr>
      <w:tr w14:paraId="0E32D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41952AA0">
            <w:pPr>
              <w:pStyle w:val="33"/>
              <w:rPr>
                <w:color w:val="auto"/>
              </w:rPr>
            </w:pPr>
            <w:r>
              <w:rPr>
                <w:rFonts w:hint="eastAsia"/>
                <w:color w:val="auto"/>
              </w:rPr>
              <w:t>9</w:t>
            </w:r>
          </w:p>
        </w:tc>
        <w:tc>
          <w:tcPr>
            <w:tcW w:w="851" w:type="dxa"/>
            <w:vAlign w:val="center"/>
          </w:tcPr>
          <w:p w14:paraId="12910D80">
            <w:pPr>
              <w:pStyle w:val="33"/>
              <w:rPr>
                <w:color w:val="auto"/>
              </w:rPr>
            </w:pPr>
            <w:r>
              <w:rPr>
                <w:rFonts w:hint="eastAsia"/>
                <w:color w:val="auto"/>
              </w:rPr>
              <w:t>废气</w:t>
            </w:r>
          </w:p>
        </w:tc>
        <w:tc>
          <w:tcPr>
            <w:tcW w:w="992" w:type="dxa"/>
            <w:vAlign w:val="center"/>
          </w:tcPr>
          <w:p w14:paraId="61BFA504">
            <w:pPr>
              <w:pStyle w:val="33"/>
              <w:rPr>
                <w:color w:val="auto"/>
              </w:rPr>
            </w:pPr>
            <w:r>
              <w:rPr>
                <w:rFonts w:hint="eastAsia"/>
                <w:color w:val="auto"/>
              </w:rPr>
              <w:t>DA030</w:t>
            </w:r>
          </w:p>
        </w:tc>
        <w:tc>
          <w:tcPr>
            <w:tcW w:w="1843" w:type="dxa"/>
            <w:vAlign w:val="center"/>
          </w:tcPr>
          <w:p w14:paraId="102A692A">
            <w:pPr>
              <w:pStyle w:val="33"/>
              <w:rPr>
                <w:color w:val="auto"/>
              </w:rPr>
            </w:pPr>
            <w:r>
              <w:rPr>
                <w:rFonts w:hint="eastAsia"/>
                <w:color w:val="auto"/>
              </w:rPr>
              <w:t>氢化塔</w:t>
            </w:r>
          </w:p>
        </w:tc>
        <w:tc>
          <w:tcPr>
            <w:tcW w:w="2835" w:type="dxa"/>
            <w:vAlign w:val="center"/>
          </w:tcPr>
          <w:p w14:paraId="46113A83">
            <w:pPr>
              <w:pStyle w:val="33"/>
              <w:rPr>
                <w:color w:val="auto"/>
              </w:rPr>
            </w:pPr>
            <w:r>
              <w:rPr>
                <w:rFonts w:hint="eastAsia"/>
                <w:color w:val="auto"/>
              </w:rPr>
              <w:t>非甲烷总烃</w:t>
            </w:r>
          </w:p>
        </w:tc>
        <w:tc>
          <w:tcPr>
            <w:tcW w:w="850" w:type="dxa"/>
            <w:vAlign w:val="center"/>
          </w:tcPr>
          <w:p w14:paraId="1DFE8DA8">
            <w:pPr>
              <w:pStyle w:val="33"/>
              <w:rPr>
                <w:color w:val="auto"/>
              </w:rPr>
            </w:pPr>
            <w:r>
              <w:rPr>
                <w:rFonts w:hint="eastAsia"/>
                <w:color w:val="auto"/>
              </w:rPr>
              <w:t>手工</w:t>
            </w:r>
          </w:p>
        </w:tc>
        <w:tc>
          <w:tcPr>
            <w:tcW w:w="1134" w:type="dxa"/>
            <w:vAlign w:val="center"/>
          </w:tcPr>
          <w:p w14:paraId="498D263F">
            <w:pPr>
              <w:pStyle w:val="33"/>
              <w:rPr>
                <w:color w:val="auto"/>
              </w:rPr>
            </w:pPr>
            <w:r>
              <w:rPr>
                <w:rFonts w:hint="eastAsia"/>
                <w:color w:val="auto"/>
              </w:rPr>
              <w:t>1次/季</w:t>
            </w:r>
          </w:p>
        </w:tc>
        <w:tc>
          <w:tcPr>
            <w:tcW w:w="4925" w:type="dxa"/>
            <w:vAlign w:val="center"/>
          </w:tcPr>
          <w:p w14:paraId="47010BEA">
            <w:pPr>
              <w:pStyle w:val="33"/>
              <w:rPr>
                <w:color w:val="auto"/>
              </w:rPr>
            </w:pPr>
            <w:r>
              <w:rPr>
                <w:rFonts w:hint="eastAsia"/>
                <w:color w:val="auto"/>
              </w:rPr>
              <w:t>《大气污染物综合排放标准》（GB16297-1996）</w:t>
            </w:r>
          </w:p>
        </w:tc>
      </w:tr>
      <w:tr w14:paraId="02536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50AF8D9C">
            <w:pPr>
              <w:pStyle w:val="33"/>
              <w:rPr>
                <w:color w:val="auto"/>
              </w:rPr>
            </w:pPr>
            <w:r>
              <w:rPr>
                <w:rFonts w:hint="eastAsia"/>
                <w:color w:val="auto"/>
              </w:rPr>
              <w:t>10</w:t>
            </w:r>
          </w:p>
        </w:tc>
        <w:tc>
          <w:tcPr>
            <w:tcW w:w="851" w:type="dxa"/>
            <w:vMerge w:val="restart"/>
            <w:vAlign w:val="center"/>
          </w:tcPr>
          <w:p w14:paraId="79D8748F">
            <w:pPr>
              <w:pStyle w:val="33"/>
              <w:rPr>
                <w:color w:val="auto"/>
              </w:rPr>
            </w:pPr>
            <w:r>
              <w:rPr>
                <w:rFonts w:hint="eastAsia"/>
                <w:color w:val="auto"/>
              </w:rPr>
              <w:t>废气</w:t>
            </w:r>
          </w:p>
        </w:tc>
        <w:tc>
          <w:tcPr>
            <w:tcW w:w="992" w:type="dxa"/>
            <w:vMerge w:val="restart"/>
            <w:vAlign w:val="center"/>
          </w:tcPr>
          <w:p w14:paraId="7FFC7873">
            <w:pPr>
              <w:pStyle w:val="33"/>
              <w:rPr>
                <w:color w:val="auto"/>
              </w:rPr>
            </w:pPr>
            <w:r>
              <w:rPr>
                <w:rFonts w:hint="eastAsia"/>
                <w:color w:val="auto"/>
              </w:rPr>
              <w:t>DA031</w:t>
            </w:r>
          </w:p>
        </w:tc>
        <w:tc>
          <w:tcPr>
            <w:tcW w:w="1843" w:type="dxa"/>
            <w:vMerge w:val="restart"/>
            <w:vAlign w:val="center"/>
          </w:tcPr>
          <w:p w14:paraId="13A5C034">
            <w:pPr>
              <w:pStyle w:val="33"/>
              <w:rPr>
                <w:color w:val="auto"/>
              </w:rPr>
            </w:pPr>
            <w:r>
              <w:rPr>
                <w:rFonts w:hint="eastAsia"/>
                <w:color w:val="auto"/>
              </w:rPr>
              <w:t>双氧水污水排气筒</w:t>
            </w:r>
          </w:p>
        </w:tc>
        <w:tc>
          <w:tcPr>
            <w:tcW w:w="2835" w:type="dxa"/>
            <w:vAlign w:val="center"/>
          </w:tcPr>
          <w:p w14:paraId="58CB3812">
            <w:pPr>
              <w:pStyle w:val="33"/>
              <w:rPr>
                <w:color w:val="auto"/>
              </w:rPr>
            </w:pPr>
            <w:r>
              <w:rPr>
                <w:rFonts w:hint="eastAsia"/>
                <w:color w:val="auto"/>
              </w:rPr>
              <w:t>二甲苯、非甲烷总烃</w:t>
            </w:r>
          </w:p>
        </w:tc>
        <w:tc>
          <w:tcPr>
            <w:tcW w:w="850" w:type="dxa"/>
            <w:vAlign w:val="center"/>
          </w:tcPr>
          <w:p w14:paraId="0732F8B0">
            <w:pPr>
              <w:pStyle w:val="33"/>
              <w:rPr>
                <w:color w:val="auto"/>
              </w:rPr>
            </w:pPr>
            <w:r>
              <w:rPr>
                <w:rFonts w:hint="eastAsia"/>
                <w:color w:val="auto"/>
              </w:rPr>
              <w:t>手工</w:t>
            </w:r>
          </w:p>
        </w:tc>
        <w:tc>
          <w:tcPr>
            <w:tcW w:w="1134" w:type="dxa"/>
            <w:vAlign w:val="center"/>
          </w:tcPr>
          <w:p w14:paraId="497B2BDD">
            <w:pPr>
              <w:pStyle w:val="33"/>
              <w:rPr>
                <w:color w:val="auto"/>
              </w:rPr>
            </w:pPr>
            <w:r>
              <w:rPr>
                <w:rFonts w:hint="eastAsia"/>
                <w:color w:val="auto"/>
              </w:rPr>
              <w:t>1次/半年</w:t>
            </w:r>
          </w:p>
        </w:tc>
        <w:tc>
          <w:tcPr>
            <w:tcW w:w="4925" w:type="dxa"/>
            <w:vAlign w:val="center"/>
          </w:tcPr>
          <w:p w14:paraId="154E9268">
            <w:pPr>
              <w:pStyle w:val="33"/>
              <w:rPr>
                <w:color w:val="auto"/>
              </w:rPr>
            </w:pPr>
            <w:r>
              <w:rPr>
                <w:rFonts w:hint="eastAsia"/>
                <w:color w:val="auto"/>
              </w:rPr>
              <w:t>《大气污染物综合排放标准》（GB16297-1996）</w:t>
            </w:r>
          </w:p>
        </w:tc>
      </w:tr>
      <w:tr w14:paraId="4FD3D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53A7C5E3">
            <w:pPr>
              <w:pStyle w:val="33"/>
              <w:rPr>
                <w:color w:val="auto"/>
              </w:rPr>
            </w:pPr>
          </w:p>
        </w:tc>
        <w:tc>
          <w:tcPr>
            <w:tcW w:w="851" w:type="dxa"/>
            <w:vMerge w:val="continue"/>
            <w:vAlign w:val="center"/>
          </w:tcPr>
          <w:p w14:paraId="665F7274">
            <w:pPr>
              <w:pStyle w:val="33"/>
              <w:rPr>
                <w:color w:val="auto"/>
              </w:rPr>
            </w:pPr>
          </w:p>
        </w:tc>
        <w:tc>
          <w:tcPr>
            <w:tcW w:w="992" w:type="dxa"/>
            <w:vMerge w:val="continue"/>
            <w:vAlign w:val="center"/>
          </w:tcPr>
          <w:p w14:paraId="76B6A693">
            <w:pPr>
              <w:pStyle w:val="33"/>
              <w:rPr>
                <w:color w:val="auto"/>
              </w:rPr>
            </w:pPr>
          </w:p>
        </w:tc>
        <w:tc>
          <w:tcPr>
            <w:tcW w:w="1843" w:type="dxa"/>
            <w:vMerge w:val="continue"/>
            <w:vAlign w:val="center"/>
          </w:tcPr>
          <w:p w14:paraId="58215ED2">
            <w:pPr>
              <w:pStyle w:val="33"/>
              <w:rPr>
                <w:color w:val="auto"/>
              </w:rPr>
            </w:pPr>
          </w:p>
        </w:tc>
        <w:tc>
          <w:tcPr>
            <w:tcW w:w="2835" w:type="dxa"/>
            <w:vAlign w:val="center"/>
          </w:tcPr>
          <w:p w14:paraId="133F7D3A">
            <w:pPr>
              <w:pStyle w:val="33"/>
              <w:rPr>
                <w:color w:val="auto"/>
              </w:rPr>
            </w:pPr>
            <w:r>
              <w:rPr>
                <w:rFonts w:hint="eastAsia"/>
                <w:color w:val="auto"/>
              </w:rPr>
              <w:t>臭气浓度</w:t>
            </w:r>
          </w:p>
        </w:tc>
        <w:tc>
          <w:tcPr>
            <w:tcW w:w="850" w:type="dxa"/>
            <w:vAlign w:val="center"/>
          </w:tcPr>
          <w:p w14:paraId="05B3D2DF">
            <w:pPr>
              <w:pStyle w:val="33"/>
              <w:rPr>
                <w:color w:val="auto"/>
              </w:rPr>
            </w:pPr>
            <w:r>
              <w:rPr>
                <w:rFonts w:hint="eastAsia"/>
                <w:color w:val="auto"/>
              </w:rPr>
              <w:t>手工</w:t>
            </w:r>
          </w:p>
        </w:tc>
        <w:tc>
          <w:tcPr>
            <w:tcW w:w="1134" w:type="dxa"/>
            <w:vAlign w:val="center"/>
          </w:tcPr>
          <w:p w14:paraId="5EAD5C59">
            <w:pPr>
              <w:pStyle w:val="33"/>
              <w:rPr>
                <w:color w:val="auto"/>
              </w:rPr>
            </w:pPr>
            <w:r>
              <w:rPr>
                <w:rFonts w:hint="eastAsia"/>
                <w:color w:val="auto"/>
              </w:rPr>
              <w:t>1次/半年</w:t>
            </w:r>
          </w:p>
        </w:tc>
        <w:tc>
          <w:tcPr>
            <w:tcW w:w="4925" w:type="dxa"/>
            <w:vAlign w:val="center"/>
          </w:tcPr>
          <w:p w14:paraId="3BBCAA09">
            <w:pPr>
              <w:pStyle w:val="33"/>
              <w:rPr>
                <w:color w:val="auto"/>
              </w:rPr>
            </w:pPr>
            <w:r>
              <w:rPr>
                <w:rFonts w:hint="eastAsia"/>
                <w:color w:val="auto"/>
              </w:rPr>
              <w:t>《恶臭污染物排放标准》（GB14554-93）</w:t>
            </w:r>
          </w:p>
        </w:tc>
      </w:tr>
      <w:tr w14:paraId="67786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DEE2D32">
            <w:pPr>
              <w:pStyle w:val="33"/>
              <w:rPr>
                <w:color w:val="auto"/>
              </w:rPr>
            </w:pPr>
            <w:r>
              <w:rPr>
                <w:rFonts w:hint="eastAsia"/>
                <w:color w:val="auto"/>
              </w:rPr>
              <w:t>11</w:t>
            </w:r>
          </w:p>
        </w:tc>
        <w:tc>
          <w:tcPr>
            <w:tcW w:w="851" w:type="dxa"/>
            <w:vAlign w:val="center"/>
          </w:tcPr>
          <w:p w14:paraId="05489DFA">
            <w:pPr>
              <w:pStyle w:val="33"/>
              <w:rPr>
                <w:color w:val="auto"/>
              </w:rPr>
            </w:pPr>
            <w:r>
              <w:rPr>
                <w:rFonts w:hint="eastAsia"/>
                <w:color w:val="auto"/>
              </w:rPr>
              <w:t>废气</w:t>
            </w:r>
          </w:p>
        </w:tc>
        <w:tc>
          <w:tcPr>
            <w:tcW w:w="992" w:type="dxa"/>
            <w:vAlign w:val="center"/>
          </w:tcPr>
          <w:p w14:paraId="4DE125E2">
            <w:pPr>
              <w:pStyle w:val="33"/>
              <w:rPr>
                <w:color w:val="auto"/>
              </w:rPr>
            </w:pPr>
            <w:r>
              <w:rPr>
                <w:rFonts w:hint="eastAsia"/>
                <w:color w:val="auto"/>
              </w:rPr>
              <w:t>DA032</w:t>
            </w:r>
          </w:p>
        </w:tc>
        <w:tc>
          <w:tcPr>
            <w:tcW w:w="1843" w:type="dxa"/>
            <w:vAlign w:val="center"/>
          </w:tcPr>
          <w:p w14:paraId="5177336E">
            <w:pPr>
              <w:pStyle w:val="33"/>
              <w:rPr>
                <w:color w:val="auto"/>
              </w:rPr>
            </w:pPr>
            <w:r>
              <w:rPr>
                <w:rFonts w:hint="eastAsia"/>
                <w:color w:val="auto"/>
              </w:rPr>
              <w:t>PM2　１#排气筒</w:t>
            </w:r>
          </w:p>
        </w:tc>
        <w:tc>
          <w:tcPr>
            <w:tcW w:w="2835" w:type="dxa"/>
            <w:vAlign w:val="center"/>
          </w:tcPr>
          <w:p w14:paraId="64FCE51D">
            <w:pPr>
              <w:pStyle w:val="33"/>
              <w:rPr>
                <w:color w:val="auto"/>
              </w:rPr>
            </w:pPr>
            <w:r>
              <w:rPr>
                <w:rFonts w:hint="eastAsia"/>
                <w:color w:val="auto"/>
              </w:rPr>
              <w:t>氮氧化物、二氧化硫、烟尘</w:t>
            </w:r>
          </w:p>
        </w:tc>
        <w:tc>
          <w:tcPr>
            <w:tcW w:w="850" w:type="dxa"/>
            <w:vAlign w:val="center"/>
          </w:tcPr>
          <w:p w14:paraId="54EE87CA">
            <w:pPr>
              <w:pStyle w:val="33"/>
              <w:rPr>
                <w:color w:val="auto"/>
              </w:rPr>
            </w:pPr>
            <w:r>
              <w:rPr>
                <w:rFonts w:hint="eastAsia"/>
                <w:color w:val="auto"/>
              </w:rPr>
              <w:t>手工</w:t>
            </w:r>
          </w:p>
        </w:tc>
        <w:tc>
          <w:tcPr>
            <w:tcW w:w="1134" w:type="dxa"/>
            <w:vAlign w:val="center"/>
          </w:tcPr>
          <w:p w14:paraId="5DDC2CB1">
            <w:pPr>
              <w:pStyle w:val="33"/>
              <w:rPr>
                <w:color w:val="auto"/>
              </w:rPr>
            </w:pPr>
            <w:r>
              <w:rPr>
                <w:rFonts w:hint="eastAsia"/>
                <w:color w:val="auto"/>
              </w:rPr>
              <w:t>1次/年</w:t>
            </w:r>
          </w:p>
        </w:tc>
        <w:tc>
          <w:tcPr>
            <w:tcW w:w="4925" w:type="dxa"/>
            <w:vAlign w:val="center"/>
          </w:tcPr>
          <w:p w14:paraId="62AB7A1C">
            <w:pPr>
              <w:pStyle w:val="33"/>
              <w:rPr>
                <w:color w:val="auto"/>
              </w:rPr>
            </w:pPr>
            <w:r>
              <w:rPr>
                <w:rFonts w:hint="eastAsia"/>
                <w:color w:val="auto"/>
              </w:rPr>
              <w:t>《大气污染物综合排放标准》（GB16297-1996）</w:t>
            </w:r>
          </w:p>
        </w:tc>
      </w:tr>
      <w:tr w14:paraId="0150B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247ED68">
            <w:pPr>
              <w:pStyle w:val="33"/>
              <w:rPr>
                <w:color w:val="auto"/>
              </w:rPr>
            </w:pPr>
            <w:r>
              <w:rPr>
                <w:rFonts w:hint="eastAsia"/>
                <w:color w:val="auto"/>
              </w:rPr>
              <w:t>12</w:t>
            </w:r>
          </w:p>
        </w:tc>
        <w:tc>
          <w:tcPr>
            <w:tcW w:w="851" w:type="dxa"/>
            <w:vAlign w:val="center"/>
          </w:tcPr>
          <w:p w14:paraId="6C6B7968">
            <w:pPr>
              <w:pStyle w:val="33"/>
              <w:rPr>
                <w:color w:val="auto"/>
              </w:rPr>
            </w:pPr>
            <w:r>
              <w:rPr>
                <w:rFonts w:hint="eastAsia"/>
                <w:color w:val="auto"/>
              </w:rPr>
              <w:t>废气</w:t>
            </w:r>
          </w:p>
        </w:tc>
        <w:tc>
          <w:tcPr>
            <w:tcW w:w="992" w:type="dxa"/>
            <w:vAlign w:val="center"/>
          </w:tcPr>
          <w:p w14:paraId="721D87AF">
            <w:pPr>
              <w:pStyle w:val="33"/>
              <w:rPr>
                <w:color w:val="auto"/>
              </w:rPr>
            </w:pPr>
            <w:r>
              <w:rPr>
                <w:rFonts w:hint="eastAsia"/>
                <w:color w:val="auto"/>
              </w:rPr>
              <w:t>DA033</w:t>
            </w:r>
          </w:p>
        </w:tc>
        <w:tc>
          <w:tcPr>
            <w:tcW w:w="1843" w:type="dxa"/>
            <w:vAlign w:val="center"/>
          </w:tcPr>
          <w:p w14:paraId="71EB3CFB">
            <w:pPr>
              <w:pStyle w:val="33"/>
              <w:rPr>
                <w:color w:val="auto"/>
              </w:rPr>
            </w:pPr>
            <w:r>
              <w:rPr>
                <w:rFonts w:hint="eastAsia"/>
                <w:color w:val="auto"/>
              </w:rPr>
              <w:t>PM1　2#排气筒</w:t>
            </w:r>
          </w:p>
        </w:tc>
        <w:tc>
          <w:tcPr>
            <w:tcW w:w="2835" w:type="dxa"/>
            <w:vAlign w:val="center"/>
          </w:tcPr>
          <w:p w14:paraId="688F657D">
            <w:pPr>
              <w:pStyle w:val="33"/>
              <w:rPr>
                <w:color w:val="auto"/>
              </w:rPr>
            </w:pPr>
            <w:r>
              <w:rPr>
                <w:rFonts w:hint="eastAsia"/>
                <w:color w:val="auto"/>
              </w:rPr>
              <w:t>氮氧化物、二氧化硫、烟尘</w:t>
            </w:r>
          </w:p>
        </w:tc>
        <w:tc>
          <w:tcPr>
            <w:tcW w:w="850" w:type="dxa"/>
            <w:vAlign w:val="center"/>
          </w:tcPr>
          <w:p w14:paraId="6035536F">
            <w:pPr>
              <w:pStyle w:val="33"/>
              <w:rPr>
                <w:color w:val="auto"/>
              </w:rPr>
            </w:pPr>
            <w:r>
              <w:rPr>
                <w:rFonts w:hint="eastAsia"/>
                <w:color w:val="auto"/>
              </w:rPr>
              <w:t>手工</w:t>
            </w:r>
          </w:p>
        </w:tc>
        <w:tc>
          <w:tcPr>
            <w:tcW w:w="1134" w:type="dxa"/>
            <w:vAlign w:val="center"/>
          </w:tcPr>
          <w:p w14:paraId="78CEC028">
            <w:pPr>
              <w:pStyle w:val="33"/>
              <w:rPr>
                <w:color w:val="auto"/>
              </w:rPr>
            </w:pPr>
            <w:r>
              <w:rPr>
                <w:rFonts w:hint="eastAsia"/>
                <w:color w:val="auto"/>
              </w:rPr>
              <w:t>1次/年</w:t>
            </w:r>
          </w:p>
        </w:tc>
        <w:tc>
          <w:tcPr>
            <w:tcW w:w="4925" w:type="dxa"/>
            <w:vAlign w:val="center"/>
          </w:tcPr>
          <w:p w14:paraId="2EAEC1E2">
            <w:pPr>
              <w:pStyle w:val="33"/>
              <w:rPr>
                <w:color w:val="auto"/>
              </w:rPr>
            </w:pPr>
            <w:r>
              <w:rPr>
                <w:rFonts w:hint="eastAsia"/>
                <w:color w:val="auto"/>
              </w:rPr>
              <w:t>《大气污染物综合排放标准》（GB16297-1996）</w:t>
            </w:r>
          </w:p>
        </w:tc>
      </w:tr>
      <w:tr w14:paraId="40027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1AD59C4">
            <w:pPr>
              <w:pStyle w:val="33"/>
              <w:rPr>
                <w:color w:val="auto"/>
              </w:rPr>
            </w:pPr>
            <w:r>
              <w:rPr>
                <w:rFonts w:hint="eastAsia"/>
                <w:color w:val="auto"/>
              </w:rPr>
              <w:t>13</w:t>
            </w:r>
          </w:p>
        </w:tc>
        <w:tc>
          <w:tcPr>
            <w:tcW w:w="851" w:type="dxa"/>
            <w:vAlign w:val="center"/>
          </w:tcPr>
          <w:p w14:paraId="425967AE">
            <w:pPr>
              <w:pStyle w:val="33"/>
              <w:rPr>
                <w:color w:val="auto"/>
              </w:rPr>
            </w:pPr>
            <w:r>
              <w:rPr>
                <w:rFonts w:hint="eastAsia"/>
                <w:color w:val="auto"/>
              </w:rPr>
              <w:t>废气</w:t>
            </w:r>
          </w:p>
        </w:tc>
        <w:tc>
          <w:tcPr>
            <w:tcW w:w="992" w:type="dxa"/>
            <w:vAlign w:val="center"/>
          </w:tcPr>
          <w:p w14:paraId="7AEB5B62">
            <w:pPr>
              <w:pStyle w:val="33"/>
              <w:rPr>
                <w:color w:val="auto"/>
              </w:rPr>
            </w:pPr>
            <w:r>
              <w:rPr>
                <w:rFonts w:hint="eastAsia"/>
                <w:color w:val="auto"/>
              </w:rPr>
              <w:t>DA034</w:t>
            </w:r>
          </w:p>
        </w:tc>
        <w:tc>
          <w:tcPr>
            <w:tcW w:w="1843" w:type="dxa"/>
            <w:vAlign w:val="center"/>
          </w:tcPr>
          <w:p w14:paraId="321DA69A">
            <w:pPr>
              <w:pStyle w:val="33"/>
              <w:rPr>
                <w:color w:val="auto"/>
              </w:rPr>
            </w:pPr>
            <w:r>
              <w:rPr>
                <w:rFonts w:hint="eastAsia"/>
                <w:color w:val="auto"/>
              </w:rPr>
              <w:t>PM2　2#排气筒</w:t>
            </w:r>
          </w:p>
        </w:tc>
        <w:tc>
          <w:tcPr>
            <w:tcW w:w="2835" w:type="dxa"/>
            <w:vAlign w:val="center"/>
          </w:tcPr>
          <w:p w14:paraId="368D4048">
            <w:pPr>
              <w:pStyle w:val="33"/>
              <w:rPr>
                <w:color w:val="auto"/>
              </w:rPr>
            </w:pPr>
            <w:r>
              <w:rPr>
                <w:rFonts w:hint="eastAsia"/>
                <w:color w:val="auto"/>
              </w:rPr>
              <w:t>氮氧化物、二氧化硫、烟尘</w:t>
            </w:r>
          </w:p>
        </w:tc>
        <w:tc>
          <w:tcPr>
            <w:tcW w:w="850" w:type="dxa"/>
            <w:vAlign w:val="center"/>
          </w:tcPr>
          <w:p w14:paraId="63E7D7EE">
            <w:pPr>
              <w:pStyle w:val="33"/>
              <w:rPr>
                <w:color w:val="auto"/>
              </w:rPr>
            </w:pPr>
            <w:r>
              <w:rPr>
                <w:rFonts w:hint="eastAsia"/>
                <w:color w:val="auto"/>
              </w:rPr>
              <w:t>手工</w:t>
            </w:r>
          </w:p>
        </w:tc>
        <w:tc>
          <w:tcPr>
            <w:tcW w:w="1134" w:type="dxa"/>
            <w:vAlign w:val="center"/>
          </w:tcPr>
          <w:p w14:paraId="5053B421">
            <w:pPr>
              <w:pStyle w:val="33"/>
              <w:rPr>
                <w:color w:val="auto"/>
              </w:rPr>
            </w:pPr>
            <w:r>
              <w:rPr>
                <w:rFonts w:hint="eastAsia"/>
                <w:color w:val="auto"/>
              </w:rPr>
              <w:t>1次/年</w:t>
            </w:r>
          </w:p>
        </w:tc>
        <w:tc>
          <w:tcPr>
            <w:tcW w:w="4925" w:type="dxa"/>
            <w:vAlign w:val="center"/>
          </w:tcPr>
          <w:p w14:paraId="36323AB1">
            <w:pPr>
              <w:pStyle w:val="33"/>
              <w:rPr>
                <w:color w:val="auto"/>
              </w:rPr>
            </w:pPr>
            <w:r>
              <w:rPr>
                <w:rFonts w:hint="eastAsia"/>
                <w:color w:val="auto"/>
              </w:rPr>
              <w:t>《大气污染物综合排放标准》（GB16297-1996）</w:t>
            </w:r>
          </w:p>
        </w:tc>
      </w:tr>
      <w:tr w14:paraId="5C68C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472A9563">
            <w:pPr>
              <w:pStyle w:val="33"/>
              <w:rPr>
                <w:color w:val="auto"/>
              </w:rPr>
            </w:pPr>
            <w:r>
              <w:rPr>
                <w:rFonts w:hint="eastAsia"/>
                <w:color w:val="auto"/>
              </w:rPr>
              <w:t>14</w:t>
            </w:r>
          </w:p>
        </w:tc>
        <w:tc>
          <w:tcPr>
            <w:tcW w:w="851" w:type="dxa"/>
            <w:vAlign w:val="center"/>
          </w:tcPr>
          <w:p w14:paraId="47B1D021">
            <w:pPr>
              <w:pStyle w:val="33"/>
              <w:rPr>
                <w:color w:val="auto"/>
              </w:rPr>
            </w:pPr>
            <w:r>
              <w:rPr>
                <w:rFonts w:hint="eastAsia"/>
                <w:color w:val="auto"/>
              </w:rPr>
              <w:t>废气</w:t>
            </w:r>
          </w:p>
        </w:tc>
        <w:tc>
          <w:tcPr>
            <w:tcW w:w="992" w:type="dxa"/>
            <w:vAlign w:val="center"/>
          </w:tcPr>
          <w:p w14:paraId="0B8A61AD">
            <w:pPr>
              <w:pStyle w:val="33"/>
              <w:rPr>
                <w:color w:val="auto"/>
              </w:rPr>
            </w:pPr>
            <w:r>
              <w:rPr>
                <w:rFonts w:hint="eastAsia"/>
                <w:color w:val="auto"/>
              </w:rPr>
              <w:t>DA035</w:t>
            </w:r>
          </w:p>
        </w:tc>
        <w:tc>
          <w:tcPr>
            <w:tcW w:w="1843" w:type="dxa"/>
            <w:vAlign w:val="center"/>
          </w:tcPr>
          <w:p w14:paraId="56D1DB99">
            <w:pPr>
              <w:pStyle w:val="33"/>
              <w:rPr>
                <w:color w:val="auto"/>
              </w:rPr>
            </w:pPr>
            <w:r>
              <w:rPr>
                <w:rFonts w:hint="eastAsia"/>
                <w:color w:val="auto"/>
              </w:rPr>
              <w:t>PM1　3#排气筒</w:t>
            </w:r>
          </w:p>
        </w:tc>
        <w:tc>
          <w:tcPr>
            <w:tcW w:w="2835" w:type="dxa"/>
            <w:vAlign w:val="center"/>
          </w:tcPr>
          <w:p w14:paraId="4BE26DCC">
            <w:pPr>
              <w:pStyle w:val="33"/>
              <w:rPr>
                <w:color w:val="auto"/>
              </w:rPr>
            </w:pPr>
            <w:r>
              <w:rPr>
                <w:rFonts w:hint="eastAsia"/>
                <w:color w:val="auto"/>
              </w:rPr>
              <w:t>氮氧化物、二氧化硫、烟尘</w:t>
            </w:r>
          </w:p>
        </w:tc>
        <w:tc>
          <w:tcPr>
            <w:tcW w:w="850" w:type="dxa"/>
            <w:vAlign w:val="center"/>
          </w:tcPr>
          <w:p w14:paraId="489B168E">
            <w:pPr>
              <w:pStyle w:val="33"/>
              <w:rPr>
                <w:color w:val="auto"/>
              </w:rPr>
            </w:pPr>
            <w:r>
              <w:rPr>
                <w:rFonts w:hint="eastAsia"/>
                <w:color w:val="auto"/>
              </w:rPr>
              <w:t>手工</w:t>
            </w:r>
          </w:p>
        </w:tc>
        <w:tc>
          <w:tcPr>
            <w:tcW w:w="1134" w:type="dxa"/>
            <w:vAlign w:val="center"/>
          </w:tcPr>
          <w:p w14:paraId="00BD3190">
            <w:pPr>
              <w:pStyle w:val="33"/>
              <w:rPr>
                <w:color w:val="auto"/>
              </w:rPr>
            </w:pPr>
            <w:r>
              <w:rPr>
                <w:rFonts w:hint="eastAsia"/>
                <w:color w:val="auto"/>
              </w:rPr>
              <w:t>1次/年</w:t>
            </w:r>
          </w:p>
        </w:tc>
        <w:tc>
          <w:tcPr>
            <w:tcW w:w="4925" w:type="dxa"/>
            <w:vAlign w:val="center"/>
          </w:tcPr>
          <w:p w14:paraId="75230AF8">
            <w:pPr>
              <w:pStyle w:val="33"/>
              <w:rPr>
                <w:color w:val="auto"/>
              </w:rPr>
            </w:pPr>
            <w:r>
              <w:rPr>
                <w:rFonts w:hint="eastAsia"/>
                <w:color w:val="auto"/>
              </w:rPr>
              <w:t>《大气污染物综合排放标准》（GB16297-1996）</w:t>
            </w:r>
          </w:p>
        </w:tc>
      </w:tr>
      <w:tr w14:paraId="67FC4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311C3DEB">
            <w:pPr>
              <w:pStyle w:val="33"/>
              <w:rPr>
                <w:color w:val="auto"/>
              </w:rPr>
            </w:pPr>
            <w:r>
              <w:rPr>
                <w:rFonts w:hint="eastAsia"/>
                <w:color w:val="auto"/>
              </w:rPr>
              <w:t>15</w:t>
            </w:r>
          </w:p>
        </w:tc>
        <w:tc>
          <w:tcPr>
            <w:tcW w:w="851" w:type="dxa"/>
            <w:vAlign w:val="center"/>
          </w:tcPr>
          <w:p w14:paraId="238036D7">
            <w:pPr>
              <w:pStyle w:val="33"/>
              <w:rPr>
                <w:color w:val="auto"/>
              </w:rPr>
            </w:pPr>
            <w:r>
              <w:rPr>
                <w:rFonts w:hint="eastAsia"/>
                <w:color w:val="auto"/>
              </w:rPr>
              <w:t>废气</w:t>
            </w:r>
          </w:p>
        </w:tc>
        <w:tc>
          <w:tcPr>
            <w:tcW w:w="992" w:type="dxa"/>
            <w:vAlign w:val="center"/>
          </w:tcPr>
          <w:p w14:paraId="08C4A11D">
            <w:pPr>
              <w:pStyle w:val="33"/>
              <w:rPr>
                <w:color w:val="auto"/>
              </w:rPr>
            </w:pPr>
            <w:r>
              <w:rPr>
                <w:rFonts w:hint="eastAsia"/>
                <w:color w:val="auto"/>
              </w:rPr>
              <w:t>DA036</w:t>
            </w:r>
          </w:p>
        </w:tc>
        <w:tc>
          <w:tcPr>
            <w:tcW w:w="1843" w:type="dxa"/>
            <w:vAlign w:val="center"/>
          </w:tcPr>
          <w:p w14:paraId="7A658230">
            <w:pPr>
              <w:pStyle w:val="33"/>
              <w:rPr>
                <w:color w:val="auto"/>
              </w:rPr>
            </w:pPr>
            <w:r>
              <w:rPr>
                <w:rFonts w:hint="eastAsia"/>
                <w:color w:val="auto"/>
              </w:rPr>
              <w:t>PM2　3#排气筒</w:t>
            </w:r>
          </w:p>
        </w:tc>
        <w:tc>
          <w:tcPr>
            <w:tcW w:w="2835" w:type="dxa"/>
            <w:vAlign w:val="center"/>
          </w:tcPr>
          <w:p w14:paraId="23407588">
            <w:pPr>
              <w:pStyle w:val="33"/>
              <w:rPr>
                <w:color w:val="auto"/>
              </w:rPr>
            </w:pPr>
            <w:r>
              <w:rPr>
                <w:rFonts w:hint="eastAsia"/>
                <w:color w:val="auto"/>
              </w:rPr>
              <w:t>氮氧化物、二氧化硫、烟尘</w:t>
            </w:r>
          </w:p>
        </w:tc>
        <w:tc>
          <w:tcPr>
            <w:tcW w:w="850" w:type="dxa"/>
            <w:vAlign w:val="center"/>
          </w:tcPr>
          <w:p w14:paraId="7AE9B340">
            <w:pPr>
              <w:pStyle w:val="33"/>
              <w:rPr>
                <w:color w:val="auto"/>
              </w:rPr>
            </w:pPr>
            <w:r>
              <w:rPr>
                <w:rFonts w:hint="eastAsia"/>
                <w:color w:val="auto"/>
              </w:rPr>
              <w:t>手工</w:t>
            </w:r>
          </w:p>
        </w:tc>
        <w:tc>
          <w:tcPr>
            <w:tcW w:w="1134" w:type="dxa"/>
            <w:vAlign w:val="center"/>
          </w:tcPr>
          <w:p w14:paraId="728E9E13">
            <w:pPr>
              <w:pStyle w:val="33"/>
              <w:rPr>
                <w:color w:val="auto"/>
              </w:rPr>
            </w:pPr>
            <w:r>
              <w:rPr>
                <w:rFonts w:hint="eastAsia"/>
                <w:color w:val="auto"/>
              </w:rPr>
              <w:t>1次/年</w:t>
            </w:r>
          </w:p>
        </w:tc>
        <w:tc>
          <w:tcPr>
            <w:tcW w:w="4925" w:type="dxa"/>
            <w:vAlign w:val="center"/>
          </w:tcPr>
          <w:p w14:paraId="64533A9B">
            <w:pPr>
              <w:pStyle w:val="33"/>
              <w:rPr>
                <w:color w:val="auto"/>
              </w:rPr>
            </w:pPr>
            <w:r>
              <w:rPr>
                <w:rFonts w:hint="eastAsia"/>
                <w:color w:val="auto"/>
              </w:rPr>
              <w:t>《大气污染物综合排放标准》（GB16297-1996）</w:t>
            </w:r>
          </w:p>
        </w:tc>
      </w:tr>
      <w:tr w14:paraId="1F4CB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5470651">
            <w:pPr>
              <w:pStyle w:val="33"/>
              <w:rPr>
                <w:color w:val="auto"/>
              </w:rPr>
            </w:pPr>
            <w:r>
              <w:rPr>
                <w:rFonts w:hint="eastAsia"/>
                <w:color w:val="auto"/>
              </w:rPr>
              <w:t>16</w:t>
            </w:r>
          </w:p>
        </w:tc>
        <w:tc>
          <w:tcPr>
            <w:tcW w:w="851" w:type="dxa"/>
            <w:vAlign w:val="center"/>
          </w:tcPr>
          <w:p w14:paraId="10CA1218">
            <w:pPr>
              <w:pStyle w:val="33"/>
              <w:rPr>
                <w:color w:val="auto"/>
              </w:rPr>
            </w:pPr>
            <w:r>
              <w:rPr>
                <w:rFonts w:hint="eastAsia"/>
                <w:color w:val="auto"/>
              </w:rPr>
              <w:t>废气</w:t>
            </w:r>
          </w:p>
        </w:tc>
        <w:tc>
          <w:tcPr>
            <w:tcW w:w="992" w:type="dxa"/>
            <w:vAlign w:val="center"/>
          </w:tcPr>
          <w:p w14:paraId="3324CCD4">
            <w:pPr>
              <w:pStyle w:val="33"/>
              <w:rPr>
                <w:color w:val="auto"/>
              </w:rPr>
            </w:pPr>
            <w:r>
              <w:rPr>
                <w:rFonts w:hint="eastAsia"/>
                <w:color w:val="auto"/>
              </w:rPr>
              <w:t>DA037</w:t>
            </w:r>
          </w:p>
        </w:tc>
        <w:tc>
          <w:tcPr>
            <w:tcW w:w="1843" w:type="dxa"/>
            <w:vAlign w:val="center"/>
          </w:tcPr>
          <w:p w14:paraId="25D2BE01">
            <w:pPr>
              <w:pStyle w:val="33"/>
              <w:rPr>
                <w:color w:val="auto"/>
              </w:rPr>
            </w:pPr>
            <w:r>
              <w:rPr>
                <w:rFonts w:hint="eastAsia"/>
                <w:color w:val="auto"/>
              </w:rPr>
              <w:t>PM1　4#排气筒</w:t>
            </w:r>
          </w:p>
        </w:tc>
        <w:tc>
          <w:tcPr>
            <w:tcW w:w="2835" w:type="dxa"/>
            <w:vAlign w:val="center"/>
          </w:tcPr>
          <w:p w14:paraId="20CFEFCD">
            <w:pPr>
              <w:pStyle w:val="33"/>
              <w:rPr>
                <w:color w:val="auto"/>
              </w:rPr>
            </w:pPr>
            <w:r>
              <w:rPr>
                <w:rFonts w:hint="eastAsia"/>
                <w:color w:val="auto"/>
              </w:rPr>
              <w:t>氮氧化物、二氧化硫、烟尘</w:t>
            </w:r>
          </w:p>
        </w:tc>
        <w:tc>
          <w:tcPr>
            <w:tcW w:w="850" w:type="dxa"/>
            <w:vAlign w:val="center"/>
          </w:tcPr>
          <w:p w14:paraId="642F513B">
            <w:pPr>
              <w:pStyle w:val="33"/>
              <w:rPr>
                <w:color w:val="auto"/>
              </w:rPr>
            </w:pPr>
            <w:r>
              <w:rPr>
                <w:rFonts w:hint="eastAsia"/>
                <w:color w:val="auto"/>
              </w:rPr>
              <w:t>手工</w:t>
            </w:r>
          </w:p>
        </w:tc>
        <w:tc>
          <w:tcPr>
            <w:tcW w:w="1134" w:type="dxa"/>
            <w:vAlign w:val="center"/>
          </w:tcPr>
          <w:p w14:paraId="064C2266">
            <w:pPr>
              <w:pStyle w:val="33"/>
              <w:rPr>
                <w:color w:val="auto"/>
              </w:rPr>
            </w:pPr>
            <w:r>
              <w:rPr>
                <w:rFonts w:hint="eastAsia"/>
                <w:color w:val="auto"/>
              </w:rPr>
              <w:t>1次/年</w:t>
            </w:r>
          </w:p>
        </w:tc>
        <w:tc>
          <w:tcPr>
            <w:tcW w:w="4925" w:type="dxa"/>
            <w:vAlign w:val="center"/>
          </w:tcPr>
          <w:p w14:paraId="31D04DFD">
            <w:pPr>
              <w:pStyle w:val="33"/>
              <w:rPr>
                <w:color w:val="auto"/>
              </w:rPr>
            </w:pPr>
            <w:r>
              <w:rPr>
                <w:rFonts w:hint="eastAsia"/>
                <w:color w:val="auto"/>
              </w:rPr>
              <w:t>《大气污染物综合排放标准》（GB16297-1996）</w:t>
            </w:r>
          </w:p>
        </w:tc>
      </w:tr>
      <w:tr w14:paraId="15514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63E64523">
            <w:pPr>
              <w:pStyle w:val="33"/>
              <w:rPr>
                <w:color w:val="auto"/>
              </w:rPr>
            </w:pPr>
            <w:r>
              <w:rPr>
                <w:rFonts w:hint="eastAsia"/>
                <w:color w:val="auto"/>
              </w:rPr>
              <w:t>17</w:t>
            </w:r>
          </w:p>
        </w:tc>
        <w:tc>
          <w:tcPr>
            <w:tcW w:w="851" w:type="dxa"/>
            <w:vAlign w:val="center"/>
          </w:tcPr>
          <w:p w14:paraId="13F7364B">
            <w:pPr>
              <w:pStyle w:val="33"/>
              <w:rPr>
                <w:color w:val="auto"/>
              </w:rPr>
            </w:pPr>
            <w:r>
              <w:rPr>
                <w:rFonts w:hint="eastAsia"/>
                <w:color w:val="auto"/>
              </w:rPr>
              <w:t>废气</w:t>
            </w:r>
          </w:p>
        </w:tc>
        <w:tc>
          <w:tcPr>
            <w:tcW w:w="992" w:type="dxa"/>
            <w:vAlign w:val="center"/>
          </w:tcPr>
          <w:p w14:paraId="0DEAA847">
            <w:pPr>
              <w:pStyle w:val="33"/>
              <w:rPr>
                <w:color w:val="auto"/>
              </w:rPr>
            </w:pPr>
            <w:r>
              <w:rPr>
                <w:rFonts w:hint="eastAsia"/>
                <w:color w:val="auto"/>
              </w:rPr>
              <w:t>DA038</w:t>
            </w:r>
          </w:p>
        </w:tc>
        <w:tc>
          <w:tcPr>
            <w:tcW w:w="1843" w:type="dxa"/>
            <w:vAlign w:val="center"/>
          </w:tcPr>
          <w:p w14:paraId="7E4654C6">
            <w:pPr>
              <w:pStyle w:val="33"/>
              <w:rPr>
                <w:color w:val="auto"/>
              </w:rPr>
            </w:pPr>
            <w:r>
              <w:rPr>
                <w:rFonts w:hint="eastAsia"/>
                <w:color w:val="auto"/>
              </w:rPr>
              <w:t>PM2　4#排气筒</w:t>
            </w:r>
          </w:p>
        </w:tc>
        <w:tc>
          <w:tcPr>
            <w:tcW w:w="2835" w:type="dxa"/>
            <w:vAlign w:val="center"/>
          </w:tcPr>
          <w:p w14:paraId="6B2F3DD7">
            <w:pPr>
              <w:pStyle w:val="33"/>
              <w:rPr>
                <w:color w:val="auto"/>
              </w:rPr>
            </w:pPr>
            <w:r>
              <w:rPr>
                <w:rFonts w:hint="eastAsia"/>
                <w:color w:val="auto"/>
              </w:rPr>
              <w:t>氮氧化物、二氧化硫、烟尘</w:t>
            </w:r>
          </w:p>
        </w:tc>
        <w:tc>
          <w:tcPr>
            <w:tcW w:w="850" w:type="dxa"/>
            <w:vAlign w:val="center"/>
          </w:tcPr>
          <w:p w14:paraId="0E646283">
            <w:pPr>
              <w:pStyle w:val="33"/>
              <w:rPr>
                <w:color w:val="auto"/>
              </w:rPr>
            </w:pPr>
            <w:r>
              <w:rPr>
                <w:rFonts w:hint="eastAsia"/>
                <w:color w:val="auto"/>
              </w:rPr>
              <w:t>手工</w:t>
            </w:r>
          </w:p>
        </w:tc>
        <w:tc>
          <w:tcPr>
            <w:tcW w:w="1134" w:type="dxa"/>
            <w:vAlign w:val="center"/>
          </w:tcPr>
          <w:p w14:paraId="3C23E361">
            <w:pPr>
              <w:pStyle w:val="33"/>
              <w:rPr>
                <w:color w:val="auto"/>
              </w:rPr>
            </w:pPr>
            <w:r>
              <w:rPr>
                <w:rFonts w:hint="eastAsia"/>
                <w:color w:val="auto"/>
              </w:rPr>
              <w:t>1次/年</w:t>
            </w:r>
          </w:p>
        </w:tc>
        <w:tc>
          <w:tcPr>
            <w:tcW w:w="4925" w:type="dxa"/>
            <w:vAlign w:val="center"/>
          </w:tcPr>
          <w:p w14:paraId="47D6C506">
            <w:pPr>
              <w:pStyle w:val="33"/>
              <w:rPr>
                <w:color w:val="auto"/>
              </w:rPr>
            </w:pPr>
            <w:r>
              <w:rPr>
                <w:rFonts w:hint="eastAsia"/>
                <w:color w:val="auto"/>
              </w:rPr>
              <w:t>《大气污染物综合排放标准》（GB16297-1996）</w:t>
            </w:r>
          </w:p>
        </w:tc>
      </w:tr>
      <w:tr w14:paraId="7E4AC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93FD01B">
            <w:pPr>
              <w:pStyle w:val="33"/>
              <w:rPr>
                <w:color w:val="auto"/>
              </w:rPr>
            </w:pPr>
            <w:r>
              <w:rPr>
                <w:rFonts w:hint="eastAsia"/>
                <w:color w:val="auto"/>
              </w:rPr>
              <w:t>18</w:t>
            </w:r>
          </w:p>
        </w:tc>
        <w:tc>
          <w:tcPr>
            <w:tcW w:w="851" w:type="dxa"/>
            <w:vAlign w:val="center"/>
          </w:tcPr>
          <w:p w14:paraId="101F6517">
            <w:pPr>
              <w:pStyle w:val="33"/>
              <w:rPr>
                <w:color w:val="auto"/>
              </w:rPr>
            </w:pPr>
            <w:r>
              <w:rPr>
                <w:rFonts w:hint="eastAsia"/>
                <w:color w:val="auto"/>
              </w:rPr>
              <w:t>废气</w:t>
            </w:r>
          </w:p>
        </w:tc>
        <w:tc>
          <w:tcPr>
            <w:tcW w:w="992" w:type="dxa"/>
            <w:vAlign w:val="center"/>
          </w:tcPr>
          <w:p w14:paraId="1F75EF8F">
            <w:pPr>
              <w:pStyle w:val="33"/>
              <w:rPr>
                <w:color w:val="auto"/>
              </w:rPr>
            </w:pPr>
            <w:r>
              <w:rPr>
                <w:rFonts w:hint="eastAsia"/>
                <w:color w:val="auto"/>
              </w:rPr>
              <w:t>DA039</w:t>
            </w:r>
          </w:p>
        </w:tc>
        <w:tc>
          <w:tcPr>
            <w:tcW w:w="1843" w:type="dxa"/>
            <w:vAlign w:val="center"/>
          </w:tcPr>
          <w:p w14:paraId="0A741060">
            <w:pPr>
              <w:pStyle w:val="33"/>
              <w:rPr>
                <w:color w:val="auto"/>
              </w:rPr>
            </w:pPr>
            <w:r>
              <w:rPr>
                <w:rFonts w:hint="eastAsia"/>
                <w:color w:val="auto"/>
              </w:rPr>
              <w:t>PM1　5#排气筒</w:t>
            </w:r>
          </w:p>
        </w:tc>
        <w:tc>
          <w:tcPr>
            <w:tcW w:w="2835" w:type="dxa"/>
            <w:vAlign w:val="center"/>
          </w:tcPr>
          <w:p w14:paraId="21A4FB08">
            <w:pPr>
              <w:pStyle w:val="33"/>
              <w:rPr>
                <w:color w:val="auto"/>
              </w:rPr>
            </w:pPr>
            <w:r>
              <w:rPr>
                <w:rFonts w:hint="eastAsia"/>
                <w:color w:val="auto"/>
              </w:rPr>
              <w:t>氮氧化物、二氧化硫、烟尘</w:t>
            </w:r>
          </w:p>
        </w:tc>
        <w:tc>
          <w:tcPr>
            <w:tcW w:w="850" w:type="dxa"/>
            <w:vAlign w:val="center"/>
          </w:tcPr>
          <w:p w14:paraId="513F38AC">
            <w:pPr>
              <w:pStyle w:val="33"/>
              <w:rPr>
                <w:color w:val="auto"/>
              </w:rPr>
            </w:pPr>
            <w:r>
              <w:rPr>
                <w:rFonts w:hint="eastAsia"/>
                <w:color w:val="auto"/>
              </w:rPr>
              <w:t>手工</w:t>
            </w:r>
          </w:p>
        </w:tc>
        <w:tc>
          <w:tcPr>
            <w:tcW w:w="1134" w:type="dxa"/>
            <w:vAlign w:val="center"/>
          </w:tcPr>
          <w:p w14:paraId="016E055D">
            <w:pPr>
              <w:pStyle w:val="33"/>
              <w:rPr>
                <w:color w:val="auto"/>
              </w:rPr>
            </w:pPr>
            <w:r>
              <w:rPr>
                <w:rFonts w:hint="eastAsia"/>
                <w:color w:val="auto"/>
              </w:rPr>
              <w:t>1次/年</w:t>
            </w:r>
          </w:p>
        </w:tc>
        <w:tc>
          <w:tcPr>
            <w:tcW w:w="4925" w:type="dxa"/>
            <w:vAlign w:val="center"/>
          </w:tcPr>
          <w:p w14:paraId="74D08352">
            <w:pPr>
              <w:pStyle w:val="33"/>
              <w:rPr>
                <w:color w:val="auto"/>
              </w:rPr>
            </w:pPr>
            <w:r>
              <w:rPr>
                <w:rFonts w:hint="eastAsia"/>
                <w:color w:val="auto"/>
              </w:rPr>
              <w:t>《大气污染物综合排放标准》（GB16297-1996）</w:t>
            </w:r>
          </w:p>
        </w:tc>
      </w:tr>
      <w:tr w14:paraId="4733A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3942F66B">
            <w:pPr>
              <w:pStyle w:val="33"/>
              <w:rPr>
                <w:color w:val="auto"/>
              </w:rPr>
            </w:pPr>
            <w:r>
              <w:rPr>
                <w:rFonts w:hint="eastAsia"/>
                <w:color w:val="auto"/>
              </w:rPr>
              <w:t>19</w:t>
            </w:r>
          </w:p>
        </w:tc>
        <w:tc>
          <w:tcPr>
            <w:tcW w:w="851" w:type="dxa"/>
            <w:vAlign w:val="center"/>
          </w:tcPr>
          <w:p w14:paraId="58F431F3">
            <w:pPr>
              <w:pStyle w:val="33"/>
              <w:rPr>
                <w:color w:val="auto"/>
              </w:rPr>
            </w:pPr>
            <w:r>
              <w:rPr>
                <w:rFonts w:hint="eastAsia"/>
                <w:color w:val="auto"/>
              </w:rPr>
              <w:t>废气</w:t>
            </w:r>
          </w:p>
        </w:tc>
        <w:tc>
          <w:tcPr>
            <w:tcW w:w="992" w:type="dxa"/>
            <w:vAlign w:val="center"/>
          </w:tcPr>
          <w:p w14:paraId="2B2D1145">
            <w:pPr>
              <w:pStyle w:val="33"/>
              <w:rPr>
                <w:color w:val="auto"/>
              </w:rPr>
            </w:pPr>
            <w:r>
              <w:rPr>
                <w:rFonts w:hint="eastAsia"/>
                <w:color w:val="auto"/>
              </w:rPr>
              <w:t>DA040</w:t>
            </w:r>
          </w:p>
        </w:tc>
        <w:tc>
          <w:tcPr>
            <w:tcW w:w="1843" w:type="dxa"/>
            <w:vAlign w:val="center"/>
          </w:tcPr>
          <w:p w14:paraId="7AFC3D4F">
            <w:pPr>
              <w:pStyle w:val="33"/>
              <w:rPr>
                <w:color w:val="auto"/>
              </w:rPr>
            </w:pPr>
            <w:r>
              <w:rPr>
                <w:rFonts w:hint="eastAsia"/>
                <w:color w:val="auto"/>
              </w:rPr>
              <w:t>PM2　5#排气筒</w:t>
            </w:r>
          </w:p>
        </w:tc>
        <w:tc>
          <w:tcPr>
            <w:tcW w:w="2835" w:type="dxa"/>
            <w:vAlign w:val="center"/>
          </w:tcPr>
          <w:p w14:paraId="39C8F736">
            <w:pPr>
              <w:pStyle w:val="33"/>
              <w:rPr>
                <w:color w:val="auto"/>
              </w:rPr>
            </w:pPr>
            <w:r>
              <w:rPr>
                <w:rFonts w:hint="eastAsia"/>
                <w:color w:val="auto"/>
              </w:rPr>
              <w:t>氮氧化物、二氧化硫、烟尘</w:t>
            </w:r>
          </w:p>
        </w:tc>
        <w:tc>
          <w:tcPr>
            <w:tcW w:w="850" w:type="dxa"/>
            <w:vAlign w:val="center"/>
          </w:tcPr>
          <w:p w14:paraId="6DC0A1AA">
            <w:pPr>
              <w:pStyle w:val="33"/>
              <w:rPr>
                <w:color w:val="auto"/>
              </w:rPr>
            </w:pPr>
            <w:r>
              <w:rPr>
                <w:rFonts w:hint="eastAsia"/>
                <w:color w:val="auto"/>
              </w:rPr>
              <w:t>手工</w:t>
            </w:r>
          </w:p>
        </w:tc>
        <w:tc>
          <w:tcPr>
            <w:tcW w:w="1134" w:type="dxa"/>
            <w:vAlign w:val="center"/>
          </w:tcPr>
          <w:p w14:paraId="1206E8CD">
            <w:pPr>
              <w:pStyle w:val="33"/>
              <w:rPr>
                <w:color w:val="auto"/>
              </w:rPr>
            </w:pPr>
            <w:r>
              <w:rPr>
                <w:rFonts w:hint="eastAsia"/>
                <w:color w:val="auto"/>
              </w:rPr>
              <w:t>1次/年</w:t>
            </w:r>
          </w:p>
        </w:tc>
        <w:tc>
          <w:tcPr>
            <w:tcW w:w="4925" w:type="dxa"/>
            <w:vAlign w:val="center"/>
          </w:tcPr>
          <w:p w14:paraId="2E1DC5A2">
            <w:pPr>
              <w:pStyle w:val="33"/>
              <w:rPr>
                <w:color w:val="auto"/>
              </w:rPr>
            </w:pPr>
            <w:r>
              <w:rPr>
                <w:rFonts w:hint="eastAsia"/>
                <w:color w:val="auto"/>
              </w:rPr>
              <w:t>《大气污染物综合排放标准》（GB16297-1996）</w:t>
            </w:r>
          </w:p>
        </w:tc>
      </w:tr>
      <w:tr w14:paraId="4BD2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6E7E861">
            <w:pPr>
              <w:pStyle w:val="33"/>
              <w:rPr>
                <w:color w:val="auto"/>
              </w:rPr>
            </w:pPr>
            <w:r>
              <w:rPr>
                <w:rFonts w:hint="eastAsia"/>
                <w:color w:val="auto"/>
              </w:rPr>
              <w:t>20</w:t>
            </w:r>
          </w:p>
        </w:tc>
        <w:tc>
          <w:tcPr>
            <w:tcW w:w="851" w:type="dxa"/>
            <w:vAlign w:val="center"/>
          </w:tcPr>
          <w:p w14:paraId="29CA8BD5">
            <w:pPr>
              <w:pStyle w:val="33"/>
              <w:rPr>
                <w:color w:val="auto"/>
              </w:rPr>
            </w:pPr>
            <w:r>
              <w:rPr>
                <w:rFonts w:hint="eastAsia"/>
                <w:color w:val="auto"/>
              </w:rPr>
              <w:t>废气</w:t>
            </w:r>
          </w:p>
        </w:tc>
        <w:tc>
          <w:tcPr>
            <w:tcW w:w="992" w:type="dxa"/>
            <w:vAlign w:val="center"/>
          </w:tcPr>
          <w:p w14:paraId="5A6345DD">
            <w:pPr>
              <w:pStyle w:val="33"/>
              <w:rPr>
                <w:color w:val="auto"/>
              </w:rPr>
            </w:pPr>
            <w:r>
              <w:rPr>
                <w:rFonts w:hint="eastAsia"/>
                <w:color w:val="auto"/>
              </w:rPr>
              <w:t>DA041</w:t>
            </w:r>
          </w:p>
        </w:tc>
        <w:tc>
          <w:tcPr>
            <w:tcW w:w="1843" w:type="dxa"/>
            <w:vAlign w:val="center"/>
          </w:tcPr>
          <w:p w14:paraId="2D7C272C">
            <w:pPr>
              <w:pStyle w:val="33"/>
              <w:rPr>
                <w:color w:val="auto"/>
              </w:rPr>
            </w:pPr>
            <w:r>
              <w:rPr>
                <w:rFonts w:hint="eastAsia"/>
                <w:color w:val="auto"/>
              </w:rPr>
              <w:t>PM1　１#导热排气筒</w:t>
            </w:r>
          </w:p>
        </w:tc>
        <w:tc>
          <w:tcPr>
            <w:tcW w:w="2835" w:type="dxa"/>
            <w:vAlign w:val="center"/>
          </w:tcPr>
          <w:p w14:paraId="0EF78E71">
            <w:pPr>
              <w:pStyle w:val="33"/>
              <w:rPr>
                <w:color w:val="auto"/>
              </w:rPr>
            </w:pPr>
            <w:r>
              <w:rPr>
                <w:rFonts w:hint="eastAsia"/>
                <w:color w:val="auto"/>
              </w:rPr>
              <w:t>氮氧化物、二氧化硫、烟尘、林格曼黑度</w:t>
            </w:r>
          </w:p>
        </w:tc>
        <w:tc>
          <w:tcPr>
            <w:tcW w:w="850" w:type="dxa"/>
            <w:vAlign w:val="center"/>
          </w:tcPr>
          <w:p w14:paraId="4A203528">
            <w:pPr>
              <w:pStyle w:val="33"/>
              <w:rPr>
                <w:color w:val="auto"/>
              </w:rPr>
            </w:pPr>
            <w:r>
              <w:rPr>
                <w:rFonts w:hint="eastAsia"/>
                <w:color w:val="auto"/>
              </w:rPr>
              <w:t>手工</w:t>
            </w:r>
          </w:p>
        </w:tc>
        <w:tc>
          <w:tcPr>
            <w:tcW w:w="1134" w:type="dxa"/>
            <w:vAlign w:val="center"/>
          </w:tcPr>
          <w:p w14:paraId="50A40A89">
            <w:pPr>
              <w:pStyle w:val="33"/>
              <w:rPr>
                <w:color w:val="auto"/>
              </w:rPr>
            </w:pPr>
            <w:r>
              <w:rPr>
                <w:rFonts w:hint="eastAsia"/>
                <w:color w:val="auto"/>
              </w:rPr>
              <w:t>/</w:t>
            </w:r>
          </w:p>
        </w:tc>
        <w:tc>
          <w:tcPr>
            <w:tcW w:w="4925" w:type="dxa"/>
            <w:vAlign w:val="center"/>
          </w:tcPr>
          <w:p w14:paraId="4034FCCA">
            <w:pPr>
              <w:pStyle w:val="33"/>
              <w:rPr>
                <w:color w:val="auto"/>
              </w:rPr>
            </w:pPr>
            <w:r>
              <w:rPr>
                <w:rFonts w:hint="eastAsia"/>
                <w:color w:val="auto"/>
              </w:rPr>
              <w:t>《锅炉大气污染物排放标准》（GB13271-2014）</w:t>
            </w:r>
          </w:p>
        </w:tc>
      </w:tr>
      <w:tr w14:paraId="28ACC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6BE8DD8">
            <w:pPr>
              <w:pStyle w:val="33"/>
              <w:rPr>
                <w:color w:val="auto"/>
              </w:rPr>
            </w:pPr>
            <w:r>
              <w:rPr>
                <w:rFonts w:hint="eastAsia"/>
                <w:color w:val="auto"/>
              </w:rPr>
              <w:t>21</w:t>
            </w:r>
          </w:p>
        </w:tc>
        <w:tc>
          <w:tcPr>
            <w:tcW w:w="851" w:type="dxa"/>
            <w:vAlign w:val="center"/>
          </w:tcPr>
          <w:p w14:paraId="57544E3E">
            <w:pPr>
              <w:pStyle w:val="33"/>
              <w:rPr>
                <w:color w:val="auto"/>
              </w:rPr>
            </w:pPr>
            <w:r>
              <w:rPr>
                <w:rFonts w:hint="eastAsia"/>
                <w:color w:val="auto"/>
              </w:rPr>
              <w:t>废气</w:t>
            </w:r>
          </w:p>
        </w:tc>
        <w:tc>
          <w:tcPr>
            <w:tcW w:w="992" w:type="dxa"/>
            <w:vAlign w:val="center"/>
          </w:tcPr>
          <w:p w14:paraId="584A71E5">
            <w:pPr>
              <w:pStyle w:val="33"/>
              <w:rPr>
                <w:color w:val="auto"/>
              </w:rPr>
            </w:pPr>
            <w:r>
              <w:rPr>
                <w:rFonts w:hint="eastAsia"/>
                <w:color w:val="auto"/>
              </w:rPr>
              <w:t>DA042</w:t>
            </w:r>
          </w:p>
        </w:tc>
        <w:tc>
          <w:tcPr>
            <w:tcW w:w="1843" w:type="dxa"/>
            <w:vAlign w:val="center"/>
          </w:tcPr>
          <w:p w14:paraId="3B004212">
            <w:pPr>
              <w:pStyle w:val="33"/>
              <w:rPr>
                <w:color w:val="auto"/>
              </w:rPr>
            </w:pPr>
            <w:r>
              <w:rPr>
                <w:rFonts w:hint="eastAsia"/>
                <w:color w:val="auto"/>
              </w:rPr>
              <w:t>PM2　１#导热排气筒</w:t>
            </w:r>
          </w:p>
        </w:tc>
        <w:tc>
          <w:tcPr>
            <w:tcW w:w="2835" w:type="dxa"/>
            <w:vAlign w:val="center"/>
          </w:tcPr>
          <w:p w14:paraId="13F38B40">
            <w:pPr>
              <w:pStyle w:val="33"/>
              <w:rPr>
                <w:color w:val="auto"/>
              </w:rPr>
            </w:pPr>
            <w:r>
              <w:rPr>
                <w:rFonts w:hint="eastAsia"/>
                <w:color w:val="auto"/>
              </w:rPr>
              <w:t>氮氧化物、二氧化硫、烟尘、林格曼黑度</w:t>
            </w:r>
          </w:p>
        </w:tc>
        <w:tc>
          <w:tcPr>
            <w:tcW w:w="850" w:type="dxa"/>
            <w:vAlign w:val="center"/>
          </w:tcPr>
          <w:p w14:paraId="0131E082">
            <w:pPr>
              <w:pStyle w:val="33"/>
              <w:rPr>
                <w:color w:val="auto"/>
              </w:rPr>
            </w:pPr>
            <w:r>
              <w:rPr>
                <w:rFonts w:hint="eastAsia"/>
                <w:color w:val="auto"/>
              </w:rPr>
              <w:t>手工</w:t>
            </w:r>
          </w:p>
        </w:tc>
        <w:tc>
          <w:tcPr>
            <w:tcW w:w="1134" w:type="dxa"/>
            <w:vAlign w:val="center"/>
          </w:tcPr>
          <w:p w14:paraId="717E8EED">
            <w:pPr>
              <w:pStyle w:val="33"/>
              <w:rPr>
                <w:color w:val="auto"/>
              </w:rPr>
            </w:pPr>
            <w:r>
              <w:rPr>
                <w:rFonts w:hint="eastAsia"/>
                <w:color w:val="auto"/>
              </w:rPr>
              <w:t>/</w:t>
            </w:r>
          </w:p>
        </w:tc>
        <w:tc>
          <w:tcPr>
            <w:tcW w:w="4925" w:type="dxa"/>
            <w:vAlign w:val="center"/>
          </w:tcPr>
          <w:p w14:paraId="1F3E00AE">
            <w:pPr>
              <w:pStyle w:val="33"/>
              <w:rPr>
                <w:color w:val="auto"/>
              </w:rPr>
            </w:pPr>
            <w:r>
              <w:rPr>
                <w:rFonts w:hint="eastAsia"/>
                <w:color w:val="auto"/>
              </w:rPr>
              <w:t>《锅炉大气污染物排放标准》（GB13271-2014）</w:t>
            </w:r>
          </w:p>
        </w:tc>
      </w:tr>
      <w:tr w14:paraId="0A738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6EAC5486">
            <w:pPr>
              <w:pStyle w:val="33"/>
              <w:rPr>
                <w:color w:val="auto"/>
              </w:rPr>
            </w:pPr>
            <w:r>
              <w:rPr>
                <w:rFonts w:hint="eastAsia"/>
                <w:color w:val="auto"/>
              </w:rPr>
              <w:t>22</w:t>
            </w:r>
          </w:p>
        </w:tc>
        <w:tc>
          <w:tcPr>
            <w:tcW w:w="851" w:type="dxa"/>
            <w:vAlign w:val="center"/>
          </w:tcPr>
          <w:p w14:paraId="6433968F">
            <w:pPr>
              <w:pStyle w:val="33"/>
              <w:rPr>
                <w:color w:val="auto"/>
              </w:rPr>
            </w:pPr>
            <w:r>
              <w:rPr>
                <w:rFonts w:hint="eastAsia"/>
                <w:color w:val="auto"/>
              </w:rPr>
              <w:t>废气</w:t>
            </w:r>
          </w:p>
        </w:tc>
        <w:tc>
          <w:tcPr>
            <w:tcW w:w="992" w:type="dxa"/>
            <w:vAlign w:val="center"/>
          </w:tcPr>
          <w:p w14:paraId="2A23CBC9">
            <w:pPr>
              <w:pStyle w:val="33"/>
              <w:rPr>
                <w:color w:val="auto"/>
              </w:rPr>
            </w:pPr>
            <w:r>
              <w:rPr>
                <w:rFonts w:hint="eastAsia"/>
                <w:color w:val="auto"/>
              </w:rPr>
              <w:t>DA043</w:t>
            </w:r>
          </w:p>
        </w:tc>
        <w:tc>
          <w:tcPr>
            <w:tcW w:w="1843" w:type="dxa"/>
            <w:vAlign w:val="center"/>
          </w:tcPr>
          <w:p w14:paraId="3A4D9DB6">
            <w:pPr>
              <w:pStyle w:val="33"/>
              <w:rPr>
                <w:color w:val="auto"/>
              </w:rPr>
            </w:pPr>
            <w:r>
              <w:rPr>
                <w:rFonts w:hint="eastAsia"/>
                <w:color w:val="auto"/>
              </w:rPr>
              <w:t>PM1　2#导热排气筒</w:t>
            </w:r>
          </w:p>
        </w:tc>
        <w:tc>
          <w:tcPr>
            <w:tcW w:w="2835" w:type="dxa"/>
            <w:vAlign w:val="center"/>
          </w:tcPr>
          <w:p w14:paraId="4EA811BA">
            <w:pPr>
              <w:pStyle w:val="33"/>
              <w:rPr>
                <w:color w:val="auto"/>
              </w:rPr>
            </w:pPr>
            <w:r>
              <w:rPr>
                <w:rFonts w:hint="eastAsia"/>
                <w:color w:val="auto"/>
              </w:rPr>
              <w:t>氮氧化物、二氧化硫、烟尘、林格曼黑度</w:t>
            </w:r>
          </w:p>
        </w:tc>
        <w:tc>
          <w:tcPr>
            <w:tcW w:w="850" w:type="dxa"/>
            <w:vAlign w:val="center"/>
          </w:tcPr>
          <w:p w14:paraId="20BCF8C5">
            <w:pPr>
              <w:pStyle w:val="33"/>
              <w:rPr>
                <w:color w:val="auto"/>
              </w:rPr>
            </w:pPr>
            <w:r>
              <w:rPr>
                <w:rFonts w:hint="eastAsia"/>
                <w:color w:val="auto"/>
              </w:rPr>
              <w:t>手工</w:t>
            </w:r>
          </w:p>
        </w:tc>
        <w:tc>
          <w:tcPr>
            <w:tcW w:w="1134" w:type="dxa"/>
            <w:vAlign w:val="center"/>
          </w:tcPr>
          <w:p w14:paraId="0CA05C23">
            <w:pPr>
              <w:pStyle w:val="33"/>
              <w:rPr>
                <w:color w:val="auto"/>
              </w:rPr>
            </w:pPr>
            <w:r>
              <w:rPr>
                <w:rFonts w:hint="eastAsia"/>
                <w:color w:val="auto"/>
              </w:rPr>
              <w:t>/</w:t>
            </w:r>
          </w:p>
        </w:tc>
        <w:tc>
          <w:tcPr>
            <w:tcW w:w="4925" w:type="dxa"/>
            <w:vAlign w:val="center"/>
          </w:tcPr>
          <w:p w14:paraId="7EFB5186">
            <w:pPr>
              <w:pStyle w:val="33"/>
              <w:rPr>
                <w:color w:val="auto"/>
              </w:rPr>
            </w:pPr>
            <w:r>
              <w:rPr>
                <w:rFonts w:hint="eastAsia"/>
                <w:color w:val="auto"/>
              </w:rPr>
              <w:t>《锅炉大气污染物排放标准》（GB13271-2014）</w:t>
            </w:r>
          </w:p>
        </w:tc>
      </w:tr>
      <w:tr w14:paraId="12F3E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3D966357">
            <w:pPr>
              <w:pStyle w:val="33"/>
              <w:rPr>
                <w:color w:val="auto"/>
              </w:rPr>
            </w:pPr>
            <w:r>
              <w:rPr>
                <w:rFonts w:hint="eastAsia"/>
                <w:color w:val="auto"/>
              </w:rPr>
              <w:t>23</w:t>
            </w:r>
          </w:p>
        </w:tc>
        <w:tc>
          <w:tcPr>
            <w:tcW w:w="851" w:type="dxa"/>
            <w:vAlign w:val="center"/>
          </w:tcPr>
          <w:p w14:paraId="4D6DE010">
            <w:pPr>
              <w:pStyle w:val="33"/>
              <w:rPr>
                <w:color w:val="auto"/>
              </w:rPr>
            </w:pPr>
            <w:r>
              <w:rPr>
                <w:rFonts w:hint="eastAsia"/>
                <w:color w:val="auto"/>
              </w:rPr>
              <w:t>废气</w:t>
            </w:r>
          </w:p>
        </w:tc>
        <w:tc>
          <w:tcPr>
            <w:tcW w:w="992" w:type="dxa"/>
            <w:vAlign w:val="center"/>
          </w:tcPr>
          <w:p w14:paraId="0B39AF64">
            <w:pPr>
              <w:pStyle w:val="33"/>
              <w:rPr>
                <w:color w:val="auto"/>
              </w:rPr>
            </w:pPr>
            <w:r>
              <w:rPr>
                <w:rFonts w:hint="eastAsia"/>
                <w:color w:val="auto"/>
              </w:rPr>
              <w:t>DA044</w:t>
            </w:r>
          </w:p>
        </w:tc>
        <w:tc>
          <w:tcPr>
            <w:tcW w:w="1843" w:type="dxa"/>
            <w:vAlign w:val="center"/>
          </w:tcPr>
          <w:p w14:paraId="3F0A402F">
            <w:pPr>
              <w:pStyle w:val="33"/>
              <w:rPr>
                <w:color w:val="auto"/>
              </w:rPr>
            </w:pPr>
            <w:r>
              <w:rPr>
                <w:rFonts w:hint="eastAsia"/>
                <w:color w:val="auto"/>
              </w:rPr>
              <w:t>PM2　2#导热排气筒</w:t>
            </w:r>
          </w:p>
        </w:tc>
        <w:tc>
          <w:tcPr>
            <w:tcW w:w="2835" w:type="dxa"/>
            <w:vAlign w:val="center"/>
          </w:tcPr>
          <w:p w14:paraId="074D0F0A">
            <w:pPr>
              <w:pStyle w:val="33"/>
              <w:rPr>
                <w:color w:val="auto"/>
              </w:rPr>
            </w:pPr>
            <w:r>
              <w:rPr>
                <w:rFonts w:hint="eastAsia"/>
                <w:color w:val="auto"/>
              </w:rPr>
              <w:t>氮氧化物、二氧化硫、烟尘、林格曼黑度</w:t>
            </w:r>
          </w:p>
        </w:tc>
        <w:tc>
          <w:tcPr>
            <w:tcW w:w="850" w:type="dxa"/>
            <w:vAlign w:val="center"/>
          </w:tcPr>
          <w:p w14:paraId="32469C72">
            <w:pPr>
              <w:pStyle w:val="33"/>
              <w:rPr>
                <w:color w:val="auto"/>
              </w:rPr>
            </w:pPr>
            <w:r>
              <w:rPr>
                <w:rFonts w:hint="eastAsia"/>
                <w:color w:val="auto"/>
              </w:rPr>
              <w:t>手工</w:t>
            </w:r>
          </w:p>
        </w:tc>
        <w:tc>
          <w:tcPr>
            <w:tcW w:w="1134" w:type="dxa"/>
            <w:vAlign w:val="center"/>
          </w:tcPr>
          <w:p w14:paraId="59EC8287">
            <w:pPr>
              <w:pStyle w:val="33"/>
              <w:rPr>
                <w:color w:val="auto"/>
              </w:rPr>
            </w:pPr>
            <w:r>
              <w:rPr>
                <w:rFonts w:hint="eastAsia"/>
                <w:color w:val="auto"/>
              </w:rPr>
              <w:t>/</w:t>
            </w:r>
          </w:p>
        </w:tc>
        <w:tc>
          <w:tcPr>
            <w:tcW w:w="4925" w:type="dxa"/>
            <w:vAlign w:val="center"/>
          </w:tcPr>
          <w:p w14:paraId="615848F6">
            <w:pPr>
              <w:pStyle w:val="33"/>
              <w:rPr>
                <w:color w:val="auto"/>
              </w:rPr>
            </w:pPr>
            <w:r>
              <w:rPr>
                <w:rFonts w:hint="eastAsia"/>
                <w:color w:val="auto"/>
              </w:rPr>
              <w:t>《锅炉大气污染物排放标准》（GB13271-2014）</w:t>
            </w:r>
          </w:p>
        </w:tc>
      </w:tr>
      <w:tr w14:paraId="60948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39999879">
            <w:pPr>
              <w:pStyle w:val="33"/>
              <w:rPr>
                <w:color w:val="auto"/>
              </w:rPr>
            </w:pPr>
            <w:r>
              <w:rPr>
                <w:rFonts w:hint="eastAsia"/>
                <w:color w:val="auto"/>
              </w:rPr>
              <w:t>24</w:t>
            </w:r>
          </w:p>
        </w:tc>
        <w:tc>
          <w:tcPr>
            <w:tcW w:w="851" w:type="dxa"/>
            <w:vAlign w:val="center"/>
          </w:tcPr>
          <w:p w14:paraId="547B3824">
            <w:pPr>
              <w:pStyle w:val="33"/>
              <w:rPr>
                <w:color w:val="auto"/>
              </w:rPr>
            </w:pPr>
            <w:r>
              <w:rPr>
                <w:rFonts w:hint="eastAsia"/>
                <w:color w:val="auto"/>
              </w:rPr>
              <w:t>废气</w:t>
            </w:r>
          </w:p>
        </w:tc>
        <w:tc>
          <w:tcPr>
            <w:tcW w:w="992" w:type="dxa"/>
            <w:vAlign w:val="center"/>
          </w:tcPr>
          <w:p w14:paraId="1625A348">
            <w:pPr>
              <w:pStyle w:val="33"/>
              <w:rPr>
                <w:color w:val="auto"/>
              </w:rPr>
            </w:pPr>
            <w:r>
              <w:rPr>
                <w:rFonts w:hint="eastAsia"/>
                <w:color w:val="auto"/>
              </w:rPr>
              <w:t>DA045</w:t>
            </w:r>
          </w:p>
        </w:tc>
        <w:tc>
          <w:tcPr>
            <w:tcW w:w="1843" w:type="dxa"/>
            <w:vAlign w:val="center"/>
          </w:tcPr>
          <w:p w14:paraId="3CF5D1B4">
            <w:pPr>
              <w:pStyle w:val="33"/>
              <w:rPr>
                <w:color w:val="auto"/>
              </w:rPr>
            </w:pPr>
            <w:r>
              <w:rPr>
                <w:rFonts w:hint="eastAsia"/>
                <w:color w:val="auto"/>
              </w:rPr>
              <w:t>二期污水洗涤塔</w:t>
            </w:r>
          </w:p>
        </w:tc>
        <w:tc>
          <w:tcPr>
            <w:tcW w:w="2835" w:type="dxa"/>
            <w:vAlign w:val="center"/>
          </w:tcPr>
          <w:p w14:paraId="3D7ACA58">
            <w:pPr>
              <w:pStyle w:val="33"/>
              <w:rPr>
                <w:color w:val="auto"/>
              </w:rPr>
            </w:pPr>
            <w:r>
              <w:rPr>
                <w:rFonts w:hint="eastAsia"/>
                <w:color w:val="auto"/>
              </w:rPr>
              <w:t>氨、硫化氢、臭气浓度</w:t>
            </w:r>
          </w:p>
        </w:tc>
        <w:tc>
          <w:tcPr>
            <w:tcW w:w="850" w:type="dxa"/>
            <w:vAlign w:val="center"/>
          </w:tcPr>
          <w:p w14:paraId="2AB177A6">
            <w:pPr>
              <w:pStyle w:val="33"/>
              <w:rPr>
                <w:color w:val="auto"/>
              </w:rPr>
            </w:pPr>
            <w:r>
              <w:rPr>
                <w:rFonts w:hint="eastAsia"/>
                <w:color w:val="auto"/>
              </w:rPr>
              <w:t>手工</w:t>
            </w:r>
          </w:p>
        </w:tc>
        <w:tc>
          <w:tcPr>
            <w:tcW w:w="1134" w:type="dxa"/>
            <w:vAlign w:val="center"/>
          </w:tcPr>
          <w:p w14:paraId="7547E16F">
            <w:pPr>
              <w:pStyle w:val="33"/>
              <w:rPr>
                <w:color w:val="auto"/>
              </w:rPr>
            </w:pPr>
            <w:r>
              <w:rPr>
                <w:rFonts w:hint="eastAsia"/>
                <w:color w:val="auto"/>
              </w:rPr>
              <w:t>1次/年</w:t>
            </w:r>
          </w:p>
        </w:tc>
        <w:tc>
          <w:tcPr>
            <w:tcW w:w="4925" w:type="dxa"/>
            <w:vAlign w:val="center"/>
          </w:tcPr>
          <w:p w14:paraId="61A06020">
            <w:pPr>
              <w:pStyle w:val="33"/>
              <w:rPr>
                <w:color w:val="auto"/>
              </w:rPr>
            </w:pPr>
            <w:r>
              <w:rPr>
                <w:rFonts w:hint="eastAsia"/>
                <w:color w:val="auto"/>
              </w:rPr>
              <w:t>《恶臭污染物排放标准》（GB14554-93）</w:t>
            </w:r>
          </w:p>
        </w:tc>
      </w:tr>
      <w:tr w14:paraId="1DC87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4546AA12">
            <w:pPr>
              <w:pStyle w:val="33"/>
              <w:rPr>
                <w:color w:val="auto"/>
              </w:rPr>
            </w:pPr>
            <w:r>
              <w:rPr>
                <w:rFonts w:hint="eastAsia"/>
                <w:color w:val="auto"/>
              </w:rPr>
              <w:t>25</w:t>
            </w:r>
          </w:p>
        </w:tc>
        <w:tc>
          <w:tcPr>
            <w:tcW w:w="851" w:type="dxa"/>
            <w:vAlign w:val="center"/>
          </w:tcPr>
          <w:p w14:paraId="42F74C82">
            <w:pPr>
              <w:pStyle w:val="33"/>
              <w:rPr>
                <w:color w:val="auto"/>
              </w:rPr>
            </w:pPr>
            <w:r>
              <w:rPr>
                <w:rFonts w:hint="eastAsia"/>
                <w:color w:val="auto"/>
              </w:rPr>
              <w:t>废气</w:t>
            </w:r>
          </w:p>
        </w:tc>
        <w:tc>
          <w:tcPr>
            <w:tcW w:w="992" w:type="dxa"/>
            <w:vAlign w:val="center"/>
          </w:tcPr>
          <w:p w14:paraId="243EDF9C">
            <w:pPr>
              <w:pStyle w:val="33"/>
              <w:rPr>
                <w:color w:val="auto"/>
              </w:rPr>
            </w:pPr>
            <w:r>
              <w:rPr>
                <w:rFonts w:hint="eastAsia"/>
                <w:color w:val="auto"/>
              </w:rPr>
              <w:t>/</w:t>
            </w:r>
          </w:p>
        </w:tc>
        <w:tc>
          <w:tcPr>
            <w:tcW w:w="1843" w:type="dxa"/>
            <w:vAlign w:val="center"/>
          </w:tcPr>
          <w:p w14:paraId="1B1528FC">
            <w:pPr>
              <w:pStyle w:val="33"/>
              <w:rPr>
                <w:color w:val="auto"/>
              </w:rPr>
            </w:pPr>
            <w:r>
              <w:rPr>
                <w:rFonts w:hint="eastAsia"/>
                <w:color w:val="auto"/>
              </w:rPr>
              <w:t>氨罐区周边</w:t>
            </w:r>
          </w:p>
        </w:tc>
        <w:tc>
          <w:tcPr>
            <w:tcW w:w="2835" w:type="dxa"/>
            <w:vAlign w:val="center"/>
          </w:tcPr>
          <w:p w14:paraId="15D1FFB3">
            <w:pPr>
              <w:pStyle w:val="33"/>
              <w:rPr>
                <w:color w:val="auto"/>
              </w:rPr>
            </w:pPr>
            <w:r>
              <w:rPr>
                <w:rFonts w:hint="eastAsia"/>
                <w:color w:val="auto"/>
              </w:rPr>
              <w:t>氨</w:t>
            </w:r>
          </w:p>
        </w:tc>
        <w:tc>
          <w:tcPr>
            <w:tcW w:w="850" w:type="dxa"/>
            <w:vAlign w:val="center"/>
          </w:tcPr>
          <w:p w14:paraId="344B39B0">
            <w:pPr>
              <w:pStyle w:val="33"/>
              <w:rPr>
                <w:color w:val="auto"/>
              </w:rPr>
            </w:pPr>
            <w:r>
              <w:rPr>
                <w:rFonts w:hint="eastAsia"/>
                <w:color w:val="auto"/>
              </w:rPr>
              <w:t>手工</w:t>
            </w:r>
          </w:p>
        </w:tc>
        <w:tc>
          <w:tcPr>
            <w:tcW w:w="1134" w:type="dxa"/>
            <w:vAlign w:val="center"/>
          </w:tcPr>
          <w:p w14:paraId="44F0EF9A">
            <w:pPr>
              <w:pStyle w:val="33"/>
              <w:rPr>
                <w:color w:val="auto"/>
              </w:rPr>
            </w:pPr>
            <w:r>
              <w:rPr>
                <w:rFonts w:hint="eastAsia"/>
                <w:color w:val="auto"/>
              </w:rPr>
              <w:t>1次/季</w:t>
            </w:r>
          </w:p>
        </w:tc>
        <w:tc>
          <w:tcPr>
            <w:tcW w:w="4925" w:type="dxa"/>
            <w:vAlign w:val="center"/>
          </w:tcPr>
          <w:p w14:paraId="6A24B88A">
            <w:pPr>
              <w:pStyle w:val="33"/>
              <w:rPr>
                <w:color w:val="auto"/>
              </w:rPr>
            </w:pPr>
            <w:r>
              <w:rPr>
                <w:rFonts w:hint="eastAsia"/>
                <w:color w:val="auto"/>
              </w:rPr>
              <w:t>《恶臭污染物排放标准》（GB14554-93）</w:t>
            </w:r>
          </w:p>
        </w:tc>
      </w:tr>
      <w:tr w14:paraId="4A3B8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475F7759">
            <w:pPr>
              <w:pStyle w:val="33"/>
              <w:rPr>
                <w:color w:val="auto"/>
              </w:rPr>
            </w:pPr>
            <w:r>
              <w:rPr>
                <w:rFonts w:hint="eastAsia"/>
                <w:color w:val="auto"/>
              </w:rPr>
              <w:t>26</w:t>
            </w:r>
          </w:p>
        </w:tc>
        <w:tc>
          <w:tcPr>
            <w:tcW w:w="851" w:type="dxa"/>
            <w:vMerge w:val="restart"/>
            <w:vAlign w:val="center"/>
          </w:tcPr>
          <w:p w14:paraId="34726268">
            <w:pPr>
              <w:pStyle w:val="33"/>
              <w:rPr>
                <w:color w:val="auto"/>
              </w:rPr>
            </w:pPr>
            <w:r>
              <w:rPr>
                <w:rFonts w:hint="eastAsia"/>
                <w:color w:val="auto"/>
              </w:rPr>
              <w:t>废气</w:t>
            </w:r>
          </w:p>
        </w:tc>
        <w:tc>
          <w:tcPr>
            <w:tcW w:w="992" w:type="dxa"/>
            <w:vMerge w:val="restart"/>
            <w:vAlign w:val="center"/>
          </w:tcPr>
          <w:p w14:paraId="2335F7CA">
            <w:pPr>
              <w:pStyle w:val="33"/>
              <w:rPr>
                <w:color w:val="auto"/>
              </w:rPr>
            </w:pPr>
            <w:r>
              <w:rPr>
                <w:rFonts w:hint="eastAsia"/>
                <w:color w:val="auto"/>
              </w:rPr>
              <w:t>/</w:t>
            </w:r>
          </w:p>
        </w:tc>
        <w:tc>
          <w:tcPr>
            <w:tcW w:w="1843" w:type="dxa"/>
            <w:vMerge w:val="restart"/>
            <w:vAlign w:val="center"/>
          </w:tcPr>
          <w:p w14:paraId="686FC936">
            <w:pPr>
              <w:pStyle w:val="33"/>
              <w:rPr>
                <w:color w:val="auto"/>
              </w:rPr>
            </w:pPr>
            <w:r>
              <w:rPr>
                <w:rFonts w:hint="eastAsia"/>
                <w:color w:val="auto"/>
              </w:rPr>
              <w:t>厂界</w:t>
            </w:r>
          </w:p>
        </w:tc>
        <w:tc>
          <w:tcPr>
            <w:tcW w:w="2835" w:type="dxa"/>
            <w:vAlign w:val="center"/>
          </w:tcPr>
          <w:p w14:paraId="23870BBD">
            <w:pPr>
              <w:pStyle w:val="33"/>
              <w:rPr>
                <w:color w:val="auto"/>
              </w:rPr>
            </w:pPr>
            <w:r>
              <w:rPr>
                <w:rFonts w:hint="eastAsia"/>
                <w:color w:val="auto"/>
              </w:rPr>
              <w:t>硫化氢、臭气浓度</w:t>
            </w:r>
          </w:p>
        </w:tc>
        <w:tc>
          <w:tcPr>
            <w:tcW w:w="850" w:type="dxa"/>
            <w:vAlign w:val="center"/>
          </w:tcPr>
          <w:p w14:paraId="0EDA1373">
            <w:pPr>
              <w:pStyle w:val="33"/>
              <w:rPr>
                <w:color w:val="auto"/>
              </w:rPr>
            </w:pPr>
            <w:r>
              <w:rPr>
                <w:rFonts w:hint="eastAsia"/>
                <w:color w:val="auto"/>
              </w:rPr>
              <w:t>手工</w:t>
            </w:r>
          </w:p>
        </w:tc>
        <w:tc>
          <w:tcPr>
            <w:tcW w:w="1134" w:type="dxa"/>
            <w:vAlign w:val="center"/>
          </w:tcPr>
          <w:p w14:paraId="5F28E8AF">
            <w:pPr>
              <w:pStyle w:val="33"/>
              <w:rPr>
                <w:color w:val="auto"/>
              </w:rPr>
            </w:pPr>
            <w:r>
              <w:rPr>
                <w:rFonts w:hint="eastAsia"/>
                <w:color w:val="auto"/>
              </w:rPr>
              <w:t>1次/年</w:t>
            </w:r>
          </w:p>
        </w:tc>
        <w:tc>
          <w:tcPr>
            <w:tcW w:w="4925" w:type="dxa"/>
            <w:vAlign w:val="center"/>
          </w:tcPr>
          <w:p w14:paraId="3F736D79">
            <w:pPr>
              <w:pStyle w:val="33"/>
              <w:rPr>
                <w:color w:val="auto"/>
              </w:rPr>
            </w:pPr>
            <w:r>
              <w:rPr>
                <w:rFonts w:hint="eastAsia"/>
                <w:color w:val="auto"/>
              </w:rPr>
              <w:t>《恶臭污染物排放标准》（GB14554-93）</w:t>
            </w:r>
          </w:p>
        </w:tc>
      </w:tr>
      <w:tr w14:paraId="10076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7F0F22AD">
            <w:pPr>
              <w:pStyle w:val="33"/>
              <w:rPr>
                <w:color w:val="auto"/>
              </w:rPr>
            </w:pPr>
          </w:p>
        </w:tc>
        <w:tc>
          <w:tcPr>
            <w:tcW w:w="851" w:type="dxa"/>
            <w:vMerge w:val="continue"/>
            <w:vAlign w:val="center"/>
          </w:tcPr>
          <w:p w14:paraId="02B2324D">
            <w:pPr>
              <w:pStyle w:val="33"/>
              <w:rPr>
                <w:color w:val="auto"/>
              </w:rPr>
            </w:pPr>
          </w:p>
        </w:tc>
        <w:tc>
          <w:tcPr>
            <w:tcW w:w="992" w:type="dxa"/>
            <w:vMerge w:val="continue"/>
            <w:vAlign w:val="center"/>
          </w:tcPr>
          <w:p w14:paraId="0940535F">
            <w:pPr>
              <w:pStyle w:val="33"/>
              <w:rPr>
                <w:color w:val="auto"/>
              </w:rPr>
            </w:pPr>
          </w:p>
        </w:tc>
        <w:tc>
          <w:tcPr>
            <w:tcW w:w="1843" w:type="dxa"/>
            <w:vMerge w:val="continue"/>
            <w:vAlign w:val="center"/>
          </w:tcPr>
          <w:p w14:paraId="03CB1B1D">
            <w:pPr>
              <w:pStyle w:val="33"/>
              <w:rPr>
                <w:color w:val="auto"/>
              </w:rPr>
            </w:pPr>
          </w:p>
        </w:tc>
        <w:tc>
          <w:tcPr>
            <w:tcW w:w="2835" w:type="dxa"/>
            <w:vAlign w:val="center"/>
          </w:tcPr>
          <w:p w14:paraId="21DBE977">
            <w:pPr>
              <w:pStyle w:val="33"/>
              <w:rPr>
                <w:color w:val="auto"/>
              </w:rPr>
            </w:pPr>
            <w:r>
              <w:rPr>
                <w:rFonts w:hint="eastAsia"/>
                <w:color w:val="auto"/>
              </w:rPr>
              <w:t>氨</w:t>
            </w:r>
          </w:p>
        </w:tc>
        <w:tc>
          <w:tcPr>
            <w:tcW w:w="850" w:type="dxa"/>
            <w:vAlign w:val="center"/>
          </w:tcPr>
          <w:p w14:paraId="0C983ED2">
            <w:pPr>
              <w:pStyle w:val="33"/>
              <w:rPr>
                <w:color w:val="auto"/>
              </w:rPr>
            </w:pPr>
            <w:r>
              <w:rPr>
                <w:rFonts w:hint="eastAsia"/>
                <w:color w:val="auto"/>
              </w:rPr>
              <w:t>手工</w:t>
            </w:r>
          </w:p>
        </w:tc>
        <w:tc>
          <w:tcPr>
            <w:tcW w:w="1134" w:type="dxa"/>
            <w:vAlign w:val="center"/>
          </w:tcPr>
          <w:p w14:paraId="47AEC0E6">
            <w:pPr>
              <w:pStyle w:val="33"/>
              <w:rPr>
                <w:color w:val="auto"/>
              </w:rPr>
            </w:pPr>
            <w:r>
              <w:rPr>
                <w:rFonts w:hint="eastAsia"/>
                <w:color w:val="auto"/>
              </w:rPr>
              <w:t>1次/季</w:t>
            </w:r>
          </w:p>
        </w:tc>
        <w:tc>
          <w:tcPr>
            <w:tcW w:w="4925" w:type="dxa"/>
            <w:vAlign w:val="center"/>
          </w:tcPr>
          <w:p w14:paraId="162B23C1">
            <w:pPr>
              <w:pStyle w:val="33"/>
              <w:rPr>
                <w:color w:val="auto"/>
              </w:rPr>
            </w:pPr>
            <w:r>
              <w:rPr>
                <w:rFonts w:hint="eastAsia"/>
                <w:color w:val="auto"/>
              </w:rPr>
              <w:t>《恶臭污染物排放标准》（GB14554-93）</w:t>
            </w:r>
          </w:p>
        </w:tc>
      </w:tr>
      <w:tr w14:paraId="5188F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06542C53">
            <w:pPr>
              <w:pStyle w:val="33"/>
              <w:rPr>
                <w:color w:val="auto"/>
              </w:rPr>
            </w:pPr>
          </w:p>
        </w:tc>
        <w:tc>
          <w:tcPr>
            <w:tcW w:w="851" w:type="dxa"/>
            <w:vMerge w:val="continue"/>
            <w:vAlign w:val="center"/>
          </w:tcPr>
          <w:p w14:paraId="663515CF">
            <w:pPr>
              <w:pStyle w:val="33"/>
              <w:rPr>
                <w:color w:val="auto"/>
              </w:rPr>
            </w:pPr>
          </w:p>
        </w:tc>
        <w:tc>
          <w:tcPr>
            <w:tcW w:w="992" w:type="dxa"/>
            <w:vMerge w:val="continue"/>
            <w:vAlign w:val="center"/>
          </w:tcPr>
          <w:p w14:paraId="1D92A61B">
            <w:pPr>
              <w:pStyle w:val="33"/>
              <w:rPr>
                <w:color w:val="auto"/>
              </w:rPr>
            </w:pPr>
          </w:p>
        </w:tc>
        <w:tc>
          <w:tcPr>
            <w:tcW w:w="1843" w:type="dxa"/>
            <w:vMerge w:val="continue"/>
            <w:vAlign w:val="center"/>
          </w:tcPr>
          <w:p w14:paraId="1DFB0F9C">
            <w:pPr>
              <w:pStyle w:val="33"/>
              <w:rPr>
                <w:color w:val="auto"/>
              </w:rPr>
            </w:pPr>
          </w:p>
        </w:tc>
        <w:tc>
          <w:tcPr>
            <w:tcW w:w="2835" w:type="dxa"/>
            <w:vAlign w:val="center"/>
          </w:tcPr>
          <w:p w14:paraId="4392972F">
            <w:pPr>
              <w:pStyle w:val="33"/>
              <w:rPr>
                <w:color w:val="auto"/>
              </w:rPr>
            </w:pPr>
            <w:r>
              <w:rPr>
                <w:rFonts w:hint="eastAsia"/>
                <w:color w:val="auto"/>
              </w:rPr>
              <w:t>二甲苯、非甲烷总烃</w:t>
            </w:r>
          </w:p>
        </w:tc>
        <w:tc>
          <w:tcPr>
            <w:tcW w:w="850" w:type="dxa"/>
            <w:vAlign w:val="center"/>
          </w:tcPr>
          <w:p w14:paraId="69BEB2CC">
            <w:pPr>
              <w:pStyle w:val="33"/>
              <w:rPr>
                <w:color w:val="auto"/>
              </w:rPr>
            </w:pPr>
            <w:r>
              <w:rPr>
                <w:rFonts w:hint="eastAsia"/>
                <w:color w:val="auto"/>
              </w:rPr>
              <w:t>手工</w:t>
            </w:r>
          </w:p>
        </w:tc>
        <w:tc>
          <w:tcPr>
            <w:tcW w:w="1134" w:type="dxa"/>
            <w:vAlign w:val="center"/>
          </w:tcPr>
          <w:p w14:paraId="53DE3C50">
            <w:pPr>
              <w:pStyle w:val="33"/>
              <w:rPr>
                <w:color w:val="auto"/>
              </w:rPr>
            </w:pPr>
            <w:r>
              <w:rPr>
                <w:rFonts w:hint="eastAsia"/>
                <w:color w:val="auto"/>
              </w:rPr>
              <w:t>1次/年</w:t>
            </w:r>
          </w:p>
        </w:tc>
        <w:tc>
          <w:tcPr>
            <w:tcW w:w="4925" w:type="dxa"/>
            <w:vAlign w:val="center"/>
          </w:tcPr>
          <w:p w14:paraId="0FBC9ABD">
            <w:pPr>
              <w:pStyle w:val="33"/>
              <w:rPr>
                <w:color w:val="auto"/>
              </w:rPr>
            </w:pPr>
            <w:r>
              <w:rPr>
                <w:rFonts w:hint="eastAsia"/>
                <w:color w:val="auto"/>
              </w:rPr>
              <w:t>《大气污染物综合排放标准》（GB16297-1996）</w:t>
            </w:r>
          </w:p>
        </w:tc>
      </w:tr>
      <w:tr w14:paraId="15577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49B63FC1">
            <w:pPr>
              <w:pStyle w:val="33"/>
              <w:rPr>
                <w:color w:val="auto"/>
              </w:rPr>
            </w:pPr>
          </w:p>
        </w:tc>
        <w:tc>
          <w:tcPr>
            <w:tcW w:w="851" w:type="dxa"/>
            <w:vMerge w:val="continue"/>
            <w:vAlign w:val="center"/>
          </w:tcPr>
          <w:p w14:paraId="6FB8A56E">
            <w:pPr>
              <w:pStyle w:val="33"/>
              <w:rPr>
                <w:color w:val="auto"/>
              </w:rPr>
            </w:pPr>
          </w:p>
        </w:tc>
        <w:tc>
          <w:tcPr>
            <w:tcW w:w="992" w:type="dxa"/>
            <w:vMerge w:val="continue"/>
            <w:vAlign w:val="center"/>
          </w:tcPr>
          <w:p w14:paraId="19AF5065">
            <w:pPr>
              <w:pStyle w:val="33"/>
              <w:rPr>
                <w:color w:val="auto"/>
              </w:rPr>
            </w:pPr>
          </w:p>
        </w:tc>
        <w:tc>
          <w:tcPr>
            <w:tcW w:w="1843" w:type="dxa"/>
            <w:vMerge w:val="continue"/>
            <w:vAlign w:val="center"/>
          </w:tcPr>
          <w:p w14:paraId="75ABE7AA">
            <w:pPr>
              <w:pStyle w:val="33"/>
              <w:rPr>
                <w:color w:val="auto"/>
              </w:rPr>
            </w:pPr>
          </w:p>
        </w:tc>
        <w:tc>
          <w:tcPr>
            <w:tcW w:w="2835" w:type="dxa"/>
            <w:vAlign w:val="center"/>
          </w:tcPr>
          <w:p w14:paraId="5EE34EB4">
            <w:pPr>
              <w:pStyle w:val="33"/>
              <w:rPr>
                <w:color w:val="auto"/>
              </w:rPr>
            </w:pPr>
            <w:r>
              <w:rPr>
                <w:rFonts w:hint="eastAsia"/>
                <w:color w:val="auto"/>
              </w:rPr>
              <w:t>颗粒物</w:t>
            </w:r>
          </w:p>
        </w:tc>
        <w:tc>
          <w:tcPr>
            <w:tcW w:w="850" w:type="dxa"/>
            <w:vAlign w:val="center"/>
          </w:tcPr>
          <w:p w14:paraId="514F4999">
            <w:pPr>
              <w:pStyle w:val="33"/>
              <w:rPr>
                <w:color w:val="auto"/>
              </w:rPr>
            </w:pPr>
            <w:r>
              <w:rPr>
                <w:rFonts w:hint="eastAsia"/>
                <w:color w:val="auto"/>
              </w:rPr>
              <w:t>手工</w:t>
            </w:r>
          </w:p>
        </w:tc>
        <w:tc>
          <w:tcPr>
            <w:tcW w:w="1134" w:type="dxa"/>
            <w:vAlign w:val="center"/>
          </w:tcPr>
          <w:p w14:paraId="69C7563C">
            <w:pPr>
              <w:pStyle w:val="33"/>
              <w:rPr>
                <w:color w:val="auto"/>
              </w:rPr>
            </w:pPr>
            <w:r>
              <w:rPr>
                <w:rFonts w:hint="eastAsia"/>
                <w:color w:val="auto"/>
              </w:rPr>
              <w:t>1次/季</w:t>
            </w:r>
          </w:p>
        </w:tc>
        <w:tc>
          <w:tcPr>
            <w:tcW w:w="4925" w:type="dxa"/>
            <w:vAlign w:val="center"/>
          </w:tcPr>
          <w:p w14:paraId="1F442BF8">
            <w:pPr>
              <w:pStyle w:val="33"/>
              <w:rPr>
                <w:color w:val="auto"/>
              </w:rPr>
            </w:pPr>
            <w:r>
              <w:rPr>
                <w:rFonts w:hint="eastAsia"/>
                <w:color w:val="auto"/>
              </w:rPr>
              <w:t>《大气污染物综合排放标准》（GB16297-1996）</w:t>
            </w:r>
          </w:p>
        </w:tc>
      </w:tr>
      <w:tr w14:paraId="4C0CC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856D982">
            <w:pPr>
              <w:pStyle w:val="33"/>
              <w:rPr>
                <w:color w:val="auto"/>
              </w:rPr>
            </w:pPr>
            <w:r>
              <w:rPr>
                <w:rFonts w:hint="eastAsia"/>
                <w:color w:val="auto"/>
              </w:rPr>
              <w:t>27</w:t>
            </w:r>
          </w:p>
        </w:tc>
        <w:tc>
          <w:tcPr>
            <w:tcW w:w="851" w:type="dxa"/>
            <w:vAlign w:val="center"/>
          </w:tcPr>
          <w:p w14:paraId="56E301AE">
            <w:pPr>
              <w:pStyle w:val="33"/>
              <w:rPr>
                <w:color w:val="auto"/>
              </w:rPr>
            </w:pPr>
            <w:r>
              <w:rPr>
                <w:rFonts w:hint="eastAsia"/>
                <w:color w:val="auto"/>
              </w:rPr>
              <w:t>废水</w:t>
            </w:r>
          </w:p>
        </w:tc>
        <w:tc>
          <w:tcPr>
            <w:tcW w:w="992" w:type="dxa"/>
            <w:vAlign w:val="center"/>
          </w:tcPr>
          <w:p w14:paraId="5DC4458E">
            <w:pPr>
              <w:pStyle w:val="33"/>
              <w:rPr>
                <w:color w:val="auto"/>
              </w:rPr>
            </w:pPr>
            <w:r>
              <w:rPr>
                <w:rFonts w:hint="eastAsia"/>
                <w:color w:val="auto"/>
              </w:rPr>
              <w:t>DW001</w:t>
            </w:r>
          </w:p>
        </w:tc>
        <w:tc>
          <w:tcPr>
            <w:tcW w:w="1843" w:type="dxa"/>
            <w:vAlign w:val="center"/>
          </w:tcPr>
          <w:p w14:paraId="4DAD2E27">
            <w:pPr>
              <w:pStyle w:val="33"/>
              <w:rPr>
                <w:color w:val="auto"/>
              </w:rPr>
            </w:pPr>
            <w:r>
              <w:rPr>
                <w:rFonts w:hint="eastAsia"/>
                <w:color w:val="auto"/>
              </w:rPr>
              <w:t>动力车间脱硫废水</w:t>
            </w:r>
          </w:p>
        </w:tc>
        <w:tc>
          <w:tcPr>
            <w:tcW w:w="2835" w:type="dxa"/>
            <w:vAlign w:val="center"/>
          </w:tcPr>
          <w:p w14:paraId="07D078A5">
            <w:pPr>
              <w:pStyle w:val="33"/>
              <w:rPr>
                <w:color w:val="auto"/>
              </w:rPr>
            </w:pPr>
            <w:r>
              <w:rPr>
                <w:rFonts w:hint="eastAsia"/>
                <w:color w:val="auto"/>
              </w:rPr>
              <w:t>pH值、总汞、总膈、总砷、总铅、流量</w:t>
            </w:r>
          </w:p>
        </w:tc>
        <w:tc>
          <w:tcPr>
            <w:tcW w:w="850" w:type="dxa"/>
            <w:vAlign w:val="center"/>
          </w:tcPr>
          <w:p w14:paraId="63B109B0">
            <w:pPr>
              <w:pStyle w:val="33"/>
              <w:rPr>
                <w:color w:val="auto"/>
              </w:rPr>
            </w:pPr>
            <w:r>
              <w:rPr>
                <w:rFonts w:hint="eastAsia"/>
                <w:color w:val="auto"/>
              </w:rPr>
              <w:t>手工</w:t>
            </w:r>
          </w:p>
        </w:tc>
        <w:tc>
          <w:tcPr>
            <w:tcW w:w="1134" w:type="dxa"/>
            <w:vAlign w:val="center"/>
          </w:tcPr>
          <w:p w14:paraId="19CD842D">
            <w:pPr>
              <w:pStyle w:val="33"/>
              <w:rPr>
                <w:color w:val="auto"/>
              </w:rPr>
            </w:pPr>
            <w:r>
              <w:rPr>
                <w:rFonts w:hint="eastAsia"/>
                <w:color w:val="auto"/>
              </w:rPr>
              <w:t>1次/月</w:t>
            </w:r>
          </w:p>
        </w:tc>
        <w:tc>
          <w:tcPr>
            <w:tcW w:w="4925" w:type="dxa"/>
            <w:vAlign w:val="center"/>
          </w:tcPr>
          <w:p w14:paraId="7C5460A6">
            <w:pPr>
              <w:pStyle w:val="33"/>
              <w:rPr>
                <w:color w:val="auto"/>
              </w:rPr>
            </w:pPr>
            <w:r>
              <w:rPr>
                <w:rFonts w:hint="eastAsia"/>
                <w:color w:val="auto"/>
              </w:rPr>
              <w:t>《污水综合排放标准》（GB8978-1996）</w:t>
            </w:r>
          </w:p>
        </w:tc>
      </w:tr>
      <w:tr w14:paraId="47B11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restart"/>
            <w:vAlign w:val="center"/>
          </w:tcPr>
          <w:p w14:paraId="0EFC34BE">
            <w:pPr>
              <w:pStyle w:val="33"/>
              <w:rPr>
                <w:color w:val="auto"/>
              </w:rPr>
            </w:pPr>
            <w:r>
              <w:rPr>
                <w:rFonts w:hint="eastAsia"/>
                <w:color w:val="auto"/>
              </w:rPr>
              <w:t>28</w:t>
            </w:r>
          </w:p>
        </w:tc>
        <w:tc>
          <w:tcPr>
            <w:tcW w:w="851" w:type="dxa"/>
            <w:vMerge w:val="restart"/>
            <w:vAlign w:val="center"/>
          </w:tcPr>
          <w:p w14:paraId="7C80228E">
            <w:pPr>
              <w:pStyle w:val="33"/>
              <w:rPr>
                <w:color w:val="auto"/>
              </w:rPr>
            </w:pPr>
            <w:r>
              <w:rPr>
                <w:rFonts w:hint="eastAsia"/>
                <w:color w:val="auto"/>
              </w:rPr>
              <w:t>废水</w:t>
            </w:r>
          </w:p>
        </w:tc>
        <w:tc>
          <w:tcPr>
            <w:tcW w:w="992" w:type="dxa"/>
            <w:vMerge w:val="restart"/>
            <w:vAlign w:val="center"/>
          </w:tcPr>
          <w:p w14:paraId="5ABA9101">
            <w:pPr>
              <w:pStyle w:val="33"/>
              <w:rPr>
                <w:color w:val="auto"/>
              </w:rPr>
            </w:pPr>
            <w:r>
              <w:rPr>
                <w:rFonts w:hint="eastAsia"/>
                <w:color w:val="auto"/>
              </w:rPr>
              <w:t>DW002</w:t>
            </w:r>
          </w:p>
        </w:tc>
        <w:tc>
          <w:tcPr>
            <w:tcW w:w="1843" w:type="dxa"/>
            <w:vMerge w:val="restart"/>
            <w:vAlign w:val="center"/>
          </w:tcPr>
          <w:p w14:paraId="4259B119">
            <w:pPr>
              <w:pStyle w:val="33"/>
              <w:rPr>
                <w:color w:val="auto"/>
              </w:rPr>
            </w:pPr>
            <w:r>
              <w:rPr>
                <w:rFonts w:hint="eastAsia"/>
                <w:color w:val="auto"/>
              </w:rPr>
              <w:t>工厂废水总排口</w:t>
            </w:r>
          </w:p>
        </w:tc>
        <w:tc>
          <w:tcPr>
            <w:tcW w:w="2835" w:type="dxa"/>
            <w:vAlign w:val="center"/>
          </w:tcPr>
          <w:p w14:paraId="05EBEED7">
            <w:pPr>
              <w:pStyle w:val="33"/>
              <w:rPr>
                <w:color w:val="auto"/>
              </w:rPr>
            </w:pPr>
            <w:r>
              <w:rPr>
                <w:rFonts w:hint="eastAsia"/>
                <w:color w:val="auto"/>
              </w:rPr>
              <w:t>流量、pH值、化学需氧量、总氮、氨氮、总磷</w:t>
            </w:r>
          </w:p>
        </w:tc>
        <w:tc>
          <w:tcPr>
            <w:tcW w:w="850" w:type="dxa"/>
            <w:vAlign w:val="center"/>
          </w:tcPr>
          <w:p w14:paraId="47367104">
            <w:pPr>
              <w:pStyle w:val="33"/>
              <w:rPr>
                <w:color w:val="auto"/>
              </w:rPr>
            </w:pPr>
            <w:r>
              <w:rPr>
                <w:rFonts w:hint="eastAsia"/>
                <w:color w:val="auto"/>
              </w:rPr>
              <w:t>自动</w:t>
            </w:r>
          </w:p>
        </w:tc>
        <w:tc>
          <w:tcPr>
            <w:tcW w:w="1134" w:type="dxa"/>
            <w:vAlign w:val="center"/>
          </w:tcPr>
          <w:p w14:paraId="0E9A882A">
            <w:pPr>
              <w:pStyle w:val="33"/>
              <w:rPr>
                <w:color w:val="auto"/>
              </w:rPr>
            </w:pPr>
            <w:r>
              <w:rPr>
                <w:rFonts w:hint="eastAsia"/>
                <w:color w:val="auto"/>
              </w:rPr>
              <w:t>/</w:t>
            </w:r>
          </w:p>
        </w:tc>
        <w:tc>
          <w:tcPr>
            <w:tcW w:w="4925" w:type="dxa"/>
            <w:vAlign w:val="center"/>
          </w:tcPr>
          <w:p w14:paraId="59666156">
            <w:pPr>
              <w:pStyle w:val="33"/>
              <w:rPr>
                <w:color w:val="auto"/>
              </w:rPr>
            </w:pPr>
            <w:r>
              <w:rPr>
                <w:rFonts w:hint="eastAsia"/>
                <w:color w:val="auto"/>
              </w:rPr>
              <w:t>《制浆造纸工业水污染物排放标准》（GB3544-2008）</w:t>
            </w:r>
          </w:p>
        </w:tc>
      </w:tr>
      <w:tr w14:paraId="7793B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Merge w:val="continue"/>
            <w:vAlign w:val="center"/>
          </w:tcPr>
          <w:p w14:paraId="115C8C52">
            <w:pPr>
              <w:pStyle w:val="33"/>
              <w:rPr>
                <w:color w:val="auto"/>
              </w:rPr>
            </w:pPr>
          </w:p>
        </w:tc>
        <w:tc>
          <w:tcPr>
            <w:tcW w:w="851" w:type="dxa"/>
            <w:vMerge w:val="continue"/>
            <w:vAlign w:val="center"/>
          </w:tcPr>
          <w:p w14:paraId="267FF0A5">
            <w:pPr>
              <w:pStyle w:val="33"/>
              <w:rPr>
                <w:color w:val="auto"/>
              </w:rPr>
            </w:pPr>
          </w:p>
        </w:tc>
        <w:tc>
          <w:tcPr>
            <w:tcW w:w="992" w:type="dxa"/>
            <w:vMerge w:val="continue"/>
            <w:vAlign w:val="center"/>
          </w:tcPr>
          <w:p w14:paraId="153FAF07">
            <w:pPr>
              <w:pStyle w:val="33"/>
              <w:rPr>
                <w:color w:val="auto"/>
              </w:rPr>
            </w:pPr>
          </w:p>
        </w:tc>
        <w:tc>
          <w:tcPr>
            <w:tcW w:w="1843" w:type="dxa"/>
            <w:vMerge w:val="continue"/>
            <w:vAlign w:val="center"/>
          </w:tcPr>
          <w:p w14:paraId="472A6527">
            <w:pPr>
              <w:pStyle w:val="33"/>
              <w:rPr>
                <w:color w:val="auto"/>
              </w:rPr>
            </w:pPr>
          </w:p>
        </w:tc>
        <w:tc>
          <w:tcPr>
            <w:tcW w:w="2835" w:type="dxa"/>
            <w:vAlign w:val="center"/>
          </w:tcPr>
          <w:p w14:paraId="40775931">
            <w:pPr>
              <w:pStyle w:val="33"/>
              <w:rPr>
                <w:color w:val="auto"/>
              </w:rPr>
            </w:pPr>
            <w:r>
              <w:rPr>
                <w:rFonts w:hint="eastAsia"/>
                <w:color w:val="auto"/>
              </w:rPr>
              <w:t>色度、悬浮物、五日化学需氧量</w:t>
            </w:r>
          </w:p>
        </w:tc>
        <w:tc>
          <w:tcPr>
            <w:tcW w:w="850" w:type="dxa"/>
            <w:vAlign w:val="center"/>
          </w:tcPr>
          <w:p w14:paraId="3DA58657">
            <w:pPr>
              <w:pStyle w:val="33"/>
              <w:rPr>
                <w:color w:val="auto"/>
              </w:rPr>
            </w:pPr>
            <w:r>
              <w:rPr>
                <w:rFonts w:hint="eastAsia"/>
                <w:color w:val="auto"/>
              </w:rPr>
              <w:t>手工</w:t>
            </w:r>
          </w:p>
        </w:tc>
        <w:tc>
          <w:tcPr>
            <w:tcW w:w="1134" w:type="dxa"/>
            <w:vAlign w:val="center"/>
          </w:tcPr>
          <w:p w14:paraId="121F93C5">
            <w:pPr>
              <w:pStyle w:val="33"/>
              <w:rPr>
                <w:color w:val="auto"/>
              </w:rPr>
            </w:pPr>
            <w:r>
              <w:rPr>
                <w:rFonts w:hint="eastAsia"/>
                <w:color w:val="auto"/>
              </w:rPr>
              <w:t>1次/月</w:t>
            </w:r>
          </w:p>
        </w:tc>
        <w:tc>
          <w:tcPr>
            <w:tcW w:w="4925" w:type="dxa"/>
            <w:vAlign w:val="center"/>
          </w:tcPr>
          <w:p w14:paraId="6074B013">
            <w:pPr>
              <w:pStyle w:val="33"/>
              <w:rPr>
                <w:color w:val="auto"/>
              </w:rPr>
            </w:pPr>
            <w:r>
              <w:rPr>
                <w:rFonts w:hint="eastAsia"/>
                <w:color w:val="auto"/>
              </w:rPr>
              <w:t>《制浆造纸工业水污染物排放标准》（GB3544-2008）</w:t>
            </w:r>
          </w:p>
        </w:tc>
      </w:tr>
      <w:tr w14:paraId="7C208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DDBB0A6">
            <w:pPr>
              <w:pStyle w:val="33"/>
              <w:rPr>
                <w:color w:val="auto"/>
              </w:rPr>
            </w:pPr>
            <w:r>
              <w:rPr>
                <w:rFonts w:hint="eastAsia"/>
                <w:color w:val="auto"/>
              </w:rPr>
              <w:t>29</w:t>
            </w:r>
          </w:p>
        </w:tc>
        <w:tc>
          <w:tcPr>
            <w:tcW w:w="851" w:type="dxa"/>
            <w:vAlign w:val="center"/>
          </w:tcPr>
          <w:p w14:paraId="60149C0E">
            <w:pPr>
              <w:pStyle w:val="33"/>
              <w:rPr>
                <w:color w:val="auto"/>
              </w:rPr>
            </w:pPr>
            <w:r>
              <w:rPr>
                <w:rFonts w:hint="eastAsia"/>
                <w:color w:val="auto"/>
              </w:rPr>
              <w:t>废水</w:t>
            </w:r>
          </w:p>
        </w:tc>
        <w:tc>
          <w:tcPr>
            <w:tcW w:w="992" w:type="dxa"/>
            <w:vAlign w:val="center"/>
          </w:tcPr>
          <w:p w14:paraId="11B3B76E">
            <w:pPr>
              <w:pStyle w:val="33"/>
              <w:rPr>
                <w:color w:val="auto"/>
              </w:rPr>
            </w:pPr>
            <w:r>
              <w:rPr>
                <w:rFonts w:hint="eastAsia"/>
                <w:color w:val="auto"/>
              </w:rPr>
              <w:t>DW003</w:t>
            </w:r>
          </w:p>
        </w:tc>
        <w:tc>
          <w:tcPr>
            <w:tcW w:w="1843" w:type="dxa"/>
            <w:vAlign w:val="center"/>
          </w:tcPr>
          <w:p w14:paraId="3690B17B">
            <w:pPr>
              <w:pStyle w:val="33"/>
              <w:rPr>
                <w:color w:val="auto"/>
              </w:rPr>
            </w:pPr>
            <w:r>
              <w:rPr>
                <w:rFonts w:hint="eastAsia"/>
                <w:color w:val="auto"/>
              </w:rPr>
              <w:t>双氧水车间废水排放口</w:t>
            </w:r>
          </w:p>
        </w:tc>
        <w:tc>
          <w:tcPr>
            <w:tcW w:w="2835" w:type="dxa"/>
            <w:vAlign w:val="center"/>
          </w:tcPr>
          <w:p w14:paraId="67F59033">
            <w:pPr>
              <w:pStyle w:val="33"/>
              <w:rPr>
                <w:color w:val="auto"/>
              </w:rPr>
            </w:pPr>
            <w:r>
              <w:rPr>
                <w:rFonts w:hint="eastAsia"/>
                <w:color w:val="auto"/>
              </w:rPr>
              <w:t>石油类</w:t>
            </w:r>
          </w:p>
        </w:tc>
        <w:tc>
          <w:tcPr>
            <w:tcW w:w="850" w:type="dxa"/>
            <w:vAlign w:val="center"/>
          </w:tcPr>
          <w:p w14:paraId="52A9F088">
            <w:pPr>
              <w:pStyle w:val="33"/>
              <w:rPr>
                <w:color w:val="auto"/>
              </w:rPr>
            </w:pPr>
            <w:r>
              <w:rPr>
                <w:rFonts w:hint="eastAsia"/>
                <w:color w:val="auto"/>
              </w:rPr>
              <w:t>手工</w:t>
            </w:r>
          </w:p>
        </w:tc>
        <w:tc>
          <w:tcPr>
            <w:tcW w:w="1134" w:type="dxa"/>
            <w:vAlign w:val="center"/>
          </w:tcPr>
          <w:p w14:paraId="5C7D82D9">
            <w:pPr>
              <w:pStyle w:val="33"/>
              <w:rPr>
                <w:color w:val="auto"/>
              </w:rPr>
            </w:pPr>
            <w:r>
              <w:rPr>
                <w:rFonts w:hint="eastAsia"/>
                <w:color w:val="auto"/>
              </w:rPr>
              <w:t>1次/季</w:t>
            </w:r>
          </w:p>
        </w:tc>
        <w:tc>
          <w:tcPr>
            <w:tcW w:w="4925" w:type="dxa"/>
            <w:vAlign w:val="center"/>
          </w:tcPr>
          <w:p w14:paraId="561198D2">
            <w:pPr>
              <w:pStyle w:val="33"/>
              <w:rPr>
                <w:color w:val="auto"/>
              </w:rPr>
            </w:pPr>
            <w:r>
              <w:rPr>
                <w:rFonts w:hint="eastAsia"/>
                <w:color w:val="auto"/>
              </w:rPr>
              <w:t>《无机化学工业污染物排放标准》（GB31573-2015）</w:t>
            </w:r>
          </w:p>
        </w:tc>
      </w:tr>
      <w:tr w14:paraId="0F470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687B354E">
            <w:pPr>
              <w:pStyle w:val="33"/>
              <w:rPr>
                <w:color w:val="auto"/>
              </w:rPr>
            </w:pPr>
            <w:r>
              <w:rPr>
                <w:rFonts w:hint="eastAsia"/>
                <w:color w:val="auto"/>
              </w:rPr>
              <w:t>30</w:t>
            </w:r>
          </w:p>
        </w:tc>
        <w:tc>
          <w:tcPr>
            <w:tcW w:w="851" w:type="dxa"/>
            <w:vAlign w:val="center"/>
          </w:tcPr>
          <w:p w14:paraId="59B8DEBB">
            <w:pPr>
              <w:pStyle w:val="33"/>
              <w:rPr>
                <w:color w:val="auto"/>
              </w:rPr>
            </w:pPr>
            <w:r>
              <w:rPr>
                <w:rFonts w:hint="eastAsia"/>
                <w:color w:val="auto"/>
              </w:rPr>
              <w:t>废水</w:t>
            </w:r>
          </w:p>
        </w:tc>
        <w:tc>
          <w:tcPr>
            <w:tcW w:w="992" w:type="dxa"/>
            <w:vAlign w:val="center"/>
          </w:tcPr>
          <w:p w14:paraId="24458D44">
            <w:pPr>
              <w:pStyle w:val="33"/>
              <w:rPr>
                <w:color w:val="auto"/>
              </w:rPr>
            </w:pPr>
            <w:r>
              <w:rPr>
                <w:rFonts w:hint="eastAsia"/>
                <w:color w:val="auto"/>
              </w:rPr>
              <w:t>DW004</w:t>
            </w:r>
          </w:p>
        </w:tc>
        <w:tc>
          <w:tcPr>
            <w:tcW w:w="1843" w:type="dxa"/>
            <w:vAlign w:val="center"/>
          </w:tcPr>
          <w:p w14:paraId="1B4941AC">
            <w:pPr>
              <w:pStyle w:val="33"/>
              <w:rPr>
                <w:color w:val="auto"/>
              </w:rPr>
            </w:pPr>
            <w:r>
              <w:rPr>
                <w:rFonts w:hint="eastAsia"/>
                <w:color w:val="auto"/>
              </w:rPr>
              <w:t>雨水排放口</w:t>
            </w:r>
          </w:p>
        </w:tc>
        <w:tc>
          <w:tcPr>
            <w:tcW w:w="2835" w:type="dxa"/>
            <w:vAlign w:val="center"/>
          </w:tcPr>
          <w:p w14:paraId="64692066">
            <w:pPr>
              <w:pStyle w:val="33"/>
              <w:rPr>
                <w:color w:val="auto"/>
              </w:rPr>
            </w:pPr>
            <w:r>
              <w:rPr>
                <w:rFonts w:hint="eastAsia"/>
                <w:color w:val="auto"/>
              </w:rPr>
              <w:t>pH值、化学需氧量、氨氮</w:t>
            </w:r>
          </w:p>
        </w:tc>
        <w:tc>
          <w:tcPr>
            <w:tcW w:w="850" w:type="dxa"/>
            <w:vAlign w:val="center"/>
          </w:tcPr>
          <w:p w14:paraId="300CDCBF">
            <w:pPr>
              <w:pStyle w:val="33"/>
              <w:rPr>
                <w:color w:val="auto"/>
              </w:rPr>
            </w:pPr>
            <w:r>
              <w:rPr>
                <w:rFonts w:hint="eastAsia"/>
                <w:color w:val="auto"/>
              </w:rPr>
              <w:t>手工</w:t>
            </w:r>
          </w:p>
        </w:tc>
        <w:tc>
          <w:tcPr>
            <w:tcW w:w="1134" w:type="dxa"/>
            <w:vAlign w:val="center"/>
          </w:tcPr>
          <w:p w14:paraId="787D503E">
            <w:pPr>
              <w:pStyle w:val="33"/>
              <w:rPr>
                <w:color w:val="auto"/>
              </w:rPr>
            </w:pPr>
            <w:r>
              <w:rPr>
                <w:rFonts w:hint="eastAsia"/>
                <w:color w:val="auto"/>
              </w:rPr>
              <w:t>1次/月</w:t>
            </w:r>
          </w:p>
        </w:tc>
        <w:tc>
          <w:tcPr>
            <w:tcW w:w="4925" w:type="dxa"/>
            <w:vAlign w:val="center"/>
          </w:tcPr>
          <w:p w14:paraId="7A7C57F3">
            <w:pPr>
              <w:pStyle w:val="33"/>
              <w:rPr>
                <w:color w:val="auto"/>
              </w:rPr>
            </w:pPr>
            <w:r>
              <w:rPr>
                <w:rFonts w:hint="eastAsia"/>
                <w:color w:val="auto"/>
              </w:rPr>
              <w:t>/</w:t>
            </w:r>
          </w:p>
        </w:tc>
      </w:tr>
      <w:tr w14:paraId="540FB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3377F7D">
            <w:pPr>
              <w:pStyle w:val="33"/>
              <w:rPr>
                <w:color w:val="auto"/>
              </w:rPr>
            </w:pPr>
            <w:r>
              <w:rPr>
                <w:rFonts w:hint="eastAsia"/>
                <w:color w:val="auto"/>
              </w:rPr>
              <w:t>31</w:t>
            </w:r>
          </w:p>
        </w:tc>
        <w:tc>
          <w:tcPr>
            <w:tcW w:w="851" w:type="dxa"/>
            <w:vAlign w:val="center"/>
          </w:tcPr>
          <w:p w14:paraId="2322914A">
            <w:pPr>
              <w:pStyle w:val="33"/>
              <w:rPr>
                <w:color w:val="auto"/>
              </w:rPr>
            </w:pPr>
            <w:r>
              <w:rPr>
                <w:rFonts w:hint="eastAsia"/>
                <w:color w:val="auto"/>
              </w:rPr>
              <w:t>噪声</w:t>
            </w:r>
          </w:p>
        </w:tc>
        <w:tc>
          <w:tcPr>
            <w:tcW w:w="992" w:type="dxa"/>
          </w:tcPr>
          <w:p w14:paraId="002C842D">
            <w:pPr>
              <w:pStyle w:val="33"/>
              <w:rPr>
                <w:color w:val="auto"/>
              </w:rPr>
            </w:pPr>
            <w:r>
              <w:rPr>
                <w:rFonts w:hint="eastAsia"/>
                <w:color w:val="auto"/>
              </w:rPr>
              <w:t>/</w:t>
            </w:r>
          </w:p>
        </w:tc>
        <w:tc>
          <w:tcPr>
            <w:tcW w:w="1843" w:type="dxa"/>
            <w:vAlign w:val="center"/>
          </w:tcPr>
          <w:p w14:paraId="46D75FFB">
            <w:pPr>
              <w:pStyle w:val="33"/>
              <w:rPr>
                <w:color w:val="auto"/>
              </w:rPr>
            </w:pPr>
            <w:r>
              <w:rPr>
                <w:rFonts w:hint="eastAsia"/>
                <w:color w:val="auto"/>
              </w:rPr>
              <w:t>东1厂界</w:t>
            </w:r>
          </w:p>
        </w:tc>
        <w:tc>
          <w:tcPr>
            <w:tcW w:w="2835" w:type="dxa"/>
            <w:vAlign w:val="center"/>
          </w:tcPr>
          <w:p w14:paraId="4F89EB6A">
            <w:pPr>
              <w:pStyle w:val="33"/>
              <w:rPr>
                <w:color w:val="auto"/>
              </w:rPr>
            </w:pPr>
            <w:r>
              <w:rPr>
                <w:rFonts w:hint="eastAsia"/>
                <w:color w:val="auto"/>
              </w:rPr>
              <w:t>等效声级、最大声级</w:t>
            </w:r>
          </w:p>
        </w:tc>
        <w:tc>
          <w:tcPr>
            <w:tcW w:w="850" w:type="dxa"/>
            <w:vAlign w:val="center"/>
          </w:tcPr>
          <w:p w14:paraId="79191174">
            <w:pPr>
              <w:pStyle w:val="33"/>
              <w:rPr>
                <w:color w:val="auto"/>
              </w:rPr>
            </w:pPr>
            <w:r>
              <w:rPr>
                <w:rFonts w:hint="eastAsia"/>
                <w:color w:val="auto"/>
              </w:rPr>
              <w:t>手工</w:t>
            </w:r>
          </w:p>
        </w:tc>
        <w:tc>
          <w:tcPr>
            <w:tcW w:w="1134" w:type="dxa"/>
            <w:vAlign w:val="center"/>
          </w:tcPr>
          <w:p w14:paraId="51BF8813">
            <w:pPr>
              <w:pStyle w:val="33"/>
              <w:rPr>
                <w:color w:val="auto"/>
              </w:rPr>
            </w:pPr>
            <w:r>
              <w:rPr>
                <w:rFonts w:hint="eastAsia"/>
                <w:color w:val="auto"/>
              </w:rPr>
              <w:t>1次/季</w:t>
            </w:r>
          </w:p>
        </w:tc>
        <w:tc>
          <w:tcPr>
            <w:tcW w:w="4925" w:type="dxa"/>
            <w:vMerge w:val="restart"/>
            <w:vAlign w:val="center"/>
          </w:tcPr>
          <w:p w14:paraId="3BD42156">
            <w:pPr>
              <w:pStyle w:val="33"/>
              <w:rPr>
                <w:color w:val="auto"/>
              </w:rPr>
            </w:pPr>
            <w:r>
              <w:rPr>
                <w:rFonts w:hint="eastAsia"/>
                <w:color w:val="auto"/>
              </w:rPr>
              <w:t>《工业企业厂界环境噪声排放标准》（GB12348-2008）</w:t>
            </w:r>
          </w:p>
        </w:tc>
      </w:tr>
      <w:tr w14:paraId="4D43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1E8B964">
            <w:pPr>
              <w:pStyle w:val="33"/>
              <w:rPr>
                <w:color w:val="auto"/>
              </w:rPr>
            </w:pPr>
            <w:r>
              <w:rPr>
                <w:rFonts w:hint="eastAsia"/>
                <w:color w:val="auto"/>
              </w:rPr>
              <w:t>32</w:t>
            </w:r>
          </w:p>
        </w:tc>
        <w:tc>
          <w:tcPr>
            <w:tcW w:w="851" w:type="dxa"/>
            <w:vAlign w:val="center"/>
          </w:tcPr>
          <w:p w14:paraId="281CDB71">
            <w:pPr>
              <w:pStyle w:val="33"/>
              <w:rPr>
                <w:color w:val="auto"/>
              </w:rPr>
            </w:pPr>
            <w:r>
              <w:rPr>
                <w:rFonts w:hint="eastAsia"/>
                <w:color w:val="auto"/>
              </w:rPr>
              <w:t>噪声</w:t>
            </w:r>
          </w:p>
        </w:tc>
        <w:tc>
          <w:tcPr>
            <w:tcW w:w="992" w:type="dxa"/>
          </w:tcPr>
          <w:p w14:paraId="761B34AC">
            <w:pPr>
              <w:pStyle w:val="33"/>
              <w:rPr>
                <w:color w:val="auto"/>
              </w:rPr>
            </w:pPr>
            <w:r>
              <w:rPr>
                <w:rFonts w:hint="eastAsia"/>
                <w:color w:val="auto"/>
              </w:rPr>
              <w:t>/</w:t>
            </w:r>
          </w:p>
        </w:tc>
        <w:tc>
          <w:tcPr>
            <w:tcW w:w="1843" w:type="dxa"/>
            <w:vAlign w:val="center"/>
          </w:tcPr>
          <w:p w14:paraId="0CC09449">
            <w:pPr>
              <w:pStyle w:val="33"/>
              <w:rPr>
                <w:color w:val="auto"/>
              </w:rPr>
            </w:pPr>
            <w:r>
              <w:rPr>
                <w:rFonts w:hint="eastAsia"/>
                <w:color w:val="auto"/>
              </w:rPr>
              <w:t>东2厂界</w:t>
            </w:r>
          </w:p>
        </w:tc>
        <w:tc>
          <w:tcPr>
            <w:tcW w:w="2835" w:type="dxa"/>
            <w:vAlign w:val="center"/>
          </w:tcPr>
          <w:p w14:paraId="53057A47">
            <w:pPr>
              <w:pStyle w:val="33"/>
              <w:rPr>
                <w:color w:val="auto"/>
              </w:rPr>
            </w:pPr>
            <w:r>
              <w:rPr>
                <w:rFonts w:hint="eastAsia"/>
                <w:color w:val="auto"/>
              </w:rPr>
              <w:t>等效声级、最大声级</w:t>
            </w:r>
          </w:p>
        </w:tc>
        <w:tc>
          <w:tcPr>
            <w:tcW w:w="850" w:type="dxa"/>
            <w:vAlign w:val="center"/>
          </w:tcPr>
          <w:p w14:paraId="1430D3C2">
            <w:pPr>
              <w:pStyle w:val="33"/>
              <w:rPr>
                <w:color w:val="auto"/>
              </w:rPr>
            </w:pPr>
            <w:r>
              <w:rPr>
                <w:rFonts w:hint="eastAsia"/>
                <w:color w:val="auto"/>
              </w:rPr>
              <w:t>手工</w:t>
            </w:r>
          </w:p>
        </w:tc>
        <w:tc>
          <w:tcPr>
            <w:tcW w:w="1134" w:type="dxa"/>
            <w:vAlign w:val="center"/>
          </w:tcPr>
          <w:p w14:paraId="30386469">
            <w:pPr>
              <w:pStyle w:val="33"/>
              <w:rPr>
                <w:color w:val="auto"/>
              </w:rPr>
            </w:pPr>
            <w:r>
              <w:rPr>
                <w:rFonts w:hint="eastAsia"/>
                <w:color w:val="auto"/>
              </w:rPr>
              <w:t>1次/季</w:t>
            </w:r>
          </w:p>
        </w:tc>
        <w:tc>
          <w:tcPr>
            <w:tcW w:w="4925" w:type="dxa"/>
            <w:vMerge w:val="continue"/>
            <w:vAlign w:val="center"/>
          </w:tcPr>
          <w:p w14:paraId="7E70ED0D">
            <w:pPr>
              <w:pStyle w:val="33"/>
              <w:rPr>
                <w:color w:val="auto"/>
              </w:rPr>
            </w:pPr>
          </w:p>
        </w:tc>
      </w:tr>
      <w:tr w14:paraId="68B45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569F1DF1">
            <w:pPr>
              <w:pStyle w:val="33"/>
              <w:rPr>
                <w:color w:val="auto"/>
              </w:rPr>
            </w:pPr>
            <w:r>
              <w:rPr>
                <w:rFonts w:hint="eastAsia"/>
                <w:color w:val="auto"/>
              </w:rPr>
              <w:t>33</w:t>
            </w:r>
          </w:p>
        </w:tc>
        <w:tc>
          <w:tcPr>
            <w:tcW w:w="851" w:type="dxa"/>
            <w:vAlign w:val="center"/>
          </w:tcPr>
          <w:p w14:paraId="314C8736">
            <w:pPr>
              <w:pStyle w:val="33"/>
              <w:rPr>
                <w:color w:val="auto"/>
              </w:rPr>
            </w:pPr>
            <w:r>
              <w:rPr>
                <w:rFonts w:hint="eastAsia"/>
                <w:color w:val="auto"/>
              </w:rPr>
              <w:t>噪声</w:t>
            </w:r>
          </w:p>
        </w:tc>
        <w:tc>
          <w:tcPr>
            <w:tcW w:w="992" w:type="dxa"/>
          </w:tcPr>
          <w:p w14:paraId="5FEBE23B">
            <w:pPr>
              <w:pStyle w:val="33"/>
              <w:rPr>
                <w:color w:val="auto"/>
              </w:rPr>
            </w:pPr>
            <w:r>
              <w:rPr>
                <w:rFonts w:hint="eastAsia"/>
                <w:color w:val="auto"/>
              </w:rPr>
              <w:t>/</w:t>
            </w:r>
          </w:p>
        </w:tc>
        <w:tc>
          <w:tcPr>
            <w:tcW w:w="1843" w:type="dxa"/>
            <w:vAlign w:val="center"/>
          </w:tcPr>
          <w:p w14:paraId="7752D370">
            <w:pPr>
              <w:pStyle w:val="33"/>
              <w:rPr>
                <w:color w:val="auto"/>
              </w:rPr>
            </w:pPr>
            <w:r>
              <w:rPr>
                <w:rFonts w:hint="eastAsia"/>
                <w:color w:val="auto"/>
              </w:rPr>
              <w:t>东3厂界</w:t>
            </w:r>
          </w:p>
        </w:tc>
        <w:tc>
          <w:tcPr>
            <w:tcW w:w="2835" w:type="dxa"/>
            <w:vAlign w:val="center"/>
          </w:tcPr>
          <w:p w14:paraId="3F866001">
            <w:pPr>
              <w:pStyle w:val="33"/>
              <w:rPr>
                <w:color w:val="auto"/>
              </w:rPr>
            </w:pPr>
            <w:r>
              <w:rPr>
                <w:rFonts w:hint="eastAsia"/>
                <w:color w:val="auto"/>
              </w:rPr>
              <w:t>等效声级、最大声级</w:t>
            </w:r>
          </w:p>
        </w:tc>
        <w:tc>
          <w:tcPr>
            <w:tcW w:w="850" w:type="dxa"/>
            <w:vAlign w:val="center"/>
          </w:tcPr>
          <w:p w14:paraId="211DEAFF">
            <w:pPr>
              <w:pStyle w:val="33"/>
              <w:rPr>
                <w:color w:val="auto"/>
              </w:rPr>
            </w:pPr>
            <w:r>
              <w:rPr>
                <w:rFonts w:hint="eastAsia"/>
                <w:color w:val="auto"/>
              </w:rPr>
              <w:t>手工</w:t>
            </w:r>
          </w:p>
        </w:tc>
        <w:tc>
          <w:tcPr>
            <w:tcW w:w="1134" w:type="dxa"/>
            <w:vAlign w:val="center"/>
          </w:tcPr>
          <w:p w14:paraId="13CCE9F1">
            <w:pPr>
              <w:pStyle w:val="33"/>
              <w:rPr>
                <w:color w:val="auto"/>
              </w:rPr>
            </w:pPr>
            <w:r>
              <w:rPr>
                <w:rFonts w:hint="eastAsia"/>
                <w:color w:val="auto"/>
              </w:rPr>
              <w:t>1次/季</w:t>
            </w:r>
          </w:p>
        </w:tc>
        <w:tc>
          <w:tcPr>
            <w:tcW w:w="4925" w:type="dxa"/>
            <w:vMerge w:val="continue"/>
            <w:vAlign w:val="center"/>
          </w:tcPr>
          <w:p w14:paraId="373789F5">
            <w:pPr>
              <w:pStyle w:val="33"/>
              <w:rPr>
                <w:color w:val="auto"/>
              </w:rPr>
            </w:pPr>
          </w:p>
        </w:tc>
      </w:tr>
      <w:tr w14:paraId="1F4D7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67EDAEEB">
            <w:pPr>
              <w:pStyle w:val="33"/>
              <w:rPr>
                <w:color w:val="auto"/>
              </w:rPr>
            </w:pPr>
            <w:r>
              <w:rPr>
                <w:rFonts w:hint="eastAsia"/>
                <w:color w:val="auto"/>
              </w:rPr>
              <w:t>34</w:t>
            </w:r>
          </w:p>
        </w:tc>
        <w:tc>
          <w:tcPr>
            <w:tcW w:w="851" w:type="dxa"/>
            <w:vAlign w:val="center"/>
          </w:tcPr>
          <w:p w14:paraId="245C645C">
            <w:pPr>
              <w:pStyle w:val="33"/>
              <w:rPr>
                <w:color w:val="auto"/>
              </w:rPr>
            </w:pPr>
            <w:r>
              <w:rPr>
                <w:rFonts w:hint="eastAsia"/>
                <w:color w:val="auto"/>
              </w:rPr>
              <w:t>噪声</w:t>
            </w:r>
          </w:p>
        </w:tc>
        <w:tc>
          <w:tcPr>
            <w:tcW w:w="992" w:type="dxa"/>
          </w:tcPr>
          <w:p w14:paraId="0782E1FC">
            <w:pPr>
              <w:pStyle w:val="33"/>
              <w:rPr>
                <w:color w:val="auto"/>
              </w:rPr>
            </w:pPr>
            <w:r>
              <w:rPr>
                <w:rFonts w:hint="eastAsia"/>
                <w:color w:val="auto"/>
              </w:rPr>
              <w:t>/</w:t>
            </w:r>
          </w:p>
        </w:tc>
        <w:tc>
          <w:tcPr>
            <w:tcW w:w="1843" w:type="dxa"/>
            <w:vAlign w:val="center"/>
          </w:tcPr>
          <w:p w14:paraId="43243BBE">
            <w:pPr>
              <w:pStyle w:val="33"/>
              <w:rPr>
                <w:color w:val="auto"/>
              </w:rPr>
            </w:pPr>
            <w:r>
              <w:rPr>
                <w:rFonts w:hint="eastAsia"/>
                <w:color w:val="auto"/>
              </w:rPr>
              <w:t>南4厂界</w:t>
            </w:r>
          </w:p>
        </w:tc>
        <w:tc>
          <w:tcPr>
            <w:tcW w:w="2835" w:type="dxa"/>
            <w:vAlign w:val="center"/>
          </w:tcPr>
          <w:p w14:paraId="6014AE88">
            <w:pPr>
              <w:pStyle w:val="33"/>
              <w:rPr>
                <w:color w:val="auto"/>
              </w:rPr>
            </w:pPr>
            <w:r>
              <w:rPr>
                <w:rFonts w:hint="eastAsia"/>
                <w:color w:val="auto"/>
              </w:rPr>
              <w:t>等效声级、最大声级</w:t>
            </w:r>
          </w:p>
        </w:tc>
        <w:tc>
          <w:tcPr>
            <w:tcW w:w="850" w:type="dxa"/>
            <w:vAlign w:val="center"/>
          </w:tcPr>
          <w:p w14:paraId="14786E53">
            <w:pPr>
              <w:pStyle w:val="33"/>
              <w:rPr>
                <w:color w:val="auto"/>
              </w:rPr>
            </w:pPr>
            <w:r>
              <w:rPr>
                <w:rFonts w:hint="eastAsia"/>
                <w:color w:val="auto"/>
              </w:rPr>
              <w:t>手工</w:t>
            </w:r>
          </w:p>
        </w:tc>
        <w:tc>
          <w:tcPr>
            <w:tcW w:w="1134" w:type="dxa"/>
            <w:vAlign w:val="center"/>
          </w:tcPr>
          <w:p w14:paraId="6B2D349A">
            <w:pPr>
              <w:pStyle w:val="33"/>
              <w:rPr>
                <w:color w:val="auto"/>
              </w:rPr>
            </w:pPr>
            <w:r>
              <w:rPr>
                <w:rFonts w:hint="eastAsia"/>
                <w:color w:val="auto"/>
              </w:rPr>
              <w:t>1次/季</w:t>
            </w:r>
          </w:p>
        </w:tc>
        <w:tc>
          <w:tcPr>
            <w:tcW w:w="4925" w:type="dxa"/>
            <w:vMerge w:val="continue"/>
            <w:vAlign w:val="center"/>
          </w:tcPr>
          <w:p w14:paraId="4047D89A">
            <w:pPr>
              <w:pStyle w:val="33"/>
              <w:rPr>
                <w:color w:val="auto"/>
              </w:rPr>
            </w:pPr>
          </w:p>
        </w:tc>
      </w:tr>
      <w:tr w14:paraId="246C2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6A41B1F2">
            <w:pPr>
              <w:pStyle w:val="33"/>
              <w:rPr>
                <w:color w:val="auto"/>
              </w:rPr>
            </w:pPr>
            <w:r>
              <w:rPr>
                <w:rFonts w:hint="eastAsia"/>
                <w:color w:val="auto"/>
              </w:rPr>
              <w:t>35</w:t>
            </w:r>
          </w:p>
        </w:tc>
        <w:tc>
          <w:tcPr>
            <w:tcW w:w="851" w:type="dxa"/>
            <w:vAlign w:val="center"/>
          </w:tcPr>
          <w:p w14:paraId="75547F35">
            <w:pPr>
              <w:pStyle w:val="33"/>
              <w:rPr>
                <w:color w:val="auto"/>
              </w:rPr>
            </w:pPr>
            <w:r>
              <w:rPr>
                <w:rFonts w:hint="eastAsia"/>
                <w:color w:val="auto"/>
              </w:rPr>
              <w:t>噪声</w:t>
            </w:r>
          </w:p>
        </w:tc>
        <w:tc>
          <w:tcPr>
            <w:tcW w:w="992" w:type="dxa"/>
          </w:tcPr>
          <w:p w14:paraId="45A0FC7B">
            <w:pPr>
              <w:pStyle w:val="33"/>
              <w:rPr>
                <w:color w:val="auto"/>
              </w:rPr>
            </w:pPr>
            <w:r>
              <w:rPr>
                <w:rFonts w:hint="eastAsia"/>
                <w:color w:val="auto"/>
              </w:rPr>
              <w:t>/</w:t>
            </w:r>
          </w:p>
        </w:tc>
        <w:tc>
          <w:tcPr>
            <w:tcW w:w="1843" w:type="dxa"/>
            <w:vAlign w:val="center"/>
          </w:tcPr>
          <w:p w14:paraId="4C02C7A2">
            <w:pPr>
              <w:pStyle w:val="33"/>
              <w:rPr>
                <w:color w:val="auto"/>
              </w:rPr>
            </w:pPr>
            <w:r>
              <w:rPr>
                <w:rFonts w:hint="eastAsia"/>
                <w:color w:val="auto"/>
              </w:rPr>
              <w:t>南5厂界</w:t>
            </w:r>
          </w:p>
        </w:tc>
        <w:tc>
          <w:tcPr>
            <w:tcW w:w="2835" w:type="dxa"/>
            <w:vAlign w:val="center"/>
          </w:tcPr>
          <w:p w14:paraId="21B18099">
            <w:pPr>
              <w:pStyle w:val="33"/>
              <w:rPr>
                <w:color w:val="auto"/>
              </w:rPr>
            </w:pPr>
            <w:r>
              <w:rPr>
                <w:rFonts w:hint="eastAsia"/>
                <w:color w:val="auto"/>
              </w:rPr>
              <w:t>等效声级、最大声级</w:t>
            </w:r>
          </w:p>
        </w:tc>
        <w:tc>
          <w:tcPr>
            <w:tcW w:w="850" w:type="dxa"/>
            <w:vAlign w:val="center"/>
          </w:tcPr>
          <w:p w14:paraId="319F32E4">
            <w:pPr>
              <w:pStyle w:val="33"/>
              <w:rPr>
                <w:color w:val="auto"/>
              </w:rPr>
            </w:pPr>
            <w:r>
              <w:rPr>
                <w:rFonts w:hint="eastAsia"/>
                <w:color w:val="auto"/>
              </w:rPr>
              <w:t>手工</w:t>
            </w:r>
          </w:p>
        </w:tc>
        <w:tc>
          <w:tcPr>
            <w:tcW w:w="1134" w:type="dxa"/>
            <w:vAlign w:val="center"/>
          </w:tcPr>
          <w:p w14:paraId="43702F57">
            <w:pPr>
              <w:pStyle w:val="33"/>
              <w:rPr>
                <w:color w:val="auto"/>
              </w:rPr>
            </w:pPr>
            <w:r>
              <w:rPr>
                <w:rFonts w:hint="eastAsia"/>
                <w:color w:val="auto"/>
              </w:rPr>
              <w:t>1次/季</w:t>
            </w:r>
          </w:p>
        </w:tc>
        <w:tc>
          <w:tcPr>
            <w:tcW w:w="4925" w:type="dxa"/>
            <w:vMerge w:val="continue"/>
            <w:vAlign w:val="center"/>
          </w:tcPr>
          <w:p w14:paraId="41D506A1">
            <w:pPr>
              <w:pStyle w:val="33"/>
              <w:rPr>
                <w:color w:val="auto"/>
              </w:rPr>
            </w:pPr>
          </w:p>
        </w:tc>
      </w:tr>
      <w:tr w14:paraId="1A526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0EE2FB75">
            <w:pPr>
              <w:pStyle w:val="33"/>
              <w:rPr>
                <w:color w:val="auto"/>
              </w:rPr>
            </w:pPr>
            <w:r>
              <w:rPr>
                <w:rFonts w:hint="eastAsia"/>
                <w:color w:val="auto"/>
              </w:rPr>
              <w:t>36</w:t>
            </w:r>
          </w:p>
        </w:tc>
        <w:tc>
          <w:tcPr>
            <w:tcW w:w="851" w:type="dxa"/>
            <w:vAlign w:val="center"/>
          </w:tcPr>
          <w:p w14:paraId="34D57638">
            <w:pPr>
              <w:pStyle w:val="33"/>
              <w:rPr>
                <w:color w:val="auto"/>
              </w:rPr>
            </w:pPr>
            <w:r>
              <w:rPr>
                <w:rFonts w:hint="eastAsia"/>
                <w:color w:val="auto"/>
              </w:rPr>
              <w:t>噪声</w:t>
            </w:r>
          </w:p>
        </w:tc>
        <w:tc>
          <w:tcPr>
            <w:tcW w:w="992" w:type="dxa"/>
          </w:tcPr>
          <w:p w14:paraId="7C251D74">
            <w:pPr>
              <w:pStyle w:val="33"/>
              <w:rPr>
                <w:color w:val="auto"/>
              </w:rPr>
            </w:pPr>
            <w:r>
              <w:rPr>
                <w:rFonts w:hint="eastAsia"/>
                <w:color w:val="auto"/>
              </w:rPr>
              <w:t>/</w:t>
            </w:r>
          </w:p>
        </w:tc>
        <w:tc>
          <w:tcPr>
            <w:tcW w:w="1843" w:type="dxa"/>
            <w:vAlign w:val="center"/>
          </w:tcPr>
          <w:p w14:paraId="36E7E68C">
            <w:pPr>
              <w:pStyle w:val="33"/>
              <w:rPr>
                <w:color w:val="auto"/>
              </w:rPr>
            </w:pPr>
            <w:r>
              <w:rPr>
                <w:rFonts w:hint="eastAsia"/>
                <w:color w:val="auto"/>
              </w:rPr>
              <w:t>西6厂界</w:t>
            </w:r>
          </w:p>
        </w:tc>
        <w:tc>
          <w:tcPr>
            <w:tcW w:w="2835" w:type="dxa"/>
            <w:vAlign w:val="center"/>
          </w:tcPr>
          <w:p w14:paraId="798468FD">
            <w:pPr>
              <w:pStyle w:val="33"/>
              <w:rPr>
                <w:color w:val="auto"/>
              </w:rPr>
            </w:pPr>
            <w:r>
              <w:rPr>
                <w:rFonts w:hint="eastAsia"/>
                <w:color w:val="auto"/>
              </w:rPr>
              <w:t>等效声级、最大声级</w:t>
            </w:r>
          </w:p>
        </w:tc>
        <w:tc>
          <w:tcPr>
            <w:tcW w:w="850" w:type="dxa"/>
            <w:vAlign w:val="center"/>
          </w:tcPr>
          <w:p w14:paraId="67BCB3D5">
            <w:pPr>
              <w:pStyle w:val="33"/>
              <w:rPr>
                <w:color w:val="auto"/>
              </w:rPr>
            </w:pPr>
            <w:r>
              <w:rPr>
                <w:rFonts w:hint="eastAsia"/>
                <w:color w:val="auto"/>
              </w:rPr>
              <w:t>手工</w:t>
            </w:r>
          </w:p>
        </w:tc>
        <w:tc>
          <w:tcPr>
            <w:tcW w:w="1134" w:type="dxa"/>
            <w:vAlign w:val="center"/>
          </w:tcPr>
          <w:p w14:paraId="4D4BF162">
            <w:pPr>
              <w:pStyle w:val="33"/>
              <w:rPr>
                <w:color w:val="auto"/>
              </w:rPr>
            </w:pPr>
            <w:r>
              <w:rPr>
                <w:rFonts w:hint="eastAsia"/>
                <w:color w:val="auto"/>
              </w:rPr>
              <w:t>1次/季</w:t>
            </w:r>
          </w:p>
        </w:tc>
        <w:tc>
          <w:tcPr>
            <w:tcW w:w="4925" w:type="dxa"/>
            <w:vMerge w:val="continue"/>
            <w:vAlign w:val="center"/>
          </w:tcPr>
          <w:p w14:paraId="757811DE">
            <w:pPr>
              <w:pStyle w:val="33"/>
              <w:rPr>
                <w:color w:val="auto"/>
              </w:rPr>
            </w:pPr>
          </w:p>
        </w:tc>
      </w:tr>
      <w:tr w14:paraId="2CBAA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15CC036">
            <w:pPr>
              <w:pStyle w:val="33"/>
              <w:rPr>
                <w:color w:val="auto"/>
              </w:rPr>
            </w:pPr>
            <w:r>
              <w:rPr>
                <w:rFonts w:hint="eastAsia"/>
                <w:color w:val="auto"/>
              </w:rPr>
              <w:t>37</w:t>
            </w:r>
          </w:p>
        </w:tc>
        <w:tc>
          <w:tcPr>
            <w:tcW w:w="851" w:type="dxa"/>
            <w:vAlign w:val="center"/>
          </w:tcPr>
          <w:p w14:paraId="2E4682A1">
            <w:pPr>
              <w:pStyle w:val="33"/>
              <w:rPr>
                <w:color w:val="auto"/>
              </w:rPr>
            </w:pPr>
            <w:r>
              <w:rPr>
                <w:rFonts w:hint="eastAsia"/>
                <w:color w:val="auto"/>
              </w:rPr>
              <w:t>噪声</w:t>
            </w:r>
          </w:p>
        </w:tc>
        <w:tc>
          <w:tcPr>
            <w:tcW w:w="992" w:type="dxa"/>
          </w:tcPr>
          <w:p w14:paraId="620E1801">
            <w:pPr>
              <w:pStyle w:val="33"/>
              <w:rPr>
                <w:color w:val="auto"/>
              </w:rPr>
            </w:pPr>
            <w:r>
              <w:rPr>
                <w:rFonts w:hint="eastAsia"/>
                <w:color w:val="auto"/>
              </w:rPr>
              <w:t>/</w:t>
            </w:r>
          </w:p>
        </w:tc>
        <w:tc>
          <w:tcPr>
            <w:tcW w:w="1843" w:type="dxa"/>
            <w:vAlign w:val="center"/>
          </w:tcPr>
          <w:p w14:paraId="51BBBD12">
            <w:pPr>
              <w:pStyle w:val="33"/>
              <w:rPr>
                <w:color w:val="auto"/>
              </w:rPr>
            </w:pPr>
            <w:r>
              <w:rPr>
                <w:rFonts w:hint="eastAsia"/>
                <w:color w:val="auto"/>
              </w:rPr>
              <w:t>西7厂界</w:t>
            </w:r>
          </w:p>
        </w:tc>
        <w:tc>
          <w:tcPr>
            <w:tcW w:w="2835" w:type="dxa"/>
            <w:vAlign w:val="center"/>
          </w:tcPr>
          <w:p w14:paraId="2A514C28">
            <w:pPr>
              <w:pStyle w:val="33"/>
              <w:rPr>
                <w:color w:val="auto"/>
              </w:rPr>
            </w:pPr>
            <w:r>
              <w:rPr>
                <w:rFonts w:hint="eastAsia"/>
                <w:color w:val="auto"/>
              </w:rPr>
              <w:t>等效声级、最大声级</w:t>
            </w:r>
          </w:p>
        </w:tc>
        <w:tc>
          <w:tcPr>
            <w:tcW w:w="850" w:type="dxa"/>
            <w:vAlign w:val="center"/>
          </w:tcPr>
          <w:p w14:paraId="0BE37499">
            <w:pPr>
              <w:pStyle w:val="33"/>
              <w:rPr>
                <w:color w:val="auto"/>
              </w:rPr>
            </w:pPr>
            <w:r>
              <w:rPr>
                <w:rFonts w:hint="eastAsia"/>
                <w:color w:val="auto"/>
              </w:rPr>
              <w:t>手工</w:t>
            </w:r>
          </w:p>
        </w:tc>
        <w:tc>
          <w:tcPr>
            <w:tcW w:w="1134" w:type="dxa"/>
            <w:vAlign w:val="center"/>
          </w:tcPr>
          <w:p w14:paraId="2FFCD1CC">
            <w:pPr>
              <w:pStyle w:val="33"/>
              <w:rPr>
                <w:color w:val="auto"/>
              </w:rPr>
            </w:pPr>
            <w:r>
              <w:rPr>
                <w:rFonts w:hint="eastAsia"/>
                <w:color w:val="auto"/>
              </w:rPr>
              <w:t>1次/季</w:t>
            </w:r>
          </w:p>
        </w:tc>
        <w:tc>
          <w:tcPr>
            <w:tcW w:w="4925" w:type="dxa"/>
            <w:vMerge w:val="continue"/>
            <w:vAlign w:val="center"/>
          </w:tcPr>
          <w:p w14:paraId="11094C24">
            <w:pPr>
              <w:pStyle w:val="33"/>
              <w:rPr>
                <w:color w:val="auto"/>
              </w:rPr>
            </w:pPr>
          </w:p>
        </w:tc>
      </w:tr>
      <w:tr w14:paraId="29D1C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93D1B2A">
            <w:pPr>
              <w:pStyle w:val="33"/>
              <w:rPr>
                <w:color w:val="auto"/>
              </w:rPr>
            </w:pPr>
            <w:r>
              <w:rPr>
                <w:rFonts w:hint="eastAsia"/>
                <w:color w:val="auto"/>
              </w:rPr>
              <w:t>38</w:t>
            </w:r>
          </w:p>
        </w:tc>
        <w:tc>
          <w:tcPr>
            <w:tcW w:w="851" w:type="dxa"/>
            <w:vAlign w:val="center"/>
          </w:tcPr>
          <w:p w14:paraId="5847D41A">
            <w:pPr>
              <w:pStyle w:val="33"/>
              <w:rPr>
                <w:color w:val="auto"/>
              </w:rPr>
            </w:pPr>
            <w:r>
              <w:rPr>
                <w:rFonts w:hint="eastAsia"/>
                <w:color w:val="auto"/>
              </w:rPr>
              <w:t>噪声</w:t>
            </w:r>
          </w:p>
        </w:tc>
        <w:tc>
          <w:tcPr>
            <w:tcW w:w="992" w:type="dxa"/>
          </w:tcPr>
          <w:p w14:paraId="56A0CBFA">
            <w:pPr>
              <w:pStyle w:val="33"/>
              <w:rPr>
                <w:color w:val="auto"/>
              </w:rPr>
            </w:pPr>
            <w:r>
              <w:rPr>
                <w:rFonts w:hint="eastAsia"/>
                <w:color w:val="auto"/>
              </w:rPr>
              <w:t>/</w:t>
            </w:r>
          </w:p>
        </w:tc>
        <w:tc>
          <w:tcPr>
            <w:tcW w:w="1843" w:type="dxa"/>
            <w:vAlign w:val="center"/>
          </w:tcPr>
          <w:p w14:paraId="71BE0A30">
            <w:pPr>
              <w:pStyle w:val="33"/>
              <w:rPr>
                <w:color w:val="auto"/>
              </w:rPr>
            </w:pPr>
            <w:r>
              <w:rPr>
                <w:rFonts w:hint="eastAsia"/>
                <w:color w:val="auto"/>
              </w:rPr>
              <w:t>西8厂界</w:t>
            </w:r>
          </w:p>
        </w:tc>
        <w:tc>
          <w:tcPr>
            <w:tcW w:w="2835" w:type="dxa"/>
            <w:vAlign w:val="center"/>
          </w:tcPr>
          <w:p w14:paraId="2299C182">
            <w:pPr>
              <w:pStyle w:val="33"/>
              <w:rPr>
                <w:color w:val="auto"/>
              </w:rPr>
            </w:pPr>
            <w:r>
              <w:rPr>
                <w:rFonts w:hint="eastAsia"/>
                <w:color w:val="auto"/>
              </w:rPr>
              <w:t>等效声级、最大声级</w:t>
            </w:r>
          </w:p>
        </w:tc>
        <w:tc>
          <w:tcPr>
            <w:tcW w:w="850" w:type="dxa"/>
            <w:vAlign w:val="center"/>
          </w:tcPr>
          <w:p w14:paraId="7FA16B9E">
            <w:pPr>
              <w:pStyle w:val="33"/>
              <w:rPr>
                <w:color w:val="auto"/>
              </w:rPr>
            </w:pPr>
            <w:r>
              <w:rPr>
                <w:rFonts w:hint="eastAsia"/>
                <w:color w:val="auto"/>
              </w:rPr>
              <w:t>手工</w:t>
            </w:r>
          </w:p>
        </w:tc>
        <w:tc>
          <w:tcPr>
            <w:tcW w:w="1134" w:type="dxa"/>
            <w:vAlign w:val="center"/>
          </w:tcPr>
          <w:p w14:paraId="6EAA92F8">
            <w:pPr>
              <w:pStyle w:val="33"/>
              <w:rPr>
                <w:color w:val="auto"/>
              </w:rPr>
            </w:pPr>
            <w:r>
              <w:rPr>
                <w:rFonts w:hint="eastAsia"/>
                <w:color w:val="auto"/>
              </w:rPr>
              <w:t>1次/季</w:t>
            </w:r>
          </w:p>
        </w:tc>
        <w:tc>
          <w:tcPr>
            <w:tcW w:w="4925" w:type="dxa"/>
            <w:vMerge w:val="continue"/>
            <w:vAlign w:val="center"/>
          </w:tcPr>
          <w:p w14:paraId="20D516A0">
            <w:pPr>
              <w:pStyle w:val="33"/>
              <w:rPr>
                <w:color w:val="auto"/>
              </w:rPr>
            </w:pPr>
          </w:p>
        </w:tc>
      </w:tr>
      <w:tr w14:paraId="6D5A5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1DBEDF44">
            <w:pPr>
              <w:pStyle w:val="33"/>
              <w:rPr>
                <w:color w:val="auto"/>
              </w:rPr>
            </w:pPr>
            <w:r>
              <w:rPr>
                <w:rFonts w:hint="eastAsia"/>
                <w:color w:val="auto"/>
              </w:rPr>
              <w:t>39</w:t>
            </w:r>
          </w:p>
        </w:tc>
        <w:tc>
          <w:tcPr>
            <w:tcW w:w="851" w:type="dxa"/>
            <w:vAlign w:val="center"/>
          </w:tcPr>
          <w:p w14:paraId="3E87EC6D">
            <w:pPr>
              <w:pStyle w:val="33"/>
              <w:rPr>
                <w:color w:val="auto"/>
              </w:rPr>
            </w:pPr>
            <w:r>
              <w:rPr>
                <w:rFonts w:hint="eastAsia"/>
                <w:color w:val="auto"/>
              </w:rPr>
              <w:t>噪声</w:t>
            </w:r>
          </w:p>
        </w:tc>
        <w:tc>
          <w:tcPr>
            <w:tcW w:w="992" w:type="dxa"/>
          </w:tcPr>
          <w:p w14:paraId="7F85D854">
            <w:pPr>
              <w:pStyle w:val="33"/>
              <w:rPr>
                <w:color w:val="auto"/>
              </w:rPr>
            </w:pPr>
            <w:r>
              <w:rPr>
                <w:rFonts w:hint="eastAsia"/>
                <w:color w:val="auto"/>
              </w:rPr>
              <w:t>/</w:t>
            </w:r>
          </w:p>
        </w:tc>
        <w:tc>
          <w:tcPr>
            <w:tcW w:w="1843" w:type="dxa"/>
            <w:vAlign w:val="center"/>
          </w:tcPr>
          <w:p w14:paraId="4CC8FA56">
            <w:pPr>
              <w:pStyle w:val="33"/>
              <w:rPr>
                <w:color w:val="auto"/>
              </w:rPr>
            </w:pPr>
            <w:r>
              <w:rPr>
                <w:rFonts w:hint="eastAsia"/>
                <w:color w:val="auto"/>
              </w:rPr>
              <w:t>北9厂界</w:t>
            </w:r>
          </w:p>
        </w:tc>
        <w:tc>
          <w:tcPr>
            <w:tcW w:w="2835" w:type="dxa"/>
            <w:vAlign w:val="center"/>
          </w:tcPr>
          <w:p w14:paraId="55389DC4">
            <w:pPr>
              <w:pStyle w:val="33"/>
              <w:rPr>
                <w:color w:val="auto"/>
              </w:rPr>
            </w:pPr>
            <w:r>
              <w:rPr>
                <w:rFonts w:hint="eastAsia"/>
                <w:color w:val="auto"/>
              </w:rPr>
              <w:t>等效声级、最大声级</w:t>
            </w:r>
          </w:p>
        </w:tc>
        <w:tc>
          <w:tcPr>
            <w:tcW w:w="850" w:type="dxa"/>
            <w:vAlign w:val="center"/>
          </w:tcPr>
          <w:p w14:paraId="780950F3">
            <w:pPr>
              <w:pStyle w:val="33"/>
              <w:rPr>
                <w:color w:val="auto"/>
              </w:rPr>
            </w:pPr>
            <w:r>
              <w:rPr>
                <w:rFonts w:hint="eastAsia"/>
                <w:color w:val="auto"/>
              </w:rPr>
              <w:t>手工</w:t>
            </w:r>
          </w:p>
        </w:tc>
        <w:tc>
          <w:tcPr>
            <w:tcW w:w="1134" w:type="dxa"/>
            <w:vAlign w:val="center"/>
          </w:tcPr>
          <w:p w14:paraId="187377EF">
            <w:pPr>
              <w:pStyle w:val="33"/>
              <w:rPr>
                <w:color w:val="auto"/>
              </w:rPr>
            </w:pPr>
            <w:r>
              <w:rPr>
                <w:rFonts w:hint="eastAsia"/>
                <w:color w:val="auto"/>
              </w:rPr>
              <w:t>1次/季</w:t>
            </w:r>
          </w:p>
        </w:tc>
        <w:tc>
          <w:tcPr>
            <w:tcW w:w="4925" w:type="dxa"/>
            <w:vMerge w:val="continue"/>
            <w:vAlign w:val="center"/>
          </w:tcPr>
          <w:p w14:paraId="20CCD6D4">
            <w:pPr>
              <w:pStyle w:val="33"/>
              <w:rPr>
                <w:color w:val="auto"/>
              </w:rPr>
            </w:pPr>
          </w:p>
        </w:tc>
      </w:tr>
      <w:tr w14:paraId="40557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2" w:type="dxa"/>
            <w:vAlign w:val="center"/>
          </w:tcPr>
          <w:p w14:paraId="2C85D1A8">
            <w:pPr>
              <w:pStyle w:val="33"/>
              <w:rPr>
                <w:color w:val="auto"/>
              </w:rPr>
            </w:pPr>
            <w:r>
              <w:rPr>
                <w:rFonts w:hint="eastAsia"/>
                <w:color w:val="auto"/>
              </w:rPr>
              <w:t>10</w:t>
            </w:r>
          </w:p>
        </w:tc>
        <w:tc>
          <w:tcPr>
            <w:tcW w:w="851" w:type="dxa"/>
            <w:vAlign w:val="center"/>
          </w:tcPr>
          <w:p w14:paraId="24C8D826">
            <w:pPr>
              <w:pStyle w:val="33"/>
              <w:rPr>
                <w:color w:val="auto"/>
              </w:rPr>
            </w:pPr>
            <w:r>
              <w:rPr>
                <w:rFonts w:hint="eastAsia"/>
                <w:color w:val="auto"/>
              </w:rPr>
              <w:t>噪声</w:t>
            </w:r>
          </w:p>
        </w:tc>
        <w:tc>
          <w:tcPr>
            <w:tcW w:w="992" w:type="dxa"/>
            <w:vAlign w:val="center"/>
          </w:tcPr>
          <w:p w14:paraId="4818F389">
            <w:pPr>
              <w:pStyle w:val="33"/>
              <w:rPr>
                <w:color w:val="auto"/>
              </w:rPr>
            </w:pPr>
            <w:r>
              <w:rPr>
                <w:rFonts w:hint="eastAsia"/>
                <w:color w:val="auto"/>
              </w:rPr>
              <w:t>/</w:t>
            </w:r>
          </w:p>
        </w:tc>
        <w:tc>
          <w:tcPr>
            <w:tcW w:w="1843" w:type="dxa"/>
            <w:vAlign w:val="center"/>
          </w:tcPr>
          <w:p w14:paraId="00439E6C">
            <w:pPr>
              <w:pStyle w:val="33"/>
              <w:rPr>
                <w:color w:val="auto"/>
              </w:rPr>
            </w:pPr>
            <w:r>
              <w:rPr>
                <w:rFonts w:hint="eastAsia"/>
                <w:color w:val="auto"/>
              </w:rPr>
              <w:t>北10厂界</w:t>
            </w:r>
          </w:p>
        </w:tc>
        <w:tc>
          <w:tcPr>
            <w:tcW w:w="2835" w:type="dxa"/>
            <w:vAlign w:val="center"/>
          </w:tcPr>
          <w:p w14:paraId="3D214BEF">
            <w:pPr>
              <w:pStyle w:val="33"/>
              <w:rPr>
                <w:color w:val="auto"/>
              </w:rPr>
            </w:pPr>
            <w:r>
              <w:rPr>
                <w:rFonts w:hint="eastAsia"/>
                <w:color w:val="auto"/>
              </w:rPr>
              <w:t>等效声级、最大声级</w:t>
            </w:r>
          </w:p>
        </w:tc>
        <w:tc>
          <w:tcPr>
            <w:tcW w:w="850" w:type="dxa"/>
            <w:vAlign w:val="center"/>
          </w:tcPr>
          <w:p w14:paraId="416ADA3B">
            <w:pPr>
              <w:pStyle w:val="33"/>
              <w:rPr>
                <w:color w:val="auto"/>
              </w:rPr>
            </w:pPr>
            <w:r>
              <w:rPr>
                <w:rFonts w:hint="eastAsia"/>
                <w:color w:val="auto"/>
              </w:rPr>
              <w:t>手工</w:t>
            </w:r>
          </w:p>
        </w:tc>
        <w:tc>
          <w:tcPr>
            <w:tcW w:w="1134" w:type="dxa"/>
            <w:vAlign w:val="center"/>
          </w:tcPr>
          <w:p w14:paraId="3B42D975">
            <w:pPr>
              <w:pStyle w:val="33"/>
              <w:rPr>
                <w:color w:val="auto"/>
              </w:rPr>
            </w:pPr>
            <w:r>
              <w:rPr>
                <w:rFonts w:hint="eastAsia"/>
                <w:color w:val="auto"/>
              </w:rPr>
              <w:t>1次/季</w:t>
            </w:r>
          </w:p>
        </w:tc>
        <w:tc>
          <w:tcPr>
            <w:tcW w:w="4925" w:type="dxa"/>
            <w:vMerge w:val="continue"/>
            <w:vAlign w:val="center"/>
          </w:tcPr>
          <w:p w14:paraId="0E9D370C">
            <w:pPr>
              <w:pStyle w:val="33"/>
              <w:rPr>
                <w:color w:val="auto"/>
              </w:rPr>
            </w:pPr>
          </w:p>
        </w:tc>
      </w:tr>
    </w:tbl>
    <w:p w14:paraId="047B5C82">
      <w:pPr>
        <w:ind w:firstLine="480"/>
        <w:rPr>
          <w:color w:val="auto"/>
        </w:rPr>
      </w:pPr>
    </w:p>
    <w:p w14:paraId="4F4D1891">
      <w:pPr>
        <w:ind w:firstLine="480"/>
        <w:rPr>
          <w:color w:val="auto"/>
        </w:rPr>
      </w:pPr>
    </w:p>
    <w:p w14:paraId="43F1A127">
      <w:pPr>
        <w:ind w:firstLine="480"/>
        <w:rPr>
          <w:color w:val="auto"/>
        </w:rPr>
        <w:sectPr>
          <w:pgSz w:w="16838" w:h="11906" w:orient="landscape"/>
          <w:pgMar w:top="1418" w:right="1418" w:bottom="1418" w:left="1418" w:header="851" w:footer="992" w:gutter="0"/>
          <w:cols w:space="425" w:num="1"/>
          <w:docGrid w:type="lines" w:linePitch="326" w:charSpace="0"/>
        </w:sectPr>
      </w:pPr>
    </w:p>
    <w:p w14:paraId="1873F2C4">
      <w:pPr>
        <w:pStyle w:val="5"/>
        <w:rPr>
          <w:color w:val="auto"/>
        </w:rPr>
      </w:pPr>
      <w:r>
        <w:rPr>
          <w:rFonts w:hint="eastAsia"/>
          <w:color w:val="auto"/>
        </w:rPr>
        <w:t>运营期环境质量跟踪监测计划</w:t>
      </w:r>
    </w:p>
    <w:p w14:paraId="333501DA">
      <w:pPr>
        <w:pStyle w:val="7"/>
        <w:rPr>
          <w:color w:val="auto"/>
        </w:rPr>
      </w:pPr>
      <w:r>
        <w:rPr>
          <w:rFonts w:hint="eastAsia"/>
          <w:color w:val="auto"/>
        </w:rPr>
        <w:t>运营期环境质量监测计划</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5"/>
        <w:gridCol w:w="1982"/>
        <w:gridCol w:w="2268"/>
        <w:gridCol w:w="1276"/>
        <w:gridCol w:w="2969"/>
      </w:tblGrid>
      <w:tr w14:paraId="544AD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Align w:val="center"/>
          </w:tcPr>
          <w:p w14:paraId="1394C7F6">
            <w:pPr>
              <w:pStyle w:val="33"/>
              <w:rPr>
                <w:color w:val="auto"/>
              </w:rPr>
            </w:pPr>
            <w:r>
              <w:rPr>
                <w:rFonts w:hint="eastAsia"/>
                <w:color w:val="auto"/>
              </w:rPr>
              <w:t>监测类别</w:t>
            </w:r>
          </w:p>
        </w:tc>
        <w:tc>
          <w:tcPr>
            <w:tcW w:w="1982" w:type="dxa"/>
            <w:vAlign w:val="center"/>
          </w:tcPr>
          <w:p w14:paraId="4DC7F1F2">
            <w:pPr>
              <w:pStyle w:val="33"/>
              <w:rPr>
                <w:color w:val="auto"/>
              </w:rPr>
            </w:pPr>
            <w:r>
              <w:rPr>
                <w:rFonts w:hint="eastAsia"/>
                <w:color w:val="auto"/>
              </w:rPr>
              <w:t>监测点位</w:t>
            </w:r>
          </w:p>
        </w:tc>
        <w:tc>
          <w:tcPr>
            <w:tcW w:w="2268" w:type="dxa"/>
            <w:vAlign w:val="center"/>
          </w:tcPr>
          <w:p w14:paraId="0A99B8FE">
            <w:pPr>
              <w:pStyle w:val="33"/>
              <w:rPr>
                <w:color w:val="auto"/>
              </w:rPr>
            </w:pPr>
            <w:r>
              <w:rPr>
                <w:rFonts w:hint="eastAsia"/>
                <w:color w:val="auto"/>
              </w:rPr>
              <w:t>监测指标</w:t>
            </w:r>
          </w:p>
        </w:tc>
        <w:tc>
          <w:tcPr>
            <w:tcW w:w="1276" w:type="dxa"/>
            <w:vAlign w:val="center"/>
          </w:tcPr>
          <w:p w14:paraId="465AA737">
            <w:pPr>
              <w:pStyle w:val="33"/>
              <w:rPr>
                <w:color w:val="auto"/>
              </w:rPr>
            </w:pPr>
            <w:r>
              <w:rPr>
                <w:rFonts w:hint="eastAsia"/>
                <w:color w:val="auto"/>
              </w:rPr>
              <w:t>监测频次</w:t>
            </w:r>
          </w:p>
        </w:tc>
        <w:tc>
          <w:tcPr>
            <w:tcW w:w="2969" w:type="dxa"/>
            <w:vAlign w:val="center"/>
          </w:tcPr>
          <w:p w14:paraId="1ECDB2A3">
            <w:pPr>
              <w:pStyle w:val="33"/>
              <w:rPr>
                <w:color w:val="auto"/>
              </w:rPr>
            </w:pPr>
            <w:r>
              <w:rPr>
                <w:rFonts w:hint="eastAsia"/>
                <w:color w:val="auto"/>
              </w:rPr>
              <w:t>执行环境质量标准</w:t>
            </w:r>
          </w:p>
        </w:tc>
      </w:tr>
      <w:tr w14:paraId="15BBC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restart"/>
            <w:vAlign w:val="center"/>
          </w:tcPr>
          <w:p w14:paraId="577C355F">
            <w:pPr>
              <w:pStyle w:val="33"/>
              <w:rPr>
                <w:color w:val="auto"/>
              </w:rPr>
            </w:pPr>
            <w:r>
              <w:rPr>
                <w:rFonts w:hint="eastAsia"/>
                <w:color w:val="auto"/>
              </w:rPr>
              <w:t>环境空气</w:t>
            </w:r>
          </w:p>
        </w:tc>
        <w:tc>
          <w:tcPr>
            <w:tcW w:w="1982" w:type="dxa"/>
            <w:vMerge w:val="restart"/>
            <w:vAlign w:val="center"/>
          </w:tcPr>
          <w:p w14:paraId="53186DE7">
            <w:pPr>
              <w:pStyle w:val="33"/>
              <w:rPr>
                <w:color w:val="auto"/>
              </w:rPr>
            </w:pPr>
            <w:r>
              <w:rPr>
                <w:rFonts w:hint="eastAsia" w:ascii="宋体"/>
                <w:color w:val="auto"/>
                <w:spacing w:val="-6"/>
              </w:rPr>
              <w:t>大坑西南</w:t>
            </w:r>
            <w:r>
              <w:rPr>
                <w:rFonts w:hint="eastAsia" w:ascii="宋体"/>
                <w:color w:val="auto"/>
                <w:spacing w:val="-10"/>
              </w:rPr>
              <w:t>侧</w:t>
            </w:r>
          </w:p>
        </w:tc>
        <w:tc>
          <w:tcPr>
            <w:tcW w:w="2268" w:type="dxa"/>
            <w:vAlign w:val="center"/>
          </w:tcPr>
          <w:p w14:paraId="6B3D2270">
            <w:pPr>
              <w:pStyle w:val="33"/>
              <w:rPr>
                <w:color w:val="auto"/>
              </w:rPr>
            </w:pPr>
            <w:r>
              <w:rPr>
                <w:rFonts w:hint="eastAsia"/>
                <w:color w:val="auto"/>
              </w:rPr>
              <w:t>TSP</w:t>
            </w:r>
            <w:r>
              <w:rPr>
                <w:color w:val="auto"/>
              </w:rPr>
              <w:t xml:space="preserve"> </w:t>
            </w:r>
          </w:p>
        </w:tc>
        <w:tc>
          <w:tcPr>
            <w:tcW w:w="1276" w:type="dxa"/>
            <w:vAlign w:val="center"/>
          </w:tcPr>
          <w:p w14:paraId="235F15A1">
            <w:pPr>
              <w:pStyle w:val="33"/>
              <w:rPr>
                <w:color w:val="auto"/>
              </w:rPr>
            </w:pPr>
            <w:r>
              <w:rPr>
                <w:rFonts w:hint="eastAsia"/>
                <w:color w:val="auto"/>
              </w:rPr>
              <w:t>1次/半年</w:t>
            </w:r>
          </w:p>
        </w:tc>
        <w:tc>
          <w:tcPr>
            <w:tcW w:w="2969" w:type="dxa"/>
            <w:vAlign w:val="center"/>
          </w:tcPr>
          <w:p w14:paraId="11CD8D8B">
            <w:pPr>
              <w:pStyle w:val="33"/>
              <w:rPr>
                <w:color w:val="auto"/>
              </w:rPr>
            </w:pPr>
            <w:r>
              <w:rPr>
                <w:rFonts w:hint="eastAsia"/>
                <w:color w:val="auto"/>
              </w:rPr>
              <w:t>《环境空气质量标准》（GB3095-2026）二级标准</w:t>
            </w:r>
          </w:p>
        </w:tc>
      </w:tr>
      <w:tr w14:paraId="2AB6F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70685E8F">
            <w:pPr>
              <w:pStyle w:val="33"/>
              <w:rPr>
                <w:color w:val="auto"/>
              </w:rPr>
            </w:pPr>
          </w:p>
        </w:tc>
        <w:tc>
          <w:tcPr>
            <w:tcW w:w="1982" w:type="dxa"/>
            <w:vMerge w:val="continue"/>
            <w:vAlign w:val="center"/>
          </w:tcPr>
          <w:p w14:paraId="6F007A13">
            <w:pPr>
              <w:pStyle w:val="33"/>
              <w:rPr>
                <w:rFonts w:ascii="宋体"/>
                <w:color w:val="auto"/>
                <w:spacing w:val="-6"/>
              </w:rPr>
            </w:pPr>
          </w:p>
        </w:tc>
        <w:tc>
          <w:tcPr>
            <w:tcW w:w="2268" w:type="dxa"/>
            <w:vAlign w:val="center"/>
          </w:tcPr>
          <w:p w14:paraId="00581AED">
            <w:pPr>
              <w:pStyle w:val="33"/>
              <w:rPr>
                <w:color w:val="auto"/>
              </w:rPr>
            </w:pPr>
            <w:r>
              <w:rPr>
                <w:rFonts w:hint="eastAsia"/>
                <w:color w:val="auto"/>
              </w:rPr>
              <w:t>HCl、NH</w:t>
            </w:r>
            <w:r>
              <w:rPr>
                <w:color w:val="auto"/>
                <w:vertAlign w:val="subscript"/>
              </w:rPr>
              <w:t>3</w:t>
            </w:r>
            <w:r>
              <w:rPr>
                <w:rFonts w:hint="eastAsia"/>
                <w:color w:val="auto"/>
              </w:rPr>
              <w:t xml:space="preserve"> </w:t>
            </w:r>
          </w:p>
        </w:tc>
        <w:tc>
          <w:tcPr>
            <w:tcW w:w="1276" w:type="dxa"/>
            <w:vAlign w:val="center"/>
          </w:tcPr>
          <w:p w14:paraId="4F0D987D">
            <w:pPr>
              <w:pStyle w:val="33"/>
              <w:rPr>
                <w:color w:val="auto"/>
              </w:rPr>
            </w:pPr>
            <w:r>
              <w:rPr>
                <w:rFonts w:hint="eastAsia"/>
                <w:color w:val="auto"/>
              </w:rPr>
              <w:t>1次/半年</w:t>
            </w:r>
          </w:p>
        </w:tc>
        <w:tc>
          <w:tcPr>
            <w:tcW w:w="2969" w:type="dxa"/>
            <w:vAlign w:val="center"/>
          </w:tcPr>
          <w:p w14:paraId="579FDB90">
            <w:pPr>
              <w:pStyle w:val="33"/>
              <w:rPr>
                <w:color w:val="auto"/>
              </w:rPr>
            </w:pPr>
            <w:r>
              <w:rPr>
                <w:rFonts w:hint="eastAsia"/>
                <w:color w:val="auto"/>
              </w:rPr>
              <w:t>参照《环境影响评价技术导则 大气环境》（HJ 2.2-2018）附录D其他污染物空气质量浓度参考限值</w:t>
            </w:r>
          </w:p>
        </w:tc>
      </w:tr>
      <w:tr w14:paraId="05673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0F9DA58A">
            <w:pPr>
              <w:pStyle w:val="33"/>
              <w:rPr>
                <w:color w:val="auto"/>
              </w:rPr>
            </w:pPr>
          </w:p>
        </w:tc>
        <w:tc>
          <w:tcPr>
            <w:tcW w:w="1982" w:type="dxa"/>
            <w:vMerge w:val="continue"/>
            <w:vAlign w:val="center"/>
          </w:tcPr>
          <w:p w14:paraId="2DE45033">
            <w:pPr>
              <w:pStyle w:val="33"/>
              <w:rPr>
                <w:rFonts w:ascii="宋体"/>
                <w:color w:val="auto"/>
                <w:spacing w:val="-6"/>
              </w:rPr>
            </w:pPr>
          </w:p>
        </w:tc>
        <w:tc>
          <w:tcPr>
            <w:tcW w:w="2268" w:type="dxa"/>
            <w:vAlign w:val="center"/>
          </w:tcPr>
          <w:p w14:paraId="2AE5870B">
            <w:pPr>
              <w:pStyle w:val="33"/>
              <w:rPr>
                <w:color w:val="auto"/>
              </w:rPr>
            </w:pPr>
            <w:r>
              <w:rPr>
                <w:rFonts w:hint="eastAsia"/>
                <w:color w:val="auto"/>
              </w:rPr>
              <w:t>TVOC、苯乙烯、丙烯腈</w:t>
            </w:r>
          </w:p>
        </w:tc>
        <w:tc>
          <w:tcPr>
            <w:tcW w:w="1276" w:type="dxa"/>
            <w:vAlign w:val="center"/>
          </w:tcPr>
          <w:p w14:paraId="427A8271">
            <w:pPr>
              <w:pStyle w:val="33"/>
              <w:rPr>
                <w:color w:val="auto"/>
              </w:rPr>
            </w:pPr>
            <w:r>
              <w:rPr>
                <w:rFonts w:hint="eastAsia"/>
                <w:color w:val="auto"/>
              </w:rPr>
              <w:t>1次/年</w:t>
            </w:r>
          </w:p>
        </w:tc>
        <w:tc>
          <w:tcPr>
            <w:tcW w:w="2969" w:type="dxa"/>
            <w:vAlign w:val="center"/>
          </w:tcPr>
          <w:p w14:paraId="70EB13E5">
            <w:pPr>
              <w:pStyle w:val="33"/>
              <w:rPr>
                <w:color w:val="auto"/>
              </w:rPr>
            </w:pPr>
            <w:r>
              <w:rPr>
                <w:rFonts w:hint="eastAsia"/>
                <w:color w:val="auto"/>
              </w:rPr>
              <w:t>参照《环境影响评价技术导则 大气环境》（HJ 2.2-2018）附录D其他污染物空气质量浓度参考限值</w:t>
            </w:r>
          </w:p>
        </w:tc>
      </w:tr>
      <w:tr w14:paraId="2FA8D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6C828C0F">
            <w:pPr>
              <w:pStyle w:val="33"/>
              <w:rPr>
                <w:color w:val="auto"/>
              </w:rPr>
            </w:pPr>
          </w:p>
        </w:tc>
        <w:tc>
          <w:tcPr>
            <w:tcW w:w="1982" w:type="dxa"/>
            <w:vMerge w:val="continue"/>
            <w:vAlign w:val="center"/>
          </w:tcPr>
          <w:p w14:paraId="67441FB2">
            <w:pPr>
              <w:pStyle w:val="33"/>
              <w:rPr>
                <w:rFonts w:ascii="宋体"/>
                <w:color w:val="auto"/>
                <w:spacing w:val="-6"/>
              </w:rPr>
            </w:pPr>
          </w:p>
        </w:tc>
        <w:tc>
          <w:tcPr>
            <w:tcW w:w="2268" w:type="dxa"/>
            <w:vAlign w:val="center"/>
          </w:tcPr>
          <w:p w14:paraId="3B80E06F">
            <w:pPr>
              <w:pStyle w:val="33"/>
              <w:rPr>
                <w:color w:val="auto"/>
              </w:rPr>
            </w:pPr>
            <w:r>
              <w:rPr>
                <w:rFonts w:hint="eastAsia"/>
                <w:color w:val="auto"/>
              </w:rPr>
              <w:t>非甲烷总烃</w:t>
            </w:r>
          </w:p>
        </w:tc>
        <w:tc>
          <w:tcPr>
            <w:tcW w:w="1276" w:type="dxa"/>
            <w:vAlign w:val="center"/>
          </w:tcPr>
          <w:p w14:paraId="5A2EC3F6">
            <w:pPr>
              <w:pStyle w:val="33"/>
              <w:rPr>
                <w:color w:val="auto"/>
              </w:rPr>
            </w:pPr>
            <w:r>
              <w:rPr>
                <w:rFonts w:hint="eastAsia"/>
                <w:color w:val="auto"/>
              </w:rPr>
              <w:t>1次/半年</w:t>
            </w:r>
          </w:p>
        </w:tc>
        <w:tc>
          <w:tcPr>
            <w:tcW w:w="2969" w:type="dxa"/>
            <w:vAlign w:val="center"/>
          </w:tcPr>
          <w:p w14:paraId="4F2092B4">
            <w:pPr>
              <w:pStyle w:val="33"/>
              <w:rPr>
                <w:color w:val="auto"/>
              </w:rPr>
            </w:pPr>
            <w:r>
              <w:rPr>
                <w:rFonts w:hint="eastAsia"/>
                <w:color w:val="auto"/>
              </w:rPr>
              <w:t>参照《大气污染物综合排放标准详解》</w:t>
            </w:r>
          </w:p>
        </w:tc>
      </w:tr>
      <w:tr w14:paraId="3450F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478BC841">
            <w:pPr>
              <w:pStyle w:val="33"/>
              <w:rPr>
                <w:color w:val="auto"/>
              </w:rPr>
            </w:pPr>
          </w:p>
        </w:tc>
        <w:tc>
          <w:tcPr>
            <w:tcW w:w="1982" w:type="dxa"/>
            <w:vAlign w:val="center"/>
          </w:tcPr>
          <w:p w14:paraId="588E4F69">
            <w:pPr>
              <w:pStyle w:val="33"/>
              <w:rPr>
                <w:color w:val="auto"/>
              </w:rPr>
            </w:pPr>
            <w:r>
              <w:rPr>
                <w:rFonts w:hint="eastAsia" w:ascii="宋体"/>
                <w:color w:val="auto"/>
                <w:spacing w:val="-6"/>
              </w:rPr>
              <w:t>临时安置房</w:t>
            </w:r>
          </w:p>
        </w:tc>
        <w:tc>
          <w:tcPr>
            <w:tcW w:w="2268" w:type="dxa"/>
            <w:vAlign w:val="center"/>
          </w:tcPr>
          <w:p w14:paraId="66895B44">
            <w:pPr>
              <w:pStyle w:val="33"/>
              <w:rPr>
                <w:color w:val="auto"/>
              </w:rPr>
            </w:pPr>
            <w:r>
              <w:rPr>
                <w:rFonts w:hint="eastAsia"/>
                <w:color w:val="auto"/>
              </w:rPr>
              <w:t>HCl、NH</w:t>
            </w:r>
            <w:r>
              <w:rPr>
                <w:color w:val="auto"/>
                <w:vertAlign w:val="subscript"/>
              </w:rPr>
              <w:t>3</w:t>
            </w:r>
            <w:r>
              <w:rPr>
                <w:rFonts w:hint="eastAsia"/>
                <w:color w:val="auto"/>
              </w:rPr>
              <w:t>、TSP</w:t>
            </w:r>
          </w:p>
        </w:tc>
        <w:tc>
          <w:tcPr>
            <w:tcW w:w="1276" w:type="dxa"/>
            <w:vAlign w:val="center"/>
          </w:tcPr>
          <w:p w14:paraId="3E7F1DAA">
            <w:pPr>
              <w:pStyle w:val="33"/>
              <w:rPr>
                <w:color w:val="auto"/>
              </w:rPr>
            </w:pPr>
            <w:r>
              <w:rPr>
                <w:rFonts w:hint="eastAsia"/>
                <w:color w:val="auto"/>
              </w:rPr>
              <w:t>1次/年</w:t>
            </w:r>
          </w:p>
        </w:tc>
        <w:tc>
          <w:tcPr>
            <w:tcW w:w="2969" w:type="dxa"/>
            <w:vAlign w:val="center"/>
          </w:tcPr>
          <w:p w14:paraId="2DA1D40E">
            <w:pPr>
              <w:pStyle w:val="33"/>
              <w:rPr>
                <w:color w:val="auto"/>
              </w:rPr>
            </w:pPr>
            <w:r>
              <w:rPr>
                <w:rFonts w:hint="eastAsia"/>
                <w:color w:val="auto"/>
              </w:rPr>
              <w:t>氨、硫化氢参照《环境影响评价技术导则 大气环境》（HJ 2.2-2018）附录D其他污染物空气质量浓度参考限值</w:t>
            </w:r>
          </w:p>
        </w:tc>
      </w:tr>
      <w:tr w14:paraId="1B18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4679B313">
            <w:pPr>
              <w:pStyle w:val="33"/>
              <w:rPr>
                <w:color w:val="auto"/>
              </w:rPr>
            </w:pPr>
          </w:p>
        </w:tc>
        <w:tc>
          <w:tcPr>
            <w:tcW w:w="1982" w:type="dxa"/>
            <w:vAlign w:val="center"/>
          </w:tcPr>
          <w:p w14:paraId="45D7C32F">
            <w:pPr>
              <w:pStyle w:val="33"/>
              <w:rPr>
                <w:rFonts w:ascii="宋体"/>
                <w:color w:val="auto"/>
                <w:spacing w:val="-6"/>
              </w:rPr>
            </w:pPr>
            <w:r>
              <w:rPr>
                <w:rFonts w:hint="eastAsia"/>
                <w:color w:val="auto"/>
                <w:szCs w:val="21"/>
              </w:rPr>
              <w:t>鹿耳环、</w:t>
            </w:r>
            <w:r>
              <w:rPr>
                <w:rFonts w:hint="eastAsia" w:ascii="宋体" w:cs="宋体"/>
                <w:color w:val="auto"/>
                <w:szCs w:val="21"/>
              </w:rPr>
              <w:t>硫磺山</w:t>
            </w:r>
          </w:p>
        </w:tc>
        <w:tc>
          <w:tcPr>
            <w:tcW w:w="2268" w:type="dxa"/>
            <w:vAlign w:val="center"/>
          </w:tcPr>
          <w:p w14:paraId="0167AF68">
            <w:pPr>
              <w:pStyle w:val="33"/>
              <w:rPr>
                <w:color w:val="auto"/>
              </w:rPr>
            </w:pPr>
            <w:r>
              <w:rPr>
                <w:color w:val="auto"/>
                <w:szCs w:val="21"/>
              </w:rPr>
              <w:t>SO</w:t>
            </w:r>
            <w:r>
              <w:rPr>
                <w:color w:val="auto"/>
                <w:szCs w:val="21"/>
                <w:vertAlign w:val="subscript"/>
              </w:rPr>
              <w:t>2</w:t>
            </w:r>
            <w:r>
              <w:rPr>
                <w:color w:val="auto"/>
                <w:szCs w:val="21"/>
              </w:rPr>
              <w:t>、NO</w:t>
            </w:r>
            <w:r>
              <w:rPr>
                <w:color w:val="auto"/>
                <w:szCs w:val="21"/>
                <w:vertAlign w:val="subscript"/>
              </w:rPr>
              <w:t>2</w:t>
            </w:r>
            <w:r>
              <w:rPr>
                <w:color w:val="auto"/>
                <w:szCs w:val="21"/>
              </w:rPr>
              <w:t>、TSP、</w:t>
            </w:r>
            <w:r>
              <w:rPr>
                <w:rFonts w:hint="eastAsia"/>
                <w:color w:val="auto"/>
                <w:szCs w:val="21"/>
              </w:rPr>
              <w:t>PM</w:t>
            </w:r>
            <w:r>
              <w:rPr>
                <w:rFonts w:hint="eastAsia"/>
                <w:color w:val="auto"/>
                <w:szCs w:val="21"/>
                <w:vertAlign w:val="subscript"/>
              </w:rPr>
              <w:t>10</w:t>
            </w:r>
          </w:p>
        </w:tc>
        <w:tc>
          <w:tcPr>
            <w:tcW w:w="1276" w:type="dxa"/>
            <w:vAlign w:val="center"/>
          </w:tcPr>
          <w:p w14:paraId="01C0C748">
            <w:pPr>
              <w:pStyle w:val="33"/>
              <w:rPr>
                <w:color w:val="auto"/>
              </w:rPr>
            </w:pPr>
            <w:r>
              <w:rPr>
                <w:rFonts w:hint="eastAsia"/>
                <w:color w:val="auto"/>
              </w:rPr>
              <w:t>1次/年</w:t>
            </w:r>
          </w:p>
        </w:tc>
        <w:tc>
          <w:tcPr>
            <w:tcW w:w="2969" w:type="dxa"/>
            <w:vAlign w:val="center"/>
          </w:tcPr>
          <w:p w14:paraId="5BA9C5DC">
            <w:pPr>
              <w:pStyle w:val="33"/>
              <w:rPr>
                <w:color w:val="auto"/>
              </w:rPr>
            </w:pPr>
            <w:r>
              <w:rPr>
                <w:rFonts w:hint="eastAsia"/>
                <w:color w:val="auto"/>
              </w:rPr>
              <w:t>《环境空气质量标准》（GB3095-2026）二级标准</w:t>
            </w:r>
          </w:p>
        </w:tc>
      </w:tr>
      <w:tr w14:paraId="6D788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restart"/>
            <w:vAlign w:val="center"/>
          </w:tcPr>
          <w:p w14:paraId="610069F1">
            <w:pPr>
              <w:pStyle w:val="33"/>
              <w:rPr>
                <w:color w:val="auto"/>
              </w:rPr>
            </w:pPr>
            <w:r>
              <w:rPr>
                <w:rFonts w:hint="eastAsia"/>
                <w:color w:val="auto"/>
              </w:rPr>
              <w:t>地下水</w:t>
            </w:r>
          </w:p>
        </w:tc>
        <w:tc>
          <w:tcPr>
            <w:tcW w:w="1982" w:type="dxa"/>
            <w:vAlign w:val="center"/>
          </w:tcPr>
          <w:p w14:paraId="67ED3EEE">
            <w:pPr>
              <w:pStyle w:val="33"/>
              <w:rPr>
                <w:color w:val="auto"/>
              </w:rPr>
            </w:pPr>
            <w:r>
              <w:rPr>
                <w:rFonts w:hint="eastAsia" w:cs="Times New Roman"/>
                <w:color w:val="auto"/>
                <w:spacing w:val="-6"/>
              </w:rPr>
              <w:t>J1</w:t>
            </w:r>
            <w:r>
              <w:rPr>
                <w:rFonts w:cs="Times New Roman"/>
                <w:color w:val="auto"/>
                <w:spacing w:val="-6"/>
              </w:rPr>
              <w:t>（U7</w:t>
            </w:r>
            <w:r>
              <w:rPr>
                <w:rFonts w:hint="eastAsia" w:cs="Times New Roman"/>
                <w:color w:val="auto"/>
                <w:spacing w:val="-6"/>
              </w:rPr>
              <w:t>，龙狗坑村民井，背景点</w:t>
            </w:r>
            <w:r>
              <w:rPr>
                <w:rFonts w:cs="Times New Roman"/>
                <w:color w:val="auto"/>
                <w:spacing w:val="-6"/>
              </w:rPr>
              <w:t>）</w:t>
            </w:r>
          </w:p>
        </w:tc>
        <w:tc>
          <w:tcPr>
            <w:tcW w:w="2268" w:type="dxa"/>
            <w:vMerge w:val="restart"/>
            <w:vAlign w:val="center"/>
          </w:tcPr>
          <w:p w14:paraId="13941E62">
            <w:pPr>
              <w:pStyle w:val="33"/>
              <w:rPr>
                <w:color w:val="auto"/>
              </w:rPr>
            </w:pPr>
            <w:r>
              <w:rPr>
                <w:rFonts w:hint="eastAsia"/>
                <w:color w:val="auto"/>
              </w:rPr>
              <w:t>pH 值、总硬度、耗氧量、溶解性总固体、挥发酚、氨氮、硫酸盐、氯化物、硝酸盐、亚硝酸盐、氟化物、氰化物、汞、砷、铜、铅、镉、铬</w:t>
            </w:r>
          </w:p>
        </w:tc>
        <w:tc>
          <w:tcPr>
            <w:tcW w:w="1276" w:type="dxa"/>
            <w:vMerge w:val="restart"/>
            <w:vAlign w:val="center"/>
          </w:tcPr>
          <w:p w14:paraId="345E5AFC">
            <w:pPr>
              <w:pStyle w:val="33"/>
              <w:rPr>
                <w:color w:val="auto"/>
              </w:rPr>
            </w:pPr>
            <w:r>
              <w:rPr>
                <w:color w:val="auto"/>
              </w:rPr>
              <w:t>1次/年</w:t>
            </w:r>
          </w:p>
        </w:tc>
        <w:tc>
          <w:tcPr>
            <w:tcW w:w="2969" w:type="dxa"/>
            <w:vMerge w:val="restart"/>
            <w:vAlign w:val="center"/>
          </w:tcPr>
          <w:p w14:paraId="22D55708">
            <w:pPr>
              <w:pStyle w:val="33"/>
              <w:rPr>
                <w:color w:val="auto"/>
              </w:rPr>
            </w:pPr>
            <w:r>
              <w:rPr>
                <w:color w:val="auto"/>
              </w:rPr>
              <w:t>《地下水质量标准》（GB/T 14848-2017）Ⅲ类标准</w:t>
            </w:r>
          </w:p>
        </w:tc>
      </w:tr>
      <w:tr w14:paraId="0451D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44D72974">
            <w:pPr>
              <w:pStyle w:val="33"/>
              <w:rPr>
                <w:color w:val="auto"/>
              </w:rPr>
            </w:pPr>
          </w:p>
        </w:tc>
        <w:tc>
          <w:tcPr>
            <w:tcW w:w="1982" w:type="dxa"/>
            <w:vAlign w:val="center"/>
          </w:tcPr>
          <w:p w14:paraId="0D5E154B">
            <w:pPr>
              <w:pStyle w:val="33"/>
              <w:rPr>
                <w:color w:val="auto"/>
              </w:rPr>
            </w:pPr>
            <w:r>
              <w:rPr>
                <w:rFonts w:hint="eastAsia" w:cs="Times New Roman"/>
                <w:color w:val="auto"/>
              </w:rPr>
              <w:t>J2（</w:t>
            </w:r>
            <w:r>
              <w:rPr>
                <w:rFonts w:cs="Times New Roman"/>
                <w:color w:val="auto"/>
                <w:spacing w:val="-6"/>
              </w:rPr>
              <w:t>U</w:t>
            </w:r>
            <w:r>
              <w:rPr>
                <w:rFonts w:hint="eastAsia" w:cs="Times New Roman"/>
                <w:color w:val="auto"/>
                <w:spacing w:val="-6"/>
              </w:rPr>
              <w:t>4，厂区东侧监测井，侧游</w:t>
            </w:r>
            <w:r>
              <w:rPr>
                <w:rFonts w:hint="eastAsia" w:cs="Times New Roman"/>
                <w:color w:val="auto"/>
              </w:rPr>
              <w:t>）</w:t>
            </w:r>
          </w:p>
        </w:tc>
        <w:tc>
          <w:tcPr>
            <w:tcW w:w="2268" w:type="dxa"/>
            <w:vMerge w:val="continue"/>
            <w:vAlign w:val="center"/>
          </w:tcPr>
          <w:p w14:paraId="6D63A307">
            <w:pPr>
              <w:pStyle w:val="33"/>
              <w:rPr>
                <w:color w:val="auto"/>
              </w:rPr>
            </w:pPr>
          </w:p>
        </w:tc>
        <w:tc>
          <w:tcPr>
            <w:tcW w:w="1276" w:type="dxa"/>
            <w:vMerge w:val="continue"/>
            <w:vAlign w:val="center"/>
          </w:tcPr>
          <w:p w14:paraId="22723A02">
            <w:pPr>
              <w:pStyle w:val="33"/>
              <w:rPr>
                <w:color w:val="auto"/>
              </w:rPr>
            </w:pPr>
          </w:p>
        </w:tc>
        <w:tc>
          <w:tcPr>
            <w:tcW w:w="2969" w:type="dxa"/>
            <w:vMerge w:val="continue"/>
            <w:vAlign w:val="center"/>
          </w:tcPr>
          <w:p w14:paraId="132818F3">
            <w:pPr>
              <w:pStyle w:val="33"/>
              <w:rPr>
                <w:color w:val="auto"/>
              </w:rPr>
            </w:pPr>
          </w:p>
        </w:tc>
      </w:tr>
      <w:tr w14:paraId="6ED5B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0FA0BD2A">
            <w:pPr>
              <w:pStyle w:val="33"/>
              <w:rPr>
                <w:color w:val="auto"/>
              </w:rPr>
            </w:pPr>
          </w:p>
        </w:tc>
        <w:tc>
          <w:tcPr>
            <w:tcW w:w="1982" w:type="dxa"/>
            <w:vAlign w:val="center"/>
          </w:tcPr>
          <w:p w14:paraId="24859FCB">
            <w:pPr>
              <w:pStyle w:val="33"/>
              <w:rPr>
                <w:color w:val="auto"/>
              </w:rPr>
            </w:pPr>
            <w:r>
              <w:rPr>
                <w:rFonts w:hint="eastAsia" w:cs="Times New Roman"/>
                <w:color w:val="auto"/>
              </w:rPr>
              <w:t>J3（U5</w:t>
            </w:r>
            <w:r>
              <w:rPr>
                <w:rFonts w:hint="eastAsia" w:cs="Times New Roman"/>
                <w:color w:val="auto"/>
                <w:spacing w:val="-6"/>
              </w:rPr>
              <w:t>，厂区南侧监测井，厂区下游处</w:t>
            </w:r>
            <w:r>
              <w:rPr>
                <w:rFonts w:hint="eastAsia" w:cs="Times New Roman"/>
                <w:color w:val="auto"/>
              </w:rPr>
              <w:t>）</w:t>
            </w:r>
          </w:p>
        </w:tc>
        <w:tc>
          <w:tcPr>
            <w:tcW w:w="2268" w:type="dxa"/>
            <w:vMerge w:val="continue"/>
            <w:vAlign w:val="center"/>
          </w:tcPr>
          <w:p w14:paraId="354FF6AE">
            <w:pPr>
              <w:pStyle w:val="33"/>
              <w:rPr>
                <w:color w:val="auto"/>
              </w:rPr>
            </w:pPr>
          </w:p>
        </w:tc>
        <w:tc>
          <w:tcPr>
            <w:tcW w:w="1276" w:type="dxa"/>
            <w:vMerge w:val="continue"/>
            <w:vAlign w:val="center"/>
          </w:tcPr>
          <w:p w14:paraId="57B73312">
            <w:pPr>
              <w:pStyle w:val="33"/>
              <w:rPr>
                <w:color w:val="auto"/>
              </w:rPr>
            </w:pPr>
          </w:p>
        </w:tc>
        <w:tc>
          <w:tcPr>
            <w:tcW w:w="2969" w:type="dxa"/>
            <w:vMerge w:val="continue"/>
            <w:vAlign w:val="center"/>
          </w:tcPr>
          <w:p w14:paraId="2A2F2CC8">
            <w:pPr>
              <w:pStyle w:val="33"/>
              <w:rPr>
                <w:color w:val="auto"/>
              </w:rPr>
            </w:pPr>
          </w:p>
        </w:tc>
      </w:tr>
      <w:tr w14:paraId="1C041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6" w:hRule="atLeast"/>
        </w:trPr>
        <w:tc>
          <w:tcPr>
            <w:tcW w:w="565" w:type="dxa"/>
            <w:vMerge w:val="continue"/>
            <w:vAlign w:val="center"/>
          </w:tcPr>
          <w:p w14:paraId="572248CD">
            <w:pPr>
              <w:pStyle w:val="33"/>
              <w:rPr>
                <w:color w:val="auto"/>
              </w:rPr>
            </w:pPr>
          </w:p>
        </w:tc>
        <w:tc>
          <w:tcPr>
            <w:tcW w:w="1982" w:type="dxa"/>
            <w:vAlign w:val="center"/>
          </w:tcPr>
          <w:p w14:paraId="594FC03B">
            <w:pPr>
              <w:pStyle w:val="33"/>
              <w:rPr>
                <w:color w:val="auto"/>
              </w:rPr>
            </w:pPr>
            <w:r>
              <w:rPr>
                <w:rFonts w:hint="eastAsia"/>
                <w:color w:val="auto"/>
              </w:rPr>
              <w:t>J4（U6</w:t>
            </w:r>
            <w:r>
              <w:rPr>
                <w:rFonts w:hint="eastAsia" w:cs="Times New Roman"/>
                <w:color w:val="auto"/>
                <w:spacing w:val="-6"/>
              </w:rPr>
              <w:t>，</w:t>
            </w:r>
            <w:r>
              <w:rPr>
                <w:rFonts w:hint="eastAsia"/>
                <w:color w:val="auto"/>
              </w:rPr>
              <w:t>上硫磺山村民井，下游）</w:t>
            </w:r>
          </w:p>
        </w:tc>
        <w:tc>
          <w:tcPr>
            <w:tcW w:w="2268" w:type="dxa"/>
            <w:vMerge w:val="continue"/>
            <w:vAlign w:val="center"/>
          </w:tcPr>
          <w:p w14:paraId="638E7684">
            <w:pPr>
              <w:pStyle w:val="33"/>
              <w:rPr>
                <w:color w:val="auto"/>
              </w:rPr>
            </w:pPr>
          </w:p>
        </w:tc>
        <w:tc>
          <w:tcPr>
            <w:tcW w:w="1276" w:type="dxa"/>
            <w:vMerge w:val="continue"/>
            <w:vAlign w:val="center"/>
          </w:tcPr>
          <w:p w14:paraId="6B65930C">
            <w:pPr>
              <w:pStyle w:val="33"/>
              <w:rPr>
                <w:color w:val="auto"/>
              </w:rPr>
            </w:pPr>
          </w:p>
        </w:tc>
        <w:tc>
          <w:tcPr>
            <w:tcW w:w="2969" w:type="dxa"/>
            <w:vMerge w:val="continue"/>
            <w:vAlign w:val="center"/>
          </w:tcPr>
          <w:p w14:paraId="32C71F2F">
            <w:pPr>
              <w:pStyle w:val="33"/>
              <w:rPr>
                <w:color w:val="auto"/>
              </w:rPr>
            </w:pPr>
          </w:p>
        </w:tc>
      </w:tr>
      <w:tr w14:paraId="489C5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restart"/>
            <w:vAlign w:val="center"/>
          </w:tcPr>
          <w:p w14:paraId="7A56E0EE">
            <w:pPr>
              <w:pStyle w:val="33"/>
              <w:rPr>
                <w:color w:val="auto"/>
              </w:rPr>
            </w:pPr>
            <w:r>
              <w:rPr>
                <w:rFonts w:hint="eastAsia"/>
                <w:color w:val="auto"/>
              </w:rPr>
              <w:t>土壤</w:t>
            </w:r>
          </w:p>
        </w:tc>
        <w:tc>
          <w:tcPr>
            <w:tcW w:w="1982" w:type="dxa"/>
            <w:vAlign w:val="center"/>
          </w:tcPr>
          <w:p w14:paraId="71FFFADA">
            <w:pPr>
              <w:pStyle w:val="33"/>
              <w:rPr>
                <w:color w:val="auto"/>
              </w:rPr>
            </w:pPr>
            <w:r>
              <w:rPr>
                <w:rFonts w:hint="eastAsia"/>
                <w:color w:val="auto"/>
              </w:rPr>
              <w:t>苯乙烯储罐区</w:t>
            </w:r>
          </w:p>
        </w:tc>
        <w:tc>
          <w:tcPr>
            <w:tcW w:w="2268" w:type="dxa"/>
            <w:vAlign w:val="center"/>
          </w:tcPr>
          <w:p w14:paraId="044768B9">
            <w:pPr>
              <w:pStyle w:val="33"/>
              <w:rPr>
                <w:color w:val="auto"/>
              </w:rPr>
            </w:pPr>
            <w:r>
              <w:rPr>
                <w:color w:val="auto"/>
              </w:rPr>
              <w:t>pH</w:t>
            </w:r>
            <w:r>
              <w:rPr>
                <w:rFonts w:hint="eastAsia"/>
                <w:color w:val="auto"/>
              </w:rPr>
              <w:t>、石油烃、丙烯腈、苯乙烯</w:t>
            </w:r>
          </w:p>
        </w:tc>
        <w:tc>
          <w:tcPr>
            <w:tcW w:w="1276" w:type="dxa"/>
            <w:vAlign w:val="center"/>
          </w:tcPr>
          <w:p w14:paraId="6E021972">
            <w:pPr>
              <w:pStyle w:val="33"/>
              <w:rPr>
                <w:color w:val="auto"/>
              </w:rPr>
            </w:pPr>
            <w:r>
              <w:rPr>
                <w:rFonts w:hint="eastAsia"/>
                <w:color w:val="auto"/>
              </w:rPr>
              <w:t>表层样</w:t>
            </w:r>
          </w:p>
          <w:p w14:paraId="59C7224B">
            <w:pPr>
              <w:pStyle w:val="33"/>
              <w:rPr>
                <w:color w:val="auto"/>
              </w:rPr>
            </w:pPr>
            <w:r>
              <w:rPr>
                <w:color w:val="auto"/>
              </w:rPr>
              <w:t>1次/年</w:t>
            </w:r>
          </w:p>
          <w:p w14:paraId="7AC4552F">
            <w:pPr>
              <w:pStyle w:val="33"/>
              <w:rPr>
                <w:color w:val="auto"/>
              </w:rPr>
            </w:pPr>
            <w:r>
              <w:rPr>
                <w:rFonts w:hint="eastAsia"/>
                <w:color w:val="auto"/>
              </w:rPr>
              <w:t>深层样</w:t>
            </w:r>
          </w:p>
          <w:p w14:paraId="4289277F">
            <w:pPr>
              <w:pStyle w:val="33"/>
              <w:rPr>
                <w:color w:val="auto"/>
              </w:rPr>
            </w:pPr>
            <w:r>
              <w:rPr>
                <w:color w:val="auto"/>
              </w:rPr>
              <w:t>1次/</w:t>
            </w:r>
            <w:r>
              <w:rPr>
                <w:rFonts w:hint="eastAsia"/>
                <w:color w:val="auto"/>
              </w:rPr>
              <w:t>3</w:t>
            </w:r>
            <w:r>
              <w:rPr>
                <w:color w:val="auto"/>
              </w:rPr>
              <w:t>年</w:t>
            </w:r>
          </w:p>
        </w:tc>
        <w:tc>
          <w:tcPr>
            <w:tcW w:w="2969" w:type="dxa"/>
            <w:vAlign w:val="center"/>
          </w:tcPr>
          <w:p w14:paraId="22BD0602">
            <w:pPr>
              <w:pStyle w:val="33"/>
              <w:rPr>
                <w:color w:val="auto"/>
              </w:rPr>
            </w:pPr>
          </w:p>
        </w:tc>
      </w:tr>
      <w:tr w14:paraId="161645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63E542F1">
            <w:pPr>
              <w:pStyle w:val="33"/>
              <w:rPr>
                <w:color w:val="auto"/>
              </w:rPr>
            </w:pPr>
          </w:p>
        </w:tc>
        <w:tc>
          <w:tcPr>
            <w:tcW w:w="1982" w:type="dxa"/>
            <w:vAlign w:val="center"/>
          </w:tcPr>
          <w:p w14:paraId="6D460B3D">
            <w:pPr>
              <w:pStyle w:val="33"/>
              <w:rPr>
                <w:color w:val="auto"/>
              </w:rPr>
            </w:pPr>
            <w:r>
              <w:rPr>
                <w:rFonts w:hint="eastAsia"/>
                <w:color w:val="auto"/>
              </w:rPr>
              <w:t>污水处理站</w:t>
            </w:r>
          </w:p>
        </w:tc>
        <w:tc>
          <w:tcPr>
            <w:tcW w:w="2268" w:type="dxa"/>
            <w:vAlign w:val="center"/>
          </w:tcPr>
          <w:p w14:paraId="332A0E62">
            <w:pPr>
              <w:pStyle w:val="33"/>
              <w:rPr>
                <w:color w:val="auto"/>
              </w:rPr>
            </w:pPr>
            <w:r>
              <w:rPr>
                <w:color w:val="auto"/>
              </w:rPr>
              <w:t>pH、砷、镉、汞、铅、铬</w:t>
            </w:r>
            <w:r>
              <w:rPr>
                <w:rFonts w:hint="eastAsia"/>
                <w:color w:val="auto"/>
              </w:rPr>
              <w:t>、</w:t>
            </w:r>
            <w:r>
              <w:rPr>
                <w:color w:val="auto"/>
              </w:rPr>
              <w:t>铜、镍、</w:t>
            </w:r>
            <w:r>
              <w:rPr>
                <w:rFonts w:hint="eastAsia"/>
                <w:color w:val="auto"/>
              </w:rPr>
              <w:t>石油烃</w:t>
            </w:r>
          </w:p>
        </w:tc>
        <w:tc>
          <w:tcPr>
            <w:tcW w:w="1276" w:type="dxa"/>
            <w:vAlign w:val="center"/>
          </w:tcPr>
          <w:p w14:paraId="2E843F1F">
            <w:pPr>
              <w:pStyle w:val="33"/>
              <w:rPr>
                <w:color w:val="auto"/>
              </w:rPr>
            </w:pPr>
            <w:r>
              <w:rPr>
                <w:rFonts w:hint="eastAsia"/>
                <w:color w:val="auto"/>
              </w:rPr>
              <w:t>表层样</w:t>
            </w:r>
          </w:p>
          <w:p w14:paraId="29E2EA28">
            <w:pPr>
              <w:pStyle w:val="33"/>
              <w:rPr>
                <w:color w:val="auto"/>
              </w:rPr>
            </w:pPr>
            <w:r>
              <w:rPr>
                <w:color w:val="auto"/>
              </w:rPr>
              <w:t>1次/年</w:t>
            </w:r>
          </w:p>
          <w:p w14:paraId="328FF1C4">
            <w:pPr>
              <w:pStyle w:val="33"/>
              <w:rPr>
                <w:color w:val="auto"/>
              </w:rPr>
            </w:pPr>
            <w:r>
              <w:rPr>
                <w:rFonts w:hint="eastAsia"/>
                <w:color w:val="auto"/>
              </w:rPr>
              <w:t>深层样</w:t>
            </w:r>
          </w:p>
          <w:p w14:paraId="6F769CBE">
            <w:pPr>
              <w:pStyle w:val="33"/>
              <w:rPr>
                <w:color w:val="auto"/>
              </w:rPr>
            </w:pPr>
            <w:r>
              <w:rPr>
                <w:color w:val="auto"/>
              </w:rPr>
              <w:t>1次/</w:t>
            </w:r>
            <w:r>
              <w:rPr>
                <w:rFonts w:hint="eastAsia"/>
                <w:color w:val="auto"/>
              </w:rPr>
              <w:t>3</w:t>
            </w:r>
            <w:r>
              <w:rPr>
                <w:color w:val="auto"/>
              </w:rPr>
              <w:t>年</w:t>
            </w:r>
          </w:p>
        </w:tc>
        <w:tc>
          <w:tcPr>
            <w:tcW w:w="2969" w:type="dxa"/>
            <w:vAlign w:val="center"/>
          </w:tcPr>
          <w:p w14:paraId="34680861">
            <w:pPr>
              <w:pStyle w:val="33"/>
              <w:rPr>
                <w:color w:val="auto"/>
              </w:rPr>
            </w:pPr>
            <w:r>
              <w:rPr>
                <w:rFonts w:hint="eastAsia"/>
                <w:color w:val="auto"/>
              </w:rPr>
              <w:t>《土壤环境质量 建设用地土壤污染风险管控标准（试行）》（GB 36600-2018）</w:t>
            </w:r>
          </w:p>
        </w:tc>
      </w:tr>
      <w:tr w14:paraId="70E47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Merge w:val="continue"/>
            <w:vAlign w:val="center"/>
          </w:tcPr>
          <w:p w14:paraId="6031470B">
            <w:pPr>
              <w:pStyle w:val="33"/>
              <w:rPr>
                <w:color w:val="auto"/>
              </w:rPr>
            </w:pPr>
          </w:p>
        </w:tc>
        <w:tc>
          <w:tcPr>
            <w:tcW w:w="1982" w:type="dxa"/>
            <w:vAlign w:val="center"/>
          </w:tcPr>
          <w:p w14:paraId="5D7F64AF">
            <w:pPr>
              <w:pStyle w:val="33"/>
              <w:rPr>
                <w:color w:val="auto"/>
              </w:rPr>
            </w:pPr>
            <w:r>
              <w:rPr>
                <w:rFonts w:hint="eastAsia"/>
                <w:color w:val="auto"/>
              </w:rPr>
              <w:t>厂区下风向</w:t>
            </w:r>
          </w:p>
        </w:tc>
        <w:tc>
          <w:tcPr>
            <w:tcW w:w="2268" w:type="dxa"/>
            <w:vAlign w:val="center"/>
          </w:tcPr>
          <w:p w14:paraId="7B4678CB">
            <w:pPr>
              <w:pStyle w:val="33"/>
              <w:rPr>
                <w:color w:val="auto"/>
              </w:rPr>
            </w:pPr>
            <w:r>
              <w:rPr>
                <w:color w:val="auto"/>
              </w:rPr>
              <w:t>pH、砷、镉、汞、铅、</w:t>
            </w:r>
            <w:r>
              <w:rPr>
                <w:rFonts w:hint="eastAsia"/>
                <w:color w:val="auto"/>
              </w:rPr>
              <w:t>六价</w:t>
            </w:r>
            <w:r>
              <w:rPr>
                <w:color w:val="auto"/>
              </w:rPr>
              <w:t>铬</w:t>
            </w:r>
            <w:r>
              <w:rPr>
                <w:rFonts w:hint="eastAsia"/>
                <w:color w:val="auto"/>
              </w:rPr>
              <w:t>、</w:t>
            </w:r>
            <w:r>
              <w:rPr>
                <w:color w:val="auto"/>
              </w:rPr>
              <w:t>铜、镍、</w:t>
            </w:r>
            <w:r>
              <w:rPr>
                <w:rFonts w:hint="eastAsia"/>
                <w:color w:val="auto"/>
              </w:rPr>
              <w:t>石油烃、丙烯腈、苯乙烯</w:t>
            </w:r>
          </w:p>
        </w:tc>
        <w:tc>
          <w:tcPr>
            <w:tcW w:w="1276" w:type="dxa"/>
            <w:vAlign w:val="center"/>
          </w:tcPr>
          <w:p w14:paraId="5995012D">
            <w:pPr>
              <w:pStyle w:val="33"/>
              <w:rPr>
                <w:color w:val="auto"/>
              </w:rPr>
            </w:pPr>
            <w:r>
              <w:rPr>
                <w:color w:val="auto"/>
              </w:rPr>
              <w:t>1次/年</w:t>
            </w:r>
          </w:p>
        </w:tc>
        <w:tc>
          <w:tcPr>
            <w:tcW w:w="2969" w:type="dxa"/>
            <w:vAlign w:val="center"/>
          </w:tcPr>
          <w:p w14:paraId="445AF7E2">
            <w:pPr>
              <w:pStyle w:val="33"/>
              <w:rPr>
                <w:color w:val="auto"/>
              </w:rPr>
            </w:pPr>
            <w:r>
              <w:rPr>
                <w:rFonts w:hint="eastAsia"/>
                <w:color w:val="auto"/>
              </w:rPr>
              <w:t>《土壤环境质量 农用地土壤污染风险管控标准（试行）》（GB 15618-2018）</w:t>
            </w:r>
          </w:p>
        </w:tc>
      </w:tr>
      <w:tr w14:paraId="22DAB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Align w:val="center"/>
          </w:tcPr>
          <w:p w14:paraId="2C190233">
            <w:pPr>
              <w:pStyle w:val="33"/>
              <w:rPr>
                <w:color w:val="auto"/>
              </w:rPr>
            </w:pPr>
          </w:p>
        </w:tc>
        <w:tc>
          <w:tcPr>
            <w:tcW w:w="1982" w:type="dxa"/>
            <w:vAlign w:val="center"/>
          </w:tcPr>
          <w:p w14:paraId="567617FF">
            <w:pPr>
              <w:pStyle w:val="33"/>
              <w:rPr>
                <w:color w:val="auto"/>
              </w:rPr>
            </w:pPr>
          </w:p>
        </w:tc>
        <w:tc>
          <w:tcPr>
            <w:tcW w:w="2268" w:type="dxa"/>
            <w:vAlign w:val="center"/>
          </w:tcPr>
          <w:p w14:paraId="0B8377B1">
            <w:pPr>
              <w:pStyle w:val="33"/>
              <w:rPr>
                <w:color w:val="auto"/>
              </w:rPr>
            </w:pPr>
          </w:p>
        </w:tc>
        <w:tc>
          <w:tcPr>
            <w:tcW w:w="1276" w:type="dxa"/>
            <w:vAlign w:val="center"/>
          </w:tcPr>
          <w:p w14:paraId="4D9383E9">
            <w:pPr>
              <w:pStyle w:val="33"/>
              <w:rPr>
                <w:color w:val="auto"/>
              </w:rPr>
            </w:pPr>
          </w:p>
        </w:tc>
        <w:tc>
          <w:tcPr>
            <w:tcW w:w="2969" w:type="dxa"/>
            <w:vAlign w:val="center"/>
          </w:tcPr>
          <w:p w14:paraId="2F386DD8">
            <w:pPr>
              <w:pStyle w:val="33"/>
              <w:rPr>
                <w:color w:val="auto"/>
              </w:rPr>
            </w:pPr>
          </w:p>
        </w:tc>
      </w:tr>
      <w:tr w14:paraId="029B6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65" w:type="dxa"/>
            <w:vAlign w:val="center"/>
          </w:tcPr>
          <w:p w14:paraId="351D2C86">
            <w:pPr>
              <w:pStyle w:val="33"/>
              <w:rPr>
                <w:color w:val="auto"/>
              </w:rPr>
            </w:pPr>
            <w:r>
              <w:rPr>
                <w:rFonts w:hint="eastAsia"/>
                <w:color w:val="auto"/>
              </w:rPr>
              <w:t>海洋水质</w:t>
            </w:r>
          </w:p>
        </w:tc>
        <w:tc>
          <w:tcPr>
            <w:tcW w:w="1982" w:type="dxa"/>
            <w:vAlign w:val="center"/>
          </w:tcPr>
          <w:p w14:paraId="3B41D8FC">
            <w:pPr>
              <w:pStyle w:val="33"/>
              <w:rPr>
                <w:color w:val="auto"/>
              </w:rPr>
            </w:pPr>
            <w:r>
              <w:rPr>
                <w:rFonts w:hint="eastAsia"/>
                <w:color w:val="auto"/>
              </w:rPr>
              <w:t>混合区外围布设３个监测站位</w:t>
            </w:r>
          </w:p>
        </w:tc>
        <w:tc>
          <w:tcPr>
            <w:tcW w:w="2268" w:type="dxa"/>
            <w:vAlign w:val="center"/>
          </w:tcPr>
          <w:p w14:paraId="682E2040">
            <w:pPr>
              <w:pStyle w:val="33"/>
              <w:rPr>
                <w:color w:val="auto"/>
              </w:rPr>
            </w:pPr>
            <w:r>
              <w:rPr>
                <w:color w:val="auto"/>
              </w:rPr>
              <w:t xml:space="preserve">pH </w:t>
            </w:r>
            <w:r>
              <w:rPr>
                <w:rFonts w:hint="eastAsia"/>
                <w:color w:val="auto"/>
              </w:rPr>
              <w:t>值、化学需氧</w:t>
            </w:r>
            <w:r>
              <w:rPr>
                <w:rFonts w:hint="eastAsia"/>
                <w:color w:val="auto"/>
                <w:spacing w:val="-2"/>
              </w:rPr>
              <w:t>量、五日生化需氧</w:t>
            </w:r>
            <w:r>
              <w:rPr>
                <w:rFonts w:hint="eastAsia"/>
                <w:color w:val="auto"/>
                <w:spacing w:val="-4"/>
              </w:rPr>
              <w:t>量、溶解氧、活性</w:t>
            </w:r>
            <w:r>
              <w:rPr>
                <w:rFonts w:hint="eastAsia"/>
                <w:color w:val="auto"/>
                <w:spacing w:val="-2"/>
              </w:rPr>
              <w:t>磷酸盐、无机氮、</w:t>
            </w:r>
            <w:r>
              <w:rPr>
                <w:rFonts w:hint="eastAsia"/>
                <w:color w:val="auto"/>
                <w:spacing w:val="-4"/>
              </w:rPr>
              <w:t>石油类</w:t>
            </w:r>
          </w:p>
        </w:tc>
        <w:tc>
          <w:tcPr>
            <w:tcW w:w="1276" w:type="dxa"/>
            <w:vAlign w:val="center"/>
          </w:tcPr>
          <w:p w14:paraId="4C9815E2">
            <w:pPr>
              <w:pStyle w:val="33"/>
              <w:rPr>
                <w:color w:val="auto"/>
              </w:rPr>
            </w:pPr>
            <w:r>
              <w:rPr>
                <w:rFonts w:hint="eastAsia"/>
                <w:color w:val="auto"/>
              </w:rPr>
              <w:t>每年大潮期、小潮期各监测一次</w:t>
            </w:r>
          </w:p>
        </w:tc>
        <w:tc>
          <w:tcPr>
            <w:tcW w:w="2969" w:type="dxa"/>
            <w:vAlign w:val="center"/>
          </w:tcPr>
          <w:p w14:paraId="018C68C1">
            <w:pPr>
              <w:pStyle w:val="33"/>
              <w:rPr>
                <w:color w:val="auto"/>
              </w:rPr>
            </w:pPr>
          </w:p>
        </w:tc>
      </w:tr>
    </w:tbl>
    <w:p w14:paraId="6528B740">
      <w:pPr>
        <w:ind w:firstLine="480"/>
        <w:rPr>
          <w:color w:val="auto"/>
        </w:rPr>
      </w:pPr>
    </w:p>
    <w:p w14:paraId="4BA3B980">
      <w:pPr>
        <w:pStyle w:val="5"/>
        <w:rPr>
          <w:color w:val="auto"/>
        </w:rPr>
      </w:pPr>
      <w:r>
        <w:rPr>
          <w:rFonts w:hint="eastAsia"/>
          <w:color w:val="auto"/>
        </w:rPr>
        <w:t>固废清运计划</w:t>
      </w:r>
    </w:p>
    <w:p w14:paraId="25ECB13D">
      <w:pPr>
        <w:pStyle w:val="7"/>
        <w:rPr>
          <w:color w:val="auto"/>
        </w:rPr>
      </w:pPr>
      <w:r>
        <w:rPr>
          <w:color w:val="auto"/>
        </w:rPr>
        <w:t>固废清运计划</w:t>
      </w:r>
    </w:p>
    <w:tbl>
      <w:tblPr>
        <w:tblStyle w:val="26"/>
        <w:tblW w:w="0" w:type="auto"/>
        <w:tblInd w:w="2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92"/>
        <w:gridCol w:w="1220"/>
        <w:gridCol w:w="1512"/>
        <w:gridCol w:w="3044"/>
        <w:gridCol w:w="1431"/>
      </w:tblGrid>
      <w:tr w14:paraId="194294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1092" w:type="dxa"/>
            <w:tcBorders>
              <w:bottom w:val="single" w:color="000000" w:sz="6" w:space="0"/>
              <w:right w:val="single" w:color="000000" w:sz="6" w:space="0"/>
            </w:tcBorders>
            <w:vAlign w:val="center"/>
          </w:tcPr>
          <w:p w14:paraId="451D8BE7">
            <w:pPr>
              <w:pStyle w:val="33"/>
              <w:rPr>
                <w:color w:val="auto"/>
              </w:rPr>
            </w:pPr>
            <w:r>
              <w:rPr>
                <w:rFonts w:hint="eastAsia"/>
                <w:color w:val="auto"/>
              </w:rPr>
              <w:t>监测类别</w:t>
            </w:r>
          </w:p>
        </w:tc>
        <w:tc>
          <w:tcPr>
            <w:tcW w:w="1220" w:type="dxa"/>
            <w:tcBorders>
              <w:left w:val="single" w:color="000000" w:sz="6" w:space="0"/>
              <w:bottom w:val="single" w:color="000000" w:sz="6" w:space="0"/>
              <w:right w:val="single" w:color="000000" w:sz="6" w:space="0"/>
            </w:tcBorders>
            <w:vAlign w:val="center"/>
          </w:tcPr>
          <w:p w14:paraId="198CFDF4">
            <w:pPr>
              <w:pStyle w:val="33"/>
              <w:rPr>
                <w:color w:val="auto"/>
              </w:rPr>
            </w:pPr>
            <w:r>
              <w:rPr>
                <w:rFonts w:hint="eastAsia"/>
                <w:color w:val="auto"/>
              </w:rPr>
              <w:t>监测内容</w:t>
            </w:r>
          </w:p>
        </w:tc>
        <w:tc>
          <w:tcPr>
            <w:tcW w:w="1512" w:type="dxa"/>
            <w:tcBorders>
              <w:left w:val="single" w:color="000000" w:sz="6" w:space="0"/>
              <w:bottom w:val="single" w:color="000000" w:sz="6" w:space="0"/>
              <w:right w:val="single" w:color="000000" w:sz="6" w:space="0"/>
            </w:tcBorders>
            <w:vAlign w:val="center"/>
          </w:tcPr>
          <w:p w14:paraId="50F735BB">
            <w:pPr>
              <w:pStyle w:val="33"/>
              <w:rPr>
                <w:color w:val="auto"/>
              </w:rPr>
            </w:pPr>
            <w:r>
              <w:rPr>
                <w:rFonts w:hint="eastAsia"/>
                <w:color w:val="auto"/>
              </w:rPr>
              <w:t>监测位置</w:t>
            </w:r>
          </w:p>
        </w:tc>
        <w:tc>
          <w:tcPr>
            <w:tcW w:w="3044" w:type="dxa"/>
            <w:tcBorders>
              <w:left w:val="single" w:color="000000" w:sz="6" w:space="0"/>
              <w:bottom w:val="single" w:color="000000" w:sz="6" w:space="0"/>
              <w:right w:val="single" w:color="000000" w:sz="6" w:space="0"/>
            </w:tcBorders>
            <w:vAlign w:val="center"/>
          </w:tcPr>
          <w:p w14:paraId="36D53AB3">
            <w:pPr>
              <w:pStyle w:val="33"/>
              <w:rPr>
                <w:color w:val="auto"/>
              </w:rPr>
            </w:pPr>
            <w:r>
              <w:rPr>
                <w:rFonts w:hint="eastAsia"/>
                <w:color w:val="auto"/>
              </w:rPr>
              <w:t>监测项目</w:t>
            </w:r>
          </w:p>
        </w:tc>
        <w:tc>
          <w:tcPr>
            <w:tcW w:w="1431" w:type="dxa"/>
            <w:tcBorders>
              <w:left w:val="single" w:color="000000" w:sz="6" w:space="0"/>
              <w:bottom w:val="single" w:color="000000" w:sz="6" w:space="0"/>
            </w:tcBorders>
            <w:vAlign w:val="center"/>
          </w:tcPr>
          <w:p w14:paraId="2D39B0DB">
            <w:pPr>
              <w:pStyle w:val="33"/>
              <w:rPr>
                <w:color w:val="auto"/>
              </w:rPr>
            </w:pPr>
            <w:r>
              <w:rPr>
                <w:rFonts w:hint="eastAsia"/>
                <w:color w:val="auto"/>
              </w:rPr>
              <w:t>监测频次</w:t>
            </w:r>
          </w:p>
        </w:tc>
      </w:tr>
      <w:tr w14:paraId="50A8C80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1092" w:type="dxa"/>
            <w:vMerge w:val="restart"/>
            <w:tcBorders>
              <w:top w:val="single" w:color="000000" w:sz="6" w:space="0"/>
              <w:right w:val="single" w:color="000000" w:sz="6" w:space="0"/>
            </w:tcBorders>
            <w:vAlign w:val="center"/>
          </w:tcPr>
          <w:p w14:paraId="0A200700">
            <w:pPr>
              <w:pStyle w:val="33"/>
              <w:rPr>
                <w:color w:val="auto"/>
              </w:rPr>
            </w:pPr>
            <w:r>
              <w:rPr>
                <w:rFonts w:hint="eastAsia"/>
                <w:color w:val="auto"/>
              </w:rPr>
              <w:t>污染源监</w:t>
            </w:r>
            <w:r>
              <w:rPr>
                <w:rFonts w:hint="eastAsia"/>
                <w:color w:val="auto"/>
                <w:spacing w:val="-10"/>
              </w:rPr>
              <w:t>测</w:t>
            </w:r>
          </w:p>
        </w:tc>
        <w:tc>
          <w:tcPr>
            <w:tcW w:w="1220" w:type="dxa"/>
            <w:vMerge w:val="restart"/>
            <w:tcBorders>
              <w:top w:val="single" w:color="000000" w:sz="6" w:space="0"/>
              <w:left w:val="single" w:color="000000" w:sz="6" w:space="0"/>
              <w:right w:val="single" w:color="000000" w:sz="6" w:space="0"/>
            </w:tcBorders>
            <w:vAlign w:val="center"/>
          </w:tcPr>
          <w:p w14:paraId="0A92DD1C">
            <w:pPr>
              <w:pStyle w:val="33"/>
              <w:rPr>
                <w:color w:val="auto"/>
              </w:rPr>
            </w:pPr>
            <w:r>
              <w:rPr>
                <w:rFonts w:hint="eastAsia"/>
                <w:color w:val="auto"/>
              </w:rPr>
              <w:t>固废清运</w:t>
            </w:r>
          </w:p>
        </w:tc>
        <w:tc>
          <w:tcPr>
            <w:tcW w:w="1512" w:type="dxa"/>
            <w:tcBorders>
              <w:top w:val="single" w:color="000000" w:sz="6" w:space="0"/>
              <w:left w:val="single" w:color="000000" w:sz="6" w:space="0"/>
              <w:bottom w:val="single" w:color="000000" w:sz="6" w:space="0"/>
              <w:right w:val="single" w:color="000000" w:sz="6" w:space="0"/>
            </w:tcBorders>
            <w:vAlign w:val="center"/>
          </w:tcPr>
          <w:p w14:paraId="3F3941E8">
            <w:pPr>
              <w:pStyle w:val="33"/>
              <w:rPr>
                <w:color w:val="auto"/>
              </w:rPr>
            </w:pPr>
            <w:r>
              <w:rPr>
                <w:rFonts w:hint="eastAsia"/>
                <w:color w:val="auto"/>
              </w:rPr>
              <w:t>备料车间</w:t>
            </w:r>
          </w:p>
        </w:tc>
        <w:tc>
          <w:tcPr>
            <w:tcW w:w="3044" w:type="dxa"/>
            <w:tcBorders>
              <w:top w:val="single" w:color="000000" w:sz="6" w:space="0"/>
              <w:left w:val="single" w:color="000000" w:sz="6" w:space="0"/>
              <w:bottom w:val="single" w:color="000000" w:sz="6" w:space="0"/>
              <w:right w:val="single" w:color="000000" w:sz="6" w:space="0"/>
            </w:tcBorders>
            <w:vAlign w:val="center"/>
          </w:tcPr>
          <w:p w14:paraId="12A226BE">
            <w:pPr>
              <w:pStyle w:val="33"/>
              <w:rPr>
                <w:color w:val="auto"/>
              </w:rPr>
            </w:pPr>
            <w:r>
              <w:rPr>
                <w:rFonts w:hint="eastAsia"/>
                <w:color w:val="auto"/>
                <w:spacing w:val="-5"/>
              </w:rPr>
              <w:t>木屑</w:t>
            </w:r>
          </w:p>
        </w:tc>
        <w:tc>
          <w:tcPr>
            <w:tcW w:w="1431" w:type="dxa"/>
            <w:vMerge w:val="restart"/>
            <w:tcBorders>
              <w:top w:val="single" w:color="000000" w:sz="6" w:space="0"/>
              <w:left w:val="single" w:color="000000" w:sz="6" w:space="0"/>
            </w:tcBorders>
            <w:vAlign w:val="center"/>
          </w:tcPr>
          <w:p w14:paraId="6D0E1782">
            <w:pPr>
              <w:pStyle w:val="33"/>
              <w:rPr>
                <w:color w:val="auto"/>
              </w:rPr>
            </w:pPr>
            <w:r>
              <w:rPr>
                <w:rFonts w:hint="eastAsia"/>
                <w:color w:val="auto"/>
                <w:spacing w:val="-2"/>
              </w:rPr>
              <w:t>每月监察一</w:t>
            </w:r>
            <w:r>
              <w:rPr>
                <w:rFonts w:hint="eastAsia"/>
                <w:color w:val="auto"/>
                <w:spacing w:val="-10"/>
              </w:rPr>
              <w:t>次</w:t>
            </w:r>
          </w:p>
        </w:tc>
      </w:tr>
      <w:tr w14:paraId="491E1E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1092" w:type="dxa"/>
            <w:vMerge w:val="continue"/>
            <w:tcBorders>
              <w:top w:val="nil"/>
              <w:right w:val="single" w:color="000000" w:sz="6" w:space="0"/>
            </w:tcBorders>
            <w:vAlign w:val="center"/>
          </w:tcPr>
          <w:p w14:paraId="760F2489">
            <w:pPr>
              <w:pStyle w:val="33"/>
              <w:rPr>
                <w:color w:val="auto"/>
                <w:sz w:val="2"/>
                <w:szCs w:val="2"/>
              </w:rPr>
            </w:pPr>
          </w:p>
        </w:tc>
        <w:tc>
          <w:tcPr>
            <w:tcW w:w="1220" w:type="dxa"/>
            <w:vMerge w:val="continue"/>
            <w:tcBorders>
              <w:top w:val="nil"/>
              <w:left w:val="single" w:color="000000" w:sz="6" w:space="0"/>
              <w:right w:val="single" w:color="000000" w:sz="6" w:space="0"/>
            </w:tcBorders>
            <w:vAlign w:val="center"/>
          </w:tcPr>
          <w:p w14:paraId="3DF9941B">
            <w:pPr>
              <w:pStyle w:val="33"/>
              <w:rPr>
                <w:color w:val="auto"/>
                <w:sz w:val="2"/>
                <w:szCs w:val="2"/>
              </w:rPr>
            </w:pPr>
          </w:p>
        </w:tc>
        <w:tc>
          <w:tcPr>
            <w:tcW w:w="1512" w:type="dxa"/>
            <w:tcBorders>
              <w:top w:val="single" w:color="000000" w:sz="6" w:space="0"/>
              <w:left w:val="single" w:color="000000" w:sz="6" w:space="0"/>
              <w:bottom w:val="single" w:color="000000" w:sz="6" w:space="0"/>
              <w:right w:val="single" w:color="000000" w:sz="6" w:space="0"/>
            </w:tcBorders>
            <w:vAlign w:val="center"/>
          </w:tcPr>
          <w:p w14:paraId="2AB39EDC">
            <w:pPr>
              <w:pStyle w:val="33"/>
              <w:rPr>
                <w:color w:val="auto"/>
              </w:rPr>
            </w:pPr>
            <w:r>
              <w:rPr>
                <w:rFonts w:hint="eastAsia"/>
                <w:color w:val="auto"/>
              </w:rPr>
              <w:t>化机浆车间</w:t>
            </w:r>
          </w:p>
        </w:tc>
        <w:tc>
          <w:tcPr>
            <w:tcW w:w="3044" w:type="dxa"/>
            <w:tcBorders>
              <w:top w:val="single" w:color="000000" w:sz="6" w:space="0"/>
              <w:left w:val="single" w:color="000000" w:sz="6" w:space="0"/>
              <w:bottom w:val="single" w:color="000000" w:sz="6" w:space="0"/>
              <w:right w:val="single" w:color="000000" w:sz="6" w:space="0"/>
            </w:tcBorders>
            <w:vAlign w:val="center"/>
          </w:tcPr>
          <w:p w14:paraId="47E22999">
            <w:pPr>
              <w:pStyle w:val="33"/>
              <w:rPr>
                <w:color w:val="auto"/>
              </w:rPr>
            </w:pPr>
            <w:r>
              <w:rPr>
                <w:rFonts w:hint="eastAsia"/>
                <w:color w:val="auto"/>
                <w:spacing w:val="-5"/>
              </w:rPr>
              <w:t>浆渣</w:t>
            </w:r>
          </w:p>
        </w:tc>
        <w:tc>
          <w:tcPr>
            <w:tcW w:w="1431" w:type="dxa"/>
            <w:vMerge w:val="continue"/>
            <w:tcBorders>
              <w:top w:val="nil"/>
              <w:left w:val="single" w:color="000000" w:sz="6" w:space="0"/>
            </w:tcBorders>
            <w:vAlign w:val="center"/>
          </w:tcPr>
          <w:p w14:paraId="4A62BDF4">
            <w:pPr>
              <w:pStyle w:val="33"/>
              <w:rPr>
                <w:color w:val="auto"/>
                <w:sz w:val="2"/>
                <w:szCs w:val="2"/>
              </w:rPr>
            </w:pPr>
          </w:p>
        </w:tc>
      </w:tr>
      <w:tr w14:paraId="0591C1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1092" w:type="dxa"/>
            <w:vMerge w:val="continue"/>
            <w:tcBorders>
              <w:top w:val="nil"/>
              <w:right w:val="single" w:color="000000" w:sz="6" w:space="0"/>
            </w:tcBorders>
            <w:vAlign w:val="center"/>
          </w:tcPr>
          <w:p w14:paraId="238A7417">
            <w:pPr>
              <w:pStyle w:val="33"/>
              <w:rPr>
                <w:color w:val="auto"/>
                <w:sz w:val="2"/>
                <w:szCs w:val="2"/>
              </w:rPr>
            </w:pPr>
          </w:p>
        </w:tc>
        <w:tc>
          <w:tcPr>
            <w:tcW w:w="1220" w:type="dxa"/>
            <w:vMerge w:val="continue"/>
            <w:tcBorders>
              <w:top w:val="nil"/>
              <w:left w:val="single" w:color="000000" w:sz="6" w:space="0"/>
              <w:right w:val="single" w:color="000000" w:sz="6" w:space="0"/>
            </w:tcBorders>
            <w:vAlign w:val="center"/>
          </w:tcPr>
          <w:p w14:paraId="11944929">
            <w:pPr>
              <w:pStyle w:val="33"/>
              <w:rPr>
                <w:color w:val="auto"/>
                <w:sz w:val="2"/>
                <w:szCs w:val="2"/>
              </w:rPr>
            </w:pPr>
          </w:p>
        </w:tc>
        <w:tc>
          <w:tcPr>
            <w:tcW w:w="1512" w:type="dxa"/>
            <w:tcBorders>
              <w:top w:val="single" w:color="000000" w:sz="6" w:space="0"/>
              <w:left w:val="single" w:color="000000" w:sz="6" w:space="0"/>
              <w:bottom w:val="single" w:color="000000" w:sz="6" w:space="0"/>
              <w:right w:val="single" w:color="000000" w:sz="6" w:space="0"/>
            </w:tcBorders>
            <w:vAlign w:val="center"/>
          </w:tcPr>
          <w:p w14:paraId="00C76338">
            <w:pPr>
              <w:pStyle w:val="33"/>
              <w:rPr>
                <w:color w:val="auto"/>
              </w:rPr>
            </w:pPr>
            <w:r>
              <w:rPr>
                <w:rFonts w:hint="eastAsia"/>
                <w:color w:val="auto"/>
              </w:rPr>
              <w:t>碱回收车间</w:t>
            </w:r>
          </w:p>
        </w:tc>
        <w:tc>
          <w:tcPr>
            <w:tcW w:w="3044" w:type="dxa"/>
            <w:tcBorders>
              <w:top w:val="single" w:color="000000" w:sz="6" w:space="0"/>
              <w:left w:val="single" w:color="000000" w:sz="6" w:space="0"/>
              <w:bottom w:val="single" w:color="000000" w:sz="6" w:space="0"/>
              <w:right w:val="single" w:color="000000" w:sz="6" w:space="0"/>
            </w:tcBorders>
            <w:vAlign w:val="center"/>
          </w:tcPr>
          <w:p w14:paraId="7C360D18">
            <w:pPr>
              <w:pStyle w:val="33"/>
              <w:rPr>
                <w:color w:val="auto"/>
              </w:rPr>
            </w:pPr>
            <w:r>
              <w:rPr>
                <w:rFonts w:hint="eastAsia"/>
                <w:color w:val="auto"/>
                <w:spacing w:val="-3"/>
              </w:rPr>
              <w:t>白泥、绿泥、石灰渣</w:t>
            </w:r>
          </w:p>
        </w:tc>
        <w:tc>
          <w:tcPr>
            <w:tcW w:w="1431" w:type="dxa"/>
            <w:vMerge w:val="continue"/>
            <w:tcBorders>
              <w:top w:val="nil"/>
              <w:left w:val="single" w:color="000000" w:sz="6" w:space="0"/>
            </w:tcBorders>
            <w:vAlign w:val="center"/>
          </w:tcPr>
          <w:p w14:paraId="40A142F0">
            <w:pPr>
              <w:pStyle w:val="33"/>
              <w:rPr>
                <w:color w:val="auto"/>
                <w:sz w:val="2"/>
                <w:szCs w:val="2"/>
              </w:rPr>
            </w:pPr>
          </w:p>
        </w:tc>
      </w:tr>
      <w:tr w14:paraId="12C7D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5" w:hRule="atLeast"/>
        </w:trPr>
        <w:tc>
          <w:tcPr>
            <w:tcW w:w="1092" w:type="dxa"/>
            <w:vMerge w:val="continue"/>
            <w:tcBorders>
              <w:top w:val="nil"/>
              <w:right w:val="single" w:color="000000" w:sz="6" w:space="0"/>
            </w:tcBorders>
            <w:vAlign w:val="center"/>
          </w:tcPr>
          <w:p w14:paraId="43C7ECFE">
            <w:pPr>
              <w:pStyle w:val="33"/>
              <w:rPr>
                <w:color w:val="auto"/>
                <w:sz w:val="2"/>
                <w:szCs w:val="2"/>
              </w:rPr>
            </w:pPr>
          </w:p>
        </w:tc>
        <w:tc>
          <w:tcPr>
            <w:tcW w:w="1220" w:type="dxa"/>
            <w:vMerge w:val="continue"/>
            <w:tcBorders>
              <w:top w:val="nil"/>
              <w:left w:val="single" w:color="000000" w:sz="6" w:space="0"/>
              <w:right w:val="single" w:color="000000" w:sz="6" w:space="0"/>
            </w:tcBorders>
            <w:vAlign w:val="center"/>
          </w:tcPr>
          <w:p w14:paraId="67DBA9B5">
            <w:pPr>
              <w:pStyle w:val="33"/>
              <w:rPr>
                <w:color w:val="auto"/>
                <w:sz w:val="2"/>
                <w:szCs w:val="2"/>
              </w:rPr>
            </w:pPr>
          </w:p>
        </w:tc>
        <w:tc>
          <w:tcPr>
            <w:tcW w:w="1512" w:type="dxa"/>
            <w:tcBorders>
              <w:top w:val="single" w:color="000000" w:sz="6" w:space="0"/>
              <w:left w:val="single" w:color="000000" w:sz="6" w:space="0"/>
              <w:bottom w:val="single" w:color="000000" w:sz="6" w:space="0"/>
              <w:right w:val="single" w:color="000000" w:sz="6" w:space="0"/>
            </w:tcBorders>
            <w:vAlign w:val="center"/>
          </w:tcPr>
          <w:p w14:paraId="710A71FF">
            <w:pPr>
              <w:pStyle w:val="33"/>
              <w:rPr>
                <w:color w:val="auto"/>
              </w:rPr>
            </w:pPr>
            <w:r>
              <w:rPr>
                <w:rFonts w:hint="eastAsia"/>
                <w:color w:val="auto"/>
              </w:rPr>
              <w:t>污水处理站</w:t>
            </w:r>
          </w:p>
        </w:tc>
        <w:tc>
          <w:tcPr>
            <w:tcW w:w="3044" w:type="dxa"/>
            <w:tcBorders>
              <w:top w:val="single" w:color="000000" w:sz="6" w:space="0"/>
              <w:left w:val="single" w:color="000000" w:sz="6" w:space="0"/>
              <w:bottom w:val="single" w:color="000000" w:sz="6" w:space="0"/>
              <w:right w:val="single" w:color="000000" w:sz="6" w:space="0"/>
            </w:tcBorders>
            <w:vAlign w:val="center"/>
          </w:tcPr>
          <w:p w14:paraId="38C43D65">
            <w:pPr>
              <w:pStyle w:val="33"/>
              <w:rPr>
                <w:color w:val="auto"/>
              </w:rPr>
            </w:pPr>
            <w:r>
              <w:rPr>
                <w:rFonts w:hint="eastAsia"/>
                <w:color w:val="auto"/>
                <w:spacing w:val="-5"/>
              </w:rPr>
              <w:t>污泥</w:t>
            </w:r>
          </w:p>
        </w:tc>
        <w:tc>
          <w:tcPr>
            <w:tcW w:w="1431" w:type="dxa"/>
            <w:vMerge w:val="continue"/>
            <w:tcBorders>
              <w:top w:val="nil"/>
              <w:left w:val="single" w:color="000000" w:sz="6" w:space="0"/>
            </w:tcBorders>
            <w:vAlign w:val="center"/>
          </w:tcPr>
          <w:p w14:paraId="5B742BF9">
            <w:pPr>
              <w:pStyle w:val="33"/>
              <w:rPr>
                <w:color w:val="auto"/>
                <w:sz w:val="2"/>
                <w:szCs w:val="2"/>
              </w:rPr>
            </w:pPr>
          </w:p>
        </w:tc>
      </w:tr>
      <w:tr w14:paraId="62CC19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52" w:hRule="atLeast"/>
        </w:trPr>
        <w:tc>
          <w:tcPr>
            <w:tcW w:w="1092" w:type="dxa"/>
            <w:vMerge w:val="continue"/>
            <w:tcBorders>
              <w:top w:val="nil"/>
              <w:right w:val="single" w:color="000000" w:sz="6" w:space="0"/>
            </w:tcBorders>
            <w:vAlign w:val="center"/>
          </w:tcPr>
          <w:p w14:paraId="17DAFF41">
            <w:pPr>
              <w:pStyle w:val="33"/>
              <w:rPr>
                <w:color w:val="auto"/>
                <w:sz w:val="2"/>
                <w:szCs w:val="2"/>
              </w:rPr>
            </w:pPr>
          </w:p>
        </w:tc>
        <w:tc>
          <w:tcPr>
            <w:tcW w:w="1220" w:type="dxa"/>
            <w:vMerge w:val="continue"/>
            <w:tcBorders>
              <w:top w:val="nil"/>
              <w:left w:val="single" w:color="000000" w:sz="6" w:space="0"/>
              <w:right w:val="single" w:color="000000" w:sz="6" w:space="0"/>
            </w:tcBorders>
            <w:vAlign w:val="center"/>
          </w:tcPr>
          <w:p w14:paraId="477F28B2">
            <w:pPr>
              <w:pStyle w:val="33"/>
              <w:rPr>
                <w:color w:val="auto"/>
                <w:sz w:val="2"/>
                <w:szCs w:val="2"/>
              </w:rPr>
            </w:pPr>
          </w:p>
        </w:tc>
        <w:tc>
          <w:tcPr>
            <w:tcW w:w="1512" w:type="dxa"/>
            <w:tcBorders>
              <w:top w:val="single" w:color="000000" w:sz="6" w:space="0"/>
              <w:left w:val="single" w:color="000000" w:sz="6" w:space="0"/>
              <w:right w:val="single" w:color="000000" w:sz="6" w:space="0"/>
            </w:tcBorders>
            <w:vAlign w:val="center"/>
          </w:tcPr>
          <w:p w14:paraId="74490476">
            <w:pPr>
              <w:pStyle w:val="33"/>
              <w:rPr>
                <w:color w:val="auto"/>
                <w:sz w:val="15"/>
              </w:rPr>
            </w:pPr>
          </w:p>
          <w:p w14:paraId="303D0DDE">
            <w:pPr>
              <w:pStyle w:val="33"/>
              <w:rPr>
                <w:color w:val="auto"/>
              </w:rPr>
            </w:pPr>
            <w:r>
              <w:rPr>
                <w:rFonts w:hint="eastAsia"/>
                <w:color w:val="auto"/>
              </w:rPr>
              <w:t>维修间</w:t>
            </w:r>
          </w:p>
        </w:tc>
        <w:tc>
          <w:tcPr>
            <w:tcW w:w="3044" w:type="dxa"/>
            <w:tcBorders>
              <w:top w:val="single" w:color="000000" w:sz="6" w:space="0"/>
              <w:left w:val="single" w:color="000000" w:sz="6" w:space="0"/>
              <w:right w:val="single" w:color="000000" w:sz="6" w:space="0"/>
            </w:tcBorders>
            <w:vAlign w:val="center"/>
          </w:tcPr>
          <w:p w14:paraId="3149BFD0">
            <w:pPr>
              <w:pStyle w:val="33"/>
              <w:rPr>
                <w:color w:val="auto"/>
              </w:rPr>
            </w:pPr>
            <w:r>
              <w:rPr>
                <w:rFonts w:hint="eastAsia"/>
                <w:color w:val="auto"/>
                <w:spacing w:val="-3"/>
              </w:rPr>
              <w:t>废润滑油、废蓄电池、废油</w:t>
            </w:r>
          </w:p>
          <w:p w14:paraId="755050F2">
            <w:pPr>
              <w:pStyle w:val="33"/>
              <w:rPr>
                <w:color w:val="auto"/>
              </w:rPr>
            </w:pPr>
            <w:r>
              <w:rPr>
                <w:rFonts w:hint="eastAsia"/>
                <w:color w:val="auto"/>
              </w:rPr>
              <w:t>桶、废油漆桶</w:t>
            </w:r>
          </w:p>
        </w:tc>
        <w:tc>
          <w:tcPr>
            <w:tcW w:w="1431" w:type="dxa"/>
            <w:vMerge w:val="continue"/>
            <w:tcBorders>
              <w:top w:val="nil"/>
              <w:left w:val="single" w:color="000000" w:sz="6" w:space="0"/>
            </w:tcBorders>
            <w:vAlign w:val="center"/>
          </w:tcPr>
          <w:p w14:paraId="253E5192">
            <w:pPr>
              <w:pStyle w:val="33"/>
              <w:rPr>
                <w:color w:val="auto"/>
                <w:sz w:val="2"/>
                <w:szCs w:val="2"/>
              </w:rPr>
            </w:pPr>
          </w:p>
        </w:tc>
      </w:tr>
    </w:tbl>
    <w:p w14:paraId="6604A9B8">
      <w:pPr>
        <w:pStyle w:val="4"/>
        <w:rPr>
          <w:color w:val="auto"/>
        </w:rPr>
      </w:pPr>
      <w:bookmarkStart w:id="682" w:name="_Toc225216894"/>
      <w:bookmarkStart w:id="683" w:name="_Toc199169203"/>
      <w:bookmarkStart w:id="684" w:name="_Toc198390070"/>
      <w:bookmarkStart w:id="685" w:name="_Toc198390794"/>
      <w:bookmarkStart w:id="686" w:name="_Toc221355757"/>
      <w:bookmarkStart w:id="687" w:name="_Toc198391447"/>
      <w:bookmarkStart w:id="688" w:name="_Toc199190695"/>
      <w:r>
        <w:rPr>
          <w:rFonts w:hint="eastAsia"/>
          <w:color w:val="auto"/>
        </w:rPr>
        <w:t>大气污染源监测计划</w:t>
      </w:r>
      <w:bookmarkEnd w:id="682"/>
    </w:p>
    <w:p w14:paraId="5BEFD461">
      <w:pPr>
        <w:ind w:firstLine="480"/>
        <w:rPr>
          <w:color w:val="auto"/>
        </w:rPr>
      </w:pPr>
      <w:r>
        <w:rPr>
          <w:rFonts w:hint="eastAsia"/>
          <w:color w:val="auto"/>
        </w:rPr>
        <w:t>本项目运营期新增污染源监测计划见下表。</w:t>
      </w:r>
    </w:p>
    <w:p w14:paraId="1AB37398">
      <w:pPr>
        <w:pStyle w:val="7"/>
        <w:rPr>
          <w:color w:val="auto"/>
        </w:rPr>
      </w:pPr>
      <w:r>
        <w:rPr>
          <w:rFonts w:hint="eastAsia"/>
          <w:color w:val="auto"/>
        </w:rPr>
        <w:t>本项目新增污染源监测方案</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560"/>
        <w:gridCol w:w="1984"/>
        <w:gridCol w:w="1418"/>
        <w:gridCol w:w="2969"/>
      </w:tblGrid>
      <w:tr w14:paraId="257AF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Align w:val="center"/>
          </w:tcPr>
          <w:p w14:paraId="03D499F5">
            <w:pPr>
              <w:pStyle w:val="33"/>
              <w:rPr>
                <w:color w:val="auto"/>
              </w:rPr>
            </w:pPr>
            <w:r>
              <w:rPr>
                <w:rFonts w:hint="eastAsia"/>
                <w:color w:val="auto"/>
              </w:rPr>
              <w:t>项目</w:t>
            </w:r>
          </w:p>
        </w:tc>
        <w:tc>
          <w:tcPr>
            <w:tcW w:w="1560" w:type="dxa"/>
            <w:vAlign w:val="center"/>
          </w:tcPr>
          <w:p w14:paraId="0E2302EE">
            <w:pPr>
              <w:pStyle w:val="33"/>
              <w:rPr>
                <w:color w:val="auto"/>
              </w:rPr>
            </w:pPr>
            <w:r>
              <w:rPr>
                <w:rFonts w:hint="eastAsia"/>
                <w:color w:val="auto"/>
              </w:rPr>
              <w:t>污染源及监测点位</w:t>
            </w:r>
          </w:p>
        </w:tc>
        <w:tc>
          <w:tcPr>
            <w:tcW w:w="1984" w:type="dxa"/>
            <w:vAlign w:val="center"/>
          </w:tcPr>
          <w:p w14:paraId="70341D67">
            <w:pPr>
              <w:pStyle w:val="33"/>
              <w:rPr>
                <w:color w:val="auto"/>
              </w:rPr>
            </w:pPr>
            <w:r>
              <w:rPr>
                <w:color w:val="auto"/>
              </w:rPr>
              <w:t>监测指标</w:t>
            </w:r>
          </w:p>
        </w:tc>
        <w:tc>
          <w:tcPr>
            <w:tcW w:w="1418" w:type="dxa"/>
            <w:vAlign w:val="center"/>
          </w:tcPr>
          <w:p w14:paraId="1A58FA6C">
            <w:pPr>
              <w:pStyle w:val="33"/>
              <w:rPr>
                <w:color w:val="auto"/>
              </w:rPr>
            </w:pPr>
            <w:r>
              <w:rPr>
                <w:color w:val="auto"/>
              </w:rPr>
              <w:t>监测频次</w:t>
            </w:r>
          </w:p>
        </w:tc>
        <w:tc>
          <w:tcPr>
            <w:tcW w:w="2969" w:type="dxa"/>
            <w:vAlign w:val="center"/>
          </w:tcPr>
          <w:p w14:paraId="628BBA67">
            <w:pPr>
              <w:pStyle w:val="33"/>
              <w:rPr>
                <w:color w:val="auto"/>
              </w:rPr>
            </w:pPr>
            <w:r>
              <w:rPr>
                <w:color w:val="auto"/>
              </w:rPr>
              <w:t>执行标准</w:t>
            </w:r>
          </w:p>
        </w:tc>
      </w:tr>
      <w:tr w14:paraId="55D18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restart"/>
            <w:vAlign w:val="center"/>
          </w:tcPr>
          <w:p w14:paraId="78A13D76">
            <w:pPr>
              <w:pStyle w:val="33"/>
              <w:rPr>
                <w:color w:val="auto"/>
              </w:rPr>
            </w:pPr>
            <w:r>
              <w:rPr>
                <w:rFonts w:hint="eastAsia"/>
                <w:color w:val="auto"/>
              </w:rPr>
              <w:t>有组织监测</w:t>
            </w:r>
          </w:p>
        </w:tc>
        <w:tc>
          <w:tcPr>
            <w:tcW w:w="1560" w:type="dxa"/>
            <w:vAlign w:val="center"/>
          </w:tcPr>
          <w:p w14:paraId="5CBFC290">
            <w:pPr>
              <w:pStyle w:val="33"/>
              <w:rPr>
                <w:color w:val="auto"/>
              </w:rPr>
            </w:pPr>
            <w:r>
              <w:rPr>
                <w:rFonts w:hint="eastAsia"/>
                <w:color w:val="auto"/>
              </w:rPr>
              <w:t>淋膜车间排气筒DA046</w:t>
            </w:r>
          </w:p>
        </w:tc>
        <w:tc>
          <w:tcPr>
            <w:tcW w:w="1984" w:type="dxa"/>
            <w:vAlign w:val="center"/>
          </w:tcPr>
          <w:p w14:paraId="43980154">
            <w:pPr>
              <w:pStyle w:val="33"/>
              <w:rPr>
                <w:color w:val="auto"/>
              </w:rPr>
            </w:pPr>
            <w:r>
              <w:rPr>
                <w:rFonts w:hint="eastAsia"/>
                <w:color w:val="auto"/>
              </w:rPr>
              <w:t>非甲烷总烃</w:t>
            </w:r>
          </w:p>
        </w:tc>
        <w:tc>
          <w:tcPr>
            <w:tcW w:w="1418" w:type="dxa"/>
            <w:vAlign w:val="center"/>
          </w:tcPr>
          <w:p w14:paraId="3977C663">
            <w:pPr>
              <w:pStyle w:val="33"/>
              <w:rPr>
                <w:color w:val="auto"/>
              </w:rPr>
            </w:pPr>
            <w:r>
              <w:rPr>
                <w:rFonts w:hint="eastAsia"/>
                <w:color w:val="auto"/>
              </w:rPr>
              <w:t>1次/半年</w:t>
            </w:r>
          </w:p>
        </w:tc>
        <w:tc>
          <w:tcPr>
            <w:tcW w:w="2969" w:type="dxa"/>
            <w:vAlign w:val="center"/>
          </w:tcPr>
          <w:p w14:paraId="430299C2">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tc>
      </w:tr>
      <w:tr w14:paraId="378B3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9" w:type="dxa"/>
            <w:vMerge w:val="continue"/>
            <w:vAlign w:val="center"/>
          </w:tcPr>
          <w:p w14:paraId="613B3385">
            <w:pPr>
              <w:pStyle w:val="33"/>
              <w:rPr>
                <w:color w:val="auto"/>
              </w:rPr>
            </w:pPr>
          </w:p>
        </w:tc>
        <w:tc>
          <w:tcPr>
            <w:tcW w:w="1560" w:type="dxa"/>
            <w:vAlign w:val="center"/>
          </w:tcPr>
          <w:p w14:paraId="373455AD">
            <w:pPr>
              <w:pStyle w:val="33"/>
              <w:rPr>
                <w:color w:val="auto"/>
              </w:rPr>
            </w:pPr>
            <w:r>
              <w:rPr>
                <w:rFonts w:hint="eastAsia"/>
                <w:color w:val="auto"/>
              </w:rPr>
              <w:t>污水处理站排气筒DA047</w:t>
            </w:r>
          </w:p>
        </w:tc>
        <w:tc>
          <w:tcPr>
            <w:tcW w:w="1984" w:type="dxa"/>
            <w:vAlign w:val="center"/>
          </w:tcPr>
          <w:p w14:paraId="6DC797F3">
            <w:pPr>
              <w:pStyle w:val="33"/>
              <w:rPr>
                <w:color w:val="auto"/>
              </w:rPr>
            </w:pPr>
            <w:r>
              <w:rPr>
                <w:color w:val="auto"/>
              </w:rPr>
              <w:t>H</w:t>
            </w:r>
            <w:r>
              <w:rPr>
                <w:color w:val="auto"/>
                <w:vertAlign w:val="subscript"/>
              </w:rPr>
              <w:t>2</w:t>
            </w:r>
            <w:r>
              <w:rPr>
                <w:color w:val="auto"/>
              </w:rPr>
              <w:t>S、NH</w:t>
            </w:r>
            <w:r>
              <w:rPr>
                <w:color w:val="auto"/>
                <w:vertAlign w:val="subscript"/>
              </w:rPr>
              <w:t>3</w:t>
            </w:r>
            <w:r>
              <w:rPr>
                <w:rFonts w:hint="eastAsia"/>
                <w:color w:val="auto"/>
              </w:rPr>
              <w:t>、臭气浓度</w:t>
            </w:r>
          </w:p>
        </w:tc>
        <w:tc>
          <w:tcPr>
            <w:tcW w:w="1418" w:type="dxa"/>
            <w:vAlign w:val="center"/>
          </w:tcPr>
          <w:p w14:paraId="1D1D37C5">
            <w:pPr>
              <w:pStyle w:val="33"/>
              <w:rPr>
                <w:color w:val="auto"/>
              </w:rPr>
            </w:pPr>
            <w:r>
              <w:rPr>
                <w:rFonts w:hint="eastAsia"/>
                <w:color w:val="auto"/>
              </w:rPr>
              <w:t>1次/半年</w:t>
            </w:r>
          </w:p>
        </w:tc>
        <w:tc>
          <w:tcPr>
            <w:tcW w:w="2969" w:type="dxa"/>
            <w:vAlign w:val="center"/>
          </w:tcPr>
          <w:p w14:paraId="04F14907">
            <w:pPr>
              <w:pStyle w:val="33"/>
              <w:rPr>
                <w:color w:val="auto"/>
              </w:rPr>
            </w:pPr>
            <w:r>
              <w:rPr>
                <w:rFonts w:hint="eastAsia"/>
                <w:color w:val="auto"/>
              </w:rPr>
              <w:t>《恶臭污染物排放标准》（GB14554-93）</w:t>
            </w:r>
          </w:p>
        </w:tc>
      </w:tr>
    </w:tbl>
    <w:p w14:paraId="58C36779">
      <w:pPr>
        <w:pStyle w:val="3"/>
        <w:rPr>
          <w:color w:val="auto"/>
        </w:rPr>
      </w:pPr>
      <w:bookmarkStart w:id="689" w:name="_Toc225216895"/>
      <w:r>
        <w:rPr>
          <w:rFonts w:hint="eastAsia"/>
          <w:color w:val="auto"/>
        </w:rPr>
        <w:t>竣工环境保护验收</w:t>
      </w:r>
      <w:bookmarkEnd w:id="683"/>
      <w:bookmarkEnd w:id="684"/>
      <w:bookmarkEnd w:id="685"/>
      <w:bookmarkEnd w:id="686"/>
      <w:bookmarkEnd w:id="687"/>
      <w:bookmarkEnd w:id="688"/>
      <w:bookmarkEnd w:id="689"/>
    </w:p>
    <w:p w14:paraId="5B6578C7">
      <w:pPr>
        <w:ind w:firstLine="480"/>
        <w:rPr>
          <w:color w:val="auto"/>
        </w:rPr>
      </w:pPr>
      <w:r>
        <w:rPr>
          <w:rFonts w:hint="eastAsia"/>
          <w:color w:val="auto"/>
        </w:rPr>
        <w:t>根据中华人民共和国国务院令（第253号）《建设项目环境保护管理条例》以及《关于发布&lt;建设项目竣工环境保护验收暂行办法&gt;的公告》（国环规环评〔2017〕4号）、《建设项目竣工环境保护设施验收技术规范 造纸工业》（HJ408-2021）、《建设项目竣工环境保护验收技术指南 污染影响类》（生态环境部公告2018年第9号），按照国家关于建设项目环境保护设施竣工验收管理的相关要求，项目建成试运行期间，应开展建设项目竣工环境保护验收工作，该项工作主要包括以下内容：</w:t>
      </w:r>
    </w:p>
    <w:p w14:paraId="5ED752BE">
      <w:pPr>
        <w:ind w:firstLine="0" w:firstLineChars="0"/>
        <w:rPr>
          <w:color w:val="auto"/>
        </w:rPr>
      </w:pPr>
      <w:r>
        <w:rPr>
          <w:rFonts w:hint="eastAsia"/>
          <w:color w:val="auto"/>
        </w:rPr>
        <w:t>（1）项目概况</w:t>
      </w:r>
    </w:p>
    <w:p w14:paraId="058E24CF">
      <w:pPr>
        <w:ind w:firstLine="480"/>
        <w:rPr>
          <w:color w:val="auto"/>
        </w:rPr>
      </w:pPr>
      <w:r>
        <w:rPr>
          <w:rFonts w:hint="eastAsia"/>
          <w:color w:val="auto"/>
        </w:rPr>
        <w:t>简述项目名称、性质、规模、地点，环境影响评价、设计、建设、审批等过程及审批文号等信息，项目开工、竣工、调试时间、申领排污许可证或排污登记情况、项目实际总投资及环境保护投资。明确验收范围，如分期验收应说明本次验收范围；叙述验收监测工作组织方式与实施计划。</w:t>
      </w:r>
    </w:p>
    <w:p w14:paraId="3926CE40">
      <w:pPr>
        <w:ind w:firstLine="480"/>
        <w:rPr>
          <w:color w:val="auto"/>
        </w:rPr>
      </w:pPr>
      <w:r>
        <w:rPr>
          <w:rFonts w:hint="eastAsia"/>
          <w:color w:val="auto"/>
        </w:rPr>
        <w:t>（2）验收依据</w:t>
      </w:r>
    </w:p>
    <w:p w14:paraId="20C337CE">
      <w:pPr>
        <w:ind w:firstLine="480"/>
        <w:rPr>
          <w:color w:val="auto"/>
        </w:rPr>
      </w:pPr>
      <w:r>
        <w:rPr>
          <w:rFonts w:hint="eastAsia"/>
          <w:color w:val="auto"/>
        </w:rPr>
        <w:t>①建设项目环境保护相关法律、法规和规章制度；②建建设项目竣工环境保护（设施）验收技术规范；③建设项目环境影响报告书及其审批部门审批决定；④生态环境主管部门其他相关文件。</w:t>
      </w:r>
    </w:p>
    <w:p w14:paraId="7C40A968">
      <w:pPr>
        <w:ind w:firstLine="480"/>
        <w:rPr>
          <w:color w:val="auto"/>
        </w:rPr>
      </w:pPr>
      <w:r>
        <w:rPr>
          <w:rFonts w:hint="eastAsia"/>
          <w:color w:val="auto"/>
        </w:rPr>
        <w:t>（3）项目建设情况</w:t>
      </w:r>
    </w:p>
    <w:p w14:paraId="57AFF73C">
      <w:pPr>
        <w:ind w:firstLine="480"/>
        <w:rPr>
          <w:color w:val="auto"/>
        </w:rPr>
      </w:pPr>
      <w:r>
        <w:rPr>
          <w:rFonts w:hint="eastAsia"/>
          <w:color w:val="auto"/>
        </w:rPr>
        <w:t>①地理位置及平面布置；②建设内容；③主要原辅材料及燃料；④水源及水平衡、物料平衡；⑤生产工艺；⑥项目变动情况</w:t>
      </w:r>
    </w:p>
    <w:p w14:paraId="14ACADC3">
      <w:pPr>
        <w:ind w:firstLine="480"/>
        <w:rPr>
          <w:color w:val="auto"/>
        </w:rPr>
      </w:pPr>
      <w:r>
        <w:rPr>
          <w:rFonts w:hint="eastAsia"/>
          <w:color w:val="auto"/>
        </w:rPr>
        <w:t>（4）环境保护设施</w:t>
      </w:r>
    </w:p>
    <w:p w14:paraId="3F92DA12">
      <w:pPr>
        <w:ind w:firstLine="480"/>
        <w:rPr>
          <w:color w:val="auto"/>
        </w:rPr>
      </w:pPr>
      <w:r>
        <w:rPr>
          <w:rFonts w:hint="eastAsia"/>
          <w:color w:val="auto"/>
        </w:rPr>
        <w:t>①污染物治理/处置设施：废水、废气、噪声、固体废物；②其他环境保护设施：环境风险防范设施、规范化排污口、监测设施及在线监测装置、其他设施；③环境保护投资及“三同时”落实情况</w:t>
      </w:r>
    </w:p>
    <w:p w14:paraId="7FC4C245">
      <w:pPr>
        <w:ind w:firstLine="480"/>
        <w:rPr>
          <w:color w:val="auto"/>
        </w:rPr>
      </w:pPr>
      <w:r>
        <w:rPr>
          <w:rFonts w:hint="eastAsia"/>
          <w:color w:val="auto"/>
        </w:rPr>
        <w:t>（5）验收执行标准</w:t>
      </w:r>
    </w:p>
    <w:p w14:paraId="3A5DDA30">
      <w:pPr>
        <w:ind w:firstLine="480"/>
        <w:rPr>
          <w:color w:val="auto"/>
        </w:rPr>
      </w:pPr>
      <w:r>
        <w:rPr>
          <w:rFonts w:hint="eastAsia"/>
          <w:color w:val="auto"/>
        </w:rPr>
        <w:t>按监测内容类别及监测因子，列表说明验收执行标准及限值。</w:t>
      </w:r>
    </w:p>
    <w:p w14:paraId="3D882680">
      <w:pPr>
        <w:ind w:firstLine="480" w:firstLineChars="0"/>
        <w:rPr>
          <w:color w:val="auto"/>
        </w:rPr>
      </w:pPr>
      <w:r>
        <w:rPr>
          <w:rFonts w:hint="eastAsia"/>
          <w:color w:val="auto"/>
        </w:rPr>
        <w:t>（6）验收监测内容</w:t>
      </w:r>
    </w:p>
    <w:p w14:paraId="2B39C5C8">
      <w:pPr>
        <w:ind w:firstLine="480" w:firstLineChars="0"/>
        <w:rPr>
          <w:color w:val="auto"/>
        </w:rPr>
      </w:pPr>
      <w:r>
        <w:rPr>
          <w:rFonts w:hint="eastAsia"/>
          <w:color w:val="auto"/>
        </w:rPr>
        <w:t>按监测内容类别，列表说明验收监测点位、因子、频次等</w:t>
      </w:r>
    </w:p>
    <w:p w14:paraId="626555DB">
      <w:pPr>
        <w:ind w:firstLine="480"/>
        <w:rPr>
          <w:color w:val="auto"/>
        </w:rPr>
      </w:pPr>
      <w:r>
        <w:rPr>
          <w:rFonts w:hint="eastAsia"/>
          <w:color w:val="auto"/>
        </w:rPr>
        <w:t>（7）质量保证与质量控制</w:t>
      </w:r>
    </w:p>
    <w:p w14:paraId="649BA858">
      <w:pPr>
        <w:ind w:firstLine="480"/>
        <w:rPr>
          <w:color w:val="auto"/>
        </w:rPr>
      </w:pPr>
      <w:r>
        <w:rPr>
          <w:rFonts w:hint="eastAsia"/>
          <w:color w:val="auto"/>
        </w:rPr>
        <w:t>验收监测应在确保主体工程工况稳定、环境保护设施运行正常的情况下进行，保证监测数据的代表性。</w:t>
      </w:r>
    </w:p>
    <w:p w14:paraId="02CF9B27">
      <w:pPr>
        <w:ind w:firstLine="480"/>
        <w:rPr>
          <w:color w:val="auto"/>
        </w:rPr>
        <w:sectPr>
          <w:pgSz w:w="11906" w:h="16838"/>
          <w:pgMar w:top="1418" w:right="1418" w:bottom="1418" w:left="1418" w:header="851" w:footer="992" w:gutter="0"/>
          <w:cols w:space="425" w:num="1"/>
          <w:docGrid w:type="lines" w:linePitch="312" w:charSpace="0"/>
        </w:sectPr>
      </w:pPr>
      <w:r>
        <w:rPr>
          <w:rFonts w:hint="eastAsia"/>
          <w:color w:val="auto"/>
        </w:rPr>
        <w:t>本项目“三同时”验收见下表。</w:t>
      </w:r>
    </w:p>
    <w:p w14:paraId="15D1283D">
      <w:pPr>
        <w:pStyle w:val="7"/>
        <w:rPr>
          <w:color w:val="auto"/>
        </w:rPr>
      </w:pPr>
      <w:r>
        <w:rPr>
          <w:rFonts w:hint="eastAsia"/>
          <w:color w:val="auto"/>
        </w:rPr>
        <w:t>建设项目环保“三同时”验收一览表</w:t>
      </w:r>
    </w:p>
    <w:tbl>
      <w:tblPr>
        <w:tblStyle w:val="26"/>
        <w:tblW w:w="141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4"/>
        <w:gridCol w:w="1418"/>
        <w:gridCol w:w="1559"/>
        <w:gridCol w:w="2126"/>
        <w:gridCol w:w="2693"/>
        <w:gridCol w:w="2552"/>
        <w:gridCol w:w="3122"/>
      </w:tblGrid>
      <w:tr w14:paraId="2A13D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blHeader/>
          <w:jc w:val="center"/>
        </w:trPr>
        <w:tc>
          <w:tcPr>
            <w:tcW w:w="704" w:type="dxa"/>
            <w:vAlign w:val="center"/>
          </w:tcPr>
          <w:p w14:paraId="14016CC0">
            <w:pPr>
              <w:pStyle w:val="33"/>
              <w:rPr>
                <w:color w:val="auto"/>
              </w:rPr>
            </w:pPr>
            <w:r>
              <w:rPr>
                <w:color w:val="auto"/>
              </w:rPr>
              <w:t>项目</w:t>
            </w:r>
          </w:p>
        </w:tc>
        <w:tc>
          <w:tcPr>
            <w:tcW w:w="1418" w:type="dxa"/>
            <w:vAlign w:val="center"/>
          </w:tcPr>
          <w:p w14:paraId="15B5CB42">
            <w:pPr>
              <w:pStyle w:val="33"/>
              <w:rPr>
                <w:color w:val="auto"/>
              </w:rPr>
            </w:pPr>
            <w:r>
              <w:rPr>
                <w:color w:val="auto"/>
              </w:rPr>
              <w:t>污染源</w:t>
            </w:r>
          </w:p>
        </w:tc>
        <w:tc>
          <w:tcPr>
            <w:tcW w:w="1559" w:type="dxa"/>
            <w:vAlign w:val="center"/>
          </w:tcPr>
          <w:p w14:paraId="7A435DB8">
            <w:pPr>
              <w:pStyle w:val="33"/>
              <w:rPr>
                <w:color w:val="auto"/>
              </w:rPr>
            </w:pPr>
            <w:r>
              <w:rPr>
                <w:color w:val="auto"/>
              </w:rPr>
              <w:t>验收监测点位</w:t>
            </w:r>
          </w:p>
        </w:tc>
        <w:tc>
          <w:tcPr>
            <w:tcW w:w="2126" w:type="dxa"/>
            <w:vAlign w:val="center"/>
          </w:tcPr>
          <w:p w14:paraId="056F4546">
            <w:pPr>
              <w:pStyle w:val="33"/>
              <w:rPr>
                <w:color w:val="auto"/>
              </w:rPr>
            </w:pPr>
            <w:r>
              <w:rPr>
                <w:color w:val="auto"/>
              </w:rPr>
              <w:t>验收监测项目</w:t>
            </w:r>
          </w:p>
        </w:tc>
        <w:tc>
          <w:tcPr>
            <w:tcW w:w="2693" w:type="dxa"/>
            <w:vAlign w:val="center"/>
          </w:tcPr>
          <w:p w14:paraId="18C1316D">
            <w:pPr>
              <w:pStyle w:val="33"/>
              <w:rPr>
                <w:color w:val="auto"/>
              </w:rPr>
            </w:pPr>
            <w:r>
              <w:rPr>
                <w:color w:val="auto"/>
              </w:rPr>
              <w:t>治理措施</w:t>
            </w:r>
          </w:p>
        </w:tc>
        <w:tc>
          <w:tcPr>
            <w:tcW w:w="2552" w:type="dxa"/>
            <w:vAlign w:val="center"/>
          </w:tcPr>
          <w:p w14:paraId="4691CF68">
            <w:pPr>
              <w:pStyle w:val="33"/>
              <w:rPr>
                <w:color w:val="auto"/>
              </w:rPr>
            </w:pPr>
            <w:r>
              <w:rPr>
                <w:color w:val="auto"/>
              </w:rPr>
              <w:t>验收内容</w:t>
            </w:r>
          </w:p>
        </w:tc>
        <w:tc>
          <w:tcPr>
            <w:tcW w:w="3122" w:type="dxa"/>
            <w:vAlign w:val="center"/>
          </w:tcPr>
          <w:p w14:paraId="62CE9415">
            <w:pPr>
              <w:pStyle w:val="33"/>
              <w:rPr>
                <w:color w:val="auto"/>
              </w:rPr>
            </w:pPr>
            <w:r>
              <w:rPr>
                <w:color w:val="auto"/>
              </w:rPr>
              <w:t>验收标准</w:t>
            </w:r>
          </w:p>
        </w:tc>
      </w:tr>
      <w:tr w14:paraId="4C163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restart"/>
            <w:vAlign w:val="center"/>
          </w:tcPr>
          <w:p w14:paraId="56665FED">
            <w:pPr>
              <w:pStyle w:val="33"/>
              <w:rPr>
                <w:color w:val="auto"/>
              </w:rPr>
            </w:pPr>
            <w:r>
              <w:rPr>
                <w:color w:val="auto"/>
              </w:rPr>
              <w:t>废气</w:t>
            </w:r>
          </w:p>
        </w:tc>
        <w:tc>
          <w:tcPr>
            <w:tcW w:w="1418" w:type="dxa"/>
            <w:vAlign w:val="center"/>
          </w:tcPr>
          <w:p w14:paraId="307AD95F">
            <w:pPr>
              <w:pStyle w:val="33"/>
              <w:rPr>
                <w:color w:val="auto"/>
              </w:rPr>
            </w:pPr>
            <w:r>
              <w:rPr>
                <w:rFonts w:hint="eastAsia"/>
                <w:color w:val="auto"/>
              </w:rPr>
              <w:t>1#造纸车间烘干废气</w:t>
            </w:r>
          </w:p>
        </w:tc>
        <w:tc>
          <w:tcPr>
            <w:tcW w:w="1559" w:type="dxa"/>
            <w:vAlign w:val="center"/>
          </w:tcPr>
          <w:p w14:paraId="73F1D5EB">
            <w:pPr>
              <w:pStyle w:val="33"/>
              <w:rPr>
                <w:color w:val="auto"/>
              </w:rPr>
            </w:pPr>
            <w:r>
              <w:rPr>
                <w:rFonts w:hint="eastAsia"/>
                <w:color w:val="auto"/>
              </w:rPr>
              <w:t>排气筒排放口</w:t>
            </w:r>
          </w:p>
        </w:tc>
        <w:tc>
          <w:tcPr>
            <w:tcW w:w="2126" w:type="dxa"/>
            <w:vAlign w:val="center"/>
          </w:tcPr>
          <w:p w14:paraId="1FA8925B">
            <w:pPr>
              <w:pStyle w:val="33"/>
              <w:rPr>
                <w:color w:val="auto"/>
              </w:rPr>
            </w:pPr>
            <w:r>
              <w:rPr>
                <w:rFonts w:hint="eastAsia"/>
                <w:color w:val="auto"/>
              </w:rPr>
              <w:t>二氧化硫、氮氧化物、烟尘</w:t>
            </w:r>
          </w:p>
        </w:tc>
        <w:tc>
          <w:tcPr>
            <w:tcW w:w="2693" w:type="dxa"/>
            <w:vAlign w:val="center"/>
          </w:tcPr>
          <w:p w14:paraId="21037BCF">
            <w:pPr>
              <w:pStyle w:val="33"/>
              <w:rPr>
                <w:color w:val="auto"/>
              </w:rPr>
            </w:pPr>
            <w:r>
              <w:rPr>
                <w:rFonts w:hint="eastAsia"/>
                <w:color w:val="auto"/>
              </w:rPr>
              <w:t>经车间顶部5根30m高排气筒排</w:t>
            </w:r>
          </w:p>
        </w:tc>
        <w:tc>
          <w:tcPr>
            <w:tcW w:w="2552" w:type="dxa"/>
            <w:vMerge w:val="restart"/>
            <w:vAlign w:val="center"/>
          </w:tcPr>
          <w:p w14:paraId="1DB18A5F">
            <w:pPr>
              <w:pStyle w:val="33"/>
              <w:rPr>
                <w:color w:val="auto"/>
              </w:rPr>
            </w:pPr>
            <w:r>
              <w:rPr>
                <w:rFonts w:cs="Times New Roman"/>
                <w:color w:val="auto"/>
              </w:rPr>
              <w:t>治理措施落实情况、措施对各污染物的去除效率情况、污染物达标排放情况</w:t>
            </w:r>
          </w:p>
        </w:tc>
        <w:tc>
          <w:tcPr>
            <w:tcW w:w="3122" w:type="dxa"/>
            <w:vAlign w:val="center"/>
          </w:tcPr>
          <w:p w14:paraId="3F160DA4">
            <w:pPr>
              <w:pStyle w:val="33"/>
              <w:rPr>
                <w:color w:val="auto"/>
              </w:rPr>
            </w:pPr>
            <w:r>
              <w:rPr>
                <w:rFonts w:hint="eastAsia"/>
                <w:color w:val="auto"/>
              </w:rPr>
              <w:t>《大气污染物综合排放标准》（GB16297-1996）表2排放限值</w:t>
            </w:r>
          </w:p>
        </w:tc>
      </w:tr>
      <w:tr w14:paraId="09424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303F5318">
            <w:pPr>
              <w:pStyle w:val="33"/>
              <w:rPr>
                <w:color w:val="auto"/>
              </w:rPr>
            </w:pPr>
          </w:p>
        </w:tc>
        <w:tc>
          <w:tcPr>
            <w:tcW w:w="1418" w:type="dxa"/>
            <w:vAlign w:val="center"/>
          </w:tcPr>
          <w:p w14:paraId="08639058">
            <w:pPr>
              <w:pStyle w:val="33"/>
              <w:rPr>
                <w:color w:val="auto"/>
              </w:rPr>
            </w:pPr>
            <w:r>
              <w:rPr>
                <w:rFonts w:hint="eastAsia"/>
                <w:color w:val="auto"/>
              </w:rPr>
              <w:t>2#造纸车间烘干废气</w:t>
            </w:r>
          </w:p>
        </w:tc>
        <w:tc>
          <w:tcPr>
            <w:tcW w:w="1559" w:type="dxa"/>
            <w:vAlign w:val="center"/>
          </w:tcPr>
          <w:p w14:paraId="6EA54487">
            <w:pPr>
              <w:pStyle w:val="33"/>
              <w:rPr>
                <w:color w:val="auto"/>
              </w:rPr>
            </w:pPr>
            <w:r>
              <w:rPr>
                <w:rFonts w:hint="eastAsia"/>
                <w:color w:val="auto"/>
              </w:rPr>
              <w:t>排气筒排放口</w:t>
            </w:r>
          </w:p>
        </w:tc>
        <w:tc>
          <w:tcPr>
            <w:tcW w:w="2126" w:type="dxa"/>
            <w:vAlign w:val="center"/>
          </w:tcPr>
          <w:p w14:paraId="5542D099">
            <w:pPr>
              <w:pStyle w:val="33"/>
              <w:rPr>
                <w:color w:val="auto"/>
              </w:rPr>
            </w:pPr>
            <w:r>
              <w:rPr>
                <w:rFonts w:hint="eastAsia"/>
                <w:color w:val="auto"/>
              </w:rPr>
              <w:t>二氧化硫、氮氧化物、烟尘</w:t>
            </w:r>
          </w:p>
        </w:tc>
        <w:tc>
          <w:tcPr>
            <w:tcW w:w="2693" w:type="dxa"/>
            <w:vAlign w:val="center"/>
          </w:tcPr>
          <w:p w14:paraId="7F496A99">
            <w:pPr>
              <w:pStyle w:val="33"/>
              <w:rPr>
                <w:color w:val="auto"/>
              </w:rPr>
            </w:pPr>
            <w:r>
              <w:rPr>
                <w:rFonts w:hint="eastAsia"/>
                <w:color w:val="auto"/>
              </w:rPr>
              <w:t>经车间顶部4根24m高、1根26m高排气筒排放</w:t>
            </w:r>
          </w:p>
        </w:tc>
        <w:tc>
          <w:tcPr>
            <w:tcW w:w="2552" w:type="dxa"/>
            <w:vMerge w:val="continue"/>
            <w:vAlign w:val="center"/>
          </w:tcPr>
          <w:p w14:paraId="3E8B7ACD">
            <w:pPr>
              <w:pStyle w:val="33"/>
              <w:rPr>
                <w:rFonts w:cs="Times New Roman"/>
                <w:color w:val="auto"/>
              </w:rPr>
            </w:pPr>
          </w:p>
        </w:tc>
        <w:tc>
          <w:tcPr>
            <w:tcW w:w="3122" w:type="dxa"/>
            <w:vAlign w:val="center"/>
          </w:tcPr>
          <w:p w14:paraId="07F2D0D6">
            <w:pPr>
              <w:pStyle w:val="33"/>
              <w:rPr>
                <w:color w:val="auto"/>
              </w:rPr>
            </w:pPr>
            <w:r>
              <w:rPr>
                <w:rFonts w:hint="eastAsia"/>
                <w:color w:val="auto"/>
              </w:rPr>
              <w:t>《大气污染物综合排放标准》（GB16297-1996）表2排放限值</w:t>
            </w:r>
          </w:p>
        </w:tc>
      </w:tr>
      <w:tr w14:paraId="0C6E7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092DDB08">
            <w:pPr>
              <w:pStyle w:val="33"/>
              <w:rPr>
                <w:color w:val="auto"/>
              </w:rPr>
            </w:pPr>
          </w:p>
        </w:tc>
        <w:tc>
          <w:tcPr>
            <w:tcW w:w="1418" w:type="dxa"/>
            <w:vAlign w:val="center"/>
          </w:tcPr>
          <w:p w14:paraId="3F3883FE">
            <w:pPr>
              <w:pStyle w:val="33"/>
              <w:rPr>
                <w:color w:val="auto"/>
              </w:rPr>
            </w:pPr>
            <w:r>
              <w:rPr>
                <w:rFonts w:hint="eastAsia"/>
                <w:color w:val="auto"/>
              </w:rPr>
              <w:t>1#造纸车间导热废气</w:t>
            </w:r>
          </w:p>
        </w:tc>
        <w:tc>
          <w:tcPr>
            <w:tcW w:w="1559" w:type="dxa"/>
            <w:vAlign w:val="center"/>
          </w:tcPr>
          <w:p w14:paraId="762C890D">
            <w:pPr>
              <w:pStyle w:val="33"/>
              <w:rPr>
                <w:color w:val="auto"/>
              </w:rPr>
            </w:pPr>
            <w:r>
              <w:rPr>
                <w:rFonts w:hint="eastAsia"/>
                <w:color w:val="auto"/>
              </w:rPr>
              <w:t>排气筒排放口</w:t>
            </w:r>
          </w:p>
        </w:tc>
        <w:tc>
          <w:tcPr>
            <w:tcW w:w="2126" w:type="dxa"/>
            <w:vAlign w:val="center"/>
          </w:tcPr>
          <w:p w14:paraId="2592B980">
            <w:pPr>
              <w:pStyle w:val="33"/>
              <w:rPr>
                <w:color w:val="auto"/>
              </w:rPr>
            </w:pPr>
            <w:r>
              <w:rPr>
                <w:rFonts w:hint="eastAsia"/>
                <w:color w:val="auto"/>
              </w:rPr>
              <w:t>二氧化硫、氮氧化物、烟尘、林格曼黑度</w:t>
            </w:r>
          </w:p>
        </w:tc>
        <w:tc>
          <w:tcPr>
            <w:tcW w:w="2693" w:type="dxa"/>
            <w:vAlign w:val="center"/>
          </w:tcPr>
          <w:p w14:paraId="08E32E0F">
            <w:pPr>
              <w:pStyle w:val="33"/>
              <w:rPr>
                <w:color w:val="auto"/>
              </w:rPr>
            </w:pPr>
            <w:r>
              <w:rPr>
                <w:rFonts w:hint="eastAsia"/>
                <w:color w:val="auto"/>
              </w:rPr>
              <w:t>侧边2根20m高排气筒排</w:t>
            </w:r>
          </w:p>
        </w:tc>
        <w:tc>
          <w:tcPr>
            <w:tcW w:w="2552" w:type="dxa"/>
            <w:vMerge w:val="continue"/>
            <w:vAlign w:val="center"/>
          </w:tcPr>
          <w:p w14:paraId="0E6A9EAA">
            <w:pPr>
              <w:pStyle w:val="33"/>
              <w:rPr>
                <w:rFonts w:cs="Times New Roman"/>
                <w:color w:val="auto"/>
              </w:rPr>
            </w:pPr>
          </w:p>
        </w:tc>
        <w:tc>
          <w:tcPr>
            <w:tcW w:w="3122" w:type="dxa"/>
            <w:vAlign w:val="center"/>
          </w:tcPr>
          <w:p w14:paraId="2B558F7D">
            <w:pPr>
              <w:pStyle w:val="33"/>
              <w:rPr>
                <w:color w:val="auto"/>
              </w:rPr>
            </w:pPr>
            <w:r>
              <w:rPr>
                <w:rFonts w:hint="eastAsia"/>
                <w:color w:val="auto"/>
              </w:rPr>
              <w:t>《锅炉大气污染物排放标准》（GB 13271-2014）中燃气锅炉排放限值</w:t>
            </w:r>
          </w:p>
        </w:tc>
      </w:tr>
      <w:tr w14:paraId="10E02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6F20C15C">
            <w:pPr>
              <w:pStyle w:val="33"/>
              <w:rPr>
                <w:color w:val="auto"/>
              </w:rPr>
            </w:pPr>
          </w:p>
        </w:tc>
        <w:tc>
          <w:tcPr>
            <w:tcW w:w="1418" w:type="dxa"/>
            <w:vAlign w:val="center"/>
          </w:tcPr>
          <w:p w14:paraId="56A6D04B">
            <w:pPr>
              <w:pStyle w:val="33"/>
              <w:rPr>
                <w:color w:val="auto"/>
              </w:rPr>
            </w:pPr>
            <w:r>
              <w:rPr>
                <w:rFonts w:hint="eastAsia"/>
                <w:color w:val="auto"/>
              </w:rPr>
              <w:t>2#造纸车间导热废气</w:t>
            </w:r>
          </w:p>
        </w:tc>
        <w:tc>
          <w:tcPr>
            <w:tcW w:w="1559" w:type="dxa"/>
            <w:vAlign w:val="center"/>
          </w:tcPr>
          <w:p w14:paraId="5891C069">
            <w:pPr>
              <w:pStyle w:val="33"/>
              <w:rPr>
                <w:color w:val="auto"/>
              </w:rPr>
            </w:pPr>
            <w:r>
              <w:rPr>
                <w:rFonts w:hint="eastAsia"/>
                <w:color w:val="auto"/>
              </w:rPr>
              <w:t>排气筒排放口</w:t>
            </w:r>
          </w:p>
        </w:tc>
        <w:tc>
          <w:tcPr>
            <w:tcW w:w="2126" w:type="dxa"/>
            <w:vAlign w:val="center"/>
          </w:tcPr>
          <w:p w14:paraId="6A8F5CF3">
            <w:pPr>
              <w:pStyle w:val="33"/>
              <w:rPr>
                <w:color w:val="auto"/>
              </w:rPr>
            </w:pPr>
            <w:r>
              <w:rPr>
                <w:rFonts w:hint="eastAsia"/>
                <w:color w:val="auto"/>
              </w:rPr>
              <w:t>二氧化硫、氮氧化物、烟尘、林格曼黑度</w:t>
            </w:r>
          </w:p>
        </w:tc>
        <w:tc>
          <w:tcPr>
            <w:tcW w:w="2693" w:type="dxa"/>
            <w:vAlign w:val="center"/>
          </w:tcPr>
          <w:p w14:paraId="18EDCA32">
            <w:pPr>
              <w:pStyle w:val="33"/>
              <w:rPr>
                <w:color w:val="auto"/>
              </w:rPr>
            </w:pPr>
            <w:r>
              <w:rPr>
                <w:rFonts w:hint="eastAsia"/>
                <w:color w:val="auto"/>
              </w:rPr>
              <w:t>侧边2根16m高排气筒排放</w:t>
            </w:r>
          </w:p>
        </w:tc>
        <w:tc>
          <w:tcPr>
            <w:tcW w:w="2552" w:type="dxa"/>
            <w:vMerge w:val="continue"/>
            <w:vAlign w:val="center"/>
          </w:tcPr>
          <w:p w14:paraId="75729390">
            <w:pPr>
              <w:pStyle w:val="33"/>
              <w:rPr>
                <w:rFonts w:cs="Times New Roman"/>
                <w:color w:val="auto"/>
              </w:rPr>
            </w:pPr>
          </w:p>
        </w:tc>
        <w:tc>
          <w:tcPr>
            <w:tcW w:w="3122" w:type="dxa"/>
            <w:vAlign w:val="center"/>
          </w:tcPr>
          <w:p w14:paraId="4793EC61">
            <w:pPr>
              <w:pStyle w:val="33"/>
              <w:rPr>
                <w:color w:val="auto"/>
              </w:rPr>
            </w:pPr>
            <w:r>
              <w:rPr>
                <w:rFonts w:hint="eastAsia"/>
                <w:color w:val="auto"/>
              </w:rPr>
              <w:t>《锅炉大气污染物排放标准》（GB 13271-2014）中燃气锅炉排放限值</w:t>
            </w:r>
          </w:p>
        </w:tc>
      </w:tr>
      <w:tr w14:paraId="38DD1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143C034F">
            <w:pPr>
              <w:pStyle w:val="33"/>
              <w:rPr>
                <w:color w:val="auto"/>
              </w:rPr>
            </w:pPr>
          </w:p>
        </w:tc>
        <w:tc>
          <w:tcPr>
            <w:tcW w:w="1418" w:type="dxa"/>
            <w:vAlign w:val="center"/>
          </w:tcPr>
          <w:p w14:paraId="5D57AF43">
            <w:pPr>
              <w:pStyle w:val="33"/>
              <w:rPr>
                <w:color w:val="auto"/>
              </w:rPr>
            </w:pPr>
            <w:r>
              <w:rPr>
                <w:rFonts w:hint="eastAsia"/>
                <w:color w:val="auto"/>
              </w:rPr>
              <w:t>淋膜车间</w:t>
            </w:r>
          </w:p>
        </w:tc>
        <w:tc>
          <w:tcPr>
            <w:tcW w:w="1559" w:type="dxa"/>
            <w:vAlign w:val="center"/>
          </w:tcPr>
          <w:p w14:paraId="07EB8BB7">
            <w:pPr>
              <w:pStyle w:val="33"/>
              <w:rPr>
                <w:color w:val="auto"/>
              </w:rPr>
            </w:pPr>
            <w:r>
              <w:rPr>
                <w:rFonts w:hint="eastAsia"/>
                <w:color w:val="auto"/>
              </w:rPr>
              <w:t>排气筒排放口</w:t>
            </w:r>
          </w:p>
        </w:tc>
        <w:tc>
          <w:tcPr>
            <w:tcW w:w="2126" w:type="dxa"/>
            <w:vAlign w:val="center"/>
          </w:tcPr>
          <w:p w14:paraId="725B8DF2">
            <w:pPr>
              <w:pStyle w:val="33"/>
              <w:rPr>
                <w:color w:val="auto"/>
              </w:rPr>
            </w:pPr>
            <w:r>
              <w:rPr>
                <w:rFonts w:hint="eastAsia"/>
                <w:color w:val="auto"/>
              </w:rPr>
              <w:t>非甲烷总烃</w:t>
            </w:r>
          </w:p>
        </w:tc>
        <w:tc>
          <w:tcPr>
            <w:tcW w:w="2693" w:type="dxa"/>
            <w:vAlign w:val="center"/>
          </w:tcPr>
          <w:p w14:paraId="3D616C09">
            <w:pPr>
              <w:pStyle w:val="33"/>
              <w:rPr>
                <w:color w:val="auto"/>
              </w:rPr>
            </w:pPr>
            <w:r>
              <w:rPr>
                <w:rFonts w:hint="eastAsia"/>
                <w:color w:val="auto"/>
              </w:rPr>
              <w:t>废气经活性炭吸附处理后，通过1根18m高排气筒排放</w:t>
            </w:r>
          </w:p>
        </w:tc>
        <w:tc>
          <w:tcPr>
            <w:tcW w:w="2552" w:type="dxa"/>
            <w:vMerge w:val="continue"/>
            <w:vAlign w:val="center"/>
          </w:tcPr>
          <w:p w14:paraId="5D7A5721">
            <w:pPr>
              <w:pStyle w:val="33"/>
              <w:rPr>
                <w:rFonts w:cs="Times New Roman"/>
                <w:color w:val="auto"/>
              </w:rPr>
            </w:pPr>
          </w:p>
        </w:tc>
        <w:tc>
          <w:tcPr>
            <w:tcW w:w="3122" w:type="dxa"/>
            <w:vAlign w:val="center"/>
          </w:tcPr>
          <w:p w14:paraId="396D803B">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新污染源大气污染物排放限值中最高允许排放浓度和最高允许排放速率二级要求</w:t>
            </w:r>
          </w:p>
        </w:tc>
      </w:tr>
      <w:tr w14:paraId="0F660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0A3F77DD">
            <w:pPr>
              <w:pStyle w:val="33"/>
              <w:rPr>
                <w:color w:val="auto"/>
              </w:rPr>
            </w:pPr>
          </w:p>
        </w:tc>
        <w:tc>
          <w:tcPr>
            <w:tcW w:w="1418" w:type="dxa"/>
            <w:vMerge w:val="restart"/>
            <w:vAlign w:val="center"/>
          </w:tcPr>
          <w:p w14:paraId="3FE611C8">
            <w:pPr>
              <w:pStyle w:val="33"/>
              <w:rPr>
                <w:color w:val="auto"/>
              </w:rPr>
            </w:pPr>
            <w:r>
              <w:rPr>
                <w:rFonts w:hint="eastAsia"/>
                <w:color w:val="auto"/>
              </w:rPr>
              <w:t>污水处理站</w:t>
            </w:r>
          </w:p>
        </w:tc>
        <w:tc>
          <w:tcPr>
            <w:tcW w:w="1559" w:type="dxa"/>
            <w:vMerge w:val="restart"/>
            <w:vAlign w:val="center"/>
          </w:tcPr>
          <w:p w14:paraId="7844FDD8">
            <w:pPr>
              <w:pStyle w:val="33"/>
              <w:rPr>
                <w:color w:val="auto"/>
              </w:rPr>
            </w:pPr>
            <w:r>
              <w:rPr>
                <w:rFonts w:hint="eastAsia"/>
                <w:color w:val="auto"/>
              </w:rPr>
              <w:t>排气筒排放口</w:t>
            </w:r>
          </w:p>
        </w:tc>
        <w:tc>
          <w:tcPr>
            <w:tcW w:w="2126" w:type="dxa"/>
            <w:vAlign w:val="center"/>
          </w:tcPr>
          <w:p w14:paraId="09CB3FA8">
            <w:pPr>
              <w:pStyle w:val="33"/>
              <w:rPr>
                <w:color w:val="auto"/>
              </w:rPr>
            </w:pPr>
            <w:r>
              <w:rPr>
                <w:color w:val="auto"/>
              </w:rPr>
              <w:t>NH</w:t>
            </w:r>
            <w:r>
              <w:rPr>
                <w:color w:val="auto"/>
                <w:vertAlign w:val="subscript"/>
              </w:rPr>
              <w:t>3</w:t>
            </w:r>
          </w:p>
        </w:tc>
        <w:tc>
          <w:tcPr>
            <w:tcW w:w="2693" w:type="dxa"/>
            <w:vMerge w:val="restart"/>
            <w:vAlign w:val="center"/>
          </w:tcPr>
          <w:p w14:paraId="5555D0FE">
            <w:pPr>
              <w:pStyle w:val="33"/>
              <w:rPr>
                <w:color w:val="auto"/>
              </w:rPr>
            </w:pPr>
            <w:r>
              <w:rPr>
                <w:rFonts w:hint="eastAsia"/>
                <w:color w:val="auto"/>
              </w:rPr>
              <w:t>负压收集后经碱喷淋+生物除臭滤池技术处理，通过1根15m高排气筒排放</w:t>
            </w:r>
          </w:p>
        </w:tc>
        <w:tc>
          <w:tcPr>
            <w:tcW w:w="2552" w:type="dxa"/>
            <w:vMerge w:val="continue"/>
            <w:vAlign w:val="center"/>
          </w:tcPr>
          <w:p w14:paraId="583F8C9E">
            <w:pPr>
              <w:pStyle w:val="33"/>
              <w:rPr>
                <w:color w:val="auto"/>
              </w:rPr>
            </w:pPr>
          </w:p>
        </w:tc>
        <w:tc>
          <w:tcPr>
            <w:tcW w:w="3122" w:type="dxa"/>
            <w:vMerge w:val="restart"/>
            <w:vAlign w:val="center"/>
          </w:tcPr>
          <w:p w14:paraId="19027C44">
            <w:pPr>
              <w:pStyle w:val="33"/>
              <w:rPr>
                <w:color w:val="auto"/>
              </w:rPr>
            </w:pPr>
            <w:r>
              <w:rPr>
                <w:color w:val="auto"/>
              </w:rPr>
              <w:t>《恶臭污染物排放标准》（GB 14554-93）</w:t>
            </w:r>
          </w:p>
        </w:tc>
      </w:tr>
      <w:tr w14:paraId="5E58C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5759A840">
            <w:pPr>
              <w:pStyle w:val="33"/>
              <w:rPr>
                <w:color w:val="auto"/>
              </w:rPr>
            </w:pPr>
          </w:p>
        </w:tc>
        <w:tc>
          <w:tcPr>
            <w:tcW w:w="1418" w:type="dxa"/>
            <w:vMerge w:val="continue"/>
            <w:vAlign w:val="center"/>
          </w:tcPr>
          <w:p w14:paraId="25987784">
            <w:pPr>
              <w:pStyle w:val="33"/>
              <w:rPr>
                <w:color w:val="auto"/>
              </w:rPr>
            </w:pPr>
          </w:p>
        </w:tc>
        <w:tc>
          <w:tcPr>
            <w:tcW w:w="1559" w:type="dxa"/>
            <w:vMerge w:val="continue"/>
            <w:vAlign w:val="center"/>
          </w:tcPr>
          <w:p w14:paraId="652DDBBE">
            <w:pPr>
              <w:pStyle w:val="33"/>
              <w:rPr>
                <w:color w:val="auto"/>
              </w:rPr>
            </w:pPr>
          </w:p>
        </w:tc>
        <w:tc>
          <w:tcPr>
            <w:tcW w:w="2126" w:type="dxa"/>
            <w:vAlign w:val="center"/>
          </w:tcPr>
          <w:p w14:paraId="2B53EB3B">
            <w:pPr>
              <w:pStyle w:val="33"/>
              <w:rPr>
                <w:color w:val="auto"/>
              </w:rPr>
            </w:pPr>
            <w:r>
              <w:rPr>
                <w:color w:val="auto"/>
              </w:rPr>
              <w:t>H</w:t>
            </w:r>
            <w:r>
              <w:rPr>
                <w:color w:val="auto"/>
                <w:vertAlign w:val="subscript"/>
              </w:rPr>
              <w:t>2</w:t>
            </w:r>
            <w:r>
              <w:rPr>
                <w:color w:val="auto"/>
              </w:rPr>
              <w:t>S</w:t>
            </w:r>
          </w:p>
        </w:tc>
        <w:tc>
          <w:tcPr>
            <w:tcW w:w="2693" w:type="dxa"/>
            <w:vMerge w:val="continue"/>
            <w:vAlign w:val="center"/>
          </w:tcPr>
          <w:p w14:paraId="4D73FCCA">
            <w:pPr>
              <w:pStyle w:val="33"/>
              <w:rPr>
                <w:color w:val="auto"/>
              </w:rPr>
            </w:pPr>
          </w:p>
        </w:tc>
        <w:tc>
          <w:tcPr>
            <w:tcW w:w="2552" w:type="dxa"/>
            <w:vMerge w:val="continue"/>
            <w:vAlign w:val="center"/>
          </w:tcPr>
          <w:p w14:paraId="75B5C0B9">
            <w:pPr>
              <w:pStyle w:val="33"/>
              <w:rPr>
                <w:color w:val="auto"/>
              </w:rPr>
            </w:pPr>
          </w:p>
        </w:tc>
        <w:tc>
          <w:tcPr>
            <w:tcW w:w="3122" w:type="dxa"/>
            <w:vMerge w:val="continue"/>
            <w:vAlign w:val="center"/>
          </w:tcPr>
          <w:p w14:paraId="58AF7643">
            <w:pPr>
              <w:pStyle w:val="33"/>
              <w:rPr>
                <w:color w:val="auto"/>
              </w:rPr>
            </w:pPr>
          </w:p>
        </w:tc>
      </w:tr>
      <w:tr w14:paraId="023E8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68C29AC9">
            <w:pPr>
              <w:pStyle w:val="33"/>
              <w:rPr>
                <w:color w:val="auto"/>
              </w:rPr>
            </w:pPr>
          </w:p>
        </w:tc>
        <w:tc>
          <w:tcPr>
            <w:tcW w:w="1418" w:type="dxa"/>
            <w:vMerge w:val="continue"/>
            <w:vAlign w:val="center"/>
          </w:tcPr>
          <w:p w14:paraId="0CB8F0A2">
            <w:pPr>
              <w:pStyle w:val="33"/>
              <w:rPr>
                <w:color w:val="auto"/>
              </w:rPr>
            </w:pPr>
          </w:p>
        </w:tc>
        <w:tc>
          <w:tcPr>
            <w:tcW w:w="1559" w:type="dxa"/>
            <w:vMerge w:val="continue"/>
            <w:vAlign w:val="center"/>
          </w:tcPr>
          <w:p w14:paraId="2DF421A3">
            <w:pPr>
              <w:pStyle w:val="33"/>
              <w:rPr>
                <w:color w:val="auto"/>
              </w:rPr>
            </w:pPr>
          </w:p>
        </w:tc>
        <w:tc>
          <w:tcPr>
            <w:tcW w:w="2126" w:type="dxa"/>
            <w:vAlign w:val="center"/>
          </w:tcPr>
          <w:p w14:paraId="09BB3931">
            <w:pPr>
              <w:pStyle w:val="33"/>
              <w:rPr>
                <w:color w:val="auto"/>
              </w:rPr>
            </w:pPr>
            <w:r>
              <w:rPr>
                <w:rFonts w:hint="eastAsia"/>
                <w:color w:val="auto"/>
              </w:rPr>
              <w:t>臭气浓度</w:t>
            </w:r>
          </w:p>
        </w:tc>
        <w:tc>
          <w:tcPr>
            <w:tcW w:w="2693" w:type="dxa"/>
            <w:vMerge w:val="continue"/>
            <w:vAlign w:val="center"/>
          </w:tcPr>
          <w:p w14:paraId="6E8DD182">
            <w:pPr>
              <w:pStyle w:val="33"/>
              <w:rPr>
                <w:color w:val="auto"/>
              </w:rPr>
            </w:pPr>
          </w:p>
        </w:tc>
        <w:tc>
          <w:tcPr>
            <w:tcW w:w="2552" w:type="dxa"/>
            <w:vMerge w:val="continue"/>
            <w:vAlign w:val="center"/>
          </w:tcPr>
          <w:p w14:paraId="51AB57B8">
            <w:pPr>
              <w:pStyle w:val="33"/>
              <w:rPr>
                <w:color w:val="auto"/>
              </w:rPr>
            </w:pPr>
          </w:p>
        </w:tc>
        <w:tc>
          <w:tcPr>
            <w:tcW w:w="3122" w:type="dxa"/>
            <w:vAlign w:val="center"/>
          </w:tcPr>
          <w:p w14:paraId="35511279">
            <w:pPr>
              <w:pStyle w:val="33"/>
              <w:rPr>
                <w:color w:val="auto"/>
              </w:rPr>
            </w:pPr>
          </w:p>
        </w:tc>
      </w:tr>
      <w:tr w14:paraId="09734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0F09E5C8">
            <w:pPr>
              <w:pStyle w:val="33"/>
              <w:rPr>
                <w:color w:val="auto"/>
              </w:rPr>
            </w:pPr>
          </w:p>
        </w:tc>
        <w:tc>
          <w:tcPr>
            <w:tcW w:w="1418" w:type="dxa"/>
            <w:vMerge w:val="restart"/>
            <w:vAlign w:val="center"/>
          </w:tcPr>
          <w:p w14:paraId="09C0E407">
            <w:pPr>
              <w:pStyle w:val="33"/>
              <w:rPr>
                <w:color w:val="auto"/>
              </w:rPr>
            </w:pPr>
            <w:r>
              <w:rPr>
                <w:rFonts w:hint="eastAsia"/>
                <w:color w:val="auto"/>
              </w:rPr>
              <w:t>无组织废气</w:t>
            </w:r>
          </w:p>
        </w:tc>
        <w:tc>
          <w:tcPr>
            <w:tcW w:w="1559" w:type="dxa"/>
            <w:vMerge w:val="restart"/>
            <w:vAlign w:val="center"/>
          </w:tcPr>
          <w:p w14:paraId="47F8A720">
            <w:pPr>
              <w:pStyle w:val="33"/>
              <w:rPr>
                <w:color w:val="auto"/>
              </w:rPr>
            </w:pPr>
            <w:r>
              <w:rPr>
                <w:rFonts w:hint="eastAsia"/>
                <w:color w:val="auto"/>
              </w:rPr>
              <w:t>厂界四周</w:t>
            </w:r>
          </w:p>
        </w:tc>
        <w:tc>
          <w:tcPr>
            <w:tcW w:w="2126" w:type="dxa"/>
            <w:vAlign w:val="center"/>
          </w:tcPr>
          <w:p w14:paraId="29305483">
            <w:pPr>
              <w:pStyle w:val="33"/>
              <w:rPr>
                <w:color w:val="auto"/>
              </w:rPr>
            </w:pPr>
            <w:r>
              <w:rPr>
                <w:color w:val="auto"/>
              </w:rPr>
              <w:t>颗粒物</w:t>
            </w:r>
          </w:p>
        </w:tc>
        <w:tc>
          <w:tcPr>
            <w:tcW w:w="2693" w:type="dxa"/>
            <w:vAlign w:val="center"/>
          </w:tcPr>
          <w:p w14:paraId="3E26EFEB">
            <w:pPr>
              <w:pStyle w:val="33"/>
              <w:rPr>
                <w:color w:val="auto"/>
              </w:rPr>
            </w:pPr>
            <w:r>
              <w:rPr>
                <w:rFonts w:hint="eastAsia"/>
                <w:color w:val="auto"/>
              </w:rPr>
              <w:t>/</w:t>
            </w:r>
          </w:p>
        </w:tc>
        <w:tc>
          <w:tcPr>
            <w:tcW w:w="2552" w:type="dxa"/>
            <w:vMerge w:val="restart"/>
            <w:vAlign w:val="center"/>
          </w:tcPr>
          <w:p w14:paraId="76CEEB66">
            <w:pPr>
              <w:pStyle w:val="33"/>
              <w:rPr>
                <w:color w:val="auto"/>
              </w:rPr>
            </w:pPr>
            <w:r>
              <w:rPr>
                <w:rFonts w:hint="eastAsia"/>
                <w:color w:val="auto"/>
              </w:rPr>
              <w:t>厂界达标排放情况</w:t>
            </w:r>
          </w:p>
        </w:tc>
        <w:tc>
          <w:tcPr>
            <w:tcW w:w="3122" w:type="dxa"/>
            <w:vMerge w:val="restart"/>
            <w:vAlign w:val="center"/>
          </w:tcPr>
          <w:p w14:paraId="7B29B0DF">
            <w:pPr>
              <w:pStyle w:val="33"/>
              <w:rPr>
                <w:color w:val="auto"/>
              </w:rPr>
            </w:pPr>
            <w:r>
              <w:rPr>
                <w:color w:val="auto"/>
              </w:rPr>
              <w:t>《大气污染物综合排放标准》（GB16297-1996）</w:t>
            </w:r>
            <w:r>
              <w:rPr>
                <w:rFonts w:hint="eastAsia"/>
                <w:color w:val="auto"/>
              </w:rPr>
              <w:t>表2新污染源大气污染物排放限值中无组织排放监控浓度限值</w:t>
            </w:r>
          </w:p>
        </w:tc>
      </w:tr>
      <w:tr w14:paraId="7179E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5D4C0489">
            <w:pPr>
              <w:pStyle w:val="33"/>
              <w:rPr>
                <w:color w:val="auto"/>
              </w:rPr>
            </w:pPr>
          </w:p>
        </w:tc>
        <w:tc>
          <w:tcPr>
            <w:tcW w:w="1418" w:type="dxa"/>
            <w:vMerge w:val="continue"/>
            <w:vAlign w:val="center"/>
          </w:tcPr>
          <w:p w14:paraId="4856D622">
            <w:pPr>
              <w:pStyle w:val="33"/>
              <w:rPr>
                <w:color w:val="auto"/>
              </w:rPr>
            </w:pPr>
          </w:p>
        </w:tc>
        <w:tc>
          <w:tcPr>
            <w:tcW w:w="1559" w:type="dxa"/>
            <w:vMerge w:val="continue"/>
            <w:vAlign w:val="center"/>
          </w:tcPr>
          <w:p w14:paraId="4661B270">
            <w:pPr>
              <w:pStyle w:val="33"/>
              <w:rPr>
                <w:color w:val="auto"/>
              </w:rPr>
            </w:pPr>
          </w:p>
        </w:tc>
        <w:tc>
          <w:tcPr>
            <w:tcW w:w="2126" w:type="dxa"/>
            <w:vAlign w:val="center"/>
          </w:tcPr>
          <w:p w14:paraId="2D075598">
            <w:pPr>
              <w:pStyle w:val="33"/>
              <w:rPr>
                <w:color w:val="auto"/>
              </w:rPr>
            </w:pPr>
            <w:r>
              <w:rPr>
                <w:rFonts w:hint="eastAsia"/>
                <w:color w:val="auto"/>
              </w:rPr>
              <w:t>非甲烷总烃</w:t>
            </w:r>
          </w:p>
        </w:tc>
        <w:tc>
          <w:tcPr>
            <w:tcW w:w="2693" w:type="dxa"/>
            <w:vAlign w:val="center"/>
          </w:tcPr>
          <w:p w14:paraId="0D6B7912">
            <w:pPr>
              <w:pStyle w:val="33"/>
              <w:rPr>
                <w:color w:val="auto"/>
              </w:rPr>
            </w:pPr>
            <w:r>
              <w:rPr>
                <w:rFonts w:hint="eastAsia"/>
                <w:color w:val="auto"/>
              </w:rPr>
              <w:t>/</w:t>
            </w:r>
          </w:p>
        </w:tc>
        <w:tc>
          <w:tcPr>
            <w:tcW w:w="2552" w:type="dxa"/>
            <w:vMerge w:val="continue"/>
            <w:vAlign w:val="center"/>
          </w:tcPr>
          <w:p w14:paraId="6F105AA3">
            <w:pPr>
              <w:pStyle w:val="33"/>
              <w:rPr>
                <w:color w:val="auto"/>
              </w:rPr>
            </w:pPr>
          </w:p>
        </w:tc>
        <w:tc>
          <w:tcPr>
            <w:tcW w:w="3122" w:type="dxa"/>
            <w:vMerge w:val="continue"/>
            <w:vAlign w:val="center"/>
          </w:tcPr>
          <w:p w14:paraId="61721AC5">
            <w:pPr>
              <w:pStyle w:val="33"/>
              <w:rPr>
                <w:color w:val="auto"/>
              </w:rPr>
            </w:pPr>
          </w:p>
        </w:tc>
      </w:tr>
      <w:tr w14:paraId="433EB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27A7B3F0">
            <w:pPr>
              <w:pStyle w:val="33"/>
              <w:rPr>
                <w:color w:val="auto"/>
              </w:rPr>
            </w:pPr>
          </w:p>
        </w:tc>
        <w:tc>
          <w:tcPr>
            <w:tcW w:w="1418" w:type="dxa"/>
            <w:vMerge w:val="continue"/>
            <w:vAlign w:val="center"/>
          </w:tcPr>
          <w:p w14:paraId="67AECFDB">
            <w:pPr>
              <w:pStyle w:val="33"/>
              <w:rPr>
                <w:color w:val="auto"/>
              </w:rPr>
            </w:pPr>
          </w:p>
        </w:tc>
        <w:tc>
          <w:tcPr>
            <w:tcW w:w="1559" w:type="dxa"/>
            <w:vMerge w:val="continue"/>
            <w:vAlign w:val="center"/>
          </w:tcPr>
          <w:p w14:paraId="38690450">
            <w:pPr>
              <w:pStyle w:val="33"/>
              <w:rPr>
                <w:color w:val="auto"/>
              </w:rPr>
            </w:pPr>
          </w:p>
        </w:tc>
        <w:tc>
          <w:tcPr>
            <w:tcW w:w="2126" w:type="dxa"/>
            <w:vAlign w:val="center"/>
          </w:tcPr>
          <w:p w14:paraId="2FD73F4A">
            <w:pPr>
              <w:pStyle w:val="33"/>
              <w:rPr>
                <w:color w:val="auto"/>
              </w:rPr>
            </w:pPr>
            <w:r>
              <w:rPr>
                <w:color w:val="auto"/>
              </w:rPr>
              <w:t>H</w:t>
            </w:r>
            <w:r>
              <w:rPr>
                <w:color w:val="auto"/>
                <w:vertAlign w:val="subscript"/>
              </w:rPr>
              <w:t>2</w:t>
            </w:r>
            <w:r>
              <w:rPr>
                <w:color w:val="auto"/>
              </w:rPr>
              <w:t>S</w:t>
            </w:r>
          </w:p>
        </w:tc>
        <w:tc>
          <w:tcPr>
            <w:tcW w:w="2693" w:type="dxa"/>
            <w:vAlign w:val="center"/>
          </w:tcPr>
          <w:p w14:paraId="6FA3C5A2">
            <w:pPr>
              <w:pStyle w:val="33"/>
              <w:rPr>
                <w:color w:val="auto"/>
              </w:rPr>
            </w:pPr>
            <w:r>
              <w:rPr>
                <w:rFonts w:hint="eastAsia"/>
                <w:color w:val="auto"/>
              </w:rPr>
              <w:t>/</w:t>
            </w:r>
          </w:p>
        </w:tc>
        <w:tc>
          <w:tcPr>
            <w:tcW w:w="2552" w:type="dxa"/>
            <w:vMerge w:val="continue"/>
            <w:vAlign w:val="center"/>
          </w:tcPr>
          <w:p w14:paraId="78E1CA30">
            <w:pPr>
              <w:pStyle w:val="33"/>
              <w:rPr>
                <w:color w:val="auto"/>
              </w:rPr>
            </w:pPr>
          </w:p>
        </w:tc>
        <w:tc>
          <w:tcPr>
            <w:tcW w:w="3122" w:type="dxa"/>
            <w:vMerge w:val="restart"/>
            <w:vAlign w:val="center"/>
          </w:tcPr>
          <w:p w14:paraId="09169AD6">
            <w:pPr>
              <w:pStyle w:val="33"/>
              <w:rPr>
                <w:color w:val="auto"/>
              </w:rPr>
            </w:pPr>
            <w:r>
              <w:rPr>
                <w:rFonts w:hint="eastAsia"/>
                <w:color w:val="auto"/>
              </w:rPr>
              <w:t>《恶臭污染物排放标准》（GB14554-93）表1中“新扩改建”二级标准</w:t>
            </w:r>
          </w:p>
        </w:tc>
      </w:tr>
      <w:tr w14:paraId="27A35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59552203">
            <w:pPr>
              <w:pStyle w:val="33"/>
              <w:rPr>
                <w:color w:val="auto"/>
              </w:rPr>
            </w:pPr>
          </w:p>
        </w:tc>
        <w:tc>
          <w:tcPr>
            <w:tcW w:w="1418" w:type="dxa"/>
            <w:vMerge w:val="continue"/>
            <w:vAlign w:val="center"/>
          </w:tcPr>
          <w:p w14:paraId="3206BB29">
            <w:pPr>
              <w:pStyle w:val="33"/>
              <w:rPr>
                <w:color w:val="auto"/>
              </w:rPr>
            </w:pPr>
          </w:p>
        </w:tc>
        <w:tc>
          <w:tcPr>
            <w:tcW w:w="1559" w:type="dxa"/>
            <w:vMerge w:val="continue"/>
            <w:vAlign w:val="center"/>
          </w:tcPr>
          <w:p w14:paraId="4746E737">
            <w:pPr>
              <w:pStyle w:val="33"/>
              <w:rPr>
                <w:color w:val="auto"/>
              </w:rPr>
            </w:pPr>
          </w:p>
        </w:tc>
        <w:tc>
          <w:tcPr>
            <w:tcW w:w="2126" w:type="dxa"/>
            <w:vAlign w:val="center"/>
          </w:tcPr>
          <w:p w14:paraId="06210239">
            <w:pPr>
              <w:pStyle w:val="33"/>
              <w:rPr>
                <w:color w:val="auto"/>
              </w:rPr>
            </w:pPr>
            <w:r>
              <w:rPr>
                <w:color w:val="auto"/>
              </w:rPr>
              <w:t>NH</w:t>
            </w:r>
            <w:r>
              <w:rPr>
                <w:color w:val="auto"/>
                <w:vertAlign w:val="subscript"/>
              </w:rPr>
              <w:t>3</w:t>
            </w:r>
          </w:p>
        </w:tc>
        <w:tc>
          <w:tcPr>
            <w:tcW w:w="2693" w:type="dxa"/>
            <w:vAlign w:val="center"/>
          </w:tcPr>
          <w:p w14:paraId="3B5F04FF">
            <w:pPr>
              <w:pStyle w:val="33"/>
              <w:rPr>
                <w:color w:val="auto"/>
              </w:rPr>
            </w:pPr>
            <w:r>
              <w:rPr>
                <w:rFonts w:hint="eastAsia"/>
                <w:color w:val="auto"/>
              </w:rPr>
              <w:t>/</w:t>
            </w:r>
          </w:p>
        </w:tc>
        <w:tc>
          <w:tcPr>
            <w:tcW w:w="2552" w:type="dxa"/>
            <w:vMerge w:val="continue"/>
            <w:vAlign w:val="center"/>
          </w:tcPr>
          <w:p w14:paraId="474F7EA2">
            <w:pPr>
              <w:pStyle w:val="33"/>
              <w:rPr>
                <w:color w:val="auto"/>
              </w:rPr>
            </w:pPr>
          </w:p>
        </w:tc>
        <w:tc>
          <w:tcPr>
            <w:tcW w:w="3122" w:type="dxa"/>
            <w:vMerge w:val="continue"/>
            <w:vAlign w:val="center"/>
          </w:tcPr>
          <w:p w14:paraId="4FB9D814">
            <w:pPr>
              <w:pStyle w:val="33"/>
              <w:rPr>
                <w:color w:val="auto"/>
              </w:rPr>
            </w:pPr>
          </w:p>
        </w:tc>
      </w:tr>
      <w:tr w14:paraId="03CB5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4187B22B">
            <w:pPr>
              <w:pStyle w:val="33"/>
              <w:rPr>
                <w:color w:val="auto"/>
              </w:rPr>
            </w:pPr>
          </w:p>
        </w:tc>
        <w:tc>
          <w:tcPr>
            <w:tcW w:w="1418" w:type="dxa"/>
            <w:vMerge w:val="continue"/>
            <w:vAlign w:val="center"/>
          </w:tcPr>
          <w:p w14:paraId="0DCAED85">
            <w:pPr>
              <w:pStyle w:val="33"/>
              <w:rPr>
                <w:color w:val="auto"/>
              </w:rPr>
            </w:pPr>
          </w:p>
        </w:tc>
        <w:tc>
          <w:tcPr>
            <w:tcW w:w="1559" w:type="dxa"/>
            <w:vMerge w:val="continue"/>
            <w:vAlign w:val="center"/>
          </w:tcPr>
          <w:p w14:paraId="3D06CF40">
            <w:pPr>
              <w:pStyle w:val="33"/>
              <w:rPr>
                <w:color w:val="auto"/>
              </w:rPr>
            </w:pPr>
          </w:p>
        </w:tc>
        <w:tc>
          <w:tcPr>
            <w:tcW w:w="2126" w:type="dxa"/>
            <w:vAlign w:val="center"/>
          </w:tcPr>
          <w:p w14:paraId="49498C1D">
            <w:pPr>
              <w:pStyle w:val="33"/>
              <w:rPr>
                <w:color w:val="auto"/>
              </w:rPr>
            </w:pPr>
            <w:r>
              <w:rPr>
                <w:color w:val="auto"/>
                <w:szCs w:val="21"/>
              </w:rPr>
              <w:t>臭气浓度（无量纲）</w:t>
            </w:r>
          </w:p>
        </w:tc>
        <w:tc>
          <w:tcPr>
            <w:tcW w:w="2693" w:type="dxa"/>
            <w:vAlign w:val="center"/>
          </w:tcPr>
          <w:p w14:paraId="2591016A">
            <w:pPr>
              <w:pStyle w:val="33"/>
              <w:rPr>
                <w:color w:val="auto"/>
              </w:rPr>
            </w:pPr>
            <w:r>
              <w:rPr>
                <w:rFonts w:hint="eastAsia"/>
                <w:color w:val="auto"/>
              </w:rPr>
              <w:t>/</w:t>
            </w:r>
          </w:p>
        </w:tc>
        <w:tc>
          <w:tcPr>
            <w:tcW w:w="2552" w:type="dxa"/>
            <w:vMerge w:val="continue"/>
            <w:vAlign w:val="center"/>
          </w:tcPr>
          <w:p w14:paraId="46F000EC">
            <w:pPr>
              <w:pStyle w:val="33"/>
              <w:rPr>
                <w:color w:val="auto"/>
              </w:rPr>
            </w:pPr>
          </w:p>
        </w:tc>
        <w:tc>
          <w:tcPr>
            <w:tcW w:w="3122" w:type="dxa"/>
            <w:vMerge w:val="continue"/>
            <w:vAlign w:val="center"/>
          </w:tcPr>
          <w:p w14:paraId="0060272B">
            <w:pPr>
              <w:pStyle w:val="33"/>
              <w:rPr>
                <w:color w:val="auto"/>
              </w:rPr>
            </w:pPr>
          </w:p>
        </w:tc>
      </w:tr>
      <w:tr w14:paraId="24E81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29D8203D">
            <w:pPr>
              <w:pStyle w:val="33"/>
              <w:rPr>
                <w:color w:val="auto"/>
              </w:rPr>
            </w:pPr>
          </w:p>
        </w:tc>
        <w:tc>
          <w:tcPr>
            <w:tcW w:w="1418" w:type="dxa"/>
            <w:vMerge w:val="continue"/>
            <w:vAlign w:val="center"/>
          </w:tcPr>
          <w:p w14:paraId="63599B70">
            <w:pPr>
              <w:pStyle w:val="33"/>
              <w:rPr>
                <w:color w:val="auto"/>
              </w:rPr>
            </w:pPr>
          </w:p>
        </w:tc>
        <w:tc>
          <w:tcPr>
            <w:tcW w:w="1559" w:type="dxa"/>
            <w:vAlign w:val="center"/>
          </w:tcPr>
          <w:p w14:paraId="7FACF216">
            <w:pPr>
              <w:pStyle w:val="33"/>
              <w:rPr>
                <w:color w:val="auto"/>
              </w:rPr>
            </w:pPr>
            <w:r>
              <w:rPr>
                <w:rFonts w:hint="eastAsia"/>
                <w:color w:val="auto"/>
              </w:rPr>
              <w:t>造纸辅助车间</w:t>
            </w:r>
          </w:p>
        </w:tc>
        <w:tc>
          <w:tcPr>
            <w:tcW w:w="2126" w:type="dxa"/>
            <w:vAlign w:val="center"/>
          </w:tcPr>
          <w:p w14:paraId="28D028C9">
            <w:pPr>
              <w:pStyle w:val="33"/>
              <w:rPr>
                <w:color w:val="auto"/>
              </w:rPr>
            </w:pPr>
            <w:r>
              <w:rPr>
                <w:rFonts w:hint="eastAsia"/>
                <w:color w:val="auto"/>
                <w:szCs w:val="21"/>
              </w:rPr>
              <w:t>颗粒物</w:t>
            </w:r>
          </w:p>
        </w:tc>
        <w:tc>
          <w:tcPr>
            <w:tcW w:w="2693" w:type="dxa"/>
            <w:vAlign w:val="center"/>
          </w:tcPr>
          <w:p w14:paraId="54B964FC">
            <w:pPr>
              <w:pStyle w:val="33"/>
              <w:rPr>
                <w:color w:val="auto"/>
              </w:rPr>
            </w:pPr>
            <w:r>
              <w:rPr>
                <w:rFonts w:hint="eastAsia"/>
                <w:color w:val="auto"/>
              </w:rPr>
              <w:t>/</w:t>
            </w:r>
          </w:p>
        </w:tc>
        <w:tc>
          <w:tcPr>
            <w:tcW w:w="2552" w:type="dxa"/>
            <w:vMerge w:val="restart"/>
            <w:vAlign w:val="center"/>
          </w:tcPr>
          <w:p w14:paraId="6763F9B3">
            <w:pPr>
              <w:pStyle w:val="33"/>
              <w:rPr>
                <w:color w:val="auto"/>
              </w:rPr>
            </w:pPr>
            <w:r>
              <w:rPr>
                <w:rFonts w:hint="eastAsia"/>
                <w:color w:val="auto"/>
              </w:rPr>
              <w:t>厂区内达标情况</w:t>
            </w:r>
          </w:p>
        </w:tc>
        <w:tc>
          <w:tcPr>
            <w:tcW w:w="3122" w:type="dxa"/>
            <w:vAlign w:val="center"/>
          </w:tcPr>
          <w:p w14:paraId="016F4649">
            <w:pPr>
              <w:pStyle w:val="33"/>
              <w:rPr>
                <w:color w:val="auto"/>
              </w:rPr>
            </w:pPr>
            <w:r>
              <w:rPr>
                <w:color w:val="auto"/>
              </w:rPr>
              <w:t>《大气污染物综合排放标准》（GB16297-1996）</w:t>
            </w:r>
            <w:r>
              <w:rPr>
                <w:rFonts w:hint="eastAsia"/>
                <w:color w:val="auto"/>
              </w:rPr>
              <w:t>表2新污染源大气污染物排放限值中无组织排放监控浓度限值</w:t>
            </w:r>
          </w:p>
        </w:tc>
      </w:tr>
      <w:tr w14:paraId="2AF23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04" w:type="dxa"/>
            <w:vMerge w:val="continue"/>
            <w:vAlign w:val="center"/>
          </w:tcPr>
          <w:p w14:paraId="7666110A">
            <w:pPr>
              <w:pStyle w:val="33"/>
              <w:rPr>
                <w:color w:val="auto"/>
              </w:rPr>
            </w:pPr>
          </w:p>
        </w:tc>
        <w:tc>
          <w:tcPr>
            <w:tcW w:w="1418" w:type="dxa"/>
            <w:vMerge w:val="continue"/>
            <w:vAlign w:val="center"/>
          </w:tcPr>
          <w:p w14:paraId="44A8A2FB">
            <w:pPr>
              <w:pStyle w:val="33"/>
              <w:rPr>
                <w:color w:val="auto"/>
              </w:rPr>
            </w:pPr>
          </w:p>
        </w:tc>
        <w:tc>
          <w:tcPr>
            <w:tcW w:w="1559" w:type="dxa"/>
            <w:vAlign w:val="center"/>
          </w:tcPr>
          <w:p w14:paraId="14816076">
            <w:pPr>
              <w:pStyle w:val="33"/>
              <w:rPr>
                <w:color w:val="auto"/>
              </w:rPr>
            </w:pPr>
            <w:r>
              <w:rPr>
                <w:rFonts w:hint="eastAsia"/>
                <w:color w:val="auto"/>
              </w:rPr>
              <w:t>淋膜纸车间</w:t>
            </w:r>
          </w:p>
        </w:tc>
        <w:tc>
          <w:tcPr>
            <w:tcW w:w="2126" w:type="dxa"/>
            <w:vAlign w:val="center"/>
          </w:tcPr>
          <w:p w14:paraId="425E4A36">
            <w:pPr>
              <w:pStyle w:val="33"/>
              <w:rPr>
                <w:color w:val="auto"/>
              </w:rPr>
            </w:pPr>
            <w:r>
              <w:rPr>
                <w:rFonts w:hint="eastAsia"/>
                <w:color w:val="auto"/>
                <w:szCs w:val="21"/>
              </w:rPr>
              <w:t>非甲烷总烃</w:t>
            </w:r>
          </w:p>
        </w:tc>
        <w:tc>
          <w:tcPr>
            <w:tcW w:w="2693" w:type="dxa"/>
            <w:vAlign w:val="center"/>
          </w:tcPr>
          <w:p w14:paraId="3651CE10">
            <w:pPr>
              <w:pStyle w:val="33"/>
              <w:rPr>
                <w:color w:val="auto"/>
              </w:rPr>
            </w:pPr>
            <w:r>
              <w:rPr>
                <w:rFonts w:hint="eastAsia"/>
                <w:color w:val="auto"/>
              </w:rPr>
              <w:t>/</w:t>
            </w:r>
          </w:p>
        </w:tc>
        <w:tc>
          <w:tcPr>
            <w:tcW w:w="2552" w:type="dxa"/>
            <w:vMerge w:val="continue"/>
            <w:vAlign w:val="center"/>
          </w:tcPr>
          <w:p w14:paraId="7B5B0A7C">
            <w:pPr>
              <w:pStyle w:val="33"/>
              <w:rPr>
                <w:color w:val="auto"/>
              </w:rPr>
            </w:pPr>
          </w:p>
        </w:tc>
        <w:tc>
          <w:tcPr>
            <w:tcW w:w="3122" w:type="dxa"/>
            <w:vAlign w:val="center"/>
          </w:tcPr>
          <w:p w14:paraId="6EAE2C9B">
            <w:pPr>
              <w:pStyle w:val="33"/>
              <w:rPr>
                <w:color w:val="auto"/>
              </w:rPr>
            </w:pPr>
            <w:r>
              <w:rPr>
                <w:rFonts w:hint="eastAsia"/>
                <w:color w:val="auto"/>
              </w:rPr>
              <w:t>《大气污染物综合排放标准》（</w:t>
            </w:r>
            <w:r>
              <w:rPr>
                <w:color w:val="auto"/>
              </w:rPr>
              <w:t>GB16297-1996</w:t>
            </w:r>
            <w:r>
              <w:rPr>
                <w:rFonts w:hint="eastAsia"/>
                <w:color w:val="auto"/>
              </w:rPr>
              <w:t>）表</w:t>
            </w:r>
            <w:r>
              <w:rPr>
                <w:color w:val="auto"/>
              </w:rPr>
              <w:t>2</w:t>
            </w:r>
            <w:r>
              <w:rPr>
                <w:rFonts w:hint="eastAsia"/>
                <w:color w:val="auto"/>
              </w:rPr>
              <w:t>新污染源大气污染物排放限值中无组织排放监控浓度限值</w:t>
            </w:r>
          </w:p>
        </w:tc>
      </w:tr>
      <w:tr w14:paraId="40195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704" w:type="dxa"/>
            <w:vAlign w:val="center"/>
          </w:tcPr>
          <w:p w14:paraId="291C5199">
            <w:pPr>
              <w:pStyle w:val="33"/>
              <w:rPr>
                <w:color w:val="auto"/>
              </w:rPr>
            </w:pPr>
            <w:r>
              <w:rPr>
                <w:color w:val="auto"/>
              </w:rPr>
              <w:t>废水</w:t>
            </w:r>
          </w:p>
        </w:tc>
        <w:tc>
          <w:tcPr>
            <w:tcW w:w="2977" w:type="dxa"/>
            <w:gridSpan w:val="2"/>
            <w:vAlign w:val="center"/>
          </w:tcPr>
          <w:p w14:paraId="3E731CD2">
            <w:pPr>
              <w:pStyle w:val="33"/>
              <w:rPr>
                <w:color w:val="auto"/>
              </w:rPr>
            </w:pPr>
            <w:r>
              <w:rPr>
                <w:rFonts w:hint="eastAsia"/>
                <w:color w:val="auto"/>
              </w:rPr>
              <w:t>生产废水排放口</w:t>
            </w:r>
          </w:p>
        </w:tc>
        <w:tc>
          <w:tcPr>
            <w:tcW w:w="2126" w:type="dxa"/>
            <w:vAlign w:val="center"/>
          </w:tcPr>
          <w:p w14:paraId="61256DA4">
            <w:pPr>
              <w:pStyle w:val="33"/>
              <w:rPr>
                <w:color w:val="auto"/>
              </w:rPr>
            </w:pPr>
            <w:r>
              <w:rPr>
                <w:rFonts w:hint="eastAsia"/>
                <w:color w:val="auto"/>
              </w:rPr>
              <w:t>/</w:t>
            </w:r>
          </w:p>
        </w:tc>
        <w:tc>
          <w:tcPr>
            <w:tcW w:w="2693" w:type="dxa"/>
            <w:vAlign w:val="center"/>
          </w:tcPr>
          <w:p w14:paraId="73EC261C">
            <w:pPr>
              <w:pStyle w:val="33"/>
              <w:rPr>
                <w:color w:val="auto"/>
              </w:rPr>
            </w:pPr>
            <w:r>
              <w:rPr>
                <w:rFonts w:hint="eastAsia"/>
                <w:color w:val="auto"/>
              </w:rPr>
              <w:t>污水处理站采用“物化+好氧处理（SBR工艺）+混凝沉淀”三级处理工艺，污水经处理达标后与现有污水处理站出水混合后经现有排海管线深海排放</w:t>
            </w:r>
          </w:p>
        </w:tc>
        <w:tc>
          <w:tcPr>
            <w:tcW w:w="2552" w:type="dxa"/>
            <w:vAlign w:val="center"/>
          </w:tcPr>
          <w:p w14:paraId="457EF1D7">
            <w:pPr>
              <w:pStyle w:val="33"/>
              <w:rPr>
                <w:color w:val="auto"/>
              </w:rPr>
            </w:pPr>
            <w:r>
              <w:rPr>
                <w:rFonts w:hint="eastAsia"/>
                <w:color w:val="auto"/>
              </w:rPr>
              <w:t>工艺建设情况</w:t>
            </w:r>
          </w:p>
        </w:tc>
        <w:tc>
          <w:tcPr>
            <w:tcW w:w="3122" w:type="dxa"/>
            <w:vAlign w:val="center"/>
          </w:tcPr>
          <w:p w14:paraId="32108DB6">
            <w:pPr>
              <w:pStyle w:val="33"/>
              <w:rPr>
                <w:color w:val="auto"/>
              </w:rPr>
            </w:pPr>
            <w:r>
              <w:rPr>
                <w:rFonts w:hint="eastAsia"/>
                <w:color w:val="auto"/>
              </w:rPr>
              <w:t>《制浆造纸工业水污染物排放标准》（GB3544-2008）表2中制浆和造纸联合生产企业排放限值要求</w:t>
            </w:r>
          </w:p>
        </w:tc>
      </w:tr>
      <w:tr w14:paraId="1D467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704" w:type="dxa"/>
            <w:vMerge w:val="restart"/>
            <w:vAlign w:val="center"/>
          </w:tcPr>
          <w:p w14:paraId="2784E008">
            <w:pPr>
              <w:pStyle w:val="33"/>
              <w:rPr>
                <w:color w:val="auto"/>
              </w:rPr>
            </w:pPr>
            <w:r>
              <w:rPr>
                <w:rFonts w:hint="eastAsia"/>
                <w:color w:val="auto"/>
              </w:rPr>
              <w:t>固体废物</w:t>
            </w:r>
          </w:p>
        </w:tc>
        <w:tc>
          <w:tcPr>
            <w:tcW w:w="2977" w:type="dxa"/>
            <w:gridSpan w:val="2"/>
            <w:vAlign w:val="center"/>
          </w:tcPr>
          <w:p w14:paraId="2F9357B1">
            <w:pPr>
              <w:pStyle w:val="33"/>
              <w:rPr>
                <w:color w:val="auto"/>
              </w:rPr>
            </w:pPr>
            <w:r>
              <w:rPr>
                <w:rFonts w:hint="eastAsia"/>
                <w:color w:val="auto"/>
              </w:rPr>
              <w:t>危险废物</w:t>
            </w:r>
          </w:p>
        </w:tc>
        <w:tc>
          <w:tcPr>
            <w:tcW w:w="2126" w:type="dxa"/>
            <w:vAlign w:val="center"/>
          </w:tcPr>
          <w:p w14:paraId="4297F166">
            <w:pPr>
              <w:pStyle w:val="33"/>
              <w:rPr>
                <w:color w:val="auto"/>
              </w:rPr>
            </w:pPr>
            <w:r>
              <w:rPr>
                <w:rFonts w:hint="eastAsia"/>
                <w:color w:val="auto"/>
              </w:rPr>
              <w:t>/</w:t>
            </w:r>
          </w:p>
        </w:tc>
        <w:tc>
          <w:tcPr>
            <w:tcW w:w="2693" w:type="dxa"/>
            <w:vAlign w:val="center"/>
          </w:tcPr>
          <w:p w14:paraId="5A14B690">
            <w:pPr>
              <w:pStyle w:val="33"/>
              <w:rPr>
                <w:color w:val="auto"/>
              </w:rPr>
            </w:pPr>
            <w:r>
              <w:rPr>
                <w:rFonts w:hint="eastAsia"/>
                <w:color w:val="auto"/>
              </w:rPr>
              <w:t>废活性炭等交由有资质单位清运和处置。</w:t>
            </w:r>
          </w:p>
        </w:tc>
        <w:tc>
          <w:tcPr>
            <w:tcW w:w="2552" w:type="dxa"/>
            <w:vAlign w:val="center"/>
          </w:tcPr>
          <w:p w14:paraId="67AC8A5A">
            <w:pPr>
              <w:pStyle w:val="33"/>
              <w:rPr>
                <w:color w:val="auto"/>
              </w:rPr>
            </w:pPr>
            <w:r>
              <w:rPr>
                <w:rFonts w:hint="eastAsia"/>
                <w:color w:val="auto"/>
              </w:rPr>
              <w:t>/</w:t>
            </w:r>
          </w:p>
        </w:tc>
        <w:tc>
          <w:tcPr>
            <w:tcW w:w="3122" w:type="dxa"/>
            <w:vAlign w:val="center"/>
          </w:tcPr>
          <w:p w14:paraId="614488F1">
            <w:pPr>
              <w:pStyle w:val="33"/>
              <w:rPr>
                <w:color w:val="auto"/>
              </w:rPr>
            </w:pPr>
            <w:r>
              <w:rPr>
                <w:rFonts w:hint="eastAsia"/>
                <w:color w:val="auto"/>
              </w:rPr>
              <w:t>运行管理情况</w:t>
            </w:r>
          </w:p>
        </w:tc>
      </w:tr>
      <w:tr w14:paraId="242E2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704" w:type="dxa"/>
            <w:vMerge w:val="continue"/>
            <w:vAlign w:val="center"/>
          </w:tcPr>
          <w:p w14:paraId="3307EB7F">
            <w:pPr>
              <w:pStyle w:val="33"/>
              <w:rPr>
                <w:color w:val="auto"/>
              </w:rPr>
            </w:pPr>
          </w:p>
        </w:tc>
        <w:tc>
          <w:tcPr>
            <w:tcW w:w="2977" w:type="dxa"/>
            <w:gridSpan w:val="2"/>
            <w:vMerge w:val="restart"/>
            <w:vAlign w:val="center"/>
          </w:tcPr>
          <w:p w14:paraId="51E23AAE">
            <w:pPr>
              <w:pStyle w:val="33"/>
              <w:rPr>
                <w:color w:val="auto"/>
              </w:rPr>
            </w:pPr>
            <w:r>
              <w:rPr>
                <w:rFonts w:hint="eastAsia"/>
                <w:color w:val="auto"/>
              </w:rPr>
              <w:t>一般工业固废贮存间</w:t>
            </w:r>
          </w:p>
        </w:tc>
        <w:tc>
          <w:tcPr>
            <w:tcW w:w="2126" w:type="dxa"/>
            <w:vMerge w:val="restart"/>
            <w:vAlign w:val="center"/>
          </w:tcPr>
          <w:p w14:paraId="6EF2135A">
            <w:pPr>
              <w:pStyle w:val="33"/>
              <w:rPr>
                <w:color w:val="auto"/>
              </w:rPr>
            </w:pPr>
            <w:r>
              <w:rPr>
                <w:rFonts w:hint="eastAsia"/>
                <w:color w:val="auto"/>
              </w:rPr>
              <w:t>/</w:t>
            </w:r>
          </w:p>
        </w:tc>
        <w:tc>
          <w:tcPr>
            <w:tcW w:w="2693" w:type="dxa"/>
            <w:vAlign w:val="center"/>
          </w:tcPr>
          <w:p w14:paraId="57DD6459">
            <w:pPr>
              <w:pStyle w:val="33"/>
              <w:rPr>
                <w:color w:val="auto"/>
              </w:rPr>
            </w:pPr>
            <w:r>
              <w:rPr>
                <w:rFonts w:hint="eastAsia"/>
                <w:color w:val="auto"/>
              </w:rPr>
              <w:t>收集后外售资源回收公司</w:t>
            </w:r>
          </w:p>
        </w:tc>
        <w:tc>
          <w:tcPr>
            <w:tcW w:w="2552" w:type="dxa"/>
            <w:vMerge w:val="restart"/>
          </w:tcPr>
          <w:p w14:paraId="635F7F86">
            <w:pPr>
              <w:pStyle w:val="33"/>
              <w:rPr>
                <w:color w:val="auto"/>
              </w:rPr>
            </w:pPr>
            <w:r>
              <w:rPr>
                <w:rFonts w:hint="eastAsia"/>
                <w:color w:val="auto"/>
              </w:rPr>
              <w:t>按照《生态环境部办公厅印发关于&lt;一般工业固体废物环境管理工作指南&gt;的通知》（环办固体函〔2026〕18号）和《中华人民共和国固体废物污染环境防治法》要求管理，其贮存过程应满足防渗漏、防雨淋、防扬尘等环境保护要求</w:t>
            </w:r>
          </w:p>
        </w:tc>
        <w:tc>
          <w:tcPr>
            <w:tcW w:w="3122" w:type="dxa"/>
            <w:vMerge w:val="restart"/>
          </w:tcPr>
          <w:p w14:paraId="61AC25AC">
            <w:pPr>
              <w:pStyle w:val="33"/>
              <w:rPr>
                <w:color w:val="auto"/>
              </w:rPr>
            </w:pPr>
            <w:r>
              <w:rPr>
                <w:rFonts w:hint="eastAsia"/>
                <w:color w:val="auto"/>
              </w:rPr>
              <w:t>按照《生态环境部办公厅印发关于&lt;一般工业固体废物环境管理工作指南&gt;的通知》（环办固体函〔2026〕18号）和《中华人民共和国固体废物污染环境防治法》要求管理，其贮存过程应满足防渗漏、防雨淋、防扬尘等环境保护要求</w:t>
            </w:r>
          </w:p>
        </w:tc>
      </w:tr>
      <w:tr w14:paraId="03280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704" w:type="dxa"/>
            <w:vMerge w:val="continue"/>
            <w:vAlign w:val="center"/>
          </w:tcPr>
          <w:p w14:paraId="52BE625C">
            <w:pPr>
              <w:pStyle w:val="33"/>
              <w:rPr>
                <w:color w:val="auto"/>
              </w:rPr>
            </w:pPr>
          </w:p>
        </w:tc>
        <w:tc>
          <w:tcPr>
            <w:tcW w:w="2977" w:type="dxa"/>
            <w:gridSpan w:val="2"/>
            <w:vMerge w:val="continue"/>
            <w:vAlign w:val="center"/>
          </w:tcPr>
          <w:p w14:paraId="6CD0504A">
            <w:pPr>
              <w:pStyle w:val="33"/>
              <w:rPr>
                <w:color w:val="auto"/>
              </w:rPr>
            </w:pPr>
          </w:p>
        </w:tc>
        <w:tc>
          <w:tcPr>
            <w:tcW w:w="2126" w:type="dxa"/>
            <w:vMerge w:val="continue"/>
            <w:vAlign w:val="center"/>
          </w:tcPr>
          <w:p w14:paraId="0EA5242B">
            <w:pPr>
              <w:pStyle w:val="33"/>
              <w:rPr>
                <w:color w:val="auto"/>
              </w:rPr>
            </w:pPr>
          </w:p>
        </w:tc>
        <w:tc>
          <w:tcPr>
            <w:tcW w:w="2693" w:type="dxa"/>
            <w:vAlign w:val="center"/>
          </w:tcPr>
          <w:p w14:paraId="70692DB5">
            <w:pPr>
              <w:pStyle w:val="33"/>
              <w:rPr>
                <w:color w:val="auto"/>
              </w:rPr>
            </w:pPr>
            <w:r>
              <w:rPr>
                <w:rFonts w:hint="eastAsia"/>
                <w:color w:val="auto"/>
              </w:rPr>
              <w:t>污泥部分送入热电站锅炉焚烧回收热量，剩余部分外售至广西田东力源宝科技有限公司用作生态肥料</w:t>
            </w:r>
          </w:p>
        </w:tc>
        <w:tc>
          <w:tcPr>
            <w:tcW w:w="2552" w:type="dxa"/>
            <w:vMerge w:val="continue"/>
            <w:vAlign w:val="center"/>
          </w:tcPr>
          <w:p w14:paraId="0E0B596A">
            <w:pPr>
              <w:pStyle w:val="33"/>
              <w:rPr>
                <w:color w:val="auto"/>
              </w:rPr>
            </w:pPr>
          </w:p>
        </w:tc>
        <w:tc>
          <w:tcPr>
            <w:tcW w:w="3122" w:type="dxa"/>
            <w:vMerge w:val="continue"/>
            <w:vAlign w:val="center"/>
          </w:tcPr>
          <w:p w14:paraId="6471F745">
            <w:pPr>
              <w:pStyle w:val="33"/>
              <w:rPr>
                <w:color w:val="auto"/>
              </w:rPr>
            </w:pPr>
          </w:p>
        </w:tc>
      </w:tr>
      <w:tr w14:paraId="442AE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704" w:type="dxa"/>
            <w:vAlign w:val="center"/>
          </w:tcPr>
          <w:p w14:paraId="1A15C3E4">
            <w:pPr>
              <w:pStyle w:val="33"/>
              <w:rPr>
                <w:color w:val="auto"/>
              </w:rPr>
            </w:pPr>
            <w:r>
              <w:rPr>
                <w:rFonts w:hint="eastAsia"/>
                <w:color w:val="auto"/>
              </w:rPr>
              <w:t>噪声</w:t>
            </w:r>
          </w:p>
        </w:tc>
        <w:tc>
          <w:tcPr>
            <w:tcW w:w="2977" w:type="dxa"/>
            <w:gridSpan w:val="2"/>
            <w:vAlign w:val="center"/>
          </w:tcPr>
          <w:p w14:paraId="5008C1BE">
            <w:pPr>
              <w:pStyle w:val="33"/>
              <w:rPr>
                <w:color w:val="auto"/>
              </w:rPr>
            </w:pPr>
            <w:r>
              <w:rPr>
                <w:rFonts w:hint="eastAsia"/>
                <w:color w:val="auto"/>
              </w:rPr>
              <w:t>设备噪声</w:t>
            </w:r>
          </w:p>
        </w:tc>
        <w:tc>
          <w:tcPr>
            <w:tcW w:w="2126" w:type="dxa"/>
            <w:vAlign w:val="center"/>
          </w:tcPr>
          <w:p w14:paraId="7AFD6D89">
            <w:pPr>
              <w:pStyle w:val="33"/>
              <w:rPr>
                <w:color w:val="auto"/>
              </w:rPr>
            </w:pPr>
            <w:r>
              <w:rPr>
                <w:rFonts w:hint="eastAsia"/>
                <w:color w:val="auto"/>
              </w:rPr>
              <w:t>项目厂界</w:t>
            </w:r>
          </w:p>
        </w:tc>
        <w:tc>
          <w:tcPr>
            <w:tcW w:w="2693" w:type="dxa"/>
            <w:vAlign w:val="center"/>
          </w:tcPr>
          <w:p w14:paraId="676026F7">
            <w:pPr>
              <w:pStyle w:val="33"/>
              <w:rPr>
                <w:color w:val="auto"/>
              </w:rPr>
            </w:pPr>
            <w:r>
              <w:rPr>
                <w:rFonts w:hint="eastAsia"/>
                <w:color w:val="auto"/>
              </w:rPr>
              <w:t>厂界噪声</w:t>
            </w:r>
          </w:p>
        </w:tc>
        <w:tc>
          <w:tcPr>
            <w:tcW w:w="2552" w:type="dxa"/>
            <w:vAlign w:val="center"/>
          </w:tcPr>
          <w:p w14:paraId="6EC3B7DB">
            <w:pPr>
              <w:pStyle w:val="33"/>
              <w:rPr>
                <w:color w:val="auto"/>
              </w:rPr>
            </w:pPr>
            <w:r>
              <w:rPr>
                <w:rFonts w:hint="eastAsia"/>
                <w:color w:val="auto"/>
              </w:rPr>
              <w:t>采取隔声、减振、吸声、消声和绿化等降噪措施</w:t>
            </w:r>
          </w:p>
        </w:tc>
        <w:tc>
          <w:tcPr>
            <w:tcW w:w="3122" w:type="dxa"/>
            <w:vAlign w:val="center"/>
          </w:tcPr>
          <w:p w14:paraId="65713C80">
            <w:pPr>
              <w:pStyle w:val="33"/>
              <w:rPr>
                <w:color w:val="auto"/>
              </w:rPr>
            </w:pPr>
            <w:r>
              <w:rPr>
                <w:rFonts w:hint="eastAsia"/>
                <w:color w:val="auto"/>
              </w:rPr>
              <w:t>厂界达标</w:t>
            </w:r>
          </w:p>
        </w:tc>
      </w:tr>
      <w:tr w14:paraId="23C69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jc w:val="center"/>
        </w:trPr>
        <w:tc>
          <w:tcPr>
            <w:tcW w:w="5807" w:type="dxa"/>
            <w:gridSpan w:val="4"/>
            <w:vAlign w:val="center"/>
          </w:tcPr>
          <w:p w14:paraId="3C48C673">
            <w:pPr>
              <w:pStyle w:val="33"/>
              <w:rPr>
                <w:color w:val="auto"/>
              </w:rPr>
            </w:pPr>
            <w:r>
              <w:rPr>
                <w:rFonts w:hint="eastAsia"/>
                <w:color w:val="auto"/>
              </w:rPr>
              <w:t>环境风险</w:t>
            </w:r>
          </w:p>
        </w:tc>
        <w:tc>
          <w:tcPr>
            <w:tcW w:w="2693" w:type="dxa"/>
            <w:vAlign w:val="center"/>
          </w:tcPr>
          <w:p w14:paraId="4EF1EB30">
            <w:pPr>
              <w:pStyle w:val="33"/>
              <w:rPr>
                <w:color w:val="auto"/>
              </w:rPr>
            </w:pPr>
            <w:r>
              <w:rPr>
                <w:rFonts w:cs="Times New Roman"/>
                <w:color w:val="auto"/>
              </w:rPr>
              <w:t>初期雨水池、事故池等风险措施与管理</w:t>
            </w:r>
          </w:p>
        </w:tc>
        <w:tc>
          <w:tcPr>
            <w:tcW w:w="2552" w:type="dxa"/>
            <w:vAlign w:val="center"/>
          </w:tcPr>
          <w:p w14:paraId="31D8803B">
            <w:pPr>
              <w:pStyle w:val="33"/>
              <w:rPr>
                <w:color w:val="auto"/>
              </w:rPr>
            </w:pPr>
            <w:r>
              <w:rPr>
                <w:rFonts w:cs="Times New Roman"/>
                <w:color w:val="auto"/>
              </w:rPr>
              <w:t>风险各项措施与管理制度落实情况</w:t>
            </w:r>
          </w:p>
        </w:tc>
        <w:tc>
          <w:tcPr>
            <w:tcW w:w="3122" w:type="dxa"/>
            <w:vAlign w:val="center"/>
          </w:tcPr>
          <w:p w14:paraId="59BC3192">
            <w:pPr>
              <w:pStyle w:val="33"/>
              <w:rPr>
                <w:color w:val="auto"/>
              </w:rPr>
            </w:pPr>
            <w:r>
              <w:rPr>
                <w:rFonts w:cs="Times New Roman"/>
                <w:color w:val="auto"/>
              </w:rPr>
              <w:t>落实风险各项措施与管理制度</w:t>
            </w:r>
          </w:p>
        </w:tc>
      </w:tr>
    </w:tbl>
    <w:p w14:paraId="4F01EBEB">
      <w:pPr>
        <w:widowControl/>
        <w:spacing w:line="240" w:lineRule="auto"/>
        <w:ind w:firstLine="0" w:firstLineChars="0"/>
        <w:jc w:val="left"/>
        <w:rPr>
          <w:color w:val="auto"/>
        </w:rPr>
        <w:sectPr>
          <w:pgSz w:w="16838" w:h="11906" w:orient="landscape"/>
          <w:pgMar w:top="1418" w:right="1418" w:bottom="1418" w:left="1418" w:header="851" w:footer="992" w:gutter="0"/>
          <w:cols w:space="425" w:num="1"/>
          <w:docGrid w:type="lines" w:linePitch="326" w:charSpace="0"/>
        </w:sectPr>
      </w:pPr>
    </w:p>
    <w:p w14:paraId="0C426AC0">
      <w:pPr>
        <w:pStyle w:val="2"/>
        <w:rPr>
          <w:color w:val="auto"/>
        </w:rPr>
      </w:pPr>
      <w:bookmarkStart w:id="690" w:name="_Toc221355758"/>
      <w:bookmarkStart w:id="691" w:name="_Toc225216896"/>
      <w:r>
        <w:rPr>
          <w:rFonts w:hint="eastAsia"/>
          <w:color w:val="auto"/>
        </w:rPr>
        <w:t>环境影响评价结论</w:t>
      </w:r>
      <w:bookmarkEnd w:id="690"/>
      <w:bookmarkEnd w:id="691"/>
    </w:p>
    <w:p w14:paraId="7CAEA079">
      <w:pPr>
        <w:pStyle w:val="3"/>
        <w:rPr>
          <w:color w:val="auto"/>
        </w:rPr>
      </w:pPr>
      <w:bookmarkStart w:id="692" w:name="_Toc221355759"/>
      <w:bookmarkStart w:id="693" w:name="_Toc225216897"/>
      <w:r>
        <w:rPr>
          <w:rFonts w:hint="eastAsia"/>
          <w:color w:val="auto"/>
        </w:rPr>
        <w:t>项目概况</w:t>
      </w:r>
      <w:bookmarkEnd w:id="692"/>
      <w:bookmarkEnd w:id="693"/>
    </w:p>
    <w:p w14:paraId="524F45E8">
      <w:pPr>
        <w:ind w:firstLine="480"/>
        <w:rPr>
          <w:rFonts w:eastAsiaTheme="minorEastAsia"/>
          <w:color w:val="auto"/>
        </w:rPr>
      </w:pPr>
      <w:r>
        <w:rPr>
          <w:rFonts w:cs="Times New Roman"/>
          <w:color w:val="auto"/>
        </w:rPr>
        <w:t>广西</w:t>
      </w:r>
      <w:r>
        <w:rPr>
          <w:rFonts w:hint="eastAsia" w:cs="Times New Roman"/>
          <w:color w:val="auto"/>
        </w:rPr>
        <w:t>金桂浆纸业有限公司</w:t>
      </w:r>
      <w:r>
        <w:rPr>
          <w:rFonts w:hint="eastAsia"/>
          <w:color w:val="auto"/>
        </w:rPr>
        <w:t>位于钦州市钦州港经济技术开发区金光工业园</w:t>
      </w:r>
      <w:r>
        <w:rPr>
          <w:rFonts w:hint="eastAsia" w:cs="Times New Roman"/>
          <w:color w:val="auto"/>
        </w:rPr>
        <w:t>广西金桂浆纸业有限公司现有车间内</w:t>
      </w:r>
      <w:r>
        <w:rPr>
          <w:color w:val="auto"/>
        </w:rPr>
        <w:t>，</w:t>
      </w:r>
      <w:r>
        <w:rPr>
          <w:rFonts w:hint="eastAsia"/>
          <w:color w:val="auto"/>
        </w:rPr>
        <w:t>本次扩建不新征土地，</w:t>
      </w:r>
      <w:r>
        <w:rPr>
          <w:rFonts w:eastAsiaTheme="minorEastAsia"/>
          <w:color w:val="auto"/>
        </w:rPr>
        <w:t>总投资</w:t>
      </w:r>
      <w:r>
        <w:rPr>
          <w:rFonts w:hint="eastAsia"/>
          <w:color w:val="auto"/>
        </w:rPr>
        <w:t>49510</w:t>
      </w:r>
      <w:r>
        <w:rPr>
          <w:rFonts w:eastAsiaTheme="minorEastAsia"/>
          <w:color w:val="auto"/>
        </w:rPr>
        <w:t>万元，其中环保投资</w:t>
      </w:r>
      <w:r>
        <w:rPr>
          <w:rFonts w:hint="eastAsia"/>
          <w:color w:val="auto"/>
        </w:rPr>
        <w:t>22218</w:t>
      </w:r>
      <w:r>
        <w:rPr>
          <w:rFonts w:eastAsiaTheme="minorEastAsia"/>
          <w:color w:val="auto"/>
        </w:rPr>
        <w:t>万元</w:t>
      </w:r>
      <w:r>
        <w:rPr>
          <w:rFonts w:hint="eastAsia"/>
          <w:color w:val="auto"/>
        </w:rPr>
        <w:t>，占比44.9</w:t>
      </w:r>
      <w:r>
        <w:rPr>
          <w:color w:val="auto"/>
        </w:rPr>
        <w:t>%</w:t>
      </w:r>
      <w:r>
        <w:rPr>
          <w:rFonts w:eastAsiaTheme="minorEastAsia"/>
          <w:color w:val="auto"/>
        </w:rPr>
        <w:t>。</w:t>
      </w:r>
    </w:p>
    <w:p w14:paraId="4639AA2D">
      <w:pPr>
        <w:ind w:firstLine="480"/>
        <w:rPr>
          <w:color w:val="auto"/>
        </w:rPr>
      </w:pPr>
      <w:r>
        <w:rPr>
          <w:rFonts w:hint="eastAsia"/>
          <w:color w:val="auto"/>
        </w:rPr>
        <w:t>本项目通过增加部分设备和提升关键设备及系统性能，将2条白卡纸生产线产能从190万吨/年提升到300万吨/年，满足白卡纸的市场需求变化。其中，1#白卡纸生产线产能从100万吨/年提升到150万吨/年，2#白卡纸生产线产能从90万吨/年提升到150万吨/年</w:t>
      </w:r>
      <w:r>
        <w:rPr>
          <w:rFonts w:hint="eastAsia"/>
          <w:bCs/>
          <w:color w:val="auto"/>
        </w:rPr>
        <w:t>。配套建设</w:t>
      </w:r>
      <w:r>
        <w:rPr>
          <w:bCs/>
          <w:color w:val="auto"/>
        </w:rPr>
        <w:t>一套2万立方米/日的污水处理设施，末端增加5000立方米/日的中水回用工段</w:t>
      </w:r>
      <w:r>
        <w:rPr>
          <w:rFonts w:hint="eastAsia"/>
          <w:bCs/>
          <w:color w:val="auto"/>
        </w:rPr>
        <w:t>。项目建成后，全厂可形成100万t/a化机浆、300万t/a造纸产能。</w:t>
      </w:r>
    </w:p>
    <w:p w14:paraId="2D425278">
      <w:pPr>
        <w:pStyle w:val="3"/>
        <w:rPr>
          <w:color w:val="auto"/>
        </w:rPr>
      </w:pPr>
      <w:bookmarkStart w:id="694" w:name="_Toc221355760"/>
      <w:bookmarkStart w:id="695" w:name="_Toc225216898"/>
      <w:r>
        <w:rPr>
          <w:rFonts w:hint="eastAsia"/>
          <w:color w:val="auto"/>
        </w:rPr>
        <w:t>环境质量现状调查结论</w:t>
      </w:r>
      <w:bookmarkEnd w:id="694"/>
      <w:bookmarkEnd w:id="695"/>
    </w:p>
    <w:p w14:paraId="6462A26E">
      <w:pPr>
        <w:pStyle w:val="4"/>
        <w:rPr>
          <w:color w:val="auto"/>
        </w:rPr>
      </w:pPr>
      <w:bookmarkStart w:id="696" w:name="_Toc225216899"/>
      <w:r>
        <w:rPr>
          <w:rFonts w:hint="eastAsia"/>
          <w:color w:val="auto"/>
        </w:rPr>
        <w:t>环境空气质量现状</w:t>
      </w:r>
      <w:bookmarkEnd w:id="696"/>
    </w:p>
    <w:p w14:paraId="36FE31D3">
      <w:pPr>
        <w:ind w:firstLine="480"/>
        <w:rPr>
          <w:color w:val="auto"/>
        </w:rPr>
      </w:pPr>
      <w:r>
        <w:rPr>
          <w:rFonts w:hint="eastAsia"/>
          <w:color w:val="auto"/>
        </w:rPr>
        <w:t>根据广西壮族自治区生态环境厅发布的《自治区生态环境厅关于通报2024年设区市及各县（市、区）环境空气质量的函》（桂环函〔2025〕66号），2024年钦州市环境空气质量指数（AQI）优良率为97.5%，二氧化硫、二氧化氮、PM</w:t>
      </w:r>
      <w:r>
        <w:rPr>
          <w:rFonts w:hint="eastAsia"/>
          <w:color w:val="auto"/>
          <w:vertAlign w:val="subscript"/>
        </w:rPr>
        <w:t>10</w:t>
      </w:r>
      <w:r>
        <w:rPr>
          <w:rFonts w:hint="eastAsia"/>
          <w:color w:val="auto"/>
        </w:rPr>
        <w:t>和PM</w:t>
      </w:r>
      <w:r>
        <w:rPr>
          <w:rFonts w:hint="eastAsia"/>
          <w:color w:val="auto"/>
          <w:vertAlign w:val="subscript"/>
        </w:rPr>
        <w:t>2.5</w:t>
      </w:r>
      <w:r>
        <w:rPr>
          <w:rFonts w:hint="eastAsia"/>
          <w:color w:val="auto"/>
        </w:rPr>
        <w:t>年平均质量浓度、一氧化碳年评价浓度（第95百分位数）、臭氧年评价浓度（第90百分位数）均达到《环境空气质量标准》（GB3095-2012）二级标准。</w:t>
      </w:r>
    </w:p>
    <w:p w14:paraId="50CA39A7">
      <w:pPr>
        <w:ind w:firstLine="480"/>
        <w:rPr>
          <w:color w:val="auto"/>
        </w:rPr>
      </w:pPr>
      <w:r>
        <w:rPr>
          <w:rFonts w:hint="eastAsia"/>
          <w:color w:val="auto"/>
        </w:rPr>
        <w:t>补充监测厂区南侧上硫磺山村，监测点TSP满足《环境空气质量标准》（GB3095-2012）二级标准，</w:t>
      </w:r>
      <w:r>
        <w:rPr>
          <w:color w:val="auto"/>
        </w:rPr>
        <w:t>HCl、Cl</w:t>
      </w:r>
      <w:r>
        <w:rPr>
          <w:color w:val="auto"/>
          <w:vertAlign w:val="subscript"/>
        </w:rPr>
        <w:t>2</w:t>
      </w:r>
      <w:r>
        <w:rPr>
          <w:color w:val="auto"/>
        </w:rPr>
        <w:t>、NH</w:t>
      </w:r>
      <w:r>
        <w:rPr>
          <w:color w:val="auto"/>
          <w:vertAlign w:val="subscript"/>
        </w:rPr>
        <w:t>3</w:t>
      </w:r>
      <w:r>
        <w:rPr>
          <w:color w:val="auto"/>
        </w:rPr>
        <w:t>、H</w:t>
      </w:r>
      <w:r>
        <w:rPr>
          <w:color w:val="auto"/>
          <w:vertAlign w:val="subscript"/>
        </w:rPr>
        <w:t>2</w:t>
      </w:r>
      <w:r>
        <w:rPr>
          <w:color w:val="auto"/>
        </w:rPr>
        <w:t>S</w:t>
      </w:r>
      <w:r>
        <w:rPr>
          <w:rFonts w:hint="eastAsia"/>
          <w:color w:val="auto"/>
        </w:rPr>
        <w:t>满足《环境影响评价技术导则 大气环境》（HJ 2.2-2018）附录D其他污染物空气质量浓度参考限值。非甲烷总烃满足《大气污染物综合排放标准详解》推荐值；臭气浓度无评价标准，仅留作背景，不做评价。</w:t>
      </w:r>
    </w:p>
    <w:p w14:paraId="791298E0">
      <w:pPr>
        <w:pStyle w:val="4"/>
        <w:rPr>
          <w:color w:val="auto"/>
        </w:rPr>
      </w:pPr>
      <w:bookmarkStart w:id="697" w:name="_Toc225216900"/>
      <w:r>
        <w:rPr>
          <w:rFonts w:hint="eastAsia"/>
          <w:color w:val="auto"/>
        </w:rPr>
        <w:t>近岸海域环境质量现状</w:t>
      </w:r>
      <w:bookmarkEnd w:id="697"/>
    </w:p>
    <w:p w14:paraId="597FC814">
      <w:pPr>
        <w:ind w:firstLine="480"/>
        <w:rPr>
          <w:color w:val="auto"/>
        </w:rPr>
      </w:pPr>
      <w:r>
        <w:rPr>
          <w:color w:val="auto"/>
          <w:kern w:val="0"/>
        </w:rPr>
        <w:t>引用监测报告中的5个海水调查站位分别为：GX002、GX004、GX005、GX006、GX008，监测时间为2024年10月~11月和2025年8月，监测因子为pH、水温、盐度、悬浮物、化学需氧量、溶解氧、无机氮、活性磷酸盐、石油类、铜、铅、镉、汞、锌、总铬、砷、镍、锰共18项。GX002、GX004、GX005、GX006、GX008中硫酸盐、锑、铊、锰、钴、氯化物、盐度镍无相应标准，仅留作背景值；GX002、GX005的活性磷酸盐超过《海水水质标准》（GB3097-1997）第二类标准要求，其余监测因子满足《海水水质标准》（GB3097-1997）第二类标准要求；GX006的活性磷酸盐超过《海水水质标准》（GB3097-1997）第三类标准要求，其余监测因子均低于《海水水质标准》（GB3097-1997）第三类标准要求；</w:t>
      </w:r>
      <w:r>
        <w:rPr>
          <w:rFonts w:hint="eastAsia"/>
          <w:color w:val="auto"/>
          <w:kern w:val="0"/>
        </w:rPr>
        <w:t>GX008其余监测因子均低于《海水水质标准》（GB3097-1997）第二类标准要求</w:t>
      </w:r>
      <w:r>
        <w:rPr>
          <w:color w:val="auto"/>
          <w:kern w:val="0"/>
        </w:rPr>
        <w:t>；GX004的监测因子其余监测因子均低于《海水水质标准》（GB3097－1997）第四类标准要求。</w:t>
      </w:r>
    </w:p>
    <w:p w14:paraId="162B871A">
      <w:pPr>
        <w:ind w:firstLine="480"/>
        <w:rPr>
          <w:color w:val="auto"/>
          <w:kern w:val="0"/>
        </w:rPr>
      </w:pPr>
      <w:r>
        <w:rPr>
          <w:rFonts w:hint="eastAsia"/>
          <w:color w:val="auto"/>
          <w:kern w:val="0"/>
        </w:rPr>
        <w:t>海洋沉积物</w:t>
      </w:r>
      <w:r>
        <w:rPr>
          <w:color w:val="auto"/>
          <w:kern w:val="0"/>
        </w:rPr>
        <w:t>监测结果满足《海洋沉积物质量》（GB18668-2002）第二类标准要求，镍、锑、铊、锰、钴无相应标准，仅留作背景值</w:t>
      </w:r>
      <w:r>
        <w:rPr>
          <w:rFonts w:hint="eastAsia"/>
          <w:color w:val="auto"/>
          <w:kern w:val="0"/>
        </w:rPr>
        <w:t>。</w:t>
      </w:r>
    </w:p>
    <w:p w14:paraId="1EEAB023">
      <w:pPr>
        <w:ind w:firstLine="480"/>
        <w:rPr>
          <w:color w:val="auto"/>
        </w:rPr>
      </w:pPr>
      <w:r>
        <w:rPr>
          <w:rFonts w:hint="eastAsia"/>
          <w:color w:val="auto"/>
          <w:kern w:val="0"/>
        </w:rPr>
        <w:t>海洋生物质量</w:t>
      </w:r>
      <w:r>
        <w:rPr>
          <w:color w:val="auto"/>
          <w:kern w:val="0"/>
        </w:rPr>
        <w:t>文蛤中的镉、铅、铜、锌、砷、</w:t>
      </w:r>
      <w:r>
        <w:rPr>
          <w:rFonts w:hint="eastAsia"/>
          <w:color w:val="auto"/>
          <w:kern w:val="0"/>
        </w:rPr>
        <w:t>铬、</w:t>
      </w:r>
      <w:r>
        <w:rPr>
          <w:color w:val="auto"/>
          <w:kern w:val="0"/>
        </w:rPr>
        <w:t>总汞、石油烃和牡蛎中的石油烃均低于《海洋生物质量》（GB 18421-2001）表1海洋贝类生物质量标准值，鱼类中的石油类低于《环境影响评价导则 海洋生态环境》（HJ1409-2025）中的附录C标准限值；镍、钴、锰、铊、锑无相应标准，仅留作本低值。</w:t>
      </w:r>
    </w:p>
    <w:p w14:paraId="2C73F154">
      <w:pPr>
        <w:pStyle w:val="4"/>
        <w:rPr>
          <w:color w:val="auto"/>
        </w:rPr>
      </w:pPr>
      <w:bookmarkStart w:id="698" w:name="_Toc225216901"/>
      <w:r>
        <w:rPr>
          <w:rFonts w:hint="eastAsia"/>
          <w:color w:val="auto"/>
        </w:rPr>
        <w:t>地下水环境质量现状</w:t>
      </w:r>
      <w:bookmarkEnd w:id="698"/>
    </w:p>
    <w:p w14:paraId="76FDE959">
      <w:pPr>
        <w:ind w:firstLine="480"/>
        <w:rPr>
          <w:color w:val="auto"/>
        </w:rPr>
      </w:pPr>
      <w:r>
        <w:rPr>
          <w:rFonts w:hint="eastAsia"/>
          <w:color w:val="auto"/>
        </w:rPr>
        <w:t>由监测结果可知，</w:t>
      </w:r>
      <w:r>
        <w:rPr>
          <w:color w:val="auto"/>
        </w:rPr>
        <w:t>U1</w:t>
      </w:r>
      <w:r>
        <w:rPr>
          <w:rFonts w:hint="eastAsia"/>
          <w:color w:val="auto"/>
        </w:rPr>
        <w:t>、</w:t>
      </w:r>
      <w:r>
        <w:rPr>
          <w:color w:val="auto"/>
        </w:rPr>
        <w:t>U2</w:t>
      </w:r>
      <w:r>
        <w:rPr>
          <w:rFonts w:hint="eastAsia"/>
          <w:color w:val="auto"/>
        </w:rPr>
        <w:t>、</w:t>
      </w:r>
      <w:r>
        <w:rPr>
          <w:color w:val="auto"/>
        </w:rPr>
        <w:t>U3</w:t>
      </w:r>
      <w:r>
        <w:rPr>
          <w:rFonts w:hint="eastAsia"/>
          <w:color w:val="auto"/>
        </w:rPr>
        <w:t>点位p</w:t>
      </w:r>
      <w:r>
        <w:rPr>
          <w:color w:val="auto"/>
        </w:rPr>
        <w:t>H</w:t>
      </w:r>
      <w:r>
        <w:rPr>
          <w:rFonts w:hint="eastAsia"/>
          <w:color w:val="auto"/>
        </w:rPr>
        <w:t>值偏酸性，其余各项监测因子均达到《地下水质量标准》（G</w:t>
      </w:r>
      <w:r>
        <w:rPr>
          <w:color w:val="auto"/>
        </w:rPr>
        <w:t>B/T14848-2017</w:t>
      </w:r>
      <w:r>
        <w:rPr>
          <w:rFonts w:hint="eastAsia"/>
          <w:color w:val="auto"/>
        </w:rPr>
        <w:t>）I</w:t>
      </w:r>
      <w:r>
        <w:rPr>
          <w:color w:val="auto"/>
        </w:rPr>
        <w:t>II</w:t>
      </w:r>
      <w:r>
        <w:rPr>
          <w:rFonts w:hint="eastAsia"/>
          <w:color w:val="auto"/>
        </w:rPr>
        <w:t>类标准限值要求。</w:t>
      </w:r>
    </w:p>
    <w:p w14:paraId="05EDE044">
      <w:pPr>
        <w:ind w:firstLine="480"/>
        <w:rPr>
          <w:rFonts w:hint="eastAsia"/>
          <w:color w:val="auto"/>
        </w:rPr>
      </w:pPr>
      <w:r>
        <w:rPr>
          <w:rFonts w:hint="eastAsia"/>
          <w:color w:val="auto"/>
        </w:rPr>
        <w:t>根据2018年12月《广西金桂浆纸业有限公司年产30万吨过氧化氢（浓度27.5%）项目水文地质调查报告》地下水监测水样试验成果中，调查区内5个水样的pH值为4.6-6.68，其中4个水样pH值小于6.5；2004年10月《广西金桂浆纸业有限公司林浆纸一体化工程年产60万吨高档纸板项目环境影响报告书》地下水监测水样试验成果中，调查区内3个监测井水的pH值在4.37~6.40之间，小于6.5，水质偏酸性。调查村屯附近在金桂纸厂没建成投产前已存在地下水偏酸的现象，以往的监测也出现类似问题，并且金桂浆纸现有工程不排放酸碱废水；因此pH值超标原因应与当地土壤、水质有关，与金桂纸厂正常生产无关。金桂现有防渗措施符合设计的工程防渗措施，正常情况下金桂项目污水不存在跑、冒、滴、漏引起地下水水质恶化。地下水中pH值的超标（多表现为偏酸性）在桂南地区具有一定的普遍性（据《1:20万钦州合浦幅综合水文地质报告》中水质评价“除岩溶水和玄武岩类裂隙孔洞水外，区内其他类型的地下水，均有部分或大部分是pH值小于6.5的弱酸性甚至是强酸性水”）。因此推测本次地下水监测</w:t>
      </w:r>
      <w:r>
        <w:rPr>
          <w:color w:val="auto"/>
        </w:rPr>
        <w:t>pH</w:t>
      </w:r>
      <w:r>
        <w:rPr>
          <w:rFonts w:hint="eastAsia"/>
          <w:color w:val="auto"/>
        </w:rPr>
        <w:t>值超标原因为区域地质偏酸性。</w:t>
      </w:r>
    </w:p>
    <w:p w14:paraId="08C0B4AE">
      <w:pPr>
        <w:ind w:firstLine="480"/>
        <w:rPr>
          <w:rFonts w:hint="default" w:eastAsia="宋体"/>
          <w:color w:val="auto"/>
          <w:lang w:val="en-US" w:eastAsia="zh-CN"/>
        </w:rPr>
      </w:pPr>
      <w:r>
        <w:rPr>
          <w:rFonts w:hint="eastAsia"/>
          <w:color w:val="auto"/>
          <w:lang w:val="en-US" w:eastAsia="zh-CN"/>
        </w:rPr>
        <w:t>包气带监测结果显示，</w:t>
      </w:r>
      <w:r>
        <w:rPr>
          <w:rFonts w:hint="eastAsia"/>
          <w:color w:val="auto"/>
        </w:rPr>
        <w:t>厂区生产未对包气带造成污染。部分点位</w:t>
      </w:r>
      <w:r>
        <w:rPr>
          <w:color w:val="auto"/>
        </w:rPr>
        <w:t>pH</w:t>
      </w:r>
      <w:r>
        <w:rPr>
          <w:rFonts w:hint="eastAsia"/>
          <w:color w:val="auto"/>
        </w:rPr>
        <w:t>值偏低，结合历史数据分析，可能与区域地质背景有关。</w:t>
      </w:r>
    </w:p>
    <w:p w14:paraId="74BE2442">
      <w:pPr>
        <w:pStyle w:val="4"/>
        <w:rPr>
          <w:color w:val="auto"/>
        </w:rPr>
      </w:pPr>
      <w:bookmarkStart w:id="699" w:name="_Toc225216902"/>
      <w:r>
        <w:rPr>
          <w:rFonts w:hint="eastAsia"/>
          <w:color w:val="auto"/>
        </w:rPr>
        <w:t>声环境质量现状</w:t>
      </w:r>
      <w:bookmarkEnd w:id="699"/>
    </w:p>
    <w:p w14:paraId="3D81F34F">
      <w:pPr>
        <w:ind w:firstLine="480"/>
        <w:rPr>
          <w:color w:val="auto"/>
        </w:rPr>
      </w:pPr>
      <w:r>
        <w:rPr>
          <w:color w:val="auto"/>
        </w:rPr>
        <w:t>根据监测结果，</w:t>
      </w:r>
      <w:r>
        <w:rPr>
          <w:rFonts w:hint="eastAsia"/>
          <w:color w:val="auto"/>
        </w:rPr>
        <w:t>厂区南侧</w:t>
      </w:r>
      <w:r>
        <w:rPr>
          <w:color w:val="auto"/>
        </w:rPr>
        <w:t>昼、夜声环境均能</w:t>
      </w:r>
      <w:r>
        <w:rPr>
          <w:rFonts w:hint="eastAsia"/>
          <w:color w:val="auto"/>
        </w:rPr>
        <w:t>满足</w:t>
      </w:r>
      <w:r>
        <w:rPr>
          <w:color w:val="auto"/>
        </w:rPr>
        <w:t>《声环境质量标准》（GB3096-2008）中</w:t>
      </w:r>
      <w:r>
        <w:rPr>
          <w:rFonts w:hint="eastAsia"/>
          <w:color w:val="auto"/>
        </w:rPr>
        <w:t>4a</w:t>
      </w:r>
      <w:r>
        <w:rPr>
          <w:color w:val="auto"/>
        </w:rPr>
        <w:t>类区标准要求，</w:t>
      </w:r>
      <w:r>
        <w:rPr>
          <w:rFonts w:hint="eastAsia"/>
          <w:color w:val="auto"/>
        </w:rPr>
        <w:t>厂区东侧、西侧、北侧</w:t>
      </w:r>
      <w:r>
        <w:rPr>
          <w:color w:val="auto"/>
        </w:rPr>
        <w:t>的昼、夜声环境均能满足《声环境质量标准》（GB3096-2008）中3类区标准要求</w:t>
      </w:r>
      <w:r>
        <w:rPr>
          <w:rFonts w:hint="eastAsia"/>
          <w:color w:val="auto"/>
        </w:rPr>
        <w:t>，敏感点</w:t>
      </w:r>
      <w:r>
        <w:rPr>
          <w:color w:val="auto"/>
        </w:rPr>
        <w:t>昼、夜声环境均能满足《声环境质量标准》（GB3096-2008）中2类区标准要求</w:t>
      </w:r>
      <w:r>
        <w:rPr>
          <w:rFonts w:hint="eastAsia"/>
          <w:color w:val="auto"/>
        </w:rPr>
        <w:t>。</w:t>
      </w:r>
    </w:p>
    <w:p w14:paraId="3D5FF6F0">
      <w:pPr>
        <w:pStyle w:val="4"/>
        <w:rPr>
          <w:color w:val="auto"/>
        </w:rPr>
      </w:pPr>
      <w:bookmarkStart w:id="700" w:name="_Toc225216903"/>
      <w:r>
        <w:rPr>
          <w:rFonts w:hint="eastAsia"/>
          <w:color w:val="auto"/>
        </w:rPr>
        <w:t>土壤环境质量现状</w:t>
      </w:r>
      <w:bookmarkEnd w:id="700"/>
    </w:p>
    <w:p w14:paraId="25913BD7">
      <w:pPr>
        <w:ind w:firstLine="480"/>
        <w:rPr>
          <w:color w:val="auto"/>
        </w:rPr>
      </w:pPr>
      <w:r>
        <w:rPr>
          <w:rFonts w:hint="eastAsia"/>
          <w:color w:val="auto"/>
        </w:rPr>
        <w:t>本项目评价范围厂区内各监测点位满足《土壤环境质量 建设用地土壤污染风险管控标准（试行）》（GB36600-2018）第二类用地筛选值要求。厂区外各监测点位满足《土壤环境质量 农用地土壤污染风险管控标准（试行）》（GB 15618-2018）风险筛选值要求。</w:t>
      </w:r>
    </w:p>
    <w:p w14:paraId="4FB17B19">
      <w:pPr>
        <w:pStyle w:val="4"/>
        <w:rPr>
          <w:color w:val="auto"/>
        </w:rPr>
      </w:pPr>
      <w:bookmarkStart w:id="701" w:name="_Toc225216904"/>
      <w:r>
        <w:rPr>
          <w:rFonts w:hint="eastAsia"/>
          <w:color w:val="auto"/>
        </w:rPr>
        <w:t>生态环境质量现状</w:t>
      </w:r>
      <w:bookmarkEnd w:id="701"/>
    </w:p>
    <w:p w14:paraId="66CC5FAC">
      <w:pPr>
        <w:ind w:firstLine="480"/>
        <w:rPr>
          <w:color w:val="auto"/>
        </w:rPr>
      </w:pPr>
      <w:r>
        <w:rPr>
          <w:rFonts w:hint="eastAsia"/>
          <w:color w:val="auto"/>
        </w:rPr>
        <w:t>项目属污染影响类建设项目，全厂地块位于广西钦州林浆纸产业园金，产业园规划环评均已批准，项目符合这产业园区规划环评的要求，不涉及生态敏感区。根据《环境影响评价技术导则 生态影响》（HJ19-2022）6.1.8，项目可不确定评价等级，直接进行生态影响简单分析。</w:t>
      </w:r>
    </w:p>
    <w:p w14:paraId="497F3169">
      <w:pPr>
        <w:ind w:firstLine="480"/>
        <w:rPr>
          <w:color w:val="auto"/>
        </w:rPr>
      </w:pPr>
      <w:r>
        <w:rPr>
          <w:rFonts w:hint="eastAsia"/>
          <w:color w:val="auto"/>
        </w:rPr>
        <w:t>评价区位于城镇边缘，为人类活动干扰频繁区，陆生植被以人工植被为主，植被类型单一，结构简单，生态系统的生态功能不强。评价区域无国家重点保护的珍稀濒危动、植物种类。评价区域生态环境质量一般。</w:t>
      </w:r>
    </w:p>
    <w:p w14:paraId="2F976083">
      <w:pPr>
        <w:pStyle w:val="3"/>
        <w:rPr>
          <w:color w:val="auto"/>
        </w:rPr>
      </w:pPr>
      <w:bookmarkStart w:id="702" w:name="_Toc221355761"/>
      <w:bookmarkStart w:id="703" w:name="_Toc225216905"/>
      <w:r>
        <w:rPr>
          <w:rFonts w:hint="eastAsia"/>
          <w:color w:val="auto"/>
        </w:rPr>
        <w:t>污染物排放及主要环境影响及防治措施</w:t>
      </w:r>
      <w:bookmarkEnd w:id="702"/>
      <w:bookmarkEnd w:id="703"/>
    </w:p>
    <w:p w14:paraId="5D5E537C">
      <w:pPr>
        <w:pStyle w:val="4"/>
        <w:rPr>
          <w:color w:val="auto"/>
        </w:rPr>
      </w:pPr>
      <w:bookmarkStart w:id="704" w:name="_Toc225216906"/>
      <w:r>
        <w:rPr>
          <w:rFonts w:hint="eastAsia"/>
          <w:color w:val="auto"/>
        </w:rPr>
        <w:t>大气环境影响及防治措施</w:t>
      </w:r>
      <w:bookmarkEnd w:id="704"/>
    </w:p>
    <w:p w14:paraId="539C25E7">
      <w:pPr>
        <w:ind w:firstLine="480"/>
        <w:rPr>
          <w:color w:val="auto"/>
        </w:rPr>
      </w:pPr>
      <w:r>
        <w:rPr>
          <w:color w:val="auto"/>
        </w:rPr>
        <w:t>本项目大气评价等级为二级，根据《环境影响评价技术导则大气环境》（HJ2.2-2018）8.1.2“二级评价项目不进行进一步预测与评价，只对污染物排放量进行核算”，因此本报告不再进行进一步预测与评价。</w:t>
      </w:r>
    </w:p>
    <w:p w14:paraId="2866F340">
      <w:pPr>
        <w:ind w:firstLine="480"/>
        <w:rPr>
          <w:color w:val="auto"/>
        </w:rPr>
      </w:pPr>
      <w:r>
        <w:rPr>
          <w:color w:val="auto"/>
        </w:rPr>
        <w:t>使用AERSCREEN模型对各污染源排放的污染物进行计算。根据运算结果，在所有污染源排放的污染物中，</w:t>
      </w:r>
      <w:r>
        <w:rPr>
          <w:rFonts w:hint="eastAsia" w:cs="Times New Roman"/>
          <w:color w:val="auto"/>
        </w:rPr>
        <w:t>最大占标率P</w:t>
      </w:r>
      <w:r>
        <w:rPr>
          <w:rFonts w:hint="eastAsia" w:cs="Times New Roman"/>
          <w:color w:val="auto"/>
          <w:vertAlign w:val="subscript"/>
        </w:rPr>
        <w:t>max</w:t>
      </w:r>
      <w:r>
        <w:rPr>
          <w:rFonts w:hint="eastAsia" w:cs="Times New Roman"/>
          <w:color w:val="auto"/>
        </w:rPr>
        <w:t>为7.01%</w:t>
      </w:r>
      <w:r>
        <w:rPr>
          <w:color w:val="auto"/>
        </w:rPr>
        <w:t>，小于10%。因此本次大气环境影响评价等级为二级，不进行进一步预测。</w:t>
      </w:r>
    </w:p>
    <w:p w14:paraId="074D0865">
      <w:pPr>
        <w:pStyle w:val="4"/>
        <w:rPr>
          <w:color w:val="auto"/>
        </w:rPr>
      </w:pPr>
      <w:bookmarkStart w:id="705" w:name="_Toc225216907"/>
      <w:r>
        <w:rPr>
          <w:rFonts w:hint="eastAsia"/>
          <w:color w:val="auto"/>
        </w:rPr>
        <w:t>地表水环境影响及防治措施</w:t>
      </w:r>
      <w:bookmarkEnd w:id="705"/>
    </w:p>
    <w:p w14:paraId="3147C4C1">
      <w:pPr>
        <w:ind w:firstLine="480"/>
        <w:rPr>
          <w:color w:val="auto"/>
        </w:rPr>
      </w:pPr>
      <w:r>
        <w:rPr>
          <w:color w:val="auto"/>
        </w:rPr>
        <w:t>本项目无新增生产废水外排，生活污水经处理后排入大榄坪污水处理厂处理，且根据建设单位提供的2023年、2024年</w:t>
      </w:r>
      <w:r>
        <w:rPr>
          <w:rFonts w:hint="eastAsia"/>
          <w:color w:val="auto"/>
        </w:rPr>
        <w:t>、2025年</w:t>
      </w:r>
      <w:r>
        <w:rPr>
          <w:color w:val="auto"/>
        </w:rPr>
        <w:t>废水总排口在线监测与自行监测数据。厂区生产废水总排口的各项因子均满足排污许可证规定限制。</w:t>
      </w:r>
    </w:p>
    <w:p w14:paraId="2953E1EE">
      <w:pPr>
        <w:ind w:firstLine="480"/>
        <w:rPr>
          <w:color w:val="auto"/>
        </w:rPr>
      </w:pPr>
      <w:r>
        <w:rPr>
          <w:color w:val="auto"/>
        </w:rPr>
        <w:t>因此本次评价引用《广西金桂浆纸业有限公司年产75万吨化机浆扩建项目环境影响评价报告书》中关于海洋环境影响预测与评价的结论：</w:t>
      </w:r>
    </w:p>
    <w:p w14:paraId="120F34CA">
      <w:pPr>
        <w:ind w:firstLine="480"/>
        <w:rPr>
          <w:color w:val="auto"/>
        </w:rPr>
      </w:pPr>
      <w:r>
        <w:rPr>
          <w:rFonts w:ascii="Cambria Math" w:hAnsi="Cambria Math" w:cs="Cambria Math"/>
          <w:color w:val="auto"/>
        </w:rPr>
        <w:t>①</w:t>
      </w:r>
      <w:r>
        <w:rPr>
          <w:color w:val="auto"/>
        </w:rPr>
        <w:t>广西金桂浆纸业有限公司年产75万吨化机浆扩建项目一期、二期建成后，污染负荷较广西金桂浆纸业有限公司年产180万吨高档纸板扩建项目完成后全厂废水排放量减少，污染符合COD减少。因此，75万吨化机浆项目建成后对海洋水质与生态环境的影响较已批在建的180万吨扩建项目环评报告预测相比影响更小。</w:t>
      </w:r>
    </w:p>
    <w:p w14:paraId="6C68EE3D">
      <w:pPr>
        <w:ind w:firstLine="480"/>
        <w:rPr>
          <w:color w:val="auto"/>
        </w:rPr>
      </w:pPr>
      <w:r>
        <w:rPr>
          <w:rFonts w:ascii="Cambria Math" w:hAnsi="Cambria Math" w:cs="Cambria Math"/>
          <w:color w:val="auto"/>
        </w:rPr>
        <w:t>②</w:t>
      </w:r>
      <w:r>
        <w:rPr>
          <w:color w:val="auto"/>
        </w:rPr>
        <w:t>根据《广西金桂浆纸业有限公司年产180万吨高档纸板扩建项目环境影响报告书》海洋环境影响预测结果，分析本项目一期、二期建成后：COD最大浓度符合二类海水水质标准，无机氮最大浓度符合二类海水水质标准，磷酸盐最大浓度符合二类海水水质标准；COD、无机氮对海洋生物的影响都将有所降低。</w:t>
      </w:r>
    </w:p>
    <w:p w14:paraId="10889798">
      <w:pPr>
        <w:ind w:firstLine="480"/>
        <w:rPr>
          <w:color w:val="auto"/>
        </w:rPr>
      </w:pPr>
      <w:r>
        <w:rPr>
          <w:rFonts w:ascii="Cambria Math" w:hAnsi="Cambria Math" w:cs="Cambria Math"/>
          <w:color w:val="auto"/>
        </w:rPr>
        <w:t>③</w:t>
      </w:r>
      <w:r>
        <w:rPr>
          <w:color w:val="auto"/>
        </w:rPr>
        <w:t>根据《钦州港总体规划（2019-2035）》，未来将继续实施三墩港区围填海工程，围填海工程势必引起钦州湾岸形变化，引起内湾及湾口区水动力分布变化，污染物通过动力迁移扩散的特性也会相应变化。根据《钦州港总体规划（2019-2035年）环境影响报告书》预测结果，就围填海工程而言，对钦州湾海域尤其是茅尾海水质变化的影响很小，导致茅尾海COD、无机氮及活性磷酸盐平均浓度值较现状升高的幅度不超过3%。因此，围填海工程造成的钦州湾岸形变化，基本不会对本项目排污口附近海域海水水质产生较大影响。根据《钦州湾海域污染整治及排污控制目标方案》，未来将在三墩港区围填海工程近期规划的西侧突堤修建钦州港外迁污水总排放口，并修建钦州湾污水外迁管道，将钦州湾现有污水处理厂尾水引至外迁污水总排放口排放，污水外迁管道与三墩二期扩区填海工程同步实施。因此，未来金桂公司排污口位置发生变化，需由公司或公司协助相关部门对海洋环境影响另行分析。</w:t>
      </w:r>
    </w:p>
    <w:p w14:paraId="632C5864">
      <w:pPr>
        <w:pStyle w:val="4"/>
        <w:rPr>
          <w:color w:val="auto"/>
        </w:rPr>
      </w:pPr>
      <w:bookmarkStart w:id="706" w:name="_Toc225216908"/>
      <w:r>
        <w:rPr>
          <w:rFonts w:hint="eastAsia"/>
          <w:color w:val="auto"/>
        </w:rPr>
        <w:t>地下水环境影响及防治措施</w:t>
      </w:r>
      <w:bookmarkEnd w:id="706"/>
    </w:p>
    <w:p w14:paraId="3747DAAE">
      <w:pPr>
        <w:ind w:firstLine="480"/>
        <w:rPr>
          <w:color w:val="auto"/>
        </w:rPr>
      </w:pPr>
      <w:r>
        <w:rPr>
          <w:color w:val="auto"/>
        </w:rPr>
        <w:t>针对场地的地质、水文地质条件、地下水环境背景现状及项目建设情况，项目可能发生地下水污染，地下水污染防治措施按照</w:t>
      </w:r>
      <w:r>
        <w:rPr>
          <w:rFonts w:hint="eastAsia"/>
          <w:color w:val="auto"/>
        </w:rPr>
        <w:t>“</w:t>
      </w:r>
      <w:r>
        <w:rPr>
          <w:color w:val="auto"/>
        </w:rPr>
        <w:t>源头控制、末端防治、污染监控、应急响应</w:t>
      </w:r>
      <w:r>
        <w:rPr>
          <w:rFonts w:hint="eastAsia"/>
          <w:color w:val="auto"/>
        </w:rPr>
        <w:t>”</w:t>
      </w:r>
      <w:r>
        <w:rPr>
          <w:color w:val="auto"/>
        </w:rPr>
        <w:t>相结合的原则，从污染物的产生、入渗、扩散、应急响应全阶段进行控制。</w:t>
      </w:r>
    </w:p>
    <w:p w14:paraId="5A9D23B2">
      <w:pPr>
        <w:ind w:firstLine="480"/>
        <w:rPr>
          <w:color w:val="auto"/>
        </w:rPr>
      </w:pPr>
      <w:r>
        <w:rPr>
          <w:color w:val="auto"/>
        </w:rPr>
        <w:t>本项目厂区实行防渗区，各分区的防渗设计应满足防腐防渗措施要求，建立地下水监控措施方案，在做好下水污染防治措施的情况下，本项目对地下水不会造成明显的影响，项目采取的地下水防治措施在技术上是可行的</w:t>
      </w:r>
      <w:r>
        <w:rPr>
          <w:rFonts w:hint="eastAsia"/>
          <w:color w:val="auto"/>
        </w:rPr>
        <w:t>。</w:t>
      </w:r>
    </w:p>
    <w:p w14:paraId="596F3F60">
      <w:pPr>
        <w:pStyle w:val="4"/>
        <w:rPr>
          <w:color w:val="auto"/>
        </w:rPr>
      </w:pPr>
      <w:bookmarkStart w:id="707" w:name="_Toc225216909"/>
      <w:r>
        <w:rPr>
          <w:rFonts w:hint="eastAsia"/>
          <w:color w:val="auto"/>
        </w:rPr>
        <w:t>土壤环境影响及防治措施</w:t>
      </w:r>
      <w:bookmarkEnd w:id="707"/>
    </w:p>
    <w:p w14:paraId="1BDF2C4E">
      <w:pPr>
        <w:ind w:firstLine="480"/>
        <w:rPr>
          <w:color w:val="auto"/>
        </w:rPr>
      </w:pPr>
      <w:r>
        <w:rPr>
          <w:rFonts w:hint="eastAsia"/>
          <w:color w:val="auto"/>
        </w:rPr>
        <w:t>本项目为污染型项目，对土壤环境的影响类型为垂直入渗型。项目针对各类可能发生渗漏的构造物采取了对应的污染防治措施，从源头上控制项目对土壤环境可能造成影响的污染源。在做好土壤环境保护措施的前提下，正常情况下，拟建项目运行对项目所在地土壤环境影响较小，不会改变区域土壤环境功能。</w:t>
      </w:r>
    </w:p>
    <w:p w14:paraId="5BB36B6D">
      <w:pPr>
        <w:ind w:firstLine="480"/>
        <w:rPr>
          <w:color w:val="auto"/>
        </w:rPr>
      </w:pPr>
      <w:r>
        <w:rPr>
          <w:color w:val="auto"/>
        </w:rPr>
        <w:t>为确保区域土壤不恶化，企业应严格采取源头控制措施、过程防控措施，并按要求进行跟踪监测（每</w:t>
      </w:r>
      <w:r>
        <w:rPr>
          <w:rFonts w:hint="eastAsia"/>
          <w:color w:val="auto"/>
        </w:rPr>
        <w:t>1</w:t>
      </w:r>
      <w:r>
        <w:rPr>
          <w:color w:val="auto"/>
        </w:rPr>
        <w:t>年开展一次跟踪监测），同时加强对土壤污染源的日常管理，定期巡查、检修，避免非正常工况的发生，确保场地内土壤满足标准要求，厂界外土壤不恶化</w:t>
      </w:r>
      <w:r>
        <w:rPr>
          <w:rFonts w:hint="eastAsia"/>
          <w:color w:val="auto"/>
        </w:rPr>
        <w:t>。</w:t>
      </w:r>
    </w:p>
    <w:p w14:paraId="0D2D0C31">
      <w:pPr>
        <w:pStyle w:val="4"/>
        <w:rPr>
          <w:color w:val="auto"/>
        </w:rPr>
      </w:pPr>
      <w:bookmarkStart w:id="708" w:name="_Toc225216910"/>
      <w:r>
        <w:rPr>
          <w:rFonts w:hint="eastAsia"/>
          <w:color w:val="auto"/>
        </w:rPr>
        <w:t>噪声环境影响及防治措施</w:t>
      </w:r>
      <w:bookmarkEnd w:id="708"/>
    </w:p>
    <w:p w14:paraId="1439743E">
      <w:pPr>
        <w:ind w:firstLine="480"/>
        <w:rPr>
          <w:color w:val="auto"/>
        </w:rPr>
      </w:pPr>
      <w:r>
        <w:rPr>
          <w:rFonts w:hint="eastAsia"/>
          <w:color w:val="auto"/>
        </w:rPr>
        <w:t>正常运行时，项目东、西、北厂界屯昼夜间噪声排放可以满足《工业企业厂界环境噪声排放标准》（</w:t>
      </w:r>
      <w:r>
        <w:rPr>
          <w:color w:val="auto"/>
        </w:rPr>
        <w:t>GB12348-2008）中3类排放标准，项目南厂界昼夜间噪声可以满足4类排放标准</w:t>
      </w:r>
      <w:r>
        <w:rPr>
          <w:rFonts w:hint="eastAsia"/>
          <w:color w:val="auto"/>
        </w:rPr>
        <w:t>，敏感点</w:t>
      </w:r>
      <w:r>
        <w:rPr>
          <w:color w:val="auto"/>
        </w:rPr>
        <w:t>昼夜间噪声可以满足</w:t>
      </w:r>
      <w:r>
        <w:rPr>
          <w:rFonts w:hint="eastAsia" w:cs="Times New Roman"/>
          <w:bCs/>
          <w:color w:val="auto"/>
        </w:rPr>
        <w:t>《声环境质量标准》（</w:t>
      </w:r>
      <w:r>
        <w:rPr>
          <w:rFonts w:cs="Times New Roman"/>
          <w:bCs/>
          <w:color w:val="auto"/>
        </w:rPr>
        <w:t>GB3096-2008</w:t>
      </w:r>
      <w:r>
        <w:rPr>
          <w:rFonts w:hint="eastAsia" w:cs="Times New Roman"/>
          <w:bCs/>
          <w:color w:val="auto"/>
        </w:rPr>
        <w:t>）</w:t>
      </w:r>
      <w:r>
        <w:rPr>
          <w:rFonts w:hint="eastAsia"/>
          <w:color w:val="auto"/>
        </w:rPr>
        <w:t>2</w:t>
      </w:r>
      <w:r>
        <w:rPr>
          <w:color w:val="auto"/>
        </w:rPr>
        <w:t>类排放标准</w:t>
      </w:r>
      <w:r>
        <w:rPr>
          <w:rFonts w:hint="eastAsia"/>
          <w:color w:val="auto"/>
        </w:rPr>
        <w:t>。</w:t>
      </w:r>
    </w:p>
    <w:p w14:paraId="7B2D2A17">
      <w:pPr>
        <w:ind w:firstLine="480"/>
        <w:rPr>
          <w:color w:val="auto"/>
        </w:rPr>
      </w:pPr>
      <w:r>
        <w:rPr>
          <w:rFonts w:hint="eastAsia"/>
          <w:color w:val="auto"/>
        </w:rPr>
        <w:t>项目运营期噪声源主要为生产噪声、车辆噪声，选用低噪声设备，室内安装，设置基础减震、消音器、加强保养，加强车辆管理及厂区绿化等措施来降低噪声对周边环境的影响。</w:t>
      </w:r>
    </w:p>
    <w:p w14:paraId="0EB49DB5">
      <w:pPr>
        <w:pStyle w:val="4"/>
        <w:rPr>
          <w:color w:val="auto"/>
        </w:rPr>
      </w:pPr>
      <w:bookmarkStart w:id="709" w:name="_Toc225216911"/>
      <w:r>
        <w:rPr>
          <w:rFonts w:hint="eastAsia"/>
          <w:color w:val="auto"/>
        </w:rPr>
        <w:t>固体废物环境影响及处置措施</w:t>
      </w:r>
      <w:bookmarkEnd w:id="709"/>
    </w:p>
    <w:p w14:paraId="4212EB37">
      <w:pPr>
        <w:spacing w:line="440" w:lineRule="exact"/>
        <w:ind w:firstLine="480"/>
        <w:rPr>
          <w:color w:val="auto"/>
        </w:rPr>
      </w:pPr>
      <w:r>
        <w:rPr>
          <w:rFonts w:hint="eastAsia"/>
          <w:color w:val="auto"/>
        </w:rPr>
        <w:t>本项目产生的固体废物主要为废铁丝、</w:t>
      </w:r>
      <w:r>
        <w:rPr>
          <w:rFonts w:cs="Times New Roman"/>
          <w:color w:val="auto"/>
        </w:rPr>
        <w:t>废矿物油</w:t>
      </w:r>
      <w:r>
        <w:rPr>
          <w:rFonts w:hint="eastAsia" w:cs="Times New Roman"/>
          <w:color w:val="auto"/>
        </w:rPr>
        <w:t>、除砂器杂质、废活性炭、</w:t>
      </w:r>
      <w:r>
        <w:rPr>
          <w:rFonts w:hint="eastAsia"/>
          <w:color w:val="auto"/>
        </w:rPr>
        <w:t>废聚酯网与污水处理厂污泥等。</w:t>
      </w:r>
    </w:p>
    <w:p w14:paraId="6AD67B3D">
      <w:pPr>
        <w:spacing w:line="440" w:lineRule="exact"/>
        <w:ind w:firstLine="480"/>
        <w:rPr>
          <w:color w:val="auto"/>
          <w:szCs w:val="24"/>
        </w:rPr>
      </w:pPr>
      <w:r>
        <w:rPr>
          <w:color w:val="auto"/>
        </w:rPr>
        <w:t>废铁丝</w:t>
      </w:r>
      <w:r>
        <w:rPr>
          <w:rFonts w:hint="eastAsia"/>
          <w:color w:val="auto"/>
        </w:rPr>
        <w:t>、废聚酯网收集</w:t>
      </w:r>
      <w:r>
        <w:rPr>
          <w:color w:val="auto"/>
        </w:rPr>
        <w:t>后</w:t>
      </w:r>
      <w:r>
        <w:rPr>
          <w:rFonts w:hint="eastAsia"/>
          <w:color w:val="auto"/>
        </w:rPr>
        <w:t>外售资源</w:t>
      </w:r>
      <w:r>
        <w:rPr>
          <w:color w:val="auto"/>
        </w:rPr>
        <w:t>回收公司</w:t>
      </w:r>
      <w:r>
        <w:rPr>
          <w:rFonts w:hint="eastAsia"/>
          <w:color w:val="auto"/>
        </w:rPr>
        <w:t>。废活性炭、</w:t>
      </w:r>
      <w:r>
        <w:rPr>
          <w:rFonts w:cs="Times New Roman"/>
          <w:color w:val="auto"/>
          <w:szCs w:val="24"/>
        </w:rPr>
        <w:t>废矿物油桶于危废暂存间暂存，委托有资质的单位定期处理</w:t>
      </w:r>
      <w:r>
        <w:rPr>
          <w:color w:val="auto"/>
          <w:szCs w:val="24"/>
        </w:rPr>
        <w:t>。</w:t>
      </w:r>
      <w:r>
        <w:rPr>
          <w:rFonts w:hint="eastAsia"/>
          <w:color w:val="auto"/>
          <w:szCs w:val="24"/>
        </w:rPr>
        <w:t>污水处理站污泥外售资源回收公司。</w:t>
      </w:r>
    </w:p>
    <w:p w14:paraId="4142C055">
      <w:pPr>
        <w:pStyle w:val="4"/>
        <w:rPr>
          <w:color w:val="auto"/>
        </w:rPr>
      </w:pPr>
      <w:bookmarkStart w:id="710" w:name="_Toc225216912"/>
      <w:r>
        <w:rPr>
          <w:rFonts w:hint="eastAsia"/>
          <w:color w:val="auto"/>
        </w:rPr>
        <w:t>生态环境影响及措施</w:t>
      </w:r>
      <w:bookmarkEnd w:id="710"/>
    </w:p>
    <w:p w14:paraId="38D94962">
      <w:pPr>
        <w:ind w:firstLine="480"/>
        <w:rPr>
          <w:color w:val="auto"/>
        </w:rPr>
      </w:pPr>
      <w:r>
        <w:rPr>
          <w:rFonts w:hint="eastAsia"/>
          <w:color w:val="auto"/>
        </w:rPr>
        <w:t>本项目不新增用地，对土地利用的影响可接受。项目不占用基本农田，区域现状生态环境较单一、生物多样性较低，无珍稀濒危保护陆生动物、植物的自然分布，经分析，项目建设营运后，废水、废气、固废经有效环保措施治理后达标排放，对区域水生、陆生生态环境影响不大。</w:t>
      </w:r>
    </w:p>
    <w:p w14:paraId="02E0F98A">
      <w:pPr>
        <w:ind w:firstLine="480"/>
        <w:rPr>
          <w:color w:val="auto"/>
        </w:rPr>
      </w:pPr>
      <w:r>
        <w:rPr>
          <w:rFonts w:hint="eastAsia"/>
          <w:color w:val="auto"/>
        </w:rPr>
        <w:t>拟建工程制定了厂区绿化措施，对厂区空地、道路两侧进行成片绿化，根据生产厂区落差特点，优先考虑种植适宜防尘、减噪的树木。噪声源的周围，道路两旁种植枝冠矮、分枝低、枝叶茂盛的乔灌木，并使高低搭配，以减少噪声危害。生活区种植观赏性强的植物；厂前选树形美观、挺拔高大、装饰性强，观赏价值高的乔灌木，适当配置花坛、水池、绿篱等。绿化对防止污染，保护和改善环境方面起着特殊的作用。它具有调温、调湿、吸尘、改善气候、净化空气、减弱噪声等功能。</w:t>
      </w:r>
    </w:p>
    <w:p w14:paraId="0BD1DACF">
      <w:pPr>
        <w:ind w:firstLine="480"/>
        <w:rPr>
          <w:color w:val="auto"/>
        </w:rPr>
      </w:pPr>
      <w:r>
        <w:rPr>
          <w:rFonts w:hint="eastAsia"/>
          <w:color w:val="auto"/>
        </w:rPr>
        <w:t>总体而言，项目建设对当地土地利用、区域生物多样性的影响小，项目建成后主要为松香的生产及深加工，无土地开挖等环节，在做好厂区绿化及硬化，严格执行各项废气、废水、噪声及固体废物处理处置措施后，项目运营期对生态环境影响不大。</w:t>
      </w:r>
    </w:p>
    <w:p w14:paraId="0CC3E91B">
      <w:pPr>
        <w:pStyle w:val="4"/>
        <w:rPr>
          <w:color w:val="auto"/>
        </w:rPr>
      </w:pPr>
      <w:bookmarkStart w:id="711" w:name="_Toc225216913"/>
      <w:r>
        <w:rPr>
          <w:rFonts w:hint="eastAsia"/>
          <w:color w:val="auto"/>
        </w:rPr>
        <w:t>环境风险影响及防范措施</w:t>
      </w:r>
      <w:bookmarkEnd w:id="711"/>
    </w:p>
    <w:p w14:paraId="52D27A3A">
      <w:pPr>
        <w:ind w:firstLine="480"/>
        <w:rPr>
          <w:color w:val="auto"/>
        </w:rPr>
      </w:pPr>
      <w:r>
        <w:rPr>
          <w:color w:val="auto"/>
        </w:rPr>
        <w:t>建设项目在实施风险减缓措施和应急预案后，企业的应急处理事故能力对突发性事故是可以控制的。若建设单位通过制定严格的管理规定和岗位责任制，给予足够的重视，参照本评价提出的环境风险的预防及应急措施加强职工的安全生产教育，提高风险意识，能够最大限度地减少可能发生的环境风险。因此，风险是可以接受的</w:t>
      </w:r>
    </w:p>
    <w:p w14:paraId="6FA7F450">
      <w:pPr>
        <w:ind w:firstLine="480"/>
        <w:rPr>
          <w:color w:val="auto"/>
        </w:rPr>
      </w:pPr>
      <w:r>
        <w:rPr>
          <w:rFonts w:hint="eastAsia"/>
          <w:color w:val="auto"/>
        </w:rPr>
        <w:t>项目依托现有事故应急池，可确保能够容纳事故过程产生的消防水、泄漏液、污染雨水等。企业按照《企业事业单位突发环境事件应急预案备案管理办法（试行）》的有关规定，制定环境应急预案，并向生态环境主管部门备案。建立“单元</w:t>
      </w:r>
      <w:r>
        <w:rPr>
          <w:color w:val="auto"/>
        </w:rPr>
        <w:t>—</w:t>
      </w:r>
      <w:r>
        <w:rPr>
          <w:rFonts w:hint="eastAsia"/>
          <w:color w:val="auto"/>
        </w:rPr>
        <w:t>厂区</w:t>
      </w:r>
      <w:r>
        <w:rPr>
          <w:color w:val="auto"/>
        </w:rPr>
        <w:t>—</w:t>
      </w:r>
      <w:r>
        <w:rPr>
          <w:rFonts w:hint="eastAsia"/>
          <w:color w:val="auto"/>
        </w:rPr>
        <w:t>园区”三级环境风险防控体系，与园区环境风险防控体系衔接。</w:t>
      </w:r>
    </w:p>
    <w:p w14:paraId="195493EE">
      <w:pPr>
        <w:pStyle w:val="3"/>
        <w:rPr>
          <w:color w:val="auto"/>
        </w:rPr>
      </w:pPr>
      <w:bookmarkStart w:id="712" w:name="_Toc221355762"/>
      <w:bookmarkStart w:id="713" w:name="_Toc225216914"/>
      <w:r>
        <w:rPr>
          <w:rFonts w:hint="eastAsia"/>
          <w:color w:val="auto"/>
        </w:rPr>
        <w:t>环境影响经济损益分析</w:t>
      </w:r>
      <w:bookmarkEnd w:id="712"/>
      <w:bookmarkEnd w:id="713"/>
    </w:p>
    <w:p w14:paraId="5CBBD678">
      <w:pPr>
        <w:ind w:firstLine="480"/>
        <w:rPr>
          <w:color w:val="auto"/>
        </w:rPr>
      </w:pPr>
      <w:r>
        <w:rPr>
          <w:color w:val="auto"/>
        </w:rPr>
        <w:t>本项目环境经济损益系数为</w:t>
      </w:r>
      <w:r>
        <w:rPr>
          <w:rFonts w:hint="eastAsia"/>
          <w:color w:val="auto"/>
        </w:rPr>
        <w:t>0.1</w:t>
      </w:r>
      <w:r>
        <w:rPr>
          <w:rFonts w:hint="eastAsia"/>
          <w:color w:val="auto"/>
          <w:lang w:val="en-US" w:eastAsia="zh-CN"/>
        </w:rPr>
        <w:t>9</w:t>
      </w:r>
      <w:r>
        <w:rPr>
          <w:rFonts w:hint="eastAsia"/>
          <w:color w:val="auto"/>
        </w:rPr>
        <w:t>，</w:t>
      </w:r>
      <w:r>
        <w:rPr>
          <w:color w:val="auto"/>
        </w:rPr>
        <w:t>说明本项目环境保护投资费用经济效益较好，综合考虑其他无法用货币表征的环境效益和社会效益，本项目环保投资经济合理，所采取的环保措施在经济上是合理可行的，各项环保措施不仅较大程度的减缓项目对环境产生的不利影响，还可以产生经济效益，其环境效益较显著。从环境经济观点的角度看，项目合理可行</w:t>
      </w:r>
      <w:r>
        <w:rPr>
          <w:rFonts w:hint="eastAsia"/>
          <w:color w:val="auto"/>
        </w:rPr>
        <w:t>。</w:t>
      </w:r>
    </w:p>
    <w:p w14:paraId="2D1F9E99">
      <w:pPr>
        <w:pStyle w:val="3"/>
        <w:rPr>
          <w:color w:val="auto"/>
        </w:rPr>
      </w:pPr>
      <w:bookmarkStart w:id="714" w:name="_Toc221355763"/>
      <w:bookmarkStart w:id="715" w:name="_Toc225216915"/>
      <w:r>
        <w:rPr>
          <w:rFonts w:hint="eastAsia"/>
          <w:color w:val="auto"/>
        </w:rPr>
        <w:t>环境管理与监测计划</w:t>
      </w:r>
      <w:bookmarkEnd w:id="714"/>
      <w:bookmarkEnd w:id="715"/>
    </w:p>
    <w:p w14:paraId="311427BA">
      <w:pPr>
        <w:ind w:firstLine="480"/>
        <w:rPr>
          <w:color w:val="auto"/>
        </w:rPr>
      </w:pPr>
      <w:r>
        <w:rPr>
          <w:color w:val="auto"/>
        </w:rPr>
        <w:t>项目在“三同时”原则下配套相应的污染治理设施，制定相应的环境管理、环境监理计划，为有效地保护厂区周围环境提供了良好的技术基础，另外，建设单位必须科学地监督管理环保设施的运行情况、定期监测周边环境质量状况及污染物排放情况，以保证各环保设施达到应有的治理效果、达到保护环境的要求</w:t>
      </w:r>
      <w:r>
        <w:rPr>
          <w:rFonts w:hint="eastAsia"/>
          <w:color w:val="auto"/>
        </w:rPr>
        <w:t>。</w:t>
      </w:r>
    </w:p>
    <w:p w14:paraId="6D44E3BC">
      <w:pPr>
        <w:pStyle w:val="3"/>
        <w:rPr>
          <w:color w:val="auto"/>
        </w:rPr>
      </w:pPr>
      <w:bookmarkStart w:id="716" w:name="_Toc221355764"/>
      <w:bookmarkStart w:id="717" w:name="_Toc225216916"/>
      <w:r>
        <w:rPr>
          <w:rFonts w:hint="eastAsia"/>
          <w:color w:val="auto"/>
        </w:rPr>
        <w:t>公众参与结论</w:t>
      </w:r>
      <w:bookmarkEnd w:id="716"/>
      <w:bookmarkEnd w:id="717"/>
    </w:p>
    <w:p w14:paraId="06E182FC">
      <w:pPr>
        <w:ind w:firstLine="480"/>
        <w:rPr>
          <w:color w:val="auto"/>
        </w:rPr>
      </w:pPr>
      <w:r>
        <w:rPr>
          <w:rFonts w:hint="eastAsia"/>
          <w:color w:val="auto"/>
        </w:rPr>
        <w:t>根据《环境影响评价公众参与办法》第三十一条：于对依法批准设立的产业园区内的建设项目，若该产业园区已依法开展了规划环境影响评价公众参与且该建设项目性质、规模等符合经生态环境主管部门组织审查通过的规划环境影响报告书和审查意见，建设单位开展建设项目环境影响评价公众参与时，可以简化第九条。</w:t>
      </w:r>
    </w:p>
    <w:p w14:paraId="146AAF61">
      <w:pPr>
        <w:ind w:firstLine="480"/>
        <w:rPr>
          <w:color w:val="auto"/>
        </w:rPr>
      </w:pPr>
      <w:r>
        <w:rPr>
          <w:rFonts w:hint="eastAsia"/>
          <w:color w:val="auto"/>
        </w:rPr>
        <w:t>在报告书征求意见稿形成后，2026年2月5日于广西博环环境咨询服务有限公司网站发布了第二次项目公示信息，并在2026年2月7日和2026年2月12日在《广西日报》发布相关公告。从公告发布至收集意见的截止日期，建设单位</w:t>
      </w:r>
      <w:r>
        <w:rPr>
          <w:color w:val="auto"/>
        </w:rPr>
        <w:t>广西</w:t>
      </w:r>
      <w:r>
        <w:rPr>
          <w:rFonts w:hint="eastAsia"/>
          <w:color w:val="auto"/>
        </w:rPr>
        <w:t>金桂浆纸业有限公司、环评单位广西博环环境咨询服务有限公司均未收到公众以电话、信件或电子邮件等形式发回对本项目环保方面的反馈意见。</w:t>
      </w:r>
    </w:p>
    <w:p w14:paraId="5BD6C7B2">
      <w:pPr>
        <w:ind w:firstLine="480"/>
        <w:rPr>
          <w:color w:val="auto"/>
        </w:rPr>
      </w:pPr>
      <w:r>
        <w:rPr>
          <w:rFonts w:hint="eastAsia"/>
          <w:color w:val="auto"/>
        </w:rPr>
        <w:t>本次环境影响评价要求</w:t>
      </w:r>
      <w:r>
        <w:rPr>
          <w:color w:val="auto"/>
        </w:rPr>
        <w:t>广西</w:t>
      </w:r>
      <w:r>
        <w:rPr>
          <w:rFonts w:hint="eastAsia"/>
          <w:color w:val="auto"/>
        </w:rPr>
        <w:t>金桂浆纸业有限公司应认真听取有关单位和个人的意见，在项目建设运营过程中严格落实各项环保措施，确保各项污染物达标排放，将本项目对环境造成的不利影响降至最低。</w:t>
      </w:r>
    </w:p>
    <w:p w14:paraId="59B7DEFD">
      <w:pPr>
        <w:pStyle w:val="3"/>
        <w:rPr>
          <w:color w:val="auto"/>
        </w:rPr>
      </w:pPr>
      <w:bookmarkStart w:id="718" w:name="_Toc221355765"/>
      <w:bookmarkStart w:id="719" w:name="_Toc225216917"/>
      <w:r>
        <w:rPr>
          <w:color w:val="auto"/>
        </w:rPr>
        <w:t>综合结论</w:t>
      </w:r>
      <w:bookmarkEnd w:id="718"/>
      <w:bookmarkEnd w:id="719"/>
    </w:p>
    <w:p w14:paraId="7DF27C41">
      <w:pPr>
        <w:ind w:firstLine="480"/>
        <w:rPr>
          <w:color w:val="auto"/>
        </w:rPr>
      </w:pPr>
      <w:r>
        <w:rPr>
          <w:color w:val="auto"/>
        </w:rPr>
        <w:t>广西</w:t>
      </w:r>
      <w:r>
        <w:rPr>
          <w:rFonts w:hint="eastAsia"/>
          <w:color w:val="auto"/>
        </w:rPr>
        <w:t>金桂浆纸业有限公司高档纸板车间绿色升级改造项目符合《</w:t>
      </w:r>
      <w:r>
        <w:rPr>
          <w:rFonts w:ascii="宋体" w:hAnsi="宋体" w:cs="宋体"/>
          <w:color w:val="auto"/>
          <w:spacing w:val="-5"/>
          <w:szCs w:val="24"/>
        </w:rPr>
        <w:t>广西钦州林浆纸产业园发展规划（</w:t>
      </w:r>
      <w:r>
        <w:rPr>
          <w:rFonts w:eastAsia="Times New Roman" w:cs="Times New Roman"/>
          <w:color w:val="auto"/>
          <w:spacing w:val="-5"/>
          <w:szCs w:val="24"/>
        </w:rPr>
        <w:t>2024-2035</w:t>
      </w:r>
      <w:r>
        <w:rPr>
          <w:rFonts w:ascii="宋体" w:hAnsi="宋体" w:cs="宋体"/>
          <w:color w:val="auto"/>
          <w:spacing w:val="-5"/>
          <w:szCs w:val="24"/>
        </w:rPr>
        <w:t>）环境影响报告书</w:t>
      </w:r>
      <w:r>
        <w:rPr>
          <w:rFonts w:hint="eastAsia"/>
          <w:color w:val="auto"/>
        </w:rPr>
        <w:t>》及审查意见的要求，符合钦州市生态环境准入及管控要求符合性。项目拟采取的污染防治措施技术可行，各项污染物能实现长期稳定达标排放并满足总量控制要求，未导致区域环境质量降级，对环境影响程度在可接受范围。只要在严格遵守项目“三同时”以及切实落实本环评报告提出的各项污染防治措施、环境风险防范措施以及环境管理制度，从环境保护角度分析，项目建设可行。</w:t>
      </w:r>
    </w:p>
    <w:sectPr>
      <w:headerReference r:id="rId44" w:type="default"/>
      <w:pgSz w:w="11906" w:h="16838"/>
      <w:pgMar w:top="1418" w:right="1418" w:bottom="1418" w:left="1418"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方正仿宋_GBK">
    <w:panose1 w:val="02000000000000000000"/>
    <w:charset w:val="86"/>
    <w:family w:val="auto"/>
    <w:pitch w:val="default"/>
    <w:sig w:usb0="A00002BF" w:usb1="38CF7CFA" w:usb2="00082016" w:usb3="00000000" w:csb0="00040001"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瀹嬩綋">
    <w:altName w:val="宋体"/>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761BE5">
    <w:pPr>
      <w:ind w:right="360" w:firstLine="480"/>
      <w:rPr>
        <w:rFonts w:hint="eastAsia" w:ascii="宋体" w:hAnsi="宋体"/>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53101821"/>
      <w:docPartObj>
        <w:docPartGallery w:val="autotext"/>
      </w:docPartObj>
    </w:sdtPr>
    <w:sdtEndPr>
      <w:rPr>
        <w:sz w:val="18"/>
        <w:szCs w:val="18"/>
      </w:rPr>
    </w:sdtEndPr>
    <w:sdtContent>
      <w:p w14:paraId="173821CF">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37079868"/>
      <w:docPartObj>
        <w:docPartGallery w:val="autotext"/>
      </w:docPartObj>
    </w:sdtPr>
    <w:sdtEndPr>
      <w:rPr>
        <w:sz w:val="18"/>
        <w:szCs w:val="18"/>
      </w:rPr>
    </w:sdtEndPr>
    <w:sdtContent>
      <w:p w14:paraId="3D58B614">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16439614"/>
      <w:docPartObj>
        <w:docPartGallery w:val="autotext"/>
      </w:docPartObj>
    </w:sdtPr>
    <w:sdtEndPr>
      <w:rPr>
        <w:sz w:val="18"/>
        <w:szCs w:val="18"/>
      </w:rPr>
    </w:sdtEndPr>
    <w:sdtContent>
      <w:p w14:paraId="12D49F11">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F5260D">
    <w:pPr>
      <w:ind w:firstLine="48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CB2C68">
    <w:pPr>
      <w:ind w:firstLine="48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CA17B">
    <w:pPr>
      <w:ind w:firstLine="48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64312">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2BD9F">
    <w:pPr>
      <w:pBdr>
        <w:top w:val="single" w:color="auto" w:sz="4" w:space="1"/>
      </w:pBdr>
      <w:ind w:right="270" w:firstLine="600" w:firstLineChars="250"/>
      <w:rPr>
        <w:rFonts w:hint="eastAsia" w:ascii="宋体" w:hAnsi="宋体"/>
      </w:rPr>
    </w:pPr>
    <w:r>
      <w:rPr>
        <w:rFonts w:ascii="宋体" w:hAnsi="宋体"/>
      </w:rPr>
      <w:t>广西博环环境咨询有限公司</w:t>
    </w:r>
    <w:r>
      <w:rPr>
        <w:rFonts w:hint="eastAsia" w:ascii="宋体" w:hAnsi="宋体"/>
      </w:rPr>
      <w:t xml:space="preserve">  </w:t>
    </w:r>
  </w:p>
  <w:p w14:paraId="56718521">
    <w:pPr>
      <w:ind w:right="360" w:firstLine="12" w:firstLineChars="5"/>
      <w:jc w:val="center"/>
    </w:pPr>
    <w:r>
      <w:rPr>
        <w:rFonts w:cs="Times New Roman"/>
      </w:rPr>
      <w:fldChar w:fldCharType="begin"/>
    </w:r>
    <w:r>
      <w:rPr>
        <w:rFonts w:cs="Times New Roman"/>
      </w:rPr>
      <w:instrText xml:space="preserve"> PAGE </w:instrText>
    </w:r>
    <w:r>
      <w:rPr>
        <w:rFonts w:cs="Times New Roman"/>
      </w:rPr>
      <w:fldChar w:fldCharType="separate"/>
    </w:r>
    <w:r>
      <w:rPr>
        <w:rFonts w:cs="Times New Roman"/>
      </w:rPr>
      <w:t>2</w:t>
    </w:r>
    <w:r>
      <w:rPr>
        <w:rFonts w:cs="Times New Roman"/>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52F976">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21BCA">
    <w:pPr>
      <w:ind w:firstLine="48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520349333"/>
      <w:docPartObj>
        <w:docPartGallery w:val="autotext"/>
      </w:docPartObj>
    </w:sdtPr>
    <w:sdtEndPr>
      <w:rPr>
        <w:sz w:val="18"/>
        <w:szCs w:val="16"/>
      </w:rPr>
    </w:sdtEndPr>
    <w:sdtContent>
      <w:p w14:paraId="57AD414F">
        <w:pPr>
          <w:ind w:firstLine="480"/>
          <w:jc w:val="center"/>
          <w:rPr>
            <w:sz w:val="18"/>
            <w:szCs w:val="16"/>
          </w:rPr>
        </w:pPr>
        <w:r>
          <w:rPr>
            <w:sz w:val="18"/>
            <w:szCs w:val="16"/>
          </w:rPr>
          <w:fldChar w:fldCharType="begin"/>
        </w:r>
        <w:r>
          <w:rPr>
            <w:sz w:val="18"/>
            <w:szCs w:val="16"/>
          </w:rPr>
          <w:instrText xml:space="preserve">PAGE   \* MERGEFORMAT</w:instrText>
        </w:r>
        <w:r>
          <w:rPr>
            <w:sz w:val="18"/>
            <w:szCs w:val="16"/>
          </w:rPr>
          <w:fldChar w:fldCharType="separate"/>
        </w:r>
        <w:r>
          <w:rPr>
            <w:sz w:val="18"/>
            <w:szCs w:val="16"/>
            <w:lang w:val="zh-CN"/>
          </w:rPr>
          <w:t>1</w:t>
        </w:r>
        <w:r>
          <w:rPr>
            <w:sz w:val="18"/>
            <w:szCs w:val="16"/>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24660242"/>
      <w:docPartObj>
        <w:docPartGallery w:val="autotext"/>
      </w:docPartObj>
    </w:sdtPr>
    <w:sdtContent>
      <w:p w14:paraId="400145CC">
        <w:pPr>
          <w:ind w:firstLine="480"/>
          <w:jc w:val="center"/>
        </w:pPr>
        <w:r>
          <w:fldChar w:fldCharType="begin"/>
        </w:r>
        <w:r>
          <w:instrText xml:space="preserve">PAGE   \* MERGEFORMAT</w:instrText>
        </w:r>
        <w:r>
          <w:fldChar w:fldCharType="separate"/>
        </w:r>
        <w:r>
          <w:rPr>
            <w:lang w:val="zh-CN"/>
          </w:rPr>
          <w:t>V</w:t>
        </w:r>
        <w: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47311906"/>
      <w:docPartObj>
        <w:docPartGallery w:val="autotext"/>
      </w:docPartObj>
    </w:sdtPr>
    <w:sdtEndPr>
      <w:rPr>
        <w:sz w:val="18"/>
        <w:szCs w:val="18"/>
      </w:rPr>
    </w:sdtEndPr>
    <w:sdtContent>
      <w:p w14:paraId="68F1A379">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11003757"/>
      <w:docPartObj>
        <w:docPartGallery w:val="autotext"/>
      </w:docPartObj>
    </w:sdtPr>
    <w:sdtEndPr>
      <w:rPr>
        <w:sz w:val="18"/>
        <w:szCs w:val="18"/>
      </w:rPr>
    </w:sdtEndPr>
    <w:sdtContent>
      <w:p w14:paraId="3E72A867">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428267616"/>
      <w:docPartObj>
        <w:docPartGallery w:val="autotext"/>
      </w:docPartObj>
    </w:sdtPr>
    <w:sdtEndPr>
      <w:rPr>
        <w:sz w:val="18"/>
        <w:szCs w:val="18"/>
      </w:rPr>
    </w:sdtEndPr>
    <w:sdtContent>
      <w:p w14:paraId="32971951">
        <w:pPr>
          <w:ind w:firstLine="480"/>
          <w:jc w:val="center"/>
          <w:rPr>
            <w:sz w:val="18"/>
            <w:szCs w:val="18"/>
          </w:rPr>
        </w:pPr>
        <w:r>
          <w:rPr>
            <w:sz w:val="18"/>
            <w:szCs w:val="18"/>
          </w:rPr>
          <w:fldChar w:fldCharType="begin"/>
        </w:r>
        <w:r>
          <w:rPr>
            <w:sz w:val="18"/>
            <w:szCs w:val="18"/>
          </w:rPr>
          <w:instrText xml:space="preserve">PAGE   \* MERGEFORMAT</w:instrText>
        </w:r>
        <w:r>
          <w:rPr>
            <w:sz w:val="18"/>
            <w:szCs w:val="18"/>
          </w:rPr>
          <w:fldChar w:fldCharType="separate"/>
        </w:r>
        <w:r>
          <w:rPr>
            <w:sz w:val="18"/>
            <w:szCs w:val="18"/>
            <w:lang w:val="zh-CN"/>
          </w:rPr>
          <w:t>-</w:t>
        </w:r>
        <w:r>
          <w:rPr>
            <w:sz w:val="18"/>
            <w:szCs w:val="18"/>
          </w:rPr>
          <w:t xml:space="preserve"> 1 -</w:t>
        </w:r>
        <w:r>
          <w:rPr>
            <w:sz w:val="18"/>
            <w:szCs w:val="18"/>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2FECAE">
    <w:pPr>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718576">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2</w:t>
    </w:r>
    <w:r>
      <w:rPr>
        <w:rFonts w:cs="Times New Roman"/>
        <w:sz w:val="18"/>
        <w:szCs w:val="18"/>
      </w:rPr>
      <w:t xml:space="preserve"> </w:t>
    </w:r>
    <w:r>
      <w:rPr>
        <w:rFonts w:hint="eastAsia" w:cs="Times New Roman"/>
        <w:sz w:val="18"/>
        <w:szCs w:val="18"/>
      </w:rPr>
      <w:t>现有项目工程分析</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74AA6">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3拟建项目工程分析</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0E562">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4环境现状调查与评价</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47AE54">
    <w:pPr>
      <w:ind w:firstLine="48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F69B9">
    <w:pPr>
      <w:ind w:firstLine="48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22294">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5环境影响与评价</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DB161">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5环境影响预测与评价</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CA80C4">
    <w:pPr>
      <w:ind w:firstLine="48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54185">
    <w:pPr>
      <w:ind w:firstLine="48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EDF3E5">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6环境风险评价</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181FFB">
    <w:pPr>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041FDE">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7</w:t>
    </w:r>
    <w:r>
      <w:rPr>
        <w:rFonts w:cs="Times New Roman"/>
        <w:sz w:val="18"/>
        <w:szCs w:val="18"/>
      </w:rPr>
      <w:t xml:space="preserve"> </w:t>
    </w:r>
    <w:r>
      <w:rPr>
        <w:rFonts w:hint="eastAsia" w:cs="Times New Roman"/>
        <w:sz w:val="18"/>
        <w:szCs w:val="18"/>
      </w:rPr>
      <w:t>环境保护措施及其可行性论证</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8B02B">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8</w:t>
    </w:r>
    <w:r>
      <w:rPr>
        <w:rFonts w:cs="Times New Roman"/>
        <w:sz w:val="18"/>
        <w:szCs w:val="18"/>
      </w:rPr>
      <w:t xml:space="preserve"> </w:t>
    </w:r>
    <w:r>
      <w:rPr>
        <w:rFonts w:hint="eastAsia" w:cs="Times New Roman"/>
        <w:sz w:val="18"/>
        <w:szCs w:val="18"/>
      </w:rPr>
      <w:t>环境影响经济损益分析</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4455E2">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9</w:t>
    </w:r>
    <w:r>
      <w:rPr>
        <w:rFonts w:cs="Times New Roman"/>
        <w:sz w:val="18"/>
        <w:szCs w:val="18"/>
      </w:rPr>
      <w:t xml:space="preserve"> </w:t>
    </w:r>
    <w:r>
      <w:rPr>
        <w:rFonts w:hint="eastAsia" w:cs="Times New Roman"/>
        <w:sz w:val="18"/>
        <w:szCs w:val="18"/>
      </w:rPr>
      <w:t>环境管理与监测计划</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20670">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 xml:space="preserve">环境影响报告书 </w:t>
    </w:r>
    <w:r>
      <w:rPr>
        <w:rFonts w:cs="Times New Roman"/>
        <w:sz w:val="18"/>
        <w:szCs w:val="18"/>
      </w:rPr>
      <w:ptab w:relativeTo="margin" w:alignment="right" w:leader="none"/>
    </w:r>
    <w:r>
      <w:rPr>
        <w:rFonts w:hint="eastAsia" w:cs="Times New Roman"/>
        <w:sz w:val="18"/>
        <w:szCs w:val="18"/>
      </w:rPr>
      <w:t>10</w:t>
    </w:r>
    <w:r>
      <w:rPr>
        <w:rFonts w:cs="Times New Roman"/>
        <w:sz w:val="18"/>
        <w:szCs w:val="18"/>
      </w:rPr>
      <w:t xml:space="preserve"> </w:t>
    </w:r>
    <w:r>
      <w:rPr>
        <w:rFonts w:hint="eastAsia" w:cs="Times New Roman"/>
        <w:sz w:val="18"/>
        <w:szCs w:val="18"/>
      </w:rPr>
      <w:t>环境影响评价结论</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89947">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 xml:space="preserve">环境影响报告书 </w:t>
    </w:r>
    <w:r>
      <w:rPr>
        <w:rFonts w:cs="Times New Roman"/>
        <w:sz w:val="18"/>
        <w:szCs w:val="18"/>
      </w:rPr>
      <w:ptab w:relativeTo="margin" w:alignment="right" w:leader="none"/>
    </w:r>
    <w:r>
      <w:rPr>
        <w:rFonts w:hint="eastAsia" w:cs="Times New Roman"/>
        <w:sz w:val="18"/>
        <w:szCs w:val="18"/>
      </w:rPr>
      <w:t>10</w:t>
    </w:r>
    <w:r>
      <w:rPr>
        <w:rFonts w:cs="Times New Roman"/>
        <w:sz w:val="18"/>
        <w:szCs w:val="18"/>
      </w:rPr>
      <w:t xml:space="preserve"> </w:t>
    </w:r>
    <w:r>
      <w:rPr>
        <w:rFonts w:hint="eastAsia" w:cs="Times New Roman"/>
        <w:sz w:val="18"/>
        <w:szCs w:val="18"/>
      </w:rPr>
      <w:t>环境影响评价结论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1E6892">
    <w:pPr>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26086">
    <w:pPr>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56BFFF">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概述</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446F6">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目录</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8213A">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1 总则</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EB3EEE">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2</w:t>
    </w:r>
    <w:r>
      <w:rPr>
        <w:rFonts w:cs="Times New Roman"/>
        <w:sz w:val="18"/>
        <w:szCs w:val="18"/>
      </w:rPr>
      <w:t xml:space="preserve"> </w:t>
    </w:r>
    <w:r>
      <w:rPr>
        <w:rFonts w:hint="eastAsia" w:cs="Times New Roman"/>
        <w:sz w:val="18"/>
        <w:szCs w:val="18"/>
      </w:rPr>
      <w:t>现有项目工程分析</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265087">
    <w:pPr>
      <w:ind w:firstLine="0" w:firstLineChars="0"/>
      <w:rPr>
        <w:sz w:val="18"/>
        <w:szCs w:val="18"/>
      </w:rPr>
    </w:pPr>
    <w:r>
      <w:rPr>
        <w:rFonts w:cs="Times New Roman"/>
        <w:sz w:val="18"/>
        <w:szCs w:val="18"/>
      </w:rPr>
      <w:t>广西</w:t>
    </w:r>
    <w:r>
      <w:rPr>
        <w:rFonts w:hint="eastAsia" w:cs="Times New Roman"/>
        <w:sz w:val="18"/>
        <w:szCs w:val="18"/>
      </w:rPr>
      <w:t>金桂浆纸业有限公司高档纸板车间绿色升级改造项目</w:t>
    </w:r>
    <w:r>
      <w:rPr>
        <w:rFonts w:cs="Times New Roman"/>
        <w:sz w:val="18"/>
        <w:szCs w:val="18"/>
      </w:rPr>
      <w:t>环境影响报告书</w:t>
    </w:r>
    <w:r>
      <w:rPr>
        <w:rFonts w:cs="Times New Roman"/>
        <w:sz w:val="18"/>
        <w:szCs w:val="18"/>
      </w:rPr>
      <w:ptab w:relativeTo="margin" w:alignment="right" w:leader="none"/>
    </w:r>
    <w:r>
      <w:rPr>
        <w:rFonts w:hint="eastAsia" w:cs="Times New Roman"/>
        <w:sz w:val="18"/>
        <w:szCs w:val="18"/>
      </w:rPr>
      <w:t>2</w:t>
    </w:r>
    <w:r>
      <w:rPr>
        <w:rFonts w:cs="Times New Roman"/>
        <w:sz w:val="18"/>
        <w:szCs w:val="18"/>
      </w:rPr>
      <w:t xml:space="preserve"> </w:t>
    </w:r>
    <w:r>
      <w:rPr>
        <w:rFonts w:hint="eastAsia" w:cs="Times New Roman"/>
        <w:sz w:val="18"/>
        <w:szCs w:val="18"/>
      </w:rPr>
      <w:t>现有项目工程分析</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8DD5DA"/>
    <w:multiLevelType w:val="singleLevel"/>
    <w:tmpl w:val="958DD5DA"/>
    <w:lvl w:ilvl="0" w:tentative="0">
      <w:start w:val="2"/>
      <w:numFmt w:val="decimal"/>
      <w:suff w:val="nothing"/>
      <w:lvlText w:val="（%1）"/>
      <w:lvlJc w:val="left"/>
    </w:lvl>
  </w:abstractNum>
  <w:abstractNum w:abstractNumId="1">
    <w:nsid w:val="95A34C46"/>
    <w:multiLevelType w:val="singleLevel"/>
    <w:tmpl w:val="95A34C46"/>
    <w:lvl w:ilvl="0" w:tentative="0">
      <w:start w:val="2"/>
      <w:numFmt w:val="decimal"/>
      <w:suff w:val="nothing"/>
      <w:lvlText w:val="（%1）"/>
      <w:lvlJc w:val="left"/>
    </w:lvl>
  </w:abstractNum>
  <w:abstractNum w:abstractNumId="2">
    <w:nsid w:val="D9FDA8CC"/>
    <w:multiLevelType w:val="singleLevel"/>
    <w:tmpl w:val="D9FDA8CC"/>
    <w:lvl w:ilvl="0" w:tentative="0">
      <w:start w:val="2"/>
      <w:numFmt w:val="decimal"/>
      <w:suff w:val="space"/>
      <w:lvlText w:val="%1."/>
      <w:lvlJc w:val="left"/>
    </w:lvl>
  </w:abstractNum>
  <w:abstractNum w:abstractNumId="3">
    <w:nsid w:val="F7894F92"/>
    <w:multiLevelType w:val="singleLevel"/>
    <w:tmpl w:val="F7894F92"/>
    <w:lvl w:ilvl="0" w:tentative="0">
      <w:start w:val="2"/>
      <w:numFmt w:val="decimal"/>
      <w:suff w:val="nothing"/>
      <w:lvlText w:val="%1）"/>
      <w:lvlJc w:val="left"/>
    </w:lvl>
  </w:abstractNum>
  <w:abstractNum w:abstractNumId="4">
    <w:nsid w:val="00A563A9"/>
    <w:multiLevelType w:val="multilevel"/>
    <w:tmpl w:val="00A563A9"/>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5">
    <w:nsid w:val="036326AD"/>
    <w:multiLevelType w:val="multilevel"/>
    <w:tmpl w:val="036326AD"/>
    <w:lvl w:ilvl="0" w:tentative="0">
      <w:start w:val="1"/>
      <w:numFmt w:val="decimal"/>
      <w:suff w:val="nothing"/>
      <w:lvlText w:val="（%1）"/>
      <w:lvlJc w:val="left"/>
      <w:pPr>
        <w:ind w:left="-54" w:firstLine="480"/>
      </w:pPr>
      <w:rPr>
        <w:rFonts w:hint="eastAsia"/>
      </w:rPr>
    </w:lvl>
    <w:lvl w:ilvl="1" w:tentative="0">
      <w:start w:val="1"/>
      <w:numFmt w:val="decimal"/>
      <w:lvlText w:val="（%2）"/>
      <w:lvlJc w:val="left"/>
      <w:pPr>
        <w:ind w:left="1640" w:hanging="720"/>
      </w:pPr>
      <w:rPr>
        <w:rFonts w:hint="default" w:ascii="宋体" w:hAnsi="宋体" w:cs="宋体"/>
      </w:r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6">
    <w:nsid w:val="1C6C23A4"/>
    <w:multiLevelType w:val="multilevel"/>
    <w:tmpl w:val="1C6C23A4"/>
    <w:lvl w:ilvl="0" w:tentative="0">
      <w:start w:val="1"/>
      <w:numFmt w:val="decimal"/>
      <w:pStyle w:val="2"/>
      <w:lvlText w:val="%1"/>
      <w:lvlJc w:val="left"/>
      <w:pPr>
        <w:ind w:left="0" w:firstLine="0"/>
      </w:pPr>
      <w:rPr>
        <w:rFonts w:hint="default" w:ascii="Times New Roman" w:hAnsi="Times New Roman" w:eastAsia="黑体"/>
        <w:b/>
        <w:i w:val="0"/>
        <w:sz w:val="32"/>
      </w:rPr>
    </w:lvl>
    <w:lvl w:ilvl="1" w:tentative="0">
      <w:start w:val="1"/>
      <w:numFmt w:val="decimal"/>
      <w:pStyle w:val="3"/>
      <w:lvlText w:val="%1.%2"/>
      <w:lvlJc w:val="left"/>
      <w:pPr>
        <w:ind w:left="0" w:firstLine="0"/>
      </w:pPr>
      <w:rPr>
        <w:rFonts w:hint="default" w:ascii="Times New Roman" w:hAnsi="Times New Roman" w:eastAsia="黑体"/>
        <w:b/>
        <w:i w:val="0"/>
        <w:sz w:val="30"/>
      </w:rPr>
    </w:lvl>
    <w:lvl w:ilvl="2" w:tentative="0">
      <w:start w:val="1"/>
      <w:numFmt w:val="decimal"/>
      <w:pStyle w:val="4"/>
      <w:lvlText w:val="%1.%2.%3"/>
      <w:lvlJc w:val="left"/>
      <w:pPr>
        <w:ind w:left="0" w:firstLine="0"/>
      </w:pPr>
      <w:rPr>
        <w:rFonts w:hint="default" w:ascii="Times New Roman" w:hAnsi="Times New Roman" w:eastAsia="黑体"/>
        <w:b/>
        <w:i w:val="0"/>
        <w:sz w:val="28"/>
      </w:rPr>
    </w:lvl>
    <w:lvl w:ilvl="3" w:tentative="0">
      <w:start w:val="1"/>
      <w:numFmt w:val="decimal"/>
      <w:pStyle w:val="5"/>
      <w:lvlText w:val="%1.%2.%3.%4"/>
      <w:lvlJc w:val="left"/>
      <w:pPr>
        <w:ind w:left="709" w:firstLine="0"/>
      </w:pPr>
      <w:rPr>
        <w:rFonts w:hint="default" w:ascii="Times New Roman" w:hAnsi="Times New Roman" w:eastAsia="黑体"/>
        <w:b/>
        <w:i w:val="0"/>
        <w:sz w:val="24"/>
      </w:rPr>
    </w:lvl>
    <w:lvl w:ilvl="4" w:tentative="0">
      <w:start w:val="1"/>
      <w:numFmt w:val="decimal"/>
      <w:lvlText w:val="%1.%2.%3.%4.%5"/>
      <w:lvlJc w:val="left"/>
      <w:pPr>
        <w:ind w:left="2551" w:hanging="850"/>
      </w:pPr>
      <w:rPr>
        <w:rFonts w:hint="eastAsia"/>
      </w:rPr>
    </w:lvl>
    <w:lvl w:ilvl="5" w:tentative="0">
      <w:start w:val="1"/>
      <w:numFmt w:val="decimal"/>
      <w:lvlRestart w:val="2"/>
      <w:pStyle w:val="7"/>
      <w:suff w:val="space"/>
      <w:lvlText w:val="表%1.%2-%6"/>
      <w:lvlJc w:val="center"/>
      <w:pPr>
        <w:ind w:left="0" w:firstLine="0"/>
      </w:pPr>
      <w:rPr>
        <w:rFonts w:hint="default" w:ascii="Times New Roman" w:hAnsi="Times New Roman" w:eastAsia="宋体"/>
        <w:b/>
        <w:i w:val="0"/>
        <w:sz w:val="21"/>
      </w:rPr>
    </w:lvl>
    <w:lvl w:ilvl="6" w:tentative="0">
      <w:start w:val="1"/>
      <w:numFmt w:val="decimal"/>
      <w:lvlRestart w:val="2"/>
      <w:pStyle w:val="8"/>
      <w:suff w:val="space"/>
      <w:lvlText w:val="图%1.%2-%7"/>
      <w:lvlJc w:val="center"/>
      <w:pPr>
        <w:ind w:left="0" w:firstLine="0"/>
      </w:pPr>
      <w:rPr>
        <w:rFonts w:hint="default" w:ascii="Times New Roman" w:hAnsi="Times New Roman" w:eastAsia="宋体"/>
        <w:b/>
        <w:i w:val="0"/>
        <w:sz w:val="21"/>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7">
    <w:nsid w:val="37599D8D"/>
    <w:multiLevelType w:val="singleLevel"/>
    <w:tmpl w:val="37599D8D"/>
    <w:lvl w:ilvl="0" w:tentative="0">
      <w:start w:val="1"/>
      <w:numFmt w:val="decimal"/>
      <w:suff w:val="nothing"/>
      <w:lvlText w:val="（%1）"/>
      <w:lvlJc w:val="left"/>
    </w:lvl>
  </w:abstractNum>
  <w:abstractNum w:abstractNumId="8">
    <w:nsid w:val="3B3E7E7A"/>
    <w:multiLevelType w:val="multilevel"/>
    <w:tmpl w:val="3B3E7E7A"/>
    <w:lvl w:ilvl="0" w:tentative="0">
      <w:start w:val="1"/>
      <w:numFmt w:val="decimal"/>
      <w:suff w:val="nothing"/>
      <w:lvlText w:val="（%1）"/>
      <w:lvlJc w:val="left"/>
      <w:pPr>
        <w:ind w:left="0" w:firstLine="48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9">
    <w:nsid w:val="415F12FB"/>
    <w:multiLevelType w:val="multilevel"/>
    <w:tmpl w:val="415F12FB"/>
    <w:lvl w:ilvl="0" w:tentative="0">
      <w:start w:val="1"/>
      <w:numFmt w:val="decimal"/>
      <w:suff w:val="nothing"/>
      <w:lvlText w:val="（%1）"/>
      <w:lvlJc w:val="left"/>
      <w:pPr>
        <w:ind w:left="0" w:firstLine="48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0">
    <w:nsid w:val="6424AF18"/>
    <w:multiLevelType w:val="singleLevel"/>
    <w:tmpl w:val="6424AF18"/>
    <w:lvl w:ilvl="0" w:tentative="0">
      <w:start w:val="1"/>
      <w:numFmt w:val="decimal"/>
      <w:suff w:val="nothing"/>
      <w:lvlText w:val="%1）"/>
      <w:lvlJc w:val="left"/>
    </w:lvl>
  </w:abstractNum>
  <w:abstractNum w:abstractNumId="11">
    <w:nsid w:val="6CDC03E8"/>
    <w:multiLevelType w:val="multilevel"/>
    <w:tmpl w:val="6CDC03E8"/>
    <w:lvl w:ilvl="0" w:tentative="0">
      <w:start w:val="1"/>
      <w:numFmt w:val="decimal"/>
      <w:suff w:val="nothing"/>
      <w:lvlText w:val="（%1）"/>
      <w:lvlJc w:val="left"/>
      <w:pPr>
        <w:ind w:left="0" w:firstLine="48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abstractNum w:abstractNumId="12">
    <w:nsid w:val="70B823BC"/>
    <w:multiLevelType w:val="multilevel"/>
    <w:tmpl w:val="70B823BC"/>
    <w:lvl w:ilvl="0" w:tentative="0">
      <w:start w:val="1"/>
      <w:numFmt w:val="decimal"/>
      <w:suff w:val="nothing"/>
      <w:lvlText w:val="（%1）"/>
      <w:lvlJc w:val="left"/>
      <w:pPr>
        <w:ind w:left="0" w:firstLine="480"/>
      </w:pPr>
      <w:rPr>
        <w:rFonts w:hint="eastAsia"/>
      </w:rPr>
    </w:lvl>
    <w:lvl w:ilvl="1" w:tentative="0">
      <w:start w:val="1"/>
      <w:numFmt w:val="lowerLetter"/>
      <w:lvlText w:val="%2)"/>
      <w:lvlJc w:val="left"/>
      <w:pPr>
        <w:ind w:left="1360" w:hanging="440"/>
      </w:pPr>
    </w:lvl>
    <w:lvl w:ilvl="2" w:tentative="0">
      <w:start w:val="1"/>
      <w:numFmt w:val="lowerRoman"/>
      <w:lvlText w:val="%3."/>
      <w:lvlJc w:val="right"/>
      <w:pPr>
        <w:ind w:left="1800" w:hanging="440"/>
      </w:pPr>
    </w:lvl>
    <w:lvl w:ilvl="3" w:tentative="0">
      <w:start w:val="1"/>
      <w:numFmt w:val="decimal"/>
      <w:lvlText w:val="%4."/>
      <w:lvlJc w:val="left"/>
      <w:pPr>
        <w:ind w:left="2240" w:hanging="440"/>
      </w:pPr>
    </w:lvl>
    <w:lvl w:ilvl="4" w:tentative="0">
      <w:start w:val="1"/>
      <w:numFmt w:val="lowerLetter"/>
      <w:lvlText w:val="%5)"/>
      <w:lvlJc w:val="left"/>
      <w:pPr>
        <w:ind w:left="2680" w:hanging="440"/>
      </w:pPr>
    </w:lvl>
    <w:lvl w:ilvl="5" w:tentative="0">
      <w:start w:val="1"/>
      <w:numFmt w:val="lowerRoman"/>
      <w:lvlText w:val="%6."/>
      <w:lvlJc w:val="right"/>
      <w:pPr>
        <w:ind w:left="3120" w:hanging="440"/>
      </w:pPr>
    </w:lvl>
    <w:lvl w:ilvl="6" w:tentative="0">
      <w:start w:val="1"/>
      <w:numFmt w:val="decimal"/>
      <w:lvlText w:val="%7."/>
      <w:lvlJc w:val="left"/>
      <w:pPr>
        <w:ind w:left="3560" w:hanging="440"/>
      </w:pPr>
    </w:lvl>
    <w:lvl w:ilvl="7" w:tentative="0">
      <w:start w:val="1"/>
      <w:numFmt w:val="lowerLetter"/>
      <w:lvlText w:val="%8)"/>
      <w:lvlJc w:val="left"/>
      <w:pPr>
        <w:ind w:left="4000" w:hanging="440"/>
      </w:pPr>
    </w:lvl>
    <w:lvl w:ilvl="8" w:tentative="0">
      <w:start w:val="1"/>
      <w:numFmt w:val="lowerRoman"/>
      <w:lvlText w:val="%9."/>
      <w:lvlJc w:val="right"/>
      <w:pPr>
        <w:ind w:left="4440" w:hanging="440"/>
      </w:p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8"/>
  </w:num>
  <w:num w:numId="4">
    <w:abstractNumId w:val="11"/>
  </w:num>
  <w:num w:numId="5">
    <w:abstractNumId w:val="9"/>
  </w:num>
  <w:num w:numId="6">
    <w:abstractNumId w:val="12"/>
  </w:num>
  <w:num w:numId="7">
    <w:abstractNumId w:val="5"/>
  </w:num>
  <w:num w:numId="8">
    <w:abstractNumId w:val="2"/>
  </w:num>
  <w:num w:numId="9">
    <w:abstractNumId w:val="1"/>
  </w:num>
  <w:num w:numId="10">
    <w:abstractNumId w:val="0"/>
  </w:num>
  <w:num w:numId="11">
    <w:abstractNumId w:val="3"/>
  </w:num>
  <w:num w:numId="12">
    <w:abstractNumId w:val="7"/>
  </w:num>
  <w:num w:numId="13">
    <w:abstractNumId w:val="10"/>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c0OTU5Y2IwODY5ODczNWFmNWIyZDYwODczMWRmMWEifQ=="/>
  </w:docVars>
  <w:rsids>
    <w:rsidRoot w:val="003736A2"/>
    <w:rsid w:val="000003F4"/>
    <w:rsid w:val="00000514"/>
    <w:rsid w:val="00000AF8"/>
    <w:rsid w:val="00000F7A"/>
    <w:rsid w:val="00001DF1"/>
    <w:rsid w:val="00001E3D"/>
    <w:rsid w:val="000047AD"/>
    <w:rsid w:val="00005C6F"/>
    <w:rsid w:val="00005CD8"/>
    <w:rsid w:val="00006549"/>
    <w:rsid w:val="0000660E"/>
    <w:rsid w:val="000066AD"/>
    <w:rsid w:val="0000781B"/>
    <w:rsid w:val="00007F51"/>
    <w:rsid w:val="000105DA"/>
    <w:rsid w:val="000109F5"/>
    <w:rsid w:val="00010D45"/>
    <w:rsid w:val="00011B93"/>
    <w:rsid w:val="00011EDE"/>
    <w:rsid w:val="00012D11"/>
    <w:rsid w:val="00012D9D"/>
    <w:rsid w:val="00013384"/>
    <w:rsid w:val="0001354F"/>
    <w:rsid w:val="0001411E"/>
    <w:rsid w:val="000157AD"/>
    <w:rsid w:val="000163D8"/>
    <w:rsid w:val="0001647E"/>
    <w:rsid w:val="00016F6C"/>
    <w:rsid w:val="00017927"/>
    <w:rsid w:val="00017AE8"/>
    <w:rsid w:val="000200EA"/>
    <w:rsid w:val="00020192"/>
    <w:rsid w:val="000201E2"/>
    <w:rsid w:val="00020573"/>
    <w:rsid w:val="00021F0C"/>
    <w:rsid w:val="000231F8"/>
    <w:rsid w:val="0002336F"/>
    <w:rsid w:val="000236D0"/>
    <w:rsid w:val="00024598"/>
    <w:rsid w:val="00024623"/>
    <w:rsid w:val="00025E6C"/>
    <w:rsid w:val="00026BF1"/>
    <w:rsid w:val="00027113"/>
    <w:rsid w:val="00027339"/>
    <w:rsid w:val="000278F5"/>
    <w:rsid w:val="0003049D"/>
    <w:rsid w:val="000309DF"/>
    <w:rsid w:val="00031245"/>
    <w:rsid w:val="000321A8"/>
    <w:rsid w:val="00032E79"/>
    <w:rsid w:val="000333A7"/>
    <w:rsid w:val="000336CF"/>
    <w:rsid w:val="00034BA3"/>
    <w:rsid w:val="00034DA7"/>
    <w:rsid w:val="000358C4"/>
    <w:rsid w:val="00035D36"/>
    <w:rsid w:val="00036515"/>
    <w:rsid w:val="00036BAE"/>
    <w:rsid w:val="000372A6"/>
    <w:rsid w:val="00037395"/>
    <w:rsid w:val="00037E99"/>
    <w:rsid w:val="00040765"/>
    <w:rsid w:val="000425E5"/>
    <w:rsid w:val="00042A10"/>
    <w:rsid w:val="00042EED"/>
    <w:rsid w:val="00042F82"/>
    <w:rsid w:val="000437E7"/>
    <w:rsid w:val="00044BFC"/>
    <w:rsid w:val="00045F8C"/>
    <w:rsid w:val="000470CF"/>
    <w:rsid w:val="0004734F"/>
    <w:rsid w:val="000501FC"/>
    <w:rsid w:val="000506D1"/>
    <w:rsid w:val="0005097B"/>
    <w:rsid w:val="00050B64"/>
    <w:rsid w:val="00051444"/>
    <w:rsid w:val="00051728"/>
    <w:rsid w:val="000518A8"/>
    <w:rsid w:val="00052680"/>
    <w:rsid w:val="00052FF5"/>
    <w:rsid w:val="000537E6"/>
    <w:rsid w:val="00054D37"/>
    <w:rsid w:val="00054DAB"/>
    <w:rsid w:val="0005663E"/>
    <w:rsid w:val="00056A53"/>
    <w:rsid w:val="000605E2"/>
    <w:rsid w:val="00060916"/>
    <w:rsid w:val="00062F71"/>
    <w:rsid w:val="000638C2"/>
    <w:rsid w:val="000646A8"/>
    <w:rsid w:val="00064CA0"/>
    <w:rsid w:val="0006557F"/>
    <w:rsid w:val="00065DF1"/>
    <w:rsid w:val="00070608"/>
    <w:rsid w:val="000706D5"/>
    <w:rsid w:val="00070A43"/>
    <w:rsid w:val="0007105B"/>
    <w:rsid w:val="000711ED"/>
    <w:rsid w:val="000719EE"/>
    <w:rsid w:val="000720CA"/>
    <w:rsid w:val="0007243A"/>
    <w:rsid w:val="0007270A"/>
    <w:rsid w:val="00073674"/>
    <w:rsid w:val="00073FF8"/>
    <w:rsid w:val="00074013"/>
    <w:rsid w:val="000745F2"/>
    <w:rsid w:val="00074ED6"/>
    <w:rsid w:val="000754A0"/>
    <w:rsid w:val="000757AB"/>
    <w:rsid w:val="00076175"/>
    <w:rsid w:val="00076D72"/>
    <w:rsid w:val="00077635"/>
    <w:rsid w:val="000806E7"/>
    <w:rsid w:val="00080C37"/>
    <w:rsid w:val="00080DB1"/>
    <w:rsid w:val="00081546"/>
    <w:rsid w:val="000817F9"/>
    <w:rsid w:val="0008269E"/>
    <w:rsid w:val="0008309E"/>
    <w:rsid w:val="0008415E"/>
    <w:rsid w:val="000848DD"/>
    <w:rsid w:val="00084B1A"/>
    <w:rsid w:val="000870F9"/>
    <w:rsid w:val="0009085E"/>
    <w:rsid w:val="000919A9"/>
    <w:rsid w:val="000928D3"/>
    <w:rsid w:val="00092C26"/>
    <w:rsid w:val="00092F43"/>
    <w:rsid w:val="00093B58"/>
    <w:rsid w:val="00093EA8"/>
    <w:rsid w:val="000948B9"/>
    <w:rsid w:val="00095927"/>
    <w:rsid w:val="00095DE1"/>
    <w:rsid w:val="00096DE0"/>
    <w:rsid w:val="000978EE"/>
    <w:rsid w:val="000A25B6"/>
    <w:rsid w:val="000A2B15"/>
    <w:rsid w:val="000A3430"/>
    <w:rsid w:val="000A4350"/>
    <w:rsid w:val="000A4B4B"/>
    <w:rsid w:val="000A564D"/>
    <w:rsid w:val="000A56B5"/>
    <w:rsid w:val="000A59A6"/>
    <w:rsid w:val="000A79DC"/>
    <w:rsid w:val="000A7BF6"/>
    <w:rsid w:val="000A7E4D"/>
    <w:rsid w:val="000B1876"/>
    <w:rsid w:val="000B319A"/>
    <w:rsid w:val="000B39F4"/>
    <w:rsid w:val="000B4199"/>
    <w:rsid w:val="000B4388"/>
    <w:rsid w:val="000B4499"/>
    <w:rsid w:val="000B5269"/>
    <w:rsid w:val="000B529B"/>
    <w:rsid w:val="000B5A42"/>
    <w:rsid w:val="000B6C92"/>
    <w:rsid w:val="000C0C3F"/>
    <w:rsid w:val="000C201D"/>
    <w:rsid w:val="000C27FB"/>
    <w:rsid w:val="000C3C7D"/>
    <w:rsid w:val="000C60CC"/>
    <w:rsid w:val="000C6B2D"/>
    <w:rsid w:val="000C730A"/>
    <w:rsid w:val="000D03A4"/>
    <w:rsid w:val="000D0FAC"/>
    <w:rsid w:val="000D1CD1"/>
    <w:rsid w:val="000D24B0"/>
    <w:rsid w:val="000D2F6C"/>
    <w:rsid w:val="000D30A3"/>
    <w:rsid w:val="000D3EC1"/>
    <w:rsid w:val="000D4458"/>
    <w:rsid w:val="000D52AC"/>
    <w:rsid w:val="000D5B27"/>
    <w:rsid w:val="000D6084"/>
    <w:rsid w:val="000D6383"/>
    <w:rsid w:val="000D6C25"/>
    <w:rsid w:val="000D7E19"/>
    <w:rsid w:val="000E068E"/>
    <w:rsid w:val="000E09D9"/>
    <w:rsid w:val="000E1C03"/>
    <w:rsid w:val="000E25DA"/>
    <w:rsid w:val="000E29C0"/>
    <w:rsid w:val="000E2D89"/>
    <w:rsid w:val="000E2EB7"/>
    <w:rsid w:val="000E4646"/>
    <w:rsid w:val="000E4CEC"/>
    <w:rsid w:val="000E4EA3"/>
    <w:rsid w:val="000E589A"/>
    <w:rsid w:val="000F08BC"/>
    <w:rsid w:val="000F0C2E"/>
    <w:rsid w:val="000F0CAD"/>
    <w:rsid w:val="000F1E8A"/>
    <w:rsid w:val="000F246A"/>
    <w:rsid w:val="000F2821"/>
    <w:rsid w:val="000F59C1"/>
    <w:rsid w:val="000F5D55"/>
    <w:rsid w:val="000F5F49"/>
    <w:rsid w:val="000F63A8"/>
    <w:rsid w:val="000F708F"/>
    <w:rsid w:val="00100D23"/>
    <w:rsid w:val="00100F61"/>
    <w:rsid w:val="0010281D"/>
    <w:rsid w:val="001034D0"/>
    <w:rsid w:val="001036F8"/>
    <w:rsid w:val="00103857"/>
    <w:rsid w:val="00103F77"/>
    <w:rsid w:val="00104387"/>
    <w:rsid w:val="0010513C"/>
    <w:rsid w:val="001052C9"/>
    <w:rsid w:val="00105921"/>
    <w:rsid w:val="00105D96"/>
    <w:rsid w:val="00106371"/>
    <w:rsid w:val="00106384"/>
    <w:rsid w:val="00106847"/>
    <w:rsid w:val="00106E87"/>
    <w:rsid w:val="00106FCC"/>
    <w:rsid w:val="001070F2"/>
    <w:rsid w:val="00107891"/>
    <w:rsid w:val="00110223"/>
    <w:rsid w:val="001105A3"/>
    <w:rsid w:val="00110844"/>
    <w:rsid w:val="001116F0"/>
    <w:rsid w:val="00111BC1"/>
    <w:rsid w:val="00112D74"/>
    <w:rsid w:val="00114D08"/>
    <w:rsid w:val="00114E20"/>
    <w:rsid w:val="00114F90"/>
    <w:rsid w:val="001151C6"/>
    <w:rsid w:val="001153E5"/>
    <w:rsid w:val="00116225"/>
    <w:rsid w:val="001163A9"/>
    <w:rsid w:val="00117E82"/>
    <w:rsid w:val="00120FD7"/>
    <w:rsid w:val="00121C34"/>
    <w:rsid w:val="001227CA"/>
    <w:rsid w:val="00122F33"/>
    <w:rsid w:val="001235BA"/>
    <w:rsid w:val="00123876"/>
    <w:rsid w:val="00123B8F"/>
    <w:rsid w:val="0012454C"/>
    <w:rsid w:val="00124938"/>
    <w:rsid w:val="00124D5A"/>
    <w:rsid w:val="001250EF"/>
    <w:rsid w:val="0012575F"/>
    <w:rsid w:val="00126996"/>
    <w:rsid w:val="00130A18"/>
    <w:rsid w:val="00130B70"/>
    <w:rsid w:val="00130DBB"/>
    <w:rsid w:val="00132F00"/>
    <w:rsid w:val="001332FA"/>
    <w:rsid w:val="00133691"/>
    <w:rsid w:val="00134FA5"/>
    <w:rsid w:val="00136F18"/>
    <w:rsid w:val="0014136D"/>
    <w:rsid w:val="00141A70"/>
    <w:rsid w:val="00142B74"/>
    <w:rsid w:val="001432B2"/>
    <w:rsid w:val="001440A6"/>
    <w:rsid w:val="00144509"/>
    <w:rsid w:val="00144EE5"/>
    <w:rsid w:val="00144EFC"/>
    <w:rsid w:val="00145119"/>
    <w:rsid w:val="00145682"/>
    <w:rsid w:val="00145A3A"/>
    <w:rsid w:val="001470D1"/>
    <w:rsid w:val="00147314"/>
    <w:rsid w:val="00147BC0"/>
    <w:rsid w:val="00147EB7"/>
    <w:rsid w:val="001501B1"/>
    <w:rsid w:val="001507F8"/>
    <w:rsid w:val="00150A14"/>
    <w:rsid w:val="00152117"/>
    <w:rsid w:val="00153A94"/>
    <w:rsid w:val="00154640"/>
    <w:rsid w:val="001547EE"/>
    <w:rsid w:val="001548FA"/>
    <w:rsid w:val="001559A8"/>
    <w:rsid w:val="00155C04"/>
    <w:rsid w:val="00155EE2"/>
    <w:rsid w:val="00156013"/>
    <w:rsid w:val="001562E1"/>
    <w:rsid w:val="001563EC"/>
    <w:rsid w:val="001565DA"/>
    <w:rsid w:val="001567D9"/>
    <w:rsid w:val="001578D5"/>
    <w:rsid w:val="001579C4"/>
    <w:rsid w:val="00157E73"/>
    <w:rsid w:val="00160205"/>
    <w:rsid w:val="00160868"/>
    <w:rsid w:val="00160B6D"/>
    <w:rsid w:val="001614AC"/>
    <w:rsid w:val="001615A9"/>
    <w:rsid w:val="00161606"/>
    <w:rsid w:val="00161C8F"/>
    <w:rsid w:val="00162138"/>
    <w:rsid w:val="00162BCA"/>
    <w:rsid w:val="00162BED"/>
    <w:rsid w:val="001636F0"/>
    <w:rsid w:val="00166443"/>
    <w:rsid w:val="00166A2A"/>
    <w:rsid w:val="001670BB"/>
    <w:rsid w:val="00167957"/>
    <w:rsid w:val="001704EC"/>
    <w:rsid w:val="00170DB8"/>
    <w:rsid w:val="00170ECB"/>
    <w:rsid w:val="001716AD"/>
    <w:rsid w:val="00172956"/>
    <w:rsid w:val="00172F06"/>
    <w:rsid w:val="00174116"/>
    <w:rsid w:val="001746B0"/>
    <w:rsid w:val="00174745"/>
    <w:rsid w:val="00174D79"/>
    <w:rsid w:val="0017592C"/>
    <w:rsid w:val="00175AF3"/>
    <w:rsid w:val="0017636B"/>
    <w:rsid w:val="00176540"/>
    <w:rsid w:val="0017676F"/>
    <w:rsid w:val="0017678B"/>
    <w:rsid w:val="00176E7A"/>
    <w:rsid w:val="00181117"/>
    <w:rsid w:val="0018215E"/>
    <w:rsid w:val="0018261A"/>
    <w:rsid w:val="00182D20"/>
    <w:rsid w:val="001832ED"/>
    <w:rsid w:val="0018384E"/>
    <w:rsid w:val="001842E7"/>
    <w:rsid w:val="0018486F"/>
    <w:rsid w:val="001850EB"/>
    <w:rsid w:val="001872C2"/>
    <w:rsid w:val="00187DA9"/>
    <w:rsid w:val="00190B42"/>
    <w:rsid w:val="001911B1"/>
    <w:rsid w:val="00192E20"/>
    <w:rsid w:val="001932CA"/>
    <w:rsid w:val="001941A0"/>
    <w:rsid w:val="00195874"/>
    <w:rsid w:val="00195B6A"/>
    <w:rsid w:val="00195D7F"/>
    <w:rsid w:val="0019649A"/>
    <w:rsid w:val="001972D0"/>
    <w:rsid w:val="00197DFC"/>
    <w:rsid w:val="001A0612"/>
    <w:rsid w:val="001A0BC0"/>
    <w:rsid w:val="001A11EB"/>
    <w:rsid w:val="001A1720"/>
    <w:rsid w:val="001A18B9"/>
    <w:rsid w:val="001A274F"/>
    <w:rsid w:val="001A406C"/>
    <w:rsid w:val="001A47AC"/>
    <w:rsid w:val="001A4F8E"/>
    <w:rsid w:val="001A70B0"/>
    <w:rsid w:val="001B08CB"/>
    <w:rsid w:val="001B0E2C"/>
    <w:rsid w:val="001B0EAA"/>
    <w:rsid w:val="001B1198"/>
    <w:rsid w:val="001B13B2"/>
    <w:rsid w:val="001B14A2"/>
    <w:rsid w:val="001B1755"/>
    <w:rsid w:val="001B237F"/>
    <w:rsid w:val="001B377C"/>
    <w:rsid w:val="001B3A07"/>
    <w:rsid w:val="001B400D"/>
    <w:rsid w:val="001B40D6"/>
    <w:rsid w:val="001B4ED9"/>
    <w:rsid w:val="001B51AE"/>
    <w:rsid w:val="001B53D2"/>
    <w:rsid w:val="001B670A"/>
    <w:rsid w:val="001B7013"/>
    <w:rsid w:val="001C1CB3"/>
    <w:rsid w:val="001C2185"/>
    <w:rsid w:val="001C2193"/>
    <w:rsid w:val="001C2870"/>
    <w:rsid w:val="001C301F"/>
    <w:rsid w:val="001C30CE"/>
    <w:rsid w:val="001C368E"/>
    <w:rsid w:val="001C5803"/>
    <w:rsid w:val="001C60BE"/>
    <w:rsid w:val="001C6180"/>
    <w:rsid w:val="001C6425"/>
    <w:rsid w:val="001C6AB9"/>
    <w:rsid w:val="001C734D"/>
    <w:rsid w:val="001C7C20"/>
    <w:rsid w:val="001D16DB"/>
    <w:rsid w:val="001D17A2"/>
    <w:rsid w:val="001D31E8"/>
    <w:rsid w:val="001D368B"/>
    <w:rsid w:val="001D377F"/>
    <w:rsid w:val="001D3E22"/>
    <w:rsid w:val="001D5029"/>
    <w:rsid w:val="001D60F8"/>
    <w:rsid w:val="001D7452"/>
    <w:rsid w:val="001D7884"/>
    <w:rsid w:val="001D7962"/>
    <w:rsid w:val="001E09A4"/>
    <w:rsid w:val="001E13E7"/>
    <w:rsid w:val="001E1FB4"/>
    <w:rsid w:val="001E225A"/>
    <w:rsid w:val="001E2637"/>
    <w:rsid w:val="001E2CEB"/>
    <w:rsid w:val="001E2E96"/>
    <w:rsid w:val="001E2FF7"/>
    <w:rsid w:val="001E423C"/>
    <w:rsid w:val="001E427C"/>
    <w:rsid w:val="001E4AA2"/>
    <w:rsid w:val="001E4BBF"/>
    <w:rsid w:val="001E5AA6"/>
    <w:rsid w:val="001E6228"/>
    <w:rsid w:val="001E6F1C"/>
    <w:rsid w:val="001E7821"/>
    <w:rsid w:val="001F0099"/>
    <w:rsid w:val="001F0D97"/>
    <w:rsid w:val="001F1DB4"/>
    <w:rsid w:val="001F212E"/>
    <w:rsid w:val="001F27D1"/>
    <w:rsid w:val="001F300F"/>
    <w:rsid w:val="001F344D"/>
    <w:rsid w:val="001F40B8"/>
    <w:rsid w:val="001F4779"/>
    <w:rsid w:val="001F4881"/>
    <w:rsid w:val="001F4BEB"/>
    <w:rsid w:val="001F50BD"/>
    <w:rsid w:val="001F50E4"/>
    <w:rsid w:val="001F5A1F"/>
    <w:rsid w:val="001F6554"/>
    <w:rsid w:val="001F78E3"/>
    <w:rsid w:val="001F7E5C"/>
    <w:rsid w:val="0020017D"/>
    <w:rsid w:val="00201F9D"/>
    <w:rsid w:val="002021D8"/>
    <w:rsid w:val="00202417"/>
    <w:rsid w:val="00202B27"/>
    <w:rsid w:val="0020530E"/>
    <w:rsid w:val="0020568B"/>
    <w:rsid w:val="00205945"/>
    <w:rsid w:val="002063F8"/>
    <w:rsid w:val="00206ACC"/>
    <w:rsid w:val="00206D82"/>
    <w:rsid w:val="00207312"/>
    <w:rsid w:val="00207D41"/>
    <w:rsid w:val="002112DC"/>
    <w:rsid w:val="002114C9"/>
    <w:rsid w:val="0021290C"/>
    <w:rsid w:val="00212EB6"/>
    <w:rsid w:val="00215009"/>
    <w:rsid w:val="00215223"/>
    <w:rsid w:val="00215C05"/>
    <w:rsid w:val="00215F9E"/>
    <w:rsid w:val="00215FBF"/>
    <w:rsid w:val="002166F7"/>
    <w:rsid w:val="00217230"/>
    <w:rsid w:val="00220390"/>
    <w:rsid w:val="002220AC"/>
    <w:rsid w:val="002226CE"/>
    <w:rsid w:val="002230E3"/>
    <w:rsid w:val="0022377F"/>
    <w:rsid w:val="00223AA6"/>
    <w:rsid w:val="00223B3A"/>
    <w:rsid w:val="002247AC"/>
    <w:rsid w:val="00224A9B"/>
    <w:rsid w:val="00225213"/>
    <w:rsid w:val="00225BF4"/>
    <w:rsid w:val="00226B11"/>
    <w:rsid w:val="0022702C"/>
    <w:rsid w:val="002271F9"/>
    <w:rsid w:val="00230E54"/>
    <w:rsid w:val="00231416"/>
    <w:rsid w:val="002315B6"/>
    <w:rsid w:val="00231DAF"/>
    <w:rsid w:val="00231F9A"/>
    <w:rsid w:val="002326EA"/>
    <w:rsid w:val="002336AB"/>
    <w:rsid w:val="00233A22"/>
    <w:rsid w:val="00233F41"/>
    <w:rsid w:val="00234196"/>
    <w:rsid w:val="0023424E"/>
    <w:rsid w:val="00234A41"/>
    <w:rsid w:val="00234B44"/>
    <w:rsid w:val="00234EA0"/>
    <w:rsid w:val="002356D4"/>
    <w:rsid w:val="0023598A"/>
    <w:rsid w:val="00235CA6"/>
    <w:rsid w:val="00235E18"/>
    <w:rsid w:val="00236C3B"/>
    <w:rsid w:val="00236EC3"/>
    <w:rsid w:val="00237ABA"/>
    <w:rsid w:val="00237F75"/>
    <w:rsid w:val="00240961"/>
    <w:rsid w:val="00240B86"/>
    <w:rsid w:val="00241BA6"/>
    <w:rsid w:val="002429EA"/>
    <w:rsid w:val="0024307B"/>
    <w:rsid w:val="002435A8"/>
    <w:rsid w:val="00243D49"/>
    <w:rsid w:val="002455D6"/>
    <w:rsid w:val="00245B3D"/>
    <w:rsid w:val="00246067"/>
    <w:rsid w:val="002465E0"/>
    <w:rsid w:val="002503AD"/>
    <w:rsid w:val="00250B48"/>
    <w:rsid w:val="00250DE6"/>
    <w:rsid w:val="0025107A"/>
    <w:rsid w:val="0025116D"/>
    <w:rsid w:val="00251317"/>
    <w:rsid w:val="002526C1"/>
    <w:rsid w:val="002527EF"/>
    <w:rsid w:val="0025299E"/>
    <w:rsid w:val="0025319F"/>
    <w:rsid w:val="00253628"/>
    <w:rsid w:val="00253692"/>
    <w:rsid w:val="00253D12"/>
    <w:rsid w:val="00256663"/>
    <w:rsid w:val="00257A46"/>
    <w:rsid w:val="00257AD2"/>
    <w:rsid w:val="0026095C"/>
    <w:rsid w:val="00263532"/>
    <w:rsid w:val="002639BA"/>
    <w:rsid w:val="0026430B"/>
    <w:rsid w:val="00264BEA"/>
    <w:rsid w:val="00264FA1"/>
    <w:rsid w:val="002659D9"/>
    <w:rsid w:val="00265AA6"/>
    <w:rsid w:val="002663FA"/>
    <w:rsid w:val="00267F46"/>
    <w:rsid w:val="00270024"/>
    <w:rsid w:val="00270178"/>
    <w:rsid w:val="00270CF6"/>
    <w:rsid w:val="00270E37"/>
    <w:rsid w:val="0027112A"/>
    <w:rsid w:val="0027118A"/>
    <w:rsid w:val="0027145A"/>
    <w:rsid w:val="002714A3"/>
    <w:rsid w:val="002716CA"/>
    <w:rsid w:val="00271BEC"/>
    <w:rsid w:val="002720A8"/>
    <w:rsid w:val="002727B0"/>
    <w:rsid w:val="00274056"/>
    <w:rsid w:val="0027466A"/>
    <w:rsid w:val="0027545F"/>
    <w:rsid w:val="00275858"/>
    <w:rsid w:val="00275C59"/>
    <w:rsid w:val="00276161"/>
    <w:rsid w:val="00276FA4"/>
    <w:rsid w:val="00277355"/>
    <w:rsid w:val="00277F41"/>
    <w:rsid w:val="0028023E"/>
    <w:rsid w:val="0028054B"/>
    <w:rsid w:val="00281062"/>
    <w:rsid w:val="00281291"/>
    <w:rsid w:val="00281CE5"/>
    <w:rsid w:val="0028261F"/>
    <w:rsid w:val="002828EE"/>
    <w:rsid w:val="00282C48"/>
    <w:rsid w:val="00284528"/>
    <w:rsid w:val="00284901"/>
    <w:rsid w:val="0028500D"/>
    <w:rsid w:val="002852E0"/>
    <w:rsid w:val="002856DD"/>
    <w:rsid w:val="00285CCE"/>
    <w:rsid w:val="00287093"/>
    <w:rsid w:val="00287340"/>
    <w:rsid w:val="002901C3"/>
    <w:rsid w:val="002912EE"/>
    <w:rsid w:val="0029164B"/>
    <w:rsid w:val="00291B0D"/>
    <w:rsid w:val="00292135"/>
    <w:rsid w:val="00292A74"/>
    <w:rsid w:val="00293416"/>
    <w:rsid w:val="00294162"/>
    <w:rsid w:val="0029426F"/>
    <w:rsid w:val="00294716"/>
    <w:rsid w:val="00294F29"/>
    <w:rsid w:val="00294F34"/>
    <w:rsid w:val="00295516"/>
    <w:rsid w:val="00295753"/>
    <w:rsid w:val="00295D33"/>
    <w:rsid w:val="002965F2"/>
    <w:rsid w:val="00297831"/>
    <w:rsid w:val="002A09A3"/>
    <w:rsid w:val="002A0C15"/>
    <w:rsid w:val="002A12B6"/>
    <w:rsid w:val="002A1740"/>
    <w:rsid w:val="002A2450"/>
    <w:rsid w:val="002A2B7B"/>
    <w:rsid w:val="002A2BA4"/>
    <w:rsid w:val="002A2E91"/>
    <w:rsid w:val="002A3454"/>
    <w:rsid w:val="002A3E64"/>
    <w:rsid w:val="002A5C16"/>
    <w:rsid w:val="002A63B6"/>
    <w:rsid w:val="002A793F"/>
    <w:rsid w:val="002A797E"/>
    <w:rsid w:val="002A7ABF"/>
    <w:rsid w:val="002B0351"/>
    <w:rsid w:val="002B1109"/>
    <w:rsid w:val="002B2F33"/>
    <w:rsid w:val="002B36A2"/>
    <w:rsid w:val="002B3D6E"/>
    <w:rsid w:val="002B654F"/>
    <w:rsid w:val="002B6CBD"/>
    <w:rsid w:val="002B71D4"/>
    <w:rsid w:val="002C02AE"/>
    <w:rsid w:val="002C0732"/>
    <w:rsid w:val="002C1112"/>
    <w:rsid w:val="002C15AF"/>
    <w:rsid w:val="002C2253"/>
    <w:rsid w:val="002C2D74"/>
    <w:rsid w:val="002C3737"/>
    <w:rsid w:val="002C37CF"/>
    <w:rsid w:val="002C3A11"/>
    <w:rsid w:val="002C4691"/>
    <w:rsid w:val="002C5C45"/>
    <w:rsid w:val="002C60F2"/>
    <w:rsid w:val="002C720D"/>
    <w:rsid w:val="002C79FE"/>
    <w:rsid w:val="002D15AC"/>
    <w:rsid w:val="002D165F"/>
    <w:rsid w:val="002D2E45"/>
    <w:rsid w:val="002D4FB6"/>
    <w:rsid w:val="002D5046"/>
    <w:rsid w:val="002D54DA"/>
    <w:rsid w:val="002D7478"/>
    <w:rsid w:val="002D76BB"/>
    <w:rsid w:val="002D7B01"/>
    <w:rsid w:val="002E033B"/>
    <w:rsid w:val="002E21BE"/>
    <w:rsid w:val="002E220C"/>
    <w:rsid w:val="002E2449"/>
    <w:rsid w:val="002E2523"/>
    <w:rsid w:val="002E478A"/>
    <w:rsid w:val="002E4BFF"/>
    <w:rsid w:val="002E56F2"/>
    <w:rsid w:val="002E5C30"/>
    <w:rsid w:val="002E652B"/>
    <w:rsid w:val="002E6989"/>
    <w:rsid w:val="002E69FC"/>
    <w:rsid w:val="002F0269"/>
    <w:rsid w:val="002F0D38"/>
    <w:rsid w:val="002F2315"/>
    <w:rsid w:val="002F3E46"/>
    <w:rsid w:val="002F3FFE"/>
    <w:rsid w:val="002F4D19"/>
    <w:rsid w:val="002F4DEF"/>
    <w:rsid w:val="002F52E9"/>
    <w:rsid w:val="002F55C1"/>
    <w:rsid w:val="00300008"/>
    <w:rsid w:val="00301167"/>
    <w:rsid w:val="00301393"/>
    <w:rsid w:val="003020ED"/>
    <w:rsid w:val="003037DA"/>
    <w:rsid w:val="0030642C"/>
    <w:rsid w:val="00306D01"/>
    <w:rsid w:val="0030700F"/>
    <w:rsid w:val="00307581"/>
    <w:rsid w:val="003102FD"/>
    <w:rsid w:val="0031123A"/>
    <w:rsid w:val="003129F1"/>
    <w:rsid w:val="00313CFD"/>
    <w:rsid w:val="00316203"/>
    <w:rsid w:val="003164B0"/>
    <w:rsid w:val="00320165"/>
    <w:rsid w:val="00320D87"/>
    <w:rsid w:val="00320E08"/>
    <w:rsid w:val="00320F77"/>
    <w:rsid w:val="00320F9C"/>
    <w:rsid w:val="00322B9F"/>
    <w:rsid w:val="00322E75"/>
    <w:rsid w:val="00322E89"/>
    <w:rsid w:val="003230D6"/>
    <w:rsid w:val="00323B3A"/>
    <w:rsid w:val="00323F8E"/>
    <w:rsid w:val="00324136"/>
    <w:rsid w:val="00325C40"/>
    <w:rsid w:val="00325FC9"/>
    <w:rsid w:val="003261A6"/>
    <w:rsid w:val="00326414"/>
    <w:rsid w:val="003265CE"/>
    <w:rsid w:val="0032689A"/>
    <w:rsid w:val="00327138"/>
    <w:rsid w:val="00330A2E"/>
    <w:rsid w:val="00331AB5"/>
    <w:rsid w:val="00331F58"/>
    <w:rsid w:val="00332892"/>
    <w:rsid w:val="00332C9C"/>
    <w:rsid w:val="00332FDD"/>
    <w:rsid w:val="00333865"/>
    <w:rsid w:val="00333A8D"/>
    <w:rsid w:val="003341FE"/>
    <w:rsid w:val="00334292"/>
    <w:rsid w:val="00334404"/>
    <w:rsid w:val="0033472B"/>
    <w:rsid w:val="003351A9"/>
    <w:rsid w:val="003354AA"/>
    <w:rsid w:val="00336618"/>
    <w:rsid w:val="00336690"/>
    <w:rsid w:val="00336990"/>
    <w:rsid w:val="00336C22"/>
    <w:rsid w:val="0033719B"/>
    <w:rsid w:val="00337717"/>
    <w:rsid w:val="00337991"/>
    <w:rsid w:val="0034190B"/>
    <w:rsid w:val="00341926"/>
    <w:rsid w:val="00341FCE"/>
    <w:rsid w:val="0034230E"/>
    <w:rsid w:val="003423E3"/>
    <w:rsid w:val="00343AB1"/>
    <w:rsid w:val="00344049"/>
    <w:rsid w:val="003447BB"/>
    <w:rsid w:val="00344A0F"/>
    <w:rsid w:val="00344AE5"/>
    <w:rsid w:val="00344FBC"/>
    <w:rsid w:val="003455F7"/>
    <w:rsid w:val="00346665"/>
    <w:rsid w:val="00346DB4"/>
    <w:rsid w:val="00347258"/>
    <w:rsid w:val="003473F4"/>
    <w:rsid w:val="003508FC"/>
    <w:rsid w:val="003528AE"/>
    <w:rsid w:val="00354AA3"/>
    <w:rsid w:val="003552F6"/>
    <w:rsid w:val="00355433"/>
    <w:rsid w:val="00355D18"/>
    <w:rsid w:val="00356C57"/>
    <w:rsid w:val="00356CBE"/>
    <w:rsid w:val="00356F27"/>
    <w:rsid w:val="00357775"/>
    <w:rsid w:val="00357BB2"/>
    <w:rsid w:val="00357E6D"/>
    <w:rsid w:val="00360831"/>
    <w:rsid w:val="00361ABC"/>
    <w:rsid w:val="003624C8"/>
    <w:rsid w:val="0036304C"/>
    <w:rsid w:val="0036313F"/>
    <w:rsid w:val="003637CE"/>
    <w:rsid w:val="00364966"/>
    <w:rsid w:val="00364BA5"/>
    <w:rsid w:val="00364F88"/>
    <w:rsid w:val="00365687"/>
    <w:rsid w:val="00365A7C"/>
    <w:rsid w:val="00365DDF"/>
    <w:rsid w:val="0036675C"/>
    <w:rsid w:val="0036770C"/>
    <w:rsid w:val="003677CD"/>
    <w:rsid w:val="00367E44"/>
    <w:rsid w:val="0037065D"/>
    <w:rsid w:val="00370816"/>
    <w:rsid w:val="00370850"/>
    <w:rsid w:val="00371017"/>
    <w:rsid w:val="003712E1"/>
    <w:rsid w:val="00371B11"/>
    <w:rsid w:val="00372738"/>
    <w:rsid w:val="00372B99"/>
    <w:rsid w:val="00372EC5"/>
    <w:rsid w:val="00373524"/>
    <w:rsid w:val="003736A2"/>
    <w:rsid w:val="00374B92"/>
    <w:rsid w:val="00374C08"/>
    <w:rsid w:val="00374CFF"/>
    <w:rsid w:val="00374E9D"/>
    <w:rsid w:val="00375563"/>
    <w:rsid w:val="00375E9F"/>
    <w:rsid w:val="00377CA1"/>
    <w:rsid w:val="0038005C"/>
    <w:rsid w:val="003801DD"/>
    <w:rsid w:val="0038262E"/>
    <w:rsid w:val="00383017"/>
    <w:rsid w:val="003838E5"/>
    <w:rsid w:val="00384328"/>
    <w:rsid w:val="003849AA"/>
    <w:rsid w:val="00384A87"/>
    <w:rsid w:val="00385B44"/>
    <w:rsid w:val="0038758C"/>
    <w:rsid w:val="003875D8"/>
    <w:rsid w:val="003876B4"/>
    <w:rsid w:val="003900D7"/>
    <w:rsid w:val="00390300"/>
    <w:rsid w:val="00390592"/>
    <w:rsid w:val="0039248F"/>
    <w:rsid w:val="00393623"/>
    <w:rsid w:val="00393825"/>
    <w:rsid w:val="00393A44"/>
    <w:rsid w:val="003941DD"/>
    <w:rsid w:val="00394A05"/>
    <w:rsid w:val="00395C43"/>
    <w:rsid w:val="003A0400"/>
    <w:rsid w:val="003A0DF3"/>
    <w:rsid w:val="003A1172"/>
    <w:rsid w:val="003A121C"/>
    <w:rsid w:val="003A1B89"/>
    <w:rsid w:val="003A20B7"/>
    <w:rsid w:val="003A2244"/>
    <w:rsid w:val="003A2A47"/>
    <w:rsid w:val="003A2F15"/>
    <w:rsid w:val="003A3025"/>
    <w:rsid w:val="003A42F9"/>
    <w:rsid w:val="003A4C47"/>
    <w:rsid w:val="003A6A75"/>
    <w:rsid w:val="003A6B0B"/>
    <w:rsid w:val="003A70D4"/>
    <w:rsid w:val="003A7D51"/>
    <w:rsid w:val="003A7E14"/>
    <w:rsid w:val="003B00E8"/>
    <w:rsid w:val="003B06BD"/>
    <w:rsid w:val="003B106B"/>
    <w:rsid w:val="003B19C5"/>
    <w:rsid w:val="003B220D"/>
    <w:rsid w:val="003B3E03"/>
    <w:rsid w:val="003B4818"/>
    <w:rsid w:val="003B7104"/>
    <w:rsid w:val="003B7125"/>
    <w:rsid w:val="003B72D2"/>
    <w:rsid w:val="003B7EC3"/>
    <w:rsid w:val="003C15FA"/>
    <w:rsid w:val="003C174A"/>
    <w:rsid w:val="003C1B24"/>
    <w:rsid w:val="003C1C7B"/>
    <w:rsid w:val="003C1D84"/>
    <w:rsid w:val="003C210A"/>
    <w:rsid w:val="003C2665"/>
    <w:rsid w:val="003C2EBC"/>
    <w:rsid w:val="003C48F5"/>
    <w:rsid w:val="003C6DDE"/>
    <w:rsid w:val="003C7174"/>
    <w:rsid w:val="003C76EC"/>
    <w:rsid w:val="003C7BC4"/>
    <w:rsid w:val="003D04F9"/>
    <w:rsid w:val="003D0B0E"/>
    <w:rsid w:val="003D2116"/>
    <w:rsid w:val="003D272F"/>
    <w:rsid w:val="003D2FD1"/>
    <w:rsid w:val="003D3D4B"/>
    <w:rsid w:val="003D3E7F"/>
    <w:rsid w:val="003D4B51"/>
    <w:rsid w:val="003D4DF8"/>
    <w:rsid w:val="003D5074"/>
    <w:rsid w:val="003D6205"/>
    <w:rsid w:val="003D6728"/>
    <w:rsid w:val="003D674C"/>
    <w:rsid w:val="003D769C"/>
    <w:rsid w:val="003E097A"/>
    <w:rsid w:val="003E0C69"/>
    <w:rsid w:val="003E115C"/>
    <w:rsid w:val="003E1FDC"/>
    <w:rsid w:val="003E3817"/>
    <w:rsid w:val="003E3D22"/>
    <w:rsid w:val="003E665E"/>
    <w:rsid w:val="003E6C08"/>
    <w:rsid w:val="003F0047"/>
    <w:rsid w:val="003F0ACA"/>
    <w:rsid w:val="003F11A6"/>
    <w:rsid w:val="003F250A"/>
    <w:rsid w:val="003F419C"/>
    <w:rsid w:val="003F4BB5"/>
    <w:rsid w:val="003F7209"/>
    <w:rsid w:val="0040113C"/>
    <w:rsid w:val="00402146"/>
    <w:rsid w:val="00402CBB"/>
    <w:rsid w:val="00403100"/>
    <w:rsid w:val="00404843"/>
    <w:rsid w:val="00405BED"/>
    <w:rsid w:val="00405EEC"/>
    <w:rsid w:val="00405F42"/>
    <w:rsid w:val="004063BF"/>
    <w:rsid w:val="00407417"/>
    <w:rsid w:val="004079B1"/>
    <w:rsid w:val="00410052"/>
    <w:rsid w:val="00412027"/>
    <w:rsid w:val="00412252"/>
    <w:rsid w:val="00413218"/>
    <w:rsid w:val="00413581"/>
    <w:rsid w:val="00414715"/>
    <w:rsid w:val="00415CB1"/>
    <w:rsid w:val="00415DDF"/>
    <w:rsid w:val="00416465"/>
    <w:rsid w:val="00416A38"/>
    <w:rsid w:val="00417077"/>
    <w:rsid w:val="00417257"/>
    <w:rsid w:val="00417AAD"/>
    <w:rsid w:val="00420038"/>
    <w:rsid w:val="00420E7F"/>
    <w:rsid w:val="00420EAD"/>
    <w:rsid w:val="004211C9"/>
    <w:rsid w:val="00421665"/>
    <w:rsid w:val="00422307"/>
    <w:rsid w:val="00423A64"/>
    <w:rsid w:val="00423DB1"/>
    <w:rsid w:val="0042435E"/>
    <w:rsid w:val="00425D67"/>
    <w:rsid w:val="00425F86"/>
    <w:rsid w:val="0042615A"/>
    <w:rsid w:val="00426EDE"/>
    <w:rsid w:val="00427B35"/>
    <w:rsid w:val="0043010B"/>
    <w:rsid w:val="00430D63"/>
    <w:rsid w:val="00433ADA"/>
    <w:rsid w:val="00433E7A"/>
    <w:rsid w:val="00434A95"/>
    <w:rsid w:val="00434F0D"/>
    <w:rsid w:val="00435C41"/>
    <w:rsid w:val="00437B50"/>
    <w:rsid w:val="00437F82"/>
    <w:rsid w:val="00440588"/>
    <w:rsid w:val="00440881"/>
    <w:rsid w:val="00441151"/>
    <w:rsid w:val="00441701"/>
    <w:rsid w:val="00441A3D"/>
    <w:rsid w:val="00441E98"/>
    <w:rsid w:val="004432ED"/>
    <w:rsid w:val="00444E74"/>
    <w:rsid w:val="00445FB1"/>
    <w:rsid w:val="00447090"/>
    <w:rsid w:val="00447EC9"/>
    <w:rsid w:val="00447F2F"/>
    <w:rsid w:val="00450A1F"/>
    <w:rsid w:val="00452A57"/>
    <w:rsid w:val="004542F4"/>
    <w:rsid w:val="004548EA"/>
    <w:rsid w:val="00455808"/>
    <w:rsid w:val="00455A8F"/>
    <w:rsid w:val="00460457"/>
    <w:rsid w:val="004606AD"/>
    <w:rsid w:val="00460D6F"/>
    <w:rsid w:val="00463514"/>
    <w:rsid w:val="004643A9"/>
    <w:rsid w:val="00464531"/>
    <w:rsid w:val="00464F35"/>
    <w:rsid w:val="00465219"/>
    <w:rsid w:val="00465C35"/>
    <w:rsid w:val="00465DB8"/>
    <w:rsid w:val="00466033"/>
    <w:rsid w:val="0046722E"/>
    <w:rsid w:val="00467809"/>
    <w:rsid w:val="00467FE9"/>
    <w:rsid w:val="0047029D"/>
    <w:rsid w:val="00470876"/>
    <w:rsid w:val="00471527"/>
    <w:rsid w:val="00472016"/>
    <w:rsid w:val="00472260"/>
    <w:rsid w:val="00472990"/>
    <w:rsid w:val="0047319D"/>
    <w:rsid w:val="00474D51"/>
    <w:rsid w:val="00475552"/>
    <w:rsid w:val="00476B0F"/>
    <w:rsid w:val="004776B8"/>
    <w:rsid w:val="004779BC"/>
    <w:rsid w:val="004807B1"/>
    <w:rsid w:val="00481725"/>
    <w:rsid w:val="00481A8D"/>
    <w:rsid w:val="0048264E"/>
    <w:rsid w:val="00483CBE"/>
    <w:rsid w:val="004856FB"/>
    <w:rsid w:val="00485BD4"/>
    <w:rsid w:val="00487183"/>
    <w:rsid w:val="0048760B"/>
    <w:rsid w:val="00491632"/>
    <w:rsid w:val="00491E92"/>
    <w:rsid w:val="004924CD"/>
    <w:rsid w:val="0049276C"/>
    <w:rsid w:val="00492B95"/>
    <w:rsid w:val="00493389"/>
    <w:rsid w:val="00493A60"/>
    <w:rsid w:val="00493D8A"/>
    <w:rsid w:val="00494A22"/>
    <w:rsid w:val="00495DD3"/>
    <w:rsid w:val="004978B1"/>
    <w:rsid w:val="00497A51"/>
    <w:rsid w:val="004A022E"/>
    <w:rsid w:val="004A0CEA"/>
    <w:rsid w:val="004A1129"/>
    <w:rsid w:val="004A1BD7"/>
    <w:rsid w:val="004A1E29"/>
    <w:rsid w:val="004A3873"/>
    <w:rsid w:val="004A4A89"/>
    <w:rsid w:val="004A4D4E"/>
    <w:rsid w:val="004A5F3A"/>
    <w:rsid w:val="004A67C6"/>
    <w:rsid w:val="004A77D2"/>
    <w:rsid w:val="004A7F23"/>
    <w:rsid w:val="004B4A61"/>
    <w:rsid w:val="004B51E0"/>
    <w:rsid w:val="004B5345"/>
    <w:rsid w:val="004B6664"/>
    <w:rsid w:val="004B6D9D"/>
    <w:rsid w:val="004B6E15"/>
    <w:rsid w:val="004B757A"/>
    <w:rsid w:val="004B7799"/>
    <w:rsid w:val="004B798D"/>
    <w:rsid w:val="004C02A4"/>
    <w:rsid w:val="004C238E"/>
    <w:rsid w:val="004C27CE"/>
    <w:rsid w:val="004C4604"/>
    <w:rsid w:val="004C5784"/>
    <w:rsid w:val="004C5FBA"/>
    <w:rsid w:val="004D0808"/>
    <w:rsid w:val="004D0A5B"/>
    <w:rsid w:val="004D0BDA"/>
    <w:rsid w:val="004D1774"/>
    <w:rsid w:val="004D1CA9"/>
    <w:rsid w:val="004D225E"/>
    <w:rsid w:val="004D2698"/>
    <w:rsid w:val="004D3403"/>
    <w:rsid w:val="004D450D"/>
    <w:rsid w:val="004D4B7C"/>
    <w:rsid w:val="004D4C04"/>
    <w:rsid w:val="004D56CE"/>
    <w:rsid w:val="004D643D"/>
    <w:rsid w:val="004D6786"/>
    <w:rsid w:val="004D696A"/>
    <w:rsid w:val="004D6EB7"/>
    <w:rsid w:val="004E09F4"/>
    <w:rsid w:val="004E0E48"/>
    <w:rsid w:val="004E3076"/>
    <w:rsid w:val="004E39FF"/>
    <w:rsid w:val="004E5524"/>
    <w:rsid w:val="004E58DB"/>
    <w:rsid w:val="004E5B05"/>
    <w:rsid w:val="004E5EA5"/>
    <w:rsid w:val="004E6092"/>
    <w:rsid w:val="004E747C"/>
    <w:rsid w:val="004F06FC"/>
    <w:rsid w:val="004F07A5"/>
    <w:rsid w:val="004F1089"/>
    <w:rsid w:val="004F163E"/>
    <w:rsid w:val="004F1918"/>
    <w:rsid w:val="004F1DA5"/>
    <w:rsid w:val="004F31BC"/>
    <w:rsid w:val="004F3507"/>
    <w:rsid w:val="004F3904"/>
    <w:rsid w:val="004F40A0"/>
    <w:rsid w:val="004F522F"/>
    <w:rsid w:val="004F5B1D"/>
    <w:rsid w:val="004F5C81"/>
    <w:rsid w:val="004F6B47"/>
    <w:rsid w:val="004F78A5"/>
    <w:rsid w:val="00500088"/>
    <w:rsid w:val="005000FF"/>
    <w:rsid w:val="0050088F"/>
    <w:rsid w:val="00500EB7"/>
    <w:rsid w:val="00502DBD"/>
    <w:rsid w:val="00504242"/>
    <w:rsid w:val="00506C45"/>
    <w:rsid w:val="005075CC"/>
    <w:rsid w:val="00507810"/>
    <w:rsid w:val="005112F4"/>
    <w:rsid w:val="0051204D"/>
    <w:rsid w:val="00513F21"/>
    <w:rsid w:val="005142CD"/>
    <w:rsid w:val="005142F0"/>
    <w:rsid w:val="00514D49"/>
    <w:rsid w:val="00515F75"/>
    <w:rsid w:val="00516CBA"/>
    <w:rsid w:val="0051726B"/>
    <w:rsid w:val="0052076A"/>
    <w:rsid w:val="00521A8E"/>
    <w:rsid w:val="00521FAE"/>
    <w:rsid w:val="00522994"/>
    <w:rsid w:val="00522E8C"/>
    <w:rsid w:val="00522EC8"/>
    <w:rsid w:val="00522FFC"/>
    <w:rsid w:val="00523111"/>
    <w:rsid w:val="00523CF6"/>
    <w:rsid w:val="00523D1B"/>
    <w:rsid w:val="005250E5"/>
    <w:rsid w:val="005255CD"/>
    <w:rsid w:val="005256F6"/>
    <w:rsid w:val="0052780D"/>
    <w:rsid w:val="00527A53"/>
    <w:rsid w:val="0053073D"/>
    <w:rsid w:val="00530E77"/>
    <w:rsid w:val="005311EA"/>
    <w:rsid w:val="0053380D"/>
    <w:rsid w:val="0053400C"/>
    <w:rsid w:val="005346A4"/>
    <w:rsid w:val="00535A2C"/>
    <w:rsid w:val="0053697B"/>
    <w:rsid w:val="00536DAE"/>
    <w:rsid w:val="0053716B"/>
    <w:rsid w:val="00537786"/>
    <w:rsid w:val="0054045B"/>
    <w:rsid w:val="00540581"/>
    <w:rsid w:val="00540741"/>
    <w:rsid w:val="00540C76"/>
    <w:rsid w:val="00540D91"/>
    <w:rsid w:val="00542FEE"/>
    <w:rsid w:val="00543251"/>
    <w:rsid w:val="00543452"/>
    <w:rsid w:val="005438D3"/>
    <w:rsid w:val="005442DD"/>
    <w:rsid w:val="00544379"/>
    <w:rsid w:val="00545403"/>
    <w:rsid w:val="00545447"/>
    <w:rsid w:val="00545457"/>
    <w:rsid w:val="00545633"/>
    <w:rsid w:val="00545855"/>
    <w:rsid w:val="00545E34"/>
    <w:rsid w:val="00545F0F"/>
    <w:rsid w:val="0054631C"/>
    <w:rsid w:val="00546562"/>
    <w:rsid w:val="00547093"/>
    <w:rsid w:val="00550621"/>
    <w:rsid w:val="005506A2"/>
    <w:rsid w:val="005507A0"/>
    <w:rsid w:val="005511F8"/>
    <w:rsid w:val="00551311"/>
    <w:rsid w:val="005516B8"/>
    <w:rsid w:val="00551B28"/>
    <w:rsid w:val="0055275B"/>
    <w:rsid w:val="005529EA"/>
    <w:rsid w:val="00552A79"/>
    <w:rsid w:val="005544CF"/>
    <w:rsid w:val="0055503A"/>
    <w:rsid w:val="00556271"/>
    <w:rsid w:val="00556612"/>
    <w:rsid w:val="00556B6A"/>
    <w:rsid w:val="0055783A"/>
    <w:rsid w:val="00557D81"/>
    <w:rsid w:val="005600B7"/>
    <w:rsid w:val="00560573"/>
    <w:rsid w:val="00561849"/>
    <w:rsid w:val="005624F7"/>
    <w:rsid w:val="00562882"/>
    <w:rsid w:val="005629FB"/>
    <w:rsid w:val="00562ED5"/>
    <w:rsid w:val="0056357F"/>
    <w:rsid w:val="00563BCC"/>
    <w:rsid w:val="005648B8"/>
    <w:rsid w:val="00564B8A"/>
    <w:rsid w:val="00564CC3"/>
    <w:rsid w:val="00565068"/>
    <w:rsid w:val="0056532B"/>
    <w:rsid w:val="00565460"/>
    <w:rsid w:val="005707DF"/>
    <w:rsid w:val="00570C1E"/>
    <w:rsid w:val="00572496"/>
    <w:rsid w:val="00575218"/>
    <w:rsid w:val="005756A6"/>
    <w:rsid w:val="005760C7"/>
    <w:rsid w:val="00576C53"/>
    <w:rsid w:val="00577B16"/>
    <w:rsid w:val="00577C6D"/>
    <w:rsid w:val="00580C8D"/>
    <w:rsid w:val="00581260"/>
    <w:rsid w:val="0058163D"/>
    <w:rsid w:val="00581C25"/>
    <w:rsid w:val="00582635"/>
    <w:rsid w:val="00583A29"/>
    <w:rsid w:val="00583EEA"/>
    <w:rsid w:val="0058400C"/>
    <w:rsid w:val="0058497F"/>
    <w:rsid w:val="005858C4"/>
    <w:rsid w:val="00585DC3"/>
    <w:rsid w:val="00585FB2"/>
    <w:rsid w:val="0058683C"/>
    <w:rsid w:val="00586EC8"/>
    <w:rsid w:val="005877E8"/>
    <w:rsid w:val="00587C9B"/>
    <w:rsid w:val="005903C4"/>
    <w:rsid w:val="005905A1"/>
    <w:rsid w:val="00590877"/>
    <w:rsid w:val="00590A47"/>
    <w:rsid w:val="00592C36"/>
    <w:rsid w:val="00593CDC"/>
    <w:rsid w:val="00593FCE"/>
    <w:rsid w:val="00595078"/>
    <w:rsid w:val="00596101"/>
    <w:rsid w:val="00597B1E"/>
    <w:rsid w:val="00597C28"/>
    <w:rsid w:val="005A07FE"/>
    <w:rsid w:val="005A09C7"/>
    <w:rsid w:val="005A1377"/>
    <w:rsid w:val="005A21E7"/>
    <w:rsid w:val="005A3AC2"/>
    <w:rsid w:val="005A3AE1"/>
    <w:rsid w:val="005A3D7A"/>
    <w:rsid w:val="005A486D"/>
    <w:rsid w:val="005A5696"/>
    <w:rsid w:val="005A62C7"/>
    <w:rsid w:val="005A6CBB"/>
    <w:rsid w:val="005A7BA9"/>
    <w:rsid w:val="005A7BD1"/>
    <w:rsid w:val="005A7C04"/>
    <w:rsid w:val="005A7D04"/>
    <w:rsid w:val="005B167A"/>
    <w:rsid w:val="005B22D7"/>
    <w:rsid w:val="005B2BCD"/>
    <w:rsid w:val="005B396A"/>
    <w:rsid w:val="005B4E33"/>
    <w:rsid w:val="005B5410"/>
    <w:rsid w:val="005B56E2"/>
    <w:rsid w:val="005B571B"/>
    <w:rsid w:val="005B59BE"/>
    <w:rsid w:val="005B61FD"/>
    <w:rsid w:val="005B63A7"/>
    <w:rsid w:val="005B6630"/>
    <w:rsid w:val="005B745A"/>
    <w:rsid w:val="005B7AA4"/>
    <w:rsid w:val="005C0DBC"/>
    <w:rsid w:val="005C100C"/>
    <w:rsid w:val="005C159A"/>
    <w:rsid w:val="005C16BE"/>
    <w:rsid w:val="005C1E4F"/>
    <w:rsid w:val="005C2D6B"/>
    <w:rsid w:val="005C2DE1"/>
    <w:rsid w:val="005C431C"/>
    <w:rsid w:val="005C63E9"/>
    <w:rsid w:val="005D0171"/>
    <w:rsid w:val="005D1353"/>
    <w:rsid w:val="005D2336"/>
    <w:rsid w:val="005D2EFC"/>
    <w:rsid w:val="005D32B4"/>
    <w:rsid w:val="005D3857"/>
    <w:rsid w:val="005D4222"/>
    <w:rsid w:val="005D47E8"/>
    <w:rsid w:val="005D4CA6"/>
    <w:rsid w:val="005D4D3B"/>
    <w:rsid w:val="005D4EB8"/>
    <w:rsid w:val="005D5D71"/>
    <w:rsid w:val="005D6486"/>
    <w:rsid w:val="005D6A92"/>
    <w:rsid w:val="005D75BB"/>
    <w:rsid w:val="005E1C51"/>
    <w:rsid w:val="005E2437"/>
    <w:rsid w:val="005E2BBC"/>
    <w:rsid w:val="005E2C10"/>
    <w:rsid w:val="005E3064"/>
    <w:rsid w:val="005E34B5"/>
    <w:rsid w:val="005E3603"/>
    <w:rsid w:val="005E391C"/>
    <w:rsid w:val="005E43E0"/>
    <w:rsid w:val="005E4AA2"/>
    <w:rsid w:val="005E4BE7"/>
    <w:rsid w:val="005E5F94"/>
    <w:rsid w:val="005E6C99"/>
    <w:rsid w:val="005E6D66"/>
    <w:rsid w:val="005F1E33"/>
    <w:rsid w:val="005F22D6"/>
    <w:rsid w:val="005F292A"/>
    <w:rsid w:val="005F2CC8"/>
    <w:rsid w:val="005F2F59"/>
    <w:rsid w:val="005F3B24"/>
    <w:rsid w:val="005F4760"/>
    <w:rsid w:val="005F56A1"/>
    <w:rsid w:val="005F5D37"/>
    <w:rsid w:val="005F7025"/>
    <w:rsid w:val="00600207"/>
    <w:rsid w:val="00600EC2"/>
    <w:rsid w:val="00601B11"/>
    <w:rsid w:val="006035DA"/>
    <w:rsid w:val="0060388E"/>
    <w:rsid w:val="006038FD"/>
    <w:rsid w:val="00604023"/>
    <w:rsid w:val="00604384"/>
    <w:rsid w:val="00604566"/>
    <w:rsid w:val="006049E8"/>
    <w:rsid w:val="00604F49"/>
    <w:rsid w:val="0060533A"/>
    <w:rsid w:val="00607562"/>
    <w:rsid w:val="00607D1A"/>
    <w:rsid w:val="00607DA0"/>
    <w:rsid w:val="00607FFE"/>
    <w:rsid w:val="00610705"/>
    <w:rsid w:val="00611888"/>
    <w:rsid w:val="00612D2D"/>
    <w:rsid w:val="00613DD4"/>
    <w:rsid w:val="0061575F"/>
    <w:rsid w:val="00616323"/>
    <w:rsid w:val="00616B74"/>
    <w:rsid w:val="006201D2"/>
    <w:rsid w:val="006204DB"/>
    <w:rsid w:val="0062095B"/>
    <w:rsid w:val="0062147C"/>
    <w:rsid w:val="006215C1"/>
    <w:rsid w:val="0062178F"/>
    <w:rsid w:val="006229C3"/>
    <w:rsid w:val="00624752"/>
    <w:rsid w:val="0062477E"/>
    <w:rsid w:val="006259DD"/>
    <w:rsid w:val="00626931"/>
    <w:rsid w:val="00627109"/>
    <w:rsid w:val="006273FE"/>
    <w:rsid w:val="006313DF"/>
    <w:rsid w:val="0063183A"/>
    <w:rsid w:val="00632605"/>
    <w:rsid w:val="00633172"/>
    <w:rsid w:val="00633EE4"/>
    <w:rsid w:val="006347B6"/>
    <w:rsid w:val="006355B1"/>
    <w:rsid w:val="006365FC"/>
    <w:rsid w:val="006366C3"/>
    <w:rsid w:val="00636D1F"/>
    <w:rsid w:val="006376FB"/>
    <w:rsid w:val="006378D7"/>
    <w:rsid w:val="00637CFF"/>
    <w:rsid w:val="00637EB5"/>
    <w:rsid w:val="006401D8"/>
    <w:rsid w:val="0064022A"/>
    <w:rsid w:val="00640AAA"/>
    <w:rsid w:val="00641324"/>
    <w:rsid w:val="00642D92"/>
    <w:rsid w:val="006431EC"/>
    <w:rsid w:val="00644354"/>
    <w:rsid w:val="00644737"/>
    <w:rsid w:val="00644F4E"/>
    <w:rsid w:val="006454BE"/>
    <w:rsid w:val="00645B3D"/>
    <w:rsid w:val="00646DF0"/>
    <w:rsid w:val="006509D3"/>
    <w:rsid w:val="00653324"/>
    <w:rsid w:val="00653398"/>
    <w:rsid w:val="00653CC6"/>
    <w:rsid w:val="00653DC4"/>
    <w:rsid w:val="00654889"/>
    <w:rsid w:val="00655159"/>
    <w:rsid w:val="00655C69"/>
    <w:rsid w:val="00655DCC"/>
    <w:rsid w:val="00655DE9"/>
    <w:rsid w:val="00656160"/>
    <w:rsid w:val="006561F8"/>
    <w:rsid w:val="006574BA"/>
    <w:rsid w:val="0066159D"/>
    <w:rsid w:val="0066202D"/>
    <w:rsid w:val="00662757"/>
    <w:rsid w:val="0066277D"/>
    <w:rsid w:val="00664951"/>
    <w:rsid w:val="006664BB"/>
    <w:rsid w:val="006677E4"/>
    <w:rsid w:val="00667E4D"/>
    <w:rsid w:val="00667EEB"/>
    <w:rsid w:val="006707CA"/>
    <w:rsid w:val="00671086"/>
    <w:rsid w:val="0067176B"/>
    <w:rsid w:val="00671EFF"/>
    <w:rsid w:val="006722AE"/>
    <w:rsid w:val="006723A9"/>
    <w:rsid w:val="006725B8"/>
    <w:rsid w:val="006727C6"/>
    <w:rsid w:val="00672A69"/>
    <w:rsid w:val="00673DF4"/>
    <w:rsid w:val="00674211"/>
    <w:rsid w:val="00674897"/>
    <w:rsid w:val="0067615E"/>
    <w:rsid w:val="006763A9"/>
    <w:rsid w:val="00680E77"/>
    <w:rsid w:val="00681025"/>
    <w:rsid w:val="0068122B"/>
    <w:rsid w:val="006816A3"/>
    <w:rsid w:val="00681984"/>
    <w:rsid w:val="00681AC2"/>
    <w:rsid w:val="006820D7"/>
    <w:rsid w:val="006822F1"/>
    <w:rsid w:val="00682D53"/>
    <w:rsid w:val="006834DB"/>
    <w:rsid w:val="00684937"/>
    <w:rsid w:val="00685359"/>
    <w:rsid w:val="00687480"/>
    <w:rsid w:val="00687F38"/>
    <w:rsid w:val="00691C7F"/>
    <w:rsid w:val="00692E48"/>
    <w:rsid w:val="00694625"/>
    <w:rsid w:val="006A02A0"/>
    <w:rsid w:val="006A0579"/>
    <w:rsid w:val="006A2062"/>
    <w:rsid w:val="006A30F8"/>
    <w:rsid w:val="006A317E"/>
    <w:rsid w:val="006A4AAA"/>
    <w:rsid w:val="006A4DE7"/>
    <w:rsid w:val="006A53AA"/>
    <w:rsid w:val="006A56CF"/>
    <w:rsid w:val="006A5C55"/>
    <w:rsid w:val="006A6690"/>
    <w:rsid w:val="006B0591"/>
    <w:rsid w:val="006B1297"/>
    <w:rsid w:val="006B1B75"/>
    <w:rsid w:val="006B21C7"/>
    <w:rsid w:val="006B28E2"/>
    <w:rsid w:val="006B3C90"/>
    <w:rsid w:val="006B4468"/>
    <w:rsid w:val="006B4A38"/>
    <w:rsid w:val="006B5EE5"/>
    <w:rsid w:val="006B6CE9"/>
    <w:rsid w:val="006B7938"/>
    <w:rsid w:val="006B7BF4"/>
    <w:rsid w:val="006C0446"/>
    <w:rsid w:val="006C08F0"/>
    <w:rsid w:val="006C2D03"/>
    <w:rsid w:val="006C42E7"/>
    <w:rsid w:val="006C4BAA"/>
    <w:rsid w:val="006C4C67"/>
    <w:rsid w:val="006C541F"/>
    <w:rsid w:val="006C59FF"/>
    <w:rsid w:val="006C5C67"/>
    <w:rsid w:val="006C6D78"/>
    <w:rsid w:val="006C7509"/>
    <w:rsid w:val="006C76B0"/>
    <w:rsid w:val="006D0155"/>
    <w:rsid w:val="006D0331"/>
    <w:rsid w:val="006D0AD3"/>
    <w:rsid w:val="006D1726"/>
    <w:rsid w:val="006D32B5"/>
    <w:rsid w:val="006D3DA1"/>
    <w:rsid w:val="006D4A43"/>
    <w:rsid w:val="006D5951"/>
    <w:rsid w:val="006D5A05"/>
    <w:rsid w:val="006D70B2"/>
    <w:rsid w:val="006D70F0"/>
    <w:rsid w:val="006D7177"/>
    <w:rsid w:val="006E0C89"/>
    <w:rsid w:val="006E22FF"/>
    <w:rsid w:val="006E3370"/>
    <w:rsid w:val="006E33CF"/>
    <w:rsid w:val="006E347C"/>
    <w:rsid w:val="006E42D4"/>
    <w:rsid w:val="006E4363"/>
    <w:rsid w:val="006E459C"/>
    <w:rsid w:val="006E5158"/>
    <w:rsid w:val="006E5FD5"/>
    <w:rsid w:val="006E6351"/>
    <w:rsid w:val="006E659F"/>
    <w:rsid w:val="006E7E6E"/>
    <w:rsid w:val="006F0610"/>
    <w:rsid w:val="006F165E"/>
    <w:rsid w:val="006F19C2"/>
    <w:rsid w:val="006F1DDB"/>
    <w:rsid w:val="006F26CD"/>
    <w:rsid w:val="006F29E5"/>
    <w:rsid w:val="006F2B3B"/>
    <w:rsid w:val="006F4B90"/>
    <w:rsid w:val="006F5CC9"/>
    <w:rsid w:val="006F6D7E"/>
    <w:rsid w:val="006F6E20"/>
    <w:rsid w:val="006F7FC4"/>
    <w:rsid w:val="00700B8A"/>
    <w:rsid w:val="007015D4"/>
    <w:rsid w:val="00703A3A"/>
    <w:rsid w:val="00704139"/>
    <w:rsid w:val="00706D89"/>
    <w:rsid w:val="00707930"/>
    <w:rsid w:val="0071002B"/>
    <w:rsid w:val="00711F61"/>
    <w:rsid w:val="00712F27"/>
    <w:rsid w:val="0071354D"/>
    <w:rsid w:val="00713EBA"/>
    <w:rsid w:val="00714045"/>
    <w:rsid w:val="00714234"/>
    <w:rsid w:val="0071493C"/>
    <w:rsid w:val="00714A48"/>
    <w:rsid w:val="00714AE0"/>
    <w:rsid w:val="00716F08"/>
    <w:rsid w:val="00717D44"/>
    <w:rsid w:val="0072019D"/>
    <w:rsid w:val="00720329"/>
    <w:rsid w:val="00720BF3"/>
    <w:rsid w:val="00720F38"/>
    <w:rsid w:val="0072140C"/>
    <w:rsid w:val="00721722"/>
    <w:rsid w:val="00721849"/>
    <w:rsid w:val="00722999"/>
    <w:rsid w:val="007231E4"/>
    <w:rsid w:val="00723929"/>
    <w:rsid w:val="00723CE8"/>
    <w:rsid w:val="00723F0D"/>
    <w:rsid w:val="00724032"/>
    <w:rsid w:val="007249CD"/>
    <w:rsid w:val="00724D5F"/>
    <w:rsid w:val="00726F19"/>
    <w:rsid w:val="0073269D"/>
    <w:rsid w:val="00735D5F"/>
    <w:rsid w:val="00736959"/>
    <w:rsid w:val="00737A55"/>
    <w:rsid w:val="00740274"/>
    <w:rsid w:val="00740972"/>
    <w:rsid w:val="00740CB3"/>
    <w:rsid w:val="00741215"/>
    <w:rsid w:val="007415ED"/>
    <w:rsid w:val="00741ADD"/>
    <w:rsid w:val="00742F81"/>
    <w:rsid w:val="00743316"/>
    <w:rsid w:val="00743E04"/>
    <w:rsid w:val="00743E1E"/>
    <w:rsid w:val="0074490D"/>
    <w:rsid w:val="0074495A"/>
    <w:rsid w:val="00744ABE"/>
    <w:rsid w:val="00746D61"/>
    <w:rsid w:val="00747AF5"/>
    <w:rsid w:val="0075187A"/>
    <w:rsid w:val="007518BF"/>
    <w:rsid w:val="007524A1"/>
    <w:rsid w:val="00752844"/>
    <w:rsid w:val="00752C56"/>
    <w:rsid w:val="00752EFF"/>
    <w:rsid w:val="0075313F"/>
    <w:rsid w:val="007549A5"/>
    <w:rsid w:val="0076032B"/>
    <w:rsid w:val="00760496"/>
    <w:rsid w:val="0076201D"/>
    <w:rsid w:val="007629B7"/>
    <w:rsid w:val="00762CF4"/>
    <w:rsid w:val="00762DC9"/>
    <w:rsid w:val="007643AC"/>
    <w:rsid w:val="007645BD"/>
    <w:rsid w:val="00764C73"/>
    <w:rsid w:val="007652B0"/>
    <w:rsid w:val="00765B50"/>
    <w:rsid w:val="00766D26"/>
    <w:rsid w:val="0076703C"/>
    <w:rsid w:val="007676EE"/>
    <w:rsid w:val="00767A42"/>
    <w:rsid w:val="00767DE0"/>
    <w:rsid w:val="007718A1"/>
    <w:rsid w:val="0077194A"/>
    <w:rsid w:val="00771F6B"/>
    <w:rsid w:val="00772EF5"/>
    <w:rsid w:val="007757D0"/>
    <w:rsid w:val="00775EBA"/>
    <w:rsid w:val="007768A3"/>
    <w:rsid w:val="0078010C"/>
    <w:rsid w:val="00781C79"/>
    <w:rsid w:val="0078317D"/>
    <w:rsid w:val="00785687"/>
    <w:rsid w:val="0078593F"/>
    <w:rsid w:val="007865CB"/>
    <w:rsid w:val="007879EF"/>
    <w:rsid w:val="00787DF1"/>
    <w:rsid w:val="00787ED9"/>
    <w:rsid w:val="007902C8"/>
    <w:rsid w:val="007906F5"/>
    <w:rsid w:val="00791CF2"/>
    <w:rsid w:val="00793132"/>
    <w:rsid w:val="007937A7"/>
    <w:rsid w:val="00793963"/>
    <w:rsid w:val="00793FDC"/>
    <w:rsid w:val="00794553"/>
    <w:rsid w:val="00794DC5"/>
    <w:rsid w:val="00794E06"/>
    <w:rsid w:val="007954F5"/>
    <w:rsid w:val="00796110"/>
    <w:rsid w:val="00797A6D"/>
    <w:rsid w:val="007A0376"/>
    <w:rsid w:val="007A104E"/>
    <w:rsid w:val="007A1FF8"/>
    <w:rsid w:val="007A228C"/>
    <w:rsid w:val="007A24C9"/>
    <w:rsid w:val="007A436D"/>
    <w:rsid w:val="007A466B"/>
    <w:rsid w:val="007A59B2"/>
    <w:rsid w:val="007A6F17"/>
    <w:rsid w:val="007A7CE1"/>
    <w:rsid w:val="007A7D74"/>
    <w:rsid w:val="007B040B"/>
    <w:rsid w:val="007B2C92"/>
    <w:rsid w:val="007B3EE7"/>
    <w:rsid w:val="007B4F75"/>
    <w:rsid w:val="007B6751"/>
    <w:rsid w:val="007B6920"/>
    <w:rsid w:val="007B6C1D"/>
    <w:rsid w:val="007B6DE4"/>
    <w:rsid w:val="007B7511"/>
    <w:rsid w:val="007B7F03"/>
    <w:rsid w:val="007C09C2"/>
    <w:rsid w:val="007C221F"/>
    <w:rsid w:val="007C223C"/>
    <w:rsid w:val="007C2F87"/>
    <w:rsid w:val="007C3961"/>
    <w:rsid w:val="007C516A"/>
    <w:rsid w:val="007C72C1"/>
    <w:rsid w:val="007D2329"/>
    <w:rsid w:val="007D3547"/>
    <w:rsid w:val="007D3960"/>
    <w:rsid w:val="007D3E4E"/>
    <w:rsid w:val="007D4786"/>
    <w:rsid w:val="007D4DFF"/>
    <w:rsid w:val="007D56A5"/>
    <w:rsid w:val="007D5819"/>
    <w:rsid w:val="007D5B57"/>
    <w:rsid w:val="007D5D4F"/>
    <w:rsid w:val="007D5E32"/>
    <w:rsid w:val="007D6710"/>
    <w:rsid w:val="007D68CC"/>
    <w:rsid w:val="007E14A4"/>
    <w:rsid w:val="007E1C06"/>
    <w:rsid w:val="007E1E91"/>
    <w:rsid w:val="007E28E2"/>
    <w:rsid w:val="007E48FA"/>
    <w:rsid w:val="007E49BE"/>
    <w:rsid w:val="007E5046"/>
    <w:rsid w:val="007E5B49"/>
    <w:rsid w:val="007E5E66"/>
    <w:rsid w:val="007E6339"/>
    <w:rsid w:val="007E678F"/>
    <w:rsid w:val="007E6D09"/>
    <w:rsid w:val="007E7AC6"/>
    <w:rsid w:val="007E7B18"/>
    <w:rsid w:val="007F2682"/>
    <w:rsid w:val="007F2B02"/>
    <w:rsid w:val="007F30B9"/>
    <w:rsid w:val="007F364B"/>
    <w:rsid w:val="007F38B1"/>
    <w:rsid w:val="007F47D4"/>
    <w:rsid w:val="007F5034"/>
    <w:rsid w:val="007F5B9C"/>
    <w:rsid w:val="007F62B1"/>
    <w:rsid w:val="007F6922"/>
    <w:rsid w:val="007F71C7"/>
    <w:rsid w:val="007F7BD7"/>
    <w:rsid w:val="00800E2C"/>
    <w:rsid w:val="0080194E"/>
    <w:rsid w:val="00802D29"/>
    <w:rsid w:val="00802E23"/>
    <w:rsid w:val="00803772"/>
    <w:rsid w:val="00803C42"/>
    <w:rsid w:val="008040CF"/>
    <w:rsid w:val="00804A86"/>
    <w:rsid w:val="00805FE2"/>
    <w:rsid w:val="00806508"/>
    <w:rsid w:val="00806DF5"/>
    <w:rsid w:val="00807BB5"/>
    <w:rsid w:val="00807C83"/>
    <w:rsid w:val="008107B5"/>
    <w:rsid w:val="00810F46"/>
    <w:rsid w:val="008116E7"/>
    <w:rsid w:val="0081173E"/>
    <w:rsid w:val="00812C18"/>
    <w:rsid w:val="008139D8"/>
    <w:rsid w:val="00814295"/>
    <w:rsid w:val="00815559"/>
    <w:rsid w:val="0081573D"/>
    <w:rsid w:val="00815AEF"/>
    <w:rsid w:val="0081649E"/>
    <w:rsid w:val="0081664D"/>
    <w:rsid w:val="00816EE5"/>
    <w:rsid w:val="00816EF4"/>
    <w:rsid w:val="00817520"/>
    <w:rsid w:val="008200D6"/>
    <w:rsid w:val="00820AC1"/>
    <w:rsid w:val="008229B2"/>
    <w:rsid w:val="00822D67"/>
    <w:rsid w:val="00823282"/>
    <w:rsid w:val="00825B84"/>
    <w:rsid w:val="00825B97"/>
    <w:rsid w:val="00826456"/>
    <w:rsid w:val="00827883"/>
    <w:rsid w:val="00827976"/>
    <w:rsid w:val="00830009"/>
    <w:rsid w:val="008301B6"/>
    <w:rsid w:val="00831037"/>
    <w:rsid w:val="0083122E"/>
    <w:rsid w:val="00832302"/>
    <w:rsid w:val="008338FB"/>
    <w:rsid w:val="008348F9"/>
    <w:rsid w:val="00834C39"/>
    <w:rsid w:val="008362DC"/>
    <w:rsid w:val="00836CD1"/>
    <w:rsid w:val="00837882"/>
    <w:rsid w:val="00840D10"/>
    <w:rsid w:val="008417D6"/>
    <w:rsid w:val="00841A7A"/>
    <w:rsid w:val="00841F98"/>
    <w:rsid w:val="008427F1"/>
    <w:rsid w:val="00842AC8"/>
    <w:rsid w:val="008443A3"/>
    <w:rsid w:val="00844DE5"/>
    <w:rsid w:val="0084520E"/>
    <w:rsid w:val="008454A4"/>
    <w:rsid w:val="008460EC"/>
    <w:rsid w:val="0084621C"/>
    <w:rsid w:val="00846269"/>
    <w:rsid w:val="00846508"/>
    <w:rsid w:val="00846DFF"/>
    <w:rsid w:val="008474DE"/>
    <w:rsid w:val="00850025"/>
    <w:rsid w:val="008501EC"/>
    <w:rsid w:val="0085147A"/>
    <w:rsid w:val="00852261"/>
    <w:rsid w:val="008522D3"/>
    <w:rsid w:val="008528B2"/>
    <w:rsid w:val="008536D5"/>
    <w:rsid w:val="00855580"/>
    <w:rsid w:val="008561F9"/>
    <w:rsid w:val="00856CE0"/>
    <w:rsid w:val="0085729E"/>
    <w:rsid w:val="008573D3"/>
    <w:rsid w:val="008575FA"/>
    <w:rsid w:val="00860595"/>
    <w:rsid w:val="00860D5F"/>
    <w:rsid w:val="00861464"/>
    <w:rsid w:val="00861BED"/>
    <w:rsid w:val="00862434"/>
    <w:rsid w:val="0086245E"/>
    <w:rsid w:val="00863FE3"/>
    <w:rsid w:val="00864616"/>
    <w:rsid w:val="008650C9"/>
    <w:rsid w:val="00865A03"/>
    <w:rsid w:val="00866B47"/>
    <w:rsid w:val="00866B7E"/>
    <w:rsid w:val="00866DEB"/>
    <w:rsid w:val="0086714D"/>
    <w:rsid w:val="00867892"/>
    <w:rsid w:val="00867E8B"/>
    <w:rsid w:val="00871201"/>
    <w:rsid w:val="00871CAC"/>
    <w:rsid w:val="0087293D"/>
    <w:rsid w:val="00873103"/>
    <w:rsid w:val="00873275"/>
    <w:rsid w:val="008736E2"/>
    <w:rsid w:val="00873962"/>
    <w:rsid w:val="0087396A"/>
    <w:rsid w:val="00873CCB"/>
    <w:rsid w:val="00873DB1"/>
    <w:rsid w:val="00874A56"/>
    <w:rsid w:val="00874BD6"/>
    <w:rsid w:val="00875390"/>
    <w:rsid w:val="0087620B"/>
    <w:rsid w:val="00877719"/>
    <w:rsid w:val="00877747"/>
    <w:rsid w:val="00881768"/>
    <w:rsid w:val="00881965"/>
    <w:rsid w:val="00881EBF"/>
    <w:rsid w:val="00881F19"/>
    <w:rsid w:val="0088382D"/>
    <w:rsid w:val="00883963"/>
    <w:rsid w:val="008839DC"/>
    <w:rsid w:val="00885A90"/>
    <w:rsid w:val="00885B3A"/>
    <w:rsid w:val="00885FAF"/>
    <w:rsid w:val="00886B63"/>
    <w:rsid w:val="00887A3D"/>
    <w:rsid w:val="00887CB1"/>
    <w:rsid w:val="00890FB7"/>
    <w:rsid w:val="008914FA"/>
    <w:rsid w:val="00891D69"/>
    <w:rsid w:val="00892683"/>
    <w:rsid w:val="00892CD3"/>
    <w:rsid w:val="0089341F"/>
    <w:rsid w:val="00893500"/>
    <w:rsid w:val="00893527"/>
    <w:rsid w:val="0089374A"/>
    <w:rsid w:val="00894704"/>
    <w:rsid w:val="008950A2"/>
    <w:rsid w:val="00895629"/>
    <w:rsid w:val="00895CB3"/>
    <w:rsid w:val="0089634D"/>
    <w:rsid w:val="00896A09"/>
    <w:rsid w:val="008A0A71"/>
    <w:rsid w:val="008A0AB1"/>
    <w:rsid w:val="008A0BCF"/>
    <w:rsid w:val="008A1AB5"/>
    <w:rsid w:val="008A1B4C"/>
    <w:rsid w:val="008A222B"/>
    <w:rsid w:val="008A2527"/>
    <w:rsid w:val="008A2A92"/>
    <w:rsid w:val="008A2F30"/>
    <w:rsid w:val="008A3DDF"/>
    <w:rsid w:val="008A4F7C"/>
    <w:rsid w:val="008A537E"/>
    <w:rsid w:val="008A5502"/>
    <w:rsid w:val="008A619B"/>
    <w:rsid w:val="008A62E9"/>
    <w:rsid w:val="008A64D6"/>
    <w:rsid w:val="008A7071"/>
    <w:rsid w:val="008A781F"/>
    <w:rsid w:val="008A78E4"/>
    <w:rsid w:val="008B1DD1"/>
    <w:rsid w:val="008B335F"/>
    <w:rsid w:val="008B35D2"/>
    <w:rsid w:val="008B3F12"/>
    <w:rsid w:val="008B416D"/>
    <w:rsid w:val="008B4BAB"/>
    <w:rsid w:val="008B4C67"/>
    <w:rsid w:val="008B5A3D"/>
    <w:rsid w:val="008B5E6E"/>
    <w:rsid w:val="008C2ABF"/>
    <w:rsid w:val="008C2D71"/>
    <w:rsid w:val="008C3C07"/>
    <w:rsid w:val="008C4AF9"/>
    <w:rsid w:val="008C6422"/>
    <w:rsid w:val="008C7A58"/>
    <w:rsid w:val="008D0013"/>
    <w:rsid w:val="008D0E38"/>
    <w:rsid w:val="008D1608"/>
    <w:rsid w:val="008D2823"/>
    <w:rsid w:val="008D39FC"/>
    <w:rsid w:val="008D3B49"/>
    <w:rsid w:val="008D3F55"/>
    <w:rsid w:val="008D414E"/>
    <w:rsid w:val="008D4904"/>
    <w:rsid w:val="008D4DB3"/>
    <w:rsid w:val="008D4E03"/>
    <w:rsid w:val="008D5265"/>
    <w:rsid w:val="008D5ECA"/>
    <w:rsid w:val="008D62DB"/>
    <w:rsid w:val="008D6300"/>
    <w:rsid w:val="008D65A6"/>
    <w:rsid w:val="008D6BD5"/>
    <w:rsid w:val="008D76D8"/>
    <w:rsid w:val="008E0019"/>
    <w:rsid w:val="008E0FF4"/>
    <w:rsid w:val="008E118F"/>
    <w:rsid w:val="008E2377"/>
    <w:rsid w:val="008E28DC"/>
    <w:rsid w:val="008E31C8"/>
    <w:rsid w:val="008E3BF1"/>
    <w:rsid w:val="008E46F6"/>
    <w:rsid w:val="008E4D33"/>
    <w:rsid w:val="008E67FF"/>
    <w:rsid w:val="008E6F92"/>
    <w:rsid w:val="008F016C"/>
    <w:rsid w:val="008F058D"/>
    <w:rsid w:val="008F0920"/>
    <w:rsid w:val="008F0B00"/>
    <w:rsid w:val="008F187F"/>
    <w:rsid w:val="008F1892"/>
    <w:rsid w:val="008F19A9"/>
    <w:rsid w:val="008F1B7B"/>
    <w:rsid w:val="008F2390"/>
    <w:rsid w:val="008F2461"/>
    <w:rsid w:val="008F2B04"/>
    <w:rsid w:val="008F3229"/>
    <w:rsid w:val="008F3562"/>
    <w:rsid w:val="008F3A83"/>
    <w:rsid w:val="008F3D51"/>
    <w:rsid w:val="008F47BB"/>
    <w:rsid w:val="008F6172"/>
    <w:rsid w:val="008F6F8A"/>
    <w:rsid w:val="008F7A5C"/>
    <w:rsid w:val="008F7C67"/>
    <w:rsid w:val="00900B20"/>
    <w:rsid w:val="00900D86"/>
    <w:rsid w:val="00900F79"/>
    <w:rsid w:val="0090112A"/>
    <w:rsid w:val="0090121E"/>
    <w:rsid w:val="0090187F"/>
    <w:rsid w:val="009019C7"/>
    <w:rsid w:val="00901BF9"/>
    <w:rsid w:val="0090340F"/>
    <w:rsid w:val="0090353E"/>
    <w:rsid w:val="0090381E"/>
    <w:rsid w:val="00904DE6"/>
    <w:rsid w:val="00904EDE"/>
    <w:rsid w:val="00906787"/>
    <w:rsid w:val="00906954"/>
    <w:rsid w:val="00907B67"/>
    <w:rsid w:val="00907EF4"/>
    <w:rsid w:val="009102A7"/>
    <w:rsid w:val="00910687"/>
    <w:rsid w:val="009108B7"/>
    <w:rsid w:val="00911DEF"/>
    <w:rsid w:val="00912722"/>
    <w:rsid w:val="00913761"/>
    <w:rsid w:val="009140D0"/>
    <w:rsid w:val="00914336"/>
    <w:rsid w:val="00914399"/>
    <w:rsid w:val="0091450C"/>
    <w:rsid w:val="009158F9"/>
    <w:rsid w:val="009159F0"/>
    <w:rsid w:val="00915B5A"/>
    <w:rsid w:val="00916017"/>
    <w:rsid w:val="00916D00"/>
    <w:rsid w:val="00916D14"/>
    <w:rsid w:val="00917006"/>
    <w:rsid w:val="009177C6"/>
    <w:rsid w:val="00917CDE"/>
    <w:rsid w:val="009201E2"/>
    <w:rsid w:val="00920290"/>
    <w:rsid w:val="009215F5"/>
    <w:rsid w:val="009217A2"/>
    <w:rsid w:val="009218AB"/>
    <w:rsid w:val="00921BED"/>
    <w:rsid w:val="00922B74"/>
    <w:rsid w:val="0092318B"/>
    <w:rsid w:val="0092360D"/>
    <w:rsid w:val="00923C8C"/>
    <w:rsid w:val="00923DA1"/>
    <w:rsid w:val="009251E2"/>
    <w:rsid w:val="00926636"/>
    <w:rsid w:val="009278EE"/>
    <w:rsid w:val="00930A91"/>
    <w:rsid w:val="00930B66"/>
    <w:rsid w:val="00930E26"/>
    <w:rsid w:val="00931175"/>
    <w:rsid w:val="009319DB"/>
    <w:rsid w:val="00932428"/>
    <w:rsid w:val="00932C5B"/>
    <w:rsid w:val="00933283"/>
    <w:rsid w:val="0093387A"/>
    <w:rsid w:val="00933A80"/>
    <w:rsid w:val="00933EDD"/>
    <w:rsid w:val="009355C8"/>
    <w:rsid w:val="00935BEB"/>
    <w:rsid w:val="00936118"/>
    <w:rsid w:val="009368A9"/>
    <w:rsid w:val="00937067"/>
    <w:rsid w:val="009403D9"/>
    <w:rsid w:val="009405C6"/>
    <w:rsid w:val="00940659"/>
    <w:rsid w:val="00940B88"/>
    <w:rsid w:val="00941072"/>
    <w:rsid w:val="00941D69"/>
    <w:rsid w:val="00942192"/>
    <w:rsid w:val="0094296F"/>
    <w:rsid w:val="00943959"/>
    <w:rsid w:val="0094441C"/>
    <w:rsid w:val="00945E68"/>
    <w:rsid w:val="00946327"/>
    <w:rsid w:val="009463CE"/>
    <w:rsid w:val="009464CD"/>
    <w:rsid w:val="009465B5"/>
    <w:rsid w:val="0094787C"/>
    <w:rsid w:val="00947A9E"/>
    <w:rsid w:val="00947B1D"/>
    <w:rsid w:val="00950C9A"/>
    <w:rsid w:val="00950F0F"/>
    <w:rsid w:val="009527AE"/>
    <w:rsid w:val="00952E38"/>
    <w:rsid w:val="009531F9"/>
    <w:rsid w:val="00953B7C"/>
    <w:rsid w:val="00954378"/>
    <w:rsid w:val="00954621"/>
    <w:rsid w:val="009548D6"/>
    <w:rsid w:val="00954E1D"/>
    <w:rsid w:val="00954E31"/>
    <w:rsid w:val="009555E5"/>
    <w:rsid w:val="00960D85"/>
    <w:rsid w:val="00960EA2"/>
    <w:rsid w:val="00960EFA"/>
    <w:rsid w:val="009617D0"/>
    <w:rsid w:val="009622F7"/>
    <w:rsid w:val="00962B4D"/>
    <w:rsid w:val="00965152"/>
    <w:rsid w:val="009653D6"/>
    <w:rsid w:val="00966CA9"/>
    <w:rsid w:val="00966D0B"/>
    <w:rsid w:val="00967EE8"/>
    <w:rsid w:val="00970019"/>
    <w:rsid w:val="00972335"/>
    <w:rsid w:val="009723FF"/>
    <w:rsid w:val="0097255A"/>
    <w:rsid w:val="00972CD6"/>
    <w:rsid w:val="00972CD7"/>
    <w:rsid w:val="00972DCB"/>
    <w:rsid w:val="00973075"/>
    <w:rsid w:val="00973EC2"/>
    <w:rsid w:val="00974AB4"/>
    <w:rsid w:val="00976F1B"/>
    <w:rsid w:val="00977110"/>
    <w:rsid w:val="00977169"/>
    <w:rsid w:val="009824B9"/>
    <w:rsid w:val="00982991"/>
    <w:rsid w:val="009850BD"/>
    <w:rsid w:val="0098582D"/>
    <w:rsid w:val="00985B88"/>
    <w:rsid w:val="00986F28"/>
    <w:rsid w:val="00987929"/>
    <w:rsid w:val="00987AFD"/>
    <w:rsid w:val="009924B9"/>
    <w:rsid w:val="009928EE"/>
    <w:rsid w:val="0099319F"/>
    <w:rsid w:val="00993ECD"/>
    <w:rsid w:val="0099557B"/>
    <w:rsid w:val="009957AD"/>
    <w:rsid w:val="00995AD5"/>
    <w:rsid w:val="009970DF"/>
    <w:rsid w:val="009A1A89"/>
    <w:rsid w:val="009A286D"/>
    <w:rsid w:val="009A3865"/>
    <w:rsid w:val="009A40D3"/>
    <w:rsid w:val="009A4813"/>
    <w:rsid w:val="009A4EC2"/>
    <w:rsid w:val="009A679E"/>
    <w:rsid w:val="009A6874"/>
    <w:rsid w:val="009A6A36"/>
    <w:rsid w:val="009B0020"/>
    <w:rsid w:val="009B034F"/>
    <w:rsid w:val="009B0FF9"/>
    <w:rsid w:val="009B271F"/>
    <w:rsid w:val="009B2778"/>
    <w:rsid w:val="009B2A69"/>
    <w:rsid w:val="009B2F76"/>
    <w:rsid w:val="009B32A4"/>
    <w:rsid w:val="009B4E44"/>
    <w:rsid w:val="009B50AC"/>
    <w:rsid w:val="009B5435"/>
    <w:rsid w:val="009B5ED7"/>
    <w:rsid w:val="009B7021"/>
    <w:rsid w:val="009B7A5D"/>
    <w:rsid w:val="009C0436"/>
    <w:rsid w:val="009C0659"/>
    <w:rsid w:val="009C0F4A"/>
    <w:rsid w:val="009C18D1"/>
    <w:rsid w:val="009C3C26"/>
    <w:rsid w:val="009C445B"/>
    <w:rsid w:val="009C48BF"/>
    <w:rsid w:val="009C6248"/>
    <w:rsid w:val="009C66FB"/>
    <w:rsid w:val="009C6AB1"/>
    <w:rsid w:val="009C6D6E"/>
    <w:rsid w:val="009D089E"/>
    <w:rsid w:val="009D0B61"/>
    <w:rsid w:val="009D0D7E"/>
    <w:rsid w:val="009D25F0"/>
    <w:rsid w:val="009D28F6"/>
    <w:rsid w:val="009D3532"/>
    <w:rsid w:val="009D45FB"/>
    <w:rsid w:val="009D48DF"/>
    <w:rsid w:val="009D4DBC"/>
    <w:rsid w:val="009D5935"/>
    <w:rsid w:val="009D5D8A"/>
    <w:rsid w:val="009D720E"/>
    <w:rsid w:val="009D7362"/>
    <w:rsid w:val="009D7890"/>
    <w:rsid w:val="009D7CDD"/>
    <w:rsid w:val="009E0A0B"/>
    <w:rsid w:val="009E0B81"/>
    <w:rsid w:val="009E117C"/>
    <w:rsid w:val="009E18D5"/>
    <w:rsid w:val="009E1B56"/>
    <w:rsid w:val="009E2E50"/>
    <w:rsid w:val="009E2E52"/>
    <w:rsid w:val="009E31E3"/>
    <w:rsid w:val="009E44CD"/>
    <w:rsid w:val="009E498D"/>
    <w:rsid w:val="009E4B54"/>
    <w:rsid w:val="009E4CE6"/>
    <w:rsid w:val="009E5669"/>
    <w:rsid w:val="009E62F2"/>
    <w:rsid w:val="009E688E"/>
    <w:rsid w:val="009F00DA"/>
    <w:rsid w:val="009F0110"/>
    <w:rsid w:val="009F03BC"/>
    <w:rsid w:val="009F13CC"/>
    <w:rsid w:val="009F2669"/>
    <w:rsid w:val="009F2764"/>
    <w:rsid w:val="009F2A7F"/>
    <w:rsid w:val="009F34BF"/>
    <w:rsid w:val="009F4473"/>
    <w:rsid w:val="009F4E74"/>
    <w:rsid w:val="009F5185"/>
    <w:rsid w:val="009F5341"/>
    <w:rsid w:val="009F5F70"/>
    <w:rsid w:val="009F61F1"/>
    <w:rsid w:val="009F67E0"/>
    <w:rsid w:val="009F7295"/>
    <w:rsid w:val="00A00147"/>
    <w:rsid w:val="00A007BD"/>
    <w:rsid w:val="00A008C6"/>
    <w:rsid w:val="00A01898"/>
    <w:rsid w:val="00A02007"/>
    <w:rsid w:val="00A0233D"/>
    <w:rsid w:val="00A02C6A"/>
    <w:rsid w:val="00A03341"/>
    <w:rsid w:val="00A0528B"/>
    <w:rsid w:val="00A052D0"/>
    <w:rsid w:val="00A05380"/>
    <w:rsid w:val="00A05916"/>
    <w:rsid w:val="00A0601F"/>
    <w:rsid w:val="00A062F3"/>
    <w:rsid w:val="00A0692B"/>
    <w:rsid w:val="00A07985"/>
    <w:rsid w:val="00A1079B"/>
    <w:rsid w:val="00A1084A"/>
    <w:rsid w:val="00A126DF"/>
    <w:rsid w:val="00A1393C"/>
    <w:rsid w:val="00A13AA9"/>
    <w:rsid w:val="00A14050"/>
    <w:rsid w:val="00A20652"/>
    <w:rsid w:val="00A208E7"/>
    <w:rsid w:val="00A20CFC"/>
    <w:rsid w:val="00A22CA8"/>
    <w:rsid w:val="00A22D1F"/>
    <w:rsid w:val="00A236DE"/>
    <w:rsid w:val="00A246EA"/>
    <w:rsid w:val="00A248FE"/>
    <w:rsid w:val="00A24EF1"/>
    <w:rsid w:val="00A2539E"/>
    <w:rsid w:val="00A27708"/>
    <w:rsid w:val="00A27C53"/>
    <w:rsid w:val="00A27C81"/>
    <w:rsid w:val="00A3013A"/>
    <w:rsid w:val="00A306D9"/>
    <w:rsid w:val="00A30AC8"/>
    <w:rsid w:val="00A30F8D"/>
    <w:rsid w:val="00A3107C"/>
    <w:rsid w:val="00A3232B"/>
    <w:rsid w:val="00A325B7"/>
    <w:rsid w:val="00A32A78"/>
    <w:rsid w:val="00A32F36"/>
    <w:rsid w:val="00A33A90"/>
    <w:rsid w:val="00A3413E"/>
    <w:rsid w:val="00A348B3"/>
    <w:rsid w:val="00A34D7B"/>
    <w:rsid w:val="00A35D22"/>
    <w:rsid w:val="00A36310"/>
    <w:rsid w:val="00A3643A"/>
    <w:rsid w:val="00A405D8"/>
    <w:rsid w:val="00A40983"/>
    <w:rsid w:val="00A40B25"/>
    <w:rsid w:val="00A43D1E"/>
    <w:rsid w:val="00A440AB"/>
    <w:rsid w:val="00A44290"/>
    <w:rsid w:val="00A44D33"/>
    <w:rsid w:val="00A451F1"/>
    <w:rsid w:val="00A45FFF"/>
    <w:rsid w:val="00A463D1"/>
    <w:rsid w:val="00A46E9C"/>
    <w:rsid w:val="00A47034"/>
    <w:rsid w:val="00A471D6"/>
    <w:rsid w:val="00A47BC6"/>
    <w:rsid w:val="00A47D92"/>
    <w:rsid w:val="00A5042B"/>
    <w:rsid w:val="00A50455"/>
    <w:rsid w:val="00A504A2"/>
    <w:rsid w:val="00A50B1F"/>
    <w:rsid w:val="00A50BB8"/>
    <w:rsid w:val="00A519F4"/>
    <w:rsid w:val="00A51C78"/>
    <w:rsid w:val="00A528D7"/>
    <w:rsid w:val="00A52B4A"/>
    <w:rsid w:val="00A530FA"/>
    <w:rsid w:val="00A53534"/>
    <w:rsid w:val="00A5412B"/>
    <w:rsid w:val="00A5532C"/>
    <w:rsid w:val="00A5538B"/>
    <w:rsid w:val="00A56D51"/>
    <w:rsid w:val="00A56D9E"/>
    <w:rsid w:val="00A56E11"/>
    <w:rsid w:val="00A57B5D"/>
    <w:rsid w:val="00A605A4"/>
    <w:rsid w:val="00A6132F"/>
    <w:rsid w:val="00A64492"/>
    <w:rsid w:val="00A64A47"/>
    <w:rsid w:val="00A64AA7"/>
    <w:rsid w:val="00A667F2"/>
    <w:rsid w:val="00A671C5"/>
    <w:rsid w:val="00A67811"/>
    <w:rsid w:val="00A67A30"/>
    <w:rsid w:val="00A67BB8"/>
    <w:rsid w:val="00A67D8A"/>
    <w:rsid w:val="00A70791"/>
    <w:rsid w:val="00A70809"/>
    <w:rsid w:val="00A71287"/>
    <w:rsid w:val="00A72438"/>
    <w:rsid w:val="00A72E91"/>
    <w:rsid w:val="00A72F72"/>
    <w:rsid w:val="00A7354B"/>
    <w:rsid w:val="00A74547"/>
    <w:rsid w:val="00A75BEC"/>
    <w:rsid w:val="00A75CEF"/>
    <w:rsid w:val="00A75E8A"/>
    <w:rsid w:val="00A75EE9"/>
    <w:rsid w:val="00A76989"/>
    <w:rsid w:val="00A77285"/>
    <w:rsid w:val="00A806D0"/>
    <w:rsid w:val="00A80EAA"/>
    <w:rsid w:val="00A80FDE"/>
    <w:rsid w:val="00A815DA"/>
    <w:rsid w:val="00A81BB1"/>
    <w:rsid w:val="00A82BD3"/>
    <w:rsid w:val="00A83604"/>
    <w:rsid w:val="00A848A0"/>
    <w:rsid w:val="00A84C78"/>
    <w:rsid w:val="00A8509E"/>
    <w:rsid w:val="00A8556B"/>
    <w:rsid w:val="00A856C1"/>
    <w:rsid w:val="00A8599F"/>
    <w:rsid w:val="00A859E6"/>
    <w:rsid w:val="00A863AF"/>
    <w:rsid w:val="00A864D2"/>
    <w:rsid w:val="00A865A2"/>
    <w:rsid w:val="00A8685A"/>
    <w:rsid w:val="00A87181"/>
    <w:rsid w:val="00A87222"/>
    <w:rsid w:val="00A8749A"/>
    <w:rsid w:val="00A878A5"/>
    <w:rsid w:val="00A87E92"/>
    <w:rsid w:val="00A90036"/>
    <w:rsid w:val="00A900C4"/>
    <w:rsid w:val="00A906DF"/>
    <w:rsid w:val="00A90DB4"/>
    <w:rsid w:val="00A91610"/>
    <w:rsid w:val="00A91A60"/>
    <w:rsid w:val="00A92048"/>
    <w:rsid w:val="00A9218F"/>
    <w:rsid w:val="00A924A4"/>
    <w:rsid w:val="00A92FE4"/>
    <w:rsid w:val="00A93177"/>
    <w:rsid w:val="00A93623"/>
    <w:rsid w:val="00A9379A"/>
    <w:rsid w:val="00A938FD"/>
    <w:rsid w:val="00A946B2"/>
    <w:rsid w:val="00A94AEB"/>
    <w:rsid w:val="00A9520D"/>
    <w:rsid w:val="00A95BB4"/>
    <w:rsid w:val="00A95F6B"/>
    <w:rsid w:val="00A966AE"/>
    <w:rsid w:val="00A97787"/>
    <w:rsid w:val="00A97F8C"/>
    <w:rsid w:val="00AA0FDB"/>
    <w:rsid w:val="00AA1E44"/>
    <w:rsid w:val="00AA2573"/>
    <w:rsid w:val="00AA32EB"/>
    <w:rsid w:val="00AA371C"/>
    <w:rsid w:val="00AA3B5E"/>
    <w:rsid w:val="00AA3CD8"/>
    <w:rsid w:val="00AA4114"/>
    <w:rsid w:val="00AA4338"/>
    <w:rsid w:val="00AA4792"/>
    <w:rsid w:val="00AA4DD1"/>
    <w:rsid w:val="00AA4E60"/>
    <w:rsid w:val="00AA6AA1"/>
    <w:rsid w:val="00AA7569"/>
    <w:rsid w:val="00AA78C8"/>
    <w:rsid w:val="00AA7B1B"/>
    <w:rsid w:val="00AB0293"/>
    <w:rsid w:val="00AB0952"/>
    <w:rsid w:val="00AB2142"/>
    <w:rsid w:val="00AB2320"/>
    <w:rsid w:val="00AB24FE"/>
    <w:rsid w:val="00AB2C16"/>
    <w:rsid w:val="00AB3FD0"/>
    <w:rsid w:val="00AB4DA3"/>
    <w:rsid w:val="00AB568A"/>
    <w:rsid w:val="00AB68A6"/>
    <w:rsid w:val="00AB6924"/>
    <w:rsid w:val="00AB6B36"/>
    <w:rsid w:val="00AB7A14"/>
    <w:rsid w:val="00AC021C"/>
    <w:rsid w:val="00AC03F7"/>
    <w:rsid w:val="00AC0D78"/>
    <w:rsid w:val="00AC0F2A"/>
    <w:rsid w:val="00AC13AA"/>
    <w:rsid w:val="00AC2612"/>
    <w:rsid w:val="00AC2A24"/>
    <w:rsid w:val="00AC30D0"/>
    <w:rsid w:val="00AC3451"/>
    <w:rsid w:val="00AC436F"/>
    <w:rsid w:val="00AC6DAD"/>
    <w:rsid w:val="00AC77E4"/>
    <w:rsid w:val="00AD051E"/>
    <w:rsid w:val="00AD0A3E"/>
    <w:rsid w:val="00AD1751"/>
    <w:rsid w:val="00AD2898"/>
    <w:rsid w:val="00AD2BF1"/>
    <w:rsid w:val="00AD2D79"/>
    <w:rsid w:val="00AD2DD2"/>
    <w:rsid w:val="00AD33E3"/>
    <w:rsid w:val="00AD3CB1"/>
    <w:rsid w:val="00AD3DB7"/>
    <w:rsid w:val="00AD3E04"/>
    <w:rsid w:val="00AD47E6"/>
    <w:rsid w:val="00AD4E57"/>
    <w:rsid w:val="00AD53EE"/>
    <w:rsid w:val="00AD586F"/>
    <w:rsid w:val="00AD5910"/>
    <w:rsid w:val="00AD5FAE"/>
    <w:rsid w:val="00AD6335"/>
    <w:rsid w:val="00AD7A47"/>
    <w:rsid w:val="00AD7D3A"/>
    <w:rsid w:val="00AE03EA"/>
    <w:rsid w:val="00AE1217"/>
    <w:rsid w:val="00AE3957"/>
    <w:rsid w:val="00AE4A68"/>
    <w:rsid w:val="00AE4D1A"/>
    <w:rsid w:val="00AE4E35"/>
    <w:rsid w:val="00AE57CD"/>
    <w:rsid w:val="00AE5BB6"/>
    <w:rsid w:val="00AE5D1F"/>
    <w:rsid w:val="00AE600F"/>
    <w:rsid w:val="00AE642F"/>
    <w:rsid w:val="00AE676A"/>
    <w:rsid w:val="00AE6AAF"/>
    <w:rsid w:val="00AF1C15"/>
    <w:rsid w:val="00AF1C5B"/>
    <w:rsid w:val="00AF1F4A"/>
    <w:rsid w:val="00AF2066"/>
    <w:rsid w:val="00AF20DF"/>
    <w:rsid w:val="00AF3EED"/>
    <w:rsid w:val="00AF4515"/>
    <w:rsid w:val="00AF4D2C"/>
    <w:rsid w:val="00AF4DD5"/>
    <w:rsid w:val="00AF5089"/>
    <w:rsid w:val="00B00757"/>
    <w:rsid w:val="00B00AAB"/>
    <w:rsid w:val="00B01C05"/>
    <w:rsid w:val="00B025A1"/>
    <w:rsid w:val="00B026C3"/>
    <w:rsid w:val="00B02B84"/>
    <w:rsid w:val="00B02BD7"/>
    <w:rsid w:val="00B02F40"/>
    <w:rsid w:val="00B03D1F"/>
    <w:rsid w:val="00B04805"/>
    <w:rsid w:val="00B063BD"/>
    <w:rsid w:val="00B0772C"/>
    <w:rsid w:val="00B07BCD"/>
    <w:rsid w:val="00B07D0D"/>
    <w:rsid w:val="00B11ABB"/>
    <w:rsid w:val="00B11FBA"/>
    <w:rsid w:val="00B13299"/>
    <w:rsid w:val="00B133C5"/>
    <w:rsid w:val="00B1403A"/>
    <w:rsid w:val="00B14339"/>
    <w:rsid w:val="00B1441A"/>
    <w:rsid w:val="00B15058"/>
    <w:rsid w:val="00B15BBA"/>
    <w:rsid w:val="00B162A6"/>
    <w:rsid w:val="00B16BBF"/>
    <w:rsid w:val="00B16C4C"/>
    <w:rsid w:val="00B2095E"/>
    <w:rsid w:val="00B21145"/>
    <w:rsid w:val="00B22377"/>
    <w:rsid w:val="00B22713"/>
    <w:rsid w:val="00B23244"/>
    <w:rsid w:val="00B23F17"/>
    <w:rsid w:val="00B246C5"/>
    <w:rsid w:val="00B24815"/>
    <w:rsid w:val="00B256BC"/>
    <w:rsid w:val="00B25CE3"/>
    <w:rsid w:val="00B30546"/>
    <w:rsid w:val="00B3148B"/>
    <w:rsid w:val="00B31F47"/>
    <w:rsid w:val="00B329B9"/>
    <w:rsid w:val="00B3304B"/>
    <w:rsid w:val="00B33C7D"/>
    <w:rsid w:val="00B343FD"/>
    <w:rsid w:val="00B346E0"/>
    <w:rsid w:val="00B35B9E"/>
    <w:rsid w:val="00B369C9"/>
    <w:rsid w:val="00B3763C"/>
    <w:rsid w:val="00B37B6C"/>
    <w:rsid w:val="00B42585"/>
    <w:rsid w:val="00B44CBA"/>
    <w:rsid w:val="00B45AA1"/>
    <w:rsid w:val="00B45E0F"/>
    <w:rsid w:val="00B46854"/>
    <w:rsid w:val="00B46F19"/>
    <w:rsid w:val="00B47AFF"/>
    <w:rsid w:val="00B47E1C"/>
    <w:rsid w:val="00B50118"/>
    <w:rsid w:val="00B50446"/>
    <w:rsid w:val="00B50C1B"/>
    <w:rsid w:val="00B51A9E"/>
    <w:rsid w:val="00B51D8F"/>
    <w:rsid w:val="00B528E6"/>
    <w:rsid w:val="00B537D2"/>
    <w:rsid w:val="00B53823"/>
    <w:rsid w:val="00B53CFD"/>
    <w:rsid w:val="00B54445"/>
    <w:rsid w:val="00B54732"/>
    <w:rsid w:val="00B54F91"/>
    <w:rsid w:val="00B55591"/>
    <w:rsid w:val="00B557B0"/>
    <w:rsid w:val="00B55A1C"/>
    <w:rsid w:val="00B55D88"/>
    <w:rsid w:val="00B5601F"/>
    <w:rsid w:val="00B560A6"/>
    <w:rsid w:val="00B56279"/>
    <w:rsid w:val="00B57848"/>
    <w:rsid w:val="00B57BBB"/>
    <w:rsid w:val="00B57BF0"/>
    <w:rsid w:val="00B60073"/>
    <w:rsid w:val="00B60B07"/>
    <w:rsid w:val="00B60BA6"/>
    <w:rsid w:val="00B61A95"/>
    <w:rsid w:val="00B62455"/>
    <w:rsid w:val="00B625F5"/>
    <w:rsid w:val="00B628E7"/>
    <w:rsid w:val="00B6332F"/>
    <w:rsid w:val="00B636E9"/>
    <w:rsid w:val="00B637B1"/>
    <w:rsid w:val="00B63C2B"/>
    <w:rsid w:val="00B64D54"/>
    <w:rsid w:val="00B65815"/>
    <w:rsid w:val="00B65DDF"/>
    <w:rsid w:val="00B66572"/>
    <w:rsid w:val="00B66C22"/>
    <w:rsid w:val="00B6700A"/>
    <w:rsid w:val="00B67508"/>
    <w:rsid w:val="00B7057B"/>
    <w:rsid w:val="00B71326"/>
    <w:rsid w:val="00B71CC5"/>
    <w:rsid w:val="00B723D4"/>
    <w:rsid w:val="00B726A1"/>
    <w:rsid w:val="00B72962"/>
    <w:rsid w:val="00B736B7"/>
    <w:rsid w:val="00B73F01"/>
    <w:rsid w:val="00B7400A"/>
    <w:rsid w:val="00B752AC"/>
    <w:rsid w:val="00B75418"/>
    <w:rsid w:val="00B75F7C"/>
    <w:rsid w:val="00B76561"/>
    <w:rsid w:val="00B76EEC"/>
    <w:rsid w:val="00B77478"/>
    <w:rsid w:val="00B77BC0"/>
    <w:rsid w:val="00B77E1E"/>
    <w:rsid w:val="00B8032B"/>
    <w:rsid w:val="00B807F4"/>
    <w:rsid w:val="00B82D6E"/>
    <w:rsid w:val="00B845E2"/>
    <w:rsid w:val="00B8494A"/>
    <w:rsid w:val="00B8533D"/>
    <w:rsid w:val="00B85F47"/>
    <w:rsid w:val="00B8611D"/>
    <w:rsid w:val="00B8641E"/>
    <w:rsid w:val="00B86B6C"/>
    <w:rsid w:val="00B871F5"/>
    <w:rsid w:val="00B91744"/>
    <w:rsid w:val="00B91976"/>
    <w:rsid w:val="00B91D3C"/>
    <w:rsid w:val="00B91E1E"/>
    <w:rsid w:val="00B921CD"/>
    <w:rsid w:val="00B92A67"/>
    <w:rsid w:val="00B932CA"/>
    <w:rsid w:val="00B9371E"/>
    <w:rsid w:val="00B93DBF"/>
    <w:rsid w:val="00B95995"/>
    <w:rsid w:val="00B965CD"/>
    <w:rsid w:val="00B9687A"/>
    <w:rsid w:val="00B96B71"/>
    <w:rsid w:val="00B97907"/>
    <w:rsid w:val="00B97D8B"/>
    <w:rsid w:val="00B97F22"/>
    <w:rsid w:val="00BA09B2"/>
    <w:rsid w:val="00BA209C"/>
    <w:rsid w:val="00BA222D"/>
    <w:rsid w:val="00BA4350"/>
    <w:rsid w:val="00BA4704"/>
    <w:rsid w:val="00BA4E66"/>
    <w:rsid w:val="00BA51B2"/>
    <w:rsid w:val="00BA5A25"/>
    <w:rsid w:val="00BA5FB7"/>
    <w:rsid w:val="00BA649C"/>
    <w:rsid w:val="00BB03EF"/>
    <w:rsid w:val="00BB04BE"/>
    <w:rsid w:val="00BB0C0B"/>
    <w:rsid w:val="00BB0DD8"/>
    <w:rsid w:val="00BB0EA4"/>
    <w:rsid w:val="00BB1227"/>
    <w:rsid w:val="00BB3127"/>
    <w:rsid w:val="00BB3630"/>
    <w:rsid w:val="00BB399D"/>
    <w:rsid w:val="00BB3C9E"/>
    <w:rsid w:val="00BB3CE3"/>
    <w:rsid w:val="00BB46F8"/>
    <w:rsid w:val="00BB4BD3"/>
    <w:rsid w:val="00BB62AB"/>
    <w:rsid w:val="00BB6ACF"/>
    <w:rsid w:val="00BB6D97"/>
    <w:rsid w:val="00BB78D6"/>
    <w:rsid w:val="00BC05E3"/>
    <w:rsid w:val="00BC20FA"/>
    <w:rsid w:val="00BC5A9C"/>
    <w:rsid w:val="00BC6836"/>
    <w:rsid w:val="00BD13B2"/>
    <w:rsid w:val="00BD1905"/>
    <w:rsid w:val="00BD2891"/>
    <w:rsid w:val="00BD2A80"/>
    <w:rsid w:val="00BD3280"/>
    <w:rsid w:val="00BD3F5A"/>
    <w:rsid w:val="00BD4DB8"/>
    <w:rsid w:val="00BD5B51"/>
    <w:rsid w:val="00BD5C07"/>
    <w:rsid w:val="00BD7920"/>
    <w:rsid w:val="00BD7D14"/>
    <w:rsid w:val="00BE0017"/>
    <w:rsid w:val="00BE1611"/>
    <w:rsid w:val="00BE354D"/>
    <w:rsid w:val="00BE3966"/>
    <w:rsid w:val="00BE4459"/>
    <w:rsid w:val="00BE4DA2"/>
    <w:rsid w:val="00BE5C3F"/>
    <w:rsid w:val="00BE66A9"/>
    <w:rsid w:val="00BE7AD3"/>
    <w:rsid w:val="00BE7DA7"/>
    <w:rsid w:val="00BE7E71"/>
    <w:rsid w:val="00BF228D"/>
    <w:rsid w:val="00BF2317"/>
    <w:rsid w:val="00BF2FB3"/>
    <w:rsid w:val="00BF4037"/>
    <w:rsid w:val="00BF4975"/>
    <w:rsid w:val="00BF4AE8"/>
    <w:rsid w:val="00BF5AC3"/>
    <w:rsid w:val="00BF5CF2"/>
    <w:rsid w:val="00BF5D9B"/>
    <w:rsid w:val="00BF6522"/>
    <w:rsid w:val="00BF68F2"/>
    <w:rsid w:val="00BF692B"/>
    <w:rsid w:val="00BF794B"/>
    <w:rsid w:val="00C001DA"/>
    <w:rsid w:val="00C00D22"/>
    <w:rsid w:val="00C0167F"/>
    <w:rsid w:val="00C02299"/>
    <w:rsid w:val="00C02769"/>
    <w:rsid w:val="00C03006"/>
    <w:rsid w:val="00C03E18"/>
    <w:rsid w:val="00C03E5A"/>
    <w:rsid w:val="00C04010"/>
    <w:rsid w:val="00C04390"/>
    <w:rsid w:val="00C043E0"/>
    <w:rsid w:val="00C0462E"/>
    <w:rsid w:val="00C04B58"/>
    <w:rsid w:val="00C0530E"/>
    <w:rsid w:val="00C06357"/>
    <w:rsid w:val="00C06B08"/>
    <w:rsid w:val="00C06B1C"/>
    <w:rsid w:val="00C07336"/>
    <w:rsid w:val="00C0763E"/>
    <w:rsid w:val="00C0791F"/>
    <w:rsid w:val="00C10003"/>
    <w:rsid w:val="00C101FB"/>
    <w:rsid w:val="00C1085C"/>
    <w:rsid w:val="00C10F30"/>
    <w:rsid w:val="00C1138F"/>
    <w:rsid w:val="00C12490"/>
    <w:rsid w:val="00C1353F"/>
    <w:rsid w:val="00C1368A"/>
    <w:rsid w:val="00C13A73"/>
    <w:rsid w:val="00C1439C"/>
    <w:rsid w:val="00C1489F"/>
    <w:rsid w:val="00C14EB2"/>
    <w:rsid w:val="00C14F7F"/>
    <w:rsid w:val="00C150F2"/>
    <w:rsid w:val="00C154CE"/>
    <w:rsid w:val="00C154DA"/>
    <w:rsid w:val="00C1557F"/>
    <w:rsid w:val="00C15981"/>
    <w:rsid w:val="00C16359"/>
    <w:rsid w:val="00C16532"/>
    <w:rsid w:val="00C16E58"/>
    <w:rsid w:val="00C16E9D"/>
    <w:rsid w:val="00C16F03"/>
    <w:rsid w:val="00C201CF"/>
    <w:rsid w:val="00C205CE"/>
    <w:rsid w:val="00C21502"/>
    <w:rsid w:val="00C215D1"/>
    <w:rsid w:val="00C216F9"/>
    <w:rsid w:val="00C2260B"/>
    <w:rsid w:val="00C23C66"/>
    <w:rsid w:val="00C23DCC"/>
    <w:rsid w:val="00C24516"/>
    <w:rsid w:val="00C25665"/>
    <w:rsid w:val="00C263FD"/>
    <w:rsid w:val="00C26AB2"/>
    <w:rsid w:val="00C27F21"/>
    <w:rsid w:val="00C30956"/>
    <w:rsid w:val="00C314B6"/>
    <w:rsid w:val="00C319ED"/>
    <w:rsid w:val="00C31C29"/>
    <w:rsid w:val="00C3272D"/>
    <w:rsid w:val="00C32B08"/>
    <w:rsid w:val="00C33076"/>
    <w:rsid w:val="00C3331A"/>
    <w:rsid w:val="00C33877"/>
    <w:rsid w:val="00C34719"/>
    <w:rsid w:val="00C3574C"/>
    <w:rsid w:val="00C35898"/>
    <w:rsid w:val="00C35BD1"/>
    <w:rsid w:val="00C35D97"/>
    <w:rsid w:val="00C3687D"/>
    <w:rsid w:val="00C3693E"/>
    <w:rsid w:val="00C37776"/>
    <w:rsid w:val="00C37A09"/>
    <w:rsid w:val="00C37E20"/>
    <w:rsid w:val="00C40463"/>
    <w:rsid w:val="00C40CF2"/>
    <w:rsid w:val="00C41528"/>
    <w:rsid w:val="00C41708"/>
    <w:rsid w:val="00C41911"/>
    <w:rsid w:val="00C41CFA"/>
    <w:rsid w:val="00C43123"/>
    <w:rsid w:val="00C444FD"/>
    <w:rsid w:val="00C4466F"/>
    <w:rsid w:val="00C44EBE"/>
    <w:rsid w:val="00C45473"/>
    <w:rsid w:val="00C46D64"/>
    <w:rsid w:val="00C46E5C"/>
    <w:rsid w:val="00C474AE"/>
    <w:rsid w:val="00C47F50"/>
    <w:rsid w:val="00C50316"/>
    <w:rsid w:val="00C5055A"/>
    <w:rsid w:val="00C50750"/>
    <w:rsid w:val="00C50D83"/>
    <w:rsid w:val="00C512AD"/>
    <w:rsid w:val="00C52E64"/>
    <w:rsid w:val="00C5363D"/>
    <w:rsid w:val="00C54F12"/>
    <w:rsid w:val="00C55BE9"/>
    <w:rsid w:val="00C569F8"/>
    <w:rsid w:val="00C6234E"/>
    <w:rsid w:val="00C63064"/>
    <w:rsid w:val="00C63F1B"/>
    <w:rsid w:val="00C64868"/>
    <w:rsid w:val="00C65A5D"/>
    <w:rsid w:val="00C66562"/>
    <w:rsid w:val="00C66B67"/>
    <w:rsid w:val="00C701CB"/>
    <w:rsid w:val="00C70299"/>
    <w:rsid w:val="00C70773"/>
    <w:rsid w:val="00C72431"/>
    <w:rsid w:val="00C729A5"/>
    <w:rsid w:val="00C72C2A"/>
    <w:rsid w:val="00C73B79"/>
    <w:rsid w:val="00C73D98"/>
    <w:rsid w:val="00C75014"/>
    <w:rsid w:val="00C75E36"/>
    <w:rsid w:val="00C761B7"/>
    <w:rsid w:val="00C80017"/>
    <w:rsid w:val="00C80BC2"/>
    <w:rsid w:val="00C813DB"/>
    <w:rsid w:val="00C81641"/>
    <w:rsid w:val="00C8168A"/>
    <w:rsid w:val="00C81DBD"/>
    <w:rsid w:val="00C82EB4"/>
    <w:rsid w:val="00C8326C"/>
    <w:rsid w:val="00C833C2"/>
    <w:rsid w:val="00C85178"/>
    <w:rsid w:val="00C86589"/>
    <w:rsid w:val="00C8692E"/>
    <w:rsid w:val="00C86C13"/>
    <w:rsid w:val="00C876C0"/>
    <w:rsid w:val="00C87773"/>
    <w:rsid w:val="00C8794C"/>
    <w:rsid w:val="00C87A83"/>
    <w:rsid w:val="00C9026C"/>
    <w:rsid w:val="00C90362"/>
    <w:rsid w:val="00C91901"/>
    <w:rsid w:val="00C91B87"/>
    <w:rsid w:val="00C91E15"/>
    <w:rsid w:val="00C92D8F"/>
    <w:rsid w:val="00C93A17"/>
    <w:rsid w:val="00C93B95"/>
    <w:rsid w:val="00C93E55"/>
    <w:rsid w:val="00C93F76"/>
    <w:rsid w:val="00C941A0"/>
    <w:rsid w:val="00C94CBC"/>
    <w:rsid w:val="00C9523D"/>
    <w:rsid w:val="00C95830"/>
    <w:rsid w:val="00C9788F"/>
    <w:rsid w:val="00C97E27"/>
    <w:rsid w:val="00CA0DCD"/>
    <w:rsid w:val="00CA1700"/>
    <w:rsid w:val="00CA269A"/>
    <w:rsid w:val="00CA32AB"/>
    <w:rsid w:val="00CA473A"/>
    <w:rsid w:val="00CA5295"/>
    <w:rsid w:val="00CA52B2"/>
    <w:rsid w:val="00CA5926"/>
    <w:rsid w:val="00CA6E12"/>
    <w:rsid w:val="00CA7192"/>
    <w:rsid w:val="00CA751D"/>
    <w:rsid w:val="00CB0C1C"/>
    <w:rsid w:val="00CB149F"/>
    <w:rsid w:val="00CB1561"/>
    <w:rsid w:val="00CB2F69"/>
    <w:rsid w:val="00CB3A99"/>
    <w:rsid w:val="00CB3C35"/>
    <w:rsid w:val="00CB3FC8"/>
    <w:rsid w:val="00CB5365"/>
    <w:rsid w:val="00CB59F5"/>
    <w:rsid w:val="00CB61F3"/>
    <w:rsid w:val="00CB6B05"/>
    <w:rsid w:val="00CB767C"/>
    <w:rsid w:val="00CB79C5"/>
    <w:rsid w:val="00CC0031"/>
    <w:rsid w:val="00CC0C6B"/>
    <w:rsid w:val="00CC2D6D"/>
    <w:rsid w:val="00CC5122"/>
    <w:rsid w:val="00CC65B3"/>
    <w:rsid w:val="00CC7928"/>
    <w:rsid w:val="00CD1519"/>
    <w:rsid w:val="00CD232F"/>
    <w:rsid w:val="00CD355A"/>
    <w:rsid w:val="00CD4F8A"/>
    <w:rsid w:val="00CD57E7"/>
    <w:rsid w:val="00CD6905"/>
    <w:rsid w:val="00CD702E"/>
    <w:rsid w:val="00CE0838"/>
    <w:rsid w:val="00CE0CF4"/>
    <w:rsid w:val="00CE1C0A"/>
    <w:rsid w:val="00CE2406"/>
    <w:rsid w:val="00CE2424"/>
    <w:rsid w:val="00CE273B"/>
    <w:rsid w:val="00CE2825"/>
    <w:rsid w:val="00CE2B7D"/>
    <w:rsid w:val="00CE2E3F"/>
    <w:rsid w:val="00CE3E96"/>
    <w:rsid w:val="00CE43C0"/>
    <w:rsid w:val="00CE4818"/>
    <w:rsid w:val="00CE494D"/>
    <w:rsid w:val="00CE5633"/>
    <w:rsid w:val="00CE6FD0"/>
    <w:rsid w:val="00CE7891"/>
    <w:rsid w:val="00CE7AD0"/>
    <w:rsid w:val="00CF16FE"/>
    <w:rsid w:val="00CF1D1A"/>
    <w:rsid w:val="00CF21B5"/>
    <w:rsid w:val="00CF294D"/>
    <w:rsid w:val="00CF32FF"/>
    <w:rsid w:val="00CF3753"/>
    <w:rsid w:val="00CF387C"/>
    <w:rsid w:val="00CF3AFB"/>
    <w:rsid w:val="00CF4A62"/>
    <w:rsid w:val="00CF56B3"/>
    <w:rsid w:val="00CF5775"/>
    <w:rsid w:val="00CF5CC8"/>
    <w:rsid w:val="00CF5EF7"/>
    <w:rsid w:val="00CF63AF"/>
    <w:rsid w:val="00CF6BBC"/>
    <w:rsid w:val="00CF7975"/>
    <w:rsid w:val="00CF7E8F"/>
    <w:rsid w:val="00D00004"/>
    <w:rsid w:val="00D037BF"/>
    <w:rsid w:val="00D03839"/>
    <w:rsid w:val="00D03FDA"/>
    <w:rsid w:val="00D0415E"/>
    <w:rsid w:val="00D04EEF"/>
    <w:rsid w:val="00D05990"/>
    <w:rsid w:val="00D05B75"/>
    <w:rsid w:val="00D05FA0"/>
    <w:rsid w:val="00D0681C"/>
    <w:rsid w:val="00D0685A"/>
    <w:rsid w:val="00D10CB2"/>
    <w:rsid w:val="00D10D2E"/>
    <w:rsid w:val="00D11485"/>
    <w:rsid w:val="00D146CE"/>
    <w:rsid w:val="00D14CAF"/>
    <w:rsid w:val="00D14CB3"/>
    <w:rsid w:val="00D15180"/>
    <w:rsid w:val="00D1588C"/>
    <w:rsid w:val="00D15FFD"/>
    <w:rsid w:val="00D16000"/>
    <w:rsid w:val="00D16822"/>
    <w:rsid w:val="00D173F8"/>
    <w:rsid w:val="00D17BA8"/>
    <w:rsid w:val="00D22BAD"/>
    <w:rsid w:val="00D2375D"/>
    <w:rsid w:val="00D244F7"/>
    <w:rsid w:val="00D24508"/>
    <w:rsid w:val="00D24651"/>
    <w:rsid w:val="00D249E9"/>
    <w:rsid w:val="00D24EB5"/>
    <w:rsid w:val="00D259A3"/>
    <w:rsid w:val="00D25C1B"/>
    <w:rsid w:val="00D26FB7"/>
    <w:rsid w:val="00D30547"/>
    <w:rsid w:val="00D31D94"/>
    <w:rsid w:val="00D32CC8"/>
    <w:rsid w:val="00D33C19"/>
    <w:rsid w:val="00D34D37"/>
    <w:rsid w:val="00D41080"/>
    <w:rsid w:val="00D41283"/>
    <w:rsid w:val="00D416DA"/>
    <w:rsid w:val="00D436CD"/>
    <w:rsid w:val="00D4488E"/>
    <w:rsid w:val="00D44D59"/>
    <w:rsid w:val="00D44EE0"/>
    <w:rsid w:val="00D45084"/>
    <w:rsid w:val="00D46539"/>
    <w:rsid w:val="00D4691D"/>
    <w:rsid w:val="00D46E10"/>
    <w:rsid w:val="00D473B3"/>
    <w:rsid w:val="00D47AB8"/>
    <w:rsid w:val="00D5023E"/>
    <w:rsid w:val="00D50863"/>
    <w:rsid w:val="00D508F1"/>
    <w:rsid w:val="00D514F6"/>
    <w:rsid w:val="00D5296F"/>
    <w:rsid w:val="00D529DC"/>
    <w:rsid w:val="00D530F0"/>
    <w:rsid w:val="00D53D27"/>
    <w:rsid w:val="00D5704C"/>
    <w:rsid w:val="00D57856"/>
    <w:rsid w:val="00D578F0"/>
    <w:rsid w:val="00D605E9"/>
    <w:rsid w:val="00D6133F"/>
    <w:rsid w:val="00D63322"/>
    <w:rsid w:val="00D64AB8"/>
    <w:rsid w:val="00D64B6C"/>
    <w:rsid w:val="00D64F22"/>
    <w:rsid w:val="00D65AD9"/>
    <w:rsid w:val="00D66A95"/>
    <w:rsid w:val="00D66ECF"/>
    <w:rsid w:val="00D7036C"/>
    <w:rsid w:val="00D70A22"/>
    <w:rsid w:val="00D725A2"/>
    <w:rsid w:val="00D72F0E"/>
    <w:rsid w:val="00D735FE"/>
    <w:rsid w:val="00D739F8"/>
    <w:rsid w:val="00D73CE7"/>
    <w:rsid w:val="00D74A20"/>
    <w:rsid w:val="00D74F35"/>
    <w:rsid w:val="00D75F68"/>
    <w:rsid w:val="00D77150"/>
    <w:rsid w:val="00D802E4"/>
    <w:rsid w:val="00D80378"/>
    <w:rsid w:val="00D80667"/>
    <w:rsid w:val="00D823C8"/>
    <w:rsid w:val="00D82451"/>
    <w:rsid w:val="00D8306B"/>
    <w:rsid w:val="00D83F09"/>
    <w:rsid w:val="00D84BD5"/>
    <w:rsid w:val="00D85E9B"/>
    <w:rsid w:val="00D9038D"/>
    <w:rsid w:val="00D9072B"/>
    <w:rsid w:val="00D90F17"/>
    <w:rsid w:val="00D91499"/>
    <w:rsid w:val="00D917DA"/>
    <w:rsid w:val="00D91DBE"/>
    <w:rsid w:val="00D9265C"/>
    <w:rsid w:val="00D92C1B"/>
    <w:rsid w:val="00D92CFB"/>
    <w:rsid w:val="00D94273"/>
    <w:rsid w:val="00D947C2"/>
    <w:rsid w:val="00D9533F"/>
    <w:rsid w:val="00D96418"/>
    <w:rsid w:val="00D96C44"/>
    <w:rsid w:val="00D96CAC"/>
    <w:rsid w:val="00D97F63"/>
    <w:rsid w:val="00DA1006"/>
    <w:rsid w:val="00DA248A"/>
    <w:rsid w:val="00DA2FED"/>
    <w:rsid w:val="00DA35A2"/>
    <w:rsid w:val="00DA3C52"/>
    <w:rsid w:val="00DA3D43"/>
    <w:rsid w:val="00DA3E79"/>
    <w:rsid w:val="00DA42C8"/>
    <w:rsid w:val="00DA4ABB"/>
    <w:rsid w:val="00DA599E"/>
    <w:rsid w:val="00DA67C6"/>
    <w:rsid w:val="00DA7424"/>
    <w:rsid w:val="00DA78AD"/>
    <w:rsid w:val="00DB2B73"/>
    <w:rsid w:val="00DB3178"/>
    <w:rsid w:val="00DB32DB"/>
    <w:rsid w:val="00DB5B2E"/>
    <w:rsid w:val="00DB5ED1"/>
    <w:rsid w:val="00DB6346"/>
    <w:rsid w:val="00DB6A33"/>
    <w:rsid w:val="00DB7584"/>
    <w:rsid w:val="00DB7E40"/>
    <w:rsid w:val="00DB7EF5"/>
    <w:rsid w:val="00DC0361"/>
    <w:rsid w:val="00DC05FC"/>
    <w:rsid w:val="00DC16D4"/>
    <w:rsid w:val="00DC18DB"/>
    <w:rsid w:val="00DC20F3"/>
    <w:rsid w:val="00DC2F08"/>
    <w:rsid w:val="00DC3099"/>
    <w:rsid w:val="00DC4BD3"/>
    <w:rsid w:val="00DC4E65"/>
    <w:rsid w:val="00DC541F"/>
    <w:rsid w:val="00DC5D77"/>
    <w:rsid w:val="00DC67F6"/>
    <w:rsid w:val="00DC7380"/>
    <w:rsid w:val="00DD00DC"/>
    <w:rsid w:val="00DD04D0"/>
    <w:rsid w:val="00DD0CAE"/>
    <w:rsid w:val="00DD0E2E"/>
    <w:rsid w:val="00DD35AC"/>
    <w:rsid w:val="00DD5B74"/>
    <w:rsid w:val="00DD5ED9"/>
    <w:rsid w:val="00DE05F2"/>
    <w:rsid w:val="00DE1483"/>
    <w:rsid w:val="00DE2ABD"/>
    <w:rsid w:val="00DE5E57"/>
    <w:rsid w:val="00DE6287"/>
    <w:rsid w:val="00DE6665"/>
    <w:rsid w:val="00DE7DDB"/>
    <w:rsid w:val="00DF0DCE"/>
    <w:rsid w:val="00DF14C1"/>
    <w:rsid w:val="00DF1734"/>
    <w:rsid w:val="00DF2361"/>
    <w:rsid w:val="00DF244C"/>
    <w:rsid w:val="00DF439F"/>
    <w:rsid w:val="00DF52DF"/>
    <w:rsid w:val="00DF5F93"/>
    <w:rsid w:val="00DF7363"/>
    <w:rsid w:val="00E00434"/>
    <w:rsid w:val="00E00527"/>
    <w:rsid w:val="00E0083B"/>
    <w:rsid w:val="00E01911"/>
    <w:rsid w:val="00E02A25"/>
    <w:rsid w:val="00E02F57"/>
    <w:rsid w:val="00E02F8F"/>
    <w:rsid w:val="00E0362A"/>
    <w:rsid w:val="00E0393C"/>
    <w:rsid w:val="00E04A29"/>
    <w:rsid w:val="00E050F4"/>
    <w:rsid w:val="00E054DF"/>
    <w:rsid w:val="00E05FE6"/>
    <w:rsid w:val="00E063C8"/>
    <w:rsid w:val="00E06448"/>
    <w:rsid w:val="00E067ED"/>
    <w:rsid w:val="00E07285"/>
    <w:rsid w:val="00E07749"/>
    <w:rsid w:val="00E102E1"/>
    <w:rsid w:val="00E1033F"/>
    <w:rsid w:val="00E113EF"/>
    <w:rsid w:val="00E114AB"/>
    <w:rsid w:val="00E11D6A"/>
    <w:rsid w:val="00E12013"/>
    <w:rsid w:val="00E126C2"/>
    <w:rsid w:val="00E1270D"/>
    <w:rsid w:val="00E12E43"/>
    <w:rsid w:val="00E131E8"/>
    <w:rsid w:val="00E13824"/>
    <w:rsid w:val="00E13F36"/>
    <w:rsid w:val="00E13F9E"/>
    <w:rsid w:val="00E14D25"/>
    <w:rsid w:val="00E154E8"/>
    <w:rsid w:val="00E158EC"/>
    <w:rsid w:val="00E172F0"/>
    <w:rsid w:val="00E17A35"/>
    <w:rsid w:val="00E2064C"/>
    <w:rsid w:val="00E20A63"/>
    <w:rsid w:val="00E20B69"/>
    <w:rsid w:val="00E22055"/>
    <w:rsid w:val="00E2208D"/>
    <w:rsid w:val="00E23CFF"/>
    <w:rsid w:val="00E23F54"/>
    <w:rsid w:val="00E25494"/>
    <w:rsid w:val="00E25D9D"/>
    <w:rsid w:val="00E26B30"/>
    <w:rsid w:val="00E26EE5"/>
    <w:rsid w:val="00E30D6D"/>
    <w:rsid w:val="00E311A5"/>
    <w:rsid w:val="00E32DB2"/>
    <w:rsid w:val="00E32E44"/>
    <w:rsid w:val="00E3332A"/>
    <w:rsid w:val="00E3470C"/>
    <w:rsid w:val="00E35D7D"/>
    <w:rsid w:val="00E362FF"/>
    <w:rsid w:val="00E365E2"/>
    <w:rsid w:val="00E36DFB"/>
    <w:rsid w:val="00E37F19"/>
    <w:rsid w:val="00E40399"/>
    <w:rsid w:val="00E40A04"/>
    <w:rsid w:val="00E42FBF"/>
    <w:rsid w:val="00E43B45"/>
    <w:rsid w:val="00E44982"/>
    <w:rsid w:val="00E45417"/>
    <w:rsid w:val="00E45522"/>
    <w:rsid w:val="00E45F97"/>
    <w:rsid w:val="00E467ED"/>
    <w:rsid w:val="00E47051"/>
    <w:rsid w:val="00E47159"/>
    <w:rsid w:val="00E476C3"/>
    <w:rsid w:val="00E50A0D"/>
    <w:rsid w:val="00E51BFC"/>
    <w:rsid w:val="00E51D02"/>
    <w:rsid w:val="00E52386"/>
    <w:rsid w:val="00E5445A"/>
    <w:rsid w:val="00E54A95"/>
    <w:rsid w:val="00E54D75"/>
    <w:rsid w:val="00E5524A"/>
    <w:rsid w:val="00E5545B"/>
    <w:rsid w:val="00E55496"/>
    <w:rsid w:val="00E55A72"/>
    <w:rsid w:val="00E57788"/>
    <w:rsid w:val="00E57F5A"/>
    <w:rsid w:val="00E60648"/>
    <w:rsid w:val="00E60AB2"/>
    <w:rsid w:val="00E60F77"/>
    <w:rsid w:val="00E610A9"/>
    <w:rsid w:val="00E61611"/>
    <w:rsid w:val="00E61740"/>
    <w:rsid w:val="00E61981"/>
    <w:rsid w:val="00E61D24"/>
    <w:rsid w:val="00E61D36"/>
    <w:rsid w:val="00E6201C"/>
    <w:rsid w:val="00E64A09"/>
    <w:rsid w:val="00E64BC7"/>
    <w:rsid w:val="00E64E7D"/>
    <w:rsid w:val="00E655B1"/>
    <w:rsid w:val="00E67444"/>
    <w:rsid w:val="00E67C32"/>
    <w:rsid w:val="00E704E1"/>
    <w:rsid w:val="00E70742"/>
    <w:rsid w:val="00E70DAA"/>
    <w:rsid w:val="00E70F0D"/>
    <w:rsid w:val="00E721BE"/>
    <w:rsid w:val="00E74D9B"/>
    <w:rsid w:val="00E755A1"/>
    <w:rsid w:val="00E76056"/>
    <w:rsid w:val="00E769D3"/>
    <w:rsid w:val="00E77235"/>
    <w:rsid w:val="00E77266"/>
    <w:rsid w:val="00E80151"/>
    <w:rsid w:val="00E82077"/>
    <w:rsid w:val="00E82C2A"/>
    <w:rsid w:val="00E83C3B"/>
    <w:rsid w:val="00E83D03"/>
    <w:rsid w:val="00E84F72"/>
    <w:rsid w:val="00E855CF"/>
    <w:rsid w:val="00E8588B"/>
    <w:rsid w:val="00E8589E"/>
    <w:rsid w:val="00E8614B"/>
    <w:rsid w:val="00E86E02"/>
    <w:rsid w:val="00E87771"/>
    <w:rsid w:val="00E878E3"/>
    <w:rsid w:val="00E9134B"/>
    <w:rsid w:val="00E91D26"/>
    <w:rsid w:val="00E92C36"/>
    <w:rsid w:val="00E92F20"/>
    <w:rsid w:val="00E939DA"/>
    <w:rsid w:val="00E9401B"/>
    <w:rsid w:val="00E94789"/>
    <w:rsid w:val="00E94AD7"/>
    <w:rsid w:val="00E9508D"/>
    <w:rsid w:val="00E95F82"/>
    <w:rsid w:val="00E963BE"/>
    <w:rsid w:val="00E971C4"/>
    <w:rsid w:val="00E97DEF"/>
    <w:rsid w:val="00E97FE3"/>
    <w:rsid w:val="00EA00ED"/>
    <w:rsid w:val="00EA1BA6"/>
    <w:rsid w:val="00EA2EBB"/>
    <w:rsid w:val="00EA31B8"/>
    <w:rsid w:val="00EA328F"/>
    <w:rsid w:val="00EA4013"/>
    <w:rsid w:val="00EA427F"/>
    <w:rsid w:val="00EA4348"/>
    <w:rsid w:val="00EA45E7"/>
    <w:rsid w:val="00EA5487"/>
    <w:rsid w:val="00EA638D"/>
    <w:rsid w:val="00EA6940"/>
    <w:rsid w:val="00EA6E7F"/>
    <w:rsid w:val="00EB1577"/>
    <w:rsid w:val="00EB186F"/>
    <w:rsid w:val="00EB1EBF"/>
    <w:rsid w:val="00EB2D0D"/>
    <w:rsid w:val="00EB348C"/>
    <w:rsid w:val="00EB3758"/>
    <w:rsid w:val="00EB3999"/>
    <w:rsid w:val="00EB63C7"/>
    <w:rsid w:val="00EB79EC"/>
    <w:rsid w:val="00EC0B0B"/>
    <w:rsid w:val="00EC14A6"/>
    <w:rsid w:val="00EC1688"/>
    <w:rsid w:val="00EC22EA"/>
    <w:rsid w:val="00EC2598"/>
    <w:rsid w:val="00EC305A"/>
    <w:rsid w:val="00EC33D2"/>
    <w:rsid w:val="00EC37EB"/>
    <w:rsid w:val="00EC3B44"/>
    <w:rsid w:val="00EC4367"/>
    <w:rsid w:val="00EC43A2"/>
    <w:rsid w:val="00EC6397"/>
    <w:rsid w:val="00EC7643"/>
    <w:rsid w:val="00ED0214"/>
    <w:rsid w:val="00ED0977"/>
    <w:rsid w:val="00ED0B9F"/>
    <w:rsid w:val="00ED0F4B"/>
    <w:rsid w:val="00ED13B8"/>
    <w:rsid w:val="00ED3260"/>
    <w:rsid w:val="00ED380E"/>
    <w:rsid w:val="00ED38C2"/>
    <w:rsid w:val="00ED43C3"/>
    <w:rsid w:val="00ED5F00"/>
    <w:rsid w:val="00ED5F1A"/>
    <w:rsid w:val="00ED6219"/>
    <w:rsid w:val="00ED6FB9"/>
    <w:rsid w:val="00ED779E"/>
    <w:rsid w:val="00ED797F"/>
    <w:rsid w:val="00ED7993"/>
    <w:rsid w:val="00ED79D9"/>
    <w:rsid w:val="00EE045F"/>
    <w:rsid w:val="00EE0AE5"/>
    <w:rsid w:val="00EE1630"/>
    <w:rsid w:val="00EE278F"/>
    <w:rsid w:val="00EE284D"/>
    <w:rsid w:val="00EE2A72"/>
    <w:rsid w:val="00EE3AAB"/>
    <w:rsid w:val="00EE3C18"/>
    <w:rsid w:val="00EE447D"/>
    <w:rsid w:val="00EE44B9"/>
    <w:rsid w:val="00EE45B5"/>
    <w:rsid w:val="00EE4CA2"/>
    <w:rsid w:val="00EE545B"/>
    <w:rsid w:val="00EE5511"/>
    <w:rsid w:val="00EE5B83"/>
    <w:rsid w:val="00EE5E9A"/>
    <w:rsid w:val="00EE6447"/>
    <w:rsid w:val="00EE7575"/>
    <w:rsid w:val="00EE7D2A"/>
    <w:rsid w:val="00EF0420"/>
    <w:rsid w:val="00EF1040"/>
    <w:rsid w:val="00EF12C5"/>
    <w:rsid w:val="00EF232C"/>
    <w:rsid w:val="00EF2A50"/>
    <w:rsid w:val="00EF4812"/>
    <w:rsid w:val="00EF4BF5"/>
    <w:rsid w:val="00EF5E41"/>
    <w:rsid w:val="00EF7565"/>
    <w:rsid w:val="00F003F0"/>
    <w:rsid w:val="00F0191F"/>
    <w:rsid w:val="00F01BDE"/>
    <w:rsid w:val="00F01E0A"/>
    <w:rsid w:val="00F03509"/>
    <w:rsid w:val="00F047DD"/>
    <w:rsid w:val="00F04A5B"/>
    <w:rsid w:val="00F04F3E"/>
    <w:rsid w:val="00F052C3"/>
    <w:rsid w:val="00F059A2"/>
    <w:rsid w:val="00F066B6"/>
    <w:rsid w:val="00F06CD9"/>
    <w:rsid w:val="00F100BC"/>
    <w:rsid w:val="00F1094F"/>
    <w:rsid w:val="00F1101E"/>
    <w:rsid w:val="00F11556"/>
    <w:rsid w:val="00F12083"/>
    <w:rsid w:val="00F1270C"/>
    <w:rsid w:val="00F13838"/>
    <w:rsid w:val="00F13CDB"/>
    <w:rsid w:val="00F14787"/>
    <w:rsid w:val="00F15499"/>
    <w:rsid w:val="00F1568A"/>
    <w:rsid w:val="00F15F7A"/>
    <w:rsid w:val="00F15FF4"/>
    <w:rsid w:val="00F16017"/>
    <w:rsid w:val="00F16787"/>
    <w:rsid w:val="00F16F31"/>
    <w:rsid w:val="00F179F8"/>
    <w:rsid w:val="00F20094"/>
    <w:rsid w:val="00F21C6F"/>
    <w:rsid w:val="00F22F9D"/>
    <w:rsid w:val="00F2388F"/>
    <w:rsid w:val="00F23B95"/>
    <w:rsid w:val="00F23E56"/>
    <w:rsid w:val="00F24239"/>
    <w:rsid w:val="00F26D15"/>
    <w:rsid w:val="00F27A93"/>
    <w:rsid w:val="00F27ACC"/>
    <w:rsid w:val="00F307B6"/>
    <w:rsid w:val="00F30C14"/>
    <w:rsid w:val="00F311B3"/>
    <w:rsid w:val="00F31E47"/>
    <w:rsid w:val="00F32138"/>
    <w:rsid w:val="00F32921"/>
    <w:rsid w:val="00F32A8F"/>
    <w:rsid w:val="00F33994"/>
    <w:rsid w:val="00F344EE"/>
    <w:rsid w:val="00F351BA"/>
    <w:rsid w:val="00F365CD"/>
    <w:rsid w:val="00F36687"/>
    <w:rsid w:val="00F366DA"/>
    <w:rsid w:val="00F371F2"/>
    <w:rsid w:val="00F3775B"/>
    <w:rsid w:val="00F37804"/>
    <w:rsid w:val="00F407EB"/>
    <w:rsid w:val="00F41869"/>
    <w:rsid w:val="00F434AB"/>
    <w:rsid w:val="00F43A10"/>
    <w:rsid w:val="00F44B4D"/>
    <w:rsid w:val="00F44EC0"/>
    <w:rsid w:val="00F44FE2"/>
    <w:rsid w:val="00F45CF1"/>
    <w:rsid w:val="00F46289"/>
    <w:rsid w:val="00F46431"/>
    <w:rsid w:val="00F4645E"/>
    <w:rsid w:val="00F4668E"/>
    <w:rsid w:val="00F467BC"/>
    <w:rsid w:val="00F50B58"/>
    <w:rsid w:val="00F50C30"/>
    <w:rsid w:val="00F50CF3"/>
    <w:rsid w:val="00F50D1A"/>
    <w:rsid w:val="00F511DB"/>
    <w:rsid w:val="00F51DEA"/>
    <w:rsid w:val="00F51EE4"/>
    <w:rsid w:val="00F5389C"/>
    <w:rsid w:val="00F5450D"/>
    <w:rsid w:val="00F54B48"/>
    <w:rsid w:val="00F54EDD"/>
    <w:rsid w:val="00F5596E"/>
    <w:rsid w:val="00F55C05"/>
    <w:rsid w:val="00F55F00"/>
    <w:rsid w:val="00F55FC6"/>
    <w:rsid w:val="00F56B05"/>
    <w:rsid w:val="00F57622"/>
    <w:rsid w:val="00F6065B"/>
    <w:rsid w:val="00F643DD"/>
    <w:rsid w:val="00F65C37"/>
    <w:rsid w:val="00F6642E"/>
    <w:rsid w:val="00F66683"/>
    <w:rsid w:val="00F6679C"/>
    <w:rsid w:val="00F66E6D"/>
    <w:rsid w:val="00F672C0"/>
    <w:rsid w:val="00F67562"/>
    <w:rsid w:val="00F715E9"/>
    <w:rsid w:val="00F716D2"/>
    <w:rsid w:val="00F71DEB"/>
    <w:rsid w:val="00F72FAB"/>
    <w:rsid w:val="00F731E6"/>
    <w:rsid w:val="00F74190"/>
    <w:rsid w:val="00F746A5"/>
    <w:rsid w:val="00F75BC0"/>
    <w:rsid w:val="00F76E99"/>
    <w:rsid w:val="00F7711F"/>
    <w:rsid w:val="00F777F2"/>
    <w:rsid w:val="00F81407"/>
    <w:rsid w:val="00F83298"/>
    <w:rsid w:val="00F83477"/>
    <w:rsid w:val="00F83659"/>
    <w:rsid w:val="00F83772"/>
    <w:rsid w:val="00F842A9"/>
    <w:rsid w:val="00F84F0E"/>
    <w:rsid w:val="00F8653F"/>
    <w:rsid w:val="00F90100"/>
    <w:rsid w:val="00F90DC4"/>
    <w:rsid w:val="00F9132C"/>
    <w:rsid w:val="00F91849"/>
    <w:rsid w:val="00F91B0F"/>
    <w:rsid w:val="00F91B8D"/>
    <w:rsid w:val="00F91C31"/>
    <w:rsid w:val="00F91F8C"/>
    <w:rsid w:val="00F9219D"/>
    <w:rsid w:val="00F921B3"/>
    <w:rsid w:val="00F926D8"/>
    <w:rsid w:val="00F92A2C"/>
    <w:rsid w:val="00F93089"/>
    <w:rsid w:val="00F93E16"/>
    <w:rsid w:val="00F9419B"/>
    <w:rsid w:val="00F94267"/>
    <w:rsid w:val="00F94E5D"/>
    <w:rsid w:val="00F9552D"/>
    <w:rsid w:val="00F95B9D"/>
    <w:rsid w:val="00F95D0B"/>
    <w:rsid w:val="00F95F55"/>
    <w:rsid w:val="00F96A46"/>
    <w:rsid w:val="00F96AEF"/>
    <w:rsid w:val="00FA0470"/>
    <w:rsid w:val="00FA0761"/>
    <w:rsid w:val="00FA0D2F"/>
    <w:rsid w:val="00FA169D"/>
    <w:rsid w:val="00FA1881"/>
    <w:rsid w:val="00FA2005"/>
    <w:rsid w:val="00FA3E27"/>
    <w:rsid w:val="00FA53A7"/>
    <w:rsid w:val="00FA5AB1"/>
    <w:rsid w:val="00FA6118"/>
    <w:rsid w:val="00FA62A1"/>
    <w:rsid w:val="00FA62CC"/>
    <w:rsid w:val="00FA7693"/>
    <w:rsid w:val="00FA7AD4"/>
    <w:rsid w:val="00FB02AB"/>
    <w:rsid w:val="00FB0507"/>
    <w:rsid w:val="00FB09E5"/>
    <w:rsid w:val="00FB0F42"/>
    <w:rsid w:val="00FB14AD"/>
    <w:rsid w:val="00FB1B3A"/>
    <w:rsid w:val="00FB1ECF"/>
    <w:rsid w:val="00FB2DDD"/>
    <w:rsid w:val="00FB31A4"/>
    <w:rsid w:val="00FB3536"/>
    <w:rsid w:val="00FB35E6"/>
    <w:rsid w:val="00FB3F33"/>
    <w:rsid w:val="00FB4663"/>
    <w:rsid w:val="00FB4E53"/>
    <w:rsid w:val="00FB635B"/>
    <w:rsid w:val="00FB6371"/>
    <w:rsid w:val="00FB704E"/>
    <w:rsid w:val="00FC002D"/>
    <w:rsid w:val="00FC16EC"/>
    <w:rsid w:val="00FC1BC4"/>
    <w:rsid w:val="00FC1EB7"/>
    <w:rsid w:val="00FC1FCF"/>
    <w:rsid w:val="00FC2BC2"/>
    <w:rsid w:val="00FC2F16"/>
    <w:rsid w:val="00FC3228"/>
    <w:rsid w:val="00FC3B28"/>
    <w:rsid w:val="00FC40EA"/>
    <w:rsid w:val="00FC4AD6"/>
    <w:rsid w:val="00FC6273"/>
    <w:rsid w:val="00FC6CE3"/>
    <w:rsid w:val="00FC6FE3"/>
    <w:rsid w:val="00FC7F8D"/>
    <w:rsid w:val="00FD0246"/>
    <w:rsid w:val="00FD178D"/>
    <w:rsid w:val="00FD53BB"/>
    <w:rsid w:val="00FD5602"/>
    <w:rsid w:val="00FD5722"/>
    <w:rsid w:val="00FD5DAC"/>
    <w:rsid w:val="00FD6053"/>
    <w:rsid w:val="00FD6118"/>
    <w:rsid w:val="00FD6164"/>
    <w:rsid w:val="00FD73DC"/>
    <w:rsid w:val="00FD7A4D"/>
    <w:rsid w:val="00FE0166"/>
    <w:rsid w:val="00FE0A52"/>
    <w:rsid w:val="00FE0D56"/>
    <w:rsid w:val="00FE26A5"/>
    <w:rsid w:val="00FE27BC"/>
    <w:rsid w:val="00FE3245"/>
    <w:rsid w:val="00FE638A"/>
    <w:rsid w:val="00FF1C67"/>
    <w:rsid w:val="00FF1F87"/>
    <w:rsid w:val="00FF3EF3"/>
    <w:rsid w:val="00FF49E1"/>
    <w:rsid w:val="00FF5D8C"/>
    <w:rsid w:val="00FF6E18"/>
    <w:rsid w:val="0D201481"/>
    <w:rsid w:val="12C75715"/>
    <w:rsid w:val="1DE101C9"/>
    <w:rsid w:val="20733E00"/>
    <w:rsid w:val="229F1A41"/>
    <w:rsid w:val="46AC5AA6"/>
    <w:rsid w:val="48241E9B"/>
    <w:rsid w:val="488C43C4"/>
    <w:rsid w:val="4AE01774"/>
    <w:rsid w:val="4AFC1E11"/>
    <w:rsid w:val="53657E07"/>
    <w:rsid w:val="5BAF789E"/>
    <w:rsid w:val="5E8D74B4"/>
    <w:rsid w:val="693D3011"/>
    <w:rsid w:val="69B61AD7"/>
    <w:rsid w:val="6C4A43ED"/>
    <w:rsid w:val="731909FC"/>
    <w:rsid w:val="78736782"/>
    <w:rsid w:val="7B7206E6"/>
    <w:rsid w:val="7E9748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9" w:semiHidden="0" w:name="heading 8"/>
    <w:lsdException w:qFormat="1" w:unhideWhenUsed="0" w:uiPriority="99" w:semiHidden="0" w:name="heading 9"/>
    <w:lsdException w:uiPriority="0" w:name="index 1"/>
    <w:lsdException w:uiPriority="99" w:name="index 2"/>
    <w:lsdException w:uiPriority="99" w:name="index 3"/>
    <w:lsdException w:uiPriority="0" w:name="index 4"/>
    <w:lsdException w:uiPriority="99" w:name="index 5"/>
    <w:lsdException w:uiPriority="99" w:name="index 6"/>
    <w:lsdException w:uiPriority="99" w:name="index 7"/>
    <w:lsdException w:uiPriority="99" w:name="index 8"/>
    <w:lsdException w:uiPriority="0" w:name="index 9"/>
    <w:lsdException w:qFormat="1" w:unhideWhenUsed="0" w:uiPriority="39" w:semiHidden="0" w:name="toc 1"/>
    <w:lsdException w:qFormat="1" w:unhideWhenUsed="0"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0" w:name="Normal Indent"/>
    <w:lsdException w:uiPriority="0" w:name="footnote text"/>
    <w:lsdException w:qFormat="1" w:uiPriority="0" w:semiHidden="0" w:name="annotation text"/>
    <w:lsdException w:qFormat="1"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iPriority="99" w:semiHidden="0" w:name="annotation reference"/>
    <w:lsdException w:uiPriority="0" w:name="line number"/>
    <w:lsdException w:unhideWhenUsed="0" w:uiPriority="99" w:semiHidden="0" w:name="page number"/>
    <w:lsdException w:uiPriority="99" w:name="endnote reference"/>
    <w:lsdException w:uiPriority="0" w:name="endnote text"/>
    <w:lsdException w:uiPriority="0" w:name="table of authorities"/>
    <w:lsdException w:uiPriority="99"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unhideWhenUsed="0" w:uiPriority="99" w:semiHidden="0" w:name="Title"/>
    <w:lsdException w:uiPriority="0" w:name="Closing"/>
    <w:lsdException w:uiPriority="0" w:name="Signature"/>
    <w:lsdException w:qFormat="1" w:uiPriority="1" w:name="Default Paragraph Font"/>
    <w:lsdException w:qFormat="1" w:unhideWhenUsed="0" w:uiPriority="1" w:semiHidden="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nhideWhenUsed="0" w:uiPriority="99" w:semiHidden="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unhideWhenUsed="0" w:uiPriority="22" w:semiHidden="0" w:name="Strong"/>
    <w:lsdException w:unhideWhenUsed="0" w:uiPriority="20" w:semiHidden="0" w:name="Emphasis"/>
    <w:lsdException w:uiPriority="0" w:name="Document Map"/>
    <w:lsdException w:unhideWhenUsed="0" w:uiPriority="99" w:semiHidden="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99" w:name="annotation subject"/>
    <w:lsdException w:qFormat="1" w:uiPriority="0" w:name="Table Simple 1"/>
    <w:lsdException w:qFormat="1" w:uiPriority="99" w:name="Table Simple 2"/>
    <w:lsdException w:qFormat="1" w:uiPriority="99" w:name="Table Simple 3"/>
    <w:lsdException w:qFormat="1" w:uiPriority="0" w:name="Table Classic 1"/>
    <w:lsdException w:qFormat="1" w:uiPriority="99" w:name="Table Classic 2"/>
    <w:lsdException w:qFormat="1" w:uiPriority="99" w:name="Table Classic 3"/>
    <w:lsdException w:qFormat="1" w:uiPriority="99" w:name="Table Classic 4"/>
    <w:lsdException w:qFormat="1" w:uiPriority="99" w:name="Table Colorful 1"/>
    <w:lsdException w:qFormat="1" w:uiPriority="99" w:name="Table Colorful 2"/>
    <w:lsdException w:qFormat="1" w:uiPriority="99" w:name="Table Colorful 3"/>
    <w:lsdException w:qFormat="1" w:uiPriority="99" w:name="Table Columns 1"/>
    <w:lsdException w:qFormat="1" w:uiPriority="99" w:name="Table Columns 2"/>
    <w:lsdException w:qFormat="1" w:uiPriority="99" w:name="Table Columns 3"/>
    <w:lsdException w:qFormat="1" w:uiPriority="99" w:name="Table Columns 4"/>
    <w:lsdException w:qFormat="1" w:uiPriority="99" w:name="Table Columns 5"/>
    <w:lsdException w:qFormat="1" w:uiPriority="0" w:name="Table Grid 1"/>
    <w:lsdException w:qFormat="1" w:uiPriority="0" w:name="Table Grid 2"/>
    <w:lsdException w:qFormat="1" w:uiPriority="99" w:name="Table Grid 3"/>
    <w:lsdException w:qFormat="1" w:uiPriority="99" w:name="Table Grid 4"/>
    <w:lsdException w:qFormat="1" w:uiPriority="0" w:name="Table Grid 5"/>
    <w:lsdException w:qFormat="1" w:uiPriority="99" w:name="Table Grid 6"/>
    <w:lsdException w:qFormat="1" w:uiPriority="99" w:name="Table Grid 7"/>
    <w:lsdException w:qFormat="1" w:uiPriority="99" w:name="Table Grid 8"/>
    <w:lsdException w:qFormat="1" w:uiPriority="99" w:name="Table List 1"/>
    <w:lsdException w:qFormat="1" w:uiPriority="99" w:name="Table List 2"/>
    <w:lsdException w:qFormat="1" w:uiPriority="99" w:name="Table List 3"/>
    <w:lsdException w:qFormat="1" w:uiPriority="99" w:name="Table List 4"/>
    <w:lsdException w:qFormat="1" w:uiPriority="99" w:name="Table List 5"/>
    <w:lsdException w:qFormat="1" w:uiPriority="99" w:name="Table List 6"/>
    <w:lsdException w:qFormat="1" w:uiPriority="99" w:name="Table List 7"/>
    <w:lsdException w:qFormat="1" w:uiPriority="99" w:name="Table List 8"/>
    <w:lsdException w:qFormat="1" w:uiPriority="99" w:name="Table 3D effects 1"/>
    <w:lsdException w:qFormat="1" w:uiPriority="99" w:name="Table 3D effects 2"/>
    <w:lsdException w:qFormat="1" w:uiPriority="99" w:name="Table 3D effects 3"/>
    <w:lsdException w:qFormat="1" w:uiPriority="99" w:name="Table Contemporary"/>
    <w:lsdException w:qFormat="1" w:uiPriority="0" w:name="Table Elegant"/>
    <w:lsdException w:qFormat="1" w:uiPriority="99" w:name="Table Professional"/>
    <w:lsdException w:qFormat="1" w:uiPriority="99" w:name="Table Subtle 1"/>
    <w:lsdException w:qFormat="1" w:uiPriority="99" w:name="Table Subtle 2"/>
    <w:lsdException w:qFormat="1" w:uiPriority="99" w:name="Table Web 1"/>
    <w:lsdException w:qFormat="1" w:uiPriority="99" w:name="Table Web 2"/>
    <w:lsdException w:qFormat="1" w:uiPriority="99" w:name="Table Web 3"/>
    <w:lsdException w:qFormat="1" w:uiPriority="99" w:semiHidden="0" w:name="Balloon Text"/>
    <w:lsdException w:qFormat="1" w:unhideWhenUsed="0" w:uiPriority="39" w:semiHidden="0" w:name="Table Grid"/>
    <w:lsdException w:qFormat="1"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41"/>
    <w:qFormat/>
    <w:uiPriority w:val="9"/>
    <w:pPr>
      <w:keepNext/>
      <w:keepLines/>
      <w:numPr>
        <w:ilvl w:val="0"/>
        <w:numId w:val="1"/>
      </w:numPr>
      <w:ind w:firstLineChars="0"/>
      <w:outlineLvl w:val="0"/>
    </w:pPr>
    <w:rPr>
      <w:rFonts w:eastAsia="黑体" w:asciiTheme="minorHAnsi" w:hAnsiTheme="minorHAnsi"/>
      <w:b/>
      <w:bCs/>
      <w:kern w:val="44"/>
      <w:sz w:val="32"/>
      <w:szCs w:val="44"/>
    </w:rPr>
  </w:style>
  <w:style w:type="paragraph" w:styleId="3">
    <w:name w:val="heading 2"/>
    <w:basedOn w:val="1"/>
    <w:next w:val="1"/>
    <w:link w:val="42"/>
    <w:unhideWhenUsed/>
    <w:qFormat/>
    <w:uiPriority w:val="9"/>
    <w:pPr>
      <w:keepNext/>
      <w:keepLines/>
      <w:numPr>
        <w:ilvl w:val="1"/>
        <w:numId w:val="1"/>
      </w:numPr>
      <w:ind w:firstLineChars="0"/>
      <w:outlineLvl w:val="1"/>
    </w:pPr>
    <w:rPr>
      <w:rFonts w:eastAsia="黑体" w:cstheme="majorBidi"/>
      <w:b/>
      <w:bCs/>
      <w:sz w:val="30"/>
      <w:szCs w:val="32"/>
    </w:rPr>
  </w:style>
  <w:style w:type="paragraph" w:styleId="4">
    <w:name w:val="heading 3"/>
    <w:basedOn w:val="1"/>
    <w:next w:val="1"/>
    <w:link w:val="43"/>
    <w:unhideWhenUsed/>
    <w:qFormat/>
    <w:uiPriority w:val="9"/>
    <w:pPr>
      <w:keepNext/>
      <w:keepLines/>
      <w:numPr>
        <w:ilvl w:val="2"/>
        <w:numId w:val="1"/>
      </w:numPr>
      <w:ind w:firstLineChars="0"/>
      <w:outlineLvl w:val="2"/>
    </w:pPr>
    <w:rPr>
      <w:rFonts w:eastAsia="黑体"/>
      <w:b/>
      <w:bCs/>
      <w:sz w:val="28"/>
      <w:szCs w:val="32"/>
    </w:rPr>
  </w:style>
  <w:style w:type="paragraph" w:styleId="5">
    <w:name w:val="heading 4"/>
    <w:basedOn w:val="1"/>
    <w:next w:val="1"/>
    <w:link w:val="44"/>
    <w:unhideWhenUsed/>
    <w:qFormat/>
    <w:uiPriority w:val="9"/>
    <w:pPr>
      <w:keepNext/>
      <w:keepLines/>
      <w:numPr>
        <w:ilvl w:val="3"/>
        <w:numId w:val="1"/>
      </w:numPr>
      <w:ind w:left="0" w:firstLineChars="0"/>
      <w:outlineLvl w:val="3"/>
    </w:pPr>
    <w:rPr>
      <w:rFonts w:eastAsia="黑体" w:cstheme="majorBidi"/>
      <w:b/>
      <w:bCs/>
      <w:szCs w:val="28"/>
    </w:rPr>
  </w:style>
  <w:style w:type="paragraph" w:styleId="6">
    <w:name w:val="heading 5"/>
    <w:basedOn w:val="1"/>
    <w:next w:val="1"/>
    <w:link w:val="46"/>
    <w:unhideWhenUsed/>
    <w:qFormat/>
    <w:uiPriority w:val="9"/>
    <w:pPr>
      <w:keepNext/>
      <w:keepLines/>
      <w:spacing w:before="280" w:after="290" w:line="376" w:lineRule="auto"/>
      <w:ind w:firstLine="0" w:firstLineChars="0"/>
      <w:outlineLvl w:val="4"/>
    </w:pPr>
    <w:rPr>
      <w:rFonts w:asciiTheme="minorHAnsi" w:hAnsiTheme="minorHAnsi" w:eastAsiaTheme="minorEastAsia"/>
      <w:b/>
      <w:bCs/>
      <w:sz w:val="28"/>
      <w:szCs w:val="28"/>
    </w:rPr>
  </w:style>
  <w:style w:type="paragraph" w:styleId="7">
    <w:name w:val="heading 6"/>
    <w:basedOn w:val="1"/>
    <w:next w:val="1"/>
    <w:link w:val="45"/>
    <w:unhideWhenUsed/>
    <w:qFormat/>
    <w:uiPriority w:val="9"/>
    <w:pPr>
      <w:keepNext/>
      <w:keepLines/>
      <w:numPr>
        <w:ilvl w:val="5"/>
        <w:numId w:val="2"/>
      </w:numPr>
      <w:ind w:firstLineChars="0"/>
      <w:jc w:val="center"/>
      <w:outlineLvl w:val="5"/>
    </w:pPr>
    <w:rPr>
      <w:rFonts w:cstheme="majorBidi"/>
      <w:b/>
      <w:bCs/>
      <w:sz w:val="21"/>
      <w:szCs w:val="24"/>
    </w:rPr>
  </w:style>
  <w:style w:type="paragraph" w:styleId="8">
    <w:name w:val="heading 7"/>
    <w:basedOn w:val="1"/>
    <w:next w:val="1"/>
    <w:link w:val="47"/>
    <w:unhideWhenUsed/>
    <w:qFormat/>
    <w:uiPriority w:val="9"/>
    <w:pPr>
      <w:keepNext/>
      <w:keepLines/>
      <w:numPr>
        <w:ilvl w:val="6"/>
        <w:numId w:val="1"/>
      </w:numPr>
      <w:ind w:firstLineChars="0"/>
      <w:jc w:val="center"/>
      <w:outlineLvl w:val="6"/>
    </w:pPr>
    <w:rPr>
      <w:rFonts w:eastAsiaTheme="minorEastAsia"/>
      <w:b/>
      <w:bCs/>
      <w:sz w:val="21"/>
      <w:szCs w:val="24"/>
    </w:rPr>
  </w:style>
  <w:style w:type="paragraph" w:styleId="9">
    <w:name w:val="heading 8"/>
    <w:basedOn w:val="1"/>
    <w:next w:val="1"/>
    <w:link w:val="48"/>
    <w:unhideWhenUsed/>
    <w:qFormat/>
    <w:uiPriority w:val="99"/>
    <w:pPr>
      <w:keepNext/>
      <w:keepLines/>
      <w:spacing w:before="240" w:after="64" w:line="320" w:lineRule="auto"/>
      <w:ind w:firstLine="0" w:firstLineChars="0"/>
      <w:outlineLvl w:val="7"/>
    </w:pPr>
    <w:rPr>
      <w:rFonts w:asciiTheme="majorHAnsi" w:hAnsiTheme="majorHAnsi" w:eastAsiaTheme="majorEastAsia" w:cstheme="majorBidi"/>
      <w:szCs w:val="24"/>
    </w:rPr>
  </w:style>
  <w:style w:type="paragraph" w:styleId="10">
    <w:name w:val="heading 9"/>
    <w:basedOn w:val="1"/>
    <w:next w:val="1"/>
    <w:link w:val="50"/>
    <w:qFormat/>
    <w:uiPriority w:val="99"/>
    <w:pPr>
      <w:keepNext/>
      <w:keepLines/>
      <w:widowControl/>
      <w:tabs>
        <w:tab w:val="left" w:pos="1559"/>
      </w:tabs>
      <w:spacing w:before="240" w:after="64" w:line="320" w:lineRule="auto"/>
      <w:ind w:left="1559" w:hanging="1559" w:firstLineChars="0"/>
      <w:jc w:val="left"/>
      <w:outlineLvl w:val="8"/>
    </w:pPr>
    <w:rPr>
      <w:rFonts w:ascii="Arial" w:hAnsi="Arial" w:eastAsia="黑体" w:cs="宋体"/>
      <w:kern w:val="0"/>
      <w:szCs w:val="24"/>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spacing w:after="160" w:line="278" w:lineRule="auto"/>
      <w:ind w:left="2520" w:leftChars="1200" w:firstLine="0" w:firstLineChars="0"/>
      <w:jc w:val="left"/>
    </w:pPr>
    <w:rPr>
      <w:rFonts w:asciiTheme="minorHAnsi" w:hAnsiTheme="minorHAnsi" w:eastAsiaTheme="minorEastAsia"/>
      <w:sz w:val="22"/>
      <w:szCs w:val="24"/>
      <w14:ligatures w14:val="standardContextual"/>
    </w:rPr>
  </w:style>
  <w:style w:type="paragraph" w:styleId="12">
    <w:name w:val="annotation text"/>
    <w:basedOn w:val="1"/>
    <w:link w:val="34"/>
    <w:unhideWhenUsed/>
    <w:qFormat/>
    <w:uiPriority w:val="0"/>
    <w:pPr>
      <w:jc w:val="left"/>
    </w:pPr>
  </w:style>
  <w:style w:type="paragraph" w:styleId="13">
    <w:name w:val="Body Text"/>
    <w:basedOn w:val="1"/>
    <w:link w:val="58"/>
    <w:qFormat/>
    <w:uiPriority w:val="1"/>
    <w:pPr>
      <w:autoSpaceDE w:val="0"/>
      <w:autoSpaceDN w:val="0"/>
      <w:spacing w:line="240" w:lineRule="auto"/>
      <w:ind w:firstLine="0" w:firstLineChars="0"/>
      <w:jc w:val="left"/>
    </w:pPr>
    <w:rPr>
      <w:rFonts w:ascii="宋体" w:hAnsi="宋体" w:cs="宋体"/>
      <w:kern w:val="0"/>
      <w:szCs w:val="24"/>
    </w:rPr>
  </w:style>
  <w:style w:type="paragraph" w:styleId="14">
    <w:name w:val="toc 5"/>
    <w:basedOn w:val="1"/>
    <w:next w:val="1"/>
    <w:autoRedefine/>
    <w:unhideWhenUsed/>
    <w:qFormat/>
    <w:uiPriority w:val="39"/>
    <w:pPr>
      <w:spacing w:after="160" w:line="278" w:lineRule="auto"/>
      <w:ind w:left="1680" w:leftChars="800" w:firstLine="0" w:firstLineChars="0"/>
      <w:jc w:val="left"/>
    </w:pPr>
    <w:rPr>
      <w:rFonts w:asciiTheme="minorHAnsi" w:hAnsiTheme="minorHAnsi" w:eastAsiaTheme="minorEastAsia"/>
      <w:sz w:val="22"/>
      <w:szCs w:val="24"/>
      <w14:ligatures w14:val="standardContextual"/>
    </w:rPr>
  </w:style>
  <w:style w:type="paragraph" w:styleId="15">
    <w:name w:val="toc 3"/>
    <w:basedOn w:val="1"/>
    <w:next w:val="1"/>
    <w:autoRedefine/>
    <w:unhideWhenUsed/>
    <w:qFormat/>
    <w:uiPriority w:val="39"/>
    <w:pPr>
      <w:ind w:left="840" w:leftChars="400"/>
    </w:pPr>
  </w:style>
  <w:style w:type="paragraph" w:styleId="16">
    <w:name w:val="toc 8"/>
    <w:basedOn w:val="1"/>
    <w:next w:val="1"/>
    <w:autoRedefine/>
    <w:unhideWhenUsed/>
    <w:qFormat/>
    <w:uiPriority w:val="39"/>
    <w:pPr>
      <w:spacing w:after="160" w:line="278" w:lineRule="auto"/>
      <w:ind w:left="2940" w:leftChars="1400" w:firstLine="0" w:firstLineChars="0"/>
      <w:jc w:val="left"/>
    </w:pPr>
    <w:rPr>
      <w:rFonts w:asciiTheme="minorHAnsi" w:hAnsiTheme="minorHAnsi" w:eastAsiaTheme="minorEastAsia"/>
      <w:sz w:val="22"/>
      <w:szCs w:val="24"/>
      <w14:ligatures w14:val="standardContextual"/>
    </w:rPr>
  </w:style>
  <w:style w:type="paragraph" w:styleId="17">
    <w:name w:val="Balloon Text"/>
    <w:basedOn w:val="1"/>
    <w:link w:val="37"/>
    <w:unhideWhenUsed/>
    <w:qFormat/>
    <w:uiPriority w:val="99"/>
    <w:pPr>
      <w:spacing w:line="240" w:lineRule="auto"/>
      <w:ind w:firstLine="0" w:firstLineChars="0"/>
    </w:pPr>
    <w:rPr>
      <w:rFonts w:asciiTheme="minorHAnsi" w:hAnsiTheme="minorHAnsi" w:eastAsiaTheme="minorEastAsia"/>
      <w:sz w:val="18"/>
      <w:szCs w:val="18"/>
    </w:rPr>
  </w:style>
  <w:style w:type="paragraph" w:styleId="18">
    <w:name w:val="footer"/>
    <w:basedOn w:val="1"/>
    <w:link w:val="56"/>
    <w:qFormat/>
    <w:uiPriority w:val="99"/>
    <w:pPr>
      <w:tabs>
        <w:tab w:val="center" w:pos="4153"/>
        <w:tab w:val="right" w:pos="8306"/>
      </w:tabs>
      <w:snapToGrid w:val="0"/>
      <w:spacing w:line="240" w:lineRule="auto"/>
      <w:jc w:val="left"/>
    </w:pPr>
    <w:rPr>
      <w:sz w:val="18"/>
      <w:szCs w:val="18"/>
    </w:rPr>
  </w:style>
  <w:style w:type="paragraph" w:styleId="19">
    <w:name w:val="header"/>
    <w:basedOn w:val="1"/>
    <w:link w:val="55"/>
    <w:unhideWhenUsed/>
    <w:qFormat/>
    <w:uiPriority w:val="99"/>
    <w:pPr>
      <w:tabs>
        <w:tab w:val="center" w:pos="4153"/>
        <w:tab w:val="right" w:pos="8306"/>
      </w:tabs>
      <w:snapToGrid w:val="0"/>
      <w:spacing w:line="240" w:lineRule="auto"/>
      <w:jc w:val="center"/>
    </w:pPr>
    <w:rPr>
      <w:sz w:val="18"/>
      <w:szCs w:val="18"/>
    </w:rPr>
  </w:style>
  <w:style w:type="paragraph" w:styleId="20">
    <w:name w:val="toc 1"/>
    <w:basedOn w:val="1"/>
    <w:next w:val="1"/>
    <w:autoRedefine/>
    <w:qFormat/>
    <w:uiPriority w:val="39"/>
  </w:style>
  <w:style w:type="paragraph" w:styleId="21">
    <w:name w:val="toc 4"/>
    <w:basedOn w:val="1"/>
    <w:next w:val="1"/>
    <w:autoRedefine/>
    <w:unhideWhenUsed/>
    <w:qFormat/>
    <w:uiPriority w:val="39"/>
    <w:pPr>
      <w:spacing w:after="160" w:line="278" w:lineRule="auto"/>
      <w:ind w:left="1260" w:leftChars="600" w:firstLine="0" w:firstLineChars="0"/>
      <w:jc w:val="left"/>
    </w:pPr>
    <w:rPr>
      <w:rFonts w:asciiTheme="minorHAnsi" w:hAnsiTheme="minorHAnsi" w:eastAsiaTheme="minorEastAsia"/>
      <w:sz w:val="22"/>
      <w:szCs w:val="24"/>
      <w14:ligatures w14:val="standardContextual"/>
    </w:rPr>
  </w:style>
  <w:style w:type="paragraph" w:styleId="22">
    <w:name w:val="toc 6"/>
    <w:basedOn w:val="1"/>
    <w:next w:val="1"/>
    <w:autoRedefine/>
    <w:unhideWhenUsed/>
    <w:qFormat/>
    <w:uiPriority w:val="39"/>
    <w:pPr>
      <w:spacing w:after="160" w:line="278" w:lineRule="auto"/>
      <w:ind w:left="2100" w:leftChars="1000" w:firstLine="0" w:firstLineChars="0"/>
      <w:jc w:val="left"/>
    </w:pPr>
    <w:rPr>
      <w:rFonts w:asciiTheme="minorHAnsi" w:hAnsiTheme="minorHAnsi" w:eastAsiaTheme="minorEastAsia"/>
      <w:sz w:val="22"/>
      <w:szCs w:val="24"/>
      <w14:ligatures w14:val="standardContextual"/>
    </w:rPr>
  </w:style>
  <w:style w:type="paragraph" w:styleId="23">
    <w:name w:val="toc 2"/>
    <w:basedOn w:val="1"/>
    <w:next w:val="1"/>
    <w:autoRedefine/>
    <w:qFormat/>
    <w:uiPriority w:val="39"/>
    <w:pPr>
      <w:ind w:left="420" w:leftChars="200"/>
    </w:pPr>
  </w:style>
  <w:style w:type="paragraph" w:styleId="24">
    <w:name w:val="toc 9"/>
    <w:basedOn w:val="1"/>
    <w:next w:val="1"/>
    <w:autoRedefine/>
    <w:unhideWhenUsed/>
    <w:qFormat/>
    <w:uiPriority w:val="39"/>
    <w:pPr>
      <w:spacing w:after="160" w:line="278" w:lineRule="auto"/>
      <w:ind w:left="3360" w:leftChars="1600" w:firstLine="0" w:firstLineChars="0"/>
      <w:jc w:val="left"/>
    </w:pPr>
    <w:rPr>
      <w:rFonts w:asciiTheme="minorHAnsi" w:hAnsiTheme="minorHAnsi" w:eastAsiaTheme="minorEastAsia"/>
      <w:sz w:val="22"/>
      <w:szCs w:val="24"/>
      <w14:ligatures w14:val="standardContextual"/>
    </w:rPr>
  </w:style>
  <w:style w:type="paragraph" w:styleId="25">
    <w:name w:val="annotation subject"/>
    <w:basedOn w:val="12"/>
    <w:next w:val="12"/>
    <w:link w:val="63"/>
    <w:semiHidden/>
    <w:unhideWhenUsed/>
    <w:qFormat/>
    <w:uiPriority w:val="99"/>
    <w:rPr>
      <w:b/>
      <w:bCs/>
    </w:rPr>
  </w:style>
  <w:style w:type="table" w:styleId="27">
    <w:name w:val="Table Grid"/>
    <w:basedOn w:val="26"/>
    <w:qFormat/>
    <w:uiPriority w:val="3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Hyperlink"/>
    <w:basedOn w:val="28"/>
    <w:unhideWhenUsed/>
    <w:qFormat/>
    <w:uiPriority w:val="99"/>
    <w:rPr>
      <w:color w:val="0000FF" w:themeColor="hyperlink"/>
      <w:u w:val="single"/>
      <w14:textFill>
        <w14:solidFill>
          <w14:schemeClr w14:val="hlink"/>
        </w14:solidFill>
      </w14:textFill>
    </w:rPr>
  </w:style>
  <w:style w:type="character" w:styleId="30">
    <w:name w:val="annotation reference"/>
    <w:basedOn w:val="28"/>
    <w:unhideWhenUsed/>
    <w:qFormat/>
    <w:uiPriority w:val="99"/>
    <w:rPr>
      <w:sz w:val="21"/>
      <w:szCs w:val="21"/>
    </w:rPr>
  </w:style>
  <w:style w:type="paragraph" w:styleId="31">
    <w:name w:val="List Paragraph"/>
    <w:basedOn w:val="1"/>
    <w:unhideWhenUsed/>
    <w:qFormat/>
    <w:uiPriority w:val="34"/>
    <w:pPr>
      <w:ind w:firstLine="420"/>
    </w:pPr>
  </w:style>
  <w:style w:type="character" w:customStyle="1" w:styleId="32">
    <w:name w:val="表格内容格式 Char"/>
    <w:link w:val="33"/>
    <w:qFormat/>
    <w:uiPriority w:val="0"/>
    <w:rPr>
      <w:rFonts w:ascii="Times New Roman" w:hAnsi="Times New Roman" w:eastAsia="宋体"/>
      <w:sz w:val="21"/>
      <w:szCs w:val="24"/>
    </w:rPr>
  </w:style>
  <w:style w:type="paragraph" w:customStyle="1" w:styleId="33">
    <w:name w:val="表格内容格式"/>
    <w:basedOn w:val="1"/>
    <w:link w:val="32"/>
    <w:qFormat/>
    <w:uiPriority w:val="0"/>
    <w:pPr>
      <w:topLinePunct/>
      <w:adjustRightInd w:val="0"/>
      <w:spacing w:line="240" w:lineRule="auto"/>
      <w:ind w:firstLine="0" w:firstLineChars="0"/>
      <w:jc w:val="center"/>
    </w:pPr>
    <w:rPr>
      <w:kern w:val="0"/>
      <w:sz w:val="21"/>
      <w:szCs w:val="24"/>
    </w:rPr>
  </w:style>
  <w:style w:type="character" w:customStyle="1" w:styleId="34">
    <w:name w:val="批注文字 字符"/>
    <w:basedOn w:val="28"/>
    <w:link w:val="12"/>
    <w:qFormat/>
    <w:uiPriority w:val="0"/>
    <w:rPr>
      <w:rFonts w:ascii="Times New Roman" w:hAnsi="Times New Roman" w:eastAsia="宋体"/>
      <w:kern w:val="2"/>
      <w:sz w:val="24"/>
      <w:szCs w:val="22"/>
    </w:rPr>
  </w:style>
  <w:style w:type="paragraph" w:customStyle="1" w:styleId="35">
    <w:name w:val="报告正文"/>
    <w:basedOn w:val="1"/>
    <w:link w:val="36"/>
    <w:qFormat/>
    <w:uiPriority w:val="0"/>
    <w:pPr>
      <w:widowControl/>
      <w:tabs>
        <w:tab w:val="left" w:pos="0"/>
      </w:tabs>
    </w:pPr>
    <w:rPr>
      <w:rFonts w:cs="宋体"/>
      <w:color w:val="000000"/>
      <w:kern w:val="0"/>
      <w:szCs w:val="20"/>
    </w:rPr>
  </w:style>
  <w:style w:type="character" w:customStyle="1" w:styleId="36">
    <w:name w:val="报告正文 Char Char"/>
    <w:link w:val="35"/>
    <w:qFormat/>
    <w:uiPriority w:val="0"/>
    <w:rPr>
      <w:rFonts w:ascii="Times New Roman" w:hAnsi="Times New Roman" w:eastAsia="宋体" w:cs="宋体"/>
      <w:color w:val="000000"/>
      <w:sz w:val="24"/>
    </w:rPr>
  </w:style>
  <w:style w:type="character" w:customStyle="1" w:styleId="37">
    <w:name w:val="批注框文本 字符"/>
    <w:basedOn w:val="28"/>
    <w:link w:val="17"/>
    <w:qFormat/>
    <w:uiPriority w:val="99"/>
    <w:rPr>
      <w:kern w:val="2"/>
      <w:sz w:val="18"/>
      <w:szCs w:val="18"/>
    </w:rPr>
  </w:style>
  <w:style w:type="paragraph" w:customStyle="1" w:styleId="38">
    <w:name w:val="TOC Heading"/>
    <w:basedOn w:val="2"/>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376092" w:themeColor="accent1" w:themeShade="BF"/>
      <w:kern w:val="0"/>
      <w:szCs w:val="32"/>
    </w:rPr>
  </w:style>
  <w:style w:type="paragraph" w:customStyle="1" w:styleId="39">
    <w:name w:val="修订1"/>
    <w:hidden/>
    <w:qFormat/>
    <w:uiPriority w:val="99"/>
    <w:rPr>
      <w:rFonts w:asciiTheme="minorHAnsi" w:hAnsiTheme="minorHAnsi" w:eastAsiaTheme="minorEastAsia" w:cstheme="minorBidi"/>
      <w:kern w:val="2"/>
      <w:sz w:val="21"/>
      <w:szCs w:val="22"/>
      <w:lang w:val="en-US" w:eastAsia="zh-CN" w:bidi="ar-SA"/>
    </w:rPr>
  </w:style>
  <w:style w:type="character" w:customStyle="1" w:styleId="40">
    <w:name w:val="font31"/>
    <w:basedOn w:val="28"/>
    <w:qFormat/>
    <w:uiPriority w:val="0"/>
    <w:rPr>
      <w:rFonts w:hint="eastAsia" w:ascii="宋体" w:hAnsi="宋体" w:eastAsia="宋体"/>
      <w:color w:val="000000"/>
      <w:sz w:val="18"/>
      <w:szCs w:val="18"/>
      <w:u w:val="none"/>
    </w:rPr>
  </w:style>
  <w:style w:type="character" w:customStyle="1" w:styleId="41">
    <w:name w:val="标题 1 字符"/>
    <w:basedOn w:val="28"/>
    <w:link w:val="2"/>
    <w:qFormat/>
    <w:uiPriority w:val="9"/>
    <w:rPr>
      <w:rFonts w:eastAsia="黑体"/>
      <w:b/>
      <w:bCs/>
      <w:kern w:val="44"/>
      <w:sz w:val="32"/>
      <w:szCs w:val="44"/>
    </w:rPr>
  </w:style>
  <w:style w:type="character" w:customStyle="1" w:styleId="42">
    <w:name w:val="标题 2 字符"/>
    <w:basedOn w:val="28"/>
    <w:link w:val="3"/>
    <w:qFormat/>
    <w:uiPriority w:val="0"/>
    <w:rPr>
      <w:rFonts w:ascii="Times New Roman" w:hAnsi="Times New Roman" w:eastAsia="黑体" w:cstheme="majorBidi"/>
      <w:b/>
      <w:bCs/>
      <w:kern w:val="2"/>
      <w:sz w:val="30"/>
      <w:szCs w:val="32"/>
    </w:rPr>
  </w:style>
  <w:style w:type="character" w:customStyle="1" w:styleId="43">
    <w:name w:val="标题 3 字符"/>
    <w:basedOn w:val="28"/>
    <w:link w:val="4"/>
    <w:qFormat/>
    <w:uiPriority w:val="9"/>
    <w:rPr>
      <w:rFonts w:ascii="Times New Roman" w:hAnsi="Times New Roman" w:eastAsia="黑体"/>
      <w:b/>
      <w:bCs/>
      <w:kern w:val="2"/>
      <w:sz w:val="28"/>
      <w:szCs w:val="32"/>
    </w:rPr>
  </w:style>
  <w:style w:type="character" w:customStyle="1" w:styleId="44">
    <w:name w:val="标题 4 字符"/>
    <w:basedOn w:val="28"/>
    <w:link w:val="5"/>
    <w:qFormat/>
    <w:uiPriority w:val="9"/>
    <w:rPr>
      <w:rFonts w:ascii="Times New Roman" w:hAnsi="Times New Roman" w:eastAsia="黑体" w:cstheme="majorBidi"/>
      <w:b/>
      <w:bCs/>
      <w:kern w:val="2"/>
      <w:sz w:val="24"/>
      <w:szCs w:val="28"/>
    </w:rPr>
  </w:style>
  <w:style w:type="character" w:customStyle="1" w:styleId="45">
    <w:name w:val="标题 6 字符"/>
    <w:basedOn w:val="28"/>
    <w:link w:val="7"/>
    <w:qFormat/>
    <w:uiPriority w:val="9"/>
    <w:rPr>
      <w:rFonts w:ascii="Times New Roman" w:hAnsi="Times New Roman" w:eastAsia="宋体" w:cstheme="majorBidi"/>
      <w:b/>
      <w:bCs/>
      <w:kern w:val="2"/>
      <w:sz w:val="21"/>
      <w:szCs w:val="24"/>
    </w:rPr>
  </w:style>
  <w:style w:type="character" w:customStyle="1" w:styleId="46">
    <w:name w:val="标题 5 字符"/>
    <w:basedOn w:val="28"/>
    <w:link w:val="6"/>
    <w:qFormat/>
    <w:uiPriority w:val="9"/>
    <w:rPr>
      <w:b/>
      <w:bCs/>
      <w:sz w:val="28"/>
      <w:szCs w:val="28"/>
    </w:rPr>
  </w:style>
  <w:style w:type="character" w:customStyle="1" w:styleId="47">
    <w:name w:val="标题 7 字符"/>
    <w:basedOn w:val="28"/>
    <w:link w:val="8"/>
    <w:qFormat/>
    <w:uiPriority w:val="9"/>
    <w:rPr>
      <w:rFonts w:ascii="Times New Roman" w:hAnsi="Times New Roman"/>
      <w:b/>
      <w:bCs/>
      <w:kern w:val="2"/>
      <w:sz w:val="21"/>
      <w:szCs w:val="24"/>
    </w:rPr>
  </w:style>
  <w:style w:type="character" w:customStyle="1" w:styleId="48">
    <w:name w:val="标题 8 字符"/>
    <w:basedOn w:val="28"/>
    <w:link w:val="9"/>
    <w:qFormat/>
    <w:uiPriority w:val="9"/>
    <w:rPr>
      <w:rFonts w:asciiTheme="majorHAnsi" w:hAnsiTheme="majorHAnsi" w:eastAsiaTheme="majorEastAsia" w:cstheme="majorBidi"/>
      <w:sz w:val="24"/>
      <w:szCs w:val="24"/>
    </w:rPr>
  </w:style>
  <w:style w:type="character" w:customStyle="1" w:styleId="49">
    <w:name w:val="font41"/>
    <w:basedOn w:val="28"/>
    <w:qFormat/>
    <w:uiPriority w:val="0"/>
    <w:rPr>
      <w:rFonts w:hint="eastAsia" w:ascii="宋体" w:hAnsi="宋体" w:eastAsia="宋体"/>
      <w:color w:val="000000"/>
      <w:sz w:val="18"/>
      <w:szCs w:val="18"/>
      <w:u w:val="none"/>
    </w:rPr>
  </w:style>
  <w:style w:type="character" w:customStyle="1" w:styleId="50">
    <w:name w:val="标题 9 字符"/>
    <w:basedOn w:val="28"/>
    <w:link w:val="10"/>
    <w:qFormat/>
    <w:uiPriority w:val="0"/>
    <w:rPr>
      <w:rFonts w:ascii="Arial" w:hAnsi="Arial" w:eastAsia="黑体" w:cs="宋体"/>
      <w:sz w:val="24"/>
      <w:szCs w:val="24"/>
    </w:rPr>
  </w:style>
  <w:style w:type="character" w:customStyle="1" w:styleId="51">
    <w:name w:val="Z表格内容格式 字符"/>
    <w:link w:val="52"/>
    <w:qFormat/>
    <w:uiPriority w:val="0"/>
    <w:rPr>
      <w:rFonts w:ascii="Times New Roman" w:hAnsi="Times New Roman" w:eastAsia="宋体"/>
      <w:kern w:val="2"/>
      <w:sz w:val="21"/>
      <w:szCs w:val="24"/>
    </w:rPr>
  </w:style>
  <w:style w:type="paragraph" w:customStyle="1" w:styleId="52">
    <w:name w:val="Z表格内容格式"/>
    <w:basedOn w:val="1"/>
    <w:link w:val="51"/>
    <w:qFormat/>
    <w:uiPriority w:val="0"/>
    <w:pPr>
      <w:topLinePunct/>
      <w:adjustRightInd w:val="0"/>
      <w:spacing w:line="240" w:lineRule="auto"/>
      <w:ind w:firstLine="0" w:firstLineChars="0"/>
      <w:jc w:val="center"/>
    </w:pPr>
    <w:rPr>
      <w:sz w:val="21"/>
      <w:szCs w:val="24"/>
    </w:rPr>
  </w:style>
  <w:style w:type="character" w:customStyle="1" w:styleId="53">
    <w:name w:val="表格内容 Char"/>
    <w:link w:val="54"/>
    <w:qFormat/>
    <w:uiPriority w:val="0"/>
    <w:rPr>
      <w:rFonts w:ascii="宋体" w:eastAsia="宋体"/>
      <w:sz w:val="24"/>
    </w:rPr>
  </w:style>
  <w:style w:type="paragraph" w:customStyle="1" w:styleId="54">
    <w:name w:val="表格内容"/>
    <w:basedOn w:val="1"/>
    <w:link w:val="53"/>
    <w:qFormat/>
    <w:uiPriority w:val="0"/>
    <w:pPr>
      <w:tabs>
        <w:tab w:val="left" w:pos="-280"/>
        <w:tab w:val="left" w:pos="4480"/>
      </w:tabs>
      <w:spacing w:line="300" w:lineRule="auto"/>
      <w:ind w:firstLine="0" w:firstLineChars="0"/>
      <w:outlineLvl w:val="7"/>
    </w:pPr>
    <w:rPr>
      <w:rFonts w:ascii="宋体" w:hAnsiTheme="minorHAnsi"/>
      <w:kern w:val="0"/>
      <w:szCs w:val="20"/>
    </w:rPr>
  </w:style>
  <w:style w:type="character" w:customStyle="1" w:styleId="55">
    <w:name w:val="页眉 字符"/>
    <w:basedOn w:val="28"/>
    <w:link w:val="19"/>
    <w:qFormat/>
    <w:uiPriority w:val="99"/>
    <w:rPr>
      <w:rFonts w:ascii="Times New Roman" w:hAnsi="Times New Roman" w:eastAsia="宋体"/>
      <w:kern w:val="2"/>
      <w:sz w:val="18"/>
      <w:szCs w:val="18"/>
    </w:rPr>
  </w:style>
  <w:style w:type="character" w:customStyle="1" w:styleId="56">
    <w:name w:val="页脚 字符"/>
    <w:basedOn w:val="28"/>
    <w:link w:val="18"/>
    <w:qFormat/>
    <w:uiPriority w:val="99"/>
    <w:rPr>
      <w:rFonts w:ascii="Times New Roman" w:hAnsi="Times New Roman" w:eastAsia="宋体"/>
      <w:kern w:val="2"/>
      <w:sz w:val="18"/>
      <w:szCs w:val="18"/>
    </w:rPr>
  </w:style>
  <w:style w:type="table" w:customStyle="1" w:styleId="57">
    <w:name w:val="Table Normal1"/>
    <w:unhideWhenUsed/>
    <w:qFormat/>
    <w:uiPriority w:val="0"/>
    <w:pPr>
      <w:widowControl w:val="0"/>
    </w:pPr>
    <w:rPr>
      <w:rFonts w:ascii="Calibri" w:hAnsi="Calibri" w:eastAsia="宋体" w:cs="Times New Roman"/>
      <w:sz w:val="22"/>
      <w:szCs w:val="22"/>
      <w:lang w:eastAsia="en-US"/>
    </w:rPr>
    <w:tblPr>
      <w:tblCellMar>
        <w:top w:w="0" w:type="dxa"/>
        <w:left w:w="0" w:type="dxa"/>
        <w:bottom w:w="0" w:type="dxa"/>
        <w:right w:w="0" w:type="dxa"/>
      </w:tblCellMar>
    </w:tblPr>
  </w:style>
  <w:style w:type="character" w:customStyle="1" w:styleId="58">
    <w:name w:val="正文文本 字符"/>
    <w:basedOn w:val="28"/>
    <w:link w:val="13"/>
    <w:qFormat/>
    <w:uiPriority w:val="1"/>
    <w:rPr>
      <w:rFonts w:ascii="宋体" w:hAnsi="宋体" w:eastAsia="宋体" w:cs="宋体"/>
      <w:sz w:val="24"/>
      <w:szCs w:val="24"/>
    </w:rPr>
  </w:style>
  <w:style w:type="paragraph" w:customStyle="1" w:styleId="59">
    <w:name w:val="Table Paragraph"/>
    <w:basedOn w:val="1"/>
    <w:qFormat/>
    <w:uiPriority w:val="1"/>
    <w:pPr>
      <w:autoSpaceDE w:val="0"/>
      <w:autoSpaceDN w:val="0"/>
      <w:spacing w:line="240" w:lineRule="auto"/>
      <w:ind w:firstLine="0" w:firstLineChars="0"/>
      <w:jc w:val="center"/>
    </w:pPr>
    <w:rPr>
      <w:rFonts w:eastAsia="Times New Roman" w:cs="Times New Roman"/>
      <w:kern w:val="0"/>
      <w:sz w:val="22"/>
    </w:rPr>
  </w:style>
  <w:style w:type="paragraph" w:customStyle="1" w:styleId="60">
    <w:name w:val="Revision"/>
    <w:hidden/>
    <w:unhideWhenUsed/>
    <w:qFormat/>
    <w:uiPriority w:val="99"/>
    <w:rPr>
      <w:rFonts w:ascii="Times New Roman" w:hAnsi="Times New Roman" w:eastAsia="宋体" w:cstheme="minorBidi"/>
      <w:kern w:val="2"/>
      <w:sz w:val="24"/>
      <w:szCs w:val="22"/>
      <w:lang w:val="en-US" w:eastAsia="zh-CN" w:bidi="ar-SA"/>
    </w:rPr>
  </w:style>
  <w:style w:type="table" w:customStyle="1" w:styleId="61">
    <w:name w:val="Table Normal2"/>
    <w:semiHidden/>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character" w:customStyle="1" w:styleId="62">
    <w:name w:val="Unresolved Mention"/>
    <w:basedOn w:val="28"/>
    <w:semiHidden/>
    <w:unhideWhenUsed/>
    <w:qFormat/>
    <w:uiPriority w:val="99"/>
    <w:rPr>
      <w:color w:val="605E5C"/>
      <w:shd w:val="clear" w:color="auto" w:fill="E1DFDD"/>
    </w:rPr>
  </w:style>
  <w:style w:type="character" w:customStyle="1" w:styleId="63">
    <w:name w:val="批注主题 字符"/>
    <w:basedOn w:val="34"/>
    <w:link w:val="25"/>
    <w:semiHidden/>
    <w:qFormat/>
    <w:uiPriority w:val="99"/>
    <w:rPr>
      <w:rFonts w:ascii="Times New Roman" w:hAnsi="Times New Roman" w:eastAsia="宋体"/>
      <w:b/>
      <w:bCs/>
      <w:kern w:val="2"/>
      <w:sz w:val="24"/>
      <w:szCs w:val="22"/>
    </w:rPr>
  </w:style>
  <w:style w:type="table" w:customStyle="1" w:styleId="64">
    <w:name w:val="Table Normal"/>
    <w:unhideWhenUsed/>
    <w:qFormat/>
    <w:uiPriority w:val="0"/>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65">
    <w:name w:val="表格格式"/>
    <w:basedOn w:val="1"/>
    <w:link w:val="66"/>
    <w:qFormat/>
    <w:uiPriority w:val="0"/>
    <w:pPr>
      <w:widowControl/>
      <w:spacing w:line="240" w:lineRule="auto"/>
      <w:ind w:firstLine="0" w:firstLineChars="0"/>
      <w:jc w:val="center"/>
    </w:pPr>
    <w:rPr>
      <w:rFonts w:cstheme="majorBidi"/>
      <w:kern w:val="0"/>
      <w:sz w:val="21"/>
      <w:szCs w:val="24"/>
    </w:rPr>
  </w:style>
  <w:style w:type="character" w:customStyle="1" w:styleId="66">
    <w:name w:val="表格格式 Char"/>
    <w:basedOn w:val="28"/>
    <w:link w:val="65"/>
    <w:qFormat/>
    <w:uiPriority w:val="0"/>
    <w:rPr>
      <w:rFonts w:ascii="Times New Roman" w:hAnsi="Times New Roman" w:eastAsia="宋体" w:cstheme="majorBidi"/>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40.emf"/><Relationship Id="rId98" Type="http://schemas.openxmlformats.org/officeDocument/2006/relationships/package" Target="embeddings/Microsoft_Visio___6.vsdx"/><Relationship Id="rId97" Type="http://schemas.openxmlformats.org/officeDocument/2006/relationships/image" Target="media/image39.emf"/><Relationship Id="rId96" Type="http://schemas.openxmlformats.org/officeDocument/2006/relationships/package" Target="embeddings/Microsoft_Visio___5.vsdx"/><Relationship Id="rId95" Type="http://schemas.openxmlformats.org/officeDocument/2006/relationships/image" Target="media/image38.jpeg"/><Relationship Id="rId94" Type="http://schemas.openxmlformats.org/officeDocument/2006/relationships/image" Target="media/image37.wmf"/><Relationship Id="rId93" Type="http://schemas.openxmlformats.org/officeDocument/2006/relationships/oleObject" Target="embeddings/Microsoft_Visio_2003-2010___4.vsd"/><Relationship Id="rId92" Type="http://schemas.openxmlformats.org/officeDocument/2006/relationships/image" Target="media/image36.jpeg"/><Relationship Id="rId91" Type="http://schemas.openxmlformats.org/officeDocument/2006/relationships/image" Target="media/image35.jpeg"/><Relationship Id="rId90" Type="http://schemas.openxmlformats.org/officeDocument/2006/relationships/image" Target="media/image34.jpeg"/><Relationship Id="rId9" Type="http://schemas.openxmlformats.org/officeDocument/2006/relationships/footer" Target="footer2.xml"/><Relationship Id="rId89" Type="http://schemas.openxmlformats.org/officeDocument/2006/relationships/image" Target="media/image33.jpeg"/><Relationship Id="rId88" Type="http://schemas.openxmlformats.org/officeDocument/2006/relationships/image" Target="media/image32.png"/><Relationship Id="rId87" Type="http://schemas.openxmlformats.org/officeDocument/2006/relationships/image" Target="media/image31.png"/><Relationship Id="rId86" Type="http://schemas.openxmlformats.org/officeDocument/2006/relationships/image" Target="media/image30.png"/><Relationship Id="rId85" Type="http://schemas.openxmlformats.org/officeDocument/2006/relationships/chart" Target="charts/chart1.xml"/><Relationship Id="rId84" Type="http://schemas.openxmlformats.org/officeDocument/2006/relationships/image" Target="media/image29.png"/><Relationship Id="rId83" Type="http://schemas.openxmlformats.org/officeDocument/2006/relationships/image" Target="media/image28.wmf"/><Relationship Id="rId82" Type="http://schemas.openxmlformats.org/officeDocument/2006/relationships/oleObject" Target="embeddings/oleObject7.bin"/><Relationship Id="rId81" Type="http://schemas.openxmlformats.org/officeDocument/2006/relationships/image" Target="media/image27.wmf"/><Relationship Id="rId80" Type="http://schemas.openxmlformats.org/officeDocument/2006/relationships/oleObject" Target="embeddings/oleObject6.bin"/><Relationship Id="rId8" Type="http://schemas.openxmlformats.org/officeDocument/2006/relationships/footer" Target="footer1.xml"/><Relationship Id="rId79" Type="http://schemas.openxmlformats.org/officeDocument/2006/relationships/image" Target="media/image26.wmf"/><Relationship Id="rId78" Type="http://schemas.openxmlformats.org/officeDocument/2006/relationships/oleObject" Target="embeddings/oleObject5.bin"/><Relationship Id="rId77" Type="http://schemas.openxmlformats.org/officeDocument/2006/relationships/image" Target="media/image25.wmf"/><Relationship Id="rId76" Type="http://schemas.openxmlformats.org/officeDocument/2006/relationships/oleObject" Target="embeddings/oleObject4.bin"/><Relationship Id="rId75" Type="http://schemas.openxmlformats.org/officeDocument/2006/relationships/image" Target="media/image24.wmf"/><Relationship Id="rId74" Type="http://schemas.openxmlformats.org/officeDocument/2006/relationships/oleObject" Target="embeddings/oleObject3.bin"/><Relationship Id="rId73" Type="http://schemas.openxmlformats.org/officeDocument/2006/relationships/image" Target="media/image23.wmf"/><Relationship Id="rId72" Type="http://schemas.openxmlformats.org/officeDocument/2006/relationships/oleObject" Target="embeddings/oleObject2.bin"/><Relationship Id="rId71" Type="http://schemas.openxmlformats.org/officeDocument/2006/relationships/image" Target="media/image22.wmf"/><Relationship Id="rId70" Type="http://schemas.openxmlformats.org/officeDocument/2006/relationships/oleObject" Target="embeddings/oleObject1.bin"/><Relationship Id="rId7" Type="http://schemas.openxmlformats.org/officeDocument/2006/relationships/header" Target="header3.xml"/><Relationship Id="rId69" Type="http://schemas.openxmlformats.org/officeDocument/2006/relationships/image" Target="media/image21.png"/><Relationship Id="rId68" Type="http://schemas.openxmlformats.org/officeDocument/2006/relationships/image" Target="media/image20.png"/><Relationship Id="rId67" Type="http://schemas.openxmlformats.org/officeDocument/2006/relationships/image" Target="media/image19.png"/><Relationship Id="rId66" Type="http://schemas.openxmlformats.org/officeDocument/2006/relationships/image" Target="media/image18.png"/><Relationship Id="rId65" Type="http://schemas.openxmlformats.org/officeDocument/2006/relationships/image" Target="media/image17.jpeg"/><Relationship Id="rId64" Type="http://schemas.openxmlformats.org/officeDocument/2006/relationships/image" Target="media/image16.jpeg"/><Relationship Id="rId63" Type="http://schemas.openxmlformats.org/officeDocument/2006/relationships/image" Target="media/image15.jpeg"/><Relationship Id="rId62" Type="http://schemas.openxmlformats.org/officeDocument/2006/relationships/image" Target="media/image14.jpeg"/><Relationship Id="rId61" Type="http://schemas.openxmlformats.org/officeDocument/2006/relationships/image" Target="media/image13.emf"/><Relationship Id="rId60" Type="http://schemas.openxmlformats.org/officeDocument/2006/relationships/package" Target="embeddings/Microsoft_Visio___3.vsdx"/><Relationship Id="rId6" Type="http://schemas.openxmlformats.org/officeDocument/2006/relationships/header" Target="header2.xml"/><Relationship Id="rId59" Type="http://schemas.openxmlformats.org/officeDocument/2006/relationships/image" Target="media/image12.emf"/><Relationship Id="rId58" Type="http://schemas.openxmlformats.org/officeDocument/2006/relationships/package" Target="embeddings/Microsoft_Visio___2.vsdx"/><Relationship Id="rId57" Type="http://schemas.openxmlformats.org/officeDocument/2006/relationships/image" Target="media/image11.emf"/><Relationship Id="rId56" Type="http://schemas.openxmlformats.org/officeDocument/2006/relationships/package" Target="embeddings/Microsoft_Visio___1.vsdx"/><Relationship Id="rId55" Type="http://schemas.openxmlformats.org/officeDocument/2006/relationships/image" Target="media/image10.jpeg"/><Relationship Id="rId54" Type="http://schemas.openxmlformats.org/officeDocument/2006/relationships/image" Target="media/image9.png"/><Relationship Id="rId53" Type="http://schemas.openxmlformats.org/officeDocument/2006/relationships/image" Target="media/image8.jpeg"/><Relationship Id="rId52" Type="http://schemas.openxmlformats.org/officeDocument/2006/relationships/image" Target="media/image7.wmf"/><Relationship Id="rId51" Type="http://schemas.openxmlformats.org/officeDocument/2006/relationships/image" Target="media/image6.jpeg"/><Relationship Id="rId50" Type="http://schemas.openxmlformats.org/officeDocument/2006/relationships/image" Target="media/image5.jpeg"/><Relationship Id="rId5" Type="http://schemas.openxmlformats.org/officeDocument/2006/relationships/header" Target="header1.xml"/><Relationship Id="rId49" Type="http://schemas.openxmlformats.org/officeDocument/2006/relationships/image" Target="media/image4.png"/><Relationship Id="rId48" Type="http://schemas.openxmlformats.org/officeDocument/2006/relationships/image" Target="media/image3.jpeg"/><Relationship Id="rId47" Type="http://schemas.openxmlformats.org/officeDocument/2006/relationships/image" Target="media/image2.jpeg"/><Relationship Id="rId46" Type="http://schemas.openxmlformats.org/officeDocument/2006/relationships/image" Target="media/image1.jpeg"/><Relationship Id="rId45" Type="http://schemas.openxmlformats.org/officeDocument/2006/relationships/theme" Target="theme/theme1.xml"/><Relationship Id="rId44" Type="http://schemas.openxmlformats.org/officeDocument/2006/relationships/header" Target="header24.xml"/><Relationship Id="rId43" Type="http://schemas.openxmlformats.org/officeDocument/2006/relationships/header" Target="header23.xml"/><Relationship Id="rId42" Type="http://schemas.openxmlformats.org/officeDocument/2006/relationships/header" Target="header22.xml"/><Relationship Id="rId41" Type="http://schemas.openxmlformats.org/officeDocument/2006/relationships/header" Target="header21.xml"/><Relationship Id="rId40" Type="http://schemas.openxmlformats.org/officeDocument/2006/relationships/header" Target="header20.xml"/><Relationship Id="rId4" Type="http://schemas.openxmlformats.org/officeDocument/2006/relationships/endnotes" Target="endnotes.xml"/><Relationship Id="rId39" Type="http://schemas.openxmlformats.org/officeDocument/2006/relationships/header" Target="header19.xml"/><Relationship Id="rId38" Type="http://schemas.openxmlformats.org/officeDocument/2006/relationships/footer" Target="footer16.xml"/><Relationship Id="rId37" Type="http://schemas.openxmlformats.org/officeDocument/2006/relationships/footer" Target="footer15.xml"/><Relationship Id="rId36" Type="http://schemas.openxmlformats.org/officeDocument/2006/relationships/header" Target="header18.xml"/><Relationship Id="rId35" Type="http://schemas.openxmlformats.org/officeDocument/2006/relationships/header" Target="header17.xml"/><Relationship Id="rId34" Type="http://schemas.openxmlformats.org/officeDocument/2006/relationships/header" Target="header16.xml"/><Relationship Id="rId33" Type="http://schemas.openxmlformats.org/officeDocument/2006/relationships/header" Target="header15.xml"/><Relationship Id="rId32" Type="http://schemas.openxmlformats.org/officeDocument/2006/relationships/footer" Target="footer14.xml"/><Relationship Id="rId31" Type="http://schemas.openxmlformats.org/officeDocument/2006/relationships/footer" Target="footer13.xml"/><Relationship Id="rId30" Type="http://schemas.openxmlformats.org/officeDocument/2006/relationships/header" Target="header14.xml"/><Relationship Id="rId3" Type="http://schemas.openxmlformats.org/officeDocument/2006/relationships/footnotes" Target="footnotes.xml"/><Relationship Id="rId29" Type="http://schemas.openxmlformats.org/officeDocument/2006/relationships/header" Target="header13.xml"/><Relationship Id="rId28" Type="http://schemas.openxmlformats.org/officeDocument/2006/relationships/header" Target="header12.xml"/><Relationship Id="rId27" Type="http://schemas.openxmlformats.org/officeDocument/2006/relationships/footer" Target="footer12.xml"/><Relationship Id="rId26" Type="http://schemas.openxmlformats.org/officeDocument/2006/relationships/header" Target="header11.xml"/><Relationship Id="rId25" Type="http://schemas.openxmlformats.org/officeDocument/2006/relationships/footer" Target="footer11.xml"/><Relationship Id="rId24" Type="http://schemas.openxmlformats.org/officeDocument/2006/relationships/header" Target="header10.xml"/><Relationship Id="rId23" Type="http://schemas.openxmlformats.org/officeDocument/2006/relationships/footer" Target="footer10.xml"/><Relationship Id="rId22" Type="http://schemas.openxmlformats.org/officeDocument/2006/relationships/header" Target="header9.xml"/><Relationship Id="rId21" Type="http://schemas.openxmlformats.org/officeDocument/2006/relationships/footer" Target="footer9.xml"/><Relationship Id="rId20" Type="http://schemas.openxmlformats.org/officeDocument/2006/relationships/header" Target="header8.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footer" Target="footer7.xml"/><Relationship Id="rId17" Type="http://schemas.openxmlformats.org/officeDocument/2006/relationships/header" Target="header7.xml"/><Relationship Id="rId16" Type="http://schemas.openxmlformats.org/officeDocument/2006/relationships/footer" Target="footer6.xml"/><Relationship Id="rId15" Type="http://schemas.openxmlformats.org/officeDocument/2006/relationships/header" Target="header6.xml"/><Relationship Id="rId140" Type="http://schemas.openxmlformats.org/officeDocument/2006/relationships/fontTable" Target="fontTable.xml"/><Relationship Id="rId14" Type="http://schemas.openxmlformats.org/officeDocument/2006/relationships/footer" Target="footer5.xml"/><Relationship Id="rId139" Type="http://schemas.openxmlformats.org/officeDocument/2006/relationships/customXml" Target="../customXml/item1.xml"/><Relationship Id="rId138" Type="http://schemas.openxmlformats.org/officeDocument/2006/relationships/numbering" Target="numbering.xml"/><Relationship Id="rId137" Type="http://schemas.openxmlformats.org/officeDocument/2006/relationships/image" Target="media/image65.jpeg"/><Relationship Id="rId136" Type="http://schemas.openxmlformats.org/officeDocument/2006/relationships/image" Target="media/image64.jpeg"/><Relationship Id="rId135" Type="http://schemas.openxmlformats.org/officeDocument/2006/relationships/image" Target="media/image63.png"/><Relationship Id="rId134" Type="http://schemas.openxmlformats.org/officeDocument/2006/relationships/image" Target="media/image62.png"/><Relationship Id="rId133" Type="http://schemas.openxmlformats.org/officeDocument/2006/relationships/image" Target="media/image61.png"/><Relationship Id="rId132" Type="http://schemas.openxmlformats.org/officeDocument/2006/relationships/image" Target="media/image60.png"/><Relationship Id="rId131" Type="http://schemas.openxmlformats.org/officeDocument/2006/relationships/image" Target="media/image59.png"/><Relationship Id="rId130" Type="http://schemas.openxmlformats.org/officeDocument/2006/relationships/image" Target="media/image58.png"/><Relationship Id="rId13" Type="http://schemas.openxmlformats.org/officeDocument/2006/relationships/header" Target="header5.xml"/><Relationship Id="rId129" Type="http://schemas.openxmlformats.org/officeDocument/2006/relationships/image" Target="media/image57.png"/><Relationship Id="rId128" Type="http://schemas.openxmlformats.org/officeDocument/2006/relationships/image" Target="media/image56.png"/><Relationship Id="rId127" Type="http://schemas.openxmlformats.org/officeDocument/2006/relationships/oleObject" Target="embeddings/oleObject19.bin"/><Relationship Id="rId126" Type="http://schemas.openxmlformats.org/officeDocument/2006/relationships/image" Target="media/image55.wmf"/><Relationship Id="rId125" Type="http://schemas.openxmlformats.org/officeDocument/2006/relationships/oleObject" Target="embeddings/oleObject18.bin"/><Relationship Id="rId124" Type="http://schemas.openxmlformats.org/officeDocument/2006/relationships/oleObject" Target="embeddings/oleObject17.bin"/><Relationship Id="rId123" Type="http://schemas.openxmlformats.org/officeDocument/2006/relationships/oleObject" Target="embeddings/oleObject16.bin"/><Relationship Id="rId122" Type="http://schemas.openxmlformats.org/officeDocument/2006/relationships/oleObject" Target="embeddings/oleObject15.bin"/><Relationship Id="rId121" Type="http://schemas.openxmlformats.org/officeDocument/2006/relationships/oleObject" Target="embeddings/oleObject14.bin"/><Relationship Id="rId120" Type="http://schemas.openxmlformats.org/officeDocument/2006/relationships/oleObject" Target="embeddings/oleObject13.bin"/><Relationship Id="rId12" Type="http://schemas.openxmlformats.org/officeDocument/2006/relationships/footer" Target="footer4.xml"/><Relationship Id="rId119" Type="http://schemas.openxmlformats.org/officeDocument/2006/relationships/oleObject" Target="embeddings/oleObject12.bin"/><Relationship Id="rId118" Type="http://schemas.openxmlformats.org/officeDocument/2006/relationships/image" Target="media/image54.wmf"/><Relationship Id="rId117" Type="http://schemas.openxmlformats.org/officeDocument/2006/relationships/oleObject" Target="embeddings/oleObject11.bin"/><Relationship Id="rId116" Type="http://schemas.openxmlformats.org/officeDocument/2006/relationships/image" Target="media/image53.wmf"/><Relationship Id="rId115" Type="http://schemas.openxmlformats.org/officeDocument/2006/relationships/oleObject" Target="embeddings/oleObject10.bin"/><Relationship Id="rId114" Type="http://schemas.openxmlformats.org/officeDocument/2006/relationships/image" Target="media/image52.wmf"/><Relationship Id="rId113" Type="http://schemas.openxmlformats.org/officeDocument/2006/relationships/oleObject" Target="embeddings/oleObject9.bin"/><Relationship Id="rId112" Type="http://schemas.openxmlformats.org/officeDocument/2006/relationships/image" Target="media/image51.png"/><Relationship Id="rId111" Type="http://schemas.openxmlformats.org/officeDocument/2006/relationships/image" Target="media/image50.png"/><Relationship Id="rId110" Type="http://schemas.openxmlformats.org/officeDocument/2006/relationships/image" Target="media/image49.emf"/><Relationship Id="rId11" Type="http://schemas.openxmlformats.org/officeDocument/2006/relationships/header" Target="header4.xml"/><Relationship Id="rId109" Type="http://schemas.openxmlformats.org/officeDocument/2006/relationships/image" Target="media/image48.emf"/><Relationship Id="rId108" Type="http://schemas.openxmlformats.org/officeDocument/2006/relationships/image" Target="media/image47.emf"/><Relationship Id="rId107" Type="http://schemas.openxmlformats.org/officeDocument/2006/relationships/image" Target="media/image46.emf"/><Relationship Id="rId106" Type="http://schemas.openxmlformats.org/officeDocument/2006/relationships/image" Target="media/image45.png"/><Relationship Id="rId105" Type="http://schemas.openxmlformats.org/officeDocument/2006/relationships/image" Target="media/image44.wmf"/><Relationship Id="rId104" Type="http://schemas.openxmlformats.org/officeDocument/2006/relationships/oleObject" Target="embeddings/oleObject8.bin"/><Relationship Id="rId103" Type="http://schemas.openxmlformats.org/officeDocument/2006/relationships/image" Target="media/image43.jpeg"/><Relationship Id="rId102" Type="http://schemas.openxmlformats.org/officeDocument/2006/relationships/image" Target="media/image42.emf"/><Relationship Id="rId101" Type="http://schemas.openxmlformats.org/officeDocument/2006/relationships/package" Target="embeddings/Microsoft_Visio___7.vsdx"/><Relationship Id="rId100" Type="http://schemas.openxmlformats.org/officeDocument/2006/relationships/image" Target="media/image41.jpeg"/><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E:\&#26446;&#20136;&#21338;&#29615;\&#20013;&#20255;&#39033;&#30446;\&#36235;&#21183;&#22270;\GX006&#28023;&#27700;&#36235;&#2118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zh-CN" sz="1400" b="1" i="0" u="none" strike="noStrike" kern="1200" baseline="0">
                <a:solidFill>
                  <a:schemeClr val="tx1">
                    <a:lumMod val="75000"/>
                    <a:lumOff val="25000"/>
                  </a:schemeClr>
                </a:solidFill>
                <a:latin typeface="+mn-lt"/>
                <a:ea typeface="+mn-ea"/>
                <a:cs typeface="+mn-cs"/>
              </a:defRPr>
            </a:pPr>
            <a:r>
              <a:rPr lang="en-US" altLang="zh-CN"/>
              <a:t>GX006</a:t>
            </a:r>
            <a:endParaRPr lang="en-US" altLang="zh-CN"/>
          </a:p>
        </c:rich>
      </c:tx>
      <c:layout/>
      <c:overlay val="0"/>
      <c:spPr>
        <a:noFill/>
        <a:ln>
          <a:noFill/>
        </a:ln>
        <a:effectLst/>
      </c:spPr>
    </c:title>
    <c:autoTitleDeleted val="0"/>
    <c:plotArea>
      <c:layout>
        <c:manualLayout>
          <c:layoutTarget val="inner"/>
          <c:xMode val="edge"/>
          <c:yMode val="edge"/>
          <c:x val="0.085538387252535"/>
          <c:y val="0.171523178807947"/>
          <c:w val="0.886455818445195"/>
          <c:h val="0.624370860927152"/>
        </c:manualLayout>
      </c:layout>
      <c:lineChart>
        <c:grouping val="standard"/>
        <c:varyColors val="0"/>
        <c:ser>
          <c:idx val="0"/>
          <c:order val="0"/>
          <c:tx>
            <c:strRef>
              <c:f>[GX006海水趋势.xlsx]Sheet1!$B$25</c:f>
              <c:strCache>
                <c:ptCount val="1"/>
                <c:pt idx="0">
                  <c:v>硫酸盐</c:v>
                </c:pt>
              </c:strCache>
            </c:strRef>
          </c:tx>
          <c:spPr>
            <a:ln w="28575" cap="rnd">
              <a:solidFill>
                <a:schemeClr val="accent1"/>
              </a:solidFill>
              <a:round/>
            </a:ln>
            <a:effectLst/>
          </c:spPr>
          <c:marker>
            <c:symbol val="none"/>
          </c:marker>
          <c:dLbls>
            <c:delete val="1"/>
          </c:dLbls>
          <c:cat>
            <c:strRef>
              <c:f>[GX006海水趋势.xlsx]Sheet1!$A$26:$A$27</c:f>
              <c:strCache>
                <c:ptCount val="2"/>
                <c:pt idx="0">
                  <c:v>2021年</c:v>
                </c:pt>
                <c:pt idx="1">
                  <c:v>2025年</c:v>
                </c:pt>
              </c:strCache>
            </c:strRef>
          </c:cat>
          <c:val>
            <c:numRef>
              <c:f>[GX006海水趋势.xlsx]Sheet1!$B$26:$B$27</c:f>
              <c:numCache>
                <c:formatCode>General</c:formatCode>
                <c:ptCount val="2"/>
                <c:pt idx="0">
                  <c:v>2140</c:v>
                </c:pt>
                <c:pt idx="1">
                  <c:v>2110</c:v>
                </c:pt>
              </c:numCache>
            </c:numRef>
          </c:val>
          <c:smooth val="0"/>
        </c:ser>
        <c:ser>
          <c:idx val="1"/>
          <c:order val="1"/>
          <c:tx>
            <c:strRef>
              <c:f>[GX006海水趋势.xlsx]Sheet1!$C$25</c:f>
              <c:strCache>
                <c:ptCount val="1"/>
                <c:pt idx="0">
                  <c:v>氯化物</c:v>
                </c:pt>
              </c:strCache>
            </c:strRef>
          </c:tx>
          <c:spPr>
            <a:ln w="28575" cap="rnd">
              <a:solidFill>
                <a:schemeClr val="accent2"/>
              </a:solidFill>
              <a:round/>
            </a:ln>
            <a:effectLst/>
          </c:spPr>
          <c:marker>
            <c:symbol val="none"/>
          </c:marker>
          <c:dLbls>
            <c:delete val="1"/>
          </c:dLbls>
          <c:cat>
            <c:strRef>
              <c:f>[GX006海水趋势.xlsx]Sheet1!$A$26:$A$27</c:f>
              <c:strCache>
                <c:ptCount val="2"/>
                <c:pt idx="0">
                  <c:v>2021年</c:v>
                </c:pt>
                <c:pt idx="1">
                  <c:v>2025年</c:v>
                </c:pt>
              </c:strCache>
            </c:strRef>
          </c:cat>
          <c:val>
            <c:numRef>
              <c:f>[GX006海水趋势.xlsx]Sheet1!$C$26:$C$27</c:f>
              <c:numCache>
                <c:formatCode>General</c:formatCode>
                <c:ptCount val="2"/>
                <c:pt idx="0">
                  <c:v>16820</c:v>
                </c:pt>
                <c:pt idx="1">
                  <c:v>15600</c:v>
                </c:pt>
              </c:numCache>
            </c:numRef>
          </c:val>
          <c:smooth val="0"/>
        </c:ser>
        <c:dLbls>
          <c:showLegendKey val="0"/>
          <c:showVal val="0"/>
          <c:showCatName val="0"/>
          <c:showSerName val="0"/>
          <c:showPercent val="0"/>
          <c:showBubbleSize val="0"/>
        </c:dLbls>
        <c:marker val="0"/>
        <c:smooth val="0"/>
        <c:axId val="56674283"/>
        <c:axId val="20247599"/>
      </c:lineChart>
      <c:catAx>
        <c:axId val="56674283"/>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0247599"/>
        <c:crosses val="autoZero"/>
        <c:auto val="1"/>
        <c:lblAlgn val="ctr"/>
        <c:lblOffset val="100"/>
        <c:noMultiLvlLbl val="0"/>
      </c:catAx>
      <c:valAx>
        <c:axId val="20247599"/>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674283"/>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28">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0">
      <cs:styleClr val="auto"/>
    </cs:fillRef>
    <cs:effectRef idx="0"/>
    <cs:fontRef idx="minor">
      <a:schemeClr val="dk1"/>
    </cs:fontRef>
    <cs:spPr>
      <a:ln w="28575" cap="rnd">
        <a:solidFill>
          <a:schemeClr val="phClr"/>
        </a:solidFill>
        <a:round/>
      </a:ln>
      <a:effectLst/>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AD67D4-1BBE-4EF0-8ABB-F770C8D48F9B}">
  <ds:schemaRefs/>
</ds:datastoreItem>
</file>

<file path=docProps/app.xml><?xml version="1.0" encoding="utf-8"?>
<Properties xmlns="http://schemas.openxmlformats.org/officeDocument/2006/extended-properties" xmlns:vt="http://schemas.openxmlformats.org/officeDocument/2006/docPropsVTypes">
  <Template>Normal.dotm</Template>
  <Pages>392</Pages>
  <Words>6206</Words>
  <Characters>7961</Characters>
  <Lines>2405</Lines>
  <Paragraphs>677</Paragraphs>
  <TotalTime>0</TotalTime>
  <ScaleCrop>false</ScaleCrop>
  <LinksUpToDate>false</LinksUpToDate>
  <CharactersWithSpaces>9685</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2019-12-19T02:00:00Z</dcterms:created>
  <dc:creator>博环王幼芳</dc:creator>
  <cp:lastModifiedBy>20314</cp:lastModifiedBy>
  <cp:lastPrinted>2026-02-07T09:52:00Z</cp:lastPrinted>
  <dcterms:modified xsi:type="dcterms:W3CDTF">2026-03-31T09:32:06Z</dcterms:modified>
  <cp:revision>2803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2052-12.8.2.18205</vt:lpwstr>
  </property>
  <property fmtid="{D5CDD505-2E9C-101B-9397-08002B2CF9AE}" pid="3" name="ICV">
    <vt:lpwstr>567AA131A2AD4EF784428667E19C30C7_12</vt:lpwstr>
  </property>
  <property fmtid="{D5CDD505-2E9C-101B-9397-08002B2CF9AE}" pid="4" name="KSOTemplateDocerSaveRecord">
    <vt:lpwstr>eyJoZGlkIjoiNjk2YjZjMjM1Mzc5YTMzODE1MGIwOThmNmQ1NDAyNzgiLCJ1c2VySWQiOiIyNDA1ODg5MzQifQ==</vt:lpwstr>
  </property>
</Properties>
</file>